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78B33E3" w14:textId="1B8FAC66" w:rsidR="0014798C" w:rsidRDefault="004E1F0B">
      <w:pPr>
        <w:spacing w:before="76"/>
        <w:ind w:left="113"/>
        <w:rPr>
          <w:sz w:val="21"/>
        </w:rPr>
      </w:pPr>
      <w:r>
        <w:rPr>
          <w:noProof/>
        </w:rPr>
        <w:drawing>
          <wp:anchor distT="0" distB="0" distL="0" distR="0" simplePos="0" relativeHeight="251658344" behindDoc="1" locked="0" layoutInCell="1" allowOverlap="1" wp14:anchorId="6E02F621" wp14:editId="02A9300D">
            <wp:simplePos x="0" y="0"/>
            <wp:positionH relativeFrom="page">
              <wp:posOffset>0</wp:posOffset>
            </wp:positionH>
            <wp:positionV relativeFrom="page">
              <wp:posOffset>0</wp:posOffset>
            </wp:positionV>
            <wp:extent cx="7556500" cy="10069603"/>
            <wp:effectExtent l="0" t="0" r="0" b="0"/>
            <wp:wrapNone/>
            <wp:docPr id="1" name="Image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Image 1"/>
                    <pic:cNvPicPr/>
                  </pic:nvPicPr>
                  <pic:blipFill>
                    <a:blip r:embed="rId10" cstate="print"/>
                    <a:stretch>
                      <a:fillRect/>
                    </a:stretch>
                  </pic:blipFill>
                  <pic:spPr>
                    <a:xfrm>
                      <a:off x="0" y="0"/>
                      <a:ext cx="7556500" cy="10069603"/>
                    </a:xfrm>
                    <a:prstGeom prst="rect">
                      <a:avLst/>
                    </a:prstGeom>
                  </pic:spPr>
                </pic:pic>
              </a:graphicData>
            </a:graphic>
          </wp:anchor>
        </w:drawing>
      </w:r>
    </w:p>
    <w:p w14:paraId="72526899" w14:textId="77777777" w:rsidR="0014798C" w:rsidRDefault="0014798C">
      <w:pPr>
        <w:pStyle w:val="Textoindependiente"/>
        <w:rPr>
          <w:sz w:val="55"/>
        </w:rPr>
      </w:pPr>
    </w:p>
    <w:p w14:paraId="5E83AD51" w14:textId="77777777" w:rsidR="0014798C" w:rsidRDefault="0014798C">
      <w:pPr>
        <w:pStyle w:val="Textoindependiente"/>
        <w:spacing w:before="62"/>
        <w:rPr>
          <w:sz w:val="55"/>
        </w:rPr>
      </w:pPr>
    </w:p>
    <w:p w14:paraId="60B0766F" w14:textId="6AAC40A9" w:rsidR="00537489" w:rsidRPr="009A665C" w:rsidRDefault="00537489" w:rsidP="00537489">
      <w:pPr>
        <w:pStyle w:val="Ttulo"/>
        <w:rPr>
          <w:rFonts w:ascii="Tahoma" w:hAnsi="Tahoma" w:cs="Tahoma"/>
          <w:sz w:val="56"/>
          <w:szCs w:val="56"/>
        </w:rPr>
      </w:pPr>
      <w:r w:rsidRPr="009A665C">
        <w:rPr>
          <w:rFonts w:ascii="Tahoma" w:hAnsi="Tahoma" w:cs="Tahoma"/>
          <w:color w:val="0075BF"/>
          <w:spacing w:val="-2"/>
          <w:sz w:val="56"/>
          <w:szCs w:val="56"/>
        </w:rPr>
        <w:t>PROTEGER</w:t>
      </w:r>
    </w:p>
    <w:p w14:paraId="6CBC5B96" w14:textId="477B2E32" w:rsidR="00537489" w:rsidRPr="009A665C" w:rsidRDefault="00B16F84" w:rsidP="00537489">
      <w:pPr>
        <w:spacing w:before="217"/>
        <w:ind w:left="831"/>
        <w:rPr>
          <w:rFonts w:ascii="Tahoma" w:hAnsi="Tahoma" w:cs="Tahoma"/>
          <w:sz w:val="36"/>
          <w:szCs w:val="36"/>
        </w:rPr>
      </w:pPr>
      <w:r>
        <w:rPr>
          <w:rFonts w:ascii="Tahoma" w:hAnsi="Tahoma" w:cs="Tahoma"/>
          <w:color w:val="0075BF"/>
          <w:sz w:val="36"/>
          <w:szCs w:val="36"/>
        </w:rPr>
        <w:t xml:space="preserve">LOS </w:t>
      </w:r>
      <w:r w:rsidR="00537489" w:rsidRPr="009A665C">
        <w:rPr>
          <w:rFonts w:ascii="Tahoma" w:hAnsi="Tahoma" w:cs="Tahoma"/>
          <w:color w:val="0075BF"/>
          <w:sz w:val="36"/>
          <w:szCs w:val="36"/>
        </w:rPr>
        <w:t>DERECHOS</w:t>
      </w:r>
      <w:r w:rsidR="00537489" w:rsidRPr="009A665C">
        <w:rPr>
          <w:rFonts w:ascii="Tahoma" w:hAnsi="Tahoma" w:cs="Tahoma"/>
          <w:color w:val="0075BF"/>
          <w:spacing w:val="10"/>
          <w:sz w:val="36"/>
          <w:szCs w:val="36"/>
        </w:rPr>
        <w:t xml:space="preserve"> </w:t>
      </w:r>
      <w:r w:rsidR="00537489" w:rsidRPr="009A665C">
        <w:rPr>
          <w:rFonts w:ascii="Tahoma" w:hAnsi="Tahoma" w:cs="Tahoma"/>
          <w:color w:val="0075BF"/>
          <w:sz w:val="36"/>
          <w:szCs w:val="36"/>
        </w:rPr>
        <w:t>DE</w:t>
      </w:r>
      <w:r w:rsidR="00537489" w:rsidRPr="009A665C">
        <w:rPr>
          <w:rFonts w:ascii="Tahoma" w:hAnsi="Tahoma" w:cs="Tahoma"/>
          <w:color w:val="0075BF"/>
          <w:spacing w:val="9"/>
          <w:sz w:val="36"/>
          <w:szCs w:val="36"/>
        </w:rPr>
        <w:t xml:space="preserve"> </w:t>
      </w:r>
      <w:r w:rsidR="00537489" w:rsidRPr="009A665C">
        <w:rPr>
          <w:rFonts w:ascii="Tahoma" w:hAnsi="Tahoma" w:cs="Tahoma"/>
          <w:color w:val="0075BF"/>
          <w:sz w:val="36"/>
          <w:szCs w:val="36"/>
        </w:rPr>
        <w:t>LAS</w:t>
      </w:r>
      <w:r w:rsidR="00537489" w:rsidRPr="009A665C">
        <w:rPr>
          <w:rFonts w:ascii="Tahoma" w:hAnsi="Tahoma" w:cs="Tahoma"/>
          <w:color w:val="0075BF"/>
          <w:spacing w:val="9"/>
          <w:sz w:val="36"/>
          <w:szCs w:val="36"/>
        </w:rPr>
        <w:t xml:space="preserve"> </w:t>
      </w:r>
      <w:r w:rsidR="00537489" w:rsidRPr="009A665C">
        <w:rPr>
          <w:rFonts w:ascii="Tahoma" w:hAnsi="Tahoma" w:cs="Tahoma"/>
          <w:color w:val="0075BF"/>
          <w:spacing w:val="-2"/>
          <w:sz w:val="36"/>
          <w:szCs w:val="36"/>
        </w:rPr>
        <w:t>MINORÍAS</w:t>
      </w:r>
    </w:p>
    <w:p w14:paraId="11126C7A" w14:textId="0B4CF73D" w:rsidR="00537489" w:rsidRPr="009A665C" w:rsidRDefault="00537489" w:rsidP="00537489">
      <w:pPr>
        <w:spacing w:before="15" w:line="720" w:lineRule="atLeast"/>
        <w:ind w:left="850" w:right="5703" w:hanging="35"/>
        <w:rPr>
          <w:rFonts w:ascii="Tahoma" w:hAnsi="Tahoma" w:cs="Tahoma"/>
          <w:sz w:val="36"/>
          <w:szCs w:val="36"/>
        </w:rPr>
      </w:pPr>
      <w:r w:rsidRPr="009A665C">
        <w:rPr>
          <w:rFonts w:ascii="Tahoma" w:hAnsi="Tahoma" w:cs="Tahoma"/>
          <w:color w:val="0075BF"/>
          <w:sz w:val="36"/>
          <w:szCs w:val="36"/>
        </w:rPr>
        <w:t xml:space="preserve">Una </w:t>
      </w:r>
      <w:r w:rsidR="006A6CF9" w:rsidRPr="009A665C">
        <w:rPr>
          <w:rFonts w:ascii="Tahoma" w:hAnsi="Tahoma" w:cs="Tahoma"/>
          <w:color w:val="0075BF"/>
          <w:sz w:val="36"/>
          <w:szCs w:val="36"/>
        </w:rPr>
        <w:t xml:space="preserve">Guía Práctica </w:t>
      </w:r>
      <w:r w:rsidRPr="009A665C">
        <w:rPr>
          <w:rFonts w:ascii="Tahoma" w:hAnsi="Tahoma" w:cs="Tahoma"/>
          <w:color w:val="0075BF"/>
          <w:sz w:val="36"/>
          <w:szCs w:val="36"/>
        </w:rPr>
        <w:t>para el Desarrollo de una Legislación Integral</w:t>
      </w:r>
      <w:r w:rsidRPr="009A665C">
        <w:rPr>
          <w:rFonts w:ascii="Tahoma" w:hAnsi="Tahoma" w:cs="Tahoma"/>
          <w:sz w:val="36"/>
          <w:szCs w:val="36"/>
        </w:rPr>
        <w:t xml:space="preserve"> </w:t>
      </w:r>
      <w:r w:rsidRPr="009A665C">
        <w:rPr>
          <w:rFonts w:ascii="Tahoma" w:hAnsi="Tahoma" w:cs="Tahoma"/>
          <w:color w:val="0075BF"/>
          <w:sz w:val="36"/>
          <w:szCs w:val="36"/>
        </w:rPr>
        <w:t>contra</w:t>
      </w:r>
      <w:r w:rsidRPr="009A665C">
        <w:rPr>
          <w:rFonts w:ascii="Tahoma" w:hAnsi="Tahoma" w:cs="Tahoma"/>
          <w:color w:val="0075BF"/>
          <w:spacing w:val="-5"/>
          <w:sz w:val="36"/>
          <w:szCs w:val="36"/>
        </w:rPr>
        <w:t xml:space="preserve"> </w:t>
      </w:r>
      <w:r w:rsidRPr="009A665C">
        <w:rPr>
          <w:rFonts w:ascii="Tahoma" w:hAnsi="Tahoma" w:cs="Tahoma"/>
          <w:color w:val="0075BF"/>
          <w:sz w:val="36"/>
          <w:szCs w:val="36"/>
        </w:rPr>
        <w:t>la</w:t>
      </w:r>
      <w:r w:rsidRPr="009A665C">
        <w:rPr>
          <w:rFonts w:ascii="Tahoma" w:hAnsi="Tahoma" w:cs="Tahoma"/>
          <w:color w:val="0075BF"/>
          <w:spacing w:val="-2"/>
          <w:sz w:val="36"/>
          <w:szCs w:val="36"/>
        </w:rPr>
        <w:t xml:space="preserve"> </w:t>
      </w:r>
      <w:r w:rsidR="006A6CF9">
        <w:rPr>
          <w:rFonts w:ascii="Tahoma" w:hAnsi="Tahoma" w:cs="Tahoma"/>
          <w:color w:val="0075BF"/>
          <w:spacing w:val="-2"/>
          <w:sz w:val="36"/>
          <w:szCs w:val="36"/>
        </w:rPr>
        <w:t>D</w:t>
      </w:r>
      <w:r w:rsidRPr="009A665C">
        <w:rPr>
          <w:rFonts w:ascii="Tahoma" w:hAnsi="Tahoma" w:cs="Tahoma"/>
          <w:color w:val="0075BF"/>
          <w:spacing w:val="-2"/>
          <w:sz w:val="36"/>
          <w:szCs w:val="36"/>
        </w:rPr>
        <w:t>iscriminación</w:t>
      </w:r>
    </w:p>
    <w:p w14:paraId="2313D62E" w14:textId="77777777" w:rsidR="0014798C" w:rsidRDefault="0014798C">
      <w:pPr>
        <w:rPr>
          <w:sz w:val="37"/>
        </w:rPr>
        <w:sectPr w:rsidR="0014798C" w:rsidSect="00F265E4">
          <w:type w:val="continuous"/>
          <w:pgSz w:w="11900" w:h="16820"/>
          <w:pgMar w:top="40" w:right="0" w:bottom="280" w:left="200" w:header="720" w:footer="720" w:gutter="0"/>
          <w:cols w:space="720"/>
        </w:sectPr>
      </w:pPr>
    </w:p>
    <w:p w14:paraId="4B0C6DA4" w14:textId="6DF1DB79" w:rsidR="0014798C" w:rsidRDefault="004E1F0B">
      <w:pPr>
        <w:spacing w:before="76"/>
        <w:ind w:left="113"/>
        <w:rPr>
          <w:sz w:val="21"/>
        </w:rPr>
      </w:pPr>
      <w:r>
        <w:rPr>
          <w:noProof/>
        </w:rPr>
        <w:lastRenderedPageBreak/>
        <w:drawing>
          <wp:anchor distT="0" distB="0" distL="0" distR="0" simplePos="0" relativeHeight="251658345" behindDoc="1" locked="0" layoutInCell="1" allowOverlap="1" wp14:anchorId="2FA5111B" wp14:editId="6A8DFCFE">
            <wp:simplePos x="0" y="0"/>
            <wp:positionH relativeFrom="page">
              <wp:posOffset>0</wp:posOffset>
            </wp:positionH>
            <wp:positionV relativeFrom="page">
              <wp:posOffset>0</wp:posOffset>
            </wp:positionV>
            <wp:extent cx="7556500" cy="10069603"/>
            <wp:effectExtent l="0" t="0" r="0" b="0"/>
            <wp:wrapNone/>
            <wp:docPr id="2" name="Image 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 name="Image 2"/>
                    <pic:cNvPicPr/>
                  </pic:nvPicPr>
                  <pic:blipFill>
                    <a:blip r:embed="rId10" cstate="print"/>
                    <a:stretch>
                      <a:fillRect/>
                    </a:stretch>
                  </pic:blipFill>
                  <pic:spPr>
                    <a:xfrm>
                      <a:off x="0" y="0"/>
                      <a:ext cx="7556500" cy="10069603"/>
                    </a:xfrm>
                    <a:prstGeom prst="rect">
                      <a:avLst/>
                    </a:prstGeom>
                  </pic:spPr>
                </pic:pic>
              </a:graphicData>
            </a:graphic>
          </wp:anchor>
        </w:drawing>
      </w:r>
    </w:p>
    <w:p w14:paraId="36D6F8A2" w14:textId="77777777" w:rsidR="0014798C" w:rsidRDefault="0014798C">
      <w:pPr>
        <w:pStyle w:val="Textoindependiente"/>
        <w:rPr>
          <w:sz w:val="55"/>
        </w:rPr>
      </w:pPr>
    </w:p>
    <w:p w14:paraId="700D2056" w14:textId="77777777" w:rsidR="0014798C" w:rsidRDefault="0014798C">
      <w:pPr>
        <w:pStyle w:val="Textoindependiente"/>
        <w:spacing w:before="62"/>
        <w:rPr>
          <w:sz w:val="55"/>
        </w:rPr>
      </w:pPr>
    </w:p>
    <w:p w14:paraId="2477AFB7" w14:textId="77777777" w:rsidR="00537489" w:rsidRPr="009A665C" w:rsidRDefault="00537489" w:rsidP="00537489">
      <w:pPr>
        <w:pStyle w:val="Ttulo"/>
        <w:rPr>
          <w:rFonts w:ascii="Tahoma" w:hAnsi="Tahoma" w:cs="Tahoma"/>
          <w:sz w:val="56"/>
          <w:szCs w:val="56"/>
        </w:rPr>
      </w:pPr>
      <w:r w:rsidRPr="009A665C">
        <w:rPr>
          <w:rFonts w:ascii="Tahoma" w:hAnsi="Tahoma" w:cs="Tahoma"/>
          <w:color w:val="0075BF"/>
          <w:spacing w:val="-2"/>
          <w:sz w:val="56"/>
          <w:szCs w:val="56"/>
        </w:rPr>
        <w:t>PROTEGER</w:t>
      </w:r>
    </w:p>
    <w:p w14:paraId="1E9CB428" w14:textId="3E760BF1" w:rsidR="00537489" w:rsidRPr="009A665C" w:rsidRDefault="00B16F84" w:rsidP="00537489">
      <w:pPr>
        <w:spacing w:before="217"/>
        <w:ind w:left="831"/>
        <w:rPr>
          <w:rFonts w:ascii="Tahoma" w:hAnsi="Tahoma" w:cs="Tahoma"/>
          <w:sz w:val="36"/>
          <w:szCs w:val="36"/>
        </w:rPr>
      </w:pPr>
      <w:r>
        <w:rPr>
          <w:rFonts w:ascii="Tahoma" w:hAnsi="Tahoma" w:cs="Tahoma"/>
          <w:color w:val="0075BF"/>
          <w:sz w:val="36"/>
          <w:szCs w:val="36"/>
        </w:rPr>
        <w:t xml:space="preserve">LOS </w:t>
      </w:r>
      <w:r w:rsidR="00537489" w:rsidRPr="009A665C">
        <w:rPr>
          <w:rFonts w:ascii="Tahoma" w:hAnsi="Tahoma" w:cs="Tahoma"/>
          <w:color w:val="0075BF"/>
          <w:sz w:val="36"/>
          <w:szCs w:val="36"/>
        </w:rPr>
        <w:t>DERECHOS</w:t>
      </w:r>
      <w:r w:rsidR="00537489" w:rsidRPr="009A665C">
        <w:rPr>
          <w:rFonts w:ascii="Tahoma" w:hAnsi="Tahoma" w:cs="Tahoma"/>
          <w:color w:val="0075BF"/>
          <w:spacing w:val="10"/>
          <w:sz w:val="36"/>
          <w:szCs w:val="36"/>
        </w:rPr>
        <w:t xml:space="preserve"> </w:t>
      </w:r>
      <w:r w:rsidR="00537489" w:rsidRPr="009A665C">
        <w:rPr>
          <w:rFonts w:ascii="Tahoma" w:hAnsi="Tahoma" w:cs="Tahoma"/>
          <w:color w:val="0075BF"/>
          <w:sz w:val="36"/>
          <w:szCs w:val="36"/>
        </w:rPr>
        <w:t>DE</w:t>
      </w:r>
      <w:r w:rsidR="00537489" w:rsidRPr="009A665C">
        <w:rPr>
          <w:rFonts w:ascii="Tahoma" w:hAnsi="Tahoma" w:cs="Tahoma"/>
          <w:color w:val="0075BF"/>
          <w:spacing w:val="9"/>
          <w:sz w:val="36"/>
          <w:szCs w:val="36"/>
        </w:rPr>
        <w:t xml:space="preserve"> </w:t>
      </w:r>
      <w:r w:rsidR="00537489" w:rsidRPr="009A665C">
        <w:rPr>
          <w:rFonts w:ascii="Tahoma" w:hAnsi="Tahoma" w:cs="Tahoma"/>
          <w:color w:val="0075BF"/>
          <w:sz w:val="36"/>
          <w:szCs w:val="36"/>
        </w:rPr>
        <w:t>LAS</w:t>
      </w:r>
      <w:r w:rsidR="00537489" w:rsidRPr="009A665C">
        <w:rPr>
          <w:rFonts w:ascii="Tahoma" w:hAnsi="Tahoma" w:cs="Tahoma"/>
          <w:color w:val="0075BF"/>
          <w:spacing w:val="9"/>
          <w:sz w:val="36"/>
          <w:szCs w:val="36"/>
        </w:rPr>
        <w:t xml:space="preserve"> </w:t>
      </w:r>
      <w:r w:rsidR="00537489" w:rsidRPr="009A665C">
        <w:rPr>
          <w:rFonts w:ascii="Tahoma" w:hAnsi="Tahoma" w:cs="Tahoma"/>
          <w:color w:val="0075BF"/>
          <w:spacing w:val="-2"/>
          <w:sz w:val="36"/>
          <w:szCs w:val="36"/>
        </w:rPr>
        <w:t>MINORÍAS</w:t>
      </w:r>
    </w:p>
    <w:p w14:paraId="7CB8309A" w14:textId="1FF77CEF" w:rsidR="00537489" w:rsidRPr="009A665C" w:rsidRDefault="00537489" w:rsidP="00537489">
      <w:pPr>
        <w:spacing w:before="15" w:line="720" w:lineRule="atLeast"/>
        <w:ind w:left="850" w:right="5703" w:hanging="35"/>
        <w:rPr>
          <w:rFonts w:ascii="Tahoma" w:hAnsi="Tahoma" w:cs="Tahoma"/>
          <w:sz w:val="36"/>
          <w:szCs w:val="36"/>
        </w:rPr>
      </w:pPr>
      <w:r w:rsidRPr="009A665C">
        <w:rPr>
          <w:rFonts w:ascii="Tahoma" w:hAnsi="Tahoma" w:cs="Tahoma"/>
          <w:color w:val="0075BF"/>
          <w:sz w:val="36"/>
          <w:szCs w:val="36"/>
        </w:rPr>
        <w:t xml:space="preserve">Una </w:t>
      </w:r>
      <w:r w:rsidR="006A6CF9" w:rsidRPr="009A665C">
        <w:rPr>
          <w:rFonts w:ascii="Tahoma" w:hAnsi="Tahoma" w:cs="Tahoma"/>
          <w:color w:val="0075BF"/>
          <w:sz w:val="36"/>
          <w:szCs w:val="36"/>
        </w:rPr>
        <w:t xml:space="preserve">Guía Práctica </w:t>
      </w:r>
      <w:r w:rsidRPr="009A665C">
        <w:rPr>
          <w:rFonts w:ascii="Tahoma" w:hAnsi="Tahoma" w:cs="Tahoma"/>
          <w:color w:val="0075BF"/>
          <w:sz w:val="36"/>
          <w:szCs w:val="36"/>
        </w:rPr>
        <w:t>para el Desarrollo de una Legislación Integral</w:t>
      </w:r>
      <w:r w:rsidRPr="009A665C">
        <w:rPr>
          <w:rFonts w:ascii="Tahoma" w:hAnsi="Tahoma" w:cs="Tahoma"/>
          <w:sz w:val="36"/>
          <w:szCs w:val="36"/>
        </w:rPr>
        <w:t xml:space="preserve"> </w:t>
      </w:r>
      <w:r w:rsidRPr="009A665C">
        <w:rPr>
          <w:rFonts w:ascii="Tahoma" w:hAnsi="Tahoma" w:cs="Tahoma"/>
          <w:color w:val="0075BF"/>
          <w:sz w:val="36"/>
          <w:szCs w:val="36"/>
        </w:rPr>
        <w:t>contra</w:t>
      </w:r>
      <w:r w:rsidRPr="009A665C">
        <w:rPr>
          <w:rFonts w:ascii="Tahoma" w:hAnsi="Tahoma" w:cs="Tahoma"/>
          <w:color w:val="0075BF"/>
          <w:spacing w:val="-5"/>
          <w:sz w:val="36"/>
          <w:szCs w:val="36"/>
        </w:rPr>
        <w:t xml:space="preserve"> </w:t>
      </w:r>
      <w:r w:rsidRPr="009A665C">
        <w:rPr>
          <w:rFonts w:ascii="Tahoma" w:hAnsi="Tahoma" w:cs="Tahoma"/>
          <w:color w:val="0075BF"/>
          <w:sz w:val="36"/>
          <w:szCs w:val="36"/>
        </w:rPr>
        <w:t>la</w:t>
      </w:r>
      <w:r w:rsidRPr="009A665C">
        <w:rPr>
          <w:rFonts w:ascii="Tahoma" w:hAnsi="Tahoma" w:cs="Tahoma"/>
          <w:color w:val="0075BF"/>
          <w:spacing w:val="-2"/>
          <w:sz w:val="36"/>
          <w:szCs w:val="36"/>
        </w:rPr>
        <w:t xml:space="preserve"> </w:t>
      </w:r>
      <w:r w:rsidR="006A6CF9">
        <w:rPr>
          <w:rFonts w:ascii="Tahoma" w:hAnsi="Tahoma" w:cs="Tahoma"/>
          <w:color w:val="0075BF"/>
          <w:spacing w:val="-2"/>
          <w:sz w:val="36"/>
          <w:szCs w:val="36"/>
        </w:rPr>
        <w:t>D</w:t>
      </w:r>
      <w:r w:rsidRPr="009A665C">
        <w:rPr>
          <w:rFonts w:ascii="Tahoma" w:hAnsi="Tahoma" w:cs="Tahoma"/>
          <w:color w:val="0075BF"/>
          <w:spacing w:val="-2"/>
          <w:sz w:val="36"/>
          <w:szCs w:val="36"/>
        </w:rPr>
        <w:t>iscriminación</w:t>
      </w:r>
    </w:p>
    <w:p w14:paraId="6202CC7A" w14:textId="77777777" w:rsidR="0014798C" w:rsidRDefault="0014798C">
      <w:pPr>
        <w:pStyle w:val="Textoindependiente"/>
        <w:rPr>
          <w:sz w:val="20"/>
        </w:rPr>
      </w:pPr>
    </w:p>
    <w:p w14:paraId="206B46DA" w14:textId="77777777" w:rsidR="0014798C" w:rsidRDefault="0014798C">
      <w:pPr>
        <w:pStyle w:val="Textoindependiente"/>
        <w:rPr>
          <w:sz w:val="20"/>
        </w:rPr>
      </w:pPr>
    </w:p>
    <w:p w14:paraId="4E89ED90" w14:textId="77777777" w:rsidR="0014798C" w:rsidRDefault="0014798C">
      <w:pPr>
        <w:pStyle w:val="Textoindependiente"/>
        <w:rPr>
          <w:sz w:val="20"/>
        </w:rPr>
      </w:pPr>
    </w:p>
    <w:p w14:paraId="1C6B9B62" w14:textId="77777777" w:rsidR="0014798C" w:rsidRDefault="0014798C">
      <w:pPr>
        <w:pStyle w:val="Textoindependiente"/>
        <w:rPr>
          <w:sz w:val="20"/>
        </w:rPr>
      </w:pPr>
    </w:p>
    <w:p w14:paraId="6734D1EB" w14:textId="77777777" w:rsidR="0014798C" w:rsidRDefault="0014798C">
      <w:pPr>
        <w:pStyle w:val="Textoindependiente"/>
        <w:rPr>
          <w:sz w:val="20"/>
        </w:rPr>
      </w:pPr>
    </w:p>
    <w:p w14:paraId="706623F9" w14:textId="77777777" w:rsidR="0014798C" w:rsidRDefault="0014798C">
      <w:pPr>
        <w:pStyle w:val="Textoindependiente"/>
        <w:rPr>
          <w:sz w:val="20"/>
        </w:rPr>
      </w:pPr>
    </w:p>
    <w:p w14:paraId="197EEE1D" w14:textId="77777777" w:rsidR="0014798C" w:rsidRDefault="0014798C">
      <w:pPr>
        <w:pStyle w:val="Textoindependiente"/>
        <w:rPr>
          <w:sz w:val="20"/>
        </w:rPr>
      </w:pPr>
    </w:p>
    <w:p w14:paraId="35817C51" w14:textId="77777777" w:rsidR="0014798C" w:rsidRDefault="0014798C">
      <w:pPr>
        <w:pStyle w:val="Textoindependiente"/>
        <w:rPr>
          <w:sz w:val="20"/>
        </w:rPr>
      </w:pPr>
    </w:p>
    <w:p w14:paraId="438B0897" w14:textId="77777777" w:rsidR="0014798C" w:rsidRDefault="0014798C">
      <w:pPr>
        <w:pStyle w:val="Textoindependiente"/>
        <w:rPr>
          <w:sz w:val="20"/>
        </w:rPr>
      </w:pPr>
    </w:p>
    <w:p w14:paraId="47D5688A" w14:textId="77777777" w:rsidR="0014798C" w:rsidRDefault="0014798C">
      <w:pPr>
        <w:pStyle w:val="Textoindependiente"/>
        <w:rPr>
          <w:sz w:val="20"/>
        </w:rPr>
      </w:pPr>
    </w:p>
    <w:p w14:paraId="61184E3F" w14:textId="77777777" w:rsidR="0014798C" w:rsidRDefault="0014798C">
      <w:pPr>
        <w:pStyle w:val="Textoindependiente"/>
        <w:rPr>
          <w:sz w:val="20"/>
        </w:rPr>
      </w:pPr>
    </w:p>
    <w:p w14:paraId="7C7EB81A" w14:textId="77777777" w:rsidR="0014798C" w:rsidRDefault="0014798C">
      <w:pPr>
        <w:pStyle w:val="Textoindependiente"/>
        <w:rPr>
          <w:sz w:val="20"/>
        </w:rPr>
      </w:pPr>
    </w:p>
    <w:p w14:paraId="2469A8E5" w14:textId="77777777" w:rsidR="0014798C" w:rsidRDefault="0014798C">
      <w:pPr>
        <w:pStyle w:val="Textoindependiente"/>
        <w:rPr>
          <w:sz w:val="20"/>
        </w:rPr>
      </w:pPr>
    </w:p>
    <w:p w14:paraId="04811EF4" w14:textId="77777777" w:rsidR="0014798C" w:rsidRDefault="0014798C">
      <w:pPr>
        <w:pStyle w:val="Textoindependiente"/>
        <w:rPr>
          <w:sz w:val="20"/>
        </w:rPr>
      </w:pPr>
    </w:p>
    <w:p w14:paraId="688D2E3C" w14:textId="77777777" w:rsidR="0014798C" w:rsidRDefault="0014798C">
      <w:pPr>
        <w:pStyle w:val="Textoindependiente"/>
        <w:rPr>
          <w:sz w:val="20"/>
        </w:rPr>
      </w:pPr>
    </w:p>
    <w:p w14:paraId="0B33AB76" w14:textId="77777777" w:rsidR="0014798C" w:rsidRDefault="0014798C">
      <w:pPr>
        <w:pStyle w:val="Textoindependiente"/>
        <w:rPr>
          <w:sz w:val="20"/>
        </w:rPr>
      </w:pPr>
    </w:p>
    <w:p w14:paraId="5845846A" w14:textId="77777777" w:rsidR="0014798C" w:rsidRDefault="0014798C">
      <w:pPr>
        <w:pStyle w:val="Textoindependiente"/>
        <w:rPr>
          <w:sz w:val="20"/>
        </w:rPr>
      </w:pPr>
    </w:p>
    <w:p w14:paraId="7DF5B956" w14:textId="77777777" w:rsidR="0014798C" w:rsidRDefault="0014798C">
      <w:pPr>
        <w:pStyle w:val="Textoindependiente"/>
        <w:rPr>
          <w:sz w:val="20"/>
        </w:rPr>
      </w:pPr>
    </w:p>
    <w:p w14:paraId="56D4087C" w14:textId="77777777" w:rsidR="0014798C" w:rsidRDefault="0014798C">
      <w:pPr>
        <w:pStyle w:val="Textoindependiente"/>
        <w:rPr>
          <w:sz w:val="20"/>
        </w:rPr>
      </w:pPr>
    </w:p>
    <w:p w14:paraId="1F565AC9" w14:textId="77777777" w:rsidR="0014798C" w:rsidRDefault="0014798C">
      <w:pPr>
        <w:pStyle w:val="Textoindependiente"/>
        <w:rPr>
          <w:sz w:val="20"/>
        </w:rPr>
      </w:pPr>
    </w:p>
    <w:p w14:paraId="4EE58D69" w14:textId="77777777" w:rsidR="0014798C" w:rsidRDefault="0014798C">
      <w:pPr>
        <w:pStyle w:val="Textoindependiente"/>
        <w:rPr>
          <w:sz w:val="20"/>
        </w:rPr>
      </w:pPr>
    </w:p>
    <w:p w14:paraId="576EDE6B" w14:textId="77777777" w:rsidR="0014798C" w:rsidRDefault="0014798C">
      <w:pPr>
        <w:pStyle w:val="Textoindependiente"/>
        <w:rPr>
          <w:sz w:val="20"/>
        </w:rPr>
      </w:pPr>
    </w:p>
    <w:p w14:paraId="53579094" w14:textId="77777777" w:rsidR="0014798C" w:rsidRDefault="0014798C">
      <w:pPr>
        <w:pStyle w:val="Textoindependiente"/>
        <w:rPr>
          <w:sz w:val="20"/>
        </w:rPr>
      </w:pPr>
    </w:p>
    <w:p w14:paraId="61525235" w14:textId="77777777" w:rsidR="0014798C" w:rsidRDefault="0014798C">
      <w:pPr>
        <w:pStyle w:val="Textoindependiente"/>
        <w:rPr>
          <w:sz w:val="20"/>
        </w:rPr>
      </w:pPr>
    </w:p>
    <w:p w14:paraId="2E28B04B" w14:textId="77777777" w:rsidR="0014798C" w:rsidRDefault="0014798C">
      <w:pPr>
        <w:pStyle w:val="Textoindependiente"/>
        <w:rPr>
          <w:sz w:val="20"/>
        </w:rPr>
      </w:pPr>
    </w:p>
    <w:p w14:paraId="69FFFC71" w14:textId="77777777" w:rsidR="0014798C" w:rsidRDefault="0014798C">
      <w:pPr>
        <w:pStyle w:val="Textoindependiente"/>
        <w:rPr>
          <w:sz w:val="20"/>
        </w:rPr>
      </w:pPr>
    </w:p>
    <w:p w14:paraId="1C847B08" w14:textId="77777777" w:rsidR="0014798C" w:rsidRDefault="0014798C">
      <w:pPr>
        <w:pStyle w:val="Textoindependiente"/>
        <w:rPr>
          <w:sz w:val="20"/>
        </w:rPr>
      </w:pPr>
    </w:p>
    <w:p w14:paraId="21709EAD" w14:textId="77777777" w:rsidR="0014798C" w:rsidRDefault="0014798C">
      <w:pPr>
        <w:pStyle w:val="Textoindependiente"/>
        <w:rPr>
          <w:sz w:val="20"/>
        </w:rPr>
      </w:pPr>
    </w:p>
    <w:p w14:paraId="7884123C" w14:textId="77777777" w:rsidR="0014798C" w:rsidRDefault="0014798C">
      <w:pPr>
        <w:pStyle w:val="Textoindependiente"/>
        <w:rPr>
          <w:sz w:val="20"/>
        </w:rPr>
      </w:pPr>
    </w:p>
    <w:p w14:paraId="7DBC7B42" w14:textId="77777777" w:rsidR="0014798C" w:rsidRDefault="0014798C">
      <w:pPr>
        <w:pStyle w:val="Textoindependiente"/>
        <w:rPr>
          <w:sz w:val="20"/>
        </w:rPr>
      </w:pPr>
    </w:p>
    <w:p w14:paraId="42D18FBB" w14:textId="77777777" w:rsidR="0014798C" w:rsidRDefault="0014798C">
      <w:pPr>
        <w:pStyle w:val="Textoindependiente"/>
        <w:rPr>
          <w:sz w:val="20"/>
        </w:rPr>
      </w:pPr>
    </w:p>
    <w:p w14:paraId="7C83E367" w14:textId="77777777" w:rsidR="0014798C" w:rsidRDefault="0014798C">
      <w:pPr>
        <w:pStyle w:val="Textoindependiente"/>
        <w:rPr>
          <w:sz w:val="20"/>
        </w:rPr>
      </w:pPr>
    </w:p>
    <w:p w14:paraId="6AB7EAE4" w14:textId="77777777" w:rsidR="0014798C" w:rsidRDefault="0014798C">
      <w:pPr>
        <w:pStyle w:val="Textoindependiente"/>
        <w:rPr>
          <w:sz w:val="20"/>
        </w:rPr>
      </w:pPr>
    </w:p>
    <w:p w14:paraId="2CBB0C10" w14:textId="77777777" w:rsidR="0014798C" w:rsidRDefault="0014798C">
      <w:pPr>
        <w:pStyle w:val="Textoindependiente"/>
        <w:rPr>
          <w:sz w:val="20"/>
        </w:rPr>
      </w:pPr>
    </w:p>
    <w:p w14:paraId="1ECA967C" w14:textId="77777777" w:rsidR="0014798C" w:rsidRDefault="0014798C">
      <w:pPr>
        <w:pStyle w:val="Textoindependiente"/>
        <w:rPr>
          <w:sz w:val="20"/>
        </w:rPr>
      </w:pPr>
    </w:p>
    <w:p w14:paraId="5CFBD043" w14:textId="77777777" w:rsidR="0014798C" w:rsidRDefault="0014798C">
      <w:pPr>
        <w:pStyle w:val="Textoindependiente"/>
        <w:rPr>
          <w:sz w:val="20"/>
        </w:rPr>
      </w:pPr>
    </w:p>
    <w:p w14:paraId="4371838A" w14:textId="77777777" w:rsidR="0014798C" w:rsidRDefault="0014798C">
      <w:pPr>
        <w:pStyle w:val="Textoindependiente"/>
        <w:rPr>
          <w:sz w:val="20"/>
        </w:rPr>
      </w:pPr>
    </w:p>
    <w:p w14:paraId="74D01FDE" w14:textId="77777777" w:rsidR="0014798C" w:rsidRDefault="0014798C">
      <w:pPr>
        <w:pStyle w:val="Textoindependiente"/>
        <w:rPr>
          <w:sz w:val="20"/>
        </w:rPr>
      </w:pPr>
    </w:p>
    <w:p w14:paraId="6F638693" w14:textId="77777777" w:rsidR="0014798C" w:rsidRDefault="0014798C">
      <w:pPr>
        <w:pStyle w:val="Textoindependiente"/>
        <w:rPr>
          <w:sz w:val="20"/>
        </w:rPr>
      </w:pPr>
    </w:p>
    <w:p w14:paraId="582EAA37" w14:textId="77777777" w:rsidR="0014798C" w:rsidRDefault="0014798C">
      <w:pPr>
        <w:pStyle w:val="Textoindependiente"/>
        <w:rPr>
          <w:sz w:val="20"/>
        </w:rPr>
      </w:pPr>
    </w:p>
    <w:p w14:paraId="1144E0B7" w14:textId="77777777" w:rsidR="0014798C" w:rsidRDefault="0014798C">
      <w:pPr>
        <w:pStyle w:val="Textoindependiente"/>
        <w:rPr>
          <w:sz w:val="20"/>
        </w:rPr>
      </w:pPr>
    </w:p>
    <w:p w14:paraId="1A6D9311" w14:textId="77777777" w:rsidR="0014798C" w:rsidRDefault="0014798C">
      <w:pPr>
        <w:pStyle w:val="Textoindependiente"/>
        <w:rPr>
          <w:sz w:val="20"/>
        </w:rPr>
      </w:pPr>
    </w:p>
    <w:p w14:paraId="78AFAAB2" w14:textId="77777777" w:rsidR="0014798C" w:rsidRDefault="0014798C">
      <w:pPr>
        <w:pStyle w:val="Textoindependiente"/>
        <w:rPr>
          <w:sz w:val="20"/>
        </w:rPr>
      </w:pPr>
    </w:p>
    <w:p w14:paraId="06345F5C" w14:textId="77777777" w:rsidR="0014798C" w:rsidRDefault="0014798C">
      <w:pPr>
        <w:pStyle w:val="Textoindependiente"/>
        <w:rPr>
          <w:sz w:val="20"/>
        </w:rPr>
      </w:pPr>
    </w:p>
    <w:p w14:paraId="223B0718" w14:textId="77777777" w:rsidR="0014798C" w:rsidRDefault="0014798C">
      <w:pPr>
        <w:pStyle w:val="Textoindependiente"/>
        <w:rPr>
          <w:sz w:val="20"/>
        </w:rPr>
      </w:pPr>
    </w:p>
    <w:p w14:paraId="4D8BDFD0" w14:textId="77777777" w:rsidR="0014798C" w:rsidRDefault="0014798C">
      <w:pPr>
        <w:pStyle w:val="Textoindependiente"/>
        <w:rPr>
          <w:sz w:val="20"/>
        </w:rPr>
      </w:pPr>
    </w:p>
    <w:p w14:paraId="0A15FBF8" w14:textId="77777777" w:rsidR="0014798C" w:rsidRDefault="0014798C">
      <w:pPr>
        <w:pStyle w:val="Textoindependiente"/>
        <w:spacing w:before="228"/>
        <w:rPr>
          <w:sz w:val="20"/>
        </w:rPr>
      </w:pPr>
    </w:p>
    <w:p w14:paraId="086FFE90" w14:textId="77777777" w:rsidR="0014798C" w:rsidRPr="00A75C1D" w:rsidRDefault="004E1F0B">
      <w:pPr>
        <w:ind w:left="3527"/>
        <w:rPr>
          <w:rFonts w:ascii="Tahoma" w:hAnsi="Tahoma" w:cs="Tahoma"/>
          <w:b/>
          <w:bCs/>
          <w:color w:val="4F81BD" w:themeColor="accent1"/>
        </w:rPr>
      </w:pPr>
      <w:r w:rsidRPr="00A75C1D">
        <w:rPr>
          <w:rFonts w:ascii="Tahoma" w:hAnsi="Tahoma" w:cs="Tahoma"/>
          <w:b/>
          <w:bCs/>
          <w:color w:val="4F81BD" w:themeColor="accent1"/>
        </w:rPr>
        <w:t>Nueva</w:t>
      </w:r>
      <w:r w:rsidRPr="00A75C1D">
        <w:rPr>
          <w:rFonts w:ascii="Tahoma" w:hAnsi="Tahoma" w:cs="Tahoma"/>
          <w:b/>
          <w:bCs/>
          <w:color w:val="4F81BD" w:themeColor="accent1"/>
          <w:spacing w:val="-5"/>
        </w:rPr>
        <w:t xml:space="preserve"> </w:t>
      </w:r>
      <w:r w:rsidRPr="00A75C1D">
        <w:rPr>
          <w:rFonts w:ascii="Tahoma" w:hAnsi="Tahoma" w:cs="Tahoma"/>
          <w:b/>
          <w:bCs/>
          <w:color w:val="4F81BD" w:themeColor="accent1"/>
        </w:rPr>
        <w:t>York</w:t>
      </w:r>
      <w:r w:rsidRPr="00A75C1D">
        <w:rPr>
          <w:rFonts w:ascii="Tahoma" w:hAnsi="Tahoma" w:cs="Tahoma"/>
          <w:b/>
          <w:bCs/>
          <w:color w:val="4F81BD" w:themeColor="accent1"/>
          <w:spacing w:val="-3"/>
        </w:rPr>
        <w:t xml:space="preserve"> </w:t>
      </w:r>
      <w:r w:rsidRPr="00A75C1D">
        <w:rPr>
          <w:rFonts w:ascii="Tahoma" w:hAnsi="Tahoma" w:cs="Tahoma"/>
          <w:b/>
          <w:bCs/>
          <w:color w:val="4F81BD" w:themeColor="accent1"/>
        </w:rPr>
        <w:t>y</w:t>
      </w:r>
      <w:r w:rsidRPr="00A75C1D">
        <w:rPr>
          <w:rFonts w:ascii="Tahoma" w:hAnsi="Tahoma" w:cs="Tahoma"/>
          <w:b/>
          <w:bCs/>
          <w:color w:val="4F81BD" w:themeColor="accent1"/>
          <w:spacing w:val="-3"/>
        </w:rPr>
        <w:t xml:space="preserve"> </w:t>
      </w:r>
      <w:r w:rsidRPr="00A75C1D">
        <w:rPr>
          <w:rFonts w:ascii="Tahoma" w:hAnsi="Tahoma" w:cs="Tahoma"/>
          <w:b/>
          <w:bCs/>
          <w:color w:val="4F81BD" w:themeColor="accent1"/>
        </w:rPr>
        <w:t>Ginebra,</w:t>
      </w:r>
      <w:r w:rsidRPr="00A75C1D">
        <w:rPr>
          <w:rFonts w:ascii="Tahoma" w:hAnsi="Tahoma" w:cs="Tahoma"/>
          <w:b/>
          <w:bCs/>
          <w:color w:val="4F81BD" w:themeColor="accent1"/>
          <w:spacing w:val="-1"/>
        </w:rPr>
        <w:t xml:space="preserve"> </w:t>
      </w:r>
      <w:r w:rsidRPr="00A75C1D">
        <w:rPr>
          <w:rFonts w:ascii="Tahoma" w:hAnsi="Tahoma" w:cs="Tahoma"/>
          <w:b/>
          <w:bCs/>
          <w:color w:val="4F81BD" w:themeColor="accent1"/>
          <w:spacing w:val="-4"/>
        </w:rPr>
        <w:t>2023</w:t>
      </w:r>
    </w:p>
    <w:p w14:paraId="4B8586E5" w14:textId="77777777" w:rsidR="0014798C" w:rsidRDefault="0014798C">
      <w:pPr>
        <w:rPr>
          <w:sz w:val="20"/>
        </w:rPr>
        <w:sectPr w:rsidR="0014798C" w:rsidSect="00F265E4">
          <w:pgSz w:w="11900" w:h="16820"/>
          <w:pgMar w:top="40" w:right="0" w:bottom="280" w:left="200" w:header="720" w:footer="720" w:gutter="0"/>
          <w:cols w:space="720"/>
        </w:sectPr>
      </w:pPr>
    </w:p>
    <w:p w14:paraId="5C94DBF4" w14:textId="77777777" w:rsidR="0014798C" w:rsidRDefault="0014798C">
      <w:pPr>
        <w:pStyle w:val="Textoindependiente"/>
        <w:rPr>
          <w:sz w:val="15"/>
        </w:rPr>
      </w:pPr>
    </w:p>
    <w:p w14:paraId="55C6F489" w14:textId="77777777" w:rsidR="0014798C" w:rsidRDefault="0014798C">
      <w:pPr>
        <w:pStyle w:val="Textoindependiente"/>
        <w:rPr>
          <w:sz w:val="15"/>
        </w:rPr>
      </w:pPr>
    </w:p>
    <w:p w14:paraId="4C9FFDE4" w14:textId="77777777" w:rsidR="0014798C" w:rsidRDefault="0014798C">
      <w:pPr>
        <w:pStyle w:val="Textoindependiente"/>
        <w:rPr>
          <w:sz w:val="15"/>
        </w:rPr>
      </w:pPr>
    </w:p>
    <w:p w14:paraId="30DBF0AA" w14:textId="77777777" w:rsidR="0014798C" w:rsidRDefault="0014798C">
      <w:pPr>
        <w:pStyle w:val="Textoindependiente"/>
        <w:rPr>
          <w:sz w:val="15"/>
        </w:rPr>
      </w:pPr>
    </w:p>
    <w:p w14:paraId="00AC85A0" w14:textId="77777777" w:rsidR="0014798C" w:rsidRDefault="0014798C">
      <w:pPr>
        <w:pStyle w:val="Textoindependiente"/>
        <w:rPr>
          <w:sz w:val="15"/>
        </w:rPr>
      </w:pPr>
    </w:p>
    <w:p w14:paraId="758EF2C2" w14:textId="77777777" w:rsidR="0014798C" w:rsidRDefault="0014798C">
      <w:pPr>
        <w:pStyle w:val="Textoindependiente"/>
        <w:rPr>
          <w:sz w:val="15"/>
        </w:rPr>
      </w:pPr>
    </w:p>
    <w:p w14:paraId="1C82D69B" w14:textId="77777777" w:rsidR="0014798C" w:rsidRPr="00AA45F8" w:rsidRDefault="004E1F0B" w:rsidP="00AA45F8">
      <w:pPr>
        <w:ind w:left="1114" w:right="1290" w:hanging="9"/>
        <w:jc w:val="both"/>
        <w:rPr>
          <w:rFonts w:ascii="Tahoma" w:hAnsi="Tahoma" w:cs="Tahoma"/>
          <w:sz w:val="24"/>
          <w:szCs w:val="24"/>
        </w:rPr>
      </w:pPr>
      <w:r w:rsidRPr="00AA45F8">
        <w:rPr>
          <w:rFonts w:ascii="Tahoma" w:hAnsi="Tahoma" w:cs="Tahoma"/>
          <w:w w:val="105"/>
          <w:sz w:val="24"/>
          <w:szCs w:val="24"/>
        </w:rPr>
        <w:t>Este</w:t>
      </w:r>
      <w:r w:rsidRPr="00AA45F8">
        <w:rPr>
          <w:rFonts w:ascii="Tahoma" w:hAnsi="Tahoma" w:cs="Tahoma"/>
          <w:spacing w:val="-7"/>
          <w:w w:val="105"/>
          <w:sz w:val="24"/>
          <w:szCs w:val="24"/>
        </w:rPr>
        <w:t xml:space="preserve"> </w:t>
      </w:r>
      <w:r w:rsidRPr="00AA45F8">
        <w:rPr>
          <w:rFonts w:ascii="Tahoma" w:hAnsi="Tahoma" w:cs="Tahoma"/>
          <w:w w:val="105"/>
          <w:sz w:val="24"/>
          <w:szCs w:val="24"/>
        </w:rPr>
        <w:t>trabajo</w:t>
      </w:r>
      <w:r w:rsidRPr="00AA45F8">
        <w:rPr>
          <w:rFonts w:ascii="Tahoma" w:hAnsi="Tahoma" w:cs="Tahoma"/>
          <w:spacing w:val="-7"/>
          <w:w w:val="105"/>
          <w:sz w:val="24"/>
          <w:szCs w:val="24"/>
        </w:rPr>
        <w:t xml:space="preserve"> </w:t>
      </w:r>
      <w:r w:rsidRPr="00AA45F8">
        <w:rPr>
          <w:rFonts w:ascii="Tahoma" w:hAnsi="Tahoma" w:cs="Tahoma"/>
          <w:w w:val="105"/>
          <w:sz w:val="24"/>
          <w:szCs w:val="24"/>
        </w:rPr>
        <w:t>es</w:t>
      </w:r>
      <w:r w:rsidRPr="00AA45F8">
        <w:rPr>
          <w:rFonts w:ascii="Tahoma" w:hAnsi="Tahoma" w:cs="Tahoma"/>
          <w:spacing w:val="-7"/>
          <w:w w:val="105"/>
          <w:sz w:val="24"/>
          <w:szCs w:val="24"/>
        </w:rPr>
        <w:t xml:space="preserve"> </w:t>
      </w:r>
      <w:r w:rsidRPr="00AA45F8">
        <w:rPr>
          <w:rFonts w:ascii="Tahoma" w:hAnsi="Tahoma" w:cs="Tahoma"/>
          <w:w w:val="105"/>
          <w:sz w:val="24"/>
          <w:szCs w:val="24"/>
        </w:rPr>
        <w:t>coeditado</w:t>
      </w:r>
      <w:r w:rsidRPr="00AA45F8">
        <w:rPr>
          <w:rFonts w:ascii="Tahoma" w:hAnsi="Tahoma" w:cs="Tahoma"/>
          <w:spacing w:val="-7"/>
          <w:w w:val="105"/>
          <w:sz w:val="24"/>
          <w:szCs w:val="24"/>
        </w:rPr>
        <w:t xml:space="preserve"> </w:t>
      </w:r>
      <w:r w:rsidRPr="00AA45F8">
        <w:rPr>
          <w:rFonts w:ascii="Tahoma" w:hAnsi="Tahoma" w:cs="Tahoma"/>
          <w:w w:val="105"/>
          <w:sz w:val="24"/>
          <w:szCs w:val="24"/>
        </w:rPr>
        <w:t>por</w:t>
      </w:r>
      <w:r w:rsidRPr="00AA45F8">
        <w:rPr>
          <w:rFonts w:ascii="Tahoma" w:hAnsi="Tahoma" w:cs="Tahoma"/>
          <w:spacing w:val="-7"/>
          <w:w w:val="105"/>
          <w:sz w:val="24"/>
          <w:szCs w:val="24"/>
        </w:rPr>
        <w:t xml:space="preserve"> </w:t>
      </w:r>
      <w:r w:rsidRPr="00AA45F8">
        <w:rPr>
          <w:rFonts w:ascii="Tahoma" w:hAnsi="Tahoma" w:cs="Tahoma"/>
          <w:w w:val="105"/>
          <w:sz w:val="24"/>
          <w:szCs w:val="24"/>
        </w:rPr>
        <w:t>las</w:t>
      </w:r>
      <w:r w:rsidRPr="00AA45F8">
        <w:rPr>
          <w:rFonts w:ascii="Tahoma" w:hAnsi="Tahoma" w:cs="Tahoma"/>
          <w:spacing w:val="-7"/>
          <w:w w:val="105"/>
          <w:sz w:val="24"/>
          <w:szCs w:val="24"/>
        </w:rPr>
        <w:t xml:space="preserve"> </w:t>
      </w:r>
      <w:r w:rsidRPr="00AA45F8">
        <w:rPr>
          <w:rFonts w:ascii="Tahoma" w:hAnsi="Tahoma" w:cs="Tahoma"/>
          <w:w w:val="105"/>
          <w:sz w:val="24"/>
          <w:szCs w:val="24"/>
        </w:rPr>
        <w:t>Naciones</w:t>
      </w:r>
      <w:r w:rsidRPr="00AA45F8">
        <w:rPr>
          <w:rFonts w:ascii="Tahoma" w:hAnsi="Tahoma" w:cs="Tahoma"/>
          <w:spacing w:val="-7"/>
          <w:w w:val="105"/>
          <w:sz w:val="24"/>
          <w:szCs w:val="24"/>
        </w:rPr>
        <w:t xml:space="preserve"> </w:t>
      </w:r>
      <w:r w:rsidRPr="00AA45F8">
        <w:rPr>
          <w:rFonts w:ascii="Tahoma" w:hAnsi="Tahoma" w:cs="Tahoma"/>
          <w:w w:val="105"/>
          <w:sz w:val="24"/>
          <w:szCs w:val="24"/>
        </w:rPr>
        <w:t>Unidas,</w:t>
      </w:r>
      <w:r w:rsidRPr="00AA45F8">
        <w:rPr>
          <w:rFonts w:ascii="Tahoma" w:hAnsi="Tahoma" w:cs="Tahoma"/>
          <w:spacing w:val="-6"/>
          <w:w w:val="105"/>
          <w:sz w:val="24"/>
          <w:szCs w:val="24"/>
        </w:rPr>
        <w:t xml:space="preserve"> </w:t>
      </w:r>
      <w:r w:rsidRPr="00AA45F8">
        <w:rPr>
          <w:rFonts w:ascii="Tahoma" w:hAnsi="Tahoma" w:cs="Tahoma"/>
          <w:w w:val="105"/>
          <w:sz w:val="24"/>
          <w:szCs w:val="24"/>
        </w:rPr>
        <w:t>en</w:t>
      </w:r>
      <w:r w:rsidRPr="00AA45F8">
        <w:rPr>
          <w:rFonts w:ascii="Tahoma" w:hAnsi="Tahoma" w:cs="Tahoma"/>
          <w:spacing w:val="-7"/>
          <w:w w:val="105"/>
          <w:sz w:val="24"/>
          <w:szCs w:val="24"/>
        </w:rPr>
        <w:t xml:space="preserve"> </w:t>
      </w:r>
      <w:r w:rsidRPr="00AA45F8">
        <w:rPr>
          <w:rFonts w:ascii="Tahoma" w:hAnsi="Tahoma" w:cs="Tahoma"/>
          <w:w w:val="105"/>
          <w:sz w:val="24"/>
          <w:szCs w:val="24"/>
        </w:rPr>
        <w:t>nombre</w:t>
      </w:r>
      <w:r w:rsidRPr="00AA45F8">
        <w:rPr>
          <w:rFonts w:ascii="Tahoma" w:hAnsi="Tahoma" w:cs="Tahoma"/>
          <w:spacing w:val="-7"/>
          <w:w w:val="105"/>
          <w:sz w:val="24"/>
          <w:szCs w:val="24"/>
        </w:rPr>
        <w:t xml:space="preserve"> </w:t>
      </w:r>
      <w:r w:rsidRPr="00AA45F8">
        <w:rPr>
          <w:rFonts w:ascii="Tahoma" w:hAnsi="Tahoma" w:cs="Tahoma"/>
          <w:w w:val="105"/>
          <w:sz w:val="24"/>
          <w:szCs w:val="24"/>
        </w:rPr>
        <w:t>de</w:t>
      </w:r>
      <w:r w:rsidRPr="00AA45F8">
        <w:rPr>
          <w:rFonts w:ascii="Tahoma" w:hAnsi="Tahoma" w:cs="Tahoma"/>
          <w:spacing w:val="-7"/>
          <w:w w:val="105"/>
          <w:sz w:val="24"/>
          <w:szCs w:val="24"/>
        </w:rPr>
        <w:t xml:space="preserve"> </w:t>
      </w:r>
      <w:r w:rsidRPr="00AA45F8">
        <w:rPr>
          <w:rFonts w:ascii="Tahoma" w:hAnsi="Tahoma" w:cs="Tahoma"/>
          <w:w w:val="105"/>
          <w:sz w:val="24"/>
          <w:szCs w:val="24"/>
        </w:rPr>
        <w:t>la</w:t>
      </w:r>
      <w:r w:rsidRPr="00AA45F8">
        <w:rPr>
          <w:rFonts w:ascii="Tahoma" w:hAnsi="Tahoma" w:cs="Tahoma"/>
          <w:spacing w:val="-7"/>
          <w:w w:val="105"/>
          <w:sz w:val="24"/>
          <w:szCs w:val="24"/>
        </w:rPr>
        <w:t xml:space="preserve"> </w:t>
      </w:r>
      <w:r w:rsidRPr="00AA45F8">
        <w:rPr>
          <w:rFonts w:ascii="Tahoma" w:hAnsi="Tahoma" w:cs="Tahoma"/>
          <w:w w:val="105"/>
          <w:sz w:val="24"/>
          <w:szCs w:val="24"/>
        </w:rPr>
        <w:t>Oficina</w:t>
      </w:r>
      <w:r w:rsidRPr="00AA45F8">
        <w:rPr>
          <w:rFonts w:ascii="Tahoma" w:hAnsi="Tahoma" w:cs="Tahoma"/>
          <w:spacing w:val="-7"/>
          <w:w w:val="105"/>
          <w:sz w:val="24"/>
          <w:szCs w:val="24"/>
        </w:rPr>
        <w:t xml:space="preserve"> </w:t>
      </w:r>
      <w:r w:rsidRPr="00AA45F8">
        <w:rPr>
          <w:rFonts w:ascii="Tahoma" w:hAnsi="Tahoma" w:cs="Tahoma"/>
          <w:w w:val="105"/>
          <w:sz w:val="24"/>
          <w:szCs w:val="24"/>
        </w:rPr>
        <w:t>del</w:t>
      </w:r>
      <w:r w:rsidRPr="00AA45F8">
        <w:rPr>
          <w:rFonts w:ascii="Tahoma" w:hAnsi="Tahoma" w:cs="Tahoma"/>
          <w:spacing w:val="-7"/>
          <w:w w:val="105"/>
          <w:sz w:val="24"/>
          <w:szCs w:val="24"/>
        </w:rPr>
        <w:t xml:space="preserve"> </w:t>
      </w:r>
      <w:r w:rsidRPr="00AA45F8">
        <w:rPr>
          <w:rFonts w:ascii="Tahoma" w:hAnsi="Tahoma" w:cs="Tahoma"/>
          <w:w w:val="105"/>
          <w:sz w:val="24"/>
          <w:szCs w:val="24"/>
        </w:rPr>
        <w:t>Alto</w:t>
      </w:r>
      <w:r w:rsidRPr="00AA45F8">
        <w:rPr>
          <w:rFonts w:ascii="Tahoma" w:hAnsi="Tahoma" w:cs="Tahoma"/>
          <w:spacing w:val="-7"/>
          <w:w w:val="105"/>
          <w:sz w:val="24"/>
          <w:szCs w:val="24"/>
        </w:rPr>
        <w:t xml:space="preserve"> </w:t>
      </w:r>
      <w:r w:rsidRPr="00AA45F8">
        <w:rPr>
          <w:rFonts w:ascii="Tahoma" w:hAnsi="Tahoma" w:cs="Tahoma"/>
          <w:w w:val="105"/>
          <w:sz w:val="24"/>
          <w:szCs w:val="24"/>
        </w:rPr>
        <w:t>Comisionado</w:t>
      </w:r>
      <w:r w:rsidRPr="00AA45F8">
        <w:rPr>
          <w:rFonts w:ascii="Tahoma" w:hAnsi="Tahoma" w:cs="Tahoma"/>
          <w:spacing w:val="-7"/>
          <w:w w:val="105"/>
          <w:sz w:val="24"/>
          <w:szCs w:val="24"/>
        </w:rPr>
        <w:t xml:space="preserve"> </w:t>
      </w:r>
      <w:r w:rsidRPr="00AA45F8">
        <w:rPr>
          <w:rFonts w:ascii="Tahoma" w:hAnsi="Tahoma" w:cs="Tahoma"/>
          <w:w w:val="105"/>
          <w:sz w:val="24"/>
          <w:szCs w:val="24"/>
        </w:rPr>
        <w:t>de</w:t>
      </w:r>
      <w:r w:rsidRPr="00AA45F8">
        <w:rPr>
          <w:rFonts w:ascii="Tahoma" w:hAnsi="Tahoma" w:cs="Tahoma"/>
          <w:spacing w:val="-7"/>
          <w:w w:val="105"/>
          <w:sz w:val="24"/>
          <w:szCs w:val="24"/>
        </w:rPr>
        <w:t xml:space="preserve"> </w:t>
      </w:r>
      <w:r w:rsidRPr="00AA45F8">
        <w:rPr>
          <w:rFonts w:ascii="Tahoma" w:hAnsi="Tahoma" w:cs="Tahoma"/>
          <w:w w:val="105"/>
          <w:sz w:val="24"/>
          <w:szCs w:val="24"/>
        </w:rPr>
        <w:t>las</w:t>
      </w:r>
      <w:r w:rsidRPr="00AA45F8">
        <w:rPr>
          <w:rFonts w:ascii="Tahoma" w:hAnsi="Tahoma" w:cs="Tahoma"/>
          <w:spacing w:val="-7"/>
          <w:w w:val="105"/>
          <w:sz w:val="24"/>
          <w:szCs w:val="24"/>
        </w:rPr>
        <w:t xml:space="preserve"> </w:t>
      </w:r>
      <w:r w:rsidRPr="00AA45F8">
        <w:rPr>
          <w:rFonts w:ascii="Tahoma" w:hAnsi="Tahoma" w:cs="Tahoma"/>
          <w:w w:val="105"/>
          <w:sz w:val="24"/>
          <w:szCs w:val="24"/>
        </w:rPr>
        <w:t>Naciones</w:t>
      </w:r>
      <w:r w:rsidRPr="00AA45F8">
        <w:rPr>
          <w:rFonts w:ascii="Tahoma" w:hAnsi="Tahoma" w:cs="Tahoma"/>
          <w:spacing w:val="-7"/>
          <w:w w:val="105"/>
          <w:sz w:val="24"/>
          <w:szCs w:val="24"/>
        </w:rPr>
        <w:t xml:space="preserve"> </w:t>
      </w:r>
      <w:r w:rsidRPr="00AA45F8">
        <w:rPr>
          <w:rFonts w:ascii="Tahoma" w:hAnsi="Tahoma" w:cs="Tahoma"/>
          <w:w w:val="105"/>
          <w:sz w:val="24"/>
          <w:szCs w:val="24"/>
        </w:rPr>
        <w:t>Unidas</w:t>
      </w:r>
      <w:r w:rsidRPr="00AA45F8">
        <w:rPr>
          <w:rFonts w:ascii="Tahoma" w:hAnsi="Tahoma" w:cs="Tahoma"/>
          <w:spacing w:val="-7"/>
          <w:w w:val="105"/>
          <w:sz w:val="24"/>
          <w:szCs w:val="24"/>
        </w:rPr>
        <w:t xml:space="preserve"> </w:t>
      </w:r>
      <w:r w:rsidRPr="00AA45F8">
        <w:rPr>
          <w:rFonts w:ascii="Tahoma" w:hAnsi="Tahoma" w:cs="Tahoma"/>
          <w:w w:val="105"/>
          <w:sz w:val="24"/>
          <w:szCs w:val="24"/>
        </w:rPr>
        <w:t>para</w:t>
      </w:r>
      <w:r w:rsidRPr="00AA45F8">
        <w:rPr>
          <w:rFonts w:ascii="Tahoma" w:hAnsi="Tahoma" w:cs="Tahoma"/>
          <w:spacing w:val="-7"/>
          <w:w w:val="105"/>
          <w:sz w:val="24"/>
          <w:szCs w:val="24"/>
        </w:rPr>
        <w:t xml:space="preserve"> </w:t>
      </w:r>
      <w:r w:rsidRPr="00AA45F8">
        <w:rPr>
          <w:rFonts w:ascii="Tahoma" w:hAnsi="Tahoma" w:cs="Tahoma"/>
          <w:w w:val="105"/>
          <w:sz w:val="24"/>
          <w:szCs w:val="24"/>
        </w:rPr>
        <w:t xml:space="preserve">los Derechos Humanos (ACNUDH), y </w:t>
      </w:r>
      <w:proofErr w:type="spellStart"/>
      <w:r w:rsidRPr="00AA45F8">
        <w:rPr>
          <w:rFonts w:ascii="Tahoma" w:hAnsi="Tahoma" w:cs="Tahoma"/>
          <w:w w:val="105"/>
          <w:sz w:val="24"/>
          <w:szCs w:val="24"/>
        </w:rPr>
        <w:t>Equal</w:t>
      </w:r>
      <w:proofErr w:type="spellEnd"/>
      <w:r w:rsidRPr="00AA45F8">
        <w:rPr>
          <w:rFonts w:ascii="Tahoma" w:hAnsi="Tahoma" w:cs="Tahoma"/>
          <w:w w:val="105"/>
          <w:sz w:val="24"/>
          <w:szCs w:val="24"/>
        </w:rPr>
        <w:t xml:space="preserve"> </w:t>
      </w:r>
      <w:proofErr w:type="spellStart"/>
      <w:r w:rsidRPr="00AA45F8">
        <w:rPr>
          <w:rFonts w:ascii="Tahoma" w:hAnsi="Tahoma" w:cs="Tahoma"/>
          <w:w w:val="105"/>
          <w:sz w:val="24"/>
          <w:szCs w:val="24"/>
        </w:rPr>
        <w:t>Rights</w:t>
      </w:r>
      <w:proofErr w:type="spellEnd"/>
      <w:r w:rsidRPr="00AA45F8">
        <w:rPr>
          <w:rFonts w:ascii="Tahoma" w:hAnsi="Tahoma" w:cs="Tahoma"/>
          <w:w w:val="105"/>
          <w:sz w:val="24"/>
          <w:szCs w:val="24"/>
        </w:rPr>
        <w:t xml:space="preserve"> Trust.</w:t>
      </w:r>
    </w:p>
    <w:p w14:paraId="4CDD257D" w14:textId="77777777" w:rsidR="00AA45F8" w:rsidRDefault="00AA45F8" w:rsidP="00AA45F8">
      <w:pPr>
        <w:ind w:left="1110"/>
        <w:jc w:val="both"/>
        <w:rPr>
          <w:rFonts w:ascii="Tahoma" w:hAnsi="Tahoma" w:cs="Tahoma"/>
          <w:spacing w:val="-2"/>
          <w:w w:val="105"/>
          <w:sz w:val="24"/>
          <w:szCs w:val="24"/>
        </w:rPr>
      </w:pPr>
    </w:p>
    <w:p w14:paraId="626FB0A7" w14:textId="3FB63A08" w:rsidR="0014798C" w:rsidRPr="00AA45F8" w:rsidRDefault="004E1F0B" w:rsidP="00AA45F8">
      <w:pPr>
        <w:ind w:left="1110" w:right="1352"/>
        <w:jc w:val="both"/>
        <w:rPr>
          <w:rFonts w:ascii="Tahoma" w:hAnsi="Tahoma" w:cs="Tahoma"/>
          <w:sz w:val="24"/>
          <w:szCs w:val="24"/>
        </w:rPr>
      </w:pPr>
      <w:r w:rsidRPr="00AA45F8">
        <w:rPr>
          <w:rFonts w:ascii="Tahoma" w:hAnsi="Tahoma" w:cs="Tahoma"/>
          <w:spacing w:val="-2"/>
          <w:w w:val="105"/>
          <w:sz w:val="24"/>
          <w:szCs w:val="24"/>
        </w:rPr>
        <w:t>Las</w:t>
      </w:r>
      <w:r w:rsidRPr="00AA45F8">
        <w:rPr>
          <w:rFonts w:ascii="Tahoma" w:hAnsi="Tahoma" w:cs="Tahoma"/>
          <w:w w:val="105"/>
          <w:sz w:val="24"/>
          <w:szCs w:val="24"/>
        </w:rPr>
        <w:t xml:space="preserve"> </w:t>
      </w:r>
      <w:r w:rsidRPr="00AA45F8">
        <w:rPr>
          <w:rFonts w:ascii="Tahoma" w:hAnsi="Tahoma" w:cs="Tahoma"/>
          <w:spacing w:val="-2"/>
          <w:w w:val="105"/>
          <w:sz w:val="24"/>
          <w:szCs w:val="24"/>
        </w:rPr>
        <w:t>solicitudes</w:t>
      </w:r>
      <w:r w:rsidRPr="00AA45F8">
        <w:rPr>
          <w:rFonts w:ascii="Tahoma" w:hAnsi="Tahoma" w:cs="Tahoma"/>
          <w:w w:val="105"/>
          <w:sz w:val="24"/>
          <w:szCs w:val="24"/>
        </w:rPr>
        <w:t xml:space="preserve"> </w:t>
      </w:r>
      <w:r w:rsidRPr="00AA45F8">
        <w:rPr>
          <w:rFonts w:ascii="Tahoma" w:hAnsi="Tahoma" w:cs="Tahoma"/>
          <w:spacing w:val="-2"/>
          <w:w w:val="105"/>
          <w:sz w:val="24"/>
          <w:szCs w:val="24"/>
        </w:rPr>
        <w:t>para</w:t>
      </w:r>
      <w:r w:rsidRPr="00AA45F8">
        <w:rPr>
          <w:rFonts w:ascii="Tahoma" w:hAnsi="Tahoma" w:cs="Tahoma"/>
          <w:spacing w:val="1"/>
          <w:w w:val="105"/>
          <w:sz w:val="24"/>
          <w:szCs w:val="24"/>
        </w:rPr>
        <w:t xml:space="preserve"> </w:t>
      </w:r>
      <w:r w:rsidRPr="00AA45F8">
        <w:rPr>
          <w:rFonts w:ascii="Tahoma" w:hAnsi="Tahoma" w:cs="Tahoma"/>
          <w:spacing w:val="-2"/>
          <w:w w:val="105"/>
          <w:sz w:val="24"/>
          <w:szCs w:val="24"/>
        </w:rPr>
        <w:t>reproducir</w:t>
      </w:r>
      <w:r w:rsidRPr="00AA45F8">
        <w:rPr>
          <w:rFonts w:ascii="Tahoma" w:hAnsi="Tahoma" w:cs="Tahoma"/>
          <w:w w:val="105"/>
          <w:sz w:val="24"/>
          <w:szCs w:val="24"/>
        </w:rPr>
        <w:t xml:space="preserve"> </w:t>
      </w:r>
      <w:r w:rsidRPr="00AA45F8">
        <w:rPr>
          <w:rFonts w:ascii="Tahoma" w:hAnsi="Tahoma" w:cs="Tahoma"/>
          <w:spacing w:val="-2"/>
          <w:w w:val="105"/>
          <w:sz w:val="24"/>
          <w:szCs w:val="24"/>
        </w:rPr>
        <w:t>extractos</w:t>
      </w:r>
      <w:r w:rsidRPr="00AA45F8">
        <w:rPr>
          <w:rFonts w:ascii="Tahoma" w:hAnsi="Tahoma" w:cs="Tahoma"/>
          <w:spacing w:val="1"/>
          <w:w w:val="105"/>
          <w:sz w:val="24"/>
          <w:szCs w:val="24"/>
        </w:rPr>
        <w:t xml:space="preserve"> </w:t>
      </w:r>
      <w:r w:rsidRPr="00AA45F8">
        <w:rPr>
          <w:rFonts w:ascii="Tahoma" w:hAnsi="Tahoma" w:cs="Tahoma"/>
          <w:spacing w:val="-2"/>
          <w:w w:val="105"/>
          <w:sz w:val="24"/>
          <w:szCs w:val="24"/>
        </w:rPr>
        <w:t>o</w:t>
      </w:r>
      <w:r w:rsidRPr="00AA45F8">
        <w:rPr>
          <w:rFonts w:ascii="Tahoma" w:hAnsi="Tahoma" w:cs="Tahoma"/>
          <w:w w:val="105"/>
          <w:sz w:val="24"/>
          <w:szCs w:val="24"/>
        </w:rPr>
        <w:t xml:space="preserve"> </w:t>
      </w:r>
      <w:r w:rsidRPr="00AA45F8">
        <w:rPr>
          <w:rFonts w:ascii="Tahoma" w:hAnsi="Tahoma" w:cs="Tahoma"/>
          <w:spacing w:val="-2"/>
          <w:w w:val="105"/>
          <w:sz w:val="24"/>
          <w:szCs w:val="24"/>
        </w:rPr>
        <w:t>fotocopiar</w:t>
      </w:r>
      <w:r w:rsidRPr="00AA45F8">
        <w:rPr>
          <w:rFonts w:ascii="Tahoma" w:hAnsi="Tahoma" w:cs="Tahoma"/>
          <w:spacing w:val="1"/>
          <w:w w:val="105"/>
          <w:sz w:val="24"/>
          <w:szCs w:val="24"/>
        </w:rPr>
        <w:t xml:space="preserve"> </w:t>
      </w:r>
      <w:r w:rsidRPr="00AA45F8">
        <w:rPr>
          <w:rFonts w:ascii="Tahoma" w:hAnsi="Tahoma" w:cs="Tahoma"/>
          <w:spacing w:val="-2"/>
          <w:w w:val="105"/>
          <w:sz w:val="24"/>
          <w:szCs w:val="24"/>
        </w:rPr>
        <w:t>deben</w:t>
      </w:r>
      <w:r w:rsidRPr="00AA45F8">
        <w:rPr>
          <w:rFonts w:ascii="Tahoma" w:hAnsi="Tahoma" w:cs="Tahoma"/>
          <w:w w:val="105"/>
          <w:sz w:val="24"/>
          <w:szCs w:val="24"/>
        </w:rPr>
        <w:t xml:space="preserve"> </w:t>
      </w:r>
      <w:r w:rsidRPr="00AA45F8">
        <w:rPr>
          <w:rFonts w:ascii="Tahoma" w:hAnsi="Tahoma" w:cs="Tahoma"/>
          <w:spacing w:val="-2"/>
          <w:w w:val="105"/>
          <w:sz w:val="24"/>
          <w:szCs w:val="24"/>
        </w:rPr>
        <w:t>dirigirse</w:t>
      </w:r>
      <w:r w:rsidRPr="00AA45F8">
        <w:rPr>
          <w:rFonts w:ascii="Tahoma" w:hAnsi="Tahoma" w:cs="Tahoma"/>
          <w:spacing w:val="1"/>
          <w:w w:val="105"/>
          <w:sz w:val="24"/>
          <w:szCs w:val="24"/>
        </w:rPr>
        <w:t xml:space="preserve"> </w:t>
      </w:r>
      <w:r w:rsidRPr="00AA45F8">
        <w:rPr>
          <w:rFonts w:ascii="Tahoma" w:hAnsi="Tahoma" w:cs="Tahoma"/>
          <w:spacing w:val="-2"/>
          <w:w w:val="105"/>
          <w:sz w:val="24"/>
          <w:szCs w:val="24"/>
        </w:rPr>
        <w:t>al</w:t>
      </w:r>
      <w:r w:rsidRPr="00AA45F8">
        <w:rPr>
          <w:rFonts w:ascii="Tahoma" w:hAnsi="Tahoma" w:cs="Tahoma"/>
          <w:w w:val="105"/>
          <w:sz w:val="24"/>
          <w:szCs w:val="24"/>
        </w:rPr>
        <w:t xml:space="preserve"> </w:t>
      </w:r>
      <w:r w:rsidRPr="00AA45F8">
        <w:rPr>
          <w:rFonts w:ascii="Tahoma" w:hAnsi="Tahoma" w:cs="Tahoma"/>
          <w:spacing w:val="-2"/>
          <w:w w:val="105"/>
          <w:sz w:val="24"/>
          <w:szCs w:val="24"/>
        </w:rPr>
        <w:t>Copyright</w:t>
      </w:r>
      <w:r w:rsidRPr="00AA45F8">
        <w:rPr>
          <w:rFonts w:ascii="Tahoma" w:hAnsi="Tahoma" w:cs="Tahoma"/>
          <w:spacing w:val="2"/>
          <w:w w:val="105"/>
          <w:sz w:val="24"/>
          <w:szCs w:val="24"/>
        </w:rPr>
        <w:t xml:space="preserve"> </w:t>
      </w:r>
      <w:proofErr w:type="spellStart"/>
      <w:r w:rsidRPr="00AA45F8">
        <w:rPr>
          <w:rFonts w:ascii="Tahoma" w:hAnsi="Tahoma" w:cs="Tahoma"/>
          <w:spacing w:val="-2"/>
          <w:w w:val="105"/>
          <w:sz w:val="24"/>
          <w:szCs w:val="24"/>
        </w:rPr>
        <w:t>Clearance</w:t>
      </w:r>
      <w:proofErr w:type="spellEnd"/>
      <w:r w:rsidRPr="00AA45F8">
        <w:rPr>
          <w:rFonts w:ascii="Tahoma" w:hAnsi="Tahoma" w:cs="Tahoma"/>
          <w:w w:val="105"/>
          <w:sz w:val="24"/>
          <w:szCs w:val="24"/>
        </w:rPr>
        <w:t xml:space="preserve"> </w:t>
      </w:r>
      <w:r w:rsidRPr="00AA45F8">
        <w:rPr>
          <w:rFonts w:ascii="Tahoma" w:hAnsi="Tahoma" w:cs="Tahoma"/>
          <w:spacing w:val="-2"/>
          <w:w w:val="105"/>
          <w:sz w:val="24"/>
          <w:szCs w:val="24"/>
        </w:rPr>
        <w:t>Center</w:t>
      </w:r>
      <w:r w:rsidRPr="00AA45F8">
        <w:rPr>
          <w:rFonts w:ascii="Tahoma" w:hAnsi="Tahoma" w:cs="Tahoma"/>
          <w:w w:val="105"/>
          <w:sz w:val="24"/>
          <w:szCs w:val="24"/>
        </w:rPr>
        <w:t xml:space="preserve"> </w:t>
      </w:r>
      <w:r w:rsidRPr="00AA45F8">
        <w:rPr>
          <w:rFonts w:ascii="Tahoma" w:hAnsi="Tahoma" w:cs="Tahoma"/>
          <w:spacing w:val="-2"/>
          <w:w w:val="105"/>
          <w:sz w:val="24"/>
          <w:szCs w:val="24"/>
        </w:rPr>
        <w:t>en</w:t>
      </w:r>
      <w:r w:rsidRPr="00AA45F8">
        <w:rPr>
          <w:rFonts w:ascii="Tahoma" w:hAnsi="Tahoma" w:cs="Tahoma"/>
          <w:spacing w:val="1"/>
          <w:w w:val="105"/>
          <w:sz w:val="24"/>
          <w:szCs w:val="24"/>
        </w:rPr>
        <w:t xml:space="preserve"> </w:t>
      </w:r>
      <w:hyperlink r:id="rId11">
        <w:r w:rsidRPr="00AA45F8">
          <w:rPr>
            <w:rFonts w:ascii="Tahoma" w:hAnsi="Tahoma" w:cs="Tahoma"/>
            <w:color w:val="0075BF"/>
            <w:spacing w:val="-2"/>
            <w:w w:val="105"/>
            <w:sz w:val="24"/>
            <w:szCs w:val="24"/>
          </w:rPr>
          <w:t>copyright.com.</w:t>
        </w:r>
      </w:hyperlink>
    </w:p>
    <w:p w14:paraId="71D8E748" w14:textId="77777777" w:rsidR="0014798C" w:rsidRPr="00AA45F8" w:rsidRDefault="0014798C" w:rsidP="00AA45F8">
      <w:pPr>
        <w:pStyle w:val="Textoindependiente"/>
        <w:jc w:val="both"/>
        <w:rPr>
          <w:rFonts w:ascii="Tahoma" w:hAnsi="Tahoma" w:cs="Tahoma"/>
          <w:sz w:val="24"/>
          <w:szCs w:val="24"/>
        </w:rPr>
      </w:pPr>
    </w:p>
    <w:p w14:paraId="292DB596" w14:textId="77777777" w:rsidR="0014798C" w:rsidRPr="00AA45F8" w:rsidRDefault="0014798C" w:rsidP="00AA45F8">
      <w:pPr>
        <w:pStyle w:val="Textoindependiente"/>
        <w:jc w:val="both"/>
        <w:rPr>
          <w:rFonts w:ascii="Tahoma" w:hAnsi="Tahoma" w:cs="Tahoma"/>
          <w:sz w:val="24"/>
          <w:szCs w:val="24"/>
        </w:rPr>
      </w:pPr>
    </w:p>
    <w:p w14:paraId="599BFBDB" w14:textId="77777777" w:rsidR="0014798C" w:rsidRPr="00AA45F8" w:rsidRDefault="004E1F0B" w:rsidP="00AA45F8">
      <w:pPr>
        <w:ind w:left="1105" w:right="1272" w:firstLine="1"/>
        <w:jc w:val="both"/>
        <w:rPr>
          <w:rFonts w:ascii="Tahoma" w:hAnsi="Tahoma" w:cs="Tahoma"/>
          <w:sz w:val="24"/>
          <w:szCs w:val="24"/>
        </w:rPr>
      </w:pPr>
      <w:r w:rsidRPr="00AA45F8">
        <w:rPr>
          <w:rFonts w:ascii="Tahoma" w:hAnsi="Tahoma" w:cs="Tahoma"/>
          <w:w w:val="105"/>
          <w:sz w:val="24"/>
          <w:szCs w:val="24"/>
        </w:rPr>
        <w:t>Todas</w:t>
      </w:r>
      <w:r w:rsidRPr="00AA45F8">
        <w:rPr>
          <w:rFonts w:ascii="Tahoma" w:hAnsi="Tahoma" w:cs="Tahoma"/>
          <w:spacing w:val="-8"/>
          <w:w w:val="105"/>
          <w:sz w:val="24"/>
          <w:szCs w:val="24"/>
        </w:rPr>
        <w:t xml:space="preserve"> </w:t>
      </w:r>
      <w:r w:rsidRPr="00AA45F8">
        <w:rPr>
          <w:rFonts w:ascii="Tahoma" w:hAnsi="Tahoma" w:cs="Tahoma"/>
          <w:w w:val="105"/>
          <w:sz w:val="24"/>
          <w:szCs w:val="24"/>
        </w:rPr>
        <w:t>las</w:t>
      </w:r>
      <w:r w:rsidRPr="00AA45F8">
        <w:rPr>
          <w:rFonts w:ascii="Tahoma" w:hAnsi="Tahoma" w:cs="Tahoma"/>
          <w:spacing w:val="-9"/>
          <w:w w:val="105"/>
          <w:sz w:val="24"/>
          <w:szCs w:val="24"/>
        </w:rPr>
        <w:t xml:space="preserve"> </w:t>
      </w:r>
      <w:r w:rsidRPr="00AA45F8">
        <w:rPr>
          <w:rFonts w:ascii="Tahoma" w:hAnsi="Tahoma" w:cs="Tahoma"/>
          <w:w w:val="105"/>
          <w:sz w:val="24"/>
          <w:szCs w:val="24"/>
        </w:rPr>
        <w:t>demás</w:t>
      </w:r>
      <w:r w:rsidRPr="00AA45F8">
        <w:rPr>
          <w:rFonts w:ascii="Tahoma" w:hAnsi="Tahoma" w:cs="Tahoma"/>
          <w:spacing w:val="-8"/>
          <w:w w:val="105"/>
          <w:sz w:val="24"/>
          <w:szCs w:val="24"/>
        </w:rPr>
        <w:t xml:space="preserve"> </w:t>
      </w:r>
      <w:r w:rsidRPr="00AA45F8">
        <w:rPr>
          <w:rFonts w:ascii="Tahoma" w:hAnsi="Tahoma" w:cs="Tahoma"/>
          <w:w w:val="105"/>
          <w:sz w:val="24"/>
          <w:szCs w:val="24"/>
        </w:rPr>
        <w:t>consultas</w:t>
      </w:r>
      <w:r w:rsidRPr="00AA45F8">
        <w:rPr>
          <w:rFonts w:ascii="Tahoma" w:hAnsi="Tahoma" w:cs="Tahoma"/>
          <w:spacing w:val="-9"/>
          <w:w w:val="105"/>
          <w:sz w:val="24"/>
          <w:szCs w:val="24"/>
        </w:rPr>
        <w:t xml:space="preserve"> </w:t>
      </w:r>
      <w:r w:rsidRPr="00AA45F8">
        <w:rPr>
          <w:rFonts w:ascii="Tahoma" w:hAnsi="Tahoma" w:cs="Tahoma"/>
          <w:w w:val="105"/>
          <w:sz w:val="24"/>
          <w:szCs w:val="24"/>
        </w:rPr>
        <w:t>sobre</w:t>
      </w:r>
      <w:r w:rsidRPr="00AA45F8">
        <w:rPr>
          <w:rFonts w:ascii="Tahoma" w:hAnsi="Tahoma" w:cs="Tahoma"/>
          <w:spacing w:val="-8"/>
          <w:w w:val="105"/>
          <w:sz w:val="24"/>
          <w:szCs w:val="24"/>
        </w:rPr>
        <w:t xml:space="preserve"> </w:t>
      </w:r>
      <w:r w:rsidRPr="00AA45F8">
        <w:rPr>
          <w:rFonts w:ascii="Tahoma" w:hAnsi="Tahoma" w:cs="Tahoma"/>
          <w:w w:val="105"/>
          <w:sz w:val="24"/>
          <w:szCs w:val="24"/>
        </w:rPr>
        <w:t>derechos</w:t>
      </w:r>
      <w:r w:rsidRPr="00AA45F8">
        <w:rPr>
          <w:rFonts w:ascii="Tahoma" w:hAnsi="Tahoma" w:cs="Tahoma"/>
          <w:spacing w:val="-9"/>
          <w:w w:val="105"/>
          <w:sz w:val="24"/>
          <w:szCs w:val="24"/>
        </w:rPr>
        <w:t xml:space="preserve"> </w:t>
      </w:r>
      <w:r w:rsidRPr="00AA45F8">
        <w:rPr>
          <w:rFonts w:ascii="Tahoma" w:hAnsi="Tahoma" w:cs="Tahoma"/>
          <w:w w:val="105"/>
          <w:sz w:val="24"/>
          <w:szCs w:val="24"/>
        </w:rPr>
        <w:t>y</w:t>
      </w:r>
      <w:r w:rsidRPr="00AA45F8">
        <w:rPr>
          <w:rFonts w:ascii="Tahoma" w:hAnsi="Tahoma" w:cs="Tahoma"/>
          <w:spacing w:val="-8"/>
          <w:w w:val="105"/>
          <w:sz w:val="24"/>
          <w:szCs w:val="24"/>
        </w:rPr>
        <w:t xml:space="preserve"> </w:t>
      </w:r>
      <w:r w:rsidRPr="00AA45F8">
        <w:rPr>
          <w:rFonts w:ascii="Tahoma" w:hAnsi="Tahoma" w:cs="Tahoma"/>
          <w:w w:val="105"/>
          <w:sz w:val="24"/>
          <w:szCs w:val="24"/>
        </w:rPr>
        <w:t>licencias,</w:t>
      </w:r>
      <w:r w:rsidRPr="00AA45F8">
        <w:rPr>
          <w:rFonts w:ascii="Tahoma" w:hAnsi="Tahoma" w:cs="Tahoma"/>
          <w:spacing w:val="-8"/>
          <w:w w:val="105"/>
          <w:sz w:val="24"/>
          <w:szCs w:val="24"/>
        </w:rPr>
        <w:t xml:space="preserve"> </w:t>
      </w:r>
      <w:r w:rsidRPr="00AA45F8">
        <w:rPr>
          <w:rFonts w:ascii="Tahoma" w:hAnsi="Tahoma" w:cs="Tahoma"/>
          <w:w w:val="105"/>
          <w:sz w:val="24"/>
          <w:szCs w:val="24"/>
        </w:rPr>
        <w:t>incluidos</w:t>
      </w:r>
      <w:r w:rsidRPr="00AA45F8">
        <w:rPr>
          <w:rFonts w:ascii="Tahoma" w:hAnsi="Tahoma" w:cs="Tahoma"/>
          <w:spacing w:val="-8"/>
          <w:w w:val="105"/>
          <w:sz w:val="24"/>
          <w:szCs w:val="24"/>
        </w:rPr>
        <w:t xml:space="preserve"> </w:t>
      </w:r>
      <w:r w:rsidRPr="00AA45F8">
        <w:rPr>
          <w:rFonts w:ascii="Tahoma" w:hAnsi="Tahoma" w:cs="Tahoma"/>
          <w:w w:val="105"/>
          <w:sz w:val="24"/>
          <w:szCs w:val="24"/>
        </w:rPr>
        <w:t>los</w:t>
      </w:r>
      <w:r w:rsidRPr="00AA45F8">
        <w:rPr>
          <w:rFonts w:ascii="Tahoma" w:hAnsi="Tahoma" w:cs="Tahoma"/>
          <w:spacing w:val="-9"/>
          <w:w w:val="105"/>
          <w:sz w:val="24"/>
          <w:szCs w:val="24"/>
        </w:rPr>
        <w:t xml:space="preserve"> </w:t>
      </w:r>
      <w:r w:rsidRPr="00AA45F8">
        <w:rPr>
          <w:rFonts w:ascii="Tahoma" w:hAnsi="Tahoma" w:cs="Tahoma"/>
          <w:w w:val="105"/>
          <w:sz w:val="24"/>
          <w:szCs w:val="24"/>
        </w:rPr>
        <w:t>derechos</w:t>
      </w:r>
      <w:r w:rsidRPr="00AA45F8">
        <w:rPr>
          <w:rFonts w:ascii="Tahoma" w:hAnsi="Tahoma" w:cs="Tahoma"/>
          <w:spacing w:val="-8"/>
          <w:w w:val="105"/>
          <w:sz w:val="24"/>
          <w:szCs w:val="24"/>
        </w:rPr>
        <w:t xml:space="preserve"> </w:t>
      </w:r>
      <w:r w:rsidRPr="00AA45F8">
        <w:rPr>
          <w:rFonts w:ascii="Tahoma" w:hAnsi="Tahoma" w:cs="Tahoma"/>
          <w:w w:val="105"/>
          <w:sz w:val="24"/>
          <w:szCs w:val="24"/>
        </w:rPr>
        <w:t>subsidiarios,</w:t>
      </w:r>
      <w:r w:rsidRPr="00AA45F8">
        <w:rPr>
          <w:rFonts w:ascii="Tahoma" w:hAnsi="Tahoma" w:cs="Tahoma"/>
          <w:spacing w:val="-8"/>
          <w:w w:val="105"/>
          <w:sz w:val="24"/>
          <w:szCs w:val="24"/>
        </w:rPr>
        <w:t xml:space="preserve"> </w:t>
      </w:r>
      <w:r w:rsidRPr="00AA45F8">
        <w:rPr>
          <w:rFonts w:ascii="Tahoma" w:hAnsi="Tahoma" w:cs="Tahoma"/>
          <w:w w:val="105"/>
          <w:sz w:val="24"/>
          <w:szCs w:val="24"/>
        </w:rPr>
        <w:t>deben</w:t>
      </w:r>
      <w:r w:rsidRPr="00AA45F8">
        <w:rPr>
          <w:rFonts w:ascii="Tahoma" w:hAnsi="Tahoma" w:cs="Tahoma"/>
          <w:spacing w:val="-8"/>
          <w:w w:val="105"/>
          <w:sz w:val="24"/>
          <w:szCs w:val="24"/>
        </w:rPr>
        <w:t xml:space="preserve"> </w:t>
      </w:r>
      <w:r w:rsidRPr="00AA45F8">
        <w:rPr>
          <w:rFonts w:ascii="Tahoma" w:hAnsi="Tahoma" w:cs="Tahoma"/>
          <w:w w:val="105"/>
          <w:sz w:val="24"/>
          <w:szCs w:val="24"/>
        </w:rPr>
        <w:t>dirigirse</w:t>
      </w:r>
      <w:r w:rsidRPr="00AA45F8">
        <w:rPr>
          <w:rFonts w:ascii="Tahoma" w:hAnsi="Tahoma" w:cs="Tahoma"/>
          <w:spacing w:val="-9"/>
          <w:w w:val="105"/>
          <w:sz w:val="24"/>
          <w:szCs w:val="24"/>
        </w:rPr>
        <w:t xml:space="preserve"> </w:t>
      </w:r>
      <w:r w:rsidRPr="00AA45F8">
        <w:rPr>
          <w:rFonts w:ascii="Tahoma" w:hAnsi="Tahoma" w:cs="Tahoma"/>
          <w:w w:val="105"/>
          <w:sz w:val="24"/>
          <w:szCs w:val="24"/>
        </w:rPr>
        <w:t>a:</w:t>
      </w:r>
      <w:r w:rsidRPr="00AA45F8">
        <w:rPr>
          <w:rFonts w:ascii="Tahoma" w:hAnsi="Tahoma" w:cs="Tahoma"/>
          <w:spacing w:val="-8"/>
          <w:w w:val="105"/>
          <w:sz w:val="24"/>
          <w:szCs w:val="24"/>
        </w:rPr>
        <w:t xml:space="preserve"> </w:t>
      </w:r>
      <w:proofErr w:type="spellStart"/>
      <w:r w:rsidRPr="00AA45F8">
        <w:rPr>
          <w:rFonts w:ascii="Tahoma" w:hAnsi="Tahoma" w:cs="Tahoma"/>
          <w:w w:val="105"/>
          <w:sz w:val="24"/>
          <w:szCs w:val="24"/>
        </w:rPr>
        <w:t>United</w:t>
      </w:r>
      <w:proofErr w:type="spellEnd"/>
      <w:r w:rsidRPr="00AA45F8">
        <w:rPr>
          <w:rFonts w:ascii="Tahoma" w:hAnsi="Tahoma" w:cs="Tahoma"/>
          <w:spacing w:val="-9"/>
          <w:w w:val="105"/>
          <w:sz w:val="24"/>
          <w:szCs w:val="24"/>
        </w:rPr>
        <w:t xml:space="preserve"> </w:t>
      </w:r>
      <w:proofErr w:type="spellStart"/>
      <w:r w:rsidRPr="00AA45F8">
        <w:rPr>
          <w:rFonts w:ascii="Tahoma" w:hAnsi="Tahoma" w:cs="Tahoma"/>
          <w:w w:val="105"/>
          <w:sz w:val="24"/>
          <w:szCs w:val="24"/>
        </w:rPr>
        <w:t>Nations</w:t>
      </w:r>
      <w:proofErr w:type="spellEnd"/>
      <w:r w:rsidRPr="00AA45F8">
        <w:rPr>
          <w:rFonts w:ascii="Tahoma" w:hAnsi="Tahoma" w:cs="Tahoma"/>
          <w:w w:val="105"/>
          <w:sz w:val="24"/>
          <w:szCs w:val="24"/>
        </w:rPr>
        <w:t xml:space="preserve"> </w:t>
      </w:r>
      <w:proofErr w:type="spellStart"/>
      <w:r w:rsidRPr="00AA45F8">
        <w:rPr>
          <w:rFonts w:ascii="Tahoma" w:hAnsi="Tahoma" w:cs="Tahoma"/>
          <w:w w:val="105"/>
          <w:sz w:val="24"/>
          <w:szCs w:val="24"/>
        </w:rPr>
        <w:t>Publications</w:t>
      </w:r>
      <w:proofErr w:type="spellEnd"/>
      <w:r w:rsidRPr="00AA45F8">
        <w:rPr>
          <w:rFonts w:ascii="Tahoma" w:hAnsi="Tahoma" w:cs="Tahoma"/>
          <w:w w:val="105"/>
          <w:sz w:val="24"/>
          <w:szCs w:val="24"/>
        </w:rPr>
        <w:t>, 405</w:t>
      </w:r>
      <w:r w:rsidRPr="00AA45F8">
        <w:rPr>
          <w:rFonts w:ascii="Tahoma" w:hAnsi="Tahoma" w:cs="Tahoma"/>
          <w:spacing w:val="-1"/>
          <w:w w:val="105"/>
          <w:sz w:val="24"/>
          <w:szCs w:val="24"/>
        </w:rPr>
        <w:t xml:space="preserve"> </w:t>
      </w:r>
      <w:r w:rsidRPr="00AA45F8">
        <w:rPr>
          <w:rFonts w:ascii="Tahoma" w:hAnsi="Tahoma" w:cs="Tahoma"/>
          <w:w w:val="105"/>
          <w:sz w:val="24"/>
          <w:szCs w:val="24"/>
        </w:rPr>
        <w:t>East</w:t>
      </w:r>
      <w:r w:rsidRPr="00AA45F8">
        <w:rPr>
          <w:rFonts w:ascii="Tahoma" w:hAnsi="Tahoma" w:cs="Tahoma"/>
          <w:spacing w:val="-1"/>
          <w:w w:val="105"/>
          <w:sz w:val="24"/>
          <w:szCs w:val="24"/>
        </w:rPr>
        <w:t xml:space="preserve"> </w:t>
      </w:r>
      <w:r w:rsidRPr="00AA45F8">
        <w:rPr>
          <w:rFonts w:ascii="Tahoma" w:hAnsi="Tahoma" w:cs="Tahoma"/>
          <w:w w:val="105"/>
          <w:sz w:val="24"/>
          <w:szCs w:val="24"/>
        </w:rPr>
        <w:t>42nd</w:t>
      </w:r>
      <w:r w:rsidRPr="00AA45F8">
        <w:rPr>
          <w:rFonts w:ascii="Tahoma" w:hAnsi="Tahoma" w:cs="Tahoma"/>
          <w:spacing w:val="-1"/>
          <w:w w:val="105"/>
          <w:sz w:val="24"/>
          <w:szCs w:val="24"/>
        </w:rPr>
        <w:t xml:space="preserve"> </w:t>
      </w:r>
      <w:r w:rsidRPr="00AA45F8">
        <w:rPr>
          <w:rFonts w:ascii="Tahoma" w:hAnsi="Tahoma" w:cs="Tahoma"/>
          <w:w w:val="105"/>
          <w:sz w:val="24"/>
          <w:szCs w:val="24"/>
        </w:rPr>
        <w:t>Street,</w:t>
      </w:r>
      <w:r w:rsidRPr="00AA45F8">
        <w:rPr>
          <w:rFonts w:ascii="Tahoma" w:hAnsi="Tahoma" w:cs="Tahoma"/>
          <w:spacing w:val="-1"/>
          <w:w w:val="105"/>
          <w:sz w:val="24"/>
          <w:szCs w:val="24"/>
        </w:rPr>
        <w:t xml:space="preserve"> </w:t>
      </w:r>
      <w:r w:rsidRPr="00AA45F8">
        <w:rPr>
          <w:rFonts w:ascii="Tahoma" w:hAnsi="Tahoma" w:cs="Tahoma"/>
          <w:w w:val="105"/>
          <w:sz w:val="24"/>
          <w:szCs w:val="24"/>
        </w:rPr>
        <w:t>S­09FW001, Nueva</w:t>
      </w:r>
      <w:r w:rsidRPr="00AA45F8">
        <w:rPr>
          <w:rFonts w:ascii="Tahoma" w:hAnsi="Tahoma" w:cs="Tahoma"/>
          <w:spacing w:val="-1"/>
          <w:w w:val="105"/>
          <w:sz w:val="24"/>
          <w:szCs w:val="24"/>
        </w:rPr>
        <w:t xml:space="preserve"> </w:t>
      </w:r>
      <w:r w:rsidRPr="00AA45F8">
        <w:rPr>
          <w:rFonts w:ascii="Tahoma" w:hAnsi="Tahoma" w:cs="Tahoma"/>
          <w:w w:val="105"/>
          <w:sz w:val="24"/>
          <w:szCs w:val="24"/>
        </w:rPr>
        <w:t>York,</w:t>
      </w:r>
      <w:r w:rsidRPr="00AA45F8">
        <w:rPr>
          <w:rFonts w:ascii="Tahoma" w:hAnsi="Tahoma" w:cs="Tahoma"/>
          <w:spacing w:val="-1"/>
          <w:w w:val="105"/>
          <w:sz w:val="24"/>
          <w:szCs w:val="24"/>
        </w:rPr>
        <w:t xml:space="preserve"> </w:t>
      </w:r>
      <w:r w:rsidRPr="00AA45F8">
        <w:rPr>
          <w:rFonts w:ascii="Tahoma" w:hAnsi="Tahoma" w:cs="Tahoma"/>
          <w:w w:val="105"/>
          <w:sz w:val="24"/>
          <w:szCs w:val="24"/>
        </w:rPr>
        <w:t>NY</w:t>
      </w:r>
      <w:r w:rsidRPr="00AA45F8">
        <w:rPr>
          <w:rFonts w:ascii="Tahoma" w:hAnsi="Tahoma" w:cs="Tahoma"/>
          <w:spacing w:val="-1"/>
          <w:w w:val="105"/>
          <w:sz w:val="24"/>
          <w:szCs w:val="24"/>
        </w:rPr>
        <w:t xml:space="preserve"> </w:t>
      </w:r>
      <w:r w:rsidRPr="00AA45F8">
        <w:rPr>
          <w:rFonts w:ascii="Tahoma" w:hAnsi="Tahoma" w:cs="Tahoma"/>
          <w:w w:val="105"/>
          <w:sz w:val="24"/>
          <w:szCs w:val="24"/>
        </w:rPr>
        <w:t>10017,</w:t>
      </w:r>
      <w:r w:rsidRPr="00AA45F8">
        <w:rPr>
          <w:rFonts w:ascii="Tahoma" w:hAnsi="Tahoma" w:cs="Tahoma"/>
          <w:spacing w:val="-1"/>
          <w:w w:val="105"/>
          <w:sz w:val="24"/>
          <w:szCs w:val="24"/>
        </w:rPr>
        <w:t xml:space="preserve"> </w:t>
      </w:r>
      <w:r w:rsidRPr="00AA45F8">
        <w:rPr>
          <w:rFonts w:ascii="Tahoma" w:hAnsi="Tahoma" w:cs="Tahoma"/>
          <w:w w:val="105"/>
          <w:sz w:val="24"/>
          <w:szCs w:val="24"/>
        </w:rPr>
        <w:t>Estados</w:t>
      </w:r>
      <w:r w:rsidRPr="00AA45F8">
        <w:rPr>
          <w:rFonts w:ascii="Tahoma" w:hAnsi="Tahoma" w:cs="Tahoma"/>
          <w:spacing w:val="-1"/>
          <w:w w:val="105"/>
          <w:sz w:val="24"/>
          <w:szCs w:val="24"/>
        </w:rPr>
        <w:t xml:space="preserve"> </w:t>
      </w:r>
      <w:r w:rsidRPr="00AA45F8">
        <w:rPr>
          <w:rFonts w:ascii="Tahoma" w:hAnsi="Tahoma" w:cs="Tahoma"/>
          <w:w w:val="105"/>
          <w:sz w:val="24"/>
          <w:szCs w:val="24"/>
        </w:rPr>
        <w:t>Unidos</w:t>
      </w:r>
      <w:r w:rsidRPr="00AA45F8">
        <w:rPr>
          <w:rFonts w:ascii="Tahoma" w:hAnsi="Tahoma" w:cs="Tahoma"/>
          <w:spacing w:val="-1"/>
          <w:w w:val="105"/>
          <w:sz w:val="24"/>
          <w:szCs w:val="24"/>
        </w:rPr>
        <w:t xml:space="preserve"> </w:t>
      </w:r>
      <w:r w:rsidRPr="00AA45F8">
        <w:rPr>
          <w:rFonts w:ascii="Tahoma" w:hAnsi="Tahoma" w:cs="Tahoma"/>
          <w:w w:val="105"/>
          <w:sz w:val="24"/>
          <w:szCs w:val="24"/>
        </w:rPr>
        <w:t>de</w:t>
      </w:r>
      <w:r w:rsidRPr="00AA45F8">
        <w:rPr>
          <w:rFonts w:ascii="Tahoma" w:hAnsi="Tahoma" w:cs="Tahoma"/>
          <w:spacing w:val="-1"/>
          <w:w w:val="105"/>
          <w:sz w:val="24"/>
          <w:szCs w:val="24"/>
        </w:rPr>
        <w:t xml:space="preserve"> </w:t>
      </w:r>
      <w:r w:rsidRPr="00AA45F8">
        <w:rPr>
          <w:rFonts w:ascii="Tahoma" w:hAnsi="Tahoma" w:cs="Tahoma"/>
          <w:w w:val="105"/>
          <w:sz w:val="24"/>
          <w:szCs w:val="24"/>
        </w:rPr>
        <w:t>América.</w:t>
      </w:r>
    </w:p>
    <w:p w14:paraId="5019DB85" w14:textId="77777777" w:rsidR="0014798C" w:rsidRPr="00AA45F8" w:rsidRDefault="0014798C" w:rsidP="00AA45F8">
      <w:pPr>
        <w:pStyle w:val="Textoindependiente"/>
        <w:jc w:val="both"/>
        <w:rPr>
          <w:rFonts w:ascii="Tahoma" w:hAnsi="Tahoma" w:cs="Tahoma"/>
          <w:sz w:val="24"/>
          <w:szCs w:val="24"/>
        </w:rPr>
      </w:pPr>
    </w:p>
    <w:p w14:paraId="0B076ACA" w14:textId="77777777" w:rsidR="0014798C" w:rsidRPr="00AA45F8" w:rsidRDefault="0014798C" w:rsidP="00AA45F8">
      <w:pPr>
        <w:pStyle w:val="Textoindependiente"/>
        <w:jc w:val="both"/>
        <w:rPr>
          <w:rFonts w:ascii="Tahoma" w:hAnsi="Tahoma" w:cs="Tahoma"/>
          <w:sz w:val="24"/>
          <w:szCs w:val="24"/>
        </w:rPr>
      </w:pPr>
    </w:p>
    <w:p w14:paraId="36988952" w14:textId="77777777" w:rsidR="0014798C" w:rsidRPr="00AA45F8" w:rsidRDefault="004E1F0B" w:rsidP="00AA45F8">
      <w:pPr>
        <w:ind w:left="1109"/>
        <w:jc w:val="both"/>
        <w:rPr>
          <w:rFonts w:ascii="Tahoma" w:hAnsi="Tahoma" w:cs="Tahoma"/>
          <w:sz w:val="24"/>
          <w:szCs w:val="24"/>
        </w:rPr>
      </w:pPr>
      <w:r w:rsidRPr="00AA45F8">
        <w:rPr>
          <w:rFonts w:ascii="Tahoma" w:hAnsi="Tahoma" w:cs="Tahoma"/>
          <w:spacing w:val="-4"/>
          <w:sz w:val="24"/>
          <w:szCs w:val="24"/>
        </w:rPr>
        <w:t>Correo</w:t>
      </w:r>
      <w:r w:rsidRPr="00AA45F8">
        <w:rPr>
          <w:rFonts w:ascii="Tahoma" w:hAnsi="Tahoma" w:cs="Tahoma"/>
          <w:spacing w:val="6"/>
          <w:sz w:val="24"/>
          <w:szCs w:val="24"/>
        </w:rPr>
        <w:t xml:space="preserve"> </w:t>
      </w:r>
      <w:r w:rsidRPr="00AA45F8">
        <w:rPr>
          <w:rFonts w:ascii="Tahoma" w:hAnsi="Tahoma" w:cs="Tahoma"/>
          <w:spacing w:val="-4"/>
          <w:sz w:val="24"/>
          <w:szCs w:val="24"/>
        </w:rPr>
        <w:t>electrónico:</w:t>
      </w:r>
      <w:r w:rsidRPr="00AA45F8">
        <w:rPr>
          <w:rFonts w:ascii="Tahoma" w:hAnsi="Tahoma" w:cs="Tahoma"/>
          <w:spacing w:val="7"/>
          <w:sz w:val="24"/>
          <w:szCs w:val="24"/>
        </w:rPr>
        <w:t xml:space="preserve"> </w:t>
      </w:r>
      <w:hyperlink r:id="rId12">
        <w:r w:rsidRPr="00AA45F8">
          <w:rPr>
            <w:rFonts w:ascii="Tahoma" w:hAnsi="Tahoma" w:cs="Tahoma"/>
            <w:color w:val="0075BF"/>
            <w:spacing w:val="-4"/>
            <w:sz w:val="24"/>
            <w:szCs w:val="24"/>
          </w:rPr>
          <w:t>Permissions@un.org;</w:t>
        </w:r>
      </w:hyperlink>
      <w:r w:rsidRPr="00AA45F8">
        <w:rPr>
          <w:rFonts w:ascii="Tahoma" w:hAnsi="Tahoma" w:cs="Tahoma"/>
          <w:color w:val="0075BF"/>
          <w:spacing w:val="9"/>
          <w:sz w:val="24"/>
          <w:szCs w:val="24"/>
        </w:rPr>
        <w:t xml:space="preserve"> </w:t>
      </w:r>
      <w:r w:rsidRPr="00AA45F8">
        <w:rPr>
          <w:rFonts w:ascii="Tahoma" w:hAnsi="Tahoma" w:cs="Tahoma"/>
          <w:spacing w:val="-4"/>
          <w:sz w:val="24"/>
          <w:szCs w:val="24"/>
        </w:rPr>
        <w:t>sitio</w:t>
      </w:r>
      <w:r w:rsidRPr="00AA45F8">
        <w:rPr>
          <w:rFonts w:ascii="Tahoma" w:hAnsi="Tahoma" w:cs="Tahoma"/>
          <w:spacing w:val="5"/>
          <w:sz w:val="24"/>
          <w:szCs w:val="24"/>
        </w:rPr>
        <w:t xml:space="preserve"> </w:t>
      </w:r>
      <w:r w:rsidRPr="00AA45F8">
        <w:rPr>
          <w:rFonts w:ascii="Tahoma" w:hAnsi="Tahoma" w:cs="Tahoma"/>
          <w:spacing w:val="-4"/>
          <w:sz w:val="24"/>
          <w:szCs w:val="24"/>
        </w:rPr>
        <w:t>web:</w:t>
      </w:r>
      <w:r w:rsidRPr="00AA45F8">
        <w:rPr>
          <w:rFonts w:ascii="Tahoma" w:hAnsi="Tahoma" w:cs="Tahoma"/>
          <w:spacing w:val="7"/>
          <w:sz w:val="24"/>
          <w:szCs w:val="24"/>
        </w:rPr>
        <w:t xml:space="preserve"> </w:t>
      </w:r>
      <w:hyperlink r:id="rId13">
        <w:r w:rsidRPr="00AA45F8">
          <w:rPr>
            <w:rFonts w:ascii="Tahoma" w:hAnsi="Tahoma" w:cs="Tahoma"/>
            <w:color w:val="0075BF"/>
            <w:spacing w:val="-4"/>
            <w:sz w:val="24"/>
            <w:szCs w:val="24"/>
          </w:rPr>
          <w:t>Shop.un.org.</w:t>
        </w:r>
      </w:hyperlink>
    </w:p>
    <w:p w14:paraId="14D8E2A3" w14:textId="77777777" w:rsidR="0014798C" w:rsidRPr="00AA45F8" w:rsidRDefault="0014798C" w:rsidP="00AA45F8">
      <w:pPr>
        <w:pStyle w:val="Textoindependiente"/>
        <w:jc w:val="both"/>
        <w:rPr>
          <w:rFonts w:ascii="Tahoma" w:hAnsi="Tahoma" w:cs="Tahoma"/>
          <w:sz w:val="24"/>
          <w:szCs w:val="24"/>
        </w:rPr>
      </w:pPr>
    </w:p>
    <w:p w14:paraId="5F7B4481" w14:textId="77777777" w:rsidR="0014798C" w:rsidRPr="00AA45F8" w:rsidRDefault="004E1F0B" w:rsidP="00AA45F8">
      <w:pPr>
        <w:ind w:left="1111" w:right="1272" w:hanging="6"/>
        <w:jc w:val="both"/>
        <w:rPr>
          <w:rFonts w:ascii="Tahoma" w:hAnsi="Tahoma" w:cs="Tahoma"/>
          <w:sz w:val="24"/>
          <w:szCs w:val="24"/>
        </w:rPr>
      </w:pPr>
      <w:r w:rsidRPr="00AA45F8">
        <w:rPr>
          <w:rFonts w:ascii="Tahoma" w:hAnsi="Tahoma" w:cs="Tahoma"/>
          <w:sz w:val="24"/>
          <w:szCs w:val="24"/>
        </w:rPr>
        <w:t>Las</w:t>
      </w:r>
      <w:r w:rsidRPr="00AA45F8">
        <w:rPr>
          <w:rFonts w:ascii="Tahoma" w:hAnsi="Tahoma" w:cs="Tahoma"/>
          <w:spacing w:val="-2"/>
          <w:sz w:val="24"/>
          <w:szCs w:val="24"/>
        </w:rPr>
        <w:t xml:space="preserve"> </w:t>
      </w:r>
      <w:r w:rsidRPr="00AA45F8">
        <w:rPr>
          <w:rFonts w:ascii="Tahoma" w:hAnsi="Tahoma" w:cs="Tahoma"/>
          <w:sz w:val="24"/>
          <w:szCs w:val="24"/>
        </w:rPr>
        <w:t>designaciones</w:t>
      </w:r>
      <w:r w:rsidRPr="00AA45F8">
        <w:rPr>
          <w:rFonts w:ascii="Tahoma" w:hAnsi="Tahoma" w:cs="Tahoma"/>
          <w:spacing w:val="-2"/>
          <w:sz w:val="24"/>
          <w:szCs w:val="24"/>
        </w:rPr>
        <w:t xml:space="preserve"> </w:t>
      </w:r>
      <w:r w:rsidRPr="00AA45F8">
        <w:rPr>
          <w:rFonts w:ascii="Tahoma" w:hAnsi="Tahoma" w:cs="Tahoma"/>
          <w:sz w:val="24"/>
          <w:szCs w:val="24"/>
        </w:rPr>
        <w:t>empleadas</w:t>
      </w:r>
      <w:r w:rsidRPr="00AA45F8">
        <w:rPr>
          <w:rFonts w:ascii="Tahoma" w:hAnsi="Tahoma" w:cs="Tahoma"/>
          <w:spacing w:val="-2"/>
          <w:sz w:val="24"/>
          <w:szCs w:val="24"/>
        </w:rPr>
        <w:t xml:space="preserve"> </w:t>
      </w:r>
      <w:r w:rsidRPr="00AA45F8">
        <w:rPr>
          <w:rFonts w:ascii="Tahoma" w:hAnsi="Tahoma" w:cs="Tahoma"/>
          <w:sz w:val="24"/>
          <w:szCs w:val="24"/>
        </w:rPr>
        <w:t>y</w:t>
      </w:r>
      <w:r w:rsidRPr="00AA45F8">
        <w:rPr>
          <w:rFonts w:ascii="Tahoma" w:hAnsi="Tahoma" w:cs="Tahoma"/>
          <w:spacing w:val="-1"/>
          <w:sz w:val="24"/>
          <w:szCs w:val="24"/>
        </w:rPr>
        <w:t xml:space="preserve"> </w:t>
      </w:r>
      <w:r w:rsidRPr="00AA45F8">
        <w:rPr>
          <w:rFonts w:ascii="Tahoma" w:hAnsi="Tahoma" w:cs="Tahoma"/>
          <w:sz w:val="24"/>
          <w:szCs w:val="24"/>
        </w:rPr>
        <w:t>la</w:t>
      </w:r>
      <w:r w:rsidRPr="00AA45F8">
        <w:rPr>
          <w:rFonts w:ascii="Tahoma" w:hAnsi="Tahoma" w:cs="Tahoma"/>
          <w:spacing w:val="-1"/>
          <w:sz w:val="24"/>
          <w:szCs w:val="24"/>
        </w:rPr>
        <w:t xml:space="preserve"> </w:t>
      </w:r>
      <w:r w:rsidRPr="00AA45F8">
        <w:rPr>
          <w:rFonts w:ascii="Tahoma" w:hAnsi="Tahoma" w:cs="Tahoma"/>
          <w:sz w:val="24"/>
          <w:szCs w:val="24"/>
        </w:rPr>
        <w:t>presentación</w:t>
      </w:r>
      <w:r w:rsidRPr="00AA45F8">
        <w:rPr>
          <w:rFonts w:ascii="Tahoma" w:hAnsi="Tahoma" w:cs="Tahoma"/>
          <w:spacing w:val="-2"/>
          <w:sz w:val="24"/>
          <w:szCs w:val="24"/>
        </w:rPr>
        <w:t xml:space="preserve"> </w:t>
      </w:r>
      <w:r w:rsidRPr="00AA45F8">
        <w:rPr>
          <w:rFonts w:ascii="Tahoma" w:hAnsi="Tahoma" w:cs="Tahoma"/>
          <w:sz w:val="24"/>
          <w:szCs w:val="24"/>
        </w:rPr>
        <w:t>del</w:t>
      </w:r>
      <w:r w:rsidRPr="00AA45F8">
        <w:rPr>
          <w:rFonts w:ascii="Tahoma" w:hAnsi="Tahoma" w:cs="Tahoma"/>
          <w:spacing w:val="-1"/>
          <w:sz w:val="24"/>
          <w:szCs w:val="24"/>
        </w:rPr>
        <w:t xml:space="preserve"> </w:t>
      </w:r>
      <w:r w:rsidRPr="00AA45F8">
        <w:rPr>
          <w:rFonts w:ascii="Tahoma" w:hAnsi="Tahoma" w:cs="Tahoma"/>
          <w:sz w:val="24"/>
          <w:szCs w:val="24"/>
        </w:rPr>
        <w:t>material</w:t>
      </w:r>
      <w:r w:rsidRPr="00AA45F8">
        <w:rPr>
          <w:rFonts w:ascii="Tahoma" w:hAnsi="Tahoma" w:cs="Tahoma"/>
          <w:spacing w:val="-2"/>
          <w:sz w:val="24"/>
          <w:szCs w:val="24"/>
        </w:rPr>
        <w:t xml:space="preserve"> </w:t>
      </w:r>
      <w:r w:rsidRPr="00AA45F8">
        <w:rPr>
          <w:rFonts w:ascii="Tahoma" w:hAnsi="Tahoma" w:cs="Tahoma"/>
          <w:sz w:val="24"/>
          <w:szCs w:val="24"/>
        </w:rPr>
        <w:t>en</w:t>
      </w:r>
      <w:r w:rsidRPr="00AA45F8">
        <w:rPr>
          <w:rFonts w:ascii="Tahoma" w:hAnsi="Tahoma" w:cs="Tahoma"/>
          <w:spacing w:val="-1"/>
          <w:sz w:val="24"/>
          <w:szCs w:val="24"/>
        </w:rPr>
        <w:t xml:space="preserve"> </w:t>
      </w:r>
      <w:r w:rsidRPr="00AA45F8">
        <w:rPr>
          <w:rFonts w:ascii="Tahoma" w:hAnsi="Tahoma" w:cs="Tahoma"/>
          <w:sz w:val="24"/>
          <w:szCs w:val="24"/>
        </w:rPr>
        <w:t>esta</w:t>
      </w:r>
      <w:r w:rsidRPr="00AA45F8">
        <w:rPr>
          <w:rFonts w:ascii="Tahoma" w:hAnsi="Tahoma" w:cs="Tahoma"/>
          <w:spacing w:val="-2"/>
          <w:sz w:val="24"/>
          <w:szCs w:val="24"/>
        </w:rPr>
        <w:t xml:space="preserve"> </w:t>
      </w:r>
      <w:r w:rsidRPr="00AA45F8">
        <w:rPr>
          <w:rFonts w:ascii="Tahoma" w:hAnsi="Tahoma" w:cs="Tahoma"/>
          <w:sz w:val="24"/>
          <w:szCs w:val="24"/>
        </w:rPr>
        <w:t>publicación</w:t>
      </w:r>
      <w:r w:rsidRPr="00AA45F8">
        <w:rPr>
          <w:rFonts w:ascii="Tahoma" w:hAnsi="Tahoma" w:cs="Tahoma"/>
          <w:spacing w:val="-1"/>
          <w:sz w:val="24"/>
          <w:szCs w:val="24"/>
        </w:rPr>
        <w:t xml:space="preserve"> </w:t>
      </w:r>
      <w:r w:rsidRPr="00AA45F8">
        <w:rPr>
          <w:rFonts w:ascii="Tahoma" w:hAnsi="Tahoma" w:cs="Tahoma"/>
          <w:sz w:val="24"/>
          <w:szCs w:val="24"/>
        </w:rPr>
        <w:t>no</w:t>
      </w:r>
      <w:r w:rsidRPr="00AA45F8">
        <w:rPr>
          <w:rFonts w:ascii="Tahoma" w:hAnsi="Tahoma" w:cs="Tahoma"/>
          <w:spacing w:val="-1"/>
          <w:sz w:val="24"/>
          <w:szCs w:val="24"/>
        </w:rPr>
        <w:t xml:space="preserve"> </w:t>
      </w:r>
      <w:r w:rsidRPr="00AA45F8">
        <w:rPr>
          <w:rFonts w:ascii="Tahoma" w:hAnsi="Tahoma" w:cs="Tahoma"/>
          <w:sz w:val="24"/>
          <w:szCs w:val="24"/>
        </w:rPr>
        <w:t>implican</w:t>
      </w:r>
      <w:r w:rsidRPr="00AA45F8">
        <w:rPr>
          <w:rFonts w:ascii="Tahoma" w:hAnsi="Tahoma" w:cs="Tahoma"/>
          <w:spacing w:val="-1"/>
          <w:sz w:val="24"/>
          <w:szCs w:val="24"/>
        </w:rPr>
        <w:t xml:space="preserve"> </w:t>
      </w:r>
      <w:r w:rsidRPr="00AA45F8">
        <w:rPr>
          <w:rFonts w:ascii="Tahoma" w:hAnsi="Tahoma" w:cs="Tahoma"/>
          <w:sz w:val="24"/>
          <w:szCs w:val="24"/>
        </w:rPr>
        <w:t>la</w:t>
      </w:r>
      <w:r w:rsidRPr="00AA45F8">
        <w:rPr>
          <w:rFonts w:ascii="Tahoma" w:hAnsi="Tahoma" w:cs="Tahoma"/>
          <w:spacing w:val="-1"/>
          <w:sz w:val="24"/>
          <w:szCs w:val="24"/>
        </w:rPr>
        <w:t xml:space="preserve"> </w:t>
      </w:r>
      <w:r w:rsidRPr="00AA45F8">
        <w:rPr>
          <w:rFonts w:ascii="Tahoma" w:hAnsi="Tahoma" w:cs="Tahoma"/>
          <w:sz w:val="24"/>
          <w:szCs w:val="24"/>
        </w:rPr>
        <w:t>expresión</w:t>
      </w:r>
      <w:r w:rsidRPr="00AA45F8">
        <w:rPr>
          <w:rFonts w:ascii="Tahoma" w:hAnsi="Tahoma" w:cs="Tahoma"/>
          <w:spacing w:val="-1"/>
          <w:sz w:val="24"/>
          <w:szCs w:val="24"/>
        </w:rPr>
        <w:t xml:space="preserve"> </w:t>
      </w:r>
      <w:r w:rsidRPr="00AA45F8">
        <w:rPr>
          <w:rFonts w:ascii="Tahoma" w:hAnsi="Tahoma" w:cs="Tahoma"/>
          <w:sz w:val="24"/>
          <w:szCs w:val="24"/>
        </w:rPr>
        <w:t>de</w:t>
      </w:r>
      <w:r w:rsidRPr="00AA45F8">
        <w:rPr>
          <w:rFonts w:ascii="Tahoma" w:hAnsi="Tahoma" w:cs="Tahoma"/>
          <w:spacing w:val="-1"/>
          <w:sz w:val="24"/>
          <w:szCs w:val="24"/>
        </w:rPr>
        <w:t xml:space="preserve"> </w:t>
      </w:r>
      <w:r w:rsidRPr="00AA45F8">
        <w:rPr>
          <w:rFonts w:ascii="Tahoma" w:hAnsi="Tahoma" w:cs="Tahoma"/>
          <w:sz w:val="24"/>
          <w:szCs w:val="24"/>
        </w:rPr>
        <w:t>opinión</w:t>
      </w:r>
      <w:r w:rsidRPr="00AA45F8">
        <w:rPr>
          <w:rFonts w:ascii="Tahoma" w:hAnsi="Tahoma" w:cs="Tahoma"/>
          <w:spacing w:val="-1"/>
          <w:sz w:val="24"/>
          <w:szCs w:val="24"/>
        </w:rPr>
        <w:t xml:space="preserve"> </w:t>
      </w:r>
      <w:r w:rsidRPr="00AA45F8">
        <w:rPr>
          <w:rFonts w:ascii="Tahoma" w:hAnsi="Tahoma" w:cs="Tahoma"/>
          <w:sz w:val="24"/>
          <w:szCs w:val="24"/>
        </w:rPr>
        <w:t>alguna</w:t>
      </w:r>
      <w:r w:rsidRPr="00AA45F8">
        <w:rPr>
          <w:rFonts w:ascii="Tahoma" w:hAnsi="Tahoma" w:cs="Tahoma"/>
          <w:spacing w:val="-1"/>
          <w:sz w:val="24"/>
          <w:szCs w:val="24"/>
        </w:rPr>
        <w:t xml:space="preserve"> </w:t>
      </w:r>
      <w:r w:rsidRPr="00AA45F8">
        <w:rPr>
          <w:rFonts w:ascii="Tahoma" w:hAnsi="Tahoma" w:cs="Tahoma"/>
          <w:sz w:val="24"/>
          <w:szCs w:val="24"/>
        </w:rPr>
        <w:t>por</w:t>
      </w:r>
      <w:r w:rsidRPr="00AA45F8">
        <w:rPr>
          <w:rFonts w:ascii="Tahoma" w:hAnsi="Tahoma" w:cs="Tahoma"/>
          <w:spacing w:val="-2"/>
          <w:sz w:val="24"/>
          <w:szCs w:val="24"/>
        </w:rPr>
        <w:t xml:space="preserve"> </w:t>
      </w:r>
      <w:r w:rsidRPr="00AA45F8">
        <w:rPr>
          <w:rFonts w:ascii="Tahoma" w:hAnsi="Tahoma" w:cs="Tahoma"/>
          <w:sz w:val="24"/>
          <w:szCs w:val="24"/>
        </w:rPr>
        <w:t>parte</w:t>
      </w:r>
      <w:r w:rsidRPr="00AA45F8">
        <w:rPr>
          <w:rFonts w:ascii="Tahoma" w:hAnsi="Tahoma" w:cs="Tahoma"/>
          <w:spacing w:val="-2"/>
          <w:sz w:val="24"/>
          <w:szCs w:val="24"/>
        </w:rPr>
        <w:t xml:space="preserve"> </w:t>
      </w:r>
      <w:r w:rsidRPr="00AA45F8">
        <w:rPr>
          <w:rFonts w:ascii="Tahoma" w:hAnsi="Tahoma" w:cs="Tahoma"/>
          <w:sz w:val="24"/>
          <w:szCs w:val="24"/>
        </w:rPr>
        <w:t>de</w:t>
      </w:r>
      <w:r w:rsidRPr="00AA45F8">
        <w:rPr>
          <w:rFonts w:ascii="Tahoma" w:hAnsi="Tahoma" w:cs="Tahoma"/>
          <w:spacing w:val="-1"/>
          <w:sz w:val="24"/>
          <w:szCs w:val="24"/>
        </w:rPr>
        <w:t xml:space="preserve"> </w:t>
      </w:r>
      <w:r w:rsidRPr="00AA45F8">
        <w:rPr>
          <w:rFonts w:ascii="Tahoma" w:hAnsi="Tahoma" w:cs="Tahoma"/>
          <w:sz w:val="24"/>
          <w:szCs w:val="24"/>
        </w:rPr>
        <w:t>la Secretaría de las Naciones Unidas sobre la condición jurídica de cualquier país, territorio, ciudad o área, o de sus autoridades. o sobre la delimitación de sus fronteras o límites.</w:t>
      </w:r>
    </w:p>
    <w:p w14:paraId="75017E85" w14:textId="77777777" w:rsidR="0014798C" w:rsidRPr="00AA45F8" w:rsidRDefault="0014798C" w:rsidP="00AA45F8">
      <w:pPr>
        <w:pStyle w:val="Textoindependiente"/>
        <w:jc w:val="both"/>
        <w:rPr>
          <w:rFonts w:ascii="Tahoma" w:hAnsi="Tahoma" w:cs="Tahoma"/>
          <w:sz w:val="24"/>
          <w:szCs w:val="24"/>
        </w:rPr>
      </w:pPr>
    </w:p>
    <w:p w14:paraId="555FB39E" w14:textId="77777777" w:rsidR="0014798C" w:rsidRDefault="004E1F0B" w:rsidP="00AA45F8">
      <w:pPr>
        <w:ind w:left="1111" w:right="1272"/>
        <w:jc w:val="both"/>
        <w:rPr>
          <w:rFonts w:ascii="Tahoma" w:hAnsi="Tahoma" w:cs="Tahoma"/>
          <w:sz w:val="24"/>
          <w:szCs w:val="24"/>
        </w:rPr>
      </w:pPr>
      <w:r w:rsidRPr="00AA45F8">
        <w:rPr>
          <w:rFonts w:ascii="Tahoma" w:hAnsi="Tahoma" w:cs="Tahoma"/>
          <w:sz w:val="24"/>
          <w:szCs w:val="24"/>
        </w:rPr>
        <w:t>Los</w:t>
      </w:r>
      <w:r w:rsidRPr="00AA45F8">
        <w:rPr>
          <w:rFonts w:ascii="Tahoma" w:hAnsi="Tahoma" w:cs="Tahoma"/>
          <w:spacing w:val="-1"/>
          <w:sz w:val="24"/>
          <w:szCs w:val="24"/>
        </w:rPr>
        <w:t xml:space="preserve"> </w:t>
      </w:r>
      <w:r w:rsidRPr="00AA45F8">
        <w:rPr>
          <w:rFonts w:ascii="Tahoma" w:hAnsi="Tahoma" w:cs="Tahoma"/>
          <w:sz w:val="24"/>
          <w:szCs w:val="24"/>
        </w:rPr>
        <w:t>símbolos</w:t>
      </w:r>
      <w:r w:rsidRPr="00AA45F8">
        <w:rPr>
          <w:rFonts w:ascii="Tahoma" w:hAnsi="Tahoma" w:cs="Tahoma"/>
          <w:spacing w:val="-1"/>
          <w:sz w:val="24"/>
          <w:szCs w:val="24"/>
        </w:rPr>
        <w:t xml:space="preserve"> </w:t>
      </w:r>
      <w:r w:rsidRPr="00AA45F8">
        <w:rPr>
          <w:rFonts w:ascii="Tahoma" w:hAnsi="Tahoma" w:cs="Tahoma"/>
          <w:sz w:val="24"/>
          <w:szCs w:val="24"/>
        </w:rPr>
        <w:t>de los</w:t>
      </w:r>
      <w:r w:rsidRPr="00AA45F8">
        <w:rPr>
          <w:rFonts w:ascii="Tahoma" w:hAnsi="Tahoma" w:cs="Tahoma"/>
          <w:spacing w:val="-1"/>
          <w:sz w:val="24"/>
          <w:szCs w:val="24"/>
        </w:rPr>
        <w:t xml:space="preserve"> </w:t>
      </w:r>
      <w:r w:rsidRPr="00AA45F8">
        <w:rPr>
          <w:rFonts w:ascii="Tahoma" w:hAnsi="Tahoma" w:cs="Tahoma"/>
          <w:sz w:val="24"/>
          <w:szCs w:val="24"/>
        </w:rPr>
        <w:t>documentos</w:t>
      </w:r>
      <w:r w:rsidRPr="00AA45F8">
        <w:rPr>
          <w:rFonts w:ascii="Tahoma" w:hAnsi="Tahoma" w:cs="Tahoma"/>
          <w:spacing w:val="-1"/>
          <w:sz w:val="24"/>
          <w:szCs w:val="24"/>
        </w:rPr>
        <w:t xml:space="preserve"> </w:t>
      </w:r>
      <w:r w:rsidRPr="00AA45F8">
        <w:rPr>
          <w:rFonts w:ascii="Tahoma" w:hAnsi="Tahoma" w:cs="Tahoma"/>
          <w:sz w:val="24"/>
          <w:szCs w:val="24"/>
        </w:rPr>
        <w:t>de las</w:t>
      </w:r>
      <w:r w:rsidRPr="00AA45F8">
        <w:rPr>
          <w:rFonts w:ascii="Tahoma" w:hAnsi="Tahoma" w:cs="Tahoma"/>
          <w:spacing w:val="-1"/>
          <w:sz w:val="24"/>
          <w:szCs w:val="24"/>
        </w:rPr>
        <w:t xml:space="preserve"> </w:t>
      </w:r>
      <w:r w:rsidRPr="00AA45F8">
        <w:rPr>
          <w:rFonts w:ascii="Tahoma" w:hAnsi="Tahoma" w:cs="Tahoma"/>
          <w:sz w:val="24"/>
          <w:szCs w:val="24"/>
        </w:rPr>
        <w:t>Naciones</w:t>
      </w:r>
      <w:r w:rsidRPr="00AA45F8">
        <w:rPr>
          <w:rFonts w:ascii="Tahoma" w:hAnsi="Tahoma" w:cs="Tahoma"/>
          <w:spacing w:val="-1"/>
          <w:sz w:val="24"/>
          <w:szCs w:val="24"/>
        </w:rPr>
        <w:t xml:space="preserve"> </w:t>
      </w:r>
      <w:r w:rsidRPr="00AA45F8">
        <w:rPr>
          <w:rFonts w:ascii="Tahoma" w:hAnsi="Tahoma" w:cs="Tahoma"/>
          <w:sz w:val="24"/>
          <w:szCs w:val="24"/>
        </w:rPr>
        <w:t>Unidas</w:t>
      </w:r>
      <w:r w:rsidRPr="00AA45F8">
        <w:rPr>
          <w:rFonts w:ascii="Tahoma" w:hAnsi="Tahoma" w:cs="Tahoma"/>
          <w:spacing w:val="-1"/>
          <w:sz w:val="24"/>
          <w:szCs w:val="24"/>
        </w:rPr>
        <w:t xml:space="preserve"> </w:t>
      </w:r>
      <w:r w:rsidRPr="00AA45F8">
        <w:rPr>
          <w:rFonts w:ascii="Tahoma" w:hAnsi="Tahoma" w:cs="Tahoma"/>
          <w:sz w:val="24"/>
          <w:szCs w:val="24"/>
        </w:rPr>
        <w:t>se componen de letras</w:t>
      </w:r>
      <w:r w:rsidRPr="00AA45F8">
        <w:rPr>
          <w:rFonts w:ascii="Tahoma" w:hAnsi="Tahoma" w:cs="Tahoma"/>
          <w:spacing w:val="-1"/>
          <w:sz w:val="24"/>
          <w:szCs w:val="24"/>
        </w:rPr>
        <w:t xml:space="preserve"> </w:t>
      </w:r>
      <w:r w:rsidRPr="00AA45F8">
        <w:rPr>
          <w:rFonts w:ascii="Tahoma" w:hAnsi="Tahoma" w:cs="Tahoma"/>
          <w:sz w:val="24"/>
          <w:szCs w:val="24"/>
        </w:rPr>
        <w:t>mayúsculas</w:t>
      </w:r>
      <w:r w:rsidRPr="00AA45F8">
        <w:rPr>
          <w:rFonts w:ascii="Tahoma" w:hAnsi="Tahoma" w:cs="Tahoma"/>
          <w:spacing w:val="-1"/>
          <w:sz w:val="24"/>
          <w:szCs w:val="24"/>
        </w:rPr>
        <w:t xml:space="preserve"> </w:t>
      </w:r>
      <w:r w:rsidRPr="00AA45F8">
        <w:rPr>
          <w:rFonts w:ascii="Tahoma" w:hAnsi="Tahoma" w:cs="Tahoma"/>
          <w:sz w:val="24"/>
          <w:szCs w:val="24"/>
        </w:rPr>
        <w:t>combinadas</w:t>
      </w:r>
      <w:r w:rsidRPr="00AA45F8">
        <w:rPr>
          <w:rFonts w:ascii="Tahoma" w:hAnsi="Tahoma" w:cs="Tahoma"/>
          <w:spacing w:val="-1"/>
          <w:sz w:val="24"/>
          <w:szCs w:val="24"/>
        </w:rPr>
        <w:t xml:space="preserve"> </w:t>
      </w:r>
      <w:r w:rsidRPr="00AA45F8">
        <w:rPr>
          <w:rFonts w:ascii="Tahoma" w:hAnsi="Tahoma" w:cs="Tahoma"/>
          <w:sz w:val="24"/>
          <w:szCs w:val="24"/>
        </w:rPr>
        <w:t>con cifras. La mención de dicho símbolo indica una referencia a un documento de las Naciones Unidas.</w:t>
      </w:r>
    </w:p>
    <w:p w14:paraId="394A7C06" w14:textId="77777777" w:rsidR="00AA45F8" w:rsidRPr="00AA45F8" w:rsidRDefault="00AA45F8" w:rsidP="00AA45F8">
      <w:pPr>
        <w:ind w:left="1111" w:right="1272"/>
        <w:jc w:val="both"/>
        <w:rPr>
          <w:rFonts w:ascii="Tahoma" w:hAnsi="Tahoma" w:cs="Tahoma"/>
          <w:sz w:val="24"/>
          <w:szCs w:val="24"/>
        </w:rPr>
      </w:pPr>
    </w:p>
    <w:p w14:paraId="537AA59D" w14:textId="77777777" w:rsidR="0014798C" w:rsidRPr="00AA45F8" w:rsidRDefault="004E1F0B" w:rsidP="00AA45F8">
      <w:pPr>
        <w:ind w:left="1105" w:right="1272"/>
        <w:jc w:val="both"/>
        <w:rPr>
          <w:rFonts w:ascii="Tahoma" w:hAnsi="Tahoma" w:cs="Tahoma"/>
          <w:sz w:val="24"/>
          <w:szCs w:val="24"/>
        </w:rPr>
      </w:pPr>
      <w:proofErr w:type="spellStart"/>
      <w:r w:rsidRPr="00AA45F8">
        <w:rPr>
          <w:rFonts w:ascii="Tahoma" w:hAnsi="Tahoma" w:cs="Tahoma"/>
          <w:sz w:val="24"/>
          <w:szCs w:val="24"/>
        </w:rPr>
        <w:t>Equal</w:t>
      </w:r>
      <w:proofErr w:type="spellEnd"/>
      <w:r w:rsidRPr="00AA45F8">
        <w:rPr>
          <w:rFonts w:ascii="Tahoma" w:hAnsi="Tahoma" w:cs="Tahoma"/>
          <w:sz w:val="24"/>
          <w:szCs w:val="24"/>
        </w:rPr>
        <w:t xml:space="preserve"> </w:t>
      </w:r>
      <w:proofErr w:type="spellStart"/>
      <w:r w:rsidRPr="00AA45F8">
        <w:rPr>
          <w:rFonts w:ascii="Tahoma" w:hAnsi="Tahoma" w:cs="Tahoma"/>
          <w:sz w:val="24"/>
          <w:szCs w:val="24"/>
        </w:rPr>
        <w:t>Rights</w:t>
      </w:r>
      <w:proofErr w:type="spellEnd"/>
      <w:r w:rsidRPr="00AA45F8">
        <w:rPr>
          <w:rFonts w:ascii="Tahoma" w:hAnsi="Tahoma" w:cs="Tahoma"/>
          <w:sz w:val="24"/>
          <w:szCs w:val="24"/>
        </w:rPr>
        <w:t xml:space="preserve"> Trust agradece a los donantes cuyos fondos apoyaron el trabajo de su personal durante el desarrollo de la guía, que fue producida con la asistencia</w:t>
      </w:r>
      <w:r w:rsidRPr="00AA45F8">
        <w:rPr>
          <w:rFonts w:ascii="Tahoma" w:hAnsi="Tahoma" w:cs="Tahoma"/>
          <w:spacing w:val="-1"/>
          <w:sz w:val="24"/>
          <w:szCs w:val="24"/>
        </w:rPr>
        <w:t xml:space="preserve"> </w:t>
      </w:r>
      <w:r w:rsidRPr="00AA45F8">
        <w:rPr>
          <w:rFonts w:ascii="Tahoma" w:hAnsi="Tahoma" w:cs="Tahoma"/>
          <w:sz w:val="24"/>
          <w:szCs w:val="24"/>
        </w:rPr>
        <w:t>financiera</w:t>
      </w:r>
      <w:r w:rsidRPr="00AA45F8">
        <w:rPr>
          <w:rFonts w:ascii="Tahoma" w:hAnsi="Tahoma" w:cs="Tahoma"/>
          <w:spacing w:val="-1"/>
          <w:sz w:val="24"/>
          <w:szCs w:val="24"/>
        </w:rPr>
        <w:t xml:space="preserve"> </w:t>
      </w:r>
      <w:r w:rsidRPr="00AA45F8">
        <w:rPr>
          <w:rFonts w:ascii="Tahoma" w:hAnsi="Tahoma" w:cs="Tahoma"/>
          <w:sz w:val="24"/>
          <w:szCs w:val="24"/>
        </w:rPr>
        <w:t>de la Unión Europea, la Oficina</w:t>
      </w:r>
      <w:r w:rsidRPr="00AA45F8">
        <w:rPr>
          <w:rFonts w:ascii="Tahoma" w:hAnsi="Tahoma" w:cs="Tahoma"/>
          <w:spacing w:val="-1"/>
          <w:sz w:val="24"/>
          <w:szCs w:val="24"/>
        </w:rPr>
        <w:t xml:space="preserve"> </w:t>
      </w:r>
      <w:r w:rsidRPr="00AA45F8">
        <w:rPr>
          <w:rFonts w:ascii="Tahoma" w:hAnsi="Tahoma" w:cs="Tahoma"/>
          <w:sz w:val="24"/>
          <w:szCs w:val="24"/>
        </w:rPr>
        <w:t>de Asuntos</w:t>
      </w:r>
      <w:r w:rsidRPr="00AA45F8">
        <w:rPr>
          <w:rFonts w:ascii="Tahoma" w:hAnsi="Tahoma" w:cs="Tahoma"/>
          <w:spacing w:val="-1"/>
          <w:sz w:val="24"/>
          <w:szCs w:val="24"/>
        </w:rPr>
        <w:t xml:space="preserve"> </w:t>
      </w:r>
      <w:r w:rsidRPr="00AA45F8">
        <w:rPr>
          <w:rFonts w:ascii="Tahoma" w:hAnsi="Tahoma" w:cs="Tahoma"/>
          <w:sz w:val="24"/>
          <w:szCs w:val="24"/>
        </w:rPr>
        <w:t>Exteriores, Commonwealth</w:t>
      </w:r>
      <w:r w:rsidRPr="00AA45F8">
        <w:rPr>
          <w:rFonts w:ascii="Tahoma" w:hAnsi="Tahoma" w:cs="Tahoma"/>
          <w:spacing w:val="-1"/>
          <w:sz w:val="24"/>
          <w:szCs w:val="24"/>
        </w:rPr>
        <w:t xml:space="preserve"> </w:t>
      </w:r>
      <w:r w:rsidRPr="00AA45F8">
        <w:rPr>
          <w:rFonts w:ascii="Tahoma" w:hAnsi="Tahoma" w:cs="Tahoma"/>
          <w:sz w:val="24"/>
          <w:szCs w:val="24"/>
        </w:rPr>
        <w:t xml:space="preserve">y Desarrollo del Reino Unido de Gran Bretaña e Irlanda del Norte y Sigrid </w:t>
      </w:r>
      <w:proofErr w:type="spellStart"/>
      <w:r w:rsidRPr="00AA45F8">
        <w:rPr>
          <w:rFonts w:ascii="Tahoma" w:hAnsi="Tahoma" w:cs="Tahoma"/>
          <w:sz w:val="24"/>
          <w:szCs w:val="24"/>
        </w:rPr>
        <w:t>Rausing</w:t>
      </w:r>
      <w:proofErr w:type="spellEnd"/>
      <w:r w:rsidRPr="00AA45F8">
        <w:rPr>
          <w:rFonts w:ascii="Tahoma" w:hAnsi="Tahoma" w:cs="Tahoma"/>
          <w:sz w:val="24"/>
          <w:szCs w:val="24"/>
        </w:rPr>
        <w:t xml:space="preserve"> Trust.</w:t>
      </w:r>
    </w:p>
    <w:p w14:paraId="2330637C" w14:textId="77777777" w:rsidR="0014798C" w:rsidRPr="00AA45F8" w:rsidRDefault="0014798C" w:rsidP="00AA45F8">
      <w:pPr>
        <w:pStyle w:val="Textoindependiente"/>
        <w:jc w:val="both"/>
        <w:rPr>
          <w:rFonts w:ascii="Tahoma" w:hAnsi="Tahoma" w:cs="Tahoma"/>
          <w:sz w:val="24"/>
          <w:szCs w:val="24"/>
        </w:rPr>
      </w:pPr>
    </w:p>
    <w:p w14:paraId="126551A9" w14:textId="77777777" w:rsidR="0014798C" w:rsidRPr="00AA45F8" w:rsidRDefault="0014798C" w:rsidP="00AA45F8">
      <w:pPr>
        <w:pStyle w:val="Textoindependiente"/>
        <w:jc w:val="both"/>
        <w:rPr>
          <w:rFonts w:ascii="Tahoma" w:hAnsi="Tahoma" w:cs="Tahoma"/>
          <w:sz w:val="24"/>
          <w:szCs w:val="24"/>
        </w:rPr>
      </w:pPr>
    </w:p>
    <w:p w14:paraId="53FA6A0E" w14:textId="77777777" w:rsidR="0014798C" w:rsidRPr="00AA45F8" w:rsidRDefault="004E1F0B" w:rsidP="00AA45F8">
      <w:pPr>
        <w:ind w:left="1107" w:right="1309" w:hanging="1"/>
        <w:jc w:val="both"/>
        <w:rPr>
          <w:rFonts w:ascii="Tahoma" w:hAnsi="Tahoma" w:cs="Tahoma"/>
          <w:sz w:val="24"/>
          <w:szCs w:val="24"/>
        </w:rPr>
      </w:pPr>
      <w:r w:rsidRPr="00AA45F8">
        <w:rPr>
          <w:rFonts w:ascii="Tahoma" w:hAnsi="Tahoma" w:cs="Tahoma"/>
          <w:sz w:val="24"/>
          <w:szCs w:val="24"/>
        </w:rPr>
        <w:t>Los puntos de vista y opiniones expresados en esta publicación conjunta no reflejan necesariamente la política o posición oficial de la</w:t>
      </w:r>
      <w:r w:rsidRPr="00AA45F8">
        <w:rPr>
          <w:rFonts w:ascii="Tahoma" w:hAnsi="Tahoma" w:cs="Tahoma"/>
          <w:spacing w:val="40"/>
          <w:sz w:val="24"/>
          <w:szCs w:val="24"/>
        </w:rPr>
        <w:t xml:space="preserve"> </w:t>
      </w:r>
      <w:r w:rsidRPr="00AA45F8">
        <w:rPr>
          <w:rFonts w:ascii="Tahoma" w:hAnsi="Tahoma" w:cs="Tahoma"/>
          <w:sz w:val="24"/>
          <w:szCs w:val="24"/>
        </w:rPr>
        <w:t>Unión</w:t>
      </w:r>
      <w:r w:rsidRPr="00AA45F8">
        <w:rPr>
          <w:rFonts w:ascii="Tahoma" w:hAnsi="Tahoma" w:cs="Tahoma"/>
          <w:spacing w:val="-1"/>
          <w:sz w:val="24"/>
          <w:szCs w:val="24"/>
        </w:rPr>
        <w:t xml:space="preserve"> </w:t>
      </w:r>
      <w:r w:rsidRPr="00AA45F8">
        <w:rPr>
          <w:rFonts w:ascii="Tahoma" w:hAnsi="Tahoma" w:cs="Tahoma"/>
          <w:sz w:val="24"/>
          <w:szCs w:val="24"/>
        </w:rPr>
        <w:t>Europea,</w:t>
      </w:r>
      <w:r w:rsidRPr="00AA45F8">
        <w:rPr>
          <w:rFonts w:ascii="Tahoma" w:hAnsi="Tahoma" w:cs="Tahoma"/>
          <w:spacing w:val="-1"/>
          <w:sz w:val="24"/>
          <w:szCs w:val="24"/>
        </w:rPr>
        <w:t xml:space="preserve"> </w:t>
      </w:r>
      <w:r w:rsidRPr="00AA45F8">
        <w:rPr>
          <w:rFonts w:ascii="Tahoma" w:hAnsi="Tahoma" w:cs="Tahoma"/>
          <w:sz w:val="24"/>
          <w:szCs w:val="24"/>
        </w:rPr>
        <w:t>la</w:t>
      </w:r>
      <w:r w:rsidRPr="00AA45F8">
        <w:rPr>
          <w:rFonts w:ascii="Tahoma" w:hAnsi="Tahoma" w:cs="Tahoma"/>
          <w:spacing w:val="-1"/>
          <w:sz w:val="24"/>
          <w:szCs w:val="24"/>
        </w:rPr>
        <w:t xml:space="preserve"> </w:t>
      </w:r>
      <w:r w:rsidRPr="00AA45F8">
        <w:rPr>
          <w:rFonts w:ascii="Tahoma" w:hAnsi="Tahoma" w:cs="Tahoma"/>
          <w:sz w:val="24"/>
          <w:szCs w:val="24"/>
        </w:rPr>
        <w:t>Oficina</w:t>
      </w:r>
      <w:r w:rsidRPr="00AA45F8">
        <w:rPr>
          <w:rFonts w:ascii="Tahoma" w:hAnsi="Tahoma" w:cs="Tahoma"/>
          <w:spacing w:val="-2"/>
          <w:sz w:val="24"/>
          <w:szCs w:val="24"/>
        </w:rPr>
        <w:t xml:space="preserve"> </w:t>
      </w:r>
      <w:r w:rsidRPr="00AA45F8">
        <w:rPr>
          <w:rFonts w:ascii="Tahoma" w:hAnsi="Tahoma" w:cs="Tahoma"/>
          <w:sz w:val="24"/>
          <w:szCs w:val="24"/>
        </w:rPr>
        <w:t>de</w:t>
      </w:r>
      <w:r w:rsidRPr="00AA45F8">
        <w:rPr>
          <w:rFonts w:ascii="Tahoma" w:hAnsi="Tahoma" w:cs="Tahoma"/>
          <w:spacing w:val="-1"/>
          <w:sz w:val="24"/>
          <w:szCs w:val="24"/>
        </w:rPr>
        <w:t xml:space="preserve"> </w:t>
      </w:r>
      <w:r w:rsidRPr="00AA45F8">
        <w:rPr>
          <w:rFonts w:ascii="Tahoma" w:hAnsi="Tahoma" w:cs="Tahoma"/>
          <w:sz w:val="24"/>
          <w:szCs w:val="24"/>
        </w:rPr>
        <w:t>Asuntos</w:t>
      </w:r>
      <w:r w:rsidRPr="00AA45F8">
        <w:rPr>
          <w:rFonts w:ascii="Tahoma" w:hAnsi="Tahoma" w:cs="Tahoma"/>
          <w:spacing w:val="-2"/>
          <w:sz w:val="24"/>
          <w:szCs w:val="24"/>
        </w:rPr>
        <w:t xml:space="preserve"> </w:t>
      </w:r>
      <w:r w:rsidRPr="00AA45F8">
        <w:rPr>
          <w:rFonts w:ascii="Tahoma" w:hAnsi="Tahoma" w:cs="Tahoma"/>
          <w:sz w:val="24"/>
          <w:szCs w:val="24"/>
        </w:rPr>
        <w:t>Exteriores,</w:t>
      </w:r>
      <w:r w:rsidRPr="00AA45F8">
        <w:rPr>
          <w:rFonts w:ascii="Tahoma" w:hAnsi="Tahoma" w:cs="Tahoma"/>
          <w:spacing w:val="-1"/>
          <w:sz w:val="24"/>
          <w:szCs w:val="24"/>
        </w:rPr>
        <w:t xml:space="preserve"> </w:t>
      </w:r>
      <w:r w:rsidRPr="00AA45F8">
        <w:rPr>
          <w:rFonts w:ascii="Tahoma" w:hAnsi="Tahoma" w:cs="Tahoma"/>
          <w:sz w:val="24"/>
          <w:szCs w:val="24"/>
        </w:rPr>
        <w:t>Commonwealth</w:t>
      </w:r>
      <w:r w:rsidRPr="00AA45F8">
        <w:rPr>
          <w:rFonts w:ascii="Tahoma" w:hAnsi="Tahoma" w:cs="Tahoma"/>
          <w:spacing w:val="-2"/>
          <w:sz w:val="24"/>
          <w:szCs w:val="24"/>
        </w:rPr>
        <w:t xml:space="preserve"> </w:t>
      </w:r>
      <w:r w:rsidRPr="00AA45F8">
        <w:rPr>
          <w:rFonts w:ascii="Tahoma" w:hAnsi="Tahoma" w:cs="Tahoma"/>
          <w:sz w:val="24"/>
          <w:szCs w:val="24"/>
        </w:rPr>
        <w:t>y</w:t>
      </w:r>
      <w:r w:rsidRPr="00AA45F8">
        <w:rPr>
          <w:rFonts w:ascii="Tahoma" w:hAnsi="Tahoma" w:cs="Tahoma"/>
          <w:spacing w:val="-1"/>
          <w:sz w:val="24"/>
          <w:szCs w:val="24"/>
        </w:rPr>
        <w:t xml:space="preserve"> </w:t>
      </w:r>
      <w:r w:rsidRPr="00AA45F8">
        <w:rPr>
          <w:rFonts w:ascii="Tahoma" w:hAnsi="Tahoma" w:cs="Tahoma"/>
          <w:sz w:val="24"/>
          <w:szCs w:val="24"/>
        </w:rPr>
        <w:t>Desarrollo</w:t>
      </w:r>
      <w:r w:rsidRPr="00AA45F8">
        <w:rPr>
          <w:rFonts w:ascii="Tahoma" w:hAnsi="Tahoma" w:cs="Tahoma"/>
          <w:spacing w:val="-1"/>
          <w:sz w:val="24"/>
          <w:szCs w:val="24"/>
        </w:rPr>
        <w:t xml:space="preserve"> </w:t>
      </w:r>
      <w:r w:rsidRPr="00AA45F8">
        <w:rPr>
          <w:rFonts w:ascii="Tahoma" w:hAnsi="Tahoma" w:cs="Tahoma"/>
          <w:sz w:val="24"/>
          <w:szCs w:val="24"/>
        </w:rPr>
        <w:t>del</w:t>
      </w:r>
      <w:r w:rsidRPr="00AA45F8">
        <w:rPr>
          <w:rFonts w:ascii="Tahoma" w:hAnsi="Tahoma" w:cs="Tahoma"/>
          <w:spacing w:val="-1"/>
          <w:sz w:val="24"/>
          <w:szCs w:val="24"/>
        </w:rPr>
        <w:t xml:space="preserve"> </w:t>
      </w:r>
      <w:r w:rsidRPr="00AA45F8">
        <w:rPr>
          <w:rFonts w:ascii="Tahoma" w:hAnsi="Tahoma" w:cs="Tahoma"/>
          <w:sz w:val="24"/>
          <w:szCs w:val="24"/>
        </w:rPr>
        <w:t>Reino</w:t>
      </w:r>
      <w:r w:rsidRPr="00AA45F8">
        <w:rPr>
          <w:rFonts w:ascii="Tahoma" w:hAnsi="Tahoma" w:cs="Tahoma"/>
          <w:spacing w:val="-1"/>
          <w:sz w:val="24"/>
          <w:szCs w:val="24"/>
        </w:rPr>
        <w:t xml:space="preserve"> </w:t>
      </w:r>
      <w:r w:rsidRPr="00AA45F8">
        <w:rPr>
          <w:rFonts w:ascii="Tahoma" w:hAnsi="Tahoma" w:cs="Tahoma"/>
          <w:sz w:val="24"/>
          <w:szCs w:val="24"/>
        </w:rPr>
        <w:t>Unido</w:t>
      </w:r>
      <w:r w:rsidRPr="00AA45F8">
        <w:rPr>
          <w:rFonts w:ascii="Tahoma" w:hAnsi="Tahoma" w:cs="Tahoma"/>
          <w:spacing w:val="-1"/>
          <w:sz w:val="24"/>
          <w:szCs w:val="24"/>
        </w:rPr>
        <w:t xml:space="preserve"> </w:t>
      </w:r>
      <w:r w:rsidRPr="00AA45F8">
        <w:rPr>
          <w:rFonts w:ascii="Tahoma" w:hAnsi="Tahoma" w:cs="Tahoma"/>
          <w:sz w:val="24"/>
          <w:szCs w:val="24"/>
        </w:rPr>
        <w:t>de</w:t>
      </w:r>
      <w:r w:rsidRPr="00AA45F8">
        <w:rPr>
          <w:rFonts w:ascii="Tahoma" w:hAnsi="Tahoma" w:cs="Tahoma"/>
          <w:spacing w:val="-1"/>
          <w:sz w:val="24"/>
          <w:szCs w:val="24"/>
        </w:rPr>
        <w:t xml:space="preserve"> </w:t>
      </w:r>
      <w:r w:rsidRPr="00AA45F8">
        <w:rPr>
          <w:rFonts w:ascii="Tahoma" w:hAnsi="Tahoma" w:cs="Tahoma"/>
          <w:sz w:val="24"/>
          <w:szCs w:val="24"/>
        </w:rPr>
        <w:t>Gran</w:t>
      </w:r>
      <w:r w:rsidRPr="00AA45F8">
        <w:rPr>
          <w:rFonts w:ascii="Tahoma" w:hAnsi="Tahoma" w:cs="Tahoma"/>
          <w:spacing w:val="-2"/>
          <w:sz w:val="24"/>
          <w:szCs w:val="24"/>
        </w:rPr>
        <w:t xml:space="preserve"> </w:t>
      </w:r>
      <w:r w:rsidRPr="00AA45F8">
        <w:rPr>
          <w:rFonts w:ascii="Tahoma" w:hAnsi="Tahoma" w:cs="Tahoma"/>
          <w:sz w:val="24"/>
          <w:szCs w:val="24"/>
        </w:rPr>
        <w:t>Bretaña</w:t>
      </w:r>
      <w:r w:rsidRPr="00AA45F8">
        <w:rPr>
          <w:rFonts w:ascii="Tahoma" w:hAnsi="Tahoma" w:cs="Tahoma"/>
          <w:spacing w:val="-2"/>
          <w:sz w:val="24"/>
          <w:szCs w:val="24"/>
        </w:rPr>
        <w:t xml:space="preserve"> </w:t>
      </w:r>
      <w:r w:rsidRPr="00AA45F8">
        <w:rPr>
          <w:rFonts w:ascii="Tahoma" w:hAnsi="Tahoma" w:cs="Tahoma"/>
          <w:sz w:val="24"/>
          <w:szCs w:val="24"/>
        </w:rPr>
        <w:t>e</w:t>
      </w:r>
      <w:r w:rsidRPr="00AA45F8">
        <w:rPr>
          <w:rFonts w:ascii="Tahoma" w:hAnsi="Tahoma" w:cs="Tahoma"/>
          <w:spacing w:val="-1"/>
          <w:sz w:val="24"/>
          <w:szCs w:val="24"/>
        </w:rPr>
        <w:t xml:space="preserve"> </w:t>
      </w:r>
      <w:r w:rsidRPr="00AA45F8">
        <w:rPr>
          <w:rFonts w:ascii="Tahoma" w:hAnsi="Tahoma" w:cs="Tahoma"/>
          <w:sz w:val="24"/>
          <w:szCs w:val="24"/>
        </w:rPr>
        <w:t>Irlanda</w:t>
      </w:r>
      <w:r w:rsidRPr="00AA45F8">
        <w:rPr>
          <w:rFonts w:ascii="Tahoma" w:hAnsi="Tahoma" w:cs="Tahoma"/>
          <w:spacing w:val="-2"/>
          <w:sz w:val="24"/>
          <w:szCs w:val="24"/>
        </w:rPr>
        <w:t xml:space="preserve"> </w:t>
      </w:r>
      <w:r w:rsidRPr="00AA45F8">
        <w:rPr>
          <w:rFonts w:ascii="Tahoma" w:hAnsi="Tahoma" w:cs="Tahoma"/>
          <w:sz w:val="24"/>
          <w:szCs w:val="24"/>
        </w:rPr>
        <w:t>del</w:t>
      </w:r>
      <w:r w:rsidRPr="00AA45F8">
        <w:rPr>
          <w:rFonts w:ascii="Tahoma" w:hAnsi="Tahoma" w:cs="Tahoma"/>
          <w:spacing w:val="-1"/>
          <w:sz w:val="24"/>
          <w:szCs w:val="24"/>
        </w:rPr>
        <w:t xml:space="preserve"> </w:t>
      </w:r>
      <w:r w:rsidRPr="00AA45F8">
        <w:rPr>
          <w:rFonts w:ascii="Tahoma" w:hAnsi="Tahoma" w:cs="Tahoma"/>
          <w:sz w:val="24"/>
          <w:szCs w:val="24"/>
        </w:rPr>
        <w:t>Norte</w:t>
      </w:r>
      <w:r w:rsidRPr="00AA45F8">
        <w:rPr>
          <w:rFonts w:ascii="Tahoma" w:hAnsi="Tahoma" w:cs="Tahoma"/>
          <w:spacing w:val="-2"/>
          <w:sz w:val="24"/>
          <w:szCs w:val="24"/>
        </w:rPr>
        <w:t xml:space="preserve"> </w:t>
      </w:r>
      <w:r w:rsidRPr="00AA45F8">
        <w:rPr>
          <w:rFonts w:ascii="Tahoma" w:hAnsi="Tahoma" w:cs="Tahoma"/>
          <w:sz w:val="24"/>
          <w:szCs w:val="24"/>
        </w:rPr>
        <w:t>o</w:t>
      </w:r>
      <w:r w:rsidRPr="00AA45F8">
        <w:rPr>
          <w:rFonts w:ascii="Tahoma" w:hAnsi="Tahoma" w:cs="Tahoma"/>
          <w:spacing w:val="-1"/>
          <w:sz w:val="24"/>
          <w:szCs w:val="24"/>
        </w:rPr>
        <w:t xml:space="preserve"> </w:t>
      </w:r>
      <w:r w:rsidRPr="00AA45F8">
        <w:rPr>
          <w:rFonts w:ascii="Tahoma" w:hAnsi="Tahoma" w:cs="Tahoma"/>
          <w:sz w:val="24"/>
          <w:szCs w:val="24"/>
        </w:rPr>
        <w:t xml:space="preserve">Sigrid </w:t>
      </w:r>
      <w:proofErr w:type="spellStart"/>
      <w:r w:rsidRPr="00AA45F8">
        <w:rPr>
          <w:rFonts w:ascii="Tahoma" w:hAnsi="Tahoma" w:cs="Tahoma"/>
          <w:sz w:val="24"/>
          <w:szCs w:val="24"/>
        </w:rPr>
        <w:t>Rausing</w:t>
      </w:r>
      <w:proofErr w:type="spellEnd"/>
      <w:r w:rsidRPr="00AA45F8">
        <w:rPr>
          <w:rFonts w:ascii="Tahoma" w:hAnsi="Tahoma" w:cs="Tahoma"/>
          <w:sz w:val="24"/>
          <w:szCs w:val="24"/>
        </w:rPr>
        <w:t xml:space="preserve"> Trust.</w:t>
      </w:r>
    </w:p>
    <w:p w14:paraId="48C374A0" w14:textId="77777777" w:rsidR="0014798C" w:rsidRDefault="0014798C">
      <w:pPr>
        <w:pStyle w:val="Textoindependiente"/>
        <w:rPr>
          <w:sz w:val="20"/>
        </w:rPr>
      </w:pPr>
    </w:p>
    <w:p w14:paraId="0D5DFA4A" w14:textId="77777777" w:rsidR="0014798C" w:rsidRDefault="004E1F0B">
      <w:pPr>
        <w:pStyle w:val="Textoindependiente"/>
        <w:spacing w:before="44"/>
        <w:rPr>
          <w:sz w:val="20"/>
        </w:rPr>
      </w:pPr>
      <w:r>
        <w:rPr>
          <w:noProof/>
        </w:rPr>
        <mc:AlternateContent>
          <mc:Choice Requires="wpg">
            <w:drawing>
              <wp:anchor distT="0" distB="0" distL="0" distR="0" simplePos="0" relativeHeight="251658502" behindDoc="1" locked="0" layoutInCell="1" allowOverlap="1" wp14:anchorId="642F985A" wp14:editId="30C93E73">
                <wp:simplePos x="0" y="0"/>
                <wp:positionH relativeFrom="page">
                  <wp:posOffset>825500</wp:posOffset>
                </wp:positionH>
                <wp:positionV relativeFrom="paragraph">
                  <wp:posOffset>187325</wp:posOffset>
                </wp:positionV>
                <wp:extent cx="2165985" cy="1543050"/>
                <wp:effectExtent l="0" t="0" r="5715" b="0"/>
                <wp:wrapTopAndBottom/>
                <wp:docPr id="4" name="Group 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2165985" cy="1543051"/>
                          <a:chOff x="0" y="-1"/>
                          <a:chExt cx="2165985" cy="1123950"/>
                        </a:xfrm>
                      </wpg:grpSpPr>
                      <pic:pic xmlns:pic="http://schemas.openxmlformats.org/drawingml/2006/picture">
                        <pic:nvPicPr>
                          <pic:cNvPr id="5" name="Image 5"/>
                          <pic:cNvPicPr/>
                        </pic:nvPicPr>
                        <pic:blipFill>
                          <a:blip r:embed="rId14" cstate="print"/>
                          <a:stretch>
                            <a:fillRect/>
                          </a:stretch>
                        </pic:blipFill>
                        <pic:spPr>
                          <a:xfrm>
                            <a:off x="0" y="-1"/>
                            <a:ext cx="2165417" cy="1123338"/>
                          </a:xfrm>
                          <a:prstGeom prst="rect">
                            <a:avLst/>
                          </a:prstGeom>
                        </pic:spPr>
                      </pic:pic>
                      <wps:wsp>
                        <wps:cNvPr id="6" name="Textbox 6"/>
                        <wps:cNvSpPr txBox="1"/>
                        <wps:spPr>
                          <a:xfrm>
                            <a:off x="0" y="0"/>
                            <a:ext cx="2165985" cy="1123949"/>
                          </a:xfrm>
                          <a:prstGeom prst="rect">
                            <a:avLst/>
                          </a:prstGeom>
                        </wps:spPr>
                        <wps:txbx>
                          <w:txbxContent>
                            <w:p w14:paraId="30F66F57" w14:textId="77777777" w:rsidR="0014798C" w:rsidRPr="0064256A" w:rsidRDefault="0014798C" w:rsidP="0064256A">
                              <w:pPr>
                                <w:rPr>
                                  <w:rFonts w:ascii="Tahoma" w:hAnsi="Tahoma" w:cs="Tahoma"/>
                                </w:rPr>
                              </w:pPr>
                            </w:p>
                            <w:p w14:paraId="791A3A90" w14:textId="77777777" w:rsidR="0014798C" w:rsidRPr="0064256A" w:rsidRDefault="004E1F0B" w:rsidP="0064256A">
                              <w:pPr>
                                <w:ind w:left="178"/>
                                <w:rPr>
                                  <w:rFonts w:ascii="Tahoma" w:hAnsi="Tahoma" w:cs="Tahoma"/>
                                </w:rPr>
                              </w:pPr>
                              <w:r w:rsidRPr="0064256A">
                                <w:rPr>
                                  <w:rFonts w:ascii="Tahoma" w:hAnsi="Tahoma" w:cs="Tahoma"/>
                                </w:rPr>
                                <w:t>©</w:t>
                              </w:r>
                              <w:r w:rsidRPr="0064256A">
                                <w:rPr>
                                  <w:rFonts w:ascii="Tahoma" w:hAnsi="Tahoma" w:cs="Tahoma"/>
                                  <w:spacing w:val="6"/>
                                </w:rPr>
                                <w:t xml:space="preserve"> </w:t>
                              </w:r>
                              <w:r w:rsidRPr="0064256A">
                                <w:rPr>
                                  <w:rFonts w:ascii="Tahoma" w:hAnsi="Tahoma" w:cs="Tahoma"/>
                                </w:rPr>
                                <w:t>2023</w:t>
                              </w:r>
                              <w:r w:rsidRPr="0064256A">
                                <w:rPr>
                                  <w:rFonts w:ascii="Tahoma" w:hAnsi="Tahoma" w:cs="Tahoma"/>
                                  <w:spacing w:val="7"/>
                                </w:rPr>
                                <w:t xml:space="preserve"> </w:t>
                              </w:r>
                              <w:r w:rsidRPr="0064256A">
                                <w:rPr>
                                  <w:rFonts w:ascii="Tahoma" w:hAnsi="Tahoma" w:cs="Tahoma"/>
                                </w:rPr>
                                <w:t>Naciones</w:t>
                              </w:r>
                              <w:r w:rsidRPr="0064256A">
                                <w:rPr>
                                  <w:rFonts w:ascii="Tahoma" w:hAnsi="Tahoma" w:cs="Tahoma"/>
                                  <w:spacing w:val="6"/>
                                </w:rPr>
                                <w:t xml:space="preserve"> </w:t>
                              </w:r>
                              <w:r w:rsidRPr="0064256A">
                                <w:rPr>
                                  <w:rFonts w:ascii="Tahoma" w:hAnsi="Tahoma" w:cs="Tahoma"/>
                                  <w:spacing w:val="-2"/>
                                </w:rPr>
                                <w:t>Unidas</w:t>
                              </w:r>
                            </w:p>
                            <w:p w14:paraId="7E459DF8" w14:textId="77777777" w:rsidR="0014798C" w:rsidRPr="0064256A" w:rsidRDefault="004E1F0B" w:rsidP="0064256A">
                              <w:pPr>
                                <w:ind w:left="174"/>
                                <w:rPr>
                                  <w:rFonts w:ascii="Tahoma" w:hAnsi="Tahoma" w:cs="Tahoma"/>
                                </w:rPr>
                              </w:pPr>
                              <w:r w:rsidRPr="0064256A">
                                <w:rPr>
                                  <w:rFonts w:ascii="Tahoma" w:hAnsi="Tahoma" w:cs="Tahoma"/>
                                  <w:w w:val="105"/>
                                </w:rPr>
                                <w:t>Todos</w:t>
                              </w:r>
                              <w:r w:rsidRPr="0064256A">
                                <w:rPr>
                                  <w:rFonts w:ascii="Tahoma" w:hAnsi="Tahoma" w:cs="Tahoma"/>
                                  <w:spacing w:val="-4"/>
                                  <w:w w:val="105"/>
                                </w:rPr>
                                <w:t xml:space="preserve"> </w:t>
                              </w:r>
                              <w:r w:rsidRPr="0064256A">
                                <w:rPr>
                                  <w:rFonts w:ascii="Tahoma" w:hAnsi="Tahoma" w:cs="Tahoma"/>
                                  <w:w w:val="105"/>
                                </w:rPr>
                                <w:t>los</w:t>
                              </w:r>
                              <w:r w:rsidRPr="0064256A">
                                <w:rPr>
                                  <w:rFonts w:ascii="Tahoma" w:hAnsi="Tahoma" w:cs="Tahoma"/>
                                  <w:spacing w:val="-4"/>
                                  <w:w w:val="105"/>
                                </w:rPr>
                                <w:t xml:space="preserve"> </w:t>
                              </w:r>
                              <w:r w:rsidRPr="0064256A">
                                <w:rPr>
                                  <w:rFonts w:ascii="Tahoma" w:hAnsi="Tahoma" w:cs="Tahoma"/>
                                  <w:w w:val="105"/>
                                </w:rPr>
                                <w:t>derechos</w:t>
                              </w:r>
                              <w:r w:rsidRPr="0064256A">
                                <w:rPr>
                                  <w:rFonts w:ascii="Tahoma" w:hAnsi="Tahoma" w:cs="Tahoma"/>
                                  <w:spacing w:val="-3"/>
                                  <w:w w:val="105"/>
                                </w:rPr>
                                <w:t xml:space="preserve"> </w:t>
                              </w:r>
                              <w:r w:rsidRPr="0064256A">
                                <w:rPr>
                                  <w:rFonts w:ascii="Tahoma" w:hAnsi="Tahoma" w:cs="Tahoma"/>
                                  <w:w w:val="105"/>
                                </w:rPr>
                                <w:t>reservados</w:t>
                              </w:r>
                              <w:r w:rsidRPr="0064256A">
                                <w:rPr>
                                  <w:rFonts w:ascii="Tahoma" w:hAnsi="Tahoma" w:cs="Tahoma"/>
                                  <w:spacing w:val="-4"/>
                                  <w:w w:val="105"/>
                                </w:rPr>
                                <w:t xml:space="preserve"> </w:t>
                              </w:r>
                              <w:r w:rsidRPr="0064256A">
                                <w:rPr>
                                  <w:rFonts w:ascii="Tahoma" w:hAnsi="Tahoma" w:cs="Tahoma"/>
                                  <w:w w:val="105"/>
                                </w:rPr>
                                <w:t>en</w:t>
                              </w:r>
                              <w:r w:rsidRPr="0064256A">
                                <w:rPr>
                                  <w:rFonts w:ascii="Tahoma" w:hAnsi="Tahoma" w:cs="Tahoma"/>
                                  <w:spacing w:val="-3"/>
                                  <w:w w:val="105"/>
                                </w:rPr>
                                <w:t xml:space="preserve"> </w:t>
                              </w:r>
                              <w:r w:rsidRPr="0064256A">
                                <w:rPr>
                                  <w:rFonts w:ascii="Tahoma" w:hAnsi="Tahoma" w:cs="Tahoma"/>
                                  <w:w w:val="105"/>
                                </w:rPr>
                                <w:t>todo</w:t>
                              </w:r>
                              <w:r w:rsidRPr="0064256A">
                                <w:rPr>
                                  <w:rFonts w:ascii="Tahoma" w:hAnsi="Tahoma" w:cs="Tahoma"/>
                                  <w:spacing w:val="-4"/>
                                  <w:w w:val="105"/>
                                </w:rPr>
                                <w:t xml:space="preserve"> </w:t>
                              </w:r>
                              <w:r w:rsidRPr="0064256A">
                                <w:rPr>
                                  <w:rFonts w:ascii="Tahoma" w:hAnsi="Tahoma" w:cs="Tahoma"/>
                                  <w:w w:val="105"/>
                                </w:rPr>
                                <w:t>el</w:t>
                              </w:r>
                              <w:r w:rsidRPr="0064256A">
                                <w:rPr>
                                  <w:rFonts w:ascii="Tahoma" w:hAnsi="Tahoma" w:cs="Tahoma"/>
                                  <w:spacing w:val="-3"/>
                                  <w:w w:val="105"/>
                                </w:rPr>
                                <w:t xml:space="preserve"> </w:t>
                              </w:r>
                              <w:r w:rsidRPr="0064256A">
                                <w:rPr>
                                  <w:rFonts w:ascii="Tahoma" w:hAnsi="Tahoma" w:cs="Tahoma"/>
                                  <w:spacing w:val="-2"/>
                                  <w:w w:val="105"/>
                                </w:rPr>
                                <w:t>mundo.</w:t>
                              </w:r>
                            </w:p>
                            <w:p w14:paraId="4FCA3671" w14:textId="77777777" w:rsidR="0014798C" w:rsidRPr="0064256A" w:rsidRDefault="004E1F0B" w:rsidP="0064256A">
                              <w:pPr>
                                <w:ind w:left="176"/>
                                <w:rPr>
                                  <w:rFonts w:ascii="Tahoma" w:hAnsi="Tahoma" w:cs="Tahoma"/>
                                </w:rPr>
                              </w:pPr>
                              <w:r w:rsidRPr="0064256A">
                                <w:rPr>
                                  <w:rFonts w:ascii="Tahoma" w:hAnsi="Tahoma" w:cs="Tahoma"/>
                                  <w:spacing w:val="-2"/>
                                </w:rPr>
                                <w:t>HR/PUB/22/6</w:t>
                              </w:r>
                            </w:p>
                            <w:p w14:paraId="1CBA2ED4" w14:textId="292341E6" w:rsidR="0014798C" w:rsidRPr="0064256A" w:rsidRDefault="004E1F0B" w:rsidP="00BF1DFC">
                              <w:pPr>
                                <w:ind w:left="176"/>
                                <w:rPr>
                                  <w:rFonts w:ascii="Tahoma" w:hAnsi="Tahoma" w:cs="Tahoma"/>
                                </w:rPr>
                              </w:pPr>
                              <w:r w:rsidRPr="0064256A">
                                <w:rPr>
                                  <w:rFonts w:ascii="Tahoma" w:hAnsi="Tahoma" w:cs="Tahoma"/>
                                </w:rPr>
                                <w:t>ISBN:</w:t>
                              </w:r>
                              <w:r w:rsidRPr="0064256A">
                                <w:rPr>
                                  <w:rFonts w:ascii="Tahoma" w:hAnsi="Tahoma" w:cs="Tahoma"/>
                                  <w:spacing w:val="11"/>
                                </w:rPr>
                                <w:t xml:space="preserve"> </w:t>
                              </w:r>
                              <w:r w:rsidRPr="0064256A">
                                <w:rPr>
                                  <w:rFonts w:ascii="Tahoma" w:hAnsi="Tahoma" w:cs="Tahoma"/>
                                </w:rPr>
                                <w:t>978­92­1­154243­</w:t>
                              </w:r>
                              <w:r w:rsidRPr="0064256A">
                                <w:rPr>
                                  <w:rFonts w:ascii="Tahoma" w:hAnsi="Tahoma" w:cs="Tahoma"/>
                                  <w:spacing w:val="-10"/>
                                </w:rPr>
                                <w:t>1</w:t>
                              </w:r>
                              <w:r w:rsidR="0064256A">
                                <w:rPr>
                                  <w:rFonts w:ascii="Tahoma" w:hAnsi="Tahoma" w:cs="Tahoma"/>
                                </w:rPr>
                                <w:t xml:space="preserve"> e </w:t>
                              </w:r>
                              <w:r w:rsidRPr="0064256A">
                                <w:rPr>
                                  <w:rFonts w:ascii="Tahoma" w:hAnsi="Tahoma" w:cs="Tahoma"/>
                                </w:rPr>
                                <w:t>ISBN:</w:t>
                              </w:r>
                              <w:r w:rsidRPr="0064256A">
                                <w:rPr>
                                  <w:rFonts w:ascii="Tahoma" w:hAnsi="Tahoma" w:cs="Tahoma"/>
                                  <w:spacing w:val="13"/>
                                </w:rPr>
                                <w:t xml:space="preserve"> </w:t>
                              </w:r>
                              <w:r w:rsidRPr="0064256A">
                                <w:rPr>
                                  <w:rFonts w:ascii="Tahoma" w:hAnsi="Tahoma" w:cs="Tahoma"/>
                                </w:rPr>
                                <w:t>978­92­1­001390­</w:t>
                              </w:r>
                              <w:r w:rsidRPr="0064256A">
                                <w:rPr>
                                  <w:rFonts w:ascii="Tahoma" w:hAnsi="Tahoma" w:cs="Tahoma"/>
                                  <w:spacing w:val="-10"/>
                                </w:rPr>
                                <w:t>1</w:t>
                              </w:r>
                            </w:p>
                            <w:p w14:paraId="2DA32E7E" w14:textId="77777777" w:rsidR="0014798C" w:rsidRPr="0064256A" w:rsidRDefault="004E1F0B">
                              <w:pPr>
                                <w:spacing w:before="78"/>
                                <w:ind w:left="179"/>
                                <w:rPr>
                                  <w:rFonts w:ascii="Tahoma" w:hAnsi="Tahoma" w:cs="Tahoma"/>
                                </w:rPr>
                              </w:pPr>
                              <w:r w:rsidRPr="0064256A">
                                <w:rPr>
                                  <w:rFonts w:ascii="Tahoma" w:hAnsi="Tahoma" w:cs="Tahoma"/>
                                </w:rPr>
                                <w:t>Número</w:t>
                              </w:r>
                              <w:r w:rsidRPr="0064256A">
                                <w:rPr>
                                  <w:rFonts w:ascii="Tahoma" w:hAnsi="Tahoma" w:cs="Tahoma"/>
                                  <w:spacing w:val="4"/>
                                </w:rPr>
                                <w:t xml:space="preserve"> </w:t>
                              </w:r>
                              <w:r w:rsidRPr="0064256A">
                                <w:rPr>
                                  <w:rFonts w:ascii="Tahoma" w:hAnsi="Tahoma" w:cs="Tahoma"/>
                                </w:rPr>
                                <w:t>de</w:t>
                              </w:r>
                              <w:r w:rsidRPr="0064256A">
                                <w:rPr>
                                  <w:rFonts w:ascii="Tahoma" w:hAnsi="Tahoma" w:cs="Tahoma"/>
                                  <w:spacing w:val="5"/>
                                </w:rPr>
                                <w:t xml:space="preserve"> </w:t>
                              </w:r>
                              <w:r w:rsidRPr="0064256A">
                                <w:rPr>
                                  <w:rFonts w:ascii="Tahoma" w:hAnsi="Tahoma" w:cs="Tahoma"/>
                                </w:rPr>
                                <w:t>venta:</w:t>
                              </w:r>
                              <w:r w:rsidRPr="0064256A">
                                <w:rPr>
                                  <w:rFonts w:ascii="Tahoma" w:hAnsi="Tahoma" w:cs="Tahoma"/>
                                  <w:spacing w:val="5"/>
                                </w:rPr>
                                <w:t xml:space="preserve"> </w:t>
                              </w:r>
                              <w:r w:rsidRPr="0064256A">
                                <w:rPr>
                                  <w:rFonts w:ascii="Tahoma" w:hAnsi="Tahoma" w:cs="Tahoma"/>
                                  <w:spacing w:val="-2"/>
                                </w:rPr>
                                <w:t>E.22.XIV.6</w:t>
                              </w:r>
                            </w:p>
                          </w:txbxContent>
                        </wps:txbx>
                        <wps:bodyPr wrap="square" lIns="0" tIns="0" rIns="0" bIns="0" rtlCol="0">
                          <a:noAutofit/>
                        </wps:bodyPr>
                      </wps:wsp>
                    </wpg:wgp>
                  </a:graphicData>
                </a:graphic>
                <wp14:sizeRelH relativeFrom="margin">
                  <wp14:pctWidth>0</wp14:pctWidth>
                </wp14:sizeRelH>
                <wp14:sizeRelV relativeFrom="margin">
                  <wp14:pctHeight>0</wp14:pctHeight>
                </wp14:sizeRelV>
              </wp:anchor>
            </w:drawing>
          </mc:Choice>
          <mc:Fallback>
            <w:pict>
              <v:group w14:anchorId="642F985A" id="Group 4" o:spid="_x0000_s1026" style="position:absolute;margin-left:65pt;margin-top:14.75pt;width:170.55pt;height:121.5pt;z-index:-251657978;mso-wrap-distance-left:0;mso-wrap-distance-right:0;mso-position-horizontal-relative:page;mso-width-relative:margin;mso-height-relative:margin" coordorigin="" coordsize="21659,11239"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 5" o:spid="_x0000_s1027" type="#_x0000_t75" style="position:absolute;width:21654;height:1123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">
                  <v:imagedata r:id="rId15" o:title=""/>
                </v:shape>
                <v:shapetype id="_x0000_t202" coordsize="21600,21600" o:spt="202" path="m,l,21600r21600,l21600,xe">
                  <v:stroke joinstyle="miter"/>
                  <v:path gradientshapeok="t" o:connecttype="rect"/>
                </v:shapetype>
                <v:shape id="Textbox 6" o:spid="_x0000_s1028" type="#_x0000_t202" style="position:absolute;width:21659;height:112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" filled="f" stroked="f">
                  <v:textbox inset="0,0,0,0">
                    <w:txbxContent>
                      <w:p w14:paraId="30F66F57" w14:textId="77777777" w:rsidR="0014798C" w:rsidRPr="0064256A" w:rsidRDefault="0014798C" w:rsidP="0064256A">
                        <w:pPr>
                          <w:rPr>
                            <w:rFonts w:ascii="Tahoma" w:hAnsi="Tahoma" w:cs="Tahoma"/>
                          </w:rPr>
                        </w:pPr>
                      </w:p>
                      <w:p w14:paraId="791A3A90" w14:textId="77777777" w:rsidR="0014798C" w:rsidRPr="0064256A" w:rsidRDefault="004E1F0B" w:rsidP="0064256A">
                        <w:pPr>
                          <w:ind w:left="178"/>
                          <w:rPr>
                            <w:rFonts w:ascii="Tahoma" w:hAnsi="Tahoma" w:cs="Tahoma"/>
                          </w:rPr>
                        </w:pPr>
                        <w:r w:rsidRPr="0064256A">
                          <w:rPr>
                            <w:rFonts w:ascii="Tahoma" w:hAnsi="Tahoma" w:cs="Tahoma"/>
                          </w:rPr>
                          <w:t>©</w:t>
                        </w:r>
                        <w:r w:rsidRPr="0064256A">
                          <w:rPr>
                            <w:rFonts w:ascii="Tahoma" w:hAnsi="Tahoma" w:cs="Tahoma"/>
                            <w:spacing w:val="6"/>
                          </w:rPr>
                          <w:t xml:space="preserve"> </w:t>
                        </w:r>
                        <w:r w:rsidRPr="0064256A">
                          <w:rPr>
                            <w:rFonts w:ascii="Tahoma" w:hAnsi="Tahoma" w:cs="Tahoma"/>
                          </w:rPr>
                          <w:t>2023</w:t>
                        </w:r>
                        <w:r w:rsidRPr="0064256A">
                          <w:rPr>
                            <w:rFonts w:ascii="Tahoma" w:hAnsi="Tahoma" w:cs="Tahoma"/>
                            <w:spacing w:val="7"/>
                          </w:rPr>
                          <w:t xml:space="preserve"> </w:t>
                        </w:r>
                        <w:r w:rsidRPr="0064256A">
                          <w:rPr>
                            <w:rFonts w:ascii="Tahoma" w:hAnsi="Tahoma" w:cs="Tahoma"/>
                          </w:rPr>
                          <w:t>Naciones</w:t>
                        </w:r>
                        <w:r w:rsidRPr="0064256A">
                          <w:rPr>
                            <w:rFonts w:ascii="Tahoma" w:hAnsi="Tahoma" w:cs="Tahoma"/>
                            <w:spacing w:val="6"/>
                          </w:rPr>
                          <w:t xml:space="preserve"> </w:t>
                        </w:r>
                        <w:r w:rsidRPr="0064256A">
                          <w:rPr>
                            <w:rFonts w:ascii="Tahoma" w:hAnsi="Tahoma" w:cs="Tahoma"/>
                            <w:spacing w:val="-2"/>
                          </w:rPr>
                          <w:t>Unidas</w:t>
                        </w:r>
                      </w:p>
                      <w:p w14:paraId="7E459DF8" w14:textId="77777777" w:rsidR="0014798C" w:rsidRPr="0064256A" w:rsidRDefault="004E1F0B" w:rsidP="0064256A">
                        <w:pPr>
                          <w:ind w:left="174"/>
                          <w:rPr>
                            <w:rFonts w:ascii="Tahoma" w:hAnsi="Tahoma" w:cs="Tahoma"/>
                          </w:rPr>
                        </w:pPr>
                        <w:r w:rsidRPr="0064256A">
                          <w:rPr>
                            <w:rFonts w:ascii="Tahoma" w:hAnsi="Tahoma" w:cs="Tahoma"/>
                            <w:w w:val="105"/>
                          </w:rPr>
                          <w:t>Todos</w:t>
                        </w:r>
                        <w:r w:rsidRPr="0064256A">
                          <w:rPr>
                            <w:rFonts w:ascii="Tahoma" w:hAnsi="Tahoma" w:cs="Tahoma"/>
                            <w:spacing w:val="-4"/>
                            <w:w w:val="105"/>
                          </w:rPr>
                          <w:t xml:space="preserve"> </w:t>
                        </w:r>
                        <w:r w:rsidRPr="0064256A">
                          <w:rPr>
                            <w:rFonts w:ascii="Tahoma" w:hAnsi="Tahoma" w:cs="Tahoma"/>
                            <w:w w:val="105"/>
                          </w:rPr>
                          <w:t>los</w:t>
                        </w:r>
                        <w:r w:rsidRPr="0064256A">
                          <w:rPr>
                            <w:rFonts w:ascii="Tahoma" w:hAnsi="Tahoma" w:cs="Tahoma"/>
                            <w:spacing w:val="-4"/>
                            <w:w w:val="105"/>
                          </w:rPr>
                          <w:t xml:space="preserve"> </w:t>
                        </w:r>
                        <w:r w:rsidRPr="0064256A">
                          <w:rPr>
                            <w:rFonts w:ascii="Tahoma" w:hAnsi="Tahoma" w:cs="Tahoma"/>
                            <w:w w:val="105"/>
                          </w:rPr>
                          <w:t>derechos</w:t>
                        </w:r>
                        <w:r w:rsidRPr="0064256A">
                          <w:rPr>
                            <w:rFonts w:ascii="Tahoma" w:hAnsi="Tahoma" w:cs="Tahoma"/>
                            <w:spacing w:val="-3"/>
                            <w:w w:val="105"/>
                          </w:rPr>
                          <w:t xml:space="preserve"> </w:t>
                        </w:r>
                        <w:r w:rsidRPr="0064256A">
                          <w:rPr>
                            <w:rFonts w:ascii="Tahoma" w:hAnsi="Tahoma" w:cs="Tahoma"/>
                            <w:w w:val="105"/>
                          </w:rPr>
                          <w:t>reservados</w:t>
                        </w:r>
                        <w:r w:rsidRPr="0064256A">
                          <w:rPr>
                            <w:rFonts w:ascii="Tahoma" w:hAnsi="Tahoma" w:cs="Tahoma"/>
                            <w:spacing w:val="-4"/>
                            <w:w w:val="105"/>
                          </w:rPr>
                          <w:t xml:space="preserve"> </w:t>
                        </w:r>
                        <w:r w:rsidRPr="0064256A">
                          <w:rPr>
                            <w:rFonts w:ascii="Tahoma" w:hAnsi="Tahoma" w:cs="Tahoma"/>
                            <w:w w:val="105"/>
                          </w:rPr>
                          <w:t>en</w:t>
                        </w:r>
                        <w:r w:rsidRPr="0064256A">
                          <w:rPr>
                            <w:rFonts w:ascii="Tahoma" w:hAnsi="Tahoma" w:cs="Tahoma"/>
                            <w:spacing w:val="-3"/>
                            <w:w w:val="105"/>
                          </w:rPr>
                          <w:t xml:space="preserve"> </w:t>
                        </w:r>
                        <w:r w:rsidRPr="0064256A">
                          <w:rPr>
                            <w:rFonts w:ascii="Tahoma" w:hAnsi="Tahoma" w:cs="Tahoma"/>
                            <w:w w:val="105"/>
                          </w:rPr>
                          <w:t>todo</w:t>
                        </w:r>
                        <w:r w:rsidRPr="0064256A">
                          <w:rPr>
                            <w:rFonts w:ascii="Tahoma" w:hAnsi="Tahoma" w:cs="Tahoma"/>
                            <w:spacing w:val="-4"/>
                            <w:w w:val="105"/>
                          </w:rPr>
                          <w:t xml:space="preserve"> </w:t>
                        </w:r>
                        <w:r w:rsidRPr="0064256A">
                          <w:rPr>
                            <w:rFonts w:ascii="Tahoma" w:hAnsi="Tahoma" w:cs="Tahoma"/>
                            <w:w w:val="105"/>
                          </w:rPr>
                          <w:t>el</w:t>
                        </w:r>
                        <w:r w:rsidRPr="0064256A">
                          <w:rPr>
                            <w:rFonts w:ascii="Tahoma" w:hAnsi="Tahoma" w:cs="Tahoma"/>
                            <w:spacing w:val="-3"/>
                            <w:w w:val="105"/>
                          </w:rPr>
                          <w:t xml:space="preserve"> </w:t>
                        </w:r>
                        <w:r w:rsidRPr="0064256A">
                          <w:rPr>
                            <w:rFonts w:ascii="Tahoma" w:hAnsi="Tahoma" w:cs="Tahoma"/>
                            <w:spacing w:val="-2"/>
                            <w:w w:val="105"/>
                          </w:rPr>
                          <w:t>mundo.</w:t>
                        </w:r>
                      </w:p>
                      <w:p w14:paraId="4FCA3671" w14:textId="77777777" w:rsidR="0014798C" w:rsidRPr="0064256A" w:rsidRDefault="004E1F0B" w:rsidP="0064256A">
                        <w:pPr>
                          <w:ind w:left="176"/>
                          <w:rPr>
                            <w:rFonts w:ascii="Tahoma" w:hAnsi="Tahoma" w:cs="Tahoma"/>
                          </w:rPr>
                        </w:pPr>
                        <w:r w:rsidRPr="0064256A">
                          <w:rPr>
                            <w:rFonts w:ascii="Tahoma" w:hAnsi="Tahoma" w:cs="Tahoma"/>
                            <w:spacing w:val="-2"/>
                          </w:rPr>
                          <w:t>HR/PUB/22/6</w:t>
                        </w:r>
                      </w:p>
                      <w:p w14:paraId="1CBA2ED4" w14:textId="292341E6" w:rsidR="0014798C" w:rsidRPr="0064256A" w:rsidRDefault="004E1F0B" w:rsidP="00BF1DFC">
                        <w:pPr>
                          <w:ind w:left="176"/>
                          <w:rPr>
                            <w:rFonts w:ascii="Tahoma" w:hAnsi="Tahoma" w:cs="Tahoma"/>
                          </w:rPr>
                        </w:pPr>
                        <w:r w:rsidRPr="0064256A">
                          <w:rPr>
                            <w:rFonts w:ascii="Tahoma" w:hAnsi="Tahoma" w:cs="Tahoma"/>
                          </w:rPr>
                          <w:t>ISBN:</w:t>
                        </w:r>
                        <w:r w:rsidRPr="0064256A">
                          <w:rPr>
                            <w:rFonts w:ascii="Tahoma" w:hAnsi="Tahoma" w:cs="Tahoma"/>
                            <w:spacing w:val="11"/>
                          </w:rPr>
                          <w:t xml:space="preserve"> </w:t>
                        </w:r>
                        <w:r w:rsidRPr="0064256A">
                          <w:rPr>
                            <w:rFonts w:ascii="Tahoma" w:hAnsi="Tahoma" w:cs="Tahoma"/>
                          </w:rPr>
                          <w:t>978­92­1­154243­</w:t>
                        </w:r>
                        <w:r w:rsidRPr="0064256A">
                          <w:rPr>
                            <w:rFonts w:ascii="Tahoma" w:hAnsi="Tahoma" w:cs="Tahoma"/>
                            <w:spacing w:val="-10"/>
                          </w:rPr>
                          <w:t>1</w:t>
                        </w:r>
                        <w:r w:rsidR="0064256A">
                          <w:rPr>
                            <w:rFonts w:ascii="Tahoma" w:hAnsi="Tahoma" w:cs="Tahoma"/>
                          </w:rPr>
                          <w:t xml:space="preserve"> e </w:t>
                        </w:r>
                        <w:r w:rsidRPr="0064256A">
                          <w:rPr>
                            <w:rFonts w:ascii="Tahoma" w:hAnsi="Tahoma" w:cs="Tahoma"/>
                          </w:rPr>
                          <w:t>ISBN:</w:t>
                        </w:r>
                        <w:r w:rsidRPr="0064256A">
                          <w:rPr>
                            <w:rFonts w:ascii="Tahoma" w:hAnsi="Tahoma" w:cs="Tahoma"/>
                            <w:spacing w:val="13"/>
                          </w:rPr>
                          <w:t xml:space="preserve"> </w:t>
                        </w:r>
                        <w:r w:rsidRPr="0064256A">
                          <w:rPr>
                            <w:rFonts w:ascii="Tahoma" w:hAnsi="Tahoma" w:cs="Tahoma"/>
                          </w:rPr>
                          <w:t>978­92­1­001390­</w:t>
                        </w:r>
                        <w:r w:rsidRPr="0064256A">
                          <w:rPr>
                            <w:rFonts w:ascii="Tahoma" w:hAnsi="Tahoma" w:cs="Tahoma"/>
                            <w:spacing w:val="-10"/>
                          </w:rPr>
                          <w:t>1</w:t>
                        </w:r>
                      </w:p>
                      <w:p w14:paraId="2DA32E7E" w14:textId="77777777" w:rsidR="0014798C" w:rsidRPr="0064256A" w:rsidRDefault="004E1F0B">
                        <w:pPr>
                          <w:spacing w:before="78"/>
                          <w:ind w:left="179"/>
                          <w:rPr>
                            <w:rFonts w:ascii="Tahoma" w:hAnsi="Tahoma" w:cs="Tahoma"/>
                          </w:rPr>
                        </w:pPr>
                        <w:r w:rsidRPr="0064256A">
                          <w:rPr>
                            <w:rFonts w:ascii="Tahoma" w:hAnsi="Tahoma" w:cs="Tahoma"/>
                          </w:rPr>
                          <w:t>Número</w:t>
                        </w:r>
                        <w:r w:rsidRPr="0064256A">
                          <w:rPr>
                            <w:rFonts w:ascii="Tahoma" w:hAnsi="Tahoma" w:cs="Tahoma"/>
                            <w:spacing w:val="4"/>
                          </w:rPr>
                          <w:t xml:space="preserve"> </w:t>
                        </w:r>
                        <w:r w:rsidRPr="0064256A">
                          <w:rPr>
                            <w:rFonts w:ascii="Tahoma" w:hAnsi="Tahoma" w:cs="Tahoma"/>
                          </w:rPr>
                          <w:t>de</w:t>
                        </w:r>
                        <w:r w:rsidRPr="0064256A">
                          <w:rPr>
                            <w:rFonts w:ascii="Tahoma" w:hAnsi="Tahoma" w:cs="Tahoma"/>
                            <w:spacing w:val="5"/>
                          </w:rPr>
                          <w:t xml:space="preserve"> </w:t>
                        </w:r>
                        <w:r w:rsidRPr="0064256A">
                          <w:rPr>
                            <w:rFonts w:ascii="Tahoma" w:hAnsi="Tahoma" w:cs="Tahoma"/>
                          </w:rPr>
                          <w:t>venta:</w:t>
                        </w:r>
                        <w:r w:rsidRPr="0064256A">
                          <w:rPr>
                            <w:rFonts w:ascii="Tahoma" w:hAnsi="Tahoma" w:cs="Tahoma"/>
                            <w:spacing w:val="5"/>
                          </w:rPr>
                          <w:t xml:space="preserve"> </w:t>
                        </w:r>
                        <w:r w:rsidRPr="0064256A">
                          <w:rPr>
                            <w:rFonts w:ascii="Tahoma" w:hAnsi="Tahoma" w:cs="Tahoma"/>
                            <w:spacing w:val="-2"/>
                          </w:rPr>
                          <w:t>E.22.XIV.6</w:t>
                        </w:r>
                      </w:p>
                    </w:txbxContent>
                  </v:textbox>
                </v:shape>
                <w10:wrap type="topAndBottom" anchorx="page"/>
              </v:group>
            </w:pict>
          </mc:Fallback>
        </mc:AlternateContent>
      </w:r>
    </w:p>
    <w:p w14:paraId="5D8EC1B5" w14:textId="77777777" w:rsidR="0014798C" w:rsidRPr="0064256A" w:rsidRDefault="0014798C" w:rsidP="0064256A">
      <w:pPr>
        <w:pStyle w:val="Textoindependiente"/>
        <w:ind w:left="1134" w:right="1352"/>
        <w:jc w:val="both"/>
        <w:rPr>
          <w:rFonts w:ascii="Tahoma" w:hAnsi="Tahoma" w:cs="Tahoma"/>
          <w:sz w:val="24"/>
          <w:szCs w:val="24"/>
        </w:rPr>
      </w:pPr>
    </w:p>
    <w:p w14:paraId="48AA34CA" w14:textId="77777777" w:rsidR="0014798C" w:rsidRPr="0064256A" w:rsidRDefault="004E1F0B" w:rsidP="0064256A">
      <w:pPr>
        <w:pStyle w:val="Textoindependiente"/>
        <w:ind w:left="1134" w:right="1352"/>
        <w:jc w:val="both"/>
        <w:rPr>
          <w:rFonts w:ascii="Tahoma" w:hAnsi="Tahoma" w:cs="Tahoma"/>
          <w:sz w:val="22"/>
          <w:szCs w:val="22"/>
        </w:rPr>
      </w:pPr>
      <w:r w:rsidRPr="0064256A">
        <w:rPr>
          <w:rFonts w:ascii="Tahoma" w:hAnsi="Tahoma" w:cs="Tahoma"/>
          <w:sz w:val="22"/>
          <w:szCs w:val="22"/>
        </w:rPr>
        <w:t>Las ilustraciones de la portada y de la página interior de esta publicación fueron diseñadas por Benito Cabañas, como parte de la campaña de aniversario de ACNUDH “Todo en 4 Derechos de las Minorías”. Las imágenes fueron modificadas por el Servicio de Publicaciones de la Oficina de las Naciones Unidas en Ginebra para su uso en la Guía Práctica, con la amable autorización de Benito Cabañas.</w:t>
      </w:r>
    </w:p>
    <w:p w14:paraId="44B802C6" w14:textId="77777777" w:rsidR="0014798C" w:rsidRDefault="0014798C">
      <w:pPr>
        <w:spacing w:line="348" w:lineRule="auto"/>
        <w:jc w:val="both"/>
        <w:rPr>
          <w:sz w:val="15"/>
        </w:rPr>
        <w:sectPr w:rsidR="0014798C" w:rsidSect="00F265E4">
          <w:headerReference w:type="default" r:id="rId16"/>
          <w:pgSz w:w="11900" w:h="16820"/>
          <w:pgMar w:top="340" w:right="0" w:bottom="280" w:left="200" w:header="121" w:footer="0" w:gutter="0"/>
          <w:cols w:space="720"/>
        </w:sectPr>
      </w:pPr>
    </w:p>
    <w:p w14:paraId="624F3427" w14:textId="77777777" w:rsidR="0014798C" w:rsidRDefault="0014798C">
      <w:pPr>
        <w:pStyle w:val="Textoindependiente"/>
        <w:rPr>
          <w:sz w:val="42"/>
        </w:rPr>
      </w:pPr>
    </w:p>
    <w:p w14:paraId="02F004CE" w14:textId="77777777" w:rsidR="003E5960" w:rsidRDefault="003E5960" w:rsidP="003E5960">
      <w:pPr>
        <w:tabs>
          <w:tab w:val="right" w:leader="dot" w:pos="9666"/>
        </w:tabs>
        <w:ind w:left="1117"/>
        <w:rPr>
          <w:rFonts w:ascii="Tahoma" w:hAnsi="Tahoma" w:cs="Tahoma"/>
          <w:b/>
          <w:bCs/>
          <w:spacing w:val="-2"/>
          <w:sz w:val="40"/>
          <w:szCs w:val="40"/>
        </w:rPr>
      </w:pPr>
    </w:p>
    <w:p w14:paraId="6D762E74" w14:textId="77777777" w:rsidR="003E5960" w:rsidRDefault="003E5960" w:rsidP="003E5960">
      <w:pPr>
        <w:tabs>
          <w:tab w:val="right" w:leader="dot" w:pos="9666"/>
        </w:tabs>
        <w:ind w:left="1117"/>
        <w:rPr>
          <w:rFonts w:ascii="Tahoma" w:hAnsi="Tahoma" w:cs="Tahoma"/>
          <w:b/>
          <w:bCs/>
          <w:spacing w:val="-2"/>
          <w:sz w:val="40"/>
          <w:szCs w:val="40"/>
        </w:rPr>
      </w:pPr>
    </w:p>
    <w:p w14:paraId="76BE44FC" w14:textId="66633782" w:rsidR="003E5960" w:rsidRPr="003E5960" w:rsidRDefault="003E5960" w:rsidP="003E5960">
      <w:pPr>
        <w:tabs>
          <w:tab w:val="right" w:leader="dot" w:pos="9666"/>
        </w:tabs>
        <w:ind w:left="1117"/>
        <w:rPr>
          <w:rFonts w:ascii="Tahoma" w:hAnsi="Tahoma" w:cs="Tahoma"/>
          <w:spacing w:val="-2"/>
          <w:sz w:val="48"/>
          <w:szCs w:val="48"/>
        </w:rPr>
      </w:pPr>
      <w:r w:rsidRPr="003E5960">
        <w:rPr>
          <w:rFonts w:ascii="Tahoma" w:hAnsi="Tahoma" w:cs="Tahoma"/>
          <w:spacing w:val="-2"/>
          <w:sz w:val="48"/>
          <w:szCs w:val="48"/>
        </w:rPr>
        <w:t>CONTENIDO</w:t>
      </w:r>
    </w:p>
    <w:p w14:paraId="7C695E45" w14:textId="77777777" w:rsidR="003E5960" w:rsidRPr="007F6D54" w:rsidRDefault="003E5960" w:rsidP="003E5960">
      <w:pPr>
        <w:tabs>
          <w:tab w:val="right" w:leader="dot" w:pos="9666"/>
        </w:tabs>
        <w:ind w:left="1117"/>
        <w:rPr>
          <w:rFonts w:ascii="Tahoma" w:hAnsi="Tahoma" w:cs="Tahoma"/>
          <w:sz w:val="18"/>
          <w:szCs w:val="18"/>
        </w:rPr>
      </w:pPr>
      <w:r w:rsidRPr="007F6D54">
        <w:rPr>
          <w:rFonts w:ascii="Tahoma" w:hAnsi="Tahoma" w:cs="Tahoma"/>
          <w:spacing w:val="-2"/>
          <w:sz w:val="18"/>
          <w:szCs w:val="18"/>
        </w:rPr>
        <w:t>PRÓLOGO</w:t>
      </w:r>
    </w:p>
    <w:p w14:paraId="71527E77" w14:textId="77777777" w:rsidR="003E5960" w:rsidRPr="007F6D54" w:rsidRDefault="003E5960" w:rsidP="003E5960">
      <w:pPr>
        <w:tabs>
          <w:tab w:val="right" w:leader="dot" w:pos="9385"/>
        </w:tabs>
        <w:ind w:left="1102"/>
        <w:rPr>
          <w:rFonts w:ascii="Tahoma" w:hAnsi="Tahoma" w:cs="Tahoma"/>
          <w:sz w:val="18"/>
          <w:szCs w:val="18"/>
        </w:rPr>
      </w:pPr>
      <w:r w:rsidRPr="007F6D54">
        <w:rPr>
          <w:rFonts w:ascii="Tahoma" w:hAnsi="Tahoma" w:cs="Tahoma"/>
          <w:spacing w:val="-2"/>
          <w:sz w:val="18"/>
          <w:szCs w:val="18"/>
        </w:rPr>
        <w:t>AGRADECIMIENTOS</w:t>
      </w:r>
    </w:p>
    <w:p w14:paraId="04CA8FBF" w14:textId="77777777" w:rsidR="003E5960" w:rsidRPr="007F6D54" w:rsidRDefault="003E5960" w:rsidP="003E5960">
      <w:pPr>
        <w:tabs>
          <w:tab w:val="right" w:leader="dot" w:pos="9774"/>
        </w:tabs>
        <w:ind w:left="1117"/>
        <w:rPr>
          <w:rFonts w:ascii="Tahoma" w:hAnsi="Tahoma" w:cs="Tahoma"/>
          <w:sz w:val="18"/>
          <w:szCs w:val="18"/>
        </w:rPr>
      </w:pPr>
      <w:r w:rsidRPr="007F6D54">
        <w:rPr>
          <w:rFonts w:ascii="Tahoma" w:hAnsi="Tahoma" w:cs="Tahoma"/>
          <w:spacing w:val="-2"/>
          <w:sz w:val="18"/>
          <w:szCs w:val="18"/>
        </w:rPr>
        <w:t>RESUMEN</w:t>
      </w:r>
      <w:r w:rsidRPr="007F6D54">
        <w:rPr>
          <w:rFonts w:ascii="Tahoma" w:hAnsi="Tahoma" w:cs="Tahoma"/>
          <w:spacing w:val="-5"/>
          <w:sz w:val="18"/>
          <w:szCs w:val="18"/>
        </w:rPr>
        <w:t xml:space="preserve"> </w:t>
      </w:r>
      <w:r w:rsidRPr="007F6D54">
        <w:rPr>
          <w:rFonts w:ascii="Tahoma" w:hAnsi="Tahoma" w:cs="Tahoma"/>
          <w:spacing w:val="-2"/>
          <w:sz w:val="18"/>
          <w:szCs w:val="18"/>
        </w:rPr>
        <w:t>EJECUTIVO</w:t>
      </w:r>
    </w:p>
    <w:p w14:paraId="69F9573E" w14:textId="77777777" w:rsidR="003E5960" w:rsidRPr="007F6D54" w:rsidRDefault="003E5960" w:rsidP="003E5960">
      <w:pPr>
        <w:tabs>
          <w:tab w:val="right" w:leader="dot" w:pos="7519"/>
        </w:tabs>
        <w:ind w:left="1117"/>
        <w:rPr>
          <w:rFonts w:ascii="Tahoma" w:hAnsi="Tahoma" w:cs="Tahoma"/>
          <w:spacing w:val="-2"/>
          <w:sz w:val="18"/>
          <w:szCs w:val="18"/>
        </w:rPr>
      </w:pPr>
      <w:r w:rsidRPr="007F6D54">
        <w:rPr>
          <w:rFonts w:ascii="Tahoma" w:hAnsi="Tahoma" w:cs="Tahoma"/>
          <w:spacing w:val="-2"/>
          <w:sz w:val="18"/>
          <w:szCs w:val="18"/>
        </w:rPr>
        <w:t>INTRODUCCIÓN</w:t>
      </w:r>
    </w:p>
    <w:p w14:paraId="1D94E2F5" w14:textId="77777777" w:rsidR="003E5960" w:rsidRPr="007F6D54" w:rsidRDefault="003E5960" w:rsidP="003E5960">
      <w:pPr>
        <w:tabs>
          <w:tab w:val="right" w:leader="dot" w:pos="7519"/>
        </w:tabs>
        <w:ind w:left="1117"/>
        <w:rPr>
          <w:rFonts w:ascii="Tahoma" w:hAnsi="Tahoma" w:cs="Tahoma"/>
          <w:spacing w:val="-2"/>
          <w:sz w:val="18"/>
          <w:szCs w:val="18"/>
        </w:rPr>
      </w:pPr>
    </w:p>
    <w:p w14:paraId="73D38706" w14:textId="5B00EC9D" w:rsidR="003E5960" w:rsidRPr="007F6D54" w:rsidRDefault="003E5960" w:rsidP="003E5960">
      <w:pPr>
        <w:pStyle w:val="Prrafodelista"/>
        <w:numPr>
          <w:ilvl w:val="0"/>
          <w:numId w:val="105"/>
        </w:numPr>
        <w:tabs>
          <w:tab w:val="left" w:pos="1236"/>
          <w:tab w:val="left" w:leader="dot" w:pos="7271"/>
        </w:tabs>
        <w:ind w:left="1236" w:hanging="122"/>
        <w:rPr>
          <w:rFonts w:ascii="Tahoma" w:hAnsi="Tahoma" w:cs="Tahoma"/>
          <w:sz w:val="18"/>
          <w:szCs w:val="18"/>
        </w:rPr>
      </w:pPr>
      <w:hyperlink w:anchor="alcance" w:history="1">
        <w:r w:rsidRPr="005C01C5">
          <w:rPr>
            <w:rStyle w:val="Hipervnculo"/>
            <w:rFonts w:ascii="Tahoma" w:hAnsi="Tahoma" w:cs="Tahoma"/>
            <w:spacing w:val="-2"/>
            <w:sz w:val="18"/>
            <w:szCs w:val="18"/>
          </w:rPr>
          <w:t>METODOLOGÍA,</w:t>
        </w:r>
        <w:r w:rsidRPr="005C01C5">
          <w:rPr>
            <w:rStyle w:val="Hipervnculo"/>
            <w:rFonts w:ascii="Tahoma" w:hAnsi="Tahoma" w:cs="Tahoma"/>
            <w:spacing w:val="-7"/>
            <w:sz w:val="18"/>
            <w:szCs w:val="18"/>
          </w:rPr>
          <w:t xml:space="preserve"> </w:t>
        </w:r>
        <w:r w:rsidRPr="005C01C5">
          <w:rPr>
            <w:rStyle w:val="Hipervnculo"/>
            <w:rFonts w:ascii="Tahoma" w:hAnsi="Tahoma" w:cs="Tahoma"/>
            <w:spacing w:val="-2"/>
            <w:sz w:val="18"/>
            <w:szCs w:val="18"/>
          </w:rPr>
          <w:t>ALCANCE</w:t>
        </w:r>
        <w:r w:rsidRPr="005C01C5">
          <w:rPr>
            <w:rStyle w:val="Hipervnculo"/>
            <w:rFonts w:ascii="Tahoma" w:hAnsi="Tahoma" w:cs="Tahoma"/>
            <w:spacing w:val="-6"/>
            <w:sz w:val="18"/>
            <w:szCs w:val="18"/>
          </w:rPr>
          <w:t xml:space="preserve"> </w:t>
        </w:r>
        <w:r w:rsidRPr="005C01C5">
          <w:rPr>
            <w:rStyle w:val="Hipervnculo"/>
            <w:rFonts w:ascii="Tahoma" w:hAnsi="Tahoma" w:cs="Tahoma"/>
            <w:spacing w:val="-2"/>
            <w:sz w:val="18"/>
            <w:szCs w:val="18"/>
          </w:rPr>
          <w:t>Y</w:t>
        </w:r>
        <w:r w:rsidRPr="005C01C5">
          <w:rPr>
            <w:rStyle w:val="Hipervnculo"/>
            <w:rFonts w:ascii="Tahoma" w:hAnsi="Tahoma" w:cs="Tahoma"/>
            <w:spacing w:val="-7"/>
            <w:sz w:val="18"/>
            <w:szCs w:val="18"/>
          </w:rPr>
          <w:t xml:space="preserve"> </w:t>
        </w:r>
        <w:r w:rsidRPr="005C01C5">
          <w:rPr>
            <w:rStyle w:val="Hipervnculo"/>
            <w:rFonts w:ascii="Tahoma" w:hAnsi="Tahoma" w:cs="Tahoma"/>
            <w:spacing w:val="-2"/>
            <w:sz w:val="18"/>
            <w:szCs w:val="18"/>
          </w:rPr>
          <w:t>LIMITACIONES</w:t>
        </w:r>
      </w:hyperlink>
    </w:p>
    <w:p w14:paraId="14EFEFF6" w14:textId="77777777" w:rsidR="003E5960" w:rsidRPr="007F6D54" w:rsidRDefault="003E5960" w:rsidP="003E5960">
      <w:pPr>
        <w:tabs>
          <w:tab w:val="left" w:pos="1236"/>
          <w:tab w:val="left" w:leader="dot" w:pos="7271"/>
        </w:tabs>
        <w:ind w:left="1114"/>
        <w:rPr>
          <w:rFonts w:ascii="Tahoma" w:hAnsi="Tahoma" w:cs="Tahoma"/>
          <w:spacing w:val="-2"/>
          <w:sz w:val="18"/>
          <w:szCs w:val="18"/>
        </w:rPr>
      </w:pPr>
      <w:r w:rsidRPr="007F6D54">
        <w:rPr>
          <w:rFonts w:ascii="Tahoma" w:hAnsi="Tahoma" w:cs="Tahoma"/>
          <w:spacing w:val="-2"/>
          <w:sz w:val="18"/>
          <w:szCs w:val="18"/>
        </w:rPr>
        <w:t>A. Proceso</w:t>
      </w:r>
      <w:r w:rsidRPr="007F6D54">
        <w:rPr>
          <w:rFonts w:ascii="Tahoma" w:hAnsi="Tahoma" w:cs="Tahoma"/>
          <w:spacing w:val="-3"/>
          <w:sz w:val="18"/>
          <w:szCs w:val="18"/>
        </w:rPr>
        <w:t xml:space="preserve"> </w:t>
      </w:r>
      <w:r w:rsidRPr="007F6D54">
        <w:rPr>
          <w:rFonts w:ascii="Tahoma" w:hAnsi="Tahoma" w:cs="Tahoma"/>
          <w:spacing w:val="-2"/>
          <w:sz w:val="18"/>
          <w:szCs w:val="18"/>
        </w:rPr>
        <w:t xml:space="preserve">y metodología </w:t>
      </w:r>
      <w:r w:rsidRPr="007F6D54">
        <w:rPr>
          <w:rFonts w:ascii="Tahoma" w:hAnsi="Tahoma" w:cs="Tahoma"/>
          <w:spacing w:val="-5"/>
          <w:sz w:val="18"/>
          <w:szCs w:val="18"/>
        </w:rPr>
        <w:t>de</w:t>
      </w:r>
      <w:r w:rsidRPr="007F6D54">
        <w:rPr>
          <w:rFonts w:ascii="Tahoma" w:hAnsi="Tahoma" w:cs="Tahoma"/>
          <w:sz w:val="18"/>
          <w:szCs w:val="18"/>
        </w:rPr>
        <w:t xml:space="preserve"> </w:t>
      </w:r>
      <w:r w:rsidRPr="007F6D54">
        <w:rPr>
          <w:rFonts w:ascii="Tahoma" w:hAnsi="Tahoma" w:cs="Tahoma"/>
          <w:spacing w:val="-2"/>
          <w:sz w:val="18"/>
          <w:szCs w:val="18"/>
        </w:rPr>
        <w:t>investigación</w:t>
      </w:r>
    </w:p>
    <w:p w14:paraId="53D570BB" w14:textId="77777777" w:rsidR="003E5960" w:rsidRPr="007F6D54" w:rsidRDefault="003E5960" w:rsidP="003E5960">
      <w:pPr>
        <w:tabs>
          <w:tab w:val="left" w:pos="1236"/>
          <w:tab w:val="left" w:leader="dot" w:pos="7271"/>
        </w:tabs>
        <w:ind w:left="1114"/>
        <w:rPr>
          <w:rFonts w:ascii="Tahoma" w:hAnsi="Tahoma" w:cs="Tahoma"/>
          <w:spacing w:val="-4"/>
          <w:sz w:val="18"/>
          <w:szCs w:val="18"/>
        </w:rPr>
      </w:pPr>
      <w:r w:rsidRPr="007F6D54">
        <w:rPr>
          <w:rFonts w:ascii="Tahoma" w:hAnsi="Tahoma" w:cs="Tahoma"/>
          <w:spacing w:val="-2"/>
          <w:sz w:val="18"/>
          <w:szCs w:val="18"/>
        </w:rPr>
        <w:t xml:space="preserve">B. Supervisión </w:t>
      </w:r>
      <w:r w:rsidRPr="007F6D54">
        <w:rPr>
          <w:rFonts w:ascii="Tahoma" w:hAnsi="Tahoma" w:cs="Tahoma"/>
          <w:spacing w:val="-10"/>
          <w:sz w:val="18"/>
          <w:szCs w:val="18"/>
        </w:rPr>
        <w:t>y</w:t>
      </w:r>
      <w:r w:rsidRPr="007F6D54">
        <w:rPr>
          <w:rFonts w:ascii="Tahoma" w:hAnsi="Tahoma" w:cs="Tahoma"/>
          <w:sz w:val="18"/>
          <w:szCs w:val="18"/>
        </w:rPr>
        <w:t xml:space="preserve"> </w:t>
      </w:r>
      <w:r w:rsidRPr="007F6D54">
        <w:rPr>
          <w:rFonts w:ascii="Tahoma" w:hAnsi="Tahoma" w:cs="Tahoma"/>
          <w:spacing w:val="-2"/>
          <w:sz w:val="18"/>
          <w:szCs w:val="18"/>
        </w:rPr>
        <w:t>orientación</w:t>
      </w:r>
    </w:p>
    <w:p w14:paraId="3E5290E6" w14:textId="245CC2D1" w:rsidR="003E5960" w:rsidRPr="007F6D54" w:rsidRDefault="003E5960" w:rsidP="003E5960">
      <w:pPr>
        <w:tabs>
          <w:tab w:val="left" w:pos="1236"/>
          <w:tab w:val="left" w:leader="dot" w:pos="7258"/>
        </w:tabs>
        <w:ind w:left="1114"/>
        <w:rPr>
          <w:rFonts w:ascii="Tahoma" w:hAnsi="Tahoma" w:cs="Tahoma"/>
          <w:sz w:val="18"/>
          <w:szCs w:val="18"/>
        </w:rPr>
      </w:pPr>
      <w:r w:rsidRPr="007F6D54">
        <w:rPr>
          <w:rFonts w:ascii="Tahoma" w:hAnsi="Tahoma" w:cs="Tahoma"/>
          <w:spacing w:val="-5"/>
          <w:sz w:val="18"/>
          <w:szCs w:val="18"/>
        </w:rPr>
        <w:t>C.</w:t>
      </w:r>
      <w:r w:rsidRPr="007F6D54">
        <w:rPr>
          <w:rFonts w:ascii="Tahoma" w:hAnsi="Tahoma" w:cs="Tahoma"/>
          <w:sz w:val="18"/>
          <w:szCs w:val="18"/>
        </w:rPr>
        <w:t xml:space="preserve"> </w:t>
      </w:r>
      <w:r w:rsidRPr="007F6D54">
        <w:rPr>
          <w:rFonts w:ascii="Tahoma" w:hAnsi="Tahoma" w:cs="Tahoma"/>
          <w:spacing w:val="-2"/>
          <w:sz w:val="18"/>
          <w:szCs w:val="18"/>
        </w:rPr>
        <w:t>Enfoque</w:t>
      </w:r>
    </w:p>
    <w:p w14:paraId="008D8EAA" w14:textId="15AA8D57" w:rsidR="003E5960" w:rsidRPr="007F6D54" w:rsidRDefault="003E5960" w:rsidP="003E5960">
      <w:pPr>
        <w:tabs>
          <w:tab w:val="left" w:pos="1236"/>
          <w:tab w:val="left" w:leader="dot" w:pos="7258"/>
        </w:tabs>
        <w:ind w:left="1114"/>
        <w:rPr>
          <w:rFonts w:ascii="Tahoma" w:hAnsi="Tahoma" w:cs="Tahoma"/>
          <w:spacing w:val="-2"/>
          <w:sz w:val="18"/>
          <w:szCs w:val="18"/>
        </w:rPr>
      </w:pPr>
      <w:r w:rsidRPr="007F6D54">
        <w:rPr>
          <w:rFonts w:ascii="Tahoma" w:hAnsi="Tahoma" w:cs="Tahoma"/>
          <w:spacing w:val="-2"/>
          <w:sz w:val="18"/>
          <w:szCs w:val="18"/>
        </w:rPr>
        <w:t xml:space="preserve">D. Alcance </w:t>
      </w:r>
      <w:r w:rsidRPr="007F6D54">
        <w:rPr>
          <w:rFonts w:ascii="Tahoma" w:hAnsi="Tahoma" w:cs="Tahoma"/>
          <w:spacing w:val="-10"/>
          <w:sz w:val="18"/>
          <w:szCs w:val="18"/>
        </w:rPr>
        <w:t>y</w:t>
      </w:r>
      <w:r w:rsidRPr="007F6D54">
        <w:rPr>
          <w:rFonts w:ascii="Tahoma" w:hAnsi="Tahoma" w:cs="Tahoma"/>
          <w:sz w:val="18"/>
          <w:szCs w:val="18"/>
        </w:rPr>
        <w:t xml:space="preserve"> </w:t>
      </w:r>
      <w:r w:rsidRPr="007F6D54">
        <w:rPr>
          <w:rFonts w:ascii="Tahoma" w:hAnsi="Tahoma" w:cs="Tahoma"/>
          <w:spacing w:val="-2"/>
          <w:sz w:val="18"/>
          <w:szCs w:val="18"/>
        </w:rPr>
        <w:t>limitaciones</w:t>
      </w:r>
    </w:p>
    <w:p w14:paraId="51A6D1B2" w14:textId="77777777" w:rsidR="003E5960" w:rsidRPr="007F6D54" w:rsidRDefault="003E5960" w:rsidP="003E5960">
      <w:pPr>
        <w:tabs>
          <w:tab w:val="left" w:pos="1236"/>
          <w:tab w:val="left" w:leader="dot" w:pos="7258"/>
        </w:tabs>
        <w:rPr>
          <w:rFonts w:ascii="Tahoma" w:hAnsi="Tahoma" w:cs="Tahoma"/>
          <w:sz w:val="18"/>
          <w:szCs w:val="18"/>
        </w:rPr>
      </w:pPr>
    </w:p>
    <w:p w14:paraId="07C76D84" w14:textId="3B711890" w:rsidR="003E5960" w:rsidRPr="007F6D54" w:rsidRDefault="003E5960" w:rsidP="003E5960">
      <w:pPr>
        <w:pStyle w:val="Prrafodelista"/>
        <w:numPr>
          <w:ilvl w:val="0"/>
          <w:numId w:val="105"/>
        </w:numPr>
        <w:tabs>
          <w:tab w:val="left" w:pos="1276"/>
          <w:tab w:val="right" w:leader="dot" w:pos="7887"/>
        </w:tabs>
        <w:ind w:left="1276" w:hanging="162"/>
        <w:rPr>
          <w:rFonts w:ascii="Tahoma" w:hAnsi="Tahoma" w:cs="Tahoma"/>
          <w:sz w:val="18"/>
          <w:szCs w:val="18"/>
        </w:rPr>
      </w:pPr>
      <w:hyperlink w:anchor="utilizar" w:history="1">
        <w:r w:rsidRPr="00BF01EE">
          <w:rPr>
            <w:rStyle w:val="Hipervnculo"/>
            <w:rFonts w:ascii="Tahoma" w:hAnsi="Tahoma" w:cs="Tahoma"/>
            <w:spacing w:val="-2"/>
            <w:sz w:val="18"/>
            <w:szCs w:val="18"/>
          </w:rPr>
          <w:t>CÓMO</w:t>
        </w:r>
        <w:r w:rsidRPr="00BF01EE">
          <w:rPr>
            <w:rStyle w:val="Hipervnculo"/>
            <w:rFonts w:ascii="Tahoma" w:hAnsi="Tahoma" w:cs="Tahoma"/>
            <w:spacing w:val="-5"/>
            <w:sz w:val="18"/>
            <w:szCs w:val="18"/>
          </w:rPr>
          <w:t xml:space="preserve"> </w:t>
        </w:r>
        <w:r w:rsidRPr="00BF01EE">
          <w:rPr>
            <w:rStyle w:val="Hipervnculo"/>
            <w:rFonts w:ascii="Tahoma" w:hAnsi="Tahoma" w:cs="Tahoma"/>
            <w:spacing w:val="-2"/>
            <w:sz w:val="18"/>
            <w:szCs w:val="18"/>
          </w:rPr>
          <w:t>UTILIZAR</w:t>
        </w:r>
        <w:r w:rsidRPr="00BF01EE">
          <w:rPr>
            <w:rStyle w:val="Hipervnculo"/>
            <w:rFonts w:ascii="Tahoma" w:hAnsi="Tahoma" w:cs="Tahoma"/>
            <w:spacing w:val="-5"/>
            <w:sz w:val="18"/>
            <w:szCs w:val="18"/>
          </w:rPr>
          <w:t xml:space="preserve"> </w:t>
        </w:r>
        <w:r w:rsidRPr="00BF01EE">
          <w:rPr>
            <w:rStyle w:val="Hipervnculo"/>
            <w:rFonts w:ascii="Tahoma" w:hAnsi="Tahoma" w:cs="Tahoma"/>
            <w:spacing w:val="-2"/>
            <w:sz w:val="18"/>
            <w:szCs w:val="18"/>
          </w:rPr>
          <w:t>LA</w:t>
        </w:r>
        <w:r w:rsidRPr="00BF01EE">
          <w:rPr>
            <w:rStyle w:val="Hipervnculo"/>
            <w:rFonts w:ascii="Tahoma" w:hAnsi="Tahoma" w:cs="Tahoma"/>
            <w:spacing w:val="-4"/>
            <w:sz w:val="18"/>
            <w:szCs w:val="18"/>
          </w:rPr>
          <w:t xml:space="preserve"> </w:t>
        </w:r>
        <w:r w:rsidRPr="00BF01EE">
          <w:rPr>
            <w:rStyle w:val="Hipervnculo"/>
            <w:rFonts w:ascii="Tahoma" w:hAnsi="Tahoma" w:cs="Tahoma"/>
            <w:spacing w:val="-2"/>
            <w:sz w:val="18"/>
            <w:szCs w:val="18"/>
          </w:rPr>
          <w:t>GUÍA</w:t>
        </w:r>
      </w:hyperlink>
      <w:r w:rsidRPr="007F6D54">
        <w:rPr>
          <w:rFonts w:ascii="Tahoma" w:hAnsi="Tahoma" w:cs="Tahoma"/>
          <w:sz w:val="18"/>
          <w:szCs w:val="18"/>
        </w:rPr>
        <w:t xml:space="preserve"> </w:t>
      </w:r>
    </w:p>
    <w:p w14:paraId="08C10359" w14:textId="77777777" w:rsidR="003E5960" w:rsidRPr="007F6D54" w:rsidRDefault="003E5960" w:rsidP="003E5960">
      <w:pPr>
        <w:pStyle w:val="Prrafodelista"/>
        <w:numPr>
          <w:ilvl w:val="0"/>
          <w:numId w:val="114"/>
        </w:numPr>
        <w:tabs>
          <w:tab w:val="left" w:pos="1276"/>
          <w:tab w:val="left" w:leader="dot" w:pos="7798"/>
        </w:tabs>
        <w:ind w:left="1418" w:hanging="284"/>
        <w:contextualSpacing/>
        <w:rPr>
          <w:rFonts w:ascii="Tahoma" w:hAnsi="Tahoma" w:cs="Tahoma"/>
          <w:sz w:val="18"/>
          <w:szCs w:val="18"/>
        </w:rPr>
      </w:pPr>
      <w:r w:rsidRPr="007F6D54">
        <w:rPr>
          <w:rFonts w:ascii="Tahoma" w:hAnsi="Tahoma" w:cs="Tahoma"/>
          <w:spacing w:val="-2"/>
          <w:sz w:val="18"/>
          <w:szCs w:val="18"/>
        </w:rPr>
        <w:t xml:space="preserve">Estructura de la </w:t>
      </w:r>
      <w:r w:rsidRPr="007F6D54">
        <w:rPr>
          <w:rFonts w:ascii="Tahoma" w:hAnsi="Tahoma" w:cs="Tahoma"/>
          <w:spacing w:val="-4"/>
          <w:sz w:val="18"/>
          <w:szCs w:val="18"/>
        </w:rPr>
        <w:t>guía</w:t>
      </w:r>
      <w:r w:rsidRPr="007F6D54">
        <w:rPr>
          <w:rFonts w:ascii="Tahoma" w:hAnsi="Tahoma" w:cs="Tahoma"/>
          <w:spacing w:val="-13"/>
          <w:sz w:val="18"/>
          <w:szCs w:val="18"/>
        </w:rPr>
        <w:t xml:space="preserve"> </w:t>
      </w:r>
    </w:p>
    <w:p w14:paraId="6FAA2F1E" w14:textId="68C38F68" w:rsidR="003E5960" w:rsidRPr="007F6D54" w:rsidRDefault="003E5960" w:rsidP="003E5960">
      <w:pPr>
        <w:pStyle w:val="Prrafodelista"/>
        <w:numPr>
          <w:ilvl w:val="0"/>
          <w:numId w:val="114"/>
        </w:numPr>
        <w:tabs>
          <w:tab w:val="left" w:pos="1276"/>
          <w:tab w:val="left" w:leader="dot" w:pos="7798"/>
        </w:tabs>
        <w:ind w:left="1418" w:hanging="284"/>
        <w:contextualSpacing/>
        <w:rPr>
          <w:rFonts w:ascii="Tahoma" w:hAnsi="Tahoma" w:cs="Tahoma"/>
          <w:sz w:val="18"/>
          <w:szCs w:val="18"/>
        </w:rPr>
      </w:pPr>
      <w:r w:rsidRPr="007F6D54">
        <w:rPr>
          <w:rFonts w:ascii="Tahoma" w:hAnsi="Tahoma" w:cs="Tahoma"/>
          <w:sz w:val="18"/>
          <w:szCs w:val="18"/>
        </w:rPr>
        <w:t>Estructura</w:t>
      </w:r>
      <w:r w:rsidRPr="007F6D54">
        <w:rPr>
          <w:rFonts w:ascii="Tahoma" w:hAnsi="Tahoma" w:cs="Tahoma"/>
          <w:spacing w:val="-10"/>
          <w:sz w:val="18"/>
          <w:szCs w:val="18"/>
        </w:rPr>
        <w:t xml:space="preserve"> </w:t>
      </w:r>
      <w:r w:rsidRPr="007F6D54">
        <w:rPr>
          <w:rFonts w:ascii="Tahoma" w:hAnsi="Tahoma" w:cs="Tahoma"/>
          <w:sz w:val="18"/>
          <w:szCs w:val="18"/>
        </w:rPr>
        <w:t>de</w:t>
      </w:r>
      <w:r w:rsidRPr="007F6D54">
        <w:rPr>
          <w:rFonts w:ascii="Tahoma" w:hAnsi="Tahoma" w:cs="Tahoma"/>
          <w:spacing w:val="-10"/>
          <w:sz w:val="18"/>
          <w:szCs w:val="18"/>
        </w:rPr>
        <w:t xml:space="preserve"> </w:t>
      </w:r>
      <w:r w:rsidRPr="007F6D54">
        <w:rPr>
          <w:rFonts w:ascii="Tahoma" w:hAnsi="Tahoma" w:cs="Tahoma"/>
          <w:spacing w:val="-5"/>
          <w:sz w:val="18"/>
          <w:szCs w:val="18"/>
        </w:rPr>
        <w:t xml:space="preserve">las </w:t>
      </w:r>
      <w:r w:rsidRPr="007F6D54">
        <w:rPr>
          <w:rFonts w:ascii="Tahoma" w:hAnsi="Tahoma" w:cs="Tahoma"/>
          <w:spacing w:val="-2"/>
          <w:sz w:val="18"/>
          <w:szCs w:val="18"/>
        </w:rPr>
        <w:t>secciones</w:t>
      </w:r>
    </w:p>
    <w:p w14:paraId="6EDE7E2B" w14:textId="55C1E5B5" w:rsidR="003E5960" w:rsidRPr="007F6D54" w:rsidRDefault="003E5960" w:rsidP="003E5960">
      <w:pPr>
        <w:spacing w:before="256"/>
        <w:ind w:left="1134"/>
        <w:rPr>
          <w:rFonts w:ascii="Tahoma" w:hAnsi="Tahoma" w:cs="Tahoma"/>
          <w:b/>
          <w:bCs/>
          <w:sz w:val="18"/>
          <w:szCs w:val="18"/>
        </w:rPr>
      </w:pPr>
      <w:hyperlink w:anchor="obligaciones" w:history="1">
        <w:r w:rsidRPr="0027792B">
          <w:rPr>
            <w:rStyle w:val="Hipervnculo"/>
            <w:rFonts w:ascii="Tahoma" w:hAnsi="Tahoma" w:cs="Tahoma"/>
            <w:b/>
            <w:bCs/>
            <w:sz w:val="18"/>
            <w:szCs w:val="18"/>
          </w:rPr>
          <w:t>PRIMERA</w:t>
        </w:r>
        <w:r w:rsidRPr="0027792B">
          <w:rPr>
            <w:rStyle w:val="Hipervnculo"/>
            <w:rFonts w:ascii="Tahoma" w:hAnsi="Tahoma" w:cs="Tahoma"/>
            <w:b/>
            <w:bCs/>
            <w:spacing w:val="3"/>
            <w:sz w:val="18"/>
            <w:szCs w:val="18"/>
          </w:rPr>
          <w:t xml:space="preserve"> </w:t>
        </w:r>
        <w:r w:rsidRPr="0027792B">
          <w:rPr>
            <w:rStyle w:val="Hipervnculo"/>
            <w:rFonts w:ascii="Tahoma" w:hAnsi="Tahoma" w:cs="Tahoma"/>
            <w:b/>
            <w:bCs/>
            <w:sz w:val="18"/>
            <w:szCs w:val="18"/>
          </w:rPr>
          <w:t>PARTE:</w:t>
        </w:r>
        <w:r w:rsidRPr="0027792B">
          <w:rPr>
            <w:rStyle w:val="Hipervnculo"/>
            <w:rFonts w:ascii="Tahoma" w:hAnsi="Tahoma" w:cs="Tahoma"/>
            <w:b/>
            <w:bCs/>
            <w:spacing w:val="3"/>
            <w:sz w:val="18"/>
            <w:szCs w:val="18"/>
          </w:rPr>
          <w:t xml:space="preserve"> </w:t>
        </w:r>
        <w:r w:rsidRPr="0027792B">
          <w:rPr>
            <w:rStyle w:val="Hipervnculo"/>
            <w:rFonts w:ascii="Tahoma" w:hAnsi="Tahoma" w:cs="Tahoma"/>
            <w:b/>
            <w:bCs/>
            <w:sz w:val="18"/>
            <w:szCs w:val="18"/>
          </w:rPr>
          <w:t>OBLIGACIONES</w:t>
        </w:r>
        <w:r w:rsidRPr="0027792B">
          <w:rPr>
            <w:rStyle w:val="Hipervnculo"/>
            <w:rFonts w:ascii="Tahoma" w:hAnsi="Tahoma" w:cs="Tahoma"/>
            <w:b/>
            <w:bCs/>
            <w:spacing w:val="4"/>
            <w:sz w:val="18"/>
            <w:szCs w:val="18"/>
          </w:rPr>
          <w:t xml:space="preserve"> </w:t>
        </w:r>
        <w:r w:rsidRPr="0027792B">
          <w:rPr>
            <w:rStyle w:val="Hipervnculo"/>
            <w:rFonts w:ascii="Tahoma" w:hAnsi="Tahoma" w:cs="Tahoma"/>
            <w:b/>
            <w:bCs/>
            <w:sz w:val="18"/>
            <w:szCs w:val="18"/>
          </w:rPr>
          <w:t>DE</w:t>
        </w:r>
        <w:r w:rsidRPr="0027792B">
          <w:rPr>
            <w:rStyle w:val="Hipervnculo"/>
            <w:rFonts w:ascii="Tahoma" w:hAnsi="Tahoma" w:cs="Tahoma"/>
            <w:b/>
            <w:bCs/>
            <w:spacing w:val="3"/>
            <w:sz w:val="18"/>
            <w:szCs w:val="18"/>
          </w:rPr>
          <w:t xml:space="preserve"> </w:t>
        </w:r>
        <w:r w:rsidRPr="0027792B">
          <w:rPr>
            <w:rStyle w:val="Hipervnculo"/>
            <w:rFonts w:ascii="Tahoma" w:hAnsi="Tahoma" w:cs="Tahoma"/>
            <w:b/>
            <w:bCs/>
            <w:sz w:val="18"/>
            <w:szCs w:val="18"/>
          </w:rPr>
          <w:t>LOS</w:t>
        </w:r>
        <w:r w:rsidRPr="0027792B">
          <w:rPr>
            <w:rStyle w:val="Hipervnculo"/>
            <w:rFonts w:ascii="Tahoma" w:hAnsi="Tahoma" w:cs="Tahoma"/>
            <w:b/>
            <w:bCs/>
            <w:spacing w:val="2"/>
            <w:sz w:val="18"/>
            <w:szCs w:val="18"/>
          </w:rPr>
          <w:t xml:space="preserve"> </w:t>
        </w:r>
        <w:r w:rsidRPr="0027792B">
          <w:rPr>
            <w:rStyle w:val="Hipervnculo"/>
            <w:rFonts w:ascii="Tahoma" w:hAnsi="Tahoma" w:cs="Tahoma"/>
            <w:b/>
            <w:bCs/>
            <w:sz w:val="18"/>
            <w:szCs w:val="18"/>
          </w:rPr>
          <w:t>ESTADOS</w:t>
        </w:r>
        <w:r w:rsidRPr="0027792B">
          <w:rPr>
            <w:rStyle w:val="Hipervnculo"/>
            <w:rFonts w:ascii="Tahoma" w:hAnsi="Tahoma" w:cs="Tahoma"/>
            <w:b/>
            <w:bCs/>
            <w:spacing w:val="3"/>
            <w:sz w:val="18"/>
            <w:szCs w:val="18"/>
          </w:rPr>
          <w:t xml:space="preserve"> </w:t>
        </w:r>
        <w:r w:rsidRPr="0027792B">
          <w:rPr>
            <w:rStyle w:val="Hipervnculo"/>
            <w:rFonts w:ascii="Tahoma" w:hAnsi="Tahoma" w:cs="Tahoma"/>
            <w:b/>
            <w:bCs/>
            <w:sz w:val="18"/>
            <w:szCs w:val="18"/>
          </w:rPr>
          <w:t>PARA</w:t>
        </w:r>
        <w:r w:rsidRPr="0027792B">
          <w:rPr>
            <w:rStyle w:val="Hipervnculo"/>
            <w:rFonts w:ascii="Tahoma" w:hAnsi="Tahoma" w:cs="Tahoma"/>
            <w:b/>
            <w:bCs/>
            <w:spacing w:val="3"/>
            <w:sz w:val="18"/>
            <w:szCs w:val="18"/>
          </w:rPr>
          <w:t xml:space="preserve"> </w:t>
        </w:r>
        <w:r w:rsidRPr="0027792B">
          <w:rPr>
            <w:rStyle w:val="Hipervnculo"/>
            <w:rFonts w:ascii="Tahoma" w:hAnsi="Tahoma" w:cs="Tahoma"/>
            <w:b/>
            <w:bCs/>
            <w:spacing w:val="-2"/>
            <w:sz w:val="18"/>
            <w:szCs w:val="18"/>
          </w:rPr>
          <w:t>PROMULGAR</w:t>
        </w:r>
        <w:r w:rsidRPr="0027792B">
          <w:rPr>
            <w:rStyle w:val="Hipervnculo"/>
            <w:rFonts w:ascii="Tahoma" w:hAnsi="Tahoma" w:cs="Tahoma"/>
            <w:b/>
            <w:bCs/>
            <w:sz w:val="18"/>
            <w:szCs w:val="18"/>
          </w:rPr>
          <w:t xml:space="preserve"> UNA</w:t>
        </w:r>
        <w:r w:rsidRPr="0027792B">
          <w:rPr>
            <w:rStyle w:val="Hipervnculo"/>
            <w:rFonts w:ascii="Tahoma" w:hAnsi="Tahoma" w:cs="Tahoma"/>
            <w:b/>
            <w:bCs/>
            <w:spacing w:val="2"/>
            <w:sz w:val="18"/>
            <w:szCs w:val="18"/>
          </w:rPr>
          <w:t xml:space="preserve"> </w:t>
        </w:r>
        <w:r w:rsidRPr="0027792B">
          <w:rPr>
            <w:rStyle w:val="Hipervnculo"/>
            <w:rFonts w:ascii="Tahoma" w:hAnsi="Tahoma" w:cs="Tahoma"/>
            <w:b/>
            <w:bCs/>
            <w:sz w:val="18"/>
            <w:szCs w:val="18"/>
          </w:rPr>
          <w:t>LEY</w:t>
        </w:r>
        <w:r w:rsidRPr="0027792B">
          <w:rPr>
            <w:rStyle w:val="Hipervnculo"/>
            <w:rFonts w:ascii="Tahoma" w:hAnsi="Tahoma" w:cs="Tahoma"/>
            <w:b/>
            <w:bCs/>
            <w:spacing w:val="2"/>
            <w:sz w:val="18"/>
            <w:szCs w:val="18"/>
          </w:rPr>
          <w:t xml:space="preserve"> </w:t>
        </w:r>
        <w:r w:rsidRPr="0027792B">
          <w:rPr>
            <w:rStyle w:val="Hipervnculo"/>
            <w:rFonts w:ascii="Tahoma" w:hAnsi="Tahoma" w:cs="Tahoma"/>
            <w:b/>
            <w:bCs/>
            <w:sz w:val="18"/>
            <w:szCs w:val="18"/>
          </w:rPr>
          <w:t>INTEGRAL</w:t>
        </w:r>
        <w:r w:rsidRPr="0027792B">
          <w:rPr>
            <w:rStyle w:val="Hipervnculo"/>
            <w:rFonts w:ascii="Tahoma" w:hAnsi="Tahoma" w:cs="Tahoma"/>
            <w:b/>
            <w:bCs/>
            <w:spacing w:val="2"/>
            <w:sz w:val="18"/>
            <w:szCs w:val="18"/>
          </w:rPr>
          <w:t xml:space="preserve"> </w:t>
        </w:r>
        <w:r w:rsidRPr="0027792B">
          <w:rPr>
            <w:rStyle w:val="Hipervnculo"/>
            <w:rFonts w:ascii="Tahoma" w:hAnsi="Tahoma" w:cs="Tahoma"/>
            <w:b/>
            <w:bCs/>
            <w:sz w:val="18"/>
            <w:szCs w:val="18"/>
          </w:rPr>
          <w:t>CONTRA</w:t>
        </w:r>
        <w:r w:rsidRPr="0027792B">
          <w:rPr>
            <w:rStyle w:val="Hipervnculo"/>
            <w:rFonts w:ascii="Tahoma" w:hAnsi="Tahoma" w:cs="Tahoma"/>
            <w:b/>
            <w:bCs/>
            <w:spacing w:val="3"/>
            <w:sz w:val="18"/>
            <w:szCs w:val="18"/>
          </w:rPr>
          <w:t xml:space="preserve"> </w:t>
        </w:r>
        <w:r w:rsidRPr="0027792B">
          <w:rPr>
            <w:rStyle w:val="Hipervnculo"/>
            <w:rFonts w:ascii="Tahoma" w:hAnsi="Tahoma" w:cs="Tahoma"/>
            <w:b/>
            <w:bCs/>
            <w:sz w:val="18"/>
            <w:szCs w:val="18"/>
          </w:rPr>
          <w:t>LA</w:t>
        </w:r>
        <w:r w:rsidRPr="0027792B">
          <w:rPr>
            <w:rStyle w:val="Hipervnculo"/>
            <w:rFonts w:ascii="Tahoma" w:hAnsi="Tahoma" w:cs="Tahoma"/>
            <w:b/>
            <w:bCs/>
            <w:spacing w:val="2"/>
            <w:sz w:val="18"/>
            <w:szCs w:val="18"/>
          </w:rPr>
          <w:t xml:space="preserve"> </w:t>
        </w:r>
        <w:r w:rsidRPr="0027792B">
          <w:rPr>
            <w:rStyle w:val="Hipervnculo"/>
            <w:rFonts w:ascii="Tahoma" w:hAnsi="Tahoma" w:cs="Tahoma"/>
            <w:b/>
            <w:bCs/>
            <w:spacing w:val="-2"/>
            <w:sz w:val="18"/>
            <w:szCs w:val="18"/>
          </w:rPr>
          <w:t>DISCRIMINACIÓN</w:t>
        </w:r>
      </w:hyperlink>
    </w:p>
    <w:p w14:paraId="689B2397" w14:textId="61FA4074" w:rsidR="003E5960" w:rsidRPr="007F6D54" w:rsidRDefault="003E5960" w:rsidP="003E5960">
      <w:pPr>
        <w:pStyle w:val="Prrafodelista"/>
        <w:numPr>
          <w:ilvl w:val="0"/>
          <w:numId w:val="110"/>
        </w:numPr>
        <w:tabs>
          <w:tab w:val="left" w:leader="dot" w:pos="8924"/>
        </w:tabs>
        <w:spacing w:before="49"/>
        <w:ind w:left="1276" w:right="1210" w:firstLine="0"/>
        <w:contextualSpacing/>
        <w:rPr>
          <w:rFonts w:ascii="Tahoma" w:hAnsi="Tahoma" w:cs="Tahoma"/>
          <w:sz w:val="18"/>
          <w:szCs w:val="18"/>
        </w:rPr>
      </w:pPr>
      <w:hyperlink w:anchor="consenso" w:history="1">
        <w:r w:rsidRPr="006A4FF0">
          <w:rPr>
            <w:rStyle w:val="Hipervnculo"/>
            <w:rFonts w:ascii="Tahoma" w:hAnsi="Tahoma" w:cs="Tahoma"/>
            <w:w w:val="105"/>
            <w:sz w:val="18"/>
            <w:szCs w:val="18"/>
          </w:rPr>
          <w:t>CONSENSO</w:t>
        </w:r>
        <w:r w:rsidRPr="006A4FF0">
          <w:rPr>
            <w:rStyle w:val="Hipervnculo"/>
            <w:rFonts w:ascii="Tahoma" w:hAnsi="Tahoma" w:cs="Tahoma"/>
            <w:spacing w:val="-5"/>
            <w:w w:val="105"/>
            <w:sz w:val="18"/>
            <w:szCs w:val="18"/>
          </w:rPr>
          <w:t xml:space="preserve"> </w:t>
        </w:r>
        <w:r w:rsidRPr="006A4FF0">
          <w:rPr>
            <w:rStyle w:val="Hipervnculo"/>
            <w:rFonts w:ascii="Tahoma" w:hAnsi="Tahoma" w:cs="Tahoma"/>
            <w:w w:val="105"/>
            <w:sz w:val="18"/>
            <w:szCs w:val="18"/>
          </w:rPr>
          <w:t>SOBRE</w:t>
        </w:r>
        <w:r w:rsidRPr="006A4FF0">
          <w:rPr>
            <w:rStyle w:val="Hipervnculo"/>
            <w:rFonts w:ascii="Tahoma" w:hAnsi="Tahoma" w:cs="Tahoma"/>
            <w:spacing w:val="-5"/>
            <w:w w:val="105"/>
            <w:sz w:val="18"/>
            <w:szCs w:val="18"/>
          </w:rPr>
          <w:t xml:space="preserve"> </w:t>
        </w:r>
        <w:r w:rsidRPr="006A4FF0">
          <w:rPr>
            <w:rStyle w:val="Hipervnculo"/>
            <w:rFonts w:ascii="Tahoma" w:hAnsi="Tahoma" w:cs="Tahoma"/>
            <w:w w:val="105"/>
            <w:sz w:val="18"/>
            <w:szCs w:val="18"/>
          </w:rPr>
          <w:t>LA</w:t>
        </w:r>
        <w:r w:rsidRPr="006A4FF0">
          <w:rPr>
            <w:rStyle w:val="Hipervnculo"/>
            <w:rFonts w:ascii="Tahoma" w:hAnsi="Tahoma" w:cs="Tahoma"/>
            <w:spacing w:val="-5"/>
            <w:w w:val="105"/>
            <w:sz w:val="18"/>
            <w:szCs w:val="18"/>
          </w:rPr>
          <w:t xml:space="preserve"> </w:t>
        </w:r>
        <w:r w:rsidRPr="006A4FF0">
          <w:rPr>
            <w:rStyle w:val="Hipervnculo"/>
            <w:rFonts w:ascii="Tahoma" w:hAnsi="Tahoma" w:cs="Tahoma"/>
            <w:w w:val="105"/>
            <w:sz w:val="18"/>
            <w:szCs w:val="18"/>
          </w:rPr>
          <w:t>NECESIDAD</w:t>
        </w:r>
        <w:r w:rsidRPr="006A4FF0">
          <w:rPr>
            <w:rStyle w:val="Hipervnculo"/>
            <w:rFonts w:ascii="Tahoma" w:hAnsi="Tahoma" w:cs="Tahoma"/>
            <w:spacing w:val="-5"/>
            <w:w w:val="105"/>
            <w:sz w:val="18"/>
            <w:szCs w:val="18"/>
          </w:rPr>
          <w:t xml:space="preserve"> </w:t>
        </w:r>
        <w:r w:rsidRPr="006A4FF0">
          <w:rPr>
            <w:rStyle w:val="Hipervnculo"/>
            <w:rFonts w:ascii="Tahoma" w:hAnsi="Tahoma" w:cs="Tahoma"/>
            <w:w w:val="105"/>
            <w:sz w:val="18"/>
            <w:szCs w:val="18"/>
          </w:rPr>
          <w:t>DE</w:t>
        </w:r>
        <w:r w:rsidRPr="006A4FF0">
          <w:rPr>
            <w:rStyle w:val="Hipervnculo"/>
            <w:rFonts w:ascii="Tahoma" w:hAnsi="Tahoma" w:cs="Tahoma"/>
            <w:spacing w:val="-5"/>
            <w:w w:val="105"/>
            <w:sz w:val="18"/>
            <w:szCs w:val="18"/>
          </w:rPr>
          <w:t xml:space="preserve"> </w:t>
        </w:r>
        <w:r w:rsidRPr="006A4FF0">
          <w:rPr>
            <w:rStyle w:val="Hipervnculo"/>
            <w:rFonts w:ascii="Tahoma" w:hAnsi="Tahoma" w:cs="Tahoma"/>
            <w:w w:val="105"/>
            <w:sz w:val="18"/>
            <w:szCs w:val="18"/>
          </w:rPr>
          <w:t>ADOPTAR</w:t>
        </w:r>
        <w:r w:rsidRPr="006A4FF0">
          <w:rPr>
            <w:rStyle w:val="Hipervnculo"/>
            <w:rFonts w:ascii="Tahoma" w:hAnsi="Tahoma" w:cs="Tahoma"/>
            <w:spacing w:val="-5"/>
            <w:w w:val="105"/>
            <w:sz w:val="18"/>
            <w:szCs w:val="18"/>
          </w:rPr>
          <w:t xml:space="preserve"> </w:t>
        </w:r>
        <w:r w:rsidRPr="006A4FF0">
          <w:rPr>
            <w:rStyle w:val="Hipervnculo"/>
            <w:rFonts w:ascii="Tahoma" w:hAnsi="Tahoma" w:cs="Tahoma"/>
            <w:w w:val="105"/>
            <w:sz w:val="18"/>
            <w:szCs w:val="18"/>
          </w:rPr>
          <w:t>UNA</w:t>
        </w:r>
        <w:r w:rsidRPr="006A4FF0">
          <w:rPr>
            <w:rStyle w:val="Hipervnculo"/>
            <w:rFonts w:ascii="Tahoma" w:hAnsi="Tahoma" w:cs="Tahoma"/>
            <w:spacing w:val="-5"/>
            <w:w w:val="105"/>
            <w:sz w:val="18"/>
            <w:szCs w:val="18"/>
          </w:rPr>
          <w:t xml:space="preserve"> </w:t>
        </w:r>
        <w:r w:rsidRPr="006A4FF0">
          <w:rPr>
            <w:rStyle w:val="Hipervnculo"/>
            <w:rFonts w:ascii="Tahoma" w:hAnsi="Tahoma" w:cs="Tahoma"/>
            <w:w w:val="105"/>
            <w:sz w:val="18"/>
            <w:szCs w:val="18"/>
          </w:rPr>
          <w:t>LEY</w:t>
        </w:r>
        <w:r w:rsidRPr="006A4FF0">
          <w:rPr>
            <w:rStyle w:val="Hipervnculo"/>
            <w:rFonts w:ascii="Tahoma" w:hAnsi="Tahoma" w:cs="Tahoma"/>
            <w:spacing w:val="-5"/>
            <w:w w:val="105"/>
            <w:sz w:val="18"/>
            <w:szCs w:val="18"/>
          </w:rPr>
          <w:t xml:space="preserve"> </w:t>
        </w:r>
        <w:r w:rsidRPr="006A4FF0">
          <w:rPr>
            <w:rStyle w:val="Hipervnculo"/>
            <w:rFonts w:ascii="Tahoma" w:hAnsi="Tahoma" w:cs="Tahoma"/>
            <w:w w:val="105"/>
            <w:sz w:val="18"/>
            <w:szCs w:val="18"/>
          </w:rPr>
          <w:t>INTEGRAL</w:t>
        </w:r>
        <w:r w:rsidRPr="006A4FF0">
          <w:rPr>
            <w:rStyle w:val="Hipervnculo"/>
            <w:rFonts w:ascii="Tahoma" w:hAnsi="Tahoma" w:cs="Tahoma"/>
            <w:spacing w:val="-5"/>
            <w:w w:val="105"/>
            <w:sz w:val="18"/>
            <w:szCs w:val="18"/>
          </w:rPr>
          <w:t xml:space="preserve"> </w:t>
        </w:r>
        <w:r w:rsidRPr="006A4FF0">
          <w:rPr>
            <w:rStyle w:val="Hipervnculo"/>
            <w:rFonts w:ascii="Tahoma" w:hAnsi="Tahoma" w:cs="Tahoma"/>
            <w:w w:val="105"/>
            <w:sz w:val="18"/>
            <w:szCs w:val="18"/>
          </w:rPr>
          <w:t>CONTRA</w:t>
        </w:r>
        <w:r w:rsidRPr="006A4FF0">
          <w:rPr>
            <w:rStyle w:val="Hipervnculo"/>
            <w:rFonts w:ascii="Tahoma" w:hAnsi="Tahoma" w:cs="Tahoma"/>
            <w:spacing w:val="-4"/>
            <w:w w:val="105"/>
            <w:sz w:val="18"/>
            <w:szCs w:val="18"/>
          </w:rPr>
          <w:t xml:space="preserve"> </w:t>
        </w:r>
        <w:r w:rsidRPr="006A4FF0">
          <w:rPr>
            <w:rStyle w:val="Hipervnculo"/>
            <w:rFonts w:ascii="Tahoma" w:hAnsi="Tahoma" w:cs="Tahoma"/>
            <w:w w:val="105"/>
            <w:sz w:val="18"/>
            <w:szCs w:val="18"/>
          </w:rPr>
          <w:t>LA</w:t>
        </w:r>
        <w:r w:rsidRPr="006A4FF0">
          <w:rPr>
            <w:rStyle w:val="Hipervnculo"/>
            <w:rFonts w:ascii="Tahoma" w:hAnsi="Tahoma" w:cs="Tahoma"/>
            <w:spacing w:val="-5"/>
            <w:w w:val="105"/>
            <w:sz w:val="18"/>
            <w:szCs w:val="18"/>
          </w:rPr>
          <w:t xml:space="preserve"> </w:t>
        </w:r>
        <w:r w:rsidRPr="006A4FF0">
          <w:rPr>
            <w:rStyle w:val="Hipervnculo"/>
            <w:rFonts w:ascii="Tahoma" w:hAnsi="Tahoma" w:cs="Tahoma"/>
            <w:spacing w:val="-2"/>
            <w:w w:val="105"/>
            <w:sz w:val="18"/>
            <w:szCs w:val="18"/>
          </w:rPr>
          <w:t>DISCRIMINACIÓN</w:t>
        </w:r>
      </w:hyperlink>
    </w:p>
    <w:p w14:paraId="22B14E52" w14:textId="77777777" w:rsidR="003E5960" w:rsidRPr="007F6D54" w:rsidRDefault="003E5960" w:rsidP="003E5960">
      <w:pPr>
        <w:pStyle w:val="Prrafodelista"/>
        <w:numPr>
          <w:ilvl w:val="0"/>
          <w:numId w:val="111"/>
        </w:numPr>
        <w:tabs>
          <w:tab w:val="left" w:pos="859"/>
          <w:tab w:val="left" w:leader="dot" w:pos="7639"/>
        </w:tabs>
        <w:spacing w:before="1"/>
        <w:ind w:left="1560" w:right="1352" w:hanging="284"/>
        <w:contextualSpacing/>
        <w:rPr>
          <w:rFonts w:ascii="Tahoma" w:hAnsi="Tahoma" w:cs="Tahoma"/>
          <w:sz w:val="18"/>
          <w:szCs w:val="18"/>
        </w:rPr>
      </w:pPr>
      <w:r w:rsidRPr="007F6D54">
        <w:rPr>
          <w:rFonts w:ascii="Tahoma" w:hAnsi="Tahoma" w:cs="Tahoma"/>
          <w:spacing w:val="-2"/>
          <w:sz w:val="18"/>
          <w:szCs w:val="18"/>
        </w:rPr>
        <w:t>El marco</w:t>
      </w:r>
      <w:r w:rsidRPr="007F6D54">
        <w:rPr>
          <w:rFonts w:ascii="Tahoma" w:hAnsi="Tahoma" w:cs="Tahoma"/>
          <w:spacing w:val="-1"/>
          <w:sz w:val="18"/>
          <w:szCs w:val="18"/>
        </w:rPr>
        <w:t xml:space="preserve"> </w:t>
      </w:r>
      <w:r w:rsidRPr="007F6D54">
        <w:rPr>
          <w:rFonts w:ascii="Tahoma" w:hAnsi="Tahoma" w:cs="Tahoma"/>
          <w:spacing w:val="-2"/>
          <w:sz w:val="18"/>
          <w:szCs w:val="18"/>
        </w:rPr>
        <w:t>del</w:t>
      </w:r>
      <w:r w:rsidRPr="007F6D54">
        <w:rPr>
          <w:rFonts w:ascii="Tahoma" w:hAnsi="Tahoma" w:cs="Tahoma"/>
          <w:spacing w:val="-1"/>
          <w:sz w:val="18"/>
          <w:szCs w:val="18"/>
        </w:rPr>
        <w:t xml:space="preserve"> </w:t>
      </w:r>
      <w:r w:rsidRPr="007F6D54">
        <w:rPr>
          <w:rFonts w:ascii="Tahoma" w:hAnsi="Tahoma" w:cs="Tahoma"/>
          <w:spacing w:val="-2"/>
          <w:sz w:val="18"/>
          <w:szCs w:val="18"/>
        </w:rPr>
        <w:t>derecho internacional</w:t>
      </w:r>
      <w:r w:rsidRPr="007F6D54">
        <w:rPr>
          <w:rFonts w:ascii="Tahoma" w:hAnsi="Tahoma" w:cs="Tahoma"/>
          <w:spacing w:val="-1"/>
          <w:sz w:val="18"/>
          <w:szCs w:val="18"/>
        </w:rPr>
        <w:t xml:space="preserve"> </w:t>
      </w:r>
      <w:r w:rsidRPr="007F6D54">
        <w:rPr>
          <w:rFonts w:ascii="Tahoma" w:hAnsi="Tahoma" w:cs="Tahoma"/>
          <w:spacing w:val="-2"/>
          <w:sz w:val="18"/>
          <w:szCs w:val="18"/>
        </w:rPr>
        <w:t>de</w:t>
      </w:r>
      <w:r w:rsidRPr="007F6D54">
        <w:rPr>
          <w:rFonts w:ascii="Tahoma" w:hAnsi="Tahoma" w:cs="Tahoma"/>
          <w:spacing w:val="-1"/>
          <w:sz w:val="18"/>
          <w:szCs w:val="18"/>
        </w:rPr>
        <w:t xml:space="preserve"> </w:t>
      </w:r>
      <w:r w:rsidRPr="007F6D54">
        <w:rPr>
          <w:rFonts w:ascii="Tahoma" w:hAnsi="Tahoma" w:cs="Tahoma"/>
          <w:spacing w:val="-2"/>
          <w:sz w:val="18"/>
          <w:szCs w:val="18"/>
        </w:rPr>
        <w:t>los derechos</w:t>
      </w:r>
      <w:r w:rsidRPr="007F6D54">
        <w:rPr>
          <w:rFonts w:ascii="Tahoma" w:hAnsi="Tahoma" w:cs="Tahoma"/>
          <w:spacing w:val="-1"/>
          <w:sz w:val="18"/>
          <w:szCs w:val="18"/>
        </w:rPr>
        <w:t xml:space="preserve"> </w:t>
      </w:r>
      <w:r w:rsidRPr="007F6D54">
        <w:rPr>
          <w:rFonts w:ascii="Tahoma" w:hAnsi="Tahoma" w:cs="Tahoma"/>
          <w:spacing w:val="-2"/>
          <w:sz w:val="18"/>
          <w:szCs w:val="18"/>
        </w:rPr>
        <w:t>humanos</w:t>
      </w:r>
    </w:p>
    <w:p w14:paraId="071659F0" w14:textId="77777777" w:rsidR="003E5960" w:rsidRPr="007F6D54" w:rsidRDefault="003E5960" w:rsidP="003E5960">
      <w:pPr>
        <w:pStyle w:val="Prrafodelista"/>
        <w:numPr>
          <w:ilvl w:val="0"/>
          <w:numId w:val="111"/>
        </w:numPr>
        <w:tabs>
          <w:tab w:val="left" w:pos="859"/>
          <w:tab w:val="left" w:leader="dot" w:pos="7639"/>
        </w:tabs>
        <w:spacing w:before="1"/>
        <w:ind w:left="1560" w:right="1352" w:hanging="284"/>
        <w:contextualSpacing/>
        <w:rPr>
          <w:rFonts w:ascii="Tahoma" w:hAnsi="Tahoma" w:cs="Tahoma"/>
          <w:sz w:val="18"/>
          <w:szCs w:val="18"/>
        </w:rPr>
      </w:pPr>
      <w:r w:rsidRPr="007F6D54">
        <w:rPr>
          <w:rFonts w:ascii="Tahoma" w:hAnsi="Tahoma" w:cs="Tahoma"/>
          <w:sz w:val="18"/>
          <w:szCs w:val="18"/>
        </w:rPr>
        <w:t>Obligaciones</w:t>
      </w:r>
      <w:r w:rsidRPr="007F6D54">
        <w:rPr>
          <w:rFonts w:ascii="Tahoma" w:hAnsi="Tahoma" w:cs="Tahoma"/>
          <w:spacing w:val="-8"/>
          <w:sz w:val="18"/>
          <w:szCs w:val="18"/>
        </w:rPr>
        <w:t xml:space="preserve"> </w:t>
      </w:r>
      <w:r w:rsidRPr="007F6D54">
        <w:rPr>
          <w:rFonts w:ascii="Tahoma" w:hAnsi="Tahoma" w:cs="Tahoma"/>
          <w:spacing w:val="-5"/>
          <w:sz w:val="18"/>
          <w:szCs w:val="18"/>
        </w:rPr>
        <w:t xml:space="preserve">de </w:t>
      </w:r>
      <w:r w:rsidRPr="007F6D54">
        <w:rPr>
          <w:rFonts w:ascii="Tahoma" w:hAnsi="Tahoma" w:cs="Tahoma"/>
          <w:spacing w:val="-2"/>
          <w:sz w:val="18"/>
          <w:szCs w:val="18"/>
        </w:rPr>
        <w:t>respetar,</w:t>
      </w:r>
      <w:r w:rsidRPr="007F6D54">
        <w:rPr>
          <w:rFonts w:ascii="Tahoma" w:hAnsi="Tahoma" w:cs="Tahoma"/>
          <w:spacing w:val="1"/>
          <w:sz w:val="18"/>
          <w:szCs w:val="18"/>
        </w:rPr>
        <w:t xml:space="preserve"> </w:t>
      </w:r>
      <w:r w:rsidRPr="007F6D54">
        <w:rPr>
          <w:rFonts w:ascii="Tahoma" w:hAnsi="Tahoma" w:cs="Tahoma"/>
          <w:spacing w:val="-2"/>
          <w:sz w:val="18"/>
          <w:szCs w:val="18"/>
        </w:rPr>
        <w:t>proteger</w:t>
      </w:r>
      <w:r w:rsidRPr="007F6D54">
        <w:rPr>
          <w:rFonts w:ascii="Tahoma" w:hAnsi="Tahoma" w:cs="Tahoma"/>
          <w:sz w:val="18"/>
          <w:szCs w:val="18"/>
        </w:rPr>
        <w:t xml:space="preserve"> </w:t>
      </w:r>
      <w:r w:rsidRPr="007F6D54">
        <w:rPr>
          <w:rFonts w:ascii="Tahoma" w:hAnsi="Tahoma" w:cs="Tahoma"/>
          <w:spacing w:val="-2"/>
          <w:sz w:val="18"/>
          <w:szCs w:val="18"/>
        </w:rPr>
        <w:t>y</w:t>
      </w:r>
      <w:r w:rsidRPr="007F6D54">
        <w:rPr>
          <w:rFonts w:ascii="Tahoma" w:hAnsi="Tahoma" w:cs="Tahoma"/>
          <w:sz w:val="18"/>
          <w:szCs w:val="18"/>
        </w:rPr>
        <w:t xml:space="preserve"> </w:t>
      </w:r>
      <w:r w:rsidRPr="007F6D54">
        <w:rPr>
          <w:rFonts w:ascii="Tahoma" w:hAnsi="Tahoma" w:cs="Tahoma"/>
          <w:spacing w:val="-2"/>
          <w:sz w:val="18"/>
          <w:szCs w:val="18"/>
        </w:rPr>
        <w:t>cumplir</w:t>
      </w:r>
    </w:p>
    <w:p w14:paraId="7F84FDDD" w14:textId="77777777" w:rsidR="003E5960" w:rsidRPr="007F6D54" w:rsidRDefault="003E5960" w:rsidP="003E5960">
      <w:pPr>
        <w:pStyle w:val="Prrafodelista"/>
        <w:numPr>
          <w:ilvl w:val="0"/>
          <w:numId w:val="111"/>
        </w:numPr>
        <w:tabs>
          <w:tab w:val="left" w:pos="859"/>
          <w:tab w:val="left" w:leader="dot" w:pos="7639"/>
        </w:tabs>
        <w:spacing w:before="1"/>
        <w:ind w:left="1560" w:right="1352" w:hanging="284"/>
        <w:contextualSpacing/>
        <w:rPr>
          <w:rFonts w:ascii="Tahoma" w:hAnsi="Tahoma" w:cs="Tahoma"/>
          <w:sz w:val="18"/>
          <w:szCs w:val="18"/>
        </w:rPr>
      </w:pPr>
      <w:r w:rsidRPr="007F6D54">
        <w:rPr>
          <w:rFonts w:ascii="Tahoma" w:hAnsi="Tahoma" w:cs="Tahoma"/>
          <w:sz w:val="18"/>
          <w:szCs w:val="18"/>
        </w:rPr>
        <w:t>Instrumentos</w:t>
      </w:r>
      <w:r w:rsidRPr="007F6D54">
        <w:rPr>
          <w:rFonts w:ascii="Tahoma" w:hAnsi="Tahoma" w:cs="Tahoma"/>
          <w:spacing w:val="-10"/>
          <w:sz w:val="18"/>
          <w:szCs w:val="18"/>
        </w:rPr>
        <w:t xml:space="preserve"> </w:t>
      </w:r>
      <w:r w:rsidRPr="007F6D54">
        <w:rPr>
          <w:rFonts w:ascii="Tahoma" w:hAnsi="Tahoma" w:cs="Tahoma"/>
          <w:sz w:val="18"/>
          <w:szCs w:val="18"/>
        </w:rPr>
        <w:t>de</w:t>
      </w:r>
      <w:r w:rsidRPr="007F6D54">
        <w:rPr>
          <w:rFonts w:ascii="Tahoma" w:hAnsi="Tahoma" w:cs="Tahoma"/>
          <w:spacing w:val="-9"/>
          <w:sz w:val="18"/>
          <w:szCs w:val="18"/>
        </w:rPr>
        <w:t xml:space="preserve"> </w:t>
      </w:r>
      <w:r w:rsidRPr="007F6D54">
        <w:rPr>
          <w:rFonts w:ascii="Tahoma" w:hAnsi="Tahoma" w:cs="Tahoma"/>
          <w:sz w:val="18"/>
          <w:szCs w:val="18"/>
        </w:rPr>
        <w:t>derechos</w:t>
      </w:r>
      <w:r w:rsidRPr="007F6D54">
        <w:rPr>
          <w:rFonts w:ascii="Tahoma" w:hAnsi="Tahoma" w:cs="Tahoma"/>
          <w:spacing w:val="-9"/>
          <w:sz w:val="18"/>
          <w:szCs w:val="18"/>
        </w:rPr>
        <w:t xml:space="preserve"> </w:t>
      </w:r>
      <w:r w:rsidRPr="007F6D54">
        <w:rPr>
          <w:rFonts w:ascii="Tahoma" w:hAnsi="Tahoma" w:cs="Tahoma"/>
          <w:sz w:val="18"/>
          <w:szCs w:val="18"/>
        </w:rPr>
        <w:t>humanos</w:t>
      </w:r>
      <w:r w:rsidRPr="007F6D54">
        <w:rPr>
          <w:rFonts w:ascii="Tahoma" w:hAnsi="Tahoma" w:cs="Tahoma"/>
          <w:spacing w:val="-9"/>
          <w:sz w:val="18"/>
          <w:szCs w:val="18"/>
        </w:rPr>
        <w:t xml:space="preserve"> </w:t>
      </w:r>
      <w:r w:rsidRPr="007F6D54">
        <w:rPr>
          <w:rFonts w:ascii="Tahoma" w:hAnsi="Tahoma" w:cs="Tahoma"/>
          <w:sz w:val="18"/>
          <w:szCs w:val="18"/>
        </w:rPr>
        <w:t>de</w:t>
      </w:r>
      <w:r w:rsidRPr="007F6D54">
        <w:rPr>
          <w:rFonts w:ascii="Tahoma" w:hAnsi="Tahoma" w:cs="Tahoma"/>
          <w:spacing w:val="-9"/>
          <w:sz w:val="18"/>
          <w:szCs w:val="18"/>
        </w:rPr>
        <w:t xml:space="preserve"> </w:t>
      </w:r>
      <w:r w:rsidRPr="007F6D54">
        <w:rPr>
          <w:rFonts w:ascii="Tahoma" w:hAnsi="Tahoma" w:cs="Tahoma"/>
          <w:spacing w:val="-5"/>
          <w:sz w:val="18"/>
          <w:szCs w:val="18"/>
        </w:rPr>
        <w:t>las</w:t>
      </w:r>
      <w:r w:rsidRPr="007F6D54">
        <w:rPr>
          <w:rFonts w:ascii="Tahoma" w:hAnsi="Tahoma" w:cs="Tahoma"/>
          <w:sz w:val="18"/>
          <w:szCs w:val="18"/>
        </w:rPr>
        <w:t xml:space="preserve"> Naciones</w:t>
      </w:r>
      <w:r w:rsidRPr="007F6D54">
        <w:rPr>
          <w:rFonts w:ascii="Tahoma" w:hAnsi="Tahoma" w:cs="Tahoma"/>
          <w:spacing w:val="-8"/>
          <w:sz w:val="18"/>
          <w:szCs w:val="18"/>
        </w:rPr>
        <w:t xml:space="preserve"> </w:t>
      </w:r>
      <w:r w:rsidRPr="007F6D54">
        <w:rPr>
          <w:rFonts w:ascii="Tahoma" w:hAnsi="Tahoma" w:cs="Tahoma"/>
          <w:sz w:val="18"/>
          <w:szCs w:val="18"/>
        </w:rPr>
        <w:t>Unidas</w:t>
      </w:r>
      <w:r w:rsidRPr="007F6D54">
        <w:rPr>
          <w:rFonts w:ascii="Tahoma" w:hAnsi="Tahoma" w:cs="Tahoma"/>
          <w:spacing w:val="-8"/>
          <w:sz w:val="18"/>
          <w:szCs w:val="18"/>
        </w:rPr>
        <w:t xml:space="preserve"> </w:t>
      </w:r>
      <w:r w:rsidRPr="007F6D54">
        <w:rPr>
          <w:rFonts w:ascii="Tahoma" w:hAnsi="Tahoma" w:cs="Tahoma"/>
          <w:sz w:val="18"/>
          <w:szCs w:val="18"/>
        </w:rPr>
        <w:t>y</w:t>
      </w:r>
      <w:r w:rsidRPr="007F6D54">
        <w:rPr>
          <w:rFonts w:ascii="Tahoma" w:hAnsi="Tahoma" w:cs="Tahoma"/>
          <w:spacing w:val="-8"/>
          <w:sz w:val="18"/>
          <w:szCs w:val="18"/>
        </w:rPr>
        <w:t xml:space="preserve"> </w:t>
      </w:r>
      <w:r w:rsidRPr="007F6D54">
        <w:rPr>
          <w:rFonts w:ascii="Tahoma" w:hAnsi="Tahoma" w:cs="Tahoma"/>
          <w:sz w:val="18"/>
          <w:szCs w:val="18"/>
        </w:rPr>
        <w:t>su</w:t>
      </w:r>
      <w:r w:rsidRPr="007F6D54">
        <w:rPr>
          <w:rFonts w:ascii="Tahoma" w:hAnsi="Tahoma" w:cs="Tahoma"/>
          <w:spacing w:val="-8"/>
          <w:sz w:val="18"/>
          <w:szCs w:val="18"/>
        </w:rPr>
        <w:t xml:space="preserve"> </w:t>
      </w:r>
      <w:r w:rsidRPr="007F6D54">
        <w:rPr>
          <w:rFonts w:ascii="Tahoma" w:hAnsi="Tahoma" w:cs="Tahoma"/>
          <w:spacing w:val="-2"/>
          <w:sz w:val="18"/>
          <w:szCs w:val="18"/>
        </w:rPr>
        <w:t>interpretación</w:t>
      </w:r>
    </w:p>
    <w:p w14:paraId="2C0BF189" w14:textId="77777777" w:rsidR="003E5960" w:rsidRPr="007F6D54" w:rsidRDefault="003E5960" w:rsidP="003E5960">
      <w:pPr>
        <w:pStyle w:val="Prrafodelista"/>
        <w:tabs>
          <w:tab w:val="left" w:pos="859"/>
          <w:tab w:val="left" w:leader="dot" w:pos="7639"/>
        </w:tabs>
        <w:spacing w:before="1"/>
        <w:ind w:left="1560" w:right="1352" w:firstLine="0"/>
        <w:rPr>
          <w:rFonts w:ascii="Tahoma" w:hAnsi="Tahoma" w:cs="Tahoma"/>
          <w:sz w:val="18"/>
          <w:szCs w:val="18"/>
        </w:rPr>
      </w:pPr>
    </w:p>
    <w:p w14:paraId="613DDE1F" w14:textId="4A1F9215" w:rsidR="003E5960" w:rsidRPr="007F6D54" w:rsidRDefault="003E5960" w:rsidP="003E5960">
      <w:pPr>
        <w:pStyle w:val="Prrafodelista"/>
        <w:numPr>
          <w:ilvl w:val="0"/>
          <w:numId w:val="110"/>
        </w:numPr>
        <w:tabs>
          <w:tab w:val="left" w:pos="229"/>
          <w:tab w:val="left" w:leader="dot" w:pos="7443"/>
        </w:tabs>
        <w:spacing w:before="162"/>
        <w:ind w:left="1276" w:hanging="11"/>
        <w:contextualSpacing/>
        <w:rPr>
          <w:rFonts w:ascii="Tahoma" w:hAnsi="Tahoma" w:cs="Tahoma"/>
          <w:sz w:val="18"/>
          <w:szCs w:val="18"/>
        </w:rPr>
      </w:pPr>
      <w:hyperlink w:anchor="constitutivos" w:history="1">
        <w:r w:rsidRPr="007E4EDC">
          <w:rPr>
            <w:rStyle w:val="Hipervnculo"/>
            <w:rFonts w:ascii="Tahoma" w:hAnsi="Tahoma" w:cs="Tahoma"/>
            <w:w w:val="105"/>
            <w:sz w:val="18"/>
            <w:szCs w:val="18"/>
          </w:rPr>
          <w:t>ORGANISMOS</w:t>
        </w:r>
        <w:r w:rsidRPr="007E4EDC">
          <w:rPr>
            <w:rStyle w:val="Hipervnculo"/>
            <w:rFonts w:ascii="Tahoma" w:hAnsi="Tahoma" w:cs="Tahoma"/>
            <w:spacing w:val="-7"/>
            <w:w w:val="105"/>
            <w:sz w:val="18"/>
            <w:szCs w:val="18"/>
          </w:rPr>
          <w:t xml:space="preserve"> </w:t>
        </w:r>
        <w:r w:rsidRPr="007E4EDC">
          <w:rPr>
            <w:rStyle w:val="Hipervnculo"/>
            <w:rFonts w:ascii="Tahoma" w:hAnsi="Tahoma" w:cs="Tahoma"/>
            <w:w w:val="105"/>
            <w:sz w:val="18"/>
            <w:szCs w:val="18"/>
          </w:rPr>
          <w:t>CONSTITUTIVOS</w:t>
        </w:r>
        <w:r w:rsidRPr="007E4EDC">
          <w:rPr>
            <w:rStyle w:val="Hipervnculo"/>
            <w:rFonts w:ascii="Tahoma" w:hAnsi="Tahoma" w:cs="Tahoma"/>
            <w:spacing w:val="-6"/>
            <w:w w:val="105"/>
            <w:sz w:val="18"/>
            <w:szCs w:val="18"/>
          </w:rPr>
          <w:t xml:space="preserve"> </w:t>
        </w:r>
        <w:r w:rsidRPr="007E4EDC">
          <w:rPr>
            <w:rStyle w:val="Hipervnculo"/>
            <w:rFonts w:ascii="Tahoma" w:hAnsi="Tahoma" w:cs="Tahoma"/>
            <w:w w:val="105"/>
            <w:sz w:val="18"/>
            <w:szCs w:val="18"/>
          </w:rPr>
          <w:t>Y</w:t>
        </w:r>
        <w:r w:rsidRPr="007E4EDC">
          <w:rPr>
            <w:rStyle w:val="Hipervnculo"/>
            <w:rFonts w:ascii="Tahoma" w:hAnsi="Tahoma" w:cs="Tahoma"/>
            <w:spacing w:val="-8"/>
            <w:w w:val="105"/>
            <w:sz w:val="18"/>
            <w:szCs w:val="18"/>
          </w:rPr>
          <w:t xml:space="preserve"> </w:t>
        </w:r>
        <w:r w:rsidRPr="007E4EDC">
          <w:rPr>
            <w:rStyle w:val="Hipervnculo"/>
            <w:rFonts w:ascii="Tahoma" w:hAnsi="Tahoma" w:cs="Tahoma"/>
            <w:w w:val="105"/>
            <w:sz w:val="18"/>
            <w:szCs w:val="18"/>
          </w:rPr>
          <w:t>OTROS</w:t>
        </w:r>
        <w:r w:rsidRPr="007E4EDC">
          <w:rPr>
            <w:rStyle w:val="Hipervnculo"/>
            <w:rFonts w:ascii="Tahoma" w:hAnsi="Tahoma" w:cs="Tahoma"/>
            <w:spacing w:val="-7"/>
            <w:w w:val="105"/>
            <w:sz w:val="18"/>
            <w:szCs w:val="18"/>
          </w:rPr>
          <w:t xml:space="preserve"> </w:t>
        </w:r>
        <w:r w:rsidRPr="007E4EDC">
          <w:rPr>
            <w:rStyle w:val="Hipervnculo"/>
            <w:rFonts w:ascii="Tahoma" w:hAnsi="Tahoma" w:cs="Tahoma"/>
            <w:w w:val="105"/>
            <w:sz w:val="18"/>
            <w:szCs w:val="18"/>
          </w:rPr>
          <w:t>PROCESOS</w:t>
        </w:r>
        <w:r w:rsidRPr="007E4EDC">
          <w:rPr>
            <w:rStyle w:val="Hipervnculo"/>
            <w:rFonts w:ascii="Tahoma" w:hAnsi="Tahoma" w:cs="Tahoma"/>
            <w:spacing w:val="-6"/>
            <w:w w:val="105"/>
            <w:sz w:val="18"/>
            <w:szCs w:val="18"/>
          </w:rPr>
          <w:t xml:space="preserve"> </w:t>
        </w:r>
        <w:r w:rsidRPr="007E4EDC">
          <w:rPr>
            <w:rStyle w:val="Hipervnculo"/>
            <w:rFonts w:ascii="Tahoma" w:hAnsi="Tahoma" w:cs="Tahoma"/>
            <w:spacing w:val="-2"/>
            <w:w w:val="105"/>
            <w:sz w:val="18"/>
            <w:szCs w:val="18"/>
          </w:rPr>
          <w:t>INTERNACIONALES</w:t>
        </w:r>
      </w:hyperlink>
    </w:p>
    <w:p w14:paraId="1D7F44CC" w14:textId="77777777" w:rsidR="003E5960" w:rsidRPr="007F6D54" w:rsidRDefault="003E5960" w:rsidP="003E5960">
      <w:pPr>
        <w:pStyle w:val="Prrafodelista"/>
        <w:numPr>
          <w:ilvl w:val="0"/>
          <w:numId w:val="112"/>
        </w:numPr>
        <w:tabs>
          <w:tab w:val="left" w:pos="859"/>
          <w:tab w:val="left" w:leader="dot" w:pos="7815"/>
        </w:tabs>
        <w:ind w:left="1560" w:hanging="284"/>
        <w:contextualSpacing/>
        <w:rPr>
          <w:rFonts w:ascii="Tahoma" w:hAnsi="Tahoma" w:cs="Tahoma"/>
          <w:sz w:val="18"/>
          <w:szCs w:val="18"/>
        </w:rPr>
      </w:pPr>
      <w:r w:rsidRPr="007F6D54">
        <w:rPr>
          <w:rFonts w:ascii="Tahoma" w:hAnsi="Tahoma" w:cs="Tahoma"/>
          <w:spacing w:val="-2"/>
          <w:sz w:val="18"/>
          <w:szCs w:val="18"/>
        </w:rPr>
        <w:t>Titulares</w:t>
      </w:r>
      <w:r w:rsidRPr="007F6D54">
        <w:rPr>
          <w:rFonts w:ascii="Tahoma" w:hAnsi="Tahoma" w:cs="Tahoma"/>
          <w:spacing w:val="2"/>
          <w:sz w:val="18"/>
          <w:szCs w:val="18"/>
        </w:rPr>
        <w:t xml:space="preserve"> </w:t>
      </w:r>
      <w:r w:rsidRPr="007F6D54">
        <w:rPr>
          <w:rFonts w:ascii="Tahoma" w:hAnsi="Tahoma" w:cs="Tahoma"/>
          <w:spacing w:val="-2"/>
          <w:sz w:val="18"/>
          <w:szCs w:val="18"/>
        </w:rPr>
        <w:t>de</w:t>
      </w:r>
      <w:r w:rsidRPr="007F6D54">
        <w:rPr>
          <w:rFonts w:ascii="Tahoma" w:hAnsi="Tahoma" w:cs="Tahoma"/>
          <w:spacing w:val="2"/>
          <w:sz w:val="18"/>
          <w:szCs w:val="18"/>
        </w:rPr>
        <w:t xml:space="preserve"> </w:t>
      </w:r>
      <w:r w:rsidRPr="007F6D54">
        <w:rPr>
          <w:rFonts w:ascii="Tahoma" w:hAnsi="Tahoma" w:cs="Tahoma"/>
          <w:spacing w:val="-2"/>
          <w:sz w:val="18"/>
          <w:szCs w:val="18"/>
        </w:rPr>
        <w:t>mandatos</w:t>
      </w:r>
      <w:r w:rsidRPr="007F6D54">
        <w:rPr>
          <w:rFonts w:ascii="Tahoma" w:hAnsi="Tahoma" w:cs="Tahoma"/>
          <w:spacing w:val="2"/>
          <w:sz w:val="18"/>
          <w:szCs w:val="18"/>
        </w:rPr>
        <w:t xml:space="preserve"> </w:t>
      </w:r>
      <w:r w:rsidRPr="007F6D54">
        <w:rPr>
          <w:rFonts w:ascii="Tahoma" w:hAnsi="Tahoma" w:cs="Tahoma"/>
          <w:spacing w:val="-2"/>
          <w:sz w:val="18"/>
          <w:szCs w:val="18"/>
        </w:rPr>
        <w:t>de</w:t>
      </w:r>
      <w:r w:rsidRPr="007F6D54">
        <w:rPr>
          <w:rFonts w:ascii="Tahoma" w:hAnsi="Tahoma" w:cs="Tahoma"/>
          <w:spacing w:val="2"/>
          <w:sz w:val="18"/>
          <w:szCs w:val="18"/>
        </w:rPr>
        <w:t xml:space="preserve"> </w:t>
      </w:r>
      <w:r w:rsidRPr="007F6D54">
        <w:rPr>
          <w:rFonts w:ascii="Tahoma" w:hAnsi="Tahoma" w:cs="Tahoma"/>
          <w:spacing w:val="-2"/>
          <w:sz w:val="18"/>
          <w:szCs w:val="18"/>
        </w:rPr>
        <w:t>procedimientos</w:t>
      </w:r>
      <w:r w:rsidRPr="007F6D54">
        <w:rPr>
          <w:rFonts w:ascii="Tahoma" w:hAnsi="Tahoma" w:cs="Tahoma"/>
          <w:spacing w:val="2"/>
          <w:sz w:val="18"/>
          <w:szCs w:val="18"/>
        </w:rPr>
        <w:t xml:space="preserve"> </w:t>
      </w:r>
      <w:r w:rsidRPr="007F6D54">
        <w:rPr>
          <w:rFonts w:ascii="Tahoma" w:hAnsi="Tahoma" w:cs="Tahoma"/>
          <w:spacing w:val="-2"/>
          <w:sz w:val="18"/>
          <w:szCs w:val="18"/>
        </w:rPr>
        <w:t>especiales</w:t>
      </w:r>
      <w:r w:rsidRPr="007F6D54">
        <w:rPr>
          <w:rFonts w:ascii="Tahoma" w:hAnsi="Tahoma" w:cs="Tahoma"/>
          <w:spacing w:val="2"/>
          <w:sz w:val="18"/>
          <w:szCs w:val="18"/>
        </w:rPr>
        <w:t xml:space="preserve"> </w:t>
      </w:r>
      <w:r w:rsidRPr="007F6D54">
        <w:rPr>
          <w:rFonts w:ascii="Tahoma" w:hAnsi="Tahoma" w:cs="Tahoma"/>
          <w:spacing w:val="-2"/>
          <w:sz w:val="18"/>
          <w:szCs w:val="18"/>
        </w:rPr>
        <w:t>de</w:t>
      </w:r>
      <w:r w:rsidRPr="007F6D54">
        <w:rPr>
          <w:rFonts w:ascii="Tahoma" w:hAnsi="Tahoma" w:cs="Tahoma"/>
          <w:spacing w:val="2"/>
          <w:sz w:val="18"/>
          <w:szCs w:val="18"/>
        </w:rPr>
        <w:t xml:space="preserve"> </w:t>
      </w:r>
      <w:r w:rsidRPr="007F6D54">
        <w:rPr>
          <w:rFonts w:ascii="Tahoma" w:hAnsi="Tahoma" w:cs="Tahoma"/>
          <w:spacing w:val="-2"/>
          <w:sz w:val="18"/>
          <w:szCs w:val="18"/>
        </w:rPr>
        <w:t>las</w:t>
      </w:r>
      <w:r w:rsidRPr="007F6D54">
        <w:rPr>
          <w:rFonts w:ascii="Tahoma" w:hAnsi="Tahoma" w:cs="Tahoma"/>
          <w:spacing w:val="2"/>
          <w:sz w:val="18"/>
          <w:szCs w:val="18"/>
        </w:rPr>
        <w:t xml:space="preserve"> </w:t>
      </w:r>
      <w:r w:rsidRPr="007F6D54">
        <w:rPr>
          <w:rFonts w:ascii="Tahoma" w:hAnsi="Tahoma" w:cs="Tahoma"/>
          <w:spacing w:val="-2"/>
          <w:sz w:val="18"/>
          <w:szCs w:val="18"/>
        </w:rPr>
        <w:t>Naciones</w:t>
      </w:r>
      <w:r w:rsidRPr="007F6D54">
        <w:rPr>
          <w:rFonts w:ascii="Tahoma" w:hAnsi="Tahoma" w:cs="Tahoma"/>
          <w:spacing w:val="2"/>
          <w:sz w:val="18"/>
          <w:szCs w:val="18"/>
        </w:rPr>
        <w:t xml:space="preserve"> </w:t>
      </w:r>
      <w:r w:rsidRPr="007F6D54">
        <w:rPr>
          <w:rFonts w:ascii="Tahoma" w:hAnsi="Tahoma" w:cs="Tahoma"/>
          <w:spacing w:val="-2"/>
          <w:sz w:val="18"/>
          <w:szCs w:val="18"/>
        </w:rPr>
        <w:t>Unidas</w:t>
      </w:r>
    </w:p>
    <w:p w14:paraId="367F116A" w14:textId="77777777" w:rsidR="003E5960" w:rsidRPr="007F6D54" w:rsidRDefault="003E5960" w:rsidP="003E5960">
      <w:pPr>
        <w:pStyle w:val="Prrafodelista"/>
        <w:numPr>
          <w:ilvl w:val="0"/>
          <w:numId w:val="112"/>
        </w:numPr>
        <w:tabs>
          <w:tab w:val="left" w:pos="859"/>
          <w:tab w:val="left" w:leader="dot" w:pos="7815"/>
        </w:tabs>
        <w:ind w:left="1560" w:hanging="284"/>
        <w:contextualSpacing/>
        <w:rPr>
          <w:rFonts w:ascii="Tahoma" w:hAnsi="Tahoma" w:cs="Tahoma"/>
          <w:sz w:val="18"/>
          <w:szCs w:val="18"/>
        </w:rPr>
      </w:pPr>
      <w:r w:rsidRPr="007F6D54">
        <w:rPr>
          <w:rFonts w:ascii="Tahoma" w:hAnsi="Tahoma" w:cs="Tahoma"/>
          <w:sz w:val="18"/>
          <w:szCs w:val="18"/>
        </w:rPr>
        <w:t>Examen</w:t>
      </w:r>
      <w:r w:rsidRPr="007F6D54">
        <w:rPr>
          <w:rFonts w:ascii="Tahoma" w:hAnsi="Tahoma" w:cs="Tahoma"/>
          <w:spacing w:val="-8"/>
          <w:sz w:val="18"/>
          <w:szCs w:val="18"/>
        </w:rPr>
        <w:t xml:space="preserve"> </w:t>
      </w:r>
      <w:r w:rsidRPr="007F6D54">
        <w:rPr>
          <w:rFonts w:ascii="Tahoma" w:hAnsi="Tahoma" w:cs="Tahoma"/>
          <w:spacing w:val="-2"/>
          <w:sz w:val="18"/>
          <w:szCs w:val="18"/>
        </w:rPr>
        <w:t>periódico</w:t>
      </w:r>
      <w:r w:rsidRPr="007F6D54">
        <w:rPr>
          <w:rFonts w:ascii="Tahoma" w:hAnsi="Tahoma" w:cs="Tahoma"/>
          <w:sz w:val="18"/>
          <w:szCs w:val="18"/>
        </w:rPr>
        <w:t xml:space="preserve"> </w:t>
      </w:r>
      <w:r w:rsidRPr="007F6D54">
        <w:rPr>
          <w:rFonts w:ascii="Tahoma" w:hAnsi="Tahoma" w:cs="Tahoma"/>
          <w:spacing w:val="-2"/>
          <w:sz w:val="18"/>
          <w:szCs w:val="18"/>
        </w:rPr>
        <w:t>universal</w:t>
      </w:r>
    </w:p>
    <w:p w14:paraId="43CBD80A" w14:textId="77777777" w:rsidR="003E5960" w:rsidRPr="007F6D54" w:rsidRDefault="003E5960" w:rsidP="003E5960">
      <w:pPr>
        <w:pStyle w:val="Prrafodelista"/>
        <w:numPr>
          <w:ilvl w:val="0"/>
          <w:numId w:val="112"/>
        </w:numPr>
        <w:tabs>
          <w:tab w:val="left" w:pos="859"/>
          <w:tab w:val="left" w:leader="dot" w:pos="7815"/>
        </w:tabs>
        <w:ind w:left="1560" w:hanging="284"/>
        <w:contextualSpacing/>
        <w:rPr>
          <w:rFonts w:ascii="Tahoma" w:hAnsi="Tahoma" w:cs="Tahoma"/>
          <w:sz w:val="18"/>
          <w:szCs w:val="18"/>
        </w:rPr>
      </w:pPr>
      <w:r w:rsidRPr="007F6D54">
        <w:rPr>
          <w:rFonts w:ascii="Tahoma" w:hAnsi="Tahoma" w:cs="Tahoma"/>
          <w:sz w:val="18"/>
          <w:szCs w:val="18"/>
        </w:rPr>
        <w:t>Otros</w:t>
      </w:r>
      <w:r w:rsidRPr="007F6D54">
        <w:rPr>
          <w:rFonts w:ascii="Tahoma" w:hAnsi="Tahoma" w:cs="Tahoma"/>
          <w:spacing w:val="-5"/>
          <w:sz w:val="18"/>
          <w:szCs w:val="18"/>
        </w:rPr>
        <w:t xml:space="preserve"> </w:t>
      </w:r>
      <w:r w:rsidRPr="007F6D54">
        <w:rPr>
          <w:rFonts w:ascii="Tahoma" w:hAnsi="Tahoma" w:cs="Tahoma"/>
          <w:spacing w:val="-2"/>
          <w:sz w:val="18"/>
          <w:szCs w:val="18"/>
        </w:rPr>
        <w:t>procesos</w:t>
      </w:r>
      <w:r w:rsidRPr="007F6D54">
        <w:rPr>
          <w:rFonts w:ascii="Tahoma" w:hAnsi="Tahoma" w:cs="Tahoma"/>
          <w:sz w:val="18"/>
          <w:szCs w:val="18"/>
        </w:rPr>
        <w:t xml:space="preserve"> </w:t>
      </w:r>
      <w:r w:rsidRPr="007F6D54">
        <w:rPr>
          <w:rFonts w:ascii="Tahoma" w:hAnsi="Tahoma" w:cs="Tahoma"/>
          <w:spacing w:val="-2"/>
          <w:sz w:val="18"/>
          <w:szCs w:val="18"/>
        </w:rPr>
        <w:t>internacionales</w:t>
      </w:r>
    </w:p>
    <w:p w14:paraId="7E2BCAE0" w14:textId="77777777" w:rsidR="003E5960" w:rsidRPr="007F6D54" w:rsidRDefault="003E5960" w:rsidP="003E5960">
      <w:pPr>
        <w:pStyle w:val="Prrafodelista"/>
        <w:tabs>
          <w:tab w:val="left" w:pos="859"/>
          <w:tab w:val="left" w:leader="dot" w:pos="7815"/>
        </w:tabs>
        <w:ind w:left="1560"/>
        <w:rPr>
          <w:rFonts w:ascii="Tahoma" w:hAnsi="Tahoma" w:cs="Tahoma"/>
          <w:sz w:val="18"/>
          <w:szCs w:val="18"/>
        </w:rPr>
      </w:pPr>
    </w:p>
    <w:p w14:paraId="7112EC02" w14:textId="3D01F1F3" w:rsidR="003E5960" w:rsidRPr="007F6D54" w:rsidRDefault="003E5960" w:rsidP="003E5960">
      <w:pPr>
        <w:pStyle w:val="Prrafodelista"/>
        <w:numPr>
          <w:ilvl w:val="0"/>
          <w:numId w:val="110"/>
        </w:numPr>
        <w:tabs>
          <w:tab w:val="left" w:pos="269"/>
          <w:tab w:val="left" w:leader="dot" w:pos="7393"/>
        </w:tabs>
        <w:spacing w:before="161"/>
        <w:ind w:left="1560" w:hanging="142"/>
        <w:contextualSpacing/>
        <w:rPr>
          <w:rFonts w:ascii="Tahoma" w:hAnsi="Tahoma" w:cs="Tahoma"/>
          <w:sz w:val="18"/>
          <w:szCs w:val="18"/>
        </w:rPr>
      </w:pPr>
      <w:hyperlink w:anchor="regional" w:history="1">
        <w:r w:rsidRPr="00217534">
          <w:rPr>
            <w:rStyle w:val="Hipervnculo"/>
            <w:rFonts w:ascii="Tahoma" w:hAnsi="Tahoma" w:cs="Tahoma"/>
            <w:w w:val="105"/>
            <w:sz w:val="18"/>
            <w:szCs w:val="18"/>
          </w:rPr>
          <w:t>DESARROLLO</w:t>
        </w:r>
        <w:r w:rsidRPr="00217534">
          <w:rPr>
            <w:rStyle w:val="Hipervnculo"/>
            <w:rFonts w:ascii="Tahoma" w:hAnsi="Tahoma" w:cs="Tahoma"/>
            <w:spacing w:val="-6"/>
            <w:w w:val="105"/>
            <w:sz w:val="18"/>
            <w:szCs w:val="18"/>
          </w:rPr>
          <w:t xml:space="preserve"> </w:t>
        </w:r>
        <w:r w:rsidRPr="00217534">
          <w:rPr>
            <w:rStyle w:val="Hipervnculo"/>
            <w:rFonts w:ascii="Tahoma" w:hAnsi="Tahoma" w:cs="Tahoma"/>
            <w:w w:val="105"/>
            <w:sz w:val="18"/>
            <w:szCs w:val="18"/>
          </w:rPr>
          <w:t>DEL</w:t>
        </w:r>
        <w:r w:rsidRPr="00217534">
          <w:rPr>
            <w:rStyle w:val="Hipervnculo"/>
            <w:rFonts w:ascii="Tahoma" w:hAnsi="Tahoma" w:cs="Tahoma"/>
            <w:spacing w:val="-5"/>
            <w:w w:val="105"/>
            <w:sz w:val="18"/>
            <w:szCs w:val="18"/>
          </w:rPr>
          <w:t xml:space="preserve"> </w:t>
        </w:r>
        <w:r w:rsidRPr="00217534">
          <w:rPr>
            <w:rStyle w:val="Hipervnculo"/>
            <w:rFonts w:ascii="Tahoma" w:hAnsi="Tahoma" w:cs="Tahoma"/>
            <w:w w:val="105"/>
            <w:sz w:val="18"/>
            <w:szCs w:val="18"/>
          </w:rPr>
          <w:t>DERECHO</w:t>
        </w:r>
        <w:r w:rsidRPr="00217534">
          <w:rPr>
            <w:rStyle w:val="Hipervnculo"/>
            <w:rFonts w:ascii="Tahoma" w:hAnsi="Tahoma" w:cs="Tahoma"/>
            <w:spacing w:val="-5"/>
            <w:w w:val="105"/>
            <w:sz w:val="18"/>
            <w:szCs w:val="18"/>
          </w:rPr>
          <w:t xml:space="preserve"> </w:t>
        </w:r>
        <w:r w:rsidRPr="00217534">
          <w:rPr>
            <w:rStyle w:val="Hipervnculo"/>
            <w:rFonts w:ascii="Tahoma" w:hAnsi="Tahoma" w:cs="Tahoma"/>
            <w:w w:val="105"/>
            <w:sz w:val="18"/>
            <w:szCs w:val="18"/>
          </w:rPr>
          <w:t>REGIONAL</w:t>
        </w:r>
        <w:r w:rsidRPr="00217534">
          <w:rPr>
            <w:rStyle w:val="Hipervnculo"/>
            <w:rFonts w:ascii="Tahoma" w:hAnsi="Tahoma" w:cs="Tahoma"/>
            <w:spacing w:val="-6"/>
            <w:w w:val="105"/>
            <w:sz w:val="18"/>
            <w:szCs w:val="18"/>
          </w:rPr>
          <w:t xml:space="preserve"> </w:t>
        </w:r>
        <w:r w:rsidRPr="00217534">
          <w:rPr>
            <w:rStyle w:val="Hipervnculo"/>
            <w:rFonts w:ascii="Tahoma" w:hAnsi="Tahoma" w:cs="Tahoma"/>
            <w:w w:val="105"/>
            <w:sz w:val="18"/>
            <w:szCs w:val="18"/>
          </w:rPr>
          <w:t>Y</w:t>
        </w:r>
        <w:r w:rsidRPr="00217534">
          <w:rPr>
            <w:rStyle w:val="Hipervnculo"/>
            <w:rFonts w:ascii="Tahoma" w:hAnsi="Tahoma" w:cs="Tahoma"/>
            <w:spacing w:val="-6"/>
            <w:w w:val="105"/>
            <w:sz w:val="18"/>
            <w:szCs w:val="18"/>
          </w:rPr>
          <w:t xml:space="preserve"> </w:t>
        </w:r>
        <w:r w:rsidRPr="00217534">
          <w:rPr>
            <w:rStyle w:val="Hipervnculo"/>
            <w:rFonts w:ascii="Tahoma" w:hAnsi="Tahoma" w:cs="Tahoma"/>
            <w:spacing w:val="-2"/>
            <w:w w:val="105"/>
            <w:sz w:val="18"/>
            <w:szCs w:val="18"/>
          </w:rPr>
          <w:t>NACIONAL</w:t>
        </w:r>
      </w:hyperlink>
    </w:p>
    <w:p w14:paraId="7DF4F3A5" w14:textId="77777777" w:rsidR="003E5960" w:rsidRPr="007F6D54" w:rsidRDefault="003E5960" w:rsidP="003E5960">
      <w:pPr>
        <w:pStyle w:val="Prrafodelista"/>
        <w:numPr>
          <w:ilvl w:val="0"/>
          <w:numId w:val="113"/>
        </w:numPr>
        <w:tabs>
          <w:tab w:val="left" w:pos="859"/>
          <w:tab w:val="left" w:pos="1577"/>
          <w:tab w:val="left" w:pos="9196"/>
        </w:tabs>
        <w:ind w:left="1560" w:hanging="284"/>
        <w:contextualSpacing/>
        <w:rPr>
          <w:rFonts w:ascii="Tahoma" w:hAnsi="Tahoma" w:cs="Tahoma"/>
          <w:sz w:val="18"/>
          <w:szCs w:val="18"/>
        </w:rPr>
      </w:pPr>
      <w:r w:rsidRPr="007F6D54">
        <w:rPr>
          <w:rFonts w:ascii="Tahoma" w:hAnsi="Tahoma" w:cs="Tahoma"/>
          <w:spacing w:val="-2"/>
          <w:sz w:val="18"/>
          <w:szCs w:val="18"/>
        </w:rPr>
        <w:t>África</w:t>
      </w:r>
      <w:r w:rsidRPr="007F6D54">
        <w:rPr>
          <w:rFonts w:ascii="Tahoma" w:hAnsi="Tahoma" w:cs="Tahoma"/>
          <w:sz w:val="18"/>
          <w:szCs w:val="18"/>
        </w:rPr>
        <w:tab/>
      </w:r>
      <w:r w:rsidRPr="007F6D54">
        <w:rPr>
          <w:rFonts w:ascii="Tahoma" w:hAnsi="Tahoma" w:cs="Tahoma"/>
          <w:sz w:val="18"/>
          <w:szCs w:val="18"/>
        </w:rPr>
        <w:tab/>
      </w:r>
    </w:p>
    <w:p w14:paraId="393408F0" w14:textId="77777777" w:rsidR="003E5960" w:rsidRPr="007F6D54" w:rsidRDefault="003E5960" w:rsidP="003E5960">
      <w:pPr>
        <w:pStyle w:val="Prrafodelista"/>
        <w:numPr>
          <w:ilvl w:val="0"/>
          <w:numId w:val="113"/>
        </w:numPr>
        <w:tabs>
          <w:tab w:val="left" w:pos="860"/>
          <w:tab w:val="left" w:leader="dot" w:pos="6860"/>
        </w:tabs>
        <w:ind w:left="1560" w:hanging="284"/>
        <w:contextualSpacing/>
        <w:rPr>
          <w:rFonts w:ascii="Tahoma" w:hAnsi="Tahoma" w:cs="Tahoma"/>
          <w:sz w:val="18"/>
          <w:szCs w:val="18"/>
        </w:rPr>
      </w:pPr>
      <w:r w:rsidRPr="007F6D54">
        <w:rPr>
          <w:rFonts w:ascii="Tahoma" w:hAnsi="Tahoma" w:cs="Tahoma"/>
          <w:sz w:val="18"/>
          <w:szCs w:val="18"/>
        </w:rPr>
        <w:t>Las</w:t>
      </w:r>
      <w:r w:rsidRPr="007F6D54">
        <w:rPr>
          <w:rFonts w:ascii="Tahoma" w:hAnsi="Tahoma" w:cs="Tahoma"/>
          <w:spacing w:val="-6"/>
          <w:sz w:val="18"/>
          <w:szCs w:val="18"/>
        </w:rPr>
        <w:t xml:space="preserve"> </w:t>
      </w:r>
      <w:r w:rsidRPr="007F6D54">
        <w:rPr>
          <w:rFonts w:ascii="Tahoma" w:hAnsi="Tahoma" w:cs="Tahoma"/>
          <w:spacing w:val="-2"/>
          <w:sz w:val="18"/>
          <w:szCs w:val="18"/>
        </w:rPr>
        <w:t>Américas</w:t>
      </w:r>
    </w:p>
    <w:p w14:paraId="1C47ACBE" w14:textId="77777777" w:rsidR="003E5960" w:rsidRPr="007F6D54" w:rsidRDefault="003E5960" w:rsidP="003E5960">
      <w:pPr>
        <w:pStyle w:val="Prrafodelista"/>
        <w:numPr>
          <w:ilvl w:val="0"/>
          <w:numId w:val="113"/>
        </w:numPr>
        <w:tabs>
          <w:tab w:val="left" w:pos="832"/>
          <w:tab w:val="left" w:leader="dot" w:pos="6825"/>
        </w:tabs>
        <w:ind w:left="1560" w:hanging="284"/>
        <w:contextualSpacing/>
        <w:rPr>
          <w:rFonts w:ascii="Tahoma" w:hAnsi="Tahoma" w:cs="Tahoma"/>
          <w:sz w:val="18"/>
          <w:szCs w:val="18"/>
        </w:rPr>
      </w:pPr>
      <w:r w:rsidRPr="007F6D54">
        <w:rPr>
          <w:rFonts w:ascii="Tahoma" w:hAnsi="Tahoma" w:cs="Tahoma"/>
          <w:spacing w:val="-2"/>
          <w:sz w:val="18"/>
          <w:szCs w:val="18"/>
        </w:rPr>
        <w:t>Europa</w:t>
      </w:r>
    </w:p>
    <w:p w14:paraId="04BAA86E" w14:textId="77777777" w:rsidR="003E5960" w:rsidRPr="007F6D54" w:rsidRDefault="003E5960" w:rsidP="003E5960">
      <w:pPr>
        <w:pStyle w:val="Prrafodelista"/>
        <w:numPr>
          <w:ilvl w:val="0"/>
          <w:numId w:val="113"/>
        </w:numPr>
        <w:tabs>
          <w:tab w:val="left" w:pos="832"/>
          <w:tab w:val="left" w:leader="dot" w:pos="6825"/>
        </w:tabs>
        <w:ind w:left="1560" w:hanging="284"/>
        <w:contextualSpacing/>
        <w:rPr>
          <w:rFonts w:ascii="Tahoma" w:hAnsi="Tahoma" w:cs="Tahoma"/>
          <w:sz w:val="18"/>
          <w:szCs w:val="18"/>
        </w:rPr>
      </w:pPr>
      <w:r w:rsidRPr="007F6D54">
        <w:rPr>
          <w:rFonts w:ascii="Tahoma" w:hAnsi="Tahoma" w:cs="Tahoma"/>
          <w:sz w:val="18"/>
          <w:szCs w:val="18"/>
        </w:rPr>
        <w:t>Otras</w:t>
      </w:r>
      <w:r w:rsidRPr="007F6D54">
        <w:rPr>
          <w:rFonts w:ascii="Tahoma" w:hAnsi="Tahoma" w:cs="Tahoma"/>
          <w:spacing w:val="-8"/>
          <w:sz w:val="18"/>
          <w:szCs w:val="18"/>
        </w:rPr>
        <w:t xml:space="preserve"> </w:t>
      </w:r>
      <w:r w:rsidRPr="007F6D54">
        <w:rPr>
          <w:rFonts w:ascii="Tahoma" w:hAnsi="Tahoma" w:cs="Tahoma"/>
          <w:sz w:val="18"/>
          <w:szCs w:val="18"/>
        </w:rPr>
        <w:t>novedades</w:t>
      </w:r>
      <w:r w:rsidRPr="007F6D54">
        <w:rPr>
          <w:rFonts w:ascii="Tahoma" w:hAnsi="Tahoma" w:cs="Tahoma"/>
          <w:spacing w:val="-8"/>
          <w:sz w:val="18"/>
          <w:szCs w:val="18"/>
        </w:rPr>
        <w:t xml:space="preserve"> </w:t>
      </w:r>
      <w:r w:rsidRPr="007F6D54">
        <w:rPr>
          <w:rFonts w:ascii="Tahoma" w:hAnsi="Tahoma" w:cs="Tahoma"/>
          <w:sz w:val="18"/>
          <w:szCs w:val="18"/>
        </w:rPr>
        <w:t>en</w:t>
      </w:r>
      <w:r w:rsidRPr="007F6D54">
        <w:rPr>
          <w:rFonts w:ascii="Tahoma" w:hAnsi="Tahoma" w:cs="Tahoma"/>
          <w:spacing w:val="-8"/>
          <w:sz w:val="18"/>
          <w:szCs w:val="18"/>
        </w:rPr>
        <w:t xml:space="preserve"> </w:t>
      </w:r>
      <w:r w:rsidRPr="007F6D54">
        <w:rPr>
          <w:rFonts w:ascii="Tahoma" w:hAnsi="Tahoma" w:cs="Tahoma"/>
          <w:spacing w:val="-2"/>
          <w:sz w:val="18"/>
          <w:szCs w:val="18"/>
        </w:rPr>
        <w:t>materia</w:t>
      </w:r>
      <w:r w:rsidRPr="007F6D54">
        <w:rPr>
          <w:rFonts w:ascii="Tahoma" w:hAnsi="Tahoma" w:cs="Tahoma"/>
          <w:sz w:val="18"/>
          <w:szCs w:val="18"/>
        </w:rPr>
        <w:t xml:space="preserve"> </w:t>
      </w:r>
      <w:r w:rsidRPr="007F6D54">
        <w:rPr>
          <w:rFonts w:ascii="Tahoma" w:hAnsi="Tahoma" w:cs="Tahoma"/>
          <w:spacing w:val="-2"/>
          <w:sz w:val="18"/>
          <w:szCs w:val="18"/>
        </w:rPr>
        <w:t>de</w:t>
      </w:r>
      <w:r w:rsidRPr="007F6D54">
        <w:rPr>
          <w:rFonts w:ascii="Tahoma" w:hAnsi="Tahoma" w:cs="Tahoma"/>
          <w:spacing w:val="-3"/>
          <w:sz w:val="18"/>
          <w:szCs w:val="18"/>
        </w:rPr>
        <w:t xml:space="preserve"> </w:t>
      </w:r>
      <w:r w:rsidRPr="007F6D54">
        <w:rPr>
          <w:rFonts w:ascii="Tahoma" w:hAnsi="Tahoma" w:cs="Tahoma"/>
          <w:spacing w:val="-2"/>
          <w:sz w:val="18"/>
          <w:szCs w:val="18"/>
        </w:rPr>
        <w:t>legislación nacional</w:t>
      </w:r>
    </w:p>
    <w:p w14:paraId="07DC284E" w14:textId="77777777" w:rsidR="003E5960" w:rsidRPr="007F6D54" w:rsidRDefault="003E5960" w:rsidP="003E5960">
      <w:pPr>
        <w:tabs>
          <w:tab w:val="left" w:pos="1904"/>
          <w:tab w:val="left" w:leader="dot" w:pos="7798"/>
        </w:tabs>
        <w:rPr>
          <w:rFonts w:ascii="Tahoma" w:hAnsi="Tahoma" w:cs="Tahoma"/>
          <w:spacing w:val="-2"/>
          <w:w w:val="105"/>
          <w:sz w:val="18"/>
          <w:szCs w:val="18"/>
        </w:rPr>
      </w:pPr>
    </w:p>
    <w:p w14:paraId="2402EF7C" w14:textId="50474D8C" w:rsidR="003E5960" w:rsidRPr="007F6D54" w:rsidRDefault="003E5960" w:rsidP="003E5960">
      <w:pPr>
        <w:tabs>
          <w:tab w:val="left" w:pos="1904"/>
          <w:tab w:val="left" w:leader="dot" w:pos="7798"/>
        </w:tabs>
        <w:ind w:firstLine="1276"/>
        <w:rPr>
          <w:rFonts w:ascii="Tahoma" w:hAnsi="Tahoma" w:cs="Tahoma"/>
          <w:sz w:val="18"/>
          <w:szCs w:val="18"/>
        </w:rPr>
      </w:pPr>
      <w:hyperlink w:anchor="conclusión" w:history="1">
        <w:r w:rsidRPr="00FD7C72">
          <w:rPr>
            <w:rStyle w:val="Hipervnculo"/>
            <w:rFonts w:ascii="Tahoma" w:hAnsi="Tahoma" w:cs="Tahoma"/>
            <w:spacing w:val="-2"/>
            <w:w w:val="105"/>
            <w:sz w:val="18"/>
            <w:szCs w:val="18"/>
          </w:rPr>
          <w:t>CONCLUSIÓN</w:t>
        </w:r>
      </w:hyperlink>
    </w:p>
    <w:p w14:paraId="1FAA35E6" w14:textId="77777777" w:rsidR="003E5960" w:rsidRPr="007F6D54" w:rsidRDefault="003E5960" w:rsidP="003E5960">
      <w:pPr>
        <w:pStyle w:val="Textoindependiente"/>
        <w:rPr>
          <w:rFonts w:ascii="Tahoma" w:hAnsi="Tahoma" w:cs="Tahoma"/>
          <w:sz w:val="18"/>
          <w:szCs w:val="18"/>
        </w:rPr>
      </w:pPr>
      <w:r w:rsidRPr="007F6D54">
        <w:rPr>
          <w:rFonts w:ascii="Tahoma" w:hAnsi="Tahoma" w:cs="Tahoma"/>
          <w:sz w:val="18"/>
          <w:szCs w:val="18"/>
        </w:rPr>
        <w:t xml:space="preserve">                    </w:t>
      </w:r>
      <w:r w:rsidRPr="007F6D54">
        <w:rPr>
          <w:rFonts w:ascii="Tahoma" w:hAnsi="Tahoma" w:cs="Tahoma"/>
          <w:sz w:val="18"/>
          <w:szCs w:val="18"/>
        </w:rPr>
        <w:tab/>
      </w:r>
    </w:p>
    <w:p w14:paraId="5FE287D4" w14:textId="7E26F7C5" w:rsidR="003E5960" w:rsidRPr="007F6D54" w:rsidRDefault="003E5960" w:rsidP="003E5960">
      <w:pPr>
        <w:tabs>
          <w:tab w:val="left" w:pos="1234"/>
          <w:tab w:val="right" w:leader="dot" w:pos="8275"/>
        </w:tabs>
        <w:rPr>
          <w:rFonts w:ascii="Tahoma" w:hAnsi="Tahoma" w:cs="Tahoma"/>
          <w:b/>
          <w:bCs/>
          <w:sz w:val="18"/>
          <w:szCs w:val="18"/>
        </w:rPr>
      </w:pPr>
      <w:r w:rsidRPr="007F6D54">
        <w:rPr>
          <w:rFonts w:ascii="Tahoma" w:hAnsi="Tahoma" w:cs="Tahoma"/>
          <w:sz w:val="18"/>
          <w:szCs w:val="18"/>
        </w:rPr>
        <w:t xml:space="preserve">                   </w:t>
      </w:r>
      <w:hyperlink w:anchor="segunda" w:history="1">
        <w:r w:rsidRPr="006E64C5">
          <w:rPr>
            <w:rStyle w:val="Hipervnculo"/>
            <w:rFonts w:ascii="Tahoma" w:hAnsi="Tahoma" w:cs="Tahoma"/>
            <w:b/>
            <w:bCs/>
            <w:sz w:val="18"/>
            <w:szCs w:val="18"/>
          </w:rPr>
          <w:t>SEGUNDA</w:t>
        </w:r>
        <w:r w:rsidRPr="006E64C5">
          <w:rPr>
            <w:rStyle w:val="Hipervnculo"/>
            <w:rFonts w:ascii="Tahoma" w:hAnsi="Tahoma" w:cs="Tahoma"/>
            <w:b/>
            <w:bCs/>
            <w:spacing w:val="3"/>
            <w:sz w:val="18"/>
            <w:szCs w:val="18"/>
          </w:rPr>
          <w:t xml:space="preserve"> </w:t>
        </w:r>
        <w:r w:rsidRPr="006E64C5">
          <w:rPr>
            <w:rStyle w:val="Hipervnculo"/>
            <w:rFonts w:ascii="Tahoma" w:hAnsi="Tahoma" w:cs="Tahoma"/>
            <w:b/>
            <w:bCs/>
            <w:sz w:val="18"/>
            <w:szCs w:val="18"/>
          </w:rPr>
          <w:t>PARTE:</w:t>
        </w:r>
        <w:r w:rsidRPr="006E64C5">
          <w:rPr>
            <w:rStyle w:val="Hipervnculo"/>
            <w:rFonts w:ascii="Tahoma" w:hAnsi="Tahoma" w:cs="Tahoma"/>
            <w:b/>
            <w:bCs/>
            <w:spacing w:val="3"/>
            <w:sz w:val="18"/>
            <w:szCs w:val="18"/>
          </w:rPr>
          <w:t xml:space="preserve"> </w:t>
        </w:r>
        <w:r w:rsidRPr="006E64C5">
          <w:rPr>
            <w:rStyle w:val="Hipervnculo"/>
            <w:rFonts w:ascii="Tahoma" w:hAnsi="Tahoma" w:cs="Tahoma"/>
            <w:b/>
            <w:bCs/>
            <w:sz w:val="18"/>
            <w:szCs w:val="18"/>
          </w:rPr>
          <w:t>CONTENIDO</w:t>
        </w:r>
        <w:r w:rsidRPr="006E64C5">
          <w:rPr>
            <w:rStyle w:val="Hipervnculo"/>
            <w:rFonts w:ascii="Tahoma" w:hAnsi="Tahoma" w:cs="Tahoma"/>
            <w:b/>
            <w:bCs/>
            <w:spacing w:val="3"/>
            <w:sz w:val="18"/>
            <w:szCs w:val="18"/>
          </w:rPr>
          <w:t xml:space="preserve"> </w:t>
        </w:r>
        <w:r w:rsidRPr="006E64C5">
          <w:rPr>
            <w:rStyle w:val="Hipervnculo"/>
            <w:rFonts w:ascii="Tahoma" w:hAnsi="Tahoma" w:cs="Tahoma"/>
            <w:b/>
            <w:bCs/>
            <w:sz w:val="18"/>
            <w:szCs w:val="18"/>
          </w:rPr>
          <w:t>DE</w:t>
        </w:r>
        <w:r w:rsidRPr="006E64C5">
          <w:rPr>
            <w:rStyle w:val="Hipervnculo"/>
            <w:rFonts w:ascii="Tahoma" w:hAnsi="Tahoma" w:cs="Tahoma"/>
            <w:b/>
            <w:bCs/>
            <w:spacing w:val="3"/>
            <w:sz w:val="18"/>
            <w:szCs w:val="18"/>
          </w:rPr>
          <w:t xml:space="preserve"> </w:t>
        </w:r>
        <w:r w:rsidRPr="006E64C5">
          <w:rPr>
            <w:rStyle w:val="Hipervnculo"/>
            <w:rFonts w:ascii="Tahoma" w:hAnsi="Tahoma" w:cs="Tahoma"/>
            <w:b/>
            <w:bCs/>
            <w:sz w:val="18"/>
            <w:szCs w:val="18"/>
          </w:rPr>
          <w:t>LA</w:t>
        </w:r>
        <w:r w:rsidRPr="006E64C5">
          <w:rPr>
            <w:rStyle w:val="Hipervnculo"/>
            <w:rFonts w:ascii="Tahoma" w:hAnsi="Tahoma" w:cs="Tahoma"/>
            <w:b/>
            <w:bCs/>
            <w:spacing w:val="3"/>
            <w:sz w:val="18"/>
            <w:szCs w:val="18"/>
          </w:rPr>
          <w:t xml:space="preserve"> </w:t>
        </w:r>
        <w:r w:rsidRPr="006E64C5">
          <w:rPr>
            <w:rStyle w:val="Hipervnculo"/>
            <w:rFonts w:ascii="Tahoma" w:hAnsi="Tahoma" w:cs="Tahoma"/>
            <w:b/>
            <w:bCs/>
            <w:sz w:val="18"/>
            <w:szCs w:val="18"/>
          </w:rPr>
          <w:t>LEY</w:t>
        </w:r>
        <w:r w:rsidRPr="006E64C5">
          <w:rPr>
            <w:rStyle w:val="Hipervnculo"/>
            <w:rFonts w:ascii="Tahoma" w:hAnsi="Tahoma" w:cs="Tahoma"/>
            <w:b/>
            <w:bCs/>
            <w:spacing w:val="2"/>
            <w:sz w:val="18"/>
            <w:szCs w:val="18"/>
          </w:rPr>
          <w:t xml:space="preserve"> </w:t>
        </w:r>
        <w:r w:rsidRPr="006E64C5">
          <w:rPr>
            <w:rStyle w:val="Hipervnculo"/>
            <w:rFonts w:ascii="Tahoma" w:hAnsi="Tahoma" w:cs="Tahoma"/>
            <w:b/>
            <w:bCs/>
            <w:sz w:val="18"/>
            <w:szCs w:val="18"/>
          </w:rPr>
          <w:t>INTEGRAL</w:t>
        </w:r>
        <w:r w:rsidRPr="006E64C5">
          <w:rPr>
            <w:rStyle w:val="Hipervnculo"/>
            <w:rFonts w:ascii="Tahoma" w:hAnsi="Tahoma" w:cs="Tahoma"/>
            <w:b/>
            <w:bCs/>
            <w:spacing w:val="2"/>
            <w:sz w:val="18"/>
            <w:szCs w:val="18"/>
          </w:rPr>
          <w:t xml:space="preserve"> </w:t>
        </w:r>
        <w:r w:rsidRPr="006E64C5">
          <w:rPr>
            <w:rStyle w:val="Hipervnculo"/>
            <w:rFonts w:ascii="Tahoma" w:hAnsi="Tahoma" w:cs="Tahoma"/>
            <w:b/>
            <w:bCs/>
            <w:spacing w:val="-2"/>
            <w:sz w:val="18"/>
            <w:szCs w:val="18"/>
          </w:rPr>
          <w:t>ANTIDISCRIMINACIÓN</w:t>
        </w:r>
      </w:hyperlink>
      <w:r w:rsidRPr="007F6D54">
        <w:rPr>
          <w:rFonts w:ascii="Tahoma" w:hAnsi="Tahoma" w:cs="Tahoma"/>
          <w:b/>
          <w:bCs/>
          <w:sz w:val="18"/>
          <w:szCs w:val="18"/>
        </w:rPr>
        <w:t xml:space="preserve"> </w:t>
      </w:r>
    </w:p>
    <w:p w14:paraId="1081B09A" w14:textId="31C1E216" w:rsidR="003E5960" w:rsidRPr="007F6D54" w:rsidRDefault="003E5960" w:rsidP="003E5960">
      <w:pPr>
        <w:pStyle w:val="Prrafodelista"/>
        <w:numPr>
          <w:ilvl w:val="0"/>
          <w:numId w:val="115"/>
        </w:numPr>
        <w:tabs>
          <w:tab w:val="left" w:pos="269"/>
          <w:tab w:val="left" w:leader="dot" w:pos="7393"/>
        </w:tabs>
        <w:spacing w:before="161"/>
        <w:ind w:left="1418" w:firstLine="0"/>
        <w:contextualSpacing/>
        <w:rPr>
          <w:rFonts w:ascii="Tahoma" w:hAnsi="Tahoma" w:cs="Tahoma"/>
          <w:w w:val="105"/>
          <w:sz w:val="18"/>
          <w:szCs w:val="18"/>
        </w:rPr>
      </w:pPr>
      <w:hyperlink w:anchor="derechos" w:history="1">
        <w:r w:rsidRPr="000903CA">
          <w:rPr>
            <w:rStyle w:val="Hipervnculo"/>
            <w:rFonts w:ascii="Tahoma" w:hAnsi="Tahoma" w:cs="Tahoma"/>
            <w:w w:val="105"/>
            <w:sz w:val="18"/>
            <w:szCs w:val="18"/>
          </w:rPr>
          <w:t>DERECHOS A LA IGUALDAD Y A LA NO DISCRIMINACIÓN</w:t>
        </w:r>
      </w:hyperlink>
    </w:p>
    <w:p w14:paraId="5A60BC97" w14:textId="77777777" w:rsidR="003E5960" w:rsidRPr="007F6D54" w:rsidRDefault="003E5960" w:rsidP="003E5960">
      <w:pPr>
        <w:pStyle w:val="Prrafodelista"/>
        <w:numPr>
          <w:ilvl w:val="1"/>
          <w:numId w:val="103"/>
        </w:numPr>
        <w:tabs>
          <w:tab w:val="left" w:pos="1904"/>
          <w:tab w:val="left" w:leader="dot" w:pos="7980"/>
        </w:tabs>
        <w:ind w:left="1904" w:hanging="628"/>
        <w:rPr>
          <w:rFonts w:ascii="Tahoma" w:hAnsi="Tahoma" w:cs="Tahoma"/>
          <w:sz w:val="18"/>
          <w:szCs w:val="18"/>
        </w:rPr>
      </w:pPr>
      <w:r w:rsidRPr="007F6D54">
        <w:rPr>
          <w:rFonts w:ascii="Tahoma" w:hAnsi="Tahoma" w:cs="Tahoma"/>
          <w:spacing w:val="-2"/>
          <w:sz w:val="18"/>
          <w:szCs w:val="18"/>
        </w:rPr>
        <w:t>Prohibición</w:t>
      </w:r>
      <w:r w:rsidRPr="007F6D54">
        <w:rPr>
          <w:rFonts w:ascii="Tahoma" w:hAnsi="Tahoma" w:cs="Tahoma"/>
          <w:spacing w:val="-3"/>
          <w:sz w:val="18"/>
          <w:szCs w:val="18"/>
        </w:rPr>
        <w:t xml:space="preserve"> </w:t>
      </w:r>
      <w:r w:rsidRPr="007F6D54">
        <w:rPr>
          <w:rFonts w:ascii="Tahoma" w:hAnsi="Tahoma" w:cs="Tahoma"/>
          <w:spacing w:val="-2"/>
          <w:sz w:val="18"/>
          <w:szCs w:val="18"/>
        </w:rPr>
        <w:t>de</w:t>
      </w:r>
      <w:r w:rsidRPr="007F6D54">
        <w:rPr>
          <w:rFonts w:ascii="Tahoma" w:hAnsi="Tahoma" w:cs="Tahoma"/>
          <w:spacing w:val="-3"/>
          <w:sz w:val="18"/>
          <w:szCs w:val="18"/>
        </w:rPr>
        <w:t xml:space="preserve"> </w:t>
      </w:r>
      <w:r w:rsidRPr="007F6D54">
        <w:rPr>
          <w:rFonts w:ascii="Tahoma" w:hAnsi="Tahoma" w:cs="Tahoma"/>
          <w:spacing w:val="-2"/>
          <w:sz w:val="18"/>
          <w:szCs w:val="18"/>
        </w:rPr>
        <w:t>discriminación</w:t>
      </w:r>
    </w:p>
    <w:p w14:paraId="4C2FD2FB" w14:textId="77777777" w:rsidR="003E5960" w:rsidRPr="007F6D54" w:rsidRDefault="003E5960" w:rsidP="003E5960">
      <w:pPr>
        <w:pStyle w:val="Prrafodelista"/>
        <w:numPr>
          <w:ilvl w:val="0"/>
          <w:numId w:val="116"/>
        </w:numPr>
        <w:tabs>
          <w:tab w:val="left" w:pos="1904"/>
          <w:tab w:val="left" w:leader="dot" w:pos="7980"/>
        </w:tabs>
        <w:contextualSpacing/>
        <w:rPr>
          <w:rFonts w:ascii="Tahoma" w:hAnsi="Tahoma" w:cs="Tahoma"/>
          <w:sz w:val="18"/>
          <w:szCs w:val="18"/>
        </w:rPr>
      </w:pPr>
      <w:r w:rsidRPr="007F6D54">
        <w:rPr>
          <w:rFonts w:ascii="Tahoma" w:hAnsi="Tahoma" w:cs="Tahoma"/>
          <w:spacing w:val="-2"/>
          <w:sz w:val="18"/>
          <w:szCs w:val="18"/>
        </w:rPr>
        <w:t>Alcance</w:t>
      </w:r>
      <w:r w:rsidRPr="007F6D54">
        <w:rPr>
          <w:rFonts w:ascii="Tahoma" w:hAnsi="Tahoma" w:cs="Tahoma"/>
          <w:spacing w:val="-3"/>
          <w:sz w:val="18"/>
          <w:szCs w:val="18"/>
        </w:rPr>
        <w:t xml:space="preserve"> </w:t>
      </w:r>
      <w:r w:rsidRPr="007F6D54">
        <w:rPr>
          <w:rFonts w:ascii="Tahoma" w:hAnsi="Tahoma" w:cs="Tahoma"/>
          <w:spacing w:val="-2"/>
          <w:sz w:val="18"/>
          <w:szCs w:val="18"/>
        </w:rPr>
        <w:t xml:space="preserve">personal del derecho </w:t>
      </w:r>
      <w:r w:rsidRPr="007F6D54">
        <w:rPr>
          <w:rFonts w:ascii="Tahoma" w:hAnsi="Tahoma" w:cs="Tahoma"/>
          <w:sz w:val="18"/>
          <w:szCs w:val="18"/>
        </w:rPr>
        <w:t>a</w:t>
      </w:r>
      <w:r w:rsidRPr="007F6D54">
        <w:rPr>
          <w:rFonts w:ascii="Tahoma" w:hAnsi="Tahoma" w:cs="Tahoma"/>
          <w:spacing w:val="-5"/>
          <w:sz w:val="18"/>
          <w:szCs w:val="18"/>
        </w:rPr>
        <w:t xml:space="preserve"> </w:t>
      </w:r>
      <w:r w:rsidRPr="007F6D54">
        <w:rPr>
          <w:rFonts w:ascii="Tahoma" w:hAnsi="Tahoma" w:cs="Tahoma"/>
          <w:sz w:val="18"/>
          <w:szCs w:val="18"/>
        </w:rPr>
        <w:t>la</w:t>
      </w:r>
      <w:r w:rsidRPr="007F6D54">
        <w:rPr>
          <w:rFonts w:ascii="Tahoma" w:hAnsi="Tahoma" w:cs="Tahoma"/>
          <w:spacing w:val="-4"/>
          <w:sz w:val="18"/>
          <w:szCs w:val="18"/>
        </w:rPr>
        <w:t xml:space="preserve"> </w:t>
      </w:r>
      <w:r w:rsidRPr="007F6D54">
        <w:rPr>
          <w:rFonts w:ascii="Tahoma" w:hAnsi="Tahoma" w:cs="Tahoma"/>
          <w:sz w:val="18"/>
          <w:szCs w:val="18"/>
        </w:rPr>
        <w:t>no</w:t>
      </w:r>
      <w:r w:rsidRPr="007F6D54">
        <w:rPr>
          <w:rFonts w:ascii="Tahoma" w:hAnsi="Tahoma" w:cs="Tahoma"/>
          <w:spacing w:val="-4"/>
          <w:sz w:val="18"/>
          <w:szCs w:val="18"/>
        </w:rPr>
        <w:t xml:space="preserve"> </w:t>
      </w:r>
      <w:r w:rsidRPr="007F6D54">
        <w:rPr>
          <w:rFonts w:ascii="Tahoma" w:hAnsi="Tahoma" w:cs="Tahoma"/>
          <w:spacing w:val="-2"/>
          <w:sz w:val="18"/>
          <w:szCs w:val="18"/>
        </w:rPr>
        <w:t>discriminación</w:t>
      </w:r>
    </w:p>
    <w:p w14:paraId="61BDD720" w14:textId="77777777" w:rsidR="003E5960" w:rsidRPr="007F6D54" w:rsidRDefault="003E5960" w:rsidP="003E5960">
      <w:pPr>
        <w:pStyle w:val="Prrafodelista"/>
        <w:numPr>
          <w:ilvl w:val="0"/>
          <w:numId w:val="116"/>
        </w:numPr>
        <w:tabs>
          <w:tab w:val="left" w:leader="dot" w:pos="5852"/>
        </w:tabs>
        <w:contextualSpacing/>
        <w:rPr>
          <w:rFonts w:ascii="Tahoma" w:hAnsi="Tahoma" w:cs="Tahoma"/>
          <w:sz w:val="18"/>
          <w:szCs w:val="18"/>
        </w:rPr>
      </w:pPr>
      <w:r w:rsidRPr="007F6D54">
        <w:rPr>
          <w:rFonts w:ascii="Tahoma" w:hAnsi="Tahoma" w:cs="Tahoma"/>
          <w:sz w:val="18"/>
          <w:szCs w:val="18"/>
        </w:rPr>
        <w:t>Formas</w:t>
      </w:r>
      <w:r w:rsidRPr="007F6D54">
        <w:rPr>
          <w:rFonts w:ascii="Tahoma" w:hAnsi="Tahoma" w:cs="Tahoma"/>
          <w:spacing w:val="-7"/>
          <w:sz w:val="18"/>
          <w:szCs w:val="18"/>
        </w:rPr>
        <w:t xml:space="preserve"> </w:t>
      </w:r>
      <w:r w:rsidRPr="007F6D54">
        <w:rPr>
          <w:rFonts w:ascii="Tahoma" w:hAnsi="Tahoma" w:cs="Tahoma"/>
          <w:spacing w:val="-5"/>
          <w:sz w:val="18"/>
          <w:szCs w:val="18"/>
        </w:rPr>
        <w:t>de</w:t>
      </w:r>
      <w:r w:rsidRPr="007F6D54">
        <w:rPr>
          <w:rFonts w:ascii="Tahoma" w:hAnsi="Tahoma" w:cs="Tahoma"/>
          <w:sz w:val="18"/>
          <w:szCs w:val="18"/>
        </w:rPr>
        <w:t xml:space="preserve"> </w:t>
      </w:r>
      <w:r w:rsidRPr="007F6D54">
        <w:rPr>
          <w:rFonts w:ascii="Tahoma" w:hAnsi="Tahoma" w:cs="Tahoma"/>
          <w:spacing w:val="-2"/>
          <w:sz w:val="18"/>
          <w:szCs w:val="18"/>
        </w:rPr>
        <w:t>discriminación</w:t>
      </w:r>
    </w:p>
    <w:p w14:paraId="4AF2CEB3" w14:textId="77777777" w:rsidR="003E5960" w:rsidRPr="007F6D54" w:rsidRDefault="003E5960" w:rsidP="003E5960">
      <w:pPr>
        <w:pStyle w:val="Prrafodelista"/>
        <w:numPr>
          <w:ilvl w:val="0"/>
          <w:numId w:val="116"/>
        </w:numPr>
        <w:tabs>
          <w:tab w:val="left" w:leader="dot" w:pos="7080"/>
        </w:tabs>
        <w:contextualSpacing/>
        <w:rPr>
          <w:rFonts w:ascii="Tahoma" w:hAnsi="Tahoma" w:cs="Tahoma"/>
          <w:sz w:val="18"/>
          <w:szCs w:val="18"/>
        </w:rPr>
      </w:pPr>
      <w:r w:rsidRPr="007F6D54">
        <w:rPr>
          <w:rFonts w:ascii="Tahoma" w:hAnsi="Tahoma" w:cs="Tahoma"/>
          <w:sz w:val="18"/>
          <w:szCs w:val="18"/>
        </w:rPr>
        <w:t>Alcance</w:t>
      </w:r>
      <w:r w:rsidRPr="007F6D54">
        <w:rPr>
          <w:rFonts w:ascii="Tahoma" w:hAnsi="Tahoma" w:cs="Tahoma"/>
          <w:spacing w:val="-10"/>
          <w:sz w:val="18"/>
          <w:szCs w:val="18"/>
        </w:rPr>
        <w:t xml:space="preserve"> </w:t>
      </w:r>
      <w:r w:rsidRPr="007F6D54">
        <w:rPr>
          <w:rFonts w:ascii="Tahoma" w:hAnsi="Tahoma" w:cs="Tahoma"/>
          <w:sz w:val="18"/>
          <w:szCs w:val="18"/>
        </w:rPr>
        <w:t>material</w:t>
      </w:r>
      <w:r w:rsidRPr="007F6D54">
        <w:rPr>
          <w:rFonts w:ascii="Tahoma" w:hAnsi="Tahoma" w:cs="Tahoma"/>
          <w:spacing w:val="-10"/>
          <w:sz w:val="18"/>
          <w:szCs w:val="18"/>
        </w:rPr>
        <w:t xml:space="preserve"> </w:t>
      </w:r>
      <w:r w:rsidRPr="007F6D54">
        <w:rPr>
          <w:rFonts w:ascii="Tahoma" w:hAnsi="Tahoma" w:cs="Tahoma"/>
          <w:sz w:val="18"/>
          <w:szCs w:val="18"/>
        </w:rPr>
        <w:t>del</w:t>
      </w:r>
      <w:r w:rsidRPr="007F6D54">
        <w:rPr>
          <w:rFonts w:ascii="Tahoma" w:hAnsi="Tahoma" w:cs="Tahoma"/>
          <w:spacing w:val="-10"/>
          <w:sz w:val="18"/>
          <w:szCs w:val="18"/>
        </w:rPr>
        <w:t xml:space="preserve"> </w:t>
      </w:r>
      <w:r w:rsidRPr="007F6D54">
        <w:rPr>
          <w:rFonts w:ascii="Tahoma" w:hAnsi="Tahoma" w:cs="Tahoma"/>
          <w:sz w:val="18"/>
          <w:szCs w:val="18"/>
        </w:rPr>
        <w:t>derecho</w:t>
      </w:r>
      <w:r w:rsidRPr="007F6D54">
        <w:rPr>
          <w:rFonts w:ascii="Tahoma" w:hAnsi="Tahoma" w:cs="Tahoma"/>
          <w:spacing w:val="-10"/>
          <w:sz w:val="18"/>
          <w:szCs w:val="18"/>
        </w:rPr>
        <w:t xml:space="preserve"> </w:t>
      </w:r>
      <w:r w:rsidRPr="007F6D54">
        <w:rPr>
          <w:rFonts w:ascii="Tahoma" w:hAnsi="Tahoma" w:cs="Tahoma"/>
          <w:sz w:val="18"/>
          <w:szCs w:val="18"/>
        </w:rPr>
        <w:t>a</w:t>
      </w:r>
      <w:r w:rsidRPr="007F6D54">
        <w:rPr>
          <w:rFonts w:ascii="Tahoma" w:hAnsi="Tahoma" w:cs="Tahoma"/>
          <w:spacing w:val="-10"/>
          <w:sz w:val="18"/>
          <w:szCs w:val="18"/>
        </w:rPr>
        <w:t xml:space="preserve"> </w:t>
      </w:r>
      <w:r w:rsidRPr="007F6D54">
        <w:rPr>
          <w:rFonts w:ascii="Tahoma" w:hAnsi="Tahoma" w:cs="Tahoma"/>
          <w:sz w:val="18"/>
          <w:szCs w:val="18"/>
        </w:rPr>
        <w:t>la</w:t>
      </w:r>
      <w:r w:rsidRPr="007F6D54">
        <w:rPr>
          <w:rFonts w:ascii="Tahoma" w:hAnsi="Tahoma" w:cs="Tahoma"/>
          <w:spacing w:val="-10"/>
          <w:sz w:val="18"/>
          <w:szCs w:val="18"/>
        </w:rPr>
        <w:t xml:space="preserve"> </w:t>
      </w:r>
      <w:r w:rsidRPr="007F6D54">
        <w:rPr>
          <w:rFonts w:ascii="Tahoma" w:hAnsi="Tahoma" w:cs="Tahoma"/>
          <w:spacing w:val="-5"/>
          <w:sz w:val="18"/>
          <w:szCs w:val="18"/>
        </w:rPr>
        <w:t>no</w:t>
      </w:r>
      <w:r w:rsidRPr="007F6D54">
        <w:rPr>
          <w:rFonts w:ascii="Tahoma" w:hAnsi="Tahoma" w:cs="Tahoma"/>
          <w:sz w:val="18"/>
          <w:szCs w:val="18"/>
        </w:rPr>
        <w:t xml:space="preserve"> </w:t>
      </w:r>
      <w:r w:rsidRPr="007F6D54">
        <w:rPr>
          <w:rFonts w:ascii="Tahoma" w:hAnsi="Tahoma" w:cs="Tahoma"/>
          <w:spacing w:val="-2"/>
          <w:sz w:val="18"/>
          <w:szCs w:val="18"/>
        </w:rPr>
        <w:t>discriminación</w:t>
      </w:r>
    </w:p>
    <w:p w14:paraId="5FF08E54" w14:textId="77777777" w:rsidR="003E5960" w:rsidRPr="007F6D54" w:rsidRDefault="003E5960" w:rsidP="003E5960">
      <w:pPr>
        <w:pStyle w:val="Prrafodelista"/>
        <w:numPr>
          <w:ilvl w:val="0"/>
          <w:numId w:val="116"/>
        </w:numPr>
        <w:tabs>
          <w:tab w:val="left" w:leader="dot" w:pos="7080"/>
        </w:tabs>
        <w:contextualSpacing/>
        <w:rPr>
          <w:rFonts w:ascii="Tahoma" w:hAnsi="Tahoma" w:cs="Tahoma"/>
          <w:sz w:val="18"/>
          <w:szCs w:val="18"/>
        </w:rPr>
      </w:pPr>
      <w:r w:rsidRPr="007F6D54">
        <w:rPr>
          <w:rFonts w:ascii="Tahoma" w:hAnsi="Tahoma" w:cs="Tahoma"/>
          <w:spacing w:val="-2"/>
          <w:sz w:val="18"/>
          <w:szCs w:val="18"/>
        </w:rPr>
        <w:t>Justificaciones</w:t>
      </w:r>
    </w:p>
    <w:p w14:paraId="2A911C89" w14:textId="77777777" w:rsidR="003E5960" w:rsidRPr="007F6D54" w:rsidRDefault="003E5960" w:rsidP="003E5960">
      <w:pPr>
        <w:tabs>
          <w:tab w:val="left" w:pos="1915"/>
          <w:tab w:val="left" w:leader="dot" w:pos="8273"/>
        </w:tabs>
        <w:ind w:firstLine="1276"/>
        <w:rPr>
          <w:rFonts w:ascii="Tahoma" w:hAnsi="Tahoma" w:cs="Tahoma"/>
          <w:w w:val="105"/>
          <w:sz w:val="18"/>
          <w:szCs w:val="18"/>
        </w:rPr>
      </w:pPr>
    </w:p>
    <w:p w14:paraId="1C007C74" w14:textId="77777777" w:rsidR="003E5960" w:rsidRPr="007F6D54" w:rsidRDefault="003E5960" w:rsidP="003E5960">
      <w:pPr>
        <w:tabs>
          <w:tab w:val="left" w:pos="1915"/>
          <w:tab w:val="left" w:leader="dot" w:pos="8273"/>
        </w:tabs>
        <w:ind w:firstLine="1276"/>
        <w:rPr>
          <w:rFonts w:ascii="Tahoma" w:hAnsi="Tahoma" w:cs="Tahoma"/>
          <w:sz w:val="18"/>
          <w:szCs w:val="18"/>
        </w:rPr>
      </w:pPr>
      <w:r w:rsidRPr="007F6D54">
        <w:rPr>
          <w:rFonts w:ascii="Tahoma" w:hAnsi="Tahoma" w:cs="Tahoma"/>
          <w:w w:val="105"/>
          <w:sz w:val="18"/>
          <w:szCs w:val="18"/>
        </w:rPr>
        <w:t>B Acción</w:t>
      </w:r>
      <w:r w:rsidRPr="007F6D54">
        <w:rPr>
          <w:rFonts w:ascii="Tahoma" w:hAnsi="Tahoma" w:cs="Tahoma"/>
          <w:spacing w:val="-11"/>
          <w:w w:val="105"/>
          <w:sz w:val="18"/>
          <w:szCs w:val="18"/>
        </w:rPr>
        <w:t xml:space="preserve"> </w:t>
      </w:r>
      <w:r w:rsidRPr="007F6D54">
        <w:rPr>
          <w:rFonts w:ascii="Tahoma" w:hAnsi="Tahoma" w:cs="Tahoma"/>
          <w:spacing w:val="-2"/>
          <w:w w:val="105"/>
          <w:sz w:val="18"/>
          <w:szCs w:val="18"/>
        </w:rPr>
        <w:t>positiva.</w:t>
      </w:r>
    </w:p>
    <w:p w14:paraId="59B328F5" w14:textId="77777777" w:rsidR="003E5960" w:rsidRPr="007F6D54" w:rsidRDefault="003E5960" w:rsidP="003E5960">
      <w:pPr>
        <w:pStyle w:val="Prrafodelista"/>
        <w:numPr>
          <w:ilvl w:val="0"/>
          <w:numId w:val="106"/>
        </w:numPr>
        <w:tabs>
          <w:tab w:val="left" w:leader="dot" w:pos="8273"/>
        </w:tabs>
        <w:ind w:left="1701" w:hanging="425"/>
        <w:rPr>
          <w:rFonts w:ascii="Tahoma" w:hAnsi="Tahoma" w:cs="Tahoma"/>
          <w:sz w:val="18"/>
          <w:szCs w:val="18"/>
        </w:rPr>
      </w:pPr>
      <w:r w:rsidRPr="007F6D54">
        <w:rPr>
          <w:rFonts w:ascii="Tahoma" w:hAnsi="Tahoma" w:cs="Tahoma"/>
          <w:w w:val="105"/>
          <w:sz w:val="18"/>
          <w:szCs w:val="18"/>
        </w:rPr>
        <w:t>Obligación</w:t>
      </w:r>
      <w:r w:rsidRPr="007F6D54">
        <w:rPr>
          <w:rFonts w:ascii="Tahoma" w:hAnsi="Tahoma" w:cs="Tahoma"/>
          <w:spacing w:val="-7"/>
          <w:w w:val="105"/>
          <w:sz w:val="18"/>
          <w:szCs w:val="18"/>
        </w:rPr>
        <w:t xml:space="preserve"> </w:t>
      </w:r>
      <w:r w:rsidRPr="007F6D54">
        <w:rPr>
          <w:rFonts w:ascii="Tahoma" w:hAnsi="Tahoma" w:cs="Tahoma"/>
          <w:w w:val="105"/>
          <w:sz w:val="18"/>
          <w:szCs w:val="18"/>
        </w:rPr>
        <w:t>de</w:t>
      </w:r>
      <w:r w:rsidRPr="007F6D54">
        <w:rPr>
          <w:rFonts w:ascii="Tahoma" w:hAnsi="Tahoma" w:cs="Tahoma"/>
          <w:spacing w:val="-8"/>
          <w:w w:val="105"/>
          <w:sz w:val="18"/>
          <w:szCs w:val="18"/>
        </w:rPr>
        <w:t xml:space="preserve"> </w:t>
      </w:r>
      <w:r w:rsidRPr="007F6D54">
        <w:rPr>
          <w:rFonts w:ascii="Tahoma" w:hAnsi="Tahoma" w:cs="Tahoma"/>
          <w:spacing w:val="-2"/>
          <w:w w:val="105"/>
          <w:sz w:val="18"/>
          <w:szCs w:val="18"/>
        </w:rPr>
        <w:t xml:space="preserve">adoptar </w:t>
      </w:r>
      <w:r w:rsidRPr="007F6D54">
        <w:rPr>
          <w:rFonts w:ascii="Tahoma" w:hAnsi="Tahoma" w:cs="Tahoma"/>
          <w:w w:val="105"/>
          <w:sz w:val="18"/>
          <w:szCs w:val="18"/>
        </w:rPr>
        <w:t>medidas</w:t>
      </w:r>
      <w:r w:rsidRPr="007F6D54">
        <w:rPr>
          <w:rFonts w:ascii="Tahoma" w:hAnsi="Tahoma" w:cs="Tahoma"/>
          <w:spacing w:val="-7"/>
          <w:w w:val="105"/>
          <w:sz w:val="18"/>
          <w:szCs w:val="18"/>
        </w:rPr>
        <w:t xml:space="preserve"> </w:t>
      </w:r>
      <w:r w:rsidRPr="007F6D54">
        <w:rPr>
          <w:rFonts w:ascii="Tahoma" w:hAnsi="Tahoma" w:cs="Tahoma"/>
          <w:w w:val="105"/>
          <w:sz w:val="18"/>
          <w:szCs w:val="18"/>
        </w:rPr>
        <w:t>de</w:t>
      </w:r>
      <w:r w:rsidRPr="007F6D54">
        <w:rPr>
          <w:rFonts w:ascii="Tahoma" w:hAnsi="Tahoma" w:cs="Tahoma"/>
          <w:spacing w:val="-7"/>
          <w:w w:val="105"/>
          <w:sz w:val="18"/>
          <w:szCs w:val="18"/>
        </w:rPr>
        <w:t xml:space="preserve"> </w:t>
      </w:r>
      <w:r w:rsidRPr="007F6D54">
        <w:rPr>
          <w:rFonts w:ascii="Tahoma" w:hAnsi="Tahoma" w:cs="Tahoma"/>
          <w:w w:val="105"/>
          <w:sz w:val="18"/>
          <w:szCs w:val="18"/>
        </w:rPr>
        <w:t>acción</w:t>
      </w:r>
      <w:r w:rsidRPr="007F6D54">
        <w:rPr>
          <w:rFonts w:ascii="Tahoma" w:hAnsi="Tahoma" w:cs="Tahoma"/>
          <w:spacing w:val="-7"/>
          <w:w w:val="105"/>
          <w:sz w:val="18"/>
          <w:szCs w:val="18"/>
        </w:rPr>
        <w:t xml:space="preserve"> </w:t>
      </w:r>
      <w:r w:rsidRPr="007F6D54">
        <w:rPr>
          <w:rFonts w:ascii="Tahoma" w:hAnsi="Tahoma" w:cs="Tahoma"/>
          <w:spacing w:val="-2"/>
          <w:w w:val="105"/>
          <w:sz w:val="18"/>
          <w:szCs w:val="18"/>
        </w:rPr>
        <w:t>positiva</w:t>
      </w:r>
    </w:p>
    <w:p w14:paraId="49372F65" w14:textId="77777777" w:rsidR="003E5960" w:rsidRPr="007F6D54" w:rsidRDefault="003E5960" w:rsidP="003E5960">
      <w:pPr>
        <w:pStyle w:val="Prrafodelista"/>
        <w:numPr>
          <w:ilvl w:val="0"/>
          <w:numId w:val="106"/>
        </w:numPr>
        <w:tabs>
          <w:tab w:val="left" w:leader="dot" w:pos="8273"/>
        </w:tabs>
        <w:ind w:left="1701" w:hanging="425"/>
        <w:rPr>
          <w:rFonts w:ascii="Tahoma" w:hAnsi="Tahoma" w:cs="Tahoma"/>
          <w:sz w:val="18"/>
          <w:szCs w:val="18"/>
        </w:rPr>
      </w:pPr>
      <w:r w:rsidRPr="007F6D54">
        <w:rPr>
          <w:rFonts w:ascii="Tahoma" w:hAnsi="Tahoma" w:cs="Tahoma"/>
          <w:w w:val="105"/>
          <w:sz w:val="18"/>
          <w:szCs w:val="18"/>
        </w:rPr>
        <w:t>Objeto</w:t>
      </w:r>
      <w:r w:rsidRPr="007F6D54">
        <w:rPr>
          <w:rFonts w:ascii="Tahoma" w:hAnsi="Tahoma" w:cs="Tahoma"/>
          <w:spacing w:val="-6"/>
          <w:w w:val="105"/>
          <w:sz w:val="18"/>
          <w:szCs w:val="18"/>
        </w:rPr>
        <w:t xml:space="preserve"> </w:t>
      </w:r>
      <w:r w:rsidRPr="007F6D54">
        <w:rPr>
          <w:rFonts w:ascii="Tahoma" w:hAnsi="Tahoma" w:cs="Tahoma"/>
          <w:w w:val="105"/>
          <w:sz w:val="18"/>
          <w:szCs w:val="18"/>
        </w:rPr>
        <w:t>y</w:t>
      </w:r>
      <w:r w:rsidRPr="007F6D54">
        <w:rPr>
          <w:rFonts w:ascii="Tahoma" w:hAnsi="Tahoma" w:cs="Tahoma"/>
          <w:spacing w:val="-5"/>
          <w:w w:val="105"/>
          <w:sz w:val="18"/>
          <w:szCs w:val="18"/>
        </w:rPr>
        <w:t xml:space="preserve"> </w:t>
      </w:r>
      <w:r w:rsidRPr="007F6D54">
        <w:rPr>
          <w:rFonts w:ascii="Tahoma" w:hAnsi="Tahoma" w:cs="Tahoma"/>
          <w:w w:val="105"/>
          <w:sz w:val="18"/>
          <w:szCs w:val="18"/>
        </w:rPr>
        <w:t>alcance</w:t>
      </w:r>
      <w:r w:rsidRPr="007F6D54">
        <w:rPr>
          <w:rFonts w:ascii="Tahoma" w:hAnsi="Tahoma" w:cs="Tahoma"/>
          <w:spacing w:val="-5"/>
          <w:w w:val="105"/>
          <w:sz w:val="18"/>
          <w:szCs w:val="18"/>
        </w:rPr>
        <w:t xml:space="preserve"> </w:t>
      </w:r>
      <w:r w:rsidRPr="007F6D54">
        <w:rPr>
          <w:rFonts w:ascii="Tahoma" w:hAnsi="Tahoma" w:cs="Tahoma"/>
          <w:w w:val="105"/>
          <w:sz w:val="18"/>
          <w:szCs w:val="18"/>
        </w:rPr>
        <w:t>de</w:t>
      </w:r>
      <w:r w:rsidRPr="007F6D54">
        <w:rPr>
          <w:rFonts w:ascii="Tahoma" w:hAnsi="Tahoma" w:cs="Tahoma"/>
          <w:spacing w:val="-6"/>
          <w:w w:val="105"/>
          <w:sz w:val="18"/>
          <w:szCs w:val="18"/>
        </w:rPr>
        <w:t xml:space="preserve"> </w:t>
      </w:r>
      <w:r w:rsidRPr="007F6D54">
        <w:rPr>
          <w:rFonts w:ascii="Tahoma" w:hAnsi="Tahoma" w:cs="Tahoma"/>
          <w:w w:val="105"/>
          <w:sz w:val="18"/>
          <w:szCs w:val="18"/>
        </w:rPr>
        <w:t>las</w:t>
      </w:r>
      <w:r w:rsidRPr="007F6D54">
        <w:rPr>
          <w:rFonts w:ascii="Tahoma" w:hAnsi="Tahoma" w:cs="Tahoma"/>
          <w:spacing w:val="-5"/>
          <w:w w:val="105"/>
          <w:sz w:val="18"/>
          <w:szCs w:val="18"/>
        </w:rPr>
        <w:t xml:space="preserve"> </w:t>
      </w:r>
      <w:r w:rsidRPr="007F6D54">
        <w:rPr>
          <w:rFonts w:ascii="Tahoma" w:hAnsi="Tahoma" w:cs="Tahoma"/>
          <w:w w:val="105"/>
          <w:sz w:val="18"/>
          <w:szCs w:val="18"/>
        </w:rPr>
        <w:t>medidas</w:t>
      </w:r>
      <w:r w:rsidRPr="007F6D54">
        <w:rPr>
          <w:rFonts w:ascii="Tahoma" w:hAnsi="Tahoma" w:cs="Tahoma"/>
          <w:spacing w:val="-6"/>
          <w:w w:val="105"/>
          <w:sz w:val="18"/>
          <w:szCs w:val="18"/>
        </w:rPr>
        <w:t xml:space="preserve"> </w:t>
      </w:r>
      <w:r w:rsidRPr="007F6D54">
        <w:rPr>
          <w:rFonts w:ascii="Tahoma" w:hAnsi="Tahoma" w:cs="Tahoma"/>
          <w:w w:val="105"/>
          <w:sz w:val="18"/>
          <w:szCs w:val="18"/>
        </w:rPr>
        <w:t>de</w:t>
      </w:r>
      <w:r w:rsidRPr="007F6D54">
        <w:rPr>
          <w:rFonts w:ascii="Tahoma" w:hAnsi="Tahoma" w:cs="Tahoma"/>
          <w:spacing w:val="-5"/>
          <w:w w:val="105"/>
          <w:sz w:val="18"/>
          <w:szCs w:val="18"/>
        </w:rPr>
        <w:t xml:space="preserve"> </w:t>
      </w:r>
      <w:r w:rsidRPr="007F6D54">
        <w:rPr>
          <w:rFonts w:ascii="Tahoma" w:hAnsi="Tahoma" w:cs="Tahoma"/>
          <w:spacing w:val="-2"/>
          <w:w w:val="105"/>
          <w:sz w:val="18"/>
          <w:szCs w:val="18"/>
        </w:rPr>
        <w:t>acción</w:t>
      </w:r>
      <w:r w:rsidRPr="007F6D54">
        <w:rPr>
          <w:rFonts w:ascii="Tahoma" w:hAnsi="Tahoma" w:cs="Tahoma"/>
          <w:sz w:val="18"/>
          <w:szCs w:val="18"/>
        </w:rPr>
        <w:t xml:space="preserve"> </w:t>
      </w:r>
      <w:r w:rsidRPr="007F6D54">
        <w:rPr>
          <w:rFonts w:ascii="Tahoma" w:hAnsi="Tahoma" w:cs="Tahoma"/>
          <w:spacing w:val="-2"/>
          <w:w w:val="105"/>
          <w:sz w:val="18"/>
          <w:szCs w:val="18"/>
        </w:rPr>
        <w:t>positiva</w:t>
      </w:r>
    </w:p>
    <w:p w14:paraId="65222136" w14:textId="77777777" w:rsidR="003E5960" w:rsidRPr="007F6D54" w:rsidRDefault="003E5960" w:rsidP="003E5960">
      <w:pPr>
        <w:pStyle w:val="Prrafodelista"/>
        <w:numPr>
          <w:ilvl w:val="0"/>
          <w:numId w:val="106"/>
        </w:numPr>
        <w:tabs>
          <w:tab w:val="left" w:leader="dot" w:pos="8273"/>
        </w:tabs>
        <w:ind w:left="1701" w:hanging="425"/>
        <w:rPr>
          <w:rFonts w:ascii="Tahoma" w:hAnsi="Tahoma" w:cs="Tahoma"/>
          <w:sz w:val="18"/>
          <w:szCs w:val="18"/>
        </w:rPr>
      </w:pPr>
      <w:r w:rsidRPr="007F6D54">
        <w:rPr>
          <w:rFonts w:ascii="Tahoma" w:hAnsi="Tahoma" w:cs="Tahoma"/>
          <w:w w:val="105"/>
          <w:sz w:val="18"/>
          <w:szCs w:val="18"/>
        </w:rPr>
        <w:t>Principios</w:t>
      </w:r>
      <w:r w:rsidRPr="007F6D54">
        <w:rPr>
          <w:rFonts w:ascii="Tahoma" w:hAnsi="Tahoma" w:cs="Tahoma"/>
          <w:spacing w:val="-7"/>
          <w:w w:val="105"/>
          <w:sz w:val="18"/>
          <w:szCs w:val="18"/>
        </w:rPr>
        <w:t xml:space="preserve"> </w:t>
      </w:r>
      <w:r w:rsidRPr="007F6D54">
        <w:rPr>
          <w:rFonts w:ascii="Tahoma" w:hAnsi="Tahoma" w:cs="Tahoma"/>
          <w:w w:val="105"/>
          <w:sz w:val="18"/>
          <w:szCs w:val="18"/>
        </w:rPr>
        <w:t>para</w:t>
      </w:r>
      <w:r w:rsidRPr="007F6D54">
        <w:rPr>
          <w:rFonts w:ascii="Tahoma" w:hAnsi="Tahoma" w:cs="Tahoma"/>
          <w:spacing w:val="-7"/>
          <w:w w:val="105"/>
          <w:sz w:val="18"/>
          <w:szCs w:val="18"/>
        </w:rPr>
        <w:t xml:space="preserve"> </w:t>
      </w:r>
      <w:r w:rsidRPr="007F6D54">
        <w:rPr>
          <w:rFonts w:ascii="Tahoma" w:hAnsi="Tahoma" w:cs="Tahoma"/>
          <w:w w:val="105"/>
          <w:sz w:val="18"/>
          <w:szCs w:val="18"/>
        </w:rPr>
        <w:t>el</w:t>
      </w:r>
      <w:r w:rsidRPr="007F6D54">
        <w:rPr>
          <w:rFonts w:ascii="Tahoma" w:hAnsi="Tahoma" w:cs="Tahoma"/>
          <w:spacing w:val="-8"/>
          <w:w w:val="105"/>
          <w:sz w:val="18"/>
          <w:szCs w:val="18"/>
        </w:rPr>
        <w:t xml:space="preserve"> </w:t>
      </w:r>
      <w:r w:rsidRPr="007F6D54">
        <w:rPr>
          <w:rFonts w:ascii="Tahoma" w:hAnsi="Tahoma" w:cs="Tahoma"/>
          <w:w w:val="105"/>
          <w:sz w:val="18"/>
          <w:szCs w:val="18"/>
        </w:rPr>
        <w:t>funcionamiento</w:t>
      </w:r>
      <w:r w:rsidRPr="007F6D54">
        <w:rPr>
          <w:rFonts w:ascii="Tahoma" w:hAnsi="Tahoma" w:cs="Tahoma"/>
          <w:spacing w:val="-7"/>
          <w:w w:val="105"/>
          <w:sz w:val="18"/>
          <w:szCs w:val="18"/>
        </w:rPr>
        <w:t xml:space="preserve"> </w:t>
      </w:r>
      <w:r w:rsidRPr="007F6D54">
        <w:rPr>
          <w:rFonts w:ascii="Tahoma" w:hAnsi="Tahoma" w:cs="Tahoma"/>
          <w:w w:val="105"/>
          <w:sz w:val="18"/>
          <w:szCs w:val="18"/>
        </w:rPr>
        <w:t>de</w:t>
      </w:r>
      <w:r w:rsidRPr="007F6D54">
        <w:rPr>
          <w:rFonts w:ascii="Tahoma" w:hAnsi="Tahoma" w:cs="Tahoma"/>
          <w:spacing w:val="-7"/>
          <w:w w:val="105"/>
          <w:sz w:val="18"/>
          <w:szCs w:val="18"/>
        </w:rPr>
        <w:t xml:space="preserve"> </w:t>
      </w:r>
      <w:r w:rsidRPr="007F6D54">
        <w:rPr>
          <w:rFonts w:ascii="Tahoma" w:hAnsi="Tahoma" w:cs="Tahoma"/>
          <w:w w:val="105"/>
          <w:sz w:val="18"/>
          <w:szCs w:val="18"/>
        </w:rPr>
        <w:t>la</w:t>
      </w:r>
      <w:r w:rsidRPr="007F6D54">
        <w:rPr>
          <w:rFonts w:ascii="Tahoma" w:hAnsi="Tahoma" w:cs="Tahoma"/>
          <w:spacing w:val="-7"/>
          <w:w w:val="105"/>
          <w:sz w:val="18"/>
          <w:szCs w:val="18"/>
        </w:rPr>
        <w:t xml:space="preserve"> </w:t>
      </w:r>
      <w:r w:rsidRPr="007F6D54">
        <w:rPr>
          <w:rFonts w:ascii="Tahoma" w:hAnsi="Tahoma" w:cs="Tahoma"/>
          <w:spacing w:val="-2"/>
          <w:w w:val="105"/>
          <w:sz w:val="18"/>
          <w:szCs w:val="18"/>
        </w:rPr>
        <w:t>acción</w:t>
      </w:r>
      <w:r w:rsidRPr="007F6D54">
        <w:rPr>
          <w:rFonts w:ascii="Tahoma" w:hAnsi="Tahoma" w:cs="Tahoma"/>
          <w:sz w:val="18"/>
          <w:szCs w:val="18"/>
        </w:rPr>
        <w:t xml:space="preserve"> </w:t>
      </w:r>
      <w:r w:rsidRPr="007F6D54">
        <w:rPr>
          <w:rFonts w:ascii="Tahoma" w:hAnsi="Tahoma" w:cs="Tahoma"/>
          <w:spacing w:val="-2"/>
          <w:w w:val="105"/>
          <w:sz w:val="18"/>
          <w:szCs w:val="18"/>
        </w:rPr>
        <w:t>positiva</w:t>
      </w:r>
    </w:p>
    <w:p w14:paraId="6961078E" w14:textId="77777777" w:rsidR="003E5960" w:rsidRPr="007F6D54" w:rsidRDefault="003E5960" w:rsidP="003E5960">
      <w:pPr>
        <w:pStyle w:val="Prrafodelista"/>
        <w:numPr>
          <w:ilvl w:val="0"/>
          <w:numId w:val="106"/>
        </w:numPr>
        <w:tabs>
          <w:tab w:val="left" w:leader="dot" w:pos="8273"/>
        </w:tabs>
        <w:ind w:left="1701" w:hanging="425"/>
        <w:rPr>
          <w:rFonts w:ascii="Tahoma" w:hAnsi="Tahoma" w:cs="Tahoma"/>
          <w:sz w:val="18"/>
          <w:szCs w:val="18"/>
        </w:rPr>
      </w:pPr>
      <w:r w:rsidRPr="007F6D54">
        <w:rPr>
          <w:rFonts w:ascii="Tahoma" w:hAnsi="Tahoma" w:cs="Tahoma"/>
          <w:w w:val="105"/>
          <w:sz w:val="18"/>
          <w:szCs w:val="18"/>
        </w:rPr>
        <w:t>Acciones</w:t>
      </w:r>
      <w:r w:rsidRPr="007F6D54">
        <w:rPr>
          <w:rFonts w:ascii="Tahoma" w:hAnsi="Tahoma" w:cs="Tahoma"/>
          <w:spacing w:val="-7"/>
          <w:w w:val="105"/>
          <w:sz w:val="18"/>
          <w:szCs w:val="18"/>
        </w:rPr>
        <w:t xml:space="preserve"> </w:t>
      </w:r>
      <w:r w:rsidRPr="007F6D54">
        <w:rPr>
          <w:rFonts w:ascii="Tahoma" w:hAnsi="Tahoma" w:cs="Tahoma"/>
          <w:w w:val="105"/>
          <w:sz w:val="18"/>
          <w:szCs w:val="18"/>
        </w:rPr>
        <w:t>positivas</w:t>
      </w:r>
      <w:r w:rsidRPr="007F6D54">
        <w:rPr>
          <w:rFonts w:ascii="Tahoma" w:hAnsi="Tahoma" w:cs="Tahoma"/>
          <w:spacing w:val="-6"/>
          <w:w w:val="105"/>
          <w:sz w:val="18"/>
          <w:szCs w:val="18"/>
        </w:rPr>
        <w:t xml:space="preserve"> </w:t>
      </w:r>
      <w:r w:rsidRPr="007F6D54">
        <w:rPr>
          <w:rFonts w:ascii="Tahoma" w:hAnsi="Tahoma" w:cs="Tahoma"/>
          <w:w w:val="105"/>
          <w:sz w:val="18"/>
          <w:szCs w:val="18"/>
        </w:rPr>
        <w:t>bajo</w:t>
      </w:r>
      <w:r w:rsidRPr="007F6D54">
        <w:rPr>
          <w:rFonts w:ascii="Tahoma" w:hAnsi="Tahoma" w:cs="Tahoma"/>
          <w:spacing w:val="-6"/>
          <w:w w:val="105"/>
          <w:sz w:val="18"/>
          <w:szCs w:val="18"/>
        </w:rPr>
        <w:t xml:space="preserve"> </w:t>
      </w:r>
      <w:r w:rsidRPr="007F6D54">
        <w:rPr>
          <w:rFonts w:ascii="Tahoma" w:hAnsi="Tahoma" w:cs="Tahoma"/>
          <w:w w:val="105"/>
          <w:sz w:val="18"/>
          <w:szCs w:val="18"/>
        </w:rPr>
        <w:t>la</w:t>
      </w:r>
      <w:r w:rsidRPr="007F6D54">
        <w:rPr>
          <w:rFonts w:ascii="Tahoma" w:hAnsi="Tahoma" w:cs="Tahoma"/>
          <w:spacing w:val="-7"/>
          <w:w w:val="105"/>
          <w:sz w:val="18"/>
          <w:szCs w:val="18"/>
        </w:rPr>
        <w:t xml:space="preserve"> </w:t>
      </w:r>
      <w:r w:rsidRPr="007F6D54">
        <w:rPr>
          <w:rFonts w:ascii="Tahoma" w:hAnsi="Tahoma" w:cs="Tahoma"/>
          <w:w w:val="105"/>
          <w:sz w:val="18"/>
          <w:szCs w:val="18"/>
        </w:rPr>
        <w:t>ley</w:t>
      </w:r>
      <w:r w:rsidRPr="007F6D54">
        <w:rPr>
          <w:rFonts w:ascii="Tahoma" w:hAnsi="Tahoma" w:cs="Tahoma"/>
          <w:spacing w:val="-6"/>
          <w:w w:val="105"/>
          <w:sz w:val="18"/>
          <w:szCs w:val="18"/>
        </w:rPr>
        <w:t xml:space="preserve"> </w:t>
      </w:r>
      <w:r w:rsidRPr="007F6D54">
        <w:rPr>
          <w:rFonts w:ascii="Tahoma" w:hAnsi="Tahoma" w:cs="Tahoma"/>
          <w:w w:val="105"/>
          <w:sz w:val="18"/>
          <w:szCs w:val="18"/>
        </w:rPr>
        <w:t>integral</w:t>
      </w:r>
      <w:r w:rsidRPr="007F6D54">
        <w:rPr>
          <w:rFonts w:ascii="Tahoma" w:hAnsi="Tahoma" w:cs="Tahoma"/>
          <w:spacing w:val="-7"/>
          <w:w w:val="105"/>
          <w:sz w:val="18"/>
          <w:szCs w:val="18"/>
        </w:rPr>
        <w:t xml:space="preserve"> </w:t>
      </w:r>
      <w:r w:rsidRPr="007F6D54">
        <w:rPr>
          <w:rFonts w:ascii="Tahoma" w:hAnsi="Tahoma" w:cs="Tahoma"/>
          <w:w w:val="105"/>
          <w:sz w:val="18"/>
          <w:szCs w:val="18"/>
        </w:rPr>
        <w:t>contra</w:t>
      </w:r>
      <w:r w:rsidRPr="007F6D54">
        <w:rPr>
          <w:rFonts w:ascii="Tahoma" w:hAnsi="Tahoma" w:cs="Tahoma"/>
          <w:spacing w:val="-6"/>
          <w:w w:val="105"/>
          <w:sz w:val="18"/>
          <w:szCs w:val="18"/>
        </w:rPr>
        <w:t xml:space="preserve"> </w:t>
      </w:r>
      <w:r w:rsidRPr="007F6D54">
        <w:rPr>
          <w:rFonts w:ascii="Tahoma" w:hAnsi="Tahoma" w:cs="Tahoma"/>
          <w:spacing w:val="-5"/>
          <w:w w:val="105"/>
          <w:sz w:val="18"/>
          <w:szCs w:val="18"/>
        </w:rPr>
        <w:t>la</w:t>
      </w:r>
      <w:r w:rsidRPr="007F6D54">
        <w:rPr>
          <w:rFonts w:ascii="Tahoma" w:hAnsi="Tahoma" w:cs="Tahoma"/>
          <w:sz w:val="18"/>
          <w:szCs w:val="18"/>
        </w:rPr>
        <w:t xml:space="preserve"> </w:t>
      </w:r>
      <w:r w:rsidRPr="007F6D54">
        <w:rPr>
          <w:rFonts w:ascii="Tahoma" w:hAnsi="Tahoma" w:cs="Tahoma"/>
          <w:spacing w:val="-2"/>
          <w:w w:val="105"/>
          <w:sz w:val="18"/>
          <w:szCs w:val="18"/>
        </w:rPr>
        <w:t>discriminación</w:t>
      </w:r>
    </w:p>
    <w:p w14:paraId="4A6BC4DA" w14:textId="77777777" w:rsidR="003E5960" w:rsidRPr="007F6D54" w:rsidRDefault="003E5960" w:rsidP="003E5960">
      <w:pPr>
        <w:tabs>
          <w:tab w:val="left" w:pos="1915"/>
          <w:tab w:val="left" w:leader="dot" w:pos="8273"/>
        </w:tabs>
        <w:ind w:left="1726" w:hanging="450"/>
        <w:rPr>
          <w:rFonts w:ascii="Tahoma" w:hAnsi="Tahoma" w:cs="Tahoma"/>
          <w:w w:val="105"/>
          <w:sz w:val="18"/>
          <w:szCs w:val="18"/>
        </w:rPr>
      </w:pPr>
    </w:p>
    <w:p w14:paraId="236BB91D" w14:textId="77777777" w:rsidR="003E5960" w:rsidRPr="007F6D54" w:rsidRDefault="003E5960" w:rsidP="003E5960">
      <w:pPr>
        <w:tabs>
          <w:tab w:val="left" w:pos="1915"/>
          <w:tab w:val="left" w:leader="dot" w:pos="8273"/>
        </w:tabs>
        <w:ind w:left="1726" w:hanging="450"/>
        <w:rPr>
          <w:rFonts w:ascii="Tahoma" w:hAnsi="Tahoma" w:cs="Tahoma"/>
          <w:sz w:val="18"/>
          <w:szCs w:val="18"/>
        </w:rPr>
      </w:pPr>
      <w:r w:rsidRPr="007F6D54">
        <w:rPr>
          <w:rFonts w:ascii="Tahoma" w:hAnsi="Tahoma" w:cs="Tahoma"/>
          <w:w w:val="105"/>
          <w:sz w:val="18"/>
          <w:szCs w:val="18"/>
        </w:rPr>
        <w:t>C Deberes</w:t>
      </w:r>
      <w:r w:rsidRPr="007F6D54">
        <w:rPr>
          <w:rFonts w:ascii="Tahoma" w:hAnsi="Tahoma" w:cs="Tahoma"/>
          <w:spacing w:val="-5"/>
          <w:w w:val="105"/>
          <w:sz w:val="18"/>
          <w:szCs w:val="18"/>
        </w:rPr>
        <w:t xml:space="preserve"> de</w:t>
      </w:r>
      <w:r w:rsidRPr="007F6D54">
        <w:rPr>
          <w:rFonts w:ascii="Tahoma" w:hAnsi="Tahoma" w:cs="Tahoma"/>
          <w:sz w:val="18"/>
          <w:szCs w:val="18"/>
        </w:rPr>
        <w:t xml:space="preserve"> </w:t>
      </w:r>
      <w:r w:rsidRPr="007F6D54">
        <w:rPr>
          <w:rFonts w:ascii="Tahoma" w:hAnsi="Tahoma" w:cs="Tahoma"/>
          <w:spacing w:val="-2"/>
          <w:w w:val="105"/>
          <w:sz w:val="18"/>
          <w:szCs w:val="18"/>
        </w:rPr>
        <w:t>igualdad</w:t>
      </w:r>
    </w:p>
    <w:p w14:paraId="76A93FCF" w14:textId="77777777" w:rsidR="003E5960" w:rsidRPr="007F6D54" w:rsidRDefault="003E5960" w:rsidP="003E5960">
      <w:pPr>
        <w:pStyle w:val="Prrafodelista"/>
        <w:numPr>
          <w:ilvl w:val="0"/>
          <w:numId w:val="107"/>
        </w:numPr>
        <w:tabs>
          <w:tab w:val="left" w:pos="1915"/>
          <w:tab w:val="left" w:leader="dot" w:pos="8273"/>
        </w:tabs>
        <w:ind w:hanging="198"/>
        <w:rPr>
          <w:rFonts w:ascii="Tahoma" w:hAnsi="Tahoma" w:cs="Tahoma"/>
          <w:sz w:val="18"/>
          <w:szCs w:val="18"/>
        </w:rPr>
      </w:pPr>
      <w:r w:rsidRPr="007F6D54">
        <w:rPr>
          <w:rFonts w:ascii="Tahoma" w:hAnsi="Tahoma" w:cs="Tahoma"/>
          <w:spacing w:val="-2"/>
          <w:w w:val="105"/>
          <w:sz w:val="18"/>
          <w:szCs w:val="18"/>
        </w:rPr>
        <w:t>Accesibilidad</w:t>
      </w:r>
    </w:p>
    <w:p w14:paraId="5601E3D4" w14:textId="77777777" w:rsidR="003E5960" w:rsidRPr="007F6D54" w:rsidRDefault="003E5960" w:rsidP="003E5960">
      <w:pPr>
        <w:pStyle w:val="Prrafodelista"/>
        <w:numPr>
          <w:ilvl w:val="0"/>
          <w:numId w:val="107"/>
        </w:numPr>
        <w:tabs>
          <w:tab w:val="left" w:pos="1915"/>
          <w:tab w:val="left" w:leader="dot" w:pos="8273"/>
        </w:tabs>
        <w:ind w:hanging="198"/>
        <w:rPr>
          <w:rFonts w:ascii="Tahoma" w:hAnsi="Tahoma" w:cs="Tahoma"/>
          <w:sz w:val="18"/>
          <w:szCs w:val="18"/>
        </w:rPr>
      </w:pPr>
      <w:r w:rsidRPr="007F6D54">
        <w:rPr>
          <w:rFonts w:ascii="Tahoma" w:hAnsi="Tahoma" w:cs="Tahoma"/>
          <w:w w:val="105"/>
          <w:sz w:val="18"/>
          <w:szCs w:val="18"/>
        </w:rPr>
        <w:t>Deberes</w:t>
      </w:r>
      <w:r w:rsidRPr="007F6D54">
        <w:rPr>
          <w:rFonts w:ascii="Tahoma" w:hAnsi="Tahoma" w:cs="Tahoma"/>
          <w:spacing w:val="-5"/>
          <w:w w:val="105"/>
          <w:sz w:val="18"/>
          <w:szCs w:val="18"/>
        </w:rPr>
        <w:t xml:space="preserve"> </w:t>
      </w:r>
      <w:r w:rsidRPr="007F6D54">
        <w:rPr>
          <w:rFonts w:ascii="Tahoma" w:hAnsi="Tahoma" w:cs="Tahoma"/>
          <w:w w:val="105"/>
          <w:sz w:val="18"/>
          <w:szCs w:val="18"/>
        </w:rPr>
        <w:t>estatutarios</w:t>
      </w:r>
      <w:r w:rsidRPr="007F6D54">
        <w:rPr>
          <w:rFonts w:ascii="Tahoma" w:hAnsi="Tahoma" w:cs="Tahoma"/>
          <w:spacing w:val="-6"/>
          <w:w w:val="105"/>
          <w:sz w:val="18"/>
          <w:szCs w:val="18"/>
        </w:rPr>
        <w:t xml:space="preserve"> </w:t>
      </w:r>
      <w:r w:rsidRPr="007F6D54">
        <w:rPr>
          <w:rFonts w:ascii="Tahoma" w:hAnsi="Tahoma" w:cs="Tahoma"/>
          <w:spacing w:val="-5"/>
          <w:w w:val="105"/>
          <w:sz w:val="18"/>
          <w:szCs w:val="18"/>
        </w:rPr>
        <w:t>de</w:t>
      </w:r>
      <w:r w:rsidRPr="007F6D54">
        <w:rPr>
          <w:rFonts w:ascii="Tahoma" w:hAnsi="Tahoma" w:cs="Tahoma"/>
          <w:sz w:val="18"/>
          <w:szCs w:val="18"/>
        </w:rPr>
        <w:t xml:space="preserve"> </w:t>
      </w:r>
      <w:r w:rsidRPr="007F6D54">
        <w:rPr>
          <w:rFonts w:ascii="Tahoma" w:hAnsi="Tahoma" w:cs="Tahoma"/>
          <w:spacing w:val="-2"/>
          <w:w w:val="105"/>
          <w:sz w:val="18"/>
          <w:szCs w:val="18"/>
        </w:rPr>
        <w:t>igualdad</w:t>
      </w:r>
    </w:p>
    <w:p w14:paraId="218E3121" w14:textId="77777777" w:rsidR="003E5960" w:rsidRPr="007F6D54" w:rsidRDefault="003E5960" w:rsidP="003E5960">
      <w:pPr>
        <w:pStyle w:val="Prrafodelista"/>
        <w:numPr>
          <w:ilvl w:val="0"/>
          <w:numId w:val="107"/>
        </w:numPr>
        <w:tabs>
          <w:tab w:val="left" w:pos="1915"/>
          <w:tab w:val="left" w:leader="dot" w:pos="8273"/>
        </w:tabs>
        <w:ind w:hanging="198"/>
        <w:rPr>
          <w:rFonts w:ascii="Tahoma" w:hAnsi="Tahoma" w:cs="Tahoma"/>
          <w:sz w:val="18"/>
          <w:szCs w:val="18"/>
        </w:rPr>
      </w:pPr>
      <w:r w:rsidRPr="007F6D54">
        <w:rPr>
          <w:rFonts w:ascii="Tahoma" w:hAnsi="Tahoma" w:cs="Tahoma"/>
          <w:w w:val="105"/>
          <w:sz w:val="18"/>
          <w:szCs w:val="18"/>
        </w:rPr>
        <w:t>Garantizar</w:t>
      </w:r>
      <w:r w:rsidRPr="007F6D54">
        <w:rPr>
          <w:rFonts w:ascii="Tahoma" w:hAnsi="Tahoma" w:cs="Tahoma"/>
          <w:spacing w:val="-5"/>
          <w:w w:val="105"/>
          <w:sz w:val="18"/>
          <w:szCs w:val="18"/>
        </w:rPr>
        <w:t xml:space="preserve"> </w:t>
      </w:r>
      <w:r w:rsidRPr="007F6D54">
        <w:rPr>
          <w:rFonts w:ascii="Tahoma" w:hAnsi="Tahoma" w:cs="Tahoma"/>
          <w:w w:val="105"/>
          <w:sz w:val="18"/>
          <w:szCs w:val="18"/>
        </w:rPr>
        <w:t>la</w:t>
      </w:r>
      <w:r w:rsidRPr="007F6D54">
        <w:rPr>
          <w:rFonts w:ascii="Tahoma" w:hAnsi="Tahoma" w:cs="Tahoma"/>
          <w:spacing w:val="-6"/>
          <w:w w:val="105"/>
          <w:sz w:val="18"/>
          <w:szCs w:val="18"/>
        </w:rPr>
        <w:t xml:space="preserve"> </w:t>
      </w:r>
      <w:r w:rsidRPr="007F6D54">
        <w:rPr>
          <w:rFonts w:ascii="Tahoma" w:hAnsi="Tahoma" w:cs="Tahoma"/>
          <w:w w:val="105"/>
          <w:sz w:val="18"/>
          <w:szCs w:val="18"/>
        </w:rPr>
        <w:t>eficacia</w:t>
      </w:r>
      <w:r w:rsidRPr="007F6D54">
        <w:rPr>
          <w:rFonts w:ascii="Tahoma" w:hAnsi="Tahoma" w:cs="Tahoma"/>
          <w:spacing w:val="-6"/>
          <w:w w:val="105"/>
          <w:sz w:val="18"/>
          <w:szCs w:val="18"/>
        </w:rPr>
        <w:t xml:space="preserve"> </w:t>
      </w:r>
      <w:r w:rsidRPr="007F6D54">
        <w:rPr>
          <w:rFonts w:ascii="Tahoma" w:hAnsi="Tahoma" w:cs="Tahoma"/>
          <w:w w:val="105"/>
          <w:sz w:val="18"/>
          <w:szCs w:val="18"/>
        </w:rPr>
        <w:t>de</w:t>
      </w:r>
      <w:r w:rsidRPr="007F6D54">
        <w:rPr>
          <w:rFonts w:ascii="Tahoma" w:hAnsi="Tahoma" w:cs="Tahoma"/>
          <w:spacing w:val="-5"/>
          <w:w w:val="105"/>
          <w:sz w:val="18"/>
          <w:szCs w:val="18"/>
        </w:rPr>
        <w:t xml:space="preserve"> </w:t>
      </w:r>
      <w:r w:rsidRPr="007F6D54">
        <w:rPr>
          <w:rFonts w:ascii="Tahoma" w:hAnsi="Tahoma" w:cs="Tahoma"/>
          <w:w w:val="105"/>
          <w:sz w:val="18"/>
          <w:szCs w:val="18"/>
        </w:rPr>
        <w:t>los</w:t>
      </w:r>
      <w:r w:rsidRPr="007F6D54">
        <w:rPr>
          <w:rFonts w:ascii="Tahoma" w:hAnsi="Tahoma" w:cs="Tahoma"/>
          <w:spacing w:val="-6"/>
          <w:w w:val="105"/>
          <w:sz w:val="18"/>
          <w:szCs w:val="18"/>
        </w:rPr>
        <w:t xml:space="preserve"> </w:t>
      </w:r>
      <w:r w:rsidRPr="007F6D54">
        <w:rPr>
          <w:rFonts w:ascii="Tahoma" w:hAnsi="Tahoma" w:cs="Tahoma"/>
          <w:w w:val="105"/>
          <w:sz w:val="18"/>
          <w:szCs w:val="18"/>
        </w:rPr>
        <w:t>deberes</w:t>
      </w:r>
      <w:r w:rsidRPr="007F6D54">
        <w:rPr>
          <w:rFonts w:ascii="Tahoma" w:hAnsi="Tahoma" w:cs="Tahoma"/>
          <w:spacing w:val="-5"/>
          <w:w w:val="105"/>
          <w:sz w:val="18"/>
          <w:szCs w:val="18"/>
        </w:rPr>
        <w:t xml:space="preserve"> de</w:t>
      </w:r>
      <w:r w:rsidRPr="007F6D54">
        <w:rPr>
          <w:rFonts w:ascii="Tahoma" w:hAnsi="Tahoma" w:cs="Tahoma"/>
          <w:sz w:val="18"/>
          <w:szCs w:val="18"/>
        </w:rPr>
        <w:t xml:space="preserve"> </w:t>
      </w:r>
      <w:r w:rsidRPr="007F6D54">
        <w:rPr>
          <w:rFonts w:ascii="Tahoma" w:hAnsi="Tahoma" w:cs="Tahoma"/>
          <w:spacing w:val="-2"/>
          <w:sz w:val="18"/>
          <w:szCs w:val="18"/>
        </w:rPr>
        <w:t>igualdad</w:t>
      </w:r>
    </w:p>
    <w:p w14:paraId="66FF9527" w14:textId="77777777" w:rsidR="003E5960" w:rsidRPr="007F6D54" w:rsidRDefault="003E5960" w:rsidP="003E5960">
      <w:pPr>
        <w:pStyle w:val="Prrafodelista"/>
        <w:tabs>
          <w:tab w:val="left" w:pos="1915"/>
          <w:tab w:val="left" w:leader="dot" w:pos="8273"/>
        </w:tabs>
        <w:ind w:left="1701" w:firstLine="0"/>
        <w:rPr>
          <w:rFonts w:ascii="Tahoma" w:hAnsi="Tahoma" w:cs="Tahoma"/>
          <w:sz w:val="18"/>
          <w:szCs w:val="18"/>
        </w:rPr>
      </w:pPr>
    </w:p>
    <w:p w14:paraId="07F45961" w14:textId="77777777" w:rsidR="003E5960" w:rsidRPr="007F6D54" w:rsidRDefault="003E5960" w:rsidP="003E5960">
      <w:pPr>
        <w:pStyle w:val="Prrafodelista"/>
        <w:tabs>
          <w:tab w:val="left" w:pos="1915"/>
          <w:tab w:val="left" w:leader="dot" w:pos="8273"/>
        </w:tabs>
        <w:ind w:left="1701" w:firstLine="0"/>
        <w:rPr>
          <w:rFonts w:ascii="Tahoma" w:hAnsi="Tahoma" w:cs="Tahoma"/>
          <w:sz w:val="18"/>
          <w:szCs w:val="18"/>
        </w:rPr>
      </w:pPr>
    </w:p>
    <w:p w14:paraId="0A980A40" w14:textId="77777777" w:rsidR="003E5960" w:rsidRPr="007F6D54" w:rsidRDefault="003E5960" w:rsidP="003E5960">
      <w:pPr>
        <w:pStyle w:val="Prrafodelista"/>
        <w:tabs>
          <w:tab w:val="left" w:pos="1915"/>
          <w:tab w:val="left" w:leader="dot" w:pos="8273"/>
        </w:tabs>
        <w:ind w:left="1701" w:firstLine="0"/>
        <w:rPr>
          <w:rFonts w:ascii="Tahoma" w:hAnsi="Tahoma" w:cs="Tahoma"/>
          <w:sz w:val="18"/>
          <w:szCs w:val="18"/>
        </w:rPr>
      </w:pPr>
    </w:p>
    <w:p w14:paraId="495B3D98" w14:textId="77777777" w:rsidR="003E5960" w:rsidRPr="007F6D54" w:rsidRDefault="003E5960" w:rsidP="003E5960">
      <w:pPr>
        <w:pStyle w:val="Prrafodelista"/>
        <w:tabs>
          <w:tab w:val="left" w:pos="1915"/>
          <w:tab w:val="left" w:leader="dot" w:pos="8273"/>
        </w:tabs>
        <w:ind w:left="1701" w:firstLine="0"/>
        <w:rPr>
          <w:rFonts w:ascii="Tahoma" w:hAnsi="Tahoma" w:cs="Tahoma"/>
          <w:sz w:val="18"/>
          <w:szCs w:val="18"/>
        </w:rPr>
      </w:pPr>
    </w:p>
    <w:p w14:paraId="388413C5" w14:textId="77777777" w:rsidR="003E5960" w:rsidRPr="007F6D54" w:rsidRDefault="003E5960" w:rsidP="003E5960">
      <w:pPr>
        <w:pStyle w:val="Prrafodelista"/>
        <w:tabs>
          <w:tab w:val="left" w:pos="1915"/>
          <w:tab w:val="left" w:leader="dot" w:pos="8273"/>
        </w:tabs>
        <w:ind w:left="1701" w:firstLine="0"/>
        <w:rPr>
          <w:rFonts w:ascii="Tahoma" w:hAnsi="Tahoma" w:cs="Tahoma"/>
          <w:sz w:val="18"/>
          <w:szCs w:val="18"/>
        </w:rPr>
      </w:pPr>
    </w:p>
    <w:p w14:paraId="4F9A54E1" w14:textId="77777777" w:rsidR="003E5960" w:rsidRPr="007F6D54" w:rsidRDefault="003E5960" w:rsidP="003E5960">
      <w:pPr>
        <w:pStyle w:val="Prrafodelista"/>
        <w:tabs>
          <w:tab w:val="left" w:pos="1915"/>
          <w:tab w:val="left" w:leader="dot" w:pos="8273"/>
        </w:tabs>
        <w:ind w:left="1701" w:firstLine="0"/>
        <w:rPr>
          <w:rFonts w:ascii="Tahoma" w:hAnsi="Tahoma" w:cs="Tahoma"/>
          <w:sz w:val="18"/>
          <w:szCs w:val="18"/>
        </w:rPr>
      </w:pPr>
    </w:p>
    <w:p w14:paraId="65A1BDAB" w14:textId="77777777" w:rsidR="003E5960" w:rsidRPr="007F6D54" w:rsidRDefault="003E5960" w:rsidP="003E5960">
      <w:pPr>
        <w:pStyle w:val="Prrafodelista"/>
        <w:tabs>
          <w:tab w:val="left" w:pos="1915"/>
          <w:tab w:val="left" w:leader="dot" w:pos="8273"/>
        </w:tabs>
        <w:ind w:left="1701" w:firstLine="0"/>
        <w:rPr>
          <w:rFonts w:ascii="Tahoma" w:hAnsi="Tahoma" w:cs="Tahoma"/>
          <w:sz w:val="18"/>
          <w:szCs w:val="18"/>
        </w:rPr>
      </w:pPr>
    </w:p>
    <w:p w14:paraId="6914C198" w14:textId="77777777" w:rsidR="003E5960" w:rsidRPr="007F6D54" w:rsidRDefault="003E5960" w:rsidP="003E5960">
      <w:pPr>
        <w:pStyle w:val="Prrafodelista"/>
        <w:tabs>
          <w:tab w:val="left" w:pos="1915"/>
          <w:tab w:val="left" w:leader="dot" w:pos="8273"/>
        </w:tabs>
        <w:ind w:left="1701" w:firstLine="0"/>
        <w:rPr>
          <w:rFonts w:ascii="Tahoma" w:hAnsi="Tahoma" w:cs="Tahoma"/>
          <w:sz w:val="18"/>
          <w:szCs w:val="18"/>
        </w:rPr>
      </w:pPr>
    </w:p>
    <w:p w14:paraId="14F9A840" w14:textId="77777777" w:rsidR="003E5960" w:rsidRPr="007F6D54" w:rsidRDefault="003E5960" w:rsidP="003E5960">
      <w:pPr>
        <w:pStyle w:val="Prrafodelista"/>
        <w:tabs>
          <w:tab w:val="left" w:pos="1915"/>
          <w:tab w:val="left" w:leader="dot" w:pos="8273"/>
        </w:tabs>
        <w:ind w:left="1701" w:firstLine="0"/>
        <w:rPr>
          <w:rFonts w:ascii="Tahoma" w:hAnsi="Tahoma" w:cs="Tahoma"/>
          <w:sz w:val="18"/>
          <w:szCs w:val="18"/>
        </w:rPr>
      </w:pPr>
    </w:p>
    <w:p w14:paraId="65F0B136" w14:textId="77777777" w:rsidR="003E5960" w:rsidRDefault="003E5960" w:rsidP="003E5960">
      <w:pPr>
        <w:pStyle w:val="Prrafodelista"/>
        <w:tabs>
          <w:tab w:val="left" w:pos="1915"/>
          <w:tab w:val="left" w:leader="dot" w:pos="8273"/>
        </w:tabs>
        <w:ind w:left="1701" w:firstLine="0"/>
        <w:rPr>
          <w:rFonts w:ascii="Tahoma" w:hAnsi="Tahoma" w:cs="Tahoma"/>
          <w:sz w:val="18"/>
          <w:szCs w:val="18"/>
        </w:rPr>
      </w:pPr>
    </w:p>
    <w:p w14:paraId="3F425DDF" w14:textId="77777777" w:rsidR="00DC14A0" w:rsidRDefault="00DC14A0" w:rsidP="003E5960">
      <w:pPr>
        <w:pStyle w:val="Prrafodelista"/>
        <w:tabs>
          <w:tab w:val="left" w:pos="1915"/>
          <w:tab w:val="left" w:leader="dot" w:pos="8273"/>
        </w:tabs>
        <w:ind w:left="1701" w:firstLine="0"/>
        <w:rPr>
          <w:rFonts w:ascii="Tahoma" w:hAnsi="Tahoma" w:cs="Tahoma"/>
          <w:sz w:val="18"/>
          <w:szCs w:val="18"/>
        </w:rPr>
      </w:pPr>
    </w:p>
    <w:p w14:paraId="62B919D1" w14:textId="77777777" w:rsidR="00DC14A0" w:rsidRPr="007F6D54" w:rsidRDefault="00DC14A0" w:rsidP="003E5960">
      <w:pPr>
        <w:pStyle w:val="Prrafodelista"/>
        <w:tabs>
          <w:tab w:val="left" w:pos="1915"/>
          <w:tab w:val="left" w:leader="dot" w:pos="8273"/>
        </w:tabs>
        <w:ind w:left="1701" w:firstLine="0"/>
        <w:rPr>
          <w:rFonts w:ascii="Tahoma" w:hAnsi="Tahoma" w:cs="Tahoma"/>
          <w:sz w:val="18"/>
          <w:szCs w:val="18"/>
        </w:rPr>
      </w:pPr>
    </w:p>
    <w:p w14:paraId="5997FB21" w14:textId="77777777" w:rsidR="003E5960" w:rsidRPr="007F6D54" w:rsidRDefault="003E5960" w:rsidP="003E5960">
      <w:pPr>
        <w:pStyle w:val="Prrafodelista"/>
        <w:tabs>
          <w:tab w:val="left" w:pos="1915"/>
          <w:tab w:val="left" w:leader="dot" w:pos="8273"/>
        </w:tabs>
        <w:ind w:left="1701" w:firstLine="0"/>
        <w:rPr>
          <w:rFonts w:ascii="Tahoma" w:hAnsi="Tahoma" w:cs="Tahoma"/>
          <w:sz w:val="18"/>
          <w:szCs w:val="18"/>
        </w:rPr>
      </w:pPr>
    </w:p>
    <w:p w14:paraId="6B0013CA" w14:textId="77777777" w:rsidR="003E5960" w:rsidRPr="007F6D54" w:rsidRDefault="003E5960" w:rsidP="003E5960">
      <w:pPr>
        <w:pStyle w:val="Prrafodelista"/>
        <w:tabs>
          <w:tab w:val="left" w:pos="1915"/>
          <w:tab w:val="left" w:leader="dot" w:pos="8273"/>
        </w:tabs>
        <w:ind w:left="1701" w:firstLine="0"/>
        <w:rPr>
          <w:rFonts w:ascii="Tahoma" w:hAnsi="Tahoma" w:cs="Tahoma"/>
          <w:sz w:val="18"/>
          <w:szCs w:val="18"/>
        </w:rPr>
      </w:pPr>
    </w:p>
    <w:p w14:paraId="014ABA5D" w14:textId="77777777" w:rsidR="003E5960" w:rsidRPr="007F6D54" w:rsidRDefault="003E5960" w:rsidP="003E5960">
      <w:pPr>
        <w:pStyle w:val="Prrafodelista"/>
        <w:tabs>
          <w:tab w:val="left" w:pos="1915"/>
          <w:tab w:val="left" w:leader="dot" w:pos="8273"/>
        </w:tabs>
        <w:ind w:left="1701" w:firstLine="0"/>
        <w:rPr>
          <w:rFonts w:ascii="Tahoma" w:hAnsi="Tahoma" w:cs="Tahoma"/>
          <w:sz w:val="18"/>
          <w:szCs w:val="18"/>
        </w:rPr>
      </w:pPr>
    </w:p>
    <w:p w14:paraId="7609F505" w14:textId="4E585C33" w:rsidR="003E5960" w:rsidRPr="007F6D54" w:rsidRDefault="003E5960" w:rsidP="003E5960">
      <w:pPr>
        <w:pStyle w:val="Prrafodelista"/>
        <w:numPr>
          <w:ilvl w:val="0"/>
          <w:numId w:val="103"/>
        </w:numPr>
        <w:tabs>
          <w:tab w:val="left" w:pos="1287"/>
          <w:tab w:val="right" w:leader="dot" w:pos="8459"/>
        </w:tabs>
        <w:ind w:left="1287" w:hanging="173"/>
        <w:rPr>
          <w:rFonts w:ascii="Tahoma" w:hAnsi="Tahoma" w:cs="Tahoma"/>
          <w:sz w:val="18"/>
          <w:szCs w:val="18"/>
        </w:rPr>
      </w:pPr>
      <w:hyperlink w:anchor="recursos" w:history="1">
        <w:r w:rsidRPr="00D06876">
          <w:rPr>
            <w:rStyle w:val="Hipervnculo"/>
            <w:rFonts w:ascii="Tahoma" w:hAnsi="Tahoma" w:cs="Tahoma"/>
            <w:spacing w:val="-2"/>
            <w:sz w:val="18"/>
            <w:szCs w:val="18"/>
          </w:rPr>
          <w:t>RECURSOS</w:t>
        </w:r>
      </w:hyperlink>
    </w:p>
    <w:p w14:paraId="7709CAAE" w14:textId="77777777" w:rsidR="003E5960" w:rsidRPr="007F6D54" w:rsidRDefault="003E5960" w:rsidP="003E5960">
      <w:pPr>
        <w:pStyle w:val="Prrafodelista"/>
        <w:numPr>
          <w:ilvl w:val="1"/>
          <w:numId w:val="103"/>
        </w:numPr>
        <w:tabs>
          <w:tab w:val="left" w:pos="1560"/>
          <w:tab w:val="right" w:leader="dot" w:pos="8919"/>
        </w:tabs>
        <w:ind w:left="1914" w:hanging="638"/>
        <w:rPr>
          <w:rFonts w:ascii="Tahoma" w:hAnsi="Tahoma" w:cs="Tahoma"/>
          <w:sz w:val="18"/>
          <w:szCs w:val="18"/>
        </w:rPr>
      </w:pPr>
      <w:r w:rsidRPr="007F6D54">
        <w:rPr>
          <w:rFonts w:ascii="Tahoma" w:hAnsi="Tahoma" w:cs="Tahoma"/>
          <w:sz w:val="18"/>
          <w:szCs w:val="18"/>
        </w:rPr>
        <w:t>Recursos</w:t>
      </w:r>
      <w:r w:rsidRPr="007F6D54">
        <w:rPr>
          <w:rFonts w:ascii="Tahoma" w:hAnsi="Tahoma" w:cs="Tahoma"/>
          <w:spacing w:val="17"/>
          <w:sz w:val="18"/>
          <w:szCs w:val="18"/>
        </w:rPr>
        <w:t xml:space="preserve"> </w:t>
      </w:r>
      <w:r w:rsidRPr="007F6D54">
        <w:rPr>
          <w:rFonts w:ascii="Tahoma" w:hAnsi="Tahoma" w:cs="Tahoma"/>
          <w:sz w:val="18"/>
          <w:szCs w:val="18"/>
        </w:rPr>
        <w:t>en</w:t>
      </w:r>
      <w:r w:rsidRPr="007F6D54">
        <w:rPr>
          <w:rFonts w:ascii="Tahoma" w:hAnsi="Tahoma" w:cs="Tahoma"/>
          <w:spacing w:val="17"/>
          <w:sz w:val="18"/>
          <w:szCs w:val="18"/>
        </w:rPr>
        <w:t xml:space="preserve"> </w:t>
      </w:r>
      <w:r w:rsidRPr="007F6D54">
        <w:rPr>
          <w:rFonts w:ascii="Tahoma" w:hAnsi="Tahoma" w:cs="Tahoma"/>
          <w:sz w:val="18"/>
          <w:szCs w:val="18"/>
        </w:rPr>
        <w:t>diferentes</w:t>
      </w:r>
      <w:r w:rsidRPr="007F6D54">
        <w:rPr>
          <w:rFonts w:ascii="Tahoma" w:hAnsi="Tahoma" w:cs="Tahoma"/>
          <w:spacing w:val="17"/>
          <w:sz w:val="18"/>
          <w:szCs w:val="18"/>
        </w:rPr>
        <w:t xml:space="preserve"> </w:t>
      </w:r>
      <w:r w:rsidRPr="007F6D54">
        <w:rPr>
          <w:rFonts w:ascii="Tahoma" w:hAnsi="Tahoma" w:cs="Tahoma"/>
          <w:sz w:val="18"/>
          <w:szCs w:val="18"/>
        </w:rPr>
        <w:t>ramas</w:t>
      </w:r>
      <w:r w:rsidRPr="007F6D54">
        <w:rPr>
          <w:rFonts w:ascii="Tahoma" w:hAnsi="Tahoma" w:cs="Tahoma"/>
          <w:spacing w:val="17"/>
          <w:sz w:val="18"/>
          <w:szCs w:val="18"/>
        </w:rPr>
        <w:t xml:space="preserve"> </w:t>
      </w:r>
      <w:r w:rsidRPr="007F6D54">
        <w:rPr>
          <w:rFonts w:ascii="Tahoma" w:hAnsi="Tahoma" w:cs="Tahoma"/>
          <w:sz w:val="18"/>
          <w:szCs w:val="18"/>
        </w:rPr>
        <w:t>del</w:t>
      </w:r>
      <w:r w:rsidRPr="007F6D54">
        <w:rPr>
          <w:rFonts w:ascii="Tahoma" w:hAnsi="Tahoma" w:cs="Tahoma"/>
          <w:spacing w:val="17"/>
          <w:sz w:val="18"/>
          <w:szCs w:val="18"/>
        </w:rPr>
        <w:t xml:space="preserve"> </w:t>
      </w:r>
      <w:r w:rsidRPr="007F6D54">
        <w:rPr>
          <w:rFonts w:ascii="Tahoma" w:hAnsi="Tahoma" w:cs="Tahoma"/>
          <w:spacing w:val="-2"/>
          <w:sz w:val="18"/>
          <w:szCs w:val="18"/>
        </w:rPr>
        <w:t>derecho</w:t>
      </w:r>
    </w:p>
    <w:p w14:paraId="4DB17DCE" w14:textId="77777777" w:rsidR="003E5960" w:rsidRPr="007F6D54" w:rsidRDefault="003E5960" w:rsidP="003E5960">
      <w:pPr>
        <w:pStyle w:val="Prrafodelista"/>
        <w:numPr>
          <w:ilvl w:val="1"/>
          <w:numId w:val="103"/>
        </w:numPr>
        <w:tabs>
          <w:tab w:val="left" w:pos="1560"/>
          <w:tab w:val="left" w:leader="dot" w:pos="8298"/>
        </w:tabs>
        <w:ind w:left="1915" w:hanging="638"/>
        <w:rPr>
          <w:rFonts w:ascii="Tahoma" w:hAnsi="Tahoma" w:cs="Tahoma"/>
          <w:sz w:val="18"/>
          <w:szCs w:val="18"/>
        </w:rPr>
      </w:pPr>
      <w:r w:rsidRPr="007F6D54">
        <w:rPr>
          <w:rFonts w:ascii="Tahoma" w:hAnsi="Tahoma" w:cs="Tahoma"/>
          <w:w w:val="105"/>
          <w:sz w:val="18"/>
          <w:szCs w:val="18"/>
        </w:rPr>
        <w:t>Sanción:</w:t>
      </w:r>
      <w:r w:rsidRPr="007F6D54">
        <w:rPr>
          <w:rFonts w:ascii="Tahoma" w:hAnsi="Tahoma" w:cs="Tahoma"/>
          <w:spacing w:val="-6"/>
          <w:w w:val="105"/>
          <w:sz w:val="18"/>
          <w:szCs w:val="18"/>
        </w:rPr>
        <w:t xml:space="preserve"> </w:t>
      </w:r>
      <w:r w:rsidRPr="007F6D54">
        <w:rPr>
          <w:rFonts w:ascii="Tahoma" w:hAnsi="Tahoma" w:cs="Tahoma"/>
          <w:w w:val="105"/>
          <w:sz w:val="18"/>
          <w:szCs w:val="18"/>
        </w:rPr>
        <w:t>llevar</w:t>
      </w:r>
      <w:r w:rsidRPr="007F6D54">
        <w:rPr>
          <w:rFonts w:ascii="Tahoma" w:hAnsi="Tahoma" w:cs="Tahoma"/>
          <w:spacing w:val="-6"/>
          <w:w w:val="105"/>
          <w:sz w:val="18"/>
          <w:szCs w:val="18"/>
        </w:rPr>
        <w:t xml:space="preserve"> </w:t>
      </w:r>
      <w:r w:rsidRPr="007F6D54">
        <w:rPr>
          <w:rFonts w:ascii="Tahoma" w:hAnsi="Tahoma" w:cs="Tahoma"/>
          <w:w w:val="105"/>
          <w:sz w:val="18"/>
          <w:szCs w:val="18"/>
        </w:rPr>
        <w:t>a</w:t>
      </w:r>
      <w:r w:rsidRPr="007F6D54">
        <w:rPr>
          <w:rFonts w:ascii="Tahoma" w:hAnsi="Tahoma" w:cs="Tahoma"/>
          <w:spacing w:val="-6"/>
          <w:w w:val="105"/>
          <w:sz w:val="18"/>
          <w:szCs w:val="18"/>
        </w:rPr>
        <w:t xml:space="preserve"> </w:t>
      </w:r>
      <w:r w:rsidRPr="007F6D54">
        <w:rPr>
          <w:rFonts w:ascii="Tahoma" w:hAnsi="Tahoma" w:cs="Tahoma"/>
          <w:w w:val="105"/>
          <w:sz w:val="18"/>
          <w:szCs w:val="18"/>
        </w:rPr>
        <w:t>los</w:t>
      </w:r>
      <w:r w:rsidRPr="007F6D54">
        <w:rPr>
          <w:rFonts w:ascii="Tahoma" w:hAnsi="Tahoma" w:cs="Tahoma"/>
          <w:spacing w:val="-7"/>
          <w:w w:val="105"/>
          <w:sz w:val="18"/>
          <w:szCs w:val="18"/>
        </w:rPr>
        <w:t xml:space="preserve"> </w:t>
      </w:r>
      <w:r w:rsidRPr="007F6D54">
        <w:rPr>
          <w:rFonts w:ascii="Tahoma" w:hAnsi="Tahoma" w:cs="Tahoma"/>
          <w:w w:val="105"/>
          <w:sz w:val="18"/>
          <w:szCs w:val="18"/>
        </w:rPr>
        <w:t>perpetradores</w:t>
      </w:r>
      <w:r w:rsidRPr="007F6D54">
        <w:rPr>
          <w:rFonts w:ascii="Tahoma" w:hAnsi="Tahoma" w:cs="Tahoma"/>
          <w:spacing w:val="-6"/>
          <w:w w:val="105"/>
          <w:sz w:val="18"/>
          <w:szCs w:val="18"/>
        </w:rPr>
        <w:t xml:space="preserve"> </w:t>
      </w:r>
      <w:r w:rsidRPr="007F6D54">
        <w:rPr>
          <w:rFonts w:ascii="Tahoma" w:hAnsi="Tahoma" w:cs="Tahoma"/>
          <w:w w:val="105"/>
          <w:sz w:val="18"/>
          <w:szCs w:val="18"/>
        </w:rPr>
        <w:t>ante</w:t>
      </w:r>
      <w:r w:rsidRPr="007F6D54">
        <w:rPr>
          <w:rFonts w:ascii="Tahoma" w:hAnsi="Tahoma" w:cs="Tahoma"/>
          <w:spacing w:val="-6"/>
          <w:w w:val="105"/>
          <w:sz w:val="18"/>
          <w:szCs w:val="18"/>
        </w:rPr>
        <w:t xml:space="preserve"> </w:t>
      </w:r>
      <w:r w:rsidRPr="007F6D54">
        <w:rPr>
          <w:rFonts w:ascii="Tahoma" w:hAnsi="Tahoma" w:cs="Tahoma"/>
          <w:w w:val="105"/>
          <w:sz w:val="18"/>
          <w:szCs w:val="18"/>
        </w:rPr>
        <w:t>la</w:t>
      </w:r>
      <w:r w:rsidRPr="007F6D54">
        <w:rPr>
          <w:rFonts w:ascii="Tahoma" w:hAnsi="Tahoma" w:cs="Tahoma"/>
          <w:spacing w:val="-7"/>
          <w:w w:val="105"/>
          <w:sz w:val="18"/>
          <w:szCs w:val="18"/>
        </w:rPr>
        <w:t xml:space="preserve"> </w:t>
      </w:r>
      <w:r w:rsidRPr="007F6D54">
        <w:rPr>
          <w:rFonts w:ascii="Tahoma" w:hAnsi="Tahoma" w:cs="Tahoma"/>
          <w:spacing w:val="-2"/>
          <w:w w:val="105"/>
          <w:sz w:val="18"/>
          <w:szCs w:val="18"/>
        </w:rPr>
        <w:t>justicia</w:t>
      </w:r>
    </w:p>
    <w:p w14:paraId="2D3426C6" w14:textId="77777777" w:rsidR="003E5960" w:rsidRPr="007F6D54" w:rsidRDefault="003E5960" w:rsidP="003E5960">
      <w:pPr>
        <w:pStyle w:val="Prrafodelista"/>
        <w:numPr>
          <w:ilvl w:val="1"/>
          <w:numId w:val="103"/>
        </w:numPr>
        <w:tabs>
          <w:tab w:val="left" w:pos="1560"/>
          <w:tab w:val="left" w:leader="dot" w:pos="8298"/>
        </w:tabs>
        <w:ind w:left="1915" w:hanging="638"/>
        <w:rPr>
          <w:rFonts w:ascii="Tahoma" w:hAnsi="Tahoma" w:cs="Tahoma"/>
          <w:sz w:val="18"/>
          <w:szCs w:val="18"/>
        </w:rPr>
      </w:pPr>
      <w:r w:rsidRPr="007F6D54">
        <w:rPr>
          <w:rFonts w:ascii="Tahoma" w:hAnsi="Tahoma" w:cs="Tahoma"/>
          <w:spacing w:val="-2"/>
          <w:w w:val="105"/>
          <w:sz w:val="18"/>
          <w:szCs w:val="18"/>
        </w:rPr>
        <w:t>Reparación: reconocimiento,</w:t>
      </w:r>
      <w:r w:rsidRPr="007F6D54">
        <w:rPr>
          <w:rFonts w:ascii="Tahoma" w:hAnsi="Tahoma" w:cs="Tahoma"/>
          <w:spacing w:val="3"/>
          <w:w w:val="105"/>
          <w:sz w:val="18"/>
          <w:szCs w:val="18"/>
        </w:rPr>
        <w:t xml:space="preserve"> </w:t>
      </w:r>
      <w:r w:rsidRPr="007F6D54">
        <w:rPr>
          <w:rFonts w:ascii="Tahoma" w:hAnsi="Tahoma" w:cs="Tahoma"/>
          <w:spacing w:val="-2"/>
          <w:w w:val="105"/>
          <w:sz w:val="18"/>
          <w:szCs w:val="18"/>
        </w:rPr>
        <w:t>compensación</w:t>
      </w:r>
      <w:r w:rsidRPr="007F6D54">
        <w:rPr>
          <w:rFonts w:ascii="Tahoma" w:hAnsi="Tahoma" w:cs="Tahoma"/>
          <w:spacing w:val="2"/>
          <w:w w:val="105"/>
          <w:sz w:val="18"/>
          <w:szCs w:val="18"/>
        </w:rPr>
        <w:t xml:space="preserve"> </w:t>
      </w:r>
      <w:r w:rsidRPr="007F6D54">
        <w:rPr>
          <w:rFonts w:ascii="Tahoma" w:hAnsi="Tahoma" w:cs="Tahoma"/>
          <w:spacing w:val="-2"/>
          <w:w w:val="105"/>
          <w:sz w:val="18"/>
          <w:szCs w:val="18"/>
        </w:rPr>
        <w:t>y</w:t>
      </w:r>
      <w:r w:rsidRPr="007F6D54">
        <w:rPr>
          <w:rFonts w:ascii="Tahoma" w:hAnsi="Tahoma" w:cs="Tahoma"/>
          <w:spacing w:val="2"/>
          <w:w w:val="105"/>
          <w:sz w:val="18"/>
          <w:szCs w:val="18"/>
        </w:rPr>
        <w:t xml:space="preserve"> </w:t>
      </w:r>
      <w:r w:rsidRPr="007F6D54">
        <w:rPr>
          <w:rFonts w:ascii="Tahoma" w:hAnsi="Tahoma" w:cs="Tahoma"/>
          <w:spacing w:val="-2"/>
          <w:w w:val="105"/>
          <w:sz w:val="18"/>
          <w:szCs w:val="18"/>
        </w:rPr>
        <w:t>restitución</w:t>
      </w:r>
    </w:p>
    <w:p w14:paraId="44C032BA" w14:textId="77777777" w:rsidR="003E5960" w:rsidRPr="007F6D54" w:rsidRDefault="003E5960" w:rsidP="003E5960">
      <w:pPr>
        <w:tabs>
          <w:tab w:val="left" w:pos="1560"/>
          <w:tab w:val="left" w:leader="dot" w:pos="7349"/>
        </w:tabs>
        <w:ind w:left="1731" w:hanging="455"/>
        <w:rPr>
          <w:rFonts w:ascii="Tahoma" w:hAnsi="Tahoma" w:cs="Tahoma"/>
          <w:sz w:val="18"/>
          <w:szCs w:val="18"/>
        </w:rPr>
      </w:pPr>
      <w:r w:rsidRPr="007F6D54">
        <w:rPr>
          <w:rFonts w:ascii="Tahoma" w:hAnsi="Tahoma" w:cs="Tahoma"/>
          <w:w w:val="105"/>
          <w:sz w:val="18"/>
          <w:szCs w:val="18"/>
        </w:rPr>
        <w:t>D.</w:t>
      </w:r>
      <w:r w:rsidRPr="007F6D54">
        <w:rPr>
          <w:rFonts w:ascii="Tahoma" w:hAnsi="Tahoma" w:cs="Tahoma"/>
          <w:spacing w:val="-6"/>
          <w:w w:val="105"/>
          <w:sz w:val="18"/>
          <w:szCs w:val="18"/>
        </w:rPr>
        <w:t xml:space="preserve"> </w:t>
      </w:r>
      <w:r w:rsidRPr="007F6D54">
        <w:rPr>
          <w:rFonts w:ascii="Tahoma" w:hAnsi="Tahoma" w:cs="Tahoma"/>
          <w:w w:val="105"/>
          <w:sz w:val="18"/>
          <w:szCs w:val="18"/>
        </w:rPr>
        <w:t>Remedios</w:t>
      </w:r>
      <w:r w:rsidRPr="007F6D54">
        <w:rPr>
          <w:rFonts w:ascii="Tahoma" w:hAnsi="Tahoma" w:cs="Tahoma"/>
          <w:spacing w:val="-7"/>
          <w:w w:val="105"/>
          <w:sz w:val="18"/>
          <w:szCs w:val="18"/>
        </w:rPr>
        <w:t xml:space="preserve"> </w:t>
      </w:r>
      <w:r w:rsidRPr="007F6D54">
        <w:rPr>
          <w:rFonts w:ascii="Tahoma" w:hAnsi="Tahoma" w:cs="Tahoma"/>
          <w:w w:val="105"/>
          <w:sz w:val="18"/>
          <w:szCs w:val="18"/>
        </w:rPr>
        <w:t>institucionales</w:t>
      </w:r>
      <w:r w:rsidRPr="007F6D54">
        <w:rPr>
          <w:rFonts w:ascii="Tahoma" w:hAnsi="Tahoma" w:cs="Tahoma"/>
          <w:spacing w:val="-6"/>
          <w:w w:val="105"/>
          <w:sz w:val="18"/>
          <w:szCs w:val="18"/>
        </w:rPr>
        <w:t xml:space="preserve"> </w:t>
      </w:r>
      <w:r w:rsidRPr="007F6D54">
        <w:rPr>
          <w:rFonts w:ascii="Tahoma" w:hAnsi="Tahoma" w:cs="Tahoma"/>
          <w:spacing w:val="-10"/>
          <w:w w:val="105"/>
          <w:sz w:val="18"/>
          <w:szCs w:val="18"/>
        </w:rPr>
        <w:t>y</w:t>
      </w:r>
      <w:r w:rsidRPr="007F6D54">
        <w:rPr>
          <w:rFonts w:ascii="Tahoma" w:hAnsi="Tahoma" w:cs="Tahoma"/>
          <w:sz w:val="18"/>
          <w:szCs w:val="18"/>
        </w:rPr>
        <w:t xml:space="preserve"> </w:t>
      </w:r>
      <w:r w:rsidRPr="007F6D54">
        <w:rPr>
          <w:rFonts w:ascii="Tahoma" w:hAnsi="Tahoma" w:cs="Tahoma"/>
          <w:spacing w:val="-2"/>
          <w:w w:val="105"/>
          <w:sz w:val="18"/>
          <w:szCs w:val="18"/>
        </w:rPr>
        <w:t>sociales</w:t>
      </w:r>
    </w:p>
    <w:p w14:paraId="1C66D746" w14:textId="77777777" w:rsidR="003E5960" w:rsidRPr="007F6D54" w:rsidRDefault="003E5960" w:rsidP="003E5960">
      <w:pPr>
        <w:tabs>
          <w:tab w:val="left" w:pos="1560"/>
          <w:tab w:val="left" w:leader="dot" w:pos="7349"/>
        </w:tabs>
        <w:ind w:left="1731" w:hanging="455"/>
        <w:rPr>
          <w:rFonts w:ascii="Tahoma" w:hAnsi="Tahoma" w:cs="Tahoma"/>
          <w:spacing w:val="-2"/>
          <w:w w:val="105"/>
          <w:sz w:val="18"/>
          <w:szCs w:val="18"/>
        </w:rPr>
      </w:pPr>
      <w:r w:rsidRPr="007F6D54">
        <w:rPr>
          <w:rFonts w:ascii="Tahoma" w:hAnsi="Tahoma" w:cs="Tahoma"/>
          <w:w w:val="105"/>
          <w:sz w:val="18"/>
          <w:szCs w:val="18"/>
        </w:rPr>
        <w:t>1.</w:t>
      </w:r>
      <w:r w:rsidRPr="007F6D54">
        <w:rPr>
          <w:rFonts w:ascii="Tahoma" w:hAnsi="Tahoma" w:cs="Tahoma"/>
          <w:spacing w:val="-4"/>
          <w:w w:val="105"/>
          <w:sz w:val="18"/>
          <w:szCs w:val="18"/>
        </w:rPr>
        <w:t xml:space="preserve"> </w:t>
      </w:r>
      <w:r w:rsidRPr="007F6D54">
        <w:rPr>
          <w:rFonts w:ascii="Tahoma" w:hAnsi="Tahoma" w:cs="Tahoma"/>
          <w:spacing w:val="-2"/>
          <w:w w:val="105"/>
          <w:sz w:val="18"/>
          <w:szCs w:val="18"/>
        </w:rPr>
        <w:t>Remedios</w:t>
      </w:r>
      <w:r w:rsidRPr="007F6D54">
        <w:rPr>
          <w:rFonts w:ascii="Tahoma" w:hAnsi="Tahoma" w:cs="Tahoma"/>
          <w:sz w:val="18"/>
          <w:szCs w:val="18"/>
        </w:rPr>
        <w:t xml:space="preserve"> </w:t>
      </w:r>
      <w:r w:rsidRPr="007F6D54">
        <w:rPr>
          <w:rFonts w:ascii="Tahoma" w:hAnsi="Tahoma" w:cs="Tahoma"/>
          <w:spacing w:val="-2"/>
          <w:w w:val="105"/>
          <w:sz w:val="18"/>
          <w:szCs w:val="18"/>
        </w:rPr>
        <w:t>institucionales</w:t>
      </w:r>
    </w:p>
    <w:p w14:paraId="2145425F" w14:textId="2D495CC7" w:rsidR="003E5960" w:rsidRPr="007F6D54" w:rsidRDefault="003E5960" w:rsidP="003E5960">
      <w:pPr>
        <w:tabs>
          <w:tab w:val="left" w:pos="1560"/>
          <w:tab w:val="left" w:leader="dot" w:pos="7349"/>
        </w:tabs>
        <w:ind w:left="1731" w:hanging="455"/>
        <w:rPr>
          <w:rFonts w:ascii="Tahoma" w:hAnsi="Tahoma" w:cs="Tahoma"/>
          <w:sz w:val="18"/>
          <w:szCs w:val="18"/>
        </w:rPr>
      </w:pPr>
      <w:r w:rsidRPr="007F6D54">
        <w:rPr>
          <w:rFonts w:ascii="Tahoma" w:hAnsi="Tahoma" w:cs="Tahoma"/>
          <w:spacing w:val="-2"/>
          <w:w w:val="105"/>
          <w:sz w:val="18"/>
          <w:szCs w:val="18"/>
        </w:rPr>
        <w:t>2. Remedios</w:t>
      </w:r>
      <w:r w:rsidRPr="007F6D54">
        <w:rPr>
          <w:rFonts w:ascii="Tahoma" w:hAnsi="Tahoma" w:cs="Tahoma"/>
          <w:sz w:val="18"/>
          <w:szCs w:val="18"/>
        </w:rPr>
        <w:t xml:space="preserve"> </w:t>
      </w:r>
      <w:r w:rsidRPr="007F6D54">
        <w:rPr>
          <w:rFonts w:ascii="Tahoma" w:hAnsi="Tahoma" w:cs="Tahoma"/>
          <w:spacing w:val="-2"/>
          <w:sz w:val="18"/>
          <w:szCs w:val="18"/>
        </w:rPr>
        <w:t>sociales</w:t>
      </w:r>
    </w:p>
    <w:p w14:paraId="790FF479" w14:textId="77777777" w:rsidR="003E5960" w:rsidRPr="007F6D54" w:rsidRDefault="003E5960" w:rsidP="003E5960">
      <w:pPr>
        <w:tabs>
          <w:tab w:val="left" w:pos="1330"/>
          <w:tab w:val="right" w:leader="dot" w:pos="8074"/>
        </w:tabs>
        <w:rPr>
          <w:rFonts w:ascii="Tahoma" w:hAnsi="Tahoma" w:cs="Tahoma"/>
          <w:sz w:val="18"/>
          <w:szCs w:val="18"/>
        </w:rPr>
      </w:pPr>
    </w:p>
    <w:p w14:paraId="7422CE79" w14:textId="2E76C8D5" w:rsidR="003E5960" w:rsidRPr="007F6D54" w:rsidRDefault="003E5960" w:rsidP="003E5960">
      <w:pPr>
        <w:pStyle w:val="Prrafodelista"/>
        <w:numPr>
          <w:ilvl w:val="0"/>
          <w:numId w:val="117"/>
        </w:numPr>
        <w:tabs>
          <w:tab w:val="left" w:pos="1330"/>
          <w:tab w:val="right" w:leader="dot" w:pos="8074"/>
        </w:tabs>
        <w:ind w:left="1560" w:hanging="66"/>
        <w:contextualSpacing/>
        <w:rPr>
          <w:rFonts w:ascii="Tahoma" w:hAnsi="Tahoma" w:cs="Tahoma"/>
          <w:sz w:val="18"/>
          <w:szCs w:val="18"/>
        </w:rPr>
      </w:pPr>
      <w:hyperlink w:anchor="justicia" w:history="1">
        <w:r w:rsidRPr="00D06876">
          <w:rPr>
            <w:rStyle w:val="Hipervnculo"/>
            <w:rFonts w:ascii="Tahoma" w:hAnsi="Tahoma" w:cs="Tahoma"/>
            <w:sz w:val="18"/>
            <w:szCs w:val="18"/>
          </w:rPr>
          <w:t>JUSTICIA</w:t>
        </w:r>
        <w:r w:rsidRPr="00D06876">
          <w:rPr>
            <w:rStyle w:val="Hipervnculo"/>
            <w:rFonts w:ascii="Tahoma" w:hAnsi="Tahoma" w:cs="Tahoma"/>
            <w:spacing w:val="-9"/>
            <w:sz w:val="18"/>
            <w:szCs w:val="18"/>
          </w:rPr>
          <w:t xml:space="preserve"> </w:t>
        </w:r>
        <w:r w:rsidRPr="00D06876">
          <w:rPr>
            <w:rStyle w:val="Hipervnculo"/>
            <w:rFonts w:ascii="Tahoma" w:hAnsi="Tahoma" w:cs="Tahoma"/>
            <w:sz w:val="18"/>
            <w:szCs w:val="18"/>
          </w:rPr>
          <w:t>Y</w:t>
        </w:r>
        <w:r w:rsidRPr="00D06876">
          <w:rPr>
            <w:rStyle w:val="Hipervnculo"/>
            <w:rFonts w:ascii="Tahoma" w:hAnsi="Tahoma" w:cs="Tahoma"/>
            <w:spacing w:val="-9"/>
            <w:sz w:val="18"/>
            <w:szCs w:val="18"/>
          </w:rPr>
          <w:t xml:space="preserve"> </w:t>
        </w:r>
        <w:r w:rsidRPr="00D06876">
          <w:rPr>
            <w:rStyle w:val="Hipervnculo"/>
            <w:rFonts w:ascii="Tahoma" w:hAnsi="Tahoma" w:cs="Tahoma"/>
            <w:spacing w:val="-2"/>
            <w:sz w:val="18"/>
            <w:szCs w:val="18"/>
          </w:rPr>
          <w:t>APLICACIÓN</w:t>
        </w:r>
      </w:hyperlink>
    </w:p>
    <w:p w14:paraId="7657F65C" w14:textId="77777777" w:rsidR="003E5960" w:rsidRPr="007F6D54" w:rsidRDefault="003E5960" w:rsidP="00856D20">
      <w:pPr>
        <w:pStyle w:val="Prrafodelista"/>
        <w:tabs>
          <w:tab w:val="left" w:pos="1914"/>
          <w:tab w:val="left" w:leader="dot" w:pos="8003"/>
        </w:tabs>
        <w:ind w:left="1914" w:hanging="638"/>
        <w:rPr>
          <w:rFonts w:ascii="Tahoma" w:hAnsi="Tahoma" w:cs="Tahoma"/>
          <w:sz w:val="18"/>
          <w:szCs w:val="18"/>
        </w:rPr>
      </w:pPr>
      <w:r w:rsidRPr="007F6D54">
        <w:rPr>
          <w:rFonts w:ascii="Tahoma" w:hAnsi="Tahoma" w:cs="Tahoma"/>
          <w:w w:val="105"/>
          <w:sz w:val="18"/>
          <w:szCs w:val="18"/>
        </w:rPr>
        <w:t>A. Acceso</w:t>
      </w:r>
      <w:r w:rsidRPr="007F6D54">
        <w:rPr>
          <w:rFonts w:ascii="Tahoma" w:hAnsi="Tahoma" w:cs="Tahoma"/>
          <w:spacing w:val="-9"/>
          <w:w w:val="105"/>
          <w:sz w:val="18"/>
          <w:szCs w:val="18"/>
        </w:rPr>
        <w:t xml:space="preserve"> </w:t>
      </w:r>
      <w:r w:rsidRPr="007F6D54">
        <w:rPr>
          <w:rFonts w:ascii="Tahoma" w:hAnsi="Tahoma" w:cs="Tahoma"/>
          <w:w w:val="105"/>
          <w:sz w:val="18"/>
          <w:szCs w:val="18"/>
        </w:rPr>
        <w:t>a</w:t>
      </w:r>
      <w:r w:rsidRPr="007F6D54">
        <w:rPr>
          <w:rFonts w:ascii="Tahoma" w:hAnsi="Tahoma" w:cs="Tahoma"/>
          <w:spacing w:val="-9"/>
          <w:w w:val="105"/>
          <w:sz w:val="18"/>
          <w:szCs w:val="18"/>
        </w:rPr>
        <w:t xml:space="preserve"> </w:t>
      </w:r>
      <w:r w:rsidRPr="007F6D54">
        <w:rPr>
          <w:rFonts w:ascii="Tahoma" w:hAnsi="Tahoma" w:cs="Tahoma"/>
          <w:w w:val="105"/>
          <w:sz w:val="18"/>
          <w:szCs w:val="18"/>
        </w:rPr>
        <w:t>la</w:t>
      </w:r>
      <w:r w:rsidRPr="007F6D54">
        <w:rPr>
          <w:rFonts w:ascii="Tahoma" w:hAnsi="Tahoma" w:cs="Tahoma"/>
          <w:spacing w:val="-9"/>
          <w:w w:val="105"/>
          <w:sz w:val="18"/>
          <w:szCs w:val="18"/>
        </w:rPr>
        <w:t xml:space="preserve"> </w:t>
      </w:r>
      <w:r w:rsidRPr="007F6D54">
        <w:rPr>
          <w:rFonts w:ascii="Tahoma" w:hAnsi="Tahoma" w:cs="Tahoma"/>
          <w:w w:val="105"/>
          <w:sz w:val="18"/>
          <w:szCs w:val="18"/>
        </w:rPr>
        <w:t>justicia</w:t>
      </w:r>
      <w:r w:rsidRPr="007F6D54">
        <w:rPr>
          <w:rFonts w:ascii="Tahoma" w:hAnsi="Tahoma" w:cs="Tahoma"/>
          <w:spacing w:val="-9"/>
          <w:w w:val="105"/>
          <w:sz w:val="18"/>
          <w:szCs w:val="18"/>
        </w:rPr>
        <w:t xml:space="preserve"> </w:t>
      </w:r>
      <w:r w:rsidRPr="007F6D54">
        <w:rPr>
          <w:rFonts w:ascii="Tahoma" w:hAnsi="Tahoma" w:cs="Tahoma"/>
          <w:w w:val="105"/>
          <w:sz w:val="18"/>
          <w:szCs w:val="18"/>
        </w:rPr>
        <w:t>y</w:t>
      </w:r>
      <w:r w:rsidRPr="007F6D54">
        <w:rPr>
          <w:rFonts w:ascii="Tahoma" w:hAnsi="Tahoma" w:cs="Tahoma"/>
          <w:spacing w:val="-9"/>
          <w:w w:val="105"/>
          <w:sz w:val="18"/>
          <w:szCs w:val="18"/>
        </w:rPr>
        <w:t xml:space="preserve"> </w:t>
      </w:r>
      <w:r w:rsidRPr="007F6D54">
        <w:rPr>
          <w:rFonts w:ascii="Tahoma" w:hAnsi="Tahoma" w:cs="Tahoma"/>
          <w:w w:val="105"/>
          <w:sz w:val="18"/>
          <w:szCs w:val="18"/>
        </w:rPr>
        <w:t>procedimiento</w:t>
      </w:r>
      <w:r w:rsidRPr="007F6D54">
        <w:rPr>
          <w:rFonts w:ascii="Tahoma" w:hAnsi="Tahoma" w:cs="Tahoma"/>
          <w:spacing w:val="-9"/>
          <w:w w:val="105"/>
          <w:sz w:val="18"/>
          <w:szCs w:val="18"/>
        </w:rPr>
        <w:t xml:space="preserve"> </w:t>
      </w:r>
      <w:r w:rsidRPr="007F6D54">
        <w:rPr>
          <w:rFonts w:ascii="Tahoma" w:hAnsi="Tahoma" w:cs="Tahoma"/>
          <w:spacing w:val="-2"/>
          <w:w w:val="105"/>
          <w:sz w:val="18"/>
          <w:szCs w:val="18"/>
        </w:rPr>
        <w:t>legal</w:t>
      </w:r>
    </w:p>
    <w:p w14:paraId="279311BF" w14:textId="77777777" w:rsidR="003E5960" w:rsidRPr="007F6D54" w:rsidRDefault="003E5960" w:rsidP="00856D20">
      <w:pPr>
        <w:pStyle w:val="Prrafodelista"/>
        <w:tabs>
          <w:tab w:val="left" w:pos="1914"/>
          <w:tab w:val="left" w:leader="dot" w:pos="8003"/>
        </w:tabs>
        <w:ind w:left="1914" w:hanging="638"/>
        <w:rPr>
          <w:rFonts w:ascii="Tahoma" w:hAnsi="Tahoma" w:cs="Tahoma"/>
          <w:sz w:val="18"/>
          <w:szCs w:val="18"/>
        </w:rPr>
      </w:pPr>
      <w:r w:rsidRPr="007F6D54">
        <w:rPr>
          <w:rFonts w:ascii="Tahoma" w:hAnsi="Tahoma" w:cs="Tahoma"/>
          <w:w w:val="105"/>
          <w:sz w:val="18"/>
          <w:szCs w:val="18"/>
        </w:rPr>
        <w:t>1.</w:t>
      </w:r>
      <w:r w:rsidRPr="007F6D54">
        <w:rPr>
          <w:rFonts w:ascii="Tahoma" w:hAnsi="Tahoma" w:cs="Tahoma"/>
          <w:spacing w:val="-6"/>
          <w:w w:val="105"/>
          <w:sz w:val="18"/>
          <w:szCs w:val="18"/>
        </w:rPr>
        <w:t xml:space="preserve"> </w:t>
      </w:r>
      <w:r w:rsidRPr="007F6D54">
        <w:rPr>
          <w:rFonts w:ascii="Tahoma" w:hAnsi="Tahoma" w:cs="Tahoma"/>
          <w:w w:val="105"/>
          <w:sz w:val="18"/>
          <w:szCs w:val="18"/>
        </w:rPr>
        <w:t>Requisitos</w:t>
      </w:r>
      <w:r w:rsidRPr="007F6D54">
        <w:rPr>
          <w:rFonts w:ascii="Tahoma" w:hAnsi="Tahoma" w:cs="Tahoma"/>
          <w:spacing w:val="-6"/>
          <w:w w:val="105"/>
          <w:sz w:val="18"/>
          <w:szCs w:val="18"/>
        </w:rPr>
        <w:t xml:space="preserve"> </w:t>
      </w:r>
      <w:r w:rsidRPr="007F6D54">
        <w:rPr>
          <w:rFonts w:ascii="Tahoma" w:hAnsi="Tahoma" w:cs="Tahoma"/>
          <w:w w:val="105"/>
          <w:sz w:val="18"/>
          <w:szCs w:val="18"/>
        </w:rPr>
        <w:t>de</w:t>
      </w:r>
      <w:r w:rsidRPr="007F6D54">
        <w:rPr>
          <w:rFonts w:ascii="Tahoma" w:hAnsi="Tahoma" w:cs="Tahoma"/>
          <w:spacing w:val="-6"/>
          <w:w w:val="105"/>
          <w:sz w:val="18"/>
          <w:szCs w:val="18"/>
        </w:rPr>
        <w:t xml:space="preserve"> </w:t>
      </w:r>
      <w:r w:rsidRPr="007F6D54">
        <w:rPr>
          <w:rFonts w:ascii="Tahoma" w:hAnsi="Tahoma" w:cs="Tahoma"/>
          <w:w w:val="105"/>
          <w:sz w:val="18"/>
          <w:szCs w:val="18"/>
        </w:rPr>
        <w:t>acceso</w:t>
      </w:r>
      <w:r w:rsidRPr="007F6D54">
        <w:rPr>
          <w:rFonts w:ascii="Tahoma" w:hAnsi="Tahoma" w:cs="Tahoma"/>
          <w:spacing w:val="-6"/>
          <w:w w:val="105"/>
          <w:sz w:val="18"/>
          <w:szCs w:val="18"/>
        </w:rPr>
        <w:t xml:space="preserve"> </w:t>
      </w:r>
      <w:r w:rsidRPr="007F6D54">
        <w:rPr>
          <w:rFonts w:ascii="Tahoma" w:hAnsi="Tahoma" w:cs="Tahoma"/>
          <w:spacing w:val="-10"/>
          <w:w w:val="105"/>
          <w:sz w:val="18"/>
          <w:szCs w:val="18"/>
        </w:rPr>
        <w:t xml:space="preserve">a </w:t>
      </w:r>
      <w:r w:rsidRPr="007F6D54">
        <w:rPr>
          <w:rFonts w:ascii="Tahoma" w:hAnsi="Tahoma" w:cs="Tahoma"/>
          <w:spacing w:val="-2"/>
          <w:w w:val="105"/>
          <w:sz w:val="18"/>
          <w:szCs w:val="18"/>
        </w:rPr>
        <w:t>justicia</w:t>
      </w:r>
    </w:p>
    <w:p w14:paraId="501C9CA2" w14:textId="77777777" w:rsidR="003E5960" w:rsidRPr="007F6D54" w:rsidRDefault="003E5960" w:rsidP="00856D20">
      <w:pPr>
        <w:tabs>
          <w:tab w:val="left" w:pos="1701"/>
          <w:tab w:val="left" w:leader="dot" w:pos="8003"/>
        </w:tabs>
        <w:ind w:hanging="638"/>
        <w:rPr>
          <w:rFonts w:ascii="Tahoma" w:hAnsi="Tahoma" w:cs="Tahoma"/>
          <w:sz w:val="18"/>
          <w:szCs w:val="18"/>
        </w:rPr>
      </w:pPr>
      <w:r w:rsidRPr="007F6D54">
        <w:rPr>
          <w:rFonts w:ascii="Tahoma" w:hAnsi="Tahoma" w:cs="Tahoma"/>
          <w:w w:val="105"/>
          <w:sz w:val="18"/>
          <w:szCs w:val="18"/>
        </w:rPr>
        <w:t xml:space="preserve">                                B. Pruebas</w:t>
      </w:r>
      <w:r w:rsidRPr="007F6D54">
        <w:rPr>
          <w:rFonts w:ascii="Tahoma" w:hAnsi="Tahoma" w:cs="Tahoma"/>
          <w:spacing w:val="-4"/>
          <w:w w:val="105"/>
          <w:sz w:val="18"/>
          <w:szCs w:val="18"/>
        </w:rPr>
        <w:t xml:space="preserve"> </w:t>
      </w:r>
      <w:r w:rsidRPr="007F6D54">
        <w:rPr>
          <w:rFonts w:ascii="Tahoma" w:hAnsi="Tahoma" w:cs="Tahoma"/>
          <w:spacing w:val="-10"/>
          <w:w w:val="105"/>
          <w:sz w:val="18"/>
          <w:szCs w:val="18"/>
        </w:rPr>
        <w:t xml:space="preserve">y </w:t>
      </w:r>
      <w:r w:rsidRPr="007F6D54">
        <w:rPr>
          <w:rFonts w:ascii="Tahoma" w:hAnsi="Tahoma" w:cs="Tahoma"/>
          <w:spacing w:val="-2"/>
          <w:w w:val="105"/>
          <w:sz w:val="18"/>
          <w:szCs w:val="18"/>
        </w:rPr>
        <w:t>pruebas</w:t>
      </w:r>
    </w:p>
    <w:p w14:paraId="74B1E14B" w14:textId="77777777" w:rsidR="003E5960" w:rsidRPr="007F6D54" w:rsidRDefault="003E5960" w:rsidP="00856D20">
      <w:pPr>
        <w:pStyle w:val="Prrafodelista"/>
        <w:tabs>
          <w:tab w:val="left" w:pos="1914"/>
          <w:tab w:val="left" w:leader="dot" w:pos="8003"/>
        </w:tabs>
        <w:ind w:left="1914" w:hanging="638"/>
        <w:rPr>
          <w:rFonts w:ascii="Tahoma" w:hAnsi="Tahoma" w:cs="Tahoma"/>
          <w:w w:val="105"/>
          <w:sz w:val="18"/>
          <w:szCs w:val="18"/>
        </w:rPr>
      </w:pPr>
      <w:r w:rsidRPr="007F6D54">
        <w:rPr>
          <w:rFonts w:ascii="Tahoma" w:hAnsi="Tahoma" w:cs="Tahoma"/>
          <w:w w:val="105"/>
          <w:sz w:val="18"/>
          <w:szCs w:val="18"/>
        </w:rPr>
        <w:t>1. Carga de la prueba</w:t>
      </w:r>
    </w:p>
    <w:p w14:paraId="671CF068" w14:textId="77777777" w:rsidR="003E5960" w:rsidRPr="007F6D54" w:rsidRDefault="003E5960" w:rsidP="00856D20">
      <w:pPr>
        <w:pStyle w:val="Prrafodelista"/>
        <w:tabs>
          <w:tab w:val="left" w:pos="1914"/>
          <w:tab w:val="left" w:leader="dot" w:pos="8003"/>
        </w:tabs>
        <w:ind w:left="1914" w:hanging="638"/>
        <w:rPr>
          <w:rFonts w:ascii="Tahoma" w:hAnsi="Tahoma" w:cs="Tahoma"/>
          <w:w w:val="105"/>
          <w:sz w:val="18"/>
          <w:szCs w:val="18"/>
        </w:rPr>
      </w:pPr>
      <w:r w:rsidRPr="007F6D54">
        <w:rPr>
          <w:rFonts w:ascii="Tahoma" w:hAnsi="Tahoma" w:cs="Tahoma"/>
          <w:w w:val="105"/>
          <w:sz w:val="18"/>
          <w:szCs w:val="18"/>
        </w:rPr>
        <w:t>2. Excepciones a la regla</w:t>
      </w:r>
    </w:p>
    <w:p w14:paraId="5C3FB0DA" w14:textId="77777777" w:rsidR="003E5960" w:rsidRPr="007F6D54" w:rsidRDefault="003E5960" w:rsidP="00856D20">
      <w:pPr>
        <w:pStyle w:val="Prrafodelista"/>
        <w:tabs>
          <w:tab w:val="left" w:pos="1914"/>
          <w:tab w:val="left" w:leader="dot" w:pos="8003"/>
        </w:tabs>
        <w:ind w:left="1914" w:hanging="638"/>
        <w:rPr>
          <w:rFonts w:ascii="Tahoma" w:hAnsi="Tahoma" w:cs="Tahoma"/>
          <w:sz w:val="18"/>
          <w:szCs w:val="18"/>
        </w:rPr>
      </w:pPr>
      <w:r w:rsidRPr="007F6D54">
        <w:rPr>
          <w:rFonts w:ascii="Tahoma" w:hAnsi="Tahoma" w:cs="Tahoma"/>
          <w:w w:val="105"/>
          <w:sz w:val="18"/>
          <w:szCs w:val="18"/>
        </w:rPr>
        <w:t>3. Evidencia</w:t>
      </w:r>
    </w:p>
    <w:p w14:paraId="12708AB1" w14:textId="77777777" w:rsidR="003E5960" w:rsidRPr="007F6D54" w:rsidRDefault="003E5960" w:rsidP="00856D20">
      <w:pPr>
        <w:tabs>
          <w:tab w:val="left" w:pos="1914"/>
          <w:tab w:val="left" w:leader="dot" w:pos="8003"/>
        </w:tabs>
        <w:ind w:hanging="638"/>
        <w:rPr>
          <w:rFonts w:ascii="Tahoma" w:hAnsi="Tahoma" w:cs="Tahoma"/>
          <w:w w:val="105"/>
          <w:sz w:val="18"/>
          <w:szCs w:val="18"/>
        </w:rPr>
      </w:pPr>
      <w:r w:rsidRPr="007F6D54">
        <w:rPr>
          <w:rFonts w:ascii="Tahoma" w:hAnsi="Tahoma" w:cs="Tahoma"/>
          <w:w w:val="105"/>
          <w:sz w:val="18"/>
          <w:szCs w:val="18"/>
        </w:rPr>
        <w:t xml:space="preserve">                                C. Mecanismos</w:t>
      </w:r>
      <w:r w:rsidRPr="007F6D54">
        <w:rPr>
          <w:rFonts w:ascii="Tahoma" w:hAnsi="Tahoma" w:cs="Tahoma"/>
          <w:spacing w:val="-7"/>
          <w:w w:val="105"/>
          <w:sz w:val="18"/>
          <w:szCs w:val="18"/>
        </w:rPr>
        <w:t xml:space="preserve"> </w:t>
      </w:r>
      <w:r w:rsidRPr="007F6D54">
        <w:rPr>
          <w:rFonts w:ascii="Tahoma" w:hAnsi="Tahoma" w:cs="Tahoma"/>
          <w:w w:val="105"/>
          <w:sz w:val="18"/>
          <w:szCs w:val="18"/>
        </w:rPr>
        <w:t>de</w:t>
      </w:r>
      <w:r w:rsidRPr="007F6D54">
        <w:rPr>
          <w:rFonts w:ascii="Tahoma" w:hAnsi="Tahoma" w:cs="Tahoma"/>
          <w:spacing w:val="-8"/>
          <w:w w:val="105"/>
          <w:sz w:val="18"/>
          <w:szCs w:val="18"/>
        </w:rPr>
        <w:t xml:space="preserve"> </w:t>
      </w:r>
      <w:r w:rsidRPr="007F6D54">
        <w:rPr>
          <w:rFonts w:ascii="Tahoma" w:hAnsi="Tahoma" w:cs="Tahoma"/>
          <w:w w:val="105"/>
          <w:sz w:val="18"/>
          <w:szCs w:val="18"/>
        </w:rPr>
        <w:t>justicia</w:t>
      </w:r>
      <w:r w:rsidRPr="007F6D54">
        <w:rPr>
          <w:rFonts w:ascii="Tahoma" w:hAnsi="Tahoma" w:cs="Tahoma"/>
          <w:spacing w:val="-7"/>
          <w:w w:val="105"/>
          <w:sz w:val="18"/>
          <w:szCs w:val="18"/>
        </w:rPr>
        <w:t xml:space="preserve"> </w:t>
      </w:r>
      <w:r w:rsidRPr="007F6D54">
        <w:rPr>
          <w:rFonts w:ascii="Tahoma" w:hAnsi="Tahoma" w:cs="Tahoma"/>
          <w:spacing w:val="-2"/>
          <w:w w:val="105"/>
          <w:sz w:val="18"/>
          <w:szCs w:val="18"/>
        </w:rPr>
        <w:t>internacional</w:t>
      </w:r>
    </w:p>
    <w:p w14:paraId="02856692" w14:textId="77777777" w:rsidR="003E5960" w:rsidRPr="007F6D54" w:rsidRDefault="003E5960" w:rsidP="00856D20">
      <w:pPr>
        <w:pStyle w:val="Prrafodelista"/>
        <w:tabs>
          <w:tab w:val="left" w:leader="dot" w:pos="8362"/>
        </w:tabs>
        <w:ind w:left="1906" w:hanging="638"/>
        <w:rPr>
          <w:rFonts w:ascii="Tahoma" w:hAnsi="Tahoma" w:cs="Tahoma"/>
          <w:spacing w:val="-2"/>
          <w:w w:val="105"/>
          <w:sz w:val="18"/>
          <w:szCs w:val="18"/>
        </w:rPr>
      </w:pPr>
      <w:r w:rsidRPr="007F6D54">
        <w:rPr>
          <w:rFonts w:ascii="Tahoma" w:hAnsi="Tahoma" w:cs="Tahoma"/>
          <w:w w:val="105"/>
          <w:sz w:val="18"/>
          <w:szCs w:val="18"/>
        </w:rPr>
        <w:t>1.</w:t>
      </w:r>
      <w:r w:rsidRPr="007F6D54">
        <w:rPr>
          <w:rFonts w:ascii="Tahoma" w:hAnsi="Tahoma" w:cs="Tahoma"/>
          <w:spacing w:val="-4"/>
          <w:w w:val="105"/>
          <w:sz w:val="18"/>
          <w:szCs w:val="18"/>
        </w:rPr>
        <w:t xml:space="preserve"> </w:t>
      </w:r>
      <w:r w:rsidRPr="007F6D54">
        <w:rPr>
          <w:rFonts w:ascii="Tahoma" w:hAnsi="Tahoma" w:cs="Tahoma"/>
          <w:w w:val="105"/>
          <w:sz w:val="18"/>
          <w:szCs w:val="18"/>
        </w:rPr>
        <w:t>Quejas</w:t>
      </w:r>
      <w:r w:rsidRPr="007F6D54">
        <w:rPr>
          <w:rFonts w:ascii="Tahoma" w:hAnsi="Tahoma" w:cs="Tahoma"/>
          <w:spacing w:val="-4"/>
          <w:w w:val="105"/>
          <w:sz w:val="18"/>
          <w:szCs w:val="18"/>
        </w:rPr>
        <w:t xml:space="preserve"> </w:t>
      </w:r>
      <w:r w:rsidRPr="007F6D54">
        <w:rPr>
          <w:rFonts w:ascii="Tahoma" w:hAnsi="Tahoma" w:cs="Tahoma"/>
          <w:spacing w:val="-2"/>
          <w:w w:val="105"/>
          <w:sz w:val="18"/>
          <w:szCs w:val="18"/>
        </w:rPr>
        <w:t>individuales mecanismos</w:t>
      </w:r>
    </w:p>
    <w:p w14:paraId="52BCA057" w14:textId="77777777" w:rsidR="003E5960" w:rsidRPr="007F6D54" w:rsidRDefault="003E5960" w:rsidP="00856D20">
      <w:pPr>
        <w:pStyle w:val="Prrafodelista"/>
        <w:tabs>
          <w:tab w:val="left" w:leader="dot" w:pos="8362"/>
        </w:tabs>
        <w:ind w:left="1906" w:hanging="638"/>
        <w:rPr>
          <w:rFonts w:ascii="Tahoma" w:hAnsi="Tahoma" w:cs="Tahoma"/>
          <w:sz w:val="18"/>
          <w:szCs w:val="18"/>
        </w:rPr>
      </w:pPr>
      <w:r w:rsidRPr="007F6D54">
        <w:rPr>
          <w:rFonts w:ascii="Tahoma" w:hAnsi="Tahoma" w:cs="Tahoma"/>
          <w:spacing w:val="-2"/>
          <w:w w:val="105"/>
          <w:sz w:val="18"/>
          <w:szCs w:val="18"/>
        </w:rPr>
        <w:t xml:space="preserve">2. </w:t>
      </w:r>
      <w:r w:rsidRPr="007F6D54">
        <w:rPr>
          <w:rFonts w:ascii="Tahoma" w:hAnsi="Tahoma" w:cs="Tahoma"/>
          <w:w w:val="105"/>
          <w:sz w:val="18"/>
          <w:szCs w:val="18"/>
        </w:rPr>
        <w:t>Quejosos,</w:t>
      </w:r>
      <w:r w:rsidRPr="007F6D54">
        <w:rPr>
          <w:rFonts w:ascii="Tahoma" w:hAnsi="Tahoma" w:cs="Tahoma"/>
          <w:spacing w:val="-8"/>
          <w:w w:val="105"/>
          <w:sz w:val="18"/>
          <w:szCs w:val="18"/>
        </w:rPr>
        <w:t xml:space="preserve"> </w:t>
      </w:r>
      <w:r w:rsidRPr="007F6D54">
        <w:rPr>
          <w:rFonts w:ascii="Tahoma" w:hAnsi="Tahoma" w:cs="Tahoma"/>
          <w:w w:val="105"/>
          <w:sz w:val="18"/>
          <w:szCs w:val="18"/>
        </w:rPr>
        <w:t>demandados</w:t>
      </w:r>
      <w:r w:rsidRPr="007F6D54">
        <w:rPr>
          <w:rFonts w:ascii="Tahoma" w:hAnsi="Tahoma" w:cs="Tahoma"/>
          <w:spacing w:val="-8"/>
          <w:w w:val="105"/>
          <w:sz w:val="18"/>
          <w:szCs w:val="18"/>
        </w:rPr>
        <w:t xml:space="preserve"> </w:t>
      </w:r>
      <w:r w:rsidRPr="007F6D54">
        <w:rPr>
          <w:rFonts w:ascii="Tahoma" w:hAnsi="Tahoma" w:cs="Tahoma"/>
          <w:spacing w:val="-10"/>
          <w:w w:val="105"/>
          <w:sz w:val="18"/>
          <w:szCs w:val="18"/>
        </w:rPr>
        <w:t>y</w:t>
      </w:r>
      <w:r w:rsidRPr="007F6D54">
        <w:rPr>
          <w:rFonts w:ascii="Tahoma" w:hAnsi="Tahoma" w:cs="Tahoma"/>
          <w:sz w:val="18"/>
          <w:szCs w:val="18"/>
        </w:rPr>
        <w:t xml:space="preserve"> </w:t>
      </w:r>
      <w:r w:rsidRPr="007F6D54">
        <w:rPr>
          <w:rFonts w:ascii="Tahoma" w:hAnsi="Tahoma" w:cs="Tahoma"/>
          <w:spacing w:val="-2"/>
          <w:sz w:val="18"/>
          <w:szCs w:val="18"/>
        </w:rPr>
        <w:t>procedimiento</w:t>
      </w:r>
    </w:p>
    <w:p w14:paraId="29601761" w14:textId="77777777" w:rsidR="003E5960" w:rsidRPr="007F6D54" w:rsidRDefault="003E5960" w:rsidP="00856D20">
      <w:pPr>
        <w:tabs>
          <w:tab w:val="left" w:leader="dot" w:pos="6549"/>
        </w:tabs>
        <w:ind w:hanging="638"/>
        <w:rPr>
          <w:rFonts w:ascii="Tahoma" w:hAnsi="Tahoma" w:cs="Tahoma"/>
          <w:sz w:val="18"/>
          <w:szCs w:val="18"/>
        </w:rPr>
      </w:pPr>
    </w:p>
    <w:p w14:paraId="666DB2B0" w14:textId="1B622A23" w:rsidR="003E5960" w:rsidRPr="007F6D54" w:rsidRDefault="003E5960" w:rsidP="003E5960">
      <w:pPr>
        <w:pStyle w:val="Prrafodelista"/>
        <w:numPr>
          <w:ilvl w:val="0"/>
          <w:numId w:val="103"/>
        </w:numPr>
        <w:tabs>
          <w:tab w:val="left" w:pos="1345"/>
          <w:tab w:val="right" w:leader="dot" w:pos="8840"/>
        </w:tabs>
        <w:ind w:left="1345" w:hanging="231"/>
        <w:rPr>
          <w:rFonts w:ascii="Tahoma" w:hAnsi="Tahoma" w:cs="Tahoma"/>
          <w:sz w:val="18"/>
          <w:szCs w:val="18"/>
        </w:rPr>
      </w:pPr>
      <w:hyperlink w:anchor="igualdad" w:history="1">
        <w:r w:rsidRPr="00497139">
          <w:rPr>
            <w:rStyle w:val="Hipervnculo"/>
            <w:rFonts w:ascii="Tahoma" w:hAnsi="Tahoma" w:cs="Tahoma"/>
            <w:sz w:val="18"/>
            <w:szCs w:val="18"/>
          </w:rPr>
          <w:t>ORGANISMOS</w:t>
        </w:r>
        <w:r w:rsidRPr="00497139">
          <w:rPr>
            <w:rStyle w:val="Hipervnculo"/>
            <w:rFonts w:ascii="Tahoma" w:hAnsi="Tahoma" w:cs="Tahoma"/>
            <w:spacing w:val="20"/>
            <w:sz w:val="18"/>
            <w:szCs w:val="18"/>
          </w:rPr>
          <w:t xml:space="preserve"> </w:t>
        </w:r>
        <w:r w:rsidRPr="00497139">
          <w:rPr>
            <w:rStyle w:val="Hipervnculo"/>
            <w:rFonts w:ascii="Tahoma" w:hAnsi="Tahoma" w:cs="Tahoma"/>
            <w:sz w:val="18"/>
            <w:szCs w:val="18"/>
          </w:rPr>
          <w:t>DE</w:t>
        </w:r>
        <w:r w:rsidRPr="00497139">
          <w:rPr>
            <w:rStyle w:val="Hipervnculo"/>
            <w:rFonts w:ascii="Tahoma" w:hAnsi="Tahoma" w:cs="Tahoma"/>
            <w:spacing w:val="21"/>
            <w:sz w:val="18"/>
            <w:szCs w:val="18"/>
          </w:rPr>
          <w:t xml:space="preserve"> </w:t>
        </w:r>
        <w:r w:rsidRPr="00497139">
          <w:rPr>
            <w:rStyle w:val="Hipervnculo"/>
            <w:rFonts w:ascii="Tahoma" w:hAnsi="Tahoma" w:cs="Tahoma"/>
            <w:spacing w:val="-2"/>
            <w:sz w:val="18"/>
            <w:szCs w:val="18"/>
          </w:rPr>
          <w:t>IGUALDAD</w:t>
        </w:r>
      </w:hyperlink>
    </w:p>
    <w:p w14:paraId="196CEA99" w14:textId="77777777" w:rsidR="003E5960" w:rsidRPr="007F6D54" w:rsidRDefault="003E5960" w:rsidP="00856D20">
      <w:pPr>
        <w:pStyle w:val="Prrafodelista"/>
        <w:numPr>
          <w:ilvl w:val="1"/>
          <w:numId w:val="103"/>
        </w:numPr>
        <w:tabs>
          <w:tab w:val="left" w:pos="1914"/>
          <w:tab w:val="left" w:leader="dot" w:pos="8506"/>
        </w:tabs>
        <w:ind w:left="1914" w:hanging="638"/>
        <w:rPr>
          <w:rFonts w:ascii="Tahoma" w:hAnsi="Tahoma" w:cs="Tahoma"/>
          <w:sz w:val="18"/>
          <w:szCs w:val="18"/>
        </w:rPr>
      </w:pPr>
      <w:r w:rsidRPr="007F6D54">
        <w:rPr>
          <w:rFonts w:ascii="Tahoma" w:hAnsi="Tahoma" w:cs="Tahoma"/>
          <w:w w:val="105"/>
          <w:sz w:val="18"/>
          <w:szCs w:val="18"/>
        </w:rPr>
        <w:t>Organismos</w:t>
      </w:r>
      <w:r w:rsidRPr="007F6D54">
        <w:rPr>
          <w:rFonts w:ascii="Tahoma" w:hAnsi="Tahoma" w:cs="Tahoma"/>
          <w:spacing w:val="-9"/>
          <w:w w:val="105"/>
          <w:sz w:val="18"/>
          <w:szCs w:val="18"/>
        </w:rPr>
        <w:t xml:space="preserve"> </w:t>
      </w:r>
      <w:r w:rsidRPr="007F6D54">
        <w:rPr>
          <w:rFonts w:ascii="Tahoma" w:hAnsi="Tahoma" w:cs="Tahoma"/>
          <w:w w:val="105"/>
          <w:sz w:val="18"/>
          <w:szCs w:val="18"/>
        </w:rPr>
        <w:t>de</w:t>
      </w:r>
      <w:r w:rsidRPr="007F6D54">
        <w:rPr>
          <w:rFonts w:ascii="Tahoma" w:hAnsi="Tahoma" w:cs="Tahoma"/>
          <w:spacing w:val="-8"/>
          <w:w w:val="105"/>
          <w:sz w:val="18"/>
          <w:szCs w:val="18"/>
        </w:rPr>
        <w:t xml:space="preserve"> </w:t>
      </w:r>
      <w:r w:rsidRPr="007F6D54">
        <w:rPr>
          <w:rFonts w:ascii="Tahoma" w:hAnsi="Tahoma" w:cs="Tahoma"/>
          <w:w w:val="105"/>
          <w:sz w:val="18"/>
          <w:szCs w:val="18"/>
        </w:rPr>
        <w:t>igualdad</w:t>
      </w:r>
      <w:r w:rsidRPr="007F6D54">
        <w:rPr>
          <w:rFonts w:ascii="Tahoma" w:hAnsi="Tahoma" w:cs="Tahoma"/>
          <w:spacing w:val="-8"/>
          <w:w w:val="105"/>
          <w:sz w:val="18"/>
          <w:szCs w:val="18"/>
        </w:rPr>
        <w:t xml:space="preserve"> </w:t>
      </w:r>
      <w:r w:rsidRPr="007F6D54">
        <w:rPr>
          <w:rFonts w:ascii="Tahoma" w:hAnsi="Tahoma" w:cs="Tahoma"/>
          <w:w w:val="105"/>
          <w:sz w:val="18"/>
          <w:szCs w:val="18"/>
        </w:rPr>
        <w:t>y</w:t>
      </w:r>
      <w:r w:rsidRPr="007F6D54">
        <w:rPr>
          <w:rFonts w:ascii="Tahoma" w:hAnsi="Tahoma" w:cs="Tahoma"/>
          <w:spacing w:val="-8"/>
          <w:w w:val="105"/>
          <w:sz w:val="18"/>
          <w:szCs w:val="18"/>
        </w:rPr>
        <w:t xml:space="preserve"> </w:t>
      </w:r>
      <w:r w:rsidRPr="007F6D54">
        <w:rPr>
          <w:rFonts w:ascii="Tahoma" w:hAnsi="Tahoma" w:cs="Tahoma"/>
          <w:w w:val="105"/>
          <w:sz w:val="18"/>
          <w:szCs w:val="18"/>
        </w:rPr>
        <w:t>derecho</w:t>
      </w:r>
      <w:r w:rsidRPr="007F6D54">
        <w:rPr>
          <w:rFonts w:ascii="Tahoma" w:hAnsi="Tahoma" w:cs="Tahoma"/>
          <w:spacing w:val="-9"/>
          <w:w w:val="105"/>
          <w:sz w:val="18"/>
          <w:szCs w:val="18"/>
        </w:rPr>
        <w:t xml:space="preserve"> </w:t>
      </w:r>
      <w:r w:rsidRPr="007F6D54">
        <w:rPr>
          <w:rFonts w:ascii="Tahoma" w:hAnsi="Tahoma" w:cs="Tahoma"/>
          <w:spacing w:val="-2"/>
          <w:w w:val="105"/>
          <w:sz w:val="18"/>
          <w:szCs w:val="18"/>
        </w:rPr>
        <w:t>internacional</w:t>
      </w:r>
    </w:p>
    <w:p w14:paraId="0270AF33" w14:textId="77777777" w:rsidR="003E5960" w:rsidRPr="007F6D54" w:rsidRDefault="003E5960" w:rsidP="00856D20">
      <w:pPr>
        <w:pStyle w:val="Prrafodelista"/>
        <w:numPr>
          <w:ilvl w:val="1"/>
          <w:numId w:val="103"/>
        </w:numPr>
        <w:tabs>
          <w:tab w:val="left" w:pos="1914"/>
          <w:tab w:val="left" w:leader="dot" w:pos="8506"/>
        </w:tabs>
        <w:ind w:left="1914" w:hanging="638"/>
        <w:rPr>
          <w:rFonts w:ascii="Tahoma" w:hAnsi="Tahoma" w:cs="Tahoma"/>
          <w:sz w:val="18"/>
          <w:szCs w:val="18"/>
        </w:rPr>
      </w:pPr>
      <w:r w:rsidRPr="007F6D54">
        <w:rPr>
          <w:rFonts w:ascii="Tahoma" w:hAnsi="Tahoma" w:cs="Tahoma"/>
          <w:spacing w:val="-9"/>
          <w:w w:val="105"/>
          <w:sz w:val="18"/>
          <w:szCs w:val="18"/>
        </w:rPr>
        <w:t xml:space="preserve"> </w:t>
      </w:r>
      <w:r w:rsidRPr="007F6D54">
        <w:rPr>
          <w:rFonts w:ascii="Tahoma" w:hAnsi="Tahoma" w:cs="Tahoma"/>
          <w:spacing w:val="-2"/>
          <w:w w:val="105"/>
          <w:sz w:val="18"/>
          <w:szCs w:val="18"/>
        </w:rPr>
        <w:t xml:space="preserve">Requisitos </w:t>
      </w:r>
      <w:r w:rsidRPr="007F6D54">
        <w:rPr>
          <w:rFonts w:ascii="Tahoma" w:hAnsi="Tahoma" w:cs="Tahoma"/>
          <w:w w:val="105"/>
          <w:sz w:val="18"/>
          <w:szCs w:val="18"/>
        </w:rPr>
        <w:t>institucionales</w:t>
      </w:r>
      <w:r w:rsidRPr="007F6D54">
        <w:rPr>
          <w:rFonts w:ascii="Tahoma" w:hAnsi="Tahoma" w:cs="Tahoma"/>
          <w:spacing w:val="-6"/>
          <w:w w:val="105"/>
          <w:sz w:val="18"/>
          <w:szCs w:val="18"/>
        </w:rPr>
        <w:t xml:space="preserve"> </w:t>
      </w:r>
      <w:r w:rsidRPr="007F6D54">
        <w:rPr>
          <w:rFonts w:ascii="Tahoma" w:hAnsi="Tahoma" w:cs="Tahoma"/>
          <w:w w:val="105"/>
          <w:sz w:val="18"/>
          <w:szCs w:val="18"/>
        </w:rPr>
        <w:t>de</w:t>
      </w:r>
      <w:r w:rsidRPr="007F6D54">
        <w:rPr>
          <w:rFonts w:ascii="Tahoma" w:hAnsi="Tahoma" w:cs="Tahoma"/>
          <w:spacing w:val="-5"/>
          <w:w w:val="105"/>
          <w:sz w:val="18"/>
          <w:szCs w:val="18"/>
        </w:rPr>
        <w:t xml:space="preserve"> </w:t>
      </w:r>
      <w:r w:rsidRPr="007F6D54">
        <w:rPr>
          <w:rFonts w:ascii="Tahoma" w:hAnsi="Tahoma" w:cs="Tahoma"/>
          <w:w w:val="105"/>
          <w:sz w:val="18"/>
          <w:szCs w:val="18"/>
        </w:rPr>
        <w:t>los</w:t>
      </w:r>
      <w:r w:rsidRPr="007F6D54">
        <w:rPr>
          <w:rFonts w:ascii="Tahoma" w:hAnsi="Tahoma" w:cs="Tahoma"/>
          <w:spacing w:val="-6"/>
          <w:w w:val="105"/>
          <w:sz w:val="18"/>
          <w:szCs w:val="18"/>
        </w:rPr>
        <w:t xml:space="preserve"> </w:t>
      </w:r>
      <w:r w:rsidRPr="007F6D54">
        <w:rPr>
          <w:rFonts w:ascii="Tahoma" w:hAnsi="Tahoma" w:cs="Tahoma"/>
          <w:w w:val="105"/>
          <w:sz w:val="18"/>
          <w:szCs w:val="18"/>
        </w:rPr>
        <w:t>órganos</w:t>
      </w:r>
      <w:r w:rsidRPr="007F6D54">
        <w:rPr>
          <w:rFonts w:ascii="Tahoma" w:hAnsi="Tahoma" w:cs="Tahoma"/>
          <w:spacing w:val="-6"/>
          <w:w w:val="105"/>
          <w:sz w:val="18"/>
          <w:szCs w:val="18"/>
        </w:rPr>
        <w:t xml:space="preserve"> </w:t>
      </w:r>
      <w:r w:rsidRPr="007F6D54">
        <w:rPr>
          <w:rFonts w:ascii="Tahoma" w:hAnsi="Tahoma" w:cs="Tahoma"/>
          <w:w w:val="105"/>
          <w:sz w:val="18"/>
          <w:szCs w:val="18"/>
        </w:rPr>
        <w:t>de</w:t>
      </w:r>
      <w:r w:rsidRPr="007F6D54">
        <w:rPr>
          <w:rFonts w:ascii="Tahoma" w:hAnsi="Tahoma" w:cs="Tahoma"/>
          <w:spacing w:val="-5"/>
          <w:w w:val="105"/>
          <w:sz w:val="18"/>
          <w:szCs w:val="18"/>
        </w:rPr>
        <w:t xml:space="preserve"> </w:t>
      </w:r>
      <w:r w:rsidRPr="007F6D54">
        <w:rPr>
          <w:rFonts w:ascii="Tahoma" w:hAnsi="Tahoma" w:cs="Tahoma"/>
          <w:spacing w:val="-2"/>
          <w:w w:val="105"/>
          <w:sz w:val="18"/>
          <w:szCs w:val="18"/>
        </w:rPr>
        <w:t>igualdad</w:t>
      </w:r>
    </w:p>
    <w:p w14:paraId="37FDF32C" w14:textId="77777777" w:rsidR="003E5960" w:rsidRPr="007F6D54" w:rsidRDefault="003E5960" w:rsidP="00856D20">
      <w:pPr>
        <w:pStyle w:val="Prrafodelista"/>
        <w:tabs>
          <w:tab w:val="left" w:pos="1914"/>
          <w:tab w:val="left" w:leader="dot" w:pos="8506"/>
        </w:tabs>
        <w:ind w:left="1914" w:hanging="638"/>
        <w:rPr>
          <w:rFonts w:ascii="Tahoma" w:hAnsi="Tahoma" w:cs="Tahoma"/>
          <w:sz w:val="18"/>
          <w:szCs w:val="18"/>
        </w:rPr>
      </w:pPr>
      <w:r w:rsidRPr="007F6D54">
        <w:rPr>
          <w:rFonts w:ascii="Tahoma" w:hAnsi="Tahoma" w:cs="Tahoma"/>
          <w:spacing w:val="-5"/>
          <w:w w:val="105"/>
          <w:sz w:val="18"/>
          <w:szCs w:val="18"/>
        </w:rPr>
        <w:t xml:space="preserve">1. </w:t>
      </w:r>
      <w:r w:rsidRPr="007F6D54">
        <w:rPr>
          <w:rFonts w:ascii="Tahoma" w:hAnsi="Tahoma" w:cs="Tahoma"/>
          <w:spacing w:val="-2"/>
          <w:w w:val="105"/>
          <w:sz w:val="18"/>
          <w:szCs w:val="18"/>
        </w:rPr>
        <w:t>Independencia</w:t>
      </w:r>
    </w:p>
    <w:p w14:paraId="2466A8F1" w14:textId="77777777" w:rsidR="003E5960" w:rsidRPr="007F6D54" w:rsidRDefault="003E5960" w:rsidP="00856D20">
      <w:pPr>
        <w:pStyle w:val="Prrafodelista"/>
        <w:tabs>
          <w:tab w:val="left" w:pos="1914"/>
          <w:tab w:val="left" w:leader="dot" w:pos="8506"/>
        </w:tabs>
        <w:ind w:left="1914" w:hanging="638"/>
        <w:rPr>
          <w:rFonts w:ascii="Tahoma" w:hAnsi="Tahoma" w:cs="Tahoma"/>
          <w:sz w:val="18"/>
          <w:szCs w:val="18"/>
        </w:rPr>
      </w:pPr>
      <w:r w:rsidRPr="007F6D54">
        <w:rPr>
          <w:rFonts w:ascii="Tahoma" w:hAnsi="Tahoma" w:cs="Tahoma"/>
          <w:w w:val="105"/>
          <w:sz w:val="18"/>
          <w:szCs w:val="18"/>
        </w:rPr>
        <w:t>2.</w:t>
      </w:r>
      <w:r w:rsidRPr="007F6D54">
        <w:rPr>
          <w:rFonts w:ascii="Tahoma" w:hAnsi="Tahoma" w:cs="Tahoma"/>
          <w:spacing w:val="-4"/>
          <w:w w:val="105"/>
          <w:sz w:val="18"/>
          <w:szCs w:val="18"/>
        </w:rPr>
        <w:t xml:space="preserve"> </w:t>
      </w:r>
      <w:r w:rsidRPr="007F6D54">
        <w:rPr>
          <w:rFonts w:ascii="Tahoma" w:hAnsi="Tahoma" w:cs="Tahoma"/>
          <w:spacing w:val="-2"/>
          <w:w w:val="105"/>
          <w:sz w:val="18"/>
          <w:szCs w:val="18"/>
        </w:rPr>
        <w:t>Recursos adecuados</w:t>
      </w:r>
    </w:p>
    <w:p w14:paraId="116BFABF" w14:textId="77777777" w:rsidR="003E5960" w:rsidRPr="007F6D54" w:rsidRDefault="003E5960" w:rsidP="00856D20">
      <w:pPr>
        <w:pStyle w:val="Prrafodelista"/>
        <w:tabs>
          <w:tab w:val="left" w:pos="1914"/>
          <w:tab w:val="left" w:leader="dot" w:pos="8506"/>
        </w:tabs>
        <w:ind w:left="1914" w:hanging="638"/>
        <w:rPr>
          <w:rFonts w:ascii="Tahoma" w:hAnsi="Tahoma" w:cs="Tahoma"/>
          <w:spacing w:val="-2"/>
          <w:w w:val="105"/>
          <w:sz w:val="18"/>
          <w:szCs w:val="18"/>
        </w:rPr>
      </w:pPr>
      <w:r w:rsidRPr="007F6D54">
        <w:rPr>
          <w:rFonts w:ascii="Tahoma" w:hAnsi="Tahoma" w:cs="Tahoma"/>
          <w:w w:val="105"/>
          <w:sz w:val="18"/>
          <w:szCs w:val="18"/>
        </w:rPr>
        <w:t>3.</w:t>
      </w:r>
      <w:r w:rsidRPr="007F6D54">
        <w:rPr>
          <w:rFonts w:ascii="Tahoma" w:hAnsi="Tahoma" w:cs="Tahoma"/>
          <w:spacing w:val="-11"/>
          <w:w w:val="105"/>
          <w:sz w:val="18"/>
          <w:szCs w:val="18"/>
        </w:rPr>
        <w:t xml:space="preserve"> </w:t>
      </w:r>
      <w:r w:rsidRPr="007F6D54">
        <w:rPr>
          <w:rFonts w:ascii="Tahoma" w:hAnsi="Tahoma" w:cs="Tahoma"/>
          <w:w w:val="105"/>
          <w:sz w:val="18"/>
          <w:szCs w:val="18"/>
        </w:rPr>
        <w:t>Inclusión,</w:t>
      </w:r>
      <w:r w:rsidRPr="007F6D54">
        <w:rPr>
          <w:rFonts w:ascii="Tahoma" w:hAnsi="Tahoma" w:cs="Tahoma"/>
          <w:spacing w:val="-10"/>
          <w:w w:val="105"/>
          <w:sz w:val="18"/>
          <w:szCs w:val="18"/>
        </w:rPr>
        <w:t xml:space="preserve"> </w:t>
      </w:r>
      <w:r w:rsidRPr="007F6D54">
        <w:rPr>
          <w:rFonts w:ascii="Tahoma" w:hAnsi="Tahoma" w:cs="Tahoma"/>
          <w:w w:val="105"/>
          <w:sz w:val="18"/>
          <w:szCs w:val="18"/>
        </w:rPr>
        <w:t>participación</w:t>
      </w:r>
      <w:r w:rsidRPr="007F6D54">
        <w:rPr>
          <w:rFonts w:ascii="Tahoma" w:hAnsi="Tahoma" w:cs="Tahoma"/>
          <w:spacing w:val="-10"/>
          <w:w w:val="105"/>
          <w:sz w:val="18"/>
          <w:szCs w:val="18"/>
        </w:rPr>
        <w:t xml:space="preserve"> </w:t>
      </w:r>
      <w:r w:rsidRPr="007F6D54">
        <w:rPr>
          <w:rFonts w:ascii="Tahoma" w:hAnsi="Tahoma" w:cs="Tahoma"/>
          <w:w w:val="105"/>
          <w:sz w:val="18"/>
          <w:szCs w:val="18"/>
        </w:rPr>
        <w:t>y</w:t>
      </w:r>
      <w:r w:rsidRPr="007F6D54">
        <w:rPr>
          <w:rFonts w:ascii="Tahoma" w:hAnsi="Tahoma" w:cs="Tahoma"/>
          <w:spacing w:val="-10"/>
          <w:w w:val="105"/>
          <w:sz w:val="18"/>
          <w:szCs w:val="18"/>
        </w:rPr>
        <w:t xml:space="preserve"> </w:t>
      </w:r>
      <w:r w:rsidRPr="007F6D54">
        <w:rPr>
          <w:rFonts w:ascii="Tahoma" w:hAnsi="Tahoma" w:cs="Tahoma"/>
          <w:spacing w:val="-2"/>
          <w:w w:val="105"/>
          <w:sz w:val="18"/>
          <w:szCs w:val="18"/>
        </w:rPr>
        <w:t xml:space="preserve">garantía </w:t>
      </w:r>
      <w:r w:rsidRPr="007F6D54">
        <w:rPr>
          <w:rFonts w:ascii="Tahoma" w:hAnsi="Tahoma" w:cs="Tahoma"/>
          <w:w w:val="105"/>
          <w:sz w:val="18"/>
          <w:szCs w:val="18"/>
        </w:rPr>
        <w:t>de</w:t>
      </w:r>
      <w:r w:rsidRPr="007F6D54">
        <w:rPr>
          <w:rFonts w:ascii="Tahoma" w:hAnsi="Tahoma" w:cs="Tahoma"/>
          <w:spacing w:val="-6"/>
          <w:w w:val="105"/>
          <w:sz w:val="18"/>
          <w:szCs w:val="18"/>
        </w:rPr>
        <w:t xml:space="preserve"> </w:t>
      </w:r>
      <w:r w:rsidRPr="007F6D54">
        <w:rPr>
          <w:rFonts w:ascii="Tahoma" w:hAnsi="Tahoma" w:cs="Tahoma"/>
          <w:w w:val="105"/>
          <w:sz w:val="18"/>
          <w:szCs w:val="18"/>
        </w:rPr>
        <w:t>la</w:t>
      </w:r>
      <w:r w:rsidRPr="007F6D54">
        <w:rPr>
          <w:rFonts w:ascii="Tahoma" w:hAnsi="Tahoma" w:cs="Tahoma"/>
          <w:spacing w:val="-3"/>
          <w:w w:val="105"/>
          <w:sz w:val="18"/>
          <w:szCs w:val="18"/>
        </w:rPr>
        <w:t xml:space="preserve"> </w:t>
      </w:r>
      <w:r w:rsidRPr="007F6D54">
        <w:rPr>
          <w:rFonts w:ascii="Tahoma" w:hAnsi="Tahoma" w:cs="Tahoma"/>
          <w:spacing w:val="-2"/>
          <w:w w:val="105"/>
          <w:sz w:val="18"/>
          <w:szCs w:val="18"/>
        </w:rPr>
        <w:t>diversidad</w:t>
      </w:r>
    </w:p>
    <w:p w14:paraId="767F3904" w14:textId="77777777" w:rsidR="003E5960" w:rsidRPr="007F6D54" w:rsidRDefault="003E5960" w:rsidP="00856D20">
      <w:pPr>
        <w:pStyle w:val="Prrafodelista"/>
        <w:tabs>
          <w:tab w:val="left" w:pos="1914"/>
          <w:tab w:val="left" w:leader="dot" w:pos="8506"/>
        </w:tabs>
        <w:ind w:left="1914" w:hanging="638"/>
        <w:rPr>
          <w:rFonts w:ascii="Tahoma" w:hAnsi="Tahoma" w:cs="Tahoma"/>
          <w:sz w:val="18"/>
          <w:szCs w:val="18"/>
        </w:rPr>
      </w:pPr>
      <w:r w:rsidRPr="007F6D54">
        <w:rPr>
          <w:rFonts w:ascii="Tahoma" w:hAnsi="Tahoma" w:cs="Tahoma"/>
          <w:spacing w:val="-2"/>
          <w:w w:val="105"/>
          <w:sz w:val="18"/>
          <w:szCs w:val="18"/>
        </w:rPr>
        <w:t xml:space="preserve">4. </w:t>
      </w:r>
      <w:r w:rsidRPr="007F6D54">
        <w:rPr>
          <w:rFonts w:ascii="Tahoma" w:hAnsi="Tahoma" w:cs="Tahoma"/>
          <w:w w:val="105"/>
          <w:sz w:val="18"/>
          <w:szCs w:val="18"/>
        </w:rPr>
        <w:t>Acceso</w:t>
      </w:r>
      <w:r w:rsidRPr="007F6D54">
        <w:rPr>
          <w:rFonts w:ascii="Tahoma" w:hAnsi="Tahoma" w:cs="Tahoma"/>
          <w:spacing w:val="-5"/>
          <w:w w:val="105"/>
          <w:sz w:val="18"/>
          <w:szCs w:val="18"/>
        </w:rPr>
        <w:t xml:space="preserve"> </w:t>
      </w:r>
      <w:r w:rsidRPr="007F6D54">
        <w:rPr>
          <w:rFonts w:ascii="Tahoma" w:hAnsi="Tahoma" w:cs="Tahoma"/>
          <w:w w:val="105"/>
          <w:sz w:val="18"/>
          <w:szCs w:val="18"/>
        </w:rPr>
        <w:t>a</w:t>
      </w:r>
      <w:r w:rsidRPr="007F6D54">
        <w:rPr>
          <w:rFonts w:ascii="Tahoma" w:hAnsi="Tahoma" w:cs="Tahoma"/>
          <w:spacing w:val="-6"/>
          <w:w w:val="105"/>
          <w:sz w:val="18"/>
          <w:szCs w:val="18"/>
        </w:rPr>
        <w:t xml:space="preserve"> </w:t>
      </w:r>
      <w:r w:rsidRPr="007F6D54">
        <w:rPr>
          <w:rFonts w:ascii="Tahoma" w:hAnsi="Tahoma" w:cs="Tahoma"/>
          <w:w w:val="105"/>
          <w:sz w:val="18"/>
          <w:szCs w:val="18"/>
        </w:rPr>
        <w:t>los</w:t>
      </w:r>
      <w:r w:rsidRPr="007F6D54">
        <w:rPr>
          <w:rFonts w:ascii="Tahoma" w:hAnsi="Tahoma" w:cs="Tahoma"/>
          <w:spacing w:val="-6"/>
          <w:w w:val="105"/>
          <w:sz w:val="18"/>
          <w:szCs w:val="18"/>
        </w:rPr>
        <w:t xml:space="preserve"> </w:t>
      </w:r>
      <w:r w:rsidRPr="007F6D54">
        <w:rPr>
          <w:rFonts w:ascii="Tahoma" w:hAnsi="Tahoma" w:cs="Tahoma"/>
          <w:w w:val="105"/>
          <w:sz w:val="18"/>
          <w:szCs w:val="18"/>
        </w:rPr>
        <w:t>organismos</w:t>
      </w:r>
      <w:r w:rsidRPr="007F6D54">
        <w:rPr>
          <w:rFonts w:ascii="Tahoma" w:hAnsi="Tahoma" w:cs="Tahoma"/>
          <w:spacing w:val="-5"/>
          <w:w w:val="105"/>
          <w:sz w:val="18"/>
          <w:szCs w:val="18"/>
        </w:rPr>
        <w:t xml:space="preserve"> de</w:t>
      </w:r>
      <w:r w:rsidRPr="007F6D54">
        <w:rPr>
          <w:rFonts w:ascii="Tahoma" w:hAnsi="Tahoma" w:cs="Tahoma"/>
          <w:sz w:val="18"/>
          <w:szCs w:val="18"/>
        </w:rPr>
        <w:t xml:space="preserve"> </w:t>
      </w:r>
      <w:r w:rsidRPr="007F6D54">
        <w:rPr>
          <w:rFonts w:ascii="Tahoma" w:hAnsi="Tahoma" w:cs="Tahoma"/>
          <w:spacing w:val="-2"/>
          <w:w w:val="105"/>
          <w:sz w:val="18"/>
          <w:szCs w:val="18"/>
        </w:rPr>
        <w:t>igualdad</w:t>
      </w:r>
    </w:p>
    <w:p w14:paraId="09BB412C" w14:textId="0662EC88" w:rsidR="003E5960" w:rsidRPr="007F6D54" w:rsidRDefault="003E5960" w:rsidP="001C46E1">
      <w:pPr>
        <w:tabs>
          <w:tab w:val="left" w:leader="dot" w:pos="6983"/>
        </w:tabs>
        <w:ind w:left="426" w:hanging="426"/>
        <w:rPr>
          <w:rFonts w:ascii="Tahoma" w:hAnsi="Tahoma" w:cs="Tahoma"/>
          <w:w w:val="105"/>
          <w:sz w:val="18"/>
          <w:szCs w:val="18"/>
        </w:rPr>
      </w:pPr>
      <w:r w:rsidRPr="007F6D54">
        <w:rPr>
          <w:rFonts w:ascii="Tahoma" w:hAnsi="Tahoma" w:cs="Tahoma"/>
          <w:w w:val="105"/>
          <w:sz w:val="18"/>
          <w:szCs w:val="18"/>
        </w:rPr>
        <w:t xml:space="preserve">                     C.</w:t>
      </w:r>
      <w:r w:rsidRPr="007F6D54">
        <w:rPr>
          <w:rFonts w:ascii="Tahoma" w:hAnsi="Tahoma" w:cs="Tahoma"/>
          <w:spacing w:val="-7"/>
          <w:w w:val="105"/>
          <w:sz w:val="18"/>
          <w:szCs w:val="18"/>
        </w:rPr>
        <w:t xml:space="preserve"> </w:t>
      </w:r>
      <w:r w:rsidRPr="007F6D54">
        <w:rPr>
          <w:rFonts w:ascii="Tahoma" w:hAnsi="Tahoma" w:cs="Tahoma"/>
          <w:w w:val="105"/>
          <w:sz w:val="18"/>
          <w:szCs w:val="18"/>
        </w:rPr>
        <w:t>Mandatos,</w:t>
      </w:r>
      <w:r w:rsidRPr="007F6D54">
        <w:rPr>
          <w:rFonts w:ascii="Tahoma" w:hAnsi="Tahoma" w:cs="Tahoma"/>
          <w:spacing w:val="-6"/>
          <w:w w:val="105"/>
          <w:sz w:val="18"/>
          <w:szCs w:val="18"/>
        </w:rPr>
        <w:t xml:space="preserve"> </w:t>
      </w:r>
      <w:r w:rsidRPr="007F6D54">
        <w:rPr>
          <w:rFonts w:ascii="Tahoma" w:hAnsi="Tahoma" w:cs="Tahoma"/>
          <w:w w:val="105"/>
          <w:sz w:val="18"/>
          <w:szCs w:val="18"/>
        </w:rPr>
        <w:t>funciones</w:t>
      </w:r>
      <w:r w:rsidRPr="007F6D54">
        <w:rPr>
          <w:rFonts w:ascii="Tahoma" w:hAnsi="Tahoma" w:cs="Tahoma"/>
          <w:spacing w:val="-8"/>
          <w:w w:val="105"/>
          <w:sz w:val="18"/>
          <w:szCs w:val="18"/>
        </w:rPr>
        <w:t xml:space="preserve"> </w:t>
      </w:r>
      <w:r w:rsidRPr="007F6D54">
        <w:rPr>
          <w:rFonts w:ascii="Tahoma" w:hAnsi="Tahoma" w:cs="Tahoma"/>
          <w:w w:val="105"/>
          <w:sz w:val="18"/>
          <w:szCs w:val="18"/>
        </w:rPr>
        <w:t>y</w:t>
      </w:r>
      <w:r w:rsidRPr="007F6D54">
        <w:rPr>
          <w:rFonts w:ascii="Tahoma" w:hAnsi="Tahoma" w:cs="Tahoma"/>
          <w:spacing w:val="-7"/>
          <w:w w:val="105"/>
          <w:sz w:val="18"/>
          <w:szCs w:val="18"/>
        </w:rPr>
        <w:t xml:space="preserve"> </w:t>
      </w:r>
      <w:r w:rsidRPr="007F6D54">
        <w:rPr>
          <w:rFonts w:ascii="Tahoma" w:hAnsi="Tahoma" w:cs="Tahoma"/>
          <w:w w:val="105"/>
          <w:sz w:val="18"/>
          <w:szCs w:val="18"/>
        </w:rPr>
        <w:t>atribuciones</w:t>
      </w:r>
      <w:r w:rsidRPr="007F6D54">
        <w:rPr>
          <w:rFonts w:ascii="Tahoma" w:hAnsi="Tahoma" w:cs="Tahoma"/>
          <w:spacing w:val="-7"/>
          <w:w w:val="105"/>
          <w:sz w:val="18"/>
          <w:szCs w:val="18"/>
        </w:rPr>
        <w:t xml:space="preserve"> </w:t>
      </w:r>
      <w:r w:rsidRPr="007F6D54">
        <w:rPr>
          <w:rFonts w:ascii="Tahoma" w:hAnsi="Tahoma" w:cs="Tahoma"/>
          <w:spacing w:val="-5"/>
          <w:w w:val="105"/>
          <w:sz w:val="18"/>
          <w:szCs w:val="18"/>
        </w:rPr>
        <w:t>de</w:t>
      </w:r>
      <w:r w:rsidRPr="007F6D54">
        <w:rPr>
          <w:rFonts w:ascii="Tahoma" w:hAnsi="Tahoma" w:cs="Tahoma"/>
          <w:sz w:val="18"/>
          <w:szCs w:val="18"/>
        </w:rPr>
        <w:t xml:space="preserve"> </w:t>
      </w:r>
      <w:r w:rsidRPr="007F6D54">
        <w:rPr>
          <w:rFonts w:ascii="Tahoma" w:hAnsi="Tahoma" w:cs="Tahoma"/>
          <w:w w:val="105"/>
          <w:sz w:val="18"/>
          <w:szCs w:val="18"/>
        </w:rPr>
        <w:t>los</w:t>
      </w:r>
      <w:r w:rsidRPr="007F6D54">
        <w:rPr>
          <w:rFonts w:ascii="Tahoma" w:hAnsi="Tahoma" w:cs="Tahoma"/>
          <w:spacing w:val="-5"/>
          <w:w w:val="105"/>
          <w:sz w:val="18"/>
          <w:szCs w:val="18"/>
        </w:rPr>
        <w:t xml:space="preserve"> </w:t>
      </w:r>
      <w:r w:rsidRPr="007F6D54">
        <w:rPr>
          <w:rFonts w:ascii="Tahoma" w:hAnsi="Tahoma" w:cs="Tahoma"/>
          <w:w w:val="105"/>
          <w:sz w:val="18"/>
          <w:szCs w:val="18"/>
        </w:rPr>
        <w:t>órganos</w:t>
      </w:r>
      <w:r w:rsidRPr="007F6D54">
        <w:rPr>
          <w:rFonts w:ascii="Tahoma" w:hAnsi="Tahoma" w:cs="Tahoma"/>
          <w:spacing w:val="-4"/>
          <w:w w:val="105"/>
          <w:sz w:val="18"/>
          <w:szCs w:val="18"/>
        </w:rPr>
        <w:t xml:space="preserve"> </w:t>
      </w:r>
      <w:r w:rsidRPr="007F6D54">
        <w:rPr>
          <w:rFonts w:ascii="Tahoma" w:hAnsi="Tahoma" w:cs="Tahoma"/>
          <w:w w:val="105"/>
          <w:sz w:val="18"/>
          <w:szCs w:val="18"/>
        </w:rPr>
        <w:t>de</w:t>
      </w:r>
      <w:r w:rsidRPr="007F6D54">
        <w:rPr>
          <w:rFonts w:ascii="Tahoma" w:hAnsi="Tahoma" w:cs="Tahoma"/>
          <w:spacing w:val="-5"/>
          <w:w w:val="105"/>
          <w:sz w:val="18"/>
          <w:szCs w:val="18"/>
        </w:rPr>
        <w:t xml:space="preserve"> </w:t>
      </w:r>
      <w:r w:rsidRPr="007F6D54">
        <w:rPr>
          <w:rFonts w:ascii="Tahoma" w:hAnsi="Tahoma" w:cs="Tahoma"/>
          <w:spacing w:val="-2"/>
          <w:w w:val="105"/>
          <w:sz w:val="18"/>
          <w:szCs w:val="18"/>
        </w:rPr>
        <w:t>igualdad</w:t>
      </w:r>
    </w:p>
    <w:p w14:paraId="6FBFEC0E" w14:textId="77777777" w:rsidR="003E5960" w:rsidRPr="007F6D54" w:rsidRDefault="003E5960" w:rsidP="0060776B">
      <w:pPr>
        <w:tabs>
          <w:tab w:val="left" w:leader="dot" w:pos="6026"/>
        </w:tabs>
        <w:ind w:left="1731" w:hanging="455"/>
        <w:rPr>
          <w:rFonts w:ascii="Tahoma" w:hAnsi="Tahoma" w:cs="Tahoma"/>
          <w:w w:val="105"/>
          <w:sz w:val="18"/>
          <w:szCs w:val="18"/>
        </w:rPr>
      </w:pPr>
      <w:r w:rsidRPr="007F6D54">
        <w:rPr>
          <w:rFonts w:ascii="Tahoma" w:hAnsi="Tahoma" w:cs="Tahoma"/>
          <w:w w:val="105"/>
          <w:sz w:val="18"/>
          <w:szCs w:val="18"/>
        </w:rPr>
        <w:t>1.</w:t>
      </w:r>
      <w:r w:rsidRPr="007F6D54">
        <w:rPr>
          <w:rFonts w:ascii="Tahoma" w:hAnsi="Tahoma" w:cs="Tahoma"/>
          <w:spacing w:val="-10"/>
          <w:w w:val="105"/>
          <w:sz w:val="18"/>
          <w:szCs w:val="18"/>
        </w:rPr>
        <w:t xml:space="preserve"> </w:t>
      </w:r>
      <w:r w:rsidRPr="007F6D54">
        <w:rPr>
          <w:rFonts w:ascii="Tahoma" w:hAnsi="Tahoma" w:cs="Tahoma"/>
          <w:w w:val="105"/>
          <w:sz w:val="18"/>
          <w:szCs w:val="18"/>
        </w:rPr>
        <w:t>Promoción</w:t>
      </w:r>
      <w:r w:rsidRPr="007F6D54">
        <w:rPr>
          <w:rFonts w:ascii="Tahoma" w:hAnsi="Tahoma" w:cs="Tahoma"/>
          <w:spacing w:val="-9"/>
          <w:w w:val="105"/>
          <w:sz w:val="18"/>
          <w:szCs w:val="18"/>
        </w:rPr>
        <w:t xml:space="preserve"> </w:t>
      </w:r>
      <w:r w:rsidRPr="007F6D54">
        <w:rPr>
          <w:rFonts w:ascii="Tahoma" w:hAnsi="Tahoma" w:cs="Tahoma"/>
          <w:spacing w:val="-10"/>
          <w:w w:val="105"/>
          <w:sz w:val="18"/>
          <w:szCs w:val="18"/>
        </w:rPr>
        <w:t>y</w:t>
      </w:r>
      <w:r w:rsidRPr="007F6D54">
        <w:rPr>
          <w:rFonts w:ascii="Tahoma" w:hAnsi="Tahoma" w:cs="Tahoma"/>
          <w:sz w:val="18"/>
          <w:szCs w:val="18"/>
        </w:rPr>
        <w:t xml:space="preserve"> </w:t>
      </w:r>
      <w:r w:rsidRPr="007F6D54">
        <w:rPr>
          <w:rFonts w:ascii="Tahoma" w:hAnsi="Tahoma" w:cs="Tahoma"/>
          <w:spacing w:val="-2"/>
          <w:w w:val="105"/>
          <w:sz w:val="18"/>
          <w:szCs w:val="18"/>
        </w:rPr>
        <w:t>prevención</w:t>
      </w:r>
    </w:p>
    <w:p w14:paraId="30CFC255" w14:textId="77777777" w:rsidR="003E5960" w:rsidRPr="007F6D54" w:rsidRDefault="003E5960" w:rsidP="0060776B">
      <w:pPr>
        <w:tabs>
          <w:tab w:val="left" w:leader="dot" w:pos="6026"/>
        </w:tabs>
        <w:ind w:left="1731" w:hanging="455"/>
        <w:rPr>
          <w:rFonts w:ascii="Tahoma" w:hAnsi="Tahoma" w:cs="Tahoma"/>
          <w:sz w:val="18"/>
          <w:szCs w:val="18"/>
        </w:rPr>
      </w:pPr>
      <w:r w:rsidRPr="007F6D54">
        <w:rPr>
          <w:rFonts w:ascii="Tahoma" w:hAnsi="Tahoma" w:cs="Tahoma"/>
          <w:w w:val="105"/>
          <w:sz w:val="18"/>
          <w:szCs w:val="18"/>
        </w:rPr>
        <w:t>2.</w:t>
      </w:r>
      <w:r w:rsidRPr="007F6D54">
        <w:rPr>
          <w:rFonts w:ascii="Tahoma" w:hAnsi="Tahoma" w:cs="Tahoma"/>
          <w:spacing w:val="-7"/>
          <w:w w:val="105"/>
          <w:sz w:val="18"/>
          <w:szCs w:val="18"/>
        </w:rPr>
        <w:t xml:space="preserve"> </w:t>
      </w:r>
      <w:r w:rsidRPr="007F6D54">
        <w:rPr>
          <w:rFonts w:ascii="Tahoma" w:hAnsi="Tahoma" w:cs="Tahoma"/>
          <w:w w:val="105"/>
          <w:sz w:val="18"/>
          <w:szCs w:val="18"/>
        </w:rPr>
        <w:t>Soporte</w:t>
      </w:r>
      <w:r w:rsidRPr="007F6D54">
        <w:rPr>
          <w:rFonts w:ascii="Tahoma" w:hAnsi="Tahoma" w:cs="Tahoma"/>
          <w:spacing w:val="-8"/>
          <w:w w:val="105"/>
          <w:sz w:val="18"/>
          <w:szCs w:val="18"/>
        </w:rPr>
        <w:t xml:space="preserve"> </w:t>
      </w:r>
      <w:r w:rsidRPr="007F6D54">
        <w:rPr>
          <w:rFonts w:ascii="Tahoma" w:hAnsi="Tahoma" w:cs="Tahoma"/>
          <w:spacing w:val="-10"/>
          <w:w w:val="105"/>
          <w:sz w:val="18"/>
          <w:szCs w:val="18"/>
        </w:rPr>
        <w:t>y</w:t>
      </w:r>
      <w:r w:rsidRPr="007F6D54">
        <w:rPr>
          <w:rFonts w:ascii="Tahoma" w:hAnsi="Tahoma" w:cs="Tahoma"/>
          <w:sz w:val="18"/>
          <w:szCs w:val="18"/>
        </w:rPr>
        <w:t xml:space="preserve"> litigio</w:t>
      </w:r>
    </w:p>
    <w:p w14:paraId="2D5F0A6D" w14:textId="77777777" w:rsidR="003E5960" w:rsidRPr="007F6D54" w:rsidRDefault="003E5960" w:rsidP="0060776B">
      <w:pPr>
        <w:tabs>
          <w:tab w:val="left" w:leader="dot" w:pos="6026"/>
        </w:tabs>
        <w:ind w:left="1731" w:hanging="455"/>
        <w:rPr>
          <w:rFonts w:ascii="Tahoma" w:hAnsi="Tahoma" w:cs="Tahoma"/>
          <w:sz w:val="18"/>
          <w:szCs w:val="18"/>
        </w:rPr>
      </w:pPr>
      <w:r w:rsidRPr="007F6D54">
        <w:rPr>
          <w:rFonts w:ascii="Tahoma" w:hAnsi="Tahoma" w:cs="Tahoma"/>
          <w:sz w:val="18"/>
          <w:szCs w:val="18"/>
        </w:rPr>
        <w:t xml:space="preserve">3. </w:t>
      </w:r>
      <w:r w:rsidRPr="007F6D54">
        <w:rPr>
          <w:rFonts w:ascii="Tahoma" w:hAnsi="Tahoma" w:cs="Tahoma"/>
          <w:w w:val="105"/>
          <w:sz w:val="18"/>
          <w:szCs w:val="18"/>
        </w:rPr>
        <w:t>Toma</w:t>
      </w:r>
      <w:r w:rsidRPr="007F6D54">
        <w:rPr>
          <w:rFonts w:ascii="Tahoma" w:hAnsi="Tahoma" w:cs="Tahoma"/>
          <w:spacing w:val="-6"/>
          <w:w w:val="105"/>
          <w:sz w:val="18"/>
          <w:szCs w:val="18"/>
        </w:rPr>
        <w:t xml:space="preserve"> </w:t>
      </w:r>
      <w:r w:rsidRPr="007F6D54">
        <w:rPr>
          <w:rFonts w:ascii="Tahoma" w:hAnsi="Tahoma" w:cs="Tahoma"/>
          <w:w w:val="105"/>
          <w:sz w:val="18"/>
          <w:szCs w:val="18"/>
        </w:rPr>
        <w:t>de</w:t>
      </w:r>
      <w:r w:rsidRPr="007F6D54">
        <w:rPr>
          <w:rFonts w:ascii="Tahoma" w:hAnsi="Tahoma" w:cs="Tahoma"/>
          <w:spacing w:val="-5"/>
          <w:w w:val="105"/>
          <w:sz w:val="18"/>
          <w:szCs w:val="18"/>
        </w:rPr>
        <w:t xml:space="preserve"> </w:t>
      </w:r>
      <w:r w:rsidRPr="007F6D54">
        <w:rPr>
          <w:rFonts w:ascii="Tahoma" w:hAnsi="Tahoma" w:cs="Tahoma"/>
          <w:w w:val="105"/>
          <w:sz w:val="18"/>
          <w:szCs w:val="18"/>
        </w:rPr>
        <w:t>decisiones</w:t>
      </w:r>
      <w:r w:rsidRPr="007F6D54">
        <w:rPr>
          <w:rFonts w:ascii="Tahoma" w:hAnsi="Tahoma" w:cs="Tahoma"/>
          <w:spacing w:val="-6"/>
          <w:w w:val="105"/>
          <w:sz w:val="18"/>
          <w:szCs w:val="18"/>
        </w:rPr>
        <w:t xml:space="preserve"> </w:t>
      </w:r>
      <w:r w:rsidRPr="007F6D54">
        <w:rPr>
          <w:rFonts w:ascii="Tahoma" w:hAnsi="Tahoma" w:cs="Tahoma"/>
          <w:spacing w:val="-10"/>
          <w:w w:val="105"/>
          <w:sz w:val="18"/>
          <w:szCs w:val="18"/>
        </w:rPr>
        <w:t>y</w:t>
      </w:r>
      <w:r w:rsidRPr="007F6D54">
        <w:rPr>
          <w:rFonts w:ascii="Tahoma" w:hAnsi="Tahoma" w:cs="Tahoma"/>
          <w:sz w:val="18"/>
          <w:szCs w:val="18"/>
        </w:rPr>
        <w:t xml:space="preserve"> </w:t>
      </w:r>
      <w:r w:rsidRPr="007F6D54">
        <w:rPr>
          <w:rFonts w:ascii="Tahoma" w:hAnsi="Tahoma" w:cs="Tahoma"/>
          <w:spacing w:val="-2"/>
          <w:w w:val="105"/>
          <w:sz w:val="18"/>
          <w:szCs w:val="18"/>
        </w:rPr>
        <w:t>ejecución</w:t>
      </w:r>
    </w:p>
    <w:p w14:paraId="321FBF61" w14:textId="7BD60B21" w:rsidR="003E5960" w:rsidRPr="007F6D54" w:rsidRDefault="003E5960" w:rsidP="0060776B">
      <w:pPr>
        <w:tabs>
          <w:tab w:val="left" w:leader="dot" w:pos="6324"/>
        </w:tabs>
        <w:ind w:hanging="455"/>
        <w:rPr>
          <w:rFonts w:ascii="Tahoma" w:hAnsi="Tahoma" w:cs="Tahoma"/>
          <w:sz w:val="18"/>
          <w:szCs w:val="18"/>
        </w:rPr>
      </w:pPr>
      <w:r w:rsidRPr="007F6D54">
        <w:rPr>
          <w:rFonts w:ascii="Tahoma" w:hAnsi="Tahoma" w:cs="Tahoma"/>
          <w:w w:val="105"/>
          <w:sz w:val="18"/>
          <w:szCs w:val="18"/>
        </w:rPr>
        <w:t xml:space="preserve">                           </w:t>
      </w:r>
      <w:r w:rsidR="00856D20">
        <w:rPr>
          <w:rFonts w:ascii="Tahoma" w:hAnsi="Tahoma" w:cs="Tahoma"/>
          <w:w w:val="105"/>
          <w:sz w:val="18"/>
          <w:szCs w:val="18"/>
        </w:rPr>
        <w:t xml:space="preserve">  </w:t>
      </w:r>
      <w:r w:rsidRPr="007F6D54">
        <w:rPr>
          <w:rFonts w:ascii="Tahoma" w:hAnsi="Tahoma" w:cs="Tahoma"/>
          <w:w w:val="105"/>
          <w:sz w:val="18"/>
          <w:szCs w:val="18"/>
        </w:rPr>
        <w:t>D.</w:t>
      </w:r>
      <w:r w:rsidRPr="007F6D54">
        <w:rPr>
          <w:rFonts w:ascii="Tahoma" w:hAnsi="Tahoma" w:cs="Tahoma"/>
          <w:spacing w:val="-6"/>
          <w:w w:val="105"/>
          <w:sz w:val="18"/>
          <w:szCs w:val="18"/>
        </w:rPr>
        <w:t xml:space="preserve"> </w:t>
      </w:r>
      <w:r w:rsidRPr="007F6D54">
        <w:rPr>
          <w:rFonts w:ascii="Tahoma" w:hAnsi="Tahoma" w:cs="Tahoma"/>
          <w:w w:val="105"/>
          <w:sz w:val="18"/>
          <w:szCs w:val="18"/>
        </w:rPr>
        <w:t>Garantizar</w:t>
      </w:r>
      <w:r w:rsidRPr="007F6D54">
        <w:rPr>
          <w:rFonts w:ascii="Tahoma" w:hAnsi="Tahoma" w:cs="Tahoma"/>
          <w:spacing w:val="-6"/>
          <w:w w:val="105"/>
          <w:sz w:val="18"/>
          <w:szCs w:val="18"/>
        </w:rPr>
        <w:t xml:space="preserve"> </w:t>
      </w:r>
      <w:r w:rsidRPr="007F6D54">
        <w:rPr>
          <w:rFonts w:ascii="Tahoma" w:hAnsi="Tahoma" w:cs="Tahoma"/>
          <w:w w:val="105"/>
          <w:sz w:val="18"/>
          <w:szCs w:val="18"/>
        </w:rPr>
        <w:t>la</w:t>
      </w:r>
      <w:r w:rsidRPr="007F6D54">
        <w:rPr>
          <w:rFonts w:ascii="Tahoma" w:hAnsi="Tahoma" w:cs="Tahoma"/>
          <w:spacing w:val="-6"/>
          <w:w w:val="105"/>
          <w:sz w:val="18"/>
          <w:szCs w:val="18"/>
        </w:rPr>
        <w:t xml:space="preserve"> </w:t>
      </w:r>
      <w:r w:rsidRPr="007F6D54">
        <w:rPr>
          <w:rFonts w:ascii="Tahoma" w:hAnsi="Tahoma" w:cs="Tahoma"/>
          <w:w w:val="105"/>
          <w:sz w:val="18"/>
          <w:szCs w:val="18"/>
        </w:rPr>
        <w:t>eficacia</w:t>
      </w:r>
      <w:r w:rsidRPr="007F6D54">
        <w:rPr>
          <w:rFonts w:ascii="Tahoma" w:hAnsi="Tahoma" w:cs="Tahoma"/>
          <w:spacing w:val="-6"/>
          <w:w w:val="105"/>
          <w:sz w:val="18"/>
          <w:szCs w:val="18"/>
        </w:rPr>
        <w:t xml:space="preserve"> </w:t>
      </w:r>
      <w:r w:rsidRPr="007F6D54">
        <w:rPr>
          <w:rFonts w:ascii="Tahoma" w:hAnsi="Tahoma" w:cs="Tahoma"/>
          <w:w w:val="105"/>
          <w:sz w:val="18"/>
          <w:szCs w:val="18"/>
        </w:rPr>
        <w:t>de</w:t>
      </w:r>
      <w:r w:rsidRPr="007F6D54">
        <w:rPr>
          <w:rFonts w:ascii="Tahoma" w:hAnsi="Tahoma" w:cs="Tahoma"/>
          <w:spacing w:val="-6"/>
          <w:w w:val="105"/>
          <w:sz w:val="18"/>
          <w:szCs w:val="18"/>
        </w:rPr>
        <w:t xml:space="preserve"> </w:t>
      </w:r>
      <w:r w:rsidRPr="007F6D54">
        <w:rPr>
          <w:rFonts w:ascii="Tahoma" w:hAnsi="Tahoma" w:cs="Tahoma"/>
          <w:w w:val="105"/>
          <w:sz w:val="18"/>
          <w:szCs w:val="18"/>
        </w:rPr>
        <w:t>los</w:t>
      </w:r>
      <w:r w:rsidRPr="007F6D54">
        <w:rPr>
          <w:rFonts w:ascii="Tahoma" w:hAnsi="Tahoma" w:cs="Tahoma"/>
          <w:spacing w:val="-6"/>
          <w:w w:val="105"/>
          <w:sz w:val="18"/>
          <w:szCs w:val="18"/>
        </w:rPr>
        <w:t xml:space="preserve"> </w:t>
      </w:r>
      <w:r w:rsidRPr="007F6D54">
        <w:rPr>
          <w:rFonts w:ascii="Tahoma" w:hAnsi="Tahoma" w:cs="Tahoma"/>
          <w:w w:val="105"/>
          <w:sz w:val="18"/>
          <w:szCs w:val="18"/>
        </w:rPr>
        <w:t>órganos</w:t>
      </w:r>
      <w:r w:rsidRPr="007F6D54">
        <w:rPr>
          <w:rFonts w:ascii="Tahoma" w:hAnsi="Tahoma" w:cs="Tahoma"/>
          <w:spacing w:val="-5"/>
          <w:w w:val="105"/>
          <w:sz w:val="18"/>
          <w:szCs w:val="18"/>
        </w:rPr>
        <w:t xml:space="preserve"> de</w:t>
      </w:r>
      <w:r w:rsidRPr="007F6D54">
        <w:rPr>
          <w:rFonts w:ascii="Tahoma" w:hAnsi="Tahoma" w:cs="Tahoma"/>
          <w:sz w:val="18"/>
          <w:szCs w:val="18"/>
        </w:rPr>
        <w:t xml:space="preserve"> </w:t>
      </w:r>
      <w:r w:rsidRPr="007F6D54">
        <w:rPr>
          <w:rFonts w:ascii="Tahoma" w:hAnsi="Tahoma" w:cs="Tahoma"/>
          <w:spacing w:val="-2"/>
          <w:sz w:val="18"/>
          <w:szCs w:val="18"/>
        </w:rPr>
        <w:t>igualdad</w:t>
      </w:r>
    </w:p>
    <w:p w14:paraId="06FDC688" w14:textId="77777777" w:rsidR="003E5960" w:rsidRPr="007F6D54" w:rsidRDefault="003E5960" w:rsidP="003E5960">
      <w:pPr>
        <w:pStyle w:val="Prrafodelista"/>
        <w:tabs>
          <w:tab w:val="left" w:pos="1289"/>
          <w:tab w:val="right" w:leader="dot" w:pos="8630"/>
        </w:tabs>
        <w:ind w:left="1289"/>
        <w:rPr>
          <w:rFonts w:ascii="Tahoma" w:hAnsi="Tahoma" w:cs="Tahoma"/>
          <w:sz w:val="18"/>
          <w:szCs w:val="18"/>
        </w:rPr>
      </w:pPr>
    </w:p>
    <w:p w14:paraId="50B5FE29" w14:textId="7D92C976" w:rsidR="003E5960" w:rsidRPr="007F6D54" w:rsidRDefault="003E5960" w:rsidP="003E5960">
      <w:pPr>
        <w:pStyle w:val="Prrafodelista"/>
        <w:numPr>
          <w:ilvl w:val="0"/>
          <w:numId w:val="118"/>
        </w:numPr>
        <w:tabs>
          <w:tab w:val="left" w:pos="1289"/>
          <w:tab w:val="right" w:leader="dot" w:pos="8630"/>
        </w:tabs>
        <w:rPr>
          <w:rFonts w:ascii="Tahoma" w:hAnsi="Tahoma" w:cs="Tahoma"/>
          <w:sz w:val="18"/>
          <w:szCs w:val="18"/>
        </w:rPr>
      </w:pPr>
      <w:hyperlink w:anchor="implementacion" w:history="1">
        <w:r w:rsidRPr="00497139">
          <w:rPr>
            <w:rStyle w:val="Hipervnculo"/>
            <w:rFonts w:ascii="Tahoma" w:hAnsi="Tahoma" w:cs="Tahoma"/>
            <w:sz w:val="18"/>
            <w:szCs w:val="18"/>
          </w:rPr>
          <w:t>OBLIGACIONES</w:t>
        </w:r>
        <w:r w:rsidRPr="00497139">
          <w:rPr>
            <w:rStyle w:val="Hipervnculo"/>
            <w:rFonts w:ascii="Tahoma" w:hAnsi="Tahoma" w:cs="Tahoma"/>
            <w:spacing w:val="21"/>
            <w:sz w:val="18"/>
            <w:szCs w:val="18"/>
          </w:rPr>
          <w:t xml:space="preserve"> </w:t>
        </w:r>
        <w:r w:rsidRPr="00497139">
          <w:rPr>
            <w:rStyle w:val="Hipervnculo"/>
            <w:rFonts w:ascii="Tahoma" w:hAnsi="Tahoma" w:cs="Tahoma"/>
            <w:sz w:val="18"/>
            <w:szCs w:val="18"/>
          </w:rPr>
          <w:t>DE</w:t>
        </w:r>
        <w:r w:rsidRPr="00497139">
          <w:rPr>
            <w:rStyle w:val="Hipervnculo"/>
            <w:rFonts w:ascii="Tahoma" w:hAnsi="Tahoma" w:cs="Tahoma"/>
            <w:spacing w:val="22"/>
            <w:sz w:val="18"/>
            <w:szCs w:val="18"/>
          </w:rPr>
          <w:t xml:space="preserve"> </w:t>
        </w:r>
        <w:r w:rsidRPr="00497139">
          <w:rPr>
            <w:rStyle w:val="Hipervnculo"/>
            <w:rFonts w:ascii="Tahoma" w:hAnsi="Tahoma" w:cs="Tahoma"/>
            <w:spacing w:val="-2"/>
            <w:sz w:val="18"/>
            <w:szCs w:val="18"/>
          </w:rPr>
          <w:t>IMPLEMENTACIÓN</w:t>
        </w:r>
      </w:hyperlink>
    </w:p>
    <w:p w14:paraId="70E451EB" w14:textId="77777777" w:rsidR="003E5960" w:rsidRPr="007F6D54" w:rsidRDefault="003E5960" w:rsidP="0060776B">
      <w:pPr>
        <w:pStyle w:val="Prrafodelista"/>
        <w:numPr>
          <w:ilvl w:val="0"/>
          <w:numId w:val="119"/>
        </w:numPr>
        <w:tabs>
          <w:tab w:val="left" w:pos="1560"/>
          <w:tab w:val="left" w:leader="dot" w:pos="8477"/>
        </w:tabs>
        <w:ind w:firstLine="556"/>
        <w:contextualSpacing/>
        <w:rPr>
          <w:rFonts w:ascii="Tahoma" w:hAnsi="Tahoma" w:cs="Tahoma"/>
          <w:sz w:val="18"/>
          <w:szCs w:val="18"/>
        </w:rPr>
      </w:pPr>
      <w:r w:rsidRPr="007F6D54">
        <w:rPr>
          <w:rFonts w:ascii="Tahoma" w:hAnsi="Tahoma" w:cs="Tahoma"/>
          <w:w w:val="105"/>
          <w:sz w:val="18"/>
          <w:szCs w:val="18"/>
        </w:rPr>
        <w:t>Políticas</w:t>
      </w:r>
      <w:r w:rsidRPr="007F6D54">
        <w:rPr>
          <w:rFonts w:ascii="Tahoma" w:hAnsi="Tahoma" w:cs="Tahoma"/>
          <w:spacing w:val="-6"/>
          <w:w w:val="105"/>
          <w:sz w:val="18"/>
          <w:szCs w:val="18"/>
        </w:rPr>
        <w:t xml:space="preserve"> </w:t>
      </w:r>
      <w:r w:rsidRPr="007F6D54">
        <w:rPr>
          <w:rFonts w:ascii="Tahoma" w:hAnsi="Tahoma" w:cs="Tahoma"/>
          <w:w w:val="105"/>
          <w:sz w:val="18"/>
          <w:szCs w:val="18"/>
        </w:rPr>
        <w:t>y</w:t>
      </w:r>
      <w:r w:rsidRPr="007F6D54">
        <w:rPr>
          <w:rFonts w:ascii="Tahoma" w:hAnsi="Tahoma" w:cs="Tahoma"/>
          <w:spacing w:val="-5"/>
          <w:w w:val="105"/>
          <w:sz w:val="18"/>
          <w:szCs w:val="18"/>
        </w:rPr>
        <w:t xml:space="preserve"> </w:t>
      </w:r>
      <w:r w:rsidRPr="007F6D54">
        <w:rPr>
          <w:rFonts w:ascii="Tahoma" w:hAnsi="Tahoma" w:cs="Tahoma"/>
          <w:w w:val="105"/>
          <w:sz w:val="18"/>
          <w:szCs w:val="18"/>
        </w:rPr>
        <w:t>estrategias</w:t>
      </w:r>
      <w:r w:rsidRPr="007F6D54">
        <w:rPr>
          <w:rFonts w:ascii="Tahoma" w:hAnsi="Tahoma" w:cs="Tahoma"/>
          <w:spacing w:val="-5"/>
          <w:w w:val="105"/>
          <w:sz w:val="18"/>
          <w:szCs w:val="18"/>
        </w:rPr>
        <w:t xml:space="preserve"> </w:t>
      </w:r>
      <w:r w:rsidRPr="007F6D54">
        <w:rPr>
          <w:rFonts w:ascii="Tahoma" w:hAnsi="Tahoma" w:cs="Tahoma"/>
          <w:w w:val="105"/>
          <w:sz w:val="18"/>
          <w:szCs w:val="18"/>
        </w:rPr>
        <w:t>de</w:t>
      </w:r>
      <w:r w:rsidRPr="007F6D54">
        <w:rPr>
          <w:rFonts w:ascii="Tahoma" w:hAnsi="Tahoma" w:cs="Tahoma"/>
          <w:spacing w:val="-5"/>
          <w:w w:val="105"/>
          <w:sz w:val="18"/>
          <w:szCs w:val="18"/>
        </w:rPr>
        <w:t xml:space="preserve"> </w:t>
      </w:r>
      <w:r w:rsidRPr="007F6D54">
        <w:rPr>
          <w:rFonts w:ascii="Tahoma" w:hAnsi="Tahoma" w:cs="Tahoma"/>
          <w:spacing w:val="-2"/>
          <w:w w:val="105"/>
          <w:sz w:val="18"/>
          <w:szCs w:val="18"/>
        </w:rPr>
        <w:t>igualdad</w:t>
      </w:r>
    </w:p>
    <w:p w14:paraId="02279B36" w14:textId="77777777" w:rsidR="003E5960" w:rsidRPr="007F6D54" w:rsidRDefault="003E5960" w:rsidP="0060776B">
      <w:pPr>
        <w:pStyle w:val="Prrafodelista"/>
        <w:numPr>
          <w:ilvl w:val="0"/>
          <w:numId w:val="119"/>
        </w:numPr>
        <w:tabs>
          <w:tab w:val="left" w:pos="1560"/>
          <w:tab w:val="left" w:leader="dot" w:pos="8477"/>
        </w:tabs>
        <w:ind w:firstLine="556"/>
        <w:contextualSpacing/>
        <w:rPr>
          <w:rFonts w:ascii="Tahoma" w:hAnsi="Tahoma" w:cs="Tahoma"/>
          <w:sz w:val="18"/>
          <w:szCs w:val="18"/>
        </w:rPr>
      </w:pPr>
      <w:r w:rsidRPr="007F6D54">
        <w:rPr>
          <w:rFonts w:ascii="Tahoma" w:hAnsi="Tahoma" w:cs="Tahoma"/>
          <w:w w:val="105"/>
          <w:sz w:val="18"/>
          <w:szCs w:val="18"/>
        </w:rPr>
        <w:t>Evaluación</w:t>
      </w:r>
      <w:r w:rsidRPr="007F6D54">
        <w:rPr>
          <w:rFonts w:ascii="Tahoma" w:hAnsi="Tahoma" w:cs="Tahoma"/>
          <w:spacing w:val="-9"/>
          <w:w w:val="105"/>
          <w:sz w:val="18"/>
          <w:szCs w:val="18"/>
        </w:rPr>
        <w:t xml:space="preserve"> </w:t>
      </w:r>
      <w:r w:rsidRPr="007F6D54">
        <w:rPr>
          <w:rFonts w:ascii="Tahoma" w:hAnsi="Tahoma" w:cs="Tahoma"/>
          <w:spacing w:val="-5"/>
          <w:w w:val="105"/>
          <w:sz w:val="18"/>
          <w:szCs w:val="18"/>
        </w:rPr>
        <w:t xml:space="preserve">de </w:t>
      </w:r>
      <w:r w:rsidRPr="007F6D54">
        <w:rPr>
          <w:rFonts w:ascii="Tahoma" w:hAnsi="Tahoma" w:cs="Tahoma"/>
          <w:w w:val="105"/>
          <w:sz w:val="18"/>
          <w:szCs w:val="18"/>
        </w:rPr>
        <w:t>impacto</w:t>
      </w:r>
      <w:r w:rsidRPr="007F6D54">
        <w:rPr>
          <w:rFonts w:ascii="Tahoma" w:hAnsi="Tahoma" w:cs="Tahoma"/>
          <w:spacing w:val="-9"/>
          <w:w w:val="105"/>
          <w:sz w:val="18"/>
          <w:szCs w:val="18"/>
        </w:rPr>
        <w:t xml:space="preserve"> </w:t>
      </w:r>
      <w:r w:rsidRPr="007F6D54">
        <w:rPr>
          <w:rFonts w:ascii="Tahoma" w:hAnsi="Tahoma" w:cs="Tahoma"/>
          <w:w w:val="105"/>
          <w:sz w:val="18"/>
          <w:szCs w:val="18"/>
        </w:rPr>
        <w:t>en</w:t>
      </w:r>
      <w:r w:rsidRPr="007F6D54">
        <w:rPr>
          <w:rFonts w:ascii="Tahoma" w:hAnsi="Tahoma" w:cs="Tahoma"/>
          <w:spacing w:val="-8"/>
          <w:w w:val="105"/>
          <w:sz w:val="18"/>
          <w:szCs w:val="18"/>
        </w:rPr>
        <w:t xml:space="preserve"> </w:t>
      </w:r>
      <w:r w:rsidRPr="007F6D54">
        <w:rPr>
          <w:rFonts w:ascii="Tahoma" w:hAnsi="Tahoma" w:cs="Tahoma"/>
          <w:spacing w:val="-2"/>
          <w:w w:val="105"/>
          <w:sz w:val="18"/>
          <w:szCs w:val="18"/>
        </w:rPr>
        <w:t>igualdad</w:t>
      </w:r>
    </w:p>
    <w:p w14:paraId="447A1D64" w14:textId="77777777" w:rsidR="003E5960" w:rsidRPr="007F6D54" w:rsidRDefault="003E5960" w:rsidP="0060776B">
      <w:pPr>
        <w:pStyle w:val="Prrafodelista"/>
        <w:numPr>
          <w:ilvl w:val="0"/>
          <w:numId w:val="119"/>
        </w:numPr>
        <w:tabs>
          <w:tab w:val="left" w:pos="1560"/>
          <w:tab w:val="left" w:leader="dot" w:pos="8477"/>
        </w:tabs>
        <w:ind w:firstLine="556"/>
        <w:contextualSpacing/>
        <w:rPr>
          <w:rFonts w:ascii="Tahoma" w:hAnsi="Tahoma" w:cs="Tahoma"/>
          <w:sz w:val="18"/>
          <w:szCs w:val="18"/>
        </w:rPr>
      </w:pPr>
      <w:r w:rsidRPr="007F6D54">
        <w:rPr>
          <w:rFonts w:ascii="Tahoma" w:hAnsi="Tahoma" w:cs="Tahoma"/>
          <w:w w:val="105"/>
          <w:sz w:val="18"/>
          <w:szCs w:val="18"/>
        </w:rPr>
        <w:t>Seguimiento</w:t>
      </w:r>
      <w:r w:rsidRPr="007F6D54">
        <w:rPr>
          <w:rFonts w:ascii="Tahoma" w:hAnsi="Tahoma" w:cs="Tahoma"/>
          <w:spacing w:val="-9"/>
          <w:w w:val="105"/>
          <w:sz w:val="18"/>
          <w:szCs w:val="18"/>
        </w:rPr>
        <w:t xml:space="preserve"> </w:t>
      </w:r>
      <w:r w:rsidRPr="007F6D54">
        <w:rPr>
          <w:rFonts w:ascii="Tahoma" w:hAnsi="Tahoma" w:cs="Tahoma"/>
          <w:spacing w:val="-10"/>
          <w:w w:val="105"/>
          <w:sz w:val="18"/>
          <w:szCs w:val="18"/>
        </w:rPr>
        <w:t xml:space="preserve">y </w:t>
      </w:r>
      <w:r w:rsidRPr="007F6D54">
        <w:rPr>
          <w:rFonts w:ascii="Tahoma" w:hAnsi="Tahoma" w:cs="Tahoma"/>
          <w:spacing w:val="-2"/>
          <w:w w:val="105"/>
          <w:sz w:val="18"/>
          <w:szCs w:val="18"/>
        </w:rPr>
        <w:t>datos</w:t>
      </w:r>
    </w:p>
    <w:p w14:paraId="1BC656B5" w14:textId="7B1227F4" w:rsidR="003E5960" w:rsidRPr="007F6D54" w:rsidRDefault="003E5960" w:rsidP="0060776B">
      <w:pPr>
        <w:pStyle w:val="Prrafodelista"/>
        <w:numPr>
          <w:ilvl w:val="0"/>
          <w:numId w:val="119"/>
        </w:numPr>
        <w:tabs>
          <w:tab w:val="left" w:pos="1560"/>
          <w:tab w:val="left" w:leader="dot" w:pos="8477"/>
        </w:tabs>
        <w:ind w:firstLine="556"/>
        <w:contextualSpacing/>
        <w:rPr>
          <w:rFonts w:ascii="Tahoma" w:hAnsi="Tahoma" w:cs="Tahoma"/>
          <w:sz w:val="18"/>
          <w:szCs w:val="18"/>
        </w:rPr>
      </w:pPr>
      <w:r w:rsidRPr="007F6D54">
        <w:rPr>
          <w:rFonts w:ascii="Tahoma" w:hAnsi="Tahoma" w:cs="Tahoma"/>
          <w:w w:val="105"/>
          <w:sz w:val="18"/>
          <w:szCs w:val="18"/>
        </w:rPr>
        <w:t>Consulta,</w:t>
      </w:r>
      <w:r w:rsidRPr="007F6D54">
        <w:rPr>
          <w:rFonts w:ascii="Tahoma" w:hAnsi="Tahoma" w:cs="Tahoma"/>
          <w:spacing w:val="-11"/>
          <w:w w:val="105"/>
          <w:sz w:val="18"/>
          <w:szCs w:val="18"/>
        </w:rPr>
        <w:t xml:space="preserve"> </w:t>
      </w:r>
      <w:r w:rsidRPr="007F6D54">
        <w:rPr>
          <w:rFonts w:ascii="Tahoma" w:hAnsi="Tahoma" w:cs="Tahoma"/>
          <w:w w:val="105"/>
          <w:sz w:val="18"/>
          <w:szCs w:val="18"/>
        </w:rPr>
        <w:t>compromiso</w:t>
      </w:r>
      <w:r w:rsidRPr="007F6D54">
        <w:rPr>
          <w:rFonts w:ascii="Tahoma" w:hAnsi="Tahoma" w:cs="Tahoma"/>
          <w:spacing w:val="-10"/>
          <w:w w:val="105"/>
          <w:sz w:val="18"/>
          <w:szCs w:val="18"/>
        </w:rPr>
        <w:t xml:space="preserve"> y </w:t>
      </w:r>
      <w:r w:rsidRPr="007F6D54">
        <w:rPr>
          <w:rFonts w:ascii="Tahoma" w:hAnsi="Tahoma" w:cs="Tahoma"/>
          <w:spacing w:val="-2"/>
          <w:sz w:val="18"/>
          <w:szCs w:val="18"/>
        </w:rPr>
        <w:t>participación</w:t>
      </w:r>
    </w:p>
    <w:p w14:paraId="22F90BE9" w14:textId="77777777" w:rsidR="003E5960" w:rsidRPr="007F6D54" w:rsidRDefault="003E5960" w:rsidP="003E5960">
      <w:pPr>
        <w:pStyle w:val="Prrafodelista"/>
        <w:tabs>
          <w:tab w:val="left" w:pos="5632"/>
        </w:tabs>
        <w:ind w:left="1237"/>
        <w:rPr>
          <w:rFonts w:ascii="Tahoma" w:hAnsi="Tahoma" w:cs="Tahoma"/>
          <w:spacing w:val="-2"/>
          <w:sz w:val="18"/>
          <w:szCs w:val="18"/>
        </w:rPr>
      </w:pPr>
    </w:p>
    <w:p w14:paraId="474ABF4A" w14:textId="77777777" w:rsidR="003E5960" w:rsidRPr="007F6D54" w:rsidRDefault="003E5960" w:rsidP="003E5960">
      <w:pPr>
        <w:pStyle w:val="Prrafodelista"/>
        <w:tabs>
          <w:tab w:val="left" w:pos="5632"/>
        </w:tabs>
        <w:ind w:left="1237"/>
        <w:rPr>
          <w:rFonts w:ascii="Tahoma" w:hAnsi="Tahoma" w:cs="Tahoma"/>
          <w:spacing w:val="-2"/>
          <w:sz w:val="18"/>
          <w:szCs w:val="18"/>
        </w:rPr>
      </w:pPr>
      <w:r w:rsidRPr="007F6D54">
        <w:rPr>
          <w:rFonts w:ascii="Tahoma" w:hAnsi="Tahoma" w:cs="Tahoma"/>
          <w:spacing w:val="-2"/>
          <w:sz w:val="18"/>
          <w:szCs w:val="18"/>
        </w:rPr>
        <w:tab/>
      </w:r>
    </w:p>
    <w:p w14:paraId="199944F7" w14:textId="524D32D2" w:rsidR="003E5960" w:rsidRPr="007F6D54" w:rsidRDefault="003E5960" w:rsidP="003E5960">
      <w:pPr>
        <w:pStyle w:val="TDC1"/>
        <w:tabs>
          <w:tab w:val="right" w:leader="dot" w:pos="10354"/>
        </w:tabs>
        <w:rPr>
          <w:rFonts w:ascii="Tahoma" w:hAnsi="Tahoma" w:cs="Tahoma"/>
          <w:b/>
          <w:bCs/>
          <w:sz w:val="18"/>
          <w:szCs w:val="18"/>
        </w:rPr>
      </w:pPr>
      <w:hyperlink w:anchor="minorías" w:history="1">
        <w:r w:rsidRPr="00E60D87">
          <w:rPr>
            <w:rStyle w:val="Hipervnculo"/>
            <w:rFonts w:ascii="Tahoma" w:hAnsi="Tahoma" w:cs="Tahoma"/>
            <w:b/>
            <w:bCs/>
            <w:sz w:val="18"/>
            <w:szCs w:val="18"/>
          </w:rPr>
          <w:t>TERCERA PARTE:</w:t>
        </w:r>
        <w:r w:rsidRPr="00E60D87">
          <w:rPr>
            <w:rStyle w:val="Hipervnculo"/>
            <w:rFonts w:ascii="Tahoma" w:hAnsi="Tahoma" w:cs="Tahoma"/>
            <w:b/>
            <w:bCs/>
            <w:spacing w:val="-5"/>
            <w:sz w:val="18"/>
            <w:szCs w:val="18"/>
          </w:rPr>
          <w:t xml:space="preserve"> </w:t>
        </w:r>
        <w:r w:rsidRPr="00E60D87">
          <w:rPr>
            <w:rStyle w:val="Hipervnculo"/>
            <w:rFonts w:ascii="Tahoma" w:hAnsi="Tahoma" w:cs="Tahoma"/>
            <w:b/>
            <w:bCs/>
            <w:sz w:val="18"/>
            <w:szCs w:val="18"/>
          </w:rPr>
          <w:t>PROTECCIÓN</w:t>
        </w:r>
        <w:r w:rsidRPr="00E60D87">
          <w:rPr>
            <w:rStyle w:val="Hipervnculo"/>
            <w:rFonts w:ascii="Tahoma" w:hAnsi="Tahoma" w:cs="Tahoma"/>
            <w:b/>
            <w:bCs/>
            <w:spacing w:val="-5"/>
            <w:sz w:val="18"/>
            <w:szCs w:val="18"/>
          </w:rPr>
          <w:t xml:space="preserve"> </w:t>
        </w:r>
        <w:r w:rsidRPr="00E60D87">
          <w:rPr>
            <w:rStyle w:val="Hipervnculo"/>
            <w:rFonts w:ascii="Tahoma" w:hAnsi="Tahoma" w:cs="Tahoma"/>
            <w:b/>
            <w:bCs/>
            <w:sz w:val="18"/>
            <w:szCs w:val="18"/>
          </w:rPr>
          <w:t>DE</w:t>
        </w:r>
        <w:r w:rsidRPr="00E60D87">
          <w:rPr>
            <w:rStyle w:val="Hipervnculo"/>
            <w:rFonts w:ascii="Tahoma" w:hAnsi="Tahoma" w:cs="Tahoma"/>
            <w:b/>
            <w:bCs/>
            <w:spacing w:val="-4"/>
            <w:sz w:val="18"/>
            <w:szCs w:val="18"/>
          </w:rPr>
          <w:t xml:space="preserve"> </w:t>
        </w:r>
        <w:r w:rsidRPr="00E60D87">
          <w:rPr>
            <w:rStyle w:val="Hipervnculo"/>
            <w:rFonts w:ascii="Tahoma" w:hAnsi="Tahoma" w:cs="Tahoma"/>
            <w:b/>
            <w:bCs/>
            <w:sz w:val="18"/>
            <w:szCs w:val="18"/>
          </w:rPr>
          <w:t>LOS</w:t>
        </w:r>
        <w:r w:rsidRPr="00E60D87">
          <w:rPr>
            <w:rStyle w:val="Hipervnculo"/>
            <w:rFonts w:ascii="Tahoma" w:hAnsi="Tahoma" w:cs="Tahoma"/>
            <w:b/>
            <w:bCs/>
            <w:spacing w:val="-5"/>
            <w:sz w:val="18"/>
            <w:szCs w:val="18"/>
          </w:rPr>
          <w:t xml:space="preserve"> </w:t>
        </w:r>
        <w:r w:rsidRPr="00E60D87">
          <w:rPr>
            <w:rStyle w:val="Hipervnculo"/>
            <w:rFonts w:ascii="Tahoma" w:hAnsi="Tahoma" w:cs="Tahoma"/>
            <w:b/>
            <w:bCs/>
            <w:sz w:val="18"/>
            <w:szCs w:val="18"/>
          </w:rPr>
          <w:t>DERECHOS</w:t>
        </w:r>
        <w:r w:rsidRPr="00E60D87">
          <w:rPr>
            <w:rStyle w:val="Hipervnculo"/>
            <w:rFonts w:ascii="Tahoma" w:hAnsi="Tahoma" w:cs="Tahoma"/>
            <w:b/>
            <w:bCs/>
            <w:spacing w:val="-4"/>
            <w:sz w:val="18"/>
            <w:szCs w:val="18"/>
          </w:rPr>
          <w:t xml:space="preserve"> </w:t>
        </w:r>
        <w:r w:rsidRPr="00E60D87">
          <w:rPr>
            <w:rStyle w:val="Hipervnculo"/>
            <w:rFonts w:ascii="Tahoma" w:hAnsi="Tahoma" w:cs="Tahoma"/>
            <w:b/>
            <w:bCs/>
            <w:sz w:val="18"/>
            <w:szCs w:val="18"/>
          </w:rPr>
          <w:t>DE</w:t>
        </w:r>
        <w:r w:rsidRPr="00E60D87">
          <w:rPr>
            <w:rStyle w:val="Hipervnculo"/>
            <w:rFonts w:ascii="Tahoma" w:hAnsi="Tahoma" w:cs="Tahoma"/>
            <w:b/>
            <w:bCs/>
            <w:spacing w:val="-5"/>
            <w:sz w:val="18"/>
            <w:szCs w:val="18"/>
          </w:rPr>
          <w:t xml:space="preserve"> </w:t>
        </w:r>
        <w:r w:rsidRPr="00E60D87">
          <w:rPr>
            <w:rStyle w:val="Hipervnculo"/>
            <w:rFonts w:ascii="Tahoma" w:hAnsi="Tahoma" w:cs="Tahoma"/>
            <w:b/>
            <w:bCs/>
            <w:sz w:val="18"/>
            <w:szCs w:val="18"/>
          </w:rPr>
          <w:t>LAS</w:t>
        </w:r>
        <w:r w:rsidRPr="00E60D87">
          <w:rPr>
            <w:rStyle w:val="Hipervnculo"/>
            <w:rFonts w:ascii="Tahoma" w:hAnsi="Tahoma" w:cs="Tahoma"/>
            <w:b/>
            <w:bCs/>
            <w:spacing w:val="-4"/>
            <w:sz w:val="18"/>
            <w:szCs w:val="18"/>
          </w:rPr>
          <w:t xml:space="preserve"> </w:t>
        </w:r>
        <w:r w:rsidRPr="00E60D87">
          <w:rPr>
            <w:rStyle w:val="Hipervnculo"/>
            <w:rFonts w:ascii="Tahoma" w:hAnsi="Tahoma" w:cs="Tahoma"/>
            <w:b/>
            <w:bCs/>
            <w:spacing w:val="-2"/>
            <w:sz w:val="18"/>
            <w:szCs w:val="18"/>
          </w:rPr>
          <w:t>MINORÍAS</w:t>
        </w:r>
      </w:hyperlink>
    </w:p>
    <w:p w14:paraId="27F76B5C" w14:textId="7F23D386" w:rsidR="003E5960" w:rsidRPr="007F6D54" w:rsidRDefault="003E5960" w:rsidP="003E5960">
      <w:pPr>
        <w:pStyle w:val="TDC2"/>
        <w:numPr>
          <w:ilvl w:val="0"/>
          <w:numId w:val="102"/>
        </w:numPr>
        <w:tabs>
          <w:tab w:val="left" w:pos="1243"/>
          <w:tab w:val="right" w:leader="dot" w:pos="9314"/>
        </w:tabs>
        <w:spacing w:before="0"/>
        <w:ind w:left="1243" w:hanging="129"/>
        <w:rPr>
          <w:rFonts w:ascii="Tahoma" w:hAnsi="Tahoma" w:cs="Tahoma"/>
          <w:sz w:val="18"/>
          <w:szCs w:val="18"/>
        </w:rPr>
      </w:pPr>
      <w:hyperlink w:anchor="prohibición" w:history="1">
        <w:r w:rsidRPr="00412578">
          <w:rPr>
            <w:rStyle w:val="Hipervnculo"/>
            <w:rFonts w:ascii="Tahoma" w:hAnsi="Tahoma" w:cs="Tahoma"/>
            <w:sz w:val="18"/>
            <w:szCs w:val="18"/>
          </w:rPr>
          <w:t>DERECHOS</w:t>
        </w:r>
        <w:r w:rsidRPr="00412578">
          <w:rPr>
            <w:rStyle w:val="Hipervnculo"/>
            <w:rFonts w:ascii="Tahoma" w:hAnsi="Tahoma" w:cs="Tahoma"/>
            <w:spacing w:val="22"/>
            <w:sz w:val="18"/>
            <w:szCs w:val="18"/>
          </w:rPr>
          <w:t xml:space="preserve"> </w:t>
        </w:r>
        <w:r w:rsidRPr="00412578">
          <w:rPr>
            <w:rStyle w:val="Hipervnculo"/>
            <w:rFonts w:ascii="Tahoma" w:hAnsi="Tahoma" w:cs="Tahoma"/>
            <w:sz w:val="18"/>
            <w:szCs w:val="18"/>
          </w:rPr>
          <w:t>DE</w:t>
        </w:r>
        <w:r w:rsidRPr="00412578">
          <w:rPr>
            <w:rStyle w:val="Hipervnculo"/>
            <w:rFonts w:ascii="Tahoma" w:hAnsi="Tahoma" w:cs="Tahoma"/>
            <w:spacing w:val="21"/>
            <w:sz w:val="18"/>
            <w:szCs w:val="18"/>
          </w:rPr>
          <w:t xml:space="preserve"> </w:t>
        </w:r>
        <w:r w:rsidRPr="00412578">
          <w:rPr>
            <w:rStyle w:val="Hipervnculo"/>
            <w:rFonts w:ascii="Tahoma" w:hAnsi="Tahoma" w:cs="Tahoma"/>
            <w:sz w:val="18"/>
            <w:szCs w:val="18"/>
          </w:rPr>
          <w:t>LAS</w:t>
        </w:r>
        <w:r w:rsidRPr="00412578">
          <w:rPr>
            <w:rStyle w:val="Hipervnculo"/>
            <w:rFonts w:ascii="Tahoma" w:hAnsi="Tahoma" w:cs="Tahoma"/>
            <w:spacing w:val="21"/>
            <w:sz w:val="18"/>
            <w:szCs w:val="18"/>
          </w:rPr>
          <w:t xml:space="preserve"> </w:t>
        </w:r>
        <w:r w:rsidRPr="00412578">
          <w:rPr>
            <w:rStyle w:val="Hipervnculo"/>
            <w:rFonts w:ascii="Tahoma" w:hAnsi="Tahoma" w:cs="Tahoma"/>
            <w:sz w:val="18"/>
            <w:szCs w:val="18"/>
          </w:rPr>
          <w:t>MINORÍAS</w:t>
        </w:r>
        <w:r w:rsidRPr="00412578">
          <w:rPr>
            <w:rStyle w:val="Hipervnculo"/>
            <w:rFonts w:ascii="Tahoma" w:hAnsi="Tahoma" w:cs="Tahoma"/>
            <w:spacing w:val="23"/>
            <w:sz w:val="18"/>
            <w:szCs w:val="18"/>
          </w:rPr>
          <w:t xml:space="preserve"> </w:t>
        </w:r>
        <w:r w:rsidRPr="00412578">
          <w:rPr>
            <w:rStyle w:val="Hipervnculo"/>
            <w:rFonts w:ascii="Tahoma" w:hAnsi="Tahoma" w:cs="Tahoma"/>
            <w:sz w:val="18"/>
            <w:szCs w:val="18"/>
          </w:rPr>
          <w:t>Y</w:t>
        </w:r>
        <w:r w:rsidRPr="00412578">
          <w:rPr>
            <w:rStyle w:val="Hipervnculo"/>
            <w:rFonts w:ascii="Tahoma" w:hAnsi="Tahoma" w:cs="Tahoma"/>
            <w:spacing w:val="21"/>
            <w:sz w:val="18"/>
            <w:szCs w:val="18"/>
          </w:rPr>
          <w:t xml:space="preserve"> </w:t>
        </w:r>
        <w:r w:rsidRPr="00412578">
          <w:rPr>
            <w:rStyle w:val="Hipervnculo"/>
            <w:rFonts w:ascii="Tahoma" w:hAnsi="Tahoma" w:cs="Tahoma"/>
            <w:sz w:val="18"/>
            <w:szCs w:val="18"/>
          </w:rPr>
          <w:t>PROHIBICIÓN</w:t>
        </w:r>
        <w:r w:rsidRPr="00412578">
          <w:rPr>
            <w:rStyle w:val="Hipervnculo"/>
            <w:rFonts w:ascii="Tahoma" w:hAnsi="Tahoma" w:cs="Tahoma"/>
            <w:spacing w:val="21"/>
            <w:sz w:val="18"/>
            <w:szCs w:val="18"/>
          </w:rPr>
          <w:t xml:space="preserve"> </w:t>
        </w:r>
        <w:r w:rsidRPr="00412578">
          <w:rPr>
            <w:rStyle w:val="Hipervnculo"/>
            <w:rFonts w:ascii="Tahoma" w:hAnsi="Tahoma" w:cs="Tahoma"/>
            <w:sz w:val="18"/>
            <w:szCs w:val="18"/>
          </w:rPr>
          <w:t>DE</w:t>
        </w:r>
        <w:r w:rsidRPr="00412578">
          <w:rPr>
            <w:rStyle w:val="Hipervnculo"/>
            <w:rFonts w:ascii="Tahoma" w:hAnsi="Tahoma" w:cs="Tahoma"/>
            <w:spacing w:val="21"/>
            <w:sz w:val="18"/>
            <w:szCs w:val="18"/>
          </w:rPr>
          <w:t xml:space="preserve"> </w:t>
        </w:r>
        <w:r w:rsidRPr="00412578">
          <w:rPr>
            <w:rStyle w:val="Hipervnculo"/>
            <w:rFonts w:ascii="Tahoma" w:hAnsi="Tahoma" w:cs="Tahoma"/>
            <w:spacing w:val="-2"/>
            <w:sz w:val="18"/>
            <w:szCs w:val="18"/>
          </w:rPr>
          <w:t>DISCRIMINACIÓN</w:t>
        </w:r>
      </w:hyperlink>
    </w:p>
    <w:p w14:paraId="59DE61AA" w14:textId="59FE7DB5" w:rsidR="003E5960" w:rsidRPr="007F6D54" w:rsidRDefault="003E5960" w:rsidP="003E5960">
      <w:pPr>
        <w:pStyle w:val="TDC4"/>
        <w:numPr>
          <w:ilvl w:val="1"/>
          <w:numId w:val="102"/>
        </w:numPr>
        <w:tabs>
          <w:tab w:val="left" w:pos="1915"/>
          <w:tab w:val="right" w:leader="dot" w:pos="9000"/>
        </w:tabs>
        <w:spacing w:before="0"/>
        <w:ind w:left="1915" w:hanging="190"/>
        <w:rPr>
          <w:rFonts w:ascii="Tahoma" w:hAnsi="Tahoma" w:cs="Tahoma"/>
          <w:sz w:val="18"/>
          <w:szCs w:val="18"/>
        </w:rPr>
      </w:pPr>
      <w:r w:rsidRPr="007F6D54">
        <w:rPr>
          <w:rFonts w:ascii="Tahoma" w:hAnsi="Tahoma" w:cs="Tahoma"/>
          <w:sz w:val="18"/>
          <w:szCs w:val="18"/>
        </w:rPr>
        <w:t>Derechos</w:t>
      </w:r>
      <w:r w:rsidRPr="007F6D54">
        <w:rPr>
          <w:rFonts w:ascii="Tahoma" w:hAnsi="Tahoma" w:cs="Tahoma"/>
          <w:spacing w:val="18"/>
          <w:sz w:val="18"/>
          <w:szCs w:val="18"/>
        </w:rPr>
        <w:t xml:space="preserve"> </w:t>
      </w:r>
      <w:r w:rsidRPr="007F6D54">
        <w:rPr>
          <w:rFonts w:ascii="Tahoma" w:hAnsi="Tahoma" w:cs="Tahoma"/>
          <w:sz w:val="18"/>
          <w:szCs w:val="18"/>
        </w:rPr>
        <w:t>de</w:t>
      </w:r>
      <w:r w:rsidRPr="007F6D54">
        <w:rPr>
          <w:rFonts w:ascii="Tahoma" w:hAnsi="Tahoma" w:cs="Tahoma"/>
          <w:spacing w:val="18"/>
          <w:sz w:val="18"/>
          <w:szCs w:val="18"/>
        </w:rPr>
        <w:t xml:space="preserve"> </w:t>
      </w:r>
      <w:r w:rsidRPr="007F6D54">
        <w:rPr>
          <w:rFonts w:ascii="Tahoma" w:hAnsi="Tahoma" w:cs="Tahoma"/>
          <w:sz w:val="18"/>
          <w:szCs w:val="18"/>
        </w:rPr>
        <w:t>las</w:t>
      </w:r>
      <w:r w:rsidRPr="007F6D54">
        <w:rPr>
          <w:rFonts w:ascii="Tahoma" w:hAnsi="Tahoma" w:cs="Tahoma"/>
          <w:spacing w:val="18"/>
          <w:sz w:val="18"/>
          <w:szCs w:val="18"/>
        </w:rPr>
        <w:t xml:space="preserve"> </w:t>
      </w:r>
      <w:r w:rsidRPr="007F6D54">
        <w:rPr>
          <w:rFonts w:ascii="Tahoma" w:hAnsi="Tahoma" w:cs="Tahoma"/>
          <w:sz w:val="18"/>
          <w:szCs w:val="18"/>
        </w:rPr>
        <w:t>minorías</w:t>
      </w:r>
      <w:r w:rsidRPr="007F6D54">
        <w:rPr>
          <w:rFonts w:ascii="Tahoma" w:hAnsi="Tahoma" w:cs="Tahoma"/>
          <w:spacing w:val="18"/>
          <w:sz w:val="18"/>
          <w:szCs w:val="18"/>
        </w:rPr>
        <w:t xml:space="preserve"> </w:t>
      </w:r>
      <w:r w:rsidRPr="007F6D54">
        <w:rPr>
          <w:rFonts w:ascii="Tahoma" w:hAnsi="Tahoma" w:cs="Tahoma"/>
          <w:sz w:val="18"/>
          <w:szCs w:val="18"/>
        </w:rPr>
        <w:t>según</w:t>
      </w:r>
      <w:r w:rsidRPr="007F6D54">
        <w:rPr>
          <w:rFonts w:ascii="Tahoma" w:hAnsi="Tahoma" w:cs="Tahoma"/>
          <w:spacing w:val="19"/>
          <w:sz w:val="18"/>
          <w:szCs w:val="18"/>
        </w:rPr>
        <w:t xml:space="preserve"> </w:t>
      </w:r>
      <w:r w:rsidRPr="007F6D54">
        <w:rPr>
          <w:rFonts w:ascii="Tahoma" w:hAnsi="Tahoma" w:cs="Tahoma"/>
          <w:sz w:val="18"/>
          <w:szCs w:val="18"/>
        </w:rPr>
        <w:t>el</w:t>
      </w:r>
      <w:r w:rsidRPr="007F6D54">
        <w:rPr>
          <w:rFonts w:ascii="Tahoma" w:hAnsi="Tahoma" w:cs="Tahoma"/>
          <w:spacing w:val="18"/>
          <w:sz w:val="18"/>
          <w:szCs w:val="18"/>
        </w:rPr>
        <w:t xml:space="preserve"> </w:t>
      </w:r>
      <w:r w:rsidRPr="007F6D54">
        <w:rPr>
          <w:rFonts w:ascii="Tahoma" w:hAnsi="Tahoma" w:cs="Tahoma"/>
          <w:sz w:val="18"/>
          <w:szCs w:val="18"/>
        </w:rPr>
        <w:t>derecho</w:t>
      </w:r>
      <w:r w:rsidRPr="007F6D54">
        <w:rPr>
          <w:rFonts w:ascii="Tahoma" w:hAnsi="Tahoma" w:cs="Tahoma"/>
          <w:spacing w:val="20"/>
          <w:sz w:val="18"/>
          <w:szCs w:val="18"/>
        </w:rPr>
        <w:t xml:space="preserve"> </w:t>
      </w:r>
      <w:r w:rsidRPr="007F6D54">
        <w:rPr>
          <w:rFonts w:ascii="Tahoma" w:hAnsi="Tahoma" w:cs="Tahoma"/>
          <w:spacing w:val="-2"/>
          <w:sz w:val="18"/>
          <w:szCs w:val="18"/>
        </w:rPr>
        <w:t>internacional.</w:t>
      </w:r>
    </w:p>
    <w:p w14:paraId="4355AE45" w14:textId="6898D9E0" w:rsidR="003E5960" w:rsidRPr="007F6D54" w:rsidRDefault="003E5960" w:rsidP="003E5960">
      <w:pPr>
        <w:pStyle w:val="TDC4"/>
        <w:numPr>
          <w:ilvl w:val="1"/>
          <w:numId w:val="102"/>
        </w:numPr>
        <w:tabs>
          <w:tab w:val="left" w:pos="1916"/>
          <w:tab w:val="right" w:leader="dot" w:pos="8819"/>
        </w:tabs>
        <w:spacing w:before="0"/>
        <w:ind w:left="1916" w:hanging="190"/>
        <w:rPr>
          <w:rFonts w:ascii="Tahoma" w:hAnsi="Tahoma" w:cs="Tahoma"/>
          <w:sz w:val="18"/>
          <w:szCs w:val="18"/>
        </w:rPr>
      </w:pPr>
      <w:r w:rsidRPr="007F6D54">
        <w:rPr>
          <w:rFonts w:ascii="Tahoma" w:hAnsi="Tahoma" w:cs="Tahoma"/>
          <w:sz w:val="18"/>
          <w:szCs w:val="18"/>
        </w:rPr>
        <w:t>¿Quiénes</w:t>
      </w:r>
      <w:r w:rsidRPr="007F6D54">
        <w:rPr>
          <w:rFonts w:ascii="Tahoma" w:hAnsi="Tahoma" w:cs="Tahoma"/>
          <w:spacing w:val="18"/>
          <w:sz w:val="18"/>
          <w:szCs w:val="18"/>
        </w:rPr>
        <w:t xml:space="preserve"> </w:t>
      </w:r>
      <w:r w:rsidRPr="007F6D54">
        <w:rPr>
          <w:rFonts w:ascii="Tahoma" w:hAnsi="Tahoma" w:cs="Tahoma"/>
          <w:sz w:val="18"/>
          <w:szCs w:val="18"/>
        </w:rPr>
        <w:t>son</w:t>
      </w:r>
      <w:r w:rsidRPr="007F6D54">
        <w:rPr>
          <w:rFonts w:ascii="Tahoma" w:hAnsi="Tahoma" w:cs="Tahoma"/>
          <w:spacing w:val="19"/>
          <w:sz w:val="18"/>
          <w:szCs w:val="18"/>
        </w:rPr>
        <w:t xml:space="preserve"> </w:t>
      </w:r>
      <w:r w:rsidRPr="007F6D54">
        <w:rPr>
          <w:rFonts w:ascii="Tahoma" w:hAnsi="Tahoma" w:cs="Tahoma"/>
          <w:sz w:val="18"/>
          <w:szCs w:val="18"/>
        </w:rPr>
        <w:t>las</w:t>
      </w:r>
      <w:r w:rsidRPr="007F6D54">
        <w:rPr>
          <w:rFonts w:ascii="Tahoma" w:hAnsi="Tahoma" w:cs="Tahoma"/>
          <w:spacing w:val="19"/>
          <w:sz w:val="18"/>
          <w:szCs w:val="18"/>
        </w:rPr>
        <w:t xml:space="preserve"> </w:t>
      </w:r>
      <w:r w:rsidRPr="007F6D54">
        <w:rPr>
          <w:rFonts w:ascii="Tahoma" w:hAnsi="Tahoma" w:cs="Tahoma"/>
          <w:spacing w:val="-2"/>
          <w:sz w:val="18"/>
          <w:szCs w:val="18"/>
        </w:rPr>
        <w:t>minorías?</w:t>
      </w:r>
      <w:r w:rsidRPr="007F6D54">
        <w:rPr>
          <w:rFonts w:ascii="Tahoma" w:hAnsi="Tahoma" w:cs="Tahoma"/>
          <w:sz w:val="18"/>
          <w:szCs w:val="18"/>
        </w:rPr>
        <w:t xml:space="preserve"> </w:t>
      </w:r>
    </w:p>
    <w:p w14:paraId="490B5C0A" w14:textId="098F11FF" w:rsidR="003E5960" w:rsidRPr="007F6D54" w:rsidRDefault="003E5960" w:rsidP="003E5960">
      <w:pPr>
        <w:pStyle w:val="TDC2"/>
        <w:numPr>
          <w:ilvl w:val="0"/>
          <w:numId w:val="102"/>
        </w:numPr>
        <w:tabs>
          <w:tab w:val="left" w:pos="1286"/>
          <w:tab w:val="right" w:leader="dot" w:pos="8134"/>
        </w:tabs>
        <w:spacing w:before="0"/>
        <w:ind w:left="1286" w:hanging="172"/>
        <w:rPr>
          <w:rFonts w:ascii="Tahoma" w:hAnsi="Tahoma" w:cs="Tahoma"/>
          <w:sz w:val="18"/>
          <w:szCs w:val="18"/>
        </w:rPr>
      </w:pPr>
      <w:hyperlink w:anchor="grupos" w:history="1">
        <w:r w:rsidRPr="00412578">
          <w:rPr>
            <w:rStyle w:val="Hipervnculo"/>
            <w:rFonts w:ascii="Tahoma" w:hAnsi="Tahoma" w:cs="Tahoma"/>
            <w:sz w:val="18"/>
            <w:szCs w:val="18"/>
          </w:rPr>
          <w:t>GRUPOS</w:t>
        </w:r>
        <w:r w:rsidRPr="00412578">
          <w:rPr>
            <w:rStyle w:val="Hipervnculo"/>
            <w:rFonts w:ascii="Tahoma" w:hAnsi="Tahoma" w:cs="Tahoma"/>
            <w:spacing w:val="23"/>
            <w:sz w:val="18"/>
            <w:szCs w:val="18"/>
          </w:rPr>
          <w:t xml:space="preserve"> </w:t>
        </w:r>
        <w:r w:rsidRPr="00412578">
          <w:rPr>
            <w:rStyle w:val="Hipervnculo"/>
            <w:rFonts w:ascii="Tahoma" w:hAnsi="Tahoma" w:cs="Tahoma"/>
            <w:sz w:val="18"/>
            <w:szCs w:val="18"/>
          </w:rPr>
          <w:t>EXPUESTOS</w:t>
        </w:r>
        <w:r w:rsidRPr="00412578">
          <w:rPr>
            <w:rStyle w:val="Hipervnculo"/>
            <w:rFonts w:ascii="Tahoma" w:hAnsi="Tahoma" w:cs="Tahoma"/>
            <w:spacing w:val="24"/>
            <w:sz w:val="18"/>
            <w:szCs w:val="18"/>
          </w:rPr>
          <w:t xml:space="preserve"> </w:t>
        </w:r>
        <w:r w:rsidRPr="00412578">
          <w:rPr>
            <w:rStyle w:val="Hipervnculo"/>
            <w:rFonts w:ascii="Tahoma" w:hAnsi="Tahoma" w:cs="Tahoma"/>
            <w:sz w:val="18"/>
            <w:szCs w:val="18"/>
          </w:rPr>
          <w:t>A</w:t>
        </w:r>
        <w:r w:rsidRPr="00412578">
          <w:rPr>
            <w:rStyle w:val="Hipervnculo"/>
            <w:rFonts w:ascii="Tahoma" w:hAnsi="Tahoma" w:cs="Tahoma"/>
            <w:spacing w:val="22"/>
            <w:sz w:val="18"/>
            <w:szCs w:val="18"/>
          </w:rPr>
          <w:t xml:space="preserve"> </w:t>
        </w:r>
        <w:r w:rsidRPr="00412578">
          <w:rPr>
            <w:rStyle w:val="Hipervnculo"/>
            <w:rFonts w:ascii="Tahoma" w:hAnsi="Tahoma" w:cs="Tahoma"/>
            <w:sz w:val="18"/>
            <w:szCs w:val="18"/>
          </w:rPr>
          <w:t>LA</w:t>
        </w:r>
        <w:r w:rsidRPr="00412578">
          <w:rPr>
            <w:rStyle w:val="Hipervnculo"/>
            <w:rFonts w:ascii="Tahoma" w:hAnsi="Tahoma" w:cs="Tahoma"/>
            <w:spacing w:val="22"/>
            <w:sz w:val="18"/>
            <w:szCs w:val="18"/>
          </w:rPr>
          <w:t xml:space="preserve"> </w:t>
        </w:r>
        <w:r w:rsidRPr="00412578">
          <w:rPr>
            <w:rStyle w:val="Hipervnculo"/>
            <w:rFonts w:ascii="Tahoma" w:hAnsi="Tahoma" w:cs="Tahoma"/>
            <w:sz w:val="18"/>
            <w:szCs w:val="18"/>
          </w:rPr>
          <w:t>DISCRIMINACIÓN</w:t>
        </w:r>
        <w:r w:rsidRPr="00412578">
          <w:rPr>
            <w:rStyle w:val="Hipervnculo"/>
            <w:rFonts w:ascii="Tahoma" w:hAnsi="Tahoma" w:cs="Tahoma"/>
            <w:spacing w:val="22"/>
            <w:sz w:val="18"/>
            <w:szCs w:val="18"/>
          </w:rPr>
          <w:t xml:space="preserve"> </w:t>
        </w:r>
        <w:r w:rsidRPr="00412578">
          <w:rPr>
            <w:rStyle w:val="Hipervnculo"/>
            <w:rFonts w:ascii="Tahoma" w:hAnsi="Tahoma" w:cs="Tahoma"/>
            <w:sz w:val="18"/>
            <w:szCs w:val="18"/>
          </w:rPr>
          <w:t>RACIAL</w:t>
        </w:r>
        <w:r w:rsidRPr="00412578">
          <w:rPr>
            <w:rStyle w:val="Hipervnculo"/>
            <w:rFonts w:ascii="Tahoma" w:hAnsi="Tahoma" w:cs="Tahoma"/>
            <w:spacing w:val="22"/>
            <w:sz w:val="18"/>
            <w:szCs w:val="18"/>
          </w:rPr>
          <w:t xml:space="preserve"> </w:t>
        </w:r>
        <w:r w:rsidRPr="00412578">
          <w:rPr>
            <w:rStyle w:val="Hipervnculo"/>
            <w:rFonts w:ascii="Tahoma" w:hAnsi="Tahoma" w:cs="Tahoma"/>
            <w:sz w:val="18"/>
            <w:szCs w:val="18"/>
          </w:rPr>
          <w:t>Y</w:t>
        </w:r>
        <w:r w:rsidRPr="00412578">
          <w:rPr>
            <w:rStyle w:val="Hipervnculo"/>
            <w:rFonts w:ascii="Tahoma" w:hAnsi="Tahoma" w:cs="Tahoma"/>
            <w:spacing w:val="22"/>
            <w:sz w:val="18"/>
            <w:szCs w:val="18"/>
          </w:rPr>
          <w:t xml:space="preserve"> </w:t>
        </w:r>
        <w:r w:rsidRPr="00412578">
          <w:rPr>
            <w:rStyle w:val="Hipervnculo"/>
            <w:rFonts w:ascii="Tahoma" w:hAnsi="Tahoma" w:cs="Tahoma"/>
            <w:sz w:val="18"/>
            <w:szCs w:val="18"/>
          </w:rPr>
          <w:t>LOS</w:t>
        </w:r>
        <w:r w:rsidRPr="00412578">
          <w:rPr>
            <w:rStyle w:val="Hipervnculo"/>
            <w:rFonts w:ascii="Tahoma" w:hAnsi="Tahoma" w:cs="Tahoma"/>
            <w:spacing w:val="23"/>
            <w:sz w:val="18"/>
            <w:szCs w:val="18"/>
          </w:rPr>
          <w:t xml:space="preserve"> </w:t>
        </w:r>
        <w:r w:rsidRPr="00412578">
          <w:rPr>
            <w:rStyle w:val="Hipervnculo"/>
            <w:rFonts w:ascii="Tahoma" w:hAnsi="Tahoma" w:cs="Tahoma"/>
            <w:sz w:val="18"/>
            <w:szCs w:val="18"/>
          </w:rPr>
          <w:t>DAÑOS</w:t>
        </w:r>
        <w:r w:rsidRPr="00412578">
          <w:rPr>
            <w:rStyle w:val="Hipervnculo"/>
            <w:rFonts w:ascii="Tahoma" w:hAnsi="Tahoma" w:cs="Tahoma"/>
            <w:spacing w:val="24"/>
            <w:sz w:val="18"/>
            <w:szCs w:val="18"/>
          </w:rPr>
          <w:t xml:space="preserve"> </w:t>
        </w:r>
        <w:r w:rsidRPr="00412578">
          <w:rPr>
            <w:rStyle w:val="Hipervnculo"/>
            <w:rFonts w:ascii="Tahoma" w:hAnsi="Tahoma" w:cs="Tahoma"/>
            <w:spacing w:val="-2"/>
            <w:sz w:val="18"/>
            <w:szCs w:val="18"/>
          </w:rPr>
          <w:t>ASOCIADOS</w:t>
        </w:r>
      </w:hyperlink>
    </w:p>
    <w:p w14:paraId="53D6D6B4" w14:textId="77777777" w:rsidR="003E5960" w:rsidRPr="007F6D54" w:rsidRDefault="003E5960" w:rsidP="003E5960">
      <w:pPr>
        <w:pStyle w:val="TDC4"/>
        <w:numPr>
          <w:ilvl w:val="1"/>
          <w:numId w:val="102"/>
        </w:numPr>
        <w:tabs>
          <w:tab w:val="left" w:pos="1915"/>
          <w:tab w:val="left" w:leader="dot" w:pos="8497"/>
        </w:tabs>
        <w:spacing w:before="0"/>
        <w:ind w:left="1915" w:hanging="190"/>
        <w:rPr>
          <w:rFonts w:ascii="Tahoma" w:hAnsi="Tahoma" w:cs="Tahoma"/>
          <w:sz w:val="18"/>
          <w:szCs w:val="18"/>
        </w:rPr>
      </w:pPr>
      <w:r w:rsidRPr="007F6D54">
        <w:rPr>
          <w:rFonts w:ascii="Tahoma" w:hAnsi="Tahoma" w:cs="Tahoma"/>
          <w:w w:val="105"/>
          <w:sz w:val="18"/>
          <w:szCs w:val="18"/>
        </w:rPr>
        <w:t>Discriminación</w:t>
      </w:r>
      <w:r w:rsidRPr="007F6D54">
        <w:rPr>
          <w:rFonts w:ascii="Tahoma" w:hAnsi="Tahoma" w:cs="Tahoma"/>
          <w:spacing w:val="-4"/>
          <w:w w:val="105"/>
          <w:sz w:val="18"/>
          <w:szCs w:val="18"/>
        </w:rPr>
        <w:t xml:space="preserve"> </w:t>
      </w:r>
      <w:r w:rsidRPr="007F6D54">
        <w:rPr>
          <w:rFonts w:ascii="Tahoma" w:hAnsi="Tahoma" w:cs="Tahoma"/>
          <w:w w:val="105"/>
          <w:sz w:val="18"/>
          <w:szCs w:val="18"/>
        </w:rPr>
        <w:t>racial:</w:t>
      </w:r>
      <w:r w:rsidRPr="007F6D54">
        <w:rPr>
          <w:rFonts w:ascii="Tahoma" w:hAnsi="Tahoma" w:cs="Tahoma"/>
          <w:spacing w:val="-3"/>
          <w:w w:val="105"/>
          <w:sz w:val="18"/>
          <w:szCs w:val="18"/>
        </w:rPr>
        <w:t xml:space="preserve"> </w:t>
      </w:r>
      <w:proofErr w:type="spellStart"/>
      <w:r w:rsidRPr="007F6D54">
        <w:rPr>
          <w:rFonts w:ascii="Tahoma" w:hAnsi="Tahoma" w:cs="Tahoma"/>
          <w:w w:val="105"/>
          <w:sz w:val="18"/>
          <w:szCs w:val="18"/>
        </w:rPr>
        <w:t>jus</w:t>
      </w:r>
      <w:proofErr w:type="spellEnd"/>
      <w:r w:rsidRPr="007F6D54">
        <w:rPr>
          <w:rFonts w:ascii="Tahoma" w:hAnsi="Tahoma" w:cs="Tahoma"/>
          <w:spacing w:val="-5"/>
          <w:w w:val="105"/>
          <w:sz w:val="18"/>
          <w:szCs w:val="18"/>
        </w:rPr>
        <w:t xml:space="preserve"> </w:t>
      </w:r>
      <w:r w:rsidRPr="007F6D54">
        <w:rPr>
          <w:rFonts w:ascii="Tahoma" w:hAnsi="Tahoma" w:cs="Tahoma"/>
          <w:w w:val="105"/>
          <w:sz w:val="18"/>
          <w:szCs w:val="18"/>
        </w:rPr>
        <w:t>cogens,</w:t>
      </w:r>
      <w:r w:rsidRPr="007F6D54">
        <w:rPr>
          <w:rFonts w:ascii="Tahoma" w:hAnsi="Tahoma" w:cs="Tahoma"/>
          <w:spacing w:val="-3"/>
          <w:w w:val="105"/>
          <w:sz w:val="18"/>
          <w:szCs w:val="18"/>
        </w:rPr>
        <w:t xml:space="preserve"> </w:t>
      </w:r>
      <w:r w:rsidRPr="007F6D54">
        <w:rPr>
          <w:rFonts w:ascii="Tahoma" w:hAnsi="Tahoma" w:cs="Tahoma"/>
          <w:w w:val="105"/>
          <w:sz w:val="18"/>
          <w:szCs w:val="18"/>
        </w:rPr>
        <w:t>en</w:t>
      </w:r>
      <w:r w:rsidRPr="007F6D54">
        <w:rPr>
          <w:rFonts w:ascii="Tahoma" w:hAnsi="Tahoma" w:cs="Tahoma"/>
          <w:spacing w:val="-5"/>
          <w:w w:val="105"/>
          <w:sz w:val="18"/>
          <w:szCs w:val="18"/>
        </w:rPr>
        <w:t xml:space="preserve"> </w:t>
      </w:r>
      <w:r w:rsidRPr="007F6D54">
        <w:rPr>
          <w:rFonts w:ascii="Tahoma" w:hAnsi="Tahoma" w:cs="Tahoma"/>
          <w:w w:val="105"/>
          <w:sz w:val="18"/>
          <w:szCs w:val="18"/>
        </w:rPr>
        <w:t>particular</w:t>
      </w:r>
      <w:r w:rsidRPr="007F6D54">
        <w:rPr>
          <w:rFonts w:ascii="Tahoma" w:hAnsi="Tahoma" w:cs="Tahoma"/>
          <w:spacing w:val="-4"/>
          <w:w w:val="105"/>
          <w:sz w:val="18"/>
          <w:szCs w:val="18"/>
        </w:rPr>
        <w:t xml:space="preserve"> </w:t>
      </w:r>
      <w:r w:rsidRPr="007F6D54">
        <w:rPr>
          <w:rFonts w:ascii="Tahoma" w:hAnsi="Tahoma" w:cs="Tahoma"/>
          <w:w w:val="105"/>
          <w:sz w:val="18"/>
          <w:szCs w:val="18"/>
        </w:rPr>
        <w:t>el</w:t>
      </w:r>
      <w:r w:rsidRPr="007F6D54">
        <w:rPr>
          <w:rFonts w:ascii="Tahoma" w:hAnsi="Tahoma" w:cs="Tahoma"/>
          <w:spacing w:val="-5"/>
          <w:w w:val="105"/>
          <w:sz w:val="18"/>
          <w:szCs w:val="18"/>
        </w:rPr>
        <w:t xml:space="preserve"> </w:t>
      </w:r>
      <w:r w:rsidRPr="007F6D54">
        <w:rPr>
          <w:rFonts w:ascii="Tahoma" w:hAnsi="Tahoma" w:cs="Tahoma"/>
          <w:w w:val="105"/>
          <w:sz w:val="18"/>
          <w:szCs w:val="18"/>
        </w:rPr>
        <w:t>daño</w:t>
      </w:r>
      <w:r w:rsidRPr="007F6D54">
        <w:rPr>
          <w:rFonts w:ascii="Tahoma" w:hAnsi="Tahoma" w:cs="Tahoma"/>
          <w:spacing w:val="-4"/>
          <w:w w:val="105"/>
          <w:sz w:val="18"/>
          <w:szCs w:val="18"/>
        </w:rPr>
        <w:t xml:space="preserve"> </w:t>
      </w:r>
      <w:r w:rsidRPr="007F6D54">
        <w:rPr>
          <w:rFonts w:ascii="Tahoma" w:hAnsi="Tahoma" w:cs="Tahoma"/>
          <w:w w:val="105"/>
          <w:sz w:val="18"/>
          <w:szCs w:val="18"/>
        </w:rPr>
        <w:t>injusto,</w:t>
      </w:r>
      <w:r w:rsidRPr="007F6D54">
        <w:rPr>
          <w:rFonts w:ascii="Tahoma" w:hAnsi="Tahoma" w:cs="Tahoma"/>
          <w:spacing w:val="-3"/>
          <w:w w:val="105"/>
          <w:sz w:val="18"/>
          <w:szCs w:val="18"/>
        </w:rPr>
        <w:t xml:space="preserve"> </w:t>
      </w:r>
      <w:r w:rsidRPr="007F6D54">
        <w:rPr>
          <w:rFonts w:ascii="Tahoma" w:hAnsi="Tahoma" w:cs="Tahoma"/>
          <w:w w:val="105"/>
          <w:sz w:val="18"/>
          <w:szCs w:val="18"/>
        </w:rPr>
        <w:t>y</w:t>
      </w:r>
      <w:r w:rsidRPr="007F6D54">
        <w:rPr>
          <w:rFonts w:ascii="Tahoma" w:hAnsi="Tahoma" w:cs="Tahoma"/>
          <w:spacing w:val="-4"/>
          <w:w w:val="105"/>
          <w:sz w:val="18"/>
          <w:szCs w:val="18"/>
        </w:rPr>
        <w:t xml:space="preserve"> </w:t>
      </w:r>
      <w:r w:rsidRPr="007F6D54">
        <w:rPr>
          <w:rFonts w:ascii="Tahoma" w:hAnsi="Tahoma" w:cs="Tahoma"/>
          <w:w w:val="105"/>
          <w:sz w:val="18"/>
          <w:szCs w:val="18"/>
        </w:rPr>
        <w:t>el</w:t>
      </w:r>
      <w:r w:rsidRPr="007F6D54">
        <w:rPr>
          <w:rFonts w:ascii="Tahoma" w:hAnsi="Tahoma" w:cs="Tahoma"/>
          <w:spacing w:val="-4"/>
          <w:w w:val="105"/>
          <w:sz w:val="18"/>
          <w:szCs w:val="18"/>
        </w:rPr>
        <w:t xml:space="preserve"> </w:t>
      </w:r>
      <w:r w:rsidRPr="007F6D54">
        <w:rPr>
          <w:rFonts w:ascii="Tahoma" w:hAnsi="Tahoma" w:cs="Tahoma"/>
          <w:w w:val="105"/>
          <w:sz w:val="18"/>
          <w:szCs w:val="18"/>
        </w:rPr>
        <w:t>problema</w:t>
      </w:r>
      <w:r w:rsidRPr="007F6D54">
        <w:rPr>
          <w:rFonts w:ascii="Tahoma" w:hAnsi="Tahoma" w:cs="Tahoma"/>
          <w:spacing w:val="-4"/>
          <w:w w:val="105"/>
          <w:sz w:val="18"/>
          <w:szCs w:val="18"/>
        </w:rPr>
        <w:t xml:space="preserve"> </w:t>
      </w:r>
      <w:r w:rsidRPr="007F6D54">
        <w:rPr>
          <w:rFonts w:ascii="Tahoma" w:hAnsi="Tahoma" w:cs="Tahoma"/>
          <w:w w:val="105"/>
          <w:sz w:val="18"/>
          <w:szCs w:val="18"/>
        </w:rPr>
        <w:t>de</w:t>
      </w:r>
      <w:r w:rsidRPr="007F6D54">
        <w:rPr>
          <w:rFonts w:ascii="Tahoma" w:hAnsi="Tahoma" w:cs="Tahoma"/>
          <w:spacing w:val="-4"/>
          <w:w w:val="105"/>
          <w:sz w:val="18"/>
          <w:szCs w:val="18"/>
        </w:rPr>
        <w:t xml:space="preserve"> </w:t>
      </w:r>
      <w:r w:rsidRPr="007F6D54">
        <w:rPr>
          <w:rFonts w:ascii="Tahoma" w:hAnsi="Tahoma" w:cs="Tahoma"/>
          <w:w w:val="105"/>
          <w:sz w:val="18"/>
          <w:szCs w:val="18"/>
        </w:rPr>
        <w:t>la</w:t>
      </w:r>
      <w:r w:rsidRPr="007F6D54">
        <w:rPr>
          <w:rFonts w:ascii="Tahoma" w:hAnsi="Tahoma" w:cs="Tahoma"/>
          <w:spacing w:val="-5"/>
          <w:w w:val="105"/>
          <w:sz w:val="18"/>
          <w:szCs w:val="18"/>
        </w:rPr>
        <w:t xml:space="preserve"> </w:t>
      </w:r>
      <w:r w:rsidRPr="007F6D54">
        <w:rPr>
          <w:rFonts w:ascii="Tahoma" w:hAnsi="Tahoma" w:cs="Tahoma"/>
          <w:spacing w:val="-2"/>
          <w:w w:val="105"/>
          <w:sz w:val="18"/>
          <w:szCs w:val="18"/>
        </w:rPr>
        <w:t>negación</w:t>
      </w:r>
      <w:r w:rsidRPr="007F6D54">
        <w:rPr>
          <w:rFonts w:ascii="Tahoma" w:hAnsi="Tahoma" w:cs="Tahoma"/>
          <w:sz w:val="18"/>
          <w:szCs w:val="18"/>
        </w:rPr>
        <w:tab/>
      </w:r>
    </w:p>
    <w:p w14:paraId="73F7A6E2" w14:textId="77777777" w:rsidR="003E5960" w:rsidRPr="007F6D54" w:rsidRDefault="003E5960" w:rsidP="003E5960">
      <w:pPr>
        <w:pStyle w:val="TDC4"/>
        <w:numPr>
          <w:ilvl w:val="1"/>
          <w:numId w:val="102"/>
        </w:numPr>
        <w:tabs>
          <w:tab w:val="left" w:pos="1915"/>
          <w:tab w:val="left" w:leader="dot" w:pos="8497"/>
        </w:tabs>
        <w:spacing w:before="0"/>
        <w:ind w:left="1915" w:hanging="190"/>
        <w:rPr>
          <w:rFonts w:ascii="Tahoma" w:hAnsi="Tahoma" w:cs="Tahoma"/>
          <w:sz w:val="18"/>
          <w:szCs w:val="18"/>
        </w:rPr>
      </w:pPr>
      <w:r w:rsidRPr="007F6D54">
        <w:rPr>
          <w:rFonts w:ascii="Tahoma" w:hAnsi="Tahoma" w:cs="Tahoma"/>
          <w:spacing w:val="-2"/>
          <w:w w:val="105"/>
          <w:sz w:val="18"/>
          <w:szCs w:val="18"/>
        </w:rPr>
        <w:t>Comunidad,</w:t>
      </w:r>
      <w:r w:rsidRPr="007F6D54">
        <w:rPr>
          <w:rFonts w:ascii="Tahoma" w:hAnsi="Tahoma" w:cs="Tahoma"/>
          <w:sz w:val="18"/>
          <w:szCs w:val="18"/>
        </w:rPr>
        <w:t xml:space="preserve"> autonomía,</w:t>
      </w:r>
      <w:r w:rsidRPr="007F6D54">
        <w:rPr>
          <w:rFonts w:ascii="Tahoma" w:hAnsi="Tahoma" w:cs="Tahoma"/>
          <w:spacing w:val="20"/>
          <w:sz w:val="18"/>
          <w:szCs w:val="18"/>
        </w:rPr>
        <w:t xml:space="preserve"> </w:t>
      </w:r>
      <w:r w:rsidRPr="007F6D54">
        <w:rPr>
          <w:rFonts w:ascii="Tahoma" w:hAnsi="Tahoma" w:cs="Tahoma"/>
          <w:sz w:val="18"/>
          <w:szCs w:val="18"/>
        </w:rPr>
        <w:t>igualdad</w:t>
      </w:r>
      <w:r w:rsidRPr="007F6D54">
        <w:rPr>
          <w:rFonts w:ascii="Tahoma" w:hAnsi="Tahoma" w:cs="Tahoma"/>
          <w:spacing w:val="19"/>
          <w:sz w:val="18"/>
          <w:szCs w:val="18"/>
        </w:rPr>
        <w:t xml:space="preserve"> </w:t>
      </w:r>
      <w:r w:rsidRPr="007F6D54">
        <w:rPr>
          <w:rFonts w:ascii="Tahoma" w:hAnsi="Tahoma" w:cs="Tahoma"/>
          <w:sz w:val="18"/>
          <w:szCs w:val="18"/>
        </w:rPr>
        <w:t>y</w:t>
      </w:r>
      <w:r w:rsidRPr="007F6D54">
        <w:rPr>
          <w:rFonts w:ascii="Tahoma" w:hAnsi="Tahoma" w:cs="Tahoma"/>
          <w:spacing w:val="21"/>
          <w:sz w:val="18"/>
          <w:szCs w:val="18"/>
        </w:rPr>
        <w:t xml:space="preserve"> </w:t>
      </w:r>
      <w:r w:rsidRPr="007F6D54">
        <w:rPr>
          <w:rFonts w:ascii="Tahoma" w:hAnsi="Tahoma" w:cs="Tahoma"/>
          <w:sz w:val="18"/>
          <w:szCs w:val="18"/>
        </w:rPr>
        <w:t>no</w:t>
      </w:r>
      <w:r w:rsidRPr="007F6D54">
        <w:rPr>
          <w:rFonts w:ascii="Tahoma" w:hAnsi="Tahoma" w:cs="Tahoma"/>
          <w:spacing w:val="19"/>
          <w:sz w:val="18"/>
          <w:szCs w:val="18"/>
        </w:rPr>
        <w:t xml:space="preserve"> </w:t>
      </w:r>
      <w:r w:rsidRPr="007F6D54">
        <w:rPr>
          <w:rFonts w:ascii="Tahoma" w:hAnsi="Tahoma" w:cs="Tahoma"/>
          <w:sz w:val="18"/>
          <w:szCs w:val="18"/>
        </w:rPr>
        <w:t>discriminación</w:t>
      </w:r>
      <w:r w:rsidRPr="007F6D54">
        <w:rPr>
          <w:rFonts w:ascii="Tahoma" w:hAnsi="Tahoma" w:cs="Tahoma"/>
          <w:spacing w:val="21"/>
          <w:sz w:val="18"/>
          <w:szCs w:val="18"/>
        </w:rPr>
        <w:t xml:space="preserve"> </w:t>
      </w:r>
      <w:r w:rsidRPr="007F6D54">
        <w:rPr>
          <w:rFonts w:ascii="Tahoma" w:hAnsi="Tahoma" w:cs="Tahoma"/>
          <w:sz w:val="18"/>
          <w:szCs w:val="18"/>
        </w:rPr>
        <w:t>y</w:t>
      </w:r>
      <w:r w:rsidRPr="007F6D54">
        <w:rPr>
          <w:rFonts w:ascii="Tahoma" w:hAnsi="Tahoma" w:cs="Tahoma"/>
          <w:spacing w:val="21"/>
          <w:sz w:val="18"/>
          <w:szCs w:val="18"/>
        </w:rPr>
        <w:t xml:space="preserve"> </w:t>
      </w:r>
      <w:r w:rsidRPr="007F6D54">
        <w:rPr>
          <w:rFonts w:ascii="Tahoma" w:hAnsi="Tahoma" w:cs="Tahoma"/>
          <w:sz w:val="18"/>
          <w:szCs w:val="18"/>
        </w:rPr>
        <w:t>prácticas</w:t>
      </w:r>
      <w:r w:rsidRPr="007F6D54">
        <w:rPr>
          <w:rFonts w:ascii="Tahoma" w:hAnsi="Tahoma" w:cs="Tahoma"/>
          <w:spacing w:val="19"/>
          <w:sz w:val="18"/>
          <w:szCs w:val="18"/>
        </w:rPr>
        <w:t xml:space="preserve"> </w:t>
      </w:r>
      <w:r w:rsidRPr="007F6D54">
        <w:rPr>
          <w:rFonts w:ascii="Tahoma" w:hAnsi="Tahoma" w:cs="Tahoma"/>
          <w:spacing w:val="-2"/>
          <w:sz w:val="18"/>
          <w:szCs w:val="18"/>
        </w:rPr>
        <w:t>nocivas</w:t>
      </w:r>
    </w:p>
    <w:p w14:paraId="7ECA10BA" w14:textId="3569C3F1" w:rsidR="003E5960" w:rsidRPr="007F6D54" w:rsidRDefault="003E5960" w:rsidP="003E5960">
      <w:pPr>
        <w:pStyle w:val="TDC2"/>
        <w:numPr>
          <w:ilvl w:val="0"/>
          <w:numId w:val="102"/>
        </w:numPr>
        <w:tabs>
          <w:tab w:val="left" w:pos="1328"/>
          <w:tab w:val="right" w:leader="dot" w:pos="8420"/>
        </w:tabs>
        <w:spacing w:before="0"/>
        <w:ind w:left="1328" w:hanging="214"/>
        <w:rPr>
          <w:rFonts w:ascii="Tahoma" w:hAnsi="Tahoma" w:cs="Tahoma"/>
          <w:sz w:val="18"/>
          <w:szCs w:val="18"/>
        </w:rPr>
      </w:pPr>
      <w:hyperlink w:anchor="religiosas" w:history="1">
        <w:r w:rsidRPr="00806787">
          <w:rPr>
            <w:rStyle w:val="Hipervnculo"/>
            <w:rFonts w:ascii="Tahoma" w:hAnsi="Tahoma" w:cs="Tahoma"/>
            <w:sz w:val="18"/>
            <w:szCs w:val="18"/>
          </w:rPr>
          <w:t>MINORÍAS</w:t>
        </w:r>
        <w:r w:rsidRPr="00806787">
          <w:rPr>
            <w:rStyle w:val="Hipervnculo"/>
            <w:rFonts w:ascii="Tahoma" w:hAnsi="Tahoma" w:cs="Tahoma"/>
            <w:spacing w:val="22"/>
            <w:sz w:val="18"/>
            <w:szCs w:val="18"/>
          </w:rPr>
          <w:t xml:space="preserve"> </w:t>
        </w:r>
        <w:r w:rsidRPr="00806787">
          <w:rPr>
            <w:rStyle w:val="Hipervnculo"/>
            <w:rFonts w:ascii="Tahoma" w:hAnsi="Tahoma" w:cs="Tahoma"/>
            <w:sz w:val="18"/>
            <w:szCs w:val="18"/>
          </w:rPr>
          <w:t>RELIGIOSAS</w:t>
        </w:r>
        <w:r w:rsidRPr="00806787">
          <w:rPr>
            <w:rStyle w:val="Hipervnculo"/>
            <w:rFonts w:ascii="Tahoma" w:hAnsi="Tahoma" w:cs="Tahoma"/>
            <w:spacing w:val="23"/>
            <w:sz w:val="18"/>
            <w:szCs w:val="18"/>
          </w:rPr>
          <w:t xml:space="preserve"> </w:t>
        </w:r>
        <w:r w:rsidRPr="00806787">
          <w:rPr>
            <w:rStyle w:val="Hipervnculo"/>
            <w:rFonts w:ascii="Tahoma" w:hAnsi="Tahoma" w:cs="Tahoma"/>
            <w:sz w:val="18"/>
            <w:szCs w:val="18"/>
          </w:rPr>
          <w:t>O</w:t>
        </w:r>
        <w:r w:rsidRPr="00806787">
          <w:rPr>
            <w:rStyle w:val="Hipervnculo"/>
            <w:rFonts w:ascii="Tahoma" w:hAnsi="Tahoma" w:cs="Tahoma"/>
            <w:spacing w:val="21"/>
            <w:sz w:val="18"/>
            <w:szCs w:val="18"/>
          </w:rPr>
          <w:t xml:space="preserve"> </w:t>
        </w:r>
        <w:r w:rsidRPr="00806787">
          <w:rPr>
            <w:rStyle w:val="Hipervnculo"/>
            <w:rFonts w:ascii="Tahoma" w:hAnsi="Tahoma" w:cs="Tahoma"/>
            <w:sz w:val="18"/>
            <w:szCs w:val="18"/>
          </w:rPr>
          <w:t>DE</w:t>
        </w:r>
        <w:r w:rsidRPr="00806787">
          <w:rPr>
            <w:rStyle w:val="Hipervnculo"/>
            <w:rFonts w:ascii="Tahoma" w:hAnsi="Tahoma" w:cs="Tahoma"/>
            <w:spacing w:val="21"/>
            <w:sz w:val="18"/>
            <w:szCs w:val="18"/>
          </w:rPr>
          <w:t xml:space="preserve"> </w:t>
        </w:r>
        <w:r w:rsidRPr="00806787">
          <w:rPr>
            <w:rStyle w:val="Hipervnculo"/>
            <w:rFonts w:ascii="Tahoma" w:hAnsi="Tahoma" w:cs="Tahoma"/>
            <w:sz w:val="18"/>
            <w:szCs w:val="18"/>
          </w:rPr>
          <w:t>CREENCIAS</w:t>
        </w:r>
        <w:r w:rsidRPr="00806787">
          <w:rPr>
            <w:rStyle w:val="Hipervnculo"/>
            <w:rFonts w:ascii="Tahoma" w:hAnsi="Tahoma" w:cs="Tahoma"/>
            <w:spacing w:val="23"/>
            <w:sz w:val="18"/>
            <w:szCs w:val="18"/>
          </w:rPr>
          <w:t xml:space="preserve"> </w:t>
        </w:r>
        <w:r w:rsidRPr="00806787">
          <w:rPr>
            <w:rStyle w:val="Hipervnculo"/>
            <w:rFonts w:ascii="Tahoma" w:hAnsi="Tahoma" w:cs="Tahoma"/>
            <w:sz w:val="18"/>
            <w:szCs w:val="18"/>
          </w:rPr>
          <w:t>Y</w:t>
        </w:r>
        <w:r w:rsidRPr="00806787">
          <w:rPr>
            <w:rStyle w:val="Hipervnculo"/>
            <w:rFonts w:ascii="Tahoma" w:hAnsi="Tahoma" w:cs="Tahoma"/>
            <w:spacing w:val="21"/>
            <w:sz w:val="18"/>
            <w:szCs w:val="18"/>
          </w:rPr>
          <w:t xml:space="preserve"> </w:t>
        </w:r>
        <w:r w:rsidRPr="00806787">
          <w:rPr>
            <w:rStyle w:val="Hipervnculo"/>
            <w:rFonts w:ascii="Tahoma" w:hAnsi="Tahoma" w:cs="Tahoma"/>
            <w:spacing w:val="-2"/>
            <w:sz w:val="18"/>
            <w:szCs w:val="18"/>
          </w:rPr>
          <w:t>DISCRIMINACIÓN</w:t>
        </w:r>
      </w:hyperlink>
    </w:p>
    <w:p w14:paraId="28F0ADAD" w14:textId="77777777" w:rsidR="003E5960" w:rsidRPr="007F6D54" w:rsidRDefault="003E5960" w:rsidP="003E5960">
      <w:pPr>
        <w:pStyle w:val="TDC4"/>
        <w:numPr>
          <w:ilvl w:val="1"/>
          <w:numId w:val="102"/>
        </w:numPr>
        <w:tabs>
          <w:tab w:val="left" w:pos="1915"/>
          <w:tab w:val="left" w:leader="dot" w:pos="7918"/>
        </w:tabs>
        <w:spacing w:before="0"/>
        <w:ind w:left="1915" w:hanging="190"/>
        <w:rPr>
          <w:rFonts w:ascii="Tahoma" w:hAnsi="Tahoma" w:cs="Tahoma"/>
          <w:sz w:val="18"/>
          <w:szCs w:val="18"/>
        </w:rPr>
      </w:pPr>
      <w:r w:rsidRPr="007F6D54">
        <w:rPr>
          <w:rFonts w:ascii="Tahoma" w:hAnsi="Tahoma" w:cs="Tahoma"/>
          <w:w w:val="105"/>
          <w:sz w:val="18"/>
          <w:szCs w:val="18"/>
        </w:rPr>
        <w:t>Igualdad</w:t>
      </w:r>
      <w:r w:rsidRPr="007F6D54">
        <w:rPr>
          <w:rFonts w:ascii="Tahoma" w:hAnsi="Tahoma" w:cs="Tahoma"/>
          <w:spacing w:val="-5"/>
          <w:w w:val="105"/>
          <w:sz w:val="18"/>
          <w:szCs w:val="18"/>
        </w:rPr>
        <w:t xml:space="preserve"> </w:t>
      </w:r>
      <w:r w:rsidRPr="007F6D54">
        <w:rPr>
          <w:rFonts w:ascii="Tahoma" w:hAnsi="Tahoma" w:cs="Tahoma"/>
          <w:w w:val="105"/>
          <w:sz w:val="18"/>
          <w:szCs w:val="18"/>
        </w:rPr>
        <w:t>y</w:t>
      </w:r>
      <w:r w:rsidRPr="007F6D54">
        <w:rPr>
          <w:rFonts w:ascii="Tahoma" w:hAnsi="Tahoma" w:cs="Tahoma"/>
          <w:spacing w:val="-4"/>
          <w:w w:val="105"/>
          <w:sz w:val="18"/>
          <w:szCs w:val="18"/>
        </w:rPr>
        <w:t xml:space="preserve"> </w:t>
      </w:r>
      <w:r w:rsidRPr="007F6D54">
        <w:rPr>
          <w:rFonts w:ascii="Tahoma" w:hAnsi="Tahoma" w:cs="Tahoma"/>
          <w:w w:val="105"/>
          <w:sz w:val="18"/>
          <w:szCs w:val="18"/>
        </w:rPr>
        <w:t>no</w:t>
      </w:r>
      <w:r w:rsidRPr="007F6D54">
        <w:rPr>
          <w:rFonts w:ascii="Tahoma" w:hAnsi="Tahoma" w:cs="Tahoma"/>
          <w:spacing w:val="-4"/>
          <w:w w:val="105"/>
          <w:sz w:val="18"/>
          <w:szCs w:val="18"/>
        </w:rPr>
        <w:t xml:space="preserve"> </w:t>
      </w:r>
      <w:r w:rsidRPr="007F6D54">
        <w:rPr>
          <w:rFonts w:ascii="Tahoma" w:hAnsi="Tahoma" w:cs="Tahoma"/>
          <w:w w:val="105"/>
          <w:sz w:val="18"/>
          <w:szCs w:val="18"/>
        </w:rPr>
        <w:t>discriminación</w:t>
      </w:r>
      <w:r w:rsidRPr="007F6D54">
        <w:rPr>
          <w:rFonts w:ascii="Tahoma" w:hAnsi="Tahoma" w:cs="Tahoma"/>
          <w:spacing w:val="-4"/>
          <w:w w:val="105"/>
          <w:sz w:val="18"/>
          <w:szCs w:val="18"/>
        </w:rPr>
        <w:t xml:space="preserve"> </w:t>
      </w:r>
      <w:r w:rsidRPr="007F6D54">
        <w:rPr>
          <w:rFonts w:ascii="Tahoma" w:hAnsi="Tahoma" w:cs="Tahoma"/>
          <w:w w:val="105"/>
          <w:sz w:val="18"/>
          <w:szCs w:val="18"/>
        </w:rPr>
        <w:t>en</w:t>
      </w:r>
      <w:r w:rsidRPr="007F6D54">
        <w:rPr>
          <w:rFonts w:ascii="Tahoma" w:hAnsi="Tahoma" w:cs="Tahoma"/>
          <w:spacing w:val="-4"/>
          <w:w w:val="105"/>
          <w:sz w:val="18"/>
          <w:szCs w:val="18"/>
        </w:rPr>
        <w:t xml:space="preserve"> </w:t>
      </w:r>
      <w:r w:rsidRPr="007F6D54">
        <w:rPr>
          <w:rFonts w:ascii="Tahoma" w:hAnsi="Tahoma" w:cs="Tahoma"/>
          <w:w w:val="105"/>
          <w:sz w:val="18"/>
          <w:szCs w:val="18"/>
        </w:rPr>
        <w:t>el</w:t>
      </w:r>
      <w:r w:rsidRPr="007F6D54">
        <w:rPr>
          <w:rFonts w:ascii="Tahoma" w:hAnsi="Tahoma" w:cs="Tahoma"/>
          <w:spacing w:val="-5"/>
          <w:w w:val="105"/>
          <w:sz w:val="18"/>
          <w:szCs w:val="18"/>
        </w:rPr>
        <w:t xml:space="preserve"> </w:t>
      </w:r>
      <w:r w:rsidRPr="007F6D54">
        <w:rPr>
          <w:rFonts w:ascii="Tahoma" w:hAnsi="Tahoma" w:cs="Tahoma"/>
          <w:w w:val="105"/>
          <w:sz w:val="18"/>
          <w:szCs w:val="18"/>
        </w:rPr>
        <w:t>ejercicio</w:t>
      </w:r>
      <w:r w:rsidRPr="007F6D54">
        <w:rPr>
          <w:rFonts w:ascii="Tahoma" w:hAnsi="Tahoma" w:cs="Tahoma"/>
          <w:spacing w:val="-4"/>
          <w:w w:val="105"/>
          <w:sz w:val="18"/>
          <w:szCs w:val="18"/>
        </w:rPr>
        <w:t xml:space="preserve"> </w:t>
      </w:r>
      <w:r w:rsidRPr="007F6D54">
        <w:rPr>
          <w:rFonts w:ascii="Tahoma" w:hAnsi="Tahoma" w:cs="Tahoma"/>
          <w:w w:val="105"/>
          <w:sz w:val="18"/>
          <w:szCs w:val="18"/>
        </w:rPr>
        <w:t>de</w:t>
      </w:r>
      <w:r w:rsidRPr="007F6D54">
        <w:rPr>
          <w:rFonts w:ascii="Tahoma" w:hAnsi="Tahoma" w:cs="Tahoma"/>
          <w:spacing w:val="-4"/>
          <w:w w:val="105"/>
          <w:sz w:val="18"/>
          <w:szCs w:val="18"/>
        </w:rPr>
        <w:t xml:space="preserve"> </w:t>
      </w:r>
      <w:r w:rsidRPr="007F6D54">
        <w:rPr>
          <w:rFonts w:ascii="Tahoma" w:hAnsi="Tahoma" w:cs="Tahoma"/>
          <w:w w:val="105"/>
          <w:sz w:val="18"/>
          <w:szCs w:val="18"/>
        </w:rPr>
        <w:t>la</w:t>
      </w:r>
      <w:r w:rsidRPr="007F6D54">
        <w:rPr>
          <w:rFonts w:ascii="Tahoma" w:hAnsi="Tahoma" w:cs="Tahoma"/>
          <w:spacing w:val="-5"/>
          <w:w w:val="105"/>
          <w:sz w:val="18"/>
          <w:szCs w:val="18"/>
        </w:rPr>
        <w:t xml:space="preserve"> </w:t>
      </w:r>
      <w:r w:rsidRPr="007F6D54">
        <w:rPr>
          <w:rFonts w:ascii="Tahoma" w:hAnsi="Tahoma" w:cs="Tahoma"/>
          <w:w w:val="105"/>
          <w:sz w:val="18"/>
          <w:szCs w:val="18"/>
        </w:rPr>
        <w:t>libertad</w:t>
      </w:r>
      <w:r w:rsidRPr="007F6D54">
        <w:rPr>
          <w:rFonts w:ascii="Tahoma" w:hAnsi="Tahoma" w:cs="Tahoma"/>
          <w:spacing w:val="-4"/>
          <w:w w:val="105"/>
          <w:sz w:val="18"/>
          <w:szCs w:val="18"/>
        </w:rPr>
        <w:t xml:space="preserve"> </w:t>
      </w:r>
      <w:r w:rsidRPr="007F6D54">
        <w:rPr>
          <w:rFonts w:ascii="Tahoma" w:hAnsi="Tahoma" w:cs="Tahoma"/>
          <w:w w:val="105"/>
          <w:sz w:val="18"/>
          <w:szCs w:val="18"/>
        </w:rPr>
        <w:t>de</w:t>
      </w:r>
      <w:r w:rsidRPr="007F6D54">
        <w:rPr>
          <w:rFonts w:ascii="Tahoma" w:hAnsi="Tahoma" w:cs="Tahoma"/>
          <w:spacing w:val="-5"/>
          <w:w w:val="105"/>
          <w:sz w:val="18"/>
          <w:szCs w:val="18"/>
        </w:rPr>
        <w:t xml:space="preserve"> </w:t>
      </w:r>
      <w:r w:rsidRPr="007F6D54">
        <w:rPr>
          <w:rFonts w:ascii="Tahoma" w:hAnsi="Tahoma" w:cs="Tahoma"/>
          <w:w w:val="105"/>
          <w:sz w:val="18"/>
          <w:szCs w:val="18"/>
        </w:rPr>
        <w:t>religión</w:t>
      </w:r>
      <w:r w:rsidRPr="007F6D54">
        <w:rPr>
          <w:rFonts w:ascii="Tahoma" w:hAnsi="Tahoma" w:cs="Tahoma"/>
          <w:spacing w:val="-4"/>
          <w:w w:val="105"/>
          <w:sz w:val="18"/>
          <w:szCs w:val="18"/>
        </w:rPr>
        <w:t xml:space="preserve"> </w:t>
      </w:r>
      <w:r w:rsidRPr="007F6D54">
        <w:rPr>
          <w:rFonts w:ascii="Tahoma" w:hAnsi="Tahoma" w:cs="Tahoma"/>
          <w:w w:val="105"/>
          <w:sz w:val="18"/>
          <w:szCs w:val="18"/>
        </w:rPr>
        <w:t>o</w:t>
      </w:r>
      <w:r w:rsidRPr="007F6D54">
        <w:rPr>
          <w:rFonts w:ascii="Tahoma" w:hAnsi="Tahoma" w:cs="Tahoma"/>
          <w:spacing w:val="-4"/>
          <w:w w:val="105"/>
          <w:sz w:val="18"/>
          <w:szCs w:val="18"/>
        </w:rPr>
        <w:t xml:space="preserve"> </w:t>
      </w:r>
      <w:r w:rsidRPr="007F6D54">
        <w:rPr>
          <w:rFonts w:ascii="Tahoma" w:hAnsi="Tahoma" w:cs="Tahoma"/>
          <w:w w:val="105"/>
          <w:sz w:val="18"/>
          <w:szCs w:val="18"/>
        </w:rPr>
        <w:t>de</w:t>
      </w:r>
      <w:r w:rsidRPr="007F6D54">
        <w:rPr>
          <w:rFonts w:ascii="Tahoma" w:hAnsi="Tahoma" w:cs="Tahoma"/>
          <w:spacing w:val="-5"/>
          <w:w w:val="105"/>
          <w:sz w:val="18"/>
          <w:szCs w:val="18"/>
        </w:rPr>
        <w:t xml:space="preserve"> </w:t>
      </w:r>
      <w:r w:rsidRPr="007F6D54">
        <w:rPr>
          <w:rFonts w:ascii="Tahoma" w:hAnsi="Tahoma" w:cs="Tahoma"/>
          <w:spacing w:val="-2"/>
          <w:w w:val="105"/>
          <w:sz w:val="18"/>
          <w:szCs w:val="18"/>
        </w:rPr>
        <w:t>creencias</w:t>
      </w:r>
      <w:r w:rsidRPr="007F6D54">
        <w:rPr>
          <w:rFonts w:ascii="Tahoma" w:hAnsi="Tahoma" w:cs="Tahoma"/>
          <w:sz w:val="18"/>
          <w:szCs w:val="18"/>
        </w:rPr>
        <w:tab/>
      </w:r>
    </w:p>
    <w:p w14:paraId="3443944C" w14:textId="77777777" w:rsidR="003E5960" w:rsidRPr="007F6D54" w:rsidRDefault="003E5960" w:rsidP="003E5960">
      <w:pPr>
        <w:pStyle w:val="TDC4"/>
        <w:tabs>
          <w:tab w:val="left" w:pos="1915"/>
          <w:tab w:val="left" w:leader="dot" w:pos="7918"/>
        </w:tabs>
        <w:spacing w:before="0"/>
        <w:ind w:left="1915"/>
        <w:rPr>
          <w:rFonts w:ascii="Tahoma" w:hAnsi="Tahoma" w:cs="Tahoma"/>
          <w:w w:val="105"/>
          <w:sz w:val="18"/>
          <w:szCs w:val="18"/>
        </w:rPr>
      </w:pPr>
      <w:r w:rsidRPr="007F6D54">
        <w:rPr>
          <w:rFonts w:ascii="Tahoma" w:hAnsi="Tahoma" w:cs="Tahoma"/>
          <w:w w:val="105"/>
          <w:sz w:val="18"/>
          <w:szCs w:val="18"/>
        </w:rPr>
        <w:t>1.</w:t>
      </w:r>
      <w:r w:rsidRPr="007F6D54">
        <w:rPr>
          <w:rFonts w:ascii="Tahoma" w:hAnsi="Tahoma" w:cs="Tahoma"/>
          <w:spacing w:val="-4"/>
          <w:w w:val="105"/>
          <w:sz w:val="18"/>
          <w:szCs w:val="18"/>
        </w:rPr>
        <w:t xml:space="preserve"> </w:t>
      </w:r>
      <w:r w:rsidRPr="007F6D54">
        <w:rPr>
          <w:rFonts w:ascii="Tahoma" w:hAnsi="Tahoma" w:cs="Tahoma"/>
          <w:w w:val="105"/>
          <w:sz w:val="18"/>
          <w:szCs w:val="18"/>
        </w:rPr>
        <w:t>Religión</w:t>
      </w:r>
      <w:r w:rsidRPr="007F6D54">
        <w:rPr>
          <w:rFonts w:ascii="Tahoma" w:hAnsi="Tahoma" w:cs="Tahoma"/>
          <w:spacing w:val="-5"/>
          <w:w w:val="105"/>
          <w:sz w:val="18"/>
          <w:szCs w:val="18"/>
        </w:rPr>
        <w:t xml:space="preserve"> </w:t>
      </w:r>
      <w:r w:rsidRPr="007F6D54">
        <w:rPr>
          <w:rFonts w:ascii="Tahoma" w:hAnsi="Tahoma" w:cs="Tahoma"/>
          <w:w w:val="105"/>
          <w:sz w:val="18"/>
          <w:szCs w:val="18"/>
        </w:rPr>
        <w:t>del</w:t>
      </w:r>
      <w:r w:rsidRPr="007F6D54">
        <w:rPr>
          <w:rFonts w:ascii="Tahoma" w:hAnsi="Tahoma" w:cs="Tahoma"/>
          <w:spacing w:val="-4"/>
          <w:w w:val="105"/>
          <w:sz w:val="18"/>
          <w:szCs w:val="18"/>
        </w:rPr>
        <w:t xml:space="preserve"> </w:t>
      </w:r>
      <w:r w:rsidRPr="007F6D54">
        <w:rPr>
          <w:rFonts w:ascii="Tahoma" w:hAnsi="Tahoma" w:cs="Tahoma"/>
          <w:w w:val="105"/>
          <w:sz w:val="18"/>
          <w:szCs w:val="18"/>
        </w:rPr>
        <w:t>Estado</w:t>
      </w:r>
      <w:r w:rsidRPr="007F6D54">
        <w:rPr>
          <w:rFonts w:ascii="Tahoma" w:hAnsi="Tahoma" w:cs="Tahoma"/>
          <w:spacing w:val="-5"/>
          <w:w w:val="105"/>
          <w:sz w:val="18"/>
          <w:szCs w:val="18"/>
        </w:rPr>
        <w:t xml:space="preserve"> </w:t>
      </w:r>
      <w:r w:rsidRPr="007F6D54">
        <w:rPr>
          <w:rFonts w:ascii="Tahoma" w:hAnsi="Tahoma" w:cs="Tahoma"/>
          <w:spacing w:val="-10"/>
          <w:w w:val="105"/>
          <w:sz w:val="18"/>
          <w:szCs w:val="18"/>
        </w:rPr>
        <w:t xml:space="preserve">y </w:t>
      </w:r>
      <w:r w:rsidRPr="007F6D54">
        <w:rPr>
          <w:rFonts w:ascii="Tahoma" w:hAnsi="Tahoma" w:cs="Tahoma"/>
          <w:w w:val="105"/>
          <w:sz w:val="18"/>
          <w:szCs w:val="18"/>
        </w:rPr>
        <w:t>minorías</w:t>
      </w:r>
      <w:r w:rsidRPr="007F6D54">
        <w:rPr>
          <w:rFonts w:ascii="Tahoma" w:hAnsi="Tahoma" w:cs="Tahoma"/>
          <w:spacing w:val="-2"/>
          <w:w w:val="105"/>
          <w:sz w:val="18"/>
          <w:szCs w:val="18"/>
        </w:rPr>
        <w:t xml:space="preserve"> </w:t>
      </w:r>
      <w:r w:rsidRPr="007F6D54">
        <w:rPr>
          <w:rFonts w:ascii="Tahoma" w:hAnsi="Tahoma" w:cs="Tahoma"/>
          <w:w w:val="105"/>
          <w:sz w:val="18"/>
          <w:szCs w:val="18"/>
        </w:rPr>
        <w:t>religiosas</w:t>
      </w:r>
      <w:r w:rsidRPr="007F6D54">
        <w:rPr>
          <w:rFonts w:ascii="Tahoma" w:hAnsi="Tahoma" w:cs="Tahoma"/>
          <w:spacing w:val="-1"/>
          <w:w w:val="105"/>
          <w:sz w:val="18"/>
          <w:szCs w:val="18"/>
        </w:rPr>
        <w:t xml:space="preserve"> </w:t>
      </w:r>
      <w:r w:rsidRPr="007F6D54">
        <w:rPr>
          <w:rFonts w:ascii="Tahoma" w:hAnsi="Tahoma" w:cs="Tahoma"/>
          <w:w w:val="105"/>
          <w:sz w:val="18"/>
          <w:szCs w:val="18"/>
        </w:rPr>
        <w:t>y de</w:t>
      </w:r>
      <w:r w:rsidRPr="007F6D54">
        <w:rPr>
          <w:rFonts w:ascii="Tahoma" w:hAnsi="Tahoma" w:cs="Tahoma"/>
          <w:spacing w:val="-2"/>
          <w:w w:val="105"/>
          <w:sz w:val="18"/>
          <w:szCs w:val="18"/>
        </w:rPr>
        <w:t xml:space="preserve"> creencias</w:t>
      </w:r>
    </w:p>
    <w:p w14:paraId="1F9D0845" w14:textId="77777777" w:rsidR="003E5960" w:rsidRPr="007F6D54" w:rsidRDefault="003E5960" w:rsidP="003E5960">
      <w:pPr>
        <w:pStyle w:val="TDC4"/>
        <w:tabs>
          <w:tab w:val="left" w:pos="1915"/>
          <w:tab w:val="left" w:leader="dot" w:pos="7918"/>
        </w:tabs>
        <w:spacing w:before="0"/>
        <w:ind w:left="1915"/>
        <w:rPr>
          <w:rFonts w:ascii="Tahoma" w:hAnsi="Tahoma" w:cs="Tahoma"/>
          <w:w w:val="105"/>
          <w:sz w:val="18"/>
          <w:szCs w:val="18"/>
        </w:rPr>
      </w:pPr>
      <w:r w:rsidRPr="007F6D54">
        <w:rPr>
          <w:rFonts w:ascii="Tahoma" w:hAnsi="Tahoma" w:cs="Tahoma"/>
          <w:spacing w:val="-7"/>
          <w:w w:val="105"/>
          <w:sz w:val="18"/>
          <w:szCs w:val="18"/>
        </w:rPr>
        <w:t xml:space="preserve"> </w:t>
      </w:r>
      <w:r w:rsidRPr="007F6D54">
        <w:rPr>
          <w:rFonts w:ascii="Tahoma" w:hAnsi="Tahoma" w:cs="Tahoma"/>
          <w:w w:val="105"/>
          <w:sz w:val="18"/>
          <w:szCs w:val="18"/>
        </w:rPr>
        <w:t>2.</w:t>
      </w:r>
      <w:r w:rsidRPr="007F6D54">
        <w:rPr>
          <w:rFonts w:ascii="Tahoma" w:hAnsi="Tahoma" w:cs="Tahoma"/>
          <w:spacing w:val="-6"/>
          <w:w w:val="105"/>
          <w:sz w:val="18"/>
          <w:szCs w:val="18"/>
        </w:rPr>
        <w:t xml:space="preserve"> </w:t>
      </w:r>
      <w:r w:rsidRPr="007F6D54">
        <w:rPr>
          <w:rFonts w:ascii="Tahoma" w:hAnsi="Tahoma" w:cs="Tahoma"/>
          <w:w w:val="105"/>
          <w:sz w:val="18"/>
          <w:szCs w:val="18"/>
        </w:rPr>
        <w:t>Reconocimiento</w:t>
      </w:r>
      <w:r w:rsidRPr="007F6D54">
        <w:rPr>
          <w:rFonts w:ascii="Tahoma" w:hAnsi="Tahoma" w:cs="Tahoma"/>
          <w:spacing w:val="-7"/>
          <w:w w:val="105"/>
          <w:sz w:val="18"/>
          <w:szCs w:val="18"/>
        </w:rPr>
        <w:t xml:space="preserve"> </w:t>
      </w:r>
      <w:r w:rsidRPr="007F6D54">
        <w:rPr>
          <w:rFonts w:ascii="Tahoma" w:hAnsi="Tahoma" w:cs="Tahoma"/>
          <w:w w:val="105"/>
          <w:sz w:val="18"/>
          <w:szCs w:val="18"/>
        </w:rPr>
        <w:t>igualitario</w:t>
      </w:r>
      <w:r w:rsidRPr="007F6D54">
        <w:rPr>
          <w:rFonts w:ascii="Tahoma" w:hAnsi="Tahoma" w:cs="Tahoma"/>
          <w:spacing w:val="-6"/>
          <w:w w:val="105"/>
          <w:sz w:val="18"/>
          <w:szCs w:val="18"/>
        </w:rPr>
        <w:t xml:space="preserve"> </w:t>
      </w:r>
      <w:r w:rsidRPr="007F6D54">
        <w:rPr>
          <w:rFonts w:ascii="Tahoma" w:hAnsi="Tahoma" w:cs="Tahoma"/>
          <w:w w:val="105"/>
          <w:sz w:val="18"/>
          <w:szCs w:val="18"/>
        </w:rPr>
        <w:t>de</w:t>
      </w:r>
      <w:r w:rsidRPr="007F6D54">
        <w:rPr>
          <w:rFonts w:ascii="Tahoma" w:hAnsi="Tahoma" w:cs="Tahoma"/>
          <w:spacing w:val="-7"/>
          <w:w w:val="105"/>
          <w:sz w:val="18"/>
          <w:szCs w:val="18"/>
        </w:rPr>
        <w:t xml:space="preserve"> </w:t>
      </w:r>
      <w:r w:rsidRPr="007F6D54">
        <w:rPr>
          <w:rFonts w:ascii="Tahoma" w:hAnsi="Tahoma" w:cs="Tahoma"/>
          <w:spacing w:val="-5"/>
          <w:w w:val="105"/>
          <w:sz w:val="18"/>
          <w:szCs w:val="18"/>
        </w:rPr>
        <w:t xml:space="preserve">las </w:t>
      </w:r>
      <w:r w:rsidRPr="007F6D54">
        <w:rPr>
          <w:rFonts w:ascii="Tahoma" w:hAnsi="Tahoma" w:cs="Tahoma"/>
          <w:w w:val="105"/>
          <w:sz w:val="18"/>
          <w:szCs w:val="18"/>
        </w:rPr>
        <w:t>comunidades</w:t>
      </w:r>
      <w:r w:rsidRPr="007F6D54">
        <w:rPr>
          <w:rFonts w:ascii="Tahoma" w:hAnsi="Tahoma" w:cs="Tahoma"/>
          <w:spacing w:val="-3"/>
          <w:w w:val="105"/>
          <w:sz w:val="18"/>
          <w:szCs w:val="18"/>
        </w:rPr>
        <w:t xml:space="preserve"> </w:t>
      </w:r>
      <w:r w:rsidRPr="007F6D54">
        <w:rPr>
          <w:rFonts w:ascii="Tahoma" w:hAnsi="Tahoma" w:cs="Tahoma"/>
          <w:w w:val="105"/>
          <w:sz w:val="18"/>
          <w:szCs w:val="18"/>
        </w:rPr>
        <w:t>religiosas</w:t>
      </w:r>
      <w:r w:rsidRPr="007F6D54">
        <w:rPr>
          <w:rFonts w:ascii="Tahoma" w:hAnsi="Tahoma" w:cs="Tahoma"/>
          <w:spacing w:val="-3"/>
          <w:w w:val="105"/>
          <w:sz w:val="18"/>
          <w:szCs w:val="18"/>
        </w:rPr>
        <w:t xml:space="preserve"> </w:t>
      </w:r>
      <w:r w:rsidRPr="007F6D54">
        <w:rPr>
          <w:rFonts w:ascii="Tahoma" w:hAnsi="Tahoma" w:cs="Tahoma"/>
          <w:w w:val="105"/>
          <w:sz w:val="18"/>
          <w:szCs w:val="18"/>
        </w:rPr>
        <w:t>o</w:t>
      </w:r>
      <w:r w:rsidRPr="007F6D54">
        <w:rPr>
          <w:rFonts w:ascii="Tahoma" w:hAnsi="Tahoma" w:cs="Tahoma"/>
          <w:spacing w:val="-2"/>
          <w:w w:val="105"/>
          <w:sz w:val="18"/>
          <w:szCs w:val="18"/>
        </w:rPr>
        <w:t xml:space="preserve"> </w:t>
      </w:r>
      <w:r w:rsidRPr="007F6D54">
        <w:rPr>
          <w:rFonts w:ascii="Tahoma" w:hAnsi="Tahoma" w:cs="Tahoma"/>
          <w:w w:val="105"/>
          <w:sz w:val="18"/>
          <w:szCs w:val="18"/>
        </w:rPr>
        <w:t>de</w:t>
      </w:r>
      <w:r w:rsidRPr="007F6D54">
        <w:rPr>
          <w:rFonts w:ascii="Tahoma" w:hAnsi="Tahoma" w:cs="Tahoma"/>
          <w:spacing w:val="-3"/>
          <w:w w:val="105"/>
          <w:sz w:val="18"/>
          <w:szCs w:val="18"/>
        </w:rPr>
        <w:t xml:space="preserve"> </w:t>
      </w:r>
      <w:r w:rsidRPr="007F6D54">
        <w:rPr>
          <w:rFonts w:ascii="Tahoma" w:hAnsi="Tahoma" w:cs="Tahoma"/>
          <w:w w:val="105"/>
          <w:sz w:val="18"/>
          <w:szCs w:val="18"/>
        </w:rPr>
        <w:t>creencias</w:t>
      </w:r>
      <w:r w:rsidRPr="007F6D54">
        <w:rPr>
          <w:rFonts w:ascii="Tahoma" w:hAnsi="Tahoma" w:cs="Tahoma"/>
          <w:spacing w:val="-3"/>
          <w:w w:val="105"/>
          <w:sz w:val="18"/>
          <w:szCs w:val="18"/>
        </w:rPr>
        <w:t xml:space="preserve"> </w:t>
      </w:r>
      <w:r w:rsidRPr="007F6D54">
        <w:rPr>
          <w:rFonts w:ascii="Tahoma" w:hAnsi="Tahoma" w:cs="Tahoma"/>
          <w:w w:val="105"/>
          <w:sz w:val="18"/>
          <w:szCs w:val="18"/>
        </w:rPr>
        <w:t>minoritarias</w:t>
      </w:r>
      <w:r w:rsidRPr="007F6D54">
        <w:rPr>
          <w:rFonts w:ascii="Tahoma" w:hAnsi="Tahoma" w:cs="Tahoma"/>
          <w:spacing w:val="-2"/>
          <w:w w:val="105"/>
          <w:sz w:val="18"/>
          <w:szCs w:val="18"/>
        </w:rPr>
        <w:t xml:space="preserve"> </w:t>
      </w:r>
      <w:r w:rsidRPr="007F6D54">
        <w:rPr>
          <w:rFonts w:ascii="Tahoma" w:hAnsi="Tahoma" w:cs="Tahoma"/>
          <w:w w:val="105"/>
          <w:sz w:val="18"/>
          <w:szCs w:val="18"/>
        </w:rPr>
        <w:t>y</w:t>
      </w:r>
      <w:r w:rsidRPr="007F6D54">
        <w:rPr>
          <w:rFonts w:ascii="Tahoma" w:hAnsi="Tahoma" w:cs="Tahoma"/>
          <w:spacing w:val="-2"/>
          <w:w w:val="105"/>
          <w:sz w:val="18"/>
          <w:szCs w:val="18"/>
        </w:rPr>
        <w:t xml:space="preserve"> </w:t>
      </w:r>
      <w:r w:rsidRPr="007F6D54">
        <w:rPr>
          <w:rFonts w:ascii="Tahoma" w:hAnsi="Tahoma" w:cs="Tahoma"/>
          <w:w w:val="105"/>
          <w:sz w:val="18"/>
          <w:szCs w:val="18"/>
        </w:rPr>
        <w:t>de</w:t>
      </w:r>
      <w:r w:rsidRPr="007F6D54">
        <w:rPr>
          <w:rFonts w:ascii="Tahoma" w:hAnsi="Tahoma" w:cs="Tahoma"/>
          <w:spacing w:val="-2"/>
          <w:w w:val="105"/>
          <w:sz w:val="18"/>
          <w:szCs w:val="18"/>
        </w:rPr>
        <w:t xml:space="preserve"> </w:t>
      </w:r>
      <w:r w:rsidRPr="007F6D54">
        <w:rPr>
          <w:rFonts w:ascii="Tahoma" w:hAnsi="Tahoma" w:cs="Tahoma"/>
          <w:w w:val="105"/>
          <w:sz w:val="18"/>
          <w:szCs w:val="18"/>
        </w:rPr>
        <w:t>sus</w:t>
      </w:r>
      <w:r w:rsidRPr="007F6D54">
        <w:rPr>
          <w:rFonts w:ascii="Tahoma" w:hAnsi="Tahoma" w:cs="Tahoma"/>
          <w:spacing w:val="-3"/>
          <w:w w:val="105"/>
          <w:sz w:val="18"/>
          <w:szCs w:val="18"/>
        </w:rPr>
        <w:t xml:space="preserve"> </w:t>
      </w:r>
      <w:r w:rsidRPr="007F6D54">
        <w:rPr>
          <w:rFonts w:ascii="Tahoma" w:hAnsi="Tahoma" w:cs="Tahoma"/>
          <w:w w:val="105"/>
          <w:sz w:val="18"/>
          <w:szCs w:val="18"/>
        </w:rPr>
        <w:t>miembros</w:t>
      </w:r>
      <w:r w:rsidRPr="007F6D54">
        <w:rPr>
          <w:rFonts w:ascii="Tahoma" w:hAnsi="Tahoma" w:cs="Tahoma"/>
          <w:spacing w:val="-3"/>
          <w:w w:val="105"/>
          <w:sz w:val="18"/>
          <w:szCs w:val="18"/>
        </w:rPr>
        <w:t xml:space="preserve"> </w:t>
      </w:r>
    </w:p>
    <w:p w14:paraId="6652FEAE" w14:textId="77777777" w:rsidR="003E5960" w:rsidRPr="007F6D54" w:rsidRDefault="003E5960" w:rsidP="003E5960">
      <w:pPr>
        <w:pStyle w:val="TDC4"/>
        <w:tabs>
          <w:tab w:val="left" w:pos="1915"/>
          <w:tab w:val="left" w:leader="dot" w:pos="7918"/>
        </w:tabs>
        <w:spacing w:before="0"/>
        <w:ind w:left="0"/>
        <w:rPr>
          <w:rFonts w:ascii="Tahoma" w:hAnsi="Tahoma" w:cs="Tahoma"/>
          <w:w w:val="105"/>
          <w:sz w:val="18"/>
          <w:szCs w:val="18"/>
        </w:rPr>
      </w:pPr>
      <w:r w:rsidRPr="007F6D54">
        <w:rPr>
          <w:rFonts w:ascii="Tahoma" w:hAnsi="Tahoma" w:cs="Tahoma"/>
          <w:w w:val="105"/>
          <w:sz w:val="18"/>
          <w:szCs w:val="18"/>
        </w:rPr>
        <w:t xml:space="preserve">                                      B.</w:t>
      </w:r>
      <w:r w:rsidRPr="007F6D54">
        <w:rPr>
          <w:rFonts w:ascii="Tahoma" w:hAnsi="Tahoma" w:cs="Tahoma"/>
          <w:spacing w:val="-3"/>
          <w:w w:val="105"/>
          <w:sz w:val="18"/>
          <w:szCs w:val="18"/>
        </w:rPr>
        <w:t xml:space="preserve"> </w:t>
      </w:r>
      <w:r w:rsidRPr="007F6D54">
        <w:rPr>
          <w:rFonts w:ascii="Tahoma" w:hAnsi="Tahoma" w:cs="Tahoma"/>
          <w:w w:val="105"/>
          <w:sz w:val="18"/>
          <w:szCs w:val="18"/>
        </w:rPr>
        <w:t>Discriminación</w:t>
      </w:r>
      <w:r w:rsidRPr="007F6D54">
        <w:rPr>
          <w:rFonts w:ascii="Tahoma" w:hAnsi="Tahoma" w:cs="Tahoma"/>
          <w:spacing w:val="-1"/>
          <w:w w:val="105"/>
          <w:sz w:val="18"/>
          <w:szCs w:val="18"/>
        </w:rPr>
        <w:t xml:space="preserve"> </w:t>
      </w:r>
      <w:r w:rsidRPr="007F6D54">
        <w:rPr>
          <w:rFonts w:ascii="Tahoma" w:hAnsi="Tahoma" w:cs="Tahoma"/>
          <w:w w:val="105"/>
          <w:sz w:val="18"/>
          <w:szCs w:val="18"/>
        </w:rPr>
        <w:t>por</w:t>
      </w:r>
      <w:r w:rsidRPr="007F6D54">
        <w:rPr>
          <w:rFonts w:ascii="Tahoma" w:hAnsi="Tahoma" w:cs="Tahoma"/>
          <w:spacing w:val="-3"/>
          <w:w w:val="105"/>
          <w:sz w:val="18"/>
          <w:szCs w:val="18"/>
        </w:rPr>
        <w:t xml:space="preserve"> </w:t>
      </w:r>
      <w:r w:rsidRPr="007F6D54">
        <w:rPr>
          <w:rFonts w:ascii="Tahoma" w:hAnsi="Tahoma" w:cs="Tahoma"/>
          <w:w w:val="105"/>
          <w:sz w:val="18"/>
          <w:szCs w:val="18"/>
        </w:rPr>
        <w:t>motivos</w:t>
      </w:r>
      <w:r w:rsidRPr="007F6D54">
        <w:rPr>
          <w:rFonts w:ascii="Tahoma" w:hAnsi="Tahoma" w:cs="Tahoma"/>
          <w:spacing w:val="-3"/>
          <w:w w:val="105"/>
          <w:sz w:val="18"/>
          <w:szCs w:val="18"/>
        </w:rPr>
        <w:t xml:space="preserve"> </w:t>
      </w:r>
      <w:r w:rsidRPr="007F6D54">
        <w:rPr>
          <w:rFonts w:ascii="Tahoma" w:hAnsi="Tahoma" w:cs="Tahoma"/>
          <w:w w:val="105"/>
          <w:sz w:val="18"/>
          <w:szCs w:val="18"/>
        </w:rPr>
        <w:t>de</w:t>
      </w:r>
      <w:r w:rsidRPr="007F6D54">
        <w:rPr>
          <w:rFonts w:ascii="Tahoma" w:hAnsi="Tahoma" w:cs="Tahoma"/>
          <w:spacing w:val="-2"/>
          <w:w w:val="105"/>
          <w:sz w:val="18"/>
          <w:szCs w:val="18"/>
        </w:rPr>
        <w:t xml:space="preserve"> </w:t>
      </w:r>
      <w:r w:rsidRPr="007F6D54">
        <w:rPr>
          <w:rFonts w:ascii="Tahoma" w:hAnsi="Tahoma" w:cs="Tahoma"/>
          <w:w w:val="105"/>
          <w:sz w:val="18"/>
          <w:szCs w:val="18"/>
        </w:rPr>
        <w:t>religión</w:t>
      </w:r>
      <w:r w:rsidRPr="007F6D54">
        <w:rPr>
          <w:rFonts w:ascii="Tahoma" w:hAnsi="Tahoma" w:cs="Tahoma"/>
          <w:spacing w:val="-2"/>
          <w:w w:val="105"/>
          <w:sz w:val="18"/>
          <w:szCs w:val="18"/>
        </w:rPr>
        <w:t xml:space="preserve"> </w:t>
      </w:r>
      <w:r w:rsidRPr="007F6D54">
        <w:rPr>
          <w:rFonts w:ascii="Tahoma" w:hAnsi="Tahoma" w:cs="Tahoma"/>
          <w:spacing w:val="-10"/>
          <w:w w:val="105"/>
          <w:sz w:val="18"/>
          <w:szCs w:val="18"/>
        </w:rPr>
        <w:t>o</w:t>
      </w:r>
      <w:r w:rsidRPr="007F6D54">
        <w:rPr>
          <w:rFonts w:ascii="Tahoma" w:hAnsi="Tahoma" w:cs="Tahoma"/>
          <w:sz w:val="18"/>
          <w:szCs w:val="18"/>
        </w:rPr>
        <w:t xml:space="preserve"> </w:t>
      </w:r>
      <w:r w:rsidRPr="007F6D54">
        <w:rPr>
          <w:rFonts w:ascii="Tahoma" w:hAnsi="Tahoma" w:cs="Tahoma"/>
          <w:w w:val="105"/>
          <w:sz w:val="18"/>
          <w:szCs w:val="18"/>
        </w:rPr>
        <w:t>creencias</w:t>
      </w:r>
      <w:r w:rsidRPr="007F6D54">
        <w:rPr>
          <w:rFonts w:ascii="Tahoma" w:hAnsi="Tahoma" w:cs="Tahoma"/>
          <w:spacing w:val="-2"/>
          <w:w w:val="105"/>
          <w:sz w:val="18"/>
          <w:szCs w:val="18"/>
        </w:rPr>
        <w:t xml:space="preserve"> </w:t>
      </w:r>
      <w:r w:rsidRPr="007F6D54">
        <w:rPr>
          <w:rFonts w:ascii="Tahoma" w:hAnsi="Tahoma" w:cs="Tahoma"/>
          <w:w w:val="105"/>
          <w:sz w:val="18"/>
          <w:szCs w:val="18"/>
        </w:rPr>
        <w:t>en</w:t>
      </w:r>
      <w:r w:rsidRPr="007F6D54">
        <w:rPr>
          <w:rFonts w:ascii="Tahoma" w:hAnsi="Tahoma" w:cs="Tahoma"/>
          <w:spacing w:val="-2"/>
          <w:w w:val="105"/>
          <w:sz w:val="18"/>
          <w:szCs w:val="18"/>
        </w:rPr>
        <w:t xml:space="preserve"> </w:t>
      </w:r>
      <w:r w:rsidRPr="007F6D54">
        <w:rPr>
          <w:rFonts w:ascii="Tahoma" w:hAnsi="Tahoma" w:cs="Tahoma"/>
          <w:w w:val="105"/>
          <w:sz w:val="18"/>
          <w:szCs w:val="18"/>
        </w:rPr>
        <w:t>otros</w:t>
      </w:r>
      <w:r w:rsidRPr="007F6D54">
        <w:rPr>
          <w:rFonts w:ascii="Tahoma" w:hAnsi="Tahoma" w:cs="Tahoma"/>
          <w:spacing w:val="-1"/>
          <w:w w:val="105"/>
          <w:sz w:val="18"/>
          <w:szCs w:val="18"/>
        </w:rPr>
        <w:t xml:space="preserve"> </w:t>
      </w:r>
      <w:r w:rsidRPr="007F6D54">
        <w:rPr>
          <w:rFonts w:ascii="Tahoma" w:hAnsi="Tahoma" w:cs="Tahoma"/>
          <w:w w:val="105"/>
          <w:sz w:val="18"/>
          <w:szCs w:val="18"/>
        </w:rPr>
        <w:t>ámbitos</w:t>
      </w:r>
      <w:r w:rsidRPr="007F6D54">
        <w:rPr>
          <w:rFonts w:ascii="Tahoma" w:hAnsi="Tahoma" w:cs="Tahoma"/>
          <w:spacing w:val="-2"/>
          <w:w w:val="105"/>
          <w:sz w:val="18"/>
          <w:szCs w:val="18"/>
        </w:rPr>
        <w:t xml:space="preserve"> </w:t>
      </w:r>
      <w:r w:rsidRPr="007F6D54">
        <w:rPr>
          <w:rFonts w:ascii="Tahoma" w:hAnsi="Tahoma" w:cs="Tahoma"/>
          <w:w w:val="105"/>
          <w:sz w:val="18"/>
          <w:szCs w:val="18"/>
        </w:rPr>
        <w:t>de</w:t>
      </w:r>
      <w:r w:rsidRPr="007F6D54">
        <w:rPr>
          <w:rFonts w:ascii="Tahoma" w:hAnsi="Tahoma" w:cs="Tahoma"/>
          <w:spacing w:val="-1"/>
          <w:w w:val="105"/>
          <w:sz w:val="18"/>
          <w:szCs w:val="18"/>
        </w:rPr>
        <w:t xml:space="preserve"> </w:t>
      </w:r>
      <w:r w:rsidRPr="007F6D54">
        <w:rPr>
          <w:rFonts w:ascii="Tahoma" w:hAnsi="Tahoma" w:cs="Tahoma"/>
          <w:w w:val="105"/>
          <w:sz w:val="18"/>
          <w:szCs w:val="18"/>
        </w:rPr>
        <w:t>la</w:t>
      </w:r>
      <w:r w:rsidRPr="007F6D54">
        <w:rPr>
          <w:rFonts w:ascii="Tahoma" w:hAnsi="Tahoma" w:cs="Tahoma"/>
          <w:spacing w:val="-2"/>
          <w:w w:val="105"/>
          <w:sz w:val="18"/>
          <w:szCs w:val="18"/>
        </w:rPr>
        <w:t xml:space="preserve"> </w:t>
      </w:r>
      <w:r w:rsidRPr="007F6D54">
        <w:rPr>
          <w:rFonts w:ascii="Tahoma" w:hAnsi="Tahoma" w:cs="Tahoma"/>
          <w:spacing w:val="-4"/>
          <w:w w:val="105"/>
          <w:sz w:val="18"/>
          <w:szCs w:val="18"/>
        </w:rPr>
        <w:t>vida</w:t>
      </w:r>
      <w:r w:rsidRPr="007F6D54">
        <w:rPr>
          <w:rFonts w:ascii="Tahoma" w:hAnsi="Tahoma" w:cs="Tahoma"/>
          <w:sz w:val="18"/>
          <w:szCs w:val="18"/>
        </w:rPr>
        <w:tab/>
      </w:r>
    </w:p>
    <w:p w14:paraId="19013B38" w14:textId="77777777" w:rsidR="003E5960" w:rsidRPr="007F6D54" w:rsidRDefault="003E5960" w:rsidP="003E5960">
      <w:pPr>
        <w:pStyle w:val="TDC4"/>
        <w:numPr>
          <w:ilvl w:val="0"/>
          <w:numId w:val="108"/>
        </w:numPr>
        <w:tabs>
          <w:tab w:val="left" w:pos="1915"/>
        </w:tabs>
        <w:spacing w:before="0"/>
        <w:ind w:firstLine="370"/>
        <w:rPr>
          <w:rFonts w:ascii="Tahoma" w:hAnsi="Tahoma" w:cs="Tahoma"/>
          <w:w w:val="105"/>
          <w:sz w:val="18"/>
          <w:szCs w:val="18"/>
        </w:rPr>
      </w:pPr>
      <w:r w:rsidRPr="007F6D54">
        <w:rPr>
          <w:rFonts w:ascii="Tahoma" w:hAnsi="Tahoma" w:cs="Tahoma"/>
          <w:w w:val="105"/>
          <w:sz w:val="18"/>
          <w:szCs w:val="18"/>
        </w:rPr>
        <w:t>Indumentaria</w:t>
      </w:r>
      <w:r w:rsidRPr="007F6D54">
        <w:rPr>
          <w:rFonts w:ascii="Tahoma" w:hAnsi="Tahoma" w:cs="Tahoma"/>
          <w:spacing w:val="-5"/>
          <w:w w:val="105"/>
          <w:sz w:val="18"/>
          <w:szCs w:val="18"/>
        </w:rPr>
        <w:t xml:space="preserve"> </w:t>
      </w:r>
      <w:r w:rsidRPr="007F6D54">
        <w:rPr>
          <w:rFonts w:ascii="Tahoma" w:hAnsi="Tahoma" w:cs="Tahoma"/>
          <w:w w:val="105"/>
          <w:sz w:val="18"/>
          <w:szCs w:val="18"/>
        </w:rPr>
        <w:t>religiosa,</w:t>
      </w:r>
      <w:r w:rsidRPr="007F6D54">
        <w:rPr>
          <w:rFonts w:ascii="Tahoma" w:hAnsi="Tahoma" w:cs="Tahoma"/>
          <w:spacing w:val="-4"/>
          <w:w w:val="105"/>
          <w:sz w:val="18"/>
          <w:szCs w:val="18"/>
        </w:rPr>
        <w:t xml:space="preserve"> </w:t>
      </w:r>
      <w:r w:rsidRPr="007F6D54">
        <w:rPr>
          <w:rFonts w:ascii="Tahoma" w:hAnsi="Tahoma" w:cs="Tahoma"/>
          <w:w w:val="105"/>
          <w:sz w:val="18"/>
          <w:szCs w:val="18"/>
        </w:rPr>
        <w:t>símbolos</w:t>
      </w:r>
      <w:r w:rsidRPr="007F6D54">
        <w:rPr>
          <w:rFonts w:ascii="Tahoma" w:hAnsi="Tahoma" w:cs="Tahoma"/>
          <w:spacing w:val="-5"/>
          <w:w w:val="105"/>
          <w:sz w:val="18"/>
          <w:szCs w:val="18"/>
        </w:rPr>
        <w:t xml:space="preserve"> </w:t>
      </w:r>
      <w:r w:rsidRPr="007F6D54">
        <w:rPr>
          <w:rFonts w:ascii="Tahoma" w:hAnsi="Tahoma" w:cs="Tahoma"/>
          <w:w w:val="105"/>
          <w:sz w:val="18"/>
          <w:szCs w:val="18"/>
        </w:rPr>
        <w:t>y</w:t>
      </w:r>
      <w:r w:rsidRPr="007F6D54">
        <w:rPr>
          <w:rFonts w:ascii="Tahoma" w:hAnsi="Tahoma" w:cs="Tahoma"/>
          <w:spacing w:val="-4"/>
          <w:w w:val="105"/>
          <w:sz w:val="18"/>
          <w:szCs w:val="18"/>
        </w:rPr>
        <w:t xml:space="preserve"> </w:t>
      </w:r>
      <w:r w:rsidRPr="007F6D54">
        <w:rPr>
          <w:rFonts w:ascii="Tahoma" w:hAnsi="Tahoma" w:cs="Tahoma"/>
          <w:spacing w:val="-2"/>
          <w:w w:val="105"/>
          <w:sz w:val="18"/>
          <w:szCs w:val="18"/>
        </w:rPr>
        <w:t>esfera pública.</w:t>
      </w:r>
      <w:r w:rsidRPr="007F6D54">
        <w:rPr>
          <w:rFonts w:ascii="Tahoma" w:hAnsi="Tahoma" w:cs="Tahoma"/>
          <w:sz w:val="18"/>
          <w:szCs w:val="18"/>
        </w:rPr>
        <w:tab/>
      </w:r>
    </w:p>
    <w:p w14:paraId="5F499D4C" w14:textId="77777777" w:rsidR="003E5960" w:rsidRPr="007F6D54" w:rsidRDefault="003E5960" w:rsidP="003E5960">
      <w:pPr>
        <w:pStyle w:val="TDC4"/>
        <w:numPr>
          <w:ilvl w:val="0"/>
          <w:numId w:val="108"/>
        </w:numPr>
        <w:tabs>
          <w:tab w:val="left" w:pos="1915"/>
        </w:tabs>
        <w:spacing w:before="0"/>
        <w:ind w:firstLine="370"/>
        <w:rPr>
          <w:rFonts w:ascii="Tahoma" w:hAnsi="Tahoma" w:cs="Tahoma"/>
          <w:w w:val="105"/>
          <w:sz w:val="18"/>
          <w:szCs w:val="18"/>
        </w:rPr>
      </w:pPr>
      <w:r w:rsidRPr="007F6D54">
        <w:rPr>
          <w:rFonts w:ascii="Tahoma" w:hAnsi="Tahoma" w:cs="Tahoma"/>
          <w:w w:val="105"/>
          <w:sz w:val="18"/>
          <w:szCs w:val="18"/>
        </w:rPr>
        <w:t>Las</w:t>
      </w:r>
      <w:r w:rsidRPr="007F6D54">
        <w:rPr>
          <w:rFonts w:ascii="Tahoma" w:hAnsi="Tahoma" w:cs="Tahoma"/>
          <w:spacing w:val="-2"/>
          <w:w w:val="105"/>
          <w:sz w:val="18"/>
          <w:szCs w:val="18"/>
        </w:rPr>
        <w:t xml:space="preserve"> </w:t>
      </w:r>
      <w:r w:rsidRPr="007F6D54">
        <w:rPr>
          <w:rFonts w:ascii="Tahoma" w:hAnsi="Tahoma" w:cs="Tahoma"/>
          <w:w w:val="105"/>
          <w:sz w:val="18"/>
          <w:szCs w:val="18"/>
        </w:rPr>
        <w:t>comunidades</w:t>
      </w:r>
      <w:r w:rsidRPr="007F6D54">
        <w:rPr>
          <w:rFonts w:ascii="Tahoma" w:hAnsi="Tahoma" w:cs="Tahoma"/>
          <w:spacing w:val="-2"/>
          <w:w w:val="105"/>
          <w:sz w:val="18"/>
          <w:szCs w:val="18"/>
        </w:rPr>
        <w:t xml:space="preserve"> </w:t>
      </w:r>
      <w:r w:rsidRPr="007F6D54">
        <w:rPr>
          <w:rFonts w:ascii="Tahoma" w:hAnsi="Tahoma" w:cs="Tahoma"/>
          <w:w w:val="105"/>
          <w:sz w:val="18"/>
          <w:szCs w:val="18"/>
        </w:rPr>
        <w:t>religiosas</w:t>
      </w:r>
      <w:r w:rsidRPr="007F6D54">
        <w:rPr>
          <w:rFonts w:ascii="Tahoma" w:hAnsi="Tahoma" w:cs="Tahoma"/>
          <w:spacing w:val="-1"/>
          <w:w w:val="105"/>
          <w:sz w:val="18"/>
          <w:szCs w:val="18"/>
        </w:rPr>
        <w:t xml:space="preserve"> </w:t>
      </w:r>
      <w:r w:rsidRPr="007F6D54">
        <w:rPr>
          <w:rFonts w:ascii="Tahoma" w:hAnsi="Tahoma" w:cs="Tahoma"/>
          <w:w w:val="105"/>
          <w:sz w:val="18"/>
          <w:szCs w:val="18"/>
        </w:rPr>
        <w:t>o</w:t>
      </w:r>
      <w:r w:rsidRPr="007F6D54">
        <w:rPr>
          <w:rFonts w:ascii="Tahoma" w:hAnsi="Tahoma" w:cs="Tahoma"/>
          <w:spacing w:val="-2"/>
          <w:w w:val="105"/>
          <w:sz w:val="18"/>
          <w:szCs w:val="18"/>
        </w:rPr>
        <w:t xml:space="preserve"> </w:t>
      </w:r>
      <w:r w:rsidRPr="007F6D54">
        <w:rPr>
          <w:rFonts w:ascii="Tahoma" w:hAnsi="Tahoma" w:cs="Tahoma"/>
          <w:w w:val="105"/>
          <w:sz w:val="18"/>
          <w:szCs w:val="18"/>
        </w:rPr>
        <w:t>de</w:t>
      </w:r>
      <w:r w:rsidRPr="007F6D54">
        <w:rPr>
          <w:rFonts w:ascii="Tahoma" w:hAnsi="Tahoma" w:cs="Tahoma"/>
          <w:spacing w:val="-2"/>
          <w:w w:val="105"/>
          <w:sz w:val="18"/>
          <w:szCs w:val="18"/>
        </w:rPr>
        <w:t xml:space="preserve"> </w:t>
      </w:r>
      <w:r w:rsidRPr="007F6D54">
        <w:rPr>
          <w:rFonts w:ascii="Tahoma" w:hAnsi="Tahoma" w:cs="Tahoma"/>
          <w:w w:val="105"/>
          <w:sz w:val="18"/>
          <w:szCs w:val="18"/>
        </w:rPr>
        <w:t>creencias</w:t>
      </w:r>
      <w:r w:rsidRPr="007F6D54">
        <w:rPr>
          <w:rFonts w:ascii="Tahoma" w:hAnsi="Tahoma" w:cs="Tahoma"/>
          <w:spacing w:val="-2"/>
          <w:w w:val="105"/>
          <w:sz w:val="18"/>
          <w:szCs w:val="18"/>
        </w:rPr>
        <w:t xml:space="preserve"> </w:t>
      </w:r>
      <w:r w:rsidRPr="007F6D54">
        <w:rPr>
          <w:rFonts w:ascii="Tahoma" w:hAnsi="Tahoma" w:cs="Tahoma"/>
          <w:w w:val="105"/>
          <w:sz w:val="18"/>
          <w:szCs w:val="18"/>
        </w:rPr>
        <w:t>como</w:t>
      </w:r>
      <w:r w:rsidRPr="007F6D54">
        <w:rPr>
          <w:rFonts w:ascii="Tahoma" w:hAnsi="Tahoma" w:cs="Tahoma"/>
          <w:spacing w:val="-1"/>
          <w:w w:val="105"/>
          <w:sz w:val="18"/>
          <w:szCs w:val="18"/>
        </w:rPr>
        <w:t xml:space="preserve"> </w:t>
      </w:r>
      <w:r w:rsidRPr="007F6D54">
        <w:rPr>
          <w:rFonts w:ascii="Tahoma" w:hAnsi="Tahoma" w:cs="Tahoma"/>
          <w:w w:val="105"/>
          <w:sz w:val="18"/>
          <w:szCs w:val="18"/>
        </w:rPr>
        <w:t>garantes</w:t>
      </w:r>
      <w:r w:rsidRPr="007F6D54">
        <w:rPr>
          <w:rFonts w:ascii="Tahoma" w:hAnsi="Tahoma" w:cs="Tahoma"/>
          <w:spacing w:val="-1"/>
          <w:w w:val="105"/>
          <w:sz w:val="18"/>
          <w:szCs w:val="18"/>
        </w:rPr>
        <w:t xml:space="preserve"> </w:t>
      </w:r>
      <w:r w:rsidRPr="007F6D54">
        <w:rPr>
          <w:rFonts w:ascii="Tahoma" w:hAnsi="Tahoma" w:cs="Tahoma"/>
          <w:spacing w:val="-5"/>
          <w:w w:val="105"/>
          <w:sz w:val="18"/>
          <w:szCs w:val="18"/>
        </w:rPr>
        <w:t xml:space="preserve">de </w:t>
      </w:r>
      <w:r w:rsidRPr="007F6D54">
        <w:rPr>
          <w:rFonts w:ascii="Tahoma" w:hAnsi="Tahoma" w:cs="Tahoma"/>
          <w:spacing w:val="-2"/>
          <w:w w:val="105"/>
          <w:sz w:val="18"/>
          <w:szCs w:val="18"/>
        </w:rPr>
        <w:t>deberes</w:t>
      </w:r>
      <w:r w:rsidRPr="007F6D54">
        <w:rPr>
          <w:rFonts w:ascii="Tahoma" w:hAnsi="Tahoma" w:cs="Tahoma"/>
          <w:sz w:val="18"/>
          <w:szCs w:val="18"/>
        </w:rPr>
        <w:tab/>
      </w:r>
    </w:p>
    <w:p w14:paraId="2624512A" w14:textId="77777777" w:rsidR="003E5960" w:rsidRPr="007F6D54" w:rsidRDefault="003E5960" w:rsidP="003E5960">
      <w:pPr>
        <w:pStyle w:val="TDC4"/>
        <w:numPr>
          <w:ilvl w:val="0"/>
          <w:numId w:val="108"/>
        </w:numPr>
        <w:tabs>
          <w:tab w:val="left" w:pos="1915"/>
        </w:tabs>
        <w:spacing w:before="0"/>
        <w:ind w:firstLine="370"/>
        <w:rPr>
          <w:rFonts w:ascii="Tahoma" w:hAnsi="Tahoma" w:cs="Tahoma"/>
          <w:w w:val="105"/>
          <w:sz w:val="18"/>
          <w:szCs w:val="18"/>
        </w:rPr>
      </w:pPr>
      <w:r w:rsidRPr="007F6D54">
        <w:rPr>
          <w:rFonts w:ascii="Tahoma" w:hAnsi="Tahoma" w:cs="Tahoma"/>
          <w:w w:val="105"/>
          <w:sz w:val="18"/>
          <w:szCs w:val="18"/>
        </w:rPr>
        <w:t>Ajustes</w:t>
      </w:r>
      <w:r w:rsidRPr="007F6D54">
        <w:rPr>
          <w:rFonts w:ascii="Tahoma" w:hAnsi="Tahoma" w:cs="Tahoma"/>
          <w:spacing w:val="-2"/>
          <w:w w:val="105"/>
          <w:sz w:val="18"/>
          <w:szCs w:val="18"/>
        </w:rPr>
        <w:t xml:space="preserve"> </w:t>
      </w:r>
      <w:r w:rsidRPr="007F6D54">
        <w:rPr>
          <w:rFonts w:ascii="Tahoma" w:hAnsi="Tahoma" w:cs="Tahoma"/>
          <w:w w:val="105"/>
          <w:sz w:val="18"/>
          <w:szCs w:val="18"/>
        </w:rPr>
        <w:t>razonables</w:t>
      </w:r>
      <w:r w:rsidRPr="007F6D54">
        <w:rPr>
          <w:rFonts w:ascii="Tahoma" w:hAnsi="Tahoma" w:cs="Tahoma"/>
          <w:spacing w:val="-1"/>
          <w:w w:val="105"/>
          <w:sz w:val="18"/>
          <w:szCs w:val="18"/>
        </w:rPr>
        <w:t xml:space="preserve"> </w:t>
      </w:r>
      <w:r w:rsidRPr="007F6D54">
        <w:rPr>
          <w:rFonts w:ascii="Tahoma" w:hAnsi="Tahoma" w:cs="Tahoma"/>
          <w:w w:val="105"/>
          <w:sz w:val="18"/>
          <w:szCs w:val="18"/>
        </w:rPr>
        <w:t>y</w:t>
      </w:r>
      <w:r w:rsidRPr="007F6D54">
        <w:rPr>
          <w:rFonts w:ascii="Tahoma" w:hAnsi="Tahoma" w:cs="Tahoma"/>
          <w:spacing w:val="-1"/>
          <w:w w:val="105"/>
          <w:sz w:val="18"/>
          <w:szCs w:val="18"/>
        </w:rPr>
        <w:t xml:space="preserve"> </w:t>
      </w:r>
      <w:r w:rsidRPr="007F6D54">
        <w:rPr>
          <w:rFonts w:ascii="Tahoma" w:hAnsi="Tahoma" w:cs="Tahoma"/>
          <w:spacing w:val="-2"/>
          <w:w w:val="105"/>
          <w:sz w:val="18"/>
          <w:szCs w:val="18"/>
        </w:rPr>
        <w:t>práctica religiosa</w:t>
      </w:r>
      <w:r w:rsidRPr="007F6D54">
        <w:rPr>
          <w:rFonts w:ascii="Tahoma" w:hAnsi="Tahoma" w:cs="Tahoma"/>
          <w:sz w:val="18"/>
          <w:szCs w:val="18"/>
        </w:rPr>
        <w:tab/>
      </w:r>
    </w:p>
    <w:p w14:paraId="5A4A88F4" w14:textId="77777777" w:rsidR="003E5960" w:rsidRPr="007F6D54" w:rsidRDefault="003E5960" w:rsidP="003E5960">
      <w:pPr>
        <w:pStyle w:val="TDC4"/>
        <w:numPr>
          <w:ilvl w:val="0"/>
          <w:numId w:val="108"/>
        </w:numPr>
        <w:tabs>
          <w:tab w:val="left" w:pos="1915"/>
        </w:tabs>
        <w:spacing w:before="0"/>
        <w:ind w:firstLine="370"/>
        <w:rPr>
          <w:rFonts w:ascii="Tahoma" w:hAnsi="Tahoma" w:cs="Tahoma"/>
          <w:sz w:val="18"/>
          <w:szCs w:val="18"/>
        </w:rPr>
      </w:pPr>
      <w:r w:rsidRPr="007F6D54">
        <w:rPr>
          <w:rFonts w:ascii="Tahoma" w:hAnsi="Tahoma" w:cs="Tahoma"/>
          <w:w w:val="105"/>
          <w:sz w:val="18"/>
          <w:szCs w:val="18"/>
        </w:rPr>
        <w:t>Optar</w:t>
      </w:r>
      <w:r w:rsidRPr="007F6D54">
        <w:rPr>
          <w:rFonts w:ascii="Tahoma" w:hAnsi="Tahoma" w:cs="Tahoma"/>
          <w:spacing w:val="-2"/>
          <w:w w:val="105"/>
          <w:sz w:val="18"/>
          <w:szCs w:val="18"/>
        </w:rPr>
        <w:t xml:space="preserve"> </w:t>
      </w:r>
      <w:r w:rsidRPr="007F6D54">
        <w:rPr>
          <w:rFonts w:ascii="Tahoma" w:hAnsi="Tahoma" w:cs="Tahoma"/>
          <w:w w:val="105"/>
          <w:sz w:val="18"/>
          <w:szCs w:val="18"/>
        </w:rPr>
        <w:t>por</w:t>
      </w:r>
      <w:r w:rsidRPr="007F6D54">
        <w:rPr>
          <w:rFonts w:ascii="Tahoma" w:hAnsi="Tahoma" w:cs="Tahoma"/>
          <w:spacing w:val="-2"/>
          <w:w w:val="105"/>
          <w:sz w:val="18"/>
          <w:szCs w:val="18"/>
        </w:rPr>
        <w:t xml:space="preserve"> </w:t>
      </w:r>
      <w:r w:rsidRPr="007F6D54">
        <w:rPr>
          <w:rFonts w:ascii="Tahoma" w:hAnsi="Tahoma" w:cs="Tahoma"/>
          <w:w w:val="105"/>
          <w:sz w:val="18"/>
          <w:szCs w:val="18"/>
        </w:rPr>
        <w:t>no</w:t>
      </w:r>
      <w:r w:rsidRPr="007F6D54">
        <w:rPr>
          <w:rFonts w:ascii="Tahoma" w:hAnsi="Tahoma" w:cs="Tahoma"/>
          <w:spacing w:val="-2"/>
          <w:w w:val="105"/>
          <w:sz w:val="18"/>
          <w:szCs w:val="18"/>
        </w:rPr>
        <w:t xml:space="preserve"> </w:t>
      </w:r>
      <w:r w:rsidRPr="007F6D54">
        <w:rPr>
          <w:rFonts w:ascii="Tahoma" w:hAnsi="Tahoma" w:cs="Tahoma"/>
          <w:w w:val="105"/>
          <w:sz w:val="18"/>
          <w:szCs w:val="18"/>
        </w:rPr>
        <w:t>participar</w:t>
      </w:r>
      <w:r w:rsidRPr="007F6D54">
        <w:rPr>
          <w:rFonts w:ascii="Tahoma" w:hAnsi="Tahoma" w:cs="Tahoma"/>
          <w:spacing w:val="-3"/>
          <w:w w:val="105"/>
          <w:sz w:val="18"/>
          <w:szCs w:val="18"/>
        </w:rPr>
        <w:t xml:space="preserve"> </w:t>
      </w:r>
      <w:r w:rsidRPr="007F6D54">
        <w:rPr>
          <w:rFonts w:ascii="Tahoma" w:hAnsi="Tahoma" w:cs="Tahoma"/>
          <w:w w:val="105"/>
          <w:sz w:val="18"/>
          <w:szCs w:val="18"/>
        </w:rPr>
        <w:t>en</w:t>
      </w:r>
      <w:r w:rsidRPr="007F6D54">
        <w:rPr>
          <w:rFonts w:ascii="Tahoma" w:hAnsi="Tahoma" w:cs="Tahoma"/>
          <w:spacing w:val="-2"/>
          <w:w w:val="105"/>
          <w:sz w:val="18"/>
          <w:szCs w:val="18"/>
        </w:rPr>
        <w:t xml:space="preserve"> </w:t>
      </w:r>
      <w:r w:rsidRPr="007F6D54">
        <w:rPr>
          <w:rFonts w:ascii="Tahoma" w:hAnsi="Tahoma" w:cs="Tahoma"/>
          <w:w w:val="105"/>
          <w:sz w:val="18"/>
          <w:szCs w:val="18"/>
        </w:rPr>
        <w:t>el</w:t>
      </w:r>
      <w:r w:rsidRPr="007F6D54">
        <w:rPr>
          <w:rFonts w:ascii="Tahoma" w:hAnsi="Tahoma" w:cs="Tahoma"/>
          <w:spacing w:val="-2"/>
          <w:w w:val="105"/>
          <w:sz w:val="18"/>
          <w:szCs w:val="18"/>
        </w:rPr>
        <w:t xml:space="preserve"> </w:t>
      </w:r>
      <w:r w:rsidRPr="007F6D54">
        <w:rPr>
          <w:rFonts w:ascii="Tahoma" w:hAnsi="Tahoma" w:cs="Tahoma"/>
          <w:w w:val="105"/>
          <w:sz w:val="18"/>
          <w:szCs w:val="18"/>
        </w:rPr>
        <w:t>campo</w:t>
      </w:r>
      <w:r w:rsidRPr="007F6D54">
        <w:rPr>
          <w:rFonts w:ascii="Tahoma" w:hAnsi="Tahoma" w:cs="Tahoma"/>
          <w:spacing w:val="-1"/>
          <w:w w:val="105"/>
          <w:sz w:val="18"/>
          <w:szCs w:val="18"/>
        </w:rPr>
        <w:t xml:space="preserve"> </w:t>
      </w:r>
      <w:r w:rsidRPr="007F6D54">
        <w:rPr>
          <w:rFonts w:ascii="Tahoma" w:hAnsi="Tahoma" w:cs="Tahoma"/>
          <w:w w:val="105"/>
          <w:sz w:val="18"/>
          <w:szCs w:val="18"/>
        </w:rPr>
        <w:t>de</w:t>
      </w:r>
      <w:r w:rsidRPr="007F6D54">
        <w:rPr>
          <w:rFonts w:ascii="Tahoma" w:hAnsi="Tahoma" w:cs="Tahoma"/>
          <w:spacing w:val="-2"/>
          <w:w w:val="105"/>
          <w:sz w:val="18"/>
          <w:szCs w:val="18"/>
        </w:rPr>
        <w:t xml:space="preserve"> </w:t>
      </w:r>
      <w:r w:rsidRPr="007F6D54">
        <w:rPr>
          <w:rFonts w:ascii="Tahoma" w:hAnsi="Tahoma" w:cs="Tahoma"/>
          <w:spacing w:val="-5"/>
          <w:w w:val="105"/>
          <w:sz w:val="18"/>
          <w:szCs w:val="18"/>
        </w:rPr>
        <w:t xml:space="preserve">la </w:t>
      </w:r>
      <w:r w:rsidRPr="007F6D54">
        <w:rPr>
          <w:rFonts w:ascii="Tahoma" w:hAnsi="Tahoma" w:cs="Tahoma"/>
          <w:spacing w:val="-2"/>
          <w:sz w:val="18"/>
          <w:szCs w:val="18"/>
        </w:rPr>
        <w:t>salud</w:t>
      </w:r>
      <w:r w:rsidRPr="007F6D54">
        <w:rPr>
          <w:rFonts w:ascii="Tahoma" w:hAnsi="Tahoma" w:cs="Tahoma"/>
          <w:sz w:val="18"/>
          <w:szCs w:val="18"/>
        </w:rPr>
        <w:tab/>
      </w:r>
    </w:p>
    <w:p w14:paraId="7874EA87" w14:textId="77777777" w:rsidR="003E5960" w:rsidRPr="007F6D54" w:rsidRDefault="003E5960" w:rsidP="003E5960">
      <w:pPr>
        <w:pStyle w:val="TDC4"/>
        <w:numPr>
          <w:ilvl w:val="1"/>
          <w:numId w:val="102"/>
        </w:numPr>
        <w:tabs>
          <w:tab w:val="left" w:leader="dot" w:pos="8188"/>
        </w:tabs>
        <w:spacing w:before="0"/>
        <w:ind w:right="2004"/>
        <w:rPr>
          <w:rFonts w:ascii="Tahoma" w:hAnsi="Tahoma" w:cs="Tahoma"/>
          <w:spacing w:val="-11"/>
          <w:w w:val="105"/>
          <w:sz w:val="18"/>
          <w:szCs w:val="18"/>
        </w:rPr>
      </w:pPr>
      <w:r w:rsidRPr="007F6D54">
        <w:rPr>
          <w:rFonts w:ascii="Tahoma" w:hAnsi="Tahoma" w:cs="Tahoma"/>
          <w:w w:val="105"/>
          <w:sz w:val="18"/>
          <w:szCs w:val="18"/>
        </w:rPr>
        <w:t>Discriminación</w:t>
      </w:r>
      <w:r w:rsidRPr="007F6D54">
        <w:rPr>
          <w:rFonts w:ascii="Tahoma" w:hAnsi="Tahoma" w:cs="Tahoma"/>
          <w:spacing w:val="58"/>
          <w:w w:val="105"/>
          <w:sz w:val="18"/>
          <w:szCs w:val="18"/>
        </w:rPr>
        <w:t xml:space="preserve"> </w:t>
      </w:r>
      <w:r w:rsidRPr="007F6D54">
        <w:rPr>
          <w:rFonts w:ascii="Tahoma" w:hAnsi="Tahoma" w:cs="Tahoma"/>
          <w:w w:val="105"/>
          <w:sz w:val="18"/>
          <w:szCs w:val="18"/>
        </w:rPr>
        <w:t>basada</w:t>
      </w:r>
      <w:r w:rsidRPr="007F6D54">
        <w:rPr>
          <w:rFonts w:ascii="Tahoma" w:hAnsi="Tahoma" w:cs="Tahoma"/>
          <w:spacing w:val="57"/>
          <w:w w:val="105"/>
          <w:sz w:val="18"/>
          <w:szCs w:val="18"/>
        </w:rPr>
        <w:t xml:space="preserve"> </w:t>
      </w:r>
      <w:r w:rsidRPr="007F6D54">
        <w:rPr>
          <w:rFonts w:ascii="Tahoma" w:hAnsi="Tahoma" w:cs="Tahoma"/>
          <w:w w:val="105"/>
          <w:sz w:val="18"/>
          <w:szCs w:val="18"/>
        </w:rPr>
        <w:t>en</w:t>
      </w:r>
      <w:r w:rsidRPr="007F6D54">
        <w:rPr>
          <w:rFonts w:ascii="Tahoma" w:hAnsi="Tahoma" w:cs="Tahoma"/>
          <w:spacing w:val="56"/>
          <w:w w:val="105"/>
          <w:sz w:val="18"/>
          <w:szCs w:val="18"/>
        </w:rPr>
        <w:t xml:space="preserve"> </w:t>
      </w:r>
      <w:r w:rsidRPr="007F6D54">
        <w:rPr>
          <w:rFonts w:ascii="Tahoma" w:hAnsi="Tahoma" w:cs="Tahoma"/>
          <w:w w:val="105"/>
          <w:sz w:val="18"/>
          <w:szCs w:val="18"/>
        </w:rPr>
        <w:t>otras</w:t>
      </w:r>
      <w:r w:rsidRPr="007F6D54">
        <w:rPr>
          <w:rFonts w:ascii="Tahoma" w:hAnsi="Tahoma" w:cs="Tahoma"/>
          <w:spacing w:val="55"/>
          <w:w w:val="105"/>
          <w:sz w:val="18"/>
          <w:szCs w:val="18"/>
        </w:rPr>
        <w:t xml:space="preserve"> </w:t>
      </w:r>
      <w:r w:rsidRPr="007F6D54">
        <w:rPr>
          <w:rFonts w:ascii="Tahoma" w:hAnsi="Tahoma" w:cs="Tahoma"/>
          <w:w w:val="105"/>
          <w:sz w:val="18"/>
          <w:szCs w:val="18"/>
        </w:rPr>
        <w:t>características</w:t>
      </w:r>
      <w:r w:rsidRPr="007F6D54">
        <w:rPr>
          <w:rFonts w:ascii="Tahoma" w:hAnsi="Tahoma" w:cs="Tahoma"/>
          <w:spacing w:val="56"/>
          <w:w w:val="105"/>
          <w:sz w:val="18"/>
          <w:szCs w:val="18"/>
        </w:rPr>
        <w:t xml:space="preserve"> </w:t>
      </w:r>
      <w:r w:rsidRPr="007F6D54">
        <w:rPr>
          <w:rFonts w:ascii="Tahoma" w:hAnsi="Tahoma" w:cs="Tahoma"/>
          <w:w w:val="105"/>
          <w:sz w:val="18"/>
          <w:szCs w:val="18"/>
        </w:rPr>
        <w:t>en</w:t>
      </w:r>
      <w:r w:rsidRPr="007F6D54">
        <w:rPr>
          <w:rFonts w:ascii="Tahoma" w:hAnsi="Tahoma" w:cs="Tahoma"/>
          <w:spacing w:val="55"/>
          <w:w w:val="105"/>
          <w:sz w:val="18"/>
          <w:szCs w:val="18"/>
        </w:rPr>
        <w:t xml:space="preserve"> </w:t>
      </w:r>
      <w:r w:rsidRPr="007F6D54">
        <w:rPr>
          <w:rFonts w:ascii="Tahoma" w:hAnsi="Tahoma" w:cs="Tahoma"/>
          <w:w w:val="105"/>
          <w:sz w:val="18"/>
          <w:szCs w:val="18"/>
        </w:rPr>
        <w:t>situaciones</w:t>
      </w:r>
      <w:r w:rsidRPr="007F6D54">
        <w:rPr>
          <w:rFonts w:ascii="Tahoma" w:hAnsi="Tahoma" w:cs="Tahoma"/>
          <w:spacing w:val="55"/>
          <w:w w:val="105"/>
          <w:sz w:val="18"/>
          <w:szCs w:val="18"/>
        </w:rPr>
        <w:t xml:space="preserve"> </w:t>
      </w:r>
      <w:r w:rsidRPr="007F6D54">
        <w:rPr>
          <w:rFonts w:ascii="Tahoma" w:hAnsi="Tahoma" w:cs="Tahoma"/>
          <w:w w:val="105"/>
          <w:sz w:val="18"/>
          <w:szCs w:val="18"/>
        </w:rPr>
        <w:t>en</w:t>
      </w:r>
      <w:r w:rsidRPr="007F6D54">
        <w:rPr>
          <w:rFonts w:ascii="Tahoma" w:hAnsi="Tahoma" w:cs="Tahoma"/>
          <w:spacing w:val="56"/>
          <w:w w:val="105"/>
          <w:sz w:val="18"/>
          <w:szCs w:val="18"/>
        </w:rPr>
        <w:t xml:space="preserve"> </w:t>
      </w:r>
      <w:r w:rsidRPr="007F6D54">
        <w:rPr>
          <w:rFonts w:ascii="Tahoma" w:hAnsi="Tahoma" w:cs="Tahoma"/>
          <w:w w:val="105"/>
          <w:sz w:val="18"/>
          <w:szCs w:val="18"/>
        </w:rPr>
        <w:t>las</w:t>
      </w:r>
      <w:r w:rsidRPr="007F6D54">
        <w:rPr>
          <w:rFonts w:ascii="Tahoma" w:hAnsi="Tahoma" w:cs="Tahoma"/>
          <w:spacing w:val="55"/>
          <w:w w:val="105"/>
          <w:sz w:val="18"/>
          <w:szCs w:val="18"/>
        </w:rPr>
        <w:t xml:space="preserve"> </w:t>
      </w:r>
      <w:r w:rsidRPr="007F6D54">
        <w:rPr>
          <w:rFonts w:ascii="Tahoma" w:hAnsi="Tahoma" w:cs="Tahoma"/>
          <w:w w:val="105"/>
          <w:sz w:val="18"/>
          <w:szCs w:val="18"/>
        </w:rPr>
        <w:t>que</w:t>
      </w:r>
      <w:r w:rsidRPr="007F6D54">
        <w:rPr>
          <w:rFonts w:ascii="Tahoma" w:hAnsi="Tahoma" w:cs="Tahoma"/>
          <w:spacing w:val="56"/>
          <w:w w:val="105"/>
          <w:sz w:val="18"/>
          <w:szCs w:val="18"/>
        </w:rPr>
        <w:t xml:space="preserve"> </w:t>
      </w:r>
      <w:r w:rsidRPr="007F6D54">
        <w:rPr>
          <w:rFonts w:ascii="Tahoma" w:hAnsi="Tahoma" w:cs="Tahoma"/>
          <w:w w:val="105"/>
          <w:sz w:val="18"/>
          <w:szCs w:val="18"/>
        </w:rPr>
        <w:t>la</w:t>
      </w:r>
      <w:r w:rsidRPr="007F6D54">
        <w:rPr>
          <w:rFonts w:ascii="Tahoma" w:hAnsi="Tahoma" w:cs="Tahoma"/>
          <w:spacing w:val="55"/>
          <w:w w:val="105"/>
          <w:sz w:val="18"/>
          <w:szCs w:val="18"/>
        </w:rPr>
        <w:t xml:space="preserve"> </w:t>
      </w:r>
      <w:r w:rsidRPr="007F6D54">
        <w:rPr>
          <w:rFonts w:ascii="Tahoma" w:hAnsi="Tahoma" w:cs="Tahoma"/>
          <w:w w:val="105"/>
          <w:sz w:val="18"/>
          <w:szCs w:val="18"/>
        </w:rPr>
        <w:t>religión</w:t>
      </w:r>
      <w:r w:rsidRPr="007F6D54">
        <w:rPr>
          <w:rFonts w:ascii="Tahoma" w:hAnsi="Tahoma" w:cs="Tahoma"/>
          <w:spacing w:val="58"/>
          <w:w w:val="105"/>
          <w:sz w:val="18"/>
          <w:szCs w:val="18"/>
        </w:rPr>
        <w:t xml:space="preserve"> </w:t>
      </w:r>
      <w:r w:rsidRPr="007F6D54">
        <w:rPr>
          <w:rFonts w:ascii="Tahoma" w:hAnsi="Tahoma" w:cs="Tahoma"/>
          <w:w w:val="105"/>
          <w:sz w:val="18"/>
          <w:szCs w:val="18"/>
        </w:rPr>
        <w:t>es</w:t>
      </w:r>
      <w:r w:rsidRPr="007F6D54">
        <w:rPr>
          <w:rFonts w:ascii="Tahoma" w:hAnsi="Tahoma" w:cs="Tahoma"/>
          <w:spacing w:val="55"/>
          <w:w w:val="105"/>
          <w:sz w:val="18"/>
          <w:szCs w:val="18"/>
        </w:rPr>
        <w:t xml:space="preserve"> </w:t>
      </w:r>
      <w:r w:rsidRPr="007F6D54">
        <w:rPr>
          <w:rFonts w:ascii="Tahoma" w:hAnsi="Tahoma" w:cs="Tahoma"/>
          <w:w w:val="105"/>
          <w:sz w:val="18"/>
          <w:szCs w:val="18"/>
        </w:rPr>
        <w:t>un</w:t>
      </w:r>
      <w:r w:rsidRPr="007F6D54">
        <w:rPr>
          <w:rFonts w:ascii="Tahoma" w:hAnsi="Tahoma" w:cs="Tahoma"/>
          <w:spacing w:val="80"/>
          <w:w w:val="105"/>
          <w:sz w:val="18"/>
          <w:szCs w:val="18"/>
        </w:rPr>
        <w:t xml:space="preserve"> </w:t>
      </w:r>
      <w:r w:rsidRPr="007F6D54">
        <w:rPr>
          <w:rFonts w:ascii="Tahoma" w:hAnsi="Tahoma" w:cs="Tahoma"/>
          <w:spacing w:val="-2"/>
          <w:w w:val="105"/>
          <w:sz w:val="18"/>
          <w:szCs w:val="18"/>
        </w:rPr>
        <w:t>pretexto.</w:t>
      </w:r>
    </w:p>
    <w:p w14:paraId="385640D8" w14:textId="77777777" w:rsidR="003E5960" w:rsidRPr="007F6D54" w:rsidRDefault="003E5960" w:rsidP="003E5960">
      <w:pPr>
        <w:pStyle w:val="TDC4"/>
        <w:numPr>
          <w:ilvl w:val="1"/>
          <w:numId w:val="109"/>
        </w:numPr>
        <w:tabs>
          <w:tab w:val="left" w:leader="dot" w:pos="8188"/>
        </w:tabs>
        <w:spacing w:before="0"/>
        <w:ind w:right="2002" w:hanging="241"/>
        <w:rPr>
          <w:rFonts w:ascii="Tahoma" w:hAnsi="Tahoma" w:cs="Tahoma"/>
          <w:w w:val="105"/>
          <w:sz w:val="18"/>
          <w:szCs w:val="18"/>
        </w:rPr>
      </w:pPr>
      <w:r w:rsidRPr="007F6D54">
        <w:rPr>
          <w:rFonts w:ascii="Tahoma" w:hAnsi="Tahoma" w:cs="Tahoma"/>
          <w:w w:val="105"/>
          <w:sz w:val="18"/>
          <w:szCs w:val="18"/>
        </w:rPr>
        <w:t>La</w:t>
      </w:r>
      <w:r w:rsidRPr="007F6D54">
        <w:rPr>
          <w:rFonts w:ascii="Tahoma" w:hAnsi="Tahoma" w:cs="Tahoma"/>
          <w:spacing w:val="-10"/>
          <w:w w:val="105"/>
          <w:sz w:val="18"/>
          <w:szCs w:val="18"/>
        </w:rPr>
        <w:t xml:space="preserve"> </w:t>
      </w:r>
      <w:r w:rsidRPr="007F6D54">
        <w:rPr>
          <w:rFonts w:ascii="Tahoma" w:hAnsi="Tahoma" w:cs="Tahoma"/>
          <w:w w:val="105"/>
          <w:sz w:val="18"/>
          <w:szCs w:val="18"/>
        </w:rPr>
        <w:t>objeción</w:t>
      </w:r>
      <w:r w:rsidRPr="007F6D54">
        <w:rPr>
          <w:rFonts w:ascii="Tahoma" w:hAnsi="Tahoma" w:cs="Tahoma"/>
          <w:spacing w:val="-9"/>
          <w:w w:val="105"/>
          <w:sz w:val="18"/>
          <w:szCs w:val="18"/>
        </w:rPr>
        <w:t xml:space="preserve"> </w:t>
      </w:r>
      <w:r w:rsidRPr="007F6D54">
        <w:rPr>
          <w:rFonts w:ascii="Tahoma" w:hAnsi="Tahoma" w:cs="Tahoma"/>
          <w:w w:val="105"/>
          <w:sz w:val="18"/>
          <w:szCs w:val="18"/>
        </w:rPr>
        <w:t>de conciencia</w:t>
      </w:r>
      <w:r w:rsidRPr="007F6D54">
        <w:rPr>
          <w:rFonts w:ascii="Tahoma" w:hAnsi="Tahoma" w:cs="Tahoma"/>
          <w:spacing w:val="-4"/>
          <w:w w:val="105"/>
          <w:sz w:val="18"/>
          <w:szCs w:val="18"/>
        </w:rPr>
        <w:t xml:space="preserve"> </w:t>
      </w:r>
      <w:r w:rsidRPr="007F6D54">
        <w:rPr>
          <w:rFonts w:ascii="Tahoma" w:hAnsi="Tahoma" w:cs="Tahoma"/>
          <w:w w:val="105"/>
          <w:sz w:val="18"/>
          <w:szCs w:val="18"/>
        </w:rPr>
        <w:t>y</w:t>
      </w:r>
      <w:r w:rsidRPr="007F6D54">
        <w:rPr>
          <w:rFonts w:ascii="Tahoma" w:hAnsi="Tahoma" w:cs="Tahoma"/>
          <w:spacing w:val="-3"/>
          <w:w w:val="105"/>
          <w:sz w:val="18"/>
          <w:szCs w:val="18"/>
        </w:rPr>
        <w:t xml:space="preserve"> </w:t>
      </w:r>
      <w:r w:rsidRPr="007F6D54">
        <w:rPr>
          <w:rFonts w:ascii="Tahoma" w:hAnsi="Tahoma" w:cs="Tahoma"/>
          <w:w w:val="105"/>
          <w:sz w:val="18"/>
          <w:szCs w:val="18"/>
        </w:rPr>
        <w:t>sus</w:t>
      </w:r>
      <w:r w:rsidRPr="007F6D54">
        <w:rPr>
          <w:rFonts w:ascii="Tahoma" w:hAnsi="Tahoma" w:cs="Tahoma"/>
          <w:spacing w:val="-4"/>
          <w:w w:val="105"/>
          <w:sz w:val="18"/>
          <w:szCs w:val="18"/>
        </w:rPr>
        <w:t xml:space="preserve"> </w:t>
      </w:r>
      <w:r w:rsidRPr="007F6D54">
        <w:rPr>
          <w:rFonts w:ascii="Tahoma" w:hAnsi="Tahoma" w:cs="Tahoma"/>
          <w:spacing w:val="-2"/>
          <w:w w:val="105"/>
          <w:sz w:val="18"/>
          <w:szCs w:val="18"/>
        </w:rPr>
        <w:t>límites</w:t>
      </w:r>
    </w:p>
    <w:p w14:paraId="6002656D" w14:textId="77777777" w:rsidR="003E5960" w:rsidRPr="007F6D54" w:rsidRDefault="003E5960" w:rsidP="003E5960">
      <w:pPr>
        <w:pStyle w:val="TDC4"/>
        <w:numPr>
          <w:ilvl w:val="1"/>
          <w:numId w:val="109"/>
        </w:numPr>
        <w:tabs>
          <w:tab w:val="left" w:leader="dot" w:pos="8188"/>
        </w:tabs>
        <w:spacing w:before="0"/>
        <w:ind w:right="2002" w:hanging="241"/>
        <w:rPr>
          <w:rFonts w:ascii="Tahoma" w:hAnsi="Tahoma" w:cs="Tahoma"/>
          <w:w w:val="105"/>
          <w:sz w:val="18"/>
          <w:szCs w:val="18"/>
        </w:rPr>
      </w:pPr>
      <w:r w:rsidRPr="007F6D54">
        <w:rPr>
          <w:rFonts w:ascii="Tahoma" w:hAnsi="Tahoma" w:cs="Tahoma"/>
          <w:w w:val="105"/>
          <w:sz w:val="18"/>
          <w:szCs w:val="18"/>
        </w:rPr>
        <w:t>Derecho</w:t>
      </w:r>
      <w:r w:rsidRPr="007F6D54">
        <w:rPr>
          <w:rFonts w:ascii="Tahoma" w:hAnsi="Tahoma" w:cs="Tahoma"/>
          <w:spacing w:val="-3"/>
          <w:w w:val="105"/>
          <w:sz w:val="18"/>
          <w:szCs w:val="18"/>
        </w:rPr>
        <w:t xml:space="preserve"> </w:t>
      </w:r>
      <w:r w:rsidRPr="007F6D54">
        <w:rPr>
          <w:rFonts w:ascii="Tahoma" w:hAnsi="Tahoma" w:cs="Tahoma"/>
          <w:w w:val="105"/>
          <w:sz w:val="18"/>
          <w:szCs w:val="18"/>
        </w:rPr>
        <w:t>de</w:t>
      </w:r>
      <w:r w:rsidRPr="007F6D54">
        <w:rPr>
          <w:rFonts w:ascii="Tahoma" w:hAnsi="Tahoma" w:cs="Tahoma"/>
          <w:spacing w:val="-3"/>
          <w:w w:val="105"/>
          <w:sz w:val="18"/>
          <w:szCs w:val="18"/>
        </w:rPr>
        <w:t xml:space="preserve"> </w:t>
      </w:r>
      <w:r w:rsidRPr="007F6D54">
        <w:rPr>
          <w:rFonts w:ascii="Tahoma" w:hAnsi="Tahoma" w:cs="Tahoma"/>
          <w:w w:val="105"/>
          <w:sz w:val="18"/>
          <w:szCs w:val="18"/>
        </w:rPr>
        <w:t>familia</w:t>
      </w:r>
      <w:r w:rsidRPr="007F6D54">
        <w:rPr>
          <w:rFonts w:ascii="Tahoma" w:hAnsi="Tahoma" w:cs="Tahoma"/>
          <w:spacing w:val="-3"/>
          <w:w w:val="105"/>
          <w:sz w:val="18"/>
          <w:szCs w:val="18"/>
        </w:rPr>
        <w:t xml:space="preserve"> </w:t>
      </w:r>
      <w:r w:rsidRPr="007F6D54">
        <w:rPr>
          <w:rFonts w:ascii="Tahoma" w:hAnsi="Tahoma" w:cs="Tahoma"/>
          <w:w w:val="105"/>
          <w:sz w:val="18"/>
          <w:szCs w:val="18"/>
        </w:rPr>
        <w:t>y</w:t>
      </w:r>
      <w:r w:rsidRPr="007F6D54">
        <w:rPr>
          <w:rFonts w:ascii="Tahoma" w:hAnsi="Tahoma" w:cs="Tahoma"/>
          <w:spacing w:val="-3"/>
          <w:w w:val="105"/>
          <w:sz w:val="18"/>
          <w:szCs w:val="18"/>
        </w:rPr>
        <w:t xml:space="preserve"> </w:t>
      </w:r>
      <w:r w:rsidRPr="007F6D54">
        <w:rPr>
          <w:rFonts w:ascii="Tahoma" w:hAnsi="Tahoma" w:cs="Tahoma"/>
          <w:w w:val="105"/>
          <w:sz w:val="18"/>
          <w:szCs w:val="18"/>
        </w:rPr>
        <w:t>estatus</w:t>
      </w:r>
      <w:r w:rsidRPr="007F6D54">
        <w:rPr>
          <w:rFonts w:ascii="Tahoma" w:hAnsi="Tahoma" w:cs="Tahoma"/>
          <w:spacing w:val="-3"/>
          <w:w w:val="105"/>
          <w:sz w:val="18"/>
          <w:szCs w:val="18"/>
        </w:rPr>
        <w:t xml:space="preserve"> </w:t>
      </w:r>
      <w:r w:rsidRPr="007F6D54">
        <w:rPr>
          <w:rFonts w:ascii="Tahoma" w:hAnsi="Tahoma" w:cs="Tahoma"/>
          <w:spacing w:val="-2"/>
          <w:w w:val="105"/>
          <w:sz w:val="18"/>
          <w:szCs w:val="18"/>
        </w:rPr>
        <w:t xml:space="preserve">personal: </w:t>
      </w:r>
      <w:r w:rsidRPr="007F6D54">
        <w:rPr>
          <w:rFonts w:ascii="Tahoma" w:hAnsi="Tahoma" w:cs="Tahoma"/>
          <w:w w:val="105"/>
          <w:sz w:val="18"/>
          <w:szCs w:val="18"/>
        </w:rPr>
        <w:t>matrimonio,</w:t>
      </w:r>
      <w:r w:rsidRPr="007F6D54">
        <w:rPr>
          <w:rFonts w:ascii="Tahoma" w:hAnsi="Tahoma" w:cs="Tahoma"/>
          <w:spacing w:val="-7"/>
          <w:w w:val="105"/>
          <w:sz w:val="18"/>
          <w:szCs w:val="18"/>
        </w:rPr>
        <w:t xml:space="preserve"> </w:t>
      </w:r>
      <w:r w:rsidRPr="007F6D54">
        <w:rPr>
          <w:rFonts w:ascii="Tahoma" w:hAnsi="Tahoma" w:cs="Tahoma"/>
          <w:w w:val="105"/>
          <w:sz w:val="18"/>
          <w:szCs w:val="18"/>
        </w:rPr>
        <w:t>divorcio,</w:t>
      </w:r>
      <w:r w:rsidRPr="007F6D54">
        <w:rPr>
          <w:rFonts w:ascii="Tahoma" w:hAnsi="Tahoma" w:cs="Tahoma"/>
          <w:spacing w:val="-6"/>
          <w:w w:val="105"/>
          <w:sz w:val="18"/>
          <w:szCs w:val="18"/>
        </w:rPr>
        <w:t xml:space="preserve"> </w:t>
      </w:r>
      <w:r w:rsidRPr="007F6D54">
        <w:rPr>
          <w:rFonts w:ascii="Tahoma" w:hAnsi="Tahoma" w:cs="Tahoma"/>
          <w:w w:val="105"/>
          <w:sz w:val="18"/>
          <w:szCs w:val="18"/>
        </w:rPr>
        <w:t>herencia</w:t>
      </w:r>
      <w:r w:rsidRPr="007F6D54">
        <w:rPr>
          <w:rFonts w:ascii="Tahoma" w:hAnsi="Tahoma" w:cs="Tahoma"/>
          <w:spacing w:val="-6"/>
          <w:w w:val="105"/>
          <w:sz w:val="18"/>
          <w:szCs w:val="18"/>
        </w:rPr>
        <w:t xml:space="preserve"> </w:t>
      </w:r>
      <w:r w:rsidRPr="007F6D54">
        <w:rPr>
          <w:rFonts w:ascii="Tahoma" w:hAnsi="Tahoma" w:cs="Tahoma"/>
          <w:w w:val="105"/>
          <w:sz w:val="18"/>
          <w:szCs w:val="18"/>
        </w:rPr>
        <w:t>y</w:t>
      </w:r>
      <w:r w:rsidRPr="007F6D54">
        <w:rPr>
          <w:rFonts w:ascii="Tahoma" w:hAnsi="Tahoma" w:cs="Tahoma"/>
          <w:spacing w:val="-7"/>
          <w:w w:val="105"/>
          <w:sz w:val="18"/>
          <w:szCs w:val="18"/>
        </w:rPr>
        <w:t xml:space="preserve"> </w:t>
      </w:r>
      <w:r w:rsidRPr="007F6D54">
        <w:rPr>
          <w:rFonts w:ascii="Tahoma" w:hAnsi="Tahoma" w:cs="Tahoma"/>
          <w:spacing w:val="-2"/>
          <w:w w:val="105"/>
          <w:sz w:val="18"/>
          <w:szCs w:val="18"/>
        </w:rPr>
        <w:t>entierro</w:t>
      </w:r>
      <w:r w:rsidRPr="007F6D54">
        <w:rPr>
          <w:rFonts w:ascii="Tahoma" w:hAnsi="Tahoma" w:cs="Tahoma"/>
          <w:sz w:val="18"/>
          <w:szCs w:val="18"/>
        </w:rPr>
        <w:tab/>
      </w:r>
    </w:p>
    <w:p w14:paraId="56F9E0F6" w14:textId="77777777" w:rsidR="003E5960" w:rsidRPr="007F6D54" w:rsidRDefault="003E5960" w:rsidP="003E5960">
      <w:pPr>
        <w:pStyle w:val="TDC4"/>
        <w:numPr>
          <w:ilvl w:val="1"/>
          <w:numId w:val="109"/>
        </w:numPr>
        <w:tabs>
          <w:tab w:val="left" w:leader="dot" w:pos="8188"/>
        </w:tabs>
        <w:spacing w:before="0"/>
        <w:ind w:right="2002" w:hanging="241"/>
        <w:rPr>
          <w:rFonts w:ascii="Tahoma" w:hAnsi="Tahoma" w:cs="Tahoma"/>
          <w:sz w:val="18"/>
          <w:szCs w:val="18"/>
        </w:rPr>
      </w:pPr>
      <w:r w:rsidRPr="007F6D54">
        <w:rPr>
          <w:rFonts w:ascii="Tahoma" w:hAnsi="Tahoma" w:cs="Tahoma"/>
          <w:spacing w:val="-2"/>
          <w:w w:val="105"/>
          <w:sz w:val="18"/>
          <w:szCs w:val="18"/>
        </w:rPr>
        <w:t xml:space="preserve">Prácticas </w:t>
      </w:r>
      <w:r w:rsidRPr="007F6D54">
        <w:rPr>
          <w:rFonts w:ascii="Tahoma" w:hAnsi="Tahoma" w:cs="Tahoma"/>
          <w:spacing w:val="-2"/>
          <w:sz w:val="18"/>
          <w:szCs w:val="18"/>
        </w:rPr>
        <w:t>nocivas</w:t>
      </w:r>
    </w:p>
    <w:p w14:paraId="4B381974" w14:textId="74DFB617" w:rsidR="003E5960" w:rsidRPr="007F6D54" w:rsidRDefault="003E5960" w:rsidP="003E5960">
      <w:pPr>
        <w:pStyle w:val="TDC2"/>
        <w:numPr>
          <w:ilvl w:val="0"/>
          <w:numId w:val="102"/>
        </w:numPr>
        <w:tabs>
          <w:tab w:val="left" w:pos="1347"/>
          <w:tab w:val="right" w:leader="dot" w:pos="8320"/>
        </w:tabs>
        <w:spacing w:before="0"/>
        <w:ind w:left="1347" w:hanging="233"/>
        <w:rPr>
          <w:rFonts w:ascii="Tahoma" w:hAnsi="Tahoma" w:cs="Tahoma"/>
          <w:sz w:val="18"/>
          <w:szCs w:val="18"/>
        </w:rPr>
      </w:pPr>
      <w:hyperlink w:anchor="minorías" w:history="1">
        <w:r w:rsidRPr="00806787">
          <w:rPr>
            <w:rStyle w:val="Hipervnculo"/>
            <w:rFonts w:ascii="Tahoma" w:hAnsi="Tahoma" w:cs="Tahoma"/>
            <w:sz w:val="18"/>
            <w:szCs w:val="18"/>
          </w:rPr>
          <w:t>LENGUA,</w:t>
        </w:r>
        <w:r w:rsidRPr="00806787">
          <w:rPr>
            <w:rStyle w:val="Hipervnculo"/>
            <w:rFonts w:ascii="Tahoma" w:hAnsi="Tahoma" w:cs="Tahoma"/>
            <w:spacing w:val="33"/>
            <w:sz w:val="18"/>
            <w:szCs w:val="18"/>
          </w:rPr>
          <w:t xml:space="preserve"> </w:t>
        </w:r>
        <w:r w:rsidRPr="00806787">
          <w:rPr>
            <w:rStyle w:val="Hipervnculo"/>
            <w:rFonts w:ascii="Tahoma" w:hAnsi="Tahoma" w:cs="Tahoma"/>
            <w:sz w:val="18"/>
            <w:szCs w:val="18"/>
          </w:rPr>
          <w:t>MINORÍAS</w:t>
        </w:r>
        <w:r w:rsidRPr="00806787">
          <w:rPr>
            <w:rStyle w:val="Hipervnculo"/>
            <w:rFonts w:ascii="Tahoma" w:hAnsi="Tahoma" w:cs="Tahoma"/>
            <w:spacing w:val="33"/>
            <w:sz w:val="18"/>
            <w:szCs w:val="18"/>
          </w:rPr>
          <w:t xml:space="preserve"> </w:t>
        </w:r>
        <w:r w:rsidRPr="00806787">
          <w:rPr>
            <w:rStyle w:val="Hipervnculo"/>
            <w:rFonts w:ascii="Tahoma" w:hAnsi="Tahoma" w:cs="Tahoma"/>
            <w:sz w:val="18"/>
            <w:szCs w:val="18"/>
          </w:rPr>
          <w:t>LINGÜÍSTICAS,</w:t>
        </w:r>
        <w:r w:rsidRPr="00806787">
          <w:rPr>
            <w:rStyle w:val="Hipervnculo"/>
            <w:rFonts w:ascii="Tahoma" w:hAnsi="Tahoma" w:cs="Tahoma"/>
            <w:spacing w:val="33"/>
            <w:sz w:val="18"/>
            <w:szCs w:val="18"/>
          </w:rPr>
          <w:t xml:space="preserve"> </w:t>
        </w:r>
        <w:r w:rsidRPr="00806787">
          <w:rPr>
            <w:rStyle w:val="Hipervnculo"/>
            <w:rFonts w:ascii="Tahoma" w:hAnsi="Tahoma" w:cs="Tahoma"/>
            <w:sz w:val="18"/>
            <w:szCs w:val="18"/>
          </w:rPr>
          <w:t>DISCRIMINACIÓN,</w:t>
        </w:r>
        <w:r w:rsidRPr="00806787">
          <w:rPr>
            <w:rStyle w:val="Hipervnculo"/>
            <w:rFonts w:ascii="Tahoma" w:hAnsi="Tahoma" w:cs="Tahoma"/>
            <w:spacing w:val="34"/>
            <w:sz w:val="18"/>
            <w:szCs w:val="18"/>
          </w:rPr>
          <w:t xml:space="preserve"> </w:t>
        </w:r>
        <w:r w:rsidRPr="00806787">
          <w:rPr>
            <w:rStyle w:val="Hipervnculo"/>
            <w:rFonts w:ascii="Tahoma" w:hAnsi="Tahoma" w:cs="Tahoma"/>
            <w:sz w:val="18"/>
            <w:szCs w:val="18"/>
          </w:rPr>
          <w:t>IGUALDAD</w:t>
        </w:r>
        <w:r w:rsidRPr="00806787">
          <w:rPr>
            <w:rStyle w:val="Hipervnculo"/>
            <w:rFonts w:ascii="Tahoma" w:hAnsi="Tahoma" w:cs="Tahoma"/>
            <w:spacing w:val="31"/>
            <w:sz w:val="18"/>
            <w:szCs w:val="18"/>
          </w:rPr>
          <w:t xml:space="preserve"> </w:t>
        </w:r>
        <w:r w:rsidRPr="00806787">
          <w:rPr>
            <w:rStyle w:val="Hipervnculo"/>
            <w:rFonts w:ascii="Tahoma" w:hAnsi="Tahoma" w:cs="Tahoma"/>
            <w:sz w:val="18"/>
            <w:szCs w:val="18"/>
          </w:rPr>
          <w:t>E</w:t>
        </w:r>
        <w:r w:rsidRPr="00806787">
          <w:rPr>
            <w:rStyle w:val="Hipervnculo"/>
            <w:rFonts w:ascii="Tahoma" w:hAnsi="Tahoma" w:cs="Tahoma"/>
            <w:spacing w:val="32"/>
            <w:sz w:val="18"/>
            <w:szCs w:val="18"/>
          </w:rPr>
          <w:t xml:space="preserve"> </w:t>
        </w:r>
        <w:r w:rsidRPr="00806787">
          <w:rPr>
            <w:rStyle w:val="Hipervnculo"/>
            <w:rFonts w:ascii="Tahoma" w:hAnsi="Tahoma" w:cs="Tahoma"/>
            <w:spacing w:val="-2"/>
            <w:sz w:val="18"/>
            <w:szCs w:val="18"/>
          </w:rPr>
          <w:t>INCLUSIÓN</w:t>
        </w:r>
      </w:hyperlink>
    </w:p>
    <w:p w14:paraId="42355A0C" w14:textId="740A2051" w:rsidR="003E5960" w:rsidRPr="007F6D54" w:rsidRDefault="003E5960" w:rsidP="003E5960">
      <w:pPr>
        <w:pStyle w:val="TDC2"/>
        <w:numPr>
          <w:ilvl w:val="0"/>
          <w:numId w:val="102"/>
        </w:numPr>
        <w:tabs>
          <w:tab w:val="left" w:pos="1290"/>
          <w:tab w:val="right" w:leader="dot" w:pos="9014"/>
        </w:tabs>
        <w:spacing w:before="0"/>
        <w:ind w:left="1290" w:hanging="190"/>
        <w:rPr>
          <w:rFonts w:ascii="Tahoma" w:hAnsi="Tahoma" w:cs="Tahoma"/>
          <w:sz w:val="18"/>
          <w:szCs w:val="18"/>
        </w:rPr>
      </w:pPr>
      <w:hyperlink w:anchor="genuina" w:history="1">
        <w:r w:rsidRPr="00510D7F">
          <w:rPr>
            <w:rStyle w:val="Hipervnculo"/>
            <w:rFonts w:ascii="Tahoma" w:hAnsi="Tahoma" w:cs="Tahoma"/>
            <w:sz w:val="18"/>
            <w:szCs w:val="18"/>
          </w:rPr>
          <w:t>PARTICIPACIÓN</w:t>
        </w:r>
        <w:r w:rsidRPr="00510D7F">
          <w:rPr>
            <w:rStyle w:val="Hipervnculo"/>
            <w:rFonts w:ascii="Tahoma" w:hAnsi="Tahoma" w:cs="Tahoma"/>
            <w:spacing w:val="20"/>
            <w:sz w:val="18"/>
            <w:szCs w:val="18"/>
          </w:rPr>
          <w:t xml:space="preserve"> </w:t>
        </w:r>
        <w:r w:rsidRPr="00510D7F">
          <w:rPr>
            <w:rStyle w:val="Hipervnculo"/>
            <w:rFonts w:ascii="Tahoma" w:hAnsi="Tahoma" w:cs="Tahoma"/>
            <w:sz w:val="18"/>
            <w:szCs w:val="18"/>
          </w:rPr>
          <w:t>GENUINA</w:t>
        </w:r>
        <w:r w:rsidRPr="00510D7F">
          <w:rPr>
            <w:rStyle w:val="Hipervnculo"/>
            <w:rFonts w:ascii="Tahoma" w:hAnsi="Tahoma" w:cs="Tahoma"/>
            <w:spacing w:val="24"/>
            <w:sz w:val="18"/>
            <w:szCs w:val="18"/>
          </w:rPr>
          <w:t xml:space="preserve"> </w:t>
        </w:r>
        <w:r w:rsidRPr="00510D7F">
          <w:rPr>
            <w:rStyle w:val="Hipervnculo"/>
            <w:rFonts w:ascii="Tahoma" w:hAnsi="Tahoma" w:cs="Tahoma"/>
            <w:sz w:val="18"/>
            <w:szCs w:val="18"/>
          </w:rPr>
          <w:t>Y</w:t>
        </w:r>
        <w:r w:rsidRPr="00510D7F">
          <w:rPr>
            <w:rStyle w:val="Hipervnculo"/>
            <w:rFonts w:ascii="Tahoma" w:hAnsi="Tahoma" w:cs="Tahoma"/>
            <w:spacing w:val="23"/>
            <w:sz w:val="18"/>
            <w:szCs w:val="18"/>
          </w:rPr>
          <w:t xml:space="preserve"> </w:t>
        </w:r>
        <w:r w:rsidRPr="00510D7F">
          <w:rPr>
            <w:rStyle w:val="Hipervnculo"/>
            <w:rFonts w:ascii="Tahoma" w:hAnsi="Tahoma" w:cs="Tahoma"/>
            <w:sz w:val="18"/>
            <w:szCs w:val="18"/>
          </w:rPr>
          <w:t>EFECTIVA</w:t>
        </w:r>
        <w:r w:rsidRPr="00510D7F">
          <w:rPr>
            <w:rStyle w:val="Hipervnculo"/>
            <w:rFonts w:ascii="Tahoma" w:hAnsi="Tahoma" w:cs="Tahoma"/>
            <w:spacing w:val="24"/>
            <w:sz w:val="18"/>
            <w:szCs w:val="18"/>
          </w:rPr>
          <w:t xml:space="preserve"> </w:t>
        </w:r>
        <w:r w:rsidRPr="00510D7F">
          <w:rPr>
            <w:rStyle w:val="Hipervnculo"/>
            <w:rFonts w:ascii="Tahoma" w:hAnsi="Tahoma" w:cs="Tahoma"/>
            <w:sz w:val="18"/>
            <w:szCs w:val="18"/>
          </w:rPr>
          <w:t>DE</w:t>
        </w:r>
        <w:r w:rsidRPr="00510D7F">
          <w:rPr>
            <w:rStyle w:val="Hipervnculo"/>
            <w:rFonts w:ascii="Tahoma" w:hAnsi="Tahoma" w:cs="Tahoma"/>
            <w:spacing w:val="22"/>
            <w:sz w:val="18"/>
            <w:szCs w:val="18"/>
          </w:rPr>
          <w:t xml:space="preserve"> </w:t>
        </w:r>
        <w:r w:rsidRPr="00510D7F">
          <w:rPr>
            <w:rStyle w:val="Hipervnculo"/>
            <w:rFonts w:ascii="Tahoma" w:hAnsi="Tahoma" w:cs="Tahoma"/>
            <w:sz w:val="18"/>
            <w:szCs w:val="18"/>
          </w:rPr>
          <w:t>LAS</w:t>
        </w:r>
        <w:r w:rsidRPr="00510D7F">
          <w:rPr>
            <w:rStyle w:val="Hipervnculo"/>
            <w:rFonts w:ascii="Tahoma" w:hAnsi="Tahoma" w:cs="Tahoma"/>
            <w:spacing w:val="22"/>
            <w:sz w:val="18"/>
            <w:szCs w:val="18"/>
          </w:rPr>
          <w:t xml:space="preserve"> </w:t>
        </w:r>
        <w:r w:rsidRPr="00510D7F">
          <w:rPr>
            <w:rStyle w:val="Hipervnculo"/>
            <w:rFonts w:ascii="Tahoma" w:hAnsi="Tahoma" w:cs="Tahoma"/>
            <w:sz w:val="18"/>
            <w:szCs w:val="18"/>
          </w:rPr>
          <w:t>MINORÍAS</w:t>
        </w:r>
        <w:r w:rsidRPr="00510D7F">
          <w:rPr>
            <w:rStyle w:val="Hipervnculo"/>
            <w:rFonts w:ascii="Tahoma" w:hAnsi="Tahoma" w:cs="Tahoma"/>
            <w:spacing w:val="24"/>
            <w:sz w:val="18"/>
            <w:szCs w:val="18"/>
          </w:rPr>
          <w:t xml:space="preserve"> </w:t>
        </w:r>
        <w:r w:rsidRPr="00510D7F">
          <w:rPr>
            <w:rStyle w:val="Hipervnculo"/>
            <w:rFonts w:ascii="Tahoma" w:hAnsi="Tahoma" w:cs="Tahoma"/>
            <w:sz w:val="18"/>
            <w:szCs w:val="18"/>
          </w:rPr>
          <w:t>Y</w:t>
        </w:r>
        <w:r w:rsidRPr="00510D7F">
          <w:rPr>
            <w:rStyle w:val="Hipervnculo"/>
            <w:rFonts w:ascii="Tahoma" w:hAnsi="Tahoma" w:cs="Tahoma"/>
            <w:spacing w:val="23"/>
            <w:sz w:val="18"/>
            <w:szCs w:val="18"/>
          </w:rPr>
          <w:t xml:space="preserve"> </w:t>
        </w:r>
        <w:r w:rsidRPr="00510D7F">
          <w:rPr>
            <w:rStyle w:val="Hipervnculo"/>
            <w:rFonts w:ascii="Tahoma" w:hAnsi="Tahoma" w:cs="Tahoma"/>
            <w:sz w:val="18"/>
            <w:szCs w:val="18"/>
          </w:rPr>
          <w:t>PROHIBICIÓN</w:t>
        </w:r>
        <w:r w:rsidRPr="00510D7F">
          <w:rPr>
            <w:rStyle w:val="Hipervnculo"/>
            <w:rFonts w:ascii="Tahoma" w:hAnsi="Tahoma" w:cs="Tahoma"/>
            <w:spacing w:val="22"/>
            <w:sz w:val="18"/>
            <w:szCs w:val="18"/>
          </w:rPr>
          <w:t xml:space="preserve"> </w:t>
        </w:r>
        <w:r w:rsidRPr="00510D7F">
          <w:rPr>
            <w:rStyle w:val="Hipervnculo"/>
            <w:rFonts w:ascii="Tahoma" w:hAnsi="Tahoma" w:cs="Tahoma"/>
            <w:sz w:val="18"/>
            <w:szCs w:val="18"/>
          </w:rPr>
          <w:t>DE</w:t>
        </w:r>
        <w:r w:rsidRPr="00510D7F">
          <w:rPr>
            <w:rStyle w:val="Hipervnculo"/>
            <w:rFonts w:ascii="Tahoma" w:hAnsi="Tahoma" w:cs="Tahoma"/>
            <w:spacing w:val="22"/>
            <w:sz w:val="18"/>
            <w:szCs w:val="18"/>
          </w:rPr>
          <w:t xml:space="preserve"> </w:t>
        </w:r>
        <w:r w:rsidRPr="00510D7F">
          <w:rPr>
            <w:rStyle w:val="Hipervnculo"/>
            <w:rFonts w:ascii="Tahoma" w:hAnsi="Tahoma" w:cs="Tahoma"/>
            <w:spacing w:val="-2"/>
            <w:sz w:val="18"/>
            <w:szCs w:val="18"/>
          </w:rPr>
          <w:t>DISCRIMINACIÓN</w:t>
        </w:r>
        <w:r w:rsidRPr="00510D7F">
          <w:rPr>
            <w:rStyle w:val="Hipervnculo"/>
            <w:rFonts w:ascii="Tahoma" w:hAnsi="Tahoma" w:cs="Tahoma"/>
            <w:sz w:val="18"/>
            <w:szCs w:val="18"/>
          </w:rPr>
          <w:tab/>
        </w:r>
      </w:hyperlink>
    </w:p>
    <w:p w14:paraId="13CC4F36" w14:textId="657864E1" w:rsidR="003E5960" w:rsidRPr="007F6D54" w:rsidRDefault="003E5960" w:rsidP="003E5960">
      <w:pPr>
        <w:pStyle w:val="TDC2"/>
        <w:numPr>
          <w:ilvl w:val="0"/>
          <w:numId w:val="102"/>
        </w:numPr>
        <w:tabs>
          <w:tab w:val="left" w:pos="1290"/>
          <w:tab w:val="right" w:leader="dot" w:pos="9014"/>
        </w:tabs>
        <w:spacing w:before="0"/>
        <w:ind w:left="1290" w:hanging="190"/>
        <w:rPr>
          <w:rFonts w:ascii="Tahoma" w:hAnsi="Tahoma" w:cs="Tahoma"/>
          <w:sz w:val="18"/>
          <w:szCs w:val="18"/>
        </w:rPr>
      </w:pPr>
      <w:hyperlink w:anchor="indígenas" w:history="1">
        <w:r w:rsidRPr="00510D7F">
          <w:rPr>
            <w:rStyle w:val="Hipervnculo"/>
            <w:rFonts w:ascii="Tahoma" w:hAnsi="Tahoma" w:cs="Tahoma"/>
            <w:sz w:val="18"/>
            <w:szCs w:val="18"/>
          </w:rPr>
          <w:t>DERECHOS</w:t>
        </w:r>
        <w:r w:rsidRPr="00510D7F">
          <w:rPr>
            <w:rStyle w:val="Hipervnculo"/>
            <w:rFonts w:ascii="Tahoma" w:hAnsi="Tahoma" w:cs="Tahoma"/>
            <w:spacing w:val="23"/>
            <w:sz w:val="18"/>
            <w:szCs w:val="18"/>
          </w:rPr>
          <w:t xml:space="preserve"> </w:t>
        </w:r>
        <w:r w:rsidRPr="00510D7F">
          <w:rPr>
            <w:rStyle w:val="Hipervnculo"/>
            <w:rFonts w:ascii="Tahoma" w:hAnsi="Tahoma" w:cs="Tahoma"/>
            <w:sz w:val="18"/>
            <w:szCs w:val="18"/>
          </w:rPr>
          <w:t>DE</w:t>
        </w:r>
        <w:r w:rsidRPr="00510D7F">
          <w:rPr>
            <w:rStyle w:val="Hipervnculo"/>
            <w:rFonts w:ascii="Tahoma" w:hAnsi="Tahoma" w:cs="Tahoma"/>
            <w:spacing w:val="23"/>
            <w:sz w:val="18"/>
            <w:szCs w:val="18"/>
          </w:rPr>
          <w:t xml:space="preserve"> </w:t>
        </w:r>
        <w:r w:rsidRPr="00510D7F">
          <w:rPr>
            <w:rStyle w:val="Hipervnculo"/>
            <w:rFonts w:ascii="Tahoma" w:hAnsi="Tahoma" w:cs="Tahoma"/>
            <w:sz w:val="18"/>
            <w:szCs w:val="18"/>
          </w:rPr>
          <w:t>LOS</w:t>
        </w:r>
        <w:r w:rsidRPr="00510D7F">
          <w:rPr>
            <w:rStyle w:val="Hipervnculo"/>
            <w:rFonts w:ascii="Tahoma" w:hAnsi="Tahoma" w:cs="Tahoma"/>
            <w:spacing w:val="24"/>
            <w:sz w:val="18"/>
            <w:szCs w:val="18"/>
          </w:rPr>
          <w:t xml:space="preserve"> </w:t>
        </w:r>
        <w:r w:rsidRPr="00510D7F">
          <w:rPr>
            <w:rStyle w:val="Hipervnculo"/>
            <w:rFonts w:ascii="Tahoma" w:hAnsi="Tahoma" w:cs="Tahoma"/>
            <w:sz w:val="18"/>
            <w:szCs w:val="18"/>
          </w:rPr>
          <w:t>PUEBLOS</w:t>
        </w:r>
        <w:r w:rsidRPr="00510D7F">
          <w:rPr>
            <w:rStyle w:val="Hipervnculo"/>
            <w:rFonts w:ascii="Tahoma" w:hAnsi="Tahoma" w:cs="Tahoma"/>
            <w:spacing w:val="24"/>
            <w:sz w:val="18"/>
            <w:szCs w:val="18"/>
          </w:rPr>
          <w:t xml:space="preserve"> </w:t>
        </w:r>
        <w:r w:rsidRPr="00510D7F">
          <w:rPr>
            <w:rStyle w:val="Hipervnculo"/>
            <w:rFonts w:ascii="Tahoma" w:hAnsi="Tahoma" w:cs="Tahoma"/>
            <w:spacing w:val="-2"/>
            <w:sz w:val="18"/>
            <w:szCs w:val="18"/>
          </w:rPr>
          <w:t>INDÍGENAS</w:t>
        </w:r>
      </w:hyperlink>
    </w:p>
    <w:p w14:paraId="20077DB8" w14:textId="77777777" w:rsidR="003E5960" w:rsidRPr="007F6D54" w:rsidRDefault="003E5960" w:rsidP="003E5960">
      <w:pPr>
        <w:pStyle w:val="Textoindependiente"/>
        <w:rPr>
          <w:rFonts w:ascii="Tahoma" w:hAnsi="Tahoma" w:cs="Tahoma"/>
          <w:sz w:val="18"/>
          <w:szCs w:val="18"/>
        </w:rPr>
      </w:pPr>
    </w:p>
    <w:p w14:paraId="606FB54D" w14:textId="77777777" w:rsidR="003E5960" w:rsidRPr="007F6D54" w:rsidRDefault="003E5960" w:rsidP="003E5960">
      <w:pPr>
        <w:pStyle w:val="Textoindependiente"/>
        <w:rPr>
          <w:rFonts w:ascii="Tahoma" w:hAnsi="Tahoma" w:cs="Tahoma"/>
          <w:sz w:val="18"/>
          <w:szCs w:val="18"/>
        </w:rPr>
      </w:pPr>
    </w:p>
    <w:p w14:paraId="4F3AD846" w14:textId="77777777" w:rsidR="003E5960" w:rsidRPr="007F6D54" w:rsidRDefault="003E5960" w:rsidP="003E5960">
      <w:pPr>
        <w:pStyle w:val="Textoindependiente"/>
        <w:rPr>
          <w:rFonts w:ascii="Tahoma" w:hAnsi="Tahoma" w:cs="Tahoma"/>
          <w:sz w:val="18"/>
          <w:szCs w:val="18"/>
        </w:rPr>
      </w:pPr>
    </w:p>
    <w:p w14:paraId="399FEACC" w14:textId="77777777" w:rsidR="003E5960" w:rsidRPr="007F6D54" w:rsidRDefault="003E5960" w:rsidP="003E5960">
      <w:pPr>
        <w:pStyle w:val="Textoindependiente"/>
        <w:rPr>
          <w:rFonts w:ascii="Tahoma" w:hAnsi="Tahoma" w:cs="Tahoma"/>
          <w:sz w:val="18"/>
          <w:szCs w:val="18"/>
        </w:rPr>
      </w:pPr>
    </w:p>
    <w:p w14:paraId="4FAE3A82" w14:textId="77777777" w:rsidR="003E5960" w:rsidRPr="007F6D54" w:rsidRDefault="003E5960" w:rsidP="003E5960">
      <w:pPr>
        <w:pStyle w:val="Textoindependiente"/>
        <w:rPr>
          <w:rFonts w:ascii="Tahoma" w:hAnsi="Tahoma" w:cs="Tahoma"/>
          <w:sz w:val="18"/>
          <w:szCs w:val="18"/>
        </w:rPr>
      </w:pPr>
    </w:p>
    <w:p w14:paraId="3C87C0A1" w14:textId="77777777" w:rsidR="003E5960" w:rsidRPr="007F6D54" w:rsidRDefault="003E5960" w:rsidP="003E5960">
      <w:pPr>
        <w:pStyle w:val="Textoindependiente"/>
        <w:rPr>
          <w:rFonts w:ascii="Tahoma" w:hAnsi="Tahoma" w:cs="Tahoma"/>
          <w:sz w:val="18"/>
          <w:szCs w:val="18"/>
        </w:rPr>
      </w:pPr>
    </w:p>
    <w:p w14:paraId="718FF5FD" w14:textId="77777777" w:rsidR="003E5960" w:rsidRPr="007F6D54" w:rsidRDefault="003E5960" w:rsidP="003E5960">
      <w:pPr>
        <w:pStyle w:val="Textoindependiente"/>
        <w:rPr>
          <w:rFonts w:ascii="Tahoma" w:hAnsi="Tahoma" w:cs="Tahoma"/>
          <w:sz w:val="18"/>
          <w:szCs w:val="18"/>
        </w:rPr>
      </w:pPr>
    </w:p>
    <w:p w14:paraId="48B023CC" w14:textId="77777777" w:rsidR="003E5960" w:rsidRPr="007F6D54" w:rsidRDefault="003E5960" w:rsidP="003E5960">
      <w:pPr>
        <w:pStyle w:val="Textoindependiente"/>
        <w:rPr>
          <w:rFonts w:ascii="Tahoma" w:hAnsi="Tahoma" w:cs="Tahoma"/>
          <w:sz w:val="18"/>
          <w:szCs w:val="18"/>
        </w:rPr>
      </w:pPr>
    </w:p>
    <w:p w14:paraId="2371C7AB" w14:textId="77777777" w:rsidR="003E5960" w:rsidRPr="007F6D54" w:rsidRDefault="003E5960" w:rsidP="003E5960">
      <w:pPr>
        <w:pStyle w:val="Textoindependiente"/>
        <w:rPr>
          <w:rFonts w:ascii="Tahoma" w:hAnsi="Tahoma" w:cs="Tahoma"/>
          <w:sz w:val="18"/>
          <w:szCs w:val="18"/>
        </w:rPr>
      </w:pPr>
    </w:p>
    <w:p w14:paraId="504AB30E" w14:textId="77777777" w:rsidR="003E5960" w:rsidRPr="007F6D54" w:rsidRDefault="003E5960" w:rsidP="003E5960">
      <w:pPr>
        <w:ind w:left="1108"/>
        <w:rPr>
          <w:rFonts w:ascii="Tahoma" w:hAnsi="Tahoma" w:cs="Tahoma"/>
          <w:b/>
          <w:bCs/>
          <w:spacing w:val="-2"/>
          <w:w w:val="105"/>
          <w:sz w:val="18"/>
          <w:szCs w:val="18"/>
        </w:rPr>
      </w:pPr>
    </w:p>
    <w:p w14:paraId="5A6ED109" w14:textId="75FE74BD" w:rsidR="003E5960" w:rsidRPr="007F6D54" w:rsidRDefault="003E5960" w:rsidP="003E5960">
      <w:pPr>
        <w:ind w:left="1108"/>
        <w:rPr>
          <w:rFonts w:ascii="Tahoma" w:hAnsi="Tahoma" w:cs="Tahoma"/>
          <w:b/>
          <w:bCs/>
          <w:spacing w:val="-2"/>
          <w:w w:val="105"/>
          <w:sz w:val="18"/>
          <w:szCs w:val="18"/>
        </w:rPr>
      </w:pPr>
      <w:hyperlink w:anchor="odio" w:history="1">
        <w:r w:rsidRPr="00347619">
          <w:rPr>
            <w:rStyle w:val="Hipervnculo"/>
            <w:rFonts w:ascii="Tahoma" w:hAnsi="Tahoma" w:cs="Tahoma"/>
            <w:b/>
            <w:bCs/>
            <w:spacing w:val="-2"/>
            <w:w w:val="105"/>
            <w:sz w:val="18"/>
            <w:szCs w:val="18"/>
          </w:rPr>
          <w:t>CUARTA PARTE: VIOLENCIA DISCRIMINATORIA Y DELITOS DE ODIO</w:t>
        </w:r>
      </w:hyperlink>
    </w:p>
    <w:p w14:paraId="68563443" w14:textId="77777777" w:rsidR="003E5960" w:rsidRPr="007F6D54" w:rsidRDefault="003E5960" w:rsidP="003E5960">
      <w:pPr>
        <w:rPr>
          <w:rFonts w:ascii="Tahoma" w:hAnsi="Tahoma" w:cs="Tahoma"/>
          <w:sz w:val="18"/>
          <w:szCs w:val="18"/>
        </w:rPr>
      </w:pPr>
    </w:p>
    <w:p w14:paraId="4E1FE10E" w14:textId="024CBA66" w:rsidR="003E5960" w:rsidRPr="007F6D54" w:rsidRDefault="003E5960" w:rsidP="003E5960">
      <w:pPr>
        <w:ind w:left="1108"/>
        <w:rPr>
          <w:rFonts w:ascii="Tahoma" w:hAnsi="Tahoma" w:cs="Tahoma"/>
          <w:b/>
          <w:bCs/>
          <w:spacing w:val="-2"/>
          <w:w w:val="105"/>
          <w:sz w:val="18"/>
          <w:szCs w:val="18"/>
        </w:rPr>
      </w:pPr>
      <w:hyperlink w:anchor="expresión" w:history="1">
        <w:r w:rsidRPr="00AB6303">
          <w:rPr>
            <w:rStyle w:val="Hipervnculo"/>
            <w:rFonts w:ascii="Tahoma" w:hAnsi="Tahoma" w:cs="Tahoma"/>
            <w:b/>
            <w:bCs/>
            <w:spacing w:val="-2"/>
            <w:w w:val="105"/>
            <w:sz w:val="18"/>
            <w:szCs w:val="18"/>
          </w:rPr>
          <w:t>QUINTA PARTE: DISCRIMINACIÓN Y EXPRESIÓN</w:t>
        </w:r>
      </w:hyperlink>
    </w:p>
    <w:p w14:paraId="3809B373" w14:textId="7D5992FA" w:rsidR="003E5960" w:rsidRPr="007F6D54" w:rsidRDefault="003E5960" w:rsidP="003E5960">
      <w:pPr>
        <w:pStyle w:val="Prrafodelista"/>
        <w:numPr>
          <w:ilvl w:val="0"/>
          <w:numId w:val="120"/>
        </w:numPr>
        <w:ind w:left="1418" w:hanging="142"/>
        <w:contextualSpacing/>
        <w:rPr>
          <w:rFonts w:ascii="Tahoma" w:hAnsi="Tahoma" w:cs="Tahoma"/>
          <w:spacing w:val="-2"/>
          <w:w w:val="105"/>
          <w:sz w:val="18"/>
          <w:szCs w:val="18"/>
        </w:rPr>
      </w:pPr>
      <w:hyperlink w:anchor="aspectos" w:history="1">
        <w:r w:rsidRPr="006A75DA">
          <w:rPr>
            <w:rStyle w:val="Hipervnculo"/>
            <w:rFonts w:ascii="Tahoma" w:hAnsi="Tahoma" w:cs="Tahoma"/>
            <w:spacing w:val="-2"/>
            <w:w w:val="105"/>
            <w:sz w:val="18"/>
            <w:szCs w:val="18"/>
          </w:rPr>
          <w:t>ASPECTOS DEL DISCURSO Y LA EXPRESIÓN QUE IMPLICAN DIRECTAMENTE LA ANTIDISCRIMINACIÓN LEY</w:t>
        </w:r>
      </w:hyperlink>
      <w:r w:rsidRPr="007F6D54">
        <w:rPr>
          <w:rFonts w:ascii="Tahoma" w:hAnsi="Tahoma" w:cs="Tahoma"/>
          <w:spacing w:val="-2"/>
          <w:w w:val="105"/>
          <w:sz w:val="18"/>
          <w:szCs w:val="18"/>
        </w:rPr>
        <w:tab/>
      </w:r>
    </w:p>
    <w:p w14:paraId="673602B0" w14:textId="086052E7" w:rsidR="003E5960" w:rsidRPr="007F6D54" w:rsidRDefault="003E5960" w:rsidP="003E5960">
      <w:pPr>
        <w:pStyle w:val="Prrafodelista"/>
        <w:numPr>
          <w:ilvl w:val="0"/>
          <w:numId w:val="120"/>
        </w:numPr>
        <w:ind w:left="1418" w:hanging="142"/>
        <w:contextualSpacing/>
        <w:rPr>
          <w:rFonts w:ascii="Tahoma" w:hAnsi="Tahoma" w:cs="Tahoma"/>
          <w:spacing w:val="-2"/>
          <w:w w:val="105"/>
          <w:sz w:val="18"/>
          <w:szCs w:val="18"/>
        </w:rPr>
      </w:pPr>
      <w:hyperlink w:anchor="hostilidad" w:history="1">
        <w:r w:rsidRPr="005A317C">
          <w:rPr>
            <w:rStyle w:val="Hipervnculo"/>
            <w:rFonts w:ascii="Tahoma" w:hAnsi="Tahoma" w:cs="Tahoma"/>
            <w:spacing w:val="-2"/>
            <w:w w:val="105"/>
            <w:sz w:val="18"/>
            <w:szCs w:val="18"/>
          </w:rPr>
          <w:t>DISCURSO DE ODIO Y PROHIBICIÓN DE LA INCITACIÓN A LA DISCRIMINACIÓN, HOSTILIDAD O VIOLENCIA</w:t>
        </w:r>
      </w:hyperlink>
    </w:p>
    <w:p w14:paraId="1E1217D2" w14:textId="77777777" w:rsidR="003E5960" w:rsidRPr="007F6D54" w:rsidRDefault="003E5960" w:rsidP="008E78CE">
      <w:pPr>
        <w:pStyle w:val="Prrafodelista"/>
        <w:numPr>
          <w:ilvl w:val="1"/>
          <w:numId w:val="101"/>
        </w:numPr>
        <w:ind w:left="993" w:firstLine="141"/>
        <w:rPr>
          <w:rFonts w:ascii="Tahoma" w:hAnsi="Tahoma" w:cs="Tahoma"/>
          <w:sz w:val="18"/>
          <w:szCs w:val="18"/>
        </w:rPr>
      </w:pPr>
      <w:r w:rsidRPr="007F6D54">
        <w:rPr>
          <w:rFonts w:ascii="Tahoma" w:hAnsi="Tahoma" w:cs="Tahoma"/>
          <w:w w:val="105"/>
          <w:sz w:val="18"/>
          <w:szCs w:val="18"/>
        </w:rPr>
        <w:t>Defensa</w:t>
      </w:r>
      <w:r w:rsidRPr="007F6D54">
        <w:rPr>
          <w:rFonts w:ascii="Tahoma" w:hAnsi="Tahoma" w:cs="Tahoma"/>
          <w:spacing w:val="-5"/>
          <w:w w:val="105"/>
          <w:sz w:val="18"/>
          <w:szCs w:val="18"/>
        </w:rPr>
        <w:t xml:space="preserve"> </w:t>
      </w:r>
      <w:r w:rsidRPr="007F6D54">
        <w:rPr>
          <w:rFonts w:ascii="Tahoma" w:hAnsi="Tahoma" w:cs="Tahoma"/>
          <w:w w:val="105"/>
          <w:sz w:val="18"/>
          <w:szCs w:val="18"/>
        </w:rPr>
        <w:t>del</w:t>
      </w:r>
      <w:r w:rsidRPr="007F6D54">
        <w:rPr>
          <w:rFonts w:ascii="Tahoma" w:hAnsi="Tahoma" w:cs="Tahoma"/>
          <w:spacing w:val="-5"/>
          <w:w w:val="105"/>
          <w:sz w:val="18"/>
          <w:szCs w:val="18"/>
        </w:rPr>
        <w:t xml:space="preserve"> </w:t>
      </w:r>
      <w:r w:rsidRPr="007F6D54">
        <w:rPr>
          <w:rFonts w:ascii="Tahoma" w:hAnsi="Tahoma" w:cs="Tahoma"/>
          <w:w w:val="105"/>
          <w:sz w:val="18"/>
          <w:szCs w:val="18"/>
        </w:rPr>
        <w:t>odio</w:t>
      </w:r>
      <w:r w:rsidRPr="007F6D54">
        <w:rPr>
          <w:rFonts w:ascii="Tahoma" w:hAnsi="Tahoma" w:cs="Tahoma"/>
          <w:spacing w:val="-5"/>
          <w:w w:val="105"/>
          <w:sz w:val="18"/>
          <w:szCs w:val="18"/>
        </w:rPr>
        <w:t xml:space="preserve"> </w:t>
      </w:r>
      <w:r w:rsidRPr="007F6D54">
        <w:rPr>
          <w:rFonts w:ascii="Tahoma" w:hAnsi="Tahoma" w:cs="Tahoma"/>
          <w:w w:val="105"/>
          <w:sz w:val="18"/>
          <w:szCs w:val="18"/>
        </w:rPr>
        <w:t>nacional,</w:t>
      </w:r>
      <w:r w:rsidRPr="007F6D54">
        <w:rPr>
          <w:rFonts w:ascii="Tahoma" w:hAnsi="Tahoma" w:cs="Tahoma"/>
          <w:spacing w:val="-4"/>
          <w:w w:val="105"/>
          <w:sz w:val="18"/>
          <w:szCs w:val="18"/>
        </w:rPr>
        <w:t xml:space="preserve"> </w:t>
      </w:r>
      <w:r w:rsidRPr="007F6D54">
        <w:rPr>
          <w:rFonts w:ascii="Tahoma" w:hAnsi="Tahoma" w:cs="Tahoma"/>
          <w:w w:val="105"/>
          <w:sz w:val="18"/>
          <w:szCs w:val="18"/>
        </w:rPr>
        <w:t>racial</w:t>
      </w:r>
      <w:r w:rsidRPr="007F6D54">
        <w:rPr>
          <w:rFonts w:ascii="Tahoma" w:hAnsi="Tahoma" w:cs="Tahoma"/>
          <w:spacing w:val="-4"/>
          <w:w w:val="105"/>
          <w:sz w:val="18"/>
          <w:szCs w:val="18"/>
        </w:rPr>
        <w:t xml:space="preserve"> </w:t>
      </w:r>
      <w:r w:rsidRPr="007F6D54">
        <w:rPr>
          <w:rFonts w:ascii="Tahoma" w:hAnsi="Tahoma" w:cs="Tahoma"/>
          <w:w w:val="105"/>
          <w:sz w:val="18"/>
          <w:szCs w:val="18"/>
        </w:rPr>
        <w:t>o</w:t>
      </w:r>
      <w:r w:rsidRPr="007F6D54">
        <w:rPr>
          <w:rFonts w:ascii="Tahoma" w:hAnsi="Tahoma" w:cs="Tahoma"/>
          <w:spacing w:val="-5"/>
          <w:w w:val="105"/>
          <w:sz w:val="18"/>
          <w:szCs w:val="18"/>
        </w:rPr>
        <w:t xml:space="preserve"> </w:t>
      </w:r>
      <w:r w:rsidRPr="007F6D54">
        <w:rPr>
          <w:rFonts w:ascii="Tahoma" w:hAnsi="Tahoma" w:cs="Tahoma"/>
          <w:w w:val="105"/>
          <w:sz w:val="18"/>
          <w:szCs w:val="18"/>
        </w:rPr>
        <w:t>religioso,</w:t>
      </w:r>
      <w:r w:rsidRPr="007F6D54">
        <w:rPr>
          <w:rFonts w:ascii="Tahoma" w:hAnsi="Tahoma" w:cs="Tahoma"/>
          <w:spacing w:val="-4"/>
          <w:w w:val="105"/>
          <w:sz w:val="18"/>
          <w:szCs w:val="18"/>
        </w:rPr>
        <w:t xml:space="preserve"> </w:t>
      </w:r>
      <w:r w:rsidRPr="007F6D54">
        <w:rPr>
          <w:rFonts w:ascii="Tahoma" w:hAnsi="Tahoma" w:cs="Tahoma"/>
          <w:w w:val="105"/>
          <w:sz w:val="18"/>
          <w:szCs w:val="18"/>
        </w:rPr>
        <w:t>así</w:t>
      </w:r>
      <w:r w:rsidRPr="007F6D54">
        <w:rPr>
          <w:rFonts w:ascii="Tahoma" w:hAnsi="Tahoma" w:cs="Tahoma"/>
          <w:spacing w:val="-4"/>
          <w:w w:val="105"/>
          <w:sz w:val="18"/>
          <w:szCs w:val="18"/>
        </w:rPr>
        <w:t xml:space="preserve"> </w:t>
      </w:r>
      <w:r w:rsidRPr="007F6D54">
        <w:rPr>
          <w:rFonts w:ascii="Tahoma" w:hAnsi="Tahoma" w:cs="Tahoma"/>
          <w:w w:val="105"/>
          <w:sz w:val="18"/>
          <w:szCs w:val="18"/>
        </w:rPr>
        <w:t>como</w:t>
      </w:r>
      <w:r w:rsidRPr="007F6D54">
        <w:rPr>
          <w:rFonts w:ascii="Tahoma" w:hAnsi="Tahoma" w:cs="Tahoma"/>
          <w:spacing w:val="-4"/>
          <w:w w:val="105"/>
          <w:sz w:val="18"/>
          <w:szCs w:val="18"/>
        </w:rPr>
        <w:t xml:space="preserve"> </w:t>
      </w:r>
      <w:r w:rsidRPr="007F6D54">
        <w:rPr>
          <w:rFonts w:ascii="Tahoma" w:hAnsi="Tahoma" w:cs="Tahoma"/>
          <w:w w:val="105"/>
          <w:sz w:val="18"/>
          <w:szCs w:val="18"/>
        </w:rPr>
        <w:t>en</w:t>
      </w:r>
      <w:r w:rsidRPr="007F6D54">
        <w:rPr>
          <w:rFonts w:ascii="Tahoma" w:hAnsi="Tahoma" w:cs="Tahoma"/>
          <w:spacing w:val="-4"/>
          <w:w w:val="105"/>
          <w:sz w:val="18"/>
          <w:szCs w:val="18"/>
        </w:rPr>
        <w:t xml:space="preserve"> </w:t>
      </w:r>
      <w:r w:rsidRPr="007F6D54">
        <w:rPr>
          <w:rFonts w:ascii="Tahoma" w:hAnsi="Tahoma" w:cs="Tahoma"/>
          <w:w w:val="105"/>
          <w:sz w:val="18"/>
          <w:szCs w:val="18"/>
        </w:rPr>
        <w:t>relación</w:t>
      </w:r>
      <w:r w:rsidRPr="007F6D54">
        <w:rPr>
          <w:rFonts w:ascii="Tahoma" w:hAnsi="Tahoma" w:cs="Tahoma"/>
          <w:spacing w:val="-4"/>
          <w:w w:val="105"/>
          <w:sz w:val="18"/>
          <w:szCs w:val="18"/>
        </w:rPr>
        <w:t xml:space="preserve"> </w:t>
      </w:r>
      <w:r w:rsidRPr="007F6D54">
        <w:rPr>
          <w:rFonts w:ascii="Tahoma" w:hAnsi="Tahoma" w:cs="Tahoma"/>
          <w:w w:val="105"/>
          <w:sz w:val="18"/>
          <w:szCs w:val="18"/>
        </w:rPr>
        <w:t>con</w:t>
      </w:r>
      <w:r w:rsidRPr="007F6D54">
        <w:rPr>
          <w:rFonts w:ascii="Tahoma" w:hAnsi="Tahoma" w:cs="Tahoma"/>
          <w:spacing w:val="-4"/>
          <w:w w:val="105"/>
          <w:sz w:val="18"/>
          <w:szCs w:val="18"/>
        </w:rPr>
        <w:t xml:space="preserve"> </w:t>
      </w:r>
      <w:r w:rsidRPr="007F6D54">
        <w:rPr>
          <w:rFonts w:ascii="Tahoma" w:hAnsi="Tahoma" w:cs="Tahoma"/>
          <w:w w:val="105"/>
          <w:sz w:val="18"/>
          <w:szCs w:val="18"/>
        </w:rPr>
        <w:t>la</w:t>
      </w:r>
      <w:r w:rsidRPr="007F6D54">
        <w:rPr>
          <w:rFonts w:ascii="Tahoma" w:hAnsi="Tahoma" w:cs="Tahoma"/>
          <w:spacing w:val="-5"/>
          <w:w w:val="105"/>
          <w:sz w:val="18"/>
          <w:szCs w:val="18"/>
        </w:rPr>
        <w:t xml:space="preserve"> </w:t>
      </w:r>
      <w:r w:rsidRPr="007F6D54">
        <w:rPr>
          <w:rFonts w:ascii="Tahoma" w:hAnsi="Tahoma" w:cs="Tahoma"/>
          <w:w w:val="105"/>
          <w:sz w:val="18"/>
          <w:szCs w:val="18"/>
        </w:rPr>
        <w:t>discapacidad</w:t>
      </w:r>
      <w:r w:rsidRPr="007F6D54">
        <w:rPr>
          <w:rFonts w:ascii="Tahoma" w:hAnsi="Tahoma" w:cs="Tahoma"/>
          <w:spacing w:val="-4"/>
          <w:w w:val="105"/>
          <w:sz w:val="18"/>
          <w:szCs w:val="18"/>
        </w:rPr>
        <w:t xml:space="preserve"> </w:t>
      </w:r>
      <w:r w:rsidRPr="007F6D54">
        <w:rPr>
          <w:rFonts w:ascii="Tahoma" w:hAnsi="Tahoma" w:cs="Tahoma"/>
          <w:w w:val="105"/>
          <w:sz w:val="18"/>
          <w:szCs w:val="18"/>
        </w:rPr>
        <w:t>y</w:t>
      </w:r>
      <w:r w:rsidRPr="007F6D54">
        <w:rPr>
          <w:rFonts w:ascii="Tahoma" w:hAnsi="Tahoma" w:cs="Tahoma"/>
          <w:spacing w:val="-4"/>
          <w:w w:val="105"/>
          <w:sz w:val="18"/>
          <w:szCs w:val="18"/>
        </w:rPr>
        <w:t xml:space="preserve"> </w:t>
      </w:r>
      <w:r w:rsidRPr="007F6D54">
        <w:rPr>
          <w:rFonts w:ascii="Tahoma" w:hAnsi="Tahoma" w:cs="Tahoma"/>
          <w:w w:val="105"/>
          <w:sz w:val="18"/>
          <w:szCs w:val="18"/>
        </w:rPr>
        <w:t>el</w:t>
      </w:r>
      <w:r w:rsidRPr="007F6D54">
        <w:rPr>
          <w:rFonts w:ascii="Tahoma" w:hAnsi="Tahoma" w:cs="Tahoma"/>
          <w:spacing w:val="-5"/>
          <w:w w:val="105"/>
          <w:sz w:val="18"/>
          <w:szCs w:val="18"/>
        </w:rPr>
        <w:t xml:space="preserve"> </w:t>
      </w:r>
      <w:r w:rsidRPr="007F6D54">
        <w:rPr>
          <w:rFonts w:ascii="Tahoma" w:hAnsi="Tahoma" w:cs="Tahoma"/>
          <w:spacing w:val="-2"/>
          <w:w w:val="105"/>
          <w:sz w:val="18"/>
          <w:szCs w:val="18"/>
        </w:rPr>
        <w:t>género</w:t>
      </w:r>
    </w:p>
    <w:p w14:paraId="37288CC3" w14:textId="77777777" w:rsidR="003E5960" w:rsidRPr="007F6D54" w:rsidRDefault="003E5960" w:rsidP="008E78CE">
      <w:pPr>
        <w:tabs>
          <w:tab w:val="left" w:leader="dot" w:pos="9205"/>
        </w:tabs>
        <w:ind w:left="993" w:firstLine="141"/>
        <w:rPr>
          <w:rFonts w:ascii="Tahoma" w:hAnsi="Tahoma" w:cs="Tahoma"/>
          <w:w w:val="105"/>
          <w:sz w:val="18"/>
          <w:szCs w:val="18"/>
        </w:rPr>
      </w:pPr>
      <w:r w:rsidRPr="007F6D54">
        <w:rPr>
          <w:rFonts w:ascii="Tahoma" w:hAnsi="Tahoma" w:cs="Tahoma"/>
          <w:w w:val="105"/>
          <w:sz w:val="18"/>
          <w:szCs w:val="18"/>
        </w:rPr>
        <w:t>expresión</w:t>
      </w:r>
      <w:r w:rsidRPr="007F6D54">
        <w:rPr>
          <w:rFonts w:ascii="Tahoma" w:hAnsi="Tahoma" w:cs="Tahoma"/>
          <w:spacing w:val="-6"/>
          <w:w w:val="105"/>
          <w:sz w:val="18"/>
          <w:szCs w:val="18"/>
        </w:rPr>
        <w:t xml:space="preserve"> </w:t>
      </w:r>
      <w:r w:rsidRPr="007F6D54">
        <w:rPr>
          <w:rFonts w:ascii="Tahoma" w:hAnsi="Tahoma" w:cs="Tahoma"/>
          <w:w w:val="105"/>
          <w:sz w:val="18"/>
          <w:szCs w:val="18"/>
        </w:rPr>
        <w:t>e</w:t>
      </w:r>
      <w:r w:rsidRPr="007F6D54">
        <w:rPr>
          <w:rFonts w:ascii="Tahoma" w:hAnsi="Tahoma" w:cs="Tahoma"/>
          <w:spacing w:val="-5"/>
          <w:w w:val="105"/>
          <w:sz w:val="18"/>
          <w:szCs w:val="18"/>
        </w:rPr>
        <w:t xml:space="preserve"> </w:t>
      </w:r>
      <w:r w:rsidRPr="007F6D54">
        <w:rPr>
          <w:rFonts w:ascii="Tahoma" w:hAnsi="Tahoma" w:cs="Tahoma"/>
          <w:w w:val="105"/>
          <w:sz w:val="18"/>
          <w:szCs w:val="18"/>
        </w:rPr>
        <w:t>identidad</w:t>
      </w:r>
      <w:r w:rsidRPr="007F6D54">
        <w:rPr>
          <w:rFonts w:ascii="Tahoma" w:hAnsi="Tahoma" w:cs="Tahoma"/>
          <w:spacing w:val="-4"/>
          <w:w w:val="105"/>
          <w:sz w:val="18"/>
          <w:szCs w:val="18"/>
        </w:rPr>
        <w:t xml:space="preserve"> </w:t>
      </w:r>
      <w:r w:rsidRPr="007F6D54">
        <w:rPr>
          <w:rFonts w:ascii="Tahoma" w:hAnsi="Tahoma" w:cs="Tahoma"/>
          <w:w w:val="105"/>
          <w:sz w:val="18"/>
          <w:szCs w:val="18"/>
        </w:rPr>
        <w:t>de</w:t>
      </w:r>
      <w:r w:rsidRPr="007F6D54">
        <w:rPr>
          <w:rFonts w:ascii="Tahoma" w:hAnsi="Tahoma" w:cs="Tahoma"/>
          <w:spacing w:val="-5"/>
          <w:w w:val="105"/>
          <w:sz w:val="18"/>
          <w:szCs w:val="18"/>
        </w:rPr>
        <w:t xml:space="preserve"> </w:t>
      </w:r>
      <w:r w:rsidRPr="007F6D54">
        <w:rPr>
          <w:rFonts w:ascii="Tahoma" w:hAnsi="Tahoma" w:cs="Tahoma"/>
          <w:w w:val="105"/>
          <w:sz w:val="18"/>
          <w:szCs w:val="18"/>
        </w:rPr>
        <w:t>género,</w:t>
      </w:r>
      <w:r w:rsidRPr="007F6D54">
        <w:rPr>
          <w:rFonts w:ascii="Tahoma" w:hAnsi="Tahoma" w:cs="Tahoma"/>
          <w:spacing w:val="-4"/>
          <w:w w:val="105"/>
          <w:sz w:val="18"/>
          <w:szCs w:val="18"/>
        </w:rPr>
        <w:t xml:space="preserve"> </w:t>
      </w:r>
      <w:r w:rsidRPr="007F6D54">
        <w:rPr>
          <w:rFonts w:ascii="Tahoma" w:hAnsi="Tahoma" w:cs="Tahoma"/>
          <w:w w:val="105"/>
          <w:sz w:val="18"/>
          <w:szCs w:val="18"/>
        </w:rPr>
        <w:t>sexo,</w:t>
      </w:r>
      <w:r w:rsidRPr="007F6D54">
        <w:rPr>
          <w:rFonts w:ascii="Tahoma" w:hAnsi="Tahoma" w:cs="Tahoma"/>
          <w:spacing w:val="-4"/>
          <w:w w:val="105"/>
          <w:sz w:val="18"/>
          <w:szCs w:val="18"/>
        </w:rPr>
        <w:t xml:space="preserve"> </w:t>
      </w:r>
      <w:r w:rsidRPr="007F6D54">
        <w:rPr>
          <w:rFonts w:ascii="Tahoma" w:hAnsi="Tahoma" w:cs="Tahoma"/>
          <w:w w:val="105"/>
          <w:sz w:val="18"/>
          <w:szCs w:val="18"/>
        </w:rPr>
        <w:t>orientación</w:t>
      </w:r>
      <w:r w:rsidRPr="007F6D54">
        <w:rPr>
          <w:rFonts w:ascii="Tahoma" w:hAnsi="Tahoma" w:cs="Tahoma"/>
          <w:spacing w:val="-4"/>
          <w:w w:val="105"/>
          <w:sz w:val="18"/>
          <w:szCs w:val="18"/>
        </w:rPr>
        <w:t xml:space="preserve"> </w:t>
      </w:r>
      <w:r w:rsidRPr="007F6D54">
        <w:rPr>
          <w:rFonts w:ascii="Tahoma" w:hAnsi="Tahoma" w:cs="Tahoma"/>
          <w:w w:val="105"/>
          <w:sz w:val="18"/>
          <w:szCs w:val="18"/>
        </w:rPr>
        <w:t>sexual,</w:t>
      </w:r>
      <w:r w:rsidRPr="007F6D54">
        <w:rPr>
          <w:rFonts w:ascii="Tahoma" w:hAnsi="Tahoma" w:cs="Tahoma"/>
          <w:spacing w:val="-4"/>
          <w:w w:val="105"/>
          <w:sz w:val="18"/>
          <w:szCs w:val="18"/>
        </w:rPr>
        <w:t xml:space="preserve"> </w:t>
      </w:r>
      <w:r w:rsidRPr="007F6D54">
        <w:rPr>
          <w:rFonts w:ascii="Tahoma" w:hAnsi="Tahoma" w:cs="Tahoma"/>
          <w:w w:val="105"/>
          <w:sz w:val="18"/>
          <w:szCs w:val="18"/>
        </w:rPr>
        <w:t>características</w:t>
      </w:r>
      <w:r w:rsidRPr="007F6D54">
        <w:rPr>
          <w:rFonts w:ascii="Tahoma" w:hAnsi="Tahoma" w:cs="Tahoma"/>
          <w:spacing w:val="-5"/>
          <w:w w:val="105"/>
          <w:sz w:val="18"/>
          <w:szCs w:val="18"/>
        </w:rPr>
        <w:t xml:space="preserve"> </w:t>
      </w:r>
      <w:r w:rsidRPr="007F6D54">
        <w:rPr>
          <w:rFonts w:ascii="Tahoma" w:hAnsi="Tahoma" w:cs="Tahoma"/>
          <w:w w:val="105"/>
          <w:sz w:val="18"/>
          <w:szCs w:val="18"/>
        </w:rPr>
        <w:t>sexuales</w:t>
      </w:r>
      <w:r w:rsidRPr="007F6D54">
        <w:rPr>
          <w:rFonts w:ascii="Tahoma" w:hAnsi="Tahoma" w:cs="Tahoma"/>
          <w:spacing w:val="-4"/>
          <w:w w:val="105"/>
          <w:sz w:val="18"/>
          <w:szCs w:val="18"/>
        </w:rPr>
        <w:t xml:space="preserve"> </w:t>
      </w:r>
      <w:r w:rsidRPr="007F6D54">
        <w:rPr>
          <w:rFonts w:ascii="Tahoma" w:hAnsi="Tahoma" w:cs="Tahoma"/>
          <w:w w:val="105"/>
          <w:sz w:val="18"/>
          <w:szCs w:val="18"/>
        </w:rPr>
        <w:t>u</w:t>
      </w:r>
      <w:r w:rsidRPr="007F6D54">
        <w:rPr>
          <w:rFonts w:ascii="Tahoma" w:hAnsi="Tahoma" w:cs="Tahoma"/>
          <w:spacing w:val="-5"/>
          <w:w w:val="105"/>
          <w:sz w:val="18"/>
          <w:szCs w:val="18"/>
        </w:rPr>
        <w:t xml:space="preserve"> </w:t>
      </w:r>
      <w:r w:rsidRPr="007F6D54">
        <w:rPr>
          <w:rFonts w:ascii="Tahoma" w:hAnsi="Tahoma" w:cs="Tahoma"/>
          <w:w w:val="105"/>
          <w:sz w:val="18"/>
          <w:szCs w:val="18"/>
        </w:rPr>
        <w:t>otros</w:t>
      </w:r>
      <w:r w:rsidRPr="007F6D54">
        <w:rPr>
          <w:rFonts w:ascii="Tahoma" w:hAnsi="Tahoma" w:cs="Tahoma"/>
          <w:spacing w:val="-4"/>
          <w:w w:val="105"/>
          <w:sz w:val="18"/>
          <w:szCs w:val="18"/>
        </w:rPr>
        <w:t xml:space="preserve"> </w:t>
      </w:r>
      <w:r w:rsidRPr="007F6D54">
        <w:rPr>
          <w:rFonts w:ascii="Tahoma" w:hAnsi="Tahoma" w:cs="Tahoma"/>
          <w:spacing w:val="-2"/>
          <w:w w:val="105"/>
          <w:sz w:val="18"/>
          <w:szCs w:val="18"/>
        </w:rPr>
        <w:t>motivos</w:t>
      </w:r>
      <w:r w:rsidRPr="007F6D54">
        <w:rPr>
          <w:rFonts w:ascii="Tahoma" w:hAnsi="Tahoma" w:cs="Tahoma"/>
          <w:sz w:val="18"/>
          <w:szCs w:val="18"/>
        </w:rPr>
        <w:tab/>
      </w:r>
    </w:p>
    <w:p w14:paraId="29ACD488" w14:textId="77777777" w:rsidR="003E5960" w:rsidRPr="007F6D54" w:rsidRDefault="003E5960" w:rsidP="008E78CE">
      <w:pPr>
        <w:tabs>
          <w:tab w:val="left" w:leader="dot" w:pos="9205"/>
        </w:tabs>
        <w:ind w:left="993" w:firstLine="141"/>
        <w:rPr>
          <w:rFonts w:ascii="Tahoma" w:hAnsi="Tahoma" w:cs="Tahoma"/>
          <w:sz w:val="18"/>
          <w:szCs w:val="18"/>
        </w:rPr>
      </w:pPr>
      <w:r w:rsidRPr="007F6D54">
        <w:rPr>
          <w:rFonts w:ascii="Tahoma" w:hAnsi="Tahoma" w:cs="Tahoma"/>
          <w:w w:val="105"/>
          <w:sz w:val="18"/>
          <w:szCs w:val="18"/>
        </w:rPr>
        <w:t>1.</w:t>
      </w:r>
      <w:r w:rsidRPr="007F6D54">
        <w:rPr>
          <w:rFonts w:ascii="Tahoma" w:hAnsi="Tahoma" w:cs="Tahoma"/>
          <w:spacing w:val="-3"/>
          <w:w w:val="105"/>
          <w:sz w:val="18"/>
          <w:szCs w:val="18"/>
        </w:rPr>
        <w:t xml:space="preserve"> </w:t>
      </w:r>
      <w:r w:rsidRPr="007F6D54">
        <w:rPr>
          <w:rFonts w:ascii="Tahoma" w:hAnsi="Tahoma" w:cs="Tahoma"/>
          <w:spacing w:val="-2"/>
          <w:w w:val="105"/>
          <w:sz w:val="18"/>
          <w:szCs w:val="18"/>
        </w:rPr>
        <w:t>Evaluación</w:t>
      </w:r>
      <w:r w:rsidRPr="007F6D54">
        <w:rPr>
          <w:rFonts w:ascii="Tahoma" w:hAnsi="Tahoma" w:cs="Tahoma"/>
          <w:sz w:val="18"/>
          <w:szCs w:val="18"/>
        </w:rPr>
        <w:t xml:space="preserve"> </w:t>
      </w:r>
      <w:r w:rsidRPr="007F6D54">
        <w:rPr>
          <w:rFonts w:ascii="Tahoma" w:hAnsi="Tahoma" w:cs="Tahoma"/>
          <w:w w:val="105"/>
          <w:sz w:val="18"/>
          <w:szCs w:val="18"/>
        </w:rPr>
        <w:t>del</w:t>
      </w:r>
      <w:r w:rsidRPr="007F6D54">
        <w:rPr>
          <w:rFonts w:ascii="Tahoma" w:hAnsi="Tahoma" w:cs="Tahoma"/>
          <w:spacing w:val="-4"/>
          <w:w w:val="105"/>
          <w:sz w:val="18"/>
          <w:szCs w:val="18"/>
        </w:rPr>
        <w:t xml:space="preserve"> </w:t>
      </w:r>
      <w:r w:rsidRPr="007F6D54">
        <w:rPr>
          <w:rFonts w:ascii="Tahoma" w:hAnsi="Tahoma" w:cs="Tahoma"/>
          <w:spacing w:val="-2"/>
          <w:w w:val="105"/>
          <w:sz w:val="18"/>
          <w:szCs w:val="18"/>
        </w:rPr>
        <w:t>contexto</w:t>
      </w:r>
    </w:p>
    <w:p w14:paraId="66622804" w14:textId="77777777" w:rsidR="003E5960" w:rsidRPr="007F6D54" w:rsidRDefault="003E5960" w:rsidP="008E78CE">
      <w:pPr>
        <w:tabs>
          <w:tab w:val="left" w:leader="dot" w:pos="7393"/>
        </w:tabs>
        <w:ind w:left="993" w:firstLine="141"/>
        <w:rPr>
          <w:rFonts w:ascii="Tahoma" w:hAnsi="Tahoma" w:cs="Tahoma"/>
          <w:w w:val="105"/>
          <w:sz w:val="18"/>
          <w:szCs w:val="18"/>
        </w:rPr>
      </w:pPr>
      <w:r w:rsidRPr="007F6D54">
        <w:rPr>
          <w:rFonts w:ascii="Tahoma" w:hAnsi="Tahoma" w:cs="Tahoma"/>
          <w:w w:val="105"/>
          <w:sz w:val="18"/>
          <w:szCs w:val="18"/>
        </w:rPr>
        <w:t>2.</w:t>
      </w:r>
      <w:r w:rsidRPr="007F6D54">
        <w:rPr>
          <w:rFonts w:ascii="Tahoma" w:hAnsi="Tahoma" w:cs="Tahoma"/>
          <w:spacing w:val="-2"/>
          <w:w w:val="105"/>
          <w:sz w:val="18"/>
          <w:szCs w:val="18"/>
        </w:rPr>
        <w:t xml:space="preserve"> </w:t>
      </w:r>
      <w:r w:rsidRPr="007F6D54">
        <w:rPr>
          <w:rFonts w:ascii="Tahoma" w:hAnsi="Tahoma" w:cs="Tahoma"/>
          <w:w w:val="105"/>
          <w:sz w:val="18"/>
          <w:szCs w:val="18"/>
        </w:rPr>
        <w:t>Distinguir</w:t>
      </w:r>
      <w:r w:rsidRPr="007F6D54">
        <w:rPr>
          <w:rFonts w:ascii="Tahoma" w:hAnsi="Tahoma" w:cs="Tahoma"/>
          <w:spacing w:val="-2"/>
          <w:w w:val="105"/>
          <w:sz w:val="18"/>
          <w:szCs w:val="18"/>
        </w:rPr>
        <w:t xml:space="preserve"> </w:t>
      </w:r>
      <w:r w:rsidRPr="007F6D54">
        <w:rPr>
          <w:rFonts w:ascii="Tahoma" w:hAnsi="Tahoma" w:cs="Tahoma"/>
          <w:spacing w:val="-5"/>
          <w:w w:val="105"/>
          <w:sz w:val="18"/>
          <w:szCs w:val="18"/>
        </w:rPr>
        <w:t>al</w:t>
      </w:r>
      <w:r w:rsidRPr="007F6D54">
        <w:rPr>
          <w:rFonts w:ascii="Tahoma" w:hAnsi="Tahoma" w:cs="Tahoma"/>
          <w:sz w:val="18"/>
          <w:szCs w:val="18"/>
        </w:rPr>
        <w:t xml:space="preserve"> </w:t>
      </w:r>
      <w:r w:rsidRPr="007F6D54">
        <w:rPr>
          <w:rFonts w:ascii="Tahoma" w:hAnsi="Tahoma" w:cs="Tahoma"/>
          <w:spacing w:val="-2"/>
          <w:w w:val="105"/>
          <w:sz w:val="18"/>
          <w:szCs w:val="18"/>
        </w:rPr>
        <w:t>hablante</w:t>
      </w:r>
    </w:p>
    <w:p w14:paraId="5EA60DA6" w14:textId="01BA0E81" w:rsidR="003E5960" w:rsidRPr="008E78CE" w:rsidRDefault="009571C9" w:rsidP="008E78CE">
      <w:pPr>
        <w:tabs>
          <w:tab w:val="left" w:leader="dot" w:pos="7393"/>
        </w:tabs>
        <w:ind w:left="1724" w:hanging="590"/>
        <w:rPr>
          <w:rFonts w:ascii="Tahoma" w:hAnsi="Tahoma" w:cs="Tahoma"/>
          <w:sz w:val="18"/>
          <w:szCs w:val="18"/>
        </w:rPr>
      </w:pPr>
      <w:r>
        <w:rPr>
          <w:rFonts w:ascii="Tahoma" w:hAnsi="Tahoma" w:cs="Tahoma"/>
          <w:w w:val="105"/>
          <w:sz w:val="18"/>
          <w:szCs w:val="18"/>
        </w:rPr>
        <w:t xml:space="preserve">B. </w:t>
      </w:r>
      <w:r w:rsidR="003E5960" w:rsidRPr="008E78CE">
        <w:rPr>
          <w:rFonts w:ascii="Tahoma" w:hAnsi="Tahoma" w:cs="Tahoma"/>
          <w:w w:val="105"/>
          <w:sz w:val="18"/>
          <w:szCs w:val="18"/>
        </w:rPr>
        <w:t>Difusión</w:t>
      </w:r>
      <w:r w:rsidR="003E5960" w:rsidRPr="008E78CE">
        <w:rPr>
          <w:rFonts w:ascii="Tahoma" w:hAnsi="Tahoma" w:cs="Tahoma"/>
          <w:spacing w:val="-3"/>
          <w:w w:val="105"/>
          <w:sz w:val="18"/>
          <w:szCs w:val="18"/>
        </w:rPr>
        <w:t xml:space="preserve"> </w:t>
      </w:r>
      <w:r w:rsidR="003E5960" w:rsidRPr="008E78CE">
        <w:rPr>
          <w:rFonts w:ascii="Tahoma" w:hAnsi="Tahoma" w:cs="Tahoma"/>
          <w:w w:val="105"/>
          <w:sz w:val="18"/>
          <w:szCs w:val="18"/>
        </w:rPr>
        <w:t>de</w:t>
      </w:r>
      <w:r w:rsidR="003E5960" w:rsidRPr="008E78CE">
        <w:rPr>
          <w:rFonts w:ascii="Tahoma" w:hAnsi="Tahoma" w:cs="Tahoma"/>
          <w:spacing w:val="-3"/>
          <w:w w:val="105"/>
          <w:sz w:val="18"/>
          <w:szCs w:val="18"/>
        </w:rPr>
        <w:t xml:space="preserve"> </w:t>
      </w:r>
      <w:r w:rsidR="003E5960" w:rsidRPr="008E78CE">
        <w:rPr>
          <w:rFonts w:ascii="Tahoma" w:hAnsi="Tahoma" w:cs="Tahoma"/>
          <w:w w:val="105"/>
          <w:sz w:val="18"/>
          <w:szCs w:val="18"/>
        </w:rPr>
        <w:t>ideas</w:t>
      </w:r>
      <w:r w:rsidR="003E5960" w:rsidRPr="008E78CE">
        <w:rPr>
          <w:rFonts w:ascii="Tahoma" w:hAnsi="Tahoma" w:cs="Tahoma"/>
          <w:spacing w:val="-2"/>
          <w:w w:val="105"/>
          <w:sz w:val="18"/>
          <w:szCs w:val="18"/>
        </w:rPr>
        <w:t xml:space="preserve"> </w:t>
      </w:r>
      <w:r w:rsidR="003E5960" w:rsidRPr="008E78CE">
        <w:rPr>
          <w:rFonts w:ascii="Tahoma" w:hAnsi="Tahoma" w:cs="Tahoma"/>
          <w:w w:val="105"/>
          <w:sz w:val="18"/>
          <w:szCs w:val="18"/>
        </w:rPr>
        <w:t>basadas</w:t>
      </w:r>
      <w:r w:rsidR="003E5960" w:rsidRPr="008E78CE">
        <w:rPr>
          <w:rFonts w:ascii="Tahoma" w:hAnsi="Tahoma" w:cs="Tahoma"/>
          <w:spacing w:val="-3"/>
          <w:w w:val="105"/>
          <w:sz w:val="18"/>
          <w:szCs w:val="18"/>
        </w:rPr>
        <w:t xml:space="preserve"> </w:t>
      </w:r>
      <w:r w:rsidR="003E5960" w:rsidRPr="008E78CE">
        <w:rPr>
          <w:rFonts w:ascii="Tahoma" w:hAnsi="Tahoma" w:cs="Tahoma"/>
          <w:w w:val="105"/>
          <w:sz w:val="18"/>
          <w:szCs w:val="18"/>
        </w:rPr>
        <w:t>en</w:t>
      </w:r>
      <w:r w:rsidR="003E5960" w:rsidRPr="008E78CE">
        <w:rPr>
          <w:rFonts w:ascii="Tahoma" w:hAnsi="Tahoma" w:cs="Tahoma"/>
          <w:spacing w:val="-3"/>
          <w:w w:val="105"/>
          <w:sz w:val="18"/>
          <w:szCs w:val="18"/>
        </w:rPr>
        <w:t xml:space="preserve"> </w:t>
      </w:r>
      <w:r w:rsidR="003E5960" w:rsidRPr="008E78CE">
        <w:rPr>
          <w:rFonts w:ascii="Tahoma" w:hAnsi="Tahoma" w:cs="Tahoma"/>
          <w:spacing w:val="-5"/>
          <w:w w:val="105"/>
          <w:sz w:val="18"/>
          <w:szCs w:val="18"/>
        </w:rPr>
        <w:t>la</w:t>
      </w:r>
      <w:r w:rsidR="003E5960" w:rsidRPr="008E78CE">
        <w:rPr>
          <w:rFonts w:ascii="Tahoma" w:hAnsi="Tahoma" w:cs="Tahoma"/>
          <w:sz w:val="18"/>
          <w:szCs w:val="18"/>
        </w:rPr>
        <w:t xml:space="preserve"> </w:t>
      </w:r>
      <w:r w:rsidR="003E5960" w:rsidRPr="008E78CE">
        <w:rPr>
          <w:rFonts w:ascii="Tahoma" w:hAnsi="Tahoma" w:cs="Tahoma"/>
          <w:w w:val="105"/>
          <w:sz w:val="18"/>
          <w:szCs w:val="18"/>
        </w:rPr>
        <w:t>superioridad</w:t>
      </w:r>
      <w:r w:rsidR="003E5960" w:rsidRPr="008E78CE">
        <w:rPr>
          <w:rFonts w:ascii="Tahoma" w:hAnsi="Tahoma" w:cs="Tahoma"/>
          <w:spacing w:val="-4"/>
          <w:w w:val="105"/>
          <w:sz w:val="18"/>
          <w:szCs w:val="18"/>
        </w:rPr>
        <w:t xml:space="preserve"> </w:t>
      </w:r>
      <w:r w:rsidR="003E5960" w:rsidRPr="008E78CE">
        <w:rPr>
          <w:rFonts w:ascii="Tahoma" w:hAnsi="Tahoma" w:cs="Tahoma"/>
          <w:w w:val="105"/>
          <w:sz w:val="18"/>
          <w:szCs w:val="18"/>
        </w:rPr>
        <w:t>o</w:t>
      </w:r>
      <w:r w:rsidR="003E5960" w:rsidRPr="008E78CE">
        <w:rPr>
          <w:rFonts w:ascii="Tahoma" w:hAnsi="Tahoma" w:cs="Tahoma"/>
          <w:spacing w:val="-5"/>
          <w:w w:val="105"/>
          <w:sz w:val="18"/>
          <w:szCs w:val="18"/>
        </w:rPr>
        <w:t xml:space="preserve"> </w:t>
      </w:r>
      <w:r w:rsidR="003E5960" w:rsidRPr="008E78CE">
        <w:rPr>
          <w:rFonts w:ascii="Tahoma" w:hAnsi="Tahoma" w:cs="Tahoma"/>
          <w:w w:val="105"/>
          <w:sz w:val="18"/>
          <w:szCs w:val="18"/>
        </w:rPr>
        <w:t>el</w:t>
      </w:r>
      <w:r w:rsidR="003E5960" w:rsidRPr="008E78CE">
        <w:rPr>
          <w:rFonts w:ascii="Tahoma" w:hAnsi="Tahoma" w:cs="Tahoma"/>
          <w:spacing w:val="-5"/>
          <w:w w:val="105"/>
          <w:sz w:val="18"/>
          <w:szCs w:val="18"/>
        </w:rPr>
        <w:t xml:space="preserve"> </w:t>
      </w:r>
      <w:r w:rsidR="003E5960" w:rsidRPr="008E78CE">
        <w:rPr>
          <w:rFonts w:ascii="Tahoma" w:hAnsi="Tahoma" w:cs="Tahoma"/>
          <w:w w:val="105"/>
          <w:sz w:val="18"/>
          <w:szCs w:val="18"/>
        </w:rPr>
        <w:t>odio</w:t>
      </w:r>
      <w:r w:rsidR="003E5960" w:rsidRPr="008E78CE">
        <w:rPr>
          <w:rFonts w:ascii="Tahoma" w:hAnsi="Tahoma" w:cs="Tahoma"/>
          <w:spacing w:val="-5"/>
          <w:w w:val="105"/>
          <w:sz w:val="18"/>
          <w:szCs w:val="18"/>
        </w:rPr>
        <w:t xml:space="preserve"> </w:t>
      </w:r>
      <w:r w:rsidR="003E5960" w:rsidRPr="008E78CE">
        <w:rPr>
          <w:rFonts w:ascii="Tahoma" w:hAnsi="Tahoma" w:cs="Tahoma"/>
          <w:spacing w:val="-2"/>
          <w:w w:val="105"/>
          <w:sz w:val="18"/>
          <w:szCs w:val="18"/>
        </w:rPr>
        <w:t>racial</w:t>
      </w:r>
    </w:p>
    <w:p w14:paraId="23667E3C" w14:textId="1E2E4061" w:rsidR="003E5960" w:rsidRPr="008E78CE" w:rsidRDefault="009571C9" w:rsidP="008E78CE">
      <w:pPr>
        <w:tabs>
          <w:tab w:val="left" w:leader="dot" w:pos="5579"/>
        </w:tabs>
        <w:ind w:left="1724" w:hanging="590"/>
        <w:rPr>
          <w:rFonts w:ascii="Tahoma" w:hAnsi="Tahoma" w:cs="Tahoma"/>
          <w:sz w:val="18"/>
          <w:szCs w:val="18"/>
        </w:rPr>
      </w:pPr>
      <w:r>
        <w:rPr>
          <w:rFonts w:ascii="Tahoma" w:hAnsi="Tahoma" w:cs="Tahoma"/>
          <w:w w:val="105"/>
          <w:sz w:val="18"/>
          <w:szCs w:val="18"/>
        </w:rPr>
        <w:t xml:space="preserve">C. </w:t>
      </w:r>
      <w:r w:rsidR="003E5960" w:rsidRPr="008E78CE">
        <w:rPr>
          <w:rFonts w:ascii="Tahoma" w:hAnsi="Tahoma" w:cs="Tahoma"/>
          <w:w w:val="105"/>
          <w:sz w:val="18"/>
          <w:szCs w:val="18"/>
        </w:rPr>
        <w:t>Incitación</w:t>
      </w:r>
      <w:r w:rsidR="003E5960" w:rsidRPr="008E78CE">
        <w:rPr>
          <w:rFonts w:ascii="Tahoma" w:hAnsi="Tahoma" w:cs="Tahoma"/>
          <w:spacing w:val="-4"/>
          <w:w w:val="105"/>
          <w:sz w:val="18"/>
          <w:szCs w:val="18"/>
        </w:rPr>
        <w:t xml:space="preserve"> </w:t>
      </w:r>
      <w:r w:rsidR="003E5960" w:rsidRPr="008E78CE">
        <w:rPr>
          <w:rFonts w:ascii="Tahoma" w:hAnsi="Tahoma" w:cs="Tahoma"/>
          <w:w w:val="105"/>
          <w:sz w:val="18"/>
          <w:szCs w:val="18"/>
        </w:rPr>
        <w:t>para cometer</w:t>
      </w:r>
      <w:r w:rsidR="003E5960" w:rsidRPr="008E78CE">
        <w:rPr>
          <w:rFonts w:ascii="Tahoma" w:hAnsi="Tahoma" w:cs="Tahoma"/>
          <w:sz w:val="18"/>
          <w:szCs w:val="18"/>
        </w:rPr>
        <w:t xml:space="preserve"> </w:t>
      </w:r>
      <w:r w:rsidR="003E5960" w:rsidRPr="008E78CE">
        <w:rPr>
          <w:rFonts w:ascii="Tahoma" w:hAnsi="Tahoma" w:cs="Tahoma"/>
          <w:spacing w:val="-2"/>
          <w:sz w:val="18"/>
          <w:szCs w:val="18"/>
        </w:rPr>
        <w:t>genocidio</w:t>
      </w:r>
    </w:p>
    <w:p w14:paraId="2E0590F9" w14:textId="50AD55DA" w:rsidR="003E5960" w:rsidRPr="008E78CE" w:rsidRDefault="009571C9" w:rsidP="008E78CE">
      <w:pPr>
        <w:tabs>
          <w:tab w:val="right" w:leader="dot" w:pos="8396"/>
        </w:tabs>
        <w:ind w:left="1724" w:hanging="590"/>
        <w:rPr>
          <w:rFonts w:ascii="Tahoma" w:hAnsi="Tahoma" w:cs="Tahoma"/>
          <w:sz w:val="18"/>
          <w:szCs w:val="18"/>
        </w:rPr>
      </w:pPr>
      <w:r>
        <w:rPr>
          <w:rFonts w:ascii="Tahoma" w:hAnsi="Tahoma" w:cs="Tahoma"/>
          <w:sz w:val="18"/>
          <w:szCs w:val="18"/>
        </w:rPr>
        <w:t xml:space="preserve">D. </w:t>
      </w:r>
      <w:r w:rsidR="003E5960" w:rsidRPr="008E78CE">
        <w:rPr>
          <w:rFonts w:ascii="Tahoma" w:hAnsi="Tahoma" w:cs="Tahoma"/>
          <w:sz w:val="18"/>
          <w:szCs w:val="18"/>
        </w:rPr>
        <w:t>Incitación</w:t>
      </w:r>
      <w:r w:rsidR="003E5960" w:rsidRPr="008E78CE">
        <w:rPr>
          <w:rFonts w:ascii="Tahoma" w:hAnsi="Tahoma" w:cs="Tahoma"/>
          <w:spacing w:val="17"/>
          <w:sz w:val="18"/>
          <w:szCs w:val="18"/>
        </w:rPr>
        <w:t xml:space="preserve"> </w:t>
      </w:r>
      <w:r w:rsidR="003E5960" w:rsidRPr="008E78CE">
        <w:rPr>
          <w:rFonts w:ascii="Tahoma" w:hAnsi="Tahoma" w:cs="Tahoma"/>
          <w:sz w:val="18"/>
          <w:szCs w:val="18"/>
        </w:rPr>
        <w:t>a</w:t>
      </w:r>
      <w:r w:rsidR="003E5960" w:rsidRPr="008E78CE">
        <w:rPr>
          <w:rFonts w:ascii="Tahoma" w:hAnsi="Tahoma" w:cs="Tahoma"/>
          <w:spacing w:val="17"/>
          <w:sz w:val="18"/>
          <w:szCs w:val="18"/>
        </w:rPr>
        <w:t xml:space="preserve"> </w:t>
      </w:r>
      <w:r w:rsidR="003E5960" w:rsidRPr="008E78CE">
        <w:rPr>
          <w:rFonts w:ascii="Tahoma" w:hAnsi="Tahoma" w:cs="Tahoma"/>
          <w:sz w:val="18"/>
          <w:szCs w:val="18"/>
        </w:rPr>
        <w:t>cometer</w:t>
      </w:r>
      <w:r w:rsidR="003E5960" w:rsidRPr="008E78CE">
        <w:rPr>
          <w:rFonts w:ascii="Tahoma" w:hAnsi="Tahoma" w:cs="Tahoma"/>
          <w:spacing w:val="16"/>
          <w:sz w:val="18"/>
          <w:szCs w:val="18"/>
        </w:rPr>
        <w:t xml:space="preserve"> </w:t>
      </w:r>
      <w:r w:rsidR="003E5960" w:rsidRPr="008E78CE">
        <w:rPr>
          <w:rFonts w:ascii="Tahoma" w:hAnsi="Tahoma" w:cs="Tahoma"/>
          <w:sz w:val="18"/>
          <w:szCs w:val="18"/>
        </w:rPr>
        <w:t>actos</w:t>
      </w:r>
      <w:r w:rsidR="003E5960" w:rsidRPr="008E78CE">
        <w:rPr>
          <w:rFonts w:ascii="Tahoma" w:hAnsi="Tahoma" w:cs="Tahoma"/>
          <w:spacing w:val="17"/>
          <w:sz w:val="18"/>
          <w:szCs w:val="18"/>
        </w:rPr>
        <w:t xml:space="preserve"> </w:t>
      </w:r>
      <w:r w:rsidR="003E5960" w:rsidRPr="008E78CE">
        <w:rPr>
          <w:rFonts w:ascii="Tahoma" w:hAnsi="Tahoma" w:cs="Tahoma"/>
          <w:spacing w:val="-2"/>
          <w:sz w:val="18"/>
          <w:szCs w:val="18"/>
        </w:rPr>
        <w:t>terroristas</w:t>
      </w:r>
    </w:p>
    <w:p w14:paraId="26977DBF" w14:textId="77777777" w:rsidR="003E5960" w:rsidRPr="007F6D54" w:rsidRDefault="003E5960" w:rsidP="008E78CE">
      <w:pPr>
        <w:tabs>
          <w:tab w:val="right" w:leader="dot" w:pos="8389"/>
        </w:tabs>
        <w:ind w:left="993" w:firstLine="141"/>
        <w:rPr>
          <w:rFonts w:ascii="Tahoma" w:hAnsi="Tahoma" w:cs="Tahoma"/>
          <w:sz w:val="18"/>
          <w:szCs w:val="18"/>
        </w:rPr>
      </w:pPr>
      <w:r w:rsidRPr="007F6D54">
        <w:rPr>
          <w:rFonts w:ascii="Tahoma" w:hAnsi="Tahoma" w:cs="Tahoma"/>
          <w:sz w:val="18"/>
          <w:szCs w:val="18"/>
        </w:rPr>
        <w:t>E.</w:t>
      </w:r>
      <w:r w:rsidRPr="007F6D54">
        <w:rPr>
          <w:rFonts w:ascii="Tahoma" w:hAnsi="Tahoma" w:cs="Tahoma"/>
          <w:spacing w:val="7"/>
          <w:sz w:val="18"/>
          <w:szCs w:val="18"/>
        </w:rPr>
        <w:t xml:space="preserve"> </w:t>
      </w:r>
      <w:r w:rsidRPr="007F6D54">
        <w:rPr>
          <w:rFonts w:ascii="Tahoma" w:hAnsi="Tahoma" w:cs="Tahoma"/>
          <w:spacing w:val="-2"/>
          <w:sz w:val="18"/>
          <w:szCs w:val="18"/>
        </w:rPr>
        <w:t>Difamación</w:t>
      </w:r>
    </w:p>
    <w:p w14:paraId="6164D138" w14:textId="406684BC" w:rsidR="008E78CE" w:rsidRDefault="003E5960" w:rsidP="008E78CE">
      <w:pPr>
        <w:pStyle w:val="Prrafodelista"/>
        <w:numPr>
          <w:ilvl w:val="0"/>
          <w:numId w:val="103"/>
        </w:numPr>
        <w:ind w:left="993" w:firstLine="141"/>
        <w:rPr>
          <w:rFonts w:ascii="Tahoma" w:hAnsi="Tahoma" w:cs="Tahoma"/>
          <w:sz w:val="18"/>
          <w:szCs w:val="18"/>
        </w:rPr>
      </w:pPr>
      <w:hyperlink w:anchor="sesgo" w:history="1">
        <w:r w:rsidRPr="007D506D">
          <w:rPr>
            <w:rStyle w:val="Hipervnculo"/>
            <w:rFonts w:ascii="Tahoma" w:hAnsi="Tahoma" w:cs="Tahoma"/>
            <w:sz w:val="18"/>
            <w:szCs w:val="18"/>
          </w:rPr>
          <w:t>SANCIONES</w:t>
        </w:r>
        <w:r w:rsidRPr="007D506D">
          <w:rPr>
            <w:rStyle w:val="Hipervnculo"/>
            <w:rFonts w:ascii="Tahoma" w:hAnsi="Tahoma" w:cs="Tahoma"/>
            <w:spacing w:val="-9"/>
            <w:sz w:val="18"/>
            <w:szCs w:val="18"/>
          </w:rPr>
          <w:t xml:space="preserve"> </w:t>
        </w:r>
        <w:r w:rsidRPr="007D506D">
          <w:rPr>
            <w:rStyle w:val="Hipervnculo"/>
            <w:rFonts w:ascii="Tahoma" w:hAnsi="Tahoma" w:cs="Tahoma"/>
            <w:sz w:val="18"/>
            <w:szCs w:val="18"/>
          </w:rPr>
          <w:t>POR</w:t>
        </w:r>
        <w:r w:rsidRPr="007D506D">
          <w:rPr>
            <w:rStyle w:val="Hipervnculo"/>
            <w:rFonts w:ascii="Tahoma" w:hAnsi="Tahoma" w:cs="Tahoma"/>
            <w:spacing w:val="-10"/>
            <w:sz w:val="18"/>
            <w:szCs w:val="18"/>
          </w:rPr>
          <w:t xml:space="preserve"> </w:t>
        </w:r>
        <w:r w:rsidRPr="007D506D">
          <w:rPr>
            <w:rStyle w:val="Hipervnculo"/>
            <w:rFonts w:ascii="Tahoma" w:hAnsi="Tahoma" w:cs="Tahoma"/>
            <w:sz w:val="18"/>
            <w:szCs w:val="18"/>
          </w:rPr>
          <w:t>INCITACIÓN</w:t>
        </w:r>
        <w:r w:rsidRPr="007D506D">
          <w:rPr>
            <w:rStyle w:val="Hipervnculo"/>
            <w:rFonts w:ascii="Tahoma" w:hAnsi="Tahoma" w:cs="Tahoma"/>
            <w:spacing w:val="-10"/>
            <w:sz w:val="18"/>
            <w:szCs w:val="18"/>
          </w:rPr>
          <w:t xml:space="preserve"> </w:t>
        </w:r>
        <w:r w:rsidRPr="007D506D">
          <w:rPr>
            <w:rStyle w:val="Hipervnculo"/>
            <w:rFonts w:ascii="Tahoma" w:hAnsi="Tahoma" w:cs="Tahoma"/>
            <w:sz w:val="18"/>
            <w:szCs w:val="18"/>
          </w:rPr>
          <w:t>Y</w:t>
        </w:r>
        <w:r w:rsidRPr="007D506D">
          <w:rPr>
            <w:rStyle w:val="Hipervnculo"/>
            <w:rFonts w:ascii="Tahoma" w:hAnsi="Tahoma" w:cs="Tahoma"/>
            <w:spacing w:val="-9"/>
            <w:sz w:val="18"/>
            <w:szCs w:val="18"/>
          </w:rPr>
          <w:t xml:space="preserve"> </w:t>
        </w:r>
        <w:r w:rsidRPr="007D506D">
          <w:rPr>
            <w:rStyle w:val="Hipervnculo"/>
            <w:rFonts w:ascii="Tahoma" w:hAnsi="Tahoma" w:cs="Tahoma"/>
            <w:sz w:val="18"/>
            <w:szCs w:val="18"/>
          </w:rPr>
          <w:t>OTRAS</w:t>
        </w:r>
        <w:r w:rsidRPr="007D506D">
          <w:rPr>
            <w:rStyle w:val="Hipervnculo"/>
            <w:rFonts w:ascii="Tahoma" w:hAnsi="Tahoma" w:cs="Tahoma"/>
            <w:spacing w:val="-10"/>
            <w:sz w:val="18"/>
            <w:szCs w:val="18"/>
          </w:rPr>
          <w:t xml:space="preserve"> </w:t>
        </w:r>
        <w:r w:rsidRPr="007D506D">
          <w:rPr>
            <w:rStyle w:val="Hipervnculo"/>
            <w:rFonts w:ascii="Tahoma" w:hAnsi="Tahoma" w:cs="Tahoma"/>
            <w:sz w:val="18"/>
            <w:szCs w:val="18"/>
          </w:rPr>
          <w:t>FORMAS</w:t>
        </w:r>
        <w:r w:rsidRPr="007D506D">
          <w:rPr>
            <w:rStyle w:val="Hipervnculo"/>
            <w:rFonts w:ascii="Tahoma" w:hAnsi="Tahoma" w:cs="Tahoma"/>
            <w:spacing w:val="-10"/>
            <w:sz w:val="18"/>
            <w:szCs w:val="18"/>
          </w:rPr>
          <w:t xml:space="preserve"> </w:t>
        </w:r>
        <w:r w:rsidRPr="007D506D">
          <w:rPr>
            <w:rStyle w:val="Hipervnculo"/>
            <w:rFonts w:ascii="Tahoma" w:hAnsi="Tahoma" w:cs="Tahoma"/>
            <w:sz w:val="18"/>
            <w:szCs w:val="18"/>
          </w:rPr>
          <w:t>DE</w:t>
        </w:r>
        <w:r w:rsidRPr="007D506D">
          <w:rPr>
            <w:rStyle w:val="Hipervnculo"/>
            <w:rFonts w:ascii="Tahoma" w:hAnsi="Tahoma" w:cs="Tahoma"/>
            <w:spacing w:val="-9"/>
            <w:sz w:val="18"/>
            <w:szCs w:val="18"/>
          </w:rPr>
          <w:t xml:space="preserve"> </w:t>
        </w:r>
        <w:r w:rsidRPr="007D506D">
          <w:rPr>
            <w:rStyle w:val="Hipervnculo"/>
            <w:rFonts w:ascii="Tahoma" w:hAnsi="Tahoma" w:cs="Tahoma"/>
            <w:sz w:val="18"/>
            <w:szCs w:val="18"/>
          </w:rPr>
          <w:t>EXPRESIÓN</w:t>
        </w:r>
        <w:r w:rsidRPr="007D506D">
          <w:rPr>
            <w:rStyle w:val="Hipervnculo"/>
            <w:rFonts w:ascii="Tahoma" w:hAnsi="Tahoma" w:cs="Tahoma"/>
            <w:spacing w:val="-11"/>
            <w:sz w:val="18"/>
            <w:szCs w:val="18"/>
          </w:rPr>
          <w:t xml:space="preserve"> </w:t>
        </w:r>
        <w:r w:rsidRPr="007D506D">
          <w:rPr>
            <w:rStyle w:val="Hipervnculo"/>
            <w:rFonts w:ascii="Tahoma" w:hAnsi="Tahoma" w:cs="Tahoma"/>
            <w:sz w:val="18"/>
            <w:szCs w:val="18"/>
          </w:rPr>
          <w:t>BASADA</w:t>
        </w:r>
        <w:r w:rsidRPr="007D506D">
          <w:rPr>
            <w:rStyle w:val="Hipervnculo"/>
            <w:rFonts w:ascii="Tahoma" w:hAnsi="Tahoma" w:cs="Tahoma"/>
            <w:spacing w:val="-9"/>
            <w:sz w:val="18"/>
            <w:szCs w:val="18"/>
          </w:rPr>
          <w:t xml:space="preserve"> </w:t>
        </w:r>
        <w:r w:rsidRPr="007D506D">
          <w:rPr>
            <w:rStyle w:val="Hipervnculo"/>
            <w:rFonts w:ascii="Tahoma" w:hAnsi="Tahoma" w:cs="Tahoma"/>
            <w:sz w:val="18"/>
            <w:szCs w:val="18"/>
          </w:rPr>
          <w:t>EN</w:t>
        </w:r>
        <w:r w:rsidRPr="007D506D">
          <w:rPr>
            <w:rStyle w:val="Hipervnculo"/>
            <w:rFonts w:ascii="Tahoma" w:hAnsi="Tahoma" w:cs="Tahoma"/>
            <w:spacing w:val="-10"/>
            <w:sz w:val="18"/>
            <w:szCs w:val="18"/>
          </w:rPr>
          <w:t xml:space="preserve"> </w:t>
        </w:r>
        <w:r w:rsidRPr="007D506D">
          <w:rPr>
            <w:rStyle w:val="Hipervnculo"/>
            <w:rFonts w:ascii="Tahoma" w:hAnsi="Tahoma" w:cs="Tahoma"/>
            <w:sz w:val="18"/>
            <w:szCs w:val="18"/>
          </w:rPr>
          <w:t>ODIO</w:t>
        </w:r>
        <w:r w:rsidRPr="007D506D">
          <w:rPr>
            <w:rStyle w:val="Hipervnculo"/>
            <w:rFonts w:ascii="Tahoma" w:hAnsi="Tahoma" w:cs="Tahoma"/>
            <w:spacing w:val="-10"/>
            <w:sz w:val="18"/>
            <w:szCs w:val="18"/>
          </w:rPr>
          <w:t xml:space="preserve"> </w:t>
        </w:r>
        <w:r w:rsidRPr="007D506D">
          <w:rPr>
            <w:rStyle w:val="Hipervnculo"/>
            <w:rFonts w:ascii="Tahoma" w:hAnsi="Tahoma" w:cs="Tahoma"/>
            <w:sz w:val="18"/>
            <w:szCs w:val="18"/>
          </w:rPr>
          <w:t>O</w:t>
        </w:r>
        <w:r w:rsidRPr="007D506D">
          <w:rPr>
            <w:rStyle w:val="Hipervnculo"/>
            <w:rFonts w:ascii="Tahoma" w:hAnsi="Tahoma" w:cs="Tahoma"/>
            <w:spacing w:val="-10"/>
            <w:sz w:val="18"/>
            <w:szCs w:val="18"/>
          </w:rPr>
          <w:t xml:space="preserve"> </w:t>
        </w:r>
        <w:r w:rsidRPr="007D506D">
          <w:rPr>
            <w:rStyle w:val="Hipervnculo"/>
            <w:rFonts w:ascii="Tahoma" w:hAnsi="Tahoma" w:cs="Tahoma"/>
            <w:sz w:val="18"/>
            <w:szCs w:val="18"/>
          </w:rPr>
          <w:t>SESGO</w:t>
        </w:r>
      </w:hyperlink>
    </w:p>
    <w:p w14:paraId="0368B585" w14:textId="49EEF06C" w:rsidR="003E5960" w:rsidRPr="008E78CE" w:rsidRDefault="003E5960" w:rsidP="008E78CE">
      <w:pPr>
        <w:pStyle w:val="Prrafodelista"/>
        <w:numPr>
          <w:ilvl w:val="0"/>
          <w:numId w:val="103"/>
        </w:numPr>
        <w:ind w:left="993" w:firstLine="141"/>
        <w:rPr>
          <w:rFonts w:ascii="Tahoma" w:hAnsi="Tahoma" w:cs="Tahoma"/>
          <w:sz w:val="18"/>
          <w:szCs w:val="18"/>
        </w:rPr>
      </w:pPr>
      <w:hyperlink w:anchor="legales" w:history="1">
        <w:r w:rsidRPr="00FB308C">
          <w:rPr>
            <w:rStyle w:val="Hipervnculo"/>
            <w:rFonts w:ascii="Tahoma" w:hAnsi="Tahoma" w:cs="Tahoma"/>
            <w:w w:val="105"/>
            <w:sz w:val="18"/>
            <w:szCs w:val="18"/>
          </w:rPr>
          <w:t>MEDIDAS</w:t>
        </w:r>
        <w:r w:rsidRPr="00FB308C">
          <w:rPr>
            <w:rStyle w:val="Hipervnculo"/>
            <w:rFonts w:ascii="Tahoma" w:hAnsi="Tahoma" w:cs="Tahoma"/>
            <w:spacing w:val="-4"/>
            <w:w w:val="105"/>
            <w:sz w:val="18"/>
            <w:szCs w:val="18"/>
          </w:rPr>
          <w:t xml:space="preserve"> </w:t>
        </w:r>
        <w:r w:rsidRPr="00FB308C">
          <w:rPr>
            <w:rStyle w:val="Hipervnculo"/>
            <w:rFonts w:ascii="Tahoma" w:hAnsi="Tahoma" w:cs="Tahoma"/>
            <w:w w:val="105"/>
            <w:sz w:val="18"/>
            <w:szCs w:val="18"/>
          </w:rPr>
          <w:t>NO</w:t>
        </w:r>
        <w:r w:rsidRPr="00FB308C">
          <w:rPr>
            <w:rStyle w:val="Hipervnculo"/>
            <w:rFonts w:ascii="Tahoma" w:hAnsi="Tahoma" w:cs="Tahoma"/>
            <w:spacing w:val="-5"/>
            <w:w w:val="105"/>
            <w:sz w:val="18"/>
            <w:szCs w:val="18"/>
          </w:rPr>
          <w:t xml:space="preserve"> </w:t>
        </w:r>
        <w:r w:rsidRPr="00FB308C">
          <w:rPr>
            <w:rStyle w:val="Hipervnculo"/>
            <w:rFonts w:ascii="Tahoma" w:hAnsi="Tahoma" w:cs="Tahoma"/>
            <w:spacing w:val="-2"/>
            <w:w w:val="105"/>
            <w:sz w:val="18"/>
            <w:szCs w:val="18"/>
          </w:rPr>
          <w:t>LEGALES</w:t>
        </w:r>
      </w:hyperlink>
    </w:p>
    <w:p w14:paraId="11EBBC1B" w14:textId="77777777" w:rsidR="003E5960" w:rsidRPr="007F6D54" w:rsidRDefault="003E5960" w:rsidP="003E5960">
      <w:pPr>
        <w:pStyle w:val="Textoindependiente"/>
        <w:rPr>
          <w:rFonts w:ascii="Tahoma" w:hAnsi="Tahoma" w:cs="Tahoma"/>
          <w:sz w:val="18"/>
          <w:szCs w:val="18"/>
        </w:rPr>
      </w:pPr>
    </w:p>
    <w:p w14:paraId="1B9C18ED" w14:textId="77777777" w:rsidR="003E5960" w:rsidRPr="007F6D54" w:rsidRDefault="003E5960" w:rsidP="003E5960">
      <w:pPr>
        <w:pStyle w:val="Textoindependiente"/>
        <w:rPr>
          <w:rFonts w:ascii="Tahoma" w:hAnsi="Tahoma" w:cs="Tahoma"/>
          <w:sz w:val="18"/>
          <w:szCs w:val="18"/>
        </w:rPr>
      </w:pPr>
    </w:p>
    <w:p w14:paraId="4E74E9A7" w14:textId="2FE28AC8" w:rsidR="003E5960" w:rsidRPr="007F6D54" w:rsidRDefault="003E5960" w:rsidP="003E5960">
      <w:pPr>
        <w:ind w:left="1108"/>
        <w:rPr>
          <w:rFonts w:ascii="Tahoma" w:hAnsi="Tahoma" w:cs="Tahoma"/>
          <w:b/>
          <w:bCs/>
          <w:spacing w:val="-2"/>
          <w:w w:val="105"/>
          <w:sz w:val="18"/>
          <w:szCs w:val="18"/>
        </w:rPr>
      </w:pPr>
      <w:hyperlink w:anchor="raíz" w:history="1">
        <w:r w:rsidRPr="0031332D">
          <w:rPr>
            <w:rStyle w:val="Hipervnculo"/>
            <w:rFonts w:ascii="Tahoma" w:hAnsi="Tahoma" w:cs="Tahoma"/>
            <w:b/>
            <w:bCs/>
            <w:spacing w:val="-2"/>
            <w:w w:val="105"/>
            <w:sz w:val="18"/>
            <w:szCs w:val="18"/>
          </w:rPr>
          <w:t>SEXTA PARTE: PROMOCIÓN DE LA DIVERSIDAD Y LA IGUALDAD: OBLIGACIONES DE ABORDAR LAS CAUSAS FUNDAMENTALES DE LA DISCRIMINACIÓN</w:t>
        </w:r>
      </w:hyperlink>
    </w:p>
    <w:p w14:paraId="7634964A" w14:textId="60157524" w:rsidR="003E5960" w:rsidRPr="007F6D54" w:rsidRDefault="003E5960" w:rsidP="003E5960">
      <w:pPr>
        <w:pStyle w:val="Prrafodelista"/>
        <w:numPr>
          <w:ilvl w:val="0"/>
          <w:numId w:val="100"/>
        </w:numPr>
        <w:tabs>
          <w:tab w:val="left" w:pos="1237"/>
          <w:tab w:val="right" w:leader="dot" w:pos="10354"/>
        </w:tabs>
        <w:ind w:left="1237" w:hanging="123"/>
        <w:rPr>
          <w:rFonts w:ascii="Tahoma" w:hAnsi="Tahoma" w:cs="Tahoma"/>
          <w:sz w:val="18"/>
          <w:szCs w:val="18"/>
        </w:rPr>
      </w:pPr>
      <w:hyperlink w:anchor="estigma" w:history="1">
        <w:r w:rsidRPr="0031332D">
          <w:rPr>
            <w:rStyle w:val="Hipervnculo"/>
            <w:rFonts w:ascii="Tahoma" w:hAnsi="Tahoma" w:cs="Tahoma"/>
            <w:sz w:val="18"/>
            <w:szCs w:val="18"/>
          </w:rPr>
          <w:t>OBLIGACIONES</w:t>
        </w:r>
        <w:r w:rsidRPr="0031332D">
          <w:rPr>
            <w:rStyle w:val="Hipervnculo"/>
            <w:rFonts w:ascii="Tahoma" w:hAnsi="Tahoma" w:cs="Tahoma"/>
            <w:spacing w:val="-8"/>
            <w:sz w:val="18"/>
            <w:szCs w:val="18"/>
          </w:rPr>
          <w:t xml:space="preserve"> </w:t>
        </w:r>
        <w:r w:rsidRPr="0031332D">
          <w:rPr>
            <w:rStyle w:val="Hipervnculo"/>
            <w:rFonts w:ascii="Tahoma" w:hAnsi="Tahoma" w:cs="Tahoma"/>
            <w:sz w:val="18"/>
            <w:szCs w:val="18"/>
          </w:rPr>
          <w:t>DEL</w:t>
        </w:r>
        <w:r w:rsidRPr="0031332D">
          <w:rPr>
            <w:rStyle w:val="Hipervnculo"/>
            <w:rFonts w:ascii="Tahoma" w:hAnsi="Tahoma" w:cs="Tahoma"/>
            <w:spacing w:val="-7"/>
            <w:sz w:val="18"/>
            <w:szCs w:val="18"/>
          </w:rPr>
          <w:t xml:space="preserve"> </w:t>
        </w:r>
        <w:r w:rsidRPr="0031332D">
          <w:rPr>
            <w:rStyle w:val="Hipervnculo"/>
            <w:rFonts w:ascii="Tahoma" w:hAnsi="Tahoma" w:cs="Tahoma"/>
            <w:sz w:val="18"/>
            <w:szCs w:val="18"/>
          </w:rPr>
          <w:t>DERECHO</w:t>
        </w:r>
        <w:r w:rsidRPr="0031332D">
          <w:rPr>
            <w:rStyle w:val="Hipervnculo"/>
            <w:rFonts w:ascii="Tahoma" w:hAnsi="Tahoma" w:cs="Tahoma"/>
            <w:spacing w:val="-5"/>
            <w:sz w:val="18"/>
            <w:szCs w:val="18"/>
          </w:rPr>
          <w:t xml:space="preserve"> </w:t>
        </w:r>
        <w:r w:rsidRPr="0031332D">
          <w:rPr>
            <w:rStyle w:val="Hipervnculo"/>
            <w:rFonts w:ascii="Tahoma" w:hAnsi="Tahoma" w:cs="Tahoma"/>
            <w:sz w:val="18"/>
            <w:szCs w:val="18"/>
          </w:rPr>
          <w:t>INTERNACIONAL</w:t>
        </w:r>
        <w:r w:rsidRPr="0031332D">
          <w:rPr>
            <w:rStyle w:val="Hipervnculo"/>
            <w:rFonts w:ascii="Tahoma" w:hAnsi="Tahoma" w:cs="Tahoma"/>
            <w:spacing w:val="-7"/>
            <w:sz w:val="18"/>
            <w:szCs w:val="18"/>
          </w:rPr>
          <w:t xml:space="preserve"> </w:t>
        </w:r>
        <w:r w:rsidRPr="0031332D">
          <w:rPr>
            <w:rStyle w:val="Hipervnculo"/>
            <w:rFonts w:ascii="Tahoma" w:hAnsi="Tahoma" w:cs="Tahoma"/>
            <w:sz w:val="18"/>
            <w:szCs w:val="18"/>
          </w:rPr>
          <w:t>PARA</w:t>
        </w:r>
        <w:r w:rsidRPr="0031332D">
          <w:rPr>
            <w:rStyle w:val="Hipervnculo"/>
            <w:rFonts w:ascii="Tahoma" w:hAnsi="Tahoma" w:cs="Tahoma"/>
            <w:spacing w:val="-6"/>
            <w:sz w:val="18"/>
            <w:szCs w:val="18"/>
          </w:rPr>
          <w:t xml:space="preserve"> </w:t>
        </w:r>
        <w:r w:rsidRPr="0031332D">
          <w:rPr>
            <w:rStyle w:val="Hipervnculo"/>
            <w:rFonts w:ascii="Tahoma" w:hAnsi="Tahoma" w:cs="Tahoma"/>
            <w:sz w:val="18"/>
            <w:szCs w:val="18"/>
          </w:rPr>
          <w:t>ABORDAR</w:t>
        </w:r>
        <w:r w:rsidRPr="0031332D">
          <w:rPr>
            <w:rStyle w:val="Hipervnculo"/>
            <w:rFonts w:ascii="Tahoma" w:hAnsi="Tahoma" w:cs="Tahoma"/>
            <w:spacing w:val="-7"/>
            <w:sz w:val="18"/>
            <w:szCs w:val="18"/>
          </w:rPr>
          <w:t xml:space="preserve"> </w:t>
        </w:r>
        <w:r w:rsidRPr="0031332D">
          <w:rPr>
            <w:rStyle w:val="Hipervnculo"/>
            <w:rFonts w:ascii="Tahoma" w:hAnsi="Tahoma" w:cs="Tahoma"/>
            <w:sz w:val="18"/>
            <w:szCs w:val="18"/>
          </w:rPr>
          <w:t>LOS</w:t>
        </w:r>
        <w:r w:rsidRPr="0031332D">
          <w:rPr>
            <w:rStyle w:val="Hipervnculo"/>
            <w:rFonts w:ascii="Tahoma" w:hAnsi="Tahoma" w:cs="Tahoma"/>
            <w:spacing w:val="-6"/>
            <w:sz w:val="18"/>
            <w:szCs w:val="18"/>
          </w:rPr>
          <w:t xml:space="preserve"> </w:t>
        </w:r>
        <w:r w:rsidRPr="0031332D">
          <w:rPr>
            <w:rStyle w:val="Hipervnculo"/>
            <w:rFonts w:ascii="Tahoma" w:hAnsi="Tahoma" w:cs="Tahoma"/>
            <w:sz w:val="18"/>
            <w:szCs w:val="18"/>
          </w:rPr>
          <w:t>PREJUICIOS,</w:t>
        </w:r>
        <w:r w:rsidRPr="0031332D">
          <w:rPr>
            <w:rStyle w:val="Hipervnculo"/>
            <w:rFonts w:ascii="Tahoma" w:hAnsi="Tahoma" w:cs="Tahoma"/>
            <w:spacing w:val="-6"/>
            <w:sz w:val="18"/>
            <w:szCs w:val="18"/>
          </w:rPr>
          <w:t xml:space="preserve"> </w:t>
        </w:r>
        <w:r w:rsidRPr="0031332D">
          <w:rPr>
            <w:rStyle w:val="Hipervnculo"/>
            <w:rFonts w:ascii="Tahoma" w:hAnsi="Tahoma" w:cs="Tahoma"/>
            <w:sz w:val="18"/>
            <w:szCs w:val="18"/>
          </w:rPr>
          <w:t>LOS</w:t>
        </w:r>
        <w:r w:rsidRPr="0031332D">
          <w:rPr>
            <w:rStyle w:val="Hipervnculo"/>
            <w:rFonts w:ascii="Tahoma" w:hAnsi="Tahoma" w:cs="Tahoma"/>
            <w:spacing w:val="-6"/>
            <w:sz w:val="18"/>
            <w:szCs w:val="18"/>
          </w:rPr>
          <w:t xml:space="preserve"> </w:t>
        </w:r>
        <w:r w:rsidRPr="0031332D">
          <w:rPr>
            <w:rStyle w:val="Hipervnculo"/>
            <w:rFonts w:ascii="Tahoma" w:hAnsi="Tahoma" w:cs="Tahoma"/>
            <w:sz w:val="18"/>
            <w:szCs w:val="18"/>
          </w:rPr>
          <w:t>ESTEREOTIPOS</w:t>
        </w:r>
        <w:r w:rsidRPr="0031332D">
          <w:rPr>
            <w:rStyle w:val="Hipervnculo"/>
            <w:rFonts w:ascii="Tahoma" w:hAnsi="Tahoma" w:cs="Tahoma"/>
            <w:spacing w:val="-7"/>
            <w:sz w:val="18"/>
            <w:szCs w:val="18"/>
          </w:rPr>
          <w:t xml:space="preserve"> </w:t>
        </w:r>
        <w:r w:rsidRPr="0031332D">
          <w:rPr>
            <w:rStyle w:val="Hipervnculo"/>
            <w:rFonts w:ascii="Tahoma" w:hAnsi="Tahoma" w:cs="Tahoma"/>
            <w:sz w:val="18"/>
            <w:szCs w:val="18"/>
          </w:rPr>
          <w:t>Y</w:t>
        </w:r>
        <w:r w:rsidRPr="0031332D">
          <w:rPr>
            <w:rStyle w:val="Hipervnculo"/>
            <w:rFonts w:ascii="Tahoma" w:hAnsi="Tahoma" w:cs="Tahoma"/>
            <w:spacing w:val="-6"/>
            <w:sz w:val="18"/>
            <w:szCs w:val="18"/>
          </w:rPr>
          <w:t xml:space="preserve"> </w:t>
        </w:r>
        <w:r w:rsidRPr="0031332D">
          <w:rPr>
            <w:rStyle w:val="Hipervnculo"/>
            <w:rFonts w:ascii="Tahoma" w:hAnsi="Tahoma" w:cs="Tahoma"/>
            <w:sz w:val="18"/>
            <w:szCs w:val="18"/>
          </w:rPr>
          <w:t>EL</w:t>
        </w:r>
        <w:r w:rsidRPr="0031332D">
          <w:rPr>
            <w:rStyle w:val="Hipervnculo"/>
            <w:rFonts w:ascii="Tahoma" w:hAnsi="Tahoma" w:cs="Tahoma"/>
            <w:spacing w:val="-6"/>
            <w:sz w:val="18"/>
            <w:szCs w:val="18"/>
          </w:rPr>
          <w:t xml:space="preserve"> </w:t>
        </w:r>
        <w:r w:rsidRPr="0031332D">
          <w:rPr>
            <w:rStyle w:val="Hipervnculo"/>
            <w:rFonts w:ascii="Tahoma" w:hAnsi="Tahoma" w:cs="Tahoma"/>
            <w:spacing w:val="-2"/>
            <w:sz w:val="18"/>
            <w:szCs w:val="18"/>
          </w:rPr>
          <w:t>ESTIGMA.</w:t>
        </w:r>
        <w:r w:rsidRPr="0031332D">
          <w:rPr>
            <w:rStyle w:val="Hipervnculo"/>
            <w:rFonts w:ascii="Tahoma" w:hAnsi="Tahoma" w:cs="Tahoma"/>
            <w:sz w:val="18"/>
            <w:szCs w:val="18"/>
          </w:rPr>
          <w:tab/>
        </w:r>
      </w:hyperlink>
    </w:p>
    <w:p w14:paraId="5A7680EE" w14:textId="1B59FFFE" w:rsidR="003E5960" w:rsidRPr="007F6D54" w:rsidRDefault="003E5960" w:rsidP="003E5960">
      <w:pPr>
        <w:pStyle w:val="Prrafodelista"/>
        <w:numPr>
          <w:ilvl w:val="0"/>
          <w:numId w:val="100"/>
        </w:numPr>
        <w:tabs>
          <w:tab w:val="left" w:pos="1277"/>
          <w:tab w:val="right" w:leader="dot" w:pos="8106"/>
        </w:tabs>
        <w:ind w:left="1277" w:hanging="163"/>
        <w:rPr>
          <w:rFonts w:ascii="Tahoma" w:hAnsi="Tahoma" w:cs="Tahoma"/>
          <w:sz w:val="18"/>
          <w:szCs w:val="18"/>
        </w:rPr>
      </w:pPr>
      <w:hyperlink w:anchor="medidas" w:history="1">
        <w:r w:rsidRPr="0031332D">
          <w:rPr>
            <w:rStyle w:val="Hipervnculo"/>
            <w:rFonts w:ascii="Tahoma" w:hAnsi="Tahoma" w:cs="Tahoma"/>
            <w:sz w:val="18"/>
            <w:szCs w:val="18"/>
          </w:rPr>
          <w:t>MEDIDAS</w:t>
        </w:r>
        <w:r w:rsidRPr="0031332D">
          <w:rPr>
            <w:rStyle w:val="Hipervnculo"/>
            <w:rFonts w:ascii="Tahoma" w:hAnsi="Tahoma" w:cs="Tahoma"/>
            <w:spacing w:val="-6"/>
            <w:sz w:val="18"/>
            <w:szCs w:val="18"/>
          </w:rPr>
          <w:t xml:space="preserve"> </w:t>
        </w:r>
        <w:r w:rsidRPr="0031332D">
          <w:rPr>
            <w:rStyle w:val="Hipervnculo"/>
            <w:rFonts w:ascii="Tahoma" w:hAnsi="Tahoma" w:cs="Tahoma"/>
            <w:spacing w:val="-2"/>
            <w:sz w:val="18"/>
            <w:szCs w:val="18"/>
          </w:rPr>
          <w:t>ESPECÍFICAS</w:t>
        </w:r>
      </w:hyperlink>
    </w:p>
    <w:p w14:paraId="0F3D019B" w14:textId="77777777" w:rsidR="003E5960" w:rsidRPr="007F6D54" w:rsidRDefault="003E5960" w:rsidP="003E5960">
      <w:pPr>
        <w:pStyle w:val="Prrafodelista"/>
        <w:numPr>
          <w:ilvl w:val="1"/>
          <w:numId w:val="100"/>
        </w:numPr>
        <w:tabs>
          <w:tab w:val="left" w:pos="1906"/>
          <w:tab w:val="left" w:leader="dot" w:pos="7735"/>
        </w:tabs>
        <w:ind w:left="1906" w:hanging="181"/>
        <w:rPr>
          <w:rFonts w:ascii="Tahoma" w:hAnsi="Tahoma" w:cs="Tahoma"/>
          <w:sz w:val="18"/>
          <w:szCs w:val="18"/>
        </w:rPr>
      </w:pPr>
      <w:r w:rsidRPr="007F6D54">
        <w:rPr>
          <w:rFonts w:ascii="Tahoma" w:hAnsi="Tahoma" w:cs="Tahoma"/>
          <w:sz w:val="18"/>
          <w:szCs w:val="18"/>
        </w:rPr>
        <w:t>Participación</w:t>
      </w:r>
      <w:r w:rsidRPr="007F6D54">
        <w:rPr>
          <w:rFonts w:ascii="Tahoma" w:hAnsi="Tahoma" w:cs="Tahoma"/>
          <w:spacing w:val="-6"/>
          <w:sz w:val="18"/>
          <w:szCs w:val="18"/>
        </w:rPr>
        <w:t xml:space="preserve"> </w:t>
      </w:r>
      <w:r w:rsidRPr="007F6D54">
        <w:rPr>
          <w:rFonts w:ascii="Tahoma" w:hAnsi="Tahoma" w:cs="Tahoma"/>
          <w:sz w:val="18"/>
          <w:szCs w:val="18"/>
        </w:rPr>
        <w:t>y</w:t>
      </w:r>
      <w:r w:rsidRPr="007F6D54">
        <w:rPr>
          <w:rFonts w:ascii="Tahoma" w:hAnsi="Tahoma" w:cs="Tahoma"/>
          <w:spacing w:val="-6"/>
          <w:sz w:val="18"/>
          <w:szCs w:val="18"/>
        </w:rPr>
        <w:t xml:space="preserve"> </w:t>
      </w:r>
      <w:r w:rsidRPr="007F6D54">
        <w:rPr>
          <w:rFonts w:ascii="Tahoma" w:hAnsi="Tahoma" w:cs="Tahoma"/>
          <w:sz w:val="18"/>
          <w:szCs w:val="18"/>
        </w:rPr>
        <w:t>representación</w:t>
      </w:r>
      <w:r w:rsidRPr="007F6D54">
        <w:rPr>
          <w:rFonts w:ascii="Tahoma" w:hAnsi="Tahoma" w:cs="Tahoma"/>
          <w:spacing w:val="-6"/>
          <w:sz w:val="18"/>
          <w:szCs w:val="18"/>
        </w:rPr>
        <w:t xml:space="preserve"> </w:t>
      </w:r>
      <w:r w:rsidRPr="007F6D54">
        <w:rPr>
          <w:rFonts w:ascii="Tahoma" w:hAnsi="Tahoma" w:cs="Tahoma"/>
          <w:sz w:val="18"/>
          <w:szCs w:val="18"/>
        </w:rPr>
        <w:t>en</w:t>
      </w:r>
      <w:r w:rsidRPr="007F6D54">
        <w:rPr>
          <w:rFonts w:ascii="Tahoma" w:hAnsi="Tahoma" w:cs="Tahoma"/>
          <w:spacing w:val="-6"/>
          <w:sz w:val="18"/>
          <w:szCs w:val="18"/>
        </w:rPr>
        <w:t xml:space="preserve"> </w:t>
      </w:r>
      <w:r w:rsidRPr="007F6D54">
        <w:rPr>
          <w:rFonts w:ascii="Tahoma" w:hAnsi="Tahoma" w:cs="Tahoma"/>
          <w:sz w:val="18"/>
          <w:szCs w:val="18"/>
        </w:rPr>
        <w:t>la</w:t>
      </w:r>
      <w:r w:rsidRPr="007F6D54">
        <w:rPr>
          <w:rFonts w:ascii="Tahoma" w:hAnsi="Tahoma" w:cs="Tahoma"/>
          <w:spacing w:val="-6"/>
          <w:sz w:val="18"/>
          <w:szCs w:val="18"/>
        </w:rPr>
        <w:t xml:space="preserve"> </w:t>
      </w:r>
      <w:r w:rsidRPr="007F6D54">
        <w:rPr>
          <w:rFonts w:ascii="Tahoma" w:hAnsi="Tahoma" w:cs="Tahoma"/>
          <w:sz w:val="18"/>
          <w:szCs w:val="18"/>
        </w:rPr>
        <w:t>vida</w:t>
      </w:r>
      <w:r w:rsidRPr="007F6D54">
        <w:rPr>
          <w:rFonts w:ascii="Tahoma" w:hAnsi="Tahoma" w:cs="Tahoma"/>
          <w:spacing w:val="-6"/>
          <w:sz w:val="18"/>
          <w:szCs w:val="18"/>
        </w:rPr>
        <w:t xml:space="preserve"> </w:t>
      </w:r>
      <w:r w:rsidRPr="007F6D54">
        <w:rPr>
          <w:rFonts w:ascii="Tahoma" w:hAnsi="Tahoma" w:cs="Tahoma"/>
          <w:spacing w:val="-2"/>
          <w:sz w:val="18"/>
          <w:szCs w:val="18"/>
        </w:rPr>
        <w:t>pública</w:t>
      </w:r>
    </w:p>
    <w:p w14:paraId="3273544D" w14:textId="77777777" w:rsidR="003E5960" w:rsidRPr="007F6D54" w:rsidRDefault="003E5960" w:rsidP="003E5960">
      <w:pPr>
        <w:pStyle w:val="Prrafodelista"/>
        <w:numPr>
          <w:ilvl w:val="1"/>
          <w:numId w:val="100"/>
        </w:numPr>
        <w:tabs>
          <w:tab w:val="left" w:pos="1906"/>
          <w:tab w:val="left" w:leader="dot" w:pos="7735"/>
        </w:tabs>
        <w:ind w:left="1906" w:hanging="181"/>
        <w:rPr>
          <w:rFonts w:ascii="Tahoma" w:hAnsi="Tahoma" w:cs="Tahoma"/>
          <w:sz w:val="18"/>
          <w:szCs w:val="18"/>
        </w:rPr>
      </w:pPr>
      <w:r w:rsidRPr="007F6D54">
        <w:rPr>
          <w:rFonts w:ascii="Tahoma" w:hAnsi="Tahoma" w:cs="Tahoma"/>
          <w:sz w:val="18"/>
          <w:szCs w:val="18"/>
        </w:rPr>
        <w:t>Diversidad</w:t>
      </w:r>
      <w:r w:rsidRPr="007F6D54">
        <w:rPr>
          <w:rFonts w:ascii="Tahoma" w:hAnsi="Tahoma" w:cs="Tahoma"/>
          <w:spacing w:val="-5"/>
          <w:sz w:val="18"/>
          <w:szCs w:val="18"/>
        </w:rPr>
        <w:t xml:space="preserve"> </w:t>
      </w:r>
      <w:r w:rsidRPr="007F6D54">
        <w:rPr>
          <w:rFonts w:ascii="Tahoma" w:hAnsi="Tahoma" w:cs="Tahoma"/>
          <w:sz w:val="18"/>
          <w:szCs w:val="18"/>
        </w:rPr>
        <w:t>e</w:t>
      </w:r>
      <w:r w:rsidRPr="007F6D54">
        <w:rPr>
          <w:rFonts w:ascii="Tahoma" w:hAnsi="Tahoma" w:cs="Tahoma"/>
          <w:spacing w:val="-5"/>
          <w:sz w:val="18"/>
          <w:szCs w:val="18"/>
        </w:rPr>
        <w:t xml:space="preserve"> </w:t>
      </w:r>
      <w:r w:rsidRPr="007F6D54">
        <w:rPr>
          <w:rFonts w:ascii="Tahoma" w:hAnsi="Tahoma" w:cs="Tahoma"/>
          <w:sz w:val="18"/>
          <w:szCs w:val="18"/>
        </w:rPr>
        <w:t>igualdad</w:t>
      </w:r>
      <w:r w:rsidRPr="007F6D54">
        <w:rPr>
          <w:rFonts w:ascii="Tahoma" w:hAnsi="Tahoma" w:cs="Tahoma"/>
          <w:spacing w:val="-4"/>
          <w:sz w:val="18"/>
          <w:szCs w:val="18"/>
        </w:rPr>
        <w:t xml:space="preserve"> </w:t>
      </w:r>
      <w:r w:rsidRPr="007F6D54">
        <w:rPr>
          <w:rFonts w:ascii="Tahoma" w:hAnsi="Tahoma" w:cs="Tahoma"/>
          <w:spacing w:val="-5"/>
          <w:sz w:val="18"/>
          <w:szCs w:val="18"/>
        </w:rPr>
        <w:t xml:space="preserve">de </w:t>
      </w:r>
      <w:r w:rsidRPr="007F6D54">
        <w:rPr>
          <w:rFonts w:ascii="Tahoma" w:hAnsi="Tahoma" w:cs="Tahoma"/>
          <w:spacing w:val="-2"/>
          <w:sz w:val="18"/>
          <w:szCs w:val="18"/>
        </w:rPr>
        <w:t>representación</w:t>
      </w:r>
    </w:p>
    <w:p w14:paraId="0D75E245" w14:textId="77777777" w:rsidR="003E5960" w:rsidRPr="007F6D54" w:rsidRDefault="003E5960" w:rsidP="003E5960">
      <w:pPr>
        <w:pStyle w:val="Prrafodelista"/>
        <w:numPr>
          <w:ilvl w:val="1"/>
          <w:numId w:val="100"/>
        </w:numPr>
        <w:tabs>
          <w:tab w:val="left" w:pos="1906"/>
          <w:tab w:val="left" w:leader="dot" w:pos="7735"/>
        </w:tabs>
        <w:ind w:left="1906" w:hanging="181"/>
        <w:rPr>
          <w:rFonts w:ascii="Tahoma" w:hAnsi="Tahoma" w:cs="Tahoma"/>
          <w:sz w:val="18"/>
          <w:szCs w:val="18"/>
        </w:rPr>
      </w:pPr>
      <w:r w:rsidRPr="007F6D54">
        <w:rPr>
          <w:rFonts w:ascii="Tahoma" w:hAnsi="Tahoma" w:cs="Tahoma"/>
          <w:spacing w:val="-2"/>
          <w:sz w:val="18"/>
          <w:szCs w:val="18"/>
        </w:rPr>
        <w:t>Educación</w:t>
      </w:r>
    </w:p>
    <w:p w14:paraId="7E7631CD" w14:textId="77777777" w:rsidR="003E5960" w:rsidRPr="007F6D54" w:rsidRDefault="003E5960" w:rsidP="003E5960">
      <w:pPr>
        <w:pStyle w:val="Prrafodelista"/>
        <w:numPr>
          <w:ilvl w:val="1"/>
          <w:numId w:val="100"/>
        </w:numPr>
        <w:tabs>
          <w:tab w:val="left" w:leader="dot" w:pos="8597"/>
        </w:tabs>
        <w:rPr>
          <w:rFonts w:ascii="Tahoma" w:hAnsi="Tahoma" w:cs="Tahoma"/>
          <w:sz w:val="18"/>
          <w:szCs w:val="18"/>
        </w:rPr>
      </w:pPr>
      <w:r w:rsidRPr="007F6D54">
        <w:rPr>
          <w:rFonts w:ascii="Tahoma" w:hAnsi="Tahoma" w:cs="Tahoma"/>
          <w:sz w:val="18"/>
          <w:szCs w:val="18"/>
        </w:rPr>
        <w:t>Medios</w:t>
      </w:r>
      <w:r w:rsidRPr="007F6D54">
        <w:rPr>
          <w:rFonts w:ascii="Tahoma" w:hAnsi="Tahoma" w:cs="Tahoma"/>
          <w:spacing w:val="-4"/>
          <w:sz w:val="18"/>
          <w:szCs w:val="18"/>
        </w:rPr>
        <w:t xml:space="preserve"> </w:t>
      </w:r>
      <w:r w:rsidRPr="007F6D54">
        <w:rPr>
          <w:rFonts w:ascii="Tahoma" w:hAnsi="Tahoma" w:cs="Tahoma"/>
          <w:sz w:val="18"/>
          <w:szCs w:val="18"/>
        </w:rPr>
        <w:t>de</w:t>
      </w:r>
      <w:r w:rsidRPr="007F6D54">
        <w:rPr>
          <w:rFonts w:ascii="Tahoma" w:hAnsi="Tahoma" w:cs="Tahoma"/>
          <w:spacing w:val="-3"/>
          <w:sz w:val="18"/>
          <w:szCs w:val="18"/>
        </w:rPr>
        <w:t xml:space="preserve"> </w:t>
      </w:r>
      <w:r w:rsidRPr="007F6D54">
        <w:rPr>
          <w:rFonts w:ascii="Tahoma" w:hAnsi="Tahoma" w:cs="Tahoma"/>
          <w:sz w:val="18"/>
          <w:szCs w:val="18"/>
        </w:rPr>
        <w:t>comunicación</w:t>
      </w:r>
      <w:r w:rsidRPr="007F6D54">
        <w:rPr>
          <w:rFonts w:ascii="Tahoma" w:hAnsi="Tahoma" w:cs="Tahoma"/>
          <w:spacing w:val="-4"/>
          <w:sz w:val="18"/>
          <w:szCs w:val="18"/>
        </w:rPr>
        <w:t xml:space="preserve"> </w:t>
      </w:r>
      <w:r w:rsidRPr="007F6D54">
        <w:rPr>
          <w:rFonts w:ascii="Tahoma" w:hAnsi="Tahoma" w:cs="Tahoma"/>
          <w:sz w:val="18"/>
          <w:szCs w:val="18"/>
        </w:rPr>
        <w:t>y</w:t>
      </w:r>
      <w:r w:rsidRPr="007F6D54">
        <w:rPr>
          <w:rFonts w:ascii="Tahoma" w:hAnsi="Tahoma" w:cs="Tahoma"/>
          <w:spacing w:val="-3"/>
          <w:sz w:val="18"/>
          <w:szCs w:val="18"/>
        </w:rPr>
        <w:t xml:space="preserve"> </w:t>
      </w:r>
      <w:r w:rsidRPr="007F6D54">
        <w:rPr>
          <w:rFonts w:ascii="Tahoma" w:hAnsi="Tahoma" w:cs="Tahoma"/>
          <w:spacing w:val="-2"/>
          <w:sz w:val="18"/>
          <w:szCs w:val="18"/>
        </w:rPr>
        <w:t>sensibilización</w:t>
      </w:r>
    </w:p>
    <w:p w14:paraId="17618348" w14:textId="77777777" w:rsidR="003E5960" w:rsidRPr="007F6D54" w:rsidRDefault="003E5960" w:rsidP="003E5960">
      <w:pPr>
        <w:pStyle w:val="Prrafodelista"/>
        <w:numPr>
          <w:ilvl w:val="1"/>
          <w:numId w:val="100"/>
        </w:numPr>
        <w:tabs>
          <w:tab w:val="left" w:leader="dot" w:pos="8597"/>
        </w:tabs>
        <w:rPr>
          <w:rFonts w:ascii="Tahoma" w:hAnsi="Tahoma" w:cs="Tahoma"/>
          <w:sz w:val="18"/>
          <w:szCs w:val="18"/>
        </w:rPr>
      </w:pPr>
      <w:r w:rsidRPr="007F6D54">
        <w:rPr>
          <w:rFonts w:ascii="Tahoma" w:hAnsi="Tahoma" w:cs="Tahoma"/>
          <w:sz w:val="18"/>
          <w:szCs w:val="18"/>
        </w:rPr>
        <w:t>Capacitación</w:t>
      </w:r>
      <w:r w:rsidRPr="007F6D54">
        <w:rPr>
          <w:rFonts w:ascii="Tahoma" w:hAnsi="Tahoma" w:cs="Tahoma"/>
          <w:spacing w:val="-5"/>
          <w:sz w:val="18"/>
          <w:szCs w:val="18"/>
        </w:rPr>
        <w:t xml:space="preserve"> </w:t>
      </w:r>
      <w:r w:rsidRPr="007F6D54">
        <w:rPr>
          <w:rFonts w:ascii="Tahoma" w:hAnsi="Tahoma" w:cs="Tahoma"/>
          <w:spacing w:val="-10"/>
          <w:sz w:val="18"/>
          <w:szCs w:val="18"/>
        </w:rPr>
        <w:t xml:space="preserve">y </w:t>
      </w:r>
      <w:r w:rsidRPr="007F6D54">
        <w:rPr>
          <w:rFonts w:ascii="Tahoma" w:hAnsi="Tahoma" w:cs="Tahoma"/>
          <w:spacing w:val="-2"/>
          <w:sz w:val="18"/>
          <w:szCs w:val="18"/>
        </w:rPr>
        <w:t>sensibilización</w:t>
      </w:r>
    </w:p>
    <w:p w14:paraId="12F613BC" w14:textId="77777777" w:rsidR="003E5960" w:rsidRPr="007F6D54" w:rsidRDefault="003E5960" w:rsidP="003E5960">
      <w:pPr>
        <w:pStyle w:val="Prrafodelista"/>
        <w:numPr>
          <w:ilvl w:val="1"/>
          <w:numId w:val="100"/>
        </w:numPr>
        <w:tabs>
          <w:tab w:val="left" w:leader="dot" w:pos="8597"/>
        </w:tabs>
        <w:rPr>
          <w:rFonts w:ascii="Tahoma" w:hAnsi="Tahoma" w:cs="Tahoma"/>
          <w:sz w:val="18"/>
          <w:szCs w:val="18"/>
        </w:rPr>
      </w:pPr>
      <w:r w:rsidRPr="007F6D54">
        <w:rPr>
          <w:rFonts w:ascii="Tahoma" w:hAnsi="Tahoma" w:cs="Tahoma"/>
          <w:sz w:val="18"/>
          <w:szCs w:val="18"/>
        </w:rPr>
        <w:t>Cumplimiento</w:t>
      </w:r>
      <w:r w:rsidRPr="007F6D54">
        <w:rPr>
          <w:rFonts w:ascii="Tahoma" w:hAnsi="Tahoma" w:cs="Tahoma"/>
          <w:spacing w:val="-5"/>
          <w:sz w:val="18"/>
          <w:szCs w:val="18"/>
        </w:rPr>
        <w:t xml:space="preserve"> </w:t>
      </w:r>
      <w:r w:rsidRPr="007F6D54">
        <w:rPr>
          <w:rFonts w:ascii="Tahoma" w:hAnsi="Tahoma" w:cs="Tahoma"/>
          <w:spacing w:val="-10"/>
          <w:sz w:val="18"/>
          <w:szCs w:val="18"/>
        </w:rPr>
        <w:t xml:space="preserve">e </w:t>
      </w:r>
      <w:r w:rsidRPr="007F6D54">
        <w:rPr>
          <w:rFonts w:ascii="Tahoma" w:hAnsi="Tahoma" w:cs="Tahoma"/>
          <w:spacing w:val="-2"/>
          <w:sz w:val="18"/>
          <w:szCs w:val="18"/>
        </w:rPr>
        <w:t>implementación</w:t>
      </w:r>
    </w:p>
    <w:p w14:paraId="055FDE14" w14:textId="50093E30" w:rsidR="003E5960" w:rsidRPr="007F6D54" w:rsidRDefault="003E5960" w:rsidP="003E5960">
      <w:pPr>
        <w:pStyle w:val="Prrafodelista"/>
        <w:numPr>
          <w:ilvl w:val="0"/>
          <w:numId w:val="100"/>
        </w:numPr>
        <w:tabs>
          <w:tab w:val="left" w:pos="1318"/>
          <w:tab w:val="right" w:leader="dot" w:pos="8337"/>
        </w:tabs>
        <w:ind w:left="1318" w:hanging="204"/>
        <w:rPr>
          <w:rFonts w:ascii="Tahoma" w:hAnsi="Tahoma" w:cs="Tahoma"/>
          <w:sz w:val="18"/>
          <w:szCs w:val="18"/>
        </w:rPr>
      </w:pPr>
      <w:hyperlink w:anchor="promover" w:history="1">
        <w:r w:rsidRPr="0031332D">
          <w:rPr>
            <w:rStyle w:val="Hipervnculo"/>
            <w:rFonts w:ascii="Tahoma" w:hAnsi="Tahoma" w:cs="Tahoma"/>
            <w:sz w:val="18"/>
            <w:szCs w:val="18"/>
          </w:rPr>
          <w:t>CONCLUSIÓN:</w:t>
        </w:r>
        <w:r w:rsidRPr="0031332D">
          <w:rPr>
            <w:rStyle w:val="Hipervnculo"/>
            <w:rFonts w:ascii="Tahoma" w:hAnsi="Tahoma" w:cs="Tahoma"/>
            <w:spacing w:val="-7"/>
            <w:sz w:val="18"/>
            <w:szCs w:val="18"/>
          </w:rPr>
          <w:t xml:space="preserve"> </w:t>
        </w:r>
        <w:r w:rsidRPr="0031332D">
          <w:rPr>
            <w:rStyle w:val="Hipervnculo"/>
            <w:rFonts w:ascii="Tahoma" w:hAnsi="Tahoma" w:cs="Tahoma"/>
            <w:sz w:val="18"/>
            <w:szCs w:val="18"/>
          </w:rPr>
          <w:t>PROMOVER</w:t>
        </w:r>
        <w:r w:rsidRPr="0031332D">
          <w:rPr>
            <w:rStyle w:val="Hipervnculo"/>
            <w:rFonts w:ascii="Tahoma" w:hAnsi="Tahoma" w:cs="Tahoma"/>
            <w:spacing w:val="-5"/>
            <w:sz w:val="18"/>
            <w:szCs w:val="18"/>
          </w:rPr>
          <w:t xml:space="preserve"> </w:t>
        </w:r>
        <w:r w:rsidRPr="0031332D">
          <w:rPr>
            <w:rStyle w:val="Hipervnculo"/>
            <w:rFonts w:ascii="Tahoma" w:hAnsi="Tahoma" w:cs="Tahoma"/>
            <w:sz w:val="18"/>
            <w:szCs w:val="18"/>
          </w:rPr>
          <w:t>LA</w:t>
        </w:r>
        <w:r w:rsidRPr="0031332D">
          <w:rPr>
            <w:rStyle w:val="Hipervnculo"/>
            <w:rFonts w:ascii="Tahoma" w:hAnsi="Tahoma" w:cs="Tahoma"/>
            <w:spacing w:val="-6"/>
            <w:sz w:val="18"/>
            <w:szCs w:val="18"/>
          </w:rPr>
          <w:t xml:space="preserve"> </w:t>
        </w:r>
        <w:r w:rsidRPr="0031332D">
          <w:rPr>
            <w:rStyle w:val="Hipervnculo"/>
            <w:rFonts w:ascii="Tahoma" w:hAnsi="Tahoma" w:cs="Tahoma"/>
            <w:sz w:val="18"/>
            <w:szCs w:val="18"/>
          </w:rPr>
          <w:t>IGUALDAD</w:t>
        </w:r>
        <w:r w:rsidRPr="0031332D">
          <w:rPr>
            <w:rStyle w:val="Hipervnculo"/>
            <w:rFonts w:ascii="Tahoma" w:hAnsi="Tahoma" w:cs="Tahoma"/>
            <w:spacing w:val="-5"/>
            <w:sz w:val="18"/>
            <w:szCs w:val="18"/>
          </w:rPr>
          <w:t xml:space="preserve"> </w:t>
        </w:r>
        <w:r w:rsidRPr="0031332D">
          <w:rPr>
            <w:rStyle w:val="Hipervnculo"/>
            <w:rFonts w:ascii="Tahoma" w:hAnsi="Tahoma" w:cs="Tahoma"/>
            <w:sz w:val="18"/>
            <w:szCs w:val="18"/>
          </w:rPr>
          <w:t>Y</w:t>
        </w:r>
        <w:r w:rsidRPr="0031332D">
          <w:rPr>
            <w:rStyle w:val="Hipervnculo"/>
            <w:rFonts w:ascii="Tahoma" w:hAnsi="Tahoma" w:cs="Tahoma"/>
            <w:spacing w:val="-5"/>
            <w:sz w:val="18"/>
            <w:szCs w:val="18"/>
          </w:rPr>
          <w:t xml:space="preserve"> </w:t>
        </w:r>
        <w:r w:rsidRPr="0031332D">
          <w:rPr>
            <w:rStyle w:val="Hipervnculo"/>
            <w:rFonts w:ascii="Tahoma" w:hAnsi="Tahoma" w:cs="Tahoma"/>
            <w:sz w:val="18"/>
            <w:szCs w:val="18"/>
          </w:rPr>
          <w:t>LA</w:t>
        </w:r>
        <w:r w:rsidRPr="0031332D">
          <w:rPr>
            <w:rStyle w:val="Hipervnculo"/>
            <w:rFonts w:ascii="Tahoma" w:hAnsi="Tahoma" w:cs="Tahoma"/>
            <w:spacing w:val="-5"/>
            <w:sz w:val="18"/>
            <w:szCs w:val="18"/>
          </w:rPr>
          <w:t xml:space="preserve"> </w:t>
        </w:r>
        <w:r w:rsidRPr="0031332D">
          <w:rPr>
            <w:rStyle w:val="Hipervnculo"/>
            <w:rFonts w:ascii="Tahoma" w:hAnsi="Tahoma" w:cs="Tahoma"/>
            <w:spacing w:val="-2"/>
            <w:sz w:val="18"/>
            <w:szCs w:val="18"/>
          </w:rPr>
          <w:t>DIVERSIDAD</w:t>
        </w:r>
      </w:hyperlink>
    </w:p>
    <w:p w14:paraId="512FEEF3" w14:textId="77777777" w:rsidR="0014798C" w:rsidRDefault="0014798C">
      <w:pPr>
        <w:pStyle w:val="Textoindependiente"/>
        <w:rPr>
          <w:sz w:val="18"/>
        </w:rPr>
      </w:pPr>
    </w:p>
    <w:p w14:paraId="36EEC80E" w14:textId="77777777" w:rsidR="0014798C" w:rsidRDefault="0014798C">
      <w:pPr>
        <w:pStyle w:val="Textoindependiente"/>
        <w:rPr>
          <w:sz w:val="18"/>
        </w:rPr>
      </w:pPr>
    </w:p>
    <w:p w14:paraId="017D8A85" w14:textId="77777777" w:rsidR="0014798C" w:rsidRDefault="0014798C">
      <w:pPr>
        <w:pStyle w:val="Textoindependiente"/>
        <w:rPr>
          <w:sz w:val="18"/>
        </w:rPr>
      </w:pPr>
    </w:p>
    <w:p w14:paraId="4837C417" w14:textId="77777777" w:rsidR="0014798C" w:rsidRDefault="0014798C">
      <w:pPr>
        <w:pStyle w:val="Textoindependiente"/>
        <w:rPr>
          <w:sz w:val="18"/>
        </w:rPr>
      </w:pPr>
    </w:p>
    <w:p w14:paraId="1E6A93E7" w14:textId="77777777" w:rsidR="0014798C" w:rsidRDefault="0014798C">
      <w:pPr>
        <w:pStyle w:val="Textoindependiente"/>
        <w:rPr>
          <w:sz w:val="18"/>
        </w:rPr>
      </w:pPr>
    </w:p>
    <w:p w14:paraId="79B8D949" w14:textId="77777777" w:rsidR="0014798C" w:rsidRDefault="0014798C">
      <w:pPr>
        <w:pStyle w:val="Textoindependiente"/>
        <w:rPr>
          <w:sz w:val="18"/>
        </w:rPr>
      </w:pPr>
    </w:p>
    <w:p w14:paraId="4374B397" w14:textId="77777777" w:rsidR="0014798C" w:rsidRDefault="0014798C">
      <w:pPr>
        <w:pStyle w:val="Textoindependiente"/>
        <w:rPr>
          <w:sz w:val="18"/>
        </w:rPr>
      </w:pPr>
    </w:p>
    <w:p w14:paraId="6F1A7B40" w14:textId="77777777" w:rsidR="0014798C" w:rsidRDefault="0014798C">
      <w:pPr>
        <w:pStyle w:val="Textoindependiente"/>
        <w:rPr>
          <w:sz w:val="18"/>
        </w:rPr>
      </w:pPr>
    </w:p>
    <w:p w14:paraId="65F72675" w14:textId="77777777" w:rsidR="0014798C" w:rsidRDefault="0014798C">
      <w:pPr>
        <w:pStyle w:val="Textoindependiente"/>
        <w:rPr>
          <w:sz w:val="18"/>
        </w:rPr>
      </w:pPr>
    </w:p>
    <w:p w14:paraId="558B3909" w14:textId="77777777" w:rsidR="0014798C" w:rsidRDefault="0014798C">
      <w:pPr>
        <w:pStyle w:val="Textoindependiente"/>
        <w:rPr>
          <w:sz w:val="18"/>
        </w:rPr>
      </w:pPr>
    </w:p>
    <w:p w14:paraId="5917E2A3" w14:textId="77777777" w:rsidR="0014798C" w:rsidRDefault="0014798C">
      <w:pPr>
        <w:pStyle w:val="Textoindependiente"/>
        <w:rPr>
          <w:sz w:val="18"/>
        </w:rPr>
      </w:pPr>
    </w:p>
    <w:p w14:paraId="045E754A" w14:textId="77777777" w:rsidR="0014798C" w:rsidRDefault="0014798C">
      <w:pPr>
        <w:pStyle w:val="Textoindependiente"/>
        <w:rPr>
          <w:sz w:val="18"/>
        </w:rPr>
      </w:pPr>
    </w:p>
    <w:p w14:paraId="36C644D7" w14:textId="77777777" w:rsidR="0014798C" w:rsidRDefault="0014798C">
      <w:pPr>
        <w:pStyle w:val="Textoindependiente"/>
        <w:rPr>
          <w:sz w:val="18"/>
        </w:rPr>
      </w:pPr>
    </w:p>
    <w:p w14:paraId="6F4BC558" w14:textId="77777777" w:rsidR="0014798C" w:rsidRDefault="0014798C">
      <w:pPr>
        <w:pStyle w:val="Textoindependiente"/>
        <w:rPr>
          <w:sz w:val="18"/>
        </w:rPr>
      </w:pPr>
    </w:p>
    <w:p w14:paraId="48DEA79F" w14:textId="77777777" w:rsidR="0014798C" w:rsidRDefault="0014798C">
      <w:pPr>
        <w:pStyle w:val="Textoindependiente"/>
        <w:rPr>
          <w:sz w:val="18"/>
        </w:rPr>
      </w:pPr>
    </w:p>
    <w:p w14:paraId="20D152E9" w14:textId="77777777" w:rsidR="0014798C" w:rsidRDefault="0014798C">
      <w:pPr>
        <w:pStyle w:val="Textoindependiente"/>
        <w:rPr>
          <w:sz w:val="18"/>
        </w:rPr>
      </w:pPr>
    </w:p>
    <w:p w14:paraId="19666773" w14:textId="77777777" w:rsidR="0014798C" w:rsidRDefault="0014798C">
      <w:pPr>
        <w:pStyle w:val="Textoindependiente"/>
        <w:rPr>
          <w:sz w:val="18"/>
        </w:rPr>
      </w:pPr>
    </w:p>
    <w:p w14:paraId="089B601A" w14:textId="77777777" w:rsidR="0014798C" w:rsidRDefault="0014798C">
      <w:pPr>
        <w:pStyle w:val="Textoindependiente"/>
        <w:rPr>
          <w:sz w:val="18"/>
        </w:rPr>
      </w:pPr>
    </w:p>
    <w:p w14:paraId="4B976584" w14:textId="77777777" w:rsidR="0014798C" w:rsidRPr="00B16F84" w:rsidRDefault="0014798C">
      <w:pPr>
        <w:rPr>
          <w:sz w:val="18"/>
          <w:lang w:val="es-CR"/>
        </w:rPr>
        <w:sectPr w:rsidR="0014798C" w:rsidRPr="00B16F84" w:rsidSect="00F265E4">
          <w:headerReference w:type="default" r:id="rId17"/>
          <w:pgSz w:w="11900" w:h="16820"/>
          <w:pgMar w:top="340" w:right="0" w:bottom="280" w:left="200" w:header="121" w:footer="0" w:gutter="0"/>
          <w:cols w:space="720"/>
        </w:sectPr>
      </w:pPr>
    </w:p>
    <w:p w14:paraId="4AD64AD6" w14:textId="77777777" w:rsidR="0014798C" w:rsidRPr="00B16F84" w:rsidRDefault="0014798C">
      <w:pPr>
        <w:pStyle w:val="Textoindependiente"/>
        <w:rPr>
          <w:sz w:val="49"/>
          <w:lang w:val="es-CR"/>
        </w:rPr>
      </w:pPr>
    </w:p>
    <w:p w14:paraId="1A01D71A" w14:textId="77777777" w:rsidR="0014798C" w:rsidRPr="00B16F84" w:rsidRDefault="0014798C">
      <w:pPr>
        <w:pStyle w:val="Textoindependiente"/>
        <w:spacing w:before="139"/>
        <w:rPr>
          <w:sz w:val="49"/>
          <w:lang w:val="es-CR"/>
        </w:rPr>
      </w:pPr>
    </w:p>
    <w:p w14:paraId="53A5AE60" w14:textId="77777777" w:rsidR="0014798C" w:rsidRPr="001E2420" w:rsidRDefault="004E1F0B">
      <w:pPr>
        <w:pStyle w:val="Ttulo1"/>
        <w:ind w:left="1132"/>
        <w:rPr>
          <w:rFonts w:ascii="Tahoma" w:hAnsi="Tahoma" w:cs="Tahoma"/>
          <w:lang w:val="es-CR"/>
        </w:rPr>
      </w:pPr>
      <w:r w:rsidRPr="001E2420">
        <w:rPr>
          <w:rFonts w:ascii="Tahoma" w:hAnsi="Tahoma" w:cs="Tahoma"/>
          <w:spacing w:val="-2"/>
          <w:lang w:val="es-CR"/>
        </w:rPr>
        <w:t>PREFACIO</w:t>
      </w:r>
    </w:p>
    <w:p w14:paraId="161F7FFB" w14:textId="77777777" w:rsidR="0014798C" w:rsidRPr="00B16F84" w:rsidRDefault="0014798C">
      <w:pPr>
        <w:pStyle w:val="Textoindependiente"/>
        <w:spacing w:before="61"/>
        <w:rPr>
          <w:sz w:val="17"/>
          <w:lang w:val="es-CR"/>
        </w:rPr>
      </w:pPr>
    </w:p>
    <w:p w14:paraId="517D7143" w14:textId="77777777" w:rsidR="0014798C" w:rsidRDefault="004E1F0B">
      <w:pPr>
        <w:spacing w:line="307" w:lineRule="auto"/>
        <w:ind w:left="1107" w:right="1272" w:firstLine="5"/>
        <w:rPr>
          <w:sz w:val="17"/>
        </w:rPr>
      </w:pPr>
      <w:r>
        <w:rPr>
          <w:sz w:val="17"/>
        </w:rPr>
        <w:t>Desde la década de 1990, han aumentado los llamados a la adopción de leyes integrales contra la discriminación. Las personas expuestas a la discriminación se han unido para abogar por la promulgación de leyes de igualdad integrales y efectivas. En</w:t>
      </w:r>
      <w:r>
        <w:rPr>
          <w:spacing w:val="-1"/>
          <w:sz w:val="17"/>
        </w:rPr>
        <w:t xml:space="preserve"> </w:t>
      </w:r>
      <w:r>
        <w:rPr>
          <w:sz w:val="17"/>
        </w:rPr>
        <w:t>algunos</w:t>
      </w:r>
      <w:r>
        <w:rPr>
          <w:spacing w:val="-1"/>
          <w:sz w:val="17"/>
        </w:rPr>
        <w:t xml:space="preserve"> </w:t>
      </w:r>
      <w:r>
        <w:rPr>
          <w:sz w:val="17"/>
        </w:rPr>
        <w:t>países,</w:t>
      </w:r>
      <w:r>
        <w:rPr>
          <w:spacing w:val="-1"/>
          <w:sz w:val="17"/>
        </w:rPr>
        <w:t xml:space="preserve"> </w:t>
      </w:r>
      <w:r>
        <w:rPr>
          <w:sz w:val="17"/>
        </w:rPr>
        <w:t>estos</w:t>
      </w:r>
      <w:r>
        <w:rPr>
          <w:spacing w:val="-1"/>
          <w:sz w:val="17"/>
        </w:rPr>
        <w:t xml:space="preserve"> </w:t>
      </w:r>
      <w:r>
        <w:rPr>
          <w:sz w:val="17"/>
        </w:rPr>
        <w:t>movimientos</w:t>
      </w:r>
      <w:r>
        <w:rPr>
          <w:spacing w:val="-2"/>
          <w:sz w:val="17"/>
        </w:rPr>
        <w:t xml:space="preserve"> </w:t>
      </w:r>
      <w:r>
        <w:rPr>
          <w:sz w:val="17"/>
        </w:rPr>
        <w:t>han</w:t>
      </w:r>
      <w:r>
        <w:rPr>
          <w:spacing w:val="-1"/>
          <w:sz w:val="17"/>
        </w:rPr>
        <w:t xml:space="preserve"> </w:t>
      </w:r>
      <w:r>
        <w:rPr>
          <w:sz w:val="17"/>
        </w:rPr>
        <w:t>tenido</w:t>
      </w:r>
      <w:r>
        <w:rPr>
          <w:spacing w:val="-1"/>
          <w:sz w:val="17"/>
        </w:rPr>
        <w:t xml:space="preserve"> </w:t>
      </w:r>
      <w:r>
        <w:rPr>
          <w:sz w:val="17"/>
        </w:rPr>
        <w:t>éxito;</w:t>
      </w:r>
      <w:r>
        <w:rPr>
          <w:spacing w:val="-1"/>
          <w:sz w:val="17"/>
        </w:rPr>
        <w:t xml:space="preserve"> </w:t>
      </w:r>
      <w:r>
        <w:rPr>
          <w:sz w:val="17"/>
        </w:rPr>
        <w:t>en</w:t>
      </w:r>
      <w:r>
        <w:rPr>
          <w:spacing w:val="-1"/>
          <w:sz w:val="17"/>
        </w:rPr>
        <w:t xml:space="preserve"> </w:t>
      </w:r>
      <w:r>
        <w:rPr>
          <w:sz w:val="17"/>
        </w:rPr>
        <w:t>otros,</w:t>
      </w:r>
      <w:r>
        <w:rPr>
          <w:spacing w:val="-1"/>
          <w:sz w:val="17"/>
        </w:rPr>
        <w:t xml:space="preserve"> </w:t>
      </w:r>
      <w:r>
        <w:rPr>
          <w:sz w:val="17"/>
        </w:rPr>
        <w:t>la</w:t>
      </w:r>
      <w:r>
        <w:rPr>
          <w:spacing w:val="-1"/>
          <w:sz w:val="17"/>
        </w:rPr>
        <w:t xml:space="preserve"> </w:t>
      </w:r>
      <w:r>
        <w:rPr>
          <w:sz w:val="17"/>
        </w:rPr>
        <w:t>lucha</w:t>
      </w:r>
      <w:r>
        <w:rPr>
          <w:spacing w:val="-1"/>
          <w:sz w:val="17"/>
        </w:rPr>
        <w:t xml:space="preserve"> </w:t>
      </w:r>
      <w:r>
        <w:rPr>
          <w:sz w:val="17"/>
        </w:rPr>
        <w:t>continúa. Los</w:t>
      </w:r>
      <w:r>
        <w:rPr>
          <w:spacing w:val="-1"/>
          <w:sz w:val="17"/>
        </w:rPr>
        <w:t xml:space="preserve"> </w:t>
      </w:r>
      <w:r>
        <w:rPr>
          <w:sz w:val="17"/>
        </w:rPr>
        <w:t>expertos</w:t>
      </w:r>
      <w:r>
        <w:rPr>
          <w:spacing w:val="-1"/>
          <w:sz w:val="17"/>
        </w:rPr>
        <w:t xml:space="preserve"> </w:t>
      </w:r>
      <w:r>
        <w:rPr>
          <w:sz w:val="17"/>
        </w:rPr>
        <w:t>en</w:t>
      </w:r>
      <w:r>
        <w:rPr>
          <w:spacing w:val="-1"/>
          <w:sz w:val="17"/>
        </w:rPr>
        <w:t xml:space="preserve"> </w:t>
      </w:r>
      <w:r>
        <w:rPr>
          <w:sz w:val="17"/>
        </w:rPr>
        <w:t>derechos humanos de las Naciones Unidas se han hecho eco y amplificado estos llamamientos. En el examen periódico universal, Estados de todas partes del mundo han recomendado repetidamente a sus pares la adopción de estas leyes.</w:t>
      </w:r>
    </w:p>
    <w:p w14:paraId="546EF034" w14:textId="77777777" w:rsidR="0014798C" w:rsidRDefault="004E1F0B">
      <w:pPr>
        <w:pStyle w:val="Textoindependiente"/>
        <w:spacing w:before="174" w:line="326" w:lineRule="auto"/>
        <w:ind w:left="1107" w:right="1417" w:hanging="1"/>
        <w:jc w:val="both"/>
      </w:pPr>
      <w:r>
        <w:t>Estos movimientos reformistas –ya sean encabezados por la sociedad civil o por los gobiernos– demuestran el reconocimiento</w:t>
      </w:r>
      <w:r>
        <w:rPr>
          <w:spacing w:val="40"/>
        </w:rPr>
        <w:t xml:space="preserve"> </w:t>
      </w:r>
      <w:r>
        <w:t>de que no puede haber igualdad donde hay discriminación y que no podemos eliminar la discriminación sin la promulgación, el cumplimiento y la aplicación de leyes integrales y efectivas.</w:t>
      </w:r>
    </w:p>
    <w:p w14:paraId="3F01E510" w14:textId="77777777" w:rsidR="0014798C" w:rsidRDefault="004E1F0B">
      <w:pPr>
        <w:pStyle w:val="Textoindependiente"/>
        <w:spacing w:before="169" w:line="326" w:lineRule="auto"/>
        <w:ind w:left="1107" w:right="1272" w:firstLine="7"/>
      </w:pPr>
      <w:r>
        <w:t>Las leyes integrales contra la discriminación traducen los compromisos legales internacionales con la igualdad en derechos procesables y exigibles según la legislación nacional. Proporcionan el marco jurídico nacional necesario para definir las diversas formas de discriminación; establecer el alcance personal y material de los derechos a la igualdad y no discriminación; proporcionar orientación sobre remedios efectivos; y establecer las garantías procesales necesarias para garantizar la justicia para las víctimas. También establecen en la ley deberes positivos para eliminar la discriminación, combatir los prejuicios, los estereotipos y el estigma, y promover la igualdad.</w:t>
      </w:r>
    </w:p>
    <w:p w14:paraId="46BD7F6A" w14:textId="77777777" w:rsidR="0014798C" w:rsidRDefault="004E1F0B">
      <w:pPr>
        <w:pStyle w:val="Textoindependiente"/>
        <w:spacing w:before="167" w:line="326" w:lineRule="auto"/>
        <w:ind w:left="1107" w:right="1272" w:hanging="1"/>
      </w:pPr>
      <w:r>
        <w:t>La ley cumple muchas funciones, más allá de simplemente establecer las reglas y especificar qué sucede cuando se transgreden los derechos. La ley también expresa nuestros valores; articula nuestras normas y expectativas. Un marco legal propicio moldea nuestro mundo para mejor. Por el contrario, las malas leyes, o las que dejan lagunas en la protección, pueden moldear las sociedades para el mal.</w:t>
      </w:r>
    </w:p>
    <w:p w14:paraId="6ECDCEDC" w14:textId="77777777" w:rsidR="0014798C" w:rsidRDefault="004E1F0B">
      <w:pPr>
        <w:pStyle w:val="Textoindependiente"/>
        <w:spacing w:before="168" w:line="326" w:lineRule="auto"/>
        <w:ind w:left="1108" w:right="1463" w:firstLine="6"/>
      </w:pPr>
      <w:r>
        <w:t>Las leyes integrales contra la discriminación tienen el potencial de ser transformadoras. En el nivel más simple, estas leyes pueden fomentar cambios positivos al aumentar la comprensión de la discriminación, estimular acciones para prevenirla y, en última instancia, fomentar el compromiso de eliminarla. Quienes están expuestos a la discriminación obtienen las herramientas para cuestionar el trato que han sufrido y obtener reparación por los daños que han sufrido.</w:t>
      </w:r>
    </w:p>
    <w:p w14:paraId="6885C774" w14:textId="77777777" w:rsidR="0014798C" w:rsidRDefault="004E1F0B">
      <w:pPr>
        <w:pStyle w:val="Textoindependiente"/>
        <w:spacing w:line="326" w:lineRule="auto"/>
        <w:ind w:left="1107" w:right="1463" w:firstLine="2"/>
      </w:pPr>
      <w:r>
        <w:t>Los titulares de deberes deben rendir cuentas y responder estableciendo procedimientos para prevenir actos, políticas y prácticas discriminatorias. Con el tiempo, estos cambios tienen el potencial de aumentar la representación y visibilidad de los</w:t>
      </w:r>
    </w:p>
    <w:p w14:paraId="6F419EF4" w14:textId="77777777" w:rsidR="0014798C" w:rsidRDefault="004E1F0B">
      <w:pPr>
        <w:pStyle w:val="Textoindependiente"/>
        <w:spacing w:line="183" w:lineRule="exact"/>
        <w:ind w:left="1111"/>
      </w:pPr>
      <w:r>
        <w:t>grupos</w:t>
      </w:r>
      <w:r>
        <w:rPr>
          <w:spacing w:val="6"/>
        </w:rPr>
        <w:t xml:space="preserve"> </w:t>
      </w:r>
      <w:r>
        <w:t>marginados</w:t>
      </w:r>
      <w:r>
        <w:rPr>
          <w:spacing w:val="6"/>
        </w:rPr>
        <w:t xml:space="preserve"> </w:t>
      </w:r>
      <w:r>
        <w:t>y,</w:t>
      </w:r>
      <w:r>
        <w:rPr>
          <w:spacing w:val="6"/>
        </w:rPr>
        <w:t xml:space="preserve"> </w:t>
      </w:r>
      <w:r>
        <w:t>por</w:t>
      </w:r>
      <w:r>
        <w:rPr>
          <w:spacing w:val="6"/>
        </w:rPr>
        <w:t xml:space="preserve"> </w:t>
      </w:r>
      <w:r>
        <w:t>lo</w:t>
      </w:r>
      <w:r>
        <w:rPr>
          <w:spacing w:val="6"/>
        </w:rPr>
        <w:t xml:space="preserve"> </w:t>
      </w:r>
      <w:r>
        <w:t>tanto,</w:t>
      </w:r>
      <w:r>
        <w:rPr>
          <w:spacing w:val="8"/>
        </w:rPr>
        <w:t xml:space="preserve"> </w:t>
      </w:r>
      <w:r>
        <w:t>contribuir</w:t>
      </w:r>
      <w:r>
        <w:rPr>
          <w:spacing w:val="6"/>
        </w:rPr>
        <w:t xml:space="preserve"> </w:t>
      </w:r>
      <w:r>
        <w:t>a</w:t>
      </w:r>
      <w:r>
        <w:rPr>
          <w:spacing w:val="6"/>
        </w:rPr>
        <w:t xml:space="preserve"> </w:t>
      </w:r>
      <w:r>
        <w:t>cambios</w:t>
      </w:r>
      <w:r>
        <w:rPr>
          <w:spacing w:val="6"/>
        </w:rPr>
        <w:t xml:space="preserve"> </w:t>
      </w:r>
      <w:r>
        <w:t>de</w:t>
      </w:r>
      <w:r>
        <w:rPr>
          <w:spacing w:val="7"/>
        </w:rPr>
        <w:t xml:space="preserve"> </w:t>
      </w:r>
      <w:r>
        <w:t>comportamiento</w:t>
      </w:r>
      <w:r>
        <w:rPr>
          <w:spacing w:val="6"/>
        </w:rPr>
        <w:t xml:space="preserve"> </w:t>
      </w:r>
      <w:r>
        <w:t>y,</w:t>
      </w:r>
      <w:r>
        <w:rPr>
          <w:spacing w:val="6"/>
        </w:rPr>
        <w:t xml:space="preserve"> </w:t>
      </w:r>
      <w:r>
        <w:t>en</w:t>
      </w:r>
      <w:r>
        <w:rPr>
          <w:spacing w:val="6"/>
        </w:rPr>
        <w:t xml:space="preserve"> </w:t>
      </w:r>
      <w:r>
        <w:t>última</w:t>
      </w:r>
      <w:r>
        <w:rPr>
          <w:spacing w:val="6"/>
        </w:rPr>
        <w:t xml:space="preserve"> </w:t>
      </w:r>
      <w:r>
        <w:t>instancia,</w:t>
      </w:r>
      <w:r>
        <w:rPr>
          <w:spacing w:val="8"/>
        </w:rPr>
        <w:t xml:space="preserve"> </w:t>
      </w:r>
      <w:r>
        <w:t>cambios</w:t>
      </w:r>
      <w:r>
        <w:rPr>
          <w:spacing w:val="6"/>
        </w:rPr>
        <w:t xml:space="preserve"> </w:t>
      </w:r>
      <w:r>
        <w:t>en</w:t>
      </w:r>
      <w:r>
        <w:rPr>
          <w:spacing w:val="6"/>
        </w:rPr>
        <w:t xml:space="preserve"> </w:t>
      </w:r>
      <w:r>
        <w:t>las</w:t>
      </w:r>
      <w:r>
        <w:rPr>
          <w:spacing w:val="6"/>
        </w:rPr>
        <w:t xml:space="preserve"> </w:t>
      </w:r>
      <w:r>
        <w:t>normas</w:t>
      </w:r>
      <w:r>
        <w:rPr>
          <w:spacing w:val="6"/>
        </w:rPr>
        <w:t xml:space="preserve"> </w:t>
      </w:r>
      <w:r>
        <w:rPr>
          <w:spacing w:val="-2"/>
        </w:rPr>
        <w:t>sociales.</w:t>
      </w:r>
    </w:p>
    <w:p w14:paraId="437BF379" w14:textId="77777777" w:rsidR="0014798C" w:rsidRDefault="0014798C">
      <w:pPr>
        <w:pStyle w:val="Textoindependiente"/>
        <w:spacing w:before="49"/>
      </w:pPr>
    </w:p>
    <w:p w14:paraId="0538341D" w14:textId="77777777" w:rsidR="0014798C" w:rsidRDefault="004E1F0B">
      <w:pPr>
        <w:pStyle w:val="Textoindependiente"/>
        <w:spacing w:before="1" w:line="326" w:lineRule="auto"/>
        <w:ind w:left="1105" w:right="1272" w:firstLine="8"/>
      </w:pPr>
      <w:r>
        <w:t>Las leyes integrales contra la discriminación también exigen y proporcionan un marco para medidas positivas para fomentar la igualdad. De conformidad con estas leyes, actores públicos y privados de todo el mundo han adoptado una amplia gama de medidas</w:t>
      </w:r>
      <w:r>
        <w:rPr>
          <w:spacing w:val="16"/>
        </w:rPr>
        <w:t xml:space="preserve"> </w:t>
      </w:r>
      <w:r>
        <w:t>positivas.</w:t>
      </w:r>
      <w:r>
        <w:rPr>
          <w:spacing w:val="17"/>
        </w:rPr>
        <w:t xml:space="preserve"> </w:t>
      </w:r>
      <w:r>
        <w:t>Las</w:t>
      </w:r>
      <w:r>
        <w:rPr>
          <w:spacing w:val="16"/>
        </w:rPr>
        <w:t xml:space="preserve"> </w:t>
      </w:r>
      <w:r>
        <w:t>autoridades</w:t>
      </w:r>
      <w:r>
        <w:rPr>
          <w:spacing w:val="16"/>
        </w:rPr>
        <w:t xml:space="preserve"> </w:t>
      </w:r>
      <w:r>
        <w:t>han</w:t>
      </w:r>
      <w:r>
        <w:rPr>
          <w:spacing w:val="16"/>
        </w:rPr>
        <w:t xml:space="preserve"> </w:t>
      </w:r>
      <w:r>
        <w:t>trabajado</w:t>
      </w:r>
      <w:r>
        <w:rPr>
          <w:spacing w:val="16"/>
        </w:rPr>
        <w:t xml:space="preserve"> </w:t>
      </w:r>
      <w:r>
        <w:t>para</w:t>
      </w:r>
      <w:r>
        <w:rPr>
          <w:spacing w:val="16"/>
        </w:rPr>
        <w:t xml:space="preserve"> </w:t>
      </w:r>
      <w:r>
        <w:t>que</w:t>
      </w:r>
      <w:r>
        <w:rPr>
          <w:spacing w:val="16"/>
        </w:rPr>
        <w:t xml:space="preserve"> </w:t>
      </w:r>
      <w:r>
        <w:t>los</w:t>
      </w:r>
      <w:r>
        <w:rPr>
          <w:spacing w:val="16"/>
        </w:rPr>
        <w:t xml:space="preserve"> </w:t>
      </w:r>
      <w:r>
        <w:t>espacios</w:t>
      </w:r>
      <w:r>
        <w:rPr>
          <w:spacing w:val="16"/>
        </w:rPr>
        <w:t xml:space="preserve"> </w:t>
      </w:r>
      <w:r>
        <w:t>comunes</w:t>
      </w:r>
      <w:r>
        <w:rPr>
          <w:spacing w:val="16"/>
        </w:rPr>
        <w:t xml:space="preserve"> </w:t>
      </w:r>
      <w:r>
        <w:t>de</w:t>
      </w:r>
      <w:r>
        <w:rPr>
          <w:spacing w:val="16"/>
        </w:rPr>
        <w:t xml:space="preserve"> </w:t>
      </w:r>
      <w:r>
        <w:t>la</w:t>
      </w:r>
      <w:r>
        <w:rPr>
          <w:spacing w:val="16"/>
        </w:rPr>
        <w:t xml:space="preserve"> </w:t>
      </w:r>
      <w:r>
        <w:t>sociedad</w:t>
      </w:r>
      <w:r>
        <w:rPr>
          <w:spacing w:val="16"/>
        </w:rPr>
        <w:t xml:space="preserve"> </w:t>
      </w:r>
      <w:r>
        <w:t>sean</w:t>
      </w:r>
      <w:r>
        <w:rPr>
          <w:spacing w:val="16"/>
        </w:rPr>
        <w:t xml:space="preserve"> </w:t>
      </w:r>
      <w:r>
        <w:t>accesibles</w:t>
      </w:r>
      <w:r>
        <w:rPr>
          <w:spacing w:val="16"/>
        </w:rPr>
        <w:t xml:space="preserve"> </w:t>
      </w:r>
      <w:r>
        <w:t>a</w:t>
      </w:r>
      <w:r>
        <w:rPr>
          <w:spacing w:val="16"/>
        </w:rPr>
        <w:t xml:space="preserve"> </w:t>
      </w:r>
      <w:r>
        <w:t>personas con discapacidad física, de movilidad o sensorial. Los empleadores han identificado disparidades en su fuerza laboral y han establecido</w:t>
      </w:r>
      <w:r>
        <w:rPr>
          <w:spacing w:val="10"/>
        </w:rPr>
        <w:t xml:space="preserve"> </w:t>
      </w:r>
      <w:r>
        <w:t>programas</w:t>
      </w:r>
      <w:r>
        <w:rPr>
          <w:spacing w:val="10"/>
        </w:rPr>
        <w:t xml:space="preserve"> </w:t>
      </w:r>
      <w:r>
        <w:t>para</w:t>
      </w:r>
      <w:r>
        <w:rPr>
          <w:spacing w:val="10"/>
        </w:rPr>
        <w:t xml:space="preserve"> </w:t>
      </w:r>
      <w:r>
        <w:t>aumentar</w:t>
      </w:r>
      <w:r>
        <w:rPr>
          <w:spacing w:val="10"/>
        </w:rPr>
        <w:t xml:space="preserve"> </w:t>
      </w:r>
      <w:r>
        <w:t>la</w:t>
      </w:r>
      <w:r>
        <w:rPr>
          <w:spacing w:val="10"/>
        </w:rPr>
        <w:t xml:space="preserve"> </w:t>
      </w:r>
      <w:r>
        <w:t>participación</w:t>
      </w:r>
      <w:r>
        <w:rPr>
          <w:spacing w:val="10"/>
        </w:rPr>
        <w:t xml:space="preserve"> </w:t>
      </w:r>
      <w:r>
        <w:t>de</w:t>
      </w:r>
      <w:r>
        <w:rPr>
          <w:spacing w:val="10"/>
        </w:rPr>
        <w:t xml:space="preserve"> </w:t>
      </w:r>
      <w:r>
        <w:t>comunidades</w:t>
      </w:r>
      <w:r>
        <w:rPr>
          <w:spacing w:val="10"/>
        </w:rPr>
        <w:t xml:space="preserve"> </w:t>
      </w:r>
      <w:r>
        <w:t>minoritarias</w:t>
      </w:r>
      <w:r>
        <w:rPr>
          <w:spacing w:val="10"/>
        </w:rPr>
        <w:t xml:space="preserve"> </w:t>
      </w:r>
      <w:r>
        <w:t>nacionales</w:t>
      </w:r>
      <w:r>
        <w:rPr>
          <w:spacing w:val="10"/>
        </w:rPr>
        <w:t xml:space="preserve"> </w:t>
      </w:r>
      <w:r>
        <w:t>o</w:t>
      </w:r>
      <w:r>
        <w:rPr>
          <w:spacing w:val="10"/>
        </w:rPr>
        <w:t xml:space="preserve"> </w:t>
      </w:r>
      <w:r>
        <w:t>étnicas,</w:t>
      </w:r>
      <w:r>
        <w:rPr>
          <w:spacing w:val="12"/>
        </w:rPr>
        <w:t xml:space="preserve"> </w:t>
      </w:r>
      <w:r>
        <w:t>religiosas</w:t>
      </w:r>
      <w:r>
        <w:rPr>
          <w:spacing w:val="10"/>
        </w:rPr>
        <w:t xml:space="preserve"> </w:t>
      </w:r>
      <w:r>
        <w:t>y</w:t>
      </w:r>
      <w:r>
        <w:rPr>
          <w:spacing w:val="10"/>
        </w:rPr>
        <w:t xml:space="preserve"> </w:t>
      </w:r>
      <w:r>
        <w:t>lingüísticas y otros grupos expuestos a la discriminación. Los gobiernos han adoptado programas de educación pública para combatir los prejuicios, los estereotipos y el estigma. Esta lista podría continuar.</w:t>
      </w:r>
    </w:p>
    <w:p w14:paraId="5833F721" w14:textId="77777777" w:rsidR="0014798C" w:rsidRDefault="004E1F0B">
      <w:pPr>
        <w:pStyle w:val="Textoindependiente"/>
        <w:spacing w:before="166" w:line="326" w:lineRule="auto"/>
        <w:ind w:left="1107" w:right="1272" w:firstLine="2"/>
      </w:pPr>
      <w:r>
        <w:t>Los debates sobre el valor para el orden jurídico de leyes integrales contra la discriminación –y sobre la obligación de adoptarlas– plantean una serie de preguntas. Algunas de estas preguntas son técnicas, otras son conceptuales y otras son prácticas. La</w:t>
      </w:r>
    </w:p>
    <w:p w14:paraId="5C9C8879" w14:textId="77777777" w:rsidR="0014798C" w:rsidRDefault="004E1F0B">
      <w:pPr>
        <w:pStyle w:val="Textoindependiente"/>
        <w:spacing w:line="326" w:lineRule="auto"/>
        <w:ind w:left="1107" w:right="1463" w:firstLine="3"/>
      </w:pPr>
      <w:r>
        <w:t>guía es un intento –en colaboración con reconocidos expertos de todo el mundo– de responder a las preguntas más frecuentes planteadas por funcionarios gubernamentales, parlamentarios, miembros de instituciones nacionales de derechos humanos, defensores de los derechos humanos y activistas comunitarios de base sobre la mejor manera de traducir los elementos esenciales de los derechos a la no discriminación y a la igualdad en su legislación nacional.</w:t>
      </w:r>
    </w:p>
    <w:p w14:paraId="7C2C81D7" w14:textId="77777777" w:rsidR="0014798C" w:rsidRDefault="004E1F0B">
      <w:pPr>
        <w:pStyle w:val="Textoindependiente"/>
        <w:spacing w:before="167" w:line="326" w:lineRule="auto"/>
        <w:ind w:left="1110" w:right="1272" w:hanging="5"/>
      </w:pPr>
      <w:r>
        <w:t xml:space="preserve">A menudo se pide a las Naciones Unidas, las instituciones nacionales de derechos humanos y las organizaciones de la sociedad civil, como </w:t>
      </w:r>
      <w:proofErr w:type="spellStart"/>
      <w:r>
        <w:t>Equal</w:t>
      </w:r>
      <w:proofErr w:type="spellEnd"/>
      <w:r>
        <w:t xml:space="preserve"> </w:t>
      </w:r>
      <w:proofErr w:type="spellStart"/>
      <w:r>
        <w:t>Rights</w:t>
      </w:r>
      <w:proofErr w:type="spellEnd"/>
      <w:r>
        <w:t xml:space="preserve"> Trust, que ayuden y asesoren a los gobiernos, legisladores y formuladores de políticas en el proceso</w:t>
      </w:r>
    </w:p>
    <w:p w14:paraId="527E06EC" w14:textId="77777777" w:rsidR="0014798C" w:rsidRDefault="004E1F0B">
      <w:pPr>
        <w:pStyle w:val="Textoindependiente"/>
        <w:spacing w:line="326" w:lineRule="auto"/>
        <w:ind w:left="1107" w:right="1463"/>
      </w:pPr>
      <w:r>
        <w:t>de desarrollo de estas leyes integrales. Hasta la fecha, no ha existido ninguna orientación clara, integral y autorizada para responder a tales solicitudes. La presente guía llena ese vacío. Basado en un análisis exhaustivo del derecho internacional y amplias consultas con expertos de todo el mundo, proporciona una orientación clara e inequívoca sobre las leyes que los</w:t>
      </w:r>
      <w:r>
        <w:rPr>
          <w:spacing w:val="80"/>
        </w:rPr>
        <w:t xml:space="preserve"> </w:t>
      </w:r>
      <w:r>
        <w:t>Estados deben adoptar para cumplir con sus obligaciones de respetar,</w:t>
      </w:r>
      <w:r>
        <w:rPr>
          <w:spacing w:val="8"/>
        </w:rPr>
        <w:t xml:space="preserve"> </w:t>
      </w:r>
      <w:r>
        <w:t>proteger y hacer efectivos los derechos a la igualdad y a</w:t>
      </w:r>
      <w:r>
        <w:rPr>
          <w:spacing w:val="80"/>
        </w:rPr>
        <w:t xml:space="preserve"> </w:t>
      </w:r>
      <w:r>
        <w:t>la no igualdad. discriminación.</w:t>
      </w:r>
    </w:p>
    <w:p w14:paraId="47DC6247" w14:textId="77777777" w:rsidR="0014798C" w:rsidRDefault="0014798C">
      <w:pPr>
        <w:pStyle w:val="Textoindependiente"/>
        <w:rPr>
          <w:sz w:val="15"/>
        </w:rPr>
      </w:pPr>
    </w:p>
    <w:p w14:paraId="6CB30FC3" w14:textId="77777777" w:rsidR="0014798C" w:rsidRDefault="0014798C">
      <w:pPr>
        <w:pStyle w:val="Textoindependiente"/>
        <w:rPr>
          <w:sz w:val="15"/>
        </w:rPr>
      </w:pPr>
    </w:p>
    <w:p w14:paraId="2C70A11B" w14:textId="77777777" w:rsidR="0014798C" w:rsidRDefault="0014798C">
      <w:pPr>
        <w:pStyle w:val="Textoindependiente"/>
        <w:rPr>
          <w:sz w:val="15"/>
        </w:rPr>
      </w:pPr>
    </w:p>
    <w:p w14:paraId="77E1469F" w14:textId="77777777" w:rsidR="0014798C" w:rsidRDefault="0014798C">
      <w:pPr>
        <w:pStyle w:val="Textoindependiente"/>
        <w:rPr>
          <w:sz w:val="15"/>
        </w:rPr>
      </w:pPr>
    </w:p>
    <w:p w14:paraId="185F3C59" w14:textId="77777777" w:rsidR="0014798C" w:rsidRDefault="0014798C">
      <w:pPr>
        <w:pStyle w:val="Textoindependiente"/>
        <w:rPr>
          <w:sz w:val="15"/>
        </w:rPr>
      </w:pPr>
    </w:p>
    <w:p w14:paraId="189ADC1B" w14:textId="77777777" w:rsidR="0014798C" w:rsidRDefault="0014798C">
      <w:pPr>
        <w:pStyle w:val="Textoindependiente"/>
        <w:rPr>
          <w:sz w:val="15"/>
        </w:rPr>
      </w:pPr>
    </w:p>
    <w:p w14:paraId="07FAAD03" w14:textId="77777777" w:rsidR="0014798C" w:rsidRDefault="0014798C">
      <w:pPr>
        <w:pStyle w:val="Textoindependiente"/>
        <w:spacing w:before="7"/>
        <w:rPr>
          <w:sz w:val="15"/>
        </w:rPr>
      </w:pPr>
    </w:p>
    <w:p w14:paraId="36CBFE38" w14:textId="77777777" w:rsidR="0014798C" w:rsidRDefault="004E1F0B">
      <w:pPr>
        <w:spacing w:before="1"/>
        <w:ind w:right="722"/>
        <w:jc w:val="right"/>
        <w:rPr>
          <w:sz w:val="15"/>
        </w:rPr>
      </w:pPr>
      <w:proofErr w:type="spellStart"/>
      <w:r>
        <w:rPr>
          <w:spacing w:val="-4"/>
          <w:sz w:val="15"/>
        </w:rPr>
        <w:t>viii</w:t>
      </w:r>
      <w:proofErr w:type="spellEnd"/>
    </w:p>
    <w:p w14:paraId="4AE471AD" w14:textId="77777777" w:rsidR="0014798C" w:rsidRDefault="0014798C">
      <w:pPr>
        <w:jc w:val="right"/>
        <w:rPr>
          <w:sz w:val="15"/>
        </w:rPr>
        <w:sectPr w:rsidR="0014798C" w:rsidSect="00F265E4">
          <w:headerReference w:type="default" r:id="rId18"/>
          <w:pgSz w:w="11900" w:h="16820"/>
          <w:pgMar w:top="40" w:right="0" w:bottom="280" w:left="200" w:header="0" w:footer="0" w:gutter="0"/>
          <w:cols w:space="720"/>
        </w:sectPr>
      </w:pPr>
    </w:p>
    <w:p w14:paraId="7CF7DDC7" w14:textId="77777777" w:rsidR="0014798C" w:rsidRDefault="0014798C">
      <w:pPr>
        <w:pStyle w:val="Textoindependiente"/>
        <w:spacing w:before="85"/>
        <w:rPr>
          <w:sz w:val="12"/>
        </w:rPr>
      </w:pPr>
    </w:p>
    <w:p w14:paraId="1D82B291" w14:textId="77777777" w:rsidR="0034138A" w:rsidRDefault="0034138A">
      <w:pPr>
        <w:ind w:left="1111"/>
        <w:rPr>
          <w:color w:val="0075BF"/>
          <w:sz w:val="12"/>
        </w:rPr>
      </w:pPr>
    </w:p>
    <w:p w14:paraId="4C04266F" w14:textId="63A3C95C" w:rsidR="0014798C" w:rsidRDefault="0034138A">
      <w:pPr>
        <w:ind w:left="1111"/>
        <w:rPr>
          <w:sz w:val="12"/>
        </w:rPr>
      </w:pPr>
      <w:r>
        <w:rPr>
          <w:color w:val="0075BF"/>
          <w:sz w:val="12"/>
        </w:rPr>
        <w:t>PROTECCIÓN</w:t>
      </w:r>
      <w:r>
        <w:rPr>
          <w:color w:val="0075BF"/>
          <w:spacing w:val="6"/>
          <w:sz w:val="12"/>
        </w:rPr>
        <w:t xml:space="preserve"> </w:t>
      </w:r>
      <w:r>
        <w:rPr>
          <w:color w:val="0075BF"/>
          <w:sz w:val="12"/>
        </w:rPr>
        <w:t>DE</w:t>
      </w:r>
      <w:r>
        <w:rPr>
          <w:color w:val="0075BF"/>
          <w:spacing w:val="7"/>
          <w:sz w:val="12"/>
        </w:rPr>
        <w:t xml:space="preserve"> </w:t>
      </w:r>
      <w:r>
        <w:rPr>
          <w:color w:val="0075BF"/>
          <w:sz w:val="12"/>
        </w:rPr>
        <w:t>LOS</w:t>
      </w:r>
      <w:r>
        <w:rPr>
          <w:color w:val="0075BF"/>
          <w:spacing w:val="8"/>
          <w:sz w:val="12"/>
        </w:rPr>
        <w:t xml:space="preserve"> </w:t>
      </w:r>
      <w:r>
        <w:rPr>
          <w:color w:val="0075BF"/>
          <w:sz w:val="12"/>
        </w:rPr>
        <w:t>DERECHOS</w:t>
      </w:r>
      <w:r>
        <w:rPr>
          <w:color w:val="0075BF"/>
          <w:spacing w:val="8"/>
          <w:sz w:val="12"/>
        </w:rPr>
        <w:t xml:space="preserve"> </w:t>
      </w:r>
      <w:r>
        <w:rPr>
          <w:color w:val="0075BF"/>
          <w:sz w:val="12"/>
        </w:rPr>
        <w:t>DE</w:t>
      </w:r>
      <w:r>
        <w:rPr>
          <w:color w:val="0075BF"/>
          <w:spacing w:val="6"/>
          <w:sz w:val="12"/>
        </w:rPr>
        <w:t xml:space="preserve"> </w:t>
      </w:r>
      <w:r>
        <w:rPr>
          <w:color w:val="0075BF"/>
          <w:sz w:val="12"/>
        </w:rPr>
        <w:t>LAS</w:t>
      </w:r>
      <w:r>
        <w:rPr>
          <w:color w:val="0075BF"/>
          <w:spacing w:val="7"/>
          <w:sz w:val="12"/>
        </w:rPr>
        <w:t xml:space="preserve"> </w:t>
      </w:r>
      <w:r>
        <w:rPr>
          <w:color w:val="0075BF"/>
          <w:sz w:val="12"/>
        </w:rPr>
        <w:t>MINORÍAS:</w:t>
      </w:r>
      <w:r>
        <w:rPr>
          <w:color w:val="0075BF"/>
          <w:spacing w:val="8"/>
          <w:sz w:val="12"/>
        </w:rPr>
        <w:t xml:space="preserve"> </w:t>
      </w:r>
      <w:r>
        <w:rPr>
          <w:color w:val="0075BF"/>
          <w:sz w:val="12"/>
        </w:rPr>
        <w:t>UNA</w:t>
      </w:r>
      <w:r>
        <w:rPr>
          <w:color w:val="0075BF"/>
          <w:spacing w:val="7"/>
          <w:sz w:val="12"/>
        </w:rPr>
        <w:t xml:space="preserve"> </w:t>
      </w:r>
      <w:r>
        <w:rPr>
          <w:color w:val="0075BF"/>
          <w:sz w:val="12"/>
        </w:rPr>
        <w:t>GUÍA</w:t>
      </w:r>
      <w:r>
        <w:rPr>
          <w:color w:val="0075BF"/>
          <w:spacing w:val="6"/>
          <w:sz w:val="12"/>
        </w:rPr>
        <w:t xml:space="preserve"> </w:t>
      </w:r>
      <w:r>
        <w:rPr>
          <w:color w:val="0075BF"/>
          <w:sz w:val="12"/>
        </w:rPr>
        <w:t>PRÁCTICA</w:t>
      </w:r>
      <w:r>
        <w:rPr>
          <w:color w:val="0075BF"/>
          <w:spacing w:val="7"/>
          <w:sz w:val="12"/>
        </w:rPr>
        <w:t xml:space="preserve"> </w:t>
      </w:r>
      <w:r>
        <w:rPr>
          <w:color w:val="0075BF"/>
          <w:sz w:val="12"/>
        </w:rPr>
        <w:t>PARA</w:t>
      </w:r>
      <w:r>
        <w:rPr>
          <w:color w:val="0075BF"/>
          <w:spacing w:val="8"/>
          <w:sz w:val="12"/>
        </w:rPr>
        <w:t xml:space="preserve"> </w:t>
      </w:r>
      <w:r>
        <w:rPr>
          <w:color w:val="0075BF"/>
          <w:sz w:val="12"/>
        </w:rPr>
        <w:t>DESARROLLAR</w:t>
      </w:r>
      <w:r>
        <w:rPr>
          <w:color w:val="0075BF"/>
          <w:spacing w:val="6"/>
          <w:sz w:val="12"/>
        </w:rPr>
        <w:t xml:space="preserve"> </w:t>
      </w:r>
      <w:r>
        <w:rPr>
          <w:color w:val="0075BF"/>
          <w:sz w:val="12"/>
        </w:rPr>
        <w:t>UNA</w:t>
      </w:r>
      <w:r>
        <w:rPr>
          <w:color w:val="0075BF"/>
          <w:spacing w:val="7"/>
          <w:sz w:val="12"/>
        </w:rPr>
        <w:t xml:space="preserve"> </w:t>
      </w:r>
      <w:r>
        <w:rPr>
          <w:color w:val="0075BF"/>
          <w:sz w:val="12"/>
        </w:rPr>
        <w:t>LEGISLACIÓN</w:t>
      </w:r>
      <w:r>
        <w:rPr>
          <w:color w:val="0075BF"/>
          <w:spacing w:val="8"/>
          <w:sz w:val="12"/>
        </w:rPr>
        <w:t xml:space="preserve"> </w:t>
      </w:r>
      <w:r>
        <w:rPr>
          <w:color w:val="0075BF"/>
          <w:sz w:val="12"/>
        </w:rPr>
        <w:t>INTEGRAL</w:t>
      </w:r>
      <w:r>
        <w:rPr>
          <w:color w:val="0075BF"/>
          <w:spacing w:val="7"/>
          <w:sz w:val="12"/>
        </w:rPr>
        <w:t xml:space="preserve"> </w:t>
      </w:r>
      <w:r>
        <w:rPr>
          <w:color w:val="0075BF"/>
          <w:sz w:val="12"/>
        </w:rPr>
        <w:t>CONTRA</w:t>
      </w:r>
      <w:r>
        <w:rPr>
          <w:color w:val="0075BF"/>
          <w:spacing w:val="6"/>
          <w:sz w:val="12"/>
        </w:rPr>
        <w:t xml:space="preserve"> </w:t>
      </w:r>
      <w:r>
        <w:rPr>
          <w:color w:val="0075BF"/>
          <w:sz w:val="12"/>
        </w:rPr>
        <w:t>LA</w:t>
      </w:r>
      <w:r>
        <w:rPr>
          <w:color w:val="0075BF"/>
          <w:spacing w:val="7"/>
          <w:sz w:val="12"/>
        </w:rPr>
        <w:t xml:space="preserve"> </w:t>
      </w:r>
      <w:r>
        <w:rPr>
          <w:color w:val="0075BF"/>
          <w:spacing w:val="-2"/>
          <w:sz w:val="12"/>
        </w:rPr>
        <w:t>DISCRIMINACIÓN</w:t>
      </w:r>
    </w:p>
    <w:p w14:paraId="56435600" w14:textId="77777777" w:rsidR="0014798C" w:rsidRDefault="0014798C">
      <w:pPr>
        <w:pStyle w:val="Textoindependiente"/>
        <w:rPr>
          <w:sz w:val="15"/>
        </w:rPr>
      </w:pPr>
    </w:p>
    <w:p w14:paraId="01A28D3D" w14:textId="77777777" w:rsidR="0014798C" w:rsidRDefault="0014798C">
      <w:pPr>
        <w:pStyle w:val="Textoindependiente"/>
        <w:spacing w:before="152"/>
        <w:rPr>
          <w:sz w:val="15"/>
        </w:rPr>
      </w:pPr>
    </w:p>
    <w:p w14:paraId="3E90AA5F" w14:textId="77777777" w:rsidR="0034138A" w:rsidRDefault="0034138A">
      <w:pPr>
        <w:pStyle w:val="Textoindependiente"/>
        <w:spacing w:before="152"/>
        <w:rPr>
          <w:sz w:val="15"/>
        </w:rPr>
      </w:pPr>
    </w:p>
    <w:p w14:paraId="54110ADE" w14:textId="77777777" w:rsidR="0014798C" w:rsidRDefault="004E1F0B">
      <w:pPr>
        <w:spacing w:line="348" w:lineRule="auto"/>
        <w:ind w:left="1108" w:right="1463" w:hanging="1"/>
        <w:rPr>
          <w:sz w:val="15"/>
        </w:rPr>
      </w:pPr>
      <w:r>
        <w:rPr>
          <w:sz w:val="15"/>
        </w:rPr>
        <w:t>Queda</w:t>
      </w:r>
      <w:r>
        <w:rPr>
          <w:spacing w:val="-4"/>
          <w:sz w:val="15"/>
        </w:rPr>
        <w:t xml:space="preserve"> </w:t>
      </w:r>
      <w:r>
        <w:rPr>
          <w:sz w:val="15"/>
        </w:rPr>
        <w:t>mucho</w:t>
      </w:r>
      <w:r>
        <w:rPr>
          <w:spacing w:val="-4"/>
          <w:sz w:val="15"/>
        </w:rPr>
        <w:t xml:space="preserve"> </w:t>
      </w:r>
      <w:r>
        <w:rPr>
          <w:sz w:val="15"/>
        </w:rPr>
        <w:t>por</w:t>
      </w:r>
      <w:r>
        <w:rPr>
          <w:spacing w:val="-4"/>
          <w:sz w:val="15"/>
        </w:rPr>
        <w:t xml:space="preserve"> </w:t>
      </w:r>
      <w:r>
        <w:rPr>
          <w:sz w:val="15"/>
        </w:rPr>
        <w:t>hacer.</w:t>
      </w:r>
      <w:r>
        <w:rPr>
          <w:spacing w:val="-4"/>
          <w:sz w:val="15"/>
        </w:rPr>
        <w:t xml:space="preserve"> </w:t>
      </w:r>
      <w:r>
        <w:rPr>
          <w:sz w:val="15"/>
        </w:rPr>
        <w:t>La</w:t>
      </w:r>
      <w:r>
        <w:rPr>
          <w:spacing w:val="-4"/>
          <w:sz w:val="15"/>
        </w:rPr>
        <w:t xml:space="preserve"> </w:t>
      </w:r>
      <w:r>
        <w:rPr>
          <w:sz w:val="15"/>
        </w:rPr>
        <w:t>adopción</w:t>
      </w:r>
      <w:r>
        <w:rPr>
          <w:spacing w:val="-4"/>
          <w:sz w:val="15"/>
        </w:rPr>
        <w:t xml:space="preserve"> </w:t>
      </w:r>
      <w:r>
        <w:rPr>
          <w:sz w:val="15"/>
        </w:rPr>
        <w:t>de</w:t>
      </w:r>
      <w:r>
        <w:rPr>
          <w:spacing w:val="-4"/>
          <w:sz w:val="15"/>
        </w:rPr>
        <w:t xml:space="preserve"> </w:t>
      </w:r>
      <w:r>
        <w:rPr>
          <w:sz w:val="15"/>
        </w:rPr>
        <w:t>leyes</w:t>
      </w:r>
      <w:r>
        <w:rPr>
          <w:spacing w:val="-4"/>
          <w:sz w:val="15"/>
        </w:rPr>
        <w:t xml:space="preserve"> </w:t>
      </w:r>
      <w:r>
        <w:rPr>
          <w:sz w:val="15"/>
        </w:rPr>
        <w:t>integrales</w:t>
      </w:r>
      <w:r>
        <w:rPr>
          <w:spacing w:val="-4"/>
          <w:sz w:val="15"/>
        </w:rPr>
        <w:t xml:space="preserve"> </w:t>
      </w:r>
      <w:r>
        <w:rPr>
          <w:sz w:val="15"/>
        </w:rPr>
        <w:t>contra</w:t>
      </w:r>
      <w:r>
        <w:rPr>
          <w:spacing w:val="-4"/>
          <w:sz w:val="15"/>
        </w:rPr>
        <w:t xml:space="preserve"> </w:t>
      </w:r>
      <w:r>
        <w:rPr>
          <w:sz w:val="15"/>
        </w:rPr>
        <w:t>la</w:t>
      </w:r>
      <w:r>
        <w:rPr>
          <w:spacing w:val="-4"/>
          <w:sz w:val="15"/>
        </w:rPr>
        <w:t xml:space="preserve"> </w:t>
      </w:r>
      <w:r>
        <w:rPr>
          <w:sz w:val="15"/>
        </w:rPr>
        <w:t>discriminación</w:t>
      </w:r>
      <w:r>
        <w:rPr>
          <w:spacing w:val="-4"/>
          <w:sz w:val="15"/>
        </w:rPr>
        <w:t xml:space="preserve"> </w:t>
      </w:r>
      <w:r>
        <w:rPr>
          <w:sz w:val="15"/>
        </w:rPr>
        <w:t>es</w:t>
      </w:r>
      <w:r>
        <w:rPr>
          <w:spacing w:val="-4"/>
          <w:sz w:val="15"/>
        </w:rPr>
        <w:t xml:space="preserve"> </w:t>
      </w:r>
      <w:r>
        <w:rPr>
          <w:sz w:val="15"/>
        </w:rPr>
        <w:t>un</w:t>
      </w:r>
      <w:r>
        <w:rPr>
          <w:spacing w:val="-4"/>
          <w:sz w:val="15"/>
        </w:rPr>
        <w:t xml:space="preserve"> </w:t>
      </w:r>
      <w:r>
        <w:rPr>
          <w:sz w:val="15"/>
        </w:rPr>
        <w:t>paso</w:t>
      </w:r>
      <w:r>
        <w:rPr>
          <w:spacing w:val="-4"/>
          <w:sz w:val="15"/>
        </w:rPr>
        <w:t xml:space="preserve"> </w:t>
      </w:r>
      <w:r>
        <w:rPr>
          <w:sz w:val="15"/>
        </w:rPr>
        <w:t>necesario,</w:t>
      </w:r>
      <w:r>
        <w:rPr>
          <w:spacing w:val="-3"/>
          <w:sz w:val="15"/>
        </w:rPr>
        <w:t xml:space="preserve"> </w:t>
      </w:r>
      <w:r>
        <w:rPr>
          <w:sz w:val="15"/>
        </w:rPr>
        <w:t>pero</w:t>
      </w:r>
      <w:r>
        <w:rPr>
          <w:spacing w:val="-4"/>
          <w:sz w:val="15"/>
        </w:rPr>
        <w:t xml:space="preserve"> </w:t>
      </w:r>
      <w:r>
        <w:rPr>
          <w:sz w:val="15"/>
        </w:rPr>
        <w:t>no</w:t>
      </w:r>
      <w:r>
        <w:rPr>
          <w:spacing w:val="-4"/>
          <w:sz w:val="15"/>
        </w:rPr>
        <w:t xml:space="preserve"> </w:t>
      </w:r>
      <w:r>
        <w:rPr>
          <w:sz w:val="15"/>
        </w:rPr>
        <w:t>suficiente,</w:t>
      </w:r>
      <w:r>
        <w:rPr>
          <w:spacing w:val="-3"/>
          <w:sz w:val="15"/>
        </w:rPr>
        <w:t xml:space="preserve"> </w:t>
      </w:r>
      <w:r>
        <w:rPr>
          <w:sz w:val="15"/>
        </w:rPr>
        <w:t>en</w:t>
      </w:r>
      <w:r>
        <w:rPr>
          <w:spacing w:val="-4"/>
          <w:sz w:val="15"/>
        </w:rPr>
        <w:t xml:space="preserve"> </w:t>
      </w:r>
      <w:r>
        <w:rPr>
          <w:sz w:val="15"/>
        </w:rPr>
        <w:t>el</w:t>
      </w:r>
      <w:r>
        <w:rPr>
          <w:spacing w:val="-4"/>
          <w:sz w:val="15"/>
        </w:rPr>
        <w:t xml:space="preserve"> </w:t>
      </w:r>
      <w:r>
        <w:rPr>
          <w:sz w:val="15"/>
        </w:rPr>
        <w:t>camino hacia</w:t>
      </w:r>
      <w:r>
        <w:rPr>
          <w:spacing w:val="-5"/>
          <w:sz w:val="15"/>
        </w:rPr>
        <w:t xml:space="preserve"> </w:t>
      </w:r>
      <w:r>
        <w:rPr>
          <w:sz w:val="15"/>
        </w:rPr>
        <w:t>la</w:t>
      </w:r>
      <w:r>
        <w:rPr>
          <w:spacing w:val="-5"/>
          <w:sz w:val="15"/>
        </w:rPr>
        <w:t xml:space="preserve"> </w:t>
      </w:r>
      <w:r>
        <w:rPr>
          <w:sz w:val="15"/>
        </w:rPr>
        <w:t>eliminación</w:t>
      </w:r>
      <w:r>
        <w:rPr>
          <w:spacing w:val="-5"/>
          <w:sz w:val="15"/>
        </w:rPr>
        <w:t xml:space="preserve"> </w:t>
      </w:r>
      <w:r>
        <w:rPr>
          <w:sz w:val="15"/>
        </w:rPr>
        <w:t>de</w:t>
      </w:r>
      <w:r>
        <w:rPr>
          <w:spacing w:val="-5"/>
          <w:sz w:val="15"/>
        </w:rPr>
        <w:t xml:space="preserve"> </w:t>
      </w:r>
      <w:r>
        <w:rPr>
          <w:sz w:val="15"/>
        </w:rPr>
        <w:t>la</w:t>
      </w:r>
      <w:r>
        <w:rPr>
          <w:spacing w:val="-5"/>
          <w:sz w:val="15"/>
        </w:rPr>
        <w:t xml:space="preserve"> </w:t>
      </w:r>
      <w:r>
        <w:rPr>
          <w:sz w:val="15"/>
        </w:rPr>
        <w:t>discriminación.</w:t>
      </w:r>
      <w:r>
        <w:rPr>
          <w:spacing w:val="-4"/>
          <w:sz w:val="15"/>
        </w:rPr>
        <w:t xml:space="preserve"> </w:t>
      </w:r>
      <w:r>
        <w:rPr>
          <w:sz w:val="15"/>
        </w:rPr>
        <w:t>La</w:t>
      </w:r>
      <w:r>
        <w:rPr>
          <w:spacing w:val="-5"/>
          <w:sz w:val="15"/>
        </w:rPr>
        <w:t xml:space="preserve"> </w:t>
      </w:r>
      <w:r>
        <w:rPr>
          <w:sz w:val="15"/>
        </w:rPr>
        <w:t>adopción</w:t>
      </w:r>
      <w:r>
        <w:rPr>
          <w:spacing w:val="-5"/>
          <w:sz w:val="15"/>
        </w:rPr>
        <w:t xml:space="preserve"> </w:t>
      </w:r>
      <w:r>
        <w:rPr>
          <w:sz w:val="15"/>
        </w:rPr>
        <w:t>de</w:t>
      </w:r>
      <w:r>
        <w:rPr>
          <w:spacing w:val="-5"/>
          <w:sz w:val="15"/>
        </w:rPr>
        <w:t xml:space="preserve"> </w:t>
      </w:r>
      <w:r>
        <w:rPr>
          <w:sz w:val="15"/>
        </w:rPr>
        <w:t>estas</w:t>
      </w:r>
      <w:r>
        <w:rPr>
          <w:spacing w:val="-5"/>
          <w:sz w:val="15"/>
        </w:rPr>
        <w:t xml:space="preserve"> </w:t>
      </w:r>
      <w:r>
        <w:rPr>
          <w:sz w:val="15"/>
        </w:rPr>
        <w:t>leyes</w:t>
      </w:r>
      <w:r>
        <w:rPr>
          <w:spacing w:val="-5"/>
          <w:sz w:val="15"/>
        </w:rPr>
        <w:t xml:space="preserve"> </w:t>
      </w:r>
      <w:r>
        <w:rPr>
          <w:sz w:val="15"/>
        </w:rPr>
        <w:t>es</w:t>
      </w:r>
      <w:r>
        <w:rPr>
          <w:spacing w:val="-5"/>
          <w:sz w:val="15"/>
        </w:rPr>
        <w:t xml:space="preserve"> </w:t>
      </w:r>
      <w:r>
        <w:rPr>
          <w:sz w:val="15"/>
        </w:rPr>
        <w:t>más</w:t>
      </w:r>
      <w:r>
        <w:rPr>
          <w:spacing w:val="-5"/>
          <w:sz w:val="15"/>
        </w:rPr>
        <w:t xml:space="preserve"> </w:t>
      </w:r>
      <w:r>
        <w:rPr>
          <w:sz w:val="15"/>
        </w:rPr>
        <w:t>eficaz</w:t>
      </w:r>
      <w:r>
        <w:rPr>
          <w:spacing w:val="-5"/>
          <w:sz w:val="15"/>
        </w:rPr>
        <w:t xml:space="preserve"> </w:t>
      </w:r>
      <w:r>
        <w:rPr>
          <w:sz w:val="15"/>
        </w:rPr>
        <w:t>cuando</w:t>
      </w:r>
      <w:r>
        <w:rPr>
          <w:spacing w:val="-5"/>
          <w:sz w:val="15"/>
        </w:rPr>
        <w:t xml:space="preserve"> </w:t>
      </w:r>
      <w:r>
        <w:rPr>
          <w:sz w:val="15"/>
        </w:rPr>
        <w:t>se</w:t>
      </w:r>
      <w:r>
        <w:rPr>
          <w:spacing w:val="-5"/>
          <w:sz w:val="15"/>
        </w:rPr>
        <w:t xml:space="preserve"> </w:t>
      </w:r>
      <w:r>
        <w:rPr>
          <w:sz w:val="15"/>
        </w:rPr>
        <w:t>elaboran</w:t>
      </w:r>
      <w:r>
        <w:rPr>
          <w:spacing w:val="-5"/>
          <w:sz w:val="15"/>
        </w:rPr>
        <w:t xml:space="preserve"> </w:t>
      </w:r>
      <w:r>
        <w:rPr>
          <w:sz w:val="15"/>
        </w:rPr>
        <w:t>en</w:t>
      </w:r>
      <w:r>
        <w:rPr>
          <w:spacing w:val="-5"/>
          <w:sz w:val="15"/>
        </w:rPr>
        <w:t xml:space="preserve"> </w:t>
      </w:r>
      <w:r>
        <w:rPr>
          <w:sz w:val="15"/>
        </w:rPr>
        <w:t>planes</w:t>
      </w:r>
      <w:r>
        <w:rPr>
          <w:spacing w:val="-5"/>
          <w:sz w:val="15"/>
        </w:rPr>
        <w:t xml:space="preserve"> </w:t>
      </w:r>
      <w:r>
        <w:rPr>
          <w:sz w:val="15"/>
        </w:rPr>
        <w:t>de</w:t>
      </w:r>
      <w:r>
        <w:rPr>
          <w:spacing w:val="-5"/>
          <w:sz w:val="15"/>
        </w:rPr>
        <w:t xml:space="preserve"> </w:t>
      </w:r>
      <w:r>
        <w:rPr>
          <w:sz w:val="15"/>
        </w:rPr>
        <w:t>acción</w:t>
      </w:r>
      <w:r>
        <w:rPr>
          <w:spacing w:val="-5"/>
          <w:sz w:val="15"/>
        </w:rPr>
        <w:t xml:space="preserve"> </w:t>
      </w:r>
      <w:r>
        <w:rPr>
          <w:sz w:val="15"/>
        </w:rPr>
        <w:t>nacionales</w:t>
      </w:r>
      <w:r>
        <w:rPr>
          <w:spacing w:val="-5"/>
          <w:sz w:val="15"/>
        </w:rPr>
        <w:t xml:space="preserve"> </w:t>
      </w:r>
      <w:r>
        <w:rPr>
          <w:sz w:val="15"/>
        </w:rPr>
        <w:t>y regionales</w:t>
      </w:r>
      <w:r>
        <w:rPr>
          <w:spacing w:val="-11"/>
          <w:sz w:val="15"/>
        </w:rPr>
        <w:t xml:space="preserve"> </w:t>
      </w:r>
      <w:r>
        <w:rPr>
          <w:sz w:val="15"/>
        </w:rPr>
        <w:t>integrales</w:t>
      </w:r>
      <w:r>
        <w:rPr>
          <w:spacing w:val="-10"/>
          <w:sz w:val="15"/>
        </w:rPr>
        <w:t xml:space="preserve"> </w:t>
      </w:r>
      <w:r>
        <w:rPr>
          <w:sz w:val="15"/>
        </w:rPr>
        <w:t>y</w:t>
      </w:r>
      <w:r>
        <w:rPr>
          <w:spacing w:val="-11"/>
          <w:sz w:val="15"/>
        </w:rPr>
        <w:t xml:space="preserve"> </w:t>
      </w:r>
      <w:r>
        <w:rPr>
          <w:sz w:val="15"/>
        </w:rPr>
        <w:t>con</w:t>
      </w:r>
      <w:r>
        <w:rPr>
          <w:spacing w:val="-10"/>
          <w:sz w:val="15"/>
        </w:rPr>
        <w:t xml:space="preserve"> </w:t>
      </w:r>
      <w:r>
        <w:rPr>
          <w:sz w:val="15"/>
        </w:rPr>
        <w:t>recursos</w:t>
      </w:r>
      <w:r>
        <w:rPr>
          <w:spacing w:val="-10"/>
          <w:sz w:val="15"/>
        </w:rPr>
        <w:t xml:space="preserve"> </w:t>
      </w:r>
      <w:r>
        <w:rPr>
          <w:sz w:val="15"/>
        </w:rPr>
        <w:t>adecuados,</w:t>
      </w:r>
      <w:r>
        <w:rPr>
          <w:spacing w:val="-10"/>
          <w:sz w:val="15"/>
        </w:rPr>
        <w:t xml:space="preserve"> </w:t>
      </w:r>
      <w:r>
        <w:rPr>
          <w:sz w:val="15"/>
        </w:rPr>
        <w:t>en</w:t>
      </w:r>
      <w:r>
        <w:rPr>
          <w:spacing w:val="-10"/>
          <w:sz w:val="15"/>
        </w:rPr>
        <w:t xml:space="preserve"> </w:t>
      </w:r>
      <w:r>
        <w:rPr>
          <w:sz w:val="15"/>
        </w:rPr>
        <w:t>estrecha</w:t>
      </w:r>
      <w:r>
        <w:rPr>
          <w:spacing w:val="-11"/>
          <w:sz w:val="15"/>
        </w:rPr>
        <w:t xml:space="preserve"> </w:t>
      </w:r>
      <w:r>
        <w:rPr>
          <w:sz w:val="15"/>
        </w:rPr>
        <w:t>colaboración</w:t>
      </w:r>
      <w:r>
        <w:rPr>
          <w:spacing w:val="-10"/>
          <w:sz w:val="15"/>
        </w:rPr>
        <w:t xml:space="preserve"> </w:t>
      </w:r>
      <w:r>
        <w:rPr>
          <w:sz w:val="15"/>
        </w:rPr>
        <w:t>con</w:t>
      </w:r>
      <w:r>
        <w:rPr>
          <w:spacing w:val="-11"/>
          <w:sz w:val="15"/>
        </w:rPr>
        <w:t xml:space="preserve"> </w:t>
      </w:r>
      <w:r>
        <w:rPr>
          <w:sz w:val="15"/>
        </w:rPr>
        <w:t>las</w:t>
      </w:r>
      <w:r>
        <w:rPr>
          <w:spacing w:val="-10"/>
          <w:sz w:val="15"/>
        </w:rPr>
        <w:t xml:space="preserve"> </w:t>
      </w:r>
      <w:r>
        <w:rPr>
          <w:sz w:val="15"/>
        </w:rPr>
        <w:t>personas</w:t>
      </w:r>
      <w:r>
        <w:rPr>
          <w:spacing w:val="-10"/>
          <w:sz w:val="15"/>
        </w:rPr>
        <w:t xml:space="preserve"> </w:t>
      </w:r>
      <w:r>
        <w:rPr>
          <w:sz w:val="15"/>
        </w:rPr>
        <w:t>afectadas,</w:t>
      </w:r>
      <w:r>
        <w:rPr>
          <w:spacing w:val="-11"/>
          <w:sz w:val="15"/>
        </w:rPr>
        <w:t xml:space="preserve"> </w:t>
      </w:r>
      <w:r>
        <w:rPr>
          <w:sz w:val="15"/>
        </w:rPr>
        <w:t>sus</w:t>
      </w:r>
      <w:r>
        <w:rPr>
          <w:spacing w:val="-10"/>
          <w:sz w:val="15"/>
        </w:rPr>
        <w:t xml:space="preserve"> </w:t>
      </w:r>
      <w:r>
        <w:rPr>
          <w:sz w:val="15"/>
        </w:rPr>
        <w:t>organizaciones</w:t>
      </w:r>
      <w:r>
        <w:rPr>
          <w:spacing w:val="-11"/>
          <w:sz w:val="15"/>
        </w:rPr>
        <w:t xml:space="preserve"> </w:t>
      </w:r>
      <w:r>
        <w:rPr>
          <w:sz w:val="15"/>
        </w:rPr>
        <w:t>y</w:t>
      </w:r>
      <w:r>
        <w:rPr>
          <w:spacing w:val="-10"/>
          <w:sz w:val="15"/>
        </w:rPr>
        <w:t xml:space="preserve"> </w:t>
      </w:r>
      <w:r>
        <w:rPr>
          <w:sz w:val="15"/>
        </w:rPr>
        <w:t>movimientos. La guía proporciona un piso, no un techo.</w:t>
      </w:r>
    </w:p>
    <w:p w14:paraId="2CDAB8D9" w14:textId="77777777" w:rsidR="0014798C" w:rsidRDefault="0014798C">
      <w:pPr>
        <w:pStyle w:val="Textoindependiente"/>
        <w:rPr>
          <w:sz w:val="15"/>
        </w:rPr>
      </w:pPr>
    </w:p>
    <w:p w14:paraId="5DF225BC" w14:textId="77777777" w:rsidR="0014798C" w:rsidRDefault="0014798C">
      <w:pPr>
        <w:pStyle w:val="Textoindependiente"/>
        <w:spacing w:before="73"/>
        <w:rPr>
          <w:sz w:val="15"/>
        </w:rPr>
      </w:pPr>
    </w:p>
    <w:p w14:paraId="2D9E9363" w14:textId="77777777" w:rsidR="0014798C" w:rsidRDefault="004E1F0B">
      <w:pPr>
        <w:spacing w:before="1" w:line="348" w:lineRule="auto"/>
        <w:ind w:left="1107" w:right="1272" w:firstLine="1"/>
        <w:rPr>
          <w:sz w:val="15"/>
        </w:rPr>
      </w:pPr>
      <w:r>
        <w:rPr>
          <w:sz w:val="15"/>
        </w:rPr>
        <w:t>En</w:t>
      </w:r>
      <w:r>
        <w:rPr>
          <w:spacing w:val="-4"/>
          <w:sz w:val="15"/>
        </w:rPr>
        <w:t xml:space="preserve"> </w:t>
      </w:r>
      <w:r>
        <w:rPr>
          <w:sz w:val="15"/>
        </w:rPr>
        <w:t>Nuestra</w:t>
      </w:r>
      <w:r>
        <w:rPr>
          <w:spacing w:val="-4"/>
          <w:sz w:val="15"/>
        </w:rPr>
        <w:t xml:space="preserve"> </w:t>
      </w:r>
      <w:r>
        <w:rPr>
          <w:sz w:val="15"/>
        </w:rPr>
        <w:t>Agenda</w:t>
      </w:r>
      <w:r>
        <w:rPr>
          <w:spacing w:val="-4"/>
          <w:sz w:val="15"/>
        </w:rPr>
        <w:t xml:space="preserve"> </w:t>
      </w:r>
      <w:r>
        <w:rPr>
          <w:sz w:val="15"/>
        </w:rPr>
        <w:t>Común,</w:t>
      </w:r>
      <w:r>
        <w:rPr>
          <w:spacing w:val="-4"/>
          <w:sz w:val="15"/>
        </w:rPr>
        <w:t xml:space="preserve"> </w:t>
      </w:r>
      <w:r>
        <w:rPr>
          <w:sz w:val="15"/>
        </w:rPr>
        <w:t>una</w:t>
      </w:r>
      <w:r>
        <w:rPr>
          <w:spacing w:val="-4"/>
          <w:sz w:val="15"/>
        </w:rPr>
        <w:t xml:space="preserve"> </w:t>
      </w:r>
      <w:r>
        <w:rPr>
          <w:sz w:val="15"/>
        </w:rPr>
        <w:t>visión</w:t>
      </w:r>
      <w:r>
        <w:rPr>
          <w:spacing w:val="-4"/>
          <w:sz w:val="15"/>
        </w:rPr>
        <w:t xml:space="preserve"> </w:t>
      </w:r>
      <w:r>
        <w:rPr>
          <w:sz w:val="15"/>
        </w:rPr>
        <w:t>del</w:t>
      </w:r>
      <w:r>
        <w:rPr>
          <w:spacing w:val="-4"/>
          <w:sz w:val="15"/>
        </w:rPr>
        <w:t xml:space="preserve"> </w:t>
      </w:r>
      <w:r>
        <w:rPr>
          <w:sz w:val="15"/>
        </w:rPr>
        <w:t>futuro</w:t>
      </w:r>
      <w:r>
        <w:rPr>
          <w:spacing w:val="-4"/>
          <w:sz w:val="15"/>
        </w:rPr>
        <w:t xml:space="preserve"> </w:t>
      </w:r>
      <w:r>
        <w:rPr>
          <w:sz w:val="15"/>
        </w:rPr>
        <w:t>para</w:t>
      </w:r>
      <w:r>
        <w:rPr>
          <w:spacing w:val="-4"/>
          <w:sz w:val="15"/>
        </w:rPr>
        <w:t xml:space="preserve"> </w:t>
      </w:r>
      <w:r>
        <w:rPr>
          <w:sz w:val="15"/>
        </w:rPr>
        <w:t>la</w:t>
      </w:r>
      <w:r>
        <w:rPr>
          <w:spacing w:val="-4"/>
          <w:sz w:val="15"/>
        </w:rPr>
        <w:t xml:space="preserve"> </w:t>
      </w:r>
      <w:r>
        <w:rPr>
          <w:sz w:val="15"/>
        </w:rPr>
        <w:t>cooperación</w:t>
      </w:r>
      <w:r>
        <w:rPr>
          <w:spacing w:val="-4"/>
          <w:sz w:val="15"/>
        </w:rPr>
        <w:t xml:space="preserve"> </w:t>
      </w:r>
      <w:r>
        <w:rPr>
          <w:sz w:val="15"/>
        </w:rPr>
        <w:t>global</w:t>
      </w:r>
      <w:r>
        <w:rPr>
          <w:spacing w:val="-4"/>
          <w:sz w:val="15"/>
        </w:rPr>
        <w:t xml:space="preserve"> </w:t>
      </w:r>
      <w:r>
        <w:rPr>
          <w:sz w:val="15"/>
        </w:rPr>
        <w:t>a</w:t>
      </w:r>
      <w:r>
        <w:rPr>
          <w:spacing w:val="-4"/>
          <w:sz w:val="15"/>
        </w:rPr>
        <w:t xml:space="preserve"> </w:t>
      </w:r>
      <w:r>
        <w:rPr>
          <w:sz w:val="15"/>
        </w:rPr>
        <w:t>través</w:t>
      </w:r>
      <w:r>
        <w:rPr>
          <w:spacing w:val="-4"/>
          <w:sz w:val="15"/>
        </w:rPr>
        <w:t xml:space="preserve"> </w:t>
      </w:r>
      <w:r>
        <w:rPr>
          <w:sz w:val="15"/>
        </w:rPr>
        <w:t>de</w:t>
      </w:r>
      <w:r>
        <w:rPr>
          <w:spacing w:val="-4"/>
          <w:sz w:val="15"/>
        </w:rPr>
        <w:t xml:space="preserve"> </w:t>
      </w:r>
      <w:r>
        <w:rPr>
          <w:sz w:val="15"/>
        </w:rPr>
        <w:t>un</w:t>
      </w:r>
      <w:r>
        <w:rPr>
          <w:spacing w:val="-4"/>
          <w:sz w:val="15"/>
        </w:rPr>
        <w:t xml:space="preserve"> </w:t>
      </w:r>
      <w:r>
        <w:rPr>
          <w:sz w:val="15"/>
        </w:rPr>
        <w:t>multilateralismo</w:t>
      </w:r>
      <w:r>
        <w:rPr>
          <w:spacing w:val="-4"/>
          <w:sz w:val="15"/>
        </w:rPr>
        <w:t xml:space="preserve"> </w:t>
      </w:r>
      <w:r>
        <w:rPr>
          <w:sz w:val="15"/>
        </w:rPr>
        <w:t>inclusivo,</w:t>
      </w:r>
      <w:r>
        <w:rPr>
          <w:spacing w:val="-3"/>
          <w:sz w:val="15"/>
        </w:rPr>
        <w:t xml:space="preserve"> </w:t>
      </w:r>
      <w:r>
        <w:rPr>
          <w:sz w:val="15"/>
        </w:rPr>
        <w:t>en</w:t>
      </w:r>
      <w:r>
        <w:rPr>
          <w:spacing w:val="-4"/>
          <w:sz w:val="15"/>
        </w:rPr>
        <w:t xml:space="preserve"> </w:t>
      </w:r>
      <w:r>
        <w:rPr>
          <w:sz w:val="15"/>
        </w:rPr>
        <w:t>red</w:t>
      </w:r>
      <w:r>
        <w:rPr>
          <w:spacing w:val="-4"/>
          <w:sz w:val="15"/>
        </w:rPr>
        <w:t xml:space="preserve"> </w:t>
      </w:r>
      <w:r>
        <w:rPr>
          <w:sz w:val="15"/>
        </w:rPr>
        <w:t>y</w:t>
      </w:r>
      <w:r>
        <w:rPr>
          <w:spacing w:val="-4"/>
          <w:sz w:val="15"/>
        </w:rPr>
        <w:t xml:space="preserve"> </w:t>
      </w:r>
      <w:r>
        <w:rPr>
          <w:sz w:val="15"/>
        </w:rPr>
        <w:t>eficaz,</w:t>
      </w:r>
      <w:r>
        <w:rPr>
          <w:spacing w:val="-4"/>
          <w:sz w:val="15"/>
        </w:rPr>
        <w:t xml:space="preserve"> </w:t>
      </w:r>
      <w:r>
        <w:rPr>
          <w:sz w:val="15"/>
        </w:rPr>
        <w:t>el Secretario</w:t>
      </w:r>
      <w:r>
        <w:rPr>
          <w:spacing w:val="-9"/>
          <w:sz w:val="15"/>
        </w:rPr>
        <w:t xml:space="preserve"> </w:t>
      </w:r>
      <w:r>
        <w:rPr>
          <w:sz w:val="15"/>
        </w:rPr>
        <w:t>General</w:t>
      </w:r>
      <w:r>
        <w:rPr>
          <w:spacing w:val="-9"/>
          <w:sz w:val="15"/>
        </w:rPr>
        <w:t xml:space="preserve"> </w:t>
      </w:r>
      <w:r>
        <w:rPr>
          <w:sz w:val="15"/>
        </w:rPr>
        <w:t>señaló:</w:t>
      </w:r>
      <w:r>
        <w:rPr>
          <w:spacing w:val="-9"/>
          <w:sz w:val="15"/>
        </w:rPr>
        <w:t xml:space="preserve"> </w:t>
      </w:r>
      <w:r>
        <w:rPr>
          <w:sz w:val="15"/>
        </w:rPr>
        <w:t>“El</w:t>
      </w:r>
      <w:r>
        <w:rPr>
          <w:spacing w:val="-9"/>
          <w:sz w:val="15"/>
        </w:rPr>
        <w:t xml:space="preserve"> </w:t>
      </w:r>
      <w:r>
        <w:rPr>
          <w:sz w:val="15"/>
        </w:rPr>
        <w:t>racismo,</w:t>
      </w:r>
      <w:r>
        <w:rPr>
          <w:spacing w:val="-8"/>
          <w:sz w:val="15"/>
        </w:rPr>
        <w:t xml:space="preserve"> </w:t>
      </w:r>
      <w:r>
        <w:rPr>
          <w:sz w:val="15"/>
        </w:rPr>
        <w:t>la</w:t>
      </w:r>
      <w:r>
        <w:rPr>
          <w:spacing w:val="-9"/>
          <w:sz w:val="15"/>
        </w:rPr>
        <w:t xml:space="preserve"> </w:t>
      </w:r>
      <w:r>
        <w:rPr>
          <w:sz w:val="15"/>
        </w:rPr>
        <w:t>intolerancia</w:t>
      </w:r>
      <w:r>
        <w:rPr>
          <w:spacing w:val="-9"/>
          <w:sz w:val="15"/>
        </w:rPr>
        <w:t xml:space="preserve"> </w:t>
      </w:r>
      <w:r>
        <w:rPr>
          <w:sz w:val="15"/>
        </w:rPr>
        <w:t>y</w:t>
      </w:r>
      <w:r>
        <w:rPr>
          <w:spacing w:val="-9"/>
          <w:sz w:val="15"/>
        </w:rPr>
        <w:t xml:space="preserve"> </w:t>
      </w:r>
      <w:r>
        <w:rPr>
          <w:sz w:val="15"/>
        </w:rPr>
        <w:t>la</w:t>
      </w:r>
      <w:r>
        <w:rPr>
          <w:spacing w:val="-9"/>
          <w:sz w:val="15"/>
        </w:rPr>
        <w:t xml:space="preserve"> </w:t>
      </w:r>
      <w:r>
        <w:rPr>
          <w:sz w:val="15"/>
        </w:rPr>
        <w:t>discriminación</w:t>
      </w:r>
      <w:r>
        <w:rPr>
          <w:spacing w:val="-9"/>
          <w:sz w:val="15"/>
        </w:rPr>
        <w:t xml:space="preserve"> </w:t>
      </w:r>
      <w:r>
        <w:rPr>
          <w:sz w:val="15"/>
        </w:rPr>
        <w:t>siguen</w:t>
      </w:r>
      <w:r>
        <w:rPr>
          <w:spacing w:val="-9"/>
          <w:sz w:val="15"/>
        </w:rPr>
        <w:t xml:space="preserve"> </w:t>
      </w:r>
      <w:r>
        <w:rPr>
          <w:sz w:val="15"/>
        </w:rPr>
        <w:t>existiendo</w:t>
      </w:r>
      <w:r>
        <w:rPr>
          <w:spacing w:val="-9"/>
          <w:sz w:val="15"/>
        </w:rPr>
        <w:t xml:space="preserve"> </w:t>
      </w:r>
      <w:r>
        <w:rPr>
          <w:sz w:val="15"/>
        </w:rPr>
        <w:t>en</w:t>
      </w:r>
      <w:r>
        <w:rPr>
          <w:spacing w:val="-9"/>
          <w:sz w:val="15"/>
        </w:rPr>
        <w:t xml:space="preserve"> </w:t>
      </w:r>
      <w:r>
        <w:rPr>
          <w:sz w:val="15"/>
        </w:rPr>
        <w:t>todas</w:t>
      </w:r>
      <w:r>
        <w:rPr>
          <w:spacing w:val="-9"/>
          <w:sz w:val="15"/>
        </w:rPr>
        <w:t xml:space="preserve"> </w:t>
      </w:r>
      <w:r>
        <w:rPr>
          <w:sz w:val="15"/>
        </w:rPr>
        <w:t>las</w:t>
      </w:r>
      <w:r>
        <w:rPr>
          <w:spacing w:val="-9"/>
          <w:sz w:val="15"/>
        </w:rPr>
        <w:t xml:space="preserve"> </w:t>
      </w:r>
      <w:r>
        <w:rPr>
          <w:sz w:val="15"/>
        </w:rPr>
        <w:t>sociedades,</w:t>
      </w:r>
      <w:r>
        <w:rPr>
          <w:spacing w:val="-8"/>
          <w:sz w:val="15"/>
        </w:rPr>
        <w:t xml:space="preserve"> </w:t>
      </w:r>
      <w:r>
        <w:rPr>
          <w:sz w:val="15"/>
        </w:rPr>
        <w:t>como</w:t>
      </w:r>
      <w:r>
        <w:rPr>
          <w:spacing w:val="-9"/>
          <w:sz w:val="15"/>
        </w:rPr>
        <w:t xml:space="preserve"> </w:t>
      </w:r>
      <w:r>
        <w:rPr>
          <w:sz w:val="15"/>
        </w:rPr>
        <w:t>se</w:t>
      </w:r>
      <w:r>
        <w:rPr>
          <w:spacing w:val="-9"/>
          <w:sz w:val="15"/>
        </w:rPr>
        <w:t xml:space="preserve"> </w:t>
      </w:r>
      <w:r>
        <w:rPr>
          <w:sz w:val="15"/>
        </w:rPr>
        <w:t>vio</w:t>
      </w:r>
      <w:r>
        <w:rPr>
          <w:spacing w:val="-9"/>
          <w:sz w:val="15"/>
        </w:rPr>
        <w:t xml:space="preserve"> </w:t>
      </w:r>
      <w:r>
        <w:rPr>
          <w:sz w:val="15"/>
        </w:rPr>
        <w:t>durante</w:t>
      </w:r>
      <w:r>
        <w:rPr>
          <w:spacing w:val="-9"/>
          <w:sz w:val="15"/>
        </w:rPr>
        <w:t xml:space="preserve"> </w:t>
      </w:r>
      <w:r>
        <w:rPr>
          <w:sz w:val="15"/>
        </w:rPr>
        <w:t>la pandemia</w:t>
      </w:r>
      <w:r>
        <w:rPr>
          <w:spacing w:val="-3"/>
          <w:sz w:val="15"/>
        </w:rPr>
        <w:t xml:space="preserve"> </w:t>
      </w:r>
      <w:r>
        <w:rPr>
          <w:sz w:val="15"/>
        </w:rPr>
        <w:t>al</w:t>
      </w:r>
      <w:r>
        <w:rPr>
          <w:spacing w:val="-3"/>
          <w:sz w:val="15"/>
        </w:rPr>
        <w:t xml:space="preserve"> </w:t>
      </w:r>
      <w:r>
        <w:rPr>
          <w:sz w:val="15"/>
        </w:rPr>
        <w:t>convertir</w:t>
      </w:r>
      <w:r>
        <w:rPr>
          <w:spacing w:val="-3"/>
          <w:sz w:val="15"/>
        </w:rPr>
        <w:t xml:space="preserve"> </w:t>
      </w:r>
      <w:r>
        <w:rPr>
          <w:sz w:val="15"/>
        </w:rPr>
        <w:t>a</w:t>
      </w:r>
      <w:r>
        <w:rPr>
          <w:spacing w:val="-3"/>
          <w:sz w:val="15"/>
        </w:rPr>
        <w:t xml:space="preserve"> </w:t>
      </w:r>
      <w:r>
        <w:rPr>
          <w:sz w:val="15"/>
        </w:rPr>
        <w:t>los</w:t>
      </w:r>
      <w:r>
        <w:rPr>
          <w:spacing w:val="-3"/>
          <w:sz w:val="15"/>
        </w:rPr>
        <w:t xml:space="preserve"> </w:t>
      </w:r>
      <w:r>
        <w:rPr>
          <w:sz w:val="15"/>
        </w:rPr>
        <w:t>chivos</w:t>
      </w:r>
      <w:r>
        <w:rPr>
          <w:spacing w:val="-3"/>
          <w:sz w:val="15"/>
        </w:rPr>
        <w:t xml:space="preserve"> </w:t>
      </w:r>
      <w:r>
        <w:rPr>
          <w:sz w:val="15"/>
        </w:rPr>
        <w:t>expiatorios</w:t>
      </w:r>
      <w:r>
        <w:rPr>
          <w:spacing w:val="-3"/>
          <w:sz w:val="15"/>
        </w:rPr>
        <w:t xml:space="preserve"> </w:t>
      </w:r>
      <w:r>
        <w:rPr>
          <w:sz w:val="15"/>
        </w:rPr>
        <w:t>en</w:t>
      </w:r>
      <w:r>
        <w:rPr>
          <w:spacing w:val="-3"/>
          <w:sz w:val="15"/>
        </w:rPr>
        <w:t xml:space="preserve"> </w:t>
      </w:r>
      <w:r>
        <w:rPr>
          <w:sz w:val="15"/>
        </w:rPr>
        <w:t>grupos</w:t>
      </w:r>
      <w:r>
        <w:rPr>
          <w:spacing w:val="-3"/>
          <w:sz w:val="15"/>
        </w:rPr>
        <w:t xml:space="preserve"> </w:t>
      </w:r>
      <w:r>
        <w:rPr>
          <w:sz w:val="15"/>
        </w:rPr>
        <w:t>culpados</w:t>
      </w:r>
      <w:r>
        <w:rPr>
          <w:spacing w:val="-3"/>
          <w:sz w:val="15"/>
        </w:rPr>
        <w:t xml:space="preserve"> </w:t>
      </w:r>
      <w:r>
        <w:rPr>
          <w:sz w:val="15"/>
        </w:rPr>
        <w:t>por</w:t>
      </w:r>
      <w:r>
        <w:rPr>
          <w:spacing w:val="-3"/>
          <w:sz w:val="15"/>
        </w:rPr>
        <w:t xml:space="preserve"> </w:t>
      </w:r>
      <w:r>
        <w:rPr>
          <w:sz w:val="15"/>
        </w:rPr>
        <w:t>el</w:t>
      </w:r>
      <w:r>
        <w:rPr>
          <w:spacing w:val="-3"/>
          <w:sz w:val="15"/>
        </w:rPr>
        <w:t xml:space="preserve"> </w:t>
      </w:r>
      <w:r>
        <w:rPr>
          <w:sz w:val="15"/>
        </w:rPr>
        <w:t>virus.</w:t>
      </w:r>
      <w:r>
        <w:rPr>
          <w:spacing w:val="-3"/>
          <w:sz w:val="15"/>
        </w:rPr>
        <w:t xml:space="preserve"> </w:t>
      </w:r>
      <w:r>
        <w:rPr>
          <w:sz w:val="15"/>
        </w:rPr>
        <w:t>Para</w:t>
      </w:r>
      <w:r>
        <w:rPr>
          <w:spacing w:val="-3"/>
          <w:sz w:val="15"/>
        </w:rPr>
        <w:t xml:space="preserve"> </w:t>
      </w:r>
      <w:r>
        <w:rPr>
          <w:sz w:val="15"/>
        </w:rPr>
        <w:t>empezar,</w:t>
      </w:r>
      <w:r>
        <w:rPr>
          <w:spacing w:val="-3"/>
          <w:sz w:val="15"/>
        </w:rPr>
        <w:t xml:space="preserve"> </w:t>
      </w:r>
      <w:r>
        <w:rPr>
          <w:sz w:val="15"/>
        </w:rPr>
        <w:t>hace</w:t>
      </w:r>
      <w:r>
        <w:rPr>
          <w:spacing w:val="-3"/>
          <w:sz w:val="15"/>
        </w:rPr>
        <w:t xml:space="preserve"> </w:t>
      </w:r>
      <w:r>
        <w:rPr>
          <w:sz w:val="15"/>
        </w:rPr>
        <w:t>mucho</w:t>
      </w:r>
      <w:r>
        <w:rPr>
          <w:spacing w:val="-3"/>
          <w:sz w:val="15"/>
        </w:rPr>
        <w:t xml:space="preserve"> </w:t>
      </w:r>
      <w:r>
        <w:rPr>
          <w:sz w:val="15"/>
        </w:rPr>
        <w:t>tiempo</w:t>
      </w:r>
      <w:r>
        <w:rPr>
          <w:spacing w:val="-3"/>
          <w:sz w:val="15"/>
        </w:rPr>
        <w:t xml:space="preserve"> </w:t>
      </w:r>
      <w:r>
        <w:rPr>
          <w:sz w:val="15"/>
        </w:rPr>
        <w:t>que</w:t>
      </w:r>
      <w:r>
        <w:rPr>
          <w:spacing w:val="-3"/>
          <w:sz w:val="15"/>
        </w:rPr>
        <w:t xml:space="preserve"> </w:t>
      </w:r>
      <w:r>
        <w:rPr>
          <w:sz w:val="15"/>
        </w:rPr>
        <w:t>debería</w:t>
      </w:r>
      <w:r>
        <w:rPr>
          <w:spacing w:val="-3"/>
          <w:sz w:val="15"/>
        </w:rPr>
        <w:t xml:space="preserve"> </w:t>
      </w:r>
      <w:r>
        <w:rPr>
          <w:sz w:val="15"/>
        </w:rPr>
        <w:t>haberse adoptado</w:t>
      </w:r>
      <w:r>
        <w:rPr>
          <w:spacing w:val="-5"/>
          <w:sz w:val="15"/>
        </w:rPr>
        <w:t xml:space="preserve"> </w:t>
      </w:r>
      <w:r>
        <w:rPr>
          <w:sz w:val="15"/>
        </w:rPr>
        <w:t>leyes</w:t>
      </w:r>
      <w:r>
        <w:rPr>
          <w:spacing w:val="-5"/>
          <w:sz w:val="15"/>
        </w:rPr>
        <w:t xml:space="preserve"> </w:t>
      </w:r>
      <w:r>
        <w:rPr>
          <w:sz w:val="15"/>
        </w:rPr>
        <w:t>integrales</w:t>
      </w:r>
      <w:r>
        <w:rPr>
          <w:spacing w:val="-5"/>
          <w:sz w:val="15"/>
        </w:rPr>
        <w:t xml:space="preserve"> </w:t>
      </w:r>
      <w:r>
        <w:rPr>
          <w:sz w:val="15"/>
        </w:rPr>
        <w:t>contra</w:t>
      </w:r>
      <w:r>
        <w:rPr>
          <w:spacing w:val="-5"/>
          <w:sz w:val="15"/>
        </w:rPr>
        <w:t xml:space="preserve"> </w:t>
      </w:r>
      <w:r>
        <w:rPr>
          <w:sz w:val="15"/>
        </w:rPr>
        <w:t>la</w:t>
      </w:r>
      <w:r>
        <w:rPr>
          <w:spacing w:val="-5"/>
          <w:sz w:val="15"/>
        </w:rPr>
        <w:t xml:space="preserve"> </w:t>
      </w:r>
      <w:r>
        <w:rPr>
          <w:sz w:val="15"/>
        </w:rPr>
        <w:t>discriminación,</w:t>
      </w:r>
      <w:r>
        <w:rPr>
          <w:spacing w:val="-4"/>
          <w:sz w:val="15"/>
        </w:rPr>
        <w:t xml:space="preserve"> </w:t>
      </w:r>
      <w:r>
        <w:rPr>
          <w:sz w:val="15"/>
        </w:rPr>
        <w:t>incluso</w:t>
      </w:r>
      <w:r>
        <w:rPr>
          <w:spacing w:val="-5"/>
          <w:sz w:val="15"/>
        </w:rPr>
        <w:t xml:space="preserve"> </w:t>
      </w:r>
      <w:r>
        <w:rPr>
          <w:sz w:val="15"/>
        </w:rPr>
        <w:t>por</w:t>
      </w:r>
      <w:r>
        <w:rPr>
          <w:spacing w:val="-5"/>
          <w:sz w:val="15"/>
        </w:rPr>
        <w:t xml:space="preserve"> </w:t>
      </w:r>
      <w:r>
        <w:rPr>
          <w:sz w:val="15"/>
        </w:rPr>
        <w:t>motivos</w:t>
      </w:r>
      <w:r>
        <w:rPr>
          <w:spacing w:val="-5"/>
          <w:sz w:val="15"/>
        </w:rPr>
        <w:t xml:space="preserve"> </w:t>
      </w:r>
      <w:r>
        <w:rPr>
          <w:sz w:val="15"/>
        </w:rPr>
        <w:t>de</w:t>
      </w:r>
      <w:r>
        <w:rPr>
          <w:spacing w:val="-5"/>
          <w:sz w:val="15"/>
        </w:rPr>
        <w:t xml:space="preserve"> </w:t>
      </w:r>
      <w:r>
        <w:rPr>
          <w:sz w:val="15"/>
        </w:rPr>
        <w:t>raza</w:t>
      </w:r>
      <w:r>
        <w:rPr>
          <w:spacing w:val="-5"/>
          <w:sz w:val="15"/>
        </w:rPr>
        <w:t xml:space="preserve"> </w:t>
      </w:r>
      <w:r>
        <w:rPr>
          <w:sz w:val="15"/>
        </w:rPr>
        <w:t>o</w:t>
      </w:r>
      <w:r>
        <w:rPr>
          <w:spacing w:val="-5"/>
          <w:sz w:val="15"/>
        </w:rPr>
        <w:t xml:space="preserve"> </w:t>
      </w:r>
      <w:r>
        <w:rPr>
          <w:sz w:val="15"/>
        </w:rPr>
        <w:t>etnia,</w:t>
      </w:r>
      <w:r>
        <w:rPr>
          <w:spacing w:val="-5"/>
          <w:sz w:val="15"/>
        </w:rPr>
        <w:t xml:space="preserve"> </w:t>
      </w:r>
      <w:r>
        <w:rPr>
          <w:sz w:val="15"/>
        </w:rPr>
        <w:t>edad,</w:t>
      </w:r>
      <w:r>
        <w:rPr>
          <w:spacing w:val="-5"/>
          <w:sz w:val="15"/>
        </w:rPr>
        <w:t xml:space="preserve"> </w:t>
      </w:r>
      <w:r>
        <w:rPr>
          <w:sz w:val="15"/>
        </w:rPr>
        <w:t>género,</w:t>
      </w:r>
      <w:r>
        <w:rPr>
          <w:spacing w:val="-5"/>
          <w:sz w:val="15"/>
        </w:rPr>
        <w:t xml:space="preserve"> </w:t>
      </w:r>
      <w:r>
        <w:rPr>
          <w:sz w:val="15"/>
        </w:rPr>
        <w:t>religión,</w:t>
      </w:r>
      <w:r>
        <w:rPr>
          <w:spacing w:val="-4"/>
          <w:sz w:val="15"/>
        </w:rPr>
        <w:t xml:space="preserve"> </w:t>
      </w:r>
      <w:r>
        <w:rPr>
          <w:sz w:val="15"/>
        </w:rPr>
        <w:t>discapacidad</w:t>
      </w:r>
      <w:r>
        <w:rPr>
          <w:spacing w:val="-5"/>
          <w:sz w:val="15"/>
        </w:rPr>
        <w:t xml:space="preserve"> </w:t>
      </w:r>
      <w:r>
        <w:rPr>
          <w:sz w:val="15"/>
        </w:rPr>
        <w:t>y</w:t>
      </w:r>
      <w:r>
        <w:rPr>
          <w:spacing w:val="-5"/>
          <w:sz w:val="15"/>
        </w:rPr>
        <w:t xml:space="preserve"> </w:t>
      </w:r>
      <w:r>
        <w:rPr>
          <w:sz w:val="15"/>
        </w:rPr>
        <w:t>orientación sexual o identidad de género”.1</w:t>
      </w:r>
    </w:p>
    <w:p w14:paraId="3788FAA2" w14:textId="77777777" w:rsidR="0014798C" w:rsidRDefault="004E1F0B">
      <w:pPr>
        <w:pStyle w:val="Textoindependiente"/>
        <w:spacing w:before="158" w:line="326" w:lineRule="auto"/>
        <w:ind w:left="1108" w:right="1272"/>
      </w:pPr>
      <w:r>
        <w:t>No es coincidencia que un llamado a la promulgación de una ley integral contra la discriminación esté en el centro de Nuestra Agenda Común. El reconocimiento de los Estados de la necesidad de eliminar todas las formas de discriminación –y su compromiso de hacerlo– se manifiesta tanto en las palabras iniciales de la Declaración Universal de Derechos Humanos como</w:t>
      </w:r>
    </w:p>
    <w:p w14:paraId="1D03DF23" w14:textId="77777777" w:rsidR="0014798C" w:rsidRDefault="004E1F0B">
      <w:pPr>
        <w:pStyle w:val="Textoindependiente"/>
        <w:spacing w:line="271" w:lineRule="auto"/>
        <w:ind w:left="1114" w:right="1272" w:hanging="5"/>
      </w:pPr>
      <w:r>
        <w:t xml:space="preserve">en el llamado de la Agenda 2030 para el Desarrollo Sostenible y sus Objetivos de Desarrollo Sostenible. para no dejar a nadie </w:t>
      </w:r>
      <w:r>
        <w:rPr>
          <w:spacing w:val="-2"/>
        </w:rPr>
        <w:t>atrás.</w:t>
      </w:r>
    </w:p>
    <w:p w14:paraId="389403BA" w14:textId="77777777" w:rsidR="0014798C" w:rsidRDefault="0014798C">
      <w:pPr>
        <w:pStyle w:val="Textoindependiente"/>
        <w:spacing w:before="78"/>
      </w:pPr>
    </w:p>
    <w:p w14:paraId="215FD163" w14:textId="77777777" w:rsidR="0014798C" w:rsidRDefault="004E1F0B">
      <w:pPr>
        <w:spacing w:line="348" w:lineRule="auto"/>
        <w:ind w:left="1109" w:right="1463" w:hanging="4"/>
        <w:rPr>
          <w:sz w:val="15"/>
        </w:rPr>
      </w:pPr>
      <w:r>
        <w:rPr>
          <w:sz w:val="15"/>
        </w:rPr>
        <w:t>Esta</w:t>
      </w:r>
      <w:r>
        <w:rPr>
          <w:spacing w:val="-9"/>
          <w:sz w:val="15"/>
        </w:rPr>
        <w:t xml:space="preserve"> </w:t>
      </w:r>
      <w:r>
        <w:rPr>
          <w:sz w:val="15"/>
        </w:rPr>
        <w:t>guía</w:t>
      </w:r>
      <w:r>
        <w:rPr>
          <w:spacing w:val="-9"/>
          <w:sz w:val="15"/>
        </w:rPr>
        <w:t xml:space="preserve"> </w:t>
      </w:r>
      <w:r>
        <w:rPr>
          <w:sz w:val="15"/>
        </w:rPr>
        <w:t>proporciona</w:t>
      </w:r>
      <w:r>
        <w:rPr>
          <w:spacing w:val="-9"/>
          <w:sz w:val="15"/>
        </w:rPr>
        <w:t xml:space="preserve"> </w:t>
      </w:r>
      <w:r>
        <w:rPr>
          <w:sz w:val="15"/>
        </w:rPr>
        <w:t>instrucciones</w:t>
      </w:r>
      <w:r>
        <w:rPr>
          <w:spacing w:val="-9"/>
          <w:sz w:val="15"/>
        </w:rPr>
        <w:t xml:space="preserve"> </w:t>
      </w:r>
      <w:r>
        <w:rPr>
          <w:sz w:val="15"/>
        </w:rPr>
        <w:t>sobre</w:t>
      </w:r>
      <w:r>
        <w:rPr>
          <w:spacing w:val="-9"/>
          <w:sz w:val="15"/>
        </w:rPr>
        <w:t xml:space="preserve"> </w:t>
      </w:r>
      <w:r>
        <w:rPr>
          <w:sz w:val="15"/>
        </w:rPr>
        <w:t>cómo</w:t>
      </w:r>
      <w:r>
        <w:rPr>
          <w:spacing w:val="-9"/>
          <w:sz w:val="15"/>
        </w:rPr>
        <w:t xml:space="preserve"> </w:t>
      </w:r>
      <w:r>
        <w:rPr>
          <w:sz w:val="15"/>
        </w:rPr>
        <w:t>desarrollar</w:t>
      </w:r>
      <w:r>
        <w:rPr>
          <w:spacing w:val="-9"/>
          <w:sz w:val="15"/>
        </w:rPr>
        <w:t xml:space="preserve"> </w:t>
      </w:r>
      <w:r>
        <w:rPr>
          <w:sz w:val="15"/>
        </w:rPr>
        <w:t>y</w:t>
      </w:r>
      <w:r>
        <w:rPr>
          <w:spacing w:val="-9"/>
          <w:sz w:val="15"/>
        </w:rPr>
        <w:t xml:space="preserve"> </w:t>
      </w:r>
      <w:r>
        <w:rPr>
          <w:sz w:val="15"/>
        </w:rPr>
        <w:t>promulgar</w:t>
      </w:r>
      <w:r>
        <w:rPr>
          <w:spacing w:val="-9"/>
          <w:sz w:val="15"/>
        </w:rPr>
        <w:t xml:space="preserve"> </w:t>
      </w:r>
      <w:r>
        <w:rPr>
          <w:sz w:val="15"/>
        </w:rPr>
        <w:t>dichas</w:t>
      </w:r>
      <w:r>
        <w:rPr>
          <w:spacing w:val="-9"/>
          <w:sz w:val="15"/>
        </w:rPr>
        <w:t xml:space="preserve"> </w:t>
      </w:r>
      <w:r>
        <w:rPr>
          <w:sz w:val="15"/>
        </w:rPr>
        <w:t>leyes</w:t>
      </w:r>
      <w:r>
        <w:rPr>
          <w:spacing w:val="-9"/>
          <w:sz w:val="15"/>
        </w:rPr>
        <w:t xml:space="preserve"> </w:t>
      </w:r>
      <w:r>
        <w:rPr>
          <w:sz w:val="15"/>
        </w:rPr>
        <w:t>y</w:t>
      </w:r>
      <w:r>
        <w:rPr>
          <w:spacing w:val="-9"/>
          <w:sz w:val="15"/>
        </w:rPr>
        <w:t xml:space="preserve"> </w:t>
      </w:r>
      <w:r>
        <w:rPr>
          <w:sz w:val="15"/>
        </w:rPr>
        <w:t>así</w:t>
      </w:r>
      <w:r>
        <w:rPr>
          <w:spacing w:val="-9"/>
          <w:sz w:val="15"/>
        </w:rPr>
        <w:t xml:space="preserve"> </w:t>
      </w:r>
      <w:r>
        <w:rPr>
          <w:sz w:val="15"/>
        </w:rPr>
        <w:t>proporcionar</w:t>
      </w:r>
      <w:r>
        <w:rPr>
          <w:spacing w:val="-9"/>
          <w:sz w:val="15"/>
        </w:rPr>
        <w:t xml:space="preserve"> </w:t>
      </w:r>
      <w:r>
        <w:rPr>
          <w:sz w:val="15"/>
        </w:rPr>
        <w:t>el</w:t>
      </w:r>
      <w:r>
        <w:rPr>
          <w:spacing w:val="-9"/>
          <w:sz w:val="15"/>
        </w:rPr>
        <w:t xml:space="preserve"> </w:t>
      </w:r>
      <w:r>
        <w:rPr>
          <w:sz w:val="15"/>
        </w:rPr>
        <w:t>marco</w:t>
      </w:r>
      <w:r>
        <w:rPr>
          <w:spacing w:val="-9"/>
          <w:sz w:val="15"/>
        </w:rPr>
        <w:t xml:space="preserve"> </w:t>
      </w:r>
      <w:r>
        <w:rPr>
          <w:sz w:val="15"/>
        </w:rPr>
        <w:t>y</w:t>
      </w:r>
      <w:r>
        <w:rPr>
          <w:spacing w:val="-9"/>
          <w:sz w:val="15"/>
        </w:rPr>
        <w:t xml:space="preserve"> </w:t>
      </w:r>
      <w:r>
        <w:rPr>
          <w:sz w:val="15"/>
        </w:rPr>
        <w:t>la</w:t>
      </w:r>
      <w:r>
        <w:rPr>
          <w:spacing w:val="-9"/>
          <w:sz w:val="15"/>
        </w:rPr>
        <w:t xml:space="preserve"> </w:t>
      </w:r>
      <w:r>
        <w:rPr>
          <w:sz w:val="15"/>
        </w:rPr>
        <w:t>base</w:t>
      </w:r>
      <w:r>
        <w:rPr>
          <w:spacing w:val="-9"/>
          <w:sz w:val="15"/>
        </w:rPr>
        <w:t xml:space="preserve"> </w:t>
      </w:r>
      <w:r>
        <w:rPr>
          <w:sz w:val="15"/>
        </w:rPr>
        <w:t>necesarios</w:t>
      </w:r>
      <w:r>
        <w:rPr>
          <w:spacing w:val="-9"/>
          <w:sz w:val="15"/>
        </w:rPr>
        <w:t xml:space="preserve"> </w:t>
      </w:r>
      <w:r>
        <w:rPr>
          <w:sz w:val="15"/>
        </w:rPr>
        <w:t>para un mundo en el que todos sean iguales en dignidad y derechos.</w:t>
      </w:r>
    </w:p>
    <w:p w14:paraId="73F07C22" w14:textId="77777777" w:rsidR="0014798C" w:rsidRDefault="0014798C">
      <w:pPr>
        <w:pStyle w:val="Textoindependiente"/>
        <w:rPr>
          <w:sz w:val="20"/>
        </w:rPr>
      </w:pPr>
    </w:p>
    <w:p w14:paraId="6BD714E4" w14:textId="77777777" w:rsidR="0014798C" w:rsidRDefault="0014798C">
      <w:pPr>
        <w:pStyle w:val="Textoindependiente"/>
        <w:rPr>
          <w:sz w:val="20"/>
        </w:rPr>
      </w:pPr>
    </w:p>
    <w:p w14:paraId="35496870" w14:textId="77777777" w:rsidR="0014798C" w:rsidRDefault="0014798C">
      <w:pPr>
        <w:pStyle w:val="Textoindependiente"/>
        <w:rPr>
          <w:sz w:val="20"/>
        </w:rPr>
      </w:pPr>
    </w:p>
    <w:p w14:paraId="5C386308" w14:textId="77777777" w:rsidR="0014798C" w:rsidRDefault="0014798C">
      <w:pPr>
        <w:pStyle w:val="Textoindependiente"/>
        <w:rPr>
          <w:sz w:val="20"/>
        </w:rPr>
      </w:pPr>
    </w:p>
    <w:p w14:paraId="7A3C1BA5" w14:textId="77777777" w:rsidR="0014798C" w:rsidRDefault="0014798C">
      <w:pPr>
        <w:pStyle w:val="Textoindependiente"/>
        <w:rPr>
          <w:sz w:val="20"/>
        </w:rPr>
      </w:pPr>
    </w:p>
    <w:p w14:paraId="6EFD7ECD" w14:textId="77777777" w:rsidR="0014798C" w:rsidRDefault="0014798C">
      <w:pPr>
        <w:pStyle w:val="Textoindependiente"/>
        <w:rPr>
          <w:sz w:val="20"/>
        </w:rPr>
      </w:pPr>
    </w:p>
    <w:p w14:paraId="0DF6740A" w14:textId="77777777" w:rsidR="0014798C" w:rsidRDefault="0014798C">
      <w:pPr>
        <w:pStyle w:val="Textoindependiente"/>
        <w:spacing w:before="181"/>
        <w:rPr>
          <w:sz w:val="20"/>
        </w:rPr>
      </w:pPr>
    </w:p>
    <w:p w14:paraId="42CE56F5" w14:textId="77777777" w:rsidR="0014798C" w:rsidRDefault="0014798C">
      <w:pPr>
        <w:rPr>
          <w:sz w:val="20"/>
        </w:rPr>
        <w:sectPr w:rsidR="0014798C" w:rsidSect="00F265E4">
          <w:headerReference w:type="default" r:id="rId19"/>
          <w:pgSz w:w="11900" w:h="16820"/>
          <w:pgMar w:top="40" w:right="0" w:bottom="280" w:left="200" w:header="0" w:footer="0" w:gutter="0"/>
          <w:cols w:space="720"/>
        </w:sectPr>
      </w:pPr>
    </w:p>
    <w:p w14:paraId="00EADF1B" w14:textId="77777777" w:rsidR="0014798C" w:rsidRDefault="004E1F0B">
      <w:pPr>
        <w:spacing w:before="136" w:line="367" w:lineRule="auto"/>
        <w:ind w:left="1114" w:hanging="8"/>
        <w:rPr>
          <w:sz w:val="15"/>
        </w:rPr>
      </w:pPr>
      <w:r>
        <w:rPr>
          <w:sz w:val="15"/>
        </w:rPr>
        <w:t>Dra.</w:t>
      </w:r>
      <w:r>
        <w:rPr>
          <w:spacing w:val="-6"/>
          <w:sz w:val="15"/>
        </w:rPr>
        <w:t xml:space="preserve"> </w:t>
      </w:r>
      <w:r>
        <w:rPr>
          <w:sz w:val="15"/>
        </w:rPr>
        <w:t>Evelyn</w:t>
      </w:r>
      <w:r>
        <w:rPr>
          <w:spacing w:val="-6"/>
          <w:sz w:val="15"/>
        </w:rPr>
        <w:t xml:space="preserve"> </w:t>
      </w:r>
      <w:r>
        <w:rPr>
          <w:sz w:val="15"/>
        </w:rPr>
        <w:t>Collins</w:t>
      </w:r>
      <w:r>
        <w:rPr>
          <w:spacing w:val="-6"/>
          <w:sz w:val="15"/>
        </w:rPr>
        <w:t xml:space="preserve"> </w:t>
      </w:r>
      <w:r>
        <w:rPr>
          <w:sz w:val="15"/>
        </w:rPr>
        <w:t xml:space="preserve">CBE </w:t>
      </w:r>
      <w:r>
        <w:rPr>
          <w:spacing w:val="-2"/>
          <w:sz w:val="15"/>
        </w:rPr>
        <w:t>Presidente</w:t>
      </w:r>
      <w:r>
        <w:rPr>
          <w:spacing w:val="-3"/>
          <w:sz w:val="15"/>
        </w:rPr>
        <w:t xml:space="preserve"> </w:t>
      </w:r>
      <w:r>
        <w:rPr>
          <w:spacing w:val="-2"/>
          <w:sz w:val="15"/>
        </w:rPr>
        <w:t>del</w:t>
      </w:r>
      <w:r>
        <w:rPr>
          <w:spacing w:val="-3"/>
          <w:sz w:val="15"/>
        </w:rPr>
        <w:t xml:space="preserve"> </w:t>
      </w:r>
      <w:r>
        <w:rPr>
          <w:spacing w:val="-2"/>
          <w:sz w:val="15"/>
        </w:rPr>
        <w:t>Patronato</w:t>
      </w:r>
    </w:p>
    <w:p w14:paraId="4D7DCA14" w14:textId="77777777" w:rsidR="0014798C" w:rsidRDefault="004E1F0B">
      <w:pPr>
        <w:spacing w:before="84"/>
        <w:ind w:left="1109"/>
        <w:rPr>
          <w:sz w:val="9"/>
        </w:rPr>
      </w:pPr>
      <w:r>
        <w:rPr>
          <w:spacing w:val="-2"/>
          <w:w w:val="110"/>
          <w:sz w:val="9"/>
        </w:rPr>
        <w:t>Fideicomiso</w:t>
      </w:r>
      <w:r>
        <w:rPr>
          <w:spacing w:val="1"/>
          <w:w w:val="110"/>
          <w:sz w:val="9"/>
        </w:rPr>
        <w:t xml:space="preserve"> </w:t>
      </w:r>
      <w:r>
        <w:rPr>
          <w:spacing w:val="-2"/>
          <w:w w:val="110"/>
          <w:sz w:val="9"/>
        </w:rPr>
        <w:t>de</w:t>
      </w:r>
      <w:r>
        <w:rPr>
          <w:spacing w:val="1"/>
          <w:w w:val="110"/>
          <w:sz w:val="9"/>
        </w:rPr>
        <w:t xml:space="preserve"> </w:t>
      </w:r>
      <w:r>
        <w:rPr>
          <w:spacing w:val="-2"/>
          <w:w w:val="110"/>
          <w:sz w:val="9"/>
        </w:rPr>
        <w:t>igualdad</w:t>
      </w:r>
      <w:r>
        <w:rPr>
          <w:spacing w:val="1"/>
          <w:w w:val="110"/>
          <w:sz w:val="9"/>
        </w:rPr>
        <w:t xml:space="preserve"> </w:t>
      </w:r>
      <w:r>
        <w:rPr>
          <w:spacing w:val="-2"/>
          <w:w w:val="110"/>
          <w:sz w:val="9"/>
        </w:rPr>
        <w:t>de</w:t>
      </w:r>
      <w:r>
        <w:rPr>
          <w:spacing w:val="1"/>
          <w:w w:val="110"/>
          <w:sz w:val="9"/>
        </w:rPr>
        <w:t xml:space="preserve"> </w:t>
      </w:r>
      <w:r>
        <w:rPr>
          <w:spacing w:val="-2"/>
          <w:w w:val="110"/>
          <w:sz w:val="9"/>
        </w:rPr>
        <w:t>derechos</w:t>
      </w:r>
    </w:p>
    <w:p w14:paraId="6DBE2EBD" w14:textId="77777777" w:rsidR="0014798C" w:rsidRDefault="004E1F0B">
      <w:pPr>
        <w:spacing w:before="93"/>
        <w:ind w:left="3166"/>
        <w:rPr>
          <w:sz w:val="15"/>
        </w:rPr>
      </w:pPr>
      <w:r>
        <w:br w:type="column"/>
      </w:r>
      <w:proofErr w:type="spellStart"/>
      <w:r>
        <w:rPr>
          <w:sz w:val="15"/>
        </w:rPr>
        <w:t>Volker</w:t>
      </w:r>
      <w:proofErr w:type="spellEnd"/>
      <w:r>
        <w:rPr>
          <w:spacing w:val="-10"/>
          <w:sz w:val="15"/>
        </w:rPr>
        <w:t xml:space="preserve"> </w:t>
      </w:r>
      <w:proofErr w:type="spellStart"/>
      <w:r>
        <w:rPr>
          <w:spacing w:val="-4"/>
          <w:sz w:val="15"/>
        </w:rPr>
        <w:t>Türk</w:t>
      </w:r>
      <w:proofErr w:type="spellEnd"/>
    </w:p>
    <w:p w14:paraId="34140D49" w14:textId="77777777" w:rsidR="0014798C" w:rsidRDefault="0014798C">
      <w:pPr>
        <w:pStyle w:val="Textoindependiente"/>
        <w:spacing w:before="4"/>
        <w:rPr>
          <w:sz w:val="15"/>
        </w:rPr>
      </w:pPr>
    </w:p>
    <w:p w14:paraId="004E707B" w14:textId="77777777" w:rsidR="0014798C" w:rsidRDefault="004E1F0B">
      <w:pPr>
        <w:ind w:right="1316"/>
        <w:jc w:val="right"/>
        <w:rPr>
          <w:sz w:val="15"/>
        </w:rPr>
      </w:pPr>
      <w:r>
        <w:rPr>
          <w:noProof/>
        </w:rPr>
        <w:drawing>
          <wp:anchor distT="0" distB="0" distL="0" distR="0" simplePos="0" relativeHeight="251658348" behindDoc="1" locked="0" layoutInCell="1" allowOverlap="1" wp14:anchorId="02E0A19A" wp14:editId="7EA43D86">
            <wp:simplePos x="0" y="0"/>
            <wp:positionH relativeFrom="page">
              <wp:posOffset>826632</wp:posOffset>
            </wp:positionH>
            <wp:positionV relativeFrom="paragraph">
              <wp:posOffset>-1031811</wp:posOffset>
            </wp:positionV>
            <wp:extent cx="5880771" cy="4803394"/>
            <wp:effectExtent l="0" t="0" r="0" b="0"/>
            <wp:wrapNone/>
            <wp:docPr id="15" name="Image 1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5" name="Image 15"/>
                    <pic:cNvPicPr/>
                  </pic:nvPicPr>
                  <pic:blipFill>
                    <a:blip r:embed="rId20" cstate="print"/>
                    <a:stretch>
                      <a:fillRect/>
                    </a:stretch>
                  </pic:blipFill>
                  <pic:spPr>
                    <a:xfrm>
                      <a:off x="0" y="0"/>
                      <a:ext cx="5880771" cy="4803394"/>
                    </a:xfrm>
                    <a:prstGeom prst="rect">
                      <a:avLst/>
                    </a:prstGeom>
                  </pic:spPr>
                </pic:pic>
              </a:graphicData>
            </a:graphic>
          </wp:anchor>
        </w:drawing>
      </w:r>
      <w:r>
        <w:rPr>
          <w:spacing w:val="-2"/>
          <w:sz w:val="15"/>
        </w:rPr>
        <w:t>Alto</w:t>
      </w:r>
      <w:r>
        <w:rPr>
          <w:spacing w:val="-1"/>
          <w:sz w:val="15"/>
        </w:rPr>
        <w:t xml:space="preserve"> </w:t>
      </w:r>
      <w:r>
        <w:rPr>
          <w:spacing w:val="-2"/>
          <w:sz w:val="15"/>
        </w:rPr>
        <w:t>Comisionado</w:t>
      </w:r>
      <w:r>
        <w:rPr>
          <w:spacing w:val="-1"/>
          <w:sz w:val="15"/>
        </w:rPr>
        <w:t xml:space="preserve"> </w:t>
      </w:r>
      <w:r>
        <w:rPr>
          <w:spacing w:val="-2"/>
          <w:sz w:val="15"/>
        </w:rPr>
        <w:t>de</w:t>
      </w:r>
      <w:r>
        <w:rPr>
          <w:sz w:val="15"/>
        </w:rPr>
        <w:t xml:space="preserve"> </w:t>
      </w:r>
      <w:r>
        <w:rPr>
          <w:spacing w:val="-2"/>
          <w:sz w:val="15"/>
        </w:rPr>
        <w:t>las</w:t>
      </w:r>
      <w:r>
        <w:rPr>
          <w:spacing w:val="-1"/>
          <w:sz w:val="15"/>
        </w:rPr>
        <w:t xml:space="preserve"> </w:t>
      </w:r>
      <w:r>
        <w:rPr>
          <w:spacing w:val="-2"/>
          <w:sz w:val="15"/>
        </w:rPr>
        <w:t>Naciones</w:t>
      </w:r>
      <w:r>
        <w:rPr>
          <w:spacing w:val="-1"/>
          <w:sz w:val="15"/>
        </w:rPr>
        <w:t xml:space="preserve"> </w:t>
      </w:r>
      <w:r>
        <w:rPr>
          <w:spacing w:val="-2"/>
          <w:sz w:val="15"/>
        </w:rPr>
        <w:t>Unidas</w:t>
      </w:r>
      <w:r>
        <w:rPr>
          <w:sz w:val="15"/>
        </w:rPr>
        <w:t xml:space="preserve"> </w:t>
      </w:r>
      <w:r>
        <w:rPr>
          <w:spacing w:val="-4"/>
          <w:sz w:val="15"/>
        </w:rPr>
        <w:t>para</w:t>
      </w:r>
    </w:p>
    <w:p w14:paraId="5C3DD2AF" w14:textId="77777777" w:rsidR="0014798C" w:rsidRDefault="004E1F0B">
      <w:pPr>
        <w:spacing w:before="77"/>
        <w:ind w:right="1334"/>
        <w:jc w:val="right"/>
        <w:rPr>
          <w:sz w:val="15"/>
        </w:rPr>
      </w:pPr>
      <w:r>
        <w:rPr>
          <w:sz w:val="15"/>
        </w:rPr>
        <w:t>los</w:t>
      </w:r>
      <w:r>
        <w:rPr>
          <w:spacing w:val="-10"/>
          <w:sz w:val="15"/>
        </w:rPr>
        <w:t xml:space="preserve"> </w:t>
      </w:r>
      <w:r>
        <w:rPr>
          <w:sz w:val="15"/>
        </w:rPr>
        <w:t>Derechos</w:t>
      </w:r>
      <w:r>
        <w:rPr>
          <w:spacing w:val="-9"/>
          <w:sz w:val="15"/>
        </w:rPr>
        <w:t xml:space="preserve"> </w:t>
      </w:r>
      <w:r>
        <w:rPr>
          <w:spacing w:val="-2"/>
          <w:sz w:val="15"/>
        </w:rPr>
        <w:t>Humanos</w:t>
      </w:r>
    </w:p>
    <w:p w14:paraId="4AC85FAA" w14:textId="77777777" w:rsidR="0014798C" w:rsidRDefault="0014798C">
      <w:pPr>
        <w:jc w:val="right"/>
        <w:rPr>
          <w:sz w:val="15"/>
        </w:rPr>
        <w:sectPr w:rsidR="0014798C" w:rsidSect="00F265E4">
          <w:type w:val="continuous"/>
          <w:pgSz w:w="11900" w:h="16820"/>
          <w:pgMar w:top="40" w:right="0" w:bottom="280" w:left="200" w:header="0" w:footer="0" w:gutter="0"/>
          <w:cols w:num="2" w:space="720" w:equalWidth="0">
            <w:col w:w="2784" w:space="3398"/>
            <w:col w:w="5518"/>
          </w:cols>
        </w:sectPr>
      </w:pPr>
    </w:p>
    <w:p w14:paraId="040AC7B1" w14:textId="77777777" w:rsidR="0014798C" w:rsidRDefault="0014798C">
      <w:pPr>
        <w:pStyle w:val="Textoindependiente"/>
        <w:rPr>
          <w:sz w:val="13"/>
        </w:rPr>
      </w:pPr>
    </w:p>
    <w:p w14:paraId="2C9B76FE" w14:textId="77777777" w:rsidR="0014798C" w:rsidRDefault="0014798C">
      <w:pPr>
        <w:pStyle w:val="Textoindependiente"/>
        <w:rPr>
          <w:sz w:val="13"/>
        </w:rPr>
      </w:pPr>
    </w:p>
    <w:p w14:paraId="6330AFC2" w14:textId="77777777" w:rsidR="0014798C" w:rsidRDefault="0014798C">
      <w:pPr>
        <w:pStyle w:val="Textoindependiente"/>
        <w:rPr>
          <w:sz w:val="13"/>
        </w:rPr>
      </w:pPr>
    </w:p>
    <w:p w14:paraId="5DD39C3D" w14:textId="77777777" w:rsidR="0014798C" w:rsidRDefault="0014798C">
      <w:pPr>
        <w:pStyle w:val="Textoindependiente"/>
        <w:rPr>
          <w:sz w:val="13"/>
        </w:rPr>
      </w:pPr>
    </w:p>
    <w:p w14:paraId="1A1DA62E" w14:textId="77777777" w:rsidR="0014798C" w:rsidRDefault="0014798C">
      <w:pPr>
        <w:pStyle w:val="Textoindependiente"/>
        <w:rPr>
          <w:sz w:val="13"/>
        </w:rPr>
      </w:pPr>
    </w:p>
    <w:p w14:paraId="7E7CFA44" w14:textId="77777777" w:rsidR="0014798C" w:rsidRDefault="0014798C">
      <w:pPr>
        <w:pStyle w:val="Textoindependiente"/>
        <w:rPr>
          <w:sz w:val="13"/>
        </w:rPr>
      </w:pPr>
    </w:p>
    <w:p w14:paraId="1B99EE74" w14:textId="77777777" w:rsidR="0014798C" w:rsidRDefault="0014798C">
      <w:pPr>
        <w:pStyle w:val="Textoindependiente"/>
        <w:rPr>
          <w:sz w:val="13"/>
        </w:rPr>
      </w:pPr>
    </w:p>
    <w:p w14:paraId="7B5D9368" w14:textId="77777777" w:rsidR="0014798C" w:rsidRDefault="0014798C">
      <w:pPr>
        <w:pStyle w:val="Textoindependiente"/>
        <w:rPr>
          <w:sz w:val="13"/>
        </w:rPr>
      </w:pPr>
    </w:p>
    <w:p w14:paraId="4FECF09F" w14:textId="77777777" w:rsidR="0014798C" w:rsidRDefault="0014798C">
      <w:pPr>
        <w:pStyle w:val="Textoindependiente"/>
        <w:rPr>
          <w:sz w:val="13"/>
        </w:rPr>
      </w:pPr>
    </w:p>
    <w:p w14:paraId="4FD7D6B5" w14:textId="77777777" w:rsidR="0014798C" w:rsidRDefault="0014798C">
      <w:pPr>
        <w:pStyle w:val="Textoindependiente"/>
        <w:rPr>
          <w:sz w:val="13"/>
        </w:rPr>
      </w:pPr>
    </w:p>
    <w:p w14:paraId="2654BA84" w14:textId="77777777" w:rsidR="0014798C" w:rsidRDefault="0014798C">
      <w:pPr>
        <w:pStyle w:val="Textoindependiente"/>
        <w:rPr>
          <w:sz w:val="13"/>
        </w:rPr>
      </w:pPr>
    </w:p>
    <w:p w14:paraId="1B842ED9" w14:textId="77777777" w:rsidR="0014798C" w:rsidRDefault="0014798C">
      <w:pPr>
        <w:pStyle w:val="Textoindependiente"/>
        <w:rPr>
          <w:sz w:val="13"/>
        </w:rPr>
      </w:pPr>
    </w:p>
    <w:p w14:paraId="39060CF4" w14:textId="77777777" w:rsidR="0014798C" w:rsidRDefault="0014798C">
      <w:pPr>
        <w:pStyle w:val="Textoindependiente"/>
        <w:rPr>
          <w:sz w:val="13"/>
        </w:rPr>
      </w:pPr>
    </w:p>
    <w:p w14:paraId="382BC97A" w14:textId="77777777" w:rsidR="0014798C" w:rsidRDefault="0014798C">
      <w:pPr>
        <w:pStyle w:val="Textoindependiente"/>
        <w:rPr>
          <w:sz w:val="13"/>
        </w:rPr>
      </w:pPr>
    </w:p>
    <w:p w14:paraId="02DD2930" w14:textId="77777777" w:rsidR="0014798C" w:rsidRDefault="0014798C">
      <w:pPr>
        <w:pStyle w:val="Textoindependiente"/>
        <w:rPr>
          <w:sz w:val="13"/>
        </w:rPr>
      </w:pPr>
    </w:p>
    <w:p w14:paraId="7981BE12" w14:textId="77777777" w:rsidR="0014798C" w:rsidRDefault="0014798C">
      <w:pPr>
        <w:pStyle w:val="Textoindependiente"/>
        <w:rPr>
          <w:sz w:val="13"/>
        </w:rPr>
      </w:pPr>
    </w:p>
    <w:p w14:paraId="0165BC1F" w14:textId="77777777" w:rsidR="0014798C" w:rsidRDefault="0014798C">
      <w:pPr>
        <w:pStyle w:val="Textoindependiente"/>
        <w:rPr>
          <w:sz w:val="13"/>
        </w:rPr>
      </w:pPr>
    </w:p>
    <w:p w14:paraId="36EE93F4" w14:textId="77777777" w:rsidR="0014798C" w:rsidRDefault="0014798C">
      <w:pPr>
        <w:pStyle w:val="Textoindependiente"/>
        <w:rPr>
          <w:sz w:val="13"/>
        </w:rPr>
      </w:pPr>
    </w:p>
    <w:p w14:paraId="79AED54D" w14:textId="77777777" w:rsidR="0014798C" w:rsidRDefault="0014798C">
      <w:pPr>
        <w:pStyle w:val="Textoindependiente"/>
        <w:rPr>
          <w:sz w:val="13"/>
        </w:rPr>
      </w:pPr>
    </w:p>
    <w:p w14:paraId="4339D239" w14:textId="77777777" w:rsidR="0014798C" w:rsidRDefault="0014798C">
      <w:pPr>
        <w:pStyle w:val="Textoindependiente"/>
        <w:rPr>
          <w:sz w:val="13"/>
        </w:rPr>
      </w:pPr>
    </w:p>
    <w:p w14:paraId="1C42BA3D" w14:textId="77777777" w:rsidR="0014798C" w:rsidRDefault="0014798C">
      <w:pPr>
        <w:pStyle w:val="Textoindependiente"/>
        <w:rPr>
          <w:sz w:val="13"/>
        </w:rPr>
      </w:pPr>
    </w:p>
    <w:p w14:paraId="46EF6E5B" w14:textId="77777777" w:rsidR="0014798C" w:rsidRDefault="0014798C">
      <w:pPr>
        <w:pStyle w:val="Textoindependiente"/>
        <w:rPr>
          <w:sz w:val="13"/>
        </w:rPr>
      </w:pPr>
    </w:p>
    <w:p w14:paraId="6A697BBD" w14:textId="77777777" w:rsidR="0014798C" w:rsidRDefault="0014798C">
      <w:pPr>
        <w:pStyle w:val="Textoindependiente"/>
        <w:rPr>
          <w:sz w:val="13"/>
        </w:rPr>
      </w:pPr>
    </w:p>
    <w:p w14:paraId="6BBCE3F7" w14:textId="77777777" w:rsidR="0014798C" w:rsidRDefault="0014798C">
      <w:pPr>
        <w:pStyle w:val="Textoindependiente"/>
        <w:rPr>
          <w:sz w:val="13"/>
        </w:rPr>
      </w:pPr>
    </w:p>
    <w:p w14:paraId="4882608F" w14:textId="77777777" w:rsidR="0014798C" w:rsidRDefault="0014798C">
      <w:pPr>
        <w:pStyle w:val="Textoindependiente"/>
        <w:rPr>
          <w:sz w:val="13"/>
        </w:rPr>
      </w:pPr>
    </w:p>
    <w:p w14:paraId="4CBF2218" w14:textId="77777777" w:rsidR="0014798C" w:rsidRDefault="0014798C">
      <w:pPr>
        <w:pStyle w:val="Textoindependiente"/>
        <w:rPr>
          <w:sz w:val="13"/>
        </w:rPr>
      </w:pPr>
    </w:p>
    <w:p w14:paraId="5B8BCBE2" w14:textId="77777777" w:rsidR="0014798C" w:rsidRDefault="0014798C">
      <w:pPr>
        <w:pStyle w:val="Textoindependiente"/>
        <w:rPr>
          <w:sz w:val="13"/>
        </w:rPr>
      </w:pPr>
    </w:p>
    <w:p w14:paraId="1D197CCA" w14:textId="77777777" w:rsidR="0014798C" w:rsidRDefault="0014798C">
      <w:pPr>
        <w:pStyle w:val="Textoindependiente"/>
        <w:rPr>
          <w:sz w:val="13"/>
        </w:rPr>
      </w:pPr>
    </w:p>
    <w:p w14:paraId="75D50322" w14:textId="77777777" w:rsidR="0014798C" w:rsidRDefault="0014798C">
      <w:pPr>
        <w:pStyle w:val="Textoindependiente"/>
        <w:rPr>
          <w:sz w:val="13"/>
        </w:rPr>
      </w:pPr>
    </w:p>
    <w:p w14:paraId="07E62092" w14:textId="77777777" w:rsidR="0014798C" w:rsidRDefault="0014798C">
      <w:pPr>
        <w:pStyle w:val="Textoindependiente"/>
        <w:rPr>
          <w:sz w:val="13"/>
        </w:rPr>
      </w:pPr>
    </w:p>
    <w:p w14:paraId="227C4633" w14:textId="77777777" w:rsidR="0014798C" w:rsidRDefault="0014798C">
      <w:pPr>
        <w:pStyle w:val="Textoindependiente"/>
        <w:rPr>
          <w:sz w:val="13"/>
        </w:rPr>
      </w:pPr>
    </w:p>
    <w:p w14:paraId="149DDF1B" w14:textId="77777777" w:rsidR="0014798C" w:rsidRDefault="0014798C">
      <w:pPr>
        <w:pStyle w:val="Textoindependiente"/>
        <w:rPr>
          <w:sz w:val="13"/>
        </w:rPr>
      </w:pPr>
    </w:p>
    <w:p w14:paraId="0784DAB7" w14:textId="77777777" w:rsidR="0014798C" w:rsidRDefault="0014798C">
      <w:pPr>
        <w:pStyle w:val="Textoindependiente"/>
        <w:rPr>
          <w:sz w:val="13"/>
        </w:rPr>
      </w:pPr>
    </w:p>
    <w:p w14:paraId="0EC75209" w14:textId="77777777" w:rsidR="0014798C" w:rsidRDefault="0014798C">
      <w:pPr>
        <w:pStyle w:val="Textoindependiente"/>
        <w:rPr>
          <w:sz w:val="13"/>
        </w:rPr>
      </w:pPr>
    </w:p>
    <w:p w14:paraId="0FA2D58D" w14:textId="77777777" w:rsidR="0014798C" w:rsidRDefault="0014798C">
      <w:pPr>
        <w:pStyle w:val="Textoindependiente"/>
        <w:rPr>
          <w:sz w:val="13"/>
        </w:rPr>
      </w:pPr>
    </w:p>
    <w:p w14:paraId="74E73120" w14:textId="77777777" w:rsidR="0014798C" w:rsidRDefault="0014798C">
      <w:pPr>
        <w:pStyle w:val="Textoindependiente"/>
        <w:rPr>
          <w:sz w:val="13"/>
        </w:rPr>
      </w:pPr>
    </w:p>
    <w:p w14:paraId="64548D96" w14:textId="77777777" w:rsidR="0014798C" w:rsidRDefault="0014798C">
      <w:pPr>
        <w:pStyle w:val="Textoindependiente"/>
        <w:spacing w:before="137"/>
        <w:rPr>
          <w:sz w:val="13"/>
        </w:rPr>
      </w:pPr>
    </w:p>
    <w:p w14:paraId="1AC8A22A" w14:textId="77777777" w:rsidR="0014798C" w:rsidRPr="00B16F84" w:rsidRDefault="004E1F0B">
      <w:pPr>
        <w:tabs>
          <w:tab w:val="left" w:pos="1365"/>
        </w:tabs>
        <w:spacing w:before="1" w:line="288" w:lineRule="auto"/>
        <w:ind w:left="1369" w:right="1917" w:hanging="259"/>
        <w:rPr>
          <w:sz w:val="13"/>
          <w:lang w:val="es-CR"/>
        </w:rPr>
      </w:pPr>
      <w:r>
        <w:rPr>
          <w:spacing w:val="-10"/>
          <w:position w:val="4"/>
          <w:sz w:val="8"/>
        </w:rPr>
        <w:t>1</w:t>
      </w:r>
      <w:r>
        <w:rPr>
          <w:position w:val="4"/>
          <w:sz w:val="8"/>
        </w:rPr>
        <w:tab/>
      </w:r>
      <w:r>
        <w:rPr>
          <w:sz w:val="13"/>
        </w:rPr>
        <w:t>A/75/982,</w:t>
      </w:r>
      <w:r>
        <w:rPr>
          <w:spacing w:val="-5"/>
          <w:sz w:val="13"/>
        </w:rPr>
        <w:t xml:space="preserve"> </w:t>
      </w:r>
      <w:r>
        <w:rPr>
          <w:sz w:val="13"/>
        </w:rPr>
        <w:t>párr.</w:t>
      </w:r>
      <w:r>
        <w:rPr>
          <w:spacing w:val="-5"/>
          <w:sz w:val="13"/>
        </w:rPr>
        <w:t xml:space="preserve"> </w:t>
      </w:r>
      <w:r>
        <w:rPr>
          <w:sz w:val="13"/>
        </w:rPr>
        <w:t>34.</w:t>
      </w:r>
      <w:r>
        <w:rPr>
          <w:spacing w:val="-5"/>
          <w:sz w:val="13"/>
        </w:rPr>
        <w:t xml:space="preserve"> </w:t>
      </w:r>
      <w:r>
        <w:rPr>
          <w:sz w:val="13"/>
        </w:rPr>
        <w:t>El</w:t>
      </w:r>
      <w:r>
        <w:rPr>
          <w:spacing w:val="-5"/>
          <w:sz w:val="13"/>
        </w:rPr>
        <w:t xml:space="preserve"> </w:t>
      </w:r>
      <w:r>
        <w:rPr>
          <w:sz w:val="13"/>
        </w:rPr>
        <w:t>informe</w:t>
      </w:r>
      <w:r>
        <w:rPr>
          <w:spacing w:val="-5"/>
          <w:sz w:val="13"/>
        </w:rPr>
        <w:t xml:space="preserve"> </w:t>
      </w:r>
      <w:r>
        <w:rPr>
          <w:sz w:val="13"/>
        </w:rPr>
        <w:t>del</w:t>
      </w:r>
      <w:r>
        <w:rPr>
          <w:spacing w:val="-5"/>
          <w:sz w:val="13"/>
        </w:rPr>
        <w:t xml:space="preserve"> </w:t>
      </w:r>
      <w:r>
        <w:rPr>
          <w:sz w:val="13"/>
        </w:rPr>
        <w:t>Secretario</w:t>
      </w:r>
      <w:r>
        <w:rPr>
          <w:spacing w:val="-5"/>
          <w:sz w:val="13"/>
        </w:rPr>
        <w:t xml:space="preserve"> </w:t>
      </w:r>
      <w:r>
        <w:rPr>
          <w:sz w:val="13"/>
        </w:rPr>
        <w:t>General</w:t>
      </w:r>
      <w:r>
        <w:rPr>
          <w:spacing w:val="-5"/>
          <w:sz w:val="13"/>
        </w:rPr>
        <w:t xml:space="preserve"> </w:t>
      </w:r>
      <w:r>
        <w:rPr>
          <w:sz w:val="13"/>
        </w:rPr>
        <w:t>se</w:t>
      </w:r>
      <w:r>
        <w:rPr>
          <w:spacing w:val="-5"/>
          <w:sz w:val="13"/>
        </w:rPr>
        <w:t xml:space="preserve"> </w:t>
      </w:r>
      <w:r>
        <w:rPr>
          <w:sz w:val="13"/>
        </w:rPr>
        <w:t>presentó</w:t>
      </w:r>
      <w:r>
        <w:rPr>
          <w:spacing w:val="-5"/>
          <w:sz w:val="13"/>
        </w:rPr>
        <w:t xml:space="preserve"> </w:t>
      </w:r>
      <w:r>
        <w:rPr>
          <w:sz w:val="13"/>
        </w:rPr>
        <w:t>en</w:t>
      </w:r>
      <w:r>
        <w:rPr>
          <w:spacing w:val="-5"/>
          <w:sz w:val="13"/>
        </w:rPr>
        <w:t xml:space="preserve"> </w:t>
      </w:r>
      <w:r>
        <w:rPr>
          <w:sz w:val="13"/>
        </w:rPr>
        <w:t>el</w:t>
      </w:r>
      <w:r>
        <w:rPr>
          <w:spacing w:val="-5"/>
          <w:sz w:val="13"/>
        </w:rPr>
        <w:t xml:space="preserve"> </w:t>
      </w:r>
      <w:r>
        <w:rPr>
          <w:sz w:val="13"/>
        </w:rPr>
        <w:t>septuagésimo</w:t>
      </w:r>
      <w:r>
        <w:rPr>
          <w:spacing w:val="-5"/>
          <w:sz w:val="13"/>
        </w:rPr>
        <w:t xml:space="preserve"> </w:t>
      </w:r>
      <w:r>
        <w:rPr>
          <w:sz w:val="13"/>
        </w:rPr>
        <w:t>quinto</w:t>
      </w:r>
      <w:r>
        <w:rPr>
          <w:spacing w:val="-5"/>
          <w:sz w:val="13"/>
        </w:rPr>
        <w:t xml:space="preserve"> </w:t>
      </w:r>
      <w:r>
        <w:rPr>
          <w:sz w:val="13"/>
        </w:rPr>
        <w:t>período</w:t>
      </w:r>
      <w:r>
        <w:rPr>
          <w:spacing w:val="-5"/>
          <w:sz w:val="13"/>
        </w:rPr>
        <w:t xml:space="preserve"> </w:t>
      </w:r>
      <w:r>
        <w:rPr>
          <w:sz w:val="13"/>
        </w:rPr>
        <w:t>de</w:t>
      </w:r>
      <w:r>
        <w:rPr>
          <w:spacing w:val="-5"/>
          <w:sz w:val="13"/>
        </w:rPr>
        <w:t xml:space="preserve"> </w:t>
      </w:r>
      <w:r>
        <w:rPr>
          <w:sz w:val="13"/>
        </w:rPr>
        <w:t>sesiones</w:t>
      </w:r>
      <w:r>
        <w:rPr>
          <w:spacing w:val="-5"/>
          <w:sz w:val="13"/>
        </w:rPr>
        <w:t xml:space="preserve"> </w:t>
      </w:r>
      <w:r>
        <w:rPr>
          <w:sz w:val="13"/>
        </w:rPr>
        <w:t>de</w:t>
      </w:r>
      <w:r>
        <w:rPr>
          <w:spacing w:val="-5"/>
          <w:sz w:val="13"/>
        </w:rPr>
        <w:t xml:space="preserve"> </w:t>
      </w:r>
      <w:r>
        <w:rPr>
          <w:sz w:val="13"/>
        </w:rPr>
        <w:t>la</w:t>
      </w:r>
      <w:r>
        <w:rPr>
          <w:spacing w:val="-5"/>
          <w:sz w:val="13"/>
        </w:rPr>
        <w:t xml:space="preserve"> </w:t>
      </w:r>
      <w:r>
        <w:rPr>
          <w:sz w:val="13"/>
        </w:rPr>
        <w:t>Asamblea</w:t>
      </w:r>
      <w:r>
        <w:rPr>
          <w:spacing w:val="-5"/>
          <w:sz w:val="13"/>
        </w:rPr>
        <w:t xml:space="preserve"> </w:t>
      </w:r>
      <w:r>
        <w:rPr>
          <w:sz w:val="13"/>
        </w:rPr>
        <w:t>General</w:t>
      </w:r>
      <w:r>
        <w:rPr>
          <w:spacing w:val="-5"/>
          <w:sz w:val="13"/>
        </w:rPr>
        <w:t xml:space="preserve"> </w:t>
      </w:r>
      <w:r>
        <w:rPr>
          <w:sz w:val="13"/>
        </w:rPr>
        <w:t>en</w:t>
      </w:r>
      <w:r>
        <w:rPr>
          <w:spacing w:val="-5"/>
          <w:sz w:val="13"/>
        </w:rPr>
        <w:t xml:space="preserve"> </w:t>
      </w:r>
      <w:r>
        <w:rPr>
          <w:sz w:val="13"/>
        </w:rPr>
        <w:t>2021.</w:t>
      </w:r>
      <w:r>
        <w:rPr>
          <w:spacing w:val="40"/>
          <w:sz w:val="13"/>
        </w:rPr>
        <w:t xml:space="preserve"> </w:t>
      </w:r>
      <w:r w:rsidRPr="00B16F84">
        <w:rPr>
          <w:sz w:val="13"/>
          <w:lang w:val="es-CR"/>
        </w:rPr>
        <w:t xml:space="preserve">Véase también </w:t>
      </w:r>
      <w:hyperlink r:id="rId21">
        <w:r w:rsidRPr="00B16F84">
          <w:rPr>
            <w:color w:val="0075BF"/>
            <w:sz w:val="13"/>
            <w:lang w:val="es-CR"/>
          </w:rPr>
          <w:t>www.un.org/en/un75/common­</w:t>
        </w:r>
      </w:hyperlink>
      <w:r w:rsidRPr="00B16F84">
        <w:rPr>
          <w:color w:val="0075BF"/>
          <w:sz w:val="13"/>
          <w:lang w:val="es-CR"/>
        </w:rPr>
        <w:t>agenda.</w:t>
      </w:r>
    </w:p>
    <w:p w14:paraId="1E01E39A" w14:textId="77777777" w:rsidR="0014798C" w:rsidRPr="00B16F84" w:rsidRDefault="0014798C">
      <w:pPr>
        <w:pStyle w:val="Textoindependiente"/>
        <w:rPr>
          <w:sz w:val="18"/>
          <w:lang w:val="es-CR"/>
        </w:rPr>
      </w:pPr>
    </w:p>
    <w:p w14:paraId="49854337" w14:textId="77777777" w:rsidR="0014798C" w:rsidRPr="00B16F84" w:rsidRDefault="0014798C">
      <w:pPr>
        <w:pStyle w:val="Textoindependiente"/>
        <w:rPr>
          <w:sz w:val="18"/>
          <w:lang w:val="es-CR"/>
        </w:rPr>
      </w:pPr>
    </w:p>
    <w:p w14:paraId="18707EA2" w14:textId="77777777" w:rsidR="0014798C" w:rsidRPr="00B16F84" w:rsidRDefault="0014798C">
      <w:pPr>
        <w:pStyle w:val="Textoindependiente"/>
        <w:rPr>
          <w:sz w:val="18"/>
          <w:lang w:val="es-CR"/>
        </w:rPr>
      </w:pPr>
    </w:p>
    <w:p w14:paraId="2EB6C4AD" w14:textId="77777777" w:rsidR="0014798C" w:rsidRPr="00B16F84" w:rsidRDefault="0014798C">
      <w:pPr>
        <w:pStyle w:val="Textoindependiente"/>
        <w:spacing w:before="80"/>
        <w:rPr>
          <w:sz w:val="18"/>
          <w:lang w:val="es-CR"/>
        </w:rPr>
      </w:pPr>
    </w:p>
    <w:p w14:paraId="34A3E0B0" w14:textId="77777777" w:rsidR="0014798C" w:rsidRPr="00B16F84" w:rsidRDefault="004E1F0B">
      <w:pPr>
        <w:ind w:left="544"/>
        <w:rPr>
          <w:sz w:val="18"/>
          <w:lang w:val="es-CR"/>
        </w:rPr>
      </w:pPr>
      <w:proofErr w:type="spellStart"/>
      <w:r w:rsidRPr="00B16F84">
        <w:rPr>
          <w:spacing w:val="-4"/>
          <w:sz w:val="18"/>
          <w:lang w:val="es-CR"/>
        </w:rPr>
        <w:t>viii</w:t>
      </w:r>
      <w:proofErr w:type="spellEnd"/>
    </w:p>
    <w:p w14:paraId="0DEF907D" w14:textId="77777777" w:rsidR="0014798C" w:rsidRPr="00B16F84" w:rsidRDefault="0014798C">
      <w:pPr>
        <w:rPr>
          <w:sz w:val="18"/>
          <w:lang w:val="es-CR"/>
        </w:rPr>
        <w:sectPr w:rsidR="0014798C" w:rsidRPr="00B16F84" w:rsidSect="00F265E4">
          <w:type w:val="continuous"/>
          <w:pgSz w:w="11900" w:h="16820"/>
          <w:pgMar w:top="40" w:right="0" w:bottom="280" w:left="200" w:header="0" w:footer="0" w:gutter="0"/>
          <w:cols w:space="720"/>
        </w:sectPr>
      </w:pPr>
    </w:p>
    <w:p w14:paraId="5FD9EAAD" w14:textId="77777777" w:rsidR="0014798C" w:rsidRPr="00B16F84" w:rsidRDefault="0014798C">
      <w:pPr>
        <w:pStyle w:val="Textoindependiente"/>
        <w:rPr>
          <w:sz w:val="49"/>
          <w:lang w:val="es-CR"/>
        </w:rPr>
      </w:pPr>
    </w:p>
    <w:p w14:paraId="371856CE" w14:textId="77777777" w:rsidR="0034138A" w:rsidRPr="00B16F84" w:rsidRDefault="0034138A">
      <w:pPr>
        <w:pStyle w:val="Textoindependiente"/>
        <w:rPr>
          <w:sz w:val="49"/>
          <w:lang w:val="es-CR"/>
        </w:rPr>
      </w:pPr>
    </w:p>
    <w:p w14:paraId="460CDB58" w14:textId="77777777" w:rsidR="0014798C" w:rsidRPr="00B16F84" w:rsidRDefault="0014798C">
      <w:pPr>
        <w:pStyle w:val="Textoindependiente"/>
        <w:spacing w:before="139"/>
        <w:rPr>
          <w:sz w:val="49"/>
          <w:lang w:val="es-CR"/>
        </w:rPr>
      </w:pPr>
    </w:p>
    <w:p w14:paraId="76479967" w14:textId="77777777" w:rsidR="0014798C" w:rsidRDefault="004E1F0B">
      <w:pPr>
        <w:pStyle w:val="Ttulo1"/>
      </w:pPr>
      <w:bookmarkStart w:id="0" w:name="_TOC_250010"/>
      <w:bookmarkEnd w:id="0"/>
      <w:r>
        <w:rPr>
          <w:spacing w:val="-2"/>
        </w:rPr>
        <w:t>AGRADECIMIENTOS</w:t>
      </w:r>
    </w:p>
    <w:p w14:paraId="33D50DD6" w14:textId="77777777" w:rsidR="0014798C" w:rsidRDefault="0014798C">
      <w:pPr>
        <w:pStyle w:val="Textoindependiente"/>
        <w:spacing w:before="60"/>
        <w:rPr>
          <w:sz w:val="17"/>
        </w:rPr>
      </w:pPr>
    </w:p>
    <w:p w14:paraId="0F80A9AE" w14:textId="77777777" w:rsidR="0014798C" w:rsidRDefault="004E1F0B">
      <w:pPr>
        <w:spacing w:before="1" w:line="307" w:lineRule="auto"/>
        <w:ind w:left="1105" w:right="1272"/>
        <w:rPr>
          <w:sz w:val="17"/>
        </w:rPr>
      </w:pPr>
      <w:r>
        <w:rPr>
          <w:sz w:val="17"/>
        </w:rPr>
        <w:t xml:space="preserve">La presente guía es producto de una colaboración de dos años entre la Oficina del Alto Comisionado de las Naciones Unidas para los Derechos Humanos (ACNUDH), expresión institucional de un compromiso global con los derechos humanos, y </w:t>
      </w:r>
      <w:proofErr w:type="spellStart"/>
      <w:r>
        <w:rPr>
          <w:sz w:val="17"/>
        </w:rPr>
        <w:t>Equal</w:t>
      </w:r>
      <w:proofErr w:type="spellEnd"/>
      <w:r>
        <w:rPr>
          <w:spacing w:val="-1"/>
          <w:sz w:val="17"/>
        </w:rPr>
        <w:t xml:space="preserve"> </w:t>
      </w:r>
      <w:proofErr w:type="spellStart"/>
      <w:r>
        <w:rPr>
          <w:sz w:val="17"/>
        </w:rPr>
        <w:t>Rights</w:t>
      </w:r>
      <w:proofErr w:type="spellEnd"/>
      <w:r>
        <w:rPr>
          <w:spacing w:val="-1"/>
          <w:sz w:val="17"/>
        </w:rPr>
        <w:t xml:space="preserve"> </w:t>
      </w:r>
      <w:r>
        <w:rPr>
          <w:sz w:val="17"/>
        </w:rPr>
        <w:t>Trust, la principal sociedad civil internacional. organización que apoya a quienes</w:t>
      </w:r>
      <w:r>
        <w:rPr>
          <w:spacing w:val="-1"/>
          <w:sz w:val="17"/>
        </w:rPr>
        <w:t xml:space="preserve"> </w:t>
      </w:r>
      <w:r>
        <w:rPr>
          <w:sz w:val="17"/>
        </w:rPr>
        <w:t>trabajan</w:t>
      </w:r>
      <w:r>
        <w:rPr>
          <w:spacing w:val="-1"/>
          <w:sz w:val="17"/>
        </w:rPr>
        <w:t xml:space="preserve"> </w:t>
      </w:r>
      <w:r>
        <w:rPr>
          <w:sz w:val="17"/>
        </w:rPr>
        <w:t>para asegurar la adopción e implementación de leyes de igualdad.</w:t>
      </w:r>
    </w:p>
    <w:p w14:paraId="55FA3101" w14:textId="77777777" w:rsidR="0014798C" w:rsidRDefault="004E1F0B">
      <w:pPr>
        <w:spacing w:before="168" w:line="307" w:lineRule="auto"/>
        <w:ind w:left="1109" w:right="1272" w:hanging="4"/>
        <w:rPr>
          <w:sz w:val="17"/>
        </w:rPr>
      </w:pPr>
      <w:r>
        <w:rPr>
          <w:sz w:val="17"/>
        </w:rPr>
        <w:t>La investigación, el desarrollo y la redacción de la guía fueron realizados por un equipo conjunto. En el caso del ACNUDH, la Sección</w:t>
      </w:r>
      <w:r>
        <w:rPr>
          <w:spacing w:val="-1"/>
          <w:sz w:val="17"/>
        </w:rPr>
        <w:t xml:space="preserve"> </w:t>
      </w:r>
      <w:r>
        <w:rPr>
          <w:sz w:val="17"/>
        </w:rPr>
        <w:t>de Pueblos</w:t>
      </w:r>
      <w:r>
        <w:rPr>
          <w:spacing w:val="-1"/>
          <w:sz w:val="17"/>
        </w:rPr>
        <w:t xml:space="preserve"> </w:t>
      </w:r>
      <w:r>
        <w:rPr>
          <w:sz w:val="17"/>
        </w:rPr>
        <w:t>y Minorías</w:t>
      </w:r>
      <w:r>
        <w:rPr>
          <w:spacing w:val="-1"/>
          <w:sz w:val="17"/>
        </w:rPr>
        <w:t xml:space="preserve"> </w:t>
      </w:r>
      <w:r>
        <w:rPr>
          <w:sz w:val="17"/>
        </w:rPr>
        <w:t>Indígenas</w:t>
      </w:r>
      <w:r>
        <w:rPr>
          <w:spacing w:val="-1"/>
          <w:sz w:val="17"/>
        </w:rPr>
        <w:t xml:space="preserve"> </w:t>
      </w:r>
      <w:r>
        <w:rPr>
          <w:sz w:val="17"/>
        </w:rPr>
        <w:t>asumió la iniciativa</w:t>
      </w:r>
      <w:r>
        <w:rPr>
          <w:spacing w:val="-1"/>
          <w:sz w:val="17"/>
        </w:rPr>
        <w:t xml:space="preserve"> </w:t>
      </w:r>
      <w:r>
        <w:rPr>
          <w:sz w:val="17"/>
        </w:rPr>
        <w:t xml:space="preserve">en la redacción y el desarrollo, en consulta con una amplia gama de su personal que trabaja en el terreno y en la sede. Para </w:t>
      </w:r>
      <w:proofErr w:type="spellStart"/>
      <w:r>
        <w:rPr>
          <w:sz w:val="17"/>
        </w:rPr>
        <w:t>Equal</w:t>
      </w:r>
      <w:proofErr w:type="spellEnd"/>
      <w:r>
        <w:rPr>
          <w:sz w:val="17"/>
        </w:rPr>
        <w:t xml:space="preserve"> </w:t>
      </w:r>
      <w:proofErr w:type="spellStart"/>
      <w:r>
        <w:rPr>
          <w:sz w:val="17"/>
        </w:rPr>
        <w:t>Rights</w:t>
      </w:r>
      <w:proofErr w:type="spellEnd"/>
      <w:r>
        <w:rPr>
          <w:sz w:val="17"/>
        </w:rPr>
        <w:t xml:space="preserve"> Trust, dos miembros del personal, Jim Fitzgerald y Sam Barnes, fueron responsables de la redacción y el desarrollo, un proceso que también recurrió a la experiencia de las amplias redes del Trust, con especial agradecimiento al bufete de abogados Latham &amp; Watkins. por su valiosa investigación en la primera parte de la guía.</w:t>
      </w:r>
    </w:p>
    <w:p w14:paraId="7A36E76D" w14:textId="77777777" w:rsidR="0014798C" w:rsidRDefault="004E1F0B">
      <w:pPr>
        <w:spacing w:before="167" w:line="307" w:lineRule="auto"/>
        <w:ind w:left="1104" w:right="1335" w:firstLine="2"/>
        <w:rPr>
          <w:sz w:val="17"/>
        </w:rPr>
      </w:pPr>
      <w:r>
        <w:rPr>
          <w:sz w:val="17"/>
        </w:rPr>
        <w:t>El proceso de desarrollo de la guía (desde la conceptualización hasta la revisión final) fue guiado por un comité asesor independiente</w:t>
      </w:r>
      <w:r>
        <w:rPr>
          <w:spacing w:val="-1"/>
          <w:sz w:val="17"/>
        </w:rPr>
        <w:t xml:space="preserve"> </w:t>
      </w:r>
      <w:r>
        <w:rPr>
          <w:sz w:val="17"/>
        </w:rPr>
        <w:t>compuesto por destacados</w:t>
      </w:r>
      <w:r>
        <w:rPr>
          <w:spacing w:val="-1"/>
          <w:sz w:val="17"/>
        </w:rPr>
        <w:t xml:space="preserve"> </w:t>
      </w:r>
      <w:r>
        <w:rPr>
          <w:sz w:val="17"/>
        </w:rPr>
        <w:t>expertos</w:t>
      </w:r>
      <w:r>
        <w:rPr>
          <w:spacing w:val="-1"/>
          <w:sz w:val="17"/>
        </w:rPr>
        <w:t xml:space="preserve"> </w:t>
      </w:r>
      <w:r>
        <w:rPr>
          <w:sz w:val="17"/>
        </w:rPr>
        <w:t>en leyes contra la discriminación y la igualdad, que incluía</w:t>
      </w:r>
      <w:r>
        <w:rPr>
          <w:spacing w:val="-1"/>
          <w:sz w:val="17"/>
        </w:rPr>
        <w:t xml:space="preserve"> </w:t>
      </w:r>
      <w:r>
        <w:rPr>
          <w:sz w:val="17"/>
        </w:rPr>
        <w:t xml:space="preserve">defensores, académicos y activistas experimentados y personas con experiencia en gobiernos, organizaciones no gubernamentales y organizaciones no gubernamentales. entornos gubernamentales e intergubernamentales, que representan una amplia gama de diferentes sistemas y tradiciones legales. ACNUDH y </w:t>
      </w:r>
      <w:proofErr w:type="spellStart"/>
      <w:r>
        <w:rPr>
          <w:sz w:val="17"/>
        </w:rPr>
        <w:t>Equal</w:t>
      </w:r>
      <w:proofErr w:type="spellEnd"/>
      <w:r>
        <w:rPr>
          <w:sz w:val="17"/>
        </w:rPr>
        <w:t xml:space="preserve"> </w:t>
      </w:r>
      <w:proofErr w:type="spellStart"/>
      <w:r>
        <w:rPr>
          <w:sz w:val="17"/>
        </w:rPr>
        <w:t>Rights</w:t>
      </w:r>
      <w:proofErr w:type="spellEnd"/>
      <w:r>
        <w:rPr>
          <w:sz w:val="17"/>
        </w:rPr>
        <w:t xml:space="preserve"> Trust desean reconocer y agradecer a los miembros del Comité por su apoyo durante todo el proceso: Catalina Devandas Aguilar, Niall Crowley, Sandra </w:t>
      </w:r>
      <w:proofErr w:type="spellStart"/>
      <w:r>
        <w:rPr>
          <w:sz w:val="17"/>
        </w:rPr>
        <w:t>Fredman</w:t>
      </w:r>
      <w:proofErr w:type="spellEnd"/>
      <w:r>
        <w:rPr>
          <w:sz w:val="17"/>
        </w:rPr>
        <w:t xml:space="preserve">, </w:t>
      </w:r>
      <w:proofErr w:type="spellStart"/>
      <w:r>
        <w:rPr>
          <w:sz w:val="17"/>
        </w:rPr>
        <w:t>Nazila</w:t>
      </w:r>
      <w:proofErr w:type="spellEnd"/>
      <w:r>
        <w:rPr>
          <w:sz w:val="17"/>
        </w:rPr>
        <w:t xml:space="preserve"> </w:t>
      </w:r>
      <w:proofErr w:type="spellStart"/>
      <w:r>
        <w:rPr>
          <w:sz w:val="17"/>
        </w:rPr>
        <w:t>Ghanea</w:t>
      </w:r>
      <w:proofErr w:type="spellEnd"/>
      <w:r>
        <w:rPr>
          <w:sz w:val="17"/>
        </w:rPr>
        <w:t xml:space="preserve">, </w:t>
      </w:r>
      <w:proofErr w:type="spellStart"/>
      <w:r>
        <w:rPr>
          <w:sz w:val="17"/>
        </w:rPr>
        <w:t>Nahla</w:t>
      </w:r>
      <w:proofErr w:type="spellEnd"/>
      <w:r>
        <w:rPr>
          <w:sz w:val="17"/>
        </w:rPr>
        <w:t xml:space="preserve"> </w:t>
      </w:r>
      <w:proofErr w:type="spellStart"/>
      <w:r>
        <w:rPr>
          <w:sz w:val="17"/>
        </w:rPr>
        <w:t>Haidar</w:t>
      </w:r>
      <w:proofErr w:type="spellEnd"/>
      <w:r>
        <w:rPr>
          <w:sz w:val="17"/>
        </w:rPr>
        <w:t xml:space="preserve">, Margarita S. </w:t>
      </w:r>
      <w:proofErr w:type="spellStart"/>
      <w:r>
        <w:rPr>
          <w:sz w:val="17"/>
        </w:rPr>
        <w:t>Ilieva</w:t>
      </w:r>
      <w:proofErr w:type="spellEnd"/>
      <w:r>
        <w:rPr>
          <w:sz w:val="17"/>
        </w:rPr>
        <w:t xml:space="preserve">, </w:t>
      </w:r>
      <w:proofErr w:type="spellStart"/>
      <w:r>
        <w:rPr>
          <w:sz w:val="17"/>
        </w:rPr>
        <w:t>Imrana</w:t>
      </w:r>
      <w:proofErr w:type="spellEnd"/>
      <w:r>
        <w:rPr>
          <w:sz w:val="17"/>
        </w:rPr>
        <w:t xml:space="preserve"> </w:t>
      </w:r>
      <w:proofErr w:type="spellStart"/>
      <w:r>
        <w:rPr>
          <w:sz w:val="17"/>
        </w:rPr>
        <w:t>Jalal</w:t>
      </w:r>
      <w:proofErr w:type="spellEnd"/>
      <w:r>
        <w:rPr>
          <w:sz w:val="17"/>
        </w:rPr>
        <w:t xml:space="preserve">, </w:t>
      </w:r>
      <w:proofErr w:type="spellStart"/>
      <w:r>
        <w:rPr>
          <w:sz w:val="17"/>
        </w:rPr>
        <w:t>Tarun</w:t>
      </w:r>
      <w:proofErr w:type="spellEnd"/>
      <w:r>
        <w:rPr>
          <w:sz w:val="17"/>
        </w:rPr>
        <w:t xml:space="preserve"> </w:t>
      </w:r>
      <w:proofErr w:type="spellStart"/>
      <w:r>
        <w:rPr>
          <w:sz w:val="17"/>
        </w:rPr>
        <w:t>Khaitan</w:t>
      </w:r>
      <w:proofErr w:type="spellEnd"/>
      <w:r>
        <w:rPr>
          <w:sz w:val="17"/>
        </w:rPr>
        <w:t xml:space="preserve">, Abdul </w:t>
      </w:r>
      <w:proofErr w:type="spellStart"/>
      <w:r>
        <w:rPr>
          <w:sz w:val="17"/>
        </w:rPr>
        <w:t>Koroma</w:t>
      </w:r>
      <w:proofErr w:type="spellEnd"/>
      <w:r>
        <w:rPr>
          <w:sz w:val="17"/>
        </w:rPr>
        <w:t xml:space="preserve">, Gay </w:t>
      </w:r>
      <w:proofErr w:type="spellStart"/>
      <w:r>
        <w:rPr>
          <w:sz w:val="17"/>
        </w:rPr>
        <w:t>McDougall</w:t>
      </w:r>
      <w:proofErr w:type="spellEnd"/>
      <w:r>
        <w:rPr>
          <w:sz w:val="17"/>
        </w:rPr>
        <w:t xml:space="preserve">, Vitit Muntarbhorn y Grace </w:t>
      </w:r>
      <w:proofErr w:type="spellStart"/>
      <w:r>
        <w:rPr>
          <w:sz w:val="17"/>
        </w:rPr>
        <w:t>Mumbi</w:t>
      </w:r>
      <w:proofErr w:type="spellEnd"/>
      <w:r>
        <w:rPr>
          <w:sz w:val="17"/>
        </w:rPr>
        <w:t xml:space="preserve"> </w:t>
      </w:r>
      <w:proofErr w:type="spellStart"/>
      <w:r>
        <w:rPr>
          <w:sz w:val="17"/>
        </w:rPr>
        <w:t>Ngugi</w:t>
      </w:r>
      <w:proofErr w:type="spellEnd"/>
      <w:r>
        <w:rPr>
          <w:sz w:val="17"/>
        </w:rPr>
        <w:t>.</w:t>
      </w:r>
    </w:p>
    <w:p w14:paraId="2759284D" w14:textId="77777777" w:rsidR="0014798C" w:rsidRDefault="004E1F0B">
      <w:pPr>
        <w:spacing w:before="166" w:line="307" w:lineRule="auto"/>
        <w:ind w:left="1107" w:right="1272" w:firstLine="7"/>
        <w:rPr>
          <w:sz w:val="17"/>
        </w:rPr>
      </w:pPr>
      <w:r>
        <w:rPr>
          <w:sz w:val="17"/>
        </w:rPr>
        <w:t>El</w:t>
      </w:r>
      <w:r>
        <w:rPr>
          <w:spacing w:val="-1"/>
          <w:sz w:val="17"/>
        </w:rPr>
        <w:t xml:space="preserve"> </w:t>
      </w:r>
      <w:r>
        <w:rPr>
          <w:sz w:val="17"/>
        </w:rPr>
        <w:t>ACNUDH</w:t>
      </w:r>
      <w:r>
        <w:rPr>
          <w:spacing w:val="-1"/>
          <w:sz w:val="17"/>
        </w:rPr>
        <w:t xml:space="preserve"> </w:t>
      </w:r>
      <w:r>
        <w:rPr>
          <w:sz w:val="17"/>
        </w:rPr>
        <w:t xml:space="preserve">y </w:t>
      </w:r>
      <w:proofErr w:type="spellStart"/>
      <w:r>
        <w:rPr>
          <w:sz w:val="17"/>
        </w:rPr>
        <w:t>Equal</w:t>
      </w:r>
      <w:proofErr w:type="spellEnd"/>
      <w:r>
        <w:rPr>
          <w:spacing w:val="-1"/>
          <w:sz w:val="17"/>
        </w:rPr>
        <w:t xml:space="preserve"> </w:t>
      </w:r>
      <w:proofErr w:type="spellStart"/>
      <w:r>
        <w:rPr>
          <w:sz w:val="17"/>
        </w:rPr>
        <w:t>Rights</w:t>
      </w:r>
      <w:proofErr w:type="spellEnd"/>
      <w:r>
        <w:rPr>
          <w:spacing w:val="-1"/>
          <w:sz w:val="17"/>
        </w:rPr>
        <w:t xml:space="preserve"> </w:t>
      </w:r>
      <w:r>
        <w:rPr>
          <w:sz w:val="17"/>
        </w:rPr>
        <w:t>Trust también</w:t>
      </w:r>
      <w:r>
        <w:rPr>
          <w:spacing w:val="-1"/>
          <w:sz w:val="17"/>
        </w:rPr>
        <w:t xml:space="preserve"> </w:t>
      </w:r>
      <w:r>
        <w:rPr>
          <w:sz w:val="17"/>
        </w:rPr>
        <w:t>desean agradecer</w:t>
      </w:r>
      <w:r>
        <w:rPr>
          <w:spacing w:val="-1"/>
          <w:sz w:val="17"/>
        </w:rPr>
        <w:t xml:space="preserve"> </w:t>
      </w:r>
      <w:r>
        <w:rPr>
          <w:sz w:val="17"/>
        </w:rPr>
        <w:t>a un grupo adicional de expertos</w:t>
      </w:r>
      <w:r>
        <w:rPr>
          <w:spacing w:val="-1"/>
          <w:sz w:val="17"/>
        </w:rPr>
        <w:t xml:space="preserve"> </w:t>
      </w:r>
      <w:r>
        <w:rPr>
          <w:sz w:val="17"/>
        </w:rPr>
        <w:t xml:space="preserve">que ofrecieron su tiempo como voluntarios para revisar, comentar y validar toda o parte de la guía, en particular: </w:t>
      </w:r>
      <w:proofErr w:type="spellStart"/>
      <w:r>
        <w:rPr>
          <w:sz w:val="17"/>
        </w:rPr>
        <w:t>Barbora</w:t>
      </w:r>
      <w:proofErr w:type="spellEnd"/>
      <w:r>
        <w:rPr>
          <w:sz w:val="17"/>
        </w:rPr>
        <w:t xml:space="preserve"> </w:t>
      </w:r>
      <w:proofErr w:type="spellStart"/>
      <w:r>
        <w:rPr>
          <w:sz w:val="17"/>
        </w:rPr>
        <w:t>Bukovská</w:t>
      </w:r>
      <w:proofErr w:type="spellEnd"/>
      <w:r>
        <w:rPr>
          <w:sz w:val="17"/>
        </w:rPr>
        <w:t>.</w:t>
      </w:r>
    </w:p>
    <w:p w14:paraId="226BD470" w14:textId="77777777" w:rsidR="0014798C" w:rsidRDefault="004E1F0B">
      <w:pPr>
        <w:spacing w:line="307" w:lineRule="auto"/>
        <w:ind w:left="1107" w:right="1272" w:firstLine="11"/>
        <w:rPr>
          <w:sz w:val="17"/>
        </w:rPr>
      </w:pPr>
      <w:r>
        <w:rPr>
          <w:sz w:val="17"/>
        </w:rPr>
        <w:t>(Artículo</w:t>
      </w:r>
      <w:r>
        <w:rPr>
          <w:spacing w:val="-10"/>
          <w:sz w:val="17"/>
        </w:rPr>
        <w:t xml:space="preserve"> </w:t>
      </w:r>
      <w:r>
        <w:rPr>
          <w:sz w:val="17"/>
        </w:rPr>
        <w:t>19:</w:t>
      </w:r>
      <w:r>
        <w:rPr>
          <w:spacing w:val="-9"/>
          <w:sz w:val="17"/>
        </w:rPr>
        <w:t xml:space="preserve"> </w:t>
      </w:r>
      <w:r>
        <w:rPr>
          <w:sz w:val="17"/>
        </w:rPr>
        <w:t>Centro</w:t>
      </w:r>
      <w:r>
        <w:rPr>
          <w:spacing w:val="-10"/>
          <w:sz w:val="17"/>
        </w:rPr>
        <w:t xml:space="preserve"> </w:t>
      </w:r>
      <w:r>
        <w:rPr>
          <w:sz w:val="17"/>
        </w:rPr>
        <w:t>Internacional</w:t>
      </w:r>
      <w:r>
        <w:rPr>
          <w:spacing w:val="-10"/>
          <w:sz w:val="17"/>
        </w:rPr>
        <w:t xml:space="preserve"> </w:t>
      </w:r>
      <w:r>
        <w:rPr>
          <w:sz w:val="17"/>
        </w:rPr>
        <w:t>contra</w:t>
      </w:r>
      <w:r>
        <w:rPr>
          <w:spacing w:val="-9"/>
          <w:sz w:val="17"/>
        </w:rPr>
        <w:t xml:space="preserve"> </w:t>
      </w:r>
      <w:r>
        <w:rPr>
          <w:sz w:val="17"/>
        </w:rPr>
        <w:t>la</w:t>
      </w:r>
      <w:r>
        <w:rPr>
          <w:spacing w:val="-9"/>
          <w:sz w:val="17"/>
        </w:rPr>
        <w:t xml:space="preserve"> </w:t>
      </w:r>
      <w:proofErr w:type="gramStart"/>
      <w:r>
        <w:rPr>
          <w:sz w:val="17"/>
        </w:rPr>
        <w:t>Censura);</w:t>
      </w:r>
      <w:proofErr w:type="gramEnd"/>
      <w:r>
        <w:rPr>
          <w:spacing w:val="-9"/>
          <w:sz w:val="17"/>
        </w:rPr>
        <w:t xml:space="preserve"> </w:t>
      </w:r>
      <w:r>
        <w:rPr>
          <w:sz w:val="17"/>
        </w:rPr>
        <w:t>Joshua</w:t>
      </w:r>
      <w:r>
        <w:rPr>
          <w:spacing w:val="-9"/>
          <w:sz w:val="17"/>
        </w:rPr>
        <w:t xml:space="preserve"> </w:t>
      </w:r>
      <w:proofErr w:type="spellStart"/>
      <w:r>
        <w:rPr>
          <w:sz w:val="17"/>
        </w:rPr>
        <w:t>Castellino</w:t>
      </w:r>
      <w:proofErr w:type="spellEnd"/>
      <w:r>
        <w:rPr>
          <w:spacing w:val="-10"/>
          <w:sz w:val="17"/>
        </w:rPr>
        <w:t xml:space="preserve"> </w:t>
      </w:r>
      <w:r>
        <w:rPr>
          <w:sz w:val="17"/>
        </w:rPr>
        <w:t>(Grupo</w:t>
      </w:r>
      <w:r>
        <w:rPr>
          <w:spacing w:val="-9"/>
          <w:sz w:val="17"/>
        </w:rPr>
        <w:t xml:space="preserve"> </w:t>
      </w:r>
      <w:r>
        <w:rPr>
          <w:sz w:val="17"/>
        </w:rPr>
        <w:t>de</w:t>
      </w:r>
      <w:r>
        <w:rPr>
          <w:spacing w:val="-9"/>
          <w:sz w:val="17"/>
        </w:rPr>
        <w:t xml:space="preserve"> </w:t>
      </w:r>
      <w:r>
        <w:rPr>
          <w:sz w:val="17"/>
        </w:rPr>
        <w:t>Derechos</w:t>
      </w:r>
      <w:r>
        <w:rPr>
          <w:spacing w:val="-10"/>
          <w:sz w:val="17"/>
        </w:rPr>
        <w:t xml:space="preserve"> </w:t>
      </w:r>
      <w:r>
        <w:rPr>
          <w:sz w:val="17"/>
        </w:rPr>
        <w:t>de</w:t>
      </w:r>
      <w:r>
        <w:rPr>
          <w:spacing w:val="-9"/>
          <w:sz w:val="17"/>
        </w:rPr>
        <w:t xml:space="preserve"> </w:t>
      </w:r>
      <w:r>
        <w:rPr>
          <w:sz w:val="17"/>
        </w:rPr>
        <w:t>las</w:t>
      </w:r>
      <w:r>
        <w:rPr>
          <w:spacing w:val="-9"/>
          <w:sz w:val="17"/>
        </w:rPr>
        <w:t xml:space="preserve"> </w:t>
      </w:r>
      <w:proofErr w:type="gramStart"/>
      <w:r>
        <w:rPr>
          <w:sz w:val="17"/>
        </w:rPr>
        <w:t>Minorías);</w:t>
      </w:r>
      <w:proofErr w:type="gramEnd"/>
      <w:r>
        <w:rPr>
          <w:spacing w:val="-9"/>
          <w:sz w:val="17"/>
        </w:rPr>
        <w:t xml:space="preserve"> </w:t>
      </w:r>
      <w:proofErr w:type="spellStart"/>
      <w:r>
        <w:rPr>
          <w:sz w:val="17"/>
        </w:rPr>
        <w:t>Sophia</w:t>
      </w:r>
      <w:proofErr w:type="spellEnd"/>
      <w:r>
        <w:rPr>
          <w:sz w:val="17"/>
        </w:rPr>
        <w:t xml:space="preserve"> </w:t>
      </w:r>
      <w:proofErr w:type="spellStart"/>
      <w:r>
        <w:rPr>
          <w:sz w:val="17"/>
        </w:rPr>
        <w:t>Fernandes</w:t>
      </w:r>
      <w:proofErr w:type="spellEnd"/>
      <w:r>
        <w:rPr>
          <w:spacing w:val="-9"/>
          <w:sz w:val="17"/>
        </w:rPr>
        <w:t xml:space="preserve"> </w:t>
      </w:r>
      <w:r>
        <w:rPr>
          <w:sz w:val="17"/>
        </w:rPr>
        <w:t>(Fundación</w:t>
      </w:r>
      <w:r>
        <w:rPr>
          <w:spacing w:val="-8"/>
          <w:sz w:val="17"/>
        </w:rPr>
        <w:t xml:space="preserve"> </w:t>
      </w:r>
      <w:r>
        <w:rPr>
          <w:sz w:val="17"/>
        </w:rPr>
        <w:t>de</w:t>
      </w:r>
      <w:r>
        <w:rPr>
          <w:spacing w:val="-8"/>
          <w:sz w:val="17"/>
        </w:rPr>
        <w:t xml:space="preserve"> </w:t>
      </w:r>
      <w:r>
        <w:rPr>
          <w:sz w:val="17"/>
        </w:rPr>
        <w:t>Westminster</w:t>
      </w:r>
      <w:r>
        <w:rPr>
          <w:spacing w:val="-9"/>
          <w:sz w:val="17"/>
        </w:rPr>
        <w:t xml:space="preserve"> </w:t>
      </w:r>
      <w:r>
        <w:rPr>
          <w:sz w:val="17"/>
        </w:rPr>
        <w:t>para</w:t>
      </w:r>
      <w:r>
        <w:rPr>
          <w:spacing w:val="-8"/>
          <w:sz w:val="17"/>
        </w:rPr>
        <w:t xml:space="preserve"> </w:t>
      </w:r>
      <w:r>
        <w:rPr>
          <w:sz w:val="17"/>
        </w:rPr>
        <w:t>la</w:t>
      </w:r>
      <w:r>
        <w:rPr>
          <w:spacing w:val="-8"/>
          <w:sz w:val="17"/>
        </w:rPr>
        <w:t xml:space="preserve"> </w:t>
      </w:r>
      <w:proofErr w:type="gramStart"/>
      <w:r>
        <w:rPr>
          <w:sz w:val="17"/>
        </w:rPr>
        <w:t>Democracia);</w:t>
      </w:r>
      <w:proofErr w:type="gramEnd"/>
      <w:r>
        <w:rPr>
          <w:spacing w:val="-8"/>
          <w:sz w:val="17"/>
        </w:rPr>
        <w:t xml:space="preserve"> </w:t>
      </w:r>
      <w:r>
        <w:rPr>
          <w:sz w:val="17"/>
        </w:rPr>
        <w:t>Beth</w:t>
      </w:r>
      <w:r>
        <w:rPr>
          <w:spacing w:val="-9"/>
          <w:sz w:val="17"/>
        </w:rPr>
        <w:t xml:space="preserve"> </w:t>
      </w:r>
      <w:proofErr w:type="spellStart"/>
      <w:r>
        <w:rPr>
          <w:sz w:val="17"/>
        </w:rPr>
        <w:t>Gaze</w:t>
      </w:r>
      <w:proofErr w:type="spellEnd"/>
      <w:r>
        <w:rPr>
          <w:spacing w:val="-9"/>
          <w:sz w:val="17"/>
        </w:rPr>
        <w:t xml:space="preserve"> </w:t>
      </w:r>
      <w:r>
        <w:rPr>
          <w:sz w:val="17"/>
        </w:rPr>
        <w:t>(Facultad</w:t>
      </w:r>
      <w:r>
        <w:rPr>
          <w:spacing w:val="-9"/>
          <w:sz w:val="17"/>
        </w:rPr>
        <w:t xml:space="preserve"> </w:t>
      </w:r>
      <w:r>
        <w:rPr>
          <w:sz w:val="17"/>
        </w:rPr>
        <w:t>de</w:t>
      </w:r>
      <w:r>
        <w:rPr>
          <w:spacing w:val="-8"/>
          <w:sz w:val="17"/>
        </w:rPr>
        <w:t xml:space="preserve"> </w:t>
      </w:r>
      <w:r>
        <w:rPr>
          <w:sz w:val="17"/>
        </w:rPr>
        <w:t>Derecho</w:t>
      </w:r>
      <w:r>
        <w:rPr>
          <w:spacing w:val="-8"/>
          <w:sz w:val="17"/>
        </w:rPr>
        <w:t xml:space="preserve"> </w:t>
      </w:r>
      <w:r>
        <w:rPr>
          <w:sz w:val="17"/>
        </w:rPr>
        <w:t>de</w:t>
      </w:r>
      <w:r>
        <w:rPr>
          <w:spacing w:val="-8"/>
          <w:sz w:val="17"/>
        </w:rPr>
        <w:t xml:space="preserve"> </w:t>
      </w:r>
      <w:proofErr w:type="gramStart"/>
      <w:r>
        <w:rPr>
          <w:sz w:val="17"/>
        </w:rPr>
        <w:t>Melbourne);</w:t>
      </w:r>
      <w:proofErr w:type="gramEnd"/>
      <w:r>
        <w:rPr>
          <w:spacing w:val="-8"/>
          <w:sz w:val="17"/>
        </w:rPr>
        <w:t xml:space="preserve"> </w:t>
      </w:r>
      <w:r>
        <w:rPr>
          <w:sz w:val="17"/>
        </w:rPr>
        <w:t xml:space="preserve">Nena </w:t>
      </w:r>
      <w:proofErr w:type="spellStart"/>
      <w:r>
        <w:rPr>
          <w:spacing w:val="-2"/>
          <w:sz w:val="17"/>
        </w:rPr>
        <w:t>Georgantzi</w:t>
      </w:r>
      <w:proofErr w:type="spellEnd"/>
      <w:r>
        <w:rPr>
          <w:spacing w:val="-4"/>
          <w:sz w:val="17"/>
        </w:rPr>
        <w:t xml:space="preserve"> </w:t>
      </w:r>
      <w:r>
        <w:rPr>
          <w:spacing w:val="-2"/>
          <w:sz w:val="17"/>
        </w:rPr>
        <w:t>(Plataforma</w:t>
      </w:r>
      <w:r>
        <w:rPr>
          <w:spacing w:val="-4"/>
          <w:sz w:val="17"/>
        </w:rPr>
        <w:t xml:space="preserve"> </w:t>
      </w:r>
      <w:r>
        <w:rPr>
          <w:spacing w:val="-2"/>
          <w:sz w:val="17"/>
        </w:rPr>
        <w:t>AGE</w:t>
      </w:r>
      <w:r>
        <w:rPr>
          <w:spacing w:val="-4"/>
          <w:sz w:val="17"/>
        </w:rPr>
        <w:t xml:space="preserve"> </w:t>
      </w:r>
      <w:proofErr w:type="gramStart"/>
      <w:r>
        <w:rPr>
          <w:spacing w:val="-2"/>
          <w:sz w:val="17"/>
        </w:rPr>
        <w:t>Europa);</w:t>
      </w:r>
      <w:proofErr w:type="gramEnd"/>
      <w:r>
        <w:rPr>
          <w:spacing w:val="-3"/>
          <w:sz w:val="17"/>
        </w:rPr>
        <w:t xml:space="preserve"> </w:t>
      </w:r>
      <w:proofErr w:type="spellStart"/>
      <w:r>
        <w:rPr>
          <w:spacing w:val="-2"/>
          <w:sz w:val="17"/>
        </w:rPr>
        <w:t>Tamas</w:t>
      </w:r>
      <w:proofErr w:type="spellEnd"/>
      <w:r>
        <w:rPr>
          <w:spacing w:val="-4"/>
          <w:sz w:val="17"/>
        </w:rPr>
        <w:t xml:space="preserve"> </w:t>
      </w:r>
      <w:proofErr w:type="spellStart"/>
      <w:r>
        <w:rPr>
          <w:spacing w:val="-2"/>
          <w:sz w:val="17"/>
        </w:rPr>
        <w:t>Kadar</w:t>
      </w:r>
      <w:proofErr w:type="spellEnd"/>
      <w:r>
        <w:rPr>
          <w:spacing w:val="-4"/>
          <w:sz w:val="17"/>
        </w:rPr>
        <w:t xml:space="preserve"> </w:t>
      </w:r>
      <w:r>
        <w:rPr>
          <w:spacing w:val="-2"/>
          <w:sz w:val="17"/>
        </w:rPr>
        <w:t>(Red</w:t>
      </w:r>
      <w:r>
        <w:rPr>
          <w:spacing w:val="-3"/>
          <w:sz w:val="17"/>
        </w:rPr>
        <w:t xml:space="preserve"> </w:t>
      </w:r>
      <w:r>
        <w:rPr>
          <w:spacing w:val="-2"/>
          <w:sz w:val="17"/>
        </w:rPr>
        <w:t>Europea</w:t>
      </w:r>
      <w:r>
        <w:rPr>
          <w:spacing w:val="-4"/>
          <w:sz w:val="17"/>
        </w:rPr>
        <w:t xml:space="preserve"> </w:t>
      </w:r>
      <w:r>
        <w:rPr>
          <w:spacing w:val="-2"/>
          <w:sz w:val="17"/>
        </w:rPr>
        <w:t>de</w:t>
      </w:r>
      <w:r>
        <w:rPr>
          <w:spacing w:val="-3"/>
          <w:sz w:val="17"/>
        </w:rPr>
        <w:t xml:space="preserve"> </w:t>
      </w:r>
      <w:r>
        <w:rPr>
          <w:spacing w:val="-2"/>
          <w:sz w:val="17"/>
        </w:rPr>
        <w:t>Organismos</w:t>
      </w:r>
      <w:r>
        <w:rPr>
          <w:spacing w:val="-4"/>
          <w:sz w:val="17"/>
        </w:rPr>
        <w:t xml:space="preserve"> </w:t>
      </w:r>
      <w:r>
        <w:rPr>
          <w:spacing w:val="-2"/>
          <w:sz w:val="17"/>
        </w:rPr>
        <w:t>para</w:t>
      </w:r>
      <w:r>
        <w:rPr>
          <w:spacing w:val="-3"/>
          <w:sz w:val="17"/>
        </w:rPr>
        <w:t xml:space="preserve"> </w:t>
      </w:r>
      <w:r>
        <w:rPr>
          <w:spacing w:val="-2"/>
          <w:sz w:val="17"/>
        </w:rPr>
        <w:t>la</w:t>
      </w:r>
      <w:r>
        <w:rPr>
          <w:spacing w:val="-3"/>
          <w:sz w:val="17"/>
        </w:rPr>
        <w:t xml:space="preserve"> </w:t>
      </w:r>
      <w:proofErr w:type="gramStart"/>
      <w:r>
        <w:rPr>
          <w:spacing w:val="-2"/>
          <w:sz w:val="17"/>
        </w:rPr>
        <w:t>Igualdad);</w:t>
      </w:r>
      <w:proofErr w:type="gramEnd"/>
      <w:r>
        <w:rPr>
          <w:spacing w:val="-3"/>
          <w:sz w:val="17"/>
        </w:rPr>
        <w:t xml:space="preserve"> </w:t>
      </w:r>
      <w:r>
        <w:rPr>
          <w:spacing w:val="-2"/>
          <w:sz w:val="17"/>
        </w:rPr>
        <w:t>John</w:t>
      </w:r>
      <w:r>
        <w:rPr>
          <w:spacing w:val="-3"/>
          <w:sz w:val="17"/>
        </w:rPr>
        <w:t xml:space="preserve"> </w:t>
      </w:r>
      <w:proofErr w:type="spellStart"/>
      <w:r>
        <w:rPr>
          <w:spacing w:val="-2"/>
          <w:sz w:val="17"/>
        </w:rPr>
        <w:t>Kinahan</w:t>
      </w:r>
      <w:proofErr w:type="spellEnd"/>
      <w:r>
        <w:rPr>
          <w:spacing w:val="-4"/>
          <w:sz w:val="17"/>
        </w:rPr>
        <w:t xml:space="preserve"> </w:t>
      </w:r>
      <w:r>
        <w:rPr>
          <w:spacing w:val="-2"/>
          <w:sz w:val="17"/>
        </w:rPr>
        <w:t xml:space="preserve">(Foro </w:t>
      </w:r>
      <w:proofErr w:type="gramStart"/>
      <w:r>
        <w:rPr>
          <w:sz w:val="17"/>
        </w:rPr>
        <w:t>18);</w:t>
      </w:r>
      <w:proofErr w:type="gramEnd"/>
      <w:r>
        <w:rPr>
          <w:spacing w:val="-11"/>
          <w:sz w:val="17"/>
        </w:rPr>
        <w:t xml:space="preserve"> </w:t>
      </w:r>
      <w:proofErr w:type="spellStart"/>
      <w:r>
        <w:rPr>
          <w:sz w:val="17"/>
        </w:rPr>
        <w:t>Kseniya</w:t>
      </w:r>
      <w:proofErr w:type="spellEnd"/>
      <w:r>
        <w:rPr>
          <w:spacing w:val="-12"/>
          <w:sz w:val="17"/>
        </w:rPr>
        <w:t xml:space="preserve"> </w:t>
      </w:r>
      <w:proofErr w:type="spellStart"/>
      <w:r>
        <w:rPr>
          <w:sz w:val="17"/>
        </w:rPr>
        <w:t>Kirichenko</w:t>
      </w:r>
      <w:proofErr w:type="spellEnd"/>
      <w:r>
        <w:rPr>
          <w:spacing w:val="-11"/>
          <w:sz w:val="17"/>
        </w:rPr>
        <w:t xml:space="preserve"> </w:t>
      </w:r>
      <w:r>
        <w:rPr>
          <w:sz w:val="17"/>
        </w:rPr>
        <w:t>(Asociación</w:t>
      </w:r>
      <w:r>
        <w:rPr>
          <w:spacing w:val="-11"/>
          <w:sz w:val="17"/>
        </w:rPr>
        <w:t xml:space="preserve"> </w:t>
      </w:r>
      <w:r>
        <w:rPr>
          <w:sz w:val="17"/>
        </w:rPr>
        <w:t>Internacional</w:t>
      </w:r>
      <w:r>
        <w:rPr>
          <w:spacing w:val="-12"/>
          <w:sz w:val="17"/>
        </w:rPr>
        <w:t xml:space="preserve"> </w:t>
      </w:r>
      <w:r>
        <w:rPr>
          <w:sz w:val="17"/>
        </w:rPr>
        <w:t>de</w:t>
      </w:r>
      <w:r>
        <w:rPr>
          <w:spacing w:val="-11"/>
          <w:sz w:val="17"/>
        </w:rPr>
        <w:t xml:space="preserve"> </w:t>
      </w:r>
      <w:r>
        <w:rPr>
          <w:sz w:val="17"/>
        </w:rPr>
        <w:t>Lesbianas,</w:t>
      </w:r>
      <w:r>
        <w:rPr>
          <w:spacing w:val="-10"/>
          <w:sz w:val="17"/>
        </w:rPr>
        <w:t xml:space="preserve"> </w:t>
      </w:r>
      <w:proofErr w:type="spellStart"/>
      <w:r>
        <w:rPr>
          <w:sz w:val="17"/>
        </w:rPr>
        <w:t>Gays</w:t>
      </w:r>
      <w:proofErr w:type="spellEnd"/>
      <w:r>
        <w:rPr>
          <w:sz w:val="17"/>
        </w:rPr>
        <w:t>,</w:t>
      </w:r>
      <w:r>
        <w:rPr>
          <w:spacing w:val="-11"/>
          <w:sz w:val="17"/>
        </w:rPr>
        <w:t xml:space="preserve"> </w:t>
      </w:r>
      <w:r>
        <w:rPr>
          <w:sz w:val="17"/>
        </w:rPr>
        <w:t>Bisexuales,</w:t>
      </w:r>
      <w:r>
        <w:rPr>
          <w:spacing w:val="-10"/>
          <w:sz w:val="17"/>
        </w:rPr>
        <w:t xml:space="preserve"> </w:t>
      </w:r>
      <w:r>
        <w:rPr>
          <w:sz w:val="17"/>
        </w:rPr>
        <w:t>Trans</w:t>
      </w:r>
      <w:r>
        <w:rPr>
          <w:spacing w:val="-12"/>
          <w:sz w:val="17"/>
        </w:rPr>
        <w:t xml:space="preserve"> </w:t>
      </w:r>
      <w:r>
        <w:rPr>
          <w:sz w:val="17"/>
        </w:rPr>
        <w:t>e</w:t>
      </w:r>
      <w:r>
        <w:rPr>
          <w:spacing w:val="-11"/>
          <w:sz w:val="17"/>
        </w:rPr>
        <w:t xml:space="preserve"> </w:t>
      </w:r>
      <w:proofErr w:type="gramStart"/>
      <w:r>
        <w:rPr>
          <w:sz w:val="17"/>
        </w:rPr>
        <w:t>Intersex);</w:t>
      </w:r>
      <w:proofErr w:type="gramEnd"/>
      <w:r>
        <w:rPr>
          <w:spacing w:val="-11"/>
          <w:sz w:val="17"/>
        </w:rPr>
        <w:t xml:space="preserve"> </w:t>
      </w:r>
      <w:r>
        <w:rPr>
          <w:sz w:val="17"/>
        </w:rPr>
        <w:t>Antonia</w:t>
      </w:r>
      <w:r>
        <w:rPr>
          <w:spacing w:val="-12"/>
          <w:sz w:val="17"/>
        </w:rPr>
        <w:t xml:space="preserve"> </w:t>
      </w:r>
      <w:proofErr w:type="spellStart"/>
      <w:r>
        <w:rPr>
          <w:sz w:val="17"/>
        </w:rPr>
        <w:t>Kirkland</w:t>
      </w:r>
      <w:proofErr w:type="spellEnd"/>
      <w:r>
        <w:rPr>
          <w:sz w:val="17"/>
        </w:rPr>
        <w:t xml:space="preserve"> (Igualdad</w:t>
      </w:r>
      <w:r>
        <w:rPr>
          <w:spacing w:val="-9"/>
          <w:sz w:val="17"/>
        </w:rPr>
        <w:t xml:space="preserve"> </w:t>
      </w:r>
      <w:proofErr w:type="gramStart"/>
      <w:r>
        <w:rPr>
          <w:sz w:val="17"/>
        </w:rPr>
        <w:t>Ahora);</w:t>
      </w:r>
      <w:proofErr w:type="gramEnd"/>
      <w:r>
        <w:rPr>
          <w:spacing w:val="-9"/>
          <w:sz w:val="17"/>
        </w:rPr>
        <w:t xml:space="preserve"> </w:t>
      </w:r>
      <w:proofErr w:type="spellStart"/>
      <w:r>
        <w:rPr>
          <w:sz w:val="17"/>
        </w:rPr>
        <w:t>Susheela</w:t>
      </w:r>
      <w:proofErr w:type="spellEnd"/>
      <w:r>
        <w:rPr>
          <w:spacing w:val="-9"/>
          <w:sz w:val="17"/>
        </w:rPr>
        <w:t xml:space="preserve"> </w:t>
      </w:r>
      <w:proofErr w:type="spellStart"/>
      <w:r>
        <w:rPr>
          <w:sz w:val="17"/>
        </w:rPr>
        <w:t>Math</w:t>
      </w:r>
      <w:proofErr w:type="spellEnd"/>
      <w:r>
        <w:rPr>
          <w:spacing w:val="-9"/>
          <w:sz w:val="17"/>
        </w:rPr>
        <w:t xml:space="preserve"> </w:t>
      </w:r>
      <w:r>
        <w:rPr>
          <w:sz w:val="17"/>
        </w:rPr>
        <w:t>y</w:t>
      </w:r>
      <w:r>
        <w:rPr>
          <w:spacing w:val="-9"/>
          <w:sz w:val="17"/>
        </w:rPr>
        <w:t xml:space="preserve"> </w:t>
      </w:r>
      <w:r>
        <w:rPr>
          <w:sz w:val="17"/>
        </w:rPr>
        <w:t>Julia</w:t>
      </w:r>
      <w:r>
        <w:rPr>
          <w:spacing w:val="-9"/>
          <w:sz w:val="17"/>
        </w:rPr>
        <w:t xml:space="preserve"> </w:t>
      </w:r>
      <w:r>
        <w:rPr>
          <w:sz w:val="17"/>
        </w:rPr>
        <w:t>Harrington</w:t>
      </w:r>
      <w:r>
        <w:rPr>
          <w:spacing w:val="-9"/>
          <w:sz w:val="17"/>
        </w:rPr>
        <w:t xml:space="preserve"> </w:t>
      </w:r>
      <w:r>
        <w:rPr>
          <w:sz w:val="17"/>
        </w:rPr>
        <w:t>Reddy</w:t>
      </w:r>
      <w:r>
        <w:rPr>
          <w:spacing w:val="-9"/>
          <w:sz w:val="17"/>
        </w:rPr>
        <w:t xml:space="preserve"> </w:t>
      </w:r>
      <w:r>
        <w:rPr>
          <w:sz w:val="17"/>
        </w:rPr>
        <w:t>(Iniciativa</w:t>
      </w:r>
      <w:r>
        <w:rPr>
          <w:spacing w:val="-9"/>
          <w:sz w:val="17"/>
        </w:rPr>
        <w:t xml:space="preserve"> </w:t>
      </w:r>
      <w:r>
        <w:rPr>
          <w:sz w:val="17"/>
        </w:rPr>
        <w:t>de</w:t>
      </w:r>
      <w:r>
        <w:rPr>
          <w:spacing w:val="-9"/>
          <w:sz w:val="17"/>
        </w:rPr>
        <w:t xml:space="preserve"> </w:t>
      </w:r>
      <w:r>
        <w:rPr>
          <w:sz w:val="17"/>
        </w:rPr>
        <w:t>Justicia</w:t>
      </w:r>
      <w:r>
        <w:rPr>
          <w:spacing w:val="-9"/>
          <w:sz w:val="17"/>
        </w:rPr>
        <w:t xml:space="preserve"> </w:t>
      </w:r>
      <w:r>
        <w:rPr>
          <w:sz w:val="17"/>
        </w:rPr>
        <w:t>de</w:t>
      </w:r>
      <w:r>
        <w:rPr>
          <w:spacing w:val="-9"/>
          <w:sz w:val="17"/>
        </w:rPr>
        <w:t xml:space="preserve"> </w:t>
      </w:r>
      <w:r>
        <w:rPr>
          <w:sz w:val="17"/>
        </w:rPr>
        <w:t>la</w:t>
      </w:r>
      <w:r>
        <w:rPr>
          <w:spacing w:val="-9"/>
          <w:sz w:val="17"/>
        </w:rPr>
        <w:t xml:space="preserve"> </w:t>
      </w:r>
      <w:r>
        <w:rPr>
          <w:sz w:val="17"/>
        </w:rPr>
        <w:t>Sociedad</w:t>
      </w:r>
      <w:r>
        <w:rPr>
          <w:spacing w:val="-9"/>
          <w:sz w:val="17"/>
        </w:rPr>
        <w:t xml:space="preserve"> </w:t>
      </w:r>
      <w:proofErr w:type="gramStart"/>
      <w:r>
        <w:rPr>
          <w:sz w:val="17"/>
        </w:rPr>
        <w:t>Abierta);</w:t>
      </w:r>
      <w:proofErr w:type="gramEnd"/>
      <w:r>
        <w:rPr>
          <w:spacing w:val="-9"/>
          <w:sz w:val="17"/>
        </w:rPr>
        <w:t xml:space="preserve"> </w:t>
      </w:r>
      <w:proofErr w:type="spellStart"/>
      <w:r>
        <w:rPr>
          <w:sz w:val="17"/>
        </w:rPr>
        <w:t>Dragana</w:t>
      </w:r>
      <w:proofErr w:type="spellEnd"/>
      <w:r>
        <w:rPr>
          <w:spacing w:val="-9"/>
          <w:sz w:val="17"/>
        </w:rPr>
        <w:t xml:space="preserve"> </w:t>
      </w:r>
      <w:proofErr w:type="spellStart"/>
      <w:r>
        <w:rPr>
          <w:sz w:val="17"/>
        </w:rPr>
        <w:t>Ciric</w:t>
      </w:r>
      <w:proofErr w:type="spellEnd"/>
      <w:r>
        <w:rPr>
          <w:sz w:val="17"/>
        </w:rPr>
        <w:t xml:space="preserve"> </w:t>
      </w:r>
      <w:proofErr w:type="spellStart"/>
      <w:r>
        <w:rPr>
          <w:sz w:val="17"/>
        </w:rPr>
        <w:t>Milovanovic</w:t>
      </w:r>
      <w:proofErr w:type="spellEnd"/>
      <w:r>
        <w:rPr>
          <w:sz w:val="17"/>
        </w:rPr>
        <w:t xml:space="preserve"> (Internacional por los Derechos de las Personas con </w:t>
      </w:r>
      <w:proofErr w:type="gramStart"/>
      <w:r>
        <w:rPr>
          <w:sz w:val="17"/>
        </w:rPr>
        <w:t>Discapacidad);</w:t>
      </w:r>
      <w:proofErr w:type="gramEnd"/>
      <w:r>
        <w:rPr>
          <w:sz w:val="17"/>
        </w:rPr>
        <w:t xml:space="preserve"> David Oppenheimer (Centro Berkeley </w:t>
      </w:r>
      <w:r>
        <w:rPr>
          <w:spacing w:val="-2"/>
          <w:sz w:val="17"/>
        </w:rPr>
        <w:t xml:space="preserve">sobre Igualdad Comparada y Derecho </w:t>
      </w:r>
      <w:proofErr w:type="gramStart"/>
      <w:r>
        <w:rPr>
          <w:spacing w:val="-2"/>
          <w:sz w:val="17"/>
        </w:rPr>
        <w:t>Antidiscriminación);</w:t>
      </w:r>
      <w:proofErr w:type="gramEnd"/>
      <w:r>
        <w:rPr>
          <w:spacing w:val="-2"/>
          <w:sz w:val="17"/>
        </w:rPr>
        <w:t xml:space="preserve"> </w:t>
      </w:r>
      <w:proofErr w:type="spellStart"/>
      <w:r>
        <w:rPr>
          <w:spacing w:val="-2"/>
          <w:sz w:val="17"/>
        </w:rPr>
        <w:t>Simon</w:t>
      </w:r>
      <w:proofErr w:type="spellEnd"/>
      <w:r>
        <w:rPr>
          <w:spacing w:val="-2"/>
          <w:sz w:val="17"/>
        </w:rPr>
        <w:t xml:space="preserve"> Rice (Universidad de </w:t>
      </w:r>
      <w:proofErr w:type="spellStart"/>
      <w:proofErr w:type="gramStart"/>
      <w:r>
        <w:rPr>
          <w:spacing w:val="-2"/>
          <w:sz w:val="17"/>
        </w:rPr>
        <w:t>Sydney</w:t>
      </w:r>
      <w:proofErr w:type="spellEnd"/>
      <w:r>
        <w:rPr>
          <w:spacing w:val="-2"/>
          <w:sz w:val="17"/>
        </w:rPr>
        <w:t>);</w:t>
      </w:r>
      <w:proofErr w:type="gramEnd"/>
      <w:r>
        <w:rPr>
          <w:spacing w:val="-2"/>
          <w:sz w:val="17"/>
        </w:rPr>
        <w:t xml:space="preserve"> Bridget </w:t>
      </w:r>
      <w:proofErr w:type="spellStart"/>
      <w:r>
        <w:rPr>
          <w:spacing w:val="-2"/>
          <w:sz w:val="17"/>
        </w:rPr>
        <w:t>Sleap</w:t>
      </w:r>
      <w:proofErr w:type="spellEnd"/>
      <w:r>
        <w:rPr>
          <w:spacing w:val="-2"/>
          <w:sz w:val="17"/>
        </w:rPr>
        <w:t xml:space="preserve"> (</w:t>
      </w:r>
      <w:proofErr w:type="spellStart"/>
      <w:r>
        <w:rPr>
          <w:spacing w:val="-2"/>
          <w:sz w:val="17"/>
        </w:rPr>
        <w:t>HelpAge</w:t>
      </w:r>
      <w:proofErr w:type="spellEnd"/>
      <w:r>
        <w:rPr>
          <w:spacing w:val="-2"/>
          <w:sz w:val="17"/>
        </w:rPr>
        <w:t xml:space="preserve"> </w:t>
      </w:r>
      <w:proofErr w:type="gramStart"/>
      <w:r>
        <w:rPr>
          <w:sz w:val="17"/>
        </w:rPr>
        <w:t>Internacional);</w:t>
      </w:r>
      <w:proofErr w:type="gramEnd"/>
      <w:r>
        <w:rPr>
          <w:sz w:val="17"/>
        </w:rPr>
        <w:t xml:space="preserve"> y Meghan Campbell (Centro de Derechos Humanos de Oxford).</w:t>
      </w:r>
    </w:p>
    <w:p w14:paraId="1DC18496" w14:textId="77777777" w:rsidR="0014798C" w:rsidRDefault="004E1F0B">
      <w:pPr>
        <w:spacing w:before="165" w:line="307" w:lineRule="auto"/>
        <w:ind w:left="1108" w:right="1272" w:firstLine="6"/>
        <w:rPr>
          <w:sz w:val="17"/>
        </w:rPr>
      </w:pPr>
      <w:r>
        <w:rPr>
          <w:sz w:val="17"/>
        </w:rPr>
        <w:t xml:space="preserve">El ACNUDH y el </w:t>
      </w:r>
      <w:proofErr w:type="spellStart"/>
      <w:r>
        <w:rPr>
          <w:sz w:val="17"/>
        </w:rPr>
        <w:t>Equal</w:t>
      </w:r>
      <w:proofErr w:type="spellEnd"/>
      <w:r>
        <w:rPr>
          <w:sz w:val="17"/>
        </w:rPr>
        <w:t xml:space="preserve"> </w:t>
      </w:r>
      <w:proofErr w:type="spellStart"/>
      <w:r>
        <w:rPr>
          <w:sz w:val="17"/>
        </w:rPr>
        <w:t>Rights</w:t>
      </w:r>
      <w:proofErr w:type="spellEnd"/>
      <w:r>
        <w:rPr>
          <w:sz w:val="17"/>
        </w:rPr>
        <w:t xml:space="preserve"> Trust agradecen a los numerosos Estados, instituciones nacionales de derechos humanos, organizaciones de la sociedad civil, entidades de las Naciones Unidas y defensores de los derechos humanos que proporcionaron información durante</w:t>
      </w:r>
      <w:r>
        <w:rPr>
          <w:spacing w:val="-1"/>
          <w:sz w:val="17"/>
        </w:rPr>
        <w:t xml:space="preserve"> </w:t>
      </w:r>
      <w:r>
        <w:rPr>
          <w:sz w:val="17"/>
        </w:rPr>
        <w:t>la preparación de la guía, ya sea respondiendo a llamados</w:t>
      </w:r>
      <w:r>
        <w:rPr>
          <w:spacing w:val="-1"/>
          <w:sz w:val="17"/>
        </w:rPr>
        <w:t xml:space="preserve"> </w:t>
      </w:r>
      <w:r>
        <w:rPr>
          <w:sz w:val="17"/>
        </w:rPr>
        <w:t>de información o mediante participar en una o más de las cuatro reuniones de consulta.</w:t>
      </w:r>
    </w:p>
    <w:p w14:paraId="2408354D" w14:textId="77777777" w:rsidR="0014798C" w:rsidRDefault="004E1F0B">
      <w:pPr>
        <w:spacing w:before="168" w:line="307" w:lineRule="auto"/>
        <w:ind w:left="1105" w:right="1206" w:firstLine="3"/>
        <w:rPr>
          <w:sz w:val="17"/>
        </w:rPr>
      </w:pPr>
      <w:r>
        <w:rPr>
          <w:sz w:val="17"/>
        </w:rPr>
        <w:t>Finalmente, ACNUDH</w:t>
      </w:r>
      <w:r>
        <w:rPr>
          <w:spacing w:val="-1"/>
          <w:sz w:val="17"/>
        </w:rPr>
        <w:t xml:space="preserve"> </w:t>
      </w:r>
      <w:r>
        <w:rPr>
          <w:sz w:val="17"/>
        </w:rPr>
        <w:t xml:space="preserve">y </w:t>
      </w:r>
      <w:proofErr w:type="spellStart"/>
      <w:r>
        <w:rPr>
          <w:sz w:val="17"/>
        </w:rPr>
        <w:t>Equal</w:t>
      </w:r>
      <w:proofErr w:type="spellEnd"/>
      <w:r>
        <w:rPr>
          <w:spacing w:val="-1"/>
          <w:sz w:val="17"/>
        </w:rPr>
        <w:t xml:space="preserve"> </w:t>
      </w:r>
      <w:proofErr w:type="spellStart"/>
      <w:r>
        <w:rPr>
          <w:sz w:val="17"/>
        </w:rPr>
        <w:t>Rights</w:t>
      </w:r>
      <w:proofErr w:type="spellEnd"/>
      <w:r>
        <w:rPr>
          <w:spacing w:val="-1"/>
          <w:sz w:val="17"/>
        </w:rPr>
        <w:t xml:space="preserve"> </w:t>
      </w:r>
      <w:r>
        <w:rPr>
          <w:sz w:val="17"/>
        </w:rPr>
        <w:t>Trust desean reconocer</w:t>
      </w:r>
      <w:r>
        <w:rPr>
          <w:spacing w:val="-1"/>
          <w:sz w:val="17"/>
        </w:rPr>
        <w:t xml:space="preserve"> </w:t>
      </w:r>
      <w:r>
        <w:rPr>
          <w:sz w:val="17"/>
        </w:rPr>
        <w:t>y agradecer</w:t>
      </w:r>
      <w:r>
        <w:rPr>
          <w:spacing w:val="-1"/>
          <w:sz w:val="17"/>
        </w:rPr>
        <w:t xml:space="preserve"> </w:t>
      </w:r>
      <w:r>
        <w:rPr>
          <w:sz w:val="17"/>
        </w:rPr>
        <w:t>a todos</w:t>
      </w:r>
      <w:r>
        <w:rPr>
          <w:spacing w:val="-1"/>
          <w:sz w:val="17"/>
        </w:rPr>
        <w:t xml:space="preserve"> </w:t>
      </w:r>
      <w:r>
        <w:rPr>
          <w:sz w:val="17"/>
        </w:rPr>
        <w:t>aquellos</w:t>
      </w:r>
      <w:r>
        <w:rPr>
          <w:spacing w:val="-1"/>
          <w:sz w:val="17"/>
        </w:rPr>
        <w:t xml:space="preserve"> </w:t>
      </w:r>
      <w:r>
        <w:rPr>
          <w:sz w:val="17"/>
        </w:rPr>
        <w:t>sobrevivientes</w:t>
      </w:r>
      <w:r>
        <w:rPr>
          <w:spacing w:val="-1"/>
          <w:sz w:val="17"/>
        </w:rPr>
        <w:t xml:space="preserve"> </w:t>
      </w:r>
      <w:r>
        <w:rPr>
          <w:sz w:val="17"/>
        </w:rPr>
        <w:t>de discriminación cuya experiencia, activismo y litigio han ayudado a desarrollar la comprensión del derecho a la no discriminación y a dar forma al contenido de una ley integral contra la discriminación.</w:t>
      </w:r>
      <w:r>
        <w:rPr>
          <w:spacing w:val="9"/>
          <w:sz w:val="17"/>
        </w:rPr>
        <w:t xml:space="preserve"> </w:t>
      </w:r>
      <w:r>
        <w:rPr>
          <w:sz w:val="17"/>
        </w:rPr>
        <w:t>Los estándares legales que aquí planteamos son producto</w:t>
      </w:r>
      <w:r>
        <w:rPr>
          <w:spacing w:val="80"/>
          <w:sz w:val="17"/>
        </w:rPr>
        <w:t xml:space="preserve"> </w:t>
      </w:r>
      <w:r>
        <w:rPr>
          <w:sz w:val="17"/>
        </w:rPr>
        <w:t>de su lucha y a ellos dedicamos la guía.</w:t>
      </w:r>
    </w:p>
    <w:p w14:paraId="69F19766" w14:textId="77777777" w:rsidR="0014798C" w:rsidRDefault="0014798C">
      <w:pPr>
        <w:pStyle w:val="Textoindependiente"/>
        <w:rPr>
          <w:sz w:val="17"/>
        </w:rPr>
      </w:pPr>
    </w:p>
    <w:p w14:paraId="744A0861" w14:textId="77777777" w:rsidR="0014798C" w:rsidRDefault="0014798C">
      <w:pPr>
        <w:pStyle w:val="Textoindependiente"/>
        <w:rPr>
          <w:sz w:val="17"/>
        </w:rPr>
      </w:pPr>
    </w:p>
    <w:p w14:paraId="573079C2" w14:textId="77777777" w:rsidR="0014798C" w:rsidRDefault="0014798C">
      <w:pPr>
        <w:pStyle w:val="Textoindependiente"/>
        <w:rPr>
          <w:sz w:val="17"/>
        </w:rPr>
      </w:pPr>
    </w:p>
    <w:p w14:paraId="79BBDF84" w14:textId="77777777" w:rsidR="0014798C" w:rsidRDefault="0014798C">
      <w:pPr>
        <w:pStyle w:val="Textoindependiente"/>
        <w:rPr>
          <w:sz w:val="17"/>
        </w:rPr>
      </w:pPr>
    </w:p>
    <w:p w14:paraId="377AB534" w14:textId="77777777" w:rsidR="0014798C" w:rsidRDefault="0014798C">
      <w:pPr>
        <w:pStyle w:val="Textoindependiente"/>
        <w:rPr>
          <w:sz w:val="17"/>
        </w:rPr>
      </w:pPr>
    </w:p>
    <w:p w14:paraId="7986553E" w14:textId="77777777" w:rsidR="0014798C" w:rsidRDefault="0014798C">
      <w:pPr>
        <w:pStyle w:val="Textoindependiente"/>
        <w:rPr>
          <w:sz w:val="17"/>
        </w:rPr>
      </w:pPr>
    </w:p>
    <w:p w14:paraId="3181250F" w14:textId="77777777" w:rsidR="0014798C" w:rsidRDefault="0014798C">
      <w:pPr>
        <w:pStyle w:val="Textoindependiente"/>
        <w:rPr>
          <w:sz w:val="17"/>
        </w:rPr>
      </w:pPr>
    </w:p>
    <w:p w14:paraId="42777BE7" w14:textId="77777777" w:rsidR="0014798C" w:rsidRDefault="0014798C">
      <w:pPr>
        <w:pStyle w:val="Textoindependiente"/>
        <w:rPr>
          <w:sz w:val="17"/>
        </w:rPr>
      </w:pPr>
    </w:p>
    <w:p w14:paraId="7CD92362" w14:textId="77777777" w:rsidR="0014798C" w:rsidRDefault="0014798C">
      <w:pPr>
        <w:pStyle w:val="Textoindependiente"/>
        <w:rPr>
          <w:sz w:val="17"/>
        </w:rPr>
      </w:pPr>
    </w:p>
    <w:p w14:paraId="312F57F8" w14:textId="77777777" w:rsidR="0014798C" w:rsidRDefault="0014798C">
      <w:pPr>
        <w:pStyle w:val="Textoindependiente"/>
        <w:rPr>
          <w:sz w:val="17"/>
        </w:rPr>
      </w:pPr>
    </w:p>
    <w:p w14:paraId="004E9832" w14:textId="77777777" w:rsidR="0014798C" w:rsidRDefault="0014798C">
      <w:pPr>
        <w:pStyle w:val="Textoindependiente"/>
        <w:rPr>
          <w:sz w:val="17"/>
        </w:rPr>
      </w:pPr>
    </w:p>
    <w:p w14:paraId="62315422" w14:textId="77777777" w:rsidR="0014798C" w:rsidRDefault="0014798C">
      <w:pPr>
        <w:pStyle w:val="Textoindependiente"/>
        <w:rPr>
          <w:sz w:val="17"/>
        </w:rPr>
      </w:pPr>
    </w:p>
    <w:p w14:paraId="19758F5F" w14:textId="77777777" w:rsidR="0014798C" w:rsidRDefault="0014798C">
      <w:pPr>
        <w:pStyle w:val="Textoindependiente"/>
        <w:rPr>
          <w:sz w:val="17"/>
        </w:rPr>
      </w:pPr>
    </w:p>
    <w:p w14:paraId="4E09EA68" w14:textId="77777777" w:rsidR="0014798C" w:rsidRDefault="0014798C">
      <w:pPr>
        <w:pStyle w:val="Textoindependiente"/>
        <w:rPr>
          <w:sz w:val="17"/>
        </w:rPr>
      </w:pPr>
    </w:p>
    <w:p w14:paraId="6D7268C7" w14:textId="77777777" w:rsidR="0014798C" w:rsidRDefault="0014798C">
      <w:pPr>
        <w:pStyle w:val="Textoindependiente"/>
        <w:rPr>
          <w:sz w:val="17"/>
        </w:rPr>
      </w:pPr>
    </w:p>
    <w:p w14:paraId="592A81B1" w14:textId="77777777" w:rsidR="0014798C" w:rsidRDefault="0014798C">
      <w:pPr>
        <w:pStyle w:val="Textoindependiente"/>
        <w:rPr>
          <w:sz w:val="17"/>
        </w:rPr>
      </w:pPr>
    </w:p>
    <w:p w14:paraId="4EBE569D" w14:textId="77777777" w:rsidR="0014798C" w:rsidRDefault="0014798C">
      <w:pPr>
        <w:pStyle w:val="Textoindependiente"/>
        <w:rPr>
          <w:sz w:val="17"/>
        </w:rPr>
      </w:pPr>
    </w:p>
    <w:p w14:paraId="770DB3C7" w14:textId="77777777" w:rsidR="0014798C" w:rsidRDefault="0014798C">
      <w:pPr>
        <w:pStyle w:val="Textoindependiente"/>
        <w:rPr>
          <w:sz w:val="17"/>
        </w:rPr>
      </w:pPr>
    </w:p>
    <w:p w14:paraId="63B6C4F7" w14:textId="77777777" w:rsidR="0014798C" w:rsidRDefault="0014798C">
      <w:pPr>
        <w:pStyle w:val="Textoindependiente"/>
        <w:spacing w:before="84"/>
        <w:rPr>
          <w:sz w:val="17"/>
        </w:rPr>
      </w:pPr>
    </w:p>
    <w:p w14:paraId="75AF1251" w14:textId="77777777" w:rsidR="0014798C" w:rsidRDefault="004E1F0B">
      <w:pPr>
        <w:ind w:right="718"/>
        <w:jc w:val="right"/>
        <w:rPr>
          <w:sz w:val="17"/>
        </w:rPr>
      </w:pPr>
      <w:proofErr w:type="spellStart"/>
      <w:r>
        <w:rPr>
          <w:spacing w:val="-5"/>
          <w:sz w:val="17"/>
        </w:rPr>
        <w:t>ix</w:t>
      </w:r>
      <w:proofErr w:type="spellEnd"/>
    </w:p>
    <w:p w14:paraId="585E9E6B" w14:textId="77777777" w:rsidR="0014798C" w:rsidRDefault="0014798C">
      <w:pPr>
        <w:jc w:val="right"/>
        <w:rPr>
          <w:sz w:val="17"/>
        </w:rPr>
        <w:sectPr w:rsidR="0014798C" w:rsidSect="00F265E4">
          <w:headerReference w:type="default" r:id="rId22"/>
          <w:pgSz w:w="11900" w:h="16820"/>
          <w:pgMar w:top="40" w:right="0" w:bottom="280" w:left="200" w:header="0" w:footer="0" w:gutter="0"/>
          <w:cols w:space="720"/>
        </w:sectPr>
      </w:pPr>
    </w:p>
    <w:p w14:paraId="40F0456A" w14:textId="77777777" w:rsidR="0014798C" w:rsidRDefault="0014798C">
      <w:pPr>
        <w:pStyle w:val="Textoindependiente"/>
        <w:rPr>
          <w:sz w:val="48"/>
        </w:rPr>
      </w:pPr>
    </w:p>
    <w:p w14:paraId="5CA3C57A" w14:textId="77777777" w:rsidR="0014798C" w:rsidRDefault="0014798C">
      <w:pPr>
        <w:pStyle w:val="Textoindependiente"/>
        <w:spacing w:before="168"/>
        <w:rPr>
          <w:sz w:val="48"/>
        </w:rPr>
      </w:pPr>
    </w:p>
    <w:p w14:paraId="11DBCE96" w14:textId="77777777" w:rsidR="0014798C" w:rsidRDefault="004E1F0B">
      <w:pPr>
        <w:pStyle w:val="Ttulo2"/>
      </w:pPr>
      <w:bookmarkStart w:id="1" w:name="_TOC_250009"/>
      <w:r>
        <w:t>RESUMEN</w:t>
      </w:r>
      <w:r>
        <w:rPr>
          <w:spacing w:val="-7"/>
        </w:rPr>
        <w:t xml:space="preserve"> </w:t>
      </w:r>
      <w:bookmarkEnd w:id="1"/>
      <w:r>
        <w:rPr>
          <w:spacing w:val="-2"/>
        </w:rPr>
        <w:t>EJECUTIVO</w:t>
      </w:r>
    </w:p>
    <w:p w14:paraId="38910E3C" w14:textId="77777777" w:rsidR="0014798C" w:rsidRDefault="0014798C">
      <w:pPr>
        <w:pStyle w:val="Textoindependiente"/>
        <w:spacing w:before="89"/>
      </w:pPr>
    </w:p>
    <w:p w14:paraId="2FDBE10D" w14:textId="77777777" w:rsidR="0014798C" w:rsidRDefault="004E1F0B">
      <w:pPr>
        <w:pStyle w:val="Textoindependiente"/>
        <w:spacing w:before="1" w:line="326" w:lineRule="auto"/>
        <w:ind w:left="1107" w:right="1272" w:hanging="2"/>
      </w:pPr>
      <w:r>
        <w:t>El</w:t>
      </w:r>
      <w:r>
        <w:rPr>
          <w:spacing w:val="10"/>
        </w:rPr>
        <w:t xml:space="preserve"> </w:t>
      </w:r>
      <w:r>
        <w:t>objetivo</w:t>
      </w:r>
      <w:r>
        <w:rPr>
          <w:spacing w:val="10"/>
        </w:rPr>
        <w:t xml:space="preserve"> </w:t>
      </w:r>
      <w:r>
        <w:t>de</w:t>
      </w:r>
      <w:r>
        <w:rPr>
          <w:spacing w:val="10"/>
        </w:rPr>
        <w:t xml:space="preserve"> </w:t>
      </w:r>
      <w:r>
        <w:t>la</w:t>
      </w:r>
      <w:r>
        <w:rPr>
          <w:spacing w:val="10"/>
        </w:rPr>
        <w:t xml:space="preserve"> </w:t>
      </w:r>
      <w:r>
        <w:t>presente</w:t>
      </w:r>
      <w:r>
        <w:rPr>
          <w:spacing w:val="10"/>
        </w:rPr>
        <w:t xml:space="preserve"> </w:t>
      </w:r>
      <w:r>
        <w:t>guía</w:t>
      </w:r>
      <w:r>
        <w:rPr>
          <w:spacing w:val="10"/>
        </w:rPr>
        <w:t xml:space="preserve"> </w:t>
      </w:r>
      <w:r>
        <w:t>es</w:t>
      </w:r>
      <w:r>
        <w:rPr>
          <w:spacing w:val="10"/>
        </w:rPr>
        <w:t xml:space="preserve"> </w:t>
      </w:r>
      <w:r>
        <w:t>proporcionar</w:t>
      </w:r>
      <w:r>
        <w:rPr>
          <w:spacing w:val="10"/>
        </w:rPr>
        <w:t xml:space="preserve"> </w:t>
      </w:r>
      <w:r>
        <w:t>a</w:t>
      </w:r>
      <w:r>
        <w:rPr>
          <w:spacing w:val="10"/>
        </w:rPr>
        <w:t xml:space="preserve"> </w:t>
      </w:r>
      <w:r>
        <w:t>los</w:t>
      </w:r>
      <w:r>
        <w:rPr>
          <w:spacing w:val="10"/>
        </w:rPr>
        <w:t xml:space="preserve"> </w:t>
      </w:r>
      <w:r>
        <w:t>gobiernos,</w:t>
      </w:r>
      <w:r>
        <w:rPr>
          <w:spacing w:val="11"/>
        </w:rPr>
        <w:t xml:space="preserve"> </w:t>
      </w:r>
      <w:r>
        <w:t>los</w:t>
      </w:r>
      <w:r>
        <w:rPr>
          <w:spacing w:val="10"/>
        </w:rPr>
        <w:t xml:space="preserve"> </w:t>
      </w:r>
      <w:r>
        <w:t>legisladores,</w:t>
      </w:r>
      <w:r>
        <w:rPr>
          <w:spacing w:val="11"/>
        </w:rPr>
        <w:t xml:space="preserve"> </w:t>
      </w:r>
      <w:r>
        <w:t>los</w:t>
      </w:r>
      <w:r>
        <w:rPr>
          <w:spacing w:val="10"/>
        </w:rPr>
        <w:t xml:space="preserve"> </w:t>
      </w:r>
      <w:r>
        <w:t>agentes</w:t>
      </w:r>
      <w:r>
        <w:rPr>
          <w:spacing w:val="10"/>
        </w:rPr>
        <w:t xml:space="preserve"> </w:t>
      </w:r>
      <w:r>
        <w:t>de</w:t>
      </w:r>
      <w:r>
        <w:rPr>
          <w:spacing w:val="10"/>
        </w:rPr>
        <w:t xml:space="preserve"> </w:t>
      </w:r>
      <w:r>
        <w:t>la</w:t>
      </w:r>
      <w:r>
        <w:rPr>
          <w:spacing w:val="10"/>
        </w:rPr>
        <w:t xml:space="preserve"> </w:t>
      </w:r>
      <w:r>
        <w:t>sociedad</w:t>
      </w:r>
      <w:r>
        <w:rPr>
          <w:spacing w:val="10"/>
        </w:rPr>
        <w:t xml:space="preserve"> </w:t>
      </w:r>
      <w:r>
        <w:t>civil</w:t>
      </w:r>
      <w:r>
        <w:rPr>
          <w:spacing w:val="10"/>
        </w:rPr>
        <w:t xml:space="preserve"> </w:t>
      </w:r>
      <w:r>
        <w:t>y</w:t>
      </w:r>
      <w:r>
        <w:rPr>
          <w:spacing w:val="10"/>
        </w:rPr>
        <w:t xml:space="preserve"> </w:t>
      </w:r>
      <w:r>
        <w:t>otros</w:t>
      </w:r>
      <w:r>
        <w:rPr>
          <w:spacing w:val="10"/>
        </w:rPr>
        <w:t xml:space="preserve"> </w:t>
      </w:r>
      <w:r>
        <w:t>que actúan</w:t>
      </w:r>
      <w:r>
        <w:rPr>
          <w:spacing w:val="12"/>
        </w:rPr>
        <w:t xml:space="preserve"> </w:t>
      </w:r>
      <w:r>
        <w:t>en</w:t>
      </w:r>
      <w:r>
        <w:rPr>
          <w:spacing w:val="12"/>
        </w:rPr>
        <w:t xml:space="preserve"> </w:t>
      </w:r>
      <w:r>
        <w:t>interés</w:t>
      </w:r>
      <w:r>
        <w:rPr>
          <w:spacing w:val="12"/>
        </w:rPr>
        <w:t xml:space="preserve"> </w:t>
      </w:r>
      <w:r>
        <w:t>público</w:t>
      </w:r>
      <w:r>
        <w:rPr>
          <w:spacing w:val="12"/>
        </w:rPr>
        <w:t xml:space="preserve"> </w:t>
      </w:r>
      <w:r>
        <w:t>orientación</w:t>
      </w:r>
      <w:r>
        <w:rPr>
          <w:spacing w:val="12"/>
        </w:rPr>
        <w:t xml:space="preserve"> </w:t>
      </w:r>
      <w:r>
        <w:t>autorizada</w:t>
      </w:r>
      <w:r>
        <w:rPr>
          <w:spacing w:val="12"/>
        </w:rPr>
        <w:t xml:space="preserve"> </w:t>
      </w:r>
      <w:r>
        <w:t>sobre</w:t>
      </w:r>
      <w:r>
        <w:rPr>
          <w:spacing w:val="12"/>
        </w:rPr>
        <w:t xml:space="preserve"> </w:t>
      </w:r>
      <w:r>
        <w:t>la</w:t>
      </w:r>
      <w:r>
        <w:rPr>
          <w:spacing w:val="12"/>
        </w:rPr>
        <w:t xml:space="preserve"> </w:t>
      </w:r>
      <w:r>
        <w:t>elaboración</w:t>
      </w:r>
      <w:r>
        <w:rPr>
          <w:spacing w:val="12"/>
        </w:rPr>
        <w:t xml:space="preserve"> </w:t>
      </w:r>
      <w:r>
        <w:t>de</w:t>
      </w:r>
      <w:r>
        <w:rPr>
          <w:spacing w:val="12"/>
        </w:rPr>
        <w:t xml:space="preserve"> </w:t>
      </w:r>
      <w:r>
        <w:t>una</w:t>
      </w:r>
      <w:r>
        <w:rPr>
          <w:spacing w:val="12"/>
        </w:rPr>
        <w:t xml:space="preserve"> </w:t>
      </w:r>
      <w:r>
        <w:t>legislación</w:t>
      </w:r>
      <w:r>
        <w:rPr>
          <w:spacing w:val="12"/>
        </w:rPr>
        <w:t xml:space="preserve"> </w:t>
      </w:r>
      <w:r>
        <w:t>integral</w:t>
      </w:r>
      <w:r>
        <w:rPr>
          <w:spacing w:val="12"/>
        </w:rPr>
        <w:t xml:space="preserve"> </w:t>
      </w:r>
      <w:r>
        <w:t>contra</w:t>
      </w:r>
      <w:r>
        <w:rPr>
          <w:spacing w:val="12"/>
        </w:rPr>
        <w:t xml:space="preserve"> </w:t>
      </w:r>
      <w:r>
        <w:t>la</w:t>
      </w:r>
      <w:r>
        <w:rPr>
          <w:spacing w:val="12"/>
        </w:rPr>
        <w:t xml:space="preserve"> </w:t>
      </w:r>
      <w:r>
        <w:t>discriminación compatible con las normas jurídicas internacionales sobre los derechos a la igualdad y la no discriminación. La guía examina en detalle el desarrollo, la interpretación y la implementación de estos estándares internacionales, antes de establecer los principios clave que deben codificarse en ley para garantizar el cumplimiento del derecho internacional. Estos principios clave se establecen en este resumen ejecutivo.</w:t>
      </w:r>
    </w:p>
    <w:p w14:paraId="21556D9E" w14:textId="77777777" w:rsidR="0014798C" w:rsidRDefault="004E1F0B">
      <w:pPr>
        <w:pStyle w:val="Textoindependiente"/>
        <w:spacing w:before="167" w:line="326" w:lineRule="auto"/>
        <w:ind w:left="1108" w:right="1378" w:hanging="2"/>
      </w:pPr>
      <w:r>
        <w:t>Las normas presentadas en este resumen ejecutivo reflejan el contenido necesario de la legislación contra la discriminación para que sea integral y eficaz a la hora de eliminar todas las formas de discriminación y lograr la igualdad y así permitir a los Estados cumplir con sus obligaciones fundamentales del derecho internacional de respetar,</w:t>
      </w:r>
      <w:r>
        <w:rPr>
          <w:spacing w:val="7"/>
        </w:rPr>
        <w:t xml:space="preserve"> </w:t>
      </w:r>
      <w:r>
        <w:t>proteger y cumplir.</w:t>
      </w:r>
      <w:r>
        <w:rPr>
          <w:spacing w:val="7"/>
        </w:rPr>
        <w:t xml:space="preserve"> </w:t>
      </w:r>
      <w:r>
        <w:t>los derechos a la igualdad</w:t>
      </w:r>
      <w:r>
        <w:rPr>
          <w:spacing w:val="80"/>
        </w:rPr>
        <w:t xml:space="preserve"> </w:t>
      </w:r>
      <w:r>
        <w:t>y a la no discriminación. Los elementos del derecho presentados aquí se derivan del derecho internacional de los derechos humanos, como se examina en detalle en los capítulos sustantivos de la guía. Como se detalla en la metodología de la investigación, además de una revisión exhaustiva del derecho internacional en esta área, la guía se preparó luego de extensas consultas con una amplia gama de partes interesadas. A lo largo de la guía, junto con el análisis de las normas internacionales pertinentes, se proporcionan ejemplos de cómo los legisladores de todo el mundo han transpuesto los requisitos del derecho internacional al ordenamiento jurídico interno. Además, la guía incluye explicaciones detalladas de los conceptos legales clave y estudios de casos y ejemplos para demostrar su funcionamiento en la práctica.</w:t>
      </w:r>
    </w:p>
    <w:p w14:paraId="655AFB39" w14:textId="77777777" w:rsidR="0014798C" w:rsidRDefault="0014798C">
      <w:pPr>
        <w:pStyle w:val="Textoindependiente"/>
      </w:pPr>
    </w:p>
    <w:p w14:paraId="6E6495B7" w14:textId="77777777" w:rsidR="0014798C" w:rsidRDefault="0014798C">
      <w:pPr>
        <w:pStyle w:val="Textoindependiente"/>
        <w:spacing w:before="46"/>
      </w:pPr>
    </w:p>
    <w:p w14:paraId="23D08FC8" w14:textId="77777777" w:rsidR="0014798C" w:rsidRDefault="004E1F0B">
      <w:pPr>
        <w:pStyle w:val="Textoindependiente"/>
        <w:spacing w:line="326" w:lineRule="auto"/>
        <w:ind w:left="1107" w:right="1243" w:hanging="4"/>
      </w:pPr>
      <w:r>
        <w:t>Si bien la guía completa incluye una discusión detallada sobre el desarrollo, interpretación y aplicación de estándares legales internacionales, este resumen ejecutivo simplemente establece principios clave que deben codificarse en la legislación nacional para</w:t>
      </w:r>
      <w:r>
        <w:rPr>
          <w:spacing w:val="11"/>
        </w:rPr>
        <w:t xml:space="preserve"> </w:t>
      </w:r>
      <w:r>
        <w:t>cumplir</w:t>
      </w:r>
      <w:r>
        <w:rPr>
          <w:spacing w:val="11"/>
        </w:rPr>
        <w:t xml:space="preserve"> </w:t>
      </w:r>
      <w:r>
        <w:t>con</w:t>
      </w:r>
      <w:r>
        <w:rPr>
          <w:spacing w:val="11"/>
        </w:rPr>
        <w:t xml:space="preserve"> </w:t>
      </w:r>
      <w:r>
        <w:t>estos</w:t>
      </w:r>
      <w:r>
        <w:rPr>
          <w:spacing w:val="11"/>
        </w:rPr>
        <w:t xml:space="preserve"> </w:t>
      </w:r>
      <w:r>
        <w:t>estándares.</w:t>
      </w:r>
      <w:r>
        <w:rPr>
          <w:spacing w:val="12"/>
        </w:rPr>
        <w:t xml:space="preserve"> </w:t>
      </w:r>
      <w:r>
        <w:t>Por</w:t>
      </w:r>
      <w:r>
        <w:rPr>
          <w:spacing w:val="11"/>
        </w:rPr>
        <w:t xml:space="preserve"> </w:t>
      </w:r>
      <w:r>
        <w:t>lo</w:t>
      </w:r>
      <w:r>
        <w:rPr>
          <w:spacing w:val="11"/>
        </w:rPr>
        <w:t xml:space="preserve"> </w:t>
      </w:r>
      <w:r>
        <w:t>tanto,</w:t>
      </w:r>
      <w:r>
        <w:rPr>
          <w:spacing w:val="11"/>
        </w:rPr>
        <w:t xml:space="preserve"> </w:t>
      </w:r>
      <w:r>
        <w:t>además</w:t>
      </w:r>
      <w:r>
        <w:rPr>
          <w:spacing w:val="11"/>
        </w:rPr>
        <w:t xml:space="preserve"> </w:t>
      </w:r>
      <w:r>
        <w:t>de</w:t>
      </w:r>
      <w:r>
        <w:rPr>
          <w:spacing w:val="11"/>
        </w:rPr>
        <w:t xml:space="preserve"> </w:t>
      </w:r>
      <w:r>
        <w:t>resumir</w:t>
      </w:r>
      <w:r>
        <w:rPr>
          <w:spacing w:val="11"/>
        </w:rPr>
        <w:t xml:space="preserve"> </w:t>
      </w:r>
      <w:r>
        <w:t>el</w:t>
      </w:r>
      <w:r>
        <w:rPr>
          <w:spacing w:val="11"/>
        </w:rPr>
        <w:t xml:space="preserve"> </w:t>
      </w:r>
      <w:r>
        <w:t>contenido</w:t>
      </w:r>
      <w:r>
        <w:rPr>
          <w:spacing w:val="11"/>
        </w:rPr>
        <w:t xml:space="preserve"> </w:t>
      </w:r>
      <w:r>
        <w:t>de</w:t>
      </w:r>
      <w:r>
        <w:rPr>
          <w:spacing w:val="11"/>
        </w:rPr>
        <w:t xml:space="preserve"> </w:t>
      </w:r>
      <w:r>
        <w:t>la</w:t>
      </w:r>
      <w:r>
        <w:rPr>
          <w:spacing w:val="11"/>
        </w:rPr>
        <w:t xml:space="preserve"> </w:t>
      </w:r>
      <w:r>
        <w:t>publicación,</w:t>
      </w:r>
      <w:r>
        <w:rPr>
          <w:spacing w:val="12"/>
        </w:rPr>
        <w:t xml:space="preserve"> </w:t>
      </w:r>
      <w:r>
        <w:t>este</w:t>
      </w:r>
      <w:r>
        <w:rPr>
          <w:spacing w:val="11"/>
        </w:rPr>
        <w:t xml:space="preserve"> </w:t>
      </w:r>
      <w:r>
        <w:t>resumen</w:t>
      </w:r>
      <w:r>
        <w:rPr>
          <w:spacing w:val="11"/>
        </w:rPr>
        <w:t xml:space="preserve"> </w:t>
      </w:r>
      <w:r>
        <w:t>funciona</w:t>
      </w:r>
      <w:r>
        <w:rPr>
          <w:spacing w:val="11"/>
        </w:rPr>
        <w:t xml:space="preserve"> </w:t>
      </w:r>
      <w:r>
        <w:t>como un conjunto de herramientas independiente para quienes participan en el desarrollo de una legislación integral contra la discriminación.</w:t>
      </w:r>
      <w:r>
        <w:rPr>
          <w:spacing w:val="15"/>
        </w:rPr>
        <w:t xml:space="preserve"> </w:t>
      </w:r>
      <w:r>
        <w:t>En muchos casos, el cumplimiento de las normas internacionales en esta área del derecho requiere que los</w:t>
      </w:r>
      <w:r>
        <w:rPr>
          <w:spacing w:val="80"/>
        </w:rPr>
        <w:t xml:space="preserve"> </w:t>
      </w:r>
      <w:r>
        <w:t>Estados establezcan reglas, procedimientos o instituciones, pero permite discrecionalidad sobre cómo se reflejan en el derecho interno. En otros casos, los Estados deben adoptar definiciones específicas que figuran en instrumentos de derecho internacional, incluidos los propios tratados y su interpretación por parte de los órganos competentes. En estos últimos casos, la definición relevante</w:t>
      </w:r>
      <w:r>
        <w:rPr>
          <w:spacing w:val="10"/>
        </w:rPr>
        <w:t xml:space="preserve"> </w:t>
      </w:r>
      <w:r>
        <w:t>se</w:t>
      </w:r>
      <w:r>
        <w:rPr>
          <w:spacing w:val="10"/>
        </w:rPr>
        <w:t xml:space="preserve"> </w:t>
      </w:r>
      <w:r>
        <w:t>presenta</w:t>
      </w:r>
      <w:r>
        <w:rPr>
          <w:spacing w:val="10"/>
        </w:rPr>
        <w:t xml:space="preserve"> </w:t>
      </w:r>
      <w:r>
        <w:t>en</w:t>
      </w:r>
      <w:r>
        <w:rPr>
          <w:spacing w:val="10"/>
        </w:rPr>
        <w:t xml:space="preserve"> </w:t>
      </w:r>
      <w:r>
        <w:t>un</w:t>
      </w:r>
      <w:r>
        <w:rPr>
          <w:spacing w:val="10"/>
        </w:rPr>
        <w:t xml:space="preserve"> </w:t>
      </w:r>
      <w:r>
        <w:t>cuadro</w:t>
      </w:r>
      <w:r>
        <w:rPr>
          <w:spacing w:val="10"/>
        </w:rPr>
        <w:t xml:space="preserve"> </w:t>
      </w:r>
      <w:r>
        <w:t>de</w:t>
      </w:r>
      <w:r>
        <w:rPr>
          <w:spacing w:val="10"/>
        </w:rPr>
        <w:t xml:space="preserve"> </w:t>
      </w:r>
      <w:r>
        <w:t>texto</w:t>
      </w:r>
      <w:r>
        <w:rPr>
          <w:spacing w:val="10"/>
        </w:rPr>
        <w:t xml:space="preserve"> </w:t>
      </w:r>
      <w:r>
        <w:t>para</w:t>
      </w:r>
      <w:r>
        <w:rPr>
          <w:spacing w:val="10"/>
        </w:rPr>
        <w:t xml:space="preserve"> </w:t>
      </w:r>
      <w:r>
        <w:t>que</w:t>
      </w:r>
      <w:r>
        <w:rPr>
          <w:spacing w:val="10"/>
        </w:rPr>
        <w:t xml:space="preserve"> </w:t>
      </w:r>
      <w:r>
        <w:t>los</w:t>
      </w:r>
      <w:r>
        <w:rPr>
          <w:spacing w:val="10"/>
        </w:rPr>
        <w:t xml:space="preserve"> </w:t>
      </w:r>
      <w:r>
        <w:t>legisladores</w:t>
      </w:r>
      <w:r>
        <w:rPr>
          <w:spacing w:val="10"/>
        </w:rPr>
        <w:t xml:space="preserve"> </w:t>
      </w:r>
      <w:r>
        <w:t>y</w:t>
      </w:r>
      <w:r>
        <w:rPr>
          <w:spacing w:val="10"/>
        </w:rPr>
        <w:t xml:space="preserve"> </w:t>
      </w:r>
      <w:r>
        <w:t>los</w:t>
      </w:r>
      <w:r>
        <w:rPr>
          <w:spacing w:val="10"/>
        </w:rPr>
        <w:t xml:space="preserve"> </w:t>
      </w:r>
      <w:r>
        <w:t>grupos</w:t>
      </w:r>
      <w:r>
        <w:rPr>
          <w:spacing w:val="10"/>
        </w:rPr>
        <w:t xml:space="preserve"> </w:t>
      </w:r>
      <w:r>
        <w:t>de</w:t>
      </w:r>
      <w:r>
        <w:rPr>
          <w:spacing w:val="10"/>
        </w:rPr>
        <w:t xml:space="preserve"> </w:t>
      </w:r>
      <w:r>
        <w:t>la</w:t>
      </w:r>
      <w:r>
        <w:rPr>
          <w:spacing w:val="10"/>
        </w:rPr>
        <w:t xml:space="preserve"> </w:t>
      </w:r>
      <w:r>
        <w:t>sociedad</w:t>
      </w:r>
      <w:r>
        <w:rPr>
          <w:spacing w:val="10"/>
        </w:rPr>
        <w:t xml:space="preserve"> </w:t>
      </w:r>
      <w:r>
        <w:t>civil</w:t>
      </w:r>
      <w:r>
        <w:rPr>
          <w:spacing w:val="10"/>
        </w:rPr>
        <w:t xml:space="preserve"> </w:t>
      </w:r>
      <w:r>
        <w:t>involucrados</w:t>
      </w:r>
      <w:r>
        <w:rPr>
          <w:spacing w:val="10"/>
        </w:rPr>
        <w:t xml:space="preserve"> </w:t>
      </w:r>
      <w:r>
        <w:t>en</w:t>
      </w:r>
      <w:r>
        <w:rPr>
          <w:spacing w:val="10"/>
        </w:rPr>
        <w:t xml:space="preserve"> </w:t>
      </w:r>
      <w:r>
        <w:t>el desarrollo de leyes puedan incorporarlas directamente en los proyectos de ley para garantizar su coherencia con los estándares internacionales de derechos humanos. En otros casos, el resumen proporciona instrucciones y orientación sobre lo que debe disponer la ley.</w:t>
      </w:r>
    </w:p>
    <w:p w14:paraId="1328C0B4" w14:textId="77777777" w:rsidR="0014798C" w:rsidRDefault="0014798C">
      <w:pPr>
        <w:pStyle w:val="Textoindependiente"/>
        <w:spacing w:before="59"/>
        <w:rPr>
          <w:sz w:val="28"/>
        </w:rPr>
      </w:pPr>
    </w:p>
    <w:p w14:paraId="1D757316" w14:textId="77777777" w:rsidR="0014798C" w:rsidRDefault="004E1F0B">
      <w:pPr>
        <w:pStyle w:val="Ttulo9"/>
        <w:numPr>
          <w:ilvl w:val="0"/>
          <w:numId w:val="99"/>
        </w:numPr>
        <w:tabs>
          <w:tab w:val="left" w:pos="1352"/>
          <w:tab w:val="left" w:pos="1561"/>
        </w:tabs>
        <w:spacing w:line="297" w:lineRule="auto"/>
        <w:ind w:left="1561" w:right="5081" w:hanging="439"/>
      </w:pPr>
      <w:r>
        <w:rPr>
          <w:color w:val="0075BF"/>
        </w:rPr>
        <w:t>OBLIGACIÓN</w:t>
      </w:r>
      <w:r>
        <w:rPr>
          <w:color w:val="0075BF"/>
          <w:spacing w:val="-20"/>
        </w:rPr>
        <w:t xml:space="preserve"> </w:t>
      </w:r>
      <w:r>
        <w:rPr>
          <w:color w:val="0075BF"/>
        </w:rPr>
        <w:t>DE</w:t>
      </w:r>
      <w:r>
        <w:rPr>
          <w:color w:val="0075BF"/>
          <w:spacing w:val="-19"/>
        </w:rPr>
        <w:t xml:space="preserve"> </w:t>
      </w:r>
      <w:r>
        <w:rPr>
          <w:color w:val="0075BF"/>
        </w:rPr>
        <w:t>DECLARAR</w:t>
      </w:r>
      <w:r>
        <w:rPr>
          <w:color w:val="0075BF"/>
          <w:spacing w:val="-20"/>
        </w:rPr>
        <w:t xml:space="preserve"> </w:t>
      </w:r>
      <w:r>
        <w:rPr>
          <w:color w:val="0075BF"/>
        </w:rPr>
        <w:t>INTEGRAL LEY ANTIDISCRIMINACIÓN</w:t>
      </w:r>
    </w:p>
    <w:p w14:paraId="3DCCE796" w14:textId="77777777" w:rsidR="0014798C" w:rsidRDefault="004E1F0B">
      <w:pPr>
        <w:pStyle w:val="Textoindependiente"/>
        <w:spacing w:before="181" w:line="326" w:lineRule="auto"/>
        <w:ind w:left="1109" w:right="1272" w:firstLine="5"/>
      </w:pPr>
      <w:r>
        <w:t>La legislación integral contra la discriminación1 es una ley adoptada con el propósito y efecto de eliminar todas las formas de discriminación y promover la igualdad para todos.</w:t>
      </w:r>
    </w:p>
    <w:p w14:paraId="78DD421A" w14:textId="77777777" w:rsidR="0014798C" w:rsidRDefault="004E1F0B">
      <w:pPr>
        <w:pStyle w:val="Textoindependiente"/>
        <w:spacing w:before="169" w:line="326" w:lineRule="auto"/>
        <w:ind w:left="1107" w:right="1272" w:firstLine="5"/>
      </w:pPr>
      <w:r>
        <w:t>Los Estados deben promulgar legislación integral contra la discriminación para cumplir con sus obligaciones bajo el derecho internacional de derechos humanos de respetar, proteger y hacer realidad los derechos a la igualdad y la no discriminación para todos.</w:t>
      </w:r>
      <w:r>
        <w:rPr>
          <w:spacing w:val="10"/>
        </w:rPr>
        <w:t xml:space="preserve"> </w:t>
      </w:r>
      <w:r>
        <w:t>La</w:t>
      </w:r>
      <w:r>
        <w:rPr>
          <w:spacing w:val="10"/>
        </w:rPr>
        <w:t xml:space="preserve"> </w:t>
      </w:r>
      <w:r>
        <w:t>aprobación</w:t>
      </w:r>
      <w:r>
        <w:rPr>
          <w:spacing w:val="10"/>
        </w:rPr>
        <w:t xml:space="preserve"> </w:t>
      </w:r>
      <w:r>
        <w:t>de</w:t>
      </w:r>
      <w:r>
        <w:rPr>
          <w:spacing w:val="10"/>
        </w:rPr>
        <w:t xml:space="preserve"> </w:t>
      </w:r>
      <w:r>
        <w:t>esa</w:t>
      </w:r>
      <w:r>
        <w:rPr>
          <w:spacing w:val="10"/>
        </w:rPr>
        <w:t xml:space="preserve"> </w:t>
      </w:r>
      <w:r>
        <w:t>legislación</w:t>
      </w:r>
      <w:r>
        <w:rPr>
          <w:spacing w:val="10"/>
        </w:rPr>
        <w:t xml:space="preserve"> </w:t>
      </w:r>
      <w:r>
        <w:t>es</w:t>
      </w:r>
      <w:r>
        <w:rPr>
          <w:spacing w:val="10"/>
        </w:rPr>
        <w:t xml:space="preserve"> </w:t>
      </w:r>
      <w:r>
        <w:t>también</w:t>
      </w:r>
      <w:r>
        <w:rPr>
          <w:spacing w:val="10"/>
        </w:rPr>
        <w:t xml:space="preserve"> </w:t>
      </w:r>
      <w:r>
        <w:t>un</w:t>
      </w:r>
      <w:r>
        <w:rPr>
          <w:spacing w:val="10"/>
        </w:rPr>
        <w:t xml:space="preserve"> </w:t>
      </w:r>
      <w:r>
        <w:t>elemento</w:t>
      </w:r>
      <w:r>
        <w:rPr>
          <w:spacing w:val="10"/>
        </w:rPr>
        <w:t xml:space="preserve"> </w:t>
      </w:r>
      <w:r>
        <w:t>necesario</w:t>
      </w:r>
      <w:r>
        <w:rPr>
          <w:spacing w:val="10"/>
        </w:rPr>
        <w:t xml:space="preserve"> </w:t>
      </w:r>
      <w:r>
        <w:t>en</w:t>
      </w:r>
      <w:r>
        <w:rPr>
          <w:spacing w:val="10"/>
        </w:rPr>
        <w:t xml:space="preserve"> </w:t>
      </w:r>
      <w:r>
        <w:t>la</w:t>
      </w:r>
      <w:r>
        <w:rPr>
          <w:spacing w:val="10"/>
        </w:rPr>
        <w:t xml:space="preserve"> </w:t>
      </w:r>
      <w:r>
        <w:t>protección</w:t>
      </w:r>
      <w:r>
        <w:rPr>
          <w:spacing w:val="10"/>
        </w:rPr>
        <w:t xml:space="preserve"> </w:t>
      </w:r>
      <w:r>
        <w:t>de</w:t>
      </w:r>
      <w:r>
        <w:rPr>
          <w:spacing w:val="10"/>
        </w:rPr>
        <w:t xml:space="preserve"> </w:t>
      </w:r>
      <w:r>
        <w:t>los</w:t>
      </w:r>
      <w:r>
        <w:rPr>
          <w:spacing w:val="10"/>
        </w:rPr>
        <w:t xml:space="preserve"> </w:t>
      </w:r>
      <w:r>
        <w:t>derechos</w:t>
      </w:r>
      <w:r>
        <w:rPr>
          <w:spacing w:val="10"/>
        </w:rPr>
        <w:t xml:space="preserve"> </w:t>
      </w:r>
      <w:r>
        <w:t>de</w:t>
      </w:r>
      <w:r>
        <w:rPr>
          <w:spacing w:val="10"/>
        </w:rPr>
        <w:t xml:space="preserve"> </w:t>
      </w:r>
      <w:r>
        <w:t>las</w:t>
      </w:r>
      <w:r>
        <w:rPr>
          <w:spacing w:val="10"/>
        </w:rPr>
        <w:t xml:space="preserve"> </w:t>
      </w:r>
      <w:r>
        <w:t>minorías, dado que la prohibición de todas las formas de discriminación y la realización de la igualdad son elementos centrales del derecho internacional sobre la protección de las minorías.</w:t>
      </w:r>
    </w:p>
    <w:p w14:paraId="5B3DCCC4" w14:textId="77777777" w:rsidR="0014798C" w:rsidRDefault="004E1F0B">
      <w:pPr>
        <w:pStyle w:val="Textoindependiente"/>
        <w:spacing w:before="167" w:line="326" w:lineRule="auto"/>
        <w:ind w:left="1107" w:right="1626" w:firstLine="7"/>
      </w:pPr>
      <w:r>
        <w:t>La legislación antidiscriminatoria integral es distinta de las leyes antidiscriminatorias específicas: aquellas que prohíben la discriminación contra un grupo particular, por un motivo particular o en un área particular de la vida. También se diferencia de las garantías generales de igualdad y no discriminación contenidas en las constituciones nacionales u otras leyes.</w:t>
      </w:r>
    </w:p>
    <w:p w14:paraId="6CE555A4" w14:textId="77777777" w:rsidR="0014798C" w:rsidRDefault="004E1F0B">
      <w:pPr>
        <w:pStyle w:val="Textoindependiente"/>
        <w:spacing w:before="166"/>
        <w:rPr>
          <w:sz w:val="20"/>
        </w:rPr>
      </w:pPr>
      <w:r>
        <w:rPr>
          <w:noProof/>
        </w:rPr>
        <w:drawing>
          <wp:anchor distT="0" distB="0" distL="0" distR="0" simplePos="0" relativeHeight="251658505" behindDoc="1" locked="0" layoutInCell="1" allowOverlap="1" wp14:anchorId="6DE3774C" wp14:editId="4A647F1E">
            <wp:simplePos x="0" y="0"/>
            <wp:positionH relativeFrom="page">
              <wp:posOffset>826632</wp:posOffset>
            </wp:positionH>
            <wp:positionV relativeFrom="paragraph">
              <wp:posOffset>266790</wp:posOffset>
            </wp:positionV>
            <wp:extent cx="931001" cy="35813"/>
            <wp:effectExtent l="0" t="0" r="0" b="0"/>
            <wp:wrapTopAndBottom/>
            <wp:docPr id="18" name="Image 1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8" name="Image 18"/>
                    <pic:cNvPicPr/>
                  </pic:nvPicPr>
                  <pic:blipFill>
                    <a:blip r:embed="rId23" cstate="print"/>
                    <a:stretch>
                      <a:fillRect/>
                    </a:stretch>
                  </pic:blipFill>
                  <pic:spPr>
                    <a:xfrm>
                      <a:off x="0" y="0"/>
                      <a:ext cx="931001" cy="35813"/>
                    </a:xfrm>
                    <a:prstGeom prst="rect">
                      <a:avLst/>
                    </a:prstGeom>
                  </pic:spPr>
                </pic:pic>
              </a:graphicData>
            </a:graphic>
          </wp:anchor>
        </w:drawing>
      </w:r>
    </w:p>
    <w:p w14:paraId="351357A2" w14:textId="77777777" w:rsidR="0014798C" w:rsidRDefault="004E1F0B">
      <w:pPr>
        <w:spacing w:before="83"/>
        <w:ind w:left="1111"/>
        <w:rPr>
          <w:sz w:val="15"/>
        </w:rPr>
      </w:pPr>
      <w:r>
        <w:rPr>
          <w:w w:val="105"/>
          <w:sz w:val="15"/>
        </w:rPr>
        <w:t>1</w:t>
      </w:r>
      <w:r>
        <w:rPr>
          <w:spacing w:val="-9"/>
          <w:w w:val="105"/>
          <w:sz w:val="15"/>
        </w:rPr>
        <w:t xml:space="preserve"> </w:t>
      </w:r>
      <w:r>
        <w:rPr>
          <w:w w:val="105"/>
          <w:sz w:val="15"/>
        </w:rPr>
        <w:t>“Legislación</w:t>
      </w:r>
      <w:r>
        <w:rPr>
          <w:spacing w:val="-9"/>
          <w:w w:val="105"/>
          <w:sz w:val="15"/>
        </w:rPr>
        <w:t xml:space="preserve"> </w:t>
      </w:r>
      <w:r>
        <w:rPr>
          <w:w w:val="105"/>
          <w:sz w:val="15"/>
        </w:rPr>
        <w:t>integral</w:t>
      </w:r>
      <w:r>
        <w:rPr>
          <w:spacing w:val="-9"/>
          <w:w w:val="105"/>
          <w:sz w:val="15"/>
        </w:rPr>
        <w:t xml:space="preserve"> </w:t>
      </w:r>
      <w:r>
        <w:rPr>
          <w:w w:val="105"/>
          <w:sz w:val="15"/>
        </w:rPr>
        <w:t>contra</w:t>
      </w:r>
      <w:r>
        <w:rPr>
          <w:spacing w:val="-9"/>
          <w:w w:val="105"/>
          <w:sz w:val="15"/>
        </w:rPr>
        <w:t xml:space="preserve"> </w:t>
      </w:r>
      <w:r>
        <w:rPr>
          <w:w w:val="105"/>
          <w:sz w:val="15"/>
        </w:rPr>
        <w:t>la</w:t>
      </w:r>
      <w:r>
        <w:rPr>
          <w:spacing w:val="-9"/>
          <w:w w:val="105"/>
          <w:sz w:val="15"/>
        </w:rPr>
        <w:t xml:space="preserve"> </w:t>
      </w:r>
      <w:r>
        <w:rPr>
          <w:w w:val="105"/>
          <w:sz w:val="15"/>
        </w:rPr>
        <w:t>discriminación”</w:t>
      </w:r>
      <w:r>
        <w:rPr>
          <w:spacing w:val="-9"/>
          <w:w w:val="105"/>
          <w:sz w:val="15"/>
        </w:rPr>
        <w:t xml:space="preserve"> </w:t>
      </w:r>
      <w:r>
        <w:rPr>
          <w:w w:val="105"/>
          <w:sz w:val="15"/>
        </w:rPr>
        <w:t>y</w:t>
      </w:r>
      <w:r>
        <w:rPr>
          <w:spacing w:val="-9"/>
          <w:w w:val="105"/>
          <w:sz w:val="15"/>
        </w:rPr>
        <w:t xml:space="preserve"> </w:t>
      </w:r>
      <w:r>
        <w:rPr>
          <w:w w:val="105"/>
          <w:sz w:val="15"/>
        </w:rPr>
        <w:t>“ley</w:t>
      </w:r>
      <w:r>
        <w:rPr>
          <w:spacing w:val="-9"/>
          <w:w w:val="105"/>
          <w:sz w:val="15"/>
        </w:rPr>
        <w:t xml:space="preserve"> </w:t>
      </w:r>
      <w:r>
        <w:rPr>
          <w:w w:val="105"/>
          <w:sz w:val="15"/>
        </w:rPr>
        <w:t>integral</w:t>
      </w:r>
      <w:r>
        <w:rPr>
          <w:spacing w:val="-8"/>
          <w:w w:val="105"/>
          <w:sz w:val="15"/>
        </w:rPr>
        <w:t xml:space="preserve"> </w:t>
      </w:r>
      <w:r>
        <w:rPr>
          <w:w w:val="105"/>
          <w:sz w:val="15"/>
        </w:rPr>
        <w:t>contra</w:t>
      </w:r>
      <w:r>
        <w:rPr>
          <w:spacing w:val="-9"/>
          <w:w w:val="105"/>
          <w:sz w:val="15"/>
        </w:rPr>
        <w:t xml:space="preserve"> </w:t>
      </w:r>
      <w:r>
        <w:rPr>
          <w:w w:val="105"/>
          <w:sz w:val="15"/>
        </w:rPr>
        <w:t>la</w:t>
      </w:r>
      <w:r>
        <w:rPr>
          <w:spacing w:val="-9"/>
          <w:w w:val="105"/>
          <w:sz w:val="15"/>
        </w:rPr>
        <w:t xml:space="preserve"> </w:t>
      </w:r>
      <w:r>
        <w:rPr>
          <w:w w:val="105"/>
          <w:sz w:val="15"/>
        </w:rPr>
        <w:t>discriminación”</w:t>
      </w:r>
      <w:r>
        <w:rPr>
          <w:spacing w:val="-9"/>
          <w:w w:val="105"/>
          <w:sz w:val="15"/>
        </w:rPr>
        <w:t xml:space="preserve"> </w:t>
      </w:r>
      <w:r>
        <w:rPr>
          <w:w w:val="105"/>
          <w:sz w:val="15"/>
        </w:rPr>
        <w:t>se</w:t>
      </w:r>
      <w:r>
        <w:rPr>
          <w:spacing w:val="-9"/>
          <w:w w:val="105"/>
          <w:sz w:val="15"/>
        </w:rPr>
        <w:t xml:space="preserve"> </w:t>
      </w:r>
      <w:r>
        <w:rPr>
          <w:w w:val="105"/>
          <w:sz w:val="15"/>
        </w:rPr>
        <w:t>utilizan</w:t>
      </w:r>
      <w:r>
        <w:rPr>
          <w:spacing w:val="-9"/>
          <w:w w:val="105"/>
          <w:sz w:val="15"/>
        </w:rPr>
        <w:t xml:space="preserve"> </w:t>
      </w:r>
      <w:r>
        <w:rPr>
          <w:w w:val="105"/>
          <w:sz w:val="15"/>
        </w:rPr>
        <w:t>indistintamente</w:t>
      </w:r>
      <w:r>
        <w:rPr>
          <w:spacing w:val="-9"/>
          <w:w w:val="105"/>
          <w:sz w:val="15"/>
        </w:rPr>
        <w:t xml:space="preserve"> </w:t>
      </w:r>
      <w:r>
        <w:rPr>
          <w:w w:val="105"/>
          <w:sz w:val="15"/>
        </w:rPr>
        <w:t>en</w:t>
      </w:r>
      <w:r>
        <w:rPr>
          <w:spacing w:val="-9"/>
          <w:w w:val="105"/>
          <w:sz w:val="15"/>
        </w:rPr>
        <w:t xml:space="preserve"> </w:t>
      </w:r>
      <w:r>
        <w:rPr>
          <w:w w:val="105"/>
          <w:sz w:val="15"/>
        </w:rPr>
        <w:t>el</w:t>
      </w:r>
      <w:r>
        <w:rPr>
          <w:spacing w:val="-9"/>
          <w:w w:val="105"/>
          <w:sz w:val="15"/>
        </w:rPr>
        <w:t xml:space="preserve"> </w:t>
      </w:r>
      <w:r>
        <w:rPr>
          <w:spacing w:val="-2"/>
          <w:w w:val="105"/>
          <w:sz w:val="15"/>
        </w:rPr>
        <w:t>presente</w:t>
      </w:r>
    </w:p>
    <w:p w14:paraId="4215C0C9" w14:textId="77777777" w:rsidR="0014798C" w:rsidRDefault="004E1F0B">
      <w:pPr>
        <w:spacing w:before="7"/>
        <w:ind w:left="1366"/>
        <w:rPr>
          <w:sz w:val="15"/>
        </w:rPr>
      </w:pPr>
      <w:r>
        <w:rPr>
          <w:spacing w:val="-2"/>
          <w:w w:val="105"/>
          <w:sz w:val="15"/>
        </w:rPr>
        <w:t>guía.</w:t>
      </w:r>
    </w:p>
    <w:p w14:paraId="5791BE2D" w14:textId="77777777" w:rsidR="0014798C" w:rsidRDefault="0014798C">
      <w:pPr>
        <w:pStyle w:val="Textoindependiente"/>
        <w:rPr>
          <w:sz w:val="11"/>
        </w:rPr>
      </w:pPr>
    </w:p>
    <w:p w14:paraId="0D39B86A" w14:textId="77777777" w:rsidR="0014798C" w:rsidRDefault="0014798C">
      <w:pPr>
        <w:pStyle w:val="Textoindependiente"/>
        <w:rPr>
          <w:sz w:val="11"/>
        </w:rPr>
      </w:pPr>
    </w:p>
    <w:p w14:paraId="7A647BD8" w14:textId="77777777" w:rsidR="0014798C" w:rsidRDefault="0014798C">
      <w:pPr>
        <w:pStyle w:val="Textoindependiente"/>
        <w:rPr>
          <w:sz w:val="11"/>
        </w:rPr>
      </w:pPr>
    </w:p>
    <w:p w14:paraId="7BEFF64A" w14:textId="77777777" w:rsidR="0014798C" w:rsidRDefault="0014798C">
      <w:pPr>
        <w:pStyle w:val="Textoindependiente"/>
        <w:rPr>
          <w:sz w:val="11"/>
        </w:rPr>
      </w:pPr>
    </w:p>
    <w:p w14:paraId="3FC87995" w14:textId="77777777" w:rsidR="0014798C" w:rsidRDefault="0014798C">
      <w:pPr>
        <w:pStyle w:val="Textoindependiente"/>
        <w:rPr>
          <w:sz w:val="11"/>
        </w:rPr>
      </w:pPr>
    </w:p>
    <w:p w14:paraId="08ED16FC" w14:textId="77777777" w:rsidR="0014798C" w:rsidRDefault="0014798C">
      <w:pPr>
        <w:pStyle w:val="Textoindependiente"/>
        <w:rPr>
          <w:sz w:val="11"/>
        </w:rPr>
      </w:pPr>
    </w:p>
    <w:p w14:paraId="0A976A76" w14:textId="77777777" w:rsidR="0014798C" w:rsidRDefault="0014798C">
      <w:pPr>
        <w:pStyle w:val="Textoindependiente"/>
        <w:spacing w:before="101"/>
        <w:rPr>
          <w:sz w:val="11"/>
        </w:rPr>
      </w:pPr>
    </w:p>
    <w:p w14:paraId="6DDBEB16" w14:textId="77777777" w:rsidR="0014798C" w:rsidRDefault="004E1F0B">
      <w:pPr>
        <w:ind w:left="673"/>
        <w:rPr>
          <w:sz w:val="11"/>
        </w:rPr>
      </w:pPr>
      <w:r>
        <w:rPr>
          <w:spacing w:val="-10"/>
          <w:w w:val="105"/>
          <w:sz w:val="11"/>
        </w:rPr>
        <w:t>X</w:t>
      </w:r>
    </w:p>
    <w:p w14:paraId="28D68A01" w14:textId="77777777" w:rsidR="0014798C" w:rsidRDefault="0014798C">
      <w:pPr>
        <w:rPr>
          <w:sz w:val="11"/>
        </w:rPr>
        <w:sectPr w:rsidR="0014798C" w:rsidSect="00F265E4">
          <w:headerReference w:type="default" r:id="rId24"/>
          <w:pgSz w:w="11900" w:h="16820"/>
          <w:pgMar w:top="340" w:right="0" w:bottom="280" w:left="200" w:header="121" w:footer="0" w:gutter="0"/>
          <w:cols w:space="720"/>
        </w:sectPr>
      </w:pPr>
    </w:p>
    <w:p w14:paraId="7960EE82" w14:textId="77777777" w:rsidR="0034138A" w:rsidRDefault="0034138A">
      <w:pPr>
        <w:spacing w:before="1"/>
        <w:ind w:left="1114"/>
        <w:rPr>
          <w:color w:val="0075BF"/>
          <w:sz w:val="14"/>
        </w:rPr>
      </w:pPr>
    </w:p>
    <w:p w14:paraId="3311A7EB" w14:textId="77777777" w:rsidR="0034138A" w:rsidRDefault="0034138A">
      <w:pPr>
        <w:spacing w:before="1"/>
        <w:ind w:left="1114"/>
        <w:rPr>
          <w:color w:val="0075BF"/>
          <w:sz w:val="14"/>
        </w:rPr>
      </w:pPr>
    </w:p>
    <w:p w14:paraId="4339A391" w14:textId="16AAD748" w:rsidR="0014798C" w:rsidRDefault="004E1F0B">
      <w:pPr>
        <w:spacing w:before="1"/>
        <w:ind w:left="1114"/>
        <w:rPr>
          <w:sz w:val="14"/>
        </w:rPr>
      </w:pPr>
      <w:r>
        <w:rPr>
          <w:color w:val="0075BF"/>
          <w:sz w:val="14"/>
        </w:rPr>
        <w:t>RESUMEN</w:t>
      </w:r>
      <w:r>
        <w:rPr>
          <w:color w:val="0075BF"/>
          <w:spacing w:val="15"/>
          <w:sz w:val="14"/>
        </w:rPr>
        <w:t xml:space="preserve"> </w:t>
      </w:r>
      <w:r>
        <w:rPr>
          <w:color w:val="0075BF"/>
          <w:spacing w:val="-2"/>
          <w:sz w:val="14"/>
        </w:rPr>
        <w:t>EJECUTIVO</w:t>
      </w:r>
    </w:p>
    <w:p w14:paraId="1544D9C1" w14:textId="77777777" w:rsidR="0014798C" w:rsidRDefault="0014798C">
      <w:pPr>
        <w:pStyle w:val="Textoindependiente"/>
      </w:pPr>
    </w:p>
    <w:p w14:paraId="0D62800E" w14:textId="77777777" w:rsidR="0014798C" w:rsidRDefault="0014798C">
      <w:pPr>
        <w:pStyle w:val="Textoindependiente"/>
      </w:pPr>
    </w:p>
    <w:p w14:paraId="16D762BE" w14:textId="77777777" w:rsidR="0014798C" w:rsidRDefault="0014798C">
      <w:pPr>
        <w:pStyle w:val="Textoindependiente"/>
      </w:pPr>
    </w:p>
    <w:p w14:paraId="5FF3DBB4" w14:textId="77777777" w:rsidR="0014798C" w:rsidRDefault="0014798C">
      <w:pPr>
        <w:pStyle w:val="Textoindependiente"/>
      </w:pPr>
    </w:p>
    <w:p w14:paraId="29406993" w14:textId="77777777" w:rsidR="0014798C" w:rsidRDefault="0014798C">
      <w:pPr>
        <w:pStyle w:val="Textoindependiente"/>
        <w:spacing w:before="49"/>
      </w:pPr>
    </w:p>
    <w:p w14:paraId="271EF66F" w14:textId="77777777" w:rsidR="0014798C" w:rsidRDefault="004E1F0B">
      <w:pPr>
        <w:pStyle w:val="Textoindependiente"/>
        <w:spacing w:line="326" w:lineRule="auto"/>
        <w:ind w:left="1111" w:right="1463"/>
      </w:pPr>
      <w:r>
        <w:t>Los Estados pueden adoptar leyes antidiscriminatorias específicas u otras leyes que busquen identificar y abordar barreras estructurales a la participación de miembros de grupos particulares. La adopción de tales leyes o de disposiciones generales contra</w:t>
      </w:r>
      <w:r>
        <w:rPr>
          <w:spacing w:val="-4"/>
        </w:rPr>
        <w:t xml:space="preserve"> </w:t>
      </w:r>
      <w:r>
        <w:t>la</w:t>
      </w:r>
      <w:r>
        <w:rPr>
          <w:spacing w:val="-4"/>
        </w:rPr>
        <w:t xml:space="preserve"> </w:t>
      </w:r>
      <w:r>
        <w:t>discriminación</w:t>
      </w:r>
      <w:r>
        <w:rPr>
          <w:spacing w:val="-4"/>
        </w:rPr>
        <w:t xml:space="preserve"> </w:t>
      </w:r>
      <w:r>
        <w:t>no</w:t>
      </w:r>
      <w:r>
        <w:rPr>
          <w:spacing w:val="-4"/>
        </w:rPr>
        <w:t xml:space="preserve"> </w:t>
      </w:r>
      <w:r>
        <w:t>entra</w:t>
      </w:r>
      <w:r>
        <w:rPr>
          <w:spacing w:val="-4"/>
        </w:rPr>
        <w:t xml:space="preserve"> </w:t>
      </w:r>
      <w:r>
        <w:t>en</w:t>
      </w:r>
      <w:r>
        <w:rPr>
          <w:spacing w:val="-4"/>
        </w:rPr>
        <w:t xml:space="preserve"> </w:t>
      </w:r>
      <w:r>
        <w:t>conflicto</w:t>
      </w:r>
      <w:r>
        <w:rPr>
          <w:spacing w:val="-4"/>
        </w:rPr>
        <w:t xml:space="preserve"> </w:t>
      </w:r>
      <w:r>
        <w:t>con</w:t>
      </w:r>
      <w:r>
        <w:rPr>
          <w:spacing w:val="-4"/>
        </w:rPr>
        <w:t xml:space="preserve"> </w:t>
      </w:r>
      <w:r>
        <w:t>la</w:t>
      </w:r>
      <w:r>
        <w:rPr>
          <w:spacing w:val="-4"/>
        </w:rPr>
        <w:t xml:space="preserve"> </w:t>
      </w:r>
      <w:r>
        <w:t>obligación</w:t>
      </w:r>
      <w:r>
        <w:rPr>
          <w:spacing w:val="-4"/>
        </w:rPr>
        <w:t xml:space="preserve"> </w:t>
      </w:r>
      <w:r>
        <w:t>de</w:t>
      </w:r>
      <w:r>
        <w:rPr>
          <w:spacing w:val="-4"/>
        </w:rPr>
        <w:t xml:space="preserve"> </w:t>
      </w:r>
      <w:r>
        <w:t>adoptar</w:t>
      </w:r>
      <w:r>
        <w:rPr>
          <w:spacing w:val="-4"/>
        </w:rPr>
        <w:t xml:space="preserve"> </w:t>
      </w:r>
      <w:r>
        <w:t>leyes</w:t>
      </w:r>
      <w:r>
        <w:rPr>
          <w:spacing w:val="-4"/>
        </w:rPr>
        <w:t xml:space="preserve"> </w:t>
      </w:r>
      <w:r>
        <w:t>integrales,</w:t>
      </w:r>
      <w:r>
        <w:rPr>
          <w:spacing w:val="-3"/>
        </w:rPr>
        <w:t xml:space="preserve"> </w:t>
      </w:r>
      <w:r>
        <w:t>pero</w:t>
      </w:r>
      <w:r>
        <w:rPr>
          <w:spacing w:val="-4"/>
        </w:rPr>
        <w:t xml:space="preserve"> </w:t>
      </w:r>
      <w:r>
        <w:t>tampoco</w:t>
      </w:r>
      <w:r>
        <w:rPr>
          <w:spacing w:val="-4"/>
        </w:rPr>
        <w:t xml:space="preserve"> </w:t>
      </w:r>
      <w:r>
        <w:t>la</w:t>
      </w:r>
      <w:r>
        <w:rPr>
          <w:spacing w:val="-4"/>
        </w:rPr>
        <w:t xml:space="preserve"> </w:t>
      </w:r>
      <w:r>
        <w:t>cumple:</w:t>
      </w:r>
      <w:r>
        <w:rPr>
          <w:spacing w:val="-3"/>
        </w:rPr>
        <w:t xml:space="preserve"> </w:t>
      </w:r>
      <w:r>
        <w:t>los</w:t>
      </w:r>
      <w:r>
        <w:rPr>
          <w:spacing w:val="-4"/>
        </w:rPr>
        <w:t xml:space="preserve"> </w:t>
      </w:r>
      <w:r>
        <w:t>Estados</w:t>
      </w:r>
    </w:p>
    <w:p w14:paraId="69E0C57B" w14:textId="77777777" w:rsidR="0014798C" w:rsidRDefault="004E1F0B">
      <w:pPr>
        <w:pStyle w:val="Textoindependiente"/>
        <w:spacing w:line="326" w:lineRule="auto"/>
        <w:ind w:left="1111" w:right="1166" w:hanging="2"/>
      </w:pPr>
      <w:r>
        <w:t>deben</w:t>
      </w:r>
      <w:r>
        <w:rPr>
          <w:spacing w:val="-5"/>
        </w:rPr>
        <w:t xml:space="preserve"> </w:t>
      </w:r>
      <w:r>
        <w:t>adoptar</w:t>
      </w:r>
      <w:r>
        <w:rPr>
          <w:spacing w:val="-5"/>
        </w:rPr>
        <w:t xml:space="preserve"> </w:t>
      </w:r>
      <w:r>
        <w:t>legislación</w:t>
      </w:r>
      <w:r>
        <w:rPr>
          <w:spacing w:val="-5"/>
        </w:rPr>
        <w:t xml:space="preserve"> </w:t>
      </w:r>
      <w:r>
        <w:t>integral</w:t>
      </w:r>
      <w:r>
        <w:rPr>
          <w:spacing w:val="-5"/>
        </w:rPr>
        <w:t xml:space="preserve"> </w:t>
      </w:r>
      <w:r>
        <w:t>contra</w:t>
      </w:r>
      <w:r>
        <w:rPr>
          <w:spacing w:val="-5"/>
        </w:rPr>
        <w:t xml:space="preserve"> </w:t>
      </w:r>
      <w:r>
        <w:t>la</w:t>
      </w:r>
      <w:r>
        <w:rPr>
          <w:spacing w:val="-5"/>
        </w:rPr>
        <w:t xml:space="preserve"> </w:t>
      </w:r>
      <w:r>
        <w:t>discriminación,</w:t>
      </w:r>
      <w:r>
        <w:rPr>
          <w:spacing w:val="-3"/>
        </w:rPr>
        <w:t xml:space="preserve"> </w:t>
      </w:r>
      <w:r>
        <w:t>independientemente</w:t>
      </w:r>
      <w:r>
        <w:rPr>
          <w:spacing w:val="-5"/>
        </w:rPr>
        <w:t xml:space="preserve"> </w:t>
      </w:r>
      <w:r>
        <w:t>de</w:t>
      </w:r>
      <w:r>
        <w:rPr>
          <w:spacing w:val="-5"/>
        </w:rPr>
        <w:t xml:space="preserve"> </w:t>
      </w:r>
      <w:r>
        <w:t>la</w:t>
      </w:r>
      <w:r>
        <w:rPr>
          <w:spacing w:val="-5"/>
        </w:rPr>
        <w:t xml:space="preserve"> </w:t>
      </w:r>
      <w:r>
        <w:t>adopción</w:t>
      </w:r>
      <w:r>
        <w:rPr>
          <w:spacing w:val="-5"/>
        </w:rPr>
        <w:t xml:space="preserve"> </w:t>
      </w:r>
      <w:r>
        <w:t>de</w:t>
      </w:r>
      <w:r>
        <w:rPr>
          <w:spacing w:val="-5"/>
        </w:rPr>
        <w:t xml:space="preserve"> </w:t>
      </w:r>
      <w:r>
        <w:t>leyes</w:t>
      </w:r>
      <w:r>
        <w:rPr>
          <w:spacing w:val="-5"/>
        </w:rPr>
        <w:t xml:space="preserve"> </w:t>
      </w:r>
      <w:r>
        <w:t>o</w:t>
      </w:r>
      <w:r>
        <w:rPr>
          <w:spacing w:val="-5"/>
        </w:rPr>
        <w:t xml:space="preserve"> </w:t>
      </w:r>
      <w:r>
        <w:t>disposiciones</w:t>
      </w:r>
      <w:r>
        <w:rPr>
          <w:spacing w:val="-5"/>
        </w:rPr>
        <w:t xml:space="preserve"> </w:t>
      </w:r>
      <w:r>
        <w:t>específicas. otras disposiciones antidiscriminatorias ya en vigor.</w:t>
      </w:r>
    </w:p>
    <w:p w14:paraId="6F04F29F" w14:textId="77777777" w:rsidR="0014798C" w:rsidRDefault="004E1F0B">
      <w:pPr>
        <w:pStyle w:val="Textoindependiente"/>
        <w:spacing w:before="168" w:line="326" w:lineRule="auto"/>
        <w:ind w:left="1108" w:right="1272" w:hanging="1"/>
      </w:pPr>
      <w:r>
        <w:t>Para garantizar la eficacia de la legislación contra la discriminación, los Estados deben establecer reglas, instituciones y procedimientos</w:t>
      </w:r>
      <w:r>
        <w:rPr>
          <w:spacing w:val="-4"/>
        </w:rPr>
        <w:t xml:space="preserve"> </w:t>
      </w:r>
      <w:r>
        <w:t>detallados</w:t>
      </w:r>
      <w:r>
        <w:rPr>
          <w:spacing w:val="-4"/>
        </w:rPr>
        <w:t xml:space="preserve"> </w:t>
      </w:r>
      <w:r>
        <w:t>para</w:t>
      </w:r>
      <w:r>
        <w:rPr>
          <w:spacing w:val="-4"/>
        </w:rPr>
        <w:t xml:space="preserve"> </w:t>
      </w:r>
      <w:r>
        <w:t>el</w:t>
      </w:r>
      <w:r>
        <w:rPr>
          <w:spacing w:val="-4"/>
        </w:rPr>
        <w:t xml:space="preserve"> </w:t>
      </w:r>
      <w:r>
        <w:t>cumplimiento</w:t>
      </w:r>
      <w:r>
        <w:rPr>
          <w:spacing w:val="-4"/>
        </w:rPr>
        <w:t xml:space="preserve"> </w:t>
      </w:r>
      <w:r>
        <w:t>y</w:t>
      </w:r>
      <w:r>
        <w:rPr>
          <w:spacing w:val="-4"/>
        </w:rPr>
        <w:t xml:space="preserve"> </w:t>
      </w:r>
      <w:r>
        <w:t>la</w:t>
      </w:r>
      <w:r>
        <w:rPr>
          <w:spacing w:val="-4"/>
        </w:rPr>
        <w:t xml:space="preserve"> </w:t>
      </w:r>
      <w:r>
        <w:t>implementación</w:t>
      </w:r>
      <w:r>
        <w:rPr>
          <w:spacing w:val="-4"/>
        </w:rPr>
        <w:t xml:space="preserve"> </w:t>
      </w:r>
      <w:r>
        <w:t>efectivos</w:t>
      </w:r>
      <w:r>
        <w:rPr>
          <w:spacing w:val="-4"/>
        </w:rPr>
        <w:t xml:space="preserve"> </w:t>
      </w:r>
      <w:r>
        <w:t>de</w:t>
      </w:r>
      <w:r>
        <w:rPr>
          <w:spacing w:val="-4"/>
        </w:rPr>
        <w:t xml:space="preserve"> </w:t>
      </w:r>
      <w:r>
        <w:t>los</w:t>
      </w:r>
      <w:r>
        <w:rPr>
          <w:spacing w:val="-4"/>
        </w:rPr>
        <w:t xml:space="preserve"> </w:t>
      </w:r>
      <w:r>
        <w:t>derechos</w:t>
      </w:r>
      <w:r>
        <w:rPr>
          <w:spacing w:val="-4"/>
        </w:rPr>
        <w:t xml:space="preserve"> </w:t>
      </w:r>
      <w:r>
        <w:t>a</w:t>
      </w:r>
      <w:r>
        <w:rPr>
          <w:spacing w:val="-4"/>
        </w:rPr>
        <w:t xml:space="preserve"> </w:t>
      </w:r>
      <w:r>
        <w:t>la</w:t>
      </w:r>
      <w:r>
        <w:rPr>
          <w:spacing w:val="-4"/>
        </w:rPr>
        <w:t xml:space="preserve"> </w:t>
      </w:r>
      <w:r>
        <w:t>igualdad</w:t>
      </w:r>
      <w:r>
        <w:rPr>
          <w:spacing w:val="-4"/>
        </w:rPr>
        <w:t xml:space="preserve"> </w:t>
      </w:r>
      <w:r>
        <w:t>y</w:t>
      </w:r>
      <w:r>
        <w:rPr>
          <w:spacing w:val="-4"/>
        </w:rPr>
        <w:t xml:space="preserve"> </w:t>
      </w:r>
      <w:r>
        <w:t>a</w:t>
      </w:r>
      <w:r>
        <w:rPr>
          <w:spacing w:val="-4"/>
        </w:rPr>
        <w:t xml:space="preserve"> </w:t>
      </w:r>
      <w:r>
        <w:t>la</w:t>
      </w:r>
      <w:r>
        <w:rPr>
          <w:spacing w:val="-4"/>
        </w:rPr>
        <w:t xml:space="preserve"> </w:t>
      </w:r>
      <w:r>
        <w:t>no</w:t>
      </w:r>
      <w:r>
        <w:rPr>
          <w:spacing w:val="-4"/>
        </w:rPr>
        <w:t xml:space="preserve"> </w:t>
      </w:r>
      <w:r>
        <w:t xml:space="preserve">discriminación y establecer deberes claros que se apliquen a todas las personas, incluidas las autoridades públicas. y actores </w:t>
      </w:r>
      <w:proofErr w:type="gramStart"/>
      <w:r>
        <w:t>privados .</w:t>
      </w:r>
      <w:proofErr w:type="gramEnd"/>
      <w:r>
        <w:t xml:space="preserve"> Estas disposiciones pueden incluirse en la propia legislación integral contra la discriminación o mediante enmiendas a las leyes en áreas como el procedimiento civil.</w:t>
      </w:r>
    </w:p>
    <w:p w14:paraId="2BDCB007" w14:textId="77777777" w:rsidR="0014798C" w:rsidRDefault="004E1F0B">
      <w:pPr>
        <w:spacing w:before="155" w:line="290" w:lineRule="auto"/>
        <w:ind w:left="1108" w:right="1272" w:firstLine="6"/>
        <w:rPr>
          <w:sz w:val="18"/>
        </w:rPr>
      </w:pPr>
      <w:r>
        <w:rPr>
          <w:w w:val="105"/>
          <w:sz w:val="18"/>
        </w:rPr>
        <w:t>Una</w:t>
      </w:r>
      <w:r>
        <w:rPr>
          <w:spacing w:val="-8"/>
          <w:w w:val="105"/>
          <w:sz w:val="18"/>
        </w:rPr>
        <w:t xml:space="preserve"> </w:t>
      </w:r>
      <w:r>
        <w:rPr>
          <w:w w:val="105"/>
          <w:sz w:val="18"/>
        </w:rPr>
        <w:t>legislación</w:t>
      </w:r>
      <w:r>
        <w:rPr>
          <w:spacing w:val="-8"/>
          <w:w w:val="105"/>
          <w:sz w:val="18"/>
        </w:rPr>
        <w:t xml:space="preserve"> </w:t>
      </w:r>
      <w:r>
        <w:rPr>
          <w:w w:val="105"/>
          <w:sz w:val="18"/>
        </w:rPr>
        <w:t>integral</w:t>
      </w:r>
      <w:r>
        <w:rPr>
          <w:spacing w:val="-8"/>
          <w:w w:val="105"/>
          <w:sz w:val="18"/>
        </w:rPr>
        <w:t xml:space="preserve"> </w:t>
      </w:r>
      <w:r>
        <w:rPr>
          <w:w w:val="105"/>
          <w:sz w:val="18"/>
        </w:rPr>
        <w:t>contra</w:t>
      </w:r>
      <w:r>
        <w:rPr>
          <w:spacing w:val="-8"/>
          <w:w w:val="105"/>
          <w:sz w:val="18"/>
        </w:rPr>
        <w:t xml:space="preserve"> </w:t>
      </w:r>
      <w:r>
        <w:rPr>
          <w:w w:val="105"/>
          <w:sz w:val="18"/>
        </w:rPr>
        <w:t>la</w:t>
      </w:r>
      <w:r>
        <w:rPr>
          <w:spacing w:val="-8"/>
          <w:w w:val="105"/>
          <w:sz w:val="18"/>
        </w:rPr>
        <w:t xml:space="preserve"> </w:t>
      </w:r>
      <w:r>
        <w:rPr>
          <w:w w:val="105"/>
          <w:sz w:val="18"/>
        </w:rPr>
        <w:t>discriminación</w:t>
      </w:r>
      <w:r>
        <w:rPr>
          <w:spacing w:val="-8"/>
          <w:w w:val="105"/>
          <w:sz w:val="18"/>
        </w:rPr>
        <w:t xml:space="preserve"> </w:t>
      </w:r>
      <w:r>
        <w:rPr>
          <w:w w:val="105"/>
          <w:sz w:val="18"/>
        </w:rPr>
        <w:t>suele</w:t>
      </w:r>
      <w:r>
        <w:rPr>
          <w:spacing w:val="-8"/>
          <w:w w:val="105"/>
          <w:sz w:val="18"/>
        </w:rPr>
        <w:t xml:space="preserve"> </w:t>
      </w:r>
      <w:r>
        <w:rPr>
          <w:w w:val="105"/>
          <w:sz w:val="18"/>
        </w:rPr>
        <w:t>adoptar</w:t>
      </w:r>
      <w:r>
        <w:rPr>
          <w:spacing w:val="-8"/>
          <w:w w:val="105"/>
          <w:sz w:val="18"/>
        </w:rPr>
        <w:t xml:space="preserve"> </w:t>
      </w:r>
      <w:r>
        <w:rPr>
          <w:w w:val="105"/>
          <w:sz w:val="18"/>
        </w:rPr>
        <w:t>la</w:t>
      </w:r>
      <w:r>
        <w:rPr>
          <w:spacing w:val="-8"/>
          <w:w w:val="105"/>
          <w:sz w:val="18"/>
        </w:rPr>
        <w:t xml:space="preserve"> </w:t>
      </w:r>
      <w:r>
        <w:rPr>
          <w:w w:val="105"/>
          <w:sz w:val="18"/>
        </w:rPr>
        <w:t>forma</w:t>
      </w:r>
      <w:r>
        <w:rPr>
          <w:spacing w:val="-8"/>
          <w:w w:val="105"/>
          <w:sz w:val="18"/>
        </w:rPr>
        <w:t xml:space="preserve"> </w:t>
      </w:r>
      <w:r>
        <w:rPr>
          <w:w w:val="105"/>
          <w:sz w:val="18"/>
        </w:rPr>
        <w:t>de</w:t>
      </w:r>
      <w:r>
        <w:rPr>
          <w:spacing w:val="-8"/>
          <w:w w:val="105"/>
          <w:sz w:val="18"/>
        </w:rPr>
        <w:t xml:space="preserve"> </w:t>
      </w:r>
      <w:r>
        <w:rPr>
          <w:w w:val="105"/>
          <w:sz w:val="18"/>
        </w:rPr>
        <w:t>una</w:t>
      </w:r>
      <w:r>
        <w:rPr>
          <w:spacing w:val="-8"/>
          <w:w w:val="105"/>
          <w:sz w:val="18"/>
        </w:rPr>
        <w:t xml:space="preserve"> </w:t>
      </w:r>
      <w:r>
        <w:rPr>
          <w:w w:val="105"/>
          <w:sz w:val="18"/>
        </w:rPr>
        <w:t>sola</w:t>
      </w:r>
      <w:r>
        <w:rPr>
          <w:spacing w:val="-8"/>
          <w:w w:val="105"/>
          <w:sz w:val="18"/>
        </w:rPr>
        <w:t xml:space="preserve"> </w:t>
      </w:r>
      <w:r>
        <w:rPr>
          <w:w w:val="105"/>
          <w:sz w:val="18"/>
        </w:rPr>
        <w:t>ley.</w:t>
      </w:r>
      <w:r>
        <w:rPr>
          <w:spacing w:val="-7"/>
          <w:w w:val="105"/>
          <w:sz w:val="18"/>
        </w:rPr>
        <w:t xml:space="preserve"> </w:t>
      </w:r>
      <w:r>
        <w:rPr>
          <w:w w:val="105"/>
          <w:sz w:val="18"/>
        </w:rPr>
        <w:t>En</w:t>
      </w:r>
      <w:r>
        <w:rPr>
          <w:spacing w:val="-8"/>
          <w:w w:val="105"/>
          <w:sz w:val="18"/>
        </w:rPr>
        <w:t xml:space="preserve"> </w:t>
      </w:r>
      <w:r>
        <w:rPr>
          <w:w w:val="105"/>
          <w:sz w:val="18"/>
        </w:rPr>
        <w:t>un</w:t>
      </w:r>
      <w:r>
        <w:rPr>
          <w:spacing w:val="-8"/>
          <w:w w:val="105"/>
          <w:sz w:val="18"/>
        </w:rPr>
        <w:t xml:space="preserve"> </w:t>
      </w:r>
      <w:r>
        <w:rPr>
          <w:w w:val="105"/>
          <w:sz w:val="18"/>
        </w:rPr>
        <w:t>pequeño</w:t>
      </w:r>
      <w:r>
        <w:rPr>
          <w:spacing w:val="-8"/>
          <w:w w:val="105"/>
          <w:sz w:val="18"/>
        </w:rPr>
        <w:t xml:space="preserve"> </w:t>
      </w:r>
      <w:r>
        <w:rPr>
          <w:w w:val="105"/>
          <w:sz w:val="18"/>
        </w:rPr>
        <w:t>número de</w:t>
      </w:r>
      <w:r>
        <w:rPr>
          <w:spacing w:val="-1"/>
          <w:w w:val="105"/>
          <w:sz w:val="18"/>
        </w:rPr>
        <w:t xml:space="preserve"> </w:t>
      </w:r>
      <w:r>
        <w:rPr>
          <w:w w:val="105"/>
          <w:sz w:val="18"/>
        </w:rPr>
        <w:t>países, se</w:t>
      </w:r>
      <w:r>
        <w:rPr>
          <w:spacing w:val="-1"/>
          <w:w w:val="105"/>
          <w:sz w:val="18"/>
        </w:rPr>
        <w:t xml:space="preserve"> </w:t>
      </w:r>
      <w:r>
        <w:rPr>
          <w:w w:val="105"/>
          <w:sz w:val="18"/>
        </w:rPr>
        <w:t>ha</w:t>
      </w:r>
      <w:r>
        <w:rPr>
          <w:spacing w:val="-1"/>
          <w:w w:val="105"/>
          <w:sz w:val="18"/>
        </w:rPr>
        <w:t xml:space="preserve"> </w:t>
      </w:r>
      <w:r>
        <w:rPr>
          <w:w w:val="105"/>
          <w:sz w:val="18"/>
        </w:rPr>
        <w:t>adoptado</w:t>
      </w:r>
      <w:r>
        <w:rPr>
          <w:spacing w:val="-1"/>
          <w:w w:val="105"/>
          <w:sz w:val="18"/>
        </w:rPr>
        <w:t xml:space="preserve"> </w:t>
      </w:r>
      <w:r>
        <w:rPr>
          <w:w w:val="105"/>
          <w:sz w:val="18"/>
        </w:rPr>
        <w:t>una</w:t>
      </w:r>
      <w:r>
        <w:rPr>
          <w:spacing w:val="-1"/>
          <w:w w:val="105"/>
          <w:sz w:val="18"/>
        </w:rPr>
        <w:t xml:space="preserve"> </w:t>
      </w:r>
      <w:r>
        <w:rPr>
          <w:w w:val="105"/>
          <w:sz w:val="18"/>
        </w:rPr>
        <w:t>combinación</w:t>
      </w:r>
      <w:r>
        <w:rPr>
          <w:spacing w:val="-1"/>
          <w:w w:val="105"/>
          <w:sz w:val="18"/>
        </w:rPr>
        <w:t xml:space="preserve"> </w:t>
      </w:r>
      <w:r>
        <w:rPr>
          <w:w w:val="105"/>
          <w:sz w:val="18"/>
        </w:rPr>
        <w:t>de</w:t>
      </w:r>
      <w:r>
        <w:rPr>
          <w:spacing w:val="-1"/>
          <w:w w:val="105"/>
          <w:sz w:val="18"/>
        </w:rPr>
        <w:t xml:space="preserve"> </w:t>
      </w:r>
      <w:r>
        <w:rPr>
          <w:w w:val="105"/>
          <w:sz w:val="18"/>
        </w:rPr>
        <w:t>dos</w:t>
      </w:r>
      <w:r>
        <w:rPr>
          <w:spacing w:val="-1"/>
          <w:w w:val="105"/>
          <w:sz w:val="18"/>
        </w:rPr>
        <w:t xml:space="preserve"> </w:t>
      </w:r>
      <w:r>
        <w:rPr>
          <w:w w:val="105"/>
          <w:sz w:val="18"/>
        </w:rPr>
        <w:t>o</w:t>
      </w:r>
      <w:r>
        <w:rPr>
          <w:spacing w:val="-1"/>
          <w:w w:val="105"/>
          <w:sz w:val="18"/>
        </w:rPr>
        <w:t xml:space="preserve"> </w:t>
      </w:r>
      <w:r>
        <w:rPr>
          <w:w w:val="105"/>
          <w:sz w:val="18"/>
        </w:rPr>
        <w:t>más</w:t>
      </w:r>
      <w:r>
        <w:rPr>
          <w:spacing w:val="-1"/>
          <w:w w:val="105"/>
          <w:sz w:val="18"/>
        </w:rPr>
        <w:t xml:space="preserve"> </w:t>
      </w:r>
      <w:r>
        <w:rPr>
          <w:w w:val="105"/>
          <w:sz w:val="18"/>
        </w:rPr>
        <w:t>leyes</w:t>
      </w:r>
      <w:r>
        <w:rPr>
          <w:spacing w:val="-1"/>
          <w:w w:val="105"/>
          <w:sz w:val="18"/>
        </w:rPr>
        <w:t xml:space="preserve"> </w:t>
      </w:r>
      <w:r>
        <w:rPr>
          <w:w w:val="105"/>
          <w:sz w:val="18"/>
        </w:rPr>
        <w:t>que</w:t>
      </w:r>
      <w:r>
        <w:rPr>
          <w:spacing w:val="-1"/>
          <w:w w:val="105"/>
          <w:sz w:val="18"/>
        </w:rPr>
        <w:t xml:space="preserve"> </w:t>
      </w:r>
      <w:r>
        <w:rPr>
          <w:w w:val="105"/>
          <w:sz w:val="18"/>
        </w:rPr>
        <w:t>en</w:t>
      </w:r>
      <w:r>
        <w:rPr>
          <w:spacing w:val="-1"/>
          <w:w w:val="105"/>
          <w:sz w:val="18"/>
        </w:rPr>
        <w:t xml:space="preserve"> </w:t>
      </w:r>
      <w:r>
        <w:rPr>
          <w:w w:val="105"/>
          <w:sz w:val="18"/>
        </w:rPr>
        <w:t>conjunto</w:t>
      </w:r>
      <w:r>
        <w:rPr>
          <w:spacing w:val="-1"/>
          <w:w w:val="105"/>
          <w:sz w:val="18"/>
        </w:rPr>
        <w:t xml:space="preserve"> </w:t>
      </w:r>
      <w:r>
        <w:rPr>
          <w:w w:val="105"/>
          <w:sz w:val="18"/>
        </w:rPr>
        <w:t>tienen</w:t>
      </w:r>
      <w:r>
        <w:rPr>
          <w:spacing w:val="-1"/>
          <w:w w:val="105"/>
          <w:sz w:val="18"/>
        </w:rPr>
        <w:t xml:space="preserve"> </w:t>
      </w:r>
      <w:r>
        <w:rPr>
          <w:w w:val="105"/>
          <w:sz w:val="18"/>
        </w:rPr>
        <w:t>una</w:t>
      </w:r>
      <w:r>
        <w:rPr>
          <w:spacing w:val="-1"/>
          <w:w w:val="105"/>
          <w:sz w:val="18"/>
        </w:rPr>
        <w:t xml:space="preserve"> </w:t>
      </w:r>
      <w:r>
        <w:rPr>
          <w:w w:val="105"/>
          <w:sz w:val="18"/>
        </w:rPr>
        <w:t>cobertura</w:t>
      </w:r>
      <w:r>
        <w:rPr>
          <w:spacing w:val="-1"/>
          <w:w w:val="105"/>
          <w:sz w:val="18"/>
        </w:rPr>
        <w:t xml:space="preserve"> </w:t>
      </w:r>
      <w:r>
        <w:rPr>
          <w:w w:val="105"/>
          <w:sz w:val="18"/>
        </w:rPr>
        <w:t>amplia</w:t>
      </w:r>
    </w:p>
    <w:p w14:paraId="4C59D688" w14:textId="77777777" w:rsidR="0014798C" w:rsidRDefault="004E1F0B">
      <w:pPr>
        <w:spacing w:line="290" w:lineRule="auto"/>
        <w:ind w:left="1111" w:right="1290" w:hanging="4"/>
        <w:rPr>
          <w:sz w:val="18"/>
        </w:rPr>
      </w:pPr>
      <w:r>
        <w:rPr>
          <w:w w:val="105"/>
          <w:sz w:val="18"/>
        </w:rPr>
        <w:t>o</w:t>
      </w:r>
      <w:r>
        <w:rPr>
          <w:spacing w:val="-8"/>
          <w:w w:val="105"/>
          <w:sz w:val="18"/>
        </w:rPr>
        <w:t xml:space="preserve"> </w:t>
      </w:r>
      <w:r>
        <w:rPr>
          <w:w w:val="105"/>
          <w:sz w:val="18"/>
        </w:rPr>
        <w:t>casi</w:t>
      </w:r>
      <w:r>
        <w:rPr>
          <w:spacing w:val="-8"/>
          <w:w w:val="105"/>
          <w:sz w:val="18"/>
        </w:rPr>
        <w:t xml:space="preserve"> </w:t>
      </w:r>
      <w:r>
        <w:rPr>
          <w:w w:val="105"/>
          <w:sz w:val="18"/>
        </w:rPr>
        <w:t>amplia2.</w:t>
      </w:r>
      <w:r>
        <w:rPr>
          <w:spacing w:val="-7"/>
          <w:w w:val="105"/>
          <w:sz w:val="18"/>
        </w:rPr>
        <w:t xml:space="preserve"> </w:t>
      </w:r>
      <w:r>
        <w:rPr>
          <w:w w:val="105"/>
          <w:sz w:val="18"/>
        </w:rPr>
        <w:t>Además,</w:t>
      </w:r>
      <w:r>
        <w:rPr>
          <w:spacing w:val="-7"/>
          <w:w w:val="105"/>
          <w:sz w:val="18"/>
        </w:rPr>
        <w:t xml:space="preserve"> </w:t>
      </w:r>
      <w:r>
        <w:rPr>
          <w:w w:val="105"/>
          <w:sz w:val="18"/>
        </w:rPr>
        <w:t>incluso</w:t>
      </w:r>
      <w:r>
        <w:rPr>
          <w:spacing w:val="-8"/>
          <w:w w:val="105"/>
          <w:sz w:val="18"/>
        </w:rPr>
        <w:t xml:space="preserve"> </w:t>
      </w:r>
      <w:r>
        <w:rPr>
          <w:w w:val="105"/>
          <w:sz w:val="18"/>
        </w:rPr>
        <w:t>en</w:t>
      </w:r>
      <w:r>
        <w:rPr>
          <w:spacing w:val="-8"/>
          <w:w w:val="105"/>
          <w:sz w:val="18"/>
        </w:rPr>
        <w:t xml:space="preserve"> </w:t>
      </w:r>
      <w:r>
        <w:rPr>
          <w:w w:val="105"/>
          <w:sz w:val="18"/>
        </w:rPr>
        <w:t>Estados</w:t>
      </w:r>
      <w:r>
        <w:rPr>
          <w:spacing w:val="-8"/>
          <w:w w:val="105"/>
          <w:sz w:val="18"/>
        </w:rPr>
        <w:t xml:space="preserve"> </w:t>
      </w:r>
      <w:r>
        <w:rPr>
          <w:w w:val="105"/>
          <w:sz w:val="18"/>
        </w:rPr>
        <w:t>con</w:t>
      </w:r>
      <w:r>
        <w:rPr>
          <w:spacing w:val="-8"/>
          <w:w w:val="105"/>
          <w:sz w:val="18"/>
        </w:rPr>
        <w:t xml:space="preserve"> </w:t>
      </w:r>
      <w:r>
        <w:rPr>
          <w:w w:val="105"/>
          <w:sz w:val="18"/>
        </w:rPr>
        <w:t>una</w:t>
      </w:r>
      <w:r>
        <w:rPr>
          <w:spacing w:val="-8"/>
          <w:w w:val="105"/>
          <w:sz w:val="18"/>
        </w:rPr>
        <w:t xml:space="preserve"> </w:t>
      </w:r>
      <w:r>
        <w:rPr>
          <w:w w:val="105"/>
          <w:sz w:val="18"/>
        </w:rPr>
        <w:t>sola</w:t>
      </w:r>
      <w:r>
        <w:rPr>
          <w:spacing w:val="-8"/>
          <w:w w:val="105"/>
          <w:sz w:val="18"/>
        </w:rPr>
        <w:t xml:space="preserve"> </w:t>
      </w:r>
      <w:r>
        <w:rPr>
          <w:w w:val="105"/>
          <w:sz w:val="18"/>
        </w:rPr>
        <w:t>ley,</w:t>
      </w:r>
      <w:r>
        <w:rPr>
          <w:spacing w:val="-7"/>
          <w:w w:val="105"/>
          <w:sz w:val="18"/>
        </w:rPr>
        <w:t xml:space="preserve"> </w:t>
      </w:r>
      <w:r>
        <w:rPr>
          <w:w w:val="105"/>
          <w:sz w:val="18"/>
        </w:rPr>
        <w:t>dar</w:t>
      </w:r>
      <w:r>
        <w:rPr>
          <w:spacing w:val="-8"/>
          <w:w w:val="105"/>
          <w:sz w:val="18"/>
        </w:rPr>
        <w:t xml:space="preserve"> </w:t>
      </w:r>
      <w:r>
        <w:rPr>
          <w:w w:val="105"/>
          <w:sz w:val="18"/>
        </w:rPr>
        <w:t>efecto</w:t>
      </w:r>
      <w:r>
        <w:rPr>
          <w:spacing w:val="-8"/>
          <w:w w:val="105"/>
          <w:sz w:val="18"/>
        </w:rPr>
        <w:t xml:space="preserve"> </w:t>
      </w:r>
      <w:r>
        <w:rPr>
          <w:w w:val="105"/>
          <w:sz w:val="18"/>
        </w:rPr>
        <w:t>a</w:t>
      </w:r>
      <w:r>
        <w:rPr>
          <w:spacing w:val="-8"/>
          <w:w w:val="105"/>
          <w:sz w:val="18"/>
        </w:rPr>
        <w:t xml:space="preserve"> </w:t>
      </w:r>
      <w:r>
        <w:rPr>
          <w:w w:val="105"/>
          <w:sz w:val="18"/>
        </w:rPr>
        <w:t>algunos</w:t>
      </w:r>
      <w:r>
        <w:rPr>
          <w:spacing w:val="-8"/>
          <w:w w:val="105"/>
          <w:sz w:val="18"/>
        </w:rPr>
        <w:t xml:space="preserve"> </w:t>
      </w:r>
      <w:r>
        <w:rPr>
          <w:w w:val="105"/>
          <w:sz w:val="18"/>
        </w:rPr>
        <w:t>aspectos</w:t>
      </w:r>
      <w:r>
        <w:rPr>
          <w:spacing w:val="-8"/>
          <w:w w:val="105"/>
          <w:sz w:val="18"/>
        </w:rPr>
        <w:t xml:space="preserve"> </w:t>
      </w:r>
      <w:r>
        <w:rPr>
          <w:w w:val="105"/>
          <w:sz w:val="18"/>
        </w:rPr>
        <w:t>de</w:t>
      </w:r>
      <w:r>
        <w:rPr>
          <w:spacing w:val="-8"/>
          <w:w w:val="105"/>
          <w:sz w:val="18"/>
        </w:rPr>
        <w:t xml:space="preserve"> </w:t>
      </w:r>
      <w:r>
        <w:rPr>
          <w:w w:val="105"/>
          <w:sz w:val="18"/>
        </w:rPr>
        <w:t>las</w:t>
      </w:r>
      <w:r>
        <w:rPr>
          <w:spacing w:val="-8"/>
          <w:w w:val="105"/>
          <w:sz w:val="18"/>
        </w:rPr>
        <w:t xml:space="preserve"> </w:t>
      </w:r>
      <w:r>
        <w:rPr>
          <w:w w:val="105"/>
          <w:sz w:val="18"/>
        </w:rPr>
        <w:t xml:space="preserve">obligaciones de los Estados puede requieren la adopción de otras leyes y políticas.3 A lo largo de la guía, los términos </w:t>
      </w:r>
      <w:proofErr w:type="gramStart"/>
      <w:r>
        <w:rPr>
          <w:w w:val="105"/>
          <w:sz w:val="18"/>
        </w:rPr>
        <w:t>“ ley</w:t>
      </w:r>
      <w:proofErr w:type="gramEnd"/>
      <w:r>
        <w:rPr>
          <w:w w:val="105"/>
          <w:sz w:val="18"/>
        </w:rPr>
        <w:t xml:space="preserve"> integral contra la discriminación” y “legislación integral contra la discriminación” se utilizan indistintamente.</w:t>
      </w:r>
    </w:p>
    <w:p w14:paraId="2D87FF04" w14:textId="77777777" w:rsidR="0014798C" w:rsidRDefault="0014798C">
      <w:pPr>
        <w:pStyle w:val="Textoindependiente"/>
        <w:spacing w:before="79"/>
        <w:rPr>
          <w:sz w:val="28"/>
        </w:rPr>
      </w:pPr>
    </w:p>
    <w:p w14:paraId="554F0D99" w14:textId="77777777" w:rsidR="0014798C" w:rsidRDefault="004E1F0B">
      <w:pPr>
        <w:pStyle w:val="Ttulo9"/>
        <w:numPr>
          <w:ilvl w:val="0"/>
          <w:numId w:val="99"/>
        </w:numPr>
        <w:tabs>
          <w:tab w:val="left" w:pos="1430"/>
          <w:tab w:val="left" w:pos="1562"/>
        </w:tabs>
        <w:spacing w:line="297" w:lineRule="auto"/>
        <w:ind w:right="6560" w:hanging="439"/>
      </w:pPr>
      <w:r>
        <w:rPr>
          <w:color w:val="0075BF"/>
        </w:rPr>
        <w:t xml:space="preserve">CONTENIDO INTEGRAL </w:t>
      </w:r>
      <w:r>
        <w:rPr>
          <w:color w:val="0075BF"/>
          <w:spacing w:val="-2"/>
        </w:rPr>
        <w:t>LEY</w:t>
      </w:r>
      <w:r>
        <w:rPr>
          <w:color w:val="0075BF"/>
          <w:spacing w:val="-14"/>
        </w:rPr>
        <w:t xml:space="preserve"> </w:t>
      </w:r>
      <w:r>
        <w:rPr>
          <w:color w:val="0075BF"/>
          <w:spacing w:val="-2"/>
        </w:rPr>
        <w:t>ANTIDISCRIMINACIÓN</w:t>
      </w:r>
    </w:p>
    <w:p w14:paraId="54C99BEB" w14:textId="77777777" w:rsidR="0014798C" w:rsidRDefault="004E1F0B">
      <w:pPr>
        <w:pStyle w:val="Textoindependiente"/>
        <w:spacing w:before="174" w:line="326" w:lineRule="auto"/>
        <w:ind w:left="1108" w:right="1463" w:hanging="3"/>
      </w:pPr>
      <w:r>
        <w:t>Para</w:t>
      </w:r>
      <w:r>
        <w:rPr>
          <w:spacing w:val="-4"/>
        </w:rPr>
        <w:t xml:space="preserve"> </w:t>
      </w:r>
      <w:r>
        <w:t>ser</w:t>
      </w:r>
      <w:r>
        <w:rPr>
          <w:spacing w:val="-4"/>
        </w:rPr>
        <w:t xml:space="preserve"> </w:t>
      </w:r>
      <w:r>
        <w:t>integral,</w:t>
      </w:r>
      <w:r>
        <w:rPr>
          <w:spacing w:val="-3"/>
        </w:rPr>
        <w:t xml:space="preserve"> </w:t>
      </w:r>
      <w:r>
        <w:t>la</w:t>
      </w:r>
      <w:r>
        <w:rPr>
          <w:spacing w:val="-4"/>
        </w:rPr>
        <w:t xml:space="preserve"> </w:t>
      </w:r>
      <w:r>
        <w:t>legislación</w:t>
      </w:r>
      <w:r>
        <w:rPr>
          <w:spacing w:val="-4"/>
        </w:rPr>
        <w:t xml:space="preserve"> </w:t>
      </w:r>
      <w:r>
        <w:t>contra</w:t>
      </w:r>
      <w:r>
        <w:rPr>
          <w:spacing w:val="-4"/>
        </w:rPr>
        <w:t xml:space="preserve"> </w:t>
      </w:r>
      <w:r>
        <w:t>la</w:t>
      </w:r>
      <w:r>
        <w:rPr>
          <w:spacing w:val="-4"/>
        </w:rPr>
        <w:t xml:space="preserve"> </w:t>
      </w:r>
      <w:r>
        <w:t>discriminación</w:t>
      </w:r>
      <w:r>
        <w:rPr>
          <w:spacing w:val="-4"/>
        </w:rPr>
        <w:t xml:space="preserve"> </w:t>
      </w:r>
      <w:r>
        <w:t>debe</w:t>
      </w:r>
      <w:r>
        <w:rPr>
          <w:spacing w:val="-4"/>
        </w:rPr>
        <w:t xml:space="preserve"> </w:t>
      </w:r>
      <w:r>
        <w:t>cumplir</w:t>
      </w:r>
      <w:r>
        <w:rPr>
          <w:spacing w:val="-4"/>
        </w:rPr>
        <w:t xml:space="preserve"> </w:t>
      </w:r>
      <w:r>
        <w:t>una</w:t>
      </w:r>
      <w:r>
        <w:rPr>
          <w:spacing w:val="-4"/>
        </w:rPr>
        <w:t xml:space="preserve"> </w:t>
      </w:r>
      <w:r>
        <w:t>serie</w:t>
      </w:r>
      <w:r>
        <w:rPr>
          <w:spacing w:val="-4"/>
        </w:rPr>
        <w:t xml:space="preserve"> </w:t>
      </w:r>
      <w:r>
        <w:t>de</w:t>
      </w:r>
      <w:r>
        <w:rPr>
          <w:spacing w:val="-4"/>
        </w:rPr>
        <w:t xml:space="preserve"> </w:t>
      </w:r>
      <w:r>
        <w:t>criterios.</w:t>
      </w:r>
      <w:r>
        <w:rPr>
          <w:spacing w:val="-3"/>
        </w:rPr>
        <w:t xml:space="preserve"> </w:t>
      </w:r>
      <w:r>
        <w:t>En</w:t>
      </w:r>
      <w:r>
        <w:rPr>
          <w:spacing w:val="-4"/>
        </w:rPr>
        <w:t xml:space="preserve"> </w:t>
      </w:r>
      <w:r>
        <w:t>particular,</w:t>
      </w:r>
      <w:r>
        <w:rPr>
          <w:spacing w:val="-3"/>
        </w:rPr>
        <w:t xml:space="preserve"> </w:t>
      </w:r>
      <w:r>
        <w:t>el</w:t>
      </w:r>
      <w:r>
        <w:rPr>
          <w:spacing w:val="-4"/>
        </w:rPr>
        <w:t xml:space="preserve"> </w:t>
      </w:r>
      <w:r>
        <w:t>derecho</w:t>
      </w:r>
      <w:r>
        <w:rPr>
          <w:spacing w:val="-4"/>
        </w:rPr>
        <w:t xml:space="preserve"> </w:t>
      </w:r>
      <w:r>
        <w:t>internacional de los derechos humanos exige que la legislación contra la discriminación:</w:t>
      </w:r>
    </w:p>
    <w:p w14:paraId="556F7171" w14:textId="77777777" w:rsidR="0014798C" w:rsidRDefault="004E1F0B">
      <w:pPr>
        <w:pStyle w:val="Prrafodelista"/>
        <w:numPr>
          <w:ilvl w:val="1"/>
          <w:numId w:val="99"/>
        </w:numPr>
        <w:tabs>
          <w:tab w:val="left" w:pos="1216"/>
          <w:tab w:val="left" w:pos="1347"/>
        </w:tabs>
        <w:spacing w:before="113" w:line="326" w:lineRule="auto"/>
        <w:ind w:right="1491" w:hanging="230"/>
        <w:rPr>
          <w:sz w:val="16"/>
        </w:rPr>
      </w:pPr>
      <w:r>
        <w:rPr>
          <w:sz w:val="16"/>
        </w:rPr>
        <w:t>Prohibir</w:t>
      </w:r>
      <w:r>
        <w:rPr>
          <w:spacing w:val="-4"/>
          <w:sz w:val="16"/>
        </w:rPr>
        <w:t xml:space="preserve"> </w:t>
      </w:r>
      <w:r>
        <w:rPr>
          <w:sz w:val="16"/>
        </w:rPr>
        <w:t>todas</w:t>
      </w:r>
      <w:r>
        <w:rPr>
          <w:spacing w:val="-4"/>
          <w:sz w:val="16"/>
        </w:rPr>
        <w:t xml:space="preserve"> </w:t>
      </w:r>
      <w:r>
        <w:rPr>
          <w:sz w:val="16"/>
        </w:rPr>
        <w:t>las</w:t>
      </w:r>
      <w:r>
        <w:rPr>
          <w:spacing w:val="-4"/>
          <w:sz w:val="16"/>
        </w:rPr>
        <w:t xml:space="preserve"> </w:t>
      </w:r>
      <w:r>
        <w:rPr>
          <w:sz w:val="16"/>
        </w:rPr>
        <w:t>formas</w:t>
      </w:r>
      <w:r>
        <w:rPr>
          <w:spacing w:val="-4"/>
          <w:sz w:val="16"/>
        </w:rPr>
        <w:t xml:space="preserve"> </w:t>
      </w:r>
      <w:r>
        <w:rPr>
          <w:sz w:val="16"/>
        </w:rPr>
        <w:t>y</w:t>
      </w:r>
      <w:r>
        <w:rPr>
          <w:spacing w:val="-4"/>
          <w:sz w:val="16"/>
        </w:rPr>
        <w:t xml:space="preserve"> </w:t>
      </w:r>
      <w:r>
        <w:rPr>
          <w:sz w:val="16"/>
        </w:rPr>
        <w:t>manifestaciones</w:t>
      </w:r>
      <w:r>
        <w:rPr>
          <w:spacing w:val="-4"/>
          <w:sz w:val="16"/>
        </w:rPr>
        <w:t xml:space="preserve"> </w:t>
      </w:r>
      <w:r>
        <w:rPr>
          <w:sz w:val="16"/>
        </w:rPr>
        <w:t>de</w:t>
      </w:r>
      <w:r>
        <w:rPr>
          <w:spacing w:val="-4"/>
          <w:sz w:val="16"/>
        </w:rPr>
        <w:t xml:space="preserve"> </w:t>
      </w:r>
      <w:r>
        <w:rPr>
          <w:sz w:val="16"/>
        </w:rPr>
        <w:t>discriminación</w:t>
      </w:r>
      <w:r>
        <w:rPr>
          <w:spacing w:val="-4"/>
          <w:sz w:val="16"/>
        </w:rPr>
        <w:t xml:space="preserve"> </w:t>
      </w:r>
      <w:r>
        <w:rPr>
          <w:sz w:val="16"/>
        </w:rPr>
        <w:t>sobre</w:t>
      </w:r>
      <w:r>
        <w:rPr>
          <w:spacing w:val="-4"/>
          <w:sz w:val="16"/>
        </w:rPr>
        <w:t xml:space="preserve"> </w:t>
      </w:r>
      <w:r>
        <w:rPr>
          <w:sz w:val="16"/>
        </w:rPr>
        <w:t>la</w:t>
      </w:r>
      <w:r>
        <w:rPr>
          <w:spacing w:val="-4"/>
          <w:sz w:val="16"/>
        </w:rPr>
        <w:t xml:space="preserve"> </w:t>
      </w:r>
      <w:r>
        <w:rPr>
          <w:sz w:val="16"/>
        </w:rPr>
        <w:t>base</w:t>
      </w:r>
      <w:r>
        <w:rPr>
          <w:spacing w:val="-4"/>
          <w:sz w:val="16"/>
        </w:rPr>
        <w:t xml:space="preserve"> </w:t>
      </w:r>
      <w:r>
        <w:rPr>
          <w:sz w:val="16"/>
        </w:rPr>
        <w:t>de</w:t>
      </w:r>
      <w:r>
        <w:rPr>
          <w:spacing w:val="-4"/>
          <w:sz w:val="16"/>
        </w:rPr>
        <w:t xml:space="preserve"> </w:t>
      </w:r>
      <w:r>
        <w:rPr>
          <w:sz w:val="16"/>
        </w:rPr>
        <w:t>una</w:t>
      </w:r>
      <w:r>
        <w:rPr>
          <w:spacing w:val="-4"/>
          <w:sz w:val="16"/>
        </w:rPr>
        <w:t xml:space="preserve"> </w:t>
      </w:r>
      <w:r>
        <w:rPr>
          <w:sz w:val="16"/>
        </w:rPr>
        <w:t>lista</w:t>
      </w:r>
      <w:r>
        <w:rPr>
          <w:spacing w:val="-4"/>
          <w:sz w:val="16"/>
        </w:rPr>
        <w:t xml:space="preserve"> </w:t>
      </w:r>
      <w:r>
        <w:rPr>
          <w:sz w:val="16"/>
        </w:rPr>
        <w:t>amplia</w:t>
      </w:r>
      <w:r>
        <w:rPr>
          <w:spacing w:val="-4"/>
          <w:sz w:val="16"/>
        </w:rPr>
        <w:t xml:space="preserve"> </w:t>
      </w:r>
      <w:r>
        <w:rPr>
          <w:sz w:val="16"/>
        </w:rPr>
        <w:t>y</w:t>
      </w:r>
      <w:r>
        <w:rPr>
          <w:spacing w:val="-4"/>
          <w:sz w:val="16"/>
        </w:rPr>
        <w:t xml:space="preserve"> </w:t>
      </w:r>
      <w:r>
        <w:rPr>
          <w:sz w:val="16"/>
        </w:rPr>
        <w:t>abierta</w:t>
      </w:r>
      <w:r>
        <w:rPr>
          <w:spacing w:val="-4"/>
          <w:sz w:val="16"/>
        </w:rPr>
        <w:t xml:space="preserve"> </w:t>
      </w:r>
      <w:r>
        <w:rPr>
          <w:sz w:val="16"/>
        </w:rPr>
        <w:t>de</w:t>
      </w:r>
      <w:r>
        <w:rPr>
          <w:spacing w:val="-4"/>
          <w:sz w:val="16"/>
        </w:rPr>
        <w:t xml:space="preserve"> </w:t>
      </w:r>
      <w:r>
        <w:rPr>
          <w:sz w:val="16"/>
        </w:rPr>
        <w:t>motivos</w:t>
      </w:r>
      <w:r>
        <w:rPr>
          <w:spacing w:val="-4"/>
          <w:sz w:val="16"/>
        </w:rPr>
        <w:t xml:space="preserve"> </w:t>
      </w:r>
      <w:r>
        <w:rPr>
          <w:sz w:val="16"/>
        </w:rPr>
        <w:t>y</w:t>
      </w:r>
      <w:r>
        <w:rPr>
          <w:spacing w:val="-4"/>
          <w:sz w:val="16"/>
        </w:rPr>
        <w:t xml:space="preserve"> </w:t>
      </w:r>
      <w:r>
        <w:rPr>
          <w:sz w:val="16"/>
        </w:rPr>
        <w:t>en</w:t>
      </w:r>
      <w:r>
        <w:rPr>
          <w:spacing w:val="-4"/>
          <w:sz w:val="16"/>
        </w:rPr>
        <w:t xml:space="preserve"> </w:t>
      </w:r>
      <w:r>
        <w:rPr>
          <w:sz w:val="16"/>
        </w:rPr>
        <w:t>todos los ámbitos de la vida regulados por la ley.</w:t>
      </w:r>
    </w:p>
    <w:p w14:paraId="2F5FEB8C" w14:textId="77777777" w:rsidR="0014798C" w:rsidRDefault="004E1F0B">
      <w:pPr>
        <w:pStyle w:val="Prrafodelista"/>
        <w:numPr>
          <w:ilvl w:val="1"/>
          <w:numId w:val="99"/>
        </w:numPr>
        <w:tabs>
          <w:tab w:val="left" w:pos="1217"/>
        </w:tabs>
        <w:spacing w:before="84"/>
        <w:ind w:left="1217" w:hanging="99"/>
        <w:rPr>
          <w:sz w:val="16"/>
        </w:rPr>
      </w:pPr>
      <w:r>
        <w:rPr>
          <w:sz w:val="16"/>
        </w:rPr>
        <w:t>Proporcionar</w:t>
      </w:r>
      <w:r>
        <w:rPr>
          <w:spacing w:val="-8"/>
          <w:sz w:val="16"/>
        </w:rPr>
        <w:t xml:space="preserve"> </w:t>
      </w:r>
      <w:r>
        <w:rPr>
          <w:sz w:val="16"/>
        </w:rPr>
        <w:t>definiciones</w:t>
      </w:r>
      <w:r>
        <w:rPr>
          <w:spacing w:val="-8"/>
          <w:sz w:val="16"/>
        </w:rPr>
        <w:t xml:space="preserve"> </w:t>
      </w:r>
      <w:r>
        <w:rPr>
          <w:sz w:val="16"/>
        </w:rPr>
        <w:t>explícitas</w:t>
      </w:r>
      <w:r>
        <w:rPr>
          <w:spacing w:val="-7"/>
          <w:sz w:val="16"/>
        </w:rPr>
        <w:t xml:space="preserve"> </w:t>
      </w:r>
      <w:r>
        <w:rPr>
          <w:sz w:val="16"/>
        </w:rPr>
        <w:t>de</w:t>
      </w:r>
      <w:r>
        <w:rPr>
          <w:spacing w:val="-8"/>
          <w:sz w:val="16"/>
        </w:rPr>
        <w:t xml:space="preserve"> </w:t>
      </w:r>
      <w:r>
        <w:rPr>
          <w:sz w:val="16"/>
        </w:rPr>
        <w:t>todas</w:t>
      </w:r>
      <w:r>
        <w:rPr>
          <w:spacing w:val="-7"/>
          <w:sz w:val="16"/>
        </w:rPr>
        <w:t xml:space="preserve"> </w:t>
      </w:r>
      <w:r>
        <w:rPr>
          <w:sz w:val="16"/>
        </w:rPr>
        <w:t>las</w:t>
      </w:r>
      <w:r>
        <w:rPr>
          <w:spacing w:val="-8"/>
          <w:sz w:val="16"/>
        </w:rPr>
        <w:t xml:space="preserve"> </w:t>
      </w:r>
      <w:r>
        <w:rPr>
          <w:sz w:val="16"/>
        </w:rPr>
        <w:t>formas</w:t>
      </w:r>
      <w:r>
        <w:rPr>
          <w:spacing w:val="-8"/>
          <w:sz w:val="16"/>
        </w:rPr>
        <w:t xml:space="preserve"> </w:t>
      </w:r>
      <w:r>
        <w:rPr>
          <w:sz w:val="16"/>
        </w:rPr>
        <w:t>de</w:t>
      </w:r>
      <w:r>
        <w:rPr>
          <w:spacing w:val="-7"/>
          <w:sz w:val="16"/>
        </w:rPr>
        <w:t xml:space="preserve"> </w:t>
      </w:r>
      <w:r>
        <w:rPr>
          <w:sz w:val="16"/>
        </w:rPr>
        <w:t>discriminación</w:t>
      </w:r>
      <w:r>
        <w:rPr>
          <w:spacing w:val="-8"/>
          <w:sz w:val="16"/>
        </w:rPr>
        <w:t xml:space="preserve"> </w:t>
      </w:r>
      <w:r>
        <w:rPr>
          <w:sz w:val="16"/>
        </w:rPr>
        <w:t>que</w:t>
      </w:r>
      <w:r>
        <w:rPr>
          <w:spacing w:val="-7"/>
          <w:sz w:val="16"/>
        </w:rPr>
        <w:t xml:space="preserve"> </w:t>
      </w:r>
      <w:r>
        <w:rPr>
          <w:sz w:val="16"/>
        </w:rPr>
        <w:t>sean</w:t>
      </w:r>
      <w:r>
        <w:rPr>
          <w:spacing w:val="-8"/>
          <w:sz w:val="16"/>
        </w:rPr>
        <w:t xml:space="preserve"> </w:t>
      </w:r>
      <w:r>
        <w:rPr>
          <w:sz w:val="16"/>
        </w:rPr>
        <w:t>consistentes</w:t>
      </w:r>
      <w:r>
        <w:rPr>
          <w:spacing w:val="-8"/>
          <w:sz w:val="16"/>
        </w:rPr>
        <w:t xml:space="preserve"> </w:t>
      </w:r>
      <w:r>
        <w:rPr>
          <w:sz w:val="16"/>
        </w:rPr>
        <w:t>con</w:t>
      </w:r>
      <w:r>
        <w:rPr>
          <w:spacing w:val="-7"/>
          <w:sz w:val="16"/>
        </w:rPr>
        <w:t xml:space="preserve"> </w:t>
      </w:r>
      <w:r>
        <w:rPr>
          <w:sz w:val="16"/>
        </w:rPr>
        <w:t>las</w:t>
      </w:r>
      <w:r>
        <w:rPr>
          <w:spacing w:val="-8"/>
          <w:sz w:val="16"/>
        </w:rPr>
        <w:t xml:space="preserve"> </w:t>
      </w:r>
      <w:r>
        <w:rPr>
          <w:sz w:val="16"/>
        </w:rPr>
        <w:t>definiciones</w:t>
      </w:r>
      <w:r>
        <w:rPr>
          <w:spacing w:val="-7"/>
          <w:sz w:val="16"/>
        </w:rPr>
        <w:t xml:space="preserve"> </w:t>
      </w:r>
      <w:r>
        <w:rPr>
          <w:spacing w:val="-2"/>
          <w:sz w:val="16"/>
        </w:rPr>
        <w:t>reconocidas</w:t>
      </w:r>
    </w:p>
    <w:p w14:paraId="0DDC1821" w14:textId="77777777" w:rsidR="0014798C" w:rsidRDefault="004E1F0B">
      <w:pPr>
        <w:spacing w:before="94"/>
        <w:ind w:left="1349"/>
        <w:rPr>
          <w:sz w:val="13"/>
        </w:rPr>
      </w:pPr>
      <w:r>
        <w:rPr>
          <w:sz w:val="13"/>
        </w:rPr>
        <w:t>bajo</w:t>
      </w:r>
      <w:r>
        <w:rPr>
          <w:spacing w:val="-2"/>
          <w:sz w:val="13"/>
        </w:rPr>
        <w:t xml:space="preserve"> </w:t>
      </w:r>
      <w:r>
        <w:rPr>
          <w:sz w:val="13"/>
        </w:rPr>
        <w:t>el derecho internacional de los derechos</w:t>
      </w:r>
      <w:r>
        <w:rPr>
          <w:spacing w:val="1"/>
          <w:sz w:val="13"/>
        </w:rPr>
        <w:t xml:space="preserve"> </w:t>
      </w:r>
      <w:r>
        <w:rPr>
          <w:spacing w:val="-2"/>
          <w:sz w:val="13"/>
        </w:rPr>
        <w:t>humanos.</w:t>
      </w:r>
    </w:p>
    <w:p w14:paraId="4F965B4A" w14:textId="77777777" w:rsidR="0014798C" w:rsidRDefault="0014798C">
      <w:pPr>
        <w:pStyle w:val="Textoindependiente"/>
        <w:spacing w:before="7"/>
        <w:rPr>
          <w:sz w:val="13"/>
        </w:rPr>
      </w:pPr>
    </w:p>
    <w:p w14:paraId="563913A7" w14:textId="77777777" w:rsidR="0014798C" w:rsidRDefault="004E1F0B">
      <w:pPr>
        <w:pStyle w:val="Prrafodelista"/>
        <w:numPr>
          <w:ilvl w:val="1"/>
          <w:numId w:val="99"/>
        </w:numPr>
        <w:tabs>
          <w:tab w:val="left" w:pos="1217"/>
          <w:tab w:val="left" w:pos="1347"/>
        </w:tabs>
        <w:spacing w:line="326" w:lineRule="auto"/>
        <w:ind w:right="1420" w:hanging="229"/>
        <w:rPr>
          <w:sz w:val="16"/>
        </w:rPr>
      </w:pPr>
      <w:r>
        <w:rPr>
          <w:sz w:val="16"/>
        </w:rPr>
        <w:t>Permitir,</w:t>
      </w:r>
      <w:r>
        <w:rPr>
          <w:spacing w:val="-4"/>
          <w:sz w:val="16"/>
        </w:rPr>
        <w:t xml:space="preserve"> </w:t>
      </w:r>
      <w:r>
        <w:rPr>
          <w:sz w:val="16"/>
        </w:rPr>
        <w:t>exigir</w:t>
      </w:r>
      <w:r>
        <w:rPr>
          <w:spacing w:val="-4"/>
          <w:sz w:val="16"/>
        </w:rPr>
        <w:t xml:space="preserve"> </w:t>
      </w:r>
      <w:r>
        <w:rPr>
          <w:sz w:val="16"/>
        </w:rPr>
        <w:t>y</w:t>
      </w:r>
      <w:r>
        <w:rPr>
          <w:spacing w:val="-4"/>
          <w:sz w:val="16"/>
        </w:rPr>
        <w:t xml:space="preserve"> </w:t>
      </w:r>
      <w:r>
        <w:rPr>
          <w:sz w:val="16"/>
        </w:rPr>
        <w:t>disponer</w:t>
      </w:r>
      <w:r>
        <w:rPr>
          <w:spacing w:val="-4"/>
          <w:sz w:val="16"/>
        </w:rPr>
        <w:t xml:space="preserve"> </w:t>
      </w:r>
      <w:r>
        <w:rPr>
          <w:sz w:val="16"/>
        </w:rPr>
        <w:t>explícitamente</w:t>
      </w:r>
      <w:r>
        <w:rPr>
          <w:spacing w:val="-4"/>
          <w:sz w:val="16"/>
        </w:rPr>
        <w:t xml:space="preserve"> </w:t>
      </w:r>
      <w:r>
        <w:rPr>
          <w:sz w:val="16"/>
        </w:rPr>
        <w:t>la</w:t>
      </w:r>
      <w:r>
        <w:rPr>
          <w:spacing w:val="-4"/>
          <w:sz w:val="16"/>
        </w:rPr>
        <w:t xml:space="preserve"> </w:t>
      </w:r>
      <w:r>
        <w:rPr>
          <w:sz w:val="16"/>
        </w:rPr>
        <w:t>adopción</w:t>
      </w:r>
      <w:r>
        <w:rPr>
          <w:spacing w:val="-4"/>
          <w:sz w:val="16"/>
        </w:rPr>
        <w:t xml:space="preserve"> </w:t>
      </w:r>
      <w:r>
        <w:rPr>
          <w:sz w:val="16"/>
        </w:rPr>
        <w:t>de</w:t>
      </w:r>
      <w:r>
        <w:rPr>
          <w:spacing w:val="-4"/>
          <w:sz w:val="16"/>
        </w:rPr>
        <w:t xml:space="preserve"> </w:t>
      </w:r>
      <w:r>
        <w:rPr>
          <w:sz w:val="16"/>
        </w:rPr>
        <w:t>medidas</w:t>
      </w:r>
      <w:r>
        <w:rPr>
          <w:spacing w:val="-4"/>
          <w:sz w:val="16"/>
        </w:rPr>
        <w:t xml:space="preserve"> </w:t>
      </w:r>
      <w:r>
        <w:rPr>
          <w:sz w:val="16"/>
        </w:rPr>
        <w:t>de</w:t>
      </w:r>
      <w:r>
        <w:rPr>
          <w:spacing w:val="-4"/>
          <w:sz w:val="16"/>
        </w:rPr>
        <w:t xml:space="preserve"> </w:t>
      </w:r>
      <w:r>
        <w:rPr>
          <w:sz w:val="16"/>
        </w:rPr>
        <w:t>acción</w:t>
      </w:r>
      <w:r>
        <w:rPr>
          <w:spacing w:val="-4"/>
          <w:sz w:val="16"/>
        </w:rPr>
        <w:t xml:space="preserve"> </w:t>
      </w:r>
      <w:r>
        <w:rPr>
          <w:sz w:val="16"/>
        </w:rPr>
        <w:t>positiva</w:t>
      </w:r>
      <w:r>
        <w:rPr>
          <w:spacing w:val="-4"/>
          <w:sz w:val="16"/>
        </w:rPr>
        <w:t xml:space="preserve"> </w:t>
      </w:r>
      <w:r>
        <w:rPr>
          <w:sz w:val="16"/>
        </w:rPr>
        <w:t>diseñadas</w:t>
      </w:r>
      <w:r>
        <w:rPr>
          <w:spacing w:val="-4"/>
          <w:sz w:val="16"/>
        </w:rPr>
        <w:t xml:space="preserve"> </w:t>
      </w:r>
      <w:r>
        <w:rPr>
          <w:sz w:val="16"/>
        </w:rPr>
        <w:t>para</w:t>
      </w:r>
      <w:r>
        <w:rPr>
          <w:spacing w:val="-4"/>
          <w:sz w:val="16"/>
        </w:rPr>
        <w:t xml:space="preserve"> </w:t>
      </w:r>
      <w:r>
        <w:rPr>
          <w:sz w:val="16"/>
        </w:rPr>
        <w:t>avanzar</w:t>
      </w:r>
      <w:r>
        <w:rPr>
          <w:spacing w:val="-4"/>
          <w:sz w:val="16"/>
        </w:rPr>
        <w:t xml:space="preserve"> </w:t>
      </w:r>
      <w:r>
        <w:rPr>
          <w:sz w:val="16"/>
        </w:rPr>
        <w:t>hacia</w:t>
      </w:r>
      <w:r>
        <w:rPr>
          <w:spacing w:val="-4"/>
          <w:sz w:val="16"/>
        </w:rPr>
        <w:t xml:space="preserve"> </w:t>
      </w:r>
      <w:r>
        <w:rPr>
          <w:sz w:val="16"/>
        </w:rPr>
        <w:t>la</w:t>
      </w:r>
      <w:r>
        <w:rPr>
          <w:spacing w:val="-4"/>
          <w:sz w:val="16"/>
        </w:rPr>
        <w:t xml:space="preserve"> </w:t>
      </w:r>
      <w:r>
        <w:rPr>
          <w:sz w:val="16"/>
        </w:rPr>
        <w:t>realización de la igualdad de personas y grupos que experimentan o están expuestos a discriminación y desventaja.</w:t>
      </w:r>
    </w:p>
    <w:p w14:paraId="66B3CB7A" w14:textId="77777777" w:rsidR="0014798C" w:rsidRDefault="0014798C">
      <w:pPr>
        <w:pStyle w:val="Textoindependiente"/>
        <w:spacing w:before="150"/>
      </w:pPr>
    </w:p>
    <w:p w14:paraId="1A91F10C" w14:textId="77777777" w:rsidR="0014798C" w:rsidRDefault="004E1F0B">
      <w:pPr>
        <w:pStyle w:val="Prrafodelista"/>
        <w:numPr>
          <w:ilvl w:val="1"/>
          <w:numId w:val="99"/>
        </w:numPr>
        <w:tabs>
          <w:tab w:val="left" w:pos="1217"/>
          <w:tab w:val="left" w:pos="1350"/>
        </w:tabs>
        <w:spacing w:line="326" w:lineRule="auto"/>
        <w:ind w:left="1350" w:right="2829" w:hanging="232"/>
        <w:rPr>
          <w:sz w:val="16"/>
        </w:rPr>
      </w:pPr>
      <w:r>
        <w:rPr>
          <w:sz w:val="16"/>
        </w:rPr>
        <w:t>Hacer</w:t>
      </w:r>
      <w:r>
        <w:rPr>
          <w:spacing w:val="-4"/>
          <w:sz w:val="16"/>
        </w:rPr>
        <w:t xml:space="preserve"> </w:t>
      </w:r>
      <w:r>
        <w:rPr>
          <w:sz w:val="16"/>
        </w:rPr>
        <w:t>operativos</w:t>
      </w:r>
      <w:r>
        <w:rPr>
          <w:spacing w:val="-4"/>
          <w:sz w:val="16"/>
        </w:rPr>
        <w:t xml:space="preserve"> </w:t>
      </w:r>
      <w:r>
        <w:rPr>
          <w:sz w:val="16"/>
        </w:rPr>
        <w:t>los</w:t>
      </w:r>
      <w:r>
        <w:rPr>
          <w:spacing w:val="-4"/>
          <w:sz w:val="16"/>
        </w:rPr>
        <w:t xml:space="preserve"> </w:t>
      </w:r>
      <w:r>
        <w:rPr>
          <w:sz w:val="16"/>
        </w:rPr>
        <w:t>derechos</w:t>
      </w:r>
      <w:r>
        <w:rPr>
          <w:spacing w:val="-4"/>
          <w:sz w:val="16"/>
        </w:rPr>
        <w:t xml:space="preserve"> </w:t>
      </w:r>
      <w:r>
        <w:rPr>
          <w:sz w:val="16"/>
        </w:rPr>
        <w:t>a</w:t>
      </w:r>
      <w:r>
        <w:rPr>
          <w:spacing w:val="-4"/>
          <w:sz w:val="16"/>
        </w:rPr>
        <w:t xml:space="preserve"> </w:t>
      </w:r>
      <w:r>
        <w:rPr>
          <w:sz w:val="16"/>
        </w:rPr>
        <w:t>la</w:t>
      </w:r>
      <w:r>
        <w:rPr>
          <w:spacing w:val="-4"/>
          <w:sz w:val="16"/>
        </w:rPr>
        <w:t xml:space="preserve"> </w:t>
      </w:r>
      <w:r>
        <w:rPr>
          <w:sz w:val="16"/>
        </w:rPr>
        <w:t>igualdad</w:t>
      </w:r>
      <w:r>
        <w:rPr>
          <w:spacing w:val="-4"/>
          <w:sz w:val="16"/>
        </w:rPr>
        <w:t xml:space="preserve"> </w:t>
      </w:r>
      <w:r>
        <w:rPr>
          <w:sz w:val="16"/>
        </w:rPr>
        <w:t>y</w:t>
      </w:r>
      <w:r>
        <w:rPr>
          <w:spacing w:val="-4"/>
          <w:sz w:val="16"/>
        </w:rPr>
        <w:t xml:space="preserve"> </w:t>
      </w:r>
      <w:r>
        <w:rPr>
          <w:sz w:val="16"/>
        </w:rPr>
        <w:t>la</w:t>
      </w:r>
      <w:r>
        <w:rPr>
          <w:spacing w:val="-4"/>
          <w:sz w:val="16"/>
        </w:rPr>
        <w:t xml:space="preserve"> </w:t>
      </w:r>
      <w:r>
        <w:rPr>
          <w:sz w:val="16"/>
        </w:rPr>
        <w:t>no</w:t>
      </w:r>
      <w:r>
        <w:rPr>
          <w:spacing w:val="-4"/>
          <w:sz w:val="16"/>
        </w:rPr>
        <w:t xml:space="preserve"> </w:t>
      </w:r>
      <w:r>
        <w:rPr>
          <w:sz w:val="16"/>
        </w:rPr>
        <w:t>discriminación</w:t>
      </w:r>
      <w:r>
        <w:rPr>
          <w:spacing w:val="-4"/>
          <w:sz w:val="16"/>
        </w:rPr>
        <w:t xml:space="preserve"> </w:t>
      </w:r>
      <w:r>
        <w:rPr>
          <w:sz w:val="16"/>
        </w:rPr>
        <w:t>en</w:t>
      </w:r>
      <w:r>
        <w:rPr>
          <w:spacing w:val="-4"/>
          <w:sz w:val="16"/>
        </w:rPr>
        <w:t xml:space="preserve"> </w:t>
      </w:r>
      <w:r>
        <w:rPr>
          <w:sz w:val="16"/>
        </w:rPr>
        <w:t>las</w:t>
      </w:r>
      <w:r>
        <w:rPr>
          <w:spacing w:val="-4"/>
          <w:sz w:val="16"/>
        </w:rPr>
        <w:t xml:space="preserve"> </w:t>
      </w:r>
      <w:r>
        <w:rPr>
          <w:sz w:val="16"/>
        </w:rPr>
        <w:t>esferas</w:t>
      </w:r>
      <w:r>
        <w:rPr>
          <w:spacing w:val="-4"/>
          <w:sz w:val="16"/>
        </w:rPr>
        <w:t xml:space="preserve"> </w:t>
      </w:r>
      <w:r>
        <w:rPr>
          <w:sz w:val="16"/>
        </w:rPr>
        <w:t>pública</w:t>
      </w:r>
      <w:r>
        <w:rPr>
          <w:spacing w:val="-4"/>
          <w:sz w:val="16"/>
        </w:rPr>
        <w:t xml:space="preserve"> </w:t>
      </w:r>
      <w:r>
        <w:rPr>
          <w:sz w:val="16"/>
        </w:rPr>
        <w:t>y</w:t>
      </w:r>
      <w:r>
        <w:rPr>
          <w:spacing w:val="-4"/>
          <w:sz w:val="16"/>
        </w:rPr>
        <w:t xml:space="preserve"> </w:t>
      </w:r>
      <w:r>
        <w:rPr>
          <w:sz w:val="16"/>
        </w:rPr>
        <w:t>privada</w:t>
      </w:r>
      <w:r>
        <w:rPr>
          <w:spacing w:val="-4"/>
          <w:sz w:val="16"/>
        </w:rPr>
        <w:t xml:space="preserve"> </w:t>
      </w:r>
      <w:r>
        <w:rPr>
          <w:sz w:val="16"/>
        </w:rPr>
        <w:t>mediante garantizar la accesibilidad y establecer deberes de igualdad.</w:t>
      </w:r>
    </w:p>
    <w:p w14:paraId="6BD91826" w14:textId="77777777" w:rsidR="0014798C" w:rsidRDefault="004E1F0B">
      <w:pPr>
        <w:pStyle w:val="Prrafodelista"/>
        <w:numPr>
          <w:ilvl w:val="1"/>
          <w:numId w:val="99"/>
        </w:numPr>
        <w:tabs>
          <w:tab w:val="left" w:pos="1217"/>
          <w:tab w:val="left" w:pos="1348"/>
        </w:tabs>
        <w:spacing w:before="84" w:line="326" w:lineRule="auto"/>
        <w:ind w:left="1348" w:right="1455" w:hanging="230"/>
        <w:rPr>
          <w:sz w:val="16"/>
        </w:rPr>
      </w:pPr>
      <w:r>
        <w:rPr>
          <w:spacing w:val="-2"/>
          <w:sz w:val="16"/>
        </w:rPr>
        <w:t>Prever: remedio efectivo, incluidas sanciones que sean efectivas, disuasorias y proporcionadas; reconocimiento, compensación</w:t>
      </w:r>
      <w:r>
        <w:rPr>
          <w:spacing w:val="40"/>
          <w:sz w:val="16"/>
        </w:rPr>
        <w:t xml:space="preserve"> </w:t>
      </w:r>
      <w:r>
        <w:rPr>
          <w:sz w:val="16"/>
        </w:rPr>
        <w:t>y</w:t>
      </w:r>
      <w:r>
        <w:rPr>
          <w:spacing w:val="-4"/>
          <w:sz w:val="16"/>
        </w:rPr>
        <w:t xml:space="preserve"> </w:t>
      </w:r>
      <w:r>
        <w:rPr>
          <w:sz w:val="16"/>
        </w:rPr>
        <w:t>restitución</w:t>
      </w:r>
      <w:r>
        <w:rPr>
          <w:spacing w:val="-4"/>
          <w:sz w:val="16"/>
        </w:rPr>
        <w:t xml:space="preserve"> </w:t>
      </w:r>
      <w:r>
        <w:rPr>
          <w:sz w:val="16"/>
        </w:rPr>
        <w:t>a</w:t>
      </w:r>
      <w:r>
        <w:rPr>
          <w:spacing w:val="-4"/>
          <w:sz w:val="16"/>
        </w:rPr>
        <w:t xml:space="preserve"> </w:t>
      </w:r>
      <w:r>
        <w:rPr>
          <w:sz w:val="16"/>
        </w:rPr>
        <w:t>los</w:t>
      </w:r>
      <w:r>
        <w:rPr>
          <w:spacing w:val="-4"/>
          <w:sz w:val="16"/>
        </w:rPr>
        <w:t xml:space="preserve"> </w:t>
      </w:r>
      <w:r>
        <w:rPr>
          <w:sz w:val="16"/>
        </w:rPr>
        <w:t>sobrevivientes;</w:t>
      </w:r>
      <w:r>
        <w:rPr>
          <w:spacing w:val="-2"/>
          <w:sz w:val="16"/>
        </w:rPr>
        <w:t xml:space="preserve"> </w:t>
      </w:r>
      <w:r>
        <w:rPr>
          <w:sz w:val="16"/>
        </w:rPr>
        <w:t>y</w:t>
      </w:r>
      <w:r>
        <w:rPr>
          <w:spacing w:val="-4"/>
          <w:sz w:val="16"/>
        </w:rPr>
        <w:t xml:space="preserve"> </w:t>
      </w:r>
      <w:r>
        <w:rPr>
          <w:sz w:val="16"/>
        </w:rPr>
        <w:t>soluciones</w:t>
      </w:r>
      <w:r>
        <w:rPr>
          <w:spacing w:val="-4"/>
          <w:sz w:val="16"/>
        </w:rPr>
        <w:t xml:space="preserve"> </w:t>
      </w:r>
      <w:r>
        <w:rPr>
          <w:sz w:val="16"/>
        </w:rPr>
        <w:t>institucionales</w:t>
      </w:r>
      <w:r>
        <w:rPr>
          <w:spacing w:val="-4"/>
          <w:sz w:val="16"/>
        </w:rPr>
        <w:t xml:space="preserve"> </w:t>
      </w:r>
      <w:r>
        <w:rPr>
          <w:sz w:val="16"/>
        </w:rPr>
        <w:t>y</w:t>
      </w:r>
      <w:r>
        <w:rPr>
          <w:spacing w:val="-4"/>
          <w:sz w:val="16"/>
        </w:rPr>
        <w:t xml:space="preserve"> </w:t>
      </w:r>
      <w:r>
        <w:rPr>
          <w:sz w:val="16"/>
        </w:rPr>
        <w:t>sociales</w:t>
      </w:r>
      <w:r>
        <w:rPr>
          <w:spacing w:val="-4"/>
          <w:sz w:val="16"/>
        </w:rPr>
        <w:t xml:space="preserve"> </w:t>
      </w:r>
      <w:r>
        <w:rPr>
          <w:sz w:val="16"/>
        </w:rPr>
        <w:t>pertinentes.</w:t>
      </w:r>
    </w:p>
    <w:p w14:paraId="02804BE4" w14:textId="77777777" w:rsidR="0014798C" w:rsidRDefault="004E1F0B">
      <w:pPr>
        <w:pStyle w:val="Prrafodelista"/>
        <w:numPr>
          <w:ilvl w:val="1"/>
          <w:numId w:val="99"/>
        </w:numPr>
        <w:tabs>
          <w:tab w:val="left" w:pos="1216"/>
          <w:tab w:val="left" w:pos="1348"/>
        </w:tabs>
        <w:spacing w:before="84" w:line="326" w:lineRule="auto"/>
        <w:ind w:left="1348" w:right="1341" w:hanging="231"/>
        <w:rPr>
          <w:sz w:val="16"/>
        </w:rPr>
      </w:pPr>
      <w:r>
        <w:rPr>
          <w:sz w:val="16"/>
        </w:rPr>
        <w:t>Establecer las salvaguardias y ajustes procesales necesarios para garantizar el acceso a la justicia, incluidas, entre otras, disposiciones</w:t>
      </w:r>
      <w:r>
        <w:rPr>
          <w:spacing w:val="-4"/>
          <w:sz w:val="16"/>
        </w:rPr>
        <w:t xml:space="preserve"> </w:t>
      </w:r>
      <w:r>
        <w:rPr>
          <w:sz w:val="16"/>
        </w:rPr>
        <w:t>para</w:t>
      </w:r>
      <w:r>
        <w:rPr>
          <w:spacing w:val="-4"/>
          <w:sz w:val="16"/>
        </w:rPr>
        <w:t xml:space="preserve"> </w:t>
      </w:r>
      <w:r>
        <w:rPr>
          <w:sz w:val="16"/>
        </w:rPr>
        <w:t>el</w:t>
      </w:r>
      <w:r>
        <w:rPr>
          <w:spacing w:val="-4"/>
          <w:sz w:val="16"/>
        </w:rPr>
        <w:t xml:space="preserve"> </w:t>
      </w:r>
      <w:r>
        <w:rPr>
          <w:sz w:val="16"/>
        </w:rPr>
        <w:t>cambio</w:t>
      </w:r>
      <w:r>
        <w:rPr>
          <w:spacing w:val="-4"/>
          <w:sz w:val="16"/>
        </w:rPr>
        <w:t xml:space="preserve"> </w:t>
      </w:r>
      <w:r>
        <w:rPr>
          <w:sz w:val="16"/>
        </w:rPr>
        <w:t>de</w:t>
      </w:r>
      <w:r>
        <w:rPr>
          <w:spacing w:val="-4"/>
          <w:sz w:val="16"/>
        </w:rPr>
        <w:t xml:space="preserve"> </w:t>
      </w:r>
      <w:r>
        <w:rPr>
          <w:sz w:val="16"/>
        </w:rPr>
        <w:t>la</w:t>
      </w:r>
      <w:r>
        <w:rPr>
          <w:spacing w:val="-4"/>
          <w:sz w:val="16"/>
        </w:rPr>
        <w:t xml:space="preserve"> </w:t>
      </w:r>
      <w:r>
        <w:rPr>
          <w:sz w:val="16"/>
        </w:rPr>
        <w:t>carga</w:t>
      </w:r>
      <w:r>
        <w:rPr>
          <w:spacing w:val="-4"/>
          <w:sz w:val="16"/>
        </w:rPr>
        <w:t xml:space="preserve"> </w:t>
      </w:r>
      <w:r>
        <w:rPr>
          <w:sz w:val="16"/>
        </w:rPr>
        <w:t>de</w:t>
      </w:r>
      <w:r>
        <w:rPr>
          <w:spacing w:val="-4"/>
          <w:sz w:val="16"/>
        </w:rPr>
        <w:t xml:space="preserve"> </w:t>
      </w:r>
      <w:r>
        <w:rPr>
          <w:sz w:val="16"/>
        </w:rPr>
        <w:t>la</w:t>
      </w:r>
      <w:r>
        <w:rPr>
          <w:spacing w:val="-4"/>
          <w:sz w:val="16"/>
        </w:rPr>
        <w:t xml:space="preserve"> </w:t>
      </w:r>
      <w:r>
        <w:rPr>
          <w:sz w:val="16"/>
        </w:rPr>
        <w:t>prueba</w:t>
      </w:r>
      <w:r>
        <w:rPr>
          <w:spacing w:val="-4"/>
          <w:sz w:val="16"/>
        </w:rPr>
        <w:t xml:space="preserve"> </w:t>
      </w:r>
      <w:r>
        <w:rPr>
          <w:sz w:val="16"/>
        </w:rPr>
        <w:t>después</w:t>
      </w:r>
      <w:r>
        <w:rPr>
          <w:spacing w:val="-4"/>
          <w:sz w:val="16"/>
        </w:rPr>
        <w:t xml:space="preserve"> </w:t>
      </w:r>
      <w:r>
        <w:rPr>
          <w:sz w:val="16"/>
        </w:rPr>
        <w:t>de</w:t>
      </w:r>
      <w:r>
        <w:rPr>
          <w:spacing w:val="-4"/>
          <w:sz w:val="16"/>
        </w:rPr>
        <w:t xml:space="preserve"> </w:t>
      </w:r>
      <w:r>
        <w:rPr>
          <w:sz w:val="16"/>
        </w:rPr>
        <w:t>que</w:t>
      </w:r>
      <w:r>
        <w:rPr>
          <w:spacing w:val="-4"/>
          <w:sz w:val="16"/>
        </w:rPr>
        <w:t xml:space="preserve"> </w:t>
      </w:r>
      <w:r>
        <w:rPr>
          <w:sz w:val="16"/>
        </w:rPr>
        <w:t>un</w:t>
      </w:r>
      <w:r>
        <w:rPr>
          <w:spacing w:val="-4"/>
          <w:sz w:val="16"/>
        </w:rPr>
        <w:t xml:space="preserve"> </w:t>
      </w:r>
      <w:r>
        <w:rPr>
          <w:sz w:val="16"/>
        </w:rPr>
        <w:t>denunciante</w:t>
      </w:r>
      <w:r>
        <w:rPr>
          <w:spacing w:val="-4"/>
          <w:sz w:val="16"/>
        </w:rPr>
        <w:t xml:space="preserve"> </w:t>
      </w:r>
      <w:r>
        <w:rPr>
          <w:sz w:val="16"/>
        </w:rPr>
        <w:t>haya</w:t>
      </w:r>
      <w:r>
        <w:rPr>
          <w:spacing w:val="-4"/>
          <w:sz w:val="16"/>
        </w:rPr>
        <w:t xml:space="preserve"> </w:t>
      </w:r>
      <w:r>
        <w:rPr>
          <w:sz w:val="16"/>
        </w:rPr>
        <w:t>presentado</w:t>
      </w:r>
      <w:r>
        <w:rPr>
          <w:spacing w:val="-4"/>
          <w:sz w:val="16"/>
        </w:rPr>
        <w:t xml:space="preserve"> </w:t>
      </w:r>
      <w:r>
        <w:rPr>
          <w:sz w:val="16"/>
        </w:rPr>
        <w:t>un</w:t>
      </w:r>
      <w:r>
        <w:rPr>
          <w:spacing w:val="-4"/>
          <w:sz w:val="16"/>
        </w:rPr>
        <w:t xml:space="preserve"> </w:t>
      </w:r>
      <w:r>
        <w:rPr>
          <w:sz w:val="16"/>
        </w:rPr>
        <w:t>caso</w:t>
      </w:r>
      <w:r>
        <w:rPr>
          <w:spacing w:val="-4"/>
          <w:sz w:val="16"/>
        </w:rPr>
        <w:t xml:space="preserve"> </w:t>
      </w:r>
      <w:r>
        <w:rPr>
          <w:sz w:val="16"/>
        </w:rPr>
        <w:t>prima</w:t>
      </w:r>
      <w:r>
        <w:rPr>
          <w:spacing w:val="-4"/>
          <w:sz w:val="16"/>
        </w:rPr>
        <w:t xml:space="preserve"> </w:t>
      </w:r>
      <w:r>
        <w:rPr>
          <w:sz w:val="16"/>
        </w:rPr>
        <w:t>facie</w:t>
      </w:r>
      <w:r>
        <w:rPr>
          <w:spacing w:val="-4"/>
          <w:sz w:val="16"/>
        </w:rPr>
        <w:t xml:space="preserve"> </w:t>
      </w:r>
      <w:r>
        <w:rPr>
          <w:sz w:val="16"/>
        </w:rPr>
        <w:t>de discriminación y disposiciones para la prohibición de la victimización</w:t>
      </w:r>
      <w:proofErr w:type="gramStart"/>
      <w:r>
        <w:rPr>
          <w:sz w:val="16"/>
        </w:rPr>
        <w:t>. .</w:t>
      </w:r>
      <w:proofErr w:type="gramEnd"/>
    </w:p>
    <w:p w14:paraId="0EEC1477" w14:textId="77777777" w:rsidR="0014798C" w:rsidRDefault="004E1F0B">
      <w:pPr>
        <w:pStyle w:val="Prrafodelista"/>
        <w:numPr>
          <w:ilvl w:val="1"/>
          <w:numId w:val="99"/>
        </w:numPr>
        <w:tabs>
          <w:tab w:val="left" w:pos="1216"/>
          <w:tab w:val="left" w:pos="1349"/>
        </w:tabs>
        <w:spacing w:before="83" w:line="326" w:lineRule="auto"/>
        <w:ind w:left="1349" w:right="1933" w:hanging="232"/>
        <w:rPr>
          <w:sz w:val="16"/>
        </w:rPr>
      </w:pPr>
      <w:r>
        <w:rPr>
          <w:sz w:val="16"/>
        </w:rPr>
        <w:t>Prever</w:t>
      </w:r>
      <w:r>
        <w:rPr>
          <w:spacing w:val="-5"/>
          <w:sz w:val="16"/>
        </w:rPr>
        <w:t xml:space="preserve"> </w:t>
      </w:r>
      <w:r>
        <w:rPr>
          <w:sz w:val="16"/>
        </w:rPr>
        <w:t>el</w:t>
      </w:r>
      <w:r>
        <w:rPr>
          <w:spacing w:val="-5"/>
          <w:sz w:val="16"/>
        </w:rPr>
        <w:t xml:space="preserve"> </w:t>
      </w:r>
      <w:r>
        <w:rPr>
          <w:sz w:val="16"/>
        </w:rPr>
        <w:t>establecimiento</w:t>
      </w:r>
      <w:r>
        <w:rPr>
          <w:spacing w:val="-5"/>
          <w:sz w:val="16"/>
        </w:rPr>
        <w:t xml:space="preserve"> </w:t>
      </w:r>
      <w:r>
        <w:rPr>
          <w:sz w:val="16"/>
        </w:rPr>
        <w:t>de</w:t>
      </w:r>
      <w:r>
        <w:rPr>
          <w:spacing w:val="-5"/>
          <w:sz w:val="16"/>
        </w:rPr>
        <w:t xml:space="preserve"> </w:t>
      </w:r>
      <w:r>
        <w:rPr>
          <w:sz w:val="16"/>
        </w:rPr>
        <w:t>un</w:t>
      </w:r>
      <w:r>
        <w:rPr>
          <w:spacing w:val="-5"/>
          <w:sz w:val="16"/>
        </w:rPr>
        <w:t xml:space="preserve"> </w:t>
      </w:r>
      <w:r>
        <w:rPr>
          <w:sz w:val="16"/>
        </w:rPr>
        <w:t>organismo</w:t>
      </w:r>
      <w:r>
        <w:rPr>
          <w:spacing w:val="-5"/>
          <w:sz w:val="16"/>
        </w:rPr>
        <w:t xml:space="preserve"> </w:t>
      </w:r>
      <w:r>
        <w:rPr>
          <w:sz w:val="16"/>
        </w:rPr>
        <w:t>independiente</w:t>
      </w:r>
      <w:r>
        <w:rPr>
          <w:spacing w:val="-5"/>
          <w:sz w:val="16"/>
        </w:rPr>
        <w:t xml:space="preserve"> </w:t>
      </w:r>
      <w:r>
        <w:rPr>
          <w:sz w:val="16"/>
        </w:rPr>
        <w:t>y</w:t>
      </w:r>
      <w:r>
        <w:rPr>
          <w:spacing w:val="-5"/>
          <w:sz w:val="16"/>
        </w:rPr>
        <w:t xml:space="preserve"> </w:t>
      </w:r>
      <w:r>
        <w:rPr>
          <w:sz w:val="16"/>
        </w:rPr>
        <w:t>especializado</w:t>
      </w:r>
      <w:r>
        <w:rPr>
          <w:spacing w:val="-5"/>
          <w:sz w:val="16"/>
        </w:rPr>
        <w:t xml:space="preserve"> </w:t>
      </w:r>
      <w:r>
        <w:rPr>
          <w:sz w:val="16"/>
        </w:rPr>
        <w:t>en</w:t>
      </w:r>
      <w:r>
        <w:rPr>
          <w:spacing w:val="-5"/>
          <w:sz w:val="16"/>
        </w:rPr>
        <w:t xml:space="preserve"> </w:t>
      </w:r>
      <w:r>
        <w:rPr>
          <w:sz w:val="16"/>
        </w:rPr>
        <w:t>igualdad</w:t>
      </w:r>
      <w:r>
        <w:rPr>
          <w:spacing w:val="-5"/>
          <w:sz w:val="16"/>
        </w:rPr>
        <w:t xml:space="preserve"> </w:t>
      </w:r>
      <w:r>
        <w:rPr>
          <w:sz w:val="16"/>
        </w:rPr>
        <w:t>con</w:t>
      </w:r>
      <w:r>
        <w:rPr>
          <w:spacing w:val="-5"/>
          <w:sz w:val="16"/>
        </w:rPr>
        <w:t xml:space="preserve"> </w:t>
      </w:r>
      <w:r>
        <w:rPr>
          <w:sz w:val="16"/>
        </w:rPr>
        <w:t>recursos,</w:t>
      </w:r>
      <w:r>
        <w:rPr>
          <w:spacing w:val="-4"/>
          <w:sz w:val="16"/>
        </w:rPr>
        <w:t xml:space="preserve"> </w:t>
      </w:r>
      <w:r>
        <w:rPr>
          <w:sz w:val="16"/>
        </w:rPr>
        <w:t>funciones</w:t>
      </w:r>
      <w:r>
        <w:rPr>
          <w:spacing w:val="-5"/>
          <w:sz w:val="16"/>
        </w:rPr>
        <w:t xml:space="preserve"> </w:t>
      </w:r>
      <w:r>
        <w:rPr>
          <w:sz w:val="16"/>
        </w:rPr>
        <w:t>y</w:t>
      </w:r>
      <w:r>
        <w:rPr>
          <w:spacing w:val="-5"/>
          <w:sz w:val="16"/>
        </w:rPr>
        <w:t xml:space="preserve"> </w:t>
      </w:r>
      <w:r>
        <w:rPr>
          <w:sz w:val="16"/>
        </w:rPr>
        <w:t>poderes suficientes para garantizar su eficacia.</w:t>
      </w:r>
    </w:p>
    <w:p w14:paraId="11D9DA46" w14:textId="77777777" w:rsidR="0014798C" w:rsidRDefault="004E1F0B">
      <w:pPr>
        <w:pStyle w:val="Prrafodelista"/>
        <w:numPr>
          <w:ilvl w:val="1"/>
          <w:numId w:val="99"/>
        </w:numPr>
        <w:tabs>
          <w:tab w:val="left" w:pos="1217"/>
          <w:tab w:val="left" w:pos="1348"/>
        </w:tabs>
        <w:spacing w:before="84" w:line="326" w:lineRule="auto"/>
        <w:ind w:left="1348" w:right="1437" w:hanging="230"/>
        <w:rPr>
          <w:sz w:val="16"/>
        </w:rPr>
      </w:pPr>
      <w:r>
        <w:rPr>
          <w:sz w:val="16"/>
        </w:rPr>
        <w:t>Ordenar</w:t>
      </w:r>
      <w:r>
        <w:rPr>
          <w:spacing w:val="-5"/>
          <w:sz w:val="16"/>
        </w:rPr>
        <w:t xml:space="preserve"> </w:t>
      </w:r>
      <w:r>
        <w:rPr>
          <w:sz w:val="16"/>
        </w:rPr>
        <w:t>la</w:t>
      </w:r>
      <w:r>
        <w:rPr>
          <w:spacing w:val="-5"/>
          <w:sz w:val="16"/>
        </w:rPr>
        <w:t xml:space="preserve"> </w:t>
      </w:r>
      <w:r>
        <w:rPr>
          <w:sz w:val="16"/>
        </w:rPr>
        <w:t>adopción</w:t>
      </w:r>
      <w:r>
        <w:rPr>
          <w:spacing w:val="-5"/>
          <w:sz w:val="16"/>
        </w:rPr>
        <w:t xml:space="preserve"> </w:t>
      </w:r>
      <w:r>
        <w:rPr>
          <w:sz w:val="16"/>
        </w:rPr>
        <w:t>de</w:t>
      </w:r>
      <w:r>
        <w:rPr>
          <w:spacing w:val="-5"/>
          <w:sz w:val="16"/>
        </w:rPr>
        <w:t xml:space="preserve"> </w:t>
      </w:r>
      <w:r>
        <w:rPr>
          <w:sz w:val="16"/>
        </w:rPr>
        <w:t>otras</w:t>
      </w:r>
      <w:r>
        <w:rPr>
          <w:spacing w:val="-5"/>
          <w:sz w:val="16"/>
        </w:rPr>
        <w:t xml:space="preserve"> </w:t>
      </w:r>
      <w:r>
        <w:rPr>
          <w:sz w:val="16"/>
        </w:rPr>
        <w:t>medidas</w:t>
      </w:r>
      <w:r>
        <w:rPr>
          <w:spacing w:val="-5"/>
          <w:sz w:val="16"/>
        </w:rPr>
        <w:t xml:space="preserve"> </w:t>
      </w:r>
      <w:r>
        <w:rPr>
          <w:sz w:val="16"/>
        </w:rPr>
        <w:t>de</w:t>
      </w:r>
      <w:r>
        <w:rPr>
          <w:spacing w:val="-5"/>
          <w:sz w:val="16"/>
        </w:rPr>
        <w:t xml:space="preserve"> </w:t>
      </w:r>
      <w:r>
        <w:rPr>
          <w:sz w:val="16"/>
        </w:rPr>
        <w:t>implementación</w:t>
      </w:r>
      <w:r>
        <w:rPr>
          <w:spacing w:val="-5"/>
          <w:sz w:val="16"/>
        </w:rPr>
        <w:t xml:space="preserve"> </w:t>
      </w:r>
      <w:r>
        <w:rPr>
          <w:sz w:val="16"/>
        </w:rPr>
        <w:t>necesarias</w:t>
      </w:r>
      <w:r>
        <w:rPr>
          <w:spacing w:val="-5"/>
          <w:sz w:val="16"/>
        </w:rPr>
        <w:t xml:space="preserve"> </w:t>
      </w:r>
      <w:r>
        <w:rPr>
          <w:sz w:val="16"/>
        </w:rPr>
        <w:t>para</w:t>
      </w:r>
      <w:r>
        <w:rPr>
          <w:spacing w:val="-5"/>
          <w:sz w:val="16"/>
        </w:rPr>
        <w:t xml:space="preserve"> </w:t>
      </w:r>
      <w:r>
        <w:rPr>
          <w:sz w:val="16"/>
        </w:rPr>
        <w:t>abordar</w:t>
      </w:r>
      <w:r>
        <w:rPr>
          <w:spacing w:val="-5"/>
          <w:sz w:val="16"/>
        </w:rPr>
        <w:t xml:space="preserve"> </w:t>
      </w:r>
      <w:r>
        <w:rPr>
          <w:sz w:val="16"/>
        </w:rPr>
        <w:t>la</w:t>
      </w:r>
      <w:r>
        <w:rPr>
          <w:spacing w:val="-5"/>
          <w:sz w:val="16"/>
        </w:rPr>
        <w:t xml:space="preserve"> </w:t>
      </w:r>
      <w:r>
        <w:rPr>
          <w:sz w:val="16"/>
        </w:rPr>
        <w:t>discriminación</w:t>
      </w:r>
      <w:r>
        <w:rPr>
          <w:spacing w:val="-5"/>
          <w:sz w:val="16"/>
        </w:rPr>
        <w:t xml:space="preserve"> </w:t>
      </w:r>
      <w:r>
        <w:rPr>
          <w:sz w:val="16"/>
        </w:rPr>
        <w:t>estructural</w:t>
      </w:r>
      <w:r>
        <w:rPr>
          <w:spacing w:val="-5"/>
          <w:sz w:val="16"/>
        </w:rPr>
        <w:t xml:space="preserve"> </w:t>
      </w:r>
      <w:r>
        <w:rPr>
          <w:sz w:val="16"/>
        </w:rPr>
        <w:t>y</w:t>
      </w:r>
      <w:r>
        <w:rPr>
          <w:spacing w:val="-5"/>
          <w:sz w:val="16"/>
        </w:rPr>
        <w:t xml:space="preserve"> </w:t>
      </w:r>
      <w:r>
        <w:rPr>
          <w:sz w:val="16"/>
        </w:rPr>
        <w:t>avanzar</w:t>
      </w:r>
      <w:r>
        <w:rPr>
          <w:spacing w:val="-5"/>
          <w:sz w:val="16"/>
        </w:rPr>
        <w:t xml:space="preserve"> </w:t>
      </w:r>
      <w:r>
        <w:rPr>
          <w:sz w:val="16"/>
        </w:rPr>
        <w:t>hacia la igualdad. Esto debería incluir el uso de la evaluación del impacto de la igualdad en todos los aspectos del derecho y las políticas</w:t>
      </w:r>
      <w:r>
        <w:rPr>
          <w:spacing w:val="-3"/>
          <w:sz w:val="16"/>
        </w:rPr>
        <w:t xml:space="preserve"> </w:t>
      </w:r>
      <w:r>
        <w:rPr>
          <w:sz w:val="16"/>
        </w:rPr>
        <w:t>públicas</w:t>
      </w:r>
      <w:r>
        <w:rPr>
          <w:spacing w:val="-3"/>
          <w:sz w:val="16"/>
        </w:rPr>
        <w:t xml:space="preserve"> </w:t>
      </w:r>
      <w:r>
        <w:rPr>
          <w:sz w:val="16"/>
        </w:rPr>
        <w:t>para</w:t>
      </w:r>
      <w:r>
        <w:rPr>
          <w:spacing w:val="-3"/>
          <w:sz w:val="16"/>
        </w:rPr>
        <w:t xml:space="preserve"> </w:t>
      </w:r>
      <w:r>
        <w:rPr>
          <w:sz w:val="16"/>
        </w:rPr>
        <w:t>identificar</w:t>
      </w:r>
      <w:r>
        <w:rPr>
          <w:spacing w:val="-3"/>
          <w:sz w:val="16"/>
        </w:rPr>
        <w:t xml:space="preserve"> </w:t>
      </w:r>
      <w:r>
        <w:rPr>
          <w:sz w:val="16"/>
        </w:rPr>
        <w:t>y</w:t>
      </w:r>
      <w:r>
        <w:rPr>
          <w:spacing w:val="-3"/>
          <w:sz w:val="16"/>
        </w:rPr>
        <w:t xml:space="preserve"> </w:t>
      </w:r>
      <w:r>
        <w:rPr>
          <w:sz w:val="16"/>
        </w:rPr>
        <w:t>evitar</w:t>
      </w:r>
      <w:r>
        <w:rPr>
          <w:spacing w:val="-3"/>
          <w:sz w:val="16"/>
        </w:rPr>
        <w:t xml:space="preserve"> </w:t>
      </w:r>
      <w:r>
        <w:rPr>
          <w:sz w:val="16"/>
        </w:rPr>
        <w:t>cualquier</w:t>
      </w:r>
      <w:r>
        <w:rPr>
          <w:spacing w:val="-3"/>
          <w:sz w:val="16"/>
        </w:rPr>
        <w:t xml:space="preserve"> </w:t>
      </w:r>
      <w:r>
        <w:rPr>
          <w:sz w:val="16"/>
        </w:rPr>
        <w:t>impacto</w:t>
      </w:r>
      <w:r>
        <w:rPr>
          <w:spacing w:val="-3"/>
          <w:sz w:val="16"/>
        </w:rPr>
        <w:t xml:space="preserve"> </w:t>
      </w:r>
      <w:r>
        <w:rPr>
          <w:sz w:val="16"/>
        </w:rPr>
        <w:t>de</w:t>
      </w:r>
      <w:r>
        <w:rPr>
          <w:spacing w:val="-3"/>
          <w:sz w:val="16"/>
        </w:rPr>
        <w:t xml:space="preserve"> </w:t>
      </w:r>
      <w:r>
        <w:rPr>
          <w:sz w:val="16"/>
        </w:rPr>
        <w:t>políticas</w:t>
      </w:r>
      <w:r>
        <w:rPr>
          <w:spacing w:val="-3"/>
          <w:sz w:val="16"/>
        </w:rPr>
        <w:t xml:space="preserve"> </w:t>
      </w:r>
      <w:r>
        <w:rPr>
          <w:sz w:val="16"/>
        </w:rPr>
        <w:t>discriminatorias</w:t>
      </w:r>
      <w:r>
        <w:rPr>
          <w:spacing w:val="-3"/>
          <w:sz w:val="16"/>
        </w:rPr>
        <w:t xml:space="preserve"> </w:t>
      </w:r>
      <w:r>
        <w:rPr>
          <w:sz w:val="16"/>
        </w:rPr>
        <w:t>antes</w:t>
      </w:r>
      <w:r>
        <w:rPr>
          <w:spacing w:val="-3"/>
          <w:sz w:val="16"/>
        </w:rPr>
        <w:t xml:space="preserve"> </w:t>
      </w:r>
      <w:r>
        <w:rPr>
          <w:sz w:val="16"/>
        </w:rPr>
        <w:t>de</w:t>
      </w:r>
      <w:r>
        <w:rPr>
          <w:spacing w:val="-3"/>
          <w:sz w:val="16"/>
        </w:rPr>
        <w:t xml:space="preserve"> </w:t>
      </w:r>
      <w:r>
        <w:rPr>
          <w:sz w:val="16"/>
        </w:rPr>
        <w:t>que</w:t>
      </w:r>
      <w:r>
        <w:rPr>
          <w:spacing w:val="-3"/>
          <w:sz w:val="16"/>
        </w:rPr>
        <w:t xml:space="preserve"> </w:t>
      </w:r>
      <w:r>
        <w:rPr>
          <w:sz w:val="16"/>
        </w:rPr>
        <w:t>ocurran</w:t>
      </w:r>
      <w:r>
        <w:rPr>
          <w:spacing w:val="-3"/>
          <w:sz w:val="16"/>
        </w:rPr>
        <w:t xml:space="preserve"> </w:t>
      </w:r>
      <w:r>
        <w:rPr>
          <w:sz w:val="16"/>
        </w:rPr>
        <w:t>y</w:t>
      </w:r>
      <w:r>
        <w:rPr>
          <w:spacing w:val="-3"/>
          <w:sz w:val="16"/>
        </w:rPr>
        <w:t xml:space="preserve"> </w:t>
      </w:r>
      <w:r>
        <w:rPr>
          <w:sz w:val="16"/>
        </w:rPr>
        <w:t>para</w:t>
      </w:r>
      <w:r>
        <w:rPr>
          <w:spacing w:val="-3"/>
          <w:sz w:val="16"/>
        </w:rPr>
        <w:t xml:space="preserve"> </w:t>
      </w:r>
      <w:r>
        <w:rPr>
          <w:sz w:val="16"/>
        </w:rPr>
        <w:t>evaluar</w:t>
      </w:r>
      <w:r>
        <w:rPr>
          <w:spacing w:val="-3"/>
          <w:sz w:val="16"/>
        </w:rPr>
        <w:t xml:space="preserve"> </w:t>
      </w:r>
      <w:r>
        <w:rPr>
          <w:sz w:val="16"/>
        </w:rPr>
        <w:t>y garantizar los impactos necesarios para lograr la igualdad.</w:t>
      </w:r>
    </w:p>
    <w:p w14:paraId="6D976D05" w14:textId="77777777" w:rsidR="0014798C" w:rsidRDefault="004E1F0B">
      <w:pPr>
        <w:pStyle w:val="Textoindependiente"/>
        <w:spacing w:before="100"/>
        <w:rPr>
          <w:sz w:val="20"/>
        </w:rPr>
      </w:pPr>
      <w:r>
        <w:rPr>
          <w:noProof/>
        </w:rPr>
        <w:drawing>
          <wp:anchor distT="0" distB="0" distL="0" distR="0" simplePos="0" relativeHeight="251658506" behindDoc="1" locked="0" layoutInCell="1" allowOverlap="1" wp14:anchorId="0C6D79F1" wp14:editId="5EEBD66F">
            <wp:simplePos x="0" y="0"/>
            <wp:positionH relativeFrom="page">
              <wp:posOffset>826632</wp:posOffset>
            </wp:positionH>
            <wp:positionV relativeFrom="paragraph">
              <wp:posOffset>225098</wp:posOffset>
            </wp:positionV>
            <wp:extent cx="931001" cy="35813"/>
            <wp:effectExtent l="0" t="0" r="0" b="0"/>
            <wp:wrapTopAndBottom/>
            <wp:docPr id="19" name="Image 1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9" name="Image 19"/>
                    <pic:cNvPicPr/>
                  </pic:nvPicPr>
                  <pic:blipFill>
                    <a:blip r:embed="rId25" cstate="print"/>
                    <a:stretch>
                      <a:fillRect/>
                    </a:stretch>
                  </pic:blipFill>
                  <pic:spPr>
                    <a:xfrm>
                      <a:off x="0" y="0"/>
                      <a:ext cx="931001" cy="35813"/>
                    </a:xfrm>
                    <a:prstGeom prst="rect">
                      <a:avLst/>
                    </a:prstGeom>
                  </pic:spPr>
                </pic:pic>
              </a:graphicData>
            </a:graphic>
          </wp:anchor>
        </w:drawing>
      </w:r>
    </w:p>
    <w:p w14:paraId="653E3E7E" w14:textId="77777777" w:rsidR="0014798C" w:rsidRDefault="004E1F0B">
      <w:pPr>
        <w:pStyle w:val="Prrafodelista"/>
        <w:numPr>
          <w:ilvl w:val="0"/>
          <w:numId w:val="98"/>
        </w:numPr>
        <w:tabs>
          <w:tab w:val="left" w:pos="1214"/>
        </w:tabs>
        <w:spacing w:before="102"/>
        <w:ind w:hanging="109"/>
        <w:rPr>
          <w:sz w:val="13"/>
        </w:rPr>
      </w:pPr>
      <w:r>
        <w:rPr>
          <w:sz w:val="13"/>
        </w:rPr>
        <w:t>Por</w:t>
      </w:r>
      <w:r>
        <w:rPr>
          <w:spacing w:val="-1"/>
          <w:sz w:val="13"/>
        </w:rPr>
        <w:t xml:space="preserve"> </w:t>
      </w:r>
      <w:r>
        <w:rPr>
          <w:sz w:val="13"/>
        </w:rPr>
        <w:t>ejemplo,</w:t>
      </w:r>
      <w:r>
        <w:rPr>
          <w:spacing w:val="-1"/>
          <w:sz w:val="13"/>
        </w:rPr>
        <w:t xml:space="preserve"> </w:t>
      </w:r>
      <w:r>
        <w:rPr>
          <w:sz w:val="13"/>
        </w:rPr>
        <w:t>en Sudáfrica,</w:t>
      </w:r>
      <w:r>
        <w:rPr>
          <w:spacing w:val="-1"/>
          <w:sz w:val="13"/>
        </w:rPr>
        <w:t xml:space="preserve"> </w:t>
      </w:r>
      <w:r>
        <w:rPr>
          <w:sz w:val="13"/>
        </w:rPr>
        <w:t>la Ley</w:t>
      </w:r>
      <w:r>
        <w:rPr>
          <w:spacing w:val="-1"/>
          <w:sz w:val="13"/>
        </w:rPr>
        <w:t xml:space="preserve"> </w:t>
      </w:r>
      <w:r>
        <w:rPr>
          <w:sz w:val="13"/>
        </w:rPr>
        <w:t>de Promoción</w:t>
      </w:r>
      <w:r>
        <w:rPr>
          <w:spacing w:val="-1"/>
          <w:sz w:val="13"/>
        </w:rPr>
        <w:t xml:space="preserve"> </w:t>
      </w:r>
      <w:r>
        <w:rPr>
          <w:sz w:val="13"/>
        </w:rPr>
        <w:t>de la</w:t>
      </w:r>
      <w:r>
        <w:rPr>
          <w:spacing w:val="-1"/>
          <w:sz w:val="13"/>
        </w:rPr>
        <w:t xml:space="preserve"> </w:t>
      </w:r>
      <w:r>
        <w:rPr>
          <w:sz w:val="13"/>
        </w:rPr>
        <w:t>Igualdad y</w:t>
      </w:r>
      <w:r>
        <w:rPr>
          <w:spacing w:val="-1"/>
          <w:sz w:val="13"/>
        </w:rPr>
        <w:t xml:space="preserve"> </w:t>
      </w:r>
      <w:r>
        <w:rPr>
          <w:sz w:val="13"/>
        </w:rPr>
        <w:t>Prevención de</w:t>
      </w:r>
      <w:r>
        <w:rPr>
          <w:spacing w:val="-1"/>
          <w:sz w:val="13"/>
        </w:rPr>
        <w:t xml:space="preserve"> </w:t>
      </w:r>
      <w:r>
        <w:rPr>
          <w:sz w:val="13"/>
        </w:rPr>
        <w:t>la Discriminación</w:t>
      </w:r>
      <w:r>
        <w:rPr>
          <w:spacing w:val="-1"/>
          <w:sz w:val="13"/>
        </w:rPr>
        <w:t xml:space="preserve"> </w:t>
      </w:r>
      <w:r>
        <w:rPr>
          <w:sz w:val="13"/>
        </w:rPr>
        <w:t>Injusta de</w:t>
      </w:r>
      <w:r>
        <w:rPr>
          <w:spacing w:val="-1"/>
          <w:sz w:val="13"/>
        </w:rPr>
        <w:t xml:space="preserve"> </w:t>
      </w:r>
      <w:r>
        <w:rPr>
          <w:sz w:val="13"/>
        </w:rPr>
        <w:t>2000 no</w:t>
      </w:r>
      <w:r>
        <w:rPr>
          <w:spacing w:val="-1"/>
          <w:sz w:val="13"/>
        </w:rPr>
        <w:t xml:space="preserve"> </w:t>
      </w:r>
      <w:r>
        <w:rPr>
          <w:sz w:val="13"/>
        </w:rPr>
        <w:t>se aplica</w:t>
      </w:r>
      <w:r>
        <w:rPr>
          <w:spacing w:val="-1"/>
          <w:sz w:val="13"/>
        </w:rPr>
        <w:t xml:space="preserve"> </w:t>
      </w:r>
      <w:r>
        <w:rPr>
          <w:sz w:val="13"/>
        </w:rPr>
        <w:t xml:space="preserve">en </w:t>
      </w:r>
      <w:r>
        <w:rPr>
          <w:spacing w:val="-5"/>
          <w:sz w:val="13"/>
        </w:rPr>
        <w:t>el</w:t>
      </w:r>
    </w:p>
    <w:p w14:paraId="1FF05459" w14:textId="77777777" w:rsidR="0014798C" w:rsidRDefault="004E1F0B">
      <w:pPr>
        <w:spacing w:before="31" w:line="288" w:lineRule="auto"/>
        <w:ind w:left="1369" w:right="1840"/>
        <w:rPr>
          <w:sz w:val="13"/>
        </w:rPr>
      </w:pPr>
      <w:r>
        <w:rPr>
          <w:sz w:val="13"/>
        </w:rPr>
        <w:t>área</w:t>
      </w:r>
      <w:r>
        <w:rPr>
          <w:spacing w:val="8"/>
          <w:sz w:val="13"/>
        </w:rPr>
        <w:t xml:space="preserve"> </w:t>
      </w:r>
      <w:r>
        <w:rPr>
          <w:sz w:val="13"/>
        </w:rPr>
        <w:t>de</w:t>
      </w:r>
      <w:r>
        <w:rPr>
          <w:spacing w:val="8"/>
          <w:sz w:val="13"/>
        </w:rPr>
        <w:t xml:space="preserve"> </w:t>
      </w:r>
      <w:r>
        <w:rPr>
          <w:sz w:val="13"/>
        </w:rPr>
        <w:t>empleo.</w:t>
      </w:r>
      <w:r>
        <w:rPr>
          <w:spacing w:val="10"/>
          <w:sz w:val="13"/>
        </w:rPr>
        <w:t xml:space="preserve"> </w:t>
      </w:r>
      <w:r>
        <w:rPr>
          <w:sz w:val="13"/>
        </w:rPr>
        <w:t>Esta</w:t>
      </w:r>
      <w:r>
        <w:rPr>
          <w:spacing w:val="8"/>
          <w:sz w:val="13"/>
        </w:rPr>
        <w:t xml:space="preserve"> </w:t>
      </w:r>
      <w:r>
        <w:rPr>
          <w:sz w:val="13"/>
        </w:rPr>
        <w:t>esfera</w:t>
      </w:r>
      <w:r>
        <w:rPr>
          <w:spacing w:val="8"/>
          <w:sz w:val="13"/>
        </w:rPr>
        <w:t xml:space="preserve"> </w:t>
      </w:r>
      <w:r>
        <w:rPr>
          <w:sz w:val="13"/>
        </w:rPr>
        <w:t>está</w:t>
      </w:r>
      <w:r>
        <w:rPr>
          <w:spacing w:val="8"/>
          <w:sz w:val="13"/>
        </w:rPr>
        <w:t xml:space="preserve"> </w:t>
      </w:r>
      <w:r>
        <w:rPr>
          <w:sz w:val="13"/>
        </w:rPr>
        <w:t>regulada</w:t>
      </w:r>
      <w:r>
        <w:rPr>
          <w:spacing w:val="8"/>
          <w:sz w:val="13"/>
        </w:rPr>
        <w:t xml:space="preserve"> </w:t>
      </w:r>
      <w:r>
        <w:rPr>
          <w:sz w:val="13"/>
        </w:rPr>
        <w:t>por</w:t>
      </w:r>
      <w:r>
        <w:rPr>
          <w:spacing w:val="8"/>
          <w:sz w:val="13"/>
        </w:rPr>
        <w:t xml:space="preserve"> </w:t>
      </w:r>
      <w:r>
        <w:rPr>
          <w:sz w:val="13"/>
        </w:rPr>
        <w:t>la</w:t>
      </w:r>
      <w:r>
        <w:rPr>
          <w:spacing w:val="8"/>
          <w:sz w:val="13"/>
        </w:rPr>
        <w:t xml:space="preserve"> </w:t>
      </w:r>
      <w:r>
        <w:rPr>
          <w:sz w:val="13"/>
        </w:rPr>
        <w:t>Ley</w:t>
      </w:r>
      <w:r>
        <w:rPr>
          <w:spacing w:val="8"/>
          <w:sz w:val="13"/>
        </w:rPr>
        <w:t xml:space="preserve"> </w:t>
      </w:r>
      <w:r>
        <w:rPr>
          <w:sz w:val="13"/>
        </w:rPr>
        <w:t>de</w:t>
      </w:r>
      <w:r>
        <w:rPr>
          <w:spacing w:val="8"/>
          <w:sz w:val="13"/>
        </w:rPr>
        <w:t xml:space="preserve"> </w:t>
      </w:r>
      <w:r>
        <w:rPr>
          <w:sz w:val="13"/>
        </w:rPr>
        <w:t>Equidad</w:t>
      </w:r>
      <w:r>
        <w:rPr>
          <w:spacing w:val="8"/>
          <w:sz w:val="13"/>
        </w:rPr>
        <w:t xml:space="preserve"> </w:t>
      </w:r>
      <w:r>
        <w:rPr>
          <w:sz w:val="13"/>
        </w:rPr>
        <w:t>en</w:t>
      </w:r>
      <w:r>
        <w:rPr>
          <w:spacing w:val="8"/>
          <w:sz w:val="13"/>
        </w:rPr>
        <w:t xml:space="preserve"> </w:t>
      </w:r>
      <w:r>
        <w:rPr>
          <w:sz w:val="13"/>
        </w:rPr>
        <w:t>el</w:t>
      </w:r>
      <w:r>
        <w:rPr>
          <w:spacing w:val="8"/>
          <w:sz w:val="13"/>
        </w:rPr>
        <w:t xml:space="preserve"> </w:t>
      </w:r>
      <w:r>
        <w:rPr>
          <w:sz w:val="13"/>
        </w:rPr>
        <w:t>Empleo</w:t>
      </w:r>
      <w:r>
        <w:rPr>
          <w:spacing w:val="8"/>
          <w:sz w:val="13"/>
        </w:rPr>
        <w:t xml:space="preserve"> </w:t>
      </w:r>
      <w:r>
        <w:rPr>
          <w:sz w:val="13"/>
        </w:rPr>
        <w:t>de</w:t>
      </w:r>
      <w:r>
        <w:rPr>
          <w:spacing w:val="8"/>
          <w:sz w:val="13"/>
        </w:rPr>
        <w:t xml:space="preserve"> </w:t>
      </w:r>
      <w:r>
        <w:rPr>
          <w:sz w:val="13"/>
        </w:rPr>
        <w:t>1998,</w:t>
      </w:r>
      <w:r>
        <w:rPr>
          <w:spacing w:val="10"/>
          <w:sz w:val="13"/>
        </w:rPr>
        <w:t xml:space="preserve"> </w:t>
      </w:r>
      <w:r>
        <w:rPr>
          <w:sz w:val="13"/>
        </w:rPr>
        <w:t>que</w:t>
      </w:r>
      <w:r>
        <w:rPr>
          <w:spacing w:val="8"/>
          <w:sz w:val="13"/>
        </w:rPr>
        <w:t xml:space="preserve"> </w:t>
      </w:r>
      <w:r>
        <w:rPr>
          <w:sz w:val="13"/>
        </w:rPr>
        <w:t>establece</w:t>
      </w:r>
      <w:r>
        <w:rPr>
          <w:spacing w:val="8"/>
          <w:sz w:val="13"/>
        </w:rPr>
        <w:t xml:space="preserve"> </w:t>
      </w:r>
      <w:r>
        <w:rPr>
          <w:sz w:val="13"/>
        </w:rPr>
        <w:t>garantías</w:t>
      </w:r>
      <w:r>
        <w:rPr>
          <w:spacing w:val="8"/>
          <w:sz w:val="13"/>
        </w:rPr>
        <w:t xml:space="preserve"> </w:t>
      </w:r>
      <w:r>
        <w:rPr>
          <w:sz w:val="13"/>
        </w:rPr>
        <w:t>complementarias</w:t>
      </w:r>
      <w:r>
        <w:rPr>
          <w:spacing w:val="8"/>
          <w:sz w:val="13"/>
        </w:rPr>
        <w:t xml:space="preserve"> </w:t>
      </w:r>
      <w:r>
        <w:rPr>
          <w:sz w:val="13"/>
        </w:rPr>
        <w:t>de</w:t>
      </w:r>
      <w:r>
        <w:rPr>
          <w:spacing w:val="8"/>
          <w:sz w:val="13"/>
        </w:rPr>
        <w:t xml:space="preserve"> </w:t>
      </w:r>
      <w:r>
        <w:rPr>
          <w:sz w:val="13"/>
        </w:rPr>
        <w:t>igualdad</w:t>
      </w:r>
      <w:r>
        <w:rPr>
          <w:spacing w:val="40"/>
          <w:sz w:val="13"/>
        </w:rPr>
        <w:t xml:space="preserve"> </w:t>
      </w:r>
      <w:r>
        <w:rPr>
          <w:sz w:val="13"/>
        </w:rPr>
        <w:t>y no discriminación.</w:t>
      </w:r>
      <w:r>
        <w:rPr>
          <w:spacing w:val="14"/>
          <w:sz w:val="13"/>
        </w:rPr>
        <w:t xml:space="preserve"> </w:t>
      </w:r>
      <w:r>
        <w:rPr>
          <w:sz w:val="13"/>
        </w:rPr>
        <w:t>En Finlandia, la Ley de No Discriminación de 2014 no incluye expresamente el “género” como motivo de discriminación.</w:t>
      </w:r>
    </w:p>
    <w:p w14:paraId="61E09560" w14:textId="77777777" w:rsidR="0014798C" w:rsidRDefault="004E1F0B">
      <w:pPr>
        <w:spacing w:before="1" w:line="288" w:lineRule="auto"/>
        <w:ind w:left="1366" w:right="1725"/>
        <w:rPr>
          <w:sz w:val="13"/>
        </w:rPr>
      </w:pPr>
      <w:r>
        <w:rPr>
          <w:sz w:val="13"/>
        </w:rPr>
        <w:t>Sin</w:t>
      </w:r>
      <w:r>
        <w:rPr>
          <w:spacing w:val="7"/>
          <w:sz w:val="13"/>
        </w:rPr>
        <w:t xml:space="preserve"> </w:t>
      </w:r>
      <w:r>
        <w:rPr>
          <w:sz w:val="13"/>
        </w:rPr>
        <w:t>embargo,</w:t>
      </w:r>
      <w:r>
        <w:rPr>
          <w:spacing w:val="9"/>
          <w:sz w:val="13"/>
        </w:rPr>
        <w:t xml:space="preserve"> </w:t>
      </w:r>
      <w:r>
        <w:rPr>
          <w:sz w:val="13"/>
        </w:rPr>
        <w:t>según</w:t>
      </w:r>
      <w:r>
        <w:rPr>
          <w:spacing w:val="7"/>
          <w:sz w:val="13"/>
        </w:rPr>
        <w:t xml:space="preserve"> </w:t>
      </w:r>
      <w:r>
        <w:rPr>
          <w:sz w:val="13"/>
        </w:rPr>
        <w:t>el</w:t>
      </w:r>
      <w:r>
        <w:rPr>
          <w:spacing w:val="7"/>
          <w:sz w:val="13"/>
        </w:rPr>
        <w:t xml:space="preserve"> </w:t>
      </w:r>
      <w:r>
        <w:rPr>
          <w:sz w:val="13"/>
        </w:rPr>
        <w:t>artículo</w:t>
      </w:r>
      <w:r>
        <w:rPr>
          <w:spacing w:val="7"/>
          <w:sz w:val="13"/>
        </w:rPr>
        <w:t xml:space="preserve"> </w:t>
      </w:r>
      <w:r>
        <w:rPr>
          <w:sz w:val="13"/>
        </w:rPr>
        <w:t>3</w:t>
      </w:r>
      <w:r>
        <w:rPr>
          <w:spacing w:val="7"/>
          <w:sz w:val="13"/>
        </w:rPr>
        <w:t xml:space="preserve"> </w:t>
      </w:r>
      <w:r>
        <w:rPr>
          <w:sz w:val="13"/>
        </w:rPr>
        <w:t>(1)</w:t>
      </w:r>
      <w:r>
        <w:rPr>
          <w:spacing w:val="7"/>
          <w:sz w:val="13"/>
        </w:rPr>
        <w:t xml:space="preserve"> </w:t>
      </w:r>
      <w:r>
        <w:rPr>
          <w:sz w:val="13"/>
        </w:rPr>
        <w:t>de</w:t>
      </w:r>
      <w:r>
        <w:rPr>
          <w:spacing w:val="7"/>
          <w:sz w:val="13"/>
        </w:rPr>
        <w:t xml:space="preserve"> </w:t>
      </w:r>
      <w:r>
        <w:rPr>
          <w:sz w:val="13"/>
        </w:rPr>
        <w:t>la</w:t>
      </w:r>
      <w:r>
        <w:rPr>
          <w:spacing w:val="7"/>
          <w:sz w:val="13"/>
        </w:rPr>
        <w:t xml:space="preserve"> </w:t>
      </w:r>
      <w:r>
        <w:rPr>
          <w:sz w:val="13"/>
        </w:rPr>
        <w:t>ley,</w:t>
      </w:r>
      <w:r>
        <w:rPr>
          <w:spacing w:val="9"/>
          <w:sz w:val="13"/>
        </w:rPr>
        <w:t xml:space="preserve"> </w:t>
      </w:r>
      <w:r>
        <w:rPr>
          <w:sz w:val="13"/>
        </w:rPr>
        <w:t>las</w:t>
      </w:r>
      <w:r>
        <w:rPr>
          <w:spacing w:val="7"/>
          <w:sz w:val="13"/>
        </w:rPr>
        <w:t xml:space="preserve"> </w:t>
      </w:r>
      <w:r>
        <w:rPr>
          <w:sz w:val="13"/>
        </w:rPr>
        <w:t>disposiciones</w:t>
      </w:r>
      <w:r>
        <w:rPr>
          <w:spacing w:val="7"/>
          <w:sz w:val="13"/>
        </w:rPr>
        <w:t xml:space="preserve"> </w:t>
      </w:r>
      <w:r>
        <w:rPr>
          <w:sz w:val="13"/>
        </w:rPr>
        <w:t>sobre</w:t>
      </w:r>
      <w:r>
        <w:rPr>
          <w:spacing w:val="7"/>
          <w:sz w:val="13"/>
        </w:rPr>
        <w:t xml:space="preserve"> </w:t>
      </w:r>
      <w:r>
        <w:rPr>
          <w:sz w:val="13"/>
        </w:rPr>
        <w:t>la</w:t>
      </w:r>
      <w:r>
        <w:rPr>
          <w:spacing w:val="7"/>
          <w:sz w:val="13"/>
        </w:rPr>
        <w:t xml:space="preserve"> </w:t>
      </w:r>
      <w:r>
        <w:rPr>
          <w:sz w:val="13"/>
        </w:rPr>
        <w:t>prohibición</w:t>
      </w:r>
      <w:r>
        <w:rPr>
          <w:spacing w:val="7"/>
          <w:sz w:val="13"/>
        </w:rPr>
        <w:t xml:space="preserve"> </w:t>
      </w:r>
      <w:r>
        <w:rPr>
          <w:sz w:val="13"/>
        </w:rPr>
        <w:t>de</w:t>
      </w:r>
      <w:r>
        <w:rPr>
          <w:spacing w:val="7"/>
          <w:sz w:val="13"/>
        </w:rPr>
        <w:t xml:space="preserve"> </w:t>
      </w:r>
      <w:r>
        <w:rPr>
          <w:sz w:val="13"/>
        </w:rPr>
        <w:t>la</w:t>
      </w:r>
      <w:r>
        <w:rPr>
          <w:spacing w:val="7"/>
          <w:sz w:val="13"/>
        </w:rPr>
        <w:t xml:space="preserve"> </w:t>
      </w:r>
      <w:r>
        <w:rPr>
          <w:sz w:val="13"/>
        </w:rPr>
        <w:t>discriminación</w:t>
      </w:r>
      <w:r>
        <w:rPr>
          <w:spacing w:val="9"/>
          <w:sz w:val="13"/>
        </w:rPr>
        <w:t xml:space="preserve"> </w:t>
      </w:r>
      <w:r>
        <w:rPr>
          <w:sz w:val="13"/>
        </w:rPr>
        <w:t>por</w:t>
      </w:r>
      <w:r>
        <w:rPr>
          <w:spacing w:val="7"/>
          <w:sz w:val="13"/>
        </w:rPr>
        <w:t xml:space="preserve"> </w:t>
      </w:r>
      <w:r>
        <w:rPr>
          <w:sz w:val="13"/>
        </w:rPr>
        <w:t>motivos</w:t>
      </w:r>
      <w:r>
        <w:rPr>
          <w:spacing w:val="7"/>
          <w:sz w:val="13"/>
        </w:rPr>
        <w:t xml:space="preserve"> </w:t>
      </w:r>
      <w:r>
        <w:rPr>
          <w:sz w:val="13"/>
        </w:rPr>
        <w:t>de</w:t>
      </w:r>
      <w:r>
        <w:rPr>
          <w:spacing w:val="7"/>
          <w:sz w:val="13"/>
        </w:rPr>
        <w:t xml:space="preserve"> </w:t>
      </w:r>
      <w:r>
        <w:rPr>
          <w:sz w:val="13"/>
        </w:rPr>
        <w:t>género</w:t>
      </w:r>
      <w:r>
        <w:rPr>
          <w:spacing w:val="7"/>
          <w:sz w:val="13"/>
        </w:rPr>
        <w:t xml:space="preserve"> </w:t>
      </w:r>
      <w:r>
        <w:rPr>
          <w:sz w:val="13"/>
        </w:rPr>
        <w:t>y</w:t>
      </w:r>
      <w:r>
        <w:rPr>
          <w:spacing w:val="7"/>
          <w:sz w:val="13"/>
        </w:rPr>
        <w:t xml:space="preserve"> </w:t>
      </w:r>
      <w:r>
        <w:rPr>
          <w:sz w:val="13"/>
        </w:rPr>
        <w:t>la</w:t>
      </w:r>
      <w:r>
        <w:rPr>
          <w:spacing w:val="7"/>
          <w:sz w:val="13"/>
        </w:rPr>
        <w:t xml:space="preserve"> </w:t>
      </w:r>
      <w:r>
        <w:rPr>
          <w:sz w:val="13"/>
        </w:rPr>
        <w:t>promoción</w:t>
      </w:r>
      <w:r>
        <w:rPr>
          <w:spacing w:val="7"/>
          <w:sz w:val="13"/>
        </w:rPr>
        <w:t xml:space="preserve"> </w:t>
      </w:r>
      <w:r>
        <w:rPr>
          <w:sz w:val="13"/>
        </w:rPr>
        <w:t>de</w:t>
      </w:r>
      <w:r>
        <w:rPr>
          <w:spacing w:val="40"/>
          <w:sz w:val="13"/>
        </w:rPr>
        <w:t xml:space="preserve"> </w:t>
      </w:r>
      <w:r>
        <w:rPr>
          <w:sz w:val="13"/>
        </w:rPr>
        <w:t>la igualdad de género se rigen por la Ley sobre la igualdad entre mujeres y hombres de 1986.</w:t>
      </w:r>
    </w:p>
    <w:p w14:paraId="7FCF62CE" w14:textId="77777777" w:rsidR="0014798C" w:rsidRDefault="004E1F0B">
      <w:pPr>
        <w:pStyle w:val="Prrafodelista"/>
        <w:numPr>
          <w:ilvl w:val="0"/>
          <w:numId w:val="98"/>
        </w:numPr>
        <w:tabs>
          <w:tab w:val="left" w:pos="1216"/>
          <w:tab w:val="left" w:pos="1366"/>
        </w:tabs>
        <w:spacing w:before="57" w:line="288" w:lineRule="auto"/>
        <w:ind w:left="1366" w:right="1695" w:hanging="259"/>
        <w:rPr>
          <w:sz w:val="13"/>
        </w:rPr>
      </w:pPr>
      <w:r>
        <w:rPr>
          <w:sz w:val="13"/>
        </w:rPr>
        <w:t>Por ejemplo, las normas procesales que regulan la carga de la prueba en casos de discriminación pueden incluirse en códigos de procedimiento civil o</w:t>
      </w:r>
      <w:r>
        <w:rPr>
          <w:spacing w:val="40"/>
          <w:sz w:val="13"/>
        </w:rPr>
        <w:t xml:space="preserve"> </w:t>
      </w:r>
      <w:r>
        <w:rPr>
          <w:sz w:val="13"/>
        </w:rPr>
        <w:t>en reglamentos que rigen la prueba.</w:t>
      </w:r>
    </w:p>
    <w:p w14:paraId="520E7E5B" w14:textId="77777777" w:rsidR="0014798C" w:rsidRDefault="0014798C">
      <w:pPr>
        <w:pStyle w:val="Textoindependiente"/>
        <w:rPr>
          <w:sz w:val="17"/>
        </w:rPr>
      </w:pPr>
    </w:p>
    <w:p w14:paraId="11125D47" w14:textId="77777777" w:rsidR="0014798C" w:rsidRDefault="0014798C">
      <w:pPr>
        <w:pStyle w:val="Textoindependiente"/>
        <w:rPr>
          <w:sz w:val="17"/>
        </w:rPr>
      </w:pPr>
    </w:p>
    <w:p w14:paraId="089115B5" w14:textId="77777777" w:rsidR="0014798C" w:rsidRDefault="0014798C">
      <w:pPr>
        <w:pStyle w:val="Textoindependiente"/>
        <w:rPr>
          <w:sz w:val="17"/>
        </w:rPr>
      </w:pPr>
    </w:p>
    <w:p w14:paraId="40FA7AF9" w14:textId="77777777" w:rsidR="0014798C" w:rsidRDefault="0014798C">
      <w:pPr>
        <w:pStyle w:val="Textoindependiente"/>
        <w:spacing w:before="129"/>
        <w:rPr>
          <w:sz w:val="17"/>
        </w:rPr>
      </w:pPr>
    </w:p>
    <w:p w14:paraId="644C8177" w14:textId="77777777" w:rsidR="0014798C" w:rsidRDefault="004E1F0B">
      <w:pPr>
        <w:ind w:right="732"/>
        <w:jc w:val="right"/>
        <w:rPr>
          <w:sz w:val="17"/>
        </w:rPr>
      </w:pPr>
      <w:r>
        <w:rPr>
          <w:spacing w:val="-5"/>
          <w:sz w:val="17"/>
        </w:rPr>
        <w:t>xi</w:t>
      </w:r>
    </w:p>
    <w:p w14:paraId="660F985B" w14:textId="77777777" w:rsidR="0014798C" w:rsidRDefault="0014798C">
      <w:pPr>
        <w:jc w:val="right"/>
        <w:rPr>
          <w:sz w:val="17"/>
        </w:rPr>
        <w:sectPr w:rsidR="0014798C" w:rsidSect="00F265E4">
          <w:pgSz w:w="11900" w:h="16820"/>
          <w:pgMar w:top="340" w:right="0" w:bottom="280" w:left="200" w:header="121" w:footer="0" w:gutter="0"/>
          <w:cols w:space="720"/>
        </w:sectPr>
      </w:pPr>
    </w:p>
    <w:p w14:paraId="7F54CAFF" w14:textId="77777777" w:rsidR="0014798C" w:rsidRDefault="0014798C">
      <w:pPr>
        <w:pStyle w:val="Textoindependiente"/>
        <w:spacing w:before="85"/>
        <w:rPr>
          <w:sz w:val="12"/>
        </w:rPr>
      </w:pPr>
    </w:p>
    <w:p w14:paraId="72FCA713" w14:textId="66A4DB50" w:rsidR="0014798C" w:rsidRDefault="0067684B">
      <w:pPr>
        <w:ind w:left="1111"/>
        <w:rPr>
          <w:sz w:val="12"/>
        </w:rPr>
      </w:pPr>
      <w:r>
        <w:rPr>
          <w:color w:val="0075BF"/>
          <w:sz w:val="12"/>
        </w:rPr>
        <w:t>PROTECCIÓN</w:t>
      </w:r>
      <w:r>
        <w:rPr>
          <w:color w:val="0075BF"/>
          <w:spacing w:val="6"/>
          <w:sz w:val="12"/>
        </w:rPr>
        <w:t xml:space="preserve"> </w:t>
      </w:r>
      <w:r>
        <w:rPr>
          <w:color w:val="0075BF"/>
          <w:sz w:val="12"/>
        </w:rPr>
        <w:t>DE</w:t>
      </w:r>
      <w:r>
        <w:rPr>
          <w:color w:val="0075BF"/>
          <w:spacing w:val="7"/>
          <w:sz w:val="12"/>
        </w:rPr>
        <w:t xml:space="preserve"> </w:t>
      </w:r>
      <w:r>
        <w:rPr>
          <w:color w:val="0075BF"/>
          <w:sz w:val="12"/>
        </w:rPr>
        <w:t>LOS</w:t>
      </w:r>
      <w:r>
        <w:rPr>
          <w:color w:val="0075BF"/>
          <w:spacing w:val="8"/>
          <w:sz w:val="12"/>
        </w:rPr>
        <w:t xml:space="preserve"> </w:t>
      </w:r>
      <w:r>
        <w:rPr>
          <w:color w:val="0075BF"/>
          <w:sz w:val="12"/>
        </w:rPr>
        <w:t>DERECHOS</w:t>
      </w:r>
      <w:r>
        <w:rPr>
          <w:color w:val="0075BF"/>
          <w:spacing w:val="8"/>
          <w:sz w:val="12"/>
        </w:rPr>
        <w:t xml:space="preserve"> </w:t>
      </w:r>
      <w:r>
        <w:rPr>
          <w:color w:val="0075BF"/>
          <w:sz w:val="12"/>
        </w:rPr>
        <w:t>DE</w:t>
      </w:r>
      <w:r>
        <w:rPr>
          <w:color w:val="0075BF"/>
          <w:spacing w:val="6"/>
          <w:sz w:val="12"/>
        </w:rPr>
        <w:t xml:space="preserve"> </w:t>
      </w:r>
      <w:r>
        <w:rPr>
          <w:color w:val="0075BF"/>
          <w:sz w:val="12"/>
        </w:rPr>
        <w:t>LAS</w:t>
      </w:r>
      <w:r>
        <w:rPr>
          <w:color w:val="0075BF"/>
          <w:spacing w:val="7"/>
          <w:sz w:val="12"/>
        </w:rPr>
        <w:t xml:space="preserve"> </w:t>
      </w:r>
      <w:r>
        <w:rPr>
          <w:color w:val="0075BF"/>
          <w:sz w:val="12"/>
        </w:rPr>
        <w:t>MINORÍAS:</w:t>
      </w:r>
      <w:r>
        <w:rPr>
          <w:color w:val="0075BF"/>
          <w:spacing w:val="8"/>
          <w:sz w:val="12"/>
        </w:rPr>
        <w:t xml:space="preserve"> </w:t>
      </w:r>
      <w:r>
        <w:rPr>
          <w:color w:val="0075BF"/>
          <w:sz w:val="12"/>
        </w:rPr>
        <w:t>UNA</w:t>
      </w:r>
      <w:r>
        <w:rPr>
          <w:color w:val="0075BF"/>
          <w:spacing w:val="7"/>
          <w:sz w:val="12"/>
        </w:rPr>
        <w:t xml:space="preserve"> </w:t>
      </w:r>
      <w:r>
        <w:rPr>
          <w:color w:val="0075BF"/>
          <w:sz w:val="12"/>
        </w:rPr>
        <w:t>GUÍA</w:t>
      </w:r>
      <w:r>
        <w:rPr>
          <w:color w:val="0075BF"/>
          <w:spacing w:val="6"/>
          <w:sz w:val="12"/>
        </w:rPr>
        <w:t xml:space="preserve"> </w:t>
      </w:r>
      <w:r>
        <w:rPr>
          <w:color w:val="0075BF"/>
          <w:sz w:val="12"/>
        </w:rPr>
        <w:t>PRÁCTICA</w:t>
      </w:r>
      <w:r>
        <w:rPr>
          <w:color w:val="0075BF"/>
          <w:spacing w:val="7"/>
          <w:sz w:val="12"/>
        </w:rPr>
        <w:t xml:space="preserve"> </w:t>
      </w:r>
      <w:r>
        <w:rPr>
          <w:color w:val="0075BF"/>
          <w:sz w:val="12"/>
        </w:rPr>
        <w:t>PARA</w:t>
      </w:r>
      <w:r>
        <w:rPr>
          <w:color w:val="0075BF"/>
          <w:spacing w:val="8"/>
          <w:sz w:val="12"/>
        </w:rPr>
        <w:t xml:space="preserve"> </w:t>
      </w:r>
      <w:r>
        <w:rPr>
          <w:color w:val="0075BF"/>
          <w:sz w:val="12"/>
        </w:rPr>
        <w:t>DESARROLLAR</w:t>
      </w:r>
      <w:r>
        <w:rPr>
          <w:color w:val="0075BF"/>
          <w:spacing w:val="6"/>
          <w:sz w:val="12"/>
        </w:rPr>
        <w:t xml:space="preserve"> </w:t>
      </w:r>
      <w:r>
        <w:rPr>
          <w:color w:val="0075BF"/>
          <w:sz w:val="12"/>
        </w:rPr>
        <w:t>UNA</w:t>
      </w:r>
      <w:r>
        <w:rPr>
          <w:color w:val="0075BF"/>
          <w:spacing w:val="7"/>
          <w:sz w:val="12"/>
        </w:rPr>
        <w:t xml:space="preserve"> </w:t>
      </w:r>
      <w:r>
        <w:rPr>
          <w:color w:val="0075BF"/>
          <w:sz w:val="12"/>
        </w:rPr>
        <w:t>LEGISLACIÓN</w:t>
      </w:r>
      <w:r>
        <w:rPr>
          <w:color w:val="0075BF"/>
          <w:spacing w:val="8"/>
          <w:sz w:val="12"/>
        </w:rPr>
        <w:t xml:space="preserve"> </w:t>
      </w:r>
      <w:r>
        <w:rPr>
          <w:color w:val="0075BF"/>
          <w:sz w:val="12"/>
        </w:rPr>
        <w:t>INTEGRAL</w:t>
      </w:r>
      <w:r>
        <w:rPr>
          <w:color w:val="0075BF"/>
          <w:spacing w:val="7"/>
          <w:sz w:val="12"/>
        </w:rPr>
        <w:t xml:space="preserve"> </w:t>
      </w:r>
      <w:r>
        <w:rPr>
          <w:color w:val="0075BF"/>
          <w:sz w:val="12"/>
        </w:rPr>
        <w:t>CONTRA</w:t>
      </w:r>
      <w:r>
        <w:rPr>
          <w:color w:val="0075BF"/>
          <w:spacing w:val="6"/>
          <w:sz w:val="12"/>
        </w:rPr>
        <w:t xml:space="preserve"> </w:t>
      </w:r>
      <w:r>
        <w:rPr>
          <w:color w:val="0075BF"/>
          <w:sz w:val="12"/>
        </w:rPr>
        <w:t>LA</w:t>
      </w:r>
      <w:r>
        <w:rPr>
          <w:color w:val="0075BF"/>
          <w:spacing w:val="7"/>
          <w:sz w:val="12"/>
        </w:rPr>
        <w:t xml:space="preserve"> </w:t>
      </w:r>
      <w:r>
        <w:rPr>
          <w:color w:val="0075BF"/>
          <w:spacing w:val="-2"/>
          <w:sz w:val="12"/>
        </w:rPr>
        <w:t>DISCRIMINACIÓN</w:t>
      </w:r>
    </w:p>
    <w:p w14:paraId="61A26947" w14:textId="77777777" w:rsidR="0014798C" w:rsidRDefault="0014798C">
      <w:pPr>
        <w:pStyle w:val="Textoindependiente"/>
        <w:rPr>
          <w:sz w:val="28"/>
        </w:rPr>
      </w:pPr>
    </w:p>
    <w:p w14:paraId="2EADBFDB" w14:textId="77777777" w:rsidR="0014798C" w:rsidRDefault="0014798C">
      <w:pPr>
        <w:pStyle w:val="Textoindependiente"/>
        <w:spacing w:before="304"/>
        <w:rPr>
          <w:sz w:val="28"/>
        </w:rPr>
      </w:pPr>
    </w:p>
    <w:p w14:paraId="5AA60016" w14:textId="77777777" w:rsidR="0014798C" w:rsidRDefault="004E1F0B">
      <w:pPr>
        <w:numPr>
          <w:ilvl w:val="0"/>
          <w:numId w:val="97"/>
        </w:numPr>
        <w:tabs>
          <w:tab w:val="left" w:pos="1441"/>
        </w:tabs>
        <w:ind w:left="1441" w:hanging="341"/>
        <w:rPr>
          <w:color w:val="0075BF"/>
          <w:sz w:val="28"/>
        </w:rPr>
      </w:pPr>
      <w:r>
        <w:rPr>
          <w:color w:val="0075BF"/>
          <w:sz w:val="28"/>
        </w:rPr>
        <w:t>Prohibición</w:t>
      </w:r>
      <w:r>
        <w:rPr>
          <w:color w:val="0075BF"/>
          <w:spacing w:val="-4"/>
          <w:sz w:val="28"/>
        </w:rPr>
        <w:t xml:space="preserve"> </w:t>
      </w:r>
      <w:r>
        <w:rPr>
          <w:color w:val="0075BF"/>
          <w:sz w:val="28"/>
        </w:rPr>
        <w:t>de</w:t>
      </w:r>
      <w:r>
        <w:rPr>
          <w:color w:val="0075BF"/>
          <w:spacing w:val="-4"/>
          <w:sz w:val="28"/>
        </w:rPr>
        <w:t xml:space="preserve"> </w:t>
      </w:r>
      <w:r>
        <w:rPr>
          <w:color w:val="0075BF"/>
          <w:sz w:val="28"/>
        </w:rPr>
        <w:t>la</w:t>
      </w:r>
      <w:r>
        <w:rPr>
          <w:color w:val="0075BF"/>
          <w:spacing w:val="-4"/>
          <w:sz w:val="28"/>
        </w:rPr>
        <w:t xml:space="preserve"> </w:t>
      </w:r>
      <w:r>
        <w:rPr>
          <w:color w:val="0075BF"/>
          <w:spacing w:val="-2"/>
          <w:sz w:val="28"/>
        </w:rPr>
        <w:t>discriminación</w:t>
      </w:r>
    </w:p>
    <w:p w14:paraId="2D5E296E" w14:textId="77777777" w:rsidR="0014798C" w:rsidRDefault="0014798C">
      <w:pPr>
        <w:pStyle w:val="Textoindependiente"/>
        <w:spacing w:before="53"/>
      </w:pPr>
    </w:p>
    <w:p w14:paraId="106827D9" w14:textId="77777777" w:rsidR="0014798C" w:rsidRDefault="004E1F0B">
      <w:pPr>
        <w:pStyle w:val="Textoindependiente"/>
        <w:spacing w:line="326" w:lineRule="auto"/>
        <w:ind w:left="1107" w:right="1272" w:hanging="1"/>
      </w:pPr>
      <w:r>
        <w:rPr>
          <w:w w:val="105"/>
        </w:rPr>
        <w:t>Para ser integral, la legislación contra la discriminación debe definir y prohibir todas las formas de discriminación sobre la base</w:t>
      </w:r>
      <w:r>
        <w:rPr>
          <w:spacing w:val="-3"/>
          <w:w w:val="105"/>
        </w:rPr>
        <w:t xml:space="preserve"> </w:t>
      </w:r>
      <w:r>
        <w:rPr>
          <w:w w:val="105"/>
        </w:rPr>
        <w:t>de</w:t>
      </w:r>
      <w:r>
        <w:rPr>
          <w:spacing w:val="-3"/>
          <w:w w:val="105"/>
        </w:rPr>
        <w:t xml:space="preserve"> </w:t>
      </w:r>
      <w:r>
        <w:rPr>
          <w:w w:val="105"/>
        </w:rPr>
        <w:t>una</w:t>
      </w:r>
      <w:r>
        <w:rPr>
          <w:spacing w:val="-3"/>
          <w:w w:val="105"/>
        </w:rPr>
        <w:t xml:space="preserve"> </w:t>
      </w:r>
      <w:r>
        <w:rPr>
          <w:w w:val="105"/>
        </w:rPr>
        <w:t>lista</w:t>
      </w:r>
      <w:r>
        <w:rPr>
          <w:spacing w:val="-4"/>
          <w:w w:val="105"/>
        </w:rPr>
        <w:t xml:space="preserve"> </w:t>
      </w:r>
      <w:r>
        <w:rPr>
          <w:w w:val="105"/>
        </w:rPr>
        <w:t>amplia</w:t>
      </w:r>
      <w:r>
        <w:rPr>
          <w:spacing w:val="-3"/>
          <w:w w:val="105"/>
        </w:rPr>
        <w:t xml:space="preserve"> </w:t>
      </w:r>
      <w:r>
        <w:rPr>
          <w:w w:val="105"/>
        </w:rPr>
        <w:t>y</w:t>
      </w:r>
      <w:r>
        <w:rPr>
          <w:spacing w:val="-3"/>
          <w:w w:val="105"/>
        </w:rPr>
        <w:t xml:space="preserve"> </w:t>
      </w:r>
      <w:r>
        <w:rPr>
          <w:w w:val="105"/>
        </w:rPr>
        <w:t>abierta</w:t>
      </w:r>
      <w:r>
        <w:rPr>
          <w:spacing w:val="-4"/>
          <w:w w:val="105"/>
        </w:rPr>
        <w:t xml:space="preserve"> </w:t>
      </w:r>
      <w:r>
        <w:rPr>
          <w:w w:val="105"/>
        </w:rPr>
        <w:t>de</w:t>
      </w:r>
      <w:r>
        <w:rPr>
          <w:spacing w:val="-3"/>
          <w:w w:val="105"/>
        </w:rPr>
        <w:t xml:space="preserve"> </w:t>
      </w:r>
      <w:r>
        <w:rPr>
          <w:w w:val="105"/>
        </w:rPr>
        <w:t>características,</w:t>
      </w:r>
      <w:r>
        <w:rPr>
          <w:spacing w:val="-2"/>
          <w:w w:val="105"/>
        </w:rPr>
        <w:t xml:space="preserve"> </w:t>
      </w:r>
      <w:r>
        <w:rPr>
          <w:w w:val="105"/>
        </w:rPr>
        <w:t>en</w:t>
      </w:r>
      <w:r>
        <w:rPr>
          <w:spacing w:val="-3"/>
          <w:w w:val="105"/>
        </w:rPr>
        <w:t xml:space="preserve"> </w:t>
      </w:r>
      <w:r>
        <w:rPr>
          <w:w w:val="105"/>
        </w:rPr>
        <w:t>todos</w:t>
      </w:r>
      <w:r>
        <w:rPr>
          <w:spacing w:val="-4"/>
          <w:w w:val="105"/>
        </w:rPr>
        <w:t xml:space="preserve"> </w:t>
      </w:r>
      <w:r>
        <w:rPr>
          <w:w w:val="105"/>
        </w:rPr>
        <w:t>los</w:t>
      </w:r>
      <w:r>
        <w:rPr>
          <w:spacing w:val="-3"/>
          <w:w w:val="105"/>
        </w:rPr>
        <w:t xml:space="preserve"> </w:t>
      </w:r>
      <w:r>
        <w:rPr>
          <w:w w:val="105"/>
        </w:rPr>
        <w:t>ámbitos</w:t>
      </w:r>
      <w:r>
        <w:rPr>
          <w:spacing w:val="-4"/>
          <w:w w:val="105"/>
        </w:rPr>
        <w:t xml:space="preserve"> </w:t>
      </w:r>
      <w:r>
        <w:rPr>
          <w:w w:val="105"/>
        </w:rPr>
        <w:t>de</w:t>
      </w:r>
      <w:r>
        <w:rPr>
          <w:spacing w:val="-3"/>
          <w:w w:val="105"/>
        </w:rPr>
        <w:t xml:space="preserve"> </w:t>
      </w:r>
      <w:r>
        <w:rPr>
          <w:w w:val="105"/>
        </w:rPr>
        <w:t>la</w:t>
      </w:r>
      <w:r>
        <w:rPr>
          <w:spacing w:val="-3"/>
          <w:w w:val="105"/>
        </w:rPr>
        <w:t xml:space="preserve"> </w:t>
      </w:r>
      <w:r>
        <w:rPr>
          <w:w w:val="105"/>
        </w:rPr>
        <w:t>vida</w:t>
      </w:r>
      <w:r>
        <w:rPr>
          <w:spacing w:val="-3"/>
          <w:w w:val="105"/>
        </w:rPr>
        <w:t xml:space="preserve"> </w:t>
      </w:r>
      <w:r>
        <w:rPr>
          <w:w w:val="105"/>
        </w:rPr>
        <w:t>regulados</w:t>
      </w:r>
      <w:r>
        <w:rPr>
          <w:spacing w:val="-4"/>
          <w:w w:val="105"/>
        </w:rPr>
        <w:t xml:space="preserve"> </w:t>
      </w:r>
      <w:r>
        <w:rPr>
          <w:w w:val="105"/>
        </w:rPr>
        <w:t>por</w:t>
      </w:r>
      <w:r>
        <w:rPr>
          <w:spacing w:val="-3"/>
          <w:w w:val="105"/>
        </w:rPr>
        <w:t xml:space="preserve"> </w:t>
      </w:r>
      <w:r>
        <w:rPr>
          <w:w w:val="105"/>
        </w:rPr>
        <w:t>la</w:t>
      </w:r>
      <w:r>
        <w:rPr>
          <w:spacing w:val="-3"/>
          <w:w w:val="105"/>
        </w:rPr>
        <w:t xml:space="preserve"> </w:t>
      </w:r>
      <w:r>
        <w:rPr>
          <w:w w:val="105"/>
        </w:rPr>
        <w:t>ley.</w:t>
      </w:r>
      <w:r>
        <w:rPr>
          <w:spacing w:val="-3"/>
          <w:w w:val="105"/>
        </w:rPr>
        <w:t xml:space="preserve"> </w:t>
      </w:r>
      <w:r>
        <w:rPr>
          <w:w w:val="105"/>
        </w:rPr>
        <w:t>Se</w:t>
      </w:r>
      <w:r>
        <w:rPr>
          <w:spacing w:val="-4"/>
          <w:w w:val="105"/>
        </w:rPr>
        <w:t xml:space="preserve"> </w:t>
      </w:r>
      <w:r>
        <w:rPr>
          <w:w w:val="105"/>
        </w:rPr>
        <w:t>puede</w:t>
      </w:r>
      <w:r>
        <w:rPr>
          <w:spacing w:val="-3"/>
          <w:w w:val="105"/>
        </w:rPr>
        <w:t xml:space="preserve"> </w:t>
      </w:r>
      <w:r>
        <w:rPr>
          <w:w w:val="105"/>
        </w:rPr>
        <w:t>entender que</w:t>
      </w:r>
      <w:r>
        <w:rPr>
          <w:spacing w:val="-3"/>
          <w:w w:val="105"/>
        </w:rPr>
        <w:t xml:space="preserve"> </w:t>
      </w:r>
      <w:r>
        <w:rPr>
          <w:w w:val="105"/>
        </w:rPr>
        <w:t>el</w:t>
      </w:r>
      <w:r>
        <w:rPr>
          <w:spacing w:val="-3"/>
          <w:w w:val="105"/>
        </w:rPr>
        <w:t xml:space="preserve"> </w:t>
      </w:r>
      <w:r>
        <w:rPr>
          <w:w w:val="105"/>
        </w:rPr>
        <w:t>derecho</w:t>
      </w:r>
      <w:r>
        <w:rPr>
          <w:spacing w:val="-3"/>
          <w:w w:val="105"/>
        </w:rPr>
        <w:t xml:space="preserve"> </w:t>
      </w:r>
      <w:r>
        <w:rPr>
          <w:w w:val="105"/>
        </w:rPr>
        <w:t>a</w:t>
      </w:r>
      <w:r>
        <w:rPr>
          <w:spacing w:val="-3"/>
          <w:w w:val="105"/>
        </w:rPr>
        <w:t xml:space="preserve"> </w:t>
      </w:r>
      <w:r>
        <w:rPr>
          <w:w w:val="105"/>
        </w:rPr>
        <w:t>la</w:t>
      </w:r>
      <w:r>
        <w:rPr>
          <w:spacing w:val="-3"/>
          <w:w w:val="105"/>
        </w:rPr>
        <w:t xml:space="preserve"> </w:t>
      </w:r>
      <w:r>
        <w:rPr>
          <w:w w:val="105"/>
        </w:rPr>
        <w:t>no</w:t>
      </w:r>
      <w:r>
        <w:rPr>
          <w:spacing w:val="-3"/>
          <w:w w:val="105"/>
        </w:rPr>
        <w:t xml:space="preserve"> </w:t>
      </w:r>
      <w:r>
        <w:rPr>
          <w:w w:val="105"/>
        </w:rPr>
        <w:t>discriminación</w:t>
      </w:r>
      <w:r>
        <w:rPr>
          <w:spacing w:val="-3"/>
          <w:w w:val="105"/>
        </w:rPr>
        <w:t xml:space="preserve"> </w:t>
      </w:r>
      <w:r>
        <w:rPr>
          <w:w w:val="105"/>
        </w:rPr>
        <w:t>tiene</w:t>
      </w:r>
      <w:r>
        <w:rPr>
          <w:spacing w:val="-4"/>
          <w:w w:val="105"/>
        </w:rPr>
        <w:t xml:space="preserve"> </w:t>
      </w:r>
      <w:r>
        <w:rPr>
          <w:w w:val="105"/>
        </w:rPr>
        <w:t>cuatro</w:t>
      </w:r>
      <w:r>
        <w:rPr>
          <w:spacing w:val="-4"/>
          <w:w w:val="105"/>
        </w:rPr>
        <w:t xml:space="preserve"> </w:t>
      </w:r>
      <w:r>
        <w:rPr>
          <w:w w:val="105"/>
        </w:rPr>
        <w:t>dimensiones:</w:t>
      </w:r>
      <w:r>
        <w:rPr>
          <w:spacing w:val="-3"/>
          <w:w w:val="105"/>
        </w:rPr>
        <w:t xml:space="preserve"> </w:t>
      </w:r>
      <w:r>
        <w:rPr>
          <w:w w:val="105"/>
        </w:rPr>
        <w:t>(a)</w:t>
      </w:r>
      <w:r>
        <w:rPr>
          <w:spacing w:val="-3"/>
          <w:w w:val="105"/>
        </w:rPr>
        <w:t xml:space="preserve"> </w:t>
      </w:r>
      <w:r>
        <w:rPr>
          <w:w w:val="105"/>
        </w:rPr>
        <w:t>el</w:t>
      </w:r>
      <w:r>
        <w:rPr>
          <w:spacing w:val="-3"/>
          <w:w w:val="105"/>
        </w:rPr>
        <w:t xml:space="preserve"> </w:t>
      </w:r>
      <w:r>
        <w:rPr>
          <w:w w:val="105"/>
        </w:rPr>
        <w:t>alcance</w:t>
      </w:r>
      <w:r>
        <w:rPr>
          <w:spacing w:val="-3"/>
          <w:w w:val="105"/>
        </w:rPr>
        <w:t xml:space="preserve"> </w:t>
      </w:r>
      <w:r>
        <w:rPr>
          <w:w w:val="105"/>
        </w:rPr>
        <w:t>personal</w:t>
      </w:r>
      <w:r>
        <w:rPr>
          <w:spacing w:val="-3"/>
          <w:w w:val="105"/>
        </w:rPr>
        <w:t xml:space="preserve"> </w:t>
      </w:r>
      <w:r>
        <w:rPr>
          <w:w w:val="105"/>
        </w:rPr>
        <w:t>del</w:t>
      </w:r>
      <w:r>
        <w:rPr>
          <w:spacing w:val="-3"/>
          <w:w w:val="105"/>
        </w:rPr>
        <w:t xml:space="preserve"> </w:t>
      </w:r>
      <w:r>
        <w:rPr>
          <w:w w:val="105"/>
        </w:rPr>
        <w:t>derecho;</w:t>
      </w:r>
      <w:r>
        <w:rPr>
          <w:spacing w:val="-3"/>
          <w:w w:val="105"/>
        </w:rPr>
        <w:t xml:space="preserve"> </w:t>
      </w:r>
      <w:r>
        <w:rPr>
          <w:w w:val="105"/>
        </w:rPr>
        <w:t>(b)</w:t>
      </w:r>
      <w:r>
        <w:rPr>
          <w:spacing w:val="-3"/>
          <w:w w:val="105"/>
        </w:rPr>
        <w:t xml:space="preserve"> </w:t>
      </w:r>
      <w:r>
        <w:rPr>
          <w:w w:val="105"/>
        </w:rPr>
        <w:t>las</w:t>
      </w:r>
      <w:r>
        <w:rPr>
          <w:spacing w:val="-3"/>
          <w:w w:val="105"/>
        </w:rPr>
        <w:t xml:space="preserve"> </w:t>
      </w:r>
      <w:r>
        <w:rPr>
          <w:w w:val="105"/>
        </w:rPr>
        <w:t>formas</w:t>
      </w:r>
      <w:r>
        <w:rPr>
          <w:spacing w:val="-4"/>
          <w:w w:val="105"/>
        </w:rPr>
        <w:t xml:space="preserve"> </w:t>
      </w:r>
      <w:r>
        <w:rPr>
          <w:w w:val="105"/>
        </w:rPr>
        <w:t>de conducta</w:t>
      </w:r>
      <w:r>
        <w:rPr>
          <w:spacing w:val="-12"/>
          <w:w w:val="105"/>
        </w:rPr>
        <w:t xml:space="preserve"> </w:t>
      </w:r>
      <w:r>
        <w:rPr>
          <w:w w:val="105"/>
        </w:rPr>
        <w:t>prohibida;</w:t>
      </w:r>
      <w:r>
        <w:rPr>
          <w:spacing w:val="-11"/>
          <w:w w:val="105"/>
        </w:rPr>
        <w:t xml:space="preserve"> </w:t>
      </w:r>
      <w:r>
        <w:rPr>
          <w:w w:val="105"/>
        </w:rPr>
        <w:t>c)</w:t>
      </w:r>
      <w:r>
        <w:rPr>
          <w:spacing w:val="-11"/>
          <w:w w:val="105"/>
        </w:rPr>
        <w:t xml:space="preserve"> </w:t>
      </w:r>
      <w:r>
        <w:rPr>
          <w:w w:val="105"/>
        </w:rPr>
        <w:t>el</w:t>
      </w:r>
      <w:r>
        <w:rPr>
          <w:spacing w:val="-11"/>
          <w:w w:val="105"/>
        </w:rPr>
        <w:t xml:space="preserve"> </w:t>
      </w:r>
      <w:r>
        <w:rPr>
          <w:w w:val="105"/>
        </w:rPr>
        <w:t>alcance</w:t>
      </w:r>
      <w:r>
        <w:rPr>
          <w:spacing w:val="-11"/>
          <w:w w:val="105"/>
        </w:rPr>
        <w:t xml:space="preserve"> </w:t>
      </w:r>
      <w:r>
        <w:rPr>
          <w:w w:val="105"/>
        </w:rPr>
        <w:t>material</w:t>
      </w:r>
      <w:r>
        <w:rPr>
          <w:spacing w:val="-12"/>
          <w:w w:val="105"/>
        </w:rPr>
        <w:t xml:space="preserve"> </w:t>
      </w:r>
      <w:r>
        <w:rPr>
          <w:w w:val="105"/>
        </w:rPr>
        <w:t>del</w:t>
      </w:r>
      <w:r>
        <w:rPr>
          <w:spacing w:val="-11"/>
          <w:w w:val="105"/>
        </w:rPr>
        <w:t xml:space="preserve"> </w:t>
      </w:r>
      <w:r>
        <w:rPr>
          <w:w w:val="105"/>
        </w:rPr>
        <w:t>derecho;</w:t>
      </w:r>
      <w:r>
        <w:rPr>
          <w:spacing w:val="-11"/>
          <w:w w:val="105"/>
        </w:rPr>
        <w:t xml:space="preserve"> </w:t>
      </w:r>
      <w:r>
        <w:rPr>
          <w:w w:val="105"/>
        </w:rPr>
        <w:t>y</w:t>
      </w:r>
      <w:r>
        <w:rPr>
          <w:spacing w:val="-11"/>
          <w:w w:val="105"/>
        </w:rPr>
        <w:t xml:space="preserve"> </w:t>
      </w:r>
      <w:r>
        <w:rPr>
          <w:w w:val="105"/>
        </w:rPr>
        <w:t>(d)</w:t>
      </w:r>
      <w:r>
        <w:rPr>
          <w:spacing w:val="-11"/>
          <w:w w:val="105"/>
        </w:rPr>
        <w:t xml:space="preserve"> </w:t>
      </w:r>
      <w:r>
        <w:rPr>
          <w:w w:val="105"/>
        </w:rPr>
        <w:t>justificación.</w:t>
      </w:r>
      <w:r>
        <w:rPr>
          <w:spacing w:val="-11"/>
          <w:w w:val="105"/>
        </w:rPr>
        <w:t xml:space="preserve"> </w:t>
      </w:r>
      <w:r>
        <w:rPr>
          <w:w w:val="105"/>
        </w:rPr>
        <w:t>La</w:t>
      </w:r>
      <w:r>
        <w:rPr>
          <w:spacing w:val="-11"/>
          <w:w w:val="105"/>
        </w:rPr>
        <w:t xml:space="preserve"> </w:t>
      </w:r>
      <w:r>
        <w:rPr>
          <w:w w:val="105"/>
        </w:rPr>
        <w:t>ley</w:t>
      </w:r>
      <w:r>
        <w:rPr>
          <w:spacing w:val="-11"/>
          <w:w w:val="105"/>
        </w:rPr>
        <w:t xml:space="preserve"> </w:t>
      </w:r>
      <w:r>
        <w:rPr>
          <w:w w:val="105"/>
        </w:rPr>
        <w:t>contra</w:t>
      </w:r>
      <w:r>
        <w:rPr>
          <w:spacing w:val="-12"/>
          <w:w w:val="105"/>
        </w:rPr>
        <w:t xml:space="preserve"> </w:t>
      </w:r>
      <w:r>
        <w:rPr>
          <w:w w:val="105"/>
        </w:rPr>
        <w:t>la</w:t>
      </w:r>
      <w:r>
        <w:rPr>
          <w:spacing w:val="-11"/>
          <w:w w:val="105"/>
        </w:rPr>
        <w:t xml:space="preserve"> </w:t>
      </w:r>
      <w:r>
        <w:rPr>
          <w:w w:val="105"/>
        </w:rPr>
        <w:t>discriminación</w:t>
      </w:r>
      <w:r>
        <w:rPr>
          <w:spacing w:val="-11"/>
          <w:w w:val="105"/>
        </w:rPr>
        <w:t xml:space="preserve"> </w:t>
      </w:r>
      <w:r>
        <w:rPr>
          <w:w w:val="105"/>
        </w:rPr>
        <w:t>debe</w:t>
      </w:r>
      <w:r>
        <w:rPr>
          <w:spacing w:val="-11"/>
          <w:w w:val="105"/>
        </w:rPr>
        <w:t xml:space="preserve"> </w:t>
      </w:r>
      <w:r>
        <w:rPr>
          <w:w w:val="105"/>
        </w:rPr>
        <w:t>proporcionar definiciones claras en cada una de estas áreas.</w:t>
      </w:r>
    </w:p>
    <w:p w14:paraId="06CD5CDE" w14:textId="77777777" w:rsidR="0014798C" w:rsidRDefault="0014798C">
      <w:pPr>
        <w:pStyle w:val="Textoindependiente"/>
        <w:spacing w:before="11"/>
        <w:rPr>
          <w:sz w:val="23"/>
        </w:rPr>
      </w:pPr>
    </w:p>
    <w:p w14:paraId="0F706A7F" w14:textId="77777777" w:rsidR="0014798C" w:rsidRDefault="004E1F0B">
      <w:pPr>
        <w:numPr>
          <w:ilvl w:val="1"/>
          <w:numId w:val="97"/>
        </w:numPr>
        <w:tabs>
          <w:tab w:val="left" w:pos="1391"/>
        </w:tabs>
        <w:ind w:left="1391" w:hanging="256"/>
        <w:rPr>
          <w:color w:val="0075BF"/>
          <w:sz w:val="23"/>
        </w:rPr>
      </w:pPr>
      <w:r>
        <w:rPr>
          <w:color w:val="0075BF"/>
          <w:sz w:val="23"/>
        </w:rPr>
        <w:t>Ámbito</w:t>
      </w:r>
      <w:r>
        <w:rPr>
          <w:color w:val="0075BF"/>
          <w:spacing w:val="-8"/>
          <w:sz w:val="23"/>
        </w:rPr>
        <w:t xml:space="preserve"> </w:t>
      </w:r>
      <w:r>
        <w:rPr>
          <w:color w:val="0075BF"/>
          <w:spacing w:val="-2"/>
          <w:sz w:val="23"/>
        </w:rPr>
        <w:t>personal</w:t>
      </w:r>
    </w:p>
    <w:p w14:paraId="66B2464D" w14:textId="77777777" w:rsidR="0014798C" w:rsidRDefault="0014798C">
      <w:pPr>
        <w:pStyle w:val="Textoindependiente"/>
        <w:spacing w:before="27"/>
      </w:pPr>
    </w:p>
    <w:p w14:paraId="603FF2B4" w14:textId="77777777" w:rsidR="0014798C" w:rsidRDefault="004E1F0B">
      <w:pPr>
        <w:pStyle w:val="Textoindependiente"/>
        <w:spacing w:line="326" w:lineRule="auto"/>
        <w:ind w:left="1107" w:right="1272" w:hanging="1"/>
      </w:pPr>
      <w:r>
        <w:rPr>
          <w:w w:val="105"/>
        </w:rPr>
        <w:t>Para cumplir con los requisitos del derecho internacional, una legislación integral contra la discriminación debe prohibir la discriminación</w:t>
      </w:r>
      <w:r>
        <w:rPr>
          <w:spacing w:val="-3"/>
          <w:w w:val="105"/>
        </w:rPr>
        <w:t xml:space="preserve"> </w:t>
      </w:r>
      <w:r>
        <w:rPr>
          <w:w w:val="105"/>
        </w:rPr>
        <w:t>que</w:t>
      </w:r>
      <w:r>
        <w:rPr>
          <w:spacing w:val="-3"/>
          <w:w w:val="105"/>
        </w:rPr>
        <w:t xml:space="preserve"> </w:t>
      </w:r>
      <w:r>
        <w:rPr>
          <w:w w:val="105"/>
        </w:rPr>
        <w:t>se</w:t>
      </w:r>
      <w:r>
        <w:rPr>
          <w:spacing w:val="-3"/>
          <w:w w:val="105"/>
        </w:rPr>
        <w:t xml:space="preserve"> </w:t>
      </w:r>
      <w:r>
        <w:rPr>
          <w:w w:val="105"/>
        </w:rPr>
        <w:t>produce</w:t>
      </w:r>
      <w:r>
        <w:rPr>
          <w:spacing w:val="-3"/>
          <w:w w:val="105"/>
        </w:rPr>
        <w:t xml:space="preserve"> </w:t>
      </w:r>
      <w:r>
        <w:rPr>
          <w:w w:val="105"/>
        </w:rPr>
        <w:t>sobre</w:t>
      </w:r>
      <w:r>
        <w:rPr>
          <w:spacing w:val="-3"/>
          <w:w w:val="105"/>
        </w:rPr>
        <w:t xml:space="preserve"> </w:t>
      </w:r>
      <w:r>
        <w:rPr>
          <w:w w:val="105"/>
        </w:rPr>
        <w:t>la</w:t>
      </w:r>
      <w:r>
        <w:rPr>
          <w:spacing w:val="-3"/>
          <w:w w:val="105"/>
        </w:rPr>
        <w:t xml:space="preserve"> </w:t>
      </w:r>
      <w:r>
        <w:rPr>
          <w:w w:val="105"/>
        </w:rPr>
        <w:t>base</w:t>
      </w:r>
      <w:r>
        <w:rPr>
          <w:spacing w:val="-3"/>
          <w:w w:val="105"/>
        </w:rPr>
        <w:t xml:space="preserve"> </w:t>
      </w:r>
      <w:r>
        <w:rPr>
          <w:w w:val="105"/>
        </w:rPr>
        <w:t>de</w:t>
      </w:r>
      <w:r>
        <w:rPr>
          <w:spacing w:val="-3"/>
          <w:w w:val="105"/>
        </w:rPr>
        <w:t xml:space="preserve"> </w:t>
      </w:r>
      <w:r>
        <w:rPr>
          <w:w w:val="105"/>
        </w:rPr>
        <w:t>una</w:t>
      </w:r>
      <w:r>
        <w:rPr>
          <w:spacing w:val="-3"/>
          <w:w w:val="105"/>
        </w:rPr>
        <w:t xml:space="preserve"> </w:t>
      </w:r>
      <w:r>
        <w:rPr>
          <w:w w:val="105"/>
        </w:rPr>
        <w:t>lista</w:t>
      </w:r>
      <w:r>
        <w:rPr>
          <w:spacing w:val="-4"/>
          <w:w w:val="105"/>
        </w:rPr>
        <w:t xml:space="preserve"> </w:t>
      </w:r>
      <w:r>
        <w:rPr>
          <w:w w:val="105"/>
        </w:rPr>
        <w:t>extensa</w:t>
      </w:r>
      <w:r>
        <w:rPr>
          <w:spacing w:val="-4"/>
          <w:w w:val="105"/>
        </w:rPr>
        <w:t xml:space="preserve"> </w:t>
      </w:r>
      <w:r>
        <w:rPr>
          <w:w w:val="105"/>
        </w:rPr>
        <w:t>y</w:t>
      </w:r>
      <w:r>
        <w:rPr>
          <w:spacing w:val="-3"/>
          <w:w w:val="105"/>
        </w:rPr>
        <w:t xml:space="preserve"> </w:t>
      </w:r>
      <w:r>
        <w:rPr>
          <w:w w:val="105"/>
        </w:rPr>
        <w:t>abierta</w:t>
      </w:r>
      <w:r>
        <w:rPr>
          <w:spacing w:val="-4"/>
          <w:w w:val="105"/>
        </w:rPr>
        <w:t xml:space="preserve"> </w:t>
      </w:r>
      <w:r>
        <w:rPr>
          <w:w w:val="105"/>
        </w:rPr>
        <w:t>de</w:t>
      </w:r>
      <w:r>
        <w:rPr>
          <w:spacing w:val="-3"/>
          <w:w w:val="105"/>
        </w:rPr>
        <w:t xml:space="preserve"> </w:t>
      </w:r>
      <w:r>
        <w:rPr>
          <w:w w:val="105"/>
        </w:rPr>
        <w:t>motivos</w:t>
      </w:r>
      <w:r>
        <w:rPr>
          <w:spacing w:val="-4"/>
          <w:w w:val="105"/>
        </w:rPr>
        <w:t xml:space="preserve"> </w:t>
      </w:r>
      <w:r>
        <w:rPr>
          <w:w w:val="105"/>
        </w:rPr>
        <w:t>protegidos.</w:t>
      </w:r>
      <w:r>
        <w:rPr>
          <w:spacing w:val="-3"/>
          <w:w w:val="105"/>
        </w:rPr>
        <w:t xml:space="preserve"> </w:t>
      </w:r>
      <w:r>
        <w:rPr>
          <w:w w:val="105"/>
        </w:rPr>
        <w:t>Esto</w:t>
      </w:r>
      <w:r>
        <w:rPr>
          <w:spacing w:val="-4"/>
          <w:w w:val="105"/>
        </w:rPr>
        <w:t xml:space="preserve"> </w:t>
      </w:r>
      <w:r>
        <w:rPr>
          <w:w w:val="105"/>
        </w:rPr>
        <w:t>requiere</w:t>
      </w:r>
      <w:r>
        <w:rPr>
          <w:spacing w:val="-3"/>
          <w:w w:val="105"/>
        </w:rPr>
        <w:t xml:space="preserve"> </w:t>
      </w:r>
      <w:r>
        <w:rPr>
          <w:w w:val="105"/>
        </w:rPr>
        <w:t>la</w:t>
      </w:r>
      <w:r>
        <w:rPr>
          <w:spacing w:val="-3"/>
          <w:w w:val="105"/>
        </w:rPr>
        <w:t xml:space="preserve"> </w:t>
      </w:r>
      <w:r>
        <w:rPr>
          <w:w w:val="105"/>
        </w:rPr>
        <w:t>protección explícita</w:t>
      </w:r>
      <w:r>
        <w:rPr>
          <w:spacing w:val="-3"/>
          <w:w w:val="105"/>
        </w:rPr>
        <w:t xml:space="preserve"> </w:t>
      </w:r>
      <w:r>
        <w:rPr>
          <w:w w:val="105"/>
        </w:rPr>
        <w:t>de</w:t>
      </w:r>
      <w:r>
        <w:rPr>
          <w:spacing w:val="-2"/>
          <w:w w:val="105"/>
        </w:rPr>
        <w:t xml:space="preserve"> </w:t>
      </w:r>
      <w:r>
        <w:rPr>
          <w:w w:val="105"/>
        </w:rPr>
        <w:t>todas</w:t>
      </w:r>
      <w:r>
        <w:rPr>
          <w:spacing w:val="-3"/>
          <w:w w:val="105"/>
        </w:rPr>
        <w:t xml:space="preserve"> </w:t>
      </w:r>
      <w:r>
        <w:rPr>
          <w:w w:val="105"/>
        </w:rPr>
        <w:t>las</w:t>
      </w:r>
      <w:r>
        <w:rPr>
          <w:spacing w:val="-2"/>
          <w:w w:val="105"/>
        </w:rPr>
        <w:t xml:space="preserve"> </w:t>
      </w:r>
      <w:r>
        <w:rPr>
          <w:w w:val="105"/>
        </w:rPr>
        <w:t>características</w:t>
      </w:r>
      <w:r>
        <w:rPr>
          <w:spacing w:val="-3"/>
          <w:w w:val="105"/>
        </w:rPr>
        <w:t xml:space="preserve"> </w:t>
      </w:r>
      <w:r>
        <w:rPr>
          <w:w w:val="105"/>
        </w:rPr>
        <w:t>reconocidas</w:t>
      </w:r>
      <w:r>
        <w:rPr>
          <w:spacing w:val="-3"/>
          <w:w w:val="105"/>
        </w:rPr>
        <w:t xml:space="preserve"> </w:t>
      </w:r>
      <w:r>
        <w:rPr>
          <w:w w:val="105"/>
        </w:rPr>
        <w:t>en</w:t>
      </w:r>
      <w:r>
        <w:rPr>
          <w:spacing w:val="-2"/>
          <w:w w:val="105"/>
        </w:rPr>
        <w:t xml:space="preserve"> </w:t>
      </w:r>
      <w:r>
        <w:rPr>
          <w:w w:val="105"/>
        </w:rPr>
        <w:t>el</w:t>
      </w:r>
      <w:r>
        <w:rPr>
          <w:spacing w:val="-2"/>
          <w:w w:val="105"/>
        </w:rPr>
        <w:t xml:space="preserve"> </w:t>
      </w:r>
      <w:r>
        <w:rPr>
          <w:w w:val="105"/>
        </w:rPr>
        <w:t>derecho</w:t>
      </w:r>
      <w:r>
        <w:rPr>
          <w:spacing w:val="-2"/>
          <w:w w:val="105"/>
        </w:rPr>
        <w:t xml:space="preserve"> </w:t>
      </w:r>
      <w:r>
        <w:rPr>
          <w:w w:val="105"/>
        </w:rPr>
        <w:t>internacional,</w:t>
      </w:r>
      <w:r>
        <w:rPr>
          <w:spacing w:val="-1"/>
          <w:w w:val="105"/>
        </w:rPr>
        <w:t xml:space="preserve"> </w:t>
      </w:r>
      <w:r>
        <w:rPr>
          <w:w w:val="105"/>
        </w:rPr>
        <w:t>así</w:t>
      </w:r>
      <w:r>
        <w:rPr>
          <w:spacing w:val="-2"/>
          <w:w w:val="105"/>
        </w:rPr>
        <w:t xml:space="preserve"> </w:t>
      </w:r>
      <w:r>
        <w:rPr>
          <w:w w:val="105"/>
        </w:rPr>
        <w:t>como</w:t>
      </w:r>
      <w:r>
        <w:rPr>
          <w:spacing w:val="-2"/>
          <w:w w:val="105"/>
        </w:rPr>
        <w:t xml:space="preserve"> </w:t>
      </w:r>
      <w:r>
        <w:rPr>
          <w:w w:val="105"/>
        </w:rPr>
        <w:t>de</w:t>
      </w:r>
      <w:r>
        <w:rPr>
          <w:spacing w:val="-2"/>
          <w:w w:val="105"/>
        </w:rPr>
        <w:t xml:space="preserve"> </w:t>
      </w:r>
      <w:r>
        <w:rPr>
          <w:w w:val="105"/>
        </w:rPr>
        <w:t>cualquier</w:t>
      </w:r>
      <w:r>
        <w:rPr>
          <w:spacing w:val="-3"/>
          <w:w w:val="105"/>
        </w:rPr>
        <w:t xml:space="preserve"> </w:t>
      </w:r>
      <w:r>
        <w:rPr>
          <w:w w:val="105"/>
        </w:rPr>
        <w:t>otro</w:t>
      </w:r>
      <w:r>
        <w:rPr>
          <w:spacing w:val="-3"/>
          <w:w w:val="105"/>
        </w:rPr>
        <w:t xml:space="preserve"> </w:t>
      </w:r>
      <w:r>
        <w:rPr>
          <w:w w:val="105"/>
        </w:rPr>
        <w:t>motivo</w:t>
      </w:r>
      <w:r>
        <w:rPr>
          <w:spacing w:val="-3"/>
          <w:w w:val="105"/>
        </w:rPr>
        <w:t xml:space="preserve"> </w:t>
      </w:r>
      <w:r>
        <w:rPr>
          <w:w w:val="105"/>
        </w:rPr>
        <w:t>que</w:t>
      </w:r>
      <w:r>
        <w:rPr>
          <w:spacing w:val="-2"/>
          <w:w w:val="105"/>
        </w:rPr>
        <w:t xml:space="preserve"> </w:t>
      </w:r>
      <w:r>
        <w:rPr>
          <w:w w:val="105"/>
        </w:rPr>
        <w:t xml:space="preserve">requiera protección en una sociedad determinada. Una ley integral contra la discriminación debe permitir la posibilidad de reconocer motivos adicionales de discriminación, mediante la inclusión de una “otra condición” o una disposición similar. La legislación contra la discriminación también puede incluir criterios para la identificación y el reconocimiento de nuevos motivos de </w:t>
      </w:r>
      <w:r>
        <w:rPr>
          <w:spacing w:val="-2"/>
          <w:w w:val="105"/>
        </w:rPr>
        <w:t>discriminación.</w:t>
      </w:r>
    </w:p>
    <w:p w14:paraId="104ED177" w14:textId="77777777" w:rsidR="0014798C" w:rsidRDefault="0014798C">
      <w:pPr>
        <w:pStyle w:val="Textoindependiente"/>
      </w:pPr>
    </w:p>
    <w:p w14:paraId="3AC66F30" w14:textId="77777777" w:rsidR="0014798C" w:rsidRDefault="0014798C">
      <w:pPr>
        <w:pStyle w:val="Textoindependiente"/>
        <w:spacing w:before="81"/>
      </w:pPr>
    </w:p>
    <w:p w14:paraId="69A45DAD" w14:textId="77777777" w:rsidR="0014798C" w:rsidRDefault="004E1F0B">
      <w:pPr>
        <w:pStyle w:val="Textoindependiente"/>
        <w:spacing w:line="326" w:lineRule="auto"/>
        <w:ind w:left="1332" w:right="1378" w:firstLine="1"/>
      </w:pPr>
      <w:r>
        <w:rPr>
          <w:noProof/>
        </w:rPr>
        <w:drawing>
          <wp:anchor distT="0" distB="0" distL="0" distR="0" simplePos="0" relativeHeight="251658349" behindDoc="1" locked="0" layoutInCell="1" allowOverlap="1" wp14:anchorId="188E4FE5" wp14:editId="269BC96D">
            <wp:simplePos x="0" y="0"/>
            <wp:positionH relativeFrom="page">
              <wp:posOffset>826632</wp:posOffset>
            </wp:positionH>
            <wp:positionV relativeFrom="paragraph">
              <wp:posOffset>-163865</wp:posOffset>
            </wp:positionV>
            <wp:extent cx="5930190" cy="4569739"/>
            <wp:effectExtent l="0" t="0" r="0" b="0"/>
            <wp:wrapNone/>
            <wp:docPr id="20" name="Image 2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0" name="Image 20"/>
                    <pic:cNvPicPr/>
                  </pic:nvPicPr>
                  <pic:blipFill>
                    <a:blip r:embed="rId26" cstate="print"/>
                    <a:stretch>
                      <a:fillRect/>
                    </a:stretch>
                  </pic:blipFill>
                  <pic:spPr>
                    <a:xfrm>
                      <a:off x="0" y="0"/>
                      <a:ext cx="5930190" cy="4569739"/>
                    </a:xfrm>
                    <a:prstGeom prst="rect">
                      <a:avLst/>
                    </a:prstGeom>
                  </pic:spPr>
                </pic:pic>
              </a:graphicData>
            </a:graphic>
          </wp:anchor>
        </w:drawing>
      </w:r>
      <w:r>
        <w:t>Está</w:t>
      </w:r>
      <w:r>
        <w:rPr>
          <w:spacing w:val="-6"/>
        </w:rPr>
        <w:t xml:space="preserve"> </w:t>
      </w:r>
      <w:r>
        <w:t>prohibida</w:t>
      </w:r>
      <w:r>
        <w:rPr>
          <w:spacing w:val="-6"/>
        </w:rPr>
        <w:t xml:space="preserve"> </w:t>
      </w:r>
      <w:r>
        <w:t>la</w:t>
      </w:r>
      <w:r>
        <w:rPr>
          <w:spacing w:val="-6"/>
        </w:rPr>
        <w:t xml:space="preserve"> </w:t>
      </w:r>
      <w:r>
        <w:t>discriminación</w:t>
      </w:r>
      <w:r>
        <w:rPr>
          <w:spacing w:val="-6"/>
        </w:rPr>
        <w:t xml:space="preserve"> </w:t>
      </w:r>
      <w:r>
        <w:t>por</w:t>
      </w:r>
      <w:r>
        <w:rPr>
          <w:spacing w:val="-6"/>
        </w:rPr>
        <w:t xml:space="preserve"> </w:t>
      </w:r>
      <w:r>
        <w:t>motivos</w:t>
      </w:r>
      <w:r>
        <w:rPr>
          <w:spacing w:val="-6"/>
        </w:rPr>
        <w:t xml:space="preserve"> </w:t>
      </w:r>
      <w:r>
        <w:t>de</w:t>
      </w:r>
      <w:r>
        <w:rPr>
          <w:spacing w:val="-6"/>
        </w:rPr>
        <w:t xml:space="preserve"> </w:t>
      </w:r>
      <w:r>
        <w:t>edad;</w:t>
      </w:r>
      <w:r>
        <w:rPr>
          <w:spacing w:val="-6"/>
        </w:rPr>
        <w:t xml:space="preserve"> </w:t>
      </w:r>
      <w:r>
        <w:t>nacimiento;</w:t>
      </w:r>
      <w:r>
        <w:rPr>
          <w:spacing w:val="-6"/>
        </w:rPr>
        <w:t xml:space="preserve"> </w:t>
      </w:r>
      <w:r>
        <w:t>estado</w:t>
      </w:r>
      <w:r>
        <w:rPr>
          <w:spacing w:val="-6"/>
        </w:rPr>
        <w:t xml:space="preserve"> </w:t>
      </w:r>
      <w:r>
        <w:t>civil,</w:t>
      </w:r>
      <w:r>
        <w:rPr>
          <w:spacing w:val="-6"/>
        </w:rPr>
        <w:t xml:space="preserve"> </w:t>
      </w:r>
      <w:r>
        <w:t>familiar</w:t>
      </w:r>
      <w:r>
        <w:rPr>
          <w:spacing w:val="-6"/>
        </w:rPr>
        <w:t xml:space="preserve"> </w:t>
      </w:r>
      <w:r>
        <w:t>o</w:t>
      </w:r>
      <w:r>
        <w:rPr>
          <w:spacing w:val="-6"/>
        </w:rPr>
        <w:t xml:space="preserve"> </w:t>
      </w:r>
      <w:r>
        <w:t>de</w:t>
      </w:r>
      <w:r>
        <w:rPr>
          <w:spacing w:val="-6"/>
        </w:rPr>
        <w:t xml:space="preserve"> </w:t>
      </w:r>
      <w:r>
        <w:t>cuidador;</w:t>
      </w:r>
      <w:r>
        <w:rPr>
          <w:spacing w:val="-6"/>
        </w:rPr>
        <w:t xml:space="preserve"> </w:t>
      </w:r>
      <w:r>
        <w:t>color;</w:t>
      </w:r>
      <w:r>
        <w:rPr>
          <w:spacing w:val="-6"/>
        </w:rPr>
        <w:t xml:space="preserve"> </w:t>
      </w:r>
      <w:r>
        <w:t xml:space="preserve">ascendencia, </w:t>
      </w:r>
      <w:r>
        <w:rPr>
          <w:spacing w:val="-2"/>
        </w:rPr>
        <w:t xml:space="preserve">incluida la casta; discapacidad; estatus </w:t>
      </w:r>
      <w:proofErr w:type="spellStart"/>
      <w:r>
        <w:rPr>
          <w:spacing w:val="-2"/>
        </w:rPr>
        <w:t>economico</w:t>
      </w:r>
      <w:proofErr w:type="spellEnd"/>
      <w:r>
        <w:rPr>
          <w:spacing w:val="-2"/>
        </w:rPr>
        <w:t xml:space="preserve">; etnicidad; expresión de género; identidad de género; predisposición </w:t>
      </w:r>
      <w:r>
        <w:t>genética</w:t>
      </w:r>
      <w:r>
        <w:rPr>
          <w:spacing w:val="-7"/>
        </w:rPr>
        <w:t xml:space="preserve"> </w:t>
      </w:r>
      <w:r>
        <w:t>o</w:t>
      </w:r>
      <w:r>
        <w:rPr>
          <w:spacing w:val="-6"/>
        </w:rPr>
        <w:t xml:space="preserve"> </w:t>
      </w:r>
      <w:r>
        <w:t>de</w:t>
      </w:r>
      <w:r>
        <w:rPr>
          <w:spacing w:val="-6"/>
        </w:rPr>
        <w:t xml:space="preserve"> </w:t>
      </w:r>
      <w:r>
        <w:t>otro</w:t>
      </w:r>
      <w:r>
        <w:rPr>
          <w:spacing w:val="-7"/>
        </w:rPr>
        <w:t xml:space="preserve"> </w:t>
      </w:r>
      <w:r>
        <w:t>tipo</w:t>
      </w:r>
      <w:r>
        <w:rPr>
          <w:spacing w:val="-7"/>
        </w:rPr>
        <w:t xml:space="preserve"> </w:t>
      </w:r>
      <w:r>
        <w:t>a</w:t>
      </w:r>
      <w:r>
        <w:rPr>
          <w:spacing w:val="-6"/>
        </w:rPr>
        <w:t xml:space="preserve"> </w:t>
      </w:r>
      <w:r>
        <w:t>la</w:t>
      </w:r>
      <w:r>
        <w:rPr>
          <w:spacing w:val="-6"/>
        </w:rPr>
        <w:t xml:space="preserve"> </w:t>
      </w:r>
      <w:r>
        <w:t>enfermedad;</w:t>
      </w:r>
      <w:r>
        <w:rPr>
          <w:spacing w:val="-6"/>
        </w:rPr>
        <w:t xml:space="preserve"> </w:t>
      </w:r>
      <w:r>
        <w:t>Estado</w:t>
      </w:r>
      <w:r>
        <w:rPr>
          <w:spacing w:val="-7"/>
        </w:rPr>
        <w:t xml:space="preserve"> </w:t>
      </w:r>
      <w:r>
        <w:t>de</w:t>
      </w:r>
      <w:r>
        <w:rPr>
          <w:spacing w:val="-6"/>
        </w:rPr>
        <w:t xml:space="preserve"> </w:t>
      </w:r>
      <w:r>
        <w:t>salud;</w:t>
      </w:r>
      <w:r>
        <w:rPr>
          <w:spacing w:val="-6"/>
        </w:rPr>
        <w:t xml:space="preserve"> </w:t>
      </w:r>
      <w:r>
        <w:t>origen</w:t>
      </w:r>
      <w:r>
        <w:rPr>
          <w:spacing w:val="-6"/>
        </w:rPr>
        <w:t xml:space="preserve"> </w:t>
      </w:r>
      <w:r>
        <w:t>indígena;</w:t>
      </w:r>
      <w:r>
        <w:rPr>
          <w:spacing w:val="-6"/>
        </w:rPr>
        <w:t xml:space="preserve"> </w:t>
      </w:r>
      <w:r>
        <w:t>idioma;</w:t>
      </w:r>
      <w:r>
        <w:rPr>
          <w:spacing w:val="-6"/>
        </w:rPr>
        <w:t xml:space="preserve"> </w:t>
      </w:r>
      <w:r>
        <w:t>Estado</w:t>
      </w:r>
      <w:r>
        <w:rPr>
          <w:spacing w:val="-7"/>
        </w:rPr>
        <w:t xml:space="preserve"> </w:t>
      </w:r>
      <w:r>
        <w:t>civil;</w:t>
      </w:r>
      <w:r>
        <w:rPr>
          <w:spacing w:val="-6"/>
        </w:rPr>
        <w:t xml:space="preserve"> </w:t>
      </w:r>
      <w:r>
        <w:t>situación</w:t>
      </w:r>
      <w:r>
        <w:rPr>
          <w:spacing w:val="-7"/>
        </w:rPr>
        <w:t xml:space="preserve"> </w:t>
      </w:r>
      <w:r>
        <w:t>de</w:t>
      </w:r>
      <w:r>
        <w:rPr>
          <w:spacing w:val="-6"/>
        </w:rPr>
        <w:t xml:space="preserve"> </w:t>
      </w:r>
      <w:r>
        <w:t xml:space="preserve">maternidad </w:t>
      </w:r>
      <w:r>
        <w:rPr>
          <w:spacing w:val="-2"/>
        </w:rPr>
        <w:t>o</w:t>
      </w:r>
      <w:r>
        <w:rPr>
          <w:spacing w:val="-3"/>
        </w:rPr>
        <w:t xml:space="preserve"> </w:t>
      </w:r>
      <w:r>
        <w:rPr>
          <w:spacing w:val="-2"/>
        </w:rPr>
        <w:t>paternidad;</w:t>
      </w:r>
      <w:r>
        <w:rPr>
          <w:spacing w:val="-3"/>
        </w:rPr>
        <w:t xml:space="preserve"> </w:t>
      </w:r>
      <w:r>
        <w:rPr>
          <w:spacing w:val="-2"/>
        </w:rPr>
        <w:t>estatus</w:t>
      </w:r>
      <w:r>
        <w:rPr>
          <w:spacing w:val="-4"/>
        </w:rPr>
        <w:t xml:space="preserve"> </w:t>
      </w:r>
      <w:r>
        <w:rPr>
          <w:spacing w:val="-2"/>
        </w:rPr>
        <w:t>migratorio; condición</w:t>
      </w:r>
      <w:r>
        <w:rPr>
          <w:spacing w:val="-3"/>
        </w:rPr>
        <w:t xml:space="preserve"> </w:t>
      </w:r>
      <w:r>
        <w:rPr>
          <w:spacing w:val="-2"/>
        </w:rPr>
        <w:t>de</w:t>
      </w:r>
      <w:r>
        <w:rPr>
          <w:spacing w:val="-3"/>
        </w:rPr>
        <w:t xml:space="preserve"> </w:t>
      </w:r>
      <w:r>
        <w:rPr>
          <w:spacing w:val="-2"/>
        </w:rPr>
        <w:t>minoría;</w:t>
      </w:r>
      <w:r>
        <w:rPr>
          <w:spacing w:val="-3"/>
        </w:rPr>
        <w:t xml:space="preserve"> </w:t>
      </w:r>
      <w:r>
        <w:rPr>
          <w:spacing w:val="-2"/>
        </w:rPr>
        <w:t>origen</w:t>
      </w:r>
      <w:r>
        <w:rPr>
          <w:spacing w:val="-3"/>
        </w:rPr>
        <w:t xml:space="preserve"> </w:t>
      </w:r>
      <w:r>
        <w:rPr>
          <w:spacing w:val="-2"/>
        </w:rPr>
        <w:t>nacional;</w:t>
      </w:r>
      <w:r>
        <w:rPr>
          <w:spacing w:val="-3"/>
        </w:rPr>
        <w:t xml:space="preserve"> </w:t>
      </w:r>
      <w:r>
        <w:rPr>
          <w:spacing w:val="-2"/>
        </w:rPr>
        <w:t>nacionalidad; Lugar</w:t>
      </w:r>
      <w:r>
        <w:rPr>
          <w:spacing w:val="-4"/>
        </w:rPr>
        <w:t xml:space="preserve"> </w:t>
      </w:r>
      <w:r>
        <w:rPr>
          <w:spacing w:val="-2"/>
        </w:rPr>
        <w:t>de</w:t>
      </w:r>
      <w:r>
        <w:rPr>
          <w:spacing w:val="-3"/>
        </w:rPr>
        <w:t xml:space="preserve"> </w:t>
      </w:r>
      <w:r>
        <w:rPr>
          <w:spacing w:val="-2"/>
        </w:rPr>
        <w:t xml:space="preserve">residencia; opinión </w:t>
      </w:r>
      <w:r>
        <w:t>política</w:t>
      </w:r>
      <w:r>
        <w:rPr>
          <w:spacing w:val="19"/>
        </w:rPr>
        <w:t xml:space="preserve"> </w:t>
      </w:r>
      <w:r>
        <w:t>o</w:t>
      </w:r>
      <w:r>
        <w:rPr>
          <w:spacing w:val="20"/>
        </w:rPr>
        <w:t xml:space="preserve"> </w:t>
      </w:r>
      <w:r>
        <w:t>de</w:t>
      </w:r>
      <w:r>
        <w:rPr>
          <w:spacing w:val="20"/>
        </w:rPr>
        <w:t xml:space="preserve"> </w:t>
      </w:r>
      <w:r>
        <w:t>otro</w:t>
      </w:r>
      <w:r>
        <w:rPr>
          <w:spacing w:val="19"/>
        </w:rPr>
        <w:t xml:space="preserve"> </w:t>
      </w:r>
      <w:r>
        <w:t>tipo,</w:t>
      </w:r>
      <w:r>
        <w:rPr>
          <w:spacing w:val="20"/>
        </w:rPr>
        <w:t xml:space="preserve"> </w:t>
      </w:r>
      <w:r>
        <w:t>incluida</w:t>
      </w:r>
      <w:r>
        <w:rPr>
          <w:spacing w:val="20"/>
        </w:rPr>
        <w:t xml:space="preserve"> </w:t>
      </w:r>
      <w:r>
        <w:t>la</w:t>
      </w:r>
      <w:r>
        <w:rPr>
          <w:spacing w:val="20"/>
        </w:rPr>
        <w:t xml:space="preserve"> </w:t>
      </w:r>
      <w:r>
        <w:t>condición</w:t>
      </w:r>
      <w:r>
        <w:rPr>
          <w:spacing w:val="20"/>
        </w:rPr>
        <w:t xml:space="preserve"> </w:t>
      </w:r>
      <w:r>
        <w:t>de</w:t>
      </w:r>
      <w:r>
        <w:rPr>
          <w:spacing w:val="20"/>
        </w:rPr>
        <w:t xml:space="preserve"> </w:t>
      </w:r>
      <w:r>
        <w:t>defensor</w:t>
      </w:r>
      <w:r>
        <w:rPr>
          <w:spacing w:val="19"/>
        </w:rPr>
        <w:t xml:space="preserve"> </w:t>
      </w:r>
      <w:r>
        <w:t>de</w:t>
      </w:r>
      <w:r>
        <w:rPr>
          <w:spacing w:val="20"/>
        </w:rPr>
        <w:t xml:space="preserve"> </w:t>
      </w:r>
      <w:r>
        <w:t>los</w:t>
      </w:r>
      <w:r>
        <w:rPr>
          <w:spacing w:val="20"/>
        </w:rPr>
        <w:t xml:space="preserve"> </w:t>
      </w:r>
      <w:r>
        <w:t>derechos</w:t>
      </w:r>
      <w:r>
        <w:rPr>
          <w:spacing w:val="19"/>
        </w:rPr>
        <w:t xml:space="preserve"> </w:t>
      </w:r>
      <w:r>
        <w:t>humanos,</w:t>
      </w:r>
      <w:r>
        <w:rPr>
          <w:spacing w:val="20"/>
        </w:rPr>
        <w:t xml:space="preserve"> </w:t>
      </w:r>
      <w:r>
        <w:t>afiliación</w:t>
      </w:r>
      <w:r>
        <w:rPr>
          <w:spacing w:val="19"/>
        </w:rPr>
        <w:t xml:space="preserve"> </w:t>
      </w:r>
      <w:r>
        <w:t>sindical</w:t>
      </w:r>
      <w:r>
        <w:rPr>
          <w:spacing w:val="20"/>
        </w:rPr>
        <w:t xml:space="preserve"> </w:t>
      </w:r>
      <w:r>
        <w:t>o</w:t>
      </w:r>
      <w:r>
        <w:rPr>
          <w:spacing w:val="20"/>
        </w:rPr>
        <w:t xml:space="preserve"> </w:t>
      </w:r>
      <w:r>
        <w:t>afiliación</w:t>
      </w:r>
      <w:r>
        <w:rPr>
          <w:spacing w:val="19"/>
        </w:rPr>
        <w:t xml:space="preserve"> </w:t>
      </w:r>
      <w:r>
        <w:t xml:space="preserve">política; </w:t>
      </w:r>
      <w:r>
        <w:rPr>
          <w:spacing w:val="-2"/>
        </w:rPr>
        <w:t>el embarazo; propiedad; carrera; estatus</w:t>
      </w:r>
      <w:r>
        <w:rPr>
          <w:spacing w:val="-3"/>
        </w:rPr>
        <w:t xml:space="preserve"> </w:t>
      </w:r>
      <w:r>
        <w:rPr>
          <w:spacing w:val="-2"/>
        </w:rPr>
        <w:t>de refugiado</w:t>
      </w:r>
      <w:r>
        <w:rPr>
          <w:spacing w:val="-3"/>
        </w:rPr>
        <w:t xml:space="preserve"> </w:t>
      </w:r>
      <w:r>
        <w:rPr>
          <w:spacing w:val="-2"/>
        </w:rPr>
        <w:t xml:space="preserve">o asilo; religión o creencia; sexo y género; características </w:t>
      </w:r>
      <w:r>
        <w:t>sexuales;</w:t>
      </w:r>
      <w:r>
        <w:rPr>
          <w:spacing w:val="-9"/>
        </w:rPr>
        <w:t xml:space="preserve"> </w:t>
      </w:r>
      <w:r>
        <w:t>orientación</w:t>
      </w:r>
      <w:r>
        <w:rPr>
          <w:spacing w:val="-10"/>
        </w:rPr>
        <w:t xml:space="preserve"> </w:t>
      </w:r>
      <w:r>
        <w:t>sexual;</w:t>
      </w:r>
      <w:r>
        <w:rPr>
          <w:spacing w:val="-9"/>
        </w:rPr>
        <w:t xml:space="preserve"> </w:t>
      </w:r>
      <w:r>
        <w:t>origen</w:t>
      </w:r>
      <w:r>
        <w:rPr>
          <w:spacing w:val="-9"/>
        </w:rPr>
        <w:t xml:space="preserve"> </w:t>
      </w:r>
      <w:r>
        <w:t>social;</w:t>
      </w:r>
      <w:r>
        <w:rPr>
          <w:spacing w:val="-9"/>
        </w:rPr>
        <w:t xml:space="preserve"> </w:t>
      </w:r>
      <w:r>
        <w:t>situación</w:t>
      </w:r>
      <w:r>
        <w:rPr>
          <w:spacing w:val="-10"/>
        </w:rPr>
        <w:t xml:space="preserve"> </w:t>
      </w:r>
      <w:r>
        <w:t>social;</w:t>
      </w:r>
      <w:r>
        <w:rPr>
          <w:spacing w:val="-9"/>
        </w:rPr>
        <w:t xml:space="preserve"> </w:t>
      </w:r>
      <w:r>
        <w:t>o</w:t>
      </w:r>
      <w:r>
        <w:rPr>
          <w:spacing w:val="-9"/>
        </w:rPr>
        <w:t xml:space="preserve"> </w:t>
      </w:r>
      <w:r>
        <w:t>cualquier</w:t>
      </w:r>
      <w:r>
        <w:rPr>
          <w:spacing w:val="-10"/>
        </w:rPr>
        <w:t xml:space="preserve"> </w:t>
      </w:r>
      <w:r>
        <w:t>otro</w:t>
      </w:r>
      <w:r>
        <w:rPr>
          <w:spacing w:val="-10"/>
        </w:rPr>
        <w:t xml:space="preserve"> </w:t>
      </w:r>
      <w:r>
        <w:t>estado.</w:t>
      </w:r>
    </w:p>
    <w:p w14:paraId="61AA9C7F" w14:textId="77777777" w:rsidR="0014798C" w:rsidRDefault="0014798C">
      <w:pPr>
        <w:pStyle w:val="Textoindependiente"/>
      </w:pPr>
    </w:p>
    <w:p w14:paraId="6942AE7E" w14:textId="77777777" w:rsidR="0014798C" w:rsidRDefault="0014798C">
      <w:pPr>
        <w:pStyle w:val="Textoindependiente"/>
        <w:spacing w:before="82"/>
      </w:pPr>
    </w:p>
    <w:p w14:paraId="3E2D095D" w14:textId="77777777" w:rsidR="0014798C" w:rsidRDefault="004E1F0B">
      <w:pPr>
        <w:pStyle w:val="Textoindependiente"/>
        <w:spacing w:line="326" w:lineRule="auto"/>
        <w:ind w:left="1111" w:right="1272" w:hanging="5"/>
      </w:pPr>
      <w:r>
        <w:rPr>
          <w:w w:val="105"/>
        </w:rPr>
        <w:t>La legislación contra la discriminación debe garantizar que la discriminación esté prohibida en situaciones en las que: (a) surge</w:t>
      </w:r>
      <w:r>
        <w:rPr>
          <w:spacing w:val="-9"/>
          <w:w w:val="105"/>
        </w:rPr>
        <w:t xml:space="preserve"> </w:t>
      </w:r>
      <w:r>
        <w:rPr>
          <w:w w:val="105"/>
        </w:rPr>
        <w:t>sobre</w:t>
      </w:r>
      <w:r>
        <w:rPr>
          <w:spacing w:val="-9"/>
          <w:w w:val="105"/>
        </w:rPr>
        <w:t xml:space="preserve"> </w:t>
      </w:r>
      <w:r>
        <w:rPr>
          <w:w w:val="105"/>
        </w:rPr>
        <w:t>la</w:t>
      </w:r>
      <w:r>
        <w:rPr>
          <w:spacing w:val="-9"/>
          <w:w w:val="105"/>
        </w:rPr>
        <w:t xml:space="preserve"> </w:t>
      </w:r>
      <w:r>
        <w:rPr>
          <w:w w:val="105"/>
        </w:rPr>
        <w:t>base</w:t>
      </w:r>
      <w:r>
        <w:rPr>
          <w:spacing w:val="-9"/>
          <w:w w:val="105"/>
        </w:rPr>
        <w:t xml:space="preserve"> </w:t>
      </w:r>
      <w:r>
        <w:rPr>
          <w:w w:val="105"/>
        </w:rPr>
        <w:t>de</w:t>
      </w:r>
      <w:r>
        <w:rPr>
          <w:spacing w:val="-9"/>
          <w:w w:val="105"/>
        </w:rPr>
        <w:t xml:space="preserve"> </w:t>
      </w:r>
      <w:r>
        <w:rPr>
          <w:w w:val="105"/>
        </w:rPr>
        <w:t>la</w:t>
      </w:r>
      <w:r>
        <w:rPr>
          <w:spacing w:val="-9"/>
          <w:w w:val="105"/>
        </w:rPr>
        <w:t xml:space="preserve"> </w:t>
      </w:r>
      <w:r>
        <w:rPr>
          <w:w w:val="105"/>
        </w:rPr>
        <w:t>asociación</w:t>
      </w:r>
      <w:r>
        <w:rPr>
          <w:spacing w:val="-9"/>
          <w:w w:val="105"/>
        </w:rPr>
        <w:t xml:space="preserve"> </w:t>
      </w:r>
      <w:r>
        <w:rPr>
          <w:w w:val="105"/>
        </w:rPr>
        <w:t>de</w:t>
      </w:r>
      <w:r>
        <w:rPr>
          <w:spacing w:val="-9"/>
          <w:w w:val="105"/>
        </w:rPr>
        <w:t xml:space="preserve"> </w:t>
      </w:r>
      <w:r>
        <w:rPr>
          <w:w w:val="105"/>
        </w:rPr>
        <w:t>una</w:t>
      </w:r>
      <w:r>
        <w:rPr>
          <w:spacing w:val="-9"/>
          <w:w w:val="105"/>
        </w:rPr>
        <w:t xml:space="preserve"> </w:t>
      </w:r>
      <w:r>
        <w:rPr>
          <w:w w:val="105"/>
        </w:rPr>
        <w:t>persona</w:t>
      </w:r>
      <w:r>
        <w:rPr>
          <w:spacing w:val="-9"/>
          <w:w w:val="105"/>
        </w:rPr>
        <w:t xml:space="preserve"> </w:t>
      </w:r>
      <w:r>
        <w:rPr>
          <w:w w:val="105"/>
        </w:rPr>
        <w:t>con</w:t>
      </w:r>
      <w:r>
        <w:rPr>
          <w:spacing w:val="-9"/>
          <w:w w:val="105"/>
        </w:rPr>
        <w:t xml:space="preserve"> </w:t>
      </w:r>
      <w:r>
        <w:rPr>
          <w:w w:val="105"/>
        </w:rPr>
        <w:t>un</w:t>
      </w:r>
      <w:r>
        <w:rPr>
          <w:spacing w:val="-9"/>
          <w:w w:val="105"/>
        </w:rPr>
        <w:t xml:space="preserve"> </w:t>
      </w:r>
      <w:r>
        <w:rPr>
          <w:w w:val="105"/>
        </w:rPr>
        <w:t>grupo</w:t>
      </w:r>
      <w:r>
        <w:rPr>
          <w:spacing w:val="-9"/>
          <w:w w:val="105"/>
        </w:rPr>
        <w:t xml:space="preserve"> </w:t>
      </w:r>
      <w:r>
        <w:rPr>
          <w:w w:val="105"/>
        </w:rPr>
        <w:t>u</w:t>
      </w:r>
      <w:r>
        <w:rPr>
          <w:spacing w:val="-9"/>
          <w:w w:val="105"/>
        </w:rPr>
        <w:t xml:space="preserve"> </w:t>
      </w:r>
      <w:r>
        <w:rPr>
          <w:w w:val="105"/>
        </w:rPr>
        <w:t>otra</w:t>
      </w:r>
      <w:r>
        <w:rPr>
          <w:spacing w:val="-9"/>
          <w:w w:val="105"/>
        </w:rPr>
        <w:t xml:space="preserve"> </w:t>
      </w:r>
      <w:r>
        <w:rPr>
          <w:w w:val="105"/>
        </w:rPr>
        <w:t>persona</w:t>
      </w:r>
      <w:r>
        <w:rPr>
          <w:spacing w:val="-9"/>
          <w:w w:val="105"/>
        </w:rPr>
        <w:t xml:space="preserve"> </w:t>
      </w:r>
      <w:r>
        <w:rPr>
          <w:w w:val="105"/>
        </w:rPr>
        <w:t>que</w:t>
      </w:r>
      <w:r>
        <w:rPr>
          <w:spacing w:val="-9"/>
          <w:w w:val="105"/>
        </w:rPr>
        <w:t xml:space="preserve"> </w:t>
      </w:r>
      <w:r>
        <w:rPr>
          <w:w w:val="105"/>
        </w:rPr>
        <w:t>posee</w:t>
      </w:r>
      <w:r>
        <w:rPr>
          <w:spacing w:val="-9"/>
          <w:w w:val="105"/>
        </w:rPr>
        <w:t xml:space="preserve"> </w:t>
      </w:r>
      <w:r>
        <w:rPr>
          <w:w w:val="105"/>
        </w:rPr>
        <w:t>una</w:t>
      </w:r>
      <w:r>
        <w:rPr>
          <w:spacing w:val="-9"/>
          <w:w w:val="105"/>
        </w:rPr>
        <w:t xml:space="preserve"> </w:t>
      </w:r>
      <w:r>
        <w:rPr>
          <w:w w:val="105"/>
        </w:rPr>
        <w:t>característica</w:t>
      </w:r>
      <w:r>
        <w:rPr>
          <w:spacing w:val="-9"/>
          <w:w w:val="105"/>
        </w:rPr>
        <w:t xml:space="preserve"> </w:t>
      </w:r>
      <w:r>
        <w:rPr>
          <w:w w:val="105"/>
        </w:rPr>
        <w:t>particular;</w:t>
      </w:r>
      <w:r>
        <w:rPr>
          <w:spacing w:val="-8"/>
          <w:w w:val="105"/>
        </w:rPr>
        <w:t xml:space="preserve"> </w:t>
      </w:r>
      <w:r>
        <w:rPr>
          <w:w w:val="105"/>
        </w:rPr>
        <w:t>y</w:t>
      </w:r>
    </w:p>
    <w:p w14:paraId="60CD1CB6" w14:textId="77777777" w:rsidR="0014798C" w:rsidRDefault="004E1F0B">
      <w:pPr>
        <w:pStyle w:val="Textoindependiente"/>
        <w:spacing w:line="183" w:lineRule="exact"/>
        <w:ind w:left="1119"/>
      </w:pPr>
      <w:r>
        <w:rPr>
          <w:w w:val="105"/>
        </w:rPr>
        <w:t>(b)</w:t>
      </w:r>
      <w:r>
        <w:rPr>
          <w:spacing w:val="-8"/>
          <w:w w:val="105"/>
        </w:rPr>
        <w:t xml:space="preserve"> </w:t>
      </w:r>
      <w:r>
        <w:rPr>
          <w:w w:val="105"/>
        </w:rPr>
        <w:t>surge</w:t>
      </w:r>
      <w:r>
        <w:rPr>
          <w:spacing w:val="-7"/>
          <w:w w:val="105"/>
        </w:rPr>
        <w:t xml:space="preserve"> </w:t>
      </w:r>
      <w:r>
        <w:rPr>
          <w:w w:val="105"/>
        </w:rPr>
        <w:t>debido</w:t>
      </w:r>
      <w:r>
        <w:rPr>
          <w:spacing w:val="-7"/>
          <w:w w:val="105"/>
        </w:rPr>
        <w:t xml:space="preserve"> </w:t>
      </w:r>
      <w:r>
        <w:rPr>
          <w:w w:val="105"/>
        </w:rPr>
        <w:t>a</w:t>
      </w:r>
      <w:r>
        <w:rPr>
          <w:spacing w:val="-7"/>
          <w:w w:val="105"/>
        </w:rPr>
        <w:t xml:space="preserve"> </w:t>
      </w:r>
      <w:r>
        <w:rPr>
          <w:w w:val="105"/>
        </w:rPr>
        <w:t>una</w:t>
      </w:r>
      <w:r>
        <w:rPr>
          <w:spacing w:val="-7"/>
          <w:w w:val="105"/>
        </w:rPr>
        <w:t xml:space="preserve"> </w:t>
      </w:r>
      <w:r>
        <w:rPr>
          <w:w w:val="105"/>
        </w:rPr>
        <w:t>percepción</w:t>
      </w:r>
      <w:r>
        <w:rPr>
          <w:spacing w:val="-7"/>
          <w:w w:val="105"/>
        </w:rPr>
        <w:t xml:space="preserve"> </w:t>
      </w:r>
      <w:r>
        <w:rPr>
          <w:w w:val="105"/>
        </w:rPr>
        <w:t>(ya</w:t>
      </w:r>
      <w:r>
        <w:rPr>
          <w:spacing w:val="-7"/>
          <w:w w:val="105"/>
        </w:rPr>
        <w:t xml:space="preserve"> </w:t>
      </w:r>
      <w:r>
        <w:rPr>
          <w:w w:val="105"/>
        </w:rPr>
        <w:t>sea</w:t>
      </w:r>
      <w:r>
        <w:rPr>
          <w:spacing w:val="-7"/>
          <w:w w:val="105"/>
        </w:rPr>
        <w:t xml:space="preserve"> </w:t>
      </w:r>
      <w:r>
        <w:rPr>
          <w:w w:val="105"/>
        </w:rPr>
        <w:t>exacta</w:t>
      </w:r>
      <w:r>
        <w:rPr>
          <w:spacing w:val="-8"/>
          <w:w w:val="105"/>
        </w:rPr>
        <w:t xml:space="preserve"> </w:t>
      </w:r>
      <w:r>
        <w:rPr>
          <w:w w:val="105"/>
        </w:rPr>
        <w:t>o</w:t>
      </w:r>
      <w:r>
        <w:rPr>
          <w:spacing w:val="-7"/>
          <w:w w:val="105"/>
        </w:rPr>
        <w:t xml:space="preserve"> </w:t>
      </w:r>
      <w:r>
        <w:rPr>
          <w:w w:val="105"/>
        </w:rPr>
        <w:t>no)</w:t>
      </w:r>
      <w:r>
        <w:rPr>
          <w:spacing w:val="-7"/>
          <w:w w:val="105"/>
        </w:rPr>
        <w:t xml:space="preserve"> </w:t>
      </w:r>
      <w:r>
        <w:rPr>
          <w:w w:val="105"/>
        </w:rPr>
        <w:t>de</w:t>
      </w:r>
      <w:r>
        <w:rPr>
          <w:spacing w:val="-7"/>
          <w:w w:val="105"/>
        </w:rPr>
        <w:t xml:space="preserve"> </w:t>
      </w:r>
      <w:r>
        <w:rPr>
          <w:w w:val="105"/>
        </w:rPr>
        <w:t>que</w:t>
      </w:r>
      <w:r>
        <w:rPr>
          <w:spacing w:val="-8"/>
          <w:w w:val="105"/>
        </w:rPr>
        <w:t xml:space="preserve"> </w:t>
      </w:r>
      <w:r>
        <w:rPr>
          <w:w w:val="105"/>
        </w:rPr>
        <w:t>una</w:t>
      </w:r>
      <w:r>
        <w:rPr>
          <w:spacing w:val="-7"/>
          <w:w w:val="105"/>
        </w:rPr>
        <w:t xml:space="preserve"> </w:t>
      </w:r>
      <w:r>
        <w:rPr>
          <w:w w:val="105"/>
        </w:rPr>
        <w:t>persona</w:t>
      </w:r>
      <w:r>
        <w:rPr>
          <w:spacing w:val="-7"/>
          <w:w w:val="105"/>
        </w:rPr>
        <w:t xml:space="preserve"> </w:t>
      </w:r>
      <w:r>
        <w:rPr>
          <w:w w:val="105"/>
        </w:rPr>
        <w:t>posee</w:t>
      </w:r>
      <w:r>
        <w:rPr>
          <w:spacing w:val="-7"/>
          <w:w w:val="105"/>
        </w:rPr>
        <w:t xml:space="preserve"> </w:t>
      </w:r>
      <w:r>
        <w:rPr>
          <w:w w:val="105"/>
        </w:rPr>
        <w:t>una</w:t>
      </w:r>
      <w:r>
        <w:rPr>
          <w:spacing w:val="-7"/>
          <w:w w:val="105"/>
        </w:rPr>
        <w:t xml:space="preserve"> </w:t>
      </w:r>
      <w:r>
        <w:rPr>
          <w:w w:val="105"/>
        </w:rPr>
        <w:t>característica</w:t>
      </w:r>
      <w:r>
        <w:rPr>
          <w:spacing w:val="-8"/>
          <w:w w:val="105"/>
        </w:rPr>
        <w:t xml:space="preserve"> </w:t>
      </w:r>
      <w:r>
        <w:rPr>
          <w:spacing w:val="-2"/>
          <w:w w:val="105"/>
        </w:rPr>
        <w:t>particular.</w:t>
      </w:r>
    </w:p>
    <w:p w14:paraId="37D3497C" w14:textId="77777777" w:rsidR="0014798C" w:rsidRDefault="004E1F0B">
      <w:pPr>
        <w:pStyle w:val="Textoindependiente"/>
        <w:spacing w:before="66" w:line="316" w:lineRule="auto"/>
        <w:ind w:left="1111" w:right="1166" w:hanging="3"/>
      </w:pPr>
      <w:r>
        <w:rPr>
          <w:w w:val="105"/>
        </w:rPr>
        <w:t>También</w:t>
      </w:r>
      <w:r>
        <w:rPr>
          <w:spacing w:val="-4"/>
          <w:w w:val="105"/>
        </w:rPr>
        <w:t xml:space="preserve"> </w:t>
      </w:r>
      <w:r>
        <w:rPr>
          <w:w w:val="105"/>
        </w:rPr>
        <w:t>debe</w:t>
      </w:r>
      <w:r>
        <w:rPr>
          <w:spacing w:val="-3"/>
          <w:w w:val="105"/>
        </w:rPr>
        <w:t xml:space="preserve"> </w:t>
      </w:r>
      <w:r>
        <w:rPr>
          <w:w w:val="105"/>
        </w:rPr>
        <w:t>prohibirse</w:t>
      </w:r>
      <w:r>
        <w:rPr>
          <w:spacing w:val="-3"/>
          <w:w w:val="105"/>
        </w:rPr>
        <w:t xml:space="preserve"> </w:t>
      </w:r>
      <w:r>
        <w:rPr>
          <w:w w:val="105"/>
        </w:rPr>
        <w:t>la</w:t>
      </w:r>
      <w:r>
        <w:rPr>
          <w:spacing w:val="-3"/>
          <w:w w:val="105"/>
        </w:rPr>
        <w:t xml:space="preserve"> </w:t>
      </w:r>
      <w:r>
        <w:rPr>
          <w:w w:val="105"/>
        </w:rPr>
        <w:t>discriminación</w:t>
      </w:r>
      <w:r>
        <w:rPr>
          <w:spacing w:val="-3"/>
          <w:w w:val="105"/>
        </w:rPr>
        <w:t xml:space="preserve"> </w:t>
      </w:r>
      <w:r>
        <w:rPr>
          <w:w w:val="105"/>
        </w:rPr>
        <w:t>cuando</w:t>
      </w:r>
      <w:r>
        <w:rPr>
          <w:spacing w:val="-3"/>
          <w:w w:val="105"/>
        </w:rPr>
        <w:t xml:space="preserve"> </w:t>
      </w:r>
      <w:r>
        <w:rPr>
          <w:w w:val="105"/>
        </w:rPr>
        <w:t>surge</w:t>
      </w:r>
      <w:r>
        <w:rPr>
          <w:spacing w:val="-3"/>
          <w:w w:val="105"/>
        </w:rPr>
        <w:t xml:space="preserve"> </w:t>
      </w:r>
      <w:r>
        <w:rPr>
          <w:w w:val="105"/>
        </w:rPr>
        <w:t>sobre</w:t>
      </w:r>
      <w:r>
        <w:rPr>
          <w:spacing w:val="-3"/>
          <w:w w:val="105"/>
        </w:rPr>
        <w:t xml:space="preserve"> </w:t>
      </w:r>
      <w:r>
        <w:rPr>
          <w:w w:val="105"/>
        </w:rPr>
        <w:t>la</w:t>
      </w:r>
      <w:r>
        <w:rPr>
          <w:spacing w:val="-3"/>
          <w:w w:val="105"/>
        </w:rPr>
        <w:t xml:space="preserve"> </w:t>
      </w:r>
      <w:r>
        <w:rPr>
          <w:w w:val="105"/>
        </w:rPr>
        <w:t>base</w:t>
      </w:r>
      <w:r>
        <w:rPr>
          <w:spacing w:val="-3"/>
          <w:w w:val="105"/>
        </w:rPr>
        <w:t xml:space="preserve"> </w:t>
      </w:r>
      <w:r>
        <w:rPr>
          <w:w w:val="105"/>
        </w:rPr>
        <w:t>de</w:t>
      </w:r>
      <w:r>
        <w:rPr>
          <w:spacing w:val="-3"/>
          <w:w w:val="105"/>
        </w:rPr>
        <w:t xml:space="preserve"> </w:t>
      </w:r>
      <w:r>
        <w:rPr>
          <w:w w:val="105"/>
        </w:rPr>
        <w:t>una</w:t>
      </w:r>
      <w:r>
        <w:rPr>
          <w:spacing w:val="-3"/>
          <w:w w:val="105"/>
        </w:rPr>
        <w:t xml:space="preserve"> </w:t>
      </w:r>
      <w:r>
        <w:rPr>
          <w:w w:val="105"/>
        </w:rPr>
        <w:t>combinación</w:t>
      </w:r>
      <w:r>
        <w:rPr>
          <w:spacing w:val="-3"/>
          <w:w w:val="105"/>
        </w:rPr>
        <w:t xml:space="preserve"> </w:t>
      </w:r>
      <w:r>
        <w:rPr>
          <w:w w:val="105"/>
        </w:rPr>
        <w:t>de</w:t>
      </w:r>
      <w:r>
        <w:rPr>
          <w:spacing w:val="-3"/>
          <w:w w:val="105"/>
        </w:rPr>
        <w:t xml:space="preserve"> </w:t>
      </w:r>
      <w:r>
        <w:rPr>
          <w:w w:val="105"/>
        </w:rPr>
        <w:t>características</w:t>
      </w:r>
      <w:r>
        <w:rPr>
          <w:spacing w:val="-4"/>
          <w:w w:val="105"/>
        </w:rPr>
        <w:t xml:space="preserve"> </w:t>
      </w:r>
      <w:proofErr w:type="gramStart"/>
      <w:r>
        <w:rPr>
          <w:w w:val="105"/>
        </w:rPr>
        <w:t>(</w:t>
      </w:r>
      <w:r>
        <w:rPr>
          <w:spacing w:val="-3"/>
          <w:w w:val="105"/>
        </w:rPr>
        <w:t xml:space="preserve"> </w:t>
      </w:r>
      <w:r>
        <w:rPr>
          <w:w w:val="105"/>
        </w:rPr>
        <w:t>discriminación</w:t>
      </w:r>
      <w:proofErr w:type="gramEnd"/>
      <w:r>
        <w:rPr>
          <w:w w:val="105"/>
        </w:rPr>
        <w:t xml:space="preserve"> </w:t>
      </w:r>
      <w:r>
        <w:rPr>
          <w:spacing w:val="-2"/>
          <w:w w:val="105"/>
        </w:rPr>
        <w:t>múltiple).</w:t>
      </w:r>
    </w:p>
    <w:p w14:paraId="3FB6EBF2" w14:textId="77777777" w:rsidR="0014798C" w:rsidRDefault="0014798C">
      <w:pPr>
        <w:pStyle w:val="Textoindependiente"/>
      </w:pPr>
    </w:p>
    <w:p w14:paraId="67866AD8" w14:textId="77777777" w:rsidR="0014798C" w:rsidRDefault="0014798C">
      <w:pPr>
        <w:pStyle w:val="Textoindependiente"/>
        <w:spacing w:before="99"/>
      </w:pPr>
    </w:p>
    <w:p w14:paraId="2ABDC8B2" w14:textId="77777777" w:rsidR="0014798C" w:rsidRDefault="004E1F0B">
      <w:pPr>
        <w:pStyle w:val="Textoindependiente"/>
        <w:ind w:left="1332"/>
      </w:pPr>
      <w:r>
        <w:rPr>
          <w:w w:val="105"/>
        </w:rPr>
        <w:t>La</w:t>
      </w:r>
      <w:r>
        <w:rPr>
          <w:spacing w:val="-9"/>
          <w:w w:val="105"/>
        </w:rPr>
        <w:t xml:space="preserve"> </w:t>
      </w:r>
      <w:r>
        <w:rPr>
          <w:w w:val="105"/>
        </w:rPr>
        <w:t>prohibición</w:t>
      </w:r>
      <w:r>
        <w:rPr>
          <w:spacing w:val="-9"/>
          <w:w w:val="105"/>
        </w:rPr>
        <w:t xml:space="preserve"> </w:t>
      </w:r>
      <w:r>
        <w:rPr>
          <w:w w:val="105"/>
        </w:rPr>
        <w:t>de</w:t>
      </w:r>
      <w:r>
        <w:rPr>
          <w:spacing w:val="-9"/>
          <w:w w:val="105"/>
        </w:rPr>
        <w:t xml:space="preserve"> </w:t>
      </w:r>
      <w:r>
        <w:rPr>
          <w:w w:val="105"/>
        </w:rPr>
        <w:t>la</w:t>
      </w:r>
      <w:r>
        <w:rPr>
          <w:spacing w:val="-9"/>
          <w:w w:val="105"/>
        </w:rPr>
        <w:t xml:space="preserve"> </w:t>
      </w:r>
      <w:r>
        <w:rPr>
          <w:w w:val="105"/>
        </w:rPr>
        <w:t>discriminación</w:t>
      </w:r>
      <w:r>
        <w:rPr>
          <w:spacing w:val="-8"/>
          <w:w w:val="105"/>
        </w:rPr>
        <w:t xml:space="preserve"> </w:t>
      </w:r>
      <w:r>
        <w:rPr>
          <w:w w:val="105"/>
        </w:rPr>
        <w:t>incluye</w:t>
      </w:r>
      <w:r>
        <w:rPr>
          <w:spacing w:val="-9"/>
          <w:w w:val="105"/>
        </w:rPr>
        <w:t xml:space="preserve"> </w:t>
      </w:r>
      <w:r>
        <w:rPr>
          <w:w w:val="105"/>
        </w:rPr>
        <w:t>la</w:t>
      </w:r>
      <w:r>
        <w:rPr>
          <w:spacing w:val="-9"/>
          <w:w w:val="105"/>
        </w:rPr>
        <w:t xml:space="preserve"> </w:t>
      </w:r>
      <w:r>
        <w:rPr>
          <w:w w:val="105"/>
        </w:rPr>
        <w:t>discriminación</w:t>
      </w:r>
      <w:r>
        <w:rPr>
          <w:spacing w:val="-9"/>
          <w:w w:val="105"/>
        </w:rPr>
        <w:t xml:space="preserve"> </w:t>
      </w:r>
      <w:r>
        <w:rPr>
          <w:w w:val="105"/>
        </w:rPr>
        <w:t>basada</w:t>
      </w:r>
      <w:r>
        <w:rPr>
          <w:spacing w:val="-9"/>
          <w:w w:val="105"/>
        </w:rPr>
        <w:t xml:space="preserve"> </w:t>
      </w:r>
      <w:r>
        <w:rPr>
          <w:w w:val="105"/>
        </w:rPr>
        <w:t>en</w:t>
      </w:r>
      <w:r>
        <w:rPr>
          <w:spacing w:val="-8"/>
          <w:w w:val="105"/>
        </w:rPr>
        <w:t xml:space="preserve"> </w:t>
      </w:r>
      <w:r>
        <w:rPr>
          <w:w w:val="105"/>
        </w:rPr>
        <w:t>la</w:t>
      </w:r>
      <w:r>
        <w:rPr>
          <w:spacing w:val="-9"/>
          <w:w w:val="105"/>
        </w:rPr>
        <w:t xml:space="preserve"> </w:t>
      </w:r>
      <w:r>
        <w:rPr>
          <w:w w:val="105"/>
        </w:rPr>
        <w:t>asociación</w:t>
      </w:r>
      <w:r>
        <w:rPr>
          <w:spacing w:val="-9"/>
          <w:w w:val="105"/>
        </w:rPr>
        <w:t xml:space="preserve"> </w:t>
      </w:r>
      <w:r>
        <w:rPr>
          <w:w w:val="105"/>
        </w:rPr>
        <w:t>y</w:t>
      </w:r>
      <w:r>
        <w:rPr>
          <w:spacing w:val="-9"/>
          <w:w w:val="105"/>
        </w:rPr>
        <w:t xml:space="preserve"> </w:t>
      </w:r>
      <w:r>
        <w:rPr>
          <w:w w:val="105"/>
        </w:rPr>
        <w:t>la</w:t>
      </w:r>
      <w:r>
        <w:rPr>
          <w:spacing w:val="-9"/>
          <w:w w:val="105"/>
        </w:rPr>
        <w:t xml:space="preserve"> </w:t>
      </w:r>
      <w:r>
        <w:rPr>
          <w:spacing w:val="-2"/>
          <w:w w:val="105"/>
        </w:rPr>
        <w:t>percepción.</w:t>
      </w:r>
    </w:p>
    <w:p w14:paraId="4DC9218A" w14:textId="77777777" w:rsidR="0014798C" w:rsidRDefault="004E1F0B">
      <w:pPr>
        <w:pStyle w:val="Textoindependiente"/>
        <w:spacing w:before="179" w:line="326" w:lineRule="auto"/>
        <w:ind w:left="1332" w:right="1626" w:firstLine="1"/>
      </w:pPr>
      <w:r>
        <w:rPr>
          <w:w w:val="105"/>
        </w:rPr>
        <w:t>La discriminación basada en la percepción se produce cuando las personas se encuentran en desventaja por la percepción</w:t>
      </w:r>
      <w:r>
        <w:rPr>
          <w:spacing w:val="-3"/>
          <w:w w:val="105"/>
        </w:rPr>
        <w:t xml:space="preserve"> </w:t>
      </w:r>
      <w:proofErr w:type="gramStart"/>
      <w:r>
        <w:rPr>
          <w:w w:val="105"/>
        </w:rPr>
        <w:t>(</w:t>
      </w:r>
      <w:r>
        <w:rPr>
          <w:spacing w:val="-3"/>
          <w:w w:val="105"/>
        </w:rPr>
        <w:t xml:space="preserve"> </w:t>
      </w:r>
      <w:r>
        <w:rPr>
          <w:w w:val="105"/>
        </w:rPr>
        <w:t>sea</w:t>
      </w:r>
      <w:proofErr w:type="gramEnd"/>
      <w:r>
        <w:rPr>
          <w:spacing w:val="-3"/>
          <w:w w:val="105"/>
        </w:rPr>
        <w:t xml:space="preserve"> </w:t>
      </w:r>
      <w:r>
        <w:rPr>
          <w:w w:val="105"/>
        </w:rPr>
        <w:t>exacta</w:t>
      </w:r>
      <w:r>
        <w:rPr>
          <w:spacing w:val="-4"/>
          <w:w w:val="105"/>
        </w:rPr>
        <w:t xml:space="preserve"> </w:t>
      </w:r>
      <w:r>
        <w:rPr>
          <w:w w:val="105"/>
        </w:rPr>
        <w:t>o</w:t>
      </w:r>
      <w:r>
        <w:rPr>
          <w:spacing w:val="-3"/>
          <w:w w:val="105"/>
        </w:rPr>
        <w:t xml:space="preserve"> </w:t>
      </w:r>
      <w:r>
        <w:rPr>
          <w:w w:val="105"/>
        </w:rPr>
        <w:t>no)</w:t>
      </w:r>
      <w:r>
        <w:rPr>
          <w:spacing w:val="-3"/>
          <w:w w:val="105"/>
        </w:rPr>
        <w:t xml:space="preserve"> </w:t>
      </w:r>
      <w:r>
        <w:rPr>
          <w:w w:val="105"/>
        </w:rPr>
        <w:t>de</w:t>
      </w:r>
      <w:r>
        <w:rPr>
          <w:spacing w:val="-3"/>
          <w:w w:val="105"/>
        </w:rPr>
        <w:t xml:space="preserve"> </w:t>
      </w:r>
      <w:r>
        <w:rPr>
          <w:w w:val="105"/>
        </w:rPr>
        <w:t>que</w:t>
      </w:r>
      <w:r>
        <w:rPr>
          <w:spacing w:val="-3"/>
          <w:w w:val="105"/>
        </w:rPr>
        <w:t xml:space="preserve"> </w:t>
      </w:r>
      <w:r>
        <w:rPr>
          <w:w w:val="105"/>
        </w:rPr>
        <w:t>poseen</w:t>
      </w:r>
      <w:r>
        <w:rPr>
          <w:spacing w:val="-3"/>
          <w:w w:val="105"/>
        </w:rPr>
        <w:t xml:space="preserve"> </w:t>
      </w:r>
      <w:r>
        <w:rPr>
          <w:w w:val="105"/>
        </w:rPr>
        <w:t>una</w:t>
      </w:r>
      <w:r>
        <w:rPr>
          <w:spacing w:val="-3"/>
          <w:w w:val="105"/>
        </w:rPr>
        <w:t xml:space="preserve"> </w:t>
      </w:r>
      <w:r>
        <w:rPr>
          <w:w w:val="105"/>
        </w:rPr>
        <w:t>característica</w:t>
      </w:r>
      <w:r>
        <w:rPr>
          <w:spacing w:val="-4"/>
          <w:w w:val="105"/>
        </w:rPr>
        <w:t xml:space="preserve"> </w:t>
      </w:r>
      <w:r>
        <w:rPr>
          <w:w w:val="105"/>
        </w:rPr>
        <w:t>protegida.</w:t>
      </w:r>
      <w:r>
        <w:rPr>
          <w:spacing w:val="-3"/>
          <w:w w:val="105"/>
        </w:rPr>
        <w:t xml:space="preserve"> </w:t>
      </w:r>
      <w:r>
        <w:rPr>
          <w:w w:val="105"/>
        </w:rPr>
        <w:t>La</w:t>
      </w:r>
      <w:r>
        <w:rPr>
          <w:spacing w:val="-3"/>
          <w:w w:val="105"/>
        </w:rPr>
        <w:t xml:space="preserve"> </w:t>
      </w:r>
      <w:r>
        <w:rPr>
          <w:w w:val="105"/>
        </w:rPr>
        <w:t>discriminación</w:t>
      </w:r>
      <w:r>
        <w:rPr>
          <w:spacing w:val="-3"/>
          <w:w w:val="105"/>
        </w:rPr>
        <w:t xml:space="preserve"> </w:t>
      </w:r>
      <w:r>
        <w:rPr>
          <w:w w:val="105"/>
        </w:rPr>
        <w:t>basada</w:t>
      </w:r>
      <w:r>
        <w:rPr>
          <w:spacing w:val="-3"/>
          <w:w w:val="105"/>
        </w:rPr>
        <w:t xml:space="preserve"> </w:t>
      </w:r>
      <w:r>
        <w:rPr>
          <w:w w:val="105"/>
        </w:rPr>
        <w:t>en</w:t>
      </w:r>
      <w:r>
        <w:rPr>
          <w:spacing w:val="-3"/>
          <w:w w:val="105"/>
        </w:rPr>
        <w:t xml:space="preserve"> </w:t>
      </w:r>
      <w:r>
        <w:rPr>
          <w:w w:val="105"/>
        </w:rPr>
        <w:t>la</w:t>
      </w:r>
      <w:r>
        <w:rPr>
          <w:spacing w:val="-3"/>
          <w:w w:val="105"/>
        </w:rPr>
        <w:t xml:space="preserve"> </w:t>
      </w:r>
      <w:r>
        <w:rPr>
          <w:w w:val="105"/>
        </w:rPr>
        <w:t>asociación se produce cuando las personas se encuentran en desventaja por su asociación con otra persona o personas que poseen una característica protegida.</w:t>
      </w:r>
    </w:p>
    <w:p w14:paraId="381892E9" w14:textId="77777777" w:rsidR="0014798C" w:rsidRDefault="004E1F0B">
      <w:pPr>
        <w:pStyle w:val="Textoindependiente"/>
        <w:spacing w:before="111" w:line="326" w:lineRule="auto"/>
        <w:ind w:left="1333" w:right="1272" w:hanging="1"/>
      </w:pPr>
      <w:r>
        <w:rPr>
          <w:w w:val="105"/>
        </w:rPr>
        <w:t>La</w:t>
      </w:r>
      <w:r>
        <w:rPr>
          <w:spacing w:val="-4"/>
          <w:w w:val="105"/>
        </w:rPr>
        <w:t xml:space="preserve"> </w:t>
      </w:r>
      <w:r>
        <w:rPr>
          <w:w w:val="105"/>
        </w:rPr>
        <w:t>prohibición</w:t>
      </w:r>
      <w:r>
        <w:rPr>
          <w:spacing w:val="-4"/>
          <w:w w:val="105"/>
        </w:rPr>
        <w:t xml:space="preserve"> </w:t>
      </w:r>
      <w:r>
        <w:rPr>
          <w:w w:val="105"/>
        </w:rPr>
        <w:t>de</w:t>
      </w:r>
      <w:r>
        <w:rPr>
          <w:spacing w:val="-4"/>
          <w:w w:val="105"/>
        </w:rPr>
        <w:t xml:space="preserve"> </w:t>
      </w:r>
      <w:r>
        <w:rPr>
          <w:w w:val="105"/>
        </w:rPr>
        <w:t>la</w:t>
      </w:r>
      <w:r>
        <w:rPr>
          <w:spacing w:val="-4"/>
          <w:w w:val="105"/>
        </w:rPr>
        <w:t xml:space="preserve"> </w:t>
      </w:r>
      <w:r>
        <w:rPr>
          <w:w w:val="105"/>
        </w:rPr>
        <w:t>discriminación</w:t>
      </w:r>
      <w:r>
        <w:rPr>
          <w:spacing w:val="-4"/>
          <w:w w:val="105"/>
        </w:rPr>
        <w:t xml:space="preserve"> </w:t>
      </w:r>
      <w:r>
        <w:rPr>
          <w:w w:val="105"/>
        </w:rPr>
        <w:t>incluye</w:t>
      </w:r>
      <w:r>
        <w:rPr>
          <w:spacing w:val="-4"/>
          <w:w w:val="105"/>
        </w:rPr>
        <w:t xml:space="preserve"> </w:t>
      </w:r>
      <w:r>
        <w:rPr>
          <w:w w:val="105"/>
        </w:rPr>
        <w:t>la</w:t>
      </w:r>
      <w:r>
        <w:rPr>
          <w:spacing w:val="-4"/>
          <w:w w:val="105"/>
        </w:rPr>
        <w:t xml:space="preserve"> </w:t>
      </w:r>
      <w:r>
        <w:rPr>
          <w:w w:val="105"/>
        </w:rPr>
        <w:t>discriminación</w:t>
      </w:r>
      <w:r>
        <w:rPr>
          <w:spacing w:val="-4"/>
          <w:w w:val="105"/>
        </w:rPr>
        <w:t xml:space="preserve"> </w:t>
      </w:r>
      <w:r>
        <w:rPr>
          <w:w w:val="105"/>
        </w:rPr>
        <w:t>múltiple</w:t>
      </w:r>
      <w:r>
        <w:rPr>
          <w:spacing w:val="-4"/>
          <w:w w:val="105"/>
        </w:rPr>
        <w:t xml:space="preserve"> </w:t>
      </w:r>
      <w:r>
        <w:rPr>
          <w:w w:val="105"/>
        </w:rPr>
        <w:t>(interseccional</w:t>
      </w:r>
      <w:r>
        <w:rPr>
          <w:spacing w:val="-4"/>
          <w:w w:val="105"/>
        </w:rPr>
        <w:t xml:space="preserve"> </w:t>
      </w:r>
      <w:r>
        <w:rPr>
          <w:w w:val="105"/>
        </w:rPr>
        <w:t>y</w:t>
      </w:r>
      <w:r>
        <w:rPr>
          <w:spacing w:val="-4"/>
          <w:w w:val="105"/>
        </w:rPr>
        <w:t xml:space="preserve"> </w:t>
      </w:r>
      <w:r>
        <w:rPr>
          <w:w w:val="105"/>
        </w:rPr>
        <w:t>acumulativa)</w:t>
      </w:r>
      <w:r>
        <w:rPr>
          <w:spacing w:val="-4"/>
          <w:w w:val="105"/>
        </w:rPr>
        <w:t xml:space="preserve"> </w:t>
      </w:r>
      <w:r>
        <w:rPr>
          <w:w w:val="105"/>
        </w:rPr>
        <w:t>y</w:t>
      </w:r>
      <w:r>
        <w:rPr>
          <w:spacing w:val="-4"/>
          <w:w w:val="105"/>
        </w:rPr>
        <w:t xml:space="preserve"> </w:t>
      </w:r>
      <w:r>
        <w:rPr>
          <w:w w:val="105"/>
        </w:rPr>
        <w:t>reconoce</w:t>
      </w:r>
      <w:r>
        <w:rPr>
          <w:spacing w:val="-4"/>
          <w:w w:val="105"/>
        </w:rPr>
        <w:t xml:space="preserve"> </w:t>
      </w:r>
      <w:r>
        <w:rPr>
          <w:w w:val="105"/>
        </w:rPr>
        <w:t>el</w:t>
      </w:r>
      <w:r>
        <w:rPr>
          <w:spacing w:val="-4"/>
          <w:w w:val="105"/>
        </w:rPr>
        <w:t xml:space="preserve"> </w:t>
      </w:r>
      <w:r>
        <w:rPr>
          <w:w w:val="105"/>
        </w:rPr>
        <w:t>daño particular involucrado.</w:t>
      </w:r>
    </w:p>
    <w:p w14:paraId="21C8BE14" w14:textId="77777777" w:rsidR="0014798C" w:rsidRDefault="004E1F0B">
      <w:pPr>
        <w:pStyle w:val="Textoindependiente"/>
        <w:spacing w:before="112" w:line="326" w:lineRule="auto"/>
        <w:ind w:left="1332" w:right="1914" w:firstLine="5"/>
        <w:jc w:val="both"/>
      </w:pPr>
      <w:r>
        <w:rPr>
          <w:w w:val="105"/>
        </w:rPr>
        <w:t>La</w:t>
      </w:r>
      <w:r>
        <w:rPr>
          <w:spacing w:val="-3"/>
          <w:w w:val="105"/>
        </w:rPr>
        <w:t xml:space="preserve"> </w:t>
      </w:r>
      <w:r>
        <w:rPr>
          <w:w w:val="105"/>
        </w:rPr>
        <w:t>discriminación</w:t>
      </w:r>
      <w:r>
        <w:rPr>
          <w:spacing w:val="-3"/>
          <w:w w:val="105"/>
        </w:rPr>
        <w:t xml:space="preserve"> </w:t>
      </w:r>
      <w:r>
        <w:rPr>
          <w:w w:val="105"/>
        </w:rPr>
        <w:t>acumulativa</w:t>
      </w:r>
      <w:r>
        <w:rPr>
          <w:spacing w:val="-4"/>
          <w:w w:val="105"/>
        </w:rPr>
        <w:t xml:space="preserve"> </w:t>
      </w:r>
      <w:r>
        <w:rPr>
          <w:w w:val="105"/>
        </w:rPr>
        <w:t>tiene</w:t>
      </w:r>
      <w:r>
        <w:rPr>
          <w:spacing w:val="-4"/>
          <w:w w:val="105"/>
        </w:rPr>
        <w:t xml:space="preserve"> </w:t>
      </w:r>
      <w:r>
        <w:rPr>
          <w:w w:val="105"/>
        </w:rPr>
        <w:t>lugar</w:t>
      </w:r>
      <w:r>
        <w:rPr>
          <w:spacing w:val="-4"/>
          <w:w w:val="105"/>
        </w:rPr>
        <w:t xml:space="preserve"> </w:t>
      </w:r>
      <w:r>
        <w:rPr>
          <w:w w:val="105"/>
        </w:rPr>
        <w:t>cuando</w:t>
      </w:r>
      <w:r>
        <w:rPr>
          <w:spacing w:val="-3"/>
          <w:w w:val="105"/>
        </w:rPr>
        <w:t xml:space="preserve"> </w:t>
      </w:r>
      <w:r>
        <w:rPr>
          <w:w w:val="105"/>
        </w:rPr>
        <w:t>la</w:t>
      </w:r>
      <w:r>
        <w:rPr>
          <w:spacing w:val="-3"/>
          <w:w w:val="105"/>
        </w:rPr>
        <w:t xml:space="preserve"> </w:t>
      </w:r>
      <w:r>
        <w:rPr>
          <w:w w:val="105"/>
        </w:rPr>
        <w:t>discriminación</w:t>
      </w:r>
      <w:r>
        <w:rPr>
          <w:spacing w:val="-3"/>
          <w:w w:val="105"/>
        </w:rPr>
        <w:t xml:space="preserve"> </w:t>
      </w:r>
      <w:r>
        <w:rPr>
          <w:w w:val="105"/>
        </w:rPr>
        <w:t>se</w:t>
      </w:r>
      <w:r>
        <w:rPr>
          <w:spacing w:val="-3"/>
          <w:w w:val="105"/>
        </w:rPr>
        <w:t xml:space="preserve"> </w:t>
      </w:r>
      <w:r>
        <w:rPr>
          <w:w w:val="105"/>
        </w:rPr>
        <w:t>produce</w:t>
      </w:r>
      <w:r>
        <w:rPr>
          <w:spacing w:val="-3"/>
          <w:w w:val="105"/>
        </w:rPr>
        <w:t xml:space="preserve"> </w:t>
      </w:r>
      <w:r>
        <w:rPr>
          <w:w w:val="105"/>
        </w:rPr>
        <w:t>por</w:t>
      </w:r>
      <w:r>
        <w:rPr>
          <w:spacing w:val="-3"/>
          <w:w w:val="105"/>
        </w:rPr>
        <w:t xml:space="preserve"> </w:t>
      </w:r>
      <w:r>
        <w:rPr>
          <w:w w:val="105"/>
        </w:rPr>
        <w:t>dos</w:t>
      </w:r>
      <w:r>
        <w:rPr>
          <w:spacing w:val="-3"/>
          <w:w w:val="105"/>
        </w:rPr>
        <w:t xml:space="preserve"> </w:t>
      </w:r>
      <w:r>
        <w:rPr>
          <w:w w:val="105"/>
        </w:rPr>
        <w:t>o</w:t>
      </w:r>
      <w:r>
        <w:rPr>
          <w:spacing w:val="-3"/>
          <w:w w:val="105"/>
        </w:rPr>
        <w:t xml:space="preserve"> </w:t>
      </w:r>
      <w:r>
        <w:rPr>
          <w:w w:val="105"/>
        </w:rPr>
        <w:t>más</w:t>
      </w:r>
      <w:r>
        <w:rPr>
          <w:spacing w:val="-3"/>
          <w:w w:val="105"/>
        </w:rPr>
        <w:t xml:space="preserve"> </w:t>
      </w:r>
      <w:r>
        <w:rPr>
          <w:w w:val="105"/>
        </w:rPr>
        <w:t>motivos</w:t>
      </w:r>
      <w:r>
        <w:rPr>
          <w:spacing w:val="-4"/>
          <w:w w:val="105"/>
        </w:rPr>
        <w:t xml:space="preserve"> </w:t>
      </w:r>
      <w:r>
        <w:rPr>
          <w:w w:val="105"/>
        </w:rPr>
        <w:t>separados. La</w:t>
      </w:r>
      <w:r>
        <w:rPr>
          <w:spacing w:val="-3"/>
          <w:w w:val="105"/>
        </w:rPr>
        <w:t xml:space="preserve"> </w:t>
      </w:r>
      <w:r>
        <w:rPr>
          <w:w w:val="105"/>
        </w:rPr>
        <w:t>discriminación</w:t>
      </w:r>
      <w:r>
        <w:rPr>
          <w:spacing w:val="-3"/>
          <w:w w:val="105"/>
        </w:rPr>
        <w:t xml:space="preserve"> </w:t>
      </w:r>
      <w:r>
        <w:rPr>
          <w:w w:val="105"/>
        </w:rPr>
        <w:t>interseccional</w:t>
      </w:r>
      <w:r>
        <w:rPr>
          <w:spacing w:val="-3"/>
          <w:w w:val="105"/>
        </w:rPr>
        <w:t xml:space="preserve"> </w:t>
      </w:r>
      <w:r>
        <w:rPr>
          <w:w w:val="105"/>
        </w:rPr>
        <w:t>tiene</w:t>
      </w:r>
      <w:r>
        <w:rPr>
          <w:spacing w:val="-4"/>
          <w:w w:val="105"/>
        </w:rPr>
        <w:t xml:space="preserve"> </w:t>
      </w:r>
      <w:r>
        <w:rPr>
          <w:w w:val="105"/>
        </w:rPr>
        <w:t>lugar</w:t>
      </w:r>
      <w:r>
        <w:rPr>
          <w:spacing w:val="-4"/>
          <w:w w:val="105"/>
        </w:rPr>
        <w:t xml:space="preserve"> </w:t>
      </w:r>
      <w:r>
        <w:rPr>
          <w:w w:val="105"/>
        </w:rPr>
        <w:t>cuando</w:t>
      </w:r>
      <w:r>
        <w:rPr>
          <w:spacing w:val="-3"/>
          <w:w w:val="105"/>
        </w:rPr>
        <w:t xml:space="preserve"> </w:t>
      </w:r>
      <w:r>
        <w:rPr>
          <w:w w:val="105"/>
        </w:rPr>
        <w:t>la</w:t>
      </w:r>
      <w:r>
        <w:rPr>
          <w:spacing w:val="-3"/>
          <w:w w:val="105"/>
        </w:rPr>
        <w:t xml:space="preserve"> </w:t>
      </w:r>
      <w:r>
        <w:rPr>
          <w:w w:val="105"/>
        </w:rPr>
        <w:t>discriminación</w:t>
      </w:r>
      <w:r>
        <w:rPr>
          <w:spacing w:val="-3"/>
          <w:w w:val="105"/>
        </w:rPr>
        <w:t xml:space="preserve"> </w:t>
      </w:r>
      <w:r>
        <w:rPr>
          <w:w w:val="105"/>
        </w:rPr>
        <w:t>se</w:t>
      </w:r>
      <w:r>
        <w:rPr>
          <w:spacing w:val="-3"/>
          <w:w w:val="105"/>
        </w:rPr>
        <w:t xml:space="preserve"> </w:t>
      </w:r>
      <w:r>
        <w:rPr>
          <w:w w:val="105"/>
        </w:rPr>
        <w:t>basa</w:t>
      </w:r>
      <w:r>
        <w:rPr>
          <w:spacing w:val="-3"/>
          <w:w w:val="105"/>
        </w:rPr>
        <w:t xml:space="preserve"> </w:t>
      </w:r>
      <w:r>
        <w:rPr>
          <w:w w:val="105"/>
        </w:rPr>
        <w:t>en</w:t>
      </w:r>
      <w:r>
        <w:rPr>
          <w:spacing w:val="-3"/>
          <w:w w:val="105"/>
        </w:rPr>
        <w:t xml:space="preserve"> </w:t>
      </w:r>
      <w:r>
        <w:rPr>
          <w:w w:val="105"/>
        </w:rPr>
        <w:t>una</w:t>
      </w:r>
      <w:r>
        <w:rPr>
          <w:spacing w:val="-3"/>
          <w:w w:val="105"/>
        </w:rPr>
        <w:t xml:space="preserve"> </w:t>
      </w:r>
      <w:r>
        <w:rPr>
          <w:w w:val="105"/>
        </w:rPr>
        <w:t>combinación</w:t>
      </w:r>
      <w:r>
        <w:rPr>
          <w:spacing w:val="-3"/>
          <w:w w:val="105"/>
        </w:rPr>
        <w:t xml:space="preserve"> </w:t>
      </w:r>
      <w:r>
        <w:rPr>
          <w:w w:val="105"/>
        </w:rPr>
        <w:t>de</w:t>
      </w:r>
      <w:r>
        <w:rPr>
          <w:spacing w:val="-3"/>
          <w:w w:val="105"/>
        </w:rPr>
        <w:t xml:space="preserve"> </w:t>
      </w:r>
      <w:r>
        <w:rPr>
          <w:w w:val="105"/>
        </w:rPr>
        <w:t>motivos</w:t>
      </w:r>
      <w:r>
        <w:rPr>
          <w:spacing w:val="-4"/>
          <w:w w:val="105"/>
        </w:rPr>
        <w:t xml:space="preserve"> </w:t>
      </w:r>
      <w:r>
        <w:rPr>
          <w:w w:val="105"/>
        </w:rPr>
        <w:t>que interactúan entre sí de una manera que produce una discriminación distinta y específica.</w:t>
      </w:r>
    </w:p>
    <w:p w14:paraId="2D30B90B" w14:textId="77777777" w:rsidR="0014798C" w:rsidRDefault="0014798C">
      <w:pPr>
        <w:pStyle w:val="Textoindependiente"/>
        <w:rPr>
          <w:sz w:val="15"/>
        </w:rPr>
      </w:pPr>
    </w:p>
    <w:p w14:paraId="4137A22E" w14:textId="77777777" w:rsidR="0014798C" w:rsidRDefault="0014798C">
      <w:pPr>
        <w:pStyle w:val="Textoindependiente"/>
        <w:rPr>
          <w:sz w:val="15"/>
        </w:rPr>
      </w:pPr>
    </w:p>
    <w:p w14:paraId="0E55879F" w14:textId="77777777" w:rsidR="0014798C" w:rsidRDefault="0014798C">
      <w:pPr>
        <w:pStyle w:val="Textoindependiente"/>
        <w:rPr>
          <w:sz w:val="15"/>
        </w:rPr>
      </w:pPr>
    </w:p>
    <w:p w14:paraId="02408820" w14:textId="77777777" w:rsidR="0014798C" w:rsidRDefault="0014798C">
      <w:pPr>
        <w:pStyle w:val="Textoindependiente"/>
        <w:rPr>
          <w:sz w:val="15"/>
        </w:rPr>
      </w:pPr>
    </w:p>
    <w:p w14:paraId="00B2F14C" w14:textId="77777777" w:rsidR="0014798C" w:rsidRDefault="0014798C">
      <w:pPr>
        <w:pStyle w:val="Textoindependiente"/>
        <w:rPr>
          <w:sz w:val="15"/>
        </w:rPr>
      </w:pPr>
    </w:p>
    <w:p w14:paraId="6BDF9087" w14:textId="77777777" w:rsidR="0014798C" w:rsidRDefault="0014798C">
      <w:pPr>
        <w:pStyle w:val="Textoindependiente"/>
        <w:rPr>
          <w:sz w:val="15"/>
        </w:rPr>
      </w:pPr>
    </w:p>
    <w:p w14:paraId="7AB88A69" w14:textId="77777777" w:rsidR="0014798C" w:rsidRDefault="0014798C">
      <w:pPr>
        <w:pStyle w:val="Textoindependiente"/>
        <w:rPr>
          <w:sz w:val="15"/>
        </w:rPr>
      </w:pPr>
    </w:p>
    <w:p w14:paraId="14A2E997" w14:textId="77777777" w:rsidR="0014798C" w:rsidRDefault="0014798C">
      <w:pPr>
        <w:pStyle w:val="Textoindependiente"/>
        <w:rPr>
          <w:sz w:val="15"/>
        </w:rPr>
      </w:pPr>
    </w:p>
    <w:p w14:paraId="48E7FAAE" w14:textId="77777777" w:rsidR="0014798C" w:rsidRDefault="0014798C">
      <w:pPr>
        <w:pStyle w:val="Textoindependiente"/>
        <w:rPr>
          <w:sz w:val="15"/>
        </w:rPr>
      </w:pPr>
    </w:p>
    <w:p w14:paraId="0688C13A" w14:textId="77777777" w:rsidR="0014798C" w:rsidRDefault="0014798C">
      <w:pPr>
        <w:pStyle w:val="Textoindependiente"/>
        <w:rPr>
          <w:sz w:val="15"/>
        </w:rPr>
      </w:pPr>
    </w:p>
    <w:p w14:paraId="476983A5" w14:textId="77777777" w:rsidR="0014798C" w:rsidRDefault="0014798C">
      <w:pPr>
        <w:pStyle w:val="Textoindependiente"/>
        <w:rPr>
          <w:sz w:val="15"/>
        </w:rPr>
      </w:pPr>
    </w:p>
    <w:p w14:paraId="35EC25E9" w14:textId="77777777" w:rsidR="0014798C" w:rsidRDefault="0014798C">
      <w:pPr>
        <w:pStyle w:val="Textoindependiente"/>
        <w:rPr>
          <w:sz w:val="15"/>
        </w:rPr>
      </w:pPr>
    </w:p>
    <w:p w14:paraId="3F7734BC" w14:textId="77777777" w:rsidR="0014798C" w:rsidRDefault="0014798C">
      <w:pPr>
        <w:pStyle w:val="Textoindependiente"/>
        <w:rPr>
          <w:sz w:val="15"/>
        </w:rPr>
      </w:pPr>
    </w:p>
    <w:p w14:paraId="5B2EE903" w14:textId="77777777" w:rsidR="0014798C" w:rsidRDefault="0014798C">
      <w:pPr>
        <w:pStyle w:val="Textoindependiente"/>
        <w:rPr>
          <w:sz w:val="15"/>
        </w:rPr>
      </w:pPr>
    </w:p>
    <w:p w14:paraId="31ADF454" w14:textId="77777777" w:rsidR="0014798C" w:rsidRDefault="0014798C">
      <w:pPr>
        <w:pStyle w:val="Textoindependiente"/>
        <w:rPr>
          <w:sz w:val="15"/>
        </w:rPr>
      </w:pPr>
    </w:p>
    <w:p w14:paraId="798304FE" w14:textId="77777777" w:rsidR="0014798C" w:rsidRDefault="0014798C">
      <w:pPr>
        <w:pStyle w:val="Textoindependiente"/>
        <w:spacing w:before="165"/>
        <w:rPr>
          <w:sz w:val="15"/>
        </w:rPr>
      </w:pPr>
    </w:p>
    <w:p w14:paraId="3263733E" w14:textId="77777777" w:rsidR="0014798C" w:rsidRDefault="004E1F0B">
      <w:pPr>
        <w:ind w:left="582"/>
        <w:rPr>
          <w:sz w:val="15"/>
        </w:rPr>
      </w:pPr>
      <w:proofErr w:type="spellStart"/>
      <w:r>
        <w:rPr>
          <w:spacing w:val="-4"/>
          <w:sz w:val="15"/>
        </w:rPr>
        <w:t>xiii</w:t>
      </w:r>
      <w:proofErr w:type="spellEnd"/>
    </w:p>
    <w:p w14:paraId="2C48EBD0" w14:textId="77777777" w:rsidR="0014798C" w:rsidRDefault="0014798C">
      <w:pPr>
        <w:rPr>
          <w:sz w:val="15"/>
        </w:rPr>
        <w:sectPr w:rsidR="0014798C" w:rsidSect="00F265E4">
          <w:pgSz w:w="11900" w:h="16820"/>
          <w:pgMar w:top="340" w:right="0" w:bottom="280" w:left="200" w:header="121" w:footer="0" w:gutter="0"/>
          <w:cols w:space="720"/>
        </w:sectPr>
      </w:pPr>
    </w:p>
    <w:p w14:paraId="048B5FAF" w14:textId="77777777" w:rsidR="0014798C" w:rsidRDefault="0014798C">
      <w:pPr>
        <w:pStyle w:val="Textoindependiente"/>
        <w:spacing w:before="40"/>
        <w:rPr>
          <w:sz w:val="14"/>
        </w:rPr>
      </w:pPr>
    </w:p>
    <w:p w14:paraId="71E27D3C" w14:textId="77777777" w:rsidR="0014798C" w:rsidRDefault="004E1F0B">
      <w:pPr>
        <w:spacing w:before="1"/>
        <w:ind w:left="1114"/>
        <w:rPr>
          <w:sz w:val="14"/>
        </w:rPr>
      </w:pPr>
      <w:r>
        <w:rPr>
          <w:color w:val="0075BF"/>
          <w:sz w:val="14"/>
        </w:rPr>
        <w:t>RESUMEN</w:t>
      </w:r>
      <w:r>
        <w:rPr>
          <w:color w:val="0075BF"/>
          <w:spacing w:val="15"/>
          <w:sz w:val="14"/>
        </w:rPr>
        <w:t xml:space="preserve"> </w:t>
      </w:r>
      <w:r>
        <w:rPr>
          <w:color w:val="0075BF"/>
          <w:spacing w:val="-2"/>
          <w:sz w:val="14"/>
        </w:rPr>
        <w:t>EJECUTIVO</w:t>
      </w:r>
    </w:p>
    <w:p w14:paraId="18EB5DA3" w14:textId="77777777" w:rsidR="0014798C" w:rsidRDefault="0014798C">
      <w:pPr>
        <w:pStyle w:val="Textoindependiente"/>
        <w:rPr>
          <w:sz w:val="24"/>
        </w:rPr>
      </w:pPr>
    </w:p>
    <w:p w14:paraId="1873ECFD" w14:textId="77777777" w:rsidR="0014798C" w:rsidRDefault="0014798C">
      <w:pPr>
        <w:pStyle w:val="Textoindependiente"/>
        <w:rPr>
          <w:sz w:val="24"/>
        </w:rPr>
      </w:pPr>
    </w:p>
    <w:p w14:paraId="32577749" w14:textId="77777777" w:rsidR="0014798C" w:rsidRDefault="0014798C">
      <w:pPr>
        <w:pStyle w:val="Textoindependiente"/>
        <w:spacing w:before="93"/>
        <w:rPr>
          <w:sz w:val="24"/>
        </w:rPr>
      </w:pPr>
    </w:p>
    <w:p w14:paraId="6087E909" w14:textId="77777777" w:rsidR="0014798C" w:rsidRDefault="004E1F0B">
      <w:pPr>
        <w:numPr>
          <w:ilvl w:val="1"/>
          <w:numId w:val="97"/>
        </w:numPr>
        <w:tabs>
          <w:tab w:val="left" w:pos="1378"/>
        </w:tabs>
        <w:ind w:left="1378" w:hanging="263"/>
        <w:rPr>
          <w:color w:val="0075BF"/>
          <w:sz w:val="24"/>
        </w:rPr>
      </w:pPr>
      <w:r>
        <w:rPr>
          <w:color w:val="0075BF"/>
          <w:spacing w:val="-2"/>
          <w:sz w:val="24"/>
        </w:rPr>
        <w:t>Conducta</w:t>
      </w:r>
      <w:r>
        <w:rPr>
          <w:color w:val="0075BF"/>
          <w:spacing w:val="-3"/>
          <w:sz w:val="24"/>
        </w:rPr>
        <w:t xml:space="preserve"> </w:t>
      </w:r>
      <w:r>
        <w:rPr>
          <w:color w:val="0075BF"/>
          <w:spacing w:val="-2"/>
          <w:sz w:val="24"/>
        </w:rPr>
        <w:t>prohibida</w:t>
      </w:r>
    </w:p>
    <w:p w14:paraId="5903DCFA" w14:textId="77777777" w:rsidR="0014798C" w:rsidRDefault="0014798C">
      <w:pPr>
        <w:pStyle w:val="Textoindependiente"/>
        <w:spacing w:before="71"/>
      </w:pPr>
    </w:p>
    <w:p w14:paraId="04415371" w14:textId="77777777" w:rsidR="0014798C" w:rsidRDefault="004E1F0B">
      <w:pPr>
        <w:pStyle w:val="Textoindependiente"/>
        <w:spacing w:before="1" w:line="326" w:lineRule="auto"/>
        <w:ind w:left="1108" w:right="1272" w:firstLine="6"/>
      </w:pPr>
      <w:r>
        <w:t xml:space="preserve">Una legislación integral contra la discriminación debe definir y prohibir explícitamente todas las formas de discriminación </w:t>
      </w:r>
      <w:r>
        <w:rPr>
          <w:spacing w:val="-2"/>
        </w:rPr>
        <w:t>reconocidas</w:t>
      </w:r>
      <w:r>
        <w:rPr>
          <w:spacing w:val="-10"/>
        </w:rPr>
        <w:t xml:space="preserve"> </w:t>
      </w:r>
      <w:r>
        <w:rPr>
          <w:spacing w:val="-2"/>
        </w:rPr>
        <w:t>por</w:t>
      </w:r>
      <w:r>
        <w:rPr>
          <w:spacing w:val="-9"/>
        </w:rPr>
        <w:t xml:space="preserve"> </w:t>
      </w:r>
      <w:r>
        <w:rPr>
          <w:spacing w:val="-2"/>
        </w:rPr>
        <w:t>el</w:t>
      </w:r>
      <w:r>
        <w:rPr>
          <w:spacing w:val="-9"/>
        </w:rPr>
        <w:t xml:space="preserve"> </w:t>
      </w:r>
      <w:r>
        <w:rPr>
          <w:spacing w:val="-2"/>
        </w:rPr>
        <w:t>derecho</w:t>
      </w:r>
      <w:r>
        <w:rPr>
          <w:spacing w:val="-9"/>
        </w:rPr>
        <w:t xml:space="preserve"> </w:t>
      </w:r>
      <w:r>
        <w:rPr>
          <w:spacing w:val="-2"/>
        </w:rPr>
        <w:t>internacional,</w:t>
      </w:r>
      <w:r>
        <w:rPr>
          <w:spacing w:val="-9"/>
        </w:rPr>
        <w:t xml:space="preserve"> </w:t>
      </w:r>
      <w:r>
        <w:rPr>
          <w:spacing w:val="-2"/>
        </w:rPr>
        <w:t>incluida</w:t>
      </w:r>
      <w:r>
        <w:rPr>
          <w:spacing w:val="-9"/>
        </w:rPr>
        <w:t xml:space="preserve"> </w:t>
      </w:r>
      <w:r>
        <w:rPr>
          <w:spacing w:val="-2"/>
        </w:rPr>
        <w:t>(a)</w:t>
      </w:r>
      <w:r>
        <w:rPr>
          <w:spacing w:val="-9"/>
        </w:rPr>
        <w:t xml:space="preserve"> </w:t>
      </w:r>
      <w:r>
        <w:rPr>
          <w:spacing w:val="-2"/>
        </w:rPr>
        <w:t>la</w:t>
      </w:r>
      <w:r>
        <w:rPr>
          <w:spacing w:val="-9"/>
        </w:rPr>
        <w:t xml:space="preserve"> </w:t>
      </w:r>
      <w:r>
        <w:rPr>
          <w:spacing w:val="-2"/>
        </w:rPr>
        <w:t>discriminación</w:t>
      </w:r>
      <w:r>
        <w:rPr>
          <w:spacing w:val="-10"/>
        </w:rPr>
        <w:t xml:space="preserve"> </w:t>
      </w:r>
      <w:r>
        <w:rPr>
          <w:spacing w:val="-2"/>
        </w:rPr>
        <w:t>directa;</w:t>
      </w:r>
      <w:r>
        <w:rPr>
          <w:spacing w:val="-9"/>
        </w:rPr>
        <w:t xml:space="preserve"> </w:t>
      </w:r>
      <w:r>
        <w:rPr>
          <w:spacing w:val="-2"/>
        </w:rPr>
        <w:t>b)</w:t>
      </w:r>
      <w:r>
        <w:rPr>
          <w:spacing w:val="-9"/>
        </w:rPr>
        <w:t xml:space="preserve"> </w:t>
      </w:r>
      <w:r>
        <w:rPr>
          <w:spacing w:val="-2"/>
        </w:rPr>
        <w:t>discriminación</w:t>
      </w:r>
      <w:r>
        <w:rPr>
          <w:spacing w:val="-9"/>
        </w:rPr>
        <w:t xml:space="preserve"> </w:t>
      </w:r>
      <w:r>
        <w:rPr>
          <w:spacing w:val="-2"/>
        </w:rPr>
        <w:t>indirecta;</w:t>
      </w:r>
      <w:r>
        <w:rPr>
          <w:spacing w:val="-9"/>
        </w:rPr>
        <w:t xml:space="preserve"> </w:t>
      </w:r>
      <w:r>
        <w:rPr>
          <w:spacing w:val="-2"/>
        </w:rPr>
        <w:t>c)</w:t>
      </w:r>
      <w:r>
        <w:rPr>
          <w:spacing w:val="-9"/>
        </w:rPr>
        <w:t xml:space="preserve"> </w:t>
      </w:r>
      <w:r>
        <w:rPr>
          <w:spacing w:val="-2"/>
        </w:rPr>
        <w:t>acoso;</w:t>
      </w:r>
      <w:r>
        <w:rPr>
          <w:spacing w:val="-9"/>
        </w:rPr>
        <w:t xml:space="preserve"> </w:t>
      </w:r>
      <w:r>
        <w:rPr>
          <w:spacing w:val="-2"/>
        </w:rPr>
        <w:t>(d)</w:t>
      </w:r>
      <w:r>
        <w:rPr>
          <w:spacing w:val="-9"/>
        </w:rPr>
        <w:t xml:space="preserve"> </w:t>
      </w:r>
      <w:r>
        <w:rPr>
          <w:spacing w:val="-2"/>
        </w:rPr>
        <w:t>denegación de</w:t>
      </w:r>
      <w:r>
        <w:rPr>
          <w:spacing w:val="-5"/>
        </w:rPr>
        <w:t xml:space="preserve"> </w:t>
      </w:r>
      <w:r>
        <w:rPr>
          <w:spacing w:val="-2"/>
        </w:rPr>
        <w:t>ajustes</w:t>
      </w:r>
      <w:r>
        <w:rPr>
          <w:spacing w:val="-5"/>
        </w:rPr>
        <w:t xml:space="preserve"> </w:t>
      </w:r>
      <w:r>
        <w:rPr>
          <w:spacing w:val="-2"/>
        </w:rPr>
        <w:t>razonables;</w:t>
      </w:r>
      <w:r>
        <w:rPr>
          <w:spacing w:val="-4"/>
        </w:rPr>
        <w:t xml:space="preserve"> </w:t>
      </w:r>
      <w:r>
        <w:rPr>
          <w:spacing w:val="-2"/>
        </w:rPr>
        <w:t>(e)</w:t>
      </w:r>
      <w:r>
        <w:rPr>
          <w:spacing w:val="-5"/>
        </w:rPr>
        <w:t xml:space="preserve"> </w:t>
      </w:r>
      <w:r>
        <w:rPr>
          <w:spacing w:val="-2"/>
        </w:rPr>
        <w:t>no</w:t>
      </w:r>
      <w:r>
        <w:rPr>
          <w:spacing w:val="-5"/>
        </w:rPr>
        <w:t xml:space="preserve"> </w:t>
      </w:r>
      <w:r>
        <w:rPr>
          <w:spacing w:val="-2"/>
        </w:rPr>
        <w:t>garantizar</w:t>
      </w:r>
      <w:r>
        <w:rPr>
          <w:spacing w:val="-5"/>
        </w:rPr>
        <w:t xml:space="preserve"> </w:t>
      </w:r>
      <w:r>
        <w:rPr>
          <w:spacing w:val="-2"/>
        </w:rPr>
        <w:t>la</w:t>
      </w:r>
      <w:r>
        <w:rPr>
          <w:spacing w:val="-5"/>
        </w:rPr>
        <w:t xml:space="preserve"> </w:t>
      </w:r>
      <w:r>
        <w:rPr>
          <w:spacing w:val="-2"/>
        </w:rPr>
        <w:t>accesibilidad;</w:t>
      </w:r>
      <w:r>
        <w:rPr>
          <w:spacing w:val="-3"/>
        </w:rPr>
        <w:t xml:space="preserve"> </w:t>
      </w:r>
      <w:r>
        <w:rPr>
          <w:spacing w:val="-2"/>
        </w:rPr>
        <w:t>f)</w:t>
      </w:r>
      <w:r>
        <w:rPr>
          <w:spacing w:val="-5"/>
        </w:rPr>
        <w:t xml:space="preserve"> </w:t>
      </w:r>
      <w:r>
        <w:rPr>
          <w:spacing w:val="-2"/>
        </w:rPr>
        <w:t>segregación;</w:t>
      </w:r>
      <w:r>
        <w:rPr>
          <w:spacing w:val="-4"/>
        </w:rPr>
        <w:t xml:space="preserve"> </w:t>
      </w:r>
      <w:r>
        <w:rPr>
          <w:spacing w:val="-2"/>
        </w:rPr>
        <w:t>y</w:t>
      </w:r>
      <w:r>
        <w:rPr>
          <w:spacing w:val="-5"/>
        </w:rPr>
        <w:t xml:space="preserve"> </w:t>
      </w:r>
      <w:r>
        <w:rPr>
          <w:spacing w:val="-2"/>
        </w:rPr>
        <w:t>(g)</w:t>
      </w:r>
      <w:r>
        <w:rPr>
          <w:spacing w:val="-5"/>
        </w:rPr>
        <w:t xml:space="preserve"> </w:t>
      </w:r>
      <w:r>
        <w:rPr>
          <w:spacing w:val="-2"/>
        </w:rPr>
        <w:t>victimización</w:t>
      </w:r>
      <w:r>
        <w:rPr>
          <w:spacing w:val="-5"/>
        </w:rPr>
        <w:t xml:space="preserve"> </w:t>
      </w:r>
      <w:r>
        <w:rPr>
          <w:spacing w:val="-2"/>
        </w:rPr>
        <w:t>(represalias).</w:t>
      </w:r>
      <w:r>
        <w:rPr>
          <w:spacing w:val="-3"/>
        </w:rPr>
        <w:t xml:space="preserve"> </w:t>
      </w:r>
      <w:r>
        <w:rPr>
          <w:spacing w:val="-2"/>
        </w:rPr>
        <w:t>La</w:t>
      </w:r>
      <w:r>
        <w:rPr>
          <w:spacing w:val="-5"/>
        </w:rPr>
        <w:t xml:space="preserve"> </w:t>
      </w:r>
      <w:r>
        <w:rPr>
          <w:spacing w:val="-2"/>
        </w:rPr>
        <w:t>ley</w:t>
      </w:r>
      <w:r>
        <w:rPr>
          <w:spacing w:val="-5"/>
        </w:rPr>
        <w:t xml:space="preserve"> </w:t>
      </w:r>
      <w:r>
        <w:rPr>
          <w:spacing w:val="-2"/>
        </w:rPr>
        <w:t>contra</w:t>
      </w:r>
      <w:r>
        <w:rPr>
          <w:spacing w:val="-5"/>
        </w:rPr>
        <w:t xml:space="preserve"> </w:t>
      </w:r>
      <w:r>
        <w:rPr>
          <w:spacing w:val="-2"/>
        </w:rPr>
        <w:t xml:space="preserve">la </w:t>
      </w:r>
      <w:r>
        <w:t>discriminación debe prohibir la instrucción y la incitación a cualquier forma de discriminación. La discriminación puede cometerse intencionalmente o no. La discriminación también puede ser abierta o encubierta.</w:t>
      </w:r>
    </w:p>
    <w:p w14:paraId="592AC9C0" w14:textId="77777777" w:rsidR="0014798C" w:rsidRDefault="0014798C">
      <w:pPr>
        <w:pStyle w:val="Textoindependiente"/>
      </w:pPr>
    </w:p>
    <w:p w14:paraId="598AB153" w14:textId="77777777" w:rsidR="0014798C" w:rsidRDefault="0014798C">
      <w:pPr>
        <w:pStyle w:val="Textoindependiente"/>
      </w:pPr>
    </w:p>
    <w:p w14:paraId="38C1B08B" w14:textId="77777777" w:rsidR="0014798C" w:rsidRDefault="0014798C">
      <w:pPr>
        <w:pStyle w:val="Textoindependiente"/>
        <w:spacing w:before="148"/>
      </w:pPr>
    </w:p>
    <w:p w14:paraId="799E93D8" w14:textId="77777777" w:rsidR="0014798C" w:rsidRDefault="004E1F0B">
      <w:pPr>
        <w:pStyle w:val="Textoindependiente"/>
        <w:spacing w:line="326" w:lineRule="auto"/>
        <w:ind w:left="1336" w:right="1290" w:hanging="4"/>
      </w:pPr>
      <w:r>
        <w:rPr>
          <w:noProof/>
        </w:rPr>
        <w:drawing>
          <wp:anchor distT="0" distB="0" distL="0" distR="0" simplePos="0" relativeHeight="251658350" behindDoc="1" locked="0" layoutInCell="1" allowOverlap="1" wp14:anchorId="418B2E25" wp14:editId="1376093A">
            <wp:simplePos x="0" y="0"/>
            <wp:positionH relativeFrom="page">
              <wp:posOffset>826632</wp:posOffset>
            </wp:positionH>
            <wp:positionV relativeFrom="paragraph">
              <wp:posOffset>-148001</wp:posOffset>
            </wp:positionV>
            <wp:extent cx="5934682" cy="6591748"/>
            <wp:effectExtent l="0" t="0" r="0" b="0"/>
            <wp:wrapNone/>
            <wp:docPr id="21" name="Image 2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1" name="Image 21"/>
                    <pic:cNvPicPr/>
                  </pic:nvPicPr>
                  <pic:blipFill>
                    <a:blip r:embed="rId27" cstate="print"/>
                    <a:stretch>
                      <a:fillRect/>
                    </a:stretch>
                  </pic:blipFill>
                  <pic:spPr>
                    <a:xfrm>
                      <a:off x="0" y="0"/>
                      <a:ext cx="5934682" cy="6591748"/>
                    </a:xfrm>
                    <a:prstGeom prst="rect">
                      <a:avLst/>
                    </a:prstGeom>
                  </pic:spPr>
                </pic:pic>
              </a:graphicData>
            </a:graphic>
          </wp:anchor>
        </w:drawing>
      </w:r>
      <w:r>
        <w:t>La</w:t>
      </w:r>
      <w:r>
        <w:rPr>
          <w:spacing w:val="-3"/>
        </w:rPr>
        <w:t xml:space="preserve"> </w:t>
      </w:r>
      <w:r>
        <w:t>prohibición</w:t>
      </w:r>
      <w:r>
        <w:rPr>
          <w:spacing w:val="-3"/>
        </w:rPr>
        <w:t xml:space="preserve"> </w:t>
      </w:r>
      <w:r>
        <w:t>de</w:t>
      </w:r>
      <w:r>
        <w:rPr>
          <w:spacing w:val="-3"/>
        </w:rPr>
        <w:t xml:space="preserve"> </w:t>
      </w:r>
      <w:r>
        <w:t>la</w:t>
      </w:r>
      <w:r>
        <w:rPr>
          <w:spacing w:val="-3"/>
        </w:rPr>
        <w:t xml:space="preserve"> </w:t>
      </w:r>
      <w:r>
        <w:t>discriminación</w:t>
      </w:r>
      <w:r>
        <w:rPr>
          <w:spacing w:val="-3"/>
        </w:rPr>
        <w:t xml:space="preserve"> </w:t>
      </w:r>
      <w:r>
        <w:t>incluye</w:t>
      </w:r>
      <w:r>
        <w:rPr>
          <w:spacing w:val="-3"/>
        </w:rPr>
        <w:t xml:space="preserve"> </w:t>
      </w:r>
      <w:r>
        <w:t>todas</w:t>
      </w:r>
      <w:r>
        <w:rPr>
          <w:spacing w:val="-3"/>
        </w:rPr>
        <w:t xml:space="preserve"> </w:t>
      </w:r>
      <w:r>
        <w:t>las</w:t>
      </w:r>
      <w:r>
        <w:rPr>
          <w:spacing w:val="-3"/>
        </w:rPr>
        <w:t xml:space="preserve"> </w:t>
      </w:r>
      <w:r>
        <w:t>formas</w:t>
      </w:r>
      <w:r>
        <w:rPr>
          <w:spacing w:val="-3"/>
        </w:rPr>
        <w:t xml:space="preserve"> </w:t>
      </w:r>
      <w:r>
        <w:t>de</w:t>
      </w:r>
      <w:r>
        <w:rPr>
          <w:spacing w:val="-3"/>
        </w:rPr>
        <w:t xml:space="preserve"> </w:t>
      </w:r>
      <w:r>
        <w:t>discriminación.</w:t>
      </w:r>
      <w:r>
        <w:rPr>
          <w:spacing w:val="-1"/>
        </w:rPr>
        <w:t xml:space="preserve"> </w:t>
      </w:r>
      <w:r>
        <w:t>Cubre</w:t>
      </w:r>
      <w:r>
        <w:rPr>
          <w:spacing w:val="-3"/>
        </w:rPr>
        <w:t xml:space="preserve"> </w:t>
      </w:r>
      <w:r>
        <w:t>cada</w:t>
      </w:r>
      <w:r>
        <w:rPr>
          <w:spacing w:val="-3"/>
        </w:rPr>
        <w:t xml:space="preserve"> </w:t>
      </w:r>
      <w:r>
        <w:t>una</w:t>
      </w:r>
      <w:r>
        <w:rPr>
          <w:spacing w:val="-3"/>
        </w:rPr>
        <w:t xml:space="preserve"> </w:t>
      </w:r>
      <w:r>
        <w:t>de</w:t>
      </w:r>
      <w:r>
        <w:rPr>
          <w:spacing w:val="-3"/>
        </w:rPr>
        <w:t xml:space="preserve"> </w:t>
      </w:r>
      <w:r>
        <w:t>las</w:t>
      </w:r>
      <w:r>
        <w:rPr>
          <w:spacing w:val="-3"/>
        </w:rPr>
        <w:t xml:space="preserve"> </w:t>
      </w:r>
      <w:r>
        <w:t>siguientes</w:t>
      </w:r>
      <w:r>
        <w:rPr>
          <w:spacing w:val="-3"/>
        </w:rPr>
        <w:t xml:space="preserve"> </w:t>
      </w:r>
      <w:r>
        <w:t>formas</w:t>
      </w:r>
      <w:r>
        <w:rPr>
          <w:spacing w:val="-3"/>
        </w:rPr>
        <w:t xml:space="preserve"> </w:t>
      </w:r>
      <w:r>
        <w:t>de conducta prohibida:</w:t>
      </w:r>
    </w:p>
    <w:p w14:paraId="539AAD05" w14:textId="77777777" w:rsidR="0014798C" w:rsidRDefault="004E1F0B">
      <w:pPr>
        <w:pStyle w:val="Prrafodelista"/>
        <w:numPr>
          <w:ilvl w:val="2"/>
          <w:numId w:val="97"/>
        </w:numPr>
        <w:tabs>
          <w:tab w:val="left" w:pos="1513"/>
          <w:tab w:val="left" w:pos="1613"/>
        </w:tabs>
        <w:spacing w:before="112" w:line="326" w:lineRule="auto"/>
        <w:ind w:right="1474" w:hanging="199"/>
        <w:rPr>
          <w:sz w:val="16"/>
        </w:rPr>
      </w:pPr>
      <w:r>
        <w:rPr>
          <w:sz w:val="16"/>
        </w:rPr>
        <w:t>La discriminación directa ocurre cuando una persona recibe un trato menos favorable que el que recibe, ha sido o sería tratada</w:t>
      </w:r>
      <w:r>
        <w:rPr>
          <w:spacing w:val="-9"/>
          <w:sz w:val="16"/>
        </w:rPr>
        <w:t xml:space="preserve"> </w:t>
      </w:r>
      <w:r>
        <w:rPr>
          <w:sz w:val="16"/>
        </w:rPr>
        <w:t>otra</w:t>
      </w:r>
      <w:r>
        <w:rPr>
          <w:spacing w:val="-9"/>
          <w:sz w:val="16"/>
        </w:rPr>
        <w:t xml:space="preserve"> </w:t>
      </w:r>
      <w:r>
        <w:rPr>
          <w:sz w:val="16"/>
        </w:rPr>
        <w:t>persona</w:t>
      </w:r>
      <w:r>
        <w:rPr>
          <w:spacing w:val="-9"/>
          <w:sz w:val="16"/>
        </w:rPr>
        <w:t xml:space="preserve"> </w:t>
      </w:r>
      <w:r>
        <w:rPr>
          <w:sz w:val="16"/>
        </w:rPr>
        <w:t>en</w:t>
      </w:r>
      <w:r>
        <w:rPr>
          <w:spacing w:val="-9"/>
          <w:sz w:val="16"/>
        </w:rPr>
        <w:t xml:space="preserve"> </w:t>
      </w:r>
      <w:r>
        <w:rPr>
          <w:sz w:val="16"/>
        </w:rPr>
        <w:t>una</w:t>
      </w:r>
      <w:r>
        <w:rPr>
          <w:spacing w:val="-9"/>
          <w:sz w:val="16"/>
        </w:rPr>
        <w:t xml:space="preserve"> </w:t>
      </w:r>
      <w:r>
        <w:rPr>
          <w:sz w:val="16"/>
        </w:rPr>
        <w:t>situación</w:t>
      </w:r>
      <w:r>
        <w:rPr>
          <w:spacing w:val="-9"/>
          <w:sz w:val="16"/>
        </w:rPr>
        <w:t xml:space="preserve"> </w:t>
      </w:r>
      <w:r>
        <w:rPr>
          <w:sz w:val="16"/>
        </w:rPr>
        <w:t>comparable</w:t>
      </w:r>
      <w:r>
        <w:rPr>
          <w:spacing w:val="-9"/>
          <w:sz w:val="16"/>
        </w:rPr>
        <w:t xml:space="preserve"> </w:t>
      </w:r>
      <w:r>
        <w:rPr>
          <w:sz w:val="16"/>
        </w:rPr>
        <w:t>sobre</w:t>
      </w:r>
      <w:r>
        <w:rPr>
          <w:spacing w:val="-9"/>
          <w:sz w:val="16"/>
        </w:rPr>
        <w:t xml:space="preserve"> </w:t>
      </w:r>
      <w:r>
        <w:rPr>
          <w:sz w:val="16"/>
        </w:rPr>
        <w:t>la</w:t>
      </w:r>
      <w:r>
        <w:rPr>
          <w:spacing w:val="-9"/>
          <w:sz w:val="16"/>
        </w:rPr>
        <w:t xml:space="preserve"> </w:t>
      </w:r>
      <w:r>
        <w:rPr>
          <w:sz w:val="16"/>
        </w:rPr>
        <w:t>base</w:t>
      </w:r>
      <w:r>
        <w:rPr>
          <w:spacing w:val="-9"/>
          <w:sz w:val="16"/>
        </w:rPr>
        <w:t xml:space="preserve"> </w:t>
      </w:r>
      <w:r>
        <w:rPr>
          <w:sz w:val="16"/>
        </w:rPr>
        <w:t>de</w:t>
      </w:r>
      <w:r>
        <w:rPr>
          <w:spacing w:val="-9"/>
          <w:sz w:val="16"/>
        </w:rPr>
        <w:t xml:space="preserve"> </w:t>
      </w:r>
      <w:r>
        <w:rPr>
          <w:sz w:val="16"/>
        </w:rPr>
        <w:t>uno</w:t>
      </w:r>
      <w:r>
        <w:rPr>
          <w:spacing w:val="-9"/>
          <w:sz w:val="16"/>
        </w:rPr>
        <w:t xml:space="preserve"> </w:t>
      </w:r>
      <w:r>
        <w:rPr>
          <w:sz w:val="16"/>
        </w:rPr>
        <w:t>o</w:t>
      </w:r>
      <w:r>
        <w:rPr>
          <w:spacing w:val="-9"/>
          <w:sz w:val="16"/>
        </w:rPr>
        <w:t xml:space="preserve"> </w:t>
      </w:r>
      <w:r>
        <w:rPr>
          <w:sz w:val="16"/>
        </w:rPr>
        <w:t>más</w:t>
      </w:r>
      <w:r>
        <w:rPr>
          <w:spacing w:val="-9"/>
          <w:sz w:val="16"/>
        </w:rPr>
        <w:t xml:space="preserve"> </w:t>
      </w:r>
      <w:r>
        <w:rPr>
          <w:sz w:val="16"/>
        </w:rPr>
        <w:t>motivos</w:t>
      </w:r>
      <w:r>
        <w:rPr>
          <w:spacing w:val="-9"/>
          <w:sz w:val="16"/>
        </w:rPr>
        <w:t xml:space="preserve"> </w:t>
      </w:r>
      <w:r>
        <w:rPr>
          <w:sz w:val="16"/>
        </w:rPr>
        <w:t>protegidos;</w:t>
      </w:r>
      <w:r>
        <w:rPr>
          <w:spacing w:val="-8"/>
          <w:sz w:val="16"/>
        </w:rPr>
        <w:t xml:space="preserve"> </w:t>
      </w:r>
      <w:r>
        <w:rPr>
          <w:sz w:val="16"/>
        </w:rPr>
        <w:t>o</w:t>
      </w:r>
      <w:r>
        <w:rPr>
          <w:spacing w:val="-9"/>
          <w:sz w:val="16"/>
        </w:rPr>
        <w:t xml:space="preserve"> </w:t>
      </w:r>
      <w:r>
        <w:rPr>
          <w:sz w:val="16"/>
        </w:rPr>
        <w:t>cuando</w:t>
      </w:r>
      <w:r>
        <w:rPr>
          <w:spacing w:val="-9"/>
          <w:sz w:val="16"/>
        </w:rPr>
        <w:t xml:space="preserve"> </w:t>
      </w:r>
      <w:r>
        <w:rPr>
          <w:sz w:val="16"/>
        </w:rPr>
        <w:t>una</w:t>
      </w:r>
      <w:r>
        <w:rPr>
          <w:spacing w:val="-9"/>
          <w:sz w:val="16"/>
        </w:rPr>
        <w:t xml:space="preserve"> </w:t>
      </w:r>
      <w:r>
        <w:rPr>
          <w:sz w:val="16"/>
        </w:rPr>
        <w:t>persona sea sometida a un perjuicio basado en uno o más motivos de discriminación.</w:t>
      </w:r>
    </w:p>
    <w:p w14:paraId="6FEC73DA" w14:textId="77777777" w:rsidR="0014798C" w:rsidRDefault="004E1F0B">
      <w:pPr>
        <w:pStyle w:val="Prrafodelista"/>
        <w:numPr>
          <w:ilvl w:val="2"/>
          <w:numId w:val="97"/>
        </w:numPr>
        <w:tabs>
          <w:tab w:val="left" w:pos="1513"/>
          <w:tab w:val="left" w:pos="1620"/>
        </w:tabs>
        <w:spacing w:before="112" w:line="326" w:lineRule="auto"/>
        <w:ind w:left="1620" w:right="2239"/>
        <w:jc w:val="both"/>
        <w:rPr>
          <w:sz w:val="16"/>
        </w:rPr>
      </w:pPr>
      <w:r>
        <w:rPr>
          <w:sz w:val="16"/>
        </w:rPr>
        <w:t>La</w:t>
      </w:r>
      <w:r>
        <w:rPr>
          <w:spacing w:val="-3"/>
          <w:sz w:val="16"/>
        </w:rPr>
        <w:t xml:space="preserve"> </w:t>
      </w:r>
      <w:r>
        <w:rPr>
          <w:sz w:val="16"/>
        </w:rPr>
        <w:t>discriminación</w:t>
      </w:r>
      <w:r>
        <w:rPr>
          <w:spacing w:val="-3"/>
          <w:sz w:val="16"/>
        </w:rPr>
        <w:t xml:space="preserve"> </w:t>
      </w:r>
      <w:r>
        <w:rPr>
          <w:sz w:val="16"/>
        </w:rPr>
        <w:t>indirecta</w:t>
      </w:r>
      <w:r>
        <w:rPr>
          <w:spacing w:val="-3"/>
          <w:sz w:val="16"/>
        </w:rPr>
        <w:t xml:space="preserve"> </w:t>
      </w:r>
      <w:r>
        <w:rPr>
          <w:sz w:val="16"/>
        </w:rPr>
        <w:t>ocurre</w:t>
      </w:r>
      <w:r>
        <w:rPr>
          <w:spacing w:val="-3"/>
          <w:sz w:val="16"/>
        </w:rPr>
        <w:t xml:space="preserve"> </w:t>
      </w:r>
      <w:r>
        <w:rPr>
          <w:sz w:val="16"/>
        </w:rPr>
        <w:t>cuando</w:t>
      </w:r>
      <w:r>
        <w:rPr>
          <w:spacing w:val="-3"/>
          <w:sz w:val="16"/>
        </w:rPr>
        <w:t xml:space="preserve"> </w:t>
      </w:r>
      <w:r>
        <w:rPr>
          <w:sz w:val="16"/>
        </w:rPr>
        <w:t>una</w:t>
      </w:r>
      <w:r>
        <w:rPr>
          <w:spacing w:val="-3"/>
          <w:sz w:val="16"/>
        </w:rPr>
        <w:t xml:space="preserve"> </w:t>
      </w:r>
      <w:r>
        <w:rPr>
          <w:sz w:val="16"/>
        </w:rPr>
        <w:t>disposición,</w:t>
      </w:r>
      <w:r>
        <w:rPr>
          <w:spacing w:val="-2"/>
          <w:sz w:val="16"/>
        </w:rPr>
        <w:t xml:space="preserve"> </w:t>
      </w:r>
      <w:r>
        <w:rPr>
          <w:sz w:val="16"/>
        </w:rPr>
        <w:t>criterio</w:t>
      </w:r>
      <w:r>
        <w:rPr>
          <w:spacing w:val="-3"/>
          <w:sz w:val="16"/>
        </w:rPr>
        <w:t xml:space="preserve"> </w:t>
      </w:r>
      <w:r>
        <w:rPr>
          <w:sz w:val="16"/>
        </w:rPr>
        <w:t>o</w:t>
      </w:r>
      <w:r>
        <w:rPr>
          <w:spacing w:val="-3"/>
          <w:sz w:val="16"/>
        </w:rPr>
        <w:t xml:space="preserve"> </w:t>
      </w:r>
      <w:r>
        <w:rPr>
          <w:sz w:val="16"/>
        </w:rPr>
        <w:t>práctica</w:t>
      </w:r>
      <w:r>
        <w:rPr>
          <w:spacing w:val="-3"/>
          <w:sz w:val="16"/>
        </w:rPr>
        <w:t xml:space="preserve"> </w:t>
      </w:r>
      <w:r>
        <w:rPr>
          <w:sz w:val="16"/>
        </w:rPr>
        <w:t>tiene</w:t>
      </w:r>
      <w:r>
        <w:rPr>
          <w:spacing w:val="-3"/>
          <w:sz w:val="16"/>
        </w:rPr>
        <w:t xml:space="preserve"> </w:t>
      </w:r>
      <w:r>
        <w:rPr>
          <w:sz w:val="16"/>
        </w:rPr>
        <w:t>o</w:t>
      </w:r>
      <w:r>
        <w:rPr>
          <w:spacing w:val="-3"/>
          <w:sz w:val="16"/>
        </w:rPr>
        <w:t xml:space="preserve"> </w:t>
      </w:r>
      <w:r>
        <w:rPr>
          <w:sz w:val="16"/>
        </w:rPr>
        <w:t>tendría</w:t>
      </w:r>
      <w:r>
        <w:rPr>
          <w:spacing w:val="-3"/>
          <w:sz w:val="16"/>
        </w:rPr>
        <w:t xml:space="preserve"> </w:t>
      </w:r>
      <w:r>
        <w:rPr>
          <w:sz w:val="16"/>
        </w:rPr>
        <w:t>un</w:t>
      </w:r>
      <w:r>
        <w:rPr>
          <w:spacing w:val="-3"/>
          <w:sz w:val="16"/>
        </w:rPr>
        <w:t xml:space="preserve"> </w:t>
      </w:r>
      <w:r>
        <w:rPr>
          <w:sz w:val="16"/>
        </w:rPr>
        <w:t>impacto</w:t>
      </w:r>
      <w:r>
        <w:rPr>
          <w:spacing w:val="-3"/>
          <w:sz w:val="16"/>
        </w:rPr>
        <w:t xml:space="preserve"> </w:t>
      </w:r>
      <w:r>
        <w:rPr>
          <w:sz w:val="16"/>
        </w:rPr>
        <w:t>negativo desproporcionado</w:t>
      </w:r>
      <w:r>
        <w:rPr>
          <w:spacing w:val="-2"/>
          <w:sz w:val="16"/>
        </w:rPr>
        <w:t xml:space="preserve"> </w:t>
      </w:r>
      <w:r>
        <w:rPr>
          <w:sz w:val="16"/>
        </w:rPr>
        <w:t>en</w:t>
      </w:r>
      <w:r>
        <w:rPr>
          <w:spacing w:val="-2"/>
          <w:sz w:val="16"/>
        </w:rPr>
        <w:t xml:space="preserve"> </w:t>
      </w:r>
      <w:r>
        <w:rPr>
          <w:sz w:val="16"/>
        </w:rPr>
        <w:t>personas</w:t>
      </w:r>
      <w:r>
        <w:rPr>
          <w:spacing w:val="-2"/>
          <w:sz w:val="16"/>
        </w:rPr>
        <w:t xml:space="preserve"> </w:t>
      </w:r>
      <w:r>
        <w:rPr>
          <w:sz w:val="16"/>
        </w:rPr>
        <w:t>que</w:t>
      </w:r>
      <w:r>
        <w:rPr>
          <w:spacing w:val="-2"/>
          <w:sz w:val="16"/>
        </w:rPr>
        <w:t xml:space="preserve"> </w:t>
      </w:r>
      <w:r>
        <w:rPr>
          <w:sz w:val="16"/>
        </w:rPr>
        <w:t>tienen</w:t>
      </w:r>
      <w:r>
        <w:rPr>
          <w:spacing w:val="-2"/>
          <w:sz w:val="16"/>
        </w:rPr>
        <w:t xml:space="preserve"> </w:t>
      </w:r>
      <w:r>
        <w:rPr>
          <w:sz w:val="16"/>
        </w:rPr>
        <w:t>un</w:t>
      </w:r>
      <w:r>
        <w:rPr>
          <w:spacing w:val="-2"/>
          <w:sz w:val="16"/>
        </w:rPr>
        <w:t xml:space="preserve"> </w:t>
      </w:r>
      <w:r>
        <w:rPr>
          <w:sz w:val="16"/>
        </w:rPr>
        <w:t>estatus</w:t>
      </w:r>
      <w:r>
        <w:rPr>
          <w:spacing w:val="-2"/>
          <w:sz w:val="16"/>
        </w:rPr>
        <w:t xml:space="preserve"> </w:t>
      </w:r>
      <w:r>
        <w:rPr>
          <w:sz w:val="16"/>
        </w:rPr>
        <w:t>o</w:t>
      </w:r>
      <w:r>
        <w:rPr>
          <w:spacing w:val="-2"/>
          <w:sz w:val="16"/>
        </w:rPr>
        <w:t xml:space="preserve"> </w:t>
      </w:r>
      <w:r>
        <w:rPr>
          <w:sz w:val="16"/>
        </w:rPr>
        <w:t>una</w:t>
      </w:r>
      <w:r>
        <w:rPr>
          <w:spacing w:val="-2"/>
          <w:sz w:val="16"/>
        </w:rPr>
        <w:t xml:space="preserve"> </w:t>
      </w:r>
      <w:r>
        <w:rPr>
          <w:sz w:val="16"/>
        </w:rPr>
        <w:t>característica</w:t>
      </w:r>
      <w:r>
        <w:rPr>
          <w:spacing w:val="-2"/>
          <w:sz w:val="16"/>
        </w:rPr>
        <w:t xml:space="preserve"> </w:t>
      </w:r>
      <w:r>
        <w:rPr>
          <w:sz w:val="16"/>
        </w:rPr>
        <w:t>asociada</w:t>
      </w:r>
      <w:r>
        <w:rPr>
          <w:spacing w:val="-2"/>
          <w:sz w:val="16"/>
        </w:rPr>
        <w:t xml:space="preserve"> </w:t>
      </w:r>
      <w:r>
        <w:rPr>
          <w:sz w:val="16"/>
        </w:rPr>
        <w:t>con</w:t>
      </w:r>
      <w:r>
        <w:rPr>
          <w:spacing w:val="-2"/>
          <w:sz w:val="16"/>
        </w:rPr>
        <w:t xml:space="preserve"> </w:t>
      </w:r>
      <w:r>
        <w:rPr>
          <w:sz w:val="16"/>
        </w:rPr>
        <w:t>uno</w:t>
      </w:r>
      <w:r>
        <w:rPr>
          <w:spacing w:val="-2"/>
          <w:sz w:val="16"/>
        </w:rPr>
        <w:t xml:space="preserve"> </w:t>
      </w:r>
      <w:r>
        <w:rPr>
          <w:sz w:val="16"/>
        </w:rPr>
        <w:t>o</w:t>
      </w:r>
      <w:r>
        <w:rPr>
          <w:spacing w:val="-2"/>
          <w:sz w:val="16"/>
        </w:rPr>
        <w:t xml:space="preserve"> </w:t>
      </w:r>
      <w:r>
        <w:rPr>
          <w:sz w:val="16"/>
        </w:rPr>
        <w:t>más</w:t>
      </w:r>
      <w:r>
        <w:rPr>
          <w:spacing w:val="-2"/>
          <w:sz w:val="16"/>
        </w:rPr>
        <w:t xml:space="preserve"> </w:t>
      </w:r>
      <w:r>
        <w:rPr>
          <w:sz w:val="16"/>
        </w:rPr>
        <w:t>motivos</w:t>
      </w:r>
      <w:r>
        <w:rPr>
          <w:spacing w:val="-2"/>
          <w:sz w:val="16"/>
        </w:rPr>
        <w:t xml:space="preserve"> </w:t>
      </w:r>
      <w:r>
        <w:rPr>
          <w:sz w:val="16"/>
        </w:rPr>
        <w:t xml:space="preserve">de </w:t>
      </w:r>
      <w:r>
        <w:rPr>
          <w:spacing w:val="-2"/>
          <w:sz w:val="16"/>
        </w:rPr>
        <w:t>discriminación.</w:t>
      </w:r>
    </w:p>
    <w:p w14:paraId="5D2566A2" w14:textId="77777777" w:rsidR="0014798C" w:rsidRDefault="004E1F0B">
      <w:pPr>
        <w:pStyle w:val="Prrafodelista"/>
        <w:numPr>
          <w:ilvl w:val="2"/>
          <w:numId w:val="97"/>
        </w:numPr>
        <w:tabs>
          <w:tab w:val="left" w:pos="1513"/>
          <w:tab w:val="left" w:pos="1617"/>
        </w:tabs>
        <w:spacing w:before="112" w:line="326" w:lineRule="auto"/>
        <w:ind w:left="1617" w:right="1880" w:hanging="203"/>
        <w:rPr>
          <w:sz w:val="16"/>
        </w:rPr>
      </w:pPr>
      <w:r>
        <w:rPr>
          <w:sz w:val="16"/>
        </w:rPr>
        <w:t>El acoso terrestre ocurre cuando se lleva a cabo una conducta no deseada relacionada con cualquier motivo de discriminación</w:t>
      </w:r>
      <w:r>
        <w:rPr>
          <w:spacing w:val="-3"/>
          <w:sz w:val="16"/>
        </w:rPr>
        <w:t xml:space="preserve"> </w:t>
      </w:r>
      <w:r>
        <w:rPr>
          <w:sz w:val="16"/>
        </w:rPr>
        <w:t>con</w:t>
      </w:r>
      <w:r>
        <w:rPr>
          <w:spacing w:val="-3"/>
          <w:sz w:val="16"/>
        </w:rPr>
        <w:t xml:space="preserve"> </w:t>
      </w:r>
      <w:r>
        <w:rPr>
          <w:sz w:val="16"/>
        </w:rPr>
        <w:t>el</w:t>
      </w:r>
      <w:r>
        <w:rPr>
          <w:spacing w:val="-3"/>
          <w:sz w:val="16"/>
        </w:rPr>
        <w:t xml:space="preserve"> </w:t>
      </w:r>
      <w:r>
        <w:rPr>
          <w:sz w:val="16"/>
        </w:rPr>
        <w:t>propósito</w:t>
      </w:r>
      <w:r>
        <w:rPr>
          <w:spacing w:val="-3"/>
          <w:sz w:val="16"/>
        </w:rPr>
        <w:t xml:space="preserve"> </w:t>
      </w:r>
      <w:r>
        <w:rPr>
          <w:sz w:val="16"/>
        </w:rPr>
        <w:t>o</w:t>
      </w:r>
      <w:r>
        <w:rPr>
          <w:spacing w:val="-3"/>
          <w:sz w:val="16"/>
        </w:rPr>
        <w:t xml:space="preserve"> </w:t>
      </w:r>
      <w:r>
        <w:rPr>
          <w:sz w:val="16"/>
        </w:rPr>
        <w:t>efecto</w:t>
      </w:r>
      <w:r>
        <w:rPr>
          <w:spacing w:val="-3"/>
          <w:sz w:val="16"/>
        </w:rPr>
        <w:t xml:space="preserve"> </w:t>
      </w:r>
      <w:r>
        <w:rPr>
          <w:sz w:val="16"/>
        </w:rPr>
        <w:t>de</w:t>
      </w:r>
      <w:r>
        <w:rPr>
          <w:spacing w:val="-3"/>
          <w:sz w:val="16"/>
        </w:rPr>
        <w:t xml:space="preserve"> </w:t>
      </w:r>
      <w:r>
        <w:rPr>
          <w:sz w:val="16"/>
        </w:rPr>
        <w:t>violar</w:t>
      </w:r>
      <w:r>
        <w:rPr>
          <w:spacing w:val="-3"/>
          <w:sz w:val="16"/>
        </w:rPr>
        <w:t xml:space="preserve"> </w:t>
      </w:r>
      <w:r>
        <w:rPr>
          <w:sz w:val="16"/>
        </w:rPr>
        <w:t>la</w:t>
      </w:r>
      <w:r>
        <w:rPr>
          <w:spacing w:val="-3"/>
          <w:sz w:val="16"/>
        </w:rPr>
        <w:t xml:space="preserve"> </w:t>
      </w:r>
      <w:r>
        <w:rPr>
          <w:sz w:val="16"/>
        </w:rPr>
        <w:t>dignidad</w:t>
      </w:r>
      <w:r>
        <w:rPr>
          <w:spacing w:val="-3"/>
          <w:sz w:val="16"/>
        </w:rPr>
        <w:t xml:space="preserve"> </w:t>
      </w:r>
      <w:r>
        <w:rPr>
          <w:sz w:val="16"/>
        </w:rPr>
        <w:t>de</w:t>
      </w:r>
      <w:r>
        <w:rPr>
          <w:spacing w:val="-3"/>
          <w:sz w:val="16"/>
        </w:rPr>
        <w:t xml:space="preserve"> </w:t>
      </w:r>
      <w:r>
        <w:rPr>
          <w:sz w:val="16"/>
        </w:rPr>
        <w:t>una</w:t>
      </w:r>
      <w:r>
        <w:rPr>
          <w:spacing w:val="-3"/>
          <w:sz w:val="16"/>
        </w:rPr>
        <w:t xml:space="preserve"> </w:t>
      </w:r>
      <w:r>
        <w:rPr>
          <w:sz w:val="16"/>
        </w:rPr>
        <w:t>persona</w:t>
      </w:r>
      <w:r>
        <w:rPr>
          <w:spacing w:val="-3"/>
          <w:sz w:val="16"/>
        </w:rPr>
        <w:t xml:space="preserve"> </w:t>
      </w:r>
      <w:r>
        <w:rPr>
          <w:sz w:val="16"/>
        </w:rPr>
        <w:t>y</w:t>
      </w:r>
      <w:r>
        <w:rPr>
          <w:spacing w:val="-3"/>
          <w:sz w:val="16"/>
        </w:rPr>
        <w:t xml:space="preserve"> </w:t>
      </w:r>
      <w:r>
        <w:rPr>
          <w:sz w:val="16"/>
        </w:rPr>
        <w:t>crear</w:t>
      </w:r>
      <w:r>
        <w:rPr>
          <w:spacing w:val="-3"/>
          <w:sz w:val="16"/>
        </w:rPr>
        <w:t xml:space="preserve"> </w:t>
      </w:r>
      <w:r>
        <w:rPr>
          <w:sz w:val="16"/>
        </w:rPr>
        <w:t>un</w:t>
      </w:r>
      <w:r>
        <w:rPr>
          <w:spacing w:val="-3"/>
          <w:sz w:val="16"/>
        </w:rPr>
        <w:t xml:space="preserve"> </w:t>
      </w:r>
      <w:r>
        <w:rPr>
          <w:sz w:val="16"/>
        </w:rPr>
        <w:t>ambiente</w:t>
      </w:r>
      <w:r>
        <w:rPr>
          <w:spacing w:val="-3"/>
          <w:sz w:val="16"/>
        </w:rPr>
        <w:t xml:space="preserve"> </w:t>
      </w:r>
      <w:r>
        <w:rPr>
          <w:sz w:val="16"/>
        </w:rPr>
        <w:t>intimidante,</w:t>
      </w:r>
      <w:r>
        <w:rPr>
          <w:spacing w:val="-2"/>
          <w:sz w:val="16"/>
        </w:rPr>
        <w:t xml:space="preserve"> </w:t>
      </w:r>
      <w:r>
        <w:rPr>
          <w:sz w:val="16"/>
        </w:rPr>
        <w:t>hostil, degradante, humillante u ofensivo.</w:t>
      </w:r>
    </w:p>
    <w:p w14:paraId="7EDF392D" w14:textId="77777777" w:rsidR="0014798C" w:rsidRDefault="004E1F0B">
      <w:pPr>
        <w:pStyle w:val="Prrafodelista"/>
        <w:numPr>
          <w:ilvl w:val="2"/>
          <w:numId w:val="97"/>
        </w:numPr>
        <w:tabs>
          <w:tab w:val="left" w:pos="1513"/>
          <w:tab w:val="left" w:pos="1622"/>
        </w:tabs>
        <w:spacing w:before="112" w:line="326" w:lineRule="auto"/>
        <w:ind w:left="1622" w:right="1554" w:hanging="208"/>
        <w:rPr>
          <w:sz w:val="16"/>
        </w:rPr>
      </w:pPr>
      <w:r>
        <w:rPr>
          <w:sz w:val="16"/>
        </w:rPr>
        <w:t xml:space="preserve">Ajustes razonables significa modificaciones, ajustes o apoyo necesarios y </w:t>
      </w:r>
      <w:proofErr w:type="gramStart"/>
      <w:r>
        <w:rPr>
          <w:sz w:val="16"/>
        </w:rPr>
        <w:t>apropiados ,</w:t>
      </w:r>
      <w:proofErr w:type="gramEnd"/>
      <w:r>
        <w:rPr>
          <w:sz w:val="16"/>
        </w:rPr>
        <w:t xml:space="preserve"> que no impongan una carga desproporcionada o indebida, para garantizar el disfrute o ejercicio, en igualdad de condiciones con los demás, de los derechos</w:t>
      </w:r>
      <w:r>
        <w:rPr>
          <w:spacing w:val="-3"/>
          <w:sz w:val="16"/>
        </w:rPr>
        <w:t xml:space="preserve"> </w:t>
      </w:r>
      <w:r>
        <w:rPr>
          <w:sz w:val="16"/>
        </w:rPr>
        <w:t>humanos</w:t>
      </w:r>
      <w:r>
        <w:rPr>
          <w:spacing w:val="-3"/>
          <w:sz w:val="16"/>
        </w:rPr>
        <w:t xml:space="preserve"> </w:t>
      </w:r>
      <w:r>
        <w:rPr>
          <w:sz w:val="16"/>
        </w:rPr>
        <w:t>y</w:t>
      </w:r>
      <w:r>
        <w:rPr>
          <w:spacing w:val="-3"/>
          <w:sz w:val="16"/>
        </w:rPr>
        <w:t xml:space="preserve"> </w:t>
      </w:r>
      <w:r>
        <w:rPr>
          <w:sz w:val="16"/>
        </w:rPr>
        <w:t>las</w:t>
      </w:r>
      <w:r>
        <w:rPr>
          <w:spacing w:val="-3"/>
          <w:sz w:val="16"/>
        </w:rPr>
        <w:t xml:space="preserve"> </w:t>
      </w:r>
      <w:r>
        <w:rPr>
          <w:sz w:val="16"/>
        </w:rPr>
        <w:t>libertades</w:t>
      </w:r>
      <w:r>
        <w:rPr>
          <w:spacing w:val="-3"/>
          <w:sz w:val="16"/>
        </w:rPr>
        <w:t xml:space="preserve"> </w:t>
      </w:r>
      <w:r>
        <w:rPr>
          <w:sz w:val="16"/>
        </w:rPr>
        <w:t>fundamentales</w:t>
      </w:r>
      <w:r>
        <w:rPr>
          <w:spacing w:val="-3"/>
          <w:sz w:val="16"/>
        </w:rPr>
        <w:t xml:space="preserve"> </w:t>
      </w:r>
      <w:r>
        <w:rPr>
          <w:sz w:val="16"/>
        </w:rPr>
        <w:t>y</w:t>
      </w:r>
      <w:r>
        <w:rPr>
          <w:spacing w:val="-3"/>
          <w:sz w:val="16"/>
        </w:rPr>
        <w:t xml:space="preserve"> </w:t>
      </w:r>
      <w:r>
        <w:rPr>
          <w:sz w:val="16"/>
        </w:rPr>
        <w:t>la</w:t>
      </w:r>
      <w:r>
        <w:rPr>
          <w:spacing w:val="-3"/>
          <w:sz w:val="16"/>
        </w:rPr>
        <w:t xml:space="preserve"> </w:t>
      </w:r>
      <w:r>
        <w:rPr>
          <w:sz w:val="16"/>
        </w:rPr>
        <w:t>participación</w:t>
      </w:r>
      <w:r>
        <w:rPr>
          <w:spacing w:val="-3"/>
          <w:sz w:val="16"/>
        </w:rPr>
        <w:t xml:space="preserve"> </w:t>
      </w:r>
      <w:r>
        <w:rPr>
          <w:sz w:val="16"/>
        </w:rPr>
        <w:t>igualitaria</w:t>
      </w:r>
      <w:r>
        <w:rPr>
          <w:spacing w:val="-3"/>
          <w:sz w:val="16"/>
        </w:rPr>
        <w:t xml:space="preserve"> </w:t>
      </w:r>
      <w:r>
        <w:rPr>
          <w:sz w:val="16"/>
        </w:rPr>
        <w:t>en</w:t>
      </w:r>
      <w:r>
        <w:rPr>
          <w:spacing w:val="-3"/>
          <w:sz w:val="16"/>
        </w:rPr>
        <w:t xml:space="preserve"> </w:t>
      </w:r>
      <w:r>
        <w:rPr>
          <w:sz w:val="16"/>
        </w:rPr>
        <w:t>cualquier</w:t>
      </w:r>
      <w:r>
        <w:rPr>
          <w:spacing w:val="-3"/>
          <w:sz w:val="16"/>
        </w:rPr>
        <w:t xml:space="preserve"> </w:t>
      </w:r>
      <w:r>
        <w:rPr>
          <w:sz w:val="16"/>
        </w:rPr>
        <w:t>área</w:t>
      </w:r>
      <w:r>
        <w:rPr>
          <w:spacing w:val="-3"/>
          <w:sz w:val="16"/>
        </w:rPr>
        <w:t xml:space="preserve"> </w:t>
      </w:r>
      <w:r>
        <w:rPr>
          <w:sz w:val="16"/>
        </w:rPr>
        <w:t>de</w:t>
      </w:r>
      <w:r>
        <w:rPr>
          <w:spacing w:val="-3"/>
          <w:sz w:val="16"/>
        </w:rPr>
        <w:t xml:space="preserve"> </w:t>
      </w:r>
      <w:r>
        <w:rPr>
          <w:sz w:val="16"/>
        </w:rPr>
        <w:t>la</w:t>
      </w:r>
      <w:r>
        <w:rPr>
          <w:spacing w:val="-3"/>
          <w:sz w:val="16"/>
        </w:rPr>
        <w:t xml:space="preserve"> </w:t>
      </w:r>
      <w:r>
        <w:rPr>
          <w:sz w:val="16"/>
        </w:rPr>
        <w:t>vida</w:t>
      </w:r>
      <w:r>
        <w:rPr>
          <w:spacing w:val="-3"/>
          <w:sz w:val="16"/>
        </w:rPr>
        <w:t xml:space="preserve"> </w:t>
      </w:r>
      <w:r>
        <w:rPr>
          <w:sz w:val="16"/>
        </w:rPr>
        <w:t>regulada.</w:t>
      </w:r>
      <w:r>
        <w:rPr>
          <w:spacing w:val="-2"/>
          <w:sz w:val="16"/>
        </w:rPr>
        <w:t xml:space="preserve"> </w:t>
      </w:r>
      <w:r>
        <w:rPr>
          <w:sz w:val="16"/>
        </w:rPr>
        <w:t>por ley. La denegación de ajustes razonables es una forma de discriminación.</w:t>
      </w:r>
    </w:p>
    <w:p w14:paraId="54A17BDE" w14:textId="77777777" w:rsidR="0014798C" w:rsidRDefault="004E1F0B">
      <w:pPr>
        <w:pStyle w:val="Prrafodelista"/>
        <w:numPr>
          <w:ilvl w:val="2"/>
          <w:numId w:val="97"/>
        </w:numPr>
        <w:tabs>
          <w:tab w:val="left" w:pos="1513"/>
          <w:tab w:val="left" w:pos="1617"/>
        </w:tabs>
        <w:spacing w:before="111" w:line="326" w:lineRule="auto"/>
        <w:ind w:left="1617" w:right="1486" w:hanging="203"/>
        <w:rPr>
          <w:sz w:val="16"/>
        </w:rPr>
      </w:pPr>
      <w:r>
        <w:rPr>
          <w:sz w:val="16"/>
        </w:rPr>
        <w:t>La accesibilidad es un deber proactivo y sistémico que requiere la adopción e implementación de medidas necesarias</w:t>
      </w:r>
      <w:r>
        <w:rPr>
          <w:spacing w:val="40"/>
          <w:sz w:val="16"/>
        </w:rPr>
        <w:t xml:space="preserve"> </w:t>
      </w:r>
      <w:r>
        <w:rPr>
          <w:sz w:val="16"/>
        </w:rPr>
        <w:t>para</w:t>
      </w:r>
      <w:r>
        <w:rPr>
          <w:spacing w:val="-3"/>
          <w:sz w:val="16"/>
        </w:rPr>
        <w:t xml:space="preserve"> </w:t>
      </w:r>
      <w:r>
        <w:rPr>
          <w:sz w:val="16"/>
        </w:rPr>
        <w:t>garantizar</w:t>
      </w:r>
      <w:r>
        <w:rPr>
          <w:spacing w:val="-3"/>
          <w:sz w:val="16"/>
        </w:rPr>
        <w:t xml:space="preserve"> </w:t>
      </w:r>
      <w:r>
        <w:rPr>
          <w:sz w:val="16"/>
        </w:rPr>
        <w:t>la</w:t>
      </w:r>
      <w:r>
        <w:rPr>
          <w:spacing w:val="-3"/>
          <w:sz w:val="16"/>
        </w:rPr>
        <w:t xml:space="preserve"> </w:t>
      </w:r>
      <w:r>
        <w:rPr>
          <w:sz w:val="16"/>
        </w:rPr>
        <w:t>igualdad</w:t>
      </w:r>
      <w:r>
        <w:rPr>
          <w:spacing w:val="-3"/>
          <w:sz w:val="16"/>
        </w:rPr>
        <w:t xml:space="preserve"> </w:t>
      </w:r>
      <w:r>
        <w:rPr>
          <w:sz w:val="16"/>
        </w:rPr>
        <w:t>de</w:t>
      </w:r>
      <w:r>
        <w:rPr>
          <w:spacing w:val="-3"/>
          <w:sz w:val="16"/>
        </w:rPr>
        <w:t xml:space="preserve"> </w:t>
      </w:r>
      <w:r>
        <w:rPr>
          <w:sz w:val="16"/>
        </w:rPr>
        <w:t>acceso</w:t>
      </w:r>
      <w:r>
        <w:rPr>
          <w:spacing w:val="-3"/>
          <w:sz w:val="16"/>
        </w:rPr>
        <w:t xml:space="preserve"> </w:t>
      </w:r>
      <w:r>
        <w:rPr>
          <w:sz w:val="16"/>
        </w:rPr>
        <w:t>al</w:t>
      </w:r>
      <w:r>
        <w:rPr>
          <w:spacing w:val="-3"/>
          <w:sz w:val="16"/>
        </w:rPr>
        <w:t xml:space="preserve"> </w:t>
      </w:r>
      <w:r>
        <w:rPr>
          <w:sz w:val="16"/>
        </w:rPr>
        <w:t>entorno</w:t>
      </w:r>
      <w:r>
        <w:rPr>
          <w:spacing w:val="-3"/>
          <w:sz w:val="16"/>
        </w:rPr>
        <w:t xml:space="preserve"> </w:t>
      </w:r>
      <w:r>
        <w:rPr>
          <w:sz w:val="16"/>
        </w:rPr>
        <w:t>físico,</w:t>
      </w:r>
      <w:r>
        <w:rPr>
          <w:spacing w:val="-2"/>
          <w:sz w:val="16"/>
        </w:rPr>
        <w:t xml:space="preserve"> </w:t>
      </w:r>
      <w:r>
        <w:rPr>
          <w:sz w:val="16"/>
        </w:rPr>
        <w:t>al</w:t>
      </w:r>
      <w:r>
        <w:rPr>
          <w:spacing w:val="-3"/>
          <w:sz w:val="16"/>
        </w:rPr>
        <w:t xml:space="preserve"> </w:t>
      </w:r>
      <w:r>
        <w:rPr>
          <w:sz w:val="16"/>
        </w:rPr>
        <w:t>transporte,</w:t>
      </w:r>
      <w:r>
        <w:rPr>
          <w:spacing w:val="-2"/>
          <w:sz w:val="16"/>
        </w:rPr>
        <w:t xml:space="preserve"> </w:t>
      </w:r>
      <w:r>
        <w:rPr>
          <w:sz w:val="16"/>
        </w:rPr>
        <w:t>a</w:t>
      </w:r>
      <w:r>
        <w:rPr>
          <w:spacing w:val="-3"/>
          <w:sz w:val="16"/>
        </w:rPr>
        <w:t xml:space="preserve"> </w:t>
      </w:r>
      <w:r>
        <w:rPr>
          <w:sz w:val="16"/>
        </w:rPr>
        <w:t>la</w:t>
      </w:r>
      <w:r>
        <w:rPr>
          <w:spacing w:val="-3"/>
          <w:sz w:val="16"/>
        </w:rPr>
        <w:t xml:space="preserve"> </w:t>
      </w:r>
      <w:r>
        <w:rPr>
          <w:sz w:val="16"/>
        </w:rPr>
        <w:t>información</w:t>
      </w:r>
      <w:r>
        <w:rPr>
          <w:spacing w:val="-3"/>
          <w:sz w:val="16"/>
        </w:rPr>
        <w:t xml:space="preserve"> </w:t>
      </w:r>
      <w:r>
        <w:rPr>
          <w:sz w:val="16"/>
        </w:rPr>
        <w:t>y</w:t>
      </w:r>
      <w:r>
        <w:rPr>
          <w:spacing w:val="-3"/>
          <w:sz w:val="16"/>
        </w:rPr>
        <w:t xml:space="preserve"> </w:t>
      </w:r>
      <w:r>
        <w:rPr>
          <w:sz w:val="16"/>
        </w:rPr>
        <w:t>las</w:t>
      </w:r>
      <w:r>
        <w:rPr>
          <w:spacing w:val="-3"/>
          <w:sz w:val="16"/>
        </w:rPr>
        <w:t xml:space="preserve"> </w:t>
      </w:r>
      <w:r>
        <w:rPr>
          <w:sz w:val="16"/>
        </w:rPr>
        <w:t>comunicaciones,</w:t>
      </w:r>
      <w:r>
        <w:rPr>
          <w:spacing w:val="-1"/>
          <w:sz w:val="16"/>
        </w:rPr>
        <w:t xml:space="preserve"> </w:t>
      </w:r>
      <w:r>
        <w:rPr>
          <w:sz w:val="16"/>
        </w:rPr>
        <w:t>a</w:t>
      </w:r>
      <w:r>
        <w:rPr>
          <w:spacing w:val="-3"/>
          <w:sz w:val="16"/>
        </w:rPr>
        <w:t xml:space="preserve"> </w:t>
      </w:r>
      <w:r>
        <w:rPr>
          <w:sz w:val="16"/>
        </w:rPr>
        <w:t>los</w:t>
      </w:r>
      <w:r>
        <w:rPr>
          <w:spacing w:val="-3"/>
          <w:sz w:val="16"/>
        </w:rPr>
        <w:t xml:space="preserve"> </w:t>
      </w:r>
      <w:r>
        <w:rPr>
          <w:sz w:val="16"/>
        </w:rPr>
        <w:t>lugares de</w:t>
      </w:r>
      <w:r>
        <w:rPr>
          <w:spacing w:val="-3"/>
          <w:sz w:val="16"/>
        </w:rPr>
        <w:t xml:space="preserve"> </w:t>
      </w:r>
      <w:r>
        <w:rPr>
          <w:sz w:val="16"/>
        </w:rPr>
        <w:t>trabajo,</w:t>
      </w:r>
      <w:r>
        <w:rPr>
          <w:spacing w:val="-2"/>
          <w:sz w:val="16"/>
        </w:rPr>
        <w:t xml:space="preserve"> </w:t>
      </w:r>
      <w:r>
        <w:rPr>
          <w:sz w:val="16"/>
        </w:rPr>
        <w:t>a</w:t>
      </w:r>
      <w:r>
        <w:rPr>
          <w:spacing w:val="-3"/>
          <w:sz w:val="16"/>
        </w:rPr>
        <w:t xml:space="preserve"> </w:t>
      </w:r>
      <w:r>
        <w:rPr>
          <w:sz w:val="16"/>
        </w:rPr>
        <w:t>la</w:t>
      </w:r>
      <w:r>
        <w:rPr>
          <w:spacing w:val="-3"/>
          <w:sz w:val="16"/>
        </w:rPr>
        <w:t xml:space="preserve"> </w:t>
      </w:r>
      <w:r>
        <w:rPr>
          <w:sz w:val="16"/>
        </w:rPr>
        <w:t>educación</w:t>
      </w:r>
      <w:r>
        <w:rPr>
          <w:spacing w:val="-3"/>
          <w:sz w:val="16"/>
        </w:rPr>
        <w:t xml:space="preserve"> </w:t>
      </w:r>
      <w:r>
        <w:rPr>
          <w:sz w:val="16"/>
        </w:rPr>
        <w:t>y</w:t>
      </w:r>
      <w:r>
        <w:rPr>
          <w:spacing w:val="-3"/>
          <w:sz w:val="16"/>
        </w:rPr>
        <w:t xml:space="preserve"> </w:t>
      </w:r>
      <w:r>
        <w:rPr>
          <w:sz w:val="16"/>
        </w:rPr>
        <w:t>a</w:t>
      </w:r>
      <w:r>
        <w:rPr>
          <w:spacing w:val="-3"/>
          <w:sz w:val="16"/>
        </w:rPr>
        <w:t xml:space="preserve"> </w:t>
      </w:r>
      <w:r>
        <w:rPr>
          <w:sz w:val="16"/>
        </w:rPr>
        <w:t>la</w:t>
      </w:r>
      <w:r>
        <w:rPr>
          <w:spacing w:val="-3"/>
          <w:sz w:val="16"/>
        </w:rPr>
        <w:t xml:space="preserve"> </w:t>
      </w:r>
      <w:r>
        <w:rPr>
          <w:sz w:val="16"/>
        </w:rPr>
        <w:t>atención</w:t>
      </w:r>
      <w:r>
        <w:rPr>
          <w:spacing w:val="-3"/>
          <w:sz w:val="16"/>
        </w:rPr>
        <w:t xml:space="preserve"> </w:t>
      </w:r>
      <w:r>
        <w:rPr>
          <w:sz w:val="16"/>
        </w:rPr>
        <w:t>sanitaria</w:t>
      </w:r>
      <w:r>
        <w:rPr>
          <w:spacing w:val="-3"/>
          <w:sz w:val="16"/>
        </w:rPr>
        <w:t xml:space="preserve"> </w:t>
      </w:r>
      <w:r>
        <w:rPr>
          <w:sz w:val="16"/>
        </w:rPr>
        <w:t>y</w:t>
      </w:r>
      <w:r>
        <w:rPr>
          <w:spacing w:val="-3"/>
          <w:sz w:val="16"/>
        </w:rPr>
        <w:t xml:space="preserve"> </w:t>
      </w:r>
      <w:r>
        <w:rPr>
          <w:sz w:val="16"/>
        </w:rPr>
        <w:t>a</w:t>
      </w:r>
      <w:r>
        <w:rPr>
          <w:spacing w:val="-3"/>
          <w:sz w:val="16"/>
        </w:rPr>
        <w:t xml:space="preserve"> </w:t>
      </w:r>
      <w:r>
        <w:rPr>
          <w:sz w:val="16"/>
        </w:rPr>
        <w:t>otras</w:t>
      </w:r>
      <w:r>
        <w:rPr>
          <w:spacing w:val="-3"/>
          <w:sz w:val="16"/>
        </w:rPr>
        <w:t xml:space="preserve"> </w:t>
      </w:r>
      <w:r>
        <w:rPr>
          <w:sz w:val="16"/>
        </w:rPr>
        <w:t>instalaciones</w:t>
      </w:r>
      <w:r>
        <w:rPr>
          <w:spacing w:val="-3"/>
          <w:sz w:val="16"/>
        </w:rPr>
        <w:t xml:space="preserve"> </w:t>
      </w:r>
      <w:r>
        <w:rPr>
          <w:sz w:val="16"/>
        </w:rPr>
        <w:t>y</w:t>
      </w:r>
      <w:r>
        <w:rPr>
          <w:spacing w:val="-3"/>
          <w:sz w:val="16"/>
        </w:rPr>
        <w:t xml:space="preserve"> </w:t>
      </w:r>
      <w:r>
        <w:rPr>
          <w:sz w:val="16"/>
        </w:rPr>
        <w:t>servicios</w:t>
      </w:r>
      <w:r>
        <w:rPr>
          <w:spacing w:val="-3"/>
          <w:sz w:val="16"/>
        </w:rPr>
        <w:t xml:space="preserve"> </w:t>
      </w:r>
      <w:r>
        <w:rPr>
          <w:sz w:val="16"/>
        </w:rPr>
        <w:t>abiertos.</w:t>
      </w:r>
      <w:r>
        <w:rPr>
          <w:spacing w:val="-2"/>
          <w:sz w:val="16"/>
        </w:rPr>
        <w:t xml:space="preserve"> </w:t>
      </w:r>
      <w:r>
        <w:rPr>
          <w:sz w:val="16"/>
        </w:rPr>
        <w:t>o</w:t>
      </w:r>
      <w:r>
        <w:rPr>
          <w:spacing w:val="-3"/>
          <w:sz w:val="16"/>
        </w:rPr>
        <w:t xml:space="preserve"> </w:t>
      </w:r>
      <w:r>
        <w:rPr>
          <w:sz w:val="16"/>
        </w:rPr>
        <w:t>proporcionado</w:t>
      </w:r>
      <w:r>
        <w:rPr>
          <w:spacing w:val="-3"/>
          <w:sz w:val="16"/>
        </w:rPr>
        <w:t xml:space="preserve"> </w:t>
      </w:r>
      <w:r>
        <w:rPr>
          <w:sz w:val="16"/>
        </w:rPr>
        <w:t>al</w:t>
      </w:r>
      <w:r>
        <w:rPr>
          <w:spacing w:val="-3"/>
          <w:sz w:val="16"/>
        </w:rPr>
        <w:t xml:space="preserve"> </w:t>
      </w:r>
      <w:r>
        <w:rPr>
          <w:sz w:val="16"/>
        </w:rPr>
        <w:t>público. El Estado</w:t>
      </w:r>
      <w:r>
        <w:rPr>
          <w:spacing w:val="-1"/>
          <w:sz w:val="16"/>
        </w:rPr>
        <w:t xml:space="preserve"> </w:t>
      </w:r>
      <w:r>
        <w:rPr>
          <w:sz w:val="16"/>
        </w:rPr>
        <w:t>está obligado</w:t>
      </w:r>
      <w:r>
        <w:rPr>
          <w:spacing w:val="-1"/>
          <w:sz w:val="16"/>
        </w:rPr>
        <w:t xml:space="preserve"> </w:t>
      </w:r>
      <w:r>
        <w:rPr>
          <w:sz w:val="16"/>
        </w:rPr>
        <w:t>a garantizar</w:t>
      </w:r>
      <w:r>
        <w:rPr>
          <w:spacing w:val="-1"/>
          <w:sz w:val="16"/>
        </w:rPr>
        <w:t xml:space="preserve"> </w:t>
      </w:r>
      <w:r>
        <w:rPr>
          <w:sz w:val="16"/>
        </w:rPr>
        <w:t>la accesibilidad</w:t>
      </w:r>
      <w:r>
        <w:rPr>
          <w:spacing w:val="-1"/>
          <w:sz w:val="16"/>
        </w:rPr>
        <w:t xml:space="preserve"> </w:t>
      </w:r>
      <w:r>
        <w:rPr>
          <w:sz w:val="16"/>
        </w:rPr>
        <w:t>en todos</w:t>
      </w:r>
      <w:r>
        <w:rPr>
          <w:spacing w:val="-1"/>
          <w:sz w:val="16"/>
        </w:rPr>
        <w:t xml:space="preserve"> </w:t>
      </w:r>
      <w:r>
        <w:rPr>
          <w:sz w:val="16"/>
        </w:rPr>
        <w:t>los ámbitos</w:t>
      </w:r>
      <w:r>
        <w:rPr>
          <w:spacing w:val="-1"/>
          <w:sz w:val="16"/>
        </w:rPr>
        <w:t xml:space="preserve"> </w:t>
      </w:r>
      <w:r>
        <w:rPr>
          <w:sz w:val="16"/>
        </w:rPr>
        <w:t>de la</w:t>
      </w:r>
      <w:r>
        <w:rPr>
          <w:spacing w:val="-1"/>
          <w:sz w:val="16"/>
        </w:rPr>
        <w:t xml:space="preserve"> </w:t>
      </w:r>
      <w:r>
        <w:rPr>
          <w:sz w:val="16"/>
        </w:rPr>
        <w:t>vida. El incumplimiento</w:t>
      </w:r>
      <w:r>
        <w:rPr>
          <w:spacing w:val="-1"/>
          <w:sz w:val="16"/>
        </w:rPr>
        <w:t xml:space="preserve"> </w:t>
      </w:r>
      <w:r>
        <w:rPr>
          <w:sz w:val="16"/>
        </w:rPr>
        <w:t>de las</w:t>
      </w:r>
      <w:r>
        <w:rPr>
          <w:spacing w:val="-1"/>
          <w:sz w:val="16"/>
        </w:rPr>
        <w:t xml:space="preserve"> </w:t>
      </w:r>
      <w:r>
        <w:rPr>
          <w:sz w:val="16"/>
        </w:rPr>
        <w:t>normas de accesibilidad es una forma de conducta prohibida.</w:t>
      </w:r>
    </w:p>
    <w:p w14:paraId="5219CBB0" w14:textId="77777777" w:rsidR="0014798C" w:rsidRDefault="004E1F0B">
      <w:pPr>
        <w:pStyle w:val="Prrafodelista"/>
        <w:numPr>
          <w:ilvl w:val="2"/>
          <w:numId w:val="97"/>
        </w:numPr>
        <w:tabs>
          <w:tab w:val="left" w:pos="1511"/>
          <w:tab w:val="left" w:pos="1620"/>
        </w:tabs>
        <w:spacing w:before="120"/>
        <w:ind w:left="1511" w:hanging="97"/>
        <w:rPr>
          <w:sz w:val="15"/>
        </w:rPr>
      </w:pPr>
      <w:r>
        <w:rPr>
          <w:spacing w:val="-2"/>
          <w:w w:val="105"/>
          <w:sz w:val="15"/>
        </w:rPr>
        <w:t>La segregación ocurre</w:t>
      </w:r>
      <w:r>
        <w:rPr>
          <w:spacing w:val="-1"/>
          <w:w w:val="105"/>
          <w:sz w:val="15"/>
        </w:rPr>
        <w:t xml:space="preserve"> </w:t>
      </w:r>
      <w:r>
        <w:rPr>
          <w:spacing w:val="-2"/>
          <w:w w:val="105"/>
          <w:sz w:val="15"/>
        </w:rPr>
        <w:t>cuando las personas</w:t>
      </w:r>
      <w:r>
        <w:rPr>
          <w:spacing w:val="-1"/>
          <w:w w:val="105"/>
          <w:sz w:val="15"/>
        </w:rPr>
        <w:t xml:space="preserve"> </w:t>
      </w:r>
      <w:r>
        <w:rPr>
          <w:spacing w:val="-2"/>
          <w:w w:val="105"/>
          <w:sz w:val="15"/>
        </w:rPr>
        <w:t>que comparten un</w:t>
      </w:r>
      <w:r>
        <w:rPr>
          <w:spacing w:val="-1"/>
          <w:w w:val="105"/>
          <w:sz w:val="15"/>
        </w:rPr>
        <w:t xml:space="preserve"> </w:t>
      </w:r>
      <w:r>
        <w:rPr>
          <w:spacing w:val="-2"/>
          <w:w w:val="105"/>
          <w:sz w:val="15"/>
        </w:rPr>
        <w:t>terreno particular</w:t>
      </w:r>
      <w:r>
        <w:rPr>
          <w:spacing w:val="-1"/>
          <w:w w:val="105"/>
          <w:sz w:val="15"/>
        </w:rPr>
        <w:t xml:space="preserve"> </w:t>
      </w:r>
      <w:r>
        <w:rPr>
          <w:spacing w:val="-2"/>
          <w:w w:val="105"/>
          <w:sz w:val="15"/>
        </w:rPr>
        <w:t>son, sin su</w:t>
      </w:r>
      <w:r>
        <w:rPr>
          <w:spacing w:val="-1"/>
          <w:w w:val="105"/>
          <w:sz w:val="15"/>
        </w:rPr>
        <w:t xml:space="preserve"> </w:t>
      </w:r>
      <w:r>
        <w:rPr>
          <w:spacing w:val="-2"/>
          <w:w w:val="105"/>
          <w:sz w:val="15"/>
        </w:rPr>
        <w:t>consentimiento pleno, libre</w:t>
      </w:r>
      <w:r>
        <w:rPr>
          <w:spacing w:val="-1"/>
          <w:w w:val="105"/>
          <w:sz w:val="15"/>
        </w:rPr>
        <w:t xml:space="preserve"> </w:t>
      </w:r>
      <w:r>
        <w:rPr>
          <w:spacing w:val="-10"/>
          <w:w w:val="105"/>
          <w:sz w:val="15"/>
        </w:rPr>
        <w:t>e</w:t>
      </w:r>
    </w:p>
    <w:p w14:paraId="42A80930" w14:textId="77777777" w:rsidR="0014798C" w:rsidRDefault="004E1F0B">
      <w:pPr>
        <w:spacing w:before="78" w:line="288" w:lineRule="auto"/>
        <w:ind w:left="1620" w:right="1626"/>
        <w:rPr>
          <w:sz w:val="15"/>
        </w:rPr>
      </w:pPr>
      <w:proofErr w:type="gramStart"/>
      <w:r>
        <w:rPr>
          <w:w w:val="105"/>
          <w:sz w:val="15"/>
        </w:rPr>
        <w:t>informado</w:t>
      </w:r>
      <w:r>
        <w:rPr>
          <w:spacing w:val="-8"/>
          <w:w w:val="105"/>
          <w:sz w:val="15"/>
        </w:rPr>
        <w:t xml:space="preserve"> </w:t>
      </w:r>
      <w:r>
        <w:rPr>
          <w:w w:val="105"/>
          <w:sz w:val="15"/>
        </w:rPr>
        <w:t>,</w:t>
      </w:r>
      <w:proofErr w:type="gramEnd"/>
      <w:r>
        <w:rPr>
          <w:spacing w:val="-8"/>
          <w:w w:val="105"/>
          <w:sz w:val="15"/>
        </w:rPr>
        <w:t xml:space="preserve"> </w:t>
      </w:r>
      <w:r>
        <w:rPr>
          <w:w w:val="105"/>
          <w:sz w:val="15"/>
        </w:rPr>
        <w:t>separadas</w:t>
      </w:r>
      <w:r>
        <w:rPr>
          <w:spacing w:val="-8"/>
          <w:w w:val="105"/>
          <w:sz w:val="15"/>
        </w:rPr>
        <w:t xml:space="preserve"> </w:t>
      </w:r>
      <w:r>
        <w:rPr>
          <w:w w:val="105"/>
          <w:sz w:val="15"/>
        </w:rPr>
        <w:t>y</w:t>
      </w:r>
      <w:r>
        <w:rPr>
          <w:spacing w:val="-8"/>
          <w:w w:val="105"/>
          <w:sz w:val="15"/>
        </w:rPr>
        <w:t xml:space="preserve"> </w:t>
      </w:r>
      <w:r>
        <w:rPr>
          <w:w w:val="105"/>
          <w:sz w:val="15"/>
        </w:rPr>
        <w:t>se</w:t>
      </w:r>
      <w:r>
        <w:rPr>
          <w:spacing w:val="-8"/>
          <w:w w:val="105"/>
          <w:sz w:val="15"/>
        </w:rPr>
        <w:t xml:space="preserve"> </w:t>
      </w:r>
      <w:r>
        <w:rPr>
          <w:w w:val="105"/>
          <w:sz w:val="15"/>
        </w:rPr>
        <w:t>les</w:t>
      </w:r>
      <w:r>
        <w:rPr>
          <w:spacing w:val="-8"/>
          <w:w w:val="105"/>
          <w:sz w:val="15"/>
        </w:rPr>
        <w:t xml:space="preserve"> </w:t>
      </w:r>
      <w:r>
        <w:rPr>
          <w:w w:val="105"/>
          <w:sz w:val="15"/>
        </w:rPr>
        <w:t>proporciona</w:t>
      </w:r>
      <w:r>
        <w:rPr>
          <w:spacing w:val="-8"/>
          <w:w w:val="105"/>
          <w:sz w:val="15"/>
        </w:rPr>
        <w:t xml:space="preserve"> </w:t>
      </w:r>
      <w:r>
        <w:rPr>
          <w:w w:val="105"/>
          <w:sz w:val="15"/>
        </w:rPr>
        <w:t>un</w:t>
      </w:r>
      <w:r>
        <w:rPr>
          <w:spacing w:val="-8"/>
          <w:w w:val="105"/>
          <w:sz w:val="15"/>
        </w:rPr>
        <w:t xml:space="preserve"> </w:t>
      </w:r>
      <w:r>
        <w:rPr>
          <w:w w:val="105"/>
          <w:sz w:val="15"/>
        </w:rPr>
        <w:t>acceso</w:t>
      </w:r>
      <w:r>
        <w:rPr>
          <w:spacing w:val="-8"/>
          <w:w w:val="105"/>
          <w:sz w:val="15"/>
        </w:rPr>
        <w:t xml:space="preserve"> </w:t>
      </w:r>
      <w:r>
        <w:rPr>
          <w:w w:val="105"/>
          <w:sz w:val="15"/>
        </w:rPr>
        <w:t>diferente</w:t>
      </w:r>
      <w:r>
        <w:rPr>
          <w:spacing w:val="-8"/>
          <w:w w:val="105"/>
          <w:sz w:val="15"/>
        </w:rPr>
        <w:t xml:space="preserve"> </w:t>
      </w:r>
      <w:r>
        <w:rPr>
          <w:w w:val="105"/>
          <w:sz w:val="15"/>
        </w:rPr>
        <w:t>a</w:t>
      </w:r>
      <w:r>
        <w:rPr>
          <w:spacing w:val="-8"/>
          <w:w w:val="105"/>
          <w:sz w:val="15"/>
        </w:rPr>
        <w:t xml:space="preserve"> </w:t>
      </w:r>
      <w:r>
        <w:rPr>
          <w:w w:val="105"/>
          <w:sz w:val="15"/>
        </w:rPr>
        <w:t>instituciones,</w:t>
      </w:r>
      <w:r>
        <w:rPr>
          <w:spacing w:val="-7"/>
          <w:w w:val="105"/>
          <w:sz w:val="15"/>
        </w:rPr>
        <w:t xml:space="preserve"> </w:t>
      </w:r>
      <w:r>
        <w:rPr>
          <w:w w:val="105"/>
          <w:sz w:val="15"/>
        </w:rPr>
        <w:t>bienes,</w:t>
      </w:r>
      <w:r>
        <w:rPr>
          <w:spacing w:val="-7"/>
          <w:w w:val="105"/>
          <w:sz w:val="15"/>
        </w:rPr>
        <w:t xml:space="preserve"> </w:t>
      </w:r>
      <w:r>
        <w:rPr>
          <w:w w:val="105"/>
          <w:sz w:val="15"/>
        </w:rPr>
        <w:t>servicios,</w:t>
      </w:r>
      <w:r>
        <w:rPr>
          <w:spacing w:val="-7"/>
          <w:w w:val="105"/>
          <w:sz w:val="15"/>
        </w:rPr>
        <w:t xml:space="preserve"> </w:t>
      </w:r>
      <w:r>
        <w:rPr>
          <w:w w:val="105"/>
          <w:sz w:val="15"/>
        </w:rPr>
        <w:t>derechos</w:t>
      </w:r>
      <w:r>
        <w:rPr>
          <w:spacing w:val="-8"/>
          <w:w w:val="105"/>
          <w:sz w:val="15"/>
        </w:rPr>
        <w:t xml:space="preserve"> </w:t>
      </w:r>
      <w:r>
        <w:rPr>
          <w:w w:val="105"/>
          <w:sz w:val="15"/>
        </w:rPr>
        <w:t>o</w:t>
      </w:r>
      <w:r>
        <w:rPr>
          <w:spacing w:val="-8"/>
          <w:w w:val="105"/>
          <w:sz w:val="15"/>
        </w:rPr>
        <w:t xml:space="preserve"> </w:t>
      </w:r>
      <w:r>
        <w:rPr>
          <w:w w:val="105"/>
          <w:sz w:val="15"/>
        </w:rPr>
        <w:t>al</w:t>
      </w:r>
      <w:r>
        <w:rPr>
          <w:spacing w:val="-8"/>
          <w:w w:val="105"/>
          <w:sz w:val="15"/>
        </w:rPr>
        <w:t xml:space="preserve"> </w:t>
      </w:r>
      <w:r>
        <w:rPr>
          <w:w w:val="105"/>
          <w:sz w:val="15"/>
        </w:rPr>
        <w:t xml:space="preserve">entorno </w:t>
      </w:r>
      <w:r>
        <w:rPr>
          <w:spacing w:val="-2"/>
          <w:w w:val="105"/>
          <w:sz w:val="15"/>
        </w:rPr>
        <w:t>físico.</w:t>
      </w:r>
    </w:p>
    <w:p w14:paraId="43753FA4" w14:textId="77777777" w:rsidR="0014798C" w:rsidRDefault="0014798C">
      <w:pPr>
        <w:pStyle w:val="Textoindependiente"/>
        <w:spacing w:before="16"/>
        <w:rPr>
          <w:sz w:val="15"/>
        </w:rPr>
      </w:pPr>
    </w:p>
    <w:p w14:paraId="0417622E" w14:textId="77777777" w:rsidR="0014798C" w:rsidRDefault="004E1F0B">
      <w:pPr>
        <w:pStyle w:val="Prrafodelista"/>
        <w:numPr>
          <w:ilvl w:val="2"/>
          <w:numId w:val="97"/>
        </w:numPr>
        <w:tabs>
          <w:tab w:val="left" w:pos="1514"/>
        </w:tabs>
        <w:spacing w:before="1"/>
        <w:ind w:left="1514" w:hanging="99"/>
        <w:rPr>
          <w:sz w:val="16"/>
        </w:rPr>
      </w:pPr>
      <w:r>
        <w:rPr>
          <w:sz w:val="16"/>
        </w:rPr>
        <w:t>La</w:t>
      </w:r>
      <w:r>
        <w:rPr>
          <w:spacing w:val="-7"/>
          <w:sz w:val="16"/>
        </w:rPr>
        <w:t xml:space="preserve"> </w:t>
      </w:r>
      <w:r>
        <w:rPr>
          <w:sz w:val="16"/>
        </w:rPr>
        <w:t>victimización</w:t>
      </w:r>
      <w:r>
        <w:rPr>
          <w:spacing w:val="-5"/>
          <w:sz w:val="16"/>
        </w:rPr>
        <w:t xml:space="preserve"> </w:t>
      </w:r>
      <w:r>
        <w:rPr>
          <w:sz w:val="16"/>
        </w:rPr>
        <w:t>ocurre</w:t>
      </w:r>
      <w:r>
        <w:rPr>
          <w:spacing w:val="-5"/>
          <w:sz w:val="16"/>
        </w:rPr>
        <w:t xml:space="preserve"> </w:t>
      </w:r>
      <w:r>
        <w:rPr>
          <w:sz w:val="16"/>
        </w:rPr>
        <w:t>cuando</w:t>
      </w:r>
      <w:r>
        <w:rPr>
          <w:spacing w:val="-5"/>
          <w:sz w:val="16"/>
        </w:rPr>
        <w:t xml:space="preserve"> </w:t>
      </w:r>
      <w:r>
        <w:rPr>
          <w:sz w:val="16"/>
        </w:rPr>
        <w:t>las</w:t>
      </w:r>
      <w:r>
        <w:rPr>
          <w:spacing w:val="-4"/>
          <w:sz w:val="16"/>
        </w:rPr>
        <w:t xml:space="preserve"> </w:t>
      </w:r>
      <w:r>
        <w:rPr>
          <w:sz w:val="16"/>
        </w:rPr>
        <w:t>personas</w:t>
      </w:r>
      <w:r>
        <w:rPr>
          <w:spacing w:val="-5"/>
          <w:sz w:val="16"/>
        </w:rPr>
        <w:t xml:space="preserve"> </w:t>
      </w:r>
      <w:r>
        <w:rPr>
          <w:sz w:val="16"/>
        </w:rPr>
        <w:t>experimentan</w:t>
      </w:r>
      <w:r>
        <w:rPr>
          <w:spacing w:val="-5"/>
          <w:sz w:val="16"/>
        </w:rPr>
        <w:t xml:space="preserve"> </w:t>
      </w:r>
      <w:r>
        <w:rPr>
          <w:sz w:val="16"/>
        </w:rPr>
        <w:t>un</w:t>
      </w:r>
      <w:r>
        <w:rPr>
          <w:spacing w:val="-5"/>
          <w:sz w:val="16"/>
        </w:rPr>
        <w:t xml:space="preserve"> </w:t>
      </w:r>
      <w:r>
        <w:rPr>
          <w:sz w:val="16"/>
        </w:rPr>
        <w:t>trato</w:t>
      </w:r>
      <w:r>
        <w:rPr>
          <w:spacing w:val="-5"/>
          <w:sz w:val="16"/>
        </w:rPr>
        <w:t xml:space="preserve"> </w:t>
      </w:r>
      <w:r>
        <w:rPr>
          <w:sz w:val="16"/>
        </w:rPr>
        <w:t>adverso</w:t>
      </w:r>
      <w:r>
        <w:rPr>
          <w:spacing w:val="-4"/>
          <w:sz w:val="16"/>
        </w:rPr>
        <w:t xml:space="preserve"> </w:t>
      </w:r>
      <w:r>
        <w:rPr>
          <w:sz w:val="16"/>
        </w:rPr>
        <w:t>o</w:t>
      </w:r>
      <w:r>
        <w:rPr>
          <w:spacing w:val="-5"/>
          <w:sz w:val="16"/>
        </w:rPr>
        <w:t xml:space="preserve"> </w:t>
      </w:r>
      <w:r>
        <w:rPr>
          <w:sz w:val="16"/>
        </w:rPr>
        <w:t>consecuencias</w:t>
      </w:r>
      <w:r>
        <w:rPr>
          <w:spacing w:val="-5"/>
          <w:sz w:val="16"/>
        </w:rPr>
        <w:t xml:space="preserve"> </w:t>
      </w:r>
      <w:r>
        <w:rPr>
          <w:sz w:val="16"/>
        </w:rPr>
        <w:t>como</w:t>
      </w:r>
      <w:r>
        <w:rPr>
          <w:spacing w:val="-5"/>
          <w:sz w:val="16"/>
        </w:rPr>
        <w:t xml:space="preserve"> </w:t>
      </w:r>
      <w:r>
        <w:rPr>
          <w:sz w:val="16"/>
        </w:rPr>
        <w:t>resultado</w:t>
      </w:r>
      <w:r>
        <w:rPr>
          <w:spacing w:val="-5"/>
          <w:sz w:val="16"/>
        </w:rPr>
        <w:t xml:space="preserve"> </w:t>
      </w:r>
      <w:r>
        <w:rPr>
          <w:sz w:val="16"/>
        </w:rPr>
        <w:t>de</w:t>
      </w:r>
      <w:r>
        <w:rPr>
          <w:spacing w:val="-4"/>
          <w:sz w:val="16"/>
        </w:rPr>
        <w:t xml:space="preserve"> </w:t>
      </w:r>
      <w:r>
        <w:rPr>
          <w:spacing w:val="-5"/>
          <w:sz w:val="16"/>
        </w:rPr>
        <w:t>su</w:t>
      </w:r>
    </w:p>
    <w:p w14:paraId="101E2BE5" w14:textId="77777777" w:rsidR="0014798C" w:rsidRDefault="004E1F0B">
      <w:pPr>
        <w:pStyle w:val="Textoindependiente"/>
        <w:spacing w:before="65"/>
        <w:ind w:left="1617"/>
      </w:pPr>
      <w:r>
        <w:t>participación</w:t>
      </w:r>
      <w:r>
        <w:rPr>
          <w:spacing w:val="-6"/>
        </w:rPr>
        <w:t xml:space="preserve"> </w:t>
      </w:r>
      <w:r>
        <w:t>en</w:t>
      </w:r>
      <w:r>
        <w:rPr>
          <w:spacing w:val="-3"/>
        </w:rPr>
        <w:t xml:space="preserve"> </w:t>
      </w:r>
      <w:r>
        <w:t>una</w:t>
      </w:r>
      <w:r>
        <w:rPr>
          <w:spacing w:val="-4"/>
        </w:rPr>
        <w:t xml:space="preserve"> </w:t>
      </w:r>
      <w:r>
        <w:t>denuncia</w:t>
      </w:r>
      <w:r>
        <w:rPr>
          <w:spacing w:val="-3"/>
        </w:rPr>
        <w:t xml:space="preserve"> </w:t>
      </w:r>
      <w:r>
        <w:t>de</w:t>
      </w:r>
      <w:r>
        <w:rPr>
          <w:spacing w:val="-3"/>
        </w:rPr>
        <w:t xml:space="preserve"> </w:t>
      </w:r>
      <w:r>
        <w:t>discriminación</w:t>
      </w:r>
      <w:r>
        <w:rPr>
          <w:spacing w:val="-4"/>
        </w:rPr>
        <w:t xml:space="preserve"> </w:t>
      </w:r>
      <w:r>
        <w:t>o</w:t>
      </w:r>
      <w:r>
        <w:rPr>
          <w:spacing w:val="-3"/>
        </w:rPr>
        <w:t xml:space="preserve"> </w:t>
      </w:r>
      <w:r>
        <w:t>en</w:t>
      </w:r>
      <w:r>
        <w:rPr>
          <w:spacing w:val="-3"/>
        </w:rPr>
        <w:t xml:space="preserve"> </w:t>
      </w:r>
      <w:r>
        <w:t>procedimientos</w:t>
      </w:r>
      <w:r>
        <w:rPr>
          <w:spacing w:val="-4"/>
        </w:rPr>
        <w:t xml:space="preserve"> </w:t>
      </w:r>
      <w:r>
        <w:t>destinados</w:t>
      </w:r>
      <w:r>
        <w:rPr>
          <w:spacing w:val="-3"/>
        </w:rPr>
        <w:t xml:space="preserve"> </w:t>
      </w:r>
      <w:r>
        <w:t>a</w:t>
      </w:r>
      <w:r>
        <w:rPr>
          <w:spacing w:val="-4"/>
        </w:rPr>
        <w:t xml:space="preserve"> </w:t>
      </w:r>
      <w:r>
        <w:t>hacer</w:t>
      </w:r>
      <w:r>
        <w:rPr>
          <w:spacing w:val="-3"/>
        </w:rPr>
        <w:t xml:space="preserve"> </w:t>
      </w:r>
      <w:r>
        <w:t>cumplir</w:t>
      </w:r>
      <w:r>
        <w:rPr>
          <w:spacing w:val="-3"/>
        </w:rPr>
        <w:t xml:space="preserve"> </w:t>
      </w:r>
      <w:r>
        <w:t>las</w:t>
      </w:r>
      <w:r>
        <w:rPr>
          <w:spacing w:val="-4"/>
        </w:rPr>
        <w:t xml:space="preserve"> </w:t>
      </w:r>
      <w:r>
        <w:t>disposiciones</w:t>
      </w:r>
      <w:r>
        <w:rPr>
          <w:spacing w:val="-3"/>
        </w:rPr>
        <w:t xml:space="preserve"> </w:t>
      </w:r>
      <w:r>
        <w:t>de</w:t>
      </w:r>
      <w:r>
        <w:rPr>
          <w:spacing w:val="-3"/>
        </w:rPr>
        <w:t xml:space="preserve"> </w:t>
      </w:r>
      <w:r>
        <w:rPr>
          <w:spacing w:val="-2"/>
        </w:rPr>
        <w:t>igualdad.</w:t>
      </w:r>
    </w:p>
    <w:p w14:paraId="7086B7F8" w14:textId="77777777" w:rsidR="0014798C" w:rsidRDefault="0014798C">
      <w:pPr>
        <w:pStyle w:val="Textoindependiente"/>
      </w:pPr>
    </w:p>
    <w:p w14:paraId="7B4CA5BE" w14:textId="77777777" w:rsidR="0014798C" w:rsidRDefault="0014798C">
      <w:pPr>
        <w:pStyle w:val="Textoindependiente"/>
        <w:spacing w:before="151"/>
      </w:pPr>
    </w:p>
    <w:p w14:paraId="467F6595" w14:textId="77777777" w:rsidR="0014798C" w:rsidRDefault="004E1F0B">
      <w:pPr>
        <w:pStyle w:val="Textoindependiente"/>
        <w:spacing w:line="326" w:lineRule="auto"/>
        <w:ind w:left="1107" w:right="1272" w:firstLine="5"/>
      </w:pPr>
      <w:r>
        <w:t>El</w:t>
      </w:r>
      <w:r>
        <w:rPr>
          <w:spacing w:val="-3"/>
        </w:rPr>
        <w:t xml:space="preserve"> </w:t>
      </w:r>
      <w:r>
        <w:t>acoso</w:t>
      </w:r>
      <w:r>
        <w:rPr>
          <w:spacing w:val="-3"/>
        </w:rPr>
        <w:t xml:space="preserve"> </w:t>
      </w:r>
      <w:r>
        <w:t>sexual</w:t>
      </w:r>
      <w:r>
        <w:rPr>
          <w:spacing w:val="-3"/>
        </w:rPr>
        <w:t xml:space="preserve"> </w:t>
      </w:r>
      <w:r>
        <w:t>es</w:t>
      </w:r>
      <w:r>
        <w:rPr>
          <w:spacing w:val="-3"/>
        </w:rPr>
        <w:t xml:space="preserve"> </w:t>
      </w:r>
      <w:r>
        <w:t>una</w:t>
      </w:r>
      <w:r>
        <w:rPr>
          <w:spacing w:val="-3"/>
        </w:rPr>
        <w:t xml:space="preserve"> </w:t>
      </w:r>
      <w:r>
        <w:t>forma</w:t>
      </w:r>
      <w:r>
        <w:rPr>
          <w:spacing w:val="-3"/>
        </w:rPr>
        <w:t xml:space="preserve"> </w:t>
      </w:r>
      <w:r>
        <w:t>distinta</w:t>
      </w:r>
      <w:r>
        <w:rPr>
          <w:spacing w:val="-3"/>
        </w:rPr>
        <w:t xml:space="preserve"> </w:t>
      </w:r>
      <w:r>
        <w:t>de</w:t>
      </w:r>
      <w:r>
        <w:rPr>
          <w:spacing w:val="-3"/>
        </w:rPr>
        <w:t xml:space="preserve"> </w:t>
      </w:r>
      <w:r>
        <w:t>daño</w:t>
      </w:r>
      <w:r>
        <w:rPr>
          <w:spacing w:val="-3"/>
        </w:rPr>
        <w:t xml:space="preserve"> </w:t>
      </w:r>
      <w:r>
        <w:t>que</w:t>
      </w:r>
      <w:r>
        <w:rPr>
          <w:spacing w:val="-3"/>
        </w:rPr>
        <w:t xml:space="preserve"> </w:t>
      </w:r>
      <w:r>
        <w:t>implica</w:t>
      </w:r>
      <w:r>
        <w:rPr>
          <w:spacing w:val="-3"/>
        </w:rPr>
        <w:t xml:space="preserve"> </w:t>
      </w:r>
      <w:r>
        <w:t>una</w:t>
      </w:r>
      <w:r>
        <w:rPr>
          <w:spacing w:val="-3"/>
        </w:rPr>
        <w:t xml:space="preserve"> </w:t>
      </w:r>
      <w:r>
        <w:t>conducta</w:t>
      </w:r>
      <w:r>
        <w:rPr>
          <w:spacing w:val="-3"/>
        </w:rPr>
        <w:t xml:space="preserve"> </w:t>
      </w:r>
      <w:r>
        <w:t>o</w:t>
      </w:r>
      <w:r>
        <w:rPr>
          <w:spacing w:val="-3"/>
        </w:rPr>
        <w:t xml:space="preserve"> </w:t>
      </w:r>
      <w:r>
        <w:t>comportamiento</w:t>
      </w:r>
      <w:r>
        <w:rPr>
          <w:spacing w:val="-3"/>
        </w:rPr>
        <w:t xml:space="preserve"> </w:t>
      </w:r>
      <w:r>
        <w:t>no</w:t>
      </w:r>
      <w:r>
        <w:rPr>
          <w:spacing w:val="-3"/>
        </w:rPr>
        <w:t xml:space="preserve"> </w:t>
      </w:r>
      <w:r>
        <w:t>deseado</w:t>
      </w:r>
      <w:r>
        <w:rPr>
          <w:spacing w:val="-3"/>
        </w:rPr>
        <w:t xml:space="preserve"> </w:t>
      </w:r>
      <w:r>
        <w:t>de</w:t>
      </w:r>
      <w:r>
        <w:rPr>
          <w:spacing w:val="-3"/>
        </w:rPr>
        <w:t xml:space="preserve"> </w:t>
      </w:r>
      <w:r>
        <w:t>naturaleza</w:t>
      </w:r>
      <w:r>
        <w:rPr>
          <w:spacing w:val="-3"/>
        </w:rPr>
        <w:t xml:space="preserve"> </w:t>
      </w:r>
      <w:r>
        <w:t>sexual.</w:t>
      </w:r>
      <w:r>
        <w:rPr>
          <w:spacing w:val="-2"/>
        </w:rPr>
        <w:t xml:space="preserve"> </w:t>
      </w:r>
      <w:r>
        <w:t>El deber de prohibir el acoso sexual constituye una obligación específica y complementaria. Los Estados pueden prohibir el acoso sexual en la legislación sobre delitos sexuales específicos, en el derecho penal en sentido más amplio o en otra legislación. La prohibición del acoso sexual debería definirse por separado y además de la prohibición del acoso en el terreno.</w:t>
      </w:r>
    </w:p>
    <w:p w14:paraId="2068CCD6" w14:textId="77777777" w:rsidR="0014798C" w:rsidRDefault="0014798C">
      <w:pPr>
        <w:pStyle w:val="Textoindependiente"/>
      </w:pPr>
    </w:p>
    <w:p w14:paraId="6F87010F" w14:textId="77777777" w:rsidR="0014798C" w:rsidRDefault="0014798C">
      <w:pPr>
        <w:pStyle w:val="Textoindependiente"/>
      </w:pPr>
    </w:p>
    <w:p w14:paraId="29409C0E" w14:textId="77777777" w:rsidR="0014798C" w:rsidRDefault="0014798C">
      <w:pPr>
        <w:pStyle w:val="Textoindependiente"/>
        <w:spacing w:before="149"/>
      </w:pPr>
    </w:p>
    <w:p w14:paraId="2EAF8573" w14:textId="77777777" w:rsidR="0014798C" w:rsidRDefault="004E1F0B">
      <w:pPr>
        <w:pStyle w:val="Textoindependiente"/>
        <w:spacing w:line="326" w:lineRule="auto"/>
        <w:ind w:left="1337" w:right="1463"/>
      </w:pPr>
      <w:r>
        <w:t>El acoso sexual se produce cuando se realiza una conducta no deseada de carácter sexual con el propósito o efecto de vulnerar</w:t>
      </w:r>
      <w:r>
        <w:rPr>
          <w:spacing w:val="-3"/>
        </w:rPr>
        <w:t xml:space="preserve"> </w:t>
      </w:r>
      <w:r>
        <w:t>la</w:t>
      </w:r>
      <w:r>
        <w:rPr>
          <w:spacing w:val="-3"/>
        </w:rPr>
        <w:t xml:space="preserve"> </w:t>
      </w:r>
      <w:r>
        <w:t>dignidad</w:t>
      </w:r>
      <w:r>
        <w:rPr>
          <w:spacing w:val="-3"/>
        </w:rPr>
        <w:t xml:space="preserve"> </w:t>
      </w:r>
      <w:r>
        <w:t>de</w:t>
      </w:r>
      <w:r>
        <w:rPr>
          <w:spacing w:val="-3"/>
        </w:rPr>
        <w:t xml:space="preserve"> </w:t>
      </w:r>
      <w:r>
        <w:t>una</w:t>
      </w:r>
      <w:r>
        <w:rPr>
          <w:spacing w:val="-3"/>
        </w:rPr>
        <w:t xml:space="preserve"> </w:t>
      </w:r>
      <w:r>
        <w:t>persona</w:t>
      </w:r>
      <w:r>
        <w:rPr>
          <w:spacing w:val="-3"/>
        </w:rPr>
        <w:t xml:space="preserve"> </w:t>
      </w:r>
      <w:r>
        <w:t>en</w:t>
      </w:r>
      <w:r>
        <w:rPr>
          <w:spacing w:val="-3"/>
        </w:rPr>
        <w:t xml:space="preserve"> </w:t>
      </w:r>
      <w:r>
        <w:t>particular</w:t>
      </w:r>
      <w:r>
        <w:rPr>
          <w:spacing w:val="-3"/>
        </w:rPr>
        <w:t xml:space="preserve"> </w:t>
      </w:r>
      <w:r>
        <w:t>al</w:t>
      </w:r>
      <w:r>
        <w:rPr>
          <w:spacing w:val="-3"/>
        </w:rPr>
        <w:t xml:space="preserve"> </w:t>
      </w:r>
      <w:r>
        <w:t>crear</w:t>
      </w:r>
      <w:r>
        <w:rPr>
          <w:spacing w:val="-3"/>
        </w:rPr>
        <w:t xml:space="preserve"> </w:t>
      </w:r>
      <w:r>
        <w:t>un</w:t>
      </w:r>
      <w:r>
        <w:rPr>
          <w:spacing w:val="-3"/>
        </w:rPr>
        <w:t xml:space="preserve"> </w:t>
      </w:r>
      <w:r>
        <w:t>ambiente</w:t>
      </w:r>
      <w:r>
        <w:rPr>
          <w:spacing w:val="-3"/>
        </w:rPr>
        <w:t xml:space="preserve"> </w:t>
      </w:r>
      <w:r>
        <w:t>intimidante,</w:t>
      </w:r>
      <w:r>
        <w:rPr>
          <w:spacing w:val="-3"/>
        </w:rPr>
        <w:t xml:space="preserve"> </w:t>
      </w:r>
      <w:r>
        <w:t>hostil,</w:t>
      </w:r>
      <w:r>
        <w:rPr>
          <w:spacing w:val="-3"/>
        </w:rPr>
        <w:t xml:space="preserve"> </w:t>
      </w:r>
      <w:r>
        <w:t>degradante,</w:t>
      </w:r>
      <w:r>
        <w:rPr>
          <w:spacing w:val="-3"/>
        </w:rPr>
        <w:t xml:space="preserve"> </w:t>
      </w:r>
      <w:r>
        <w:t>humillante</w:t>
      </w:r>
      <w:r>
        <w:rPr>
          <w:spacing w:val="-3"/>
        </w:rPr>
        <w:t xml:space="preserve"> </w:t>
      </w:r>
      <w:r>
        <w:t>u</w:t>
      </w:r>
      <w:r>
        <w:rPr>
          <w:spacing w:val="-3"/>
        </w:rPr>
        <w:t xml:space="preserve"> </w:t>
      </w:r>
      <w:r>
        <w:t>ofensivo.</w:t>
      </w:r>
    </w:p>
    <w:p w14:paraId="1E9F67BE" w14:textId="77777777" w:rsidR="0014798C" w:rsidRDefault="0014798C">
      <w:pPr>
        <w:pStyle w:val="Textoindependiente"/>
        <w:rPr>
          <w:sz w:val="17"/>
        </w:rPr>
      </w:pPr>
    </w:p>
    <w:p w14:paraId="645BAB21" w14:textId="77777777" w:rsidR="0014798C" w:rsidRDefault="0014798C">
      <w:pPr>
        <w:pStyle w:val="Textoindependiente"/>
        <w:rPr>
          <w:sz w:val="17"/>
        </w:rPr>
      </w:pPr>
    </w:p>
    <w:p w14:paraId="2BC0F94A" w14:textId="77777777" w:rsidR="0014798C" w:rsidRDefault="0014798C">
      <w:pPr>
        <w:pStyle w:val="Textoindependiente"/>
        <w:rPr>
          <w:sz w:val="17"/>
        </w:rPr>
      </w:pPr>
    </w:p>
    <w:p w14:paraId="25285FBB" w14:textId="77777777" w:rsidR="0014798C" w:rsidRDefault="0014798C">
      <w:pPr>
        <w:pStyle w:val="Textoindependiente"/>
        <w:rPr>
          <w:sz w:val="17"/>
        </w:rPr>
      </w:pPr>
    </w:p>
    <w:p w14:paraId="18ED463A" w14:textId="77777777" w:rsidR="0014798C" w:rsidRDefault="0014798C">
      <w:pPr>
        <w:pStyle w:val="Textoindependiente"/>
        <w:rPr>
          <w:sz w:val="17"/>
        </w:rPr>
      </w:pPr>
    </w:p>
    <w:p w14:paraId="61ABE8DF" w14:textId="77777777" w:rsidR="0014798C" w:rsidRDefault="0014798C">
      <w:pPr>
        <w:pStyle w:val="Textoindependiente"/>
        <w:rPr>
          <w:sz w:val="17"/>
        </w:rPr>
      </w:pPr>
    </w:p>
    <w:p w14:paraId="1B11AFFF" w14:textId="77777777" w:rsidR="0014798C" w:rsidRDefault="0014798C">
      <w:pPr>
        <w:pStyle w:val="Textoindependiente"/>
        <w:rPr>
          <w:sz w:val="17"/>
        </w:rPr>
      </w:pPr>
    </w:p>
    <w:p w14:paraId="10997C37" w14:textId="77777777" w:rsidR="0014798C" w:rsidRDefault="0014798C">
      <w:pPr>
        <w:pStyle w:val="Textoindependiente"/>
        <w:rPr>
          <w:sz w:val="17"/>
        </w:rPr>
      </w:pPr>
    </w:p>
    <w:p w14:paraId="6B3F14C2" w14:textId="77777777" w:rsidR="0014798C" w:rsidRDefault="0014798C">
      <w:pPr>
        <w:pStyle w:val="Textoindependiente"/>
        <w:rPr>
          <w:sz w:val="17"/>
        </w:rPr>
      </w:pPr>
    </w:p>
    <w:p w14:paraId="6E0C3AF4" w14:textId="77777777" w:rsidR="0014798C" w:rsidRDefault="0014798C">
      <w:pPr>
        <w:pStyle w:val="Textoindependiente"/>
        <w:rPr>
          <w:sz w:val="17"/>
        </w:rPr>
      </w:pPr>
    </w:p>
    <w:p w14:paraId="663E92CE" w14:textId="77777777" w:rsidR="0014798C" w:rsidRDefault="0014798C">
      <w:pPr>
        <w:pStyle w:val="Textoindependiente"/>
        <w:spacing w:before="117"/>
        <w:rPr>
          <w:sz w:val="17"/>
        </w:rPr>
      </w:pPr>
    </w:p>
    <w:p w14:paraId="0992E5E5" w14:textId="77777777" w:rsidR="0014798C" w:rsidRDefault="004E1F0B">
      <w:pPr>
        <w:ind w:right="743"/>
        <w:jc w:val="right"/>
        <w:rPr>
          <w:sz w:val="17"/>
        </w:rPr>
      </w:pPr>
      <w:proofErr w:type="spellStart"/>
      <w:r>
        <w:rPr>
          <w:spacing w:val="-4"/>
          <w:sz w:val="17"/>
        </w:rPr>
        <w:t>xiii</w:t>
      </w:r>
      <w:proofErr w:type="spellEnd"/>
    </w:p>
    <w:p w14:paraId="638A3BBC" w14:textId="77777777" w:rsidR="0014798C" w:rsidRDefault="0014798C">
      <w:pPr>
        <w:jc w:val="right"/>
        <w:rPr>
          <w:sz w:val="17"/>
        </w:rPr>
        <w:sectPr w:rsidR="0014798C" w:rsidSect="00F265E4">
          <w:pgSz w:w="11900" w:h="16820"/>
          <w:pgMar w:top="340" w:right="0" w:bottom="280" w:left="200" w:header="121" w:footer="0" w:gutter="0"/>
          <w:cols w:space="720"/>
        </w:sectPr>
      </w:pPr>
    </w:p>
    <w:p w14:paraId="49228851" w14:textId="77777777" w:rsidR="0014798C" w:rsidRDefault="0014798C">
      <w:pPr>
        <w:pStyle w:val="Textoindependiente"/>
        <w:spacing w:before="85"/>
        <w:rPr>
          <w:sz w:val="12"/>
        </w:rPr>
      </w:pPr>
    </w:p>
    <w:p w14:paraId="4CD47047" w14:textId="77777777" w:rsidR="0014798C" w:rsidRDefault="004E1F0B">
      <w:pPr>
        <w:ind w:left="1111"/>
        <w:rPr>
          <w:sz w:val="12"/>
        </w:rPr>
      </w:pPr>
      <w:r>
        <w:rPr>
          <w:color w:val="0075BF"/>
          <w:sz w:val="12"/>
        </w:rPr>
        <w:t>PROTECCIÓN</w:t>
      </w:r>
      <w:r>
        <w:rPr>
          <w:color w:val="0075BF"/>
          <w:spacing w:val="6"/>
          <w:sz w:val="12"/>
        </w:rPr>
        <w:t xml:space="preserve"> </w:t>
      </w:r>
      <w:r>
        <w:rPr>
          <w:color w:val="0075BF"/>
          <w:sz w:val="12"/>
        </w:rPr>
        <w:t>DE</w:t>
      </w:r>
      <w:r>
        <w:rPr>
          <w:color w:val="0075BF"/>
          <w:spacing w:val="7"/>
          <w:sz w:val="12"/>
        </w:rPr>
        <w:t xml:space="preserve"> </w:t>
      </w:r>
      <w:r>
        <w:rPr>
          <w:color w:val="0075BF"/>
          <w:sz w:val="12"/>
        </w:rPr>
        <w:t>LOS</w:t>
      </w:r>
      <w:r>
        <w:rPr>
          <w:color w:val="0075BF"/>
          <w:spacing w:val="8"/>
          <w:sz w:val="12"/>
        </w:rPr>
        <w:t xml:space="preserve"> </w:t>
      </w:r>
      <w:r>
        <w:rPr>
          <w:color w:val="0075BF"/>
          <w:sz w:val="12"/>
        </w:rPr>
        <w:t>DERECHOS</w:t>
      </w:r>
      <w:r>
        <w:rPr>
          <w:color w:val="0075BF"/>
          <w:spacing w:val="8"/>
          <w:sz w:val="12"/>
        </w:rPr>
        <w:t xml:space="preserve"> </w:t>
      </w:r>
      <w:r>
        <w:rPr>
          <w:color w:val="0075BF"/>
          <w:sz w:val="12"/>
        </w:rPr>
        <w:t>DE</w:t>
      </w:r>
      <w:r>
        <w:rPr>
          <w:color w:val="0075BF"/>
          <w:spacing w:val="6"/>
          <w:sz w:val="12"/>
        </w:rPr>
        <w:t xml:space="preserve"> </w:t>
      </w:r>
      <w:r>
        <w:rPr>
          <w:color w:val="0075BF"/>
          <w:sz w:val="12"/>
        </w:rPr>
        <w:t>LAS</w:t>
      </w:r>
      <w:r>
        <w:rPr>
          <w:color w:val="0075BF"/>
          <w:spacing w:val="7"/>
          <w:sz w:val="12"/>
        </w:rPr>
        <w:t xml:space="preserve"> </w:t>
      </w:r>
      <w:r>
        <w:rPr>
          <w:color w:val="0075BF"/>
          <w:sz w:val="12"/>
        </w:rPr>
        <w:t>MINORÍAS:</w:t>
      </w:r>
      <w:r>
        <w:rPr>
          <w:color w:val="0075BF"/>
          <w:spacing w:val="8"/>
          <w:sz w:val="12"/>
        </w:rPr>
        <w:t xml:space="preserve"> </w:t>
      </w:r>
      <w:r>
        <w:rPr>
          <w:color w:val="0075BF"/>
          <w:sz w:val="12"/>
        </w:rPr>
        <w:t>una</w:t>
      </w:r>
      <w:r>
        <w:rPr>
          <w:color w:val="0075BF"/>
          <w:spacing w:val="7"/>
          <w:sz w:val="12"/>
        </w:rPr>
        <w:t xml:space="preserve"> </w:t>
      </w:r>
      <w:r>
        <w:rPr>
          <w:color w:val="0075BF"/>
          <w:sz w:val="12"/>
        </w:rPr>
        <w:t>guía</w:t>
      </w:r>
      <w:r>
        <w:rPr>
          <w:color w:val="0075BF"/>
          <w:spacing w:val="6"/>
          <w:sz w:val="12"/>
        </w:rPr>
        <w:t xml:space="preserve"> </w:t>
      </w:r>
      <w:r>
        <w:rPr>
          <w:color w:val="0075BF"/>
          <w:sz w:val="12"/>
        </w:rPr>
        <w:t>práctica</w:t>
      </w:r>
      <w:r>
        <w:rPr>
          <w:color w:val="0075BF"/>
          <w:spacing w:val="7"/>
          <w:sz w:val="12"/>
        </w:rPr>
        <w:t xml:space="preserve"> </w:t>
      </w:r>
      <w:r>
        <w:rPr>
          <w:color w:val="0075BF"/>
          <w:sz w:val="12"/>
        </w:rPr>
        <w:t>para</w:t>
      </w:r>
      <w:r>
        <w:rPr>
          <w:color w:val="0075BF"/>
          <w:spacing w:val="8"/>
          <w:sz w:val="12"/>
        </w:rPr>
        <w:t xml:space="preserve"> </w:t>
      </w:r>
      <w:r>
        <w:rPr>
          <w:color w:val="0075BF"/>
          <w:sz w:val="12"/>
        </w:rPr>
        <w:t>desarrollar</w:t>
      </w:r>
      <w:r>
        <w:rPr>
          <w:color w:val="0075BF"/>
          <w:spacing w:val="6"/>
          <w:sz w:val="12"/>
        </w:rPr>
        <w:t xml:space="preserve"> </w:t>
      </w:r>
      <w:r>
        <w:rPr>
          <w:color w:val="0075BF"/>
          <w:sz w:val="12"/>
        </w:rPr>
        <w:t>una</w:t>
      </w:r>
      <w:r>
        <w:rPr>
          <w:color w:val="0075BF"/>
          <w:spacing w:val="7"/>
          <w:sz w:val="12"/>
        </w:rPr>
        <w:t xml:space="preserve"> </w:t>
      </w:r>
      <w:r>
        <w:rPr>
          <w:color w:val="0075BF"/>
          <w:sz w:val="12"/>
        </w:rPr>
        <w:t>legislación</w:t>
      </w:r>
      <w:r>
        <w:rPr>
          <w:color w:val="0075BF"/>
          <w:spacing w:val="8"/>
          <w:sz w:val="12"/>
        </w:rPr>
        <w:t xml:space="preserve"> </w:t>
      </w:r>
      <w:r>
        <w:rPr>
          <w:color w:val="0075BF"/>
          <w:sz w:val="12"/>
        </w:rPr>
        <w:t>integral</w:t>
      </w:r>
      <w:r>
        <w:rPr>
          <w:color w:val="0075BF"/>
          <w:spacing w:val="7"/>
          <w:sz w:val="12"/>
        </w:rPr>
        <w:t xml:space="preserve"> </w:t>
      </w:r>
      <w:r>
        <w:rPr>
          <w:color w:val="0075BF"/>
          <w:sz w:val="12"/>
        </w:rPr>
        <w:t>contra</w:t>
      </w:r>
      <w:r>
        <w:rPr>
          <w:color w:val="0075BF"/>
          <w:spacing w:val="6"/>
          <w:sz w:val="12"/>
        </w:rPr>
        <w:t xml:space="preserve"> </w:t>
      </w:r>
      <w:r>
        <w:rPr>
          <w:color w:val="0075BF"/>
          <w:sz w:val="12"/>
        </w:rPr>
        <w:t>la</w:t>
      </w:r>
      <w:r>
        <w:rPr>
          <w:color w:val="0075BF"/>
          <w:spacing w:val="7"/>
          <w:sz w:val="12"/>
        </w:rPr>
        <w:t xml:space="preserve"> </w:t>
      </w:r>
      <w:r>
        <w:rPr>
          <w:color w:val="0075BF"/>
          <w:spacing w:val="-2"/>
          <w:sz w:val="12"/>
        </w:rPr>
        <w:t>discriminación</w:t>
      </w:r>
    </w:p>
    <w:p w14:paraId="0CE4405E" w14:textId="77777777" w:rsidR="0014798C" w:rsidRDefault="0014798C">
      <w:pPr>
        <w:pStyle w:val="Textoindependiente"/>
        <w:rPr>
          <w:sz w:val="21"/>
        </w:rPr>
      </w:pPr>
    </w:p>
    <w:p w14:paraId="2B861132" w14:textId="77777777" w:rsidR="0014798C" w:rsidRDefault="0014798C">
      <w:pPr>
        <w:pStyle w:val="Textoindependiente"/>
        <w:rPr>
          <w:sz w:val="21"/>
        </w:rPr>
      </w:pPr>
    </w:p>
    <w:p w14:paraId="514E63BC" w14:textId="77777777" w:rsidR="0014798C" w:rsidRDefault="0014798C">
      <w:pPr>
        <w:pStyle w:val="Textoindependiente"/>
        <w:rPr>
          <w:sz w:val="21"/>
        </w:rPr>
      </w:pPr>
    </w:p>
    <w:p w14:paraId="47550275" w14:textId="77777777" w:rsidR="0014798C" w:rsidRDefault="0014798C">
      <w:pPr>
        <w:pStyle w:val="Textoindependiente"/>
        <w:spacing w:before="63"/>
        <w:rPr>
          <w:sz w:val="21"/>
        </w:rPr>
      </w:pPr>
    </w:p>
    <w:p w14:paraId="234C1035" w14:textId="77777777" w:rsidR="0014798C" w:rsidRDefault="004E1F0B">
      <w:pPr>
        <w:numPr>
          <w:ilvl w:val="1"/>
          <w:numId w:val="97"/>
        </w:numPr>
        <w:tabs>
          <w:tab w:val="left" w:pos="1356"/>
        </w:tabs>
        <w:ind w:left="1356" w:hanging="239"/>
        <w:rPr>
          <w:color w:val="0075BF"/>
          <w:sz w:val="21"/>
        </w:rPr>
      </w:pPr>
      <w:r>
        <w:rPr>
          <w:color w:val="0075BF"/>
          <w:sz w:val="21"/>
        </w:rPr>
        <w:t>Alcance</w:t>
      </w:r>
      <w:r>
        <w:rPr>
          <w:color w:val="0075BF"/>
          <w:spacing w:val="17"/>
          <w:sz w:val="21"/>
        </w:rPr>
        <w:t xml:space="preserve"> </w:t>
      </w:r>
      <w:r>
        <w:rPr>
          <w:color w:val="0075BF"/>
          <w:spacing w:val="-2"/>
          <w:sz w:val="21"/>
        </w:rPr>
        <w:t>material</w:t>
      </w:r>
    </w:p>
    <w:p w14:paraId="38168298" w14:textId="77777777" w:rsidR="0014798C" w:rsidRDefault="004E1F0B">
      <w:pPr>
        <w:spacing w:before="175" w:line="307" w:lineRule="auto"/>
        <w:ind w:left="1108" w:right="1272" w:firstLine="6"/>
        <w:rPr>
          <w:sz w:val="17"/>
        </w:rPr>
      </w:pPr>
      <w:r>
        <w:rPr>
          <w:sz w:val="17"/>
        </w:rPr>
        <w:t>Una ley integral contra la discriminación debe brindar protección contra la discriminación en todos</w:t>
      </w:r>
      <w:r>
        <w:rPr>
          <w:spacing w:val="-1"/>
          <w:sz w:val="17"/>
        </w:rPr>
        <w:t xml:space="preserve"> </w:t>
      </w:r>
      <w:r>
        <w:rPr>
          <w:sz w:val="17"/>
        </w:rPr>
        <w:t>los ámbitos</w:t>
      </w:r>
      <w:r>
        <w:rPr>
          <w:spacing w:val="-1"/>
          <w:sz w:val="17"/>
        </w:rPr>
        <w:t xml:space="preserve"> </w:t>
      </w:r>
      <w:r>
        <w:rPr>
          <w:sz w:val="17"/>
        </w:rPr>
        <w:t>de la vida regulados por la ley y cubrir la conducta de todas las personas, incluidos los actores públicos y privados.</w:t>
      </w:r>
    </w:p>
    <w:p w14:paraId="529CC3AE" w14:textId="77777777" w:rsidR="0014798C" w:rsidRDefault="0014798C">
      <w:pPr>
        <w:pStyle w:val="Textoindependiente"/>
        <w:rPr>
          <w:sz w:val="15"/>
        </w:rPr>
      </w:pPr>
    </w:p>
    <w:p w14:paraId="630BC878" w14:textId="77777777" w:rsidR="0014798C" w:rsidRDefault="0014798C">
      <w:pPr>
        <w:pStyle w:val="Textoindependiente"/>
        <w:spacing w:before="142"/>
        <w:rPr>
          <w:sz w:val="15"/>
        </w:rPr>
      </w:pPr>
    </w:p>
    <w:p w14:paraId="561690C3" w14:textId="77777777" w:rsidR="0014798C" w:rsidRDefault="004E1F0B">
      <w:pPr>
        <w:spacing w:line="348" w:lineRule="auto"/>
        <w:ind w:left="1337" w:right="1272" w:hanging="5"/>
        <w:rPr>
          <w:sz w:val="15"/>
        </w:rPr>
      </w:pPr>
      <w:r>
        <w:rPr>
          <w:noProof/>
        </w:rPr>
        <w:drawing>
          <wp:anchor distT="0" distB="0" distL="0" distR="0" simplePos="0" relativeHeight="251658351" behindDoc="1" locked="0" layoutInCell="1" allowOverlap="1" wp14:anchorId="324CA9FF" wp14:editId="422270C1">
            <wp:simplePos x="0" y="0"/>
            <wp:positionH relativeFrom="page">
              <wp:posOffset>826632</wp:posOffset>
            </wp:positionH>
            <wp:positionV relativeFrom="paragraph">
              <wp:posOffset>-177107</wp:posOffset>
            </wp:positionV>
            <wp:extent cx="5930190" cy="6591748"/>
            <wp:effectExtent l="0" t="0" r="0" b="0"/>
            <wp:wrapNone/>
            <wp:docPr id="22" name="Image 2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2" name="Image 22"/>
                    <pic:cNvPicPr/>
                  </pic:nvPicPr>
                  <pic:blipFill>
                    <a:blip r:embed="rId28" cstate="print"/>
                    <a:stretch>
                      <a:fillRect/>
                    </a:stretch>
                  </pic:blipFill>
                  <pic:spPr>
                    <a:xfrm>
                      <a:off x="0" y="0"/>
                      <a:ext cx="5930190" cy="6591748"/>
                    </a:xfrm>
                    <a:prstGeom prst="rect">
                      <a:avLst/>
                    </a:prstGeom>
                  </pic:spPr>
                </pic:pic>
              </a:graphicData>
            </a:graphic>
          </wp:anchor>
        </w:drawing>
      </w:r>
      <w:r>
        <w:rPr>
          <w:w w:val="105"/>
          <w:sz w:val="15"/>
        </w:rPr>
        <w:t>La</w:t>
      </w:r>
      <w:r>
        <w:rPr>
          <w:spacing w:val="-7"/>
          <w:w w:val="105"/>
          <w:sz w:val="15"/>
        </w:rPr>
        <w:t xml:space="preserve"> </w:t>
      </w:r>
      <w:r>
        <w:rPr>
          <w:w w:val="105"/>
          <w:sz w:val="15"/>
        </w:rPr>
        <w:t>prohibición</w:t>
      </w:r>
      <w:r>
        <w:rPr>
          <w:spacing w:val="-7"/>
          <w:w w:val="105"/>
          <w:sz w:val="15"/>
        </w:rPr>
        <w:t xml:space="preserve"> </w:t>
      </w:r>
      <w:r>
        <w:rPr>
          <w:w w:val="105"/>
          <w:sz w:val="15"/>
        </w:rPr>
        <w:t>de</w:t>
      </w:r>
      <w:r>
        <w:rPr>
          <w:spacing w:val="-7"/>
          <w:w w:val="105"/>
          <w:sz w:val="15"/>
        </w:rPr>
        <w:t xml:space="preserve"> </w:t>
      </w:r>
      <w:r>
        <w:rPr>
          <w:w w:val="105"/>
          <w:sz w:val="15"/>
        </w:rPr>
        <w:t>la</w:t>
      </w:r>
      <w:r>
        <w:rPr>
          <w:spacing w:val="-7"/>
          <w:w w:val="105"/>
          <w:sz w:val="15"/>
        </w:rPr>
        <w:t xml:space="preserve"> </w:t>
      </w:r>
      <w:r>
        <w:rPr>
          <w:w w:val="105"/>
          <w:sz w:val="15"/>
        </w:rPr>
        <w:t>discriminación</w:t>
      </w:r>
      <w:r>
        <w:rPr>
          <w:spacing w:val="-7"/>
          <w:w w:val="105"/>
          <w:sz w:val="15"/>
        </w:rPr>
        <w:t xml:space="preserve"> </w:t>
      </w:r>
      <w:r>
        <w:rPr>
          <w:w w:val="105"/>
          <w:sz w:val="15"/>
        </w:rPr>
        <w:t>se</w:t>
      </w:r>
      <w:r>
        <w:rPr>
          <w:spacing w:val="-7"/>
          <w:w w:val="105"/>
          <w:sz w:val="15"/>
        </w:rPr>
        <w:t xml:space="preserve"> </w:t>
      </w:r>
      <w:r>
        <w:rPr>
          <w:w w:val="105"/>
          <w:sz w:val="15"/>
        </w:rPr>
        <w:t>aplica</w:t>
      </w:r>
      <w:r>
        <w:rPr>
          <w:spacing w:val="-7"/>
          <w:w w:val="105"/>
          <w:sz w:val="15"/>
        </w:rPr>
        <w:t xml:space="preserve"> </w:t>
      </w:r>
      <w:r>
        <w:rPr>
          <w:w w:val="105"/>
          <w:sz w:val="15"/>
        </w:rPr>
        <w:t>en</w:t>
      </w:r>
      <w:r>
        <w:rPr>
          <w:spacing w:val="-7"/>
          <w:w w:val="105"/>
          <w:sz w:val="15"/>
        </w:rPr>
        <w:t xml:space="preserve"> </w:t>
      </w:r>
      <w:r>
        <w:rPr>
          <w:w w:val="105"/>
          <w:sz w:val="15"/>
        </w:rPr>
        <w:t>todos</w:t>
      </w:r>
      <w:r>
        <w:rPr>
          <w:spacing w:val="-7"/>
          <w:w w:val="105"/>
          <w:sz w:val="15"/>
        </w:rPr>
        <w:t xml:space="preserve"> </w:t>
      </w:r>
      <w:r>
        <w:rPr>
          <w:w w:val="105"/>
          <w:sz w:val="15"/>
        </w:rPr>
        <w:t>los</w:t>
      </w:r>
      <w:r>
        <w:rPr>
          <w:spacing w:val="-7"/>
          <w:w w:val="105"/>
          <w:sz w:val="15"/>
        </w:rPr>
        <w:t xml:space="preserve"> </w:t>
      </w:r>
      <w:r>
        <w:rPr>
          <w:w w:val="105"/>
          <w:sz w:val="15"/>
        </w:rPr>
        <w:t>ámbitos</w:t>
      </w:r>
      <w:r>
        <w:rPr>
          <w:spacing w:val="-7"/>
          <w:w w:val="105"/>
          <w:sz w:val="15"/>
        </w:rPr>
        <w:t xml:space="preserve"> </w:t>
      </w:r>
      <w:r>
        <w:rPr>
          <w:w w:val="105"/>
          <w:sz w:val="15"/>
        </w:rPr>
        <w:t>de</w:t>
      </w:r>
      <w:r>
        <w:rPr>
          <w:spacing w:val="-7"/>
          <w:w w:val="105"/>
          <w:sz w:val="15"/>
        </w:rPr>
        <w:t xml:space="preserve"> </w:t>
      </w:r>
      <w:r>
        <w:rPr>
          <w:w w:val="105"/>
          <w:sz w:val="15"/>
        </w:rPr>
        <w:t>la</w:t>
      </w:r>
      <w:r>
        <w:rPr>
          <w:spacing w:val="-7"/>
          <w:w w:val="105"/>
          <w:sz w:val="15"/>
        </w:rPr>
        <w:t xml:space="preserve"> </w:t>
      </w:r>
      <w:r>
        <w:rPr>
          <w:w w:val="105"/>
          <w:sz w:val="15"/>
        </w:rPr>
        <w:t>vida</w:t>
      </w:r>
      <w:r>
        <w:rPr>
          <w:spacing w:val="-7"/>
          <w:w w:val="105"/>
          <w:sz w:val="15"/>
        </w:rPr>
        <w:t xml:space="preserve"> </w:t>
      </w:r>
      <w:r>
        <w:rPr>
          <w:w w:val="105"/>
          <w:sz w:val="15"/>
        </w:rPr>
        <w:t>regulados</w:t>
      </w:r>
      <w:r>
        <w:rPr>
          <w:spacing w:val="-7"/>
          <w:w w:val="105"/>
          <w:sz w:val="15"/>
        </w:rPr>
        <w:t xml:space="preserve"> </w:t>
      </w:r>
      <w:r>
        <w:rPr>
          <w:w w:val="105"/>
          <w:sz w:val="15"/>
        </w:rPr>
        <w:t>por</w:t>
      </w:r>
      <w:r>
        <w:rPr>
          <w:spacing w:val="-7"/>
          <w:w w:val="105"/>
          <w:sz w:val="15"/>
        </w:rPr>
        <w:t xml:space="preserve"> </w:t>
      </w:r>
      <w:r>
        <w:rPr>
          <w:w w:val="105"/>
          <w:sz w:val="15"/>
        </w:rPr>
        <w:t>la</w:t>
      </w:r>
      <w:r>
        <w:rPr>
          <w:spacing w:val="-7"/>
          <w:w w:val="105"/>
          <w:sz w:val="15"/>
        </w:rPr>
        <w:t xml:space="preserve"> </w:t>
      </w:r>
      <w:r>
        <w:rPr>
          <w:w w:val="105"/>
          <w:sz w:val="15"/>
        </w:rPr>
        <w:t>ley.</w:t>
      </w:r>
      <w:r>
        <w:rPr>
          <w:spacing w:val="-7"/>
          <w:w w:val="105"/>
          <w:sz w:val="15"/>
        </w:rPr>
        <w:t xml:space="preserve"> </w:t>
      </w:r>
      <w:r>
        <w:rPr>
          <w:w w:val="105"/>
          <w:sz w:val="15"/>
        </w:rPr>
        <w:t>El</w:t>
      </w:r>
      <w:r>
        <w:rPr>
          <w:spacing w:val="-7"/>
          <w:w w:val="105"/>
          <w:sz w:val="15"/>
        </w:rPr>
        <w:t xml:space="preserve"> </w:t>
      </w:r>
      <w:r>
        <w:rPr>
          <w:w w:val="105"/>
          <w:sz w:val="15"/>
        </w:rPr>
        <w:t>deber</w:t>
      </w:r>
      <w:r>
        <w:rPr>
          <w:spacing w:val="-7"/>
          <w:w w:val="105"/>
          <w:sz w:val="15"/>
        </w:rPr>
        <w:t xml:space="preserve"> </w:t>
      </w:r>
      <w:r>
        <w:rPr>
          <w:w w:val="105"/>
          <w:sz w:val="15"/>
        </w:rPr>
        <w:t>de</w:t>
      </w:r>
      <w:r>
        <w:rPr>
          <w:spacing w:val="-7"/>
          <w:w w:val="105"/>
          <w:sz w:val="15"/>
        </w:rPr>
        <w:t xml:space="preserve"> </w:t>
      </w:r>
      <w:r>
        <w:rPr>
          <w:w w:val="105"/>
          <w:sz w:val="15"/>
        </w:rPr>
        <w:t>abstenerse</w:t>
      </w:r>
      <w:r>
        <w:rPr>
          <w:spacing w:val="-7"/>
          <w:w w:val="105"/>
          <w:sz w:val="15"/>
        </w:rPr>
        <w:t xml:space="preserve"> </w:t>
      </w:r>
      <w:r>
        <w:rPr>
          <w:w w:val="105"/>
          <w:sz w:val="15"/>
        </w:rPr>
        <w:t>de discriminar</w:t>
      </w:r>
      <w:r>
        <w:rPr>
          <w:spacing w:val="-1"/>
          <w:w w:val="105"/>
          <w:sz w:val="15"/>
        </w:rPr>
        <w:t xml:space="preserve"> </w:t>
      </w:r>
      <w:r>
        <w:rPr>
          <w:w w:val="105"/>
          <w:sz w:val="15"/>
        </w:rPr>
        <w:t>se</w:t>
      </w:r>
      <w:r>
        <w:rPr>
          <w:spacing w:val="-1"/>
          <w:w w:val="105"/>
          <w:sz w:val="15"/>
        </w:rPr>
        <w:t xml:space="preserve"> </w:t>
      </w:r>
      <w:r>
        <w:rPr>
          <w:w w:val="105"/>
          <w:sz w:val="15"/>
        </w:rPr>
        <w:t>aplica</w:t>
      </w:r>
      <w:r>
        <w:rPr>
          <w:spacing w:val="-1"/>
          <w:w w:val="105"/>
          <w:sz w:val="15"/>
        </w:rPr>
        <w:t xml:space="preserve"> </w:t>
      </w:r>
      <w:r>
        <w:rPr>
          <w:w w:val="105"/>
          <w:sz w:val="15"/>
        </w:rPr>
        <w:t>a</w:t>
      </w:r>
      <w:r>
        <w:rPr>
          <w:spacing w:val="-1"/>
          <w:w w:val="105"/>
          <w:sz w:val="15"/>
        </w:rPr>
        <w:t xml:space="preserve"> </w:t>
      </w:r>
      <w:r>
        <w:rPr>
          <w:w w:val="105"/>
          <w:sz w:val="15"/>
        </w:rPr>
        <w:t>todas</w:t>
      </w:r>
      <w:r>
        <w:rPr>
          <w:spacing w:val="-1"/>
          <w:w w:val="105"/>
          <w:sz w:val="15"/>
        </w:rPr>
        <w:t xml:space="preserve"> </w:t>
      </w:r>
      <w:r>
        <w:rPr>
          <w:w w:val="105"/>
          <w:sz w:val="15"/>
        </w:rPr>
        <w:t>las</w:t>
      </w:r>
      <w:r>
        <w:rPr>
          <w:spacing w:val="-1"/>
          <w:w w:val="105"/>
          <w:sz w:val="15"/>
        </w:rPr>
        <w:t xml:space="preserve"> </w:t>
      </w:r>
      <w:r>
        <w:rPr>
          <w:w w:val="105"/>
          <w:sz w:val="15"/>
        </w:rPr>
        <w:t>personas, incluidas</w:t>
      </w:r>
      <w:r>
        <w:rPr>
          <w:spacing w:val="-1"/>
          <w:w w:val="105"/>
          <w:sz w:val="15"/>
        </w:rPr>
        <w:t xml:space="preserve"> </w:t>
      </w:r>
      <w:r>
        <w:rPr>
          <w:w w:val="105"/>
          <w:sz w:val="15"/>
        </w:rPr>
        <w:t>(entre</w:t>
      </w:r>
      <w:r>
        <w:rPr>
          <w:spacing w:val="-1"/>
          <w:w w:val="105"/>
          <w:sz w:val="15"/>
        </w:rPr>
        <w:t xml:space="preserve"> </w:t>
      </w:r>
      <w:r>
        <w:rPr>
          <w:w w:val="105"/>
          <w:sz w:val="15"/>
        </w:rPr>
        <w:t>otras)</w:t>
      </w:r>
      <w:r>
        <w:rPr>
          <w:spacing w:val="-1"/>
          <w:w w:val="105"/>
          <w:sz w:val="15"/>
        </w:rPr>
        <w:t xml:space="preserve"> </w:t>
      </w:r>
      <w:r>
        <w:rPr>
          <w:w w:val="105"/>
          <w:sz w:val="15"/>
        </w:rPr>
        <w:t>las</w:t>
      </w:r>
      <w:r>
        <w:rPr>
          <w:spacing w:val="-1"/>
          <w:w w:val="105"/>
          <w:sz w:val="15"/>
        </w:rPr>
        <w:t xml:space="preserve"> </w:t>
      </w:r>
      <w:r>
        <w:rPr>
          <w:w w:val="105"/>
          <w:sz w:val="15"/>
        </w:rPr>
        <w:t>autoridades</w:t>
      </w:r>
      <w:r>
        <w:rPr>
          <w:spacing w:val="-1"/>
          <w:w w:val="105"/>
          <w:sz w:val="15"/>
        </w:rPr>
        <w:t xml:space="preserve"> </w:t>
      </w:r>
      <w:r>
        <w:rPr>
          <w:w w:val="105"/>
          <w:sz w:val="15"/>
        </w:rPr>
        <w:t>públicas</w:t>
      </w:r>
      <w:r>
        <w:rPr>
          <w:spacing w:val="-1"/>
          <w:w w:val="105"/>
          <w:sz w:val="15"/>
        </w:rPr>
        <w:t xml:space="preserve"> </w:t>
      </w:r>
      <w:r>
        <w:rPr>
          <w:w w:val="105"/>
          <w:sz w:val="15"/>
        </w:rPr>
        <w:t>y</w:t>
      </w:r>
      <w:r>
        <w:rPr>
          <w:spacing w:val="-1"/>
          <w:w w:val="105"/>
          <w:sz w:val="15"/>
        </w:rPr>
        <w:t xml:space="preserve"> </w:t>
      </w:r>
      <w:r>
        <w:rPr>
          <w:w w:val="105"/>
          <w:sz w:val="15"/>
        </w:rPr>
        <w:t>las</w:t>
      </w:r>
      <w:r>
        <w:rPr>
          <w:spacing w:val="-1"/>
          <w:w w:val="105"/>
          <w:sz w:val="15"/>
        </w:rPr>
        <w:t xml:space="preserve"> </w:t>
      </w:r>
      <w:r>
        <w:rPr>
          <w:w w:val="105"/>
          <w:sz w:val="15"/>
        </w:rPr>
        <w:t>entidades</w:t>
      </w:r>
      <w:r>
        <w:rPr>
          <w:spacing w:val="-1"/>
          <w:w w:val="105"/>
          <w:sz w:val="15"/>
        </w:rPr>
        <w:t xml:space="preserve"> </w:t>
      </w:r>
      <w:r>
        <w:rPr>
          <w:w w:val="105"/>
          <w:sz w:val="15"/>
        </w:rPr>
        <w:t>privadas.</w:t>
      </w:r>
    </w:p>
    <w:p w14:paraId="3ABC7BA1" w14:textId="77777777" w:rsidR="0014798C" w:rsidRDefault="0014798C">
      <w:pPr>
        <w:pStyle w:val="Textoindependiente"/>
        <w:spacing w:before="164"/>
        <w:rPr>
          <w:sz w:val="21"/>
        </w:rPr>
      </w:pPr>
    </w:p>
    <w:p w14:paraId="6BDFB3D1" w14:textId="77777777" w:rsidR="0014798C" w:rsidRDefault="004E1F0B">
      <w:pPr>
        <w:numPr>
          <w:ilvl w:val="1"/>
          <w:numId w:val="97"/>
        </w:numPr>
        <w:tabs>
          <w:tab w:val="left" w:pos="1344"/>
        </w:tabs>
        <w:ind w:left="1344" w:hanging="239"/>
        <w:rPr>
          <w:color w:val="0075BF"/>
          <w:sz w:val="21"/>
        </w:rPr>
      </w:pPr>
      <w:r>
        <w:rPr>
          <w:color w:val="0075BF"/>
          <w:spacing w:val="-2"/>
          <w:w w:val="105"/>
          <w:sz w:val="21"/>
        </w:rPr>
        <w:t>Justificaciones</w:t>
      </w:r>
    </w:p>
    <w:p w14:paraId="00023B16" w14:textId="77777777" w:rsidR="0014798C" w:rsidRDefault="0014798C">
      <w:pPr>
        <w:pStyle w:val="Textoindependiente"/>
        <w:spacing w:before="102"/>
        <w:rPr>
          <w:sz w:val="15"/>
        </w:rPr>
      </w:pPr>
    </w:p>
    <w:p w14:paraId="70A16CAB" w14:textId="77777777" w:rsidR="0014798C" w:rsidRDefault="004E1F0B">
      <w:pPr>
        <w:spacing w:line="348" w:lineRule="auto"/>
        <w:ind w:left="1108" w:right="1272"/>
        <w:rPr>
          <w:sz w:val="15"/>
        </w:rPr>
      </w:pPr>
      <w:r>
        <w:rPr>
          <w:w w:val="105"/>
          <w:sz w:val="15"/>
        </w:rPr>
        <w:t>En</w:t>
      </w:r>
      <w:r>
        <w:rPr>
          <w:spacing w:val="-2"/>
          <w:w w:val="105"/>
          <w:sz w:val="15"/>
        </w:rPr>
        <w:t xml:space="preserve"> </w:t>
      </w:r>
      <w:r>
        <w:rPr>
          <w:w w:val="105"/>
          <w:sz w:val="15"/>
        </w:rPr>
        <w:t>algunas</w:t>
      </w:r>
      <w:r>
        <w:rPr>
          <w:spacing w:val="-2"/>
          <w:w w:val="105"/>
          <w:sz w:val="15"/>
        </w:rPr>
        <w:t xml:space="preserve"> </w:t>
      </w:r>
      <w:r>
        <w:rPr>
          <w:w w:val="105"/>
          <w:sz w:val="15"/>
        </w:rPr>
        <w:t>circunstancias,</w:t>
      </w:r>
      <w:r>
        <w:rPr>
          <w:spacing w:val="-1"/>
          <w:w w:val="105"/>
          <w:sz w:val="15"/>
        </w:rPr>
        <w:t xml:space="preserve"> </w:t>
      </w:r>
      <w:r>
        <w:rPr>
          <w:w w:val="105"/>
          <w:sz w:val="15"/>
        </w:rPr>
        <w:t>pueden</w:t>
      </w:r>
      <w:r>
        <w:rPr>
          <w:spacing w:val="-2"/>
          <w:w w:val="105"/>
          <w:sz w:val="15"/>
        </w:rPr>
        <w:t xml:space="preserve"> </w:t>
      </w:r>
      <w:r>
        <w:rPr>
          <w:w w:val="105"/>
          <w:sz w:val="15"/>
        </w:rPr>
        <w:t>estar</w:t>
      </w:r>
      <w:r>
        <w:rPr>
          <w:spacing w:val="-2"/>
          <w:w w:val="105"/>
          <w:sz w:val="15"/>
        </w:rPr>
        <w:t xml:space="preserve"> </w:t>
      </w:r>
      <w:r>
        <w:rPr>
          <w:w w:val="105"/>
          <w:sz w:val="15"/>
        </w:rPr>
        <w:t>justificadas</w:t>
      </w:r>
      <w:r>
        <w:rPr>
          <w:spacing w:val="-3"/>
          <w:w w:val="105"/>
          <w:sz w:val="15"/>
        </w:rPr>
        <w:t xml:space="preserve"> </w:t>
      </w:r>
      <w:r>
        <w:rPr>
          <w:w w:val="105"/>
          <w:sz w:val="15"/>
        </w:rPr>
        <w:t>las</w:t>
      </w:r>
      <w:r>
        <w:rPr>
          <w:spacing w:val="-2"/>
          <w:w w:val="105"/>
          <w:sz w:val="15"/>
        </w:rPr>
        <w:t xml:space="preserve"> </w:t>
      </w:r>
      <w:r>
        <w:rPr>
          <w:w w:val="105"/>
          <w:sz w:val="15"/>
        </w:rPr>
        <w:t>diferencias</w:t>
      </w:r>
      <w:r>
        <w:rPr>
          <w:spacing w:val="-2"/>
          <w:w w:val="105"/>
          <w:sz w:val="15"/>
        </w:rPr>
        <w:t xml:space="preserve"> </w:t>
      </w:r>
      <w:r>
        <w:rPr>
          <w:w w:val="105"/>
          <w:sz w:val="15"/>
        </w:rPr>
        <w:t>de</w:t>
      </w:r>
      <w:r>
        <w:rPr>
          <w:spacing w:val="-2"/>
          <w:w w:val="105"/>
          <w:sz w:val="15"/>
        </w:rPr>
        <w:t xml:space="preserve"> </w:t>
      </w:r>
      <w:r>
        <w:rPr>
          <w:w w:val="105"/>
          <w:sz w:val="15"/>
        </w:rPr>
        <w:t>trato</w:t>
      </w:r>
      <w:r>
        <w:rPr>
          <w:spacing w:val="-2"/>
          <w:w w:val="105"/>
          <w:sz w:val="15"/>
        </w:rPr>
        <w:t xml:space="preserve"> </w:t>
      </w:r>
      <w:r>
        <w:rPr>
          <w:w w:val="105"/>
          <w:sz w:val="15"/>
        </w:rPr>
        <w:t>o</w:t>
      </w:r>
      <w:r>
        <w:rPr>
          <w:spacing w:val="-2"/>
          <w:w w:val="105"/>
          <w:sz w:val="15"/>
        </w:rPr>
        <w:t xml:space="preserve"> </w:t>
      </w:r>
      <w:r>
        <w:rPr>
          <w:w w:val="105"/>
          <w:sz w:val="15"/>
        </w:rPr>
        <w:t>los</w:t>
      </w:r>
      <w:r>
        <w:rPr>
          <w:spacing w:val="-2"/>
          <w:w w:val="105"/>
          <w:sz w:val="15"/>
        </w:rPr>
        <w:t xml:space="preserve"> </w:t>
      </w:r>
      <w:r>
        <w:rPr>
          <w:w w:val="105"/>
          <w:sz w:val="15"/>
        </w:rPr>
        <w:t>diferentes</w:t>
      </w:r>
      <w:r>
        <w:rPr>
          <w:spacing w:val="-2"/>
          <w:w w:val="105"/>
          <w:sz w:val="15"/>
        </w:rPr>
        <w:t xml:space="preserve"> </w:t>
      </w:r>
      <w:r>
        <w:rPr>
          <w:w w:val="105"/>
          <w:sz w:val="15"/>
        </w:rPr>
        <w:t>impactos</w:t>
      </w:r>
      <w:r>
        <w:rPr>
          <w:spacing w:val="-2"/>
          <w:w w:val="105"/>
          <w:sz w:val="15"/>
        </w:rPr>
        <w:t xml:space="preserve"> </w:t>
      </w:r>
      <w:r>
        <w:rPr>
          <w:w w:val="105"/>
          <w:sz w:val="15"/>
        </w:rPr>
        <w:t>de</w:t>
      </w:r>
      <w:r>
        <w:rPr>
          <w:spacing w:val="-2"/>
          <w:w w:val="105"/>
          <w:sz w:val="15"/>
        </w:rPr>
        <w:t xml:space="preserve"> </w:t>
      </w:r>
      <w:r>
        <w:rPr>
          <w:w w:val="105"/>
          <w:sz w:val="15"/>
        </w:rPr>
        <w:t>disposiciones,</w:t>
      </w:r>
      <w:r>
        <w:rPr>
          <w:spacing w:val="-1"/>
          <w:w w:val="105"/>
          <w:sz w:val="15"/>
        </w:rPr>
        <w:t xml:space="preserve"> </w:t>
      </w:r>
      <w:r>
        <w:rPr>
          <w:w w:val="105"/>
          <w:sz w:val="15"/>
        </w:rPr>
        <w:t>criterios</w:t>
      </w:r>
      <w:r>
        <w:rPr>
          <w:spacing w:val="-2"/>
          <w:w w:val="105"/>
          <w:sz w:val="15"/>
        </w:rPr>
        <w:t xml:space="preserve"> </w:t>
      </w:r>
      <w:r>
        <w:rPr>
          <w:w w:val="105"/>
          <w:sz w:val="15"/>
        </w:rPr>
        <w:t>o prácticas</w:t>
      </w:r>
      <w:r>
        <w:rPr>
          <w:spacing w:val="-4"/>
          <w:w w:val="105"/>
          <w:sz w:val="15"/>
        </w:rPr>
        <w:t xml:space="preserve"> </w:t>
      </w:r>
      <w:r>
        <w:rPr>
          <w:w w:val="105"/>
          <w:sz w:val="15"/>
        </w:rPr>
        <w:t>que</w:t>
      </w:r>
      <w:r>
        <w:rPr>
          <w:spacing w:val="-4"/>
          <w:w w:val="105"/>
          <w:sz w:val="15"/>
        </w:rPr>
        <w:t xml:space="preserve"> </w:t>
      </w:r>
      <w:r>
        <w:rPr>
          <w:w w:val="105"/>
          <w:sz w:val="15"/>
        </w:rPr>
        <w:t>surjan</w:t>
      </w:r>
      <w:r>
        <w:rPr>
          <w:spacing w:val="-4"/>
          <w:w w:val="105"/>
          <w:sz w:val="15"/>
        </w:rPr>
        <w:t xml:space="preserve"> </w:t>
      </w:r>
      <w:r>
        <w:rPr>
          <w:w w:val="105"/>
          <w:sz w:val="15"/>
        </w:rPr>
        <w:t>sobre</w:t>
      </w:r>
      <w:r>
        <w:rPr>
          <w:spacing w:val="-4"/>
          <w:w w:val="105"/>
          <w:sz w:val="15"/>
        </w:rPr>
        <w:t xml:space="preserve"> </w:t>
      </w:r>
      <w:r>
        <w:rPr>
          <w:w w:val="105"/>
          <w:sz w:val="15"/>
        </w:rPr>
        <w:t>la</w:t>
      </w:r>
      <w:r>
        <w:rPr>
          <w:spacing w:val="-4"/>
          <w:w w:val="105"/>
          <w:sz w:val="15"/>
        </w:rPr>
        <w:t xml:space="preserve"> </w:t>
      </w:r>
      <w:r>
        <w:rPr>
          <w:w w:val="105"/>
          <w:sz w:val="15"/>
        </w:rPr>
        <w:t>base</w:t>
      </w:r>
      <w:r>
        <w:rPr>
          <w:spacing w:val="-4"/>
          <w:w w:val="105"/>
          <w:sz w:val="15"/>
        </w:rPr>
        <w:t xml:space="preserve"> </w:t>
      </w:r>
      <w:r>
        <w:rPr>
          <w:w w:val="105"/>
          <w:sz w:val="15"/>
        </w:rPr>
        <w:t>de</w:t>
      </w:r>
      <w:r>
        <w:rPr>
          <w:spacing w:val="-4"/>
          <w:w w:val="105"/>
          <w:sz w:val="15"/>
        </w:rPr>
        <w:t xml:space="preserve"> </w:t>
      </w:r>
      <w:r>
        <w:rPr>
          <w:w w:val="105"/>
          <w:sz w:val="15"/>
        </w:rPr>
        <w:t>un</w:t>
      </w:r>
      <w:r>
        <w:rPr>
          <w:spacing w:val="-4"/>
          <w:w w:val="105"/>
          <w:sz w:val="15"/>
        </w:rPr>
        <w:t xml:space="preserve"> </w:t>
      </w:r>
      <w:r>
        <w:rPr>
          <w:w w:val="105"/>
          <w:sz w:val="15"/>
        </w:rPr>
        <w:t>motivo</w:t>
      </w:r>
      <w:r>
        <w:rPr>
          <w:spacing w:val="-4"/>
          <w:w w:val="105"/>
          <w:sz w:val="15"/>
        </w:rPr>
        <w:t xml:space="preserve"> </w:t>
      </w:r>
      <w:r>
        <w:rPr>
          <w:w w:val="105"/>
          <w:sz w:val="15"/>
        </w:rPr>
        <w:t>protegido</w:t>
      </w:r>
      <w:r>
        <w:rPr>
          <w:spacing w:val="-4"/>
          <w:w w:val="105"/>
          <w:sz w:val="15"/>
        </w:rPr>
        <w:t xml:space="preserve"> </w:t>
      </w:r>
      <w:r>
        <w:rPr>
          <w:w w:val="105"/>
          <w:sz w:val="15"/>
        </w:rPr>
        <w:t>de</w:t>
      </w:r>
      <w:r>
        <w:rPr>
          <w:spacing w:val="-4"/>
          <w:w w:val="105"/>
          <w:sz w:val="15"/>
        </w:rPr>
        <w:t xml:space="preserve"> </w:t>
      </w:r>
      <w:r>
        <w:rPr>
          <w:w w:val="105"/>
          <w:sz w:val="15"/>
        </w:rPr>
        <w:t>discriminación.</w:t>
      </w:r>
      <w:r>
        <w:rPr>
          <w:spacing w:val="-3"/>
          <w:w w:val="105"/>
          <w:sz w:val="15"/>
        </w:rPr>
        <w:t xml:space="preserve"> </w:t>
      </w:r>
      <w:r>
        <w:rPr>
          <w:w w:val="105"/>
          <w:sz w:val="15"/>
        </w:rPr>
        <w:t>Cualquier</w:t>
      </w:r>
      <w:r>
        <w:rPr>
          <w:spacing w:val="-4"/>
          <w:w w:val="105"/>
          <w:sz w:val="15"/>
        </w:rPr>
        <w:t xml:space="preserve"> </w:t>
      </w:r>
      <w:r>
        <w:rPr>
          <w:w w:val="105"/>
          <w:sz w:val="15"/>
        </w:rPr>
        <w:t>justificación</w:t>
      </w:r>
      <w:r>
        <w:rPr>
          <w:spacing w:val="-4"/>
          <w:w w:val="105"/>
          <w:sz w:val="15"/>
        </w:rPr>
        <w:t xml:space="preserve"> </w:t>
      </w:r>
      <w:r>
        <w:rPr>
          <w:w w:val="105"/>
          <w:sz w:val="15"/>
        </w:rPr>
        <w:t>debe</w:t>
      </w:r>
      <w:r>
        <w:rPr>
          <w:spacing w:val="-4"/>
          <w:w w:val="105"/>
          <w:sz w:val="15"/>
        </w:rPr>
        <w:t xml:space="preserve"> </w:t>
      </w:r>
      <w:r>
        <w:rPr>
          <w:w w:val="105"/>
          <w:sz w:val="15"/>
        </w:rPr>
        <w:t>evaluarse</w:t>
      </w:r>
      <w:r>
        <w:rPr>
          <w:spacing w:val="-4"/>
          <w:w w:val="105"/>
          <w:sz w:val="15"/>
        </w:rPr>
        <w:t xml:space="preserve"> </w:t>
      </w:r>
      <w:r>
        <w:rPr>
          <w:w w:val="105"/>
          <w:sz w:val="15"/>
        </w:rPr>
        <w:t>según</w:t>
      </w:r>
      <w:r>
        <w:rPr>
          <w:spacing w:val="-4"/>
          <w:w w:val="105"/>
          <w:sz w:val="15"/>
        </w:rPr>
        <w:t xml:space="preserve"> </w:t>
      </w:r>
      <w:r>
        <w:rPr>
          <w:w w:val="105"/>
          <w:sz w:val="15"/>
        </w:rPr>
        <w:t>criterios claros,</w:t>
      </w:r>
      <w:r>
        <w:rPr>
          <w:spacing w:val="-4"/>
          <w:w w:val="105"/>
          <w:sz w:val="15"/>
        </w:rPr>
        <w:t xml:space="preserve"> </w:t>
      </w:r>
      <w:r>
        <w:rPr>
          <w:w w:val="105"/>
          <w:sz w:val="15"/>
        </w:rPr>
        <w:t>establecidos</w:t>
      </w:r>
      <w:r>
        <w:rPr>
          <w:spacing w:val="-4"/>
          <w:w w:val="105"/>
          <w:sz w:val="15"/>
        </w:rPr>
        <w:t xml:space="preserve"> </w:t>
      </w:r>
      <w:r>
        <w:rPr>
          <w:w w:val="105"/>
          <w:sz w:val="15"/>
        </w:rPr>
        <w:t>en</w:t>
      </w:r>
      <w:r>
        <w:rPr>
          <w:spacing w:val="-4"/>
          <w:w w:val="105"/>
          <w:sz w:val="15"/>
        </w:rPr>
        <w:t xml:space="preserve"> </w:t>
      </w:r>
      <w:r>
        <w:rPr>
          <w:w w:val="105"/>
          <w:sz w:val="15"/>
        </w:rPr>
        <w:t>una</w:t>
      </w:r>
      <w:r>
        <w:rPr>
          <w:spacing w:val="-4"/>
          <w:w w:val="105"/>
          <w:sz w:val="15"/>
        </w:rPr>
        <w:t xml:space="preserve"> </w:t>
      </w:r>
      <w:r>
        <w:rPr>
          <w:w w:val="105"/>
          <w:sz w:val="15"/>
        </w:rPr>
        <w:t>legislación</w:t>
      </w:r>
      <w:r>
        <w:rPr>
          <w:spacing w:val="-4"/>
          <w:w w:val="105"/>
          <w:sz w:val="15"/>
        </w:rPr>
        <w:t xml:space="preserve"> </w:t>
      </w:r>
      <w:r>
        <w:rPr>
          <w:w w:val="105"/>
          <w:sz w:val="15"/>
        </w:rPr>
        <w:t>integral</w:t>
      </w:r>
      <w:r>
        <w:rPr>
          <w:spacing w:val="-4"/>
          <w:w w:val="105"/>
          <w:sz w:val="15"/>
        </w:rPr>
        <w:t xml:space="preserve"> </w:t>
      </w:r>
      <w:r>
        <w:rPr>
          <w:w w:val="105"/>
          <w:sz w:val="15"/>
        </w:rPr>
        <w:t>contra</w:t>
      </w:r>
      <w:r>
        <w:rPr>
          <w:spacing w:val="-4"/>
          <w:w w:val="105"/>
          <w:sz w:val="15"/>
        </w:rPr>
        <w:t xml:space="preserve"> </w:t>
      </w:r>
      <w:r>
        <w:rPr>
          <w:w w:val="105"/>
          <w:sz w:val="15"/>
        </w:rPr>
        <w:t>la</w:t>
      </w:r>
      <w:r>
        <w:rPr>
          <w:spacing w:val="-4"/>
          <w:w w:val="105"/>
          <w:sz w:val="15"/>
        </w:rPr>
        <w:t xml:space="preserve"> </w:t>
      </w:r>
      <w:r>
        <w:rPr>
          <w:w w:val="105"/>
          <w:sz w:val="15"/>
        </w:rPr>
        <w:t>discriminación.</w:t>
      </w:r>
      <w:r>
        <w:rPr>
          <w:spacing w:val="-3"/>
          <w:w w:val="105"/>
          <w:sz w:val="15"/>
        </w:rPr>
        <w:t xml:space="preserve"> </w:t>
      </w:r>
      <w:r>
        <w:rPr>
          <w:w w:val="105"/>
          <w:sz w:val="15"/>
        </w:rPr>
        <w:t>Estos</w:t>
      </w:r>
      <w:r>
        <w:rPr>
          <w:spacing w:val="-4"/>
          <w:w w:val="105"/>
          <w:sz w:val="15"/>
        </w:rPr>
        <w:t xml:space="preserve"> </w:t>
      </w:r>
      <w:r>
        <w:rPr>
          <w:w w:val="105"/>
          <w:sz w:val="15"/>
        </w:rPr>
        <w:t>criterios</w:t>
      </w:r>
      <w:r>
        <w:rPr>
          <w:spacing w:val="-4"/>
          <w:w w:val="105"/>
          <w:sz w:val="15"/>
        </w:rPr>
        <w:t xml:space="preserve"> </w:t>
      </w:r>
      <w:r>
        <w:rPr>
          <w:w w:val="105"/>
          <w:sz w:val="15"/>
        </w:rPr>
        <w:t>deben</w:t>
      </w:r>
      <w:r>
        <w:rPr>
          <w:spacing w:val="-4"/>
          <w:w w:val="105"/>
          <w:sz w:val="15"/>
        </w:rPr>
        <w:t xml:space="preserve"> </w:t>
      </w:r>
      <w:r>
        <w:rPr>
          <w:w w:val="105"/>
          <w:sz w:val="15"/>
        </w:rPr>
        <w:t>incluir</w:t>
      </w:r>
      <w:r>
        <w:rPr>
          <w:spacing w:val="-4"/>
          <w:w w:val="105"/>
          <w:sz w:val="15"/>
        </w:rPr>
        <w:t xml:space="preserve"> </w:t>
      </w:r>
      <w:r>
        <w:rPr>
          <w:w w:val="105"/>
          <w:sz w:val="15"/>
        </w:rPr>
        <w:t>la</w:t>
      </w:r>
      <w:r>
        <w:rPr>
          <w:spacing w:val="-4"/>
          <w:w w:val="105"/>
          <w:sz w:val="15"/>
        </w:rPr>
        <w:t xml:space="preserve"> </w:t>
      </w:r>
      <w:r>
        <w:rPr>
          <w:w w:val="105"/>
          <w:sz w:val="15"/>
        </w:rPr>
        <w:t>existencia</w:t>
      </w:r>
      <w:r>
        <w:rPr>
          <w:spacing w:val="-4"/>
          <w:w w:val="105"/>
          <w:sz w:val="15"/>
        </w:rPr>
        <w:t xml:space="preserve"> </w:t>
      </w:r>
      <w:r>
        <w:rPr>
          <w:w w:val="105"/>
          <w:sz w:val="15"/>
        </w:rPr>
        <w:t>de</w:t>
      </w:r>
      <w:r>
        <w:rPr>
          <w:spacing w:val="-4"/>
          <w:w w:val="105"/>
          <w:sz w:val="15"/>
        </w:rPr>
        <w:t xml:space="preserve"> </w:t>
      </w:r>
      <w:r>
        <w:rPr>
          <w:w w:val="105"/>
          <w:sz w:val="15"/>
        </w:rPr>
        <w:t>un</w:t>
      </w:r>
      <w:r>
        <w:rPr>
          <w:spacing w:val="-4"/>
          <w:w w:val="105"/>
          <w:sz w:val="15"/>
        </w:rPr>
        <w:t xml:space="preserve"> </w:t>
      </w:r>
      <w:r>
        <w:rPr>
          <w:w w:val="105"/>
          <w:sz w:val="15"/>
        </w:rPr>
        <w:t>objetivo legítimo</w:t>
      </w:r>
      <w:r>
        <w:rPr>
          <w:spacing w:val="-4"/>
          <w:w w:val="105"/>
          <w:sz w:val="15"/>
        </w:rPr>
        <w:t xml:space="preserve"> </w:t>
      </w:r>
      <w:r>
        <w:rPr>
          <w:w w:val="105"/>
          <w:sz w:val="15"/>
        </w:rPr>
        <w:t>y</w:t>
      </w:r>
      <w:r>
        <w:rPr>
          <w:spacing w:val="-4"/>
          <w:w w:val="105"/>
          <w:sz w:val="15"/>
        </w:rPr>
        <w:t xml:space="preserve"> </w:t>
      </w:r>
      <w:r>
        <w:rPr>
          <w:w w:val="105"/>
          <w:sz w:val="15"/>
        </w:rPr>
        <w:t>la</w:t>
      </w:r>
      <w:r>
        <w:rPr>
          <w:spacing w:val="-4"/>
          <w:w w:val="105"/>
          <w:sz w:val="15"/>
        </w:rPr>
        <w:t xml:space="preserve"> </w:t>
      </w:r>
      <w:r>
        <w:rPr>
          <w:w w:val="105"/>
          <w:sz w:val="15"/>
        </w:rPr>
        <w:t>confirmación</w:t>
      </w:r>
      <w:r>
        <w:rPr>
          <w:spacing w:val="-4"/>
          <w:w w:val="105"/>
          <w:sz w:val="15"/>
        </w:rPr>
        <w:t xml:space="preserve"> </w:t>
      </w:r>
      <w:r>
        <w:rPr>
          <w:w w:val="105"/>
          <w:sz w:val="15"/>
        </w:rPr>
        <w:t>de</w:t>
      </w:r>
      <w:r>
        <w:rPr>
          <w:spacing w:val="-4"/>
          <w:w w:val="105"/>
          <w:sz w:val="15"/>
        </w:rPr>
        <w:t xml:space="preserve"> </w:t>
      </w:r>
      <w:r>
        <w:rPr>
          <w:w w:val="105"/>
          <w:sz w:val="15"/>
        </w:rPr>
        <w:t>que</w:t>
      </w:r>
      <w:r>
        <w:rPr>
          <w:spacing w:val="-4"/>
          <w:w w:val="105"/>
          <w:sz w:val="15"/>
        </w:rPr>
        <w:t xml:space="preserve"> </w:t>
      </w:r>
      <w:r>
        <w:rPr>
          <w:w w:val="105"/>
          <w:sz w:val="15"/>
        </w:rPr>
        <w:t>los</w:t>
      </w:r>
      <w:r>
        <w:rPr>
          <w:spacing w:val="-4"/>
          <w:w w:val="105"/>
          <w:sz w:val="15"/>
        </w:rPr>
        <w:t xml:space="preserve"> </w:t>
      </w:r>
      <w:r>
        <w:rPr>
          <w:w w:val="105"/>
          <w:sz w:val="15"/>
        </w:rPr>
        <w:t>medios</w:t>
      </w:r>
      <w:r>
        <w:rPr>
          <w:spacing w:val="-4"/>
          <w:w w:val="105"/>
          <w:sz w:val="15"/>
        </w:rPr>
        <w:t xml:space="preserve"> </w:t>
      </w:r>
      <w:r>
        <w:rPr>
          <w:w w:val="105"/>
          <w:sz w:val="15"/>
        </w:rPr>
        <w:t>para</w:t>
      </w:r>
      <w:r>
        <w:rPr>
          <w:spacing w:val="-4"/>
          <w:w w:val="105"/>
          <w:sz w:val="15"/>
        </w:rPr>
        <w:t xml:space="preserve"> </w:t>
      </w:r>
      <w:r>
        <w:rPr>
          <w:w w:val="105"/>
          <w:sz w:val="15"/>
        </w:rPr>
        <w:t>lograrlo</w:t>
      </w:r>
      <w:r>
        <w:rPr>
          <w:spacing w:val="-4"/>
          <w:w w:val="105"/>
          <w:sz w:val="15"/>
        </w:rPr>
        <w:t xml:space="preserve"> </w:t>
      </w:r>
      <w:r>
        <w:rPr>
          <w:w w:val="105"/>
          <w:sz w:val="15"/>
        </w:rPr>
        <w:t>son</w:t>
      </w:r>
      <w:r>
        <w:rPr>
          <w:spacing w:val="-4"/>
          <w:w w:val="105"/>
          <w:sz w:val="15"/>
        </w:rPr>
        <w:t xml:space="preserve"> </w:t>
      </w:r>
      <w:r>
        <w:rPr>
          <w:w w:val="105"/>
          <w:sz w:val="15"/>
        </w:rPr>
        <w:t>apropiados,</w:t>
      </w:r>
      <w:r>
        <w:rPr>
          <w:spacing w:val="-3"/>
          <w:w w:val="105"/>
          <w:sz w:val="15"/>
        </w:rPr>
        <w:t xml:space="preserve"> </w:t>
      </w:r>
      <w:r>
        <w:rPr>
          <w:w w:val="105"/>
          <w:sz w:val="15"/>
        </w:rPr>
        <w:t>necesarios</w:t>
      </w:r>
      <w:r>
        <w:rPr>
          <w:spacing w:val="-4"/>
          <w:w w:val="105"/>
          <w:sz w:val="15"/>
        </w:rPr>
        <w:t xml:space="preserve"> </w:t>
      </w:r>
      <w:r>
        <w:rPr>
          <w:w w:val="105"/>
          <w:sz w:val="15"/>
        </w:rPr>
        <w:t>y</w:t>
      </w:r>
      <w:r>
        <w:rPr>
          <w:spacing w:val="-4"/>
          <w:w w:val="105"/>
          <w:sz w:val="15"/>
        </w:rPr>
        <w:t xml:space="preserve"> </w:t>
      </w:r>
      <w:r>
        <w:rPr>
          <w:w w:val="105"/>
          <w:sz w:val="15"/>
        </w:rPr>
        <w:t>proporcionados.</w:t>
      </w:r>
      <w:r>
        <w:rPr>
          <w:spacing w:val="-3"/>
          <w:w w:val="105"/>
          <w:sz w:val="15"/>
        </w:rPr>
        <w:t xml:space="preserve"> </w:t>
      </w:r>
      <w:r>
        <w:rPr>
          <w:w w:val="105"/>
          <w:sz w:val="15"/>
        </w:rPr>
        <w:t>Un</w:t>
      </w:r>
      <w:r>
        <w:rPr>
          <w:spacing w:val="-4"/>
          <w:w w:val="105"/>
          <w:sz w:val="15"/>
        </w:rPr>
        <w:t xml:space="preserve"> </w:t>
      </w:r>
      <w:r>
        <w:rPr>
          <w:w w:val="105"/>
          <w:sz w:val="15"/>
        </w:rPr>
        <w:t>objetivo</w:t>
      </w:r>
      <w:r>
        <w:rPr>
          <w:spacing w:val="-4"/>
          <w:w w:val="105"/>
          <w:sz w:val="15"/>
        </w:rPr>
        <w:t xml:space="preserve"> </w:t>
      </w:r>
      <w:r>
        <w:rPr>
          <w:w w:val="105"/>
          <w:sz w:val="15"/>
        </w:rPr>
        <w:t>legítimo</w:t>
      </w:r>
      <w:r>
        <w:rPr>
          <w:spacing w:val="-4"/>
          <w:w w:val="105"/>
          <w:sz w:val="15"/>
        </w:rPr>
        <w:t xml:space="preserve"> </w:t>
      </w:r>
      <w:r>
        <w:rPr>
          <w:w w:val="105"/>
          <w:sz w:val="15"/>
        </w:rPr>
        <w:t>nunca puede</w:t>
      </w:r>
      <w:r>
        <w:rPr>
          <w:spacing w:val="-10"/>
          <w:w w:val="105"/>
          <w:sz w:val="15"/>
        </w:rPr>
        <w:t xml:space="preserve"> </w:t>
      </w:r>
      <w:r>
        <w:rPr>
          <w:w w:val="105"/>
          <w:sz w:val="15"/>
        </w:rPr>
        <w:t>estar</w:t>
      </w:r>
      <w:r>
        <w:rPr>
          <w:spacing w:val="-10"/>
          <w:w w:val="105"/>
          <w:sz w:val="15"/>
        </w:rPr>
        <w:t xml:space="preserve"> </w:t>
      </w:r>
      <w:r>
        <w:rPr>
          <w:w w:val="105"/>
          <w:sz w:val="15"/>
        </w:rPr>
        <w:t>justificado</w:t>
      </w:r>
      <w:r>
        <w:rPr>
          <w:spacing w:val="-10"/>
          <w:w w:val="105"/>
          <w:sz w:val="15"/>
        </w:rPr>
        <w:t xml:space="preserve"> </w:t>
      </w:r>
      <w:r>
        <w:rPr>
          <w:w w:val="105"/>
          <w:sz w:val="15"/>
        </w:rPr>
        <w:t>por</w:t>
      </w:r>
      <w:r>
        <w:rPr>
          <w:spacing w:val="-10"/>
          <w:w w:val="105"/>
          <w:sz w:val="15"/>
        </w:rPr>
        <w:t xml:space="preserve"> </w:t>
      </w:r>
      <w:r>
        <w:rPr>
          <w:w w:val="105"/>
          <w:sz w:val="15"/>
        </w:rPr>
        <w:t>referencia</w:t>
      </w:r>
      <w:r>
        <w:rPr>
          <w:spacing w:val="-10"/>
          <w:w w:val="105"/>
          <w:sz w:val="15"/>
        </w:rPr>
        <w:t xml:space="preserve"> </w:t>
      </w:r>
      <w:r>
        <w:rPr>
          <w:w w:val="105"/>
          <w:sz w:val="15"/>
        </w:rPr>
        <w:t>a</w:t>
      </w:r>
      <w:r>
        <w:rPr>
          <w:spacing w:val="-10"/>
          <w:w w:val="105"/>
          <w:sz w:val="15"/>
        </w:rPr>
        <w:t xml:space="preserve"> </w:t>
      </w:r>
      <w:r>
        <w:rPr>
          <w:w w:val="105"/>
          <w:sz w:val="15"/>
        </w:rPr>
        <w:t>estereotipos</w:t>
      </w:r>
      <w:r>
        <w:rPr>
          <w:spacing w:val="-11"/>
          <w:w w:val="105"/>
          <w:sz w:val="15"/>
        </w:rPr>
        <w:t xml:space="preserve"> </w:t>
      </w:r>
      <w:r>
        <w:rPr>
          <w:w w:val="105"/>
          <w:sz w:val="15"/>
        </w:rPr>
        <w:t>discriminatorios.</w:t>
      </w:r>
      <w:r>
        <w:rPr>
          <w:spacing w:val="-8"/>
          <w:w w:val="105"/>
          <w:sz w:val="15"/>
        </w:rPr>
        <w:t xml:space="preserve"> </w:t>
      </w:r>
      <w:r>
        <w:rPr>
          <w:w w:val="105"/>
          <w:sz w:val="15"/>
        </w:rPr>
        <w:t>Ciertas</w:t>
      </w:r>
      <w:r>
        <w:rPr>
          <w:spacing w:val="-10"/>
          <w:w w:val="105"/>
          <w:sz w:val="15"/>
        </w:rPr>
        <w:t xml:space="preserve"> </w:t>
      </w:r>
      <w:r>
        <w:rPr>
          <w:w w:val="105"/>
          <w:sz w:val="15"/>
        </w:rPr>
        <w:t>formas</w:t>
      </w:r>
      <w:r>
        <w:rPr>
          <w:spacing w:val="-10"/>
          <w:w w:val="105"/>
          <w:sz w:val="15"/>
        </w:rPr>
        <w:t xml:space="preserve"> </w:t>
      </w:r>
      <w:r>
        <w:rPr>
          <w:w w:val="105"/>
          <w:sz w:val="15"/>
        </w:rPr>
        <w:t>de</w:t>
      </w:r>
      <w:r>
        <w:rPr>
          <w:spacing w:val="-10"/>
          <w:w w:val="105"/>
          <w:sz w:val="15"/>
        </w:rPr>
        <w:t xml:space="preserve"> </w:t>
      </w:r>
      <w:r>
        <w:rPr>
          <w:w w:val="105"/>
          <w:sz w:val="15"/>
        </w:rPr>
        <w:t>conducta</w:t>
      </w:r>
      <w:r>
        <w:rPr>
          <w:spacing w:val="-10"/>
          <w:w w:val="105"/>
          <w:sz w:val="15"/>
        </w:rPr>
        <w:t xml:space="preserve"> </w:t>
      </w:r>
      <w:r>
        <w:rPr>
          <w:w w:val="105"/>
          <w:sz w:val="15"/>
        </w:rPr>
        <w:t>prohibida</w:t>
      </w:r>
      <w:r>
        <w:rPr>
          <w:spacing w:val="-10"/>
          <w:w w:val="105"/>
          <w:sz w:val="15"/>
        </w:rPr>
        <w:t xml:space="preserve"> </w:t>
      </w:r>
      <w:r>
        <w:rPr>
          <w:w w:val="105"/>
          <w:sz w:val="15"/>
        </w:rPr>
        <w:t>(incluido</w:t>
      </w:r>
      <w:r>
        <w:rPr>
          <w:spacing w:val="-10"/>
          <w:w w:val="105"/>
          <w:sz w:val="15"/>
        </w:rPr>
        <w:t xml:space="preserve"> </w:t>
      </w:r>
      <w:r>
        <w:rPr>
          <w:w w:val="105"/>
          <w:sz w:val="15"/>
        </w:rPr>
        <w:t>el</w:t>
      </w:r>
      <w:r>
        <w:rPr>
          <w:spacing w:val="-10"/>
          <w:w w:val="105"/>
          <w:sz w:val="15"/>
        </w:rPr>
        <w:t xml:space="preserve"> </w:t>
      </w:r>
      <w:r>
        <w:rPr>
          <w:w w:val="105"/>
          <w:sz w:val="15"/>
        </w:rPr>
        <w:t>acoso,</w:t>
      </w:r>
      <w:r>
        <w:rPr>
          <w:spacing w:val="-10"/>
          <w:w w:val="105"/>
          <w:sz w:val="15"/>
        </w:rPr>
        <w:t xml:space="preserve"> </w:t>
      </w:r>
      <w:r>
        <w:rPr>
          <w:w w:val="105"/>
          <w:sz w:val="15"/>
        </w:rPr>
        <w:t>el</w:t>
      </w:r>
      <w:r>
        <w:rPr>
          <w:spacing w:val="-10"/>
          <w:w w:val="105"/>
          <w:sz w:val="15"/>
        </w:rPr>
        <w:t xml:space="preserve"> </w:t>
      </w:r>
      <w:r>
        <w:rPr>
          <w:w w:val="105"/>
          <w:sz w:val="15"/>
        </w:rPr>
        <w:t>acoso sexual</w:t>
      </w:r>
      <w:r>
        <w:rPr>
          <w:spacing w:val="-6"/>
          <w:w w:val="105"/>
          <w:sz w:val="15"/>
        </w:rPr>
        <w:t xml:space="preserve"> </w:t>
      </w:r>
      <w:r>
        <w:rPr>
          <w:w w:val="105"/>
          <w:sz w:val="15"/>
        </w:rPr>
        <w:t>y</w:t>
      </w:r>
      <w:r>
        <w:rPr>
          <w:spacing w:val="-6"/>
          <w:w w:val="105"/>
          <w:sz w:val="15"/>
        </w:rPr>
        <w:t xml:space="preserve"> </w:t>
      </w:r>
      <w:r>
        <w:rPr>
          <w:w w:val="105"/>
          <w:sz w:val="15"/>
        </w:rPr>
        <w:t>la</w:t>
      </w:r>
      <w:r>
        <w:rPr>
          <w:spacing w:val="-6"/>
          <w:w w:val="105"/>
          <w:sz w:val="15"/>
        </w:rPr>
        <w:t xml:space="preserve"> </w:t>
      </w:r>
      <w:r>
        <w:rPr>
          <w:w w:val="105"/>
          <w:sz w:val="15"/>
        </w:rPr>
        <w:t>victimización)</w:t>
      </w:r>
      <w:r>
        <w:rPr>
          <w:spacing w:val="-6"/>
          <w:w w:val="105"/>
          <w:sz w:val="15"/>
        </w:rPr>
        <w:t xml:space="preserve"> </w:t>
      </w:r>
      <w:r>
        <w:rPr>
          <w:w w:val="105"/>
          <w:sz w:val="15"/>
        </w:rPr>
        <w:t>no</w:t>
      </w:r>
      <w:r>
        <w:rPr>
          <w:spacing w:val="-6"/>
          <w:w w:val="105"/>
          <w:sz w:val="15"/>
        </w:rPr>
        <w:t xml:space="preserve"> </w:t>
      </w:r>
      <w:r>
        <w:rPr>
          <w:w w:val="105"/>
          <w:sz w:val="15"/>
        </w:rPr>
        <w:t>pueden,</w:t>
      </w:r>
      <w:r>
        <w:rPr>
          <w:spacing w:val="-6"/>
          <w:w w:val="105"/>
          <w:sz w:val="15"/>
        </w:rPr>
        <w:t xml:space="preserve"> </w:t>
      </w:r>
      <w:r>
        <w:rPr>
          <w:w w:val="105"/>
          <w:sz w:val="15"/>
        </w:rPr>
        <w:t>por</w:t>
      </w:r>
      <w:r>
        <w:rPr>
          <w:spacing w:val="-6"/>
          <w:w w:val="105"/>
          <w:sz w:val="15"/>
        </w:rPr>
        <w:t xml:space="preserve"> </w:t>
      </w:r>
      <w:r>
        <w:rPr>
          <w:w w:val="105"/>
          <w:sz w:val="15"/>
        </w:rPr>
        <w:t>definición,</w:t>
      </w:r>
      <w:r>
        <w:rPr>
          <w:spacing w:val="-5"/>
          <w:w w:val="105"/>
          <w:sz w:val="15"/>
        </w:rPr>
        <w:t xml:space="preserve"> </w:t>
      </w:r>
      <w:r>
        <w:rPr>
          <w:w w:val="105"/>
          <w:sz w:val="15"/>
        </w:rPr>
        <w:t>justificarse.</w:t>
      </w:r>
      <w:r>
        <w:rPr>
          <w:spacing w:val="-5"/>
          <w:w w:val="105"/>
          <w:sz w:val="15"/>
        </w:rPr>
        <w:t xml:space="preserve"> </w:t>
      </w:r>
      <w:r>
        <w:rPr>
          <w:w w:val="105"/>
          <w:sz w:val="15"/>
        </w:rPr>
        <w:t>La</w:t>
      </w:r>
      <w:r>
        <w:rPr>
          <w:spacing w:val="-6"/>
          <w:w w:val="105"/>
          <w:sz w:val="15"/>
        </w:rPr>
        <w:t xml:space="preserve"> </w:t>
      </w:r>
      <w:r>
        <w:rPr>
          <w:w w:val="105"/>
          <w:sz w:val="15"/>
        </w:rPr>
        <w:t>discriminación</w:t>
      </w:r>
      <w:r>
        <w:rPr>
          <w:spacing w:val="-6"/>
          <w:w w:val="105"/>
          <w:sz w:val="15"/>
        </w:rPr>
        <w:t xml:space="preserve"> </w:t>
      </w:r>
      <w:r>
        <w:rPr>
          <w:w w:val="105"/>
          <w:sz w:val="15"/>
        </w:rPr>
        <w:t>directa</w:t>
      </w:r>
      <w:r>
        <w:rPr>
          <w:spacing w:val="-6"/>
          <w:w w:val="105"/>
          <w:sz w:val="15"/>
        </w:rPr>
        <w:t xml:space="preserve"> </w:t>
      </w:r>
      <w:r>
        <w:rPr>
          <w:w w:val="105"/>
          <w:sz w:val="15"/>
        </w:rPr>
        <w:t>sólo</w:t>
      </w:r>
      <w:r>
        <w:rPr>
          <w:spacing w:val="-6"/>
          <w:w w:val="105"/>
          <w:sz w:val="15"/>
        </w:rPr>
        <w:t xml:space="preserve"> </w:t>
      </w:r>
      <w:r>
        <w:rPr>
          <w:w w:val="105"/>
          <w:sz w:val="15"/>
        </w:rPr>
        <w:t>podrá</w:t>
      </w:r>
      <w:r>
        <w:rPr>
          <w:spacing w:val="-6"/>
          <w:w w:val="105"/>
          <w:sz w:val="15"/>
        </w:rPr>
        <w:t xml:space="preserve"> </w:t>
      </w:r>
      <w:r>
        <w:rPr>
          <w:w w:val="105"/>
          <w:sz w:val="15"/>
        </w:rPr>
        <w:t>justificarse</w:t>
      </w:r>
      <w:r>
        <w:rPr>
          <w:spacing w:val="-6"/>
          <w:w w:val="105"/>
          <w:sz w:val="15"/>
        </w:rPr>
        <w:t xml:space="preserve"> </w:t>
      </w:r>
      <w:r>
        <w:rPr>
          <w:w w:val="105"/>
          <w:sz w:val="15"/>
        </w:rPr>
        <w:t>excepcionalmente, sobre la base de criterios estrictamente definidos.</w:t>
      </w:r>
    </w:p>
    <w:p w14:paraId="7BD2C65E" w14:textId="77777777" w:rsidR="0014798C" w:rsidRDefault="0014798C">
      <w:pPr>
        <w:pStyle w:val="Textoindependiente"/>
        <w:rPr>
          <w:sz w:val="15"/>
        </w:rPr>
      </w:pPr>
    </w:p>
    <w:p w14:paraId="601101A7" w14:textId="77777777" w:rsidR="0014798C" w:rsidRDefault="0014798C">
      <w:pPr>
        <w:pStyle w:val="Textoindependiente"/>
        <w:rPr>
          <w:sz w:val="15"/>
        </w:rPr>
      </w:pPr>
    </w:p>
    <w:p w14:paraId="0779471A" w14:textId="77777777" w:rsidR="0014798C" w:rsidRDefault="0014798C">
      <w:pPr>
        <w:pStyle w:val="Textoindependiente"/>
        <w:rPr>
          <w:sz w:val="15"/>
        </w:rPr>
      </w:pPr>
    </w:p>
    <w:p w14:paraId="52A96558" w14:textId="77777777" w:rsidR="0014798C" w:rsidRDefault="0014798C">
      <w:pPr>
        <w:pStyle w:val="Textoindependiente"/>
        <w:spacing w:before="10"/>
        <w:rPr>
          <w:sz w:val="15"/>
        </w:rPr>
      </w:pPr>
    </w:p>
    <w:p w14:paraId="47A1C3F3" w14:textId="77777777" w:rsidR="0014798C" w:rsidRDefault="004E1F0B">
      <w:pPr>
        <w:spacing w:before="1" w:line="348" w:lineRule="auto"/>
        <w:ind w:left="1330" w:right="1463" w:firstLine="2"/>
        <w:rPr>
          <w:sz w:val="15"/>
        </w:rPr>
      </w:pPr>
      <w:r>
        <w:rPr>
          <w:w w:val="105"/>
          <w:sz w:val="15"/>
        </w:rPr>
        <w:t>Cualquier</w:t>
      </w:r>
      <w:r>
        <w:rPr>
          <w:spacing w:val="-4"/>
          <w:w w:val="105"/>
          <w:sz w:val="15"/>
        </w:rPr>
        <w:t xml:space="preserve"> </w:t>
      </w:r>
      <w:r>
        <w:rPr>
          <w:w w:val="105"/>
          <w:sz w:val="15"/>
        </w:rPr>
        <w:t>disposición,</w:t>
      </w:r>
      <w:r>
        <w:rPr>
          <w:spacing w:val="-3"/>
          <w:w w:val="105"/>
          <w:sz w:val="15"/>
        </w:rPr>
        <w:t xml:space="preserve"> </w:t>
      </w:r>
      <w:r>
        <w:rPr>
          <w:w w:val="105"/>
          <w:sz w:val="15"/>
        </w:rPr>
        <w:t>criterio</w:t>
      </w:r>
      <w:r>
        <w:rPr>
          <w:spacing w:val="-4"/>
          <w:w w:val="105"/>
          <w:sz w:val="15"/>
        </w:rPr>
        <w:t xml:space="preserve"> </w:t>
      </w:r>
      <w:r>
        <w:rPr>
          <w:w w:val="105"/>
          <w:sz w:val="15"/>
        </w:rPr>
        <w:t>o</w:t>
      </w:r>
      <w:r>
        <w:rPr>
          <w:spacing w:val="-4"/>
          <w:w w:val="105"/>
          <w:sz w:val="15"/>
        </w:rPr>
        <w:t xml:space="preserve"> </w:t>
      </w:r>
      <w:r>
        <w:rPr>
          <w:w w:val="105"/>
          <w:sz w:val="15"/>
        </w:rPr>
        <w:t>práctica</w:t>
      </w:r>
      <w:r>
        <w:rPr>
          <w:spacing w:val="-4"/>
          <w:w w:val="105"/>
          <w:sz w:val="15"/>
        </w:rPr>
        <w:t xml:space="preserve"> </w:t>
      </w:r>
      <w:r>
        <w:rPr>
          <w:w w:val="105"/>
          <w:sz w:val="15"/>
        </w:rPr>
        <w:t>adoptados</w:t>
      </w:r>
      <w:r>
        <w:rPr>
          <w:spacing w:val="-4"/>
          <w:w w:val="105"/>
          <w:sz w:val="15"/>
        </w:rPr>
        <w:t xml:space="preserve"> </w:t>
      </w:r>
      <w:r>
        <w:rPr>
          <w:w w:val="105"/>
          <w:sz w:val="15"/>
        </w:rPr>
        <w:t>en</w:t>
      </w:r>
      <w:r>
        <w:rPr>
          <w:spacing w:val="-4"/>
          <w:w w:val="105"/>
          <w:sz w:val="15"/>
        </w:rPr>
        <w:t xml:space="preserve"> </w:t>
      </w:r>
      <w:r>
        <w:rPr>
          <w:w w:val="105"/>
          <w:sz w:val="15"/>
        </w:rPr>
        <w:t>cumplimiento</w:t>
      </w:r>
      <w:r>
        <w:rPr>
          <w:spacing w:val="-4"/>
          <w:w w:val="105"/>
          <w:sz w:val="15"/>
        </w:rPr>
        <w:t xml:space="preserve"> </w:t>
      </w:r>
      <w:r>
        <w:rPr>
          <w:w w:val="105"/>
          <w:sz w:val="15"/>
        </w:rPr>
        <w:t>de</w:t>
      </w:r>
      <w:r>
        <w:rPr>
          <w:spacing w:val="-4"/>
          <w:w w:val="105"/>
          <w:sz w:val="15"/>
        </w:rPr>
        <w:t xml:space="preserve"> </w:t>
      </w:r>
      <w:r>
        <w:rPr>
          <w:w w:val="105"/>
          <w:sz w:val="15"/>
        </w:rPr>
        <w:t>un</w:t>
      </w:r>
      <w:r>
        <w:rPr>
          <w:spacing w:val="-4"/>
          <w:w w:val="105"/>
          <w:sz w:val="15"/>
        </w:rPr>
        <w:t xml:space="preserve"> </w:t>
      </w:r>
      <w:r>
        <w:rPr>
          <w:w w:val="105"/>
          <w:sz w:val="15"/>
        </w:rPr>
        <w:t>objetivo</w:t>
      </w:r>
      <w:r>
        <w:rPr>
          <w:spacing w:val="-4"/>
          <w:w w:val="105"/>
          <w:sz w:val="15"/>
        </w:rPr>
        <w:t xml:space="preserve"> </w:t>
      </w:r>
      <w:r>
        <w:rPr>
          <w:w w:val="105"/>
          <w:sz w:val="15"/>
        </w:rPr>
        <w:t>legítimo</w:t>
      </w:r>
      <w:r>
        <w:rPr>
          <w:spacing w:val="-4"/>
          <w:w w:val="105"/>
          <w:sz w:val="15"/>
        </w:rPr>
        <w:t xml:space="preserve"> </w:t>
      </w:r>
      <w:r>
        <w:rPr>
          <w:w w:val="105"/>
          <w:sz w:val="15"/>
        </w:rPr>
        <w:t>que</w:t>
      </w:r>
      <w:r>
        <w:rPr>
          <w:spacing w:val="-4"/>
          <w:w w:val="105"/>
          <w:sz w:val="15"/>
        </w:rPr>
        <w:t xml:space="preserve"> </w:t>
      </w:r>
      <w:r>
        <w:rPr>
          <w:w w:val="105"/>
          <w:sz w:val="15"/>
        </w:rPr>
        <w:t>sea</w:t>
      </w:r>
      <w:r>
        <w:rPr>
          <w:spacing w:val="-4"/>
          <w:w w:val="105"/>
          <w:sz w:val="15"/>
        </w:rPr>
        <w:t xml:space="preserve"> </w:t>
      </w:r>
      <w:r>
        <w:rPr>
          <w:w w:val="105"/>
          <w:sz w:val="15"/>
        </w:rPr>
        <w:t>apropiado,</w:t>
      </w:r>
      <w:r>
        <w:rPr>
          <w:spacing w:val="-3"/>
          <w:w w:val="105"/>
          <w:sz w:val="15"/>
        </w:rPr>
        <w:t xml:space="preserve"> </w:t>
      </w:r>
      <w:r>
        <w:rPr>
          <w:w w:val="105"/>
          <w:sz w:val="15"/>
        </w:rPr>
        <w:t>necesario</w:t>
      </w:r>
      <w:r>
        <w:rPr>
          <w:spacing w:val="-4"/>
          <w:w w:val="105"/>
          <w:sz w:val="15"/>
        </w:rPr>
        <w:t xml:space="preserve"> </w:t>
      </w:r>
      <w:r>
        <w:rPr>
          <w:w w:val="105"/>
          <w:sz w:val="15"/>
        </w:rPr>
        <w:t>y proporcionado</w:t>
      </w:r>
      <w:r>
        <w:rPr>
          <w:spacing w:val="-9"/>
          <w:w w:val="105"/>
          <w:sz w:val="15"/>
        </w:rPr>
        <w:t xml:space="preserve"> </w:t>
      </w:r>
      <w:r>
        <w:rPr>
          <w:w w:val="105"/>
          <w:sz w:val="15"/>
        </w:rPr>
        <w:t>a</w:t>
      </w:r>
      <w:r>
        <w:rPr>
          <w:spacing w:val="-9"/>
          <w:w w:val="105"/>
          <w:sz w:val="15"/>
        </w:rPr>
        <w:t xml:space="preserve"> </w:t>
      </w:r>
      <w:r>
        <w:rPr>
          <w:w w:val="105"/>
          <w:sz w:val="15"/>
        </w:rPr>
        <w:t>ese</w:t>
      </w:r>
      <w:r>
        <w:rPr>
          <w:spacing w:val="-9"/>
          <w:w w:val="105"/>
          <w:sz w:val="15"/>
        </w:rPr>
        <w:t xml:space="preserve"> </w:t>
      </w:r>
      <w:r>
        <w:rPr>
          <w:w w:val="105"/>
          <w:sz w:val="15"/>
        </w:rPr>
        <w:t>objetivo</w:t>
      </w:r>
      <w:r>
        <w:rPr>
          <w:spacing w:val="-9"/>
          <w:w w:val="105"/>
          <w:sz w:val="15"/>
        </w:rPr>
        <w:t xml:space="preserve"> </w:t>
      </w:r>
      <w:r>
        <w:rPr>
          <w:w w:val="105"/>
          <w:sz w:val="15"/>
        </w:rPr>
        <w:t>no</w:t>
      </w:r>
      <w:r>
        <w:rPr>
          <w:spacing w:val="-9"/>
          <w:w w:val="105"/>
          <w:sz w:val="15"/>
        </w:rPr>
        <w:t xml:space="preserve"> </w:t>
      </w:r>
      <w:r>
        <w:rPr>
          <w:w w:val="105"/>
          <w:sz w:val="15"/>
        </w:rPr>
        <w:t>dará</w:t>
      </w:r>
      <w:r>
        <w:rPr>
          <w:spacing w:val="-9"/>
          <w:w w:val="105"/>
          <w:sz w:val="15"/>
        </w:rPr>
        <w:t xml:space="preserve"> </w:t>
      </w:r>
      <w:r>
        <w:rPr>
          <w:w w:val="105"/>
          <w:sz w:val="15"/>
        </w:rPr>
        <w:t>lugar</w:t>
      </w:r>
      <w:r>
        <w:rPr>
          <w:spacing w:val="-9"/>
          <w:w w:val="105"/>
          <w:sz w:val="15"/>
        </w:rPr>
        <w:t xml:space="preserve"> </w:t>
      </w:r>
      <w:r>
        <w:rPr>
          <w:w w:val="105"/>
          <w:sz w:val="15"/>
        </w:rPr>
        <w:t>a</w:t>
      </w:r>
      <w:r>
        <w:rPr>
          <w:spacing w:val="-9"/>
          <w:w w:val="105"/>
          <w:sz w:val="15"/>
        </w:rPr>
        <w:t xml:space="preserve"> </w:t>
      </w:r>
      <w:r>
        <w:rPr>
          <w:w w:val="105"/>
          <w:sz w:val="15"/>
        </w:rPr>
        <w:t>una</w:t>
      </w:r>
      <w:r>
        <w:rPr>
          <w:spacing w:val="-9"/>
          <w:w w:val="105"/>
          <w:sz w:val="15"/>
        </w:rPr>
        <w:t xml:space="preserve"> </w:t>
      </w:r>
      <w:r>
        <w:rPr>
          <w:w w:val="105"/>
          <w:sz w:val="15"/>
        </w:rPr>
        <w:t>conclusión</w:t>
      </w:r>
      <w:r>
        <w:rPr>
          <w:spacing w:val="-9"/>
          <w:w w:val="105"/>
          <w:sz w:val="15"/>
        </w:rPr>
        <w:t xml:space="preserve"> </w:t>
      </w:r>
      <w:r>
        <w:rPr>
          <w:w w:val="105"/>
          <w:sz w:val="15"/>
        </w:rPr>
        <w:t>de</w:t>
      </w:r>
      <w:r>
        <w:rPr>
          <w:spacing w:val="-9"/>
          <w:w w:val="105"/>
          <w:sz w:val="15"/>
        </w:rPr>
        <w:t xml:space="preserve"> </w:t>
      </w:r>
      <w:r>
        <w:rPr>
          <w:w w:val="105"/>
          <w:sz w:val="15"/>
        </w:rPr>
        <w:t>discriminación.</w:t>
      </w:r>
      <w:r>
        <w:rPr>
          <w:spacing w:val="-8"/>
          <w:w w:val="105"/>
          <w:sz w:val="15"/>
        </w:rPr>
        <w:t xml:space="preserve"> </w:t>
      </w:r>
      <w:r>
        <w:rPr>
          <w:w w:val="105"/>
          <w:sz w:val="15"/>
        </w:rPr>
        <w:t>La</w:t>
      </w:r>
      <w:r>
        <w:rPr>
          <w:spacing w:val="-9"/>
          <w:w w:val="105"/>
          <w:sz w:val="15"/>
        </w:rPr>
        <w:t xml:space="preserve"> </w:t>
      </w:r>
      <w:r>
        <w:rPr>
          <w:w w:val="105"/>
          <w:sz w:val="15"/>
        </w:rPr>
        <w:t>discriminación</w:t>
      </w:r>
      <w:r>
        <w:rPr>
          <w:spacing w:val="-9"/>
          <w:w w:val="105"/>
          <w:sz w:val="15"/>
        </w:rPr>
        <w:t xml:space="preserve"> </w:t>
      </w:r>
      <w:r>
        <w:rPr>
          <w:w w:val="105"/>
          <w:sz w:val="15"/>
        </w:rPr>
        <w:t>directa</w:t>
      </w:r>
      <w:r>
        <w:rPr>
          <w:spacing w:val="-9"/>
          <w:w w:val="105"/>
          <w:sz w:val="15"/>
        </w:rPr>
        <w:t xml:space="preserve"> </w:t>
      </w:r>
      <w:r>
        <w:rPr>
          <w:w w:val="105"/>
          <w:sz w:val="15"/>
        </w:rPr>
        <w:t>sólo</w:t>
      </w:r>
      <w:r>
        <w:rPr>
          <w:spacing w:val="-9"/>
          <w:w w:val="105"/>
          <w:sz w:val="15"/>
        </w:rPr>
        <w:t xml:space="preserve"> </w:t>
      </w:r>
      <w:r>
        <w:rPr>
          <w:w w:val="105"/>
          <w:sz w:val="15"/>
        </w:rPr>
        <w:t>puede</w:t>
      </w:r>
      <w:r>
        <w:rPr>
          <w:spacing w:val="-9"/>
          <w:w w:val="105"/>
          <w:sz w:val="15"/>
        </w:rPr>
        <w:t xml:space="preserve"> </w:t>
      </w:r>
      <w:r>
        <w:rPr>
          <w:w w:val="105"/>
          <w:sz w:val="15"/>
        </w:rPr>
        <w:t>justificarse en casos muy excepcionales.</w:t>
      </w:r>
    </w:p>
    <w:p w14:paraId="23E71918" w14:textId="77777777" w:rsidR="0014798C" w:rsidRDefault="0014798C">
      <w:pPr>
        <w:pStyle w:val="Textoindependiente"/>
        <w:spacing w:before="123"/>
        <w:rPr>
          <w:sz w:val="27"/>
        </w:rPr>
      </w:pPr>
    </w:p>
    <w:p w14:paraId="73BA830F" w14:textId="77777777" w:rsidR="0014798C" w:rsidRDefault="004E1F0B">
      <w:pPr>
        <w:numPr>
          <w:ilvl w:val="0"/>
          <w:numId w:val="97"/>
        </w:numPr>
        <w:tabs>
          <w:tab w:val="left" w:pos="1453"/>
        </w:tabs>
        <w:ind w:left="1453" w:hanging="333"/>
        <w:rPr>
          <w:color w:val="0075BF"/>
          <w:sz w:val="27"/>
        </w:rPr>
      </w:pPr>
      <w:r>
        <w:rPr>
          <w:color w:val="0075BF"/>
          <w:sz w:val="27"/>
        </w:rPr>
        <w:t>Acción</w:t>
      </w:r>
      <w:r>
        <w:rPr>
          <w:color w:val="0075BF"/>
          <w:spacing w:val="3"/>
          <w:sz w:val="27"/>
        </w:rPr>
        <w:t xml:space="preserve"> </w:t>
      </w:r>
      <w:r>
        <w:rPr>
          <w:color w:val="0075BF"/>
          <w:spacing w:val="-2"/>
          <w:sz w:val="27"/>
        </w:rPr>
        <w:t>positiva</w:t>
      </w:r>
    </w:p>
    <w:p w14:paraId="5542D261" w14:textId="77777777" w:rsidR="0014798C" w:rsidRDefault="0014798C">
      <w:pPr>
        <w:pStyle w:val="Textoindependiente"/>
        <w:spacing w:before="104"/>
        <w:rPr>
          <w:sz w:val="15"/>
        </w:rPr>
      </w:pPr>
    </w:p>
    <w:p w14:paraId="7F8DBDDC" w14:textId="77777777" w:rsidR="0014798C" w:rsidRDefault="004E1F0B">
      <w:pPr>
        <w:spacing w:before="1" w:line="348" w:lineRule="auto"/>
        <w:ind w:left="1108" w:right="1166" w:firstLine="6"/>
        <w:rPr>
          <w:sz w:val="15"/>
        </w:rPr>
      </w:pPr>
      <w:r>
        <w:rPr>
          <w:w w:val="105"/>
          <w:sz w:val="15"/>
        </w:rPr>
        <w:t>Una</w:t>
      </w:r>
      <w:r>
        <w:rPr>
          <w:spacing w:val="-4"/>
          <w:w w:val="105"/>
          <w:sz w:val="15"/>
        </w:rPr>
        <w:t xml:space="preserve"> </w:t>
      </w:r>
      <w:r>
        <w:rPr>
          <w:w w:val="105"/>
          <w:sz w:val="15"/>
        </w:rPr>
        <w:t>legislación</w:t>
      </w:r>
      <w:r>
        <w:rPr>
          <w:spacing w:val="-4"/>
          <w:w w:val="105"/>
          <w:sz w:val="15"/>
        </w:rPr>
        <w:t xml:space="preserve"> </w:t>
      </w:r>
      <w:r>
        <w:rPr>
          <w:w w:val="105"/>
          <w:sz w:val="15"/>
        </w:rPr>
        <w:t>integral</w:t>
      </w:r>
      <w:r>
        <w:rPr>
          <w:spacing w:val="-4"/>
          <w:w w:val="105"/>
          <w:sz w:val="15"/>
        </w:rPr>
        <w:t xml:space="preserve"> </w:t>
      </w:r>
      <w:r>
        <w:rPr>
          <w:w w:val="105"/>
          <w:sz w:val="15"/>
        </w:rPr>
        <w:t>contra</w:t>
      </w:r>
      <w:r>
        <w:rPr>
          <w:spacing w:val="-4"/>
          <w:w w:val="105"/>
          <w:sz w:val="15"/>
        </w:rPr>
        <w:t xml:space="preserve"> </w:t>
      </w:r>
      <w:r>
        <w:rPr>
          <w:w w:val="105"/>
          <w:sz w:val="15"/>
        </w:rPr>
        <w:t>la</w:t>
      </w:r>
      <w:r>
        <w:rPr>
          <w:spacing w:val="-4"/>
          <w:w w:val="105"/>
          <w:sz w:val="15"/>
        </w:rPr>
        <w:t xml:space="preserve"> </w:t>
      </w:r>
      <w:r>
        <w:rPr>
          <w:w w:val="105"/>
          <w:sz w:val="15"/>
        </w:rPr>
        <w:t>discriminación</w:t>
      </w:r>
      <w:r>
        <w:rPr>
          <w:spacing w:val="-4"/>
          <w:w w:val="105"/>
          <w:sz w:val="15"/>
        </w:rPr>
        <w:t xml:space="preserve"> </w:t>
      </w:r>
      <w:r>
        <w:rPr>
          <w:w w:val="105"/>
          <w:sz w:val="15"/>
        </w:rPr>
        <w:t>debe</w:t>
      </w:r>
      <w:r>
        <w:rPr>
          <w:spacing w:val="-4"/>
          <w:w w:val="105"/>
          <w:sz w:val="15"/>
        </w:rPr>
        <w:t xml:space="preserve"> </w:t>
      </w:r>
      <w:r>
        <w:rPr>
          <w:w w:val="105"/>
          <w:sz w:val="15"/>
        </w:rPr>
        <w:t>permitir</w:t>
      </w:r>
      <w:r>
        <w:rPr>
          <w:spacing w:val="-4"/>
          <w:w w:val="105"/>
          <w:sz w:val="15"/>
        </w:rPr>
        <w:t xml:space="preserve"> </w:t>
      </w:r>
      <w:r>
        <w:rPr>
          <w:w w:val="105"/>
          <w:sz w:val="15"/>
        </w:rPr>
        <w:t>y</w:t>
      </w:r>
      <w:r>
        <w:rPr>
          <w:spacing w:val="-4"/>
          <w:w w:val="105"/>
          <w:sz w:val="15"/>
        </w:rPr>
        <w:t xml:space="preserve"> </w:t>
      </w:r>
      <w:r>
        <w:rPr>
          <w:w w:val="105"/>
          <w:sz w:val="15"/>
        </w:rPr>
        <w:t>exigir</w:t>
      </w:r>
      <w:r>
        <w:rPr>
          <w:spacing w:val="-4"/>
          <w:w w:val="105"/>
          <w:sz w:val="15"/>
        </w:rPr>
        <w:t xml:space="preserve"> </w:t>
      </w:r>
      <w:r>
        <w:rPr>
          <w:w w:val="105"/>
          <w:sz w:val="15"/>
        </w:rPr>
        <w:t>explícitamente</w:t>
      </w:r>
      <w:r>
        <w:rPr>
          <w:spacing w:val="-4"/>
          <w:w w:val="105"/>
          <w:sz w:val="15"/>
        </w:rPr>
        <w:t xml:space="preserve"> </w:t>
      </w:r>
      <w:r>
        <w:rPr>
          <w:w w:val="105"/>
          <w:sz w:val="15"/>
        </w:rPr>
        <w:t>la</w:t>
      </w:r>
      <w:r>
        <w:rPr>
          <w:spacing w:val="-4"/>
          <w:w w:val="105"/>
          <w:sz w:val="15"/>
        </w:rPr>
        <w:t xml:space="preserve"> </w:t>
      </w:r>
      <w:r>
        <w:rPr>
          <w:w w:val="105"/>
          <w:sz w:val="15"/>
        </w:rPr>
        <w:t>adopción</w:t>
      </w:r>
      <w:r>
        <w:rPr>
          <w:spacing w:val="-4"/>
          <w:w w:val="105"/>
          <w:sz w:val="15"/>
        </w:rPr>
        <w:t xml:space="preserve"> </w:t>
      </w:r>
      <w:r>
        <w:rPr>
          <w:w w:val="105"/>
          <w:sz w:val="15"/>
        </w:rPr>
        <w:t>de</w:t>
      </w:r>
      <w:r>
        <w:rPr>
          <w:spacing w:val="-4"/>
          <w:w w:val="105"/>
          <w:sz w:val="15"/>
        </w:rPr>
        <w:t xml:space="preserve"> </w:t>
      </w:r>
      <w:r>
        <w:rPr>
          <w:w w:val="105"/>
          <w:sz w:val="15"/>
        </w:rPr>
        <w:t>medidas</w:t>
      </w:r>
      <w:r>
        <w:rPr>
          <w:spacing w:val="-4"/>
          <w:w w:val="105"/>
          <w:sz w:val="15"/>
        </w:rPr>
        <w:t xml:space="preserve"> </w:t>
      </w:r>
      <w:r>
        <w:rPr>
          <w:w w:val="105"/>
          <w:sz w:val="15"/>
        </w:rPr>
        <w:t>de</w:t>
      </w:r>
      <w:r>
        <w:rPr>
          <w:spacing w:val="-4"/>
          <w:w w:val="105"/>
          <w:sz w:val="15"/>
        </w:rPr>
        <w:t xml:space="preserve"> </w:t>
      </w:r>
      <w:r>
        <w:rPr>
          <w:w w:val="105"/>
          <w:sz w:val="15"/>
        </w:rPr>
        <w:t>acción</w:t>
      </w:r>
      <w:r>
        <w:rPr>
          <w:spacing w:val="-4"/>
          <w:w w:val="105"/>
          <w:sz w:val="15"/>
        </w:rPr>
        <w:t xml:space="preserve"> </w:t>
      </w:r>
      <w:r>
        <w:rPr>
          <w:w w:val="105"/>
          <w:sz w:val="15"/>
        </w:rPr>
        <w:t>positiva.</w:t>
      </w:r>
      <w:r>
        <w:rPr>
          <w:spacing w:val="-3"/>
          <w:w w:val="105"/>
          <w:sz w:val="15"/>
        </w:rPr>
        <w:t xml:space="preserve"> </w:t>
      </w:r>
      <w:r>
        <w:rPr>
          <w:w w:val="105"/>
          <w:sz w:val="15"/>
        </w:rPr>
        <w:t>La acción</w:t>
      </w:r>
      <w:r>
        <w:rPr>
          <w:spacing w:val="-3"/>
          <w:w w:val="105"/>
          <w:sz w:val="15"/>
        </w:rPr>
        <w:t xml:space="preserve"> </w:t>
      </w:r>
      <w:r>
        <w:rPr>
          <w:w w:val="105"/>
          <w:sz w:val="15"/>
        </w:rPr>
        <w:t>positiva</w:t>
      </w:r>
      <w:r>
        <w:rPr>
          <w:spacing w:val="-3"/>
          <w:w w:val="105"/>
          <w:sz w:val="15"/>
        </w:rPr>
        <w:t xml:space="preserve"> </w:t>
      </w:r>
      <w:r>
        <w:rPr>
          <w:w w:val="105"/>
          <w:sz w:val="15"/>
        </w:rPr>
        <w:t>–a</w:t>
      </w:r>
      <w:r>
        <w:rPr>
          <w:spacing w:val="-3"/>
          <w:w w:val="105"/>
          <w:sz w:val="15"/>
        </w:rPr>
        <w:t xml:space="preserve"> </w:t>
      </w:r>
      <w:r>
        <w:rPr>
          <w:w w:val="105"/>
          <w:sz w:val="15"/>
        </w:rPr>
        <w:t>veces</w:t>
      </w:r>
      <w:r>
        <w:rPr>
          <w:spacing w:val="-3"/>
          <w:w w:val="105"/>
          <w:sz w:val="15"/>
        </w:rPr>
        <w:t xml:space="preserve"> </w:t>
      </w:r>
      <w:r>
        <w:rPr>
          <w:w w:val="105"/>
          <w:sz w:val="15"/>
        </w:rPr>
        <w:t>denominada</w:t>
      </w:r>
      <w:r>
        <w:rPr>
          <w:spacing w:val="-3"/>
          <w:w w:val="105"/>
          <w:sz w:val="15"/>
        </w:rPr>
        <w:t xml:space="preserve"> </w:t>
      </w:r>
      <w:r>
        <w:rPr>
          <w:w w:val="105"/>
          <w:sz w:val="15"/>
        </w:rPr>
        <w:t>acción</w:t>
      </w:r>
      <w:r>
        <w:rPr>
          <w:spacing w:val="-3"/>
          <w:w w:val="105"/>
          <w:sz w:val="15"/>
        </w:rPr>
        <w:t xml:space="preserve"> </w:t>
      </w:r>
      <w:r>
        <w:rPr>
          <w:w w:val="105"/>
          <w:sz w:val="15"/>
        </w:rPr>
        <w:t>afirmativa,</w:t>
      </w:r>
      <w:r>
        <w:rPr>
          <w:spacing w:val="-2"/>
          <w:w w:val="105"/>
          <w:sz w:val="15"/>
        </w:rPr>
        <w:t xml:space="preserve"> </w:t>
      </w:r>
      <w:r>
        <w:rPr>
          <w:w w:val="105"/>
          <w:sz w:val="15"/>
        </w:rPr>
        <w:t>medidas</w:t>
      </w:r>
      <w:r>
        <w:rPr>
          <w:spacing w:val="-3"/>
          <w:w w:val="105"/>
          <w:sz w:val="15"/>
        </w:rPr>
        <w:t xml:space="preserve"> </w:t>
      </w:r>
      <w:r>
        <w:rPr>
          <w:w w:val="105"/>
          <w:sz w:val="15"/>
        </w:rPr>
        <w:t>específicas</w:t>
      </w:r>
      <w:r>
        <w:rPr>
          <w:spacing w:val="-3"/>
          <w:w w:val="105"/>
          <w:sz w:val="15"/>
        </w:rPr>
        <w:t xml:space="preserve"> </w:t>
      </w:r>
      <w:r>
        <w:rPr>
          <w:w w:val="105"/>
          <w:sz w:val="15"/>
        </w:rPr>
        <w:t>o</w:t>
      </w:r>
      <w:r>
        <w:rPr>
          <w:spacing w:val="-3"/>
          <w:w w:val="105"/>
          <w:sz w:val="15"/>
        </w:rPr>
        <w:t xml:space="preserve"> </w:t>
      </w:r>
      <w:r>
        <w:rPr>
          <w:w w:val="105"/>
          <w:sz w:val="15"/>
        </w:rPr>
        <w:t>medidas</w:t>
      </w:r>
      <w:r>
        <w:rPr>
          <w:spacing w:val="-3"/>
          <w:w w:val="105"/>
          <w:sz w:val="15"/>
        </w:rPr>
        <w:t xml:space="preserve"> </w:t>
      </w:r>
      <w:r>
        <w:rPr>
          <w:w w:val="105"/>
          <w:sz w:val="15"/>
        </w:rPr>
        <w:t>especiales</w:t>
      </w:r>
      <w:r>
        <w:rPr>
          <w:spacing w:val="-3"/>
          <w:w w:val="105"/>
          <w:sz w:val="15"/>
        </w:rPr>
        <w:t xml:space="preserve"> </w:t>
      </w:r>
      <w:r>
        <w:rPr>
          <w:w w:val="105"/>
          <w:sz w:val="15"/>
        </w:rPr>
        <w:t>de</w:t>
      </w:r>
      <w:r>
        <w:rPr>
          <w:spacing w:val="-3"/>
          <w:w w:val="105"/>
          <w:sz w:val="15"/>
        </w:rPr>
        <w:t xml:space="preserve"> </w:t>
      </w:r>
      <w:r>
        <w:rPr>
          <w:w w:val="105"/>
          <w:sz w:val="15"/>
        </w:rPr>
        <w:t>carácter</w:t>
      </w:r>
      <w:r>
        <w:rPr>
          <w:spacing w:val="-3"/>
          <w:w w:val="105"/>
          <w:sz w:val="15"/>
        </w:rPr>
        <w:t xml:space="preserve"> </w:t>
      </w:r>
      <w:r>
        <w:rPr>
          <w:w w:val="105"/>
          <w:sz w:val="15"/>
        </w:rPr>
        <w:t>temporal–</w:t>
      </w:r>
      <w:r>
        <w:rPr>
          <w:spacing w:val="-3"/>
          <w:w w:val="105"/>
          <w:sz w:val="15"/>
        </w:rPr>
        <w:t xml:space="preserve"> </w:t>
      </w:r>
      <w:r>
        <w:rPr>
          <w:w w:val="105"/>
          <w:sz w:val="15"/>
        </w:rPr>
        <w:t>incluye cualquier</w:t>
      </w:r>
      <w:r>
        <w:rPr>
          <w:spacing w:val="-9"/>
          <w:w w:val="105"/>
          <w:sz w:val="15"/>
        </w:rPr>
        <w:t xml:space="preserve"> </w:t>
      </w:r>
      <w:r>
        <w:rPr>
          <w:w w:val="105"/>
          <w:sz w:val="15"/>
        </w:rPr>
        <w:t>medida</w:t>
      </w:r>
      <w:r>
        <w:rPr>
          <w:spacing w:val="-9"/>
          <w:w w:val="105"/>
          <w:sz w:val="15"/>
        </w:rPr>
        <w:t xml:space="preserve"> </w:t>
      </w:r>
      <w:r>
        <w:rPr>
          <w:w w:val="105"/>
          <w:sz w:val="15"/>
        </w:rPr>
        <w:t>específica</w:t>
      </w:r>
      <w:r>
        <w:rPr>
          <w:spacing w:val="-9"/>
          <w:w w:val="105"/>
          <w:sz w:val="15"/>
        </w:rPr>
        <w:t xml:space="preserve"> </w:t>
      </w:r>
      <w:r>
        <w:rPr>
          <w:w w:val="105"/>
          <w:sz w:val="15"/>
        </w:rPr>
        <w:t>desarrollada</w:t>
      </w:r>
      <w:r>
        <w:rPr>
          <w:spacing w:val="-9"/>
          <w:w w:val="105"/>
          <w:sz w:val="15"/>
        </w:rPr>
        <w:t xml:space="preserve"> </w:t>
      </w:r>
      <w:r>
        <w:rPr>
          <w:w w:val="105"/>
          <w:sz w:val="15"/>
        </w:rPr>
        <w:t>con</w:t>
      </w:r>
      <w:r>
        <w:rPr>
          <w:spacing w:val="-9"/>
          <w:w w:val="105"/>
          <w:sz w:val="15"/>
        </w:rPr>
        <w:t xml:space="preserve"> </w:t>
      </w:r>
      <w:r>
        <w:rPr>
          <w:w w:val="105"/>
          <w:sz w:val="15"/>
        </w:rPr>
        <w:t>el</w:t>
      </w:r>
      <w:r>
        <w:rPr>
          <w:spacing w:val="-9"/>
          <w:w w:val="105"/>
          <w:sz w:val="15"/>
        </w:rPr>
        <w:t xml:space="preserve"> </w:t>
      </w:r>
      <w:r>
        <w:rPr>
          <w:w w:val="105"/>
          <w:sz w:val="15"/>
        </w:rPr>
        <w:t>propósito</w:t>
      </w:r>
      <w:r>
        <w:rPr>
          <w:spacing w:val="-9"/>
          <w:w w:val="105"/>
          <w:sz w:val="15"/>
        </w:rPr>
        <w:t xml:space="preserve"> </w:t>
      </w:r>
      <w:r>
        <w:rPr>
          <w:w w:val="105"/>
          <w:sz w:val="15"/>
        </w:rPr>
        <w:t>de</w:t>
      </w:r>
      <w:r>
        <w:rPr>
          <w:spacing w:val="-9"/>
          <w:w w:val="105"/>
          <w:sz w:val="15"/>
        </w:rPr>
        <w:t xml:space="preserve"> </w:t>
      </w:r>
      <w:r>
        <w:rPr>
          <w:w w:val="105"/>
          <w:sz w:val="15"/>
        </w:rPr>
        <w:t>promover</w:t>
      </w:r>
      <w:r>
        <w:rPr>
          <w:spacing w:val="-9"/>
          <w:w w:val="105"/>
          <w:sz w:val="15"/>
        </w:rPr>
        <w:t xml:space="preserve"> </w:t>
      </w:r>
      <w:r>
        <w:rPr>
          <w:w w:val="105"/>
          <w:sz w:val="15"/>
        </w:rPr>
        <w:t>o</w:t>
      </w:r>
      <w:r>
        <w:rPr>
          <w:spacing w:val="-9"/>
          <w:w w:val="105"/>
          <w:sz w:val="15"/>
        </w:rPr>
        <w:t xml:space="preserve"> </w:t>
      </w:r>
      <w:r>
        <w:rPr>
          <w:w w:val="105"/>
          <w:sz w:val="15"/>
        </w:rPr>
        <w:t>lograr</w:t>
      </w:r>
      <w:r>
        <w:rPr>
          <w:spacing w:val="-9"/>
          <w:w w:val="105"/>
          <w:sz w:val="15"/>
        </w:rPr>
        <w:t xml:space="preserve"> </w:t>
      </w:r>
      <w:r>
        <w:rPr>
          <w:w w:val="105"/>
          <w:sz w:val="15"/>
        </w:rPr>
        <w:t>la</w:t>
      </w:r>
      <w:r>
        <w:rPr>
          <w:spacing w:val="-9"/>
          <w:w w:val="105"/>
          <w:sz w:val="15"/>
        </w:rPr>
        <w:t xml:space="preserve"> </w:t>
      </w:r>
      <w:r>
        <w:rPr>
          <w:w w:val="105"/>
          <w:sz w:val="15"/>
        </w:rPr>
        <w:t>igualdad</w:t>
      </w:r>
      <w:r>
        <w:rPr>
          <w:spacing w:val="-9"/>
          <w:w w:val="105"/>
          <w:sz w:val="15"/>
        </w:rPr>
        <w:t xml:space="preserve"> </w:t>
      </w:r>
      <w:r>
        <w:rPr>
          <w:w w:val="105"/>
          <w:sz w:val="15"/>
        </w:rPr>
        <w:t>y</w:t>
      </w:r>
      <w:r>
        <w:rPr>
          <w:spacing w:val="-9"/>
          <w:w w:val="105"/>
          <w:sz w:val="15"/>
        </w:rPr>
        <w:t xml:space="preserve"> </w:t>
      </w:r>
      <w:r>
        <w:rPr>
          <w:w w:val="105"/>
          <w:sz w:val="15"/>
        </w:rPr>
        <w:t>reparar</w:t>
      </w:r>
      <w:r>
        <w:rPr>
          <w:spacing w:val="-9"/>
          <w:w w:val="105"/>
          <w:sz w:val="15"/>
        </w:rPr>
        <w:t xml:space="preserve"> </w:t>
      </w:r>
      <w:r>
        <w:rPr>
          <w:w w:val="105"/>
          <w:sz w:val="15"/>
        </w:rPr>
        <w:t>las</w:t>
      </w:r>
      <w:r>
        <w:rPr>
          <w:spacing w:val="-9"/>
          <w:w w:val="105"/>
          <w:sz w:val="15"/>
        </w:rPr>
        <w:t xml:space="preserve"> </w:t>
      </w:r>
      <w:r>
        <w:rPr>
          <w:w w:val="105"/>
          <w:sz w:val="15"/>
        </w:rPr>
        <w:t>desventajas.</w:t>
      </w:r>
      <w:r>
        <w:rPr>
          <w:spacing w:val="-8"/>
          <w:w w:val="105"/>
          <w:sz w:val="15"/>
        </w:rPr>
        <w:t xml:space="preserve"> </w:t>
      </w:r>
      <w:r>
        <w:rPr>
          <w:w w:val="105"/>
          <w:sz w:val="15"/>
        </w:rPr>
        <w:t>La</w:t>
      </w:r>
      <w:r>
        <w:rPr>
          <w:spacing w:val="-9"/>
          <w:w w:val="105"/>
          <w:sz w:val="15"/>
        </w:rPr>
        <w:t xml:space="preserve"> </w:t>
      </w:r>
      <w:r>
        <w:rPr>
          <w:w w:val="105"/>
          <w:sz w:val="15"/>
        </w:rPr>
        <w:t>acción</w:t>
      </w:r>
      <w:r>
        <w:rPr>
          <w:spacing w:val="-9"/>
          <w:w w:val="105"/>
          <w:sz w:val="15"/>
        </w:rPr>
        <w:t xml:space="preserve"> </w:t>
      </w:r>
      <w:r>
        <w:rPr>
          <w:w w:val="105"/>
          <w:sz w:val="15"/>
        </w:rPr>
        <w:t>positiva no</w:t>
      </w:r>
      <w:r>
        <w:rPr>
          <w:spacing w:val="-3"/>
          <w:w w:val="105"/>
          <w:sz w:val="15"/>
        </w:rPr>
        <w:t xml:space="preserve"> </w:t>
      </w:r>
      <w:r>
        <w:rPr>
          <w:w w:val="105"/>
          <w:sz w:val="15"/>
        </w:rPr>
        <w:t>debe</w:t>
      </w:r>
      <w:r>
        <w:rPr>
          <w:spacing w:val="-3"/>
          <w:w w:val="105"/>
          <w:sz w:val="15"/>
        </w:rPr>
        <w:t xml:space="preserve"> </w:t>
      </w:r>
      <w:r>
        <w:rPr>
          <w:w w:val="105"/>
          <w:sz w:val="15"/>
        </w:rPr>
        <w:t>dar</w:t>
      </w:r>
      <w:r>
        <w:rPr>
          <w:spacing w:val="-3"/>
          <w:w w:val="105"/>
          <w:sz w:val="15"/>
        </w:rPr>
        <w:t xml:space="preserve"> </w:t>
      </w:r>
      <w:r>
        <w:rPr>
          <w:w w:val="105"/>
          <w:sz w:val="15"/>
        </w:rPr>
        <w:t>lugar</w:t>
      </w:r>
      <w:r>
        <w:rPr>
          <w:spacing w:val="-3"/>
          <w:w w:val="105"/>
          <w:sz w:val="15"/>
        </w:rPr>
        <w:t xml:space="preserve"> </w:t>
      </w:r>
      <w:r>
        <w:rPr>
          <w:w w:val="105"/>
          <w:sz w:val="15"/>
        </w:rPr>
        <w:t>a</w:t>
      </w:r>
      <w:r>
        <w:rPr>
          <w:spacing w:val="-3"/>
          <w:w w:val="105"/>
          <w:sz w:val="15"/>
        </w:rPr>
        <w:t xml:space="preserve"> </w:t>
      </w:r>
      <w:r>
        <w:rPr>
          <w:w w:val="105"/>
          <w:sz w:val="15"/>
        </w:rPr>
        <w:t>la</w:t>
      </w:r>
      <w:r>
        <w:rPr>
          <w:spacing w:val="-3"/>
          <w:w w:val="105"/>
          <w:sz w:val="15"/>
        </w:rPr>
        <w:t xml:space="preserve"> </w:t>
      </w:r>
      <w:r>
        <w:rPr>
          <w:w w:val="105"/>
          <w:sz w:val="15"/>
        </w:rPr>
        <w:t>perpetuación</w:t>
      </w:r>
      <w:r>
        <w:rPr>
          <w:spacing w:val="-3"/>
          <w:w w:val="105"/>
          <w:sz w:val="15"/>
        </w:rPr>
        <w:t xml:space="preserve"> </w:t>
      </w:r>
      <w:r>
        <w:rPr>
          <w:w w:val="105"/>
          <w:sz w:val="15"/>
        </w:rPr>
        <w:t>del</w:t>
      </w:r>
      <w:r>
        <w:rPr>
          <w:spacing w:val="-3"/>
          <w:w w:val="105"/>
          <w:sz w:val="15"/>
        </w:rPr>
        <w:t xml:space="preserve"> </w:t>
      </w:r>
      <w:r>
        <w:rPr>
          <w:w w:val="105"/>
          <w:sz w:val="15"/>
        </w:rPr>
        <w:t>aislamiento,</w:t>
      </w:r>
      <w:r>
        <w:rPr>
          <w:spacing w:val="-2"/>
          <w:w w:val="105"/>
          <w:sz w:val="15"/>
        </w:rPr>
        <w:t xml:space="preserve"> </w:t>
      </w:r>
      <w:r>
        <w:rPr>
          <w:w w:val="105"/>
          <w:sz w:val="15"/>
        </w:rPr>
        <w:t>la</w:t>
      </w:r>
      <w:r>
        <w:rPr>
          <w:spacing w:val="-3"/>
          <w:w w:val="105"/>
          <w:sz w:val="15"/>
        </w:rPr>
        <w:t xml:space="preserve"> </w:t>
      </w:r>
      <w:r>
        <w:rPr>
          <w:w w:val="105"/>
          <w:sz w:val="15"/>
        </w:rPr>
        <w:t>segregación,</w:t>
      </w:r>
      <w:r>
        <w:rPr>
          <w:spacing w:val="-2"/>
          <w:w w:val="105"/>
          <w:sz w:val="15"/>
        </w:rPr>
        <w:t xml:space="preserve"> </w:t>
      </w:r>
      <w:r>
        <w:rPr>
          <w:w w:val="105"/>
          <w:sz w:val="15"/>
        </w:rPr>
        <w:t>los</w:t>
      </w:r>
      <w:r>
        <w:rPr>
          <w:spacing w:val="-3"/>
          <w:w w:val="105"/>
          <w:sz w:val="15"/>
        </w:rPr>
        <w:t xml:space="preserve"> </w:t>
      </w:r>
      <w:r>
        <w:rPr>
          <w:w w:val="105"/>
          <w:sz w:val="15"/>
        </w:rPr>
        <w:t>estereotipos</w:t>
      </w:r>
      <w:r>
        <w:rPr>
          <w:spacing w:val="-4"/>
          <w:w w:val="105"/>
          <w:sz w:val="15"/>
        </w:rPr>
        <w:t xml:space="preserve"> </w:t>
      </w:r>
      <w:r>
        <w:rPr>
          <w:w w:val="105"/>
          <w:sz w:val="15"/>
        </w:rPr>
        <w:t>o</w:t>
      </w:r>
      <w:r>
        <w:rPr>
          <w:spacing w:val="-3"/>
          <w:w w:val="105"/>
          <w:sz w:val="15"/>
        </w:rPr>
        <w:t xml:space="preserve"> </w:t>
      </w:r>
      <w:r>
        <w:rPr>
          <w:w w:val="105"/>
          <w:sz w:val="15"/>
        </w:rPr>
        <w:t>el</w:t>
      </w:r>
      <w:r>
        <w:rPr>
          <w:spacing w:val="-3"/>
          <w:w w:val="105"/>
          <w:sz w:val="15"/>
        </w:rPr>
        <w:t xml:space="preserve"> </w:t>
      </w:r>
      <w:r>
        <w:rPr>
          <w:w w:val="105"/>
          <w:sz w:val="15"/>
        </w:rPr>
        <w:t>estigma</w:t>
      </w:r>
      <w:r>
        <w:rPr>
          <w:spacing w:val="-3"/>
          <w:w w:val="105"/>
          <w:sz w:val="15"/>
        </w:rPr>
        <w:t xml:space="preserve"> </w:t>
      </w:r>
      <w:r>
        <w:rPr>
          <w:w w:val="105"/>
          <w:sz w:val="15"/>
        </w:rPr>
        <w:t>ni</w:t>
      </w:r>
      <w:r>
        <w:rPr>
          <w:spacing w:val="-3"/>
          <w:w w:val="105"/>
          <w:sz w:val="15"/>
        </w:rPr>
        <w:t xml:space="preserve"> </w:t>
      </w:r>
      <w:r>
        <w:rPr>
          <w:w w:val="105"/>
          <w:sz w:val="15"/>
        </w:rPr>
        <w:t>conducir</w:t>
      </w:r>
      <w:r>
        <w:rPr>
          <w:spacing w:val="-3"/>
          <w:w w:val="105"/>
          <w:sz w:val="15"/>
        </w:rPr>
        <w:t xml:space="preserve"> </w:t>
      </w:r>
      <w:r>
        <w:rPr>
          <w:w w:val="105"/>
          <w:sz w:val="15"/>
        </w:rPr>
        <w:t>al</w:t>
      </w:r>
      <w:r>
        <w:rPr>
          <w:spacing w:val="-3"/>
          <w:w w:val="105"/>
          <w:sz w:val="15"/>
        </w:rPr>
        <w:t xml:space="preserve"> </w:t>
      </w:r>
      <w:r>
        <w:rPr>
          <w:w w:val="105"/>
          <w:sz w:val="15"/>
        </w:rPr>
        <w:t>mantenimiento</w:t>
      </w:r>
      <w:r>
        <w:rPr>
          <w:spacing w:val="-3"/>
          <w:w w:val="105"/>
          <w:sz w:val="15"/>
        </w:rPr>
        <w:t xml:space="preserve"> </w:t>
      </w:r>
      <w:r>
        <w:rPr>
          <w:w w:val="105"/>
          <w:sz w:val="15"/>
        </w:rPr>
        <w:t>de normas</w:t>
      </w:r>
      <w:r>
        <w:rPr>
          <w:spacing w:val="-5"/>
          <w:w w:val="105"/>
          <w:sz w:val="15"/>
        </w:rPr>
        <w:t xml:space="preserve"> </w:t>
      </w:r>
      <w:r>
        <w:rPr>
          <w:w w:val="105"/>
          <w:sz w:val="15"/>
        </w:rPr>
        <w:t>desiguales</w:t>
      </w:r>
      <w:r>
        <w:rPr>
          <w:spacing w:val="-5"/>
          <w:w w:val="105"/>
          <w:sz w:val="15"/>
        </w:rPr>
        <w:t xml:space="preserve"> </w:t>
      </w:r>
      <w:r>
        <w:rPr>
          <w:w w:val="105"/>
          <w:sz w:val="15"/>
        </w:rPr>
        <w:t>o</w:t>
      </w:r>
      <w:r>
        <w:rPr>
          <w:spacing w:val="-5"/>
          <w:w w:val="105"/>
          <w:sz w:val="15"/>
        </w:rPr>
        <w:t xml:space="preserve"> </w:t>
      </w:r>
      <w:r>
        <w:rPr>
          <w:w w:val="105"/>
          <w:sz w:val="15"/>
        </w:rPr>
        <w:t>separadas.</w:t>
      </w:r>
      <w:r>
        <w:rPr>
          <w:spacing w:val="-5"/>
          <w:w w:val="105"/>
          <w:sz w:val="15"/>
        </w:rPr>
        <w:t xml:space="preserve"> </w:t>
      </w:r>
      <w:r>
        <w:rPr>
          <w:w w:val="105"/>
          <w:sz w:val="15"/>
        </w:rPr>
        <w:t>Las</w:t>
      </w:r>
      <w:r>
        <w:rPr>
          <w:spacing w:val="-5"/>
          <w:w w:val="105"/>
          <w:sz w:val="15"/>
        </w:rPr>
        <w:t xml:space="preserve"> </w:t>
      </w:r>
      <w:r>
        <w:rPr>
          <w:w w:val="105"/>
          <w:sz w:val="15"/>
        </w:rPr>
        <w:t>medidas</w:t>
      </w:r>
      <w:r>
        <w:rPr>
          <w:spacing w:val="-5"/>
          <w:w w:val="105"/>
          <w:sz w:val="15"/>
        </w:rPr>
        <w:t xml:space="preserve"> </w:t>
      </w:r>
      <w:r>
        <w:rPr>
          <w:w w:val="105"/>
          <w:sz w:val="15"/>
        </w:rPr>
        <w:t>de</w:t>
      </w:r>
      <w:r>
        <w:rPr>
          <w:spacing w:val="-5"/>
          <w:w w:val="105"/>
          <w:sz w:val="15"/>
        </w:rPr>
        <w:t xml:space="preserve"> </w:t>
      </w:r>
      <w:r>
        <w:rPr>
          <w:w w:val="105"/>
          <w:sz w:val="15"/>
        </w:rPr>
        <w:t>acción</w:t>
      </w:r>
      <w:r>
        <w:rPr>
          <w:spacing w:val="-5"/>
          <w:w w:val="105"/>
          <w:sz w:val="15"/>
        </w:rPr>
        <w:t xml:space="preserve"> </w:t>
      </w:r>
      <w:r>
        <w:rPr>
          <w:w w:val="105"/>
          <w:sz w:val="15"/>
        </w:rPr>
        <w:t>positiva</w:t>
      </w:r>
      <w:r>
        <w:rPr>
          <w:spacing w:val="-5"/>
          <w:w w:val="105"/>
          <w:sz w:val="15"/>
        </w:rPr>
        <w:t xml:space="preserve"> </w:t>
      </w:r>
      <w:r>
        <w:rPr>
          <w:w w:val="105"/>
          <w:sz w:val="15"/>
        </w:rPr>
        <w:t>deben</w:t>
      </w:r>
      <w:r>
        <w:rPr>
          <w:spacing w:val="-5"/>
          <w:w w:val="105"/>
          <w:sz w:val="15"/>
        </w:rPr>
        <w:t xml:space="preserve"> </w:t>
      </w:r>
      <w:r>
        <w:rPr>
          <w:w w:val="105"/>
          <w:sz w:val="15"/>
        </w:rPr>
        <w:t>tener</w:t>
      </w:r>
      <w:r>
        <w:rPr>
          <w:spacing w:val="-5"/>
          <w:w w:val="105"/>
          <w:sz w:val="15"/>
        </w:rPr>
        <w:t xml:space="preserve"> </w:t>
      </w:r>
      <w:r>
        <w:rPr>
          <w:w w:val="105"/>
          <w:sz w:val="15"/>
        </w:rPr>
        <w:t>un</w:t>
      </w:r>
      <w:r>
        <w:rPr>
          <w:spacing w:val="-5"/>
          <w:w w:val="105"/>
          <w:sz w:val="15"/>
        </w:rPr>
        <w:t xml:space="preserve"> </w:t>
      </w:r>
      <w:r>
        <w:rPr>
          <w:w w:val="105"/>
          <w:sz w:val="15"/>
        </w:rPr>
        <w:t>límite</w:t>
      </w:r>
      <w:r>
        <w:rPr>
          <w:spacing w:val="-5"/>
          <w:w w:val="105"/>
          <w:sz w:val="15"/>
        </w:rPr>
        <w:t xml:space="preserve"> </w:t>
      </w:r>
      <w:r>
        <w:rPr>
          <w:w w:val="105"/>
          <w:sz w:val="15"/>
        </w:rPr>
        <w:t>de</w:t>
      </w:r>
      <w:r>
        <w:rPr>
          <w:spacing w:val="-5"/>
          <w:w w:val="105"/>
          <w:sz w:val="15"/>
        </w:rPr>
        <w:t xml:space="preserve"> </w:t>
      </w:r>
      <w:r>
        <w:rPr>
          <w:w w:val="105"/>
          <w:sz w:val="15"/>
        </w:rPr>
        <w:t>tiempo,</w:t>
      </w:r>
      <w:r>
        <w:rPr>
          <w:spacing w:val="-5"/>
          <w:w w:val="105"/>
          <w:sz w:val="15"/>
        </w:rPr>
        <w:t xml:space="preserve"> </w:t>
      </w:r>
      <w:r>
        <w:rPr>
          <w:w w:val="105"/>
          <w:sz w:val="15"/>
        </w:rPr>
        <w:t>aunque</w:t>
      </w:r>
      <w:r>
        <w:rPr>
          <w:spacing w:val="-5"/>
          <w:w w:val="105"/>
          <w:sz w:val="15"/>
        </w:rPr>
        <w:t xml:space="preserve"> </w:t>
      </w:r>
      <w:r>
        <w:rPr>
          <w:w w:val="105"/>
          <w:sz w:val="15"/>
        </w:rPr>
        <w:t>también</w:t>
      </w:r>
      <w:r>
        <w:rPr>
          <w:spacing w:val="-5"/>
          <w:w w:val="105"/>
          <w:sz w:val="15"/>
        </w:rPr>
        <w:t xml:space="preserve"> </w:t>
      </w:r>
      <w:r>
        <w:rPr>
          <w:w w:val="105"/>
          <w:sz w:val="15"/>
        </w:rPr>
        <w:t>deben</w:t>
      </w:r>
      <w:r>
        <w:rPr>
          <w:spacing w:val="-5"/>
          <w:w w:val="105"/>
          <w:sz w:val="15"/>
        </w:rPr>
        <w:t xml:space="preserve"> </w:t>
      </w:r>
      <w:r>
        <w:rPr>
          <w:w w:val="105"/>
          <w:sz w:val="15"/>
        </w:rPr>
        <w:t>establecerse durante</w:t>
      </w:r>
      <w:r>
        <w:rPr>
          <w:spacing w:val="-3"/>
          <w:w w:val="105"/>
          <w:sz w:val="15"/>
        </w:rPr>
        <w:t xml:space="preserve"> </w:t>
      </w:r>
      <w:r>
        <w:rPr>
          <w:w w:val="105"/>
          <w:sz w:val="15"/>
        </w:rPr>
        <w:t>un</w:t>
      </w:r>
      <w:r>
        <w:rPr>
          <w:spacing w:val="-3"/>
          <w:w w:val="105"/>
          <w:sz w:val="15"/>
        </w:rPr>
        <w:t xml:space="preserve"> </w:t>
      </w:r>
      <w:r>
        <w:rPr>
          <w:w w:val="105"/>
          <w:sz w:val="15"/>
        </w:rPr>
        <w:t>tiempo</w:t>
      </w:r>
      <w:r>
        <w:rPr>
          <w:spacing w:val="-3"/>
          <w:w w:val="105"/>
          <w:sz w:val="15"/>
        </w:rPr>
        <w:t xml:space="preserve"> </w:t>
      </w:r>
      <w:r>
        <w:rPr>
          <w:w w:val="105"/>
          <w:sz w:val="15"/>
        </w:rPr>
        <w:t>suficiente</w:t>
      </w:r>
      <w:r>
        <w:rPr>
          <w:spacing w:val="-3"/>
          <w:w w:val="105"/>
          <w:sz w:val="15"/>
        </w:rPr>
        <w:t xml:space="preserve"> </w:t>
      </w:r>
      <w:r>
        <w:rPr>
          <w:w w:val="105"/>
          <w:sz w:val="15"/>
        </w:rPr>
        <w:t>para</w:t>
      </w:r>
      <w:r>
        <w:rPr>
          <w:spacing w:val="-3"/>
          <w:w w:val="105"/>
          <w:sz w:val="15"/>
        </w:rPr>
        <w:t xml:space="preserve"> </w:t>
      </w:r>
      <w:r>
        <w:rPr>
          <w:w w:val="105"/>
          <w:sz w:val="15"/>
        </w:rPr>
        <w:t>lograr</w:t>
      </w:r>
      <w:r>
        <w:rPr>
          <w:spacing w:val="-3"/>
          <w:w w:val="105"/>
          <w:sz w:val="15"/>
        </w:rPr>
        <w:t xml:space="preserve"> </w:t>
      </w:r>
      <w:r>
        <w:rPr>
          <w:w w:val="105"/>
          <w:sz w:val="15"/>
        </w:rPr>
        <w:t>un</w:t>
      </w:r>
      <w:r>
        <w:rPr>
          <w:spacing w:val="-3"/>
          <w:w w:val="105"/>
          <w:sz w:val="15"/>
        </w:rPr>
        <w:t xml:space="preserve"> </w:t>
      </w:r>
      <w:r>
        <w:rPr>
          <w:w w:val="105"/>
          <w:sz w:val="15"/>
        </w:rPr>
        <w:t>cambio</w:t>
      </w:r>
      <w:r>
        <w:rPr>
          <w:spacing w:val="-3"/>
          <w:w w:val="105"/>
          <w:sz w:val="15"/>
        </w:rPr>
        <w:t xml:space="preserve"> </w:t>
      </w:r>
      <w:r>
        <w:rPr>
          <w:w w:val="105"/>
          <w:sz w:val="15"/>
        </w:rPr>
        <w:t>positivo</w:t>
      </w:r>
      <w:r>
        <w:rPr>
          <w:spacing w:val="-3"/>
          <w:w w:val="105"/>
          <w:sz w:val="15"/>
        </w:rPr>
        <w:t xml:space="preserve"> </w:t>
      </w:r>
      <w:r>
        <w:rPr>
          <w:w w:val="105"/>
          <w:sz w:val="15"/>
        </w:rPr>
        <w:t>duradero</w:t>
      </w:r>
      <w:r>
        <w:rPr>
          <w:spacing w:val="-3"/>
          <w:w w:val="105"/>
          <w:sz w:val="15"/>
        </w:rPr>
        <w:t xml:space="preserve"> </w:t>
      </w:r>
      <w:r>
        <w:rPr>
          <w:w w:val="105"/>
          <w:sz w:val="15"/>
        </w:rPr>
        <w:t>en</w:t>
      </w:r>
      <w:r>
        <w:rPr>
          <w:spacing w:val="-3"/>
          <w:w w:val="105"/>
          <w:sz w:val="15"/>
        </w:rPr>
        <w:t xml:space="preserve"> </w:t>
      </w:r>
      <w:r>
        <w:rPr>
          <w:w w:val="105"/>
          <w:sz w:val="15"/>
        </w:rPr>
        <w:t>la</w:t>
      </w:r>
      <w:r>
        <w:rPr>
          <w:spacing w:val="-3"/>
          <w:w w:val="105"/>
          <w:sz w:val="15"/>
        </w:rPr>
        <w:t xml:space="preserve"> </w:t>
      </w:r>
      <w:r>
        <w:rPr>
          <w:w w:val="105"/>
          <w:sz w:val="15"/>
        </w:rPr>
        <w:t>eliminación</w:t>
      </w:r>
      <w:r>
        <w:rPr>
          <w:spacing w:val="-3"/>
          <w:w w:val="105"/>
          <w:sz w:val="15"/>
        </w:rPr>
        <w:t xml:space="preserve"> </w:t>
      </w:r>
      <w:r>
        <w:rPr>
          <w:w w:val="105"/>
          <w:sz w:val="15"/>
        </w:rPr>
        <w:t>de</w:t>
      </w:r>
      <w:r>
        <w:rPr>
          <w:spacing w:val="-3"/>
          <w:w w:val="105"/>
          <w:sz w:val="15"/>
        </w:rPr>
        <w:t xml:space="preserve"> </w:t>
      </w:r>
      <w:r>
        <w:rPr>
          <w:w w:val="105"/>
          <w:sz w:val="15"/>
        </w:rPr>
        <w:t>las</w:t>
      </w:r>
      <w:r>
        <w:rPr>
          <w:spacing w:val="-3"/>
          <w:w w:val="105"/>
          <w:sz w:val="15"/>
        </w:rPr>
        <w:t xml:space="preserve"> </w:t>
      </w:r>
      <w:r>
        <w:rPr>
          <w:w w:val="105"/>
          <w:sz w:val="15"/>
        </w:rPr>
        <w:t>desventajas.</w:t>
      </w:r>
    </w:p>
    <w:p w14:paraId="7BB98CF7" w14:textId="77777777" w:rsidR="0014798C" w:rsidRDefault="0014798C">
      <w:pPr>
        <w:pStyle w:val="Textoindependiente"/>
        <w:rPr>
          <w:sz w:val="15"/>
        </w:rPr>
      </w:pPr>
    </w:p>
    <w:p w14:paraId="1861DD3D" w14:textId="77777777" w:rsidR="0014798C" w:rsidRDefault="0014798C">
      <w:pPr>
        <w:pStyle w:val="Textoindependiente"/>
        <w:rPr>
          <w:sz w:val="15"/>
        </w:rPr>
      </w:pPr>
    </w:p>
    <w:p w14:paraId="7D712A39" w14:textId="77777777" w:rsidR="0014798C" w:rsidRDefault="0014798C">
      <w:pPr>
        <w:pStyle w:val="Textoindependiente"/>
        <w:rPr>
          <w:sz w:val="15"/>
        </w:rPr>
      </w:pPr>
    </w:p>
    <w:p w14:paraId="796DCE54" w14:textId="77777777" w:rsidR="0014798C" w:rsidRDefault="0014798C">
      <w:pPr>
        <w:pStyle w:val="Textoindependiente"/>
        <w:spacing w:before="10"/>
        <w:rPr>
          <w:sz w:val="15"/>
        </w:rPr>
      </w:pPr>
    </w:p>
    <w:p w14:paraId="04917603" w14:textId="77777777" w:rsidR="0014798C" w:rsidRDefault="004E1F0B">
      <w:pPr>
        <w:ind w:left="1332"/>
        <w:rPr>
          <w:sz w:val="15"/>
        </w:rPr>
      </w:pPr>
      <w:r>
        <w:rPr>
          <w:spacing w:val="-2"/>
          <w:w w:val="105"/>
          <w:sz w:val="15"/>
        </w:rPr>
        <w:t>El derecho a</w:t>
      </w:r>
      <w:r>
        <w:rPr>
          <w:spacing w:val="-1"/>
          <w:w w:val="105"/>
          <w:sz w:val="15"/>
        </w:rPr>
        <w:t xml:space="preserve"> </w:t>
      </w:r>
      <w:r>
        <w:rPr>
          <w:spacing w:val="-2"/>
          <w:w w:val="105"/>
          <w:sz w:val="15"/>
        </w:rPr>
        <w:t>la igualdad</w:t>
      </w:r>
      <w:r>
        <w:rPr>
          <w:spacing w:val="-1"/>
          <w:w w:val="105"/>
          <w:sz w:val="15"/>
        </w:rPr>
        <w:t xml:space="preserve"> </w:t>
      </w:r>
      <w:r>
        <w:rPr>
          <w:spacing w:val="-2"/>
          <w:w w:val="105"/>
          <w:sz w:val="15"/>
        </w:rPr>
        <w:t>requiere la</w:t>
      </w:r>
      <w:r>
        <w:rPr>
          <w:spacing w:val="-1"/>
          <w:w w:val="105"/>
          <w:sz w:val="15"/>
        </w:rPr>
        <w:t xml:space="preserve"> </w:t>
      </w:r>
      <w:r>
        <w:rPr>
          <w:spacing w:val="-2"/>
          <w:w w:val="105"/>
          <w:sz w:val="15"/>
        </w:rPr>
        <w:t>adopción de</w:t>
      </w:r>
      <w:r>
        <w:rPr>
          <w:spacing w:val="-1"/>
          <w:w w:val="105"/>
          <w:sz w:val="15"/>
        </w:rPr>
        <w:t xml:space="preserve"> </w:t>
      </w:r>
      <w:r>
        <w:rPr>
          <w:spacing w:val="-2"/>
          <w:w w:val="105"/>
          <w:sz w:val="15"/>
        </w:rPr>
        <w:t>acciones positivas.</w:t>
      </w:r>
    </w:p>
    <w:p w14:paraId="5B69108E" w14:textId="77777777" w:rsidR="0014798C" w:rsidRDefault="0014798C">
      <w:pPr>
        <w:pStyle w:val="Textoindependiente"/>
        <w:spacing w:before="18"/>
        <w:rPr>
          <w:sz w:val="15"/>
        </w:rPr>
      </w:pPr>
    </w:p>
    <w:p w14:paraId="68ACEBA7" w14:textId="77777777" w:rsidR="0014798C" w:rsidRDefault="004E1F0B">
      <w:pPr>
        <w:spacing w:line="348" w:lineRule="auto"/>
        <w:ind w:left="1332" w:right="1626" w:firstLine="2"/>
        <w:rPr>
          <w:sz w:val="15"/>
        </w:rPr>
      </w:pPr>
      <w:r>
        <w:rPr>
          <w:w w:val="105"/>
          <w:sz w:val="15"/>
        </w:rPr>
        <w:t>La</w:t>
      </w:r>
      <w:r>
        <w:rPr>
          <w:spacing w:val="-4"/>
          <w:w w:val="105"/>
          <w:sz w:val="15"/>
        </w:rPr>
        <w:t xml:space="preserve"> </w:t>
      </w:r>
      <w:r>
        <w:rPr>
          <w:w w:val="105"/>
          <w:sz w:val="15"/>
        </w:rPr>
        <w:t>acción</w:t>
      </w:r>
      <w:r>
        <w:rPr>
          <w:spacing w:val="-4"/>
          <w:w w:val="105"/>
          <w:sz w:val="15"/>
        </w:rPr>
        <w:t xml:space="preserve"> </w:t>
      </w:r>
      <w:r>
        <w:rPr>
          <w:w w:val="105"/>
          <w:sz w:val="15"/>
        </w:rPr>
        <w:t>positiva</w:t>
      </w:r>
      <w:r>
        <w:rPr>
          <w:spacing w:val="-4"/>
          <w:w w:val="105"/>
          <w:sz w:val="15"/>
        </w:rPr>
        <w:t xml:space="preserve"> </w:t>
      </w:r>
      <w:r>
        <w:rPr>
          <w:w w:val="105"/>
          <w:sz w:val="15"/>
        </w:rPr>
        <w:t>incluye</w:t>
      </w:r>
      <w:r>
        <w:rPr>
          <w:spacing w:val="-4"/>
          <w:w w:val="105"/>
          <w:sz w:val="15"/>
        </w:rPr>
        <w:t xml:space="preserve"> </w:t>
      </w:r>
      <w:r>
        <w:rPr>
          <w:w w:val="105"/>
          <w:sz w:val="15"/>
        </w:rPr>
        <w:t>cualquier</w:t>
      </w:r>
      <w:r>
        <w:rPr>
          <w:spacing w:val="-4"/>
          <w:w w:val="105"/>
          <w:sz w:val="15"/>
        </w:rPr>
        <w:t xml:space="preserve"> </w:t>
      </w:r>
      <w:r>
        <w:rPr>
          <w:w w:val="105"/>
          <w:sz w:val="15"/>
        </w:rPr>
        <w:t>medida</w:t>
      </w:r>
      <w:r>
        <w:rPr>
          <w:spacing w:val="-4"/>
          <w:w w:val="105"/>
          <w:sz w:val="15"/>
        </w:rPr>
        <w:t xml:space="preserve"> </w:t>
      </w:r>
      <w:r>
        <w:rPr>
          <w:w w:val="105"/>
          <w:sz w:val="15"/>
        </w:rPr>
        <w:t>legislativa,</w:t>
      </w:r>
      <w:r>
        <w:rPr>
          <w:spacing w:val="-3"/>
          <w:w w:val="105"/>
          <w:sz w:val="15"/>
        </w:rPr>
        <w:t xml:space="preserve"> </w:t>
      </w:r>
      <w:r>
        <w:rPr>
          <w:w w:val="105"/>
          <w:sz w:val="15"/>
        </w:rPr>
        <w:t>administrativa</w:t>
      </w:r>
      <w:r>
        <w:rPr>
          <w:spacing w:val="-4"/>
          <w:w w:val="105"/>
          <w:sz w:val="15"/>
        </w:rPr>
        <w:t xml:space="preserve"> </w:t>
      </w:r>
      <w:r>
        <w:rPr>
          <w:w w:val="105"/>
          <w:sz w:val="15"/>
        </w:rPr>
        <w:t>o</w:t>
      </w:r>
      <w:r>
        <w:rPr>
          <w:spacing w:val="-4"/>
          <w:w w:val="105"/>
          <w:sz w:val="15"/>
        </w:rPr>
        <w:t xml:space="preserve"> </w:t>
      </w:r>
      <w:r>
        <w:rPr>
          <w:w w:val="105"/>
          <w:sz w:val="15"/>
        </w:rPr>
        <w:t>política</w:t>
      </w:r>
      <w:r>
        <w:rPr>
          <w:spacing w:val="-4"/>
          <w:w w:val="105"/>
          <w:sz w:val="15"/>
        </w:rPr>
        <w:t xml:space="preserve"> </w:t>
      </w:r>
      <w:r>
        <w:rPr>
          <w:w w:val="105"/>
          <w:sz w:val="15"/>
        </w:rPr>
        <w:t>dirigida</w:t>
      </w:r>
      <w:r>
        <w:rPr>
          <w:spacing w:val="-4"/>
          <w:w w:val="105"/>
          <w:sz w:val="15"/>
        </w:rPr>
        <w:t xml:space="preserve"> </w:t>
      </w:r>
      <w:r>
        <w:rPr>
          <w:w w:val="105"/>
          <w:sz w:val="15"/>
        </w:rPr>
        <w:t>a</w:t>
      </w:r>
      <w:r>
        <w:rPr>
          <w:spacing w:val="-4"/>
          <w:w w:val="105"/>
          <w:sz w:val="15"/>
        </w:rPr>
        <w:t xml:space="preserve"> </w:t>
      </w:r>
      <w:r>
        <w:rPr>
          <w:w w:val="105"/>
          <w:sz w:val="15"/>
        </w:rPr>
        <w:t>reducir</w:t>
      </w:r>
      <w:r>
        <w:rPr>
          <w:spacing w:val="-4"/>
          <w:w w:val="105"/>
          <w:sz w:val="15"/>
        </w:rPr>
        <w:t xml:space="preserve"> </w:t>
      </w:r>
      <w:r>
        <w:rPr>
          <w:w w:val="105"/>
          <w:sz w:val="15"/>
        </w:rPr>
        <w:t>o</w:t>
      </w:r>
      <w:r>
        <w:rPr>
          <w:spacing w:val="-4"/>
          <w:w w:val="105"/>
          <w:sz w:val="15"/>
        </w:rPr>
        <w:t xml:space="preserve"> </w:t>
      </w:r>
      <w:r>
        <w:rPr>
          <w:w w:val="105"/>
          <w:sz w:val="15"/>
        </w:rPr>
        <w:t>superar</w:t>
      </w:r>
      <w:r>
        <w:rPr>
          <w:spacing w:val="-4"/>
          <w:w w:val="105"/>
          <w:sz w:val="15"/>
        </w:rPr>
        <w:t xml:space="preserve"> </w:t>
      </w:r>
      <w:r>
        <w:rPr>
          <w:w w:val="105"/>
          <w:sz w:val="15"/>
        </w:rPr>
        <w:t>la</w:t>
      </w:r>
      <w:r>
        <w:rPr>
          <w:spacing w:val="-4"/>
          <w:w w:val="105"/>
          <w:sz w:val="15"/>
        </w:rPr>
        <w:t xml:space="preserve"> </w:t>
      </w:r>
      <w:r>
        <w:rPr>
          <w:w w:val="105"/>
          <w:sz w:val="15"/>
        </w:rPr>
        <w:t>desigualdad</w:t>
      </w:r>
      <w:r>
        <w:rPr>
          <w:spacing w:val="-4"/>
          <w:w w:val="105"/>
          <w:sz w:val="15"/>
        </w:rPr>
        <w:t xml:space="preserve"> </w:t>
      </w:r>
      <w:r>
        <w:rPr>
          <w:w w:val="105"/>
          <w:sz w:val="15"/>
        </w:rPr>
        <w:t>y lograr</w:t>
      </w:r>
      <w:r>
        <w:rPr>
          <w:spacing w:val="-9"/>
          <w:w w:val="105"/>
          <w:sz w:val="15"/>
        </w:rPr>
        <w:t xml:space="preserve"> </w:t>
      </w:r>
      <w:r>
        <w:rPr>
          <w:w w:val="105"/>
          <w:sz w:val="15"/>
        </w:rPr>
        <w:t>la</w:t>
      </w:r>
      <w:r>
        <w:rPr>
          <w:spacing w:val="-9"/>
          <w:w w:val="105"/>
          <w:sz w:val="15"/>
        </w:rPr>
        <w:t xml:space="preserve"> </w:t>
      </w:r>
      <w:r>
        <w:rPr>
          <w:w w:val="105"/>
          <w:sz w:val="15"/>
        </w:rPr>
        <w:t>igualdad.</w:t>
      </w:r>
      <w:r>
        <w:rPr>
          <w:spacing w:val="-8"/>
          <w:w w:val="105"/>
          <w:sz w:val="15"/>
        </w:rPr>
        <w:t xml:space="preserve"> </w:t>
      </w:r>
      <w:r>
        <w:rPr>
          <w:w w:val="105"/>
          <w:sz w:val="15"/>
        </w:rPr>
        <w:t>Dichas</w:t>
      </w:r>
      <w:r>
        <w:rPr>
          <w:spacing w:val="-9"/>
          <w:w w:val="105"/>
          <w:sz w:val="15"/>
        </w:rPr>
        <w:t xml:space="preserve"> </w:t>
      </w:r>
      <w:r>
        <w:rPr>
          <w:w w:val="105"/>
          <w:sz w:val="15"/>
        </w:rPr>
        <w:t>medidas</w:t>
      </w:r>
      <w:r>
        <w:rPr>
          <w:spacing w:val="-9"/>
          <w:w w:val="105"/>
          <w:sz w:val="15"/>
        </w:rPr>
        <w:t xml:space="preserve"> </w:t>
      </w:r>
      <w:r>
        <w:rPr>
          <w:w w:val="105"/>
          <w:sz w:val="15"/>
        </w:rPr>
        <w:t>deben</w:t>
      </w:r>
      <w:r>
        <w:rPr>
          <w:spacing w:val="-9"/>
          <w:w w:val="105"/>
          <w:sz w:val="15"/>
        </w:rPr>
        <w:t xml:space="preserve"> </w:t>
      </w:r>
      <w:r>
        <w:rPr>
          <w:w w:val="105"/>
          <w:sz w:val="15"/>
        </w:rPr>
        <w:t>tener</w:t>
      </w:r>
      <w:r>
        <w:rPr>
          <w:spacing w:val="-9"/>
          <w:w w:val="105"/>
          <w:sz w:val="15"/>
        </w:rPr>
        <w:t xml:space="preserve"> </w:t>
      </w:r>
      <w:r>
        <w:rPr>
          <w:w w:val="105"/>
          <w:sz w:val="15"/>
        </w:rPr>
        <w:t>una</w:t>
      </w:r>
      <w:r>
        <w:rPr>
          <w:spacing w:val="-9"/>
          <w:w w:val="105"/>
          <w:sz w:val="15"/>
        </w:rPr>
        <w:t xml:space="preserve"> </w:t>
      </w:r>
      <w:r>
        <w:rPr>
          <w:w w:val="105"/>
          <w:sz w:val="15"/>
        </w:rPr>
        <w:t>duración</w:t>
      </w:r>
      <w:r>
        <w:rPr>
          <w:spacing w:val="-9"/>
          <w:w w:val="105"/>
          <w:sz w:val="15"/>
        </w:rPr>
        <w:t xml:space="preserve"> </w:t>
      </w:r>
      <w:r>
        <w:rPr>
          <w:w w:val="105"/>
          <w:sz w:val="15"/>
        </w:rPr>
        <w:t>limitada,</w:t>
      </w:r>
      <w:r>
        <w:rPr>
          <w:spacing w:val="-8"/>
          <w:w w:val="105"/>
          <w:sz w:val="15"/>
        </w:rPr>
        <w:t xml:space="preserve"> </w:t>
      </w:r>
      <w:r>
        <w:rPr>
          <w:w w:val="105"/>
          <w:sz w:val="15"/>
        </w:rPr>
        <w:t>estar</w:t>
      </w:r>
      <w:r>
        <w:rPr>
          <w:spacing w:val="-9"/>
          <w:w w:val="105"/>
          <w:sz w:val="15"/>
        </w:rPr>
        <w:t xml:space="preserve"> </w:t>
      </w:r>
      <w:r>
        <w:rPr>
          <w:w w:val="105"/>
          <w:sz w:val="15"/>
        </w:rPr>
        <w:t>sujetas</w:t>
      </w:r>
      <w:r>
        <w:rPr>
          <w:spacing w:val="-9"/>
          <w:w w:val="105"/>
          <w:sz w:val="15"/>
        </w:rPr>
        <w:t xml:space="preserve"> </w:t>
      </w:r>
      <w:r>
        <w:rPr>
          <w:w w:val="105"/>
          <w:sz w:val="15"/>
        </w:rPr>
        <w:t>a</w:t>
      </w:r>
      <w:r>
        <w:rPr>
          <w:spacing w:val="-9"/>
          <w:w w:val="105"/>
          <w:sz w:val="15"/>
        </w:rPr>
        <w:t xml:space="preserve"> </w:t>
      </w:r>
      <w:r>
        <w:rPr>
          <w:w w:val="105"/>
          <w:sz w:val="15"/>
        </w:rPr>
        <w:t>revisión</w:t>
      </w:r>
      <w:r>
        <w:rPr>
          <w:spacing w:val="-9"/>
          <w:w w:val="105"/>
          <w:sz w:val="15"/>
        </w:rPr>
        <w:t xml:space="preserve"> </w:t>
      </w:r>
      <w:r>
        <w:rPr>
          <w:w w:val="105"/>
          <w:sz w:val="15"/>
        </w:rPr>
        <w:t>periódica</w:t>
      </w:r>
      <w:r>
        <w:rPr>
          <w:spacing w:val="-9"/>
          <w:w w:val="105"/>
          <w:sz w:val="15"/>
        </w:rPr>
        <w:t xml:space="preserve"> </w:t>
      </w:r>
      <w:r>
        <w:rPr>
          <w:w w:val="105"/>
          <w:sz w:val="15"/>
        </w:rPr>
        <w:t>y</w:t>
      </w:r>
      <w:r>
        <w:rPr>
          <w:spacing w:val="-9"/>
          <w:w w:val="105"/>
          <w:sz w:val="15"/>
        </w:rPr>
        <w:t xml:space="preserve"> </w:t>
      </w:r>
      <w:r>
        <w:rPr>
          <w:w w:val="105"/>
          <w:sz w:val="15"/>
        </w:rPr>
        <w:t>ser</w:t>
      </w:r>
      <w:r>
        <w:rPr>
          <w:spacing w:val="-9"/>
          <w:w w:val="105"/>
          <w:sz w:val="15"/>
        </w:rPr>
        <w:t xml:space="preserve"> </w:t>
      </w:r>
      <w:r>
        <w:rPr>
          <w:w w:val="105"/>
          <w:sz w:val="15"/>
        </w:rPr>
        <w:t>proporcionales</w:t>
      </w:r>
      <w:r>
        <w:rPr>
          <w:spacing w:val="-9"/>
          <w:w w:val="105"/>
          <w:sz w:val="15"/>
        </w:rPr>
        <w:t xml:space="preserve"> </w:t>
      </w:r>
      <w:r>
        <w:rPr>
          <w:w w:val="105"/>
          <w:sz w:val="15"/>
        </w:rPr>
        <w:t>a su propósito de promover o lograr la igualdad.</w:t>
      </w:r>
    </w:p>
    <w:p w14:paraId="4CD95E3A" w14:textId="77777777" w:rsidR="0014798C" w:rsidRDefault="004E1F0B">
      <w:pPr>
        <w:spacing w:before="112" w:line="348" w:lineRule="auto"/>
        <w:ind w:left="1334" w:right="1463" w:hanging="2"/>
        <w:rPr>
          <w:sz w:val="15"/>
        </w:rPr>
      </w:pPr>
      <w:r>
        <w:rPr>
          <w:w w:val="105"/>
          <w:sz w:val="15"/>
        </w:rPr>
        <w:t>Limitado</w:t>
      </w:r>
      <w:r>
        <w:rPr>
          <w:spacing w:val="-8"/>
          <w:w w:val="105"/>
          <w:sz w:val="15"/>
        </w:rPr>
        <w:t xml:space="preserve"> </w:t>
      </w:r>
      <w:r>
        <w:rPr>
          <w:w w:val="105"/>
          <w:sz w:val="15"/>
        </w:rPr>
        <w:t>en</w:t>
      </w:r>
      <w:r>
        <w:rPr>
          <w:spacing w:val="-8"/>
          <w:w w:val="105"/>
          <w:sz w:val="15"/>
        </w:rPr>
        <w:t xml:space="preserve"> </w:t>
      </w:r>
      <w:r>
        <w:rPr>
          <w:w w:val="105"/>
          <w:sz w:val="15"/>
        </w:rPr>
        <w:t>el</w:t>
      </w:r>
      <w:r>
        <w:rPr>
          <w:spacing w:val="-8"/>
          <w:w w:val="105"/>
          <w:sz w:val="15"/>
        </w:rPr>
        <w:t xml:space="preserve"> </w:t>
      </w:r>
      <w:r>
        <w:rPr>
          <w:w w:val="105"/>
          <w:sz w:val="15"/>
        </w:rPr>
        <w:t>tiempo</w:t>
      </w:r>
      <w:r>
        <w:rPr>
          <w:spacing w:val="-8"/>
          <w:w w:val="105"/>
          <w:sz w:val="15"/>
        </w:rPr>
        <w:t xml:space="preserve"> </w:t>
      </w:r>
      <w:r>
        <w:rPr>
          <w:w w:val="105"/>
          <w:sz w:val="15"/>
        </w:rPr>
        <w:t>no</w:t>
      </w:r>
      <w:r>
        <w:rPr>
          <w:spacing w:val="-8"/>
          <w:w w:val="105"/>
          <w:sz w:val="15"/>
        </w:rPr>
        <w:t xml:space="preserve"> </w:t>
      </w:r>
      <w:r>
        <w:rPr>
          <w:w w:val="105"/>
          <w:sz w:val="15"/>
        </w:rPr>
        <w:t>debe</w:t>
      </w:r>
      <w:r>
        <w:rPr>
          <w:spacing w:val="-8"/>
          <w:w w:val="105"/>
          <w:sz w:val="15"/>
        </w:rPr>
        <w:t xml:space="preserve"> </w:t>
      </w:r>
      <w:r>
        <w:rPr>
          <w:w w:val="105"/>
          <w:sz w:val="15"/>
        </w:rPr>
        <w:t>interpretarse</w:t>
      </w:r>
      <w:r>
        <w:rPr>
          <w:spacing w:val="-8"/>
          <w:w w:val="105"/>
          <w:sz w:val="15"/>
        </w:rPr>
        <w:t xml:space="preserve"> </w:t>
      </w:r>
      <w:r>
        <w:rPr>
          <w:w w:val="105"/>
          <w:sz w:val="15"/>
        </w:rPr>
        <w:t>en</w:t>
      </w:r>
      <w:r>
        <w:rPr>
          <w:spacing w:val="-8"/>
          <w:w w:val="105"/>
          <w:sz w:val="15"/>
        </w:rPr>
        <w:t xml:space="preserve"> </w:t>
      </w:r>
      <w:r>
        <w:rPr>
          <w:w w:val="105"/>
          <w:sz w:val="15"/>
        </w:rPr>
        <w:t>el</w:t>
      </w:r>
      <w:r>
        <w:rPr>
          <w:spacing w:val="-8"/>
          <w:w w:val="105"/>
          <w:sz w:val="15"/>
        </w:rPr>
        <w:t xml:space="preserve"> </w:t>
      </w:r>
      <w:r>
        <w:rPr>
          <w:w w:val="105"/>
          <w:sz w:val="15"/>
        </w:rPr>
        <w:t>sentido</w:t>
      </w:r>
      <w:r>
        <w:rPr>
          <w:spacing w:val="-8"/>
          <w:w w:val="105"/>
          <w:sz w:val="15"/>
        </w:rPr>
        <w:t xml:space="preserve"> </w:t>
      </w:r>
      <w:r>
        <w:rPr>
          <w:w w:val="105"/>
          <w:sz w:val="15"/>
        </w:rPr>
        <w:t>de</w:t>
      </w:r>
      <w:r>
        <w:rPr>
          <w:spacing w:val="-8"/>
          <w:w w:val="105"/>
          <w:sz w:val="15"/>
        </w:rPr>
        <w:t xml:space="preserve"> </w:t>
      </w:r>
      <w:r>
        <w:rPr>
          <w:w w:val="105"/>
          <w:sz w:val="15"/>
        </w:rPr>
        <w:t>que</w:t>
      </w:r>
      <w:r>
        <w:rPr>
          <w:spacing w:val="-8"/>
          <w:w w:val="105"/>
          <w:sz w:val="15"/>
        </w:rPr>
        <w:t xml:space="preserve"> </w:t>
      </w:r>
      <w:r>
        <w:rPr>
          <w:w w:val="105"/>
          <w:sz w:val="15"/>
        </w:rPr>
        <w:t>necesariamente</w:t>
      </w:r>
      <w:r>
        <w:rPr>
          <w:spacing w:val="-8"/>
          <w:w w:val="105"/>
          <w:sz w:val="15"/>
        </w:rPr>
        <w:t xml:space="preserve"> </w:t>
      </w:r>
      <w:r>
        <w:rPr>
          <w:w w:val="105"/>
          <w:sz w:val="15"/>
        </w:rPr>
        <w:t>tenga</w:t>
      </w:r>
      <w:r>
        <w:rPr>
          <w:spacing w:val="-8"/>
          <w:w w:val="105"/>
          <w:sz w:val="15"/>
        </w:rPr>
        <w:t xml:space="preserve"> </w:t>
      </w:r>
      <w:r>
        <w:rPr>
          <w:w w:val="105"/>
          <w:sz w:val="15"/>
        </w:rPr>
        <w:t>una</w:t>
      </w:r>
      <w:r>
        <w:rPr>
          <w:spacing w:val="-8"/>
          <w:w w:val="105"/>
          <w:sz w:val="15"/>
        </w:rPr>
        <w:t xml:space="preserve"> </w:t>
      </w:r>
      <w:r>
        <w:rPr>
          <w:w w:val="105"/>
          <w:sz w:val="15"/>
        </w:rPr>
        <w:t>duración</w:t>
      </w:r>
      <w:r>
        <w:rPr>
          <w:spacing w:val="-8"/>
          <w:w w:val="105"/>
          <w:sz w:val="15"/>
        </w:rPr>
        <w:t xml:space="preserve"> </w:t>
      </w:r>
      <w:r>
        <w:rPr>
          <w:w w:val="105"/>
          <w:sz w:val="15"/>
        </w:rPr>
        <w:t>corta.</w:t>
      </w:r>
      <w:r>
        <w:rPr>
          <w:spacing w:val="-8"/>
          <w:w w:val="105"/>
          <w:sz w:val="15"/>
        </w:rPr>
        <w:t xml:space="preserve"> </w:t>
      </w:r>
      <w:r>
        <w:rPr>
          <w:w w:val="105"/>
          <w:sz w:val="15"/>
        </w:rPr>
        <w:t>Las</w:t>
      </w:r>
      <w:r>
        <w:rPr>
          <w:spacing w:val="-8"/>
          <w:w w:val="105"/>
          <w:sz w:val="15"/>
        </w:rPr>
        <w:t xml:space="preserve"> </w:t>
      </w:r>
      <w:r>
        <w:rPr>
          <w:w w:val="105"/>
          <w:sz w:val="15"/>
        </w:rPr>
        <w:t>medidas</w:t>
      </w:r>
      <w:r>
        <w:rPr>
          <w:spacing w:val="-8"/>
          <w:w w:val="105"/>
          <w:sz w:val="15"/>
        </w:rPr>
        <w:t xml:space="preserve"> </w:t>
      </w:r>
      <w:r>
        <w:rPr>
          <w:w w:val="105"/>
          <w:sz w:val="15"/>
        </w:rPr>
        <w:t>de acción positiva deben suspenderse una vez que se haya logrado su propósito.</w:t>
      </w:r>
    </w:p>
    <w:p w14:paraId="4A00BAE0" w14:textId="77777777" w:rsidR="0014798C" w:rsidRDefault="004E1F0B">
      <w:pPr>
        <w:spacing w:before="70"/>
        <w:ind w:left="1334"/>
        <w:rPr>
          <w:sz w:val="15"/>
        </w:rPr>
      </w:pPr>
      <w:r>
        <w:rPr>
          <w:spacing w:val="-2"/>
          <w:w w:val="105"/>
          <w:sz w:val="15"/>
        </w:rPr>
        <w:t>La acción positiva no equivale a discriminación.</w:t>
      </w:r>
    </w:p>
    <w:p w14:paraId="190DFB1E" w14:textId="77777777" w:rsidR="0014798C" w:rsidRDefault="0014798C">
      <w:pPr>
        <w:pStyle w:val="Textoindependiente"/>
        <w:rPr>
          <w:sz w:val="18"/>
        </w:rPr>
      </w:pPr>
    </w:p>
    <w:p w14:paraId="48677C46" w14:textId="77777777" w:rsidR="0014798C" w:rsidRDefault="0014798C">
      <w:pPr>
        <w:pStyle w:val="Textoindependiente"/>
        <w:rPr>
          <w:sz w:val="18"/>
        </w:rPr>
      </w:pPr>
    </w:p>
    <w:p w14:paraId="4517631E" w14:textId="77777777" w:rsidR="0014798C" w:rsidRDefault="0014798C">
      <w:pPr>
        <w:pStyle w:val="Textoindependiente"/>
        <w:rPr>
          <w:sz w:val="18"/>
        </w:rPr>
      </w:pPr>
    </w:p>
    <w:p w14:paraId="2D426000" w14:textId="77777777" w:rsidR="0014798C" w:rsidRDefault="0014798C">
      <w:pPr>
        <w:pStyle w:val="Textoindependiente"/>
        <w:rPr>
          <w:sz w:val="18"/>
        </w:rPr>
      </w:pPr>
    </w:p>
    <w:p w14:paraId="66699B44" w14:textId="77777777" w:rsidR="0014798C" w:rsidRDefault="0014798C">
      <w:pPr>
        <w:pStyle w:val="Textoindependiente"/>
        <w:rPr>
          <w:sz w:val="18"/>
        </w:rPr>
      </w:pPr>
    </w:p>
    <w:p w14:paraId="7C76738A" w14:textId="77777777" w:rsidR="0014798C" w:rsidRDefault="0014798C">
      <w:pPr>
        <w:pStyle w:val="Textoindependiente"/>
        <w:rPr>
          <w:sz w:val="18"/>
        </w:rPr>
      </w:pPr>
    </w:p>
    <w:p w14:paraId="673B6E4A" w14:textId="77777777" w:rsidR="0014798C" w:rsidRDefault="0014798C">
      <w:pPr>
        <w:pStyle w:val="Textoindependiente"/>
        <w:rPr>
          <w:sz w:val="18"/>
        </w:rPr>
      </w:pPr>
    </w:p>
    <w:p w14:paraId="6E030225" w14:textId="77777777" w:rsidR="0014798C" w:rsidRDefault="0014798C">
      <w:pPr>
        <w:pStyle w:val="Textoindependiente"/>
        <w:rPr>
          <w:sz w:val="18"/>
        </w:rPr>
      </w:pPr>
    </w:p>
    <w:p w14:paraId="0476298D" w14:textId="77777777" w:rsidR="0014798C" w:rsidRDefault="0014798C">
      <w:pPr>
        <w:pStyle w:val="Textoindependiente"/>
        <w:rPr>
          <w:sz w:val="18"/>
        </w:rPr>
      </w:pPr>
    </w:p>
    <w:p w14:paraId="4424AD1C" w14:textId="77777777" w:rsidR="0014798C" w:rsidRDefault="0014798C">
      <w:pPr>
        <w:pStyle w:val="Textoindependiente"/>
        <w:rPr>
          <w:sz w:val="18"/>
        </w:rPr>
      </w:pPr>
    </w:p>
    <w:p w14:paraId="4E11EF6D" w14:textId="77777777" w:rsidR="0014798C" w:rsidRDefault="0014798C">
      <w:pPr>
        <w:pStyle w:val="Textoindependiente"/>
        <w:rPr>
          <w:sz w:val="18"/>
        </w:rPr>
      </w:pPr>
    </w:p>
    <w:p w14:paraId="211B03CA" w14:textId="77777777" w:rsidR="0014798C" w:rsidRDefault="0014798C">
      <w:pPr>
        <w:pStyle w:val="Textoindependiente"/>
        <w:rPr>
          <w:sz w:val="18"/>
        </w:rPr>
      </w:pPr>
    </w:p>
    <w:p w14:paraId="246D1209" w14:textId="77777777" w:rsidR="0014798C" w:rsidRDefault="0014798C">
      <w:pPr>
        <w:pStyle w:val="Textoindependiente"/>
        <w:rPr>
          <w:sz w:val="18"/>
        </w:rPr>
      </w:pPr>
    </w:p>
    <w:p w14:paraId="075998D9" w14:textId="77777777" w:rsidR="0014798C" w:rsidRDefault="0014798C">
      <w:pPr>
        <w:pStyle w:val="Textoindependiente"/>
        <w:rPr>
          <w:sz w:val="18"/>
        </w:rPr>
      </w:pPr>
    </w:p>
    <w:p w14:paraId="13496B71" w14:textId="77777777" w:rsidR="0014798C" w:rsidRDefault="0014798C">
      <w:pPr>
        <w:pStyle w:val="Textoindependiente"/>
        <w:spacing w:before="9"/>
        <w:rPr>
          <w:sz w:val="18"/>
        </w:rPr>
      </w:pPr>
    </w:p>
    <w:p w14:paraId="02AB80C8" w14:textId="77777777" w:rsidR="0014798C" w:rsidRPr="00537489" w:rsidRDefault="004E1F0B">
      <w:pPr>
        <w:spacing w:before="1"/>
        <w:ind w:left="543"/>
        <w:rPr>
          <w:sz w:val="18"/>
          <w:lang w:val="en-US"/>
        </w:rPr>
      </w:pPr>
      <w:r w:rsidRPr="00537489">
        <w:rPr>
          <w:spacing w:val="-5"/>
          <w:sz w:val="18"/>
          <w:lang w:val="en-US"/>
        </w:rPr>
        <w:t>xiv</w:t>
      </w:r>
    </w:p>
    <w:p w14:paraId="08782B03" w14:textId="77777777" w:rsidR="0014798C" w:rsidRPr="00537489" w:rsidRDefault="0014798C">
      <w:pPr>
        <w:rPr>
          <w:sz w:val="18"/>
          <w:lang w:val="en-US"/>
        </w:rPr>
        <w:sectPr w:rsidR="0014798C" w:rsidRPr="00537489" w:rsidSect="00F265E4">
          <w:pgSz w:w="11900" w:h="16820"/>
          <w:pgMar w:top="340" w:right="0" w:bottom="280" w:left="200" w:header="121" w:footer="0" w:gutter="0"/>
          <w:cols w:space="720"/>
        </w:sectPr>
      </w:pPr>
    </w:p>
    <w:p w14:paraId="0516C7F8" w14:textId="2852F3AC" w:rsidR="0014798C" w:rsidRPr="00537489" w:rsidRDefault="004E1F0B">
      <w:pPr>
        <w:spacing w:before="76"/>
        <w:ind w:left="113"/>
        <w:rPr>
          <w:sz w:val="21"/>
          <w:lang w:val="en-US"/>
        </w:rPr>
      </w:pPr>
      <w:r>
        <w:rPr>
          <w:noProof/>
        </w:rPr>
        <w:lastRenderedPageBreak/>
        <w:drawing>
          <wp:anchor distT="0" distB="0" distL="0" distR="0" simplePos="0" relativeHeight="251658352" behindDoc="1" locked="0" layoutInCell="1" allowOverlap="1" wp14:anchorId="3E4C8324" wp14:editId="184FCC8E">
            <wp:simplePos x="0" y="0"/>
            <wp:positionH relativeFrom="page">
              <wp:posOffset>0</wp:posOffset>
            </wp:positionH>
            <wp:positionV relativeFrom="page">
              <wp:posOffset>0</wp:posOffset>
            </wp:positionV>
            <wp:extent cx="7556500" cy="10680700"/>
            <wp:effectExtent l="0" t="0" r="0" b="0"/>
            <wp:wrapNone/>
            <wp:docPr id="23" name="Image 2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3" name="Image 23"/>
                    <pic:cNvPicPr/>
                  </pic:nvPicPr>
                  <pic:blipFill>
                    <a:blip r:embed="rId29" cstate="print"/>
                    <a:stretch>
                      <a:fillRect/>
                    </a:stretch>
                  </pic:blipFill>
                  <pic:spPr>
                    <a:xfrm>
                      <a:off x="0" y="0"/>
                      <a:ext cx="7556500" cy="10680700"/>
                    </a:xfrm>
                    <a:prstGeom prst="rect">
                      <a:avLst/>
                    </a:prstGeom>
                  </pic:spPr>
                </pic:pic>
              </a:graphicData>
            </a:graphic>
          </wp:anchor>
        </w:drawing>
      </w:r>
    </w:p>
    <w:p w14:paraId="56023034" w14:textId="77777777" w:rsidR="0014798C" w:rsidRPr="00537489" w:rsidRDefault="0014798C">
      <w:pPr>
        <w:pStyle w:val="Textoindependiente"/>
        <w:spacing w:before="41"/>
        <w:rPr>
          <w:sz w:val="14"/>
          <w:lang w:val="en-US"/>
        </w:rPr>
      </w:pPr>
    </w:p>
    <w:p w14:paraId="2D00118A" w14:textId="77777777" w:rsidR="0014798C" w:rsidRPr="00537489" w:rsidRDefault="004E1F0B">
      <w:pPr>
        <w:ind w:left="1114"/>
        <w:rPr>
          <w:sz w:val="14"/>
          <w:lang w:val="en-US"/>
        </w:rPr>
      </w:pPr>
      <w:r w:rsidRPr="00537489">
        <w:rPr>
          <w:color w:val="0075BF"/>
          <w:sz w:val="14"/>
          <w:lang w:val="en-US"/>
        </w:rPr>
        <w:t>RESUMEN</w:t>
      </w:r>
      <w:r w:rsidRPr="00537489">
        <w:rPr>
          <w:color w:val="0075BF"/>
          <w:spacing w:val="15"/>
          <w:sz w:val="14"/>
          <w:lang w:val="en-US"/>
        </w:rPr>
        <w:t xml:space="preserve"> </w:t>
      </w:r>
      <w:r w:rsidRPr="00537489">
        <w:rPr>
          <w:color w:val="0075BF"/>
          <w:spacing w:val="-2"/>
          <w:sz w:val="14"/>
          <w:lang w:val="en-US"/>
        </w:rPr>
        <w:t>EJECUTIVO</w:t>
      </w:r>
    </w:p>
    <w:p w14:paraId="76AD9520" w14:textId="77777777" w:rsidR="0014798C" w:rsidRPr="00537489" w:rsidRDefault="0014798C">
      <w:pPr>
        <w:pStyle w:val="Textoindependiente"/>
        <w:rPr>
          <w:sz w:val="23"/>
          <w:lang w:val="en-US"/>
        </w:rPr>
      </w:pPr>
    </w:p>
    <w:p w14:paraId="7C3EDD17" w14:textId="77777777" w:rsidR="0014798C" w:rsidRPr="00537489" w:rsidRDefault="0014798C">
      <w:pPr>
        <w:pStyle w:val="Textoindependiente"/>
        <w:rPr>
          <w:sz w:val="23"/>
          <w:lang w:val="en-US"/>
        </w:rPr>
      </w:pPr>
    </w:p>
    <w:p w14:paraId="12B4ADED" w14:textId="77777777" w:rsidR="0014798C" w:rsidRPr="00537489" w:rsidRDefault="0014798C">
      <w:pPr>
        <w:pStyle w:val="Textoindependiente"/>
        <w:spacing w:before="214"/>
        <w:rPr>
          <w:sz w:val="23"/>
          <w:lang w:val="en-US"/>
        </w:rPr>
      </w:pPr>
    </w:p>
    <w:p w14:paraId="3881063C" w14:textId="77777777" w:rsidR="0014798C" w:rsidRDefault="004E1F0B">
      <w:pPr>
        <w:numPr>
          <w:ilvl w:val="0"/>
          <w:numId w:val="97"/>
        </w:numPr>
        <w:tabs>
          <w:tab w:val="left" w:pos="1400"/>
        </w:tabs>
        <w:ind w:left="1400" w:hanging="291"/>
        <w:rPr>
          <w:color w:val="0075BF"/>
          <w:sz w:val="23"/>
        </w:rPr>
      </w:pPr>
      <w:r>
        <w:rPr>
          <w:color w:val="0075BF"/>
          <w:sz w:val="23"/>
        </w:rPr>
        <w:t>Deberes</w:t>
      </w:r>
      <w:r>
        <w:rPr>
          <w:color w:val="0075BF"/>
          <w:spacing w:val="-2"/>
          <w:sz w:val="23"/>
        </w:rPr>
        <w:t xml:space="preserve"> </w:t>
      </w:r>
      <w:r>
        <w:rPr>
          <w:color w:val="0075BF"/>
          <w:sz w:val="23"/>
        </w:rPr>
        <w:t>de</w:t>
      </w:r>
      <w:r>
        <w:rPr>
          <w:color w:val="0075BF"/>
          <w:spacing w:val="-1"/>
          <w:sz w:val="23"/>
        </w:rPr>
        <w:t xml:space="preserve"> </w:t>
      </w:r>
      <w:r>
        <w:rPr>
          <w:color w:val="0075BF"/>
          <w:spacing w:val="-2"/>
          <w:sz w:val="23"/>
        </w:rPr>
        <w:t>igualdad</w:t>
      </w:r>
    </w:p>
    <w:p w14:paraId="48D8FAEC" w14:textId="77777777" w:rsidR="0014798C" w:rsidRDefault="0014798C">
      <w:pPr>
        <w:pStyle w:val="Textoindependiente"/>
        <w:spacing w:before="196"/>
        <w:rPr>
          <w:sz w:val="18"/>
        </w:rPr>
      </w:pPr>
    </w:p>
    <w:p w14:paraId="471F0261" w14:textId="77777777" w:rsidR="0014798C" w:rsidRDefault="004E1F0B">
      <w:pPr>
        <w:pStyle w:val="Prrafodelista"/>
        <w:numPr>
          <w:ilvl w:val="1"/>
          <w:numId w:val="97"/>
        </w:numPr>
        <w:tabs>
          <w:tab w:val="left" w:pos="1339"/>
        </w:tabs>
        <w:spacing w:before="1"/>
        <w:ind w:left="1339" w:hanging="204"/>
        <w:rPr>
          <w:color w:val="0075BF"/>
          <w:sz w:val="18"/>
        </w:rPr>
      </w:pPr>
      <w:r>
        <w:rPr>
          <w:color w:val="0075BF"/>
          <w:spacing w:val="-2"/>
          <w:sz w:val="18"/>
        </w:rPr>
        <w:t>Accesibilidad</w:t>
      </w:r>
    </w:p>
    <w:p w14:paraId="0BAB2A7E" w14:textId="77777777" w:rsidR="0014798C" w:rsidRDefault="004E1F0B">
      <w:pPr>
        <w:spacing w:before="194" w:line="307" w:lineRule="auto"/>
        <w:ind w:left="1107" w:right="1418" w:firstLine="5"/>
        <w:rPr>
          <w:sz w:val="17"/>
        </w:rPr>
      </w:pPr>
      <w:r>
        <w:rPr>
          <w:sz w:val="17"/>
        </w:rPr>
        <w:t>Los Estados tienen la obligación de garantizar el acceso, en igualdad de condiciones con los demás, al entorno físico, al transporte,</w:t>
      </w:r>
      <w:r>
        <w:rPr>
          <w:spacing w:val="-2"/>
          <w:sz w:val="17"/>
        </w:rPr>
        <w:t xml:space="preserve"> </w:t>
      </w:r>
      <w:r>
        <w:rPr>
          <w:sz w:val="17"/>
        </w:rPr>
        <w:t>a</w:t>
      </w:r>
      <w:r>
        <w:rPr>
          <w:spacing w:val="-3"/>
          <w:sz w:val="17"/>
        </w:rPr>
        <w:t xml:space="preserve"> </w:t>
      </w:r>
      <w:r>
        <w:rPr>
          <w:sz w:val="17"/>
        </w:rPr>
        <w:t>la</w:t>
      </w:r>
      <w:r>
        <w:rPr>
          <w:spacing w:val="-3"/>
          <w:sz w:val="17"/>
        </w:rPr>
        <w:t xml:space="preserve"> </w:t>
      </w:r>
      <w:r>
        <w:rPr>
          <w:sz w:val="17"/>
        </w:rPr>
        <w:t>información</w:t>
      </w:r>
      <w:r>
        <w:rPr>
          <w:spacing w:val="-3"/>
          <w:sz w:val="17"/>
        </w:rPr>
        <w:t xml:space="preserve"> </w:t>
      </w:r>
      <w:r>
        <w:rPr>
          <w:sz w:val="17"/>
        </w:rPr>
        <w:t>y</w:t>
      </w:r>
      <w:r>
        <w:rPr>
          <w:spacing w:val="-3"/>
          <w:sz w:val="17"/>
        </w:rPr>
        <w:t xml:space="preserve"> </w:t>
      </w:r>
      <w:r>
        <w:rPr>
          <w:sz w:val="17"/>
        </w:rPr>
        <w:t>las</w:t>
      </w:r>
      <w:r>
        <w:rPr>
          <w:spacing w:val="-3"/>
          <w:sz w:val="17"/>
        </w:rPr>
        <w:t xml:space="preserve"> </w:t>
      </w:r>
      <w:r>
        <w:rPr>
          <w:sz w:val="17"/>
        </w:rPr>
        <w:t>comunicaciones,</w:t>
      </w:r>
      <w:r>
        <w:rPr>
          <w:spacing w:val="-1"/>
          <w:sz w:val="17"/>
        </w:rPr>
        <w:t xml:space="preserve"> </w:t>
      </w:r>
      <w:r>
        <w:rPr>
          <w:sz w:val="17"/>
        </w:rPr>
        <w:t>y</w:t>
      </w:r>
      <w:r>
        <w:rPr>
          <w:spacing w:val="-3"/>
          <w:sz w:val="17"/>
        </w:rPr>
        <w:t xml:space="preserve"> </w:t>
      </w:r>
      <w:r>
        <w:rPr>
          <w:sz w:val="17"/>
        </w:rPr>
        <w:t>a</w:t>
      </w:r>
      <w:r>
        <w:rPr>
          <w:spacing w:val="-3"/>
          <w:sz w:val="17"/>
        </w:rPr>
        <w:t xml:space="preserve"> </w:t>
      </w:r>
      <w:r>
        <w:rPr>
          <w:sz w:val="17"/>
        </w:rPr>
        <w:t>las</w:t>
      </w:r>
      <w:r>
        <w:rPr>
          <w:spacing w:val="-3"/>
          <w:sz w:val="17"/>
        </w:rPr>
        <w:t xml:space="preserve"> </w:t>
      </w:r>
      <w:r>
        <w:rPr>
          <w:sz w:val="17"/>
        </w:rPr>
        <w:t>instalaciones</w:t>
      </w:r>
      <w:r>
        <w:rPr>
          <w:spacing w:val="-3"/>
          <w:sz w:val="17"/>
        </w:rPr>
        <w:t xml:space="preserve"> </w:t>
      </w:r>
      <w:r>
        <w:rPr>
          <w:sz w:val="17"/>
        </w:rPr>
        <w:t>y</w:t>
      </w:r>
      <w:r>
        <w:rPr>
          <w:spacing w:val="-3"/>
          <w:sz w:val="17"/>
        </w:rPr>
        <w:t xml:space="preserve"> </w:t>
      </w:r>
      <w:r>
        <w:rPr>
          <w:sz w:val="17"/>
        </w:rPr>
        <w:t>servicios.</w:t>
      </w:r>
      <w:r>
        <w:rPr>
          <w:spacing w:val="-2"/>
          <w:sz w:val="17"/>
        </w:rPr>
        <w:t xml:space="preserve"> </w:t>
      </w:r>
      <w:r>
        <w:rPr>
          <w:sz w:val="17"/>
        </w:rPr>
        <w:t>La</w:t>
      </w:r>
      <w:r>
        <w:rPr>
          <w:spacing w:val="-3"/>
          <w:sz w:val="17"/>
        </w:rPr>
        <w:t xml:space="preserve"> </w:t>
      </w:r>
      <w:r>
        <w:rPr>
          <w:sz w:val="17"/>
        </w:rPr>
        <w:t>accesibilidad</w:t>
      </w:r>
      <w:r>
        <w:rPr>
          <w:spacing w:val="-3"/>
          <w:sz w:val="17"/>
        </w:rPr>
        <w:t xml:space="preserve"> </w:t>
      </w:r>
      <w:r>
        <w:rPr>
          <w:sz w:val="17"/>
        </w:rPr>
        <w:t>es</w:t>
      </w:r>
      <w:r>
        <w:rPr>
          <w:spacing w:val="-3"/>
          <w:sz w:val="17"/>
        </w:rPr>
        <w:t xml:space="preserve"> </w:t>
      </w:r>
      <w:r>
        <w:rPr>
          <w:sz w:val="17"/>
        </w:rPr>
        <w:t>un</w:t>
      </w:r>
      <w:r>
        <w:rPr>
          <w:spacing w:val="-3"/>
          <w:sz w:val="17"/>
        </w:rPr>
        <w:t xml:space="preserve"> </w:t>
      </w:r>
      <w:r>
        <w:rPr>
          <w:sz w:val="17"/>
        </w:rPr>
        <w:t>deber</w:t>
      </w:r>
      <w:r>
        <w:rPr>
          <w:spacing w:val="-3"/>
          <w:sz w:val="17"/>
        </w:rPr>
        <w:t xml:space="preserve"> </w:t>
      </w:r>
      <w:r>
        <w:rPr>
          <w:sz w:val="17"/>
        </w:rPr>
        <w:t>proactivo y</w:t>
      </w:r>
      <w:r>
        <w:rPr>
          <w:spacing w:val="-4"/>
          <w:sz w:val="17"/>
        </w:rPr>
        <w:t xml:space="preserve"> </w:t>
      </w:r>
      <w:r>
        <w:rPr>
          <w:sz w:val="17"/>
        </w:rPr>
        <w:t>sistémico.</w:t>
      </w:r>
      <w:r>
        <w:rPr>
          <w:spacing w:val="-3"/>
          <w:sz w:val="17"/>
        </w:rPr>
        <w:t xml:space="preserve"> </w:t>
      </w:r>
      <w:r>
        <w:rPr>
          <w:sz w:val="17"/>
        </w:rPr>
        <w:t>Se</w:t>
      </w:r>
      <w:r>
        <w:rPr>
          <w:spacing w:val="-4"/>
          <w:sz w:val="17"/>
        </w:rPr>
        <w:t xml:space="preserve"> </w:t>
      </w:r>
      <w:r>
        <w:rPr>
          <w:sz w:val="17"/>
        </w:rPr>
        <w:t>trata</w:t>
      </w:r>
      <w:r>
        <w:rPr>
          <w:spacing w:val="-4"/>
          <w:sz w:val="17"/>
        </w:rPr>
        <w:t xml:space="preserve"> </w:t>
      </w:r>
      <w:r>
        <w:rPr>
          <w:sz w:val="17"/>
        </w:rPr>
        <w:t>de</w:t>
      </w:r>
      <w:r>
        <w:rPr>
          <w:spacing w:val="-4"/>
          <w:sz w:val="17"/>
        </w:rPr>
        <w:t xml:space="preserve"> </w:t>
      </w:r>
      <w:r>
        <w:rPr>
          <w:sz w:val="17"/>
        </w:rPr>
        <w:t>un</w:t>
      </w:r>
      <w:r>
        <w:rPr>
          <w:spacing w:val="-4"/>
          <w:sz w:val="17"/>
        </w:rPr>
        <w:t xml:space="preserve"> </w:t>
      </w:r>
      <w:r>
        <w:rPr>
          <w:sz w:val="17"/>
        </w:rPr>
        <w:t>deber</w:t>
      </w:r>
      <w:r>
        <w:rPr>
          <w:spacing w:val="-4"/>
          <w:sz w:val="17"/>
        </w:rPr>
        <w:t xml:space="preserve"> </w:t>
      </w:r>
      <w:r>
        <w:rPr>
          <w:sz w:val="17"/>
        </w:rPr>
        <w:t>ex</w:t>
      </w:r>
      <w:r>
        <w:rPr>
          <w:spacing w:val="-4"/>
          <w:sz w:val="17"/>
        </w:rPr>
        <w:t xml:space="preserve"> </w:t>
      </w:r>
      <w:r>
        <w:rPr>
          <w:sz w:val="17"/>
        </w:rPr>
        <w:t>ante,</w:t>
      </w:r>
      <w:r>
        <w:rPr>
          <w:spacing w:val="-3"/>
          <w:sz w:val="17"/>
        </w:rPr>
        <w:t xml:space="preserve"> </w:t>
      </w:r>
      <w:r>
        <w:rPr>
          <w:sz w:val="17"/>
        </w:rPr>
        <w:t>que</w:t>
      </w:r>
      <w:r>
        <w:rPr>
          <w:spacing w:val="-4"/>
          <w:sz w:val="17"/>
        </w:rPr>
        <w:t xml:space="preserve"> </w:t>
      </w:r>
      <w:r>
        <w:rPr>
          <w:sz w:val="17"/>
        </w:rPr>
        <w:t>existe</w:t>
      </w:r>
      <w:r>
        <w:rPr>
          <w:spacing w:val="-4"/>
          <w:sz w:val="17"/>
        </w:rPr>
        <w:t xml:space="preserve"> </w:t>
      </w:r>
      <w:r>
        <w:rPr>
          <w:sz w:val="17"/>
        </w:rPr>
        <w:t>independientemente</w:t>
      </w:r>
      <w:r>
        <w:rPr>
          <w:spacing w:val="-4"/>
          <w:sz w:val="17"/>
        </w:rPr>
        <w:t xml:space="preserve"> </w:t>
      </w:r>
      <w:r>
        <w:rPr>
          <w:sz w:val="17"/>
        </w:rPr>
        <w:t>de</w:t>
      </w:r>
      <w:r>
        <w:rPr>
          <w:spacing w:val="-4"/>
          <w:sz w:val="17"/>
        </w:rPr>
        <w:t xml:space="preserve"> </w:t>
      </w:r>
      <w:r>
        <w:rPr>
          <w:sz w:val="17"/>
        </w:rPr>
        <w:t>una</w:t>
      </w:r>
      <w:r>
        <w:rPr>
          <w:spacing w:val="-4"/>
          <w:sz w:val="17"/>
        </w:rPr>
        <w:t xml:space="preserve"> </w:t>
      </w:r>
      <w:r>
        <w:rPr>
          <w:sz w:val="17"/>
        </w:rPr>
        <w:t>solicitud</w:t>
      </w:r>
      <w:r>
        <w:rPr>
          <w:spacing w:val="-4"/>
          <w:sz w:val="17"/>
        </w:rPr>
        <w:t xml:space="preserve"> </w:t>
      </w:r>
      <w:r>
        <w:rPr>
          <w:sz w:val="17"/>
        </w:rPr>
        <w:t>individual</w:t>
      </w:r>
      <w:r>
        <w:rPr>
          <w:spacing w:val="-4"/>
          <w:sz w:val="17"/>
        </w:rPr>
        <w:t xml:space="preserve"> </w:t>
      </w:r>
      <w:r>
        <w:rPr>
          <w:sz w:val="17"/>
        </w:rPr>
        <w:t>de</w:t>
      </w:r>
      <w:r>
        <w:rPr>
          <w:spacing w:val="-4"/>
          <w:sz w:val="17"/>
        </w:rPr>
        <w:t xml:space="preserve"> </w:t>
      </w:r>
      <w:r>
        <w:rPr>
          <w:sz w:val="17"/>
        </w:rPr>
        <w:t>acceso;</w:t>
      </w:r>
      <w:r>
        <w:rPr>
          <w:spacing w:val="-3"/>
          <w:sz w:val="17"/>
        </w:rPr>
        <w:t xml:space="preserve"> </w:t>
      </w:r>
      <w:r>
        <w:rPr>
          <w:sz w:val="17"/>
        </w:rPr>
        <w:t>es</w:t>
      </w:r>
      <w:r>
        <w:rPr>
          <w:spacing w:val="-4"/>
          <w:sz w:val="17"/>
        </w:rPr>
        <w:t xml:space="preserve"> </w:t>
      </w:r>
      <w:r>
        <w:rPr>
          <w:sz w:val="17"/>
        </w:rPr>
        <w:t>un</w:t>
      </w:r>
    </w:p>
    <w:p w14:paraId="4089E2CA" w14:textId="77777777" w:rsidR="0014798C" w:rsidRDefault="004E1F0B">
      <w:pPr>
        <w:spacing w:line="194" w:lineRule="exact"/>
        <w:ind w:left="1109"/>
        <w:rPr>
          <w:sz w:val="17"/>
        </w:rPr>
      </w:pPr>
      <w:r>
        <w:rPr>
          <w:sz w:val="17"/>
        </w:rPr>
        <w:t>deber</w:t>
      </w:r>
      <w:r>
        <w:rPr>
          <w:spacing w:val="-7"/>
          <w:sz w:val="17"/>
        </w:rPr>
        <w:t xml:space="preserve"> </w:t>
      </w:r>
      <w:r>
        <w:rPr>
          <w:sz w:val="17"/>
        </w:rPr>
        <w:t>incondicional,</w:t>
      </w:r>
      <w:r>
        <w:rPr>
          <w:spacing w:val="-3"/>
          <w:sz w:val="17"/>
        </w:rPr>
        <w:t xml:space="preserve"> </w:t>
      </w:r>
      <w:r>
        <w:rPr>
          <w:sz w:val="17"/>
        </w:rPr>
        <w:t>en</w:t>
      </w:r>
      <w:r>
        <w:rPr>
          <w:spacing w:val="-5"/>
          <w:sz w:val="17"/>
        </w:rPr>
        <w:t xml:space="preserve"> </w:t>
      </w:r>
      <w:r>
        <w:rPr>
          <w:sz w:val="17"/>
        </w:rPr>
        <w:t>el</w:t>
      </w:r>
      <w:r>
        <w:rPr>
          <w:spacing w:val="-5"/>
          <w:sz w:val="17"/>
        </w:rPr>
        <w:t xml:space="preserve"> </w:t>
      </w:r>
      <w:r>
        <w:rPr>
          <w:sz w:val="17"/>
        </w:rPr>
        <w:t>sentido</w:t>
      </w:r>
      <w:r>
        <w:rPr>
          <w:spacing w:val="-4"/>
          <w:sz w:val="17"/>
        </w:rPr>
        <w:t xml:space="preserve"> </w:t>
      </w:r>
      <w:r>
        <w:rPr>
          <w:sz w:val="17"/>
        </w:rPr>
        <w:t>de</w:t>
      </w:r>
      <w:r>
        <w:rPr>
          <w:spacing w:val="-5"/>
          <w:sz w:val="17"/>
        </w:rPr>
        <w:t xml:space="preserve"> </w:t>
      </w:r>
      <w:r>
        <w:rPr>
          <w:sz w:val="17"/>
        </w:rPr>
        <w:t>que</w:t>
      </w:r>
      <w:r>
        <w:rPr>
          <w:spacing w:val="-5"/>
          <w:sz w:val="17"/>
        </w:rPr>
        <w:t xml:space="preserve"> </w:t>
      </w:r>
      <w:r>
        <w:rPr>
          <w:sz w:val="17"/>
        </w:rPr>
        <w:t>el</w:t>
      </w:r>
      <w:r>
        <w:rPr>
          <w:spacing w:val="-5"/>
          <w:sz w:val="17"/>
        </w:rPr>
        <w:t xml:space="preserve"> </w:t>
      </w:r>
      <w:r>
        <w:rPr>
          <w:sz w:val="17"/>
        </w:rPr>
        <w:t>incumplimiento</w:t>
      </w:r>
      <w:r>
        <w:rPr>
          <w:spacing w:val="-4"/>
          <w:sz w:val="17"/>
        </w:rPr>
        <w:t xml:space="preserve"> </w:t>
      </w:r>
      <w:r>
        <w:rPr>
          <w:sz w:val="17"/>
        </w:rPr>
        <w:t>no</w:t>
      </w:r>
      <w:r>
        <w:rPr>
          <w:spacing w:val="-5"/>
          <w:sz w:val="17"/>
        </w:rPr>
        <w:t xml:space="preserve"> </w:t>
      </w:r>
      <w:r>
        <w:rPr>
          <w:sz w:val="17"/>
        </w:rPr>
        <w:t>puede</w:t>
      </w:r>
      <w:r>
        <w:rPr>
          <w:spacing w:val="-5"/>
          <w:sz w:val="17"/>
        </w:rPr>
        <w:t xml:space="preserve"> </w:t>
      </w:r>
      <w:r>
        <w:rPr>
          <w:sz w:val="17"/>
        </w:rPr>
        <w:t>excusarse</w:t>
      </w:r>
      <w:r>
        <w:rPr>
          <w:spacing w:val="-5"/>
          <w:sz w:val="17"/>
        </w:rPr>
        <w:t xml:space="preserve"> </w:t>
      </w:r>
      <w:r>
        <w:rPr>
          <w:sz w:val="17"/>
        </w:rPr>
        <w:t>en</w:t>
      </w:r>
      <w:r>
        <w:rPr>
          <w:spacing w:val="-4"/>
          <w:sz w:val="17"/>
        </w:rPr>
        <w:t xml:space="preserve"> </w:t>
      </w:r>
      <w:r>
        <w:rPr>
          <w:sz w:val="17"/>
        </w:rPr>
        <w:t>referencia</w:t>
      </w:r>
      <w:r>
        <w:rPr>
          <w:spacing w:val="-5"/>
          <w:sz w:val="17"/>
        </w:rPr>
        <w:t xml:space="preserve"> </w:t>
      </w:r>
      <w:r>
        <w:rPr>
          <w:sz w:val="17"/>
        </w:rPr>
        <w:t>a</w:t>
      </w:r>
      <w:r>
        <w:rPr>
          <w:spacing w:val="-5"/>
          <w:sz w:val="17"/>
        </w:rPr>
        <w:t xml:space="preserve"> </w:t>
      </w:r>
      <w:r>
        <w:rPr>
          <w:sz w:val="17"/>
        </w:rPr>
        <w:t>la</w:t>
      </w:r>
      <w:r>
        <w:rPr>
          <w:spacing w:val="-5"/>
          <w:sz w:val="17"/>
        </w:rPr>
        <w:t xml:space="preserve"> </w:t>
      </w:r>
      <w:r>
        <w:rPr>
          <w:sz w:val="17"/>
        </w:rPr>
        <w:t>carga</w:t>
      </w:r>
      <w:r>
        <w:rPr>
          <w:spacing w:val="-4"/>
          <w:sz w:val="17"/>
        </w:rPr>
        <w:t xml:space="preserve"> </w:t>
      </w:r>
      <w:r>
        <w:rPr>
          <w:sz w:val="17"/>
        </w:rPr>
        <w:t>que</w:t>
      </w:r>
      <w:r>
        <w:rPr>
          <w:spacing w:val="-5"/>
          <w:sz w:val="17"/>
        </w:rPr>
        <w:t xml:space="preserve"> </w:t>
      </w:r>
      <w:r>
        <w:rPr>
          <w:sz w:val="17"/>
        </w:rPr>
        <w:t>soporta</w:t>
      </w:r>
      <w:r>
        <w:rPr>
          <w:spacing w:val="-5"/>
          <w:sz w:val="17"/>
        </w:rPr>
        <w:t xml:space="preserve"> </w:t>
      </w:r>
      <w:r>
        <w:rPr>
          <w:sz w:val="17"/>
        </w:rPr>
        <w:t>el</w:t>
      </w:r>
      <w:r>
        <w:rPr>
          <w:spacing w:val="-4"/>
          <w:sz w:val="17"/>
        </w:rPr>
        <w:t xml:space="preserve"> </w:t>
      </w:r>
      <w:r>
        <w:rPr>
          <w:spacing w:val="-2"/>
          <w:sz w:val="17"/>
        </w:rPr>
        <w:t>proveedor.</w:t>
      </w:r>
    </w:p>
    <w:p w14:paraId="04CE3002" w14:textId="77777777" w:rsidR="0014798C" w:rsidRDefault="0014798C">
      <w:pPr>
        <w:pStyle w:val="Textoindependiente"/>
        <w:spacing w:before="48"/>
      </w:pPr>
    </w:p>
    <w:p w14:paraId="75148148" w14:textId="77777777" w:rsidR="0014798C" w:rsidRDefault="004E1F0B">
      <w:pPr>
        <w:pStyle w:val="Textoindependiente"/>
        <w:spacing w:line="326" w:lineRule="auto"/>
        <w:ind w:left="1105" w:right="1272" w:firstLine="1"/>
      </w:pPr>
      <w:r>
        <w:rPr>
          <w:w w:val="105"/>
        </w:rPr>
        <w:t>Las</w:t>
      </w:r>
      <w:r>
        <w:rPr>
          <w:spacing w:val="-11"/>
          <w:w w:val="105"/>
        </w:rPr>
        <w:t xml:space="preserve"> </w:t>
      </w:r>
      <w:r>
        <w:rPr>
          <w:w w:val="105"/>
        </w:rPr>
        <w:t>leyes</w:t>
      </w:r>
      <w:r>
        <w:rPr>
          <w:spacing w:val="-11"/>
          <w:w w:val="105"/>
        </w:rPr>
        <w:t xml:space="preserve"> </w:t>
      </w:r>
      <w:r>
        <w:rPr>
          <w:w w:val="105"/>
        </w:rPr>
        <w:t>contra</w:t>
      </w:r>
      <w:r>
        <w:rPr>
          <w:spacing w:val="-11"/>
          <w:w w:val="105"/>
        </w:rPr>
        <w:t xml:space="preserve"> </w:t>
      </w:r>
      <w:r>
        <w:rPr>
          <w:w w:val="105"/>
        </w:rPr>
        <w:t>la</w:t>
      </w:r>
      <w:r>
        <w:rPr>
          <w:spacing w:val="-11"/>
          <w:w w:val="105"/>
        </w:rPr>
        <w:t xml:space="preserve"> </w:t>
      </w:r>
      <w:r>
        <w:rPr>
          <w:w w:val="105"/>
        </w:rPr>
        <w:t>discriminación</w:t>
      </w:r>
      <w:r>
        <w:rPr>
          <w:spacing w:val="-11"/>
          <w:w w:val="105"/>
        </w:rPr>
        <w:t xml:space="preserve"> </w:t>
      </w:r>
      <w:r>
        <w:rPr>
          <w:w w:val="105"/>
        </w:rPr>
        <w:t>deberían</w:t>
      </w:r>
      <w:r>
        <w:rPr>
          <w:spacing w:val="-11"/>
          <w:w w:val="105"/>
        </w:rPr>
        <w:t xml:space="preserve"> </w:t>
      </w:r>
      <w:r>
        <w:rPr>
          <w:w w:val="105"/>
        </w:rPr>
        <w:t>establecer</w:t>
      </w:r>
      <w:r>
        <w:rPr>
          <w:spacing w:val="-11"/>
          <w:w w:val="105"/>
        </w:rPr>
        <w:t xml:space="preserve"> </w:t>
      </w:r>
      <w:r>
        <w:rPr>
          <w:w w:val="105"/>
        </w:rPr>
        <w:t>obligaciones</w:t>
      </w:r>
      <w:r>
        <w:rPr>
          <w:spacing w:val="-11"/>
          <w:w w:val="105"/>
        </w:rPr>
        <w:t xml:space="preserve"> </w:t>
      </w:r>
      <w:r>
        <w:rPr>
          <w:w w:val="105"/>
        </w:rPr>
        <w:t>tanto</w:t>
      </w:r>
      <w:r>
        <w:rPr>
          <w:spacing w:val="-11"/>
          <w:w w:val="105"/>
        </w:rPr>
        <w:t xml:space="preserve"> </w:t>
      </w:r>
      <w:r>
        <w:rPr>
          <w:w w:val="105"/>
        </w:rPr>
        <w:t>para</w:t>
      </w:r>
      <w:r>
        <w:rPr>
          <w:spacing w:val="-11"/>
          <w:w w:val="105"/>
        </w:rPr>
        <w:t xml:space="preserve"> </w:t>
      </w:r>
      <w:r>
        <w:rPr>
          <w:w w:val="105"/>
        </w:rPr>
        <w:t>el</w:t>
      </w:r>
      <w:r>
        <w:rPr>
          <w:spacing w:val="-11"/>
          <w:w w:val="105"/>
        </w:rPr>
        <w:t xml:space="preserve"> </w:t>
      </w:r>
      <w:r>
        <w:rPr>
          <w:w w:val="105"/>
        </w:rPr>
        <w:t>Estado</w:t>
      </w:r>
      <w:r>
        <w:rPr>
          <w:spacing w:val="-11"/>
          <w:w w:val="105"/>
        </w:rPr>
        <w:t xml:space="preserve"> </w:t>
      </w:r>
      <w:r>
        <w:rPr>
          <w:w w:val="105"/>
        </w:rPr>
        <w:t>como</w:t>
      </w:r>
      <w:r>
        <w:rPr>
          <w:spacing w:val="-11"/>
          <w:w w:val="105"/>
        </w:rPr>
        <w:t xml:space="preserve"> </w:t>
      </w:r>
      <w:r>
        <w:rPr>
          <w:w w:val="105"/>
        </w:rPr>
        <w:t>para</w:t>
      </w:r>
      <w:r>
        <w:rPr>
          <w:spacing w:val="-11"/>
          <w:w w:val="105"/>
        </w:rPr>
        <w:t xml:space="preserve"> </w:t>
      </w:r>
      <w:r>
        <w:rPr>
          <w:w w:val="105"/>
        </w:rPr>
        <w:t>los</w:t>
      </w:r>
      <w:r>
        <w:rPr>
          <w:spacing w:val="-11"/>
          <w:w w:val="105"/>
        </w:rPr>
        <w:t xml:space="preserve"> </w:t>
      </w:r>
      <w:r>
        <w:rPr>
          <w:w w:val="105"/>
        </w:rPr>
        <w:t>actores</w:t>
      </w:r>
      <w:r>
        <w:rPr>
          <w:spacing w:val="-11"/>
          <w:w w:val="105"/>
        </w:rPr>
        <w:t xml:space="preserve"> </w:t>
      </w:r>
      <w:r>
        <w:rPr>
          <w:w w:val="105"/>
        </w:rPr>
        <w:t>privados</w:t>
      </w:r>
      <w:r>
        <w:rPr>
          <w:spacing w:val="-11"/>
          <w:w w:val="105"/>
        </w:rPr>
        <w:t xml:space="preserve"> </w:t>
      </w:r>
      <w:r>
        <w:rPr>
          <w:w w:val="105"/>
        </w:rPr>
        <w:t>para identificar</w:t>
      </w:r>
      <w:r>
        <w:rPr>
          <w:spacing w:val="-4"/>
          <w:w w:val="105"/>
        </w:rPr>
        <w:t xml:space="preserve"> </w:t>
      </w:r>
      <w:r>
        <w:rPr>
          <w:w w:val="105"/>
        </w:rPr>
        <w:t>y</w:t>
      </w:r>
      <w:r>
        <w:rPr>
          <w:spacing w:val="-3"/>
          <w:w w:val="105"/>
        </w:rPr>
        <w:t xml:space="preserve"> </w:t>
      </w:r>
      <w:r>
        <w:rPr>
          <w:w w:val="105"/>
        </w:rPr>
        <w:t>eliminar</w:t>
      </w:r>
      <w:r>
        <w:rPr>
          <w:spacing w:val="-3"/>
          <w:w w:val="105"/>
        </w:rPr>
        <w:t xml:space="preserve"> </w:t>
      </w:r>
      <w:r>
        <w:rPr>
          <w:w w:val="105"/>
        </w:rPr>
        <w:t>las</w:t>
      </w:r>
      <w:r>
        <w:rPr>
          <w:spacing w:val="-3"/>
          <w:w w:val="105"/>
        </w:rPr>
        <w:t xml:space="preserve"> </w:t>
      </w:r>
      <w:r>
        <w:rPr>
          <w:w w:val="105"/>
        </w:rPr>
        <w:t>barreras</w:t>
      </w:r>
      <w:r>
        <w:rPr>
          <w:spacing w:val="-3"/>
          <w:w w:val="105"/>
        </w:rPr>
        <w:t xml:space="preserve"> </w:t>
      </w:r>
      <w:r>
        <w:rPr>
          <w:w w:val="105"/>
        </w:rPr>
        <w:t>que</w:t>
      </w:r>
      <w:r>
        <w:rPr>
          <w:spacing w:val="-3"/>
          <w:w w:val="105"/>
        </w:rPr>
        <w:t xml:space="preserve"> </w:t>
      </w:r>
      <w:r>
        <w:rPr>
          <w:w w:val="105"/>
        </w:rPr>
        <w:t>impiden</w:t>
      </w:r>
      <w:r>
        <w:rPr>
          <w:spacing w:val="-3"/>
          <w:w w:val="105"/>
        </w:rPr>
        <w:t xml:space="preserve"> </w:t>
      </w:r>
      <w:r>
        <w:rPr>
          <w:w w:val="105"/>
        </w:rPr>
        <w:t>la</w:t>
      </w:r>
      <w:r>
        <w:rPr>
          <w:spacing w:val="-3"/>
          <w:w w:val="105"/>
        </w:rPr>
        <w:t xml:space="preserve"> </w:t>
      </w:r>
      <w:r>
        <w:rPr>
          <w:w w:val="105"/>
        </w:rPr>
        <w:t>igualdad</w:t>
      </w:r>
      <w:r>
        <w:rPr>
          <w:spacing w:val="-3"/>
          <w:w w:val="105"/>
        </w:rPr>
        <w:t xml:space="preserve"> </w:t>
      </w:r>
      <w:r>
        <w:rPr>
          <w:w w:val="105"/>
        </w:rPr>
        <w:t>de</w:t>
      </w:r>
      <w:r>
        <w:rPr>
          <w:spacing w:val="-3"/>
          <w:w w:val="105"/>
        </w:rPr>
        <w:t xml:space="preserve"> </w:t>
      </w:r>
      <w:r>
        <w:rPr>
          <w:w w:val="105"/>
        </w:rPr>
        <w:t>acceso.</w:t>
      </w:r>
      <w:r>
        <w:rPr>
          <w:spacing w:val="-2"/>
          <w:w w:val="105"/>
        </w:rPr>
        <w:t xml:space="preserve"> </w:t>
      </w:r>
      <w:r>
        <w:rPr>
          <w:w w:val="105"/>
        </w:rPr>
        <w:t>También</w:t>
      </w:r>
      <w:r>
        <w:rPr>
          <w:spacing w:val="-3"/>
          <w:w w:val="105"/>
        </w:rPr>
        <w:t xml:space="preserve"> </w:t>
      </w:r>
      <w:r>
        <w:rPr>
          <w:w w:val="105"/>
        </w:rPr>
        <w:t>deberían</w:t>
      </w:r>
      <w:r>
        <w:rPr>
          <w:spacing w:val="-3"/>
          <w:w w:val="105"/>
        </w:rPr>
        <w:t xml:space="preserve"> </w:t>
      </w:r>
      <w:r>
        <w:rPr>
          <w:w w:val="105"/>
        </w:rPr>
        <w:t>establecer</w:t>
      </w:r>
      <w:r>
        <w:rPr>
          <w:spacing w:val="-3"/>
          <w:w w:val="105"/>
        </w:rPr>
        <w:t xml:space="preserve"> </w:t>
      </w:r>
      <w:r>
        <w:rPr>
          <w:w w:val="105"/>
        </w:rPr>
        <w:t>el</w:t>
      </w:r>
      <w:r>
        <w:rPr>
          <w:spacing w:val="-3"/>
          <w:w w:val="105"/>
        </w:rPr>
        <w:t xml:space="preserve"> </w:t>
      </w:r>
      <w:r>
        <w:rPr>
          <w:w w:val="105"/>
        </w:rPr>
        <w:t>deber</w:t>
      </w:r>
      <w:r>
        <w:rPr>
          <w:spacing w:val="-3"/>
          <w:w w:val="105"/>
        </w:rPr>
        <w:t xml:space="preserve"> </w:t>
      </w:r>
      <w:r>
        <w:rPr>
          <w:w w:val="105"/>
        </w:rPr>
        <w:t>del</w:t>
      </w:r>
      <w:r>
        <w:rPr>
          <w:spacing w:val="-3"/>
          <w:w w:val="105"/>
        </w:rPr>
        <w:t xml:space="preserve"> </w:t>
      </w:r>
      <w:r>
        <w:rPr>
          <w:w w:val="105"/>
        </w:rPr>
        <w:t>Estado</w:t>
      </w:r>
      <w:r>
        <w:rPr>
          <w:spacing w:val="-3"/>
          <w:w w:val="105"/>
        </w:rPr>
        <w:t xml:space="preserve"> </w:t>
      </w:r>
      <w:r>
        <w:rPr>
          <w:w w:val="105"/>
        </w:rPr>
        <w:t>de desarrollar,</w:t>
      </w:r>
      <w:r>
        <w:rPr>
          <w:spacing w:val="-2"/>
          <w:w w:val="105"/>
        </w:rPr>
        <w:t xml:space="preserve"> </w:t>
      </w:r>
      <w:r>
        <w:rPr>
          <w:w w:val="105"/>
        </w:rPr>
        <w:t>promulgar</w:t>
      </w:r>
      <w:r>
        <w:rPr>
          <w:spacing w:val="-3"/>
          <w:w w:val="105"/>
        </w:rPr>
        <w:t xml:space="preserve"> </w:t>
      </w:r>
      <w:r>
        <w:rPr>
          <w:w w:val="105"/>
        </w:rPr>
        <w:t>y</w:t>
      </w:r>
      <w:r>
        <w:rPr>
          <w:spacing w:val="-3"/>
          <w:w w:val="105"/>
        </w:rPr>
        <w:t xml:space="preserve"> </w:t>
      </w:r>
      <w:r>
        <w:rPr>
          <w:w w:val="105"/>
        </w:rPr>
        <w:t>monitorear</w:t>
      </w:r>
      <w:r>
        <w:rPr>
          <w:spacing w:val="-3"/>
          <w:w w:val="105"/>
        </w:rPr>
        <w:t xml:space="preserve"> </w:t>
      </w:r>
      <w:r>
        <w:rPr>
          <w:w w:val="105"/>
        </w:rPr>
        <w:t>la</w:t>
      </w:r>
      <w:r>
        <w:rPr>
          <w:spacing w:val="-3"/>
          <w:w w:val="105"/>
        </w:rPr>
        <w:t xml:space="preserve"> </w:t>
      </w:r>
      <w:r>
        <w:rPr>
          <w:w w:val="105"/>
        </w:rPr>
        <w:t>implementación</w:t>
      </w:r>
      <w:r>
        <w:rPr>
          <w:spacing w:val="-3"/>
          <w:w w:val="105"/>
        </w:rPr>
        <w:t xml:space="preserve"> </w:t>
      </w:r>
      <w:r>
        <w:rPr>
          <w:w w:val="105"/>
        </w:rPr>
        <w:t>de</w:t>
      </w:r>
      <w:r>
        <w:rPr>
          <w:spacing w:val="-3"/>
          <w:w w:val="105"/>
        </w:rPr>
        <w:t xml:space="preserve"> </w:t>
      </w:r>
      <w:r>
        <w:rPr>
          <w:w w:val="105"/>
        </w:rPr>
        <w:t>estándares</w:t>
      </w:r>
      <w:r>
        <w:rPr>
          <w:spacing w:val="-3"/>
          <w:w w:val="105"/>
        </w:rPr>
        <w:t xml:space="preserve"> </w:t>
      </w:r>
      <w:r>
        <w:rPr>
          <w:w w:val="105"/>
        </w:rPr>
        <w:t>y</w:t>
      </w:r>
      <w:r>
        <w:rPr>
          <w:spacing w:val="-3"/>
          <w:w w:val="105"/>
        </w:rPr>
        <w:t xml:space="preserve"> </w:t>
      </w:r>
      <w:r>
        <w:rPr>
          <w:w w:val="105"/>
        </w:rPr>
        <w:t>lineamientos</w:t>
      </w:r>
      <w:r>
        <w:rPr>
          <w:spacing w:val="-3"/>
          <w:w w:val="105"/>
        </w:rPr>
        <w:t xml:space="preserve"> </w:t>
      </w:r>
      <w:r>
        <w:rPr>
          <w:w w:val="105"/>
        </w:rPr>
        <w:t>mínimos</w:t>
      </w:r>
      <w:r>
        <w:rPr>
          <w:spacing w:val="-3"/>
          <w:w w:val="105"/>
        </w:rPr>
        <w:t xml:space="preserve"> </w:t>
      </w:r>
      <w:r>
        <w:rPr>
          <w:w w:val="105"/>
        </w:rPr>
        <w:t>para</w:t>
      </w:r>
      <w:r>
        <w:rPr>
          <w:spacing w:val="-3"/>
          <w:w w:val="105"/>
        </w:rPr>
        <w:t xml:space="preserve"> </w:t>
      </w:r>
      <w:r>
        <w:rPr>
          <w:w w:val="105"/>
        </w:rPr>
        <w:t>la</w:t>
      </w:r>
      <w:r>
        <w:rPr>
          <w:spacing w:val="-3"/>
          <w:w w:val="105"/>
        </w:rPr>
        <w:t xml:space="preserve"> </w:t>
      </w:r>
      <w:r>
        <w:rPr>
          <w:w w:val="105"/>
        </w:rPr>
        <w:t>accesibilidad.</w:t>
      </w:r>
      <w:r>
        <w:rPr>
          <w:spacing w:val="-2"/>
          <w:w w:val="105"/>
        </w:rPr>
        <w:t xml:space="preserve"> </w:t>
      </w:r>
      <w:r>
        <w:rPr>
          <w:w w:val="105"/>
        </w:rPr>
        <w:t>El incumplimiento</w:t>
      </w:r>
      <w:r>
        <w:rPr>
          <w:spacing w:val="-4"/>
          <w:w w:val="105"/>
        </w:rPr>
        <w:t xml:space="preserve"> </w:t>
      </w:r>
      <w:r>
        <w:rPr>
          <w:w w:val="105"/>
        </w:rPr>
        <w:t>de</w:t>
      </w:r>
      <w:r>
        <w:rPr>
          <w:spacing w:val="-4"/>
          <w:w w:val="105"/>
        </w:rPr>
        <w:t xml:space="preserve"> </w:t>
      </w:r>
      <w:r>
        <w:rPr>
          <w:w w:val="105"/>
        </w:rPr>
        <w:t>las</w:t>
      </w:r>
      <w:r>
        <w:rPr>
          <w:spacing w:val="-4"/>
          <w:w w:val="105"/>
        </w:rPr>
        <w:t xml:space="preserve"> </w:t>
      </w:r>
      <w:r>
        <w:rPr>
          <w:w w:val="105"/>
        </w:rPr>
        <w:t>normas</w:t>
      </w:r>
      <w:r>
        <w:rPr>
          <w:spacing w:val="-4"/>
          <w:w w:val="105"/>
        </w:rPr>
        <w:t xml:space="preserve"> </w:t>
      </w:r>
      <w:r>
        <w:rPr>
          <w:w w:val="105"/>
        </w:rPr>
        <w:t>de</w:t>
      </w:r>
      <w:r>
        <w:rPr>
          <w:spacing w:val="-4"/>
          <w:w w:val="105"/>
        </w:rPr>
        <w:t xml:space="preserve"> </w:t>
      </w:r>
      <w:r>
        <w:rPr>
          <w:w w:val="105"/>
        </w:rPr>
        <w:t>accesibilidad</w:t>
      </w:r>
      <w:r>
        <w:rPr>
          <w:spacing w:val="-4"/>
          <w:w w:val="105"/>
        </w:rPr>
        <w:t xml:space="preserve"> </w:t>
      </w:r>
      <w:r>
        <w:rPr>
          <w:w w:val="105"/>
        </w:rPr>
        <w:t>es</w:t>
      </w:r>
      <w:r>
        <w:rPr>
          <w:spacing w:val="-4"/>
          <w:w w:val="105"/>
        </w:rPr>
        <w:t xml:space="preserve"> </w:t>
      </w:r>
      <w:r>
        <w:rPr>
          <w:w w:val="105"/>
        </w:rPr>
        <w:t>una</w:t>
      </w:r>
      <w:r>
        <w:rPr>
          <w:spacing w:val="-4"/>
          <w:w w:val="105"/>
        </w:rPr>
        <w:t xml:space="preserve"> </w:t>
      </w:r>
      <w:r>
        <w:rPr>
          <w:w w:val="105"/>
        </w:rPr>
        <w:t>forma</w:t>
      </w:r>
      <w:r>
        <w:rPr>
          <w:spacing w:val="-4"/>
          <w:w w:val="105"/>
        </w:rPr>
        <w:t xml:space="preserve"> </w:t>
      </w:r>
      <w:r>
        <w:rPr>
          <w:w w:val="105"/>
        </w:rPr>
        <w:t>de</w:t>
      </w:r>
      <w:r>
        <w:rPr>
          <w:spacing w:val="-4"/>
          <w:w w:val="105"/>
        </w:rPr>
        <w:t xml:space="preserve"> </w:t>
      </w:r>
      <w:r>
        <w:rPr>
          <w:w w:val="105"/>
        </w:rPr>
        <w:t>discriminación</w:t>
      </w:r>
      <w:r>
        <w:rPr>
          <w:spacing w:val="-4"/>
          <w:w w:val="105"/>
        </w:rPr>
        <w:t xml:space="preserve"> </w:t>
      </w:r>
      <w:r>
        <w:rPr>
          <w:w w:val="105"/>
        </w:rPr>
        <w:t>que</w:t>
      </w:r>
      <w:r>
        <w:rPr>
          <w:spacing w:val="-4"/>
          <w:w w:val="105"/>
        </w:rPr>
        <w:t xml:space="preserve"> </w:t>
      </w:r>
      <w:r>
        <w:rPr>
          <w:w w:val="105"/>
        </w:rPr>
        <w:t>debería</w:t>
      </w:r>
      <w:r>
        <w:rPr>
          <w:spacing w:val="-4"/>
          <w:w w:val="105"/>
        </w:rPr>
        <w:t xml:space="preserve"> </w:t>
      </w:r>
      <w:r>
        <w:rPr>
          <w:w w:val="105"/>
        </w:rPr>
        <w:t>prohibirse</w:t>
      </w:r>
      <w:r>
        <w:rPr>
          <w:spacing w:val="-4"/>
          <w:w w:val="105"/>
        </w:rPr>
        <w:t xml:space="preserve"> </w:t>
      </w:r>
      <w:r>
        <w:rPr>
          <w:w w:val="105"/>
        </w:rPr>
        <w:t>en</w:t>
      </w:r>
      <w:r>
        <w:rPr>
          <w:spacing w:val="-4"/>
          <w:w w:val="105"/>
        </w:rPr>
        <w:t xml:space="preserve"> </w:t>
      </w:r>
      <w:r>
        <w:rPr>
          <w:w w:val="105"/>
        </w:rPr>
        <w:t>virtud</w:t>
      </w:r>
      <w:r>
        <w:rPr>
          <w:spacing w:val="-4"/>
          <w:w w:val="105"/>
        </w:rPr>
        <w:t xml:space="preserve"> </w:t>
      </w:r>
      <w:r>
        <w:rPr>
          <w:w w:val="105"/>
        </w:rPr>
        <w:t>de</w:t>
      </w:r>
      <w:r>
        <w:rPr>
          <w:spacing w:val="-4"/>
          <w:w w:val="105"/>
        </w:rPr>
        <w:t xml:space="preserve"> </w:t>
      </w:r>
      <w:r>
        <w:rPr>
          <w:w w:val="105"/>
        </w:rPr>
        <w:t>una legislación integral contra la discriminación.</w:t>
      </w:r>
    </w:p>
    <w:p w14:paraId="2EB0AF14" w14:textId="77777777" w:rsidR="0014798C" w:rsidRDefault="0014798C">
      <w:pPr>
        <w:pStyle w:val="Textoindependiente"/>
        <w:spacing w:before="134"/>
        <w:rPr>
          <w:sz w:val="18"/>
        </w:rPr>
      </w:pPr>
    </w:p>
    <w:p w14:paraId="4B3958EC" w14:textId="77777777" w:rsidR="0014798C" w:rsidRDefault="004E1F0B">
      <w:pPr>
        <w:pStyle w:val="Prrafodelista"/>
        <w:numPr>
          <w:ilvl w:val="1"/>
          <w:numId w:val="97"/>
        </w:numPr>
        <w:tabs>
          <w:tab w:val="left" w:pos="1319"/>
        </w:tabs>
        <w:ind w:left="1319" w:hanging="204"/>
        <w:rPr>
          <w:color w:val="0075BF"/>
          <w:sz w:val="18"/>
        </w:rPr>
      </w:pPr>
      <w:r>
        <w:rPr>
          <w:color w:val="0075BF"/>
          <w:sz w:val="18"/>
        </w:rPr>
        <w:t>Deberes</w:t>
      </w:r>
      <w:r>
        <w:rPr>
          <w:color w:val="0075BF"/>
          <w:spacing w:val="12"/>
          <w:sz w:val="18"/>
        </w:rPr>
        <w:t xml:space="preserve"> </w:t>
      </w:r>
      <w:r>
        <w:rPr>
          <w:color w:val="0075BF"/>
          <w:sz w:val="18"/>
        </w:rPr>
        <w:t>estatutarios</w:t>
      </w:r>
      <w:r>
        <w:rPr>
          <w:color w:val="0075BF"/>
          <w:spacing w:val="12"/>
          <w:sz w:val="18"/>
        </w:rPr>
        <w:t xml:space="preserve"> </w:t>
      </w:r>
      <w:r>
        <w:rPr>
          <w:color w:val="0075BF"/>
          <w:sz w:val="18"/>
        </w:rPr>
        <w:t>de</w:t>
      </w:r>
      <w:r>
        <w:rPr>
          <w:color w:val="0075BF"/>
          <w:spacing w:val="13"/>
          <w:sz w:val="18"/>
        </w:rPr>
        <w:t xml:space="preserve"> </w:t>
      </w:r>
      <w:r>
        <w:rPr>
          <w:color w:val="0075BF"/>
          <w:spacing w:val="-2"/>
          <w:sz w:val="18"/>
        </w:rPr>
        <w:t>igualdad</w:t>
      </w:r>
    </w:p>
    <w:p w14:paraId="72153A96" w14:textId="77777777" w:rsidR="0014798C" w:rsidRDefault="0014798C">
      <w:pPr>
        <w:pStyle w:val="Textoindependiente"/>
        <w:spacing w:before="18"/>
      </w:pPr>
    </w:p>
    <w:p w14:paraId="33757910" w14:textId="77777777" w:rsidR="0014798C" w:rsidRDefault="004E1F0B">
      <w:pPr>
        <w:pStyle w:val="Textoindependiente"/>
        <w:spacing w:line="326" w:lineRule="auto"/>
        <w:ind w:left="1105" w:right="1272" w:firstLine="8"/>
      </w:pPr>
      <w:r>
        <w:rPr>
          <w:w w:val="105"/>
        </w:rPr>
        <w:t>Una</w:t>
      </w:r>
      <w:r>
        <w:rPr>
          <w:spacing w:val="-5"/>
          <w:w w:val="105"/>
        </w:rPr>
        <w:t xml:space="preserve"> </w:t>
      </w:r>
      <w:r>
        <w:rPr>
          <w:w w:val="105"/>
        </w:rPr>
        <w:t>legislación</w:t>
      </w:r>
      <w:r>
        <w:rPr>
          <w:spacing w:val="-5"/>
          <w:w w:val="105"/>
        </w:rPr>
        <w:t xml:space="preserve"> </w:t>
      </w:r>
      <w:r>
        <w:rPr>
          <w:w w:val="105"/>
        </w:rPr>
        <w:t>integral</w:t>
      </w:r>
      <w:r>
        <w:rPr>
          <w:spacing w:val="-5"/>
          <w:w w:val="105"/>
        </w:rPr>
        <w:t xml:space="preserve"> </w:t>
      </w:r>
      <w:r>
        <w:rPr>
          <w:w w:val="105"/>
        </w:rPr>
        <w:t>contra</w:t>
      </w:r>
      <w:r>
        <w:rPr>
          <w:spacing w:val="-5"/>
          <w:w w:val="105"/>
        </w:rPr>
        <w:t xml:space="preserve"> </w:t>
      </w:r>
      <w:r>
        <w:rPr>
          <w:w w:val="105"/>
        </w:rPr>
        <w:t>la</w:t>
      </w:r>
      <w:r>
        <w:rPr>
          <w:spacing w:val="-5"/>
          <w:w w:val="105"/>
        </w:rPr>
        <w:t xml:space="preserve"> </w:t>
      </w:r>
      <w:r>
        <w:rPr>
          <w:w w:val="105"/>
        </w:rPr>
        <w:t>discriminación</w:t>
      </w:r>
      <w:r>
        <w:rPr>
          <w:spacing w:val="-5"/>
          <w:w w:val="105"/>
        </w:rPr>
        <w:t xml:space="preserve"> </w:t>
      </w:r>
      <w:r>
        <w:rPr>
          <w:w w:val="105"/>
        </w:rPr>
        <w:t>debería</w:t>
      </w:r>
      <w:r>
        <w:rPr>
          <w:spacing w:val="-5"/>
          <w:w w:val="105"/>
        </w:rPr>
        <w:t xml:space="preserve"> </w:t>
      </w:r>
      <w:r>
        <w:rPr>
          <w:w w:val="105"/>
        </w:rPr>
        <w:t>prever</w:t>
      </w:r>
      <w:r>
        <w:rPr>
          <w:spacing w:val="-5"/>
          <w:w w:val="105"/>
        </w:rPr>
        <w:t xml:space="preserve"> </w:t>
      </w:r>
      <w:r>
        <w:rPr>
          <w:w w:val="105"/>
        </w:rPr>
        <w:t>el</w:t>
      </w:r>
      <w:r>
        <w:rPr>
          <w:spacing w:val="-5"/>
          <w:w w:val="105"/>
        </w:rPr>
        <w:t xml:space="preserve"> </w:t>
      </w:r>
      <w:r>
        <w:rPr>
          <w:w w:val="105"/>
        </w:rPr>
        <w:t>establecimiento</w:t>
      </w:r>
      <w:r>
        <w:rPr>
          <w:spacing w:val="-5"/>
          <w:w w:val="105"/>
        </w:rPr>
        <w:t xml:space="preserve"> </w:t>
      </w:r>
      <w:r>
        <w:rPr>
          <w:w w:val="105"/>
        </w:rPr>
        <w:t>de</w:t>
      </w:r>
      <w:r>
        <w:rPr>
          <w:spacing w:val="-5"/>
          <w:w w:val="105"/>
        </w:rPr>
        <w:t xml:space="preserve"> </w:t>
      </w:r>
      <w:r>
        <w:rPr>
          <w:w w:val="105"/>
        </w:rPr>
        <w:t>deberes</w:t>
      </w:r>
      <w:r>
        <w:rPr>
          <w:spacing w:val="-5"/>
          <w:w w:val="105"/>
        </w:rPr>
        <w:t xml:space="preserve"> </w:t>
      </w:r>
      <w:r>
        <w:rPr>
          <w:w w:val="105"/>
        </w:rPr>
        <w:t>estatutarios</w:t>
      </w:r>
      <w:r>
        <w:rPr>
          <w:spacing w:val="-6"/>
          <w:w w:val="105"/>
        </w:rPr>
        <w:t xml:space="preserve"> </w:t>
      </w:r>
      <w:r>
        <w:rPr>
          <w:w w:val="105"/>
        </w:rPr>
        <w:t>de</w:t>
      </w:r>
      <w:r>
        <w:rPr>
          <w:spacing w:val="-5"/>
          <w:w w:val="105"/>
        </w:rPr>
        <w:t xml:space="preserve"> </w:t>
      </w:r>
      <w:r>
        <w:rPr>
          <w:w w:val="105"/>
        </w:rPr>
        <w:t>igualdad,</w:t>
      </w:r>
      <w:r>
        <w:rPr>
          <w:spacing w:val="-4"/>
          <w:w w:val="105"/>
        </w:rPr>
        <w:t xml:space="preserve"> </w:t>
      </w:r>
      <w:r>
        <w:rPr>
          <w:w w:val="105"/>
        </w:rPr>
        <w:t>que ofrezcan</w:t>
      </w:r>
      <w:r>
        <w:rPr>
          <w:spacing w:val="-9"/>
          <w:w w:val="105"/>
        </w:rPr>
        <w:t xml:space="preserve"> </w:t>
      </w:r>
      <w:r>
        <w:rPr>
          <w:w w:val="105"/>
        </w:rPr>
        <w:t>un</w:t>
      </w:r>
      <w:r>
        <w:rPr>
          <w:spacing w:val="-9"/>
          <w:w w:val="105"/>
        </w:rPr>
        <w:t xml:space="preserve"> </w:t>
      </w:r>
      <w:r>
        <w:rPr>
          <w:w w:val="105"/>
        </w:rPr>
        <w:t>medio</w:t>
      </w:r>
      <w:r>
        <w:rPr>
          <w:spacing w:val="-9"/>
          <w:w w:val="105"/>
        </w:rPr>
        <w:t xml:space="preserve"> </w:t>
      </w:r>
      <w:r>
        <w:rPr>
          <w:w w:val="105"/>
        </w:rPr>
        <w:t>efectivo</w:t>
      </w:r>
      <w:r>
        <w:rPr>
          <w:spacing w:val="-9"/>
          <w:w w:val="105"/>
        </w:rPr>
        <w:t xml:space="preserve"> </w:t>
      </w:r>
      <w:r>
        <w:rPr>
          <w:w w:val="105"/>
        </w:rPr>
        <w:t>y</w:t>
      </w:r>
      <w:r>
        <w:rPr>
          <w:spacing w:val="-9"/>
          <w:w w:val="105"/>
        </w:rPr>
        <w:t xml:space="preserve"> </w:t>
      </w:r>
      <w:r>
        <w:rPr>
          <w:w w:val="105"/>
        </w:rPr>
        <w:t>necesario</w:t>
      </w:r>
      <w:r>
        <w:rPr>
          <w:spacing w:val="-9"/>
          <w:w w:val="105"/>
        </w:rPr>
        <w:t xml:space="preserve"> </w:t>
      </w:r>
      <w:r>
        <w:rPr>
          <w:w w:val="105"/>
        </w:rPr>
        <w:t>para</w:t>
      </w:r>
      <w:r>
        <w:rPr>
          <w:spacing w:val="-9"/>
          <w:w w:val="105"/>
        </w:rPr>
        <w:t xml:space="preserve"> </w:t>
      </w:r>
      <w:r>
        <w:rPr>
          <w:w w:val="105"/>
        </w:rPr>
        <w:t>hacer</w:t>
      </w:r>
      <w:r>
        <w:rPr>
          <w:spacing w:val="-9"/>
          <w:w w:val="105"/>
        </w:rPr>
        <w:t xml:space="preserve"> </w:t>
      </w:r>
      <w:r>
        <w:rPr>
          <w:w w:val="105"/>
        </w:rPr>
        <w:t>operativos</w:t>
      </w:r>
      <w:r>
        <w:rPr>
          <w:spacing w:val="-9"/>
          <w:w w:val="105"/>
        </w:rPr>
        <w:t xml:space="preserve"> </w:t>
      </w:r>
      <w:r>
        <w:rPr>
          <w:w w:val="105"/>
        </w:rPr>
        <w:t>los</w:t>
      </w:r>
      <w:r>
        <w:rPr>
          <w:spacing w:val="-9"/>
          <w:w w:val="105"/>
        </w:rPr>
        <w:t xml:space="preserve"> </w:t>
      </w:r>
      <w:r>
        <w:rPr>
          <w:w w:val="105"/>
        </w:rPr>
        <w:t>derechos</w:t>
      </w:r>
      <w:r>
        <w:rPr>
          <w:spacing w:val="-9"/>
          <w:w w:val="105"/>
        </w:rPr>
        <w:t xml:space="preserve"> </w:t>
      </w:r>
      <w:r>
        <w:rPr>
          <w:w w:val="105"/>
        </w:rPr>
        <w:t>a</w:t>
      </w:r>
      <w:r>
        <w:rPr>
          <w:spacing w:val="-9"/>
          <w:w w:val="105"/>
        </w:rPr>
        <w:t xml:space="preserve"> </w:t>
      </w:r>
      <w:r>
        <w:rPr>
          <w:w w:val="105"/>
        </w:rPr>
        <w:t>la</w:t>
      </w:r>
      <w:r>
        <w:rPr>
          <w:spacing w:val="-9"/>
          <w:w w:val="105"/>
        </w:rPr>
        <w:t xml:space="preserve"> </w:t>
      </w:r>
      <w:r>
        <w:rPr>
          <w:w w:val="105"/>
        </w:rPr>
        <w:t>igualdad</w:t>
      </w:r>
      <w:r>
        <w:rPr>
          <w:spacing w:val="-9"/>
          <w:w w:val="105"/>
        </w:rPr>
        <w:t xml:space="preserve"> </w:t>
      </w:r>
      <w:r>
        <w:rPr>
          <w:w w:val="105"/>
        </w:rPr>
        <w:t>y</w:t>
      </w:r>
      <w:r>
        <w:rPr>
          <w:spacing w:val="-9"/>
          <w:w w:val="105"/>
        </w:rPr>
        <w:t xml:space="preserve"> </w:t>
      </w:r>
      <w:r>
        <w:rPr>
          <w:w w:val="105"/>
        </w:rPr>
        <w:t>la</w:t>
      </w:r>
      <w:r>
        <w:rPr>
          <w:spacing w:val="-9"/>
          <w:w w:val="105"/>
        </w:rPr>
        <w:t xml:space="preserve"> </w:t>
      </w:r>
      <w:r>
        <w:rPr>
          <w:w w:val="105"/>
        </w:rPr>
        <w:t>no</w:t>
      </w:r>
      <w:r>
        <w:rPr>
          <w:spacing w:val="-9"/>
          <w:w w:val="105"/>
        </w:rPr>
        <w:t xml:space="preserve"> </w:t>
      </w:r>
      <w:r>
        <w:rPr>
          <w:w w:val="105"/>
        </w:rPr>
        <w:t>discriminación</w:t>
      </w:r>
      <w:r>
        <w:rPr>
          <w:spacing w:val="-9"/>
          <w:w w:val="105"/>
        </w:rPr>
        <w:t xml:space="preserve"> </w:t>
      </w:r>
      <w:r>
        <w:rPr>
          <w:w w:val="105"/>
        </w:rPr>
        <w:t>y</w:t>
      </w:r>
      <w:r>
        <w:rPr>
          <w:spacing w:val="-9"/>
          <w:w w:val="105"/>
        </w:rPr>
        <w:t xml:space="preserve"> </w:t>
      </w:r>
      <w:r>
        <w:rPr>
          <w:w w:val="105"/>
        </w:rPr>
        <w:t>garantizar</w:t>
      </w:r>
      <w:r>
        <w:rPr>
          <w:spacing w:val="-9"/>
          <w:w w:val="105"/>
        </w:rPr>
        <w:t xml:space="preserve"> </w:t>
      </w:r>
      <w:r>
        <w:rPr>
          <w:w w:val="105"/>
        </w:rPr>
        <w:t>su integración</w:t>
      </w:r>
      <w:r>
        <w:rPr>
          <w:spacing w:val="-2"/>
          <w:w w:val="105"/>
        </w:rPr>
        <w:t xml:space="preserve"> </w:t>
      </w:r>
      <w:r>
        <w:rPr>
          <w:w w:val="105"/>
        </w:rPr>
        <w:t>en</w:t>
      </w:r>
      <w:r>
        <w:rPr>
          <w:spacing w:val="-2"/>
          <w:w w:val="105"/>
        </w:rPr>
        <w:t xml:space="preserve"> </w:t>
      </w:r>
      <w:r>
        <w:rPr>
          <w:w w:val="105"/>
        </w:rPr>
        <w:t>los</w:t>
      </w:r>
      <w:r>
        <w:rPr>
          <w:spacing w:val="-2"/>
          <w:w w:val="105"/>
        </w:rPr>
        <w:t xml:space="preserve"> </w:t>
      </w:r>
      <w:r>
        <w:rPr>
          <w:w w:val="105"/>
        </w:rPr>
        <w:t>sistemas</w:t>
      </w:r>
      <w:r>
        <w:rPr>
          <w:spacing w:val="-2"/>
          <w:w w:val="105"/>
        </w:rPr>
        <w:t xml:space="preserve"> </w:t>
      </w:r>
      <w:r>
        <w:rPr>
          <w:w w:val="105"/>
        </w:rPr>
        <w:t>y</w:t>
      </w:r>
      <w:r>
        <w:rPr>
          <w:spacing w:val="-2"/>
          <w:w w:val="105"/>
        </w:rPr>
        <w:t xml:space="preserve"> </w:t>
      </w:r>
      <w:r>
        <w:rPr>
          <w:w w:val="105"/>
        </w:rPr>
        <w:t>el</w:t>
      </w:r>
      <w:r>
        <w:rPr>
          <w:spacing w:val="-2"/>
          <w:w w:val="105"/>
        </w:rPr>
        <w:t xml:space="preserve"> </w:t>
      </w:r>
      <w:r>
        <w:rPr>
          <w:w w:val="105"/>
        </w:rPr>
        <w:t>trabajo</w:t>
      </w:r>
      <w:r>
        <w:rPr>
          <w:spacing w:val="-2"/>
          <w:w w:val="105"/>
        </w:rPr>
        <w:t xml:space="preserve"> </w:t>
      </w:r>
      <w:r>
        <w:rPr>
          <w:w w:val="105"/>
        </w:rPr>
        <w:t>de</w:t>
      </w:r>
      <w:r>
        <w:rPr>
          <w:spacing w:val="-2"/>
          <w:w w:val="105"/>
        </w:rPr>
        <w:t xml:space="preserve"> </w:t>
      </w:r>
      <w:r>
        <w:rPr>
          <w:w w:val="105"/>
        </w:rPr>
        <w:t>las</w:t>
      </w:r>
      <w:r>
        <w:rPr>
          <w:spacing w:val="-2"/>
          <w:w w:val="105"/>
        </w:rPr>
        <w:t xml:space="preserve"> </w:t>
      </w:r>
      <w:r>
        <w:rPr>
          <w:w w:val="105"/>
        </w:rPr>
        <w:t>autoridades</w:t>
      </w:r>
      <w:r>
        <w:rPr>
          <w:spacing w:val="-2"/>
          <w:w w:val="105"/>
        </w:rPr>
        <w:t xml:space="preserve"> </w:t>
      </w:r>
      <w:r>
        <w:rPr>
          <w:w w:val="105"/>
        </w:rPr>
        <w:t>públicas</w:t>
      </w:r>
      <w:r>
        <w:rPr>
          <w:spacing w:val="-2"/>
          <w:w w:val="105"/>
        </w:rPr>
        <w:t xml:space="preserve"> </w:t>
      </w:r>
      <w:r>
        <w:rPr>
          <w:w w:val="105"/>
        </w:rPr>
        <w:t>y</w:t>
      </w:r>
      <w:r>
        <w:rPr>
          <w:spacing w:val="-2"/>
          <w:w w:val="105"/>
        </w:rPr>
        <w:t xml:space="preserve"> </w:t>
      </w:r>
      <w:r>
        <w:rPr>
          <w:w w:val="105"/>
        </w:rPr>
        <w:t>otros</w:t>
      </w:r>
      <w:r>
        <w:rPr>
          <w:spacing w:val="-2"/>
          <w:w w:val="105"/>
        </w:rPr>
        <w:t xml:space="preserve"> </w:t>
      </w:r>
      <w:r>
        <w:rPr>
          <w:w w:val="105"/>
        </w:rPr>
        <w:t>titulares</w:t>
      </w:r>
      <w:r>
        <w:rPr>
          <w:spacing w:val="-2"/>
          <w:w w:val="105"/>
        </w:rPr>
        <w:t xml:space="preserve"> </w:t>
      </w:r>
      <w:r>
        <w:rPr>
          <w:w w:val="105"/>
        </w:rPr>
        <w:t>de</w:t>
      </w:r>
      <w:r>
        <w:rPr>
          <w:spacing w:val="-2"/>
          <w:w w:val="105"/>
        </w:rPr>
        <w:t xml:space="preserve"> </w:t>
      </w:r>
      <w:r>
        <w:rPr>
          <w:w w:val="105"/>
        </w:rPr>
        <w:t>deberes.</w:t>
      </w:r>
      <w:r>
        <w:rPr>
          <w:spacing w:val="-1"/>
          <w:w w:val="105"/>
        </w:rPr>
        <w:t xml:space="preserve"> </w:t>
      </w:r>
      <w:r>
        <w:rPr>
          <w:w w:val="105"/>
        </w:rPr>
        <w:t>Los</w:t>
      </w:r>
      <w:r>
        <w:rPr>
          <w:spacing w:val="-2"/>
          <w:w w:val="105"/>
        </w:rPr>
        <w:t xml:space="preserve"> </w:t>
      </w:r>
      <w:r>
        <w:rPr>
          <w:w w:val="105"/>
        </w:rPr>
        <w:t>deberes</w:t>
      </w:r>
      <w:r>
        <w:rPr>
          <w:spacing w:val="-2"/>
          <w:w w:val="105"/>
        </w:rPr>
        <w:t xml:space="preserve"> </w:t>
      </w:r>
      <w:r>
        <w:rPr>
          <w:w w:val="105"/>
        </w:rPr>
        <w:t>de</w:t>
      </w:r>
      <w:r>
        <w:rPr>
          <w:spacing w:val="-2"/>
          <w:w w:val="105"/>
        </w:rPr>
        <w:t xml:space="preserve"> </w:t>
      </w:r>
      <w:r>
        <w:rPr>
          <w:w w:val="105"/>
        </w:rPr>
        <w:t>igualdad incluyen:</w:t>
      </w:r>
      <w:r>
        <w:rPr>
          <w:spacing w:val="-12"/>
          <w:w w:val="105"/>
        </w:rPr>
        <w:t xml:space="preserve"> </w:t>
      </w:r>
      <w:r>
        <w:rPr>
          <w:w w:val="105"/>
        </w:rPr>
        <w:t>deberes</w:t>
      </w:r>
      <w:r>
        <w:rPr>
          <w:spacing w:val="-12"/>
          <w:w w:val="105"/>
        </w:rPr>
        <w:t xml:space="preserve"> </w:t>
      </w:r>
      <w:r>
        <w:rPr>
          <w:w w:val="105"/>
        </w:rPr>
        <w:t>preventivos,</w:t>
      </w:r>
      <w:r>
        <w:rPr>
          <w:spacing w:val="-11"/>
          <w:w w:val="105"/>
        </w:rPr>
        <w:t xml:space="preserve"> </w:t>
      </w:r>
      <w:r>
        <w:rPr>
          <w:w w:val="105"/>
        </w:rPr>
        <w:t>que</w:t>
      </w:r>
      <w:r>
        <w:rPr>
          <w:spacing w:val="-12"/>
          <w:w w:val="105"/>
        </w:rPr>
        <w:t xml:space="preserve"> </w:t>
      </w:r>
      <w:r>
        <w:rPr>
          <w:w w:val="105"/>
        </w:rPr>
        <w:t>buscan</w:t>
      </w:r>
      <w:r>
        <w:rPr>
          <w:spacing w:val="-12"/>
          <w:w w:val="105"/>
        </w:rPr>
        <w:t xml:space="preserve"> </w:t>
      </w:r>
      <w:r>
        <w:rPr>
          <w:w w:val="105"/>
        </w:rPr>
        <w:t>evitar</w:t>
      </w:r>
      <w:r>
        <w:rPr>
          <w:spacing w:val="-12"/>
          <w:w w:val="105"/>
        </w:rPr>
        <w:t xml:space="preserve"> </w:t>
      </w:r>
      <w:r>
        <w:rPr>
          <w:w w:val="105"/>
        </w:rPr>
        <w:t>actos</w:t>
      </w:r>
      <w:r>
        <w:rPr>
          <w:spacing w:val="-11"/>
          <w:w w:val="105"/>
        </w:rPr>
        <w:t xml:space="preserve"> </w:t>
      </w:r>
      <w:r>
        <w:rPr>
          <w:w w:val="105"/>
        </w:rPr>
        <w:t>de</w:t>
      </w:r>
      <w:r>
        <w:rPr>
          <w:spacing w:val="-12"/>
          <w:w w:val="105"/>
        </w:rPr>
        <w:t xml:space="preserve"> </w:t>
      </w:r>
      <w:r>
        <w:rPr>
          <w:w w:val="105"/>
        </w:rPr>
        <w:t>discriminación</w:t>
      </w:r>
      <w:r>
        <w:rPr>
          <w:spacing w:val="-12"/>
          <w:w w:val="105"/>
        </w:rPr>
        <w:t xml:space="preserve"> </w:t>
      </w:r>
      <w:r>
        <w:rPr>
          <w:w w:val="105"/>
        </w:rPr>
        <w:t>antes</w:t>
      </w:r>
      <w:r>
        <w:rPr>
          <w:spacing w:val="-11"/>
          <w:w w:val="105"/>
        </w:rPr>
        <w:t xml:space="preserve"> </w:t>
      </w:r>
      <w:r>
        <w:rPr>
          <w:w w:val="105"/>
        </w:rPr>
        <w:t>de</w:t>
      </w:r>
      <w:r>
        <w:rPr>
          <w:spacing w:val="-12"/>
          <w:w w:val="105"/>
        </w:rPr>
        <w:t xml:space="preserve"> </w:t>
      </w:r>
      <w:r>
        <w:rPr>
          <w:w w:val="105"/>
        </w:rPr>
        <w:t>que</w:t>
      </w:r>
      <w:r>
        <w:rPr>
          <w:spacing w:val="-12"/>
          <w:w w:val="105"/>
        </w:rPr>
        <w:t xml:space="preserve"> </w:t>
      </w:r>
      <w:r>
        <w:rPr>
          <w:w w:val="105"/>
        </w:rPr>
        <w:t>ocurran;</w:t>
      </w:r>
      <w:r>
        <w:rPr>
          <w:spacing w:val="-11"/>
          <w:w w:val="105"/>
        </w:rPr>
        <w:t xml:space="preserve"> </w:t>
      </w:r>
      <w:r>
        <w:rPr>
          <w:w w:val="105"/>
        </w:rPr>
        <w:t>deberes</w:t>
      </w:r>
      <w:r>
        <w:rPr>
          <w:spacing w:val="-12"/>
          <w:w w:val="105"/>
        </w:rPr>
        <w:t xml:space="preserve"> </w:t>
      </w:r>
      <w:r>
        <w:rPr>
          <w:w w:val="105"/>
        </w:rPr>
        <w:t>institucionales,</w:t>
      </w:r>
      <w:r>
        <w:rPr>
          <w:spacing w:val="-12"/>
          <w:w w:val="105"/>
        </w:rPr>
        <w:t xml:space="preserve"> </w:t>
      </w:r>
      <w:r>
        <w:rPr>
          <w:w w:val="105"/>
        </w:rPr>
        <w:t>que buscan</w:t>
      </w:r>
      <w:r>
        <w:rPr>
          <w:spacing w:val="-9"/>
          <w:w w:val="105"/>
        </w:rPr>
        <w:t xml:space="preserve"> </w:t>
      </w:r>
      <w:r>
        <w:rPr>
          <w:w w:val="105"/>
        </w:rPr>
        <w:t>promover</w:t>
      </w:r>
      <w:r>
        <w:rPr>
          <w:spacing w:val="-9"/>
          <w:w w:val="105"/>
        </w:rPr>
        <w:t xml:space="preserve"> </w:t>
      </w:r>
      <w:r>
        <w:rPr>
          <w:w w:val="105"/>
        </w:rPr>
        <w:t>la</w:t>
      </w:r>
      <w:r>
        <w:rPr>
          <w:spacing w:val="-9"/>
          <w:w w:val="105"/>
        </w:rPr>
        <w:t xml:space="preserve"> </w:t>
      </w:r>
      <w:r>
        <w:rPr>
          <w:w w:val="105"/>
        </w:rPr>
        <w:t>igualdad</w:t>
      </w:r>
      <w:r>
        <w:rPr>
          <w:spacing w:val="-9"/>
          <w:w w:val="105"/>
        </w:rPr>
        <w:t xml:space="preserve"> </w:t>
      </w:r>
      <w:r>
        <w:rPr>
          <w:w w:val="105"/>
        </w:rPr>
        <w:t>en</w:t>
      </w:r>
      <w:r>
        <w:rPr>
          <w:spacing w:val="-9"/>
          <w:w w:val="105"/>
        </w:rPr>
        <w:t xml:space="preserve"> </w:t>
      </w:r>
      <w:r>
        <w:rPr>
          <w:w w:val="105"/>
        </w:rPr>
        <w:t>el</w:t>
      </w:r>
      <w:r>
        <w:rPr>
          <w:spacing w:val="-9"/>
          <w:w w:val="105"/>
        </w:rPr>
        <w:t xml:space="preserve"> </w:t>
      </w:r>
      <w:r>
        <w:rPr>
          <w:w w:val="105"/>
        </w:rPr>
        <w:t>trabajo</w:t>
      </w:r>
      <w:r>
        <w:rPr>
          <w:spacing w:val="-9"/>
          <w:w w:val="105"/>
        </w:rPr>
        <w:t xml:space="preserve"> </w:t>
      </w:r>
      <w:r>
        <w:rPr>
          <w:w w:val="105"/>
        </w:rPr>
        <w:t>y</w:t>
      </w:r>
      <w:r>
        <w:rPr>
          <w:spacing w:val="-9"/>
          <w:w w:val="105"/>
        </w:rPr>
        <w:t xml:space="preserve"> </w:t>
      </w:r>
      <w:r>
        <w:rPr>
          <w:w w:val="105"/>
        </w:rPr>
        <w:t>operaciones</w:t>
      </w:r>
      <w:r>
        <w:rPr>
          <w:spacing w:val="-9"/>
          <w:w w:val="105"/>
        </w:rPr>
        <w:t xml:space="preserve"> </w:t>
      </w:r>
      <w:r>
        <w:rPr>
          <w:w w:val="105"/>
        </w:rPr>
        <w:t>de</w:t>
      </w:r>
      <w:r>
        <w:rPr>
          <w:spacing w:val="-9"/>
          <w:w w:val="105"/>
        </w:rPr>
        <w:t xml:space="preserve"> </w:t>
      </w:r>
      <w:r>
        <w:rPr>
          <w:w w:val="105"/>
        </w:rPr>
        <w:t>las</w:t>
      </w:r>
      <w:r>
        <w:rPr>
          <w:spacing w:val="-9"/>
          <w:w w:val="105"/>
        </w:rPr>
        <w:t xml:space="preserve"> </w:t>
      </w:r>
      <w:r>
        <w:rPr>
          <w:w w:val="105"/>
        </w:rPr>
        <w:t>organizaciones</w:t>
      </w:r>
      <w:r>
        <w:rPr>
          <w:spacing w:val="-9"/>
          <w:w w:val="105"/>
        </w:rPr>
        <w:t xml:space="preserve"> </w:t>
      </w:r>
      <w:r>
        <w:rPr>
          <w:w w:val="105"/>
        </w:rPr>
        <w:t>del</w:t>
      </w:r>
      <w:r>
        <w:rPr>
          <w:spacing w:val="-9"/>
          <w:w w:val="105"/>
        </w:rPr>
        <w:t xml:space="preserve"> </w:t>
      </w:r>
      <w:r>
        <w:rPr>
          <w:w w:val="105"/>
        </w:rPr>
        <w:t>sector</w:t>
      </w:r>
      <w:r>
        <w:rPr>
          <w:spacing w:val="-9"/>
          <w:w w:val="105"/>
        </w:rPr>
        <w:t xml:space="preserve"> </w:t>
      </w:r>
      <w:r>
        <w:rPr>
          <w:w w:val="105"/>
        </w:rPr>
        <w:t>público</w:t>
      </w:r>
      <w:r>
        <w:rPr>
          <w:spacing w:val="-9"/>
          <w:w w:val="105"/>
        </w:rPr>
        <w:t xml:space="preserve"> </w:t>
      </w:r>
      <w:r>
        <w:rPr>
          <w:w w:val="105"/>
        </w:rPr>
        <w:t>y</w:t>
      </w:r>
      <w:r>
        <w:rPr>
          <w:spacing w:val="-9"/>
          <w:w w:val="105"/>
        </w:rPr>
        <w:t xml:space="preserve"> </w:t>
      </w:r>
      <w:r>
        <w:rPr>
          <w:w w:val="105"/>
        </w:rPr>
        <w:t>privado;</w:t>
      </w:r>
      <w:r>
        <w:rPr>
          <w:spacing w:val="-8"/>
          <w:w w:val="105"/>
        </w:rPr>
        <w:t xml:space="preserve"> </w:t>
      </w:r>
      <w:r>
        <w:rPr>
          <w:w w:val="105"/>
        </w:rPr>
        <w:t>y</w:t>
      </w:r>
      <w:r>
        <w:rPr>
          <w:spacing w:val="-9"/>
          <w:w w:val="105"/>
        </w:rPr>
        <w:t xml:space="preserve"> </w:t>
      </w:r>
      <w:r>
        <w:rPr>
          <w:w w:val="105"/>
        </w:rPr>
        <w:t>deberes transversales,</w:t>
      </w:r>
      <w:r>
        <w:rPr>
          <w:spacing w:val="-6"/>
          <w:w w:val="105"/>
        </w:rPr>
        <w:t xml:space="preserve"> </w:t>
      </w:r>
      <w:r>
        <w:rPr>
          <w:w w:val="105"/>
        </w:rPr>
        <w:t>que</w:t>
      </w:r>
      <w:r>
        <w:rPr>
          <w:spacing w:val="-7"/>
          <w:w w:val="105"/>
        </w:rPr>
        <w:t xml:space="preserve"> </w:t>
      </w:r>
      <w:r>
        <w:rPr>
          <w:w w:val="105"/>
        </w:rPr>
        <w:t>buscan</w:t>
      </w:r>
      <w:r>
        <w:rPr>
          <w:spacing w:val="-7"/>
          <w:w w:val="105"/>
        </w:rPr>
        <w:t xml:space="preserve"> </w:t>
      </w:r>
      <w:r>
        <w:rPr>
          <w:w w:val="105"/>
        </w:rPr>
        <w:t>integrar</w:t>
      </w:r>
      <w:r>
        <w:rPr>
          <w:spacing w:val="-7"/>
          <w:w w:val="105"/>
        </w:rPr>
        <w:t xml:space="preserve"> </w:t>
      </w:r>
      <w:r>
        <w:rPr>
          <w:w w:val="105"/>
        </w:rPr>
        <w:t>y</w:t>
      </w:r>
      <w:r>
        <w:rPr>
          <w:spacing w:val="-7"/>
          <w:w w:val="105"/>
        </w:rPr>
        <w:t xml:space="preserve"> </w:t>
      </w:r>
      <w:r>
        <w:rPr>
          <w:w w:val="105"/>
        </w:rPr>
        <w:t>centralizar</w:t>
      </w:r>
      <w:r>
        <w:rPr>
          <w:spacing w:val="-7"/>
          <w:w w:val="105"/>
        </w:rPr>
        <w:t xml:space="preserve"> </w:t>
      </w:r>
      <w:r>
        <w:rPr>
          <w:w w:val="105"/>
        </w:rPr>
        <w:t>los</w:t>
      </w:r>
      <w:r>
        <w:rPr>
          <w:spacing w:val="-7"/>
          <w:w w:val="105"/>
        </w:rPr>
        <w:t xml:space="preserve"> </w:t>
      </w:r>
      <w:r>
        <w:rPr>
          <w:w w:val="105"/>
        </w:rPr>
        <w:t>objetivos</w:t>
      </w:r>
      <w:r>
        <w:rPr>
          <w:spacing w:val="-7"/>
          <w:w w:val="105"/>
        </w:rPr>
        <w:t xml:space="preserve"> </w:t>
      </w:r>
      <w:r>
        <w:rPr>
          <w:w w:val="105"/>
        </w:rPr>
        <w:t>de</w:t>
      </w:r>
      <w:r>
        <w:rPr>
          <w:spacing w:val="-7"/>
          <w:w w:val="105"/>
        </w:rPr>
        <w:t xml:space="preserve"> </w:t>
      </w:r>
      <w:r>
        <w:rPr>
          <w:w w:val="105"/>
        </w:rPr>
        <w:t>igualdad</w:t>
      </w:r>
      <w:r>
        <w:rPr>
          <w:spacing w:val="-7"/>
          <w:w w:val="105"/>
        </w:rPr>
        <w:t xml:space="preserve"> </w:t>
      </w:r>
      <w:r>
        <w:rPr>
          <w:w w:val="105"/>
        </w:rPr>
        <w:t>en</w:t>
      </w:r>
      <w:r>
        <w:rPr>
          <w:spacing w:val="-7"/>
          <w:w w:val="105"/>
        </w:rPr>
        <w:t xml:space="preserve"> </w:t>
      </w:r>
      <w:r>
        <w:rPr>
          <w:w w:val="105"/>
        </w:rPr>
        <w:t>los</w:t>
      </w:r>
      <w:r>
        <w:rPr>
          <w:spacing w:val="-7"/>
          <w:w w:val="105"/>
        </w:rPr>
        <w:t xml:space="preserve"> </w:t>
      </w:r>
      <w:r>
        <w:rPr>
          <w:w w:val="105"/>
        </w:rPr>
        <w:t>procesos</w:t>
      </w:r>
      <w:r>
        <w:rPr>
          <w:spacing w:val="-7"/>
          <w:w w:val="105"/>
        </w:rPr>
        <w:t xml:space="preserve"> </w:t>
      </w:r>
      <w:r>
        <w:rPr>
          <w:w w:val="105"/>
        </w:rPr>
        <w:t>de</w:t>
      </w:r>
      <w:r>
        <w:rPr>
          <w:spacing w:val="-7"/>
          <w:w w:val="105"/>
        </w:rPr>
        <w:t xml:space="preserve"> </w:t>
      </w:r>
      <w:r>
        <w:rPr>
          <w:w w:val="105"/>
        </w:rPr>
        <w:t>toma</w:t>
      </w:r>
      <w:r>
        <w:rPr>
          <w:spacing w:val="-7"/>
          <w:w w:val="105"/>
        </w:rPr>
        <w:t xml:space="preserve"> </w:t>
      </w:r>
      <w:r>
        <w:rPr>
          <w:w w:val="105"/>
        </w:rPr>
        <w:t>de</w:t>
      </w:r>
      <w:r>
        <w:rPr>
          <w:spacing w:val="-7"/>
          <w:w w:val="105"/>
        </w:rPr>
        <w:t xml:space="preserve"> </w:t>
      </w:r>
      <w:r>
        <w:rPr>
          <w:w w:val="105"/>
        </w:rPr>
        <w:t>decisiones</w:t>
      </w:r>
      <w:r>
        <w:rPr>
          <w:spacing w:val="-7"/>
          <w:w w:val="105"/>
        </w:rPr>
        <w:t xml:space="preserve"> </w:t>
      </w:r>
      <w:r>
        <w:rPr>
          <w:w w:val="105"/>
        </w:rPr>
        <w:t>públicas.</w:t>
      </w:r>
      <w:r>
        <w:rPr>
          <w:spacing w:val="-6"/>
          <w:w w:val="105"/>
        </w:rPr>
        <w:t xml:space="preserve"> </w:t>
      </w:r>
      <w:r>
        <w:rPr>
          <w:w w:val="105"/>
        </w:rPr>
        <w:t>Se requiere una combinación de estos enfoques para que sea eficaz.</w:t>
      </w:r>
    </w:p>
    <w:p w14:paraId="3CB23C4B" w14:textId="77777777" w:rsidR="0014798C" w:rsidRDefault="004E1F0B">
      <w:pPr>
        <w:pStyle w:val="Ttulo8"/>
        <w:numPr>
          <w:ilvl w:val="0"/>
          <w:numId w:val="97"/>
        </w:numPr>
        <w:tabs>
          <w:tab w:val="left" w:pos="1496"/>
        </w:tabs>
        <w:spacing w:before="299"/>
        <w:ind w:left="1496" w:hanging="376"/>
        <w:rPr>
          <w:color w:val="0075BF"/>
        </w:rPr>
      </w:pPr>
      <w:r>
        <w:rPr>
          <w:color w:val="0075BF"/>
        </w:rPr>
        <w:t>Remedio</w:t>
      </w:r>
      <w:r>
        <w:rPr>
          <w:color w:val="0075BF"/>
          <w:spacing w:val="6"/>
        </w:rPr>
        <w:t xml:space="preserve"> </w:t>
      </w:r>
      <w:r>
        <w:rPr>
          <w:color w:val="0075BF"/>
          <w:spacing w:val="-2"/>
        </w:rPr>
        <w:t>eficaz</w:t>
      </w:r>
    </w:p>
    <w:p w14:paraId="1CBFEF27" w14:textId="77777777" w:rsidR="0014798C" w:rsidRDefault="0014798C">
      <w:pPr>
        <w:pStyle w:val="Textoindependiente"/>
        <w:spacing w:before="33"/>
      </w:pPr>
    </w:p>
    <w:p w14:paraId="0A465FD9" w14:textId="77777777" w:rsidR="0014798C" w:rsidRDefault="004E1F0B">
      <w:pPr>
        <w:pStyle w:val="Textoindependiente"/>
        <w:spacing w:line="326" w:lineRule="auto"/>
        <w:ind w:left="1107" w:right="1335" w:hanging="1"/>
      </w:pPr>
      <w:r>
        <w:rPr>
          <w:w w:val="105"/>
        </w:rPr>
        <w:t>Las</w:t>
      </w:r>
      <w:r>
        <w:rPr>
          <w:spacing w:val="-5"/>
          <w:w w:val="105"/>
        </w:rPr>
        <w:t xml:space="preserve"> </w:t>
      </w:r>
      <w:r>
        <w:rPr>
          <w:w w:val="105"/>
        </w:rPr>
        <w:t>leyes</w:t>
      </w:r>
      <w:r>
        <w:rPr>
          <w:spacing w:val="-5"/>
          <w:w w:val="105"/>
        </w:rPr>
        <w:t xml:space="preserve"> </w:t>
      </w:r>
      <w:r>
        <w:rPr>
          <w:w w:val="105"/>
        </w:rPr>
        <w:t>contra</w:t>
      </w:r>
      <w:r>
        <w:rPr>
          <w:spacing w:val="-5"/>
          <w:w w:val="105"/>
        </w:rPr>
        <w:t xml:space="preserve"> </w:t>
      </w:r>
      <w:r>
        <w:rPr>
          <w:w w:val="105"/>
        </w:rPr>
        <w:t>la</w:t>
      </w:r>
      <w:r>
        <w:rPr>
          <w:spacing w:val="-5"/>
          <w:w w:val="105"/>
        </w:rPr>
        <w:t xml:space="preserve"> </w:t>
      </w:r>
      <w:r>
        <w:rPr>
          <w:w w:val="105"/>
        </w:rPr>
        <w:t>discriminación</w:t>
      </w:r>
      <w:r>
        <w:rPr>
          <w:spacing w:val="-5"/>
          <w:w w:val="105"/>
        </w:rPr>
        <w:t xml:space="preserve"> </w:t>
      </w:r>
      <w:r>
        <w:rPr>
          <w:w w:val="105"/>
        </w:rPr>
        <w:t>deben</w:t>
      </w:r>
      <w:r>
        <w:rPr>
          <w:spacing w:val="-5"/>
          <w:w w:val="105"/>
        </w:rPr>
        <w:t xml:space="preserve"> </w:t>
      </w:r>
      <w:r>
        <w:rPr>
          <w:w w:val="105"/>
        </w:rPr>
        <w:t>prever</w:t>
      </w:r>
      <w:r>
        <w:rPr>
          <w:spacing w:val="-5"/>
          <w:w w:val="105"/>
        </w:rPr>
        <w:t xml:space="preserve"> </w:t>
      </w:r>
      <w:r>
        <w:rPr>
          <w:w w:val="105"/>
        </w:rPr>
        <w:t>un</w:t>
      </w:r>
      <w:r>
        <w:rPr>
          <w:spacing w:val="-5"/>
          <w:w w:val="105"/>
        </w:rPr>
        <w:t xml:space="preserve"> </w:t>
      </w:r>
      <w:r>
        <w:rPr>
          <w:w w:val="105"/>
        </w:rPr>
        <w:t>remedio</w:t>
      </w:r>
      <w:r>
        <w:rPr>
          <w:spacing w:val="-5"/>
          <w:w w:val="105"/>
        </w:rPr>
        <w:t xml:space="preserve"> </w:t>
      </w:r>
      <w:r>
        <w:rPr>
          <w:w w:val="105"/>
        </w:rPr>
        <w:t>efectivo</w:t>
      </w:r>
      <w:r>
        <w:rPr>
          <w:spacing w:val="-5"/>
          <w:w w:val="105"/>
        </w:rPr>
        <w:t xml:space="preserve"> </w:t>
      </w:r>
      <w:r>
        <w:rPr>
          <w:w w:val="105"/>
        </w:rPr>
        <w:t>contra</w:t>
      </w:r>
      <w:r>
        <w:rPr>
          <w:spacing w:val="-5"/>
          <w:w w:val="105"/>
        </w:rPr>
        <w:t xml:space="preserve"> </w:t>
      </w:r>
      <w:r>
        <w:rPr>
          <w:w w:val="105"/>
        </w:rPr>
        <w:t>la</w:t>
      </w:r>
      <w:r>
        <w:rPr>
          <w:spacing w:val="-5"/>
          <w:w w:val="105"/>
        </w:rPr>
        <w:t xml:space="preserve"> </w:t>
      </w:r>
      <w:r>
        <w:rPr>
          <w:w w:val="105"/>
        </w:rPr>
        <w:t>discriminación.</w:t>
      </w:r>
      <w:r>
        <w:rPr>
          <w:spacing w:val="-4"/>
          <w:w w:val="105"/>
        </w:rPr>
        <w:t xml:space="preserve"> </w:t>
      </w:r>
      <w:r>
        <w:rPr>
          <w:w w:val="105"/>
        </w:rPr>
        <w:t>El</w:t>
      </w:r>
      <w:r>
        <w:rPr>
          <w:spacing w:val="-5"/>
          <w:w w:val="105"/>
        </w:rPr>
        <w:t xml:space="preserve"> </w:t>
      </w:r>
      <w:r>
        <w:rPr>
          <w:w w:val="105"/>
        </w:rPr>
        <w:t>recurso</w:t>
      </w:r>
      <w:r>
        <w:rPr>
          <w:spacing w:val="-5"/>
          <w:w w:val="105"/>
        </w:rPr>
        <w:t xml:space="preserve"> </w:t>
      </w:r>
      <w:r>
        <w:rPr>
          <w:w w:val="105"/>
        </w:rPr>
        <w:t>incluye,</w:t>
      </w:r>
      <w:r>
        <w:rPr>
          <w:spacing w:val="-4"/>
          <w:w w:val="105"/>
        </w:rPr>
        <w:t xml:space="preserve"> </w:t>
      </w:r>
      <w:r>
        <w:rPr>
          <w:w w:val="105"/>
        </w:rPr>
        <w:t>entre</w:t>
      </w:r>
      <w:r>
        <w:rPr>
          <w:spacing w:val="-5"/>
          <w:w w:val="105"/>
        </w:rPr>
        <w:t xml:space="preserve"> </w:t>
      </w:r>
      <w:r>
        <w:rPr>
          <w:w w:val="105"/>
        </w:rPr>
        <w:t>otros: sanciones</w:t>
      </w:r>
      <w:r>
        <w:rPr>
          <w:spacing w:val="-12"/>
          <w:w w:val="105"/>
        </w:rPr>
        <w:t xml:space="preserve"> </w:t>
      </w:r>
      <w:r>
        <w:rPr>
          <w:w w:val="105"/>
        </w:rPr>
        <w:t>para</w:t>
      </w:r>
      <w:r>
        <w:rPr>
          <w:spacing w:val="-12"/>
          <w:w w:val="105"/>
        </w:rPr>
        <w:t xml:space="preserve"> </w:t>
      </w:r>
      <w:r>
        <w:rPr>
          <w:w w:val="105"/>
        </w:rPr>
        <w:t>quienes</w:t>
      </w:r>
      <w:r>
        <w:rPr>
          <w:spacing w:val="-11"/>
          <w:w w:val="105"/>
        </w:rPr>
        <w:t xml:space="preserve"> </w:t>
      </w:r>
      <w:r>
        <w:rPr>
          <w:w w:val="105"/>
        </w:rPr>
        <w:t>sean</w:t>
      </w:r>
      <w:r>
        <w:rPr>
          <w:spacing w:val="-12"/>
          <w:w w:val="105"/>
        </w:rPr>
        <w:t xml:space="preserve"> </w:t>
      </w:r>
      <w:r>
        <w:rPr>
          <w:w w:val="105"/>
        </w:rPr>
        <w:t>declarados</w:t>
      </w:r>
      <w:r>
        <w:rPr>
          <w:spacing w:val="-12"/>
          <w:w w:val="105"/>
        </w:rPr>
        <w:t xml:space="preserve"> </w:t>
      </w:r>
      <w:r>
        <w:rPr>
          <w:w w:val="105"/>
        </w:rPr>
        <w:t>responsables</w:t>
      </w:r>
      <w:r>
        <w:rPr>
          <w:spacing w:val="-12"/>
          <w:w w:val="105"/>
        </w:rPr>
        <w:t xml:space="preserve"> </w:t>
      </w:r>
      <w:r>
        <w:rPr>
          <w:w w:val="105"/>
        </w:rPr>
        <w:t>de</w:t>
      </w:r>
      <w:r>
        <w:rPr>
          <w:spacing w:val="-11"/>
          <w:w w:val="105"/>
        </w:rPr>
        <w:t xml:space="preserve"> </w:t>
      </w:r>
      <w:r>
        <w:rPr>
          <w:w w:val="105"/>
        </w:rPr>
        <w:t>discriminación;</w:t>
      </w:r>
      <w:r>
        <w:rPr>
          <w:spacing w:val="-12"/>
          <w:w w:val="105"/>
        </w:rPr>
        <w:t xml:space="preserve"> </w:t>
      </w:r>
      <w:r>
        <w:rPr>
          <w:w w:val="105"/>
        </w:rPr>
        <w:t>reparaciones,</w:t>
      </w:r>
      <w:r>
        <w:rPr>
          <w:spacing w:val="-12"/>
          <w:w w:val="105"/>
        </w:rPr>
        <w:t xml:space="preserve"> </w:t>
      </w:r>
      <w:r>
        <w:rPr>
          <w:w w:val="105"/>
        </w:rPr>
        <w:t>incluido</w:t>
      </w:r>
      <w:r>
        <w:rPr>
          <w:spacing w:val="-11"/>
          <w:w w:val="105"/>
        </w:rPr>
        <w:t xml:space="preserve"> </w:t>
      </w:r>
      <w:r>
        <w:rPr>
          <w:w w:val="105"/>
        </w:rPr>
        <w:t>el</w:t>
      </w:r>
      <w:r>
        <w:rPr>
          <w:spacing w:val="-12"/>
          <w:w w:val="105"/>
        </w:rPr>
        <w:t xml:space="preserve"> </w:t>
      </w:r>
      <w:r>
        <w:rPr>
          <w:w w:val="105"/>
        </w:rPr>
        <w:t>reconocimiento,</w:t>
      </w:r>
      <w:r>
        <w:rPr>
          <w:spacing w:val="-12"/>
          <w:w w:val="105"/>
        </w:rPr>
        <w:t xml:space="preserve"> </w:t>
      </w:r>
      <w:r>
        <w:rPr>
          <w:w w:val="105"/>
        </w:rPr>
        <w:t xml:space="preserve">la </w:t>
      </w:r>
      <w:r>
        <w:t xml:space="preserve">compensación y la restitución para las víctimas de discriminación; y medidas institucionales y sociales diseñadas para abordar </w:t>
      </w:r>
      <w:r>
        <w:rPr>
          <w:w w:val="105"/>
        </w:rPr>
        <w:t>las</w:t>
      </w:r>
      <w:r>
        <w:rPr>
          <w:spacing w:val="-3"/>
          <w:w w:val="105"/>
        </w:rPr>
        <w:t xml:space="preserve"> </w:t>
      </w:r>
      <w:r>
        <w:rPr>
          <w:w w:val="105"/>
        </w:rPr>
        <w:t>causas</w:t>
      </w:r>
      <w:r>
        <w:rPr>
          <w:spacing w:val="-3"/>
          <w:w w:val="105"/>
        </w:rPr>
        <w:t xml:space="preserve"> </w:t>
      </w:r>
      <w:r>
        <w:rPr>
          <w:w w:val="105"/>
        </w:rPr>
        <w:t>y</w:t>
      </w:r>
      <w:r>
        <w:rPr>
          <w:spacing w:val="-3"/>
          <w:w w:val="105"/>
        </w:rPr>
        <w:t xml:space="preserve"> </w:t>
      </w:r>
      <w:r>
        <w:rPr>
          <w:w w:val="105"/>
        </w:rPr>
        <w:t>consecuencias</w:t>
      </w:r>
      <w:r>
        <w:rPr>
          <w:spacing w:val="-3"/>
          <w:w w:val="105"/>
        </w:rPr>
        <w:t xml:space="preserve"> </w:t>
      </w:r>
      <w:r>
        <w:rPr>
          <w:w w:val="105"/>
        </w:rPr>
        <w:t>sociales</w:t>
      </w:r>
      <w:r>
        <w:rPr>
          <w:spacing w:val="-3"/>
          <w:w w:val="105"/>
        </w:rPr>
        <w:t xml:space="preserve"> </w:t>
      </w:r>
      <w:r>
        <w:rPr>
          <w:w w:val="105"/>
        </w:rPr>
        <w:t>de</w:t>
      </w:r>
      <w:r>
        <w:rPr>
          <w:spacing w:val="-3"/>
          <w:w w:val="105"/>
        </w:rPr>
        <w:t xml:space="preserve"> </w:t>
      </w:r>
      <w:r>
        <w:rPr>
          <w:w w:val="105"/>
        </w:rPr>
        <w:t>la</w:t>
      </w:r>
      <w:r>
        <w:rPr>
          <w:spacing w:val="-3"/>
          <w:w w:val="105"/>
        </w:rPr>
        <w:t xml:space="preserve"> </w:t>
      </w:r>
      <w:r>
        <w:rPr>
          <w:w w:val="105"/>
        </w:rPr>
        <w:t>discriminación.</w:t>
      </w:r>
      <w:r>
        <w:rPr>
          <w:spacing w:val="-2"/>
          <w:w w:val="105"/>
        </w:rPr>
        <w:t xml:space="preserve"> </w:t>
      </w:r>
      <w:r>
        <w:rPr>
          <w:w w:val="105"/>
        </w:rPr>
        <w:t>Las</w:t>
      </w:r>
      <w:r>
        <w:rPr>
          <w:spacing w:val="-3"/>
          <w:w w:val="105"/>
        </w:rPr>
        <w:t xml:space="preserve"> </w:t>
      </w:r>
      <w:r>
        <w:rPr>
          <w:w w:val="105"/>
        </w:rPr>
        <w:t>leyes</w:t>
      </w:r>
      <w:r>
        <w:rPr>
          <w:spacing w:val="-3"/>
          <w:w w:val="105"/>
        </w:rPr>
        <w:t xml:space="preserve"> </w:t>
      </w:r>
      <w:r>
        <w:rPr>
          <w:w w:val="105"/>
        </w:rPr>
        <w:t>contra</w:t>
      </w:r>
      <w:r>
        <w:rPr>
          <w:spacing w:val="-3"/>
          <w:w w:val="105"/>
        </w:rPr>
        <w:t xml:space="preserve"> </w:t>
      </w:r>
      <w:r>
        <w:rPr>
          <w:w w:val="105"/>
        </w:rPr>
        <w:t>la</w:t>
      </w:r>
      <w:r>
        <w:rPr>
          <w:spacing w:val="-3"/>
          <w:w w:val="105"/>
        </w:rPr>
        <w:t xml:space="preserve"> </w:t>
      </w:r>
      <w:r>
        <w:rPr>
          <w:w w:val="105"/>
        </w:rPr>
        <w:t>discriminación</w:t>
      </w:r>
      <w:r>
        <w:rPr>
          <w:spacing w:val="-3"/>
          <w:w w:val="105"/>
        </w:rPr>
        <w:t xml:space="preserve"> </w:t>
      </w:r>
      <w:r>
        <w:rPr>
          <w:w w:val="105"/>
        </w:rPr>
        <w:t>deben</w:t>
      </w:r>
      <w:r>
        <w:rPr>
          <w:spacing w:val="-3"/>
          <w:w w:val="105"/>
        </w:rPr>
        <w:t xml:space="preserve"> </w:t>
      </w:r>
      <w:r>
        <w:rPr>
          <w:w w:val="105"/>
        </w:rPr>
        <w:t>prever</w:t>
      </w:r>
      <w:r>
        <w:rPr>
          <w:spacing w:val="-3"/>
          <w:w w:val="105"/>
        </w:rPr>
        <w:t xml:space="preserve"> </w:t>
      </w:r>
      <w:r>
        <w:rPr>
          <w:w w:val="105"/>
        </w:rPr>
        <w:t>sanciones</w:t>
      </w:r>
      <w:r>
        <w:rPr>
          <w:spacing w:val="-3"/>
          <w:w w:val="105"/>
        </w:rPr>
        <w:t xml:space="preserve"> </w:t>
      </w:r>
      <w:r>
        <w:rPr>
          <w:w w:val="105"/>
        </w:rPr>
        <w:t>por discriminación</w:t>
      </w:r>
      <w:r>
        <w:rPr>
          <w:spacing w:val="-6"/>
          <w:w w:val="105"/>
        </w:rPr>
        <w:t xml:space="preserve"> </w:t>
      </w:r>
      <w:r>
        <w:rPr>
          <w:w w:val="105"/>
        </w:rPr>
        <w:t>que</w:t>
      </w:r>
      <w:r>
        <w:rPr>
          <w:spacing w:val="-6"/>
          <w:w w:val="105"/>
        </w:rPr>
        <w:t xml:space="preserve"> </w:t>
      </w:r>
      <w:r>
        <w:rPr>
          <w:w w:val="105"/>
        </w:rPr>
        <w:t>sean</w:t>
      </w:r>
      <w:r>
        <w:rPr>
          <w:spacing w:val="-6"/>
          <w:w w:val="105"/>
        </w:rPr>
        <w:t xml:space="preserve"> </w:t>
      </w:r>
      <w:r>
        <w:rPr>
          <w:w w:val="105"/>
        </w:rPr>
        <w:t>efectivas,</w:t>
      </w:r>
      <w:r>
        <w:rPr>
          <w:spacing w:val="-5"/>
          <w:w w:val="105"/>
        </w:rPr>
        <w:t xml:space="preserve"> </w:t>
      </w:r>
      <w:r>
        <w:rPr>
          <w:w w:val="105"/>
        </w:rPr>
        <w:t>disuasorias</w:t>
      </w:r>
      <w:r>
        <w:rPr>
          <w:spacing w:val="-6"/>
          <w:w w:val="105"/>
        </w:rPr>
        <w:t xml:space="preserve"> </w:t>
      </w:r>
      <w:r>
        <w:rPr>
          <w:w w:val="105"/>
        </w:rPr>
        <w:t>y</w:t>
      </w:r>
      <w:r>
        <w:rPr>
          <w:spacing w:val="-6"/>
          <w:w w:val="105"/>
        </w:rPr>
        <w:t xml:space="preserve"> </w:t>
      </w:r>
      <w:r>
        <w:rPr>
          <w:w w:val="105"/>
        </w:rPr>
        <w:t>proporcionadas.</w:t>
      </w:r>
      <w:r>
        <w:rPr>
          <w:spacing w:val="-5"/>
          <w:w w:val="105"/>
        </w:rPr>
        <w:t xml:space="preserve"> </w:t>
      </w:r>
      <w:r>
        <w:rPr>
          <w:w w:val="105"/>
        </w:rPr>
        <w:t>También</w:t>
      </w:r>
      <w:r>
        <w:rPr>
          <w:spacing w:val="-6"/>
          <w:w w:val="105"/>
        </w:rPr>
        <w:t xml:space="preserve"> </w:t>
      </w:r>
      <w:r>
        <w:rPr>
          <w:w w:val="105"/>
        </w:rPr>
        <w:t>deberían</w:t>
      </w:r>
      <w:r>
        <w:rPr>
          <w:spacing w:val="-6"/>
          <w:w w:val="105"/>
        </w:rPr>
        <w:t xml:space="preserve"> </w:t>
      </w:r>
      <w:r>
        <w:rPr>
          <w:w w:val="105"/>
        </w:rPr>
        <w:t>prever</w:t>
      </w:r>
      <w:r>
        <w:rPr>
          <w:spacing w:val="-6"/>
          <w:w w:val="105"/>
        </w:rPr>
        <w:t xml:space="preserve"> </w:t>
      </w:r>
      <w:r>
        <w:rPr>
          <w:w w:val="105"/>
        </w:rPr>
        <w:t>el</w:t>
      </w:r>
      <w:r>
        <w:rPr>
          <w:spacing w:val="-6"/>
          <w:w w:val="105"/>
        </w:rPr>
        <w:t xml:space="preserve"> </w:t>
      </w:r>
      <w:r>
        <w:rPr>
          <w:w w:val="105"/>
        </w:rPr>
        <w:t>reconocimiento</w:t>
      </w:r>
      <w:r>
        <w:rPr>
          <w:spacing w:val="-6"/>
          <w:w w:val="105"/>
        </w:rPr>
        <w:t xml:space="preserve"> </w:t>
      </w:r>
      <w:r>
        <w:rPr>
          <w:w w:val="105"/>
        </w:rPr>
        <w:t>y</w:t>
      </w:r>
      <w:r>
        <w:rPr>
          <w:spacing w:val="-6"/>
          <w:w w:val="105"/>
        </w:rPr>
        <w:t xml:space="preserve"> </w:t>
      </w:r>
      <w:r>
        <w:rPr>
          <w:w w:val="105"/>
        </w:rPr>
        <w:t>la</w:t>
      </w:r>
      <w:r>
        <w:rPr>
          <w:spacing w:val="-6"/>
          <w:w w:val="105"/>
        </w:rPr>
        <w:t xml:space="preserve"> </w:t>
      </w:r>
      <w:r>
        <w:rPr>
          <w:w w:val="105"/>
        </w:rPr>
        <w:t>reparación de</w:t>
      </w:r>
      <w:r>
        <w:rPr>
          <w:spacing w:val="-5"/>
          <w:w w:val="105"/>
        </w:rPr>
        <w:t xml:space="preserve"> </w:t>
      </w:r>
      <w:r>
        <w:rPr>
          <w:w w:val="105"/>
        </w:rPr>
        <w:t>las</w:t>
      </w:r>
      <w:r>
        <w:rPr>
          <w:spacing w:val="-5"/>
          <w:w w:val="105"/>
        </w:rPr>
        <w:t xml:space="preserve"> </w:t>
      </w:r>
      <w:r>
        <w:rPr>
          <w:w w:val="105"/>
        </w:rPr>
        <w:t>víctimas</w:t>
      </w:r>
      <w:r>
        <w:rPr>
          <w:spacing w:val="-5"/>
          <w:w w:val="105"/>
        </w:rPr>
        <w:t xml:space="preserve"> </w:t>
      </w:r>
      <w:r>
        <w:rPr>
          <w:w w:val="105"/>
        </w:rPr>
        <w:t>de</w:t>
      </w:r>
      <w:r>
        <w:rPr>
          <w:spacing w:val="-5"/>
          <w:w w:val="105"/>
        </w:rPr>
        <w:t xml:space="preserve"> </w:t>
      </w:r>
      <w:r>
        <w:rPr>
          <w:w w:val="105"/>
        </w:rPr>
        <w:t>discriminación,</w:t>
      </w:r>
      <w:r>
        <w:rPr>
          <w:spacing w:val="-4"/>
          <w:w w:val="105"/>
        </w:rPr>
        <w:t xml:space="preserve"> </w:t>
      </w:r>
      <w:r>
        <w:rPr>
          <w:w w:val="105"/>
        </w:rPr>
        <w:t>incluso</w:t>
      </w:r>
      <w:r>
        <w:rPr>
          <w:spacing w:val="-5"/>
          <w:w w:val="105"/>
        </w:rPr>
        <w:t xml:space="preserve"> </w:t>
      </w:r>
      <w:r>
        <w:rPr>
          <w:w w:val="105"/>
        </w:rPr>
        <w:t>en</w:t>
      </w:r>
      <w:r>
        <w:rPr>
          <w:spacing w:val="-5"/>
          <w:w w:val="105"/>
        </w:rPr>
        <w:t xml:space="preserve"> </w:t>
      </w:r>
      <w:r>
        <w:rPr>
          <w:w w:val="105"/>
        </w:rPr>
        <w:t>forma</w:t>
      </w:r>
      <w:r>
        <w:rPr>
          <w:spacing w:val="-5"/>
          <w:w w:val="105"/>
        </w:rPr>
        <w:t xml:space="preserve"> </w:t>
      </w:r>
      <w:r>
        <w:rPr>
          <w:w w:val="105"/>
        </w:rPr>
        <w:t>de</w:t>
      </w:r>
      <w:r>
        <w:rPr>
          <w:spacing w:val="-5"/>
          <w:w w:val="105"/>
        </w:rPr>
        <w:t xml:space="preserve"> </w:t>
      </w:r>
      <w:r>
        <w:rPr>
          <w:w w:val="105"/>
        </w:rPr>
        <w:t>compensación,</w:t>
      </w:r>
      <w:r>
        <w:rPr>
          <w:spacing w:val="-4"/>
          <w:w w:val="105"/>
        </w:rPr>
        <w:t xml:space="preserve"> </w:t>
      </w:r>
      <w:r>
        <w:rPr>
          <w:w w:val="105"/>
        </w:rPr>
        <w:t>restitución</w:t>
      </w:r>
      <w:r>
        <w:rPr>
          <w:spacing w:val="-5"/>
          <w:w w:val="105"/>
        </w:rPr>
        <w:t xml:space="preserve"> </w:t>
      </w:r>
      <w:r>
        <w:rPr>
          <w:w w:val="105"/>
        </w:rPr>
        <w:t>y</w:t>
      </w:r>
      <w:r>
        <w:rPr>
          <w:spacing w:val="-5"/>
          <w:w w:val="105"/>
        </w:rPr>
        <w:t xml:space="preserve"> </w:t>
      </w:r>
      <w:r>
        <w:rPr>
          <w:w w:val="105"/>
        </w:rPr>
        <w:t>rehabilitación.</w:t>
      </w:r>
      <w:r>
        <w:rPr>
          <w:spacing w:val="-4"/>
          <w:w w:val="105"/>
        </w:rPr>
        <w:t xml:space="preserve"> </w:t>
      </w:r>
      <w:r>
        <w:rPr>
          <w:w w:val="105"/>
        </w:rPr>
        <w:t>Las</w:t>
      </w:r>
      <w:r>
        <w:rPr>
          <w:spacing w:val="-5"/>
          <w:w w:val="105"/>
        </w:rPr>
        <w:t xml:space="preserve"> </w:t>
      </w:r>
      <w:r>
        <w:rPr>
          <w:w w:val="105"/>
        </w:rPr>
        <w:t>reparaciones</w:t>
      </w:r>
      <w:r>
        <w:rPr>
          <w:spacing w:val="-5"/>
          <w:w w:val="105"/>
        </w:rPr>
        <w:t xml:space="preserve"> </w:t>
      </w:r>
      <w:r>
        <w:rPr>
          <w:w w:val="105"/>
        </w:rPr>
        <w:t>deben centrarse en las víctimas y tener en cuenta la igualdad.</w:t>
      </w:r>
    </w:p>
    <w:p w14:paraId="48D7AF8B" w14:textId="77777777" w:rsidR="0014798C" w:rsidRDefault="004E1F0B">
      <w:pPr>
        <w:pStyle w:val="Textoindependiente"/>
        <w:spacing w:before="167" w:line="326" w:lineRule="auto"/>
        <w:ind w:left="1107" w:right="1166" w:hanging="1"/>
      </w:pPr>
      <w:r>
        <w:rPr>
          <w:w w:val="105"/>
        </w:rPr>
        <w:t>Las</w:t>
      </w:r>
      <w:r>
        <w:rPr>
          <w:spacing w:val="-2"/>
          <w:w w:val="105"/>
        </w:rPr>
        <w:t xml:space="preserve"> </w:t>
      </w:r>
      <w:r>
        <w:rPr>
          <w:w w:val="105"/>
        </w:rPr>
        <w:t>leyes</w:t>
      </w:r>
      <w:r>
        <w:rPr>
          <w:spacing w:val="-2"/>
          <w:w w:val="105"/>
        </w:rPr>
        <w:t xml:space="preserve"> </w:t>
      </w:r>
      <w:r>
        <w:rPr>
          <w:w w:val="105"/>
        </w:rPr>
        <w:t>contra</w:t>
      </w:r>
      <w:r>
        <w:rPr>
          <w:spacing w:val="-2"/>
          <w:w w:val="105"/>
        </w:rPr>
        <w:t xml:space="preserve"> </w:t>
      </w:r>
      <w:r>
        <w:rPr>
          <w:w w:val="105"/>
        </w:rPr>
        <w:t>la</w:t>
      </w:r>
      <w:r>
        <w:rPr>
          <w:spacing w:val="-2"/>
          <w:w w:val="105"/>
        </w:rPr>
        <w:t xml:space="preserve"> </w:t>
      </w:r>
      <w:r>
        <w:rPr>
          <w:w w:val="105"/>
        </w:rPr>
        <w:t>discriminación</w:t>
      </w:r>
      <w:r>
        <w:rPr>
          <w:spacing w:val="-2"/>
          <w:w w:val="105"/>
        </w:rPr>
        <w:t xml:space="preserve"> </w:t>
      </w:r>
      <w:r>
        <w:rPr>
          <w:w w:val="105"/>
        </w:rPr>
        <w:t>deberían</w:t>
      </w:r>
      <w:r>
        <w:rPr>
          <w:spacing w:val="-2"/>
          <w:w w:val="105"/>
        </w:rPr>
        <w:t xml:space="preserve"> </w:t>
      </w:r>
      <w:r>
        <w:rPr>
          <w:w w:val="105"/>
        </w:rPr>
        <w:t>facultar</w:t>
      </w:r>
      <w:r>
        <w:rPr>
          <w:spacing w:val="-2"/>
          <w:w w:val="105"/>
        </w:rPr>
        <w:t xml:space="preserve"> </w:t>
      </w:r>
      <w:r>
        <w:rPr>
          <w:w w:val="105"/>
        </w:rPr>
        <w:t>a</w:t>
      </w:r>
      <w:r>
        <w:rPr>
          <w:spacing w:val="-2"/>
          <w:w w:val="105"/>
        </w:rPr>
        <w:t xml:space="preserve"> </w:t>
      </w:r>
      <w:r>
        <w:rPr>
          <w:w w:val="105"/>
        </w:rPr>
        <w:t>los</w:t>
      </w:r>
      <w:r>
        <w:rPr>
          <w:spacing w:val="-2"/>
          <w:w w:val="105"/>
        </w:rPr>
        <w:t xml:space="preserve"> </w:t>
      </w:r>
      <w:r>
        <w:rPr>
          <w:w w:val="105"/>
        </w:rPr>
        <w:t>tribunales</w:t>
      </w:r>
      <w:r>
        <w:rPr>
          <w:spacing w:val="-2"/>
          <w:w w:val="105"/>
        </w:rPr>
        <w:t xml:space="preserve"> </w:t>
      </w:r>
      <w:r>
        <w:rPr>
          <w:w w:val="105"/>
        </w:rPr>
        <w:t>y</w:t>
      </w:r>
      <w:r>
        <w:rPr>
          <w:spacing w:val="-2"/>
          <w:w w:val="105"/>
        </w:rPr>
        <w:t xml:space="preserve"> </w:t>
      </w:r>
      <w:r>
        <w:rPr>
          <w:w w:val="105"/>
        </w:rPr>
        <w:t>órganos</w:t>
      </w:r>
      <w:r>
        <w:rPr>
          <w:spacing w:val="-2"/>
          <w:w w:val="105"/>
        </w:rPr>
        <w:t xml:space="preserve"> </w:t>
      </w:r>
      <w:r>
        <w:rPr>
          <w:w w:val="105"/>
        </w:rPr>
        <w:t>responsables</w:t>
      </w:r>
      <w:r>
        <w:rPr>
          <w:spacing w:val="-2"/>
          <w:w w:val="105"/>
        </w:rPr>
        <w:t xml:space="preserve"> </w:t>
      </w:r>
      <w:r>
        <w:rPr>
          <w:w w:val="105"/>
        </w:rPr>
        <w:t>de</w:t>
      </w:r>
      <w:r>
        <w:rPr>
          <w:spacing w:val="-2"/>
          <w:w w:val="105"/>
        </w:rPr>
        <w:t xml:space="preserve"> </w:t>
      </w:r>
      <w:r>
        <w:rPr>
          <w:w w:val="105"/>
        </w:rPr>
        <w:t>determinar</w:t>
      </w:r>
      <w:r>
        <w:rPr>
          <w:spacing w:val="-2"/>
          <w:w w:val="105"/>
        </w:rPr>
        <w:t xml:space="preserve"> </w:t>
      </w:r>
      <w:r>
        <w:rPr>
          <w:w w:val="105"/>
        </w:rPr>
        <w:t>los</w:t>
      </w:r>
      <w:r>
        <w:rPr>
          <w:spacing w:val="-2"/>
          <w:w w:val="105"/>
        </w:rPr>
        <w:t xml:space="preserve"> </w:t>
      </w:r>
      <w:r>
        <w:rPr>
          <w:w w:val="105"/>
        </w:rPr>
        <w:t>casos</w:t>
      </w:r>
      <w:r>
        <w:rPr>
          <w:spacing w:val="-2"/>
          <w:w w:val="105"/>
        </w:rPr>
        <w:t xml:space="preserve"> </w:t>
      </w:r>
      <w:r>
        <w:rPr>
          <w:w w:val="105"/>
        </w:rPr>
        <w:t>de discriminación</w:t>
      </w:r>
      <w:r>
        <w:rPr>
          <w:spacing w:val="-12"/>
          <w:w w:val="105"/>
        </w:rPr>
        <w:t xml:space="preserve"> </w:t>
      </w:r>
      <w:r>
        <w:rPr>
          <w:w w:val="105"/>
        </w:rPr>
        <w:t>para</w:t>
      </w:r>
      <w:r>
        <w:rPr>
          <w:spacing w:val="-12"/>
          <w:w w:val="105"/>
        </w:rPr>
        <w:t xml:space="preserve"> </w:t>
      </w:r>
      <w:r>
        <w:rPr>
          <w:w w:val="105"/>
        </w:rPr>
        <w:t>ordenar</w:t>
      </w:r>
      <w:r>
        <w:rPr>
          <w:spacing w:val="-11"/>
          <w:w w:val="105"/>
        </w:rPr>
        <w:t xml:space="preserve"> </w:t>
      </w:r>
      <w:r>
        <w:rPr>
          <w:w w:val="105"/>
        </w:rPr>
        <w:t>las</w:t>
      </w:r>
      <w:r>
        <w:rPr>
          <w:spacing w:val="-12"/>
          <w:w w:val="105"/>
        </w:rPr>
        <w:t xml:space="preserve"> </w:t>
      </w:r>
      <w:r>
        <w:rPr>
          <w:w w:val="105"/>
        </w:rPr>
        <w:t>medidas</w:t>
      </w:r>
      <w:r>
        <w:rPr>
          <w:spacing w:val="-12"/>
          <w:w w:val="105"/>
        </w:rPr>
        <w:t xml:space="preserve"> </w:t>
      </w:r>
      <w:r>
        <w:rPr>
          <w:w w:val="105"/>
        </w:rPr>
        <w:t>institucionales</w:t>
      </w:r>
      <w:r>
        <w:rPr>
          <w:spacing w:val="-12"/>
          <w:w w:val="105"/>
        </w:rPr>
        <w:t xml:space="preserve"> </w:t>
      </w:r>
      <w:r>
        <w:rPr>
          <w:w w:val="105"/>
        </w:rPr>
        <w:t>o</w:t>
      </w:r>
      <w:r>
        <w:rPr>
          <w:spacing w:val="-11"/>
          <w:w w:val="105"/>
        </w:rPr>
        <w:t xml:space="preserve"> </w:t>
      </w:r>
      <w:r>
        <w:rPr>
          <w:w w:val="105"/>
        </w:rPr>
        <w:t>sociales</w:t>
      </w:r>
      <w:r>
        <w:rPr>
          <w:spacing w:val="-12"/>
          <w:w w:val="105"/>
        </w:rPr>
        <w:t xml:space="preserve"> </w:t>
      </w:r>
      <w:r>
        <w:rPr>
          <w:w w:val="105"/>
        </w:rPr>
        <w:t>apropiadas</w:t>
      </w:r>
      <w:r>
        <w:rPr>
          <w:spacing w:val="-12"/>
          <w:w w:val="105"/>
        </w:rPr>
        <w:t xml:space="preserve"> </w:t>
      </w:r>
      <w:r>
        <w:rPr>
          <w:w w:val="105"/>
        </w:rPr>
        <w:t>para</w:t>
      </w:r>
      <w:r>
        <w:rPr>
          <w:spacing w:val="-11"/>
          <w:w w:val="105"/>
        </w:rPr>
        <w:t xml:space="preserve"> </w:t>
      </w:r>
      <w:r>
        <w:rPr>
          <w:w w:val="105"/>
        </w:rPr>
        <w:t>corregir,</w:t>
      </w:r>
      <w:r>
        <w:rPr>
          <w:spacing w:val="-12"/>
          <w:w w:val="105"/>
        </w:rPr>
        <w:t xml:space="preserve"> </w:t>
      </w:r>
      <w:r>
        <w:rPr>
          <w:w w:val="105"/>
        </w:rPr>
        <w:t>disuadir</w:t>
      </w:r>
      <w:r>
        <w:rPr>
          <w:spacing w:val="-12"/>
          <w:w w:val="105"/>
        </w:rPr>
        <w:t xml:space="preserve"> </w:t>
      </w:r>
      <w:r>
        <w:rPr>
          <w:w w:val="105"/>
        </w:rPr>
        <w:t>y</w:t>
      </w:r>
      <w:r>
        <w:rPr>
          <w:spacing w:val="-11"/>
          <w:w w:val="105"/>
        </w:rPr>
        <w:t xml:space="preserve"> </w:t>
      </w:r>
      <w:r>
        <w:rPr>
          <w:w w:val="105"/>
        </w:rPr>
        <w:t>prevenir</w:t>
      </w:r>
      <w:r>
        <w:rPr>
          <w:spacing w:val="-12"/>
          <w:w w:val="105"/>
        </w:rPr>
        <w:t xml:space="preserve"> </w:t>
      </w:r>
      <w:r>
        <w:rPr>
          <w:w w:val="105"/>
        </w:rPr>
        <w:t>la</w:t>
      </w:r>
      <w:r>
        <w:rPr>
          <w:spacing w:val="-12"/>
          <w:w w:val="105"/>
        </w:rPr>
        <w:t xml:space="preserve"> </w:t>
      </w:r>
      <w:r>
        <w:rPr>
          <w:w w:val="105"/>
        </w:rPr>
        <w:t>discriminación y</w:t>
      </w:r>
      <w:r>
        <w:rPr>
          <w:spacing w:val="-3"/>
          <w:w w:val="105"/>
        </w:rPr>
        <w:t xml:space="preserve"> </w:t>
      </w:r>
      <w:r>
        <w:rPr>
          <w:w w:val="105"/>
        </w:rPr>
        <w:t>garantizar</w:t>
      </w:r>
      <w:r>
        <w:rPr>
          <w:spacing w:val="-3"/>
          <w:w w:val="105"/>
        </w:rPr>
        <w:t xml:space="preserve"> </w:t>
      </w:r>
      <w:r>
        <w:rPr>
          <w:w w:val="105"/>
        </w:rPr>
        <w:t>la</w:t>
      </w:r>
      <w:r>
        <w:rPr>
          <w:spacing w:val="-3"/>
          <w:w w:val="105"/>
        </w:rPr>
        <w:t xml:space="preserve"> </w:t>
      </w:r>
      <w:r>
        <w:rPr>
          <w:w w:val="105"/>
        </w:rPr>
        <w:t>no</w:t>
      </w:r>
      <w:r>
        <w:rPr>
          <w:spacing w:val="-3"/>
          <w:w w:val="105"/>
        </w:rPr>
        <w:t xml:space="preserve"> </w:t>
      </w:r>
      <w:r>
        <w:rPr>
          <w:w w:val="105"/>
        </w:rPr>
        <w:t>repetición.</w:t>
      </w:r>
      <w:r>
        <w:rPr>
          <w:spacing w:val="-2"/>
          <w:w w:val="105"/>
        </w:rPr>
        <w:t xml:space="preserve"> </w:t>
      </w:r>
      <w:r>
        <w:rPr>
          <w:w w:val="105"/>
        </w:rPr>
        <w:t>En</w:t>
      </w:r>
      <w:r>
        <w:rPr>
          <w:spacing w:val="-3"/>
          <w:w w:val="105"/>
        </w:rPr>
        <w:t xml:space="preserve"> </w:t>
      </w:r>
      <w:r>
        <w:rPr>
          <w:w w:val="105"/>
        </w:rPr>
        <w:t>situaciones</w:t>
      </w:r>
      <w:r>
        <w:rPr>
          <w:spacing w:val="-3"/>
          <w:w w:val="105"/>
        </w:rPr>
        <w:t xml:space="preserve"> </w:t>
      </w:r>
      <w:r>
        <w:rPr>
          <w:w w:val="105"/>
        </w:rPr>
        <w:t>en</w:t>
      </w:r>
      <w:r>
        <w:rPr>
          <w:spacing w:val="-3"/>
          <w:w w:val="105"/>
        </w:rPr>
        <w:t xml:space="preserve"> </w:t>
      </w:r>
      <w:r>
        <w:rPr>
          <w:w w:val="105"/>
        </w:rPr>
        <w:t>las</w:t>
      </w:r>
      <w:r>
        <w:rPr>
          <w:spacing w:val="-3"/>
          <w:w w:val="105"/>
        </w:rPr>
        <w:t xml:space="preserve"> </w:t>
      </w:r>
      <w:r>
        <w:rPr>
          <w:w w:val="105"/>
        </w:rPr>
        <w:t>que</w:t>
      </w:r>
      <w:r>
        <w:rPr>
          <w:spacing w:val="-3"/>
          <w:w w:val="105"/>
        </w:rPr>
        <w:t xml:space="preserve"> </w:t>
      </w:r>
      <w:r>
        <w:rPr>
          <w:w w:val="105"/>
        </w:rPr>
        <w:t>la</w:t>
      </w:r>
      <w:r>
        <w:rPr>
          <w:spacing w:val="-3"/>
          <w:w w:val="105"/>
        </w:rPr>
        <w:t xml:space="preserve"> </w:t>
      </w:r>
      <w:r>
        <w:rPr>
          <w:w w:val="105"/>
        </w:rPr>
        <w:t>legislación</w:t>
      </w:r>
      <w:r>
        <w:rPr>
          <w:spacing w:val="-3"/>
          <w:w w:val="105"/>
        </w:rPr>
        <w:t xml:space="preserve"> </w:t>
      </w:r>
      <w:r>
        <w:rPr>
          <w:w w:val="105"/>
        </w:rPr>
        <w:t>nacional</w:t>
      </w:r>
      <w:r>
        <w:rPr>
          <w:spacing w:val="-3"/>
          <w:w w:val="105"/>
        </w:rPr>
        <w:t xml:space="preserve"> </w:t>
      </w:r>
      <w:r>
        <w:rPr>
          <w:w w:val="105"/>
        </w:rPr>
        <w:t>especifica</w:t>
      </w:r>
      <w:r>
        <w:rPr>
          <w:spacing w:val="-3"/>
          <w:w w:val="105"/>
        </w:rPr>
        <w:t xml:space="preserve"> </w:t>
      </w:r>
      <w:r>
        <w:rPr>
          <w:w w:val="105"/>
        </w:rPr>
        <w:t>tipos</w:t>
      </w:r>
      <w:r>
        <w:rPr>
          <w:spacing w:val="-3"/>
          <w:w w:val="105"/>
        </w:rPr>
        <w:t xml:space="preserve"> </w:t>
      </w:r>
      <w:r>
        <w:rPr>
          <w:w w:val="105"/>
        </w:rPr>
        <w:t>de</w:t>
      </w:r>
      <w:r>
        <w:rPr>
          <w:spacing w:val="-3"/>
          <w:w w:val="105"/>
        </w:rPr>
        <w:t xml:space="preserve"> </w:t>
      </w:r>
      <w:r>
        <w:rPr>
          <w:w w:val="105"/>
        </w:rPr>
        <w:t>recursos</w:t>
      </w:r>
      <w:r>
        <w:rPr>
          <w:spacing w:val="-3"/>
          <w:w w:val="105"/>
        </w:rPr>
        <w:t xml:space="preserve"> </w:t>
      </w:r>
      <w:r>
        <w:rPr>
          <w:w w:val="105"/>
        </w:rPr>
        <w:t>para</w:t>
      </w:r>
      <w:r>
        <w:rPr>
          <w:spacing w:val="-3"/>
          <w:w w:val="105"/>
        </w:rPr>
        <w:t xml:space="preserve"> </w:t>
      </w:r>
      <w:r>
        <w:rPr>
          <w:w w:val="105"/>
        </w:rPr>
        <w:t>las</w:t>
      </w:r>
      <w:r>
        <w:rPr>
          <w:spacing w:val="-3"/>
          <w:w w:val="105"/>
        </w:rPr>
        <w:t xml:space="preserve"> </w:t>
      </w:r>
      <w:r>
        <w:rPr>
          <w:w w:val="105"/>
        </w:rPr>
        <w:t>víctimas</w:t>
      </w:r>
      <w:r>
        <w:rPr>
          <w:spacing w:val="-3"/>
          <w:w w:val="105"/>
        </w:rPr>
        <w:t xml:space="preserve"> </w:t>
      </w:r>
      <w:r>
        <w:rPr>
          <w:w w:val="105"/>
        </w:rPr>
        <w:t>de discriminación,</w:t>
      </w:r>
      <w:r>
        <w:rPr>
          <w:spacing w:val="-9"/>
          <w:w w:val="105"/>
        </w:rPr>
        <w:t xml:space="preserve"> </w:t>
      </w:r>
      <w:r>
        <w:rPr>
          <w:w w:val="105"/>
        </w:rPr>
        <w:t>esas</w:t>
      </w:r>
      <w:r>
        <w:rPr>
          <w:spacing w:val="-10"/>
          <w:w w:val="105"/>
        </w:rPr>
        <w:t xml:space="preserve"> </w:t>
      </w:r>
      <w:r>
        <w:rPr>
          <w:w w:val="105"/>
        </w:rPr>
        <w:t>listas</w:t>
      </w:r>
      <w:r>
        <w:rPr>
          <w:spacing w:val="-10"/>
          <w:w w:val="105"/>
        </w:rPr>
        <w:t xml:space="preserve"> </w:t>
      </w:r>
      <w:r>
        <w:rPr>
          <w:w w:val="105"/>
        </w:rPr>
        <w:t>de</w:t>
      </w:r>
      <w:r>
        <w:rPr>
          <w:spacing w:val="-10"/>
          <w:w w:val="105"/>
        </w:rPr>
        <w:t xml:space="preserve"> </w:t>
      </w:r>
      <w:r>
        <w:rPr>
          <w:w w:val="105"/>
        </w:rPr>
        <w:t>posibles</w:t>
      </w:r>
      <w:r>
        <w:rPr>
          <w:spacing w:val="-10"/>
          <w:w w:val="105"/>
        </w:rPr>
        <w:t xml:space="preserve"> </w:t>
      </w:r>
      <w:r>
        <w:rPr>
          <w:w w:val="105"/>
        </w:rPr>
        <w:t>recursos</w:t>
      </w:r>
      <w:r>
        <w:rPr>
          <w:spacing w:val="-10"/>
          <w:w w:val="105"/>
        </w:rPr>
        <w:t xml:space="preserve"> </w:t>
      </w:r>
      <w:r>
        <w:rPr>
          <w:w w:val="105"/>
        </w:rPr>
        <w:t>no</w:t>
      </w:r>
      <w:r>
        <w:rPr>
          <w:spacing w:val="-10"/>
          <w:w w:val="105"/>
        </w:rPr>
        <w:t xml:space="preserve"> </w:t>
      </w:r>
      <w:r>
        <w:rPr>
          <w:w w:val="105"/>
        </w:rPr>
        <w:t>deben</w:t>
      </w:r>
      <w:r>
        <w:rPr>
          <w:spacing w:val="-10"/>
          <w:w w:val="105"/>
        </w:rPr>
        <w:t xml:space="preserve"> </w:t>
      </w:r>
      <w:r>
        <w:rPr>
          <w:w w:val="105"/>
        </w:rPr>
        <w:t>ser</w:t>
      </w:r>
      <w:r>
        <w:rPr>
          <w:spacing w:val="-10"/>
          <w:w w:val="105"/>
        </w:rPr>
        <w:t xml:space="preserve"> </w:t>
      </w:r>
      <w:r>
        <w:rPr>
          <w:w w:val="105"/>
        </w:rPr>
        <w:t>exhaustivas;</w:t>
      </w:r>
      <w:r>
        <w:rPr>
          <w:spacing w:val="-9"/>
          <w:w w:val="105"/>
        </w:rPr>
        <w:t xml:space="preserve"> </w:t>
      </w:r>
      <w:r>
        <w:rPr>
          <w:w w:val="105"/>
        </w:rPr>
        <w:t>los</w:t>
      </w:r>
      <w:r>
        <w:rPr>
          <w:spacing w:val="-10"/>
          <w:w w:val="105"/>
        </w:rPr>
        <w:t xml:space="preserve"> </w:t>
      </w:r>
      <w:r>
        <w:rPr>
          <w:w w:val="105"/>
        </w:rPr>
        <w:t>tribunales</w:t>
      </w:r>
      <w:r>
        <w:rPr>
          <w:spacing w:val="-10"/>
          <w:w w:val="105"/>
        </w:rPr>
        <w:t xml:space="preserve"> </w:t>
      </w:r>
      <w:r>
        <w:rPr>
          <w:w w:val="105"/>
        </w:rPr>
        <w:t>y</w:t>
      </w:r>
      <w:r>
        <w:rPr>
          <w:spacing w:val="-10"/>
          <w:w w:val="105"/>
        </w:rPr>
        <w:t xml:space="preserve"> </w:t>
      </w:r>
      <w:r>
        <w:rPr>
          <w:w w:val="105"/>
        </w:rPr>
        <w:t>otros</w:t>
      </w:r>
      <w:r>
        <w:rPr>
          <w:spacing w:val="-10"/>
          <w:w w:val="105"/>
        </w:rPr>
        <w:t xml:space="preserve"> </w:t>
      </w:r>
      <w:r>
        <w:rPr>
          <w:w w:val="105"/>
        </w:rPr>
        <w:t>órganos</w:t>
      </w:r>
      <w:r>
        <w:rPr>
          <w:spacing w:val="-10"/>
          <w:w w:val="105"/>
        </w:rPr>
        <w:t xml:space="preserve"> </w:t>
      </w:r>
      <w:r>
        <w:rPr>
          <w:w w:val="105"/>
        </w:rPr>
        <w:t>de</w:t>
      </w:r>
      <w:r>
        <w:rPr>
          <w:spacing w:val="-10"/>
          <w:w w:val="105"/>
        </w:rPr>
        <w:t xml:space="preserve"> </w:t>
      </w:r>
      <w:r>
        <w:rPr>
          <w:w w:val="105"/>
        </w:rPr>
        <w:t>decisión</w:t>
      </w:r>
      <w:r>
        <w:rPr>
          <w:spacing w:val="-10"/>
          <w:w w:val="105"/>
        </w:rPr>
        <w:t xml:space="preserve"> </w:t>
      </w:r>
      <w:r>
        <w:rPr>
          <w:w w:val="105"/>
        </w:rPr>
        <w:t>deben tener</w:t>
      </w:r>
      <w:r>
        <w:rPr>
          <w:spacing w:val="-1"/>
          <w:w w:val="105"/>
        </w:rPr>
        <w:t xml:space="preserve"> </w:t>
      </w:r>
      <w:r>
        <w:rPr>
          <w:w w:val="105"/>
        </w:rPr>
        <w:t>discreción</w:t>
      </w:r>
      <w:r>
        <w:rPr>
          <w:spacing w:val="-1"/>
          <w:w w:val="105"/>
        </w:rPr>
        <w:t xml:space="preserve"> </w:t>
      </w:r>
      <w:r>
        <w:rPr>
          <w:w w:val="105"/>
        </w:rPr>
        <w:t>para</w:t>
      </w:r>
      <w:r>
        <w:rPr>
          <w:spacing w:val="-1"/>
          <w:w w:val="105"/>
        </w:rPr>
        <w:t xml:space="preserve"> </w:t>
      </w:r>
      <w:r>
        <w:rPr>
          <w:w w:val="105"/>
        </w:rPr>
        <w:t>diseñar</w:t>
      </w:r>
      <w:r>
        <w:rPr>
          <w:spacing w:val="-1"/>
          <w:w w:val="105"/>
        </w:rPr>
        <w:t xml:space="preserve"> </w:t>
      </w:r>
      <w:r>
        <w:rPr>
          <w:w w:val="105"/>
        </w:rPr>
        <w:t>remedios</w:t>
      </w:r>
      <w:r>
        <w:rPr>
          <w:spacing w:val="-1"/>
          <w:w w:val="105"/>
        </w:rPr>
        <w:t xml:space="preserve"> </w:t>
      </w:r>
      <w:r>
        <w:rPr>
          <w:w w:val="105"/>
        </w:rPr>
        <w:t>apropiados</w:t>
      </w:r>
      <w:r>
        <w:rPr>
          <w:spacing w:val="-1"/>
          <w:w w:val="105"/>
        </w:rPr>
        <w:t xml:space="preserve"> </w:t>
      </w:r>
      <w:r>
        <w:rPr>
          <w:w w:val="105"/>
        </w:rPr>
        <w:t>al</w:t>
      </w:r>
      <w:r>
        <w:rPr>
          <w:spacing w:val="-1"/>
          <w:w w:val="105"/>
        </w:rPr>
        <w:t xml:space="preserve"> </w:t>
      </w:r>
      <w:r>
        <w:rPr>
          <w:w w:val="105"/>
        </w:rPr>
        <w:t>daño</w:t>
      </w:r>
      <w:r>
        <w:rPr>
          <w:spacing w:val="-1"/>
          <w:w w:val="105"/>
        </w:rPr>
        <w:t xml:space="preserve"> </w:t>
      </w:r>
      <w:r>
        <w:rPr>
          <w:w w:val="105"/>
        </w:rPr>
        <w:t>en</w:t>
      </w:r>
      <w:r>
        <w:rPr>
          <w:spacing w:val="-1"/>
          <w:w w:val="105"/>
        </w:rPr>
        <w:t xml:space="preserve"> </w:t>
      </w:r>
      <w:r>
        <w:rPr>
          <w:w w:val="105"/>
        </w:rPr>
        <w:t>cuestión</w:t>
      </w:r>
      <w:r>
        <w:rPr>
          <w:spacing w:val="-1"/>
          <w:w w:val="105"/>
        </w:rPr>
        <w:t xml:space="preserve"> </w:t>
      </w:r>
      <w:r>
        <w:rPr>
          <w:w w:val="105"/>
        </w:rPr>
        <w:t>en</w:t>
      </w:r>
      <w:r>
        <w:rPr>
          <w:spacing w:val="-1"/>
          <w:w w:val="105"/>
        </w:rPr>
        <w:t xml:space="preserve"> </w:t>
      </w:r>
      <w:r>
        <w:rPr>
          <w:w w:val="105"/>
        </w:rPr>
        <w:t>cualquier</w:t>
      </w:r>
      <w:r>
        <w:rPr>
          <w:spacing w:val="-1"/>
          <w:w w:val="105"/>
        </w:rPr>
        <w:t xml:space="preserve"> </w:t>
      </w:r>
      <w:r>
        <w:rPr>
          <w:w w:val="105"/>
        </w:rPr>
        <w:t>caso</w:t>
      </w:r>
      <w:r>
        <w:rPr>
          <w:spacing w:val="-1"/>
          <w:w w:val="105"/>
        </w:rPr>
        <w:t xml:space="preserve"> </w:t>
      </w:r>
      <w:r>
        <w:rPr>
          <w:w w:val="105"/>
        </w:rPr>
        <w:t>particular.</w:t>
      </w:r>
    </w:p>
    <w:p w14:paraId="15764BAE" w14:textId="77777777" w:rsidR="0014798C" w:rsidRDefault="004E1F0B">
      <w:pPr>
        <w:pStyle w:val="Ttulo8"/>
        <w:numPr>
          <w:ilvl w:val="0"/>
          <w:numId w:val="97"/>
        </w:numPr>
        <w:tabs>
          <w:tab w:val="left" w:pos="1479"/>
        </w:tabs>
        <w:spacing w:before="299"/>
        <w:ind w:left="1479" w:hanging="359"/>
        <w:rPr>
          <w:color w:val="0075BF"/>
        </w:rPr>
      </w:pPr>
      <w:r>
        <w:rPr>
          <w:color w:val="0075BF"/>
        </w:rPr>
        <w:t>Aplicación</w:t>
      </w:r>
      <w:r>
        <w:rPr>
          <w:color w:val="0075BF"/>
          <w:spacing w:val="3"/>
        </w:rPr>
        <w:t xml:space="preserve"> </w:t>
      </w:r>
      <w:r>
        <w:rPr>
          <w:color w:val="0075BF"/>
        </w:rPr>
        <w:t>y</w:t>
      </w:r>
      <w:r>
        <w:rPr>
          <w:color w:val="0075BF"/>
          <w:spacing w:val="4"/>
        </w:rPr>
        <w:t xml:space="preserve"> </w:t>
      </w:r>
      <w:r>
        <w:rPr>
          <w:color w:val="0075BF"/>
        </w:rPr>
        <w:t>acceso</w:t>
      </w:r>
      <w:r>
        <w:rPr>
          <w:color w:val="0075BF"/>
          <w:spacing w:val="3"/>
        </w:rPr>
        <w:t xml:space="preserve"> </w:t>
      </w:r>
      <w:r>
        <w:rPr>
          <w:color w:val="0075BF"/>
        </w:rPr>
        <w:t>a</w:t>
      </w:r>
      <w:r>
        <w:rPr>
          <w:color w:val="0075BF"/>
          <w:spacing w:val="4"/>
        </w:rPr>
        <w:t xml:space="preserve"> </w:t>
      </w:r>
      <w:r>
        <w:rPr>
          <w:color w:val="0075BF"/>
        </w:rPr>
        <w:t>la</w:t>
      </w:r>
      <w:r>
        <w:rPr>
          <w:color w:val="0075BF"/>
          <w:spacing w:val="3"/>
        </w:rPr>
        <w:t xml:space="preserve"> </w:t>
      </w:r>
      <w:r>
        <w:rPr>
          <w:color w:val="0075BF"/>
          <w:spacing w:val="-2"/>
        </w:rPr>
        <w:t>justicia</w:t>
      </w:r>
    </w:p>
    <w:p w14:paraId="76420010" w14:textId="77777777" w:rsidR="0014798C" w:rsidRDefault="0014798C">
      <w:pPr>
        <w:pStyle w:val="Textoindependiente"/>
        <w:spacing w:before="13"/>
        <w:rPr>
          <w:sz w:val="17"/>
        </w:rPr>
      </w:pPr>
    </w:p>
    <w:p w14:paraId="5D096C4F" w14:textId="77777777" w:rsidR="0014798C" w:rsidRDefault="004E1F0B">
      <w:pPr>
        <w:spacing w:before="1" w:line="307" w:lineRule="auto"/>
        <w:ind w:left="1111" w:right="1272" w:firstLine="3"/>
        <w:rPr>
          <w:sz w:val="17"/>
        </w:rPr>
      </w:pPr>
      <w:r>
        <w:rPr>
          <w:sz w:val="17"/>
        </w:rPr>
        <w:t>Una</w:t>
      </w:r>
      <w:r>
        <w:rPr>
          <w:spacing w:val="-3"/>
          <w:sz w:val="17"/>
        </w:rPr>
        <w:t xml:space="preserve"> </w:t>
      </w:r>
      <w:r>
        <w:rPr>
          <w:sz w:val="17"/>
        </w:rPr>
        <w:t>ley</w:t>
      </w:r>
      <w:r>
        <w:rPr>
          <w:spacing w:val="-3"/>
          <w:sz w:val="17"/>
        </w:rPr>
        <w:t xml:space="preserve"> </w:t>
      </w:r>
      <w:r>
        <w:rPr>
          <w:sz w:val="17"/>
        </w:rPr>
        <w:t>integral</w:t>
      </w:r>
      <w:r>
        <w:rPr>
          <w:spacing w:val="-3"/>
          <w:sz w:val="17"/>
        </w:rPr>
        <w:t xml:space="preserve"> </w:t>
      </w:r>
      <w:r>
        <w:rPr>
          <w:sz w:val="17"/>
        </w:rPr>
        <w:t>contra</w:t>
      </w:r>
      <w:r>
        <w:rPr>
          <w:spacing w:val="-3"/>
          <w:sz w:val="17"/>
        </w:rPr>
        <w:t xml:space="preserve"> </w:t>
      </w:r>
      <w:r>
        <w:rPr>
          <w:sz w:val="17"/>
        </w:rPr>
        <w:t>la</w:t>
      </w:r>
      <w:r>
        <w:rPr>
          <w:spacing w:val="-3"/>
          <w:sz w:val="17"/>
        </w:rPr>
        <w:t xml:space="preserve"> </w:t>
      </w:r>
      <w:r>
        <w:rPr>
          <w:sz w:val="17"/>
        </w:rPr>
        <w:t>discriminación</w:t>
      </w:r>
      <w:r>
        <w:rPr>
          <w:spacing w:val="-3"/>
          <w:sz w:val="17"/>
        </w:rPr>
        <w:t xml:space="preserve"> </w:t>
      </w:r>
      <w:r>
        <w:rPr>
          <w:sz w:val="17"/>
        </w:rPr>
        <w:t>debe</w:t>
      </w:r>
      <w:r>
        <w:rPr>
          <w:spacing w:val="-3"/>
          <w:sz w:val="17"/>
        </w:rPr>
        <w:t xml:space="preserve"> </w:t>
      </w:r>
      <w:r>
        <w:rPr>
          <w:sz w:val="17"/>
        </w:rPr>
        <w:t>garantizar</w:t>
      </w:r>
      <w:r>
        <w:rPr>
          <w:spacing w:val="-3"/>
          <w:sz w:val="17"/>
        </w:rPr>
        <w:t xml:space="preserve"> </w:t>
      </w:r>
      <w:r>
        <w:rPr>
          <w:sz w:val="17"/>
        </w:rPr>
        <w:t>el</w:t>
      </w:r>
      <w:r>
        <w:rPr>
          <w:spacing w:val="-3"/>
          <w:sz w:val="17"/>
        </w:rPr>
        <w:t xml:space="preserve"> </w:t>
      </w:r>
      <w:r>
        <w:rPr>
          <w:sz w:val="17"/>
        </w:rPr>
        <w:t>acceso</w:t>
      </w:r>
      <w:r>
        <w:rPr>
          <w:spacing w:val="-3"/>
          <w:sz w:val="17"/>
        </w:rPr>
        <w:t xml:space="preserve"> </w:t>
      </w:r>
      <w:r>
        <w:rPr>
          <w:sz w:val="17"/>
        </w:rPr>
        <w:t>efectivo</w:t>
      </w:r>
      <w:r>
        <w:rPr>
          <w:spacing w:val="-3"/>
          <w:sz w:val="17"/>
        </w:rPr>
        <w:t xml:space="preserve"> </w:t>
      </w:r>
      <w:r>
        <w:rPr>
          <w:sz w:val="17"/>
        </w:rPr>
        <w:t>a</w:t>
      </w:r>
      <w:r>
        <w:rPr>
          <w:spacing w:val="-3"/>
          <w:sz w:val="17"/>
        </w:rPr>
        <w:t xml:space="preserve"> </w:t>
      </w:r>
      <w:r>
        <w:rPr>
          <w:sz w:val="17"/>
        </w:rPr>
        <w:t>la</w:t>
      </w:r>
      <w:r>
        <w:rPr>
          <w:spacing w:val="-3"/>
          <w:sz w:val="17"/>
        </w:rPr>
        <w:t xml:space="preserve"> </w:t>
      </w:r>
      <w:r>
        <w:rPr>
          <w:sz w:val="17"/>
        </w:rPr>
        <w:t>justicia</w:t>
      </w:r>
      <w:r>
        <w:rPr>
          <w:spacing w:val="-3"/>
          <w:sz w:val="17"/>
        </w:rPr>
        <w:t xml:space="preserve"> </w:t>
      </w:r>
      <w:r>
        <w:rPr>
          <w:sz w:val="17"/>
        </w:rPr>
        <w:t>para</w:t>
      </w:r>
      <w:r>
        <w:rPr>
          <w:spacing w:val="-3"/>
          <w:sz w:val="17"/>
        </w:rPr>
        <w:t xml:space="preserve"> </w:t>
      </w:r>
      <w:r>
        <w:rPr>
          <w:sz w:val="17"/>
        </w:rPr>
        <w:t>quienes</w:t>
      </w:r>
      <w:r>
        <w:rPr>
          <w:spacing w:val="-3"/>
          <w:sz w:val="17"/>
        </w:rPr>
        <w:t xml:space="preserve"> </w:t>
      </w:r>
      <w:r>
        <w:rPr>
          <w:sz w:val="17"/>
        </w:rPr>
        <w:t>sufren</w:t>
      </w:r>
      <w:r>
        <w:rPr>
          <w:spacing w:val="-3"/>
          <w:sz w:val="17"/>
        </w:rPr>
        <w:t xml:space="preserve"> </w:t>
      </w:r>
      <w:r>
        <w:rPr>
          <w:sz w:val="17"/>
        </w:rPr>
        <w:t xml:space="preserve">discriminación. El acceso efectivo a la justicia consiste en </w:t>
      </w:r>
      <w:proofErr w:type="spellStart"/>
      <w:r>
        <w:rPr>
          <w:sz w:val="17"/>
        </w:rPr>
        <w:t>justiciabilidad</w:t>
      </w:r>
      <w:proofErr w:type="spellEnd"/>
      <w:r>
        <w:rPr>
          <w:sz w:val="17"/>
        </w:rPr>
        <w:t>, disponibilidad, accesibilidad, calidad y rendición de cuentas.</w:t>
      </w:r>
    </w:p>
    <w:p w14:paraId="4D8CEE56" w14:textId="77777777" w:rsidR="0014798C" w:rsidRDefault="0014798C">
      <w:pPr>
        <w:pStyle w:val="Textoindependiente"/>
      </w:pPr>
    </w:p>
    <w:p w14:paraId="32A038B4" w14:textId="77777777" w:rsidR="0014798C" w:rsidRDefault="0014798C">
      <w:pPr>
        <w:pStyle w:val="Textoindependiente"/>
        <w:spacing w:before="58"/>
      </w:pPr>
    </w:p>
    <w:p w14:paraId="47AC149A" w14:textId="77777777" w:rsidR="0014798C" w:rsidRDefault="004E1F0B">
      <w:pPr>
        <w:pStyle w:val="Textoindependiente"/>
        <w:spacing w:line="326" w:lineRule="auto"/>
        <w:ind w:left="1107" w:right="1166" w:hanging="1"/>
      </w:pPr>
      <w:r>
        <w:rPr>
          <w:w w:val="105"/>
        </w:rPr>
        <w:t>Para</w:t>
      </w:r>
      <w:r>
        <w:rPr>
          <w:spacing w:val="-2"/>
          <w:w w:val="105"/>
        </w:rPr>
        <w:t xml:space="preserve"> </w:t>
      </w:r>
      <w:r>
        <w:rPr>
          <w:w w:val="105"/>
        </w:rPr>
        <w:t>cumplir</w:t>
      </w:r>
      <w:r>
        <w:rPr>
          <w:spacing w:val="-2"/>
          <w:w w:val="105"/>
        </w:rPr>
        <w:t xml:space="preserve"> </w:t>
      </w:r>
      <w:r>
        <w:rPr>
          <w:w w:val="105"/>
        </w:rPr>
        <w:t>con</w:t>
      </w:r>
      <w:r>
        <w:rPr>
          <w:spacing w:val="-2"/>
          <w:w w:val="105"/>
        </w:rPr>
        <w:t xml:space="preserve"> </w:t>
      </w:r>
      <w:r>
        <w:rPr>
          <w:w w:val="105"/>
        </w:rPr>
        <w:t>estos</w:t>
      </w:r>
      <w:r>
        <w:rPr>
          <w:spacing w:val="-2"/>
          <w:w w:val="105"/>
        </w:rPr>
        <w:t xml:space="preserve"> </w:t>
      </w:r>
      <w:r>
        <w:rPr>
          <w:w w:val="105"/>
        </w:rPr>
        <w:t>requisitos,</w:t>
      </w:r>
      <w:r>
        <w:rPr>
          <w:spacing w:val="-1"/>
          <w:w w:val="105"/>
        </w:rPr>
        <w:t xml:space="preserve"> </w:t>
      </w:r>
      <w:r>
        <w:rPr>
          <w:w w:val="105"/>
        </w:rPr>
        <w:t>los</w:t>
      </w:r>
      <w:r>
        <w:rPr>
          <w:spacing w:val="-2"/>
          <w:w w:val="105"/>
        </w:rPr>
        <w:t xml:space="preserve"> </w:t>
      </w:r>
      <w:r>
        <w:rPr>
          <w:w w:val="105"/>
        </w:rPr>
        <w:t>Estados</w:t>
      </w:r>
      <w:r>
        <w:rPr>
          <w:spacing w:val="-2"/>
          <w:w w:val="105"/>
        </w:rPr>
        <w:t xml:space="preserve"> </w:t>
      </w:r>
      <w:r>
        <w:rPr>
          <w:w w:val="105"/>
        </w:rPr>
        <w:t>deben</w:t>
      </w:r>
      <w:r>
        <w:rPr>
          <w:spacing w:val="-2"/>
          <w:w w:val="105"/>
        </w:rPr>
        <w:t xml:space="preserve"> </w:t>
      </w:r>
      <w:r>
        <w:rPr>
          <w:w w:val="105"/>
        </w:rPr>
        <w:t>establecer</w:t>
      </w:r>
      <w:r>
        <w:rPr>
          <w:spacing w:val="-2"/>
          <w:w w:val="105"/>
        </w:rPr>
        <w:t xml:space="preserve"> </w:t>
      </w:r>
      <w:r>
        <w:rPr>
          <w:w w:val="105"/>
        </w:rPr>
        <w:t>y</w:t>
      </w:r>
      <w:r>
        <w:rPr>
          <w:spacing w:val="-2"/>
          <w:w w:val="105"/>
        </w:rPr>
        <w:t xml:space="preserve"> </w:t>
      </w:r>
      <w:r>
        <w:rPr>
          <w:w w:val="105"/>
        </w:rPr>
        <w:t>mantener</w:t>
      </w:r>
      <w:r>
        <w:rPr>
          <w:spacing w:val="-2"/>
          <w:w w:val="105"/>
        </w:rPr>
        <w:t xml:space="preserve"> </w:t>
      </w:r>
      <w:r>
        <w:rPr>
          <w:w w:val="105"/>
        </w:rPr>
        <w:t>órganos</w:t>
      </w:r>
      <w:r>
        <w:rPr>
          <w:spacing w:val="-2"/>
          <w:w w:val="105"/>
        </w:rPr>
        <w:t xml:space="preserve"> </w:t>
      </w:r>
      <w:r>
        <w:rPr>
          <w:w w:val="105"/>
        </w:rPr>
        <w:t>de</w:t>
      </w:r>
      <w:r>
        <w:rPr>
          <w:spacing w:val="-2"/>
          <w:w w:val="105"/>
        </w:rPr>
        <w:t xml:space="preserve"> </w:t>
      </w:r>
      <w:r>
        <w:rPr>
          <w:w w:val="105"/>
        </w:rPr>
        <w:t>aplicación</w:t>
      </w:r>
      <w:r>
        <w:rPr>
          <w:spacing w:val="-2"/>
          <w:w w:val="105"/>
        </w:rPr>
        <w:t xml:space="preserve"> </w:t>
      </w:r>
      <w:r>
        <w:rPr>
          <w:w w:val="105"/>
        </w:rPr>
        <w:t>de</w:t>
      </w:r>
      <w:r>
        <w:rPr>
          <w:spacing w:val="-2"/>
          <w:w w:val="105"/>
        </w:rPr>
        <w:t xml:space="preserve"> </w:t>
      </w:r>
      <w:r>
        <w:rPr>
          <w:w w:val="105"/>
        </w:rPr>
        <w:t>la</w:t>
      </w:r>
      <w:r>
        <w:rPr>
          <w:spacing w:val="-2"/>
          <w:w w:val="105"/>
        </w:rPr>
        <w:t xml:space="preserve"> </w:t>
      </w:r>
      <w:r>
        <w:rPr>
          <w:w w:val="105"/>
        </w:rPr>
        <w:t>ley</w:t>
      </w:r>
      <w:r>
        <w:rPr>
          <w:spacing w:val="-2"/>
          <w:w w:val="105"/>
        </w:rPr>
        <w:t xml:space="preserve"> </w:t>
      </w:r>
      <w:r>
        <w:rPr>
          <w:w w:val="105"/>
        </w:rPr>
        <w:t>independientes</w:t>
      </w:r>
      <w:r>
        <w:rPr>
          <w:spacing w:val="-3"/>
          <w:w w:val="105"/>
        </w:rPr>
        <w:t xml:space="preserve"> </w:t>
      </w:r>
      <w:r>
        <w:rPr>
          <w:w w:val="105"/>
        </w:rPr>
        <w:t>e imparciales,</w:t>
      </w:r>
      <w:r>
        <w:rPr>
          <w:spacing w:val="-3"/>
          <w:w w:val="105"/>
        </w:rPr>
        <w:t xml:space="preserve"> </w:t>
      </w:r>
      <w:r>
        <w:rPr>
          <w:w w:val="105"/>
        </w:rPr>
        <w:t>dotados</w:t>
      </w:r>
      <w:r>
        <w:rPr>
          <w:spacing w:val="-4"/>
          <w:w w:val="105"/>
        </w:rPr>
        <w:t xml:space="preserve"> </w:t>
      </w:r>
      <w:r>
        <w:rPr>
          <w:w w:val="105"/>
        </w:rPr>
        <w:t>de</w:t>
      </w:r>
      <w:r>
        <w:rPr>
          <w:spacing w:val="-4"/>
          <w:w w:val="105"/>
        </w:rPr>
        <w:t xml:space="preserve"> </w:t>
      </w:r>
      <w:r>
        <w:rPr>
          <w:w w:val="105"/>
        </w:rPr>
        <w:t>recursos</w:t>
      </w:r>
      <w:r>
        <w:rPr>
          <w:spacing w:val="-4"/>
          <w:w w:val="105"/>
        </w:rPr>
        <w:t xml:space="preserve"> </w:t>
      </w:r>
      <w:r>
        <w:rPr>
          <w:w w:val="105"/>
        </w:rPr>
        <w:t>suficientes,</w:t>
      </w:r>
      <w:r>
        <w:rPr>
          <w:spacing w:val="-3"/>
          <w:w w:val="105"/>
        </w:rPr>
        <w:t xml:space="preserve"> </w:t>
      </w:r>
      <w:r>
        <w:rPr>
          <w:w w:val="105"/>
        </w:rPr>
        <w:t>para</w:t>
      </w:r>
      <w:r>
        <w:rPr>
          <w:spacing w:val="-4"/>
          <w:w w:val="105"/>
        </w:rPr>
        <w:t xml:space="preserve"> </w:t>
      </w:r>
      <w:r>
        <w:rPr>
          <w:w w:val="105"/>
        </w:rPr>
        <w:t>abordar</w:t>
      </w:r>
      <w:r>
        <w:rPr>
          <w:spacing w:val="-4"/>
          <w:w w:val="105"/>
        </w:rPr>
        <w:t xml:space="preserve"> </w:t>
      </w:r>
      <w:r>
        <w:rPr>
          <w:w w:val="105"/>
        </w:rPr>
        <w:t>las</w:t>
      </w:r>
      <w:r>
        <w:rPr>
          <w:spacing w:val="-4"/>
          <w:w w:val="105"/>
        </w:rPr>
        <w:t xml:space="preserve"> </w:t>
      </w:r>
      <w:r>
        <w:rPr>
          <w:w w:val="105"/>
        </w:rPr>
        <w:t>denuncias</w:t>
      </w:r>
      <w:r>
        <w:rPr>
          <w:spacing w:val="-4"/>
          <w:w w:val="105"/>
        </w:rPr>
        <w:t xml:space="preserve"> </w:t>
      </w:r>
      <w:r>
        <w:rPr>
          <w:w w:val="105"/>
        </w:rPr>
        <w:t>de</w:t>
      </w:r>
      <w:r>
        <w:rPr>
          <w:spacing w:val="-4"/>
          <w:w w:val="105"/>
        </w:rPr>
        <w:t xml:space="preserve"> </w:t>
      </w:r>
      <w:r>
        <w:rPr>
          <w:w w:val="105"/>
        </w:rPr>
        <w:t>discriminación</w:t>
      </w:r>
      <w:r>
        <w:rPr>
          <w:spacing w:val="-4"/>
          <w:w w:val="105"/>
        </w:rPr>
        <w:t xml:space="preserve"> </w:t>
      </w:r>
      <w:r>
        <w:rPr>
          <w:w w:val="105"/>
        </w:rPr>
        <w:t>en</w:t>
      </w:r>
      <w:r>
        <w:rPr>
          <w:spacing w:val="-4"/>
          <w:w w:val="105"/>
        </w:rPr>
        <w:t xml:space="preserve"> </w:t>
      </w:r>
      <w:r>
        <w:rPr>
          <w:w w:val="105"/>
        </w:rPr>
        <w:t>todo</w:t>
      </w:r>
      <w:r>
        <w:rPr>
          <w:spacing w:val="-4"/>
          <w:w w:val="105"/>
        </w:rPr>
        <w:t xml:space="preserve"> </w:t>
      </w:r>
      <w:r>
        <w:rPr>
          <w:w w:val="105"/>
        </w:rPr>
        <w:t>su</w:t>
      </w:r>
      <w:r>
        <w:rPr>
          <w:spacing w:val="-4"/>
          <w:w w:val="105"/>
        </w:rPr>
        <w:t xml:space="preserve"> </w:t>
      </w:r>
      <w:r>
        <w:rPr>
          <w:w w:val="105"/>
        </w:rPr>
        <w:t>territorio,</w:t>
      </w:r>
      <w:r>
        <w:rPr>
          <w:spacing w:val="-3"/>
          <w:w w:val="105"/>
        </w:rPr>
        <w:t xml:space="preserve"> </w:t>
      </w:r>
      <w:r>
        <w:rPr>
          <w:w w:val="105"/>
        </w:rPr>
        <w:t>incluidas</w:t>
      </w:r>
      <w:r>
        <w:rPr>
          <w:spacing w:val="-4"/>
          <w:w w:val="105"/>
        </w:rPr>
        <w:t xml:space="preserve"> </w:t>
      </w:r>
      <w:r>
        <w:rPr>
          <w:w w:val="105"/>
        </w:rPr>
        <w:t>las zonas</w:t>
      </w:r>
      <w:r>
        <w:rPr>
          <w:spacing w:val="-12"/>
          <w:w w:val="105"/>
        </w:rPr>
        <w:t xml:space="preserve"> </w:t>
      </w:r>
      <w:r>
        <w:rPr>
          <w:w w:val="105"/>
        </w:rPr>
        <w:t>rurales.</w:t>
      </w:r>
      <w:r>
        <w:rPr>
          <w:spacing w:val="-12"/>
          <w:w w:val="105"/>
        </w:rPr>
        <w:t xml:space="preserve"> </w:t>
      </w:r>
      <w:r>
        <w:rPr>
          <w:w w:val="105"/>
        </w:rPr>
        <w:t>Dichos</w:t>
      </w:r>
      <w:r>
        <w:rPr>
          <w:spacing w:val="-11"/>
          <w:w w:val="105"/>
        </w:rPr>
        <w:t xml:space="preserve"> </w:t>
      </w:r>
      <w:r>
        <w:rPr>
          <w:w w:val="105"/>
        </w:rPr>
        <w:t>órganos</w:t>
      </w:r>
      <w:r>
        <w:rPr>
          <w:spacing w:val="-12"/>
          <w:w w:val="105"/>
        </w:rPr>
        <w:t xml:space="preserve"> </w:t>
      </w:r>
      <w:r>
        <w:rPr>
          <w:w w:val="105"/>
        </w:rPr>
        <w:t>pueden</w:t>
      </w:r>
      <w:r>
        <w:rPr>
          <w:spacing w:val="-12"/>
          <w:w w:val="105"/>
        </w:rPr>
        <w:t xml:space="preserve"> </w:t>
      </w:r>
      <w:r>
        <w:rPr>
          <w:w w:val="105"/>
        </w:rPr>
        <w:t>incluir</w:t>
      </w:r>
      <w:r>
        <w:rPr>
          <w:spacing w:val="-12"/>
          <w:w w:val="105"/>
        </w:rPr>
        <w:t xml:space="preserve"> </w:t>
      </w:r>
      <w:r>
        <w:rPr>
          <w:w w:val="105"/>
        </w:rPr>
        <w:t>mecanismos</w:t>
      </w:r>
      <w:r>
        <w:rPr>
          <w:spacing w:val="-11"/>
          <w:w w:val="105"/>
        </w:rPr>
        <w:t xml:space="preserve"> </w:t>
      </w:r>
      <w:r>
        <w:rPr>
          <w:w w:val="105"/>
        </w:rPr>
        <w:t>tanto</w:t>
      </w:r>
      <w:r>
        <w:rPr>
          <w:spacing w:val="-12"/>
          <w:w w:val="105"/>
        </w:rPr>
        <w:t xml:space="preserve"> </w:t>
      </w:r>
      <w:r>
        <w:rPr>
          <w:w w:val="105"/>
        </w:rPr>
        <w:t>judiciales</w:t>
      </w:r>
      <w:r>
        <w:rPr>
          <w:spacing w:val="-12"/>
          <w:w w:val="105"/>
        </w:rPr>
        <w:t xml:space="preserve"> </w:t>
      </w:r>
      <w:r>
        <w:rPr>
          <w:w w:val="105"/>
        </w:rPr>
        <w:t>como</w:t>
      </w:r>
      <w:r>
        <w:rPr>
          <w:spacing w:val="-11"/>
          <w:w w:val="105"/>
        </w:rPr>
        <w:t xml:space="preserve"> </w:t>
      </w:r>
      <w:r>
        <w:rPr>
          <w:w w:val="105"/>
        </w:rPr>
        <w:t>administrativos,</w:t>
      </w:r>
      <w:r>
        <w:rPr>
          <w:spacing w:val="-12"/>
          <w:w w:val="105"/>
        </w:rPr>
        <w:t xml:space="preserve"> </w:t>
      </w:r>
      <w:r>
        <w:rPr>
          <w:w w:val="105"/>
        </w:rPr>
        <w:t>incluidos</w:t>
      </w:r>
      <w:r>
        <w:rPr>
          <w:spacing w:val="-12"/>
          <w:w w:val="105"/>
        </w:rPr>
        <w:t xml:space="preserve"> </w:t>
      </w:r>
      <w:r>
        <w:rPr>
          <w:w w:val="105"/>
        </w:rPr>
        <w:t>órganos</w:t>
      </w:r>
      <w:r>
        <w:rPr>
          <w:spacing w:val="-11"/>
          <w:w w:val="105"/>
        </w:rPr>
        <w:t xml:space="preserve"> </w:t>
      </w:r>
      <w:r>
        <w:rPr>
          <w:w w:val="105"/>
        </w:rPr>
        <w:t>de</w:t>
      </w:r>
      <w:r>
        <w:rPr>
          <w:spacing w:val="-12"/>
          <w:w w:val="105"/>
        </w:rPr>
        <w:t xml:space="preserve"> </w:t>
      </w:r>
      <w:r>
        <w:rPr>
          <w:w w:val="105"/>
        </w:rPr>
        <w:t>igualdad. Estos</w:t>
      </w:r>
      <w:r>
        <w:rPr>
          <w:spacing w:val="-3"/>
          <w:w w:val="105"/>
        </w:rPr>
        <w:t xml:space="preserve"> </w:t>
      </w:r>
      <w:r>
        <w:rPr>
          <w:w w:val="105"/>
        </w:rPr>
        <w:t>órganos</w:t>
      </w:r>
      <w:r>
        <w:rPr>
          <w:spacing w:val="-3"/>
          <w:w w:val="105"/>
        </w:rPr>
        <w:t xml:space="preserve"> </w:t>
      </w:r>
      <w:r>
        <w:rPr>
          <w:w w:val="105"/>
        </w:rPr>
        <w:t>deberían</w:t>
      </w:r>
      <w:r>
        <w:rPr>
          <w:spacing w:val="-3"/>
          <w:w w:val="105"/>
        </w:rPr>
        <w:t xml:space="preserve"> </w:t>
      </w:r>
      <w:r>
        <w:rPr>
          <w:w w:val="105"/>
        </w:rPr>
        <w:t>contar</w:t>
      </w:r>
      <w:r>
        <w:rPr>
          <w:spacing w:val="-3"/>
          <w:w w:val="105"/>
        </w:rPr>
        <w:t xml:space="preserve"> </w:t>
      </w:r>
      <w:r>
        <w:rPr>
          <w:w w:val="105"/>
        </w:rPr>
        <w:t>con</w:t>
      </w:r>
      <w:r>
        <w:rPr>
          <w:spacing w:val="-3"/>
          <w:w w:val="105"/>
        </w:rPr>
        <w:t xml:space="preserve"> </w:t>
      </w:r>
      <w:r>
        <w:rPr>
          <w:w w:val="105"/>
        </w:rPr>
        <w:t>poderes</w:t>
      </w:r>
      <w:r>
        <w:rPr>
          <w:spacing w:val="-3"/>
          <w:w w:val="105"/>
        </w:rPr>
        <w:t xml:space="preserve"> </w:t>
      </w:r>
      <w:r>
        <w:rPr>
          <w:w w:val="105"/>
        </w:rPr>
        <w:t>de</w:t>
      </w:r>
      <w:r>
        <w:rPr>
          <w:spacing w:val="-3"/>
          <w:w w:val="105"/>
        </w:rPr>
        <w:t xml:space="preserve"> </w:t>
      </w:r>
      <w:r>
        <w:rPr>
          <w:w w:val="105"/>
        </w:rPr>
        <w:t>ejecución</w:t>
      </w:r>
      <w:r>
        <w:rPr>
          <w:spacing w:val="-3"/>
          <w:w w:val="105"/>
        </w:rPr>
        <w:t xml:space="preserve"> </w:t>
      </w:r>
      <w:r>
        <w:rPr>
          <w:w w:val="105"/>
        </w:rPr>
        <w:t>adecuados</w:t>
      </w:r>
      <w:r>
        <w:rPr>
          <w:spacing w:val="-3"/>
          <w:w w:val="105"/>
        </w:rPr>
        <w:t xml:space="preserve"> </w:t>
      </w:r>
      <w:r>
        <w:rPr>
          <w:w w:val="105"/>
        </w:rPr>
        <w:t>para</w:t>
      </w:r>
      <w:r>
        <w:rPr>
          <w:spacing w:val="-3"/>
          <w:w w:val="105"/>
        </w:rPr>
        <w:t xml:space="preserve"> </w:t>
      </w:r>
      <w:r>
        <w:rPr>
          <w:w w:val="105"/>
        </w:rPr>
        <w:t>proporcionar</w:t>
      </w:r>
      <w:r>
        <w:rPr>
          <w:spacing w:val="-3"/>
          <w:w w:val="105"/>
        </w:rPr>
        <w:t xml:space="preserve"> </w:t>
      </w:r>
      <w:r>
        <w:rPr>
          <w:w w:val="105"/>
        </w:rPr>
        <w:t>un</w:t>
      </w:r>
      <w:r>
        <w:rPr>
          <w:spacing w:val="-3"/>
          <w:w w:val="105"/>
        </w:rPr>
        <w:t xml:space="preserve"> </w:t>
      </w:r>
      <w:r>
        <w:rPr>
          <w:w w:val="105"/>
        </w:rPr>
        <w:t>recurso</w:t>
      </w:r>
      <w:r>
        <w:rPr>
          <w:spacing w:val="-3"/>
          <w:w w:val="105"/>
        </w:rPr>
        <w:t xml:space="preserve"> </w:t>
      </w:r>
      <w:r>
        <w:rPr>
          <w:w w:val="105"/>
        </w:rPr>
        <w:t>efectivo</w:t>
      </w:r>
      <w:r>
        <w:rPr>
          <w:spacing w:val="-3"/>
          <w:w w:val="105"/>
        </w:rPr>
        <w:t xml:space="preserve"> </w:t>
      </w:r>
      <w:r>
        <w:rPr>
          <w:w w:val="105"/>
        </w:rPr>
        <w:t>en</w:t>
      </w:r>
      <w:r>
        <w:rPr>
          <w:spacing w:val="-3"/>
          <w:w w:val="105"/>
        </w:rPr>
        <w:t xml:space="preserve"> </w:t>
      </w:r>
      <w:r>
        <w:rPr>
          <w:w w:val="105"/>
        </w:rPr>
        <w:t>situaciones</w:t>
      </w:r>
      <w:r>
        <w:rPr>
          <w:spacing w:val="-3"/>
          <w:w w:val="105"/>
        </w:rPr>
        <w:t xml:space="preserve"> </w:t>
      </w:r>
      <w:r>
        <w:rPr>
          <w:w w:val="105"/>
        </w:rPr>
        <w:t>en las</w:t>
      </w:r>
      <w:r>
        <w:rPr>
          <w:spacing w:val="-4"/>
          <w:w w:val="105"/>
        </w:rPr>
        <w:t xml:space="preserve"> </w:t>
      </w:r>
      <w:r>
        <w:rPr>
          <w:w w:val="105"/>
        </w:rPr>
        <w:t>que</w:t>
      </w:r>
      <w:r>
        <w:rPr>
          <w:spacing w:val="-4"/>
          <w:w w:val="105"/>
        </w:rPr>
        <w:t xml:space="preserve"> </w:t>
      </w:r>
      <w:r>
        <w:rPr>
          <w:w w:val="105"/>
        </w:rPr>
        <w:t>se</w:t>
      </w:r>
      <w:r>
        <w:rPr>
          <w:spacing w:val="-4"/>
          <w:w w:val="105"/>
        </w:rPr>
        <w:t xml:space="preserve"> </w:t>
      </w:r>
      <w:r>
        <w:rPr>
          <w:w w:val="105"/>
        </w:rPr>
        <w:t>determine</w:t>
      </w:r>
      <w:r>
        <w:rPr>
          <w:spacing w:val="-4"/>
          <w:w w:val="105"/>
        </w:rPr>
        <w:t xml:space="preserve"> </w:t>
      </w:r>
      <w:r>
        <w:rPr>
          <w:w w:val="105"/>
        </w:rPr>
        <w:t>que</w:t>
      </w:r>
      <w:r>
        <w:rPr>
          <w:spacing w:val="-4"/>
          <w:w w:val="105"/>
        </w:rPr>
        <w:t xml:space="preserve"> </w:t>
      </w:r>
      <w:r>
        <w:rPr>
          <w:w w:val="105"/>
        </w:rPr>
        <w:t>se</w:t>
      </w:r>
      <w:r>
        <w:rPr>
          <w:spacing w:val="-4"/>
          <w:w w:val="105"/>
        </w:rPr>
        <w:t xml:space="preserve"> </w:t>
      </w:r>
      <w:r>
        <w:rPr>
          <w:w w:val="105"/>
        </w:rPr>
        <w:t>ha</w:t>
      </w:r>
      <w:r>
        <w:rPr>
          <w:spacing w:val="-4"/>
          <w:w w:val="105"/>
        </w:rPr>
        <w:t xml:space="preserve"> </w:t>
      </w:r>
      <w:r>
        <w:rPr>
          <w:w w:val="105"/>
        </w:rPr>
        <w:t>producido</w:t>
      </w:r>
      <w:r>
        <w:rPr>
          <w:spacing w:val="-4"/>
          <w:w w:val="105"/>
        </w:rPr>
        <w:t xml:space="preserve"> </w:t>
      </w:r>
      <w:r>
        <w:rPr>
          <w:w w:val="105"/>
        </w:rPr>
        <w:t>discriminación.</w:t>
      </w:r>
      <w:r>
        <w:rPr>
          <w:spacing w:val="-3"/>
          <w:w w:val="105"/>
        </w:rPr>
        <w:t xml:space="preserve"> </w:t>
      </w:r>
      <w:r>
        <w:rPr>
          <w:w w:val="105"/>
        </w:rPr>
        <w:t>Dichos</w:t>
      </w:r>
      <w:r>
        <w:rPr>
          <w:spacing w:val="-4"/>
          <w:w w:val="105"/>
        </w:rPr>
        <w:t xml:space="preserve"> </w:t>
      </w:r>
      <w:r>
        <w:rPr>
          <w:w w:val="105"/>
        </w:rPr>
        <w:t>órganos</w:t>
      </w:r>
      <w:r>
        <w:rPr>
          <w:spacing w:val="-4"/>
          <w:w w:val="105"/>
        </w:rPr>
        <w:t xml:space="preserve"> </w:t>
      </w:r>
      <w:r>
        <w:rPr>
          <w:w w:val="105"/>
        </w:rPr>
        <w:t>deben</w:t>
      </w:r>
      <w:r>
        <w:rPr>
          <w:spacing w:val="-4"/>
          <w:w w:val="105"/>
        </w:rPr>
        <w:t xml:space="preserve"> </w:t>
      </w:r>
      <w:r>
        <w:rPr>
          <w:w w:val="105"/>
        </w:rPr>
        <w:t>ser</w:t>
      </w:r>
      <w:r>
        <w:rPr>
          <w:spacing w:val="-4"/>
          <w:w w:val="105"/>
        </w:rPr>
        <w:t xml:space="preserve"> </w:t>
      </w:r>
      <w:r>
        <w:rPr>
          <w:w w:val="105"/>
        </w:rPr>
        <w:t>de</w:t>
      </w:r>
      <w:r>
        <w:rPr>
          <w:spacing w:val="-4"/>
          <w:w w:val="105"/>
        </w:rPr>
        <w:t xml:space="preserve"> </w:t>
      </w:r>
      <w:r>
        <w:rPr>
          <w:w w:val="105"/>
        </w:rPr>
        <w:t>buena</w:t>
      </w:r>
      <w:r>
        <w:rPr>
          <w:spacing w:val="-4"/>
          <w:w w:val="105"/>
        </w:rPr>
        <w:t xml:space="preserve"> </w:t>
      </w:r>
      <w:r>
        <w:rPr>
          <w:w w:val="105"/>
        </w:rPr>
        <w:t>calidad</w:t>
      </w:r>
      <w:r>
        <w:rPr>
          <w:spacing w:val="-4"/>
          <w:w w:val="105"/>
        </w:rPr>
        <w:t xml:space="preserve"> </w:t>
      </w:r>
      <w:r>
        <w:rPr>
          <w:w w:val="105"/>
        </w:rPr>
        <w:t>y</w:t>
      </w:r>
      <w:r>
        <w:rPr>
          <w:spacing w:val="-4"/>
          <w:w w:val="105"/>
        </w:rPr>
        <w:t xml:space="preserve"> </w:t>
      </w:r>
      <w:r>
        <w:rPr>
          <w:w w:val="105"/>
        </w:rPr>
        <w:t>responsables, sensibles</w:t>
      </w:r>
      <w:r>
        <w:rPr>
          <w:spacing w:val="-3"/>
          <w:w w:val="105"/>
        </w:rPr>
        <w:t xml:space="preserve"> </w:t>
      </w:r>
      <w:r>
        <w:rPr>
          <w:w w:val="105"/>
        </w:rPr>
        <w:t>a</w:t>
      </w:r>
      <w:r>
        <w:rPr>
          <w:spacing w:val="-3"/>
          <w:w w:val="105"/>
        </w:rPr>
        <w:t xml:space="preserve"> </w:t>
      </w:r>
      <w:r>
        <w:rPr>
          <w:w w:val="105"/>
        </w:rPr>
        <w:t>las</w:t>
      </w:r>
      <w:r>
        <w:rPr>
          <w:spacing w:val="-3"/>
          <w:w w:val="105"/>
        </w:rPr>
        <w:t xml:space="preserve"> </w:t>
      </w:r>
      <w:r>
        <w:rPr>
          <w:w w:val="105"/>
        </w:rPr>
        <w:t>opiniones,</w:t>
      </w:r>
      <w:r>
        <w:rPr>
          <w:spacing w:val="-2"/>
          <w:w w:val="105"/>
        </w:rPr>
        <w:t xml:space="preserve"> </w:t>
      </w:r>
      <w:r>
        <w:rPr>
          <w:w w:val="105"/>
        </w:rPr>
        <w:t>situaciones</w:t>
      </w:r>
      <w:r>
        <w:rPr>
          <w:spacing w:val="-3"/>
          <w:w w:val="105"/>
        </w:rPr>
        <w:t xml:space="preserve"> </w:t>
      </w:r>
      <w:r>
        <w:rPr>
          <w:w w:val="105"/>
        </w:rPr>
        <w:t>y</w:t>
      </w:r>
      <w:r>
        <w:rPr>
          <w:spacing w:val="-3"/>
          <w:w w:val="105"/>
        </w:rPr>
        <w:t xml:space="preserve"> </w:t>
      </w:r>
      <w:r>
        <w:rPr>
          <w:w w:val="105"/>
        </w:rPr>
        <w:t>necesidades</w:t>
      </w:r>
      <w:r>
        <w:rPr>
          <w:spacing w:val="-3"/>
          <w:w w:val="105"/>
        </w:rPr>
        <w:t xml:space="preserve"> </w:t>
      </w:r>
      <w:r>
        <w:rPr>
          <w:w w:val="105"/>
        </w:rPr>
        <w:t>de</w:t>
      </w:r>
      <w:r>
        <w:rPr>
          <w:spacing w:val="-3"/>
          <w:w w:val="105"/>
        </w:rPr>
        <w:t xml:space="preserve"> </w:t>
      </w:r>
      <w:r>
        <w:rPr>
          <w:w w:val="105"/>
        </w:rPr>
        <w:t>las</w:t>
      </w:r>
      <w:r>
        <w:rPr>
          <w:spacing w:val="-3"/>
          <w:w w:val="105"/>
        </w:rPr>
        <w:t xml:space="preserve"> </w:t>
      </w:r>
      <w:r>
        <w:rPr>
          <w:w w:val="105"/>
        </w:rPr>
        <w:t>personas</w:t>
      </w:r>
      <w:r>
        <w:rPr>
          <w:spacing w:val="-3"/>
          <w:w w:val="105"/>
        </w:rPr>
        <w:t xml:space="preserve"> </w:t>
      </w:r>
      <w:r>
        <w:rPr>
          <w:w w:val="105"/>
        </w:rPr>
        <w:t>y</w:t>
      </w:r>
      <w:r>
        <w:rPr>
          <w:spacing w:val="-3"/>
          <w:w w:val="105"/>
        </w:rPr>
        <w:t xml:space="preserve"> </w:t>
      </w:r>
      <w:r>
        <w:rPr>
          <w:w w:val="105"/>
        </w:rPr>
        <w:t>grupos</w:t>
      </w:r>
      <w:r>
        <w:rPr>
          <w:spacing w:val="-3"/>
          <w:w w:val="105"/>
        </w:rPr>
        <w:t xml:space="preserve"> </w:t>
      </w:r>
      <w:r>
        <w:rPr>
          <w:w w:val="105"/>
        </w:rPr>
        <w:t>expuestos</w:t>
      </w:r>
      <w:r>
        <w:rPr>
          <w:spacing w:val="-3"/>
          <w:w w:val="105"/>
        </w:rPr>
        <w:t xml:space="preserve"> </w:t>
      </w:r>
      <w:r>
        <w:rPr>
          <w:w w:val="105"/>
        </w:rPr>
        <w:t>a</w:t>
      </w:r>
      <w:r>
        <w:rPr>
          <w:spacing w:val="-3"/>
          <w:w w:val="105"/>
        </w:rPr>
        <w:t xml:space="preserve"> </w:t>
      </w:r>
      <w:r>
        <w:rPr>
          <w:w w:val="105"/>
        </w:rPr>
        <w:t>la</w:t>
      </w:r>
      <w:r>
        <w:rPr>
          <w:spacing w:val="-3"/>
          <w:w w:val="105"/>
        </w:rPr>
        <w:t xml:space="preserve"> </w:t>
      </w:r>
      <w:r>
        <w:rPr>
          <w:w w:val="105"/>
        </w:rPr>
        <w:t>discriminación</w:t>
      </w:r>
      <w:r>
        <w:rPr>
          <w:spacing w:val="-3"/>
          <w:w w:val="105"/>
        </w:rPr>
        <w:t xml:space="preserve"> </w:t>
      </w:r>
      <w:r>
        <w:rPr>
          <w:w w:val="105"/>
        </w:rPr>
        <w:t>y</w:t>
      </w:r>
      <w:r>
        <w:rPr>
          <w:spacing w:val="-3"/>
          <w:w w:val="105"/>
        </w:rPr>
        <w:t xml:space="preserve"> </w:t>
      </w:r>
      <w:r>
        <w:rPr>
          <w:w w:val="105"/>
        </w:rPr>
        <w:t>participativos.</w:t>
      </w:r>
    </w:p>
    <w:p w14:paraId="2F9F2F2A" w14:textId="77777777" w:rsidR="0014798C" w:rsidRDefault="0014798C">
      <w:pPr>
        <w:pStyle w:val="Textoindependiente"/>
        <w:rPr>
          <w:sz w:val="12"/>
        </w:rPr>
      </w:pPr>
    </w:p>
    <w:p w14:paraId="08E12239" w14:textId="77777777" w:rsidR="0014798C" w:rsidRDefault="0014798C">
      <w:pPr>
        <w:pStyle w:val="Textoindependiente"/>
        <w:rPr>
          <w:sz w:val="12"/>
        </w:rPr>
      </w:pPr>
    </w:p>
    <w:p w14:paraId="3FEA8E84" w14:textId="77777777" w:rsidR="0014798C" w:rsidRDefault="0014798C">
      <w:pPr>
        <w:pStyle w:val="Textoindependiente"/>
        <w:rPr>
          <w:sz w:val="12"/>
        </w:rPr>
      </w:pPr>
    </w:p>
    <w:p w14:paraId="246A456E" w14:textId="77777777" w:rsidR="0014798C" w:rsidRDefault="0014798C">
      <w:pPr>
        <w:pStyle w:val="Textoindependiente"/>
        <w:rPr>
          <w:sz w:val="12"/>
        </w:rPr>
      </w:pPr>
    </w:p>
    <w:p w14:paraId="1BF660E2" w14:textId="77777777" w:rsidR="0014798C" w:rsidRDefault="0014798C">
      <w:pPr>
        <w:pStyle w:val="Textoindependiente"/>
        <w:rPr>
          <w:sz w:val="12"/>
        </w:rPr>
      </w:pPr>
    </w:p>
    <w:p w14:paraId="55EF825C" w14:textId="77777777" w:rsidR="0014798C" w:rsidRDefault="0014798C">
      <w:pPr>
        <w:pStyle w:val="Textoindependiente"/>
        <w:rPr>
          <w:sz w:val="12"/>
        </w:rPr>
      </w:pPr>
    </w:p>
    <w:p w14:paraId="6068EF78" w14:textId="77777777" w:rsidR="0014798C" w:rsidRDefault="0014798C">
      <w:pPr>
        <w:pStyle w:val="Textoindependiente"/>
        <w:rPr>
          <w:sz w:val="12"/>
        </w:rPr>
      </w:pPr>
    </w:p>
    <w:p w14:paraId="34B7A596" w14:textId="77777777" w:rsidR="0014798C" w:rsidRDefault="0014798C">
      <w:pPr>
        <w:pStyle w:val="Textoindependiente"/>
        <w:spacing w:before="17"/>
        <w:rPr>
          <w:sz w:val="12"/>
        </w:rPr>
      </w:pPr>
    </w:p>
    <w:p w14:paraId="045840EA" w14:textId="77777777" w:rsidR="0014798C" w:rsidRDefault="004E1F0B">
      <w:pPr>
        <w:ind w:right="748"/>
        <w:jc w:val="right"/>
        <w:rPr>
          <w:sz w:val="12"/>
        </w:rPr>
      </w:pPr>
      <w:proofErr w:type="spellStart"/>
      <w:r>
        <w:rPr>
          <w:spacing w:val="-5"/>
          <w:w w:val="105"/>
          <w:sz w:val="12"/>
        </w:rPr>
        <w:t>xvi</w:t>
      </w:r>
      <w:proofErr w:type="spellEnd"/>
    </w:p>
    <w:p w14:paraId="48BF072E" w14:textId="77777777" w:rsidR="0014798C" w:rsidRDefault="0014798C">
      <w:pPr>
        <w:jc w:val="right"/>
        <w:rPr>
          <w:sz w:val="12"/>
        </w:rPr>
        <w:sectPr w:rsidR="0014798C" w:rsidSect="00F265E4">
          <w:headerReference w:type="default" r:id="rId30"/>
          <w:pgSz w:w="11900" w:h="16820"/>
          <w:pgMar w:top="40" w:right="0" w:bottom="280" w:left="200" w:header="0" w:footer="0" w:gutter="0"/>
          <w:cols w:space="720"/>
        </w:sectPr>
      </w:pPr>
    </w:p>
    <w:p w14:paraId="4089824C" w14:textId="77777777" w:rsidR="0014798C" w:rsidRDefault="0014798C">
      <w:pPr>
        <w:pStyle w:val="Textoindependiente"/>
        <w:spacing w:before="85"/>
        <w:rPr>
          <w:sz w:val="12"/>
        </w:rPr>
      </w:pPr>
    </w:p>
    <w:p w14:paraId="07C62442" w14:textId="77777777" w:rsidR="006C4F6E" w:rsidRDefault="006C4F6E">
      <w:pPr>
        <w:pStyle w:val="Textoindependiente"/>
        <w:spacing w:before="85"/>
        <w:rPr>
          <w:sz w:val="12"/>
        </w:rPr>
      </w:pPr>
    </w:p>
    <w:p w14:paraId="76587952" w14:textId="77777777" w:rsidR="0014798C" w:rsidRDefault="004E1F0B">
      <w:pPr>
        <w:ind w:left="1111"/>
        <w:rPr>
          <w:sz w:val="12"/>
        </w:rPr>
      </w:pPr>
      <w:r>
        <w:rPr>
          <w:color w:val="0075BF"/>
          <w:sz w:val="12"/>
        </w:rPr>
        <w:t>PROTECCIÓN</w:t>
      </w:r>
      <w:r>
        <w:rPr>
          <w:color w:val="0075BF"/>
          <w:spacing w:val="6"/>
          <w:sz w:val="12"/>
        </w:rPr>
        <w:t xml:space="preserve"> </w:t>
      </w:r>
      <w:r>
        <w:rPr>
          <w:color w:val="0075BF"/>
          <w:sz w:val="12"/>
        </w:rPr>
        <w:t>DE</w:t>
      </w:r>
      <w:r>
        <w:rPr>
          <w:color w:val="0075BF"/>
          <w:spacing w:val="7"/>
          <w:sz w:val="12"/>
        </w:rPr>
        <w:t xml:space="preserve"> </w:t>
      </w:r>
      <w:r>
        <w:rPr>
          <w:color w:val="0075BF"/>
          <w:sz w:val="12"/>
        </w:rPr>
        <w:t>LOS</w:t>
      </w:r>
      <w:r>
        <w:rPr>
          <w:color w:val="0075BF"/>
          <w:spacing w:val="8"/>
          <w:sz w:val="12"/>
        </w:rPr>
        <w:t xml:space="preserve"> </w:t>
      </w:r>
      <w:r>
        <w:rPr>
          <w:color w:val="0075BF"/>
          <w:sz w:val="12"/>
        </w:rPr>
        <w:t>DERECHOS</w:t>
      </w:r>
      <w:r>
        <w:rPr>
          <w:color w:val="0075BF"/>
          <w:spacing w:val="8"/>
          <w:sz w:val="12"/>
        </w:rPr>
        <w:t xml:space="preserve"> </w:t>
      </w:r>
      <w:r>
        <w:rPr>
          <w:color w:val="0075BF"/>
          <w:sz w:val="12"/>
        </w:rPr>
        <w:t>DE</w:t>
      </w:r>
      <w:r>
        <w:rPr>
          <w:color w:val="0075BF"/>
          <w:spacing w:val="6"/>
          <w:sz w:val="12"/>
        </w:rPr>
        <w:t xml:space="preserve"> </w:t>
      </w:r>
      <w:r>
        <w:rPr>
          <w:color w:val="0075BF"/>
          <w:sz w:val="12"/>
        </w:rPr>
        <w:t>LAS</w:t>
      </w:r>
      <w:r>
        <w:rPr>
          <w:color w:val="0075BF"/>
          <w:spacing w:val="7"/>
          <w:sz w:val="12"/>
        </w:rPr>
        <w:t xml:space="preserve"> </w:t>
      </w:r>
      <w:r>
        <w:rPr>
          <w:color w:val="0075BF"/>
          <w:sz w:val="12"/>
        </w:rPr>
        <w:t>MINORÍAS:</w:t>
      </w:r>
      <w:r>
        <w:rPr>
          <w:color w:val="0075BF"/>
          <w:spacing w:val="8"/>
          <w:sz w:val="12"/>
        </w:rPr>
        <w:t xml:space="preserve"> </w:t>
      </w:r>
      <w:r>
        <w:rPr>
          <w:color w:val="0075BF"/>
          <w:sz w:val="12"/>
        </w:rPr>
        <w:t>una</w:t>
      </w:r>
      <w:r>
        <w:rPr>
          <w:color w:val="0075BF"/>
          <w:spacing w:val="7"/>
          <w:sz w:val="12"/>
        </w:rPr>
        <w:t xml:space="preserve"> </w:t>
      </w:r>
      <w:r>
        <w:rPr>
          <w:color w:val="0075BF"/>
          <w:sz w:val="12"/>
        </w:rPr>
        <w:t>guía</w:t>
      </w:r>
      <w:r>
        <w:rPr>
          <w:color w:val="0075BF"/>
          <w:spacing w:val="6"/>
          <w:sz w:val="12"/>
        </w:rPr>
        <w:t xml:space="preserve"> </w:t>
      </w:r>
      <w:r>
        <w:rPr>
          <w:color w:val="0075BF"/>
          <w:sz w:val="12"/>
        </w:rPr>
        <w:t>práctica</w:t>
      </w:r>
      <w:r>
        <w:rPr>
          <w:color w:val="0075BF"/>
          <w:spacing w:val="7"/>
          <w:sz w:val="12"/>
        </w:rPr>
        <w:t xml:space="preserve"> </w:t>
      </w:r>
      <w:r>
        <w:rPr>
          <w:color w:val="0075BF"/>
          <w:sz w:val="12"/>
        </w:rPr>
        <w:t>para</w:t>
      </w:r>
      <w:r>
        <w:rPr>
          <w:color w:val="0075BF"/>
          <w:spacing w:val="8"/>
          <w:sz w:val="12"/>
        </w:rPr>
        <w:t xml:space="preserve"> </w:t>
      </w:r>
      <w:r>
        <w:rPr>
          <w:color w:val="0075BF"/>
          <w:sz w:val="12"/>
        </w:rPr>
        <w:t>desarrollar</w:t>
      </w:r>
      <w:r>
        <w:rPr>
          <w:color w:val="0075BF"/>
          <w:spacing w:val="6"/>
          <w:sz w:val="12"/>
        </w:rPr>
        <w:t xml:space="preserve"> </w:t>
      </w:r>
      <w:r>
        <w:rPr>
          <w:color w:val="0075BF"/>
          <w:sz w:val="12"/>
        </w:rPr>
        <w:t>una</w:t>
      </w:r>
      <w:r>
        <w:rPr>
          <w:color w:val="0075BF"/>
          <w:spacing w:val="7"/>
          <w:sz w:val="12"/>
        </w:rPr>
        <w:t xml:space="preserve"> </w:t>
      </w:r>
      <w:r>
        <w:rPr>
          <w:color w:val="0075BF"/>
          <w:sz w:val="12"/>
        </w:rPr>
        <w:t>legislación</w:t>
      </w:r>
      <w:r>
        <w:rPr>
          <w:color w:val="0075BF"/>
          <w:spacing w:val="8"/>
          <w:sz w:val="12"/>
        </w:rPr>
        <w:t xml:space="preserve"> </w:t>
      </w:r>
      <w:r>
        <w:rPr>
          <w:color w:val="0075BF"/>
          <w:sz w:val="12"/>
        </w:rPr>
        <w:t>integral</w:t>
      </w:r>
      <w:r>
        <w:rPr>
          <w:color w:val="0075BF"/>
          <w:spacing w:val="7"/>
          <w:sz w:val="12"/>
        </w:rPr>
        <w:t xml:space="preserve"> </w:t>
      </w:r>
      <w:r>
        <w:rPr>
          <w:color w:val="0075BF"/>
          <w:sz w:val="12"/>
        </w:rPr>
        <w:t>contra</w:t>
      </w:r>
      <w:r>
        <w:rPr>
          <w:color w:val="0075BF"/>
          <w:spacing w:val="6"/>
          <w:sz w:val="12"/>
        </w:rPr>
        <w:t xml:space="preserve"> </w:t>
      </w:r>
      <w:r>
        <w:rPr>
          <w:color w:val="0075BF"/>
          <w:sz w:val="12"/>
        </w:rPr>
        <w:t>la</w:t>
      </w:r>
      <w:r>
        <w:rPr>
          <w:color w:val="0075BF"/>
          <w:spacing w:val="7"/>
          <w:sz w:val="12"/>
        </w:rPr>
        <w:t xml:space="preserve"> </w:t>
      </w:r>
      <w:r>
        <w:rPr>
          <w:color w:val="0075BF"/>
          <w:spacing w:val="-2"/>
          <w:sz w:val="12"/>
        </w:rPr>
        <w:t>discriminación</w:t>
      </w:r>
    </w:p>
    <w:p w14:paraId="3B332537" w14:textId="77777777" w:rsidR="0014798C" w:rsidRDefault="0014798C">
      <w:pPr>
        <w:pStyle w:val="Textoindependiente"/>
        <w:rPr>
          <w:sz w:val="17"/>
        </w:rPr>
      </w:pPr>
    </w:p>
    <w:p w14:paraId="34279482" w14:textId="77777777" w:rsidR="0014798C" w:rsidRDefault="0014798C">
      <w:pPr>
        <w:pStyle w:val="Textoindependiente"/>
        <w:rPr>
          <w:sz w:val="17"/>
        </w:rPr>
      </w:pPr>
    </w:p>
    <w:p w14:paraId="6D791DC9" w14:textId="77777777" w:rsidR="0014798C" w:rsidRDefault="0014798C">
      <w:pPr>
        <w:pStyle w:val="Textoindependiente"/>
        <w:rPr>
          <w:sz w:val="17"/>
        </w:rPr>
      </w:pPr>
    </w:p>
    <w:p w14:paraId="5A788AB3" w14:textId="77777777" w:rsidR="0014798C" w:rsidRDefault="0014798C">
      <w:pPr>
        <w:pStyle w:val="Textoindependiente"/>
        <w:spacing w:before="182"/>
        <w:rPr>
          <w:sz w:val="17"/>
        </w:rPr>
      </w:pPr>
    </w:p>
    <w:p w14:paraId="5D6DD768" w14:textId="77777777" w:rsidR="0014798C" w:rsidRDefault="004E1F0B">
      <w:pPr>
        <w:spacing w:before="1" w:line="307" w:lineRule="auto"/>
        <w:ind w:left="1110" w:right="1272" w:firstLine="2"/>
        <w:rPr>
          <w:sz w:val="17"/>
        </w:rPr>
      </w:pPr>
      <w:r>
        <w:rPr>
          <w:sz w:val="17"/>
        </w:rPr>
        <w:t>Los Estados deben eliminar las barreras legales, financieras, físicas, comunicativas y de otro tipo a la participación en el sistema de aplicación de la ley mediante medidas de accesibilidad y adaptaciones procesales. Se debe proporcionar asistencia</w:t>
      </w:r>
      <w:r>
        <w:rPr>
          <w:spacing w:val="-8"/>
          <w:sz w:val="17"/>
        </w:rPr>
        <w:t xml:space="preserve"> </w:t>
      </w:r>
      <w:r>
        <w:rPr>
          <w:sz w:val="17"/>
        </w:rPr>
        <w:t>y</w:t>
      </w:r>
      <w:r>
        <w:rPr>
          <w:spacing w:val="-8"/>
          <w:sz w:val="17"/>
        </w:rPr>
        <w:t xml:space="preserve"> </w:t>
      </w:r>
      <w:r>
        <w:rPr>
          <w:sz w:val="17"/>
        </w:rPr>
        <w:t>apoyo</w:t>
      </w:r>
      <w:r>
        <w:rPr>
          <w:spacing w:val="-8"/>
          <w:sz w:val="17"/>
        </w:rPr>
        <w:t xml:space="preserve"> </w:t>
      </w:r>
      <w:r>
        <w:rPr>
          <w:sz w:val="17"/>
        </w:rPr>
        <w:t>jurídicos</w:t>
      </w:r>
      <w:r>
        <w:rPr>
          <w:spacing w:val="-8"/>
          <w:sz w:val="17"/>
        </w:rPr>
        <w:t xml:space="preserve"> </w:t>
      </w:r>
      <w:r>
        <w:rPr>
          <w:sz w:val="17"/>
        </w:rPr>
        <w:t>siempre</w:t>
      </w:r>
      <w:r>
        <w:rPr>
          <w:spacing w:val="-8"/>
          <w:sz w:val="17"/>
        </w:rPr>
        <w:t xml:space="preserve"> </w:t>
      </w:r>
      <w:r>
        <w:rPr>
          <w:sz w:val="17"/>
        </w:rPr>
        <w:t>que</w:t>
      </w:r>
      <w:r>
        <w:rPr>
          <w:spacing w:val="-8"/>
          <w:sz w:val="17"/>
        </w:rPr>
        <w:t xml:space="preserve"> </w:t>
      </w:r>
      <w:r>
        <w:rPr>
          <w:sz w:val="17"/>
        </w:rPr>
        <w:t>sea</w:t>
      </w:r>
      <w:r>
        <w:rPr>
          <w:spacing w:val="-8"/>
          <w:sz w:val="17"/>
        </w:rPr>
        <w:t xml:space="preserve"> </w:t>
      </w:r>
      <w:r>
        <w:rPr>
          <w:sz w:val="17"/>
        </w:rPr>
        <w:t>necesario</w:t>
      </w:r>
      <w:r>
        <w:rPr>
          <w:spacing w:val="-8"/>
          <w:sz w:val="17"/>
        </w:rPr>
        <w:t xml:space="preserve"> </w:t>
      </w:r>
      <w:r>
        <w:rPr>
          <w:sz w:val="17"/>
        </w:rPr>
        <w:t>para</w:t>
      </w:r>
      <w:r>
        <w:rPr>
          <w:spacing w:val="-8"/>
          <w:sz w:val="17"/>
        </w:rPr>
        <w:t xml:space="preserve"> </w:t>
      </w:r>
      <w:r>
        <w:rPr>
          <w:sz w:val="17"/>
        </w:rPr>
        <w:t>garantizar</w:t>
      </w:r>
      <w:r>
        <w:rPr>
          <w:spacing w:val="-8"/>
          <w:sz w:val="17"/>
        </w:rPr>
        <w:t xml:space="preserve"> </w:t>
      </w:r>
      <w:r>
        <w:rPr>
          <w:sz w:val="17"/>
        </w:rPr>
        <w:t>que</w:t>
      </w:r>
      <w:r>
        <w:rPr>
          <w:spacing w:val="-8"/>
          <w:sz w:val="17"/>
        </w:rPr>
        <w:t xml:space="preserve"> </w:t>
      </w:r>
      <w:r>
        <w:rPr>
          <w:sz w:val="17"/>
        </w:rPr>
        <w:t>el</w:t>
      </w:r>
      <w:r>
        <w:rPr>
          <w:spacing w:val="-8"/>
          <w:sz w:val="17"/>
        </w:rPr>
        <w:t xml:space="preserve"> </w:t>
      </w:r>
      <w:r>
        <w:rPr>
          <w:sz w:val="17"/>
        </w:rPr>
        <w:t>derecho</w:t>
      </w:r>
      <w:r>
        <w:rPr>
          <w:spacing w:val="-8"/>
          <w:sz w:val="17"/>
        </w:rPr>
        <w:t xml:space="preserve"> </w:t>
      </w:r>
      <w:r>
        <w:rPr>
          <w:sz w:val="17"/>
        </w:rPr>
        <w:t>a</w:t>
      </w:r>
      <w:r>
        <w:rPr>
          <w:spacing w:val="-8"/>
          <w:sz w:val="17"/>
        </w:rPr>
        <w:t xml:space="preserve"> </w:t>
      </w:r>
      <w:r>
        <w:rPr>
          <w:sz w:val="17"/>
        </w:rPr>
        <w:t>la</w:t>
      </w:r>
      <w:r>
        <w:rPr>
          <w:spacing w:val="-8"/>
          <w:sz w:val="17"/>
        </w:rPr>
        <w:t xml:space="preserve"> </w:t>
      </w:r>
      <w:r>
        <w:rPr>
          <w:sz w:val="17"/>
        </w:rPr>
        <w:t>no</w:t>
      </w:r>
      <w:r>
        <w:rPr>
          <w:spacing w:val="-8"/>
          <w:sz w:val="17"/>
        </w:rPr>
        <w:t xml:space="preserve"> </w:t>
      </w:r>
      <w:r>
        <w:rPr>
          <w:sz w:val="17"/>
        </w:rPr>
        <w:t>discriminación</w:t>
      </w:r>
      <w:r>
        <w:rPr>
          <w:spacing w:val="-8"/>
          <w:sz w:val="17"/>
        </w:rPr>
        <w:t xml:space="preserve"> </w:t>
      </w:r>
      <w:r>
        <w:rPr>
          <w:sz w:val="17"/>
        </w:rPr>
        <w:t>sea</w:t>
      </w:r>
      <w:r>
        <w:rPr>
          <w:spacing w:val="-8"/>
          <w:sz w:val="17"/>
        </w:rPr>
        <w:t xml:space="preserve"> </w:t>
      </w:r>
      <w:r>
        <w:rPr>
          <w:sz w:val="17"/>
        </w:rPr>
        <w:t>realizable.</w:t>
      </w:r>
    </w:p>
    <w:p w14:paraId="59ED9D93" w14:textId="77777777" w:rsidR="0014798C" w:rsidRDefault="0014798C">
      <w:pPr>
        <w:pStyle w:val="Textoindependiente"/>
        <w:spacing w:before="12"/>
      </w:pPr>
    </w:p>
    <w:p w14:paraId="0BC306B8" w14:textId="77777777" w:rsidR="0014798C" w:rsidRDefault="004E1F0B">
      <w:pPr>
        <w:pStyle w:val="Textoindependiente"/>
        <w:spacing w:before="1"/>
        <w:ind w:left="1106"/>
      </w:pPr>
      <w:r>
        <w:t>Se</w:t>
      </w:r>
      <w:r>
        <w:rPr>
          <w:spacing w:val="-7"/>
        </w:rPr>
        <w:t xml:space="preserve"> </w:t>
      </w:r>
      <w:r>
        <w:t>debe</w:t>
      </w:r>
      <w:r>
        <w:rPr>
          <w:spacing w:val="-4"/>
        </w:rPr>
        <w:t xml:space="preserve"> </w:t>
      </w:r>
      <w:r>
        <w:t>adoptar</w:t>
      </w:r>
      <w:r>
        <w:rPr>
          <w:spacing w:val="-4"/>
        </w:rPr>
        <w:t xml:space="preserve"> </w:t>
      </w:r>
      <w:r>
        <w:t>un</w:t>
      </w:r>
      <w:r>
        <w:rPr>
          <w:spacing w:val="-4"/>
        </w:rPr>
        <w:t xml:space="preserve"> </w:t>
      </w:r>
      <w:r>
        <w:t>enfoque</w:t>
      </w:r>
      <w:r>
        <w:rPr>
          <w:spacing w:val="-4"/>
        </w:rPr>
        <w:t xml:space="preserve"> </w:t>
      </w:r>
      <w:r>
        <w:t>inclusivo</w:t>
      </w:r>
      <w:r>
        <w:rPr>
          <w:spacing w:val="-4"/>
        </w:rPr>
        <w:t xml:space="preserve"> </w:t>
      </w:r>
      <w:r>
        <w:t>respecto</w:t>
      </w:r>
      <w:r>
        <w:rPr>
          <w:spacing w:val="-3"/>
        </w:rPr>
        <w:t xml:space="preserve"> </w:t>
      </w:r>
      <w:r>
        <w:t>de</w:t>
      </w:r>
      <w:r>
        <w:rPr>
          <w:spacing w:val="-4"/>
        </w:rPr>
        <w:t xml:space="preserve"> </w:t>
      </w:r>
      <w:r>
        <w:t>la</w:t>
      </w:r>
      <w:r>
        <w:rPr>
          <w:spacing w:val="-3"/>
        </w:rPr>
        <w:t xml:space="preserve"> </w:t>
      </w:r>
      <w:r>
        <w:t>capacidad</w:t>
      </w:r>
      <w:r>
        <w:rPr>
          <w:spacing w:val="-4"/>
        </w:rPr>
        <w:t xml:space="preserve"> </w:t>
      </w:r>
      <w:r>
        <w:t>jurídica</w:t>
      </w:r>
      <w:r>
        <w:rPr>
          <w:spacing w:val="-4"/>
        </w:rPr>
        <w:t xml:space="preserve"> </w:t>
      </w:r>
      <w:r>
        <w:t>y</w:t>
      </w:r>
      <w:r>
        <w:rPr>
          <w:spacing w:val="-3"/>
        </w:rPr>
        <w:t xml:space="preserve"> </w:t>
      </w:r>
      <w:r>
        <w:t>la</w:t>
      </w:r>
      <w:r>
        <w:rPr>
          <w:spacing w:val="-4"/>
        </w:rPr>
        <w:t xml:space="preserve"> </w:t>
      </w:r>
      <w:r>
        <w:t>participación</w:t>
      </w:r>
      <w:r>
        <w:rPr>
          <w:spacing w:val="-3"/>
        </w:rPr>
        <w:t xml:space="preserve"> </w:t>
      </w:r>
      <w:r>
        <w:t>de</w:t>
      </w:r>
      <w:r>
        <w:rPr>
          <w:spacing w:val="-4"/>
        </w:rPr>
        <w:t xml:space="preserve"> </w:t>
      </w:r>
      <w:r>
        <w:t>terceros</w:t>
      </w:r>
      <w:r>
        <w:rPr>
          <w:spacing w:val="-4"/>
        </w:rPr>
        <w:t xml:space="preserve"> </w:t>
      </w:r>
      <w:r>
        <w:rPr>
          <w:spacing w:val="-2"/>
        </w:rPr>
        <w:t>interesados.</w:t>
      </w:r>
    </w:p>
    <w:p w14:paraId="53E56D0D" w14:textId="77777777" w:rsidR="0014798C" w:rsidRDefault="0014798C">
      <w:pPr>
        <w:pStyle w:val="Textoindependiente"/>
        <w:spacing w:before="51"/>
      </w:pPr>
    </w:p>
    <w:p w14:paraId="23956C02" w14:textId="77777777" w:rsidR="0014798C" w:rsidRDefault="004E1F0B">
      <w:pPr>
        <w:pStyle w:val="Textoindependiente"/>
        <w:spacing w:line="326" w:lineRule="auto"/>
        <w:ind w:left="1108" w:right="1335" w:hanging="2"/>
      </w:pPr>
      <w:r>
        <w:t>La legislación contra la discriminación debe garantizar que no existan barreras a la admisibilidad de pruebas que puedan establecer una conclusión de discriminación. Las reglas de prueba deben adaptarse para garantizar una justicia efectiva. Esto incluye, en todos</w:t>
      </w:r>
      <w:r>
        <w:rPr>
          <w:spacing w:val="-1"/>
        </w:rPr>
        <w:t xml:space="preserve"> </w:t>
      </w:r>
      <w:r>
        <w:t>los ámbitos</w:t>
      </w:r>
      <w:r>
        <w:rPr>
          <w:spacing w:val="-1"/>
        </w:rPr>
        <w:t xml:space="preserve"> </w:t>
      </w:r>
      <w:r>
        <w:t>del derecho excepto en el penal, la adopción de normas que exijan un “desplazamiento”</w:t>
      </w:r>
      <w:r>
        <w:rPr>
          <w:spacing w:val="-1"/>
        </w:rPr>
        <w:t xml:space="preserve"> </w:t>
      </w:r>
      <w:r>
        <w:t>de la carga de la prueba del demandante al demandado una vez que se haya establecido un caso prima facie de discriminación.</w:t>
      </w:r>
    </w:p>
    <w:p w14:paraId="365D4BDD" w14:textId="77777777" w:rsidR="0014798C" w:rsidRDefault="004E1F0B">
      <w:pPr>
        <w:pStyle w:val="Textoindependiente"/>
        <w:spacing w:before="7"/>
        <w:rPr>
          <w:sz w:val="13"/>
        </w:rPr>
      </w:pPr>
      <w:r>
        <w:rPr>
          <w:noProof/>
        </w:rPr>
        <mc:AlternateContent>
          <mc:Choice Requires="wpg">
            <w:drawing>
              <wp:anchor distT="0" distB="0" distL="0" distR="0" simplePos="0" relativeHeight="251658507" behindDoc="1" locked="0" layoutInCell="1" allowOverlap="1" wp14:anchorId="48671A35" wp14:editId="36654D0E">
                <wp:simplePos x="0" y="0"/>
                <wp:positionH relativeFrom="page">
                  <wp:posOffset>826632</wp:posOffset>
                </wp:positionH>
                <wp:positionV relativeFrom="paragraph">
                  <wp:posOffset>114720</wp:posOffset>
                </wp:positionV>
                <wp:extent cx="5930265" cy="912494"/>
                <wp:effectExtent l="0" t="0" r="0" b="0"/>
                <wp:wrapTopAndBottom/>
                <wp:docPr id="24" name="Group 2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930265" cy="912494"/>
                          <a:chOff x="0" y="0"/>
                          <a:chExt cx="5930265" cy="912494"/>
                        </a:xfrm>
                      </wpg:grpSpPr>
                      <pic:pic xmlns:pic="http://schemas.openxmlformats.org/drawingml/2006/picture">
                        <pic:nvPicPr>
                          <pic:cNvPr id="25" name="Image 25"/>
                          <pic:cNvPicPr/>
                        </pic:nvPicPr>
                        <pic:blipFill>
                          <a:blip r:embed="rId31" cstate="print"/>
                          <a:stretch>
                            <a:fillRect/>
                          </a:stretch>
                        </pic:blipFill>
                        <pic:spPr>
                          <a:xfrm>
                            <a:off x="0" y="0"/>
                            <a:ext cx="5930190" cy="912150"/>
                          </a:xfrm>
                          <a:prstGeom prst="rect">
                            <a:avLst/>
                          </a:prstGeom>
                        </pic:spPr>
                      </pic:pic>
                      <wps:wsp>
                        <wps:cNvPr id="26" name="Textbox 26"/>
                        <wps:cNvSpPr txBox="1"/>
                        <wps:spPr>
                          <a:xfrm>
                            <a:off x="0" y="0"/>
                            <a:ext cx="5930265" cy="912494"/>
                          </a:xfrm>
                          <a:prstGeom prst="rect">
                            <a:avLst/>
                          </a:prstGeom>
                        </wps:spPr>
                        <wps:txbx>
                          <w:txbxContent>
                            <w:p w14:paraId="328D7177" w14:textId="77777777" w:rsidR="0014798C" w:rsidRDefault="0014798C">
                              <w:pPr>
                                <w:spacing w:before="87"/>
                                <w:rPr>
                                  <w:sz w:val="16"/>
                                </w:rPr>
                              </w:pPr>
                            </w:p>
                            <w:p w14:paraId="7746A344" w14:textId="77777777" w:rsidR="0014798C" w:rsidRDefault="004E1F0B">
                              <w:pPr>
                                <w:spacing w:line="326" w:lineRule="auto"/>
                                <w:ind w:left="235" w:right="679" w:hanging="5"/>
                                <w:rPr>
                                  <w:sz w:val="16"/>
                                </w:rPr>
                              </w:pPr>
                              <w:r>
                                <w:rPr>
                                  <w:sz w:val="16"/>
                                </w:rPr>
                                <w:t>En</w:t>
                              </w:r>
                              <w:r>
                                <w:rPr>
                                  <w:spacing w:val="-1"/>
                                  <w:sz w:val="16"/>
                                </w:rPr>
                                <w:t xml:space="preserve"> </w:t>
                              </w:r>
                              <w:r>
                                <w:rPr>
                                  <w:sz w:val="16"/>
                                </w:rPr>
                                <w:t>situaciones</w:t>
                              </w:r>
                              <w:r>
                                <w:rPr>
                                  <w:spacing w:val="-1"/>
                                  <w:sz w:val="16"/>
                                </w:rPr>
                                <w:t xml:space="preserve"> </w:t>
                              </w:r>
                              <w:r>
                                <w:rPr>
                                  <w:sz w:val="16"/>
                                </w:rPr>
                                <w:t>en las que una persona que supuestamente</w:t>
                              </w:r>
                              <w:r>
                                <w:rPr>
                                  <w:spacing w:val="-1"/>
                                  <w:sz w:val="16"/>
                                </w:rPr>
                                <w:t xml:space="preserve"> </w:t>
                              </w:r>
                              <w:r>
                                <w:rPr>
                                  <w:sz w:val="16"/>
                                </w:rPr>
                                <w:t>ha sufrido discriminación establece ante</w:t>
                              </w:r>
                              <w:r>
                                <w:rPr>
                                  <w:spacing w:val="-1"/>
                                  <w:sz w:val="16"/>
                                </w:rPr>
                                <w:t xml:space="preserve"> </w:t>
                              </w:r>
                              <w:r>
                                <w:rPr>
                                  <w:sz w:val="16"/>
                                </w:rPr>
                                <w:t>un tribunal, u otra autoridad competente, hechos de los cuales se puede presumir que ha habido discriminación (un caso prima facie), corresponderá al demandado probar que no ha habido vulneración del derecho a la no discriminación.</w:t>
                              </w:r>
                            </w:p>
                          </w:txbxContent>
                        </wps:txbx>
                        <wps:bodyPr wrap="square" lIns="0" tIns="0" rIns="0" bIns="0" rtlCol="0">
                          <a:noAutofit/>
                        </wps:bodyPr>
                      </wps:wsp>
                    </wpg:wgp>
                  </a:graphicData>
                </a:graphic>
              </wp:anchor>
            </w:drawing>
          </mc:Choice>
          <mc:Fallback>
            <w:pict>
              <v:group w14:anchorId="48671A35" id="Group 24" o:spid="_x0000_s1029" style="position:absolute;margin-left:65.1pt;margin-top:9.05pt;width:466.95pt;height:71.85pt;z-index:-251657973;mso-wrap-distance-left:0;mso-wrap-distance-right:0;mso-position-horizontal-relative:page" coordsize="59302,9124"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">
                <v:shape id="Image 25" o:spid="_x0000_s1030" type="#_x0000_t75" style="position:absolute;width:59301;height:912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">
                  <v:imagedata r:id="rId32" o:title=""/>
                </v:shape>
                <v:shape id="Textbox 26" o:spid="_x0000_s1031" type="#_x0000_t202" style="position:absolute;width:59302;height:91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" filled="f" stroked="f">
                  <v:textbox inset="0,0,0,0">
                    <w:txbxContent>
                      <w:p w14:paraId="328D7177" w14:textId="77777777" w:rsidR="0014798C" w:rsidRDefault="0014798C">
                        <w:pPr>
                          <w:spacing w:before="87"/>
                          <w:rPr>
                            <w:sz w:val="16"/>
                          </w:rPr>
                        </w:pPr>
                      </w:p>
                      <w:p w14:paraId="7746A344" w14:textId="77777777" w:rsidR="0014798C" w:rsidRDefault="004E1F0B">
                        <w:pPr>
                          <w:spacing w:line="326" w:lineRule="auto"/>
                          <w:ind w:left="235" w:right="679" w:hanging="5"/>
                          <w:rPr>
                            <w:sz w:val="16"/>
                          </w:rPr>
                        </w:pPr>
                        <w:r>
                          <w:rPr>
                            <w:sz w:val="16"/>
                          </w:rPr>
                          <w:t>En</w:t>
                        </w:r>
                        <w:r>
                          <w:rPr>
                            <w:spacing w:val="-1"/>
                            <w:sz w:val="16"/>
                          </w:rPr>
                          <w:t xml:space="preserve"> </w:t>
                        </w:r>
                        <w:r>
                          <w:rPr>
                            <w:sz w:val="16"/>
                          </w:rPr>
                          <w:t>situaciones</w:t>
                        </w:r>
                        <w:r>
                          <w:rPr>
                            <w:spacing w:val="-1"/>
                            <w:sz w:val="16"/>
                          </w:rPr>
                          <w:t xml:space="preserve"> </w:t>
                        </w:r>
                        <w:r>
                          <w:rPr>
                            <w:sz w:val="16"/>
                          </w:rPr>
                          <w:t>en las que una persona que supuestamente</w:t>
                        </w:r>
                        <w:r>
                          <w:rPr>
                            <w:spacing w:val="-1"/>
                            <w:sz w:val="16"/>
                          </w:rPr>
                          <w:t xml:space="preserve"> </w:t>
                        </w:r>
                        <w:r>
                          <w:rPr>
                            <w:sz w:val="16"/>
                          </w:rPr>
                          <w:t>ha sufrido discriminación establece ante</w:t>
                        </w:r>
                        <w:r>
                          <w:rPr>
                            <w:spacing w:val="-1"/>
                            <w:sz w:val="16"/>
                          </w:rPr>
                          <w:t xml:space="preserve"> </w:t>
                        </w:r>
                        <w:r>
                          <w:rPr>
                            <w:sz w:val="16"/>
                          </w:rPr>
                          <w:t>un tribunal, u otra autoridad competente, hechos de los cuales se puede presumir que ha habido discriminación (un caso prima facie), corresponderá al demandado probar que no ha habido vulneración del derecho a la no discriminación.</w:t>
                        </w:r>
                      </w:p>
                    </w:txbxContent>
                  </v:textbox>
                </v:shape>
                <w10:wrap type="topAndBottom" anchorx="page"/>
              </v:group>
            </w:pict>
          </mc:Fallback>
        </mc:AlternateContent>
      </w:r>
    </w:p>
    <w:p w14:paraId="34342D89" w14:textId="77777777" w:rsidR="0014798C" w:rsidRDefault="0014798C">
      <w:pPr>
        <w:pStyle w:val="Textoindependiente"/>
        <w:spacing w:before="102"/>
      </w:pPr>
    </w:p>
    <w:p w14:paraId="50C3A8DA" w14:textId="77777777" w:rsidR="0014798C" w:rsidRDefault="004E1F0B">
      <w:pPr>
        <w:pStyle w:val="Textoindependiente"/>
        <w:spacing w:line="326" w:lineRule="auto"/>
        <w:ind w:left="1107" w:right="1144" w:firstLine="1"/>
      </w:pPr>
      <w:r>
        <w:t>En muchos casos, las víctimas de discriminación sólo han podido acceder a la justicia a nivel internacional, después de que se</w:t>
      </w:r>
      <w:r>
        <w:rPr>
          <w:spacing w:val="40"/>
        </w:rPr>
        <w:t xml:space="preserve"> </w:t>
      </w:r>
      <w:r>
        <w:t>hayan agotado los recursos internos. Los Estados deben garantizar que las personas puedan presentar denuncias de discriminación ante los órganos de tratados de las Naciones Unidas ratificando los protocolos facultativos pertinentes y haciendo las declaraciones necesarias en</w:t>
      </w:r>
      <w:r>
        <w:rPr>
          <w:spacing w:val="9"/>
        </w:rPr>
        <w:t xml:space="preserve"> </w:t>
      </w:r>
      <w:r>
        <w:t>virtud</w:t>
      </w:r>
      <w:r>
        <w:rPr>
          <w:spacing w:val="9"/>
        </w:rPr>
        <w:t xml:space="preserve"> </w:t>
      </w:r>
      <w:r>
        <w:t>de</w:t>
      </w:r>
      <w:r>
        <w:rPr>
          <w:spacing w:val="9"/>
        </w:rPr>
        <w:t xml:space="preserve"> </w:t>
      </w:r>
      <w:r>
        <w:t>los</w:t>
      </w:r>
      <w:r>
        <w:rPr>
          <w:spacing w:val="9"/>
        </w:rPr>
        <w:t xml:space="preserve"> </w:t>
      </w:r>
      <w:r>
        <w:t>instrumentos internacionales de</w:t>
      </w:r>
      <w:r>
        <w:rPr>
          <w:spacing w:val="9"/>
        </w:rPr>
        <w:t xml:space="preserve"> </w:t>
      </w:r>
      <w:r>
        <w:t>derechos humanos pertinentes.</w:t>
      </w:r>
      <w:r>
        <w:rPr>
          <w:spacing w:val="11"/>
        </w:rPr>
        <w:t xml:space="preserve"> </w:t>
      </w:r>
      <w:r>
        <w:t>Al adoptar una</w:t>
      </w:r>
      <w:r>
        <w:rPr>
          <w:spacing w:val="9"/>
        </w:rPr>
        <w:t xml:space="preserve"> </w:t>
      </w:r>
      <w:r>
        <w:t>legislación</w:t>
      </w:r>
      <w:r>
        <w:rPr>
          <w:spacing w:val="9"/>
        </w:rPr>
        <w:t xml:space="preserve"> </w:t>
      </w:r>
      <w:r>
        <w:t>integral</w:t>
      </w:r>
      <w:r>
        <w:rPr>
          <w:spacing w:val="40"/>
        </w:rPr>
        <w:t xml:space="preserve"> </w:t>
      </w:r>
      <w:r>
        <w:t>contra la discriminación, los Estados deberían aprovechar la oportunidad para hacer estas declaraciones, así como para afirmar</w:t>
      </w:r>
    </w:p>
    <w:p w14:paraId="7D3182FE" w14:textId="77777777" w:rsidR="0014798C" w:rsidRDefault="004E1F0B">
      <w:pPr>
        <w:pStyle w:val="Textoindependiente"/>
        <w:spacing w:line="182" w:lineRule="exact"/>
        <w:ind w:left="1111"/>
      </w:pPr>
      <w:r>
        <w:t>su</w:t>
      </w:r>
      <w:r>
        <w:rPr>
          <w:spacing w:val="-4"/>
        </w:rPr>
        <w:t xml:space="preserve"> </w:t>
      </w:r>
      <w:r>
        <w:t>papel</w:t>
      </w:r>
      <w:r>
        <w:rPr>
          <w:spacing w:val="-3"/>
        </w:rPr>
        <w:t xml:space="preserve"> </w:t>
      </w:r>
      <w:r>
        <w:t>frente</w:t>
      </w:r>
      <w:r>
        <w:rPr>
          <w:spacing w:val="-3"/>
        </w:rPr>
        <w:t xml:space="preserve"> </w:t>
      </w:r>
      <w:r>
        <w:t>al</w:t>
      </w:r>
      <w:r>
        <w:rPr>
          <w:spacing w:val="-3"/>
        </w:rPr>
        <w:t xml:space="preserve"> </w:t>
      </w:r>
      <w:r>
        <w:t>sistema</w:t>
      </w:r>
      <w:r>
        <w:rPr>
          <w:spacing w:val="-3"/>
        </w:rPr>
        <w:t xml:space="preserve"> </w:t>
      </w:r>
      <w:r>
        <w:t>nacional</w:t>
      </w:r>
      <w:r>
        <w:rPr>
          <w:spacing w:val="-3"/>
        </w:rPr>
        <w:t xml:space="preserve"> </w:t>
      </w:r>
      <w:r>
        <w:t>e</w:t>
      </w:r>
      <w:r>
        <w:rPr>
          <w:spacing w:val="-4"/>
        </w:rPr>
        <w:t xml:space="preserve"> </w:t>
      </w:r>
      <w:r>
        <w:t>informar</w:t>
      </w:r>
      <w:r>
        <w:rPr>
          <w:spacing w:val="-3"/>
        </w:rPr>
        <w:t xml:space="preserve"> </w:t>
      </w:r>
      <w:r>
        <w:t>al</w:t>
      </w:r>
      <w:r>
        <w:rPr>
          <w:spacing w:val="-3"/>
        </w:rPr>
        <w:t xml:space="preserve"> </w:t>
      </w:r>
      <w:r>
        <w:t>público</w:t>
      </w:r>
      <w:r>
        <w:rPr>
          <w:spacing w:val="-3"/>
        </w:rPr>
        <w:t xml:space="preserve"> </w:t>
      </w:r>
      <w:r>
        <w:t>sobre</w:t>
      </w:r>
      <w:r>
        <w:rPr>
          <w:spacing w:val="-3"/>
        </w:rPr>
        <w:t xml:space="preserve"> </w:t>
      </w:r>
      <w:r>
        <w:t>su</w:t>
      </w:r>
      <w:r>
        <w:rPr>
          <w:spacing w:val="-3"/>
        </w:rPr>
        <w:t xml:space="preserve"> </w:t>
      </w:r>
      <w:r>
        <w:rPr>
          <w:spacing w:val="-2"/>
        </w:rPr>
        <w:t>disponibilidad.</w:t>
      </w:r>
    </w:p>
    <w:p w14:paraId="6F7B3545" w14:textId="77777777" w:rsidR="0014798C" w:rsidRDefault="0014798C">
      <w:pPr>
        <w:pStyle w:val="Textoindependiente"/>
        <w:spacing w:before="162"/>
        <w:rPr>
          <w:sz w:val="21"/>
        </w:rPr>
      </w:pPr>
    </w:p>
    <w:p w14:paraId="64B78097" w14:textId="77777777" w:rsidR="0014798C" w:rsidRDefault="004E1F0B">
      <w:pPr>
        <w:numPr>
          <w:ilvl w:val="0"/>
          <w:numId w:val="97"/>
        </w:numPr>
        <w:tabs>
          <w:tab w:val="left" w:pos="1361"/>
        </w:tabs>
        <w:ind w:left="1361" w:hanging="241"/>
        <w:rPr>
          <w:color w:val="0075BF"/>
          <w:sz w:val="21"/>
        </w:rPr>
      </w:pPr>
      <w:bookmarkStart w:id="2" w:name="igualdad"/>
      <w:r>
        <w:rPr>
          <w:color w:val="0075BF"/>
          <w:sz w:val="21"/>
        </w:rPr>
        <w:t>Organismos</w:t>
      </w:r>
      <w:r>
        <w:rPr>
          <w:color w:val="0075BF"/>
          <w:spacing w:val="-9"/>
          <w:sz w:val="21"/>
        </w:rPr>
        <w:t xml:space="preserve"> </w:t>
      </w:r>
      <w:r>
        <w:rPr>
          <w:color w:val="0075BF"/>
          <w:sz w:val="21"/>
        </w:rPr>
        <w:t>de</w:t>
      </w:r>
      <w:r>
        <w:rPr>
          <w:color w:val="0075BF"/>
          <w:spacing w:val="-8"/>
          <w:sz w:val="21"/>
        </w:rPr>
        <w:t xml:space="preserve"> </w:t>
      </w:r>
      <w:r>
        <w:rPr>
          <w:color w:val="0075BF"/>
          <w:spacing w:val="-2"/>
          <w:sz w:val="21"/>
        </w:rPr>
        <w:t>igualdad</w:t>
      </w:r>
      <w:bookmarkEnd w:id="2"/>
    </w:p>
    <w:p w14:paraId="6ECD09AD" w14:textId="77777777" w:rsidR="0014798C" w:rsidRDefault="0014798C">
      <w:pPr>
        <w:pStyle w:val="Textoindependiente"/>
        <w:spacing w:before="90"/>
      </w:pPr>
    </w:p>
    <w:p w14:paraId="4AF93678" w14:textId="77777777" w:rsidR="0014798C" w:rsidRDefault="004E1F0B">
      <w:pPr>
        <w:pStyle w:val="Textoindependiente"/>
        <w:spacing w:line="326" w:lineRule="auto"/>
        <w:ind w:left="1107" w:right="1335" w:firstLine="7"/>
      </w:pPr>
      <w:r>
        <w:t>Una ley integral contra la discriminación debe prever el establecimiento de órganos de igualdad independientes, eficaces y accesibles. Estos órganos deben contar con los recursos y las funciones y poderes necesarios para cumplir plena y eficazmente todo su mandato de promover la igualdad y prevenir la discriminación. Deben poder: (a) brindar apoyo, incluido asesoramiento y representación</w:t>
      </w:r>
      <w:r>
        <w:rPr>
          <w:spacing w:val="-3"/>
        </w:rPr>
        <w:t xml:space="preserve"> </w:t>
      </w:r>
      <w:r>
        <w:t>legal,</w:t>
      </w:r>
      <w:r>
        <w:rPr>
          <w:spacing w:val="-3"/>
        </w:rPr>
        <w:t xml:space="preserve"> </w:t>
      </w:r>
      <w:r>
        <w:t>a</w:t>
      </w:r>
      <w:r>
        <w:rPr>
          <w:spacing w:val="-3"/>
        </w:rPr>
        <w:t xml:space="preserve"> </w:t>
      </w:r>
      <w:r>
        <w:t>personas</w:t>
      </w:r>
      <w:r>
        <w:rPr>
          <w:spacing w:val="-4"/>
        </w:rPr>
        <w:t xml:space="preserve"> </w:t>
      </w:r>
      <w:r>
        <w:t>y</w:t>
      </w:r>
      <w:r>
        <w:rPr>
          <w:spacing w:val="-3"/>
        </w:rPr>
        <w:t xml:space="preserve"> </w:t>
      </w:r>
      <w:r>
        <w:t>grupos</w:t>
      </w:r>
      <w:r>
        <w:rPr>
          <w:spacing w:val="-3"/>
        </w:rPr>
        <w:t xml:space="preserve"> </w:t>
      </w:r>
      <w:r>
        <w:t>expuestos</w:t>
      </w:r>
      <w:r>
        <w:rPr>
          <w:spacing w:val="-4"/>
        </w:rPr>
        <w:t xml:space="preserve"> </w:t>
      </w:r>
      <w:r>
        <w:t>a</w:t>
      </w:r>
      <w:r>
        <w:rPr>
          <w:spacing w:val="-3"/>
        </w:rPr>
        <w:t xml:space="preserve"> </w:t>
      </w:r>
      <w:r>
        <w:t>discriminación</w:t>
      </w:r>
      <w:r>
        <w:rPr>
          <w:spacing w:val="-3"/>
        </w:rPr>
        <w:t xml:space="preserve"> </w:t>
      </w:r>
      <w:r>
        <w:t>e</w:t>
      </w:r>
      <w:r>
        <w:rPr>
          <w:spacing w:val="-3"/>
        </w:rPr>
        <w:t xml:space="preserve"> </w:t>
      </w:r>
      <w:r>
        <w:t>intolerancia</w:t>
      </w:r>
      <w:r>
        <w:rPr>
          <w:spacing w:val="-3"/>
        </w:rPr>
        <w:t xml:space="preserve"> </w:t>
      </w:r>
      <w:r>
        <w:t>y</w:t>
      </w:r>
      <w:r>
        <w:rPr>
          <w:spacing w:val="-3"/>
        </w:rPr>
        <w:t xml:space="preserve"> </w:t>
      </w:r>
      <w:r>
        <w:t>entablar</w:t>
      </w:r>
      <w:r>
        <w:rPr>
          <w:spacing w:val="-4"/>
        </w:rPr>
        <w:t xml:space="preserve"> </w:t>
      </w:r>
      <w:r>
        <w:t>litigios</w:t>
      </w:r>
      <w:r>
        <w:rPr>
          <w:spacing w:val="-4"/>
        </w:rPr>
        <w:t xml:space="preserve"> </w:t>
      </w:r>
      <w:r>
        <w:t>en</w:t>
      </w:r>
      <w:r>
        <w:rPr>
          <w:spacing w:val="-3"/>
        </w:rPr>
        <w:t xml:space="preserve"> </w:t>
      </w:r>
      <w:r>
        <w:t>su</w:t>
      </w:r>
      <w:r>
        <w:rPr>
          <w:spacing w:val="-3"/>
        </w:rPr>
        <w:t xml:space="preserve"> </w:t>
      </w:r>
      <w:r>
        <w:t>nombre;</w:t>
      </w:r>
      <w:r>
        <w:rPr>
          <w:spacing w:val="-3"/>
        </w:rPr>
        <w:t xml:space="preserve"> </w:t>
      </w:r>
      <w:r>
        <w:t>b)</w:t>
      </w:r>
      <w:r>
        <w:rPr>
          <w:spacing w:val="-3"/>
        </w:rPr>
        <w:t xml:space="preserve"> </w:t>
      </w:r>
      <w:r>
        <w:t>promover buenas</w:t>
      </w:r>
      <w:r>
        <w:rPr>
          <w:spacing w:val="-12"/>
        </w:rPr>
        <w:t xml:space="preserve"> </w:t>
      </w:r>
      <w:r>
        <w:t>prácticas</w:t>
      </w:r>
      <w:r>
        <w:rPr>
          <w:spacing w:val="-11"/>
        </w:rPr>
        <w:t xml:space="preserve"> </w:t>
      </w:r>
      <w:r>
        <w:t>en</w:t>
      </w:r>
      <w:r>
        <w:rPr>
          <w:spacing w:val="-10"/>
        </w:rPr>
        <w:t xml:space="preserve"> </w:t>
      </w:r>
      <w:r>
        <w:t>materia</w:t>
      </w:r>
      <w:r>
        <w:rPr>
          <w:spacing w:val="-11"/>
        </w:rPr>
        <w:t xml:space="preserve"> </w:t>
      </w:r>
      <w:r>
        <w:t>de</w:t>
      </w:r>
      <w:r>
        <w:rPr>
          <w:spacing w:val="-11"/>
        </w:rPr>
        <w:t xml:space="preserve"> </w:t>
      </w:r>
      <w:r>
        <w:t>igualdad</w:t>
      </w:r>
      <w:r>
        <w:rPr>
          <w:spacing w:val="-11"/>
        </w:rPr>
        <w:t xml:space="preserve"> </w:t>
      </w:r>
      <w:r>
        <w:t>en</w:t>
      </w:r>
      <w:r>
        <w:rPr>
          <w:spacing w:val="-11"/>
        </w:rPr>
        <w:t xml:space="preserve"> </w:t>
      </w:r>
      <w:r>
        <w:t>todos</w:t>
      </w:r>
      <w:r>
        <w:rPr>
          <w:spacing w:val="-11"/>
        </w:rPr>
        <w:t xml:space="preserve"> </w:t>
      </w:r>
      <w:r>
        <w:t>los</w:t>
      </w:r>
      <w:r>
        <w:rPr>
          <w:spacing w:val="-11"/>
        </w:rPr>
        <w:t xml:space="preserve"> </w:t>
      </w:r>
      <w:r>
        <w:t>sectores;</w:t>
      </w:r>
      <w:r>
        <w:rPr>
          <w:spacing w:val="-11"/>
        </w:rPr>
        <w:t xml:space="preserve"> </w:t>
      </w:r>
      <w:r>
        <w:t>(c)</w:t>
      </w:r>
      <w:r>
        <w:rPr>
          <w:spacing w:val="-11"/>
        </w:rPr>
        <w:t xml:space="preserve"> </w:t>
      </w:r>
      <w:r>
        <w:t>realizar</w:t>
      </w:r>
      <w:r>
        <w:rPr>
          <w:spacing w:val="-11"/>
        </w:rPr>
        <w:t xml:space="preserve"> </w:t>
      </w:r>
      <w:r>
        <w:t>investigaciones;</w:t>
      </w:r>
      <w:r>
        <w:rPr>
          <w:spacing w:val="-10"/>
        </w:rPr>
        <w:t xml:space="preserve"> </w:t>
      </w:r>
      <w:r>
        <w:t>d)</w:t>
      </w:r>
      <w:r>
        <w:rPr>
          <w:spacing w:val="-11"/>
        </w:rPr>
        <w:t xml:space="preserve"> </w:t>
      </w:r>
      <w:r>
        <w:t>proporcionar</w:t>
      </w:r>
      <w:r>
        <w:rPr>
          <w:spacing w:val="-11"/>
        </w:rPr>
        <w:t xml:space="preserve"> </w:t>
      </w:r>
      <w:r>
        <w:t>información</w:t>
      </w:r>
      <w:r>
        <w:rPr>
          <w:spacing w:val="-11"/>
        </w:rPr>
        <w:t xml:space="preserve"> </w:t>
      </w:r>
      <w:r>
        <w:t>sobre</w:t>
      </w:r>
      <w:r>
        <w:rPr>
          <w:spacing w:val="-11"/>
        </w:rPr>
        <w:t xml:space="preserve"> </w:t>
      </w:r>
      <w:r>
        <w:t>los derechos y participar en un debate público sobre la igualdad; y (e) proporcionar asesoramiento sobre políticas. Los órganos de igualdad también pueden tener el mandato de considerar quejas de discriminación y emitir recomendaciones o tomar decisiones. En</w:t>
      </w:r>
      <w:r>
        <w:rPr>
          <w:spacing w:val="-1"/>
        </w:rPr>
        <w:t xml:space="preserve"> </w:t>
      </w:r>
      <w:r>
        <w:t>situaciones</w:t>
      </w:r>
      <w:r>
        <w:rPr>
          <w:spacing w:val="-1"/>
        </w:rPr>
        <w:t xml:space="preserve"> </w:t>
      </w:r>
      <w:r>
        <w:t>en las que los órganos</w:t>
      </w:r>
      <w:r>
        <w:rPr>
          <w:spacing w:val="-1"/>
        </w:rPr>
        <w:t xml:space="preserve"> </w:t>
      </w:r>
      <w:r>
        <w:t>de igualdad tienen</w:t>
      </w:r>
      <w:r>
        <w:rPr>
          <w:spacing w:val="-1"/>
        </w:rPr>
        <w:t xml:space="preserve"> </w:t>
      </w:r>
      <w:r>
        <w:t>autoridad</w:t>
      </w:r>
      <w:r>
        <w:rPr>
          <w:spacing w:val="-1"/>
        </w:rPr>
        <w:t xml:space="preserve"> </w:t>
      </w:r>
      <w:r>
        <w:t>para tomar</w:t>
      </w:r>
      <w:r>
        <w:rPr>
          <w:spacing w:val="-1"/>
        </w:rPr>
        <w:t xml:space="preserve"> </w:t>
      </w:r>
      <w:r>
        <w:t>decisiones, deben estar</w:t>
      </w:r>
      <w:r>
        <w:rPr>
          <w:spacing w:val="-1"/>
        </w:rPr>
        <w:t xml:space="preserve"> </w:t>
      </w:r>
      <w:r>
        <w:t>facultados</w:t>
      </w:r>
      <w:r>
        <w:rPr>
          <w:spacing w:val="-1"/>
        </w:rPr>
        <w:t xml:space="preserve"> </w:t>
      </w:r>
      <w:r>
        <w:t>para garantizar el acceso efectivo a la justicia y ofrecer tanto reparación como sanción.</w:t>
      </w:r>
    </w:p>
    <w:p w14:paraId="55AB86EA" w14:textId="77777777" w:rsidR="0014798C" w:rsidRDefault="0014798C">
      <w:pPr>
        <w:pStyle w:val="Textoindependiente"/>
        <w:rPr>
          <w:sz w:val="21"/>
        </w:rPr>
      </w:pPr>
    </w:p>
    <w:p w14:paraId="3063995F" w14:textId="77777777" w:rsidR="0014798C" w:rsidRDefault="0014798C">
      <w:pPr>
        <w:pStyle w:val="Textoindependiente"/>
        <w:spacing w:before="99"/>
        <w:rPr>
          <w:sz w:val="21"/>
        </w:rPr>
      </w:pPr>
    </w:p>
    <w:p w14:paraId="77FFAD98" w14:textId="77777777" w:rsidR="0014798C" w:rsidRDefault="004E1F0B">
      <w:pPr>
        <w:numPr>
          <w:ilvl w:val="0"/>
          <w:numId w:val="97"/>
        </w:numPr>
        <w:tabs>
          <w:tab w:val="left" w:pos="1385"/>
        </w:tabs>
        <w:spacing w:before="1"/>
        <w:ind w:left="1385" w:hanging="276"/>
        <w:rPr>
          <w:color w:val="0075BF"/>
          <w:sz w:val="21"/>
        </w:rPr>
      </w:pPr>
      <w:r>
        <w:rPr>
          <w:color w:val="0075BF"/>
          <w:spacing w:val="-2"/>
          <w:sz w:val="21"/>
        </w:rPr>
        <w:t>Implementación</w:t>
      </w:r>
    </w:p>
    <w:p w14:paraId="26B3A97D" w14:textId="77777777" w:rsidR="0014798C" w:rsidRDefault="0014798C">
      <w:pPr>
        <w:pStyle w:val="Textoindependiente"/>
        <w:spacing w:before="89"/>
      </w:pPr>
    </w:p>
    <w:p w14:paraId="5579F142" w14:textId="77777777" w:rsidR="0014798C" w:rsidRDefault="004E1F0B">
      <w:pPr>
        <w:pStyle w:val="Textoindependiente"/>
        <w:spacing w:line="326" w:lineRule="auto"/>
        <w:ind w:left="1108" w:right="1463" w:firstLine="6"/>
      </w:pPr>
      <w:r>
        <w:t>Una legislación integral contra la discriminación debe exigir y proporcionar un marco para que el Estado cumpla con sus obligaciones</w:t>
      </w:r>
      <w:r>
        <w:rPr>
          <w:spacing w:val="-1"/>
        </w:rPr>
        <w:t xml:space="preserve"> </w:t>
      </w:r>
      <w:r>
        <w:t>institucionales</w:t>
      </w:r>
      <w:r>
        <w:rPr>
          <w:spacing w:val="-1"/>
        </w:rPr>
        <w:t xml:space="preserve"> </w:t>
      </w:r>
      <w:r>
        <w:t>y políticas</w:t>
      </w:r>
      <w:r>
        <w:rPr>
          <w:spacing w:val="-1"/>
        </w:rPr>
        <w:t xml:space="preserve"> </w:t>
      </w:r>
      <w:r>
        <w:t>para implementar</w:t>
      </w:r>
      <w:r>
        <w:rPr>
          <w:spacing w:val="-1"/>
        </w:rPr>
        <w:t xml:space="preserve"> </w:t>
      </w:r>
      <w:r>
        <w:t>los derechos</w:t>
      </w:r>
      <w:r>
        <w:rPr>
          <w:spacing w:val="-1"/>
        </w:rPr>
        <w:t xml:space="preserve"> </w:t>
      </w:r>
      <w:r>
        <w:t>a la igualdad y la no discriminación. Esto</w:t>
      </w:r>
      <w:r>
        <w:rPr>
          <w:spacing w:val="-1"/>
        </w:rPr>
        <w:t xml:space="preserve"> </w:t>
      </w:r>
      <w:r>
        <w:t>requiere, entre otras obligaciones:</w:t>
      </w:r>
    </w:p>
    <w:p w14:paraId="42294A71" w14:textId="77777777" w:rsidR="0014798C" w:rsidRDefault="004E1F0B">
      <w:pPr>
        <w:pStyle w:val="Prrafodelista"/>
        <w:numPr>
          <w:ilvl w:val="0"/>
          <w:numId w:val="96"/>
        </w:numPr>
        <w:tabs>
          <w:tab w:val="left" w:pos="1222"/>
          <w:tab w:val="left" w:pos="1351"/>
        </w:tabs>
        <w:spacing w:before="84" w:line="307" w:lineRule="auto"/>
        <w:ind w:right="1459" w:hanging="234"/>
        <w:rPr>
          <w:sz w:val="17"/>
        </w:rPr>
      </w:pPr>
      <w:r>
        <w:rPr>
          <w:sz w:val="17"/>
        </w:rPr>
        <w:t>El</w:t>
      </w:r>
      <w:r>
        <w:rPr>
          <w:spacing w:val="-8"/>
          <w:sz w:val="17"/>
        </w:rPr>
        <w:t xml:space="preserve"> </w:t>
      </w:r>
      <w:r>
        <w:rPr>
          <w:sz w:val="17"/>
        </w:rPr>
        <w:t>desarrollo,</w:t>
      </w:r>
      <w:r>
        <w:rPr>
          <w:spacing w:val="-7"/>
          <w:sz w:val="17"/>
        </w:rPr>
        <w:t xml:space="preserve"> </w:t>
      </w:r>
      <w:r>
        <w:rPr>
          <w:sz w:val="17"/>
        </w:rPr>
        <w:t>adopción</w:t>
      </w:r>
      <w:r>
        <w:rPr>
          <w:spacing w:val="-8"/>
          <w:sz w:val="17"/>
        </w:rPr>
        <w:t xml:space="preserve"> </w:t>
      </w:r>
      <w:r>
        <w:rPr>
          <w:sz w:val="17"/>
        </w:rPr>
        <w:t>e</w:t>
      </w:r>
      <w:r>
        <w:rPr>
          <w:spacing w:val="-8"/>
          <w:sz w:val="17"/>
        </w:rPr>
        <w:t xml:space="preserve"> </w:t>
      </w:r>
      <w:r>
        <w:rPr>
          <w:sz w:val="17"/>
        </w:rPr>
        <w:t>implementación</w:t>
      </w:r>
      <w:r>
        <w:rPr>
          <w:spacing w:val="-8"/>
          <w:sz w:val="17"/>
        </w:rPr>
        <w:t xml:space="preserve"> </w:t>
      </w:r>
      <w:r>
        <w:rPr>
          <w:sz w:val="17"/>
        </w:rPr>
        <w:t>de</w:t>
      </w:r>
      <w:r>
        <w:rPr>
          <w:spacing w:val="-8"/>
          <w:sz w:val="17"/>
        </w:rPr>
        <w:t xml:space="preserve"> </w:t>
      </w:r>
      <w:r>
        <w:rPr>
          <w:sz w:val="17"/>
        </w:rPr>
        <w:t>políticas</w:t>
      </w:r>
      <w:r>
        <w:rPr>
          <w:spacing w:val="-9"/>
          <w:sz w:val="17"/>
        </w:rPr>
        <w:t xml:space="preserve"> </w:t>
      </w:r>
      <w:r>
        <w:rPr>
          <w:sz w:val="17"/>
        </w:rPr>
        <w:t>y</w:t>
      </w:r>
      <w:r>
        <w:rPr>
          <w:spacing w:val="-8"/>
          <w:sz w:val="17"/>
        </w:rPr>
        <w:t xml:space="preserve"> </w:t>
      </w:r>
      <w:r>
        <w:rPr>
          <w:sz w:val="17"/>
        </w:rPr>
        <w:t>estrategias</w:t>
      </w:r>
      <w:r>
        <w:rPr>
          <w:spacing w:val="-9"/>
          <w:sz w:val="17"/>
        </w:rPr>
        <w:t xml:space="preserve"> </w:t>
      </w:r>
      <w:r>
        <w:rPr>
          <w:sz w:val="17"/>
        </w:rPr>
        <w:t>de</w:t>
      </w:r>
      <w:r>
        <w:rPr>
          <w:spacing w:val="-8"/>
          <w:sz w:val="17"/>
        </w:rPr>
        <w:t xml:space="preserve"> </w:t>
      </w:r>
      <w:r>
        <w:rPr>
          <w:sz w:val="17"/>
        </w:rPr>
        <w:t>igualdad</w:t>
      </w:r>
      <w:r>
        <w:rPr>
          <w:spacing w:val="-8"/>
          <w:sz w:val="17"/>
        </w:rPr>
        <w:t xml:space="preserve"> </w:t>
      </w:r>
      <w:r>
        <w:rPr>
          <w:sz w:val="17"/>
        </w:rPr>
        <w:t>y</w:t>
      </w:r>
      <w:r>
        <w:rPr>
          <w:spacing w:val="-8"/>
          <w:sz w:val="17"/>
        </w:rPr>
        <w:t xml:space="preserve"> </w:t>
      </w:r>
      <w:r>
        <w:rPr>
          <w:sz w:val="17"/>
        </w:rPr>
        <w:t>no</w:t>
      </w:r>
      <w:r>
        <w:rPr>
          <w:spacing w:val="-8"/>
          <w:sz w:val="17"/>
        </w:rPr>
        <w:t xml:space="preserve"> </w:t>
      </w:r>
      <w:r>
        <w:rPr>
          <w:sz w:val="17"/>
        </w:rPr>
        <w:t>discriminación,</w:t>
      </w:r>
      <w:r>
        <w:rPr>
          <w:spacing w:val="-7"/>
          <w:sz w:val="17"/>
        </w:rPr>
        <w:t xml:space="preserve"> </w:t>
      </w:r>
      <w:r>
        <w:rPr>
          <w:sz w:val="17"/>
        </w:rPr>
        <w:t>y</w:t>
      </w:r>
      <w:r>
        <w:rPr>
          <w:spacing w:val="-8"/>
          <w:sz w:val="17"/>
        </w:rPr>
        <w:t xml:space="preserve"> </w:t>
      </w:r>
      <w:r>
        <w:rPr>
          <w:sz w:val="17"/>
        </w:rPr>
        <w:t>la</w:t>
      </w:r>
      <w:r>
        <w:rPr>
          <w:spacing w:val="-8"/>
          <w:sz w:val="17"/>
        </w:rPr>
        <w:t xml:space="preserve"> </w:t>
      </w:r>
      <w:r>
        <w:rPr>
          <w:sz w:val="17"/>
        </w:rPr>
        <w:t>incorporación</w:t>
      </w:r>
      <w:r>
        <w:rPr>
          <w:spacing w:val="-8"/>
          <w:sz w:val="17"/>
        </w:rPr>
        <w:t xml:space="preserve"> </w:t>
      </w:r>
      <w:r>
        <w:rPr>
          <w:sz w:val="17"/>
        </w:rPr>
        <w:t>de consideraciones de igualdad y no discriminación en todas las demás políticas y</w:t>
      </w:r>
    </w:p>
    <w:p w14:paraId="4519A63F" w14:textId="77777777" w:rsidR="0014798C" w:rsidRDefault="004E1F0B">
      <w:pPr>
        <w:pStyle w:val="Textoindependiente"/>
        <w:spacing w:before="27"/>
        <w:ind w:left="1347"/>
      </w:pPr>
      <w:r>
        <w:rPr>
          <w:spacing w:val="-2"/>
        </w:rPr>
        <w:t>programas.</w:t>
      </w:r>
    </w:p>
    <w:p w14:paraId="040B8686" w14:textId="77777777" w:rsidR="0014798C" w:rsidRDefault="004E1F0B">
      <w:pPr>
        <w:pStyle w:val="Prrafodelista"/>
        <w:numPr>
          <w:ilvl w:val="0"/>
          <w:numId w:val="96"/>
        </w:numPr>
        <w:tabs>
          <w:tab w:val="left" w:pos="1218"/>
          <w:tab w:val="left" w:pos="1347"/>
        </w:tabs>
        <w:spacing w:before="179" w:line="326" w:lineRule="auto"/>
        <w:ind w:left="1347" w:right="1295" w:hanging="229"/>
        <w:rPr>
          <w:sz w:val="16"/>
        </w:rPr>
      </w:pPr>
      <w:r>
        <w:rPr>
          <w:sz w:val="16"/>
        </w:rPr>
        <w:t>La integración de la evaluación del impacto de la igualdad en todos los aspectos del derecho y las políticas públicas. La evaluación del impacto en materia de igualdad implica una evaluación preventiva, consultiva y basada en datos de leyes, políticas</w:t>
      </w:r>
      <w:r>
        <w:rPr>
          <w:spacing w:val="-7"/>
          <w:sz w:val="16"/>
        </w:rPr>
        <w:t xml:space="preserve"> </w:t>
      </w:r>
      <w:r>
        <w:rPr>
          <w:sz w:val="16"/>
        </w:rPr>
        <w:t>o</w:t>
      </w:r>
      <w:r>
        <w:rPr>
          <w:spacing w:val="-6"/>
          <w:sz w:val="16"/>
        </w:rPr>
        <w:t xml:space="preserve"> </w:t>
      </w:r>
      <w:r>
        <w:rPr>
          <w:sz w:val="16"/>
        </w:rPr>
        <w:t>decisiones</w:t>
      </w:r>
      <w:r>
        <w:rPr>
          <w:spacing w:val="-7"/>
          <w:sz w:val="16"/>
        </w:rPr>
        <w:t xml:space="preserve"> </w:t>
      </w:r>
      <w:r>
        <w:rPr>
          <w:sz w:val="16"/>
        </w:rPr>
        <w:t>para</w:t>
      </w:r>
      <w:r>
        <w:rPr>
          <w:spacing w:val="-6"/>
          <w:sz w:val="16"/>
        </w:rPr>
        <w:t xml:space="preserve"> </w:t>
      </w:r>
      <w:r>
        <w:rPr>
          <w:sz w:val="16"/>
        </w:rPr>
        <w:t>identificar</w:t>
      </w:r>
      <w:r>
        <w:rPr>
          <w:spacing w:val="-7"/>
          <w:sz w:val="16"/>
        </w:rPr>
        <w:t xml:space="preserve"> </w:t>
      </w:r>
      <w:r>
        <w:rPr>
          <w:sz w:val="16"/>
        </w:rPr>
        <w:t>y</w:t>
      </w:r>
      <w:r>
        <w:rPr>
          <w:spacing w:val="-6"/>
          <w:sz w:val="16"/>
        </w:rPr>
        <w:t xml:space="preserve"> </w:t>
      </w:r>
      <w:r>
        <w:rPr>
          <w:sz w:val="16"/>
        </w:rPr>
        <w:t>evitar</w:t>
      </w:r>
      <w:r>
        <w:rPr>
          <w:spacing w:val="-7"/>
          <w:sz w:val="16"/>
        </w:rPr>
        <w:t xml:space="preserve"> </w:t>
      </w:r>
      <w:r>
        <w:rPr>
          <w:sz w:val="16"/>
        </w:rPr>
        <w:t>cualquier</w:t>
      </w:r>
      <w:r>
        <w:rPr>
          <w:spacing w:val="-7"/>
          <w:sz w:val="16"/>
        </w:rPr>
        <w:t xml:space="preserve"> </w:t>
      </w:r>
      <w:r>
        <w:rPr>
          <w:sz w:val="16"/>
        </w:rPr>
        <w:t>impacto</w:t>
      </w:r>
      <w:r>
        <w:rPr>
          <w:spacing w:val="-6"/>
          <w:sz w:val="16"/>
        </w:rPr>
        <w:t xml:space="preserve"> </w:t>
      </w:r>
      <w:r>
        <w:rPr>
          <w:sz w:val="16"/>
        </w:rPr>
        <w:t>discriminatorio;</w:t>
      </w:r>
      <w:r>
        <w:rPr>
          <w:spacing w:val="-6"/>
          <w:sz w:val="16"/>
        </w:rPr>
        <w:t xml:space="preserve"> </w:t>
      </w:r>
      <w:r>
        <w:rPr>
          <w:sz w:val="16"/>
        </w:rPr>
        <w:t>identificar</w:t>
      </w:r>
      <w:r>
        <w:rPr>
          <w:spacing w:val="-7"/>
          <w:sz w:val="16"/>
        </w:rPr>
        <w:t xml:space="preserve"> </w:t>
      </w:r>
      <w:r>
        <w:rPr>
          <w:sz w:val="16"/>
        </w:rPr>
        <w:t>y</w:t>
      </w:r>
      <w:r>
        <w:rPr>
          <w:spacing w:val="-6"/>
          <w:sz w:val="16"/>
        </w:rPr>
        <w:t xml:space="preserve"> </w:t>
      </w:r>
      <w:r>
        <w:rPr>
          <w:sz w:val="16"/>
        </w:rPr>
        <w:t>garantizar</w:t>
      </w:r>
      <w:r>
        <w:rPr>
          <w:spacing w:val="-7"/>
          <w:sz w:val="16"/>
        </w:rPr>
        <w:t xml:space="preserve"> </w:t>
      </w:r>
      <w:r>
        <w:rPr>
          <w:sz w:val="16"/>
        </w:rPr>
        <w:t>que</w:t>
      </w:r>
      <w:r>
        <w:rPr>
          <w:spacing w:val="-6"/>
          <w:sz w:val="16"/>
        </w:rPr>
        <w:t xml:space="preserve"> </w:t>
      </w:r>
      <w:r>
        <w:rPr>
          <w:sz w:val="16"/>
        </w:rPr>
        <w:t>se</w:t>
      </w:r>
      <w:r>
        <w:rPr>
          <w:spacing w:val="-6"/>
          <w:sz w:val="16"/>
        </w:rPr>
        <w:t xml:space="preserve"> </w:t>
      </w:r>
      <w:r>
        <w:rPr>
          <w:sz w:val="16"/>
        </w:rPr>
        <w:t>tengan</w:t>
      </w:r>
      <w:r>
        <w:rPr>
          <w:spacing w:val="-7"/>
          <w:sz w:val="16"/>
        </w:rPr>
        <w:t xml:space="preserve"> </w:t>
      </w:r>
      <w:r>
        <w:rPr>
          <w:sz w:val="16"/>
        </w:rPr>
        <w:t>en</w:t>
      </w:r>
      <w:r>
        <w:rPr>
          <w:spacing w:val="-6"/>
          <w:sz w:val="16"/>
        </w:rPr>
        <w:t xml:space="preserve"> </w:t>
      </w:r>
      <w:r>
        <w:rPr>
          <w:sz w:val="16"/>
        </w:rPr>
        <w:t>cuenta y atiendan las necesidades particulares de las personas y grupos que experimentan o están expuestos a la discriminación; y garantizar que se avance efectivamente en materia de igualdad.</w:t>
      </w:r>
    </w:p>
    <w:p w14:paraId="493468AB" w14:textId="77777777" w:rsidR="0014798C" w:rsidRDefault="0014798C">
      <w:pPr>
        <w:pStyle w:val="Textoindependiente"/>
        <w:rPr>
          <w:sz w:val="18"/>
        </w:rPr>
      </w:pPr>
    </w:p>
    <w:p w14:paraId="7AA0457A" w14:textId="77777777" w:rsidR="0014798C" w:rsidRDefault="0014798C">
      <w:pPr>
        <w:pStyle w:val="Textoindependiente"/>
        <w:rPr>
          <w:sz w:val="18"/>
        </w:rPr>
      </w:pPr>
    </w:p>
    <w:p w14:paraId="719665F5" w14:textId="77777777" w:rsidR="0014798C" w:rsidRDefault="0014798C">
      <w:pPr>
        <w:pStyle w:val="Textoindependiente"/>
        <w:rPr>
          <w:sz w:val="18"/>
        </w:rPr>
      </w:pPr>
    </w:p>
    <w:p w14:paraId="31D265F6" w14:textId="77777777" w:rsidR="0014798C" w:rsidRDefault="0014798C">
      <w:pPr>
        <w:pStyle w:val="Textoindependiente"/>
        <w:rPr>
          <w:sz w:val="18"/>
        </w:rPr>
      </w:pPr>
    </w:p>
    <w:p w14:paraId="6F9E4EE1" w14:textId="77777777" w:rsidR="0014798C" w:rsidRDefault="0014798C">
      <w:pPr>
        <w:pStyle w:val="Textoindependiente"/>
        <w:rPr>
          <w:sz w:val="18"/>
        </w:rPr>
      </w:pPr>
    </w:p>
    <w:p w14:paraId="2744F6A4" w14:textId="77777777" w:rsidR="0014798C" w:rsidRDefault="0014798C">
      <w:pPr>
        <w:pStyle w:val="Textoindependiente"/>
        <w:rPr>
          <w:sz w:val="18"/>
        </w:rPr>
      </w:pPr>
    </w:p>
    <w:p w14:paraId="1BB6B072" w14:textId="77777777" w:rsidR="0014798C" w:rsidRDefault="0014798C">
      <w:pPr>
        <w:pStyle w:val="Textoindependiente"/>
        <w:rPr>
          <w:sz w:val="18"/>
        </w:rPr>
      </w:pPr>
    </w:p>
    <w:p w14:paraId="4A9BC81A" w14:textId="77777777" w:rsidR="0014798C" w:rsidRPr="00537489" w:rsidRDefault="004E1F0B">
      <w:pPr>
        <w:ind w:left="537"/>
        <w:rPr>
          <w:sz w:val="18"/>
          <w:lang w:val="en-US"/>
        </w:rPr>
      </w:pPr>
      <w:r w:rsidRPr="00537489">
        <w:rPr>
          <w:spacing w:val="-5"/>
          <w:sz w:val="18"/>
          <w:lang w:val="en-US"/>
        </w:rPr>
        <w:t>xvi</w:t>
      </w:r>
    </w:p>
    <w:p w14:paraId="55585A3F" w14:textId="77777777" w:rsidR="0014798C" w:rsidRPr="00537489" w:rsidRDefault="0014798C">
      <w:pPr>
        <w:rPr>
          <w:sz w:val="18"/>
          <w:lang w:val="en-US"/>
        </w:rPr>
        <w:sectPr w:rsidR="0014798C" w:rsidRPr="00537489" w:rsidSect="00F265E4">
          <w:headerReference w:type="default" r:id="rId33"/>
          <w:pgSz w:w="11900" w:h="16820"/>
          <w:pgMar w:top="40" w:right="0" w:bottom="280" w:left="200" w:header="0" w:footer="0" w:gutter="0"/>
          <w:cols w:space="720"/>
        </w:sectPr>
      </w:pPr>
    </w:p>
    <w:p w14:paraId="398B03B2" w14:textId="5769B9D6" w:rsidR="0014798C" w:rsidRPr="00537489" w:rsidRDefault="004E1F0B">
      <w:pPr>
        <w:spacing w:before="76"/>
        <w:ind w:left="113"/>
        <w:rPr>
          <w:sz w:val="21"/>
          <w:lang w:val="en-US"/>
        </w:rPr>
      </w:pPr>
      <w:r>
        <w:rPr>
          <w:noProof/>
        </w:rPr>
        <w:lastRenderedPageBreak/>
        <w:drawing>
          <wp:anchor distT="0" distB="0" distL="0" distR="0" simplePos="0" relativeHeight="251658353" behindDoc="1" locked="0" layoutInCell="1" allowOverlap="1" wp14:anchorId="6749D7D8" wp14:editId="16EA576F">
            <wp:simplePos x="0" y="0"/>
            <wp:positionH relativeFrom="page">
              <wp:posOffset>0</wp:posOffset>
            </wp:positionH>
            <wp:positionV relativeFrom="page">
              <wp:posOffset>0</wp:posOffset>
            </wp:positionV>
            <wp:extent cx="7556500" cy="10680700"/>
            <wp:effectExtent l="0" t="0" r="0" b="0"/>
            <wp:wrapNone/>
            <wp:docPr id="27" name="Image 2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7" name="Image 27"/>
                    <pic:cNvPicPr/>
                  </pic:nvPicPr>
                  <pic:blipFill>
                    <a:blip r:embed="rId29" cstate="print"/>
                    <a:stretch>
                      <a:fillRect/>
                    </a:stretch>
                  </pic:blipFill>
                  <pic:spPr>
                    <a:xfrm>
                      <a:off x="0" y="0"/>
                      <a:ext cx="7556500" cy="10680700"/>
                    </a:xfrm>
                    <a:prstGeom prst="rect">
                      <a:avLst/>
                    </a:prstGeom>
                  </pic:spPr>
                </pic:pic>
              </a:graphicData>
            </a:graphic>
          </wp:anchor>
        </w:drawing>
      </w:r>
    </w:p>
    <w:p w14:paraId="25199138" w14:textId="77777777" w:rsidR="0014798C" w:rsidRPr="00537489" w:rsidRDefault="0014798C">
      <w:pPr>
        <w:pStyle w:val="Textoindependiente"/>
        <w:spacing w:before="41"/>
        <w:rPr>
          <w:sz w:val="14"/>
          <w:lang w:val="en-US"/>
        </w:rPr>
      </w:pPr>
    </w:p>
    <w:p w14:paraId="60E4C4BE" w14:textId="77777777" w:rsidR="0014798C" w:rsidRPr="00537489" w:rsidRDefault="004E1F0B">
      <w:pPr>
        <w:ind w:left="1114"/>
        <w:rPr>
          <w:sz w:val="14"/>
          <w:lang w:val="en-US"/>
        </w:rPr>
      </w:pPr>
      <w:r w:rsidRPr="00537489">
        <w:rPr>
          <w:color w:val="0075BF"/>
          <w:sz w:val="14"/>
          <w:lang w:val="en-US"/>
        </w:rPr>
        <w:t>RESUMEN</w:t>
      </w:r>
      <w:r w:rsidRPr="00537489">
        <w:rPr>
          <w:color w:val="0075BF"/>
          <w:spacing w:val="15"/>
          <w:sz w:val="14"/>
          <w:lang w:val="en-US"/>
        </w:rPr>
        <w:t xml:space="preserve"> </w:t>
      </w:r>
      <w:r w:rsidRPr="00537489">
        <w:rPr>
          <w:color w:val="0075BF"/>
          <w:spacing w:val="-2"/>
          <w:sz w:val="14"/>
          <w:lang w:val="en-US"/>
        </w:rPr>
        <w:t>EJECUTIVO</w:t>
      </w:r>
    </w:p>
    <w:p w14:paraId="435C9E17" w14:textId="77777777" w:rsidR="0014798C" w:rsidRPr="00537489" w:rsidRDefault="0014798C">
      <w:pPr>
        <w:pStyle w:val="Textoindependiente"/>
        <w:rPr>
          <w:sz w:val="14"/>
          <w:lang w:val="en-US"/>
        </w:rPr>
      </w:pPr>
    </w:p>
    <w:p w14:paraId="5329B5DD" w14:textId="77777777" w:rsidR="0014798C" w:rsidRPr="00537489" w:rsidRDefault="0014798C">
      <w:pPr>
        <w:pStyle w:val="Textoindependiente"/>
        <w:rPr>
          <w:sz w:val="14"/>
          <w:lang w:val="en-US"/>
        </w:rPr>
      </w:pPr>
    </w:p>
    <w:p w14:paraId="0232D381" w14:textId="77777777" w:rsidR="0014798C" w:rsidRPr="00537489" w:rsidRDefault="0014798C">
      <w:pPr>
        <w:pStyle w:val="Textoindependiente"/>
        <w:rPr>
          <w:sz w:val="14"/>
          <w:lang w:val="en-US"/>
        </w:rPr>
      </w:pPr>
    </w:p>
    <w:p w14:paraId="72E8A4C5" w14:textId="77777777" w:rsidR="0014798C" w:rsidRPr="00537489" w:rsidRDefault="0014798C">
      <w:pPr>
        <w:pStyle w:val="Textoindependiente"/>
        <w:rPr>
          <w:sz w:val="14"/>
          <w:lang w:val="en-US"/>
        </w:rPr>
      </w:pPr>
    </w:p>
    <w:p w14:paraId="62062083" w14:textId="77777777" w:rsidR="0014798C" w:rsidRPr="00537489" w:rsidRDefault="0014798C">
      <w:pPr>
        <w:pStyle w:val="Textoindependiente"/>
        <w:rPr>
          <w:sz w:val="14"/>
          <w:lang w:val="en-US"/>
        </w:rPr>
      </w:pPr>
    </w:p>
    <w:p w14:paraId="201A379B" w14:textId="77777777" w:rsidR="0014798C" w:rsidRPr="00537489" w:rsidRDefault="0014798C">
      <w:pPr>
        <w:pStyle w:val="Textoindependiente"/>
        <w:spacing w:before="40"/>
        <w:rPr>
          <w:sz w:val="14"/>
          <w:lang w:val="en-US"/>
        </w:rPr>
      </w:pPr>
    </w:p>
    <w:p w14:paraId="28D3EC02" w14:textId="77777777" w:rsidR="0014798C" w:rsidRDefault="004E1F0B">
      <w:pPr>
        <w:pStyle w:val="Prrafodelista"/>
        <w:numPr>
          <w:ilvl w:val="0"/>
          <w:numId w:val="96"/>
        </w:numPr>
        <w:tabs>
          <w:tab w:val="left" w:pos="1209"/>
          <w:tab w:val="left" w:pos="1347"/>
        </w:tabs>
        <w:spacing w:line="372" w:lineRule="auto"/>
        <w:ind w:left="1347" w:right="1373" w:hanging="229"/>
        <w:rPr>
          <w:sz w:val="14"/>
        </w:rPr>
      </w:pPr>
      <w:r>
        <w:rPr>
          <w:w w:val="105"/>
          <w:sz w:val="14"/>
        </w:rPr>
        <w:t>El</w:t>
      </w:r>
      <w:r>
        <w:rPr>
          <w:spacing w:val="-1"/>
          <w:w w:val="105"/>
          <w:sz w:val="14"/>
        </w:rPr>
        <w:t xml:space="preserve"> </w:t>
      </w:r>
      <w:r>
        <w:rPr>
          <w:w w:val="105"/>
          <w:sz w:val="14"/>
        </w:rPr>
        <w:t>establecimiento</w:t>
      </w:r>
      <w:r>
        <w:rPr>
          <w:spacing w:val="-1"/>
          <w:w w:val="105"/>
          <w:sz w:val="14"/>
        </w:rPr>
        <w:t xml:space="preserve"> </w:t>
      </w:r>
      <w:r>
        <w:rPr>
          <w:w w:val="105"/>
          <w:sz w:val="14"/>
        </w:rPr>
        <w:t>de</w:t>
      </w:r>
      <w:r>
        <w:rPr>
          <w:spacing w:val="-1"/>
          <w:w w:val="105"/>
          <w:sz w:val="14"/>
        </w:rPr>
        <w:t xml:space="preserve"> </w:t>
      </w:r>
      <w:r>
        <w:rPr>
          <w:w w:val="105"/>
          <w:sz w:val="14"/>
        </w:rPr>
        <w:t>un</w:t>
      </w:r>
      <w:r>
        <w:rPr>
          <w:spacing w:val="-1"/>
          <w:w w:val="105"/>
          <w:sz w:val="14"/>
        </w:rPr>
        <w:t xml:space="preserve"> </w:t>
      </w:r>
      <w:r>
        <w:rPr>
          <w:w w:val="105"/>
          <w:sz w:val="14"/>
        </w:rPr>
        <w:t>marco para</w:t>
      </w:r>
      <w:r>
        <w:rPr>
          <w:spacing w:val="-1"/>
          <w:w w:val="105"/>
          <w:sz w:val="14"/>
        </w:rPr>
        <w:t xml:space="preserve"> </w:t>
      </w:r>
      <w:r>
        <w:rPr>
          <w:w w:val="105"/>
          <w:sz w:val="14"/>
        </w:rPr>
        <w:t>monitorear</w:t>
      </w:r>
      <w:r>
        <w:rPr>
          <w:spacing w:val="-1"/>
          <w:w w:val="105"/>
          <w:sz w:val="14"/>
        </w:rPr>
        <w:t xml:space="preserve"> </w:t>
      </w:r>
      <w:r>
        <w:rPr>
          <w:w w:val="105"/>
          <w:sz w:val="14"/>
        </w:rPr>
        <w:t>la</w:t>
      </w:r>
      <w:r>
        <w:rPr>
          <w:spacing w:val="-1"/>
          <w:w w:val="105"/>
          <w:sz w:val="14"/>
        </w:rPr>
        <w:t xml:space="preserve"> </w:t>
      </w:r>
      <w:r>
        <w:rPr>
          <w:w w:val="105"/>
          <w:sz w:val="14"/>
        </w:rPr>
        <w:t>igualdad</w:t>
      </w:r>
      <w:r>
        <w:rPr>
          <w:spacing w:val="-1"/>
          <w:w w:val="105"/>
          <w:sz w:val="14"/>
        </w:rPr>
        <w:t xml:space="preserve"> </w:t>
      </w:r>
      <w:r>
        <w:rPr>
          <w:w w:val="105"/>
          <w:sz w:val="14"/>
        </w:rPr>
        <w:t>y</w:t>
      </w:r>
      <w:r>
        <w:rPr>
          <w:spacing w:val="-1"/>
          <w:w w:val="105"/>
          <w:sz w:val="14"/>
        </w:rPr>
        <w:t xml:space="preserve"> </w:t>
      </w:r>
      <w:r>
        <w:rPr>
          <w:w w:val="105"/>
          <w:sz w:val="14"/>
        </w:rPr>
        <w:t>la</w:t>
      </w:r>
      <w:r>
        <w:rPr>
          <w:spacing w:val="-1"/>
          <w:w w:val="105"/>
          <w:sz w:val="14"/>
        </w:rPr>
        <w:t xml:space="preserve"> </w:t>
      </w:r>
      <w:r>
        <w:rPr>
          <w:w w:val="105"/>
          <w:sz w:val="14"/>
        </w:rPr>
        <w:t>no</w:t>
      </w:r>
      <w:r>
        <w:rPr>
          <w:spacing w:val="-1"/>
          <w:w w:val="105"/>
          <w:sz w:val="14"/>
        </w:rPr>
        <w:t xml:space="preserve"> </w:t>
      </w:r>
      <w:r>
        <w:rPr>
          <w:w w:val="105"/>
          <w:sz w:val="14"/>
        </w:rPr>
        <w:t>discriminación y</w:t>
      </w:r>
      <w:r>
        <w:rPr>
          <w:spacing w:val="-1"/>
          <w:w w:val="105"/>
          <w:sz w:val="14"/>
        </w:rPr>
        <w:t xml:space="preserve"> </w:t>
      </w:r>
      <w:r>
        <w:rPr>
          <w:w w:val="105"/>
          <w:sz w:val="14"/>
        </w:rPr>
        <w:t>la</w:t>
      </w:r>
      <w:r>
        <w:rPr>
          <w:spacing w:val="-1"/>
          <w:w w:val="105"/>
          <w:sz w:val="14"/>
        </w:rPr>
        <w:t xml:space="preserve"> </w:t>
      </w:r>
      <w:r>
        <w:rPr>
          <w:w w:val="105"/>
          <w:sz w:val="14"/>
        </w:rPr>
        <w:t>efectividad</w:t>
      </w:r>
      <w:r>
        <w:rPr>
          <w:spacing w:val="-1"/>
          <w:w w:val="105"/>
          <w:sz w:val="14"/>
        </w:rPr>
        <w:t xml:space="preserve"> </w:t>
      </w:r>
      <w:r>
        <w:rPr>
          <w:w w:val="105"/>
          <w:sz w:val="14"/>
        </w:rPr>
        <w:t>de</w:t>
      </w:r>
      <w:r>
        <w:rPr>
          <w:spacing w:val="-1"/>
          <w:w w:val="105"/>
          <w:sz w:val="14"/>
        </w:rPr>
        <w:t xml:space="preserve"> </w:t>
      </w:r>
      <w:r>
        <w:rPr>
          <w:w w:val="105"/>
          <w:sz w:val="14"/>
        </w:rPr>
        <w:t>las</w:t>
      </w:r>
      <w:r>
        <w:rPr>
          <w:spacing w:val="-1"/>
          <w:w w:val="105"/>
          <w:sz w:val="14"/>
        </w:rPr>
        <w:t xml:space="preserve"> </w:t>
      </w:r>
      <w:r>
        <w:rPr>
          <w:w w:val="105"/>
          <w:sz w:val="14"/>
        </w:rPr>
        <w:t>leyes, políticas</w:t>
      </w:r>
      <w:r>
        <w:rPr>
          <w:spacing w:val="-1"/>
          <w:w w:val="105"/>
          <w:sz w:val="14"/>
        </w:rPr>
        <w:t xml:space="preserve"> </w:t>
      </w:r>
      <w:r>
        <w:rPr>
          <w:w w:val="105"/>
          <w:sz w:val="14"/>
        </w:rPr>
        <w:t>y</w:t>
      </w:r>
      <w:r>
        <w:rPr>
          <w:spacing w:val="-1"/>
          <w:w w:val="105"/>
          <w:sz w:val="14"/>
        </w:rPr>
        <w:t xml:space="preserve"> </w:t>
      </w:r>
      <w:r>
        <w:rPr>
          <w:w w:val="105"/>
          <w:sz w:val="14"/>
        </w:rPr>
        <w:t>prácticas</w:t>
      </w:r>
      <w:r>
        <w:rPr>
          <w:spacing w:val="-1"/>
          <w:w w:val="105"/>
          <w:sz w:val="14"/>
        </w:rPr>
        <w:t xml:space="preserve"> </w:t>
      </w:r>
      <w:r>
        <w:rPr>
          <w:w w:val="105"/>
          <w:sz w:val="14"/>
        </w:rPr>
        <w:t>a</w:t>
      </w:r>
      <w:r>
        <w:rPr>
          <w:spacing w:val="-1"/>
          <w:w w:val="105"/>
          <w:sz w:val="14"/>
        </w:rPr>
        <w:t xml:space="preserve"> </w:t>
      </w:r>
      <w:r>
        <w:rPr>
          <w:w w:val="105"/>
          <w:sz w:val="14"/>
        </w:rPr>
        <w:t>través de la recopilación, análisis y publicación de datos desglosados.</w:t>
      </w:r>
    </w:p>
    <w:p w14:paraId="6511D321" w14:textId="77777777" w:rsidR="0014798C" w:rsidRDefault="004E1F0B">
      <w:pPr>
        <w:pStyle w:val="Prrafodelista"/>
        <w:numPr>
          <w:ilvl w:val="0"/>
          <w:numId w:val="96"/>
        </w:numPr>
        <w:tabs>
          <w:tab w:val="left" w:pos="1208"/>
          <w:tab w:val="left" w:pos="1347"/>
        </w:tabs>
        <w:spacing w:before="114" w:line="372" w:lineRule="auto"/>
        <w:ind w:left="1347" w:right="1358" w:hanging="230"/>
        <w:rPr>
          <w:sz w:val="14"/>
        </w:rPr>
      </w:pPr>
      <w:r>
        <w:rPr>
          <w:w w:val="105"/>
          <w:sz w:val="14"/>
        </w:rPr>
        <w:t>El establecimiento e implementación de mecanismos de consulta y participación de personas y grupos que sufren discriminación, y sus asociaciones</w:t>
      </w:r>
      <w:r>
        <w:rPr>
          <w:spacing w:val="-1"/>
          <w:w w:val="105"/>
          <w:sz w:val="14"/>
        </w:rPr>
        <w:t xml:space="preserve"> </w:t>
      </w:r>
      <w:r>
        <w:rPr>
          <w:w w:val="105"/>
          <w:sz w:val="14"/>
        </w:rPr>
        <w:t>representativas, en</w:t>
      </w:r>
      <w:r>
        <w:rPr>
          <w:spacing w:val="-1"/>
          <w:w w:val="105"/>
          <w:sz w:val="14"/>
        </w:rPr>
        <w:t xml:space="preserve"> </w:t>
      </w:r>
      <w:r>
        <w:rPr>
          <w:w w:val="105"/>
          <w:sz w:val="14"/>
        </w:rPr>
        <w:t>la</w:t>
      </w:r>
      <w:r>
        <w:rPr>
          <w:spacing w:val="-1"/>
          <w:w w:val="105"/>
          <w:sz w:val="14"/>
        </w:rPr>
        <w:t xml:space="preserve"> </w:t>
      </w:r>
      <w:r>
        <w:rPr>
          <w:w w:val="105"/>
          <w:sz w:val="14"/>
        </w:rPr>
        <w:t>legislación, políticas</w:t>
      </w:r>
      <w:r>
        <w:rPr>
          <w:spacing w:val="-1"/>
          <w:w w:val="105"/>
          <w:sz w:val="14"/>
        </w:rPr>
        <w:t xml:space="preserve"> </w:t>
      </w:r>
      <w:r>
        <w:rPr>
          <w:w w:val="105"/>
          <w:sz w:val="14"/>
        </w:rPr>
        <w:t>e</w:t>
      </w:r>
      <w:r>
        <w:rPr>
          <w:spacing w:val="-1"/>
          <w:w w:val="105"/>
          <w:sz w:val="14"/>
        </w:rPr>
        <w:t xml:space="preserve"> </w:t>
      </w:r>
      <w:r>
        <w:rPr>
          <w:w w:val="105"/>
          <w:sz w:val="14"/>
        </w:rPr>
        <w:t>iniciativas</w:t>
      </w:r>
      <w:r>
        <w:rPr>
          <w:spacing w:val="-1"/>
          <w:w w:val="105"/>
          <w:sz w:val="14"/>
        </w:rPr>
        <w:t xml:space="preserve"> </w:t>
      </w:r>
      <w:r>
        <w:rPr>
          <w:w w:val="105"/>
          <w:sz w:val="14"/>
        </w:rPr>
        <w:t>institucionales</w:t>
      </w:r>
      <w:r>
        <w:rPr>
          <w:spacing w:val="-1"/>
          <w:w w:val="105"/>
          <w:sz w:val="14"/>
        </w:rPr>
        <w:t xml:space="preserve"> </w:t>
      </w:r>
      <w:r>
        <w:rPr>
          <w:w w:val="105"/>
          <w:sz w:val="14"/>
        </w:rPr>
        <w:t>diseñadas</w:t>
      </w:r>
      <w:r>
        <w:rPr>
          <w:spacing w:val="-1"/>
          <w:w w:val="105"/>
          <w:sz w:val="14"/>
        </w:rPr>
        <w:t xml:space="preserve"> </w:t>
      </w:r>
      <w:r>
        <w:rPr>
          <w:w w:val="105"/>
          <w:sz w:val="14"/>
        </w:rPr>
        <w:t>para</w:t>
      </w:r>
      <w:r>
        <w:rPr>
          <w:spacing w:val="-1"/>
          <w:w w:val="105"/>
          <w:sz w:val="14"/>
        </w:rPr>
        <w:t xml:space="preserve"> </w:t>
      </w:r>
      <w:r>
        <w:rPr>
          <w:w w:val="105"/>
          <w:sz w:val="14"/>
        </w:rPr>
        <w:t>combatir</w:t>
      </w:r>
      <w:r>
        <w:rPr>
          <w:spacing w:val="-1"/>
          <w:w w:val="105"/>
          <w:sz w:val="14"/>
        </w:rPr>
        <w:t xml:space="preserve"> </w:t>
      </w:r>
      <w:r>
        <w:rPr>
          <w:w w:val="105"/>
          <w:sz w:val="14"/>
        </w:rPr>
        <w:t>la</w:t>
      </w:r>
      <w:r>
        <w:rPr>
          <w:spacing w:val="-1"/>
          <w:w w:val="105"/>
          <w:sz w:val="14"/>
        </w:rPr>
        <w:t xml:space="preserve"> </w:t>
      </w:r>
      <w:r>
        <w:rPr>
          <w:w w:val="105"/>
          <w:sz w:val="14"/>
        </w:rPr>
        <w:t>discriminación y</w:t>
      </w:r>
      <w:r>
        <w:rPr>
          <w:spacing w:val="-1"/>
          <w:w w:val="105"/>
          <w:sz w:val="14"/>
        </w:rPr>
        <w:t xml:space="preserve"> </w:t>
      </w:r>
      <w:r>
        <w:rPr>
          <w:w w:val="105"/>
          <w:sz w:val="14"/>
        </w:rPr>
        <w:t>promover la</w:t>
      </w:r>
      <w:r>
        <w:rPr>
          <w:spacing w:val="-2"/>
          <w:w w:val="105"/>
          <w:sz w:val="14"/>
        </w:rPr>
        <w:t xml:space="preserve"> </w:t>
      </w:r>
      <w:r>
        <w:rPr>
          <w:w w:val="105"/>
          <w:sz w:val="14"/>
        </w:rPr>
        <w:t>igualdad.</w:t>
      </w:r>
    </w:p>
    <w:p w14:paraId="77DD80FC" w14:textId="77777777" w:rsidR="0014798C" w:rsidRDefault="0014798C">
      <w:pPr>
        <w:pStyle w:val="Textoindependiente"/>
        <w:spacing w:before="9"/>
        <w:rPr>
          <w:sz w:val="14"/>
        </w:rPr>
      </w:pPr>
    </w:p>
    <w:p w14:paraId="07AA4840" w14:textId="77777777" w:rsidR="0014798C" w:rsidRDefault="004E1F0B">
      <w:pPr>
        <w:spacing w:before="1" w:line="372" w:lineRule="auto"/>
        <w:ind w:left="1111" w:right="1272" w:hanging="4"/>
        <w:rPr>
          <w:sz w:val="14"/>
        </w:rPr>
      </w:pPr>
      <w:r>
        <w:rPr>
          <w:w w:val="105"/>
          <w:sz w:val="14"/>
        </w:rPr>
        <w:t>El</w:t>
      </w:r>
      <w:r>
        <w:rPr>
          <w:spacing w:val="-1"/>
          <w:w w:val="105"/>
          <w:sz w:val="14"/>
        </w:rPr>
        <w:t xml:space="preserve"> </w:t>
      </w:r>
      <w:r>
        <w:rPr>
          <w:w w:val="105"/>
          <w:sz w:val="14"/>
        </w:rPr>
        <w:t>derecho internacional</w:t>
      </w:r>
      <w:r>
        <w:rPr>
          <w:spacing w:val="-1"/>
          <w:w w:val="105"/>
          <w:sz w:val="14"/>
        </w:rPr>
        <w:t xml:space="preserve"> </w:t>
      </w:r>
      <w:r>
        <w:rPr>
          <w:w w:val="105"/>
          <w:sz w:val="14"/>
        </w:rPr>
        <w:t>también</w:t>
      </w:r>
      <w:r>
        <w:rPr>
          <w:spacing w:val="-1"/>
          <w:w w:val="105"/>
          <w:sz w:val="14"/>
        </w:rPr>
        <w:t xml:space="preserve"> </w:t>
      </w:r>
      <w:r>
        <w:rPr>
          <w:w w:val="105"/>
          <w:sz w:val="14"/>
        </w:rPr>
        <w:t>exige</w:t>
      </w:r>
      <w:r>
        <w:rPr>
          <w:spacing w:val="-1"/>
          <w:w w:val="105"/>
          <w:sz w:val="14"/>
        </w:rPr>
        <w:t xml:space="preserve"> </w:t>
      </w:r>
      <w:r>
        <w:rPr>
          <w:w w:val="105"/>
          <w:sz w:val="14"/>
        </w:rPr>
        <w:t>que</w:t>
      </w:r>
      <w:r>
        <w:rPr>
          <w:spacing w:val="-1"/>
          <w:w w:val="105"/>
          <w:sz w:val="14"/>
        </w:rPr>
        <w:t xml:space="preserve"> </w:t>
      </w:r>
      <w:r>
        <w:rPr>
          <w:w w:val="105"/>
          <w:sz w:val="14"/>
        </w:rPr>
        <w:t>los</w:t>
      </w:r>
      <w:r>
        <w:rPr>
          <w:spacing w:val="-1"/>
          <w:w w:val="105"/>
          <w:sz w:val="14"/>
        </w:rPr>
        <w:t xml:space="preserve"> </w:t>
      </w:r>
      <w:r>
        <w:rPr>
          <w:w w:val="105"/>
          <w:sz w:val="14"/>
        </w:rPr>
        <w:t>Estados</w:t>
      </w:r>
      <w:r>
        <w:rPr>
          <w:spacing w:val="-1"/>
          <w:w w:val="105"/>
          <w:sz w:val="14"/>
        </w:rPr>
        <w:t xml:space="preserve"> </w:t>
      </w:r>
      <w:r>
        <w:rPr>
          <w:w w:val="105"/>
          <w:sz w:val="14"/>
        </w:rPr>
        <w:t>adopten</w:t>
      </w:r>
      <w:r>
        <w:rPr>
          <w:spacing w:val="-1"/>
          <w:w w:val="105"/>
          <w:sz w:val="14"/>
        </w:rPr>
        <w:t xml:space="preserve"> </w:t>
      </w:r>
      <w:r>
        <w:rPr>
          <w:w w:val="105"/>
          <w:sz w:val="14"/>
        </w:rPr>
        <w:t>todas</w:t>
      </w:r>
      <w:r>
        <w:rPr>
          <w:spacing w:val="-1"/>
          <w:w w:val="105"/>
          <w:sz w:val="14"/>
        </w:rPr>
        <w:t xml:space="preserve"> </w:t>
      </w:r>
      <w:r>
        <w:rPr>
          <w:w w:val="105"/>
          <w:sz w:val="14"/>
        </w:rPr>
        <w:t>las</w:t>
      </w:r>
      <w:r>
        <w:rPr>
          <w:spacing w:val="-1"/>
          <w:w w:val="105"/>
          <w:sz w:val="14"/>
        </w:rPr>
        <w:t xml:space="preserve"> </w:t>
      </w:r>
      <w:r>
        <w:rPr>
          <w:w w:val="105"/>
          <w:sz w:val="14"/>
        </w:rPr>
        <w:t>medidas</w:t>
      </w:r>
      <w:r>
        <w:rPr>
          <w:spacing w:val="-1"/>
          <w:w w:val="105"/>
          <w:sz w:val="14"/>
        </w:rPr>
        <w:t xml:space="preserve"> </w:t>
      </w:r>
      <w:r>
        <w:rPr>
          <w:w w:val="105"/>
          <w:sz w:val="14"/>
        </w:rPr>
        <w:t>apropiadas</w:t>
      </w:r>
      <w:r>
        <w:rPr>
          <w:spacing w:val="-1"/>
          <w:w w:val="105"/>
          <w:sz w:val="14"/>
        </w:rPr>
        <w:t xml:space="preserve"> </w:t>
      </w:r>
      <w:r>
        <w:rPr>
          <w:w w:val="105"/>
          <w:sz w:val="14"/>
        </w:rPr>
        <w:t>para</w:t>
      </w:r>
      <w:r>
        <w:rPr>
          <w:spacing w:val="-1"/>
          <w:w w:val="105"/>
          <w:sz w:val="14"/>
        </w:rPr>
        <w:t xml:space="preserve"> </w:t>
      </w:r>
      <w:r>
        <w:rPr>
          <w:w w:val="105"/>
          <w:sz w:val="14"/>
        </w:rPr>
        <w:t>modificar</w:t>
      </w:r>
      <w:r>
        <w:rPr>
          <w:spacing w:val="-1"/>
          <w:w w:val="105"/>
          <w:sz w:val="14"/>
        </w:rPr>
        <w:t xml:space="preserve"> </w:t>
      </w:r>
      <w:r>
        <w:rPr>
          <w:w w:val="105"/>
          <w:sz w:val="14"/>
        </w:rPr>
        <w:t>o</w:t>
      </w:r>
      <w:r>
        <w:rPr>
          <w:spacing w:val="-1"/>
          <w:w w:val="105"/>
          <w:sz w:val="14"/>
        </w:rPr>
        <w:t xml:space="preserve"> </w:t>
      </w:r>
      <w:r>
        <w:rPr>
          <w:w w:val="105"/>
          <w:sz w:val="14"/>
        </w:rPr>
        <w:t>abolir</w:t>
      </w:r>
      <w:r>
        <w:rPr>
          <w:spacing w:val="-1"/>
          <w:w w:val="105"/>
          <w:sz w:val="14"/>
        </w:rPr>
        <w:t xml:space="preserve"> </w:t>
      </w:r>
      <w:r>
        <w:rPr>
          <w:w w:val="105"/>
          <w:sz w:val="14"/>
        </w:rPr>
        <w:t>leyes, políticas</w:t>
      </w:r>
      <w:r>
        <w:rPr>
          <w:spacing w:val="-1"/>
          <w:w w:val="105"/>
          <w:sz w:val="14"/>
        </w:rPr>
        <w:t xml:space="preserve"> </w:t>
      </w:r>
      <w:r>
        <w:rPr>
          <w:w w:val="105"/>
          <w:sz w:val="14"/>
        </w:rPr>
        <w:t>o prácticas que discriminen o conduzcan a discriminación en la práctica.</w:t>
      </w:r>
    </w:p>
    <w:p w14:paraId="2AA266BD" w14:textId="77777777" w:rsidR="0014798C" w:rsidRDefault="0014798C">
      <w:pPr>
        <w:pStyle w:val="Textoindependiente"/>
        <w:spacing w:before="82"/>
        <w:rPr>
          <w:sz w:val="21"/>
        </w:rPr>
      </w:pPr>
    </w:p>
    <w:p w14:paraId="334C2FEF" w14:textId="77777777" w:rsidR="0014798C" w:rsidRDefault="004E1F0B">
      <w:pPr>
        <w:numPr>
          <w:ilvl w:val="0"/>
          <w:numId w:val="97"/>
        </w:numPr>
        <w:tabs>
          <w:tab w:val="left" w:pos="1395"/>
        </w:tabs>
        <w:ind w:left="1395" w:hanging="275"/>
        <w:rPr>
          <w:color w:val="0075BF"/>
          <w:sz w:val="21"/>
        </w:rPr>
      </w:pPr>
      <w:r>
        <w:rPr>
          <w:color w:val="0075BF"/>
          <w:w w:val="105"/>
          <w:sz w:val="21"/>
        </w:rPr>
        <w:t>Derechos</w:t>
      </w:r>
      <w:r>
        <w:rPr>
          <w:color w:val="0075BF"/>
          <w:spacing w:val="-15"/>
          <w:w w:val="105"/>
          <w:sz w:val="21"/>
        </w:rPr>
        <w:t xml:space="preserve"> </w:t>
      </w:r>
      <w:r>
        <w:rPr>
          <w:color w:val="0075BF"/>
          <w:w w:val="105"/>
          <w:sz w:val="21"/>
        </w:rPr>
        <w:t>de</w:t>
      </w:r>
      <w:r>
        <w:rPr>
          <w:color w:val="0075BF"/>
          <w:spacing w:val="-14"/>
          <w:w w:val="105"/>
          <w:sz w:val="21"/>
        </w:rPr>
        <w:t xml:space="preserve"> </w:t>
      </w:r>
      <w:r>
        <w:rPr>
          <w:color w:val="0075BF"/>
          <w:w w:val="105"/>
          <w:sz w:val="21"/>
        </w:rPr>
        <w:t>las</w:t>
      </w:r>
      <w:r>
        <w:rPr>
          <w:color w:val="0075BF"/>
          <w:spacing w:val="-14"/>
          <w:w w:val="105"/>
          <w:sz w:val="21"/>
        </w:rPr>
        <w:t xml:space="preserve"> </w:t>
      </w:r>
      <w:r>
        <w:rPr>
          <w:color w:val="0075BF"/>
          <w:w w:val="105"/>
          <w:sz w:val="21"/>
        </w:rPr>
        <w:t>minorías</w:t>
      </w:r>
      <w:r>
        <w:rPr>
          <w:color w:val="0075BF"/>
          <w:spacing w:val="-14"/>
          <w:w w:val="105"/>
          <w:sz w:val="21"/>
        </w:rPr>
        <w:t xml:space="preserve"> </w:t>
      </w:r>
      <w:r>
        <w:rPr>
          <w:color w:val="0075BF"/>
          <w:w w:val="105"/>
          <w:sz w:val="21"/>
        </w:rPr>
        <w:t>y</w:t>
      </w:r>
      <w:r>
        <w:rPr>
          <w:color w:val="0075BF"/>
          <w:spacing w:val="-14"/>
          <w:w w:val="105"/>
          <w:sz w:val="21"/>
        </w:rPr>
        <w:t xml:space="preserve"> </w:t>
      </w:r>
      <w:r>
        <w:rPr>
          <w:color w:val="0075BF"/>
          <w:w w:val="105"/>
          <w:sz w:val="21"/>
        </w:rPr>
        <w:t>legislación</w:t>
      </w:r>
      <w:r>
        <w:rPr>
          <w:color w:val="0075BF"/>
          <w:spacing w:val="-14"/>
          <w:w w:val="105"/>
          <w:sz w:val="21"/>
        </w:rPr>
        <w:t xml:space="preserve"> </w:t>
      </w:r>
      <w:r>
        <w:rPr>
          <w:color w:val="0075BF"/>
          <w:w w:val="105"/>
          <w:sz w:val="21"/>
        </w:rPr>
        <w:t>contra</w:t>
      </w:r>
      <w:r>
        <w:rPr>
          <w:color w:val="0075BF"/>
          <w:spacing w:val="-14"/>
          <w:w w:val="105"/>
          <w:sz w:val="21"/>
        </w:rPr>
        <w:t xml:space="preserve"> </w:t>
      </w:r>
      <w:r>
        <w:rPr>
          <w:color w:val="0075BF"/>
          <w:w w:val="105"/>
          <w:sz w:val="21"/>
        </w:rPr>
        <w:t>la</w:t>
      </w:r>
      <w:r>
        <w:rPr>
          <w:color w:val="0075BF"/>
          <w:spacing w:val="-15"/>
          <w:w w:val="105"/>
          <w:sz w:val="21"/>
        </w:rPr>
        <w:t xml:space="preserve"> </w:t>
      </w:r>
      <w:r>
        <w:rPr>
          <w:color w:val="0075BF"/>
          <w:spacing w:val="-2"/>
          <w:w w:val="105"/>
          <w:sz w:val="21"/>
        </w:rPr>
        <w:t>discriminación</w:t>
      </w:r>
    </w:p>
    <w:p w14:paraId="0CD7C469" w14:textId="77777777" w:rsidR="0014798C" w:rsidRDefault="0014798C">
      <w:pPr>
        <w:pStyle w:val="Textoindependiente"/>
        <w:spacing w:before="127"/>
        <w:rPr>
          <w:sz w:val="14"/>
        </w:rPr>
      </w:pPr>
    </w:p>
    <w:p w14:paraId="4C96A8CA" w14:textId="77777777" w:rsidR="0014798C" w:rsidRDefault="004E1F0B">
      <w:pPr>
        <w:spacing w:line="372" w:lineRule="auto"/>
        <w:ind w:left="1107" w:right="1272" w:hanging="1"/>
        <w:rPr>
          <w:sz w:val="14"/>
        </w:rPr>
      </w:pPr>
      <w:r>
        <w:rPr>
          <w:w w:val="105"/>
          <w:sz w:val="14"/>
        </w:rPr>
        <w:t>Los</w:t>
      </w:r>
      <w:r>
        <w:rPr>
          <w:spacing w:val="-1"/>
          <w:w w:val="105"/>
          <w:sz w:val="14"/>
        </w:rPr>
        <w:t xml:space="preserve"> </w:t>
      </w:r>
      <w:r>
        <w:rPr>
          <w:w w:val="105"/>
          <w:sz w:val="14"/>
        </w:rPr>
        <w:t>derechos</w:t>
      </w:r>
      <w:r>
        <w:rPr>
          <w:spacing w:val="-1"/>
          <w:w w:val="105"/>
          <w:sz w:val="14"/>
        </w:rPr>
        <w:t xml:space="preserve"> </w:t>
      </w:r>
      <w:r>
        <w:rPr>
          <w:w w:val="105"/>
          <w:sz w:val="14"/>
        </w:rPr>
        <w:t>a</w:t>
      </w:r>
      <w:r>
        <w:rPr>
          <w:spacing w:val="-1"/>
          <w:w w:val="105"/>
          <w:sz w:val="14"/>
        </w:rPr>
        <w:t xml:space="preserve"> </w:t>
      </w:r>
      <w:r>
        <w:rPr>
          <w:w w:val="105"/>
          <w:sz w:val="14"/>
        </w:rPr>
        <w:t>la</w:t>
      </w:r>
      <w:r>
        <w:rPr>
          <w:spacing w:val="-1"/>
          <w:w w:val="105"/>
          <w:sz w:val="14"/>
        </w:rPr>
        <w:t xml:space="preserve"> </w:t>
      </w:r>
      <w:r>
        <w:rPr>
          <w:w w:val="105"/>
          <w:sz w:val="14"/>
        </w:rPr>
        <w:t>igualdad</w:t>
      </w:r>
      <w:r>
        <w:rPr>
          <w:spacing w:val="-1"/>
          <w:w w:val="105"/>
          <w:sz w:val="14"/>
        </w:rPr>
        <w:t xml:space="preserve"> </w:t>
      </w:r>
      <w:r>
        <w:rPr>
          <w:w w:val="105"/>
          <w:sz w:val="14"/>
        </w:rPr>
        <w:t>y</w:t>
      </w:r>
      <w:r>
        <w:rPr>
          <w:spacing w:val="-1"/>
          <w:w w:val="105"/>
          <w:sz w:val="14"/>
        </w:rPr>
        <w:t xml:space="preserve"> </w:t>
      </w:r>
      <w:r>
        <w:rPr>
          <w:w w:val="105"/>
          <w:sz w:val="14"/>
        </w:rPr>
        <w:t>la</w:t>
      </w:r>
      <w:r>
        <w:rPr>
          <w:spacing w:val="-1"/>
          <w:w w:val="105"/>
          <w:sz w:val="14"/>
        </w:rPr>
        <w:t xml:space="preserve"> </w:t>
      </w:r>
      <w:r>
        <w:rPr>
          <w:w w:val="105"/>
          <w:sz w:val="14"/>
        </w:rPr>
        <w:t>no</w:t>
      </w:r>
      <w:r>
        <w:rPr>
          <w:spacing w:val="-1"/>
          <w:w w:val="105"/>
          <w:sz w:val="14"/>
        </w:rPr>
        <w:t xml:space="preserve"> </w:t>
      </w:r>
      <w:r>
        <w:rPr>
          <w:w w:val="105"/>
          <w:sz w:val="14"/>
        </w:rPr>
        <w:t>discriminación están</w:t>
      </w:r>
      <w:r>
        <w:rPr>
          <w:spacing w:val="-1"/>
          <w:w w:val="105"/>
          <w:sz w:val="14"/>
        </w:rPr>
        <w:t xml:space="preserve"> </w:t>
      </w:r>
      <w:r>
        <w:rPr>
          <w:w w:val="105"/>
          <w:sz w:val="14"/>
        </w:rPr>
        <w:t>en</w:t>
      </w:r>
      <w:r>
        <w:rPr>
          <w:spacing w:val="-1"/>
          <w:w w:val="105"/>
          <w:sz w:val="14"/>
        </w:rPr>
        <w:t xml:space="preserve"> </w:t>
      </w:r>
      <w:r>
        <w:rPr>
          <w:w w:val="105"/>
          <w:sz w:val="14"/>
        </w:rPr>
        <w:t>el</w:t>
      </w:r>
      <w:r>
        <w:rPr>
          <w:spacing w:val="-1"/>
          <w:w w:val="105"/>
          <w:sz w:val="14"/>
        </w:rPr>
        <w:t xml:space="preserve"> </w:t>
      </w:r>
      <w:r>
        <w:rPr>
          <w:w w:val="105"/>
          <w:sz w:val="14"/>
        </w:rPr>
        <w:t>centro</w:t>
      </w:r>
      <w:r>
        <w:rPr>
          <w:spacing w:val="-1"/>
          <w:w w:val="105"/>
          <w:sz w:val="14"/>
        </w:rPr>
        <w:t xml:space="preserve"> </w:t>
      </w:r>
      <w:r>
        <w:rPr>
          <w:w w:val="105"/>
          <w:sz w:val="14"/>
        </w:rPr>
        <w:t>de</w:t>
      </w:r>
      <w:r>
        <w:rPr>
          <w:spacing w:val="-1"/>
          <w:w w:val="105"/>
          <w:sz w:val="14"/>
        </w:rPr>
        <w:t xml:space="preserve"> </w:t>
      </w:r>
      <w:r>
        <w:rPr>
          <w:w w:val="105"/>
          <w:sz w:val="14"/>
        </w:rPr>
        <w:t>los</w:t>
      </w:r>
      <w:r>
        <w:rPr>
          <w:spacing w:val="-1"/>
          <w:w w:val="105"/>
          <w:sz w:val="14"/>
        </w:rPr>
        <w:t xml:space="preserve"> </w:t>
      </w:r>
      <w:r>
        <w:rPr>
          <w:w w:val="105"/>
          <w:sz w:val="14"/>
        </w:rPr>
        <w:t>derechos</w:t>
      </w:r>
      <w:r>
        <w:rPr>
          <w:spacing w:val="-1"/>
          <w:w w:val="105"/>
          <w:sz w:val="14"/>
        </w:rPr>
        <w:t xml:space="preserve"> </w:t>
      </w:r>
      <w:r>
        <w:rPr>
          <w:w w:val="105"/>
          <w:sz w:val="14"/>
        </w:rPr>
        <w:t>de</w:t>
      </w:r>
      <w:r>
        <w:rPr>
          <w:spacing w:val="-1"/>
          <w:w w:val="105"/>
          <w:sz w:val="14"/>
        </w:rPr>
        <w:t xml:space="preserve"> </w:t>
      </w:r>
      <w:r>
        <w:rPr>
          <w:w w:val="105"/>
          <w:sz w:val="14"/>
        </w:rPr>
        <w:t>las</w:t>
      </w:r>
      <w:r>
        <w:rPr>
          <w:spacing w:val="-1"/>
          <w:w w:val="105"/>
          <w:sz w:val="14"/>
        </w:rPr>
        <w:t xml:space="preserve"> </w:t>
      </w:r>
      <w:r>
        <w:rPr>
          <w:w w:val="105"/>
          <w:sz w:val="14"/>
        </w:rPr>
        <w:t>minorías. Estos</w:t>
      </w:r>
      <w:r>
        <w:rPr>
          <w:spacing w:val="-1"/>
          <w:w w:val="105"/>
          <w:sz w:val="14"/>
        </w:rPr>
        <w:t xml:space="preserve"> </w:t>
      </w:r>
      <w:r>
        <w:rPr>
          <w:w w:val="105"/>
          <w:sz w:val="14"/>
        </w:rPr>
        <w:t>derechos</w:t>
      </w:r>
      <w:r>
        <w:rPr>
          <w:spacing w:val="-1"/>
          <w:w w:val="105"/>
          <w:sz w:val="14"/>
        </w:rPr>
        <w:t xml:space="preserve"> </w:t>
      </w:r>
      <w:r>
        <w:rPr>
          <w:w w:val="105"/>
          <w:sz w:val="14"/>
        </w:rPr>
        <w:t>se</w:t>
      </w:r>
      <w:r>
        <w:rPr>
          <w:spacing w:val="-1"/>
          <w:w w:val="105"/>
          <w:sz w:val="14"/>
        </w:rPr>
        <w:t xml:space="preserve"> </w:t>
      </w:r>
      <w:r>
        <w:rPr>
          <w:w w:val="105"/>
          <w:sz w:val="14"/>
        </w:rPr>
        <w:t>aplican</w:t>
      </w:r>
      <w:r>
        <w:rPr>
          <w:spacing w:val="-1"/>
          <w:w w:val="105"/>
          <w:sz w:val="14"/>
        </w:rPr>
        <w:t xml:space="preserve"> </w:t>
      </w:r>
      <w:r>
        <w:rPr>
          <w:w w:val="105"/>
          <w:sz w:val="14"/>
        </w:rPr>
        <w:t>igualmente</w:t>
      </w:r>
      <w:r>
        <w:rPr>
          <w:spacing w:val="-1"/>
          <w:w w:val="105"/>
          <w:sz w:val="14"/>
        </w:rPr>
        <w:t xml:space="preserve"> </w:t>
      </w:r>
      <w:r>
        <w:rPr>
          <w:w w:val="105"/>
          <w:sz w:val="14"/>
        </w:rPr>
        <w:t>a las minorías y son esenciales para la realización de los derechos de las minorías. La realización de los derechos de las minorías nacionales, étnicas, religiosas y lingüísticas requiere una protección efectiva y el cumplimiento del derecho a la no discriminación. Como tal, la promulgación, aplicación e implementación de leyes integrales contra la discriminación es esencial para que los Estados cumplan con sus obligaciones de respetar, proteger y hacer realidad los derechos de las minorías.</w:t>
      </w:r>
    </w:p>
    <w:p w14:paraId="4AD63382" w14:textId="77777777" w:rsidR="0014798C" w:rsidRDefault="0014798C">
      <w:pPr>
        <w:pStyle w:val="Textoindependiente"/>
        <w:spacing w:before="9"/>
        <w:rPr>
          <w:sz w:val="14"/>
        </w:rPr>
      </w:pPr>
    </w:p>
    <w:p w14:paraId="1682F22C" w14:textId="77777777" w:rsidR="0014798C" w:rsidRDefault="004E1F0B">
      <w:pPr>
        <w:spacing w:before="1" w:line="372" w:lineRule="auto"/>
        <w:ind w:left="1107" w:right="1272" w:hanging="1"/>
        <w:rPr>
          <w:sz w:val="14"/>
        </w:rPr>
      </w:pPr>
      <w:r>
        <w:rPr>
          <w:w w:val="105"/>
          <w:sz w:val="14"/>
        </w:rPr>
        <w:t>La prohibición de la discriminación es inherente a los derechos de las minorías. Los Estados deben garantizar que todos los aspectos del derecho a la no discriminación sean efectivos en sus esfuerzos por garantizar los derechos de las minorías. Esto incluye garantizar que las leyes, políticas y prácticas no discriminen directa o indirectamente a los miembros de comunidades minoritarias que disfrutan de sus culturas, profesan</w:t>
      </w:r>
      <w:r>
        <w:rPr>
          <w:spacing w:val="-1"/>
          <w:w w:val="105"/>
          <w:sz w:val="14"/>
        </w:rPr>
        <w:t xml:space="preserve"> </w:t>
      </w:r>
      <w:r>
        <w:rPr>
          <w:w w:val="105"/>
          <w:sz w:val="14"/>
        </w:rPr>
        <w:t>o</w:t>
      </w:r>
      <w:r>
        <w:rPr>
          <w:spacing w:val="-1"/>
          <w:w w:val="105"/>
          <w:sz w:val="14"/>
        </w:rPr>
        <w:t xml:space="preserve"> </w:t>
      </w:r>
      <w:r>
        <w:rPr>
          <w:w w:val="105"/>
          <w:sz w:val="14"/>
        </w:rPr>
        <w:t>practican</w:t>
      </w:r>
      <w:r>
        <w:rPr>
          <w:spacing w:val="-1"/>
          <w:w w:val="105"/>
          <w:sz w:val="14"/>
        </w:rPr>
        <w:t xml:space="preserve"> </w:t>
      </w:r>
      <w:r>
        <w:rPr>
          <w:w w:val="105"/>
          <w:sz w:val="14"/>
        </w:rPr>
        <w:t>sus</w:t>
      </w:r>
      <w:r>
        <w:rPr>
          <w:spacing w:val="-1"/>
          <w:w w:val="105"/>
          <w:sz w:val="14"/>
        </w:rPr>
        <w:t xml:space="preserve"> </w:t>
      </w:r>
      <w:r>
        <w:rPr>
          <w:w w:val="105"/>
          <w:sz w:val="14"/>
        </w:rPr>
        <w:t>religiones</w:t>
      </w:r>
      <w:r>
        <w:rPr>
          <w:spacing w:val="-1"/>
          <w:w w:val="105"/>
          <w:sz w:val="14"/>
        </w:rPr>
        <w:t xml:space="preserve"> </w:t>
      </w:r>
      <w:r>
        <w:rPr>
          <w:w w:val="105"/>
          <w:sz w:val="14"/>
        </w:rPr>
        <w:t>o</w:t>
      </w:r>
      <w:r>
        <w:rPr>
          <w:spacing w:val="-1"/>
          <w:w w:val="105"/>
          <w:sz w:val="14"/>
        </w:rPr>
        <w:t xml:space="preserve"> </w:t>
      </w:r>
      <w:r>
        <w:rPr>
          <w:w w:val="105"/>
          <w:sz w:val="14"/>
        </w:rPr>
        <w:t>utilizan</w:t>
      </w:r>
      <w:r>
        <w:rPr>
          <w:spacing w:val="-1"/>
          <w:w w:val="105"/>
          <w:sz w:val="14"/>
        </w:rPr>
        <w:t xml:space="preserve"> </w:t>
      </w:r>
      <w:r>
        <w:rPr>
          <w:w w:val="105"/>
          <w:sz w:val="14"/>
        </w:rPr>
        <w:t>sus</w:t>
      </w:r>
      <w:r>
        <w:rPr>
          <w:spacing w:val="-1"/>
          <w:w w:val="105"/>
          <w:sz w:val="14"/>
        </w:rPr>
        <w:t xml:space="preserve"> </w:t>
      </w:r>
      <w:r>
        <w:rPr>
          <w:w w:val="105"/>
          <w:sz w:val="14"/>
        </w:rPr>
        <w:t>idiomas. También</w:t>
      </w:r>
      <w:r>
        <w:rPr>
          <w:spacing w:val="-1"/>
          <w:w w:val="105"/>
          <w:sz w:val="14"/>
        </w:rPr>
        <w:t xml:space="preserve"> </w:t>
      </w:r>
      <w:r>
        <w:rPr>
          <w:w w:val="105"/>
          <w:sz w:val="14"/>
        </w:rPr>
        <w:t>incluye garantizar</w:t>
      </w:r>
      <w:r>
        <w:rPr>
          <w:spacing w:val="-1"/>
          <w:w w:val="105"/>
          <w:sz w:val="14"/>
        </w:rPr>
        <w:t xml:space="preserve"> </w:t>
      </w:r>
      <w:r>
        <w:rPr>
          <w:w w:val="105"/>
          <w:sz w:val="14"/>
        </w:rPr>
        <w:t>que</w:t>
      </w:r>
      <w:r>
        <w:rPr>
          <w:spacing w:val="-1"/>
          <w:w w:val="105"/>
          <w:sz w:val="14"/>
        </w:rPr>
        <w:t xml:space="preserve"> </w:t>
      </w:r>
      <w:r>
        <w:rPr>
          <w:w w:val="105"/>
          <w:sz w:val="14"/>
        </w:rPr>
        <w:t>las</w:t>
      </w:r>
      <w:r>
        <w:rPr>
          <w:spacing w:val="-1"/>
          <w:w w:val="105"/>
          <w:sz w:val="14"/>
        </w:rPr>
        <w:t xml:space="preserve"> </w:t>
      </w:r>
      <w:r>
        <w:rPr>
          <w:w w:val="105"/>
          <w:sz w:val="14"/>
        </w:rPr>
        <w:t>medidas</w:t>
      </w:r>
      <w:r>
        <w:rPr>
          <w:spacing w:val="-1"/>
          <w:w w:val="105"/>
          <w:sz w:val="14"/>
        </w:rPr>
        <w:t xml:space="preserve"> </w:t>
      </w:r>
      <w:r>
        <w:rPr>
          <w:w w:val="105"/>
          <w:sz w:val="14"/>
        </w:rPr>
        <w:t>para</w:t>
      </w:r>
      <w:r>
        <w:rPr>
          <w:spacing w:val="-1"/>
          <w:w w:val="105"/>
          <w:sz w:val="14"/>
        </w:rPr>
        <w:t xml:space="preserve"> </w:t>
      </w:r>
      <w:r>
        <w:rPr>
          <w:w w:val="105"/>
          <w:sz w:val="14"/>
        </w:rPr>
        <w:t>respetar</w:t>
      </w:r>
      <w:r>
        <w:rPr>
          <w:spacing w:val="-1"/>
          <w:w w:val="105"/>
          <w:sz w:val="14"/>
        </w:rPr>
        <w:t xml:space="preserve"> </w:t>
      </w:r>
      <w:r>
        <w:rPr>
          <w:w w:val="105"/>
          <w:sz w:val="14"/>
        </w:rPr>
        <w:t>y</w:t>
      </w:r>
      <w:r>
        <w:rPr>
          <w:spacing w:val="-1"/>
          <w:w w:val="105"/>
          <w:sz w:val="14"/>
        </w:rPr>
        <w:t xml:space="preserve"> </w:t>
      </w:r>
      <w:r>
        <w:rPr>
          <w:w w:val="105"/>
          <w:sz w:val="14"/>
        </w:rPr>
        <w:t>garantizar</w:t>
      </w:r>
      <w:r>
        <w:rPr>
          <w:spacing w:val="-1"/>
          <w:w w:val="105"/>
          <w:sz w:val="14"/>
        </w:rPr>
        <w:t xml:space="preserve"> </w:t>
      </w:r>
      <w:r>
        <w:rPr>
          <w:w w:val="105"/>
          <w:sz w:val="14"/>
        </w:rPr>
        <w:t>los</w:t>
      </w:r>
      <w:r>
        <w:rPr>
          <w:spacing w:val="-1"/>
          <w:w w:val="105"/>
          <w:sz w:val="14"/>
        </w:rPr>
        <w:t xml:space="preserve"> </w:t>
      </w:r>
      <w:r>
        <w:rPr>
          <w:w w:val="105"/>
          <w:sz w:val="14"/>
        </w:rPr>
        <w:t>derechos de los miembros de las minorías, en comunidad con los demás miembros de su grupo, a participar en prácticas culturales y religiosas y en el uso del idioma no den lugar a discriminación por ningún motivo.</w:t>
      </w:r>
    </w:p>
    <w:p w14:paraId="389143B3" w14:textId="77777777" w:rsidR="0014798C" w:rsidRDefault="0014798C">
      <w:pPr>
        <w:pStyle w:val="Textoindependiente"/>
        <w:rPr>
          <w:sz w:val="14"/>
        </w:rPr>
      </w:pPr>
    </w:p>
    <w:p w14:paraId="37DEE8F8" w14:textId="77777777" w:rsidR="0014798C" w:rsidRDefault="0014798C">
      <w:pPr>
        <w:pStyle w:val="Textoindependiente"/>
        <w:spacing w:before="98"/>
        <w:rPr>
          <w:sz w:val="14"/>
        </w:rPr>
      </w:pPr>
    </w:p>
    <w:p w14:paraId="7D9C3BBF" w14:textId="77777777" w:rsidR="0014798C" w:rsidRDefault="004E1F0B">
      <w:pPr>
        <w:spacing w:line="372" w:lineRule="auto"/>
        <w:ind w:left="1107" w:right="1258" w:hanging="1"/>
        <w:rPr>
          <w:sz w:val="14"/>
        </w:rPr>
      </w:pPr>
      <w:r>
        <w:rPr>
          <w:w w:val="105"/>
          <w:sz w:val="14"/>
        </w:rPr>
        <w:t xml:space="preserve">Los derechos de las minorías a la no discriminación y la igualdad no pueden realizarse efectivamente sin que </w:t>
      </w:r>
      <w:proofErr w:type="gramStart"/>
      <w:r>
        <w:rPr>
          <w:w w:val="105"/>
          <w:sz w:val="14"/>
        </w:rPr>
        <w:t>una amplia gama de garantías</w:t>
      </w:r>
      <w:r>
        <w:rPr>
          <w:spacing w:val="40"/>
          <w:w w:val="105"/>
          <w:sz w:val="14"/>
        </w:rPr>
        <w:t xml:space="preserve"> </w:t>
      </w:r>
      <w:r>
        <w:rPr>
          <w:w w:val="105"/>
          <w:sz w:val="14"/>
        </w:rPr>
        <w:t>de</w:t>
      </w:r>
      <w:r>
        <w:rPr>
          <w:spacing w:val="-1"/>
          <w:w w:val="105"/>
          <w:sz w:val="14"/>
        </w:rPr>
        <w:t xml:space="preserve"> </w:t>
      </w:r>
      <w:r>
        <w:rPr>
          <w:w w:val="105"/>
          <w:sz w:val="14"/>
        </w:rPr>
        <w:t>derechos</w:t>
      </w:r>
      <w:r>
        <w:rPr>
          <w:spacing w:val="-1"/>
          <w:w w:val="105"/>
          <w:sz w:val="14"/>
        </w:rPr>
        <w:t xml:space="preserve"> </w:t>
      </w:r>
      <w:r>
        <w:rPr>
          <w:w w:val="105"/>
          <w:sz w:val="14"/>
        </w:rPr>
        <w:t>de</w:t>
      </w:r>
      <w:r>
        <w:rPr>
          <w:spacing w:val="-1"/>
          <w:w w:val="105"/>
          <w:sz w:val="14"/>
        </w:rPr>
        <w:t xml:space="preserve"> </w:t>
      </w:r>
      <w:r>
        <w:rPr>
          <w:w w:val="105"/>
          <w:sz w:val="14"/>
        </w:rPr>
        <w:t>las</w:t>
      </w:r>
      <w:r>
        <w:rPr>
          <w:spacing w:val="-1"/>
          <w:w w:val="105"/>
          <w:sz w:val="14"/>
        </w:rPr>
        <w:t xml:space="preserve"> </w:t>
      </w:r>
      <w:r>
        <w:rPr>
          <w:w w:val="105"/>
          <w:sz w:val="14"/>
        </w:rPr>
        <w:t>minorías</w:t>
      </w:r>
      <w:r>
        <w:rPr>
          <w:spacing w:val="-1"/>
          <w:w w:val="105"/>
          <w:sz w:val="14"/>
        </w:rPr>
        <w:t xml:space="preserve"> </w:t>
      </w:r>
      <w:r>
        <w:rPr>
          <w:w w:val="105"/>
          <w:sz w:val="14"/>
        </w:rPr>
        <w:t>sean</w:t>
      </w:r>
      <w:proofErr w:type="gramEnd"/>
      <w:r>
        <w:rPr>
          <w:spacing w:val="-1"/>
          <w:w w:val="105"/>
          <w:sz w:val="14"/>
        </w:rPr>
        <w:t xml:space="preserve"> </w:t>
      </w:r>
      <w:r>
        <w:rPr>
          <w:w w:val="105"/>
          <w:sz w:val="14"/>
        </w:rPr>
        <w:t>efectivas</w:t>
      </w:r>
      <w:r>
        <w:rPr>
          <w:spacing w:val="-1"/>
          <w:w w:val="105"/>
          <w:sz w:val="14"/>
        </w:rPr>
        <w:t xml:space="preserve"> </w:t>
      </w:r>
      <w:r>
        <w:rPr>
          <w:w w:val="105"/>
          <w:sz w:val="14"/>
        </w:rPr>
        <w:t>y</w:t>
      </w:r>
      <w:r>
        <w:rPr>
          <w:spacing w:val="-1"/>
          <w:w w:val="105"/>
          <w:sz w:val="14"/>
        </w:rPr>
        <w:t xml:space="preserve"> </w:t>
      </w:r>
      <w:r>
        <w:rPr>
          <w:w w:val="105"/>
          <w:sz w:val="14"/>
        </w:rPr>
        <w:t>se</w:t>
      </w:r>
      <w:r>
        <w:rPr>
          <w:spacing w:val="-1"/>
          <w:w w:val="105"/>
          <w:sz w:val="14"/>
        </w:rPr>
        <w:t xml:space="preserve"> </w:t>
      </w:r>
      <w:r>
        <w:rPr>
          <w:w w:val="105"/>
          <w:sz w:val="14"/>
        </w:rPr>
        <w:t>realicen en</w:t>
      </w:r>
      <w:r>
        <w:rPr>
          <w:spacing w:val="-1"/>
          <w:w w:val="105"/>
          <w:sz w:val="14"/>
        </w:rPr>
        <w:t xml:space="preserve"> </w:t>
      </w:r>
      <w:r>
        <w:rPr>
          <w:w w:val="105"/>
          <w:sz w:val="14"/>
        </w:rPr>
        <w:t>la</w:t>
      </w:r>
      <w:r>
        <w:rPr>
          <w:spacing w:val="-1"/>
          <w:w w:val="105"/>
          <w:sz w:val="14"/>
        </w:rPr>
        <w:t xml:space="preserve"> </w:t>
      </w:r>
      <w:r>
        <w:rPr>
          <w:w w:val="105"/>
          <w:sz w:val="14"/>
        </w:rPr>
        <w:t>práctica. Estos</w:t>
      </w:r>
      <w:r>
        <w:rPr>
          <w:spacing w:val="-1"/>
          <w:w w:val="105"/>
          <w:sz w:val="14"/>
        </w:rPr>
        <w:t xml:space="preserve"> </w:t>
      </w:r>
      <w:r>
        <w:rPr>
          <w:w w:val="105"/>
          <w:sz w:val="14"/>
        </w:rPr>
        <w:t>incluyen el</w:t>
      </w:r>
      <w:r>
        <w:rPr>
          <w:spacing w:val="-1"/>
          <w:w w:val="105"/>
          <w:sz w:val="14"/>
        </w:rPr>
        <w:t xml:space="preserve"> </w:t>
      </w:r>
      <w:r>
        <w:rPr>
          <w:w w:val="105"/>
          <w:sz w:val="14"/>
        </w:rPr>
        <w:t>reconocimiento, la</w:t>
      </w:r>
      <w:r>
        <w:rPr>
          <w:spacing w:val="-1"/>
          <w:w w:val="105"/>
          <w:sz w:val="14"/>
        </w:rPr>
        <w:t xml:space="preserve"> </w:t>
      </w:r>
      <w:r>
        <w:rPr>
          <w:w w:val="105"/>
          <w:sz w:val="14"/>
        </w:rPr>
        <w:t>participación</w:t>
      </w:r>
      <w:r>
        <w:rPr>
          <w:spacing w:val="-1"/>
          <w:w w:val="105"/>
          <w:sz w:val="14"/>
        </w:rPr>
        <w:t xml:space="preserve"> </w:t>
      </w:r>
      <w:r>
        <w:rPr>
          <w:w w:val="105"/>
          <w:sz w:val="14"/>
        </w:rPr>
        <w:t>genuina</w:t>
      </w:r>
      <w:r>
        <w:rPr>
          <w:spacing w:val="-1"/>
          <w:w w:val="105"/>
          <w:sz w:val="14"/>
        </w:rPr>
        <w:t xml:space="preserve"> </w:t>
      </w:r>
      <w:r>
        <w:rPr>
          <w:w w:val="105"/>
          <w:sz w:val="14"/>
        </w:rPr>
        <w:t>y</w:t>
      </w:r>
      <w:r>
        <w:rPr>
          <w:spacing w:val="-1"/>
          <w:w w:val="105"/>
          <w:sz w:val="14"/>
        </w:rPr>
        <w:t xml:space="preserve"> </w:t>
      </w:r>
      <w:r>
        <w:rPr>
          <w:w w:val="105"/>
          <w:sz w:val="14"/>
        </w:rPr>
        <w:t>la</w:t>
      </w:r>
      <w:r>
        <w:rPr>
          <w:spacing w:val="-1"/>
          <w:w w:val="105"/>
          <w:sz w:val="14"/>
        </w:rPr>
        <w:t xml:space="preserve"> </w:t>
      </w:r>
      <w:r>
        <w:rPr>
          <w:w w:val="105"/>
          <w:sz w:val="14"/>
        </w:rPr>
        <w:t>consulta en todos los asuntos de relevancia para la comunidad.</w:t>
      </w:r>
    </w:p>
    <w:p w14:paraId="6DACFD6E" w14:textId="77777777" w:rsidR="0014798C" w:rsidRDefault="0014798C">
      <w:pPr>
        <w:pStyle w:val="Textoindependiente"/>
        <w:spacing w:before="10"/>
        <w:rPr>
          <w:sz w:val="14"/>
        </w:rPr>
      </w:pPr>
    </w:p>
    <w:p w14:paraId="2083464C" w14:textId="77777777" w:rsidR="0014798C" w:rsidRDefault="004E1F0B">
      <w:pPr>
        <w:spacing w:line="372" w:lineRule="auto"/>
        <w:ind w:left="1107" w:right="1272" w:hanging="4"/>
        <w:rPr>
          <w:sz w:val="14"/>
        </w:rPr>
      </w:pPr>
      <w:r>
        <w:rPr>
          <w:w w:val="105"/>
          <w:sz w:val="14"/>
        </w:rPr>
        <w:t>Si bien el derecho a la no discriminación es fundamental para el disfrute de los derechos de las minorías, la realización de estos derechos también requiere una serie de medidas legislativas, políticas y prácticas específicas, que los Estados deben adoptar en paralelo con la promulgación de legislación integral contra la discriminación. Ciertos grupos –en particular los pueblos indígenas– disfrutan de derechos explícitos</w:t>
      </w:r>
      <w:r>
        <w:rPr>
          <w:spacing w:val="-1"/>
          <w:w w:val="105"/>
          <w:sz w:val="14"/>
        </w:rPr>
        <w:t xml:space="preserve"> </w:t>
      </w:r>
      <w:r>
        <w:rPr>
          <w:w w:val="105"/>
          <w:sz w:val="14"/>
        </w:rPr>
        <w:t>en</w:t>
      </w:r>
      <w:r>
        <w:rPr>
          <w:spacing w:val="-1"/>
          <w:w w:val="105"/>
          <w:sz w:val="14"/>
        </w:rPr>
        <w:t xml:space="preserve"> </w:t>
      </w:r>
      <w:r>
        <w:rPr>
          <w:w w:val="105"/>
          <w:sz w:val="14"/>
        </w:rPr>
        <w:t>virtud</w:t>
      </w:r>
      <w:r>
        <w:rPr>
          <w:spacing w:val="-1"/>
          <w:w w:val="105"/>
          <w:sz w:val="14"/>
        </w:rPr>
        <w:t xml:space="preserve"> </w:t>
      </w:r>
      <w:r>
        <w:rPr>
          <w:w w:val="105"/>
          <w:sz w:val="14"/>
        </w:rPr>
        <w:t>del</w:t>
      </w:r>
      <w:r>
        <w:rPr>
          <w:spacing w:val="-1"/>
          <w:w w:val="105"/>
          <w:sz w:val="14"/>
        </w:rPr>
        <w:t xml:space="preserve"> </w:t>
      </w:r>
      <w:r>
        <w:rPr>
          <w:w w:val="105"/>
          <w:sz w:val="14"/>
        </w:rPr>
        <w:t>derecho internacional</w:t>
      </w:r>
      <w:r>
        <w:rPr>
          <w:spacing w:val="-1"/>
          <w:w w:val="105"/>
          <w:sz w:val="14"/>
        </w:rPr>
        <w:t xml:space="preserve"> </w:t>
      </w:r>
      <w:r>
        <w:rPr>
          <w:w w:val="105"/>
          <w:sz w:val="14"/>
        </w:rPr>
        <w:t>de</w:t>
      </w:r>
      <w:r>
        <w:rPr>
          <w:spacing w:val="-1"/>
          <w:w w:val="105"/>
          <w:sz w:val="14"/>
        </w:rPr>
        <w:t xml:space="preserve"> </w:t>
      </w:r>
      <w:r>
        <w:rPr>
          <w:w w:val="105"/>
          <w:sz w:val="14"/>
        </w:rPr>
        <w:t>derechos</w:t>
      </w:r>
      <w:r>
        <w:rPr>
          <w:spacing w:val="-1"/>
          <w:w w:val="105"/>
          <w:sz w:val="14"/>
        </w:rPr>
        <w:t xml:space="preserve"> </w:t>
      </w:r>
      <w:r>
        <w:rPr>
          <w:w w:val="105"/>
          <w:sz w:val="14"/>
        </w:rPr>
        <w:t>humanos</w:t>
      </w:r>
      <w:r>
        <w:rPr>
          <w:spacing w:val="-1"/>
          <w:w w:val="105"/>
          <w:sz w:val="14"/>
        </w:rPr>
        <w:t xml:space="preserve"> </w:t>
      </w:r>
      <w:r>
        <w:rPr>
          <w:w w:val="105"/>
          <w:sz w:val="14"/>
        </w:rPr>
        <w:t>que</w:t>
      </w:r>
      <w:r>
        <w:rPr>
          <w:spacing w:val="-1"/>
          <w:w w:val="105"/>
          <w:sz w:val="14"/>
        </w:rPr>
        <w:t xml:space="preserve"> </w:t>
      </w:r>
      <w:r>
        <w:rPr>
          <w:w w:val="105"/>
          <w:sz w:val="14"/>
        </w:rPr>
        <w:t>van</w:t>
      </w:r>
      <w:r>
        <w:rPr>
          <w:spacing w:val="-1"/>
          <w:w w:val="105"/>
          <w:sz w:val="14"/>
        </w:rPr>
        <w:t xml:space="preserve"> </w:t>
      </w:r>
      <w:r>
        <w:rPr>
          <w:w w:val="105"/>
          <w:sz w:val="14"/>
        </w:rPr>
        <w:t>más</w:t>
      </w:r>
      <w:r>
        <w:rPr>
          <w:spacing w:val="-1"/>
          <w:w w:val="105"/>
          <w:sz w:val="14"/>
        </w:rPr>
        <w:t xml:space="preserve"> </w:t>
      </w:r>
      <w:r>
        <w:rPr>
          <w:w w:val="105"/>
          <w:sz w:val="14"/>
        </w:rPr>
        <w:t>allá</w:t>
      </w:r>
      <w:r>
        <w:rPr>
          <w:spacing w:val="-1"/>
          <w:w w:val="105"/>
          <w:sz w:val="14"/>
        </w:rPr>
        <w:t xml:space="preserve"> </w:t>
      </w:r>
      <w:r>
        <w:rPr>
          <w:w w:val="105"/>
          <w:sz w:val="14"/>
        </w:rPr>
        <w:t>de</w:t>
      </w:r>
      <w:r>
        <w:rPr>
          <w:spacing w:val="-1"/>
          <w:w w:val="105"/>
          <w:sz w:val="14"/>
        </w:rPr>
        <w:t xml:space="preserve"> </w:t>
      </w:r>
      <w:r>
        <w:rPr>
          <w:w w:val="105"/>
          <w:sz w:val="14"/>
        </w:rPr>
        <w:t>los</w:t>
      </w:r>
      <w:r>
        <w:rPr>
          <w:spacing w:val="-1"/>
          <w:w w:val="105"/>
          <w:sz w:val="14"/>
        </w:rPr>
        <w:t xml:space="preserve"> </w:t>
      </w:r>
      <w:r>
        <w:rPr>
          <w:w w:val="105"/>
          <w:sz w:val="14"/>
        </w:rPr>
        <w:t>establecidos</w:t>
      </w:r>
      <w:r>
        <w:rPr>
          <w:spacing w:val="-1"/>
          <w:w w:val="105"/>
          <w:sz w:val="14"/>
        </w:rPr>
        <w:t xml:space="preserve"> </w:t>
      </w:r>
      <w:r>
        <w:rPr>
          <w:w w:val="105"/>
          <w:sz w:val="14"/>
        </w:rPr>
        <w:t>como requisitos</w:t>
      </w:r>
      <w:r>
        <w:rPr>
          <w:spacing w:val="-1"/>
          <w:w w:val="105"/>
          <w:sz w:val="14"/>
        </w:rPr>
        <w:t xml:space="preserve"> </w:t>
      </w:r>
      <w:r>
        <w:rPr>
          <w:w w:val="105"/>
          <w:sz w:val="14"/>
        </w:rPr>
        <w:t>básicos</w:t>
      </w:r>
      <w:r>
        <w:rPr>
          <w:spacing w:val="-1"/>
          <w:w w:val="105"/>
          <w:sz w:val="14"/>
        </w:rPr>
        <w:t xml:space="preserve"> </w:t>
      </w:r>
      <w:r>
        <w:rPr>
          <w:w w:val="105"/>
          <w:sz w:val="14"/>
        </w:rPr>
        <w:t>para</w:t>
      </w:r>
      <w:r>
        <w:rPr>
          <w:spacing w:val="-1"/>
          <w:w w:val="105"/>
          <w:sz w:val="14"/>
        </w:rPr>
        <w:t xml:space="preserve"> </w:t>
      </w:r>
      <w:r>
        <w:rPr>
          <w:w w:val="105"/>
          <w:sz w:val="14"/>
        </w:rPr>
        <w:t xml:space="preserve">las </w:t>
      </w:r>
      <w:r>
        <w:rPr>
          <w:spacing w:val="-2"/>
          <w:w w:val="105"/>
          <w:sz w:val="14"/>
        </w:rPr>
        <w:t>minorías.</w:t>
      </w:r>
    </w:p>
    <w:p w14:paraId="672C8349" w14:textId="77777777" w:rsidR="0014798C" w:rsidRDefault="0014798C">
      <w:pPr>
        <w:pStyle w:val="Textoindependiente"/>
        <w:spacing w:before="83"/>
        <w:rPr>
          <w:sz w:val="21"/>
        </w:rPr>
      </w:pPr>
    </w:p>
    <w:p w14:paraId="31B571C5" w14:textId="77777777" w:rsidR="0014798C" w:rsidRDefault="004E1F0B">
      <w:pPr>
        <w:numPr>
          <w:ilvl w:val="0"/>
          <w:numId w:val="97"/>
        </w:numPr>
        <w:tabs>
          <w:tab w:val="left" w:pos="1299"/>
        </w:tabs>
        <w:ind w:left="1299" w:hanging="179"/>
        <w:rPr>
          <w:color w:val="0075BF"/>
          <w:sz w:val="21"/>
        </w:rPr>
      </w:pPr>
      <w:r>
        <w:rPr>
          <w:color w:val="0075BF"/>
          <w:spacing w:val="-2"/>
          <w:w w:val="105"/>
          <w:sz w:val="21"/>
        </w:rPr>
        <w:t>Violencia</w:t>
      </w:r>
      <w:r>
        <w:rPr>
          <w:color w:val="0075BF"/>
          <w:spacing w:val="-6"/>
          <w:w w:val="105"/>
          <w:sz w:val="21"/>
        </w:rPr>
        <w:t xml:space="preserve"> </w:t>
      </w:r>
      <w:r>
        <w:rPr>
          <w:color w:val="0075BF"/>
          <w:spacing w:val="-2"/>
          <w:w w:val="105"/>
          <w:sz w:val="21"/>
        </w:rPr>
        <w:t>discriminatoria</w:t>
      </w:r>
      <w:r>
        <w:rPr>
          <w:color w:val="0075BF"/>
          <w:spacing w:val="-6"/>
          <w:w w:val="105"/>
          <w:sz w:val="21"/>
        </w:rPr>
        <w:t xml:space="preserve"> </w:t>
      </w:r>
      <w:r>
        <w:rPr>
          <w:color w:val="0075BF"/>
          <w:spacing w:val="-2"/>
          <w:w w:val="105"/>
          <w:sz w:val="21"/>
        </w:rPr>
        <w:t>y</w:t>
      </w:r>
      <w:r>
        <w:rPr>
          <w:color w:val="0075BF"/>
          <w:spacing w:val="-5"/>
          <w:w w:val="105"/>
          <w:sz w:val="21"/>
        </w:rPr>
        <w:t xml:space="preserve"> </w:t>
      </w:r>
      <w:r>
        <w:rPr>
          <w:color w:val="0075BF"/>
          <w:spacing w:val="-2"/>
          <w:w w:val="105"/>
          <w:sz w:val="21"/>
        </w:rPr>
        <w:t>delitos</w:t>
      </w:r>
      <w:r>
        <w:rPr>
          <w:color w:val="0075BF"/>
          <w:spacing w:val="-6"/>
          <w:w w:val="105"/>
          <w:sz w:val="21"/>
        </w:rPr>
        <w:t xml:space="preserve"> </w:t>
      </w:r>
      <w:r>
        <w:rPr>
          <w:color w:val="0075BF"/>
          <w:spacing w:val="-2"/>
          <w:w w:val="105"/>
          <w:sz w:val="21"/>
        </w:rPr>
        <w:t>de</w:t>
      </w:r>
      <w:r>
        <w:rPr>
          <w:color w:val="0075BF"/>
          <w:spacing w:val="-5"/>
          <w:w w:val="105"/>
          <w:sz w:val="21"/>
        </w:rPr>
        <w:t xml:space="preserve"> </w:t>
      </w:r>
      <w:r>
        <w:rPr>
          <w:color w:val="0075BF"/>
          <w:spacing w:val="-4"/>
          <w:w w:val="105"/>
          <w:sz w:val="21"/>
        </w:rPr>
        <w:t>odio</w:t>
      </w:r>
    </w:p>
    <w:p w14:paraId="18DA5BC6" w14:textId="77777777" w:rsidR="0014798C" w:rsidRDefault="0014798C">
      <w:pPr>
        <w:pStyle w:val="Textoindependiente"/>
        <w:spacing w:before="127"/>
        <w:rPr>
          <w:sz w:val="14"/>
        </w:rPr>
      </w:pPr>
    </w:p>
    <w:p w14:paraId="0BFF802B" w14:textId="77777777" w:rsidR="0014798C" w:rsidRDefault="004E1F0B">
      <w:pPr>
        <w:spacing w:line="372" w:lineRule="auto"/>
        <w:ind w:left="1108" w:right="1272" w:hanging="2"/>
        <w:rPr>
          <w:sz w:val="14"/>
        </w:rPr>
      </w:pPr>
      <w:r>
        <w:rPr>
          <w:w w:val="105"/>
          <w:sz w:val="14"/>
        </w:rPr>
        <w:t>Para</w:t>
      </w:r>
      <w:r>
        <w:rPr>
          <w:spacing w:val="-1"/>
          <w:w w:val="105"/>
          <w:sz w:val="14"/>
        </w:rPr>
        <w:t xml:space="preserve"> </w:t>
      </w:r>
      <w:r>
        <w:rPr>
          <w:w w:val="105"/>
          <w:sz w:val="14"/>
        </w:rPr>
        <w:t>cumplir</w:t>
      </w:r>
      <w:r>
        <w:rPr>
          <w:spacing w:val="-1"/>
          <w:w w:val="105"/>
          <w:sz w:val="14"/>
        </w:rPr>
        <w:t xml:space="preserve"> </w:t>
      </w:r>
      <w:r>
        <w:rPr>
          <w:w w:val="105"/>
          <w:sz w:val="14"/>
        </w:rPr>
        <w:t>con</w:t>
      </w:r>
      <w:r>
        <w:rPr>
          <w:spacing w:val="-1"/>
          <w:w w:val="105"/>
          <w:sz w:val="14"/>
        </w:rPr>
        <w:t xml:space="preserve"> </w:t>
      </w:r>
      <w:r>
        <w:rPr>
          <w:w w:val="105"/>
          <w:sz w:val="14"/>
        </w:rPr>
        <w:t>sus</w:t>
      </w:r>
      <w:r>
        <w:rPr>
          <w:spacing w:val="-1"/>
          <w:w w:val="105"/>
          <w:sz w:val="14"/>
        </w:rPr>
        <w:t xml:space="preserve"> </w:t>
      </w:r>
      <w:r>
        <w:rPr>
          <w:w w:val="105"/>
          <w:sz w:val="14"/>
        </w:rPr>
        <w:t>compromisos</w:t>
      </w:r>
      <w:r>
        <w:rPr>
          <w:spacing w:val="-1"/>
          <w:w w:val="105"/>
          <w:sz w:val="14"/>
        </w:rPr>
        <w:t xml:space="preserve"> </w:t>
      </w:r>
      <w:r>
        <w:rPr>
          <w:w w:val="105"/>
          <w:sz w:val="14"/>
        </w:rPr>
        <w:t>y</w:t>
      </w:r>
      <w:r>
        <w:rPr>
          <w:spacing w:val="-1"/>
          <w:w w:val="105"/>
          <w:sz w:val="14"/>
        </w:rPr>
        <w:t xml:space="preserve"> </w:t>
      </w:r>
      <w:r>
        <w:rPr>
          <w:w w:val="105"/>
          <w:sz w:val="14"/>
        </w:rPr>
        <w:t>obligaciones</w:t>
      </w:r>
      <w:r>
        <w:rPr>
          <w:spacing w:val="-1"/>
          <w:w w:val="105"/>
          <w:sz w:val="14"/>
        </w:rPr>
        <w:t xml:space="preserve"> </w:t>
      </w:r>
      <w:r>
        <w:rPr>
          <w:w w:val="105"/>
          <w:sz w:val="14"/>
        </w:rPr>
        <w:t>de</w:t>
      </w:r>
      <w:r>
        <w:rPr>
          <w:spacing w:val="-1"/>
          <w:w w:val="105"/>
          <w:sz w:val="14"/>
        </w:rPr>
        <w:t xml:space="preserve"> </w:t>
      </w:r>
      <w:r>
        <w:rPr>
          <w:w w:val="105"/>
          <w:sz w:val="14"/>
        </w:rPr>
        <w:t>derecho internacional</w:t>
      </w:r>
      <w:r>
        <w:rPr>
          <w:spacing w:val="-1"/>
          <w:w w:val="105"/>
          <w:sz w:val="14"/>
        </w:rPr>
        <w:t xml:space="preserve"> </w:t>
      </w:r>
      <w:r>
        <w:rPr>
          <w:w w:val="105"/>
          <w:sz w:val="14"/>
        </w:rPr>
        <w:t>de</w:t>
      </w:r>
      <w:r>
        <w:rPr>
          <w:spacing w:val="-1"/>
          <w:w w:val="105"/>
          <w:sz w:val="14"/>
        </w:rPr>
        <w:t xml:space="preserve"> </w:t>
      </w:r>
      <w:r>
        <w:rPr>
          <w:w w:val="105"/>
          <w:sz w:val="14"/>
        </w:rPr>
        <w:t>eliminar</w:t>
      </w:r>
      <w:r>
        <w:rPr>
          <w:spacing w:val="-1"/>
          <w:w w:val="105"/>
          <w:sz w:val="14"/>
        </w:rPr>
        <w:t xml:space="preserve"> </w:t>
      </w:r>
      <w:r>
        <w:rPr>
          <w:w w:val="105"/>
          <w:sz w:val="14"/>
        </w:rPr>
        <w:t>todas</w:t>
      </w:r>
      <w:r>
        <w:rPr>
          <w:spacing w:val="-1"/>
          <w:w w:val="105"/>
          <w:sz w:val="14"/>
        </w:rPr>
        <w:t xml:space="preserve"> </w:t>
      </w:r>
      <w:r>
        <w:rPr>
          <w:w w:val="105"/>
          <w:sz w:val="14"/>
        </w:rPr>
        <w:t>las</w:t>
      </w:r>
      <w:r>
        <w:rPr>
          <w:spacing w:val="-1"/>
          <w:w w:val="105"/>
          <w:sz w:val="14"/>
        </w:rPr>
        <w:t xml:space="preserve"> </w:t>
      </w:r>
      <w:r>
        <w:rPr>
          <w:w w:val="105"/>
          <w:sz w:val="14"/>
        </w:rPr>
        <w:t>formas</w:t>
      </w:r>
      <w:r>
        <w:rPr>
          <w:spacing w:val="-1"/>
          <w:w w:val="105"/>
          <w:sz w:val="14"/>
        </w:rPr>
        <w:t xml:space="preserve"> </w:t>
      </w:r>
      <w:r>
        <w:rPr>
          <w:w w:val="105"/>
          <w:sz w:val="14"/>
        </w:rPr>
        <w:t>de</w:t>
      </w:r>
      <w:r>
        <w:rPr>
          <w:spacing w:val="-1"/>
          <w:w w:val="105"/>
          <w:sz w:val="14"/>
        </w:rPr>
        <w:t xml:space="preserve"> </w:t>
      </w:r>
      <w:r>
        <w:rPr>
          <w:w w:val="105"/>
          <w:sz w:val="14"/>
        </w:rPr>
        <w:t>discriminación, los</w:t>
      </w:r>
      <w:r>
        <w:rPr>
          <w:spacing w:val="-1"/>
          <w:w w:val="105"/>
          <w:sz w:val="14"/>
        </w:rPr>
        <w:t xml:space="preserve"> </w:t>
      </w:r>
      <w:r>
        <w:rPr>
          <w:w w:val="105"/>
          <w:sz w:val="14"/>
        </w:rPr>
        <w:t>Estados</w:t>
      </w:r>
      <w:r>
        <w:rPr>
          <w:spacing w:val="-1"/>
          <w:w w:val="105"/>
          <w:sz w:val="14"/>
        </w:rPr>
        <w:t xml:space="preserve"> </w:t>
      </w:r>
      <w:r>
        <w:rPr>
          <w:w w:val="105"/>
          <w:sz w:val="14"/>
        </w:rPr>
        <w:t>deben tipificar como delito la violencia discriminatoria y otros actos motivados por prejuicios que sean de naturaleza criminal. Los Estados deben</w:t>
      </w:r>
    </w:p>
    <w:p w14:paraId="63E49ECD" w14:textId="77777777" w:rsidR="0014798C" w:rsidRDefault="004E1F0B">
      <w:pPr>
        <w:spacing w:line="309" w:lineRule="auto"/>
        <w:ind w:left="1111" w:right="1272" w:hanging="2"/>
        <w:rPr>
          <w:sz w:val="14"/>
        </w:rPr>
      </w:pPr>
      <w:r>
        <w:rPr>
          <w:w w:val="105"/>
          <w:sz w:val="14"/>
        </w:rPr>
        <w:t>garantizar</w:t>
      </w:r>
      <w:r>
        <w:rPr>
          <w:spacing w:val="-1"/>
          <w:w w:val="105"/>
          <w:sz w:val="14"/>
        </w:rPr>
        <w:t xml:space="preserve"> </w:t>
      </w:r>
      <w:r>
        <w:rPr>
          <w:w w:val="105"/>
          <w:sz w:val="14"/>
        </w:rPr>
        <w:t>que</w:t>
      </w:r>
      <w:r>
        <w:rPr>
          <w:spacing w:val="-1"/>
          <w:w w:val="105"/>
          <w:sz w:val="14"/>
        </w:rPr>
        <w:t xml:space="preserve"> </w:t>
      </w:r>
      <w:r>
        <w:rPr>
          <w:w w:val="105"/>
          <w:sz w:val="14"/>
        </w:rPr>
        <w:t>el</w:t>
      </w:r>
      <w:r>
        <w:rPr>
          <w:spacing w:val="-1"/>
          <w:w w:val="105"/>
          <w:sz w:val="14"/>
        </w:rPr>
        <w:t xml:space="preserve"> </w:t>
      </w:r>
      <w:r>
        <w:rPr>
          <w:w w:val="105"/>
          <w:sz w:val="14"/>
        </w:rPr>
        <w:t>derecho penal</w:t>
      </w:r>
      <w:r>
        <w:rPr>
          <w:spacing w:val="-1"/>
          <w:w w:val="105"/>
          <w:sz w:val="14"/>
        </w:rPr>
        <w:t xml:space="preserve"> </w:t>
      </w:r>
      <w:r>
        <w:rPr>
          <w:w w:val="105"/>
          <w:sz w:val="14"/>
        </w:rPr>
        <w:t>reconozca explícitamente</w:t>
      </w:r>
      <w:r>
        <w:rPr>
          <w:spacing w:val="-1"/>
          <w:w w:val="105"/>
          <w:sz w:val="14"/>
        </w:rPr>
        <w:t xml:space="preserve"> </w:t>
      </w:r>
      <w:r>
        <w:rPr>
          <w:w w:val="105"/>
          <w:sz w:val="14"/>
        </w:rPr>
        <w:t>y</w:t>
      </w:r>
      <w:r>
        <w:rPr>
          <w:spacing w:val="-1"/>
          <w:w w:val="105"/>
          <w:sz w:val="14"/>
        </w:rPr>
        <w:t xml:space="preserve"> </w:t>
      </w:r>
      <w:r>
        <w:rPr>
          <w:w w:val="105"/>
          <w:sz w:val="14"/>
        </w:rPr>
        <w:t>penalice</w:t>
      </w:r>
      <w:r>
        <w:rPr>
          <w:spacing w:val="-1"/>
          <w:w w:val="105"/>
          <w:sz w:val="14"/>
        </w:rPr>
        <w:t xml:space="preserve"> </w:t>
      </w:r>
      <w:r>
        <w:rPr>
          <w:w w:val="105"/>
          <w:sz w:val="14"/>
        </w:rPr>
        <w:t>específicamente</w:t>
      </w:r>
      <w:r>
        <w:rPr>
          <w:spacing w:val="-1"/>
          <w:w w:val="105"/>
          <w:sz w:val="14"/>
        </w:rPr>
        <w:t xml:space="preserve"> </w:t>
      </w:r>
      <w:r>
        <w:rPr>
          <w:w w:val="105"/>
          <w:sz w:val="14"/>
        </w:rPr>
        <w:t>los</w:t>
      </w:r>
      <w:r>
        <w:rPr>
          <w:spacing w:val="-1"/>
          <w:w w:val="105"/>
          <w:sz w:val="14"/>
        </w:rPr>
        <w:t xml:space="preserve"> </w:t>
      </w:r>
      <w:r>
        <w:rPr>
          <w:w w:val="105"/>
          <w:sz w:val="14"/>
        </w:rPr>
        <w:t>motivos</w:t>
      </w:r>
      <w:r>
        <w:rPr>
          <w:spacing w:val="-1"/>
          <w:w w:val="105"/>
          <w:sz w:val="14"/>
        </w:rPr>
        <w:t xml:space="preserve"> </w:t>
      </w:r>
      <w:r>
        <w:rPr>
          <w:w w:val="105"/>
          <w:sz w:val="14"/>
        </w:rPr>
        <w:t>de</w:t>
      </w:r>
      <w:r>
        <w:rPr>
          <w:spacing w:val="-1"/>
          <w:w w:val="105"/>
          <w:sz w:val="14"/>
        </w:rPr>
        <w:t xml:space="preserve"> </w:t>
      </w:r>
      <w:r>
        <w:rPr>
          <w:w w:val="105"/>
          <w:sz w:val="14"/>
        </w:rPr>
        <w:t>parcialidad</w:t>
      </w:r>
      <w:r>
        <w:rPr>
          <w:spacing w:val="-1"/>
          <w:w w:val="105"/>
          <w:sz w:val="14"/>
        </w:rPr>
        <w:t xml:space="preserve"> </w:t>
      </w:r>
      <w:r>
        <w:rPr>
          <w:w w:val="105"/>
          <w:sz w:val="14"/>
        </w:rPr>
        <w:t>en</w:t>
      </w:r>
      <w:r>
        <w:rPr>
          <w:spacing w:val="-1"/>
          <w:w w:val="105"/>
          <w:sz w:val="14"/>
        </w:rPr>
        <w:t xml:space="preserve"> </w:t>
      </w:r>
      <w:r>
        <w:rPr>
          <w:w w:val="105"/>
          <w:sz w:val="14"/>
        </w:rPr>
        <w:t>situaciones</w:t>
      </w:r>
      <w:r>
        <w:rPr>
          <w:spacing w:val="-1"/>
          <w:w w:val="105"/>
          <w:sz w:val="14"/>
        </w:rPr>
        <w:t xml:space="preserve"> </w:t>
      </w:r>
      <w:r>
        <w:rPr>
          <w:w w:val="105"/>
          <w:sz w:val="14"/>
        </w:rPr>
        <w:t>en</w:t>
      </w:r>
      <w:r>
        <w:rPr>
          <w:spacing w:val="-1"/>
          <w:w w:val="105"/>
          <w:sz w:val="14"/>
        </w:rPr>
        <w:t xml:space="preserve"> </w:t>
      </w:r>
      <w:r>
        <w:rPr>
          <w:w w:val="105"/>
          <w:sz w:val="14"/>
        </w:rPr>
        <w:t>las</w:t>
      </w:r>
      <w:r>
        <w:rPr>
          <w:spacing w:val="-1"/>
          <w:w w:val="105"/>
          <w:sz w:val="14"/>
        </w:rPr>
        <w:t xml:space="preserve"> </w:t>
      </w:r>
      <w:r>
        <w:rPr>
          <w:w w:val="105"/>
          <w:sz w:val="14"/>
        </w:rPr>
        <w:t>que</w:t>
      </w:r>
      <w:r>
        <w:rPr>
          <w:spacing w:val="-1"/>
          <w:w w:val="105"/>
          <w:sz w:val="14"/>
        </w:rPr>
        <w:t xml:space="preserve"> </w:t>
      </w:r>
      <w:r>
        <w:rPr>
          <w:w w:val="105"/>
          <w:sz w:val="14"/>
        </w:rPr>
        <w:t>se hayan cometido actos violentos u otros actos delictivos o delitos menores por motivos relacionados con un motivo de discriminación.</w:t>
      </w:r>
    </w:p>
    <w:p w14:paraId="54AD0C9E" w14:textId="77777777" w:rsidR="0014798C" w:rsidRDefault="0014798C">
      <w:pPr>
        <w:pStyle w:val="Textoindependiente"/>
        <w:rPr>
          <w:sz w:val="14"/>
        </w:rPr>
      </w:pPr>
    </w:p>
    <w:p w14:paraId="0DC9E3B1" w14:textId="77777777" w:rsidR="0014798C" w:rsidRDefault="0014798C">
      <w:pPr>
        <w:pStyle w:val="Textoindependiente"/>
        <w:rPr>
          <w:sz w:val="14"/>
        </w:rPr>
      </w:pPr>
    </w:p>
    <w:p w14:paraId="1530AC0F" w14:textId="77777777" w:rsidR="0014798C" w:rsidRDefault="0014798C">
      <w:pPr>
        <w:pStyle w:val="Textoindependiente"/>
        <w:spacing w:before="21"/>
        <w:rPr>
          <w:sz w:val="14"/>
        </w:rPr>
      </w:pPr>
    </w:p>
    <w:p w14:paraId="07457C1E" w14:textId="77777777" w:rsidR="0014798C" w:rsidRDefault="004E1F0B">
      <w:pPr>
        <w:spacing w:line="372" w:lineRule="auto"/>
        <w:ind w:left="1108" w:right="1166" w:firstLine="6"/>
        <w:rPr>
          <w:sz w:val="14"/>
        </w:rPr>
      </w:pPr>
      <w:r>
        <w:rPr>
          <w:w w:val="105"/>
          <w:sz w:val="14"/>
        </w:rPr>
        <w:t>El derecho penal y de delitos menores debe prever el reconocimiento de un motivo parcial para cualquier delito motivado por cualquier motivo reconocido en el derecho internacional. Este reconocimiento puede hacerse designando disposiciones de derecho penal específicas relacionadas con la violencia discriminatoria o los delitos de odio o agregando disposiciones calificadas sobre motivos de prejuicio a las disposiciones</w:t>
      </w:r>
      <w:r>
        <w:rPr>
          <w:spacing w:val="-1"/>
          <w:w w:val="105"/>
          <w:sz w:val="14"/>
        </w:rPr>
        <w:t xml:space="preserve"> </w:t>
      </w:r>
      <w:r>
        <w:rPr>
          <w:w w:val="105"/>
          <w:sz w:val="14"/>
        </w:rPr>
        <w:t>de</w:t>
      </w:r>
      <w:r>
        <w:rPr>
          <w:spacing w:val="-1"/>
          <w:w w:val="105"/>
          <w:sz w:val="14"/>
        </w:rPr>
        <w:t xml:space="preserve"> </w:t>
      </w:r>
      <w:r>
        <w:rPr>
          <w:w w:val="105"/>
          <w:sz w:val="14"/>
        </w:rPr>
        <w:t>derecho penal</w:t>
      </w:r>
      <w:r>
        <w:rPr>
          <w:spacing w:val="-1"/>
          <w:w w:val="105"/>
          <w:sz w:val="14"/>
        </w:rPr>
        <w:t xml:space="preserve"> </w:t>
      </w:r>
      <w:r>
        <w:rPr>
          <w:w w:val="105"/>
          <w:sz w:val="14"/>
        </w:rPr>
        <w:t>relacionadas</w:t>
      </w:r>
      <w:r>
        <w:rPr>
          <w:spacing w:val="-1"/>
          <w:w w:val="105"/>
          <w:sz w:val="14"/>
        </w:rPr>
        <w:t xml:space="preserve"> </w:t>
      </w:r>
      <w:r>
        <w:rPr>
          <w:w w:val="105"/>
          <w:sz w:val="14"/>
        </w:rPr>
        <w:t>con</w:t>
      </w:r>
      <w:r>
        <w:rPr>
          <w:spacing w:val="-1"/>
          <w:w w:val="105"/>
          <w:sz w:val="14"/>
        </w:rPr>
        <w:t xml:space="preserve"> </w:t>
      </w:r>
      <w:r>
        <w:rPr>
          <w:w w:val="105"/>
          <w:sz w:val="14"/>
        </w:rPr>
        <w:t>actos</w:t>
      </w:r>
      <w:r>
        <w:rPr>
          <w:spacing w:val="-1"/>
          <w:w w:val="105"/>
          <w:sz w:val="14"/>
        </w:rPr>
        <w:t xml:space="preserve"> </w:t>
      </w:r>
      <w:r>
        <w:rPr>
          <w:w w:val="105"/>
          <w:sz w:val="14"/>
        </w:rPr>
        <w:t>delictivos</w:t>
      </w:r>
      <w:r>
        <w:rPr>
          <w:spacing w:val="-1"/>
          <w:w w:val="105"/>
          <w:sz w:val="14"/>
        </w:rPr>
        <w:t xml:space="preserve"> </w:t>
      </w:r>
      <w:r>
        <w:rPr>
          <w:w w:val="105"/>
          <w:sz w:val="14"/>
        </w:rPr>
        <w:t>existentes. Si</w:t>
      </w:r>
      <w:r>
        <w:rPr>
          <w:spacing w:val="-1"/>
          <w:w w:val="105"/>
          <w:sz w:val="14"/>
        </w:rPr>
        <w:t xml:space="preserve"> </w:t>
      </w:r>
      <w:r>
        <w:rPr>
          <w:w w:val="105"/>
          <w:sz w:val="14"/>
        </w:rPr>
        <w:t>se</w:t>
      </w:r>
      <w:r>
        <w:rPr>
          <w:spacing w:val="-1"/>
          <w:w w:val="105"/>
          <w:sz w:val="14"/>
        </w:rPr>
        <w:t xml:space="preserve"> </w:t>
      </w:r>
      <w:r>
        <w:rPr>
          <w:w w:val="105"/>
          <w:sz w:val="14"/>
        </w:rPr>
        <w:t>adopta</w:t>
      </w:r>
      <w:r>
        <w:rPr>
          <w:spacing w:val="-1"/>
          <w:w w:val="105"/>
          <w:sz w:val="14"/>
        </w:rPr>
        <w:t xml:space="preserve"> </w:t>
      </w:r>
      <w:r>
        <w:rPr>
          <w:w w:val="105"/>
          <w:sz w:val="14"/>
        </w:rPr>
        <w:t>este</w:t>
      </w:r>
      <w:r>
        <w:rPr>
          <w:spacing w:val="-1"/>
          <w:w w:val="105"/>
          <w:sz w:val="14"/>
        </w:rPr>
        <w:t xml:space="preserve"> </w:t>
      </w:r>
      <w:r>
        <w:rPr>
          <w:w w:val="105"/>
          <w:sz w:val="14"/>
        </w:rPr>
        <w:t>último</w:t>
      </w:r>
      <w:r>
        <w:rPr>
          <w:spacing w:val="-1"/>
          <w:w w:val="105"/>
          <w:sz w:val="14"/>
        </w:rPr>
        <w:t xml:space="preserve"> </w:t>
      </w:r>
      <w:r>
        <w:rPr>
          <w:w w:val="105"/>
          <w:sz w:val="14"/>
        </w:rPr>
        <w:t>enfoque, es</w:t>
      </w:r>
      <w:r>
        <w:rPr>
          <w:spacing w:val="-1"/>
          <w:w w:val="105"/>
          <w:sz w:val="14"/>
        </w:rPr>
        <w:t xml:space="preserve"> </w:t>
      </w:r>
      <w:r>
        <w:rPr>
          <w:w w:val="105"/>
          <w:sz w:val="14"/>
        </w:rPr>
        <w:t>importante</w:t>
      </w:r>
      <w:r>
        <w:rPr>
          <w:spacing w:val="-1"/>
          <w:w w:val="105"/>
          <w:sz w:val="14"/>
        </w:rPr>
        <w:t xml:space="preserve"> </w:t>
      </w:r>
      <w:r>
        <w:rPr>
          <w:w w:val="105"/>
          <w:sz w:val="14"/>
        </w:rPr>
        <w:t>que</w:t>
      </w:r>
      <w:r>
        <w:rPr>
          <w:spacing w:val="-1"/>
          <w:w w:val="105"/>
          <w:sz w:val="14"/>
        </w:rPr>
        <w:t xml:space="preserve"> </w:t>
      </w:r>
      <w:r>
        <w:rPr>
          <w:w w:val="105"/>
          <w:sz w:val="14"/>
        </w:rPr>
        <w:t>se</w:t>
      </w:r>
      <w:r>
        <w:rPr>
          <w:spacing w:val="-1"/>
          <w:w w:val="105"/>
          <w:sz w:val="14"/>
        </w:rPr>
        <w:t xml:space="preserve"> </w:t>
      </w:r>
      <w:r>
        <w:rPr>
          <w:w w:val="105"/>
          <w:sz w:val="14"/>
        </w:rPr>
        <w:t>reconozca el motivo del prejuicio en relación con todos los posibles actos delictivos y delitos menores pertinentes.</w:t>
      </w:r>
    </w:p>
    <w:p w14:paraId="0FB73503" w14:textId="77777777" w:rsidR="0014798C" w:rsidRDefault="004E1F0B">
      <w:pPr>
        <w:spacing w:before="1"/>
        <w:ind w:left="1110"/>
        <w:rPr>
          <w:sz w:val="14"/>
        </w:rPr>
      </w:pPr>
      <w:r>
        <w:rPr>
          <w:w w:val="105"/>
          <w:sz w:val="14"/>
        </w:rPr>
        <w:t>El</w:t>
      </w:r>
      <w:r>
        <w:rPr>
          <w:spacing w:val="-5"/>
          <w:w w:val="105"/>
          <w:sz w:val="14"/>
        </w:rPr>
        <w:t xml:space="preserve"> </w:t>
      </w:r>
      <w:r>
        <w:rPr>
          <w:w w:val="105"/>
          <w:sz w:val="14"/>
        </w:rPr>
        <w:t>reconocimiento</w:t>
      </w:r>
      <w:r>
        <w:rPr>
          <w:spacing w:val="-4"/>
          <w:w w:val="105"/>
          <w:sz w:val="14"/>
        </w:rPr>
        <w:t xml:space="preserve"> </w:t>
      </w:r>
      <w:r>
        <w:rPr>
          <w:w w:val="105"/>
          <w:sz w:val="14"/>
        </w:rPr>
        <w:t>del</w:t>
      </w:r>
      <w:r>
        <w:rPr>
          <w:spacing w:val="-5"/>
          <w:w w:val="105"/>
          <w:sz w:val="14"/>
        </w:rPr>
        <w:t xml:space="preserve"> </w:t>
      </w:r>
      <w:r>
        <w:rPr>
          <w:w w:val="105"/>
          <w:sz w:val="14"/>
        </w:rPr>
        <w:t>sesgo</w:t>
      </w:r>
      <w:r>
        <w:rPr>
          <w:spacing w:val="-3"/>
          <w:w w:val="105"/>
          <w:sz w:val="14"/>
        </w:rPr>
        <w:t xml:space="preserve"> </w:t>
      </w:r>
      <w:r>
        <w:rPr>
          <w:w w:val="105"/>
          <w:sz w:val="14"/>
        </w:rPr>
        <w:t>motivado</w:t>
      </w:r>
      <w:r>
        <w:rPr>
          <w:spacing w:val="-4"/>
          <w:w w:val="105"/>
          <w:sz w:val="14"/>
        </w:rPr>
        <w:t xml:space="preserve"> </w:t>
      </w:r>
      <w:r>
        <w:rPr>
          <w:w w:val="105"/>
          <w:sz w:val="14"/>
        </w:rPr>
        <w:t>por</w:t>
      </w:r>
      <w:r>
        <w:rPr>
          <w:spacing w:val="-5"/>
          <w:w w:val="105"/>
          <w:sz w:val="14"/>
        </w:rPr>
        <w:t xml:space="preserve"> </w:t>
      </w:r>
      <w:r>
        <w:rPr>
          <w:w w:val="105"/>
          <w:sz w:val="14"/>
        </w:rPr>
        <w:t>el</w:t>
      </w:r>
      <w:r>
        <w:rPr>
          <w:spacing w:val="-4"/>
          <w:w w:val="105"/>
          <w:sz w:val="14"/>
        </w:rPr>
        <w:t xml:space="preserve"> </w:t>
      </w:r>
      <w:r>
        <w:rPr>
          <w:w w:val="105"/>
          <w:sz w:val="14"/>
        </w:rPr>
        <w:t>odio</w:t>
      </w:r>
      <w:r>
        <w:rPr>
          <w:spacing w:val="-4"/>
          <w:w w:val="105"/>
          <w:sz w:val="14"/>
        </w:rPr>
        <w:t xml:space="preserve"> </w:t>
      </w:r>
      <w:r>
        <w:rPr>
          <w:w w:val="105"/>
          <w:sz w:val="14"/>
        </w:rPr>
        <w:t>o</w:t>
      </w:r>
      <w:r>
        <w:rPr>
          <w:spacing w:val="-5"/>
          <w:w w:val="105"/>
          <w:sz w:val="14"/>
        </w:rPr>
        <w:t xml:space="preserve"> </w:t>
      </w:r>
      <w:r>
        <w:rPr>
          <w:w w:val="105"/>
          <w:sz w:val="14"/>
        </w:rPr>
        <w:t>la</w:t>
      </w:r>
      <w:r>
        <w:rPr>
          <w:spacing w:val="-4"/>
          <w:w w:val="105"/>
          <w:sz w:val="14"/>
        </w:rPr>
        <w:t xml:space="preserve"> </w:t>
      </w:r>
      <w:r>
        <w:rPr>
          <w:w w:val="105"/>
          <w:sz w:val="14"/>
        </w:rPr>
        <w:t>animadversión</w:t>
      </w:r>
      <w:r>
        <w:rPr>
          <w:spacing w:val="-4"/>
          <w:w w:val="105"/>
          <w:sz w:val="14"/>
        </w:rPr>
        <w:t xml:space="preserve"> </w:t>
      </w:r>
      <w:r>
        <w:rPr>
          <w:w w:val="105"/>
          <w:sz w:val="14"/>
        </w:rPr>
        <w:t>debe</w:t>
      </w:r>
      <w:r>
        <w:rPr>
          <w:spacing w:val="-4"/>
          <w:w w:val="105"/>
          <w:sz w:val="14"/>
        </w:rPr>
        <w:t xml:space="preserve"> </w:t>
      </w:r>
      <w:r>
        <w:rPr>
          <w:w w:val="105"/>
          <w:sz w:val="14"/>
        </w:rPr>
        <w:t>informar</w:t>
      </w:r>
      <w:r>
        <w:rPr>
          <w:spacing w:val="-4"/>
          <w:w w:val="105"/>
          <w:sz w:val="14"/>
        </w:rPr>
        <w:t xml:space="preserve"> </w:t>
      </w:r>
      <w:r>
        <w:rPr>
          <w:w w:val="105"/>
          <w:sz w:val="14"/>
        </w:rPr>
        <w:t>la</w:t>
      </w:r>
      <w:r>
        <w:rPr>
          <w:spacing w:val="-5"/>
          <w:w w:val="105"/>
          <w:sz w:val="14"/>
        </w:rPr>
        <w:t xml:space="preserve"> </w:t>
      </w:r>
      <w:r>
        <w:rPr>
          <w:spacing w:val="-2"/>
          <w:w w:val="105"/>
          <w:sz w:val="14"/>
        </w:rPr>
        <w:t>sentencia.</w:t>
      </w:r>
    </w:p>
    <w:p w14:paraId="02796AB7" w14:textId="77777777" w:rsidR="0014798C" w:rsidRDefault="0014798C">
      <w:pPr>
        <w:pStyle w:val="Textoindependiente"/>
        <w:spacing w:before="97"/>
        <w:rPr>
          <w:sz w:val="14"/>
        </w:rPr>
      </w:pPr>
    </w:p>
    <w:p w14:paraId="06FFB1EB" w14:textId="77777777" w:rsidR="0014798C" w:rsidRDefault="004E1F0B">
      <w:pPr>
        <w:spacing w:before="1" w:line="372" w:lineRule="auto"/>
        <w:ind w:left="1111" w:right="1272" w:hanging="6"/>
        <w:rPr>
          <w:sz w:val="14"/>
        </w:rPr>
      </w:pPr>
      <w:r>
        <w:rPr>
          <w:w w:val="105"/>
          <w:sz w:val="14"/>
        </w:rPr>
        <w:t>La</w:t>
      </w:r>
      <w:r>
        <w:rPr>
          <w:spacing w:val="-1"/>
          <w:w w:val="105"/>
          <w:sz w:val="14"/>
        </w:rPr>
        <w:t xml:space="preserve"> </w:t>
      </w:r>
      <w:r>
        <w:rPr>
          <w:w w:val="105"/>
          <w:sz w:val="14"/>
        </w:rPr>
        <w:t>lista</w:t>
      </w:r>
      <w:r>
        <w:rPr>
          <w:spacing w:val="-1"/>
          <w:w w:val="105"/>
          <w:sz w:val="14"/>
        </w:rPr>
        <w:t xml:space="preserve"> </w:t>
      </w:r>
      <w:r>
        <w:rPr>
          <w:w w:val="105"/>
          <w:sz w:val="14"/>
        </w:rPr>
        <w:t>de</w:t>
      </w:r>
      <w:r>
        <w:rPr>
          <w:spacing w:val="-1"/>
          <w:w w:val="105"/>
          <w:sz w:val="14"/>
        </w:rPr>
        <w:t xml:space="preserve"> </w:t>
      </w:r>
      <w:r>
        <w:rPr>
          <w:w w:val="105"/>
          <w:sz w:val="14"/>
        </w:rPr>
        <w:t>motivos</w:t>
      </w:r>
      <w:r>
        <w:rPr>
          <w:spacing w:val="-1"/>
          <w:w w:val="105"/>
          <w:sz w:val="14"/>
        </w:rPr>
        <w:t xml:space="preserve"> </w:t>
      </w:r>
      <w:r>
        <w:rPr>
          <w:w w:val="105"/>
          <w:sz w:val="14"/>
        </w:rPr>
        <w:t>establecidos</w:t>
      </w:r>
      <w:r>
        <w:rPr>
          <w:spacing w:val="-1"/>
          <w:w w:val="105"/>
          <w:sz w:val="14"/>
        </w:rPr>
        <w:t xml:space="preserve"> </w:t>
      </w:r>
      <w:r>
        <w:rPr>
          <w:w w:val="105"/>
          <w:sz w:val="14"/>
        </w:rPr>
        <w:t>en</w:t>
      </w:r>
      <w:r>
        <w:rPr>
          <w:spacing w:val="-1"/>
          <w:w w:val="105"/>
          <w:sz w:val="14"/>
        </w:rPr>
        <w:t xml:space="preserve"> </w:t>
      </w:r>
      <w:r>
        <w:rPr>
          <w:w w:val="105"/>
          <w:sz w:val="14"/>
        </w:rPr>
        <w:t>el</w:t>
      </w:r>
      <w:r>
        <w:rPr>
          <w:spacing w:val="-1"/>
          <w:w w:val="105"/>
          <w:sz w:val="14"/>
        </w:rPr>
        <w:t xml:space="preserve"> </w:t>
      </w:r>
      <w:r>
        <w:rPr>
          <w:w w:val="105"/>
          <w:sz w:val="14"/>
        </w:rPr>
        <w:t>derecho penal</w:t>
      </w:r>
      <w:r>
        <w:rPr>
          <w:spacing w:val="-1"/>
          <w:w w:val="105"/>
          <w:sz w:val="14"/>
        </w:rPr>
        <w:t xml:space="preserve"> </w:t>
      </w:r>
      <w:r>
        <w:rPr>
          <w:w w:val="105"/>
          <w:sz w:val="14"/>
        </w:rPr>
        <w:t>debe, necesariamente, ser</w:t>
      </w:r>
      <w:r>
        <w:rPr>
          <w:spacing w:val="-1"/>
          <w:w w:val="105"/>
          <w:sz w:val="14"/>
        </w:rPr>
        <w:t xml:space="preserve"> </w:t>
      </w:r>
      <w:r>
        <w:rPr>
          <w:w w:val="105"/>
          <w:sz w:val="14"/>
        </w:rPr>
        <w:t>cerrada (es</w:t>
      </w:r>
      <w:r>
        <w:rPr>
          <w:spacing w:val="-1"/>
          <w:w w:val="105"/>
          <w:sz w:val="14"/>
        </w:rPr>
        <w:t xml:space="preserve"> </w:t>
      </w:r>
      <w:r>
        <w:rPr>
          <w:w w:val="105"/>
          <w:sz w:val="14"/>
        </w:rPr>
        <w:t>decir, no</w:t>
      </w:r>
      <w:r>
        <w:rPr>
          <w:spacing w:val="-1"/>
          <w:w w:val="105"/>
          <w:sz w:val="14"/>
        </w:rPr>
        <w:t xml:space="preserve"> </w:t>
      </w:r>
      <w:r>
        <w:rPr>
          <w:w w:val="105"/>
          <w:sz w:val="14"/>
        </w:rPr>
        <w:t>incluir</w:t>
      </w:r>
      <w:r>
        <w:rPr>
          <w:spacing w:val="-1"/>
          <w:w w:val="105"/>
          <w:sz w:val="14"/>
        </w:rPr>
        <w:t xml:space="preserve"> </w:t>
      </w:r>
      <w:r>
        <w:rPr>
          <w:w w:val="105"/>
          <w:sz w:val="14"/>
        </w:rPr>
        <w:t>la</w:t>
      </w:r>
      <w:r>
        <w:rPr>
          <w:spacing w:val="-1"/>
          <w:w w:val="105"/>
          <w:sz w:val="14"/>
        </w:rPr>
        <w:t xml:space="preserve"> </w:t>
      </w:r>
      <w:r>
        <w:rPr>
          <w:w w:val="105"/>
          <w:sz w:val="14"/>
        </w:rPr>
        <w:t>categoría</w:t>
      </w:r>
      <w:r>
        <w:rPr>
          <w:spacing w:val="-1"/>
          <w:w w:val="105"/>
          <w:sz w:val="14"/>
        </w:rPr>
        <w:t xml:space="preserve"> </w:t>
      </w:r>
      <w:r>
        <w:rPr>
          <w:w w:val="105"/>
          <w:sz w:val="14"/>
        </w:rPr>
        <w:t>“u</w:t>
      </w:r>
      <w:r>
        <w:rPr>
          <w:spacing w:val="-1"/>
          <w:w w:val="105"/>
          <w:sz w:val="14"/>
        </w:rPr>
        <w:t xml:space="preserve"> </w:t>
      </w:r>
      <w:r>
        <w:rPr>
          <w:w w:val="105"/>
          <w:sz w:val="14"/>
        </w:rPr>
        <w:t>otra</w:t>
      </w:r>
      <w:r>
        <w:rPr>
          <w:spacing w:val="-1"/>
          <w:w w:val="105"/>
          <w:sz w:val="14"/>
        </w:rPr>
        <w:t xml:space="preserve"> </w:t>
      </w:r>
      <w:r>
        <w:rPr>
          <w:w w:val="105"/>
          <w:sz w:val="14"/>
        </w:rPr>
        <w:t>condición similar”), debido al requisito de previsibilidad en el derecho penal.</w:t>
      </w:r>
    </w:p>
    <w:p w14:paraId="1A594A22" w14:textId="77777777" w:rsidR="0014798C" w:rsidRDefault="0014798C">
      <w:pPr>
        <w:pStyle w:val="Textoindependiente"/>
        <w:rPr>
          <w:sz w:val="18"/>
        </w:rPr>
      </w:pPr>
    </w:p>
    <w:p w14:paraId="6E7DC8F1" w14:textId="77777777" w:rsidR="0014798C" w:rsidRDefault="0014798C">
      <w:pPr>
        <w:pStyle w:val="Textoindependiente"/>
        <w:rPr>
          <w:sz w:val="18"/>
        </w:rPr>
      </w:pPr>
    </w:p>
    <w:p w14:paraId="6A92A4E5" w14:textId="77777777" w:rsidR="0014798C" w:rsidRDefault="0014798C">
      <w:pPr>
        <w:pStyle w:val="Textoindependiente"/>
        <w:rPr>
          <w:sz w:val="18"/>
        </w:rPr>
      </w:pPr>
    </w:p>
    <w:p w14:paraId="16CCD79C" w14:textId="77777777" w:rsidR="0014798C" w:rsidRDefault="0014798C">
      <w:pPr>
        <w:pStyle w:val="Textoindependiente"/>
        <w:rPr>
          <w:sz w:val="18"/>
        </w:rPr>
      </w:pPr>
    </w:p>
    <w:p w14:paraId="4B783D29" w14:textId="77777777" w:rsidR="0014798C" w:rsidRDefault="0014798C">
      <w:pPr>
        <w:pStyle w:val="Textoindependiente"/>
        <w:rPr>
          <w:sz w:val="18"/>
        </w:rPr>
      </w:pPr>
    </w:p>
    <w:p w14:paraId="5ECF1E4B" w14:textId="77777777" w:rsidR="0014798C" w:rsidRDefault="0014798C">
      <w:pPr>
        <w:pStyle w:val="Textoindependiente"/>
        <w:rPr>
          <w:sz w:val="18"/>
        </w:rPr>
      </w:pPr>
    </w:p>
    <w:p w14:paraId="4AC9F943" w14:textId="77777777" w:rsidR="0014798C" w:rsidRDefault="0014798C">
      <w:pPr>
        <w:pStyle w:val="Textoindependiente"/>
        <w:spacing w:before="77"/>
        <w:rPr>
          <w:sz w:val="18"/>
        </w:rPr>
      </w:pPr>
    </w:p>
    <w:p w14:paraId="416C6D43" w14:textId="77777777" w:rsidR="0014798C" w:rsidRDefault="004E1F0B">
      <w:pPr>
        <w:ind w:right="729"/>
        <w:jc w:val="right"/>
        <w:rPr>
          <w:sz w:val="18"/>
        </w:rPr>
      </w:pPr>
      <w:proofErr w:type="spellStart"/>
      <w:r>
        <w:rPr>
          <w:spacing w:val="-4"/>
          <w:sz w:val="18"/>
        </w:rPr>
        <w:t>xvii</w:t>
      </w:r>
      <w:proofErr w:type="spellEnd"/>
    </w:p>
    <w:p w14:paraId="77A868B8" w14:textId="77777777" w:rsidR="0014798C" w:rsidRDefault="0014798C">
      <w:pPr>
        <w:jc w:val="right"/>
        <w:rPr>
          <w:sz w:val="18"/>
        </w:rPr>
        <w:sectPr w:rsidR="0014798C" w:rsidSect="00F265E4">
          <w:headerReference w:type="default" r:id="rId34"/>
          <w:pgSz w:w="11900" w:h="16820"/>
          <w:pgMar w:top="40" w:right="0" w:bottom="280" w:left="200" w:header="0" w:footer="0" w:gutter="0"/>
          <w:cols w:space="720"/>
        </w:sectPr>
      </w:pPr>
    </w:p>
    <w:p w14:paraId="12C662B1" w14:textId="5D0074E8" w:rsidR="0014798C" w:rsidRDefault="004E1F0B">
      <w:pPr>
        <w:spacing w:before="76"/>
        <w:ind w:left="113"/>
        <w:rPr>
          <w:sz w:val="21"/>
        </w:rPr>
      </w:pPr>
      <w:r>
        <w:rPr>
          <w:noProof/>
        </w:rPr>
        <w:lastRenderedPageBreak/>
        <w:drawing>
          <wp:anchor distT="0" distB="0" distL="0" distR="0" simplePos="0" relativeHeight="251658354" behindDoc="1" locked="0" layoutInCell="1" allowOverlap="1" wp14:anchorId="3728E842" wp14:editId="376308E3">
            <wp:simplePos x="0" y="0"/>
            <wp:positionH relativeFrom="page">
              <wp:posOffset>0</wp:posOffset>
            </wp:positionH>
            <wp:positionV relativeFrom="page">
              <wp:posOffset>0</wp:posOffset>
            </wp:positionV>
            <wp:extent cx="7556500" cy="10680700"/>
            <wp:effectExtent l="0" t="0" r="0" b="0"/>
            <wp:wrapNone/>
            <wp:docPr id="28" name="Image 2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8" name="Image 28"/>
                    <pic:cNvPicPr/>
                  </pic:nvPicPr>
                  <pic:blipFill>
                    <a:blip r:embed="rId29" cstate="print"/>
                    <a:stretch>
                      <a:fillRect/>
                    </a:stretch>
                  </pic:blipFill>
                  <pic:spPr>
                    <a:xfrm>
                      <a:off x="0" y="0"/>
                      <a:ext cx="7556500" cy="10680700"/>
                    </a:xfrm>
                    <a:prstGeom prst="rect">
                      <a:avLst/>
                    </a:prstGeom>
                  </pic:spPr>
                </pic:pic>
              </a:graphicData>
            </a:graphic>
          </wp:anchor>
        </w:drawing>
      </w:r>
    </w:p>
    <w:p w14:paraId="5FC4DFEA" w14:textId="77777777" w:rsidR="0014798C" w:rsidRDefault="0014798C">
      <w:pPr>
        <w:pStyle w:val="Textoindependiente"/>
        <w:spacing w:before="85"/>
        <w:rPr>
          <w:sz w:val="12"/>
        </w:rPr>
      </w:pPr>
    </w:p>
    <w:p w14:paraId="1ECEF604" w14:textId="77777777" w:rsidR="0014798C" w:rsidRDefault="004E1F0B">
      <w:pPr>
        <w:ind w:left="1111"/>
        <w:rPr>
          <w:sz w:val="12"/>
        </w:rPr>
      </w:pPr>
      <w:r>
        <w:rPr>
          <w:color w:val="0075BF"/>
          <w:sz w:val="12"/>
        </w:rPr>
        <w:t>PROTECCIÓN</w:t>
      </w:r>
      <w:r>
        <w:rPr>
          <w:color w:val="0075BF"/>
          <w:spacing w:val="6"/>
          <w:sz w:val="12"/>
        </w:rPr>
        <w:t xml:space="preserve"> </w:t>
      </w:r>
      <w:r>
        <w:rPr>
          <w:color w:val="0075BF"/>
          <w:sz w:val="12"/>
        </w:rPr>
        <w:t>DE</w:t>
      </w:r>
      <w:r>
        <w:rPr>
          <w:color w:val="0075BF"/>
          <w:spacing w:val="7"/>
          <w:sz w:val="12"/>
        </w:rPr>
        <w:t xml:space="preserve"> </w:t>
      </w:r>
      <w:r>
        <w:rPr>
          <w:color w:val="0075BF"/>
          <w:sz w:val="12"/>
        </w:rPr>
        <w:t>LOS</w:t>
      </w:r>
      <w:r>
        <w:rPr>
          <w:color w:val="0075BF"/>
          <w:spacing w:val="8"/>
          <w:sz w:val="12"/>
        </w:rPr>
        <w:t xml:space="preserve"> </w:t>
      </w:r>
      <w:r>
        <w:rPr>
          <w:color w:val="0075BF"/>
          <w:sz w:val="12"/>
        </w:rPr>
        <w:t>DERECHOS</w:t>
      </w:r>
      <w:r>
        <w:rPr>
          <w:color w:val="0075BF"/>
          <w:spacing w:val="8"/>
          <w:sz w:val="12"/>
        </w:rPr>
        <w:t xml:space="preserve"> </w:t>
      </w:r>
      <w:r>
        <w:rPr>
          <w:color w:val="0075BF"/>
          <w:sz w:val="12"/>
        </w:rPr>
        <w:t>DE</w:t>
      </w:r>
      <w:r>
        <w:rPr>
          <w:color w:val="0075BF"/>
          <w:spacing w:val="6"/>
          <w:sz w:val="12"/>
        </w:rPr>
        <w:t xml:space="preserve"> </w:t>
      </w:r>
      <w:r>
        <w:rPr>
          <w:color w:val="0075BF"/>
          <w:sz w:val="12"/>
        </w:rPr>
        <w:t>LAS</w:t>
      </w:r>
      <w:r>
        <w:rPr>
          <w:color w:val="0075BF"/>
          <w:spacing w:val="7"/>
          <w:sz w:val="12"/>
        </w:rPr>
        <w:t xml:space="preserve"> </w:t>
      </w:r>
      <w:r>
        <w:rPr>
          <w:color w:val="0075BF"/>
          <w:sz w:val="12"/>
        </w:rPr>
        <w:t>MINORÍAS:</w:t>
      </w:r>
      <w:r>
        <w:rPr>
          <w:color w:val="0075BF"/>
          <w:spacing w:val="8"/>
          <w:sz w:val="12"/>
        </w:rPr>
        <w:t xml:space="preserve"> </w:t>
      </w:r>
      <w:r>
        <w:rPr>
          <w:color w:val="0075BF"/>
          <w:sz w:val="12"/>
        </w:rPr>
        <w:t>una</w:t>
      </w:r>
      <w:r>
        <w:rPr>
          <w:color w:val="0075BF"/>
          <w:spacing w:val="7"/>
          <w:sz w:val="12"/>
        </w:rPr>
        <w:t xml:space="preserve"> </w:t>
      </w:r>
      <w:r>
        <w:rPr>
          <w:color w:val="0075BF"/>
          <w:sz w:val="12"/>
        </w:rPr>
        <w:t>guía</w:t>
      </w:r>
      <w:r>
        <w:rPr>
          <w:color w:val="0075BF"/>
          <w:spacing w:val="6"/>
          <w:sz w:val="12"/>
        </w:rPr>
        <w:t xml:space="preserve"> </w:t>
      </w:r>
      <w:r>
        <w:rPr>
          <w:color w:val="0075BF"/>
          <w:sz w:val="12"/>
        </w:rPr>
        <w:t>práctica</w:t>
      </w:r>
      <w:r>
        <w:rPr>
          <w:color w:val="0075BF"/>
          <w:spacing w:val="7"/>
          <w:sz w:val="12"/>
        </w:rPr>
        <w:t xml:space="preserve"> </w:t>
      </w:r>
      <w:r>
        <w:rPr>
          <w:color w:val="0075BF"/>
          <w:sz w:val="12"/>
        </w:rPr>
        <w:t>para</w:t>
      </w:r>
      <w:r>
        <w:rPr>
          <w:color w:val="0075BF"/>
          <w:spacing w:val="8"/>
          <w:sz w:val="12"/>
        </w:rPr>
        <w:t xml:space="preserve"> </w:t>
      </w:r>
      <w:r>
        <w:rPr>
          <w:color w:val="0075BF"/>
          <w:sz w:val="12"/>
        </w:rPr>
        <w:t>desarrollar</w:t>
      </w:r>
      <w:r>
        <w:rPr>
          <w:color w:val="0075BF"/>
          <w:spacing w:val="6"/>
          <w:sz w:val="12"/>
        </w:rPr>
        <w:t xml:space="preserve"> </w:t>
      </w:r>
      <w:r>
        <w:rPr>
          <w:color w:val="0075BF"/>
          <w:sz w:val="12"/>
        </w:rPr>
        <w:t>una</w:t>
      </w:r>
      <w:r>
        <w:rPr>
          <w:color w:val="0075BF"/>
          <w:spacing w:val="7"/>
          <w:sz w:val="12"/>
        </w:rPr>
        <w:t xml:space="preserve"> </w:t>
      </w:r>
      <w:r>
        <w:rPr>
          <w:color w:val="0075BF"/>
          <w:sz w:val="12"/>
        </w:rPr>
        <w:t>legislación</w:t>
      </w:r>
      <w:r>
        <w:rPr>
          <w:color w:val="0075BF"/>
          <w:spacing w:val="8"/>
          <w:sz w:val="12"/>
        </w:rPr>
        <w:t xml:space="preserve"> </w:t>
      </w:r>
      <w:r>
        <w:rPr>
          <w:color w:val="0075BF"/>
          <w:sz w:val="12"/>
        </w:rPr>
        <w:t>integral</w:t>
      </w:r>
      <w:r>
        <w:rPr>
          <w:color w:val="0075BF"/>
          <w:spacing w:val="7"/>
          <w:sz w:val="12"/>
        </w:rPr>
        <w:t xml:space="preserve"> </w:t>
      </w:r>
      <w:r>
        <w:rPr>
          <w:color w:val="0075BF"/>
          <w:sz w:val="12"/>
        </w:rPr>
        <w:t>contra</w:t>
      </w:r>
      <w:r>
        <w:rPr>
          <w:color w:val="0075BF"/>
          <w:spacing w:val="6"/>
          <w:sz w:val="12"/>
        </w:rPr>
        <w:t xml:space="preserve"> </w:t>
      </w:r>
      <w:r>
        <w:rPr>
          <w:color w:val="0075BF"/>
          <w:sz w:val="12"/>
        </w:rPr>
        <w:t>la</w:t>
      </w:r>
      <w:r>
        <w:rPr>
          <w:color w:val="0075BF"/>
          <w:spacing w:val="7"/>
          <w:sz w:val="12"/>
        </w:rPr>
        <w:t xml:space="preserve"> </w:t>
      </w:r>
      <w:r>
        <w:rPr>
          <w:color w:val="0075BF"/>
          <w:spacing w:val="-2"/>
          <w:sz w:val="12"/>
        </w:rPr>
        <w:t>discriminación</w:t>
      </w:r>
    </w:p>
    <w:p w14:paraId="04C0C169" w14:textId="77777777" w:rsidR="0014798C" w:rsidRDefault="0014798C">
      <w:pPr>
        <w:pStyle w:val="Textoindependiente"/>
        <w:rPr>
          <w:sz w:val="25"/>
        </w:rPr>
      </w:pPr>
    </w:p>
    <w:p w14:paraId="71C89755" w14:textId="77777777" w:rsidR="0014798C" w:rsidRDefault="0014798C">
      <w:pPr>
        <w:pStyle w:val="Textoindependiente"/>
        <w:rPr>
          <w:sz w:val="25"/>
        </w:rPr>
      </w:pPr>
    </w:p>
    <w:p w14:paraId="37628EF1" w14:textId="77777777" w:rsidR="0014798C" w:rsidRDefault="0014798C">
      <w:pPr>
        <w:pStyle w:val="Textoindependiente"/>
        <w:spacing w:before="119"/>
        <w:rPr>
          <w:sz w:val="25"/>
        </w:rPr>
      </w:pPr>
    </w:p>
    <w:p w14:paraId="5B127F27" w14:textId="77777777" w:rsidR="0014798C" w:rsidRDefault="004E1F0B">
      <w:pPr>
        <w:numPr>
          <w:ilvl w:val="0"/>
          <w:numId w:val="97"/>
        </w:numPr>
        <w:tabs>
          <w:tab w:val="left" w:pos="1362"/>
        </w:tabs>
        <w:spacing w:before="1"/>
        <w:ind w:left="1362" w:hanging="266"/>
        <w:rPr>
          <w:color w:val="0075BF"/>
          <w:sz w:val="25"/>
        </w:rPr>
      </w:pPr>
      <w:r>
        <w:rPr>
          <w:color w:val="0075BF"/>
          <w:sz w:val="25"/>
        </w:rPr>
        <w:t>Discriminación</w:t>
      </w:r>
      <w:r>
        <w:rPr>
          <w:color w:val="0075BF"/>
          <w:spacing w:val="3"/>
          <w:sz w:val="25"/>
        </w:rPr>
        <w:t xml:space="preserve"> </w:t>
      </w:r>
      <w:r>
        <w:rPr>
          <w:color w:val="0075BF"/>
          <w:sz w:val="25"/>
        </w:rPr>
        <w:t>y</w:t>
      </w:r>
      <w:r>
        <w:rPr>
          <w:color w:val="0075BF"/>
          <w:spacing w:val="2"/>
          <w:sz w:val="25"/>
        </w:rPr>
        <w:t xml:space="preserve"> </w:t>
      </w:r>
      <w:r>
        <w:rPr>
          <w:color w:val="0075BF"/>
          <w:spacing w:val="-2"/>
          <w:sz w:val="25"/>
        </w:rPr>
        <w:t>expresión</w:t>
      </w:r>
    </w:p>
    <w:p w14:paraId="6FA4DF92" w14:textId="77777777" w:rsidR="0014798C" w:rsidRDefault="0014798C">
      <w:pPr>
        <w:pStyle w:val="Textoindependiente"/>
        <w:spacing w:before="87"/>
        <w:rPr>
          <w:sz w:val="14"/>
        </w:rPr>
      </w:pPr>
    </w:p>
    <w:p w14:paraId="2321CD2A" w14:textId="77777777" w:rsidR="0014798C" w:rsidRDefault="004E1F0B">
      <w:pPr>
        <w:ind w:left="1106"/>
        <w:rPr>
          <w:sz w:val="14"/>
        </w:rPr>
      </w:pPr>
      <w:r>
        <w:rPr>
          <w:w w:val="105"/>
          <w:sz w:val="14"/>
        </w:rPr>
        <w:t>La</w:t>
      </w:r>
      <w:r>
        <w:rPr>
          <w:spacing w:val="-4"/>
          <w:w w:val="105"/>
          <w:sz w:val="14"/>
        </w:rPr>
        <w:t xml:space="preserve"> </w:t>
      </w:r>
      <w:r>
        <w:rPr>
          <w:w w:val="105"/>
          <w:sz w:val="14"/>
        </w:rPr>
        <w:t>relación</w:t>
      </w:r>
      <w:r>
        <w:rPr>
          <w:spacing w:val="-3"/>
          <w:w w:val="105"/>
          <w:sz w:val="14"/>
        </w:rPr>
        <w:t xml:space="preserve"> </w:t>
      </w:r>
      <w:r>
        <w:rPr>
          <w:w w:val="105"/>
          <w:sz w:val="14"/>
        </w:rPr>
        <w:t>entre</w:t>
      </w:r>
      <w:r>
        <w:rPr>
          <w:spacing w:val="-4"/>
          <w:w w:val="105"/>
          <w:sz w:val="14"/>
        </w:rPr>
        <w:t xml:space="preserve"> </w:t>
      </w:r>
      <w:r>
        <w:rPr>
          <w:w w:val="105"/>
          <w:sz w:val="14"/>
        </w:rPr>
        <w:t>la</w:t>
      </w:r>
      <w:r>
        <w:rPr>
          <w:spacing w:val="-4"/>
          <w:w w:val="105"/>
          <w:sz w:val="14"/>
        </w:rPr>
        <w:t xml:space="preserve"> </w:t>
      </w:r>
      <w:r>
        <w:rPr>
          <w:w w:val="105"/>
          <w:sz w:val="14"/>
        </w:rPr>
        <w:t>expresión</w:t>
      </w:r>
      <w:r>
        <w:rPr>
          <w:spacing w:val="-3"/>
          <w:w w:val="105"/>
          <w:sz w:val="14"/>
        </w:rPr>
        <w:t xml:space="preserve"> </w:t>
      </w:r>
      <w:r>
        <w:rPr>
          <w:w w:val="105"/>
          <w:sz w:val="14"/>
        </w:rPr>
        <w:t>y</w:t>
      </w:r>
      <w:r>
        <w:rPr>
          <w:spacing w:val="-3"/>
          <w:w w:val="105"/>
          <w:sz w:val="14"/>
        </w:rPr>
        <w:t xml:space="preserve"> </w:t>
      </w:r>
      <w:r>
        <w:rPr>
          <w:w w:val="105"/>
          <w:sz w:val="14"/>
        </w:rPr>
        <w:t>la</w:t>
      </w:r>
      <w:r>
        <w:rPr>
          <w:spacing w:val="-4"/>
          <w:w w:val="105"/>
          <w:sz w:val="14"/>
        </w:rPr>
        <w:t xml:space="preserve"> </w:t>
      </w:r>
      <w:r>
        <w:rPr>
          <w:w w:val="105"/>
          <w:sz w:val="14"/>
        </w:rPr>
        <w:t>ley</w:t>
      </w:r>
      <w:r>
        <w:rPr>
          <w:spacing w:val="-3"/>
          <w:w w:val="105"/>
          <w:sz w:val="14"/>
        </w:rPr>
        <w:t xml:space="preserve"> </w:t>
      </w:r>
      <w:r>
        <w:rPr>
          <w:w w:val="105"/>
          <w:sz w:val="14"/>
        </w:rPr>
        <w:t>que</w:t>
      </w:r>
      <w:r>
        <w:rPr>
          <w:spacing w:val="-3"/>
          <w:w w:val="105"/>
          <w:sz w:val="14"/>
        </w:rPr>
        <w:t xml:space="preserve"> </w:t>
      </w:r>
      <w:r>
        <w:rPr>
          <w:w w:val="105"/>
          <w:sz w:val="14"/>
        </w:rPr>
        <w:t>prohíbe</w:t>
      </w:r>
      <w:r>
        <w:rPr>
          <w:spacing w:val="-5"/>
          <w:w w:val="105"/>
          <w:sz w:val="14"/>
        </w:rPr>
        <w:t xml:space="preserve"> </w:t>
      </w:r>
      <w:r>
        <w:rPr>
          <w:w w:val="105"/>
          <w:sz w:val="14"/>
        </w:rPr>
        <w:t>la</w:t>
      </w:r>
      <w:r>
        <w:rPr>
          <w:spacing w:val="-3"/>
          <w:w w:val="105"/>
          <w:sz w:val="14"/>
        </w:rPr>
        <w:t xml:space="preserve"> </w:t>
      </w:r>
      <w:r>
        <w:rPr>
          <w:w w:val="105"/>
          <w:sz w:val="14"/>
        </w:rPr>
        <w:t>discriminación</w:t>
      </w:r>
      <w:r>
        <w:rPr>
          <w:spacing w:val="-3"/>
          <w:w w:val="105"/>
          <w:sz w:val="14"/>
        </w:rPr>
        <w:t xml:space="preserve"> </w:t>
      </w:r>
      <w:r>
        <w:rPr>
          <w:w w:val="105"/>
          <w:sz w:val="14"/>
        </w:rPr>
        <w:t>es</w:t>
      </w:r>
      <w:r>
        <w:rPr>
          <w:spacing w:val="-4"/>
          <w:w w:val="105"/>
          <w:sz w:val="14"/>
        </w:rPr>
        <w:t xml:space="preserve"> </w:t>
      </w:r>
      <w:r>
        <w:rPr>
          <w:spacing w:val="-2"/>
          <w:w w:val="105"/>
          <w:sz w:val="14"/>
        </w:rPr>
        <w:t>compleja.</w:t>
      </w:r>
    </w:p>
    <w:p w14:paraId="62C8981A" w14:textId="77777777" w:rsidR="0014798C" w:rsidRDefault="0014798C">
      <w:pPr>
        <w:pStyle w:val="Textoindependiente"/>
        <w:spacing w:before="98"/>
        <w:rPr>
          <w:sz w:val="14"/>
        </w:rPr>
      </w:pPr>
    </w:p>
    <w:p w14:paraId="4480011A" w14:textId="77777777" w:rsidR="0014798C" w:rsidRDefault="004E1F0B">
      <w:pPr>
        <w:spacing w:line="372" w:lineRule="auto"/>
        <w:ind w:left="1107" w:right="1272" w:firstLine="2"/>
        <w:rPr>
          <w:sz w:val="14"/>
        </w:rPr>
      </w:pPr>
      <w:r>
        <w:rPr>
          <w:w w:val="105"/>
          <w:sz w:val="14"/>
        </w:rPr>
        <w:t>La expresión y la comunicación pueden ser componentes</w:t>
      </w:r>
      <w:r>
        <w:rPr>
          <w:spacing w:val="-1"/>
          <w:w w:val="105"/>
          <w:sz w:val="14"/>
        </w:rPr>
        <w:t xml:space="preserve"> </w:t>
      </w:r>
      <w:r>
        <w:rPr>
          <w:w w:val="105"/>
          <w:sz w:val="14"/>
        </w:rPr>
        <w:t>de una conducta que dé lugar al acoso en el terreno, un acto</w:t>
      </w:r>
      <w:r>
        <w:rPr>
          <w:spacing w:val="-1"/>
          <w:w w:val="105"/>
          <w:sz w:val="14"/>
        </w:rPr>
        <w:t xml:space="preserve"> </w:t>
      </w:r>
      <w:r>
        <w:rPr>
          <w:w w:val="105"/>
          <w:sz w:val="14"/>
        </w:rPr>
        <w:t>prohibido en la ley sobre prohibición de la discriminación.</w:t>
      </w:r>
    </w:p>
    <w:p w14:paraId="7DB70C3F" w14:textId="77777777" w:rsidR="0014798C" w:rsidRDefault="0014798C">
      <w:pPr>
        <w:pStyle w:val="Textoindependiente"/>
        <w:spacing w:before="9"/>
        <w:rPr>
          <w:sz w:val="14"/>
        </w:rPr>
      </w:pPr>
    </w:p>
    <w:p w14:paraId="725DC9DD" w14:textId="77777777" w:rsidR="0014798C" w:rsidRDefault="004E1F0B">
      <w:pPr>
        <w:spacing w:line="372" w:lineRule="auto"/>
        <w:ind w:left="1110" w:right="1463" w:hanging="1"/>
        <w:rPr>
          <w:sz w:val="14"/>
        </w:rPr>
      </w:pPr>
      <w:r>
        <w:rPr>
          <w:w w:val="105"/>
          <w:sz w:val="14"/>
        </w:rPr>
        <w:t>La expresión y la comunicación también</w:t>
      </w:r>
      <w:r>
        <w:rPr>
          <w:spacing w:val="-1"/>
          <w:w w:val="105"/>
          <w:sz w:val="14"/>
        </w:rPr>
        <w:t xml:space="preserve"> </w:t>
      </w:r>
      <w:r>
        <w:rPr>
          <w:w w:val="105"/>
          <w:sz w:val="14"/>
        </w:rPr>
        <w:t>desempeñan otras</w:t>
      </w:r>
      <w:r>
        <w:rPr>
          <w:spacing w:val="-1"/>
          <w:w w:val="105"/>
          <w:sz w:val="14"/>
        </w:rPr>
        <w:t xml:space="preserve"> </w:t>
      </w:r>
      <w:r>
        <w:rPr>
          <w:w w:val="105"/>
          <w:sz w:val="14"/>
        </w:rPr>
        <w:t>funciones</w:t>
      </w:r>
      <w:r>
        <w:rPr>
          <w:spacing w:val="-1"/>
          <w:w w:val="105"/>
          <w:sz w:val="14"/>
        </w:rPr>
        <w:t xml:space="preserve"> </w:t>
      </w:r>
      <w:r>
        <w:rPr>
          <w:w w:val="105"/>
          <w:sz w:val="14"/>
        </w:rPr>
        <w:t>en la legislación contra la discriminación, incluso, potencialmente, como prueba de intención o motivo, así como en casos relacionados con una instrucción de discriminar.</w:t>
      </w:r>
    </w:p>
    <w:p w14:paraId="13162297" w14:textId="77777777" w:rsidR="0014798C" w:rsidRDefault="0014798C">
      <w:pPr>
        <w:pStyle w:val="Textoindependiente"/>
        <w:spacing w:before="9"/>
        <w:rPr>
          <w:sz w:val="14"/>
        </w:rPr>
      </w:pPr>
    </w:p>
    <w:p w14:paraId="5339C5B5" w14:textId="77777777" w:rsidR="0014798C" w:rsidRDefault="004E1F0B">
      <w:pPr>
        <w:spacing w:line="372" w:lineRule="auto"/>
        <w:ind w:left="1108" w:right="1272" w:firstLine="3"/>
        <w:rPr>
          <w:sz w:val="14"/>
        </w:rPr>
      </w:pPr>
      <w:r>
        <w:rPr>
          <w:w w:val="105"/>
          <w:sz w:val="14"/>
        </w:rPr>
        <w:t>Los Estados deben prohibir la incitación a la violencia, la discriminación y la hostilidad o el odio por todos los motivos reconocidos en el derecho internacional, incluidos, entre</w:t>
      </w:r>
      <w:r>
        <w:rPr>
          <w:spacing w:val="-1"/>
          <w:w w:val="105"/>
          <w:sz w:val="14"/>
        </w:rPr>
        <w:t xml:space="preserve"> </w:t>
      </w:r>
      <w:r>
        <w:rPr>
          <w:w w:val="105"/>
          <w:sz w:val="14"/>
        </w:rPr>
        <w:t>otros, la edad, la discapacidad, la expresión e identidad</w:t>
      </w:r>
      <w:r>
        <w:rPr>
          <w:spacing w:val="-1"/>
          <w:w w:val="105"/>
          <w:sz w:val="14"/>
        </w:rPr>
        <w:t xml:space="preserve"> </w:t>
      </w:r>
      <w:r>
        <w:rPr>
          <w:w w:val="105"/>
          <w:sz w:val="14"/>
        </w:rPr>
        <w:t>de género, la nacionalidad, la raza o etnia, la religión, el sexo, las características sexuales y orientación sexual.</w:t>
      </w:r>
    </w:p>
    <w:p w14:paraId="6A629C33" w14:textId="77777777" w:rsidR="0014798C" w:rsidRDefault="0014798C">
      <w:pPr>
        <w:pStyle w:val="Textoindependiente"/>
        <w:spacing w:before="10"/>
        <w:rPr>
          <w:sz w:val="14"/>
        </w:rPr>
      </w:pPr>
    </w:p>
    <w:p w14:paraId="640F3C7F" w14:textId="77777777" w:rsidR="0014798C" w:rsidRDefault="004E1F0B">
      <w:pPr>
        <w:spacing w:line="372" w:lineRule="auto"/>
        <w:ind w:left="1107" w:right="1335" w:firstLine="1"/>
        <w:rPr>
          <w:sz w:val="14"/>
        </w:rPr>
      </w:pPr>
      <w:r>
        <w:rPr>
          <w:w w:val="105"/>
          <w:sz w:val="14"/>
        </w:rPr>
        <w:t>El derecho internacional también exige que los Estados condenen toda propaganda y todas las organizaciones que se basen en ideas o teorías</w:t>
      </w:r>
      <w:r>
        <w:rPr>
          <w:spacing w:val="-1"/>
          <w:w w:val="105"/>
          <w:sz w:val="14"/>
        </w:rPr>
        <w:t xml:space="preserve"> </w:t>
      </w:r>
      <w:r>
        <w:rPr>
          <w:w w:val="105"/>
          <w:sz w:val="14"/>
        </w:rPr>
        <w:t>de superioridad de una raza o grupo de personas</w:t>
      </w:r>
      <w:r>
        <w:rPr>
          <w:spacing w:val="-1"/>
          <w:w w:val="105"/>
          <w:sz w:val="14"/>
        </w:rPr>
        <w:t xml:space="preserve"> </w:t>
      </w:r>
      <w:r>
        <w:rPr>
          <w:w w:val="105"/>
          <w:sz w:val="14"/>
        </w:rPr>
        <w:t>de un mismo color u origen étnico, o que intenten</w:t>
      </w:r>
      <w:r>
        <w:rPr>
          <w:spacing w:val="-1"/>
          <w:w w:val="105"/>
          <w:sz w:val="14"/>
        </w:rPr>
        <w:t xml:space="preserve"> </w:t>
      </w:r>
      <w:r>
        <w:rPr>
          <w:w w:val="105"/>
          <w:sz w:val="14"/>
        </w:rPr>
        <w:t>justificar</w:t>
      </w:r>
      <w:r>
        <w:rPr>
          <w:spacing w:val="-1"/>
          <w:w w:val="105"/>
          <w:sz w:val="14"/>
        </w:rPr>
        <w:t xml:space="preserve"> </w:t>
      </w:r>
      <w:r>
        <w:rPr>
          <w:w w:val="105"/>
          <w:sz w:val="14"/>
        </w:rPr>
        <w:t>o promover el odio racial y la discriminación en cualquier forma.</w:t>
      </w:r>
    </w:p>
    <w:p w14:paraId="3790CA86" w14:textId="77777777" w:rsidR="0014798C" w:rsidRDefault="0014798C">
      <w:pPr>
        <w:pStyle w:val="Textoindependiente"/>
        <w:spacing w:before="9"/>
        <w:rPr>
          <w:sz w:val="14"/>
        </w:rPr>
      </w:pPr>
    </w:p>
    <w:p w14:paraId="48B65038" w14:textId="77777777" w:rsidR="0014798C" w:rsidRDefault="004E1F0B">
      <w:pPr>
        <w:spacing w:before="1" w:line="372" w:lineRule="auto"/>
        <w:ind w:left="1108" w:right="1463"/>
        <w:rPr>
          <w:sz w:val="14"/>
        </w:rPr>
      </w:pPr>
      <w:r>
        <w:rPr>
          <w:w w:val="105"/>
          <w:sz w:val="14"/>
        </w:rPr>
        <w:t>La prohibición no significa necesariamente criminalización. Los Estados deben distinguir entre expresiones que requieren penalización, expresiones que requieren sanciones civiles o administrativas y expresiones que ameritan otras formas de respuesta. Los Estados también deben garantizar que la aplicación de medidas para combatir el discurso de odio no dé lugar a ninguna forma de discriminación contra ninguna persona o grupo.</w:t>
      </w:r>
    </w:p>
    <w:p w14:paraId="15305082" w14:textId="77777777" w:rsidR="0014798C" w:rsidRDefault="0014798C">
      <w:pPr>
        <w:pStyle w:val="Textoindependiente"/>
        <w:spacing w:before="9"/>
        <w:rPr>
          <w:sz w:val="14"/>
        </w:rPr>
      </w:pPr>
    </w:p>
    <w:p w14:paraId="798D4EBC" w14:textId="77777777" w:rsidR="0014798C" w:rsidRDefault="004E1F0B">
      <w:pPr>
        <w:spacing w:line="372" w:lineRule="auto"/>
        <w:ind w:left="1107" w:right="1272" w:firstLine="7"/>
        <w:rPr>
          <w:sz w:val="14"/>
        </w:rPr>
      </w:pPr>
      <w:r>
        <w:rPr>
          <w:w w:val="105"/>
          <w:sz w:val="14"/>
        </w:rPr>
        <w:t>Los tribunales a nivel nacional y regional se han pronunciado sobre casos relacionados con incitación al odio en virtud de la Ley sobre la prohibición de la discriminación. Los tribunales regionales han determinado que los Estados han violado el derecho a la no discriminación en casos en los que minorías y otras personas o grupos marginados han estado expuestos a discursos de odio y la respuesta de las autoridades públicas ha sido inadecuada.</w:t>
      </w:r>
    </w:p>
    <w:p w14:paraId="3D127563" w14:textId="77777777" w:rsidR="0014798C" w:rsidRDefault="0014798C">
      <w:pPr>
        <w:pStyle w:val="Textoindependiente"/>
        <w:spacing w:before="10"/>
        <w:rPr>
          <w:sz w:val="14"/>
        </w:rPr>
      </w:pPr>
    </w:p>
    <w:p w14:paraId="082E30CF" w14:textId="77777777" w:rsidR="0014798C" w:rsidRDefault="004E1F0B">
      <w:pPr>
        <w:spacing w:line="372" w:lineRule="auto"/>
        <w:ind w:left="1109" w:right="1272" w:hanging="2"/>
        <w:rPr>
          <w:sz w:val="14"/>
        </w:rPr>
      </w:pPr>
      <w:r>
        <w:rPr>
          <w:w w:val="105"/>
          <w:sz w:val="14"/>
        </w:rPr>
        <w:t xml:space="preserve">El discurso de odio debería, entre otras cosas, abordarse con intervenciones positivas: educación, sensibilización, apoyo a las víctimas para permitir el </w:t>
      </w:r>
      <w:proofErr w:type="spellStart"/>
      <w:r>
        <w:rPr>
          <w:w w:val="105"/>
          <w:sz w:val="14"/>
        </w:rPr>
        <w:t>contradiscurso</w:t>
      </w:r>
      <w:proofErr w:type="spellEnd"/>
      <w:r>
        <w:rPr>
          <w:w w:val="105"/>
          <w:sz w:val="14"/>
        </w:rPr>
        <w:t xml:space="preserve"> y la difusión de narrativas positivas, incluso mediante campañas de información pública con mensajes positivos que celebren la diversidad.</w:t>
      </w:r>
    </w:p>
    <w:p w14:paraId="6F132081" w14:textId="77777777" w:rsidR="0014798C" w:rsidRDefault="0014798C">
      <w:pPr>
        <w:pStyle w:val="Textoindependiente"/>
        <w:spacing w:before="30"/>
        <w:rPr>
          <w:sz w:val="25"/>
        </w:rPr>
      </w:pPr>
    </w:p>
    <w:p w14:paraId="4BD2F49E" w14:textId="77777777" w:rsidR="0014798C" w:rsidRDefault="004E1F0B">
      <w:pPr>
        <w:numPr>
          <w:ilvl w:val="0"/>
          <w:numId w:val="97"/>
        </w:numPr>
        <w:tabs>
          <w:tab w:val="left" w:pos="1428"/>
        </w:tabs>
        <w:ind w:left="1428" w:hanging="308"/>
        <w:rPr>
          <w:color w:val="0075BF"/>
          <w:sz w:val="25"/>
        </w:rPr>
      </w:pPr>
      <w:r>
        <w:rPr>
          <w:color w:val="0075BF"/>
          <w:sz w:val="25"/>
        </w:rPr>
        <w:t>Promoción</w:t>
      </w:r>
      <w:r>
        <w:rPr>
          <w:color w:val="0075BF"/>
          <w:spacing w:val="1"/>
          <w:sz w:val="25"/>
        </w:rPr>
        <w:t xml:space="preserve"> </w:t>
      </w:r>
      <w:r>
        <w:rPr>
          <w:color w:val="0075BF"/>
          <w:sz w:val="25"/>
        </w:rPr>
        <w:t>de</w:t>
      </w:r>
      <w:r>
        <w:rPr>
          <w:color w:val="0075BF"/>
          <w:spacing w:val="2"/>
          <w:sz w:val="25"/>
        </w:rPr>
        <w:t xml:space="preserve"> </w:t>
      </w:r>
      <w:r>
        <w:rPr>
          <w:color w:val="0075BF"/>
          <w:sz w:val="25"/>
        </w:rPr>
        <w:t>la</w:t>
      </w:r>
      <w:r>
        <w:rPr>
          <w:color w:val="0075BF"/>
          <w:spacing w:val="2"/>
          <w:sz w:val="25"/>
        </w:rPr>
        <w:t xml:space="preserve"> </w:t>
      </w:r>
      <w:r>
        <w:rPr>
          <w:color w:val="0075BF"/>
          <w:sz w:val="25"/>
        </w:rPr>
        <w:t>igualdad,</w:t>
      </w:r>
      <w:r>
        <w:rPr>
          <w:color w:val="0075BF"/>
          <w:spacing w:val="3"/>
          <w:sz w:val="25"/>
        </w:rPr>
        <w:t xml:space="preserve"> </w:t>
      </w:r>
      <w:r>
        <w:rPr>
          <w:color w:val="0075BF"/>
          <w:sz w:val="25"/>
        </w:rPr>
        <w:t>la</w:t>
      </w:r>
      <w:r>
        <w:rPr>
          <w:color w:val="0075BF"/>
          <w:spacing w:val="2"/>
          <w:sz w:val="25"/>
        </w:rPr>
        <w:t xml:space="preserve"> </w:t>
      </w:r>
      <w:r>
        <w:rPr>
          <w:color w:val="0075BF"/>
          <w:sz w:val="25"/>
        </w:rPr>
        <w:t>inclusión</w:t>
      </w:r>
      <w:r>
        <w:rPr>
          <w:color w:val="0075BF"/>
          <w:spacing w:val="2"/>
          <w:sz w:val="25"/>
        </w:rPr>
        <w:t xml:space="preserve"> </w:t>
      </w:r>
      <w:r>
        <w:rPr>
          <w:color w:val="0075BF"/>
          <w:sz w:val="25"/>
        </w:rPr>
        <w:t>y</w:t>
      </w:r>
      <w:r>
        <w:rPr>
          <w:color w:val="0075BF"/>
          <w:spacing w:val="1"/>
          <w:sz w:val="25"/>
        </w:rPr>
        <w:t xml:space="preserve"> </w:t>
      </w:r>
      <w:r>
        <w:rPr>
          <w:color w:val="0075BF"/>
          <w:sz w:val="25"/>
        </w:rPr>
        <w:t>la</w:t>
      </w:r>
      <w:r>
        <w:rPr>
          <w:color w:val="0075BF"/>
          <w:spacing w:val="2"/>
          <w:sz w:val="25"/>
        </w:rPr>
        <w:t xml:space="preserve"> </w:t>
      </w:r>
      <w:r>
        <w:rPr>
          <w:color w:val="0075BF"/>
          <w:spacing w:val="-2"/>
          <w:sz w:val="25"/>
        </w:rPr>
        <w:t>diversidad</w:t>
      </w:r>
    </w:p>
    <w:p w14:paraId="76FF1FB2" w14:textId="77777777" w:rsidR="0014798C" w:rsidRDefault="0014798C">
      <w:pPr>
        <w:pStyle w:val="Textoindependiente"/>
        <w:spacing w:before="87"/>
        <w:rPr>
          <w:sz w:val="14"/>
        </w:rPr>
      </w:pPr>
    </w:p>
    <w:p w14:paraId="346FE8C0" w14:textId="77777777" w:rsidR="0014798C" w:rsidRDefault="004E1F0B">
      <w:pPr>
        <w:spacing w:line="372" w:lineRule="auto"/>
        <w:ind w:left="1107" w:right="1335" w:firstLine="5"/>
        <w:rPr>
          <w:sz w:val="14"/>
        </w:rPr>
      </w:pPr>
      <w:r>
        <w:rPr>
          <w:w w:val="105"/>
          <w:sz w:val="14"/>
        </w:rPr>
        <w:t>Las obligaciones de los Estados en virtud de tratados internacionales los comprometen no simplemente a prohibir la discriminación por ley, sino a eliminarla de hecho. La adopción de medidas positivas y proactivas para abordar los factores culturales y sociales de la discriminación son elementos indispensables de estas obligaciones. Esto requiere un programa de acción integral, requerido y respaldado por deberes y obligaciones exigibles dentro de la legislación contra la discriminación.</w:t>
      </w:r>
    </w:p>
    <w:p w14:paraId="4440D59B" w14:textId="77777777" w:rsidR="0014798C" w:rsidRDefault="004E1F0B">
      <w:pPr>
        <w:spacing w:before="1" w:line="372" w:lineRule="auto"/>
        <w:ind w:left="1111" w:right="1272" w:hanging="3"/>
        <w:rPr>
          <w:sz w:val="14"/>
        </w:rPr>
      </w:pPr>
      <w:r>
        <w:rPr>
          <w:w w:val="105"/>
          <w:sz w:val="14"/>
        </w:rPr>
        <w:t>Los deberes vinculantes de un Estado incluyen la adopción de medidas proactivas para combatir los prejuicios, los estereotipos y el estigma, incluidas, entre otras:</w:t>
      </w:r>
    </w:p>
    <w:p w14:paraId="064F7C92" w14:textId="77777777" w:rsidR="0014798C" w:rsidRDefault="004E1F0B">
      <w:pPr>
        <w:pStyle w:val="Prrafodelista"/>
        <w:numPr>
          <w:ilvl w:val="0"/>
          <w:numId w:val="96"/>
        </w:numPr>
        <w:tabs>
          <w:tab w:val="left" w:pos="1210"/>
        </w:tabs>
        <w:spacing w:before="114"/>
        <w:ind w:left="1210" w:hanging="92"/>
        <w:rPr>
          <w:sz w:val="14"/>
        </w:rPr>
      </w:pPr>
      <w:r>
        <w:rPr>
          <w:w w:val="105"/>
          <w:sz w:val="14"/>
        </w:rPr>
        <w:t>El</w:t>
      </w:r>
      <w:r>
        <w:rPr>
          <w:spacing w:val="-5"/>
          <w:w w:val="105"/>
          <w:sz w:val="14"/>
        </w:rPr>
        <w:t xml:space="preserve"> </w:t>
      </w:r>
      <w:r>
        <w:rPr>
          <w:w w:val="105"/>
          <w:sz w:val="14"/>
        </w:rPr>
        <w:t>empoderamiento</w:t>
      </w:r>
      <w:r>
        <w:rPr>
          <w:spacing w:val="-3"/>
          <w:w w:val="105"/>
          <w:sz w:val="14"/>
        </w:rPr>
        <w:t xml:space="preserve"> </w:t>
      </w:r>
      <w:r>
        <w:rPr>
          <w:w w:val="105"/>
          <w:sz w:val="14"/>
        </w:rPr>
        <w:t>y</w:t>
      </w:r>
      <w:r>
        <w:rPr>
          <w:spacing w:val="-4"/>
          <w:w w:val="105"/>
          <w:sz w:val="14"/>
        </w:rPr>
        <w:t xml:space="preserve"> </w:t>
      </w:r>
      <w:r>
        <w:rPr>
          <w:w w:val="105"/>
          <w:sz w:val="14"/>
        </w:rPr>
        <w:t>participación</w:t>
      </w:r>
      <w:r>
        <w:rPr>
          <w:spacing w:val="-3"/>
          <w:w w:val="105"/>
          <w:sz w:val="14"/>
        </w:rPr>
        <w:t xml:space="preserve"> </w:t>
      </w:r>
      <w:r>
        <w:rPr>
          <w:w w:val="105"/>
          <w:sz w:val="14"/>
        </w:rPr>
        <w:t>de</w:t>
      </w:r>
      <w:r>
        <w:rPr>
          <w:spacing w:val="-4"/>
          <w:w w:val="105"/>
          <w:sz w:val="14"/>
        </w:rPr>
        <w:t xml:space="preserve"> </w:t>
      </w:r>
      <w:r>
        <w:rPr>
          <w:w w:val="105"/>
          <w:sz w:val="14"/>
        </w:rPr>
        <w:t>los</w:t>
      </w:r>
      <w:r>
        <w:rPr>
          <w:spacing w:val="-3"/>
          <w:w w:val="105"/>
          <w:sz w:val="14"/>
        </w:rPr>
        <w:t xml:space="preserve"> </w:t>
      </w:r>
      <w:r>
        <w:rPr>
          <w:w w:val="105"/>
          <w:sz w:val="14"/>
        </w:rPr>
        <w:t>titulares</w:t>
      </w:r>
      <w:r>
        <w:rPr>
          <w:spacing w:val="-5"/>
          <w:w w:val="105"/>
          <w:sz w:val="14"/>
        </w:rPr>
        <w:t xml:space="preserve"> </w:t>
      </w:r>
      <w:r>
        <w:rPr>
          <w:w w:val="105"/>
          <w:sz w:val="14"/>
        </w:rPr>
        <w:t>de</w:t>
      </w:r>
      <w:r>
        <w:rPr>
          <w:spacing w:val="-3"/>
          <w:w w:val="105"/>
          <w:sz w:val="14"/>
        </w:rPr>
        <w:t xml:space="preserve"> </w:t>
      </w:r>
      <w:r>
        <w:rPr>
          <w:spacing w:val="-2"/>
          <w:w w:val="105"/>
          <w:sz w:val="14"/>
        </w:rPr>
        <w:t>derechos.</w:t>
      </w:r>
    </w:p>
    <w:p w14:paraId="326A97AD" w14:textId="77777777" w:rsidR="0014798C" w:rsidRDefault="0014798C">
      <w:pPr>
        <w:pStyle w:val="Textoindependiente"/>
        <w:spacing w:before="41"/>
        <w:rPr>
          <w:sz w:val="14"/>
        </w:rPr>
      </w:pPr>
    </w:p>
    <w:p w14:paraId="3E4988E3" w14:textId="77777777" w:rsidR="0014798C" w:rsidRDefault="004E1F0B">
      <w:pPr>
        <w:pStyle w:val="Prrafodelista"/>
        <w:numPr>
          <w:ilvl w:val="0"/>
          <w:numId w:val="96"/>
        </w:numPr>
        <w:tabs>
          <w:tab w:val="left" w:pos="1210"/>
        </w:tabs>
        <w:ind w:left="1210" w:hanging="92"/>
        <w:rPr>
          <w:sz w:val="14"/>
        </w:rPr>
      </w:pPr>
      <w:r>
        <w:rPr>
          <w:w w:val="105"/>
          <w:sz w:val="14"/>
        </w:rPr>
        <w:t>Medidas</w:t>
      </w:r>
      <w:r>
        <w:rPr>
          <w:spacing w:val="-5"/>
          <w:w w:val="105"/>
          <w:sz w:val="14"/>
        </w:rPr>
        <w:t xml:space="preserve"> </w:t>
      </w:r>
      <w:r>
        <w:rPr>
          <w:w w:val="105"/>
          <w:sz w:val="14"/>
        </w:rPr>
        <w:t>para</w:t>
      </w:r>
      <w:r>
        <w:rPr>
          <w:spacing w:val="-4"/>
          <w:w w:val="105"/>
          <w:sz w:val="14"/>
        </w:rPr>
        <w:t xml:space="preserve"> </w:t>
      </w:r>
      <w:r>
        <w:rPr>
          <w:w w:val="105"/>
          <w:sz w:val="14"/>
        </w:rPr>
        <w:t>promover</w:t>
      </w:r>
      <w:r>
        <w:rPr>
          <w:spacing w:val="-3"/>
          <w:w w:val="105"/>
          <w:sz w:val="14"/>
        </w:rPr>
        <w:t xml:space="preserve"> </w:t>
      </w:r>
      <w:r>
        <w:rPr>
          <w:w w:val="105"/>
          <w:sz w:val="14"/>
        </w:rPr>
        <w:t>la</w:t>
      </w:r>
      <w:r>
        <w:rPr>
          <w:spacing w:val="-4"/>
          <w:w w:val="105"/>
          <w:sz w:val="14"/>
        </w:rPr>
        <w:t xml:space="preserve"> </w:t>
      </w:r>
      <w:r>
        <w:rPr>
          <w:w w:val="105"/>
          <w:sz w:val="14"/>
        </w:rPr>
        <w:t>diversidad,</w:t>
      </w:r>
      <w:r>
        <w:rPr>
          <w:spacing w:val="-3"/>
          <w:w w:val="105"/>
          <w:sz w:val="14"/>
        </w:rPr>
        <w:t xml:space="preserve"> </w:t>
      </w:r>
      <w:r>
        <w:rPr>
          <w:w w:val="105"/>
          <w:sz w:val="14"/>
        </w:rPr>
        <w:t>la</w:t>
      </w:r>
      <w:r>
        <w:rPr>
          <w:spacing w:val="-3"/>
          <w:w w:val="105"/>
          <w:sz w:val="14"/>
        </w:rPr>
        <w:t xml:space="preserve"> </w:t>
      </w:r>
      <w:r>
        <w:rPr>
          <w:w w:val="105"/>
          <w:sz w:val="14"/>
        </w:rPr>
        <w:t>inclusión</w:t>
      </w:r>
      <w:r>
        <w:rPr>
          <w:spacing w:val="-4"/>
          <w:w w:val="105"/>
          <w:sz w:val="14"/>
        </w:rPr>
        <w:t xml:space="preserve"> </w:t>
      </w:r>
      <w:r>
        <w:rPr>
          <w:w w:val="105"/>
          <w:sz w:val="14"/>
        </w:rPr>
        <w:t>y</w:t>
      </w:r>
      <w:r>
        <w:rPr>
          <w:spacing w:val="-4"/>
          <w:w w:val="105"/>
          <w:sz w:val="14"/>
        </w:rPr>
        <w:t xml:space="preserve"> </w:t>
      </w:r>
      <w:r>
        <w:rPr>
          <w:w w:val="105"/>
          <w:sz w:val="14"/>
        </w:rPr>
        <w:t>la</w:t>
      </w:r>
      <w:r>
        <w:rPr>
          <w:spacing w:val="-3"/>
          <w:w w:val="105"/>
          <w:sz w:val="14"/>
        </w:rPr>
        <w:t xml:space="preserve"> </w:t>
      </w:r>
      <w:r>
        <w:rPr>
          <w:w w:val="105"/>
          <w:sz w:val="14"/>
        </w:rPr>
        <w:t>representación</w:t>
      </w:r>
      <w:r>
        <w:rPr>
          <w:spacing w:val="-4"/>
          <w:w w:val="105"/>
          <w:sz w:val="14"/>
        </w:rPr>
        <w:t xml:space="preserve"> </w:t>
      </w:r>
      <w:r>
        <w:rPr>
          <w:w w:val="105"/>
          <w:sz w:val="14"/>
        </w:rPr>
        <w:t>igualitaria</w:t>
      </w:r>
      <w:r>
        <w:rPr>
          <w:spacing w:val="-4"/>
          <w:w w:val="105"/>
          <w:sz w:val="14"/>
        </w:rPr>
        <w:t xml:space="preserve"> </w:t>
      </w:r>
      <w:r>
        <w:rPr>
          <w:w w:val="105"/>
          <w:sz w:val="14"/>
        </w:rPr>
        <w:t>en</w:t>
      </w:r>
      <w:r>
        <w:rPr>
          <w:spacing w:val="-4"/>
          <w:w w:val="105"/>
          <w:sz w:val="14"/>
        </w:rPr>
        <w:t xml:space="preserve"> </w:t>
      </w:r>
      <w:r>
        <w:rPr>
          <w:w w:val="105"/>
          <w:sz w:val="14"/>
        </w:rPr>
        <w:t>las</w:t>
      </w:r>
      <w:r>
        <w:rPr>
          <w:spacing w:val="-4"/>
          <w:w w:val="105"/>
          <w:sz w:val="14"/>
        </w:rPr>
        <w:t xml:space="preserve"> </w:t>
      </w:r>
      <w:r>
        <w:rPr>
          <w:spacing w:val="-2"/>
          <w:w w:val="105"/>
          <w:sz w:val="14"/>
        </w:rPr>
        <w:t>instituciones.</w:t>
      </w:r>
    </w:p>
    <w:p w14:paraId="2615396B" w14:textId="77777777" w:rsidR="0014798C" w:rsidRDefault="0014798C">
      <w:pPr>
        <w:pStyle w:val="Textoindependiente"/>
        <w:spacing w:before="41"/>
        <w:rPr>
          <w:sz w:val="14"/>
        </w:rPr>
      </w:pPr>
    </w:p>
    <w:p w14:paraId="17488641" w14:textId="77777777" w:rsidR="0014798C" w:rsidRDefault="004E1F0B">
      <w:pPr>
        <w:pStyle w:val="Prrafodelista"/>
        <w:numPr>
          <w:ilvl w:val="0"/>
          <w:numId w:val="96"/>
        </w:numPr>
        <w:tabs>
          <w:tab w:val="left" w:pos="1210"/>
          <w:tab w:val="left" w:pos="1347"/>
        </w:tabs>
        <w:spacing w:line="372" w:lineRule="auto"/>
        <w:ind w:left="1347" w:right="2803" w:hanging="229"/>
        <w:rPr>
          <w:sz w:val="14"/>
        </w:rPr>
      </w:pPr>
      <w:r>
        <w:rPr>
          <w:w w:val="105"/>
          <w:sz w:val="14"/>
        </w:rPr>
        <w:t>Medidas</w:t>
      </w:r>
      <w:r>
        <w:rPr>
          <w:spacing w:val="-1"/>
          <w:w w:val="105"/>
          <w:sz w:val="14"/>
        </w:rPr>
        <w:t xml:space="preserve"> </w:t>
      </w:r>
      <w:r>
        <w:rPr>
          <w:w w:val="105"/>
          <w:sz w:val="14"/>
        </w:rPr>
        <w:t>para desafiar</w:t>
      </w:r>
      <w:r>
        <w:rPr>
          <w:spacing w:val="-1"/>
          <w:w w:val="105"/>
          <w:sz w:val="14"/>
        </w:rPr>
        <w:t xml:space="preserve"> </w:t>
      </w:r>
      <w:r>
        <w:rPr>
          <w:w w:val="105"/>
          <w:sz w:val="14"/>
        </w:rPr>
        <w:t>los prejuicios, los estereotipos</w:t>
      </w:r>
      <w:r>
        <w:rPr>
          <w:spacing w:val="-1"/>
          <w:w w:val="105"/>
          <w:sz w:val="14"/>
        </w:rPr>
        <w:t xml:space="preserve"> </w:t>
      </w:r>
      <w:r>
        <w:rPr>
          <w:w w:val="105"/>
          <w:sz w:val="14"/>
        </w:rPr>
        <w:t>y el estigma y promover la diversidad, la inclusión y la igualdad. a través de la educación.</w:t>
      </w:r>
    </w:p>
    <w:p w14:paraId="545330EC" w14:textId="77777777" w:rsidR="0014798C" w:rsidRDefault="004E1F0B">
      <w:pPr>
        <w:pStyle w:val="Prrafodelista"/>
        <w:numPr>
          <w:ilvl w:val="0"/>
          <w:numId w:val="96"/>
        </w:numPr>
        <w:tabs>
          <w:tab w:val="left" w:pos="1209"/>
          <w:tab w:val="left" w:pos="1351"/>
        </w:tabs>
        <w:spacing w:before="114" w:line="372" w:lineRule="auto"/>
        <w:ind w:right="1412" w:hanging="234"/>
        <w:rPr>
          <w:sz w:val="14"/>
        </w:rPr>
      </w:pPr>
      <w:r>
        <w:rPr>
          <w:w w:val="105"/>
          <w:sz w:val="14"/>
        </w:rPr>
        <w:t>Informar las percepciones del público a través de los medios de comunicación, tanto los principales como los medios sociales, y esfuerzos más amplios de sensibilización.</w:t>
      </w:r>
    </w:p>
    <w:p w14:paraId="1688A840" w14:textId="77777777" w:rsidR="0014798C" w:rsidRDefault="004E1F0B">
      <w:pPr>
        <w:pStyle w:val="Prrafodelista"/>
        <w:numPr>
          <w:ilvl w:val="0"/>
          <w:numId w:val="96"/>
        </w:numPr>
        <w:tabs>
          <w:tab w:val="left" w:pos="1209"/>
          <w:tab w:val="left" w:pos="1351"/>
        </w:tabs>
        <w:spacing w:before="113" w:line="372" w:lineRule="auto"/>
        <w:ind w:right="1782" w:hanging="234"/>
        <w:rPr>
          <w:sz w:val="14"/>
        </w:rPr>
      </w:pPr>
      <w:r>
        <w:rPr>
          <w:w w:val="105"/>
          <w:sz w:val="14"/>
        </w:rPr>
        <w:t>Capacitar</w:t>
      </w:r>
      <w:r>
        <w:rPr>
          <w:spacing w:val="-1"/>
          <w:w w:val="105"/>
          <w:sz w:val="14"/>
        </w:rPr>
        <w:t xml:space="preserve"> </w:t>
      </w:r>
      <w:r>
        <w:rPr>
          <w:w w:val="105"/>
          <w:sz w:val="14"/>
        </w:rPr>
        <w:t>a personas, incluidos</w:t>
      </w:r>
      <w:r>
        <w:rPr>
          <w:spacing w:val="-1"/>
          <w:w w:val="105"/>
          <w:sz w:val="14"/>
        </w:rPr>
        <w:t xml:space="preserve"> </w:t>
      </w:r>
      <w:r>
        <w:rPr>
          <w:w w:val="105"/>
          <w:sz w:val="14"/>
        </w:rPr>
        <w:t>funcionarios</w:t>
      </w:r>
      <w:r>
        <w:rPr>
          <w:spacing w:val="-1"/>
          <w:w w:val="105"/>
          <w:sz w:val="14"/>
        </w:rPr>
        <w:t xml:space="preserve"> </w:t>
      </w:r>
      <w:r>
        <w:rPr>
          <w:w w:val="105"/>
          <w:sz w:val="14"/>
        </w:rPr>
        <w:t>públicos, y grupos en todos</w:t>
      </w:r>
      <w:r>
        <w:rPr>
          <w:spacing w:val="-1"/>
          <w:w w:val="105"/>
          <w:sz w:val="14"/>
        </w:rPr>
        <w:t xml:space="preserve"> </w:t>
      </w:r>
      <w:r>
        <w:rPr>
          <w:w w:val="105"/>
          <w:sz w:val="14"/>
        </w:rPr>
        <w:t>los ámbitos</w:t>
      </w:r>
      <w:r>
        <w:rPr>
          <w:spacing w:val="-1"/>
          <w:w w:val="105"/>
          <w:sz w:val="14"/>
        </w:rPr>
        <w:t xml:space="preserve"> </w:t>
      </w:r>
      <w:r>
        <w:rPr>
          <w:w w:val="105"/>
          <w:sz w:val="14"/>
        </w:rPr>
        <w:t>de la vida en leyes y principios</w:t>
      </w:r>
      <w:r>
        <w:rPr>
          <w:spacing w:val="-1"/>
          <w:w w:val="105"/>
          <w:sz w:val="14"/>
        </w:rPr>
        <w:t xml:space="preserve"> </w:t>
      </w:r>
      <w:r>
        <w:rPr>
          <w:w w:val="105"/>
          <w:sz w:val="14"/>
        </w:rPr>
        <w:t>de igualdad y no discriminación, así como en la situación y experiencias de los titulares de derechos.</w:t>
      </w:r>
    </w:p>
    <w:p w14:paraId="13AB62EA" w14:textId="77777777" w:rsidR="0014798C" w:rsidRDefault="004E1F0B">
      <w:pPr>
        <w:pStyle w:val="Textoindependiente"/>
        <w:spacing w:before="152" w:line="326" w:lineRule="auto"/>
        <w:ind w:left="1110" w:right="1272" w:hanging="2"/>
      </w:pPr>
      <w:r>
        <w:t>Para que los Estados cumplan con sus obligaciones y cumplan sus compromisos de eliminar la discriminación y garantizar la igualdad</w:t>
      </w:r>
      <w:r>
        <w:rPr>
          <w:spacing w:val="-1"/>
        </w:rPr>
        <w:t xml:space="preserve"> </w:t>
      </w:r>
      <w:r>
        <w:t>de</w:t>
      </w:r>
      <w:r>
        <w:rPr>
          <w:spacing w:val="-1"/>
        </w:rPr>
        <w:t xml:space="preserve"> </w:t>
      </w:r>
      <w:r>
        <w:t>participación, sus</w:t>
      </w:r>
      <w:r>
        <w:rPr>
          <w:spacing w:val="-1"/>
        </w:rPr>
        <w:t xml:space="preserve"> </w:t>
      </w:r>
      <w:r>
        <w:t>esfuerzos</w:t>
      </w:r>
      <w:r>
        <w:rPr>
          <w:spacing w:val="-2"/>
        </w:rPr>
        <w:t xml:space="preserve"> </w:t>
      </w:r>
      <w:r>
        <w:t>deben</w:t>
      </w:r>
      <w:r>
        <w:rPr>
          <w:spacing w:val="-1"/>
        </w:rPr>
        <w:t xml:space="preserve"> </w:t>
      </w:r>
      <w:r>
        <w:t>abarcar</w:t>
      </w:r>
      <w:r>
        <w:rPr>
          <w:spacing w:val="-2"/>
        </w:rPr>
        <w:t xml:space="preserve"> </w:t>
      </w:r>
      <w:r>
        <w:t>e</w:t>
      </w:r>
      <w:r>
        <w:rPr>
          <w:spacing w:val="-1"/>
        </w:rPr>
        <w:t xml:space="preserve"> </w:t>
      </w:r>
      <w:r>
        <w:t>ir</w:t>
      </w:r>
      <w:r>
        <w:rPr>
          <w:spacing w:val="-1"/>
        </w:rPr>
        <w:t xml:space="preserve"> </w:t>
      </w:r>
      <w:r>
        <w:t>más</w:t>
      </w:r>
      <w:r>
        <w:rPr>
          <w:spacing w:val="-1"/>
        </w:rPr>
        <w:t xml:space="preserve"> </w:t>
      </w:r>
      <w:r>
        <w:t>allá</w:t>
      </w:r>
      <w:r>
        <w:rPr>
          <w:spacing w:val="-1"/>
        </w:rPr>
        <w:t xml:space="preserve"> </w:t>
      </w:r>
      <w:r>
        <w:t>de</w:t>
      </w:r>
      <w:r>
        <w:rPr>
          <w:spacing w:val="-1"/>
        </w:rPr>
        <w:t xml:space="preserve"> </w:t>
      </w:r>
      <w:r>
        <w:t>la</w:t>
      </w:r>
      <w:r>
        <w:rPr>
          <w:spacing w:val="-1"/>
        </w:rPr>
        <w:t xml:space="preserve"> </w:t>
      </w:r>
      <w:r>
        <w:t>lucha</w:t>
      </w:r>
      <w:r>
        <w:rPr>
          <w:spacing w:val="-1"/>
        </w:rPr>
        <w:t xml:space="preserve"> </w:t>
      </w:r>
      <w:r>
        <w:t>contra</w:t>
      </w:r>
      <w:r>
        <w:rPr>
          <w:spacing w:val="-2"/>
        </w:rPr>
        <w:t xml:space="preserve"> </w:t>
      </w:r>
      <w:r>
        <w:t>los</w:t>
      </w:r>
      <w:r>
        <w:rPr>
          <w:spacing w:val="-2"/>
        </w:rPr>
        <w:t xml:space="preserve"> </w:t>
      </w:r>
      <w:r>
        <w:t>prejuicios, los</w:t>
      </w:r>
      <w:r>
        <w:rPr>
          <w:spacing w:val="-2"/>
        </w:rPr>
        <w:t xml:space="preserve"> </w:t>
      </w:r>
      <w:r>
        <w:t>estereotipos</w:t>
      </w:r>
      <w:r>
        <w:rPr>
          <w:spacing w:val="-2"/>
        </w:rPr>
        <w:t xml:space="preserve"> </w:t>
      </w:r>
      <w:r>
        <w:t>y</w:t>
      </w:r>
      <w:r>
        <w:rPr>
          <w:spacing w:val="-1"/>
        </w:rPr>
        <w:t xml:space="preserve"> </w:t>
      </w:r>
      <w:r>
        <w:t>el</w:t>
      </w:r>
      <w:r>
        <w:rPr>
          <w:spacing w:val="-1"/>
        </w:rPr>
        <w:t xml:space="preserve"> </w:t>
      </w:r>
      <w:r>
        <w:t>estigma.</w:t>
      </w:r>
    </w:p>
    <w:p w14:paraId="30FE5F4F" w14:textId="77777777" w:rsidR="0014798C" w:rsidRDefault="004E1F0B">
      <w:pPr>
        <w:pStyle w:val="Textoindependiente"/>
        <w:spacing w:line="271" w:lineRule="auto"/>
        <w:ind w:left="1111" w:right="1272"/>
      </w:pPr>
      <w:r>
        <w:t>La atención</w:t>
      </w:r>
      <w:r>
        <w:rPr>
          <w:spacing w:val="-2"/>
        </w:rPr>
        <w:t xml:space="preserve"> </w:t>
      </w:r>
      <w:r>
        <w:t>debería</w:t>
      </w:r>
      <w:r>
        <w:rPr>
          <w:spacing w:val="-1"/>
        </w:rPr>
        <w:t xml:space="preserve"> </w:t>
      </w:r>
      <w:r>
        <w:t>centrarse</w:t>
      </w:r>
      <w:r>
        <w:rPr>
          <w:spacing w:val="-1"/>
        </w:rPr>
        <w:t xml:space="preserve"> </w:t>
      </w:r>
      <w:r>
        <w:t>no sólo</w:t>
      </w:r>
      <w:r>
        <w:rPr>
          <w:spacing w:val="-1"/>
        </w:rPr>
        <w:t xml:space="preserve"> </w:t>
      </w:r>
      <w:r>
        <w:t>en contrarrestar</w:t>
      </w:r>
      <w:r>
        <w:rPr>
          <w:spacing w:val="-2"/>
        </w:rPr>
        <w:t xml:space="preserve"> </w:t>
      </w:r>
      <w:r>
        <w:t>las</w:t>
      </w:r>
      <w:r>
        <w:rPr>
          <w:spacing w:val="-1"/>
        </w:rPr>
        <w:t xml:space="preserve"> </w:t>
      </w:r>
      <w:r>
        <w:t>fuerzas</w:t>
      </w:r>
      <w:r>
        <w:rPr>
          <w:spacing w:val="-2"/>
        </w:rPr>
        <w:t xml:space="preserve"> </w:t>
      </w:r>
      <w:r>
        <w:t>sociales</w:t>
      </w:r>
      <w:r>
        <w:rPr>
          <w:spacing w:val="-1"/>
        </w:rPr>
        <w:t xml:space="preserve"> </w:t>
      </w:r>
      <w:r>
        <w:t>negativas,</w:t>
      </w:r>
      <w:r>
        <w:rPr>
          <w:spacing w:val="-1"/>
        </w:rPr>
        <w:t xml:space="preserve"> </w:t>
      </w:r>
      <w:r>
        <w:t>sino también</w:t>
      </w:r>
      <w:r>
        <w:rPr>
          <w:spacing w:val="-2"/>
        </w:rPr>
        <w:t xml:space="preserve"> </w:t>
      </w:r>
      <w:r>
        <w:t>en promover</w:t>
      </w:r>
      <w:r>
        <w:rPr>
          <w:spacing w:val="-2"/>
        </w:rPr>
        <w:t xml:space="preserve"> </w:t>
      </w:r>
      <w:r>
        <w:t>activamente sociedades igualitarias, diversas e inclusivas.</w:t>
      </w:r>
    </w:p>
    <w:p w14:paraId="299B2B4C" w14:textId="77777777" w:rsidR="0014798C" w:rsidRDefault="0014798C">
      <w:pPr>
        <w:pStyle w:val="Textoindependiente"/>
        <w:rPr>
          <w:sz w:val="18"/>
        </w:rPr>
      </w:pPr>
    </w:p>
    <w:p w14:paraId="40D8D508" w14:textId="77777777" w:rsidR="0014798C" w:rsidRDefault="0014798C">
      <w:pPr>
        <w:pStyle w:val="Textoindependiente"/>
        <w:rPr>
          <w:sz w:val="18"/>
        </w:rPr>
      </w:pPr>
    </w:p>
    <w:p w14:paraId="59716640" w14:textId="77777777" w:rsidR="0014798C" w:rsidRDefault="0014798C">
      <w:pPr>
        <w:pStyle w:val="Textoindependiente"/>
        <w:rPr>
          <w:sz w:val="18"/>
        </w:rPr>
      </w:pPr>
    </w:p>
    <w:p w14:paraId="6E6C96FD" w14:textId="77777777" w:rsidR="0014798C" w:rsidRDefault="0014798C">
      <w:pPr>
        <w:pStyle w:val="Textoindependiente"/>
        <w:rPr>
          <w:sz w:val="18"/>
        </w:rPr>
      </w:pPr>
    </w:p>
    <w:p w14:paraId="56E95DC5" w14:textId="77777777" w:rsidR="0014798C" w:rsidRDefault="0014798C">
      <w:pPr>
        <w:pStyle w:val="Textoindependiente"/>
        <w:spacing w:before="142"/>
        <w:rPr>
          <w:sz w:val="18"/>
        </w:rPr>
      </w:pPr>
    </w:p>
    <w:p w14:paraId="51BF4421" w14:textId="77777777" w:rsidR="0014798C" w:rsidRPr="00537489" w:rsidRDefault="004E1F0B">
      <w:pPr>
        <w:ind w:left="448"/>
        <w:rPr>
          <w:sz w:val="18"/>
          <w:lang w:val="en-US"/>
        </w:rPr>
      </w:pPr>
      <w:r w:rsidRPr="00537489">
        <w:rPr>
          <w:spacing w:val="-4"/>
          <w:sz w:val="18"/>
          <w:lang w:val="en-US"/>
        </w:rPr>
        <w:t>xviii</w:t>
      </w:r>
    </w:p>
    <w:p w14:paraId="31A57F9B" w14:textId="77777777" w:rsidR="0014798C" w:rsidRPr="00537489" w:rsidRDefault="0014798C">
      <w:pPr>
        <w:rPr>
          <w:sz w:val="18"/>
          <w:lang w:val="en-US"/>
        </w:rPr>
        <w:sectPr w:rsidR="0014798C" w:rsidRPr="00537489" w:rsidSect="00F265E4">
          <w:headerReference w:type="default" r:id="rId35"/>
          <w:pgSz w:w="11900" w:h="16820"/>
          <w:pgMar w:top="40" w:right="0" w:bottom="280" w:left="200" w:header="0" w:footer="0" w:gutter="0"/>
          <w:cols w:space="720"/>
        </w:sectPr>
      </w:pPr>
    </w:p>
    <w:p w14:paraId="351D1A14" w14:textId="4477726B" w:rsidR="0014798C" w:rsidRPr="00537489" w:rsidRDefault="004E1F0B">
      <w:pPr>
        <w:spacing w:before="76"/>
        <w:ind w:left="113"/>
        <w:rPr>
          <w:sz w:val="21"/>
          <w:lang w:val="en-US"/>
        </w:rPr>
      </w:pPr>
      <w:r>
        <w:rPr>
          <w:noProof/>
        </w:rPr>
        <w:lastRenderedPageBreak/>
        <w:drawing>
          <wp:anchor distT="0" distB="0" distL="0" distR="0" simplePos="0" relativeHeight="251658355" behindDoc="1" locked="0" layoutInCell="1" allowOverlap="1" wp14:anchorId="6D58CF4B" wp14:editId="0315607E">
            <wp:simplePos x="0" y="0"/>
            <wp:positionH relativeFrom="page">
              <wp:posOffset>0</wp:posOffset>
            </wp:positionH>
            <wp:positionV relativeFrom="page">
              <wp:posOffset>0</wp:posOffset>
            </wp:positionV>
            <wp:extent cx="7556500" cy="10680700"/>
            <wp:effectExtent l="0" t="0" r="0" b="0"/>
            <wp:wrapNone/>
            <wp:docPr id="29" name="Image 2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9" name="Image 29"/>
                    <pic:cNvPicPr/>
                  </pic:nvPicPr>
                  <pic:blipFill>
                    <a:blip r:embed="rId29" cstate="print"/>
                    <a:stretch>
                      <a:fillRect/>
                    </a:stretch>
                  </pic:blipFill>
                  <pic:spPr>
                    <a:xfrm>
                      <a:off x="0" y="0"/>
                      <a:ext cx="7556500" cy="10680700"/>
                    </a:xfrm>
                    <a:prstGeom prst="rect">
                      <a:avLst/>
                    </a:prstGeom>
                  </pic:spPr>
                </pic:pic>
              </a:graphicData>
            </a:graphic>
          </wp:anchor>
        </w:drawing>
      </w:r>
    </w:p>
    <w:p w14:paraId="387E30A8" w14:textId="77777777" w:rsidR="0014798C" w:rsidRPr="00537489" w:rsidRDefault="0014798C">
      <w:pPr>
        <w:pStyle w:val="Textoindependiente"/>
        <w:spacing w:before="41"/>
        <w:rPr>
          <w:sz w:val="14"/>
          <w:lang w:val="en-US"/>
        </w:rPr>
      </w:pPr>
    </w:p>
    <w:p w14:paraId="5C1D6A22" w14:textId="77777777" w:rsidR="0014798C" w:rsidRPr="00537489" w:rsidRDefault="004E1F0B">
      <w:pPr>
        <w:ind w:left="1114"/>
        <w:rPr>
          <w:sz w:val="14"/>
          <w:lang w:val="en-US"/>
        </w:rPr>
      </w:pPr>
      <w:r w:rsidRPr="00537489">
        <w:rPr>
          <w:color w:val="0075BF"/>
          <w:sz w:val="14"/>
          <w:lang w:val="en-US"/>
        </w:rPr>
        <w:t>RESUMEN</w:t>
      </w:r>
      <w:r w:rsidRPr="00537489">
        <w:rPr>
          <w:color w:val="0075BF"/>
          <w:spacing w:val="15"/>
          <w:sz w:val="14"/>
          <w:lang w:val="en-US"/>
        </w:rPr>
        <w:t xml:space="preserve"> </w:t>
      </w:r>
      <w:r w:rsidRPr="00537489">
        <w:rPr>
          <w:color w:val="0075BF"/>
          <w:spacing w:val="-2"/>
          <w:sz w:val="14"/>
          <w:lang w:val="en-US"/>
        </w:rPr>
        <w:t>EJECUTIVO</w:t>
      </w:r>
    </w:p>
    <w:p w14:paraId="6F7D70AB" w14:textId="77777777" w:rsidR="0014798C" w:rsidRPr="00537489" w:rsidRDefault="0014798C">
      <w:pPr>
        <w:pStyle w:val="Textoindependiente"/>
        <w:rPr>
          <w:sz w:val="32"/>
          <w:lang w:val="en-US"/>
        </w:rPr>
      </w:pPr>
    </w:p>
    <w:p w14:paraId="3A58338D" w14:textId="77777777" w:rsidR="0014798C" w:rsidRPr="00537489" w:rsidRDefault="0014798C">
      <w:pPr>
        <w:pStyle w:val="Textoindependiente"/>
        <w:spacing w:before="192"/>
        <w:rPr>
          <w:sz w:val="32"/>
          <w:lang w:val="en-US"/>
        </w:rPr>
      </w:pPr>
    </w:p>
    <w:p w14:paraId="64BE838F" w14:textId="77777777" w:rsidR="0014798C" w:rsidRDefault="004E1F0B">
      <w:pPr>
        <w:pStyle w:val="Ttulo6"/>
        <w:numPr>
          <w:ilvl w:val="0"/>
          <w:numId w:val="97"/>
        </w:numPr>
        <w:tabs>
          <w:tab w:val="left" w:pos="1391"/>
        </w:tabs>
        <w:spacing w:before="1"/>
        <w:ind w:left="1391" w:hanging="271"/>
        <w:rPr>
          <w:color w:val="0075BF"/>
          <w:sz w:val="30"/>
        </w:rPr>
      </w:pPr>
      <w:r>
        <w:rPr>
          <w:color w:val="0075BF"/>
          <w:spacing w:val="-2"/>
        </w:rPr>
        <w:t>Conclusión</w:t>
      </w:r>
    </w:p>
    <w:p w14:paraId="7BC9EEE5" w14:textId="77777777" w:rsidR="0014798C" w:rsidRDefault="0014798C">
      <w:pPr>
        <w:pStyle w:val="Textoindependiente"/>
        <w:spacing w:before="1"/>
        <w:rPr>
          <w:sz w:val="17"/>
        </w:rPr>
      </w:pPr>
    </w:p>
    <w:p w14:paraId="0CDEC141" w14:textId="77777777" w:rsidR="0014798C" w:rsidRDefault="004E1F0B">
      <w:pPr>
        <w:spacing w:line="307" w:lineRule="auto"/>
        <w:ind w:left="1107" w:right="1272" w:firstLine="1"/>
        <w:rPr>
          <w:sz w:val="17"/>
        </w:rPr>
      </w:pPr>
      <w:r>
        <w:rPr>
          <w:sz w:val="17"/>
        </w:rPr>
        <w:t>Inevitablemente,</w:t>
      </w:r>
      <w:r>
        <w:rPr>
          <w:spacing w:val="-3"/>
          <w:sz w:val="17"/>
        </w:rPr>
        <w:t xml:space="preserve"> </w:t>
      </w:r>
      <w:r>
        <w:rPr>
          <w:sz w:val="17"/>
        </w:rPr>
        <w:t>la</w:t>
      </w:r>
      <w:r>
        <w:rPr>
          <w:spacing w:val="-4"/>
          <w:sz w:val="17"/>
        </w:rPr>
        <w:t xml:space="preserve"> </w:t>
      </w:r>
      <w:r>
        <w:rPr>
          <w:sz w:val="17"/>
        </w:rPr>
        <w:t>guía</w:t>
      </w:r>
      <w:r>
        <w:rPr>
          <w:spacing w:val="-4"/>
          <w:sz w:val="17"/>
        </w:rPr>
        <w:t xml:space="preserve"> </w:t>
      </w:r>
      <w:r>
        <w:rPr>
          <w:sz w:val="17"/>
        </w:rPr>
        <w:t>se</w:t>
      </w:r>
      <w:r>
        <w:rPr>
          <w:spacing w:val="-4"/>
          <w:sz w:val="17"/>
        </w:rPr>
        <w:t xml:space="preserve"> </w:t>
      </w:r>
      <w:r>
        <w:rPr>
          <w:sz w:val="17"/>
        </w:rPr>
        <w:t>centra</w:t>
      </w:r>
      <w:r>
        <w:rPr>
          <w:spacing w:val="-4"/>
          <w:sz w:val="17"/>
        </w:rPr>
        <w:t xml:space="preserve"> </w:t>
      </w:r>
      <w:r>
        <w:rPr>
          <w:sz w:val="17"/>
        </w:rPr>
        <w:t>en</w:t>
      </w:r>
      <w:r>
        <w:rPr>
          <w:spacing w:val="-4"/>
          <w:sz w:val="17"/>
        </w:rPr>
        <w:t xml:space="preserve"> </w:t>
      </w:r>
      <w:r>
        <w:rPr>
          <w:sz w:val="17"/>
        </w:rPr>
        <w:t>gran</w:t>
      </w:r>
      <w:r>
        <w:rPr>
          <w:spacing w:val="-4"/>
          <w:sz w:val="17"/>
        </w:rPr>
        <w:t xml:space="preserve"> </w:t>
      </w:r>
      <w:r>
        <w:rPr>
          <w:sz w:val="17"/>
        </w:rPr>
        <w:t>parte</w:t>
      </w:r>
      <w:r>
        <w:rPr>
          <w:spacing w:val="-4"/>
          <w:sz w:val="17"/>
        </w:rPr>
        <w:t xml:space="preserve"> </w:t>
      </w:r>
      <w:r>
        <w:rPr>
          <w:sz w:val="17"/>
        </w:rPr>
        <w:t>en</w:t>
      </w:r>
      <w:r>
        <w:rPr>
          <w:spacing w:val="-4"/>
          <w:sz w:val="17"/>
        </w:rPr>
        <w:t xml:space="preserve"> </w:t>
      </w:r>
      <w:r>
        <w:rPr>
          <w:sz w:val="17"/>
        </w:rPr>
        <w:t>las</w:t>
      </w:r>
      <w:r>
        <w:rPr>
          <w:spacing w:val="-4"/>
          <w:sz w:val="17"/>
        </w:rPr>
        <w:t xml:space="preserve"> </w:t>
      </w:r>
      <w:r>
        <w:rPr>
          <w:sz w:val="17"/>
        </w:rPr>
        <w:t>proscripciones</w:t>
      </w:r>
      <w:r>
        <w:rPr>
          <w:spacing w:val="-4"/>
          <w:sz w:val="17"/>
        </w:rPr>
        <w:t xml:space="preserve"> </w:t>
      </w:r>
      <w:r>
        <w:rPr>
          <w:sz w:val="17"/>
        </w:rPr>
        <w:t>negativas:</w:t>
      </w:r>
      <w:r>
        <w:rPr>
          <w:spacing w:val="-3"/>
          <w:sz w:val="17"/>
        </w:rPr>
        <w:t xml:space="preserve"> </w:t>
      </w:r>
      <w:r>
        <w:rPr>
          <w:sz w:val="17"/>
        </w:rPr>
        <w:t>en</w:t>
      </w:r>
      <w:r>
        <w:rPr>
          <w:spacing w:val="-4"/>
          <w:sz w:val="17"/>
        </w:rPr>
        <w:t xml:space="preserve"> </w:t>
      </w:r>
      <w:r>
        <w:rPr>
          <w:sz w:val="17"/>
        </w:rPr>
        <w:t>los</w:t>
      </w:r>
      <w:r>
        <w:rPr>
          <w:spacing w:val="-4"/>
          <w:sz w:val="17"/>
        </w:rPr>
        <w:t xml:space="preserve"> </w:t>
      </w:r>
      <w:r>
        <w:rPr>
          <w:sz w:val="17"/>
        </w:rPr>
        <w:t>deberes</w:t>
      </w:r>
      <w:r>
        <w:rPr>
          <w:spacing w:val="-4"/>
          <w:sz w:val="17"/>
        </w:rPr>
        <w:t xml:space="preserve"> </w:t>
      </w:r>
      <w:r>
        <w:rPr>
          <w:sz w:val="17"/>
        </w:rPr>
        <w:t>de</w:t>
      </w:r>
      <w:r>
        <w:rPr>
          <w:spacing w:val="-4"/>
          <w:sz w:val="17"/>
        </w:rPr>
        <w:t xml:space="preserve"> </w:t>
      </w:r>
      <w:r>
        <w:rPr>
          <w:sz w:val="17"/>
        </w:rPr>
        <w:t>los</w:t>
      </w:r>
      <w:r>
        <w:rPr>
          <w:spacing w:val="-4"/>
          <w:sz w:val="17"/>
        </w:rPr>
        <w:t xml:space="preserve"> </w:t>
      </w:r>
      <w:r>
        <w:rPr>
          <w:sz w:val="17"/>
        </w:rPr>
        <w:t>Estados</w:t>
      </w:r>
      <w:r>
        <w:rPr>
          <w:spacing w:val="-4"/>
          <w:sz w:val="17"/>
        </w:rPr>
        <w:t xml:space="preserve"> </w:t>
      </w:r>
      <w:r>
        <w:rPr>
          <w:sz w:val="17"/>
        </w:rPr>
        <w:t>de</w:t>
      </w:r>
      <w:r>
        <w:rPr>
          <w:spacing w:val="-4"/>
          <w:sz w:val="17"/>
        </w:rPr>
        <w:t xml:space="preserve"> </w:t>
      </w:r>
      <w:r>
        <w:rPr>
          <w:sz w:val="17"/>
        </w:rPr>
        <w:t>prohibir, prevenir</w:t>
      </w:r>
      <w:r>
        <w:rPr>
          <w:spacing w:val="-6"/>
          <w:sz w:val="17"/>
        </w:rPr>
        <w:t xml:space="preserve"> </w:t>
      </w:r>
      <w:r>
        <w:rPr>
          <w:sz w:val="17"/>
        </w:rPr>
        <w:t>y</w:t>
      </w:r>
      <w:r>
        <w:rPr>
          <w:spacing w:val="-6"/>
          <w:sz w:val="17"/>
        </w:rPr>
        <w:t xml:space="preserve"> </w:t>
      </w:r>
      <w:r>
        <w:rPr>
          <w:sz w:val="17"/>
        </w:rPr>
        <w:t>hacer</w:t>
      </w:r>
      <w:r>
        <w:rPr>
          <w:spacing w:val="-6"/>
          <w:sz w:val="17"/>
        </w:rPr>
        <w:t xml:space="preserve"> </w:t>
      </w:r>
      <w:r>
        <w:rPr>
          <w:sz w:val="17"/>
        </w:rPr>
        <w:t>cumplir.</w:t>
      </w:r>
      <w:r>
        <w:rPr>
          <w:spacing w:val="-5"/>
          <w:sz w:val="17"/>
        </w:rPr>
        <w:t xml:space="preserve"> </w:t>
      </w:r>
      <w:r>
        <w:rPr>
          <w:sz w:val="17"/>
        </w:rPr>
        <w:t>Estas</w:t>
      </w:r>
      <w:r>
        <w:rPr>
          <w:spacing w:val="-6"/>
          <w:sz w:val="17"/>
        </w:rPr>
        <w:t xml:space="preserve"> </w:t>
      </w:r>
      <w:r>
        <w:rPr>
          <w:sz w:val="17"/>
        </w:rPr>
        <w:t>medidas</w:t>
      </w:r>
      <w:r>
        <w:rPr>
          <w:spacing w:val="-6"/>
          <w:sz w:val="17"/>
        </w:rPr>
        <w:t xml:space="preserve"> </w:t>
      </w:r>
      <w:r>
        <w:rPr>
          <w:sz w:val="17"/>
        </w:rPr>
        <w:t>son</w:t>
      </w:r>
      <w:r>
        <w:rPr>
          <w:spacing w:val="-6"/>
          <w:sz w:val="17"/>
        </w:rPr>
        <w:t xml:space="preserve"> </w:t>
      </w:r>
      <w:r>
        <w:rPr>
          <w:sz w:val="17"/>
        </w:rPr>
        <w:t>absolutamente</w:t>
      </w:r>
      <w:r>
        <w:rPr>
          <w:spacing w:val="-6"/>
          <w:sz w:val="17"/>
        </w:rPr>
        <w:t xml:space="preserve"> </w:t>
      </w:r>
      <w:r>
        <w:rPr>
          <w:sz w:val="17"/>
        </w:rPr>
        <w:t>necesarias</w:t>
      </w:r>
      <w:r>
        <w:rPr>
          <w:spacing w:val="-6"/>
          <w:sz w:val="17"/>
        </w:rPr>
        <w:t xml:space="preserve"> </w:t>
      </w:r>
      <w:r>
        <w:rPr>
          <w:sz w:val="17"/>
        </w:rPr>
        <w:t>y</w:t>
      </w:r>
      <w:r>
        <w:rPr>
          <w:spacing w:val="-6"/>
          <w:sz w:val="17"/>
        </w:rPr>
        <w:t xml:space="preserve"> </w:t>
      </w:r>
      <w:r>
        <w:rPr>
          <w:sz w:val="17"/>
        </w:rPr>
        <w:t>esenciales</w:t>
      </w:r>
      <w:r>
        <w:rPr>
          <w:spacing w:val="-6"/>
          <w:sz w:val="17"/>
        </w:rPr>
        <w:t xml:space="preserve"> </w:t>
      </w:r>
      <w:r>
        <w:rPr>
          <w:sz w:val="17"/>
        </w:rPr>
        <w:t>para</w:t>
      </w:r>
      <w:r>
        <w:rPr>
          <w:spacing w:val="-6"/>
          <w:sz w:val="17"/>
        </w:rPr>
        <w:t xml:space="preserve"> </w:t>
      </w:r>
      <w:r>
        <w:rPr>
          <w:sz w:val="17"/>
        </w:rPr>
        <w:t>que</w:t>
      </w:r>
      <w:r>
        <w:rPr>
          <w:spacing w:val="-6"/>
          <w:sz w:val="17"/>
        </w:rPr>
        <w:t xml:space="preserve"> </w:t>
      </w:r>
      <w:r>
        <w:rPr>
          <w:sz w:val="17"/>
        </w:rPr>
        <w:t>los</w:t>
      </w:r>
      <w:r>
        <w:rPr>
          <w:spacing w:val="-6"/>
          <w:sz w:val="17"/>
        </w:rPr>
        <w:t xml:space="preserve"> </w:t>
      </w:r>
      <w:r>
        <w:rPr>
          <w:sz w:val="17"/>
        </w:rPr>
        <w:t>Estados</w:t>
      </w:r>
      <w:r>
        <w:rPr>
          <w:spacing w:val="-6"/>
          <w:sz w:val="17"/>
        </w:rPr>
        <w:t xml:space="preserve"> </w:t>
      </w:r>
      <w:r>
        <w:rPr>
          <w:sz w:val="17"/>
        </w:rPr>
        <w:t>cumplan</w:t>
      </w:r>
      <w:r>
        <w:rPr>
          <w:spacing w:val="-6"/>
          <w:sz w:val="17"/>
        </w:rPr>
        <w:t xml:space="preserve"> </w:t>
      </w:r>
      <w:r>
        <w:rPr>
          <w:sz w:val="17"/>
        </w:rPr>
        <w:t>con</w:t>
      </w:r>
      <w:r>
        <w:rPr>
          <w:spacing w:val="-6"/>
          <w:sz w:val="17"/>
        </w:rPr>
        <w:t xml:space="preserve"> </w:t>
      </w:r>
      <w:r>
        <w:rPr>
          <w:sz w:val="17"/>
        </w:rPr>
        <w:t>sus obligaciones de respetar, proteger y hacer realidad el derecho a la no discriminación. Sin embargo, la adopción de tales leyes no representa un fin sino un comienzo: no un techo, sino un piso sobre el cual construir. En última instancia, los Estados sólo harán realidad los derechos a la igualdad y la no discriminación adoptando leyes integrales contra la discriminación y utilizando esas leyes como plataforma o base para un esfuerzo de todo el sistema para promover y lograr una sociedad igualitaria, diversa e inclusiva.</w:t>
      </w:r>
    </w:p>
    <w:p w14:paraId="58A88A0B" w14:textId="77777777" w:rsidR="0014798C" w:rsidRDefault="0014798C">
      <w:pPr>
        <w:pStyle w:val="Textoindependiente"/>
        <w:rPr>
          <w:sz w:val="17"/>
        </w:rPr>
      </w:pPr>
    </w:p>
    <w:p w14:paraId="54C4A103" w14:textId="77777777" w:rsidR="0014798C" w:rsidRDefault="0014798C">
      <w:pPr>
        <w:pStyle w:val="Textoindependiente"/>
        <w:rPr>
          <w:sz w:val="17"/>
        </w:rPr>
      </w:pPr>
    </w:p>
    <w:p w14:paraId="1661C1D7" w14:textId="77777777" w:rsidR="0014798C" w:rsidRDefault="0014798C">
      <w:pPr>
        <w:pStyle w:val="Textoindependiente"/>
        <w:rPr>
          <w:sz w:val="17"/>
        </w:rPr>
      </w:pPr>
    </w:p>
    <w:p w14:paraId="3F560F1A" w14:textId="77777777" w:rsidR="0014798C" w:rsidRDefault="0014798C">
      <w:pPr>
        <w:pStyle w:val="Textoindependiente"/>
        <w:rPr>
          <w:sz w:val="17"/>
        </w:rPr>
      </w:pPr>
    </w:p>
    <w:p w14:paraId="638E228C" w14:textId="77777777" w:rsidR="0014798C" w:rsidRDefault="0014798C">
      <w:pPr>
        <w:pStyle w:val="Textoindependiente"/>
        <w:rPr>
          <w:sz w:val="17"/>
        </w:rPr>
      </w:pPr>
    </w:p>
    <w:p w14:paraId="5ED04759" w14:textId="77777777" w:rsidR="0014798C" w:rsidRDefault="0014798C">
      <w:pPr>
        <w:pStyle w:val="Textoindependiente"/>
        <w:rPr>
          <w:sz w:val="17"/>
        </w:rPr>
      </w:pPr>
    </w:p>
    <w:p w14:paraId="774E1026" w14:textId="77777777" w:rsidR="0014798C" w:rsidRDefault="0014798C">
      <w:pPr>
        <w:pStyle w:val="Textoindependiente"/>
        <w:rPr>
          <w:sz w:val="17"/>
        </w:rPr>
      </w:pPr>
    </w:p>
    <w:p w14:paraId="08CE7473" w14:textId="77777777" w:rsidR="0014798C" w:rsidRDefault="0014798C">
      <w:pPr>
        <w:pStyle w:val="Textoindependiente"/>
        <w:rPr>
          <w:sz w:val="17"/>
        </w:rPr>
      </w:pPr>
    </w:p>
    <w:p w14:paraId="73560FF4" w14:textId="77777777" w:rsidR="0014798C" w:rsidRDefault="0014798C">
      <w:pPr>
        <w:pStyle w:val="Textoindependiente"/>
        <w:rPr>
          <w:sz w:val="17"/>
        </w:rPr>
      </w:pPr>
    </w:p>
    <w:p w14:paraId="47AEFBFA" w14:textId="77777777" w:rsidR="0014798C" w:rsidRDefault="0014798C">
      <w:pPr>
        <w:pStyle w:val="Textoindependiente"/>
        <w:rPr>
          <w:sz w:val="17"/>
        </w:rPr>
      </w:pPr>
    </w:p>
    <w:p w14:paraId="1F0574DF" w14:textId="77777777" w:rsidR="0014798C" w:rsidRDefault="0014798C">
      <w:pPr>
        <w:pStyle w:val="Textoindependiente"/>
        <w:rPr>
          <w:sz w:val="17"/>
        </w:rPr>
      </w:pPr>
    </w:p>
    <w:p w14:paraId="2F615AB1" w14:textId="77777777" w:rsidR="0014798C" w:rsidRDefault="0014798C">
      <w:pPr>
        <w:pStyle w:val="Textoindependiente"/>
        <w:rPr>
          <w:sz w:val="17"/>
        </w:rPr>
      </w:pPr>
    </w:p>
    <w:p w14:paraId="44E0FD4F" w14:textId="77777777" w:rsidR="0014798C" w:rsidRDefault="0014798C">
      <w:pPr>
        <w:pStyle w:val="Textoindependiente"/>
        <w:rPr>
          <w:sz w:val="17"/>
        </w:rPr>
      </w:pPr>
    </w:p>
    <w:p w14:paraId="0662A4B5" w14:textId="77777777" w:rsidR="0014798C" w:rsidRDefault="0014798C">
      <w:pPr>
        <w:pStyle w:val="Textoindependiente"/>
        <w:rPr>
          <w:sz w:val="17"/>
        </w:rPr>
      </w:pPr>
    </w:p>
    <w:p w14:paraId="1155618A" w14:textId="77777777" w:rsidR="0014798C" w:rsidRDefault="0014798C">
      <w:pPr>
        <w:pStyle w:val="Textoindependiente"/>
        <w:rPr>
          <w:sz w:val="17"/>
        </w:rPr>
      </w:pPr>
    </w:p>
    <w:p w14:paraId="138B9DF0" w14:textId="77777777" w:rsidR="0014798C" w:rsidRDefault="0014798C">
      <w:pPr>
        <w:pStyle w:val="Textoindependiente"/>
        <w:rPr>
          <w:sz w:val="17"/>
        </w:rPr>
      </w:pPr>
    </w:p>
    <w:p w14:paraId="6E36B981" w14:textId="77777777" w:rsidR="0014798C" w:rsidRDefault="0014798C">
      <w:pPr>
        <w:pStyle w:val="Textoindependiente"/>
        <w:rPr>
          <w:sz w:val="17"/>
        </w:rPr>
      </w:pPr>
    </w:p>
    <w:p w14:paraId="44778858" w14:textId="77777777" w:rsidR="0014798C" w:rsidRDefault="0014798C">
      <w:pPr>
        <w:pStyle w:val="Textoindependiente"/>
        <w:rPr>
          <w:sz w:val="17"/>
        </w:rPr>
      </w:pPr>
    </w:p>
    <w:p w14:paraId="38B662D3" w14:textId="77777777" w:rsidR="0014798C" w:rsidRDefault="0014798C">
      <w:pPr>
        <w:pStyle w:val="Textoindependiente"/>
        <w:rPr>
          <w:sz w:val="17"/>
        </w:rPr>
      </w:pPr>
    </w:p>
    <w:p w14:paraId="47F9FDBC" w14:textId="77777777" w:rsidR="0014798C" w:rsidRDefault="0014798C">
      <w:pPr>
        <w:pStyle w:val="Textoindependiente"/>
        <w:rPr>
          <w:sz w:val="17"/>
        </w:rPr>
      </w:pPr>
    </w:p>
    <w:p w14:paraId="5C880144" w14:textId="77777777" w:rsidR="0014798C" w:rsidRDefault="0014798C">
      <w:pPr>
        <w:pStyle w:val="Textoindependiente"/>
        <w:rPr>
          <w:sz w:val="17"/>
        </w:rPr>
      </w:pPr>
    </w:p>
    <w:p w14:paraId="68A58416" w14:textId="77777777" w:rsidR="0014798C" w:rsidRDefault="0014798C">
      <w:pPr>
        <w:pStyle w:val="Textoindependiente"/>
        <w:rPr>
          <w:sz w:val="17"/>
        </w:rPr>
      </w:pPr>
    </w:p>
    <w:p w14:paraId="30C93FE5" w14:textId="77777777" w:rsidR="0014798C" w:rsidRDefault="0014798C">
      <w:pPr>
        <w:pStyle w:val="Textoindependiente"/>
        <w:rPr>
          <w:sz w:val="17"/>
        </w:rPr>
      </w:pPr>
    </w:p>
    <w:p w14:paraId="33A5105B" w14:textId="77777777" w:rsidR="0014798C" w:rsidRDefault="0014798C">
      <w:pPr>
        <w:pStyle w:val="Textoindependiente"/>
        <w:rPr>
          <w:sz w:val="17"/>
        </w:rPr>
      </w:pPr>
    </w:p>
    <w:p w14:paraId="5E713691" w14:textId="77777777" w:rsidR="0014798C" w:rsidRDefault="0014798C">
      <w:pPr>
        <w:pStyle w:val="Textoindependiente"/>
        <w:rPr>
          <w:sz w:val="17"/>
        </w:rPr>
      </w:pPr>
    </w:p>
    <w:p w14:paraId="38474BC4" w14:textId="77777777" w:rsidR="0014798C" w:rsidRDefault="0014798C">
      <w:pPr>
        <w:pStyle w:val="Textoindependiente"/>
        <w:rPr>
          <w:sz w:val="17"/>
        </w:rPr>
      </w:pPr>
    </w:p>
    <w:p w14:paraId="2232780B" w14:textId="77777777" w:rsidR="0014798C" w:rsidRDefault="0014798C">
      <w:pPr>
        <w:pStyle w:val="Textoindependiente"/>
        <w:rPr>
          <w:sz w:val="17"/>
        </w:rPr>
      </w:pPr>
    </w:p>
    <w:p w14:paraId="05340FAC" w14:textId="77777777" w:rsidR="0014798C" w:rsidRDefault="0014798C">
      <w:pPr>
        <w:pStyle w:val="Textoindependiente"/>
        <w:rPr>
          <w:sz w:val="17"/>
        </w:rPr>
      </w:pPr>
    </w:p>
    <w:p w14:paraId="3949EC83" w14:textId="77777777" w:rsidR="0014798C" w:rsidRDefault="0014798C">
      <w:pPr>
        <w:pStyle w:val="Textoindependiente"/>
        <w:rPr>
          <w:sz w:val="17"/>
        </w:rPr>
      </w:pPr>
    </w:p>
    <w:p w14:paraId="64032BD0" w14:textId="77777777" w:rsidR="0014798C" w:rsidRDefault="0014798C">
      <w:pPr>
        <w:pStyle w:val="Textoindependiente"/>
        <w:rPr>
          <w:sz w:val="17"/>
        </w:rPr>
      </w:pPr>
    </w:p>
    <w:p w14:paraId="68B4BCAD" w14:textId="77777777" w:rsidR="0014798C" w:rsidRDefault="0014798C">
      <w:pPr>
        <w:pStyle w:val="Textoindependiente"/>
        <w:rPr>
          <w:sz w:val="17"/>
        </w:rPr>
      </w:pPr>
    </w:p>
    <w:p w14:paraId="78B72B2F" w14:textId="77777777" w:rsidR="0014798C" w:rsidRDefault="0014798C">
      <w:pPr>
        <w:pStyle w:val="Textoindependiente"/>
        <w:rPr>
          <w:sz w:val="17"/>
        </w:rPr>
      </w:pPr>
    </w:p>
    <w:p w14:paraId="2600B152" w14:textId="77777777" w:rsidR="0014798C" w:rsidRDefault="0014798C">
      <w:pPr>
        <w:pStyle w:val="Textoindependiente"/>
        <w:rPr>
          <w:sz w:val="17"/>
        </w:rPr>
      </w:pPr>
    </w:p>
    <w:p w14:paraId="039F6B63" w14:textId="77777777" w:rsidR="0014798C" w:rsidRDefault="0014798C">
      <w:pPr>
        <w:pStyle w:val="Textoindependiente"/>
        <w:rPr>
          <w:sz w:val="17"/>
        </w:rPr>
      </w:pPr>
    </w:p>
    <w:p w14:paraId="15E76B37" w14:textId="77777777" w:rsidR="0014798C" w:rsidRDefault="0014798C">
      <w:pPr>
        <w:pStyle w:val="Textoindependiente"/>
        <w:rPr>
          <w:sz w:val="17"/>
        </w:rPr>
      </w:pPr>
    </w:p>
    <w:p w14:paraId="6A08E3EF" w14:textId="77777777" w:rsidR="0014798C" w:rsidRDefault="0014798C">
      <w:pPr>
        <w:pStyle w:val="Textoindependiente"/>
        <w:rPr>
          <w:sz w:val="17"/>
        </w:rPr>
      </w:pPr>
    </w:p>
    <w:p w14:paraId="721D488C" w14:textId="77777777" w:rsidR="0014798C" w:rsidRDefault="0014798C">
      <w:pPr>
        <w:pStyle w:val="Textoindependiente"/>
        <w:rPr>
          <w:sz w:val="17"/>
        </w:rPr>
      </w:pPr>
    </w:p>
    <w:p w14:paraId="6875254F" w14:textId="77777777" w:rsidR="0014798C" w:rsidRDefault="0014798C">
      <w:pPr>
        <w:pStyle w:val="Textoindependiente"/>
        <w:rPr>
          <w:sz w:val="17"/>
        </w:rPr>
      </w:pPr>
    </w:p>
    <w:p w14:paraId="71252AAD" w14:textId="77777777" w:rsidR="0014798C" w:rsidRDefault="0014798C">
      <w:pPr>
        <w:pStyle w:val="Textoindependiente"/>
        <w:rPr>
          <w:sz w:val="17"/>
        </w:rPr>
      </w:pPr>
    </w:p>
    <w:p w14:paraId="39E32D07" w14:textId="77777777" w:rsidR="0014798C" w:rsidRDefault="0014798C">
      <w:pPr>
        <w:pStyle w:val="Textoindependiente"/>
        <w:rPr>
          <w:sz w:val="17"/>
        </w:rPr>
      </w:pPr>
    </w:p>
    <w:p w14:paraId="5B433AE3" w14:textId="77777777" w:rsidR="0014798C" w:rsidRDefault="0014798C">
      <w:pPr>
        <w:pStyle w:val="Textoindependiente"/>
        <w:rPr>
          <w:sz w:val="17"/>
        </w:rPr>
      </w:pPr>
    </w:p>
    <w:p w14:paraId="3D36EC09" w14:textId="77777777" w:rsidR="0014798C" w:rsidRDefault="0014798C">
      <w:pPr>
        <w:pStyle w:val="Textoindependiente"/>
        <w:rPr>
          <w:sz w:val="17"/>
        </w:rPr>
      </w:pPr>
    </w:p>
    <w:p w14:paraId="7F09D960" w14:textId="77777777" w:rsidR="0014798C" w:rsidRDefault="0014798C">
      <w:pPr>
        <w:pStyle w:val="Textoindependiente"/>
        <w:rPr>
          <w:sz w:val="17"/>
        </w:rPr>
      </w:pPr>
    </w:p>
    <w:p w14:paraId="37E53C59" w14:textId="77777777" w:rsidR="0014798C" w:rsidRDefault="0014798C">
      <w:pPr>
        <w:pStyle w:val="Textoindependiente"/>
        <w:rPr>
          <w:sz w:val="17"/>
        </w:rPr>
      </w:pPr>
    </w:p>
    <w:p w14:paraId="70490190" w14:textId="77777777" w:rsidR="0014798C" w:rsidRDefault="0014798C">
      <w:pPr>
        <w:pStyle w:val="Textoindependiente"/>
        <w:rPr>
          <w:sz w:val="17"/>
        </w:rPr>
      </w:pPr>
    </w:p>
    <w:p w14:paraId="3BCDEC58" w14:textId="77777777" w:rsidR="0014798C" w:rsidRDefault="0014798C">
      <w:pPr>
        <w:pStyle w:val="Textoindependiente"/>
        <w:rPr>
          <w:sz w:val="17"/>
        </w:rPr>
      </w:pPr>
    </w:p>
    <w:p w14:paraId="65F0CFB2" w14:textId="77777777" w:rsidR="0014798C" w:rsidRDefault="0014798C">
      <w:pPr>
        <w:pStyle w:val="Textoindependiente"/>
        <w:rPr>
          <w:sz w:val="17"/>
        </w:rPr>
      </w:pPr>
    </w:p>
    <w:p w14:paraId="625CD6CC" w14:textId="77777777" w:rsidR="0014798C" w:rsidRDefault="0014798C">
      <w:pPr>
        <w:pStyle w:val="Textoindependiente"/>
        <w:rPr>
          <w:sz w:val="17"/>
        </w:rPr>
      </w:pPr>
    </w:p>
    <w:p w14:paraId="1EA948F9" w14:textId="77777777" w:rsidR="0014798C" w:rsidRDefault="0014798C">
      <w:pPr>
        <w:pStyle w:val="Textoindependiente"/>
        <w:rPr>
          <w:sz w:val="17"/>
        </w:rPr>
      </w:pPr>
    </w:p>
    <w:p w14:paraId="5F612B68" w14:textId="77777777" w:rsidR="0014798C" w:rsidRDefault="0014798C">
      <w:pPr>
        <w:pStyle w:val="Textoindependiente"/>
        <w:rPr>
          <w:sz w:val="17"/>
        </w:rPr>
      </w:pPr>
    </w:p>
    <w:p w14:paraId="2DCB2267" w14:textId="77777777" w:rsidR="0014798C" w:rsidRDefault="0014798C">
      <w:pPr>
        <w:pStyle w:val="Textoindependiente"/>
        <w:rPr>
          <w:sz w:val="17"/>
        </w:rPr>
      </w:pPr>
    </w:p>
    <w:p w14:paraId="64F3994A" w14:textId="77777777" w:rsidR="0014798C" w:rsidRDefault="0014798C">
      <w:pPr>
        <w:pStyle w:val="Textoindependiente"/>
        <w:rPr>
          <w:sz w:val="17"/>
        </w:rPr>
      </w:pPr>
    </w:p>
    <w:p w14:paraId="704C9DD9" w14:textId="77777777" w:rsidR="0014798C" w:rsidRDefault="0014798C">
      <w:pPr>
        <w:pStyle w:val="Textoindependiente"/>
        <w:rPr>
          <w:sz w:val="17"/>
        </w:rPr>
      </w:pPr>
    </w:p>
    <w:p w14:paraId="4650723C" w14:textId="77777777" w:rsidR="0014798C" w:rsidRDefault="0014798C">
      <w:pPr>
        <w:pStyle w:val="Textoindependiente"/>
        <w:rPr>
          <w:sz w:val="17"/>
        </w:rPr>
      </w:pPr>
    </w:p>
    <w:p w14:paraId="173B50ED" w14:textId="77777777" w:rsidR="0014798C" w:rsidRDefault="0014798C">
      <w:pPr>
        <w:pStyle w:val="Textoindependiente"/>
        <w:rPr>
          <w:sz w:val="17"/>
        </w:rPr>
      </w:pPr>
    </w:p>
    <w:p w14:paraId="599C4181" w14:textId="77777777" w:rsidR="0014798C" w:rsidRDefault="0014798C">
      <w:pPr>
        <w:pStyle w:val="Textoindependiente"/>
        <w:rPr>
          <w:sz w:val="17"/>
        </w:rPr>
      </w:pPr>
    </w:p>
    <w:p w14:paraId="5A89CE8C" w14:textId="77777777" w:rsidR="0014798C" w:rsidRDefault="0014798C">
      <w:pPr>
        <w:pStyle w:val="Textoindependiente"/>
        <w:rPr>
          <w:sz w:val="17"/>
        </w:rPr>
      </w:pPr>
    </w:p>
    <w:p w14:paraId="73C5C525" w14:textId="77777777" w:rsidR="0014798C" w:rsidRDefault="0014798C">
      <w:pPr>
        <w:pStyle w:val="Textoindependiente"/>
        <w:rPr>
          <w:sz w:val="17"/>
        </w:rPr>
      </w:pPr>
    </w:p>
    <w:p w14:paraId="0529190D" w14:textId="77777777" w:rsidR="0014798C" w:rsidRDefault="0014798C">
      <w:pPr>
        <w:pStyle w:val="Textoindependiente"/>
        <w:rPr>
          <w:sz w:val="17"/>
        </w:rPr>
      </w:pPr>
    </w:p>
    <w:p w14:paraId="14B2BDE6" w14:textId="77777777" w:rsidR="0014798C" w:rsidRDefault="0014798C">
      <w:pPr>
        <w:pStyle w:val="Textoindependiente"/>
        <w:rPr>
          <w:sz w:val="17"/>
        </w:rPr>
      </w:pPr>
    </w:p>
    <w:p w14:paraId="282BE08C" w14:textId="77777777" w:rsidR="0014798C" w:rsidRDefault="0014798C">
      <w:pPr>
        <w:pStyle w:val="Textoindependiente"/>
        <w:spacing w:before="194"/>
        <w:rPr>
          <w:sz w:val="17"/>
        </w:rPr>
      </w:pPr>
    </w:p>
    <w:p w14:paraId="365212FB" w14:textId="77777777" w:rsidR="0014798C" w:rsidRDefault="004E1F0B">
      <w:pPr>
        <w:ind w:right="734"/>
        <w:jc w:val="right"/>
        <w:rPr>
          <w:sz w:val="17"/>
        </w:rPr>
      </w:pPr>
      <w:proofErr w:type="spellStart"/>
      <w:r>
        <w:rPr>
          <w:spacing w:val="-5"/>
          <w:sz w:val="17"/>
        </w:rPr>
        <w:t>xix</w:t>
      </w:r>
      <w:proofErr w:type="spellEnd"/>
    </w:p>
    <w:p w14:paraId="05AF02E6" w14:textId="77777777" w:rsidR="0014798C" w:rsidRDefault="0014798C">
      <w:pPr>
        <w:jc w:val="right"/>
        <w:rPr>
          <w:sz w:val="17"/>
        </w:rPr>
        <w:sectPr w:rsidR="0014798C" w:rsidSect="00F265E4">
          <w:headerReference w:type="default" r:id="rId36"/>
          <w:pgSz w:w="11900" w:h="16820"/>
          <w:pgMar w:top="40" w:right="0" w:bottom="280" w:left="200" w:header="0" w:footer="0" w:gutter="0"/>
          <w:cols w:space="720"/>
        </w:sectPr>
      </w:pPr>
    </w:p>
    <w:p w14:paraId="260EF19F" w14:textId="77777777" w:rsidR="0014798C" w:rsidRDefault="0014798C">
      <w:pPr>
        <w:pStyle w:val="Textoindependiente"/>
        <w:rPr>
          <w:sz w:val="40"/>
        </w:rPr>
      </w:pPr>
    </w:p>
    <w:p w14:paraId="26581FDA" w14:textId="77777777" w:rsidR="0014798C" w:rsidRDefault="0014798C">
      <w:pPr>
        <w:pStyle w:val="Textoindependiente"/>
        <w:spacing w:before="431"/>
        <w:rPr>
          <w:sz w:val="40"/>
        </w:rPr>
      </w:pPr>
    </w:p>
    <w:p w14:paraId="1DCAC5CA" w14:textId="77777777" w:rsidR="0014798C" w:rsidRDefault="004E1F0B">
      <w:pPr>
        <w:pStyle w:val="Ttulo4"/>
      </w:pPr>
      <w:bookmarkStart w:id="3" w:name="_TOC_250008"/>
      <w:bookmarkEnd w:id="3"/>
      <w:r>
        <w:rPr>
          <w:spacing w:val="-2"/>
        </w:rPr>
        <w:t>INTRODUCCIÓN</w:t>
      </w:r>
    </w:p>
    <w:p w14:paraId="071296D3" w14:textId="77777777" w:rsidR="0014798C" w:rsidRDefault="0014798C">
      <w:pPr>
        <w:pStyle w:val="Textoindependiente"/>
        <w:spacing w:before="98"/>
      </w:pPr>
    </w:p>
    <w:p w14:paraId="6F30D838" w14:textId="77777777" w:rsidR="0014798C" w:rsidRDefault="004E1F0B">
      <w:pPr>
        <w:pStyle w:val="Textoindependiente"/>
        <w:ind w:left="1108"/>
      </w:pPr>
      <w:r>
        <w:t>La</w:t>
      </w:r>
      <w:r>
        <w:rPr>
          <w:spacing w:val="-9"/>
        </w:rPr>
        <w:t xml:space="preserve"> </w:t>
      </w:r>
      <w:r>
        <w:t>desigualdad</w:t>
      </w:r>
      <w:r>
        <w:rPr>
          <w:spacing w:val="-9"/>
        </w:rPr>
        <w:t xml:space="preserve"> </w:t>
      </w:r>
      <w:r>
        <w:t>menoscaba</w:t>
      </w:r>
      <w:r>
        <w:rPr>
          <w:spacing w:val="-8"/>
        </w:rPr>
        <w:t xml:space="preserve"> </w:t>
      </w:r>
      <w:r>
        <w:t>la</w:t>
      </w:r>
      <w:r>
        <w:rPr>
          <w:spacing w:val="-9"/>
        </w:rPr>
        <w:t xml:space="preserve"> </w:t>
      </w:r>
      <w:r>
        <w:t>dignidad</w:t>
      </w:r>
      <w:r>
        <w:rPr>
          <w:spacing w:val="-9"/>
        </w:rPr>
        <w:t xml:space="preserve"> </w:t>
      </w:r>
      <w:r>
        <w:t>humana,</w:t>
      </w:r>
      <w:r>
        <w:rPr>
          <w:spacing w:val="-7"/>
        </w:rPr>
        <w:t xml:space="preserve"> </w:t>
      </w:r>
      <w:r>
        <w:t>causa</w:t>
      </w:r>
      <w:r>
        <w:rPr>
          <w:spacing w:val="-9"/>
        </w:rPr>
        <w:t xml:space="preserve"> </w:t>
      </w:r>
      <w:r>
        <w:t>y</w:t>
      </w:r>
      <w:r>
        <w:rPr>
          <w:spacing w:val="-8"/>
        </w:rPr>
        <w:t xml:space="preserve"> </w:t>
      </w:r>
      <w:r>
        <w:t>perpetúa</w:t>
      </w:r>
      <w:r>
        <w:rPr>
          <w:spacing w:val="-9"/>
        </w:rPr>
        <w:t xml:space="preserve"> </w:t>
      </w:r>
      <w:r>
        <w:t>la</w:t>
      </w:r>
      <w:r>
        <w:rPr>
          <w:spacing w:val="-9"/>
        </w:rPr>
        <w:t xml:space="preserve"> </w:t>
      </w:r>
      <w:r>
        <w:t>pobreza</w:t>
      </w:r>
      <w:r>
        <w:rPr>
          <w:spacing w:val="-8"/>
        </w:rPr>
        <w:t xml:space="preserve"> </w:t>
      </w:r>
      <w:r>
        <w:t>y</w:t>
      </w:r>
      <w:r>
        <w:rPr>
          <w:spacing w:val="-9"/>
        </w:rPr>
        <w:t xml:space="preserve"> </w:t>
      </w:r>
      <w:r>
        <w:t>limita</w:t>
      </w:r>
      <w:r>
        <w:rPr>
          <w:spacing w:val="-9"/>
        </w:rPr>
        <w:t xml:space="preserve"> </w:t>
      </w:r>
      <w:r>
        <w:t>el</w:t>
      </w:r>
      <w:r>
        <w:rPr>
          <w:spacing w:val="-8"/>
        </w:rPr>
        <w:t xml:space="preserve"> </w:t>
      </w:r>
      <w:r>
        <w:t>disfrute</w:t>
      </w:r>
      <w:r>
        <w:rPr>
          <w:spacing w:val="-9"/>
        </w:rPr>
        <w:t xml:space="preserve"> </w:t>
      </w:r>
      <w:r>
        <w:t>de</w:t>
      </w:r>
      <w:r>
        <w:rPr>
          <w:spacing w:val="-8"/>
        </w:rPr>
        <w:t xml:space="preserve"> </w:t>
      </w:r>
      <w:r>
        <w:t>los</w:t>
      </w:r>
      <w:r>
        <w:rPr>
          <w:spacing w:val="-9"/>
        </w:rPr>
        <w:t xml:space="preserve"> </w:t>
      </w:r>
      <w:r>
        <w:t>derechos</w:t>
      </w:r>
      <w:r>
        <w:rPr>
          <w:spacing w:val="-9"/>
        </w:rPr>
        <w:t xml:space="preserve"> </w:t>
      </w:r>
      <w:r>
        <w:rPr>
          <w:spacing w:val="-2"/>
        </w:rPr>
        <w:t>humanos.</w:t>
      </w:r>
    </w:p>
    <w:p w14:paraId="3FE3C5B1" w14:textId="77777777" w:rsidR="0014798C" w:rsidRDefault="0014798C">
      <w:pPr>
        <w:pStyle w:val="Textoindependiente"/>
        <w:spacing w:before="51"/>
      </w:pPr>
    </w:p>
    <w:p w14:paraId="20240021" w14:textId="77777777" w:rsidR="0014798C" w:rsidRDefault="004E1F0B">
      <w:pPr>
        <w:pStyle w:val="Textoindependiente"/>
        <w:spacing w:line="326" w:lineRule="auto"/>
        <w:ind w:left="1107" w:right="1272" w:firstLine="1"/>
      </w:pPr>
      <w:r>
        <w:t>La</w:t>
      </w:r>
      <w:r>
        <w:rPr>
          <w:spacing w:val="-2"/>
        </w:rPr>
        <w:t xml:space="preserve"> </w:t>
      </w:r>
      <w:r>
        <w:t>desigualdad</w:t>
      </w:r>
      <w:r>
        <w:rPr>
          <w:spacing w:val="-2"/>
        </w:rPr>
        <w:t xml:space="preserve"> </w:t>
      </w:r>
      <w:r>
        <w:t>es</w:t>
      </w:r>
      <w:r>
        <w:rPr>
          <w:spacing w:val="-2"/>
        </w:rPr>
        <w:t xml:space="preserve"> </w:t>
      </w:r>
      <w:r>
        <w:t>una</w:t>
      </w:r>
      <w:r>
        <w:rPr>
          <w:spacing w:val="-2"/>
        </w:rPr>
        <w:t xml:space="preserve"> </w:t>
      </w:r>
      <w:r>
        <w:t>barrera</w:t>
      </w:r>
      <w:r>
        <w:rPr>
          <w:spacing w:val="-2"/>
        </w:rPr>
        <w:t xml:space="preserve"> </w:t>
      </w:r>
      <w:r>
        <w:t>a</w:t>
      </w:r>
      <w:r>
        <w:rPr>
          <w:spacing w:val="-2"/>
        </w:rPr>
        <w:t xml:space="preserve"> </w:t>
      </w:r>
      <w:r>
        <w:t>la</w:t>
      </w:r>
      <w:r>
        <w:rPr>
          <w:spacing w:val="-2"/>
        </w:rPr>
        <w:t xml:space="preserve"> </w:t>
      </w:r>
      <w:r>
        <w:t>participación</w:t>
      </w:r>
      <w:r>
        <w:rPr>
          <w:spacing w:val="-2"/>
        </w:rPr>
        <w:t xml:space="preserve"> </w:t>
      </w:r>
      <w:r>
        <w:t>en</w:t>
      </w:r>
      <w:r>
        <w:rPr>
          <w:spacing w:val="-2"/>
        </w:rPr>
        <w:t xml:space="preserve"> </w:t>
      </w:r>
      <w:r>
        <w:t>la</w:t>
      </w:r>
      <w:r>
        <w:rPr>
          <w:spacing w:val="-2"/>
        </w:rPr>
        <w:t xml:space="preserve"> </w:t>
      </w:r>
      <w:r>
        <w:t>vida</w:t>
      </w:r>
      <w:r>
        <w:rPr>
          <w:spacing w:val="-2"/>
        </w:rPr>
        <w:t xml:space="preserve"> </w:t>
      </w:r>
      <w:r>
        <w:t>económica,</w:t>
      </w:r>
      <w:r>
        <w:rPr>
          <w:spacing w:val="-1"/>
        </w:rPr>
        <w:t xml:space="preserve"> </w:t>
      </w:r>
      <w:r>
        <w:t>social</w:t>
      </w:r>
      <w:r>
        <w:rPr>
          <w:spacing w:val="-2"/>
        </w:rPr>
        <w:t xml:space="preserve"> </w:t>
      </w:r>
      <w:r>
        <w:t>y</w:t>
      </w:r>
      <w:r>
        <w:rPr>
          <w:spacing w:val="-2"/>
        </w:rPr>
        <w:t xml:space="preserve"> </w:t>
      </w:r>
      <w:r>
        <w:t>política.</w:t>
      </w:r>
      <w:r>
        <w:rPr>
          <w:spacing w:val="-1"/>
        </w:rPr>
        <w:t xml:space="preserve"> </w:t>
      </w:r>
      <w:r>
        <w:t>Restringe</w:t>
      </w:r>
      <w:r>
        <w:rPr>
          <w:spacing w:val="-2"/>
        </w:rPr>
        <w:t xml:space="preserve"> </w:t>
      </w:r>
      <w:r>
        <w:t>las</w:t>
      </w:r>
      <w:r>
        <w:rPr>
          <w:spacing w:val="-2"/>
        </w:rPr>
        <w:t xml:space="preserve"> </w:t>
      </w:r>
      <w:r>
        <w:t>oportunidades</w:t>
      </w:r>
      <w:r>
        <w:rPr>
          <w:spacing w:val="-2"/>
        </w:rPr>
        <w:t xml:space="preserve"> </w:t>
      </w:r>
      <w:r>
        <w:t>de</w:t>
      </w:r>
      <w:r>
        <w:rPr>
          <w:spacing w:val="-2"/>
        </w:rPr>
        <w:t xml:space="preserve"> </w:t>
      </w:r>
      <w:r>
        <w:t>vida</w:t>
      </w:r>
      <w:r>
        <w:rPr>
          <w:spacing w:val="-2"/>
        </w:rPr>
        <w:t xml:space="preserve"> </w:t>
      </w:r>
      <w:r>
        <w:t>de</w:t>
      </w:r>
      <w:r>
        <w:rPr>
          <w:spacing w:val="-2"/>
        </w:rPr>
        <w:t xml:space="preserve"> </w:t>
      </w:r>
      <w:r>
        <w:t>las personas y sirve para oprimir y marginar a comunidades enteras. Más allá de la experiencia de quienes se ven directamente afectados, las sociedades desiguales tienen más probabilidades de verse acosadas por problemas sociales y de salud que van desde</w:t>
      </w:r>
      <w:r>
        <w:rPr>
          <w:spacing w:val="-5"/>
        </w:rPr>
        <w:t xml:space="preserve"> </w:t>
      </w:r>
      <w:r>
        <w:t>niveles</w:t>
      </w:r>
      <w:r>
        <w:rPr>
          <w:spacing w:val="-5"/>
        </w:rPr>
        <w:t xml:space="preserve"> </w:t>
      </w:r>
      <w:r>
        <w:t>más</w:t>
      </w:r>
      <w:r>
        <w:rPr>
          <w:spacing w:val="-5"/>
        </w:rPr>
        <w:t xml:space="preserve"> </w:t>
      </w:r>
      <w:r>
        <w:t>altos</w:t>
      </w:r>
      <w:r>
        <w:rPr>
          <w:spacing w:val="-5"/>
        </w:rPr>
        <w:t xml:space="preserve"> </w:t>
      </w:r>
      <w:r>
        <w:t>de</w:t>
      </w:r>
      <w:r>
        <w:rPr>
          <w:spacing w:val="-5"/>
        </w:rPr>
        <w:t xml:space="preserve"> </w:t>
      </w:r>
      <w:r>
        <w:t>encarcelamiento,</w:t>
      </w:r>
      <w:r>
        <w:rPr>
          <w:spacing w:val="-4"/>
        </w:rPr>
        <w:t xml:space="preserve"> </w:t>
      </w:r>
      <w:r>
        <w:t>violencia</w:t>
      </w:r>
      <w:r>
        <w:rPr>
          <w:spacing w:val="-5"/>
        </w:rPr>
        <w:t xml:space="preserve"> </w:t>
      </w:r>
      <w:r>
        <w:t>y</w:t>
      </w:r>
      <w:r>
        <w:rPr>
          <w:spacing w:val="-5"/>
        </w:rPr>
        <w:t xml:space="preserve"> </w:t>
      </w:r>
      <w:r>
        <w:t>otros</w:t>
      </w:r>
      <w:r>
        <w:rPr>
          <w:spacing w:val="-5"/>
        </w:rPr>
        <w:t xml:space="preserve"> </w:t>
      </w:r>
      <w:r>
        <w:t>problemas</w:t>
      </w:r>
      <w:r>
        <w:rPr>
          <w:spacing w:val="-5"/>
        </w:rPr>
        <w:t xml:space="preserve"> </w:t>
      </w:r>
      <w:r>
        <w:t>sociales</w:t>
      </w:r>
      <w:r>
        <w:rPr>
          <w:spacing w:val="-5"/>
        </w:rPr>
        <w:t xml:space="preserve"> </w:t>
      </w:r>
      <w:r>
        <w:t>hasta</w:t>
      </w:r>
      <w:r>
        <w:rPr>
          <w:spacing w:val="-5"/>
        </w:rPr>
        <w:t xml:space="preserve"> </w:t>
      </w:r>
      <w:r>
        <w:t>niveles</w:t>
      </w:r>
      <w:r>
        <w:rPr>
          <w:spacing w:val="-5"/>
        </w:rPr>
        <w:t xml:space="preserve"> </w:t>
      </w:r>
      <w:r>
        <w:t>más</w:t>
      </w:r>
      <w:r>
        <w:rPr>
          <w:spacing w:val="-5"/>
        </w:rPr>
        <w:t xml:space="preserve"> </w:t>
      </w:r>
      <w:r>
        <w:t>bajos</w:t>
      </w:r>
      <w:r>
        <w:rPr>
          <w:spacing w:val="-5"/>
        </w:rPr>
        <w:t xml:space="preserve"> </w:t>
      </w:r>
      <w:r>
        <w:t>de</w:t>
      </w:r>
      <w:r>
        <w:rPr>
          <w:spacing w:val="-5"/>
        </w:rPr>
        <w:t xml:space="preserve"> </w:t>
      </w:r>
      <w:r>
        <w:t>movilidad</w:t>
      </w:r>
      <w:r>
        <w:rPr>
          <w:spacing w:val="-5"/>
        </w:rPr>
        <w:t xml:space="preserve"> </w:t>
      </w:r>
      <w:r>
        <w:t>social.1</w:t>
      </w:r>
      <w:r>
        <w:rPr>
          <w:spacing w:val="-5"/>
        </w:rPr>
        <w:t xml:space="preserve"> </w:t>
      </w:r>
      <w:r>
        <w:t>La desigualdad socava la cohesión social y fomenta el conflicto. Exacerba la exclusión de minorías y otros grupos marginados.</w:t>
      </w:r>
    </w:p>
    <w:p w14:paraId="2025A9E3" w14:textId="77777777" w:rsidR="0014798C" w:rsidRDefault="004E1F0B">
      <w:pPr>
        <w:pStyle w:val="Textoindependiente"/>
        <w:spacing w:line="182" w:lineRule="exact"/>
        <w:ind w:left="1106"/>
      </w:pPr>
      <w:r>
        <w:t>Sobre</w:t>
      </w:r>
      <w:r>
        <w:rPr>
          <w:spacing w:val="-8"/>
        </w:rPr>
        <w:t xml:space="preserve"> </w:t>
      </w:r>
      <w:r>
        <w:t>todo,</w:t>
      </w:r>
      <w:r>
        <w:rPr>
          <w:spacing w:val="-8"/>
        </w:rPr>
        <w:t xml:space="preserve"> </w:t>
      </w:r>
      <w:r>
        <w:t>implica</w:t>
      </w:r>
      <w:r>
        <w:rPr>
          <w:spacing w:val="-8"/>
        </w:rPr>
        <w:t xml:space="preserve"> </w:t>
      </w:r>
      <w:r>
        <w:t>injusticia,</w:t>
      </w:r>
      <w:r>
        <w:rPr>
          <w:spacing w:val="-7"/>
        </w:rPr>
        <w:t xml:space="preserve"> </w:t>
      </w:r>
      <w:r>
        <w:t>con</w:t>
      </w:r>
      <w:r>
        <w:rPr>
          <w:spacing w:val="-8"/>
        </w:rPr>
        <w:t xml:space="preserve"> </w:t>
      </w:r>
      <w:r>
        <w:t>poderosas</w:t>
      </w:r>
      <w:r>
        <w:rPr>
          <w:spacing w:val="-8"/>
        </w:rPr>
        <w:t xml:space="preserve"> </w:t>
      </w:r>
      <w:r>
        <w:t>consecuencias</w:t>
      </w:r>
      <w:r>
        <w:rPr>
          <w:spacing w:val="-8"/>
        </w:rPr>
        <w:t xml:space="preserve"> </w:t>
      </w:r>
      <w:r>
        <w:t>negativas</w:t>
      </w:r>
      <w:r>
        <w:rPr>
          <w:spacing w:val="-8"/>
        </w:rPr>
        <w:t xml:space="preserve"> </w:t>
      </w:r>
      <w:r>
        <w:t>para</w:t>
      </w:r>
      <w:r>
        <w:rPr>
          <w:spacing w:val="-8"/>
        </w:rPr>
        <w:t xml:space="preserve"> </w:t>
      </w:r>
      <w:r>
        <w:t>las</w:t>
      </w:r>
      <w:r>
        <w:rPr>
          <w:spacing w:val="-8"/>
        </w:rPr>
        <w:t xml:space="preserve"> </w:t>
      </w:r>
      <w:r>
        <w:t>personas</w:t>
      </w:r>
      <w:r>
        <w:rPr>
          <w:spacing w:val="-8"/>
        </w:rPr>
        <w:t xml:space="preserve"> </w:t>
      </w:r>
      <w:r>
        <w:t>y</w:t>
      </w:r>
      <w:r>
        <w:rPr>
          <w:spacing w:val="-8"/>
        </w:rPr>
        <w:t xml:space="preserve"> </w:t>
      </w:r>
      <w:r>
        <w:t>las</w:t>
      </w:r>
      <w:r>
        <w:rPr>
          <w:spacing w:val="-8"/>
        </w:rPr>
        <w:t xml:space="preserve"> </w:t>
      </w:r>
      <w:r>
        <w:rPr>
          <w:spacing w:val="-2"/>
        </w:rPr>
        <w:t>comunidades.</w:t>
      </w:r>
    </w:p>
    <w:p w14:paraId="5FF33045" w14:textId="77777777" w:rsidR="0014798C" w:rsidRDefault="0014798C">
      <w:pPr>
        <w:pStyle w:val="Textoindependiente"/>
        <w:spacing w:before="52"/>
      </w:pPr>
    </w:p>
    <w:p w14:paraId="0F8FB9DC" w14:textId="77777777" w:rsidR="0014798C" w:rsidRDefault="004E1F0B">
      <w:pPr>
        <w:pStyle w:val="Textoindependiente"/>
        <w:spacing w:line="326" w:lineRule="auto"/>
        <w:ind w:left="1107" w:right="1272" w:firstLine="1"/>
      </w:pPr>
      <w:r>
        <w:t>En</w:t>
      </w:r>
      <w:r>
        <w:rPr>
          <w:spacing w:val="-2"/>
        </w:rPr>
        <w:t xml:space="preserve"> </w:t>
      </w:r>
      <w:r>
        <w:t>2015,</w:t>
      </w:r>
      <w:r>
        <w:rPr>
          <w:spacing w:val="-2"/>
        </w:rPr>
        <w:t xml:space="preserve"> </w:t>
      </w:r>
      <w:r>
        <w:t>193</w:t>
      </w:r>
      <w:r>
        <w:rPr>
          <w:spacing w:val="-2"/>
        </w:rPr>
        <w:t xml:space="preserve"> </w:t>
      </w:r>
      <w:r>
        <w:t>Estados</w:t>
      </w:r>
      <w:r>
        <w:rPr>
          <w:spacing w:val="-2"/>
        </w:rPr>
        <w:t xml:space="preserve"> </w:t>
      </w:r>
      <w:r>
        <w:t>se</w:t>
      </w:r>
      <w:r>
        <w:rPr>
          <w:spacing w:val="-2"/>
        </w:rPr>
        <w:t xml:space="preserve"> </w:t>
      </w:r>
      <w:r>
        <w:t>unieron</w:t>
      </w:r>
      <w:r>
        <w:rPr>
          <w:spacing w:val="-2"/>
        </w:rPr>
        <w:t xml:space="preserve"> </w:t>
      </w:r>
      <w:r>
        <w:t>para</w:t>
      </w:r>
      <w:r>
        <w:rPr>
          <w:spacing w:val="-2"/>
        </w:rPr>
        <w:t xml:space="preserve"> </w:t>
      </w:r>
      <w:r>
        <w:t>afirmar</w:t>
      </w:r>
      <w:r>
        <w:rPr>
          <w:spacing w:val="-2"/>
        </w:rPr>
        <w:t xml:space="preserve"> </w:t>
      </w:r>
      <w:r>
        <w:t>la</w:t>
      </w:r>
      <w:r>
        <w:rPr>
          <w:spacing w:val="-2"/>
        </w:rPr>
        <w:t xml:space="preserve"> </w:t>
      </w:r>
      <w:r>
        <w:t>Agenda</w:t>
      </w:r>
      <w:r>
        <w:rPr>
          <w:spacing w:val="-2"/>
        </w:rPr>
        <w:t xml:space="preserve"> </w:t>
      </w:r>
      <w:r>
        <w:t>2030</w:t>
      </w:r>
      <w:r>
        <w:rPr>
          <w:spacing w:val="-2"/>
        </w:rPr>
        <w:t xml:space="preserve"> </w:t>
      </w:r>
      <w:r>
        <w:t>para</w:t>
      </w:r>
      <w:r>
        <w:rPr>
          <w:spacing w:val="-2"/>
        </w:rPr>
        <w:t xml:space="preserve"> </w:t>
      </w:r>
      <w:r>
        <w:t>el</w:t>
      </w:r>
      <w:r>
        <w:rPr>
          <w:spacing w:val="-2"/>
        </w:rPr>
        <w:t xml:space="preserve"> </w:t>
      </w:r>
      <w:r>
        <w:t>Desarrollo</w:t>
      </w:r>
      <w:r>
        <w:rPr>
          <w:spacing w:val="-2"/>
        </w:rPr>
        <w:t xml:space="preserve"> </w:t>
      </w:r>
      <w:r>
        <w:t>Sostenible.</w:t>
      </w:r>
      <w:r>
        <w:rPr>
          <w:spacing w:val="-1"/>
        </w:rPr>
        <w:t xml:space="preserve"> </w:t>
      </w:r>
      <w:r>
        <w:t>Al</w:t>
      </w:r>
      <w:r>
        <w:rPr>
          <w:spacing w:val="-2"/>
        </w:rPr>
        <w:t xml:space="preserve"> </w:t>
      </w:r>
      <w:r>
        <w:t>hacerlo,</w:t>
      </w:r>
      <w:r>
        <w:rPr>
          <w:spacing w:val="-1"/>
        </w:rPr>
        <w:t xml:space="preserve"> </w:t>
      </w:r>
      <w:r>
        <w:t>prometieron</w:t>
      </w:r>
      <w:r>
        <w:rPr>
          <w:spacing w:val="-2"/>
        </w:rPr>
        <w:t xml:space="preserve"> </w:t>
      </w:r>
      <w:r>
        <w:t>que</w:t>
      </w:r>
      <w:r>
        <w:rPr>
          <w:spacing w:val="-2"/>
        </w:rPr>
        <w:t xml:space="preserve"> </w:t>
      </w:r>
      <w:r>
        <w:t>“nadie</w:t>
      </w:r>
      <w:r>
        <w:rPr>
          <w:spacing w:val="-2"/>
        </w:rPr>
        <w:t xml:space="preserve"> </w:t>
      </w:r>
      <w:r>
        <w:t>se quedará atrás” en este nuevo esfuerzo global para erradicar la pobreza, garantizar los derechos humanos y proteger el planeta.2 Esta</w:t>
      </w:r>
      <w:r>
        <w:rPr>
          <w:spacing w:val="-1"/>
        </w:rPr>
        <w:t xml:space="preserve"> </w:t>
      </w:r>
      <w:r>
        <w:t>declaración</w:t>
      </w:r>
      <w:r>
        <w:rPr>
          <w:spacing w:val="-1"/>
        </w:rPr>
        <w:t xml:space="preserve"> </w:t>
      </w:r>
      <w:r>
        <w:t>reflejaba</w:t>
      </w:r>
      <w:r>
        <w:rPr>
          <w:spacing w:val="-1"/>
        </w:rPr>
        <w:t xml:space="preserve"> </w:t>
      </w:r>
      <w:r>
        <w:t>el</w:t>
      </w:r>
      <w:r>
        <w:rPr>
          <w:spacing w:val="-1"/>
        </w:rPr>
        <w:t xml:space="preserve"> </w:t>
      </w:r>
      <w:r>
        <w:t>reconocimiento</w:t>
      </w:r>
      <w:r>
        <w:rPr>
          <w:spacing w:val="-1"/>
        </w:rPr>
        <w:t xml:space="preserve"> </w:t>
      </w:r>
      <w:r>
        <w:t>de</w:t>
      </w:r>
      <w:r>
        <w:rPr>
          <w:spacing w:val="-1"/>
        </w:rPr>
        <w:t xml:space="preserve"> </w:t>
      </w:r>
      <w:r>
        <w:t>que</w:t>
      </w:r>
      <w:r>
        <w:rPr>
          <w:spacing w:val="-1"/>
        </w:rPr>
        <w:t xml:space="preserve"> </w:t>
      </w:r>
      <w:r>
        <w:t>el</w:t>
      </w:r>
      <w:r>
        <w:rPr>
          <w:spacing w:val="-1"/>
        </w:rPr>
        <w:t xml:space="preserve"> </w:t>
      </w:r>
      <w:r>
        <w:t>desarrollo</w:t>
      </w:r>
      <w:r>
        <w:rPr>
          <w:spacing w:val="-1"/>
        </w:rPr>
        <w:t xml:space="preserve"> </w:t>
      </w:r>
      <w:r>
        <w:t>sostenible</w:t>
      </w:r>
      <w:r>
        <w:rPr>
          <w:spacing w:val="-1"/>
        </w:rPr>
        <w:t xml:space="preserve"> </w:t>
      </w:r>
      <w:r>
        <w:t>sólo</w:t>
      </w:r>
      <w:r>
        <w:rPr>
          <w:spacing w:val="-1"/>
        </w:rPr>
        <w:t xml:space="preserve"> </w:t>
      </w:r>
      <w:r>
        <w:t>puede</w:t>
      </w:r>
      <w:r>
        <w:rPr>
          <w:spacing w:val="-1"/>
        </w:rPr>
        <w:t xml:space="preserve"> </w:t>
      </w:r>
      <w:r>
        <w:t>lograrse</w:t>
      </w:r>
      <w:r>
        <w:rPr>
          <w:spacing w:val="-1"/>
        </w:rPr>
        <w:t xml:space="preserve"> </w:t>
      </w:r>
      <w:r>
        <w:t>abordando</w:t>
      </w:r>
      <w:r>
        <w:rPr>
          <w:spacing w:val="-1"/>
        </w:rPr>
        <w:t xml:space="preserve"> </w:t>
      </w:r>
      <w:r>
        <w:t>la</w:t>
      </w:r>
      <w:r>
        <w:rPr>
          <w:spacing w:val="-1"/>
        </w:rPr>
        <w:t xml:space="preserve"> </w:t>
      </w:r>
      <w:r>
        <w:t>desigualdad, una Este</w:t>
      </w:r>
      <w:r>
        <w:rPr>
          <w:spacing w:val="-5"/>
        </w:rPr>
        <w:t xml:space="preserve"> </w:t>
      </w:r>
      <w:r>
        <w:t>hecho</w:t>
      </w:r>
      <w:r>
        <w:rPr>
          <w:spacing w:val="-5"/>
        </w:rPr>
        <w:t xml:space="preserve"> </w:t>
      </w:r>
      <w:r>
        <w:t>se</w:t>
      </w:r>
      <w:r>
        <w:rPr>
          <w:spacing w:val="-5"/>
        </w:rPr>
        <w:t xml:space="preserve"> </w:t>
      </w:r>
      <w:r>
        <w:t>ve</w:t>
      </w:r>
      <w:r>
        <w:rPr>
          <w:spacing w:val="-5"/>
        </w:rPr>
        <w:t xml:space="preserve"> </w:t>
      </w:r>
      <w:r>
        <w:t>reforzado</w:t>
      </w:r>
      <w:r>
        <w:rPr>
          <w:spacing w:val="-5"/>
        </w:rPr>
        <w:t xml:space="preserve"> </w:t>
      </w:r>
      <w:r>
        <w:t>por</w:t>
      </w:r>
      <w:r>
        <w:rPr>
          <w:spacing w:val="-5"/>
        </w:rPr>
        <w:t xml:space="preserve"> </w:t>
      </w:r>
      <w:r>
        <w:t>el</w:t>
      </w:r>
      <w:r>
        <w:rPr>
          <w:spacing w:val="-5"/>
        </w:rPr>
        <w:t xml:space="preserve"> </w:t>
      </w:r>
      <w:r>
        <w:t>Objetivo</w:t>
      </w:r>
      <w:r>
        <w:rPr>
          <w:spacing w:val="-5"/>
        </w:rPr>
        <w:t xml:space="preserve"> </w:t>
      </w:r>
      <w:r>
        <w:t>10</w:t>
      </w:r>
      <w:r>
        <w:rPr>
          <w:spacing w:val="-5"/>
        </w:rPr>
        <w:t xml:space="preserve"> </w:t>
      </w:r>
      <w:r>
        <w:t>de</w:t>
      </w:r>
      <w:r>
        <w:rPr>
          <w:spacing w:val="-5"/>
        </w:rPr>
        <w:t xml:space="preserve"> </w:t>
      </w:r>
      <w:r>
        <w:t>los</w:t>
      </w:r>
      <w:r>
        <w:rPr>
          <w:spacing w:val="-5"/>
        </w:rPr>
        <w:t xml:space="preserve"> </w:t>
      </w:r>
      <w:r>
        <w:t>Objetivos</w:t>
      </w:r>
      <w:r>
        <w:rPr>
          <w:spacing w:val="-5"/>
        </w:rPr>
        <w:t xml:space="preserve"> </w:t>
      </w:r>
      <w:r>
        <w:t>de</w:t>
      </w:r>
      <w:r>
        <w:rPr>
          <w:spacing w:val="-5"/>
        </w:rPr>
        <w:t xml:space="preserve"> </w:t>
      </w:r>
      <w:r>
        <w:t>Desarrollo</w:t>
      </w:r>
      <w:r>
        <w:rPr>
          <w:spacing w:val="-5"/>
        </w:rPr>
        <w:t xml:space="preserve"> </w:t>
      </w:r>
      <w:r>
        <w:t>Sostenible</w:t>
      </w:r>
      <w:r>
        <w:rPr>
          <w:spacing w:val="-5"/>
        </w:rPr>
        <w:t xml:space="preserve"> </w:t>
      </w:r>
      <w:r>
        <w:t>sobre</w:t>
      </w:r>
      <w:r>
        <w:rPr>
          <w:spacing w:val="-5"/>
        </w:rPr>
        <w:t xml:space="preserve"> </w:t>
      </w:r>
      <w:r>
        <w:t>la</w:t>
      </w:r>
      <w:r>
        <w:rPr>
          <w:spacing w:val="-5"/>
        </w:rPr>
        <w:t xml:space="preserve"> </w:t>
      </w:r>
      <w:r>
        <w:t>reducción</w:t>
      </w:r>
      <w:r>
        <w:rPr>
          <w:spacing w:val="-5"/>
        </w:rPr>
        <w:t xml:space="preserve"> </w:t>
      </w:r>
      <w:r>
        <w:t>de</w:t>
      </w:r>
      <w:r>
        <w:rPr>
          <w:spacing w:val="-5"/>
        </w:rPr>
        <w:t xml:space="preserve"> </w:t>
      </w:r>
      <w:r>
        <w:t>la</w:t>
      </w:r>
      <w:r>
        <w:rPr>
          <w:spacing w:val="-5"/>
        </w:rPr>
        <w:t xml:space="preserve"> </w:t>
      </w:r>
      <w:r>
        <w:t>desigualdad</w:t>
      </w:r>
      <w:r>
        <w:rPr>
          <w:spacing w:val="-5"/>
        </w:rPr>
        <w:t xml:space="preserve"> </w:t>
      </w:r>
      <w:r>
        <w:t>dentro y</w:t>
      </w:r>
      <w:r>
        <w:rPr>
          <w:spacing w:val="-4"/>
        </w:rPr>
        <w:t xml:space="preserve"> </w:t>
      </w:r>
      <w:r>
        <w:t>entre</w:t>
      </w:r>
      <w:r>
        <w:rPr>
          <w:spacing w:val="-4"/>
        </w:rPr>
        <w:t xml:space="preserve"> </w:t>
      </w:r>
      <w:r>
        <w:t>los</w:t>
      </w:r>
      <w:r>
        <w:rPr>
          <w:spacing w:val="-4"/>
        </w:rPr>
        <w:t xml:space="preserve"> </w:t>
      </w:r>
      <w:r>
        <w:t>Estados,</w:t>
      </w:r>
      <w:r>
        <w:rPr>
          <w:spacing w:val="-3"/>
        </w:rPr>
        <w:t xml:space="preserve"> </w:t>
      </w:r>
      <w:r>
        <w:t>el</w:t>
      </w:r>
      <w:r>
        <w:rPr>
          <w:spacing w:val="-4"/>
        </w:rPr>
        <w:t xml:space="preserve"> </w:t>
      </w:r>
      <w:r>
        <w:t>Objetivo</w:t>
      </w:r>
      <w:r>
        <w:rPr>
          <w:spacing w:val="-4"/>
        </w:rPr>
        <w:t xml:space="preserve"> </w:t>
      </w:r>
      <w:r>
        <w:t>5</w:t>
      </w:r>
      <w:r>
        <w:rPr>
          <w:spacing w:val="-4"/>
        </w:rPr>
        <w:t xml:space="preserve"> </w:t>
      </w:r>
      <w:r>
        <w:t>sobre</w:t>
      </w:r>
      <w:r>
        <w:rPr>
          <w:spacing w:val="-4"/>
        </w:rPr>
        <w:t xml:space="preserve"> </w:t>
      </w:r>
      <w:r>
        <w:t>la</w:t>
      </w:r>
      <w:r>
        <w:rPr>
          <w:spacing w:val="-4"/>
        </w:rPr>
        <w:t xml:space="preserve"> </w:t>
      </w:r>
      <w:r>
        <w:t>igualdad</w:t>
      </w:r>
      <w:r>
        <w:rPr>
          <w:spacing w:val="-4"/>
        </w:rPr>
        <w:t xml:space="preserve"> </w:t>
      </w:r>
      <w:r>
        <w:t>de</w:t>
      </w:r>
      <w:r>
        <w:rPr>
          <w:spacing w:val="-4"/>
        </w:rPr>
        <w:t xml:space="preserve"> </w:t>
      </w:r>
      <w:r>
        <w:t>género</w:t>
      </w:r>
      <w:r>
        <w:rPr>
          <w:spacing w:val="-4"/>
        </w:rPr>
        <w:t xml:space="preserve"> </w:t>
      </w:r>
      <w:r>
        <w:t>y</w:t>
      </w:r>
      <w:r>
        <w:rPr>
          <w:spacing w:val="-4"/>
        </w:rPr>
        <w:t xml:space="preserve"> </w:t>
      </w:r>
      <w:r>
        <w:t>la</w:t>
      </w:r>
      <w:r>
        <w:rPr>
          <w:spacing w:val="-4"/>
        </w:rPr>
        <w:t xml:space="preserve"> </w:t>
      </w:r>
      <w:r>
        <w:t>gran</w:t>
      </w:r>
      <w:r>
        <w:rPr>
          <w:spacing w:val="-4"/>
        </w:rPr>
        <w:t xml:space="preserve"> </w:t>
      </w:r>
      <w:r>
        <w:t>cantidad</w:t>
      </w:r>
      <w:r>
        <w:rPr>
          <w:spacing w:val="-4"/>
        </w:rPr>
        <w:t xml:space="preserve"> </w:t>
      </w:r>
      <w:r>
        <w:t>de</w:t>
      </w:r>
      <w:r>
        <w:rPr>
          <w:spacing w:val="-4"/>
        </w:rPr>
        <w:t xml:space="preserve"> </w:t>
      </w:r>
      <w:r>
        <w:t>otros</w:t>
      </w:r>
      <w:r>
        <w:rPr>
          <w:spacing w:val="-4"/>
        </w:rPr>
        <w:t xml:space="preserve"> </w:t>
      </w:r>
      <w:r>
        <w:t>objetivos</w:t>
      </w:r>
      <w:r>
        <w:rPr>
          <w:spacing w:val="-4"/>
        </w:rPr>
        <w:t xml:space="preserve"> </w:t>
      </w:r>
      <w:r>
        <w:t>y</w:t>
      </w:r>
      <w:r>
        <w:rPr>
          <w:spacing w:val="-4"/>
        </w:rPr>
        <w:t xml:space="preserve"> </w:t>
      </w:r>
      <w:r>
        <w:t>metas</w:t>
      </w:r>
      <w:r>
        <w:rPr>
          <w:spacing w:val="-4"/>
        </w:rPr>
        <w:t xml:space="preserve"> </w:t>
      </w:r>
      <w:r>
        <w:t>centrados</w:t>
      </w:r>
      <w:r>
        <w:rPr>
          <w:spacing w:val="-4"/>
        </w:rPr>
        <w:t xml:space="preserve"> </w:t>
      </w:r>
      <w:r>
        <w:t>en</w:t>
      </w:r>
      <w:r>
        <w:rPr>
          <w:spacing w:val="-4"/>
        </w:rPr>
        <w:t xml:space="preserve"> </w:t>
      </w:r>
      <w:r>
        <w:t>la</w:t>
      </w:r>
      <w:r>
        <w:rPr>
          <w:spacing w:val="-4"/>
        </w:rPr>
        <w:t xml:space="preserve"> </w:t>
      </w:r>
      <w:r>
        <w:t>igualdad de acceso, participación y resultados.</w:t>
      </w:r>
    </w:p>
    <w:p w14:paraId="17D9EAE4" w14:textId="77777777" w:rsidR="0014798C" w:rsidRDefault="004E1F0B">
      <w:pPr>
        <w:pStyle w:val="Textoindependiente"/>
        <w:spacing w:before="167" w:line="326" w:lineRule="auto"/>
        <w:ind w:left="1103" w:right="1272" w:firstLine="2"/>
      </w:pPr>
      <w:r>
        <w:t>Este</w:t>
      </w:r>
      <w:r>
        <w:rPr>
          <w:spacing w:val="-5"/>
        </w:rPr>
        <w:t xml:space="preserve"> </w:t>
      </w:r>
      <w:r>
        <w:t>estatus</w:t>
      </w:r>
      <w:r>
        <w:rPr>
          <w:spacing w:val="-5"/>
        </w:rPr>
        <w:t xml:space="preserve"> </w:t>
      </w:r>
      <w:r>
        <w:t>central</w:t>
      </w:r>
      <w:r>
        <w:rPr>
          <w:spacing w:val="-5"/>
        </w:rPr>
        <w:t xml:space="preserve"> </w:t>
      </w:r>
      <w:r>
        <w:t>de</w:t>
      </w:r>
      <w:r>
        <w:rPr>
          <w:spacing w:val="-5"/>
        </w:rPr>
        <w:t xml:space="preserve"> </w:t>
      </w:r>
      <w:r>
        <w:t>la</w:t>
      </w:r>
      <w:r>
        <w:rPr>
          <w:spacing w:val="-5"/>
        </w:rPr>
        <w:t xml:space="preserve"> </w:t>
      </w:r>
      <w:r>
        <w:t>igualdad</w:t>
      </w:r>
      <w:r>
        <w:rPr>
          <w:spacing w:val="-5"/>
        </w:rPr>
        <w:t xml:space="preserve"> </w:t>
      </w:r>
      <w:r>
        <w:t>en</w:t>
      </w:r>
      <w:r>
        <w:rPr>
          <w:spacing w:val="-5"/>
        </w:rPr>
        <w:t xml:space="preserve"> </w:t>
      </w:r>
      <w:r>
        <w:t>la</w:t>
      </w:r>
      <w:r>
        <w:rPr>
          <w:spacing w:val="-5"/>
        </w:rPr>
        <w:t xml:space="preserve"> </w:t>
      </w:r>
      <w:r>
        <w:t>Agenda</w:t>
      </w:r>
      <w:r>
        <w:rPr>
          <w:spacing w:val="-5"/>
        </w:rPr>
        <w:t xml:space="preserve"> </w:t>
      </w:r>
      <w:r>
        <w:t>2030</w:t>
      </w:r>
      <w:r>
        <w:rPr>
          <w:spacing w:val="-5"/>
        </w:rPr>
        <w:t xml:space="preserve"> </w:t>
      </w:r>
      <w:r>
        <w:t>se</w:t>
      </w:r>
      <w:r>
        <w:rPr>
          <w:spacing w:val="-5"/>
        </w:rPr>
        <w:t xml:space="preserve"> </w:t>
      </w:r>
      <w:r>
        <w:t>hace</w:t>
      </w:r>
      <w:r>
        <w:rPr>
          <w:spacing w:val="-5"/>
        </w:rPr>
        <w:t xml:space="preserve"> </w:t>
      </w:r>
      <w:r>
        <w:t>eco</w:t>
      </w:r>
      <w:r>
        <w:rPr>
          <w:spacing w:val="-5"/>
        </w:rPr>
        <w:t xml:space="preserve"> </w:t>
      </w:r>
      <w:r>
        <w:t>de</w:t>
      </w:r>
      <w:r>
        <w:rPr>
          <w:spacing w:val="-5"/>
        </w:rPr>
        <w:t xml:space="preserve"> </w:t>
      </w:r>
      <w:r>
        <w:t>su</w:t>
      </w:r>
      <w:r>
        <w:rPr>
          <w:spacing w:val="-5"/>
        </w:rPr>
        <w:t xml:space="preserve"> </w:t>
      </w:r>
      <w:r>
        <w:t>posición</w:t>
      </w:r>
      <w:r>
        <w:rPr>
          <w:spacing w:val="-5"/>
        </w:rPr>
        <w:t xml:space="preserve"> </w:t>
      </w:r>
      <w:r>
        <w:t>principal</w:t>
      </w:r>
      <w:r>
        <w:rPr>
          <w:spacing w:val="-5"/>
        </w:rPr>
        <w:t xml:space="preserve"> </w:t>
      </w:r>
      <w:r>
        <w:t>en</w:t>
      </w:r>
      <w:r>
        <w:rPr>
          <w:spacing w:val="-5"/>
        </w:rPr>
        <w:t xml:space="preserve"> </w:t>
      </w:r>
      <w:r>
        <w:t>la</w:t>
      </w:r>
      <w:r>
        <w:rPr>
          <w:spacing w:val="-5"/>
        </w:rPr>
        <w:t xml:space="preserve"> </w:t>
      </w:r>
      <w:r>
        <w:t>Declaración</w:t>
      </w:r>
      <w:r>
        <w:rPr>
          <w:spacing w:val="-5"/>
        </w:rPr>
        <w:t xml:space="preserve"> </w:t>
      </w:r>
      <w:r>
        <w:t>Universal</w:t>
      </w:r>
      <w:r>
        <w:rPr>
          <w:spacing w:val="-5"/>
        </w:rPr>
        <w:t xml:space="preserve"> </w:t>
      </w:r>
      <w:r>
        <w:t>de</w:t>
      </w:r>
      <w:r>
        <w:rPr>
          <w:spacing w:val="-5"/>
        </w:rPr>
        <w:t xml:space="preserve"> </w:t>
      </w:r>
      <w:r>
        <w:t xml:space="preserve">Derechos Humanos, adoptada en 1948. Nacida de los horrores del Holocausto y las atrocidades de la Segunda Guerra Mundial, que fue testigo del exterminio de “millones de judíos, cientos de miles de romaníes y </w:t>
      </w:r>
      <w:proofErr w:type="spellStart"/>
      <w:r>
        <w:t>sintis</w:t>
      </w:r>
      <w:proofErr w:type="spellEnd"/>
      <w:r>
        <w:t xml:space="preserve">, personas con discapacidad, homosexuales, prisioneros de guerra, disidentes políticos y miembros de redes de Resistencia”,3 la Declaración Universal de Derechos Humanos sitúa los derechos a la igualdad y a la no discriminación en el centro </w:t>
      </w:r>
      <w:proofErr w:type="spellStart"/>
      <w:r>
        <w:t>de el</w:t>
      </w:r>
      <w:proofErr w:type="spellEnd"/>
      <w:r>
        <w:t xml:space="preserve"> sistema de derechos humanos. El artículo 1 afirma que “todos</w:t>
      </w:r>
      <w:r>
        <w:rPr>
          <w:spacing w:val="-1"/>
        </w:rPr>
        <w:t xml:space="preserve"> </w:t>
      </w:r>
      <w:r>
        <w:t>los</w:t>
      </w:r>
      <w:r>
        <w:rPr>
          <w:spacing w:val="-1"/>
        </w:rPr>
        <w:t xml:space="preserve"> </w:t>
      </w:r>
      <w:r>
        <w:t>seres</w:t>
      </w:r>
      <w:r>
        <w:rPr>
          <w:spacing w:val="-1"/>
        </w:rPr>
        <w:t xml:space="preserve"> </w:t>
      </w:r>
      <w:r>
        <w:t>humanos</w:t>
      </w:r>
      <w:r>
        <w:rPr>
          <w:spacing w:val="-1"/>
        </w:rPr>
        <w:t xml:space="preserve"> </w:t>
      </w:r>
      <w:r>
        <w:t>nacen</w:t>
      </w:r>
      <w:r>
        <w:rPr>
          <w:spacing w:val="-1"/>
        </w:rPr>
        <w:t xml:space="preserve"> </w:t>
      </w:r>
      <w:r>
        <w:t>libres</w:t>
      </w:r>
      <w:r>
        <w:rPr>
          <w:spacing w:val="-1"/>
        </w:rPr>
        <w:t xml:space="preserve"> </w:t>
      </w:r>
      <w:r>
        <w:t>e</w:t>
      </w:r>
      <w:r>
        <w:rPr>
          <w:spacing w:val="-1"/>
        </w:rPr>
        <w:t xml:space="preserve"> </w:t>
      </w:r>
      <w:r>
        <w:t>iguales</w:t>
      </w:r>
      <w:r>
        <w:rPr>
          <w:spacing w:val="-1"/>
        </w:rPr>
        <w:t xml:space="preserve"> </w:t>
      </w:r>
      <w:r>
        <w:t>en</w:t>
      </w:r>
      <w:r>
        <w:rPr>
          <w:spacing w:val="-1"/>
        </w:rPr>
        <w:t xml:space="preserve"> </w:t>
      </w:r>
      <w:r>
        <w:t>dignidad</w:t>
      </w:r>
      <w:r>
        <w:rPr>
          <w:spacing w:val="-1"/>
        </w:rPr>
        <w:t xml:space="preserve"> </w:t>
      </w:r>
      <w:r>
        <w:t>y</w:t>
      </w:r>
      <w:r>
        <w:rPr>
          <w:spacing w:val="-1"/>
        </w:rPr>
        <w:t xml:space="preserve"> </w:t>
      </w:r>
      <w:r>
        <w:t>derechos”. El</w:t>
      </w:r>
      <w:r>
        <w:rPr>
          <w:spacing w:val="-1"/>
        </w:rPr>
        <w:t xml:space="preserve"> </w:t>
      </w:r>
      <w:r>
        <w:t>artículo</w:t>
      </w:r>
      <w:r>
        <w:rPr>
          <w:spacing w:val="-1"/>
        </w:rPr>
        <w:t xml:space="preserve"> </w:t>
      </w:r>
      <w:r>
        <w:t>2</w:t>
      </w:r>
      <w:r>
        <w:rPr>
          <w:spacing w:val="-1"/>
        </w:rPr>
        <w:t xml:space="preserve"> </w:t>
      </w:r>
      <w:r>
        <w:t>deja</w:t>
      </w:r>
      <w:r>
        <w:rPr>
          <w:spacing w:val="-1"/>
        </w:rPr>
        <w:t xml:space="preserve"> </w:t>
      </w:r>
      <w:r>
        <w:t>claro</w:t>
      </w:r>
      <w:r>
        <w:rPr>
          <w:spacing w:val="-1"/>
        </w:rPr>
        <w:t xml:space="preserve"> </w:t>
      </w:r>
      <w:r>
        <w:t>que</w:t>
      </w:r>
      <w:r>
        <w:rPr>
          <w:spacing w:val="-1"/>
        </w:rPr>
        <w:t xml:space="preserve"> </w:t>
      </w:r>
      <w:r>
        <w:t>los</w:t>
      </w:r>
      <w:r>
        <w:rPr>
          <w:spacing w:val="-1"/>
        </w:rPr>
        <w:t xml:space="preserve"> </w:t>
      </w:r>
      <w:r>
        <w:t>derechos</w:t>
      </w:r>
      <w:r>
        <w:rPr>
          <w:spacing w:val="-1"/>
        </w:rPr>
        <w:t xml:space="preserve"> </w:t>
      </w:r>
      <w:r>
        <w:t>humanos</w:t>
      </w:r>
      <w:r>
        <w:rPr>
          <w:spacing w:val="-1"/>
        </w:rPr>
        <w:t xml:space="preserve"> </w:t>
      </w:r>
      <w:r>
        <w:t>deben ser reconocidos a toda persona “sin distinción de ningún tipo”.</w:t>
      </w:r>
    </w:p>
    <w:p w14:paraId="1E14E8A0" w14:textId="77777777" w:rsidR="0014798C" w:rsidRDefault="0014798C">
      <w:pPr>
        <w:pStyle w:val="Textoindependiente"/>
      </w:pPr>
    </w:p>
    <w:p w14:paraId="232CF3A8" w14:textId="77777777" w:rsidR="0014798C" w:rsidRDefault="0014798C">
      <w:pPr>
        <w:pStyle w:val="Textoindependiente"/>
        <w:spacing w:before="48"/>
      </w:pPr>
    </w:p>
    <w:p w14:paraId="0E8C29FC" w14:textId="77777777" w:rsidR="0014798C" w:rsidRDefault="004E1F0B">
      <w:pPr>
        <w:pStyle w:val="Textoindependiente"/>
        <w:spacing w:line="326" w:lineRule="auto"/>
        <w:ind w:left="1108" w:right="1335" w:hanging="2"/>
      </w:pPr>
      <w:r>
        <w:t>Estas dos declaraciones globales, proclamadas con más de 65 años de diferencia, demuestran el reconocimiento de los Estados de</w:t>
      </w:r>
      <w:r>
        <w:rPr>
          <w:spacing w:val="-5"/>
        </w:rPr>
        <w:t xml:space="preserve"> </w:t>
      </w:r>
      <w:r>
        <w:t>que</w:t>
      </w:r>
      <w:r>
        <w:rPr>
          <w:spacing w:val="-5"/>
        </w:rPr>
        <w:t xml:space="preserve"> </w:t>
      </w:r>
      <w:r>
        <w:t>los</w:t>
      </w:r>
      <w:r>
        <w:rPr>
          <w:spacing w:val="-5"/>
        </w:rPr>
        <w:t xml:space="preserve"> </w:t>
      </w:r>
      <w:r>
        <w:t>esfuerzos</w:t>
      </w:r>
      <w:r>
        <w:rPr>
          <w:spacing w:val="-5"/>
        </w:rPr>
        <w:t xml:space="preserve"> </w:t>
      </w:r>
      <w:r>
        <w:t>por</w:t>
      </w:r>
      <w:r>
        <w:rPr>
          <w:spacing w:val="-5"/>
        </w:rPr>
        <w:t xml:space="preserve"> </w:t>
      </w:r>
      <w:r>
        <w:t>crear</w:t>
      </w:r>
      <w:r>
        <w:rPr>
          <w:spacing w:val="-5"/>
        </w:rPr>
        <w:t xml:space="preserve"> </w:t>
      </w:r>
      <w:r>
        <w:t>sociedades</w:t>
      </w:r>
      <w:r>
        <w:rPr>
          <w:spacing w:val="-5"/>
        </w:rPr>
        <w:t xml:space="preserve"> </w:t>
      </w:r>
      <w:r>
        <w:t>justas,</w:t>
      </w:r>
      <w:r>
        <w:rPr>
          <w:spacing w:val="-4"/>
        </w:rPr>
        <w:t xml:space="preserve"> </w:t>
      </w:r>
      <w:r>
        <w:t>inclusivas</w:t>
      </w:r>
      <w:r>
        <w:rPr>
          <w:spacing w:val="-5"/>
        </w:rPr>
        <w:t xml:space="preserve"> </w:t>
      </w:r>
      <w:r>
        <w:t>y</w:t>
      </w:r>
      <w:r>
        <w:rPr>
          <w:spacing w:val="-5"/>
        </w:rPr>
        <w:t xml:space="preserve"> </w:t>
      </w:r>
      <w:r>
        <w:t>pacíficas,</w:t>
      </w:r>
      <w:r>
        <w:rPr>
          <w:spacing w:val="-4"/>
        </w:rPr>
        <w:t xml:space="preserve"> </w:t>
      </w:r>
      <w:r>
        <w:t>eliminar</w:t>
      </w:r>
      <w:r>
        <w:rPr>
          <w:spacing w:val="-5"/>
        </w:rPr>
        <w:t xml:space="preserve"> </w:t>
      </w:r>
      <w:r>
        <w:t>la</w:t>
      </w:r>
      <w:r>
        <w:rPr>
          <w:spacing w:val="-5"/>
        </w:rPr>
        <w:t xml:space="preserve"> </w:t>
      </w:r>
      <w:r>
        <w:t>pobreza</w:t>
      </w:r>
      <w:r>
        <w:rPr>
          <w:spacing w:val="-5"/>
        </w:rPr>
        <w:t xml:space="preserve"> </w:t>
      </w:r>
      <w:r>
        <w:t>y</w:t>
      </w:r>
      <w:r>
        <w:rPr>
          <w:spacing w:val="-5"/>
        </w:rPr>
        <w:t xml:space="preserve"> </w:t>
      </w:r>
      <w:r>
        <w:t>garantizar</w:t>
      </w:r>
      <w:r>
        <w:rPr>
          <w:spacing w:val="-5"/>
        </w:rPr>
        <w:t xml:space="preserve"> </w:t>
      </w:r>
      <w:r>
        <w:t>el</w:t>
      </w:r>
      <w:r>
        <w:rPr>
          <w:spacing w:val="-5"/>
        </w:rPr>
        <w:t xml:space="preserve"> </w:t>
      </w:r>
      <w:r>
        <w:t>disfrute</w:t>
      </w:r>
      <w:r>
        <w:rPr>
          <w:spacing w:val="-5"/>
        </w:rPr>
        <w:t xml:space="preserve"> </w:t>
      </w:r>
      <w:r>
        <w:t>de</w:t>
      </w:r>
      <w:r>
        <w:rPr>
          <w:spacing w:val="-5"/>
        </w:rPr>
        <w:t xml:space="preserve"> </w:t>
      </w:r>
      <w:r>
        <w:t>los</w:t>
      </w:r>
      <w:r>
        <w:rPr>
          <w:spacing w:val="-5"/>
        </w:rPr>
        <w:t xml:space="preserve"> </w:t>
      </w:r>
      <w:r>
        <w:t>derechos humanos requieren un enfoque que aborde la desigualdad.</w:t>
      </w:r>
    </w:p>
    <w:p w14:paraId="323353A2" w14:textId="77777777" w:rsidR="0014798C" w:rsidRDefault="004E1F0B">
      <w:pPr>
        <w:spacing w:before="252"/>
        <w:ind w:left="1120"/>
        <w:rPr>
          <w:sz w:val="28"/>
        </w:rPr>
      </w:pPr>
      <w:r>
        <w:rPr>
          <w:color w:val="0075BF"/>
          <w:sz w:val="28"/>
        </w:rPr>
        <w:t>La</w:t>
      </w:r>
      <w:r>
        <w:rPr>
          <w:color w:val="0075BF"/>
          <w:spacing w:val="-9"/>
          <w:sz w:val="28"/>
        </w:rPr>
        <w:t xml:space="preserve"> </w:t>
      </w:r>
      <w:r>
        <w:rPr>
          <w:color w:val="0075BF"/>
          <w:sz w:val="28"/>
        </w:rPr>
        <w:t>desigualdad</w:t>
      </w:r>
      <w:r>
        <w:rPr>
          <w:color w:val="0075BF"/>
          <w:spacing w:val="-8"/>
          <w:sz w:val="28"/>
        </w:rPr>
        <w:t xml:space="preserve"> </w:t>
      </w:r>
      <w:r>
        <w:rPr>
          <w:color w:val="0075BF"/>
          <w:sz w:val="28"/>
        </w:rPr>
        <w:t>y</w:t>
      </w:r>
      <w:r>
        <w:rPr>
          <w:color w:val="0075BF"/>
          <w:spacing w:val="-9"/>
          <w:sz w:val="28"/>
        </w:rPr>
        <w:t xml:space="preserve"> </w:t>
      </w:r>
      <w:r>
        <w:rPr>
          <w:color w:val="0075BF"/>
          <w:sz w:val="28"/>
        </w:rPr>
        <w:t>el</w:t>
      </w:r>
      <w:r>
        <w:rPr>
          <w:color w:val="0075BF"/>
          <w:spacing w:val="-8"/>
          <w:sz w:val="28"/>
        </w:rPr>
        <w:t xml:space="preserve"> </w:t>
      </w:r>
      <w:r>
        <w:rPr>
          <w:color w:val="0075BF"/>
          <w:sz w:val="28"/>
        </w:rPr>
        <w:t>derecho</w:t>
      </w:r>
      <w:r>
        <w:rPr>
          <w:color w:val="0075BF"/>
          <w:spacing w:val="-8"/>
          <w:sz w:val="28"/>
        </w:rPr>
        <w:t xml:space="preserve"> </w:t>
      </w:r>
      <w:r>
        <w:rPr>
          <w:color w:val="0075BF"/>
          <w:sz w:val="28"/>
        </w:rPr>
        <w:t>a</w:t>
      </w:r>
      <w:r>
        <w:rPr>
          <w:color w:val="0075BF"/>
          <w:spacing w:val="-9"/>
          <w:sz w:val="28"/>
        </w:rPr>
        <w:t xml:space="preserve"> </w:t>
      </w:r>
      <w:r>
        <w:rPr>
          <w:color w:val="0075BF"/>
          <w:sz w:val="28"/>
        </w:rPr>
        <w:t>la</w:t>
      </w:r>
      <w:r>
        <w:rPr>
          <w:color w:val="0075BF"/>
          <w:spacing w:val="-8"/>
          <w:sz w:val="28"/>
        </w:rPr>
        <w:t xml:space="preserve"> </w:t>
      </w:r>
      <w:r>
        <w:rPr>
          <w:color w:val="0075BF"/>
          <w:sz w:val="28"/>
        </w:rPr>
        <w:t>no</w:t>
      </w:r>
      <w:r>
        <w:rPr>
          <w:color w:val="0075BF"/>
          <w:spacing w:val="-8"/>
          <w:sz w:val="28"/>
        </w:rPr>
        <w:t xml:space="preserve"> </w:t>
      </w:r>
      <w:r>
        <w:rPr>
          <w:color w:val="0075BF"/>
          <w:spacing w:val="-2"/>
          <w:sz w:val="28"/>
        </w:rPr>
        <w:t>discriminación</w:t>
      </w:r>
    </w:p>
    <w:p w14:paraId="761C3255" w14:textId="77777777" w:rsidR="0014798C" w:rsidRDefault="0014798C">
      <w:pPr>
        <w:pStyle w:val="Textoindependiente"/>
        <w:spacing w:before="37"/>
      </w:pPr>
    </w:p>
    <w:p w14:paraId="32C3E7D5" w14:textId="77777777" w:rsidR="0014798C" w:rsidRDefault="004E1F0B">
      <w:pPr>
        <w:pStyle w:val="Textoindependiente"/>
        <w:spacing w:line="326" w:lineRule="auto"/>
        <w:ind w:left="1109" w:right="1400" w:hanging="2"/>
      </w:pPr>
      <w:r>
        <w:t>La</w:t>
      </w:r>
      <w:r>
        <w:rPr>
          <w:spacing w:val="-6"/>
        </w:rPr>
        <w:t xml:space="preserve"> </w:t>
      </w:r>
      <w:r>
        <w:t>desigualdad</w:t>
      </w:r>
      <w:r>
        <w:rPr>
          <w:spacing w:val="-6"/>
        </w:rPr>
        <w:t xml:space="preserve"> </w:t>
      </w:r>
      <w:r>
        <w:t>adopta</w:t>
      </w:r>
      <w:r>
        <w:rPr>
          <w:spacing w:val="-6"/>
        </w:rPr>
        <w:t xml:space="preserve"> </w:t>
      </w:r>
      <w:r>
        <w:t>muchas</w:t>
      </w:r>
      <w:r>
        <w:rPr>
          <w:spacing w:val="-6"/>
        </w:rPr>
        <w:t xml:space="preserve"> </w:t>
      </w:r>
      <w:r>
        <w:t>formas</w:t>
      </w:r>
      <w:r>
        <w:rPr>
          <w:spacing w:val="-6"/>
        </w:rPr>
        <w:t xml:space="preserve"> </w:t>
      </w:r>
      <w:r>
        <w:t>y</w:t>
      </w:r>
      <w:r>
        <w:rPr>
          <w:spacing w:val="-6"/>
        </w:rPr>
        <w:t xml:space="preserve"> </w:t>
      </w:r>
      <w:r>
        <w:t>tiene</w:t>
      </w:r>
      <w:r>
        <w:rPr>
          <w:spacing w:val="-6"/>
        </w:rPr>
        <w:t xml:space="preserve"> </w:t>
      </w:r>
      <w:r>
        <w:t>innumerables</w:t>
      </w:r>
      <w:r>
        <w:rPr>
          <w:spacing w:val="-6"/>
        </w:rPr>
        <w:t xml:space="preserve"> </w:t>
      </w:r>
      <w:r>
        <w:t>causas:</w:t>
      </w:r>
      <w:r>
        <w:rPr>
          <w:spacing w:val="-5"/>
        </w:rPr>
        <w:t xml:space="preserve"> </w:t>
      </w:r>
      <w:r>
        <w:t>económicas,</w:t>
      </w:r>
      <w:r>
        <w:rPr>
          <w:spacing w:val="-5"/>
        </w:rPr>
        <w:t xml:space="preserve"> </w:t>
      </w:r>
      <w:r>
        <w:t>sociales,</w:t>
      </w:r>
      <w:r>
        <w:rPr>
          <w:spacing w:val="-5"/>
        </w:rPr>
        <w:t xml:space="preserve"> </w:t>
      </w:r>
      <w:r>
        <w:t>políticas</w:t>
      </w:r>
      <w:r>
        <w:rPr>
          <w:spacing w:val="-6"/>
        </w:rPr>
        <w:t xml:space="preserve"> </w:t>
      </w:r>
      <w:r>
        <w:t>y</w:t>
      </w:r>
      <w:r>
        <w:rPr>
          <w:spacing w:val="-6"/>
        </w:rPr>
        <w:t xml:space="preserve"> </w:t>
      </w:r>
      <w:r>
        <w:t>culturales.</w:t>
      </w:r>
      <w:r>
        <w:rPr>
          <w:spacing w:val="-5"/>
        </w:rPr>
        <w:t xml:space="preserve"> </w:t>
      </w:r>
      <w:r>
        <w:t>Como</w:t>
      </w:r>
      <w:r>
        <w:rPr>
          <w:spacing w:val="-6"/>
        </w:rPr>
        <w:t xml:space="preserve"> </w:t>
      </w:r>
      <w:r>
        <w:t>tal,</w:t>
      </w:r>
      <w:r>
        <w:rPr>
          <w:spacing w:val="-6"/>
        </w:rPr>
        <w:t xml:space="preserve"> </w:t>
      </w:r>
      <w:r>
        <w:t>crear un mundo en el que todos puedan participar y participen por igual requiere un enfoque coordinado, colaborativo e integral. La eliminación de la discriminación es una parte clave de este rompecabezas: no puede haber igualdad en situaciones en las que personas y grupos son tratados desfavorablemente o sometidos a desventajas por su estatus, creencias o identidad. De hecho, esto ha sido reconocido amplia y sistemáticamente por los Estados, mediante la adopción de instrumentos internacionales de derechos humanos que sitúan el derecho a la no discriminación en su centro.</w:t>
      </w:r>
    </w:p>
    <w:p w14:paraId="20A1A116" w14:textId="77777777" w:rsidR="0014798C" w:rsidRDefault="004E1F0B">
      <w:pPr>
        <w:pStyle w:val="Textoindependiente"/>
        <w:spacing w:before="167" w:line="326" w:lineRule="auto"/>
        <w:ind w:left="1107" w:right="1283" w:hanging="1"/>
      </w:pPr>
      <w:r>
        <w:t>La adopción de leyes integrales contra la discriminación (leyes que tienen el propósito y el efecto de prohibir todas las formas de discriminación) es un paso esencial en el esfuerzo por hacer realidad el derecho a la no discriminación. Sin la promulgación de leyes</w:t>
      </w:r>
      <w:r>
        <w:rPr>
          <w:spacing w:val="-5"/>
        </w:rPr>
        <w:t xml:space="preserve"> </w:t>
      </w:r>
      <w:r>
        <w:t>que</w:t>
      </w:r>
      <w:r>
        <w:rPr>
          <w:spacing w:val="-5"/>
        </w:rPr>
        <w:t xml:space="preserve"> </w:t>
      </w:r>
      <w:r>
        <w:t>prohíban</w:t>
      </w:r>
      <w:r>
        <w:rPr>
          <w:spacing w:val="-5"/>
        </w:rPr>
        <w:t xml:space="preserve"> </w:t>
      </w:r>
      <w:r>
        <w:t>todas</w:t>
      </w:r>
      <w:r>
        <w:rPr>
          <w:spacing w:val="-5"/>
        </w:rPr>
        <w:t xml:space="preserve"> </w:t>
      </w:r>
      <w:r>
        <w:t>las</w:t>
      </w:r>
      <w:r>
        <w:rPr>
          <w:spacing w:val="-5"/>
        </w:rPr>
        <w:t xml:space="preserve"> </w:t>
      </w:r>
      <w:r>
        <w:t>formas</w:t>
      </w:r>
      <w:r>
        <w:rPr>
          <w:spacing w:val="-5"/>
        </w:rPr>
        <w:t xml:space="preserve"> </w:t>
      </w:r>
      <w:r>
        <w:t>de</w:t>
      </w:r>
      <w:r>
        <w:rPr>
          <w:spacing w:val="-5"/>
        </w:rPr>
        <w:t xml:space="preserve"> </w:t>
      </w:r>
      <w:r>
        <w:t>discriminación</w:t>
      </w:r>
      <w:r>
        <w:rPr>
          <w:spacing w:val="-5"/>
        </w:rPr>
        <w:t xml:space="preserve"> </w:t>
      </w:r>
      <w:r>
        <w:t>por</w:t>
      </w:r>
      <w:r>
        <w:rPr>
          <w:spacing w:val="-5"/>
        </w:rPr>
        <w:t xml:space="preserve"> </w:t>
      </w:r>
      <w:r>
        <w:t>todos</w:t>
      </w:r>
      <w:r>
        <w:rPr>
          <w:spacing w:val="-5"/>
        </w:rPr>
        <w:t xml:space="preserve"> </w:t>
      </w:r>
      <w:r>
        <w:t>los</w:t>
      </w:r>
      <w:r>
        <w:rPr>
          <w:spacing w:val="-5"/>
        </w:rPr>
        <w:t xml:space="preserve"> </w:t>
      </w:r>
      <w:r>
        <w:t>motivos</w:t>
      </w:r>
      <w:r>
        <w:rPr>
          <w:spacing w:val="-5"/>
        </w:rPr>
        <w:t xml:space="preserve"> </w:t>
      </w:r>
      <w:r>
        <w:t>reconocidos</w:t>
      </w:r>
      <w:r>
        <w:rPr>
          <w:spacing w:val="-5"/>
        </w:rPr>
        <w:t xml:space="preserve"> </w:t>
      </w:r>
      <w:r>
        <w:t>en</w:t>
      </w:r>
      <w:r>
        <w:rPr>
          <w:spacing w:val="-5"/>
        </w:rPr>
        <w:t xml:space="preserve"> </w:t>
      </w:r>
      <w:r>
        <w:t>el</w:t>
      </w:r>
      <w:r>
        <w:rPr>
          <w:spacing w:val="-5"/>
        </w:rPr>
        <w:t xml:space="preserve"> </w:t>
      </w:r>
      <w:r>
        <w:t>derecho</w:t>
      </w:r>
      <w:r>
        <w:rPr>
          <w:spacing w:val="-5"/>
        </w:rPr>
        <w:t xml:space="preserve"> </w:t>
      </w:r>
      <w:r>
        <w:t>internacional</w:t>
      </w:r>
      <w:r>
        <w:rPr>
          <w:spacing w:val="-5"/>
        </w:rPr>
        <w:t xml:space="preserve"> </w:t>
      </w:r>
      <w:r>
        <w:t>y</w:t>
      </w:r>
      <w:r>
        <w:rPr>
          <w:spacing w:val="-5"/>
        </w:rPr>
        <w:t xml:space="preserve"> </w:t>
      </w:r>
      <w:r>
        <w:t>en</w:t>
      </w:r>
      <w:r>
        <w:rPr>
          <w:spacing w:val="-5"/>
        </w:rPr>
        <w:t xml:space="preserve"> </w:t>
      </w:r>
      <w:r>
        <w:t>todos</w:t>
      </w:r>
      <w:r>
        <w:rPr>
          <w:spacing w:val="-5"/>
        </w:rPr>
        <w:t xml:space="preserve"> </w:t>
      </w:r>
      <w:r>
        <w:t>los ámbitos</w:t>
      </w:r>
      <w:r>
        <w:rPr>
          <w:spacing w:val="-5"/>
        </w:rPr>
        <w:t xml:space="preserve"> </w:t>
      </w:r>
      <w:r>
        <w:t>de</w:t>
      </w:r>
      <w:r>
        <w:rPr>
          <w:spacing w:val="-5"/>
        </w:rPr>
        <w:t xml:space="preserve"> </w:t>
      </w:r>
      <w:r>
        <w:t>la</w:t>
      </w:r>
      <w:r>
        <w:rPr>
          <w:spacing w:val="-5"/>
        </w:rPr>
        <w:t xml:space="preserve"> </w:t>
      </w:r>
      <w:r>
        <w:t>vida</w:t>
      </w:r>
      <w:r>
        <w:rPr>
          <w:spacing w:val="-5"/>
        </w:rPr>
        <w:t xml:space="preserve"> </w:t>
      </w:r>
      <w:r>
        <w:t>regulados</w:t>
      </w:r>
      <w:r>
        <w:rPr>
          <w:spacing w:val="-5"/>
        </w:rPr>
        <w:t xml:space="preserve"> </w:t>
      </w:r>
      <w:r>
        <w:t>por</w:t>
      </w:r>
      <w:r>
        <w:rPr>
          <w:spacing w:val="-5"/>
        </w:rPr>
        <w:t xml:space="preserve"> </w:t>
      </w:r>
      <w:r>
        <w:t>la</w:t>
      </w:r>
      <w:r>
        <w:rPr>
          <w:spacing w:val="-5"/>
        </w:rPr>
        <w:t xml:space="preserve"> </w:t>
      </w:r>
      <w:r>
        <w:t>ley,</w:t>
      </w:r>
      <w:r>
        <w:rPr>
          <w:spacing w:val="-5"/>
        </w:rPr>
        <w:t xml:space="preserve"> </w:t>
      </w:r>
      <w:r>
        <w:t>prevean</w:t>
      </w:r>
      <w:r>
        <w:rPr>
          <w:spacing w:val="-5"/>
        </w:rPr>
        <w:t xml:space="preserve"> </w:t>
      </w:r>
      <w:r>
        <w:t>la</w:t>
      </w:r>
      <w:r>
        <w:rPr>
          <w:spacing w:val="-5"/>
        </w:rPr>
        <w:t xml:space="preserve"> </w:t>
      </w:r>
      <w:r>
        <w:t>aplicación</w:t>
      </w:r>
      <w:r>
        <w:rPr>
          <w:spacing w:val="-5"/>
        </w:rPr>
        <w:t xml:space="preserve"> </w:t>
      </w:r>
      <w:r>
        <w:t>efectiva</w:t>
      </w:r>
      <w:r>
        <w:rPr>
          <w:spacing w:val="-5"/>
        </w:rPr>
        <w:t xml:space="preserve"> </w:t>
      </w:r>
      <w:r>
        <w:t>del</w:t>
      </w:r>
      <w:r>
        <w:rPr>
          <w:spacing w:val="-5"/>
        </w:rPr>
        <w:t xml:space="preserve"> </w:t>
      </w:r>
      <w:r>
        <w:t>derecho</w:t>
      </w:r>
      <w:r>
        <w:rPr>
          <w:spacing w:val="-5"/>
        </w:rPr>
        <w:t xml:space="preserve"> </w:t>
      </w:r>
      <w:r>
        <w:t>y</w:t>
      </w:r>
      <w:r>
        <w:rPr>
          <w:spacing w:val="-5"/>
        </w:rPr>
        <w:t xml:space="preserve"> </w:t>
      </w:r>
      <w:r>
        <w:t>exijan</w:t>
      </w:r>
      <w:r>
        <w:rPr>
          <w:spacing w:val="-5"/>
        </w:rPr>
        <w:t xml:space="preserve"> </w:t>
      </w:r>
      <w:r>
        <w:t>medidas</w:t>
      </w:r>
      <w:r>
        <w:rPr>
          <w:spacing w:val="-5"/>
        </w:rPr>
        <w:t xml:space="preserve"> </w:t>
      </w:r>
      <w:r>
        <w:t>de</w:t>
      </w:r>
      <w:r>
        <w:rPr>
          <w:spacing w:val="-5"/>
        </w:rPr>
        <w:t xml:space="preserve"> </w:t>
      </w:r>
      <w:r>
        <w:t>acción</w:t>
      </w:r>
      <w:r>
        <w:rPr>
          <w:spacing w:val="-5"/>
        </w:rPr>
        <w:t xml:space="preserve"> </w:t>
      </w:r>
      <w:r>
        <w:t>positiva</w:t>
      </w:r>
      <w:r>
        <w:rPr>
          <w:spacing w:val="-5"/>
        </w:rPr>
        <w:t xml:space="preserve"> </w:t>
      </w:r>
      <w:r>
        <w:t>para</w:t>
      </w:r>
      <w:r>
        <w:rPr>
          <w:spacing w:val="-5"/>
        </w:rPr>
        <w:t xml:space="preserve"> </w:t>
      </w:r>
      <w:r>
        <w:t>abordar la</w:t>
      </w:r>
      <w:r>
        <w:rPr>
          <w:spacing w:val="-5"/>
        </w:rPr>
        <w:t xml:space="preserve"> </w:t>
      </w:r>
      <w:r>
        <w:t>discriminación</w:t>
      </w:r>
      <w:r>
        <w:rPr>
          <w:spacing w:val="-5"/>
        </w:rPr>
        <w:t xml:space="preserve"> </w:t>
      </w:r>
      <w:r>
        <w:t>histórica</w:t>
      </w:r>
      <w:r>
        <w:rPr>
          <w:spacing w:val="-5"/>
        </w:rPr>
        <w:t xml:space="preserve"> </w:t>
      </w:r>
      <w:r>
        <w:t>o</w:t>
      </w:r>
      <w:r>
        <w:rPr>
          <w:spacing w:val="-5"/>
        </w:rPr>
        <w:t xml:space="preserve"> </w:t>
      </w:r>
      <w:r>
        <w:t>estructural</w:t>
      </w:r>
      <w:proofErr w:type="gramStart"/>
      <w:r>
        <w:t>.</w:t>
      </w:r>
      <w:r>
        <w:rPr>
          <w:spacing w:val="-5"/>
        </w:rPr>
        <w:t xml:space="preserve"> </w:t>
      </w:r>
      <w:r>
        <w:t>,</w:t>
      </w:r>
      <w:proofErr w:type="gramEnd"/>
      <w:r>
        <w:rPr>
          <w:spacing w:val="-4"/>
        </w:rPr>
        <w:t xml:space="preserve"> </w:t>
      </w:r>
      <w:r>
        <w:t>los</w:t>
      </w:r>
      <w:r>
        <w:rPr>
          <w:spacing w:val="-5"/>
        </w:rPr>
        <w:t xml:space="preserve"> </w:t>
      </w:r>
      <w:r>
        <w:t>Estados</w:t>
      </w:r>
      <w:r>
        <w:rPr>
          <w:spacing w:val="-5"/>
        </w:rPr>
        <w:t xml:space="preserve"> </w:t>
      </w:r>
      <w:r>
        <w:t>no</w:t>
      </w:r>
      <w:r>
        <w:rPr>
          <w:spacing w:val="-5"/>
        </w:rPr>
        <w:t xml:space="preserve"> </w:t>
      </w:r>
      <w:r>
        <w:t>podrán</w:t>
      </w:r>
      <w:r>
        <w:rPr>
          <w:spacing w:val="-5"/>
        </w:rPr>
        <w:t xml:space="preserve"> </w:t>
      </w:r>
      <w:r>
        <w:t>hacer</w:t>
      </w:r>
      <w:r>
        <w:rPr>
          <w:spacing w:val="-5"/>
        </w:rPr>
        <w:t xml:space="preserve"> </w:t>
      </w:r>
      <w:r>
        <w:t>efectivo</w:t>
      </w:r>
      <w:r>
        <w:rPr>
          <w:spacing w:val="-5"/>
        </w:rPr>
        <w:t xml:space="preserve"> </w:t>
      </w:r>
      <w:r>
        <w:t>el</w:t>
      </w:r>
      <w:r>
        <w:rPr>
          <w:spacing w:val="-5"/>
        </w:rPr>
        <w:t xml:space="preserve"> </w:t>
      </w:r>
      <w:r>
        <w:t>derecho</w:t>
      </w:r>
      <w:r>
        <w:rPr>
          <w:spacing w:val="-5"/>
        </w:rPr>
        <w:t xml:space="preserve"> </w:t>
      </w:r>
      <w:r>
        <w:t>a</w:t>
      </w:r>
      <w:r>
        <w:rPr>
          <w:spacing w:val="-5"/>
        </w:rPr>
        <w:t xml:space="preserve"> </w:t>
      </w:r>
      <w:r>
        <w:t>la</w:t>
      </w:r>
      <w:r>
        <w:rPr>
          <w:spacing w:val="-5"/>
        </w:rPr>
        <w:t xml:space="preserve"> </w:t>
      </w:r>
      <w:r>
        <w:t>no</w:t>
      </w:r>
      <w:r>
        <w:rPr>
          <w:spacing w:val="-5"/>
        </w:rPr>
        <w:t xml:space="preserve"> </w:t>
      </w:r>
      <w:r>
        <w:t>discriminación.</w:t>
      </w:r>
      <w:r>
        <w:rPr>
          <w:spacing w:val="-3"/>
        </w:rPr>
        <w:t xml:space="preserve"> </w:t>
      </w:r>
      <w:r>
        <w:t>Sólo</w:t>
      </w:r>
      <w:r>
        <w:rPr>
          <w:spacing w:val="-5"/>
        </w:rPr>
        <w:t xml:space="preserve"> </w:t>
      </w:r>
      <w:r>
        <w:t xml:space="preserve">garantizando la eficacia y el disfrute del derecho a la no discriminación podrán los Estados hacer realidad sus ambiciones de combatir la </w:t>
      </w:r>
      <w:r>
        <w:rPr>
          <w:spacing w:val="-2"/>
        </w:rPr>
        <w:t>desigualdad.</w:t>
      </w:r>
    </w:p>
    <w:p w14:paraId="73AD8023" w14:textId="77777777" w:rsidR="0014798C" w:rsidRDefault="0014798C">
      <w:pPr>
        <w:pStyle w:val="Textoindependiente"/>
        <w:rPr>
          <w:sz w:val="20"/>
        </w:rPr>
      </w:pPr>
    </w:p>
    <w:p w14:paraId="6219B2ED" w14:textId="77777777" w:rsidR="0014798C" w:rsidRDefault="004E1F0B">
      <w:pPr>
        <w:pStyle w:val="Textoindependiente"/>
        <w:spacing w:before="158"/>
        <w:rPr>
          <w:sz w:val="20"/>
        </w:rPr>
      </w:pPr>
      <w:r>
        <w:rPr>
          <w:noProof/>
        </w:rPr>
        <w:drawing>
          <wp:anchor distT="0" distB="0" distL="0" distR="0" simplePos="0" relativeHeight="251658508" behindDoc="1" locked="0" layoutInCell="1" allowOverlap="1" wp14:anchorId="66237925" wp14:editId="79EB6332">
            <wp:simplePos x="0" y="0"/>
            <wp:positionH relativeFrom="page">
              <wp:posOffset>826632</wp:posOffset>
            </wp:positionH>
            <wp:positionV relativeFrom="paragraph">
              <wp:posOffset>262005</wp:posOffset>
            </wp:positionV>
            <wp:extent cx="931001" cy="35813"/>
            <wp:effectExtent l="0" t="0" r="0" b="0"/>
            <wp:wrapTopAndBottom/>
            <wp:docPr id="31" name="Image 3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1" name="Image 31"/>
                    <pic:cNvPicPr/>
                  </pic:nvPicPr>
                  <pic:blipFill>
                    <a:blip r:embed="rId37" cstate="print"/>
                    <a:stretch>
                      <a:fillRect/>
                    </a:stretch>
                  </pic:blipFill>
                  <pic:spPr>
                    <a:xfrm>
                      <a:off x="0" y="0"/>
                      <a:ext cx="931001" cy="35813"/>
                    </a:xfrm>
                    <a:prstGeom prst="rect">
                      <a:avLst/>
                    </a:prstGeom>
                  </pic:spPr>
                </pic:pic>
              </a:graphicData>
            </a:graphic>
          </wp:anchor>
        </w:drawing>
      </w:r>
    </w:p>
    <w:p w14:paraId="0EF223D0" w14:textId="77777777" w:rsidR="0014798C" w:rsidRPr="00537489" w:rsidRDefault="004E1F0B">
      <w:pPr>
        <w:tabs>
          <w:tab w:val="left" w:pos="1370"/>
        </w:tabs>
        <w:spacing w:before="119" w:line="259" w:lineRule="auto"/>
        <w:ind w:left="1365" w:right="1626" w:hanging="255"/>
        <w:rPr>
          <w:sz w:val="14"/>
          <w:lang w:val="en-US"/>
        </w:rPr>
      </w:pPr>
      <w:r w:rsidRPr="00537489">
        <w:rPr>
          <w:spacing w:val="-10"/>
          <w:w w:val="105"/>
          <w:sz w:val="14"/>
          <w:vertAlign w:val="superscript"/>
          <w:lang w:val="en-US"/>
        </w:rPr>
        <w:t>1</w:t>
      </w:r>
      <w:r w:rsidRPr="00537489">
        <w:rPr>
          <w:sz w:val="14"/>
          <w:lang w:val="en-US"/>
        </w:rPr>
        <w:tab/>
      </w:r>
      <w:r w:rsidRPr="00537489">
        <w:rPr>
          <w:sz w:val="14"/>
          <w:lang w:val="en-US"/>
        </w:rPr>
        <w:tab/>
      </w:r>
      <w:proofErr w:type="spellStart"/>
      <w:r w:rsidRPr="00537489">
        <w:rPr>
          <w:w w:val="105"/>
          <w:sz w:val="14"/>
          <w:lang w:val="en-US"/>
        </w:rPr>
        <w:t>Véase</w:t>
      </w:r>
      <w:proofErr w:type="spellEnd"/>
      <w:r w:rsidRPr="00537489">
        <w:rPr>
          <w:w w:val="105"/>
          <w:sz w:val="14"/>
          <w:lang w:val="en-US"/>
        </w:rPr>
        <w:t>,</w:t>
      </w:r>
      <w:r w:rsidRPr="00537489">
        <w:rPr>
          <w:spacing w:val="-1"/>
          <w:w w:val="105"/>
          <w:sz w:val="14"/>
          <w:lang w:val="en-US"/>
        </w:rPr>
        <w:t xml:space="preserve"> </w:t>
      </w:r>
      <w:r w:rsidRPr="00537489">
        <w:rPr>
          <w:w w:val="105"/>
          <w:sz w:val="14"/>
          <w:lang w:val="en-US"/>
        </w:rPr>
        <w:t>por</w:t>
      </w:r>
      <w:r w:rsidRPr="00537489">
        <w:rPr>
          <w:spacing w:val="-2"/>
          <w:w w:val="105"/>
          <w:sz w:val="14"/>
          <w:lang w:val="en-US"/>
        </w:rPr>
        <w:t xml:space="preserve"> </w:t>
      </w:r>
      <w:proofErr w:type="spellStart"/>
      <w:r w:rsidRPr="00537489">
        <w:rPr>
          <w:w w:val="105"/>
          <w:sz w:val="14"/>
          <w:lang w:val="en-US"/>
        </w:rPr>
        <w:t>ejemplo</w:t>
      </w:r>
      <w:proofErr w:type="spellEnd"/>
      <w:r w:rsidRPr="00537489">
        <w:rPr>
          <w:w w:val="105"/>
          <w:sz w:val="14"/>
          <w:lang w:val="en-US"/>
        </w:rPr>
        <w:t>,</w:t>
      </w:r>
      <w:r w:rsidRPr="00537489">
        <w:rPr>
          <w:spacing w:val="-1"/>
          <w:w w:val="105"/>
          <w:sz w:val="14"/>
          <w:lang w:val="en-US"/>
        </w:rPr>
        <w:t xml:space="preserve"> </w:t>
      </w:r>
      <w:r w:rsidRPr="00537489">
        <w:rPr>
          <w:w w:val="105"/>
          <w:sz w:val="14"/>
          <w:lang w:val="en-US"/>
        </w:rPr>
        <w:t>Richard</w:t>
      </w:r>
      <w:r w:rsidRPr="00537489">
        <w:rPr>
          <w:spacing w:val="-2"/>
          <w:w w:val="105"/>
          <w:sz w:val="14"/>
          <w:lang w:val="en-US"/>
        </w:rPr>
        <w:t xml:space="preserve"> </w:t>
      </w:r>
      <w:r w:rsidRPr="00537489">
        <w:rPr>
          <w:w w:val="105"/>
          <w:sz w:val="14"/>
          <w:lang w:val="en-US"/>
        </w:rPr>
        <w:t>Wilkinson</w:t>
      </w:r>
      <w:r w:rsidRPr="00537489">
        <w:rPr>
          <w:spacing w:val="-2"/>
          <w:w w:val="105"/>
          <w:sz w:val="14"/>
          <w:lang w:val="en-US"/>
        </w:rPr>
        <w:t xml:space="preserve"> </w:t>
      </w:r>
      <w:r w:rsidRPr="00537489">
        <w:rPr>
          <w:w w:val="105"/>
          <w:sz w:val="14"/>
          <w:lang w:val="en-US"/>
        </w:rPr>
        <w:t>y</w:t>
      </w:r>
      <w:r w:rsidRPr="00537489">
        <w:rPr>
          <w:spacing w:val="-2"/>
          <w:w w:val="105"/>
          <w:sz w:val="14"/>
          <w:lang w:val="en-US"/>
        </w:rPr>
        <w:t xml:space="preserve"> </w:t>
      </w:r>
      <w:r w:rsidRPr="00537489">
        <w:rPr>
          <w:w w:val="105"/>
          <w:sz w:val="14"/>
          <w:lang w:val="en-US"/>
        </w:rPr>
        <w:t>Kate</w:t>
      </w:r>
      <w:r w:rsidRPr="00537489">
        <w:rPr>
          <w:spacing w:val="-2"/>
          <w:w w:val="105"/>
          <w:sz w:val="14"/>
          <w:lang w:val="en-US"/>
        </w:rPr>
        <w:t xml:space="preserve"> </w:t>
      </w:r>
      <w:r w:rsidRPr="00537489">
        <w:rPr>
          <w:w w:val="105"/>
          <w:sz w:val="14"/>
          <w:lang w:val="en-US"/>
        </w:rPr>
        <w:t>Pickett,</w:t>
      </w:r>
      <w:r w:rsidRPr="00537489">
        <w:rPr>
          <w:spacing w:val="-1"/>
          <w:w w:val="105"/>
          <w:sz w:val="14"/>
          <w:lang w:val="en-US"/>
        </w:rPr>
        <w:t xml:space="preserve"> </w:t>
      </w:r>
      <w:r w:rsidRPr="00537489">
        <w:rPr>
          <w:w w:val="105"/>
          <w:sz w:val="14"/>
          <w:lang w:val="en-US"/>
        </w:rPr>
        <w:t>The</w:t>
      </w:r>
      <w:r w:rsidRPr="00537489">
        <w:rPr>
          <w:spacing w:val="-2"/>
          <w:w w:val="105"/>
          <w:sz w:val="14"/>
          <w:lang w:val="en-US"/>
        </w:rPr>
        <w:t xml:space="preserve"> </w:t>
      </w:r>
      <w:r w:rsidRPr="00537489">
        <w:rPr>
          <w:w w:val="105"/>
          <w:sz w:val="14"/>
          <w:lang w:val="en-US"/>
        </w:rPr>
        <w:t>Spirit</w:t>
      </w:r>
      <w:r w:rsidRPr="00537489">
        <w:rPr>
          <w:spacing w:val="-1"/>
          <w:w w:val="105"/>
          <w:sz w:val="14"/>
          <w:lang w:val="en-US"/>
        </w:rPr>
        <w:t xml:space="preserve"> </w:t>
      </w:r>
      <w:r w:rsidRPr="00537489">
        <w:rPr>
          <w:w w:val="105"/>
          <w:sz w:val="14"/>
          <w:lang w:val="en-US"/>
        </w:rPr>
        <w:t>Level:</w:t>
      </w:r>
      <w:r w:rsidRPr="00537489">
        <w:rPr>
          <w:spacing w:val="-1"/>
          <w:w w:val="105"/>
          <w:sz w:val="14"/>
          <w:lang w:val="en-US"/>
        </w:rPr>
        <w:t xml:space="preserve"> </w:t>
      </w:r>
      <w:r w:rsidRPr="00537489">
        <w:rPr>
          <w:w w:val="105"/>
          <w:sz w:val="14"/>
          <w:lang w:val="en-US"/>
        </w:rPr>
        <w:t>Why</w:t>
      </w:r>
      <w:r w:rsidRPr="00537489">
        <w:rPr>
          <w:spacing w:val="-2"/>
          <w:w w:val="105"/>
          <w:sz w:val="14"/>
          <w:lang w:val="en-US"/>
        </w:rPr>
        <w:t xml:space="preserve"> </w:t>
      </w:r>
      <w:r w:rsidRPr="00537489">
        <w:rPr>
          <w:w w:val="105"/>
          <w:sz w:val="14"/>
          <w:lang w:val="en-US"/>
        </w:rPr>
        <w:t>More</w:t>
      </w:r>
      <w:r w:rsidRPr="00537489">
        <w:rPr>
          <w:spacing w:val="-2"/>
          <w:w w:val="105"/>
          <w:sz w:val="14"/>
          <w:lang w:val="en-US"/>
        </w:rPr>
        <w:t xml:space="preserve"> </w:t>
      </w:r>
      <w:r w:rsidRPr="00537489">
        <w:rPr>
          <w:w w:val="105"/>
          <w:sz w:val="14"/>
          <w:lang w:val="en-US"/>
        </w:rPr>
        <w:t>Equal</w:t>
      </w:r>
      <w:r w:rsidRPr="00537489">
        <w:rPr>
          <w:spacing w:val="-2"/>
          <w:w w:val="105"/>
          <w:sz w:val="14"/>
          <w:lang w:val="en-US"/>
        </w:rPr>
        <w:t xml:space="preserve"> </w:t>
      </w:r>
      <w:r w:rsidRPr="00537489">
        <w:rPr>
          <w:w w:val="105"/>
          <w:sz w:val="14"/>
          <w:lang w:val="en-US"/>
        </w:rPr>
        <w:t>Societies</w:t>
      </w:r>
      <w:r w:rsidRPr="00537489">
        <w:rPr>
          <w:spacing w:val="-2"/>
          <w:w w:val="105"/>
          <w:sz w:val="14"/>
          <w:lang w:val="en-US"/>
        </w:rPr>
        <w:t xml:space="preserve"> </w:t>
      </w:r>
      <w:r w:rsidRPr="00537489">
        <w:rPr>
          <w:w w:val="105"/>
          <w:sz w:val="14"/>
          <w:lang w:val="en-US"/>
        </w:rPr>
        <w:t>Almost</w:t>
      </w:r>
      <w:r w:rsidRPr="00537489">
        <w:rPr>
          <w:spacing w:val="-1"/>
          <w:w w:val="105"/>
          <w:sz w:val="14"/>
          <w:lang w:val="en-US"/>
        </w:rPr>
        <w:t xml:space="preserve"> </w:t>
      </w:r>
      <w:r w:rsidRPr="00537489">
        <w:rPr>
          <w:w w:val="105"/>
          <w:sz w:val="14"/>
          <w:lang w:val="en-US"/>
        </w:rPr>
        <w:t>Always</w:t>
      </w:r>
      <w:r w:rsidRPr="00537489">
        <w:rPr>
          <w:spacing w:val="-2"/>
          <w:w w:val="105"/>
          <w:sz w:val="14"/>
          <w:lang w:val="en-US"/>
        </w:rPr>
        <w:t xml:space="preserve"> </w:t>
      </w:r>
      <w:r w:rsidRPr="00537489">
        <w:rPr>
          <w:w w:val="105"/>
          <w:sz w:val="14"/>
          <w:lang w:val="en-US"/>
        </w:rPr>
        <w:t>Do</w:t>
      </w:r>
      <w:r w:rsidRPr="00537489">
        <w:rPr>
          <w:spacing w:val="-2"/>
          <w:w w:val="105"/>
          <w:sz w:val="14"/>
          <w:lang w:val="en-US"/>
        </w:rPr>
        <w:t xml:space="preserve"> </w:t>
      </w:r>
      <w:r w:rsidRPr="00537489">
        <w:rPr>
          <w:w w:val="105"/>
          <w:sz w:val="14"/>
          <w:lang w:val="en-US"/>
        </w:rPr>
        <w:t>Better</w:t>
      </w:r>
      <w:r w:rsidRPr="00537489">
        <w:rPr>
          <w:spacing w:val="-2"/>
          <w:w w:val="105"/>
          <w:sz w:val="14"/>
          <w:lang w:val="en-US"/>
        </w:rPr>
        <w:t xml:space="preserve"> </w:t>
      </w:r>
      <w:r w:rsidRPr="00537489">
        <w:rPr>
          <w:w w:val="105"/>
          <w:sz w:val="14"/>
          <w:lang w:val="en-US"/>
        </w:rPr>
        <w:t>(Londres, Allen Lane, 2009).</w:t>
      </w:r>
    </w:p>
    <w:p w14:paraId="7A54A3BF" w14:textId="77777777" w:rsidR="0014798C" w:rsidRDefault="004E1F0B">
      <w:pPr>
        <w:pStyle w:val="Prrafodelista"/>
        <w:numPr>
          <w:ilvl w:val="0"/>
          <w:numId w:val="95"/>
        </w:numPr>
        <w:tabs>
          <w:tab w:val="left" w:pos="1208"/>
        </w:tabs>
        <w:spacing w:before="84"/>
        <w:ind w:left="1208" w:hanging="103"/>
        <w:rPr>
          <w:sz w:val="12"/>
        </w:rPr>
      </w:pPr>
      <w:r>
        <w:rPr>
          <w:spacing w:val="-2"/>
          <w:w w:val="105"/>
          <w:sz w:val="12"/>
        </w:rPr>
        <w:t>Resolución</w:t>
      </w:r>
      <w:r>
        <w:rPr>
          <w:spacing w:val="-1"/>
          <w:w w:val="105"/>
          <w:sz w:val="12"/>
        </w:rPr>
        <w:t xml:space="preserve"> </w:t>
      </w:r>
      <w:r>
        <w:rPr>
          <w:spacing w:val="-2"/>
          <w:w w:val="105"/>
          <w:sz w:val="12"/>
        </w:rPr>
        <w:t>70/1</w:t>
      </w:r>
      <w:r>
        <w:rPr>
          <w:spacing w:val="-1"/>
          <w:w w:val="105"/>
          <w:sz w:val="12"/>
        </w:rPr>
        <w:t xml:space="preserve"> </w:t>
      </w:r>
      <w:r>
        <w:rPr>
          <w:spacing w:val="-2"/>
          <w:w w:val="105"/>
          <w:sz w:val="12"/>
        </w:rPr>
        <w:t>de</w:t>
      </w:r>
      <w:r>
        <w:rPr>
          <w:spacing w:val="-1"/>
          <w:w w:val="105"/>
          <w:sz w:val="12"/>
        </w:rPr>
        <w:t xml:space="preserve"> </w:t>
      </w:r>
      <w:r>
        <w:rPr>
          <w:spacing w:val="-2"/>
          <w:w w:val="105"/>
          <w:sz w:val="12"/>
        </w:rPr>
        <w:t>la</w:t>
      </w:r>
      <w:r>
        <w:rPr>
          <w:spacing w:val="-1"/>
          <w:w w:val="105"/>
          <w:sz w:val="12"/>
        </w:rPr>
        <w:t xml:space="preserve"> </w:t>
      </w:r>
      <w:r>
        <w:rPr>
          <w:spacing w:val="-2"/>
          <w:w w:val="105"/>
          <w:sz w:val="12"/>
        </w:rPr>
        <w:t>Asamblea</w:t>
      </w:r>
      <w:r>
        <w:rPr>
          <w:spacing w:val="-1"/>
          <w:w w:val="105"/>
          <w:sz w:val="12"/>
        </w:rPr>
        <w:t xml:space="preserve"> </w:t>
      </w:r>
      <w:r>
        <w:rPr>
          <w:spacing w:val="-2"/>
          <w:w w:val="105"/>
          <w:sz w:val="12"/>
        </w:rPr>
        <w:t>General.</w:t>
      </w:r>
    </w:p>
    <w:p w14:paraId="1C1AD7A4" w14:textId="77777777" w:rsidR="0014798C" w:rsidRDefault="004E1F0B">
      <w:pPr>
        <w:pStyle w:val="Prrafodelista"/>
        <w:numPr>
          <w:ilvl w:val="0"/>
          <w:numId w:val="95"/>
        </w:numPr>
        <w:tabs>
          <w:tab w:val="left" w:pos="1210"/>
          <w:tab w:val="left" w:pos="1368"/>
        </w:tabs>
        <w:spacing w:before="98" w:line="312" w:lineRule="auto"/>
        <w:ind w:left="1368" w:right="1490" w:hanging="261"/>
        <w:rPr>
          <w:sz w:val="12"/>
        </w:rPr>
      </w:pPr>
      <w:r>
        <w:rPr>
          <w:w w:val="105"/>
          <w:sz w:val="12"/>
        </w:rPr>
        <w:t>Oficina</w:t>
      </w:r>
      <w:r>
        <w:rPr>
          <w:spacing w:val="-6"/>
          <w:w w:val="105"/>
          <w:sz w:val="12"/>
        </w:rPr>
        <w:t xml:space="preserve"> </w:t>
      </w:r>
      <w:r>
        <w:rPr>
          <w:w w:val="105"/>
          <w:sz w:val="12"/>
        </w:rPr>
        <w:t>del</w:t>
      </w:r>
      <w:r>
        <w:rPr>
          <w:spacing w:val="-6"/>
          <w:w w:val="105"/>
          <w:sz w:val="12"/>
        </w:rPr>
        <w:t xml:space="preserve"> </w:t>
      </w:r>
      <w:r>
        <w:rPr>
          <w:w w:val="105"/>
          <w:sz w:val="12"/>
        </w:rPr>
        <w:t>Alto</w:t>
      </w:r>
      <w:r>
        <w:rPr>
          <w:spacing w:val="-7"/>
          <w:w w:val="105"/>
          <w:sz w:val="12"/>
        </w:rPr>
        <w:t xml:space="preserve"> </w:t>
      </w:r>
      <w:r>
        <w:rPr>
          <w:w w:val="105"/>
          <w:sz w:val="12"/>
        </w:rPr>
        <w:t>Comisionado</w:t>
      </w:r>
      <w:r>
        <w:rPr>
          <w:spacing w:val="-6"/>
          <w:w w:val="105"/>
          <w:sz w:val="12"/>
        </w:rPr>
        <w:t xml:space="preserve"> </w:t>
      </w:r>
      <w:r>
        <w:rPr>
          <w:w w:val="105"/>
          <w:sz w:val="12"/>
        </w:rPr>
        <w:t>de</w:t>
      </w:r>
      <w:r>
        <w:rPr>
          <w:spacing w:val="-6"/>
          <w:w w:val="105"/>
          <w:sz w:val="12"/>
        </w:rPr>
        <w:t xml:space="preserve"> </w:t>
      </w:r>
      <w:r>
        <w:rPr>
          <w:w w:val="105"/>
          <w:sz w:val="12"/>
        </w:rPr>
        <w:t>las</w:t>
      </w:r>
      <w:r>
        <w:rPr>
          <w:spacing w:val="-6"/>
          <w:w w:val="105"/>
          <w:sz w:val="12"/>
        </w:rPr>
        <w:t xml:space="preserve"> </w:t>
      </w:r>
      <w:r>
        <w:rPr>
          <w:w w:val="105"/>
          <w:sz w:val="12"/>
        </w:rPr>
        <w:t>Naciones</w:t>
      </w:r>
      <w:r>
        <w:rPr>
          <w:spacing w:val="-6"/>
          <w:w w:val="105"/>
          <w:sz w:val="12"/>
        </w:rPr>
        <w:t xml:space="preserve"> </w:t>
      </w:r>
      <w:r>
        <w:rPr>
          <w:w w:val="105"/>
          <w:sz w:val="12"/>
        </w:rPr>
        <w:t>Unidas</w:t>
      </w:r>
      <w:r>
        <w:rPr>
          <w:spacing w:val="-6"/>
          <w:w w:val="105"/>
          <w:sz w:val="12"/>
        </w:rPr>
        <w:t xml:space="preserve"> </w:t>
      </w:r>
      <w:r>
        <w:rPr>
          <w:w w:val="105"/>
          <w:sz w:val="12"/>
        </w:rPr>
        <w:t>para</w:t>
      </w:r>
      <w:r>
        <w:rPr>
          <w:spacing w:val="-6"/>
          <w:w w:val="105"/>
          <w:sz w:val="12"/>
        </w:rPr>
        <w:t xml:space="preserve"> </w:t>
      </w:r>
      <w:r>
        <w:rPr>
          <w:w w:val="105"/>
          <w:sz w:val="12"/>
        </w:rPr>
        <w:t>los</w:t>
      </w:r>
      <w:r>
        <w:rPr>
          <w:spacing w:val="-6"/>
          <w:w w:val="105"/>
          <w:sz w:val="12"/>
        </w:rPr>
        <w:t xml:space="preserve"> </w:t>
      </w:r>
      <w:r>
        <w:rPr>
          <w:w w:val="105"/>
          <w:sz w:val="12"/>
        </w:rPr>
        <w:t>Derechos</w:t>
      </w:r>
      <w:r>
        <w:rPr>
          <w:spacing w:val="-6"/>
          <w:w w:val="105"/>
          <w:sz w:val="12"/>
        </w:rPr>
        <w:t xml:space="preserve"> </w:t>
      </w:r>
      <w:r>
        <w:rPr>
          <w:w w:val="105"/>
          <w:sz w:val="12"/>
        </w:rPr>
        <w:t>Humanos,</w:t>
      </w:r>
      <w:r>
        <w:rPr>
          <w:spacing w:val="-6"/>
          <w:w w:val="105"/>
          <w:sz w:val="12"/>
        </w:rPr>
        <w:t xml:space="preserve"> </w:t>
      </w:r>
      <w:r>
        <w:rPr>
          <w:w w:val="105"/>
          <w:sz w:val="12"/>
        </w:rPr>
        <w:t>“75</w:t>
      </w:r>
      <w:r>
        <w:rPr>
          <w:spacing w:val="-6"/>
          <w:w w:val="105"/>
          <w:sz w:val="12"/>
        </w:rPr>
        <w:t xml:space="preserve"> </w:t>
      </w:r>
      <w:r>
        <w:rPr>
          <w:w w:val="105"/>
          <w:sz w:val="12"/>
        </w:rPr>
        <w:t>años</w:t>
      </w:r>
      <w:r>
        <w:rPr>
          <w:spacing w:val="-6"/>
          <w:w w:val="105"/>
          <w:sz w:val="12"/>
        </w:rPr>
        <w:t xml:space="preserve"> </w:t>
      </w:r>
      <w:r>
        <w:rPr>
          <w:w w:val="105"/>
          <w:sz w:val="12"/>
        </w:rPr>
        <w:t>después</w:t>
      </w:r>
      <w:r>
        <w:rPr>
          <w:spacing w:val="-6"/>
          <w:w w:val="105"/>
          <w:sz w:val="12"/>
        </w:rPr>
        <w:t xml:space="preserve"> </w:t>
      </w:r>
      <w:r>
        <w:rPr>
          <w:w w:val="105"/>
          <w:sz w:val="12"/>
        </w:rPr>
        <w:t>de</w:t>
      </w:r>
      <w:r>
        <w:rPr>
          <w:spacing w:val="-6"/>
          <w:w w:val="105"/>
          <w:sz w:val="12"/>
        </w:rPr>
        <w:t xml:space="preserve"> </w:t>
      </w:r>
      <w:r>
        <w:rPr>
          <w:w w:val="105"/>
          <w:sz w:val="12"/>
        </w:rPr>
        <w:t>Auschwitz</w:t>
      </w:r>
      <w:r>
        <w:rPr>
          <w:spacing w:val="-7"/>
          <w:w w:val="105"/>
          <w:sz w:val="12"/>
        </w:rPr>
        <w:t xml:space="preserve"> </w:t>
      </w:r>
      <w:r>
        <w:rPr>
          <w:w w:val="105"/>
          <w:sz w:val="12"/>
        </w:rPr>
        <w:t>–</w:t>
      </w:r>
      <w:r>
        <w:rPr>
          <w:spacing w:val="-6"/>
          <w:w w:val="105"/>
          <w:sz w:val="12"/>
        </w:rPr>
        <w:t xml:space="preserve"> </w:t>
      </w:r>
      <w:r>
        <w:rPr>
          <w:w w:val="105"/>
          <w:sz w:val="12"/>
        </w:rPr>
        <w:t>Educación</w:t>
      </w:r>
      <w:r>
        <w:rPr>
          <w:spacing w:val="-6"/>
          <w:w w:val="105"/>
          <w:sz w:val="12"/>
        </w:rPr>
        <w:t xml:space="preserve"> </w:t>
      </w:r>
      <w:r>
        <w:rPr>
          <w:w w:val="105"/>
          <w:sz w:val="12"/>
        </w:rPr>
        <w:t>y</w:t>
      </w:r>
      <w:r>
        <w:rPr>
          <w:spacing w:val="-6"/>
          <w:w w:val="105"/>
          <w:sz w:val="12"/>
        </w:rPr>
        <w:t xml:space="preserve"> </w:t>
      </w:r>
      <w:r>
        <w:rPr>
          <w:w w:val="105"/>
          <w:sz w:val="12"/>
        </w:rPr>
        <w:t>recuerdo</w:t>
      </w:r>
      <w:r>
        <w:rPr>
          <w:spacing w:val="-6"/>
          <w:w w:val="105"/>
          <w:sz w:val="12"/>
        </w:rPr>
        <w:t xml:space="preserve"> </w:t>
      </w:r>
      <w:r>
        <w:rPr>
          <w:w w:val="105"/>
          <w:sz w:val="12"/>
        </w:rPr>
        <w:t>del</w:t>
      </w:r>
      <w:r>
        <w:rPr>
          <w:spacing w:val="-6"/>
          <w:w w:val="105"/>
          <w:sz w:val="12"/>
        </w:rPr>
        <w:t xml:space="preserve"> </w:t>
      </w:r>
      <w:r>
        <w:rPr>
          <w:w w:val="105"/>
          <w:sz w:val="12"/>
        </w:rPr>
        <w:t>Holocausto</w:t>
      </w:r>
      <w:r>
        <w:rPr>
          <w:spacing w:val="-6"/>
          <w:w w:val="105"/>
          <w:sz w:val="12"/>
        </w:rPr>
        <w:t xml:space="preserve"> </w:t>
      </w:r>
      <w:r>
        <w:rPr>
          <w:w w:val="105"/>
          <w:sz w:val="12"/>
        </w:rPr>
        <w:t>para</w:t>
      </w:r>
      <w:r>
        <w:rPr>
          <w:spacing w:val="-6"/>
          <w:w w:val="105"/>
          <w:sz w:val="12"/>
        </w:rPr>
        <w:t xml:space="preserve"> </w:t>
      </w:r>
      <w:r>
        <w:rPr>
          <w:w w:val="105"/>
          <w:sz w:val="12"/>
        </w:rPr>
        <w:t>la</w:t>
      </w:r>
      <w:r>
        <w:rPr>
          <w:spacing w:val="40"/>
          <w:w w:val="105"/>
          <w:sz w:val="12"/>
        </w:rPr>
        <w:t xml:space="preserve"> </w:t>
      </w:r>
      <w:r>
        <w:rPr>
          <w:w w:val="105"/>
          <w:sz w:val="12"/>
        </w:rPr>
        <w:t>justicia</w:t>
      </w:r>
      <w:r>
        <w:rPr>
          <w:spacing w:val="-4"/>
          <w:w w:val="105"/>
          <w:sz w:val="12"/>
        </w:rPr>
        <w:t xml:space="preserve"> </w:t>
      </w:r>
      <w:r>
        <w:rPr>
          <w:w w:val="105"/>
          <w:sz w:val="12"/>
        </w:rPr>
        <w:t>global”,</w:t>
      </w:r>
      <w:r>
        <w:rPr>
          <w:spacing w:val="-4"/>
          <w:w w:val="105"/>
          <w:sz w:val="12"/>
        </w:rPr>
        <w:t xml:space="preserve"> </w:t>
      </w:r>
      <w:r>
        <w:rPr>
          <w:w w:val="105"/>
          <w:sz w:val="12"/>
        </w:rPr>
        <w:t>declaración</w:t>
      </w:r>
      <w:r>
        <w:rPr>
          <w:spacing w:val="-4"/>
          <w:w w:val="105"/>
          <w:sz w:val="12"/>
        </w:rPr>
        <w:t xml:space="preserve"> </w:t>
      </w:r>
      <w:r>
        <w:rPr>
          <w:w w:val="105"/>
          <w:sz w:val="12"/>
        </w:rPr>
        <w:t>de</w:t>
      </w:r>
      <w:r>
        <w:rPr>
          <w:spacing w:val="-4"/>
          <w:w w:val="105"/>
          <w:sz w:val="12"/>
        </w:rPr>
        <w:t xml:space="preserve"> </w:t>
      </w:r>
      <w:r>
        <w:rPr>
          <w:w w:val="105"/>
          <w:sz w:val="12"/>
        </w:rPr>
        <w:t>Michelle</w:t>
      </w:r>
      <w:r>
        <w:rPr>
          <w:spacing w:val="-4"/>
          <w:w w:val="105"/>
          <w:sz w:val="12"/>
        </w:rPr>
        <w:t xml:space="preserve"> </w:t>
      </w:r>
      <w:r>
        <w:rPr>
          <w:w w:val="105"/>
          <w:sz w:val="12"/>
        </w:rPr>
        <w:t>Bachelet,</w:t>
      </w:r>
      <w:r>
        <w:rPr>
          <w:spacing w:val="-4"/>
          <w:w w:val="105"/>
          <w:sz w:val="12"/>
        </w:rPr>
        <w:t xml:space="preserve"> </w:t>
      </w:r>
      <w:r>
        <w:rPr>
          <w:w w:val="105"/>
          <w:sz w:val="12"/>
        </w:rPr>
        <w:t>Alta</w:t>
      </w:r>
      <w:r>
        <w:rPr>
          <w:spacing w:val="-5"/>
          <w:w w:val="105"/>
          <w:sz w:val="12"/>
        </w:rPr>
        <w:t xml:space="preserve"> </w:t>
      </w:r>
      <w:r>
        <w:rPr>
          <w:w w:val="105"/>
          <w:sz w:val="12"/>
        </w:rPr>
        <w:t>Comisionada</w:t>
      </w:r>
      <w:r>
        <w:rPr>
          <w:spacing w:val="-4"/>
          <w:w w:val="105"/>
          <w:sz w:val="12"/>
        </w:rPr>
        <w:t xml:space="preserve"> </w:t>
      </w:r>
      <w:r>
        <w:rPr>
          <w:w w:val="105"/>
          <w:sz w:val="12"/>
        </w:rPr>
        <w:t>de</w:t>
      </w:r>
      <w:r>
        <w:rPr>
          <w:spacing w:val="-4"/>
          <w:w w:val="105"/>
          <w:sz w:val="12"/>
        </w:rPr>
        <w:t xml:space="preserve"> </w:t>
      </w:r>
      <w:r>
        <w:rPr>
          <w:w w:val="105"/>
          <w:sz w:val="12"/>
        </w:rPr>
        <w:t>las</w:t>
      </w:r>
      <w:r>
        <w:rPr>
          <w:spacing w:val="-4"/>
          <w:w w:val="105"/>
          <w:sz w:val="12"/>
        </w:rPr>
        <w:t xml:space="preserve"> </w:t>
      </w:r>
      <w:r>
        <w:rPr>
          <w:w w:val="105"/>
          <w:sz w:val="12"/>
        </w:rPr>
        <w:t>Naciones</w:t>
      </w:r>
      <w:r>
        <w:rPr>
          <w:spacing w:val="-4"/>
          <w:w w:val="105"/>
          <w:sz w:val="12"/>
        </w:rPr>
        <w:t xml:space="preserve"> </w:t>
      </w:r>
      <w:r>
        <w:rPr>
          <w:w w:val="105"/>
          <w:sz w:val="12"/>
        </w:rPr>
        <w:t>Unidas</w:t>
      </w:r>
      <w:r>
        <w:rPr>
          <w:spacing w:val="-4"/>
          <w:w w:val="105"/>
          <w:sz w:val="12"/>
        </w:rPr>
        <w:t xml:space="preserve"> </w:t>
      </w:r>
      <w:r>
        <w:rPr>
          <w:w w:val="105"/>
          <w:sz w:val="12"/>
        </w:rPr>
        <w:t>para</w:t>
      </w:r>
      <w:r>
        <w:rPr>
          <w:spacing w:val="-4"/>
          <w:w w:val="105"/>
          <w:sz w:val="12"/>
        </w:rPr>
        <w:t xml:space="preserve"> </w:t>
      </w:r>
      <w:r>
        <w:rPr>
          <w:w w:val="105"/>
          <w:sz w:val="12"/>
        </w:rPr>
        <w:t>los</w:t>
      </w:r>
      <w:r>
        <w:rPr>
          <w:spacing w:val="-4"/>
          <w:w w:val="105"/>
          <w:sz w:val="12"/>
        </w:rPr>
        <w:t xml:space="preserve"> </w:t>
      </w:r>
      <w:r>
        <w:rPr>
          <w:w w:val="105"/>
          <w:sz w:val="12"/>
        </w:rPr>
        <w:t>Derechos</w:t>
      </w:r>
      <w:r>
        <w:rPr>
          <w:spacing w:val="-4"/>
          <w:w w:val="105"/>
          <w:sz w:val="12"/>
        </w:rPr>
        <w:t xml:space="preserve"> </w:t>
      </w:r>
      <w:r>
        <w:rPr>
          <w:w w:val="105"/>
          <w:sz w:val="12"/>
        </w:rPr>
        <w:t>Humanos,</w:t>
      </w:r>
      <w:r>
        <w:rPr>
          <w:spacing w:val="-4"/>
          <w:w w:val="105"/>
          <w:sz w:val="12"/>
        </w:rPr>
        <w:t xml:space="preserve"> </w:t>
      </w:r>
      <w:r>
        <w:rPr>
          <w:w w:val="105"/>
          <w:sz w:val="12"/>
        </w:rPr>
        <w:t>27</w:t>
      </w:r>
      <w:r>
        <w:rPr>
          <w:spacing w:val="-4"/>
          <w:w w:val="105"/>
          <w:sz w:val="12"/>
        </w:rPr>
        <w:t xml:space="preserve"> </w:t>
      </w:r>
      <w:r>
        <w:rPr>
          <w:w w:val="105"/>
          <w:sz w:val="12"/>
        </w:rPr>
        <w:t>de</w:t>
      </w:r>
      <w:r>
        <w:rPr>
          <w:spacing w:val="-4"/>
          <w:w w:val="105"/>
          <w:sz w:val="12"/>
        </w:rPr>
        <w:t xml:space="preserve"> </w:t>
      </w:r>
      <w:r>
        <w:rPr>
          <w:w w:val="105"/>
          <w:sz w:val="12"/>
        </w:rPr>
        <w:t>enero</w:t>
      </w:r>
      <w:r>
        <w:rPr>
          <w:spacing w:val="-4"/>
          <w:w w:val="105"/>
          <w:sz w:val="12"/>
        </w:rPr>
        <w:t xml:space="preserve"> </w:t>
      </w:r>
      <w:r>
        <w:rPr>
          <w:w w:val="105"/>
          <w:sz w:val="12"/>
        </w:rPr>
        <w:t>de</w:t>
      </w:r>
      <w:r>
        <w:rPr>
          <w:spacing w:val="-4"/>
          <w:w w:val="105"/>
          <w:sz w:val="12"/>
        </w:rPr>
        <w:t xml:space="preserve"> </w:t>
      </w:r>
      <w:r>
        <w:rPr>
          <w:w w:val="105"/>
          <w:sz w:val="12"/>
        </w:rPr>
        <w:t>2020.</w:t>
      </w:r>
    </w:p>
    <w:p w14:paraId="4CCF6ECB" w14:textId="77777777" w:rsidR="0014798C" w:rsidRDefault="0014798C">
      <w:pPr>
        <w:pStyle w:val="Textoindependiente"/>
      </w:pPr>
    </w:p>
    <w:p w14:paraId="4CDA2EC6" w14:textId="77777777" w:rsidR="0014798C" w:rsidRDefault="0014798C">
      <w:pPr>
        <w:pStyle w:val="Textoindependiente"/>
      </w:pPr>
    </w:p>
    <w:p w14:paraId="69413147" w14:textId="77777777" w:rsidR="0014798C" w:rsidRDefault="0014798C">
      <w:pPr>
        <w:pStyle w:val="Textoindependiente"/>
      </w:pPr>
    </w:p>
    <w:p w14:paraId="050C5859" w14:textId="77777777" w:rsidR="0014798C" w:rsidRDefault="0014798C">
      <w:pPr>
        <w:pStyle w:val="Textoindependiente"/>
        <w:spacing w:before="173"/>
      </w:pPr>
    </w:p>
    <w:p w14:paraId="45A602DB" w14:textId="77777777" w:rsidR="0014798C" w:rsidRDefault="004E1F0B">
      <w:pPr>
        <w:pStyle w:val="Textoindependiente"/>
        <w:ind w:left="576"/>
      </w:pPr>
      <w:proofErr w:type="spellStart"/>
      <w:r>
        <w:rPr>
          <w:spacing w:val="-5"/>
        </w:rPr>
        <w:t>xx</w:t>
      </w:r>
      <w:proofErr w:type="spellEnd"/>
    </w:p>
    <w:p w14:paraId="0CC87210" w14:textId="77777777" w:rsidR="0014798C" w:rsidRDefault="0014798C">
      <w:pPr>
        <w:sectPr w:rsidR="0014798C" w:rsidSect="00F265E4">
          <w:headerReference w:type="default" r:id="rId38"/>
          <w:pgSz w:w="11900" w:h="16820"/>
          <w:pgMar w:top="340" w:right="0" w:bottom="280" w:left="200" w:header="121" w:footer="0" w:gutter="0"/>
          <w:cols w:space="720"/>
        </w:sectPr>
      </w:pPr>
    </w:p>
    <w:p w14:paraId="00CC95E0" w14:textId="77777777" w:rsidR="0014798C" w:rsidRDefault="0014798C">
      <w:pPr>
        <w:pStyle w:val="Textoindependiente"/>
        <w:spacing w:before="51"/>
        <w:rPr>
          <w:sz w:val="14"/>
        </w:rPr>
      </w:pPr>
    </w:p>
    <w:p w14:paraId="439E5F7B" w14:textId="77777777" w:rsidR="0014798C" w:rsidRDefault="004E1F0B">
      <w:pPr>
        <w:ind w:left="1114"/>
        <w:rPr>
          <w:sz w:val="14"/>
        </w:rPr>
      </w:pPr>
      <w:r>
        <w:rPr>
          <w:color w:val="0075BF"/>
          <w:spacing w:val="-2"/>
          <w:sz w:val="14"/>
        </w:rPr>
        <w:t>INTRODUCCIÓN</w:t>
      </w:r>
    </w:p>
    <w:p w14:paraId="2DC1D8DD" w14:textId="77777777" w:rsidR="0014798C" w:rsidRDefault="0014798C">
      <w:pPr>
        <w:pStyle w:val="Textoindependiente"/>
        <w:rPr>
          <w:sz w:val="25"/>
        </w:rPr>
      </w:pPr>
    </w:p>
    <w:p w14:paraId="00A959CD" w14:textId="77777777" w:rsidR="0014798C" w:rsidRDefault="0014798C">
      <w:pPr>
        <w:pStyle w:val="Textoindependiente"/>
        <w:rPr>
          <w:sz w:val="25"/>
        </w:rPr>
      </w:pPr>
    </w:p>
    <w:p w14:paraId="7BE6B3D5" w14:textId="77777777" w:rsidR="0014798C" w:rsidRDefault="0014798C">
      <w:pPr>
        <w:pStyle w:val="Textoindependiente"/>
        <w:spacing w:before="104"/>
        <w:rPr>
          <w:sz w:val="25"/>
        </w:rPr>
      </w:pPr>
    </w:p>
    <w:p w14:paraId="5C8DF295" w14:textId="77777777" w:rsidR="0014798C" w:rsidRDefault="004E1F0B">
      <w:pPr>
        <w:ind w:left="1120"/>
        <w:rPr>
          <w:sz w:val="25"/>
        </w:rPr>
      </w:pPr>
      <w:r>
        <w:rPr>
          <w:color w:val="0075BF"/>
          <w:sz w:val="25"/>
        </w:rPr>
        <w:t>Propósito</w:t>
      </w:r>
      <w:r>
        <w:rPr>
          <w:color w:val="0075BF"/>
          <w:spacing w:val="-6"/>
          <w:sz w:val="25"/>
        </w:rPr>
        <w:t xml:space="preserve"> </w:t>
      </w:r>
      <w:r>
        <w:rPr>
          <w:color w:val="0075BF"/>
          <w:sz w:val="25"/>
        </w:rPr>
        <w:t>de</w:t>
      </w:r>
      <w:r>
        <w:rPr>
          <w:color w:val="0075BF"/>
          <w:spacing w:val="-4"/>
          <w:sz w:val="25"/>
        </w:rPr>
        <w:t xml:space="preserve"> </w:t>
      </w:r>
      <w:r>
        <w:rPr>
          <w:color w:val="0075BF"/>
          <w:sz w:val="25"/>
        </w:rPr>
        <w:t>la</w:t>
      </w:r>
      <w:r>
        <w:rPr>
          <w:color w:val="0075BF"/>
          <w:spacing w:val="-4"/>
          <w:sz w:val="25"/>
        </w:rPr>
        <w:t xml:space="preserve"> </w:t>
      </w:r>
      <w:r>
        <w:rPr>
          <w:color w:val="0075BF"/>
          <w:sz w:val="25"/>
        </w:rPr>
        <w:t>presente</w:t>
      </w:r>
      <w:r>
        <w:rPr>
          <w:color w:val="0075BF"/>
          <w:spacing w:val="-4"/>
          <w:sz w:val="25"/>
        </w:rPr>
        <w:t xml:space="preserve"> guía</w:t>
      </w:r>
    </w:p>
    <w:p w14:paraId="4CA01B6A" w14:textId="77777777" w:rsidR="0014798C" w:rsidRDefault="0014798C">
      <w:pPr>
        <w:pStyle w:val="Textoindependiente"/>
        <w:spacing w:before="74"/>
      </w:pPr>
    </w:p>
    <w:p w14:paraId="354890D1" w14:textId="77777777" w:rsidR="0014798C" w:rsidRDefault="004E1F0B">
      <w:pPr>
        <w:pStyle w:val="Textoindependiente"/>
        <w:spacing w:line="326" w:lineRule="auto"/>
        <w:ind w:left="1108" w:right="1335" w:hanging="2"/>
      </w:pPr>
      <w:r>
        <w:t>El propósito de esta guía es brindar orientación a legisladores y defensores sobre el desarrollo de leyes integrales contra la discriminación. Busca consolidar y sintetizar las normas jurídicas internacionales –como se establecen en las convenciones de derechos humanos de las Naciones Unidas y las interpretaciones vinculantes de estas convenciones por parte de los órganos</w:t>
      </w:r>
      <w:r>
        <w:rPr>
          <w:spacing w:val="40"/>
        </w:rPr>
        <w:t xml:space="preserve"> </w:t>
      </w:r>
      <w:r>
        <w:t>pertinentes–</w:t>
      </w:r>
      <w:r>
        <w:rPr>
          <w:spacing w:val="15"/>
        </w:rPr>
        <w:t xml:space="preserve"> </w:t>
      </w:r>
      <w:r>
        <w:t>y</w:t>
      </w:r>
      <w:r>
        <w:rPr>
          <w:spacing w:val="15"/>
        </w:rPr>
        <w:t xml:space="preserve"> </w:t>
      </w:r>
      <w:r>
        <w:t>proporcionar</w:t>
      </w:r>
      <w:r>
        <w:rPr>
          <w:spacing w:val="15"/>
        </w:rPr>
        <w:t xml:space="preserve"> </w:t>
      </w:r>
      <w:r>
        <w:t>orientación</w:t>
      </w:r>
      <w:r>
        <w:rPr>
          <w:spacing w:val="15"/>
        </w:rPr>
        <w:t xml:space="preserve"> </w:t>
      </w:r>
      <w:r>
        <w:t>clara</w:t>
      </w:r>
      <w:r>
        <w:rPr>
          <w:spacing w:val="15"/>
        </w:rPr>
        <w:t xml:space="preserve"> </w:t>
      </w:r>
      <w:r>
        <w:t>y</w:t>
      </w:r>
      <w:r>
        <w:rPr>
          <w:spacing w:val="15"/>
        </w:rPr>
        <w:t xml:space="preserve"> </w:t>
      </w:r>
      <w:r>
        <w:t>accesible</w:t>
      </w:r>
      <w:r>
        <w:rPr>
          <w:spacing w:val="16"/>
        </w:rPr>
        <w:t xml:space="preserve"> </w:t>
      </w:r>
      <w:r>
        <w:t>sobre</w:t>
      </w:r>
      <w:r>
        <w:rPr>
          <w:spacing w:val="15"/>
        </w:rPr>
        <w:t xml:space="preserve"> </w:t>
      </w:r>
      <w:r>
        <w:t>el</w:t>
      </w:r>
      <w:r>
        <w:rPr>
          <w:spacing w:val="15"/>
        </w:rPr>
        <w:t xml:space="preserve"> </w:t>
      </w:r>
      <w:r>
        <w:t>alcance</w:t>
      </w:r>
      <w:r>
        <w:rPr>
          <w:spacing w:val="15"/>
        </w:rPr>
        <w:t xml:space="preserve"> </w:t>
      </w:r>
      <w:r>
        <w:t>y</w:t>
      </w:r>
      <w:r>
        <w:rPr>
          <w:spacing w:val="15"/>
        </w:rPr>
        <w:t xml:space="preserve"> </w:t>
      </w:r>
      <w:r>
        <w:t>el</w:t>
      </w:r>
      <w:r>
        <w:rPr>
          <w:spacing w:val="15"/>
        </w:rPr>
        <w:t xml:space="preserve"> </w:t>
      </w:r>
      <w:r>
        <w:t>contenido</w:t>
      </w:r>
      <w:r>
        <w:rPr>
          <w:spacing w:val="15"/>
        </w:rPr>
        <w:t xml:space="preserve"> </w:t>
      </w:r>
      <w:r>
        <w:t>necesarios</w:t>
      </w:r>
      <w:r>
        <w:rPr>
          <w:spacing w:val="15"/>
        </w:rPr>
        <w:t xml:space="preserve"> </w:t>
      </w:r>
      <w:r>
        <w:t>de</w:t>
      </w:r>
      <w:r>
        <w:rPr>
          <w:spacing w:val="15"/>
        </w:rPr>
        <w:t xml:space="preserve"> </w:t>
      </w:r>
      <w:r>
        <w:t>estas</w:t>
      </w:r>
      <w:r>
        <w:rPr>
          <w:spacing w:val="15"/>
        </w:rPr>
        <w:t xml:space="preserve"> </w:t>
      </w:r>
      <w:r>
        <w:t>leyes</w:t>
      </w:r>
      <w:r>
        <w:rPr>
          <w:spacing w:val="15"/>
        </w:rPr>
        <w:t xml:space="preserve"> </w:t>
      </w:r>
      <w:r>
        <w:t>si</w:t>
      </w:r>
      <w:r>
        <w:rPr>
          <w:spacing w:val="15"/>
        </w:rPr>
        <w:t xml:space="preserve"> </w:t>
      </w:r>
      <w:r>
        <w:t>los Estados</w:t>
      </w:r>
      <w:r>
        <w:rPr>
          <w:spacing w:val="14"/>
        </w:rPr>
        <w:t xml:space="preserve"> </w:t>
      </w:r>
      <w:r>
        <w:t>deben</w:t>
      </w:r>
      <w:r>
        <w:rPr>
          <w:spacing w:val="14"/>
        </w:rPr>
        <w:t xml:space="preserve"> </w:t>
      </w:r>
      <w:r>
        <w:t>cumplir</w:t>
      </w:r>
      <w:r>
        <w:rPr>
          <w:spacing w:val="14"/>
        </w:rPr>
        <w:t xml:space="preserve"> </w:t>
      </w:r>
      <w:r>
        <w:t>con</w:t>
      </w:r>
      <w:r>
        <w:rPr>
          <w:spacing w:val="14"/>
        </w:rPr>
        <w:t xml:space="preserve"> </w:t>
      </w:r>
      <w:r>
        <w:t>sus</w:t>
      </w:r>
      <w:r>
        <w:rPr>
          <w:spacing w:val="14"/>
        </w:rPr>
        <w:t xml:space="preserve"> </w:t>
      </w:r>
      <w:r>
        <w:t>obligaciones</w:t>
      </w:r>
      <w:r>
        <w:rPr>
          <w:spacing w:val="14"/>
        </w:rPr>
        <w:t xml:space="preserve"> </w:t>
      </w:r>
      <w:r>
        <w:t>internacionales.</w:t>
      </w:r>
      <w:r>
        <w:rPr>
          <w:spacing w:val="17"/>
        </w:rPr>
        <w:t xml:space="preserve"> </w:t>
      </w:r>
      <w:r>
        <w:t>También</w:t>
      </w:r>
      <w:r>
        <w:rPr>
          <w:spacing w:val="14"/>
        </w:rPr>
        <w:t xml:space="preserve"> </w:t>
      </w:r>
      <w:r>
        <w:t>reúne</w:t>
      </w:r>
      <w:r>
        <w:rPr>
          <w:spacing w:val="14"/>
        </w:rPr>
        <w:t xml:space="preserve"> </w:t>
      </w:r>
      <w:r>
        <w:t>ejemplos</w:t>
      </w:r>
      <w:r>
        <w:rPr>
          <w:spacing w:val="14"/>
        </w:rPr>
        <w:t xml:space="preserve"> </w:t>
      </w:r>
      <w:r>
        <w:t>de</w:t>
      </w:r>
      <w:r>
        <w:rPr>
          <w:spacing w:val="14"/>
        </w:rPr>
        <w:t xml:space="preserve"> </w:t>
      </w:r>
      <w:r>
        <w:t>buenas</w:t>
      </w:r>
      <w:r>
        <w:rPr>
          <w:spacing w:val="14"/>
        </w:rPr>
        <w:t xml:space="preserve"> </w:t>
      </w:r>
      <w:r>
        <w:t>prácticas</w:t>
      </w:r>
      <w:r>
        <w:rPr>
          <w:spacing w:val="14"/>
        </w:rPr>
        <w:t xml:space="preserve"> </w:t>
      </w:r>
      <w:r>
        <w:t>de</w:t>
      </w:r>
      <w:r>
        <w:rPr>
          <w:spacing w:val="14"/>
        </w:rPr>
        <w:t xml:space="preserve"> </w:t>
      </w:r>
      <w:r>
        <w:t>todo</w:t>
      </w:r>
      <w:r>
        <w:rPr>
          <w:spacing w:val="14"/>
        </w:rPr>
        <w:t xml:space="preserve"> </w:t>
      </w:r>
      <w:r>
        <w:t>el</w:t>
      </w:r>
      <w:r>
        <w:rPr>
          <w:spacing w:val="14"/>
        </w:rPr>
        <w:t xml:space="preserve"> </w:t>
      </w:r>
      <w:r>
        <w:t>mundo, en un esfuerzo por ejemplificar estos estándares y elaborar los elementos legales necesarios para garantizar su efectividad.</w:t>
      </w:r>
    </w:p>
    <w:p w14:paraId="3BE87D90" w14:textId="77777777" w:rsidR="0014798C" w:rsidRDefault="0014798C">
      <w:pPr>
        <w:pStyle w:val="Textoindependiente"/>
      </w:pPr>
    </w:p>
    <w:p w14:paraId="6125DCC5" w14:textId="77777777" w:rsidR="0014798C" w:rsidRDefault="0014798C">
      <w:pPr>
        <w:pStyle w:val="Textoindependiente"/>
        <w:spacing w:before="27"/>
      </w:pPr>
    </w:p>
    <w:p w14:paraId="04935B25" w14:textId="77777777" w:rsidR="0014798C" w:rsidRDefault="004E1F0B">
      <w:pPr>
        <w:pStyle w:val="Textoindependiente"/>
        <w:spacing w:before="1" w:line="326" w:lineRule="auto"/>
        <w:ind w:left="1107" w:right="1463" w:firstLine="1"/>
      </w:pPr>
      <w:r>
        <w:t>Inevitablemente, al adoptar este enfoque, la guía contiene un análisis de las obligaciones y deberes de los Estados y los</w:t>
      </w:r>
      <w:r>
        <w:rPr>
          <w:spacing w:val="40"/>
        </w:rPr>
        <w:t xml:space="preserve"> </w:t>
      </w:r>
      <w:r>
        <w:t>requisitos del derecho internacional. Estas obligaciones en sí mismas se derivan de instrumentos de derecho internacional que</w:t>
      </w:r>
      <w:r>
        <w:rPr>
          <w:spacing w:val="40"/>
        </w:rPr>
        <w:t xml:space="preserve"> </w:t>
      </w:r>
      <w:r>
        <w:t>los Estados decidieron desarrollar y adoptar, en reconocimiento de la necesidad de eliminar la discriminación para lograr su ambición de abordar la desigualdad. El objeto y propósito central de estos instrumentos jurídicos internacionales es crear sociedades en las que todos puedan participar por igual. Por lo tanto, si bien enmarca la adopción de una ley integral contra la discriminación</w:t>
      </w:r>
      <w:r>
        <w:rPr>
          <w:spacing w:val="17"/>
        </w:rPr>
        <w:t xml:space="preserve"> </w:t>
      </w:r>
      <w:r>
        <w:t>como</w:t>
      </w:r>
      <w:r>
        <w:rPr>
          <w:spacing w:val="17"/>
        </w:rPr>
        <w:t xml:space="preserve"> </w:t>
      </w:r>
      <w:r>
        <w:t>una</w:t>
      </w:r>
      <w:r>
        <w:rPr>
          <w:spacing w:val="17"/>
        </w:rPr>
        <w:t xml:space="preserve"> </w:t>
      </w:r>
      <w:r>
        <w:t>obligación,</w:t>
      </w:r>
      <w:r>
        <w:rPr>
          <w:spacing w:val="18"/>
        </w:rPr>
        <w:t xml:space="preserve"> </w:t>
      </w:r>
      <w:r>
        <w:t>el</w:t>
      </w:r>
      <w:r>
        <w:rPr>
          <w:spacing w:val="17"/>
        </w:rPr>
        <w:t xml:space="preserve"> </w:t>
      </w:r>
      <w:r>
        <w:t>objetivo</w:t>
      </w:r>
      <w:r>
        <w:rPr>
          <w:spacing w:val="15"/>
        </w:rPr>
        <w:t xml:space="preserve"> </w:t>
      </w:r>
      <w:r>
        <w:t>de</w:t>
      </w:r>
      <w:r>
        <w:rPr>
          <w:spacing w:val="17"/>
        </w:rPr>
        <w:t xml:space="preserve"> </w:t>
      </w:r>
      <w:r>
        <w:t>la</w:t>
      </w:r>
      <w:r>
        <w:rPr>
          <w:spacing w:val="17"/>
        </w:rPr>
        <w:t xml:space="preserve"> </w:t>
      </w:r>
      <w:r>
        <w:t>guía</w:t>
      </w:r>
      <w:r>
        <w:rPr>
          <w:spacing w:val="15"/>
        </w:rPr>
        <w:t xml:space="preserve"> </w:t>
      </w:r>
      <w:r>
        <w:t>es</w:t>
      </w:r>
      <w:r>
        <w:rPr>
          <w:spacing w:val="17"/>
        </w:rPr>
        <w:t xml:space="preserve"> </w:t>
      </w:r>
      <w:r>
        <w:t>también</w:t>
      </w:r>
      <w:r>
        <w:rPr>
          <w:spacing w:val="15"/>
        </w:rPr>
        <w:t xml:space="preserve"> </w:t>
      </w:r>
      <w:r>
        <w:t>proporcionar</w:t>
      </w:r>
      <w:r>
        <w:rPr>
          <w:spacing w:val="15"/>
        </w:rPr>
        <w:t xml:space="preserve"> </w:t>
      </w:r>
      <w:r>
        <w:t>un</w:t>
      </w:r>
      <w:r>
        <w:rPr>
          <w:spacing w:val="17"/>
        </w:rPr>
        <w:t xml:space="preserve"> </w:t>
      </w:r>
      <w:r>
        <w:t>mapa</w:t>
      </w:r>
      <w:r>
        <w:rPr>
          <w:spacing w:val="17"/>
        </w:rPr>
        <w:t xml:space="preserve"> </w:t>
      </w:r>
      <w:r>
        <w:t>para</w:t>
      </w:r>
      <w:r>
        <w:rPr>
          <w:spacing w:val="17"/>
        </w:rPr>
        <w:t xml:space="preserve"> </w:t>
      </w:r>
      <w:r>
        <w:t>los</w:t>
      </w:r>
      <w:r>
        <w:rPr>
          <w:spacing w:val="15"/>
        </w:rPr>
        <w:t xml:space="preserve"> </w:t>
      </w:r>
      <w:r>
        <w:t>Estados</w:t>
      </w:r>
      <w:r>
        <w:rPr>
          <w:spacing w:val="15"/>
        </w:rPr>
        <w:t xml:space="preserve"> </w:t>
      </w:r>
      <w:r>
        <w:t>que</w:t>
      </w:r>
      <w:r>
        <w:rPr>
          <w:spacing w:val="17"/>
        </w:rPr>
        <w:t xml:space="preserve"> </w:t>
      </w:r>
      <w:r>
        <w:t>buscan cumplir sus ambiciones y compromisos en lo que respecta a lograr un mundo igualitario.</w:t>
      </w:r>
    </w:p>
    <w:p w14:paraId="241C4B4C" w14:textId="77777777" w:rsidR="0014798C" w:rsidRDefault="004E1F0B">
      <w:pPr>
        <w:spacing w:before="268"/>
        <w:ind w:left="1120"/>
        <w:rPr>
          <w:sz w:val="25"/>
        </w:rPr>
      </w:pPr>
      <w:r>
        <w:rPr>
          <w:color w:val="0075BF"/>
          <w:sz w:val="25"/>
        </w:rPr>
        <w:t>Derecho</w:t>
      </w:r>
      <w:r>
        <w:rPr>
          <w:color w:val="0075BF"/>
          <w:spacing w:val="-4"/>
          <w:sz w:val="25"/>
        </w:rPr>
        <w:t xml:space="preserve"> </w:t>
      </w:r>
      <w:r>
        <w:rPr>
          <w:color w:val="0075BF"/>
          <w:sz w:val="25"/>
        </w:rPr>
        <w:t>a</w:t>
      </w:r>
      <w:r>
        <w:rPr>
          <w:color w:val="0075BF"/>
          <w:spacing w:val="-4"/>
          <w:sz w:val="25"/>
        </w:rPr>
        <w:t xml:space="preserve"> </w:t>
      </w:r>
      <w:r>
        <w:rPr>
          <w:color w:val="0075BF"/>
          <w:sz w:val="25"/>
        </w:rPr>
        <w:t>la</w:t>
      </w:r>
      <w:r>
        <w:rPr>
          <w:color w:val="0075BF"/>
          <w:spacing w:val="-3"/>
          <w:sz w:val="25"/>
        </w:rPr>
        <w:t xml:space="preserve"> </w:t>
      </w:r>
      <w:r>
        <w:rPr>
          <w:color w:val="0075BF"/>
          <w:sz w:val="25"/>
        </w:rPr>
        <w:t>no</w:t>
      </w:r>
      <w:r>
        <w:rPr>
          <w:color w:val="0075BF"/>
          <w:spacing w:val="-4"/>
          <w:sz w:val="25"/>
        </w:rPr>
        <w:t xml:space="preserve"> </w:t>
      </w:r>
      <w:r>
        <w:rPr>
          <w:color w:val="0075BF"/>
          <w:sz w:val="25"/>
        </w:rPr>
        <w:t>discriminación</w:t>
      </w:r>
      <w:r>
        <w:rPr>
          <w:color w:val="0075BF"/>
          <w:spacing w:val="-4"/>
          <w:sz w:val="25"/>
        </w:rPr>
        <w:t xml:space="preserve"> </w:t>
      </w:r>
      <w:r>
        <w:rPr>
          <w:color w:val="0075BF"/>
          <w:sz w:val="25"/>
        </w:rPr>
        <w:t>en</w:t>
      </w:r>
      <w:r>
        <w:rPr>
          <w:color w:val="0075BF"/>
          <w:spacing w:val="-3"/>
          <w:sz w:val="25"/>
        </w:rPr>
        <w:t xml:space="preserve"> </w:t>
      </w:r>
      <w:r>
        <w:rPr>
          <w:color w:val="0075BF"/>
          <w:sz w:val="25"/>
        </w:rPr>
        <w:t>el</w:t>
      </w:r>
      <w:r>
        <w:rPr>
          <w:color w:val="0075BF"/>
          <w:spacing w:val="-4"/>
          <w:sz w:val="25"/>
        </w:rPr>
        <w:t xml:space="preserve"> </w:t>
      </w:r>
      <w:r>
        <w:rPr>
          <w:color w:val="0075BF"/>
          <w:sz w:val="25"/>
        </w:rPr>
        <w:t>derecho</w:t>
      </w:r>
      <w:r>
        <w:rPr>
          <w:color w:val="0075BF"/>
          <w:spacing w:val="-3"/>
          <w:sz w:val="25"/>
        </w:rPr>
        <w:t xml:space="preserve"> </w:t>
      </w:r>
      <w:r>
        <w:rPr>
          <w:color w:val="0075BF"/>
          <w:spacing w:val="-2"/>
          <w:sz w:val="25"/>
        </w:rPr>
        <w:t>internacional</w:t>
      </w:r>
    </w:p>
    <w:p w14:paraId="6C816691" w14:textId="77777777" w:rsidR="0014798C" w:rsidRDefault="0014798C">
      <w:pPr>
        <w:pStyle w:val="Textoindependiente"/>
        <w:spacing w:before="53"/>
      </w:pPr>
    </w:p>
    <w:p w14:paraId="3B48BF37" w14:textId="77777777" w:rsidR="0014798C" w:rsidRDefault="004E1F0B">
      <w:pPr>
        <w:pStyle w:val="Textoindependiente"/>
        <w:spacing w:line="326" w:lineRule="auto"/>
        <w:ind w:left="1108" w:right="1272" w:firstLine="1"/>
      </w:pPr>
      <w:r>
        <w:t>Tras la adopción de la Declaración Universal de Derechos Humanos, se adoptaron una serie de instrumentos internacionales vinculantes de derechos humanos, siendo la prohibición de la discriminación una característica central en todos ellos.</w:t>
      </w:r>
    </w:p>
    <w:p w14:paraId="70DC623E" w14:textId="77777777" w:rsidR="0014798C" w:rsidRDefault="004E1F0B">
      <w:pPr>
        <w:pStyle w:val="Textoindependiente"/>
        <w:spacing w:line="326" w:lineRule="auto"/>
        <w:ind w:left="1105" w:right="1463" w:firstLine="4"/>
      </w:pPr>
      <w:r>
        <w:t>Tanto el Pacto Internacional de Derechos Civiles y Políticos como el Pacto Internacional de Derechos Económicos, Sociales y Culturales prohíben la discriminación en el disfrute de todos los derechos que garantizan, mientras que el primero también establece un derecho independiente y autónomo a la no discriminación. y el derecho de todas las personas a igual reconocimiento ante la ley, e igual protección y beneficio de la ley.</w:t>
      </w:r>
    </w:p>
    <w:p w14:paraId="51B1C661" w14:textId="77777777" w:rsidR="0014798C" w:rsidRDefault="004E1F0B">
      <w:pPr>
        <w:pStyle w:val="Textoindependiente"/>
        <w:spacing w:before="167" w:line="326" w:lineRule="auto"/>
        <w:ind w:left="1108" w:right="1573" w:firstLine="1"/>
        <w:jc w:val="both"/>
      </w:pPr>
      <w:r>
        <w:t>Más allá de esas dos convenciones, el derecho a la no discriminación es fundamental para cada uno de los demás tratados internacionales de derechos humanos. Se han adoptado convenciones específicas sobre la eliminación de la discriminación racial y la discriminación contra la mujer y sobre los derechos de las personas con discapacidad, mientras que tratados que abarcan desde la prohibición de la tortura hasta los derechos del niño contienen disposiciones contra la discriminación. De</w:t>
      </w:r>
    </w:p>
    <w:p w14:paraId="2C1459C5" w14:textId="77777777" w:rsidR="0014798C" w:rsidRDefault="004E1F0B">
      <w:pPr>
        <w:pStyle w:val="Textoindependiente"/>
        <w:spacing w:line="326" w:lineRule="auto"/>
        <w:ind w:left="1111" w:right="262" w:hanging="5"/>
        <w:jc w:val="both"/>
      </w:pPr>
      <w:r>
        <w:t>hecho, los derechos a la igualdad y la no discriminación han sido reconocidos como “las piedras angulares de todos los derechos humanos”4. sentado en el centro absoluto de la protección de los derechos humanos de la que disfrutan las minorías y otros grupos</w:t>
      </w:r>
    </w:p>
    <w:p w14:paraId="23C4AEF0" w14:textId="77777777" w:rsidR="0014798C" w:rsidRDefault="004E1F0B">
      <w:pPr>
        <w:pStyle w:val="Textoindependiente"/>
        <w:spacing w:line="183" w:lineRule="exact"/>
        <w:ind w:left="1111"/>
        <w:jc w:val="both"/>
      </w:pPr>
      <w:r>
        <w:t>marginados</w:t>
      </w:r>
      <w:r>
        <w:rPr>
          <w:spacing w:val="9"/>
        </w:rPr>
        <w:t xml:space="preserve"> </w:t>
      </w:r>
      <w:r>
        <w:t>o</w:t>
      </w:r>
      <w:r>
        <w:rPr>
          <w:spacing w:val="10"/>
        </w:rPr>
        <w:t xml:space="preserve"> </w:t>
      </w:r>
      <w:r>
        <w:rPr>
          <w:spacing w:val="-2"/>
        </w:rPr>
        <w:t>estigmatizados.</w:t>
      </w:r>
    </w:p>
    <w:p w14:paraId="4B77F4E5" w14:textId="77777777" w:rsidR="0014798C" w:rsidRDefault="0014798C">
      <w:pPr>
        <w:pStyle w:val="Textoindependiente"/>
        <w:spacing w:before="6"/>
        <w:rPr>
          <w:sz w:val="27"/>
        </w:rPr>
      </w:pPr>
    </w:p>
    <w:p w14:paraId="53FAC883" w14:textId="77777777" w:rsidR="0014798C" w:rsidRDefault="004E1F0B">
      <w:pPr>
        <w:spacing w:line="247" w:lineRule="auto"/>
        <w:ind w:left="1108" w:right="2765" w:firstLine="12"/>
        <w:rPr>
          <w:sz w:val="27"/>
        </w:rPr>
      </w:pPr>
      <w:r>
        <w:rPr>
          <w:color w:val="0075BF"/>
          <w:sz w:val="27"/>
        </w:rPr>
        <w:t>Evolución de la comprensión de los derechos a la igualdad y la no discriminación</w:t>
      </w:r>
    </w:p>
    <w:p w14:paraId="56EB22D4" w14:textId="77777777" w:rsidR="0014798C" w:rsidRDefault="0014798C">
      <w:pPr>
        <w:pStyle w:val="Textoindependiente"/>
        <w:spacing w:before="119"/>
      </w:pPr>
    </w:p>
    <w:p w14:paraId="15A405AC" w14:textId="77777777" w:rsidR="0014798C" w:rsidRDefault="004E1F0B">
      <w:pPr>
        <w:pStyle w:val="Textoindependiente"/>
        <w:spacing w:line="326" w:lineRule="auto"/>
        <w:ind w:left="1108" w:right="1335" w:hanging="1"/>
      </w:pPr>
      <w:r>
        <w:t>En</w:t>
      </w:r>
      <w:r>
        <w:rPr>
          <w:spacing w:val="14"/>
        </w:rPr>
        <w:t xml:space="preserve"> </w:t>
      </w:r>
      <w:r>
        <w:t>los</w:t>
      </w:r>
      <w:r>
        <w:rPr>
          <w:spacing w:val="14"/>
        </w:rPr>
        <w:t xml:space="preserve"> </w:t>
      </w:r>
      <w:r>
        <w:t>primeros</w:t>
      </w:r>
      <w:r>
        <w:rPr>
          <w:spacing w:val="14"/>
        </w:rPr>
        <w:t xml:space="preserve"> </w:t>
      </w:r>
      <w:r>
        <w:t>años</w:t>
      </w:r>
      <w:r>
        <w:rPr>
          <w:spacing w:val="14"/>
        </w:rPr>
        <w:t xml:space="preserve"> </w:t>
      </w:r>
      <w:r>
        <w:t>de</w:t>
      </w:r>
      <w:r>
        <w:rPr>
          <w:spacing w:val="16"/>
        </w:rPr>
        <w:t xml:space="preserve"> </w:t>
      </w:r>
      <w:r>
        <w:t>la</w:t>
      </w:r>
      <w:r>
        <w:rPr>
          <w:spacing w:val="16"/>
        </w:rPr>
        <w:t xml:space="preserve"> </w:t>
      </w:r>
      <w:r>
        <w:t>práctica</w:t>
      </w:r>
      <w:r>
        <w:rPr>
          <w:spacing w:val="14"/>
        </w:rPr>
        <w:t xml:space="preserve"> </w:t>
      </w:r>
      <w:r>
        <w:t>internacional</w:t>
      </w:r>
      <w:r>
        <w:rPr>
          <w:spacing w:val="14"/>
        </w:rPr>
        <w:t xml:space="preserve"> </w:t>
      </w:r>
      <w:r>
        <w:t>de</w:t>
      </w:r>
      <w:r>
        <w:rPr>
          <w:spacing w:val="16"/>
        </w:rPr>
        <w:t xml:space="preserve"> </w:t>
      </w:r>
      <w:r>
        <w:t>los</w:t>
      </w:r>
      <w:r>
        <w:rPr>
          <w:spacing w:val="14"/>
        </w:rPr>
        <w:t xml:space="preserve"> </w:t>
      </w:r>
      <w:r>
        <w:t>derechos</w:t>
      </w:r>
      <w:r>
        <w:rPr>
          <w:spacing w:val="14"/>
        </w:rPr>
        <w:t xml:space="preserve"> </w:t>
      </w:r>
      <w:r>
        <w:t>humanos,</w:t>
      </w:r>
      <w:r>
        <w:rPr>
          <w:spacing w:val="16"/>
        </w:rPr>
        <w:t xml:space="preserve"> </w:t>
      </w:r>
      <w:r>
        <w:t>los</w:t>
      </w:r>
      <w:r>
        <w:rPr>
          <w:spacing w:val="14"/>
        </w:rPr>
        <w:t xml:space="preserve"> </w:t>
      </w:r>
      <w:r>
        <w:t>derechos</w:t>
      </w:r>
      <w:r>
        <w:rPr>
          <w:spacing w:val="14"/>
        </w:rPr>
        <w:t xml:space="preserve"> </w:t>
      </w:r>
      <w:r>
        <w:t>a</w:t>
      </w:r>
      <w:r>
        <w:rPr>
          <w:spacing w:val="16"/>
        </w:rPr>
        <w:t xml:space="preserve"> </w:t>
      </w:r>
      <w:r>
        <w:t>la</w:t>
      </w:r>
      <w:r>
        <w:rPr>
          <w:spacing w:val="16"/>
        </w:rPr>
        <w:t xml:space="preserve"> </w:t>
      </w:r>
      <w:r>
        <w:t>igualdad</w:t>
      </w:r>
      <w:r>
        <w:rPr>
          <w:spacing w:val="16"/>
        </w:rPr>
        <w:t xml:space="preserve"> </w:t>
      </w:r>
      <w:r>
        <w:t>y</w:t>
      </w:r>
      <w:r>
        <w:rPr>
          <w:spacing w:val="16"/>
        </w:rPr>
        <w:t xml:space="preserve"> </w:t>
      </w:r>
      <w:r>
        <w:t>la</w:t>
      </w:r>
      <w:r>
        <w:rPr>
          <w:spacing w:val="16"/>
        </w:rPr>
        <w:t xml:space="preserve"> </w:t>
      </w:r>
      <w:r>
        <w:t>no</w:t>
      </w:r>
      <w:r>
        <w:rPr>
          <w:spacing w:val="16"/>
        </w:rPr>
        <w:t xml:space="preserve"> </w:t>
      </w:r>
      <w:r>
        <w:t>discriminación se entendían como equivalentes al derecho a ser tratado con igualdad. En el centro de este entendimiento estaba la noción de comparación:</w:t>
      </w:r>
      <w:r>
        <w:rPr>
          <w:spacing w:val="18"/>
        </w:rPr>
        <w:t xml:space="preserve"> </w:t>
      </w:r>
      <w:r>
        <w:t>que</w:t>
      </w:r>
      <w:r>
        <w:rPr>
          <w:spacing w:val="17"/>
        </w:rPr>
        <w:t xml:space="preserve"> </w:t>
      </w:r>
      <w:r>
        <w:t>los</w:t>
      </w:r>
      <w:r>
        <w:rPr>
          <w:spacing w:val="16"/>
        </w:rPr>
        <w:t xml:space="preserve"> </w:t>
      </w:r>
      <w:r>
        <w:t>individuos</w:t>
      </w:r>
      <w:r>
        <w:rPr>
          <w:spacing w:val="16"/>
        </w:rPr>
        <w:t xml:space="preserve"> </w:t>
      </w:r>
      <w:r>
        <w:t>no</w:t>
      </w:r>
      <w:r>
        <w:rPr>
          <w:spacing w:val="17"/>
        </w:rPr>
        <w:t xml:space="preserve"> </w:t>
      </w:r>
      <w:r>
        <w:t>deberían</w:t>
      </w:r>
      <w:r>
        <w:rPr>
          <w:spacing w:val="16"/>
        </w:rPr>
        <w:t xml:space="preserve"> </w:t>
      </w:r>
      <w:r>
        <w:t>ser</w:t>
      </w:r>
      <w:r>
        <w:rPr>
          <w:spacing w:val="17"/>
        </w:rPr>
        <w:t xml:space="preserve"> </w:t>
      </w:r>
      <w:r>
        <w:t>tratados</w:t>
      </w:r>
      <w:r>
        <w:rPr>
          <w:spacing w:val="16"/>
        </w:rPr>
        <w:t xml:space="preserve"> </w:t>
      </w:r>
      <w:r>
        <w:t>de</w:t>
      </w:r>
      <w:r>
        <w:rPr>
          <w:spacing w:val="17"/>
        </w:rPr>
        <w:t xml:space="preserve"> </w:t>
      </w:r>
      <w:r>
        <w:t>manera</w:t>
      </w:r>
      <w:r>
        <w:rPr>
          <w:spacing w:val="17"/>
        </w:rPr>
        <w:t xml:space="preserve"> </w:t>
      </w:r>
      <w:r>
        <w:t>diferente</w:t>
      </w:r>
      <w:r>
        <w:rPr>
          <w:spacing w:val="16"/>
        </w:rPr>
        <w:t xml:space="preserve"> </w:t>
      </w:r>
      <w:r>
        <w:t>cuando</w:t>
      </w:r>
      <w:r>
        <w:rPr>
          <w:spacing w:val="17"/>
        </w:rPr>
        <w:t xml:space="preserve"> </w:t>
      </w:r>
      <w:r>
        <w:t>se</w:t>
      </w:r>
      <w:r>
        <w:rPr>
          <w:spacing w:val="17"/>
        </w:rPr>
        <w:t xml:space="preserve"> </w:t>
      </w:r>
      <w:r>
        <w:t>los</w:t>
      </w:r>
      <w:r>
        <w:rPr>
          <w:spacing w:val="16"/>
        </w:rPr>
        <w:t xml:space="preserve"> </w:t>
      </w:r>
      <w:r>
        <w:t>compara</w:t>
      </w:r>
      <w:r>
        <w:rPr>
          <w:spacing w:val="17"/>
        </w:rPr>
        <w:t xml:space="preserve"> </w:t>
      </w:r>
      <w:r>
        <w:t>con</w:t>
      </w:r>
      <w:r>
        <w:rPr>
          <w:spacing w:val="17"/>
        </w:rPr>
        <w:t xml:space="preserve"> </w:t>
      </w:r>
      <w:r>
        <w:t>otros</w:t>
      </w:r>
      <w:r>
        <w:rPr>
          <w:spacing w:val="16"/>
        </w:rPr>
        <w:t xml:space="preserve"> </w:t>
      </w:r>
      <w:r>
        <w:t>en</w:t>
      </w:r>
      <w:r>
        <w:rPr>
          <w:spacing w:val="17"/>
        </w:rPr>
        <w:t xml:space="preserve"> </w:t>
      </w:r>
      <w:r>
        <w:t>una situación</w:t>
      </w:r>
      <w:r>
        <w:rPr>
          <w:spacing w:val="15"/>
        </w:rPr>
        <w:t xml:space="preserve"> </w:t>
      </w:r>
      <w:r>
        <w:t>similar,</w:t>
      </w:r>
      <w:r>
        <w:rPr>
          <w:spacing w:val="17"/>
        </w:rPr>
        <w:t xml:space="preserve"> </w:t>
      </w:r>
      <w:r>
        <w:t>sobre</w:t>
      </w:r>
      <w:r>
        <w:rPr>
          <w:spacing w:val="17"/>
        </w:rPr>
        <w:t xml:space="preserve"> </w:t>
      </w:r>
      <w:r>
        <w:t>la</w:t>
      </w:r>
      <w:r>
        <w:rPr>
          <w:spacing w:val="17"/>
        </w:rPr>
        <w:t xml:space="preserve"> </w:t>
      </w:r>
      <w:r>
        <w:t>base</w:t>
      </w:r>
      <w:r>
        <w:rPr>
          <w:spacing w:val="17"/>
        </w:rPr>
        <w:t xml:space="preserve"> </w:t>
      </w:r>
      <w:r>
        <w:t>de</w:t>
      </w:r>
      <w:r>
        <w:rPr>
          <w:spacing w:val="17"/>
        </w:rPr>
        <w:t xml:space="preserve"> </w:t>
      </w:r>
      <w:r>
        <w:t>ciertas</w:t>
      </w:r>
      <w:r>
        <w:rPr>
          <w:spacing w:val="15"/>
        </w:rPr>
        <w:t xml:space="preserve"> </w:t>
      </w:r>
      <w:r>
        <w:t>características</w:t>
      </w:r>
      <w:r>
        <w:rPr>
          <w:spacing w:val="15"/>
        </w:rPr>
        <w:t xml:space="preserve"> </w:t>
      </w:r>
      <w:r>
        <w:t>o</w:t>
      </w:r>
      <w:r>
        <w:rPr>
          <w:spacing w:val="17"/>
        </w:rPr>
        <w:t xml:space="preserve"> </w:t>
      </w:r>
      <w:r>
        <w:t>“motivos”</w:t>
      </w:r>
      <w:r>
        <w:rPr>
          <w:spacing w:val="15"/>
        </w:rPr>
        <w:t xml:space="preserve"> </w:t>
      </w:r>
      <w:r>
        <w:t>importantes.</w:t>
      </w:r>
      <w:r>
        <w:rPr>
          <w:spacing w:val="17"/>
        </w:rPr>
        <w:t xml:space="preserve"> </w:t>
      </w:r>
      <w:r>
        <w:t>Se</w:t>
      </w:r>
      <w:r>
        <w:rPr>
          <w:spacing w:val="15"/>
        </w:rPr>
        <w:t xml:space="preserve"> </w:t>
      </w:r>
      <w:r>
        <w:t>entendía</w:t>
      </w:r>
      <w:r>
        <w:rPr>
          <w:spacing w:val="15"/>
        </w:rPr>
        <w:t xml:space="preserve"> </w:t>
      </w:r>
      <w:r>
        <w:t>que</w:t>
      </w:r>
      <w:r>
        <w:rPr>
          <w:spacing w:val="17"/>
        </w:rPr>
        <w:t xml:space="preserve"> </w:t>
      </w:r>
      <w:r>
        <w:t>todas</w:t>
      </w:r>
      <w:r>
        <w:rPr>
          <w:spacing w:val="15"/>
        </w:rPr>
        <w:t xml:space="preserve"> </w:t>
      </w:r>
      <w:r>
        <w:t>las</w:t>
      </w:r>
      <w:r>
        <w:rPr>
          <w:spacing w:val="15"/>
        </w:rPr>
        <w:t xml:space="preserve"> </w:t>
      </w:r>
      <w:r>
        <w:t>personas</w:t>
      </w:r>
      <w:r>
        <w:rPr>
          <w:spacing w:val="15"/>
        </w:rPr>
        <w:t xml:space="preserve"> </w:t>
      </w:r>
      <w:r>
        <w:t>debían ser tratadas por igual, independientemente de su raza, color, sexo, idioma, religión, opinión política o de otra índole, origen nacional o social, posición económica, nacimiento o cualquier otra condición.</w:t>
      </w:r>
    </w:p>
    <w:p w14:paraId="507A451D" w14:textId="77777777" w:rsidR="0014798C" w:rsidRDefault="004E1F0B">
      <w:pPr>
        <w:pStyle w:val="Textoindependiente"/>
        <w:spacing w:before="167" w:line="326" w:lineRule="auto"/>
        <w:ind w:left="1105" w:right="1463" w:firstLine="9"/>
      </w:pPr>
      <w:r>
        <w:t xml:space="preserve">Con el tiempo, a medida que se adoptaron nuevos instrumentos de derechos humanos y la práctica internacional se vio influenciada por los acontecimientos a nivel nacional, la comprensión de los derechos a la igualdad y la no discriminación </w:t>
      </w:r>
      <w:proofErr w:type="gramStart"/>
      <w:r>
        <w:t>evolucionó .</w:t>
      </w:r>
      <w:proofErr w:type="gramEnd"/>
      <w:r>
        <w:t xml:space="preserve"> En esencia, los Estados han elaborado y codificado los elementos de derecho necesarios para dar efecto a su compromiso</w:t>
      </w:r>
      <w:r>
        <w:rPr>
          <w:spacing w:val="19"/>
        </w:rPr>
        <w:t xml:space="preserve"> </w:t>
      </w:r>
      <w:r>
        <w:t>central</w:t>
      </w:r>
      <w:r>
        <w:rPr>
          <w:spacing w:val="17"/>
        </w:rPr>
        <w:t xml:space="preserve"> </w:t>
      </w:r>
      <w:r>
        <w:t>y</w:t>
      </w:r>
      <w:r>
        <w:rPr>
          <w:spacing w:val="19"/>
        </w:rPr>
        <w:t xml:space="preserve"> </w:t>
      </w:r>
      <w:r>
        <w:t>global</w:t>
      </w:r>
      <w:r>
        <w:rPr>
          <w:spacing w:val="19"/>
        </w:rPr>
        <w:t xml:space="preserve"> </w:t>
      </w:r>
      <w:r>
        <w:t>de</w:t>
      </w:r>
      <w:r>
        <w:rPr>
          <w:spacing w:val="19"/>
        </w:rPr>
        <w:t xml:space="preserve"> </w:t>
      </w:r>
      <w:r>
        <w:t>eliminar</w:t>
      </w:r>
      <w:r>
        <w:rPr>
          <w:spacing w:val="17"/>
        </w:rPr>
        <w:t xml:space="preserve"> </w:t>
      </w:r>
      <w:r>
        <w:t>todas</w:t>
      </w:r>
      <w:r>
        <w:rPr>
          <w:spacing w:val="17"/>
        </w:rPr>
        <w:t xml:space="preserve"> </w:t>
      </w:r>
      <w:r>
        <w:t>las</w:t>
      </w:r>
      <w:r>
        <w:rPr>
          <w:spacing w:val="17"/>
        </w:rPr>
        <w:t xml:space="preserve"> </w:t>
      </w:r>
      <w:r>
        <w:t>formas</w:t>
      </w:r>
      <w:r>
        <w:rPr>
          <w:spacing w:val="17"/>
        </w:rPr>
        <w:t xml:space="preserve"> </w:t>
      </w:r>
      <w:r>
        <w:t>de</w:t>
      </w:r>
      <w:r>
        <w:rPr>
          <w:spacing w:val="19"/>
        </w:rPr>
        <w:t xml:space="preserve"> </w:t>
      </w:r>
      <w:r>
        <w:t>discriminación.</w:t>
      </w:r>
      <w:r>
        <w:rPr>
          <w:spacing w:val="20"/>
        </w:rPr>
        <w:t xml:space="preserve"> </w:t>
      </w:r>
      <w:r>
        <w:t>Si</w:t>
      </w:r>
      <w:r>
        <w:rPr>
          <w:spacing w:val="17"/>
        </w:rPr>
        <w:t xml:space="preserve"> </w:t>
      </w:r>
      <w:r>
        <w:t>bien</w:t>
      </w:r>
      <w:r>
        <w:rPr>
          <w:spacing w:val="19"/>
        </w:rPr>
        <w:t xml:space="preserve"> </w:t>
      </w:r>
      <w:r>
        <w:t>seguir</w:t>
      </w:r>
      <w:r>
        <w:rPr>
          <w:spacing w:val="17"/>
        </w:rPr>
        <w:t xml:space="preserve"> </w:t>
      </w:r>
      <w:r>
        <w:t>estos</w:t>
      </w:r>
      <w:r>
        <w:rPr>
          <w:spacing w:val="17"/>
        </w:rPr>
        <w:t xml:space="preserve"> </w:t>
      </w:r>
      <w:r>
        <w:t>acontecimientos</w:t>
      </w:r>
      <w:r>
        <w:rPr>
          <w:spacing w:val="17"/>
        </w:rPr>
        <w:t xml:space="preserve"> </w:t>
      </w:r>
      <w:r>
        <w:t>en</w:t>
      </w:r>
      <w:r>
        <w:rPr>
          <w:spacing w:val="19"/>
        </w:rPr>
        <w:t xml:space="preserve"> </w:t>
      </w:r>
      <w:r>
        <w:t>detalle está más allá del alcance de esta publicación, un breve análisis de algunas tendencias clave sirve para demostrar por qué y</w:t>
      </w:r>
      <w:r>
        <w:rPr>
          <w:spacing w:val="40"/>
        </w:rPr>
        <w:t xml:space="preserve"> </w:t>
      </w:r>
      <w:r>
        <w:t>cómo tanto los Estados como los organismos internacionales han llegado a la conclusión de que sólo mediante la adopción de</w:t>
      </w:r>
    </w:p>
    <w:p w14:paraId="7DBA5B1F" w14:textId="77777777" w:rsidR="0014798C" w:rsidRDefault="004E1F0B">
      <w:pPr>
        <w:pStyle w:val="Textoindependiente"/>
        <w:spacing w:before="55"/>
        <w:rPr>
          <w:sz w:val="20"/>
        </w:rPr>
      </w:pPr>
      <w:r>
        <w:rPr>
          <w:noProof/>
        </w:rPr>
        <w:drawing>
          <wp:anchor distT="0" distB="0" distL="0" distR="0" simplePos="0" relativeHeight="251658509" behindDoc="1" locked="0" layoutInCell="1" allowOverlap="1" wp14:anchorId="56497571" wp14:editId="5B2B48B1">
            <wp:simplePos x="0" y="0"/>
            <wp:positionH relativeFrom="page">
              <wp:posOffset>826632</wp:posOffset>
            </wp:positionH>
            <wp:positionV relativeFrom="paragraph">
              <wp:posOffset>196543</wp:posOffset>
            </wp:positionV>
            <wp:extent cx="931001" cy="35813"/>
            <wp:effectExtent l="0" t="0" r="0" b="0"/>
            <wp:wrapTopAndBottom/>
            <wp:docPr id="32" name="Image 3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2" name="Image 32"/>
                    <pic:cNvPicPr/>
                  </pic:nvPicPr>
                  <pic:blipFill>
                    <a:blip r:embed="rId39" cstate="print"/>
                    <a:stretch>
                      <a:fillRect/>
                    </a:stretch>
                  </pic:blipFill>
                  <pic:spPr>
                    <a:xfrm>
                      <a:off x="0" y="0"/>
                      <a:ext cx="931001" cy="35813"/>
                    </a:xfrm>
                    <a:prstGeom prst="rect">
                      <a:avLst/>
                    </a:prstGeom>
                  </pic:spPr>
                </pic:pic>
              </a:graphicData>
            </a:graphic>
          </wp:anchor>
        </w:drawing>
      </w:r>
    </w:p>
    <w:p w14:paraId="7146C28C" w14:textId="77777777" w:rsidR="0014798C" w:rsidRDefault="0014798C">
      <w:pPr>
        <w:pStyle w:val="Textoindependiente"/>
        <w:spacing w:before="12"/>
        <w:rPr>
          <w:sz w:val="13"/>
        </w:rPr>
      </w:pPr>
    </w:p>
    <w:p w14:paraId="42A272AA" w14:textId="77777777" w:rsidR="0014798C" w:rsidRDefault="004E1F0B">
      <w:pPr>
        <w:pStyle w:val="Prrafodelista"/>
        <w:numPr>
          <w:ilvl w:val="0"/>
          <w:numId w:val="95"/>
        </w:numPr>
        <w:tabs>
          <w:tab w:val="left" w:pos="1214"/>
        </w:tabs>
        <w:spacing w:before="1"/>
        <w:ind w:left="1214" w:hanging="109"/>
        <w:rPr>
          <w:sz w:val="13"/>
        </w:rPr>
      </w:pPr>
      <w:r>
        <w:rPr>
          <w:sz w:val="13"/>
        </w:rPr>
        <w:t>Comité sobre los Derechos de las Personas</w:t>
      </w:r>
      <w:r>
        <w:rPr>
          <w:spacing w:val="1"/>
          <w:sz w:val="13"/>
        </w:rPr>
        <w:t xml:space="preserve"> </w:t>
      </w:r>
      <w:r>
        <w:rPr>
          <w:sz w:val="13"/>
        </w:rPr>
        <w:t>con Discapacidad,</w:t>
      </w:r>
      <w:r>
        <w:rPr>
          <w:spacing w:val="1"/>
          <w:sz w:val="13"/>
        </w:rPr>
        <w:t xml:space="preserve"> </w:t>
      </w:r>
      <w:r>
        <w:rPr>
          <w:sz w:val="13"/>
        </w:rPr>
        <w:t>observación general núm. 6 (2018),</w:t>
      </w:r>
      <w:r>
        <w:rPr>
          <w:spacing w:val="1"/>
          <w:sz w:val="13"/>
        </w:rPr>
        <w:t xml:space="preserve"> </w:t>
      </w:r>
      <w:r>
        <w:rPr>
          <w:sz w:val="13"/>
        </w:rPr>
        <w:t xml:space="preserve">párr. </w:t>
      </w:r>
      <w:r>
        <w:rPr>
          <w:spacing w:val="-5"/>
          <w:sz w:val="13"/>
        </w:rPr>
        <w:t>4.</w:t>
      </w:r>
    </w:p>
    <w:p w14:paraId="6D15BCB2" w14:textId="77777777" w:rsidR="0014798C" w:rsidRDefault="0014798C">
      <w:pPr>
        <w:pStyle w:val="Textoindependiente"/>
        <w:rPr>
          <w:sz w:val="17"/>
        </w:rPr>
      </w:pPr>
    </w:p>
    <w:p w14:paraId="75F4E9CE" w14:textId="77777777" w:rsidR="0014798C" w:rsidRDefault="0014798C">
      <w:pPr>
        <w:pStyle w:val="Textoindependiente"/>
        <w:rPr>
          <w:sz w:val="17"/>
        </w:rPr>
      </w:pPr>
    </w:p>
    <w:p w14:paraId="4FBA6877" w14:textId="77777777" w:rsidR="0014798C" w:rsidRDefault="0014798C">
      <w:pPr>
        <w:pStyle w:val="Textoindependiente"/>
        <w:rPr>
          <w:sz w:val="17"/>
        </w:rPr>
      </w:pPr>
    </w:p>
    <w:p w14:paraId="3D4674F9" w14:textId="77777777" w:rsidR="0014798C" w:rsidRDefault="0014798C">
      <w:pPr>
        <w:pStyle w:val="Textoindependiente"/>
        <w:spacing w:before="158"/>
        <w:rPr>
          <w:sz w:val="17"/>
        </w:rPr>
      </w:pPr>
    </w:p>
    <w:p w14:paraId="530242D5" w14:textId="77777777" w:rsidR="0014798C" w:rsidRDefault="004E1F0B">
      <w:pPr>
        <w:ind w:right="742"/>
        <w:jc w:val="right"/>
        <w:rPr>
          <w:sz w:val="17"/>
        </w:rPr>
      </w:pPr>
      <w:proofErr w:type="spellStart"/>
      <w:r>
        <w:rPr>
          <w:spacing w:val="-5"/>
          <w:sz w:val="17"/>
        </w:rPr>
        <w:t>xxi</w:t>
      </w:r>
      <w:proofErr w:type="spellEnd"/>
    </w:p>
    <w:p w14:paraId="18CABF12" w14:textId="77777777" w:rsidR="0014798C" w:rsidRDefault="0014798C">
      <w:pPr>
        <w:jc w:val="right"/>
        <w:rPr>
          <w:sz w:val="17"/>
        </w:rPr>
        <w:sectPr w:rsidR="0014798C" w:rsidSect="00F265E4">
          <w:pgSz w:w="11900" w:h="16820"/>
          <w:pgMar w:top="340" w:right="0" w:bottom="280" w:left="200" w:header="121" w:footer="0" w:gutter="0"/>
          <w:cols w:space="720"/>
        </w:sectPr>
      </w:pPr>
    </w:p>
    <w:p w14:paraId="3510D946" w14:textId="349B87E4" w:rsidR="0014798C" w:rsidRDefault="004E1F0B">
      <w:pPr>
        <w:spacing w:before="76"/>
        <w:ind w:left="113"/>
        <w:rPr>
          <w:sz w:val="21"/>
        </w:rPr>
      </w:pPr>
      <w:r>
        <w:rPr>
          <w:noProof/>
        </w:rPr>
        <w:lastRenderedPageBreak/>
        <w:drawing>
          <wp:anchor distT="0" distB="0" distL="0" distR="0" simplePos="0" relativeHeight="251658356" behindDoc="1" locked="0" layoutInCell="1" allowOverlap="1" wp14:anchorId="26908392" wp14:editId="111446A4">
            <wp:simplePos x="0" y="0"/>
            <wp:positionH relativeFrom="page">
              <wp:posOffset>0</wp:posOffset>
            </wp:positionH>
            <wp:positionV relativeFrom="page">
              <wp:posOffset>0</wp:posOffset>
            </wp:positionV>
            <wp:extent cx="7556500" cy="10680700"/>
            <wp:effectExtent l="0" t="0" r="0" b="0"/>
            <wp:wrapNone/>
            <wp:docPr id="33" name="Image 3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3" name="Image 33"/>
                    <pic:cNvPicPr/>
                  </pic:nvPicPr>
                  <pic:blipFill>
                    <a:blip r:embed="rId29" cstate="print"/>
                    <a:stretch>
                      <a:fillRect/>
                    </a:stretch>
                  </pic:blipFill>
                  <pic:spPr>
                    <a:xfrm>
                      <a:off x="0" y="0"/>
                      <a:ext cx="7556500" cy="10680700"/>
                    </a:xfrm>
                    <a:prstGeom prst="rect">
                      <a:avLst/>
                    </a:prstGeom>
                  </pic:spPr>
                </pic:pic>
              </a:graphicData>
            </a:graphic>
          </wp:anchor>
        </w:drawing>
      </w:r>
    </w:p>
    <w:p w14:paraId="626C340F" w14:textId="77777777" w:rsidR="0014798C" w:rsidRDefault="0014798C">
      <w:pPr>
        <w:pStyle w:val="Textoindependiente"/>
        <w:spacing w:before="85"/>
        <w:rPr>
          <w:sz w:val="12"/>
        </w:rPr>
      </w:pPr>
    </w:p>
    <w:p w14:paraId="6C161749" w14:textId="77777777" w:rsidR="0014798C" w:rsidRDefault="004E1F0B">
      <w:pPr>
        <w:ind w:left="1111"/>
        <w:rPr>
          <w:sz w:val="12"/>
        </w:rPr>
      </w:pPr>
      <w:r>
        <w:rPr>
          <w:color w:val="0075BF"/>
          <w:sz w:val="12"/>
        </w:rPr>
        <w:t>PROTECCIÓN</w:t>
      </w:r>
      <w:r>
        <w:rPr>
          <w:color w:val="0075BF"/>
          <w:spacing w:val="6"/>
          <w:sz w:val="12"/>
        </w:rPr>
        <w:t xml:space="preserve"> </w:t>
      </w:r>
      <w:r>
        <w:rPr>
          <w:color w:val="0075BF"/>
          <w:sz w:val="12"/>
        </w:rPr>
        <w:t>DE</w:t>
      </w:r>
      <w:r>
        <w:rPr>
          <w:color w:val="0075BF"/>
          <w:spacing w:val="7"/>
          <w:sz w:val="12"/>
        </w:rPr>
        <w:t xml:space="preserve"> </w:t>
      </w:r>
      <w:r>
        <w:rPr>
          <w:color w:val="0075BF"/>
          <w:sz w:val="12"/>
        </w:rPr>
        <w:t>LOS</w:t>
      </w:r>
      <w:r>
        <w:rPr>
          <w:color w:val="0075BF"/>
          <w:spacing w:val="8"/>
          <w:sz w:val="12"/>
        </w:rPr>
        <w:t xml:space="preserve"> </w:t>
      </w:r>
      <w:r>
        <w:rPr>
          <w:color w:val="0075BF"/>
          <w:sz w:val="12"/>
        </w:rPr>
        <w:t>DERECHOS</w:t>
      </w:r>
      <w:r>
        <w:rPr>
          <w:color w:val="0075BF"/>
          <w:spacing w:val="8"/>
          <w:sz w:val="12"/>
        </w:rPr>
        <w:t xml:space="preserve"> </w:t>
      </w:r>
      <w:r>
        <w:rPr>
          <w:color w:val="0075BF"/>
          <w:sz w:val="12"/>
        </w:rPr>
        <w:t>DE</w:t>
      </w:r>
      <w:r>
        <w:rPr>
          <w:color w:val="0075BF"/>
          <w:spacing w:val="6"/>
          <w:sz w:val="12"/>
        </w:rPr>
        <w:t xml:space="preserve"> </w:t>
      </w:r>
      <w:r>
        <w:rPr>
          <w:color w:val="0075BF"/>
          <w:sz w:val="12"/>
        </w:rPr>
        <w:t>LAS</w:t>
      </w:r>
      <w:r>
        <w:rPr>
          <w:color w:val="0075BF"/>
          <w:spacing w:val="7"/>
          <w:sz w:val="12"/>
        </w:rPr>
        <w:t xml:space="preserve"> </w:t>
      </w:r>
      <w:r>
        <w:rPr>
          <w:color w:val="0075BF"/>
          <w:sz w:val="12"/>
        </w:rPr>
        <w:t>MINORÍAS:</w:t>
      </w:r>
      <w:r>
        <w:rPr>
          <w:color w:val="0075BF"/>
          <w:spacing w:val="8"/>
          <w:sz w:val="12"/>
        </w:rPr>
        <w:t xml:space="preserve"> </w:t>
      </w:r>
      <w:r>
        <w:rPr>
          <w:color w:val="0075BF"/>
          <w:sz w:val="12"/>
        </w:rPr>
        <w:t>una</w:t>
      </w:r>
      <w:r>
        <w:rPr>
          <w:color w:val="0075BF"/>
          <w:spacing w:val="7"/>
          <w:sz w:val="12"/>
        </w:rPr>
        <w:t xml:space="preserve"> </w:t>
      </w:r>
      <w:r>
        <w:rPr>
          <w:color w:val="0075BF"/>
          <w:sz w:val="12"/>
        </w:rPr>
        <w:t>guía</w:t>
      </w:r>
      <w:r>
        <w:rPr>
          <w:color w:val="0075BF"/>
          <w:spacing w:val="6"/>
          <w:sz w:val="12"/>
        </w:rPr>
        <w:t xml:space="preserve"> </w:t>
      </w:r>
      <w:r>
        <w:rPr>
          <w:color w:val="0075BF"/>
          <w:sz w:val="12"/>
        </w:rPr>
        <w:t>práctica</w:t>
      </w:r>
      <w:r>
        <w:rPr>
          <w:color w:val="0075BF"/>
          <w:spacing w:val="7"/>
          <w:sz w:val="12"/>
        </w:rPr>
        <w:t xml:space="preserve"> </w:t>
      </w:r>
      <w:r>
        <w:rPr>
          <w:color w:val="0075BF"/>
          <w:sz w:val="12"/>
        </w:rPr>
        <w:t>para</w:t>
      </w:r>
      <w:r>
        <w:rPr>
          <w:color w:val="0075BF"/>
          <w:spacing w:val="8"/>
          <w:sz w:val="12"/>
        </w:rPr>
        <w:t xml:space="preserve"> </w:t>
      </w:r>
      <w:r>
        <w:rPr>
          <w:color w:val="0075BF"/>
          <w:sz w:val="12"/>
        </w:rPr>
        <w:t>desarrollar</w:t>
      </w:r>
      <w:r>
        <w:rPr>
          <w:color w:val="0075BF"/>
          <w:spacing w:val="6"/>
          <w:sz w:val="12"/>
        </w:rPr>
        <w:t xml:space="preserve"> </w:t>
      </w:r>
      <w:r>
        <w:rPr>
          <w:color w:val="0075BF"/>
          <w:sz w:val="12"/>
        </w:rPr>
        <w:t>una</w:t>
      </w:r>
      <w:r>
        <w:rPr>
          <w:color w:val="0075BF"/>
          <w:spacing w:val="7"/>
          <w:sz w:val="12"/>
        </w:rPr>
        <w:t xml:space="preserve"> </w:t>
      </w:r>
      <w:r>
        <w:rPr>
          <w:color w:val="0075BF"/>
          <w:sz w:val="12"/>
        </w:rPr>
        <w:t>legislación</w:t>
      </w:r>
      <w:r>
        <w:rPr>
          <w:color w:val="0075BF"/>
          <w:spacing w:val="8"/>
          <w:sz w:val="12"/>
        </w:rPr>
        <w:t xml:space="preserve"> </w:t>
      </w:r>
      <w:r>
        <w:rPr>
          <w:color w:val="0075BF"/>
          <w:sz w:val="12"/>
        </w:rPr>
        <w:t>integral</w:t>
      </w:r>
      <w:r>
        <w:rPr>
          <w:color w:val="0075BF"/>
          <w:spacing w:val="7"/>
          <w:sz w:val="12"/>
        </w:rPr>
        <w:t xml:space="preserve"> </w:t>
      </w:r>
      <w:r>
        <w:rPr>
          <w:color w:val="0075BF"/>
          <w:sz w:val="12"/>
        </w:rPr>
        <w:t>contra</w:t>
      </w:r>
      <w:r>
        <w:rPr>
          <w:color w:val="0075BF"/>
          <w:spacing w:val="6"/>
          <w:sz w:val="12"/>
        </w:rPr>
        <w:t xml:space="preserve"> </w:t>
      </w:r>
      <w:r>
        <w:rPr>
          <w:color w:val="0075BF"/>
          <w:sz w:val="12"/>
        </w:rPr>
        <w:t>la</w:t>
      </w:r>
      <w:r>
        <w:rPr>
          <w:color w:val="0075BF"/>
          <w:spacing w:val="7"/>
          <w:sz w:val="12"/>
        </w:rPr>
        <w:t xml:space="preserve"> </w:t>
      </w:r>
      <w:r>
        <w:rPr>
          <w:color w:val="0075BF"/>
          <w:spacing w:val="-2"/>
          <w:sz w:val="12"/>
        </w:rPr>
        <w:t>discriminación</w:t>
      </w:r>
    </w:p>
    <w:p w14:paraId="268844AE" w14:textId="77777777" w:rsidR="0014798C" w:rsidRDefault="0014798C">
      <w:pPr>
        <w:pStyle w:val="Textoindependiente"/>
      </w:pPr>
    </w:p>
    <w:p w14:paraId="54BF961C" w14:textId="77777777" w:rsidR="0014798C" w:rsidRDefault="0014798C">
      <w:pPr>
        <w:pStyle w:val="Textoindependiente"/>
      </w:pPr>
    </w:p>
    <w:p w14:paraId="54EE9446" w14:textId="77777777" w:rsidR="0014798C" w:rsidRDefault="0014798C">
      <w:pPr>
        <w:pStyle w:val="Textoindependiente"/>
      </w:pPr>
    </w:p>
    <w:p w14:paraId="5FBB350B" w14:textId="77777777" w:rsidR="0014798C" w:rsidRDefault="0014798C">
      <w:pPr>
        <w:pStyle w:val="Textoindependiente"/>
      </w:pPr>
    </w:p>
    <w:p w14:paraId="2BEECB40" w14:textId="77777777" w:rsidR="0014798C" w:rsidRDefault="0014798C">
      <w:pPr>
        <w:pStyle w:val="Textoindependiente"/>
        <w:spacing w:before="52"/>
      </w:pPr>
    </w:p>
    <w:p w14:paraId="02F83171" w14:textId="77777777" w:rsidR="0014798C" w:rsidRDefault="004E1F0B">
      <w:pPr>
        <w:pStyle w:val="Textoindependiente"/>
        <w:spacing w:line="326" w:lineRule="auto"/>
        <w:ind w:left="1107" w:right="1272" w:firstLine="1"/>
      </w:pPr>
      <w:r>
        <w:t>leyes</w:t>
      </w:r>
      <w:r>
        <w:rPr>
          <w:spacing w:val="-2"/>
        </w:rPr>
        <w:t xml:space="preserve"> </w:t>
      </w:r>
      <w:r>
        <w:t>integrales</w:t>
      </w:r>
      <w:r>
        <w:rPr>
          <w:spacing w:val="-2"/>
        </w:rPr>
        <w:t xml:space="preserve"> </w:t>
      </w:r>
      <w:r>
        <w:t>contra</w:t>
      </w:r>
      <w:r>
        <w:rPr>
          <w:spacing w:val="-2"/>
        </w:rPr>
        <w:t xml:space="preserve"> </w:t>
      </w:r>
      <w:r>
        <w:t>la</w:t>
      </w:r>
      <w:r>
        <w:rPr>
          <w:spacing w:val="-2"/>
        </w:rPr>
        <w:t xml:space="preserve"> </w:t>
      </w:r>
      <w:r>
        <w:t>discriminación, y</w:t>
      </w:r>
      <w:r>
        <w:rPr>
          <w:spacing w:val="-2"/>
        </w:rPr>
        <w:t xml:space="preserve"> </w:t>
      </w:r>
      <w:r>
        <w:t>su</w:t>
      </w:r>
      <w:r>
        <w:rPr>
          <w:spacing w:val="-2"/>
        </w:rPr>
        <w:t xml:space="preserve"> </w:t>
      </w:r>
      <w:r>
        <w:t>cumplimiento</w:t>
      </w:r>
      <w:r>
        <w:rPr>
          <w:spacing w:val="-2"/>
        </w:rPr>
        <w:t xml:space="preserve"> </w:t>
      </w:r>
      <w:r>
        <w:t>e</w:t>
      </w:r>
      <w:r>
        <w:rPr>
          <w:spacing w:val="-2"/>
        </w:rPr>
        <w:t xml:space="preserve"> </w:t>
      </w:r>
      <w:r>
        <w:t>implementación</w:t>
      </w:r>
      <w:r>
        <w:rPr>
          <w:spacing w:val="-2"/>
        </w:rPr>
        <w:t xml:space="preserve"> </w:t>
      </w:r>
      <w:r>
        <w:t>efectivos,</w:t>
      </w:r>
      <w:r>
        <w:rPr>
          <w:spacing w:val="-1"/>
        </w:rPr>
        <w:t xml:space="preserve"> </w:t>
      </w:r>
      <w:r>
        <w:t>que</w:t>
      </w:r>
      <w:r>
        <w:rPr>
          <w:spacing w:val="-2"/>
        </w:rPr>
        <w:t xml:space="preserve"> </w:t>
      </w:r>
      <w:r>
        <w:t>los</w:t>
      </w:r>
      <w:r>
        <w:rPr>
          <w:spacing w:val="-2"/>
        </w:rPr>
        <w:t xml:space="preserve"> </w:t>
      </w:r>
      <w:r>
        <w:t>derechos</w:t>
      </w:r>
      <w:r>
        <w:rPr>
          <w:spacing w:val="-2"/>
        </w:rPr>
        <w:t xml:space="preserve"> </w:t>
      </w:r>
      <w:r>
        <w:t>a</w:t>
      </w:r>
      <w:r>
        <w:rPr>
          <w:spacing w:val="-2"/>
        </w:rPr>
        <w:t xml:space="preserve"> </w:t>
      </w:r>
      <w:r>
        <w:t>la</w:t>
      </w:r>
      <w:r>
        <w:rPr>
          <w:spacing w:val="-2"/>
        </w:rPr>
        <w:t xml:space="preserve"> </w:t>
      </w:r>
      <w:r>
        <w:t>igualdad</w:t>
      </w:r>
      <w:r>
        <w:rPr>
          <w:spacing w:val="-2"/>
        </w:rPr>
        <w:t xml:space="preserve"> </w:t>
      </w:r>
      <w:r>
        <w:t>y</w:t>
      </w:r>
      <w:r>
        <w:rPr>
          <w:spacing w:val="-2"/>
        </w:rPr>
        <w:t xml:space="preserve"> </w:t>
      </w:r>
      <w:r>
        <w:t>la</w:t>
      </w:r>
      <w:r>
        <w:rPr>
          <w:spacing w:val="-2"/>
        </w:rPr>
        <w:t xml:space="preserve"> </w:t>
      </w:r>
      <w:r>
        <w:t>no discriminación puedan garantizarse efectivamente.</w:t>
      </w:r>
    </w:p>
    <w:p w14:paraId="068D71B4" w14:textId="77777777" w:rsidR="0014798C" w:rsidRDefault="004E1F0B">
      <w:pPr>
        <w:pStyle w:val="Textoindependiente"/>
        <w:spacing w:before="169" w:line="326" w:lineRule="auto"/>
        <w:ind w:left="1105" w:right="1239" w:firstLine="3"/>
      </w:pPr>
      <w:r>
        <w:t>En primer lugar, se ha aclarado el alcance personal del derecho a la no discriminación, ya que los Estados han reconocido que la discriminación basada en “otra condición” cubre muchas características omitidas de la breve lista de características incluidas por nombre en los primeros tratados internacionales. Los primeros instrumentos de derechos humanos enumeraban sólo un pequeño número de motivos específicos, omitiendo la edad, la discapacidad y la orientación sexual, entre otros. Así como los Estados han reconocido que el trato desfavorable que surge por estos y otros motivos es tan grave y perjudicial como el que surge por los motivos enumerados en los primeros instrumentos, se ha codificado en la ley una lista más amplia de motivos. Como reflejo de esto, los órganos creados en virtud de tratados de derechos humanos han reconocido un número cada vez mayor de motivos</w:t>
      </w:r>
      <w:r>
        <w:rPr>
          <w:spacing w:val="80"/>
        </w:rPr>
        <w:t xml:space="preserve"> </w:t>
      </w:r>
      <w:r>
        <w:t>como formas de “otro estatuto”: en 2021, la lista de motivos reconocidos en el derecho internacional ascendía a más de 20. En el proceso, los órganos creados en virtud de tratados han reforzado y reiterado la Necesidad de un enfoque abierto e inclusivo para reconocer los motivos de discriminación: el reconocimiento progresivo de motivos adicionales a lo largo de las décadas subraya la necesidad de mantener la lista abierta. Otro avance es el reconocimiento de que los actos basados en la percepción de que una persona posee una característica particular, o en asociación con quienes la poseen, también constituyen discriminación, independientemente del estatus real de la persona en cuestión. Paralelamente, los órganos de derechos humanos han reconocido cada vez más las obligaciones de los Estados de prohibir la discriminación interseccional –es decir, la discriminación que se produce</w:t>
      </w:r>
      <w:r>
        <w:rPr>
          <w:spacing w:val="-2"/>
        </w:rPr>
        <w:t xml:space="preserve"> </w:t>
      </w:r>
      <w:r>
        <w:t>debido</w:t>
      </w:r>
      <w:r>
        <w:rPr>
          <w:spacing w:val="-2"/>
        </w:rPr>
        <w:t xml:space="preserve"> </w:t>
      </w:r>
      <w:r>
        <w:t>a</w:t>
      </w:r>
      <w:r>
        <w:rPr>
          <w:spacing w:val="-2"/>
        </w:rPr>
        <w:t xml:space="preserve"> </w:t>
      </w:r>
      <w:r>
        <w:t>la</w:t>
      </w:r>
      <w:r>
        <w:rPr>
          <w:spacing w:val="-2"/>
        </w:rPr>
        <w:t xml:space="preserve"> </w:t>
      </w:r>
      <w:r>
        <w:t>interacción</w:t>
      </w:r>
      <w:r>
        <w:rPr>
          <w:spacing w:val="-2"/>
        </w:rPr>
        <w:t xml:space="preserve"> </w:t>
      </w:r>
      <w:r>
        <w:t>entre</w:t>
      </w:r>
      <w:r>
        <w:rPr>
          <w:spacing w:val="-2"/>
        </w:rPr>
        <w:t xml:space="preserve"> </w:t>
      </w:r>
      <w:r>
        <w:t>dos</w:t>
      </w:r>
      <w:r>
        <w:rPr>
          <w:spacing w:val="-2"/>
        </w:rPr>
        <w:t xml:space="preserve"> </w:t>
      </w:r>
      <w:r>
        <w:t>o</w:t>
      </w:r>
      <w:r>
        <w:rPr>
          <w:spacing w:val="-2"/>
        </w:rPr>
        <w:t xml:space="preserve"> </w:t>
      </w:r>
      <w:r>
        <w:t>más</w:t>
      </w:r>
      <w:r>
        <w:rPr>
          <w:spacing w:val="-2"/>
        </w:rPr>
        <w:t xml:space="preserve"> </w:t>
      </w:r>
      <w:r>
        <w:t>características</w:t>
      </w:r>
      <w:r>
        <w:rPr>
          <w:spacing w:val="-2"/>
        </w:rPr>
        <w:t xml:space="preserve"> </w:t>
      </w:r>
      <w:r>
        <w:t>diferentes–,</w:t>
      </w:r>
      <w:r>
        <w:rPr>
          <w:spacing w:val="-1"/>
        </w:rPr>
        <w:t xml:space="preserve"> </w:t>
      </w:r>
      <w:r>
        <w:t>algo</w:t>
      </w:r>
      <w:r>
        <w:rPr>
          <w:spacing w:val="-2"/>
        </w:rPr>
        <w:t xml:space="preserve"> </w:t>
      </w:r>
      <w:r>
        <w:t>que</w:t>
      </w:r>
      <w:r>
        <w:rPr>
          <w:spacing w:val="-2"/>
        </w:rPr>
        <w:t xml:space="preserve"> </w:t>
      </w:r>
      <w:r>
        <w:t>sólo</w:t>
      </w:r>
      <w:r>
        <w:rPr>
          <w:spacing w:val="-2"/>
        </w:rPr>
        <w:t xml:space="preserve"> </w:t>
      </w:r>
      <w:r>
        <w:t>puede</w:t>
      </w:r>
      <w:r>
        <w:rPr>
          <w:spacing w:val="-2"/>
        </w:rPr>
        <w:t xml:space="preserve"> </w:t>
      </w:r>
      <w:r>
        <w:t>lograrse</w:t>
      </w:r>
      <w:r>
        <w:rPr>
          <w:spacing w:val="-1"/>
        </w:rPr>
        <w:t xml:space="preserve"> </w:t>
      </w:r>
      <w:r>
        <w:t>mediante</w:t>
      </w:r>
      <w:r>
        <w:rPr>
          <w:spacing w:val="-2"/>
        </w:rPr>
        <w:t xml:space="preserve"> </w:t>
      </w:r>
      <w:r>
        <w:t>leyes</w:t>
      </w:r>
      <w:r>
        <w:rPr>
          <w:spacing w:val="-2"/>
        </w:rPr>
        <w:t xml:space="preserve"> </w:t>
      </w:r>
      <w:r>
        <w:t>integrales contra la discriminación.</w:t>
      </w:r>
    </w:p>
    <w:p w14:paraId="7B4FBBF7" w14:textId="77777777" w:rsidR="0014798C" w:rsidRDefault="004E1F0B">
      <w:pPr>
        <w:pStyle w:val="Textoindependiente"/>
        <w:spacing w:before="162" w:line="326" w:lineRule="auto"/>
        <w:ind w:left="1107" w:right="1239" w:firstLine="5"/>
      </w:pPr>
      <w:r>
        <w:t>En segundo lugar, se han definido y prohibido expresamente diferentes formas de discriminación, ya que los Estados han reconocido</w:t>
      </w:r>
      <w:r>
        <w:rPr>
          <w:spacing w:val="-1"/>
        </w:rPr>
        <w:t xml:space="preserve"> </w:t>
      </w:r>
      <w:r>
        <w:t>que</w:t>
      </w:r>
      <w:r>
        <w:rPr>
          <w:spacing w:val="-2"/>
        </w:rPr>
        <w:t xml:space="preserve"> </w:t>
      </w:r>
      <w:r>
        <w:t>la</w:t>
      </w:r>
      <w:r>
        <w:rPr>
          <w:spacing w:val="-2"/>
        </w:rPr>
        <w:t xml:space="preserve"> </w:t>
      </w:r>
      <w:r>
        <w:t>interpretación</w:t>
      </w:r>
      <w:r>
        <w:rPr>
          <w:spacing w:val="-2"/>
        </w:rPr>
        <w:t xml:space="preserve"> </w:t>
      </w:r>
      <w:r>
        <w:t>inicial</w:t>
      </w:r>
      <w:r>
        <w:rPr>
          <w:spacing w:val="-2"/>
        </w:rPr>
        <w:t xml:space="preserve"> </w:t>
      </w:r>
      <w:r>
        <w:t>del</w:t>
      </w:r>
      <w:r>
        <w:rPr>
          <w:spacing w:val="-2"/>
        </w:rPr>
        <w:t xml:space="preserve"> </w:t>
      </w:r>
      <w:r>
        <w:t>derecho</w:t>
      </w:r>
      <w:r>
        <w:rPr>
          <w:spacing w:val="-2"/>
        </w:rPr>
        <w:t xml:space="preserve"> </w:t>
      </w:r>
      <w:r>
        <w:t>–como</w:t>
      </w:r>
      <w:r>
        <w:rPr>
          <w:spacing w:val="-2"/>
        </w:rPr>
        <w:t xml:space="preserve"> </w:t>
      </w:r>
      <w:r>
        <w:t>un</w:t>
      </w:r>
      <w:r>
        <w:rPr>
          <w:spacing w:val="-2"/>
        </w:rPr>
        <w:t xml:space="preserve"> </w:t>
      </w:r>
      <w:r>
        <w:t>derecho</w:t>
      </w:r>
      <w:r>
        <w:rPr>
          <w:spacing w:val="-2"/>
        </w:rPr>
        <w:t xml:space="preserve"> </w:t>
      </w:r>
      <w:r>
        <w:t>a</w:t>
      </w:r>
      <w:r>
        <w:rPr>
          <w:spacing w:val="-2"/>
        </w:rPr>
        <w:t xml:space="preserve"> </w:t>
      </w:r>
      <w:r>
        <w:t>ser</w:t>
      </w:r>
      <w:r>
        <w:rPr>
          <w:spacing w:val="-2"/>
        </w:rPr>
        <w:t xml:space="preserve"> </w:t>
      </w:r>
      <w:r>
        <w:t>tratado</w:t>
      </w:r>
      <w:r>
        <w:rPr>
          <w:spacing w:val="-2"/>
        </w:rPr>
        <w:t xml:space="preserve"> </w:t>
      </w:r>
      <w:r>
        <w:t>de</w:t>
      </w:r>
      <w:r>
        <w:rPr>
          <w:spacing w:val="-2"/>
        </w:rPr>
        <w:t xml:space="preserve"> </w:t>
      </w:r>
      <w:r>
        <w:t>la</w:t>
      </w:r>
      <w:r>
        <w:rPr>
          <w:spacing w:val="-2"/>
        </w:rPr>
        <w:t xml:space="preserve"> </w:t>
      </w:r>
      <w:r>
        <w:t>misma</w:t>
      </w:r>
      <w:r>
        <w:rPr>
          <w:spacing w:val="-1"/>
        </w:rPr>
        <w:t xml:space="preserve"> </w:t>
      </w:r>
      <w:r>
        <w:t>manera–</w:t>
      </w:r>
      <w:r>
        <w:rPr>
          <w:spacing w:val="-2"/>
        </w:rPr>
        <w:t xml:space="preserve"> </w:t>
      </w:r>
      <w:r>
        <w:t>no</w:t>
      </w:r>
      <w:r>
        <w:rPr>
          <w:spacing w:val="-2"/>
        </w:rPr>
        <w:t xml:space="preserve"> </w:t>
      </w:r>
      <w:r>
        <w:t>abordaba</w:t>
      </w:r>
      <w:r>
        <w:rPr>
          <w:spacing w:val="-2"/>
        </w:rPr>
        <w:t xml:space="preserve"> </w:t>
      </w:r>
      <w:r>
        <w:t>eficazmente todas las formas de discriminación. En particular, se ha reconocido que tratar por igual a personas con diferentes necesidades y características puede dar lugar a discriminación. Como tal, se han codificado en leyes formas adicionales de discriminación tanto</w:t>
      </w:r>
    </w:p>
    <w:p w14:paraId="3CEADEB1" w14:textId="77777777" w:rsidR="0014798C" w:rsidRDefault="004E1F0B">
      <w:pPr>
        <w:pStyle w:val="Textoindependiente"/>
        <w:spacing w:line="326" w:lineRule="auto"/>
        <w:ind w:left="1105" w:right="1272" w:firstLine="6"/>
      </w:pPr>
      <w:r>
        <w:t>a</w:t>
      </w:r>
      <w:r>
        <w:rPr>
          <w:spacing w:val="-1"/>
        </w:rPr>
        <w:t xml:space="preserve"> </w:t>
      </w:r>
      <w:r>
        <w:t>nivel</w:t>
      </w:r>
      <w:r>
        <w:rPr>
          <w:spacing w:val="-1"/>
        </w:rPr>
        <w:t xml:space="preserve"> </w:t>
      </w:r>
      <w:r>
        <w:t>nacional</w:t>
      </w:r>
      <w:r>
        <w:rPr>
          <w:spacing w:val="-1"/>
        </w:rPr>
        <w:t xml:space="preserve"> </w:t>
      </w:r>
      <w:r>
        <w:t>como</w:t>
      </w:r>
      <w:r>
        <w:rPr>
          <w:spacing w:val="-1"/>
        </w:rPr>
        <w:t xml:space="preserve"> </w:t>
      </w:r>
      <w:r>
        <w:t>internacional. El</w:t>
      </w:r>
      <w:r>
        <w:rPr>
          <w:spacing w:val="-1"/>
        </w:rPr>
        <w:t xml:space="preserve"> </w:t>
      </w:r>
      <w:r>
        <w:t>concepto</w:t>
      </w:r>
      <w:r>
        <w:rPr>
          <w:spacing w:val="-1"/>
        </w:rPr>
        <w:t xml:space="preserve"> </w:t>
      </w:r>
      <w:r>
        <w:t>de</w:t>
      </w:r>
      <w:r>
        <w:rPr>
          <w:spacing w:val="-1"/>
        </w:rPr>
        <w:t xml:space="preserve"> </w:t>
      </w:r>
      <w:r>
        <w:t>discriminación indirecta</w:t>
      </w:r>
      <w:r>
        <w:rPr>
          <w:spacing w:val="-1"/>
        </w:rPr>
        <w:t xml:space="preserve"> </w:t>
      </w:r>
      <w:r>
        <w:t>–que</w:t>
      </w:r>
      <w:r>
        <w:rPr>
          <w:spacing w:val="-1"/>
        </w:rPr>
        <w:t xml:space="preserve"> </w:t>
      </w:r>
      <w:r>
        <w:t>surge</w:t>
      </w:r>
      <w:r>
        <w:rPr>
          <w:spacing w:val="-1"/>
        </w:rPr>
        <w:t xml:space="preserve"> </w:t>
      </w:r>
      <w:r>
        <w:t>cuando</w:t>
      </w:r>
      <w:r>
        <w:rPr>
          <w:spacing w:val="-1"/>
        </w:rPr>
        <w:t xml:space="preserve"> </w:t>
      </w:r>
      <w:r>
        <w:t>la</w:t>
      </w:r>
      <w:r>
        <w:rPr>
          <w:spacing w:val="-1"/>
        </w:rPr>
        <w:t xml:space="preserve"> </w:t>
      </w:r>
      <w:r>
        <w:t>aplicación</w:t>
      </w:r>
      <w:r>
        <w:rPr>
          <w:spacing w:val="-1"/>
        </w:rPr>
        <w:t xml:space="preserve"> </w:t>
      </w:r>
      <w:r>
        <w:t>de</w:t>
      </w:r>
      <w:r>
        <w:rPr>
          <w:spacing w:val="-1"/>
        </w:rPr>
        <w:t xml:space="preserve"> </w:t>
      </w:r>
      <w:r>
        <w:t>reglas</w:t>
      </w:r>
      <w:r>
        <w:rPr>
          <w:spacing w:val="-1"/>
        </w:rPr>
        <w:t xml:space="preserve"> </w:t>
      </w:r>
      <w:r>
        <w:t>universales tiene un impacto negativo desproporcionado en aquellos con una característica particular– está establecido desde hace mucho tiempo</w:t>
      </w:r>
      <w:r>
        <w:rPr>
          <w:spacing w:val="-2"/>
        </w:rPr>
        <w:t xml:space="preserve"> </w:t>
      </w:r>
      <w:r>
        <w:t>en</w:t>
      </w:r>
      <w:r>
        <w:rPr>
          <w:spacing w:val="-2"/>
        </w:rPr>
        <w:t xml:space="preserve"> </w:t>
      </w:r>
      <w:r>
        <w:t>el</w:t>
      </w:r>
      <w:r>
        <w:rPr>
          <w:spacing w:val="-2"/>
        </w:rPr>
        <w:t xml:space="preserve"> </w:t>
      </w:r>
      <w:r>
        <w:t>derecho</w:t>
      </w:r>
      <w:r>
        <w:rPr>
          <w:spacing w:val="-2"/>
        </w:rPr>
        <w:t xml:space="preserve"> </w:t>
      </w:r>
      <w:r>
        <w:t>internacional. Por</w:t>
      </w:r>
      <w:r>
        <w:rPr>
          <w:spacing w:val="-2"/>
        </w:rPr>
        <w:t xml:space="preserve"> </w:t>
      </w:r>
      <w:r>
        <w:t>otra</w:t>
      </w:r>
      <w:r>
        <w:rPr>
          <w:spacing w:val="-2"/>
        </w:rPr>
        <w:t xml:space="preserve"> </w:t>
      </w:r>
      <w:r>
        <w:t>parte,</w:t>
      </w:r>
      <w:r>
        <w:rPr>
          <w:spacing w:val="-1"/>
        </w:rPr>
        <w:t xml:space="preserve"> </w:t>
      </w:r>
      <w:r>
        <w:t>el</w:t>
      </w:r>
      <w:r>
        <w:rPr>
          <w:spacing w:val="-2"/>
        </w:rPr>
        <w:t xml:space="preserve"> </w:t>
      </w:r>
      <w:r>
        <w:t>derecho</w:t>
      </w:r>
      <w:r>
        <w:rPr>
          <w:spacing w:val="-2"/>
        </w:rPr>
        <w:t xml:space="preserve"> </w:t>
      </w:r>
      <w:r>
        <w:t>internacional</w:t>
      </w:r>
      <w:r>
        <w:rPr>
          <w:spacing w:val="-2"/>
        </w:rPr>
        <w:t xml:space="preserve"> </w:t>
      </w:r>
      <w:r>
        <w:t>ha</w:t>
      </w:r>
      <w:r>
        <w:rPr>
          <w:spacing w:val="-2"/>
        </w:rPr>
        <w:t xml:space="preserve"> </w:t>
      </w:r>
      <w:r>
        <w:t>reconocido</w:t>
      </w:r>
      <w:r>
        <w:rPr>
          <w:spacing w:val="-1"/>
        </w:rPr>
        <w:t xml:space="preserve"> </w:t>
      </w:r>
      <w:r>
        <w:t>el</w:t>
      </w:r>
      <w:r>
        <w:rPr>
          <w:spacing w:val="-2"/>
        </w:rPr>
        <w:t xml:space="preserve"> </w:t>
      </w:r>
      <w:r>
        <w:t>derecho</w:t>
      </w:r>
      <w:r>
        <w:rPr>
          <w:spacing w:val="-2"/>
        </w:rPr>
        <w:t xml:space="preserve"> </w:t>
      </w:r>
      <w:r>
        <w:t>a</w:t>
      </w:r>
      <w:r>
        <w:rPr>
          <w:spacing w:val="-2"/>
        </w:rPr>
        <w:t xml:space="preserve"> </w:t>
      </w:r>
      <w:r>
        <w:t>ajustes</w:t>
      </w:r>
      <w:r>
        <w:rPr>
          <w:spacing w:val="-2"/>
        </w:rPr>
        <w:t xml:space="preserve"> </w:t>
      </w:r>
      <w:r>
        <w:t>razonables</w:t>
      </w:r>
      <w:r>
        <w:rPr>
          <w:spacing w:val="-2"/>
        </w:rPr>
        <w:t xml:space="preserve"> </w:t>
      </w:r>
      <w:r>
        <w:t>(ajustes necesarios para permitir que las personas con discapacidad u otros grupos particulares participen en igualdad de condiciones) como un elemento esencial del derecho a la no discriminación. Estos y otros avances reflejan una progresión desde una interpretación estrecha del derecho a la no discriminación, centrada en la prohibición de las diferencias de trato, hacia un modelo inclusivo, que busca la participación igualitaria reconociendo y teniendo en cuenta las diferencias.</w:t>
      </w:r>
    </w:p>
    <w:p w14:paraId="196E137B" w14:textId="77777777" w:rsidR="0014798C" w:rsidRDefault="0014798C">
      <w:pPr>
        <w:pStyle w:val="Textoindependiente"/>
      </w:pPr>
    </w:p>
    <w:p w14:paraId="2EEE0DBB" w14:textId="77777777" w:rsidR="0014798C" w:rsidRDefault="0014798C">
      <w:pPr>
        <w:pStyle w:val="Textoindependiente"/>
        <w:spacing w:before="46"/>
      </w:pPr>
    </w:p>
    <w:p w14:paraId="7D9193AD" w14:textId="77777777" w:rsidR="0014798C" w:rsidRDefault="004E1F0B">
      <w:pPr>
        <w:pStyle w:val="Textoindependiente"/>
        <w:spacing w:line="326" w:lineRule="auto"/>
        <w:ind w:left="1106" w:right="992"/>
      </w:pPr>
      <w:r>
        <w:t>En tercer lugar, los Estados desarrollaron nuevas medidas de reparación para abordar toda la gama de daños derivados de la discriminación</w:t>
      </w:r>
      <w:r>
        <w:rPr>
          <w:spacing w:val="-1"/>
        </w:rPr>
        <w:t xml:space="preserve"> </w:t>
      </w:r>
      <w:r>
        <w:t>y</w:t>
      </w:r>
      <w:r>
        <w:rPr>
          <w:spacing w:val="-2"/>
        </w:rPr>
        <w:t xml:space="preserve"> </w:t>
      </w:r>
      <w:r>
        <w:t>establecieron</w:t>
      </w:r>
      <w:r>
        <w:rPr>
          <w:spacing w:val="-2"/>
        </w:rPr>
        <w:t xml:space="preserve"> </w:t>
      </w:r>
      <w:r>
        <w:t>las</w:t>
      </w:r>
      <w:r>
        <w:rPr>
          <w:spacing w:val="-2"/>
        </w:rPr>
        <w:t xml:space="preserve"> </w:t>
      </w:r>
      <w:r>
        <w:t>salvaguardias</w:t>
      </w:r>
      <w:r>
        <w:rPr>
          <w:spacing w:val="-2"/>
        </w:rPr>
        <w:t xml:space="preserve"> </w:t>
      </w:r>
      <w:r>
        <w:t>procesales</w:t>
      </w:r>
      <w:r>
        <w:rPr>
          <w:spacing w:val="-2"/>
        </w:rPr>
        <w:t xml:space="preserve"> </w:t>
      </w:r>
      <w:r>
        <w:t>necesarias</w:t>
      </w:r>
      <w:r>
        <w:rPr>
          <w:spacing w:val="-2"/>
        </w:rPr>
        <w:t xml:space="preserve"> </w:t>
      </w:r>
      <w:r>
        <w:t>para</w:t>
      </w:r>
      <w:r>
        <w:rPr>
          <w:spacing w:val="-2"/>
        </w:rPr>
        <w:t xml:space="preserve"> </w:t>
      </w:r>
      <w:r>
        <w:t>garantizar</w:t>
      </w:r>
      <w:r>
        <w:rPr>
          <w:spacing w:val="-2"/>
        </w:rPr>
        <w:t xml:space="preserve"> </w:t>
      </w:r>
      <w:r>
        <w:t>la</w:t>
      </w:r>
      <w:r>
        <w:rPr>
          <w:spacing w:val="-2"/>
        </w:rPr>
        <w:t xml:space="preserve"> </w:t>
      </w:r>
      <w:r>
        <w:t>eficacia</w:t>
      </w:r>
      <w:r>
        <w:rPr>
          <w:spacing w:val="-2"/>
        </w:rPr>
        <w:t xml:space="preserve"> </w:t>
      </w:r>
      <w:r>
        <w:t>de</w:t>
      </w:r>
      <w:r>
        <w:rPr>
          <w:spacing w:val="-2"/>
        </w:rPr>
        <w:t xml:space="preserve"> </w:t>
      </w:r>
      <w:r>
        <w:t>las</w:t>
      </w:r>
      <w:r>
        <w:rPr>
          <w:spacing w:val="-2"/>
        </w:rPr>
        <w:t xml:space="preserve"> </w:t>
      </w:r>
      <w:r>
        <w:t>leyes</w:t>
      </w:r>
      <w:r>
        <w:rPr>
          <w:spacing w:val="-2"/>
        </w:rPr>
        <w:t xml:space="preserve"> </w:t>
      </w:r>
      <w:r>
        <w:t>contra</w:t>
      </w:r>
      <w:r>
        <w:rPr>
          <w:spacing w:val="-2"/>
        </w:rPr>
        <w:t xml:space="preserve"> </w:t>
      </w:r>
      <w:r>
        <w:t>la</w:t>
      </w:r>
      <w:r>
        <w:rPr>
          <w:spacing w:val="-2"/>
        </w:rPr>
        <w:t xml:space="preserve"> </w:t>
      </w:r>
      <w:r>
        <w:t>discriminación. Estas medidas han sido codificadas a nivel internacional. A nivel nacional, los desafíos experimentados en la aplicación, implementación y cumplimiento de las leyes contra la discriminación han llevado al desarrollo de nuevos estándares en las áreas</w:t>
      </w:r>
    </w:p>
    <w:p w14:paraId="54DB3E65" w14:textId="77777777" w:rsidR="0014798C" w:rsidRDefault="004E1F0B">
      <w:pPr>
        <w:pStyle w:val="Textoindependiente"/>
        <w:spacing w:line="182" w:lineRule="exact"/>
        <w:ind w:left="1111"/>
      </w:pPr>
      <w:r>
        <w:t>de</w:t>
      </w:r>
      <w:r>
        <w:rPr>
          <w:spacing w:val="-6"/>
        </w:rPr>
        <w:t xml:space="preserve"> </w:t>
      </w:r>
      <w:r>
        <w:t>reparación</w:t>
      </w:r>
      <w:r>
        <w:rPr>
          <w:spacing w:val="-3"/>
        </w:rPr>
        <w:t xml:space="preserve"> </w:t>
      </w:r>
      <w:r>
        <w:t>de</w:t>
      </w:r>
      <w:r>
        <w:rPr>
          <w:spacing w:val="-4"/>
        </w:rPr>
        <w:t xml:space="preserve"> </w:t>
      </w:r>
      <w:r>
        <w:t>la</w:t>
      </w:r>
      <w:r>
        <w:rPr>
          <w:spacing w:val="-4"/>
        </w:rPr>
        <w:t xml:space="preserve"> </w:t>
      </w:r>
      <w:r>
        <w:t>discriminación</w:t>
      </w:r>
      <w:r>
        <w:rPr>
          <w:spacing w:val="-3"/>
        </w:rPr>
        <w:t xml:space="preserve"> </w:t>
      </w:r>
      <w:r>
        <w:t>y</w:t>
      </w:r>
      <w:r>
        <w:rPr>
          <w:spacing w:val="-4"/>
        </w:rPr>
        <w:t xml:space="preserve"> </w:t>
      </w:r>
      <w:r>
        <w:t>acceso</w:t>
      </w:r>
      <w:r>
        <w:rPr>
          <w:spacing w:val="-3"/>
        </w:rPr>
        <w:t xml:space="preserve"> </w:t>
      </w:r>
      <w:r>
        <w:t>a</w:t>
      </w:r>
      <w:r>
        <w:rPr>
          <w:spacing w:val="-4"/>
        </w:rPr>
        <w:t xml:space="preserve"> </w:t>
      </w:r>
      <w:r>
        <w:t>la</w:t>
      </w:r>
      <w:r>
        <w:rPr>
          <w:spacing w:val="-3"/>
        </w:rPr>
        <w:t xml:space="preserve"> </w:t>
      </w:r>
      <w:r>
        <w:t>justicia</w:t>
      </w:r>
      <w:r>
        <w:rPr>
          <w:spacing w:val="-4"/>
        </w:rPr>
        <w:t xml:space="preserve"> </w:t>
      </w:r>
      <w:r>
        <w:t>para</w:t>
      </w:r>
      <w:r>
        <w:rPr>
          <w:spacing w:val="-4"/>
        </w:rPr>
        <w:t xml:space="preserve"> </w:t>
      </w:r>
      <w:r>
        <w:t>quienes</w:t>
      </w:r>
      <w:r>
        <w:rPr>
          <w:spacing w:val="-4"/>
        </w:rPr>
        <w:t xml:space="preserve"> </w:t>
      </w:r>
      <w:r>
        <w:t>están</w:t>
      </w:r>
      <w:r>
        <w:rPr>
          <w:spacing w:val="-4"/>
        </w:rPr>
        <w:t xml:space="preserve"> </w:t>
      </w:r>
      <w:r>
        <w:t>expuestos</w:t>
      </w:r>
      <w:r>
        <w:rPr>
          <w:spacing w:val="-4"/>
        </w:rPr>
        <w:t xml:space="preserve"> </w:t>
      </w:r>
      <w:r>
        <w:t>a</w:t>
      </w:r>
      <w:r>
        <w:rPr>
          <w:spacing w:val="-4"/>
        </w:rPr>
        <w:t xml:space="preserve"> </w:t>
      </w:r>
      <w:r>
        <w:t>la</w:t>
      </w:r>
      <w:r>
        <w:rPr>
          <w:spacing w:val="-3"/>
        </w:rPr>
        <w:t xml:space="preserve"> </w:t>
      </w:r>
      <w:r>
        <w:rPr>
          <w:spacing w:val="-2"/>
        </w:rPr>
        <w:t>discriminación.</w:t>
      </w:r>
    </w:p>
    <w:p w14:paraId="79F58DEB" w14:textId="77777777" w:rsidR="0014798C" w:rsidRDefault="004E1F0B">
      <w:pPr>
        <w:pStyle w:val="Textoindependiente"/>
        <w:spacing w:before="66" w:line="326" w:lineRule="auto"/>
        <w:ind w:left="1107" w:right="1272" w:firstLine="1"/>
      </w:pPr>
      <w:r>
        <w:t>Los órganos de derechos humanos han brindado orientación sobre las medidas que los Estados deben incorporar en sus leyes para</w:t>
      </w:r>
      <w:r>
        <w:rPr>
          <w:spacing w:val="-2"/>
        </w:rPr>
        <w:t xml:space="preserve"> </w:t>
      </w:r>
      <w:r>
        <w:t>garantizar</w:t>
      </w:r>
      <w:r>
        <w:rPr>
          <w:spacing w:val="-2"/>
        </w:rPr>
        <w:t xml:space="preserve"> </w:t>
      </w:r>
      <w:r>
        <w:t>un</w:t>
      </w:r>
      <w:r>
        <w:rPr>
          <w:spacing w:val="-2"/>
        </w:rPr>
        <w:t xml:space="preserve"> </w:t>
      </w:r>
      <w:r>
        <w:t>acceso</w:t>
      </w:r>
      <w:r>
        <w:rPr>
          <w:spacing w:val="-1"/>
        </w:rPr>
        <w:t xml:space="preserve"> </w:t>
      </w:r>
      <w:r>
        <w:t>igualitario</w:t>
      </w:r>
      <w:r>
        <w:rPr>
          <w:spacing w:val="-2"/>
        </w:rPr>
        <w:t xml:space="preserve"> </w:t>
      </w:r>
      <w:r>
        <w:t>y</w:t>
      </w:r>
      <w:r>
        <w:rPr>
          <w:spacing w:val="-2"/>
        </w:rPr>
        <w:t xml:space="preserve"> </w:t>
      </w:r>
      <w:r>
        <w:t>efectivo</w:t>
      </w:r>
      <w:r>
        <w:rPr>
          <w:spacing w:val="-2"/>
        </w:rPr>
        <w:t xml:space="preserve"> </w:t>
      </w:r>
      <w:r>
        <w:t>a</w:t>
      </w:r>
      <w:r>
        <w:rPr>
          <w:spacing w:val="-2"/>
        </w:rPr>
        <w:t xml:space="preserve"> </w:t>
      </w:r>
      <w:r>
        <w:t>los</w:t>
      </w:r>
      <w:r>
        <w:rPr>
          <w:spacing w:val="-2"/>
        </w:rPr>
        <w:t xml:space="preserve"> </w:t>
      </w:r>
      <w:r>
        <w:t>tribunales,</w:t>
      </w:r>
      <w:r>
        <w:rPr>
          <w:spacing w:val="-1"/>
        </w:rPr>
        <w:t xml:space="preserve"> </w:t>
      </w:r>
      <w:r>
        <w:t>prohibir</w:t>
      </w:r>
      <w:r>
        <w:rPr>
          <w:spacing w:val="-2"/>
        </w:rPr>
        <w:t xml:space="preserve"> </w:t>
      </w:r>
      <w:r>
        <w:t>y</w:t>
      </w:r>
      <w:r>
        <w:rPr>
          <w:spacing w:val="-2"/>
        </w:rPr>
        <w:t xml:space="preserve"> </w:t>
      </w:r>
      <w:r>
        <w:t>reparar</w:t>
      </w:r>
      <w:r>
        <w:rPr>
          <w:spacing w:val="-2"/>
        </w:rPr>
        <w:t xml:space="preserve"> </w:t>
      </w:r>
      <w:r>
        <w:t>la</w:t>
      </w:r>
      <w:r>
        <w:rPr>
          <w:spacing w:val="-2"/>
        </w:rPr>
        <w:t xml:space="preserve"> </w:t>
      </w:r>
      <w:r>
        <w:t>victimización</w:t>
      </w:r>
      <w:r>
        <w:rPr>
          <w:spacing w:val="-2"/>
        </w:rPr>
        <w:t xml:space="preserve"> </w:t>
      </w:r>
      <w:r>
        <w:t>y</w:t>
      </w:r>
      <w:r>
        <w:rPr>
          <w:spacing w:val="-2"/>
        </w:rPr>
        <w:t xml:space="preserve"> </w:t>
      </w:r>
      <w:r>
        <w:t>adaptar</w:t>
      </w:r>
      <w:r>
        <w:rPr>
          <w:spacing w:val="-2"/>
        </w:rPr>
        <w:t xml:space="preserve"> </w:t>
      </w:r>
      <w:r>
        <w:t>las</w:t>
      </w:r>
      <w:r>
        <w:rPr>
          <w:spacing w:val="-2"/>
        </w:rPr>
        <w:t xml:space="preserve"> </w:t>
      </w:r>
      <w:r>
        <w:t>normas</w:t>
      </w:r>
      <w:r>
        <w:rPr>
          <w:spacing w:val="-2"/>
        </w:rPr>
        <w:t xml:space="preserve"> </w:t>
      </w:r>
      <w:r>
        <w:t>que</w:t>
      </w:r>
      <w:r>
        <w:rPr>
          <w:spacing w:val="-2"/>
        </w:rPr>
        <w:t xml:space="preserve"> </w:t>
      </w:r>
      <w:r>
        <w:t>regulan la evidencia y la prueba para garantizar la efectividad del derecho a la no discriminación</w:t>
      </w:r>
      <w:proofErr w:type="gramStart"/>
      <w:r>
        <w:t>. .</w:t>
      </w:r>
      <w:proofErr w:type="gramEnd"/>
      <w:r>
        <w:t xml:space="preserve"> En situaciones en las que dicha reclamación tiene éxito, la noción de reparación se ha ampliado para incorporar medidas diseñadas para abordar los aspectos institucionales y sociales de la discriminación.</w:t>
      </w:r>
    </w:p>
    <w:p w14:paraId="5C52596B" w14:textId="77777777" w:rsidR="0014798C" w:rsidRDefault="004E1F0B">
      <w:pPr>
        <w:pStyle w:val="Textoindependiente"/>
        <w:spacing w:before="169" w:line="326" w:lineRule="auto"/>
        <w:ind w:left="1106" w:right="1272" w:firstLine="3"/>
      </w:pPr>
      <w:r>
        <w:t>En</w:t>
      </w:r>
      <w:r>
        <w:rPr>
          <w:spacing w:val="18"/>
        </w:rPr>
        <w:t xml:space="preserve"> </w:t>
      </w:r>
      <w:r>
        <w:t>cuarto</w:t>
      </w:r>
      <w:r>
        <w:rPr>
          <w:spacing w:val="18"/>
        </w:rPr>
        <w:t xml:space="preserve"> </w:t>
      </w:r>
      <w:r>
        <w:t>lugar,</w:t>
      </w:r>
      <w:r>
        <w:rPr>
          <w:spacing w:val="18"/>
        </w:rPr>
        <w:t xml:space="preserve"> </w:t>
      </w:r>
      <w:r>
        <w:t>ha</w:t>
      </w:r>
      <w:r>
        <w:rPr>
          <w:spacing w:val="18"/>
        </w:rPr>
        <w:t xml:space="preserve"> </w:t>
      </w:r>
      <w:r>
        <w:t>habido</w:t>
      </w:r>
      <w:r>
        <w:rPr>
          <w:spacing w:val="18"/>
        </w:rPr>
        <w:t xml:space="preserve"> </w:t>
      </w:r>
      <w:r>
        <w:t>un</w:t>
      </w:r>
      <w:r>
        <w:rPr>
          <w:spacing w:val="18"/>
        </w:rPr>
        <w:t xml:space="preserve"> </w:t>
      </w:r>
      <w:r>
        <w:t>reconocimiento</w:t>
      </w:r>
      <w:r>
        <w:rPr>
          <w:spacing w:val="18"/>
        </w:rPr>
        <w:t xml:space="preserve"> </w:t>
      </w:r>
      <w:r>
        <w:t>cada</w:t>
      </w:r>
      <w:r>
        <w:rPr>
          <w:spacing w:val="18"/>
        </w:rPr>
        <w:t xml:space="preserve"> </w:t>
      </w:r>
      <w:r>
        <w:t>vez</w:t>
      </w:r>
      <w:r>
        <w:rPr>
          <w:spacing w:val="18"/>
        </w:rPr>
        <w:t xml:space="preserve"> </w:t>
      </w:r>
      <w:r>
        <w:t>mayor</w:t>
      </w:r>
      <w:r>
        <w:rPr>
          <w:spacing w:val="18"/>
        </w:rPr>
        <w:t xml:space="preserve"> </w:t>
      </w:r>
      <w:r>
        <w:t>de</w:t>
      </w:r>
      <w:r>
        <w:rPr>
          <w:spacing w:val="18"/>
        </w:rPr>
        <w:t xml:space="preserve"> </w:t>
      </w:r>
      <w:r>
        <w:t>la</w:t>
      </w:r>
      <w:r>
        <w:rPr>
          <w:spacing w:val="18"/>
        </w:rPr>
        <w:t xml:space="preserve"> </w:t>
      </w:r>
      <w:r>
        <w:t>necesidad</w:t>
      </w:r>
      <w:r>
        <w:rPr>
          <w:spacing w:val="18"/>
        </w:rPr>
        <w:t xml:space="preserve"> </w:t>
      </w:r>
      <w:r>
        <w:t>y</w:t>
      </w:r>
      <w:r>
        <w:rPr>
          <w:spacing w:val="18"/>
        </w:rPr>
        <w:t xml:space="preserve"> </w:t>
      </w:r>
      <w:r>
        <w:t>el</w:t>
      </w:r>
      <w:r>
        <w:rPr>
          <w:spacing w:val="18"/>
        </w:rPr>
        <w:t xml:space="preserve"> </w:t>
      </w:r>
      <w:r>
        <w:t>alcance</w:t>
      </w:r>
      <w:r>
        <w:rPr>
          <w:spacing w:val="18"/>
        </w:rPr>
        <w:t xml:space="preserve"> </w:t>
      </w:r>
      <w:r>
        <w:t>de</w:t>
      </w:r>
      <w:r>
        <w:rPr>
          <w:spacing w:val="18"/>
        </w:rPr>
        <w:t xml:space="preserve"> </w:t>
      </w:r>
      <w:r>
        <w:t>medidas</w:t>
      </w:r>
      <w:r>
        <w:rPr>
          <w:spacing w:val="18"/>
        </w:rPr>
        <w:t xml:space="preserve"> </w:t>
      </w:r>
      <w:r>
        <w:t>positivas</w:t>
      </w:r>
      <w:r>
        <w:rPr>
          <w:spacing w:val="18"/>
        </w:rPr>
        <w:t xml:space="preserve"> </w:t>
      </w:r>
      <w:r>
        <w:t>y</w:t>
      </w:r>
      <w:r>
        <w:rPr>
          <w:spacing w:val="18"/>
        </w:rPr>
        <w:t xml:space="preserve"> </w:t>
      </w:r>
      <w:r>
        <w:t>proactivas para garantizar la no discriminación en el disfrute de los derechos y la igualdad de participación en todos los ámbitos de la vida.</w:t>
      </w:r>
      <w:r>
        <w:rPr>
          <w:spacing w:val="80"/>
        </w:rPr>
        <w:t xml:space="preserve"> </w:t>
      </w:r>
      <w:r>
        <w:t>Esto se basa en el reconocimiento de que la eliminación de la discriminación por sí sola no abordará todas las desigualdades basadas en el estatus o la identidad, muchas de las cuales están profundamente arraigadas en estructuras sociales y económicas</w:t>
      </w:r>
    </w:p>
    <w:p w14:paraId="5E3D512F" w14:textId="77777777" w:rsidR="0014798C" w:rsidRDefault="004E1F0B">
      <w:pPr>
        <w:pStyle w:val="Textoindependiente"/>
        <w:spacing w:line="181" w:lineRule="exact"/>
        <w:ind w:left="1108"/>
      </w:pPr>
      <w:r>
        <w:t>o</w:t>
      </w:r>
      <w:r>
        <w:rPr>
          <w:spacing w:val="-7"/>
        </w:rPr>
        <w:t xml:space="preserve"> </w:t>
      </w:r>
      <w:r>
        <w:t>surgen</w:t>
      </w:r>
      <w:r>
        <w:rPr>
          <w:spacing w:val="-5"/>
        </w:rPr>
        <w:t xml:space="preserve"> </w:t>
      </w:r>
      <w:r>
        <w:t>como</w:t>
      </w:r>
      <w:r>
        <w:rPr>
          <w:spacing w:val="-5"/>
        </w:rPr>
        <w:t xml:space="preserve"> </w:t>
      </w:r>
      <w:r>
        <w:t>resultado</w:t>
      </w:r>
      <w:r>
        <w:rPr>
          <w:spacing w:val="-4"/>
        </w:rPr>
        <w:t xml:space="preserve"> </w:t>
      </w:r>
      <w:r>
        <w:t>de</w:t>
      </w:r>
      <w:r>
        <w:rPr>
          <w:spacing w:val="-5"/>
        </w:rPr>
        <w:t xml:space="preserve"> </w:t>
      </w:r>
      <w:r>
        <w:t>patrones</w:t>
      </w:r>
      <w:r>
        <w:rPr>
          <w:spacing w:val="-5"/>
        </w:rPr>
        <w:t xml:space="preserve"> </w:t>
      </w:r>
      <w:r>
        <w:t>históricos</w:t>
      </w:r>
      <w:r>
        <w:rPr>
          <w:spacing w:val="-5"/>
        </w:rPr>
        <w:t xml:space="preserve"> </w:t>
      </w:r>
      <w:r>
        <w:t>de</w:t>
      </w:r>
      <w:r>
        <w:rPr>
          <w:spacing w:val="-4"/>
        </w:rPr>
        <w:t xml:space="preserve"> </w:t>
      </w:r>
      <w:r>
        <w:t>discriminación.</w:t>
      </w:r>
      <w:r>
        <w:rPr>
          <w:spacing w:val="-3"/>
        </w:rPr>
        <w:t xml:space="preserve"> </w:t>
      </w:r>
      <w:r>
        <w:t>La</w:t>
      </w:r>
      <w:r>
        <w:rPr>
          <w:spacing w:val="-5"/>
        </w:rPr>
        <w:t xml:space="preserve"> </w:t>
      </w:r>
      <w:r>
        <w:t>acción</w:t>
      </w:r>
      <w:r>
        <w:rPr>
          <w:spacing w:val="-5"/>
        </w:rPr>
        <w:t xml:space="preserve"> </w:t>
      </w:r>
      <w:r>
        <w:t>positiva</w:t>
      </w:r>
      <w:r>
        <w:rPr>
          <w:spacing w:val="-5"/>
        </w:rPr>
        <w:t xml:space="preserve"> </w:t>
      </w:r>
      <w:r>
        <w:t>–a</w:t>
      </w:r>
      <w:r>
        <w:rPr>
          <w:spacing w:val="-4"/>
        </w:rPr>
        <w:t xml:space="preserve"> </w:t>
      </w:r>
      <w:r>
        <w:t>menudo</w:t>
      </w:r>
      <w:r>
        <w:rPr>
          <w:spacing w:val="-5"/>
        </w:rPr>
        <w:t xml:space="preserve"> </w:t>
      </w:r>
      <w:r>
        <w:t>denominada</w:t>
      </w:r>
      <w:r>
        <w:rPr>
          <w:spacing w:val="-5"/>
        </w:rPr>
        <w:t xml:space="preserve"> </w:t>
      </w:r>
      <w:r>
        <w:t>medidas</w:t>
      </w:r>
      <w:r>
        <w:rPr>
          <w:spacing w:val="-4"/>
        </w:rPr>
        <w:t xml:space="preserve"> </w:t>
      </w:r>
      <w:r>
        <w:rPr>
          <w:spacing w:val="-2"/>
        </w:rPr>
        <w:t>especiales</w:t>
      </w:r>
    </w:p>
    <w:p w14:paraId="716066D1" w14:textId="77777777" w:rsidR="0014798C" w:rsidRDefault="004E1F0B">
      <w:pPr>
        <w:pStyle w:val="Textoindependiente"/>
        <w:spacing w:before="65" w:line="326" w:lineRule="auto"/>
        <w:ind w:left="1108" w:right="1335" w:hanging="1"/>
      </w:pPr>
      <w:r>
        <w:t>o medidas especiales temporales– implica medidas selectivas y preferenciales diseñadas para abordar esas desigualdades. Si bien</w:t>
      </w:r>
      <w:r>
        <w:rPr>
          <w:spacing w:val="-2"/>
        </w:rPr>
        <w:t xml:space="preserve"> </w:t>
      </w:r>
      <w:r>
        <w:t>los</w:t>
      </w:r>
      <w:r>
        <w:rPr>
          <w:spacing w:val="-2"/>
        </w:rPr>
        <w:t xml:space="preserve"> </w:t>
      </w:r>
      <w:r>
        <w:t>primeros</w:t>
      </w:r>
      <w:r>
        <w:rPr>
          <w:spacing w:val="-2"/>
        </w:rPr>
        <w:t xml:space="preserve"> </w:t>
      </w:r>
      <w:r>
        <w:t>instrumentos</w:t>
      </w:r>
      <w:r>
        <w:rPr>
          <w:spacing w:val="-2"/>
        </w:rPr>
        <w:t xml:space="preserve"> </w:t>
      </w:r>
      <w:r>
        <w:t>de</w:t>
      </w:r>
      <w:r>
        <w:rPr>
          <w:spacing w:val="-2"/>
        </w:rPr>
        <w:t xml:space="preserve"> </w:t>
      </w:r>
      <w:r>
        <w:t>derechos</w:t>
      </w:r>
      <w:r>
        <w:rPr>
          <w:spacing w:val="-2"/>
        </w:rPr>
        <w:t xml:space="preserve"> </w:t>
      </w:r>
      <w:r>
        <w:t>humanos</w:t>
      </w:r>
      <w:r>
        <w:rPr>
          <w:spacing w:val="-2"/>
        </w:rPr>
        <w:t xml:space="preserve"> </w:t>
      </w:r>
      <w:r>
        <w:t>reconocían</w:t>
      </w:r>
      <w:r>
        <w:rPr>
          <w:spacing w:val="-2"/>
        </w:rPr>
        <w:t xml:space="preserve"> </w:t>
      </w:r>
      <w:r>
        <w:t>que</w:t>
      </w:r>
      <w:r>
        <w:rPr>
          <w:spacing w:val="-2"/>
        </w:rPr>
        <w:t xml:space="preserve"> </w:t>
      </w:r>
      <w:r>
        <w:t>los</w:t>
      </w:r>
      <w:r>
        <w:rPr>
          <w:spacing w:val="-2"/>
        </w:rPr>
        <w:t xml:space="preserve"> </w:t>
      </w:r>
      <w:r>
        <w:t>Estados</w:t>
      </w:r>
      <w:r>
        <w:rPr>
          <w:spacing w:val="-2"/>
        </w:rPr>
        <w:t xml:space="preserve"> </w:t>
      </w:r>
      <w:r>
        <w:t>podían</w:t>
      </w:r>
      <w:r>
        <w:rPr>
          <w:spacing w:val="-2"/>
        </w:rPr>
        <w:t xml:space="preserve"> </w:t>
      </w:r>
      <w:r>
        <w:t>adoptar</w:t>
      </w:r>
      <w:r>
        <w:rPr>
          <w:spacing w:val="-2"/>
        </w:rPr>
        <w:t xml:space="preserve"> </w:t>
      </w:r>
      <w:r>
        <w:t>medidas</w:t>
      </w:r>
      <w:r>
        <w:rPr>
          <w:spacing w:val="-2"/>
        </w:rPr>
        <w:t xml:space="preserve"> </w:t>
      </w:r>
      <w:r>
        <w:t>específicas</w:t>
      </w:r>
      <w:r>
        <w:rPr>
          <w:spacing w:val="-2"/>
        </w:rPr>
        <w:t xml:space="preserve"> </w:t>
      </w:r>
      <w:r>
        <w:t>diseñadas para corregir las desventajas y aumentar la igualdad de determinadas personas y grupos, posteriormente se ha establecido que esas medidas no son simplemente permisibles sino necesarias. En términos más generales, desde principios de siglo ha habido un reconocimiento cada vez mayor de que lograr la igualdad sustantiva requiere una estrategia holística e integral.</w:t>
      </w:r>
    </w:p>
    <w:p w14:paraId="1A554B9A" w14:textId="77777777" w:rsidR="0014798C" w:rsidRDefault="0014798C">
      <w:pPr>
        <w:pStyle w:val="Textoindependiente"/>
        <w:rPr>
          <w:sz w:val="14"/>
        </w:rPr>
      </w:pPr>
    </w:p>
    <w:p w14:paraId="5542072B" w14:textId="77777777" w:rsidR="0014798C" w:rsidRDefault="0014798C">
      <w:pPr>
        <w:pStyle w:val="Textoindependiente"/>
        <w:rPr>
          <w:sz w:val="14"/>
        </w:rPr>
      </w:pPr>
    </w:p>
    <w:p w14:paraId="6119ED9C" w14:textId="77777777" w:rsidR="0014798C" w:rsidRDefault="0014798C">
      <w:pPr>
        <w:pStyle w:val="Textoindependiente"/>
        <w:rPr>
          <w:sz w:val="14"/>
        </w:rPr>
      </w:pPr>
    </w:p>
    <w:p w14:paraId="3ABD7694" w14:textId="77777777" w:rsidR="0014798C" w:rsidRDefault="0014798C">
      <w:pPr>
        <w:pStyle w:val="Textoindependiente"/>
        <w:rPr>
          <w:sz w:val="14"/>
        </w:rPr>
      </w:pPr>
    </w:p>
    <w:p w14:paraId="117ADDBE" w14:textId="77777777" w:rsidR="0014798C" w:rsidRDefault="0014798C">
      <w:pPr>
        <w:pStyle w:val="Textoindependiente"/>
        <w:rPr>
          <w:sz w:val="14"/>
        </w:rPr>
      </w:pPr>
    </w:p>
    <w:p w14:paraId="31996A90" w14:textId="77777777" w:rsidR="0014798C" w:rsidRDefault="0014798C">
      <w:pPr>
        <w:pStyle w:val="Textoindependiente"/>
        <w:rPr>
          <w:sz w:val="14"/>
        </w:rPr>
      </w:pPr>
    </w:p>
    <w:p w14:paraId="6599D40D" w14:textId="77777777" w:rsidR="0014798C" w:rsidRDefault="0014798C">
      <w:pPr>
        <w:pStyle w:val="Textoindependiente"/>
        <w:spacing w:before="117"/>
        <w:rPr>
          <w:sz w:val="14"/>
        </w:rPr>
      </w:pPr>
    </w:p>
    <w:p w14:paraId="5968EA56" w14:textId="77777777" w:rsidR="0014798C" w:rsidRDefault="004E1F0B">
      <w:pPr>
        <w:ind w:left="484"/>
        <w:rPr>
          <w:sz w:val="14"/>
        </w:rPr>
      </w:pPr>
      <w:r>
        <w:rPr>
          <w:spacing w:val="-4"/>
          <w:w w:val="105"/>
          <w:sz w:val="14"/>
        </w:rPr>
        <w:t>XXII</w:t>
      </w:r>
    </w:p>
    <w:p w14:paraId="28F2C97F" w14:textId="77777777" w:rsidR="0014798C" w:rsidRDefault="0014798C">
      <w:pPr>
        <w:rPr>
          <w:sz w:val="14"/>
        </w:rPr>
        <w:sectPr w:rsidR="0014798C" w:rsidSect="00F265E4">
          <w:headerReference w:type="default" r:id="rId40"/>
          <w:pgSz w:w="11900" w:h="16820"/>
          <w:pgMar w:top="40" w:right="0" w:bottom="280" w:left="200" w:header="0" w:footer="0" w:gutter="0"/>
          <w:cols w:space="720"/>
        </w:sectPr>
      </w:pPr>
    </w:p>
    <w:p w14:paraId="0528E854" w14:textId="77777777" w:rsidR="0014798C" w:rsidRDefault="0014798C">
      <w:pPr>
        <w:pStyle w:val="Textoindependiente"/>
        <w:spacing w:before="51"/>
        <w:rPr>
          <w:sz w:val="14"/>
        </w:rPr>
      </w:pPr>
    </w:p>
    <w:p w14:paraId="0D65942B" w14:textId="77777777" w:rsidR="0014798C" w:rsidRDefault="004E1F0B">
      <w:pPr>
        <w:ind w:left="1114"/>
        <w:rPr>
          <w:sz w:val="14"/>
        </w:rPr>
      </w:pPr>
      <w:r>
        <w:rPr>
          <w:color w:val="0075BF"/>
          <w:spacing w:val="-2"/>
          <w:sz w:val="14"/>
        </w:rPr>
        <w:t>INTRODUCCIÓN</w:t>
      </w:r>
    </w:p>
    <w:p w14:paraId="0CF1EB33" w14:textId="77777777" w:rsidR="0014798C" w:rsidRDefault="0014798C">
      <w:pPr>
        <w:pStyle w:val="Textoindependiente"/>
        <w:rPr>
          <w:sz w:val="19"/>
        </w:rPr>
      </w:pPr>
    </w:p>
    <w:p w14:paraId="37D8B222" w14:textId="77777777" w:rsidR="0014798C" w:rsidRDefault="0014798C">
      <w:pPr>
        <w:pStyle w:val="Textoindependiente"/>
        <w:rPr>
          <w:sz w:val="19"/>
        </w:rPr>
      </w:pPr>
    </w:p>
    <w:p w14:paraId="0F369B72" w14:textId="77777777" w:rsidR="0014798C" w:rsidRDefault="0014798C">
      <w:pPr>
        <w:pStyle w:val="Textoindependiente"/>
        <w:rPr>
          <w:sz w:val="19"/>
        </w:rPr>
      </w:pPr>
    </w:p>
    <w:p w14:paraId="3CF616C4" w14:textId="77777777" w:rsidR="0014798C" w:rsidRDefault="0014798C">
      <w:pPr>
        <w:pStyle w:val="Textoindependiente"/>
        <w:spacing w:before="67"/>
        <w:rPr>
          <w:sz w:val="19"/>
        </w:rPr>
      </w:pPr>
    </w:p>
    <w:p w14:paraId="47D43971" w14:textId="77777777" w:rsidR="0014798C" w:rsidRDefault="004E1F0B">
      <w:pPr>
        <w:spacing w:line="273" w:lineRule="auto"/>
        <w:ind w:left="1111" w:right="1335"/>
        <w:rPr>
          <w:sz w:val="19"/>
        </w:rPr>
      </w:pPr>
      <w:r>
        <w:rPr>
          <w:w w:val="105"/>
          <w:sz w:val="19"/>
        </w:rPr>
        <w:t>enfoque</w:t>
      </w:r>
      <w:r>
        <w:rPr>
          <w:spacing w:val="-9"/>
          <w:w w:val="105"/>
          <w:sz w:val="19"/>
        </w:rPr>
        <w:t xml:space="preserve"> </w:t>
      </w:r>
      <w:r>
        <w:rPr>
          <w:w w:val="105"/>
          <w:sz w:val="19"/>
        </w:rPr>
        <w:t>que</w:t>
      </w:r>
      <w:r>
        <w:rPr>
          <w:spacing w:val="-9"/>
          <w:w w:val="105"/>
          <w:sz w:val="19"/>
        </w:rPr>
        <w:t xml:space="preserve"> </w:t>
      </w:r>
      <w:r>
        <w:rPr>
          <w:w w:val="105"/>
          <w:sz w:val="19"/>
        </w:rPr>
        <w:t>va</w:t>
      </w:r>
      <w:r>
        <w:rPr>
          <w:spacing w:val="-9"/>
          <w:w w:val="105"/>
          <w:sz w:val="19"/>
        </w:rPr>
        <w:t xml:space="preserve"> </w:t>
      </w:r>
      <w:r>
        <w:rPr>
          <w:w w:val="105"/>
          <w:sz w:val="19"/>
        </w:rPr>
        <w:t>más</w:t>
      </w:r>
      <w:r>
        <w:rPr>
          <w:spacing w:val="-9"/>
          <w:w w:val="105"/>
          <w:sz w:val="19"/>
        </w:rPr>
        <w:t xml:space="preserve"> </w:t>
      </w:r>
      <w:r>
        <w:rPr>
          <w:w w:val="105"/>
          <w:sz w:val="19"/>
        </w:rPr>
        <w:t>allá</w:t>
      </w:r>
      <w:r>
        <w:rPr>
          <w:spacing w:val="-9"/>
          <w:w w:val="105"/>
          <w:sz w:val="19"/>
        </w:rPr>
        <w:t xml:space="preserve"> </w:t>
      </w:r>
      <w:r>
        <w:rPr>
          <w:w w:val="105"/>
          <w:sz w:val="19"/>
        </w:rPr>
        <w:t>de</w:t>
      </w:r>
      <w:r>
        <w:rPr>
          <w:spacing w:val="-9"/>
          <w:w w:val="105"/>
          <w:sz w:val="19"/>
        </w:rPr>
        <w:t xml:space="preserve"> </w:t>
      </w:r>
      <w:r>
        <w:rPr>
          <w:w w:val="105"/>
          <w:sz w:val="19"/>
        </w:rPr>
        <w:t>la</w:t>
      </w:r>
      <w:r>
        <w:rPr>
          <w:spacing w:val="-9"/>
          <w:w w:val="105"/>
          <w:sz w:val="19"/>
        </w:rPr>
        <w:t xml:space="preserve"> </w:t>
      </w:r>
      <w:r>
        <w:rPr>
          <w:w w:val="105"/>
          <w:sz w:val="19"/>
        </w:rPr>
        <w:t>prohibición</w:t>
      </w:r>
      <w:r>
        <w:rPr>
          <w:spacing w:val="-9"/>
          <w:w w:val="105"/>
          <w:sz w:val="19"/>
        </w:rPr>
        <w:t xml:space="preserve"> </w:t>
      </w:r>
      <w:r>
        <w:rPr>
          <w:w w:val="105"/>
          <w:sz w:val="19"/>
        </w:rPr>
        <w:t>de</w:t>
      </w:r>
      <w:r>
        <w:rPr>
          <w:spacing w:val="-9"/>
          <w:w w:val="105"/>
          <w:sz w:val="19"/>
        </w:rPr>
        <w:t xml:space="preserve"> </w:t>
      </w:r>
      <w:r>
        <w:rPr>
          <w:w w:val="105"/>
          <w:sz w:val="19"/>
        </w:rPr>
        <w:t>la</w:t>
      </w:r>
      <w:r>
        <w:rPr>
          <w:spacing w:val="-9"/>
          <w:w w:val="105"/>
          <w:sz w:val="19"/>
        </w:rPr>
        <w:t xml:space="preserve"> </w:t>
      </w:r>
      <w:r>
        <w:rPr>
          <w:w w:val="105"/>
          <w:sz w:val="19"/>
        </w:rPr>
        <w:t>discriminación</w:t>
      </w:r>
      <w:r>
        <w:rPr>
          <w:spacing w:val="-9"/>
          <w:w w:val="105"/>
          <w:sz w:val="19"/>
        </w:rPr>
        <w:t xml:space="preserve"> </w:t>
      </w:r>
      <w:r>
        <w:rPr>
          <w:w w:val="105"/>
          <w:sz w:val="19"/>
        </w:rPr>
        <w:t>e</w:t>
      </w:r>
      <w:r>
        <w:rPr>
          <w:spacing w:val="-9"/>
          <w:w w:val="105"/>
          <w:sz w:val="19"/>
        </w:rPr>
        <w:t xml:space="preserve"> </w:t>
      </w:r>
      <w:r>
        <w:rPr>
          <w:w w:val="105"/>
          <w:sz w:val="19"/>
        </w:rPr>
        <w:t>incluye</w:t>
      </w:r>
      <w:r>
        <w:rPr>
          <w:spacing w:val="-9"/>
          <w:w w:val="105"/>
          <w:sz w:val="19"/>
        </w:rPr>
        <w:t xml:space="preserve"> </w:t>
      </w:r>
      <w:r>
        <w:rPr>
          <w:w w:val="105"/>
          <w:sz w:val="19"/>
        </w:rPr>
        <w:t>la</w:t>
      </w:r>
      <w:r>
        <w:rPr>
          <w:spacing w:val="-9"/>
          <w:w w:val="105"/>
          <w:sz w:val="19"/>
        </w:rPr>
        <w:t xml:space="preserve"> </w:t>
      </w:r>
      <w:r>
        <w:rPr>
          <w:w w:val="105"/>
          <w:sz w:val="19"/>
        </w:rPr>
        <w:t>adopción</w:t>
      </w:r>
      <w:r>
        <w:rPr>
          <w:spacing w:val="-9"/>
          <w:w w:val="105"/>
          <w:sz w:val="19"/>
        </w:rPr>
        <w:t xml:space="preserve"> </w:t>
      </w:r>
      <w:r>
        <w:rPr>
          <w:w w:val="105"/>
          <w:sz w:val="19"/>
        </w:rPr>
        <w:t>de</w:t>
      </w:r>
      <w:r>
        <w:rPr>
          <w:spacing w:val="-9"/>
          <w:w w:val="105"/>
          <w:sz w:val="19"/>
        </w:rPr>
        <w:t xml:space="preserve"> </w:t>
      </w:r>
      <w:r>
        <w:rPr>
          <w:w w:val="105"/>
          <w:sz w:val="19"/>
        </w:rPr>
        <w:t>una</w:t>
      </w:r>
      <w:r>
        <w:rPr>
          <w:spacing w:val="-9"/>
          <w:w w:val="105"/>
          <w:sz w:val="19"/>
        </w:rPr>
        <w:t xml:space="preserve"> </w:t>
      </w:r>
      <w:r>
        <w:rPr>
          <w:w w:val="105"/>
          <w:sz w:val="19"/>
        </w:rPr>
        <w:t>amplia</w:t>
      </w:r>
      <w:r>
        <w:rPr>
          <w:spacing w:val="-9"/>
          <w:w w:val="105"/>
          <w:sz w:val="19"/>
        </w:rPr>
        <w:t xml:space="preserve"> </w:t>
      </w:r>
      <w:r>
        <w:rPr>
          <w:w w:val="105"/>
          <w:sz w:val="19"/>
        </w:rPr>
        <w:t>gama de otras medidas proactivas.</w:t>
      </w:r>
    </w:p>
    <w:p w14:paraId="33AC6E88" w14:textId="77777777" w:rsidR="0014798C" w:rsidRDefault="0014798C">
      <w:pPr>
        <w:pStyle w:val="Textoindependiente"/>
        <w:spacing w:before="5"/>
      </w:pPr>
    </w:p>
    <w:p w14:paraId="79192002" w14:textId="77777777" w:rsidR="0014798C" w:rsidRDefault="004E1F0B">
      <w:pPr>
        <w:pStyle w:val="Textoindependiente"/>
        <w:spacing w:before="1" w:line="326" w:lineRule="auto"/>
        <w:ind w:left="1107" w:right="1285" w:hanging="1"/>
      </w:pPr>
      <w:r>
        <w:t>Una quinta área clave se refiere al papel de la ley a la hora de abordar las fuerzas sociales (prejuicios, estereotipos y estigmas)</w:t>
      </w:r>
      <w:r>
        <w:rPr>
          <w:spacing w:val="40"/>
        </w:rPr>
        <w:t xml:space="preserve"> </w:t>
      </w:r>
      <w:r>
        <w:t>que sustentan e impulsan muchas manifestaciones de discriminación. Por un lado, el derecho internacional siempre ha reconocido que la discriminación puede ser tanto intencional como no intencional. En consecuencia, las definiciones de discriminación se centran en el vínculo causal entre las características de una persona y el daño que ha experimentado, en lugar de evaluar la motivación de la parte discriminadora. Por otro lado, el derecho internacional reconoce obligaciones del Estado de abordar las causas profundas de la discriminación, a través de obligaciones de tomar medidas para combatir los prejuicios, los estereotipos,</w:t>
      </w:r>
    </w:p>
    <w:p w14:paraId="53EDED4D" w14:textId="77777777" w:rsidR="0014798C" w:rsidRDefault="004E1F0B">
      <w:pPr>
        <w:pStyle w:val="Textoindependiente"/>
        <w:spacing w:line="326" w:lineRule="auto"/>
        <w:ind w:left="1109" w:right="1272" w:firstLine="2"/>
      </w:pPr>
      <w:r>
        <w:t>el estigma y otras</w:t>
      </w:r>
      <w:r>
        <w:rPr>
          <w:spacing w:val="-1"/>
        </w:rPr>
        <w:t xml:space="preserve"> </w:t>
      </w:r>
      <w:r>
        <w:t>prácticas</w:t>
      </w:r>
      <w:r>
        <w:rPr>
          <w:spacing w:val="-1"/>
        </w:rPr>
        <w:t xml:space="preserve"> </w:t>
      </w:r>
      <w:r>
        <w:t>y patrones</w:t>
      </w:r>
      <w:r>
        <w:rPr>
          <w:spacing w:val="-1"/>
        </w:rPr>
        <w:t xml:space="preserve"> </w:t>
      </w:r>
      <w:r>
        <w:t>de comportamiento</w:t>
      </w:r>
      <w:r>
        <w:rPr>
          <w:spacing w:val="-1"/>
        </w:rPr>
        <w:t xml:space="preserve"> </w:t>
      </w:r>
      <w:r>
        <w:t>sociales o culturales</w:t>
      </w:r>
      <w:r>
        <w:rPr>
          <w:spacing w:val="-1"/>
        </w:rPr>
        <w:t xml:space="preserve"> </w:t>
      </w:r>
      <w:r>
        <w:t>que socavan la igualdad. Como en otras</w:t>
      </w:r>
      <w:r>
        <w:rPr>
          <w:spacing w:val="-1"/>
        </w:rPr>
        <w:t xml:space="preserve"> </w:t>
      </w:r>
      <w:r>
        <w:t>áreas, si bien estas obligaciones están reconocidas en los primeros instrumentos de derechos humanos, en los últimos años el sistema internacional de derechos humanos ha prestado cada vez más atención al papel de los prejuicios, los estereotipos</w:t>
      </w:r>
      <w:r>
        <w:rPr>
          <w:spacing w:val="-1"/>
        </w:rPr>
        <w:t xml:space="preserve"> </w:t>
      </w:r>
      <w:r>
        <w:t>y el estigma, y ha desarrollado normas claras para los Estados. En última instancia, existe un reconocimiento cada vez mayor de que el derecho internacional de los derechos humanos requiere lo positivo: la celebración de la diversidad.</w:t>
      </w:r>
    </w:p>
    <w:p w14:paraId="69B5977C" w14:textId="77777777" w:rsidR="0014798C" w:rsidRDefault="0014798C">
      <w:pPr>
        <w:pStyle w:val="Textoindependiente"/>
      </w:pPr>
    </w:p>
    <w:p w14:paraId="76815B31" w14:textId="77777777" w:rsidR="0014798C" w:rsidRDefault="0014798C">
      <w:pPr>
        <w:pStyle w:val="Textoindependiente"/>
        <w:spacing w:before="46"/>
      </w:pPr>
    </w:p>
    <w:p w14:paraId="5B945D43" w14:textId="77777777" w:rsidR="0014798C" w:rsidRDefault="004E1F0B">
      <w:pPr>
        <w:pStyle w:val="Textoindependiente"/>
        <w:spacing w:line="326" w:lineRule="auto"/>
        <w:ind w:left="1107" w:right="1314" w:firstLine="2"/>
      </w:pPr>
      <w:r>
        <w:t>Cada uno de estos</w:t>
      </w:r>
      <w:r>
        <w:rPr>
          <w:spacing w:val="-1"/>
        </w:rPr>
        <w:t xml:space="preserve"> </w:t>
      </w:r>
      <w:r>
        <w:t>avances refleja una creciente conciencia de toda</w:t>
      </w:r>
      <w:r>
        <w:rPr>
          <w:spacing w:val="-1"/>
        </w:rPr>
        <w:t xml:space="preserve"> </w:t>
      </w:r>
      <w:r>
        <w:t>la gama de formas</w:t>
      </w:r>
      <w:r>
        <w:rPr>
          <w:spacing w:val="-1"/>
        </w:rPr>
        <w:t xml:space="preserve"> </w:t>
      </w:r>
      <w:r>
        <w:t>en que se produce la discriminación y una mayor comprensión de cómo las diferentes formas de discriminación causan y agravan la desigualdad. Cada uno refleja un reconocimiento de que proteger y hacer efectivo el derecho a la no discriminación requiere la codificación de conceptos y definiciones</w:t>
      </w:r>
      <w:r>
        <w:rPr>
          <w:spacing w:val="-1"/>
        </w:rPr>
        <w:t xml:space="preserve"> </w:t>
      </w:r>
      <w:r>
        <w:t>legales, procedimientos</w:t>
      </w:r>
      <w:r>
        <w:rPr>
          <w:spacing w:val="-1"/>
        </w:rPr>
        <w:t xml:space="preserve"> </w:t>
      </w:r>
      <w:r>
        <w:t>y reglas, derechos y obligaciones, de manera que requieran una legislación específica. Como resultado, en los decenios transcurridos desde el inicio del milenio, ha surgido un consenso creciente y cada vez más acelerado</w:t>
      </w:r>
      <w:r>
        <w:rPr>
          <w:spacing w:val="40"/>
        </w:rPr>
        <w:t xml:space="preserve"> </w:t>
      </w:r>
      <w:r>
        <w:t>en el sentido de que los Estados sólo pueden eliminar plena y eficazmente todas las formas de discriminación mediante la adopción, el cumplimiento y la aplicación de leyes integrales contra la discriminación.</w:t>
      </w:r>
    </w:p>
    <w:p w14:paraId="65CAB3EC" w14:textId="77777777" w:rsidR="0014798C" w:rsidRDefault="004E1F0B">
      <w:pPr>
        <w:spacing w:before="256"/>
        <w:ind w:left="1106"/>
        <w:rPr>
          <w:sz w:val="27"/>
        </w:rPr>
      </w:pPr>
      <w:r>
        <w:rPr>
          <w:color w:val="0075BF"/>
          <w:sz w:val="27"/>
        </w:rPr>
        <w:t>Derechos</w:t>
      </w:r>
      <w:r>
        <w:rPr>
          <w:color w:val="0075BF"/>
          <w:spacing w:val="-2"/>
          <w:sz w:val="27"/>
        </w:rPr>
        <w:t xml:space="preserve"> </w:t>
      </w:r>
      <w:r>
        <w:rPr>
          <w:color w:val="0075BF"/>
          <w:sz w:val="27"/>
        </w:rPr>
        <w:t>de</w:t>
      </w:r>
      <w:r>
        <w:rPr>
          <w:color w:val="0075BF"/>
          <w:spacing w:val="-2"/>
          <w:sz w:val="27"/>
        </w:rPr>
        <w:t xml:space="preserve"> </w:t>
      </w:r>
      <w:r>
        <w:rPr>
          <w:color w:val="0075BF"/>
          <w:sz w:val="27"/>
        </w:rPr>
        <w:t>las</w:t>
      </w:r>
      <w:r>
        <w:rPr>
          <w:color w:val="0075BF"/>
          <w:spacing w:val="-1"/>
          <w:sz w:val="27"/>
        </w:rPr>
        <w:t xml:space="preserve"> </w:t>
      </w:r>
      <w:r>
        <w:rPr>
          <w:color w:val="0075BF"/>
          <w:sz w:val="27"/>
        </w:rPr>
        <w:t>minorías</w:t>
      </w:r>
      <w:r>
        <w:rPr>
          <w:color w:val="0075BF"/>
          <w:spacing w:val="-2"/>
          <w:sz w:val="27"/>
        </w:rPr>
        <w:t xml:space="preserve"> </w:t>
      </w:r>
      <w:r>
        <w:rPr>
          <w:color w:val="0075BF"/>
          <w:sz w:val="27"/>
        </w:rPr>
        <w:t>y</w:t>
      </w:r>
      <w:r>
        <w:rPr>
          <w:color w:val="0075BF"/>
          <w:spacing w:val="-2"/>
          <w:sz w:val="27"/>
        </w:rPr>
        <w:t xml:space="preserve"> </w:t>
      </w:r>
      <w:r>
        <w:rPr>
          <w:color w:val="0075BF"/>
          <w:sz w:val="27"/>
        </w:rPr>
        <w:t>prohibición</w:t>
      </w:r>
      <w:r>
        <w:rPr>
          <w:color w:val="0075BF"/>
          <w:spacing w:val="-1"/>
          <w:sz w:val="27"/>
        </w:rPr>
        <w:t xml:space="preserve"> </w:t>
      </w:r>
      <w:r>
        <w:rPr>
          <w:color w:val="0075BF"/>
          <w:sz w:val="27"/>
        </w:rPr>
        <w:t>de</w:t>
      </w:r>
      <w:r>
        <w:rPr>
          <w:color w:val="0075BF"/>
          <w:spacing w:val="-2"/>
          <w:sz w:val="27"/>
        </w:rPr>
        <w:t xml:space="preserve"> </w:t>
      </w:r>
      <w:r>
        <w:rPr>
          <w:color w:val="0075BF"/>
          <w:sz w:val="27"/>
        </w:rPr>
        <w:t>la</w:t>
      </w:r>
      <w:r>
        <w:rPr>
          <w:color w:val="0075BF"/>
          <w:spacing w:val="-1"/>
          <w:sz w:val="27"/>
        </w:rPr>
        <w:t xml:space="preserve"> </w:t>
      </w:r>
      <w:r>
        <w:rPr>
          <w:color w:val="0075BF"/>
          <w:spacing w:val="-2"/>
          <w:sz w:val="27"/>
        </w:rPr>
        <w:t>discriminación</w:t>
      </w:r>
    </w:p>
    <w:p w14:paraId="2C6543BF" w14:textId="77777777" w:rsidR="0014798C" w:rsidRDefault="0014798C">
      <w:pPr>
        <w:pStyle w:val="Textoindependiente"/>
        <w:spacing w:before="42"/>
      </w:pPr>
    </w:p>
    <w:p w14:paraId="43E4B627" w14:textId="77777777" w:rsidR="0014798C" w:rsidRDefault="004E1F0B">
      <w:pPr>
        <w:pStyle w:val="Textoindependiente"/>
        <w:spacing w:line="326" w:lineRule="auto"/>
        <w:ind w:left="1108" w:right="1272" w:hanging="2"/>
      </w:pPr>
      <w:r>
        <w:t>El</w:t>
      </w:r>
      <w:r>
        <w:rPr>
          <w:spacing w:val="-1"/>
        </w:rPr>
        <w:t xml:space="preserve"> </w:t>
      </w:r>
      <w:r>
        <w:t>derecho a la no discriminación es fundamental</w:t>
      </w:r>
      <w:r>
        <w:rPr>
          <w:spacing w:val="-1"/>
        </w:rPr>
        <w:t xml:space="preserve"> </w:t>
      </w:r>
      <w:r>
        <w:t>para el disfrute</w:t>
      </w:r>
      <w:r>
        <w:rPr>
          <w:spacing w:val="-1"/>
        </w:rPr>
        <w:t xml:space="preserve"> </w:t>
      </w:r>
      <w:r>
        <w:t>de los derechos de las minorías</w:t>
      </w:r>
      <w:r>
        <w:rPr>
          <w:spacing w:val="-1"/>
        </w:rPr>
        <w:t xml:space="preserve"> </w:t>
      </w:r>
      <w:r>
        <w:t>y, como tal, la promulgación de una legislación integral contra la discriminación5 es un paso esencial para su realización.</w:t>
      </w:r>
    </w:p>
    <w:p w14:paraId="382CBFC0" w14:textId="77777777" w:rsidR="0014798C" w:rsidRDefault="004E1F0B">
      <w:pPr>
        <w:pStyle w:val="Textoindependiente"/>
        <w:spacing w:before="169" w:line="326" w:lineRule="auto"/>
        <w:ind w:left="1108" w:right="1272"/>
      </w:pPr>
      <w:r>
        <w:t>En</w:t>
      </w:r>
      <w:r>
        <w:rPr>
          <w:spacing w:val="-1"/>
        </w:rPr>
        <w:t xml:space="preserve"> </w:t>
      </w:r>
      <w:r>
        <w:t>su resolución más reciente sobre los derechos de las personas pertenecientes</w:t>
      </w:r>
      <w:r>
        <w:rPr>
          <w:spacing w:val="-1"/>
        </w:rPr>
        <w:t xml:space="preserve"> </w:t>
      </w:r>
      <w:r>
        <w:t>a minorías</w:t>
      </w:r>
      <w:r>
        <w:rPr>
          <w:spacing w:val="-1"/>
        </w:rPr>
        <w:t xml:space="preserve"> </w:t>
      </w:r>
      <w:r>
        <w:t>nacionales</w:t>
      </w:r>
      <w:r>
        <w:rPr>
          <w:spacing w:val="-1"/>
        </w:rPr>
        <w:t xml:space="preserve"> </w:t>
      </w:r>
      <w:r>
        <w:t>o étnicas, religiosas</w:t>
      </w:r>
      <w:r>
        <w:rPr>
          <w:spacing w:val="-1"/>
        </w:rPr>
        <w:t xml:space="preserve"> </w:t>
      </w:r>
      <w:r>
        <w:t>y lingüísticas, el Consejo de Derechos Humanos afirmó, entre otras cosas:</w:t>
      </w:r>
    </w:p>
    <w:p w14:paraId="27C4EA77" w14:textId="77777777" w:rsidR="0014798C" w:rsidRDefault="004E1F0B">
      <w:pPr>
        <w:pStyle w:val="Textoindependiente"/>
        <w:spacing w:before="169" w:line="326" w:lineRule="auto"/>
        <w:ind w:left="1674" w:right="1463" w:hanging="1"/>
      </w:pPr>
      <w:r>
        <w:rPr>
          <w:color w:val="0075BF"/>
        </w:rPr>
        <w:t>la necesidad de intensificar los esfuerzos para alcanzar el objetivo de la plena realización de los derechos de las personas pertenecientes</w:t>
      </w:r>
      <w:r>
        <w:rPr>
          <w:color w:val="0075BF"/>
          <w:spacing w:val="-1"/>
        </w:rPr>
        <w:t xml:space="preserve"> </w:t>
      </w:r>
      <w:r>
        <w:rPr>
          <w:color w:val="0075BF"/>
        </w:rPr>
        <w:t>a minorías</w:t>
      </w:r>
      <w:r>
        <w:rPr>
          <w:color w:val="0075BF"/>
          <w:spacing w:val="-1"/>
        </w:rPr>
        <w:t xml:space="preserve"> </w:t>
      </w:r>
      <w:r>
        <w:rPr>
          <w:color w:val="0075BF"/>
        </w:rPr>
        <w:t>nacionales</w:t>
      </w:r>
      <w:r>
        <w:rPr>
          <w:color w:val="0075BF"/>
          <w:spacing w:val="-1"/>
        </w:rPr>
        <w:t xml:space="preserve"> </w:t>
      </w:r>
      <w:r>
        <w:rPr>
          <w:color w:val="0075BF"/>
        </w:rPr>
        <w:t>o étnicas, religiosas</w:t>
      </w:r>
      <w:r>
        <w:rPr>
          <w:color w:val="0075BF"/>
          <w:spacing w:val="-1"/>
        </w:rPr>
        <w:t xml:space="preserve"> </w:t>
      </w:r>
      <w:r>
        <w:rPr>
          <w:color w:val="0075BF"/>
        </w:rPr>
        <w:t>y lingüísticas, incluso abordando sus condiciones económicas y sociales y su marginación, y poner fin a cualquier tipo de discriminación contra ellas,</w:t>
      </w:r>
    </w:p>
    <w:p w14:paraId="4863962C" w14:textId="77777777" w:rsidR="0014798C" w:rsidRDefault="004E1F0B">
      <w:pPr>
        <w:spacing w:before="12"/>
        <w:ind w:left="1687"/>
        <w:rPr>
          <w:sz w:val="16"/>
        </w:rPr>
      </w:pPr>
      <w:r>
        <w:rPr>
          <w:color w:val="0075BF"/>
          <w:spacing w:val="-10"/>
          <w:sz w:val="16"/>
        </w:rPr>
        <w:t>…</w:t>
      </w:r>
    </w:p>
    <w:p w14:paraId="2F84DFA4" w14:textId="77777777" w:rsidR="0014798C" w:rsidRDefault="004E1F0B">
      <w:pPr>
        <w:pStyle w:val="Textoindependiente"/>
        <w:spacing w:before="167" w:line="324" w:lineRule="auto"/>
        <w:ind w:left="1674" w:right="1463" w:hanging="6"/>
      </w:pPr>
      <w:r>
        <w:rPr>
          <w:color w:val="0075BF"/>
        </w:rPr>
        <w:t>Destacando la importancia de reconocer y abordar formas</w:t>
      </w:r>
      <w:r>
        <w:rPr>
          <w:color w:val="0075BF"/>
          <w:spacing w:val="-1"/>
        </w:rPr>
        <w:t xml:space="preserve"> </w:t>
      </w:r>
      <w:r>
        <w:rPr>
          <w:color w:val="0075BF"/>
        </w:rPr>
        <w:t>múltiples, agravadas</w:t>
      </w:r>
      <w:r>
        <w:rPr>
          <w:color w:val="0075BF"/>
          <w:spacing w:val="-1"/>
        </w:rPr>
        <w:t xml:space="preserve"> </w:t>
      </w:r>
      <w:r>
        <w:rPr>
          <w:color w:val="0075BF"/>
        </w:rPr>
        <w:t>e interseccionales</w:t>
      </w:r>
      <w:r>
        <w:rPr>
          <w:color w:val="0075BF"/>
          <w:spacing w:val="-1"/>
        </w:rPr>
        <w:t xml:space="preserve"> </w:t>
      </w:r>
      <w:r>
        <w:rPr>
          <w:color w:val="0075BF"/>
        </w:rPr>
        <w:t>de discriminación contra personas pertenecientes a minorías nacionales o étnicas, religiosas y lingüísticas y el impacto negativo compuesto en el disfrute de sus derechos.6</w:t>
      </w:r>
    </w:p>
    <w:p w14:paraId="17845F43" w14:textId="77777777" w:rsidR="0014798C" w:rsidRDefault="004E1F0B">
      <w:pPr>
        <w:pStyle w:val="Textoindependiente"/>
        <w:spacing w:before="172" w:line="326" w:lineRule="auto"/>
        <w:ind w:left="1106" w:right="1283"/>
      </w:pPr>
      <w:r>
        <w:t>El derecho a la no discriminación se encuentra en el centro de la Declaración sobre los derechos de las personas pertenecientes</w:t>
      </w:r>
      <w:r>
        <w:rPr>
          <w:spacing w:val="80"/>
        </w:rPr>
        <w:t xml:space="preserve"> </w:t>
      </w:r>
      <w:r>
        <w:t>a minorías nacionales o étnicas, religiosas y lingüísticas (1992). Los órganos de tratados de derechos humanos de las Naciones Unidas han pedido sistemáticamente</w:t>
      </w:r>
      <w:r>
        <w:rPr>
          <w:spacing w:val="-1"/>
        </w:rPr>
        <w:t xml:space="preserve"> </w:t>
      </w:r>
      <w:r>
        <w:t>a los Estados</w:t>
      </w:r>
      <w:r>
        <w:rPr>
          <w:spacing w:val="-1"/>
        </w:rPr>
        <w:t xml:space="preserve"> </w:t>
      </w:r>
      <w:r>
        <w:t>que garanticen a las minorías</w:t>
      </w:r>
      <w:r>
        <w:rPr>
          <w:spacing w:val="-1"/>
        </w:rPr>
        <w:t xml:space="preserve"> </w:t>
      </w:r>
      <w:r>
        <w:t>el pleno disfrute</w:t>
      </w:r>
      <w:r>
        <w:rPr>
          <w:spacing w:val="-1"/>
        </w:rPr>
        <w:t xml:space="preserve"> </w:t>
      </w:r>
      <w:r>
        <w:t>de todos</w:t>
      </w:r>
      <w:r>
        <w:rPr>
          <w:spacing w:val="-1"/>
        </w:rPr>
        <w:t xml:space="preserve"> </w:t>
      </w:r>
      <w:r>
        <w:t>los derechos humanos sin discriminación, mientras que en el examen periódico universal y otros mecanismos, los Estados han instado sistemáticamente</w:t>
      </w:r>
      <w:r>
        <w:rPr>
          <w:spacing w:val="40"/>
        </w:rPr>
        <w:t xml:space="preserve"> </w:t>
      </w:r>
      <w:r>
        <w:t>a sus pares a fortalecer los derechos de las minorías y su inclusión. En su intervención en el cuadragésimo tercer período de sesiones del Consejo de Derechos Humanos, el Gobierno de Austria –patrocinador del mandato de las minorías del Consejo de Derechos Humanos– colocó el derecho a la no discriminación en el centro de la protección de las minorías.</w:t>
      </w:r>
    </w:p>
    <w:p w14:paraId="4C474828" w14:textId="77777777" w:rsidR="0014798C" w:rsidRDefault="004E1F0B">
      <w:pPr>
        <w:pStyle w:val="Textoindependiente"/>
        <w:spacing w:before="167" w:line="326" w:lineRule="auto"/>
        <w:ind w:left="1110" w:right="1272" w:hanging="4"/>
      </w:pPr>
      <w:r>
        <w:t>Todas estas declaraciones reflejan el hecho de que las minorías étnicas, religiosas y lingüísticas frecuentemente sufren discriminación en áreas de la vida que van desde el acceso a la educación hasta la participación en la vida pública, y desde el empleo</w:t>
      </w:r>
      <w:r>
        <w:rPr>
          <w:spacing w:val="-5"/>
        </w:rPr>
        <w:t xml:space="preserve"> </w:t>
      </w:r>
      <w:r>
        <w:t>hasta</w:t>
      </w:r>
      <w:r>
        <w:rPr>
          <w:spacing w:val="-3"/>
        </w:rPr>
        <w:t xml:space="preserve"> </w:t>
      </w:r>
      <w:r>
        <w:t>la</w:t>
      </w:r>
      <w:r>
        <w:rPr>
          <w:spacing w:val="-2"/>
        </w:rPr>
        <w:t xml:space="preserve"> </w:t>
      </w:r>
      <w:r>
        <w:t>vivienda</w:t>
      </w:r>
      <w:r>
        <w:rPr>
          <w:spacing w:val="-3"/>
        </w:rPr>
        <w:t xml:space="preserve"> </w:t>
      </w:r>
      <w:r>
        <w:t>y</w:t>
      </w:r>
      <w:r>
        <w:rPr>
          <w:spacing w:val="-2"/>
        </w:rPr>
        <w:t xml:space="preserve"> </w:t>
      </w:r>
      <w:r>
        <w:t>la</w:t>
      </w:r>
      <w:r>
        <w:rPr>
          <w:spacing w:val="-3"/>
        </w:rPr>
        <w:t xml:space="preserve"> </w:t>
      </w:r>
      <w:r>
        <w:t>atención</w:t>
      </w:r>
      <w:r>
        <w:rPr>
          <w:spacing w:val="-2"/>
        </w:rPr>
        <w:t xml:space="preserve"> </w:t>
      </w:r>
      <w:r>
        <w:t>médica.</w:t>
      </w:r>
      <w:r>
        <w:rPr>
          <w:spacing w:val="-3"/>
        </w:rPr>
        <w:t xml:space="preserve"> </w:t>
      </w:r>
      <w:r>
        <w:t>Hay</w:t>
      </w:r>
      <w:r>
        <w:rPr>
          <w:spacing w:val="-2"/>
        </w:rPr>
        <w:t xml:space="preserve"> </w:t>
      </w:r>
      <w:r>
        <w:t>varios</w:t>
      </w:r>
      <w:r>
        <w:rPr>
          <w:spacing w:val="-3"/>
        </w:rPr>
        <w:t xml:space="preserve"> </w:t>
      </w:r>
      <w:r>
        <w:t>elementos</w:t>
      </w:r>
      <w:r>
        <w:rPr>
          <w:spacing w:val="-3"/>
        </w:rPr>
        <w:t xml:space="preserve"> </w:t>
      </w:r>
      <w:r>
        <w:t>de</w:t>
      </w:r>
      <w:r>
        <w:rPr>
          <w:spacing w:val="-3"/>
        </w:rPr>
        <w:t xml:space="preserve"> </w:t>
      </w:r>
      <w:r>
        <w:t>los</w:t>
      </w:r>
      <w:r>
        <w:rPr>
          <w:spacing w:val="-2"/>
        </w:rPr>
        <w:t xml:space="preserve"> </w:t>
      </w:r>
      <w:r>
        <w:t>derechos</w:t>
      </w:r>
      <w:r>
        <w:rPr>
          <w:spacing w:val="-3"/>
        </w:rPr>
        <w:t xml:space="preserve"> </w:t>
      </w:r>
      <w:r>
        <w:t>de</w:t>
      </w:r>
      <w:r>
        <w:rPr>
          <w:spacing w:val="-2"/>
        </w:rPr>
        <w:t xml:space="preserve"> </w:t>
      </w:r>
      <w:r>
        <w:t>las</w:t>
      </w:r>
      <w:r>
        <w:rPr>
          <w:spacing w:val="-3"/>
        </w:rPr>
        <w:t xml:space="preserve"> </w:t>
      </w:r>
      <w:r>
        <w:t>minorías</w:t>
      </w:r>
      <w:r>
        <w:rPr>
          <w:spacing w:val="-3"/>
        </w:rPr>
        <w:t xml:space="preserve"> </w:t>
      </w:r>
      <w:r>
        <w:t>que</w:t>
      </w:r>
      <w:r>
        <w:rPr>
          <w:spacing w:val="-3"/>
        </w:rPr>
        <w:t xml:space="preserve"> </w:t>
      </w:r>
      <w:r>
        <w:t>históricamente</w:t>
      </w:r>
      <w:r>
        <w:rPr>
          <w:spacing w:val="-3"/>
        </w:rPr>
        <w:t xml:space="preserve"> </w:t>
      </w:r>
      <w:r>
        <w:rPr>
          <w:spacing w:val="-5"/>
        </w:rPr>
        <w:t>han</w:t>
      </w:r>
    </w:p>
    <w:p w14:paraId="65A816EC" w14:textId="77777777" w:rsidR="0014798C" w:rsidRDefault="004E1F0B">
      <w:pPr>
        <w:pStyle w:val="Textoindependiente"/>
        <w:spacing w:before="15"/>
        <w:rPr>
          <w:sz w:val="20"/>
        </w:rPr>
      </w:pPr>
      <w:r>
        <w:rPr>
          <w:noProof/>
        </w:rPr>
        <w:drawing>
          <wp:anchor distT="0" distB="0" distL="0" distR="0" simplePos="0" relativeHeight="251658510" behindDoc="1" locked="0" layoutInCell="1" allowOverlap="1" wp14:anchorId="51E6C9CF" wp14:editId="1DD8E7F0">
            <wp:simplePos x="0" y="0"/>
            <wp:positionH relativeFrom="page">
              <wp:posOffset>826632</wp:posOffset>
            </wp:positionH>
            <wp:positionV relativeFrom="paragraph">
              <wp:posOffset>171108</wp:posOffset>
            </wp:positionV>
            <wp:extent cx="931001" cy="35813"/>
            <wp:effectExtent l="0" t="0" r="0" b="0"/>
            <wp:wrapTopAndBottom/>
            <wp:docPr id="35" name="Image 3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5" name="Image 35"/>
                    <pic:cNvPicPr/>
                  </pic:nvPicPr>
                  <pic:blipFill>
                    <a:blip r:embed="rId41" cstate="print"/>
                    <a:stretch>
                      <a:fillRect/>
                    </a:stretch>
                  </pic:blipFill>
                  <pic:spPr>
                    <a:xfrm>
                      <a:off x="0" y="0"/>
                      <a:ext cx="931001" cy="35813"/>
                    </a:xfrm>
                    <a:prstGeom prst="rect">
                      <a:avLst/>
                    </a:prstGeom>
                  </pic:spPr>
                </pic:pic>
              </a:graphicData>
            </a:graphic>
          </wp:anchor>
        </w:drawing>
      </w:r>
    </w:p>
    <w:p w14:paraId="7C844741" w14:textId="77777777" w:rsidR="0014798C" w:rsidRDefault="004E1F0B">
      <w:pPr>
        <w:pStyle w:val="Prrafodelista"/>
        <w:numPr>
          <w:ilvl w:val="0"/>
          <w:numId w:val="95"/>
        </w:numPr>
        <w:tabs>
          <w:tab w:val="left" w:pos="1214"/>
        </w:tabs>
        <w:spacing w:before="141"/>
        <w:ind w:left="1214" w:hanging="107"/>
        <w:rPr>
          <w:sz w:val="13"/>
        </w:rPr>
      </w:pPr>
      <w:r>
        <w:rPr>
          <w:sz w:val="13"/>
        </w:rPr>
        <w:t>A</w:t>
      </w:r>
      <w:r>
        <w:rPr>
          <w:spacing w:val="-7"/>
          <w:sz w:val="13"/>
        </w:rPr>
        <w:t xml:space="preserve"> </w:t>
      </w:r>
      <w:r>
        <w:rPr>
          <w:sz w:val="13"/>
        </w:rPr>
        <w:t>lo</w:t>
      </w:r>
      <w:r>
        <w:rPr>
          <w:spacing w:val="-7"/>
          <w:sz w:val="13"/>
        </w:rPr>
        <w:t xml:space="preserve"> </w:t>
      </w:r>
      <w:r>
        <w:rPr>
          <w:sz w:val="13"/>
        </w:rPr>
        <w:t>largo</w:t>
      </w:r>
      <w:r>
        <w:rPr>
          <w:spacing w:val="-7"/>
          <w:sz w:val="13"/>
        </w:rPr>
        <w:t xml:space="preserve"> </w:t>
      </w:r>
      <w:r>
        <w:rPr>
          <w:sz w:val="13"/>
        </w:rPr>
        <w:t>de</w:t>
      </w:r>
      <w:r>
        <w:rPr>
          <w:spacing w:val="-6"/>
          <w:sz w:val="13"/>
        </w:rPr>
        <w:t xml:space="preserve"> </w:t>
      </w:r>
      <w:r>
        <w:rPr>
          <w:sz w:val="13"/>
        </w:rPr>
        <w:t>la</w:t>
      </w:r>
      <w:r>
        <w:rPr>
          <w:spacing w:val="-7"/>
          <w:sz w:val="13"/>
        </w:rPr>
        <w:t xml:space="preserve"> </w:t>
      </w:r>
      <w:r>
        <w:rPr>
          <w:sz w:val="13"/>
        </w:rPr>
        <w:t>guía,</w:t>
      </w:r>
      <w:r>
        <w:rPr>
          <w:spacing w:val="-7"/>
          <w:sz w:val="13"/>
        </w:rPr>
        <w:t xml:space="preserve"> </w:t>
      </w:r>
      <w:r>
        <w:rPr>
          <w:sz w:val="13"/>
        </w:rPr>
        <w:t>se</w:t>
      </w:r>
      <w:r>
        <w:rPr>
          <w:spacing w:val="-6"/>
          <w:sz w:val="13"/>
        </w:rPr>
        <w:t xml:space="preserve"> </w:t>
      </w:r>
      <w:r>
        <w:rPr>
          <w:sz w:val="13"/>
        </w:rPr>
        <w:t>utilizan</w:t>
      </w:r>
      <w:r>
        <w:rPr>
          <w:spacing w:val="-7"/>
          <w:sz w:val="13"/>
        </w:rPr>
        <w:t xml:space="preserve"> </w:t>
      </w:r>
      <w:r>
        <w:rPr>
          <w:sz w:val="13"/>
        </w:rPr>
        <w:t>los</w:t>
      </w:r>
      <w:r>
        <w:rPr>
          <w:spacing w:val="-7"/>
          <w:sz w:val="13"/>
        </w:rPr>
        <w:t xml:space="preserve"> </w:t>
      </w:r>
      <w:r>
        <w:rPr>
          <w:sz w:val="13"/>
        </w:rPr>
        <w:t>términos</w:t>
      </w:r>
      <w:r>
        <w:rPr>
          <w:spacing w:val="-6"/>
          <w:sz w:val="13"/>
        </w:rPr>
        <w:t xml:space="preserve"> </w:t>
      </w:r>
      <w:r>
        <w:rPr>
          <w:sz w:val="13"/>
        </w:rPr>
        <w:t>“legislación</w:t>
      </w:r>
      <w:r>
        <w:rPr>
          <w:spacing w:val="-7"/>
          <w:sz w:val="13"/>
        </w:rPr>
        <w:t xml:space="preserve"> </w:t>
      </w:r>
      <w:r>
        <w:rPr>
          <w:sz w:val="13"/>
        </w:rPr>
        <w:t>integral</w:t>
      </w:r>
      <w:r>
        <w:rPr>
          <w:spacing w:val="-7"/>
          <w:sz w:val="13"/>
        </w:rPr>
        <w:t xml:space="preserve"> </w:t>
      </w:r>
      <w:r>
        <w:rPr>
          <w:sz w:val="13"/>
        </w:rPr>
        <w:t>contra</w:t>
      </w:r>
      <w:r>
        <w:rPr>
          <w:spacing w:val="-7"/>
          <w:sz w:val="13"/>
        </w:rPr>
        <w:t xml:space="preserve"> </w:t>
      </w:r>
      <w:r>
        <w:rPr>
          <w:sz w:val="13"/>
        </w:rPr>
        <w:t>la</w:t>
      </w:r>
      <w:r>
        <w:rPr>
          <w:spacing w:val="-6"/>
          <w:sz w:val="13"/>
        </w:rPr>
        <w:t xml:space="preserve"> </w:t>
      </w:r>
      <w:r>
        <w:rPr>
          <w:sz w:val="13"/>
        </w:rPr>
        <w:t>discriminación”</w:t>
      </w:r>
      <w:r>
        <w:rPr>
          <w:spacing w:val="-7"/>
          <w:sz w:val="13"/>
        </w:rPr>
        <w:t xml:space="preserve"> </w:t>
      </w:r>
      <w:r>
        <w:rPr>
          <w:sz w:val="13"/>
        </w:rPr>
        <w:t>y</w:t>
      </w:r>
      <w:r>
        <w:rPr>
          <w:spacing w:val="-7"/>
          <w:sz w:val="13"/>
        </w:rPr>
        <w:t xml:space="preserve"> </w:t>
      </w:r>
      <w:r>
        <w:rPr>
          <w:sz w:val="13"/>
        </w:rPr>
        <w:t>“ley</w:t>
      </w:r>
      <w:r>
        <w:rPr>
          <w:spacing w:val="-6"/>
          <w:sz w:val="13"/>
        </w:rPr>
        <w:t xml:space="preserve"> </w:t>
      </w:r>
      <w:r>
        <w:rPr>
          <w:sz w:val="13"/>
        </w:rPr>
        <w:t>integral</w:t>
      </w:r>
      <w:r>
        <w:rPr>
          <w:spacing w:val="-7"/>
          <w:sz w:val="13"/>
        </w:rPr>
        <w:t xml:space="preserve"> </w:t>
      </w:r>
      <w:r>
        <w:rPr>
          <w:sz w:val="13"/>
        </w:rPr>
        <w:t>contra</w:t>
      </w:r>
      <w:r>
        <w:rPr>
          <w:spacing w:val="-7"/>
          <w:sz w:val="13"/>
        </w:rPr>
        <w:t xml:space="preserve"> </w:t>
      </w:r>
      <w:r>
        <w:rPr>
          <w:sz w:val="13"/>
        </w:rPr>
        <w:t>la</w:t>
      </w:r>
      <w:r>
        <w:rPr>
          <w:spacing w:val="-6"/>
          <w:sz w:val="13"/>
        </w:rPr>
        <w:t xml:space="preserve"> </w:t>
      </w:r>
      <w:r>
        <w:rPr>
          <w:spacing w:val="-2"/>
          <w:sz w:val="13"/>
        </w:rPr>
        <w:t>discriminación”.</w:t>
      </w:r>
    </w:p>
    <w:p w14:paraId="79AE7B8D" w14:textId="77777777" w:rsidR="0014798C" w:rsidRDefault="004E1F0B">
      <w:pPr>
        <w:spacing w:before="33"/>
        <w:ind w:left="1368"/>
        <w:rPr>
          <w:sz w:val="15"/>
        </w:rPr>
      </w:pPr>
      <w:r>
        <w:rPr>
          <w:spacing w:val="-2"/>
          <w:sz w:val="15"/>
        </w:rPr>
        <w:t>indistintamente.</w:t>
      </w:r>
    </w:p>
    <w:p w14:paraId="35C6C2A4" w14:textId="77777777" w:rsidR="0014798C" w:rsidRDefault="004E1F0B">
      <w:pPr>
        <w:pStyle w:val="Prrafodelista"/>
        <w:numPr>
          <w:ilvl w:val="0"/>
          <w:numId w:val="95"/>
        </w:numPr>
        <w:tabs>
          <w:tab w:val="left" w:pos="1215"/>
        </w:tabs>
        <w:spacing w:before="62"/>
        <w:ind w:left="1215" w:hanging="107"/>
        <w:rPr>
          <w:sz w:val="13"/>
        </w:rPr>
      </w:pPr>
      <w:r>
        <w:rPr>
          <w:sz w:val="13"/>
        </w:rPr>
        <w:t>Resolución</w:t>
      </w:r>
      <w:r>
        <w:rPr>
          <w:spacing w:val="-8"/>
          <w:sz w:val="13"/>
        </w:rPr>
        <w:t xml:space="preserve"> </w:t>
      </w:r>
      <w:r>
        <w:rPr>
          <w:sz w:val="13"/>
        </w:rPr>
        <w:t>43/8</w:t>
      </w:r>
      <w:r>
        <w:rPr>
          <w:spacing w:val="-8"/>
          <w:sz w:val="13"/>
        </w:rPr>
        <w:t xml:space="preserve"> </w:t>
      </w:r>
      <w:r>
        <w:rPr>
          <w:sz w:val="13"/>
        </w:rPr>
        <w:t>del</w:t>
      </w:r>
      <w:r>
        <w:rPr>
          <w:spacing w:val="-8"/>
          <w:sz w:val="13"/>
        </w:rPr>
        <w:t xml:space="preserve"> </w:t>
      </w:r>
      <w:r>
        <w:rPr>
          <w:sz w:val="13"/>
        </w:rPr>
        <w:t>Consejo</w:t>
      </w:r>
      <w:r>
        <w:rPr>
          <w:spacing w:val="-8"/>
          <w:sz w:val="13"/>
        </w:rPr>
        <w:t xml:space="preserve"> </w:t>
      </w:r>
      <w:r>
        <w:rPr>
          <w:sz w:val="13"/>
        </w:rPr>
        <w:t>de</w:t>
      </w:r>
      <w:r>
        <w:rPr>
          <w:spacing w:val="-8"/>
          <w:sz w:val="13"/>
        </w:rPr>
        <w:t xml:space="preserve"> </w:t>
      </w:r>
      <w:r>
        <w:rPr>
          <w:sz w:val="13"/>
        </w:rPr>
        <w:t>Derechos</w:t>
      </w:r>
      <w:r>
        <w:rPr>
          <w:spacing w:val="-8"/>
          <w:sz w:val="13"/>
        </w:rPr>
        <w:t xml:space="preserve"> </w:t>
      </w:r>
      <w:r>
        <w:rPr>
          <w:sz w:val="13"/>
        </w:rPr>
        <w:t>Humanos,</w:t>
      </w:r>
      <w:r>
        <w:rPr>
          <w:spacing w:val="-7"/>
          <w:sz w:val="13"/>
        </w:rPr>
        <w:t xml:space="preserve"> </w:t>
      </w:r>
      <w:r>
        <w:rPr>
          <w:sz w:val="13"/>
        </w:rPr>
        <w:t>octavo</w:t>
      </w:r>
      <w:r>
        <w:rPr>
          <w:spacing w:val="-8"/>
          <w:sz w:val="13"/>
        </w:rPr>
        <w:t xml:space="preserve"> </w:t>
      </w:r>
      <w:r>
        <w:rPr>
          <w:sz w:val="13"/>
        </w:rPr>
        <w:t>y</w:t>
      </w:r>
      <w:r>
        <w:rPr>
          <w:spacing w:val="-8"/>
          <w:sz w:val="13"/>
        </w:rPr>
        <w:t xml:space="preserve"> </w:t>
      </w:r>
      <w:r>
        <w:rPr>
          <w:sz w:val="13"/>
        </w:rPr>
        <w:t>décimo</w:t>
      </w:r>
      <w:r>
        <w:rPr>
          <w:spacing w:val="-8"/>
          <w:sz w:val="13"/>
        </w:rPr>
        <w:t xml:space="preserve"> </w:t>
      </w:r>
      <w:r>
        <w:rPr>
          <w:sz w:val="13"/>
        </w:rPr>
        <w:t>párrafos</w:t>
      </w:r>
      <w:r>
        <w:rPr>
          <w:spacing w:val="-8"/>
          <w:sz w:val="13"/>
        </w:rPr>
        <w:t xml:space="preserve"> </w:t>
      </w:r>
      <w:r>
        <w:rPr>
          <w:sz w:val="13"/>
        </w:rPr>
        <w:t>del</w:t>
      </w:r>
      <w:r>
        <w:rPr>
          <w:spacing w:val="-8"/>
          <w:sz w:val="13"/>
        </w:rPr>
        <w:t xml:space="preserve"> </w:t>
      </w:r>
      <w:r>
        <w:rPr>
          <w:spacing w:val="-2"/>
          <w:sz w:val="13"/>
        </w:rPr>
        <w:t>preámbulo.</w:t>
      </w:r>
    </w:p>
    <w:p w14:paraId="2525CF24" w14:textId="77777777" w:rsidR="0014798C" w:rsidRDefault="0014798C">
      <w:pPr>
        <w:pStyle w:val="Textoindependiente"/>
        <w:rPr>
          <w:sz w:val="17"/>
        </w:rPr>
      </w:pPr>
    </w:p>
    <w:p w14:paraId="36886F72" w14:textId="77777777" w:rsidR="0014798C" w:rsidRDefault="0014798C">
      <w:pPr>
        <w:pStyle w:val="Textoindependiente"/>
        <w:rPr>
          <w:sz w:val="17"/>
        </w:rPr>
      </w:pPr>
    </w:p>
    <w:p w14:paraId="2B283A50" w14:textId="77777777" w:rsidR="0014798C" w:rsidRDefault="0014798C">
      <w:pPr>
        <w:pStyle w:val="Textoindependiente"/>
        <w:rPr>
          <w:sz w:val="17"/>
        </w:rPr>
      </w:pPr>
    </w:p>
    <w:p w14:paraId="4151D6FE" w14:textId="77777777" w:rsidR="0014798C" w:rsidRDefault="0014798C">
      <w:pPr>
        <w:pStyle w:val="Textoindependiente"/>
        <w:spacing w:before="159"/>
        <w:rPr>
          <w:sz w:val="17"/>
        </w:rPr>
      </w:pPr>
    </w:p>
    <w:p w14:paraId="7BB1B67F" w14:textId="77777777" w:rsidR="0014798C" w:rsidRDefault="004E1F0B">
      <w:pPr>
        <w:ind w:right="754"/>
        <w:jc w:val="right"/>
        <w:rPr>
          <w:sz w:val="17"/>
        </w:rPr>
      </w:pPr>
      <w:proofErr w:type="spellStart"/>
      <w:r>
        <w:rPr>
          <w:spacing w:val="-4"/>
          <w:sz w:val="17"/>
        </w:rPr>
        <w:t>xxiii</w:t>
      </w:r>
      <w:proofErr w:type="spellEnd"/>
    </w:p>
    <w:p w14:paraId="6BB31960" w14:textId="77777777" w:rsidR="0014798C" w:rsidRDefault="0014798C">
      <w:pPr>
        <w:jc w:val="right"/>
        <w:rPr>
          <w:sz w:val="17"/>
        </w:rPr>
        <w:sectPr w:rsidR="0014798C" w:rsidSect="00F265E4">
          <w:headerReference w:type="default" r:id="rId42"/>
          <w:pgSz w:w="11900" w:h="16820"/>
          <w:pgMar w:top="340" w:right="0" w:bottom="280" w:left="200" w:header="121" w:footer="0" w:gutter="0"/>
          <w:cols w:space="720"/>
        </w:sectPr>
      </w:pPr>
    </w:p>
    <w:p w14:paraId="50E15FCD" w14:textId="77777777" w:rsidR="0014798C" w:rsidRDefault="0014798C">
      <w:pPr>
        <w:pStyle w:val="Textoindependiente"/>
        <w:spacing w:before="88"/>
        <w:rPr>
          <w:sz w:val="12"/>
        </w:rPr>
      </w:pPr>
    </w:p>
    <w:p w14:paraId="712512E9" w14:textId="77777777" w:rsidR="0014798C" w:rsidRDefault="004E1F0B">
      <w:pPr>
        <w:ind w:left="1111"/>
        <w:rPr>
          <w:sz w:val="12"/>
        </w:rPr>
      </w:pPr>
      <w:r>
        <w:rPr>
          <w:color w:val="0075BF"/>
          <w:sz w:val="12"/>
        </w:rPr>
        <w:t>PROTECCIÓN</w:t>
      </w:r>
      <w:r>
        <w:rPr>
          <w:color w:val="0075BF"/>
          <w:spacing w:val="6"/>
          <w:sz w:val="12"/>
        </w:rPr>
        <w:t xml:space="preserve"> </w:t>
      </w:r>
      <w:r>
        <w:rPr>
          <w:color w:val="0075BF"/>
          <w:sz w:val="12"/>
        </w:rPr>
        <w:t>DE</w:t>
      </w:r>
      <w:r>
        <w:rPr>
          <w:color w:val="0075BF"/>
          <w:spacing w:val="7"/>
          <w:sz w:val="12"/>
        </w:rPr>
        <w:t xml:space="preserve"> </w:t>
      </w:r>
      <w:r>
        <w:rPr>
          <w:color w:val="0075BF"/>
          <w:sz w:val="12"/>
        </w:rPr>
        <w:t>LOS</w:t>
      </w:r>
      <w:r>
        <w:rPr>
          <w:color w:val="0075BF"/>
          <w:spacing w:val="8"/>
          <w:sz w:val="12"/>
        </w:rPr>
        <w:t xml:space="preserve"> </w:t>
      </w:r>
      <w:r>
        <w:rPr>
          <w:color w:val="0075BF"/>
          <w:sz w:val="12"/>
        </w:rPr>
        <w:t>DERECHOS</w:t>
      </w:r>
      <w:r>
        <w:rPr>
          <w:color w:val="0075BF"/>
          <w:spacing w:val="8"/>
          <w:sz w:val="12"/>
        </w:rPr>
        <w:t xml:space="preserve"> </w:t>
      </w:r>
      <w:r>
        <w:rPr>
          <w:color w:val="0075BF"/>
          <w:sz w:val="12"/>
        </w:rPr>
        <w:t>DE</w:t>
      </w:r>
      <w:r>
        <w:rPr>
          <w:color w:val="0075BF"/>
          <w:spacing w:val="6"/>
          <w:sz w:val="12"/>
        </w:rPr>
        <w:t xml:space="preserve"> </w:t>
      </w:r>
      <w:r>
        <w:rPr>
          <w:color w:val="0075BF"/>
          <w:sz w:val="12"/>
        </w:rPr>
        <w:t>LAS</w:t>
      </w:r>
      <w:r>
        <w:rPr>
          <w:color w:val="0075BF"/>
          <w:spacing w:val="7"/>
          <w:sz w:val="12"/>
        </w:rPr>
        <w:t xml:space="preserve"> </w:t>
      </w:r>
      <w:r>
        <w:rPr>
          <w:color w:val="0075BF"/>
          <w:sz w:val="12"/>
        </w:rPr>
        <w:t>MINORÍAS:</w:t>
      </w:r>
      <w:r>
        <w:rPr>
          <w:color w:val="0075BF"/>
          <w:spacing w:val="8"/>
          <w:sz w:val="12"/>
        </w:rPr>
        <w:t xml:space="preserve"> </w:t>
      </w:r>
      <w:r>
        <w:rPr>
          <w:color w:val="0075BF"/>
          <w:sz w:val="12"/>
        </w:rPr>
        <w:t>una</w:t>
      </w:r>
      <w:r>
        <w:rPr>
          <w:color w:val="0075BF"/>
          <w:spacing w:val="7"/>
          <w:sz w:val="12"/>
        </w:rPr>
        <w:t xml:space="preserve"> </w:t>
      </w:r>
      <w:r>
        <w:rPr>
          <w:color w:val="0075BF"/>
          <w:sz w:val="12"/>
        </w:rPr>
        <w:t>guía</w:t>
      </w:r>
      <w:r>
        <w:rPr>
          <w:color w:val="0075BF"/>
          <w:spacing w:val="6"/>
          <w:sz w:val="12"/>
        </w:rPr>
        <w:t xml:space="preserve"> </w:t>
      </w:r>
      <w:r>
        <w:rPr>
          <w:color w:val="0075BF"/>
          <w:sz w:val="12"/>
        </w:rPr>
        <w:t>práctica</w:t>
      </w:r>
      <w:r>
        <w:rPr>
          <w:color w:val="0075BF"/>
          <w:spacing w:val="7"/>
          <w:sz w:val="12"/>
        </w:rPr>
        <w:t xml:space="preserve"> </w:t>
      </w:r>
      <w:r>
        <w:rPr>
          <w:color w:val="0075BF"/>
          <w:sz w:val="12"/>
        </w:rPr>
        <w:t>para</w:t>
      </w:r>
      <w:r>
        <w:rPr>
          <w:color w:val="0075BF"/>
          <w:spacing w:val="8"/>
          <w:sz w:val="12"/>
        </w:rPr>
        <w:t xml:space="preserve"> </w:t>
      </w:r>
      <w:r>
        <w:rPr>
          <w:color w:val="0075BF"/>
          <w:sz w:val="12"/>
        </w:rPr>
        <w:t>desarrollar</w:t>
      </w:r>
      <w:r>
        <w:rPr>
          <w:color w:val="0075BF"/>
          <w:spacing w:val="6"/>
          <w:sz w:val="12"/>
        </w:rPr>
        <w:t xml:space="preserve"> </w:t>
      </w:r>
      <w:r>
        <w:rPr>
          <w:color w:val="0075BF"/>
          <w:sz w:val="12"/>
        </w:rPr>
        <w:t>una</w:t>
      </w:r>
      <w:r>
        <w:rPr>
          <w:color w:val="0075BF"/>
          <w:spacing w:val="7"/>
          <w:sz w:val="12"/>
        </w:rPr>
        <w:t xml:space="preserve"> </w:t>
      </w:r>
      <w:r>
        <w:rPr>
          <w:color w:val="0075BF"/>
          <w:sz w:val="12"/>
        </w:rPr>
        <w:t>legislación</w:t>
      </w:r>
      <w:r>
        <w:rPr>
          <w:color w:val="0075BF"/>
          <w:spacing w:val="8"/>
          <w:sz w:val="12"/>
        </w:rPr>
        <w:t xml:space="preserve"> </w:t>
      </w:r>
      <w:r>
        <w:rPr>
          <w:color w:val="0075BF"/>
          <w:sz w:val="12"/>
        </w:rPr>
        <w:t>integral</w:t>
      </w:r>
      <w:r>
        <w:rPr>
          <w:color w:val="0075BF"/>
          <w:spacing w:val="7"/>
          <w:sz w:val="12"/>
        </w:rPr>
        <w:t xml:space="preserve"> </w:t>
      </w:r>
      <w:r>
        <w:rPr>
          <w:color w:val="0075BF"/>
          <w:sz w:val="12"/>
        </w:rPr>
        <w:t>contra</w:t>
      </w:r>
      <w:r>
        <w:rPr>
          <w:color w:val="0075BF"/>
          <w:spacing w:val="6"/>
          <w:sz w:val="12"/>
        </w:rPr>
        <w:t xml:space="preserve"> </w:t>
      </w:r>
      <w:r>
        <w:rPr>
          <w:color w:val="0075BF"/>
          <w:sz w:val="12"/>
        </w:rPr>
        <w:t>la</w:t>
      </w:r>
      <w:r>
        <w:rPr>
          <w:color w:val="0075BF"/>
          <w:spacing w:val="7"/>
          <w:sz w:val="12"/>
        </w:rPr>
        <w:t xml:space="preserve"> </w:t>
      </w:r>
      <w:r>
        <w:rPr>
          <w:color w:val="0075BF"/>
          <w:spacing w:val="-2"/>
          <w:sz w:val="12"/>
        </w:rPr>
        <w:t>discriminación</w:t>
      </w:r>
    </w:p>
    <w:p w14:paraId="365373E0" w14:textId="77777777" w:rsidR="0014798C" w:rsidRDefault="0014798C">
      <w:pPr>
        <w:pStyle w:val="Textoindependiente"/>
      </w:pPr>
    </w:p>
    <w:p w14:paraId="3A911C56" w14:textId="77777777" w:rsidR="0014798C" w:rsidRDefault="0014798C">
      <w:pPr>
        <w:pStyle w:val="Textoindependiente"/>
      </w:pPr>
    </w:p>
    <w:p w14:paraId="6BF8DF6A" w14:textId="77777777" w:rsidR="0014798C" w:rsidRDefault="0014798C">
      <w:pPr>
        <w:pStyle w:val="Textoindependiente"/>
      </w:pPr>
    </w:p>
    <w:p w14:paraId="459FCCFC" w14:textId="77777777" w:rsidR="0014798C" w:rsidRDefault="0014798C">
      <w:pPr>
        <w:pStyle w:val="Textoindependiente"/>
      </w:pPr>
    </w:p>
    <w:p w14:paraId="1E87B38B" w14:textId="77777777" w:rsidR="0014798C" w:rsidRDefault="0014798C">
      <w:pPr>
        <w:pStyle w:val="Textoindependiente"/>
        <w:spacing w:before="70"/>
      </w:pPr>
    </w:p>
    <w:p w14:paraId="56FFA6B9" w14:textId="77777777" w:rsidR="0014798C" w:rsidRDefault="004E1F0B">
      <w:pPr>
        <w:pStyle w:val="Textoindependiente"/>
        <w:spacing w:line="326" w:lineRule="auto"/>
        <w:ind w:left="1108" w:right="1272" w:firstLine="4"/>
      </w:pPr>
      <w:r>
        <w:t>se</w:t>
      </w:r>
      <w:r>
        <w:rPr>
          <w:spacing w:val="14"/>
        </w:rPr>
        <w:t xml:space="preserve"> </w:t>
      </w:r>
      <w:r>
        <w:t>ha</w:t>
      </w:r>
      <w:r>
        <w:rPr>
          <w:spacing w:val="14"/>
        </w:rPr>
        <w:t xml:space="preserve"> </w:t>
      </w:r>
      <w:r>
        <w:t>entendido</w:t>
      </w:r>
      <w:r>
        <w:rPr>
          <w:spacing w:val="14"/>
        </w:rPr>
        <w:t xml:space="preserve"> </w:t>
      </w:r>
      <w:r>
        <w:t>que</w:t>
      </w:r>
      <w:r>
        <w:rPr>
          <w:spacing w:val="14"/>
        </w:rPr>
        <w:t xml:space="preserve"> </w:t>
      </w:r>
      <w:r>
        <w:t>quedan</w:t>
      </w:r>
      <w:r>
        <w:rPr>
          <w:spacing w:val="14"/>
        </w:rPr>
        <w:t xml:space="preserve"> </w:t>
      </w:r>
      <w:r>
        <w:t>fuera</w:t>
      </w:r>
      <w:r>
        <w:rPr>
          <w:spacing w:val="14"/>
        </w:rPr>
        <w:t xml:space="preserve"> </w:t>
      </w:r>
      <w:r>
        <w:t>del</w:t>
      </w:r>
      <w:r>
        <w:rPr>
          <w:spacing w:val="14"/>
        </w:rPr>
        <w:t xml:space="preserve"> </w:t>
      </w:r>
      <w:r>
        <w:t>derecho</w:t>
      </w:r>
      <w:r>
        <w:rPr>
          <w:spacing w:val="14"/>
        </w:rPr>
        <w:t xml:space="preserve"> </w:t>
      </w:r>
      <w:r>
        <w:t>a</w:t>
      </w:r>
      <w:r>
        <w:rPr>
          <w:spacing w:val="14"/>
        </w:rPr>
        <w:t xml:space="preserve"> </w:t>
      </w:r>
      <w:r>
        <w:t>la</w:t>
      </w:r>
      <w:r>
        <w:rPr>
          <w:spacing w:val="14"/>
        </w:rPr>
        <w:t xml:space="preserve"> </w:t>
      </w:r>
      <w:r>
        <w:t>no</w:t>
      </w:r>
      <w:r>
        <w:rPr>
          <w:spacing w:val="14"/>
        </w:rPr>
        <w:t xml:space="preserve"> </w:t>
      </w:r>
      <w:r>
        <w:t>discriminación.</w:t>
      </w:r>
      <w:r>
        <w:rPr>
          <w:spacing w:val="17"/>
        </w:rPr>
        <w:t xml:space="preserve"> </w:t>
      </w:r>
      <w:r>
        <w:t>Sin</w:t>
      </w:r>
      <w:r>
        <w:rPr>
          <w:spacing w:val="14"/>
        </w:rPr>
        <w:t xml:space="preserve"> </w:t>
      </w:r>
      <w:r>
        <w:t>embargo,</w:t>
      </w:r>
      <w:r>
        <w:rPr>
          <w:spacing w:val="15"/>
        </w:rPr>
        <w:t xml:space="preserve"> </w:t>
      </w:r>
      <w:r>
        <w:t>como</w:t>
      </w:r>
      <w:r>
        <w:rPr>
          <w:spacing w:val="14"/>
        </w:rPr>
        <w:t xml:space="preserve"> </w:t>
      </w:r>
      <w:r>
        <w:t>ocurre</w:t>
      </w:r>
      <w:r>
        <w:rPr>
          <w:spacing w:val="15"/>
        </w:rPr>
        <w:t xml:space="preserve"> </w:t>
      </w:r>
      <w:r>
        <w:t>con</w:t>
      </w:r>
      <w:r>
        <w:rPr>
          <w:spacing w:val="14"/>
        </w:rPr>
        <w:t xml:space="preserve"> </w:t>
      </w:r>
      <w:r>
        <w:t>cualquier</w:t>
      </w:r>
      <w:r>
        <w:rPr>
          <w:spacing w:val="14"/>
        </w:rPr>
        <w:t xml:space="preserve"> </w:t>
      </w:r>
      <w:r>
        <w:t>derecho humano, estos derechos no pueden realizarse sin una protección efectiva contra la discriminación. De hecho, en términos más generales, los derechos de las minorías a disfrutar de su propia cultura, a profesar y practicar su propia religión o a utilizar su</w:t>
      </w:r>
    </w:p>
    <w:p w14:paraId="28ABEF22" w14:textId="77777777" w:rsidR="0014798C" w:rsidRDefault="004E1F0B">
      <w:pPr>
        <w:pStyle w:val="Textoindependiente"/>
        <w:spacing w:line="271" w:lineRule="auto"/>
        <w:ind w:left="1111" w:right="1335" w:hanging="4"/>
      </w:pPr>
      <w:proofErr w:type="gramStart"/>
      <w:r>
        <w:t>propio</w:t>
      </w:r>
      <w:r>
        <w:rPr>
          <w:spacing w:val="10"/>
        </w:rPr>
        <w:t xml:space="preserve"> </w:t>
      </w:r>
      <w:r>
        <w:t>idioma</w:t>
      </w:r>
      <w:r>
        <w:rPr>
          <w:spacing w:val="10"/>
        </w:rPr>
        <w:t xml:space="preserve"> </w:t>
      </w:r>
      <w:r>
        <w:t>pueden</w:t>
      </w:r>
      <w:proofErr w:type="gramEnd"/>
      <w:r>
        <w:rPr>
          <w:spacing w:val="10"/>
        </w:rPr>
        <w:t xml:space="preserve"> </w:t>
      </w:r>
      <w:r>
        <w:t>entenderse</w:t>
      </w:r>
      <w:r>
        <w:rPr>
          <w:spacing w:val="10"/>
        </w:rPr>
        <w:t xml:space="preserve"> </w:t>
      </w:r>
      <w:r>
        <w:t>como</w:t>
      </w:r>
      <w:r>
        <w:rPr>
          <w:spacing w:val="10"/>
        </w:rPr>
        <w:t xml:space="preserve"> </w:t>
      </w:r>
      <w:r>
        <w:t>manifestaciones</w:t>
      </w:r>
      <w:r>
        <w:rPr>
          <w:spacing w:val="10"/>
        </w:rPr>
        <w:t xml:space="preserve"> </w:t>
      </w:r>
      <w:r>
        <w:t>y</w:t>
      </w:r>
      <w:r>
        <w:rPr>
          <w:spacing w:val="10"/>
        </w:rPr>
        <w:t xml:space="preserve"> </w:t>
      </w:r>
      <w:r>
        <w:t>aplicaciones</w:t>
      </w:r>
      <w:r>
        <w:rPr>
          <w:spacing w:val="10"/>
        </w:rPr>
        <w:t xml:space="preserve"> </w:t>
      </w:r>
      <w:r>
        <w:t>específicas</w:t>
      </w:r>
      <w:r>
        <w:rPr>
          <w:spacing w:val="10"/>
        </w:rPr>
        <w:t xml:space="preserve"> </w:t>
      </w:r>
      <w:r>
        <w:t>de</w:t>
      </w:r>
      <w:r>
        <w:rPr>
          <w:spacing w:val="10"/>
        </w:rPr>
        <w:t xml:space="preserve"> </w:t>
      </w:r>
      <w:r>
        <w:t>los</w:t>
      </w:r>
      <w:r>
        <w:rPr>
          <w:spacing w:val="10"/>
        </w:rPr>
        <w:t xml:space="preserve"> </w:t>
      </w:r>
      <w:r>
        <w:t>derechos</w:t>
      </w:r>
      <w:r>
        <w:rPr>
          <w:spacing w:val="10"/>
        </w:rPr>
        <w:t xml:space="preserve"> </w:t>
      </w:r>
      <w:r>
        <w:t>a</w:t>
      </w:r>
      <w:r>
        <w:rPr>
          <w:spacing w:val="10"/>
        </w:rPr>
        <w:t xml:space="preserve"> </w:t>
      </w:r>
      <w:r>
        <w:t>igual</w:t>
      </w:r>
      <w:r>
        <w:rPr>
          <w:spacing w:val="10"/>
        </w:rPr>
        <w:t xml:space="preserve"> </w:t>
      </w:r>
      <w:r>
        <w:t>protección</w:t>
      </w:r>
      <w:r>
        <w:rPr>
          <w:spacing w:val="10"/>
        </w:rPr>
        <w:t xml:space="preserve"> </w:t>
      </w:r>
      <w:r>
        <w:t>de</w:t>
      </w:r>
      <w:r>
        <w:rPr>
          <w:spacing w:val="10"/>
        </w:rPr>
        <w:t xml:space="preserve"> </w:t>
      </w:r>
      <w:r>
        <w:t>la</w:t>
      </w:r>
      <w:r>
        <w:rPr>
          <w:spacing w:val="10"/>
        </w:rPr>
        <w:t xml:space="preserve"> </w:t>
      </w:r>
      <w:r>
        <w:t>ley y a no ser discriminación.</w:t>
      </w:r>
    </w:p>
    <w:p w14:paraId="6701C2B7" w14:textId="77777777" w:rsidR="0014798C" w:rsidRDefault="0014798C">
      <w:pPr>
        <w:pStyle w:val="Textoindependiente"/>
        <w:spacing w:before="68"/>
      </w:pPr>
    </w:p>
    <w:p w14:paraId="4997DEBD" w14:textId="77777777" w:rsidR="0014798C" w:rsidRDefault="004E1F0B">
      <w:pPr>
        <w:pStyle w:val="Textoindependiente"/>
        <w:spacing w:line="326" w:lineRule="auto"/>
        <w:ind w:left="1108" w:right="1348" w:hanging="2"/>
      </w:pPr>
      <w:r>
        <w:t>La</w:t>
      </w:r>
      <w:r>
        <w:rPr>
          <w:spacing w:val="14"/>
        </w:rPr>
        <w:t xml:space="preserve"> </w:t>
      </w:r>
      <w:r>
        <w:t>realización</w:t>
      </w:r>
      <w:r>
        <w:rPr>
          <w:spacing w:val="16"/>
        </w:rPr>
        <w:t xml:space="preserve"> </w:t>
      </w:r>
      <w:r>
        <w:t>del</w:t>
      </w:r>
      <w:r>
        <w:rPr>
          <w:spacing w:val="14"/>
        </w:rPr>
        <w:t xml:space="preserve"> </w:t>
      </w:r>
      <w:r>
        <w:t>derecho</w:t>
      </w:r>
      <w:r>
        <w:rPr>
          <w:spacing w:val="14"/>
        </w:rPr>
        <w:t xml:space="preserve"> </w:t>
      </w:r>
      <w:r>
        <w:t>a</w:t>
      </w:r>
      <w:r>
        <w:rPr>
          <w:spacing w:val="14"/>
        </w:rPr>
        <w:t xml:space="preserve"> </w:t>
      </w:r>
      <w:r>
        <w:t>la</w:t>
      </w:r>
      <w:r>
        <w:rPr>
          <w:spacing w:val="14"/>
        </w:rPr>
        <w:t xml:space="preserve"> </w:t>
      </w:r>
      <w:r>
        <w:t>no</w:t>
      </w:r>
      <w:r>
        <w:rPr>
          <w:spacing w:val="14"/>
        </w:rPr>
        <w:t xml:space="preserve"> </w:t>
      </w:r>
      <w:r>
        <w:t>discriminación</w:t>
      </w:r>
      <w:r>
        <w:rPr>
          <w:spacing w:val="16"/>
        </w:rPr>
        <w:t xml:space="preserve"> </w:t>
      </w:r>
      <w:r>
        <w:t>implica</w:t>
      </w:r>
      <w:r>
        <w:rPr>
          <w:spacing w:val="14"/>
        </w:rPr>
        <w:t xml:space="preserve"> </w:t>
      </w:r>
      <w:r>
        <w:t>la</w:t>
      </w:r>
      <w:r>
        <w:rPr>
          <w:spacing w:val="14"/>
        </w:rPr>
        <w:t xml:space="preserve"> </w:t>
      </w:r>
      <w:r>
        <w:t>protección</w:t>
      </w:r>
      <w:r>
        <w:rPr>
          <w:spacing w:val="14"/>
        </w:rPr>
        <w:t xml:space="preserve"> </w:t>
      </w:r>
      <w:r>
        <w:t>de</w:t>
      </w:r>
      <w:r>
        <w:rPr>
          <w:spacing w:val="14"/>
        </w:rPr>
        <w:t xml:space="preserve"> </w:t>
      </w:r>
      <w:r>
        <w:t>grupos</w:t>
      </w:r>
      <w:r>
        <w:rPr>
          <w:spacing w:val="14"/>
        </w:rPr>
        <w:t xml:space="preserve"> </w:t>
      </w:r>
      <w:r>
        <w:t>que</w:t>
      </w:r>
      <w:r>
        <w:rPr>
          <w:spacing w:val="14"/>
        </w:rPr>
        <w:t xml:space="preserve"> </w:t>
      </w:r>
      <w:r>
        <w:t>tradicionalmente</w:t>
      </w:r>
      <w:r>
        <w:rPr>
          <w:spacing w:val="14"/>
        </w:rPr>
        <w:t xml:space="preserve"> </w:t>
      </w:r>
      <w:r>
        <w:t>no</w:t>
      </w:r>
      <w:r>
        <w:rPr>
          <w:spacing w:val="14"/>
        </w:rPr>
        <w:t xml:space="preserve"> </w:t>
      </w:r>
      <w:r>
        <w:t>se</w:t>
      </w:r>
      <w:r>
        <w:rPr>
          <w:spacing w:val="14"/>
        </w:rPr>
        <w:t xml:space="preserve"> </w:t>
      </w:r>
      <w:r>
        <w:t>consideran minorías.</w:t>
      </w:r>
      <w:r>
        <w:rPr>
          <w:spacing w:val="16"/>
        </w:rPr>
        <w:t xml:space="preserve"> </w:t>
      </w:r>
      <w:r>
        <w:t>Sin</w:t>
      </w:r>
      <w:r>
        <w:rPr>
          <w:spacing w:val="15"/>
        </w:rPr>
        <w:t xml:space="preserve"> </w:t>
      </w:r>
      <w:r>
        <w:t>embargo,</w:t>
      </w:r>
      <w:r>
        <w:rPr>
          <w:spacing w:val="16"/>
        </w:rPr>
        <w:t xml:space="preserve"> </w:t>
      </w:r>
      <w:r>
        <w:t>como</w:t>
      </w:r>
      <w:r>
        <w:rPr>
          <w:spacing w:val="15"/>
        </w:rPr>
        <w:t xml:space="preserve"> </w:t>
      </w:r>
      <w:r>
        <w:t>se</w:t>
      </w:r>
      <w:r>
        <w:rPr>
          <w:spacing w:val="15"/>
        </w:rPr>
        <w:t xml:space="preserve"> </w:t>
      </w:r>
      <w:r>
        <w:t>señaló</w:t>
      </w:r>
      <w:r>
        <w:rPr>
          <w:spacing w:val="15"/>
        </w:rPr>
        <w:t xml:space="preserve"> </w:t>
      </w:r>
      <w:r>
        <w:t>anteriormente,</w:t>
      </w:r>
      <w:r>
        <w:rPr>
          <w:spacing w:val="17"/>
        </w:rPr>
        <w:t xml:space="preserve"> </w:t>
      </w:r>
      <w:r>
        <w:t>ahora</w:t>
      </w:r>
      <w:r>
        <w:rPr>
          <w:spacing w:val="15"/>
        </w:rPr>
        <w:t xml:space="preserve"> </w:t>
      </w:r>
      <w:r>
        <w:t>existe</w:t>
      </w:r>
      <w:r>
        <w:rPr>
          <w:spacing w:val="15"/>
        </w:rPr>
        <w:t xml:space="preserve"> </w:t>
      </w:r>
      <w:r>
        <w:t>un</w:t>
      </w:r>
      <w:r>
        <w:rPr>
          <w:spacing w:val="15"/>
        </w:rPr>
        <w:t xml:space="preserve"> </w:t>
      </w:r>
      <w:r>
        <w:t>claro</w:t>
      </w:r>
      <w:r>
        <w:rPr>
          <w:spacing w:val="15"/>
        </w:rPr>
        <w:t xml:space="preserve"> </w:t>
      </w:r>
      <w:r>
        <w:t>reconocimiento</w:t>
      </w:r>
      <w:r>
        <w:rPr>
          <w:spacing w:val="15"/>
        </w:rPr>
        <w:t xml:space="preserve"> </w:t>
      </w:r>
      <w:r>
        <w:t>de</w:t>
      </w:r>
      <w:r>
        <w:rPr>
          <w:spacing w:val="15"/>
        </w:rPr>
        <w:t xml:space="preserve"> </w:t>
      </w:r>
      <w:r>
        <w:t>que</w:t>
      </w:r>
      <w:r>
        <w:rPr>
          <w:spacing w:val="15"/>
        </w:rPr>
        <w:t xml:space="preserve"> </w:t>
      </w:r>
      <w:r>
        <w:t>la</w:t>
      </w:r>
      <w:r>
        <w:rPr>
          <w:spacing w:val="15"/>
        </w:rPr>
        <w:t xml:space="preserve"> </w:t>
      </w:r>
      <w:r>
        <w:t>complejidad</w:t>
      </w:r>
      <w:r>
        <w:rPr>
          <w:spacing w:val="15"/>
        </w:rPr>
        <w:t xml:space="preserve"> </w:t>
      </w:r>
      <w:r>
        <w:t>y</w:t>
      </w:r>
      <w:r>
        <w:rPr>
          <w:spacing w:val="15"/>
        </w:rPr>
        <w:t xml:space="preserve"> </w:t>
      </w:r>
      <w:r>
        <w:t>riqueza de</w:t>
      </w:r>
      <w:r>
        <w:rPr>
          <w:spacing w:val="12"/>
        </w:rPr>
        <w:t xml:space="preserve"> </w:t>
      </w:r>
      <w:r>
        <w:t>la</w:t>
      </w:r>
      <w:r>
        <w:rPr>
          <w:spacing w:val="12"/>
        </w:rPr>
        <w:t xml:space="preserve"> </w:t>
      </w:r>
      <w:r>
        <w:t>personalidad</w:t>
      </w:r>
      <w:r>
        <w:rPr>
          <w:spacing w:val="12"/>
        </w:rPr>
        <w:t xml:space="preserve"> </w:t>
      </w:r>
      <w:r>
        <w:t>humana</w:t>
      </w:r>
      <w:r>
        <w:rPr>
          <w:spacing w:val="12"/>
        </w:rPr>
        <w:t xml:space="preserve"> </w:t>
      </w:r>
      <w:r>
        <w:t>requiere</w:t>
      </w:r>
      <w:r>
        <w:rPr>
          <w:spacing w:val="12"/>
        </w:rPr>
        <w:t xml:space="preserve"> </w:t>
      </w:r>
      <w:r>
        <w:t>un</w:t>
      </w:r>
      <w:r>
        <w:rPr>
          <w:spacing w:val="12"/>
        </w:rPr>
        <w:t xml:space="preserve"> </w:t>
      </w:r>
      <w:r>
        <w:t>enfoque</w:t>
      </w:r>
      <w:r>
        <w:rPr>
          <w:spacing w:val="12"/>
        </w:rPr>
        <w:t xml:space="preserve"> </w:t>
      </w:r>
      <w:r>
        <w:t>interseccional</w:t>
      </w:r>
      <w:r>
        <w:rPr>
          <w:spacing w:val="12"/>
        </w:rPr>
        <w:t xml:space="preserve"> </w:t>
      </w:r>
      <w:r>
        <w:t>para</w:t>
      </w:r>
      <w:r>
        <w:rPr>
          <w:spacing w:val="12"/>
        </w:rPr>
        <w:t xml:space="preserve"> </w:t>
      </w:r>
      <w:r>
        <w:t>la</w:t>
      </w:r>
      <w:r>
        <w:rPr>
          <w:spacing w:val="12"/>
        </w:rPr>
        <w:t xml:space="preserve"> </w:t>
      </w:r>
      <w:r>
        <w:t>realización</w:t>
      </w:r>
      <w:r>
        <w:rPr>
          <w:spacing w:val="13"/>
        </w:rPr>
        <w:t xml:space="preserve"> </w:t>
      </w:r>
      <w:r>
        <w:t>de</w:t>
      </w:r>
      <w:r>
        <w:rPr>
          <w:spacing w:val="12"/>
        </w:rPr>
        <w:t xml:space="preserve"> </w:t>
      </w:r>
      <w:r>
        <w:t>los</w:t>
      </w:r>
      <w:r>
        <w:rPr>
          <w:spacing w:val="12"/>
        </w:rPr>
        <w:t xml:space="preserve"> </w:t>
      </w:r>
      <w:r>
        <w:t>derechos</w:t>
      </w:r>
      <w:r>
        <w:rPr>
          <w:spacing w:val="12"/>
        </w:rPr>
        <w:t xml:space="preserve"> </w:t>
      </w:r>
      <w:r>
        <w:t>de</w:t>
      </w:r>
      <w:r>
        <w:rPr>
          <w:spacing w:val="12"/>
        </w:rPr>
        <w:t xml:space="preserve"> </w:t>
      </w:r>
      <w:r>
        <w:t>las</w:t>
      </w:r>
      <w:r>
        <w:rPr>
          <w:spacing w:val="12"/>
        </w:rPr>
        <w:t xml:space="preserve"> </w:t>
      </w:r>
      <w:r>
        <w:t>minorías</w:t>
      </w:r>
      <w:r>
        <w:rPr>
          <w:spacing w:val="12"/>
        </w:rPr>
        <w:t xml:space="preserve"> </w:t>
      </w:r>
      <w:r>
        <w:t>y,</w:t>
      </w:r>
      <w:r>
        <w:rPr>
          <w:spacing w:val="12"/>
        </w:rPr>
        <w:t xml:space="preserve"> </w:t>
      </w:r>
      <w:r>
        <w:t>de</w:t>
      </w:r>
      <w:r>
        <w:rPr>
          <w:spacing w:val="12"/>
        </w:rPr>
        <w:t xml:space="preserve"> </w:t>
      </w:r>
      <w:r>
        <w:t xml:space="preserve">hecho, de todos los derechos. Es por esta razón que </w:t>
      </w:r>
      <w:proofErr w:type="spellStart"/>
      <w:r>
        <w:t>Minority</w:t>
      </w:r>
      <w:proofErr w:type="spellEnd"/>
      <w:r>
        <w:t xml:space="preserve"> </w:t>
      </w:r>
      <w:proofErr w:type="spellStart"/>
      <w:r>
        <w:t>Rights</w:t>
      </w:r>
      <w:proofErr w:type="spellEnd"/>
      <w:r>
        <w:t xml:space="preserve"> Group International –una organización centrada en garantizar los derechos</w:t>
      </w:r>
      <w:r>
        <w:rPr>
          <w:spacing w:val="15"/>
        </w:rPr>
        <w:t xml:space="preserve"> </w:t>
      </w:r>
      <w:r>
        <w:t>de</w:t>
      </w:r>
      <w:r>
        <w:rPr>
          <w:spacing w:val="15"/>
        </w:rPr>
        <w:t xml:space="preserve"> </w:t>
      </w:r>
      <w:r>
        <w:t>las</w:t>
      </w:r>
      <w:r>
        <w:rPr>
          <w:spacing w:val="15"/>
        </w:rPr>
        <w:t xml:space="preserve"> </w:t>
      </w:r>
      <w:r>
        <w:t>minorías</w:t>
      </w:r>
      <w:r>
        <w:rPr>
          <w:spacing w:val="15"/>
        </w:rPr>
        <w:t xml:space="preserve"> </w:t>
      </w:r>
      <w:r>
        <w:t>étnicas,</w:t>
      </w:r>
      <w:r>
        <w:rPr>
          <w:spacing w:val="17"/>
        </w:rPr>
        <w:t xml:space="preserve"> </w:t>
      </w:r>
      <w:r>
        <w:t>religiosas</w:t>
      </w:r>
      <w:r>
        <w:rPr>
          <w:spacing w:val="15"/>
        </w:rPr>
        <w:t xml:space="preserve"> </w:t>
      </w:r>
      <w:r>
        <w:t>y</w:t>
      </w:r>
      <w:r>
        <w:rPr>
          <w:spacing w:val="15"/>
        </w:rPr>
        <w:t xml:space="preserve"> </w:t>
      </w:r>
      <w:r>
        <w:t>lingüísticas</w:t>
      </w:r>
      <w:r>
        <w:rPr>
          <w:spacing w:val="15"/>
        </w:rPr>
        <w:t xml:space="preserve"> </w:t>
      </w:r>
      <w:r>
        <w:t>y</w:t>
      </w:r>
      <w:r>
        <w:rPr>
          <w:spacing w:val="15"/>
        </w:rPr>
        <w:t xml:space="preserve"> </w:t>
      </w:r>
      <w:r>
        <w:t>de</w:t>
      </w:r>
      <w:r>
        <w:rPr>
          <w:spacing w:val="15"/>
        </w:rPr>
        <w:t xml:space="preserve"> </w:t>
      </w:r>
      <w:r>
        <w:t>los</w:t>
      </w:r>
      <w:r>
        <w:rPr>
          <w:spacing w:val="15"/>
        </w:rPr>
        <w:t xml:space="preserve"> </w:t>
      </w:r>
      <w:r>
        <w:t>pueblos</w:t>
      </w:r>
      <w:r>
        <w:rPr>
          <w:spacing w:val="15"/>
        </w:rPr>
        <w:t xml:space="preserve"> </w:t>
      </w:r>
      <w:r>
        <w:t>indígenas–</w:t>
      </w:r>
      <w:r>
        <w:rPr>
          <w:spacing w:val="15"/>
        </w:rPr>
        <w:t xml:space="preserve"> </w:t>
      </w:r>
      <w:r>
        <w:t>ha</w:t>
      </w:r>
      <w:r>
        <w:rPr>
          <w:spacing w:val="15"/>
        </w:rPr>
        <w:t xml:space="preserve"> </w:t>
      </w:r>
      <w:r>
        <w:t>señalado</w:t>
      </w:r>
      <w:r>
        <w:rPr>
          <w:spacing w:val="15"/>
        </w:rPr>
        <w:t xml:space="preserve"> </w:t>
      </w:r>
      <w:r>
        <w:t>que:</w:t>
      </w:r>
      <w:r>
        <w:rPr>
          <w:spacing w:val="17"/>
        </w:rPr>
        <w:t xml:space="preserve"> </w:t>
      </w:r>
      <w:r>
        <w:t>“Para</w:t>
      </w:r>
      <w:r>
        <w:rPr>
          <w:spacing w:val="15"/>
        </w:rPr>
        <w:t xml:space="preserve"> </w:t>
      </w:r>
      <w:r>
        <w:t>llegar</w:t>
      </w:r>
      <w:r>
        <w:rPr>
          <w:spacing w:val="15"/>
        </w:rPr>
        <w:t xml:space="preserve"> </w:t>
      </w:r>
      <w:r>
        <w:t>a</w:t>
      </w:r>
      <w:r>
        <w:rPr>
          <w:spacing w:val="15"/>
        </w:rPr>
        <w:t xml:space="preserve"> </w:t>
      </w:r>
      <w:r>
        <w:t>los grupos más excluidos, tenemos que entender cómo la discriminación se cruza en diferentes ejes de identidad – por ejemplo, género, sexualidad, edad, raza, religión y discapacidad. Estos no se experimentan independientemente unos de otros, sino que</w:t>
      </w:r>
      <w:r>
        <w:rPr>
          <w:spacing w:val="80"/>
        </w:rPr>
        <w:t xml:space="preserve"> </w:t>
      </w:r>
      <w:r>
        <w:t>en conjunto agravan la experiencia de discriminación en la realidad vivida por un individuo en particular”. 7 De esta y otras observaciones</w:t>
      </w:r>
      <w:r>
        <w:rPr>
          <w:spacing w:val="20"/>
        </w:rPr>
        <w:t xml:space="preserve"> </w:t>
      </w:r>
      <w:r>
        <w:t>similares</w:t>
      </w:r>
      <w:r>
        <w:rPr>
          <w:spacing w:val="20"/>
        </w:rPr>
        <w:t xml:space="preserve"> </w:t>
      </w:r>
      <w:r>
        <w:t>se</w:t>
      </w:r>
      <w:r>
        <w:rPr>
          <w:spacing w:val="20"/>
        </w:rPr>
        <w:t xml:space="preserve"> </w:t>
      </w:r>
      <w:r>
        <w:t>desprende</w:t>
      </w:r>
      <w:r>
        <w:rPr>
          <w:spacing w:val="20"/>
        </w:rPr>
        <w:t xml:space="preserve"> </w:t>
      </w:r>
      <w:r>
        <w:t>que</w:t>
      </w:r>
      <w:r>
        <w:rPr>
          <w:spacing w:val="20"/>
        </w:rPr>
        <w:t xml:space="preserve"> </w:t>
      </w:r>
      <w:r>
        <w:t>en</w:t>
      </w:r>
      <w:r>
        <w:rPr>
          <w:spacing w:val="20"/>
        </w:rPr>
        <w:t xml:space="preserve"> </w:t>
      </w:r>
      <w:r>
        <w:t>situaciones</w:t>
      </w:r>
      <w:r>
        <w:rPr>
          <w:spacing w:val="20"/>
        </w:rPr>
        <w:t xml:space="preserve"> </w:t>
      </w:r>
      <w:r>
        <w:t>en</w:t>
      </w:r>
      <w:r>
        <w:rPr>
          <w:spacing w:val="20"/>
        </w:rPr>
        <w:t xml:space="preserve"> </w:t>
      </w:r>
      <w:r>
        <w:t>las</w:t>
      </w:r>
      <w:r>
        <w:rPr>
          <w:spacing w:val="20"/>
        </w:rPr>
        <w:t xml:space="preserve"> </w:t>
      </w:r>
      <w:r>
        <w:t>que</w:t>
      </w:r>
      <w:r>
        <w:rPr>
          <w:spacing w:val="20"/>
        </w:rPr>
        <w:t xml:space="preserve"> </w:t>
      </w:r>
      <w:r>
        <w:t>las</w:t>
      </w:r>
      <w:r>
        <w:rPr>
          <w:spacing w:val="20"/>
        </w:rPr>
        <w:t xml:space="preserve"> </w:t>
      </w:r>
      <w:r>
        <w:t>leyes</w:t>
      </w:r>
      <w:r>
        <w:rPr>
          <w:spacing w:val="20"/>
        </w:rPr>
        <w:t xml:space="preserve"> </w:t>
      </w:r>
      <w:r>
        <w:t>antidiscriminatorias</w:t>
      </w:r>
      <w:r>
        <w:rPr>
          <w:spacing w:val="20"/>
        </w:rPr>
        <w:t xml:space="preserve"> </w:t>
      </w:r>
      <w:r>
        <w:t>no</w:t>
      </w:r>
      <w:r>
        <w:rPr>
          <w:spacing w:val="20"/>
        </w:rPr>
        <w:t xml:space="preserve"> </w:t>
      </w:r>
      <w:r>
        <w:t>brindan</w:t>
      </w:r>
      <w:r>
        <w:rPr>
          <w:spacing w:val="20"/>
        </w:rPr>
        <w:t xml:space="preserve"> </w:t>
      </w:r>
      <w:r>
        <w:t xml:space="preserve">protección integral, las </w:t>
      </w:r>
      <w:proofErr w:type="gramStart"/>
      <w:r>
        <w:t>minorías ,</w:t>
      </w:r>
      <w:proofErr w:type="gramEnd"/>
      <w:r>
        <w:t xml:space="preserve"> entre otros, se les negará protección y reparación efectivas.</w:t>
      </w:r>
    </w:p>
    <w:p w14:paraId="6248E6F4" w14:textId="77777777" w:rsidR="0014798C" w:rsidRDefault="0014798C">
      <w:pPr>
        <w:pStyle w:val="Textoindependiente"/>
      </w:pPr>
    </w:p>
    <w:p w14:paraId="21D106DE" w14:textId="77777777" w:rsidR="0014798C" w:rsidRDefault="0014798C">
      <w:pPr>
        <w:pStyle w:val="Textoindependiente"/>
        <w:spacing w:before="47"/>
      </w:pPr>
    </w:p>
    <w:p w14:paraId="6B013F86" w14:textId="77777777" w:rsidR="0014798C" w:rsidRDefault="004E1F0B">
      <w:pPr>
        <w:pStyle w:val="Textoindependiente"/>
        <w:spacing w:line="326" w:lineRule="auto"/>
        <w:ind w:left="1107" w:right="1626" w:firstLine="3"/>
      </w:pPr>
      <w:r>
        <w:t>Más allá de la necesidad de hacer realidad los derechos de las propias minorías, la atención mundial para garantizar la no discriminación y la igualdad de las minorías se basa, entre otras cosas, en la conciencia de que la discriminación estructural contra las minorías puede dar lugar a las fuerzas más oscuras de la humanidad, incluidas la guerra y el genocidio. También refleja el enfoque de larga data, pero ahora cada vez más urgente, de abordar las fuerzas sociales que sustentan e impulsan</w:t>
      </w:r>
      <w:r>
        <w:rPr>
          <w:spacing w:val="40"/>
        </w:rPr>
        <w:t xml:space="preserve"> </w:t>
      </w:r>
      <w:r>
        <w:t>los patrones de discriminación.</w:t>
      </w:r>
    </w:p>
    <w:p w14:paraId="29EEDF75" w14:textId="77777777" w:rsidR="0014798C" w:rsidRDefault="004E1F0B">
      <w:pPr>
        <w:pStyle w:val="Textoindependiente"/>
        <w:spacing w:before="168" w:line="326" w:lineRule="auto"/>
        <w:ind w:left="1108" w:right="1272" w:hanging="2"/>
      </w:pPr>
      <w:r>
        <w:t>Por</w:t>
      </w:r>
      <w:r>
        <w:rPr>
          <w:spacing w:val="14"/>
        </w:rPr>
        <w:t xml:space="preserve"> </w:t>
      </w:r>
      <w:r>
        <w:t>lo</w:t>
      </w:r>
      <w:r>
        <w:rPr>
          <w:spacing w:val="14"/>
        </w:rPr>
        <w:t xml:space="preserve"> </w:t>
      </w:r>
      <w:r>
        <w:t>tanto,</w:t>
      </w:r>
      <w:r>
        <w:rPr>
          <w:spacing w:val="15"/>
        </w:rPr>
        <w:t xml:space="preserve"> </w:t>
      </w:r>
      <w:r>
        <w:t>si</w:t>
      </w:r>
      <w:r>
        <w:rPr>
          <w:spacing w:val="14"/>
        </w:rPr>
        <w:t xml:space="preserve"> </w:t>
      </w:r>
      <w:r>
        <w:t>bien</w:t>
      </w:r>
      <w:r>
        <w:rPr>
          <w:spacing w:val="14"/>
        </w:rPr>
        <w:t xml:space="preserve"> </w:t>
      </w:r>
      <w:r>
        <w:t>la</w:t>
      </w:r>
      <w:r>
        <w:rPr>
          <w:spacing w:val="14"/>
        </w:rPr>
        <w:t xml:space="preserve"> </w:t>
      </w:r>
      <w:r>
        <w:t>adopción</w:t>
      </w:r>
      <w:r>
        <w:rPr>
          <w:spacing w:val="14"/>
        </w:rPr>
        <w:t xml:space="preserve"> </w:t>
      </w:r>
      <w:r>
        <w:t>e</w:t>
      </w:r>
      <w:r>
        <w:rPr>
          <w:spacing w:val="14"/>
        </w:rPr>
        <w:t xml:space="preserve"> </w:t>
      </w:r>
      <w:r>
        <w:t>implementación</w:t>
      </w:r>
      <w:r>
        <w:rPr>
          <w:spacing w:val="14"/>
        </w:rPr>
        <w:t xml:space="preserve"> </w:t>
      </w:r>
      <w:r>
        <w:t>de</w:t>
      </w:r>
      <w:r>
        <w:rPr>
          <w:spacing w:val="14"/>
        </w:rPr>
        <w:t xml:space="preserve"> </w:t>
      </w:r>
      <w:r>
        <w:t>leyes</w:t>
      </w:r>
      <w:r>
        <w:rPr>
          <w:spacing w:val="14"/>
        </w:rPr>
        <w:t xml:space="preserve"> </w:t>
      </w:r>
      <w:r>
        <w:t>integrales</w:t>
      </w:r>
      <w:r>
        <w:rPr>
          <w:spacing w:val="14"/>
        </w:rPr>
        <w:t xml:space="preserve"> </w:t>
      </w:r>
      <w:r>
        <w:t>contra</w:t>
      </w:r>
      <w:r>
        <w:rPr>
          <w:spacing w:val="14"/>
        </w:rPr>
        <w:t xml:space="preserve"> </w:t>
      </w:r>
      <w:r>
        <w:t>la</w:t>
      </w:r>
      <w:r>
        <w:rPr>
          <w:spacing w:val="14"/>
        </w:rPr>
        <w:t xml:space="preserve"> </w:t>
      </w:r>
      <w:r>
        <w:t>discriminación</w:t>
      </w:r>
      <w:r>
        <w:rPr>
          <w:spacing w:val="15"/>
        </w:rPr>
        <w:t xml:space="preserve"> </w:t>
      </w:r>
      <w:r>
        <w:t>no</w:t>
      </w:r>
      <w:r>
        <w:rPr>
          <w:spacing w:val="14"/>
        </w:rPr>
        <w:t xml:space="preserve"> </w:t>
      </w:r>
      <w:r>
        <w:t>es</w:t>
      </w:r>
      <w:r>
        <w:rPr>
          <w:spacing w:val="14"/>
        </w:rPr>
        <w:t xml:space="preserve"> </w:t>
      </w:r>
      <w:r>
        <w:t>una</w:t>
      </w:r>
      <w:r>
        <w:rPr>
          <w:spacing w:val="14"/>
        </w:rPr>
        <w:t xml:space="preserve"> </w:t>
      </w:r>
      <w:r>
        <w:t>condición</w:t>
      </w:r>
      <w:r>
        <w:rPr>
          <w:spacing w:val="14"/>
        </w:rPr>
        <w:t xml:space="preserve"> </w:t>
      </w:r>
      <w:r>
        <w:t xml:space="preserve">suficiente para la realización de los derechos de las minorías, es un elemento necesario –de hecho, esencial– de un sistema de protección </w:t>
      </w:r>
      <w:r>
        <w:rPr>
          <w:spacing w:val="-2"/>
        </w:rPr>
        <w:t>eficaz.</w:t>
      </w:r>
    </w:p>
    <w:p w14:paraId="4BFF5502" w14:textId="77777777" w:rsidR="0014798C" w:rsidRDefault="0014798C">
      <w:pPr>
        <w:pStyle w:val="Textoindependiente"/>
        <w:spacing w:before="44"/>
      </w:pPr>
    </w:p>
    <w:p w14:paraId="1D6D0ED6" w14:textId="77777777" w:rsidR="0014798C" w:rsidRDefault="004E1F0B">
      <w:pPr>
        <w:ind w:left="1120"/>
        <w:rPr>
          <w:sz w:val="28"/>
        </w:rPr>
      </w:pPr>
      <w:r>
        <w:rPr>
          <w:color w:val="0075BF"/>
          <w:sz w:val="28"/>
        </w:rPr>
        <w:t>Impacto</w:t>
      </w:r>
      <w:r>
        <w:rPr>
          <w:color w:val="0075BF"/>
          <w:spacing w:val="-3"/>
          <w:sz w:val="28"/>
        </w:rPr>
        <w:t xml:space="preserve"> </w:t>
      </w:r>
      <w:r>
        <w:rPr>
          <w:color w:val="0075BF"/>
          <w:sz w:val="28"/>
        </w:rPr>
        <w:t>de</w:t>
      </w:r>
      <w:r>
        <w:rPr>
          <w:color w:val="0075BF"/>
          <w:spacing w:val="-3"/>
          <w:sz w:val="28"/>
        </w:rPr>
        <w:t xml:space="preserve"> </w:t>
      </w:r>
      <w:r>
        <w:rPr>
          <w:color w:val="0075BF"/>
          <w:sz w:val="28"/>
        </w:rPr>
        <w:t>las</w:t>
      </w:r>
      <w:r>
        <w:rPr>
          <w:color w:val="0075BF"/>
          <w:spacing w:val="-3"/>
          <w:sz w:val="28"/>
        </w:rPr>
        <w:t xml:space="preserve"> </w:t>
      </w:r>
      <w:r>
        <w:rPr>
          <w:color w:val="0075BF"/>
          <w:sz w:val="28"/>
        </w:rPr>
        <w:t>leyes</w:t>
      </w:r>
      <w:r>
        <w:rPr>
          <w:color w:val="0075BF"/>
          <w:spacing w:val="-3"/>
          <w:sz w:val="28"/>
        </w:rPr>
        <w:t xml:space="preserve"> </w:t>
      </w:r>
      <w:r>
        <w:rPr>
          <w:color w:val="0075BF"/>
          <w:sz w:val="28"/>
        </w:rPr>
        <w:t>integrales</w:t>
      </w:r>
      <w:r>
        <w:rPr>
          <w:color w:val="0075BF"/>
          <w:spacing w:val="-3"/>
          <w:sz w:val="28"/>
        </w:rPr>
        <w:t xml:space="preserve"> </w:t>
      </w:r>
      <w:r>
        <w:rPr>
          <w:color w:val="0075BF"/>
          <w:sz w:val="28"/>
        </w:rPr>
        <w:t>contra</w:t>
      </w:r>
      <w:r>
        <w:rPr>
          <w:color w:val="0075BF"/>
          <w:spacing w:val="-3"/>
          <w:sz w:val="28"/>
        </w:rPr>
        <w:t xml:space="preserve"> </w:t>
      </w:r>
      <w:r>
        <w:rPr>
          <w:color w:val="0075BF"/>
          <w:sz w:val="28"/>
        </w:rPr>
        <w:t>la</w:t>
      </w:r>
      <w:r>
        <w:rPr>
          <w:color w:val="0075BF"/>
          <w:spacing w:val="-2"/>
          <w:sz w:val="28"/>
        </w:rPr>
        <w:t xml:space="preserve"> discriminación</w:t>
      </w:r>
    </w:p>
    <w:p w14:paraId="7BDEEACD" w14:textId="77777777" w:rsidR="0014798C" w:rsidRDefault="004E1F0B">
      <w:pPr>
        <w:pStyle w:val="Textoindependiente"/>
        <w:spacing w:before="244" w:line="326" w:lineRule="auto"/>
        <w:ind w:left="1112" w:right="1272" w:hanging="6"/>
      </w:pPr>
      <w:r>
        <w:t>La promulgación, aplicación e implementación de leyes integrales contra la discriminación es esencial para que los Estados aborden y eliminen todas las formas de discriminación y garanticen el disfrute de los derechos de las minorías.</w:t>
      </w:r>
    </w:p>
    <w:p w14:paraId="31E2AA1E" w14:textId="77777777" w:rsidR="0014798C" w:rsidRDefault="004E1F0B">
      <w:pPr>
        <w:pStyle w:val="Textoindependiente"/>
        <w:spacing w:line="326" w:lineRule="auto"/>
        <w:ind w:left="1108" w:right="1290" w:firstLine="4"/>
      </w:pPr>
      <w:r>
        <w:t xml:space="preserve">Desde 2000, un número cada vez mayor de Estados –desde Sudáfrica hasta la República de Moldova y desde el Estado Plurinacional de Bolivia hasta el Reino Unido de Gran Bretaña e Irlanda del Norte– han adoptado leyes integrales contra la discriminación. Al hacerlo, estos Estados han puesto sus leyes nacionales en conformidad con sus obligaciones jurídicas </w:t>
      </w:r>
      <w:r>
        <w:rPr>
          <w:spacing w:val="-2"/>
        </w:rPr>
        <w:t>internacionales.</w:t>
      </w:r>
    </w:p>
    <w:p w14:paraId="5FA50D40" w14:textId="77777777" w:rsidR="0014798C" w:rsidRDefault="004E1F0B">
      <w:pPr>
        <w:pStyle w:val="Textoindependiente"/>
        <w:spacing w:before="167" w:line="326" w:lineRule="auto"/>
        <w:ind w:left="1108" w:right="1463"/>
      </w:pPr>
      <w:r>
        <w:t>Sin embargo, la adopción de tales leyes significa mucho más que esto. Indica un reconocimiento de que la ley debe reflejar valores compartidos de dignidad, inclusión y diversidad, que debe brindar protección efectiva contra los daños y que sólo abordando la discriminación los Estados pueden crear sociedades más igualitarias.</w:t>
      </w:r>
    </w:p>
    <w:p w14:paraId="59FA2D9C" w14:textId="77777777" w:rsidR="0014798C" w:rsidRDefault="004E1F0B">
      <w:pPr>
        <w:pStyle w:val="Textoindependiente"/>
        <w:spacing w:before="169" w:line="326" w:lineRule="auto"/>
        <w:ind w:left="1108" w:right="1272" w:hanging="2"/>
      </w:pPr>
      <w:r>
        <w:t>La reivindicación de estas leyes es, sobre todo, que traducen compromisos abstractos con la igualdad en derechos legalmente exigibles,</w:t>
      </w:r>
      <w:r>
        <w:rPr>
          <w:spacing w:val="19"/>
        </w:rPr>
        <w:t xml:space="preserve"> </w:t>
      </w:r>
      <w:r>
        <w:t>equipando a aquellos expuestos a la discriminación</w:t>
      </w:r>
      <w:r>
        <w:rPr>
          <w:spacing w:val="19"/>
        </w:rPr>
        <w:t xml:space="preserve"> </w:t>
      </w:r>
      <w:r>
        <w:t>y las desventajas asociadas con las herramientas para cuestionar</w:t>
      </w:r>
      <w:r>
        <w:rPr>
          <w:spacing w:val="40"/>
        </w:rPr>
        <w:t xml:space="preserve"> </w:t>
      </w:r>
      <w:r>
        <w:t>ese</w:t>
      </w:r>
      <w:r>
        <w:rPr>
          <w:spacing w:val="13"/>
        </w:rPr>
        <w:t xml:space="preserve"> </w:t>
      </w:r>
      <w:r>
        <w:t>trato</w:t>
      </w:r>
      <w:r>
        <w:rPr>
          <w:spacing w:val="13"/>
        </w:rPr>
        <w:t xml:space="preserve"> </w:t>
      </w:r>
      <w:r>
        <w:t>y</w:t>
      </w:r>
      <w:r>
        <w:rPr>
          <w:spacing w:val="13"/>
        </w:rPr>
        <w:t xml:space="preserve"> </w:t>
      </w:r>
      <w:r>
        <w:t>recibir</w:t>
      </w:r>
      <w:r>
        <w:rPr>
          <w:spacing w:val="13"/>
        </w:rPr>
        <w:t xml:space="preserve"> </w:t>
      </w:r>
      <w:r>
        <w:t>reparación.</w:t>
      </w:r>
      <w:r>
        <w:rPr>
          <w:spacing w:val="15"/>
        </w:rPr>
        <w:t xml:space="preserve"> </w:t>
      </w:r>
      <w:r>
        <w:t>Un</w:t>
      </w:r>
      <w:r>
        <w:rPr>
          <w:spacing w:val="13"/>
        </w:rPr>
        <w:t xml:space="preserve"> </w:t>
      </w:r>
      <w:r>
        <w:t>estudio</w:t>
      </w:r>
      <w:r>
        <w:rPr>
          <w:spacing w:val="13"/>
        </w:rPr>
        <w:t xml:space="preserve"> </w:t>
      </w:r>
      <w:r>
        <w:t>de</w:t>
      </w:r>
      <w:r>
        <w:rPr>
          <w:spacing w:val="13"/>
        </w:rPr>
        <w:t xml:space="preserve"> </w:t>
      </w:r>
      <w:r>
        <w:t>caso</w:t>
      </w:r>
      <w:r>
        <w:rPr>
          <w:spacing w:val="13"/>
        </w:rPr>
        <w:t xml:space="preserve"> </w:t>
      </w:r>
      <w:r>
        <w:t>demuestra</w:t>
      </w:r>
      <w:r>
        <w:rPr>
          <w:spacing w:val="13"/>
        </w:rPr>
        <w:t xml:space="preserve"> </w:t>
      </w:r>
      <w:r>
        <w:t>esta</w:t>
      </w:r>
      <w:r>
        <w:rPr>
          <w:spacing w:val="13"/>
        </w:rPr>
        <w:t xml:space="preserve"> </w:t>
      </w:r>
      <w:r>
        <w:t>notable</w:t>
      </w:r>
      <w:r>
        <w:rPr>
          <w:spacing w:val="13"/>
        </w:rPr>
        <w:t xml:space="preserve"> </w:t>
      </w:r>
      <w:r>
        <w:t>transformación</w:t>
      </w:r>
      <w:r>
        <w:rPr>
          <w:spacing w:val="13"/>
        </w:rPr>
        <w:t xml:space="preserve"> </w:t>
      </w:r>
      <w:r>
        <w:t>en</w:t>
      </w:r>
      <w:r>
        <w:rPr>
          <w:spacing w:val="13"/>
        </w:rPr>
        <w:t xml:space="preserve"> </w:t>
      </w:r>
      <w:r>
        <w:t>la</w:t>
      </w:r>
      <w:r>
        <w:rPr>
          <w:spacing w:val="13"/>
        </w:rPr>
        <w:t xml:space="preserve"> </w:t>
      </w:r>
      <w:r>
        <w:t>práctica:</w:t>
      </w:r>
      <w:r>
        <w:rPr>
          <w:spacing w:val="14"/>
        </w:rPr>
        <w:t xml:space="preserve"> </w:t>
      </w:r>
      <w:r>
        <w:t>en</w:t>
      </w:r>
      <w:r>
        <w:rPr>
          <w:spacing w:val="13"/>
        </w:rPr>
        <w:t xml:space="preserve"> </w:t>
      </w:r>
      <w:r>
        <w:t>2016,</w:t>
      </w:r>
      <w:r>
        <w:rPr>
          <w:spacing w:val="14"/>
        </w:rPr>
        <w:t xml:space="preserve"> </w:t>
      </w:r>
      <w:r>
        <w:t>poco</w:t>
      </w:r>
      <w:r>
        <w:rPr>
          <w:spacing w:val="13"/>
        </w:rPr>
        <w:t xml:space="preserve"> </w:t>
      </w:r>
      <w:r>
        <w:t>más</w:t>
      </w:r>
      <w:r>
        <w:rPr>
          <w:spacing w:val="13"/>
        </w:rPr>
        <w:t xml:space="preserve"> </w:t>
      </w:r>
      <w:r>
        <w:t xml:space="preserve">de dos décadas después de su creación, </w:t>
      </w:r>
      <w:proofErr w:type="spellStart"/>
      <w:r>
        <w:t>Unia</w:t>
      </w:r>
      <w:proofErr w:type="spellEnd"/>
      <w:r>
        <w:t xml:space="preserve"> (el organismo federal de igualdad de Bélgica) informó que había recibido 5.619 denuncias</w:t>
      </w:r>
      <w:r>
        <w:rPr>
          <w:spacing w:val="17"/>
        </w:rPr>
        <w:t xml:space="preserve"> </w:t>
      </w:r>
      <w:r>
        <w:t>de</w:t>
      </w:r>
      <w:r>
        <w:rPr>
          <w:spacing w:val="17"/>
        </w:rPr>
        <w:t xml:space="preserve"> </w:t>
      </w:r>
      <w:r>
        <w:t>discriminación,</w:t>
      </w:r>
      <w:r>
        <w:rPr>
          <w:spacing w:val="20"/>
        </w:rPr>
        <w:t xml:space="preserve"> </w:t>
      </w:r>
      <w:r>
        <w:t>lo</w:t>
      </w:r>
      <w:r>
        <w:rPr>
          <w:spacing w:val="17"/>
        </w:rPr>
        <w:t xml:space="preserve"> </w:t>
      </w:r>
      <w:r>
        <w:t>que</w:t>
      </w:r>
      <w:r>
        <w:rPr>
          <w:spacing w:val="17"/>
        </w:rPr>
        <w:t xml:space="preserve"> </w:t>
      </w:r>
      <w:r>
        <w:t>le</w:t>
      </w:r>
      <w:r>
        <w:rPr>
          <w:spacing w:val="17"/>
        </w:rPr>
        <w:t xml:space="preserve"> </w:t>
      </w:r>
      <w:r>
        <w:t>llevó</w:t>
      </w:r>
      <w:r>
        <w:rPr>
          <w:spacing w:val="17"/>
        </w:rPr>
        <w:t xml:space="preserve"> </w:t>
      </w:r>
      <w:r>
        <w:t>a</w:t>
      </w:r>
      <w:r>
        <w:rPr>
          <w:spacing w:val="17"/>
        </w:rPr>
        <w:t xml:space="preserve"> </w:t>
      </w:r>
      <w:r>
        <w:t>abrir</w:t>
      </w:r>
      <w:r>
        <w:rPr>
          <w:spacing w:val="17"/>
        </w:rPr>
        <w:t xml:space="preserve"> </w:t>
      </w:r>
      <w:r>
        <w:t>1.907</w:t>
      </w:r>
      <w:r>
        <w:rPr>
          <w:spacing w:val="17"/>
        </w:rPr>
        <w:t xml:space="preserve"> </w:t>
      </w:r>
      <w:r>
        <w:t>expedientes</w:t>
      </w:r>
      <w:r>
        <w:rPr>
          <w:spacing w:val="17"/>
        </w:rPr>
        <w:t xml:space="preserve"> </w:t>
      </w:r>
      <w:r>
        <w:t>que</w:t>
      </w:r>
      <w:r>
        <w:rPr>
          <w:spacing w:val="17"/>
        </w:rPr>
        <w:t xml:space="preserve"> </w:t>
      </w:r>
      <w:r>
        <w:t>abarcaban</w:t>
      </w:r>
      <w:r>
        <w:rPr>
          <w:spacing w:val="17"/>
        </w:rPr>
        <w:t xml:space="preserve"> </w:t>
      </w:r>
      <w:r>
        <w:t>discriminación</w:t>
      </w:r>
      <w:r>
        <w:rPr>
          <w:spacing w:val="18"/>
        </w:rPr>
        <w:t xml:space="preserve"> </w:t>
      </w:r>
      <w:r>
        <w:t>por</w:t>
      </w:r>
      <w:r>
        <w:rPr>
          <w:spacing w:val="17"/>
        </w:rPr>
        <w:t xml:space="preserve"> </w:t>
      </w:r>
      <w:r>
        <w:t>diversos</w:t>
      </w:r>
      <w:r>
        <w:rPr>
          <w:spacing w:val="17"/>
        </w:rPr>
        <w:t xml:space="preserve"> </w:t>
      </w:r>
      <w:r>
        <w:t>motivos, incluidos la raza, la discapacidad y la religión o creencias. También publicó evaluaciones integrales que identifican desigualdades significativas en el sistema educativo belga, en particular en lo que respecta al origen social, el género, la discapacidad o la orientación sexual de los alumnos.8 No hay indicios de que Bélgica tenga más o menos discriminación que cualquier otra sociedad;</w:t>
      </w:r>
      <w:r>
        <w:rPr>
          <w:spacing w:val="10"/>
        </w:rPr>
        <w:t xml:space="preserve"> </w:t>
      </w:r>
      <w:r>
        <w:t>más</w:t>
      </w:r>
      <w:r>
        <w:rPr>
          <w:spacing w:val="9"/>
        </w:rPr>
        <w:t xml:space="preserve"> </w:t>
      </w:r>
      <w:r>
        <w:t>bien,</w:t>
      </w:r>
      <w:r>
        <w:rPr>
          <w:spacing w:val="10"/>
        </w:rPr>
        <w:t xml:space="preserve"> </w:t>
      </w:r>
      <w:r>
        <w:t>los</w:t>
      </w:r>
      <w:r>
        <w:rPr>
          <w:spacing w:val="9"/>
        </w:rPr>
        <w:t xml:space="preserve"> </w:t>
      </w:r>
      <w:r>
        <w:t>datos</w:t>
      </w:r>
      <w:r>
        <w:rPr>
          <w:spacing w:val="9"/>
        </w:rPr>
        <w:t xml:space="preserve"> </w:t>
      </w:r>
      <w:r>
        <w:t>demuestran</w:t>
      </w:r>
      <w:r>
        <w:rPr>
          <w:spacing w:val="9"/>
        </w:rPr>
        <w:t xml:space="preserve"> </w:t>
      </w:r>
      <w:r>
        <w:t>el</w:t>
      </w:r>
      <w:r>
        <w:rPr>
          <w:spacing w:val="9"/>
        </w:rPr>
        <w:t xml:space="preserve"> </w:t>
      </w:r>
      <w:r>
        <w:t>funcionamiento</w:t>
      </w:r>
      <w:r>
        <w:rPr>
          <w:spacing w:val="9"/>
        </w:rPr>
        <w:t xml:space="preserve"> </w:t>
      </w:r>
      <w:r>
        <w:t>de</w:t>
      </w:r>
      <w:r>
        <w:rPr>
          <w:spacing w:val="9"/>
        </w:rPr>
        <w:t xml:space="preserve"> </w:t>
      </w:r>
      <w:r>
        <w:t>un</w:t>
      </w:r>
      <w:r>
        <w:rPr>
          <w:spacing w:val="9"/>
        </w:rPr>
        <w:t xml:space="preserve"> </w:t>
      </w:r>
      <w:r>
        <w:t>sistema</w:t>
      </w:r>
      <w:r>
        <w:rPr>
          <w:spacing w:val="9"/>
        </w:rPr>
        <w:t xml:space="preserve"> </w:t>
      </w:r>
      <w:r>
        <w:t>que</w:t>
      </w:r>
      <w:r>
        <w:rPr>
          <w:spacing w:val="9"/>
        </w:rPr>
        <w:t xml:space="preserve"> </w:t>
      </w:r>
      <w:r>
        <w:t>trabaja</w:t>
      </w:r>
      <w:r>
        <w:rPr>
          <w:spacing w:val="9"/>
        </w:rPr>
        <w:t xml:space="preserve"> </w:t>
      </w:r>
      <w:r>
        <w:t>para</w:t>
      </w:r>
      <w:r>
        <w:rPr>
          <w:spacing w:val="9"/>
        </w:rPr>
        <w:t xml:space="preserve"> </w:t>
      </w:r>
      <w:r>
        <w:t>responder</w:t>
      </w:r>
      <w:r>
        <w:rPr>
          <w:spacing w:val="9"/>
        </w:rPr>
        <w:t xml:space="preserve"> </w:t>
      </w:r>
      <w:r>
        <w:t>y</w:t>
      </w:r>
      <w:r>
        <w:rPr>
          <w:spacing w:val="9"/>
        </w:rPr>
        <w:t xml:space="preserve"> </w:t>
      </w:r>
      <w:r>
        <w:t>abordar</w:t>
      </w:r>
      <w:r>
        <w:rPr>
          <w:spacing w:val="9"/>
        </w:rPr>
        <w:t xml:space="preserve"> </w:t>
      </w:r>
      <w:r>
        <w:t>la discriminación que las personas sienten que han experimentado en</w:t>
      </w:r>
    </w:p>
    <w:p w14:paraId="6DB49FF2" w14:textId="77777777" w:rsidR="0014798C" w:rsidRDefault="004E1F0B">
      <w:pPr>
        <w:pStyle w:val="Textoindependiente"/>
        <w:spacing w:before="23"/>
        <w:rPr>
          <w:sz w:val="20"/>
        </w:rPr>
      </w:pPr>
      <w:r>
        <w:rPr>
          <w:noProof/>
        </w:rPr>
        <w:drawing>
          <wp:anchor distT="0" distB="0" distL="0" distR="0" simplePos="0" relativeHeight="251658511" behindDoc="1" locked="0" layoutInCell="1" allowOverlap="1" wp14:anchorId="25469E95" wp14:editId="213E7D0B">
            <wp:simplePos x="0" y="0"/>
            <wp:positionH relativeFrom="page">
              <wp:posOffset>826632</wp:posOffset>
            </wp:positionH>
            <wp:positionV relativeFrom="paragraph">
              <wp:posOffset>176099</wp:posOffset>
            </wp:positionV>
            <wp:extent cx="931001" cy="35813"/>
            <wp:effectExtent l="0" t="0" r="0" b="0"/>
            <wp:wrapTopAndBottom/>
            <wp:docPr id="36" name="Image 3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6" name="Image 36"/>
                    <pic:cNvPicPr/>
                  </pic:nvPicPr>
                  <pic:blipFill>
                    <a:blip r:embed="rId41" cstate="print"/>
                    <a:stretch>
                      <a:fillRect/>
                    </a:stretch>
                  </pic:blipFill>
                  <pic:spPr>
                    <a:xfrm>
                      <a:off x="0" y="0"/>
                      <a:ext cx="931001" cy="35813"/>
                    </a:xfrm>
                    <a:prstGeom prst="rect">
                      <a:avLst/>
                    </a:prstGeom>
                  </pic:spPr>
                </pic:pic>
              </a:graphicData>
            </a:graphic>
          </wp:anchor>
        </w:drawing>
      </w:r>
    </w:p>
    <w:p w14:paraId="456904CB" w14:textId="77777777" w:rsidR="0014798C" w:rsidRDefault="004E1F0B">
      <w:pPr>
        <w:pStyle w:val="Prrafodelista"/>
        <w:numPr>
          <w:ilvl w:val="0"/>
          <w:numId w:val="95"/>
        </w:numPr>
        <w:tabs>
          <w:tab w:val="left" w:pos="1226"/>
        </w:tabs>
        <w:spacing w:before="136"/>
        <w:ind w:left="1226" w:hanging="118"/>
        <w:rPr>
          <w:sz w:val="14"/>
        </w:rPr>
      </w:pPr>
      <w:r>
        <w:rPr>
          <w:sz w:val="14"/>
        </w:rPr>
        <w:t>Nicole</w:t>
      </w:r>
      <w:r>
        <w:rPr>
          <w:spacing w:val="4"/>
          <w:sz w:val="14"/>
        </w:rPr>
        <w:t xml:space="preserve"> </w:t>
      </w:r>
      <w:r>
        <w:rPr>
          <w:sz w:val="14"/>
        </w:rPr>
        <w:t>Girard,</w:t>
      </w:r>
      <w:r>
        <w:rPr>
          <w:spacing w:val="6"/>
          <w:sz w:val="14"/>
        </w:rPr>
        <w:t xml:space="preserve"> </w:t>
      </w:r>
      <w:r>
        <w:rPr>
          <w:sz w:val="14"/>
        </w:rPr>
        <w:t>“Llegar</w:t>
      </w:r>
      <w:r>
        <w:rPr>
          <w:spacing w:val="4"/>
          <w:sz w:val="14"/>
        </w:rPr>
        <w:t xml:space="preserve"> </w:t>
      </w:r>
      <w:r>
        <w:rPr>
          <w:sz w:val="14"/>
        </w:rPr>
        <w:t>a</w:t>
      </w:r>
      <w:r>
        <w:rPr>
          <w:spacing w:val="5"/>
          <w:sz w:val="14"/>
        </w:rPr>
        <w:t xml:space="preserve"> </w:t>
      </w:r>
      <w:r>
        <w:rPr>
          <w:sz w:val="14"/>
        </w:rPr>
        <w:t>los</w:t>
      </w:r>
      <w:r>
        <w:rPr>
          <w:spacing w:val="5"/>
          <w:sz w:val="14"/>
        </w:rPr>
        <w:t xml:space="preserve"> </w:t>
      </w:r>
      <w:r>
        <w:rPr>
          <w:sz w:val="14"/>
        </w:rPr>
        <w:t>más</w:t>
      </w:r>
      <w:r>
        <w:rPr>
          <w:spacing w:val="4"/>
          <w:sz w:val="14"/>
        </w:rPr>
        <w:t xml:space="preserve"> </w:t>
      </w:r>
      <w:r>
        <w:rPr>
          <w:sz w:val="14"/>
        </w:rPr>
        <w:t>marginados:</w:t>
      </w:r>
      <w:r>
        <w:rPr>
          <w:spacing w:val="6"/>
          <w:sz w:val="14"/>
        </w:rPr>
        <w:t xml:space="preserve"> </w:t>
      </w:r>
      <w:r>
        <w:rPr>
          <w:sz w:val="14"/>
        </w:rPr>
        <w:t>un</w:t>
      </w:r>
      <w:r>
        <w:rPr>
          <w:spacing w:val="4"/>
          <w:sz w:val="14"/>
        </w:rPr>
        <w:t xml:space="preserve"> </w:t>
      </w:r>
      <w:r>
        <w:rPr>
          <w:sz w:val="14"/>
        </w:rPr>
        <w:t>enfoque</w:t>
      </w:r>
      <w:r>
        <w:rPr>
          <w:spacing w:val="5"/>
          <w:sz w:val="14"/>
        </w:rPr>
        <w:t xml:space="preserve"> </w:t>
      </w:r>
      <w:r>
        <w:rPr>
          <w:sz w:val="14"/>
        </w:rPr>
        <w:t>interseccional</w:t>
      </w:r>
      <w:r>
        <w:rPr>
          <w:spacing w:val="5"/>
          <w:sz w:val="14"/>
        </w:rPr>
        <w:t xml:space="preserve"> </w:t>
      </w:r>
      <w:r>
        <w:rPr>
          <w:sz w:val="14"/>
        </w:rPr>
        <w:t>a</w:t>
      </w:r>
      <w:r>
        <w:rPr>
          <w:spacing w:val="4"/>
          <w:sz w:val="14"/>
        </w:rPr>
        <w:t xml:space="preserve"> </w:t>
      </w:r>
      <w:r>
        <w:rPr>
          <w:sz w:val="14"/>
        </w:rPr>
        <w:t>los</w:t>
      </w:r>
      <w:r>
        <w:rPr>
          <w:spacing w:val="5"/>
          <w:sz w:val="14"/>
        </w:rPr>
        <w:t xml:space="preserve"> </w:t>
      </w:r>
      <w:r>
        <w:rPr>
          <w:sz w:val="14"/>
        </w:rPr>
        <w:t>derechos</w:t>
      </w:r>
      <w:r>
        <w:rPr>
          <w:spacing w:val="4"/>
          <w:sz w:val="14"/>
        </w:rPr>
        <w:t xml:space="preserve"> </w:t>
      </w:r>
      <w:r>
        <w:rPr>
          <w:sz w:val="14"/>
        </w:rPr>
        <w:t>de</w:t>
      </w:r>
      <w:r>
        <w:rPr>
          <w:spacing w:val="5"/>
          <w:sz w:val="14"/>
        </w:rPr>
        <w:t xml:space="preserve"> </w:t>
      </w:r>
      <w:r>
        <w:rPr>
          <w:sz w:val="14"/>
        </w:rPr>
        <w:t>las</w:t>
      </w:r>
      <w:r>
        <w:rPr>
          <w:spacing w:val="5"/>
          <w:sz w:val="14"/>
        </w:rPr>
        <w:t xml:space="preserve"> </w:t>
      </w:r>
      <w:r>
        <w:rPr>
          <w:sz w:val="14"/>
        </w:rPr>
        <w:t>minorías”,</w:t>
      </w:r>
      <w:r>
        <w:rPr>
          <w:spacing w:val="5"/>
          <w:sz w:val="14"/>
        </w:rPr>
        <w:t xml:space="preserve"> </w:t>
      </w:r>
      <w:proofErr w:type="spellStart"/>
      <w:r>
        <w:rPr>
          <w:sz w:val="14"/>
        </w:rPr>
        <w:t>Minority</w:t>
      </w:r>
      <w:proofErr w:type="spellEnd"/>
      <w:r>
        <w:rPr>
          <w:spacing w:val="5"/>
          <w:sz w:val="14"/>
        </w:rPr>
        <w:t xml:space="preserve"> </w:t>
      </w:r>
      <w:proofErr w:type="spellStart"/>
      <w:r>
        <w:rPr>
          <w:sz w:val="14"/>
        </w:rPr>
        <w:t>Rights</w:t>
      </w:r>
      <w:proofErr w:type="spellEnd"/>
      <w:r>
        <w:rPr>
          <w:spacing w:val="4"/>
          <w:sz w:val="14"/>
        </w:rPr>
        <w:t xml:space="preserve"> </w:t>
      </w:r>
      <w:r>
        <w:rPr>
          <w:sz w:val="14"/>
        </w:rPr>
        <w:t>Group</w:t>
      </w:r>
      <w:r>
        <w:rPr>
          <w:spacing w:val="5"/>
          <w:sz w:val="14"/>
        </w:rPr>
        <w:t xml:space="preserve"> </w:t>
      </w:r>
      <w:r>
        <w:rPr>
          <w:spacing w:val="-2"/>
          <w:sz w:val="14"/>
        </w:rPr>
        <w:t>International.</w:t>
      </w:r>
    </w:p>
    <w:p w14:paraId="68E9BF94" w14:textId="77777777" w:rsidR="0014798C" w:rsidRDefault="004E1F0B">
      <w:pPr>
        <w:spacing w:before="20"/>
        <w:ind w:left="1365"/>
        <w:rPr>
          <w:sz w:val="14"/>
        </w:rPr>
      </w:pPr>
      <w:r>
        <w:rPr>
          <w:sz w:val="14"/>
        </w:rPr>
        <w:t>Disponible</w:t>
      </w:r>
      <w:r>
        <w:rPr>
          <w:spacing w:val="53"/>
          <w:sz w:val="14"/>
        </w:rPr>
        <w:t xml:space="preserve"> </w:t>
      </w:r>
      <w:r>
        <w:rPr>
          <w:sz w:val="14"/>
        </w:rPr>
        <w:t>en</w:t>
      </w:r>
      <w:r>
        <w:rPr>
          <w:spacing w:val="54"/>
          <w:sz w:val="14"/>
        </w:rPr>
        <w:t xml:space="preserve"> </w:t>
      </w:r>
      <w:r>
        <w:rPr>
          <w:color w:val="0075BF"/>
          <w:sz w:val="14"/>
        </w:rPr>
        <w:t>https://minorityrights.org/fifty/report/intersectional­</w:t>
      </w:r>
      <w:r>
        <w:rPr>
          <w:color w:val="0075BF"/>
          <w:spacing w:val="-2"/>
          <w:sz w:val="14"/>
        </w:rPr>
        <w:t>approach.</w:t>
      </w:r>
    </w:p>
    <w:p w14:paraId="6A6776D1" w14:textId="77777777" w:rsidR="0014798C" w:rsidRDefault="004E1F0B">
      <w:pPr>
        <w:pStyle w:val="Prrafodelista"/>
        <w:numPr>
          <w:ilvl w:val="0"/>
          <w:numId w:val="95"/>
        </w:numPr>
        <w:tabs>
          <w:tab w:val="left" w:pos="1212"/>
        </w:tabs>
        <w:spacing w:before="85"/>
        <w:ind w:left="1212" w:hanging="102"/>
        <w:rPr>
          <w:sz w:val="12"/>
        </w:rPr>
      </w:pPr>
      <w:r>
        <w:rPr>
          <w:sz w:val="12"/>
        </w:rPr>
        <w:t>Véase</w:t>
      </w:r>
      <w:r>
        <w:rPr>
          <w:spacing w:val="62"/>
          <w:w w:val="150"/>
          <w:sz w:val="12"/>
        </w:rPr>
        <w:t xml:space="preserve"> </w:t>
      </w:r>
      <w:hyperlink r:id="rId43">
        <w:r>
          <w:rPr>
            <w:color w:val="0075BF"/>
            <w:sz w:val="12"/>
          </w:rPr>
          <w:t>www.unia.be/en/publications­statistics/publications/unias­work­expressed­in­figures­for­</w:t>
        </w:r>
        <w:r>
          <w:rPr>
            <w:color w:val="0075BF"/>
            <w:spacing w:val="-2"/>
            <w:sz w:val="12"/>
          </w:rPr>
          <w:t>2016.</w:t>
        </w:r>
      </w:hyperlink>
    </w:p>
    <w:p w14:paraId="1E4618E7" w14:textId="77777777" w:rsidR="0014798C" w:rsidRDefault="0014798C">
      <w:pPr>
        <w:pStyle w:val="Textoindependiente"/>
        <w:rPr>
          <w:sz w:val="14"/>
        </w:rPr>
      </w:pPr>
    </w:p>
    <w:p w14:paraId="02361BC1" w14:textId="77777777" w:rsidR="0014798C" w:rsidRDefault="0014798C">
      <w:pPr>
        <w:pStyle w:val="Textoindependiente"/>
        <w:rPr>
          <w:sz w:val="14"/>
        </w:rPr>
      </w:pPr>
    </w:p>
    <w:p w14:paraId="70D379AD" w14:textId="77777777" w:rsidR="0014798C" w:rsidRDefault="0014798C">
      <w:pPr>
        <w:pStyle w:val="Textoindependiente"/>
        <w:rPr>
          <w:sz w:val="14"/>
        </w:rPr>
      </w:pPr>
    </w:p>
    <w:p w14:paraId="7BEFD563" w14:textId="77777777" w:rsidR="0014798C" w:rsidRDefault="0014798C">
      <w:pPr>
        <w:pStyle w:val="Textoindependiente"/>
        <w:rPr>
          <w:sz w:val="14"/>
        </w:rPr>
      </w:pPr>
    </w:p>
    <w:p w14:paraId="3ADA2B54" w14:textId="77777777" w:rsidR="0014798C" w:rsidRDefault="0014798C">
      <w:pPr>
        <w:pStyle w:val="Textoindependiente"/>
        <w:rPr>
          <w:sz w:val="14"/>
        </w:rPr>
      </w:pPr>
    </w:p>
    <w:p w14:paraId="5EBD12CD" w14:textId="77777777" w:rsidR="0014798C" w:rsidRDefault="0014798C">
      <w:pPr>
        <w:pStyle w:val="Textoindependiente"/>
        <w:rPr>
          <w:sz w:val="14"/>
        </w:rPr>
      </w:pPr>
    </w:p>
    <w:p w14:paraId="168721C9" w14:textId="77777777" w:rsidR="0014798C" w:rsidRDefault="004E1F0B">
      <w:pPr>
        <w:ind w:left="446"/>
        <w:rPr>
          <w:sz w:val="14"/>
        </w:rPr>
      </w:pPr>
      <w:r>
        <w:rPr>
          <w:spacing w:val="-4"/>
          <w:sz w:val="14"/>
        </w:rPr>
        <w:t>XXIV</w:t>
      </w:r>
    </w:p>
    <w:p w14:paraId="5927D14B" w14:textId="77777777" w:rsidR="0014798C" w:rsidRDefault="0014798C">
      <w:pPr>
        <w:rPr>
          <w:sz w:val="14"/>
        </w:rPr>
        <w:sectPr w:rsidR="0014798C" w:rsidSect="00F265E4">
          <w:pgSz w:w="11900" w:h="16820"/>
          <w:pgMar w:top="340" w:right="0" w:bottom="280" w:left="200" w:header="121" w:footer="0" w:gutter="0"/>
          <w:cols w:space="720"/>
        </w:sectPr>
      </w:pPr>
    </w:p>
    <w:p w14:paraId="679509B4" w14:textId="77777777" w:rsidR="0014798C" w:rsidRDefault="0014798C">
      <w:pPr>
        <w:pStyle w:val="Textoindependiente"/>
        <w:spacing w:before="51"/>
        <w:rPr>
          <w:sz w:val="14"/>
        </w:rPr>
      </w:pPr>
    </w:p>
    <w:p w14:paraId="5BA227F7" w14:textId="77777777" w:rsidR="0014798C" w:rsidRDefault="004E1F0B">
      <w:pPr>
        <w:ind w:left="1114"/>
        <w:rPr>
          <w:sz w:val="14"/>
        </w:rPr>
      </w:pPr>
      <w:r>
        <w:rPr>
          <w:color w:val="0075BF"/>
          <w:spacing w:val="-2"/>
          <w:sz w:val="14"/>
        </w:rPr>
        <w:t>INTRODUCCIÓN</w:t>
      </w:r>
    </w:p>
    <w:p w14:paraId="76E405F2" w14:textId="77777777" w:rsidR="0014798C" w:rsidRDefault="0014798C">
      <w:pPr>
        <w:pStyle w:val="Textoindependiente"/>
      </w:pPr>
    </w:p>
    <w:p w14:paraId="24C4FF3D" w14:textId="77777777" w:rsidR="0014798C" w:rsidRDefault="0014798C">
      <w:pPr>
        <w:pStyle w:val="Textoindependiente"/>
      </w:pPr>
    </w:p>
    <w:p w14:paraId="34809769" w14:textId="77777777" w:rsidR="0014798C" w:rsidRDefault="0014798C">
      <w:pPr>
        <w:pStyle w:val="Textoindependiente"/>
      </w:pPr>
    </w:p>
    <w:p w14:paraId="443D5F3A" w14:textId="77777777" w:rsidR="0014798C" w:rsidRDefault="0014798C">
      <w:pPr>
        <w:pStyle w:val="Textoindependiente"/>
      </w:pPr>
    </w:p>
    <w:p w14:paraId="017B03E0" w14:textId="77777777" w:rsidR="0014798C" w:rsidRDefault="0014798C">
      <w:pPr>
        <w:pStyle w:val="Textoindependiente"/>
        <w:spacing w:before="61"/>
      </w:pPr>
    </w:p>
    <w:p w14:paraId="675046A5" w14:textId="77777777" w:rsidR="0014798C" w:rsidRDefault="004E1F0B">
      <w:pPr>
        <w:pStyle w:val="Textoindependiente"/>
        <w:spacing w:line="326" w:lineRule="auto"/>
        <w:ind w:left="1109" w:right="1272" w:hanging="3"/>
      </w:pPr>
      <w:r>
        <w:t xml:space="preserve">el curso de su vida diaria y una administración que ha tomado en serio estos problemas y ha establecido medios legales para </w:t>
      </w:r>
      <w:r>
        <w:rPr>
          <w:spacing w:val="-2"/>
        </w:rPr>
        <w:t>abordarlos.</w:t>
      </w:r>
    </w:p>
    <w:p w14:paraId="0DB31079" w14:textId="77777777" w:rsidR="0014798C" w:rsidRDefault="004E1F0B">
      <w:pPr>
        <w:pStyle w:val="Textoindependiente"/>
        <w:spacing w:before="169" w:line="326" w:lineRule="auto"/>
        <w:ind w:left="1109" w:right="1378" w:hanging="4"/>
      </w:pPr>
      <w:r>
        <w:t>Por</w:t>
      </w:r>
      <w:r>
        <w:rPr>
          <w:spacing w:val="9"/>
        </w:rPr>
        <w:t xml:space="preserve"> </w:t>
      </w:r>
      <w:r>
        <w:t>lo</w:t>
      </w:r>
      <w:r>
        <w:rPr>
          <w:spacing w:val="9"/>
        </w:rPr>
        <w:t xml:space="preserve"> </w:t>
      </w:r>
      <w:r>
        <w:t>tanto,</w:t>
      </w:r>
      <w:r>
        <w:rPr>
          <w:spacing w:val="10"/>
        </w:rPr>
        <w:t xml:space="preserve"> </w:t>
      </w:r>
      <w:r>
        <w:t>si</w:t>
      </w:r>
      <w:r>
        <w:rPr>
          <w:spacing w:val="9"/>
        </w:rPr>
        <w:t xml:space="preserve"> </w:t>
      </w:r>
      <w:r>
        <w:t>se</w:t>
      </w:r>
      <w:r>
        <w:rPr>
          <w:spacing w:val="9"/>
        </w:rPr>
        <w:t xml:space="preserve"> </w:t>
      </w:r>
      <w:r>
        <w:t>aplican</w:t>
      </w:r>
      <w:r>
        <w:rPr>
          <w:spacing w:val="9"/>
        </w:rPr>
        <w:t xml:space="preserve"> </w:t>
      </w:r>
      <w:r>
        <w:t>correctamente,</w:t>
      </w:r>
      <w:r>
        <w:rPr>
          <w:spacing w:val="11"/>
        </w:rPr>
        <w:t xml:space="preserve"> </w:t>
      </w:r>
      <w:r>
        <w:t>las</w:t>
      </w:r>
      <w:r>
        <w:rPr>
          <w:spacing w:val="9"/>
        </w:rPr>
        <w:t xml:space="preserve"> </w:t>
      </w:r>
      <w:r>
        <w:t>leyes</w:t>
      </w:r>
      <w:r>
        <w:rPr>
          <w:spacing w:val="9"/>
        </w:rPr>
        <w:t xml:space="preserve"> </w:t>
      </w:r>
      <w:r>
        <w:t>integrales</w:t>
      </w:r>
      <w:r>
        <w:rPr>
          <w:spacing w:val="9"/>
        </w:rPr>
        <w:t xml:space="preserve"> </w:t>
      </w:r>
      <w:r>
        <w:t>contra</w:t>
      </w:r>
      <w:r>
        <w:rPr>
          <w:spacing w:val="9"/>
        </w:rPr>
        <w:t xml:space="preserve"> </w:t>
      </w:r>
      <w:r>
        <w:t>la</w:t>
      </w:r>
      <w:r>
        <w:rPr>
          <w:spacing w:val="9"/>
        </w:rPr>
        <w:t xml:space="preserve"> </w:t>
      </w:r>
      <w:r>
        <w:t>discriminación</w:t>
      </w:r>
      <w:r>
        <w:rPr>
          <w:spacing w:val="10"/>
        </w:rPr>
        <w:t xml:space="preserve"> </w:t>
      </w:r>
      <w:r>
        <w:t>ofrecen</w:t>
      </w:r>
      <w:r>
        <w:rPr>
          <w:spacing w:val="9"/>
        </w:rPr>
        <w:t xml:space="preserve"> </w:t>
      </w:r>
      <w:r>
        <w:t>a</w:t>
      </w:r>
      <w:r>
        <w:rPr>
          <w:spacing w:val="9"/>
        </w:rPr>
        <w:t xml:space="preserve"> </w:t>
      </w:r>
      <w:r>
        <w:t>las</w:t>
      </w:r>
      <w:r>
        <w:rPr>
          <w:spacing w:val="9"/>
        </w:rPr>
        <w:t xml:space="preserve"> </w:t>
      </w:r>
      <w:r>
        <w:t>personas</w:t>
      </w:r>
      <w:r>
        <w:rPr>
          <w:spacing w:val="9"/>
        </w:rPr>
        <w:t xml:space="preserve"> </w:t>
      </w:r>
      <w:r>
        <w:t>un</w:t>
      </w:r>
      <w:r>
        <w:rPr>
          <w:spacing w:val="9"/>
        </w:rPr>
        <w:t xml:space="preserve"> </w:t>
      </w:r>
      <w:r>
        <w:t>marco</w:t>
      </w:r>
      <w:r>
        <w:rPr>
          <w:spacing w:val="10"/>
        </w:rPr>
        <w:t xml:space="preserve"> </w:t>
      </w:r>
      <w:r>
        <w:t>práctico y tangible para tomar medidas para reivindicar sus derechos cuando crean que han sido violados. En todo el mundo, en</w:t>
      </w:r>
    </w:p>
    <w:p w14:paraId="298B9972" w14:textId="77777777" w:rsidR="0014798C" w:rsidRDefault="004E1F0B">
      <w:pPr>
        <w:pStyle w:val="Textoindependiente"/>
        <w:spacing w:line="326" w:lineRule="auto"/>
        <w:ind w:left="1109" w:right="1272" w:hanging="4"/>
      </w:pPr>
      <w:r>
        <w:t>situaciones en las que los Estados han adoptado dichas leyes, ha aumentado la capacidad de los afectados por la discriminación para buscar y obtener reparación. Por ejemplo, en julio de 2004, un tribunal de Sofía dictó la primera decisión en virtud de la ley integral contra la discriminación del país, que había entrado en vigor en enero de ese año.</w:t>
      </w:r>
    </w:p>
    <w:p w14:paraId="6B8A79B0" w14:textId="77777777" w:rsidR="0014798C" w:rsidRDefault="004E1F0B">
      <w:pPr>
        <w:pStyle w:val="Textoindependiente"/>
        <w:spacing w:line="326" w:lineRule="auto"/>
        <w:ind w:left="1107" w:right="1463" w:hanging="1"/>
      </w:pPr>
      <w:r>
        <w:t xml:space="preserve">El tribunal condenó a una empresa a pagar una indemnización por daños morales equivalente a 300 dólares a la denunciante, </w:t>
      </w:r>
      <w:proofErr w:type="spellStart"/>
      <w:r>
        <w:t>Sevda</w:t>
      </w:r>
      <w:proofErr w:type="spellEnd"/>
      <w:r>
        <w:t xml:space="preserve"> </w:t>
      </w:r>
      <w:proofErr w:type="spellStart"/>
      <w:r>
        <w:t>Nedkova</w:t>
      </w:r>
      <w:proofErr w:type="spellEnd"/>
      <w:r>
        <w:t xml:space="preserve"> </w:t>
      </w:r>
      <w:proofErr w:type="spellStart"/>
      <w:r>
        <w:t>Nanova</w:t>
      </w:r>
      <w:proofErr w:type="spellEnd"/>
      <w:r>
        <w:t xml:space="preserve">, una mujer gitana de Sofía. El tribunal determinó que la Sra. </w:t>
      </w:r>
      <w:proofErr w:type="spellStart"/>
      <w:r>
        <w:t>Nanova</w:t>
      </w:r>
      <w:proofErr w:type="spellEnd"/>
      <w:r>
        <w:t xml:space="preserve"> había sido sometida a discriminación directa cuando un dependiente de la tienda de calcetines de la empresa se negó a atenderla y la obligó a abandonar la tienda, diciéndole en el proceso epítetos raciales humillantes.9 Más allá de la indemnización otorgada a Señora</w:t>
      </w:r>
    </w:p>
    <w:p w14:paraId="3A6B3585" w14:textId="77777777" w:rsidR="0014798C" w:rsidRDefault="004E1F0B">
      <w:pPr>
        <w:pStyle w:val="Textoindependiente"/>
        <w:spacing w:line="271" w:lineRule="auto"/>
        <w:ind w:left="1107" w:right="1272"/>
      </w:pPr>
      <w:proofErr w:type="spellStart"/>
      <w:r>
        <w:t>Nanova</w:t>
      </w:r>
      <w:proofErr w:type="spellEnd"/>
      <w:r>
        <w:t>, la decisión envió una señal importante de que la discriminación estaba prohibida y estaría sujeta a sanciones según la nueva ley.</w:t>
      </w:r>
    </w:p>
    <w:p w14:paraId="3DF10E67" w14:textId="77777777" w:rsidR="0014798C" w:rsidRDefault="0014798C">
      <w:pPr>
        <w:pStyle w:val="Textoindependiente"/>
        <w:spacing w:before="65"/>
      </w:pPr>
    </w:p>
    <w:p w14:paraId="63C24C26" w14:textId="77777777" w:rsidR="0014798C" w:rsidRDefault="004E1F0B">
      <w:pPr>
        <w:pStyle w:val="Textoindependiente"/>
        <w:spacing w:before="1" w:line="326" w:lineRule="auto"/>
        <w:ind w:left="1109" w:right="1463" w:firstLine="5"/>
      </w:pPr>
      <w:r>
        <w:t>Otros ejemplos abundan. En la República de Moldavia, el Consejo para la Prevención y Eliminación de la Discriminación y la Garantía de la Igualdad, establecido en virtud de la ley integral contra la discriminación del país de 2012 , ha fallado a favor de</w:t>
      </w:r>
      <w:r>
        <w:rPr>
          <w:spacing w:val="40"/>
        </w:rPr>
        <w:t xml:space="preserve"> </w:t>
      </w:r>
      <w:r>
        <w:t>las minorías lingüísticas en varias ocasiones, incluso ordenando a los organismos públicos que publiquen sus sitios web en rumano y ruso.10 En Sudáfrica, uno de los primeros estados en adoptar una ley integral contra la discriminación, una mujer de</w:t>
      </w:r>
      <w:r>
        <w:rPr>
          <w:spacing w:val="80"/>
        </w:rPr>
        <w:t xml:space="preserve"> </w:t>
      </w:r>
      <w:r>
        <w:t>25 años de un municipio en las afueras de Durban utilizó la ley para impugnar y revocar una prohibición a las mujeres de usar pantalones impuestos por un edicto de líderes comunitarios.11</w:t>
      </w:r>
    </w:p>
    <w:p w14:paraId="2FF039A1" w14:textId="77777777" w:rsidR="0014798C" w:rsidRDefault="004E1F0B">
      <w:pPr>
        <w:pStyle w:val="Textoindependiente"/>
        <w:spacing w:line="326" w:lineRule="auto"/>
        <w:ind w:left="1105" w:right="1463" w:firstLine="4"/>
      </w:pPr>
      <w:r>
        <w:t>Más allá del impacto positivo que los litigios y las decisiones de los tribunales tienen sobre las personas y las comunidades, las leyes integrales contra la discriminación</w:t>
      </w:r>
      <w:r>
        <w:rPr>
          <w:spacing w:val="15"/>
        </w:rPr>
        <w:t xml:space="preserve"> </w:t>
      </w:r>
      <w:r>
        <w:t>benefician a las minorías y otras comunidades marginadas de muchas otras maneras.</w:t>
      </w:r>
      <w:r>
        <w:rPr>
          <w:spacing w:val="80"/>
        </w:rPr>
        <w:t xml:space="preserve"> </w:t>
      </w:r>
      <w:r>
        <w:t>En el Estado Plurinacional de Bolivia, por ejemplo, la promulgación de una ley integral contra la discriminación ha dado como resultado</w:t>
      </w:r>
      <w:r>
        <w:rPr>
          <w:spacing w:val="15"/>
        </w:rPr>
        <w:t xml:space="preserve"> </w:t>
      </w:r>
      <w:r>
        <w:t>una</w:t>
      </w:r>
      <w:r>
        <w:rPr>
          <w:spacing w:val="15"/>
        </w:rPr>
        <w:t xml:space="preserve"> </w:t>
      </w:r>
      <w:r>
        <w:t>mayor</w:t>
      </w:r>
      <w:r>
        <w:rPr>
          <w:spacing w:val="15"/>
        </w:rPr>
        <w:t xml:space="preserve"> </w:t>
      </w:r>
      <w:r>
        <w:t>participación</w:t>
      </w:r>
      <w:r>
        <w:rPr>
          <w:spacing w:val="15"/>
        </w:rPr>
        <w:t xml:space="preserve"> </w:t>
      </w:r>
      <w:r>
        <w:t>política</w:t>
      </w:r>
      <w:r>
        <w:rPr>
          <w:spacing w:val="15"/>
        </w:rPr>
        <w:t xml:space="preserve"> </w:t>
      </w:r>
      <w:r>
        <w:t>de</w:t>
      </w:r>
      <w:r>
        <w:rPr>
          <w:spacing w:val="15"/>
        </w:rPr>
        <w:t xml:space="preserve"> </w:t>
      </w:r>
      <w:r>
        <w:t>los</w:t>
      </w:r>
      <w:r>
        <w:rPr>
          <w:spacing w:val="15"/>
        </w:rPr>
        <w:t xml:space="preserve"> </w:t>
      </w:r>
      <w:r>
        <w:t>pueblos</w:t>
      </w:r>
      <w:r>
        <w:rPr>
          <w:spacing w:val="15"/>
        </w:rPr>
        <w:t xml:space="preserve"> </w:t>
      </w:r>
      <w:r>
        <w:t>indígenas</w:t>
      </w:r>
      <w:r>
        <w:rPr>
          <w:spacing w:val="15"/>
        </w:rPr>
        <w:t xml:space="preserve"> </w:t>
      </w:r>
      <w:r>
        <w:t>y</w:t>
      </w:r>
      <w:r>
        <w:rPr>
          <w:spacing w:val="15"/>
        </w:rPr>
        <w:t xml:space="preserve"> </w:t>
      </w:r>
      <w:r>
        <w:t>la</w:t>
      </w:r>
      <w:r>
        <w:rPr>
          <w:spacing w:val="15"/>
        </w:rPr>
        <w:t xml:space="preserve"> </w:t>
      </w:r>
      <w:r>
        <w:t>redistribución</w:t>
      </w:r>
      <w:r>
        <w:rPr>
          <w:spacing w:val="15"/>
        </w:rPr>
        <w:t xml:space="preserve"> </w:t>
      </w:r>
      <w:r>
        <w:t>de</w:t>
      </w:r>
      <w:r>
        <w:rPr>
          <w:spacing w:val="15"/>
        </w:rPr>
        <w:t xml:space="preserve"> </w:t>
      </w:r>
      <w:r>
        <w:t>la</w:t>
      </w:r>
      <w:r>
        <w:rPr>
          <w:spacing w:val="15"/>
        </w:rPr>
        <w:t xml:space="preserve"> </w:t>
      </w:r>
      <w:r>
        <w:t>tierra,</w:t>
      </w:r>
      <w:r>
        <w:rPr>
          <w:spacing w:val="17"/>
        </w:rPr>
        <w:t xml:space="preserve"> </w:t>
      </w:r>
      <w:r>
        <w:t>entre</w:t>
      </w:r>
      <w:r>
        <w:rPr>
          <w:spacing w:val="15"/>
        </w:rPr>
        <w:t xml:space="preserve"> </w:t>
      </w:r>
      <w:r>
        <w:t>otras</w:t>
      </w:r>
      <w:r>
        <w:rPr>
          <w:spacing w:val="15"/>
        </w:rPr>
        <w:t xml:space="preserve"> </w:t>
      </w:r>
      <w:r>
        <w:t>mejoras,12 mientras que en el Reino Unido, los deberes de igualdad establecidos en la Ley de Igualdad de 2010 han llevado a las autoridades locales a actuar para identificar y eliminar las barreras al logro educativo de los niños de comunidades étnicas y religiosas minoritarias.13</w:t>
      </w:r>
    </w:p>
    <w:p w14:paraId="2DDF9794" w14:textId="77777777" w:rsidR="0014798C" w:rsidRDefault="004E1F0B">
      <w:pPr>
        <w:pStyle w:val="Textoindependiente"/>
        <w:spacing w:before="163" w:line="326" w:lineRule="auto"/>
        <w:ind w:left="1108" w:right="1463"/>
      </w:pPr>
      <w:r>
        <w:t xml:space="preserve">Además de los beneficios claros y directos para personas y comunidades individuales, la adopción e implementación de leyes integrales contra la discriminación ha creado oportunidades para promover la inclusión de minorías y grupos marginados, fomentar la diversidad y la representación, y garantizar la participación igualitaria de quienes corren riesgo de ser víctimas de discriminación. ser dejado </w:t>
      </w:r>
      <w:proofErr w:type="spellStart"/>
      <w:r>
        <w:t>atras</w:t>
      </w:r>
      <w:proofErr w:type="spellEnd"/>
      <w:r>
        <w:t>. De hecho, si bien la aplicación de dicha legislación suele centrarse en sancionar y remediar actos específicos de discriminación, dicha aplicación también puede contribuir positivamente a desafiar los estereotipos. La implementación de leyes contra la discriminación puede permitir que el público en general conozca los desafíos que enfrentan</w:t>
      </w:r>
      <w:r>
        <w:rPr>
          <w:spacing w:val="40"/>
        </w:rPr>
        <w:t xml:space="preserve"> </w:t>
      </w:r>
      <w:r>
        <w:t>las personas que sufren discriminación. A medida que dichas leyes se conviertan en una parte importante del orden jurídico</w:t>
      </w:r>
    </w:p>
    <w:p w14:paraId="75C6C42E" w14:textId="77777777" w:rsidR="0014798C" w:rsidRDefault="004E1F0B">
      <w:pPr>
        <w:pStyle w:val="Textoindependiente"/>
        <w:spacing w:line="326" w:lineRule="auto"/>
        <w:ind w:left="1111" w:right="1166" w:hanging="2"/>
      </w:pPr>
      <w:r>
        <w:t>nacional,</w:t>
      </w:r>
      <w:r>
        <w:rPr>
          <w:spacing w:val="10"/>
        </w:rPr>
        <w:t xml:space="preserve"> </w:t>
      </w:r>
      <w:r>
        <w:t>pueden</w:t>
      </w:r>
      <w:r>
        <w:rPr>
          <w:spacing w:val="9"/>
        </w:rPr>
        <w:t xml:space="preserve"> </w:t>
      </w:r>
      <w:r>
        <w:t>ayudar</w:t>
      </w:r>
      <w:r>
        <w:rPr>
          <w:spacing w:val="9"/>
        </w:rPr>
        <w:t xml:space="preserve"> </w:t>
      </w:r>
      <w:r>
        <w:t>a</w:t>
      </w:r>
      <w:r>
        <w:rPr>
          <w:spacing w:val="9"/>
        </w:rPr>
        <w:t xml:space="preserve"> </w:t>
      </w:r>
      <w:r>
        <w:t>poner</w:t>
      </w:r>
      <w:r>
        <w:rPr>
          <w:spacing w:val="9"/>
        </w:rPr>
        <w:t xml:space="preserve"> </w:t>
      </w:r>
      <w:r>
        <w:t>fin</w:t>
      </w:r>
      <w:r>
        <w:rPr>
          <w:spacing w:val="9"/>
        </w:rPr>
        <w:t xml:space="preserve"> </w:t>
      </w:r>
      <w:r>
        <w:t>a</w:t>
      </w:r>
      <w:r>
        <w:rPr>
          <w:spacing w:val="9"/>
        </w:rPr>
        <w:t xml:space="preserve"> </w:t>
      </w:r>
      <w:r>
        <w:t>los</w:t>
      </w:r>
      <w:r>
        <w:rPr>
          <w:spacing w:val="9"/>
        </w:rPr>
        <w:t xml:space="preserve"> </w:t>
      </w:r>
      <w:r>
        <w:t>discursos</w:t>
      </w:r>
      <w:r>
        <w:rPr>
          <w:spacing w:val="9"/>
        </w:rPr>
        <w:t xml:space="preserve"> </w:t>
      </w:r>
      <w:r>
        <w:t>de</w:t>
      </w:r>
      <w:r>
        <w:rPr>
          <w:spacing w:val="9"/>
        </w:rPr>
        <w:t xml:space="preserve"> </w:t>
      </w:r>
      <w:r>
        <w:t>impotencia</w:t>
      </w:r>
      <w:r>
        <w:rPr>
          <w:spacing w:val="9"/>
        </w:rPr>
        <w:t xml:space="preserve"> </w:t>
      </w:r>
      <w:r>
        <w:t>y</w:t>
      </w:r>
      <w:r>
        <w:rPr>
          <w:spacing w:val="9"/>
        </w:rPr>
        <w:t xml:space="preserve"> </w:t>
      </w:r>
      <w:r>
        <w:t>vulnerabilidad,</w:t>
      </w:r>
      <w:r>
        <w:rPr>
          <w:spacing w:val="12"/>
        </w:rPr>
        <w:t xml:space="preserve"> </w:t>
      </w:r>
      <w:r>
        <w:t>al</w:t>
      </w:r>
      <w:r>
        <w:rPr>
          <w:spacing w:val="9"/>
        </w:rPr>
        <w:t xml:space="preserve"> </w:t>
      </w:r>
      <w:r>
        <w:t>apoyar</w:t>
      </w:r>
      <w:r>
        <w:rPr>
          <w:spacing w:val="9"/>
        </w:rPr>
        <w:t xml:space="preserve"> </w:t>
      </w:r>
      <w:r>
        <w:t>a</w:t>
      </w:r>
      <w:r>
        <w:rPr>
          <w:spacing w:val="9"/>
        </w:rPr>
        <w:t xml:space="preserve"> </w:t>
      </w:r>
      <w:r>
        <w:t>personas</w:t>
      </w:r>
      <w:r>
        <w:rPr>
          <w:spacing w:val="9"/>
        </w:rPr>
        <w:t xml:space="preserve"> </w:t>
      </w:r>
      <w:r>
        <w:t>y</w:t>
      </w:r>
      <w:r>
        <w:rPr>
          <w:spacing w:val="9"/>
        </w:rPr>
        <w:t xml:space="preserve"> </w:t>
      </w:r>
      <w:r>
        <w:t>grupos</w:t>
      </w:r>
      <w:r>
        <w:rPr>
          <w:spacing w:val="9"/>
        </w:rPr>
        <w:t xml:space="preserve"> </w:t>
      </w:r>
      <w:r>
        <w:t>estigmatizados y excluidos a actuar contra el trato desigual. En última instancia, una aplicación continua y generalizada conducirá a cambios</w:t>
      </w:r>
    </w:p>
    <w:p w14:paraId="65611A7C" w14:textId="77777777" w:rsidR="0014798C" w:rsidRDefault="004E1F0B">
      <w:pPr>
        <w:pStyle w:val="Textoindependiente"/>
        <w:spacing w:line="326" w:lineRule="auto"/>
        <w:ind w:left="1108" w:right="2004" w:firstLine="2"/>
      </w:pPr>
      <w:r>
        <w:t>en las políticas y prácticas, eliminando barreras y aumentando la participación de personas y grupos marginados o estigmatizados, aumentando así la diversidad, la comprensión y la tolerancia.</w:t>
      </w:r>
    </w:p>
    <w:p w14:paraId="5941F7F6" w14:textId="77777777" w:rsidR="0014798C" w:rsidRDefault="004E1F0B">
      <w:pPr>
        <w:pStyle w:val="Textoindependiente"/>
        <w:spacing w:line="326" w:lineRule="auto"/>
        <w:ind w:left="1111" w:right="1463" w:hanging="6"/>
      </w:pPr>
      <w:r>
        <w:t>Así, en un país tras otro en todo el mundo, la adopción y la implementación efectiva de leyes integrales contra la discriminación han llevado a un cambio social genuino y a avances en una cultura de paz, respeto mutuo y comprensión.</w:t>
      </w:r>
    </w:p>
    <w:p w14:paraId="52D28E4E" w14:textId="77777777" w:rsidR="0014798C" w:rsidRDefault="0014798C">
      <w:pPr>
        <w:pStyle w:val="Textoindependiente"/>
        <w:rPr>
          <w:sz w:val="20"/>
        </w:rPr>
      </w:pPr>
    </w:p>
    <w:p w14:paraId="72AA1C6D" w14:textId="77777777" w:rsidR="0014798C" w:rsidRDefault="0014798C">
      <w:pPr>
        <w:pStyle w:val="Textoindependiente"/>
        <w:rPr>
          <w:sz w:val="20"/>
        </w:rPr>
      </w:pPr>
    </w:p>
    <w:p w14:paraId="0311767D" w14:textId="77777777" w:rsidR="0014798C" w:rsidRDefault="004E1F0B">
      <w:pPr>
        <w:pStyle w:val="Textoindependiente"/>
        <w:spacing w:before="111"/>
        <w:rPr>
          <w:sz w:val="20"/>
        </w:rPr>
      </w:pPr>
      <w:r>
        <w:rPr>
          <w:noProof/>
        </w:rPr>
        <w:drawing>
          <wp:anchor distT="0" distB="0" distL="0" distR="0" simplePos="0" relativeHeight="251658512" behindDoc="1" locked="0" layoutInCell="1" allowOverlap="1" wp14:anchorId="754FCA56" wp14:editId="1112400E">
            <wp:simplePos x="0" y="0"/>
            <wp:positionH relativeFrom="page">
              <wp:posOffset>826632</wp:posOffset>
            </wp:positionH>
            <wp:positionV relativeFrom="paragraph">
              <wp:posOffset>232340</wp:posOffset>
            </wp:positionV>
            <wp:extent cx="931001" cy="35813"/>
            <wp:effectExtent l="0" t="0" r="0" b="0"/>
            <wp:wrapTopAndBottom/>
            <wp:docPr id="37" name="Image 3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7" name="Image 37"/>
                    <pic:cNvPicPr/>
                  </pic:nvPicPr>
                  <pic:blipFill>
                    <a:blip r:embed="rId44" cstate="print"/>
                    <a:stretch>
                      <a:fillRect/>
                    </a:stretch>
                  </pic:blipFill>
                  <pic:spPr>
                    <a:xfrm>
                      <a:off x="0" y="0"/>
                      <a:ext cx="931001" cy="35813"/>
                    </a:xfrm>
                    <a:prstGeom prst="rect">
                      <a:avLst/>
                    </a:prstGeom>
                  </pic:spPr>
                </pic:pic>
              </a:graphicData>
            </a:graphic>
          </wp:anchor>
        </w:drawing>
      </w:r>
    </w:p>
    <w:p w14:paraId="4FFB5AAC" w14:textId="77777777" w:rsidR="0014798C" w:rsidRDefault="0014798C">
      <w:pPr>
        <w:pStyle w:val="Textoindependiente"/>
        <w:spacing w:before="67"/>
        <w:rPr>
          <w:sz w:val="10"/>
        </w:rPr>
      </w:pPr>
    </w:p>
    <w:p w14:paraId="78D25A57" w14:textId="77777777" w:rsidR="0014798C" w:rsidRDefault="004E1F0B">
      <w:pPr>
        <w:pStyle w:val="Prrafodelista"/>
        <w:numPr>
          <w:ilvl w:val="0"/>
          <w:numId w:val="95"/>
        </w:numPr>
        <w:tabs>
          <w:tab w:val="left" w:pos="1190"/>
        </w:tabs>
        <w:ind w:left="1190" w:hanging="83"/>
        <w:rPr>
          <w:sz w:val="10"/>
        </w:rPr>
      </w:pPr>
      <w:r>
        <w:rPr>
          <w:sz w:val="10"/>
        </w:rPr>
        <w:t>Para</w:t>
      </w:r>
      <w:r>
        <w:rPr>
          <w:spacing w:val="-6"/>
          <w:sz w:val="10"/>
        </w:rPr>
        <w:t xml:space="preserve"> </w:t>
      </w:r>
      <w:r>
        <w:rPr>
          <w:sz w:val="10"/>
        </w:rPr>
        <w:t>un</w:t>
      </w:r>
      <w:r>
        <w:rPr>
          <w:spacing w:val="-4"/>
          <w:sz w:val="10"/>
        </w:rPr>
        <w:t xml:space="preserve"> </w:t>
      </w:r>
      <w:r>
        <w:rPr>
          <w:sz w:val="10"/>
        </w:rPr>
        <w:t>análisis</w:t>
      </w:r>
      <w:r>
        <w:rPr>
          <w:spacing w:val="-4"/>
          <w:sz w:val="10"/>
        </w:rPr>
        <w:t xml:space="preserve"> </w:t>
      </w:r>
      <w:r>
        <w:rPr>
          <w:sz w:val="10"/>
        </w:rPr>
        <w:t>más</w:t>
      </w:r>
      <w:r>
        <w:rPr>
          <w:spacing w:val="-4"/>
          <w:sz w:val="10"/>
        </w:rPr>
        <w:t xml:space="preserve"> </w:t>
      </w:r>
      <w:r>
        <w:rPr>
          <w:sz w:val="10"/>
        </w:rPr>
        <w:t>detallado</w:t>
      </w:r>
      <w:r>
        <w:rPr>
          <w:spacing w:val="-4"/>
          <w:sz w:val="10"/>
        </w:rPr>
        <w:t xml:space="preserve"> </w:t>
      </w:r>
      <w:r>
        <w:rPr>
          <w:sz w:val="10"/>
        </w:rPr>
        <w:t>del</w:t>
      </w:r>
      <w:r>
        <w:rPr>
          <w:spacing w:val="-3"/>
          <w:sz w:val="10"/>
        </w:rPr>
        <w:t xml:space="preserve"> </w:t>
      </w:r>
      <w:r>
        <w:rPr>
          <w:sz w:val="10"/>
        </w:rPr>
        <w:t>caso,</w:t>
      </w:r>
      <w:r>
        <w:rPr>
          <w:spacing w:val="-4"/>
          <w:sz w:val="10"/>
        </w:rPr>
        <w:t xml:space="preserve"> </w:t>
      </w:r>
      <w:r>
        <w:rPr>
          <w:sz w:val="10"/>
        </w:rPr>
        <w:t>véase</w:t>
      </w:r>
      <w:r>
        <w:rPr>
          <w:spacing w:val="-4"/>
          <w:sz w:val="10"/>
        </w:rPr>
        <w:t xml:space="preserve"> </w:t>
      </w:r>
      <w:r>
        <w:rPr>
          <w:sz w:val="10"/>
        </w:rPr>
        <w:t>Comité</w:t>
      </w:r>
      <w:r>
        <w:rPr>
          <w:spacing w:val="-4"/>
          <w:sz w:val="10"/>
        </w:rPr>
        <w:t xml:space="preserve"> </w:t>
      </w:r>
      <w:r>
        <w:rPr>
          <w:sz w:val="10"/>
        </w:rPr>
        <w:t>Búlgaro</w:t>
      </w:r>
      <w:r>
        <w:rPr>
          <w:spacing w:val="-3"/>
          <w:sz w:val="10"/>
        </w:rPr>
        <w:t xml:space="preserve"> </w:t>
      </w:r>
      <w:r>
        <w:rPr>
          <w:sz w:val="10"/>
        </w:rPr>
        <w:t>de</w:t>
      </w:r>
      <w:r>
        <w:rPr>
          <w:spacing w:val="-4"/>
          <w:sz w:val="10"/>
        </w:rPr>
        <w:t xml:space="preserve"> </w:t>
      </w:r>
      <w:r>
        <w:rPr>
          <w:sz w:val="10"/>
        </w:rPr>
        <w:t>Helsinki,</w:t>
      </w:r>
      <w:r>
        <w:rPr>
          <w:spacing w:val="-4"/>
          <w:sz w:val="10"/>
        </w:rPr>
        <w:t xml:space="preserve"> </w:t>
      </w:r>
      <w:r>
        <w:rPr>
          <w:sz w:val="10"/>
        </w:rPr>
        <w:t>“El</w:t>
      </w:r>
      <w:r>
        <w:rPr>
          <w:spacing w:val="-3"/>
          <w:sz w:val="10"/>
        </w:rPr>
        <w:t xml:space="preserve"> </w:t>
      </w:r>
      <w:r>
        <w:rPr>
          <w:sz w:val="10"/>
        </w:rPr>
        <w:t>Tribunal</w:t>
      </w:r>
      <w:r>
        <w:rPr>
          <w:spacing w:val="-4"/>
          <w:sz w:val="10"/>
        </w:rPr>
        <w:t xml:space="preserve"> </w:t>
      </w:r>
      <w:r>
        <w:rPr>
          <w:sz w:val="10"/>
        </w:rPr>
        <w:t>de</w:t>
      </w:r>
      <w:r>
        <w:rPr>
          <w:spacing w:val="-4"/>
          <w:sz w:val="10"/>
        </w:rPr>
        <w:t xml:space="preserve"> </w:t>
      </w:r>
      <w:r>
        <w:rPr>
          <w:sz w:val="10"/>
        </w:rPr>
        <w:t>la</w:t>
      </w:r>
      <w:r>
        <w:rPr>
          <w:spacing w:val="-3"/>
          <w:sz w:val="10"/>
        </w:rPr>
        <w:t xml:space="preserve"> </w:t>
      </w:r>
      <w:r>
        <w:rPr>
          <w:sz w:val="10"/>
        </w:rPr>
        <w:t>Ciudad</w:t>
      </w:r>
      <w:r>
        <w:rPr>
          <w:spacing w:val="-4"/>
          <w:sz w:val="10"/>
        </w:rPr>
        <w:t xml:space="preserve"> </w:t>
      </w:r>
      <w:r>
        <w:rPr>
          <w:sz w:val="10"/>
        </w:rPr>
        <w:t>de</w:t>
      </w:r>
      <w:r>
        <w:rPr>
          <w:spacing w:val="-4"/>
          <w:sz w:val="10"/>
        </w:rPr>
        <w:t xml:space="preserve"> </w:t>
      </w:r>
      <w:r>
        <w:rPr>
          <w:sz w:val="10"/>
        </w:rPr>
        <w:t>Sofía</w:t>
      </w:r>
      <w:r>
        <w:rPr>
          <w:spacing w:val="-4"/>
          <w:sz w:val="10"/>
        </w:rPr>
        <w:t xml:space="preserve"> </w:t>
      </w:r>
      <w:r>
        <w:rPr>
          <w:sz w:val="10"/>
        </w:rPr>
        <w:t>convictos</w:t>
      </w:r>
      <w:r>
        <w:rPr>
          <w:spacing w:val="-5"/>
          <w:sz w:val="10"/>
        </w:rPr>
        <w:t xml:space="preserve"> </w:t>
      </w:r>
      <w:r>
        <w:rPr>
          <w:sz w:val="10"/>
        </w:rPr>
        <w:t>empresa</w:t>
      </w:r>
      <w:r>
        <w:rPr>
          <w:spacing w:val="-3"/>
          <w:sz w:val="10"/>
        </w:rPr>
        <w:t xml:space="preserve"> </w:t>
      </w:r>
      <w:r>
        <w:rPr>
          <w:sz w:val="10"/>
        </w:rPr>
        <w:t>de</w:t>
      </w:r>
      <w:r>
        <w:rPr>
          <w:spacing w:val="-4"/>
          <w:sz w:val="10"/>
        </w:rPr>
        <w:t xml:space="preserve"> </w:t>
      </w:r>
      <w:r>
        <w:rPr>
          <w:sz w:val="10"/>
        </w:rPr>
        <w:t>discriminación</w:t>
      </w:r>
      <w:r>
        <w:rPr>
          <w:spacing w:val="-4"/>
          <w:sz w:val="10"/>
        </w:rPr>
        <w:t xml:space="preserve"> </w:t>
      </w:r>
      <w:r>
        <w:rPr>
          <w:sz w:val="10"/>
        </w:rPr>
        <w:t>étnica</w:t>
      </w:r>
      <w:r>
        <w:rPr>
          <w:spacing w:val="-3"/>
          <w:sz w:val="10"/>
        </w:rPr>
        <w:t xml:space="preserve"> </w:t>
      </w:r>
      <w:r>
        <w:rPr>
          <w:spacing w:val="-2"/>
          <w:sz w:val="10"/>
        </w:rPr>
        <w:t>contra</w:t>
      </w:r>
    </w:p>
    <w:p w14:paraId="38E0B4FD" w14:textId="77777777" w:rsidR="0014798C" w:rsidRDefault="004E1F0B">
      <w:pPr>
        <w:spacing w:before="16"/>
        <w:ind w:left="1368"/>
        <w:rPr>
          <w:sz w:val="11"/>
        </w:rPr>
      </w:pPr>
      <w:r>
        <w:rPr>
          <w:sz w:val="11"/>
        </w:rPr>
        <w:t>Roma”</w:t>
      </w:r>
      <w:r>
        <w:rPr>
          <w:spacing w:val="3"/>
          <w:sz w:val="11"/>
        </w:rPr>
        <w:t xml:space="preserve"> </w:t>
      </w:r>
      <w:r>
        <w:rPr>
          <w:spacing w:val="-2"/>
          <w:sz w:val="11"/>
        </w:rPr>
        <w:t>(2004).</w:t>
      </w:r>
    </w:p>
    <w:p w14:paraId="1F8C31A4" w14:textId="77777777" w:rsidR="0014798C" w:rsidRDefault="004E1F0B">
      <w:pPr>
        <w:spacing w:before="115" w:line="340" w:lineRule="auto"/>
        <w:ind w:left="1365" w:right="1479" w:hanging="255"/>
        <w:rPr>
          <w:sz w:val="11"/>
        </w:rPr>
      </w:pPr>
      <w:r>
        <w:rPr>
          <w:sz w:val="11"/>
          <w:vertAlign w:val="superscript"/>
        </w:rPr>
        <w:t>10</w:t>
      </w:r>
      <w:r>
        <w:rPr>
          <w:spacing w:val="60"/>
          <w:sz w:val="11"/>
        </w:rPr>
        <w:t xml:space="preserve">  </w:t>
      </w:r>
      <w:r>
        <w:rPr>
          <w:sz w:val="11"/>
        </w:rPr>
        <w:t>Véase,</w:t>
      </w:r>
      <w:r>
        <w:rPr>
          <w:spacing w:val="3"/>
          <w:sz w:val="11"/>
        </w:rPr>
        <w:t xml:space="preserve"> </w:t>
      </w:r>
      <w:r>
        <w:rPr>
          <w:sz w:val="11"/>
        </w:rPr>
        <w:t>por</w:t>
      </w:r>
      <w:r>
        <w:rPr>
          <w:spacing w:val="3"/>
          <w:sz w:val="11"/>
        </w:rPr>
        <w:t xml:space="preserve"> </w:t>
      </w:r>
      <w:r>
        <w:rPr>
          <w:sz w:val="11"/>
        </w:rPr>
        <w:t>ejemplo,</w:t>
      </w:r>
      <w:r>
        <w:rPr>
          <w:spacing w:val="3"/>
          <w:sz w:val="11"/>
        </w:rPr>
        <w:t xml:space="preserve"> </w:t>
      </w:r>
      <w:r>
        <w:rPr>
          <w:sz w:val="11"/>
        </w:rPr>
        <w:t>Consejo</w:t>
      </w:r>
      <w:r>
        <w:rPr>
          <w:spacing w:val="3"/>
          <w:sz w:val="11"/>
        </w:rPr>
        <w:t xml:space="preserve"> </w:t>
      </w:r>
      <w:r>
        <w:rPr>
          <w:sz w:val="11"/>
        </w:rPr>
        <w:t>para</w:t>
      </w:r>
      <w:r>
        <w:rPr>
          <w:spacing w:val="3"/>
          <w:sz w:val="11"/>
        </w:rPr>
        <w:t xml:space="preserve"> </w:t>
      </w:r>
      <w:r>
        <w:rPr>
          <w:sz w:val="11"/>
        </w:rPr>
        <w:t>la</w:t>
      </w:r>
      <w:r>
        <w:rPr>
          <w:spacing w:val="3"/>
          <w:sz w:val="11"/>
        </w:rPr>
        <w:t xml:space="preserve"> </w:t>
      </w:r>
      <w:r>
        <w:rPr>
          <w:sz w:val="11"/>
        </w:rPr>
        <w:t>Prevención</w:t>
      </w:r>
      <w:r>
        <w:rPr>
          <w:spacing w:val="3"/>
          <w:sz w:val="11"/>
        </w:rPr>
        <w:t xml:space="preserve"> </w:t>
      </w:r>
      <w:r>
        <w:rPr>
          <w:sz w:val="11"/>
        </w:rPr>
        <w:t>y</w:t>
      </w:r>
      <w:r>
        <w:rPr>
          <w:spacing w:val="3"/>
          <w:sz w:val="11"/>
        </w:rPr>
        <w:t xml:space="preserve"> </w:t>
      </w:r>
      <w:r>
        <w:rPr>
          <w:sz w:val="11"/>
        </w:rPr>
        <w:t>Eliminación</w:t>
      </w:r>
      <w:r>
        <w:rPr>
          <w:spacing w:val="3"/>
          <w:sz w:val="11"/>
        </w:rPr>
        <w:t xml:space="preserve"> </w:t>
      </w:r>
      <w:r>
        <w:rPr>
          <w:sz w:val="11"/>
        </w:rPr>
        <w:t>de</w:t>
      </w:r>
      <w:r>
        <w:rPr>
          <w:spacing w:val="3"/>
          <w:sz w:val="11"/>
        </w:rPr>
        <w:t xml:space="preserve"> </w:t>
      </w:r>
      <w:r>
        <w:rPr>
          <w:sz w:val="11"/>
        </w:rPr>
        <w:t>la</w:t>
      </w:r>
      <w:r>
        <w:rPr>
          <w:spacing w:val="3"/>
          <w:sz w:val="11"/>
        </w:rPr>
        <w:t xml:space="preserve"> </w:t>
      </w:r>
      <w:r>
        <w:rPr>
          <w:sz w:val="11"/>
        </w:rPr>
        <w:t>Discriminación</w:t>
      </w:r>
      <w:r>
        <w:rPr>
          <w:spacing w:val="3"/>
          <w:sz w:val="11"/>
        </w:rPr>
        <w:t xml:space="preserve"> </w:t>
      </w:r>
      <w:r>
        <w:rPr>
          <w:sz w:val="11"/>
        </w:rPr>
        <w:t>y</w:t>
      </w:r>
      <w:r>
        <w:rPr>
          <w:spacing w:val="3"/>
          <w:sz w:val="11"/>
        </w:rPr>
        <w:t xml:space="preserve"> </w:t>
      </w:r>
      <w:r>
        <w:rPr>
          <w:sz w:val="11"/>
        </w:rPr>
        <w:t>la</w:t>
      </w:r>
      <w:r>
        <w:rPr>
          <w:spacing w:val="3"/>
          <w:sz w:val="11"/>
        </w:rPr>
        <w:t xml:space="preserve"> </w:t>
      </w:r>
      <w:r>
        <w:rPr>
          <w:sz w:val="11"/>
        </w:rPr>
        <w:t>Garantía</w:t>
      </w:r>
      <w:r>
        <w:rPr>
          <w:spacing w:val="3"/>
          <w:sz w:val="11"/>
        </w:rPr>
        <w:t xml:space="preserve"> </w:t>
      </w:r>
      <w:r>
        <w:rPr>
          <w:sz w:val="11"/>
        </w:rPr>
        <w:t>de</w:t>
      </w:r>
      <w:r>
        <w:rPr>
          <w:spacing w:val="3"/>
          <w:sz w:val="11"/>
        </w:rPr>
        <w:t xml:space="preserve"> </w:t>
      </w:r>
      <w:r>
        <w:rPr>
          <w:sz w:val="11"/>
        </w:rPr>
        <w:t>la</w:t>
      </w:r>
      <w:r>
        <w:rPr>
          <w:spacing w:val="3"/>
          <w:sz w:val="11"/>
        </w:rPr>
        <w:t xml:space="preserve"> </w:t>
      </w:r>
      <w:r>
        <w:rPr>
          <w:sz w:val="11"/>
        </w:rPr>
        <w:t>Igualdad</w:t>
      </w:r>
      <w:r>
        <w:rPr>
          <w:spacing w:val="3"/>
          <w:sz w:val="11"/>
        </w:rPr>
        <w:t xml:space="preserve"> </w:t>
      </w:r>
      <w:r>
        <w:rPr>
          <w:sz w:val="11"/>
        </w:rPr>
        <w:t>de</w:t>
      </w:r>
      <w:r>
        <w:rPr>
          <w:spacing w:val="3"/>
          <w:sz w:val="11"/>
        </w:rPr>
        <w:t xml:space="preserve"> </w:t>
      </w:r>
      <w:r>
        <w:rPr>
          <w:sz w:val="11"/>
        </w:rPr>
        <w:t>la</w:t>
      </w:r>
      <w:r>
        <w:rPr>
          <w:spacing w:val="3"/>
          <w:sz w:val="11"/>
        </w:rPr>
        <w:t xml:space="preserve"> </w:t>
      </w:r>
      <w:r>
        <w:rPr>
          <w:sz w:val="11"/>
        </w:rPr>
        <w:t>República</w:t>
      </w:r>
      <w:r>
        <w:rPr>
          <w:spacing w:val="3"/>
          <w:sz w:val="11"/>
        </w:rPr>
        <w:t xml:space="preserve"> </w:t>
      </w:r>
      <w:r>
        <w:rPr>
          <w:sz w:val="11"/>
        </w:rPr>
        <w:t>de</w:t>
      </w:r>
      <w:r>
        <w:rPr>
          <w:spacing w:val="3"/>
          <w:sz w:val="11"/>
        </w:rPr>
        <w:t xml:space="preserve"> </w:t>
      </w:r>
      <w:r>
        <w:rPr>
          <w:sz w:val="11"/>
        </w:rPr>
        <w:t>Moldavia,</w:t>
      </w:r>
      <w:r>
        <w:rPr>
          <w:spacing w:val="3"/>
          <w:sz w:val="11"/>
        </w:rPr>
        <w:t xml:space="preserve"> </w:t>
      </w:r>
      <w:r>
        <w:rPr>
          <w:sz w:val="11"/>
        </w:rPr>
        <w:t>Caso</w:t>
      </w:r>
      <w:r>
        <w:rPr>
          <w:spacing w:val="3"/>
          <w:sz w:val="11"/>
        </w:rPr>
        <w:t xml:space="preserve"> </w:t>
      </w:r>
      <w:r>
        <w:rPr>
          <w:sz w:val="11"/>
        </w:rPr>
        <w:t>N°</w:t>
      </w:r>
      <w:r>
        <w:rPr>
          <w:spacing w:val="3"/>
          <w:sz w:val="11"/>
        </w:rPr>
        <w:t xml:space="preserve"> </w:t>
      </w:r>
      <w:r>
        <w:rPr>
          <w:sz w:val="11"/>
        </w:rPr>
        <w:t>36/218,</w:t>
      </w:r>
      <w:r>
        <w:rPr>
          <w:spacing w:val="3"/>
          <w:sz w:val="11"/>
        </w:rPr>
        <w:t xml:space="preserve"> </w:t>
      </w:r>
      <w:r>
        <w:rPr>
          <w:sz w:val="11"/>
        </w:rPr>
        <w:t>Decisión,</w:t>
      </w:r>
      <w:r>
        <w:rPr>
          <w:spacing w:val="3"/>
          <w:sz w:val="11"/>
        </w:rPr>
        <w:t xml:space="preserve"> </w:t>
      </w:r>
      <w:r>
        <w:rPr>
          <w:sz w:val="11"/>
        </w:rPr>
        <w:t>2</w:t>
      </w:r>
      <w:r>
        <w:rPr>
          <w:spacing w:val="3"/>
          <w:sz w:val="11"/>
        </w:rPr>
        <w:t xml:space="preserve"> </w:t>
      </w:r>
      <w:r>
        <w:rPr>
          <w:sz w:val="11"/>
        </w:rPr>
        <w:t>de</w:t>
      </w:r>
      <w:r>
        <w:rPr>
          <w:spacing w:val="40"/>
          <w:sz w:val="11"/>
        </w:rPr>
        <w:t xml:space="preserve"> </w:t>
      </w:r>
      <w:r>
        <w:rPr>
          <w:sz w:val="11"/>
        </w:rPr>
        <w:t xml:space="preserve">agosto de 2018 (disponible en </w:t>
      </w:r>
      <w:hyperlink r:id="rId45">
        <w:r>
          <w:rPr>
            <w:color w:val="0075BF"/>
            <w:sz w:val="11"/>
          </w:rPr>
          <w:t>http://egalitate.md/wp­</w:t>
        </w:r>
      </w:hyperlink>
      <w:r>
        <w:rPr>
          <w:color w:val="0075BF"/>
          <w:sz w:val="11"/>
        </w:rPr>
        <w:t xml:space="preserve">content/uploads /2016/04/Decizie_constatare_36_2018.pdf); </w:t>
      </w:r>
      <w:r>
        <w:rPr>
          <w:sz w:val="11"/>
        </w:rPr>
        <w:t>y Caso No. 37/18, Decisión, 23 de agosto de 2018 (disponible en</w:t>
      </w:r>
      <w:r>
        <w:rPr>
          <w:spacing w:val="40"/>
          <w:sz w:val="11"/>
        </w:rPr>
        <w:t xml:space="preserve"> </w:t>
      </w:r>
      <w:hyperlink r:id="rId46">
        <w:r>
          <w:rPr>
            <w:color w:val="0075BF"/>
            <w:spacing w:val="-2"/>
            <w:sz w:val="11"/>
          </w:rPr>
          <w:t>http://egalitate.md/wp­</w:t>
        </w:r>
      </w:hyperlink>
      <w:r>
        <w:rPr>
          <w:color w:val="0075BF"/>
          <w:spacing w:val="-2"/>
          <w:sz w:val="11"/>
        </w:rPr>
        <w:t>content/uploads/2016/04/Decizie_constatare_37_2018.pdf).</w:t>
      </w:r>
    </w:p>
    <w:p w14:paraId="60593159" w14:textId="77777777" w:rsidR="0014798C" w:rsidRDefault="004E1F0B">
      <w:pPr>
        <w:pStyle w:val="Prrafodelista"/>
        <w:numPr>
          <w:ilvl w:val="0"/>
          <w:numId w:val="94"/>
        </w:numPr>
        <w:tabs>
          <w:tab w:val="left" w:pos="1263"/>
          <w:tab w:val="left" w:pos="1369"/>
        </w:tabs>
        <w:spacing w:before="58" w:line="340" w:lineRule="auto"/>
        <w:ind w:right="2950" w:hanging="259"/>
        <w:rPr>
          <w:sz w:val="11"/>
        </w:rPr>
      </w:pPr>
      <w:r>
        <w:rPr>
          <w:sz w:val="11"/>
        </w:rPr>
        <w:t xml:space="preserve">Emily N. </w:t>
      </w:r>
      <w:proofErr w:type="spellStart"/>
      <w:r>
        <w:rPr>
          <w:sz w:val="11"/>
        </w:rPr>
        <w:t>Keehn</w:t>
      </w:r>
      <w:proofErr w:type="spellEnd"/>
      <w:r>
        <w:rPr>
          <w:sz w:val="11"/>
        </w:rPr>
        <w:t xml:space="preserve">, “Los tribunales de igualdad como herramienta para la transformación de género”, 2010. Disponible en </w:t>
      </w:r>
      <w:hyperlink r:id="rId47">
        <w:r>
          <w:rPr>
            <w:color w:val="0075BF"/>
            <w:sz w:val="11"/>
          </w:rPr>
          <w:t>https://escholarship.org/content/</w:t>
        </w:r>
      </w:hyperlink>
      <w:r>
        <w:rPr>
          <w:color w:val="0075BF"/>
          <w:spacing w:val="40"/>
          <w:sz w:val="11"/>
        </w:rPr>
        <w:t xml:space="preserve"> </w:t>
      </w:r>
      <w:r>
        <w:rPr>
          <w:color w:val="0075BF"/>
          <w:spacing w:val="-2"/>
          <w:sz w:val="11"/>
        </w:rPr>
        <w:t>qt1ms61553/qt1ms61553_noSplash_a09f8d08d80f6b092e02247da12ca35e.pdf.</w:t>
      </w:r>
    </w:p>
    <w:p w14:paraId="58C71C31" w14:textId="77777777" w:rsidR="0014798C" w:rsidRDefault="004E1F0B">
      <w:pPr>
        <w:pStyle w:val="Prrafodelista"/>
        <w:numPr>
          <w:ilvl w:val="0"/>
          <w:numId w:val="94"/>
        </w:numPr>
        <w:tabs>
          <w:tab w:val="left" w:pos="1263"/>
          <w:tab w:val="left" w:pos="1366"/>
        </w:tabs>
        <w:spacing w:before="57" w:line="340" w:lineRule="auto"/>
        <w:ind w:left="1366" w:right="3645" w:hanging="256"/>
        <w:rPr>
          <w:sz w:val="11"/>
        </w:rPr>
      </w:pPr>
      <w:r>
        <w:rPr>
          <w:sz w:val="11"/>
        </w:rPr>
        <w:t xml:space="preserve">Comunidad de Derechos Humanos and </w:t>
      </w:r>
      <w:proofErr w:type="spellStart"/>
      <w:r>
        <w:rPr>
          <w:sz w:val="11"/>
        </w:rPr>
        <w:t>Equal</w:t>
      </w:r>
      <w:proofErr w:type="spellEnd"/>
      <w:r>
        <w:rPr>
          <w:sz w:val="11"/>
        </w:rPr>
        <w:t xml:space="preserve"> </w:t>
      </w:r>
      <w:proofErr w:type="spellStart"/>
      <w:r>
        <w:rPr>
          <w:sz w:val="11"/>
        </w:rPr>
        <w:t>Rights</w:t>
      </w:r>
      <w:proofErr w:type="spellEnd"/>
      <w:r>
        <w:rPr>
          <w:sz w:val="11"/>
        </w:rPr>
        <w:t xml:space="preserve"> Trust, Balance de la Implementación de la Ley Contra el Racismo y Toda Forma de</w:t>
      </w:r>
      <w:r>
        <w:rPr>
          <w:spacing w:val="40"/>
          <w:sz w:val="11"/>
        </w:rPr>
        <w:t xml:space="preserve"> </w:t>
      </w:r>
      <w:r>
        <w:rPr>
          <w:sz w:val="11"/>
        </w:rPr>
        <w:t>Discriminación: Ley No. 045 (La Paz, 2020).</w:t>
      </w:r>
    </w:p>
    <w:p w14:paraId="69915D1D" w14:textId="77777777" w:rsidR="0014798C" w:rsidRDefault="004E1F0B">
      <w:pPr>
        <w:spacing w:before="57" w:line="340" w:lineRule="auto"/>
        <w:ind w:left="1369" w:right="1272" w:hanging="259"/>
        <w:rPr>
          <w:sz w:val="11"/>
        </w:rPr>
      </w:pPr>
      <w:r>
        <w:rPr>
          <w:sz w:val="11"/>
          <w:vertAlign w:val="superscript"/>
        </w:rPr>
        <w:t>13</w:t>
      </w:r>
      <w:r>
        <w:rPr>
          <w:spacing w:val="40"/>
          <w:sz w:val="11"/>
        </w:rPr>
        <w:t xml:space="preserve">  </w:t>
      </w:r>
      <w:r>
        <w:rPr>
          <w:sz w:val="11"/>
        </w:rPr>
        <w:t xml:space="preserve">Véase, por ejemplo, un estudio de caso sobre Tower </w:t>
      </w:r>
      <w:proofErr w:type="spellStart"/>
      <w:r>
        <w:rPr>
          <w:sz w:val="11"/>
        </w:rPr>
        <w:t>Hamlets</w:t>
      </w:r>
      <w:proofErr w:type="spellEnd"/>
      <w:r>
        <w:rPr>
          <w:sz w:val="11"/>
        </w:rPr>
        <w:t xml:space="preserve"> realizado por la Comisión de Igualdad y Derechos Humanos. Ver </w:t>
      </w:r>
      <w:hyperlink r:id="rId48">
        <w:r>
          <w:rPr>
            <w:color w:val="0075BF"/>
            <w:sz w:val="11"/>
          </w:rPr>
          <w:t>www.equalityhumanrights.com/en/</w:t>
        </w:r>
      </w:hyperlink>
      <w:r>
        <w:rPr>
          <w:color w:val="0075BF"/>
          <w:spacing w:val="40"/>
          <w:sz w:val="11"/>
        </w:rPr>
        <w:t xml:space="preserve"> </w:t>
      </w:r>
      <w:proofErr w:type="spellStart"/>
      <w:r>
        <w:rPr>
          <w:color w:val="0075BF"/>
          <w:spacing w:val="-2"/>
          <w:sz w:val="11"/>
        </w:rPr>
        <w:t>asesoramiento­y­orientación</w:t>
      </w:r>
      <w:proofErr w:type="spellEnd"/>
      <w:r>
        <w:rPr>
          <w:color w:val="0075BF"/>
          <w:spacing w:val="-2"/>
          <w:sz w:val="11"/>
        </w:rPr>
        <w:t>/</w:t>
      </w:r>
      <w:proofErr w:type="spellStart"/>
      <w:r>
        <w:rPr>
          <w:color w:val="0075BF"/>
          <w:spacing w:val="-2"/>
          <w:sz w:val="11"/>
        </w:rPr>
        <w:t>beneficios­individuales</w:t>
      </w:r>
      <w:proofErr w:type="spellEnd"/>
      <w:r>
        <w:rPr>
          <w:color w:val="0075BF"/>
          <w:spacing w:val="-2"/>
          <w:sz w:val="11"/>
        </w:rPr>
        <w:t>.</w:t>
      </w:r>
    </w:p>
    <w:p w14:paraId="08AE0F29" w14:textId="77777777" w:rsidR="0014798C" w:rsidRDefault="0014798C">
      <w:pPr>
        <w:pStyle w:val="Textoindependiente"/>
        <w:rPr>
          <w:sz w:val="12"/>
        </w:rPr>
      </w:pPr>
    </w:p>
    <w:p w14:paraId="18884168" w14:textId="77777777" w:rsidR="0014798C" w:rsidRDefault="0014798C">
      <w:pPr>
        <w:pStyle w:val="Textoindependiente"/>
        <w:rPr>
          <w:sz w:val="12"/>
        </w:rPr>
      </w:pPr>
    </w:p>
    <w:p w14:paraId="3E41FE62" w14:textId="77777777" w:rsidR="0014798C" w:rsidRDefault="0014798C">
      <w:pPr>
        <w:pStyle w:val="Textoindependiente"/>
        <w:rPr>
          <w:sz w:val="12"/>
        </w:rPr>
      </w:pPr>
    </w:p>
    <w:p w14:paraId="04C8DA02" w14:textId="77777777" w:rsidR="0014798C" w:rsidRDefault="0014798C">
      <w:pPr>
        <w:pStyle w:val="Textoindependiente"/>
        <w:rPr>
          <w:sz w:val="12"/>
        </w:rPr>
      </w:pPr>
    </w:p>
    <w:p w14:paraId="2860417D" w14:textId="77777777" w:rsidR="0014798C" w:rsidRDefault="0014798C">
      <w:pPr>
        <w:pStyle w:val="Textoindependiente"/>
        <w:rPr>
          <w:sz w:val="12"/>
        </w:rPr>
      </w:pPr>
    </w:p>
    <w:p w14:paraId="0FBD2C2F" w14:textId="77777777" w:rsidR="0014798C" w:rsidRDefault="0014798C">
      <w:pPr>
        <w:pStyle w:val="Textoindependiente"/>
        <w:spacing w:before="115"/>
        <w:rPr>
          <w:sz w:val="12"/>
        </w:rPr>
      </w:pPr>
    </w:p>
    <w:p w14:paraId="6754BD65" w14:textId="77777777" w:rsidR="0014798C" w:rsidRDefault="004E1F0B">
      <w:pPr>
        <w:ind w:right="784"/>
        <w:jc w:val="right"/>
        <w:rPr>
          <w:sz w:val="12"/>
        </w:rPr>
      </w:pPr>
      <w:proofErr w:type="spellStart"/>
      <w:r>
        <w:rPr>
          <w:spacing w:val="-4"/>
          <w:w w:val="105"/>
          <w:sz w:val="12"/>
        </w:rPr>
        <w:t>xxvi</w:t>
      </w:r>
      <w:proofErr w:type="spellEnd"/>
    </w:p>
    <w:p w14:paraId="38F2BFFB" w14:textId="77777777" w:rsidR="0014798C" w:rsidRDefault="0014798C">
      <w:pPr>
        <w:jc w:val="right"/>
        <w:rPr>
          <w:sz w:val="12"/>
        </w:rPr>
        <w:sectPr w:rsidR="0014798C" w:rsidSect="00F265E4">
          <w:pgSz w:w="11900" w:h="16820"/>
          <w:pgMar w:top="340" w:right="0" w:bottom="280" w:left="200" w:header="121" w:footer="0" w:gutter="0"/>
          <w:cols w:space="720"/>
        </w:sectPr>
      </w:pPr>
    </w:p>
    <w:p w14:paraId="53BBD66D" w14:textId="77777777" w:rsidR="0014798C" w:rsidRDefault="0014798C">
      <w:pPr>
        <w:pStyle w:val="Textoindependiente"/>
        <w:spacing w:before="85"/>
        <w:rPr>
          <w:sz w:val="12"/>
        </w:rPr>
      </w:pPr>
    </w:p>
    <w:p w14:paraId="681DF00F" w14:textId="77777777" w:rsidR="0014798C" w:rsidRDefault="004E1F0B">
      <w:pPr>
        <w:ind w:left="1111"/>
        <w:rPr>
          <w:sz w:val="12"/>
        </w:rPr>
      </w:pPr>
      <w:r>
        <w:rPr>
          <w:color w:val="0075BF"/>
          <w:sz w:val="12"/>
        </w:rPr>
        <w:t>PROTECCIÓN</w:t>
      </w:r>
      <w:r>
        <w:rPr>
          <w:color w:val="0075BF"/>
          <w:spacing w:val="6"/>
          <w:sz w:val="12"/>
        </w:rPr>
        <w:t xml:space="preserve"> </w:t>
      </w:r>
      <w:r>
        <w:rPr>
          <w:color w:val="0075BF"/>
          <w:sz w:val="12"/>
        </w:rPr>
        <w:t>DE</w:t>
      </w:r>
      <w:r>
        <w:rPr>
          <w:color w:val="0075BF"/>
          <w:spacing w:val="7"/>
          <w:sz w:val="12"/>
        </w:rPr>
        <w:t xml:space="preserve"> </w:t>
      </w:r>
      <w:r>
        <w:rPr>
          <w:color w:val="0075BF"/>
          <w:sz w:val="12"/>
        </w:rPr>
        <w:t>LOS</w:t>
      </w:r>
      <w:r>
        <w:rPr>
          <w:color w:val="0075BF"/>
          <w:spacing w:val="8"/>
          <w:sz w:val="12"/>
        </w:rPr>
        <w:t xml:space="preserve"> </w:t>
      </w:r>
      <w:r>
        <w:rPr>
          <w:color w:val="0075BF"/>
          <w:sz w:val="12"/>
        </w:rPr>
        <w:t>DERECHOS</w:t>
      </w:r>
      <w:r>
        <w:rPr>
          <w:color w:val="0075BF"/>
          <w:spacing w:val="8"/>
          <w:sz w:val="12"/>
        </w:rPr>
        <w:t xml:space="preserve"> </w:t>
      </w:r>
      <w:r>
        <w:rPr>
          <w:color w:val="0075BF"/>
          <w:sz w:val="12"/>
        </w:rPr>
        <w:t>DE</w:t>
      </w:r>
      <w:r>
        <w:rPr>
          <w:color w:val="0075BF"/>
          <w:spacing w:val="6"/>
          <w:sz w:val="12"/>
        </w:rPr>
        <w:t xml:space="preserve"> </w:t>
      </w:r>
      <w:r>
        <w:rPr>
          <w:color w:val="0075BF"/>
          <w:sz w:val="12"/>
        </w:rPr>
        <w:t>LAS</w:t>
      </w:r>
      <w:r>
        <w:rPr>
          <w:color w:val="0075BF"/>
          <w:spacing w:val="7"/>
          <w:sz w:val="12"/>
        </w:rPr>
        <w:t xml:space="preserve"> </w:t>
      </w:r>
      <w:r>
        <w:rPr>
          <w:color w:val="0075BF"/>
          <w:sz w:val="12"/>
        </w:rPr>
        <w:t>MINORÍAS:</w:t>
      </w:r>
      <w:r>
        <w:rPr>
          <w:color w:val="0075BF"/>
          <w:spacing w:val="8"/>
          <w:sz w:val="12"/>
        </w:rPr>
        <w:t xml:space="preserve"> </w:t>
      </w:r>
      <w:r>
        <w:rPr>
          <w:color w:val="0075BF"/>
          <w:sz w:val="12"/>
        </w:rPr>
        <w:t>una</w:t>
      </w:r>
      <w:r>
        <w:rPr>
          <w:color w:val="0075BF"/>
          <w:spacing w:val="7"/>
          <w:sz w:val="12"/>
        </w:rPr>
        <w:t xml:space="preserve"> </w:t>
      </w:r>
      <w:r>
        <w:rPr>
          <w:color w:val="0075BF"/>
          <w:sz w:val="12"/>
        </w:rPr>
        <w:t>guía</w:t>
      </w:r>
      <w:r>
        <w:rPr>
          <w:color w:val="0075BF"/>
          <w:spacing w:val="6"/>
          <w:sz w:val="12"/>
        </w:rPr>
        <w:t xml:space="preserve"> </w:t>
      </w:r>
      <w:r>
        <w:rPr>
          <w:color w:val="0075BF"/>
          <w:sz w:val="12"/>
        </w:rPr>
        <w:t>práctica</w:t>
      </w:r>
      <w:r>
        <w:rPr>
          <w:color w:val="0075BF"/>
          <w:spacing w:val="7"/>
          <w:sz w:val="12"/>
        </w:rPr>
        <w:t xml:space="preserve"> </w:t>
      </w:r>
      <w:r>
        <w:rPr>
          <w:color w:val="0075BF"/>
          <w:sz w:val="12"/>
        </w:rPr>
        <w:t>para</w:t>
      </w:r>
      <w:r>
        <w:rPr>
          <w:color w:val="0075BF"/>
          <w:spacing w:val="8"/>
          <w:sz w:val="12"/>
        </w:rPr>
        <w:t xml:space="preserve"> </w:t>
      </w:r>
      <w:r>
        <w:rPr>
          <w:color w:val="0075BF"/>
          <w:sz w:val="12"/>
        </w:rPr>
        <w:t>desarrollar</w:t>
      </w:r>
      <w:r>
        <w:rPr>
          <w:color w:val="0075BF"/>
          <w:spacing w:val="6"/>
          <w:sz w:val="12"/>
        </w:rPr>
        <w:t xml:space="preserve"> </w:t>
      </w:r>
      <w:r>
        <w:rPr>
          <w:color w:val="0075BF"/>
          <w:sz w:val="12"/>
        </w:rPr>
        <w:t>una</w:t>
      </w:r>
      <w:r>
        <w:rPr>
          <w:color w:val="0075BF"/>
          <w:spacing w:val="7"/>
          <w:sz w:val="12"/>
        </w:rPr>
        <w:t xml:space="preserve"> </w:t>
      </w:r>
      <w:r>
        <w:rPr>
          <w:color w:val="0075BF"/>
          <w:sz w:val="12"/>
        </w:rPr>
        <w:t>legislación</w:t>
      </w:r>
      <w:r>
        <w:rPr>
          <w:color w:val="0075BF"/>
          <w:spacing w:val="8"/>
          <w:sz w:val="12"/>
        </w:rPr>
        <w:t xml:space="preserve"> </w:t>
      </w:r>
      <w:r>
        <w:rPr>
          <w:color w:val="0075BF"/>
          <w:sz w:val="12"/>
        </w:rPr>
        <w:t>integral</w:t>
      </w:r>
      <w:r>
        <w:rPr>
          <w:color w:val="0075BF"/>
          <w:spacing w:val="7"/>
          <w:sz w:val="12"/>
        </w:rPr>
        <w:t xml:space="preserve"> </w:t>
      </w:r>
      <w:r>
        <w:rPr>
          <w:color w:val="0075BF"/>
          <w:sz w:val="12"/>
        </w:rPr>
        <w:t>contra</w:t>
      </w:r>
      <w:r>
        <w:rPr>
          <w:color w:val="0075BF"/>
          <w:spacing w:val="6"/>
          <w:sz w:val="12"/>
        </w:rPr>
        <w:t xml:space="preserve"> </w:t>
      </w:r>
      <w:r>
        <w:rPr>
          <w:color w:val="0075BF"/>
          <w:sz w:val="12"/>
        </w:rPr>
        <w:t>la</w:t>
      </w:r>
      <w:r>
        <w:rPr>
          <w:color w:val="0075BF"/>
          <w:spacing w:val="7"/>
          <w:sz w:val="12"/>
        </w:rPr>
        <w:t xml:space="preserve"> </w:t>
      </w:r>
      <w:r>
        <w:rPr>
          <w:color w:val="0075BF"/>
          <w:spacing w:val="-2"/>
          <w:sz w:val="12"/>
        </w:rPr>
        <w:t>discriminación</w:t>
      </w:r>
    </w:p>
    <w:p w14:paraId="5F8F4ED5" w14:textId="77777777" w:rsidR="0014798C" w:rsidRDefault="0014798C">
      <w:pPr>
        <w:pStyle w:val="Textoindependiente"/>
        <w:rPr>
          <w:sz w:val="25"/>
        </w:rPr>
      </w:pPr>
    </w:p>
    <w:p w14:paraId="17D023FD" w14:textId="77777777" w:rsidR="0014798C" w:rsidRDefault="0014798C">
      <w:pPr>
        <w:pStyle w:val="Textoindependiente"/>
        <w:rPr>
          <w:sz w:val="25"/>
        </w:rPr>
      </w:pPr>
    </w:p>
    <w:p w14:paraId="270155E3" w14:textId="77777777" w:rsidR="0014798C" w:rsidRDefault="0014798C">
      <w:pPr>
        <w:pStyle w:val="Textoindependiente"/>
        <w:spacing w:before="119"/>
        <w:rPr>
          <w:sz w:val="25"/>
        </w:rPr>
      </w:pPr>
    </w:p>
    <w:p w14:paraId="7948A90C" w14:textId="77777777" w:rsidR="0014798C" w:rsidRDefault="004E1F0B">
      <w:pPr>
        <w:ind w:left="1100"/>
        <w:rPr>
          <w:sz w:val="25"/>
        </w:rPr>
      </w:pPr>
      <w:r>
        <w:rPr>
          <w:color w:val="0075BF"/>
          <w:sz w:val="25"/>
        </w:rPr>
        <w:t>Leyes</w:t>
      </w:r>
      <w:r>
        <w:rPr>
          <w:color w:val="0075BF"/>
          <w:spacing w:val="10"/>
          <w:sz w:val="25"/>
        </w:rPr>
        <w:t xml:space="preserve"> </w:t>
      </w:r>
      <w:r>
        <w:rPr>
          <w:color w:val="0075BF"/>
          <w:sz w:val="25"/>
        </w:rPr>
        <w:t>contra</w:t>
      </w:r>
      <w:r>
        <w:rPr>
          <w:color w:val="0075BF"/>
          <w:spacing w:val="10"/>
          <w:sz w:val="25"/>
        </w:rPr>
        <w:t xml:space="preserve"> </w:t>
      </w:r>
      <w:r>
        <w:rPr>
          <w:color w:val="0075BF"/>
          <w:sz w:val="25"/>
        </w:rPr>
        <w:t>la</w:t>
      </w:r>
      <w:r>
        <w:rPr>
          <w:color w:val="0075BF"/>
          <w:spacing w:val="10"/>
          <w:sz w:val="25"/>
        </w:rPr>
        <w:t xml:space="preserve"> </w:t>
      </w:r>
      <w:r>
        <w:rPr>
          <w:color w:val="0075BF"/>
          <w:sz w:val="25"/>
        </w:rPr>
        <w:t>discriminación</w:t>
      </w:r>
      <w:r>
        <w:rPr>
          <w:color w:val="0075BF"/>
          <w:spacing w:val="10"/>
          <w:sz w:val="25"/>
        </w:rPr>
        <w:t xml:space="preserve"> </w:t>
      </w:r>
      <w:r>
        <w:rPr>
          <w:color w:val="0075BF"/>
          <w:sz w:val="25"/>
        </w:rPr>
        <w:t>en</w:t>
      </w:r>
      <w:r>
        <w:rPr>
          <w:color w:val="0075BF"/>
          <w:spacing w:val="10"/>
          <w:sz w:val="25"/>
        </w:rPr>
        <w:t xml:space="preserve"> </w:t>
      </w:r>
      <w:r>
        <w:rPr>
          <w:color w:val="0075BF"/>
          <w:sz w:val="25"/>
        </w:rPr>
        <w:t>un</w:t>
      </w:r>
      <w:r>
        <w:rPr>
          <w:color w:val="0075BF"/>
          <w:spacing w:val="11"/>
          <w:sz w:val="25"/>
        </w:rPr>
        <w:t xml:space="preserve"> </w:t>
      </w:r>
      <w:r>
        <w:rPr>
          <w:color w:val="0075BF"/>
          <w:sz w:val="25"/>
        </w:rPr>
        <w:t>mundo</w:t>
      </w:r>
      <w:r>
        <w:rPr>
          <w:color w:val="0075BF"/>
          <w:spacing w:val="10"/>
          <w:sz w:val="25"/>
        </w:rPr>
        <w:t xml:space="preserve"> </w:t>
      </w:r>
      <w:r>
        <w:rPr>
          <w:color w:val="0075BF"/>
          <w:spacing w:val="-2"/>
          <w:sz w:val="25"/>
        </w:rPr>
        <w:t>cambiante</w:t>
      </w:r>
    </w:p>
    <w:p w14:paraId="738A2B6A" w14:textId="77777777" w:rsidR="0014798C" w:rsidRDefault="0014798C">
      <w:pPr>
        <w:pStyle w:val="Textoindependiente"/>
        <w:spacing w:before="70"/>
        <w:rPr>
          <w:sz w:val="15"/>
        </w:rPr>
      </w:pPr>
    </w:p>
    <w:p w14:paraId="16B07DAB" w14:textId="77777777" w:rsidR="0014798C" w:rsidRDefault="004E1F0B">
      <w:pPr>
        <w:spacing w:line="348" w:lineRule="auto"/>
        <w:ind w:left="1107" w:right="1326" w:hanging="4"/>
        <w:rPr>
          <w:sz w:val="15"/>
        </w:rPr>
      </w:pPr>
      <w:r>
        <w:rPr>
          <w:w w:val="105"/>
          <w:sz w:val="15"/>
        </w:rPr>
        <w:t>Si</w:t>
      </w:r>
      <w:r>
        <w:rPr>
          <w:spacing w:val="-5"/>
          <w:w w:val="105"/>
          <w:sz w:val="15"/>
        </w:rPr>
        <w:t xml:space="preserve"> </w:t>
      </w:r>
      <w:r>
        <w:rPr>
          <w:w w:val="105"/>
          <w:sz w:val="15"/>
        </w:rPr>
        <w:t>bien</w:t>
      </w:r>
      <w:r>
        <w:rPr>
          <w:spacing w:val="-5"/>
          <w:w w:val="105"/>
          <w:sz w:val="15"/>
        </w:rPr>
        <w:t xml:space="preserve"> </w:t>
      </w:r>
      <w:r>
        <w:rPr>
          <w:w w:val="105"/>
          <w:sz w:val="15"/>
        </w:rPr>
        <w:t>el</w:t>
      </w:r>
      <w:r>
        <w:rPr>
          <w:spacing w:val="-5"/>
          <w:w w:val="105"/>
          <w:sz w:val="15"/>
        </w:rPr>
        <w:t xml:space="preserve"> </w:t>
      </w:r>
      <w:r>
        <w:rPr>
          <w:w w:val="105"/>
          <w:sz w:val="15"/>
        </w:rPr>
        <w:t>compromiso</w:t>
      </w:r>
      <w:r>
        <w:rPr>
          <w:spacing w:val="-5"/>
          <w:w w:val="105"/>
          <w:sz w:val="15"/>
        </w:rPr>
        <w:t xml:space="preserve"> </w:t>
      </w:r>
      <w:r>
        <w:rPr>
          <w:w w:val="105"/>
          <w:sz w:val="15"/>
        </w:rPr>
        <w:t>de</w:t>
      </w:r>
      <w:r>
        <w:rPr>
          <w:spacing w:val="-5"/>
          <w:w w:val="105"/>
          <w:sz w:val="15"/>
        </w:rPr>
        <w:t xml:space="preserve"> </w:t>
      </w:r>
      <w:r>
        <w:rPr>
          <w:w w:val="105"/>
          <w:sz w:val="15"/>
        </w:rPr>
        <w:t>los</w:t>
      </w:r>
      <w:r>
        <w:rPr>
          <w:spacing w:val="-5"/>
          <w:w w:val="105"/>
          <w:sz w:val="15"/>
        </w:rPr>
        <w:t xml:space="preserve"> </w:t>
      </w:r>
      <w:r>
        <w:rPr>
          <w:w w:val="105"/>
          <w:sz w:val="15"/>
        </w:rPr>
        <w:t>Estados</w:t>
      </w:r>
      <w:r>
        <w:rPr>
          <w:spacing w:val="-6"/>
          <w:w w:val="105"/>
          <w:sz w:val="15"/>
        </w:rPr>
        <w:t xml:space="preserve"> </w:t>
      </w:r>
      <w:r>
        <w:rPr>
          <w:w w:val="105"/>
          <w:sz w:val="15"/>
        </w:rPr>
        <w:t>de</w:t>
      </w:r>
      <w:r>
        <w:rPr>
          <w:spacing w:val="-5"/>
          <w:w w:val="105"/>
          <w:sz w:val="15"/>
        </w:rPr>
        <w:t xml:space="preserve"> </w:t>
      </w:r>
      <w:r>
        <w:rPr>
          <w:w w:val="105"/>
          <w:sz w:val="15"/>
        </w:rPr>
        <w:t>hacer</w:t>
      </w:r>
      <w:r>
        <w:rPr>
          <w:spacing w:val="-5"/>
          <w:w w:val="105"/>
          <w:sz w:val="15"/>
        </w:rPr>
        <w:t xml:space="preserve"> </w:t>
      </w:r>
      <w:r>
        <w:rPr>
          <w:w w:val="105"/>
          <w:sz w:val="15"/>
        </w:rPr>
        <w:t>realidad</w:t>
      </w:r>
      <w:r>
        <w:rPr>
          <w:spacing w:val="-5"/>
          <w:w w:val="105"/>
          <w:sz w:val="15"/>
        </w:rPr>
        <w:t xml:space="preserve"> </w:t>
      </w:r>
      <w:r>
        <w:rPr>
          <w:w w:val="105"/>
          <w:sz w:val="15"/>
        </w:rPr>
        <w:t>el</w:t>
      </w:r>
      <w:r>
        <w:rPr>
          <w:spacing w:val="-5"/>
          <w:w w:val="105"/>
          <w:sz w:val="15"/>
        </w:rPr>
        <w:t xml:space="preserve"> </w:t>
      </w:r>
      <w:r>
        <w:rPr>
          <w:w w:val="105"/>
          <w:sz w:val="15"/>
        </w:rPr>
        <w:t>derecho</w:t>
      </w:r>
      <w:r>
        <w:rPr>
          <w:spacing w:val="-5"/>
          <w:w w:val="105"/>
          <w:sz w:val="15"/>
        </w:rPr>
        <w:t xml:space="preserve"> </w:t>
      </w:r>
      <w:r>
        <w:rPr>
          <w:w w:val="105"/>
          <w:sz w:val="15"/>
        </w:rPr>
        <w:t>a</w:t>
      </w:r>
      <w:r>
        <w:rPr>
          <w:spacing w:val="-5"/>
          <w:w w:val="105"/>
          <w:sz w:val="15"/>
        </w:rPr>
        <w:t xml:space="preserve"> </w:t>
      </w:r>
      <w:r>
        <w:rPr>
          <w:w w:val="105"/>
          <w:sz w:val="15"/>
        </w:rPr>
        <w:t>la</w:t>
      </w:r>
      <w:r>
        <w:rPr>
          <w:spacing w:val="-5"/>
          <w:w w:val="105"/>
          <w:sz w:val="15"/>
        </w:rPr>
        <w:t xml:space="preserve"> </w:t>
      </w:r>
      <w:r>
        <w:rPr>
          <w:w w:val="105"/>
          <w:sz w:val="15"/>
        </w:rPr>
        <w:t>no</w:t>
      </w:r>
      <w:r>
        <w:rPr>
          <w:spacing w:val="-5"/>
          <w:w w:val="105"/>
          <w:sz w:val="15"/>
        </w:rPr>
        <w:t xml:space="preserve"> </w:t>
      </w:r>
      <w:r>
        <w:rPr>
          <w:w w:val="105"/>
          <w:sz w:val="15"/>
        </w:rPr>
        <w:t>discriminación</w:t>
      </w:r>
      <w:r>
        <w:rPr>
          <w:spacing w:val="-5"/>
          <w:w w:val="105"/>
          <w:sz w:val="15"/>
        </w:rPr>
        <w:t xml:space="preserve"> </w:t>
      </w:r>
      <w:r>
        <w:rPr>
          <w:w w:val="105"/>
          <w:sz w:val="15"/>
        </w:rPr>
        <w:t>tiene</w:t>
      </w:r>
      <w:r>
        <w:rPr>
          <w:spacing w:val="-5"/>
          <w:w w:val="105"/>
          <w:sz w:val="15"/>
        </w:rPr>
        <w:t xml:space="preserve"> </w:t>
      </w:r>
      <w:r>
        <w:rPr>
          <w:w w:val="105"/>
          <w:sz w:val="15"/>
        </w:rPr>
        <w:t>décadas</w:t>
      </w:r>
      <w:r>
        <w:rPr>
          <w:spacing w:val="-5"/>
          <w:w w:val="105"/>
          <w:sz w:val="15"/>
        </w:rPr>
        <w:t xml:space="preserve"> </w:t>
      </w:r>
      <w:r>
        <w:rPr>
          <w:w w:val="105"/>
          <w:sz w:val="15"/>
        </w:rPr>
        <w:t>de</w:t>
      </w:r>
      <w:r>
        <w:rPr>
          <w:spacing w:val="-5"/>
          <w:w w:val="105"/>
          <w:sz w:val="15"/>
        </w:rPr>
        <w:t xml:space="preserve"> </w:t>
      </w:r>
      <w:r>
        <w:rPr>
          <w:w w:val="105"/>
          <w:sz w:val="15"/>
        </w:rPr>
        <w:t>antigüedad,</w:t>
      </w:r>
      <w:r>
        <w:rPr>
          <w:spacing w:val="-4"/>
          <w:w w:val="105"/>
          <w:sz w:val="15"/>
        </w:rPr>
        <w:t xml:space="preserve"> </w:t>
      </w:r>
      <w:r>
        <w:rPr>
          <w:w w:val="105"/>
          <w:sz w:val="15"/>
        </w:rPr>
        <w:t>la</w:t>
      </w:r>
      <w:r>
        <w:rPr>
          <w:spacing w:val="-5"/>
          <w:w w:val="105"/>
          <w:sz w:val="15"/>
        </w:rPr>
        <w:t xml:space="preserve"> </w:t>
      </w:r>
      <w:r>
        <w:rPr>
          <w:w w:val="105"/>
          <w:sz w:val="15"/>
        </w:rPr>
        <w:t>pandemia de</w:t>
      </w:r>
      <w:r>
        <w:rPr>
          <w:spacing w:val="-4"/>
          <w:w w:val="105"/>
          <w:sz w:val="15"/>
        </w:rPr>
        <w:t xml:space="preserve"> </w:t>
      </w:r>
      <w:r>
        <w:rPr>
          <w:w w:val="105"/>
          <w:sz w:val="15"/>
        </w:rPr>
        <w:t>la</w:t>
      </w:r>
      <w:r>
        <w:rPr>
          <w:spacing w:val="-4"/>
          <w:w w:val="105"/>
          <w:sz w:val="15"/>
        </w:rPr>
        <w:t xml:space="preserve"> </w:t>
      </w:r>
      <w:r>
        <w:rPr>
          <w:w w:val="105"/>
          <w:sz w:val="15"/>
        </w:rPr>
        <w:t>enfermedad</w:t>
      </w:r>
      <w:r>
        <w:rPr>
          <w:spacing w:val="-4"/>
          <w:w w:val="105"/>
          <w:sz w:val="15"/>
        </w:rPr>
        <w:t xml:space="preserve"> </w:t>
      </w:r>
      <w:r>
        <w:rPr>
          <w:w w:val="105"/>
          <w:sz w:val="15"/>
        </w:rPr>
        <w:t>por</w:t>
      </w:r>
      <w:r>
        <w:rPr>
          <w:spacing w:val="-4"/>
          <w:w w:val="105"/>
          <w:sz w:val="15"/>
        </w:rPr>
        <w:t xml:space="preserve"> </w:t>
      </w:r>
      <w:r>
        <w:rPr>
          <w:w w:val="105"/>
          <w:sz w:val="15"/>
        </w:rPr>
        <w:t>coronavirus</w:t>
      </w:r>
      <w:r>
        <w:rPr>
          <w:spacing w:val="-4"/>
          <w:w w:val="105"/>
          <w:sz w:val="15"/>
        </w:rPr>
        <w:t xml:space="preserve"> </w:t>
      </w:r>
      <w:r>
        <w:rPr>
          <w:w w:val="105"/>
          <w:sz w:val="15"/>
        </w:rPr>
        <w:t>(COVID­19)</w:t>
      </w:r>
      <w:r>
        <w:rPr>
          <w:spacing w:val="-4"/>
          <w:w w:val="105"/>
          <w:sz w:val="15"/>
        </w:rPr>
        <w:t xml:space="preserve"> </w:t>
      </w:r>
      <w:r>
        <w:rPr>
          <w:w w:val="105"/>
          <w:sz w:val="15"/>
        </w:rPr>
        <w:t>ha</w:t>
      </w:r>
      <w:r>
        <w:rPr>
          <w:spacing w:val="-4"/>
          <w:w w:val="105"/>
          <w:sz w:val="15"/>
        </w:rPr>
        <w:t xml:space="preserve"> </w:t>
      </w:r>
      <w:r>
        <w:rPr>
          <w:w w:val="105"/>
          <w:sz w:val="15"/>
        </w:rPr>
        <w:t>arrojado</w:t>
      </w:r>
      <w:r>
        <w:rPr>
          <w:spacing w:val="-4"/>
          <w:w w:val="105"/>
          <w:sz w:val="15"/>
        </w:rPr>
        <w:t xml:space="preserve"> </w:t>
      </w:r>
      <w:r>
        <w:rPr>
          <w:w w:val="105"/>
          <w:sz w:val="15"/>
        </w:rPr>
        <w:t>una</w:t>
      </w:r>
      <w:r>
        <w:rPr>
          <w:spacing w:val="-4"/>
          <w:w w:val="105"/>
          <w:sz w:val="15"/>
        </w:rPr>
        <w:t xml:space="preserve"> </w:t>
      </w:r>
      <w:r>
        <w:rPr>
          <w:w w:val="105"/>
          <w:sz w:val="15"/>
        </w:rPr>
        <w:t>nueva</w:t>
      </w:r>
      <w:r>
        <w:rPr>
          <w:spacing w:val="-4"/>
          <w:w w:val="105"/>
          <w:sz w:val="15"/>
        </w:rPr>
        <w:t xml:space="preserve"> </w:t>
      </w:r>
      <w:r>
        <w:rPr>
          <w:w w:val="105"/>
          <w:sz w:val="15"/>
        </w:rPr>
        <w:t>y</w:t>
      </w:r>
      <w:r>
        <w:rPr>
          <w:spacing w:val="-4"/>
          <w:w w:val="105"/>
          <w:sz w:val="15"/>
        </w:rPr>
        <w:t xml:space="preserve"> </w:t>
      </w:r>
      <w:r>
        <w:rPr>
          <w:w w:val="105"/>
          <w:sz w:val="15"/>
        </w:rPr>
        <w:t>dura</w:t>
      </w:r>
      <w:r>
        <w:rPr>
          <w:spacing w:val="-4"/>
          <w:w w:val="105"/>
          <w:sz w:val="15"/>
        </w:rPr>
        <w:t xml:space="preserve"> </w:t>
      </w:r>
      <w:r>
        <w:rPr>
          <w:w w:val="105"/>
          <w:sz w:val="15"/>
        </w:rPr>
        <w:t>luz</w:t>
      </w:r>
      <w:r>
        <w:rPr>
          <w:spacing w:val="-4"/>
          <w:w w:val="105"/>
          <w:sz w:val="15"/>
        </w:rPr>
        <w:t xml:space="preserve"> </w:t>
      </w:r>
      <w:r>
        <w:rPr>
          <w:w w:val="105"/>
          <w:sz w:val="15"/>
        </w:rPr>
        <w:t>sobre</w:t>
      </w:r>
      <w:r>
        <w:rPr>
          <w:spacing w:val="-4"/>
          <w:w w:val="105"/>
          <w:sz w:val="15"/>
        </w:rPr>
        <w:t xml:space="preserve"> </w:t>
      </w:r>
      <w:r>
        <w:rPr>
          <w:w w:val="105"/>
          <w:sz w:val="15"/>
        </w:rPr>
        <w:t>los</w:t>
      </w:r>
      <w:r>
        <w:rPr>
          <w:spacing w:val="-4"/>
          <w:w w:val="105"/>
          <w:sz w:val="15"/>
        </w:rPr>
        <w:t xml:space="preserve"> </w:t>
      </w:r>
      <w:r>
        <w:rPr>
          <w:w w:val="105"/>
          <w:sz w:val="15"/>
        </w:rPr>
        <w:t>problemas</w:t>
      </w:r>
      <w:r>
        <w:rPr>
          <w:spacing w:val="-4"/>
          <w:w w:val="105"/>
          <w:sz w:val="15"/>
        </w:rPr>
        <w:t xml:space="preserve"> </w:t>
      </w:r>
      <w:r>
        <w:rPr>
          <w:w w:val="105"/>
          <w:sz w:val="15"/>
        </w:rPr>
        <w:t>de</w:t>
      </w:r>
      <w:r>
        <w:rPr>
          <w:spacing w:val="-4"/>
          <w:w w:val="105"/>
          <w:sz w:val="15"/>
        </w:rPr>
        <w:t xml:space="preserve"> </w:t>
      </w:r>
      <w:r>
        <w:rPr>
          <w:w w:val="105"/>
          <w:sz w:val="15"/>
        </w:rPr>
        <w:t>la</w:t>
      </w:r>
      <w:r>
        <w:rPr>
          <w:spacing w:val="-4"/>
          <w:w w:val="105"/>
          <w:sz w:val="15"/>
        </w:rPr>
        <w:t xml:space="preserve"> </w:t>
      </w:r>
      <w:r>
        <w:rPr>
          <w:w w:val="105"/>
          <w:sz w:val="15"/>
        </w:rPr>
        <w:t>desigualdad</w:t>
      </w:r>
      <w:r>
        <w:rPr>
          <w:spacing w:val="-4"/>
          <w:w w:val="105"/>
          <w:sz w:val="15"/>
        </w:rPr>
        <w:t xml:space="preserve"> </w:t>
      </w:r>
      <w:r>
        <w:rPr>
          <w:w w:val="105"/>
          <w:sz w:val="15"/>
        </w:rPr>
        <w:t>y</w:t>
      </w:r>
      <w:r>
        <w:rPr>
          <w:spacing w:val="-4"/>
          <w:w w:val="105"/>
          <w:sz w:val="15"/>
        </w:rPr>
        <w:t xml:space="preserve"> </w:t>
      </w:r>
      <w:r>
        <w:rPr>
          <w:w w:val="105"/>
          <w:sz w:val="15"/>
        </w:rPr>
        <w:t>la discriminación</w:t>
      </w:r>
      <w:r>
        <w:rPr>
          <w:spacing w:val="-6"/>
          <w:w w:val="105"/>
          <w:sz w:val="15"/>
        </w:rPr>
        <w:t xml:space="preserve"> </w:t>
      </w:r>
      <w:r>
        <w:rPr>
          <w:w w:val="105"/>
          <w:sz w:val="15"/>
        </w:rPr>
        <w:t>y</w:t>
      </w:r>
      <w:r>
        <w:rPr>
          <w:spacing w:val="-6"/>
          <w:w w:val="105"/>
          <w:sz w:val="15"/>
        </w:rPr>
        <w:t xml:space="preserve"> </w:t>
      </w:r>
      <w:r>
        <w:rPr>
          <w:w w:val="105"/>
          <w:sz w:val="15"/>
        </w:rPr>
        <w:t>ha</w:t>
      </w:r>
      <w:r>
        <w:rPr>
          <w:spacing w:val="-6"/>
          <w:w w:val="105"/>
          <w:sz w:val="15"/>
        </w:rPr>
        <w:t xml:space="preserve"> </w:t>
      </w:r>
      <w:r>
        <w:rPr>
          <w:w w:val="105"/>
          <w:sz w:val="15"/>
        </w:rPr>
        <w:t>dado</w:t>
      </w:r>
      <w:r>
        <w:rPr>
          <w:spacing w:val="-6"/>
          <w:w w:val="105"/>
          <w:sz w:val="15"/>
        </w:rPr>
        <w:t xml:space="preserve"> </w:t>
      </w:r>
      <w:r>
        <w:rPr>
          <w:w w:val="105"/>
          <w:sz w:val="15"/>
        </w:rPr>
        <w:t>una</w:t>
      </w:r>
      <w:r>
        <w:rPr>
          <w:spacing w:val="-6"/>
          <w:w w:val="105"/>
          <w:sz w:val="15"/>
        </w:rPr>
        <w:t xml:space="preserve"> </w:t>
      </w:r>
      <w:r>
        <w:rPr>
          <w:w w:val="105"/>
          <w:sz w:val="15"/>
        </w:rPr>
        <w:t>renovada</w:t>
      </w:r>
      <w:r>
        <w:rPr>
          <w:spacing w:val="-6"/>
          <w:w w:val="105"/>
          <w:sz w:val="15"/>
        </w:rPr>
        <w:t xml:space="preserve"> </w:t>
      </w:r>
      <w:r>
        <w:rPr>
          <w:w w:val="105"/>
          <w:sz w:val="15"/>
        </w:rPr>
        <w:t>urgencia</w:t>
      </w:r>
      <w:r>
        <w:rPr>
          <w:spacing w:val="-6"/>
          <w:w w:val="105"/>
          <w:sz w:val="15"/>
        </w:rPr>
        <w:t xml:space="preserve"> </w:t>
      </w:r>
      <w:r>
        <w:rPr>
          <w:w w:val="105"/>
          <w:sz w:val="15"/>
        </w:rPr>
        <w:t>a</w:t>
      </w:r>
      <w:r>
        <w:rPr>
          <w:spacing w:val="-6"/>
          <w:w w:val="105"/>
          <w:sz w:val="15"/>
        </w:rPr>
        <w:t xml:space="preserve"> </w:t>
      </w:r>
      <w:r>
        <w:rPr>
          <w:w w:val="105"/>
          <w:sz w:val="15"/>
        </w:rPr>
        <w:t>los</w:t>
      </w:r>
      <w:r>
        <w:rPr>
          <w:spacing w:val="-6"/>
          <w:w w:val="105"/>
          <w:sz w:val="15"/>
        </w:rPr>
        <w:t xml:space="preserve"> </w:t>
      </w:r>
      <w:r>
        <w:rPr>
          <w:w w:val="105"/>
          <w:sz w:val="15"/>
        </w:rPr>
        <w:t>esfuerzos</w:t>
      </w:r>
      <w:r>
        <w:rPr>
          <w:spacing w:val="-6"/>
          <w:w w:val="105"/>
          <w:sz w:val="15"/>
        </w:rPr>
        <w:t xml:space="preserve"> </w:t>
      </w:r>
      <w:r>
        <w:rPr>
          <w:w w:val="105"/>
          <w:sz w:val="15"/>
        </w:rPr>
        <w:t>para</w:t>
      </w:r>
      <w:r>
        <w:rPr>
          <w:spacing w:val="-6"/>
          <w:w w:val="105"/>
          <w:sz w:val="15"/>
        </w:rPr>
        <w:t xml:space="preserve"> </w:t>
      </w:r>
      <w:r>
        <w:rPr>
          <w:w w:val="105"/>
          <w:sz w:val="15"/>
        </w:rPr>
        <w:t>abordarlos.</w:t>
      </w:r>
      <w:r>
        <w:rPr>
          <w:spacing w:val="-5"/>
          <w:w w:val="105"/>
          <w:sz w:val="15"/>
        </w:rPr>
        <w:t xml:space="preserve"> </w:t>
      </w:r>
      <w:r>
        <w:rPr>
          <w:w w:val="105"/>
          <w:sz w:val="15"/>
        </w:rPr>
        <w:t>La</w:t>
      </w:r>
      <w:r>
        <w:rPr>
          <w:spacing w:val="-6"/>
          <w:w w:val="105"/>
          <w:sz w:val="15"/>
        </w:rPr>
        <w:t xml:space="preserve"> </w:t>
      </w:r>
      <w:r>
        <w:rPr>
          <w:w w:val="105"/>
          <w:sz w:val="15"/>
        </w:rPr>
        <w:t>pandemia</w:t>
      </w:r>
      <w:r>
        <w:rPr>
          <w:spacing w:val="-6"/>
          <w:w w:val="105"/>
          <w:sz w:val="15"/>
        </w:rPr>
        <w:t xml:space="preserve"> </w:t>
      </w:r>
      <w:r>
        <w:rPr>
          <w:w w:val="105"/>
          <w:sz w:val="15"/>
        </w:rPr>
        <w:t>ha</w:t>
      </w:r>
      <w:r>
        <w:rPr>
          <w:spacing w:val="-6"/>
          <w:w w:val="105"/>
          <w:sz w:val="15"/>
        </w:rPr>
        <w:t xml:space="preserve"> </w:t>
      </w:r>
      <w:r>
        <w:rPr>
          <w:w w:val="105"/>
          <w:sz w:val="15"/>
        </w:rPr>
        <w:t>revelado</w:t>
      </w:r>
      <w:r>
        <w:rPr>
          <w:spacing w:val="-6"/>
          <w:w w:val="105"/>
          <w:sz w:val="15"/>
        </w:rPr>
        <w:t xml:space="preserve"> </w:t>
      </w:r>
      <w:r>
        <w:rPr>
          <w:w w:val="105"/>
          <w:sz w:val="15"/>
        </w:rPr>
        <w:t>profundas</w:t>
      </w:r>
      <w:r>
        <w:rPr>
          <w:spacing w:val="-7"/>
          <w:w w:val="105"/>
          <w:sz w:val="15"/>
        </w:rPr>
        <w:t xml:space="preserve"> </w:t>
      </w:r>
      <w:r>
        <w:rPr>
          <w:w w:val="105"/>
          <w:sz w:val="15"/>
        </w:rPr>
        <w:t>desigualdades dentro</w:t>
      </w:r>
      <w:r>
        <w:rPr>
          <w:spacing w:val="-5"/>
          <w:w w:val="105"/>
          <w:sz w:val="15"/>
        </w:rPr>
        <w:t xml:space="preserve"> </w:t>
      </w:r>
      <w:r>
        <w:rPr>
          <w:w w:val="105"/>
          <w:sz w:val="15"/>
        </w:rPr>
        <w:t>de</w:t>
      </w:r>
      <w:r>
        <w:rPr>
          <w:spacing w:val="-5"/>
          <w:w w:val="105"/>
          <w:sz w:val="15"/>
        </w:rPr>
        <w:t xml:space="preserve"> </w:t>
      </w:r>
      <w:r>
        <w:rPr>
          <w:w w:val="105"/>
          <w:sz w:val="15"/>
        </w:rPr>
        <w:t>nuestras</w:t>
      </w:r>
      <w:r>
        <w:rPr>
          <w:spacing w:val="-5"/>
          <w:w w:val="105"/>
          <w:sz w:val="15"/>
        </w:rPr>
        <w:t xml:space="preserve"> </w:t>
      </w:r>
      <w:r>
        <w:rPr>
          <w:w w:val="105"/>
          <w:sz w:val="15"/>
        </w:rPr>
        <w:t>sociedades,</w:t>
      </w:r>
      <w:r>
        <w:rPr>
          <w:spacing w:val="-4"/>
          <w:w w:val="105"/>
          <w:sz w:val="15"/>
        </w:rPr>
        <w:t xml:space="preserve"> </w:t>
      </w:r>
      <w:r>
        <w:rPr>
          <w:w w:val="105"/>
          <w:sz w:val="15"/>
        </w:rPr>
        <w:t>ya</w:t>
      </w:r>
      <w:r>
        <w:rPr>
          <w:spacing w:val="-5"/>
          <w:w w:val="105"/>
          <w:sz w:val="15"/>
        </w:rPr>
        <w:t xml:space="preserve"> </w:t>
      </w:r>
      <w:r>
        <w:rPr>
          <w:w w:val="105"/>
          <w:sz w:val="15"/>
        </w:rPr>
        <w:t>que</w:t>
      </w:r>
      <w:r>
        <w:rPr>
          <w:spacing w:val="-5"/>
          <w:w w:val="105"/>
          <w:sz w:val="15"/>
        </w:rPr>
        <w:t xml:space="preserve"> </w:t>
      </w:r>
      <w:r>
        <w:rPr>
          <w:w w:val="105"/>
          <w:sz w:val="15"/>
        </w:rPr>
        <w:t>las</w:t>
      </w:r>
      <w:r>
        <w:rPr>
          <w:spacing w:val="-5"/>
          <w:w w:val="105"/>
          <w:sz w:val="15"/>
        </w:rPr>
        <w:t xml:space="preserve"> </w:t>
      </w:r>
      <w:r>
        <w:rPr>
          <w:w w:val="105"/>
          <w:sz w:val="15"/>
        </w:rPr>
        <w:t>respuestas</w:t>
      </w:r>
      <w:r>
        <w:rPr>
          <w:spacing w:val="-5"/>
          <w:w w:val="105"/>
          <w:sz w:val="15"/>
        </w:rPr>
        <w:t xml:space="preserve"> </w:t>
      </w:r>
      <w:r>
        <w:rPr>
          <w:w w:val="105"/>
          <w:sz w:val="15"/>
        </w:rPr>
        <w:t>de</w:t>
      </w:r>
      <w:r>
        <w:rPr>
          <w:spacing w:val="-5"/>
          <w:w w:val="105"/>
          <w:sz w:val="15"/>
        </w:rPr>
        <w:t xml:space="preserve"> </w:t>
      </w:r>
      <w:r>
        <w:rPr>
          <w:w w:val="105"/>
          <w:sz w:val="15"/>
        </w:rPr>
        <w:t>los</w:t>
      </w:r>
      <w:r>
        <w:rPr>
          <w:spacing w:val="-5"/>
          <w:w w:val="105"/>
          <w:sz w:val="15"/>
        </w:rPr>
        <w:t xml:space="preserve"> </w:t>
      </w:r>
      <w:r>
        <w:rPr>
          <w:w w:val="105"/>
          <w:sz w:val="15"/>
        </w:rPr>
        <w:t>Estados</w:t>
      </w:r>
      <w:r>
        <w:rPr>
          <w:spacing w:val="-6"/>
          <w:w w:val="105"/>
          <w:sz w:val="15"/>
        </w:rPr>
        <w:t xml:space="preserve"> </w:t>
      </w:r>
      <w:r>
        <w:rPr>
          <w:w w:val="105"/>
          <w:sz w:val="15"/>
        </w:rPr>
        <w:t>en</w:t>
      </w:r>
      <w:r>
        <w:rPr>
          <w:spacing w:val="-5"/>
          <w:w w:val="105"/>
          <w:sz w:val="15"/>
        </w:rPr>
        <w:t xml:space="preserve"> </w:t>
      </w:r>
      <w:r>
        <w:rPr>
          <w:w w:val="105"/>
          <w:sz w:val="15"/>
        </w:rPr>
        <w:t>la</w:t>
      </w:r>
      <w:r>
        <w:rPr>
          <w:spacing w:val="-5"/>
          <w:w w:val="105"/>
          <w:sz w:val="15"/>
        </w:rPr>
        <w:t xml:space="preserve"> </w:t>
      </w:r>
      <w:r>
        <w:rPr>
          <w:w w:val="105"/>
          <w:sz w:val="15"/>
        </w:rPr>
        <w:t>prestación</w:t>
      </w:r>
      <w:r>
        <w:rPr>
          <w:spacing w:val="-5"/>
          <w:w w:val="105"/>
          <w:sz w:val="15"/>
        </w:rPr>
        <w:t xml:space="preserve"> </w:t>
      </w:r>
      <w:r>
        <w:rPr>
          <w:w w:val="105"/>
          <w:sz w:val="15"/>
        </w:rPr>
        <w:t>de</w:t>
      </w:r>
      <w:r>
        <w:rPr>
          <w:spacing w:val="-5"/>
          <w:w w:val="105"/>
          <w:sz w:val="15"/>
        </w:rPr>
        <w:t xml:space="preserve"> </w:t>
      </w:r>
      <w:r>
        <w:rPr>
          <w:w w:val="105"/>
          <w:sz w:val="15"/>
        </w:rPr>
        <w:t>atención</w:t>
      </w:r>
      <w:r>
        <w:rPr>
          <w:spacing w:val="-5"/>
          <w:w w:val="105"/>
          <w:sz w:val="15"/>
        </w:rPr>
        <w:t xml:space="preserve"> </w:t>
      </w:r>
      <w:r>
        <w:rPr>
          <w:w w:val="105"/>
          <w:sz w:val="15"/>
        </w:rPr>
        <w:t>médica,</w:t>
      </w:r>
      <w:r>
        <w:rPr>
          <w:spacing w:val="-5"/>
          <w:w w:val="105"/>
          <w:sz w:val="15"/>
        </w:rPr>
        <w:t xml:space="preserve"> </w:t>
      </w:r>
      <w:r>
        <w:rPr>
          <w:w w:val="105"/>
          <w:sz w:val="15"/>
        </w:rPr>
        <w:t>en</w:t>
      </w:r>
      <w:r>
        <w:rPr>
          <w:spacing w:val="-5"/>
          <w:w w:val="105"/>
          <w:sz w:val="15"/>
        </w:rPr>
        <w:t xml:space="preserve"> </w:t>
      </w:r>
      <w:r>
        <w:rPr>
          <w:w w:val="105"/>
          <w:sz w:val="15"/>
        </w:rPr>
        <w:t>la</w:t>
      </w:r>
      <w:r>
        <w:rPr>
          <w:spacing w:val="-5"/>
          <w:w w:val="105"/>
          <w:sz w:val="15"/>
        </w:rPr>
        <w:t xml:space="preserve"> </w:t>
      </w:r>
      <w:r>
        <w:rPr>
          <w:w w:val="105"/>
          <w:sz w:val="15"/>
        </w:rPr>
        <w:t>implementación</w:t>
      </w:r>
      <w:r>
        <w:rPr>
          <w:spacing w:val="-5"/>
          <w:w w:val="105"/>
          <w:sz w:val="15"/>
        </w:rPr>
        <w:t xml:space="preserve"> </w:t>
      </w:r>
      <w:r>
        <w:rPr>
          <w:w w:val="105"/>
          <w:sz w:val="15"/>
        </w:rPr>
        <w:t>de medidas</w:t>
      </w:r>
      <w:r>
        <w:rPr>
          <w:spacing w:val="-3"/>
          <w:w w:val="105"/>
          <w:sz w:val="15"/>
        </w:rPr>
        <w:t xml:space="preserve"> </w:t>
      </w:r>
      <w:r>
        <w:rPr>
          <w:w w:val="105"/>
          <w:sz w:val="15"/>
        </w:rPr>
        <w:t>de</w:t>
      </w:r>
      <w:r>
        <w:rPr>
          <w:spacing w:val="-3"/>
          <w:w w:val="105"/>
          <w:sz w:val="15"/>
        </w:rPr>
        <w:t xml:space="preserve"> </w:t>
      </w:r>
      <w:r>
        <w:rPr>
          <w:w w:val="105"/>
          <w:sz w:val="15"/>
        </w:rPr>
        <w:t>bloqueo</w:t>
      </w:r>
      <w:r>
        <w:rPr>
          <w:spacing w:val="-3"/>
          <w:w w:val="105"/>
          <w:sz w:val="15"/>
        </w:rPr>
        <w:t xml:space="preserve"> </w:t>
      </w:r>
      <w:r>
        <w:rPr>
          <w:w w:val="105"/>
          <w:sz w:val="15"/>
        </w:rPr>
        <w:t>y</w:t>
      </w:r>
      <w:r>
        <w:rPr>
          <w:spacing w:val="-3"/>
          <w:w w:val="105"/>
          <w:sz w:val="15"/>
        </w:rPr>
        <w:t xml:space="preserve"> </w:t>
      </w:r>
      <w:r>
        <w:rPr>
          <w:w w:val="105"/>
          <w:sz w:val="15"/>
        </w:rPr>
        <w:t>en</w:t>
      </w:r>
      <w:r>
        <w:rPr>
          <w:spacing w:val="-3"/>
          <w:w w:val="105"/>
          <w:sz w:val="15"/>
        </w:rPr>
        <w:t xml:space="preserve"> </w:t>
      </w:r>
      <w:r>
        <w:rPr>
          <w:w w:val="105"/>
          <w:sz w:val="15"/>
        </w:rPr>
        <w:t>las</w:t>
      </w:r>
      <w:r>
        <w:rPr>
          <w:spacing w:val="-3"/>
          <w:w w:val="105"/>
          <w:sz w:val="15"/>
        </w:rPr>
        <w:t xml:space="preserve"> </w:t>
      </w:r>
      <w:r>
        <w:rPr>
          <w:w w:val="105"/>
          <w:sz w:val="15"/>
        </w:rPr>
        <w:t>políticas</w:t>
      </w:r>
      <w:r>
        <w:rPr>
          <w:spacing w:val="-4"/>
          <w:w w:val="105"/>
          <w:sz w:val="15"/>
        </w:rPr>
        <w:t xml:space="preserve"> </w:t>
      </w:r>
      <w:r>
        <w:rPr>
          <w:w w:val="105"/>
          <w:sz w:val="15"/>
        </w:rPr>
        <w:t>diseñadas</w:t>
      </w:r>
      <w:r>
        <w:rPr>
          <w:spacing w:val="-3"/>
          <w:w w:val="105"/>
          <w:sz w:val="15"/>
        </w:rPr>
        <w:t xml:space="preserve"> </w:t>
      </w:r>
      <w:r>
        <w:rPr>
          <w:w w:val="105"/>
          <w:sz w:val="15"/>
        </w:rPr>
        <w:t>para</w:t>
      </w:r>
      <w:r>
        <w:rPr>
          <w:spacing w:val="-3"/>
          <w:w w:val="105"/>
          <w:sz w:val="15"/>
        </w:rPr>
        <w:t xml:space="preserve"> </w:t>
      </w:r>
      <w:r>
        <w:rPr>
          <w:w w:val="105"/>
          <w:sz w:val="15"/>
        </w:rPr>
        <w:t>mitigar</w:t>
      </w:r>
      <w:r>
        <w:rPr>
          <w:spacing w:val="-3"/>
          <w:w w:val="105"/>
          <w:sz w:val="15"/>
        </w:rPr>
        <w:t xml:space="preserve"> </w:t>
      </w:r>
      <w:r>
        <w:rPr>
          <w:w w:val="105"/>
          <w:sz w:val="15"/>
        </w:rPr>
        <w:t>los</w:t>
      </w:r>
      <w:r>
        <w:rPr>
          <w:spacing w:val="-3"/>
          <w:w w:val="105"/>
          <w:sz w:val="15"/>
        </w:rPr>
        <w:t xml:space="preserve"> </w:t>
      </w:r>
      <w:r>
        <w:rPr>
          <w:w w:val="105"/>
          <w:sz w:val="15"/>
        </w:rPr>
        <w:t>impactos</w:t>
      </w:r>
      <w:r>
        <w:rPr>
          <w:spacing w:val="-3"/>
          <w:w w:val="105"/>
          <w:sz w:val="15"/>
        </w:rPr>
        <w:t xml:space="preserve"> </w:t>
      </w:r>
      <w:r>
        <w:rPr>
          <w:w w:val="105"/>
          <w:sz w:val="15"/>
        </w:rPr>
        <w:t>económicos</w:t>
      </w:r>
      <w:r>
        <w:rPr>
          <w:spacing w:val="-3"/>
          <w:w w:val="105"/>
          <w:sz w:val="15"/>
        </w:rPr>
        <w:t xml:space="preserve"> </w:t>
      </w:r>
      <w:r>
        <w:rPr>
          <w:w w:val="105"/>
          <w:sz w:val="15"/>
        </w:rPr>
        <w:t>han</w:t>
      </w:r>
      <w:r>
        <w:rPr>
          <w:spacing w:val="-3"/>
          <w:w w:val="105"/>
          <w:sz w:val="15"/>
        </w:rPr>
        <w:t xml:space="preserve"> </w:t>
      </w:r>
      <w:r>
        <w:rPr>
          <w:w w:val="105"/>
          <w:sz w:val="15"/>
        </w:rPr>
        <w:t>tenido</w:t>
      </w:r>
      <w:r>
        <w:rPr>
          <w:spacing w:val="-3"/>
          <w:w w:val="105"/>
          <w:sz w:val="15"/>
        </w:rPr>
        <w:t xml:space="preserve"> </w:t>
      </w:r>
      <w:r>
        <w:rPr>
          <w:w w:val="105"/>
          <w:sz w:val="15"/>
        </w:rPr>
        <w:t>impactos</w:t>
      </w:r>
      <w:r>
        <w:rPr>
          <w:spacing w:val="-3"/>
          <w:w w:val="105"/>
          <w:sz w:val="15"/>
        </w:rPr>
        <w:t xml:space="preserve"> </w:t>
      </w:r>
      <w:r>
        <w:rPr>
          <w:w w:val="105"/>
          <w:sz w:val="15"/>
        </w:rPr>
        <w:t>desproporcionados</w:t>
      </w:r>
      <w:r>
        <w:rPr>
          <w:spacing w:val="-4"/>
          <w:w w:val="105"/>
          <w:sz w:val="15"/>
        </w:rPr>
        <w:t xml:space="preserve"> </w:t>
      </w:r>
      <w:r>
        <w:rPr>
          <w:w w:val="105"/>
          <w:sz w:val="15"/>
        </w:rPr>
        <w:t>y discriminatorios.14</w:t>
      </w:r>
      <w:r>
        <w:rPr>
          <w:spacing w:val="-6"/>
          <w:w w:val="105"/>
          <w:sz w:val="15"/>
        </w:rPr>
        <w:t xml:space="preserve"> </w:t>
      </w:r>
      <w:r>
        <w:rPr>
          <w:w w:val="105"/>
          <w:sz w:val="15"/>
        </w:rPr>
        <w:t>El</w:t>
      </w:r>
      <w:r>
        <w:rPr>
          <w:spacing w:val="-6"/>
          <w:w w:val="105"/>
          <w:sz w:val="15"/>
        </w:rPr>
        <w:t xml:space="preserve"> </w:t>
      </w:r>
      <w:r>
        <w:rPr>
          <w:w w:val="105"/>
          <w:sz w:val="15"/>
        </w:rPr>
        <w:t>Diálogo</w:t>
      </w:r>
      <w:r>
        <w:rPr>
          <w:spacing w:val="-6"/>
          <w:w w:val="105"/>
          <w:sz w:val="15"/>
        </w:rPr>
        <w:t xml:space="preserve"> </w:t>
      </w:r>
      <w:r>
        <w:rPr>
          <w:w w:val="105"/>
          <w:sz w:val="15"/>
        </w:rPr>
        <w:t>Fronterizo</w:t>
      </w:r>
      <w:r>
        <w:rPr>
          <w:spacing w:val="-6"/>
          <w:w w:val="105"/>
          <w:sz w:val="15"/>
        </w:rPr>
        <w:t xml:space="preserve"> </w:t>
      </w:r>
      <w:r>
        <w:rPr>
          <w:w w:val="105"/>
          <w:sz w:val="15"/>
        </w:rPr>
        <w:t>sobre</w:t>
      </w:r>
      <w:r>
        <w:rPr>
          <w:spacing w:val="-6"/>
          <w:w w:val="105"/>
          <w:sz w:val="15"/>
        </w:rPr>
        <w:t xml:space="preserve"> </w:t>
      </w:r>
      <w:r>
        <w:rPr>
          <w:w w:val="105"/>
          <w:sz w:val="15"/>
        </w:rPr>
        <w:t>cómo</w:t>
      </w:r>
      <w:r>
        <w:rPr>
          <w:spacing w:val="-6"/>
          <w:w w:val="105"/>
          <w:sz w:val="15"/>
        </w:rPr>
        <w:t xml:space="preserve"> </w:t>
      </w:r>
      <w:r>
        <w:rPr>
          <w:w w:val="105"/>
          <w:sz w:val="15"/>
        </w:rPr>
        <w:t>abordar</w:t>
      </w:r>
      <w:r>
        <w:rPr>
          <w:spacing w:val="-6"/>
          <w:w w:val="105"/>
          <w:sz w:val="15"/>
        </w:rPr>
        <w:t xml:space="preserve"> </w:t>
      </w:r>
      <w:r>
        <w:rPr>
          <w:w w:val="105"/>
          <w:sz w:val="15"/>
        </w:rPr>
        <w:t>las</w:t>
      </w:r>
      <w:r>
        <w:rPr>
          <w:spacing w:val="-6"/>
          <w:w w:val="105"/>
          <w:sz w:val="15"/>
        </w:rPr>
        <w:t xml:space="preserve"> </w:t>
      </w:r>
      <w:r>
        <w:rPr>
          <w:w w:val="105"/>
          <w:sz w:val="15"/>
        </w:rPr>
        <w:t>desigualdades</w:t>
      </w:r>
      <w:r>
        <w:rPr>
          <w:spacing w:val="-7"/>
          <w:w w:val="105"/>
          <w:sz w:val="15"/>
        </w:rPr>
        <w:t xml:space="preserve"> </w:t>
      </w:r>
      <w:r>
        <w:rPr>
          <w:w w:val="105"/>
          <w:sz w:val="15"/>
        </w:rPr>
        <w:t>estructurales</w:t>
      </w:r>
      <w:r>
        <w:rPr>
          <w:spacing w:val="-7"/>
          <w:w w:val="105"/>
          <w:sz w:val="15"/>
        </w:rPr>
        <w:t xml:space="preserve"> </w:t>
      </w:r>
      <w:r>
        <w:rPr>
          <w:w w:val="105"/>
          <w:sz w:val="15"/>
        </w:rPr>
        <w:t>raciales</w:t>
      </w:r>
      <w:r>
        <w:rPr>
          <w:spacing w:val="-6"/>
          <w:w w:val="105"/>
          <w:sz w:val="15"/>
        </w:rPr>
        <w:t xml:space="preserve"> </w:t>
      </w:r>
      <w:r>
        <w:rPr>
          <w:w w:val="105"/>
          <w:sz w:val="15"/>
        </w:rPr>
        <w:t>y</w:t>
      </w:r>
      <w:r>
        <w:rPr>
          <w:spacing w:val="-6"/>
          <w:w w:val="105"/>
          <w:sz w:val="15"/>
        </w:rPr>
        <w:t xml:space="preserve"> </w:t>
      </w:r>
      <w:r>
        <w:rPr>
          <w:w w:val="105"/>
          <w:sz w:val="15"/>
        </w:rPr>
        <w:t>La</w:t>
      </w:r>
      <w:r>
        <w:rPr>
          <w:spacing w:val="-6"/>
          <w:w w:val="105"/>
          <w:sz w:val="15"/>
        </w:rPr>
        <w:t xml:space="preserve"> </w:t>
      </w:r>
      <w:r>
        <w:rPr>
          <w:w w:val="105"/>
          <w:sz w:val="15"/>
        </w:rPr>
        <w:t>discriminación</w:t>
      </w:r>
      <w:r>
        <w:rPr>
          <w:spacing w:val="-6"/>
          <w:w w:val="105"/>
          <w:sz w:val="15"/>
        </w:rPr>
        <w:t xml:space="preserve"> </w:t>
      </w:r>
      <w:r>
        <w:rPr>
          <w:w w:val="105"/>
          <w:sz w:val="15"/>
        </w:rPr>
        <w:t>basada</w:t>
      </w:r>
      <w:r>
        <w:rPr>
          <w:spacing w:val="-6"/>
          <w:w w:val="105"/>
          <w:sz w:val="15"/>
        </w:rPr>
        <w:t xml:space="preserve"> </w:t>
      </w:r>
      <w:r>
        <w:rPr>
          <w:w w:val="105"/>
          <w:sz w:val="15"/>
        </w:rPr>
        <w:t>en el</w:t>
      </w:r>
      <w:r>
        <w:rPr>
          <w:spacing w:val="-4"/>
          <w:w w:val="105"/>
          <w:sz w:val="15"/>
        </w:rPr>
        <w:t xml:space="preserve"> </w:t>
      </w:r>
      <w:r>
        <w:rPr>
          <w:w w:val="105"/>
          <w:sz w:val="15"/>
        </w:rPr>
        <w:t>origen</w:t>
      </w:r>
      <w:r>
        <w:rPr>
          <w:spacing w:val="-5"/>
          <w:w w:val="105"/>
          <w:sz w:val="15"/>
        </w:rPr>
        <w:t xml:space="preserve"> </w:t>
      </w:r>
      <w:r>
        <w:rPr>
          <w:w w:val="105"/>
          <w:sz w:val="15"/>
        </w:rPr>
        <w:t>étnico</w:t>
      </w:r>
      <w:r>
        <w:rPr>
          <w:spacing w:val="-4"/>
          <w:w w:val="105"/>
          <w:sz w:val="15"/>
        </w:rPr>
        <w:t xml:space="preserve"> </w:t>
      </w:r>
      <w:r>
        <w:rPr>
          <w:w w:val="105"/>
          <w:sz w:val="15"/>
        </w:rPr>
        <w:t>a</w:t>
      </w:r>
      <w:r>
        <w:rPr>
          <w:spacing w:val="-5"/>
          <w:w w:val="105"/>
          <w:sz w:val="15"/>
        </w:rPr>
        <w:t xml:space="preserve"> </w:t>
      </w:r>
      <w:r>
        <w:rPr>
          <w:w w:val="105"/>
          <w:sz w:val="15"/>
        </w:rPr>
        <w:t>través</w:t>
      </w:r>
      <w:r>
        <w:rPr>
          <w:spacing w:val="-4"/>
          <w:w w:val="105"/>
          <w:sz w:val="15"/>
        </w:rPr>
        <w:t xml:space="preserve"> </w:t>
      </w:r>
      <w:r>
        <w:rPr>
          <w:w w:val="105"/>
          <w:sz w:val="15"/>
        </w:rPr>
        <w:t>de</w:t>
      </w:r>
      <w:r>
        <w:rPr>
          <w:spacing w:val="-5"/>
          <w:w w:val="105"/>
          <w:sz w:val="15"/>
        </w:rPr>
        <w:t xml:space="preserve"> </w:t>
      </w:r>
      <w:r>
        <w:rPr>
          <w:w w:val="105"/>
          <w:sz w:val="15"/>
        </w:rPr>
        <w:t>planes</w:t>
      </w:r>
      <w:r>
        <w:rPr>
          <w:spacing w:val="-4"/>
          <w:w w:val="105"/>
          <w:sz w:val="15"/>
        </w:rPr>
        <w:t xml:space="preserve"> </w:t>
      </w:r>
      <w:r>
        <w:rPr>
          <w:w w:val="105"/>
          <w:sz w:val="15"/>
        </w:rPr>
        <w:t>de</w:t>
      </w:r>
      <w:r>
        <w:rPr>
          <w:spacing w:val="-5"/>
          <w:w w:val="105"/>
          <w:sz w:val="15"/>
        </w:rPr>
        <w:t xml:space="preserve"> </w:t>
      </w:r>
      <w:r>
        <w:rPr>
          <w:w w:val="105"/>
          <w:sz w:val="15"/>
        </w:rPr>
        <w:t>recuperación</w:t>
      </w:r>
      <w:r>
        <w:rPr>
          <w:spacing w:val="-4"/>
          <w:w w:val="105"/>
          <w:sz w:val="15"/>
        </w:rPr>
        <w:t xml:space="preserve"> </w:t>
      </w:r>
      <w:r>
        <w:rPr>
          <w:w w:val="105"/>
          <w:sz w:val="15"/>
        </w:rPr>
        <w:t>de</w:t>
      </w:r>
      <w:r>
        <w:rPr>
          <w:spacing w:val="-5"/>
          <w:w w:val="105"/>
          <w:sz w:val="15"/>
        </w:rPr>
        <w:t xml:space="preserve"> </w:t>
      </w:r>
      <w:r>
        <w:rPr>
          <w:w w:val="105"/>
          <w:sz w:val="15"/>
        </w:rPr>
        <w:t>COVID­19</w:t>
      </w:r>
      <w:r>
        <w:rPr>
          <w:spacing w:val="-4"/>
          <w:w w:val="105"/>
          <w:sz w:val="15"/>
        </w:rPr>
        <w:t xml:space="preserve"> </w:t>
      </w:r>
      <w:r>
        <w:rPr>
          <w:w w:val="105"/>
          <w:sz w:val="15"/>
        </w:rPr>
        <w:t>,</w:t>
      </w:r>
      <w:r>
        <w:rPr>
          <w:spacing w:val="-5"/>
          <w:w w:val="105"/>
          <w:sz w:val="15"/>
        </w:rPr>
        <w:t xml:space="preserve"> </w:t>
      </w:r>
      <w:r>
        <w:rPr>
          <w:w w:val="105"/>
          <w:sz w:val="15"/>
        </w:rPr>
        <w:t>por</w:t>
      </w:r>
      <w:r>
        <w:rPr>
          <w:spacing w:val="-4"/>
          <w:w w:val="105"/>
          <w:sz w:val="15"/>
        </w:rPr>
        <w:t xml:space="preserve"> </w:t>
      </w:r>
      <w:r>
        <w:rPr>
          <w:w w:val="105"/>
          <w:sz w:val="15"/>
        </w:rPr>
        <w:t>ejemplo,</w:t>
      </w:r>
      <w:r>
        <w:rPr>
          <w:spacing w:val="-5"/>
          <w:w w:val="105"/>
          <w:sz w:val="15"/>
        </w:rPr>
        <w:t xml:space="preserve"> </w:t>
      </w:r>
      <w:r>
        <w:rPr>
          <w:w w:val="105"/>
          <w:sz w:val="15"/>
        </w:rPr>
        <w:t>encontró</w:t>
      </w:r>
      <w:r>
        <w:rPr>
          <w:spacing w:val="-4"/>
          <w:w w:val="105"/>
          <w:sz w:val="15"/>
        </w:rPr>
        <w:t xml:space="preserve"> </w:t>
      </w:r>
      <w:r>
        <w:rPr>
          <w:w w:val="105"/>
          <w:sz w:val="15"/>
        </w:rPr>
        <w:t>que</w:t>
      </w:r>
      <w:r>
        <w:rPr>
          <w:spacing w:val="-5"/>
          <w:w w:val="105"/>
          <w:sz w:val="15"/>
        </w:rPr>
        <w:t xml:space="preserve"> </w:t>
      </w:r>
      <w:r>
        <w:rPr>
          <w:w w:val="105"/>
          <w:sz w:val="15"/>
        </w:rPr>
        <w:t>cuando</w:t>
      </w:r>
      <w:r>
        <w:rPr>
          <w:spacing w:val="-4"/>
          <w:w w:val="105"/>
          <w:sz w:val="15"/>
        </w:rPr>
        <w:t xml:space="preserve"> </w:t>
      </w:r>
      <w:r>
        <w:rPr>
          <w:w w:val="105"/>
          <w:sz w:val="15"/>
        </w:rPr>
        <w:t>había</w:t>
      </w:r>
      <w:r>
        <w:rPr>
          <w:spacing w:val="-5"/>
          <w:w w:val="105"/>
          <w:sz w:val="15"/>
        </w:rPr>
        <w:t xml:space="preserve"> </w:t>
      </w:r>
      <w:r>
        <w:rPr>
          <w:w w:val="105"/>
          <w:sz w:val="15"/>
        </w:rPr>
        <w:t>datos</w:t>
      </w:r>
      <w:r>
        <w:rPr>
          <w:spacing w:val="-4"/>
          <w:w w:val="105"/>
          <w:sz w:val="15"/>
        </w:rPr>
        <w:t xml:space="preserve"> </w:t>
      </w:r>
      <w:r>
        <w:rPr>
          <w:w w:val="105"/>
          <w:sz w:val="15"/>
        </w:rPr>
        <w:t>desglosados disponibles,</w:t>
      </w:r>
      <w:r>
        <w:rPr>
          <w:spacing w:val="-5"/>
          <w:w w:val="105"/>
          <w:sz w:val="15"/>
        </w:rPr>
        <w:t xml:space="preserve"> </w:t>
      </w:r>
      <w:r>
        <w:rPr>
          <w:w w:val="105"/>
          <w:sz w:val="15"/>
        </w:rPr>
        <w:t>mostraban</w:t>
      </w:r>
      <w:r>
        <w:rPr>
          <w:spacing w:val="-6"/>
          <w:w w:val="105"/>
          <w:sz w:val="15"/>
        </w:rPr>
        <w:t xml:space="preserve"> </w:t>
      </w:r>
      <w:r>
        <w:rPr>
          <w:w w:val="105"/>
          <w:sz w:val="15"/>
        </w:rPr>
        <w:t>que</w:t>
      </w:r>
      <w:r>
        <w:rPr>
          <w:spacing w:val="-6"/>
          <w:w w:val="105"/>
          <w:sz w:val="15"/>
        </w:rPr>
        <w:t xml:space="preserve"> </w:t>
      </w:r>
      <w:r>
        <w:rPr>
          <w:w w:val="105"/>
          <w:sz w:val="15"/>
        </w:rPr>
        <w:t>las</w:t>
      </w:r>
      <w:r>
        <w:rPr>
          <w:spacing w:val="-6"/>
          <w:w w:val="105"/>
          <w:sz w:val="15"/>
        </w:rPr>
        <w:t xml:space="preserve"> </w:t>
      </w:r>
      <w:r>
        <w:rPr>
          <w:w w:val="105"/>
          <w:sz w:val="15"/>
        </w:rPr>
        <w:t>tasas</w:t>
      </w:r>
      <w:r>
        <w:rPr>
          <w:spacing w:val="-6"/>
          <w:w w:val="105"/>
          <w:sz w:val="15"/>
        </w:rPr>
        <w:t xml:space="preserve"> </w:t>
      </w:r>
      <w:r>
        <w:rPr>
          <w:w w:val="105"/>
          <w:sz w:val="15"/>
        </w:rPr>
        <w:t>de</w:t>
      </w:r>
      <w:r>
        <w:rPr>
          <w:spacing w:val="-6"/>
          <w:w w:val="105"/>
          <w:sz w:val="15"/>
        </w:rPr>
        <w:t xml:space="preserve"> </w:t>
      </w:r>
      <w:r>
        <w:rPr>
          <w:w w:val="105"/>
          <w:sz w:val="15"/>
        </w:rPr>
        <w:t>morbilidad</w:t>
      </w:r>
      <w:r>
        <w:rPr>
          <w:spacing w:val="-6"/>
          <w:w w:val="105"/>
          <w:sz w:val="15"/>
        </w:rPr>
        <w:t xml:space="preserve"> </w:t>
      </w:r>
      <w:r>
        <w:rPr>
          <w:w w:val="105"/>
          <w:sz w:val="15"/>
        </w:rPr>
        <w:t>y</w:t>
      </w:r>
      <w:r>
        <w:rPr>
          <w:spacing w:val="-6"/>
          <w:w w:val="105"/>
          <w:sz w:val="15"/>
        </w:rPr>
        <w:t xml:space="preserve"> </w:t>
      </w:r>
      <w:r>
        <w:rPr>
          <w:w w:val="105"/>
          <w:sz w:val="15"/>
        </w:rPr>
        <w:t>mortalidad</w:t>
      </w:r>
      <w:r>
        <w:rPr>
          <w:spacing w:val="-6"/>
          <w:w w:val="105"/>
          <w:sz w:val="15"/>
        </w:rPr>
        <w:t xml:space="preserve"> </w:t>
      </w:r>
      <w:r>
        <w:rPr>
          <w:w w:val="105"/>
          <w:sz w:val="15"/>
        </w:rPr>
        <w:t>por</w:t>
      </w:r>
      <w:r>
        <w:rPr>
          <w:spacing w:val="-6"/>
          <w:w w:val="105"/>
          <w:sz w:val="15"/>
        </w:rPr>
        <w:t xml:space="preserve"> </w:t>
      </w:r>
      <w:r>
        <w:rPr>
          <w:w w:val="105"/>
          <w:sz w:val="15"/>
        </w:rPr>
        <w:t>COVID­19</w:t>
      </w:r>
      <w:r>
        <w:rPr>
          <w:spacing w:val="-7"/>
          <w:w w:val="105"/>
          <w:sz w:val="15"/>
        </w:rPr>
        <w:t xml:space="preserve"> </w:t>
      </w:r>
      <w:r>
        <w:rPr>
          <w:w w:val="105"/>
          <w:sz w:val="15"/>
        </w:rPr>
        <w:t>eran</w:t>
      </w:r>
      <w:r>
        <w:rPr>
          <w:spacing w:val="-6"/>
          <w:w w:val="105"/>
          <w:sz w:val="15"/>
        </w:rPr>
        <w:t xml:space="preserve"> </w:t>
      </w:r>
      <w:r>
        <w:rPr>
          <w:w w:val="105"/>
          <w:sz w:val="15"/>
        </w:rPr>
        <w:t>significativamente</w:t>
      </w:r>
      <w:r>
        <w:rPr>
          <w:spacing w:val="-7"/>
          <w:w w:val="105"/>
          <w:sz w:val="15"/>
        </w:rPr>
        <w:t xml:space="preserve"> </w:t>
      </w:r>
      <w:r>
        <w:rPr>
          <w:w w:val="105"/>
          <w:sz w:val="15"/>
        </w:rPr>
        <w:t>más</w:t>
      </w:r>
      <w:r>
        <w:rPr>
          <w:spacing w:val="-6"/>
          <w:w w:val="105"/>
          <w:sz w:val="15"/>
        </w:rPr>
        <w:t xml:space="preserve"> </w:t>
      </w:r>
      <w:r>
        <w:rPr>
          <w:w w:val="105"/>
          <w:sz w:val="15"/>
        </w:rPr>
        <w:t>altas</w:t>
      </w:r>
      <w:r>
        <w:rPr>
          <w:spacing w:val="-6"/>
          <w:w w:val="105"/>
          <w:sz w:val="15"/>
        </w:rPr>
        <w:t xml:space="preserve"> </w:t>
      </w:r>
      <w:r>
        <w:rPr>
          <w:w w:val="105"/>
          <w:sz w:val="15"/>
        </w:rPr>
        <w:t>entre</w:t>
      </w:r>
      <w:r>
        <w:rPr>
          <w:spacing w:val="-6"/>
          <w:w w:val="105"/>
          <w:sz w:val="15"/>
        </w:rPr>
        <w:t xml:space="preserve"> </w:t>
      </w:r>
      <w:r>
        <w:rPr>
          <w:w w:val="105"/>
          <w:sz w:val="15"/>
        </w:rPr>
        <w:t>los</w:t>
      </w:r>
      <w:r>
        <w:rPr>
          <w:spacing w:val="-6"/>
          <w:w w:val="105"/>
          <w:sz w:val="15"/>
        </w:rPr>
        <w:t xml:space="preserve"> </w:t>
      </w:r>
      <w:r>
        <w:rPr>
          <w:w w:val="105"/>
          <w:sz w:val="15"/>
        </w:rPr>
        <w:t>grupos étnicos</w:t>
      </w:r>
      <w:r>
        <w:rPr>
          <w:spacing w:val="-5"/>
          <w:w w:val="105"/>
          <w:sz w:val="15"/>
        </w:rPr>
        <w:t xml:space="preserve"> </w:t>
      </w:r>
      <w:r>
        <w:rPr>
          <w:w w:val="105"/>
          <w:sz w:val="15"/>
        </w:rPr>
        <w:t>que</w:t>
      </w:r>
      <w:r>
        <w:rPr>
          <w:spacing w:val="-5"/>
          <w:w w:val="105"/>
          <w:sz w:val="15"/>
        </w:rPr>
        <w:t xml:space="preserve"> </w:t>
      </w:r>
      <w:r>
        <w:rPr>
          <w:w w:val="105"/>
          <w:sz w:val="15"/>
        </w:rPr>
        <w:t>experimentaban</w:t>
      </w:r>
      <w:r>
        <w:rPr>
          <w:spacing w:val="-5"/>
          <w:w w:val="105"/>
          <w:sz w:val="15"/>
        </w:rPr>
        <w:t xml:space="preserve"> </w:t>
      </w:r>
      <w:r>
        <w:rPr>
          <w:w w:val="105"/>
          <w:sz w:val="15"/>
        </w:rPr>
        <w:t>discriminación.</w:t>
      </w:r>
      <w:r>
        <w:rPr>
          <w:spacing w:val="-4"/>
          <w:w w:val="105"/>
          <w:sz w:val="15"/>
        </w:rPr>
        <w:t xml:space="preserve"> </w:t>
      </w:r>
      <w:r>
        <w:rPr>
          <w:w w:val="105"/>
          <w:sz w:val="15"/>
        </w:rPr>
        <w:t>Citó</w:t>
      </w:r>
      <w:r>
        <w:rPr>
          <w:spacing w:val="-5"/>
          <w:w w:val="105"/>
          <w:sz w:val="15"/>
        </w:rPr>
        <w:t xml:space="preserve"> </w:t>
      </w:r>
      <w:r>
        <w:rPr>
          <w:w w:val="105"/>
          <w:sz w:val="15"/>
        </w:rPr>
        <w:t>datos</w:t>
      </w:r>
      <w:r>
        <w:rPr>
          <w:spacing w:val="-5"/>
          <w:w w:val="105"/>
          <w:sz w:val="15"/>
        </w:rPr>
        <w:t xml:space="preserve"> </w:t>
      </w:r>
      <w:r>
        <w:rPr>
          <w:w w:val="105"/>
          <w:sz w:val="15"/>
        </w:rPr>
        <w:t>de</w:t>
      </w:r>
      <w:r>
        <w:rPr>
          <w:spacing w:val="-5"/>
          <w:w w:val="105"/>
          <w:sz w:val="15"/>
        </w:rPr>
        <w:t xml:space="preserve"> </w:t>
      </w:r>
      <w:r>
        <w:rPr>
          <w:w w:val="105"/>
          <w:sz w:val="15"/>
        </w:rPr>
        <w:t>países</w:t>
      </w:r>
      <w:r>
        <w:rPr>
          <w:spacing w:val="-5"/>
          <w:w w:val="105"/>
          <w:sz w:val="15"/>
        </w:rPr>
        <w:t xml:space="preserve"> </w:t>
      </w:r>
      <w:r>
        <w:rPr>
          <w:w w:val="105"/>
          <w:sz w:val="15"/>
        </w:rPr>
        <w:t>como</w:t>
      </w:r>
      <w:r>
        <w:rPr>
          <w:spacing w:val="-5"/>
          <w:w w:val="105"/>
          <w:sz w:val="15"/>
        </w:rPr>
        <w:t xml:space="preserve"> </w:t>
      </w:r>
      <w:r>
        <w:rPr>
          <w:w w:val="105"/>
          <w:sz w:val="15"/>
        </w:rPr>
        <w:t>los</w:t>
      </w:r>
      <w:r>
        <w:rPr>
          <w:spacing w:val="-5"/>
          <w:w w:val="105"/>
          <w:sz w:val="15"/>
        </w:rPr>
        <w:t xml:space="preserve"> </w:t>
      </w:r>
      <w:r>
        <w:rPr>
          <w:w w:val="105"/>
          <w:sz w:val="15"/>
        </w:rPr>
        <w:t>Estados</w:t>
      </w:r>
      <w:r>
        <w:rPr>
          <w:spacing w:val="-6"/>
          <w:w w:val="105"/>
          <w:sz w:val="15"/>
        </w:rPr>
        <w:t xml:space="preserve"> </w:t>
      </w:r>
      <w:r>
        <w:rPr>
          <w:w w:val="105"/>
          <w:sz w:val="15"/>
        </w:rPr>
        <w:t>Unidos</w:t>
      </w:r>
      <w:r>
        <w:rPr>
          <w:spacing w:val="-5"/>
          <w:w w:val="105"/>
          <w:sz w:val="15"/>
        </w:rPr>
        <w:t xml:space="preserve"> </w:t>
      </w:r>
      <w:r>
        <w:rPr>
          <w:w w:val="105"/>
          <w:sz w:val="15"/>
        </w:rPr>
        <w:t>de</w:t>
      </w:r>
      <w:r>
        <w:rPr>
          <w:spacing w:val="-5"/>
          <w:w w:val="105"/>
          <w:sz w:val="15"/>
        </w:rPr>
        <w:t xml:space="preserve"> </w:t>
      </w:r>
      <w:r>
        <w:rPr>
          <w:w w:val="105"/>
          <w:sz w:val="15"/>
        </w:rPr>
        <w:t>América,</w:t>
      </w:r>
      <w:r>
        <w:rPr>
          <w:spacing w:val="-5"/>
          <w:w w:val="105"/>
          <w:sz w:val="15"/>
        </w:rPr>
        <w:t xml:space="preserve"> </w:t>
      </w:r>
      <w:r>
        <w:rPr>
          <w:w w:val="105"/>
          <w:sz w:val="15"/>
        </w:rPr>
        <w:t>que</w:t>
      </w:r>
      <w:r>
        <w:rPr>
          <w:spacing w:val="-5"/>
          <w:w w:val="105"/>
          <w:sz w:val="15"/>
        </w:rPr>
        <w:t xml:space="preserve"> </w:t>
      </w:r>
      <w:r>
        <w:rPr>
          <w:w w:val="105"/>
          <w:sz w:val="15"/>
        </w:rPr>
        <w:t>revelaron</w:t>
      </w:r>
      <w:r>
        <w:rPr>
          <w:spacing w:val="-5"/>
          <w:w w:val="105"/>
          <w:sz w:val="15"/>
        </w:rPr>
        <w:t xml:space="preserve"> </w:t>
      </w:r>
      <w:r>
        <w:rPr>
          <w:w w:val="105"/>
          <w:sz w:val="15"/>
        </w:rPr>
        <w:t>que</w:t>
      </w:r>
      <w:r>
        <w:rPr>
          <w:spacing w:val="-5"/>
          <w:w w:val="105"/>
          <w:sz w:val="15"/>
        </w:rPr>
        <w:t xml:space="preserve"> </w:t>
      </w:r>
      <w:r>
        <w:rPr>
          <w:w w:val="105"/>
          <w:sz w:val="15"/>
        </w:rPr>
        <w:t>el</w:t>
      </w:r>
      <w:r>
        <w:rPr>
          <w:spacing w:val="-5"/>
          <w:w w:val="105"/>
          <w:sz w:val="15"/>
        </w:rPr>
        <w:t xml:space="preserve"> </w:t>
      </w:r>
      <w:r>
        <w:rPr>
          <w:w w:val="105"/>
          <w:sz w:val="15"/>
        </w:rPr>
        <w:t>efecto dispar</w:t>
      </w:r>
      <w:r>
        <w:rPr>
          <w:spacing w:val="-5"/>
          <w:w w:val="105"/>
          <w:sz w:val="15"/>
        </w:rPr>
        <w:t xml:space="preserve"> </w:t>
      </w:r>
      <w:r>
        <w:rPr>
          <w:w w:val="105"/>
          <w:sz w:val="15"/>
        </w:rPr>
        <w:t>del</w:t>
      </w:r>
      <w:r>
        <w:rPr>
          <w:spacing w:val="-5"/>
          <w:w w:val="105"/>
          <w:sz w:val="15"/>
        </w:rPr>
        <w:t xml:space="preserve"> </w:t>
      </w:r>
      <w:r>
        <w:rPr>
          <w:w w:val="105"/>
          <w:sz w:val="15"/>
        </w:rPr>
        <w:t>virus</w:t>
      </w:r>
      <w:r>
        <w:rPr>
          <w:spacing w:val="-5"/>
          <w:w w:val="105"/>
          <w:sz w:val="15"/>
        </w:rPr>
        <w:t xml:space="preserve"> </w:t>
      </w:r>
      <w:r>
        <w:rPr>
          <w:w w:val="105"/>
          <w:sz w:val="15"/>
        </w:rPr>
        <w:t>en</w:t>
      </w:r>
      <w:r>
        <w:rPr>
          <w:spacing w:val="-5"/>
          <w:w w:val="105"/>
          <w:sz w:val="15"/>
        </w:rPr>
        <w:t xml:space="preserve"> </w:t>
      </w:r>
      <w:r>
        <w:rPr>
          <w:w w:val="105"/>
          <w:sz w:val="15"/>
        </w:rPr>
        <w:t>los</w:t>
      </w:r>
      <w:r>
        <w:rPr>
          <w:spacing w:val="-5"/>
          <w:w w:val="105"/>
          <w:sz w:val="15"/>
        </w:rPr>
        <w:t xml:space="preserve"> </w:t>
      </w:r>
      <w:r>
        <w:rPr>
          <w:w w:val="105"/>
          <w:sz w:val="15"/>
        </w:rPr>
        <w:t>afroamericanos</w:t>
      </w:r>
      <w:r>
        <w:rPr>
          <w:spacing w:val="-6"/>
          <w:w w:val="105"/>
          <w:sz w:val="15"/>
        </w:rPr>
        <w:t xml:space="preserve"> </w:t>
      </w:r>
      <w:r>
        <w:rPr>
          <w:w w:val="105"/>
          <w:sz w:val="15"/>
        </w:rPr>
        <w:t>era</w:t>
      </w:r>
      <w:r>
        <w:rPr>
          <w:spacing w:val="-5"/>
          <w:w w:val="105"/>
          <w:sz w:val="15"/>
        </w:rPr>
        <w:t xml:space="preserve"> </w:t>
      </w:r>
      <w:r>
        <w:rPr>
          <w:w w:val="105"/>
          <w:sz w:val="15"/>
        </w:rPr>
        <w:t>en</w:t>
      </w:r>
      <w:r>
        <w:rPr>
          <w:spacing w:val="-5"/>
          <w:w w:val="105"/>
          <w:sz w:val="15"/>
        </w:rPr>
        <w:t xml:space="preserve"> </w:t>
      </w:r>
      <w:r>
        <w:rPr>
          <w:w w:val="105"/>
          <w:sz w:val="15"/>
        </w:rPr>
        <w:t>parte</w:t>
      </w:r>
      <w:r>
        <w:rPr>
          <w:spacing w:val="-5"/>
          <w:w w:val="105"/>
          <w:sz w:val="15"/>
        </w:rPr>
        <w:t xml:space="preserve"> </w:t>
      </w:r>
      <w:r>
        <w:rPr>
          <w:w w:val="105"/>
          <w:sz w:val="15"/>
        </w:rPr>
        <w:t>una</w:t>
      </w:r>
      <w:r>
        <w:rPr>
          <w:spacing w:val="-5"/>
          <w:w w:val="105"/>
          <w:sz w:val="15"/>
        </w:rPr>
        <w:t xml:space="preserve"> </w:t>
      </w:r>
      <w:r>
        <w:rPr>
          <w:w w:val="105"/>
          <w:sz w:val="15"/>
        </w:rPr>
        <w:t>función</w:t>
      </w:r>
      <w:r>
        <w:rPr>
          <w:spacing w:val="-5"/>
          <w:w w:val="105"/>
          <w:sz w:val="15"/>
        </w:rPr>
        <w:t xml:space="preserve"> </w:t>
      </w:r>
      <w:r>
        <w:rPr>
          <w:w w:val="105"/>
          <w:sz w:val="15"/>
        </w:rPr>
        <w:t>de</w:t>
      </w:r>
      <w:r>
        <w:rPr>
          <w:spacing w:val="-5"/>
          <w:w w:val="105"/>
          <w:sz w:val="15"/>
        </w:rPr>
        <w:t xml:space="preserve"> </w:t>
      </w:r>
      <w:r>
        <w:rPr>
          <w:w w:val="105"/>
          <w:sz w:val="15"/>
        </w:rPr>
        <w:t>la</w:t>
      </w:r>
      <w:r>
        <w:rPr>
          <w:spacing w:val="-5"/>
          <w:w w:val="105"/>
          <w:sz w:val="15"/>
        </w:rPr>
        <w:t xml:space="preserve"> </w:t>
      </w:r>
      <w:r>
        <w:rPr>
          <w:w w:val="105"/>
          <w:sz w:val="15"/>
        </w:rPr>
        <w:t>discriminación</w:t>
      </w:r>
      <w:r>
        <w:rPr>
          <w:spacing w:val="-5"/>
          <w:w w:val="105"/>
          <w:sz w:val="15"/>
        </w:rPr>
        <w:t xml:space="preserve"> </w:t>
      </w:r>
      <w:r>
        <w:rPr>
          <w:w w:val="105"/>
          <w:sz w:val="15"/>
        </w:rPr>
        <w:t>estructural</w:t>
      </w:r>
      <w:r>
        <w:rPr>
          <w:spacing w:val="-5"/>
          <w:w w:val="105"/>
          <w:sz w:val="15"/>
        </w:rPr>
        <w:t xml:space="preserve"> </w:t>
      </w:r>
      <w:r>
        <w:rPr>
          <w:w w:val="105"/>
          <w:sz w:val="15"/>
        </w:rPr>
        <w:t>y</w:t>
      </w:r>
      <w:r>
        <w:rPr>
          <w:spacing w:val="-5"/>
          <w:w w:val="105"/>
          <w:sz w:val="15"/>
        </w:rPr>
        <w:t xml:space="preserve"> </w:t>
      </w:r>
      <w:r>
        <w:rPr>
          <w:w w:val="105"/>
          <w:sz w:val="15"/>
        </w:rPr>
        <w:t>las</w:t>
      </w:r>
      <w:r>
        <w:rPr>
          <w:spacing w:val="-5"/>
          <w:w w:val="105"/>
          <w:sz w:val="15"/>
        </w:rPr>
        <w:t xml:space="preserve"> </w:t>
      </w:r>
      <w:r>
        <w:rPr>
          <w:w w:val="105"/>
          <w:sz w:val="15"/>
        </w:rPr>
        <w:t>desigualdades,</w:t>
      </w:r>
      <w:r>
        <w:rPr>
          <w:spacing w:val="-4"/>
          <w:w w:val="105"/>
          <w:sz w:val="15"/>
        </w:rPr>
        <w:t xml:space="preserve"> </w:t>
      </w:r>
      <w:r>
        <w:rPr>
          <w:w w:val="105"/>
          <w:sz w:val="15"/>
        </w:rPr>
        <w:t>incluido</w:t>
      </w:r>
      <w:r>
        <w:rPr>
          <w:spacing w:val="-5"/>
          <w:w w:val="105"/>
          <w:sz w:val="15"/>
        </w:rPr>
        <w:t xml:space="preserve"> </w:t>
      </w:r>
      <w:r>
        <w:rPr>
          <w:w w:val="105"/>
          <w:sz w:val="15"/>
        </w:rPr>
        <w:t>su</w:t>
      </w:r>
      <w:r>
        <w:rPr>
          <w:spacing w:val="-5"/>
          <w:w w:val="105"/>
          <w:sz w:val="15"/>
        </w:rPr>
        <w:t xml:space="preserve"> </w:t>
      </w:r>
      <w:r>
        <w:rPr>
          <w:w w:val="105"/>
          <w:sz w:val="15"/>
        </w:rPr>
        <w:t>papel desproporcionado</w:t>
      </w:r>
      <w:r>
        <w:rPr>
          <w:spacing w:val="-5"/>
          <w:w w:val="105"/>
          <w:sz w:val="15"/>
        </w:rPr>
        <w:t xml:space="preserve"> </w:t>
      </w:r>
      <w:r>
        <w:rPr>
          <w:w w:val="105"/>
          <w:sz w:val="15"/>
        </w:rPr>
        <w:t>como</w:t>
      </w:r>
      <w:r>
        <w:rPr>
          <w:spacing w:val="-5"/>
          <w:w w:val="105"/>
          <w:sz w:val="15"/>
        </w:rPr>
        <w:t xml:space="preserve"> </w:t>
      </w:r>
      <w:r>
        <w:rPr>
          <w:w w:val="105"/>
          <w:sz w:val="15"/>
        </w:rPr>
        <w:t>trabajadores</w:t>
      </w:r>
      <w:r>
        <w:rPr>
          <w:spacing w:val="-6"/>
          <w:w w:val="105"/>
          <w:sz w:val="15"/>
        </w:rPr>
        <w:t xml:space="preserve"> </w:t>
      </w:r>
      <w:r>
        <w:rPr>
          <w:w w:val="105"/>
          <w:sz w:val="15"/>
        </w:rPr>
        <w:t>esenciales</w:t>
      </w:r>
      <w:r>
        <w:rPr>
          <w:spacing w:val="-5"/>
          <w:w w:val="105"/>
          <w:sz w:val="15"/>
        </w:rPr>
        <w:t xml:space="preserve"> </w:t>
      </w:r>
      <w:r>
        <w:rPr>
          <w:w w:val="105"/>
          <w:sz w:val="15"/>
        </w:rPr>
        <w:t>de</w:t>
      </w:r>
      <w:r>
        <w:rPr>
          <w:spacing w:val="-5"/>
          <w:w w:val="105"/>
          <w:sz w:val="15"/>
        </w:rPr>
        <w:t xml:space="preserve"> </w:t>
      </w:r>
      <w:r>
        <w:rPr>
          <w:w w:val="105"/>
          <w:sz w:val="15"/>
        </w:rPr>
        <w:t>primera</w:t>
      </w:r>
      <w:r>
        <w:rPr>
          <w:spacing w:val="-5"/>
          <w:w w:val="105"/>
          <w:sz w:val="15"/>
        </w:rPr>
        <w:t xml:space="preserve"> </w:t>
      </w:r>
      <w:r>
        <w:rPr>
          <w:w w:val="105"/>
          <w:sz w:val="15"/>
        </w:rPr>
        <w:t>línea,</w:t>
      </w:r>
      <w:r>
        <w:rPr>
          <w:spacing w:val="-5"/>
          <w:w w:val="105"/>
          <w:sz w:val="15"/>
        </w:rPr>
        <w:t xml:space="preserve"> </w:t>
      </w:r>
      <w:r>
        <w:rPr>
          <w:w w:val="105"/>
          <w:sz w:val="15"/>
        </w:rPr>
        <w:t>un</w:t>
      </w:r>
      <w:r>
        <w:rPr>
          <w:spacing w:val="-5"/>
          <w:w w:val="105"/>
          <w:sz w:val="15"/>
        </w:rPr>
        <w:t xml:space="preserve"> </w:t>
      </w:r>
      <w:r>
        <w:rPr>
          <w:w w:val="105"/>
          <w:sz w:val="15"/>
        </w:rPr>
        <w:t>menor</w:t>
      </w:r>
      <w:r>
        <w:rPr>
          <w:spacing w:val="-5"/>
          <w:w w:val="105"/>
          <w:sz w:val="15"/>
        </w:rPr>
        <w:t xml:space="preserve"> </w:t>
      </w:r>
      <w:r>
        <w:rPr>
          <w:w w:val="105"/>
          <w:sz w:val="15"/>
        </w:rPr>
        <w:t>acceso</w:t>
      </w:r>
      <w:r>
        <w:rPr>
          <w:spacing w:val="-5"/>
          <w:w w:val="105"/>
          <w:sz w:val="15"/>
        </w:rPr>
        <w:t xml:space="preserve"> </w:t>
      </w:r>
      <w:r>
        <w:rPr>
          <w:w w:val="105"/>
          <w:sz w:val="15"/>
        </w:rPr>
        <w:t>al</w:t>
      </w:r>
      <w:r>
        <w:rPr>
          <w:spacing w:val="-5"/>
          <w:w w:val="105"/>
          <w:sz w:val="15"/>
        </w:rPr>
        <w:t xml:space="preserve"> </w:t>
      </w:r>
      <w:r>
        <w:rPr>
          <w:w w:val="105"/>
          <w:sz w:val="15"/>
        </w:rPr>
        <w:t>seguro</w:t>
      </w:r>
      <w:r>
        <w:rPr>
          <w:spacing w:val="-5"/>
          <w:w w:val="105"/>
          <w:sz w:val="15"/>
        </w:rPr>
        <w:t xml:space="preserve"> </w:t>
      </w:r>
      <w:r>
        <w:rPr>
          <w:w w:val="105"/>
          <w:sz w:val="15"/>
        </w:rPr>
        <w:t>médico</w:t>
      </w:r>
      <w:r>
        <w:rPr>
          <w:spacing w:val="-5"/>
          <w:w w:val="105"/>
          <w:sz w:val="15"/>
        </w:rPr>
        <w:t xml:space="preserve"> </w:t>
      </w:r>
      <w:r>
        <w:rPr>
          <w:w w:val="105"/>
          <w:sz w:val="15"/>
        </w:rPr>
        <w:t>,</w:t>
      </w:r>
      <w:r>
        <w:rPr>
          <w:spacing w:val="-5"/>
          <w:w w:val="105"/>
          <w:sz w:val="15"/>
        </w:rPr>
        <w:t xml:space="preserve"> </w:t>
      </w:r>
      <w:r>
        <w:rPr>
          <w:w w:val="105"/>
          <w:sz w:val="15"/>
        </w:rPr>
        <w:t>una</w:t>
      </w:r>
      <w:r>
        <w:rPr>
          <w:spacing w:val="-5"/>
          <w:w w:val="105"/>
          <w:sz w:val="15"/>
        </w:rPr>
        <w:t xml:space="preserve"> </w:t>
      </w:r>
      <w:r>
        <w:rPr>
          <w:w w:val="105"/>
          <w:sz w:val="15"/>
        </w:rPr>
        <w:t>peor</w:t>
      </w:r>
      <w:r>
        <w:rPr>
          <w:spacing w:val="-5"/>
          <w:w w:val="105"/>
          <w:sz w:val="15"/>
        </w:rPr>
        <w:t xml:space="preserve"> </w:t>
      </w:r>
      <w:r>
        <w:rPr>
          <w:w w:val="105"/>
          <w:sz w:val="15"/>
        </w:rPr>
        <w:t>cobertura</w:t>
      </w:r>
      <w:r>
        <w:rPr>
          <w:spacing w:val="-5"/>
          <w:w w:val="105"/>
          <w:sz w:val="15"/>
        </w:rPr>
        <w:t xml:space="preserve"> </w:t>
      </w:r>
      <w:r>
        <w:rPr>
          <w:w w:val="105"/>
          <w:sz w:val="15"/>
        </w:rPr>
        <w:t>de</w:t>
      </w:r>
      <w:r>
        <w:rPr>
          <w:spacing w:val="-5"/>
          <w:w w:val="105"/>
          <w:sz w:val="15"/>
        </w:rPr>
        <w:t xml:space="preserve"> </w:t>
      </w:r>
      <w:r>
        <w:rPr>
          <w:w w:val="105"/>
          <w:sz w:val="15"/>
        </w:rPr>
        <w:t>los servicios</w:t>
      </w:r>
      <w:r>
        <w:rPr>
          <w:spacing w:val="-10"/>
          <w:w w:val="105"/>
          <w:sz w:val="15"/>
        </w:rPr>
        <w:t xml:space="preserve"> </w:t>
      </w:r>
      <w:r>
        <w:rPr>
          <w:w w:val="105"/>
          <w:sz w:val="15"/>
        </w:rPr>
        <w:t>de</w:t>
      </w:r>
      <w:r>
        <w:rPr>
          <w:spacing w:val="-10"/>
          <w:w w:val="105"/>
          <w:sz w:val="15"/>
        </w:rPr>
        <w:t xml:space="preserve"> </w:t>
      </w:r>
      <w:r>
        <w:rPr>
          <w:w w:val="105"/>
          <w:sz w:val="15"/>
        </w:rPr>
        <w:t>salud</w:t>
      </w:r>
      <w:r>
        <w:rPr>
          <w:spacing w:val="-10"/>
          <w:w w:val="105"/>
          <w:sz w:val="15"/>
        </w:rPr>
        <w:t xml:space="preserve"> </w:t>
      </w:r>
      <w:r>
        <w:rPr>
          <w:w w:val="105"/>
          <w:sz w:val="15"/>
        </w:rPr>
        <w:t>en</w:t>
      </w:r>
      <w:r>
        <w:rPr>
          <w:spacing w:val="-10"/>
          <w:w w:val="105"/>
          <w:sz w:val="15"/>
        </w:rPr>
        <w:t xml:space="preserve"> </w:t>
      </w:r>
      <w:r>
        <w:rPr>
          <w:w w:val="105"/>
          <w:sz w:val="15"/>
        </w:rPr>
        <w:t>ciertas</w:t>
      </w:r>
      <w:r>
        <w:rPr>
          <w:spacing w:val="-10"/>
          <w:w w:val="105"/>
          <w:sz w:val="15"/>
        </w:rPr>
        <w:t xml:space="preserve"> </w:t>
      </w:r>
      <w:r>
        <w:rPr>
          <w:w w:val="105"/>
          <w:sz w:val="15"/>
        </w:rPr>
        <w:t>áreas</w:t>
      </w:r>
      <w:r>
        <w:rPr>
          <w:spacing w:val="-10"/>
          <w:w w:val="105"/>
          <w:sz w:val="15"/>
        </w:rPr>
        <w:t xml:space="preserve"> </w:t>
      </w:r>
      <w:r>
        <w:rPr>
          <w:w w:val="105"/>
          <w:sz w:val="15"/>
        </w:rPr>
        <w:t>geográficas</w:t>
      </w:r>
      <w:r>
        <w:rPr>
          <w:spacing w:val="-11"/>
          <w:w w:val="105"/>
          <w:sz w:val="15"/>
        </w:rPr>
        <w:t xml:space="preserve"> </w:t>
      </w:r>
      <w:r>
        <w:rPr>
          <w:w w:val="105"/>
          <w:sz w:val="15"/>
        </w:rPr>
        <w:t>y</w:t>
      </w:r>
      <w:r>
        <w:rPr>
          <w:spacing w:val="-10"/>
          <w:w w:val="105"/>
          <w:sz w:val="15"/>
        </w:rPr>
        <w:t xml:space="preserve"> </w:t>
      </w:r>
      <w:r>
        <w:rPr>
          <w:w w:val="105"/>
          <w:sz w:val="15"/>
        </w:rPr>
        <w:t>prejuicios</w:t>
      </w:r>
      <w:r>
        <w:rPr>
          <w:spacing w:val="-10"/>
          <w:w w:val="105"/>
          <w:sz w:val="15"/>
        </w:rPr>
        <w:t xml:space="preserve"> </w:t>
      </w:r>
      <w:r>
        <w:rPr>
          <w:w w:val="105"/>
          <w:sz w:val="15"/>
        </w:rPr>
        <w:t>inconscientes</w:t>
      </w:r>
      <w:r>
        <w:rPr>
          <w:spacing w:val="-11"/>
          <w:w w:val="105"/>
          <w:sz w:val="15"/>
        </w:rPr>
        <w:t xml:space="preserve"> </w:t>
      </w:r>
      <w:r>
        <w:rPr>
          <w:w w:val="105"/>
          <w:sz w:val="15"/>
        </w:rPr>
        <w:t>entre</w:t>
      </w:r>
      <w:r>
        <w:rPr>
          <w:spacing w:val="-10"/>
          <w:w w:val="105"/>
          <w:sz w:val="15"/>
        </w:rPr>
        <w:t xml:space="preserve"> </w:t>
      </w:r>
      <w:r>
        <w:rPr>
          <w:w w:val="105"/>
          <w:sz w:val="15"/>
        </w:rPr>
        <w:t>los</w:t>
      </w:r>
      <w:r>
        <w:rPr>
          <w:spacing w:val="-10"/>
          <w:w w:val="105"/>
          <w:sz w:val="15"/>
        </w:rPr>
        <w:t xml:space="preserve"> </w:t>
      </w:r>
      <w:r>
        <w:rPr>
          <w:w w:val="105"/>
          <w:sz w:val="15"/>
        </w:rPr>
        <w:t>proveedores</w:t>
      </w:r>
      <w:r>
        <w:rPr>
          <w:spacing w:val="-10"/>
          <w:w w:val="105"/>
          <w:sz w:val="15"/>
        </w:rPr>
        <w:t xml:space="preserve"> </w:t>
      </w:r>
      <w:r>
        <w:rPr>
          <w:w w:val="105"/>
          <w:sz w:val="15"/>
        </w:rPr>
        <w:t>de</w:t>
      </w:r>
      <w:r>
        <w:rPr>
          <w:spacing w:val="-10"/>
          <w:w w:val="105"/>
          <w:sz w:val="15"/>
        </w:rPr>
        <w:t xml:space="preserve"> </w:t>
      </w:r>
      <w:r>
        <w:rPr>
          <w:w w:val="105"/>
          <w:sz w:val="15"/>
        </w:rPr>
        <w:t>salud.15</w:t>
      </w:r>
      <w:r>
        <w:rPr>
          <w:spacing w:val="-10"/>
          <w:w w:val="105"/>
          <w:sz w:val="15"/>
        </w:rPr>
        <w:t xml:space="preserve"> </w:t>
      </w:r>
      <w:r>
        <w:rPr>
          <w:w w:val="105"/>
          <w:sz w:val="15"/>
        </w:rPr>
        <w:t>En</w:t>
      </w:r>
      <w:r>
        <w:rPr>
          <w:spacing w:val="-10"/>
          <w:w w:val="105"/>
          <w:sz w:val="15"/>
        </w:rPr>
        <w:t xml:space="preserve"> </w:t>
      </w:r>
      <w:r>
        <w:rPr>
          <w:w w:val="105"/>
          <w:sz w:val="15"/>
        </w:rPr>
        <w:t>otros</w:t>
      </w:r>
      <w:r>
        <w:rPr>
          <w:spacing w:val="-10"/>
          <w:w w:val="105"/>
          <w:sz w:val="15"/>
        </w:rPr>
        <w:t xml:space="preserve"> </w:t>
      </w:r>
      <w:r>
        <w:rPr>
          <w:w w:val="105"/>
          <w:sz w:val="15"/>
        </w:rPr>
        <w:t>lugares,</w:t>
      </w:r>
      <w:r>
        <w:rPr>
          <w:spacing w:val="-10"/>
          <w:w w:val="105"/>
          <w:sz w:val="15"/>
        </w:rPr>
        <w:t xml:space="preserve"> </w:t>
      </w:r>
      <w:r>
        <w:rPr>
          <w:w w:val="105"/>
          <w:sz w:val="15"/>
        </w:rPr>
        <w:t>estudios realizados</w:t>
      </w:r>
      <w:r>
        <w:rPr>
          <w:spacing w:val="-11"/>
          <w:w w:val="105"/>
          <w:sz w:val="15"/>
        </w:rPr>
        <w:t xml:space="preserve"> </w:t>
      </w:r>
      <w:r>
        <w:rPr>
          <w:w w:val="105"/>
          <w:sz w:val="15"/>
        </w:rPr>
        <w:t>por</w:t>
      </w:r>
      <w:r>
        <w:rPr>
          <w:spacing w:val="-11"/>
          <w:w w:val="105"/>
          <w:sz w:val="15"/>
        </w:rPr>
        <w:t xml:space="preserve"> </w:t>
      </w:r>
      <w:r>
        <w:rPr>
          <w:w w:val="105"/>
          <w:sz w:val="15"/>
        </w:rPr>
        <w:t>organizaciones</w:t>
      </w:r>
      <w:r>
        <w:rPr>
          <w:spacing w:val="-11"/>
          <w:w w:val="105"/>
          <w:sz w:val="15"/>
        </w:rPr>
        <w:t xml:space="preserve"> </w:t>
      </w:r>
      <w:r>
        <w:rPr>
          <w:w w:val="105"/>
          <w:sz w:val="15"/>
        </w:rPr>
        <w:t>de</w:t>
      </w:r>
      <w:r>
        <w:rPr>
          <w:spacing w:val="-11"/>
          <w:w w:val="105"/>
          <w:sz w:val="15"/>
        </w:rPr>
        <w:t xml:space="preserve"> </w:t>
      </w:r>
      <w:r>
        <w:rPr>
          <w:w w:val="105"/>
          <w:sz w:val="15"/>
        </w:rPr>
        <w:t>la</w:t>
      </w:r>
      <w:r>
        <w:rPr>
          <w:spacing w:val="-11"/>
          <w:w w:val="105"/>
          <w:sz w:val="15"/>
        </w:rPr>
        <w:t xml:space="preserve"> </w:t>
      </w:r>
      <w:r>
        <w:rPr>
          <w:w w:val="105"/>
          <w:sz w:val="15"/>
        </w:rPr>
        <w:t>sociedad</w:t>
      </w:r>
      <w:r>
        <w:rPr>
          <w:spacing w:val="-11"/>
          <w:w w:val="105"/>
          <w:sz w:val="15"/>
        </w:rPr>
        <w:t xml:space="preserve"> </w:t>
      </w:r>
      <w:r>
        <w:rPr>
          <w:w w:val="105"/>
          <w:sz w:val="15"/>
        </w:rPr>
        <w:t>civil</w:t>
      </w:r>
      <w:r>
        <w:rPr>
          <w:spacing w:val="-11"/>
          <w:w w:val="105"/>
          <w:sz w:val="15"/>
        </w:rPr>
        <w:t xml:space="preserve"> </w:t>
      </w:r>
      <w:r>
        <w:rPr>
          <w:w w:val="105"/>
          <w:sz w:val="15"/>
        </w:rPr>
        <w:t>han</w:t>
      </w:r>
      <w:r>
        <w:rPr>
          <w:spacing w:val="-11"/>
          <w:w w:val="105"/>
          <w:sz w:val="15"/>
        </w:rPr>
        <w:t xml:space="preserve"> </w:t>
      </w:r>
      <w:r>
        <w:rPr>
          <w:w w:val="105"/>
          <w:sz w:val="15"/>
        </w:rPr>
        <w:t>identificado</w:t>
      </w:r>
      <w:r>
        <w:rPr>
          <w:spacing w:val="-11"/>
          <w:w w:val="105"/>
          <w:sz w:val="15"/>
        </w:rPr>
        <w:t xml:space="preserve"> </w:t>
      </w:r>
      <w:r>
        <w:rPr>
          <w:w w:val="105"/>
          <w:sz w:val="15"/>
        </w:rPr>
        <w:t>innumerables</w:t>
      </w:r>
      <w:r>
        <w:rPr>
          <w:spacing w:val="-11"/>
          <w:w w:val="105"/>
          <w:sz w:val="15"/>
        </w:rPr>
        <w:t xml:space="preserve"> </w:t>
      </w:r>
      <w:r>
        <w:rPr>
          <w:w w:val="105"/>
          <w:sz w:val="15"/>
        </w:rPr>
        <w:t>impactos</w:t>
      </w:r>
      <w:r>
        <w:rPr>
          <w:spacing w:val="-11"/>
          <w:w w:val="105"/>
          <w:sz w:val="15"/>
        </w:rPr>
        <w:t xml:space="preserve"> </w:t>
      </w:r>
      <w:r>
        <w:rPr>
          <w:w w:val="105"/>
          <w:sz w:val="15"/>
        </w:rPr>
        <w:t>discriminatorios</w:t>
      </w:r>
      <w:r>
        <w:rPr>
          <w:spacing w:val="-11"/>
          <w:w w:val="105"/>
          <w:sz w:val="15"/>
        </w:rPr>
        <w:t xml:space="preserve"> </w:t>
      </w:r>
      <w:r>
        <w:rPr>
          <w:w w:val="105"/>
          <w:sz w:val="15"/>
        </w:rPr>
        <w:t>derivados</w:t>
      </w:r>
      <w:r>
        <w:rPr>
          <w:spacing w:val="-11"/>
          <w:w w:val="105"/>
          <w:sz w:val="15"/>
        </w:rPr>
        <w:t xml:space="preserve"> </w:t>
      </w:r>
      <w:r>
        <w:rPr>
          <w:w w:val="105"/>
          <w:sz w:val="15"/>
        </w:rPr>
        <w:t>de</w:t>
      </w:r>
      <w:r>
        <w:rPr>
          <w:spacing w:val="-11"/>
          <w:w w:val="105"/>
          <w:sz w:val="15"/>
        </w:rPr>
        <w:t xml:space="preserve"> </w:t>
      </w:r>
      <w:r>
        <w:rPr>
          <w:w w:val="105"/>
          <w:sz w:val="15"/>
        </w:rPr>
        <w:t>las</w:t>
      </w:r>
      <w:r>
        <w:rPr>
          <w:spacing w:val="-11"/>
          <w:w w:val="105"/>
          <w:sz w:val="15"/>
        </w:rPr>
        <w:t xml:space="preserve"> </w:t>
      </w:r>
      <w:r>
        <w:rPr>
          <w:w w:val="105"/>
          <w:sz w:val="15"/>
        </w:rPr>
        <w:t>respuestas a</w:t>
      </w:r>
      <w:r>
        <w:rPr>
          <w:spacing w:val="-3"/>
          <w:w w:val="105"/>
          <w:sz w:val="15"/>
        </w:rPr>
        <w:t xml:space="preserve"> </w:t>
      </w:r>
      <w:r>
        <w:rPr>
          <w:w w:val="105"/>
          <w:sz w:val="15"/>
        </w:rPr>
        <w:t>la</w:t>
      </w:r>
      <w:r>
        <w:rPr>
          <w:spacing w:val="-3"/>
          <w:w w:val="105"/>
          <w:sz w:val="15"/>
        </w:rPr>
        <w:t xml:space="preserve"> </w:t>
      </w:r>
      <w:r>
        <w:rPr>
          <w:w w:val="105"/>
          <w:sz w:val="15"/>
        </w:rPr>
        <w:t>pandemia,</w:t>
      </w:r>
      <w:r>
        <w:rPr>
          <w:spacing w:val="-3"/>
          <w:w w:val="105"/>
          <w:sz w:val="15"/>
        </w:rPr>
        <w:t xml:space="preserve"> </w:t>
      </w:r>
      <w:r>
        <w:rPr>
          <w:w w:val="105"/>
          <w:sz w:val="15"/>
        </w:rPr>
        <w:t>que</w:t>
      </w:r>
      <w:r>
        <w:rPr>
          <w:spacing w:val="-3"/>
          <w:w w:val="105"/>
          <w:sz w:val="15"/>
        </w:rPr>
        <w:t xml:space="preserve"> </w:t>
      </w:r>
      <w:r>
        <w:rPr>
          <w:w w:val="105"/>
          <w:sz w:val="15"/>
        </w:rPr>
        <w:t>van</w:t>
      </w:r>
      <w:r>
        <w:rPr>
          <w:spacing w:val="-3"/>
          <w:w w:val="105"/>
          <w:sz w:val="15"/>
        </w:rPr>
        <w:t xml:space="preserve"> </w:t>
      </w:r>
      <w:r>
        <w:rPr>
          <w:w w:val="105"/>
          <w:sz w:val="15"/>
        </w:rPr>
        <w:t>desde</w:t>
      </w:r>
      <w:r>
        <w:rPr>
          <w:spacing w:val="-3"/>
          <w:w w:val="105"/>
          <w:sz w:val="15"/>
        </w:rPr>
        <w:t xml:space="preserve"> </w:t>
      </w:r>
      <w:r>
        <w:rPr>
          <w:w w:val="105"/>
          <w:sz w:val="15"/>
        </w:rPr>
        <w:t>los</w:t>
      </w:r>
      <w:r>
        <w:rPr>
          <w:spacing w:val="-3"/>
          <w:w w:val="105"/>
          <w:sz w:val="15"/>
        </w:rPr>
        <w:t xml:space="preserve"> </w:t>
      </w:r>
      <w:r>
        <w:rPr>
          <w:w w:val="105"/>
          <w:sz w:val="15"/>
        </w:rPr>
        <w:t>impactos</w:t>
      </w:r>
      <w:r>
        <w:rPr>
          <w:spacing w:val="-3"/>
          <w:w w:val="105"/>
          <w:sz w:val="15"/>
        </w:rPr>
        <w:t xml:space="preserve"> </w:t>
      </w:r>
      <w:r>
        <w:rPr>
          <w:w w:val="105"/>
          <w:sz w:val="15"/>
        </w:rPr>
        <w:t>desproporcionados</w:t>
      </w:r>
      <w:r>
        <w:rPr>
          <w:spacing w:val="-4"/>
          <w:w w:val="105"/>
          <w:sz w:val="15"/>
        </w:rPr>
        <w:t xml:space="preserve"> </w:t>
      </w:r>
      <w:r>
        <w:rPr>
          <w:w w:val="105"/>
          <w:sz w:val="15"/>
        </w:rPr>
        <w:t>de</w:t>
      </w:r>
      <w:r>
        <w:rPr>
          <w:spacing w:val="-3"/>
          <w:w w:val="105"/>
          <w:sz w:val="15"/>
        </w:rPr>
        <w:t xml:space="preserve"> </w:t>
      </w:r>
      <w:r>
        <w:rPr>
          <w:w w:val="105"/>
          <w:sz w:val="15"/>
        </w:rPr>
        <w:t>los</w:t>
      </w:r>
      <w:r>
        <w:rPr>
          <w:spacing w:val="-3"/>
          <w:w w:val="105"/>
          <w:sz w:val="15"/>
        </w:rPr>
        <w:t xml:space="preserve"> </w:t>
      </w:r>
      <w:r>
        <w:rPr>
          <w:w w:val="105"/>
          <w:sz w:val="15"/>
        </w:rPr>
        <w:t>despidos</w:t>
      </w:r>
      <w:r>
        <w:rPr>
          <w:spacing w:val="-3"/>
          <w:w w:val="105"/>
          <w:sz w:val="15"/>
        </w:rPr>
        <w:t xml:space="preserve"> </w:t>
      </w:r>
      <w:r>
        <w:rPr>
          <w:w w:val="105"/>
          <w:sz w:val="15"/>
        </w:rPr>
        <w:t>en</w:t>
      </w:r>
      <w:r>
        <w:rPr>
          <w:spacing w:val="-3"/>
          <w:w w:val="105"/>
          <w:sz w:val="15"/>
        </w:rPr>
        <w:t xml:space="preserve"> </w:t>
      </w:r>
      <w:r>
        <w:rPr>
          <w:w w:val="105"/>
          <w:sz w:val="15"/>
        </w:rPr>
        <w:t>las</w:t>
      </w:r>
      <w:r>
        <w:rPr>
          <w:spacing w:val="-3"/>
          <w:w w:val="105"/>
          <w:sz w:val="15"/>
        </w:rPr>
        <w:t xml:space="preserve"> </w:t>
      </w:r>
      <w:r>
        <w:rPr>
          <w:w w:val="105"/>
          <w:sz w:val="15"/>
        </w:rPr>
        <w:t>trabajadoras</w:t>
      </w:r>
      <w:r>
        <w:rPr>
          <w:spacing w:val="-4"/>
          <w:w w:val="105"/>
          <w:sz w:val="15"/>
        </w:rPr>
        <w:t xml:space="preserve"> </w:t>
      </w:r>
      <w:r>
        <w:rPr>
          <w:w w:val="105"/>
          <w:sz w:val="15"/>
        </w:rPr>
        <w:t>en</w:t>
      </w:r>
      <w:r>
        <w:rPr>
          <w:spacing w:val="-3"/>
          <w:w w:val="105"/>
          <w:sz w:val="15"/>
        </w:rPr>
        <w:t xml:space="preserve"> </w:t>
      </w:r>
      <w:r>
        <w:rPr>
          <w:w w:val="105"/>
          <w:sz w:val="15"/>
        </w:rPr>
        <w:t>Paraguay,16</w:t>
      </w:r>
      <w:r>
        <w:rPr>
          <w:spacing w:val="-3"/>
          <w:w w:val="105"/>
          <w:sz w:val="15"/>
        </w:rPr>
        <w:t xml:space="preserve"> </w:t>
      </w:r>
      <w:r>
        <w:rPr>
          <w:w w:val="105"/>
          <w:sz w:val="15"/>
        </w:rPr>
        <w:t>a</w:t>
      </w:r>
      <w:r>
        <w:rPr>
          <w:spacing w:val="-3"/>
          <w:w w:val="105"/>
          <w:sz w:val="15"/>
        </w:rPr>
        <w:t xml:space="preserve"> </w:t>
      </w:r>
      <w:r>
        <w:rPr>
          <w:w w:val="105"/>
          <w:sz w:val="15"/>
        </w:rPr>
        <w:t>la</w:t>
      </w:r>
      <w:r>
        <w:rPr>
          <w:spacing w:val="-3"/>
          <w:w w:val="105"/>
          <w:sz w:val="15"/>
        </w:rPr>
        <w:t xml:space="preserve"> </w:t>
      </w:r>
      <w:r>
        <w:rPr>
          <w:w w:val="105"/>
          <w:sz w:val="15"/>
        </w:rPr>
        <w:t>falta</w:t>
      </w:r>
      <w:r>
        <w:rPr>
          <w:spacing w:val="-3"/>
          <w:w w:val="105"/>
          <w:sz w:val="15"/>
        </w:rPr>
        <w:t xml:space="preserve"> </w:t>
      </w:r>
      <w:r>
        <w:rPr>
          <w:w w:val="105"/>
          <w:sz w:val="15"/>
        </w:rPr>
        <w:t>de</w:t>
      </w:r>
    </w:p>
    <w:p w14:paraId="0BD1BBDA" w14:textId="77777777" w:rsidR="0014798C" w:rsidRDefault="004E1F0B">
      <w:pPr>
        <w:spacing w:line="348" w:lineRule="auto"/>
        <w:ind w:left="1107" w:right="1283" w:hanging="1"/>
        <w:rPr>
          <w:sz w:val="15"/>
        </w:rPr>
      </w:pPr>
      <w:r>
        <w:rPr>
          <w:w w:val="105"/>
          <w:sz w:val="15"/>
        </w:rPr>
        <w:t>adaptación</w:t>
      </w:r>
      <w:r>
        <w:rPr>
          <w:spacing w:val="-10"/>
          <w:w w:val="105"/>
          <w:sz w:val="15"/>
        </w:rPr>
        <w:t xml:space="preserve"> </w:t>
      </w:r>
      <w:r>
        <w:rPr>
          <w:w w:val="105"/>
          <w:sz w:val="15"/>
        </w:rPr>
        <w:t>a</w:t>
      </w:r>
      <w:r>
        <w:rPr>
          <w:spacing w:val="-10"/>
          <w:w w:val="105"/>
          <w:sz w:val="15"/>
        </w:rPr>
        <w:t xml:space="preserve"> </w:t>
      </w:r>
      <w:r>
        <w:rPr>
          <w:w w:val="105"/>
          <w:sz w:val="15"/>
        </w:rPr>
        <w:t>las</w:t>
      </w:r>
      <w:r>
        <w:rPr>
          <w:spacing w:val="-10"/>
          <w:w w:val="105"/>
          <w:sz w:val="15"/>
        </w:rPr>
        <w:t xml:space="preserve"> </w:t>
      </w:r>
      <w:r>
        <w:rPr>
          <w:w w:val="105"/>
          <w:sz w:val="15"/>
        </w:rPr>
        <w:t>necesidades</w:t>
      </w:r>
      <w:r>
        <w:rPr>
          <w:spacing w:val="-10"/>
          <w:w w:val="105"/>
          <w:sz w:val="15"/>
        </w:rPr>
        <w:t xml:space="preserve"> </w:t>
      </w:r>
      <w:r>
        <w:rPr>
          <w:w w:val="105"/>
          <w:sz w:val="15"/>
        </w:rPr>
        <w:t>de</w:t>
      </w:r>
      <w:r>
        <w:rPr>
          <w:spacing w:val="-10"/>
          <w:w w:val="105"/>
          <w:sz w:val="15"/>
        </w:rPr>
        <w:t xml:space="preserve"> </w:t>
      </w:r>
      <w:r>
        <w:rPr>
          <w:w w:val="105"/>
          <w:sz w:val="15"/>
        </w:rPr>
        <w:t>los</w:t>
      </w:r>
      <w:r>
        <w:rPr>
          <w:spacing w:val="-10"/>
          <w:w w:val="105"/>
          <w:sz w:val="15"/>
        </w:rPr>
        <w:t xml:space="preserve"> </w:t>
      </w:r>
      <w:r>
        <w:rPr>
          <w:w w:val="105"/>
          <w:sz w:val="15"/>
        </w:rPr>
        <w:t>niños</w:t>
      </w:r>
      <w:r>
        <w:rPr>
          <w:spacing w:val="-10"/>
          <w:w w:val="105"/>
          <w:sz w:val="15"/>
        </w:rPr>
        <w:t xml:space="preserve"> </w:t>
      </w:r>
      <w:r>
        <w:rPr>
          <w:w w:val="105"/>
          <w:sz w:val="15"/>
        </w:rPr>
        <w:t>con</w:t>
      </w:r>
      <w:r>
        <w:rPr>
          <w:spacing w:val="-10"/>
          <w:w w:val="105"/>
          <w:sz w:val="15"/>
        </w:rPr>
        <w:t xml:space="preserve"> </w:t>
      </w:r>
      <w:r>
        <w:rPr>
          <w:w w:val="105"/>
          <w:sz w:val="15"/>
        </w:rPr>
        <w:t>discapacidad</w:t>
      </w:r>
      <w:r>
        <w:rPr>
          <w:spacing w:val="-10"/>
          <w:w w:val="105"/>
          <w:sz w:val="15"/>
        </w:rPr>
        <w:t xml:space="preserve"> </w:t>
      </w:r>
      <w:r>
        <w:rPr>
          <w:w w:val="105"/>
          <w:sz w:val="15"/>
        </w:rPr>
        <w:t>y</w:t>
      </w:r>
      <w:r>
        <w:rPr>
          <w:spacing w:val="-10"/>
          <w:w w:val="105"/>
          <w:sz w:val="15"/>
        </w:rPr>
        <w:t xml:space="preserve"> </w:t>
      </w:r>
      <w:r>
        <w:rPr>
          <w:w w:val="105"/>
          <w:sz w:val="15"/>
        </w:rPr>
        <w:t>de</w:t>
      </w:r>
      <w:r>
        <w:rPr>
          <w:spacing w:val="-10"/>
          <w:w w:val="105"/>
          <w:sz w:val="15"/>
        </w:rPr>
        <w:t xml:space="preserve"> </w:t>
      </w:r>
      <w:r>
        <w:rPr>
          <w:w w:val="105"/>
          <w:sz w:val="15"/>
        </w:rPr>
        <w:t>los</w:t>
      </w:r>
      <w:r>
        <w:rPr>
          <w:spacing w:val="-10"/>
          <w:w w:val="105"/>
          <w:sz w:val="15"/>
        </w:rPr>
        <w:t xml:space="preserve"> </w:t>
      </w:r>
      <w:r>
        <w:rPr>
          <w:w w:val="105"/>
          <w:sz w:val="15"/>
        </w:rPr>
        <w:t>hablantes</w:t>
      </w:r>
      <w:r>
        <w:rPr>
          <w:spacing w:val="-11"/>
          <w:w w:val="105"/>
          <w:sz w:val="15"/>
        </w:rPr>
        <w:t xml:space="preserve"> </w:t>
      </w:r>
      <w:r>
        <w:rPr>
          <w:w w:val="105"/>
          <w:sz w:val="15"/>
        </w:rPr>
        <w:t>de</w:t>
      </w:r>
      <w:r>
        <w:rPr>
          <w:spacing w:val="-10"/>
          <w:w w:val="105"/>
          <w:sz w:val="15"/>
        </w:rPr>
        <w:t xml:space="preserve"> </w:t>
      </w:r>
      <w:r>
        <w:rPr>
          <w:w w:val="105"/>
          <w:sz w:val="15"/>
        </w:rPr>
        <w:t>lenguas</w:t>
      </w:r>
      <w:r>
        <w:rPr>
          <w:spacing w:val="-10"/>
          <w:w w:val="105"/>
          <w:sz w:val="15"/>
        </w:rPr>
        <w:t xml:space="preserve"> </w:t>
      </w:r>
      <w:r>
        <w:rPr>
          <w:w w:val="105"/>
          <w:sz w:val="15"/>
        </w:rPr>
        <w:t>minoritarias</w:t>
      </w:r>
      <w:r>
        <w:rPr>
          <w:spacing w:val="-11"/>
          <w:w w:val="105"/>
          <w:sz w:val="15"/>
        </w:rPr>
        <w:t xml:space="preserve"> </w:t>
      </w:r>
      <w:r>
        <w:rPr>
          <w:w w:val="105"/>
          <w:sz w:val="15"/>
        </w:rPr>
        <w:t>en</w:t>
      </w:r>
      <w:r>
        <w:rPr>
          <w:spacing w:val="-10"/>
          <w:w w:val="105"/>
          <w:sz w:val="15"/>
        </w:rPr>
        <w:t xml:space="preserve"> </w:t>
      </w:r>
      <w:r>
        <w:rPr>
          <w:w w:val="105"/>
          <w:sz w:val="15"/>
        </w:rPr>
        <w:t>los</w:t>
      </w:r>
      <w:r>
        <w:rPr>
          <w:spacing w:val="-10"/>
          <w:w w:val="105"/>
          <w:sz w:val="15"/>
        </w:rPr>
        <w:t xml:space="preserve"> </w:t>
      </w:r>
      <w:r>
        <w:rPr>
          <w:w w:val="105"/>
          <w:sz w:val="15"/>
        </w:rPr>
        <w:t>programas</w:t>
      </w:r>
      <w:r>
        <w:rPr>
          <w:spacing w:val="-10"/>
          <w:w w:val="105"/>
          <w:sz w:val="15"/>
        </w:rPr>
        <w:t xml:space="preserve"> </w:t>
      </w:r>
      <w:r>
        <w:rPr>
          <w:w w:val="105"/>
          <w:sz w:val="15"/>
        </w:rPr>
        <w:t>de</w:t>
      </w:r>
      <w:r>
        <w:rPr>
          <w:spacing w:val="-10"/>
          <w:w w:val="105"/>
          <w:sz w:val="15"/>
        </w:rPr>
        <w:t xml:space="preserve"> </w:t>
      </w:r>
      <w:r>
        <w:rPr>
          <w:w w:val="105"/>
          <w:sz w:val="15"/>
        </w:rPr>
        <w:t>educación a distancia en Kirguistán.17</w:t>
      </w:r>
    </w:p>
    <w:p w14:paraId="08204C8D" w14:textId="77777777" w:rsidR="0014798C" w:rsidRDefault="004E1F0B">
      <w:pPr>
        <w:spacing w:before="164" w:line="348" w:lineRule="auto"/>
        <w:ind w:left="1108" w:right="1261" w:hanging="2"/>
        <w:rPr>
          <w:sz w:val="15"/>
        </w:rPr>
      </w:pPr>
      <w:r>
        <w:rPr>
          <w:w w:val="105"/>
          <w:sz w:val="15"/>
        </w:rPr>
        <w:t>La</w:t>
      </w:r>
      <w:r>
        <w:rPr>
          <w:spacing w:val="-7"/>
          <w:w w:val="105"/>
          <w:sz w:val="15"/>
        </w:rPr>
        <w:t xml:space="preserve"> </w:t>
      </w:r>
      <w:r>
        <w:rPr>
          <w:w w:val="105"/>
          <w:sz w:val="15"/>
        </w:rPr>
        <w:t>pandemia</w:t>
      </w:r>
      <w:r>
        <w:rPr>
          <w:spacing w:val="-7"/>
          <w:w w:val="105"/>
          <w:sz w:val="15"/>
        </w:rPr>
        <w:t xml:space="preserve"> </w:t>
      </w:r>
      <w:r>
        <w:rPr>
          <w:w w:val="105"/>
          <w:sz w:val="15"/>
        </w:rPr>
        <w:t>no</w:t>
      </w:r>
      <w:r>
        <w:rPr>
          <w:spacing w:val="-7"/>
          <w:w w:val="105"/>
          <w:sz w:val="15"/>
        </w:rPr>
        <w:t xml:space="preserve"> </w:t>
      </w:r>
      <w:r>
        <w:rPr>
          <w:w w:val="105"/>
          <w:sz w:val="15"/>
        </w:rPr>
        <w:t>es</w:t>
      </w:r>
      <w:r>
        <w:rPr>
          <w:spacing w:val="-7"/>
          <w:w w:val="105"/>
          <w:sz w:val="15"/>
        </w:rPr>
        <w:t xml:space="preserve"> </w:t>
      </w:r>
      <w:r>
        <w:rPr>
          <w:w w:val="105"/>
          <w:sz w:val="15"/>
        </w:rPr>
        <w:t>el</w:t>
      </w:r>
      <w:r>
        <w:rPr>
          <w:spacing w:val="-7"/>
          <w:w w:val="105"/>
          <w:sz w:val="15"/>
        </w:rPr>
        <w:t xml:space="preserve"> </w:t>
      </w:r>
      <w:r>
        <w:rPr>
          <w:w w:val="105"/>
          <w:sz w:val="15"/>
        </w:rPr>
        <w:t>único</w:t>
      </w:r>
      <w:r>
        <w:rPr>
          <w:spacing w:val="-7"/>
          <w:w w:val="105"/>
          <w:sz w:val="15"/>
        </w:rPr>
        <w:t xml:space="preserve"> </w:t>
      </w:r>
      <w:r>
        <w:rPr>
          <w:w w:val="105"/>
          <w:sz w:val="15"/>
        </w:rPr>
        <w:t>cambio</w:t>
      </w:r>
      <w:r>
        <w:rPr>
          <w:spacing w:val="-7"/>
          <w:w w:val="105"/>
          <w:sz w:val="15"/>
        </w:rPr>
        <w:t xml:space="preserve"> </w:t>
      </w:r>
      <w:r>
        <w:rPr>
          <w:w w:val="105"/>
          <w:sz w:val="15"/>
        </w:rPr>
        <w:t>significativo</w:t>
      </w:r>
      <w:r>
        <w:rPr>
          <w:spacing w:val="-7"/>
          <w:w w:val="105"/>
          <w:sz w:val="15"/>
        </w:rPr>
        <w:t xml:space="preserve"> </w:t>
      </w:r>
      <w:r>
        <w:rPr>
          <w:w w:val="105"/>
          <w:sz w:val="15"/>
        </w:rPr>
        <w:t>que</w:t>
      </w:r>
      <w:r>
        <w:rPr>
          <w:spacing w:val="-7"/>
          <w:w w:val="105"/>
          <w:sz w:val="15"/>
        </w:rPr>
        <w:t xml:space="preserve"> </w:t>
      </w:r>
      <w:r>
        <w:rPr>
          <w:w w:val="105"/>
          <w:sz w:val="15"/>
        </w:rPr>
        <w:t>subraya</w:t>
      </w:r>
      <w:r>
        <w:rPr>
          <w:spacing w:val="-7"/>
          <w:w w:val="105"/>
          <w:sz w:val="15"/>
        </w:rPr>
        <w:t xml:space="preserve"> </w:t>
      </w:r>
      <w:r>
        <w:rPr>
          <w:w w:val="105"/>
          <w:sz w:val="15"/>
        </w:rPr>
        <w:t>la</w:t>
      </w:r>
      <w:r>
        <w:rPr>
          <w:spacing w:val="-7"/>
          <w:w w:val="105"/>
          <w:sz w:val="15"/>
        </w:rPr>
        <w:t xml:space="preserve"> </w:t>
      </w:r>
      <w:r>
        <w:rPr>
          <w:w w:val="105"/>
          <w:sz w:val="15"/>
        </w:rPr>
        <w:t>necesidad</w:t>
      </w:r>
      <w:r>
        <w:rPr>
          <w:spacing w:val="-7"/>
          <w:w w:val="105"/>
          <w:sz w:val="15"/>
        </w:rPr>
        <w:t xml:space="preserve"> </w:t>
      </w:r>
      <w:r>
        <w:rPr>
          <w:w w:val="105"/>
          <w:sz w:val="15"/>
        </w:rPr>
        <w:t>de</w:t>
      </w:r>
      <w:r>
        <w:rPr>
          <w:spacing w:val="-7"/>
          <w:w w:val="105"/>
          <w:sz w:val="15"/>
        </w:rPr>
        <w:t xml:space="preserve"> </w:t>
      </w:r>
      <w:r>
        <w:rPr>
          <w:w w:val="105"/>
          <w:sz w:val="15"/>
        </w:rPr>
        <w:t>un</w:t>
      </w:r>
      <w:r>
        <w:rPr>
          <w:spacing w:val="-7"/>
          <w:w w:val="105"/>
          <w:sz w:val="15"/>
        </w:rPr>
        <w:t xml:space="preserve"> </w:t>
      </w:r>
      <w:r>
        <w:rPr>
          <w:w w:val="105"/>
          <w:sz w:val="15"/>
        </w:rPr>
        <w:t>enfoque</w:t>
      </w:r>
      <w:r>
        <w:rPr>
          <w:spacing w:val="-7"/>
          <w:w w:val="105"/>
          <w:sz w:val="15"/>
        </w:rPr>
        <w:t xml:space="preserve"> </w:t>
      </w:r>
      <w:r>
        <w:rPr>
          <w:w w:val="105"/>
          <w:sz w:val="15"/>
        </w:rPr>
        <w:t>renovado</w:t>
      </w:r>
      <w:r>
        <w:rPr>
          <w:spacing w:val="-7"/>
          <w:w w:val="105"/>
          <w:sz w:val="15"/>
        </w:rPr>
        <w:t xml:space="preserve"> </w:t>
      </w:r>
      <w:r>
        <w:rPr>
          <w:w w:val="105"/>
          <w:sz w:val="15"/>
        </w:rPr>
        <w:t>para</w:t>
      </w:r>
      <w:r>
        <w:rPr>
          <w:spacing w:val="-7"/>
          <w:w w:val="105"/>
          <w:sz w:val="15"/>
        </w:rPr>
        <w:t xml:space="preserve"> </w:t>
      </w:r>
      <w:r>
        <w:rPr>
          <w:w w:val="105"/>
          <w:sz w:val="15"/>
        </w:rPr>
        <w:t>abordar</w:t>
      </w:r>
      <w:r>
        <w:rPr>
          <w:spacing w:val="-7"/>
          <w:w w:val="105"/>
          <w:sz w:val="15"/>
        </w:rPr>
        <w:t xml:space="preserve"> </w:t>
      </w:r>
      <w:r>
        <w:rPr>
          <w:w w:val="105"/>
          <w:sz w:val="15"/>
        </w:rPr>
        <w:t>la</w:t>
      </w:r>
      <w:r>
        <w:rPr>
          <w:spacing w:val="-7"/>
          <w:w w:val="105"/>
          <w:sz w:val="15"/>
        </w:rPr>
        <w:t xml:space="preserve"> </w:t>
      </w:r>
      <w:r>
        <w:rPr>
          <w:w w:val="105"/>
          <w:sz w:val="15"/>
        </w:rPr>
        <w:t>discriminación.</w:t>
      </w:r>
      <w:r>
        <w:rPr>
          <w:spacing w:val="-6"/>
          <w:w w:val="105"/>
          <w:sz w:val="15"/>
        </w:rPr>
        <w:t xml:space="preserve"> </w:t>
      </w:r>
      <w:r>
        <w:rPr>
          <w:w w:val="105"/>
          <w:sz w:val="15"/>
        </w:rPr>
        <w:t>Los avances</w:t>
      </w:r>
      <w:r>
        <w:rPr>
          <w:spacing w:val="-5"/>
          <w:w w:val="105"/>
          <w:sz w:val="15"/>
        </w:rPr>
        <w:t xml:space="preserve"> </w:t>
      </w:r>
      <w:r>
        <w:rPr>
          <w:w w:val="105"/>
          <w:sz w:val="15"/>
        </w:rPr>
        <w:t>tecnológicos,</w:t>
      </w:r>
      <w:r>
        <w:rPr>
          <w:spacing w:val="-4"/>
          <w:w w:val="105"/>
          <w:sz w:val="15"/>
        </w:rPr>
        <w:t xml:space="preserve"> </w:t>
      </w:r>
      <w:r>
        <w:rPr>
          <w:w w:val="105"/>
          <w:sz w:val="15"/>
        </w:rPr>
        <w:t>que</w:t>
      </w:r>
      <w:r>
        <w:rPr>
          <w:spacing w:val="-5"/>
          <w:w w:val="105"/>
          <w:sz w:val="15"/>
        </w:rPr>
        <w:t xml:space="preserve"> </w:t>
      </w:r>
      <w:r>
        <w:rPr>
          <w:w w:val="105"/>
          <w:sz w:val="15"/>
        </w:rPr>
        <w:t>van</w:t>
      </w:r>
      <w:r>
        <w:rPr>
          <w:spacing w:val="-5"/>
          <w:w w:val="105"/>
          <w:sz w:val="15"/>
        </w:rPr>
        <w:t xml:space="preserve"> </w:t>
      </w:r>
      <w:r>
        <w:rPr>
          <w:w w:val="105"/>
          <w:sz w:val="15"/>
        </w:rPr>
        <w:t>desde</w:t>
      </w:r>
      <w:r>
        <w:rPr>
          <w:spacing w:val="-5"/>
          <w:w w:val="105"/>
          <w:sz w:val="15"/>
        </w:rPr>
        <w:t xml:space="preserve"> </w:t>
      </w:r>
      <w:r>
        <w:rPr>
          <w:w w:val="105"/>
          <w:sz w:val="15"/>
        </w:rPr>
        <w:t>los</w:t>
      </w:r>
      <w:r>
        <w:rPr>
          <w:spacing w:val="-5"/>
          <w:w w:val="105"/>
          <w:sz w:val="15"/>
        </w:rPr>
        <w:t xml:space="preserve"> </w:t>
      </w:r>
      <w:r>
        <w:rPr>
          <w:w w:val="105"/>
          <w:sz w:val="15"/>
        </w:rPr>
        <w:t>espectaculares</w:t>
      </w:r>
      <w:r>
        <w:rPr>
          <w:spacing w:val="-6"/>
          <w:w w:val="105"/>
          <w:sz w:val="15"/>
        </w:rPr>
        <w:t xml:space="preserve"> </w:t>
      </w:r>
      <w:r>
        <w:rPr>
          <w:w w:val="105"/>
          <w:sz w:val="15"/>
        </w:rPr>
        <w:t>avances</w:t>
      </w:r>
      <w:r>
        <w:rPr>
          <w:spacing w:val="-5"/>
          <w:w w:val="105"/>
          <w:sz w:val="15"/>
        </w:rPr>
        <w:t xml:space="preserve"> </w:t>
      </w:r>
      <w:r>
        <w:rPr>
          <w:w w:val="105"/>
          <w:sz w:val="15"/>
        </w:rPr>
        <w:t>en</w:t>
      </w:r>
      <w:r>
        <w:rPr>
          <w:spacing w:val="-5"/>
          <w:w w:val="105"/>
          <w:sz w:val="15"/>
        </w:rPr>
        <w:t xml:space="preserve"> </w:t>
      </w:r>
      <w:r>
        <w:rPr>
          <w:w w:val="105"/>
          <w:sz w:val="15"/>
        </w:rPr>
        <w:t>la</w:t>
      </w:r>
      <w:r>
        <w:rPr>
          <w:spacing w:val="-5"/>
          <w:w w:val="105"/>
          <w:sz w:val="15"/>
        </w:rPr>
        <w:t xml:space="preserve"> </w:t>
      </w:r>
      <w:r>
        <w:rPr>
          <w:w w:val="105"/>
          <w:sz w:val="15"/>
        </w:rPr>
        <w:t>velocidad</w:t>
      </w:r>
      <w:r>
        <w:rPr>
          <w:spacing w:val="-5"/>
          <w:w w:val="105"/>
          <w:sz w:val="15"/>
        </w:rPr>
        <w:t xml:space="preserve"> </w:t>
      </w:r>
      <w:r>
        <w:rPr>
          <w:w w:val="105"/>
          <w:sz w:val="15"/>
        </w:rPr>
        <w:t>y</w:t>
      </w:r>
      <w:r>
        <w:rPr>
          <w:spacing w:val="-5"/>
          <w:w w:val="105"/>
          <w:sz w:val="15"/>
        </w:rPr>
        <w:t xml:space="preserve"> </w:t>
      </w:r>
      <w:r>
        <w:rPr>
          <w:w w:val="105"/>
          <w:sz w:val="15"/>
        </w:rPr>
        <w:t>disponibilidad</w:t>
      </w:r>
      <w:r>
        <w:rPr>
          <w:spacing w:val="-5"/>
          <w:w w:val="105"/>
          <w:sz w:val="15"/>
        </w:rPr>
        <w:t xml:space="preserve"> </w:t>
      </w:r>
      <w:r>
        <w:rPr>
          <w:w w:val="105"/>
          <w:sz w:val="15"/>
        </w:rPr>
        <w:t>de</w:t>
      </w:r>
      <w:r>
        <w:rPr>
          <w:spacing w:val="-5"/>
          <w:w w:val="105"/>
          <w:sz w:val="15"/>
        </w:rPr>
        <w:t xml:space="preserve"> </w:t>
      </w:r>
      <w:r>
        <w:rPr>
          <w:w w:val="105"/>
          <w:sz w:val="15"/>
        </w:rPr>
        <w:t>la</w:t>
      </w:r>
      <w:r>
        <w:rPr>
          <w:spacing w:val="-5"/>
          <w:w w:val="105"/>
          <w:sz w:val="15"/>
        </w:rPr>
        <w:t xml:space="preserve"> </w:t>
      </w:r>
      <w:r>
        <w:rPr>
          <w:w w:val="105"/>
          <w:sz w:val="15"/>
        </w:rPr>
        <w:t>información</w:t>
      </w:r>
      <w:r>
        <w:rPr>
          <w:spacing w:val="-5"/>
          <w:w w:val="105"/>
          <w:sz w:val="15"/>
        </w:rPr>
        <w:t xml:space="preserve"> </w:t>
      </w:r>
      <w:r>
        <w:rPr>
          <w:w w:val="105"/>
          <w:sz w:val="15"/>
        </w:rPr>
        <w:t>en</w:t>
      </w:r>
      <w:r>
        <w:rPr>
          <w:spacing w:val="-5"/>
          <w:w w:val="105"/>
          <w:sz w:val="15"/>
        </w:rPr>
        <w:t xml:space="preserve"> </w:t>
      </w:r>
      <w:r>
        <w:rPr>
          <w:w w:val="105"/>
          <w:sz w:val="15"/>
        </w:rPr>
        <w:t>línea</w:t>
      </w:r>
      <w:r>
        <w:rPr>
          <w:spacing w:val="-5"/>
          <w:w w:val="105"/>
          <w:sz w:val="15"/>
        </w:rPr>
        <w:t xml:space="preserve"> </w:t>
      </w:r>
      <w:r>
        <w:rPr>
          <w:w w:val="105"/>
          <w:sz w:val="15"/>
        </w:rPr>
        <w:t>hasta</w:t>
      </w:r>
      <w:r>
        <w:rPr>
          <w:spacing w:val="-5"/>
          <w:w w:val="105"/>
          <w:sz w:val="15"/>
        </w:rPr>
        <w:t xml:space="preserve"> </w:t>
      </w:r>
      <w:r>
        <w:rPr>
          <w:w w:val="105"/>
          <w:sz w:val="15"/>
        </w:rPr>
        <w:t>el uso</w:t>
      </w:r>
      <w:r>
        <w:rPr>
          <w:spacing w:val="-6"/>
          <w:w w:val="105"/>
          <w:sz w:val="15"/>
        </w:rPr>
        <w:t xml:space="preserve"> </w:t>
      </w:r>
      <w:r>
        <w:rPr>
          <w:w w:val="105"/>
          <w:sz w:val="15"/>
        </w:rPr>
        <w:t>cada</w:t>
      </w:r>
      <w:r>
        <w:rPr>
          <w:spacing w:val="-6"/>
          <w:w w:val="105"/>
          <w:sz w:val="15"/>
        </w:rPr>
        <w:t xml:space="preserve"> </w:t>
      </w:r>
      <w:r>
        <w:rPr>
          <w:w w:val="105"/>
          <w:sz w:val="15"/>
        </w:rPr>
        <w:t>vez</w:t>
      </w:r>
      <w:r>
        <w:rPr>
          <w:spacing w:val="-6"/>
          <w:w w:val="105"/>
          <w:sz w:val="15"/>
        </w:rPr>
        <w:t xml:space="preserve"> </w:t>
      </w:r>
      <w:r>
        <w:rPr>
          <w:w w:val="105"/>
          <w:sz w:val="15"/>
        </w:rPr>
        <w:t>mayor</w:t>
      </w:r>
      <w:r>
        <w:rPr>
          <w:spacing w:val="-6"/>
          <w:w w:val="105"/>
          <w:sz w:val="15"/>
        </w:rPr>
        <w:t xml:space="preserve"> </w:t>
      </w:r>
      <w:r>
        <w:rPr>
          <w:w w:val="105"/>
          <w:sz w:val="15"/>
        </w:rPr>
        <w:t>de</w:t>
      </w:r>
      <w:r>
        <w:rPr>
          <w:spacing w:val="-6"/>
          <w:w w:val="105"/>
          <w:sz w:val="15"/>
        </w:rPr>
        <w:t xml:space="preserve"> </w:t>
      </w:r>
      <w:r>
        <w:rPr>
          <w:w w:val="105"/>
          <w:sz w:val="15"/>
        </w:rPr>
        <w:t>la</w:t>
      </w:r>
      <w:r>
        <w:rPr>
          <w:spacing w:val="-6"/>
          <w:w w:val="105"/>
          <w:sz w:val="15"/>
        </w:rPr>
        <w:t xml:space="preserve"> </w:t>
      </w:r>
      <w:r>
        <w:rPr>
          <w:w w:val="105"/>
          <w:sz w:val="15"/>
        </w:rPr>
        <w:t>inteligencia</w:t>
      </w:r>
      <w:r>
        <w:rPr>
          <w:spacing w:val="-6"/>
          <w:w w:val="105"/>
          <w:sz w:val="15"/>
        </w:rPr>
        <w:t xml:space="preserve"> </w:t>
      </w:r>
      <w:r>
        <w:rPr>
          <w:w w:val="105"/>
          <w:sz w:val="15"/>
        </w:rPr>
        <w:t>artificial</w:t>
      </w:r>
      <w:r>
        <w:rPr>
          <w:spacing w:val="-6"/>
          <w:w w:val="105"/>
          <w:sz w:val="15"/>
        </w:rPr>
        <w:t xml:space="preserve"> </w:t>
      </w:r>
      <w:r>
        <w:rPr>
          <w:w w:val="105"/>
          <w:sz w:val="15"/>
        </w:rPr>
        <w:t>y</w:t>
      </w:r>
      <w:r>
        <w:rPr>
          <w:spacing w:val="-6"/>
          <w:w w:val="105"/>
          <w:sz w:val="15"/>
        </w:rPr>
        <w:t xml:space="preserve"> </w:t>
      </w:r>
      <w:r>
        <w:rPr>
          <w:w w:val="105"/>
          <w:sz w:val="15"/>
        </w:rPr>
        <w:t>el</w:t>
      </w:r>
      <w:r>
        <w:rPr>
          <w:spacing w:val="-6"/>
          <w:w w:val="105"/>
          <w:sz w:val="15"/>
        </w:rPr>
        <w:t xml:space="preserve"> </w:t>
      </w:r>
      <w:r>
        <w:rPr>
          <w:w w:val="105"/>
          <w:sz w:val="15"/>
        </w:rPr>
        <w:t>aprendizaje</w:t>
      </w:r>
      <w:r>
        <w:rPr>
          <w:spacing w:val="-6"/>
          <w:w w:val="105"/>
          <w:sz w:val="15"/>
        </w:rPr>
        <w:t xml:space="preserve"> </w:t>
      </w:r>
      <w:r>
        <w:rPr>
          <w:w w:val="105"/>
          <w:sz w:val="15"/>
        </w:rPr>
        <w:t>automático,</w:t>
      </w:r>
      <w:r>
        <w:rPr>
          <w:spacing w:val="-5"/>
          <w:w w:val="105"/>
          <w:sz w:val="15"/>
        </w:rPr>
        <w:t xml:space="preserve"> </w:t>
      </w:r>
      <w:r>
        <w:rPr>
          <w:w w:val="105"/>
          <w:sz w:val="15"/>
        </w:rPr>
        <w:t>plantean</w:t>
      </w:r>
      <w:r>
        <w:rPr>
          <w:spacing w:val="-6"/>
          <w:w w:val="105"/>
          <w:sz w:val="15"/>
        </w:rPr>
        <w:t xml:space="preserve"> </w:t>
      </w:r>
      <w:r>
        <w:rPr>
          <w:w w:val="105"/>
          <w:sz w:val="15"/>
        </w:rPr>
        <w:t>nuevos</w:t>
      </w:r>
      <w:r>
        <w:rPr>
          <w:spacing w:val="-6"/>
          <w:w w:val="105"/>
          <w:sz w:val="15"/>
        </w:rPr>
        <w:t xml:space="preserve"> </w:t>
      </w:r>
      <w:r>
        <w:rPr>
          <w:w w:val="105"/>
          <w:sz w:val="15"/>
        </w:rPr>
        <w:t>riesgos</w:t>
      </w:r>
      <w:r>
        <w:rPr>
          <w:spacing w:val="-6"/>
          <w:w w:val="105"/>
          <w:sz w:val="15"/>
        </w:rPr>
        <w:t xml:space="preserve"> </w:t>
      </w:r>
      <w:r>
        <w:rPr>
          <w:w w:val="105"/>
          <w:sz w:val="15"/>
        </w:rPr>
        <w:t>y</w:t>
      </w:r>
      <w:r>
        <w:rPr>
          <w:spacing w:val="-6"/>
          <w:w w:val="105"/>
          <w:sz w:val="15"/>
        </w:rPr>
        <w:t xml:space="preserve"> </w:t>
      </w:r>
      <w:r>
        <w:rPr>
          <w:w w:val="105"/>
          <w:sz w:val="15"/>
        </w:rPr>
        <w:t>amenazas</w:t>
      </w:r>
      <w:r>
        <w:rPr>
          <w:spacing w:val="-6"/>
          <w:w w:val="105"/>
          <w:sz w:val="15"/>
        </w:rPr>
        <w:t xml:space="preserve"> </w:t>
      </w:r>
      <w:r>
        <w:rPr>
          <w:w w:val="105"/>
          <w:sz w:val="15"/>
        </w:rPr>
        <w:t>discriminatorias.</w:t>
      </w:r>
      <w:r>
        <w:rPr>
          <w:spacing w:val="-5"/>
          <w:w w:val="105"/>
          <w:sz w:val="15"/>
        </w:rPr>
        <w:t xml:space="preserve"> </w:t>
      </w:r>
      <w:r>
        <w:rPr>
          <w:w w:val="105"/>
          <w:sz w:val="15"/>
        </w:rPr>
        <w:t xml:space="preserve">Los </w:t>
      </w:r>
      <w:r>
        <w:rPr>
          <w:spacing w:val="-2"/>
          <w:w w:val="105"/>
          <w:sz w:val="15"/>
        </w:rPr>
        <w:t>impactos del cambio climático sobre los derechos humanos ya están afectando desproporcionadamente a las comunidades minoritarias</w:t>
      </w:r>
      <w:r>
        <w:rPr>
          <w:spacing w:val="40"/>
          <w:w w:val="105"/>
          <w:sz w:val="15"/>
        </w:rPr>
        <w:t xml:space="preserve"> </w:t>
      </w:r>
      <w:r>
        <w:rPr>
          <w:w w:val="105"/>
          <w:sz w:val="15"/>
        </w:rPr>
        <w:t>y</w:t>
      </w:r>
      <w:r>
        <w:rPr>
          <w:spacing w:val="-8"/>
          <w:w w:val="105"/>
          <w:sz w:val="15"/>
        </w:rPr>
        <w:t xml:space="preserve"> </w:t>
      </w:r>
      <w:r>
        <w:rPr>
          <w:w w:val="105"/>
          <w:sz w:val="15"/>
        </w:rPr>
        <w:t>otras</w:t>
      </w:r>
      <w:r>
        <w:rPr>
          <w:spacing w:val="-8"/>
          <w:w w:val="105"/>
          <w:sz w:val="15"/>
        </w:rPr>
        <w:t xml:space="preserve"> </w:t>
      </w:r>
      <w:r>
        <w:rPr>
          <w:w w:val="105"/>
          <w:sz w:val="15"/>
        </w:rPr>
        <w:t>personas</w:t>
      </w:r>
      <w:r>
        <w:rPr>
          <w:spacing w:val="-8"/>
          <w:w w:val="105"/>
          <w:sz w:val="15"/>
        </w:rPr>
        <w:t xml:space="preserve"> </w:t>
      </w:r>
      <w:r>
        <w:rPr>
          <w:w w:val="105"/>
          <w:sz w:val="15"/>
        </w:rPr>
        <w:t>y</w:t>
      </w:r>
      <w:r>
        <w:rPr>
          <w:spacing w:val="-8"/>
          <w:w w:val="105"/>
          <w:sz w:val="15"/>
        </w:rPr>
        <w:t xml:space="preserve"> </w:t>
      </w:r>
      <w:r>
        <w:rPr>
          <w:w w:val="105"/>
          <w:sz w:val="15"/>
        </w:rPr>
        <w:t>grupos</w:t>
      </w:r>
      <w:r>
        <w:rPr>
          <w:spacing w:val="-8"/>
          <w:w w:val="105"/>
          <w:sz w:val="15"/>
        </w:rPr>
        <w:t xml:space="preserve"> </w:t>
      </w:r>
      <w:r>
        <w:rPr>
          <w:w w:val="105"/>
          <w:sz w:val="15"/>
        </w:rPr>
        <w:t>marginados,</w:t>
      </w:r>
      <w:r>
        <w:rPr>
          <w:spacing w:val="-8"/>
          <w:w w:val="105"/>
          <w:sz w:val="15"/>
        </w:rPr>
        <w:t xml:space="preserve"> </w:t>
      </w:r>
      <w:r>
        <w:rPr>
          <w:w w:val="105"/>
          <w:sz w:val="15"/>
        </w:rPr>
        <w:t>como</w:t>
      </w:r>
      <w:r>
        <w:rPr>
          <w:spacing w:val="-8"/>
          <w:w w:val="105"/>
          <w:sz w:val="15"/>
        </w:rPr>
        <w:t xml:space="preserve"> </w:t>
      </w:r>
      <w:r>
        <w:rPr>
          <w:w w:val="105"/>
          <w:sz w:val="15"/>
        </w:rPr>
        <w:t>resultado</w:t>
      </w:r>
      <w:r>
        <w:rPr>
          <w:spacing w:val="-8"/>
          <w:w w:val="105"/>
          <w:sz w:val="15"/>
        </w:rPr>
        <w:t xml:space="preserve"> </w:t>
      </w:r>
      <w:r>
        <w:rPr>
          <w:w w:val="105"/>
          <w:sz w:val="15"/>
        </w:rPr>
        <w:t>tanto</w:t>
      </w:r>
      <w:r>
        <w:rPr>
          <w:spacing w:val="-8"/>
          <w:w w:val="105"/>
          <w:sz w:val="15"/>
        </w:rPr>
        <w:t xml:space="preserve"> </w:t>
      </w:r>
      <w:r>
        <w:rPr>
          <w:w w:val="105"/>
          <w:sz w:val="15"/>
        </w:rPr>
        <w:t>de</w:t>
      </w:r>
      <w:r>
        <w:rPr>
          <w:spacing w:val="-8"/>
          <w:w w:val="105"/>
          <w:sz w:val="15"/>
        </w:rPr>
        <w:t xml:space="preserve"> </w:t>
      </w:r>
      <w:r>
        <w:rPr>
          <w:w w:val="105"/>
          <w:sz w:val="15"/>
        </w:rPr>
        <w:t>desigualdades</w:t>
      </w:r>
      <w:r>
        <w:rPr>
          <w:spacing w:val="-9"/>
          <w:w w:val="105"/>
          <w:sz w:val="15"/>
        </w:rPr>
        <w:t xml:space="preserve"> </w:t>
      </w:r>
      <w:r>
        <w:rPr>
          <w:w w:val="105"/>
          <w:sz w:val="15"/>
        </w:rPr>
        <w:t>históricas</w:t>
      </w:r>
      <w:r>
        <w:rPr>
          <w:spacing w:val="-8"/>
          <w:w w:val="105"/>
          <w:sz w:val="15"/>
        </w:rPr>
        <w:t xml:space="preserve"> </w:t>
      </w:r>
      <w:r>
        <w:rPr>
          <w:w w:val="105"/>
          <w:sz w:val="15"/>
        </w:rPr>
        <w:t>como</w:t>
      </w:r>
      <w:r>
        <w:rPr>
          <w:spacing w:val="-8"/>
          <w:w w:val="105"/>
          <w:sz w:val="15"/>
        </w:rPr>
        <w:t xml:space="preserve"> </w:t>
      </w:r>
      <w:r>
        <w:rPr>
          <w:w w:val="105"/>
          <w:sz w:val="15"/>
        </w:rPr>
        <w:t>de</w:t>
      </w:r>
      <w:r>
        <w:rPr>
          <w:spacing w:val="-8"/>
          <w:w w:val="105"/>
          <w:sz w:val="15"/>
        </w:rPr>
        <w:t xml:space="preserve"> </w:t>
      </w:r>
      <w:r>
        <w:rPr>
          <w:w w:val="105"/>
          <w:sz w:val="15"/>
        </w:rPr>
        <w:t>políticas</w:t>
      </w:r>
      <w:r>
        <w:rPr>
          <w:spacing w:val="-9"/>
          <w:w w:val="105"/>
          <w:sz w:val="15"/>
        </w:rPr>
        <w:t xml:space="preserve"> </w:t>
      </w:r>
      <w:r>
        <w:rPr>
          <w:w w:val="105"/>
          <w:sz w:val="15"/>
        </w:rPr>
        <w:t>y</w:t>
      </w:r>
      <w:r>
        <w:rPr>
          <w:spacing w:val="-8"/>
          <w:w w:val="105"/>
          <w:sz w:val="15"/>
        </w:rPr>
        <w:t xml:space="preserve"> </w:t>
      </w:r>
      <w:r>
        <w:rPr>
          <w:w w:val="105"/>
          <w:sz w:val="15"/>
        </w:rPr>
        <w:t>prácticas</w:t>
      </w:r>
      <w:r>
        <w:rPr>
          <w:spacing w:val="-8"/>
          <w:w w:val="105"/>
          <w:sz w:val="15"/>
        </w:rPr>
        <w:t xml:space="preserve"> </w:t>
      </w:r>
      <w:r>
        <w:rPr>
          <w:w w:val="105"/>
          <w:sz w:val="15"/>
        </w:rPr>
        <w:t>discriminatorias contemporáneas.</w:t>
      </w:r>
      <w:r>
        <w:rPr>
          <w:spacing w:val="-2"/>
          <w:w w:val="105"/>
          <w:sz w:val="15"/>
        </w:rPr>
        <w:t xml:space="preserve"> </w:t>
      </w:r>
      <w:r>
        <w:rPr>
          <w:w w:val="105"/>
          <w:sz w:val="15"/>
        </w:rPr>
        <w:t>Es</w:t>
      </w:r>
      <w:r>
        <w:rPr>
          <w:spacing w:val="-3"/>
          <w:w w:val="105"/>
          <w:sz w:val="15"/>
        </w:rPr>
        <w:t xml:space="preserve"> </w:t>
      </w:r>
      <w:r>
        <w:rPr>
          <w:w w:val="105"/>
          <w:sz w:val="15"/>
        </w:rPr>
        <w:t>más,</w:t>
      </w:r>
      <w:r>
        <w:rPr>
          <w:spacing w:val="-3"/>
          <w:w w:val="105"/>
          <w:sz w:val="15"/>
        </w:rPr>
        <w:t xml:space="preserve"> </w:t>
      </w:r>
      <w:r>
        <w:rPr>
          <w:w w:val="105"/>
          <w:sz w:val="15"/>
        </w:rPr>
        <w:t>si</w:t>
      </w:r>
      <w:r>
        <w:rPr>
          <w:spacing w:val="-3"/>
          <w:w w:val="105"/>
          <w:sz w:val="15"/>
        </w:rPr>
        <w:t xml:space="preserve"> </w:t>
      </w:r>
      <w:r>
        <w:rPr>
          <w:w w:val="105"/>
          <w:sz w:val="15"/>
        </w:rPr>
        <w:t>bien</w:t>
      </w:r>
      <w:r>
        <w:rPr>
          <w:spacing w:val="-3"/>
          <w:w w:val="105"/>
          <w:sz w:val="15"/>
        </w:rPr>
        <w:t xml:space="preserve"> </w:t>
      </w:r>
      <w:r>
        <w:rPr>
          <w:w w:val="105"/>
          <w:sz w:val="15"/>
        </w:rPr>
        <w:t>algunos</w:t>
      </w:r>
      <w:r>
        <w:rPr>
          <w:spacing w:val="-3"/>
          <w:w w:val="105"/>
          <w:sz w:val="15"/>
        </w:rPr>
        <w:t xml:space="preserve"> </w:t>
      </w:r>
      <w:r>
        <w:rPr>
          <w:w w:val="105"/>
          <w:sz w:val="15"/>
        </w:rPr>
        <w:t>de</w:t>
      </w:r>
      <w:r>
        <w:rPr>
          <w:spacing w:val="-3"/>
          <w:w w:val="105"/>
          <w:sz w:val="15"/>
        </w:rPr>
        <w:t xml:space="preserve"> </w:t>
      </w:r>
      <w:r>
        <w:rPr>
          <w:w w:val="105"/>
          <w:sz w:val="15"/>
        </w:rPr>
        <w:t>los</w:t>
      </w:r>
      <w:r>
        <w:rPr>
          <w:spacing w:val="-3"/>
          <w:w w:val="105"/>
          <w:sz w:val="15"/>
        </w:rPr>
        <w:t xml:space="preserve"> </w:t>
      </w:r>
      <w:r>
        <w:rPr>
          <w:w w:val="105"/>
          <w:sz w:val="15"/>
        </w:rPr>
        <w:t>impactos</w:t>
      </w:r>
      <w:r>
        <w:rPr>
          <w:spacing w:val="-3"/>
          <w:w w:val="105"/>
          <w:sz w:val="15"/>
        </w:rPr>
        <w:t xml:space="preserve"> </w:t>
      </w:r>
      <w:r>
        <w:rPr>
          <w:w w:val="105"/>
          <w:sz w:val="15"/>
        </w:rPr>
        <w:t>discriminatorios</w:t>
      </w:r>
      <w:r>
        <w:rPr>
          <w:spacing w:val="-4"/>
          <w:w w:val="105"/>
          <w:sz w:val="15"/>
        </w:rPr>
        <w:t xml:space="preserve"> </w:t>
      </w:r>
      <w:r>
        <w:rPr>
          <w:w w:val="105"/>
          <w:sz w:val="15"/>
        </w:rPr>
        <w:t>de</w:t>
      </w:r>
      <w:r>
        <w:rPr>
          <w:spacing w:val="-3"/>
          <w:w w:val="105"/>
          <w:sz w:val="15"/>
        </w:rPr>
        <w:t xml:space="preserve"> </w:t>
      </w:r>
      <w:r>
        <w:rPr>
          <w:w w:val="105"/>
          <w:sz w:val="15"/>
        </w:rPr>
        <w:t>estas</w:t>
      </w:r>
      <w:r>
        <w:rPr>
          <w:spacing w:val="-3"/>
          <w:w w:val="105"/>
          <w:sz w:val="15"/>
        </w:rPr>
        <w:t xml:space="preserve"> </w:t>
      </w:r>
      <w:r>
        <w:rPr>
          <w:w w:val="105"/>
          <w:sz w:val="15"/>
        </w:rPr>
        <w:t>tendencias</w:t>
      </w:r>
      <w:r>
        <w:rPr>
          <w:spacing w:val="-4"/>
          <w:w w:val="105"/>
          <w:sz w:val="15"/>
        </w:rPr>
        <w:t xml:space="preserve"> </w:t>
      </w:r>
      <w:r>
        <w:rPr>
          <w:w w:val="105"/>
          <w:sz w:val="15"/>
        </w:rPr>
        <w:t>–y</w:t>
      </w:r>
      <w:r>
        <w:rPr>
          <w:spacing w:val="-3"/>
          <w:w w:val="105"/>
          <w:sz w:val="15"/>
        </w:rPr>
        <w:t xml:space="preserve"> </w:t>
      </w:r>
      <w:r>
        <w:rPr>
          <w:w w:val="105"/>
          <w:sz w:val="15"/>
        </w:rPr>
        <w:t>las</w:t>
      </w:r>
      <w:r>
        <w:rPr>
          <w:spacing w:val="-3"/>
          <w:w w:val="105"/>
          <w:sz w:val="15"/>
        </w:rPr>
        <w:t xml:space="preserve"> </w:t>
      </w:r>
      <w:r>
        <w:rPr>
          <w:w w:val="105"/>
          <w:sz w:val="15"/>
        </w:rPr>
        <w:t>respuestas</w:t>
      </w:r>
      <w:r>
        <w:rPr>
          <w:spacing w:val="-3"/>
          <w:w w:val="105"/>
          <w:sz w:val="15"/>
        </w:rPr>
        <w:t xml:space="preserve"> </w:t>
      </w:r>
      <w:r>
        <w:rPr>
          <w:w w:val="105"/>
          <w:sz w:val="15"/>
        </w:rPr>
        <w:t>de</w:t>
      </w:r>
      <w:r>
        <w:rPr>
          <w:spacing w:val="-3"/>
          <w:w w:val="105"/>
          <w:sz w:val="15"/>
        </w:rPr>
        <w:t xml:space="preserve"> </w:t>
      </w:r>
      <w:r>
        <w:rPr>
          <w:w w:val="105"/>
          <w:sz w:val="15"/>
        </w:rPr>
        <w:t>los</w:t>
      </w:r>
      <w:r>
        <w:rPr>
          <w:spacing w:val="-3"/>
          <w:w w:val="105"/>
          <w:sz w:val="15"/>
        </w:rPr>
        <w:t xml:space="preserve"> </w:t>
      </w:r>
      <w:r>
        <w:rPr>
          <w:w w:val="105"/>
          <w:sz w:val="15"/>
        </w:rPr>
        <w:t>Estados</w:t>
      </w:r>
      <w:r>
        <w:rPr>
          <w:spacing w:val="-4"/>
          <w:w w:val="105"/>
          <w:sz w:val="15"/>
        </w:rPr>
        <w:t xml:space="preserve"> </w:t>
      </w:r>
      <w:r>
        <w:rPr>
          <w:w w:val="105"/>
          <w:sz w:val="15"/>
        </w:rPr>
        <w:t>a ellas–</w:t>
      </w:r>
      <w:r>
        <w:rPr>
          <w:spacing w:val="-4"/>
          <w:w w:val="105"/>
          <w:sz w:val="15"/>
        </w:rPr>
        <w:t xml:space="preserve"> </w:t>
      </w:r>
      <w:r>
        <w:rPr>
          <w:w w:val="105"/>
          <w:sz w:val="15"/>
        </w:rPr>
        <w:t>ya</w:t>
      </w:r>
      <w:r>
        <w:rPr>
          <w:spacing w:val="-4"/>
          <w:w w:val="105"/>
          <w:sz w:val="15"/>
        </w:rPr>
        <w:t xml:space="preserve"> </w:t>
      </w:r>
      <w:r>
        <w:rPr>
          <w:w w:val="105"/>
          <w:sz w:val="15"/>
        </w:rPr>
        <w:t>son</w:t>
      </w:r>
      <w:r>
        <w:rPr>
          <w:spacing w:val="-4"/>
          <w:w w:val="105"/>
          <w:sz w:val="15"/>
        </w:rPr>
        <w:t xml:space="preserve"> </w:t>
      </w:r>
      <w:r>
        <w:rPr>
          <w:w w:val="105"/>
          <w:sz w:val="15"/>
        </w:rPr>
        <w:t>evidentes,</w:t>
      </w:r>
      <w:r>
        <w:rPr>
          <w:spacing w:val="-3"/>
          <w:w w:val="105"/>
          <w:sz w:val="15"/>
        </w:rPr>
        <w:t xml:space="preserve"> </w:t>
      </w:r>
      <w:r>
        <w:rPr>
          <w:w w:val="105"/>
          <w:sz w:val="15"/>
        </w:rPr>
        <w:t>aún</w:t>
      </w:r>
      <w:r>
        <w:rPr>
          <w:spacing w:val="-4"/>
          <w:w w:val="105"/>
          <w:sz w:val="15"/>
        </w:rPr>
        <w:t xml:space="preserve"> </w:t>
      </w:r>
      <w:r>
        <w:rPr>
          <w:w w:val="105"/>
          <w:sz w:val="15"/>
        </w:rPr>
        <w:t>está</w:t>
      </w:r>
      <w:r>
        <w:rPr>
          <w:spacing w:val="-4"/>
          <w:w w:val="105"/>
          <w:sz w:val="15"/>
        </w:rPr>
        <w:t xml:space="preserve"> </w:t>
      </w:r>
      <w:r>
        <w:rPr>
          <w:w w:val="105"/>
          <w:sz w:val="15"/>
        </w:rPr>
        <w:t>por</w:t>
      </w:r>
      <w:r>
        <w:rPr>
          <w:spacing w:val="-4"/>
          <w:w w:val="105"/>
          <w:sz w:val="15"/>
        </w:rPr>
        <w:t xml:space="preserve"> </w:t>
      </w:r>
      <w:r>
        <w:rPr>
          <w:w w:val="105"/>
          <w:sz w:val="15"/>
        </w:rPr>
        <w:t>verse</w:t>
      </w:r>
      <w:r>
        <w:rPr>
          <w:spacing w:val="-4"/>
          <w:w w:val="105"/>
          <w:sz w:val="15"/>
        </w:rPr>
        <w:t xml:space="preserve"> </w:t>
      </w:r>
      <w:r>
        <w:rPr>
          <w:w w:val="105"/>
          <w:sz w:val="15"/>
        </w:rPr>
        <w:t>toda</w:t>
      </w:r>
      <w:r>
        <w:rPr>
          <w:spacing w:val="-4"/>
          <w:w w:val="105"/>
          <w:sz w:val="15"/>
        </w:rPr>
        <w:t xml:space="preserve"> </w:t>
      </w:r>
      <w:r>
        <w:rPr>
          <w:w w:val="105"/>
          <w:sz w:val="15"/>
        </w:rPr>
        <w:t>la</w:t>
      </w:r>
      <w:r>
        <w:rPr>
          <w:spacing w:val="-4"/>
          <w:w w:val="105"/>
          <w:sz w:val="15"/>
        </w:rPr>
        <w:t xml:space="preserve"> </w:t>
      </w:r>
      <w:r>
        <w:rPr>
          <w:w w:val="105"/>
          <w:sz w:val="15"/>
        </w:rPr>
        <w:t>gama</w:t>
      </w:r>
      <w:r>
        <w:rPr>
          <w:spacing w:val="-4"/>
          <w:w w:val="105"/>
          <w:sz w:val="15"/>
        </w:rPr>
        <w:t xml:space="preserve"> </w:t>
      </w:r>
      <w:r>
        <w:rPr>
          <w:w w:val="105"/>
          <w:sz w:val="15"/>
        </w:rPr>
        <w:t>de</w:t>
      </w:r>
      <w:r>
        <w:rPr>
          <w:spacing w:val="-4"/>
          <w:w w:val="105"/>
          <w:sz w:val="15"/>
        </w:rPr>
        <w:t xml:space="preserve"> </w:t>
      </w:r>
      <w:r>
        <w:rPr>
          <w:w w:val="105"/>
          <w:sz w:val="15"/>
        </w:rPr>
        <w:t>impactos</w:t>
      </w:r>
      <w:r>
        <w:rPr>
          <w:spacing w:val="-4"/>
          <w:w w:val="105"/>
          <w:sz w:val="15"/>
        </w:rPr>
        <w:t xml:space="preserve"> </w:t>
      </w:r>
      <w:r>
        <w:rPr>
          <w:w w:val="105"/>
          <w:sz w:val="15"/>
        </w:rPr>
        <w:t>potencialmente</w:t>
      </w:r>
      <w:r>
        <w:rPr>
          <w:spacing w:val="-4"/>
          <w:w w:val="105"/>
          <w:sz w:val="15"/>
        </w:rPr>
        <w:t xml:space="preserve"> </w:t>
      </w:r>
      <w:r>
        <w:rPr>
          <w:w w:val="105"/>
          <w:sz w:val="15"/>
        </w:rPr>
        <w:t>discriminatorios.</w:t>
      </w:r>
    </w:p>
    <w:p w14:paraId="5A257318" w14:textId="77777777" w:rsidR="0014798C" w:rsidRDefault="0014798C">
      <w:pPr>
        <w:pStyle w:val="Textoindependiente"/>
        <w:rPr>
          <w:sz w:val="15"/>
        </w:rPr>
      </w:pPr>
    </w:p>
    <w:p w14:paraId="69BD508F" w14:textId="77777777" w:rsidR="0014798C" w:rsidRDefault="0014798C">
      <w:pPr>
        <w:pStyle w:val="Textoindependiente"/>
        <w:spacing w:before="72"/>
        <w:rPr>
          <w:sz w:val="15"/>
        </w:rPr>
      </w:pPr>
    </w:p>
    <w:p w14:paraId="1EC86CEC" w14:textId="77777777" w:rsidR="0014798C" w:rsidRDefault="004E1F0B">
      <w:pPr>
        <w:spacing w:before="1" w:line="348" w:lineRule="auto"/>
        <w:ind w:left="1107" w:right="1272" w:hanging="1"/>
        <w:rPr>
          <w:sz w:val="15"/>
        </w:rPr>
      </w:pPr>
      <w:r>
        <w:rPr>
          <w:w w:val="105"/>
          <w:sz w:val="15"/>
        </w:rPr>
        <w:t>Estos</w:t>
      </w:r>
      <w:r>
        <w:rPr>
          <w:spacing w:val="-4"/>
          <w:w w:val="105"/>
          <w:sz w:val="15"/>
        </w:rPr>
        <w:t xml:space="preserve"> </w:t>
      </w:r>
      <w:r>
        <w:rPr>
          <w:w w:val="105"/>
          <w:sz w:val="15"/>
        </w:rPr>
        <w:t>y</w:t>
      </w:r>
      <w:r>
        <w:rPr>
          <w:spacing w:val="-3"/>
          <w:w w:val="105"/>
          <w:sz w:val="15"/>
        </w:rPr>
        <w:t xml:space="preserve"> </w:t>
      </w:r>
      <w:r>
        <w:rPr>
          <w:w w:val="105"/>
          <w:sz w:val="15"/>
        </w:rPr>
        <w:t>otros</w:t>
      </w:r>
      <w:r>
        <w:rPr>
          <w:spacing w:val="-3"/>
          <w:w w:val="105"/>
          <w:sz w:val="15"/>
        </w:rPr>
        <w:t xml:space="preserve"> </w:t>
      </w:r>
      <w:r>
        <w:rPr>
          <w:w w:val="105"/>
          <w:sz w:val="15"/>
        </w:rPr>
        <w:t>acontecimientos</w:t>
      </w:r>
      <w:r>
        <w:rPr>
          <w:spacing w:val="-4"/>
          <w:w w:val="105"/>
          <w:sz w:val="15"/>
        </w:rPr>
        <w:t xml:space="preserve"> </w:t>
      </w:r>
      <w:r>
        <w:rPr>
          <w:w w:val="105"/>
          <w:sz w:val="15"/>
        </w:rPr>
        <w:t>dan</w:t>
      </w:r>
      <w:r>
        <w:rPr>
          <w:spacing w:val="-3"/>
          <w:w w:val="105"/>
          <w:sz w:val="15"/>
        </w:rPr>
        <w:t xml:space="preserve"> </w:t>
      </w:r>
      <w:r>
        <w:rPr>
          <w:w w:val="105"/>
          <w:sz w:val="15"/>
        </w:rPr>
        <w:t>nueva</w:t>
      </w:r>
      <w:r>
        <w:rPr>
          <w:spacing w:val="-3"/>
          <w:w w:val="105"/>
          <w:sz w:val="15"/>
        </w:rPr>
        <w:t xml:space="preserve"> </w:t>
      </w:r>
      <w:r>
        <w:rPr>
          <w:w w:val="105"/>
          <w:sz w:val="15"/>
        </w:rPr>
        <w:t>urgencia</w:t>
      </w:r>
      <w:r>
        <w:rPr>
          <w:spacing w:val="-3"/>
          <w:w w:val="105"/>
          <w:sz w:val="15"/>
        </w:rPr>
        <w:t xml:space="preserve"> </w:t>
      </w:r>
      <w:r>
        <w:rPr>
          <w:w w:val="105"/>
          <w:sz w:val="15"/>
        </w:rPr>
        <w:t>a</w:t>
      </w:r>
      <w:r>
        <w:rPr>
          <w:spacing w:val="-3"/>
          <w:w w:val="105"/>
          <w:sz w:val="15"/>
        </w:rPr>
        <w:t xml:space="preserve"> </w:t>
      </w:r>
      <w:r>
        <w:rPr>
          <w:w w:val="105"/>
          <w:sz w:val="15"/>
        </w:rPr>
        <w:t>los</w:t>
      </w:r>
      <w:r>
        <w:rPr>
          <w:spacing w:val="-3"/>
          <w:w w:val="105"/>
          <w:sz w:val="15"/>
        </w:rPr>
        <w:t xml:space="preserve"> </w:t>
      </w:r>
      <w:r>
        <w:rPr>
          <w:w w:val="105"/>
          <w:sz w:val="15"/>
        </w:rPr>
        <w:t>esfuerzos</w:t>
      </w:r>
      <w:r>
        <w:rPr>
          <w:spacing w:val="-3"/>
          <w:w w:val="105"/>
          <w:sz w:val="15"/>
        </w:rPr>
        <w:t xml:space="preserve"> </w:t>
      </w:r>
      <w:r>
        <w:rPr>
          <w:w w:val="105"/>
          <w:sz w:val="15"/>
        </w:rPr>
        <w:t>de</w:t>
      </w:r>
      <w:r>
        <w:rPr>
          <w:spacing w:val="-3"/>
          <w:w w:val="105"/>
          <w:sz w:val="15"/>
        </w:rPr>
        <w:t xml:space="preserve"> </w:t>
      </w:r>
      <w:r>
        <w:rPr>
          <w:w w:val="105"/>
          <w:sz w:val="15"/>
        </w:rPr>
        <w:t>décadas</w:t>
      </w:r>
      <w:r>
        <w:rPr>
          <w:spacing w:val="-3"/>
          <w:w w:val="105"/>
          <w:sz w:val="15"/>
        </w:rPr>
        <w:t xml:space="preserve"> </w:t>
      </w:r>
      <w:r>
        <w:rPr>
          <w:w w:val="105"/>
          <w:sz w:val="15"/>
        </w:rPr>
        <w:t>para</w:t>
      </w:r>
      <w:r>
        <w:rPr>
          <w:spacing w:val="-3"/>
          <w:w w:val="105"/>
          <w:sz w:val="15"/>
        </w:rPr>
        <w:t xml:space="preserve"> </w:t>
      </w:r>
      <w:r>
        <w:rPr>
          <w:w w:val="105"/>
          <w:sz w:val="15"/>
        </w:rPr>
        <w:t>proteger</w:t>
      </w:r>
      <w:r>
        <w:rPr>
          <w:spacing w:val="-3"/>
          <w:w w:val="105"/>
          <w:sz w:val="15"/>
        </w:rPr>
        <w:t xml:space="preserve"> </w:t>
      </w:r>
      <w:r>
        <w:rPr>
          <w:w w:val="105"/>
          <w:sz w:val="15"/>
        </w:rPr>
        <w:t>y</w:t>
      </w:r>
      <w:r>
        <w:rPr>
          <w:spacing w:val="-3"/>
          <w:w w:val="105"/>
          <w:sz w:val="15"/>
        </w:rPr>
        <w:t xml:space="preserve"> </w:t>
      </w:r>
      <w:r>
        <w:rPr>
          <w:w w:val="105"/>
          <w:sz w:val="15"/>
        </w:rPr>
        <w:t>hacer</w:t>
      </w:r>
      <w:r>
        <w:rPr>
          <w:spacing w:val="-3"/>
          <w:w w:val="105"/>
          <w:sz w:val="15"/>
        </w:rPr>
        <w:t xml:space="preserve"> </w:t>
      </w:r>
      <w:r>
        <w:rPr>
          <w:w w:val="105"/>
          <w:sz w:val="15"/>
        </w:rPr>
        <w:t>realidad</w:t>
      </w:r>
      <w:r>
        <w:rPr>
          <w:spacing w:val="-3"/>
          <w:w w:val="105"/>
          <w:sz w:val="15"/>
        </w:rPr>
        <w:t xml:space="preserve"> </w:t>
      </w:r>
      <w:r>
        <w:rPr>
          <w:w w:val="105"/>
          <w:sz w:val="15"/>
        </w:rPr>
        <w:t>el</w:t>
      </w:r>
      <w:r>
        <w:rPr>
          <w:spacing w:val="-3"/>
          <w:w w:val="105"/>
          <w:sz w:val="15"/>
        </w:rPr>
        <w:t xml:space="preserve"> </w:t>
      </w:r>
      <w:r>
        <w:rPr>
          <w:w w:val="105"/>
          <w:sz w:val="15"/>
        </w:rPr>
        <w:t>derecho</w:t>
      </w:r>
      <w:r>
        <w:rPr>
          <w:spacing w:val="-3"/>
          <w:w w:val="105"/>
          <w:sz w:val="15"/>
        </w:rPr>
        <w:t xml:space="preserve"> </w:t>
      </w:r>
      <w:r>
        <w:rPr>
          <w:w w:val="105"/>
          <w:sz w:val="15"/>
        </w:rPr>
        <w:t>a</w:t>
      </w:r>
      <w:r>
        <w:rPr>
          <w:spacing w:val="-3"/>
          <w:w w:val="105"/>
          <w:sz w:val="15"/>
        </w:rPr>
        <w:t xml:space="preserve"> </w:t>
      </w:r>
      <w:r>
        <w:rPr>
          <w:w w:val="105"/>
          <w:sz w:val="15"/>
        </w:rPr>
        <w:t>la</w:t>
      </w:r>
      <w:r>
        <w:rPr>
          <w:spacing w:val="-3"/>
          <w:w w:val="105"/>
          <w:sz w:val="15"/>
        </w:rPr>
        <w:t xml:space="preserve"> </w:t>
      </w:r>
      <w:r>
        <w:rPr>
          <w:w w:val="105"/>
          <w:sz w:val="15"/>
        </w:rPr>
        <w:t>no discriminación</w:t>
      </w:r>
      <w:r>
        <w:rPr>
          <w:spacing w:val="-11"/>
          <w:w w:val="105"/>
          <w:sz w:val="15"/>
        </w:rPr>
        <w:t xml:space="preserve"> </w:t>
      </w:r>
      <w:r>
        <w:rPr>
          <w:w w:val="105"/>
          <w:sz w:val="15"/>
        </w:rPr>
        <w:t>y</w:t>
      </w:r>
      <w:r>
        <w:rPr>
          <w:spacing w:val="-10"/>
          <w:w w:val="105"/>
          <w:sz w:val="15"/>
        </w:rPr>
        <w:t xml:space="preserve"> </w:t>
      </w:r>
      <w:r>
        <w:rPr>
          <w:w w:val="105"/>
          <w:sz w:val="15"/>
        </w:rPr>
        <w:t>demuestran</w:t>
      </w:r>
      <w:r>
        <w:rPr>
          <w:spacing w:val="-11"/>
          <w:w w:val="105"/>
          <w:sz w:val="15"/>
        </w:rPr>
        <w:t xml:space="preserve"> </w:t>
      </w:r>
      <w:r>
        <w:rPr>
          <w:w w:val="105"/>
          <w:sz w:val="15"/>
        </w:rPr>
        <w:t>la</w:t>
      </w:r>
      <w:r>
        <w:rPr>
          <w:spacing w:val="-10"/>
          <w:w w:val="105"/>
          <w:sz w:val="15"/>
        </w:rPr>
        <w:t xml:space="preserve"> </w:t>
      </w:r>
      <w:r>
        <w:rPr>
          <w:w w:val="105"/>
          <w:sz w:val="15"/>
        </w:rPr>
        <w:t>necesidad</w:t>
      </w:r>
      <w:r>
        <w:rPr>
          <w:spacing w:val="-11"/>
          <w:w w:val="105"/>
          <w:sz w:val="15"/>
        </w:rPr>
        <w:t xml:space="preserve"> </w:t>
      </w:r>
      <w:r>
        <w:rPr>
          <w:w w:val="105"/>
          <w:sz w:val="15"/>
        </w:rPr>
        <w:t>de</w:t>
      </w:r>
      <w:r>
        <w:rPr>
          <w:spacing w:val="-10"/>
          <w:w w:val="105"/>
          <w:sz w:val="15"/>
        </w:rPr>
        <w:t xml:space="preserve"> </w:t>
      </w:r>
      <w:r>
        <w:rPr>
          <w:w w:val="105"/>
          <w:sz w:val="15"/>
        </w:rPr>
        <w:t>que</w:t>
      </w:r>
      <w:r>
        <w:rPr>
          <w:spacing w:val="-11"/>
          <w:w w:val="105"/>
          <w:sz w:val="15"/>
        </w:rPr>
        <w:t xml:space="preserve"> </w:t>
      </w:r>
      <w:r>
        <w:rPr>
          <w:w w:val="105"/>
          <w:sz w:val="15"/>
        </w:rPr>
        <w:t>los</w:t>
      </w:r>
      <w:r>
        <w:rPr>
          <w:spacing w:val="-10"/>
          <w:w w:val="105"/>
          <w:sz w:val="15"/>
        </w:rPr>
        <w:t xml:space="preserve"> </w:t>
      </w:r>
      <w:r>
        <w:rPr>
          <w:w w:val="105"/>
          <w:sz w:val="15"/>
        </w:rPr>
        <w:t>Estados</w:t>
      </w:r>
      <w:r>
        <w:rPr>
          <w:spacing w:val="-11"/>
          <w:w w:val="105"/>
          <w:sz w:val="15"/>
        </w:rPr>
        <w:t xml:space="preserve"> </w:t>
      </w:r>
      <w:r>
        <w:rPr>
          <w:w w:val="105"/>
          <w:sz w:val="15"/>
        </w:rPr>
        <w:t>utilicen</w:t>
      </w:r>
      <w:r>
        <w:rPr>
          <w:spacing w:val="-10"/>
          <w:w w:val="105"/>
          <w:sz w:val="15"/>
        </w:rPr>
        <w:t xml:space="preserve"> </w:t>
      </w:r>
      <w:r>
        <w:rPr>
          <w:w w:val="105"/>
          <w:sz w:val="15"/>
        </w:rPr>
        <w:t>evaluaciones</w:t>
      </w:r>
      <w:r>
        <w:rPr>
          <w:spacing w:val="-11"/>
          <w:w w:val="105"/>
          <w:sz w:val="15"/>
        </w:rPr>
        <w:t xml:space="preserve"> </w:t>
      </w:r>
      <w:r>
        <w:rPr>
          <w:w w:val="105"/>
          <w:sz w:val="15"/>
        </w:rPr>
        <w:t>de</w:t>
      </w:r>
      <w:r>
        <w:rPr>
          <w:spacing w:val="-10"/>
          <w:w w:val="105"/>
          <w:sz w:val="15"/>
        </w:rPr>
        <w:t xml:space="preserve"> </w:t>
      </w:r>
      <w:r>
        <w:rPr>
          <w:w w:val="105"/>
          <w:sz w:val="15"/>
        </w:rPr>
        <w:t>impacto</w:t>
      </w:r>
      <w:r>
        <w:rPr>
          <w:spacing w:val="-11"/>
          <w:w w:val="105"/>
          <w:sz w:val="15"/>
        </w:rPr>
        <w:t xml:space="preserve"> </w:t>
      </w:r>
      <w:r>
        <w:rPr>
          <w:w w:val="105"/>
          <w:sz w:val="15"/>
        </w:rPr>
        <w:t>sobre</w:t>
      </w:r>
      <w:r>
        <w:rPr>
          <w:spacing w:val="-10"/>
          <w:w w:val="105"/>
          <w:sz w:val="15"/>
        </w:rPr>
        <w:t xml:space="preserve"> </w:t>
      </w:r>
      <w:r>
        <w:rPr>
          <w:w w:val="105"/>
          <w:sz w:val="15"/>
        </w:rPr>
        <w:t>la</w:t>
      </w:r>
      <w:r>
        <w:rPr>
          <w:spacing w:val="-11"/>
          <w:w w:val="105"/>
          <w:sz w:val="15"/>
        </w:rPr>
        <w:t xml:space="preserve"> </w:t>
      </w:r>
      <w:r>
        <w:rPr>
          <w:w w:val="105"/>
          <w:sz w:val="15"/>
        </w:rPr>
        <w:t>igualdad</w:t>
      </w:r>
      <w:r>
        <w:rPr>
          <w:spacing w:val="-10"/>
          <w:w w:val="105"/>
          <w:sz w:val="15"/>
        </w:rPr>
        <w:t xml:space="preserve"> </w:t>
      </w:r>
      <w:r>
        <w:rPr>
          <w:w w:val="105"/>
          <w:sz w:val="15"/>
        </w:rPr>
        <w:t>para</w:t>
      </w:r>
      <w:r>
        <w:rPr>
          <w:spacing w:val="-11"/>
          <w:w w:val="105"/>
          <w:sz w:val="15"/>
        </w:rPr>
        <w:t xml:space="preserve"> </w:t>
      </w:r>
      <w:r>
        <w:rPr>
          <w:w w:val="105"/>
          <w:sz w:val="15"/>
        </w:rPr>
        <w:t>identificar</w:t>
      </w:r>
      <w:r>
        <w:rPr>
          <w:spacing w:val="-11"/>
          <w:w w:val="105"/>
          <w:sz w:val="15"/>
        </w:rPr>
        <w:t xml:space="preserve"> </w:t>
      </w:r>
      <w:r>
        <w:rPr>
          <w:w w:val="105"/>
          <w:sz w:val="15"/>
        </w:rPr>
        <w:t>y eliminar</w:t>
      </w:r>
      <w:r>
        <w:rPr>
          <w:spacing w:val="-11"/>
          <w:w w:val="105"/>
          <w:sz w:val="15"/>
        </w:rPr>
        <w:t xml:space="preserve"> </w:t>
      </w:r>
      <w:r>
        <w:rPr>
          <w:w w:val="105"/>
          <w:sz w:val="15"/>
        </w:rPr>
        <w:t>los</w:t>
      </w:r>
      <w:r>
        <w:rPr>
          <w:spacing w:val="-11"/>
          <w:w w:val="105"/>
          <w:sz w:val="15"/>
        </w:rPr>
        <w:t xml:space="preserve"> </w:t>
      </w:r>
      <w:r>
        <w:rPr>
          <w:w w:val="105"/>
          <w:sz w:val="15"/>
        </w:rPr>
        <w:t>impactos</w:t>
      </w:r>
      <w:r>
        <w:rPr>
          <w:spacing w:val="-11"/>
          <w:w w:val="105"/>
          <w:sz w:val="15"/>
        </w:rPr>
        <w:t xml:space="preserve"> </w:t>
      </w:r>
      <w:r>
        <w:rPr>
          <w:w w:val="105"/>
          <w:sz w:val="15"/>
        </w:rPr>
        <w:t>discriminatorios</w:t>
      </w:r>
      <w:r>
        <w:rPr>
          <w:spacing w:val="-11"/>
          <w:w w:val="105"/>
          <w:sz w:val="15"/>
        </w:rPr>
        <w:t xml:space="preserve"> </w:t>
      </w:r>
      <w:r>
        <w:rPr>
          <w:w w:val="105"/>
          <w:sz w:val="15"/>
        </w:rPr>
        <w:t>de</w:t>
      </w:r>
      <w:r>
        <w:rPr>
          <w:spacing w:val="-11"/>
          <w:w w:val="105"/>
          <w:sz w:val="15"/>
        </w:rPr>
        <w:t xml:space="preserve"> </w:t>
      </w:r>
      <w:r>
        <w:rPr>
          <w:w w:val="105"/>
          <w:sz w:val="15"/>
        </w:rPr>
        <w:t>sus</w:t>
      </w:r>
      <w:r>
        <w:rPr>
          <w:spacing w:val="-11"/>
          <w:w w:val="105"/>
          <w:sz w:val="15"/>
        </w:rPr>
        <w:t xml:space="preserve"> </w:t>
      </w:r>
      <w:r>
        <w:rPr>
          <w:w w:val="105"/>
          <w:sz w:val="15"/>
        </w:rPr>
        <w:t>leyes,</w:t>
      </w:r>
      <w:r>
        <w:rPr>
          <w:spacing w:val="-11"/>
          <w:w w:val="105"/>
          <w:sz w:val="15"/>
        </w:rPr>
        <w:t xml:space="preserve"> </w:t>
      </w:r>
      <w:r>
        <w:rPr>
          <w:w w:val="105"/>
          <w:sz w:val="15"/>
        </w:rPr>
        <w:t>políticas</w:t>
      </w:r>
      <w:r>
        <w:rPr>
          <w:spacing w:val="-11"/>
          <w:w w:val="105"/>
          <w:sz w:val="15"/>
        </w:rPr>
        <w:t xml:space="preserve"> </w:t>
      </w:r>
      <w:r>
        <w:rPr>
          <w:w w:val="105"/>
          <w:sz w:val="15"/>
        </w:rPr>
        <w:t>y</w:t>
      </w:r>
      <w:r>
        <w:rPr>
          <w:spacing w:val="-11"/>
          <w:w w:val="105"/>
          <w:sz w:val="15"/>
        </w:rPr>
        <w:t xml:space="preserve"> </w:t>
      </w:r>
      <w:r>
        <w:rPr>
          <w:w w:val="105"/>
          <w:sz w:val="15"/>
        </w:rPr>
        <w:t>prácticas.</w:t>
      </w:r>
      <w:r>
        <w:rPr>
          <w:spacing w:val="-11"/>
          <w:w w:val="105"/>
          <w:sz w:val="15"/>
        </w:rPr>
        <w:t xml:space="preserve"> </w:t>
      </w:r>
      <w:proofErr w:type="spellStart"/>
      <w:r>
        <w:rPr>
          <w:w w:val="105"/>
          <w:sz w:val="15"/>
        </w:rPr>
        <w:t>Reforzan</w:t>
      </w:r>
      <w:proofErr w:type="spellEnd"/>
      <w:r>
        <w:rPr>
          <w:spacing w:val="-11"/>
          <w:w w:val="105"/>
          <w:sz w:val="15"/>
        </w:rPr>
        <w:t xml:space="preserve"> </w:t>
      </w:r>
      <w:r>
        <w:rPr>
          <w:w w:val="105"/>
          <w:sz w:val="15"/>
        </w:rPr>
        <w:t>la</w:t>
      </w:r>
      <w:r>
        <w:rPr>
          <w:spacing w:val="-11"/>
          <w:w w:val="105"/>
          <w:sz w:val="15"/>
        </w:rPr>
        <w:t xml:space="preserve"> </w:t>
      </w:r>
      <w:r>
        <w:rPr>
          <w:w w:val="105"/>
          <w:sz w:val="15"/>
        </w:rPr>
        <w:t>necesidad</w:t>
      </w:r>
      <w:r>
        <w:rPr>
          <w:spacing w:val="-11"/>
          <w:w w:val="105"/>
          <w:sz w:val="15"/>
        </w:rPr>
        <w:t xml:space="preserve"> </w:t>
      </w:r>
      <w:r>
        <w:rPr>
          <w:w w:val="105"/>
          <w:sz w:val="15"/>
        </w:rPr>
        <w:t>de</w:t>
      </w:r>
      <w:r>
        <w:rPr>
          <w:spacing w:val="-11"/>
          <w:w w:val="105"/>
          <w:sz w:val="15"/>
        </w:rPr>
        <w:t xml:space="preserve"> </w:t>
      </w:r>
      <w:r>
        <w:rPr>
          <w:w w:val="105"/>
          <w:sz w:val="15"/>
        </w:rPr>
        <w:t>promulgar</w:t>
      </w:r>
      <w:r>
        <w:rPr>
          <w:spacing w:val="-11"/>
          <w:w w:val="105"/>
          <w:sz w:val="15"/>
        </w:rPr>
        <w:t xml:space="preserve"> </w:t>
      </w:r>
      <w:r>
        <w:rPr>
          <w:w w:val="105"/>
          <w:sz w:val="15"/>
        </w:rPr>
        <w:t>e</w:t>
      </w:r>
      <w:r>
        <w:rPr>
          <w:spacing w:val="-11"/>
          <w:w w:val="105"/>
          <w:sz w:val="15"/>
        </w:rPr>
        <w:t xml:space="preserve"> </w:t>
      </w:r>
      <w:r>
        <w:rPr>
          <w:w w:val="105"/>
          <w:sz w:val="15"/>
        </w:rPr>
        <w:t>implementar</w:t>
      </w:r>
      <w:r>
        <w:rPr>
          <w:spacing w:val="-10"/>
          <w:w w:val="105"/>
          <w:sz w:val="15"/>
        </w:rPr>
        <w:t xml:space="preserve"> </w:t>
      </w:r>
      <w:r>
        <w:rPr>
          <w:w w:val="105"/>
          <w:sz w:val="15"/>
        </w:rPr>
        <w:t>leyes integrales contra la discriminación.</w:t>
      </w:r>
    </w:p>
    <w:p w14:paraId="0A074D97" w14:textId="77777777" w:rsidR="0014798C" w:rsidRDefault="004E1F0B">
      <w:pPr>
        <w:spacing w:before="168" w:line="348" w:lineRule="auto"/>
        <w:ind w:left="1109" w:right="1335" w:hanging="4"/>
        <w:rPr>
          <w:sz w:val="15"/>
        </w:rPr>
      </w:pPr>
      <w:r>
        <w:rPr>
          <w:w w:val="105"/>
          <w:sz w:val="15"/>
        </w:rPr>
        <w:t>En</w:t>
      </w:r>
      <w:r>
        <w:rPr>
          <w:spacing w:val="-11"/>
          <w:w w:val="105"/>
          <w:sz w:val="15"/>
        </w:rPr>
        <w:t xml:space="preserve"> </w:t>
      </w:r>
      <w:r>
        <w:rPr>
          <w:w w:val="105"/>
          <w:sz w:val="15"/>
        </w:rPr>
        <w:t>última</w:t>
      </w:r>
      <w:r>
        <w:rPr>
          <w:spacing w:val="-11"/>
          <w:w w:val="105"/>
          <w:sz w:val="15"/>
        </w:rPr>
        <w:t xml:space="preserve"> </w:t>
      </w:r>
      <w:r>
        <w:rPr>
          <w:w w:val="105"/>
          <w:sz w:val="15"/>
        </w:rPr>
        <w:t>instancia,</w:t>
      </w:r>
      <w:r>
        <w:rPr>
          <w:spacing w:val="-10"/>
          <w:w w:val="105"/>
          <w:sz w:val="15"/>
        </w:rPr>
        <w:t xml:space="preserve"> </w:t>
      </w:r>
      <w:r>
        <w:rPr>
          <w:w w:val="105"/>
          <w:sz w:val="15"/>
        </w:rPr>
        <w:t>si</w:t>
      </w:r>
      <w:r>
        <w:rPr>
          <w:spacing w:val="-11"/>
          <w:w w:val="105"/>
          <w:sz w:val="15"/>
        </w:rPr>
        <w:t xml:space="preserve"> </w:t>
      </w:r>
      <w:r>
        <w:rPr>
          <w:w w:val="105"/>
          <w:sz w:val="15"/>
        </w:rPr>
        <w:t>bien</w:t>
      </w:r>
      <w:r>
        <w:rPr>
          <w:spacing w:val="-11"/>
          <w:w w:val="105"/>
          <w:sz w:val="15"/>
        </w:rPr>
        <w:t xml:space="preserve"> </w:t>
      </w:r>
      <w:r>
        <w:rPr>
          <w:w w:val="105"/>
          <w:sz w:val="15"/>
        </w:rPr>
        <w:t>la</w:t>
      </w:r>
      <w:r>
        <w:rPr>
          <w:spacing w:val="-10"/>
          <w:w w:val="105"/>
          <w:sz w:val="15"/>
        </w:rPr>
        <w:t xml:space="preserve"> </w:t>
      </w:r>
      <w:r>
        <w:rPr>
          <w:w w:val="105"/>
          <w:sz w:val="15"/>
        </w:rPr>
        <w:t>desigualdad</w:t>
      </w:r>
      <w:r>
        <w:rPr>
          <w:spacing w:val="-11"/>
          <w:w w:val="105"/>
          <w:sz w:val="15"/>
        </w:rPr>
        <w:t xml:space="preserve"> </w:t>
      </w:r>
      <w:r>
        <w:rPr>
          <w:w w:val="105"/>
          <w:sz w:val="15"/>
        </w:rPr>
        <w:t>se</w:t>
      </w:r>
      <w:r>
        <w:rPr>
          <w:spacing w:val="-11"/>
          <w:w w:val="105"/>
          <w:sz w:val="15"/>
        </w:rPr>
        <w:t xml:space="preserve"> </w:t>
      </w:r>
      <w:r>
        <w:rPr>
          <w:w w:val="105"/>
          <w:sz w:val="15"/>
        </w:rPr>
        <w:t>manifiesta</w:t>
      </w:r>
      <w:r>
        <w:rPr>
          <w:spacing w:val="-11"/>
          <w:w w:val="105"/>
          <w:sz w:val="15"/>
        </w:rPr>
        <w:t xml:space="preserve"> </w:t>
      </w:r>
      <w:r>
        <w:rPr>
          <w:w w:val="105"/>
          <w:sz w:val="15"/>
        </w:rPr>
        <w:t>de</w:t>
      </w:r>
      <w:r>
        <w:rPr>
          <w:spacing w:val="-10"/>
          <w:w w:val="105"/>
          <w:sz w:val="15"/>
        </w:rPr>
        <w:t xml:space="preserve"> </w:t>
      </w:r>
      <w:r>
        <w:rPr>
          <w:w w:val="105"/>
          <w:sz w:val="15"/>
        </w:rPr>
        <w:t>diferentes</w:t>
      </w:r>
      <w:r>
        <w:rPr>
          <w:spacing w:val="-11"/>
          <w:w w:val="105"/>
          <w:sz w:val="15"/>
        </w:rPr>
        <w:t xml:space="preserve"> </w:t>
      </w:r>
      <w:r>
        <w:rPr>
          <w:w w:val="105"/>
          <w:sz w:val="15"/>
        </w:rPr>
        <w:t>maneras</w:t>
      </w:r>
      <w:r>
        <w:rPr>
          <w:spacing w:val="-11"/>
          <w:w w:val="105"/>
          <w:sz w:val="15"/>
        </w:rPr>
        <w:t xml:space="preserve"> </w:t>
      </w:r>
      <w:r>
        <w:rPr>
          <w:w w:val="105"/>
          <w:sz w:val="15"/>
        </w:rPr>
        <w:t>y</w:t>
      </w:r>
      <w:r>
        <w:rPr>
          <w:spacing w:val="-11"/>
          <w:w w:val="105"/>
          <w:sz w:val="15"/>
        </w:rPr>
        <w:t xml:space="preserve"> </w:t>
      </w:r>
      <w:r>
        <w:rPr>
          <w:w w:val="105"/>
          <w:sz w:val="15"/>
        </w:rPr>
        <w:t>surge</w:t>
      </w:r>
      <w:r>
        <w:rPr>
          <w:spacing w:val="-11"/>
          <w:w w:val="105"/>
          <w:sz w:val="15"/>
        </w:rPr>
        <w:t xml:space="preserve"> </w:t>
      </w:r>
      <w:r>
        <w:rPr>
          <w:w w:val="105"/>
          <w:sz w:val="15"/>
        </w:rPr>
        <w:t>como</w:t>
      </w:r>
      <w:r>
        <w:rPr>
          <w:spacing w:val="-10"/>
          <w:w w:val="105"/>
          <w:sz w:val="15"/>
        </w:rPr>
        <w:t xml:space="preserve"> </w:t>
      </w:r>
      <w:r>
        <w:rPr>
          <w:w w:val="105"/>
          <w:sz w:val="15"/>
        </w:rPr>
        <w:t>resultado</w:t>
      </w:r>
      <w:r>
        <w:rPr>
          <w:spacing w:val="-11"/>
          <w:w w:val="105"/>
          <w:sz w:val="15"/>
        </w:rPr>
        <w:t xml:space="preserve"> </w:t>
      </w:r>
      <w:r>
        <w:rPr>
          <w:w w:val="105"/>
          <w:sz w:val="15"/>
        </w:rPr>
        <w:t>de</w:t>
      </w:r>
      <w:r>
        <w:rPr>
          <w:spacing w:val="-11"/>
          <w:w w:val="105"/>
          <w:sz w:val="15"/>
        </w:rPr>
        <w:t xml:space="preserve"> </w:t>
      </w:r>
      <w:r>
        <w:rPr>
          <w:w w:val="105"/>
          <w:sz w:val="15"/>
        </w:rPr>
        <w:t>diferentes</w:t>
      </w:r>
      <w:r>
        <w:rPr>
          <w:spacing w:val="-11"/>
          <w:w w:val="105"/>
          <w:sz w:val="15"/>
        </w:rPr>
        <w:t xml:space="preserve"> </w:t>
      </w:r>
      <w:r>
        <w:rPr>
          <w:w w:val="105"/>
          <w:sz w:val="15"/>
        </w:rPr>
        <w:t>fuerzas</w:t>
      </w:r>
      <w:r>
        <w:rPr>
          <w:spacing w:val="-11"/>
          <w:w w:val="105"/>
          <w:sz w:val="15"/>
        </w:rPr>
        <w:t xml:space="preserve"> </w:t>
      </w:r>
      <w:r>
        <w:rPr>
          <w:w w:val="105"/>
          <w:sz w:val="15"/>
        </w:rPr>
        <w:t>sociales, económicas</w:t>
      </w:r>
      <w:r>
        <w:rPr>
          <w:spacing w:val="-6"/>
          <w:w w:val="105"/>
          <w:sz w:val="15"/>
        </w:rPr>
        <w:t xml:space="preserve"> </w:t>
      </w:r>
      <w:r>
        <w:rPr>
          <w:w w:val="105"/>
          <w:sz w:val="15"/>
        </w:rPr>
        <w:t>y</w:t>
      </w:r>
      <w:r>
        <w:rPr>
          <w:spacing w:val="-6"/>
          <w:w w:val="105"/>
          <w:sz w:val="15"/>
        </w:rPr>
        <w:t xml:space="preserve"> </w:t>
      </w:r>
      <w:r>
        <w:rPr>
          <w:w w:val="105"/>
          <w:sz w:val="15"/>
        </w:rPr>
        <w:t>políticas,</w:t>
      </w:r>
      <w:r>
        <w:rPr>
          <w:spacing w:val="-6"/>
          <w:w w:val="105"/>
          <w:sz w:val="15"/>
        </w:rPr>
        <w:t xml:space="preserve"> </w:t>
      </w:r>
      <w:r>
        <w:rPr>
          <w:w w:val="105"/>
          <w:sz w:val="15"/>
        </w:rPr>
        <w:t>cualquier</w:t>
      </w:r>
      <w:r>
        <w:rPr>
          <w:spacing w:val="-6"/>
          <w:w w:val="105"/>
          <w:sz w:val="15"/>
        </w:rPr>
        <w:t xml:space="preserve"> </w:t>
      </w:r>
      <w:r>
        <w:rPr>
          <w:w w:val="105"/>
          <w:sz w:val="15"/>
        </w:rPr>
        <w:t>esfuerzo</w:t>
      </w:r>
      <w:r>
        <w:rPr>
          <w:spacing w:val="-6"/>
          <w:w w:val="105"/>
          <w:sz w:val="15"/>
        </w:rPr>
        <w:t xml:space="preserve"> </w:t>
      </w:r>
      <w:r>
        <w:rPr>
          <w:w w:val="105"/>
          <w:sz w:val="15"/>
        </w:rPr>
        <w:t>para</w:t>
      </w:r>
      <w:r>
        <w:rPr>
          <w:spacing w:val="-6"/>
          <w:w w:val="105"/>
          <w:sz w:val="15"/>
        </w:rPr>
        <w:t xml:space="preserve"> </w:t>
      </w:r>
      <w:r>
        <w:rPr>
          <w:w w:val="105"/>
          <w:sz w:val="15"/>
        </w:rPr>
        <w:t>abordar</w:t>
      </w:r>
      <w:r>
        <w:rPr>
          <w:spacing w:val="-6"/>
          <w:w w:val="105"/>
          <w:sz w:val="15"/>
        </w:rPr>
        <w:t xml:space="preserve"> </w:t>
      </w:r>
      <w:r>
        <w:rPr>
          <w:w w:val="105"/>
          <w:sz w:val="15"/>
        </w:rPr>
        <w:t>la</w:t>
      </w:r>
      <w:r>
        <w:rPr>
          <w:spacing w:val="-6"/>
          <w:w w:val="105"/>
          <w:sz w:val="15"/>
        </w:rPr>
        <w:t xml:space="preserve"> </w:t>
      </w:r>
      <w:r>
        <w:rPr>
          <w:w w:val="105"/>
          <w:sz w:val="15"/>
        </w:rPr>
        <w:t>desigualdad</w:t>
      </w:r>
      <w:r>
        <w:rPr>
          <w:spacing w:val="-6"/>
          <w:w w:val="105"/>
          <w:sz w:val="15"/>
        </w:rPr>
        <w:t xml:space="preserve"> </w:t>
      </w:r>
      <w:r>
        <w:rPr>
          <w:w w:val="105"/>
          <w:sz w:val="15"/>
        </w:rPr>
        <w:t>requiere</w:t>
      </w:r>
      <w:r>
        <w:rPr>
          <w:spacing w:val="-6"/>
          <w:w w:val="105"/>
          <w:sz w:val="15"/>
        </w:rPr>
        <w:t xml:space="preserve"> </w:t>
      </w:r>
      <w:r>
        <w:rPr>
          <w:w w:val="105"/>
          <w:sz w:val="15"/>
        </w:rPr>
        <w:t>la</w:t>
      </w:r>
      <w:r>
        <w:rPr>
          <w:spacing w:val="-6"/>
          <w:w w:val="105"/>
          <w:sz w:val="15"/>
        </w:rPr>
        <w:t xml:space="preserve"> </w:t>
      </w:r>
      <w:r>
        <w:rPr>
          <w:w w:val="105"/>
          <w:sz w:val="15"/>
        </w:rPr>
        <w:t>eliminación</w:t>
      </w:r>
      <w:r>
        <w:rPr>
          <w:spacing w:val="-6"/>
          <w:w w:val="105"/>
          <w:sz w:val="15"/>
        </w:rPr>
        <w:t xml:space="preserve"> </w:t>
      </w:r>
      <w:r>
        <w:rPr>
          <w:w w:val="105"/>
          <w:sz w:val="15"/>
        </w:rPr>
        <w:t>de</w:t>
      </w:r>
      <w:r>
        <w:rPr>
          <w:spacing w:val="-6"/>
          <w:w w:val="105"/>
          <w:sz w:val="15"/>
        </w:rPr>
        <w:t xml:space="preserve"> </w:t>
      </w:r>
      <w:r>
        <w:rPr>
          <w:w w:val="105"/>
          <w:sz w:val="15"/>
        </w:rPr>
        <w:t>la</w:t>
      </w:r>
      <w:r>
        <w:rPr>
          <w:spacing w:val="-6"/>
          <w:w w:val="105"/>
          <w:sz w:val="15"/>
        </w:rPr>
        <w:t xml:space="preserve"> </w:t>
      </w:r>
      <w:r>
        <w:rPr>
          <w:w w:val="105"/>
          <w:sz w:val="15"/>
        </w:rPr>
        <w:t>discriminación.</w:t>
      </w:r>
      <w:r>
        <w:rPr>
          <w:spacing w:val="-5"/>
          <w:w w:val="105"/>
          <w:sz w:val="15"/>
        </w:rPr>
        <w:t xml:space="preserve"> </w:t>
      </w:r>
      <w:r>
        <w:rPr>
          <w:w w:val="105"/>
          <w:sz w:val="15"/>
        </w:rPr>
        <w:t>Las</w:t>
      </w:r>
      <w:r>
        <w:rPr>
          <w:spacing w:val="-6"/>
          <w:w w:val="105"/>
          <w:sz w:val="15"/>
        </w:rPr>
        <w:t xml:space="preserve"> </w:t>
      </w:r>
      <w:r>
        <w:rPr>
          <w:w w:val="105"/>
          <w:sz w:val="15"/>
        </w:rPr>
        <w:t>sociedades que</w:t>
      </w:r>
      <w:r>
        <w:rPr>
          <w:spacing w:val="-11"/>
          <w:w w:val="105"/>
          <w:sz w:val="15"/>
        </w:rPr>
        <w:t xml:space="preserve"> </w:t>
      </w:r>
      <w:r>
        <w:rPr>
          <w:w w:val="105"/>
          <w:sz w:val="15"/>
        </w:rPr>
        <w:t>no</w:t>
      </w:r>
      <w:r>
        <w:rPr>
          <w:spacing w:val="-11"/>
          <w:w w:val="105"/>
          <w:sz w:val="15"/>
        </w:rPr>
        <w:t xml:space="preserve"> </w:t>
      </w:r>
      <w:r>
        <w:rPr>
          <w:w w:val="105"/>
          <w:sz w:val="15"/>
        </w:rPr>
        <w:t>abordan</w:t>
      </w:r>
      <w:r>
        <w:rPr>
          <w:spacing w:val="-10"/>
          <w:w w:val="105"/>
          <w:sz w:val="15"/>
        </w:rPr>
        <w:t xml:space="preserve"> </w:t>
      </w:r>
      <w:r>
        <w:rPr>
          <w:w w:val="105"/>
          <w:sz w:val="15"/>
        </w:rPr>
        <w:t>la</w:t>
      </w:r>
      <w:r>
        <w:rPr>
          <w:spacing w:val="-11"/>
          <w:w w:val="105"/>
          <w:sz w:val="15"/>
        </w:rPr>
        <w:t xml:space="preserve"> </w:t>
      </w:r>
      <w:r>
        <w:rPr>
          <w:w w:val="105"/>
          <w:sz w:val="15"/>
        </w:rPr>
        <w:t>discriminación</w:t>
      </w:r>
      <w:r>
        <w:rPr>
          <w:spacing w:val="-11"/>
          <w:w w:val="105"/>
          <w:sz w:val="15"/>
        </w:rPr>
        <w:t xml:space="preserve"> </w:t>
      </w:r>
      <w:r>
        <w:rPr>
          <w:w w:val="105"/>
          <w:sz w:val="15"/>
        </w:rPr>
        <w:t>–de</w:t>
      </w:r>
      <w:r>
        <w:rPr>
          <w:spacing w:val="-10"/>
          <w:w w:val="105"/>
          <w:sz w:val="15"/>
        </w:rPr>
        <w:t xml:space="preserve"> </w:t>
      </w:r>
      <w:r>
        <w:rPr>
          <w:w w:val="105"/>
          <w:sz w:val="15"/>
        </w:rPr>
        <w:t>manera</w:t>
      </w:r>
      <w:r>
        <w:rPr>
          <w:spacing w:val="-11"/>
          <w:w w:val="105"/>
          <w:sz w:val="15"/>
        </w:rPr>
        <w:t xml:space="preserve"> </w:t>
      </w:r>
      <w:r>
        <w:rPr>
          <w:w w:val="105"/>
          <w:sz w:val="15"/>
        </w:rPr>
        <w:t>efectiva</w:t>
      </w:r>
      <w:r>
        <w:rPr>
          <w:spacing w:val="-11"/>
          <w:w w:val="105"/>
          <w:sz w:val="15"/>
        </w:rPr>
        <w:t xml:space="preserve"> </w:t>
      </w:r>
      <w:r>
        <w:rPr>
          <w:w w:val="105"/>
          <w:sz w:val="15"/>
        </w:rPr>
        <w:t>y</w:t>
      </w:r>
      <w:r>
        <w:rPr>
          <w:spacing w:val="-10"/>
          <w:w w:val="105"/>
          <w:sz w:val="15"/>
        </w:rPr>
        <w:t xml:space="preserve"> </w:t>
      </w:r>
      <w:r>
        <w:rPr>
          <w:w w:val="105"/>
          <w:sz w:val="15"/>
        </w:rPr>
        <w:t>exhaustiva–</w:t>
      </w:r>
      <w:r>
        <w:rPr>
          <w:spacing w:val="-11"/>
          <w:w w:val="105"/>
          <w:sz w:val="15"/>
        </w:rPr>
        <w:t xml:space="preserve"> </w:t>
      </w:r>
      <w:r>
        <w:rPr>
          <w:w w:val="105"/>
          <w:sz w:val="15"/>
        </w:rPr>
        <w:t>nunca</w:t>
      </w:r>
      <w:r>
        <w:rPr>
          <w:spacing w:val="-11"/>
          <w:w w:val="105"/>
          <w:sz w:val="15"/>
        </w:rPr>
        <w:t xml:space="preserve"> </w:t>
      </w:r>
      <w:r>
        <w:rPr>
          <w:w w:val="105"/>
          <w:sz w:val="15"/>
        </w:rPr>
        <w:t>serán</w:t>
      </w:r>
      <w:r>
        <w:rPr>
          <w:spacing w:val="-10"/>
          <w:w w:val="105"/>
          <w:sz w:val="15"/>
        </w:rPr>
        <w:t xml:space="preserve"> </w:t>
      </w:r>
      <w:r>
        <w:rPr>
          <w:w w:val="105"/>
          <w:sz w:val="15"/>
        </w:rPr>
        <w:t>iguales</w:t>
      </w:r>
      <w:r>
        <w:rPr>
          <w:spacing w:val="-11"/>
          <w:w w:val="105"/>
          <w:sz w:val="15"/>
        </w:rPr>
        <w:t xml:space="preserve"> </w:t>
      </w:r>
      <w:r>
        <w:rPr>
          <w:w w:val="105"/>
          <w:sz w:val="15"/>
        </w:rPr>
        <w:t>y,</w:t>
      </w:r>
      <w:r>
        <w:rPr>
          <w:spacing w:val="-11"/>
          <w:w w:val="105"/>
          <w:sz w:val="15"/>
        </w:rPr>
        <w:t xml:space="preserve"> </w:t>
      </w:r>
      <w:r>
        <w:rPr>
          <w:w w:val="105"/>
          <w:sz w:val="15"/>
        </w:rPr>
        <w:t>por</w:t>
      </w:r>
      <w:r>
        <w:rPr>
          <w:spacing w:val="-10"/>
          <w:w w:val="105"/>
          <w:sz w:val="15"/>
        </w:rPr>
        <w:t xml:space="preserve"> </w:t>
      </w:r>
      <w:r>
        <w:rPr>
          <w:w w:val="105"/>
          <w:sz w:val="15"/>
        </w:rPr>
        <w:t>lo</w:t>
      </w:r>
      <w:r>
        <w:rPr>
          <w:spacing w:val="-11"/>
          <w:w w:val="105"/>
          <w:sz w:val="15"/>
        </w:rPr>
        <w:t xml:space="preserve"> </w:t>
      </w:r>
      <w:r>
        <w:rPr>
          <w:w w:val="105"/>
          <w:sz w:val="15"/>
        </w:rPr>
        <w:t>tanto,</w:t>
      </w:r>
      <w:r>
        <w:rPr>
          <w:spacing w:val="-11"/>
          <w:w w:val="105"/>
          <w:sz w:val="15"/>
        </w:rPr>
        <w:t xml:space="preserve"> </w:t>
      </w:r>
      <w:r>
        <w:rPr>
          <w:w w:val="105"/>
          <w:sz w:val="15"/>
        </w:rPr>
        <w:t>seguirán</w:t>
      </w:r>
      <w:r>
        <w:rPr>
          <w:spacing w:val="-10"/>
          <w:w w:val="105"/>
          <w:sz w:val="15"/>
        </w:rPr>
        <w:t xml:space="preserve"> </w:t>
      </w:r>
      <w:r>
        <w:rPr>
          <w:w w:val="105"/>
          <w:sz w:val="15"/>
        </w:rPr>
        <w:t>experimentando</w:t>
      </w:r>
      <w:r>
        <w:rPr>
          <w:spacing w:val="-11"/>
          <w:w w:val="105"/>
          <w:sz w:val="15"/>
        </w:rPr>
        <w:t xml:space="preserve"> </w:t>
      </w:r>
      <w:r>
        <w:rPr>
          <w:w w:val="105"/>
          <w:sz w:val="15"/>
        </w:rPr>
        <w:t>los daños</w:t>
      </w:r>
      <w:r>
        <w:rPr>
          <w:spacing w:val="-4"/>
          <w:w w:val="105"/>
          <w:sz w:val="15"/>
        </w:rPr>
        <w:t xml:space="preserve"> </w:t>
      </w:r>
      <w:r>
        <w:rPr>
          <w:w w:val="105"/>
          <w:sz w:val="15"/>
        </w:rPr>
        <w:t>individuales</w:t>
      </w:r>
      <w:r>
        <w:rPr>
          <w:spacing w:val="-4"/>
          <w:w w:val="105"/>
          <w:sz w:val="15"/>
        </w:rPr>
        <w:t xml:space="preserve"> </w:t>
      </w:r>
      <w:r>
        <w:rPr>
          <w:w w:val="105"/>
          <w:sz w:val="15"/>
        </w:rPr>
        <w:t>y</w:t>
      </w:r>
      <w:r>
        <w:rPr>
          <w:spacing w:val="-4"/>
          <w:w w:val="105"/>
          <w:sz w:val="15"/>
        </w:rPr>
        <w:t xml:space="preserve"> </w:t>
      </w:r>
      <w:r>
        <w:rPr>
          <w:w w:val="105"/>
          <w:sz w:val="15"/>
        </w:rPr>
        <w:t>sociales</w:t>
      </w:r>
      <w:r>
        <w:rPr>
          <w:spacing w:val="-4"/>
          <w:w w:val="105"/>
          <w:sz w:val="15"/>
        </w:rPr>
        <w:t xml:space="preserve"> </w:t>
      </w:r>
      <w:r>
        <w:rPr>
          <w:w w:val="105"/>
          <w:sz w:val="15"/>
        </w:rPr>
        <w:t>de</w:t>
      </w:r>
      <w:r>
        <w:rPr>
          <w:spacing w:val="-4"/>
          <w:w w:val="105"/>
          <w:sz w:val="15"/>
        </w:rPr>
        <w:t xml:space="preserve"> </w:t>
      </w:r>
      <w:r>
        <w:rPr>
          <w:w w:val="105"/>
          <w:sz w:val="15"/>
        </w:rPr>
        <w:t>la</w:t>
      </w:r>
      <w:r>
        <w:rPr>
          <w:spacing w:val="-4"/>
          <w:w w:val="105"/>
          <w:sz w:val="15"/>
        </w:rPr>
        <w:t xml:space="preserve"> </w:t>
      </w:r>
      <w:r>
        <w:rPr>
          <w:w w:val="105"/>
          <w:sz w:val="15"/>
        </w:rPr>
        <w:t>desigualdad.</w:t>
      </w:r>
      <w:r>
        <w:rPr>
          <w:spacing w:val="-3"/>
          <w:w w:val="105"/>
          <w:sz w:val="15"/>
        </w:rPr>
        <w:t xml:space="preserve"> </w:t>
      </w:r>
      <w:r>
        <w:rPr>
          <w:w w:val="105"/>
          <w:sz w:val="15"/>
        </w:rPr>
        <w:t>Por</w:t>
      </w:r>
      <w:r>
        <w:rPr>
          <w:spacing w:val="-4"/>
          <w:w w:val="105"/>
          <w:sz w:val="15"/>
        </w:rPr>
        <w:t xml:space="preserve"> </w:t>
      </w:r>
      <w:r>
        <w:rPr>
          <w:w w:val="105"/>
          <w:sz w:val="15"/>
        </w:rPr>
        <w:t>lo</w:t>
      </w:r>
      <w:r>
        <w:rPr>
          <w:spacing w:val="-4"/>
          <w:w w:val="105"/>
          <w:sz w:val="15"/>
        </w:rPr>
        <w:t xml:space="preserve"> </w:t>
      </w:r>
      <w:r>
        <w:rPr>
          <w:w w:val="105"/>
          <w:sz w:val="15"/>
        </w:rPr>
        <w:t>tanto,</w:t>
      </w:r>
      <w:r>
        <w:rPr>
          <w:spacing w:val="-4"/>
          <w:w w:val="105"/>
          <w:sz w:val="15"/>
        </w:rPr>
        <w:t xml:space="preserve"> </w:t>
      </w:r>
      <w:r>
        <w:rPr>
          <w:w w:val="105"/>
          <w:sz w:val="15"/>
        </w:rPr>
        <w:t>si</w:t>
      </w:r>
      <w:r>
        <w:rPr>
          <w:spacing w:val="-4"/>
          <w:w w:val="105"/>
          <w:sz w:val="15"/>
        </w:rPr>
        <w:t xml:space="preserve"> </w:t>
      </w:r>
      <w:r>
        <w:rPr>
          <w:w w:val="105"/>
          <w:sz w:val="15"/>
        </w:rPr>
        <w:t>aspiramos</w:t>
      </w:r>
      <w:r>
        <w:rPr>
          <w:spacing w:val="-4"/>
          <w:w w:val="105"/>
          <w:sz w:val="15"/>
        </w:rPr>
        <w:t xml:space="preserve"> </w:t>
      </w:r>
      <w:r>
        <w:rPr>
          <w:w w:val="105"/>
          <w:sz w:val="15"/>
        </w:rPr>
        <w:t>a</w:t>
      </w:r>
      <w:r>
        <w:rPr>
          <w:spacing w:val="-4"/>
          <w:w w:val="105"/>
          <w:sz w:val="15"/>
        </w:rPr>
        <w:t xml:space="preserve"> </w:t>
      </w:r>
      <w:r>
        <w:rPr>
          <w:w w:val="105"/>
          <w:sz w:val="15"/>
        </w:rPr>
        <w:t>crear</w:t>
      </w:r>
      <w:r>
        <w:rPr>
          <w:spacing w:val="-4"/>
          <w:w w:val="105"/>
          <w:sz w:val="15"/>
        </w:rPr>
        <w:t xml:space="preserve"> </w:t>
      </w:r>
      <w:r>
        <w:rPr>
          <w:w w:val="105"/>
          <w:sz w:val="15"/>
        </w:rPr>
        <w:t>sociedades</w:t>
      </w:r>
      <w:r>
        <w:rPr>
          <w:spacing w:val="-4"/>
          <w:w w:val="105"/>
          <w:sz w:val="15"/>
        </w:rPr>
        <w:t xml:space="preserve"> </w:t>
      </w:r>
      <w:r>
        <w:rPr>
          <w:w w:val="105"/>
          <w:sz w:val="15"/>
        </w:rPr>
        <w:t>en</w:t>
      </w:r>
      <w:r>
        <w:rPr>
          <w:spacing w:val="-4"/>
          <w:w w:val="105"/>
          <w:sz w:val="15"/>
        </w:rPr>
        <w:t xml:space="preserve"> </w:t>
      </w:r>
      <w:r>
        <w:rPr>
          <w:w w:val="105"/>
          <w:sz w:val="15"/>
        </w:rPr>
        <w:t>las</w:t>
      </w:r>
      <w:r>
        <w:rPr>
          <w:spacing w:val="-4"/>
          <w:w w:val="105"/>
          <w:sz w:val="15"/>
        </w:rPr>
        <w:t xml:space="preserve"> </w:t>
      </w:r>
      <w:r>
        <w:rPr>
          <w:w w:val="105"/>
          <w:sz w:val="15"/>
        </w:rPr>
        <w:t>que</w:t>
      </w:r>
      <w:r>
        <w:rPr>
          <w:spacing w:val="-4"/>
          <w:w w:val="105"/>
          <w:sz w:val="15"/>
        </w:rPr>
        <w:t xml:space="preserve"> </w:t>
      </w:r>
      <w:r>
        <w:rPr>
          <w:w w:val="105"/>
          <w:sz w:val="15"/>
        </w:rPr>
        <w:t>todos</w:t>
      </w:r>
      <w:r>
        <w:rPr>
          <w:spacing w:val="-4"/>
          <w:w w:val="105"/>
          <w:sz w:val="15"/>
        </w:rPr>
        <w:t xml:space="preserve"> </w:t>
      </w:r>
      <w:r>
        <w:rPr>
          <w:w w:val="105"/>
          <w:sz w:val="15"/>
        </w:rPr>
        <w:t>sean</w:t>
      </w:r>
      <w:r>
        <w:rPr>
          <w:spacing w:val="-4"/>
          <w:w w:val="105"/>
          <w:sz w:val="15"/>
        </w:rPr>
        <w:t xml:space="preserve"> </w:t>
      </w:r>
      <w:r>
        <w:rPr>
          <w:w w:val="105"/>
          <w:sz w:val="15"/>
        </w:rPr>
        <w:t>libres</w:t>
      </w:r>
      <w:r>
        <w:rPr>
          <w:spacing w:val="-4"/>
          <w:w w:val="105"/>
          <w:sz w:val="15"/>
        </w:rPr>
        <w:t xml:space="preserve"> </w:t>
      </w:r>
      <w:r>
        <w:rPr>
          <w:w w:val="105"/>
          <w:sz w:val="15"/>
        </w:rPr>
        <w:t>e</w:t>
      </w:r>
      <w:r>
        <w:rPr>
          <w:spacing w:val="-4"/>
          <w:w w:val="105"/>
          <w:sz w:val="15"/>
        </w:rPr>
        <w:t xml:space="preserve"> </w:t>
      </w:r>
      <w:r>
        <w:rPr>
          <w:w w:val="105"/>
          <w:sz w:val="15"/>
        </w:rPr>
        <w:t>iguales en</w:t>
      </w:r>
      <w:r>
        <w:rPr>
          <w:spacing w:val="-6"/>
          <w:w w:val="105"/>
          <w:sz w:val="15"/>
        </w:rPr>
        <w:t xml:space="preserve"> </w:t>
      </w:r>
      <w:r>
        <w:rPr>
          <w:w w:val="105"/>
          <w:sz w:val="15"/>
        </w:rPr>
        <w:t>dignidad</w:t>
      </w:r>
      <w:r>
        <w:rPr>
          <w:spacing w:val="-6"/>
          <w:w w:val="105"/>
          <w:sz w:val="15"/>
        </w:rPr>
        <w:t xml:space="preserve"> </w:t>
      </w:r>
      <w:r>
        <w:rPr>
          <w:w w:val="105"/>
          <w:sz w:val="15"/>
        </w:rPr>
        <w:t>y</w:t>
      </w:r>
      <w:r>
        <w:rPr>
          <w:spacing w:val="-6"/>
          <w:w w:val="105"/>
          <w:sz w:val="15"/>
        </w:rPr>
        <w:t xml:space="preserve"> </w:t>
      </w:r>
      <w:r>
        <w:rPr>
          <w:w w:val="105"/>
          <w:sz w:val="15"/>
        </w:rPr>
        <w:t>derechos,</w:t>
      </w:r>
      <w:r>
        <w:rPr>
          <w:spacing w:val="-5"/>
          <w:w w:val="105"/>
          <w:sz w:val="15"/>
        </w:rPr>
        <w:t xml:space="preserve"> </w:t>
      </w:r>
      <w:r>
        <w:rPr>
          <w:w w:val="105"/>
          <w:sz w:val="15"/>
        </w:rPr>
        <w:t>y</w:t>
      </w:r>
      <w:r>
        <w:rPr>
          <w:spacing w:val="-6"/>
          <w:w w:val="105"/>
          <w:sz w:val="15"/>
        </w:rPr>
        <w:t xml:space="preserve"> </w:t>
      </w:r>
      <w:r>
        <w:rPr>
          <w:w w:val="105"/>
          <w:sz w:val="15"/>
        </w:rPr>
        <w:t>donde</w:t>
      </w:r>
      <w:r>
        <w:rPr>
          <w:spacing w:val="-6"/>
          <w:w w:val="105"/>
          <w:sz w:val="15"/>
        </w:rPr>
        <w:t xml:space="preserve"> </w:t>
      </w:r>
      <w:r>
        <w:rPr>
          <w:w w:val="105"/>
          <w:sz w:val="15"/>
        </w:rPr>
        <w:t>nadie</w:t>
      </w:r>
      <w:r>
        <w:rPr>
          <w:spacing w:val="-6"/>
          <w:w w:val="105"/>
          <w:sz w:val="15"/>
        </w:rPr>
        <w:t xml:space="preserve"> </w:t>
      </w:r>
      <w:r>
        <w:rPr>
          <w:w w:val="105"/>
          <w:sz w:val="15"/>
        </w:rPr>
        <w:t>quede</w:t>
      </w:r>
      <w:r>
        <w:rPr>
          <w:spacing w:val="-6"/>
          <w:w w:val="105"/>
          <w:sz w:val="15"/>
        </w:rPr>
        <w:t xml:space="preserve"> </w:t>
      </w:r>
      <w:r>
        <w:rPr>
          <w:w w:val="105"/>
          <w:sz w:val="15"/>
        </w:rPr>
        <w:t>atrás,</w:t>
      </w:r>
      <w:r>
        <w:rPr>
          <w:spacing w:val="-6"/>
          <w:w w:val="105"/>
          <w:sz w:val="15"/>
        </w:rPr>
        <w:t xml:space="preserve"> </w:t>
      </w:r>
      <w:r>
        <w:rPr>
          <w:w w:val="105"/>
          <w:sz w:val="15"/>
        </w:rPr>
        <w:t>la</w:t>
      </w:r>
      <w:r>
        <w:rPr>
          <w:spacing w:val="-6"/>
          <w:w w:val="105"/>
          <w:sz w:val="15"/>
        </w:rPr>
        <w:t xml:space="preserve"> </w:t>
      </w:r>
      <w:r>
        <w:rPr>
          <w:w w:val="105"/>
          <w:sz w:val="15"/>
        </w:rPr>
        <w:t>adopción</w:t>
      </w:r>
      <w:r>
        <w:rPr>
          <w:spacing w:val="-6"/>
          <w:w w:val="105"/>
          <w:sz w:val="15"/>
        </w:rPr>
        <w:t xml:space="preserve"> </w:t>
      </w:r>
      <w:r>
        <w:rPr>
          <w:w w:val="105"/>
          <w:sz w:val="15"/>
        </w:rPr>
        <w:t>de</w:t>
      </w:r>
      <w:r>
        <w:rPr>
          <w:spacing w:val="-6"/>
          <w:w w:val="105"/>
          <w:sz w:val="15"/>
        </w:rPr>
        <w:t xml:space="preserve"> </w:t>
      </w:r>
      <w:r>
        <w:rPr>
          <w:w w:val="105"/>
          <w:sz w:val="15"/>
        </w:rPr>
        <w:t>leyes</w:t>
      </w:r>
      <w:r>
        <w:rPr>
          <w:spacing w:val="-6"/>
          <w:w w:val="105"/>
          <w:sz w:val="15"/>
        </w:rPr>
        <w:t xml:space="preserve"> </w:t>
      </w:r>
      <w:r>
        <w:rPr>
          <w:w w:val="105"/>
          <w:sz w:val="15"/>
        </w:rPr>
        <w:t>integrales</w:t>
      </w:r>
      <w:r>
        <w:rPr>
          <w:spacing w:val="-7"/>
          <w:w w:val="105"/>
          <w:sz w:val="15"/>
        </w:rPr>
        <w:t xml:space="preserve"> </w:t>
      </w:r>
      <w:r>
        <w:rPr>
          <w:w w:val="105"/>
          <w:sz w:val="15"/>
        </w:rPr>
        <w:t>contra</w:t>
      </w:r>
      <w:r>
        <w:rPr>
          <w:spacing w:val="-6"/>
          <w:w w:val="105"/>
          <w:sz w:val="15"/>
        </w:rPr>
        <w:t xml:space="preserve"> </w:t>
      </w:r>
      <w:r>
        <w:rPr>
          <w:w w:val="105"/>
          <w:sz w:val="15"/>
        </w:rPr>
        <w:t>la</w:t>
      </w:r>
      <w:r>
        <w:rPr>
          <w:spacing w:val="-6"/>
          <w:w w:val="105"/>
          <w:sz w:val="15"/>
        </w:rPr>
        <w:t xml:space="preserve"> </w:t>
      </w:r>
      <w:r>
        <w:rPr>
          <w:w w:val="105"/>
          <w:sz w:val="15"/>
        </w:rPr>
        <w:t>discriminación</w:t>
      </w:r>
      <w:r>
        <w:rPr>
          <w:spacing w:val="-6"/>
          <w:w w:val="105"/>
          <w:sz w:val="15"/>
        </w:rPr>
        <w:t xml:space="preserve"> </w:t>
      </w:r>
      <w:r>
        <w:rPr>
          <w:w w:val="105"/>
          <w:sz w:val="15"/>
        </w:rPr>
        <w:t>es,</w:t>
      </w:r>
      <w:r>
        <w:rPr>
          <w:spacing w:val="-6"/>
          <w:w w:val="105"/>
          <w:sz w:val="15"/>
        </w:rPr>
        <w:t xml:space="preserve"> </w:t>
      </w:r>
      <w:r>
        <w:rPr>
          <w:w w:val="105"/>
          <w:sz w:val="15"/>
        </w:rPr>
        <w:t>simplemente,</w:t>
      </w:r>
      <w:r>
        <w:rPr>
          <w:spacing w:val="-5"/>
          <w:w w:val="105"/>
          <w:sz w:val="15"/>
        </w:rPr>
        <w:t xml:space="preserve"> </w:t>
      </w:r>
      <w:r>
        <w:rPr>
          <w:w w:val="105"/>
          <w:sz w:val="15"/>
        </w:rPr>
        <w:t xml:space="preserve">una </w:t>
      </w:r>
      <w:r>
        <w:rPr>
          <w:spacing w:val="-2"/>
          <w:w w:val="105"/>
          <w:sz w:val="15"/>
        </w:rPr>
        <w:t>necesidad.</w:t>
      </w:r>
    </w:p>
    <w:p w14:paraId="553841A4" w14:textId="77777777" w:rsidR="0014798C" w:rsidRDefault="004E1F0B">
      <w:pPr>
        <w:spacing w:before="168"/>
        <w:ind w:left="1106"/>
        <w:rPr>
          <w:sz w:val="15"/>
        </w:rPr>
      </w:pPr>
      <w:r>
        <w:rPr>
          <w:spacing w:val="-2"/>
          <w:w w:val="105"/>
          <w:sz w:val="15"/>
        </w:rPr>
        <w:t>La</w:t>
      </w:r>
      <w:r>
        <w:rPr>
          <w:spacing w:val="-3"/>
          <w:w w:val="105"/>
          <w:sz w:val="15"/>
        </w:rPr>
        <w:t xml:space="preserve"> </w:t>
      </w:r>
      <w:r>
        <w:rPr>
          <w:spacing w:val="-2"/>
          <w:w w:val="105"/>
          <w:sz w:val="15"/>
        </w:rPr>
        <w:t>presente guía está diseñada para</w:t>
      </w:r>
      <w:r>
        <w:rPr>
          <w:spacing w:val="-3"/>
          <w:w w:val="105"/>
          <w:sz w:val="15"/>
        </w:rPr>
        <w:t xml:space="preserve"> </w:t>
      </w:r>
      <w:r>
        <w:rPr>
          <w:spacing w:val="-2"/>
          <w:w w:val="105"/>
          <w:sz w:val="15"/>
        </w:rPr>
        <w:t>ayudar a cualquiera que emprenda</w:t>
      </w:r>
      <w:r>
        <w:rPr>
          <w:spacing w:val="-3"/>
          <w:w w:val="105"/>
          <w:sz w:val="15"/>
        </w:rPr>
        <w:t xml:space="preserve"> </w:t>
      </w:r>
      <w:r>
        <w:rPr>
          <w:spacing w:val="-2"/>
          <w:w w:val="105"/>
          <w:sz w:val="15"/>
        </w:rPr>
        <w:t>este camino hacia una mayor</w:t>
      </w:r>
      <w:r>
        <w:rPr>
          <w:spacing w:val="-3"/>
          <w:w w:val="105"/>
          <w:sz w:val="15"/>
        </w:rPr>
        <w:t xml:space="preserve"> </w:t>
      </w:r>
      <w:r>
        <w:rPr>
          <w:spacing w:val="-2"/>
          <w:w w:val="105"/>
          <w:sz w:val="15"/>
        </w:rPr>
        <w:t>igualdad.</w:t>
      </w:r>
    </w:p>
    <w:p w14:paraId="6A3B1BB9" w14:textId="77777777" w:rsidR="0014798C" w:rsidRDefault="0014798C">
      <w:pPr>
        <w:pStyle w:val="Textoindependiente"/>
        <w:rPr>
          <w:sz w:val="20"/>
        </w:rPr>
      </w:pPr>
    </w:p>
    <w:p w14:paraId="78A37EAA" w14:textId="77777777" w:rsidR="0014798C" w:rsidRDefault="0014798C">
      <w:pPr>
        <w:pStyle w:val="Textoindependiente"/>
        <w:rPr>
          <w:sz w:val="20"/>
        </w:rPr>
      </w:pPr>
    </w:p>
    <w:p w14:paraId="333F46A1" w14:textId="77777777" w:rsidR="0014798C" w:rsidRDefault="0014798C">
      <w:pPr>
        <w:pStyle w:val="Textoindependiente"/>
        <w:rPr>
          <w:sz w:val="20"/>
        </w:rPr>
      </w:pPr>
    </w:p>
    <w:p w14:paraId="1D856688" w14:textId="77777777" w:rsidR="0014798C" w:rsidRDefault="0014798C">
      <w:pPr>
        <w:pStyle w:val="Textoindependiente"/>
        <w:rPr>
          <w:sz w:val="20"/>
        </w:rPr>
      </w:pPr>
    </w:p>
    <w:p w14:paraId="21BB334B" w14:textId="77777777" w:rsidR="0014798C" w:rsidRDefault="0014798C">
      <w:pPr>
        <w:pStyle w:val="Textoindependiente"/>
        <w:rPr>
          <w:sz w:val="20"/>
        </w:rPr>
      </w:pPr>
    </w:p>
    <w:p w14:paraId="25AB8D74" w14:textId="77777777" w:rsidR="0014798C" w:rsidRDefault="0014798C">
      <w:pPr>
        <w:pStyle w:val="Textoindependiente"/>
        <w:rPr>
          <w:sz w:val="20"/>
        </w:rPr>
      </w:pPr>
    </w:p>
    <w:p w14:paraId="415E6060" w14:textId="77777777" w:rsidR="0014798C" w:rsidRDefault="0014798C">
      <w:pPr>
        <w:pStyle w:val="Textoindependiente"/>
        <w:rPr>
          <w:sz w:val="20"/>
        </w:rPr>
      </w:pPr>
    </w:p>
    <w:p w14:paraId="5CA4166B" w14:textId="77777777" w:rsidR="0014798C" w:rsidRDefault="0014798C">
      <w:pPr>
        <w:pStyle w:val="Textoindependiente"/>
        <w:rPr>
          <w:sz w:val="20"/>
        </w:rPr>
      </w:pPr>
    </w:p>
    <w:p w14:paraId="1DFCF505" w14:textId="77777777" w:rsidR="0014798C" w:rsidRDefault="004E1F0B">
      <w:pPr>
        <w:pStyle w:val="Textoindependiente"/>
        <w:spacing w:before="31"/>
        <w:rPr>
          <w:sz w:val="20"/>
        </w:rPr>
      </w:pPr>
      <w:r>
        <w:rPr>
          <w:noProof/>
        </w:rPr>
        <w:drawing>
          <wp:anchor distT="0" distB="0" distL="0" distR="0" simplePos="0" relativeHeight="251658513" behindDoc="1" locked="0" layoutInCell="1" allowOverlap="1" wp14:anchorId="0430017A" wp14:editId="40B55520">
            <wp:simplePos x="0" y="0"/>
            <wp:positionH relativeFrom="page">
              <wp:posOffset>826632</wp:posOffset>
            </wp:positionH>
            <wp:positionV relativeFrom="paragraph">
              <wp:posOffset>181157</wp:posOffset>
            </wp:positionV>
            <wp:extent cx="931001" cy="71627"/>
            <wp:effectExtent l="0" t="0" r="0" b="0"/>
            <wp:wrapTopAndBottom/>
            <wp:docPr id="38" name="Image 3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8" name="Image 38"/>
                    <pic:cNvPicPr/>
                  </pic:nvPicPr>
                  <pic:blipFill>
                    <a:blip r:embed="rId49" cstate="print"/>
                    <a:stretch>
                      <a:fillRect/>
                    </a:stretch>
                  </pic:blipFill>
                  <pic:spPr>
                    <a:xfrm>
                      <a:off x="0" y="0"/>
                      <a:ext cx="931001" cy="71627"/>
                    </a:xfrm>
                    <a:prstGeom prst="rect">
                      <a:avLst/>
                    </a:prstGeom>
                  </pic:spPr>
                </pic:pic>
              </a:graphicData>
            </a:graphic>
          </wp:anchor>
        </w:drawing>
      </w:r>
    </w:p>
    <w:p w14:paraId="0C5074BF" w14:textId="77777777" w:rsidR="0014798C" w:rsidRDefault="004E1F0B">
      <w:pPr>
        <w:spacing w:before="106"/>
        <w:ind w:left="1111"/>
        <w:rPr>
          <w:sz w:val="14"/>
        </w:rPr>
      </w:pPr>
      <w:r>
        <w:rPr>
          <w:sz w:val="14"/>
        </w:rPr>
        <w:t>14</w:t>
      </w:r>
      <w:r>
        <w:rPr>
          <w:spacing w:val="3"/>
          <w:sz w:val="14"/>
        </w:rPr>
        <w:t xml:space="preserve"> </w:t>
      </w:r>
      <w:proofErr w:type="spellStart"/>
      <w:r>
        <w:rPr>
          <w:sz w:val="14"/>
        </w:rPr>
        <w:t>Equal</w:t>
      </w:r>
      <w:proofErr w:type="spellEnd"/>
      <w:r>
        <w:rPr>
          <w:spacing w:val="4"/>
          <w:sz w:val="14"/>
        </w:rPr>
        <w:t xml:space="preserve"> </w:t>
      </w:r>
      <w:proofErr w:type="spellStart"/>
      <w:r>
        <w:rPr>
          <w:sz w:val="14"/>
        </w:rPr>
        <w:t>Rights</w:t>
      </w:r>
      <w:proofErr w:type="spellEnd"/>
      <w:r>
        <w:rPr>
          <w:spacing w:val="3"/>
          <w:sz w:val="14"/>
        </w:rPr>
        <w:t xml:space="preserve"> </w:t>
      </w:r>
      <w:r>
        <w:rPr>
          <w:sz w:val="14"/>
        </w:rPr>
        <w:t>Trust</w:t>
      </w:r>
      <w:r>
        <w:rPr>
          <w:spacing w:val="5"/>
          <w:sz w:val="14"/>
        </w:rPr>
        <w:t xml:space="preserve"> </w:t>
      </w:r>
      <w:r>
        <w:rPr>
          <w:sz w:val="14"/>
        </w:rPr>
        <w:t>y</w:t>
      </w:r>
      <w:r>
        <w:rPr>
          <w:spacing w:val="3"/>
          <w:sz w:val="14"/>
        </w:rPr>
        <w:t xml:space="preserve"> </w:t>
      </w:r>
      <w:r>
        <w:rPr>
          <w:sz w:val="14"/>
        </w:rPr>
        <w:t>otros,</w:t>
      </w:r>
      <w:r>
        <w:rPr>
          <w:spacing w:val="5"/>
          <w:sz w:val="14"/>
        </w:rPr>
        <w:t xml:space="preserve"> </w:t>
      </w:r>
      <w:r>
        <w:rPr>
          <w:sz w:val="14"/>
        </w:rPr>
        <w:t>“Llamado</w:t>
      </w:r>
      <w:r>
        <w:rPr>
          <w:spacing w:val="3"/>
          <w:sz w:val="14"/>
        </w:rPr>
        <w:t xml:space="preserve"> </w:t>
      </w:r>
      <w:r>
        <w:rPr>
          <w:sz w:val="14"/>
        </w:rPr>
        <w:t>a</w:t>
      </w:r>
      <w:r>
        <w:rPr>
          <w:spacing w:val="4"/>
          <w:sz w:val="14"/>
        </w:rPr>
        <w:t xml:space="preserve"> </w:t>
      </w:r>
      <w:r>
        <w:rPr>
          <w:sz w:val="14"/>
        </w:rPr>
        <w:t>la</w:t>
      </w:r>
      <w:r>
        <w:rPr>
          <w:spacing w:val="3"/>
          <w:sz w:val="14"/>
        </w:rPr>
        <w:t xml:space="preserve"> </w:t>
      </w:r>
      <w:r>
        <w:rPr>
          <w:sz w:val="14"/>
        </w:rPr>
        <w:t>acción:</w:t>
      </w:r>
      <w:r>
        <w:rPr>
          <w:spacing w:val="5"/>
          <w:sz w:val="14"/>
        </w:rPr>
        <w:t xml:space="preserve"> </w:t>
      </w:r>
      <w:r>
        <w:rPr>
          <w:sz w:val="14"/>
        </w:rPr>
        <w:t>abordar</w:t>
      </w:r>
      <w:r>
        <w:rPr>
          <w:spacing w:val="3"/>
          <w:sz w:val="14"/>
        </w:rPr>
        <w:t xml:space="preserve"> </w:t>
      </w:r>
      <w:r>
        <w:rPr>
          <w:sz w:val="14"/>
        </w:rPr>
        <w:t>la</w:t>
      </w:r>
      <w:r>
        <w:rPr>
          <w:spacing w:val="4"/>
          <w:sz w:val="14"/>
        </w:rPr>
        <w:t xml:space="preserve"> </w:t>
      </w:r>
      <w:r>
        <w:rPr>
          <w:sz w:val="14"/>
        </w:rPr>
        <w:t>discriminación</w:t>
      </w:r>
      <w:r>
        <w:rPr>
          <w:spacing w:val="5"/>
          <w:sz w:val="14"/>
        </w:rPr>
        <w:t xml:space="preserve"> </w:t>
      </w:r>
      <w:r>
        <w:rPr>
          <w:sz w:val="14"/>
        </w:rPr>
        <w:t>y</w:t>
      </w:r>
      <w:r>
        <w:rPr>
          <w:spacing w:val="3"/>
          <w:sz w:val="14"/>
        </w:rPr>
        <w:t xml:space="preserve"> </w:t>
      </w:r>
      <w:r>
        <w:rPr>
          <w:sz w:val="14"/>
        </w:rPr>
        <w:t>la</w:t>
      </w:r>
      <w:r>
        <w:rPr>
          <w:spacing w:val="4"/>
          <w:sz w:val="14"/>
        </w:rPr>
        <w:t xml:space="preserve"> </w:t>
      </w:r>
      <w:r>
        <w:rPr>
          <w:sz w:val="14"/>
        </w:rPr>
        <w:t>desigualdad</w:t>
      </w:r>
      <w:r>
        <w:rPr>
          <w:spacing w:val="3"/>
          <w:sz w:val="14"/>
        </w:rPr>
        <w:t xml:space="preserve"> </w:t>
      </w:r>
      <w:r>
        <w:rPr>
          <w:sz w:val="14"/>
        </w:rPr>
        <w:t>en</w:t>
      </w:r>
      <w:r>
        <w:rPr>
          <w:spacing w:val="4"/>
          <w:sz w:val="14"/>
        </w:rPr>
        <w:t xml:space="preserve"> </w:t>
      </w:r>
      <w:r>
        <w:rPr>
          <w:sz w:val="14"/>
        </w:rPr>
        <w:t>la</w:t>
      </w:r>
      <w:r>
        <w:rPr>
          <w:spacing w:val="3"/>
          <w:sz w:val="14"/>
        </w:rPr>
        <w:t xml:space="preserve"> </w:t>
      </w:r>
      <w:r>
        <w:rPr>
          <w:sz w:val="14"/>
        </w:rPr>
        <w:t>respuesta</w:t>
      </w:r>
      <w:r>
        <w:rPr>
          <w:spacing w:val="4"/>
          <w:sz w:val="14"/>
        </w:rPr>
        <w:t xml:space="preserve"> </w:t>
      </w:r>
      <w:r>
        <w:rPr>
          <w:sz w:val="14"/>
        </w:rPr>
        <w:t>global</w:t>
      </w:r>
      <w:r>
        <w:rPr>
          <w:spacing w:val="3"/>
          <w:sz w:val="14"/>
        </w:rPr>
        <w:t xml:space="preserve"> </w:t>
      </w:r>
      <w:r>
        <w:rPr>
          <w:sz w:val="14"/>
        </w:rPr>
        <w:t>al</w:t>
      </w:r>
      <w:r>
        <w:rPr>
          <w:spacing w:val="4"/>
          <w:sz w:val="14"/>
        </w:rPr>
        <w:t xml:space="preserve"> </w:t>
      </w:r>
      <w:r>
        <w:rPr>
          <w:sz w:val="14"/>
        </w:rPr>
        <w:t>COVID­19”</w:t>
      </w:r>
      <w:r>
        <w:rPr>
          <w:spacing w:val="3"/>
          <w:sz w:val="14"/>
        </w:rPr>
        <w:t xml:space="preserve"> </w:t>
      </w:r>
      <w:r>
        <w:rPr>
          <w:spacing w:val="-2"/>
          <w:sz w:val="14"/>
        </w:rPr>
        <w:t>(2020).</w:t>
      </w:r>
    </w:p>
    <w:p w14:paraId="059B7225" w14:textId="77777777" w:rsidR="0014798C" w:rsidRDefault="004E1F0B">
      <w:pPr>
        <w:spacing w:before="26"/>
        <w:ind w:left="1365"/>
        <w:rPr>
          <w:sz w:val="13"/>
        </w:rPr>
      </w:pPr>
      <w:r>
        <w:rPr>
          <w:sz w:val="13"/>
        </w:rPr>
        <w:t>Disponible</w:t>
      </w:r>
      <w:r>
        <w:rPr>
          <w:spacing w:val="24"/>
          <w:sz w:val="13"/>
        </w:rPr>
        <w:t xml:space="preserve"> </w:t>
      </w:r>
      <w:r>
        <w:rPr>
          <w:sz w:val="13"/>
        </w:rPr>
        <w:t>en</w:t>
      </w:r>
      <w:r>
        <w:rPr>
          <w:spacing w:val="24"/>
          <w:sz w:val="13"/>
        </w:rPr>
        <w:t xml:space="preserve"> </w:t>
      </w:r>
      <w:hyperlink r:id="rId50">
        <w:r>
          <w:rPr>
            <w:color w:val="0075BF"/>
            <w:spacing w:val="-2"/>
            <w:sz w:val="13"/>
          </w:rPr>
          <w:t>www.equalrightstrust.org/sites/default/files/images/COVIDResponse.pdf.</w:t>
        </w:r>
      </w:hyperlink>
    </w:p>
    <w:p w14:paraId="3776B61B" w14:textId="77777777" w:rsidR="0014798C" w:rsidRDefault="004E1F0B">
      <w:pPr>
        <w:spacing w:before="87"/>
        <w:ind w:left="1111"/>
        <w:rPr>
          <w:sz w:val="13"/>
        </w:rPr>
      </w:pPr>
      <w:r>
        <w:rPr>
          <w:sz w:val="13"/>
        </w:rPr>
        <w:t>15</w:t>
      </w:r>
      <w:r>
        <w:rPr>
          <w:spacing w:val="2"/>
          <w:sz w:val="13"/>
        </w:rPr>
        <w:t xml:space="preserve"> </w:t>
      </w:r>
      <w:r>
        <w:rPr>
          <w:sz w:val="13"/>
        </w:rPr>
        <w:t>Organización</w:t>
      </w:r>
      <w:r>
        <w:rPr>
          <w:spacing w:val="2"/>
          <w:sz w:val="13"/>
        </w:rPr>
        <w:t xml:space="preserve"> </w:t>
      </w:r>
      <w:r>
        <w:rPr>
          <w:sz w:val="13"/>
        </w:rPr>
        <w:t>Internacional</w:t>
      </w:r>
      <w:r>
        <w:rPr>
          <w:spacing w:val="3"/>
          <w:sz w:val="13"/>
        </w:rPr>
        <w:t xml:space="preserve"> </w:t>
      </w:r>
      <w:r>
        <w:rPr>
          <w:sz w:val="13"/>
        </w:rPr>
        <w:t>del</w:t>
      </w:r>
      <w:r>
        <w:rPr>
          <w:spacing w:val="2"/>
          <w:sz w:val="13"/>
        </w:rPr>
        <w:t xml:space="preserve"> </w:t>
      </w:r>
      <w:r>
        <w:rPr>
          <w:sz w:val="13"/>
        </w:rPr>
        <w:t>Trabajo,</w:t>
      </w:r>
      <w:r>
        <w:rPr>
          <w:spacing w:val="4"/>
          <w:sz w:val="13"/>
        </w:rPr>
        <w:t xml:space="preserve"> </w:t>
      </w:r>
      <w:r>
        <w:rPr>
          <w:sz w:val="13"/>
        </w:rPr>
        <w:t>Adición</w:t>
      </w:r>
      <w:r>
        <w:rPr>
          <w:spacing w:val="2"/>
          <w:sz w:val="13"/>
        </w:rPr>
        <w:t xml:space="preserve"> </w:t>
      </w:r>
      <w:r>
        <w:rPr>
          <w:sz w:val="13"/>
        </w:rPr>
        <w:t>al</w:t>
      </w:r>
      <w:r>
        <w:rPr>
          <w:spacing w:val="3"/>
          <w:sz w:val="13"/>
        </w:rPr>
        <w:t xml:space="preserve"> </w:t>
      </w:r>
      <w:r>
        <w:rPr>
          <w:sz w:val="13"/>
        </w:rPr>
        <w:t>Estudio</w:t>
      </w:r>
      <w:r>
        <w:rPr>
          <w:spacing w:val="2"/>
          <w:sz w:val="13"/>
        </w:rPr>
        <w:t xml:space="preserve"> </w:t>
      </w:r>
      <w:r>
        <w:rPr>
          <w:sz w:val="13"/>
        </w:rPr>
        <w:t>General</w:t>
      </w:r>
      <w:r>
        <w:rPr>
          <w:spacing w:val="3"/>
          <w:sz w:val="13"/>
        </w:rPr>
        <w:t xml:space="preserve"> </w:t>
      </w:r>
      <w:r>
        <w:rPr>
          <w:sz w:val="13"/>
        </w:rPr>
        <w:t>de</w:t>
      </w:r>
      <w:r>
        <w:rPr>
          <w:spacing w:val="2"/>
          <w:sz w:val="13"/>
        </w:rPr>
        <w:t xml:space="preserve"> </w:t>
      </w:r>
      <w:r>
        <w:rPr>
          <w:sz w:val="13"/>
        </w:rPr>
        <w:t>2020:</w:t>
      </w:r>
      <w:r>
        <w:rPr>
          <w:spacing w:val="4"/>
          <w:sz w:val="13"/>
        </w:rPr>
        <w:t xml:space="preserve"> </w:t>
      </w:r>
      <w:r>
        <w:rPr>
          <w:sz w:val="13"/>
        </w:rPr>
        <w:t>Promoción</w:t>
      </w:r>
      <w:r>
        <w:rPr>
          <w:spacing w:val="2"/>
          <w:sz w:val="13"/>
        </w:rPr>
        <w:t xml:space="preserve"> </w:t>
      </w:r>
      <w:r>
        <w:rPr>
          <w:sz w:val="13"/>
        </w:rPr>
        <w:t>del</w:t>
      </w:r>
      <w:r>
        <w:rPr>
          <w:spacing w:val="2"/>
          <w:sz w:val="13"/>
        </w:rPr>
        <w:t xml:space="preserve"> </w:t>
      </w:r>
      <w:r>
        <w:rPr>
          <w:sz w:val="13"/>
        </w:rPr>
        <w:t>empleo</w:t>
      </w:r>
      <w:r>
        <w:rPr>
          <w:spacing w:val="3"/>
          <w:sz w:val="13"/>
        </w:rPr>
        <w:t xml:space="preserve"> </w:t>
      </w:r>
      <w:r>
        <w:rPr>
          <w:sz w:val="13"/>
        </w:rPr>
        <w:t>y</w:t>
      </w:r>
      <w:r>
        <w:rPr>
          <w:spacing w:val="2"/>
          <w:sz w:val="13"/>
        </w:rPr>
        <w:t xml:space="preserve"> </w:t>
      </w:r>
      <w:r>
        <w:rPr>
          <w:sz w:val="13"/>
        </w:rPr>
        <w:t>el</w:t>
      </w:r>
      <w:r>
        <w:rPr>
          <w:spacing w:val="3"/>
          <w:sz w:val="13"/>
        </w:rPr>
        <w:t xml:space="preserve"> </w:t>
      </w:r>
      <w:r>
        <w:rPr>
          <w:sz w:val="13"/>
        </w:rPr>
        <w:t>trabajo</w:t>
      </w:r>
      <w:r>
        <w:rPr>
          <w:spacing w:val="2"/>
          <w:sz w:val="13"/>
        </w:rPr>
        <w:t xml:space="preserve"> </w:t>
      </w:r>
      <w:r>
        <w:rPr>
          <w:sz w:val="13"/>
        </w:rPr>
        <w:t>decente</w:t>
      </w:r>
      <w:r>
        <w:rPr>
          <w:spacing w:val="3"/>
          <w:sz w:val="13"/>
        </w:rPr>
        <w:t xml:space="preserve"> </w:t>
      </w:r>
      <w:r>
        <w:rPr>
          <w:sz w:val="13"/>
        </w:rPr>
        <w:t>en</w:t>
      </w:r>
      <w:r>
        <w:rPr>
          <w:spacing w:val="2"/>
          <w:sz w:val="13"/>
        </w:rPr>
        <w:t xml:space="preserve"> </w:t>
      </w:r>
      <w:r>
        <w:rPr>
          <w:sz w:val="13"/>
        </w:rPr>
        <w:t>una</w:t>
      </w:r>
      <w:r>
        <w:rPr>
          <w:spacing w:val="3"/>
          <w:sz w:val="13"/>
        </w:rPr>
        <w:t xml:space="preserve"> </w:t>
      </w:r>
      <w:r>
        <w:rPr>
          <w:sz w:val="13"/>
        </w:rPr>
        <w:t>sociedad</w:t>
      </w:r>
      <w:r>
        <w:rPr>
          <w:spacing w:val="2"/>
          <w:sz w:val="13"/>
        </w:rPr>
        <w:t xml:space="preserve"> </w:t>
      </w:r>
      <w:r>
        <w:rPr>
          <w:spacing w:val="-2"/>
          <w:sz w:val="13"/>
        </w:rPr>
        <w:t>cambiante.</w:t>
      </w:r>
    </w:p>
    <w:p w14:paraId="6034FA48" w14:textId="77777777" w:rsidR="0014798C" w:rsidRDefault="004E1F0B">
      <w:pPr>
        <w:spacing w:before="30"/>
        <w:ind w:left="1368"/>
        <w:rPr>
          <w:sz w:val="13"/>
        </w:rPr>
      </w:pPr>
      <w:r>
        <w:rPr>
          <w:sz w:val="13"/>
        </w:rPr>
        <w:t>Paisaje</w:t>
      </w:r>
      <w:r>
        <w:rPr>
          <w:spacing w:val="2"/>
          <w:sz w:val="13"/>
        </w:rPr>
        <w:t xml:space="preserve"> </w:t>
      </w:r>
      <w:r>
        <w:rPr>
          <w:sz w:val="13"/>
        </w:rPr>
        <w:t>(Ginebra,</w:t>
      </w:r>
      <w:r>
        <w:rPr>
          <w:spacing w:val="3"/>
          <w:sz w:val="13"/>
        </w:rPr>
        <w:t xml:space="preserve"> </w:t>
      </w:r>
      <w:r>
        <w:rPr>
          <w:sz w:val="13"/>
        </w:rPr>
        <w:t>2021),</w:t>
      </w:r>
      <w:r>
        <w:rPr>
          <w:spacing w:val="3"/>
          <w:sz w:val="13"/>
        </w:rPr>
        <w:t xml:space="preserve"> </w:t>
      </w:r>
      <w:r>
        <w:rPr>
          <w:sz w:val="13"/>
        </w:rPr>
        <w:t>párr.</w:t>
      </w:r>
      <w:r>
        <w:rPr>
          <w:spacing w:val="4"/>
          <w:sz w:val="13"/>
        </w:rPr>
        <w:t xml:space="preserve"> </w:t>
      </w:r>
      <w:r>
        <w:rPr>
          <w:spacing w:val="-4"/>
          <w:sz w:val="13"/>
        </w:rPr>
        <w:t>226.</w:t>
      </w:r>
    </w:p>
    <w:p w14:paraId="6B727924" w14:textId="77777777" w:rsidR="0014798C" w:rsidRDefault="004E1F0B">
      <w:pPr>
        <w:spacing w:before="80"/>
        <w:ind w:left="1111"/>
        <w:rPr>
          <w:sz w:val="14"/>
        </w:rPr>
      </w:pPr>
      <w:r>
        <w:rPr>
          <w:sz w:val="14"/>
        </w:rPr>
        <w:t>16</w:t>
      </w:r>
      <w:r>
        <w:rPr>
          <w:spacing w:val="4"/>
          <w:sz w:val="14"/>
        </w:rPr>
        <w:t xml:space="preserve"> </w:t>
      </w:r>
      <w:proofErr w:type="spellStart"/>
      <w:r>
        <w:rPr>
          <w:sz w:val="14"/>
        </w:rPr>
        <w:t>Kuña</w:t>
      </w:r>
      <w:proofErr w:type="spellEnd"/>
      <w:r>
        <w:rPr>
          <w:spacing w:val="4"/>
          <w:sz w:val="14"/>
        </w:rPr>
        <w:t xml:space="preserve"> </w:t>
      </w:r>
      <w:proofErr w:type="spellStart"/>
      <w:r>
        <w:rPr>
          <w:sz w:val="14"/>
        </w:rPr>
        <w:t>Roga</w:t>
      </w:r>
      <w:proofErr w:type="spellEnd"/>
      <w:r>
        <w:rPr>
          <w:spacing w:val="5"/>
          <w:sz w:val="14"/>
        </w:rPr>
        <w:t xml:space="preserve"> </w:t>
      </w:r>
      <w:r>
        <w:rPr>
          <w:sz w:val="14"/>
        </w:rPr>
        <w:t>y</w:t>
      </w:r>
      <w:r>
        <w:rPr>
          <w:spacing w:val="4"/>
          <w:sz w:val="14"/>
        </w:rPr>
        <w:t xml:space="preserve"> </w:t>
      </w:r>
      <w:r>
        <w:rPr>
          <w:sz w:val="14"/>
        </w:rPr>
        <w:t>Central</w:t>
      </w:r>
      <w:r>
        <w:rPr>
          <w:spacing w:val="4"/>
          <w:sz w:val="14"/>
        </w:rPr>
        <w:t xml:space="preserve"> </w:t>
      </w:r>
      <w:r>
        <w:rPr>
          <w:sz w:val="14"/>
        </w:rPr>
        <w:t>Unitaria</w:t>
      </w:r>
      <w:r>
        <w:rPr>
          <w:spacing w:val="5"/>
          <w:sz w:val="14"/>
        </w:rPr>
        <w:t xml:space="preserve"> </w:t>
      </w:r>
      <w:r>
        <w:rPr>
          <w:sz w:val="14"/>
        </w:rPr>
        <w:t>de</w:t>
      </w:r>
      <w:r>
        <w:rPr>
          <w:spacing w:val="4"/>
          <w:sz w:val="14"/>
        </w:rPr>
        <w:t xml:space="preserve"> </w:t>
      </w:r>
      <w:r>
        <w:rPr>
          <w:sz w:val="14"/>
        </w:rPr>
        <w:t>Trabajadores</w:t>
      </w:r>
      <w:r>
        <w:rPr>
          <w:spacing w:val="4"/>
          <w:sz w:val="14"/>
        </w:rPr>
        <w:t xml:space="preserve"> </w:t>
      </w:r>
      <w:r>
        <w:rPr>
          <w:sz w:val="14"/>
        </w:rPr>
        <w:t>(Paraguay),</w:t>
      </w:r>
      <w:r>
        <w:rPr>
          <w:spacing w:val="6"/>
          <w:sz w:val="14"/>
        </w:rPr>
        <w:t xml:space="preserve"> </w:t>
      </w:r>
      <w:r>
        <w:rPr>
          <w:sz w:val="14"/>
        </w:rPr>
        <w:t>marzo</w:t>
      </w:r>
      <w:r>
        <w:rPr>
          <w:spacing w:val="5"/>
          <w:sz w:val="14"/>
        </w:rPr>
        <w:t xml:space="preserve"> </w:t>
      </w:r>
      <w:r>
        <w:rPr>
          <w:sz w:val="14"/>
        </w:rPr>
        <w:t>de</w:t>
      </w:r>
      <w:r>
        <w:rPr>
          <w:spacing w:val="5"/>
          <w:sz w:val="14"/>
        </w:rPr>
        <w:t xml:space="preserve"> </w:t>
      </w:r>
      <w:r>
        <w:rPr>
          <w:sz w:val="14"/>
        </w:rPr>
        <w:t>2021</w:t>
      </w:r>
      <w:r>
        <w:rPr>
          <w:spacing w:val="4"/>
          <w:sz w:val="14"/>
        </w:rPr>
        <w:t xml:space="preserve"> </w:t>
      </w:r>
      <w:r>
        <w:rPr>
          <w:sz w:val="14"/>
        </w:rPr>
        <w:t>(en</w:t>
      </w:r>
      <w:r>
        <w:rPr>
          <w:spacing w:val="5"/>
          <w:sz w:val="14"/>
        </w:rPr>
        <w:t xml:space="preserve"> </w:t>
      </w:r>
      <w:r>
        <w:rPr>
          <w:sz w:val="14"/>
        </w:rPr>
        <w:t>archivos</w:t>
      </w:r>
      <w:r>
        <w:rPr>
          <w:spacing w:val="4"/>
          <w:sz w:val="14"/>
        </w:rPr>
        <w:t xml:space="preserve"> </w:t>
      </w:r>
      <w:r>
        <w:rPr>
          <w:sz w:val="14"/>
        </w:rPr>
        <w:t>de</w:t>
      </w:r>
      <w:r>
        <w:rPr>
          <w:spacing w:val="4"/>
          <w:sz w:val="14"/>
        </w:rPr>
        <w:t xml:space="preserve"> </w:t>
      </w:r>
      <w:proofErr w:type="spellStart"/>
      <w:r>
        <w:rPr>
          <w:sz w:val="14"/>
        </w:rPr>
        <w:t>Equal</w:t>
      </w:r>
      <w:proofErr w:type="spellEnd"/>
      <w:r>
        <w:rPr>
          <w:spacing w:val="5"/>
          <w:sz w:val="14"/>
        </w:rPr>
        <w:t xml:space="preserve"> </w:t>
      </w:r>
      <w:proofErr w:type="spellStart"/>
      <w:r>
        <w:rPr>
          <w:sz w:val="14"/>
        </w:rPr>
        <w:t>Rights</w:t>
      </w:r>
      <w:proofErr w:type="spellEnd"/>
      <w:r>
        <w:rPr>
          <w:spacing w:val="4"/>
          <w:sz w:val="14"/>
        </w:rPr>
        <w:t xml:space="preserve"> </w:t>
      </w:r>
      <w:r>
        <w:rPr>
          <w:spacing w:val="-2"/>
          <w:sz w:val="14"/>
        </w:rPr>
        <w:t>Trust).</w:t>
      </w:r>
    </w:p>
    <w:p w14:paraId="219E43E1" w14:textId="77777777" w:rsidR="0014798C" w:rsidRDefault="004E1F0B">
      <w:pPr>
        <w:spacing w:before="76"/>
        <w:ind w:left="1111"/>
        <w:rPr>
          <w:sz w:val="14"/>
        </w:rPr>
      </w:pPr>
      <w:r>
        <w:rPr>
          <w:sz w:val="14"/>
        </w:rPr>
        <w:t>17</w:t>
      </w:r>
      <w:r>
        <w:rPr>
          <w:spacing w:val="3"/>
          <w:sz w:val="14"/>
        </w:rPr>
        <w:t xml:space="preserve"> </w:t>
      </w:r>
      <w:r>
        <w:rPr>
          <w:sz w:val="14"/>
        </w:rPr>
        <w:t>Instituto</w:t>
      </w:r>
      <w:r>
        <w:rPr>
          <w:spacing w:val="3"/>
          <w:sz w:val="14"/>
        </w:rPr>
        <w:t xml:space="preserve"> </w:t>
      </w:r>
      <w:r>
        <w:rPr>
          <w:sz w:val="14"/>
        </w:rPr>
        <w:t>para</w:t>
      </w:r>
      <w:r>
        <w:rPr>
          <w:spacing w:val="4"/>
          <w:sz w:val="14"/>
        </w:rPr>
        <w:t xml:space="preserve"> </w:t>
      </w:r>
      <w:r>
        <w:rPr>
          <w:sz w:val="14"/>
        </w:rPr>
        <w:t>el</w:t>
      </w:r>
      <w:r>
        <w:rPr>
          <w:spacing w:val="3"/>
          <w:sz w:val="14"/>
        </w:rPr>
        <w:t xml:space="preserve"> </w:t>
      </w:r>
      <w:r>
        <w:rPr>
          <w:sz w:val="14"/>
        </w:rPr>
        <w:t>Desarrollo</w:t>
      </w:r>
      <w:r>
        <w:rPr>
          <w:spacing w:val="4"/>
          <w:sz w:val="14"/>
        </w:rPr>
        <w:t xml:space="preserve"> </w:t>
      </w:r>
      <w:r>
        <w:rPr>
          <w:sz w:val="14"/>
        </w:rPr>
        <w:t>Juvenil</w:t>
      </w:r>
      <w:r>
        <w:rPr>
          <w:spacing w:val="5"/>
          <w:sz w:val="14"/>
        </w:rPr>
        <w:t xml:space="preserve"> </w:t>
      </w:r>
      <w:r>
        <w:rPr>
          <w:sz w:val="14"/>
        </w:rPr>
        <w:t>de</w:t>
      </w:r>
      <w:r>
        <w:rPr>
          <w:spacing w:val="3"/>
          <w:sz w:val="14"/>
        </w:rPr>
        <w:t xml:space="preserve"> </w:t>
      </w:r>
      <w:r>
        <w:rPr>
          <w:sz w:val="14"/>
        </w:rPr>
        <w:t>Kirguistán,</w:t>
      </w:r>
      <w:r>
        <w:rPr>
          <w:spacing w:val="5"/>
          <w:sz w:val="14"/>
        </w:rPr>
        <w:t xml:space="preserve"> </w:t>
      </w:r>
      <w:r>
        <w:rPr>
          <w:sz w:val="14"/>
        </w:rPr>
        <w:t>marzo</w:t>
      </w:r>
      <w:r>
        <w:rPr>
          <w:spacing w:val="4"/>
          <w:sz w:val="14"/>
        </w:rPr>
        <w:t xml:space="preserve"> </w:t>
      </w:r>
      <w:r>
        <w:rPr>
          <w:sz w:val="14"/>
        </w:rPr>
        <w:t>de</w:t>
      </w:r>
      <w:r>
        <w:rPr>
          <w:spacing w:val="4"/>
          <w:sz w:val="14"/>
        </w:rPr>
        <w:t xml:space="preserve"> </w:t>
      </w:r>
      <w:r>
        <w:rPr>
          <w:sz w:val="14"/>
        </w:rPr>
        <w:t>2021</w:t>
      </w:r>
      <w:r>
        <w:rPr>
          <w:spacing w:val="3"/>
          <w:sz w:val="14"/>
        </w:rPr>
        <w:t xml:space="preserve"> </w:t>
      </w:r>
      <w:r>
        <w:rPr>
          <w:sz w:val="14"/>
        </w:rPr>
        <w:t>(en</w:t>
      </w:r>
      <w:r>
        <w:rPr>
          <w:spacing w:val="3"/>
          <w:sz w:val="14"/>
        </w:rPr>
        <w:t xml:space="preserve"> </w:t>
      </w:r>
      <w:r>
        <w:rPr>
          <w:sz w:val="14"/>
        </w:rPr>
        <w:t>archivos</w:t>
      </w:r>
      <w:r>
        <w:rPr>
          <w:spacing w:val="4"/>
          <w:sz w:val="14"/>
        </w:rPr>
        <w:t xml:space="preserve"> </w:t>
      </w:r>
      <w:r>
        <w:rPr>
          <w:sz w:val="14"/>
        </w:rPr>
        <w:t>de</w:t>
      </w:r>
      <w:r>
        <w:rPr>
          <w:spacing w:val="3"/>
          <w:sz w:val="14"/>
        </w:rPr>
        <w:t xml:space="preserve"> </w:t>
      </w:r>
      <w:proofErr w:type="spellStart"/>
      <w:r>
        <w:rPr>
          <w:sz w:val="14"/>
        </w:rPr>
        <w:t>Equal</w:t>
      </w:r>
      <w:proofErr w:type="spellEnd"/>
      <w:r>
        <w:rPr>
          <w:spacing w:val="3"/>
          <w:sz w:val="14"/>
        </w:rPr>
        <w:t xml:space="preserve"> </w:t>
      </w:r>
      <w:proofErr w:type="spellStart"/>
      <w:r>
        <w:rPr>
          <w:sz w:val="14"/>
        </w:rPr>
        <w:t>Rights</w:t>
      </w:r>
      <w:proofErr w:type="spellEnd"/>
      <w:r>
        <w:rPr>
          <w:spacing w:val="4"/>
          <w:sz w:val="14"/>
        </w:rPr>
        <w:t xml:space="preserve"> </w:t>
      </w:r>
      <w:r>
        <w:rPr>
          <w:spacing w:val="-2"/>
          <w:sz w:val="14"/>
        </w:rPr>
        <w:t>Trust).</w:t>
      </w:r>
    </w:p>
    <w:p w14:paraId="4F9ED47F" w14:textId="77777777" w:rsidR="0014798C" w:rsidRDefault="0014798C">
      <w:pPr>
        <w:pStyle w:val="Textoindependiente"/>
        <w:rPr>
          <w:sz w:val="18"/>
        </w:rPr>
      </w:pPr>
    </w:p>
    <w:p w14:paraId="1B4AEA19" w14:textId="77777777" w:rsidR="0014798C" w:rsidRDefault="0014798C">
      <w:pPr>
        <w:pStyle w:val="Textoindependiente"/>
        <w:rPr>
          <w:sz w:val="18"/>
        </w:rPr>
      </w:pPr>
    </w:p>
    <w:p w14:paraId="24039262" w14:textId="77777777" w:rsidR="0014798C" w:rsidRDefault="0014798C">
      <w:pPr>
        <w:pStyle w:val="Textoindependiente"/>
        <w:rPr>
          <w:sz w:val="18"/>
        </w:rPr>
      </w:pPr>
    </w:p>
    <w:p w14:paraId="38137026" w14:textId="77777777" w:rsidR="0014798C" w:rsidRDefault="0014798C">
      <w:pPr>
        <w:pStyle w:val="Textoindependiente"/>
        <w:spacing w:before="103"/>
        <w:rPr>
          <w:sz w:val="18"/>
        </w:rPr>
      </w:pPr>
    </w:p>
    <w:p w14:paraId="5CC244A2" w14:textId="77777777" w:rsidR="0014798C" w:rsidRPr="00537489" w:rsidRDefault="004E1F0B">
      <w:pPr>
        <w:ind w:left="440"/>
        <w:rPr>
          <w:sz w:val="18"/>
          <w:lang w:val="en-US"/>
        </w:rPr>
      </w:pPr>
      <w:r w:rsidRPr="00537489">
        <w:rPr>
          <w:spacing w:val="-4"/>
          <w:sz w:val="18"/>
          <w:lang w:val="en-US"/>
        </w:rPr>
        <w:t>xxvi</w:t>
      </w:r>
    </w:p>
    <w:p w14:paraId="23CFEB19" w14:textId="77777777" w:rsidR="0014798C" w:rsidRPr="00537489" w:rsidRDefault="0014798C">
      <w:pPr>
        <w:rPr>
          <w:sz w:val="18"/>
          <w:lang w:val="en-US"/>
        </w:rPr>
        <w:sectPr w:rsidR="0014798C" w:rsidRPr="00537489" w:rsidSect="00F265E4">
          <w:pgSz w:w="11900" w:h="16820"/>
          <w:pgMar w:top="340" w:right="0" w:bottom="280" w:left="200" w:header="121" w:footer="0" w:gutter="0"/>
          <w:cols w:space="720"/>
        </w:sectPr>
      </w:pPr>
    </w:p>
    <w:p w14:paraId="7A7AD54D" w14:textId="77777777" w:rsidR="0014798C" w:rsidRPr="00537489" w:rsidRDefault="004E1F0B">
      <w:pPr>
        <w:spacing w:before="76"/>
        <w:ind w:left="113"/>
        <w:rPr>
          <w:sz w:val="21"/>
          <w:lang w:val="en-US"/>
        </w:rPr>
      </w:pPr>
      <w:r>
        <w:rPr>
          <w:noProof/>
        </w:rPr>
        <w:lastRenderedPageBreak/>
        <w:drawing>
          <wp:anchor distT="0" distB="0" distL="0" distR="0" simplePos="0" relativeHeight="251658357" behindDoc="1" locked="0" layoutInCell="1" allowOverlap="1" wp14:anchorId="078F821F" wp14:editId="277F9C68">
            <wp:simplePos x="0" y="0"/>
            <wp:positionH relativeFrom="page">
              <wp:posOffset>0</wp:posOffset>
            </wp:positionH>
            <wp:positionV relativeFrom="page">
              <wp:posOffset>0</wp:posOffset>
            </wp:positionV>
            <wp:extent cx="7556500" cy="10680700"/>
            <wp:effectExtent l="0" t="0" r="0" b="0"/>
            <wp:wrapNone/>
            <wp:docPr id="39" name="Image 3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9" name="Image 39"/>
                    <pic:cNvPicPr/>
                  </pic:nvPicPr>
                  <pic:blipFill>
                    <a:blip r:embed="rId29" cstate="print"/>
                    <a:stretch>
                      <a:fillRect/>
                    </a:stretch>
                  </pic:blipFill>
                  <pic:spPr>
                    <a:xfrm>
                      <a:off x="0" y="0"/>
                      <a:ext cx="7556500" cy="10680700"/>
                    </a:xfrm>
                    <a:prstGeom prst="rect">
                      <a:avLst/>
                    </a:prstGeom>
                  </pic:spPr>
                </pic:pic>
              </a:graphicData>
            </a:graphic>
          </wp:anchor>
        </w:drawing>
      </w:r>
      <w:r w:rsidRPr="00537489">
        <w:rPr>
          <w:sz w:val="21"/>
          <w:lang w:val="en-US"/>
        </w:rPr>
        <w:t>Machine</w:t>
      </w:r>
      <w:r w:rsidRPr="00537489">
        <w:rPr>
          <w:spacing w:val="6"/>
          <w:sz w:val="21"/>
          <w:lang w:val="en-US"/>
        </w:rPr>
        <w:t xml:space="preserve"> </w:t>
      </w:r>
      <w:r w:rsidRPr="00537489">
        <w:rPr>
          <w:sz w:val="21"/>
          <w:lang w:val="en-US"/>
        </w:rPr>
        <w:t>Translated</w:t>
      </w:r>
      <w:r w:rsidRPr="00537489">
        <w:rPr>
          <w:spacing w:val="7"/>
          <w:sz w:val="21"/>
          <w:lang w:val="en-US"/>
        </w:rPr>
        <w:t xml:space="preserve"> </w:t>
      </w:r>
      <w:r w:rsidRPr="00537489">
        <w:rPr>
          <w:sz w:val="21"/>
          <w:lang w:val="en-US"/>
        </w:rPr>
        <w:t>by</w:t>
      </w:r>
      <w:r w:rsidRPr="00537489">
        <w:rPr>
          <w:spacing w:val="7"/>
          <w:sz w:val="21"/>
          <w:lang w:val="en-US"/>
        </w:rPr>
        <w:t xml:space="preserve"> </w:t>
      </w:r>
      <w:r w:rsidRPr="00537489">
        <w:rPr>
          <w:spacing w:val="-2"/>
          <w:sz w:val="21"/>
          <w:lang w:val="en-US"/>
        </w:rPr>
        <w:t>Google</w:t>
      </w:r>
    </w:p>
    <w:p w14:paraId="5555E627" w14:textId="77777777" w:rsidR="0014798C" w:rsidRPr="00537489" w:rsidRDefault="0014798C">
      <w:pPr>
        <w:pStyle w:val="Textoindependiente"/>
        <w:spacing w:before="51"/>
        <w:rPr>
          <w:sz w:val="14"/>
          <w:lang w:val="en-US"/>
        </w:rPr>
      </w:pPr>
    </w:p>
    <w:p w14:paraId="5B6B57AF" w14:textId="77777777" w:rsidR="0014798C" w:rsidRPr="00537489" w:rsidRDefault="004E1F0B">
      <w:pPr>
        <w:ind w:left="1114"/>
        <w:rPr>
          <w:sz w:val="14"/>
          <w:lang w:val="en-US"/>
        </w:rPr>
      </w:pPr>
      <w:r w:rsidRPr="00537489">
        <w:rPr>
          <w:color w:val="0075BF"/>
          <w:spacing w:val="-2"/>
          <w:sz w:val="14"/>
          <w:lang w:val="en-US"/>
        </w:rPr>
        <w:t>INTRODUCCIÓN</w:t>
      </w:r>
    </w:p>
    <w:p w14:paraId="400FB588" w14:textId="77777777" w:rsidR="0014798C" w:rsidRPr="00537489" w:rsidRDefault="0014798C">
      <w:pPr>
        <w:pStyle w:val="Textoindependiente"/>
        <w:rPr>
          <w:sz w:val="26"/>
          <w:lang w:val="en-US"/>
        </w:rPr>
      </w:pPr>
    </w:p>
    <w:p w14:paraId="35B3FDE5" w14:textId="77777777" w:rsidR="0014798C" w:rsidRPr="00537489" w:rsidRDefault="0014798C">
      <w:pPr>
        <w:pStyle w:val="Textoindependiente"/>
        <w:rPr>
          <w:sz w:val="26"/>
          <w:lang w:val="en-US"/>
        </w:rPr>
      </w:pPr>
    </w:p>
    <w:p w14:paraId="55200BB6" w14:textId="77777777" w:rsidR="0014798C" w:rsidRPr="00537489" w:rsidRDefault="0014798C">
      <w:pPr>
        <w:pStyle w:val="Textoindependiente"/>
        <w:spacing w:before="91"/>
        <w:rPr>
          <w:sz w:val="26"/>
          <w:lang w:val="en-US"/>
        </w:rPr>
      </w:pPr>
    </w:p>
    <w:p w14:paraId="496E36EF" w14:textId="77777777" w:rsidR="0014798C" w:rsidRDefault="004E1F0B">
      <w:pPr>
        <w:numPr>
          <w:ilvl w:val="0"/>
          <w:numId w:val="93"/>
        </w:numPr>
        <w:tabs>
          <w:tab w:val="left" w:pos="1343"/>
        </w:tabs>
        <w:ind w:left="1343" w:hanging="220"/>
        <w:rPr>
          <w:color w:val="0075BF"/>
          <w:sz w:val="26"/>
        </w:rPr>
      </w:pPr>
      <w:bookmarkStart w:id="4" w:name="alcance"/>
      <w:r>
        <w:rPr>
          <w:color w:val="0075BF"/>
          <w:sz w:val="26"/>
        </w:rPr>
        <w:t>METODOLOGÍA,</w:t>
      </w:r>
      <w:r>
        <w:rPr>
          <w:color w:val="0075BF"/>
          <w:spacing w:val="17"/>
          <w:sz w:val="26"/>
        </w:rPr>
        <w:t xml:space="preserve"> </w:t>
      </w:r>
      <w:r>
        <w:rPr>
          <w:color w:val="0075BF"/>
          <w:sz w:val="26"/>
        </w:rPr>
        <w:t>ALCANCE</w:t>
      </w:r>
      <w:r>
        <w:rPr>
          <w:color w:val="0075BF"/>
          <w:spacing w:val="20"/>
          <w:sz w:val="26"/>
        </w:rPr>
        <w:t xml:space="preserve"> </w:t>
      </w:r>
      <w:r>
        <w:rPr>
          <w:color w:val="0075BF"/>
          <w:sz w:val="26"/>
        </w:rPr>
        <w:t>Y</w:t>
      </w:r>
      <w:r>
        <w:rPr>
          <w:color w:val="0075BF"/>
          <w:spacing w:val="18"/>
          <w:sz w:val="26"/>
        </w:rPr>
        <w:t xml:space="preserve"> </w:t>
      </w:r>
      <w:r>
        <w:rPr>
          <w:color w:val="0075BF"/>
          <w:spacing w:val="-2"/>
          <w:sz w:val="26"/>
        </w:rPr>
        <w:t>LIMITACIONES</w:t>
      </w:r>
      <w:bookmarkEnd w:id="4"/>
    </w:p>
    <w:p w14:paraId="243E454B" w14:textId="77777777" w:rsidR="0014798C" w:rsidRDefault="0014798C">
      <w:pPr>
        <w:pStyle w:val="Textoindependiente"/>
        <w:spacing w:before="23"/>
      </w:pPr>
    </w:p>
    <w:p w14:paraId="03F51941" w14:textId="77777777" w:rsidR="0014798C" w:rsidRDefault="004E1F0B">
      <w:pPr>
        <w:pStyle w:val="Textoindependiente"/>
        <w:spacing w:before="1" w:line="326" w:lineRule="auto"/>
        <w:ind w:left="1105" w:right="1443"/>
      </w:pPr>
      <w:r>
        <w:t xml:space="preserve">La presente guía fue desarrollada a través de una asociación entre la Oficina del Alto Comisionado de las Naciones Unidas para los Derechos Humanos (ACNUDH), la expresión institucional de un compromiso global con los derechos humanos, y </w:t>
      </w:r>
      <w:proofErr w:type="spellStart"/>
      <w:r>
        <w:t>Equal</w:t>
      </w:r>
      <w:proofErr w:type="spellEnd"/>
      <w:r>
        <w:rPr>
          <w:spacing w:val="40"/>
        </w:rPr>
        <w:t xml:space="preserve"> </w:t>
      </w:r>
      <w:proofErr w:type="spellStart"/>
      <w:r>
        <w:t>Rights</w:t>
      </w:r>
      <w:proofErr w:type="spellEnd"/>
      <w:r>
        <w:t xml:space="preserve"> Trust, la principal organización internacional de la sociedad civil que apoya a quienes trabajan para asegurar la adopción</w:t>
      </w:r>
      <w:r>
        <w:rPr>
          <w:spacing w:val="80"/>
        </w:rPr>
        <w:t xml:space="preserve"> </w:t>
      </w:r>
      <w:r>
        <w:t>e implementación de leyes de igualdad. Juntos, los socios aportaron amplios conocimientos y experiencia sobre estándares internacionales sobre igualdad y no discriminación y experiencia en el desarrollo y adopción de leyes contra la discriminación. Al mismo tiempo, la asociación permitió la colaboración con una amplia gama de agentes, expertos y activistas estatales y no estatales con experiencia en esta esfera del derecho de todo el mundo.</w:t>
      </w:r>
    </w:p>
    <w:p w14:paraId="6CD67F45" w14:textId="77777777" w:rsidR="0014798C" w:rsidRDefault="0014798C">
      <w:pPr>
        <w:pStyle w:val="Textoindependiente"/>
      </w:pPr>
    </w:p>
    <w:p w14:paraId="7BDD5DCB" w14:textId="77777777" w:rsidR="0014798C" w:rsidRDefault="0014798C">
      <w:pPr>
        <w:pStyle w:val="Textoindependiente"/>
        <w:spacing w:before="48"/>
      </w:pPr>
    </w:p>
    <w:p w14:paraId="76642BF4" w14:textId="77777777" w:rsidR="0014798C" w:rsidRDefault="004E1F0B">
      <w:pPr>
        <w:pStyle w:val="Textoindependiente"/>
        <w:spacing w:line="326" w:lineRule="auto"/>
        <w:ind w:left="1107" w:right="1272" w:hanging="1"/>
      </w:pPr>
      <w:r>
        <w:t xml:space="preserve">La creación de la guía implicó una investigación de las normas jurídicas internacionales sobre los derechos a la igualdad y la no discriminación y la igualdad, combinada con una amplia consulta tanto con gobiernos como con organizaciones no gubernamentales para identificar las prácticas pertinentes a nivel nacional. La investigación, consulta y redacción de la guía estuvieron a cargo de un pequeño equipo conjunto del </w:t>
      </w:r>
      <w:proofErr w:type="spellStart"/>
      <w:r>
        <w:t>Equal</w:t>
      </w:r>
      <w:proofErr w:type="spellEnd"/>
      <w:r>
        <w:t xml:space="preserve"> </w:t>
      </w:r>
      <w:proofErr w:type="spellStart"/>
      <w:r>
        <w:t>Rights</w:t>
      </w:r>
      <w:proofErr w:type="spellEnd"/>
      <w:r>
        <w:t xml:space="preserve"> Trust y la Sección de Pueblos Indígenas y Minorías del </w:t>
      </w:r>
      <w:r>
        <w:rPr>
          <w:spacing w:val="-2"/>
        </w:rPr>
        <w:t>ACNUDH.</w:t>
      </w:r>
    </w:p>
    <w:p w14:paraId="7BF72F8A" w14:textId="77777777" w:rsidR="0014798C" w:rsidRDefault="0014798C">
      <w:pPr>
        <w:pStyle w:val="Textoindependiente"/>
        <w:spacing w:before="83"/>
        <w:rPr>
          <w:sz w:val="26"/>
        </w:rPr>
      </w:pPr>
    </w:p>
    <w:p w14:paraId="54E7C3BB" w14:textId="77777777" w:rsidR="0014798C" w:rsidRDefault="004E1F0B">
      <w:pPr>
        <w:numPr>
          <w:ilvl w:val="1"/>
          <w:numId w:val="93"/>
        </w:numPr>
        <w:tabs>
          <w:tab w:val="left" w:pos="1423"/>
        </w:tabs>
        <w:spacing w:before="1"/>
        <w:ind w:left="1423" w:hanging="323"/>
        <w:rPr>
          <w:color w:val="0075BF"/>
          <w:sz w:val="26"/>
        </w:rPr>
      </w:pPr>
      <w:r>
        <w:rPr>
          <w:color w:val="0075BF"/>
          <w:sz w:val="26"/>
        </w:rPr>
        <w:t>Proceso</w:t>
      </w:r>
      <w:r>
        <w:rPr>
          <w:color w:val="0075BF"/>
          <w:spacing w:val="9"/>
          <w:sz w:val="26"/>
        </w:rPr>
        <w:t xml:space="preserve"> </w:t>
      </w:r>
      <w:r>
        <w:rPr>
          <w:color w:val="0075BF"/>
          <w:sz w:val="26"/>
        </w:rPr>
        <w:t>y</w:t>
      </w:r>
      <w:r>
        <w:rPr>
          <w:color w:val="0075BF"/>
          <w:spacing w:val="9"/>
          <w:sz w:val="26"/>
        </w:rPr>
        <w:t xml:space="preserve"> </w:t>
      </w:r>
      <w:r>
        <w:rPr>
          <w:color w:val="0075BF"/>
          <w:sz w:val="26"/>
        </w:rPr>
        <w:t>metodología</w:t>
      </w:r>
      <w:r>
        <w:rPr>
          <w:color w:val="0075BF"/>
          <w:spacing w:val="10"/>
          <w:sz w:val="26"/>
        </w:rPr>
        <w:t xml:space="preserve"> </w:t>
      </w:r>
      <w:r>
        <w:rPr>
          <w:color w:val="0075BF"/>
          <w:sz w:val="26"/>
        </w:rPr>
        <w:t>de</w:t>
      </w:r>
      <w:r>
        <w:rPr>
          <w:color w:val="0075BF"/>
          <w:spacing w:val="9"/>
          <w:sz w:val="26"/>
        </w:rPr>
        <w:t xml:space="preserve"> </w:t>
      </w:r>
      <w:r>
        <w:rPr>
          <w:color w:val="0075BF"/>
          <w:sz w:val="26"/>
        </w:rPr>
        <w:t>la</w:t>
      </w:r>
      <w:r>
        <w:rPr>
          <w:color w:val="0075BF"/>
          <w:spacing w:val="10"/>
          <w:sz w:val="26"/>
        </w:rPr>
        <w:t xml:space="preserve"> </w:t>
      </w:r>
      <w:r>
        <w:rPr>
          <w:color w:val="0075BF"/>
          <w:spacing w:val="-2"/>
          <w:sz w:val="26"/>
        </w:rPr>
        <w:t>investigación</w:t>
      </w:r>
    </w:p>
    <w:p w14:paraId="5A4CCDD9" w14:textId="77777777" w:rsidR="0014798C" w:rsidRDefault="0014798C">
      <w:pPr>
        <w:pStyle w:val="Textoindependiente"/>
        <w:spacing w:before="26"/>
        <w:rPr>
          <w:sz w:val="14"/>
        </w:rPr>
      </w:pPr>
    </w:p>
    <w:p w14:paraId="4F81F3C5" w14:textId="77777777" w:rsidR="0014798C" w:rsidRDefault="004E1F0B">
      <w:pPr>
        <w:spacing w:line="372" w:lineRule="auto"/>
        <w:ind w:left="1107" w:right="1256" w:hanging="1"/>
        <w:rPr>
          <w:sz w:val="14"/>
        </w:rPr>
      </w:pPr>
      <w:r>
        <w:rPr>
          <w:sz w:val="14"/>
        </w:rPr>
        <w:t>La</w:t>
      </w:r>
      <w:r>
        <w:rPr>
          <w:spacing w:val="-3"/>
          <w:sz w:val="14"/>
        </w:rPr>
        <w:t xml:space="preserve"> </w:t>
      </w:r>
      <w:r>
        <w:rPr>
          <w:sz w:val="14"/>
        </w:rPr>
        <w:t>producción</w:t>
      </w:r>
      <w:r>
        <w:rPr>
          <w:spacing w:val="-3"/>
          <w:sz w:val="14"/>
        </w:rPr>
        <w:t xml:space="preserve"> </w:t>
      </w:r>
      <w:r>
        <w:rPr>
          <w:sz w:val="14"/>
        </w:rPr>
        <w:t>de</w:t>
      </w:r>
      <w:r>
        <w:rPr>
          <w:spacing w:val="-3"/>
          <w:sz w:val="14"/>
        </w:rPr>
        <w:t xml:space="preserve"> </w:t>
      </w:r>
      <w:r>
        <w:rPr>
          <w:sz w:val="14"/>
        </w:rPr>
        <w:t>la</w:t>
      </w:r>
      <w:r>
        <w:rPr>
          <w:spacing w:val="-3"/>
          <w:sz w:val="14"/>
        </w:rPr>
        <w:t xml:space="preserve"> </w:t>
      </w:r>
      <w:r>
        <w:rPr>
          <w:sz w:val="14"/>
        </w:rPr>
        <w:t>guía</w:t>
      </w:r>
      <w:r>
        <w:rPr>
          <w:spacing w:val="-3"/>
          <w:sz w:val="14"/>
        </w:rPr>
        <w:t xml:space="preserve"> </w:t>
      </w:r>
      <w:r>
        <w:rPr>
          <w:sz w:val="14"/>
        </w:rPr>
        <w:t>implicó</w:t>
      </w:r>
      <w:r>
        <w:rPr>
          <w:spacing w:val="-3"/>
          <w:sz w:val="14"/>
        </w:rPr>
        <w:t xml:space="preserve"> </w:t>
      </w:r>
      <w:r>
        <w:rPr>
          <w:sz w:val="14"/>
        </w:rPr>
        <w:t>cuatro</w:t>
      </w:r>
      <w:r>
        <w:rPr>
          <w:spacing w:val="-3"/>
          <w:sz w:val="14"/>
        </w:rPr>
        <w:t xml:space="preserve"> </w:t>
      </w:r>
      <w:r>
        <w:rPr>
          <w:sz w:val="14"/>
        </w:rPr>
        <w:t>procesos</w:t>
      </w:r>
      <w:r>
        <w:rPr>
          <w:spacing w:val="-3"/>
          <w:sz w:val="14"/>
        </w:rPr>
        <w:t xml:space="preserve"> </w:t>
      </w:r>
      <w:r>
        <w:rPr>
          <w:sz w:val="14"/>
        </w:rPr>
        <w:t>de</w:t>
      </w:r>
      <w:r>
        <w:rPr>
          <w:spacing w:val="-3"/>
          <w:sz w:val="14"/>
        </w:rPr>
        <w:t xml:space="preserve"> </w:t>
      </w:r>
      <w:r>
        <w:rPr>
          <w:sz w:val="14"/>
        </w:rPr>
        <w:t>investigación.</w:t>
      </w:r>
      <w:r>
        <w:rPr>
          <w:spacing w:val="-2"/>
          <w:sz w:val="14"/>
        </w:rPr>
        <w:t xml:space="preserve"> </w:t>
      </w:r>
      <w:r>
        <w:rPr>
          <w:sz w:val="14"/>
        </w:rPr>
        <w:t>En</w:t>
      </w:r>
      <w:r>
        <w:rPr>
          <w:spacing w:val="-3"/>
          <w:sz w:val="14"/>
        </w:rPr>
        <w:t xml:space="preserve"> </w:t>
      </w:r>
      <w:r>
        <w:rPr>
          <w:sz w:val="14"/>
        </w:rPr>
        <w:t>primer</w:t>
      </w:r>
      <w:r>
        <w:rPr>
          <w:spacing w:val="-3"/>
          <w:sz w:val="14"/>
        </w:rPr>
        <w:t xml:space="preserve"> </w:t>
      </w:r>
      <w:r>
        <w:rPr>
          <w:sz w:val="14"/>
        </w:rPr>
        <w:t>lugar,</w:t>
      </w:r>
      <w:r>
        <w:rPr>
          <w:spacing w:val="-3"/>
          <w:sz w:val="14"/>
        </w:rPr>
        <w:t xml:space="preserve"> </w:t>
      </w:r>
      <w:r>
        <w:rPr>
          <w:sz w:val="14"/>
        </w:rPr>
        <w:t>personal</w:t>
      </w:r>
      <w:r>
        <w:rPr>
          <w:spacing w:val="-3"/>
          <w:sz w:val="14"/>
        </w:rPr>
        <w:t xml:space="preserve"> </w:t>
      </w:r>
      <w:r>
        <w:rPr>
          <w:sz w:val="14"/>
        </w:rPr>
        <w:t>de</w:t>
      </w:r>
      <w:r>
        <w:rPr>
          <w:spacing w:val="-3"/>
          <w:sz w:val="14"/>
        </w:rPr>
        <w:t xml:space="preserve"> </w:t>
      </w:r>
      <w:proofErr w:type="spellStart"/>
      <w:r>
        <w:rPr>
          <w:sz w:val="14"/>
        </w:rPr>
        <w:t>Equal</w:t>
      </w:r>
      <w:proofErr w:type="spellEnd"/>
      <w:r>
        <w:rPr>
          <w:spacing w:val="-3"/>
          <w:sz w:val="14"/>
        </w:rPr>
        <w:t xml:space="preserve"> </w:t>
      </w:r>
      <w:proofErr w:type="spellStart"/>
      <w:r>
        <w:rPr>
          <w:sz w:val="14"/>
        </w:rPr>
        <w:t>Rights</w:t>
      </w:r>
      <w:proofErr w:type="spellEnd"/>
      <w:r>
        <w:rPr>
          <w:spacing w:val="-3"/>
          <w:sz w:val="14"/>
        </w:rPr>
        <w:t xml:space="preserve"> </w:t>
      </w:r>
      <w:r>
        <w:rPr>
          <w:sz w:val="14"/>
        </w:rPr>
        <w:t>Trust</w:t>
      </w:r>
      <w:r>
        <w:rPr>
          <w:spacing w:val="-3"/>
          <w:sz w:val="14"/>
        </w:rPr>
        <w:t xml:space="preserve"> </w:t>
      </w:r>
      <w:r>
        <w:rPr>
          <w:sz w:val="14"/>
        </w:rPr>
        <w:t>y</w:t>
      </w:r>
      <w:r>
        <w:rPr>
          <w:spacing w:val="-3"/>
          <w:sz w:val="14"/>
        </w:rPr>
        <w:t xml:space="preserve"> </w:t>
      </w:r>
      <w:r>
        <w:rPr>
          <w:sz w:val="14"/>
        </w:rPr>
        <w:t>ACNUDH</w:t>
      </w:r>
      <w:r>
        <w:rPr>
          <w:spacing w:val="-3"/>
          <w:sz w:val="14"/>
        </w:rPr>
        <w:t xml:space="preserve"> </w:t>
      </w:r>
      <w:r>
        <w:rPr>
          <w:sz w:val="14"/>
        </w:rPr>
        <w:t>llevaron</w:t>
      </w:r>
      <w:r>
        <w:rPr>
          <w:spacing w:val="-3"/>
          <w:sz w:val="14"/>
        </w:rPr>
        <w:t xml:space="preserve"> </w:t>
      </w:r>
      <w:r>
        <w:rPr>
          <w:sz w:val="14"/>
        </w:rPr>
        <w:t>a</w:t>
      </w:r>
      <w:r>
        <w:rPr>
          <w:spacing w:val="-3"/>
          <w:sz w:val="14"/>
        </w:rPr>
        <w:t xml:space="preserve"> </w:t>
      </w:r>
      <w:r>
        <w:rPr>
          <w:sz w:val="14"/>
        </w:rPr>
        <w:t>cabo</w:t>
      </w:r>
      <w:r>
        <w:rPr>
          <w:spacing w:val="-3"/>
          <w:sz w:val="14"/>
        </w:rPr>
        <w:t xml:space="preserve"> </w:t>
      </w:r>
      <w:r>
        <w:rPr>
          <w:sz w:val="14"/>
        </w:rPr>
        <w:t>una</w:t>
      </w:r>
      <w:r>
        <w:rPr>
          <w:spacing w:val="40"/>
          <w:sz w:val="14"/>
        </w:rPr>
        <w:t xml:space="preserve"> </w:t>
      </w:r>
      <w:r>
        <w:rPr>
          <w:sz w:val="14"/>
        </w:rPr>
        <w:t>investigación</w:t>
      </w:r>
      <w:r>
        <w:rPr>
          <w:spacing w:val="-2"/>
          <w:sz w:val="14"/>
        </w:rPr>
        <w:t xml:space="preserve"> </w:t>
      </w:r>
      <w:r>
        <w:rPr>
          <w:sz w:val="14"/>
        </w:rPr>
        <w:t>jurídica</w:t>
      </w:r>
      <w:r>
        <w:rPr>
          <w:spacing w:val="-2"/>
          <w:sz w:val="14"/>
        </w:rPr>
        <w:t xml:space="preserve"> </w:t>
      </w:r>
      <w:r>
        <w:rPr>
          <w:sz w:val="14"/>
        </w:rPr>
        <w:t>para</w:t>
      </w:r>
      <w:r>
        <w:rPr>
          <w:spacing w:val="-2"/>
          <w:sz w:val="14"/>
        </w:rPr>
        <w:t xml:space="preserve"> </w:t>
      </w:r>
      <w:r>
        <w:rPr>
          <w:sz w:val="14"/>
        </w:rPr>
        <w:t>identificar</w:t>
      </w:r>
      <w:r>
        <w:rPr>
          <w:spacing w:val="-2"/>
          <w:sz w:val="14"/>
        </w:rPr>
        <w:t xml:space="preserve"> </w:t>
      </w:r>
      <w:r>
        <w:rPr>
          <w:sz w:val="14"/>
        </w:rPr>
        <w:t>normas</w:t>
      </w:r>
      <w:r>
        <w:rPr>
          <w:spacing w:val="-2"/>
          <w:sz w:val="14"/>
        </w:rPr>
        <w:t xml:space="preserve"> </w:t>
      </w:r>
      <w:r>
        <w:rPr>
          <w:sz w:val="14"/>
        </w:rPr>
        <w:t>jurídicas</w:t>
      </w:r>
      <w:r>
        <w:rPr>
          <w:spacing w:val="-2"/>
          <w:sz w:val="14"/>
        </w:rPr>
        <w:t xml:space="preserve"> </w:t>
      </w:r>
      <w:r>
        <w:rPr>
          <w:sz w:val="14"/>
        </w:rPr>
        <w:t>internacionales</w:t>
      </w:r>
      <w:r>
        <w:rPr>
          <w:spacing w:val="-2"/>
          <w:sz w:val="14"/>
        </w:rPr>
        <w:t xml:space="preserve"> </w:t>
      </w:r>
      <w:r>
        <w:rPr>
          <w:sz w:val="14"/>
        </w:rPr>
        <w:t>pertinentes</w:t>
      </w:r>
      <w:r>
        <w:rPr>
          <w:spacing w:val="-2"/>
          <w:sz w:val="14"/>
        </w:rPr>
        <w:t xml:space="preserve"> </w:t>
      </w:r>
      <w:r>
        <w:rPr>
          <w:sz w:val="14"/>
        </w:rPr>
        <w:t>sobre</w:t>
      </w:r>
      <w:r>
        <w:rPr>
          <w:spacing w:val="-2"/>
          <w:sz w:val="14"/>
        </w:rPr>
        <w:t xml:space="preserve"> </w:t>
      </w:r>
      <w:r>
        <w:rPr>
          <w:sz w:val="14"/>
        </w:rPr>
        <w:t>igualdad</w:t>
      </w:r>
      <w:r>
        <w:rPr>
          <w:spacing w:val="-2"/>
          <w:sz w:val="14"/>
        </w:rPr>
        <w:t xml:space="preserve"> </w:t>
      </w:r>
      <w:r>
        <w:rPr>
          <w:sz w:val="14"/>
        </w:rPr>
        <w:t>y</w:t>
      </w:r>
      <w:r>
        <w:rPr>
          <w:spacing w:val="-2"/>
          <w:sz w:val="14"/>
        </w:rPr>
        <w:t xml:space="preserve"> </w:t>
      </w:r>
      <w:r>
        <w:rPr>
          <w:sz w:val="14"/>
        </w:rPr>
        <w:t>no</w:t>
      </w:r>
      <w:r>
        <w:rPr>
          <w:spacing w:val="-2"/>
          <w:sz w:val="14"/>
        </w:rPr>
        <w:t xml:space="preserve"> </w:t>
      </w:r>
      <w:r>
        <w:rPr>
          <w:sz w:val="14"/>
        </w:rPr>
        <w:t>discriminación.</w:t>
      </w:r>
      <w:r>
        <w:rPr>
          <w:spacing w:val="-1"/>
          <w:sz w:val="14"/>
        </w:rPr>
        <w:t xml:space="preserve"> </w:t>
      </w:r>
      <w:r>
        <w:rPr>
          <w:sz w:val="14"/>
        </w:rPr>
        <w:t>Esto</w:t>
      </w:r>
      <w:r>
        <w:rPr>
          <w:spacing w:val="-2"/>
          <w:sz w:val="14"/>
        </w:rPr>
        <w:t xml:space="preserve"> </w:t>
      </w:r>
      <w:r>
        <w:rPr>
          <w:sz w:val="14"/>
        </w:rPr>
        <w:t>implicó</w:t>
      </w:r>
      <w:r>
        <w:rPr>
          <w:spacing w:val="-2"/>
          <w:sz w:val="14"/>
        </w:rPr>
        <w:t xml:space="preserve"> </w:t>
      </w:r>
      <w:r>
        <w:rPr>
          <w:sz w:val="14"/>
        </w:rPr>
        <w:t>un</w:t>
      </w:r>
      <w:r>
        <w:rPr>
          <w:spacing w:val="-2"/>
          <w:sz w:val="14"/>
        </w:rPr>
        <w:t xml:space="preserve"> </w:t>
      </w:r>
      <w:r>
        <w:rPr>
          <w:sz w:val="14"/>
        </w:rPr>
        <w:t>examen</w:t>
      </w:r>
      <w:r>
        <w:rPr>
          <w:spacing w:val="40"/>
          <w:sz w:val="14"/>
        </w:rPr>
        <w:t xml:space="preserve"> </w:t>
      </w:r>
      <w:r>
        <w:rPr>
          <w:sz w:val="14"/>
        </w:rPr>
        <w:t>exhaustivo</w:t>
      </w:r>
      <w:r>
        <w:rPr>
          <w:spacing w:val="-1"/>
          <w:sz w:val="14"/>
        </w:rPr>
        <w:t xml:space="preserve"> </w:t>
      </w:r>
      <w:r>
        <w:rPr>
          <w:sz w:val="14"/>
        </w:rPr>
        <w:t>de</w:t>
      </w:r>
      <w:r>
        <w:rPr>
          <w:spacing w:val="-1"/>
          <w:sz w:val="14"/>
        </w:rPr>
        <w:t xml:space="preserve"> </w:t>
      </w:r>
      <w:r>
        <w:rPr>
          <w:sz w:val="14"/>
        </w:rPr>
        <w:t>los</w:t>
      </w:r>
      <w:r>
        <w:rPr>
          <w:spacing w:val="-1"/>
          <w:sz w:val="14"/>
        </w:rPr>
        <w:t xml:space="preserve"> </w:t>
      </w:r>
      <w:r>
        <w:rPr>
          <w:sz w:val="14"/>
        </w:rPr>
        <w:t>instrumentos</w:t>
      </w:r>
      <w:r>
        <w:rPr>
          <w:spacing w:val="-1"/>
          <w:sz w:val="14"/>
        </w:rPr>
        <w:t xml:space="preserve"> </w:t>
      </w:r>
      <w:r>
        <w:rPr>
          <w:sz w:val="14"/>
        </w:rPr>
        <w:t>internacionales</w:t>
      </w:r>
      <w:r>
        <w:rPr>
          <w:spacing w:val="-1"/>
          <w:sz w:val="14"/>
        </w:rPr>
        <w:t xml:space="preserve"> </w:t>
      </w:r>
      <w:r>
        <w:rPr>
          <w:sz w:val="14"/>
        </w:rPr>
        <w:t>de</w:t>
      </w:r>
      <w:r>
        <w:rPr>
          <w:spacing w:val="-1"/>
          <w:sz w:val="14"/>
        </w:rPr>
        <w:t xml:space="preserve"> </w:t>
      </w:r>
      <w:r>
        <w:rPr>
          <w:sz w:val="14"/>
        </w:rPr>
        <w:t>derechos</w:t>
      </w:r>
      <w:r>
        <w:rPr>
          <w:spacing w:val="-1"/>
          <w:sz w:val="14"/>
        </w:rPr>
        <w:t xml:space="preserve"> </w:t>
      </w:r>
      <w:r>
        <w:rPr>
          <w:sz w:val="14"/>
        </w:rPr>
        <w:t>humanos</w:t>
      </w:r>
      <w:r>
        <w:rPr>
          <w:spacing w:val="-1"/>
          <w:sz w:val="14"/>
        </w:rPr>
        <w:t xml:space="preserve"> </w:t>
      </w:r>
      <w:r>
        <w:rPr>
          <w:sz w:val="14"/>
        </w:rPr>
        <w:t>pertinentes, la</w:t>
      </w:r>
      <w:r>
        <w:rPr>
          <w:spacing w:val="-1"/>
          <w:sz w:val="14"/>
        </w:rPr>
        <w:t xml:space="preserve"> </w:t>
      </w:r>
      <w:r>
        <w:rPr>
          <w:sz w:val="14"/>
        </w:rPr>
        <w:t>interpretación</w:t>
      </w:r>
      <w:r>
        <w:rPr>
          <w:spacing w:val="-1"/>
          <w:sz w:val="14"/>
        </w:rPr>
        <w:t xml:space="preserve"> </w:t>
      </w:r>
      <w:r>
        <w:rPr>
          <w:sz w:val="14"/>
        </w:rPr>
        <w:t>de</w:t>
      </w:r>
      <w:r>
        <w:rPr>
          <w:spacing w:val="-1"/>
          <w:sz w:val="14"/>
        </w:rPr>
        <w:t xml:space="preserve"> </w:t>
      </w:r>
      <w:r>
        <w:rPr>
          <w:sz w:val="14"/>
        </w:rPr>
        <w:t>esos</w:t>
      </w:r>
      <w:r>
        <w:rPr>
          <w:spacing w:val="-1"/>
          <w:sz w:val="14"/>
        </w:rPr>
        <w:t xml:space="preserve"> </w:t>
      </w:r>
      <w:r>
        <w:rPr>
          <w:sz w:val="14"/>
        </w:rPr>
        <w:t>instrumentos</w:t>
      </w:r>
      <w:r>
        <w:rPr>
          <w:spacing w:val="-1"/>
          <w:sz w:val="14"/>
        </w:rPr>
        <w:t xml:space="preserve"> </w:t>
      </w:r>
      <w:r>
        <w:rPr>
          <w:sz w:val="14"/>
        </w:rPr>
        <w:t>por</w:t>
      </w:r>
      <w:r>
        <w:rPr>
          <w:spacing w:val="-1"/>
          <w:sz w:val="14"/>
        </w:rPr>
        <w:t xml:space="preserve"> </w:t>
      </w:r>
      <w:r>
        <w:rPr>
          <w:sz w:val="14"/>
        </w:rPr>
        <w:t>los</w:t>
      </w:r>
      <w:r>
        <w:rPr>
          <w:spacing w:val="-1"/>
          <w:sz w:val="14"/>
        </w:rPr>
        <w:t xml:space="preserve"> </w:t>
      </w:r>
      <w:r>
        <w:rPr>
          <w:sz w:val="14"/>
        </w:rPr>
        <w:t>órganos</w:t>
      </w:r>
      <w:r>
        <w:rPr>
          <w:spacing w:val="-1"/>
          <w:sz w:val="14"/>
        </w:rPr>
        <w:t xml:space="preserve"> </w:t>
      </w:r>
      <w:r>
        <w:rPr>
          <w:sz w:val="14"/>
        </w:rPr>
        <w:t>creados</w:t>
      </w:r>
      <w:r>
        <w:rPr>
          <w:spacing w:val="-1"/>
          <w:sz w:val="14"/>
        </w:rPr>
        <w:t xml:space="preserve"> </w:t>
      </w:r>
      <w:r>
        <w:rPr>
          <w:sz w:val="14"/>
        </w:rPr>
        <w:t>en</w:t>
      </w:r>
      <w:r>
        <w:rPr>
          <w:spacing w:val="40"/>
          <w:sz w:val="14"/>
        </w:rPr>
        <w:t xml:space="preserve"> </w:t>
      </w:r>
      <w:r>
        <w:rPr>
          <w:sz w:val="14"/>
        </w:rPr>
        <w:t>virtud</w:t>
      </w:r>
      <w:r>
        <w:rPr>
          <w:spacing w:val="-7"/>
          <w:sz w:val="14"/>
        </w:rPr>
        <w:t xml:space="preserve"> </w:t>
      </w:r>
      <w:r>
        <w:rPr>
          <w:sz w:val="14"/>
        </w:rPr>
        <w:t>de</w:t>
      </w:r>
      <w:r>
        <w:rPr>
          <w:spacing w:val="-7"/>
          <w:sz w:val="14"/>
        </w:rPr>
        <w:t xml:space="preserve"> </w:t>
      </w:r>
      <w:r>
        <w:rPr>
          <w:sz w:val="14"/>
        </w:rPr>
        <w:t>tratados</w:t>
      </w:r>
      <w:r>
        <w:rPr>
          <w:spacing w:val="-7"/>
          <w:sz w:val="14"/>
        </w:rPr>
        <w:t xml:space="preserve"> </w:t>
      </w:r>
      <w:r>
        <w:rPr>
          <w:sz w:val="14"/>
        </w:rPr>
        <w:t>de</w:t>
      </w:r>
      <w:r>
        <w:rPr>
          <w:spacing w:val="-7"/>
          <w:sz w:val="14"/>
        </w:rPr>
        <w:t xml:space="preserve"> </w:t>
      </w:r>
      <w:r>
        <w:rPr>
          <w:sz w:val="14"/>
        </w:rPr>
        <w:t>las</w:t>
      </w:r>
      <w:r>
        <w:rPr>
          <w:spacing w:val="-7"/>
          <w:sz w:val="14"/>
        </w:rPr>
        <w:t xml:space="preserve"> </w:t>
      </w:r>
      <w:r>
        <w:rPr>
          <w:sz w:val="14"/>
        </w:rPr>
        <w:t>Naciones</w:t>
      </w:r>
      <w:r>
        <w:rPr>
          <w:spacing w:val="-7"/>
          <w:sz w:val="14"/>
        </w:rPr>
        <w:t xml:space="preserve"> </w:t>
      </w:r>
      <w:r>
        <w:rPr>
          <w:sz w:val="14"/>
        </w:rPr>
        <w:t>Unidas</w:t>
      </w:r>
      <w:r>
        <w:rPr>
          <w:spacing w:val="-7"/>
          <w:sz w:val="14"/>
        </w:rPr>
        <w:t xml:space="preserve"> </w:t>
      </w:r>
      <w:r>
        <w:rPr>
          <w:sz w:val="14"/>
        </w:rPr>
        <w:t>en</w:t>
      </w:r>
      <w:r>
        <w:rPr>
          <w:spacing w:val="-7"/>
          <w:sz w:val="14"/>
        </w:rPr>
        <w:t xml:space="preserve"> </w:t>
      </w:r>
      <w:r>
        <w:rPr>
          <w:sz w:val="14"/>
        </w:rPr>
        <w:t>sus</w:t>
      </w:r>
      <w:r>
        <w:rPr>
          <w:spacing w:val="-7"/>
          <w:sz w:val="14"/>
        </w:rPr>
        <w:t xml:space="preserve"> </w:t>
      </w:r>
      <w:r>
        <w:rPr>
          <w:sz w:val="14"/>
        </w:rPr>
        <w:t>comentarios</w:t>
      </w:r>
      <w:r>
        <w:rPr>
          <w:spacing w:val="-7"/>
          <w:sz w:val="14"/>
        </w:rPr>
        <w:t xml:space="preserve"> </w:t>
      </w:r>
      <w:r>
        <w:rPr>
          <w:sz w:val="14"/>
        </w:rPr>
        <w:t>generales,</w:t>
      </w:r>
      <w:r>
        <w:rPr>
          <w:spacing w:val="-6"/>
          <w:sz w:val="14"/>
        </w:rPr>
        <w:t xml:space="preserve"> </w:t>
      </w:r>
      <w:r>
        <w:rPr>
          <w:sz w:val="14"/>
        </w:rPr>
        <w:t>observaciones</w:t>
      </w:r>
      <w:r>
        <w:rPr>
          <w:spacing w:val="-7"/>
          <w:sz w:val="14"/>
        </w:rPr>
        <w:t xml:space="preserve"> </w:t>
      </w:r>
      <w:r>
        <w:rPr>
          <w:sz w:val="14"/>
        </w:rPr>
        <w:t>finales</w:t>
      </w:r>
      <w:r>
        <w:rPr>
          <w:spacing w:val="-7"/>
          <w:sz w:val="14"/>
        </w:rPr>
        <w:t xml:space="preserve"> </w:t>
      </w:r>
      <w:r>
        <w:rPr>
          <w:sz w:val="14"/>
        </w:rPr>
        <w:t>y</w:t>
      </w:r>
      <w:r>
        <w:rPr>
          <w:spacing w:val="-7"/>
          <w:sz w:val="14"/>
        </w:rPr>
        <w:t xml:space="preserve"> </w:t>
      </w:r>
      <w:r>
        <w:rPr>
          <w:sz w:val="14"/>
        </w:rPr>
        <w:t>comunicaciones</w:t>
      </w:r>
      <w:r>
        <w:rPr>
          <w:spacing w:val="-7"/>
          <w:sz w:val="14"/>
        </w:rPr>
        <w:t xml:space="preserve"> </w:t>
      </w:r>
      <w:r>
        <w:rPr>
          <w:sz w:val="14"/>
        </w:rPr>
        <w:t>individuales,</w:t>
      </w:r>
      <w:r>
        <w:rPr>
          <w:spacing w:val="-6"/>
          <w:sz w:val="14"/>
        </w:rPr>
        <w:t xml:space="preserve"> </w:t>
      </w:r>
      <w:r>
        <w:rPr>
          <w:sz w:val="14"/>
        </w:rPr>
        <w:t>y</w:t>
      </w:r>
      <w:r>
        <w:rPr>
          <w:spacing w:val="-7"/>
          <w:sz w:val="14"/>
        </w:rPr>
        <w:t xml:space="preserve"> </w:t>
      </w:r>
      <w:r>
        <w:rPr>
          <w:sz w:val="14"/>
        </w:rPr>
        <w:t>análisis</w:t>
      </w:r>
      <w:r>
        <w:rPr>
          <w:spacing w:val="-7"/>
          <w:sz w:val="14"/>
        </w:rPr>
        <w:t xml:space="preserve"> </w:t>
      </w:r>
      <w:r>
        <w:rPr>
          <w:sz w:val="14"/>
        </w:rPr>
        <w:t>y</w:t>
      </w:r>
      <w:r>
        <w:rPr>
          <w:spacing w:val="-7"/>
          <w:sz w:val="14"/>
        </w:rPr>
        <w:t xml:space="preserve"> </w:t>
      </w:r>
      <w:r>
        <w:rPr>
          <w:sz w:val="14"/>
        </w:rPr>
        <w:t>comentarios</w:t>
      </w:r>
      <w:r>
        <w:rPr>
          <w:spacing w:val="40"/>
          <w:sz w:val="14"/>
        </w:rPr>
        <w:t xml:space="preserve"> </w:t>
      </w:r>
      <w:r>
        <w:rPr>
          <w:sz w:val="14"/>
        </w:rPr>
        <w:t>sobre</w:t>
      </w:r>
      <w:r>
        <w:rPr>
          <w:spacing w:val="-4"/>
          <w:sz w:val="14"/>
        </w:rPr>
        <w:t xml:space="preserve"> </w:t>
      </w:r>
      <w:r>
        <w:rPr>
          <w:sz w:val="14"/>
        </w:rPr>
        <w:t>esas</w:t>
      </w:r>
      <w:r>
        <w:rPr>
          <w:spacing w:val="-4"/>
          <w:sz w:val="14"/>
        </w:rPr>
        <w:t xml:space="preserve"> </w:t>
      </w:r>
      <w:r>
        <w:rPr>
          <w:sz w:val="14"/>
        </w:rPr>
        <w:t>normas</w:t>
      </w:r>
      <w:r>
        <w:rPr>
          <w:spacing w:val="-4"/>
          <w:sz w:val="14"/>
        </w:rPr>
        <w:t xml:space="preserve"> </w:t>
      </w:r>
      <w:r>
        <w:rPr>
          <w:sz w:val="14"/>
        </w:rPr>
        <w:t>por</w:t>
      </w:r>
      <w:r>
        <w:rPr>
          <w:spacing w:val="-4"/>
          <w:sz w:val="14"/>
        </w:rPr>
        <w:t xml:space="preserve"> </w:t>
      </w:r>
      <w:r>
        <w:rPr>
          <w:sz w:val="14"/>
        </w:rPr>
        <w:t>parte</w:t>
      </w:r>
      <w:r>
        <w:rPr>
          <w:spacing w:val="-4"/>
          <w:sz w:val="14"/>
        </w:rPr>
        <w:t xml:space="preserve"> </w:t>
      </w:r>
      <w:r>
        <w:rPr>
          <w:sz w:val="14"/>
        </w:rPr>
        <w:t>de</w:t>
      </w:r>
      <w:r>
        <w:rPr>
          <w:spacing w:val="-4"/>
          <w:sz w:val="14"/>
        </w:rPr>
        <w:t xml:space="preserve"> </w:t>
      </w:r>
      <w:r>
        <w:rPr>
          <w:sz w:val="14"/>
        </w:rPr>
        <w:t>académicos,</w:t>
      </w:r>
      <w:r>
        <w:rPr>
          <w:spacing w:val="-3"/>
          <w:sz w:val="14"/>
        </w:rPr>
        <w:t xml:space="preserve"> </w:t>
      </w:r>
      <w:r>
        <w:rPr>
          <w:sz w:val="14"/>
        </w:rPr>
        <w:t>organizaciones</w:t>
      </w:r>
      <w:r>
        <w:rPr>
          <w:spacing w:val="-4"/>
          <w:sz w:val="14"/>
        </w:rPr>
        <w:t xml:space="preserve"> </w:t>
      </w:r>
      <w:r>
        <w:rPr>
          <w:sz w:val="14"/>
        </w:rPr>
        <w:t>no</w:t>
      </w:r>
      <w:r>
        <w:rPr>
          <w:spacing w:val="-4"/>
          <w:sz w:val="14"/>
        </w:rPr>
        <w:t xml:space="preserve"> </w:t>
      </w:r>
      <w:r>
        <w:rPr>
          <w:sz w:val="14"/>
        </w:rPr>
        <w:t>gubernamentales,</w:t>
      </w:r>
      <w:r>
        <w:rPr>
          <w:spacing w:val="-3"/>
          <w:sz w:val="14"/>
        </w:rPr>
        <w:t xml:space="preserve"> </w:t>
      </w:r>
      <w:r>
        <w:rPr>
          <w:sz w:val="14"/>
        </w:rPr>
        <w:t>autoridades</w:t>
      </w:r>
      <w:r>
        <w:rPr>
          <w:spacing w:val="-4"/>
          <w:sz w:val="14"/>
        </w:rPr>
        <w:t xml:space="preserve"> </w:t>
      </w:r>
      <w:r>
        <w:rPr>
          <w:sz w:val="14"/>
        </w:rPr>
        <w:t>nacionales</w:t>
      </w:r>
      <w:r>
        <w:rPr>
          <w:spacing w:val="-4"/>
          <w:sz w:val="14"/>
        </w:rPr>
        <w:t xml:space="preserve"> </w:t>
      </w:r>
      <w:r>
        <w:rPr>
          <w:sz w:val="14"/>
        </w:rPr>
        <w:t>instituciones</w:t>
      </w:r>
      <w:r>
        <w:rPr>
          <w:spacing w:val="-4"/>
          <w:sz w:val="14"/>
        </w:rPr>
        <w:t xml:space="preserve"> </w:t>
      </w:r>
      <w:r>
        <w:rPr>
          <w:sz w:val="14"/>
        </w:rPr>
        <w:t>de</w:t>
      </w:r>
      <w:r>
        <w:rPr>
          <w:spacing w:val="-4"/>
          <w:sz w:val="14"/>
        </w:rPr>
        <w:t xml:space="preserve"> </w:t>
      </w:r>
      <w:r>
        <w:rPr>
          <w:sz w:val="14"/>
        </w:rPr>
        <w:t>derechos</w:t>
      </w:r>
      <w:r>
        <w:rPr>
          <w:spacing w:val="-4"/>
          <w:sz w:val="14"/>
        </w:rPr>
        <w:t xml:space="preserve"> </w:t>
      </w:r>
      <w:r>
        <w:rPr>
          <w:sz w:val="14"/>
        </w:rPr>
        <w:t>humanos</w:t>
      </w:r>
      <w:r>
        <w:rPr>
          <w:spacing w:val="-4"/>
          <w:sz w:val="14"/>
        </w:rPr>
        <w:t xml:space="preserve"> </w:t>
      </w:r>
      <w:r>
        <w:rPr>
          <w:sz w:val="14"/>
        </w:rPr>
        <w:t>y</w:t>
      </w:r>
      <w:r>
        <w:rPr>
          <w:spacing w:val="-4"/>
          <w:sz w:val="14"/>
        </w:rPr>
        <w:t xml:space="preserve"> </w:t>
      </w:r>
      <w:r>
        <w:rPr>
          <w:sz w:val="14"/>
        </w:rPr>
        <w:t>otros.</w:t>
      </w:r>
      <w:r>
        <w:rPr>
          <w:spacing w:val="40"/>
          <w:sz w:val="14"/>
        </w:rPr>
        <w:t xml:space="preserve"> </w:t>
      </w:r>
      <w:r>
        <w:rPr>
          <w:sz w:val="14"/>
        </w:rPr>
        <w:t>La</w:t>
      </w:r>
      <w:r>
        <w:rPr>
          <w:spacing w:val="-1"/>
          <w:sz w:val="14"/>
        </w:rPr>
        <w:t xml:space="preserve"> </w:t>
      </w:r>
      <w:r>
        <w:rPr>
          <w:sz w:val="14"/>
        </w:rPr>
        <w:t>investigación</w:t>
      </w:r>
      <w:r>
        <w:rPr>
          <w:spacing w:val="-1"/>
          <w:sz w:val="14"/>
        </w:rPr>
        <w:t xml:space="preserve"> </w:t>
      </w:r>
      <w:r>
        <w:rPr>
          <w:sz w:val="14"/>
        </w:rPr>
        <w:t>sobre</w:t>
      </w:r>
      <w:r>
        <w:rPr>
          <w:spacing w:val="-1"/>
          <w:sz w:val="14"/>
        </w:rPr>
        <w:t xml:space="preserve"> </w:t>
      </w:r>
      <w:r>
        <w:rPr>
          <w:sz w:val="14"/>
        </w:rPr>
        <w:t>los</w:t>
      </w:r>
      <w:r>
        <w:rPr>
          <w:spacing w:val="-1"/>
          <w:sz w:val="14"/>
        </w:rPr>
        <w:t xml:space="preserve"> </w:t>
      </w:r>
      <w:r>
        <w:rPr>
          <w:sz w:val="14"/>
        </w:rPr>
        <w:t>sistemas</w:t>
      </w:r>
      <w:r>
        <w:rPr>
          <w:spacing w:val="-1"/>
          <w:sz w:val="14"/>
        </w:rPr>
        <w:t xml:space="preserve"> </w:t>
      </w:r>
      <w:r>
        <w:rPr>
          <w:sz w:val="14"/>
        </w:rPr>
        <w:t>regionales</w:t>
      </w:r>
      <w:r>
        <w:rPr>
          <w:spacing w:val="-1"/>
          <w:sz w:val="14"/>
        </w:rPr>
        <w:t xml:space="preserve"> </w:t>
      </w:r>
      <w:r>
        <w:rPr>
          <w:sz w:val="14"/>
        </w:rPr>
        <w:t>de</w:t>
      </w:r>
      <w:r>
        <w:rPr>
          <w:spacing w:val="-1"/>
          <w:sz w:val="14"/>
        </w:rPr>
        <w:t xml:space="preserve"> </w:t>
      </w:r>
      <w:r>
        <w:rPr>
          <w:sz w:val="14"/>
        </w:rPr>
        <w:t>derechos</w:t>
      </w:r>
      <w:r>
        <w:rPr>
          <w:spacing w:val="-1"/>
          <w:sz w:val="14"/>
        </w:rPr>
        <w:t xml:space="preserve"> </w:t>
      </w:r>
      <w:r>
        <w:rPr>
          <w:sz w:val="14"/>
        </w:rPr>
        <w:t>humanos</w:t>
      </w:r>
      <w:r>
        <w:rPr>
          <w:spacing w:val="-1"/>
          <w:sz w:val="14"/>
        </w:rPr>
        <w:t xml:space="preserve"> </w:t>
      </w:r>
      <w:r>
        <w:rPr>
          <w:sz w:val="14"/>
        </w:rPr>
        <w:t>en</w:t>
      </w:r>
      <w:r>
        <w:rPr>
          <w:spacing w:val="-1"/>
          <w:sz w:val="14"/>
        </w:rPr>
        <w:t xml:space="preserve"> </w:t>
      </w:r>
      <w:r>
        <w:rPr>
          <w:sz w:val="14"/>
        </w:rPr>
        <w:t>África,</w:t>
      </w:r>
      <w:r>
        <w:rPr>
          <w:spacing w:val="-1"/>
          <w:sz w:val="14"/>
        </w:rPr>
        <w:t xml:space="preserve"> </w:t>
      </w:r>
      <w:r>
        <w:rPr>
          <w:sz w:val="14"/>
        </w:rPr>
        <w:t>Europa</w:t>
      </w:r>
      <w:r>
        <w:rPr>
          <w:spacing w:val="-1"/>
          <w:sz w:val="14"/>
        </w:rPr>
        <w:t xml:space="preserve"> </w:t>
      </w:r>
      <w:r>
        <w:rPr>
          <w:sz w:val="14"/>
        </w:rPr>
        <w:t>y</w:t>
      </w:r>
      <w:r>
        <w:rPr>
          <w:spacing w:val="-1"/>
          <w:sz w:val="14"/>
        </w:rPr>
        <w:t xml:space="preserve"> </w:t>
      </w:r>
      <w:r>
        <w:rPr>
          <w:sz w:val="14"/>
        </w:rPr>
        <w:t>las</w:t>
      </w:r>
      <w:r>
        <w:rPr>
          <w:spacing w:val="-1"/>
          <w:sz w:val="14"/>
        </w:rPr>
        <w:t xml:space="preserve"> </w:t>
      </w:r>
      <w:r>
        <w:rPr>
          <w:sz w:val="14"/>
        </w:rPr>
        <w:t>Américas</w:t>
      </w:r>
      <w:r>
        <w:rPr>
          <w:spacing w:val="-1"/>
          <w:sz w:val="14"/>
        </w:rPr>
        <w:t xml:space="preserve"> </w:t>
      </w:r>
      <w:r>
        <w:rPr>
          <w:sz w:val="14"/>
        </w:rPr>
        <w:t>fue</w:t>
      </w:r>
      <w:r>
        <w:rPr>
          <w:spacing w:val="-1"/>
          <w:sz w:val="14"/>
        </w:rPr>
        <w:t xml:space="preserve"> </w:t>
      </w:r>
      <w:r>
        <w:rPr>
          <w:sz w:val="14"/>
        </w:rPr>
        <w:t>realizada</w:t>
      </w:r>
      <w:r>
        <w:rPr>
          <w:spacing w:val="-1"/>
          <w:sz w:val="14"/>
        </w:rPr>
        <w:t xml:space="preserve"> </w:t>
      </w:r>
      <w:r>
        <w:rPr>
          <w:sz w:val="14"/>
        </w:rPr>
        <w:t>por</w:t>
      </w:r>
      <w:r>
        <w:rPr>
          <w:spacing w:val="-1"/>
          <w:sz w:val="14"/>
        </w:rPr>
        <w:t xml:space="preserve"> </w:t>
      </w:r>
      <w:r>
        <w:rPr>
          <w:sz w:val="14"/>
        </w:rPr>
        <w:t>becarios</w:t>
      </w:r>
      <w:r>
        <w:rPr>
          <w:spacing w:val="-1"/>
          <w:sz w:val="14"/>
        </w:rPr>
        <w:t xml:space="preserve"> </w:t>
      </w:r>
      <w:r>
        <w:rPr>
          <w:sz w:val="14"/>
        </w:rPr>
        <w:t>de</w:t>
      </w:r>
      <w:r>
        <w:rPr>
          <w:spacing w:val="-1"/>
          <w:sz w:val="14"/>
        </w:rPr>
        <w:t xml:space="preserve"> </w:t>
      </w:r>
      <w:proofErr w:type="spellStart"/>
      <w:r>
        <w:rPr>
          <w:sz w:val="14"/>
        </w:rPr>
        <w:t>Equal</w:t>
      </w:r>
      <w:proofErr w:type="spellEnd"/>
      <w:r>
        <w:rPr>
          <w:spacing w:val="-1"/>
          <w:sz w:val="14"/>
        </w:rPr>
        <w:t xml:space="preserve"> </w:t>
      </w:r>
      <w:proofErr w:type="spellStart"/>
      <w:r>
        <w:rPr>
          <w:sz w:val="14"/>
        </w:rPr>
        <w:t>Rights</w:t>
      </w:r>
      <w:proofErr w:type="spellEnd"/>
      <w:r>
        <w:rPr>
          <w:spacing w:val="40"/>
          <w:sz w:val="14"/>
        </w:rPr>
        <w:t xml:space="preserve"> </w:t>
      </w:r>
      <w:r>
        <w:rPr>
          <w:sz w:val="14"/>
        </w:rPr>
        <w:t>Trust</w:t>
      </w:r>
      <w:r>
        <w:rPr>
          <w:spacing w:val="-1"/>
          <w:sz w:val="14"/>
        </w:rPr>
        <w:t xml:space="preserve"> </w:t>
      </w:r>
      <w:r>
        <w:rPr>
          <w:sz w:val="14"/>
        </w:rPr>
        <w:t>y</w:t>
      </w:r>
      <w:r>
        <w:rPr>
          <w:spacing w:val="-1"/>
          <w:sz w:val="14"/>
        </w:rPr>
        <w:t xml:space="preserve"> </w:t>
      </w:r>
      <w:r>
        <w:rPr>
          <w:sz w:val="14"/>
        </w:rPr>
        <w:t>expertos</w:t>
      </w:r>
      <w:r>
        <w:rPr>
          <w:spacing w:val="-1"/>
          <w:sz w:val="14"/>
        </w:rPr>
        <w:t xml:space="preserve"> </w:t>
      </w:r>
      <w:r>
        <w:rPr>
          <w:sz w:val="14"/>
        </w:rPr>
        <w:t>individuales</w:t>
      </w:r>
      <w:r>
        <w:rPr>
          <w:spacing w:val="-1"/>
          <w:sz w:val="14"/>
        </w:rPr>
        <w:t xml:space="preserve"> </w:t>
      </w:r>
      <w:r>
        <w:rPr>
          <w:sz w:val="14"/>
        </w:rPr>
        <w:t>que</w:t>
      </w:r>
      <w:r>
        <w:rPr>
          <w:spacing w:val="-1"/>
          <w:sz w:val="14"/>
        </w:rPr>
        <w:t xml:space="preserve"> </w:t>
      </w:r>
      <w:r>
        <w:rPr>
          <w:sz w:val="14"/>
        </w:rPr>
        <w:t>trabajaron</w:t>
      </w:r>
      <w:r>
        <w:rPr>
          <w:spacing w:val="-1"/>
          <w:sz w:val="14"/>
        </w:rPr>
        <w:t xml:space="preserve"> </w:t>
      </w:r>
      <w:r>
        <w:rPr>
          <w:sz w:val="14"/>
        </w:rPr>
        <w:t>de</w:t>
      </w:r>
      <w:r>
        <w:rPr>
          <w:spacing w:val="-1"/>
          <w:sz w:val="14"/>
        </w:rPr>
        <w:t xml:space="preserve"> </w:t>
      </w:r>
      <w:r>
        <w:rPr>
          <w:sz w:val="14"/>
        </w:rPr>
        <w:t>forma</w:t>
      </w:r>
      <w:r>
        <w:rPr>
          <w:spacing w:val="-1"/>
          <w:sz w:val="14"/>
        </w:rPr>
        <w:t xml:space="preserve"> </w:t>
      </w:r>
      <w:r>
        <w:rPr>
          <w:sz w:val="14"/>
        </w:rPr>
        <w:t>gratuita. Las</w:t>
      </w:r>
      <w:r>
        <w:rPr>
          <w:spacing w:val="-1"/>
          <w:sz w:val="14"/>
        </w:rPr>
        <w:t xml:space="preserve"> </w:t>
      </w:r>
      <w:r>
        <w:rPr>
          <w:sz w:val="14"/>
        </w:rPr>
        <w:t>secciones</w:t>
      </w:r>
      <w:r>
        <w:rPr>
          <w:spacing w:val="-1"/>
          <w:sz w:val="14"/>
        </w:rPr>
        <w:t xml:space="preserve"> </w:t>
      </w:r>
      <w:r>
        <w:rPr>
          <w:sz w:val="14"/>
        </w:rPr>
        <w:t>temáticas</w:t>
      </w:r>
      <w:r>
        <w:rPr>
          <w:spacing w:val="-1"/>
          <w:sz w:val="14"/>
        </w:rPr>
        <w:t xml:space="preserve"> </w:t>
      </w:r>
      <w:r>
        <w:rPr>
          <w:sz w:val="14"/>
        </w:rPr>
        <w:t>y</w:t>
      </w:r>
      <w:r>
        <w:rPr>
          <w:spacing w:val="-1"/>
          <w:sz w:val="14"/>
        </w:rPr>
        <w:t xml:space="preserve"> </w:t>
      </w:r>
      <w:r>
        <w:rPr>
          <w:sz w:val="14"/>
        </w:rPr>
        <w:t>las</w:t>
      </w:r>
      <w:r>
        <w:rPr>
          <w:spacing w:val="-1"/>
          <w:sz w:val="14"/>
        </w:rPr>
        <w:t xml:space="preserve"> </w:t>
      </w:r>
      <w:r>
        <w:rPr>
          <w:sz w:val="14"/>
        </w:rPr>
        <w:t>oficinas</w:t>
      </w:r>
      <w:r>
        <w:rPr>
          <w:spacing w:val="-1"/>
          <w:sz w:val="14"/>
        </w:rPr>
        <w:t xml:space="preserve"> </w:t>
      </w:r>
      <w:r>
        <w:rPr>
          <w:sz w:val="14"/>
        </w:rPr>
        <w:t>exteriores</w:t>
      </w:r>
      <w:r>
        <w:rPr>
          <w:spacing w:val="-1"/>
          <w:sz w:val="14"/>
        </w:rPr>
        <w:t xml:space="preserve"> </w:t>
      </w:r>
      <w:r>
        <w:rPr>
          <w:sz w:val="14"/>
        </w:rPr>
        <w:t>del</w:t>
      </w:r>
      <w:r>
        <w:rPr>
          <w:spacing w:val="-1"/>
          <w:sz w:val="14"/>
        </w:rPr>
        <w:t xml:space="preserve"> </w:t>
      </w:r>
      <w:r>
        <w:rPr>
          <w:sz w:val="14"/>
        </w:rPr>
        <w:t>ACNUDH</w:t>
      </w:r>
      <w:r>
        <w:rPr>
          <w:spacing w:val="-1"/>
          <w:sz w:val="14"/>
        </w:rPr>
        <w:t xml:space="preserve"> </w:t>
      </w:r>
      <w:r>
        <w:rPr>
          <w:sz w:val="14"/>
        </w:rPr>
        <w:t>contribuyeron</w:t>
      </w:r>
      <w:r>
        <w:rPr>
          <w:spacing w:val="-1"/>
          <w:sz w:val="14"/>
        </w:rPr>
        <w:t xml:space="preserve"> </w:t>
      </w:r>
      <w:r>
        <w:rPr>
          <w:sz w:val="14"/>
        </w:rPr>
        <w:t>a</w:t>
      </w:r>
      <w:r>
        <w:rPr>
          <w:spacing w:val="-1"/>
          <w:sz w:val="14"/>
        </w:rPr>
        <w:t xml:space="preserve"> </w:t>
      </w:r>
      <w:r>
        <w:rPr>
          <w:sz w:val="14"/>
        </w:rPr>
        <w:t>todos</w:t>
      </w:r>
    </w:p>
    <w:p w14:paraId="4771A2A9" w14:textId="77777777" w:rsidR="0014798C" w:rsidRDefault="004E1F0B">
      <w:pPr>
        <w:spacing w:before="1" w:line="372" w:lineRule="auto"/>
        <w:ind w:left="1108" w:right="1272" w:firstLine="1"/>
        <w:rPr>
          <w:sz w:val="14"/>
        </w:rPr>
      </w:pPr>
      <w:r>
        <w:rPr>
          <w:sz w:val="14"/>
        </w:rPr>
        <w:t>los</w:t>
      </w:r>
      <w:r>
        <w:rPr>
          <w:spacing w:val="-5"/>
          <w:sz w:val="14"/>
        </w:rPr>
        <w:t xml:space="preserve"> </w:t>
      </w:r>
      <w:r>
        <w:rPr>
          <w:sz w:val="14"/>
        </w:rPr>
        <w:t>aspectos</w:t>
      </w:r>
      <w:r>
        <w:rPr>
          <w:spacing w:val="-5"/>
          <w:sz w:val="14"/>
        </w:rPr>
        <w:t xml:space="preserve"> </w:t>
      </w:r>
      <w:r>
        <w:rPr>
          <w:sz w:val="14"/>
        </w:rPr>
        <w:t>de</w:t>
      </w:r>
      <w:r>
        <w:rPr>
          <w:spacing w:val="-5"/>
          <w:sz w:val="14"/>
        </w:rPr>
        <w:t xml:space="preserve"> </w:t>
      </w:r>
      <w:r>
        <w:rPr>
          <w:sz w:val="14"/>
        </w:rPr>
        <w:t>la</w:t>
      </w:r>
      <w:r>
        <w:rPr>
          <w:spacing w:val="-5"/>
          <w:sz w:val="14"/>
        </w:rPr>
        <w:t xml:space="preserve"> </w:t>
      </w:r>
      <w:r>
        <w:rPr>
          <w:sz w:val="14"/>
        </w:rPr>
        <w:t>elaboración</w:t>
      </w:r>
      <w:r>
        <w:rPr>
          <w:spacing w:val="-5"/>
          <w:sz w:val="14"/>
        </w:rPr>
        <w:t xml:space="preserve"> </w:t>
      </w:r>
      <w:r>
        <w:rPr>
          <w:sz w:val="14"/>
        </w:rPr>
        <w:t>de</w:t>
      </w:r>
      <w:r>
        <w:rPr>
          <w:spacing w:val="-5"/>
          <w:sz w:val="14"/>
        </w:rPr>
        <w:t xml:space="preserve"> </w:t>
      </w:r>
      <w:r>
        <w:rPr>
          <w:sz w:val="14"/>
        </w:rPr>
        <w:t>la</w:t>
      </w:r>
      <w:r>
        <w:rPr>
          <w:spacing w:val="-5"/>
          <w:sz w:val="14"/>
        </w:rPr>
        <w:t xml:space="preserve"> </w:t>
      </w:r>
      <w:r>
        <w:rPr>
          <w:sz w:val="14"/>
        </w:rPr>
        <w:t>guía.</w:t>
      </w:r>
      <w:r>
        <w:rPr>
          <w:spacing w:val="-5"/>
          <w:sz w:val="14"/>
        </w:rPr>
        <w:t xml:space="preserve"> </w:t>
      </w:r>
      <w:r>
        <w:rPr>
          <w:sz w:val="14"/>
        </w:rPr>
        <w:t>El</w:t>
      </w:r>
      <w:r>
        <w:rPr>
          <w:spacing w:val="-5"/>
          <w:sz w:val="14"/>
        </w:rPr>
        <w:t xml:space="preserve"> </w:t>
      </w:r>
      <w:r>
        <w:rPr>
          <w:sz w:val="14"/>
        </w:rPr>
        <w:t>proceso</w:t>
      </w:r>
      <w:r>
        <w:rPr>
          <w:spacing w:val="-5"/>
          <w:sz w:val="14"/>
        </w:rPr>
        <w:t xml:space="preserve"> </w:t>
      </w:r>
      <w:r>
        <w:rPr>
          <w:sz w:val="14"/>
        </w:rPr>
        <w:t>de</w:t>
      </w:r>
      <w:r>
        <w:rPr>
          <w:spacing w:val="-5"/>
          <w:sz w:val="14"/>
        </w:rPr>
        <w:t xml:space="preserve"> </w:t>
      </w:r>
      <w:r>
        <w:rPr>
          <w:sz w:val="14"/>
        </w:rPr>
        <w:t>investigación,</w:t>
      </w:r>
      <w:r>
        <w:rPr>
          <w:spacing w:val="-4"/>
          <w:sz w:val="14"/>
        </w:rPr>
        <w:t xml:space="preserve"> </w:t>
      </w:r>
      <w:r>
        <w:rPr>
          <w:sz w:val="14"/>
        </w:rPr>
        <w:t>análisis</w:t>
      </w:r>
      <w:r>
        <w:rPr>
          <w:spacing w:val="-5"/>
          <w:sz w:val="14"/>
        </w:rPr>
        <w:t xml:space="preserve"> </w:t>
      </w:r>
      <w:r>
        <w:rPr>
          <w:sz w:val="14"/>
        </w:rPr>
        <w:t>y</w:t>
      </w:r>
      <w:r>
        <w:rPr>
          <w:spacing w:val="-5"/>
          <w:sz w:val="14"/>
        </w:rPr>
        <w:t xml:space="preserve"> </w:t>
      </w:r>
      <w:r>
        <w:rPr>
          <w:sz w:val="14"/>
        </w:rPr>
        <w:t>redacción</w:t>
      </w:r>
      <w:r>
        <w:rPr>
          <w:spacing w:val="-5"/>
          <w:sz w:val="14"/>
        </w:rPr>
        <w:t xml:space="preserve"> </w:t>
      </w:r>
      <w:r>
        <w:rPr>
          <w:sz w:val="14"/>
        </w:rPr>
        <w:t>se</w:t>
      </w:r>
      <w:r>
        <w:rPr>
          <w:spacing w:val="-5"/>
          <w:sz w:val="14"/>
        </w:rPr>
        <w:t xml:space="preserve"> </w:t>
      </w:r>
      <w:r>
        <w:rPr>
          <w:sz w:val="14"/>
        </w:rPr>
        <w:t>inició</w:t>
      </w:r>
      <w:r>
        <w:rPr>
          <w:spacing w:val="-5"/>
          <w:sz w:val="14"/>
        </w:rPr>
        <w:t xml:space="preserve"> </w:t>
      </w:r>
      <w:r>
        <w:rPr>
          <w:sz w:val="14"/>
        </w:rPr>
        <w:t>en</w:t>
      </w:r>
      <w:r>
        <w:rPr>
          <w:spacing w:val="-5"/>
          <w:sz w:val="14"/>
        </w:rPr>
        <w:t xml:space="preserve"> </w:t>
      </w:r>
      <w:r>
        <w:rPr>
          <w:sz w:val="14"/>
        </w:rPr>
        <w:t>el</w:t>
      </w:r>
      <w:r>
        <w:rPr>
          <w:spacing w:val="-5"/>
          <w:sz w:val="14"/>
        </w:rPr>
        <w:t xml:space="preserve"> </w:t>
      </w:r>
      <w:r>
        <w:rPr>
          <w:sz w:val="14"/>
        </w:rPr>
        <w:t>primer</w:t>
      </w:r>
      <w:r>
        <w:rPr>
          <w:spacing w:val="-5"/>
          <w:sz w:val="14"/>
        </w:rPr>
        <w:t xml:space="preserve"> </w:t>
      </w:r>
      <w:r>
        <w:rPr>
          <w:sz w:val="14"/>
        </w:rPr>
        <w:t>semestre</w:t>
      </w:r>
      <w:r>
        <w:rPr>
          <w:spacing w:val="-5"/>
          <w:sz w:val="14"/>
        </w:rPr>
        <w:t xml:space="preserve"> </w:t>
      </w:r>
      <w:r>
        <w:rPr>
          <w:sz w:val="14"/>
        </w:rPr>
        <w:t>de</w:t>
      </w:r>
      <w:r>
        <w:rPr>
          <w:spacing w:val="-5"/>
          <w:sz w:val="14"/>
        </w:rPr>
        <w:t xml:space="preserve"> </w:t>
      </w:r>
      <w:r>
        <w:rPr>
          <w:sz w:val="14"/>
        </w:rPr>
        <w:t>2020</w:t>
      </w:r>
      <w:r>
        <w:rPr>
          <w:spacing w:val="-5"/>
          <w:sz w:val="14"/>
        </w:rPr>
        <w:t xml:space="preserve"> </w:t>
      </w:r>
      <w:r>
        <w:rPr>
          <w:sz w:val="14"/>
        </w:rPr>
        <w:t>y</w:t>
      </w:r>
      <w:r>
        <w:rPr>
          <w:spacing w:val="-5"/>
          <w:sz w:val="14"/>
        </w:rPr>
        <w:t xml:space="preserve"> </w:t>
      </w:r>
      <w:r>
        <w:rPr>
          <w:sz w:val="14"/>
        </w:rPr>
        <w:t>continuó</w:t>
      </w:r>
      <w:r>
        <w:rPr>
          <w:spacing w:val="-5"/>
          <w:sz w:val="14"/>
        </w:rPr>
        <w:t xml:space="preserve"> </w:t>
      </w:r>
      <w:r>
        <w:rPr>
          <w:sz w:val="14"/>
        </w:rPr>
        <w:t>hasta</w:t>
      </w:r>
      <w:r>
        <w:rPr>
          <w:spacing w:val="-5"/>
          <w:sz w:val="14"/>
        </w:rPr>
        <w:t xml:space="preserve"> </w:t>
      </w:r>
      <w:r>
        <w:rPr>
          <w:sz w:val="14"/>
        </w:rPr>
        <w:t>el</w:t>
      </w:r>
      <w:r>
        <w:rPr>
          <w:spacing w:val="40"/>
          <w:sz w:val="14"/>
        </w:rPr>
        <w:t xml:space="preserve"> </w:t>
      </w:r>
      <w:r>
        <w:rPr>
          <w:sz w:val="14"/>
        </w:rPr>
        <w:t>primer trimestre de 2021, en paralelo con las convocatorias de evidencia y consulta.</w:t>
      </w:r>
    </w:p>
    <w:p w14:paraId="6D79FBEB" w14:textId="77777777" w:rsidR="0014798C" w:rsidRDefault="0014798C">
      <w:pPr>
        <w:pStyle w:val="Textoindependiente"/>
        <w:rPr>
          <w:sz w:val="14"/>
        </w:rPr>
      </w:pPr>
    </w:p>
    <w:p w14:paraId="7BC24DFE" w14:textId="77777777" w:rsidR="0014798C" w:rsidRDefault="0014798C">
      <w:pPr>
        <w:pStyle w:val="Textoindependiente"/>
        <w:rPr>
          <w:sz w:val="14"/>
        </w:rPr>
      </w:pPr>
    </w:p>
    <w:p w14:paraId="68371191" w14:textId="77777777" w:rsidR="0014798C" w:rsidRDefault="0014798C">
      <w:pPr>
        <w:pStyle w:val="Textoindependiente"/>
        <w:rPr>
          <w:sz w:val="14"/>
        </w:rPr>
      </w:pPr>
    </w:p>
    <w:p w14:paraId="23A9D11A" w14:textId="77777777" w:rsidR="0014798C" w:rsidRDefault="0014798C">
      <w:pPr>
        <w:pStyle w:val="Textoindependiente"/>
        <w:spacing w:before="7"/>
        <w:rPr>
          <w:sz w:val="14"/>
        </w:rPr>
      </w:pPr>
    </w:p>
    <w:p w14:paraId="44C79BBA" w14:textId="77777777" w:rsidR="0014798C" w:rsidRDefault="004E1F0B">
      <w:pPr>
        <w:pStyle w:val="Textoindependiente"/>
        <w:spacing w:line="326" w:lineRule="auto"/>
        <w:ind w:left="1109" w:right="1335" w:firstLine="2"/>
      </w:pPr>
      <w:r>
        <w:t xml:space="preserve">En segundo lugar, y en paralelo a esta primera actividad, los socios emitieron llamados a prueba. A mediados de 2020, el ACNUDH distribuyó una nota verbal a los Estados miembros de las Naciones Unidas, solicitando ejemplos de disposiciones de leyes nacionales contra la discriminación y ejemplos de buenas prácticas. También abrió una convocatoria pública de evidencia para recopilar aportes de la sociedad civil y el público en general. Este llamado se distribuyó a través de las presencias de campo del ACNUDH y su Red Global de Becarios de Minorías, y a la red de defensores de la igualdad asociados de </w:t>
      </w:r>
      <w:proofErr w:type="spellStart"/>
      <w:r>
        <w:t>Equal</w:t>
      </w:r>
      <w:proofErr w:type="spellEnd"/>
      <w:r>
        <w:t xml:space="preserve"> </w:t>
      </w:r>
      <w:proofErr w:type="spellStart"/>
      <w:r>
        <w:t>Rights</w:t>
      </w:r>
      <w:proofErr w:type="spellEnd"/>
      <w:r>
        <w:t xml:space="preserve"> Trust</w:t>
      </w:r>
    </w:p>
    <w:p w14:paraId="38ADFAC6" w14:textId="77777777" w:rsidR="0014798C" w:rsidRDefault="004E1F0B">
      <w:pPr>
        <w:pStyle w:val="Textoindependiente"/>
        <w:spacing w:line="326" w:lineRule="auto"/>
        <w:ind w:left="1106" w:right="1166" w:firstLine="5"/>
      </w:pPr>
      <w:r>
        <w:t xml:space="preserve">en todo el mundo. Paralelamente, </w:t>
      </w:r>
      <w:proofErr w:type="spellStart"/>
      <w:r>
        <w:t>Equal</w:t>
      </w:r>
      <w:proofErr w:type="spellEnd"/>
      <w:r>
        <w:t xml:space="preserve"> </w:t>
      </w:r>
      <w:proofErr w:type="spellStart"/>
      <w:r>
        <w:t>Rights</w:t>
      </w:r>
      <w:proofErr w:type="spellEnd"/>
      <w:r>
        <w:t xml:space="preserve"> Trust contrató a colaboradores expertos de jurisdicciones nacionales seleccionadas con</w:t>
      </w:r>
      <w:r>
        <w:rPr>
          <w:spacing w:val="11"/>
        </w:rPr>
        <w:t xml:space="preserve"> </w:t>
      </w:r>
      <w:r>
        <w:t>leyes</w:t>
      </w:r>
      <w:r>
        <w:rPr>
          <w:spacing w:val="11"/>
        </w:rPr>
        <w:t xml:space="preserve"> </w:t>
      </w:r>
      <w:r>
        <w:t>integrales</w:t>
      </w:r>
      <w:r>
        <w:rPr>
          <w:spacing w:val="11"/>
        </w:rPr>
        <w:t xml:space="preserve"> </w:t>
      </w:r>
      <w:r>
        <w:t>contra</w:t>
      </w:r>
      <w:r>
        <w:rPr>
          <w:spacing w:val="11"/>
        </w:rPr>
        <w:t xml:space="preserve"> </w:t>
      </w:r>
      <w:r>
        <w:t>la</w:t>
      </w:r>
      <w:r>
        <w:rPr>
          <w:spacing w:val="11"/>
        </w:rPr>
        <w:t xml:space="preserve"> </w:t>
      </w:r>
      <w:r>
        <w:t>discriminación</w:t>
      </w:r>
      <w:r>
        <w:rPr>
          <w:spacing w:val="11"/>
        </w:rPr>
        <w:t xml:space="preserve"> </w:t>
      </w:r>
      <w:r>
        <w:t>para</w:t>
      </w:r>
      <w:r>
        <w:rPr>
          <w:spacing w:val="11"/>
        </w:rPr>
        <w:t xml:space="preserve"> </w:t>
      </w:r>
      <w:r>
        <w:t>brindar</w:t>
      </w:r>
      <w:r>
        <w:rPr>
          <w:spacing w:val="11"/>
        </w:rPr>
        <w:t xml:space="preserve"> </w:t>
      </w:r>
      <w:r>
        <w:t>ejemplos</w:t>
      </w:r>
      <w:r>
        <w:rPr>
          <w:spacing w:val="11"/>
        </w:rPr>
        <w:t xml:space="preserve"> </w:t>
      </w:r>
      <w:r>
        <w:t>y</w:t>
      </w:r>
      <w:r>
        <w:rPr>
          <w:spacing w:val="11"/>
        </w:rPr>
        <w:t xml:space="preserve"> </w:t>
      </w:r>
      <w:r>
        <w:t>aportes.</w:t>
      </w:r>
      <w:r>
        <w:rPr>
          <w:spacing w:val="12"/>
        </w:rPr>
        <w:t xml:space="preserve"> </w:t>
      </w:r>
      <w:r>
        <w:t>Como</w:t>
      </w:r>
      <w:r>
        <w:rPr>
          <w:spacing w:val="11"/>
        </w:rPr>
        <w:t xml:space="preserve"> </w:t>
      </w:r>
      <w:r>
        <w:t>resultado</w:t>
      </w:r>
      <w:r>
        <w:rPr>
          <w:spacing w:val="11"/>
        </w:rPr>
        <w:t xml:space="preserve"> </w:t>
      </w:r>
      <w:r>
        <w:t>de</w:t>
      </w:r>
      <w:r>
        <w:rPr>
          <w:spacing w:val="11"/>
        </w:rPr>
        <w:t xml:space="preserve"> </w:t>
      </w:r>
      <w:r>
        <w:t>estos</w:t>
      </w:r>
      <w:r>
        <w:rPr>
          <w:spacing w:val="11"/>
        </w:rPr>
        <w:t xml:space="preserve"> </w:t>
      </w:r>
      <w:r>
        <w:t>esfuerzos</w:t>
      </w:r>
      <w:r>
        <w:rPr>
          <w:spacing w:val="11"/>
        </w:rPr>
        <w:t xml:space="preserve"> </w:t>
      </w:r>
      <w:r>
        <w:t>de</w:t>
      </w:r>
      <w:r>
        <w:rPr>
          <w:spacing w:val="11"/>
        </w:rPr>
        <w:t xml:space="preserve"> </w:t>
      </w:r>
      <w:r>
        <w:t>divulgación, los redactores de la guía recibieron presentaciones de Estados, organizaciones de la sociedad civil, organizaciones no gubernamentales internacionales y organizaciones de base de todo el mundo, compartiendo opiniones sobre mejores prácticas,</w:t>
      </w:r>
    </w:p>
    <w:p w14:paraId="057A4D5C" w14:textId="77777777" w:rsidR="0014798C" w:rsidRDefault="004E1F0B">
      <w:pPr>
        <w:pStyle w:val="Textoindependiente"/>
        <w:spacing w:line="182" w:lineRule="exact"/>
        <w:ind w:left="1110"/>
      </w:pPr>
      <w:r>
        <w:t>disposiciones</w:t>
      </w:r>
      <w:r>
        <w:rPr>
          <w:spacing w:val="1"/>
        </w:rPr>
        <w:t xml:space="preserve"> </w:t>
      </w:r>
      <w:r>
        <w:t>jurídicas</w:t>
      </w:r>
      <w:r>
        <w:rPr>
          <w:spacing w:val="2"/>
        </w:rPr>
        <w:t xml:space="preserve"> </w:t>
      </w:r>
      <w:r>
        <w:t>ejemplares,</w:t>
      </w:r>
      <w:r>
        <w:rPr>
          <w:spacing w:val="3"/>
        </w:rPr>
        <w:t xml:space="preserve"> </w:t>
      </w:r>
      <w:r>
        <w:t>dilemas</w:t>
      </w:r>
      <w:r>
        <w:rPr>
          <w:spacing w:val="1"/>
        </w:rPr>
        <w:t xml:space="preserve"> </w:t>
      </w:r>
      <w:r>
        <w:t>y</w:t>
      </w:r>
      <w:r>
        <w:rPr>
          <w:spacing w:val="2"/>
        </w:rPr>
        <w:t xml:space="preserve"> </w:t>
      </w:r>
      <w:r>
        <w:t>preocupaciones</w:t>
      </w:r>
      <w:r>
        <w:rPr>
          <w:spacing w:val="2"/>
        </w:rPr>
        <w:t xml:space="preserve"> </w:t>
      </w:r>
      <w:r>
        <w:t>en</w:t>
      </w:r>
      <w:r>
        <w:rPr>
          <w:spacing w:val="1"/>
        </w:rPr>
        <w:t xml:space="preserve"> </w:t>
      </w:r>
      <w:r>
        <w:t>el</w:t>
      </w:r>
      <w:r>
        <w:rPr>
          <w:spacing w:val="2"/>
        </w:rPr>
        <w:t xml:space="preserve"> </w:t>
      </w:r>
      <w:r>
        <w:t>ámbito</w:t>
      </w:r>
      <w:r>
        <w:rPr>
          <w:spacing w:val="2"/>
        </w:rPr>
        <w:t xml:space="preserve"> </w:t>
      </w:r>
      <w:r>
        <w:t>de</w:t>
      </w:r>
      <w:r>
        <w:rPr>
          <w:spacing w:val="1"/>
        </w:rPr>
        <w:t xml:space="preserve"> </w:t>
      </w:r>
      <w:r>
        <w:t>la</w:t>
      </w:r>
      <w:r>
        <w:rPr>
          <w:spacing w:val="2"/>
        </w:rPr>
        <w:t xml:space="preserve"> </w:t>
      </w:r>
      <w:r>
        <w:t>lucha</w:t>
      </w:r>
      <w:r>
        <w:rPr>
          <w:spacing w:val="2"/>
        </w:rPr>
        <w:t xml:space="preserve"> </w:t>
      </w:r>
      <w:r>
        <w:t>contra</w:t>
      </w:r>
      <w:r>
        <w:rPr>
          <w:spacing w:val="1"/>
        </w:rPr>
        <w:t xml:space="preserve"> </w:t>
      </w:r>
      <w:r>
        <w:t>la</w:t>
      </w:r>
      <w:r>
        <w:rPr>
          <w:spacing w:val="2"/>
        </w:rPr>
        <w:t xml:space="preserve"> </w:t>
      </w:r>
      <w:r>
        <w:t>violencia.</w:t>
      </w:r>
      <w:r>
        <w:rPr>
          <w:spacing w:val="3"/>
        </w:rPr>
        <w:t xml:space="preserve"> </w:t>
      </w:r>
      <w:r>
        <w:t>­ley</w:t>
      </w:r>
      <w:r>
        <w:rPr>
          <w:spacing w:val="1"/>
        </w:rPr>
        <w:t xml:space="preserve"> </w:t>
      </w:r>
      <w:r>
        <w:t>de</w:t>
      </w:r>
      <w:r>
        <w:rPr>
          <w:spacing w:val="2"/>
        </w:rPr>
        <w:t xml:space="preserve"> </w:t>
      </w:r>
      <w:r>
        <w:t>discriminación</w:t>
      </w:r>
      <w:r>
        <w:rPr>
          <w:spacing w:val="2"/>
        </w:rPr>
        <w:t xml:space="preserve"> </w:t>
      </w:r>
      <w:r>
        <w:t>e</w:t>
      </w:r>
      <w:r>
        <w:rPr>
          <w:spacing w:val="1"/>
        </w:rPr>
        <w:t xml:space="preserve"> </w:t>
      </w:r>
      <w:r>
        <w:rPr>
          <w:spacing w:val="-2"/>
        </w:rPr>
        <w:t>igualdad.</w:t>
      </w:r>
    </w:p>
    <w:p w14:paraId="3FF66437" w14:textId="77777777" w:rsidR="0014798C" w:rsidRDefault="0014798C">
      <w:pPr>
        <w:pStyle w:val="Textoindependiente"/>
        <w:spacing w:before="50"/>
      </w:pPr>
    </w:p>
    <w:p w14:paraId="6A6F68BF" w14:textId="77777777" w:rsidR="0014798C" w:rsidRDefault="004E1F0B">
      <w:pPr>
        <w:pStyle w:val="Textoindependiente"/>
        <w:spacing w:line="326" w:lineRule="auto"/>
        <w:ind w:left="1108" w:right="1463" w:hanging="2"/>
      </w:pPr>
      <w:r>
        <w:t>En tercer lugar, los socios convocaron cuatro consultas globales en línea para discutir temas, cuestiones y problemas clave identificados en el proceso de investigación. En noviembre de 2020 se convocaron tres consultas de seminarios web en línea que abarcaron los siguientes temas:</w:t>
      </w:r>
    </w:p>
    <w:p w14:paraId="4F124E43" w14:textId="77777777" w:rsidR="0014798C" w:rsidRDefault="004E1F0B">
      <w:pPr>
        <w:pStyle w:val="Prrafodelista"/>
        <w:numPr>
          <w:ilvl w:val="0"/>
          <w:numId w:val="92"/>
        </w:numPr>
        <w:tabs>
          <w:tab w:val="left" w:pos="1218"/>
          <w:tab w:val="left" w:pos="1351"/>
        </w:tabs>
        <w:spacing w:before="112" w:line="326" w:lineRule="auto"/>
        <w:ind w:right="1284" w:hanging="234"/>
        <w:rPr>
          <w:sz w:val="16"/>
        </w:rPr>
      </w:pPr>
      <w:r>
        <w:rPr>
          <w:sz w:val="16"/>
        </w:rPr>
        <w:t>Elementos y alcance del derecho a ser protegido contra todas las formas de discriminación, incluidas “formas de discriminación: actos y omisiones prohibidos” (sesión 1) y “el derecho a un recurso efectivo” (sesión 2).</w:t>
      </w:r>
    </w:p>
    <w:p w14:paraId="0C51493E" w14:textId="77777777" w:rsidR="0014798C" w:rsidRDefault="004E1F0B">
      <w:pPr>
        <w:pStyle w:val="Prrafodelista"/>
        <w:numPr>
          <w:ilvl w:val="0"/>
          <w:numId w:val="92"/>
        </w:numPr>
        <w:tabs>
          <w:tab w:val="left" w:pos="1219"/>
          <w:tab w:val="left" w:pos="1359"/>
        </w:tabs>
        <w:spacing w:before="112" w:line="326" w:lineRule="auto"/>
        <w:ind w:left="1359" w:right="2651" w:hanging="241"/>
        <w:rPr>
          <w:sz w:val="16"/>
        </w:rPr>
      </w:pPr>
      <w:proofErr w:type="gramStart"/>
      <w:r>
        <w:rPr>
          <w:sz w:val="16"/>
        </w:rPr>
        <w:t>Gobernanza y derecho a ser protegido</w:t>
      </w:r>
      <w:proofErr w:type="gramEnd"/>
      <w:r>
        <w:rPr>
          <w:sz w:val="16"/>
        </w:rPr>
        <w:t xml:space="preserve"> contra todas las formas de discriminación, incluida la “acción positiva” (sesión 3) y “organismos de igualdad: ¿una idea global?” (sesión 4).</w:t>
      </w:r>
    </w:p>
    <w:p w14:paraId="25738E64" w14:textId="77777777" w:rsidR="0014798C" w:rsidRDefault="004E1F0B">
      <w:pPr>
        <w:pStyle w:val="Prrafodelista"/>
        <w:numPr>
          <w:ilvl w:val="0"/>
          <w:numId w:val="92"/>
        </w:numPr>
        <w:tabs>
          <w:tab w:val="left" w:pos="1219"/>
          <w:tab w:val="left" w:pos="1347"/>
        </w:tabs>
        <w:spacing w:before="112" w:line="326" w:lineRule="auto"/>
        <w:ind w:left="1347" w:right="1291" w:hanging="229"/>
        <w:rPr>
          <w:sz w:val="16"/>
        </w:rPr>
      </w:pPr>
      <w:r>
        <w:rPr>
          <w:sz w:val="16"/>
        </w:rPr>
        <w:t xml:space="preserve">Protección de minorías, grupos particulares y otras cuestiones de aplicación particular, incluida </w:t>
      </w:r>
      <w:proofErr w:type="gramStart"/>
      <w:r>
        <w:rPr>
          <w:sz w:val="16"/>
        </w:rPr>
        <w:t>“ protección</w:t>
      </w:r>
      <w:proofErr w:type="gramEnd"/>
      <w:r>
        <w:rPr>
          <w:sz w:val="16"/>
        </w:rPr>
        <w:t xml:space="preserve"> de minorías, grupos particulares y otras cuestiones de aplicación particular” (sesión 5) y una sesión abierta (sin tema predeterminado) (sesión 6).</w:t>
      </w:r>
    </w:p>
    <w:p w14:paraId="5D2A5503" w14:textId="77777777" w:rsidR="0014798C" w:rsidRDefault="0014798C">
      <w:pPr>
        <w:pStyle w:val="Textoindependiente"/>
        <w:rPr>
          <w:sz w:val="18"/>
        </w:rPr>
      </w:pPr>
    </w:p>
    <w:p w14:paraId="3C0C4741" w14:textId="77777777" w:rsidR="0014798C" w:rsidRDefault="0014798C">
      <w:pPr>
        <w:pStyle w:val="Textoindependiente"/>
        <w:rPr>
          <w:sz w:val="18"/>
        </w:rPr>
      </w:pPr>
    </w:p>
    <w:p w14:paraId="3E16696C" w14:textId="77777777" w:rsidR="0014798C" w:rsidRDefault="0014798C">
      <w:pPr>
        <w:pStyle w:val="Textoindependiente"/>
        <w:rPr>
          <w:sz w:val="18"/>
        </w:rPr>
      </w:pPr>
    </w:p>
    <w:p w14:paraId="7CD721C8" w14:textId="77777777" w:rsidR="0014798C" w:rsidRDefault="0014798C">
      <w:pPr>
        <w:pStyle w:val="Textoindependiente"/>
        <w:rPr>
          <w:sz w:val="18"/>
        </w:rPr>
      </w:pPr>
    </w:p>
    <w:p w14:paraId="6437F5C8" w14:textId="77777777" w:rsidR="0014798C" w:rsidRDefault="0014798C">
      <w:pPr>
        <w:pStyle w:val="Textoindependiente"/>
        <w:rPr>
          <w:sz w:val="18"/>
        </w:rPr>
      </w:pPr>
    </w:p>
    <w:p w14:paraId="51DCEADF" w14:textId="77777777" w:rsidR="0014798C" w:rsidRDefault="0014798C">
      <w:pPr>
        <w:pStyle w:val="Textoindependiente"/>
        <w:spacing w:before="171"/>
        <w:rPr>
          <w:sz w:val="18"/>
        </w:rPr>
      </w:pPr>
    </w:p>
    <w:p w14:paraId="232B5876" w14:textId="77777777" w:rsidR="0014798C" w:rsidRDefault="004E1F0B">
      <w:pPr>
        <w:ind w:right="736"/>
        <w:jc w:val="right"/>
        <w:rPr>
          <w:sz w:val="18"/>
        </w:rPr>
      </w:pPr>
      <w:proofErr w:type="spellStart"/>
      <w:r>
        <w:rPr>
          <w:spacing w:val="-2"/>
          <w:sz w:val="18"/>
        </w:rPr>
        <w:t>xxvii</w:t>
      </w:r>
      <w:proofErr w:type="spellEnd"/>
    </w:p>
    <w:p w14:paraId="50ED6C7A" w14:textId="77777777" w:rsidR="0014798C" w:rsidRDefault="0014798C">
      <w:pPr>
        <w:jc w:val="right"/>
        <w:rPr>
          <w:sz w:val="18"/>
        </w:rPr>
        <w:sectPr w:rsidR="0014798C" w:rsidSect="00F265E4">
          <w:headerReference w:type="default" r:id="rId51"/>
          <w:pgSz w:w="11900" w:h="16820"/>
          <w:pgMar w:top="40" w:right="0" w:bottom="280" w:left="200" w:header="0" w:footer="0" w:gutter="0"/>
          <w:cols w:space="720"/>
        </w:sectPr>
      </w:pPr>
    </w:p>
    <w:p w14:paraId="3F675458" w14:textId="77777777" w:rsidR="0014798C" w:rsidRDefault="004E1F0B">
      <w:pPr>
        <w:spacing w:before="76"/>
        <w:ind w:left="113"/>
        <w:rPr>
          <w:sz w:val="21"/>
        </w:rPr>
      </w:pPr>
      <w:r>
        <w:rPr>
          <w:noProof/>
        </w:rPr>
        <w:lastRenderedPageBreak/>
        <w:drawing>
          <wp:anchor distT="0" distB="0" distL="0" distR="0" simplePos="0" relativeHeight="251658358" behindDoc="1" locked="0" layoutInCell="1" allowOverlap="1" wp14:anchorId="659FFDA6" wp14:editId="45D2A82A">
            <wp:simplePos x="0" y="0"/>
            <wp:positionH relativeFrom="page">
              <wp:posOffset>0</wp:posOffset>
            </wp:positionH>
            <wp:positionV relativeFrom="page">
              <wp:posOffset>0</wp:posOffset>
            </wp:positionV>
            <wp:extent cx="7556500" cy="10680700"/>
            <wp:effectExtent l="0" t="0" r="0" b="0"/>
            <wp:wrapNone/>
            <wp:docPr id="40" name="Image 4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40" name="Image 40"/>
                    <pic:cNvPicPr/>
                  </pic:nvPicPr>
                  <pic:blipFill>
                    <a:blip r:embed="rId29" cstate="print"/>
                    <a:stretch>
                      <a:fillRect/>
                    </a:stretch>
                  </pic:blipFill>
                  <pic:spPr>
                    <a:xfrm>
                      <a:off x="0" y="0"/>
                      <a:ext cx="7556500" cy="10680700"/>
                    </a:xfrm>
                    <a:prstGeom prst="rect">
                      <a:avLst/>
                    </a:prstGeom>
                  </pic:spPr>
                </pic:pic>
              </a:graphicData>
            </a:graphic>
          </wp:anchor>
        </w:drawing>
      </w:r>
      <w:r>
        <w:rPr>
          <w:sz w:val="21"/>
        </w:rPr>
        <w:t>Machine</w:t>
      </w:r>
      <w:r>
        <w:rPr>
          <w:spacing w:val="6"/>
          <w:sz w:val="21"/>
        </w:rPr>
        <w:t xml:space="preserve"> </w:t>
      </w:r>
      <w:proofErr w:type="spellStart"/>
      <w:r>
        <w:rPr>
          <w:sz w:val="21"/>
        </w:rPr>
        <w:t>Translated</w:t>
      </w:r>
      <w:proofErr w:type="spellEnd"/>
      <w:r>
        <w:rPr>
          <w:spacing w:val="7"/>
          <w:sz w:val="21"/>
        </w:rPr>
        <w:t xml:space="preserve"> </w:t>
      </w:r>
      <w:proofErr w:type="spellStart"/>
      <w:r>
        <w:rPr>
          <w:sz w:val="21"/>
        </w:rPr>
        <w:t>by</w:t>
      </w:r>
      <w:proofErr w:type="spellEnd"/>
      <w:r>
        <w:rPr>
          <w:spacing w:val="7"/>
          <w:sz w:val="21"/>
        </w:rPr>
        <w:t xml:space="preserve"> </w:t>
      </w:r>
      <w:r>
        <w:rPr>
          <w:spacing w:val="-2"/>
          <w:sz w:val="21"/>
        </w:rPr>
        <w:t>Google</w:t>
      </w:r>
    </w:p>
    <w:p w14:paraId="7A1B8D81" w14:textId="77777777" w:rsidR="0014798C" w:rsidRDefault="0014798C">
      <w:pPr>
        <w:pStyle w:val="Textoindependiente"/>
        <w:spacing w:before="85"/>
        <w:rPr>
          <w:sz w:val="12"/>
        </w:rPr>
      </w:pPr>
    </w:p>
    <w:p w14:paraId="0E109064" w14:textId="77777777" w:rsidR="0014798C" w:rsidRDefault="004E1F0B">
      <w:pPr>
        <w:ind w:left="1111"/>
        <w:rPr>
          <w:sz w:val="12"/>
        </w:rPr>
      </w:pPr>
      <w:r>
        <w:rPr>
          <w:color w:val="0075BF"/>
          <w:sz w:val="12"/>
        </w:rPr>
        <w:t>PROTECCIÓN</w:t>
      </w:r>
      <w:r>
        <w:rPr>
          <w:color w:val="0075BF"/>
          <w:spacing w:val="6"/>
          <w:sz w:val="12"/>
        </w:rPr>
        <w:t xml:space="preserve"> </w:t>
      </w:r>
      <w:r>
        <w:rPr>
          <w:color w:val="0075BF"/>
          <w:sz w:val="12"/>
        </w:rPr>
        <w:t>DE</w:t>
      </w:r>
      <w:r>
        <w:rPr>
          <w:color w:val="0075BF"/>
          <w:spacing w:val="7"/>
          <w:sz w:val="12"/>
        </w:rPr>
        <w:t xml:space="preserve"> </w:t>
      </w:r>
      <w:r>
        <w:rPr>
          <w:color w:val="0075BF"/>
          <w:sz w:val="12"/>
        </w:rPr>
        <w:t>LOS</w:t>
      </w:r>
      <w:r>
        <w:rPr>
          <w:color w:val="0075BF"/>
          <w:spacing w:val="8"/>
          <w:sz w:val="12"/>
        </w:rPr>
        <w:t xml:space="preserve"> </w:t>
      </w:r>
      <w:r>
        <w:rPr>
          <w:color w:val="0075BF"/>
          <w:sz w:val="12"/>
        </w:rPr>
        <w:t>DERECHOS</w:t>
      </w:r>
      <w:r>
        <w:rPr>
          <w:color w:val="0075BF"/>
          <w:spacing w:val="8"/>
          <w:sz w:val="12"/>
        </w:rPr>
        <w:t xml:space="preserve"> </w:t>
      </w:r>
      <w:r>
        <w:rPr>
          <w:color w:val="0075BF"/>
          <w:sz w:val="12"/>
        </w:rPr>
        <w:t>DE</w:t>
      </w:r>
      <w:r>
        <w:rPr>
          <w:color w:val="0075BF"/>
          <w:spacing w:val="6"/>
          <w:sz w:val="12"/>
        </w:rPr>
        <w:t xml:space="preserve"> </w:t>
      </w:r>
      <w:r>
        <w:rPr>
          <w:color w:val="0075BF"/>
          <w:sz w:val="12"/>
        </w:rPr>
        <w:t>LAS</w:t>
      </w:r>
      <w:r>
        <w:rPr>
          <w:color w:val="0075BF"/>
          <w:spacing w:val="7"/>
          <w:sz w:val="12"/>
        </w:rPr>
        <w:t xml:space="preserve"> </w:t>
      </w:r>
      <w:r>
        <w:rPr>
          <w:color w:val="0075BF"/>
          <w:sz w:val="12"/>
        </w:rPr>
        <w:t>MINORÍAS:</w:t>
      </w:r>
      <w:r>
        <w:rPr>
          <w:color w:val="0075BF"/>
          <w:spacing w:val="8"/>
          <w:sz w:val="12"/>
        </w:rPr>
        <w:t xml:space="preserve"> </w:t>
      </w:r>
      <w:r>
        <w:rPr>
          <w:color w:val="0075BF"/>
          <w:sz w:val="12"/>
        </w:rPr>
        <w:t>una</w:t>
      </w:r>
      <w:r>
        <w:rPr>
          <w:color w:val="0075BF"/>
          <w:spacing w:val="7"/>
          <w:sz w:val="12"/>
        </w:rPr>
        <w:t xml:space="preserve"> </w:t>
      </w:r>
      <w:r>
        <w:rPr>
          <w:color w:val="0075BF"/>
          <w:sz w:val="12"/>
        </w:rPr>
        <w:t>guía</w:t>
      </w:r>
      <w:r>
        <w:rPr>
          <w:color w:val="0075BF"/>
          <w:spacing w:val="6"/>
          <w:sz w:val="12"/>
        </w:rPr>
        <w:t xml:space="preserve"> </w:t>
      </w:r>
      <w:r>
        <w:rPr>
          <w:color w:val="0075BF"/>
          <w:sz w:val="12"/>
        </w:rPr>
        <w:t>práctica</w:t>
      </w:r>
      <w:r>
        <w:rPr>
          <w:color w:val="0075BF"/>
          <w:spacing w:val="7"/>
          <w:sz w:val="12"/>
        </w:rPr>
        <w:t xml:space="preserve"> </w:t>
      </w:r>
      <w:r>
        <w:rPr>
          <w:color w:val="0075BF"/>
          <w:sz w:val="12"/>
        </w:rPr>
        <w:t>para</w:t>
      </w:r>
      <w:r>
        <w:rPr>
          <w:color w:val="0075BF"/>
          <w:spacing w:val="8"/>
          <w:sz w:val="12"/>
        </w:rPr>
        <w:t xml:space="preserve"> </w:t>
      </w:r>
      <w:r>
        <w:rPr>
          <w:color w:val="0075BF"/>
          <w:sz w:val="12"/>
        </w:rPr>
        <w:t>desarrollar</w:t>
      </w:r>
      <w:r>
        <w:rPr>
          <w:color w:val="0075BF"/>
          <w:spacing w:val="6"/>
          <w:sz w:val="12"/>
        </w:rPr>
        <w:t xml:space="preserve"> </w:t>
      </w:r>
      <w:r>
        <w:rPr>
          <w:color w:val="0075BF"/>
          <w:sz w:val="12"/>
        </w:rPr>
        <w:t>una</w:t>
      </w:r>
      <w:r>
        <w:rPr>
          <w:color w:val="0075BF"/>
          <w:spacing w:val="7"/>
          <w:sz w:val="12"/>
        </w:rPr>
        <w:t xml:space="preserve"> </w:t>
      </w:r>
      <w:r>
        <w:rPr>
          <w:color w:val="0075BF"/>
          <w:sz w:val="12"/>
        </w:rPr>
        <w:t>legislación</w:t>
      </w:r>
      <w:r>
        <w:rPr>
          <w:color w:val="0075BF"/>
          <w:spacing w:val="8"/>
          <w:sz w:val="12"/>
        </w:rPr>
        <w:t xml:space="preserve"> </w:t>
      </w:r>
      <w:r>
        <w:rPr>
          <w:color w:val="0075BF"/>
          <w:sz w:val="12"/>
        </w:rPr>
        <w:t>integral</w:t>
      </w:r>
      <w:r>
        <w:rPr>
          <w:color w:val="0075BF"/>
          <w:spacing w:val="7"/>
          <w:sz w:val="12"/>
        </w:rPr>
        <w:t xml:space="preserve"> </w:t>
      </w:r>
      <w:r>
        <w:rPr>
          <w:color w:val="0075BF"/>
          <w:sz w:val="12"/>
        </w:rPr>
        <w:t>contra</w:t>
      </w:r>
      <w:r>
        <w:rPr>
          <w:color w:val="0075BF"/>
          <w:spacing w:val="6"/>
          <w:sz w:val="12"/>
        </w:rPr>
        <w:t xml:space="preserve"> </w:t>
      </w:r>
      <w:r>
        <w:rPr>
          <w:color w:val="0075BF"/>
          <w:sz w:val="12"/>
        </w:rPr>
        <w:t>la</w:t>
      </w:r>
      <w:r>
        <w:rPr>
          <w:color w:val="0075BF"/>
          <w:spacing w:val="7"/>
          <w:sz w:val="12"/>
        </w:rPr>
        <w:t xml:space="preserve"> </w:t>
      </w:r>
      <w:r>
        <w:rPr>
          <w:color w:val="0075BF"/>
          <w:spacing w:val="-2"/>
          <w:sz w:val="12"/>
        </w:rPr>
        <w:t>discriminación</w:t>
      </w:r>
    </w:p>
    <w:p w14:paraId="2C800FFD" w14:textId="77777777" w:rsidR="0014798C" w:rsidRDefault="0014798C">
      <w:pPr>
        <w:pStyle w:val="Textoindependiente"/>
      </w:pPr>
    </w:p>
    <w:p w14:paraId="47F23793" w14:textId="77777777" w:rsidR="0014798C" w:rsidRDefault="0014798C">
      <w:pPr>
        <w:pStyle w:val="Textoindependiente"/>
      </w:pPr>
    </w:p>
    <w:p w14:paraId="324AD400" w14:textId="77777777" w:rsidR="0014798C" w:rsidRDefault="0014798C">
      <w:pPr>
        <w:pStyle w:val="Textoindependiente"/>
      </w:pPr>
    </w:p>
    <w:p w14:paraId="7BB3D66B" w14:textId="77777777" w:rsidR="0014798C" w:rsidRDefault="0014798C">
      <w:pPr>
        <w:pStyle w:val="Textoindependiente"/>
      </w:pPr>
    </w:p>
    <w:p w14:paraId="3D35BF95" w14:textId="77777777" w:rsidR="0014798C" w:rsidRDefault="0014798C">
      <w:pPr>
        <w:pStyle w:val="Textoindependiente"/>
        <w:spacing w:before="74"/>
      </w:pPr>
    </w:p>
    <w:p w14:paraId="52038295" w14:textId="77777777" w:rsidR="0014798C" w:rsidRDefault="004E1F0B">
      <w:pPr>
        <w:pStyle w:val="Textoindependiente"/>
        <w:spacing w:line="326" w:lineRule="auto"/>
        <w:ind w:left="1107" w:right="1272" w:firstLine="1"/>
      </w:pPr>
      <w:r>
        <w:t>En febrero de 2021, los socios del proyecto siguieron estas consultas con un seminario web dedicado específicamente al “nexo entre expresión y acción: discurso de odio, incitación y legislación contra la discriminación”.</w:t>
      </w:r>
    </w:p>
    <w:p w14:paraId="6BB56498" w14:textId="77777777" w:rsidR="0014798C" w:rsidRDefault="004E1F0B">
      <w:pPr>
        <w:pStyle w:val="Textoindependiente"/>
        <w:spacing w:before="169" w:line="326" w:lineRule="auto"/>
        <w:ind w:left="1107" w:right="1463" w:firstLine="2"/>
      </w:pPr>
      <w:r>
        <w:t>En</w:t>
      </w:r>
      <w:r>
        <w:rPr>
          <w:spacing w:val="13"/>
        </w:rPr>
        <w:t xml:space="preserve"> </w:t>
      </w:r>
      <w:r>
        <w:t>cuarto</w:t>
      </w:r>
      <w:r>
        <w:rPr>
          <w:spacing w:val="13"/>
        </w:rPr>
        <w:t xml:space="preserve"> </w:t>
      </w:r>
      <w:r>
        <w:t>lugar,</w:t>
      </w:r>
      <w:r>
        <w:rPr>
          <w:spacing w:val="15"/>
        </w:rPr>
        <w:t xml:space="preserve"> </w:t>
      </w:r>
      <w:r>
        <w:t>se</w:t>
      </w:r>
      <w:r>
        <w:rPr>
          <w:spacing w:val="13"/>
        </w:rPr>
        <w:t xml:space="preserve"> </w:t>
      </w:r>
      <w:r>
        <w:t>presentaron</w:t>
      </w:r>
      <w:r>
        <w:rPr>
          <w:spacing w:val="13"/>
        </w:rPr>
        <w:t xml:space="preserve"> </w:t>
      </w:r>
      <w:r>
        <w:t>borradores</w:t>
      </w:r>
      <w:r>
        <w:rPr>
          <w:spacing w:val="13"/>
        </w:rPr>
        <w:t xml:space="preserve"> </w:t>
      </w:r>
      <w:r>
        <w:t>de</w:t>
      </w:r>
      <w:r>
        <w:rPr>
          <w:spacing w:val="13"/>
        </w:rPr>
        <w:t xml:space="preserve"> </w:t>
      </w:r>
      <w:r>
        <w:t>la</w:t>
      </w:r>
      <w:r>
        <w:rPr>
          <w:spacing w:val="13"/>
        </w:rPr>
        <w:t xml:space="preserve"> </w:t>
      </w:r>
      <w:r>
        <w:t>guía</w:t>
      </w:r>
      <w:r>
        <w:rPr>
          <w:spacing w:val="13"/>
        </w:rPr>
        <w:t xml:space="preserve"> </w:t>
      </w:r>
      <w:r>
        <w:t>a</w:t>
      </w:r>
      <w:r>
        <w:rPr>
          <w:spacing w:val="13"/>
        </w:rPr>
        <w:t xml:space="preserve"> </w:t>
      </w:r>
      <w:r>
        <w:t>expertos</w:t>
      </w:r>
      <w:r>
        <w:rPr>
          <w:spacing w:val="13"/>
        </w:rPr>
        <w:t xml:space="preserve"> </w:t>
      </w:r>
      <w:r>
        <w:t>para</w:t>
      </w:r>
      <w:r>
        <w:rPr>
          <w:spacing w:val="13"/>
        </w:rPr>
        <w:t xml:space="preserve"> </w:t>
      </w:r>
      <w:r>
        <w:t>su</w:t>
      </w:r>
      <w:r>
        <w:rPr>
          <w:spacing w:val="13"/>
        </w:rPr>
        <w:t xml:space="preserve"> </w:t>
      </w:r>
      <w:r>
        <w:t>verificación</w:t>
      </w:r>
      <w:r>
        <w:rPr>
          <w:spacing w:val="13"/>
        </w:rPr>
        <w:t xml:space="preserve"> </w:t>
      </w:r>
      <w:r>
        <w:t>y</w:t>
      </w:r>
      <w:r>
        <w:rPr>
          <w:spacing w:val="13"/>
        </w:rPr>
        <w:t xml:space="preserve"> </w:t>
      </w:r>
      <w:r>
        <w:t>validación.</w:t>
      </w:r>
      <w:r>
        <w:rPr>
          <w:spacing w:val="15"/>
        </w:rPr>
        <w:t xml:space="preserve"> </w:t>
      </w:r>
      <w:r>
        <w:t>En</w:t>
      </w:r>
      <w:r>
        <w:rPr>
          <w:spacing w:val="13"/>
        </w:rPr>
        <w:t xml:space="preserve"> </w:t>
      </w:r>
      <w:r>
        <w:t>el</w:t>
      </w:r>
      <w:r>
        <w:rPr>
          <w:spacing w:val="13"/>
        </w:rPr>
        <w:t xml:space="preserve"> </w:t>
      </w:r>
      <w:r>
        <w:t>primer</w:t>
      </w:r>
      <w:r>
        <w:rPr>
          <w:spacing w:val="13"/>
        </w:rPr>
        <w:t xml:space="preserve"> </w:t>
      </w:r>
      <w:r>
        <w:t>trimestre</w:t>
      </w:r>
      <w:r>
        <w:rPr>
          <w:spacing w:val="13"/>
        </w:rPr>
        <w:t xml:space="preserve"> </w:t>
      </w:r>
      <w:r>
        <w:t>de 2021, se publicó un borrador completo de la guía para su revisión y validación por parte de más de 50 expertos del mundo académico y de la sociedad civil, incluidas, en particular, las principales organizaciones internacionales que trabajan con y en nombre de diferentes grupos expuestos a la discriminación. – y el propio ACNUDH. Paralelamente a este proceso, la guía fue examinada en detalle por el Comité Asesor independiente (ver más abajo). Después de la validación, el equipo de investigación consideró</w:t>
      </w:r>
      <w:r>
        <w:rPr>
          <w:spacing w:val="19"/>
        </w:rPr>
        <w:t xml:space="preserve"> </w:t>
      </w:r>
      <w:r>
        <w:t>todos los comentarios,</w:t>
      </w:r>
      <w:r>
        <w:rPr>
          <w:spacing w:val="21"/>
        </w:rPr>
        <w:t xml:space="preserve"> </w:t>
      </w:r>
      <w:r>
        <w:t>aportaciones y propuestas,</w:t>
      </w:r>
      <w:r>
        <w:rPr>
          <w:spacing w:val="19"/>
        </w:rPr>
        <w:t xml:space="preserve"> </w:t>
      </w:r>
      <w:r>
        <w:t>ajustando el texto según fuera necesario</w:t>
      </w:r>
      <w:r>
        <w:rPr>
          <w:spacing w:val="19"/>
        </w:rPr>
        <w:t xml:space="preserve"> </w:t>
      </w:r>
      <w:r>
        <w:t>para garantizar su</w:t>
      </w:r>
      <w:r>
        <w:rPr>
          <w:spacing w:val="40"/>
        </w:rPr>
        <w:t xml:space="preserve"> </w:t>
      </w:r>
      <w:r>
        <w:t>precisión e integridad.</w:t>
      </w:r>
    </w:p>
    <w:p w14:paraId="28E10C96" w14:textId="77777777" w:rsidR="0014798C" w:rsidRDefault="004E1F0B">
      <w:pPr>
        <w:pStyle w:val="Ttulo7"/>
        <w:numPr>
          <w:ilvl w:val="1"/>
          <w:numId w:val="93"/>
        </w:numPr>
        <w:tabs>
          <w:tab w:val="left" w:pos="1486"/>
        </w:tabs>
        <w:spacing w:before="273"/>
        <w:ind w:left="1486" w:hanging="366"/>
        <w:rPr>
          <w:color w:val="0075BF"/>
        </w:rPr>
      </w:pPr>
      <w:r>
        <w:rPr>
          <w:color w:val="0075BF"/>
        </w:rPr>
        <w:t>Supervisión</w:t>
      </w:r>
      <w:r>
        <w:rPr>
          <w:color w:val="0075BF"/>
          <w:spacing w:val="-6"/>
        </w:rPr>
        <w:t xml:space="preserve"> </w:t>
      </w:r>
      <w:r>
        <w:rPr>
          <w:color w:val="0075BF"/>
        </w:rPr>
        <w:t>y</w:t>
      </w:r>
      <w:r>
        <w:rPr>
          <w:color w:val="0075BF"/>
          <w:spacing w:val="-5"/>
        </w:rPr>
        <w:t xml:space="preserve"> </w:t>
      </w:r>
      <w:r>
        <w:rPr>
          <w:color w:val="0075BF"/>
          <w:spacing w:val="-2"/>
        </w:rPr>
        <w:t>orientación</w:t>
      </w:r>
    </w:p>
    <w:p w14:paraId="5CACA996" w14:textId="77777777" w:rsidR="0014798C" w:rsidRDefault="0014798C">
      <w:pPr>
        <w:pStyle w:val="Textoindependiente"/>
        <w:spacing w:before="47"/>
      </w:pPr>
    </w:p>
    <w:p w14:paraId="66F2CA30" w14:textId="77777777" w:rsidR="0014798C" w:rsidRDefault="004E1F0B">
      <w:pPr>
        <w:pStyle w:val="Textoindependiente"/>
        <w:spacing w:line="271" w:lineRule="auto"/>
        <w:ind w:left="1111" w:right="1272" w:hanging="6"/>
      </w:pPr>
      <w:r>
        <w:t>La elaboración de la guía fue supervisada por dos comités de expertos, un comité asesor independiente y el Comité de Publicaciones del ACNUDH.</w:t>
      </w:r>
    </w:p>
    <w:p w14:paraId="0B438675" w14:textId="77777777" w:rsidR="0014798C" w:rsidRDefault="0014798C">
      <w:pPr>
        <w:pStyle w:val="Textoindependiente"/>
        <w:spacing w:before="70"/>
      </w:pPr>
    </w:p>
    <w:p w14:paraId="3889E303" w14:textId="77777777" w:rsidR="0014798C" w:rsidRDefault="004E1F0B">
      <w:pPr>
        <w:pStyle w:val="Textoindependiente"/>
        <w:spacing w:line="326" w:lineRule="auto"/>
        <w:ind w:left="1106" w:right="1376" w:firstLine="2"/>
      </w:pPr>
      <w:r>
        <w:t>Desde el inicio del desarrollo de la guía, se estableció un Comité Asesor independiente.</w:t>
      </w:r>
      <w:r>
        <w:rPr>
          <w:spacing w:val="12"/>
        </w:rPr>
        <w:t xml:space="preserve"> </w:t>
      </w:r>
      <w:r>
        <w:t>El Comité Asesor estaba integrado por</w:t>
      </w:r>
      <w:r>
        <w:rPr>
          <w:spacing w:val="40"/>
        </w:rPr>
        <w:t xml:space="preserve"> </w:t>
      </w:r>
      <w:r>
        <w:t>13</w:t>
      </w:r>
      <w:r>
        <w:rPr>
          <w:spacing w:val="17"/>
        </w:rPr>
        <w:t xml:space="preserve"> </w:t>
      </w:r>
      <w:r>
        <w:t>destacados</w:t>
      </w:r>
      <w:r>
        <w:rPr>
          <w:spacing w:val="17"/>
        </w:rPr>
        <w:t xml:space="preserve"> </w:t>
      </w:r>
      <w:r>
        <w:t>expertos</w:t>
      </w:r>
      <w:r>
        <w:rPr>
          <w:spacing w:val="17"/>
        </w:rPr>
        <w:t xml:space="preserve"> </w:t>
      </w:r>
      <w:r>
        <w:t>en</w:t>
      </w:r>
      <w:r>
        <w:rPr>
          <w:spacing w:val="17"/>
        </w:rPr>
        <w:t xml:space="preserve"> </w:t>
      </w:r>
      <w:r>
        <w:t>derecho</w:t>
      </w:r>
      <w:r>
        <w:rPr>
          <w:spacing w:val="17"/>
        </w:rPr>
        <w:t xml:space="preserve"> </w:t>
      </w:r>
      <w:r>
        <w:t>contra</w:t>
      </w:r>
      <w:r>
        <w:rPr>
          <w:spacing w:val="17"/>
        </w:rPr>
        <w:t xml:space="preserve"> </w:t>
      </w:r>
      <w:r>
        <w:t>la</w:t>
      </w:r>
      <w:r>
        <w:rPr>
          <w:spacing w:val="17"/>
        </w:rPr>
        <w:t xml:space="preserve"> </w:t>
      </w:r>
      <w:r>
        <w:t>discriminación</w:t>
      </w:r>
      <w:r>
        <w:rPr>
          <w:spacing w:val="18"/>
        </w:rPr>
        <w:t xml:space="preserve"> </w:t>
      </w:r>
      <w:r>
        <w:t>y</w:t>
      </w:r>
      <w:r>
        <w:rPr>
          <w:spacing w:val="17"/>
        </w:rPr>
        <w:t xml:space="preserve"> </w:t>
      </w:r>
      <w:r>
        <w:t>la</w:t>
      </w:r>
      <w:r>
        <w:rPr>
          <w:spacing w:val="17"/>
        </w:rPr>
        <w:t xml:space="preserve"> </w:t>
      </w:r>
      <w:r>
        <w:t>igualdad,</w:t>
      </w:r>
      <w:r>
        <w:rPr>
          <w:spacing w:val="18"/>
        </w:rPr>
        <w:t xml:space="preserve"> </w:t>
      </w:r>
      <w:r>
        <w:t>incluidos,</w:t>
      </w:r>
      <w:r>
        <w:rPr>
          <w:spacing w:val="18"/>
        </w:rPr>
        <w:t xml:space="preserve"> </w:t>
      </w:r>
      <w:r>
        <w:t>entre</w:t>
      </w:r>
      <w:r>
        <w:rPr>
          <w:spacing w:val="17"/>
        </w:rPr>
        <w:t xml:space="preserve"> </w:t>
      </w:r>
      <w:r>
        <w:t>otros,</w:t>
      </w:r>
      <w:r>
        <w:rPr>
          <w:spacing w:val="18"/>
        </w:rPr>
        <w:t xml:space="preserve"> </w:t>
      </w:r>
      <w:r>
        <w:t>tres</w:t>
      </w:r>
      <w:r>
        <w:rPr>
          <w:spacing w:val="17"/>
        </w:rPr>
        <w:t xml:space="preserve"> </w:t>
      </w:r>
      <w:r>
        <w:t>ex</w:t>
      </w:r>
      <w:r>
        <w:rPr>
          <w:spacing w:val="17"/>
        </w:rPr>
        <w:t xml:space="preserve"> </w:t>
      </w:r>
      <w:r>
        <w:t>Relatores</w:t>
      </w:r>
      <w:r>
        <w:rPr>
          <w:spacing w:val="17"/>
        </w:rPr>
        <w:t xml:space="preserve"> </w:t>
      </w:r>
      <w:r>
        <w:t>Especiales de las Naciones Unidas, varios destacados expertos académicos en leyes de igualdad comparada y litigantes, jueces y representantes de órganos independientes de igualdad con experiencia. Además de sus conocimientos individuales, los</w:t>
      </w:r>
      <w:r>
        <w:rPr>
          <w:spacing w:val="40"/>
        </w:rPr>
        <w:t xml:space="preserve"> </w:t>
      </w:r>
      <w:r>
        <w:t xml:space="preserve">miembros del Comité Asesor participaron con miras a garantizar una diversidad de conocimientos, experiencias, ideas y orientación. El Comité Asesor tenía equilibrio de género e incluía expertos reconocidos en la legislación sobre discriminación contra las mujeres, las personas con discapacidad, las personas y minorías lesbianas, </w:t>
      </w:r>
      <w:proofErr w:type="spellStart"/>
      <w:r>
        <w:t>gays</w:t>
      </w:r>
      <w:proofErr w:type="spellEnd"/>
      <w:r>
        <w:t>, bisexuales, transgénero e intersexuales, entre otros. Incluía defensores experimentados, académicos y activistas y personas con experiencia en entornos gubernamentales,</w:t>
      </w:r>
      <w:r>
        <w:rPr>
          <w:spacing w:val="19"/>
        </w:rPr>
        <w:t xml:space="preserve"> </w:t>
      </w:r>
      <w:r>
        <w:t>no gubernamentales e intergubernamentales.</w:t>
      </w:r>
      <w:r>
        <w:rPr>
          <w:spacing w:val="19"/>
        </w:rPr>
        <w:t xml:space="preserve"> </w:t>
      </w:r>
      <w:r>
        <w:t>Los miembros del Comité Asesor representaban una variedad</w:t>
      </w:r>
      <w:r>
        <w:rPr>
          <w:spacing w:val="40"/>
        </w:rPr>
        <w:t xml:space="preserve"> </w:t>
      </w:r>
      <w:r>
        <w:t>de sistemas y tradiciones legales diferentes, de todas las regiones del mundo.</w:t>
      </w:r>
    </w:p>
    <w:p w14:paraId="1CD6BFE3" w14:textId="77777777" w:rsidR="0014798C" w:rsidRDefault="0014798C">
      <w:pPr>
        <w:pStyle w:val="Textoindependiente"/>
      </w:pPr>
    </w:p>
    <w:p w14:paraId="758C1A1D" w14:textId="77777777" w:rsidR="0014798C" w:rsidRDefault="0014798C">
      <w:pPr>
        <w:pStyle w:val="Textoindependiente"/>
        <w:spacing w:before="46"/>
      </w:pPr>
    </w:p>
    <w:p w14:paraId="1AD2C2A6" w14:textId="77777777" w:rsidR="0014798C" w:rsidRDefault="004E1F0B">
      <w:pPr>
        <w:pStyle w:val="Textoindependiente"/>
        <w:spacing w:before="1" w:line="326" w:lineRule="auto"/>
        <w:ind w:left="1109" w:right="1626" w:hanging="4"/>
      </w:pPr>
      <w:r>
        <w:t>El Comité Asesor brindó orientación experta a los socios en todo momento, ayudando a garantizar la relevancia, utilidad y validez de la guía. El Comité Asesor participó en la orientación del trabajo durante las etapas de inicio, desarrollo, consulta y validación del proceso y estuvo disponible para consultas en todo momento.</w:t>
      </w:r>
    </w:p>
    <w:p w14:paraId="22821460" w14:textId="77777777" w:rsidR="0014798C" w:rsidRDefault="004E1F0B">
      <w:pPr>
        <w:pStyle w:val="Textoindependiente"/>
        <w:spacing w:line="326" w:lineRule="auto"/>
        <w:ind w:left="1107" w:right="1463" w:hanging="1"/>
      </w:pPr>
      <w:r>
        <w:t>El Comité Asesor se reunió en múltiples ocasiones y brindó orientación periódica durante todo el proceso de investigación y redacción. Además de brindar sugerencias en la etapa de desarrollo de la guía, los miembros del Comité Asesor revisaron la guía mientras se redactaba. Una vez que se produjo un borrador completo de la guía, a principios de 2021, el Comité Asesor convocó a una reunión de varios días para revisar y comentar el borrador en detalle, al mismo tiempo que brindaba amplios aportes por escrito.</w:t>
      </w:r>
    </w:p>
    <w:p w14:paraId="735477F2" w14:textId="77777777" w:rsidR="0014798C" w:rsidRDefault="004E1F0B">
      <w:pPr>
        <w:pStyle w:val="Textoindependiente"/>
        <w:spacing w:before="166"/>
        <w:ind w:left="1108"/>
      </w:pPr>
      <w:r>
        <w:t>Además,</w:t>
      </w:r>
      <w:r>
        <w:rPr>
          <w:spacing w:val="6"/>
        </w:rPr>
        <w:t xml:space="preserve"> </w:t>
      </w:r>
      <w:r>
        <w:t>el</w:t>
      </w:r>
      <w:r>
        <w:rPr>
          <w:spacing w:val="5"/>
        </w:rPr>
        <w:t xml:space="preserve"> </w:t>
      </w:r>
      <w:r>
        <w:t>Comité</w:t>
      </w:r>
      <w:r>
        <w:rPr>
          <w:spacing w:val="5"/>
        </w:rPr>
        <w:t xml:space="preserve"> </w:t>
      </w:r>
      <w:r>
        <w:t>de</w:t>
      </w:r>
      <w:r>
        <w:rPr>
          <w:spacing w:val="6"/>
        </w:rPr>
        <w:t xml:space="preserve"> </w:t>
      </w:r>
      <w:r>
        <w:t>Publicaciones</w:t>
      </w:r>
      <w:r>
        <w:rPr>
          <w:spacing w:val="5"/>
        </w:rPr>
        <w:t xml:space="preserve"> </w:t>
      </w:r>
      <w:r>
        <w:t>del</w:t>
      </w:r>
      <w:r>
        <w:rPr>
          <w:spacing w:val="5"/>
        </w:rPr>
        <w:t xml:space="preserve"> </w:t>
      </w:r>
      <w:r>
        <w:t>ACNUDH</w:t>
      </w:r>
      <w:r>
        <w:rPr>
          <w:spacing w:val="5"/>
        </w:rPr>
        <w:t xml:space="preserve"> </w:t>
      </w:r>
      <w:r>
        <w:t>participó</w:t>
      </w:r>
      <w:r>
        <w:rPr>
          <w:spacing w:val="6"/>
        </w:rPr>
        <w:t xml:space="preserve"> </w:t>
      </w:r>
      <w:r>
        <w:t>ampliamente</w:t>
      </w:r>
      <w:r>
        <w:rPr>
          <w:spacing w:val="5"/>
        </w:rPr>
        <w:t xml:space="preserve"> </w:t>
      </w:r>
      <w:r>
        <w:t>en</w:t>
      </w:r>
      <w:r>
        <w:rPr>
          <w:spacing w:val="5"/>
        </w:rPr>
        <w:t xml:space="preserve"> </w:t>
      </w:r>
      <w:r>
        <w:t>la</w:t>
      </w:r>
      <w:r>
        <w:rPr>
          <w:spacing w:val="5"/>
        </w:rPr>
        <w:t xml:space="preserve"> </w:t>
      </w:r>
      <w:r>
        <w:t>elaboración</w:t>
      </w:r>
      <w:r>
        <w:rPr>
          <w:spacing w:val="6"/>
        </w:rPr>
        <w:t xml:space="preserve"> </w:t>
      </w:r>
      <w:r>
        <w:t>de</w:t>
      </w:r>
      <w:r>
        <w:rPr>
          <w:spacing w:val="5"/>
        </w:rPr>
        <w:t xml:space="preserve"> </w:t>
      </w:r>
      <w:r>
        <w:t>la</w:t>
      </w:r>
      <w:r>
        <w:rPr>
          <w:spacing w:val="5"/>
        </w:rPr>
        <w:t xml:space="preserve"> </w:t>
      </w:r>
      <w:r>
        <w:rPr>
          <w:spacing w:val="-2"/>
        </w:rPr>
        <w:t>guía.</w:t>
      </w:r>
    </w:p>
    <w:p w14:paraId="0A8A6D49" w14:textId="77777777" w:rsidR="0014798C" w:rsidRDefault="004E1F0B">
      <w:pPr>
        <w:pStyle w:val="Textoindependiente"/>
        <w:spacing w:before="65" w:line="326" w:lineRule="auto"/>
        <w:ind w:left="1108" w:right="1463"/>
      </w:pPr>
      <w:r>
        <w:t>Además de aprobar una nota conceptual inicial, el Comité de Publicaciones delegó a un experto para realizar consultas</w:t>
      </w:r>
      <w:r>
        <w:rPr>
          <w:spacing w:val="40"/>
        </w:rPr>
        <w:t xml:space="preserve"> </w:t>
      </w:r>
      <w:r>
        <w:t>periódicas</w:t>
      </w:r>
      <w:r>
        <w:rPr>
          <w:spacing w:val="16"/>
        </w:rPr>
        <w:t xml:space="preserve"> </w:t>
      </w:r>
      <w:r>
        <w:t>sobre</w:t>
      </w:r>
      <w:r>
        <w:rPr>
          <w:spacing w:val="16"/>
        </w:rPr>
        <w:t xml:space="preserve"> </w:t>
      </w:r>
      <w:r>
        <w:t>el</w:t>
      </w:r>
      <w:r>
        <w:rPr>
          <w:spacing w:val="16"/>
        </w:rPr>
        <w:t xml:space="preserve"> </w:t>
      </w:r>
      <w:r>
        <w:t>desarrollo</w:t>
      </w:r>
      <w:r>
        <w:rPr>
          <w:spacing w:val="17"/>
        </w:rPr>
        <w:t xml:space="preserve"> </w:t>
      </w:r>
      <w:r>
        <w:t>de</w:t>
      </w:r>
      <w:r>
        <w:rPr>
          <w:spacing w:val="16"/>
        </w:rPr>
        <w:t xml:space="preserve"> </w:t>
      </w:r>
      <w:r>
        <w:t>la</w:t>
      </w:r>
      <w:r>
        <w:rPr>
          <w:spacing w:val="16"/>
        </w:rPr>
        <w:t xml:space="preserve"> </w:t>
      </w:r>
      <w:r>
        <w:t>guía.</w:t>
      </w:r>
      <w:r>
        <w:rPr>
          <w:spacing w:val="17"/>
        </w:rPr>
        <w:t xml:space="preserve"> </w:t>
      </w:r>
      <w:r>
        <w:t>De</w:t>
      </w:r>
      <w:r>
        <w:rPr>
          <w:spacing w:val="16"/>
        </w:rPr>
        <w:t xml:space="preserve"> </w:t>
      </w:r>
      <w:r>
        <w:t>acuerdo</w:t>
      </w:r>
      <w:r>
        <w:rPr>
          <w:spacing w:val="16"/>
        </w:rPr>
        <w:t xml:space="preserve"> </w:t>
      </w:r>
      <w:r>
        <w:t>con</w:t>
      </w:r>
      <w:r>
        <w:rPr>
          <w:spacing w:val="16"/>
        </w:rPr>
        <w:t xml:space="preserve"> </w:t>
      </w:r>
      <w:r>
        <w:t>sus</w:t>
      </w:r>
      <w:r>
        <w:rPr>
          <w:spacing w:val="16"/>
        </w:rPr>
        <w:t xml:space="preserve"> </w:t>
      </w:r>
      <w:r>
        <w:t>procedimientos,</w:t>
      </w:r>
      <w:r>
        <w:rPr>
          <w:spacing w:val="19"/>
        </w:rPr>
        <w:t xml:space="preserve"> </w:t>
      </w:r>
      <w:r>
        <w:t>el</w:t>
      </w:r>
      <w:r>
        <w:rPr>
          <w:spacing w:val="16"/>
        </w:rPr>
        <w:t xml:space="preserve"> </w:t>
      </w:r>
      <w:r>
        <w:t>Comité</w:t>
      </w:r>
      <w:r>
        <w:rPr>
          <w:spacing w:val="16"/>
        </w:rPr>
        <w:t xml:space="preserve"> </w:t>
      </w:r>
      <w:r>
        <w:t>de</w:t>
      </w:r>
      <w:r>
        <w:rPr>
          <w:spacing w:val="16"/>
        </w:rPr>
        <w:t xml:space="preserve"> </w:t>
      </w:r>
      <w:r>
        <w:t>Publicaciones</w:t>
      </w:r>
      <w:r>
        <w:rPr>
          <w:spacing w:val="16"/>
        </w:rPr>
        <w:t xml:space="preserve"> </w:t>
      </w:r>
      <w:r>
        <w:t>también</w:t>
      </w:r>
      <w:r>
        <w:rPr>
          <w:spacing w:val="16"/>
        </w:rPr>
        <w:t xml:space="preserve"> </w:t>
      </w:r>
      <w:r>
        <w:t>designó pares evaluadores para revisar el manuscrito, siguiendo los procesos de validación, verificación y revisión por parte del Comité Asesor. Las sugerencias de los expertos revisores se han incorporado en el borrador final de la guía.</w:t>
      </w:r>
    </w:p>
    <w:p w14:paraId="7B8F526C" w14:textId="77777777" w:rsidR="0014798C" w:rsidRDefault="0014798C">
      <w:pPr>
        <w:pStyle w:val="Textoindependiente"/>
        <w:spacing w:before="180"/>
        <w:rPr>
          <w:sz w:val="30"/>
        </w:rPr>
      </w:pPr>
    </w:p>
    <w:p w14:paraId="4459EF52" w14:textId="77777777" w:rsidR="0014798C" w:rsidRDefault="004E1F0B">
      <w:pPr>
        <w:pStyle w:val="Ttulo7"/>
        <w:numPr>
          <w:ilvl w:val="1"/>
          <w:numId w:val="93"/>
        </w:numPr>
        <w:tabs>
          <w:tab w:val="left" w:pos="1492"/>
        </w:tabs>
        <w:ind w:left="1492" w:hanging="383"/>
        <w:rPr>
          <w:color w:val="0075BF"/>
        </w:rPr>
      </w:pPr>
      <w:r>
        <w:rPr>
          <w:color w:val="0075BF"/>
          <w:spacing w:val="-2"/>
        </w:rPr>
        <w:t>Enfoque</w:t>
      </w:r>
    </w:p>
    <w:p w14:paraId="493F00D1" w14:textId="77777777" w:rsidR="0014798C" w:rsidRDefault="0014798C">
      <w:pPr>
        <w:pStyle w:val="Textoindependiente"/>
        <w:spacing w:before="47"/>
      </w:pPr>
    </w:p>
    <w:p w14:paraId="110F3E93" w14:textId="77777777" w:rsidR="0014798C" w:rsidRDefault="004E1F0B">
      <w:pPr>
        <w:pStyle w:val="Textoindependiente"/>
        <w:spacing w:line="326" w:lineRule="auto"/>
        <w:ind w:left="1107" w:right="1335" w:hanging="1"/>
      </w:pPr>
      <w:r>
        <w:t>El</w:t>
      </w:r>
      <w:r>
        <w:rPr>
          <w:spacing w:val="8"/>
        </w:rPr>
        <w:t xml:space="preserve"> </w:t>
      </w:r>
      <w:r>
        <w:t>enfoque</w:t>
      </w:r>
      <w:r>
        <w:rPr>
          <w:spacing w:val="8"/>
        </w:rPr>
        <w:t xml:space="preserve"> </w:t>
      </w:r>
      <w:r>
        <w:t>profundo</w:t>
      </w:r>
      <w:r>
        <w:rPr>
          <w:spacing w:val="8"/>
        </w:rPr>
        <w:t xml:space="preserve"> </w:t>
      </w:r>
      <w:r>
        <w:t>y</w:t>
      </w:r>
      <w:r>
        <w:rPr>
          <w:spacing w:val="8"/>
        </w:rPr>
        <w:t xml:space="preserve"> </w:t>
      </w:r>
      <w:r>
        <w:t>amplio</w:t>
      </w:r>
      <w:r>
        <w:rPr>
          <w:spacing w:val="8"/>
        </w:rPr>
        <w:t xml:space="preserve"> </w:t>
      </w:r>
      <w:r>
        <w:t>de</w:t>
      </w:r>
      <w:r>
        <w:rPr>
          <w:spacing w:val="8"/>
        </w:rPr>
        <w:t xml:space="preserve"> </w:t>
      </w:r>
      <w:r>
        <w:t>consulta</w:t>
      </w:r>
      <w:r>
        <w:rPr>
          <w:spacing w:val="8"/>
        </w:rPr>
        <w:t xml:space="preserve"> </w:t>
      </w:r>
      <w:r>
        <w:t>y</w:t>
      </w:r>
      <w:r>
        <w:rPr>
          <w:spacing w:val="8"/>
        </w:rPr>
        <w:t xml:space="preserve"> </w:t>
      </w:r>
      <w:r>
        <w:t>colaboración</w:t>
      </w:r>
      <w:r>
        <w:rPr>
          <w:spacing w:val="9"/>
        </w:rPr>
        <w:t xml:space="preserve"> </w:t>
      </w:r>
      <w:r>
        <w:t>adoptado</w:t>
      </w:r>
      <w:r>
        <w:rPr>
          <w:spacing w:val="8"/>
        </w:rPr>
        <w:t xml:space="preserve"> </w:t>
      </w:r>
      <w:r>
        <w:t>por</w:t>
      </w:r>
      <w:r>
        <w:rPr>
          <w:spacing w:val="8"/>
        </w:rPr>
        <w:t xml:space="preserve"> </w:t>
      </w:r>
      <w:r>
        <w:t>los</w:t>
      </w:r>
      <w:r>
        <w:rPr>
          <w:spacing w:val="8"/>
        </w:rPr>
        <w:t xml:space="preserve"> </w:t>
      </w:r>
      <w:r>
        <w:t>socios</w:t>
      </w:r>
      <w:r>
        <w:rPr>
          <w:spacing w:val="8"/>
        </w:rPr>
        <w:t xml:space="preserve"> </w:t>
      </w:r>
      <w:r>
        <w:t>en</w:t>
      </w:r>
      <w:r>
        <w:rPr>
          <w:spacing w:val="8"/>
        </w:rPr>
        <w:t xml:space="preserve"> </w:t>
      </w:r>
      <w:r>
        <w:t>cada</w:t>
      </w:r>
      <w:r>
        <w:rPr>
          <w:spacing w:val="8"/>
        </w:rPr>
        <w:t xml:space="preserve"> </w:t>
      </w:r>
      <w:r>
        <w:t>etapa</w:t>
      </w:r>
      <w:r>
        <w:rPr>
          <w:spacing w:val="8"/>
        </w:rPr>
        <w:t xml:space="preserve"> </w:t>
      </w:r>
      <w:r>
        <w:t>del</w:t>
      </w:r>
      <w:r>
        <w:rPr>
          <w:spacing w:val="8"/>
        </w:rPr>
        <w:t xml:space="preserve"> </w:t>
      </w:r>
      <w:r>
        <w:t>desarrollo</w:t>
      </w:r>
      <w:r>
        <w:rPr>
          <w:spacing w:val="9"/>
        </w:rPr>
        <w:t xml:space="preserve"> </w:t>
      </w:r>
      <w:r>
        <w:t>de</w:t>
      </w:r>
      <w:r>
        <w:rPr>
          <w:spacing w:val="8"/>
        </w:rPr>
        <w:t xml:space="preserve"> </w:t>
      </w:r>
      <w:r>
        <w:t>la</w:t>
      </w:r>
      <w:r>
        <w:rPr>
          <w:spacing w:val="8"/>
        </w:rPr>
        <w:t xml:space="preserve"> </w:t>
      </w:r>
      <w:r>
        <w:t>guía</w:t>
      </w:r>
      <w:r>
        <w:rPr>
          <w:spacing w:val="8"/>
        </w:rPr>
        <w:t xml:space="preserve"> </w:t>
      </w:r>
      <w:r>
        <w:t>refleja el reconocimiento de una serie de hechos básicos en esta área del derecho. En primer lugar, existe una comunidad verdaderamente global de profesionales que trabajan en todos los países del mundo en cuestiones de igualdad y no discriminación.</w:t>
      </w:r>
      <w:r>
        <w:rPr>
          <w:spacing w:val="18"/>
        </w:rPr>
        <w:t xml:space="preserve"> </w:t>
      </w:r>
      <w:r>
        <w:t>El</w:t>
      </w:r>
      <w:r>
        <w:rPr>
          <w:spacing w:val="15"/>
        </w:rPr>
        <w:t xml:space="preserve"> </w:t>
      </w:r>
      <w:r>
        <w:t>derecho</w:t>
      </w:r>
      <w:r>
        <w:rPr>
          <w:spacing w:val="15"/>
        </w:rPr>
        <w:t xml:space="preserve"> </w:t>
      </w:r>
      <w:r>
        <w:t>internacional</w:t>
      </w:r>
      <w:r>
        <w:rPr>
          <w:spacing w:val="15"/>
        </w:rPr>
        <w:t xml:space="preserve"> </w:t>
      </w:r>
      <w:r>
        <w:t>ha</w:t>
      </w:r>
      <w:r>
        <w:rPr>
          <w:spacing w:val="15"/>
        </w:rPr>
        <w:t xml:space="preserve"> </w:t>
      </w:r>
      <w:r>
        <w:t>informado</w:t>
      </w:r>
      <w:r>
        <w:rPr>
          <w:spacing w:val="15"/>
        </w:rPr>
        <w:t xml:space="preserve"> </w:t>
      </w:r>
      <w:r>
        <w:t>y</w:t>
      </w:r>
      <w:r>
        <w:rPr>
          <w:spacing w:val="15"/>
        </w:rPr>
        <w:t xml:space="preserve"> </w:t>
      </w:r>
      <w:r>
        <w:t>ha</w:t>
      </w:r>
      <w:r>
        <w:rPr>
          <w:spacing w:val="15"/>
        </w:rPr>
        <w:t xml:space="preserve"> </w:t>
      </w:r>
      <w:r>
        <w:t>sido</w:t>
      </w:r>
      <w:r>
        <w:rPr>
          <w:spacing w:val="15"/>
        </w:rPr>
        <w:t xml:space="preserve"> </w:t>
      </w:r>
      <w:r>
        <w:t>informado</w:t>
      </w:r>
      <w:r>
        <w:rPr>
          <w:spacing w:val="15"/>
        </w:rPr>
        <w:t xml:space="preserve"> </w:t>
      </w:r>
      <w:r>
        <w:t>por</w:t>
      </w:r>
      <w:r>
        <w:rPr>
          <w:spacing w:val="15"/>
        </w:rPr>
        <w:t xml:space="preserve"> </w:t>
      </w:r>
      <w:r>
        <w:t>los</w:t>
      </w:r>
      <w:r>
        <w:rPr>
          <w:spacing w:val="15"/>
        </w:rPr>
        <w:t xml:space="preserve"> </w:t>
      </w:r>
      <w:r>
        <w:t>acontecimientos</w:t>
      </w:r>
      <w:r>
        <w:rPr>
          <w:spacing w:val="15"/>
        </w:rPr>
        <w:t xml:space="preserve"> </w:t>
      </w:r>
      <w:r>
        <w:t>a</w:t>
      </w:r>
      <w:r>
        <w:rPr>
          <w:spacing w:val="15"/>
        </w:rPr>
        <w:t xml:space="preserve"> </w:t>
      </w:r>
      <w:r>
        <w:t>nivel</w:t>
      </w:r>
      <w:r>
        <w:rPr>
          <w:spacing w:val="15"/>
        </w:rPr>
        <w:t xml:space="preserve"> </w:t>
      </w:r>
      <w:r>
        <w:t>nacional</w:t>
      </w:r>
      <w:r>
        <w:rPr>
          <w:spacing w:val="15"/>
        </w:rPr>
        <w:t xml:space="preserve"> </w:t>
      </w:r>
      <w:r>
        <w:t>y</w:t>
      </w:r>
      <w:r>
        <w:rPr>
          <w:spacing w:val="15"/>
        </w:rPr>
        <w:t xml:space="preserve"> </w:t>
      </w:r>
      <w:r>
        <w:t>regional, por lo que era importante colaborar con la gama más amplia posible de socios a nivel nacional, regional e internacional.</w:t>
      </w:r>
    </w:p>
    <w:p w14:paraId="10E04F6B" w14:textId="77777777" w:rsidR="0014798C" w:rsidRDefault="0014798C">
      <w:pPr>
        <w:pStyle w:val="Textoindependiente"/>
        <w:rPr>
          <w:sz w:val="18"/>
        </w:rPr>
      </w:pPr>
    </w:p>
    <w:p w14:paraId="08537053" w14:textId="77777777" w:rsidR="0014798C" w:rsidRDefault="0014798C">
      <w:pPr>
        <w:pStyle w:val="Textoindependiente"/>
        <w:rPr>
          <w:sz w:val="18"/>
        </w:rPr>
      </w:pPr>
    </w:p>
    <w:p w14:paraId="0408D954" w14:textId="77777777" w:rsidR="0014798C" w:rsidRDefault="0014798C">
      <w:pPr>
        <w:pStyle w:val="Textoindependiente"/>
        <w:rPr>
          <w:sz w:val="18"/>
        </w:rPr>
      </w:pPr>
    </w:p>
    <w:p w14:paraId="62860F54" w14:textId="77777777" w:rsidR="0014798C" w:rsidRDefault="0014798C">
      <w:pPr>
        <w:pStyle w:val="Textoindependiente"/>
        <w:rPr>
          <w:sz w:val="18"/>
        </w:rPr>
      </w:pPr>
    </w:p>
    <w:p w14:paraId="4C0702F9" w14:textId="77777777" w:rsidR="0014798C" w:rsidRDefault="0014798C">
      <w:pPr>
        <w:pStyle w:val="Textoindependiente"/>
        <w:rPr>
          <w:sz w:val="18"/>
        </w:rPr>
      </w:pPr>
    </w:p>
    <w:p w14:paraId="4409F528" w14:textId="77777777" w:rsidR="0014798C" w:rsidRDefault="0014798C">
      <w:pPr>
        <w:pStyle w:val="Textoindependiente"/>
        <w:rPr>
          <w:sz w:val="18"/>
        </w:rPr>
      </w:pPr>
    </w:p>
    <w:p w14:paraId="4D0ECC2F" w14:textId="77777777" w:rsidR="0014798C" w:rsidRDefault="0014798C">
      <w:pPr>
        <w:pStyle w:val="Textoindependiente"/>
        <w:rPr>
          <w:sz w:val="18"/>
        </w:rPr>
      </w:pPr>
    </w:p>
    <w:p w14:paraId="4BBBF9F2" w14:textId="77777777" w:rsidR="0014798C" w:rsidRDefault="0014798C">
      <w:pPr>
        <w:pStyle w:val="Textoindependiente"/>
        <w:spacing w:before="85"/>
        <w:rPr>
          <w:sz w:val="18"/>
        </w:rPr>
      </w:pPr>
    </w:p>
    <w:p w14:paraId="05708EB6" w14:textId="77777777" w:rsidR="0014798C" w:rsidRPr="00537489" w:rsidRDefault="004E1F0B">
      <w:pPr>
        <w:ind w:left="351"/>
        <w:rPr>
          <w:sz w:val="18"/>
          <w:lang w:val="en-US"/>
        </w:rPr>
      </w:pPr>
      <w:r w:rsidRPr="00537489">
        <w:rPr>
          <w:spacing w:val="-2"/>
          <w:sz w:val="18"/>
          <w:lang w:val="en-US"/>
        </w:rPr>
        <w:t>xxviii</w:t>
      </w:r>
    </w:p>
    <w:p w14:paraId="4A1F8EC5" w14:textId="77777777" w:rsidR="0014798C" w:rsidRPr="00537489" w:rsidRDefault="0014798C">
      <w:pPr>
        <w:rPr>
          <w:sz w:val="18"/>
          <w:lang w:val="en-US"/>
        </w:rPr>
        <w:sectPr w:rsidR="0014798C" w:rsidRPr="00537489" w:rsidSect="00F265E4">
          <w:headerReference w:type="default" r:id="rId52"/>
          <w:pgSz w:w="11900" w:h="16820"/>
          <w:pgMar w:top="40" w:right="0" w:bottom="280" w:left="200" w:header="0" w:footer="0" w:gutter="0"/>
          <w:cols w:space="720"/>
        </w:sectPr>
      </w:pPr>
    </w:p>
    <w:p w14:paraId="37B4ED50" w14:textId="77777777" w:rsidR="0014798C" w:rsidRPr="00537489" w:rsidRDefault="004E1F0B">
      <w:pPr>
        <w:spacing w:before="76"/>
        <w:ind w:left="113"/>
        <w:rPr>
          <w:sz w:val="21"/>
          <w:lang w:val="en-US"/>
        </w:rPr>
      </w:pPr>
      <w:r>
        <w:rPr>
          <w:noProof/>
        </w:rPr>
        <w:lastRenderedPageBreak/>
        <w:drawing>
          <wp:anchor distT="0" distB="0" distL="0" distR="0" simplePos="0" relativeHeight="251658359" behindDoc="1" locked="0" layoutInCell="1" allowOverlap="1" wp14:anchorId="3D8A2B73" wp14:editId="78B1AC99">
            <wp:simplePos x="0" y="0"/>
            <wp:positionH relativeFrom="page">
              <wp:posOffset>0</wp:posOffset>
            </wp:positionH>
            <wp:positionV relativeFrom="page">
              <wp:posOffset>0</wp:posOffset>
            </wp:positionV>
            <wp:extent cx="7556500" cy="10680700"/>
            <wp:effectExtent l="0" t="0" r="0" b="0"/>
            <wp:wrapNone/>
            <wp:docPr id="41" name="Image 4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41" name="Image 41"/>
                    <pic:cNvPicPr/>
                  </pic:nvPicPr>
                  <pic:blipFill>
                    <a:blip r:embed="rId29" cstate="print"/>
                    <a:stretch>
                      <a:fillRect/>
                    </a:stretch>
                  </pic:blipFill>
                  <pic:spPr>
                    <a:xfrm>
                      <a:off x="0" y="0"/>
                      <a:ext cx="7556500" cy="10680700"/>
                    </a:xfrm>
                    <a:prstGeom prst="rect">
                      <a:avLst/>
                    </a:prstGeom>
                  </pic:spPr>
                </pic:pic>
              </a:graphicData>
            </a:graphic>
          </wp:anchor>
        </w:drawing>
      </w:r>
      <w:r w:rsidRPr="00537489">
        <w:rPr>
          <w:sz w:val="21"/>
          <w:lang w:val="en-US"/>
        </w:rPr>
        <w:t>Machine</w:t>
      </w:r>
      <w:r w:rsidRPr="00537489">
        <w:rPr>
          <w:spacing w:val="6"/>
          <w:sz w:val="21"/>
          <w:lang w:val="en-US"/>
        </w:rPr>
        <w:t xml:space="preserve"> </w:t>
      </w:r>
      <w:r w:rsidRPr="00537489">
        <w:rPr>
          <w:sz w:val="21"/>
          <w:lang w:val="en-US"/>
        </w:rPr>
        <w:t>Translated</w:t>
      </w:r>
      <w:r w:rsidRPr="00537489">
        <w:rPr>
          <w:spacing w:val="7"/>
          <w:sz w:val="21"/>
          <w:lang w:val="en-US"/>
        </w:rPr>
        <w:t xml:space="preserve"> </w:t>
      </w:r>
      <w:r w:rsidRPr="00537489">
        <w:rPr>
          <w:sz w:val="21"/>
          <w:lang w:val="en-US"/>
        </w:rPr>
        <w:t>by</w:t>
      </w:r>
      <w:r w:rsidRPr="00537489">
        <w:rPr>
          <w:spacing w:val="7"/>
          <w:sz w:val="21"/>
          <w:lang w:val="en-US"/>
        </w:rPr>
        <w:t xml:space="preserve"> </w:t>
      </w:r>
      <w:r w:rsidRPr="00537489">
        <w:rPr>
          <w:spacing w:val="-2"/>
          <w:sz w:val="21"/>
          <w:lang w:val="en-US"/>
        </w:rPr>
        <w:t>Google</w:t>
      </w:r>
    </w:p>
    <w:p w14:paraId="3300F66C" w14:textId="77777777" w:rsidR="0014798C" w:rsidRPr="00537489" w:rsidRDefault="0014798C">
      <w:pPr>
        <w:pStyle w:val="Textoindependiente"/>
        <w:spacing w:before="51"/>
        <w:rPr>
          <w:sz w:val="14"/>
          <w:lang w:val="en-US"/>
        </w:rPr>
      </w:pPr>
    </w:p>
    <w:p w14:paraId="46FA5757" w14:textId="77777777" w:rsidR="0014798C" w:rsidRPr="00537489" w:rsidRDefault="004E1F0B">
      <w:pPr>
        <w:ind w:left="1114"/>
        <w:rPr>
          <w:sz w:val="14"/>
          <w:lang w:val="en-US"/>
        </w:rPr>
      </w:pPr>
      <w:r w:rsidRPr="00537489">
        <w:rPr>
          <w:color w:val="0075BF"/>
          <w:spacing w:val="-2"/>
          <w:sz w:val="14"/>
          <w:lang w:val="en-US"/>
        </w:rPr>
        <w:t>INTRODUCCIÓN</w:t>
      </w:r>
    </w:p>
    <w:p w14:paraId="0CF570BC" w14:textId="77777777" w:rsidR="0014798C" w:rsidRPr="00537489" w:rsidRDefault="0014798C">
      <w:pPr>
        <w:pStyle w:val="Textoindependiente"/>
        <w:rPr>
          <w:lang w:val="en-US"/>
        </w:rPr>
      </w:pPr>
    </w:p>
    <w:p w14:paraId="3EF2A4C1" w14:textId="77777777" w:rsidR="0014798C" w:rsidRPr="00537489" w:rsidRDefault="0014798C">
      <w:pPr>
        <w:pStyle w:val="Textoindependiente"/>
        <w:rPr>
          <w:lang w:val="en-US"/>
        </w:rPr>
      </w:pPr>
    </w:p>
    <w:p w14:paraId="7DA74C63" w14:textId="77777777" w:rsidR="0014798C" w:rsidRPr="00537489" w:rsidRDefault="0014798C">
      <w:pPr>
        <w:pStyle w:val="Textoindependiente"/>
        <w:rPr>
          <w:lang w:val="en-US"/>
        </w:rPr>
      </w:pPr>
    </w:p>
    <w:p w14:paraId="162A6EB9" w14:textId="77777777" w:rsidR="0014798C" w:rsidRPr="00537489" w:rsidRDefault="0014798C">
      <w:pPr>
        <w:pStyle w:val="Textoindependiente"/>
        <w:rPr>
          <w:lang w:val="en-US"/>
        </w:rPr>
      </w:pPr>
    </w:p>
    <w:p w14:paraId="74E67350" w14:textId="77777777" w:rsidR="0014798C" w:rsidRPr="00537489" w:rsidRDefault="0014798C">
      <w:pPr>
        <w:pStyle w:val="Textoindependiente"/>
        <w:spacing w:before="40"/>
        <w:rPr>
          <w:lang w:val="en-US"/>
        </w:rPr>
      </w:pPr>
    </w:p>
    <w:p w14:paraId="47E2C889" w14:textId="77777777" w:rsidR="0014798C" w:rsidRDefault="004E1F0B">
      <w:pPr>
        <w:pStyle w:val="Textoindependiente"/>
        <w:spacing w:line="326" w:lineRule="auto"/>
        <w:ind w:left="1107" w:right="1463" w:firstLine="5"/>
      </w:pPr>
      <w:r>
        <w:t>En segundo lugar, la diversidad de los sistemas y tradiciones legales del mundo ha significado que, aunque las cuestiones legales en discusión aquí son asuntos de interés público común, en una serie de cuestiones ha habido opiniones divergentes que deben sopesarse cuidadosamente y armonizarse. En otras palabras, si bien el derecho internacional es claro e inequívoco sobre la obligación de los Estados de eliminar de manera integral todas las formas de discriminación, quienes lo interpretan a menudo lo hacen de diferentes maneras.</w:t>
      </w:r>
    </w:p>
    <w:p w14:paraId="62340F00" w14:textId="77777777" w:rsidR="0014798C" w:rsidRDefault="004E1F0B">
      <w:pPr>
        <w:pStyle w:val="Textoindependiente"/>
        <w:spacing w:before="169" w:line="326" w:lineRule="auto"/>
        <w:ind w:left="1107" w:right="1272" w:hanging="2"/>
      </w:pPr>
      <w:r>
        <w:rPr>
          <w:w w:val="105"/>
        </w:rPr>
        <w:t>En</w:t>
      </w:r>
      <w:r>
        <w:rPr>
          <w:spacing w:val="-7"/>
          <w:w w:val="105"/>
        </w:rPr>
        <w:t xml:space="preserve"> </w:t>
      </w:r>
      <w:r>
        <w:rPr>
          <w:w w:val="105"/>
        </w:rPr>
        <w:t>última</w:t>
      </w:r>
      <w:r>
        <w:rPr>
          <w:spacing w:val="-7"/>
          <w:w w:val="105"/>
        </w:rPr>
        <w:t xml:space="preserve"> </w:t>
      </w:r>
      <w:r>
        <w:rPr>
          <w:w w:val="105"/>
        </w:rPr>
        <w:t>instancia,</w:t>
      </w:r>
      <w:r>
        <w:rPr>
          <w:spacing w:val="-6"/>
          <w:w w:val="105"/>
        </w:rPr>
        <w:t xml:space="preserve"> </w:t>
      </w:r>
      <w:r>
        <w:rPr>
          <w:w w:val="105"/>
        </w:rPr>
        <w:t>la</w:t>
      </w:r>
      <w:r>
        <w:rPr>
          <w:spacing w:val="-7"/>
          <w:w w:val="105"/>
        </w:rPr>
        <w:t xml:space="preserve"> </w:t>
      </w:r>
      <w:r>
        <w:rPr>
          <w:w w:val="105"/>
        </w:rPr>
        <w:t>calidad</w:t>
      </w:r>
      <w:r>
        <w:rPr>
          <w:spacing w:val="-7"/>
          <w:w w:val="105"/>
        </w:rPr>
        <w:t xml:space="preserve"> </w:t>
      </w:r>
      <w:r>
        <w:rPr>
          <w:w w:val="105"/>
        </w:rPr>
        <w:t>de</w:t>
      </w:r>
      <w:r>
        <w:rPr>
          <w:spacing w:val="-7"/>
          <w:w w:val="105"/>
        </w:rPr>
        <w:t xml:space="preserve"> </w:t>
      </w:r>
      <w:r>
        <w:rPr>
          <w:w w:val="105"/>
        </w:rPr>
        <w:t>la</w:t>
      </w:r>
      <w:r>
        <w:rPr>
          <w:spacing w:val="-7"/>
          <w:w w:val="105"/>
        </w:rPr>
        <w:t xml:space="preserve"> </w:t>
      </w:r>
      <w:r>
        <w:rPr>
          <w:w w:val="105"/>
        </w:rPr>
        <w:t>guía</w:t>
      </w:r>
      <w:r>
        <w:rPr>
          <w:spacing w:val="-7"/>
          <w:w w:val="105"/>
        </w:rPr>
        <w:t xml:space="preserve"> </w:t>
      </w:r>
      <w:r>
        <w:rPr>
          <w:w w:val="105"/>
        </w:rPr>
        <w:t>se</w:t>
      </w:r>
      <w:r>
        <w:rPr>
          <w:spacing w:val="-7"/>
          <w:w w:val="105"/>
        </w:rPr>
        <w:t xml:space="preserve"> </w:t>
      </w:r>
      <w:r>
        <w:rPr>
          <w:w w:val="105"/>
        </w:rPr>
        <w:t>ha</w:t>
      </w:r>
      <w:r>
        <w:rPr>
          <w:spacing w:val="-7"/>
          <w:w w:val="105"/>
        </w:rPr>
        <w:t xml:space="preserve"> </w:t>
      </w:r>
      <w:r>
        <w:rPr>
          <w:w w:val="105"/>
        </w:rPr>
        <w:t>beneficiado</w:t>
      </w:r>
      <w:r>
        <w:rPr>
          <w:spacing w:val="-7"/>
          <w:w w:val="105"/>
        </w:rPr>
        <w:t xml:space="preserve"> </w:t>
      </w:r>
      <w:r>
        <w:rPr>
          <w:w w:val="105"/>
        </w:rPr>
        <w:t>enormemente</w:t>
      </w:r>
      <w:r>
        <w:rPr>
          <w:spacing w:val="-7"/>
          <w:w w:val="105"/>
        </w:rPr>
        <w:t xml:space="preserve"> </w:t>
      </w:r>
      <w:r>
        <w:rPr>
          <w:w w:val="105"/>
        </w:rPr>
        <w:t>del</w:t>
      </w:r>
      <w:r>
        <w:rPr>
          <w:spacing w:val="-7"/>
          <w:w w:val="105"/>
        </w:rPr>
        <w:t xml:space="preserve"> </w:t>
      </w:r>
      <w:r>
        <w:rPr>
          <w:w w:val="105"/>
        </w:rPr>
        <w:t>tiempo</w:t>
      </w:r>
      <w:r>
        <w:rPr>
          <w:spacing w:val="-7"/>
          <w:w w:val="105"/>
        </w:rPr>
        <w:t xml:space="preserve"> </w:t>
      </w:r>
      <w:r>
        <w:rPr>
          <w:w w:val="105"/>
        </w:rPr>
        <w:t>y</w:t>
      </w:r>
      <w:r>
        <w:rPr>
          <w:spacing w:val="-7"/>
          <w:w w:val="105"/>
        </w:rPr>
        <w:t xml:space="preserve"> </w:t>
      </w:r>
      <w:r>
        <w:rPr>
          <w:w w:val="105"/>
        </w:rPr>
        <w:t>el</w:t>
      </w:r>
      <w:r>
        <w:rPr>
          <w:spacing w:val="-7"/>
          <w:w w:val="105"/>
        </w:rPr>
        <w:t xml:space="preserve"> </w:t>
      </w:r>
      <w:r>
        <w:rPr>
          <w:w w:val="105"/>
        </w:rPr>
        <w:t>esfuerzo</w:t>
      </w:r>
      <w:r>
        <w:rPr>
          <w:spacing w:val="-7"/>
          <w:w w:val="105"/>
        </w:rPr>
        <w:t xml:space="preserve"> </w:t>
      </w:r>
      <w:r>
        <w:rPr>
          <w:w w:val="105"/>
        </w:rPr>
        <w:t>invertidos</w:t>
      </w:r>
      <w:r>
        <w:rPr>
          <w:spacing w:val="-7"/>
          <w:w w:val="105"/>
        </w:rPr>
        <w:t xml:space="preserve"> </w:t>
      </w:r>
      <w:r>
        <w:rPr>
          <w:w w:val="105"/>
        </w:rPr>
        <w:t>en</w:t>
      </w:r>
      <w:r>
        <w:rPr>
          <w:spacing w:val="-7"/>
          <w:w w:val="105"/>
        </w:rPr>
        <w:t xml:space="preserve"> </w:t>
      </w:r>
      <w:r>
        <w:rPr>
          <w:w w:val="105"/>
        </w:rPr>
        <w:t>involucrar</w:t>
      </w:r>
      <w:r>
        <w:rPr>
          <w:spacing w:val="-7"/>
          <w:w w:val="105"/>
        </w:rPr>
        <w:t xml:space="preserve"> </w:t>
      </w:r>
      <w:r>
        <w:rPr>
          <w:w w:val="105"/>
        </w:rPr>
        <w:t>a expertos, profesionales, grupos afectados, gobiernos y otros en su desarrollo.</w:t>
      </w:r>
    </w:p>
    <w:p w14:paraId="02306E09" w14:textId="77777777" w:rsidR="0014798C" w:rsidRDefault="0014798C">
      <w:pPr>
        <w:pStyle w:val="Textoindependiente"/>
        <w:spacing w:before="32"/>
        <w:rPr>
          <w:sz w:val="28"/>
        </w:rPr>
      </w:pPr>
    </w:p>
    <w:p w14:paraId="16FA0C7D" w14:textId="77777777" w:rsidR="0014798C" w:rsidRDefault="004E1F0B">
      <w:pPr>
        <w:numPr>
          <w:ilvl w:val="1"/>
          <w:numId w:val="93"/>
        </w:numPr>
        <w:tabs>
          <w:tab w:val="left" w:pos="1474"/>
        </w:tabs>
        <w:ind w:left="1474" w:hanging="354"/>
        <w:rPr>
          <w:color w:val="0075BF"/>
          <w:sz w:val="28"/>
        </w:rPr>
      </w:pPr>
      <w:r>
        <w:rPr>
          <w:color w:val="0075BF"/>
          <w:sz w:val="28"/>
        </w:rPr>
        <w:t>Alcance</w:t>
      </w:r>
      <w:r>
        <w:rPr>
          <w:color w:val="0075BF"/>
          <w:spacing w:val="-10"/>
          <w:sz w:val="28"/>
        </w:rPr>
        <w:t xml:space="preserve"> </w:t>
      </w:r>
      <w:r>
        <w:rPr>
          <w:color w:val="0075BF"/>
          <w:sz w:val="28"/>
        </w:rPr>
        <w:t>y</w:t>
      </w:r>
      <w:r>
        <w:rPr>
          <w:color w:val="0075BF"/>
          <w:spacing w:val="-10"/>
          <w:sz w:val="28"/>
        </w:rPr>
        <w:t xml:space="preserve"> </w:t>
      </w:r>
      <w:r>
        <w:rPr>
          <w:color w:val="0075BF"/>
          <w:spacing w:val="-2"/>
          <w:sz w:val="28"/>
        </w:rPr>
        <w:t>limitaciones</w:t>
      </w:r>
    </w:p>
    <w:p w14:paraId="11BDDA40" w14:textId="77777777" w:rsidR="0014798C" w:rsidRDefault="004E1F0B">
      <w:pPr>
        <w:pStyle w:val="Textoindependiente"/>
        <w:spacing w:before="176" w:line="326" w:lineRule="auto"/>
        <w:ind w:left="1107" w:right="1301" w:hanging="1"/>
      </w:pPr>
      <w:r>
        <w:rPr>
          <w:w w:val="105"/>
        </w:rPr>
        <w:t>El</w:t>
      </w:r>
      <w:r>
        <w:rPr>
          <w:spacing w:val="-2"/>
          <w:w w:val="105"/>
        </w:rPr>
        <w:t xml:space="preserve"> </w:t>
      </w:r>
      <w:r>
        <w:rPr>
          <w:w w:val="105"/>
        </w:rPr>
        <w:t>objetivo</w:t>
      </w:r>
      <w:r>
        <w:rPr>
          <w:spacing w:val="-2"/>
          <w:w w:val="105"/>
        </w:rPr>
        <w:t xml:space="preserve"> </w:t>
      </w:r>
      <w:r>
        <w:rPr>
          <w:w w:val="105"/>
        </w:rPr>
        <w:t>de</w:t>
      </w:r>
      <w:r>
        <w:rPr>
          <w:spacing w:val="-2"/>
          <w:w w:val="105"/>
        </w:rPr>
        <w:t xml:space="preserve"> </w:t>
      </w:r>
      <w:r>
        <w:rPr>
          <w:w w:val="105"/>
        </w:rPr>
        <w:t>la</w:t>
      </w:r>
      <w:r>
        <w:rPr>
          <w:spacing w:val="-2"/>
          <w:w w:val="105"/>
        </w:rPr>
        <w:t xml:space="preserve"> </w:t>
      </w:r>
      <w:r>
        <w:rPr>
          <w:w w:val="105"/>
        </w:rPr>
        <w:t>presente</w:t>
      </w:r>
      <w:r>
        <w:rPr>
          <w:spacing w:val="-2"/>
          <w:w w:val="105"/>
        </w:rPr>
        <w:t xml:space="preserve"> </w:t>
      </w:r>
      <w:r>
        <w:rPr>
          <w:w w:val="105"/>
        </w:rPr>
        <w:t>publicación</w:t>
      </w:r>
      <w:r>
        <w:rPr>
          <w:spacing w:val="-2"/>
          <w:w w:val="105"/>
        </w:rPr>
        <w:t xml:space="preserve"> </w:t>
      </w:r>
      <w:r>
        <w:rPr>
          <w:w w:val="105"/>
        </w:rPr>
        <w:t>es</w:t>
      </w:r>
      <w:r>
        <w:rPr>
          <w:spacing w:val="-2"/>
          <w:w w:val="105"/>
        </w:rPr>
        <w:t xml:space="preserve"> </w:t>
      </w:r>
      <w:r>
        <w:rPr>
          <w:w w:val="105"/>
        </w:rPr>
        <w:t>proporcionar</w:t>
      </w:r>
      <w:r>
        <w:rPr>
          <w:spacing w:val="-2"/>
          <w:w w:val="105"/>
        </w:rPr>
        <w:t xml:space="preserve"> </w:t>
      </w:r>
      <w:r>
        <w:rPr>
          <w:w w:val="105"/>
        </w:rPr>
        <w:t>a</w:t>
      </w:r>
      <w:r>
        <w:rPr>
          <w:spacing w:val="-2"/>
          <w:w w:val="105"/>
        </w:rPr>
        <w:t xml:space="preserve"> </w:t>
      </w:r>
      <w:r>
        <w:rPr>
          <w:w w:val="105"/>
        </w:rPr>
        <w:t>quienes</w:t>
      </w:r>
      <w:r>
        <w:rPr>
          <w:spacing w:val="-2"/>
          <w:w w:val="105"/>
        </w:rPr>
        <w:t xml:space="preserve"> </w:t>
      </w:r>
      <w:r>
        <w:rPr>
          <w:w w:val="105"/>
        </w:rPr>
        <w:t>trabajan</w:t>
      </w:r>
      <w:r>
        <w:rPr>
          <w:spacing w:val="-2"/>
          <w:w w:val="105"/>
        </w:rPr>
        <w:t xml:space="preserve"> </w:t>
      </w:r>
      <w:r>
        <w:rPr>
          <w:w w:val="105"/>
        </w:rPr>
        <w:t>en</w:t>
      </w:r>
      <w:r>
        <w:rPr>
          <w:spacing w:val="-2"/>
          <w:w w:val="105"/>
        </w:rPr>
        <w:t xml:space="preserve"> </w:t>
      </w:r>
      <w:r>
        <w:rPr>
          <w:w w:val="105"/>
        </w:rPr>
        <w:t>el</w:t>
      </w:r>
      <w:r>
        <w:rPr>
          <w:spacing w:val="-2"/>
          <w:w w:val="105"/>
        </w:rPr>
        <w:t xml:space="preserve"> </w:t>
      </w:r>
      <w:r>
        <w:rPr>
          <w:w w:val="105"/>
        </w:rPr>
        <w:t>desarrollo</w:t>
      </w:r>
      <w:r>
        <w:rPr>
          <w:spacing w:val="-2"/>
          <w:w w:val="105"/>
        </w:rPr>
        <w:t xml:space="preserve"> </w:t>
      </w:r>
      <w:r>
        <w:rPr>
          <w:w w:val="105"/>
        </w:rPr>
        <w:t>de</w:t>
      </w:r>
      <w:r>
        <w:rPr>
          <w:spacing w:val="-2"/>
          <w:w w:val="105"/>
        </w:rPr>
        <w:t xml:space="preserve"> </w:t>
      </w:r>
      <w:r>
        <w:rPr>
          <w:w w:val="105"/>
        </w:rPr>
        <w:t>leyes</w:t>
      </w:r>
      <w:r>
        <w:rPr>
          <w:spacing w:val="-2"/>
          <w:w w:val="105"/>
        </w:rPr>
        <w:t xml:space="preserve"> </w:t>
      </w:r>
      <w:r>
        <w:rPr>
          <w:w w:val="105"/>
        </w:rPr>
        <w:t>contra</w:t>
      </w:r>
      <w:r>
        <w:rPr>
          <w:spacing w:val="-2"/>
          <w:w w:val="105"/>
        </w:rPr>
        <w:t xml:space="preserve"> </w:t>
      </w:r>
      <w:r>
        <w:rPr>
          <w:w w:val="105"/>
        </w:rPr>
        <w:t>la</w:t>
      </w:r>
      <w:r>
        <w:rPr>
          <w:spacing w:val="-2"/>
          <w:w w:val="105"/>
        </w:rPr>
        <w:t xml:space="preserve"> </w:t>
      </w:r>
      <w:r>
        <w:rPr>
          <w:w w:val="105"/>
        </w:rPr>
        <w:t>discriminación una</w:t>
      </w:r>
      <w:r>
        <w:rPr>
          <w:spacing w:val="-3"/>
          <w:w w:val="105"/>
        </w:rPr>
        <w:t xml:space="preserve"> </w:t>
      </w:r>
      <w:r>
        <w:rPr>
          <w:w w:val="105"/>
        </w:rPr>
        <w:t>guía</w:t>
      </w:r>
      <w:r>
        <w:rPr>
          <w:spacing w:val="-3"/>
          <w:w w:val="105"/>
        </w:rPr>
        <w:t xml:space="preserve"> </w:t>
      </w:r>
      <w:r>
        <w:rPr>
          <w:w w:val="105"/>
        </w:rPr>
        <w:t>que</w:t>
      </w:r>
      <w:r>
        <w:rPr>
          <w:spacing w:val="-3"/>
          <w:w w:val="105"/>
        </w:rPr>
        <w:t xml:space="preserve"> </w:t>
      </w:r>
      <w:r>
        <w:rPr>
          <w:w w:val="105"/>
        </w:rPr>
        <w:t>establezca</w:t>
      </w:r>
      <w:r>
        <w:rPr>
          <w:spacing w:val="-3"/>
          <w:w w:val="105"/>
        </w:rPr>
        <w:t xml:space="preserve"> </w:t>
      </w:r>
      <w:r>
        <w:rPr>
          <w:w w:val="105"/>
        </w:rPr>
        <w:t>claramente</w:t>
      </w:r>
      <w:r>
        <w:rPr>
          <w:spacing w:val="-3"/>
          <w:w w:val="105"/>
        </w:rPr>
        <w:t xml:space="preserve"> </w:t>
      </w:r>
      <w:r>
        <w:rPr>
          <w:w w:val="105"/>
        </w:rPr>
        <w:t>los</w:t>
      </w:r>
      <w:r>
        <w:rPr>
          <w:spacing w:val="-3"/>
          <w:w w:val="105"/>
        </w:rPr>
        <w:t xml:space="preserve"> </w:t>
      </w:r>
      <w:r>
        <w:rPr>
          <w:w w:val="105"/>
        </w:rPr>
        <w:t>requisitos</w:t>
      </w:r>
      <w:r>
        <w:rPr>
          <w:spacing w:val="-3"/>
          <w:w w:val="105"/>
        </w:rPr>
        <w:t xml:space="preserve"> </w:t>
      </w:r>
      <w:r>
        <w:rPr>
          <w:w w:val="105"/>
        </w:rPr>
        <w:t>de</w:t>
      </w:r>
      <w:r>
        <w:rPr>
          <w:spacing w:val="-3"/>
          <w:w w:val="105"/>
        </w:rPr>
        <w:t xml:space="preserve"> </w:t>
      </w:r>
      <w:r>
        <w:rPr>
          <w:w w:val="105"/>
        </w:rPr>
        <w:t>dicho</w:t>
      </w:r>
      <w:r>
        <w:rPr>
          <w:spacing w:val="-3"/>
          <w:w w:val="105"/>
        </w:rPr>
        <w:t xml:space="preserve"> </w:t>
      </w:r>
      <w:r>
        <w:rPr>
          <w:w w:val="105"/>
        </w:rPr>
        <w:t>instrumento</w:t>
      </w:r>
      <w:r>
        <w:rPr>
          <w:spacing w:val="-3"/>
          <w:w w:val="105"/>
        </w:rPr>
        <w:t xml:space="preserve"> </w:t>
      </w:r>
      <w:r>
        <w:rPr>
          <w:w w:val="105"/>
        </w:rPr>
        <w:t>legal</w:t>
      </w:r>
      <w:r>
        <w:rPr>
          <w:spacing w:val="-3"/>
          <w:w w:val="105"/>
        </w:rPr>
        <w:t xml:space="preserve"> </w:t>
      </w:r>
      <w:r>
        <w:rPr>
          <w:w w:val="105"/>
        </w:rPr>
        <w:t>y</w:t>
      </w:r>
      <w:r>
        <w:rPr>
          <w:spacing w:val="-3"/>
          <w:w w:val="105"/>
        </w:rPr>
        <w:t xml:space="preserve"> </w:t>
      </w:r>
      <w:r>
        <w:rPr>
          <w:w w:val="105"/>
        </w:rPr>
        <w:t>ofrezca</w:t>
      </w:r>
      <w:r>
        <w:rPr>
          <w:spacing w:val="-3"/>
          <w:w w:val="105"/>
        </w:rPr>
        <w:t xml:space="preserve"> </w:t>
      </w:r>
      <w:r>
        <w:rPr>
          <w:w w:val="105"/>
        </w:rPr>
        <w:t>ejemplos</w:t>
      </w:r>
      <w:r>
        <w:rPr>
          <w:spacing w:val="-3"/>
          <w:w w:val="105"/>
        </w:rPr>
        <w:t xml:space="preserve"> </w:t>
      </w:r>
      <w:r>
        <w:rPr>
          <w:w w:val="105"/>
        </w:rPr>
        <w:t>prácticos</w:t>
      </w:r>
      <w:r>
        <w:rPr>
          <w:spacing w:val="-3"/>
          <w:w w:val="105"/>
        </w:rPr>
        <w:t xml:space="preserve"> </w:t>
      </w:r>
      <w:r>
        <w:rPr>
          <w:w w:val="105"/>
        </w:rPr>
        <w:t>sobre</w:t>
      </w:r>
      <w:r>
        <w:rPr>
          <w:spacing w:val="-3"/>
          <w:w w:val="105"/>
        </w:rPr>
        <w:t xml:space="preserve"> </w:t>
      </w:r>
      <w:r>
        <w:rPr>
          <w:w w:val="105"/>
        </w:rPr>
        <w:t>cómo</w:t>
      </w:r>
      <w:r>
        <w:rPr>
          <w:spacing w:val="-3"/>
          <w:w w:val="105"/>
        </w:rPr>
        <w:t xml:space="preserve"> </w:t>
      </w:r>
      <w:r>
        <w:rPr>
          <w:w w:val="105"/>
        </w:rPr>
        <w:t>se</w:t>
      </w:r>
      <w:r>
        <w:rPr>
          <w:spacing w:val="-3"/>
          <w:w w:val="105"/>
        </w:rPr>
        <w:t xml:space="preserve"> </w:t>
      </w:r>
      <w:r>
        <w:rPr>
          <w:w w:val="105"/>
        </w:rPr>
        <w:t>ha hecho</w:t>
      </w:r>
      <w:r>
        <w:rPr>
          <w:spacing w:val="-7"/>
          <w:w w:val="105"/>
        </w:rPr>
        <w:t xml:space="preserve"> </w:t>
      </w:r>
      <w:r>
        <w:rPr>
          <w:w w:val="105"/>
        </w:rPr>
        <w:t>esto</w:t>
      </w:r>
      <w:r>
        <w:rPr>
          <w:spacing w:val="-7"/>
          <w:w w:val="105"/>
        </w:rPr>
        <w:t xml:space="preserve"> </w:t>
      </w:r>
      <w:r>
        <w:rPr>
          <w:w w:val="105"/>
        </w:rPr>
        <w:t>en</w:t>
      </w:r>
      <w:r>
        <w:rPr>
          <w:spacing w:val="-7"/>
          <w:w w:val="105"/>
        </w:rPr>
        <w:t xml:space="preserve"> </w:t>
      </w:r>
      <w:r>
        <w:rPr>
          <w:w w:val="105"/>
        </w:rPr>
        <w:t>una</w:t>
      </w:r>
      <w:r>
        <w:rPr>
          <w:spacing w:val="-7"/>
          <w:w w:val="105"/>
        </w:rPr>
        <w:t xml:space="preserve"> </w:t>
      </w:r>
      <w:r>
        <w:rPr>
          <w:w w:val="105"/>
        </w:rPr>
        <w:t>amplia</w:t>
      </w:r>
      <w:r>
        <w:rPr>
          <w:spacing w:val="-7"/>
          <w:w w:val="105"/>
        </w:rPr>
        <w:t xml:space="preserve"> </w:t>
      </w:r>
      <w:r>
        <w:rPr>
          <w:w w:val="105"/>
        </w:rPr>
        <w:t>gama</w:t>
      </w:r>
      <w:r>
        <w:rPr>
          <w:spacing w:val="-7"/>
          <w:w w:val="105"/>
        </w:rPr>
        <w:t xml:space="preserve"> </w:t>
      </w:r>
      <w:r>
        <w:rPr>
          <w:w w:val="105"/>
        </w:rPr>
        <w:t>de</w:t>
      </w:r>
      <w:r>
        <w:rPr>
          <w:spacing w:val="-7"/>
          <w:w w:val="105"/>
        </w:rPr>
        <w:t xml:space="preserve"> </w:t>
      </w:r>
      <w:r>
        <w:rPr>
          <w:w w:val="105"/>
        </w:rPr>
        <w:t>contextos</w:t>
      </w:r>
      <w:r>
        <w:rPr>
          <w:spacing w:val="-7"/>
          <w:w w:val="105"/>
        </w:rPr>
        <w:t xml:space="preserve"> </w:t>
      </w:r>
      <w:r>
        <w:rPr>
          <w:w w:val="105"/>
        </w:rPr>
        <w:t>en</w:t>
      </w:r>
      <w:r>
        <w:rPr>
          <w:spacing w:val="-7"/>
          <w:w w:val="105"/>
        </w:rPr>
        <w:t xml:space="preserve"> </w:t>
      </w:r>
      <w:r>
        <w:rPr>
          <w:w w:val="105"/>
        </w:rPr>
        <w:t>todo</w:t>
      </w:r>
      <w:r>
        <w:rPr>
          <w:spacing w:val="-7"/>
          <w:w w:val="105"/>
        </w:rPr>
        <w:t xml:space="preserve"> </w:t>
      </w:r>
      <w:r>
        <w:rPr>
          <w:w w:val="105"/>
        </w:rPr>
        <w:t>el</w:t>
      </w:r>
      <w:r>
        <w:rPr>
          <w:spacing w:val="-7"/>
          <w:w w:val="105"/>
        </w:rPr>
        <w:t xml:space="preserve"> </w:t>
      </w:r>
      <w:r>
        <w:rPr>
          <w:w w:val="105"/>
        </w:rPr>
        <w:t>mundo.</w:t>
      </w:r>
      <w:r>
        <w:rPr>
          <w:spacing w:val="-7"/>
          <w:w w:val="105"/>
        </w:rPr>
        <w:t xml:space="preserve"> </w:t>
      </w:r>
      <w:r>
        <w:rPr>
          <w:w w:val="105"/>
        </w:rPr>
        <w:t>En</w:t>
      </w:r>
      <w:r>
        <w:rPr>
          <w:spacing w:val="-7"/>
          <w:w w:val="105"/>
        </w:rPr>
        <w:t xml:space="preserve"> </w:t>
      </w:r>
      <w:r>
        <w:rPr>
          <w:w w:val="105"/>
        </w:rPr>
        <w:t>el</w:t>
      </w:r>
      <w:r>
        <w:rPr>
          <w:spacing w:val="-7"/>
          <w:w w:val="105"/>
        </w:rPr>
        <w:t xml:space="preserve"> </w:t>
      </w:r>
      <w:r>
        <w:rPr>
          <w:w w:val="105"/>
        </w:rPr>
        <w:t>transcurso</w:t>
      </w:r>
      <w:r>
        <w:rPr>
          <w:spacing w:val="-7"/>
          <w:w w:val="105"/>
        </w:rPr>
        <w:t xml:space="preserve"> </w:t>
      </w:r>
      <w:r>
        <w:rPr>
          <w:w w:val="105"/>
        </w:rPr>
        <w:t>de</w:t>
      </w:r>
      <w:r>
        <w:rPr>
          <w:spacing w:val="-7"/>
          <w:w w:val="105"/>
        </w:rPr>
        <w:t xml:space="preserve"> </w:t>
      </w:r>
      <w:r>
        <w:rPr>
          <w:w w:val="105"/>
        </w:rPr>
        <w:t>esto,</w:t>
      </w:r>
      <w:r>
        <w:rPr>
          <w:spacing w:val="-7"/>
          <w:w w:val="105"/>
        </w:rPr>
        <w:t xml:space="preserve"> </w:t>
      </w:r>
      <w:r>
        <w:rPr>
          <w:w w:val="105"/>
        </w:rPr>
        <w:t>inevitablemente,</w:t>
      </w:r>
      <w:r>
        <w:rPr>
          <w:spacing w:val="-6"/>
          <w:w w:val="105"/>
        </w:rPr>
        <w:t xml:space="preserve"> </w:t>
      </w:r>
      <w:r>
        <w:rPr>
          <w:w w:val="105"/>
        </w:rPr>
        <w:t>los</w:t>
      </w:r>
      <w:r>
        <w:rPr>
          <w:spacing w:val="-7"/>
          <w:w w:val="105"/>
        </w:rPr>
        <w:t xml:space="preserve"> </w:t>
      </w:r>
      <w:r>
        <w:rPr>
          <w:w w:val="105"/>
        </w:rPr>
        <w:t>redactores</w:t>
      </w:r>
      <w:r>
        <w:rPr>
          <w:spacing w:val="-7"/>
          <w:w w:val="105"/>
        </w:rPr>
        <w:t xml:space="preserve"> </w:t>
      </w:r>
      <w:r>
        <w:rPr>
          <w:w w:val="105"/>
        </w:rPr>
        <w:t>han incluido</w:t>
      </w:r>
      <w:r>
        <w:rPr>
          <w:spacing w:val="-1"/>
          <w:w w:val="105"/>
        </w:rPr>
        <w:t xml:space="preserve"> </w:t>
      </w:r>
      <w:r>
        <w:rPr>
          <w:w w:val="105"/>
        </w:rPr>
        <w:t>un</w:t>
      </w:r>
      <w:r>
        <w:rPr>
          <w:spacing w:val="-1"/>
          <w:w w:val="105"/>
        </w:rPr>
        <w:t xml:space="preserve"> </w:t>
      </w:r>
      <w:r>
        <w:rPr>
          <w:w w:val="105"/>
        </w:rPr>
        <w:t>debate</w:t>
      </w:r>
      <w:r>
        <w:rPr>
          <w:spacing w:val="-1"/>
          <w:w w:val="105"/>
        </w:rPr>
        <w:t xml:space="preserve"> </w:t>
      </w:r>
      <w:r>
        <w:rPr>
          <w:w w:val="105"/>
        </w:rPr>
        <w:t>sobre</w:t>
      </w:r>
      <w:r>
        <w:rPr>
          <w:spacing w:val="-1"/>
          <w:w w:val="105"/>
        </w:rPr>
        <w:t xml:space="preserve"> </w:t>
      </w:r>
      <w:r>
        <w:rPr>
          <w:w w:val="105"/>
        </w:rPr>
        <w:t>los</w:t>
      </w:r>
      <w:r>
        <w:rPr>
          <w:spacing w:val="-1"/>
          <w:w w:val="105"/>
        </w:rPr>
        <w:t xml:space="preserve"> </w:t>
      </w:r>
      <w:r>
        <w:rPr>
          <w:w w:val="105"/>
        </w:rPr>
        <w:t>fundamentos</w:t>
      </w:r>
      <w:r>
        <w:rPr>
          <w:spacing w:val="-1"/>
          <w:w w:val="105"/>
        </w:rPr>
        <w:t xml:space="preserve"> </w:t>
      </w:r>
      <w:r>
        <w:rPr>
          <w:w w:val="105"/>
        </w:rPr>
        <w:t>conceptuales, legales</w:t>
      </w:r>
      <w:r>
        <w:rPr>
          <w:spacing w:val="-1"/>
          <w:w w:val="105"/>
        </w:rPr>
        <w:t xml:space="preserve"> </w:t>
      </w:r>
      <w:r>
        <w:rPr>
          <w:w w:val="105"/>
        </w:rPr>
        <w:t>y</w:t>
      </w:r>
      <w:r>
        <w:rPr>
          <w:spacing w:val="-1"/>
          <w:w w:val="105"/>
        </w:rPr>
        <w:t xml:space="preserve"> </w:t>
      </w:r>
      <w:r>
        <w:rPr>
          <w:w w:val="105"/>
        </w:rPr>
        <w:t>normativos</w:t>
      </w:r>
      <w:r>
        <w:rPr>
          <w:spacing w:val="-1"/>
          <w:w w:val="105"/>
        </w:rPr>
        <w:t xml:space="preserve"> </w:t>
      </w:r>
      <w:r>
        <w:rPr>
          <w:w w:val="105"/>
        </w:rPr>
        <w:t>de</w:t>
      </w:r>
      <w:r>
        <w:rPr>
          <w:spacing w:val="-1"/>
          <w:w w:val="105"/>
        </w:rPr>
        <w:t xml:space="preserve"> </w:t>
      </w:r>
      <w:r>
        <w:rPr>
          <w:w w:val="105"/>
        </w:rPr>
        <w:t>dichas</w:t>
      </w:r>
      <w:r>
        <w:rPr>
          <w:spacing w:val="-1"/>
          <w:w w:val="105"/>
        </w:rPr>
        <w:t xml:space="preserve"> </w:t>
      </w:r>
      <w:r>
        <w:rPr>
          <w:w w:val="105"/>
        </w:rPr>
        <w:t>leyes, basándose</w:t>
      </w:r>
      <w:r>
        <w:rPr>
          <w:spacing w:val="-1"/>
          <w:w w:val="105"/>
        </w:rPr>
        <w:t xml:space="preserve"> </w:t>
      </w:r>
      <w:r>
        <w:rPr>
          <w:w w:val="105"/>
        </w:rPr>
        <w:t>en</w:t>
      </w:r>
      <w:r>
        <w:rPr>
          <w:spacing w:val="-1"/>
          <w:w w:val="105"/>
        </w:rPr>
        <w:t xml:space="preserve"> </w:t>
      </w:r>
      <w:r>
        <w:rPr>
          <w:w w:val="105"/>
        </w:rPr>
        <w:t>el</w:t>
      </w:r>
      <w:r>
        <w:rPr>
          <w:spacing w:val="-1"/>
          <w:w w:val="105"/>
        </w:rPr>
        <w:t xml:space="preserve"> </w:t>
      </w:r>
      <w:r>
        <w:rPr>
          <w:w w:val="105"/>
        </w:rPr>
        <w:t>derecho internacional y en guías con autoridad internacional.</w:t>
      </w:r>
    </w:p>
    <w:p w14:paraId="3B6A94A1" w14:textId="77777777" w:rsidR="0014798C" w:rsidRDefault="004E1F0B">
      <w:pPr>
        <w:pStyle w:val="Textoindependiente"/>
        <w:spacing w:before="167"/>
        <w:ind w:left="1108"/>
      </w:pPr>
      <w:r>
        <w:rPr>
          <w:w w:val="105"/>
        </w:rPr>
        <w:t>También</w:t>
      </w:r>
      <w:r>
        <w:rPr>
          <w:spacing w:val="-11"/>
          <w:w w:val="105"/>
        </w:rPr>
        <w:t xml:space="preserve"> </w:t>
      </w:r>
      <w:r>
        <w:rPr>
          <w:w w:val="105"/>
        </w:rPr>
        <w:t>es</w:t>
      </w:r>
      <w:r>
        <w:rPr>
          <w:spacing w:val="-11"/>
          <w:w w:val="105"/>
        </w:rPr>
        <w:t xml:space="preserve"> </w:t>
      </w:r>
      <w:r>
        <w:rPr>
          <w:w w:val="105"/>
        </w:rPr>
        <w:t>importante</w:t>
      </w:r>
      <w:r>
        <w:rPr>
          <w:spacing w:val="-11"/>
          <w:w w:val="105"/>
        </w:rPr>
        <w:t xml:space="preserve"> </w:t>
      </w:r>
      <w:r>
        <w:rPr>
          <w:w w:val="105"/>
        </w:rPr>
        <w:t>exponer</w:t>
      </w:r>
      <w:r>
        <w:rPr>
          <w:spacing w:val="-11"/>
          <w:w w:val="105"/>
        </w:rPr>
        <w:t xml:space="preserve"> </w:t>
      </w:r>
      <w:r>
        <w:rPr>
          <w:w w:val="105"/>
        </w:rPr>
        <w:t>qué</w:t>
      </w:r>
      <w:r>
        <w:rPr>
          <w:spacing w:val="-10"/>
          <w:w w:val="105"/>
        </w:rPr>
        <w:t xml:space="preserve"> </w:t>
      </w:r>
      <w:r>
        <w:rPr>
          <w:w w:val="105"/>
        </w:rPr>
        <w:t>no</w:t>
      </w:r>
      <w:r>
        <w:rPr>
          <w:spacing w:val="-11"/>
          <w:w w:val="105"/>
        </w:rPr>
        <w:t xml:space="preserve"> </w:t>
      </w:r>
      <w:r>
        <w:rPr>
          <w:w w:val="105"/>
        </w:rPr>
        <w:t>es</w:t>
      </w:r>
      <w:r>
        <w:rPr>
          <w:spacing w:val="-11"/>
          <w:w w:val="105"/>
        </w:rPr>
        <w:t xml:space="preserve"> </w:t>
      </w:r>
      <w:r>
        <w:rPr>
          <w:w w:val="105"/>
        </w:rPr>
        <w:t>la</w:t>
      </w:r>
      <w:r>
        <w:rPr>
          <w:spacing w:val="-11"/>
          <w:w w:val="105"/>
        </w:rPr>
        <w:t xml:space="preserve"> </w:t>
      </w:r>
      <w:r>
        <w:rPr>
          <w:spacing w:val="-2"/>
          <w:w w:val="105"/>
        </w:rPr>
        <w:t>guía.</w:t>
      </w:r>
    </w:p>
    <w:p w14:paraId="02D4B3FE" w14:textId="77777777" w:rsidR="0014798C" w:rsidRDefault="0014798C">
      <w:pPr>
        <w:pStyle w:val="Textoindependiente"/>
        <w:spacing w:before="51"/>
      </w:pPr>
    </w:p>
    <w:p w14:paraId="3509C009" w14:textId="77777777" w:rsidR="0014798C" w:rsidRDefault="004E1F0B">
      <w:pPr>
        <w:pStyle w:val="Textoindependiente"/>
        <w:spacing w:before="1" w:line="326" w:lineRule="auto"/>
        <w:ind w:left="1108" w:right="1272" w:firstLine="1"/>
      </w:pPr>
      <w:r>
        <w:rPr>
          <w:w w:val="105"/>
        </w:rPr>
        <w:t>En</w:t>
      </w:r>
      <w:r>
        <w:rPr>
          <w:spacing w:val="-2"/>
          <w:w w:val="105"/>
        </w:rPr>
        <w:t xml:space="preserve"> </w:t>
      </w:r>
      <w:r>
        <w:rPr>
          <w:w w:val="105"/>
        </w:rPr>
        <w:t>primer</w:t>
      </w:r>
      <w:r>
        <w:rPr>
          <w:spacing w:val="-2"/>
          <w:w w:val="105"/>
        </w:rPr>
        <w:t xml:space="preserve"> </w:t>
      </w:r>
      <w:r>
        <w:rPr>
          <w:w w:val="105"/>
        </w:rPr>
        <w:t>lugar,</w:t>
      </w:r>
      <w:r>
        <w:rPr>
          <w:spacing w:val="-1"/>
          <w:w w:val="105"/>
        </w:rPr>
        <w:t xml:space="preserve"> </w:t>
      </w:r>
      <w:r>
        <w:rPr>
          <w:w w:val="105"/>
        </w:rPr>
        <w:t>aunque</w:t>
      </w:r>
      <w:r>
        <w:rPr>
          <w:spacing w:val="-2"/>
          <w:w w:val="105"/>
        </w:rPr>
        <w:t xml:space="preserve"> </w:t>
      </w:r>
      <w:r>
        <w:rPr>
          <w:w w:val="105"/>
        </w:rPr>
        <w:t>a</w:t>
      </w:r>
      <w:r>
        <w:rPr>
          <w:spacing w:val="-2"/>
          <w:w w:val="105"/>
        </w:rPr>
        <w:t xml:space="preserve"> </w:t>
      </w:r>
      <w:r>
        <w:rPr>
          <w:w w:val="105"/>
        </w:rPr>
        <w:t>lo</w:t>
      </w:r>
      <w:r>
        <w:rPr>
          <w:spacing w:val="-2"/>
          <w:w w:val="105"/>
        </w:rPr>
        <w:t xml:space="preserve"> </w:t>
      </w:r>
      <w:r>
        <w:rPr>
          <w:w w:val="105"/>
        </w:rPr>
        <w:t>largo</w:t>
      </w:r>
      <w:r>
        <w:rPr>
          <w:spacing w:val="-2"/>
          <w:w w:val="105"/>
        </w:rPr>
        <w:t xml:space="preserve"> </w:t>
      </w:r>
      <w:r>
        <w:rPr>
          <w:w w:val="105"/>
        </w:rPr>
        <w:t>de</w:t>
      </w:r>
      <w:r>
        <w:rPr>
          <w:spacing w:val="-2"/>
          <w:w w:val="105"/>
        </w:rPr>
        <w:t xml:space="preserve"> </w:t>
      </w:r>
      <w:r>
        <w:rPr>
          <w:w w:val="105"/>
        </w:rPr>
        <w:t>la</w:t>
      </w:r>
      <w:r>
        <w:rPr>
          <w:spacing w:val="-2"/>
          <w:w w:val="105"/>
        </w:rPr>
        <w:t xml:space="preserve"> </w:t>
      </w:r>
      <w:r>
        <w:rPr>
          <w:w w:val="105"/>
        </w:rPr>
        <w:t>guía</w:t>
      </w:r>
      <w:r>
        <w:rPr>
          <w:spacing w:val="-2"/>
          <w:w w:val="105"/>
        </w:rPr>
        <w:t xml:space="preserve"> </w:t>
      </w:r>
      <w:r>
        <w:rPr>
          <w:w w:val="105"/>
        </w:rPr>
        <w:t>se</w:t>
      </w:r>
      <w:r>
        <w:rPr>
          <w:spacing w:val="-2"/>
          <w:w w:val="105"/>
        </w:rPr>
        <w:t xml:space="preserve"> </w:t>
      </w:r>
      <w:r>
        <w:rPr>
          <w:w w:val="105"/>
        </w:rPr>
        <w:t>cita</w:t>
      </w:r>
      <w:r>
        <w:rPr>
          <w:spacing w:val="-2"/>
          <w:w w:val="105"/>
        </w:rPr>
        <w:t xml:space="preserve"> </w:t>
      </w:r>
      <w:r>
        <w:rPr>
          <w:w w:val="105"/>
        </w:rPr>
        <w:t>jurisprudencia, esto</w:t>
      </w:r>
      <w:r>
        <w:rPr>
          <w:spacing w:val="-2"/>
          <w:w w:val="105"/>
        </w:rPr>
        <w:t xml:space="preserve"> </w:t>
      </w:r>
      <w:r>
        <w:rPr>
          <w:w w:val="105"/>
        </w:rPr>
        <w:t>tiene</w:t>
      </w:r>
      <w:r>
        <w:rPr>
          <w:spacing w:val="-2"/>
          <w:w w:val="105"/>
        </w:rPr>
        <w:t xml:space="preserve"> </w:t>
      </w:r>
      <w:r>
        <w:rPr>
          <w:w w:val="105"/>
        </w:rPr>
        <w:t>el</w:t>
      </w:r>
      <w:r>
        <w:rPr>
          <w:spacing w:val="-2"/>
          <w:w w:val="105"/>
        </w:rPr>
        <w:t xml:space="preserve"> </w:t>
      </w:r>
      <w:r>
        <w:rPr>
          <w:w w:val="105"/>
        </w:rPr>
        <w:t>único</w:t>
      </w:r>
      <w:r>
        <w:rPr>
          <w:spacing w:val="-2"/>
          <w:w w:val="105"/>
        </w:rPr>
        <w:t xml:space="preserve"> </w:t>
      </w:r>
      <w:r>
        <w:rPr>
          <w:w w:val="105"/>
        </w:rPr>
        <w:t>propósito</w:t>
      </w:r>
      <w:r>
        <w:rPr>
          <w:spacing w:val="-2"/>
          <w:w w:val="105"/>
        </w:rPr>
        <w:t xml:space="preserve"> </w:t>
      </w:r>
      <w:r>
        <w:rPr>
          <w:w w:val="105"/>
        </w:rPr>
        <w:t>de</w:t>
      </w:r>
      <w:r>
        <w:rPr>
          <w:spacing w:val="-2"/>
          <w:w w:val="105"/>
        </w:rPr>
        <w:t xml:space="preserve"> </w:t>
      </w:r>
      <w:r>
        <w:rPr>
          <w:w w:val="105"/>
        </w:rPr>
        <w:t>ilustrar</w:t>
      </w:r>
      <w:r>
        <w:rPr>
          <w:spacing w:val="-2"/>
          <w:w w:val="105"/>
        </w:rPr>
        <w:t xml:space="preserve"> </w:t>
      </w:r>
      <w:r>
        <w:rPr>
          <w:w w:val="105"/>
        </w:rPr>
        <w:t>cómo</w:t>
      </w:r>
      <w:r>
        <w:rPr>
          <w:spacing w:val="-2"/>
          <w:w w:val="105"/>
        </w:rPr>
        <w:t xml:space="preserve"> </w:t>
      </w:r>
      <w:r>
        <w:rPr>
          <w:w w:val="105"/>
        </w:rPr>
        <w:t>han evolucionado</w:t>
      </w:r>
      <w:r>
        <w:rPr>
          <w:spacing w:val="-9"/>
          <w:w w:val="105"/>
        </w:rPr>
        <w:t xml:space="preserve"> </w:t>
      </w:r>
      <w:r>
        <w:rPr>
          <w:w w:val="105"/>
        </w:rPr>
        <w:t>ciertos</w:t>
      </w:r>
      <w:r>
        <w:rPr>
          <w:spacing w:val="-9"/>
          <w:w w:val="105"/>
        </w:rPr>
        <w:t xml:space="preserve"> </w:t>
      </w:r>
      <w:r>
        <w:rPr>
          <w:w w:val="105"/>
        </w:rPr>
        <w:t>conceptos</w:t>
      </w:r>
      <w:r>
        <w:rPr>
          <w:spacing w:val="-9"/>
          <w:w w:val="105"/>
        </w:rPr>
        <w:t xml:space="preserve"> </w:t>
      </w:r>
      <w:r>
        <w:rPr>
          <w:w w:val="105"/>
        </w:rPr>
        <w:t>en</w:t>
      </w:r>
      <w:r>
        <w:rPr>
          <w:spacing w:val="-9"/>
          <w:w w:val="105"/>
        </w:rPr>
        <w:t xml:space="preserve"> </w:t>
      </w:r>
      <w:r>
        <w:rPr>
          <w:w w:val="105"/>
        </w:rPr>
        <w:t>la</w:t>
      </w:r>
      <w:r>
        <w:rPr>
          <w:spacing w:val="-9"/>
          <w:w w:val="105"/>
        </w:rPr>
        <w:t xml:space="preserve"> </w:t>
      </w:r>
      <w:r>
        <w:rPr>
          <w:w w:val="105"/>
        </w:rPr>
        <w:t>legislación</w:t>
      </w:r>
      <w:r>
        <w:rPr>
          <w:spacing w:val="-9"/>
          <w:w w:val="105"/>
        </w:rPr>
        <w:t xml:space="preserve"> </w:t>
      </w:r>
      <w:r>
        <w:rPr>
          <w:w w:val="105"/>
        </w:rPr>
        <w:t>contra</w:t>
      </w:r>
      <w:r>
        <w:rPr>
          <w:spacing w:val="-9"/>
          <w:w w:val="105"/>
        </w:rPr>
        <w:t xml:space="preserve"> </w:t>
      </w:r>
      <w:r>
        <w:rPr>
          <w:w w:val="105"/>
        </w:rPr>
        <w:t>la</w:t>
      </w:r>
      <w:r>
        <w:rPr>
          <w:spacing w:val="-9"/>
          <w:w w:val="105"/>
        </w:rPr>
        <w:t xml:space="preserve"> </w:t>
      </w:r>
      <w:r>
        <w:rPr>
          <w:w w:val="105"/>
        </w:rPr>
        <w:t>discriminación</w:t>
      </w:r>
      <w:r>
        <w:rPr>
          <w:spacing w:val="-9"/>
          <w:w w:val="105"/>
        </w:rPr>
        <w:t xml:space="preserve"> </w:t>
      </w:r>
      <w:r>
        <w:rPr>
          <w:w w:val="105"/>
        </w:rPr>
        <w:t>y</w:t>
      </w:r>
      <w:r>
        <w:rPr>
          <w:spacing w:val="-9"/>
          <w:w w:val="105"/>
        </w:rPr>
        <w:t xml:space="preserve"> </w:t>
      </w:r>
      <w:r>
        <w:rPr>
          <w:w w:val="105"/>
        </w:rPr>
        <w:t>cómo</w:t>
      </w:r>
      <w:r>
        <w:rPr>
          <w:spacing w:val="-9"/>
          <w:w w:val="105"/>
        </w:rPr>
        <w:t xml:space="preserve"> </w:t>
      </w:r>
      <w:r>
        <w:rPr>
          <w:w w:val="105"/>
        </w:rPr>
        <w:t>se</w:t>
      </w:r>
      <w:r>
        <w:rPr>
          <w:spacing w:val="-9"/>
          <w:w w:val="105"/>
        </w:rPr>
        <w:t xml:space="preserve"> </w:t>
      </w:r>
      <w:r>
        <w:rPr>
          <w:w w:val="105"/>
        </w:rPr>
        <w:t>ha</w:t>
      </w:r>
      <w:r>
        <w:rPr>
          <w:spacing w:val="-9"/>
          <w:w w:val="105"/>
        </w:rPr>
        <w:t xml:space="preserve"> </w:t>
      </w:r>
      <w:r>
        <w:rPr>
          <w:w w:val="105"/>
        </w:rPr>
        <w:t>interpretado</w:t>
      </w:r>
      <w:r>
        <w:rPr>
          <w:spacing w:val="-9"/>
          <w:w w:val="105"/>
        </w:rPr>
        <w:t xml:space="preserve"> </w:t>
      </w:r>
      <w:r>
        <w:rPr>
          <w:w w:val="105"/>
        </w:rPr>
        <w:t>su</w:t>
      </w:r>
      <w:r>
        <w:rPr>
          <w:spacing w:val="-9"/>
          <w:w w:val="105"/>
        </w:rPr>
        <w:t xml:space="preserve"> </w:t>
      </w:r>
      <w:r>
        <w:rPr>
          <w:w w:val="105"/>
        </w:rPr>
        <w:t>significado.</w:t>
      </w:r>
      <w:r>
        <w:rPr>
          <w:spacing w:val="-8"/>
          <w:w w:val="105"/>
        </w:rPr>
        <w:t xml:space="preserve"> </w:t>
      </w:r>
      <w:r>
        <w:rPr>
          <w:w w:val="105"/>
        </w:rPr>
        <w:t>La</w:t>
      </w:r>
      <w:r>
        <w:rPr>
          <w:spacing w:val="-9"/>
          <w:w w:val="105"/>
        </w:rPr>
        <w:t xml:space="preserve"> </w:t>
      </w:r>
      <w:r>
        <w:rPr>
          <w:w w:val="105"/>
        </w:rPr>
        <w:t>presente publicación no es una guía para litigios o adjudicaciones.</w:t>
      </w:r>
    </w:p>
    <w:p w14:paraId="5218EBEB" w14:textId="77777777" w:rsidR="0014798C" w:rsidRDefault="004E1F0B">
      <w:pPr>
        <w:pStyle w:val="Textoindependiente"/>
        <w:spacing w:before="168" w:line="326" w:lineRule="auto"/>
        <w:ind w:left="1108" w:right="1272" w:firstLine="4"/>
      </w:pPr>
      <w:r>
        <w:rPr>
          <w:w w:val="105"/>
        </w:rPr>
        <w:t>En</w:t>
      </w:r>
      <w:r>
        <w:rPr>
          <w:spacing w:val="-2"/>
          <w:w w:val="105"/>
        </w:rPr>
        <w:t xml:space="preserve"> </w:t>
      </w:r>
      <w:r>
        <w:rPr>
          <w:w w:val="105"/>
        </w:rPr>
        <w:t>segundo</w:t>
      </w:r>
      <w:r>
        <w:rPr>
          <w:spacing w:val="-2"/>
          <w:w w:val="105"/>
        </w:rPr>
        <w:t xml:space="preserve"> </w:t>
      </w:r>
      <w:r>
        <w:rPr>
          <w:w w:val="105"/>
        </w:rPr>
        <w:t>lugar,</w:t>
      </w:r>
      <w:r>
        <w:rPr>
          <w:spacing w:val="-1"/>
          <w:w w:val="105"/>
        </w:rPr>
        <w:t xml:space="preserve"> </w:t>
      </w:r>
      <w:r>
        <w:rPr>
          <w:w w:val="105"/>
        </w:rPr>
        <w:t>hay</w:t>
      </w:r>
      <w:r>
        <w:rPr>
          <w:spacing w:val="-2"/>
          <w:w w:val="105"/>
        </w:rPr>
        <w:t xml:space="preserve"> </w:t>
      </w:r>
      <w:r>
        <w:rPr>
          <w:w w:val="105"/>
        </w:rPr>
        <w:t>un</w:t>
      </w:r>
      <w:r>
        <w:rPr>
          <w:spacing w:val="-2"/>
          <w:w w:val="105"/>
        </w:rPr>
        <w:t xml:space="preserve"> </w:t>
      </w:r>
      <w:r>
        <w:rPr>
          <w:w w:val="105"/>
        </w:rPr>
        <w:t>vibrante</w:t>
      </w:r>
      <w:r>
        <w:rPr>
          <w:spacing w:val="-2"/>
          <w:w w:val="105"/>
        </w:rPr>
        <w:t xml:space="preserve"> </w:t>
      </w:r>
      <w:r>
        <w:rPr>
          <w:w w:val="105"/>
        </w:rPr>
        <w:t>debate</w:t>
      </w:r>
      <w:r>
        <w:rPr>
          <w:spacing w:val="-2"/>
          <w:w w:val="105"/>
        </w:rPr>
        <w:t xml:space="preserve"> </w:t>
      </w:r>
      <w:r>
        <w:rPr>
          <w:w w:val="105"/>
        </w:rPr>
        <w:t>global</w:t>
      </w:r>
      <w:r>
        <w:rPr>
          <w:spacing w:val="-2"/>
          <w:w w:val="105"/>
        </w:rPr>
        <w:t xml:space="preserve"> </w:t>
      </w:r>
      <w:r>
        <w:rPr>
          <w:w w:val="105"/>
        </w:rPr>
        <w:t>sobre</w:t>
      </w:r>
      <w:r>
        <w:rPr>
          <w:spacing w:val="-2"/>
          <w:w w:val="105"/>
        </w:rPr>
        <w:t xml:space="preserve"> </w:t>
      </w:r>
      <w:r>
        <w:rPr>
          <w:w w:val="105"/>
        </w:rPr>
        <w:t>cómo</w:t>
      </w:r>
      <w:r>
        <w:rPr>
          <w:spacing w:val="-2"/>
          <w:w w:val="105"/>
        </w:rPr>
        <w:t xml:space="preserve"> </w:t>
      </w:r>
      <w:r>
        <w:rPr>
          <w:w w:val="105"/>
        </w:rPr>
        <w:t>podría</w:t>
      </w:r>
      <w:r>
        <w:rPr>
          <w:spacing w:val="-2"/>
          <w:w w:val="105"/>
        </w:rPr>
        <w:t xml:space="preserve"> </w:t>
      </w:r>
      <w:r>
        <w:rPr>
          <w:w w:val="105"/>
        </w:rPr>
        <w:t>desarrollarse</w:t>
      </w:r>
      <w:r>
        <w:rPr>
          <w:spacing w:val="-2"/>
          <w:w w:val="105"/>
        </w:rPr>
        <w:t xml:space="preserve"> </w:t>
      </w:r>
      <w:r>
        <w:rPr>
          <w:w w:val="105"/>
        </w:rPr>
        <w:t>la</w:t>
      </w:r>
      <w:r>
        <w:rPr>
          <w:spacing w:val="-2"/>
          <w:w w:val="105"/>
        </w:rPr>
        <w:t xml:space="preserve"> </w:t>
      </w:r>
      <w:r>
        <w:rPr>
          <w:w w:val="105"/>
        </w:rPr>
        <w:t>ley</w:t>
      </w:r>
      <w:r>
        <w:rPr>
          <w:spacing w:val="-2"/>
          <w:w w:val="105"/>
        </w:rPr>
        <w:t xml:space="preserve"> </w:t>
      </w:r>
      <w:r>
        <w:rPr>
          <w:w w:val="105"/>
        </w:rPr>
        <w:t>de</w:t>
      </w:r>
      <w:r>
        <w:rPr>
          <w:spacing w:val="-2"/>
          <w:w w:val="105"/>
        </w:rPr>
        <w:t xml:space="preserve"> </w:t>
      </w:r>
      <w:r>
        <w:rPr>
          <w:w w:val="105"/>
        </w:rPr>
        <w:t>igualdad</w:t>
      </w:r>
      <w:r>
        <w:rPr>
          <w:spacing w:val="-2"/>
          <w:w w:val="105"/>
        </w:rPr>
        <w:t xml:space="preserve"> </w:t>
      </w:r>
      <w:r>
        <w:rPr>
          <w:w w:val="105"/>
        </w:rPr>
        <w:t>en</w:t>
      </w:r>
      <w:r>
        <w:rPr>
          <w:spacing w:val="-2"/>
          <w:w w:val="105"/>
        </w:rPr>
        <w:t xml:space="preserve"> </w:t>
      </w:r>
      <w:r>
        <w:rPr>
          <w:w w:val="105"/>
        </w:rPr>
        <w:t>el</w:t>
      </w:r>
      <w:r>
        <w:rPr>
          <w:spacing w:val="-2"/>
          <w:w w:val="105"/>
        </w:rPr>
        <w:t xml:space="preserve"> </w:t>
      </w:r>
      <w:r>
        <w:rPr>
          <w:w w:val="105"/>
        </w:rPr>
        <w:t>futuro</w:t>
      </w:r>
      <w:r>
        <w:rPr>
          <w:spacing w:val="-2"/>
          <w:w w:val="105"/>
        </w:rPr>
        <w:t xml:space="preserve"> </w:t>
      </w:r>
      <w:r>
        <w:rPr>
          <w:w w:val="105"/>
        </w:rPr>
        <w:t>y</w:t>
      </w:r>
      <w:r>
        <w:rPr>
          <w:spacing w:val="-2"/>
          <w:w w:val="105"/>
        </w:rPr>
        <w:t xml:space="preserve"> </w:t>
      </w:r>
      <w:r>
        <w:rPr>
          <w:w w:val="105"/>
        </w:rPr>
        <w:t>una comunidad dedicada de académicos, activistas y profesionales comprometidos a pensar sobre este tema. Si bien la experiencia</w:t>
      </w:r>
      <w:r>
        <w:rPr>
          <w:spacing w:val="-7"/>
          <w:w w:val="105"/>
        </w:rPr>
        <w:t xml:space="preserve"> </w:t>
      </w:r>
      <w:r>
        <w:rPr>
          <w:w w:val="105"/>
        </w:rPr>
        <w:t>de</w:t>
      </w:r>
      <w:r>
        <w:rPr>
          <w:spacing w:val="-7"/>
          <w:w w:val="105"/>
        </w:rPr>
        <w:t xml:space="preserve"> </w:t>
      </w:r>
      <w:r>
        <w:rPr>
          <w:w w:val="105"/>
        </w:rPr>
        <w:t>varias</w:t>
      </w:r>
      <w:r>
        <w:rPr>
          <w:spacing w:val="-7"/>
          <w:w w:val="105"/>
        </w:rPr>
        <w:t xml:space="preserve"> </w:t>
      </w:r>
      <w:r>
        <w:rPr>
          <w:w w:val="105"/>
        </w:rPr>
        <w:t>de</w:t>
      </w:r>
      <w:r>
        <w:rPr>
          <w:spacing w:val="-7"/>
          <w:w w:val="105"/>
        </w:rPr>
        <w:t xml:space="preserve"> </w:t>
      </w:r>
      <w:r>
        <w:rPr>
          <w:w w:val="105"/>
        </w:rPr>
        <w:t>estas</w:t>
      </w:r>
      <w:r>
        <w:rPr>
          <w:spacing w:val="-7"/>
          <w:w w:val="105"/>
        </w:rPr>
        <w:t xml:space="preserve"> </w:t>
      </w:r>
      <w:r>
        <w:rPr>
          <w:w w:val="105"/>
        </w:rPr>
        <w:t>personas</w:t>
      </w:r>
      <w:r>
        <w:rPr>
          <w:spacing w:val="-7"/>
          <w:w w:val="105"/>
        </w:rPr>
        <w:t xml:space="preserve"> </w:t>
      </w:r>
      <w:r>
        <w:rPr>
          <w:w w:val="105"/>
        </w:rPr>
        <w:t>ha</w:t>
      </w:r>
      <w:r>
        <w:rPr>
          <w:spacing w:val="-7"/>
          <w:w w:val="105"/>
        </w:rPr>
        <w:t xml:space="preserve"> </w:t>
      </w:r>
      <w:r>
        <w:rPr>
          <w:w w:val="105"/>
        </w:rPr>
        <w:t>sido</w:t>
      </w:r>
      <w:r>
        <w:rPr>
          <w:spacing w:val="-7"/>
          <w:w w:val="105"/>
        </w:rPr>
        <w:t xml:space="preserve"> </w:t>
      </w:r>
      <w:r>
        <w:rPr>
          <w:w w:val="105"/>
        </w:rPr>
        <w:t>crucial</w:t>
      </w:r>
      <w:r>
        <w:rPr>
          <w:spacing w:val="-7"/>
          <w:w w:val="105"/>
        </w:rPr>
        <w:t xml:space="preserve"> </w:t>
      </w:r>
      <w:r>
        <w:rPr>
          <w:w w:val="105"/>
        </w:rPr>
        <w:t>para</w:t>
      </w:r>
      <w:r>
        <w:rPr>
          <w:spacing w:val="-7"/>
          <w:w w:val="105"/>
        </w:rPr>
        <w:t xml:space="preserve"> </w:t>
      </w:r>
      <w:r>
        <w:rPr>
          <w:w w:val="105"/>
        </w:rPr>
        <w:t>el</w:t>
      </w:r>
      <w:r>
        <w:rPr>
          <w:spacing w:val="-7"/>
          <w:w w:val="105"/>
        </w:rPr>
        <w:t xml:space="preserve"> </w:t>
      </w:r>
      <w:r>
        <w:rPr>
          <w:w w:val="105"/>
        </w:rPr>
        <w:t>desarrollo</w:t>
      </w:r>
      <w:r>
        <w:rPr>
          <w:spacing w:val="-7"/>
          <w:w w:val="105"/>
        </w:rPr>
        <w:t xml:space="preserve"> </w:t>
      </w:r>
      <w:r>
        <w:rPr>
          <w:w w:val="105"/>
        </w:rPr>
        <w:t>de</w:t>
      </w:r>
      <w:r>
        <w:rPr>
          <w:spacing w:val="-7"/>
          <w:w w:val="105"/>
        </w:rPr>
        <w:t xml:space="preserve"> </w:t>
      </w:r>
      <w:r>
        <w:rPr>
          <w:w w:val="105"/>
        </w:rPr>
        <w:t>la</w:t>
      </w:r>
      <w:r>
        <w:rPr>
          <w:spacing w:val="-7"/>
          <w:w w:val="105"/>
        </w:rPr>
        <w:t xml:space="preserve"> </w:t>
      </w:r>
      <w:r>
        <w:rPr>
          <w:w w:val="105"/>
        </w:rPr>
        <w:t>guía,</w:t>
      </w:r>
      <w:r>
        <w:rPr>
          <w:spacing w:val="-7"/>
          <w:w w:val="105"/>
        </w:rPr>
        <w:t xml:space="preserve"> </w:t>
      </w:r>
      <w:r>
        <w:rPr>
          <w:w w:val="105"/>
        </w:rPr>
        <w:t>la</w:t>
      </w:r>
      <w:r>
        <w:rPr>
          <w:spacing w:val="-7"/>
          <w:w w:val="105"/>
        </w:rPr>
        <w:t xml:space="preserve"> </w:t>
      </w:r>
      <w:r>
        <w:rPr>
          <w:w w:val="105"/>
        </w:rPr>
        <w:t>presente</w:t>
      </w:r>
      <w:r>
        <w:rPr>
          <w:spacing w:val="-7"/>
          <w:w w:val="105"/>
        </w:rPr>
        <w:t xml:space="preserve"> </w:t>
      </w:r>
      <w:r>
        <w:rPr>
          <w:w w:val="105"/>
        </w:rPr>
        <w:t>publicación</w:t>
      </w:r>
      <w:r>
        <w:rPr>
          <w:spacing w:val="-7"/>
          <w:w w:val="105"/>
        </w:rPr>
        <w:t xml:space="preserve"> </w:t>
      </w:r>
      <w:r>
        <w:rPr>
          <w:w w:val="105"/>
        </w:rPr>
        <w:t>no</w:t>
      </w:r>
      <w:r>
        <w:rPr>
          <w:spacing w:val="-7"/>
          <w:w w:val="105"/>
        </w:rPr>
        <w:t xml:space="preserve"> </w:t>
      </w:r>
      <w:r>
        <w:rPr>
          <w:w w:val="105"/>
        </w:rPr>
        <w:t>pretende</w:t>
      </w:r>
    </w:p>
    <w:p w14:paraId="211F6E44" w14:textId="77777777" w:rsidR="0014798C" w:rsidRDefault="004E1F0B">
      <w:pPr>
        <w:pStyle w:val="Textoindependiente"/>
        <w:spacing w:line="326" w:lineRule="auto"/>
        <w:ind w:left="1111" w:right="1166"/>
      </w:pPr>
      <w:r>
        <w:rPr>
          <w:w w:val="105"/>
        </w:rPr>
        <w:t>contribuir</w:t>
      </w:r>
      <w:r>
        <w:rPr>
          <w:spacing w:val="-7"/>
          <w:w w:val="105"/>
        </w:rPr>
        <w:t xml:space="preserve"> </w:t>
      </w:r>
      <w:r>
        <w:rPr>
          <w:w w:val="105"/>
        </w:rPr>
        <w:t>a</w:t>
      </w:r>
      <w:r>
        <w:rPr>
          <w:spacing w:val="-7"/>
          <w:w w:val="105"/>
        </w:rPr>
        <w:t xml:space="preserve"> </w:t>
      </w:r>
      <w:r>
        <w:rPr>
          <w:w w:val="105"/>
        </w:rPr>
        <w:t>esta</w:t>
      </w:r>
      <w:r>
        <w:rPr>
          <w:spacing w:val="-7"/>
          <w:w w:val="105"/>
        </w:rPr>
        <w:t xml:space="preserve"> </w:t>
      </w:r>
      <w:r>
        <w:rPr>
          <w:w w:val="105"/>
        </w:rPr>
        <w:t>discusión,</w:t>
      </w:r>
      <w:r>
        <w:rPr>
          <w:spacing w:val="-6"/>
          <w:w w:val="105"/>
        </w:rPr>
        <w:t xml:space="preserve"> </w:t>
      </w:r>
      <w:r>
        <w:rPr>
          <w:w w:val="105"/>
        </w:rPr>
        <w:t>en</w:t>
      </w:r>
      <w:r>
        <w:rPr>
          <w:spacing w:val="-7"/>
          <w:w w:val="105"/>
        </w:rPr>
        <w:t xml:space="preserve"> </w:t>
      </w:r>
      <w:r>
        <w:rPr>
          <w:w w:val="105"/>
        </w:rPr>
        <w:t>la</w:t>
      </w:r>
      <w:r>
        <w:rPr>
          <w:spacing w:val="-7"/>
          <w:w w:val="105"/>
        </w:rPr>
        <w:t xml:space="preserve"> </w:t>
      </w:r>
      <w:r>
        <w:rPr>
          <w:w w:val="105"/>
        </w:rPr>
        <w:t>medida</w:t>
      </w:r>
      <w:r>
        <w:rPr>
          <w:spacing w:val="-7"/>
          <w:w w:val="105"/>
        </w:rPr>
        <w:t xml:space="preserve"> </w:t>
      </w:r>
      <w:r>
        <w:rPr>
          <w:w w:val="105"/>
        </w:rPr>
        <w:t>en</w:t>
      </w:r>
      <w:r>
        <w:rPr>
          <w:spacing w:val="-7"/>
          <w:w w:val="105"/>
        </w:rPr>
        <w:t xml:space="preserve"> </w:t>
      </w:r>
      <w:r>
        <w:rPr>
          <w:w w:val="105"/>
        </w:rPr>
        <w:t>que</w:t>
      </w:r>
      <w:r>
        <w:rPr>
          <w:spacing w:val="-7"/>
          <w:w w:val="105"/>
        </w:rPr>
        <w:t xml:space="preserve"> </w:t>
      </w:r>
      <w:r>
        <w:rPr>
          <w:w w:val="105"/>
        </w:rPr>
        <w:t>no</w:t>
      </w:r>
      <w:r>
        <w:rPr>
          <w:spacing w:val="-7"/>
          <w:w w:val="105"/>
        </w:rPr>
        <w:t xml:space="preserve"> </w:t>
      </w:r>
      <w:r>
        <w:rPr>
          <w:w w:val="105"/>
        </w:rPr>
        <w:t>está</w:t>
      </w:r>
      <w:r>
        <w:rPr>
          <w:spacing w:val="-7"/>
          <w:w w:val="105"/>
        </w:rPr>
        <w:t xml:space="preserve"> </w:t>
      </w:r>
      <w:r>
        <w:rPr>
          <w:w w:val="105"/>
        </w:rPr>
        <w:t>orientada</w:t>
      </w:r>
      <w:r>
        <w:rPr>
          <w:spacing w:val="-7"/>
          <w:w w:val="105"/>
        </w:rPr>
        <w:t xml:space="preserve"> </w:t>
      </w:r>
      <w:r>
        <w:rPr>
          <w:w w:val="105"/>
        </w:rPr>
        <w:t>al</w:t>
      </w:r>
      <w:r>
        <w:rPr>
          <w:spacing w:val="-7"/>
          <w:w w:val="105"/>
        </w:rPr>
        <w:t xml:space="preserve"> </w:t>
      </w:r>
      <w:r>
        <w:rPr>
          <w:w w:val="105"/>
        </w:rPr>
        <w:t>futuro.</w:t>
      </w:r>
      <w:r>
        <w:rPr>
          <w:spacing w:val="-7"/>
          <w:w w:val="105"/>
        </w:rPr>
        <w:t xml:space="preserve"> </w:t>
      </w:r>
      <w:r>
        <w:rPr>
          <w:w w:val="105"/>
        </w:rPr>
        <w:t>El</w:t>
      </w:r>
      <w:r>
        <w:rPr>
          <w:spacing w:val="-7"/>
          <w:w w:val="105"/>
        </w:rPr>
        <w:t xml:space="preserve"> </w:t>
      </w:r>
      <w:r>
        <w:rPr>
          <w:w w:val="105"/>
        </w:rPr>
        <w:t>material</w:t>
      </w:r>
      <w:r>
        <w:rPr>
          <w:spacing w:val="-7"/>
          <w:w w:val="105"/>
        </w:rPr>
        <w:t xml:space="preserve"> </w:t>
      </w:r>
      <w:r>
        <w:rPr>
          <w:w w:val="105"/>
        </w:rPr>
        <w:t>presentado</w:t>
      </w:r>
      <w:r>
        <w:rPr>
          <w:spacing w:val="-7"/>
          <w:w w:val="105"/>
        </w:rPr>
        <w:t xml:space="preserve"> </w:t>
      </w:r>
      <w:r>
        <w:rPr>
          <w:w w:val="105"/>
        </w:rPr>
        <w:t>en</w:t>
      </w:r>
      <w:r>
        <w:rPr>
          <w:spacing w:val="-7"/>
          <w:w w:val="105"/>
        </w:rPr>
        <w:t xml:space="preserve"> </w:t>
      </w:r>
      <w:r>
        <w:rPr>
          <w:w w:val="105"/>
        </w:rPr>
        <w:t>la</w:t>
      </w:r>
      <w:r>
        <w:rPr>
          <w:spacing w:val="-7"/>
          <w:w w:val="105"/>
        </w:rPr>
        <w:t xml:space="preserve"> </w:t>
      </w:r>
      <w:r>
        <w:rPr>
          <w:w w:val="105"/>
        </w:rPr>
        <w:t>guía</w:t>
      </w:r>
      <w:r>
        <w:rPr>
          <w:spacing w:val="-7"/>
          <w:w w:val="105"/>
        </w:rPr>
        <w:t xml:space="preserve"> </w:t>
      </w:r>
      <w:r>
        <w:rPr>
          <w:w w:val="105"/>
        </w:rPr>
        <w:t>debe</w:t>
      </w:r>
      <w:r>
        <w:rPr>
          <w:spacing w:val="-7"/>
          <w:w w:val="105"/>
        </w:rPr>
        <w:t xml:space="preserve"> </w:t>
      </w:r>
      <w:r>
        <w:rPr>
          <w:w w:val="105"/>
        </w:rPr>
        <w:t>interpretarse como</w:t>
      </w:r>
      <w:r>
        <w:rPr>
          <w:spacing w:val="-2"/>
          <w:w w:val="105"/>
        </w:rPr>
        <w:t xml:space="preserve"> </w:t>
      </w:r>
      <w:r>
        <w:rPr>
          <w:w w:val="105"/>
        </w:rPr>
        <w:t>constituyente</w:t>
      </w:r>
      <w:r>
        <w:rPr>
          <w:spacing w:val="-2"/>
          <w:w w:val="105"/>
        </w:rPr>
        <w:t xml:space="preserve"> </w:t>
      </w:r>
      <w:r>
        <w:rPr>
          <w:w w:val="105"/>
        </w:rPr>
        <w:t>de</w:t>
      </w:r>
      <w:r>
        <w:rPr>
          <w:spacing w:val="-2"/>
          <w:w w:val="105"/>
        </w:rPr>
        <w:t xml:space="preserve"> </w:t>
      </w:r>
      <w:r>
        <w:rPr>
          <w:w w:val="105"/>
        </w:rPr>
        <w:t>la</w:t>
      </w:r>
      <w:r>
        <w:rPr>
          <w:spacing w:val="-2"/>
          <w:w w:val="105"/>
        </w:rPr>
        <w:t xml:space="preserve"> </w:t>
      </w:r>
      <w:r>
        <w:rPr>
          <w:w w:val="105"/>
        </w:rPr>
        <w:t>ley</w:t>
      </w:r>
      <w:r>
        <w:rPr>
          <w:spacing w:val="-2"/>
          <w:w w:val="105"/>
        </w:rPr>
        <w:t xml:space="preserve"> </w:t>
      </w:r>
      <w:r>
        <w:rPr>
          <w:w w:val="105"/>
        </w:rPr>
        <w:t>en</w:t>
      </w:r>
      <w:r>
        <w:rPr>
          <w:spacing w:val="-2"/>
          <w:w w:val="105"/>
        </w:rPr>
        <w:t xml:space="preserve"> </w:t>
      </w:r>
      <w:r>
        <w:rPr>
          <w:w w:val="105"/>
        </w:rPr>
        <w:t>su</w:t>
      </w:r>
      <w:r>
        <w:rPr>
          <w:spacing w:val="-2"/>
          <w:w w:val="105"/>
        </w:rPr>
        <w:t xml:space="preserve"> </w:t>
      </w:r>
      <w:r>
        <w:rPr>
          <w:w w:val="105"/>
        </w:rPr>
        <w:t>forma</w:t>
      </w:r>
      <w:r>
        <w:rPr>
          <w:spacing w:val="-2"/>
          <w:w w:val="105"/>
        </w:rPr>
        <w:t xml:space="preserve"> </w:t>
      </w:r>
      <w:r>
        <w:rPr>
          <w:w w:val="105"/>
        </w:rPr>
        <w:t>actual.</w:t>
      </w:r>
      <w:r>
        <w:rPr>
          <w:spacing w:val="-1"/>
          <w:w w:val="105"/>
        </w:rPr>
        <w:t xml:space="preserve"> </w:t>
      </w:r>
      <w:r>
        <w:rPr>
          <w:w w:val="105"/>
        </w:rPr>
        <w:t>La</w:t>
      </w:r>
      <w:r>
        <w:rPr>
          <w:spacing w:val="-2"/>
          <w:w w:val="105"/>
        </w:rPr>
        <w:t xml:space="preserve"> </w:t>
      </w:r>
      <w:r>
        <w:rPr>
          <w:w w:val="105"/>
        </w:rPr>
        <w:t>guía</w:t>
      </w:r>
      <w:r>
        <w:rPr>
          <w:spacing w:val="-2"/>
          <w:w w:val="105"/>
        </w:rPr>
        <w:t xml:space="preserve"> </w:t>
      </w:r>
      <w:r>
        <w:rPr>
          <w:w w:val="105"/>
        </w:rPr>
        <w:t>no</w:t>
      </w:r>
      <w:r>
        <w:rPr>
          <w:spacing w:val="-2"/>
          <w:w w:val="105"/>
        </w:rPr>
        <w:t xml:space="preserve"> </w:t>
      </w:r>
      <w:r>
        <w:rPr>
          <w:w w:val="105"/>
        </w:rPr>
        <w:t>analiza</w:t>
      </w:r>
      <w:r>
        <w:rPr>
          <w:spacing w:val="-2"/>
          <w:w w:val="105"/>
        </w:rPr>
        <w:t xml:space="preserve"> </w:t>
      </w:r>
      <w:r>
        <w:rPr>
          <w:w w:val="105"/>
        </w:rPr>
        <w:t>cómo</w:t>
      </w:r>
      <w:r>
        <w:rPr>
          <w:spacing w:val="-2"/>
          <w:w w:val="105"/>
        </w:rPr>
        <w:t xml:space="preserve"> </w:t>
      </w:r>
      <w:r>
        <w:rPr>
          <w:w w:val="105"/>
        </w:rPr>
        <w:t>el</w:t>
      </w:r>
      <w:r>
        <w:rPr>
          <w:spacing w:val="-2"/>
          <w:w w:val="105"/>
        </w:rPr>
        <w:t xml:space="preserve"> </w:t>
      </w:r>
      <w:r>
        <w:rPr>
          <w:w w:val="105"/>
        </w:rPr>
        <w:t>derecho</w:t>
      </w:r>
      <w:r>
        <w:rPr>
          <w:spacing w:val="-2"/>
          <w:w w:val="105"/>
        </w:rPr>
        <w:t xml:space="preserve"> </w:t>
      </w:r>
      <w:r>
        <w:rPr>
          <w:w w:val="105"/>
        </w:rPr>
        <w:t>internacional</w:t>
      </w:r>
      <w:r>
        <w:rPr>
          <w:spacing w:val="-2"/>
          <w:w w:val="105"/>
        </w:rPr>
        <w:t xml:space="preserve"> </w:t>
      </w:r>
      <w:r>
        <w:rPr>
          <w:w w:val="105"/>
        </w:rPr>
        <w:t>puede</w:t>
      </w:r>
      <w:r>
        <w:rPr>
          <w:spacing w:val="-2"/>
          <w:w w:val="105"/>
        </w:rPr>
        <w:t xml:space="preserve"> </w:t>
      </w:r>
      <w:r>
        <w:rPr>
          <w:w w:val="105"/>
        </w:rPr>
        <w:t>o</w:t>
      </w:r>
      <w:r>
        <w:rPr>
          <w:spacing w:val="-2"/>
          <w:w w:val="105"/>
        </w:rPr>
        <w:t xml:space="preserve"> </w:t>
      </w:r>
      <w:r>
        <w:rPr>
          <w:w w:val="105"/>
        </w:rPr>
        <w:t>no</w:t>
      </w:r>
      <w:r>
        <w:rPr>
          <w:spacing w:val="-2"/>
          <w:w w:val="105"/>
        </w:rPr>
        <w:t xml:space="preserve"> </w:t>
      </w:r>
      <w:r>
        <w:rPr>
          <w:w w:val="105"/>
        </w:rPr>
        <w:t>evolucionar</w:t>
      </w:r>
      <w:r>
        <w:rPr>
          <w:spacing w:val="-2"/>
          <w:w w:val="105"/>
        </w:rPr>
        <w:t xml:space="preserve"> </w:t>
      </w:r>
      <w:r>
        <w:rPr>
          <w:w w:val="105"/>
        </w:rPr>
        <w:t>en</w:t>
      </w:r>
    </w:p>
    <w:p w14:paraId="4DD5DCA7" w14:textId="77777777" w:rsidR="0014798C" w:rsidRDefault="004E1F0B">
      <w:pPr>
        <w:pStyle w:val="Textoindependiente"/>
        <w:spacing w:line="183" w:lineRule="exact"/>
        <w:ind w:left="1109"/>
      </w:pPr>
      <w:r>
        <w:t>el</w:t>
      </w:r>
      <w:r>
        <w:rPr>
          <w:spacing w:val="1"/>
        </w:rPr>
        <w:t xml:space="preserve"> </w:t>
      </w:r>
      <w:r>
        <w:t>futuro;</w:t>
      </w:r>
      <w:r>
        <w:rPr>
          <w:spacing w:val="2"/>
        </w:rPr>
        <w:t xml:space="preserve"> </w:t>
      </w:r>
      <w:r>
        <w:t>de</w:t>
      </w:r>
      <w:r>
        <w:rPr>
          <w:spacing w:val="2"/>
        </w:rPr>
        <w:t xml:space="preserve"> </w:t>
      </w:r>
      <w:r>
        <w:t>hecho,</w:t>
      </w:r>
      <w:r>
        <w:rPr>
          <w:spacing w:val="3"/>
        </w:rPr>
        <w:t xml:space="preserve"> </w:t>
      </w:r>
      <w:r>
        <w:t>en</w:t>
      </w:r>
      <w:r>
        <w:rPr>
          <w:spacing w:val="2"/>
        </w:rPr>
        <w:t xml:space="preserve"> </w:t>
      </w:r>
      <w:r>
        <w:t>varios</w:t>
      </w:r>
      <w:r>
        <w:rPr>
          <w:spacing w:val="2"/>
        </w:rPr>
        <w:t xml:space="preserve"> </w:t>
      </w:r>
      <w:r>
        <w:t>puntos</w:t>
      </w:r>
      <w:r>
        <w:rPr>
          <w:spacing w:val="2"/>
        </w:rPr>
        <w:t xml:space="preserve"> </w:t>
      </w:r>
      <w:r>
        <w:t>los</w:t>
      </w:r>
      <w:r>
        <w:rPr>
          <w:spacing w:val="2"/>
        </w:rPr>
        <w:t xml:space="preserve"> </w:t>
      </w:r>
      <w:r>
        <w:t>redactores</w:t>
      </w:r>
      <w:r>
        <w:rPr>
          <w:spacing w:val="2"/>
        </w:rPr>
        <w:t xml:space="preserve"> </w:t>
      </w:r>
      <w:r>
        <w:t>han</w:t>
      </w:r>
      <w:r>
        <w:rPr>
          <w:spacing w:val="2"/>
        </w:rPr>
        <w:t xml:space="preserve"> </w:t>
      </w:r>
      <w:r>
        <w:t>excluido</w:t>
      </w:r>
      <w:r>
        <w:rPr>
          <w:spacing w:val="2"/>
        </w:rPr>
        <w:t xml:space="preserve"> </w:t>
      </w:r>
      <w:r>
        <w:t>material</w:t>
      </w:r>
      <w:r>
        <w:rPr>
          <w:spacing w:val="2"/>
        </w:rPr>
        <w:t xml:space="preserve"> </w:t>
      </w:r>
      <w:r>
        <w:t>especulativo</w:t>
      </w:r>
      <w:r>
        <w:rPr>
          <w:spacing w:val="2"/>
        </w:rPr>
        <w:t xml:space="preserve"> </w:t>
      </w:r>
      <w:r>
        <w:t>o</w:t>
      </w:r>
      <w:r>
        <w:rPr>
          <w:spacing w:val="2"/>
        </w:rPr>
        <w:t xml:space="preserve"> </w:t>
      </w:r>
      <w:r>
        <w:rPr>
          <w:spacing w:val="-2"/>
        </w:rPr>
        <w:t>aspiracional.</w:t>
      </w:r>
    </w:p>
    <w:p w14:paraId="207EC41E" w14:textId="77777777" w:rsidR="0014798C" w:rsidRDefault="0014798C">
      <w:pPr>
        <w:pStyle w:val="Textoindependiente"/>
      </w:pPr>
    </w:p>
    <w:p w14:paraId="3A367762" w14:textId="77777777" w:rsidR="0014798C" w:rsidRDefault="0014798C">
      <w:pPr>
        <w:pStyle w:val="Textoindependiente"/>
        <w:spacing w:before="116"/>
      </w:pPr>
    </w:p>
    <w:p w14:paraId="568EC530" w14:textId="77777777" w:rsidR="0014798C" w:rsidRDefault="004E1F0B">
      <w:pPr>
        <w:pStyle w:val="Textoindependiente"/>
        <w:spacing w:line="326" w:lineRule="auto"/>
        <w:ind w:left="1108" w:right="1335" w:hanging="5"/>
      </w:pPr>
      <w:r>
        <w:rPr>
          <w:w w:val="105"/>
        </w:rPr>
        <w:t>Si</w:t>
      </w:r>
      <w:r>
        <w:rPr>
          <w:spacing w:val="-1"/>
          <w:w w:val="105"/>
        </w:rPr>
        <w:t xml:space="preserve"> </w:t>
      </w:r>
      <w:r>
        <w:rPr>
          <w:w w:val="105"/>
        </w:rPr>
        <w:t>bien</w:t>
      </w:r>
      <w:r>
        <w:rPr>
          <w:spacing w:val="-1"/>
          <w:w w:val="105"/>
        </w:rPr>
        <w:t xml:space="preserve"> </w:t>
      </w:r>
      <w:r>
        <w:rPr>
          <w:w w:val="105"/>
        </w:rPr>
        <w:t>los</w:t>
      </w:r>
      <w:r>
        <w:rPr>
          <w:spacing w:val="-1"/>
          <w:w w:val="105"/>
        </w:rPr>
        <w:t xml:space="preserve"> </w:t>
      </w:r>
      <w:r>
        <w:rPr>
          <w:w w:val="105"/>
        </w:rPr>
        <w:t>autores</w:t>
      </w:r>
      <w:r>
        <w:rPr>
          <w:spacing w:val="-1"/>
          <w:w w:val="105"/>
        </w:rPr>
        <w:t xml:space="preserve"> </w:t>
      </w:r>
      <w:r>
        <w:rPr>
          <w:w w:val="105"/>
        </w:rPr>
        <w:t>intentaron</w:t>
      </w:r>
      <w:r>
        <w:rPr>
          <w:spacing w:val="-1"/>
          <w:w w:val="105"/>
        </w:rPr>
        <w:t xml:space="preserve"> </w:t>
      </w:r>
      <w:r>
        <w:rPr>
          <w:w w:val="105"/>
        </w:rPr>
        <w:t>redactar</w:t>
      </w:r>
      <w:r>
        <w:rPr>
          <w:spacing w:val="-1"/>
          <w:w w:val="105"/>
        </w:rPr>
        <w:t xml:space="preserve"> </w:t>
      </w:r>
      <w:r>
        <w:rPr>
          <w:w w:val="105"/>
        </w:rPr>
        <w:t>una</w:t>
      </w:r>
      <w:r>
        <w:rPr>
          <w:spacing w:val="-1"/>
          <w:w w:val="105"/>
        </w:rPr>
        <w:t xml:space="preserve"> </w:t>
      </w:r>
      <w:r>
        <w:rPr>
          <w:w w:val="105"/>
        </w:rPr>
        <w:t>guía</w:t>
      </w:r>
      <w:r>
        <w:rPr>
          <w:spacing w:val="-1"/>
          <w:w w:val="105"/>
        </w:rPr>
        <w:t xml:space="preserve"> </w:t>
      </w:r>
      <w:r>
        <w:rPr>
          <w:w w:val="105"/>
        </w:rPr>
        <w:t>basada</w:t>
      </w:r>
      <w:r>
        <w:rPr>
          <w:spacing w:val="-1"/>
          <w:w w:val="105"/>
        </w:rPr>
        <w:t xml:space="preserve"> </w:t>
      </w:r>
      <w:r>
        <w:rPr>
          <w:w w:val="105"/>
        </w:rPr>
        <w:t>en</w:t>
      </w:r>
      <w:r>
        <w:rPr>
          <w:spacing w:val="-1"/>
          <w:w w:val="105"/>
        </w:rPr>
        <w:t xml:space="preserve"> </w:t>
      </w:r>
      <w:r>
        <w:rPr>
          <w:w w:val="105"/>
        </w:rPr>
        <w:t>experiencias</w:t>
      </w:r>
      <w:r>
        <w:rPr>
          <w:spacing w:val="-1"/>
          <w:w w:val="105"/>
        </w:rPr>
        <w:t xml:space="preserve"> </w:t>
      </w:r>
      <w:r>
        <w:rPr>
          <w:w w:val="105"/>
        </w:rPr>
        <w:t>de</w:t>
      </w:r>
      <w:r>
        <w:rPr>
          <w:spacing w:val="-1"/>
          <w:w w:val="105"/>
        </w:rPr>
        <w:t xml:space="preserve"> </w:t>
      </w:r>
      <w:r>
        <w:rPr>
          <w:w w:val="105"/>
        </w:rPr>
        <w:t>desarrollo</w:t>
      </w:r>
      <w:r>
        <w:rPr>
          <w:spacing w:val="-1"/>
          <w:w w:val="105"/>
        </w:rPr>
        <w:t xml:space="preserve"> </w:t>
      </w:r>
      <w:r>
        <w:rPr>
          <w:w w:val="105"/>
        </w:rPr>
        <w:t>y</w:t>
      </w:r>
      <w:r>
        <w:rPr>
          <w:spacing w:val="-1"/>
          <w:w w:val="105"/>
        </w:rPr>
        <w:t xml:space="preserve"> </w:t>
      </w:r>
      <w:r>
        <w:rPr>
          <w:w w:val="105"/>
        </w:rPr>
        <w:t>promulgación</w:t>
      </w:r>
      <w:r>
        <w:rPr>
          <w:spacing w:val="-1"/>
          <w:w w:val="105"/>
        </w:rPr>
        <w:t xml:space="preserve"> </w:t>
      </w:r>
      <w:r>
        <w:rPr>
          <w:w w:val="105"/>
        </w:rPr>
        <w:t>de</w:t>
      </w:r>
      <w:r>
        <w:rPr>
          <w:spacing w:val="-1"/>
          <w:w w:val="105"/>
        </w:rPr>
        <w:t xml:space="preserve"> </w:t>
      </w:r>
      <w:r>
        <w:rPr>
          <w:w w:val="105"/>
        </w:rPr>
        <w:t>leyes</w:t>
      </w:r>
      <w:r>
        <w:rPr>
          <w:spacing w:val="-1"/>
          <w:w w:val="105"/>
        </w:rPr>
        <w:t xml:space="preserve"> </w:t>
      </w:r>
      <w:r>
        <w:rPr>
          <w:w w:val="105"/>
        </w:rPr>
        <w:t>contra</w:t>
      </w:r>
      <w:r>
        <w:rPr>
          <w:spacing w:val="-1"/>
          <w:w w:val="105"/>
        </w:rPr>
        <w:t xml:space="preserve"> </w:t>
      </w:r>
      <w:r>
        <w:rPr>
          <w:w w:val="105"/>
        </w:rPr>
        <w:t>la discriminación</w:t>
      </w:r>
      <w:r>
        <w:rPr>
          <w:spacing w:val="-2"/>
          <w:w w:val="105"/>
        </w:rPr>
        <w:t xml:space="preserve"> </w:t>
      </w:r>
      <w:r>
        <w:rPr>
          <w:w w:val="105"/>
        </w:rPr>
        <w:t>en</w:t>
      </w:r>
      <w:r>
        <w:rPr>
          <w:spacing w:val="-2"/>
          <w:w w:val="105"/>
        </w:rPr>
        <w:t xml:space="preserve"> </w:t>
      </w:r>
      <w:r>
        <w:rPr>
          <w:w w:val="105"/>
        </w:rPr>
        <w:t>todo</w:t>
      </w:r>
      <w:r>
        <w:rPr>
          <w:spacing w:val="-2"/>
          <w:w w:val="105"/>
        </w:rPr>
        <w:t xml:space="preserve"> </w:t>
      </w:r>
      <w:r>
        <w:rPr>
          <w:w w:val="105"/>
        </w:rPr>
        <w:t>el</w:t>
      </w:r>
      <w:r>
        <w:rPr>
          <w:spacing w:val="-2"/>
          <w:w w:val="105"/>
        </w:rPr>
        <w:t xml:space="preserve"> </w:t>
      </w:r>
      <w:r>
        <w:rPr>
          <w:w w:val="105"/>
        </w:rPr>
        <w:t>mundo,</w:t>
      </w:r>
      <w:r>
        <w:rPr>
          <w:spacing w:val="-1"/>
          <w:w w:val="105"/>
        </w:rPr>
        <w:t xml:space="preserve"> </w:t>
      </w:r>
      <w:r>
        <w:rPr>
          <w:w w:val="105"/>
        </w:rPr>
        <w:t>los</w:t>
      </w:r>
      <w:r>
        <w:rPr>
          <w:spacing w:val="-2"/>
          <w:w w:val="105"/>
        </w:rPr>
        <w:t xml:space="preserve"> </w:t>
      </w:r>
      <w:r>
        <w:rPr>
          <w:w w:val="105"/>
        </w:rPr>
        <w:t>recursos</w:t>
      </w:r>
      <w:r>
        <w:rPr>
          <w:spacing w:val="-2"/>
          <w:w w:val="105"/>
        </w:rPr>
        <w:t xml:space="preserve"> </w:t>
      </w:r>
      <w:r>
        <w:rPr>
          <w:w w:val="105"/>
        </w:rPr>
        <w:t>aportados</w:t>
      </w:r>
      <w:r>
        <w:rPr>
          <w:spacing w:val="-2"/>
          <w:w w:val="105"/>
        </w:rPr>
        <w:t xml:space="preserve"> </w:t>
      </w:r>
      <w:r>
        <w:rPr>
          <w:w w:val="105"/>
        </w:rPr>
        <w:t>para</w:t>
      </w:r>
      <w:r>
        <w:rPr>
          <w:spacing w:val="-2"/>
          <w:w w:val="105"/>
        </w:rPr>
        <w:t xml:space="preserve"> </w:t>
      </w:r>
      <w:r>
        <w:rPr>
          <w:w w:val="105"/>
        </w:rPr>
        <w:t>este</w:t>
      </w:r>
      <w:r>
        <w:rPr>
          <w:spacing w:val="-2"/>
          <w:w w:val="105"/>
        </w:rPr>
        <w:t xml:space="preserve"> </w:t>
      </w:r>
      <w:r>
        <w:rPr>
          <w:w w:val="105"/>
        </w:rPr>
        <w:t>esfuerzo</w:t>
      </w:r>
      <w:r>
        <w:rPr>
          <w:spacing w:val="-2"/>
          <w:w w:val="105"/>
        </w:rPr>
        <w:t xml:space="preserve"> </w:t>
      </w:r>
      <w:r>
        <w:rPr>
          <w:w w:val="105"/>
        </w:rPr>
        <w:t>son,</w:t>
      </w:r>
      <w:r>
        <w:rPr>
          <w:spacing w:val="-2"/>
          <w:w w:val="105"/>
        </w:rPr>
        <w:t xml:space="preserve"> </w:t>
      </w:r>
      <w:r>
        <w:rPr>
          <w:w w:val="105"/>
        </w:rPr>
        <w:t>en</w:t>
      </w:r>
      <w:r>
        <w:rPr>
          <w:spacing w:val="-2"/>
          <w:w w:val="105"/>
        </w:rPr>
        <w:t xml:space="preserve"> </w:t>
      </w:r>
      <w:r>
        <w:rPr>
          <w:w w:val="105"/>
        </w:rPr>
        <w:t>última</w:t>
      </w:r>
      <w:r>
        <w:rPr>
          <w:spacing w:val="-2"/>
          <w:w w:val="105"/>
        </w:rPr>
        <w:t xml:space="preserve"> </w:t>
      </w:r>
      <w:r>
        <w:rPr>
          <w:w w:val="105"/>
        </w:rPr>
        <w:t>instancia,</w:t>
      </w:r>
      <w:r>
        <w:rPr>
          <w:spacing w:val="-1"/>
          <w:w w:val="105"/>
        </w:rPr>
        <w:t xml:space="preserve"> </w:t>
      </w:r>
      <w:r>
        <w:rPr>
          <w:w w:val="105"/>
        </w:rPr>
        <w:t>finitos:</w:t>
      </w:r>
      <w:r>
        <w:rPr>
          <w:spacing w:val="-1"/>
          <w:w w:val="105"/>
        </w:rPr>
        <w:t xml:space="preserve"> </w:t>
      </w:r>
      <w:r>
        <w:rPr>
          <w:w w:val="105"/>
        </w:rPr>
        <w:t>no</w:t>
      </w:r>
      <w:r>
        <w:rPr>
          <w:spacing w:val="-2"/>
          <w:w w:val="105"/>
        </w:rPr>
        <w:t xml:space="preserve"> </w:t>
      </w:r>
      <w:r>
        <w:rPr>
          <w:w w:val="105"/>
        </w:rPr>
        <w:t>se</w:t>
      </w:r>
      <w:r>
        <w:rPr>
          <w:spacing w:val="-2"/>
          <w:w w:val="105"/>
        </w:rPr>
        <w:t xml:space="preserve"> </w:t>
      </w:r>
      <w:r>
        <w:rPr>
          <w:w w:val="105"/>
        </w:rPr>
        <w:t>puede afirmar que todas las leyes, comentarios legales, experiencias, tradiciones o dilemas relevantes han sido incluidos aquí. Si bien</w:t>
      </w:r>
      <w:r>
        <w:rPr>
          <w:spacing w:val="-2"/>
          <w:w w:val="105"/>
        </w:rPr>
        <w:t xml:space="preserve"> </w:t>
      </w:r>
      <w:r>
        <w:rPr>
          <w:w w:val="105"/>
        </w:rPr>
        <w:t>los</w:t>
      </w:r>
      <w:r>
        <w:rPr>
          <w:spacing w:val="-2"/>
          <w:w w:val="105"/>
        </w:rPr>
        <w:t xml:space="preserve"> </w:t>
      </w:r>
      <w:r>
        <w:rPr>
          <w:w w:val="105"/>
        </w:rPr>
        <w:t>redactores</w:t>
      </w:r>
      <w:r>
        <w:rPr>
          <w:spacing w:val="-2"/>
          <w:w w:val="105"/>
        </w:rPr>
        <w:t xml:space="preserve"> </w:t>
      </w:r>
      <w:r>
        <w:rPr>
          <w:w w:val="105"/>
        </w:rPr>
        <w:t>han</w:t>
      </w:r>
      <w:r>
        <w:rPr>
          <w:spacing w:val="-2"/>
          <w:w w:val="105"/>
        </w:rPr>
        <w:t xml:space="preserve"> </w:t>
      </w:r>
      <w:r>
        <w:rPr>
          <w:w w:val="105"/>
        </w:rPr>
        <w:t>tratado</w:t>
      </w:r>
      <w:r>
        <w:rPr>
          <w:spacing w:val="-2"/>
          <w:w w:val="105"/>
        </w:rPr>
        <w:t xml:space="preserve"> </w:t>
      </w:r>
      <w:r>
        <w:rPr>
          <w:w w:val="105"/>
        </w:rPr>
        <w:t>de</w:t>
      </w:r>
      <w:r>
        <w:rPr>
          <w:spacing w:val="-2"/>
          <w:w w:val="105"/>
        </w:rPr>
        <w:t xml:space="preserve"> </w:t>
      </w:r>
      <w:r>
        <w:rPr>
          <w:w w:val="105"/>
        </w:rPr>
        <w:t>ser</w:t>
      </w:r>
      <w:r>
        <w:rPr>
          <w:spacing w:val="-2"/>
          <w:w w:val="105"/>
        </w:rPr>
        <w:t xml:space="preserve"> </w:t>
      </w:r>
      <w:r>
        <w:rPr>
          <w:w w:val="105"/>
        </w:rPr>
        <w:t>exhaustivos</w:t>
      </w:r>
      <w:r>
        <w:rPr>
          <w:spacing w:val="-2"/>
          <w:w w:val="105"/>
        </w:rPr>
        <w:t xml:space="preserve"> </w:t>
      </w:r>
      <w:r>
        <w:rPr>
          <w:w w:val="105"/>
        </w:rPr>
        <w:t>en</w:t>
      </w:r>
      <w:r>
        <w:rPr>
          <w:spacing w:val="-2"/>
          <w:w w:val="105"/>
        </w:rPr>
        <w:t xml:space="preserve"> </w:t>
      </w:r>
      <w:r>
        <w:rPr>
          <w:w w:val="105"/>
        </w:rPr>
        <w:t>su</w:t>
      </w:r>
      <w:r>
        <w:rPr>
          <w:spacing w:val="-2"/>
          <w:w w:val="105"/>
        </w:rPr>
        <w:t xml:space="preserve"> </w:t>
      </w:r>
      <w:r>
        <w:rPr>
          <w:w w:val="105"/>
        </w:rPr>
        <w:t>discusión</w:t>
      </w:r>
      <w:r>
        <w:rPr>
          <w:spacing w:val="-2"/>
          <w:w w:val="105"/>
        </w:rPr>
        <w:t xml:space="preserve"> </w:t>
      </w:r>
      <w:r>
        <w:rPr>
          <w:w w:val="105"/>
        </w:rPr>
        <w:t>sobre</w:t>
      </w:r>
      <w:r>
        <w:rPr>
          <w:spacing w:val="-2"/>
          <w:w w:val="105"/>
        </w:rPr>
        <w:t xml:space="preserve"> </w:t>
      </w:r>
      <w:r>
        <w:rPr>
          <w:w w:val="105"/>
        </w:rPr>
        <w:t>el</w:t>
      </w:r>
      <w:r>
        <w:rPr>
          <w:spacing w:val="-2"/>
          <w:w w:val="105"/>
        </w:rPr>
        <w:t xml:space="preserve"> </w:t>
      </w:r>
      <w:r>
        <w:rPr>
          <w:w w:val="105"/>
        </w:rPr>
        <w:t>derecho</w:t>
      </w:r>
      <w:r>
        <w:rPr>
          <w:spacing w:val="-2"/>
          <w:w w:val="105"/>
        </w:rPr>
        <w:t xml:space="preserve"> </w:t>
      </w:r>
      <w:r>
        <w:rPr>
          <w:w w:val="105"/>
        </w:rPr>
        <w:t>internacional</w:t>
      </w:r>
      <w:r>
        <w:rPr>
          <w:spacing w:val="-2"/>
          <w:w w:val="105"/>
        </w:rPr>
        <w:t xml:space="preserve"> </w:t>
      </w:r>
      <w:r>
        <w:rPr>
          <w:w w:val="105"/>
        </w:rPr>
        <w:t>y</w:t>
      </w:r>
      <w:r>
        <w:rPr>
          <w:spacing w:val="-2"/>
          <w:w w:val="105"/>
        </w:rPr>
        <w:t xml:space="preserve"> </w:t>
      </w:r>
      <w:r>
        <w:rPr>
          <w:w w:val="105"/>
        </w:rPr>
        <w:t>su</w:t>
      </w:r>
      <w:r>
        <w:rPr>
          <w:spacing w:val="-2"/>
          <w:w w:val="105"/>
        </w:rPr>
        <w:t xml:space="preserve"> </w:t>
      </w:r>
      <w:r>
        <w:rPr>
          <w:w w:val="105"/>
        </w:rPr>
        <w:t>aplicación</w:t>
      </w:r>
      <w:r>
        <w:rPr>
          <w:spacing w:val="-2"/>
          <w:w w:val="105"/>
        </w:rPr>
        <w:t xml:space="preserve"> </w:t>
      </w:r>
      <w:r>
        <w:rPr>
          <w:w w:val="105"/>
        </w:rPr>
        <w:t>–a</w:t>
      </w:r>
      <w:r>
        <w:rPr>
          <w:spacing w:val="-2"/>
          <w:w w:val="105"/>
        </w:rPr>
        <w:t xml:space="preserve"> </w:t>
      </w:r>
      <w:r>
        <w:rPr>
          <w:w w:val="105"/>
        </w:rPr>
        <w:t>fin</w:t>
      </w:r>
      <w:r>
        <w:rPr>
          <w:spacing w:val="-2"/>
          <w:w w:val="105"/>
        </w:rPr>
        <w:t xml:space="preserve"> </w:t>
      </w:r>
      <w:r>
        <w:rPr>
          <w:w w:val="105"/>
        </w:rPr>
        <w:t>de dar</w:t>
      </w:r>
      <w:r>
        <w:rPr>
          <w:spacing w:val="-7"/>
          <w:w w:val="105"/>
        </w:rPr>
        <w:t xml:space="preserve"> </w:t>
      </w:r>
      <w:r>
        <w:rPr>
          <w:w w:val="105"/>
        </w:rPr>
        <w:t>a</w:t>
      </w:r>
      <w:r>
        <w:rPr>
          <w:spacing w:val="-7"/>
          <w:w w:val="105"/>
        </w:rPr>
        <w:t xml:space="preserve"> </w:t>
      </w:r>
      <w:r>
        <w:rPr>
          <w:w w:val="105"/>
        </w:rPr>
        <w:t>quienes</w:t>
      </w:r>
      <w:r>
        <w:rPr>
          <w:spacing w:val="-7"/>
          <w:w w:val="105"/>
        </w:rPr>
        <w:t xml:space="preserve"> </w:t>
      </w:r>
      <w:r>
        <w:rPr>
          <w:w w:val="105"/>
        </w:rPr>
        <w:t>redactan</w:t>
      </w:r>
      <w:r>
        <w:rPr>
          <w:spacing w:val="-7"/>
          <w:w w:val="105"/>
        </w:rPr>
        <w:t xml:space="preserve"> </w:t>
      </w:r>
      <w:r>
        <w:rPr>
          <w:w w:val="105"/>
        </w:rPr>
        <w:t>la</w:t>
      </w:r>
      <w:r>
        <w:rPr>
          <w:spacing w:val="-7"/>
          <w:w w:val="105"/>
        </w:rPr>
        <w:t xml:space="preserve"> </w:t>
      </w:r>
      <w:r>
        <w:rPr>
          <w:w w:val="105"/>
        </w:rPr>
        <w:t>legislación</w:t>
      </w:r>
      <w:r>
        <w:rPr>
          <w:spacing w:val="-7"/>
          <w:w w:val="105"/>
        </w:rPr>
        <w:t xml:space="preserve"> </w:t>
      </w:r>
      <w:r>
        <w:rPr>
          <w:w w:val="105"/>
        </w:rPr>
        <w:t>una</w:t>
      </w:r>
      <w:r>
        <w:rPr>
          <w:spacing w:val="-7"/>
          <w:w w:val="105"/>
        </w:rPr>
        <w:t xml:space="preserve"> </w:t>
      </w:r>
      <w:r>
        <w:rPr>
          <w:w w:val="105"/>
        </w:rPr>
        <w:t>visión</w:t>
      </w:r>
      <w:r>
        <w:rPr>
          <w:spacing w:val="-7"/>
          <w:w w:val="105"/>
        </w:rPr>
        <w:t xml:space="preserve"> </w:t>
      </w:r>
      <w:r>
        <w:rPr>
          <w:w w:val="105"/>
        </w:rPr>
        <w:t>clara</w:t>
      </w:r>
      <w:r>
        <w:rPr>
          <w:spacing w:val="-7"/>
          <w:w w:val="105"/>
        </w:rPr>
        <w:t xml:space="preserve"> </w:t>
      </w:r>
      <w:r>
        <w:rPr>
          <w:w w:val="105"/>
        </w:rPr>
        <w:t>de</w:t>
      </w:r>
      <w:r>
        <w:rPr>
          <w:spacing w:val="-7"/>
          <w:w w:val="105"/>
        </w:rPr>
        <w:t xml:space="preserve"> </w:t>
      </w:r>
      <w:r>
        <w:rPr>
          <w:w w:val="105"/>
        </w:rPr>
        <w:t>las</w:t>
      </w:r>
      <w:r>
        <w:rPr>
          <w:spacing w:val="-7"/>
          <w:w w:val="105"/>
        </w:rPr>
        <w:t xml:space="preserve"> </w:t>
      </w:r>
      <w:r>
        <w:rPr>
          <w:w w:val="105"/>
        </w:rPr>
        <w:t>obligaciones</w:t>
      </w:r>
      <w:r>
        <w:rPr>
          <w:spacing w:val="-7"/>
          <w:w w:val="105"/>
        </w:rPr>
        <w:t xml:space="preserve"> </w:t>
      </w:r>
      <w:r>
        <w:rPr>
          <w:w w:val="105"/>
        </w:rPr>
        <w:t>y</w:t>
      </w:r>
      <w:r>
        <w:rPr>
          <w:spacing w:val="-7"/>
          <w:w w:val="105"/>
        </w:rPr>
        <w:t xml:space="preserve"> </w:t>
      </w:r>
      <w:r>
        <w:rPr>
          <w:w w:val="105"/>
        </w:rPr>
        <w:t>requisitos</w:t>
      </w:r>
      <w:r>
        <w:rPr>
          <w:spacing w:val="-7"/>
          <w:w w:val="105"/>
        </w:rPr>
        <w:t xml:space="preserve"> </w:t>
      </w:r>
      <w:r>
        <w:rPr>
          <w:w w:val="105"/>
        </w:rPr>
        <w:t>pertinentes–</w:t>
      </w:r>
      <w:r>
        <w:rPr>
          <w:spacing w:val="-7"/>
          <w:w w:val="105"/>
        </w:rPr>
        <w:t xml:space="preserve"> </w:t>
      </w:r>
      <w:r>
        <w:rPr>
          <w:w w:val="105"/>
        </w:rPr>
        <w:t>con</w:t>
      </w:r>
      <w:r>
        <w:rPr>
          <w:spacing w:val="-7"/>
          <w:w w:val="105"/>
        </w:rPr>
        <w:t xml:space="preserve"> </w:t>
      </w:r>
      <w:r>
        <w:rPr>
          <w:w w:val="105"/>
        </w:rPr>
        <w:t>respecto</w:t>
      </w:r>
      <w:r>
        <w:rPr>
          <w:spacing w:val="-7"/>
          <w:w w:val="105"/>
        </w:rPr>
        <w:t xml:space="preserve"> </w:t>
      </w:r>
      <w:r>
        <w:rPr>
          <w:w w:val="105"/>
        </w:rPr>
        <w:t>a</w:t>
      </w:r>
      <w:r>
        <w:rPr>
          <w:spacing w:val="-7"/>
          <w:w w:val="105"/>
        </w:rPr>
        <w:t xml:space="preserve"> </w:t>
      </w:r>
      <w:r>
        <w:rPr>
          <w:w w:val="105"/>
        </w:rPr>
        <w:t>las</w:t>
      </w:r>
      <w:r>
        <w:rPr>
          <w:spacing w:val="-7"/>
          <w:w w:val="105"/>
        </w:rPr>
        <w:t xml:space="preserve"> </w:t>
      </w:r>
      <w:r>
        <w:rPr>
          <w:w w:val="105"/>
        </w:rPr>
        <w:t>pruebas de las leyes nacionales, la guía debe considerarse ejemplar</w:t>
      </w:r>
      <w:proofErr w:type="gramStart"/>
      <w:r>
        <w:rPr>
          <w:w w:val="105"/>
        </w:rPr>
        <w:t>. ,</w:t>
      </w:r>
      <w:proofErr w:type="gramEnd"/>
      <w:r>
        <w:rPr>
          <w:w w:val="105"/>
        </w:rPr>
        <w:t xml:space="preserve"> No exhaustivo.</w:t>
      </w:r>
    </w:p>
    <w:p w14:paraId="3E2FB36E" w14:textId="77777777" w:rsidR="0014798C" w:rsidRDefault="004E1F0B">
      <w:pPr>
        <w:pStyle w:val="Textoindependiente"/>
        <w:spacing w:before="167"/>
        <w:ind w:left="1106"/>
      </w:pPr>
      <w:r>
        <w:rPr>
          <w:w w:val="105"/>
        </w:rPr>
        <w:t>Esta</w:t>
      </w:r>
      <w:r>
        <w:rPr>
          <w:spacing w:val="-11"/>
          <w:w w:val="105"/>
        </w:rPr>
        <w:t xml:space="preserve"> </w:t>
      </w:r>
      <w:r>
        <w:rPr>
          <w:w w:val="105"/>
        </w:rPr>
        <w:t>guía</w:t>
      </w:r>
      <w:r>
        <w:rPr>
          <w:spacing w:val="-11"/>
          <w:w w:val="105"/>
        </w:rPr>
        <w:t xml:space="preserve"> </w:t>
      </w:r>
      <w:r>
        <w:rPr>
          <w:w w:val="105"/>
        </w:rPr>
        <w:t>resume</w:t>
      </w:r>
      <w:r>
        <w:rPr>
          <w:spacing w:val="-10"/>
          <w:w w:val="105"/>
        </w:rPr>
        <w:t xml:space="preserve"> </w:t>
      </w:r>
      <w:r>
        <w:rPr>
          <w:w w:val="105"/>
        </w:rPr>
        <w:t>la</w:t>
      </w:r>
      <w:r>
        <w:rPr>
          <w:spacing w:val="-11"/>
          <w:w w:val="105"/>
        </w:rPr>
        <w:t xml:space="preserve"> </w:t>
      </w:r>
      <w:r>
        <w:rPr>
          <w:w w:val="105"/>
        </w:rPr>
        <w:t>evolución</w:t>
      </w:r>
      <w:r>
        <w:rPr>
          <w:spacing w:val="-10"/>
          <w:w w:val="105"/>
        </w:rPr>
        <w:t xml:space="preserve"> </w:t>
      </w:r>
      <w:r>
        <w:rPr>
          <w:w w:val="105"/>
        </w:rPr>
        <w:t>jurídica</w:t>
      </w:r>
      <w:r>
        <w:rPr>
          <w:spacing w:val="-11"/>
          <w:w w:val="105"/>
        </w:rPr>
        <w:t xml:space="preserve"> </w:t>
      </w:r>
      <w:r>
        <w:rPr>
          <w:w w:val="105"/>
        </w:rPr>
        <w:t>y</w:t>
      </w:r>
      <w:r>
        <w:rPr>
          <w:spacing w:val="-10"/>
          <w:w w:val="105"/>
        </w:rPr>
        <w:t xml:space="preserve"> </w:t>
      </w:r>
      <w:r>
        <w:rPr>
          <w:w w:val="105"/>
        </w:rPr>
        <w:t>fáctica</w:t>
      </w:r>
      <w:r>
        <w:rPr>
          <w:spacing w:val="-11"/>
          <w:w w:val="105"/>
        </w:rPr>
        <w:t xml:space="preserve"> </w:t>
      </w:r>
      <w:r>
        <w:rPr>
          <w:w w:val="105"/>
        </w:rPr>
        <w:t>al</w:t>
      </w:r>
      <w:r>
        <w:rPr>
          <w:spacing w:val="-11"/>
          <w:w w:val="105"/>
        </w:rPr>
        <w:t xml:space="preserve"> </w:t>
      </w:r>
      <w:r>
        <w:rPr>
          <w:w w:val="105"/>
        </w:rPr>
        <w:t>30</w:t>
      </w:r>
      <w:r>
        <w:rPr>
          <w:spacing w:val="-10"/>
          <w:w w:val="105"/>
        </w:rPr>
        <w:t xml:space="preserve"> </w:t>
      </w:r>
      <w:r>
        <w:rPr>
          <w:w w:val="105"/>
        </w:rPr>
        <w:t>de</w:t>
      </w:r>
      <w:r>
        <w:rPr>
          <w:spacing w:val="-11"/>
          <w:w w:val="105"/>
        </w:rPr>
        <w:t xml:space="preserve"> </w:t>
      </w:r>
      <w:r>
        <w:rPr>
          <w:w w:val="105"/>
        </w:rPr>
        <w:t>junio</w:t>
      </w:r>
      <w:r>
        <w:rPr>
          <w:spacing w:val="-10"/>
          <w:w w:val="105"/>
        </w:rPr>
        <w:t xml:space="preserve"> </w:t>
      </w:r>
      <w:r>
        <w:rPr>
          <w:w w:val="105"/>
        </w:rPr>
        <w:t>de</w:t>
      </w:r>
      <w:r>
        <w:rPr>
          <w:spacing w:val="-11"/>
          <w:w w:val="105"/>
        </w:rPr>
        <w:t xml:space="preserve"> </w:t>
      </w:r>
      <w:r>
        <w:rPr>
          <w:spacing w:val="-2"/>
          <w:w w:val="105"/>
        </w:rPr>
        <w:t>2022.</w:t>
      </w:r>
    </w:p>
    <w:p w14:paraId="47035981" w14:textId="77777777" w:rsidR="0014798C" w:rsidRDefault="0014798C">
      <w:pPr>
        <w:pStyle w:val="Textoindependiente"/>
        <w:spacing w:before="80"/>
        <w:rPr>
          <w:sz w:val="28"/>
        </w:rPr>
      </w:pPr>
    </w:p>
    <w:p w14:paraId="668D7BD5" w14:textId="77777777" w:rsidR="0014798C" w:rsidRDefault="004E1F0B">
      <w:pPr>
        <w:pStyle w:val="Ttulo9"/>
        <w:numPr>
          <w:ilvl w:val="0"/>
          <w:numId w:val="93"/>
        </w:numPr>
        <w:tabs>
          <w:tab w:val="left" w:pos="1430"/>
        </w:tabs>
        <w:ind w:left="1430" w:hanging="307"/>
        <w:rPr>
          <w:color w:val="0075BF"/>
        </w:rPr>
      </w:pPr>
      <w:bookmarkStart w:id="5" w:name="_TOC_250007"/>
      <w:bookmarkStart w:id="6" w:name="utilizar"/>
      <w:r>
        <w:rPr>
          <w:color w:val="0075BF"/>
        </w:rPr>
        <w:t>CÓMO</w:t>
      </w:r>
      <w:r>
        <w:rPr>
          <w:color w:val="0075BF"/>
          <w:spacing w:val="-13"/>
        </w:rPr>
        <w:t xml:space="preserve"> </w:t>
      </w:r>
      <w:r>
        <w:rPr>
          <w:color w:val="0075BF"/>
        </w:rPr>
        <w:t>UTILIZAR</w:t>
      </w:r>
      <w:r>
        <w:rPr>
          <w:color w:val="0075BF"/>
          <w:spacing w:val="-14"/>
        </w:rPr>
        <w:t xml:space="preserve"> </w:t>
      </w:r>
      <w:r>
        <w:rPr>
          <w:color w:val="0075BF"/>
        </w:rPr>
        <w:t>LA</w:t>
      </w:r>
      <w:r>
        <w:rPr>
          <w:color w:val="0075BF"/>
          <w:spacing w:val="-13"/>
        </w:rPr>
        <w:t xml:space="preserve"> </w:t>
      </w:r>
      <w:bookmarkEnd w:id="5"/>
      <w:r>
        <w:rPr>
          <w:color w:val="0075BF"/>
          <w:spacing w:val="-4"/>
        </w:rPr>
        <w:t>GUÍA</w:t>
      </w:r>
    </w:p>
    <w:bookmarkEnd w:id="6"/>
    <w:p w14:paraId="5CD48FA4" w14:textId="77777777" w:rsidR="0014798C" w:rsidRDefault="0014798C">
      <w:pPr>
        <w:pStyle w:val="Textoindependiente"/>
        <w:spacing w:before="67"/>
      </w:pPr>
    </w:p>
    <w:p w14:paraId="61976AAE" w14:textId="77777777" w:rsidR="0014798C" w:rsidRDefault="004E1F0B">
      <w:pPr>
        <w:pStyle w:val="Textoindependiente"/>
        <w:spacing w:line="326" w:lineRule="auto"/>
        <w:ind w:left="1107" w:right="1272" w:hanging="1"/>
      </w:pPr>
      <w:r>
        <w:rPr>
          <w:w w:val="105"/>
        </w:rPr>
        <w:t>La</w:t>
      </w:r>
      <w:r>
        <w:rPr>
          <w:spacing w:val="-7"/>
          <w:w w:val="105"/>
        </w:rPr>
        <w:t xml:space="preserve"> </w:t>
      </w:r>
      <w:r>
        <w:rPr>
          <w:w w:val="105"/>
        </w:rPr>
        <w:t>guía</w:t>
      </w:r>
      <w:r>
        <w:rPr>
          <w:spacing w:val="-7"/>
          <w:w w:val="105"/>
        </w:rPr>
        <w:t xml:space="preserve"> </w:t>
      </w:r>
      <w:r>
        <w:rPr>
          <w:w w:val="105"/>
        </w:rPr>
        <w:t>ha</w:t>
      </w:r>
      <w:r>
        <w:rPr>
          <w:spacing w:val="-7"/>
          <w:w w:val="105"/>
        </w:rPr>
        <w:t xml:space="preserve"> </w:t>
      </w:r>
      <w:r>
        <w:rPr>
          <w:w w:val="105"/>
        </w:rPr>
        <w:t>sido</w:t>
      </w:r>
      <w:r>
        <w:rPr>
          <w:spacing w:val="-7"/>
          <w:w w:val="105"/>
        </w:rPr>
        <w:t xml:space="preserve"> </w:t>
      </w:r>
      <w:r>
        <w:rPr>
          <w:w w:val="105"/>
        </w:rPr>
        <w:t>diseñada,</w:t>
      </w:r>
      <w:r>
        <w:rPr>
          <w:spacing w:val="-6"/>
          <w:w w:val="105"/>
        </w:rPr>
        <w:t xml:space="preserve"> </w:t>
      </w:r>
      <w:r>
        <w:rPr>
          <w:w w:val="105"/>
        </w:rPr>
        <w:t>desarrollada</w:t>
      </w:r>
      <w:r>
        <w:rPr>
          <w:spacing w:val="-7"/>
          <w:w w:val="105"/>
        </w:rPr>
        <w:t xml:space="preserve"> </w:t>
      </w:r>
      <w:r>
        <w:rPr>
          <w:w w:val="105"/>
        </w:rPr>
        <w:t>y</w:t>
      </w:r>
      <w:r>
        <w:rPr>
          <w:spacing w:val="-7"/>
          <w:w w:val="105"/>
        </w:rPr>
        <w:t xml:space="preserve"> </w:t>
      </w:r>
      <w:r>
        <w:rPr>
          <w:w w:val="105"/>
        </w:rPr>
        <w:t>redactada</w:t>
      </w:r>
      <w:r>
        <w:rPr>
          <w:spacing w:val="-7"/>
          <w:w w:val="105"/>
        </w:rPr>
        <w:t xml:space="preserve"> </w:t>
      </w:r>
      <w:r>
        <w:rPr>
          <w:w w:val="105"/>
        </w:rPr>
        <w:t>teniendo</w:t>
      </w:r>
      <w:r>
        <w:rPr>
          <w:spacing w:val="-7"/>
          <w:w w:val="105"/>
        </w:rPr>
        <w:t xml:space="preserve"> </w:t>
      </w:r>
      <w:r>
        <w:rPr>
          <w:w w:val="105"/>
        </w:rPr>
        <w:t>en</w:t>
      </w:r>
      <w:r>
        <w:rPr>
          <w:spacing w:val="-7"/>
          <w:w w:val="105"/>
        </w:rPr>
        <w:t xml:space="preserve"> </w:t>
      </w:r>
      <w:r>
        <w:rPr>
          <w:w w:val="105"/>
        </w:rPr>
        <w:t>cuenta</w:t>
      </w:r>
      <w:r>
        <w:rPr>
          <w:spacing w:val="-7"/>
          <w:w w:val="105"/>
        </w:rPr>
        <w:t xml:space="preserve"> </w:t>
      </w:r>
      <w:r>
        <w:rPr>
          <w:w w:val="105"/>
        </w:rPr>
        <w:t>su</w:t>
      </w:r>
      <w:r>
        <w:rPr>
          <w:spacing w:val="-7"/>
          <w:w w:val="105"/>
        </w:rPr>
        <w:t xml:space="preserve"> </w:t>
      </w:r>
      <w:r>
        <w:rPr>
          <w:w w:val="105"/>
        </w:rPr>
        <w:t>utilidad:</w:t>
      </w:r>
      <w:r>
        <w:rPr>
          <w:spacing w:val="-6"/>
          <w:w w:val="105"/>
        </w:rPr>
        <w:t xml:space="preserve"> </w:t>
      </w:r>
      <w:r>
        <w:rPr>
          <w:w w:val="105"/>
        </w:rPr>
        <w:t>su</w:t>
      </w:r>
      <w:r>
        <w:rPr>
          <w:spacing w:val="-7"/>
          <w:w w:val="105"/>
        </w:rPr>
        <w:t xml:space="preserve"> </w:t>
      </w:r>
      <w:r>
        <w:rPr>
          <w:w w:val="105"/>
        </w:rPr>
        <w:t>objetivo,</w:t>
      </w:r>
      <w:r>
        <w:rPr>
          <w:spacing w:val="-6"/>
          <w:w w:val="105"/>
        </w:rPr>
        <w:t xml:space="preserve"> </w:t>
      </w:r>
      <w:r>
        <w:rPr>
          <w:w w:val="105"/>
        </w:rPr>
        <w:t>en</w:t>
      </w:r>
      <w:r>
        <w:rPr>
          <w:spacing w:val="-7"/>
          <w:w w:val="105"/>
        </w:rPr>
        <w:t xml:space="preserve"> </w:t>
      </w:r>
      <w:r>
        <w:rPr>
          <w:w w:val="105"/>
        </w:rPr>
        <w:t>la</w:t>
      </w:r>
      <w:r>
        <w:rPr>
          <w:spacing w:val="-7"/>
          <w:w w:val="105"/>
        </w:rPr>
        <w:t xml:space="preserve"> </w:t>
      </w:r>
      <w:r>
        <w:rPr>
          <w:w w:val="105"/>
        </w:rPr>
        <w:t>medida</w:t>
      </w:r>
      <w:r>
        <w:rPr>
          <w:spacing w:val="-7"/>
          <w:w w:val="105"/>
        </w:rPr>
        <w:t xml:space="preserve"> </w:t>
      </w:r>
      <w:r>
        <w:rPr>
          <w:w w:val="105"/>
        </w:rPr>
        <w:t>de</w:t>
      </w:r>
      <w:r>
        <w:rPr>
          <w:spacing w:val="-7"/>
          <w:w w:val="105"/>
        </w:rPr>
        <w:t xml:space="preserve"> </w:t>
      </w:r>
      <w:r>
        <w:rPr>
          <w:w w:val="105"/>
        </w:rPr>
        <w:t>lo</w:t>
      </w:r>
      <w:r>
        <w:rPr>
          <w:spacing w:val="-7"/>
          <w:w w:val="105"/>
        </w:rPr>
        <w:t xml:space="preserve"> </w:t>
      </w:r>
      <w:r>
        <w:rPr>
          <w:w w:val="105"/>
        </w:rPr>
        <w:t>posible,</w:t>
      </w:r>
      <w:r>
        <w:rPr>
          <w:spacing w:val="-6"/>
          <w:w w:val="105"/>
        </w:rPr>
        <w:t xml:space="preserve"> </w:t>
      </w:r>
      <w:r>
        <w:rPr>
          <w:w w:val="105"/>
        </w:rPr>
        <w:t>es proporcionar</w:t>
      </w:r>
      <w:r>
        <w:rPr>
          <w:spacing w:val="-1"/>
          <w:w w:val="105"/>
        </w:rPr>
        <w:t xml:space="preserve"> </w:t>
      </w:r>
      <w:r>
        <w:rPr>
          <w:w w:val="105"/>
        </w:rPr>
        <w:t>orientación</w:t>
      </w:r>
      <w:r>
        <w:rPr>
          <w:spacing w:val="-1"/>
          <w:w w:val="105"/>
        </w:rPr>
        <w:t xml:space="preserve"> </w:t>
      </w:r>
      <w:r>
        <w:rPr>
          <w:w w:val="105"/>
        </w:rPr>
        <w:t>clara, concisa</w:t>
      </w:r>
      <w:r>
        <w:rPr>
          <w:spacing w:val="-1"/>
          <w:w w:val="105"/>
        </w:rPr>
        <w:t xml:space="preserve"> </w:t>
      </w:r>
      <w:r>
        <w:rPr>
          <w:w w:val="105"/>
        </w:rPr>
        <w:t>y</w:t>
      </w:r>
      <w:r>
        <w:rPr>
          <w:spacing w:val="-1"/>
          <w:w w:val="105"/>
        </w:rPr>
        <w:t xml:space="preserve"> </w:t>
      </w:r>
      <w:r>
        <w:rPr>
          <w:w w:val="105"/>
        </w:rPr>
        <w:t>completa</w:t>
      </w:r>
      <w:r>
        <w:rPr>
          <w:spacing w:val="-1"/>
          <w:w w:val="105"/>
        </w:rPr>
        <w:t xml:space="preserve"> </w:t>
      </w:r>
      <w:r>
        <w:rPr>
          <w:w w:val="105"/>
        </w:rPr>
        <w:t>a</w:t>
      </w:r>
      <w:r>
        <w:rPr>
          <w:spacing w:val="-1"/>
          <w:w w:val="105"/>
        </w:rPr>
        <w:t xml:space="preserve"> </w:t>
      </w:r>
      <w:r>
        <w:rPr>
          <w:w w:val="105"/>
        </w:rPr>
        <w:t>quienes</w:t>
      </w:r>
      <w:r>
        <w:rPr>
          <w:spacing w:val="-1"/>
          <w:w w:val="105"/>
        </w:rPr>
        <w:t xml:space="preserve"> </w:t>
      </w:r>
      <w:r>
        <w:rPr>
          <w:w w:val="105"/>
        </w:rPr>
        <w:t>participan</w:t>
      </w:r>
      <w:r>
        <w:rPr>
          <w:spacing w:val="-1"/>
          <w:w w:val="105"/>
        </w:rPr>
        <w:t xml:space="preserve"> </w:t>
      </w:r>
      <w:r>
        <w:rPr>
          <w:w w:val="105"/>
        </w:rPr>
        <w:t>en</w:t>
      </w:r>
      <w:r>
        <w:rPr>
          <w:spacing w:val="-1"/>
          <w:w w:val="105"/>
        </w:rPr>
        <w:t xml:space="preserve"> </w:t>
      </w:r>
      <w:r>
        <w:rPr>
          <w:w w:val="105"/>
        </w:rPr>
        <w:t>el</w:t>
      </w:r>
      <w:r>
        <w:rPr>
          <w:spacing w:val="-1"/>
          <w:w w:val="105"/>
        </w:rPr>
        <w:t xml:space="preserve"> </w:t>
      </w:r>
      <w:r>
        <w:rPr>
          <w:w w:val="105"/>
        </w:rPr>
        <w:t>desarrollo</w:t>
      </w:r>
      <w:r>
        <w:rPr>
          <w:spacing w:val="-1"/>
          <w:w w:val="105"/>
        </w:rPr>
        <w:t xml:space="preserve"> </w:t>
      </w:r>
      <w:r>
        <w:rPr>
          <w:w w:val="105"/>
        </w:rPr>
        <w:t>de</w:t>
      </w:r>
      <w:r>
        <w:rPr>
          <w:spacing w:val="-1"/>
          <w:w w:val="105"/>
        </w:rPr>
        <w:t xml:space="preserve"> </w:t>
      </w:r>
      <w:r>
        <w:rPr>
          <w:w w:val="105"/>
        </w:rPr>
        <w:t>leyes</w:t>
      </w:r>
      <w:r>
        <w:rPr>
          <w:spacing w:val="-1"/>
          <w:w w:val="105"/>
        </w:rPr>
        <w:t xml:space="preserve"> </w:t>
      </w:r>
      <w:r>
        <w:rPr>
          <w:w w:val="105"/>
        </w:rPr>
        <w:t>integrales</w:t>
      </w:r>
      <w:r>
        <w:rPr>
          <w:spacing w:val="-1"/>
          <w:w w:val="105"/>
        </w:rPr>
        <w:t xml:space="preserve"> </w:t>
      </w:r>
      <w:r>
        <w:rPr>
          <w:w w:val="105"/>
        </w:rPr>
        <w:t>contra</w:t>
      </w:r>
      <w:r>
        <w:rPr>
          <w:spacing w:val="-1"/>
          <w:w w:val="105"/>
        </w:rPr>
        <w:t xml:space="preserve"> </w:t>
      </w:r>
      <w:r>
        <w:rPr>
          <w:w w:val="105"/>
        </w:rPr>
        <w:t>la discriminación, en el formato más accesible. manera posible.</w:t>
      </w:r>
    </w:p>
    <w:p w14:paraId="08E488D4" w14:textId="77777777" w:rsidR="0014798C" w:rsidRDefault="0014798C">
      <w:pPr>
        <w:pStyle w:val="Textoindependiente"/>
        <w:spacing w:before="32"/>
        <w:rPr>
          <w:sz w:val="28"/>
        </w:rPr>
      </w:pPr>
    </w:p>
    <w:p w14:paraId="4261EAE8" w14:textId="77777777" w:rsidR="0014798C" w:rsidRDefault="004E1F0B">
      <w:pPr>
        <w:numPr>
          <w:ilvl w:val="1"/>
          <w:numId w:val="93"/>
        </w:numPr>
        <w:tabs>
          <w:tab w:val="left" w:pos="1439"/>
        </w:tabs>
        <w:ind w:left="1439" w:hanging="339"/>
        <w:rPr>
          <w:color w:val="0075BF"/>
          <w:sz w:val="28"/>
        </w:rPr>
      </w:pPr>
      <w:r>
        <w:rPr>
          <w:color w:val="0075BF"/>
          <w:sz w:val="28"/>
        </w:rPr>
        <w:t>Estructura</w:t>
      </w:r>
      <w:r>
        <w:rPr>
          <w:color w:val="0075BF"/>
          <w:spacing w:val="-12"/>
          <w:sz w:val="28"/>
        </w:rPr>
        <w:t xml:space="preserve"> </w:t>
      </w:r>
      <w:r>
        <w:rPr>
          <w:color w:val="0075BF"/>
          <w:sz w:val="28"/>
        </w:rPr>
        <w:t>de</w:t>
      </w:r>
      <w:r>
        <w:rPr>
          <w:color w:val="0075BF"/>
          <w:spacing w:val="-11"/>
          <w:sz w:val="28"/>
        </w:rPr>
        <w:t xml:space="preserve"> </w:t>
      </w:r>
      <w:r>
        <w:rPr>
          <w:color w:val="0075BF"/>
          <w:sz w:val="28"/>
        </w:rPr>
        <w:t>la</w:t>
      </w:r>
      <w:r>
        <w:rPr>
          <w:color w:val="0075BF"/>
          <w:spacing w:val="-11"/>
          <w:sz w:val="28"/>
        </w:rPr>
        <w:t xml:space="preserve"> </w:t>
      </w:r>
      <w:r>
        <w:rPr>
          <w:color w:val="0075BF"/>
          <w:spacing w:val="-4"/>
          <w:sz w:val="28"/>
        </w:rPr>
        <w:t>guía</w:t>
      </w:r>
    </w:p>
    <w:p w14:paraId="417DA178" w14:textId="77777777" w:rsidR="0014798C" w:rsidRDefault="004E1F0B">
      <w:pPr>
        <w:pStyle w:val="Textoindependiente"/>
        <w:spacing w:before="175" w:line="326" w:lineRule="auto"/>
        <w:ind w:left="1107" w:right="1272" w:hanging="1"/>
      </w:pPr>
      <w:r>
        <w:rPr>
          <w:w w:val="105"/>
        </w:rPr>
        <w:t>En</w:t>
      </w:r>
      <w:r>
        <w:rPr>
          <w:spacing w:val="-6"/>
          <w:w w:val="105"/>
        </w:rPr>
        <w:t xml:space="preserve"> </w:t>
      </w:r>
      <w:r>
        <w:rPr>
          <w:w w:val="105"/>
        </w:rPr>
        <w:t>la</w:t>
      </w:r>
      <w:r>
        <w:rPr>
          <w:spacing w:val="-6"/>
          <w:w w:val="105"/>
        </w:rPr>
        <w:t xml:space="preserve"> </w:t>
      </w:r>
      <w:r>
        <w:rPr>
          <w:w w:val="105"/>
        </w:rPr>
        <w:t>mayor</w:t>
      </w:r>
      <w:r>
        <w:rPr>
          <w:spacing w:val="-6"/>
          <w:w w:val="105"/>
        </w:rPr>
        <w:t xml:space="preserve"> </w:t>
      </w:r>
      <w:r>
        <w:rPr>
          <w:w w:val="105"/>
        </w:rPr>
        <w:t>medida</w:t>
      </w:r>
      <w:r>
        <w:rPr>
          <w:spacing w:val="-6"/>
          <w:w w:val="105"/>
        </w:rPr>
        <w:t xml:space="preserve"> </w:t>
      </w:r>
      <w:r>
        <w:rPr>
          <w:w w:val="105"/>
        </w:rPr>
        <w:t>posible,</w:t>
      </w:r>
      <w:r>
        <w:rPr>
          <w:spacing w:val="-5"/>
          <w:w w:val="105"/>
        </w:rPr>
        <w:t xml:space="preserve"> </w:t>
      </w:r>
      <w:r>
        <w:rPr>
          <w:w w:val="105"/>
        </w:rPr>
        <w:t>la</w:t>
      </w:r>
      <w:r>
        <w:rPr>
          <w:spacing w:val="-6"/>
          <w:w w:val="105"/>
        </w:rPr>
        <w:t xml:space="preserve"> </w:t>
      </w:r>
      <w:r>
        <w:rPr>
          <w:w w:val="105"/>
        </w:rPr>
        <w:t>guía</w:t>
      </w:r>
      <w:r>
        <w:rPr>
          <w:spacing w:val="-6"/>
          <w:w w:val="105"/>
        </w:rPr>
        <w:t xml:space="preserve"> </w:t>
      </w:r>
      <w:r>
        <w:rPr>
          <w:w w:val="105"/>
        </w:rPr>
        <w:t>está</w:t>
      </w:r>
      <w:r>
        <w:rPr>
          <w:spacing w:val="-6"/>
          <w:w w:val="105"/>
        </w:rPr>
        <w:t xml:space="preserve"> </w:t>
      </w:r>
      <w:r>
        <w:rPr>
          <w:w w:val="105"/>
        </w:rPr>
        <w:t>diseñada</w:t>
      </w:r>
      <w:r>
        <w:rPr>
          <w:spacing w:val="-6"/>
          <w:w w:val="105"/>
        </w:rPr>
        <w:t xml:space="preserve"> </w:t>
      </w:r>
      <w:r>
        <w:rPr>
          <w:w w:val="105"/>
        </w:rPr>
        <w:t>como</w:t>
      </w:r>
      <w:r>
        <w:rPr>
          <w:spacing w:val="-6"/>
          <w:w w:val="105"/>
        </w:rPr>
        <w:t xml:space="preserve"> </w:t>
      </w:r>
      <w:r>
        <w:rPr>
          <w:w w:val="105"/>
        </w:rPr>
        <w:t>un</w:t>
      </w:r>
      <w:r>
        <w:rPr>
          <w:spacing w:val="-6"/>
          <w:w w:val="105"/>
        </w:rPr>
        <w:t xml:space="preserve"> </w:t>
      </w:r>
      <w:r>
        <w:rPr>
          <w:w w:val="105"/>
        </w:rPr>
        <w:t>recorrido</w:t>
      </w:r>
      <w:r>
        <w:rPr>
          <w:spacing w:val="-6"/>
          <w:w w:val="105"/>
        </w:rPr>
        <w:t xml:space="preserve"> </w:t>
      </w:r>
      <w:r>
        <w:rPr>
          <w:w w:val="105"/>
        </w:rPr>
        <w:t>lineal</w:t>
      </w:r>
      <w:r>
        <w:rPr>
          <w:spacing w:val="-6"/>
          <w:w w:val="105"/>
        </w:rPr>
        <w:t xml:space="preserve"> </w:t>
      </w:r>
      <w:r>
        <w:rPr>
          <w:w w:val="105"/>
        </w:rPr>
        <w:t>y</w:t>
      </w:r>
      <w:r>
        <w:rPr>
          <w:spacing w:val="-6"/>
          <w:w w:val="105"/>
        </w:rPr>
        <w:t xml:space="preserve"> </w:t>
      </w:r>
      <w:r>
        <w:rPr>
          <w:w w:val="105"/>
        </w:rPr>
        <w:t>explicativo.</w:t>
      </w:r>
      <w:r>
        <w:rPr>
          <w:spacing w:val="-5"/>
          <w:w w:val="105"/>
        </w:rPr>
        <w:t xml:space="preserve"> </w:t>
      </w:r>
      <w:r>
        <w:rPr>
          <w:w w:val="105"/>
        </w:rPr>
        <w:t>El</w:t>
      </w:r>
      <w:r>
        <w:rPr>
          <w:spacing w:val="-6"/>
          <w:w w:val="105"/>
        </w:rPr>
        <w:t xml:space="preserve"> </w:t>
      </w:r>
      <w:r>
        <w:rPr>
          <w:w w:val="105"/>
        </w:rPr>
        <w:t>resumen</w:t>
      </w:r>
      <w:r>
        <w:rPr>
          <w:spacing w:val="-6"/>
          <w:w w:val="105"/>
        </w:rPr>
        <w:t xml:space="preserve"> </w:t>
      </w:r>
      <w:r>
        <w:rPr>
          <w:w w:val="105"/>
        </w:rPr>
        <w:t>ejecutivo</w:t>
      </w:r>
      <w:r>
        <w:rPr>
          <w:spacing w:val="-6"/>
          <w:w w:val="105"/>
        </w:rPr>
        <w:t xml:space="preserve"> </w:t>
      </w:r>
      <w:r>
        <w:rPr>
          <w:w w:val="105"/>
        </w:rPr>
        <w:t>de</w:t>
      </w:r>
      <w:r>
        <w:rPr>
          <w:spacing w:val="-6"/>
          <w:w w:val="105"/>
        </w:rPr>
        <w:t xml:space="preserve"> </w:t>
      </w:r>
      <w:r>
        <w:rPr>
          <w:w w:val="105"/>
        </w:rPr>
        <w:t>la</w:t>
      </w:r>
      <w:r>
        <w:rPr>
          <w:spacing w:val="-6"/>
          <w:w w:val="105"/>
        </w:rPr>
        <w:t xml:space="preserve"> </w:t>
      </w:r>
      <w:r>
        <w:rPr>
          <w:w w:val="105"/>
        </w:rPr>
        <w:t>guía</w:t>
      </w:r>
      <w:r>
        <w:rPr>
          <w:spacing w:val="-6"/>
          <w:w w:val="105"/>
        </w:rPr>
        <w:t xml:space="preserve"> </w:t>
      </w:r>
      <w:r>
        <w:rPr>
          <w:w w:val="105"/>
        </w:rPr>
        <w:t>está diseñado</w:t>
      </w:r>
      <w:r>
        <w:rPr>
          <w:spacing w:val="-7"/>
          <w:w w:val="105"/>
        </w:rPr>
        <w:t xml:space="preserve"> </w:t>
      </w:r>
      <w:r>
        <w:rPr>
          <w:w w:val="105"/>
        </w:rPr>
        <w:t>para</w:t>
      </w:r>
      <w:r>
        <w:rPr>
          <w:spacing w:val="-7"/>
          <w:w w:val="105"/>
        </w:rPr>
        <w:t xml:space="preserve"> </w:t>
      </w:r>
      <w:r>
        <w:rPr>
          <w:w w:val="105"/>
        </w:rPr>
        <w:t>funcionar</w:t>
      </w:r>
      <w:r>
        <w:rPr>
          <w:spacing w:val="-7"/>
          <w:w w:val="105"/>
        </w:rPr>
        <w:t xml:space="preserve"> </w:t>
      </w:r>
      <w:r>
        <w:rPr>
          <w:w w:val="105"/>
        </w:rPr>
        <w:t>como</w:t>
      </w:r>
      <w:r>
        <w:rPr>
          <w:spacing w:val="-7"/>
          <w:w w:val="105"/>
        </w:rPr>
        <w:t xml:space="preserve"> </w:t>
      </w:r>
      <w:r>
        <w:rPr>
          <w:w w:val="105"/>
        </w:rPr>
        <w:t>un</w:t>
      </w:r>
      <w:r>
        <w:rPr>
          <w:spacing w:val="-7"/>
          <w:w w:val="105"/>
        </w:rPr>
        <w:t xml:space="preserve"> </w:t>
      </w:r>
      <w:r>
        <w:rPr>
          <w:w w:val="105"/>
        </w:rPr>
        <w:t>resumen</w:t>
      </w:r>
      <w:r>
        <w:rPr>
          <w:spacing w:val="-7"/>
          <w:w w:val="105"/>
        </w:rPr>
        <w:t xml:space="preserve"> </w:t>
      </w:r>
      <w:r>
        <w:rPr>
          <w:w w:val="105"/>
        </w:rPr>
        <w:t>del</w:t>
      </w:r>
      <w:r>
        <w:rPr>
          <w:spacing w:val="-7"/>
          <w:w w:val="105"/>
        </w:rPr>
        <w:t xml:space="preserve"> </w:t>
      </w:r>
      <w:r>
        <w:rPr>
          <w:w w:val="105"/>
        </w:rPr>
        <w:t>material</w:t>
      </w:r>
      <w:r>
        <w:rPr>
          <w:spacing w:val="-7"/>
          <w:w w:val="105"/>
        </w:rPr>
        <w:t xml:space="preserve"> </w:t>
      </w:r>
      <w:r>
        <w:rPr>
          <w:w w:val="105"/>
        </w:rPr>
        <w:t>contenido</w:t>
      </w:r>
      <w:r>
        <w:rPr>
          <w:spacing w:val="-7"/>
          <w:w w:val="105"/>
        </w:rPr>
        <w:t xml:space="preserve"> </w:t>
      </w:r>
      <w:r>
        <w:rPr>
          <w:w w:val="105"/>
        </w:rPr>
        <w:t>en</w:t>
      </w:r>
      <w:r>
        <w:rPr>
          <w:spacing w:val="-7"/>
          <w:w w:val="105"/>
        </w:rPr>
        <w:t xml:space="preserve"> </w:t>
      </w:r>
      <w:r>
        <w:rPr>
          <w:w w:val="105"/>
        </w:rPr>
        <w:t>el</w:t>
      </w:r>
      <w:r>
        <w:rPr>
          <w:spacing w:val="-7"/>
          <w:w w:val="105"/>
        </w:rPr>
        <w:t xml:space="preserve"> </w:t>
      </w:r>
      <w:r>
        <w:rPr>
          <w:w w:val="105"/>
        </w:rPr>
        <w:t>cuerpo</w:t>
      </w:r>
      <w:r>
        <w:rPr>
          <w:spacing w:val="-7"/>
          <w:w w:val="105"/>
        </w:rPr>
        <w:t xml:space="preserve"> </w:t>
      </w:r>
      <w:r>
        <w:rPr>
          <w:w w:val="105"/>
        </w:rPr>
        <w:t>de</w:t>
      </w:r>
      <w:r>
        <w:rPr>
          <w:spacing w:val="-7"/>
          <w:w w:val="105"/>
        </w:rPr>
        <w:t xml:space="preserve"> </w:t>
      </w:r>
      <w:r>
        <w:rPr>
          <w:w w:val="105"/>
        </w:rPr>
        <w:t>la</w:t>
      </w:r>
      <w:r>
        <w:rPr>
          <w:spacing w:val="-7"/>
          <w:w w:val="105"/>
        </w:rPr>
        <w:t xml:space="preserve"> </w:t>
      </w:r>
      <w:r>
        <w:rPr>
          <w:w w:val="105"/>
        </w:rPr>
        <w:t>publicación</w:t>
      </w:r>
      <w:r>
        <w:rPr>
          <w:spacing w:val="-7"/>
          <w:w w:val="105"/>
        </w:rPr>
        <w:t xml:space="preserve"> </w:t>
      </w:r>
      <w:r>
        <w:rPr>
          <w:w w:val="105"/>
        </w:rPr>
        <w:t>y</w:t>
      </w:r>
      <w:r>
        <w:rPr>
          <w:spacing w:val="-7"/>
          <w:w w:val="105"/>
        </w:rPr>
        <w:t xml:space="preserve"> </w:t>
      </w:r>
      <w:r>
        <w:rPr>
          <w:w w:val="105"/>
        </w:rPr>
        <w:t>como</w:t>
      </w:r>
      <w:r>
        <w:rPr>
          <w:spacing w:val="-7"/>
          <w:w w:val="105"/>
        </w:rPr>
        <w:t xml:space="preserve"> </w:t>
      </w:r>
      <w:r>
        <w:rPr>
          <w:w w:val="105"/>
        </w:rPr>
        <w:t>una</w:t>
      </w:r>
      <w:r>
        <w:rPr>
          <w:spacing w:val="-7"/>
          <w:w w:val="105"/>
        </w:rPr>
        <w:t xml:space="preserve"> </w:t>
      </w:r>
      <w:r>
        <w:rPr>
          <w:w w:val="105"/>
        </w:rPr>
        <w:t>reiteración</w:t>
      </w:r>
      <w:r>
        <w:rPr>
          <w:spacing w:val="-7"/>
          <w:w w:val="105"/>
        </w:rPr>
        <w:t xml:space="preserve"> </w:t>
      </w:r>
      <w:r>
        <w:rPr>
          <w:w w:val="105"/>
        </w:rPr>
        <w:t>de</w:t>
      </w:r>
      <w:r>
        <w:rPr>
          <w:spacing w:val="-7"/>
          <w:w w:val="105"/>
        </w:rPr>
        <w:t xml:space="preserve"> </w:t>
      </w:r>
      <w:r>
        <w:rPr>
          <w:w w:val="105"/>
        </w:rPr>
        <w:t>las obligaciones</w:t>
      </w:r>
      <w:r>
        <w:rPr>
          <w:spacing w:val="-1"/>
          <w:w w:val="105"/>
        </w:rPr>
        <w:t xml:space="preserve"> </w:t>
      </w:r>
      <w:r>
        <w:rPr>
          <w:w w:val="105"/>
        </w:rPr>
        <w:t>fundamentales</w:t>
      </w:r>
      <w:r>
        <w:rPr>
          <w:spacing w:val="-1"/>
          <w:w w:val="105"/>
        </w:rPr>
        <w:t xml:space="preserve"> </w:t>
      </w:r>
      <w:r>
        <w:rPr>
          <w:w w:val="105"/>
        </w:rPr>
        <w:t>de</w:t>
      </w:r>
      <w:r>
        <w:rPr>
          <w:spacing w:val="-1"/>
          <w:w w:val="105"/>
        </w:rPr>
        <w:t xml:space="preserve"> </w:t>
      </w:r>
      <w:r>
        <w:rPr>
          <w:w w:val="105"/>
        </w:rPr>
        <w:t>derecho</w:t>
      </w:r>
      <w:r>
        <w:rPr>
          <w:spacing w:val="-1"/>
          <w:w w:val="105"/>
        </w:rPr>
        <w:t xml:space="preserve"> </w:t>
      </w:r>
      <w:r>
        <w:rPr>
          <w:w w:val="105"/>
        </w:rPr>
        <w:t>internacional</w:t>
      </w:r>
      <w:r>
        <w:rPr>
          <w:spacing w:val="-1"/>
          <w:w w:val="105"/>
        </w:rPr>
        <w:t xml:space="preserve"> </w:t>
      </w:r>
      <w:r>
        <w:rPr>
          <w:w w:val="105"/>
        </w:rPr>
        <w:t>de</w:t>
      </w:r>
      <w:r>
        <w:rPr>
          <w:spacing w:val="-1"/>
          <w:w w:val="105"/>
        </w:rPr>
        <w:t xml:space="preserve"> </w:t>
      </w:r>
      <w:r>
        <w:rPr>
          <w:w w:val="105"/>
        </w:rPr>
        <w:t>los</w:t>
      </w:r>
      <w:r>
        <w:rPr>
          <w:spacing w:val="-1"/>
          <w:w w:val="105"/>
        </w:rPr>
        <w:t xml:space="preserve"> </w:t>
      </w:r>
      <w:r>
        <w:rPr>
          <w:w w:val="105"/>
        </w:rPr>
        <w:t>Estados</w:t>
      </w:r>
      <w:r>
        <w:rPr>
          <w:spacing w:val="-1"/>
          <w:w w:val="105"/>
        </w:rPr>
        <w:t xml:space="preserve"> </w:t>
      </w:r>
      <w:r>
        <w:rPr>
          <w:w w:val="105"/>
        </w:rPr>
        <w:t>con</w:t>
      </w:r>
      <w:r>
        <w:rPr>
          <w:spacing w:val="-1"/>
          <w:w w:val="105"/>
        </w:rPr>
        <w:t xml:space="preserve"> </w:t>
      </w:r>
      <w:r>
        <w:rPr>
          <w:w w:val="105"/>
        </w:rPr>
        <w:t>respecto</w:t>
      </w:r>
      <w:r>
        <w:rPr>
          <w:spacing w:val="-1"/>
          <w:w w:val="105"/>
        </w:rPr>
        <w:t xml:space="preserve"> </w:t>
      </w:r>
      <w:r>
        <w:rPr>
          <w:w w:val="105"/>
        </w:rPr>
        <w:t>a</w:t>
      </w:r>
      <w:r>
        <w:rPr>
          <w:spacing w:val="-1"/>
          <w:w w:val="105"/>
        </w:rPr>
        <w:t xml:space="preserve"> </w:t>
      </w:r>
      <w:r>
        <w:rPr>
          <w:w w:val="105"/>
        </w:rPr>
        <w:t>la</w:t>
      </w:r>
      <w:r>
        <w:rPr>
          <w:spacing w:val="-1"/>
          <w:w w:val="105"/>
        </w:rPr>
        <w:t xml:space="preserve"> </w:t>
      </w:r>
      <w:r>
        <w:rPr>
          <w:w w:val="105"/>
        </w:rPr>
        <w:t>promulgación</w:t>
      </w:r>
      <w:r>
        <w:rPr>
          <w:spacing w:val="-1"/>
          <w:w w:val="105"/>
        </w:rPr>
        <w:t xml:space="preserve"> </w:t>
      </w:r>
      <w:r>
        <w:rPr>
          <w:w w:val="105"/>
        </w:rPr>
        <w:t>de</w:t>
      </w:r>
      <w:r>
        <w:rPr>
          <w:spacing w:val="-1"/>
          <w:w w:val="105"/>
        </w:rPr>
        <w:t xml:space="preserve"> </w:t>
      </w:r>
      <w:r>
        <w:rPr>
          <w:w w:val="105"/>
        </w:rPr>
        <w:t>leyes</w:t>
      </w:r>
      <w:r>
        <w:rPr>
          <w:spacing w:val="-1"/>
          <w:w w:val="105"/>
        </w:rPr>
        <w:t xml:space="preserve"> </w:t>
      </w:r>
      <w:r>
        <w:rPr>
          <w:w w:val="105"/>
        </w:rPr>
        <w:t>contra</w:t>
      </w:r>
      <w:r>
        <w:rPr>
          <w:spacing w:val="-1"/>
          <w:w w:val="105"/>
        </w:rPr>
        <w:t xml:space="preserve"> </w:t>
      </w:r>
      <w:r>
        <w:rPr>
          <w:w w:val="105"/>
        </w:rPr>
        <w:t>la discriminación.</w:t>
      </w:r>
      <w:r>
        <w:rPr>
          <w:spacing w:val="-7"/>
          <w:w w:val="105"/>
        </w:rPr>
        <w:t xml:space="preserve"> </w:t>
      </w:r>
      <w:r>
        <w:rPr>
          <w:w w:val="105"/>
        </w:rPr>
        <w:t>Los</w:t>
      </w:r>
      <w:r>
        <w:rPr>
          <w:spacing w:val="-8"/>
          <w:w w:val="105"/>
        </w:rPr>
        <w:t xml:space="preserve"> </w:t>
      </w:r>
      <w:r>
        <w:rPr>
          <w:w w:val="105"/>
        </w:rPr>
        <w:t>principios</w:t>
      </w:r>
      <w:r>
        <w:rPr>
          <w:spacing w:val="-8"/>
          <w:w w:val="105"/>
        </w:rPr>
        <w:t xml:space="preserve"> </w:t>
      </w:r>
      <w:r>
        <w:rPr>
          <w:w w:val="105"/>
        </w:rPr>
        <w:t>establecidos</w:t>
      </w:r>
      <w:r>
        <w:rPr>
          <w:spacing w:val="-8"/>
          <w:w w:val="105"/>
        </w:rPr>
        <w:t xml:space="preserve"> </w:t>
      </w:r>
      <w:r>
        <w:rPr>
          <w:w w:val="105"/>
        </w:rPr>
        <w:t>en</w:t>
      </w:r>
      <w:r>
        <w:rPr>
          <w:spacing w:val="-8"/>
          <w:w w:val="105"/>
        </w:rPr>
        <w:t xml:space="preserve"> </w:t>
      </w:r>
      <w:r>
        <w:rPr>
          <w:w w:val="105"/>
        </w:rPr>
        <w:t>el</w:t>
      </w:r>
      <w:r>
        <w:rPr>
          <w:spacing w:val="-8"/>
          <w:w w:val="105"/>
        </w:rPr>
        <w:t xml:space="preserve"> </w:t>
      </w:r>
      <w:r>
        <w:rPr>
          <w:w w:val="105"/>
        </w:rPr>
        <w:t>resumen</w:t>
      </w:r>
      <w:r>
        <w:rPr>
          <w:spacing w:val="-8"/>
          <w:w w:val="105"/>
        </w:rPr>
        <w:t xml:space="preserve"> </w:t>
      </w:r>
      <w:r>
        <w:rPr>
          <w:w w:val="105"/>
        </w:rPr>
        <w:t>ejecutivo</w:t>
      </w:r>
      <w:r>
        <w:rPr>
          <w:spacing w:val="-8"/>
          <w:w w:val="105"/>
        </w:rPr>
        <w:t xml:space="preserve"> </w:t>
      </w:r>
      <w:r>
        <w:rPr>
          <w:w w:val="105"/>
        </w:rPr>
        <w:t>son</w:t>
      </w:r>
      <w:r>
        <w:rPr>
          <w:spacing w:val="-8"/>
          <w:w w:val="105"/>
        </w:rPr>
        <w:t xml:space="preserve"> </w:t>
      </w:r>
      <w:r>
        <w:rPr>
          <w:w w:val="105"/>
        </w:rPr>
        <w:t>una</w:t>
      </w:r>
      <w:r>
        <w:rPr>
          <w:spacing w:val="-8"/>
          <w:w w:val="105"/>
        </w:rPr>
        <w:t xml:space="preserve"> </w:t>
      </w:r>
      <w:r>
        <w:rPr>
          <w:w w:val="105"/>
        </w:rPr>
        <w:t>síntesis</w:t>
      </w:r>
      <w:r>
        <w:rPr>
          <w:spacing w:val="-8"/>
          <w:w w:val="105"/>
        </w:rPr>
        <w:t xml:space="preserve"> </w:t>
      </w:r>
      <w:r>
        <w:rPr>
          <w:w w:val="105"/>
        </w:rPr>
        <w:t>de</w:t>
      </w:r>
      <w:r>
        <w:rPr>
          <w:spacing w:val="-8"/>
          <w:w w:val="105"/>
        </w:rPr>
        <w:t xml:space="preserve"> </w:t>
      </w:r>
      <w:r>
        <w:rPr>
          <w:w w:val="105"/>
        </w:rPr>
        <w:t>los</w:t>
      </w:r>
      <w:r>
        <w:rPr>
          <w:spacing w:val="-8"/>
          <w:w w:val="105"/>
        </w:rPr>
        <w:t xml:space="preserve"> </w:t>
      </w:r>
      <w:r>
        <w:rPr>
          <w:w w:val="105"/>
        </w:rPr>
        <w:t>estándares</w:t>
      </w:r>
      <w:r>
        <w:rPr>
          <w:spacing w:val="-8"/>
          <w:w w:val="105"/>
        </w:rPr>
        <w:t xml:space="preserve"> </w:t>
      </w:r>
      <w:r>
        <w:rPr>
          <w:w w:val="105"/>
        </w:rPr>
        <w:t>legales</w:t>
      </w:r>
      <w:r>
        <w:rPr>
          <w:spacing w:val="-8"/>
          <w:w w:val="105"/>
        </w:rPr>
        <w:t xml:space="preserve"> </w:t>
      </w:r>
      <w:r>
        <w:rPr>
          <w:w w:val="105"/>
        </w:rPr>
        <w:t>internacionales discutidos</w:t>
      </w:r>
      <w:r>
        <w:rPr>
          <w:spacing w:val="-1"/>
          <w:w w:val="105"/>
        </w:rPr>
        <w:t xml:space="preserve"> </w:t>
      </w:r>
      <w:r>
        <w:rPr>
          <w:w w:val="105"/>
        </w:rPr>
        <w:t>detalladamente</w:t>
      </w:r>
      <w:r>
        <w:rPr>
          <w:spacing w:val="-1"/>
          <w:w w:val="105"/>
        </w:rPr>
        <w:t xml:space="preserve"> </w:t>
      </w:r>
      <w:r>
        <w:rPr>
          <w:w w:val="105"/>
        </w:rPr>
        <w:t>en</w:t>
      </w:r>
      <w:r>
        <w:rPr>
          <w:spacing w:val="-1"/>
          <w:w w:val="105"/>
        </w:rPr>
        <w:t xml:space="preserve"> </w:t>
      </w:r>
      <w:r>
        <w:rPr>
          <w:w w:val="105"/>
        </w:rPr>
        <w:t>el</w:t>
      </w:r>
      <w:r>
        <w:rPr>
          <w:spacing w:val="-1"/>
          <w:w w:val="105"/>
        </w:rPr>
        <w:t xml:space="preserve"> </w:t>
      </w:r>
      <w:r>
        <w:rPr>
          <w:w w:val="105"/>
        </w:rPr>
        <w:t>resto</w:t>
      </w:r>
      <w:r>
        <w:rPr>
          <w:spacing w:val="-1"/>
          <w:w w:val="105"/>
        </w:rPr>
        <w:t xml:space="preserve"> </w:t>
      </w:r>
      <w:r>
        <w:rPr>
          <w:w w:val="105"/>
        </w:rPr>
        <w:t>de</w:t>
      </w:r>
      <w:r>
        <w:rPr>
          <w:spacing w:val="-1"/>
          <w:w w:val="105"/>
        </w:rPr>
        <w:t xml:space="preserve"> </w:t>
      </w:r>
      <w:r>
        <w:rPr>
          <w:w w:val="105"/>
        </w:rPr>
        <w:t>la</w:t>
      </w:r>
      <w:r>
        <w:rPr>
          <w:spacing w:val="-1"/>
          <w:w w:val="105"/>
        </w:rPr>
        <w:t xml:space="preserve"> </w:t>
      </w:r>
      <w:r>
        <w:rPr>
          <w:w w:val="105"/>
        </w:rPr>
        <w:t>guía</w:t>
      </w:r>
      <w:r>
        <w:rPr>
          <w:spacing w:val="-1"/>
          <w:w w:val="105"/>
        </w:rPr>
        <w:t xml:space="preserve"> </w:t>
      </w:r>
      <w:r>
        <w:rPr>
          <w:w w:val="105"/>
        </w:rPr>
        <w:t>y</w:t>
      </w:r>
      <w:r>
        <w:rPr>
          <w:spacing w:val="-1"/>
          <w:w w:val="105"/>
        </w:rPr>
        <w:t xml:space="preserve"> </w:t>
      </w:r>
      <w:r>
        <w:rPr>
          <w:w w:val="105"/>
        </w:rPr>
        <w:t>han</w:t>
      </w:r>
      <w:r>
        <w:rPr>
          <w:spacing w:val="-1"/>
          <w:w w:val="105"/>
        </w:rPr>
        <w:t xml:space="preserve"> </w:t>
      </w:r>
      <w:r>
        <w:rPr>
          <w:w w:val="105"/>
        </w:rPr>
        <w:t>sido</w:t>
      </w:r>
      <w:r>
        <w:rPr>
          <w:spacing w:val="-1"/>
          <w:w w:val="105"/>
        </w:rPr>
        <w:t xml:space="preserve"> </w:t>
      </w:r>
      <w:r>
        <w:rPr>
          <w:w w:val="105"/>
        </w:rPr>
        <w:t>diseñados</w:t>
      </w:r>
      <w:r>
        <w:rPr>
          <w:spacing w:val="-1"/>
          <w:w w:val="105"/>
        </w:rPr>
        <w:t xml:space="preserve"> </w:t>
      </w:r>
      <w:r>
        <w:rPr>
          <w:w w:val="105"/>
        </w:rPr>
        <w:t>para</w:t>
      </w:r>
      <w:r>
        <w:rPr>
          <w:spacing w:val="-1"/>
          <w:w w:val="105"/>
        </w:rPr>
        <w:t xml:space="preserve"> </w:t>
      </w:r>
      <w:r>
        <w:rPr>
          <w:w w:val="105"/>
        </w:rPr>
        <w:t>actuar</w:t>
      </w:r>
      <w:r>
        <w:rPr>
          <w:spacing w:val="-1"/>
          <w:w w:val="105"/>
        </w:rPr>
        <w:t xml:space="preserve"> </w:t>
      </w:r>
      <w:r>
        <w:rPr>
          <w:w w:val="105"/>
        </w:rPr>
        <w:t>como</w:t>
      </w:r>
      <w:r>
        <w:rPr>
          <w:spacing w:val="-1"/>
          <w:w w:val="105"/>
        </w:rPr>
        <w:t xml:space="preserve"> </w:t>
      </w:r>
      <w:r>
        <w:rPr>
          <w:w w:val="105"/>
        </w:rPr>
        <w:t>un</w:t>
      </w:r>
      <w:r>
        <w:rPr>
          <w:spacing w:val="-1"/>
          <w:w w:val="105"/>
        </w:rPr>
        <w:t xml:space="preserve"> </w:t>
      </w:r>
      <w:r>
        <w:rPr>
          <w:w w:val="105"/>
        </w:rPr>
        <w:t>conjunto</w:t>
      </w:r>
      <w:r>
        <w:rPr>
          <w:spacing w:val="-1"/>
          <w:w w:val="105"/>
        </w:rPr>
        <w:t xml:space="preserve"> </w:t>
      </w:r>
      <w:r>
        <w:rPr>
          <w:w w:val="105"/>
        </w:rPr>
        <w:t>independiente</w:t>
      </w:r>
      <w:r>
        <w:rPr>
          <w:spacing w:val="-1"/>
          <w:w w:val="105"/>
        </w:rPr>
        <w:t xml:space="preserve"> </w:t>
      </w:r>
      <w:r>
        <w:rPr>
          <w:w w:val="105"/>
        </w:rPr>
        <w:t>de principios básicos para el desarrollo de leyes integrales contra la discriminación.</w:t>
      </w:r>
    </w:p>
    <w:p w14:paraId="0BA8549C" w14:textId="77777777" w:rsidR="0014798C" w:rsidRDefault="0014798C">
      <w:pPr>
        <w:pStyle w:val="Textoindependiente"/>
      </w:pPr>
    </w:p>
    <w:p w14:paraId="53C29A3F" w14:textId="77777777" w:rsidR="0014798C" w:rsidRDefault="0014798C">
      <w:pPr>
        <w:pStyle w:val="Textoindependiente"/>
      </w:pPr>
    </w:p>
    <w:p w14:paraId="6BA437DA" w14:textId="77777777" w:rsidR="0014798C" w:rsidRDefault="0014798C">
      <w:pPr>
        <w:pStyle w:val="Textoindependiente"/>
      </w:pPr>
    </w:p>
    <w:p w14:paraId="15FFA5A7" w14:textId="77777777" w:rsidR="0014798C" w:rsidRDefault="0014798C">
      <w:pPr>
        <w:pStyle w:val="Textoindependiente"/>
      </w:pPr>
    </w:p>
    <w:p w14:paraId="0B82AA19" w14:textId="77777777" w:rsidR="0014798C" w:rsidRDefault="0014798C">
      <w:pPr>
        <w:pStyle w:val="Textoindependiente"/>
        <w:spacing w:before="85"/>
      </w:pPr>
    </w:p>
    <w:p w14:paraId="2EC43DED" w14:textId="77777777" w:rsidR="0014798C" w:rsidRDefault="004E1F0B">
      <w:pPr>
        <w:pStyle w:val="Textoindependiente"/>
        <w:ind w:right="719"/>
        <w:jc w:val="right"/>
      </w:pPr>
      <w:proofErr w:type="spellStart"/>
      <w:r>
        <w:rPr>
          <w:spacing w:val="-4"/>
        </w:rPr>
        <w:t>xxxx</w:t>
      </w:r>
      <w:proofErr w:type="spellEnd"/>
    </w:p>
    <w:p w14:paraId="39887375" w14:textId="77777777" w:rsidR="0014798C" w:rsidRDefault="0014798C">
      <w:pPr>
        <w:jc w:val="right"/>
        <w:sectPr w:rsidR="0014798C" w:rsidSect="00F265E4">
          <w:headerReference w:type="default" r:id="rId53"/>
          <w:pgSz w:w="11900" w:h="16820"/>
          <w:pgMar w:top="40" w:right="0" w:bottom="280" w:left="200" w:header="0" w:footer="0" w:gutter="0"/>
          <w:cols w:space="720"/>
        </w:sectPr>
      </w:pPr>
    </w:p>
    <w:p w14:paraId="42C2187C" w14:textId="77777777" w:rsidR="0014798C" w:rsidRDefault="0014798C">
      <w:pPr>
        <w:pStyle w:val="Textoindependiente"/>
        <w:spacing w:before="85"/>
        <w:rPr>
          <w:sz w:val="12"/>
        </w:rPr>
      </w:pPr>
    </w:p>
    <w:p w14:paraId="2B3223BE" w14:textId="77777777" w:rsidR="0014798C" w:rsidRDefault="004E1F0B">
      <w:pPr>
        <w:ind w:left="1111"/>
        <w:rPr>
          <w:sz w:val="12"/>
        </w:rPr>
      </w:pPr>
      <w:r>
        <w:rPr>
          <w:color w:val="0075BF"/>
          <w:sz w:val="12"/>
        </w:rPr>
        <w:t>PROTECCIÓN</w:t>
      </w:r>
      <w:r>
        <w:rPr>
          <w:color w:val="0075BF"/>
          <w:spacing w:val="6"/>
          <w:sz w:val="12"/>
        </w:rPr>
        <w:t xml:space="preserve"> </w:t>
      </w:r>
      <w:r>
        <w:rPr>
          <w:color w:val="0075BF"/>
          <w:sz w:val="12"/>
        </w:rPr>
        <w:t>DE</w:t>
      </w:r>
      <w:r>
        <w:rPr>
          <w:color w:val="0075BF"/>
          <w:spacing w:val="7"/>
          <w:sz w:val="12"/>
        </w:rPr>
        <w:t xml:space="preserve"> </w:t>
      </w:r>
      <w:r>
        <w:rPr>
          <w:color w:val="0075BF"/>
          <w:sz w:val="12"/>
        </w:rPr>
        <w:t>LOS</w:t>
      </w:r>
      <w:r>
        <w:rPr>
          <w:color w:val="0075BF"/>
          <w:spacing w:val="8"/>
          <w:sz w:val="12"/>
        </w:rPr>
        <w:t xml:space="preserve"> </w:t>
      </w:r>
      <w:r>
        <w:rPr>
          <w:color w:val="0075BF"/>
          <w:sz w:val="12"/>
        </w:rPr>
        <w:t>DERECHOS</w:t>
      </w:r>
      <w:r>
        <w:rPr>
          <w:color w:val="0075BF"/>
          <w:spacing w:val="8"/>
          <w:sz w:val="12"/>
        </w:rPr>
        <w:t xml:space="preserve"> </w:t>
      </w:r>
      <w:r>
        <w:rPr>
          <w:color w:val="0075BF"/>
          <w:sz w:val="12"/>
        </w:rPr>
        <w:t>DE</w:t>
      </w:r>
      <w:r>
        <w:rPr>
          <w:color w:val="0075BF"/>
          <w:spacing w:val="6"/>
          <w:sz w:val="12"/>
        </w:rPr>
        <w:t xml:space="preserve"> </w:t>
      </w:r>
      <w:r>
        <w:rPr>
          <w:color w:val="0075BF"/>
          <w:sz w:val="12"/>
        </w:rPr>
        <w:t>LAS</w:t>
      </w:r>
      <w:r>
        <w:rPr>
          <w:color w:val="0075BF"/>
          <w:spacing w:val="7"/>
          <w:sz w:val="12"/>
        </w:rPr>
        <w:t xml:space="preserve"> </w:t>
      </w:r>
      <w:r>
        <w:rPr>
          <w:color w:val="0075BF"/>
          <w:sz w:val="12"/>
        </w:rPr>
        <w:t>MINORÍAS:</w:t>
      </w:r>
      <w:r>
        <w:rPr>
          <w:color w:val="0075BF"/>
          <w:spacing w:val="8"/>
          <w:sz w:val="12"/>
        </w:rPr>
        <w:t xml:space="preserve"> </w:t>
      </w:r>
      <w:r>
        <w:rPr>
          <w:color w:val="0075BF"/>
          <w:sz w:val="12"/>
        </w:rPr>
        <w:t>una</w:t>
      </w:r>
      <w:r>
        <w:rPr>
          <w:color w:val="0075BF"/>
          <w:spacing w:val="7"/>
          <w:sz w:val="12"/>
        </w:rPr>
        <w:t xml:space="preserve"> </w:t>
      </w:r>
      <w:r>
        <w:rPr>
          <w:color w:val="0075BF"/>
          <w:sz w:val="12"/>
        </w:rPr>
        <w:t>guía</w:t>
      </w:r>
      <w:r>
        <w:rPr>
          <w:color w:val="0075BF"/>
          <w:spacing w:val="6"/>
          <w:sz w:val="12"/>
        </w:rPr>
        <w:t xml:space="preserve"> </w:t>
      </w:r>
      <w:r>
        <w:rPr>
          <w:color w:val="0075BF"/>
          <w:sz w:val="12"/>
        </w:rPr>
        <w:t>práctica</w:t>
      </w:r>
      <w:r>
        <w:rPr>
          <w:color w:val="0075BF"/>
          <w:spacing w:val="7"/>
          <w:sz w:val="12"/>
        </w:rPr>
        <w:t xml:space="preserve"> </w:t>
      </w:r>
      <w:r>
        <w:rPr>
          <w:color w:val="0075BF"/>
          <w:sz w:val="12"/>
        </w:rPr>
        <w:t>para</w:t>
      </w:r>
      <w:r>
        <w:rPr>
          <w:color w:val="0075BF"/>
          <w:spacing w:val="8"/>
          <w:sz w:val="12"/>
        </w:rPr>
        <w:t xml:space="preserve"> </w:t>
      </w:r>
      <w:r>
        <w:rPr>
          <w:color w:val="0075BF"/>
          <w:sz w:val="12"/>
        </w:rPr>
        <w:t>desarrollar</w:t>
      </w:r>
      <w:r>
        <w:rPr>
          <w:color w:val="0075BF"/>
          <w:spacing w:val="6"/>
          <w:sz w:val="12"/>
        </w:rPr>
        <w:t xml:space="preserve"> </w:t>
      </w:r>
      <w:r>
        <w:rPr>
          <w:color w:val="0075BF"/>
          <w:sz w:val="12"/>
        </w:rPr>
        <w:t>una</w:t>
      </w:r>
      <w:r>
        <w:rPr>
          <w:color w:val="0075BF"/>
          <w:spacing w:val="7"/>
          <w:sz w:val="12"/>
        </w:rPr>
        <w:t xml:space="preserve"> </w:t>
      </w:r>
      <w:r>
        <w:rPr>
          <w:color w:val="0075BF"/>
          <w:sz w:val="12"/>
        </w:rPr>
        <w:t>legislación</w:t>
      </w:r>
      <w:r>
        <w:rPr>
          <w:color w:val="0075BF"/>
          <w:spacing w:val="8"/>
          <w:sz w:val="12"/>
        </w:rPr>
        <w:t xml:space="preserve"> </w:t>
      </w:r>
      <w:r>
        <w:rPr>
          <w:color w:val="0075BF"/>
          <w:sz w:val="12"/>
        </w:rPr>
        <w:t>integral</w:t>
      </w:r>
      <w:r>
        <w:rPr>
          <w:color w:val="0075BF"/>
          <w:spacing w:val="7"/>
          <w:sz w:val="12"/>
        </w:rPr>
        <w:t xml:space="preserve"> </w:t>
      </w:r>
      <w:r>
        <w:rPr>
          <w:color w:val="0075BF"/>
          <w:sz w:val="12"/>
        </w:rPr>
        <w:t>contra</w:t>
      </w:r>
      <w:r>
        <w:rPr>
          <w:color w:val="0075BF"/>
          <w:spacing w:val="6"/>
          <w:sz w:val="12"/>
        </w:rPr>
        <w:t xml:space="preserve"> </w:t>
      </w:r>
      <w:r>
        <w:rPr>
          <w:color w:val="0075BF"/>
          <w:sz w:val="12"/>
        </w:rPr>
        <w:t>la</w:t>
      </w:r>
      <w:r>
        <w:rPr>
          <w:color w:val="0075BF"/>
          <w:spacing w:val="7"/>
          <w:sz w:val="12"/>
        </w:rPr>
        <w:t xml:space="preserve"> </w:t>
      </w:r>
      <w:r>
        <w:rPr>
          <w:color w:val="0075BF"/>
          <w:spacing w:val="-2"/>
          <w:sz w:val="12"/>
        </w:rPr>
        <w:t>discriminación</w:t>
      </w:r>
    </w:p>
    <w:p w14:paraId="3D91E992" w14:textId="77777777" w:rsidR="0014798C" w:rsidRDefault="0014798C">
      <w:pPr>
        <w:pStyle w:val="Textoindependiente"/>
        <w:rPr>
          <w:sz w:val="17"/>
        </w:rPr>
      </w:pPr>
    </w:p>
    <w:p w14:paraId="21BA4CB3" w14:textId="77777777" w:rsidR="0014798C" w:rsidRDefault="0014798C">
      <w:pPr>
        <w:pStyle w:val="Textoindependiente"/>
        <w:rPr>
          <w:sz w:val="17"/>
        </w:rPr>
      </w:pPr>
    </w:p>
    <w:p w14:paraId="031D2D86" w14:textId="77777777" w:rsidR="0014798C" w:rsidRDefault="0014798C">
      <w:pPr>
        <w:pStyle w:val="Textoindependiente"/>
        <w:rPr>
          <w:sz w:val="17"/>
        </w:rPr>
      </w:pPr>
    </w:p>
    <w:p w14:paraId="11680D87" w14:textId="77777777" w:rsidR="0014798C" w:rsidRDefault="0014798C">
      <w:pPr>
        <w:pStyle w:val="Textoindependiente"/>
        <w:spacing w:before="182"/>
        <w:rPr>
          <w:sz w:val="17"/>
        </w:rPr>
      </w:pPr>
    </w:p>
    <w:p w14:paraId="5FDBAF16" w14:textId="77777777" w:rsidR="0014798C" w:rsidRDefault="004E1F0B">
      <w:pPr>
        <w:spacing w:before="1" w:line="307" w:lineRule="auto"/>
        <w:ind w:left="1109" w:right="1463" w:hanging="2"/>
        <w:jc w:val="both"/>
        <w:rPr>
          <w:sz w:val="17"/>
        </w:rPr>
      </w:pPr>
      <w:r>
        <w:rPr>
          <w:sz w:val="17"/>
        </w:rPr>
        <w:t>En la primera parte de la guía, los redactores brindan una explicación detallada del marco normativo internacional que sustenta el requisito de adoptar una ley integral contra la discriminación. Además de establecer las obligaciones de los Estados en virtud del derecho internacional de promulgar, hacer cumplir e implementar leyes integrales contra la</w:t>
      </w:r>
    </w:p>
    <w:p w14:paraId="09D8D4EF" w14:textId="77777777" w:rsidR="0014798C" w:rsidRDefault="004E1F0B">
      <w:pPr>
        <w:spacing w:line="194" w:lineRule="exact"/>
        <w:ind w:left="1107"/>
        <w:jc w:val="both"/>
        <w:rPr>
          <w:sz w:val="17"/>
        </w:rPr>
      </w:pPr>
      <w:r>
        <w:rPr>
          <w:sz w:val="17"/>
        </w:rPr>
        <w:t>discriminación,</w:t>
      </w:r>
      <w:r>
        <w:rPr>
          <w:spacing w:val="7"/>
          <w:sz w:val="17"/>
        </w:rPr>
        <w:t xml:space="preserve"> </w:t>
      </w:r>
      <w:r>
        <w:rPr>
          <w:sz w:val="17"/>
        </w:rPr>
        <w:t>la</w:t>
      </w:r>
      <w:r>
        <w:rPr>
          <w:spacing w:val="5"/>
          <w:sz w:val="17"/>
        </w:rPr>
        <w:t xml:space="preserve"> </w:t>
      </w:r>
      <w:r>
        <w:rPr>
          <w:sz w:val="17"/>
        </w:rPr>
        <w:t>primera</w:t>
      </w:r>
      <w:r>
        <w:rPr>
          <w:spacing w:val="5"/>
          <w:sz w:val="17"/>
        </w:rPr>
        <w:t xml:space="preserve"> </w:t>
      </w:r>
      <w:r>
        <w:rPr>
          <w:sz w:val="17"/>
        </w:rPr>
        <w:t>parte</w:t>
      </w:r>
      <w:r>
        <w:rPr>
          <w:spacing w:val="5"/>
          <w:sz w:val="17"/>
        </w:rPr>
        <w:t xml:space="preserve"> </w:t>
      </w:r>
      <w:r>
        <w:rPr>
          <w:sz w:val="17"/>
        </w:rPr>
        <w:t>incluye</w:t>
      </w:r>
      <w:r>
        <w:rPr>
          <w:spacing w:val="5"/>
          <w:sz w:val="17"/>
        </w:rPr>
        <w:t xml:space="preserve"> </w:t>
      </w:r>
      <w:r>
        <w:rPr>
          <w:sz w:val="17"/>
        </w:rPr>
        <w:t>una</w:t>
      </w:r>
      <w:r>
        <w:rPr>
          <w:spacing w:val="5"/>
          <w:sz w:val="17"/>
        </w:rPr>
        <w:t xml:space="preserve"> </w:t>
      </w:r>
      <w:r>
        <w:rPr>
          <w:sz w:val="17"/>
        </w:rPr>
        <w:t>discusión</w:t>
      </w:r>
      <w:r>
        <w:rPr>
          <w:spacing w:val="5"/>
          <w:sz w:val="17"/>
        </w:rPr>
        <w:t xml:space="preserve"> </w:t>
      </w:r>
      <w:r>
        <w:rPr>
          <w:sz w:val="17"/>
        </w:rPr>
        <w:t>del</w:t>
      </w:r>
      <w:r>
        <w:rPr>
          <w:spacing w:val="5"/>
          <w:sz w:val="17"/>
        </w:rPr>
        <w:t xml:space="preserve"> </w:t>
      </w:r>
      <w:r>
        <w:rPr>
          <w:sz w:val="17"/>
        </w:rPr>
        <w:t>creciente</w:t>
      </w:r>
      <w:r>
        <w:rPr>
          <w:spacing w:val="5"/>
          <w:sz w:val="17"/>
        </w:rPr>
        <w:t xml:space="preserve"> </w:t>
      </w:r>
      <w:r>
        <w:rPr>
          <w:sz w:val="17"/>
        </w:rPr>
        <w:t>consenso</w:t>
      </w:r>
      <w:r>
        <w:rPr>
          <w:spacing w:val="5"/>
          <w:sz w:val="17"/>
        </w:rPr>
        <w:t xml:space="preserve"> </w:t>
      </w:r>
      <w:r>
        <w:rPr>
          <w:sz w:val="17"/>
        </w:rPr>
        <w:t>expresado</w:t>
      </w:r>
      <w:r>
        <w:rPr>
          <w:spacing w:val="5"/>
          <w:sz w:val="17"/>
        </w:rPr>
        <w:t xml:space="preserve"> </w:t>
      </w:r>
      <w:r>
        <w:rPr>
          <w:sz w:val="17"/>
        </w:rPr>
        <w:t>por</w:t>
      </w:r>
      <w:r>
        <w:rPr>
          <w:spacing w:val="5"/>
          <w:sz w:val="17"/>
        </w:rPr>
        <w:t xml:space="preserve"> </w:t>
      </w:r>
      <w:r>
        <w:rPr>
          <w:sz w:val="17"/>
        </w:rPr>
        <w:t>los</w:t>
      </w:r>
      <w:r>
        <w:rPr>
          <w:spacing w:val="5"/>
          <w:sz w:val="17"/>
        </w:rPr>
        <w:t xml:space="preserve"> </w:t>
      </w:r>
      <w:r>
        <w:rPr>
          <w:sz w:val="17"/>
        </w:rPr>
        <w:t>Estados</w:t>
      </w:r>
      <w:r>
        <w:rPr>
          <w:spacing w:val="5"/>
          <w:sz w:val="17"/>
        </w:rPr>
        <w:t xml:space="preserve"> </w:t>
      </w:r>
      <w:r>
        <w:rPr>
          <w:sz w:val="17"/>
        </w:rPr>
        <w:t>a</w:t>
      </w:r>
      <w:r>
        <w:rPr>
          <w:spacing w:val="5"/>
          <w:sz w:val="17"/>
        </w:rPr>
        <w:t xml:space="preserve"> </w:t>
      </w:r>
      <w:r>
        <w:rPr>
          <w:sz w:val="17"/>
        </w:rPr>
        <w:t>nivel</w:t>
      </w:r>
      <w:r>
        <w:rPr>
          <w:spacing w:val="5"/>
          <w:sz w:val="17"/>
        </w:rPr>
        <w:t xml:space="preserve"> </w:t>
      </w:r>
      <w:r>
        <w:rPr>
          <w:sz w:val="17"/>
        </w:rPr>
        <w:t>regional</w:t>
      </w:r>
      <w:r>
        <w:rPr>
          <w:spacing w:val="5"/>
          <w:sz w:val="17"/>
        </w:rPr>
        <w:t xml:space="preserve"> </w:t>
      </w:r>
      <w:r>
        <w:rPr>
          <w:sz w:val="17"/>
        </w:rPr>
        <w:t>y</w:t>
      </w:r>
      <w:r>
        <w:rPr>
          <w:spacing w:val="5"/>
          <w:sz w:val="17"/>
        </w:rPr>
        <w:t xml:space="preserve"> </w:t>
      </w:r>
      <w:r>
        <w:rPr>
          <w:spacing w:val="-2"/>
          <w:sz w:val="17"/>
        </w:rPr>
        <w:t>nacional.</w:t>
      </w:r>
    </w:p>
    <w:p w14:paraId="5E6D848D" w14:textId="77777777" w:rsidR="0014798C" w:rsidRDefault="0014798C">
      <w:pPr>
        <w:pStyle w:val="Textoindependiente"/>
        <w:spacing w:before="103"/>
        <w:rPr>
          <w:sz w:val="14"/>
        </w:rPr>
      </w:pPr>
    </w:p>
    <w:p w14:paraId="2A830A1D" w14:textId="77777777" w:rsidR="0014798C" w:rsidRDefault="004E1F0B">
      <w:pPr>
        <w:spacing w:before="1" w:line="372" w:lineRule="auto"/>
        <w:ind w:left="1107" w:right="1272" w:firstLine="1"/>
        <w:rPr>
          <w:sz w:val="14"/>
        </w:rPr>
      </w:pPr>
      <w:r>
        <w:rPr>
          <w:sz w:val="14"/>
        </w:rPr>
        <w:t>En</w:t>
      </w:r>
      <w:r>
        <w:rPr>
          <w:spacing w:val="14"/>
          <w:sz w:val="14"/>
        </w:rPr>
        <w:t xml:space="preserve"> </w:t>
      </w:r>
      <w:r>
        <w:rPr>
          <w:sz w:val="14"/>
        </w:rPr>
        <w:t>la</w:t>
      </w:r>
      <w:r>
        <w:rPr>
          <w:spacing w:val="14"/>
          <w:sz w:val="14"/>
        </w:rPr>
        <w:t xml:space="preserve"> </w:t>
      </w:r>
      <w:r>
        <w:rPr>
          <w:sz w:val="14"/>
        </w:rPr>
        <w:t>segunda</w:t>
      </w:r>
      <w:r>
        <w:rPr>
          <w:spacing w:val="14"/>
          <w:sz w:val="14"/>
        </w:rPr>
        <w:t xml:space="preserve"> </w:t>
      </w:r>
      <w:r>
        <w:rPr>
          <w:sz w:val="14"/>
        </w:rPr>
        <w:t>parte</w:t>
      </w:r>
      <w:r>
        <w:rPr>
          <w:spacing w:val="14"/>
          <w:sz w:val="14"/>
        </w:rPr>
        <w:t xml:space="preserve"> </w:t>
      </w:r>
      <w:r>
        <w:rPr>
          <w:sz w:val="14"/>
        </w:rPr>
        <w:t>de</w:t>
      </w:r>
      <w:r>
        <w:rPr>
          <w:spacing w:val="14"/>
          <w:sz w:val="14"/>
        </w:rPr>
        <w:t xml:space="preserve"> </w:t>
      </w:r>
      <w:r>
        <w:rPr>
          <w:sz w:val="14"/>
        </w:rPr>
        <w:t>la</w:t>
      </w:r>
      <w:r>
        <w:rPr>
          <w:spacing w:val="14"/>
          <w:sz w:val="14"/>
        </w:rPr>
        <w:t xml:space="preserve"> </w:t>
      </w:r>
      <w:r>
        <w:rPr>
          <w:sz w:val="14"/>
        </w:rPr>
        <w:t>guía,</w:t>
      </w:r>
      <w:r>
        <w:rPr>
          <w:spacing w:val="14"/>
          <w:sz w:val="14"/>
        </w:rPr>
        <w:t xml:space="preserve"> </w:t>
      </w:r>
      <w:r>
        <w:rPr>
          <w:sz w:val="14"/>
        </w:rPr>
        <w:t>los</w:t>
      </w:r>
      <w:r>
        <w:rPr>
          <w:spacing w:val="14"/>
          <w:sz w:val="14"/>
        </w:rPr>
        <w:t xml:space="preserve"> </w:t>
      </w:r>
      <w:r>
        <w:rPr>
          <w:sz w:val="14"/>
        </w:rPr>
        <w:t>redactores</w:t>
      </w:r>
      <w:r>
        <w:rPr>
          <w:spacing w:val="13"/>
          <w:sz w:val="14"/>
        </w:rPr>
        <w:t xml:space="preserve"> </w:t>
      </w:r>
      <w:r>
        <w:rPr>
          <w:sz w:val="14"/>
        </w:rPr>
        <w:t>analizan</w:t>
      </w:r>
      <w:r>
        <w:rPr>
          <w:spacing w:val="14"/>
          <w:sz w:val="14"/>
        </w:rPr>
        <w:t xml:space="preserve"> </w:t>
      </w:r>
      <w:r>
        <w:rPr>
          <w:sz w:val="14"/>
        </w:rPr>
        <w:t>el</w:t>
      </w:r>
      <w:r>
        <w:rPr>
          <w:spacing w:val="14"/>
          <w:sz w:val="14"/>
        </w:rPr>
        <w:t xml:space="preserve"> </w:t>
      </w:r>
      <w:r>
        <w:rPr>
          <w:sz w:val="14"/>
        </w:rPr>
        <w:t>contenido</w:t>
      </w:r>
      <w:r>
        <w:rPr>
          <w:spacing w:val="14"/>
          <w:sz w:val="14"/>
        </w:rPr>
        <w:t xml:space="preserve"> </w:t>
      </w:r>
      <w:r>
        <w:rPr>
          <w:sz w:val="14"/>
        </w:rPr>
        <w:t>necesario</w:t>
      </w:r>
      <w:r>
        <w:rPr>
          <w:spacing w:val="14"/>
          <w:sz w:val="14"/>
        </w:rPr>
        <w:t xml:space="preserve"> </w:t>
      </w:r>
      <w:r>
        <w:rPr>
          <w:sz w:val="14"/>
        </w:rPr>
        <w:t>de</w:t>
      </w:r>
      <w:r>
        <w:rPr>
          <w:spacing w:val="14"/>
          <w:sz w:val="14"/>
        </w:rPr>
        <w:t xml:space="preserve"> </w:t>
      </w:r>
      <w:r>
        <w:rPr>
          <w:sz w:val="14"/>
        </w:rPr>
        <w:t>las</w:t>
      </w:r>
      <w:r>
        <w:rPr>
          <w:spacing w:val="14"/>
          <w:sz w:val="14"/>
        </w:rPr>
        <w:t xml:space="preserve"> </w:t>
      </w:r>
      <w:r>
        <w:rPr>
          <w:sz w:val="14"/>
        </w:rPr>
        <w:t>leyes</w:t>
      </w:r>
      <w:r>
        <w:rPr>
          <w:spacing w:val="14"/>
          <w:sz w:val="14"/>
        </w:rPr>
        <w:t xml:space="preserve"> </w:t>
      </w:r>
      <w:r>
        <w:rPr>
          <w:sz w:val="14"/>
        </w:rPr>
        <w:t>contra</w:t>
      </w:r>
      <w:r>
        <w:rPr>
          <w:spacing w:val="14"/>
          <w:sz w:val="14"/>
        </w:rPr>
        <w:t xml:space="preserve"> </w:t>
      </w:r>
      <w:r>
        <w:rPr>
          <w:sz w:val="14"/>
        </w:rPr>
        <w:t>la</w:t>
      </w:r>
      <w:r>
        <w:rPr>
          <w:spacing w:val="14"/>
          <w:sz w:val="14"/>
        </w:rPr>
        <w:t xml:space="preserve"> </w:t>
      </w:r>
      <w:r>
        <w:rPr>
          <w:sz w:val="14"/>
        </w:rPr>
        <w:t>discriminación</w:t>
      </w:r>
      <w:r>
        <w:rPr>
          <w:spacing w:val="14"/>
          <w:sz w:val="14"/>
        </w:rPr>
        <w:t xml:space="preserve"> </w:t>
      </w:r>
      <w:r>
        <w:rPr>
          <w:sz w:val="14"/>
        </w:rPr>
        <w:t>para</w:t>
      </w:r>
      <w:r>
        <w:rPr>
          <w:spacing w:val="14"/>
          <w:sz w:val="14"/>
        </w:rPr>
        <w:t xml:space="preserve"> </w:t>
      </w:r>
      <w:r>
        <w:rPr>
          <w:sz w:val="14"/>
        </w:rPr>
        <w:t>que</w:t>
      </w:r>
      <w:r>
        <w:rPr>
          <w:spacing w:val="14"/>
          <w:sz w:val="14"/>
        </w:rPr>
        <w:t xml:space="preserve"> </w:t>
      </w:r>
      <w:r>
        <w:rPr>
          <w:sz w:val="14"/>
        </w:rPr>
        <w:t>sean</w:t>
      </w:r>
      <w:r>
        <w:rPr>
          <w:spacing w:val="14"/>
          <w:sz w:val="14"/>
        </w:rPr>
        <w:t xml:space="preserve"> </w:t>
      </w:r>
      <w:r>
        <w:rPr>
          <w:sz w:val="14"/>
        </w:rPr>
        <w:t>integrales</w:t>
      </w:r>
      <w:r>
        <w:rPr>
          <w:spacing w:val="13"/>
          <w:sz w:val="14"/>
        </w:rPr>
        <w:t xml:space="preserve"> </w:t>
      </w:r>
      <w:r>
        <w:rPr>
          <w:sz w:val="14"/>
        </w:rPr>
        <w:t>y,</w:t>
      </w:r>
      <w:r>
        <w:rPr>
          <w:spacing w:val="40"/>
          <w:sz w:val="14"/>
        </w:rPr>
        <w:t xml:space="preserve"> </w:t>
      </w:r>
      <w:r>
        <w:rPr>
          <w:sz w:val="14"/>
        </w:rPr>
        <w:t>por</w:t>
      </w:r>
      <w:r>
        <w:rPr>
          <w:spacing w:val="15"/>
          <w:sz w:val="14"/>
        </w:rPr>
        <w:t xml:space="preserve"> </w:t>
      </w:r>
      <w:r>
        <w:rPr>
          <w:sz w:val="14"/>
        </w:rPr>
        <w:t>tanto,</w:t>
      </w:r>
      <w:r>
        <w:rPr>
          <w:spacing w:val="15"/>
          <w:sz w:val="14"/>
        </w:rPr>
        <w:t xml:space="preserve"> </w:t>
      </w:r>
      <w:r>
        <w:rPr>
          <w:sz w:val="14"/>
        </w:rPr>
        <w:t>se</w:t>
      </w:r>
      <w:r>
        <w:rPr>
          <w:spacing w:val="15"/>
          <w:sz w:val="14"/>
        </w:rPr>
        <w:t xml:space="preserve"> </w:t>
      </w:r>
      <w:r>
        <w:rPr>
          <w:sz w:val="14"/>
        </w:rPr>
        <w:t>ajusten</w:t>
      </w:r>
      <w:r>
        <w:rPr>
          <w:spacing w:val="15"/>
          <w:sz w:val="14"/>
        </w:rPr>
        <w:t xml:space="preserve"> </w:t>
      </w:r>
      <w:r>
        <w:rPr>
          <w:sz w:val="14"/>
        </w:rPr>
        <w:t>a</w:t>
      </w:r>
      <w:r>
        <w:rPr>
          <w:spacing w:val="15"/>
          <w:sz w:val="14"/>
        </w:rPr>
        <w:t xml:space="preserve"> </w:t>
      </w:r>
      <w:r>
        <w:rPr>
          <w:sz w:val="14"/>
        </w:rPr>
        <w:t>las</w:t>
      </w:r>
      <w:r>
        <w:rPr>
          <w:spacing w:val="15"/>
          <w:sz w:val="14"/>
        </w:rPr>
        <w:t xml:space="preserve"> </w:t>
      </w:r>
      <w:r>
        <w:rPr>
          <w:sz w:val="14"/>
        </w:rPr>
        <w:t>normas</w:t>
      </w:r>
      <w:r>
        <w:rPr>
          <w:spacing w:val="15"/>
          <w:sz w:val="14"/>
        </w:rPr>
        <w:t xml:space="preserve"> </w:t>
      </w:r>
      <w:r>
        <w:rPr>
          <w:sz w:val="14"/>
        </w:rPr>
        <w:t>jurídicas</w:t>
      </w:r>
      <w:r>
        <w:rPr>
          <w:spacing w:val="14"/>
          <w:sz w:val="14"/>
        </w:rPr>
        <w:t xml:space="preserve"> </w:t>
      </w:r>
      <w:r>
        <w:rPr>
          <w:sz w:val="14"/>
        </w:rPr>
        <w:t>internacionales.</w:t>
      </w:r>
      <w:r>
        <w:rPr>
          <w:spacing w:val="17"/>
          <w:sz w:val="14"/>
        </w:rPr>
        <w:t xml:space="preserve"> </w:t>
      </w:r>
      <w:r>
        <w:rPr>
          <w:sz w:val="14"/>
        </w:rPr>
        <w:t>Esta</w:t>
      </w:r>
      <w:r>
        <w:rPr>
          <w:spacing w:val="14"/>
          <w:sz w:val="14"/>
        </w:rPr>
        <w:t xml:space="preserve"> </w:t>
      </w:r>
      <w:r>
        <w:rPr>
          <w:sz w:val="14"/>
        </w:rPr>
        <w:t>parte</w:t>
      </w:r>
      <w:r>
        <w:rPr>
          <w:spacing w:val="15"/>
          <w:sz w:val="14"/>
        </w:rPr>
        <w:t xml:space="preserve"> </w:t>
      </w:r>
      <w:r>
        <w:rPr>
          <w:sz w:val="14"/>
        </w:rPr>
        <w:t>está</w:t>
      </w:r>
      <w:r>
        <w:rPr>
          <w:spacing w:val="15"/>
          <w:sz w:val="14"/>
        </w:rPr>
        <w:t xml:space="preserve"> </w:t>
      </w:r>
      <w:r>
        <w:rPr>
          <w:sz w:val="14"/>
        </w:rPr>
        <w:t>organizada</w:t>
      </w:r>
      <w:r>
        <w:rPr>
          <w:spacing w:val="15"/>
          <w:sz w:val="14"/>
        </w:rPr>
        <w:t xml:space="preserve"> </w:t>
      </w:r>
      <w:r>
        <w:rPr>
          <w:sz w:val="14"/>
        </w:rPr>
        <w:t>en</w:t>
      </w:r>
      <w:r>
        <w:rPr>
          <w:spacing w:val="15"/>
          <w:sz w:val="14"/>
        </w:rPr>
        <w:t xml:space="preserve"> </w:t>
      </w:r>
      <w:r>
        <w:rPr>
          <w:sz w:val="14"/>
        </w:rPr>
        <w:t>secciones</w:t>
      </w:r>
      <w:r>
        <w:rPr>
          <w:spacing w:val="15"/>
          <w:sz w:val="14"/>
        </w:rPr>
        <w:t xml:space="preserve"> </w:t>
      </w:r>
      <w:r>
        <w:rPr>
          <w:sz w:val="14"/>
        </w:rPr>
        <w:t>que</w:t>
      </w:r>
      <w:r>
        <w:rPr>
          <w:spacing w:val="15"/>
          <w:sz w:val="14"/>
        </w:rPr>
        <w:t xml:space="preserve"> </w:t>
      </w:r>
      <w:r>
        <w:rPr>
          <w:sz w:val="14"/>
        </w:rPr>
        <w:t>cubren</w:t>
      </w:r>
      <w:r>
        <w:rPr>
          <w:spacing w:val="15"/>
          <w:sz w:val="14"/>
        </w:rPr>
        <w:t xml:space="preserve"> </w:t>
      </w:r>
      <w:r>
        <w:rPr>
          <w:sz w:val="14"/>
        </w:rPr>
        <w:t>cada</w:t>
      </w:r>
      <w:r>
        <w:rPr>
          <w:spacing w:val="15"/>
          <w:sz w:val="14"/>
        </w:rPr>
        <w:t xml:space="preserve"> </w:t>
      </w:r>
      <w:r>
        <w:rPr>
          <w:sz w:val="14"/>
        </w:rPr>
        <w:t>área</w:t>
      </w:r>
      <w:r>
        <w:rPr>
          <w:spacing w:val="15"/>
          <w:sz w:val="14"/>
        </w:rPr>
        <w:t xml:space="preserve"> </w:t>
      </w:r>
      <w:r>
        <w:rPr>
          <w:sz w:val="14"/>
        </w:rPr>
        <w:t>de</w:t>
      </w:r>
      <w:r>
        <w:rPr>
          <w:spacing w:val="15"/>
          <w:sz w:val="14"/>
        </w:rPr>
        <w:t xml:space="preserve"> </w:t>
      </w:r>
      <w:r>
        <w:rPr>
          <w:sz w:val="14"/>
        </w:rPr>
        <w:t>la</w:t>
      </w:r>
      <w:r>
        <w:rPr>
          <w:spacing w:val="15"/>
          <w:sz w:val="14"/>
        </w:rPr>
        <w:t xml:space="preserve"> </w:t>
      </w:r>
      <w:r>
        <w:rPr>
          <w:sz w:val="14"/>
        </w:rPr>
        <w:t>legislación</w:t>
      </w:r>
      <w:r>
        <w:rPr>
          <w:spacing w:val="40"/>
          <w:sz w:val="14"/>
        </w:rPr>
        <w:t xml:space="preserve"> </w:t>
      </w:r>
      <w:r>
        <w:rPr>
          <w:sz w:val="14"/>
        </w:rPr>
        <w:t>contra la discriminación.</w:t>
      </w:r>
      <w:r>
        <w:rPr>
          <w:spacing w:val="13"/>
          <w:sz w:val="14"/>
        </w:rPr>
        <w:t xml:space="preserve"> </w:t>
      </w:r>
      <w:r>
        <w:rPr>
          <w:sz w:val="14"/>
        </w:rPr>
        <w:t>Las primeras tres secciones cubren el contenido del derecho a la no discriminación – incluyendo la discusión del alcance</w:t>
      </w:r>
      <w:r>
        <w:rPr>
          <w:spacing w:val="80"/>
          <w:sz w:val="14"/>
        </w:rPr>
        <w:t xml:space="preserve"> </w:t>
      </w:r>
      <w:r>
        <w:rPr>
          <w:sz w:val="14"/>
        </w:rPr>
        <w:t>personal,</w:t>
      </w:r>
      <w:r>
        <w:rPr>
          <w:spacing w:val="14"/>
          <w:sz w:val="14"/>
        </w:rPr>
        <w:t xml:space="preserve"> </w:t>
      </w:r>
      <w:r>
        <w:rPr>
          <w:sz w:val="14"/>
        </w:rPr>
        <w:t>las</w:t>
      </w:r>
      <w:r>
        <w:rPr>
          <w:spacing w:val="14"/>
          <w:sz w:val="14"/>
        </w:rPr>
        <w:t xml:space="preserve"> </w:t>
      </w:r>
      <w:r>
        <w:rPr>
          <w:sz w:val="14"/>
        </w:rPr>
        <w:t>formas</w:t>
      </w:r>
      <w:r>
        <w:rPr>
          <w:spacing w:val="14"/>
          <w:sz w:val="14"/>
        </w:rPr>
        <w:t xml:space="preserve"> </w:t>
      </w:r>
      <w:r>
        <w:rPr>
          <w:sz w:val="14"/>
        </w:rPr>
        <w:t>de</w:t>
      </w:r>
      <w:r>
        <w:rPr>
          <w:spacing w:val="14"/>
          <w:sz w:val="14"/>
        </w:rPr>
        <w:t xml:space="preserve"> </w:t>
      </w:r>
      <w:r>
        <w:rPr>
          <w:sz w:val="14"/>
        </w:rPr>
        <w:t>conducta</w:t>
      </w:r>
      <w:r>
        <w:rPr>
          <w:spacing w:val="14"/>
          <w:sz w:val="14"/>
        </w:rPr>
        <w:t xml:space="preserve"> </w:t>
      </w:r>
      <w:r>
        <w:rPr>
          <w:sz w:val="14"/>
        </w:rPr>
        <w:t>prohibida,</w:t>
      </w:r>
      <w:r>
        <w:rPr>
          <w:spacing w:val="14"/>
          <w:sz w:val="14"/>
        </w:rPr>
        <w:t xml:space="preserve"> </w:t>
      </w:r>
      <w:r>
        <w:rPr>
          <w:sz w:val="14"/>
        </w:rPr>
        <w:t>el</w:t>
      </w:r>
      <w:r>
        <w:rPr>
          <w:spacing w:val="14"/>
          <w:sz w:val="14"/>
        </w:rPr>
        <w:t xml:space="preserve"> </w:t>
      </w:r>
      <w:r>
        <w:rPr>
          <w:sz w:val="14"/>
        </w:rPr>
        <w:t>alcance</w:t>
      </w:r>
      <w:r>
        <w:rPr>
          <w:spacing w:val="14"/>
          <w:sz w:val="14"/>
        </w:rPr>
        <w:t xml:space="preserve"> </w:t>
      </w:r>
      <w:r>
        <w:rPr>
          <w:sz w:val="14"/>
        </w:rPr>
        <w:t>material</w:t>
      </w:r>
      <w:r>
        <w:rPr>
          <w:spacing w:val="14"/>
          <w:sz w:val="14"/>
        </w:rPr>
        <w:t xml:space="preserve"> </w:t>
      </w:r>
      <w:r>
        <w:rPr>
          <w:sz w:val="14"/>
        </w:rPr>
        <w:t>y</w:t>
      </w:r>
      <w:r>
        <w:rPr>
          <w:spacing w:val="14"/>
          <w:sz w:val="14"/>
        </w:rPr>
        <w:t xml:space="preserve"> </w:t>
      </w:r>
      <w:r>
        <w:rPr>
          <w:sz w:val="14"/>
        </w:rPr>
        <w:t>las</w:t>
      </w:r>
      <w:r>
        <w:rPr>
          <w:spacing w:val="14"/>
          <w:sz w:val="14"/>
        </w:rPr>
        <w:t xml:space="preserve"> </w:t>
      </w:r>
      <w:r>
        <w:rPr>
          <w:sz w:val="14"/>
        </w:rPr>
        <w:t>justificaciones y</w:t>
      </w:r>
      <w:r>
        <w:rPr>
          <w:spacing w:val="14"/>
          <w:sz w:val="14"/>
        </w:rPr>
        <w:t xml:space="preserve"> </w:t>
      </w:r>
      <w:r>
        <w:rPr>
          <w:sz w:val="14"/>
        </w:rPr>
        <w:t>excepciones</w:t>
      </w:r>
      <w:r>
        <w:rPr>
          <w:spacing w:val="14"/>
          <w:sz w:val="14"/>
        </w:rPr>
        <w:t xml:space="preserve"> </w:t>
      </w:r>
      <w:r>
        <w:rPr>
          <w:sz w:val="14"/>
        </w:rPr>
        <w:t>–</w:t>
      </w:r>
      <w:r>
        <w:rPr>
          <w:spacing w:val="14"/>
          <w:sz w:val="14"/>
        </w:rPr>
        <w:t xml:space="preserve"> </w:t>
      </w:r>
      <w:r>
        <w:rPr>
          <w:sz w:val="14"/>
        </w:rPr>
        <w:t>la</w:t>
      </w:r>
      <w:r>
        <w:rPr>
          <w:spacing w:val="14"/>
          <w:sz w:val="14"/>
        </w:rPr>
        <w:t xml:space="preserve"> </w:t>
      </w:r>
      <w:r>
        <w:rPr>
          <w:sz w:val="14"/>
        </w:rPr>
        <w:t>acción</w:t>
      </w:r>
      <w:r>
        <w:rPr>
          <w:spacing w:val="14"/>
          <w:sz w:val="14"/>
        </w:rPr>
        <w:t xml:space="preserve"> </w:t>
      </w:r>
      <w:r>
        <w:rPr>
          <w:sz w:val="14"/>
        </w:rPr>
        <w:t>positiva</w:t>
      </w:r>
      <w:r>
        <w:rPr>
          <w:spacing w:val="14"/>
          <w:sz w:val="14"/>
        </w:rPr>
        <w:t xml:space="preserve"> </w:t>
      </w:r>
      <w:r>
        <w:rPr>
          <w:sz w:val="14"/>
        </w:rPr>
        <w:t>y</w:t>
      </w:r>
      <w:r>
        <w:rPr>
          <w:spacing w:val="14"/>
          <w:sz w:val="14"/>
        </w:rPr>
        <w:t xml:space="preserve"> </w:t>
      </w:r>
      <w:r>
        <w:rPr>
          <w:sz w:val="14"/>
        </w:rPr>
        <w:t>los</w:t>
      </w:r>
      <w:r>
        <w:rPr>
          <w:spacing w:val="14"/>
          <w:sz w:val="14"/>
        </w:rPr>
        <w:t xml:space="preserve"> </w:t>
      </w:r>
      <w:r>
        <w:rPr>
          <w:sz w:val="14"/>
        </w:rPr>
        <w:t>deberes</w:t>
      </w:r>
      <w:r>
        <w:rPr>
          <w:spacing w:val="14"/>
          <w:sz w:val="14"/>
        </w:rPr>
        <w:t xml:space="preserve"> </w:t>
      </w:r>
      <w:r>
        <w:rPr>
          <w:sz w:val="14"/>
        </w:rPr>
        <w:t>de</w:t>
      </w:r>
      <w:r>
        <w:rPr>
          <w:spacing w:val="14"/>
          <w:sz w:val="14"/>
        </w:rPr>
        <w:t xml:space="preserve"> </w:t>
      </w:r>
      <w:r>
        <w:rPr>
          <w:sz w:val="14"/>
        </w:rPr>
        <w:t>igualdad.</w:t>
      </w:r>
      <w:r>
        <w:rPr>
          <w:spacing w:val="40"/>
          <w:sz w:val="14"/>
        </w:rPr>
        <w:t xml:space="preserve"> </w:t>
      </w:r>
      <w:r>
        <w:rPr>
          <w:sz w:val="14"/>
        </w:rPr>
        <w:t>Luego, la guía incluye secciones que consideran el derecho a un recurso efectivo; acceso a la justicia y aplicación de la ley; los mandatos,</w:t>
      </w:r>
      <w:r>
        <w:rPr>
          <w:spacing w:val="40"/>
          <w:sz w:val="14"/>
        </w:rPr>
        <w:t xml:space="preserve"> </w:t>
      </w:r>
      <w:r>
        <w:rPr>
          <w:sz w:val="14"/>
        </w:rPr>
        <w:t>funciones y</w:t>
      </w:r>
      <w:r>
        <w:rPr>
          <w:spacing w:val="14"/>
          <w:sz w:val="14"/>
        </w:rPr>
        <w:t xml:space="preserve"> </w:t>
      </w:r>
      <w:r>
        <w:rPr>
          <w:sz w:val="14"/>
        </w:rPr>
        <w:t>competencias de</w:t>
      </w:r>
      <w:r>
        <w:rPr>
          <w:spacing w:val="14"/>
          <w:sz w:val="14"/>
        </w:rPr>
        <w:t xml:space="preserve"> </w:t>
      </w:r>
      <w:r>
        <w:rPr>
          <w:sz w:val="14"/>
        </w:rPr>
        <w:t>los</w:t>
      </w:r>
      <w:r>
        <w:rPr>
          <w:spacing w:val="14"/>
          <w:sz w:val="14"/>
        </w:rPr>
        <w:t xml:space="preserve"> </w:t>
      </w:r>
      <w:r>
        <w:rPr>
          <w:sz w:val="14"/>
        </w:rPr>
        <w:t>órganos</w:t>
      </w:r>
      <w:r>
        <w:rPr>
          <w:spacing w:val="14"/>
          <w:sz w:val="14"/>
        </w:rPr>
        <w:t xml:space="preserve"> </w:t>
      </w:r>
      <w:r>
        <w:rPr>
          <w:sz w:val="14"/>
        </w:rPr>
        <w:t>especializados en</w:t>
      </w:r>
      <w:r>
        <w:rPr>
          <w:spacing w:val="14"/>
          <w:sz w:val="14"/>
        </w:rPr>
        <w:t xml:space="preserve"> </w:t>
      </w:r>
      <w:r>
        <w:rPr>
          <w:sz w:val="14"/>
        </w:rPr>
        <w:t>igualdad;</w:t>
      </w:r>
      <w:r>
        <w:rPr>
          <w:spacing w:val="14"/>
          <w:sz w:val="14"/>
        </w:rPr>
        <w:t xml:space="preserve"> </w:t>
      </w:r>
      <w:r>
        <w:rPr>
          <w:sz w:val="14"/>
        </w:rPr>
        <w:t>y</w:t>
      </w:r>
      <w:r>
        <w:rPr>
          <w:spacing w:val="14"/>
          <w:sz w:val="14"/>
        </w:rPr>
        <w:t xml:space="preserve"> </w:t>
      </w:r>
      <w:r>
        <w:rPr>
          <w:sz w:val="14"/>
        </w:rPr>
        <w:t>las</w:t>
      </w:r>
      <w:r>
        <w:rPr>
          <w:spacing w:val="14"/>
          <w:sz w:val="14"/>
        </w:rPr>
        <w:t xml:space="preserve"> </w:t>
      </w:r>
      <w:r>
        <w:rPr>
          <w:sz w:val="14"/>
        </w:rPr>
        <w:t>obligaciones más</w:t>
      </w:r>
      <w:r>
        <w:rPr>
          <w:spacing w:val="14"/>
          <w:sz w:val="14"/>
        </w:rPr>
        <w:t xml:space="preserve"> </w:t>
      </w:r>
      <w:r>
        <w:rPr>
          <w:sz w:val="14"/>
        </w:rPr>
        <w:t>amplias</w:t>
      </w:r>
      <w:r>
        <w:rPr>
          <w:spacing w:val="14"/>
          <w:sz w:val="14"/>
        </w:rPr>
        <w:t xml:space="preserve"> </w:t>
      </w:r>
      <w:r>
        <w:rPr>
          <w:sz w:val="14"/>
        </w:rPr>
        <w:t>de</w:t>
      </w:r>
      <w:r>
        <w:rPr>
          <w:spacing w:val="14"/>
          <w:sz w:val="14"/>
        </w:rPr>
        <w:t xml:space="preserve"> </w:t>
      </w:r>
      <w:r>
        <w:rPr>
          <w:sz w:val="14"/>
        </w:rPr>
        <w:t>los</w:t>
      </w:r>
      <w:r>
        <w:rPr>
          <w:spacing w:val="14"/>
          <w:sz w:val="14"/>
        </w:rPr>
        <w:t xml:space="preserve"> </w:t>
      </w:r>
      <w:r>
        <w:rPr>
          <w:sz w:val="14"/>
        </w:rPr>
        <w:t>Estados en</w:t>
      </w:r>
      <w:r>
        <w:rPr>
          <w:spacing w:val="14"/>
          <w:sz w:val="14"/>
        </w:rPr>
        <w:t xml:space="preserve"> </w:t>
      </w:r>
      <w:r>
        <w:rPr>
          <w:sz w:val="14"/>
        </w:rPr>
        <w:t>materia</w:t>
      </w:r>
      <w:r>
        <w:rPr>
          <w:spacing w:val="14"/>
          <w:sz w:val="14"/>
        </w:rPr>
        <w:t xml:space="preserve"> </w:t>
      </w:r>
      <w:r>
        <w:rPr>
          <w:sz w:val="14"/>
        </w:rPr>
        <w:t>de</w:t>
      </w:r>
      <w:r>
        <w:rPr>
          <w:spacing w:val="40"/>
          <w:sz w:val="14"/>
        </w:rPr>
        <w:t xml:space="preserve"> </w:t>
      </w:r>
      <w:r>
        <w:rPr>
          <w:sz w:val="14"/>
        </w:rPr>
        <w:t>implementación,</w:t>
      </w:r>
      <w:r>
        <w:rPr>
          <w:spacing w:val="18"/>
          <w:sz w:val="14"/>
        </w:rPr>
        <w:t xml:space="preserve"> </w:t>
      </w:r>
      <w:r>
        <w:rPr>
          <w:sz w:val="14"/>
        </w:rPr>
        <w:t>como</w:t>
      </w:r>
      <w:r>
        <w:rPr>
          <w:spacing w:val="16"/>
          <w:sz w:val="14"/>
        </w:rPr>
        <w:t xml:space="preserve"> </w:t>
      </w:r>
      <w:r>
        <w:rPr>
          <w:sz w:val="14"/>
        </w:rPr>
        <w:t>el</w:t>
      </w:r>
      <w:r>
        <w:rPr>
          <w:spacing w:val="16"/>
          <w:sz w:val="14"/>
        </w:rPr>
        <w:t xml:space="preserve"> </w:t>
      </w:r>
      <w:r>
        <w:rPr>
          <w:sz w:val="14"/>
        </w:rPr>
        <w:t>desarrollo</w:t>
      </w:r>
      <w:r>
        <w:rPr>
          <w:spacing w:val="16"/>
          <w:sz w:val="14"/>
        </w:rPr>
        <w:t xml:space="preserve"> </w:t>
      </w:r>
      <w:r>
        <w:rPr>
          <w:sz w:val="14"/>
        </w:rPr>
        <w:t>de</w:t>
      </w:r>
      <w:r>
        <w:rPr>
          <w:spacing w:val="16"/>
          <w:sz w:val="14"/>
        </w:rPr>
        <w:t xml:space="preserve"> </w:t>
      </w:r>
      <w:r>
        <w:rPr>
          <w:sz w:val="14"/>
        </w:rPr>
        <w:t>políticas</w:t>
      </w:r>
      <w:r>
        <w:rPr>
          <w:spacing w:val="15"/>
          <w:sz w:val="14"/>
        </w:rPr>
        <w:t xml:space="preserve"> </w:t>
      </w:r>
      <w:r>
        <w:rPr>
          <w:sz w:val="14"/>
        </w:rPr>
        <w:t>y</w:t>
      </w:r>
      <w:r>
        <w:rPr>
          <w:spacing w:val="16"/>
          <w:sz w:val="14"/>
        </w:rPr>
        <w:t xml:space="preserve"> </w:t>
      </w:r>
      <w:r>
        <w:rPr>
          <w:sz w:val="14"/>
        </w:rPr>
        <w:t>estrategias</w:t>
      </w:r>
      <w:r>
        <w:rPr>
          <w:spacing w:val="15"/>
          <w:sz w:val="14"/>
        </w:rPr>
        <w:t xml:space="preserve"> </w:t>
      </w:r>
      <w:r>
        <w:rPr>
          <w:sz w:val="14"/>
        </w:rPr>
        <w:t>de</w:t>
      </w:r>
      <w:r>
        <w:rPr>
          <w:spacing w:val="16"/>
          <w:sz w:val="14"/>
        </w:rPr>
        <w:t xml:space="preserve"> </w:t>
      </w:r>
      <w:r>
        <w:rPr>
          <w:sz w:val="14"/>
        </w:rPr>
        <w:t>igualdad</w:t>
      </w:r>
      <w:r>
        <w:rPr>
          <w:spacing w:val="16"/>
          <w:sz w:val="14"/>
        </w:rPr>
        <w:t xml:space="preserve"> </w:t>
      </w:r>
      <w:r>
        <w:rPr>
          <w:sz w:val="14"/>
        </w:rPr>
        <w:t>y</w:t>
      </w:r>
      <w:r>
        <w:rPr>
          <w:spacing w:val="16"/>
          <w:sz w:val="14"/>
        </w:rPr>
        <w:t xml:space="preserve"> </w:t>
      </w:r>
      <w:r>
        <w:rPr>
          <w:sz w:val="14"/>
        </w:rPr>
        <w:t>el</w:t>
      </w:r>
      <w:r>
        <w:rPr>
          <w:spacing w:val="16"/>
          <w:sz w:val="14"/>
        </w:rPr>
        <w:t xml:space="preserve"> </w:t>
      </w:r>
      <w:r>
        <w:rPr>
          <w:sz w:val="14"/>
        </w:rPr>
        <w:t>uso</w:t>
      </w:r>
      <w:r>
        <w:rPr>
          <w:spacing w:val="16"/>
          <w:sz w:val="14"/>
        </w:rPr>
        <w:t xml:space="preserve"> </w:t>
      </w:r>
      <w:r>
        <w:rPr>
          <w:sz w:val="14"/>
        </w:rPr>
        <w:t>de</w:t>
      </w:r>
      <w:r>
        <w:rPr>
          <w:spacing w:val="16"/>
          <w:sz w:val="14"/>
        </w:rPr>
        <w:t xml:space="preserve"> </w:t>
      </w:r>
      <w:r>
        <w:rPr>
          <w:sz w:val="14"/>
        </w:rPr>
        <w:t>evaluaciones</w:t>
      </w:r>
      <w:r>
        <w:rPr>
          <w:spacing w:val="15"/>
          <w:sz w:val="14"/>
        </w:rPr>
        <w:t xml:space="preserve"> </w:t>
      </w:r>
      <w:r>
        <w:rPr>
          <w:sz w:val="14"/>
        </w:rPr>
        <w:t>de</w:t>
      </w:r>
      <w:r>
        <w:rPr>
          <w:spacing w:val="16"/>
          <w:sz w:val="14"/>
        </w:rPr>
        <w:t xml:space="preserve"> </w:t>
      </w:r>
      <w:r>
        <w:rPr>
          <w:sz w:val="14"/>
        </w:rPr>
        <w:t>impacto</w:t>
      </w:r>
      <w:r>
        <w:rPr>
          <w:spacing w:val="16"/>
          <w:sz w:val="14"/>
        </w:rPr>
        <w:t xml:space="preserve"> </w:t>
      </w:r>
      <w:r>
        <w:rPr>
          <w:sz w:val="14"/>
        </w:rPr>
        <w:t>en</w:t>
      </w:r>
      <w:r>
        <w:rPr>
          <w:spacing w:val="16"/>
          <w:sz w:val="14"/>
        </w:rPr>
        <w:t xml:space="preserve"> </w:t>
      </w:r>
      <w:r>
        <w:rPr>
          <w:sz w:val="14"/>
        </w:rPr>
        <w:t>materia</w:t>
      </w:r>
      <w:r>
        <w:rPr>
          <w:spacing w:val="16"/>
          <w:sz w:val="14"/>
        </w:rPr>
        <w:t xml:space="preserve"> </w:t>
      </w:r>
      <w:r>
        <w:rPr>
          <w:sz w:val="14"/>
        </w:rPr>
        <w:t>de</w:t>
      </w:r>
      <w:r>
        <w:rPr>
          <w:spacing w:val="16"/>
          <w:sz w:val="14"/>
        </w:rPr>
        <w:t xml:space="preserve"> </w:t>
      </w:r>
      <w:r>
        <w:rPr>
          <w:sz w:val="14"/>
        </w:rPr>
        <w:t>igualdad.</w:t>
      </w:r>
    </w:p>
    <w:p w14:paraId="0027BBCD" w14:textId="77777777" w:rsidR="0014798C" w:rsidRDefault="0014798C">
      <w:pPr>
        <w:pStyle w:val="Textoindependiente"/>
        <w:rPr>
          <w:sz w:val="14"/>
        </w:rPr>
      </w:pPr>
    </w:p>
    <w:p w14:paraId="0F5C62F8" w14:textId="77777777" w:rsidR="0014798C" w:rsidRDefault="0014798C">
      <w:pPr>
        <w:pStyle w:val="Textoindependiente"/>
        <w:spacing w:before="98"/>
        <w:rPr>
          <w:sz w:val="14"/>
        </w:rPr>
      </w:pPr>
    </w:p>
    <w:p w14:paraId="664D801C" w14:textId="77777777" w:rsidR="0014798C" w:rsidRDefault="004E1F0B">
      <w:pPr>
        <w:spacing w:before="1" w:line="372" w:lineRule="auto"/>
        <w:ind w:left="1107" w:right="1272" w:firstLine="1"/>
        <w:rPr>
          <w:sz w:val="14"/>
        </w:rPr>
      </w:pPr>
      <w:r>
        <w:rPr>
          <w:w w:val="105"/>
          <w:sz w:val="14"/>
        </w:rPr>
        <w:t>En</w:t>
      </w:r>
      <w:r>
        <w:rPr>
          <w:spacing w:val="-5"/>
          <w:w w:val="105"/>
          <w:sz w:val="14"/>
        </w:rPr>
        <w:t xml:space="preserve"> </w:t>
      </w:r>
      <w:r>
        <w:rPr>
          <w:w w:val="105"/>
          <w:sz w:val="14"/>
        </w:rPr>
        <w:t>la</w:t>
      </w:r>
      <w:r>
        <w:rPr>
          <w:spacing w:val="-5"/>
          <w:w w:val="105"/>
          <w:sz w:val="14"/>
        </w:rPr>
        <w:t xml:space="preserve"> </w:t>
      </w:r>
      <w:r>
        <w:rPr>
          <w:w w:val="105"/>
          <w:sz w:val="14"/>
        </w:rPr>
        <w:t>tercera</w:t>
      </w:r>
      <w:r>
        <w:rPr>
          <w:spacing w:val="-5"/>
          <w:w w:val="105"/>
          <w:sz w:val="14"/>
        </w:rPr>
        <w:t xml:space="preserve"> </w:t>
      </w:r>
      <w:r>
        <w:rPr>
          <w:w w:val="105"/>
          <w:sz w:val="14"/>
        </w:rPr>
        <w:t>parte,</w:t>
      </w:r>
      <w:r>
        <w:rPr>
          <w:spacing w:val="-5"/>
          <w:w w:val="105"/>
          <w:sz w:val="14"/>
        </w:rPr>
        <w:t xml:space="preserve"> </w:t>
      </w:r>
      <w:r>
        <w:rPr>
          <w:w w:val="105"/>
          <w:sz w:val="14"/>
        </w:rPr>
        <w:t>los</w:t>
      </w:r>
      <w:r>
        <w:rPr>
          <w:spacing w:val="-5"/>
          <w:w w:val="105"/>
          <w:sz w:val="14"/>
        </w:rPr>
        <w:t xml:space="preserve"> </w:t>
      </w:r>
      <w:r>
        <w:rPr>
          <w:w w:val="105"/>
          <w:sz w:val="14"/>
        </w:rPr>
        <w:t>redactores</w:t>
      </w:r>
      <w:r>
        <w:rPr>
          <w:spacing w:val="-6"/>
          <w:w w:val="105"/>
          <w:sz w:val="14"/>
        </w:rPr>
        <w:t xml:space="preserve"> </w:t>
      </w:r>
      <w:r>
        <w:rPr>
          <w:w w:val="105"/>
          <w:sz w:val="14"/>
        </w:rPr>
        <w:t>examinan</w:t>
      </w:r>
      <w:r>
        <w:rPr>
          <w:spacing w:val="-5"/>
          <w:w w:val="105"/>
          <w:sz w:val="14"/>
        </w:rPr>
        <w:t xml:space="preserve"> </w:t>
      </w:r>
      <w:r>
        <w:rPr>
          <w:w w:val="105"/>
          <w:sz w:val="14"/>
        </w:rPr>
        <w:t>la</w:t>
      </w:r>
      <w:r>
        <w:rPr>
          <w:spacing w:val="-5"/>
          <w:w w:val="105"/>
          <w:sz w:val="14"/>
        </w:rPr>
        <w:t xml:space="preserve"> </w:t>
      </w:r>
      <w:r>
        <w:rPr>
          <w:w w:val="105"/>
          <w:sz w:val="14"/>
        </w:rPr>
        <w:t>aplicación</w:t>
      </w:r>
      <w:r>
        <w:rPr>
          <w:spacing w:val="-5"/>
          <w:w w:val="105"/>
          <w:sz w:val="14"/>
        </w:rPr>
        <w:t xml:space="preserve"> </w:t>
      </w:r>
      <w:r>
        <w:rPr>
          <w:w w:val="105"/>
          <w:sz w:val="14"/>
        </w:rPr>
        <w:t>particular</w:t>
      </w:r>
      <w:r>
        <w:rPr>
          <w:spacing w:val="-6"/>
          <w:w w:val="105"/>
          <w:sz w:val="14"/>
        </w:rPr>
        <w:t xml:space="preserve"> </w:t>
      </w:r>
      <w:r>
        <w:rPr>
          <w:w w:val="105"/>
          <w:sz w:val="14"/>
        </w:rPr>
        <w:t>del</w:t>
      </w:r>
      <w:r>
        <w:rPr>
          <w:spacing w:val="-5"/>
          <w:w w:val="105"/>
          <w:sz w:val="14"/>
        </w:rPr>
        <w:t xml:space="preserve"> </w:t>
      </w:r>
      <w:r>
        <w:rPr>
          <w:w w:val="105"/>
          <w:sz w:val="14"/>
        </w:rPr>
        <w:t>derecho</w:t>
      </w:r>
      <w:r>
        <w:rPr>
          <w:spacing w:val="-5"/>
          <w:w w:val="105"/>
          <w:sz w:val="14"/>
        </w:rPr>
        <w:t xml:space="preserve"> </w:t>
      </w:r>
      <w:r>
        <w:rPr>
          <w:w w:val="105"/>
          <w:sz w:val="14"/>
        </w:rPr>
        <w:t>a</w:t>
      </w:r>
      <w:r>
        <w:rPr>
          <w:spacing w:val="-5"/>
          <w:w w:val="105"/>
          <w:sz w:val="14"/>
        </w:rPr>
        <w:t xml:space="preserve"> </w:t>
      </w:r>
      <w:r>
        <w:rPr>
          <w:w w:val="105"/>
          <w:sz w:val="14"/>
        </w:rPr>
        <w:t>la</w:t>
      </w:r>
      <w:r>
        <w:rPr>
          <w:spacing w:val="-5"/>
          <w:w w:val="105"/>
          <w:sz w:val="14"/>
        </w:rPr>
        <w:t xml:space="preserve"> </w:t>
      </w:r>
      <w:r>
        <w:rPr>
          <w:w w:val="105"/>
          <w:sz w:val="14"/>
        </w:rPr>
        <w:t>no</w:t>
      </w:r>
      <w:r>
        <w:rPr>
          <w:spacing w:val="-5"/>
          <w:w w:val="105"/>
          <w:sz w:val="14"/>
        </w:rPr>
        <w:t xml:space="preserve"> </w:t>
      </w:r>
      <w:r>
        <w:rPr>
          <w:w w:val="105"/>
          <w:sz w:val="14"/>
        </w:rPr>
        <w:t>discriminación</w:t>
      </w:r>
      <w:r>
        <w:rPr>
          <w:spacing w:val="-5"/>
          <w:w w:val="105"/>
          <w:sz w:val="14"/>
        </w:rPr>
        <w:t xml:space="preserve"> </w:t>
      </w:r>
      <w:r>
        <w:rPr>
          <w:w w:val="105"/>
          <w:sz w:val="14"/>
        </w:rPr>
        <w:t>en</w:t>
      </w:r>
      <w:r>
        <w:rPr>
          <w:spacing w:val="-5"/>
          <w:w w:val="105"/>
          <w:sz w:val="14"/>
        </w:rPr>
        <w:t xml:space="preserve"> </w:t>
      </w:r>
      <w:r>
        <w:rPr>
          <w:w w:val="105"/>
          <w:sz w:val="14"/>
        </w:rPr>
        <w:t>el</w:t>
      </w:r>
      <w:r>
        <w:rPr>
          <w:spacing w:val="-5"/>
          <w:w w:val="105"/>
          <w:sz w:val="14"/>
        </w:rPr>
        <w:t xml:space="preserve"> </w:t>
      </w:r>
      <w:r>
        <w:rPr>
          <w:w w:val="105"/>
          <w:sz w:val="14"/>
        </w:rPr>
        <w:t>contexto</w:t>
      </w:r>
      <w:r>
        <w:rPr>
          <w:spacing w:val="-5"/>
          <w:w w:val="105"/>
          <w:sz w:val="14"/>
        </w:rPr>
        <w:t xml:space="preserve"> </w:t>
      </w:r>
      <w:r>
        <w:rPr>
          <w:w w:val="105"/>
          <w:sz w:val="14"/>
        </w:rPr>
        <w:t>de</w:t>
      </w:r>
      <w:r>
        <w:rPr>
          <w:spacing w:val="-5"/>
          <w:w w:val="105"/>
          <w:sz w:val="14"/>
        </w:rPr>
        <w:t xml:space="preserve"> </w:t>
      </w:r>
      <w:r>
        <w:rPr>
          <w:w w:val="105"/>
          <w:sz w:val="14"/>
        </w:rPr>
        <w:t>la</w:t>
      </w:r>
      <w:r>
        <w:rPr>
          <w:spacing w:val="-5"/>
          <w:w w:val="105"/>
          <w:sz w:val="14"/>
        </w:rPr>
        <w:t xml:space="preserve"> </w:t>
      </w:r>
      <w:r>
        <w:rPr>
          <w:w w:val="105"/>
          <w:sz w:val="14"/>
        </w:rPr>
        <w:t>protección</w:t>
      </w:r>
      <w:r>
        <w:rPr>
          <w:spacing w:val="-5"/>
          <w:w w:val="105"/>
          <w:sz w:val="14"/>
        </w:rPr>
        <w:t xml:space="preserve"> </w:t>
      </w:r>
      <w:r>
        <w:rPr>
          <w:w w:val="105"/>
          <w:sz w:val="14"/>
        </w:rPr>
        <w:t>de</w:t>
      </w:r>
      <w:r>
        <w:rPr>
          <w:spacing w:val="-5"/>
          <w:w w:val="105"/>
          <w:sz w:val="14"/>
        </w:rPr>
        <w:t xml:space="preserve"> </w:t>
      </w:r>
      <w:r>
        <w:rPr>
          <w:w w:val="105"/>
          <w:sz w:val="14"/>
        </w:rPr>
        <w:t>los derechos</w:t>
      </w:r>
      <w:r>
        <w:rPr>
          <w:spacing w:val="-9"/>
          <w:w w:val="105"/>
          <w:sz w:val="14"/>
        </w:rPr>
        <w:t xml:space="preserve"> </w:t>
      </w:r>
      <w:r>
        <w:rPr>
          <w:w w:val="105"/>
          <w:sz w:val="14"/>
        </w:rPr>
        <w:t>de</w:t>
      </w:r>
      <w:r>
        <w:rPr>
          <w:spacing w:val="-9"/>
          <w:w w:val="105"/>
          <w:sz w:val="14"/>
        </w:rPr>
        <w:t xml:space="preserve"> </w:t>
      </w:r>
      <w:r>
        <w:rPr>
          <w:w w:val="105"/>
          <w:sz w:val="14"/>
        </w:rPr>
        <w:t>las</w:t>
      </w:r>
      <w:r>
        <w:rPr>
          <w:spacing w:val="-9"/>
          <w:w w:val="105"/>
          <w:sz w:val="14"/>
        </w:rPr>
        <w:t xml:space="preserve"> </w:t>
      </w:r>
      <w:r>
        <w:rPr>
          <w:w w:val="105"/>
          <w:sz w:val="14"/>
        </w:rPr>
        <w:t>minorías,</w:t>
      </w:r>
      <w:r>
        <w:rPr>
          <w:spacing w:val="-9"/>
          <w:w w:val="105"/>
          <w:sz w:val="14"/>
        </w:rPr>
        <w:t xml:space="preserve"> </w:t>
      </w:r>
      <w:r>
        <w:rPr>
          <w:w w:val="105"/>
          <w:sz w:val="14"/>
        </w:rPr>
        <w:t>señalando</w:t>
      </w:r>
      <w:r>
        <w:rPr>
          <w:spacing w:val="-9"/>
          <w:w w:val="105"/>
          <w:sz w:val="14"/>
        </w:rPr>
        <w:t xml:space="preserve"> </w:t>
      </w:r>
      <w:r>
        <w:rPr>
          <w:w w:val="105"/>
          <w:sz w:val="14"/>
        </w:rPr>
        <w:t>tanto</w:t>
      </w:r>
      <w:r>
        <w:rPr>
          <w:spacing w:val="-10"/>
          <w:w w:val="105"/>
          <w:sz w:val="14"/>
        </w:rPr>
        <w:t xml:space="preserve"> </w:t>
      </w:r>
      <w:r>
        <w:rPr>
          <w:w w:val="105"/>
          <w:sz w:val="14"/>
        </w:rPr>
        <w:t>la</w:t>
      </w:r>
      <w:r>
        <w:rPr>
          <w:spacing w:val="-9"/>
          <w:w w:val="105"/>
          <w:sz w:val="14"/>
        </w:rPr>
        <w:t xml:space="preserve"> </w:t>
      </w:r>
      <w:r>
        <w:rPr>
          <w:w w:val="105"/>
          <w:sz w:val="14"/>
        </w:rPr>
        <w:t>centralidad</w:t>
      </w:r>
      <w:r>
        <w:rPr>
          <w:spacing w:val="-9"/>
          <w:w w:val="105"/>
          <w:sz w:val="14"/>
        </w:rPr>
        <w:t xml:space="preserve"> </w:t>
      </w:r>
      <w:r>
        <w:rPr>
          <w:w w:val="105"/>
          <w:sz w:val="14"/>
        </w:rPr>
        <w:t>del</w:t>
      </w:r>
      <w:r>
        <w:rPr>
          <w:spacing w:val="-9"/>
          <w:w w:val="105"/>
          <w:sz w:val="14"/>
        </w:rPr>
        <w:t xml:space="preserve"> </w:t>
      </w:r>
      <w:r>
        <w:rPr>
          <w:w w:val="105"/>
          <w:sz w:val="14"/>
        </w:rPr>
        <w:t>derecho</w:t>
      </w:r>
      <w:r>
        <w:rPr>
          <w:spacing w:val="-9"/>
          <w:w w:val="105"/>
          <w:sz w:val="14"/>
        </w:rPr>
        <w:t xml:space="preserve"> </w:t>
      </w:r>
      <w:r>
        <w:rPr>
          <w:w w:val="105"/>
          <w:sz w:val="14"/>
        </w:rPr>
        <w:t>al</w:t>
      </w:r>
      <w:r>
        <w:rPr>
          <w:spacing w:val="-9"/>
          <w:w w:val="105"/>
          <w:sz w:val="14"/>
        </w:rPr>
        <w:t xml:space="preserve"> </w:t>
      </w:r>
      <w:r>
        <w:rPr>
          <w:w w:val="105"/>
          <w:sz w:val="14"/>
        </w:rPr>
        <w:t>disfrute</w:t>
      </w:r>
      <w:r>
        <w:rPr>
          <w:spacing w:val="-9"/>
          <w:w w:val="105"/>
          <w:sz w:val="14"/>
        </w:rPr>
        <w:t xml:space="preserve"> </w:t>
      </w:r>
      <w:r>
        <w:rPr>
          <w:w w:val="105"/>
          <w:sz w:val="14"/>
        </w:rPr>
        <w:t>de</w:t>
      </w:r>
      <w:r>
        <w:rPr>
          <w:spacing w:val="-9"/>
          <w:w w:val="105"/>
          <w:sz w:val="14"/>
        </w:rPr>
        <w:t xml:space="preserve"> </w:t>
      </w:r>
      <w:r>
        <w:rPr>
          <w:w w:val="105"/>
          <w:sz w:val="14"/>
        </w:rPr>
        <w:t>los</w:t>
      </w:r>
      <w:r>
        <w:rPr>
          <w:spacing w:val="-9"/>
          <w:w w:val="105"/>
          <w:sz w:val="14"/>
        </w:rPr>
        <w:t xml:space="preserve"> </w:t>
      </w:r>
      <w:r>
        <w:rPr>
          <w:w w:val="105"/>
          <w:sz w:val="14"/>
        </w:rPr>
        <w:t>derechos</w:t>
      </w:r>
      <w:r>
        <w:rPr>
          <w:spacing w:val="-9"/>
          <w:w w:val="105"/>
          <w:sz w:val="14"/>
        </w:rPr>
        <w:t xml:space="preserve"> </w:t>
      </w:r>
      <w:r>
        <w:rPr>
          <w:w w:val="105"/>
          <w:sz w:val="14"/>
        </w:rPr>
        <w:t>de</w:t>
      </w:r>
      <w:r>
        <w:rPr>
          <w:spacing w:val="-9"/>
          <w:w w:val="105"/>
          <w:sz w:val="14"/>
        </w:rPr>
        <w:t xml:space="preserve"> </w:t>
      </w:r>
      <w:r>
        <w:rPr>
          <w:w w:val="105"/>
          <w:sz w:val="14"/>
        </w:rPr>
        <w:t>las</w:t>
      </w:r>
      <w:r>
        <w:rPr>
          <w:spacing w:val="-9"/>
          <w:w w:val="105"/>
          <w:sz w:val="14"/>
        </w:rPr>
        <w:t xml:space="preserve"> </w:t>
      </w:r>
      <w:r>
        <w:rPr>
          <w:w w:val="105"/>
          <w:sz w:val="14"/>
        </w:rPr>
        <w:t>minorías</w:t>
      </w:r>
      <w:r>
        <w:rPr>
          <w:spacing w:val="-10"/>
          <w:w w:val="105"/>
          <w:sz w:val="14"/>
        </w:rPr>
        <w:t xml:space="preserve"> </w:t>
      </w:r>
      <w:r>
        <w:rPr>
          <w:w w:val="105"/>
          <w:sz w:val="14"/>
        </w:rPr>
        <w:t>como</w:t>
      </w:r>
      <w:r>
        <w:rPr>
          <w:spacing w:val="-9"/>
          <w:w w:val="105"/>
          <w:sz w:val="14"/>
        </w:rPr>
        <w:t xml:space="preserve"> </w:t>
      </w:r>
      <w:r>
        <w:rPr>
          <w:w w:val="105"/>
          <w:sz w:val="14"/>
        </w:rPr>
        <w:t>las</w:t>
      </w:r>
      <w:r>
        <w:rPr>
          <w:spacing w:val="-9"/>
          <w:w w:val="105"/>
          <w:sz w:val="14"/>
        </w:rPr>
        <w:t xml:space="preserve"> </w:t>
      </w:r>
      <w:r>
        <w:rPr>
          <w:w w:val="105"/>
          <w:sz w:val="14"/>
        </w:rPr>
        <w:t>complejas</w:t>
      </w:r>
      <w:r>
        <w:rPr>
          <w:spacing w:val="-9"/>
          <w:w w:val="105"/>
          <w:sz w:val="14"/>
        </w:rPr>
        <w:t xml:space="preserve"> </w:t>
      </w:r>
      <w:r>
        <w:rPr>
          <w:w w:val="105"/>
          <w:sz w:val="14"/>
        </w:rPr>
        <w:t>cuestiones que surgen en varios puntos de intersección.</w:t>
      </w:r>
    </w:p>
    <w:p w14:paraId="4638AD56" w14:textId="77777777" w:rsidR="0014798C" w:rsidRDefault="0014798C">
      <w:pPr>
        <w:pStyle w:val="Textoindependiente"/>
        <w:spacing w:before="9"/>
        <w:rPr>
          <w:sz w:val="14"/>
        </w:rPr>
      </w:pPr>
    </w:p>
    <w:p w14:paraId="075E8F44" w14:textId="77777777" w:rsidR="0014798C" w:rsidRDefault="004E1F0B">
      <w:pPr>
        <w:spacing w:line="372" w:lineRule="auto"/>
        <w:ind w:left="1111" w:right="1400" w:hanging="4"/>
        <w:rPr>
          <w:sz w:val="14"/>
        </w:rPr>
      </w:pPr>
      <w:r>
        <w:rPr>
          <w:w w:val="105"/>
          <w:sz w:val="14"/>
        </w:rPr>
        <w:t>En</w:t>
      </w:r>
      <w:r>
        <w:rPr>
          <w:spacing w:val="-10"/>
          <w:w w:val="105"/>
          <w:sz w:val="14"/>
        </w:rPr>
        <w:t xml:space="preserve"> </w:t>
      </w:r>
      <w:r>
        <w:rPr>
          <w:w w:val="105"/>
          <w:sz w:val="14"/>
        </w:rPr>
        <w:t>la</w:t>
      </w:r>
      <w:r>
        <w:rPr>
          <w:spacing w:val="-10"/>
          <w:w w:val="105"/>
          <w:sz w:val="14"/>
        </w:rPr>
        <w:t xml:space="preserve"> </w:t>
      </w:r>
      <w:r>
        <w:rPr>
          <w:w w:val="105"/>
          <w:sz w:val="14"/>
        </w:rPr>
        <w:t>cuarta</w:t>
      </w:r>
      <w:r>
        <w:rPr>
          <w:spacing w:val="-10"/>
          <w:w w:val="105"/>
          <w:sz w:val="14"/>
        </w:rPr>
        <w:t xml:space="preserve"> </w:t>
      </w:r>
      <w:r>
        <w:rPr>
          <w:w w:val="105"/>
          <w:sz w:val="14"/>
        </w:rPr>
        <w:t>parte,</w:t>
      </w:r>
      <w:r>
        <w:rPr>
          <w:spacing w:val="-10"/>
          <w:w w:val="105"/>
          <w:sz w:val="14"/>
        </w:rPr>
        <w:t xml:space="preserve"> </w:t>
      </w:r>
      <w:r>
        <w:rPr>
          <w:w w:val="105"/>
          <w:sz w:val="14"/>
        </w:rPr>
        <w:t>los</w:t>
      </w:r>
      <w:r>
        <w:rPr>
          <w:spacing w:val="-10"/>
          <w:w w:val="105"/>
          <w:sz w:val="14"/>
        </w:rPr>
        <w:t xml:space="preserve"> </w:t>
      </w:r>
      <w:r>
        <w:rPr>
          <w:w w:val="105"/>
          <w:sz w:val="14"/>
        </w:rPr>
        <w:t>redactores</w:t>
      </w:r>
      <w:r>
        <w:rPr>
          <w:spacing w:val="-11"/>
          <w:w w:val="105"/>
          <w:sz w:val="14"/>
        </w:rPr>
        <w:t xml:space="preserve"> </w:t>
      </w:r>
      <w:r>
        <w:rPr>
          <w:w w:val="105"/>
          <w:sz w:val="14"/>
        </w:rPr>
        <w:t>examinan</w:t>
      </w:r>
      <w:r>
        <w:rPr>
          <w:spacing w:val="-9"/>
          <w:w w:val="105"/>
          <w:sz w:val="14"/>
        </w:rPr>
        <w:t xml:space="preserve"> </w:t>
      </w:r>
      <w:r>
        <w:rPr>
          <w:w w:val="105"/>
          <w:sz w:val="14"/>
        </w:rPr>
        <w:t>dos</w:t>
      </w:r>
      <w:r>
        <w:rPr>
          <w:spacing w:val="-10"/>
          <w:w w:val="105"/>
          <w:sz w:val="14"/>
        </w:rPr>
        <w:t xml:space="preserve"> </w:t>
      </w:r>
      <w:r>
        <w:rPr>
          <w:w w:val="105"/>
          <w:sz w:val="14"/>
        </w:rPr>
        <w:t>cuestiones</w:t>
      </w:r>
      <w:r>
        <w:rPr>
          <w:spacing w:val="-11"/>
          <w:w w:val="105"/>
          <w:sz w:val="14"/>
        </w:rPr>
        <w:t xml:space="preserve"> </w:t>
      </w:r>
      <w:r>
        <w:rPr>
          <w:w w:val="105"/>
          <w:sz w:val="14"/>
        </w:rPr>
        <w:t>discretas</w:t>
      </w:r>
      <w:r>
        <w:rPr>
          <w:spacing w:val="-10"/>
          <w:w w:val="105"/>
          <w:sz w:val="14"/>
        </w:rPr>
        <w:t xml:space="preserve"> </w:t>
      </w:r>
      <w:r>
        <w:rPr>
          <w:w w:val="105"/>
          <w:sz w:val="14"/>
        </w:rPr>
        <w:t>relacionadas</w:t>
      </w:r>
      <w:r>
        <w:rPr>
          <w:spacing w:val="-10"/>
          <w:w w:val="105"/>
          <w:sz w:val="14"/>
        </w:rPr>
        <w:t xml:space="preserve"> </w:t>
      </w:r>
      <w:r>
        <w:rPr>
          <w:w w:val="105"/>
          <w:sz w:val="14"/>
        </w:rPr>
        <w:t>con</w:t>
      </w:r>
      <w:r>
        <w:rPr>
          <w:spacing w:val="-9"/>
          <w:w w:val="105"/>
          <w:sz w:val="14"/>
        </w:rPr>
        <w:t xml:space="preserve"> </w:t>
      </w:r>
      <w:r>
        <w:rPr>
          <w:w w:val="105"/>
          <w:sz w:val="14"/>
        </w:rPr>
        <w:t>el</w:t>
      </w:r>
      <w:r>
        <w:rPr>
          <w:spacing w:val="-10"/>
          <w:w w:val="105"/>
          <w:sz w:val="14"/>
        </w:rPr>
        <w:t xml:space="preserve"> </w:t>
      </w:r>
      <w:r>
        <w:rPr>
          <w:w w:val="105"/>
          <w:sz w:val="14"/>
        </w:rPr>
        <w:t>desarrollo</w:t>
      </w:r>
      <w:r>
        <w:rPr>
          <w:spacing w:val="-10"/>
          <w:w w:val="105"/>
          <w:sz w:val="14"/>
        </w:rPr>
        <w:t xml:space="preserve"> </w:t>
      </w:r>
      <w:r>
        <w:rPr>
          <w:w w:val="105"/>
          <w:sz w:val="14"/>
        </w:rPr>
        <w:t>de</w:t>
      </w:r>
      <w:r>
        <w:rPr>
          <w:spacing w:val="-10"/>
          <w:w w:val="105"/>
          <w:sz w:val="14"/>
        </w:rPr>
        <w:t xml:space="preserve"> </w:t>
      </w:r>
      <w:r>
        <w:rPr>
          <w:w w:val="105"/>
          <w:sz w:val="14"/>
        </w:rPr>
        <w:t>una</w:t>
      </w:r>
      <w:r>
        <w:rPr>
          <w:spacing w:val="-10"/>
          <w:w w:val="105"/>
          <w:sz w:val="14"/>
        </w:rPr>
        <w:t xml:space="preserve"> </w:t>
      </w:r>
      <w:r>
        <w:rPr>
          <w:w w:val="105"/>
          <w:sz w:val="14"/>
        </w:rPr>
        <w:t>ley</w:t>
      </w:r>
      <w:r>
        <w:rPr>
          <w:spacing w:val="-10"/>
          <w:w w:val="105"/>
          <w:sz w:val="14"/>
        </w:rPr>
        <w:t xml:space="preserve"> </w:t>
      </w:r>
      <w:r>
        <w:rPr>
          <w:w w:val="105"/>
          <w:sz w:val="14"/>
        </w:rPr>
        <w:t>integral</w:t>
      </w:r>
      <w:r>
        <w:rPr>
          <w:spacing w:val="-10"/>
          <w:w w:val="105"/>
          <w:sz w:val="14"/>
        </w:rPr>
        <w:t xml:space="preserve"> </w:t>
      </w:r>
      <w:r>
        <w:rPr>
          <w:w w:val="105"/>
          <w:sz w:val="14"/>
        </w:rPr>
        <w:t>contra</w:t>
      </w:r>
      <w:r>
        <w:rPr>
          <w:spacing w:val="-10"/>
          <w:w w:val="105"/>
          <w:sz w:val="14"/>
        </w:rPr>
        <w:t xml:space="preserve"> </w:t>
      </w:r>
      <w:r>
        <w:rPr>
          <w:w w:val="105"/>
          <w:sz w:val="14"/>
        </w:rPr>
        <w:t>la</w:t>
      </w:r>
      <w:r>
        <w:rPr>
          <w:spacing w:val="-10"/>
          <w:w w:val="105"/>
          <w:sz w:val="14"/>
        </w:rPr>
        <w:t xml:space="preserve"> </w:t>
      </w:r>
      <w:r>
        <w:rPr>
          <w:w w:val="105"/>
          <w:sz w:val="14"/>
        </w:rPr>
        <w:t>discriminación: la</w:t>
      </w:r>
      <w:r>
        <w:rPr>
          <w:spacing w:val="-9"/>
          <w:w w:val="105"/>
          <w:sz w:val="14"/>
        </w:rPr>
        <w:t xml:space="preserve"> </w:t>
      </w:r>
      <w:r>
        <w:rPr>
          <w:w w:val="105"/>
          <w:sz w:val="14"/>
        </w:rPr>
        <w:t>violencia</w:t>
      </w:r>
      <w:r>
        <w:rPr>
          <w:spacing w:val="-9"/>
          <w:w w:val="105"/>
          <w:sz w:val="14"/>
        </w:rPr>
        <w:t xml:space="preserve"> </w:t>
      </w:r>
      <w:r>
        <w:rPr>
          <w:w w:val="105"/>
          <w:sz w:val="14"/>
        </w:rPr>
        <w:t>discriminatoria</w:t>
      </w:r>
      <w:r>
        <w:rPr>
          <w:spacing w:val="-9"/>
          <w:w w:val="105"/>
          <w:sz w:val="14"/>
        </w:rPr>
        <w:t xml:space="preserve"> </w:t>
      </w:r>
      <w:r>
        <w:rPr>
          <w:w w:val="105"/>
          <w:sz w:val="14"/>
        </w:rPr>
        <w:t>y</w:t>
      </w:r>
      <w:r>
        <w:rPr>
          <w:spacing w:val="-9"/>
          <w:w w:val="105"/>
          <w:sz w:val="14"/>
        </w:rPr>
        <w:t xml:space="preserve"> </w:t>
      </w:r>
      <w:r>
        <w:rPr>
          <w:w w:val="105"/>
          <w:sz w:val="14"/>
        </w:rPr>
        <w:t>los</w:t>
      </w:r>
      <w:r>
        <w:rPr>
          <w:spacing w:val="-9"/>
          <w:w w:val="105"/>
          <w:sz w:val="14"/>
        </w:rPr>
        <w:t xml:space="preserve"> </w:t>
      </w:r>
      <w:r>
        <w:rPr>
          <w:w w:val="105"/>
          <w:sz w:val="14"/>
        </w:rPr>
        <w:t>delitos</w:t>
      </w:r>
      <w:r>
        <w:rPr>
          <w:spacing w:val="-10"/>
          <w:w w:val="105"/>
          <w:sz w:val="14"/>
        </w:rPr>
        <w:t xml:space="preserve"> </w:t>
      </w:r>
      <w:r>
        <w:rPr>
          <w:w w:val="105"/>
          <w:sz w:val="14"/>
        </w:rPr>
        <w:t>de</w:t>
      </w:r>
      <w:r>
        <w:rPr>
          <w:spacing w:val="-9"/>
          <w:w w:val="105"/>
          <w:sz w:val="14"/>
        </w:rPr>
        <w:t xml:space="preserve"> </w:t>
      </w:r>
      <w:r>
        <w:rPr>
          <w:w w:val="105"/>
          <w:sz w:val="14"/>
        </w:rPr>
        <w:t>odio;</w:t>
      </w:r>
      <w:r>
        <w:rPr>
          <w:spacing w:val="-9"/>
          <w:w w:val="105"/>
          <w:sz w:val="14"/>
        </w:rPr>
        <w:t xml:space="preserve"> </w:t>
      </w:r>
      <w:r>
        <w:rPr>
          <w:w w:val="105"/>
          <w:sz w:val="14"/>
        </w:rPr>
        <w:t>y</w:t>
      </w:r>
      <w:r>
        <w:rPr>
          <w:spacing w:val="-9"/>
          <w:w w:val="105"/>
          <w:sz w:val="14"/>
        </w:rPr>
        <w:t xml:space="preserve"> </w:t>
      </w:r>
      <w:r>
        <w:rPr>
          <w:w w:val="105"/>
          <w:sz w:val="14"/>
        </w:rPr>
        <w:t>discursos</w:t>
      </w:r>
      <w:r>
        <w:rPr>
          <w:spacing w:val="-9"/>
          <w:w w:val="105"/>
          <w:sz w:val="14"/>
        </w:rPr>
        <w:t xml:space="preserve"> </w:t>
      </w:r>
      <w:r>
        <w:rPr>
          <w:w w:val="105"/>
          <w:sz w:val="14"/>
        </w:rPr>
        <w:t>de</w:t>
      </w:r>
      <w:r>
        <w:rPr>
          <w:spacing w:val="-9"/>
          <w:w w:val="105"/>
          <w:sz w:val="14"/>
        </w:rPr>
        <w:t xml:space="preserve"> </w:t>
      </w:r>
      <w:r>
        <w:rPr>
          <w:w w:val="105"/>
          <w:sz w:val="14"/>
        </w:rPr>
        <w:t>odio</w:t>
      </w:r>
      <w:r>
        <w:rPr>
          <w:spacing w:val="-9"/>
          <w:w w:val="105"/>
          <w:sz w:val="14"/>
        </w:rPr>
        <w:t xml:space="preserve"> </w:t>
      </w:r>
      <w:r>
        <w:rPr>
          <w:w w:val="105"/>
          <w:sz w:val="14"/>
        </w:rPr>
        <w:t>e</w:t>
      </w:r>
      <w:r>
        <w:rPr>
          <w:spacing w:val="-9"/>
          <w:w w:val="105"/>
          <w:sz w:val="14"/>
        </w:rPr>
        <w:t xml:space="preserve"> </w:t>
      </w:r>
      <w:r>
        <w:rPr>
          <w:w w:val="105"/>
          <w:sz w:val="14"/>
        </w:rPr>
        <w:t>incitación.</w:t>
      </w:r>
    </w:p>
    <w:p w14:paraId="51AAE112" w14:textId="77777777" w:rsidR="0014798C" w:rsidRDefault="0014798C">
      <w:pPr>
        <w:pStyle w:val="Textoindependiente"/>
        <w:spacing w:before="9"/>
        <w:rPr>
          <w:sz w:val="14"/>
        </w:rPr>
      </w:pPr>
    </w:p>
    <w:p w14:paraId="23894050" w14:textId="77777777" w:rsidR="0014798C" w:rsidRDefault="004E1F0B">
      <w:pPr>
        <w:spacing w:before="1" w:line="372" w:lineRule="auto"/>
        <w:ind w:left="1107" w:right="1272" w:hanging="1"/>
        <w:rPr>
          <w:sz w:val="14"/>
        </w:rPr>
      </w:pPr>
      <w:r>
        <w:rPr>
          <w:w w:val="105"/>
          <w:sz w:val="14"/>
        </w:rPr>
        <w:t>La</w:t>
      </w:r>
      <w:r>
        <w:rPr>
          <w:spacing w:val="-8"/>
          <w:w w:val="105"/>
          <w:sz w:val="14"/>
        </w:rPr>
        <w:t xml:space="preserve"> </w:t>
      </w:r>
      <w:r>
        <w:rPr>
          <w:w w:val="105"/>
          <w:sz w:val="14"/>
        </w:rPr>
        <w:t>guía</w:t>
      </w:r>
      <w:r>
        <w:rPr>
          <w:spacing w:val="-8"/>
          <w:w w:val="105"/>
          <w:sz w:val="14"/>
        </w:rPr>
        <w:t xml:space="preserve"> </w:t>
      </w:r>
      <w:r>
        <w:rPr>
          <w:w w:val="105"/>
          <w:sz w:val="14"/>
        </w:rPr>
        <w:t>concluye</w:t>
      </w:r>
      <w:r>
        <w:rPr>
          <w:spacing w:val="-8"/>
          <w:w w:val="105"/>
          <w:sz w:val="14"/>
        </w:rPr>
        <w:t xml:space="preserve"> </w:t>
      </w:r>
      <w:r>
        <w:rPr>
          <w:w w:val="105"/>
          <w:sz w:val="14"/>
        </w:rPr>
        <w:t>con</w:t>
      </w:r>
      <w:r>
        <w:rPr>
          <w:spacing w:val="-8"/>
          <w:w w:val="105"/>
          <w:sz w:val="14"/>
        </w:rPr>
        <w:t xml:space="preserve"> </w:t>
      </w:r>
      <w:r>
        <w:rPr>
          <w:w w:val="105"/>
          <w:sz w:val="14"/>
        </w:rPr>
        <w:t>una</w:t>
      </w:r>
      <w:r>
        <w:rPr>
          <w:spacing w:val="-8"/>
          <w:w w:val="105"/>
          <w:sz w:val="14"/>
        </w:rPr>
        <w:t xml:space="preserve"> </w:t>
      </w:r>
      <w:r>
        <w:rPr>
          <w:w w:val="105"/>
          <w:sz w:val="14"/>
        </w:rPr>
        <w:t>sección</w:t>
      </w:r>
      <w:r>
        <w:rPr>
          <w:spacing w:val="-8"/>
          <w:w w:val="105"/>
          <w:sz w:val="14"/>
        </w:rPr>
        <w:t xml:space="preserve"> </w:t>
      </w:r>
      <w:r>
        <w:rPr>
          <w:w w:val="105"/>
          <w:sz w:val="14"/>
        </w:rPr>
        <w:t>que</w:t>
      </w:r>
      <w:r>
        <w:rPr>
          <w:spacing w:val="-8"/>
          <w:w w:val="105"/>
          <w:sz w:val="14"/>
        </w:rPr>
        <w:t xml:space="preserve"> </w:t>
      </w:r>
      <w:r>
        <w:rPr>
          <w:w w:val="105"/>
          <w:sz w:val="14"/>
        </w:rPr>
        <w:t>examina</w:t>
      </w:r>
      <w:r>
        <w:rPr>
          <w:spacing w:val="-8"/>
          <w:w w:val="105"/>
          <w:sz w:val="14"/>
        </w:rPr>
        <w:t xml:space="preserve"> </w:t>
      </w:r>
      <w:r>
        <w:rPr>
          <w:w w:val="105"/>
          <w:sz w:val="14"/>
        </w:rPr>
        <w:t>el</w:t>
      </w:r>
      <w:r>
        <w:rPr>
          <w:spacing w:val="-8"/>
          <w:w w:val="105"/>
          <w:sz w:val="14"/>
        </w:rPr>
        <w:t xml:space="preserve"> </w:t>
      </w:r>
      <w:r>
        <w:rPr>
          <w:w w:val="105"/>
          <w:sz w:val="14"/>
        </w:rPr>
        <w:t>papel</w:t>
      </w:r>
      <w:r>
        <w:rPr>
          <w:spacing w:val="-8"/>
          <w:w w:val="105"/>
          <w:sz w:val="14"/>
        </w:rPr>
        <w:t xml:space="preserve"> </w:t>
      </w:r>
      <w:r>
        <w:rPr>
          <w:w w:val="105"/>
          <w:sz w:val="14"/>
        </w:rPr>
        <w:t>de</w:t>
      </w:r>
      <w:r>
        <w:rPr>
          <w:spacing w:val="-8"/>
          <w:w w:val="105"/>
          <w:sz w:val="14"/>
        </w:rPr>
        <w:t xml:space="preserve"> </w:t>
      </w:r>
      <w:r>
        <w:rPr>
          <w:w w:val="105"/>
          <w:sz w:val="14"/>
        </w:rPr>
        <w:t>las</w:t>
      </w:r>
      <w:r>
        <w:rPr>
          <w:spacing w:val="-8"/>
          <w:w w:val="105"/>
          <w:sz w:val="14"/>
        </w:rPr>
        <w:t xml:space="preserve"> </w:t>
      </w:r>
      <w:r>
        <w:rPr>
          <w:w w:val="105"/>
          <w:sz w:val="14"/>
        </w:rPr>
        <w:t>leyes</w:t>
      </w:r>
      <w:r>
        <w:rPr>
          <w:spacing w:val="-8"/>
          <w:w w:val="105"/>
          <w:sz w:val="14"/>
        </w:rPr>
        <w:t xml:space="preserve"> </w:t>
      </w:r>
      <w:r>
        <w:rPr>
          <w:w w:val="105"/>
          <w:sz w:val="14"/>
        </w:rPr>
        <w:t>contra</w:t>
      </w:r>
      <w:r>
        <w:rPr>
          <w:spacing w:val="-8"/>
          <w:w w:val="105"/>
          <w:sz w:val="14"/>
        </w:rPr>
        <w:t xml:space="preserve"> </w:t>
      </w:r>
      <w:r>
        <w:rPr>
          <w:w w:val="105"/>
          <w:sz w:val="14"/>
        </w:rPr>
        <w:t>la</w:t>
      </w:r>
      <w:r>
        <w:rPr>
          <w:spacing w:val="-8"/>
          <w:w w:val="105"/>
          <w:sz w:val="14"/>
        </w:rPr>
        <w:t xml:space="preserve"> </w:t>
      </w:r>
      <w:r>
        <w:rPr>
          <w:w w:val="105"/>
          <w:sz w:val="14"/>
        </w:rPr>
        <w:t>discriminación</w:t>
      </w:r>
      <w:r>
        <w:rPr>
          <w:spacing w:val="-8"/>
          <w:w w:val="105"/>
          <w:sz w:val="14"/>
        </w:rPr>
        <w:t xml:space="preserve"> </w:t>
      </w:r>
      <w:r>
        <w:rPr>
          <w:w w:val="105"/>
          <w:sz w:val="14"/>
        </w:rPr>
        <w:t>en</w:t>
      </w:r>
      <w:r>
        <w:rPr>
          <w:spacing w:val="-8"/>
          <w:w w:val="105"/>
          <w:sz w:val="14"/>
        </w:rPr>
        <w:t xml:space="preserve"> </w:t>
      </w:r>
      <w:r>
        <w:rPr>
          <w:w w:val="105"/>
          <w:sz w:val="14"/>
        </w:rPr>
        <w:t>el</w:t>
      </w:r>
      <w:r>
        <w:rPr>
          <w:spacing w:val="-8"/>
          <w:w w:val="105"/>
          <w:sz w:val="14"/>
        </w:rPr>
        <w:t xml:space="preserve"> </w:t>
      </w:r>
      <w:r>
        <w:rPr>
          <w:w w:val="105"/>
          <w:sz w:val="14"/>
        </w:rPr>
        <w:t>cumplimiento</w:t>
      </w:r>
      <w:r>
        <w:rPr>
          <w:spacing w:val="-8"/>
          <w:w w:val="105"/>
          <w:sz w:val="14"/>
        </w:rPr>
        <w:t xml:space="preserve"> </w:t>
      </w:r>
      <w:r>
        <w:rPr>
          <w:w w:val="105"/>
          <w:sz w:val="14"/>
        </w:rPr>
        <w:t>de</w:t>
      </w:r>
      <w:r>
        <w:rPr>
          <w:spacing w:val="-8"/>
          <w:w w:val="105"/>
          <w:sz w:val="14"/>
        </w:rPr>
        <w:t xml:space="preserve"> </w:t>
      </w:r>
      <w:r>
        <w:rPr>
          <w:w w:val="105"/>
          <w:sz w:val="14"/>
        </w:rPr>
        <w:t>las</w:t>
      </w:r>
      <w:r>
        <w:rPr>
          <w:spacing w:val="-8"/>
          <w:w w:val="105"/>
          <w:sz w:val="14"/>
        </w:rPr>
        <w:t xml:space="preserve"> </w:t>
      </w:r>
      <w:r>
        <w:rPr>
          <w:w w:val="105"/>
          <w:sz w:val="14"/>
        </w:rPr>
        <w:t>obligaciones</w:t>
      </w:r>
      <w:r>
        <w:rPr>
          <w:spacing w:val="-9"/>
          <w:w w:val="105"/>
          <w:sz w:val="14"/>
        </w:rPr>
        <w:t xml:space="preserve"> </w:t>
      </w:r>
      <w:r>
        <w:rPr>
          <w:w w:val="105"/>
          <w:sz w:val="14"/>
        </w:rPr>
        <w:t>de</w:t>
      </w:r>
      <w:r>
        <w:rPr>
          <w:spacing w:val="-8"/>
          <w:w w:val="105"/>
          <w:sz w:val="14"/>
        </w:rPr>
        <w:t xml:space="preserve"> </w:t>
      </w:r>
      <w:r>
        <w:rPr>
          <w:w w:val="105"/>
          <w:sz w:val="14"/>
        </w:rPr>
        <w:t>los Estados</w:t>
      </w:r>
      <w:r>
        <w:rPr>
          <w:spacing w:val="-1"/>
          <w:w w:val="105"/>
          <w:sz w:val="14"/>
        </w:rPr>
        <w:t xml:space="preserve"> </w:t>
      </w:r>
      <w:r>
        <w:rPr>
          <w:w w:val="105"/>
          <w:sz w:val="14"/>
        </w:rPr>
        <w:t>de abordar las causas profundas</w:t>
      </w:r>
      <w:r>
        <w:rPr>
          <w:spacing w:val="-1"/>
          <w:w w:val="105"/>
          <w:sz w:val="14"/>
        </w:rPr>
        <w:t xml:space="preserve"> </w:t>
      </w:r>
      <w:r>
        <w:rPr>
          <w:w w:val="105"/>
          <w:sz w:val="14"/>
        </w:rPr>
        <w:t>de la discriminación y promover la diversidad.</w:t>
      </w:r>
    </w:p>
    <w:p w14:paraId="63750F8F" w14:textId="77777777" w:rsidR="0014798C" w:rsidRDefault="004E1F0B">
      <w:pPr>
        <w:numPr>
          <w:ilvl w:val="1"/>
          <w:numId w:val="93"/>
        </w:numPr>
        <w:tabs>
          <w:tab w:val="left" w:pos="1451"/>
        </w:tabs>
        <w:spacing w:before="270"/>
        <w:ind w:left="1451" w:hanging="331"/>
        <w:rPr>
          <w:color w:val="0075BF"/>
          <w:sz w:val="27"/>
        </w:rPr>
      </w:pPr>
      <w:r>
        <w:rPr>
          <w:color w:val="0075BF"/>
          <w:sz w:val="27"/>
        </w:rPr>
        <w:t>Estructura</w:t>
      </w:r>
      <w:r>
        <w:rPr>
          <w:color w:val="0075BF"/>
          <w:spacing w:val="2"/>
          <w:sz w:val="27"/>
        </w:rPr>
        <w:t xml:space="preserve"> </w:t>
      </w:r>
      <w:r>
        <w:rPr>
          <w:color w:val="0075BF"/>
          <w:sz w:val="27"/>
        </w:rPr>
        <w:t>de</w:t>
      </w:r>
      <w:r>
        <w:rPr>
          <w:color w:val="0075BF"/>
          <w:spacing w:val="3"/>
          <w:sz w:val="27"/>
        </w:rPr>
        <w:t xml:space="preserve"> </w:t>
      </w:r>
      <w:r>
        <w:rPr>
          <w:color w:val="0075BF"/>
          <w:sz w:val="27"/>
        </w:rPr>
        <w:t>las</w:t>
      </w:r>
      <w:r>
        <w:rPr>
          <w:color w:val="0075BF"/>
          <w:spacing w:val="3"/>
          <w:sz w:val="27"/>
        </w:rPr>
        <w:t xml:space="preserve"> </w:t>
      </w:r>
      <w:r>
        <w:rPr>
          <w:color w:val="0075BF"/>
          <w:spacing w:val="-2"/>
          <w:sz w:val="27"/>
        </w:rPr>
        <w:t>secciones</w:t>
      </w:r>
    </w:p>
    <w:p w14:paraId="1CE2BA44" w14:textId="77777777" w:rsidR="0014798C" w:rsidRDefault="004E1F0B">
      <w:pPr>
        <w:spacing w:before="272" w:line="372" w:lineRule="auto"/>
        <w:ind w:left="1108" w:right="1166" w:firstLine="1"/>
        <w:rPr>
          <w:sz w:val="14"/>
        </w:rPr>
      </w:pPr>
      <w:r>
        <w:rPr>
          <w:w w:val="105"/>
          <w:sz w:val="14"/>
        </w:rPr>
        <w:t>Cada</w:t>
      </w:r>
      <w:r>
        <w:rPr>
          <w:spacing w:val="-5"/>
          <w:w w:val="105"/>
          <w:sz w:val="14"/>
        </w:rPr>
        <w:t xml:space="preserve"> </w:t>
      </w:r>
      <w:r>
        <w:rPr>
          <w:w w:val="105"/>
          <w:sz w:val="14"/>
        </w:rPr>
        <w:t>parte</w:t>
      </w:r>
      <w:r>
        <w:rPr>
          <w:spacing w:val="-5"/>
          <w:w w:val="105"/>
          <w:sz w:val="14"/>
        </w:rPr>
        <w:t xml:space="preserve"> </w:t>
      </w:r>
      <w:r>
        <w:rPr>
          <w:w w:val="105"/>
          <w:sz w:val="14"/>
        </w:rPr>
        <w:t>de</w:t>
      </w:r>
      <w:r>
        <w:rPr>
          <w:spacing w:val="-5"/>
          <w:w w:val="105"/>
          <w:sz w:val="14"/>
        </w:rPr>
        <w:t xml:space="preserve"> </w:t>
      </w:r>
      <w:r>
        <w:rPr>
          <w:w w:val="105"/>
          <w:sz w:val="14"/>
        </w:rPr>
        <w:t>la</w:t>
      </w:r>
      <w:r>
        <w:rPr>
          <w:spacing w:val="-5"/>
          <w:w w:val="105"/>
          <w:sz w:val="14"/>
        </w:rPr>
        <w:t xml:space="preserve"> </w:t>
      </w:r>
      <w:r>
        <w:rPr>
          <w:w w:val="105"/>
          <w:sz w:val="14"/>
        </w:rPr>
        <w:t>guía</w:t>
      </w:r>
      <w:r>
        <w:rPr>
          <w:spacing w:val="-5"/>
          <w:w w:val="105"/>
          <w:sz w:val="14"/>
        </w:rPr>
        <w:t xml:space="preserve"> </w:t>
      </w:r>
      <w:r>
        <w:rPr>
          <w:w w:val="105"/>
          <w:sz w:val="14"/>
        </w:rPr>
        <w:t>está</w:t>
      </w:r>
      <w:r>
        <w:rPr>
          <w:spacing w:val="-5"/>
          <w:w w:val="105"/>
          <w:sz w:val="14"/>
        </w:rPr>
        <w:t xml:space="preserve"> </w:t>
      </w:r>
      <w:r>
        <w:rPr>
          <w:w w:val="105"/>
          <w:sz w:val="14"/>
        </w:rPr>
        <w:t>dividida</w:t>
      </w:r>
      <w:r>
        <w:rPr>
          <w:spacing w:val="-5"/>
          <w:w w:val="105"/>
          <w:sz w:val="14"/>
        </w:rPr>
        <w:t xml:space="preserve"> </w:t>
      </w:r>
      <w:r>
        <w:rPr>
          <w:w w:val="105"/>
          <w:sz w:val="14"/>
        </w:rPr>
        <w:t>en</w:t>
      </w:r>
      <w:r>
        <w:rPr>
          <w:spacing w:val="-5"/>
          <w:w w:val="105"/>
          <w:sz w:val="14"/>
        </w:rPr>
        <w:t xml:space="preserve"> </w:t>
      </w:r>
      <w:r>
        <w:rPr>
          <w:w w:val="105"/>
          <w:sz w:val="14"/>
        </w:rPr>
        <w:t>secciones,</w:t>
      </w:r>
      <w:r>
        <w:rPr>
          <w:spacing w:val="-4"/>
          <w:w w:val="105"/>
          <w:sz w:val="14"/>
        </w:rPr>
        <w:t xml:space="preserve"> </w:t>
      </w:r>
      <w:r>
        <w:rPr>
          <w:w w:val="105"/>
          <w:sz w:val="14"/>
        </w:rPr>
        <w:t>cada</w:t>
      </w:r>
      <w:r>
        <w:rPr>
          <w:spacing w:val="-5"/>
          <w:w w:val="105"/>
          <w:sz w:val="14"/>
        </w:rPr>
        <w:t xml:space="preserve"> </w:t>
      </w:r>
      <w:r>
        <w:rPr>
          <w:w w:val="105"/>
          <w:sz w:val="14"/>
        </w:rPr>
        <w:t>una</w:t>
      </w:r>
      <w:r>
        <w:rPr>
          <w:spacing w:val="-5"/>
          <w:w w:val="105"/>
          <w:sz w:val="14"/>
        </w:rPr>
        <w:t xml:space="preserve"> </w:t>
      </w:r>
      <w:r>
        <w:rPr>
          <w:w w:val="105"/>
          <w:sz w:val="14"/>
        </w:rPr>
        <w:t>de</w:t>
      </w:r>
      <w:r>
        <w:rPr>
          <w:spacing w:val="-5"/>
          <w:w w:val="105"/>
          <w:sz w:val="14"/>
        </w:rPr>
        <w:t xml:space="preserve"> </w:t>
      </w:r>
      <w:r>
        <w:rPr>
          <w:w w:val="105"/>
          <w:sz w:val="14"/>
        </w:rPr>
        <w:t>las</w:t>
      </w:r>
      <w:r>
        <w:rPr>
          <w:spacing w:val="-5"/>
          <w:w w:val="105"/>
          <w:sz w:val="14"/>
        </w:rPr>
        <w:t xml:space="preserve"> </w:t>
      </w:r>
      <w:r>
        <w:rPr>
          <w:w w:val="105"/>
          <w:sz w:val="14"/>
        </w:rPr>
        <w:t>cuales</w:t>
      </w:r>
      <w:r>
        <w:rPr>
          <w:spacing w:val="-5"/>
          <w:w w:val="105"/>
          <w:sz w:val="14"/>
        </w:rPr>
        <w:t xml:space="preserve"> </w:t>
      </w:r>
      <w:r>
        <w:rPr>
          <w:w w:val="105"/>
          <w:sz w:val="14"/>
        </w:rPr>
        <w:t>examina</w:t>
      </w:r>
      <w:r>
        <w:rPr>
          <w:spacing w:val="-5"/>
          <w:w w:val="105"/>
          <w:sz w:val="14"/>
        </w:rPr>
        <w:t xml:space="preserve"> </w:t>
      </w:r>
      <w:r>
        <w:rPr>
          <w:w w:val="105"/>
          <w:sz w:val="14"/>
        </w:rPr>
        <w:t>un</w:t>
      </w:r>
      <w:r>
        <w:rPr>
          <w:spacing w:val="-5"/>
          <w:w w:val="105"/>
          <w:sz w:val="14"/>
        </w:rPr>
        <w:t xml:space="preserve"> </w:t>
      </w:r>
      <w:r>
        <w:rPr>
          <w:w w:val="105"/>
          <w:sz w:val="14"/>
        </w:rPr>
        <w:t>elemento</w:t>
      </w:r>
      <w:r>
        <w:rPr>
          <w:spacing w:val="-5"/>
          <w:w w:val="105"/>
          <w:sz w:val="14"/>
        </w:rPr>
        <w:t xml:space="preserve"> </w:t>
      </w:r>
      <w:r>
        <w:rPr>
          <w:w w:val="105"/>
          <w:sz w:val="14"/>
        </w:rPr>
        <w:t>o</w:t>
      </w:r>
      <w:r>
        <w:rPr>
          <w:spacing w:val="-5"/>
          <w:w w:val="105"/>
          <w:sz w:val="14"/>
        </w:rPr>
        <w:t xml:space="preserve"> </w:t>
      </w:r>
      <w:r>
        <w:rPr>
          <w:w w:val="105"/>
          <w:sz w:val="14"/>
        </w:rPr>
        <w:t>componente</w:t>
      </w:r>
      <w:r>
        <w:rPr>
          <w:spacing w:val="-5"/>
          <w:w w:val="105"/>
          <w:sz w:val="14"/>
        </w:rPr>
        <w:t xml:space="preserve"> </w:t>
      </w:r>
      <w:r>
        <w:rPr>
          <w:w w:val="105"/>
          <w:sz w:val="14"/>
        </w:rPr>
        <w:t>específico</w:t>
      </w:r>
      <w:r>
        <w:rPr>
          <w:spacing w:val="-5"/>
          <w:w w:val="105"/>
          <w:sz w:val="14"/>
        </w:rPr>
        <w:t xml:space="preserve"> </w:t>
      </w:r>
      <w:r>
        <w:rPr>
          <w:w w:val="105"/>
          <w:sz w:val="14"/>
        </w:rPr>
        <w:t>de</w:t>
      </w:r>
      <w:r>
        <w:rPr>
          <w:spacing w:val="-5"/>
          <w:w w:val="105"/>
          <w:sz w:val="14"/>
        </w:rPr>
        <w:t xml:space="preserve"> </w:t>
      </w:r>
      <w:r>
        <w:rPr>
          <w:w w:val="105"/>
          <w:sz w:val="14"/>
        </w:rPr>
        <w:t>la</w:t>
      </w:r>
      <w:r>
        <w:rPr>
          <w:spacing w:val="-5"/>
          <w:w w:val="105"/>
          <w:sz w:val="14"/>
        </w:rPr>
        <w:t xml:space="preserve"> </w:t>
      </w:r>
      <w:r>
        <w:rPr>
          <w:w w:val="105"/>
          <w:sz w:val="14"/>
        </w:rPr>
        <w:t>ley</w:t>
      </w:r>
      <w:r>
        <w:rPr>
          <w:spacing w:val="-5"/>
          <w:w w:val="105"/>
          <w:sz w:val="14"/>
        </w:rPr>
        <w:t xml:space="preserve"> </w:t>
      </w:r>
      <w:r>
        <w:rPr>
          <w:w w:val="105"/>
          <w:sz w:val="14"/>
        </w:rPr>
        <w:t>contra</w:t>
      </w:r>
      <w:r>
        <w:rPr>
          <w:spacing w:val="-5"/>
          <w:w w:val="105"/>
          <w:sz w:val="14"/>
        </w:rPr>
        <w:t xml:space="preserve"> </w:t>
      </w:r>
      <w:r>
        <w:rPr>
          <w:w w:val="105"/>
          <w:sz w:val="14"/>
        </w:rPr>
        <w:t>la discriminación.</w:t>
      </w:r>
      <w:r>
        <w:rPr>
          <w:spacing w:val="-11"/>
          <w:w w:val="105"/>
          <w:sz w:val="14"/>
        </w:rPr>
        <w:t xml:space="preserve"> </w:t>
      </w:r>
      <w:r>
        <w:rPr>
          <w:w w:val="105"/>
          <w:sz w:val="14"/>
        </w:rPr>
        <w:t>Cada</w:t>
      </w:r>
      <w:r>
        <w:rPr>
          <w:spacing w:val="-10"/>
          <w:w w:val="105"/>
          <w:sz w:val="14"/>
        </w:rPr>
        <w:t xml:space="preserve"> </w:t>
      </w:r>
      <w:r>
        <w:rPr>
          <w:w w:val="105"/>
          <w:sz w:val="14"/>
        </w:rPr>
        <w:t>sección</w:t>
      </w:r>
      <w:r>
        <w:rPr>
          <w:spacing w:val="-10"/>
          <w:w w:val="105"/>
          <w:sz w:val="14"/>
        </w:rPr>
        <w:t xml:space="preserve"> </w:t>
      </w:r>
      <w:r>
        <w:rPr>
          <w:w w:val="105"/>
          <w:sz w:val="14"/>
        </w:rPr>
        <w:t>contiene</w:t>
      </w:r>
      <w:r>
        <w:rPr>
          <w:spacing w:val="-10"/>
          <w:w w:val="105"/>
          <w:sz w:val="14"/>
        </w:rPr>
        <w:t xml:space="preserve"> </w:t>
      </w:r>
      <w:r>
        <w:rPr>
          <w:w w:val="105"/>
          <w:sz w:val="14"/>
        </w:rPr>
        <w:t>una</w:t>
      </w:r>
      <w:r>
        <w:rPr>
          <w:spacing w:val="-11"/>
          <w:w w:val="105"/>
          <w:sz w:val="14"/>
        </w:rPr>
        <w:t xml:space="preserve"> </w:t>
      </w:r>
      <w:r>
        <w:rPr>
          <w:w w:val="105"/>
          <w:sz w:val="14"/>
        </w:rPr>
        <w:t>discusión</w:t>
      </w:r>
      <w:r>
        <w:rPr>
          <w:spacing w:val="-10"/>
          <w:w w:val="105"/>
          <w:sz w:val="14"/>
        </w:rPr>
        <w:t xml:space="preserve"> </w:t>
      </w:r>
      <w:r>
        <w:rPr>
          <w:w w:val="105"/>
          <w:sz w:val="14"/>
        </w:rPr>
        <w:t>del</w:t>
      </w:r>
      <w:r>
        <w:rPr>
          <w:spacing w:val="-10"/>
          <w:w w:val="105"/>
          <w:sz w:val="14"/>
        </w:rPr>
        <w:t xml:space="preserve"> </w:t>
      </w:r>
      <w:r>
        <w:rPr>
          <w:w w:val="105"/>
          <w:sz w:val="14"/>
        </w:rPr>
        <w:t>concepto</w:t>
      </w:r>
      <w:r>
        <w:rPr>
          <w:spacing w:val="-10"/>
          <w:w w:val="105"/>
          <w:sz w:val="14"/>
        </w:rPr>
        <w:t xml:space="preserve"> </w:t>
      </w:r>
      <w:r>
        <w:rPr>
          <w:w w:val="105"/>
          <w:sz w:val="14"/>
        </w:rPr>
        <w:t>legal</w:t>
      </w:r>
      <w:r>
        <w:rPr>
          <w:spacing w:val="-10"/>
          <w:w w:val="105"/>
          <w:sz w:val="14"/>
        </w:rPr>
        <w:t xml:space="preserve"> </w:t>
      </w:r>
      <w:r>
        <w:rPr>
          <w:w w:val="105"/>
          <w:sz w:val="14"/>
        </w:rPr>
        <w:t>relevante,</w:t>
      </w:r>
      <w:r>
        <w:rPr>
          <w:spacing w:val="-11"/>
          <w:w w:val="105"/>
          <w:sz w:val="14"/>
        </w:rPr>
        <w:t xml:space="preserve"> </w:t>
      </w:r>
      <w:r>
        <w:rPr>
          <w:w w:val="105"/>
          <w:sz w:val="14"/>
        </w:rPr>
        <w:t>comenzando</w:t>
      </w:r>
      <w:r>
        <w:rPr>
          <w:spacing w:val="-10"/>
          <w:w w:val="105"/>
          <w:sz w:val="14"/>
        </w:rPr>
        <w:t xml:space="preserve"> </w:t>
      </w:r>
      <w:r>
        <w:rPr>
          <w:w w:val="105"/>
          <w:sz w:val="14"/>
        </w:rPr>
        <w:t>con</w:t>
      </w:r>
      <w:r>
        <w:rPr>
          <w:spacing w:val="-10"/>
          <w:w w:val="105"/>
          <w:sz w:val="14"/>
        </w:rPr>
        <w:t xml:space="preserve"> </w:t>
      </w:r>
      <w:r>
        <w:rPr>
          <w:w w:val="105"/>
          <w:sz w:val="14"/>
        </w:rPr>
        <w:t>un</w:t>
      </w:r>
      <w:r>
        <w:rPr>
          <w:spacing w:val="-10"/>
          <w:w w:val="105"/>
          <w:sz w:val="14"/>
        </w:rPr>
        <w:t xml:space="preserve"> </w:t>
      </w:r>
      <w:r>
        <w:rPr>
          <w:w w:val="105"/>
          <w:sz w:val="14"/>
        </w:rPr>
        <w:t>enfoque</w:t>
      </w:r>
      <w:r>
        <w:rPr>
          <w:spacing w:val="-10"/>
          <w:w w:val="105"/>
          <w:sz w:val="14"/>
        </w:rPr>
        <w:t xml:space="preserve"> </w:t>
      </w:r>
      <w:r>
        <w:rPr>
          <w:w w:val="105"/>
          <w:sz w:val="14"/>
        </w:rPr>
        <w:t>en</w:t>
      </w:r>
      <w:r>
        <w:rPr>
          <w:spacing w:val="-11"/>
          <w:w w:val="105"/>
          <w:sz w:val="14"/>
        </w:rPr>
        <w:t xml:space="preserve"> </w:t>
      </w:r>
      <w:r>
        <w:rPr>
          <w:w w:val="105"/>
          <w:sz w:val="14"/>
        </w:rPr>
        <w:t>el</w:t>
      </w:r>
      <w:r>
        <w:rPr>
          <w:spacing w:val="-10"/>
          <w:w w:val="105"/>
          <w:sz w:val="14"/>
        </w:rPr>
        <w:t xml:space="preserve"> </w:t>
      </w:r>
      <w:r>
        <w:rPr>
          <w:w w:val="105"/>
          <w:sz w:val="14"/>
        </w:rPr>
        <w:t>estándar</w:t>
      </w:r>
      <w:r>
        <w:rPr>
          <w:spacing w:val="-10"/>
          <w:w w:val="105"/>
          <w:sz w:val="14"/>
        </w:rPr>
        <w:t xml:space="preserve"> </w:t>
      </w:r>
      <w:r>
        <w:rPr>
          <w:w w:val="105"/>
          <w:sz w:val="14"/>
        </w:rPr>
        <w:t>legal</w:t>
      </w:r>
      <w:r>
        <w:rPr>
          <w:spacing w:val="-10"/>
          <w:w w:val="105"/>
          <w:sz w:val="14"/>
        </w:rPr>
        <w:t xml:space="preserve"> </w:t>
      </w:r>
      <w:r>
        <w:rPr>
          <w:w w:val="105"/>
          <w:sz w:val="14"/>
        </w:rPr>
        <w:t>internacional relevante</w:t>
      </w:r>
      <w:r>
        <w:rPr>
          <w:spacing w:val="-5"/>
          <w:w w:val="105"/>
          <w:sz w:val="14"/>
        </w:rPr>
        <w:t xml:space="preserve"> </w:t>
      </w:r>
      <w:r>
        <w:rPr>
          <w:w w:val="105"/>
          <w:sz w:val="14"/>
        </w:rPr>
        <w:t>establecido</w:t>
      </w:r>
      <w:r>
        <w:rPr>
          <w:spacing w:val="-5"/>
          <w:w w:val="105"/>
          <w:sz w:val="14"/>
        </w:rPr>
        <w:t xml:space="preserve"> </w:t>
      </w:r>
      <w:r>
        <w:rPr>
          <w:w w:val="105"/>
          <w:sz w:val="14"/>
        </w:rPr>
        <w:t>en</w:t>
      </w:r>
      <w:r>
        <w:rPr>
          <w:spacing w:val="-5"/>
          <w:w w:val="105"/>
          <w:sz w:val="14"/>
        </w:rPr>
        <w:t xml:space="preserve"> </w:t>
      </w:r>
      <w:r>
        <w:rPr>
          <w:w w:val="105"/>
          <w:sz w:val="14"/>
        </w:rPr>
        <w:t>los</w:t>
      </w:r>
      <w:r>
        <w:rPr>
          <w:spacing w:val="-5"/>
          <w:w w:val="105"/>
          <w:sz w:val="14"/>
        </w:rPr>
        <w:t xml:space="preserve"> </w:t>
      </w:r>
      <w:r>
        <w:rPr>
          <w:w w:val="105"/>
          <w:sz w:val="14"/>
        </w:rPr>
        <w:t>tratados</w:t>
      </w:r>
      <w:r>
        <w:rPr>
          <w:spacing w:val="-6"/>
          <w:w w:val="105"/>
          <w:sz w:val="14"/>
        </w:rPr>
        <w:t xml:space="preserve"> </w:t>
      </w:r>
      <w:r>
        <w:rPr>
          <w:w w:val="105"/>
          <w:sz w:val="14"/>
        </w:rPr>
        <w:t>de</w:t>
      </w:r>
      <w:r>
        <w:rPr>
          <w:spacing w:val="-5"/>
          <w:w w:val="105"/>
          <w:sz w:val="14"/>
        </w:rPr>
        <w:t xml:space="preserve"> </w:t>
      </w:r>
      <w:r>
        <w:rPr>
          <w:w w:val="105"/>
          <w:sz w:val="14"/>
        </w:rPr>
        <w:t>derechos</w:t>
      </w:r>
      <w:r>
        <w:rPr>
          <w:spacing w:val="-5"/>
          <w:w w:val="105"/>
          <w:sz w:val="14"/>
        </w:rPr>
        <w:t xml:space="preserve"> </w:t>
      </w:r>
      <w:r>
        <w:rPr>
          <w:w w:val="105"/>
          <w:sz w:val="14"/>
        </w:rPr>
        <w:t>humanos,</w:t>
      </w:r>
      <w:r>
        <w:rPr>
          <w:spacing w:val="-5"/>
          <w:w w:val="105"/>
          <w:sz w:val="14"/>
        </w:rPr>
        <w:t xml:space="preserve"> </w:t>
      </w:r>
      <w:r>
        <w:rPr>
          <w:w w:val="105"/>
          <w:sz w:val="14"/>
        </w:rPr>
        <w:t>antes</w:t>
      </w:r>
      <w:r>
        <w:rPr>
          <w:spacing w:val="-5"/>
          <w:w w:val="105"/>
          <w:sz w:val="14"/>
        </w:rPr>
        <w:t xml:space="preserve"> </w:t>
      </w:r>
      <w:r>
        <w:rPr>
          <w:w w:val="105"/>
          <w:sz w:val="14"/>
        </w:rPr>
        <w:t>de</w:t>
      </w:r>
      <w:r>
        <w:rPr>
          <w:spacing w:val="-5"/>
          <w:w w:val="105"/>
          <w:sz w:val="14"/>
        </w:rPr>
        <w:t xml:space="preserve"> </w:t>
      </w:r>
      <w:r>
        <w:rPr>
          <w:w w:val="105"/>
          <w:sz w:val="14"/>
        </w:rPr>
        <w:t>discutir</w:t>
      </w:r>
      <w:r>
        <w:rPr>
          <w:spacing w:val="-6"/>
          <w:w w:val="105"/>
          <w:sz w:val="14"/>
        </w:rPr>
        <w:t xml:space="preserve"> </w:t>
      </w:r>
      <w:r>
        <w:rPr>
          <w:w w:val="105"/>
          <w:sz w:val="14"/>
        </w:rPr>
        <w:t>su</w:t>
      </w:r>
      <w:r>
        <w:rPr>
          <w:spacing w:val="-5"/>
          <w:w w:val="105"/>
          <w:sz w:val="14"/>
        </w:rPr>
        <w:t xml:space="preserve"> </w:t>
      </w:r>
      <w:r>
        <w:rPr>
          <w:w w:val="105"/>
          <w:sz w:val="14"/>
        </w:rPr>
        <w:t>interpretación</w:t>
      </w:r>
      <w:r>
        <w:rPr>
          <w:spacing w:val="-5"/>
          <w:w w:val="105"/>
          <w:sz w:val="14"/>
        </w:rPr>
        <w:t xml:space="preserve"> </w:t>
      </w:r>
      <w:r>
        <w:rPr>
          <w:w w:val="105"/>
          <w:sz w:val="14"/>
        </w:rPr>
        <w:t>o</w:t>
      </w:r>
      <w:r>
        <w:rPr>
          <w:spacing w:val="-5"/>
          <w:w w:val="105"/>
          <w:sz w:val="14"/>
        </w:rPr>
        <w:t xml:space="preserve"> </w:t>
      </w:r>
      <w:r>
        <w:rPr>
          <w:w w:val="105"/>
          <w:sz w:val="14"/>
        </w:rPr>
        <w:t>elaboración</w:t>
      </w:r>
      <w:r>
        <w:rPr>
          <w:spacing w:val="-5"/>
          <w:w w:val="105"/>
          <w:sz w:val="14"/>
        </w:rPr>
        <w:t xml:space="preserve"> </w:t>
      </w:r>
      <w:r>
        <w:rPr>
          <w:w w:val="105"/>
          <w:sz w:val="14"/>
        </w:rPr>
        <w:t>a</w:t>
      </w:r>
      <w:r>
        <w:rPr>
          <w:spacing w:val="-5"/>
          <w:w w:val="105"/>
          <w:sz w:val="14"/>
        </w:rPr>
        <w:t xml:space="preserve"> </w:t>
      </w:r>
      <w:r>
        <w:rPr>
          <w:w w:val="105"/>
          <w:sz w:val="14"/>
        </w:rPr>
        <w:t>través</w:t>
      </w:r>
      <w:r>
        <w:rPr>
          <w:spacing w:val="-5"/>
          <w:w w:val="105"/>
          <w:sz w:val="14"/>
        </w:rPr>
        <w:t xml:space="preserve"> </w:t>
      </w:r>
      <w:r>
        <w:rPr>
          <w:w w:val="105"/>
          <w:sz w:val="14"/>
        </w:rPr>
        <w:t>del</w:t>
      </w:r>
      <w:r>
        <w:rPr>
          <w:spacing w:val="-5"/>
          <w:w w:val="105"/>
          <w:sz w:val="14"/>
        </w:rPr>
        <w:t xml:space="preserve"> </w:t>
      </w:r>
      <w:r>
        <w:rPr>
          <w:w w:val="105"/>
          <w:sz w:val="14"/>
        </w:rPr>
        <w:t>trabajo</w:t>
      </w:r>
      <w:r>
        <w:rPr>
          <w:spacing w:val="-5"/>
          <w:w w:val="105"/>
          <w:sz w:val="14"/>
        </w:rPr>
        <w:t xml:space="preserve"> </w:t>
      </w:r>
      <w:r>
        <w:rPr>
          <w:w w:val="105"/>
          <w:sz w:val="14"/>
        </w:rPr>
        <w:t>de</w:t>
      </w:r>
      <w:r>
        <w:rPr>
          <w:spacing w:val="-5"/>
          <w:w w:val="105"/>
          <w:sz w:val="14"/>
        </w:rPr>
        <w:t xml:space="preserve"> </w:t>
      </w:r>
      <w:r>
        <w:rPr>
          <w:w w:val="105"/>
          <w:sz w:val="14"/>
        </w:rPr>
        <w:t>los</w:t>
      </w:r>
      <w:r>
        <w:rPr>
          <w:spacing w:val="-5"/>
          <w:w w:val="105"/>
          <w:sz w:val="14"/>
        </w:rPr>
        <w:t xml:space="preserve"> </w:t>
      </w:r>
      <w:r>
        <w:rPr>
          <w:w w:val="105"/>
          <w:sz w:val="14"/>
        </w:rPr>
        <w:t>órganos de</w:t>
      </w:r>
      <w:r>
        <w:rPr>
          <w:spacing w:val="-4"/>
          <w:w w:val="105"/>
          <w:sz w:val="14"/>
        </w:rPr>
        <w:t xml:space="preserve"> </w:t>
      </w:r>
      <w:r>
        <w:rPr>
          <w:w w:val="105"/>
          <w:sz w:val="14"/>
        </w:rPr>
        <w:t>tratados</w:t>
      </w:r>
      <w:r>
        <w:rPr>
          <w:spacing w:val="-5"/>
          <w:w w:val="105"/>
          <w:sz w:val="14"/>
        </w:rPr>
        <w:t xml:space="preserve"> </w:t>
      </w:r>
      <w:r>
        <w:rPr>
          <w:w w:val="105"/>
          <w:sz w:val="14"/>
        </w:rPr>
        <w:t>de</w:t>
      </w:r>
      <w:r>
        <w:rPr>
          <w:spacing w:val="-4"/>
          <w:w w:val="105"/>
          <w:sz w:val="14"/>
        </w:rPr>
        <w:t xml:space="preserve"> </w:t>
      </w:r>
      <w:r>
        <w:rPr>
          <w:w w:val="105"/>
          <w:sz w:val="14"/>
        </w:rPr>
        <w:t>las</w:t>
      </w:r>
      <w:r>
        <w:rPr>
          <w:spacing w:val="-4"/>
          <w:w w:val="105"/>
          <w:sz w:val="14"/>
        </w:rPr>
        <w:t xml:space="preserve"> </w:t>
      </w:r>
      <w:r>
        <w:rPr>
          <w:w w:val="105"/>
          <w:sz w:val="14"/>
        </w:rPr>
        <w:t>Naciones</w:t>
      </w:r>
      <w:r>
        <w:rPr>
          <w:spacing w:val="-4"/>
          <w:w w:val="105"/>
          <w:sz w:val="14"/>
        </w:rPr>
        <w:t xml:space="preserve"> </w:t>
      </w:r>
      <w:r>
        <w:rPr>
          <w:w w:val="105"/>
          <w:sz w:val="14"/>
        </w:rPr>
        <w:t>Unidas.</w:t>
      </w:r>
      <w:r>
        <w:rPr>
          <w:spacing w:val="-4"/>
          <w:w w:val="105"/>
          <w:sz w:val="14"/>
        </w:rPr>
        <w:t xml:space="preserve"> </w:t>
      </w:r>
      <w:r>
        <w:rPr>
          <w:w w:val="105"/>
          <w:sz w:val="14"/>
        </w:rPr>
        <w:t>Luego,</w:t>
      </w:r>
      <w:r>
        <w:rPr>
          <w:spacing w:val="-4"/>
          <w:w w:val="105"/>
          <w:sz w:val="14"/>
        </w:rPr>
        <w:t xml:space="preserve"> </w:t>
      </w:r>
      <w:r>
        <w:rPr>
          <w:w w:val="105"/>
          <w:sz w:val="14"/>
        </w:rPr>
        <w:t>las</w:t>
      </w:r>
      <w:r>
        <w:rPr>
          <w:spacing w:val="-4"/>
          <w:w w:val="105"/>
          <w:sz w:val="14"/>
        </w:rPr>
        <w:t xml:space="preserve"> </w:t>
      </w:r>
      <w:r>
        <w:rPr>
          <w:w w:val="105"/>
          <w:sz w:val="14"/>
        </w:rPr>
        <w:t>secciones</w:t>
      </w:r>
      <w:r>
        <w:rPr>
          <w:spacing w:val="-4"/>
          <w:w w:val="105"/>
          <w:sz w:val="14"/>
        </w:rPr>
        <w:t xml:space="preserve"> </w:t>
      </w:r>
      <w:r>
        <w:rPr>
          <w:w w:val="105"/>
          <w:sz w:val="14"/>
        </w:rPr>
        <w:t>consideran</w:t>
      </w:r>
      <w:r>
        <w:rPr>
          <w:spacing w:val="-4"/>
          <w:w w:val="105"/>
          <w:sz w:val="14"/>
        </w:rPr>
        <w:t xml:space="preserve"> </w:t>
      </w:r>
      <w:r>
        <w:rPr>
          <w:w w:val="105"/>
          <w:sz w:val="14"/>
        </w:rPr>
        <w:t>estándares</w:t>
      </w:r>
      <w:r>
        <w:rPr>
          <w:spacing w:val="-5"/>
          <w:w w:val="105"/>
          <w:sz w:val="14"/>
        </w:rPr>
        <w:t xml:space="preserve"> </w:t>
      </w:r>
      <w:r>
        <w:rPr>
          <w:w w:val="105"/>
          <w:sz w:val="14"/>
        </w:rPr>
        <w:t>e</w:t>
      </w:r>
      <w:r>
        <w:rPr>
          <w:spacing w:val="-4"/>
          <w:w w:val="105"/>
          <w:sz w:val="14"/>
        </w:rPr>
        <w:t xml:space="preserve"> </w:t>
      </w:r>
      <w:r>
        <w:rPr>
          <w:w w:val="105"/>
          <w:sz w:val="14"/>
        </w:rPr>
        <w:t>interpretaciones</w:t>
      </w:r>
      <w:r>
        <w:rPr>
          <w:spacing w:val="-5"/>
          <w:w w:val="105"/>
          <w:sz w:val="14"/>
        </w:rPr>
        <w:t xml:space="preserve"> </w:t>
      </w:r>
      <w:r>
        <w:rPr>
          <w:w w:val="105"/>
          <w:sz w:val="14"/>
        </w:rPr>
        <w:t>regionales</w:t>
      </w:r>
      <w:r>
        <w:rPr>
          <w:spacing w:val="-4"/>
          <w:w w:val="105"/>
          <w:sz w:val="14"/>
        </w:rPr>
        <w:t xml:space="preserve"> </w:t>
      </w:r>
      <w:r>
        <w:rPr>
          <w:w w:val="105"/>
          <w:sz w:val="14"/>
        </w:rPr>
        <w:t>y,</w:t>
      </w:r>
      <w:r>
        <w:rPr>
          <w:spacing w:val="-4"/>
          <w:w w:val="105"/>
          <w:sz w:val="14"/>
        </w:rPr>
        <w:t xml:space="preserve"> </w:t>
      </w:r>
      <w:r>
        <w:rPr>
          <w:w w:val="105"/>
          <w:sz w:val="14"/>
        </w:rPr>
        <w:t>en</w:t>
      </w:r>
      <w:r>
        <w:rPr>
          <w:spacing w:val="-4"/>
          <w:w w:val="105"/>
          <w:sz w:val="14"/>
        </w:rPr>
        <w:t xml:space="preserve"> </w:t>
      </w:r>
      <w:r>
        <w:rPr>
          <w:w w:val="105"/>
          <w:sz w:val="14"/>
        </w:rPr>
        <w:t>la</w:t>
      </w:r>
      <w:r>
        <w:rPr>
          <w:spacing w:val="-4"/>
          <w:w w:val="105"/>
          <w:sz w:val="14"/>
        </w:rPr>
        <w:t xml:space="preserve"> </w:t>
      </w:r>
      <w:r>
        <w:rPr>
          <w:w w:val="105"/>
          <w:sz w:val="14"/>
        </w:rPr>
        <w:t>medida</w:t>
      </w:r>
      <w:r>
        <w:rPr>
          <w:spacing w:val="-4"/>
          <w:w w:val="105"/>
          <w:sz w:val="14"/>
        </w:rPr>
        <w:t xml:space="preserve"> </w:t>
      </w:r>
      <w:r>
        <w:rPr>
          <w:w w:val="105"/>
          <w:sz w:val="14"/>
        </w:rPr>
        <w:t xml:space="preserve">necesaria, </w:t>
      </w:r>
      <w:r>
        <w:rPr>
          <w:spacing w:val="-2"/>
          <w:w w:val="105"/>
          <w:sz w:val="14"/>
        </w:rPr>
        <w:t>nacionales.</w:t>
      </w:r>
    </w:p>
    <w:p w14:paraId="411089F6" w14:textId="77777777" w:rsidR="0014798C" w:rsidRDefault="0014798C">
      <w:pPr>
        <w:pStyle w:val="Textoindependiente"/>
        <w:spacing w:before="10"/>
        <w:rPr>
          <w:sz w:val="14"/>
        </w:rPr>
      </w:pPr>
    </w:p>
    <w:p w14:paraId="3289723E" w14:textId="77777777" w:rsidR="0014798C" w:rsidRDefault="004E1F0B">
      <w:pPr>
        <w:spacing w:line="372" w:lineRule="auto"/>
        <w:ind w:left="1108" w:right="1272" w:firstLine="1"/>
        <w:rPr>
          <w:sz w:val="14"/>
        </w:rPr>
      </w:pPr>
      <w:r>
        <w:rPr>
          <w:w w:val="105"/>
          <w:sz w:val="14"/>
        </w:rPr>
        <w:t>Cada</w:t>
      </w:r>
      <w:r>
        <w:rPr>
          <w:spacing w:val="-11"/>
          <w:w w:val="105"/>
          <w:sz w:val="14"/>
        </w:rPr>
        <w:t xml:space="preserve"> </w:t>
      </w:r>
      <w:r>
        <w:rPr>
          <w:w w:val="105"/>
          <w:sz w:val="14"/>
        </w:rPr>
        <w:t>sección</w:t>
      </w:r>
      <w:r>
        <w:rPr>
          <w:spacing w:val="-10"/>
          <w:w w:val="105"/>
          <w:sz w:val="14"/>
        </w:rPr>
        <w:t xml:space="preserve"> </w:t>
      </w:r>
      <w:r>
        <w:rPr>
          <w:w w:val="105"/>
          <w:sz w:val="14"/>
        </w:rPr>
        <w:t>comienza</w:t>
      </w:r>
      <w:r>
        <w:rPr>
          <w:spacing w:val="-10"/>
          <w:w w:val="105"/>
          <w:sz w:val="14"/>
        </w:rPr>
        <w:t xml:space="preserve"> </w:t>
      </w:r>
      <w:r>
        <w:rPr>
          <w:w w:val="105"/>
          <w:sz w:val="14"/>
        </w:rPr>
        <w:t>con</w:t>
      </w:r>
      <w:r>
        <w:rPr>
          <w:spacing w:val="-10"/>
          <w:w w:val="105"/>
          <w:sz w:val="14"/>
        </w:rPr>
        <w:t xml:space="preserve"> </w:t>
      </w:r>
      <w:r>
        <w:rPr>
          <w:w w:val="105"/>
          <w:sz w:val="14"/>
        </w:rPr>
        <w:t>un</w:t>
      </w:r>
      <w:r>
        <w:rPr>
          <w:spacing w:val="-11"/>
          <w:w w:val="105"/>
          <w:sz w:val="14"/>
        </w:rPr>
        <w:t xml:space="preserve"> </w:t>
      </w:r>
      <w:r>
        <w:rPr>
          <w:w w:val="105"/>
          <w:sz w:val="14"/>
        </w:rPr>
        <w:t>recuadro</w:t>
      </w:r>
      <w:r>
        <w:rPr>
          <w:spacing w:val="-10"/>
          <w:w w:val="105"/>
          <w:sz w:val="14"/>
        </w:rPr>
        <w:t xml:space="preserve"> </w:t>
      </w:r>
      <w:r>
        <w:rPr>
          <w:w w:val="105"/>
          <w:sz w:val="14"/>
        </w:rPr>
        <w:t>resumen</w:t>
      </w:r>
      <w:r>
        <w:rPr>
          <w:spacing w:val="-10"/>
          <w:w w:val="105"/>
          <w:sz w:val="14"/>
        </w:rPr>
        <w:t xml:space="preserve"> </w:t>
      </w:r>
      <w:r>
        <w:rPr>
          <w:w w:val="105"/>
          <w:sz w:val="14"/>
        </w:rPr>
        <w:t>que</w:t>
      </w:r>
      <w:r>
        <w:rPr>
          <w:spacing w:val="-10"/>
          <w:w w:val="105"/>
          <w:sz w:val="14"/>
        </w:rPr>
        <w:t xml:space="preserve"> </w:t>
      </w:r>
      <w:r>
        <w:rPr>
          <w:w w:val="105"/>
          <w:sz w:val="14"/>
        </w:rPr>
        <w:t>sintetiza</w:t>
      </w:r>
      <w:r>
        <w:rPr>
          <w:spacing w:val="-10"/>
          <w:w w:val="105"/>
          <w:sz w:val="14"/>
        </w:rPr>
        <w:t xml:space="preserve"> </w:t>
      </w:r>
      <w:r>
        <w:rPr>
          <w:w w:val="105"/>
          <w:sz w:val="14"/>
        </w:rPr>
        <w:t>los</w:t>
      </w:r>
      <w:r>
        <w:rPr>
          <w:spacing w:val="-11"/>
          <w:w w:val="105"/>
          <w:sz w:val="14"/>
        </w:rPr>
        <w:t xml:space="preserve"> </w:t>
      </w:r>
      <w:r>
        <w:rPr>
          <w:w w:val="105"/>
          <w:sz w:val="14"/>
        </w:rPr>
        <w:t>principios</w:t>
      </w:r>
      <w:r>
        <w:rPr>
          <w:spacing w:val="-10"/>
          <w:w w:val="105"/>
          <w:sz w:val="14"/>
        </w:rPr>
        <w:t xml:space="preserve"> </w:t>
      </w:r>
      <w:r>
        <w:rPr>
          <w:w w:val="105"/>
          <w:sz w:val="14"/>
        </w:rPr>
        <w:t>jurídicos</w:t>
      </w:r>
      <w:r>
        <w:rPr>
          <w:spacing w:val="-10"/>
          <w:w w:val="105"/>
          <w:sz w:val="14"/>
        </w:rPr>
        <w:t xml:space="preserve"> </w:t>
      </w:r>
      <w:r>
        <w:rPr>
          <w:w w:val="105"/>
          <w:sz w:val="14"/>
        </w:rPr>
        <w:t>relevantes</w:t>
      </w:r>
      <w:r>
        <w:rPr>
          <w:spacing w:val="-10"/>
          <w:w w:val="105"/>
          <w:sz w:val="14"/>
        </w:rPr>
        <w:t xml:space="preserve"> </w:t>
      </w:r>
      <w:r>
        <w:rPr>
          <w:w w:val="105"/>
          <w:sz w:val="14"/>
        </w:rPr>
        <w:t>establecidos</w:t>
      </w:r>
      <w:r>
        <w:rPr>
          <w:spacing w:val="-10"/>
          <w:w w:val="105"/>
          <w:sz w:val="14"/>
        </w:rPr>
        <w:t xml:space="preserve"> </w:t>
      </w:r>
      <w:r>
        <w:rPr>
          <w:w w:val="105"/>
          <w:sz w:val="14"/>
        </w:rPr>
        <w:t>en</w:t>
      </w:r>
      <w:r>
        <w:rPr>
          <w:spacing w:val="-11"/>
          <w:w w:val="105"/>
          <w:sz w:val="14"/>
        </w:rPr>
        <w:t xml:space="preserve"> </w:t>
      </w:r>
      <w:r>
        <w:rPr>
          <w:w w:val="105"/>
          <w:sz w:val="14"/>
        </w:rPr>
        <w:t>el</w:t>
      </w:r>
      <w:r>
        <w:rPr>
          <w:spacing w:val="-10"/>
          <w:w w:val="105"/>
          <w:sz w:val="14"/>
        </w:rPr>
        <w:t xml:space="preserve"> </w:t>
      </w:r>
      <w:r>
        <w:rPr>
          <w:w w:val="105"/>
          <w:sz w:val="14"/>
        </w:rPr>
        <w:t>derecho</w:t>
      </w:r>
      <w:r>
        <w:rPr>
          <w:spacing w:val="-10"/>
          <w:w w:val="105"/>
          <w:sz w:val="14"/>
        </w:rPr>
        <w:t xml:space="preserve"> </w:t>
      </w:r>
      <w:r>
        <w:rPr>
          <w:w w:val="105"/>
          <w:sz w:val="14"/>
        </w:rPr>
        <w:t>internacional.</w:t>
      </w:r>
      <w:r>
        <w:rPr>
          <w:spacing w:val="-10"/>
          <w:w w:val="105"/>
          <w:sz w:val="14"/>
        </w:rPr>
        <w:t xml:space="preserve"> </w:t>
      </w:r>
      <w:r>
        <w:rPr>
          <w:w w:val="105"/>
          <w:sz w:val="14"/>
        </w:rPr>
        <w:t>Estos recuadros</w:t>
      </w:r>
      <w:r>
        <w:rPr>
          <w:spacing w:val="-7"/>
          <w:w w:val="105"/>
          <w:sz w:val="14"/>
        </w:rPr>
        <w:t xml:space="preserve"> </w:t>
      </w:r>
      <w:r>
        <w:rPr>
          <w:w w:val="105"/>
          <w:sz w:val="14"/>
        </w:rPr>
        <w:t>resumen</w:t>
      </w:r>
      <w:r>
        <w:rPr>
          <w:spacing w:val="-7"/>
          <w:w w:val="105"/>
          <w:sz w:val="14"/>
        </w:rPr>
        <w:t xml:space="preserve"> </w:t>
      </w:r>
      <w:r>
        <w:rPr>
          <w:w w:val="105"/>
          <w:sz w:val="14"/>
        </w:rPr>
        <w:t>tienen</w:t>
      </w:r>
      <w:r>
        <w:rPr>
          <w:spacing w:val="-7"/>
          <w:w w:val="105"/>
          <w:sz w:val="14"/>
        </w:rPr>
        <w:t xml:space="preserve"> </w:t>
      </w:r>
      <w:r>
        <w:rPr>
          <w:w w:val="105"/>
          <w:sz w:val="14"/>
        </w:rPr>
        <w:t>como</w:t>
      </w:r>
      <w:r>
        <w:rPr>
          <w:spacing w:val="-7"/>
          <w:w w:val="105"/>
          <w:sz w:val="14"/>
        </w:rPr>
        <w:t xml:space="preserve"> </w:t>
      </w:r>
      <w:r>
        <w:rPr>
          <w:w w:val="105"/>
          <w:sz w:val="14"/>
        </w:rPr>
        <w:t>objetivo</w:t>
      </w:r>
      <w:r>
        <w:rPr>
          <w:spacing w:val="-7"/>
          <w:w w:val="105"/>
          <w:sz w:val="14"/>
        </w:rPr>
        <w:t xml:space="preserve"> </w:t>
      </w:r>
      <w:r>
        <w:rPr>
          <w:w w:val="105"/>
          <w:sz w:val="14"/>
        </w:rPr>
        <w:t>proporcionar</w:t>
      </w:r>
      <w:r>
        <w:rPr>
          <w:spacing w:val="-7"/>
          <w:w w:val="105"/>
          <w:sz w:val="14"/>
        </w:rPr>
        <w:t xml:space="preserve"> </w:t>
      </w:r>
      <w:r>
        <w:rPr>
          <w:w w:val="105"/>
          <w:sz w:val="14"/>
        </w:rPr>
        <w:t>orientación</w:t>
      </w:r>
      <w:r>
        <w:rPr>
          <w:spacing w:val="-7"/>
          <w:w w:val="105"/>
          <w:sz w:val="14"/>
        </w:rPr>
        <w:t xml:space="preserve"> </w:t>
      </w:r>
      <w:r>
        <w:rPr>
          <w:w w:val="105"/>
          <w:sz w:val="14"/>
        </w:rPr>
        <w:t>a</w:t>
      </w:r>
      <w:r>
        <w:rPr>
          <w:spacing w:val="-7"/>
          <w:w w:val="105"/>
          <w:sz w:val="14"/>
        </w:rPr>
        <w:t xml:space="preserve"> </w:t>
      </w:r>
      <w:r>
        <w:rPr>
          <w:w w:val="105"/>
          <w:sz w:val="14"/>
        </w:rPr>
        <w:t>quienes</w:t>
      </w:r>
      <w:r>
        <w:rPr>
          <w:spacing w:val="-7"/>
          <w:w w:val="105"/>
          <w:sz w:val="14"/>
        </w:rPr>
        <w:t xml:space="preserve"> </w:t>
      </w:r>
      <w:r>
        <w:rPr>
          <w:w w:val="105"/>
          <w:sz w:val="14"/>
        </w:rPr>
        <w:t>redactan</w:t>
      </w:r>
      <w:r>
        <w:rPr>
          <w:spacing w:val="-7"/>
          <w:w w:val="105"/>
          <w:sz w:val="14"/>
        </w:rPr>
        <w:t xml:space="preserve"> </w:t>
      </w:r>
      <w:r>
        <w:rPr>
          <w:w w:val="105"/>
          <w:sz w:val="14"/>
        </w:rPr>
        <w:t>legislación</w:t>
      </w:r>
      <w:r>
        <w:rPr>
          <w:spacing w:val="-7"/>
          <w:w w:val="105"/>
          <w:sz w:val="14"/>
        </w:rPr>
        <w:t xml:space="preserve"> </w:t>
      </w:r>
      <w:r>
        <w:rPr>
          <w:w w:val="105"/>
          <w:sz w:val="14"/>
        </w:rPr>
        <w:t>contra</w:t>
      </w:r>
      <w:r>
        <w:rPr>
          <w:spacing w:val="-7"/>
          <w:w w:val="105"/>
          <w:sz w:val="14"/>
        </w:rPr>
        <w:t xml:space="preserve"> </w:t>
      </w:r>
      <w:r>
        <w:rPr>
          <w:w w:val="105"/>
          <w:sz w:val="14"/>
        </w:rPr>
        <w:t>la</w:t>
      </w:r>
      <w:r>
        <w:rPr>
          <w:spacing w:val="-7"/>
          <w:w w:val="105"/>
          <w:sz w:val="14"/>
        </w:rPr>
        <w:t xml:space="preserve"> </w:t>
      </w:r>
      <w:r>
        <w:rPr>
          <w:w w:val="105"/>
          <w:sz w:val="14"/>
        </w:rPr>
        <w:t>discriminación</w:t>
      </w:r>
      <w:r>
        <w:rPr>
          <w:spacing w:val="-7"/>
          <w:w w:val="105"/>
          <w:sz w:val="14"/>
        </w:rPr>
        <w:t xml:space="preserve"> </w:t>
      </w:r>
      <w:r>
        <w:rPr>
          <w:w w:val="105"/>
          <w:sz w:val="14"/>
        </w:rPr>
        <w:t>sobre</w:t>
      </w:r>
      <w:r>
        <w:rPr>
          <w:spacing w:val="-7"/>
          <w:w w:val="105"/>
          <w:sz w:val="14"/>
        </w:rPr>
        <w:t xml:space="preserve"> </w:t>
      </w:r>
      <w:r>
        <w:rPr>
          <w:w w:val="105"/>
          <w:sz w:val="14"/>
        </w:rPr>
        <w:t>lo</w:t>
      </w:r>
      <w:r>
        <w:rPr>
          <w:spacing w:val="-7"/>
          <w:w w:val="105"/>
          <w:sz w:val="14"/>
        </w:rPr>
        <w:t xml:space="preserve"> </w:t>
      </w:r>
      <w:r>
        <w:rPr>
          <w:w w:val="105"/>
          <w:sz w:val="14"/>
        </w:rPr>
        <w:t>que</w:t>
      </w:r>
      <w:r>
        <w:rPr>
          <w:spacing w:val="-7"/>
          <w:w w:val="105"/>
          <w:sz w:val="14"/>
        </w:rPr>
        <w:t xml:space="preserve"> </w:t>
      </w:r>
      <w:r>
        <w:rPr>
          <w:w w:val="105"/>
          <w:sz w:val="14"/>
        </w:rPr>
        <w:t>debe incluirse</w:t>
      </w:r>
      <w:r>
        <w:rPr>
          <w:spacing w:val="-5"/>
          <w:w w:val="105"/>
          <w:sz w:val="14"/>
        </w:rPr>
        <w:t xml:space="preserve"> </w:t>
      </w:r>
      <w:r>
        <w:rPr>
          <w:w w:val="105"/>
          <w:sz w:val="14"/>
        </w:rPr>
        <w:t>en</w:t>
      </w:r>
      <w:r>
        <w:rPr>
          <w:spacing w:val="-5"/>
          <w:w w:val="105"/>
          <w:sz w:val="14"/>
        </w:rPr>
        <w:t xml:space="preserve"> </w:t>
      </w:r>
      <w:r>
        <w:rPr>
          <w:w w:val="105"/>
          <w:sz w:val="14"/>
        </w:rPr>
        <w:t>la</w:t>
      </w:r>
      <w:r>
        <w:rPr>
          <w:spacing w:val="-5"/>
          <w:w w:val="105"/>
          <w:sz w:val="14"/>
        </w:rPr>
        <w:t xml:space="preserve"> </w:t>
      </w:r>
      <w:r>
        <w:rPr>
          <w:w w:val="105"/>
          <w:sz w:val="14"/>
        </w:rPr>
        <w:t>ley</w:t>
      </w:r>
      <w:r>
        <w:rPr>
          <w:spacing w:val="-5"/>
          <w:w w:val="105"/>
          <w:sz w:val="14"/>
        </w:rPr>
        <w:t xml:space="preserve"> </w:t>
      </w:r>
      <w:r>
        <w:rPr>
          <w:w w:val="105"/>
          <w:sz w:val="14"/>
        </w:rPr>
        <w:t>en</w:t>
      </w:r>
      <w:r>
        <w:rPr>
          <w:spacing w:val="-5"/>
          <w:w w:val="105"/>
          <w:sz w:val="14"/>
        </w:rPr>
        <w:t xml:space="preserve"> </w:t>
      </w:r>
      <w:r>
        <w:rPr>
          <w:w w:val="105"/>
          <w:sz w:val="14"/>
        </w:rPr>
        <w:t>el</w:t>
      </w:r>
      <w:r>
        <w:rPr>
          <w:spacing w:val="-5"/>
          <w:w w:val="105"/>
          <w:sz w:val="14"/>
        </w:rPr>
        <w:t xml:space="preserve"> </w:t>
      </w:r>
      <w:r>
        <w:rPr>
          <w:w w:val="105"/>
          <w:sz w:val="14"/>
        </w:rPr>
        <w:t>área</w:t>
      </w:r>
      <w:r>
        <w:rPr>
          <w:spacing w:val="-5"/>
          <w:w w:val="105"/>
          <w:sz w:val="14"/>
        </w:rPr>
        <w:t xml:space="preserve"> </w:t>
      </w:r>
      <w:r>
        <w:rPr>
          <w:w w:val="105"/>
          <w:sz w:val="14"/>
        </w:rPr>
        <w:t>en</w:t>
      </w:r>
      <w:r>
        <w:rPr>
          <w:spacing w:val="-5"/>
          <w:w w:val="105"/>
          <w:sz w:val="14"/>
        </w:rPr>
        <w:t xml:space="preserve"> </w:t>
      </w:r>
      <w:r>
        <w:rPr>
          <w:w w:val="105"/>
          <w:sz w:val="14"/>
        </w:rPr>
        <w:t>cuestión.</w:t>
      </w:r>
      <w:r>
        <w:rPr>
          <w:spacing w:val="-5"/>
          <w:w w:val="105"/>
          <w:sz w:val="14"/>
        </w:rPr>
        <w:t xml:space="preserve"> </w:t>
      </w:r>
      <w:r>
        <w:rPr>
          <w:w w:val="105"/>
          <w:sz w:val="14"/>
        </w:rPr>
        <w:t>El</w:t>
      </w:r>
      <w:r>
        <w:rPr>
          <w:spacing w:val="-5"/>
          <w:w w:val="105"/>
          <w:sz w:val="14"/>
        </w:rPr>
        <w:t xml:space="preserve"> </w:t>
      </w:r>
      <w:r>
        <w:rPr>
          <w:w w:val="105"/>
          <w:sz w:val="14"/>
        </w:rPr>
        <w:t>texto</w:t>
      </w:r>
      <w:r>
        <w:rPr>
          <w:spacing w:val="-5"/>
          <w:w w:val="105"/>
          <w:sz w:val="14"/>
        </w:rPr>
        <w:t xml:space="preserve"> </w:t>
      </w:r>
      <w:r>
        <w:rPr>
          <w:w w:val="105"/>
          <w:sz w:val="14"/>
        </w:rPr>
        <w:t>de</w:t>
      </w:r>
      <w:r>
        <w:rPr>
          <w:spacing w:val="-5"/>
          <w:w w:val="105"/>
          <w:sz w:val="14"/>
        </w:rPr>
        <w:t xml:space="preserve"> </w:t>
      </w:r>
      <w:r>
        <w:rPr>
          <w:w w:val="105"/>
          <w:sz w:val="14"/>
        </w:rPr>
        <w:t>los</w:t>
      </w:r>
      <w:r>
        <w:rPr>
          <w:spacing w:val="-5"/>
          <w:w w:val="105"/>
          <w:sz w:val="14"/>
        </w:rPr>
        <w:t xml:space="preserve"> </w:t>
      </w:r>
      <w:r>
        <w:rPr>
          <w:w w:val="105"/>
          <w:sz w:val="14"/>
        </w:rPr>
        <w:t>recuadros</w:t>
      </w:r>
      <w:r>
        <w:rPr>
          <w:spacing w:val="-5"/>
          <w:w w:val="105"/>
          <w:sz w:val="14"/>
        </w:rPr>
        <w:t xml:space="preserve"> </w:t>
      </w:r>
      <w:r>
        <w:rPr>
          <w:w w:val="105"/>
          <w:sz w:val="14"/>
        </w:rPr>
        <w:t>de</w:t>
      </w:r>
      <w:r>
        <w:rPr>
          <w:spacing w:val="-5"/>
          <w:w w:val="105"/>
          <w:sz w:val="14"/>
        </w:rPr>
        <w:t xml:space="preserve"> </w:t>
      </w:r>
      <w:r>
        <w:rPr>
          <w:w w:val="105"/>
          <w:sz w:val="14"/>
        </w:rPr>
        <w:t>resumen</w:t>
      </w:r>
      <w:r>
        <w:rPr>
          <w:spacing w:val="-5"/>
          <w:w w:val="105"/>
          <w:sz w:val="14"/>
        </w:rPr>
        <w:t xml:space="preserve"> </w:t>
      </w:r>
      <w:r>
        <w:rPr>
          <w:w w:val="105"/>
          <w:sz w:val="14"/>
        </w:rPr>
        <w:t>se</w:t>
      </w:r>
      <w:r>
        <w:rPr>
          <w:spacing w:val="-5"/>
          <w:w w:val="105"/>
          <w:sz w:val="14"/>
        </w:rPr>
        <w:t xml:space="preserve"> </w:t>
      </w:r>
      <w:r>
        <w:rPr>
          <w:w w:val="105"/>
          <w:sz w:val="14"/>
        </w:rPr>
        <w:t>compila</w:t>
      </w:r>
      <w:r>
        <w:rPr>
          <w:spacing w:val="-5"/>
          <w:w w:val="105"/>
          <w:sz w:val="14"/>
        </w:rPr>
        <w:t xml:space="preserve"> </w:t>
      </w:r>
      <w:r>
        <w:rPr>
          <w:w w:val="105"/>
          <w:sz w:val="14"/>
        </w:rPr>
        <w:t>en</w:t>
      </w:r>
      <w:r>
        <w:rPr>
          <w:spacing w:val="-5"/>
          <w:w w:val="105"/>
          <w:sz w:val="14"/>
        </w:rPr>
        <w:t xml:space="preserve"> </w:t>
      </w:r>
      <w:r>
        <w:rPr>
          <w:w w:val="105"/>
          <w:sz w:val="14"/>
        </w:rPr>
        <w:t>el</w:t>
      </w:r>
      <w:r>
        <w:rPr>
          <w:spacing w:val="-5"/>
          <w:w w:val="105"/>
          <w:sz w:val="14"/>
        </w:rPr>
        <w:t xml:space="preserve"> </w:t>
      </w:r>
      <w:r>
        <w:rPr>
          <w:w w:val="105"/>
          <w:sz w:val="14"/>
        </w:rPr>
        <w:t>resumen</w:t>
      </w:r>
      <w:r>
        <w:rPr>
          <w:spacing w:val="-5"/>
          <w:w w:val="105"/>
          <w:sz w:val="14"/>
        </w:rPr>
        <w:t xml:space="preserve"> </w:t>
      </w:r>
      <w:r>
        <w:rPr>
          <w:w w:val="105"/>
          <w:sz w:val="14"/>
        </w:rPr>
        <w:t>ejecutivo,</w:t>
      </w:r>
      <w:r>
        <w:rPr>
          <w:spacing w:val="-5"/>
          <w:w w:val="105"/>
          <w:sz w:val="14"/>
        </w:rPr>
        <w:t xml:space="preserve"> </w:t>
      </w:r>
      <w:r>
        <w:rPr>
          <w:w w:val="105"/>
          <w:sz w:val="14"/>
        </w:rPr>
        <w:t>que</w:t>
      </w:r>
      <w:r>
        <w:rPr>
          <w:spacing w:val="-5"/>
          <w:w w:val="105"/>
          <w:sz w:val="14"/>
        </w:rPr>
        <w:t xml:space="preserve"> </w:t>
      </w:r>
      <w:r>
        <w:rPr>
          <w:w w:val="105"/>
          <w:sz w:val="14"/>
        </w:rPr>
        <w:t>está</w:t>
      </w:r>
      <w:r>
        <w:rPr>
          <w:spacing w:val="-5"/>
          <w:w w:val="105"/>
          <w:sz w:val="14"/>
        </w:rPr>
        <w:t xml:space="preserve"> </w:t>
      </w:r>
      <w:r>
        <w:rPr>
          <w:w w:val="105"/>
          <w:sz w:val="14"/>
        </w:rPr>
        <w:t>diseñado</w:t>
      </w:r>
      <w:r>
        <w:rPr>
          <w:spacing w:val="-5"/>
          <w:w w:val="105"/>
          <w:sz w:val="14"/>
        </w:rPr>
        <w:t xml:space="preserve"> </w:t>
      </w:r>
      <w:r>
        <w:rPr>
          <w:w w:val="105"/>
          <w:sz w:val="14"/>
        </w:rPr>
        <w:t>para actuar</w:t>
      </w:r>
      <w:r>
        <w:rPr>
          <w:spacing w:val="-5"/>
          <w:w w:val="105"/>
          <w:sz w:val="14"/>
        </w:rPr>
        <w:t xml:space="preserve"> </w:t>
      </w:r>
      <w:r>
        <w:rPr>
          <w:w w:val="105"/>
          <w:sz w:val="14"/>
        </w:rPr>
        <w:t>como</w:t>
      </w:r>
      <w:r>
        <w:rPr>
          <w:spacing w:val="-5"/>
          <w:w w:val="105"/>
          <w:sz w:val="14"/>
        </w:rPr>
        <w:t xml:space="preserve"> </w:t>
      </w:r>
      <w:r>
        <w:rPr>
          <w:w w:val="105"/>
          <w:sz w:val="14"/>
        </w:rPr>
        <w:t>guía</w:t>
      </w:r>
      <w:r>
        <w:rPr>
          <w:spacing w:val="-5"/>
          <w:w w:val="105"/>
          <w:sz w:val="14"/>
        </w:rPr>
        <w:t xml:space="preserve"> </w:t>
      </w:r>
      <w:r>
        <w:rPr>
          <w:w w:val="105"/>
          <w:sz w:val="14"/>
        </w:rPr>
        <w:t>independiente</w:t>
      </w:r>
      <w:r>
        <w:rPr>
          <w:spacing w:val="-5"/>
          <w:w w:val="105"/>
          <w:sz w:val="14"/>
        </w:rPr>
        <w:t xml:space="preserve"> </w:t>
      </w:r>
      <w:r>
        <w:rPr>
          <w:w w:val="105"/>
          <w:sz w:val="14"/>
        </w:rPr>
        <w:t>sobre</w:t>
      </w:r>
      <w:r>
        <w:rPr>
          <w:spacing w:val="-5"/>
          <w:w w:val="105"/>
          <w:sz w:val="14"/>
        </w:rPr>
        <w:t xml:space="preserve"> </w:t>
      </w:r>
      <w:r>
        <w:rPr>
          <w:w w:val="105"/>
          <w:sz w:val="14"/>
        </w:rPr>
        <w:t>el</w:t>
      </w:r>
      <w:r>
        <w:rPr>
          <w:spacing w:val="-5"/>
          <w:w w:val="105"/>
          <w:sz w:val="14"/>
        </w:rPr>
        <w:t xml:space="preserve"> </w:t>
      </w:r>
      <w:r>
        <w:rPr>
          <w:w w:val="105"/>
          <w:sz w:val="14"/>
        </w:rPr>
        <w:t>contenido</w:t>
      </w:r>
      <w:r>
        <w:rPr>
          <w:spacing w:val="-5"/>
          <w:w w:val="105"/>
          <w:sz w:val="14"/>
        </w:rPr>
        <w:t xml:space="preserve"> </w:t>
      </w:r>
      <w:r>
        <w:rPr>
          <w:w w:val="105"/>
          <w:sz w:val="14"/>
        </w:rPr>
        <w:t>necesario</w:t>
      </w:r>
      <w:r>
        <w:rPr>
          <w:spacing w:val="-5"/>
          <w:w w:val="105"/>
          <w:sz w:val="14"/>
        </w:rPr>
        <w:t xml:space="preserve"> </w:t>
      </w:r>
      <w:r>
        <w:rPr>
          <w:w w:val="105"/>
          <w:sz w:val="14"/>
        </w:rPr>
        <w:t>de</w:t>
      </w:r>
      <w:r>
        <w:rPr>
          <w:spacing w:val="-5"/>
          <w:w w:val="105"/>
          <w:sz w:val="14"/>
        </w:rPr>
        <w:t xml:space="preserve"> </w:t>
      </w:r>
      <w:r>
        <w:rPr>
          <w:w w:val="105"/>
          <w:sz w:val="14"/>
        </w:rPr>
        <w:t>una</w:t>
      </w:r>
      <w:r>
        <w:rPr>
          <w:spacing w:val="-5"/>
          <w:w w:val="105"/>
          <w:sz w:val="14"/>
        </w:rPr>
        <w:t xml:space="preserve"> </w:t>
      </w:r>
      <w:r>
        <w:rPr>
          <w:w w:val="105"/>
          <w:sz w:val="14"/>
        </w:rPr>
        <w:t>ley</w:t>
      </w:r>
      <w:r>
        <w:rPr>
          <w:spacing w:val="-5"/>
          <w:w w:val="105"/>
          <w:sz w:val="14"/>
        </w:rPr>
        <w:t xml:space="preserve"> </w:t>
      </w:r>
      <w:r>
        <w:rPr>
          <w:w w:val="105"/>
          <w:sz w:val="14"/>
        </w:rPr>
        <w:t>integral</w:t>
      </w:r>
      <w:r>
        <w:rPr>
          <w:spacing w:val="-5"/>
          <w:w w:val="105"/>
          <w:sz w:val="14"/>
        </w:rPr>
        <w:t xml:space="preserve"> </w:t>
      </w:r>
      <w:r>
        <w:rPr>
          <w:w w:val="105"/>
          <w:sz w:val="14"/>
        </w:rPr>
        <w:t>contra</w:t>
      </w:r>
      <w:r>
        <w:rPr>
          <w:spacing w:val="-5"/>
          <w:w w:val="105"/>
          <w:sz w:val="14"/>
        </w:rPr>
        <w:t xml:space="preserve"> </w:t>
      </w:r>
      <w:r>
        <w:rPr>
          <w:w w:val="105"/>
          <w:sz w:val="14"/>
        </w:rPr>
        <w:t>la</w:t>
      </w:r>
      <w:r>
        <w:rPr>
          <w:spacing w:val="-5"/>
          <w:w w:val="105"/>
          <w:sz w:val="14"/>
        </w:rPr>
        <w:t xml:space="preserve"> </w:t>
      </w:r>
      <w:r>
        <w:rPr>
          <w:w w:val="105"/>
          <w:sz w:val="14"/>
        </w:rPr>
        <w:t>discriminación.</w:t>
      </w:r>
    </w:p>
    <w:p w14:paraId="5DF08020" w14:textId="77777777" w:rsidR="0014798C" w:rsidRDefault="004E1F0B">
      <w:pPr>
        <w:pStyle w:val="Textoindependiente"/>
        <w:spacing w:before="189"/>
        <w:rPr>
          <w:sz w:val="20"/>
        </w:rPr>
      </w:pPr>
      <w:r>
        <w:rPr>
          <w:noProof/>
        </w:rPr>
        <mc:AlternateContent>
          <mc:Choice Requires="wpg">
            <w:drawing>
              <wp:anchor distT="0" distB="0" distL="0" distR="0" simplePos="0" relativeHeight="251658514" behindDoc="1" locked="0" layoutInCell="1" allowOverlap="1" wp14:anchorId="533750E8" wp14:editId="0C27C0B5">
                <wp:simplePos x="0" y="0"/>
                <wp:positionH relativeFrom="page">
                  <wp:posOffset>799677</wp:posOffset>
                </wp:positionH>
                <wp:positionV relativeFrom="paragraph">
                  <wp:posOffset>281740</wp:posOffset>
                </wp:positionV>
                <wp:extent cx="5962015" cy="2592705"/>
                <wp:effectExtent l="0" t="0" r="0" b="0"/>
                <wp:wrapTopAndBottom/>
                <wp:docPr id="43" name="Group 4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962015" cy="2592705"/>
                          <a:chOff x="0" y="0"/>
                          <a:chExt cx="5962015" cy="2592705"/>
                        </a:xfrm>
                      </wpg:grpSpPr>
                      <pic:pic xmlns:pic="http://schemas.openxmlformats.org/drawingml/2006/picture">
                        <pic:nvPicPr>
                          <pic:cNvPr id="44" name="Image 44"/>
                          <pic:cNvPicPr/>
                        </pic:nvPicPr>
                        <pic:blipFill>
                          <a:blip r:embed="rId54" cstate="print"/>
                          <a:stretch>
                            <a:fillRect/>
                          </a:stretch>
                        </pic:blipFill>
                        <pic:spPr>
                          <a:xfrm>
                            <a:off x="0" y="0"/>
                            <a:ext cx="5961638" cy="2592664"/>
                          </a:xfrm>
                          <a:prstGeom prst="rect">
                            <a:avLst/>
                          </a:prstGeom>
                        </pic:spPr>
                      </pic:pic>
                      <wps:wsp>
                        <wps:cNvPr id="45" name="Textbox 45"/>
                        <wps:cNvSpPr txBox="1"/>
                        <wps:spPr>
                          <a:xfrm>
                            <a:off x="177093" y="144256"/>
                            <a:ext cx="2984500" cy="102870"/>
                          </a:xfrm>
                          <a:prstGeom prst="rect">
                            <a:avLst/>
                          </a:prstGeom>
                        </wps:spPr>
                        <wps:txbx>
                          <w:txbxContent>
                            <w:p w14:paraId="4B9A9746" w14:textId="77777777" w:rsidR="0014798C" w:rsidRDefault="004E1F0B">
                              <w:pPr>
                                <w:spacing w:line="161" w:lineRule="exact"/>
                                <w:rPr>
                                  <w:sz w:val="14"/>
                                </w:rPr>
                              </w:pPr>
                              <w:r>
                                <w:rPr>
                                  <w:spacing w:val="-2"/>
                                  <w:w w:val="105"/>
                                  <w:sz w:val="14"/>
                                </w:rPr>
                                <w:t>Los</w:t>
                              </w:r>
                              <w:r>
                                <w:rPr>
                                  <w:w w:val="105"/>
                                  <w:sz w:val="14"/>
                                </w:rPr>
                                <w:t xml:space="preserve"> </w:t>
                              </w:r>
                              <w:r>
                                <w:rPr>
                                  <w:spacing w:val="-2"/>
                                  <w:w w:val="105"/>
                                  <w:sz w:val="14"/>
                                </w:rPr>
                                <w:t>resúmenes</w:t>
                              </w:r>
                              <w:r>
                                <w:rPr>
                                  <w:w w:val="105"/>
                                  <w:sz w:val="14"/>
                                </w:rPr>
                                <w:t xml:space="preserve"> </w:t>
                              </w:r>
                              <w:r>
                                <w:rPr>
                                  <w:spacing w:val="-2"/>
                                  <w:w w:val="105"/>
                                  <w:sz w:val="14"/>
                                </w:rPr>
                                <w:t>de</w:t>
                              </w:r>
                              <w:r>
                                <w:rPr>
                                  <w:w w:val="105"/>
                                  <w:sz w:val="14"/>
                                </w:rPr>
                                <w:t xml:space="preserve"> </w:t>
                              </w:r>
                              <w:r>
                                <w:rPr>
                                  <w:spacing w:val="-2"/>
                                  <w:w w:val="105"/>
                                  <w:sz w:val="14"/>
                                </w:rPr>
                                <w:t>las</w:t>
                              </w:r>
                              <w:r>
                                <w:rPr>
                                  <w:spacing w:val="1"/>
                                  <w:w w:val="105"/>
                                  <w:sz w:val="14"/>
                                </w:rPr>
                                <w:t xml:space="preserve"> </w:t>
                              </w:r>
                              <w:r>
                                <w:rPr>
                                  <w:spacing w:val="-2"/>
                                  <w:w w:val="105"/>
                                  <w:sz w:val="14"/>
                                </w:rPr>
                                <w:t>secciones</w:t>
                              </w:r>
                              <w:r>
                                <w:rPr>
                                  <w:w w:val="105"/>
                                  <w:sz w:val="14"/>
                                </w:rPr>
                                <w:t xml:space="preserve"> </w:t>
                              </w:r>
                              <w:r>
                                <w:rPr>
                                  <w:spacing w:val="-2"/>
                                  <w:w w:val="105"/>
                                  <w:sz w:val="14"/>
                                </w:rPr>
                                <w:t>se</w:t>
                              </w:r>
                              <w:r>
                                <w:rPr>
                                  <w:w w:val="105"/>
                                  <w:sz w:val="14"/>
                                </w:rPr>
                                <w:t xml:space="preserve"> </w:t>
                              </w:r>
                              <w:r>
                                <w:rPr>
                                  <w:spacing w:val="-2"/>
                                  <w:w w:val="105"/>
                                  <w:sz w:val="14"/>
                                </w:rPr>
                                <w:t>proporcionan</w:t>
                              </w:r>
                              <w:r>
                                <w:rPr>
                                  <w:w w:val="105"/>
                                  <w:sz w:val="14"/>
                                </w:rPr>
                                <w:t xml:space="preserve"> </w:t>
                              </w:r>
                              <w:r>
                                <w:rPr>
                                  <w:spacing w:val="-2"/>
                                  <w:w w:val="105"/>
                                  <w:sz w:val="14"/>
                                </w:rPr>
                                <w:t>en</w:t>
                              </w:r>
                              <w:r>
                                <w:rPr>
                                  <w:spacing w:val="1"/>
                                  <w:w w:val="105"/>
                                  <w:sz w:val="14"/>
                                </w:rPr>
                                <w:t xml:space="preserve"> </w:t>
                              </w:r>
                              <w:r>
                                <w:rPr>
                                  <w:spacing w:val="-2"/>
                                  <w:w w:val="105"/>
                                  <w:sz w:val="14"/>
                                </w:rPr>
                                <w:t>cuadros</w:t>
                              </w:r>
                              <w:r>
                                <w:rPr>
                                  <w:w w:val="105"/>
                                  <w:sz w:val="14"/>
                                </w:rPr>
                                <w:t xml:space="preserve"> </w:t>
                              </w:r>
                              <w:r>
                                <w:rPr>
                                  <w:spacing w:val="-2"/>
                                  <w:w w:val="105"/>
                                  <w:sz w:val="14"/>
                                </w:rPr>
                                <w:t>como</w:t>
                              </w:r>
                              <w:r>
                                <w:rPr>
                                  <w:w w:val="105"/>
                                  <w:sz w:val="14"/>
                                </w:rPr>
                                <w:t xml:space="preserve"> </w:t>
                              </w:r>
                              <w:r>
                                <w:rPr>
                                  <w:spacing w:val="-2"/>
                                  <w:w w:val="105"/>
                                  <w:sz w:val="14"/>
                                </w:rPr>
                                <w:t>este.</w:t>
                              </w:r>
                            </w:p>
                          </w:txbxContent>
                        </wps:txbx>
                        <wps:bodyPr wrap="square" lIns="0" tIns="0" rIns="0" bIns="0" rtlCol="0">
                          <a:noAutofit/>
                        </wps:bodyPr>
                      </wps:wsp>
                      <wps:wsp>
                        <wps:cNvPr id="46" name="Textbox 46"/>
                        <wps:cNvSpPr txBox="1"/>
                        <wps:spPr>
                          <a:xfrm>
                            <a:off x="30203" y="590585"/>
                            <a:ext cx="5899150" cy="415290"/>
                          </a:xfrm>
                          <a:prstGeom prst="rect">
                            <a:avLst/>
                          </a:prstGeom>
                        </wps:spPr>
                        <wps:txbx>
                          <w:txbxContent>
                            <w:p w14:paraId="0E51EA05" w14:textId="77777777" w:rsidR="0014798C" w:rsidRDefault="004E1F0B">
                              <w:pPr>
                                <w:spacing w:line="161" w:lineRule="exact"/>
                                <w:rPr>
                                  <w:sz w:val="14"/>
                                </w:rPr>
                              </w:pPr>
                              <w:r>
                                <w:rPr>
                                  <w:w w:val="105"/>
                                  <w:sz w:val="14"/>
                                </w:rPr>
                                <w:t>Como</w:t>
                              </w:r>
                              <w:r>
                                <w:rPr>
                                  <w:spacing w:val="-11"/>
                                  <w:w w:val="105"/>
                                  <w:sz w:val="14"/>
                                </w:rPr>
                                <w:t xml:space="preserve"> </w:t>
                              </w:r>
                              <w:r>
                                <w:rPr>
                                  <w:w w:val="105"/>
                                  <w:sz w:val="14"/>
                                </w:rPr>
                                <w:t>el</w:t>
                              </w:r>
                              <w:r>
                                <w:rPr>
                                  <w:spacing w:val="-10"/>
                                  <w:w w:val="105"/>
                                  <w:sz w:val="14"/>
                                </w:rPr>
                                <w:t xml:space="preserve"> </w:t>
                              </w:r>
                              <w:r>
                                <w:rPr>
                                  <w:w w:val="105"/>
                                  <w:sz w:val="14"/>
                                </w:rPr>
                                <w:t>objetivo</w:t>
                              </w:r>
                              <w:r>
                                <w:rPr>
                                  <w:spacing w:val="-10"/>
                                  <w:w w:val="105"/>
                                  <w:sz w:val="14"/>
                                </w:rPr>
                                <w:t xml:space="preserve"> </w:t>
                              </w:r>
                              <w:r>
                                <w:rPr>
                                  <w:w w:val="105"/>
                                  <w:sz w:val="14"/>
                                </w:rPr>
                                <w:t>de</w:t>
                              </w:r>
                              <w:r>
                                <w:rPr>
                                  <w:spacing w:val="-10"/>
                                  <w:w w:val="105"/>
                                  <w:sz w:val="14"/>
                                </w:rPr>
                                <w:t xml:space="preserve"> </w:t>
                              </w:r>
                              <w:r>
                                <w:rPr>
                                  <w:w w:val="105"/>
                                  <w:sz w:val="14"/>
                                </w:rPr>
                                <w:t>sus</w:t>
                              </w:r>
                              <w:r>
                                <w:rPr>
                                  <w:spacing w:val="-10"/>
                                  <w:w w:val="105"/>
                                  <w:sz w:val="14"/>
                                </w:rPr>
                                <w:t xml:space="preserve"> </w:t>
                              </w:r>
                              <w:r>
                                <w:rPr>
                                  <w:w w:val="105"/>
                                  <w:sz w:val="14"/>
                                </w:rPr>
                                <w:t>redactores</w:t>
                              </w:r>
                              <w:r>
                                <w:rPr>
                                  <w:spacing w:val="-10"/>
                                  <w:w w:val="105"/>
                                  <w:sz w:val="14"/>
                                </w:rPr>
                                <w:t xml:space="preserve"> </w:t>
                              </w:r>
                              <w:r>
                                <w:rPr>
                                  <w:w w:val="105"/>
                                  <w:sz w:val="14"/>
                                </w:rPr>
                                <w:t>es</w:t>
                              </w:r>
                              <w:r>
                                <w:rPr>
                                  <w:spacing w:val="-10"/>
                                  <w:w w:val="105"/>
                                  <w:sz w:val="14"/>
                                </w:rPr>
                                <w:t xml:space="preserve"> </w:t>
                              </w:r>
                              <w:r>
                                <w:rPr>
                                  <w:w w:val="105"/>
                                  <w:sz w:val="14"/>
                                </w:rPr>
                                <w:t>que</w:t>
                              </w:r>
                              <w:r>
                                <w:rPr>
                                  <w:spacing w:val="-10"/>
                                  <w:w w:val="105"/>
                                  <w:sz w:val="14"/>
                                </w:rPr>
                                <w:t xml:space="preserve"> </w:t>
                              </w:r>
                              <w:r>
                                <w:rPr>
                                  <w:w w:val="105"/>
                                  <w:sz w:val="14"/>
                                </w:rPr>
                                <w:t>la</w:t>
                              </w:r>
                              <w:r>
                                <w:rPr>
                                  <w:spacing w:val="-10"/>
                                  <w:w w:val="105"/>
                                  <w:sz w:val="14"/>
                                </w:rPr>
                                <w:t xml:space="preserve"> </w:t>
                              </w:r>
                              <w:r>
                                <w:rPr>
                                  <w:w w:val="105"/>
                                  <w:sz w:val="14"/>
                                </w:rPr>
                                <w:t>guía</w:t>
                              </w:r>
                              <w:r>
                                <w:rPr>
                                  <w:spacing w:val="-10"/>
                                  <w:w w:val="105"/>
                                  <w:sz w:val="14"/>
                                </w:rPr>
                                <w:t xml:space="preserve"> </w:t>
                              </w:r>
                              <w:r>
                                <w:rPr>
                                  <w:w w:val="105"/>
                                  <w:sz w:val="14"/>
                                </w:rPr>
                                <w:t>sea,</w:t>
                              </w:r>
                              <w:r>
                                <w:rPr>
                                  <w:spacing w:val="-10"/>
                                  <w:w w:val="105"/>
                                  <w:sz w:val="14"/>
                                </w:rPr>
                                <w:t xml:space="preserve"> </w:t>
                              </w:r>
                              <w:r>
                                <w:rPr>
                                  <w:w w:val="105"/>
                                  <w:sz w:val="14"/>
                                </w:rPr>
                                <w:t>ante</w:t>
                              </w:r>
                              <w:r>
                                <w:rPr>
                                  <w:spacing w:val="-10"/>
                                  <w:w w:val="105"/>
                                  <w:sz w:val="14"/>
                                </w:rPr>
                                <w:t xml:space="preserve"> </w:t>
                              </w:r>
                              <w:r>
                                <w:rPr>
                                  <w:w w:val="105"/>
                                  <w:sz w:val="14"/>
                                </w:rPr>
                                <w:t>todo,</w:t>
                              </w:r>
                              <w:r>
                                <w:rPr>
                                  <w:spacing w:val="-10"/>
                                  <w:w w:val="105"/>
                                  <w:sz w:val="14"/>
                                </w:rPr>
                                <w:t xml:space="preserve"> </w:t>
                              </w:r>
                              <w:r>
                                <w:rPr>
                                  <w:w w:val="105"/>
                                  <w:sz w:val="14"/>
                                </w:rPr>
                                <w:t>práctica,</w:t>
                              </w:r>
                              <w:r>
                                <w:rPr>
                                  <w:spacing w:val="-10"/>
                                  <w:w w:val="105"/>
                                  <w:sz w:val="14"/>
                                </w:rPr>
                                <w:t xml:space="preserve"> </w:t>
                              </w:r>
                              <w:r>
                                <w:rPr>
                                  <w:w w:val="105"/>
                                  <w:sz w:val="14"/>
                                </w:rPr>
                                <w:t>las</w:t>
                              </w:r>
                              <w:r>
                                <w:rPr>
                                  <w:spacing w:val="-9"/>
                                  <w:w w:val="105"/>
                                  <w:sz w:val="14"/>
                                </w:rPr>
                                <w:t xml:space="preserve"> </w:t>
                              </w:r>
                              <w:r>
                                <w:rPr>
                                  <w:w w:val="105"/>
                                  <w:sz w:val="14"/>
                                </w:rPr>
                                <w:t>secciones</w:t>
                              </w:r>
                              <w:r>
                                <w:rPr>
                                  <w:spacing w:val="-10"/>
                                  <w:w w:val="105"/>
                                  <w:sz w:val="14"/>
                                </w:rPr>
                                <w:t xml:space="preserve"> </w:t>
                              </w:r>
                              <w:r>
                                <w:rPr>
                                  <w:w w:val="105"/>
                                  <w:sz w:val="14"/>
                                </w:rPr>
                                <w:t>incluyen</w:t>
                              </w:r>
                              <w:r>
                                <w:rPr>
                                  <w:spacing w:val="-10"/>
                                  <w:w w:val="105"/>
                                  <w:sz w:val="14"/>
                                </w:rPr>
                                <w:t xml:space="preserve"> </w:t>
                              </w:r>
                              <w:r>
                                <w:rPr>
                                  <w:w w:val="105"/>
                                  <w:sz w:val="14"/>
                                </w:rPr>
                                <w:t>recuadros</w:t>
                              </w:r>
                              <w:r>
                                <w:rPr>
                                  <w:spacing w:val="-10"/>
                                  <w:w w:val="105"/>
                                  <w:sz w:val="14"/>
                                </w:rPr>
                                <w:t xml:space="preserve"> </w:t>
                              </w:r>
                              <w:r>
                                <w:rPr>
                                  <w:w w:val="105"/>
                                  <w:sz w:val="14"/>
                                </w:rPr>
                                <w:t>ilustrativos</w:t>
                              </w:r>
                              <w:r>
                                <w:rPr>
                                  <w:spacing w:val="-10"/>
                                  <w:w w:val="105"/>
                                  <w:sz w:val="14"/>
                                </w:rPr>
                                <w:t xml:space="preserve"> </w:t>
                              </w:r>
                              <w:r>
                                <w:rPr>
                                  <w:w w:val="105"/>
                                  <w:sz w:val="14"/>
                                </w:rPr>
                                <w:t>con</w:t>
                              </w:r>
                              <w:r>
                                <w:rPr>
                                  <w:spacing w:val="-10"/>
                                  <w:w w:val="105"/>
                                  <w:sz w:val="14"/>
                                </w:rPr>
                                <w:t xml:space="preserve"> </w:t>
                              </w:r>
                              <w:r>
                                <w:rPr>
                                  <w:w w:val="105"/>
                                  <w:sz w:val="14"/>
                                </w:rPr>
                                <w:t>ejemplos</w:t>
                              </w:r>
                              <w:r>
                                <w:rPr>
                                  <w:spacing w:val="-10"/>
                                  <w:w w:val="105"/>
                                  <w:sz w:val="14"/>
                                </w:rPr>
                                <w:t xml:space="preserve"> </w:t>
                              </w:r>
                              <w:r>
                                <w:rPr>
                                  <w:w w:val="105"/>
                                  <w:sz w:val="14"/>
                                </w:rPr>
                                <w:t>y</w:t>
                              </w:r>
                              <w:r>
                                <w:rPr>
                                  <w:spacing w:val="-10"/>
                                  <w:w w:val="105"/>
                                  <w:sz w:val="14"/>
                                </w:rPr>
                                <w:t xml:space="preserve"> </w:t>
                              </w:r>
                              <w:r>
                                <w:rPr>
                                  <w:spacing w:val="-2"/>
                                  <w:w w:val="105"/>
                                  <w:sz w:val="14"/>
                                </w:rPr>
                                <w:t>estudios</w:t>
                              </w:r>
                            </w:p>
                            <w:p w14:paraId="778B81BA" w14:textId="77777777" w:rsidR="0014798C" w:rsidRDefault="004E1F0B">
                              <w:pPr>
                                <w:spacing w:before="9" w:line="240" w:lineRule="atLeast"/>
                                <w:ind w:left="4" w:right="263" w:hanging="2"/>
                                <w:rPr>
                                  <w:sz w:val="14"/>
                                </w:rPr>
                              </w:pPr>
                              <w:r>
                                <w:rPr>
                                  <w:w w:val="105"/>
                                  <w:sz w:val="14"/>
                                </w:rPr>
                                <w:t>de</w:t>
                              </w:r>
                              <w:r>
                                <w:rPr>
                                  <w:spacing w:val="-11"/>
                                  <w:w w:val="105"/>
                                  <w:sz w:val="14"/>
                                </w:rPr>
                                <w:t xml:space="preserve"> </w:t>
                              </w:r>
                              <w:r>
                                <w:rPr>
                                  <w:w w:val="105"/>
                                  <w:sz w:val="14"/>
                                </w:rPr>
                                <w:t>casos,</w:t>
                              </w:r>
                              <w:r>
                                <w:rPr>
                                  <w:spacing w:val="-10"/>
                                  <w:w w:val="105"/>
                                  <w:sz w:val="14"/>
                                </w:rPr>
                                <w:t xml:space="preserve"> </w:t>
                              </w:r>
                              <w:r>
                                <w:rPr>
                                  <w:w w:val="105"/>
                                  <w:sz w:val="14"/>
                                </w:rPr>
                                <w:t>cuestiones</w:t>
                              </w:r>
                              <w:r>
                                <w:rPr>
                                  <w:spacing w:val="-10"/>
                                  <w:w w:val="105"/>
                                  <w:sz w:val="14"/>
                                </w:rPr>
                                <w:t xml:space="preserve"> </w:t>
                              </w:r>
                              <w:r>
                                <w:rPr>
                                  <w:w w:val="105"/>
                                  <w:sz w:val="14"/>
                                </w:rPr>
                                <w:t>específicas</w:t>
                              </w:r>
                              <w:r>
                                <w:rPr>
                                  <w:spacing w:val="-10"/>
                                  <w:w w:val="105"/>
                                  <w:sz w:val="14"/>
                                </w:rPr>
                                <w:t xml:space="preserve"> </w:t>
                              </w:r>
                              <w:r>
                                <w:rPr>
                                  <w:w w:val="105"/>
                                  <w:sz w:val="14"/>
                                </w:rPr>
                                <w:t>o</w:t>
                              </w:r>
                              <w:r>
                                <w:rPr>
                                  <w:spacing w:val="-11"/>
                                  <w:w w:val="105"/>
                                  <w:sz w:val="14"/>
                                </w:rPr>
                                <w:t xml:space="preserve"> </w:t>
                              </w:r>
                              <w:r>
                                <w:rPr>
                                  <w:w w:val="105"/>
                                  <w:sz w:val="14"/>
                                </w:rPr>
                                <w:t>complejas</w:t>
                              </w:r>
                              <w:r>
                                <w:rPr>
                                  <w:spacing w:val="-10"/>
                                  <w:w w:val="105"/>
                                  <w:sz w:val="14"/>
                                </w:rPr>
                                <w:t xml:space="preserve"> </w:t>
                              </w:r>
                              <w:r>
                                <w:rPr>
                                  <w:w w:val="105"/>
                                  <w:sz w:val="14"/>
                                </w:rPr>
                                <w:t>del</w:t>
                              </w:r>
                              <w:r>
                                <w:rPr>
                                  <w:spacing w:val="-10"/>
                                  <w:w w:val="105"/>
                                  <w:sz w:val="14"/>
                                </w:rPr>
                                <w:t xml:space="preserve"> </w:t>
                              </w:r>
                              <w:r>
                                <w:rPr>
                                  <w:w w:val="105"/>
                                  <w:sz w:val="14"/>
                                </w:rPr>
                                <w:t>derecho</w:t>
                              </w:r>
                              <w:r>
                                <w:rPr>
                                  <w:spacing w:val="-10"/>
                                  <w:w w:val="105"/>
                                  <w:sz w:val="14"/>
                                </w:rPr>
                                <w:t xml:space="preserve"> </w:t>
                              </w:r>
                              <w:r>
                                <w:rPr>
                                  <w:w w:val="105"/>
                                  <w:sz w:val="14"/>
                                </w:rPr>
                                <w:t>internacional,</w:t>
                              </w:r>
                              <w:r>
                                <w:rPr>
                                  <w:spacing w:val="-10"/>
                                  <w:w w:val="105"/>
                                  <w:sz w:val="14"/>
                                </w:rPr>
                                <w:t xml:space="preserve"> </w:t>
                              </w:r>
                              <w:r>
                                <w:rPr>
                                  <w:w w:val="105"/>
                                  <w:sz w:val="14"/>
                                </w:rPr>
                                <w:t>junto</w:t>
                              </w:r>
                              <w:r>
                                <w:rPr>
                                  <w:spacing w:val="-11"/>
                                  <w:w w:val="105"/>
                                  <w:sz w:val="14"/>
                                </w:rPr>
                                <w:t xml:space="preserve"> </w:t>
                              </w:r>
                              <w:r>
                                <w:rPr>
                                  <w:w w:val="105"/>
                                  <w:sz w:val="14"/>
                                </w:rPr>
                                <w:t>con</w:t>
                              </w:r>
                              <w:r>
                                <w:rPr>
                                  <w:spacing w:val="-10"/>
                                  <w:w w:val="105"/>
                                  <w:sz w:val="14"/>
                                </w:rPr>
                                <w:t xml:space="preserve"> </w:t>
                              </w:r>
                              <w:r>
                                <w:rPr>
                                  <w:w w:val="105"/>
                                  <w:sz w:val="14"/>
                                </w:rPr>
                                <w:t>los</w:t>
                              </w:r>
                              <w:r>
                                <w:rPr>
                                  <w:spacing w:val="-10"/>
                                  <w:w w:val="105"/>
                                  <w:sz w:val="14"/>
                                </w:rPr>
                                <w:t xml:space="preserve"> </w:t>
                              </w:r>
                              <w:r>
                                <w:rPr>
                                  <w:w w:val="105"/>
                                  <w:sz w:val="14"/>
                                </w:rPr>
                                <w:t>resúmenes</w:t>
                              </w:r>
                              <w:r>
                                <w:rPr>
                                  <w:spacing w:val="-10"/>
                                  <w:w w:val="105"/>
                                  <w:sz w:val="14"/>
                                </w:rPr>
                                <w:t xml:space="preserve"> </w:t>
                              </w:r>
                              <w:r>
                                <w:rPr>
                                  <w:w w:val="105"/>
                                  <w:sz w:val="14"/>
                                </w:rPr>
                                <w:t>de</w:t>
                              </w:r>
                              <w:r>
                                <w:rPr>
                                  <w:spacing w:val="-10"/>
                                  <w:w w:val="105"/>
                                  <w:sz w:val="14"/>
                                </w:rPr>
                                <w:t xml:space="preserve"> </w:t>
                              </w:r>
                              <w:r>
                                <w:rPr>
                                  <w:w w:val="105"/>
                                  <w:sz w:val="14"/>
                                </w:rPr>
                                <w:t>las</w:t>
                              </w:r>
                              <w:r>
                                <w:rPr>
                                  <w:spacing w:val="-11"/>
                                  <w:w w:val="105"/>
                                  <w:sz w:val="14"/>
                                </w:rPr>
                                <w:t xml:space="preserve"> </w:t>
                              </w:r>
                              <w:r>
                                <w:rPr>
                                  <w:w w:val="105"/>
                                  <w:sz w:val="14"/>
                                </w:rPr>
                                <w:t>secciones</w:t>
                              </w:r>
                              <w:r>
                                <w:rPr>
                                  <w:spacing w:val="-10"/>
                                  <w:w w:val="105"/>
                                  <w:sz w:val="14"/>
                                </w:rPr>
                                <w:t xml:space="preserve"> </w:t>
                              </w:r>
                              <w:r>
                                <w:rPr>
                                  <w:w w:val="105"/>
                                  <w:sz w:val="14"/>
                                </w:rPr>
                                <w:t>antes</w:t>
                              </w:r>
                              <w:r>
                                <w:rPr>
                                  <w:spacing w:val="-10"/>
                                  <w:w w:val="105"/>
                                  <w:sz w:val="14"/>
                                </w:rPr>
                                <w:t xml:space="preserve"> </w:t>
                              </w:r>
                              <w:r>
                                <w:rPr>
                                  <w:w w:val="105"/>
                                  <w:sz w:val="14"/>
                                </w:rPr>
                                <w:t>mencionadas.</w:t>
                              </w:r>
                              <w:r>
                                <w:rPr>
                                  <w:spacing w:val="-10"/>
                                  <w:w w:val="105"/>
                                  <w:sz w:val="14"/>
                                </w:rPr>
                                <w:t xml:space="preserve"> </w:t>
                              </w:r>
                              <w:r>
                                <w:rPr>
                                  <w:w w:val="105"/>
                                  <w:sz w:val="14"/>
                                </w:rPr>
                                <w:t>Para mayor comodidad, están codificados</w:t>
                              </w:r>
                              <w:r>
                                <w:rPr>
                                  <w:spacing w:val="-1"/>
                                  <w:w w:val="105"/>
                                  <w:sz w:val="14"/>
                                </w:rPr>
                                <w:t xml:space="preserve"> </w:t>
                              </w:r>
                              <w:r>
                                <w:rPr>
                                  <w:w w:val="105"/>
                                  <w:sz w:val="14"/>
                                </w:rPr>
                                <w:t>por colores, de la siguiente manera:</w:t>
                              </w:r>
                            </w:p>
                          </w:txbxContent>
                        </wps:txbx>
                        <wps:bodyPr wrap="square" lIns="0" tIns="0" rIns="0" bIns="0" rtlCol="0">
                          <a:noAutofit/>
                        </wps:bodyPr>
                      </wps:wsp>
                      <wps:wsp>
                        <wps:cNvPr id="47" name="Textbox 47"/>
                        <wps:cNvSpPr txBox="1"/>
                        <wps:spPr>
                          <a:xfrm>
                            <a:off x="174537" y="1354026"/>
                            <a:ext cx="5552440" cy="420370"/>
                          </a:xfrm>
                          <a:prstGeom prst="rect">
                            <a:avLst/>
                          </a:prstGeom>
                        </wps:spPr>
                        <wps:txbx>
                          <w:txbxContent>
                            <w:p w14:paraId="2389AD9D" w14:textId="77777777" w:rsidR="0014798C" w:rsidRDefault="004E1F0B">
                              <w:pPr>
                                <w:spacing w:line="161" w:lineRule="exact"/>
                                <w:ind w:left="3"/>
                                <w:rPr>
                                  <w:sz w:val="14"/>
                                </w:rPr>
                              </w:pPr>
                              <w:r>
                                <w:rPr>
                                  <w:spacing w:val="-2"/>
                                  <w:w w:val="105"/>
                                  <w:sz w:val="14"/>
                                </w:rPr>
                                <w:t>Los</w:t>
                              </w:r>
                              <w:r>
                                <w:rPr>
                                  <w:spacing w:val="-1"/>
                                  <w:w w:val="105"/>
                                  <w:sz w:val="14"/>
                                </w:rPr>
                                <w:t xml:space="preserve"> </w:t>
                              </w:r>
                              <w:r>
                                <w:rPr>
                                  <w:spacing w:val="-2"/>
                                  <w:w w:val="105"/>
                                  <w:sz w:val="14"/>
                                </w:rPr>
                                <w:t>cuadros</w:t>
                              </w:r>
                              <w:r>
                                <w:rPr>
                                  <w:w w:val="105"/>
                                  <w:sz w:val="14"/>
                                </w:rPr>
                                <w:t xml:space="preserve"> </w:t>
                              </w:r>
                              <w:r>
                                <w:rPr>
                                  <w:spacing w:val="-2"/>
                                  <w:w w:val="105"/>
                                  <w:sz w:val="14"/>
                                </w:rPr>
                                <w:t>de</w:t>
                              </w:r>
                              <w:r>
                                <w:rPr>
                                  <w:w w:val="105"/>
                                  <w:sz w:val="14"/>
                                </w:rPr>
                                <w:t xml:space="preserve"> </w:t>
                              </w:r>
                              <w:r>
                                <w:rPr>
                                  <w:spacing w:val="-2"/>
                                  <w:w w:val="105"/>
                                  <w:sz w:val="14"/>
                                </w:rPr>
                                <w:t>color</w:t>
                              </w:r>
                              <w:r>
                                <w:rPr>
                                  <w:w w:val="105"/>
                                  <w:sz w:val="14"/>
                                </w:rPr>
                                <w:t xml:space="preserve"> </w:t>
                              </w:r>
                              <w:r>
                                <w:rPr>
                                  <w:spacing w:val="-2"/>
                                  <w:w w:val="105"/>
                                  <w:sz w:val="14"/>
                                </w:rPr>
                                <w:t>verde</w:t>
                              </w:r>
                              <w:r>
                                <w:rPr>
                                  <w:w w:val="105"/>
                                  <w:sz w:val="14"/>
                                </w:rPr>
                                <w:t xml:space="preserve"> </w:t>
                              </w:r>
                              <w:r>
                                <w:rPr>
                                  <w:spacing w:val="-2"/>
                                  <w:w w:val="105"/>
                                  <w:sz w:val="14"/>
                                </w:rPr>
                                <w:t>proporcionan</w:t>
                              </w:r>
                              <w:r>
                                <w:rPr>
                                  <w:w w:val="105"/>
                                  <w:sz w:val="14"/>
                                </w:rPr>
                                <w:t xml:space="preserve"> </w:t>
                              </w:r>
                              <w:r>
                                <w:rPr>
                                  <w:spacing w:val="-2"/>
                                  <w:w w:val="105"/>
                                  <w:sz w:val="14"/>
                                </w:rPr>
                                <w:t>ejemplos</w:t>
                              </w:r>
                              <w:r>
                                <w:rPr>
                                  <w:w w:val="105"/>
                                  <w:sz w:val="14"/>
                                </w:rPr>
                                <w:t xml:space="preserve"> </w:t>
                              </w:r>
                              <w:r>
                                <w:rPr>
                                  <w:spacing w:val="-2"/>
                                  <w:w w:val="105"/>
                                  <w:sz w:val="14"/>
                                </w:rPr>
                                <w:t>de</w:t>
                              </w:r>
                              <w:r>
                                <w:rPr>
                                  <w:w w:val="105"/>
                                  <w:sz w:val="14"/>
                                </w:rPr>
                                <w:t xml:space="preserve"> </w:t>
                              </w:r>
                              <w:r>
                                <w:rPr>
                                  <w:spacing w:val="-2"/>
                                  <w:w w:val="105"/>
                                  <w:sz w:val="14"/>
                                </w:rPr>
                                <w:t>la</w:t>
                              </w:r>
                              <w:r>
                                <w:rPr>
                                  <w:w w:val="105"/>
                                  <w:sz w:val="14"/>
                                </w:rPr>
                                <w:t xml:space="preserve"> </w:t>
                              </w:r>
                              <w:r>
                                <w:rPr>
                                  <w:spacing w:val="-2"/>
                                  <w:w w:val="105"/>
                                  <w:sz w:val="14"/>
                                </w:rPr>
                                <w:t>práctica</w:t>
                              </w:r>
                              <w:r>
                                <w:rPr>
                                  <w:w w:val="105"/>
                                  <w:sz w:val="14"/>
                                </w:rPr>
                                <w:t xml:space="preserve"> </w:t>
                              </w:r>
                              <w:r>
                                <w:rPr>
                                  <w:spacing w:val="-2"/>
                                  <w:w w:val="105"/>
                                  <w:sz w:val="14"/>
                                </w:rPr>
                                <w:t>nacional,</w:t>
                              </w:r>
                              <w:r>
                                <w:rPr>
                                  <w:w w:val="105"/>
                                  <w:sz w:val="14"/>
                                </w:rPr>
                                <w:t xml:space="preserve"> </w:t>
                              </w:r>
                              <w:r>
                                <w:rPr>
                                  <w:spacing w:val="-2"/>
                                  <w:w w:val="105"/>
                                  <w:sz w:val="14"/>
                                </w:rPr>
                                <w:t>principalmente</w:t>
                              </w:r>
                              <w:r>
                                <w:rPr>
                                  <w:spacing w:val="-1"/>
                                  <w:w w:val="105"/>
                                  <w:sz w:val="14"/>
                                </w:rPr>
                                <w:t xml:space="preserve"> </w:t>
                              </w:r>
                              <w:r>
                                <w:rPr>
                                  <w:spacing w:val="-2"/>
                                  <w:w w:val="105"/>
                                  <w:sz w:val="14"/>
                                </w:rPr>
                                <w:t>en</w:t>
                              </w:r>
                              <w:r>
                                <w:rPr>
                                  <w:w w:val="105"/>
                                  <w:sz w:val="14"/>
                                </w:rPr>
                                <w:t xml:space="preserve"> </w:t>
                              </w:r>
                              <w:r>
                                <w:rPr>
                                  <w:spacing w:val="-2"/>
                                  <w:w w:val="105"/>
                                  <w:sz w:val="14"/>
                                </w:rPr>
                                <w:t>forma</w:t>
                              </w:r>
                              <w:r>
                                <w:rPr>
                                  <w:w w:val="105"/>
                                  <w:sz w:val="14"/>
                                </w:rPr>
                                <w:t xml:space="preserve"> </w:t>
                              </w:r>
                              <w:r>
                                <w:rPr>
                                  <w:spacing w:val="-2"/>
                                  <w:w w:val="105"/>
                                  <w:sz w:val="14"/>
                                </w:rPr>
                                <w:t>de</w:t>
                              </w:r>
                              <w:r>
                                <w:rPr>
                                  <w:w w:val="105"/>
                                  <w:sz w:val="14"/>
                                </w:rPr>
                                <w:t xml:space="preserve"> </w:t>
                              </w:r>
                              <w:r>
                                <w:rPr>
                                  <w:spacing w:val="-2"/>
                                  <w:w w:val="105"/>
                                  <w:sz w:val="14"/>
                                </w:rPr>
                                <w:t>disposiciones</w:t>
                              </w:r>
                              <w:r>
                                <w:rPr>
                                  <w:spacing w:val="-1"/>
                                  <w:w w:val="105"/>
                                  <w:sz w:val="14"/>
                                </w:rPr>
                                <w:t xml:space="preserve"> </w:t>
                              </w:r>
                              <w:r>
                                <w:rPr>
                                  <w:spacing w:val="-2"/>
                                  <w:w w:val="105"/>
                                  <w:sz w:val="14"/>
                                </w:rPr>
                                <w:t>de</w:t>
                              </w:r>
                              <w:r>
                                <w:rPr>
                                  <w:w w:val="105"/>
                                  <w:sz w:val="14"/>
                                </w:rPr>
                                <w:t xml:space="preserve"> </w:t>
                              </w:r>
                              <w:r>
                                <w:rPr>
                                  <w:spacing w:val="-2"/>
                                  <w:w w:val="105"/>
                                  <w:sz w:val="14"/>
                                </w:rPr>
                                <w:t>las</w:t>
                              </w:r>
                              <w:r>
                                <w:rPr>
                                  <w:w w:val="105"/>
                                  <w:sz w:val="14"/>
                                </w:rPr>
                                <w:t xml:space="preserve"> </w:t>
                              </w:r>
                              <w:r>
                                <w:rPr>
                                  <w:spacing w:val="-2"/>
                                  <w:w w:val="105"/>
                                  <w:sz w:val="14"/>
                                </w:rPr>
                                <w:t>leyes</w:t>
                              </w:r>
                            </w:p>
                            <w:p w14:paraId="73D61FB9" w14:textId="77777777" w:rsidR="0014798C" w:rsidRDefault="004E1F0B">
                              <w:pPr>
                                <w:spacing w:line="250" w:lineRule="atLeast"/>
                                <w:ind w:left="3" w:hanging="4"/>
                                <w:rPr>
                                  <w:sz w:val="14"/>
                                </w:rPr>
                              </w:pPr>
                              <w:r>
                                <w:rPr>
                                  <w:w w:val="105"/>
                                  <w:sz w:val="14"/>
                                </w:rPr>
                                <w:t>nacionales</w:t>
                              </w:r>
                              <w:r>
                                <w:rPr>
                                  <w:spacing w:val="-10"/>
                                  <w:w w:val="105"/>
                                  <w:sz w:val="14"/>
                                </w:rPr>
                                <w:t xml:space="preserve"> </w:t>
                              </w:r>
                              <w:r>
                                <w:rPr>
                                  <w:w w:val="105"/>
                                  <w:sz w:val="14"/>
                                </w:rPr>
                                <w:t>contra</w:t>
                              </w:r>
                              <w:r>
                                <w:rPr>
                                  <w:spacing w:val="-10"/>
                                  <w:w w:val="105"/>
                                  <w:sz w:val="14"/>
                                </w:rPr>
                                <w:t xml:space="preserve"> </w:t>
                              </w:r>
                              <w:r>
                                <w:rPr>
                                  <w:w w:val="105"/>
                                  <w:sz w:val="14"/>
                                </w:rPr>
                                <w:t>la</w:t>
                              </w:r>
                              <w:r>
                                <w:rPr>
                                  <w:spacing w:val="-10"/>
                                  <w:w w:val="105"/>
                                  <w:sz w:val="14"/>
                                </w:rPr>
                                <w:t xml:space="preserve"> </w:t>
                              </w:r>
                              <w:r>
                                <w:rPr>
                                  <w:w w:val="105"/>
                                  <w:sz w:val="14"/>
                                </w:rPr>
                                <w:t>discriminación.</w:t>
                              </w:r>
                              <w:r>
                                <w:rPr>
                                  <w:spacing w:val="-9"/>
                                  <w:w w:val="105"/>
                                  <w:sz w:val="14"/>
                                </w:rPr>
                                <w:t xml:space="preserve"> </w:t>
                              </w:r>
                              <w:r>
                                <w:rPr>
                                  <w:w w:val="105"/>
                                  <w:sz w:val="14"/>
                                </w:rPr>
                                <w:t>Estos</w:t>
                              </w:r>
                              <w:r>
                                <w:rPr>
                                  <w:spacing w:val="-11"/>
                                  <w:w w:val="105"/>
                                  <w:sz w:val="14"/>
                                </w:rPr>
                                <w:t xml:space="preserve"> </w:t>
                              </w:r>
                              <w:r>
                                <w:rPr>
                                  <w:w w:val="105"/>
                                  <w:sz w:val="14"/>
                                </w:rPr>
                                <w:t>se</w:t>
                              </w:r>
                              <w:r>
                                <w:rPr>
                                  <w:spacing w:val="-9"/>
                                  <w:w w:val="105"/>
                                  <w:sz w:val="14"/>
                                </w:rPr>
                                <w:t xml:space="preserve"> </w:t>
                              </w:r>
                              <w:r>
                                <w:rPr>
                                  <w:w w:val="105"/>
                                  <w:sz w:val="14"/>
                                </w:rPr>
                                <w:t>proporcionan</w:t>
                              </w:r>
                              <w:r>
                                <w:rPr>
                                  <w:spacing w:val="-10"/>
                                  <w:w w:val="105"/>
                                  <w:sz w:val="14"/>
                                </w:rPr>
                                <w:t xml:space="preserve"> </w:t>
                              </w:r>
                              <w:r>
                                <w:rPr>
                                  <w:w w:val="105"/>
                                  <w:sz w:val="14"/>
                                </w:rPr>
                                <w:t>con</w:t>
                              </w:r>
                              <w:r>
                                <w:rPr>
                                  <w:spacing w:val="-10"/>
                                  <w:w w:val="105"/>
                                  <w:sz w:val="14"/>
                                </w:rPr>
                                <w:t xml:space="preserve"> </w:t>
                              </w:r>
                              <w:r>
                                <w:rPr>
                                  <w:w w:val="105"/>
                                  <w:sz w:val="14"/>
                                </w:rPr>
                                <w:t>el</w:t>
                              </w:r>
                              <w:r>
                                <w:rPr>
                                  <w:spacing w:val="-10"/>
                                  <w:w w:val="105"/>
                                  <w:sz w:val="14"/>
                                </w:rPr>
                                <w:t xml:space="preserve"> </w:t>
                              </w:r>
                              <w:r>
                                <w:rPr>
                                  <w:w w:val="105"/>
                                  <w:sz w:val="14"/>
                                </w:rPr>
                                <w:t>objetivo</w:t>
                              </w:r>
                              <w:r>
                                <w:rPr>
                                  <w:spacing w:val="-10"/>
                                  <w:w w:val="105"/>
                                  <w:sz w:val="14"/>
                                </w:rPr>
                                <w:t xml:space="preserve"> </w:t>
                              </w:r>
                              <w:r>
                                <w:rPr>
                                  <w:w w:val="105"/>
                                  <w:sz w:val="14"/>
                                </w:rPr>
                                <w:t>de</w:t>
                              </w:r>
                              <w:r>
                                <w:rPr>
                                  <w:spacing w:val="-10"/>
                                  <w:w w:val="105"/>
                                  <w:sz w:val="14"/>
                                </w:rPr>
                                <w:t xml:space="preserve"> </w:t>
                              </w:r>
                              <w:r>
                                <w:rPr>
                                  <w:w w:val="105"/>
                                  <w:sz w:val="14"/>
                                </w:rPr>
                                <w:t>proporcionar</w:t>
                              </w:r>
                              <w:r>
                                <w:rPr>
                                  <w:spacing w:val="-10"/>
                                  <w:w w:val="105"/>
                                  <w:sz w:val="14"/>
                                </w:rPr>
                                <w:t xml:space="preserve"> </w:t>
                              </w:r>
                              <w:r>
                                <w:rPr>
                                  <w:w w:val="105"/>
                                  <w:sz w:val="14"/>
                                </w:rPr>
                                <w:t>a</w:t>
                              </w:r>
                              <w:r>
                                <w:rPr>
                                  <w:spacing w:val="-10"/>
                                  <w:w w:val="105"/>
                                  <w:sz w:val="14"/>
                                </w:rPr>
                                <w:t xml:space="preserve"> </w:t>
                              </w:r>
                              <w:r>
                                <w:rPr>
                                  <w:w w:val="105"/>
                                  <w:sz w:val="14"/>
                                </w:rPr>
                                <w:t>quienes</w:t>
                              </w:r>
                              <w:r>
                                <w:rPr>
                                  <w:spacing w:val="-10"/>
                                  <w:w w:val="105"/>
                                  <w:sz w:val="14"/>
                                </w:rPr>
                                <w:t xml:space="preserve"> </w:t>
                              </w:r>
                              <w:r>
                                <w:rPr>
                                  <w:w w:val="105"/>
                                  <w:sz w:val="14"/>
                                </w:rPr>
                                <w:t>participan</w:t>
                              </w:r>
                              <w:r>
                                <w:rPr>
                                  <w:spacing w:val="-10"/>
                                  <w:w w:val="105"/>
                                  <w:sz w:val="14"/>
                                </w:rPr>
                                <w:t xml:space="preserve"> </w:t>
                              </w:r>
                              <w:r>
                                <w:rPr>
                                  <w:w w:val="105"/>
                                  <w:sz w:val="14"/>
                                </w:rPr>
                                <w:t>en</w:t>
                              </w:r>
                              <w:r>
                                <w:rPr>
                                  <w:spacing w:val="-10"/>
                                  <w:w w:val="105"/>
                                  <w:sz w:val="14"/>
                                </w:rPr>
                                <w:t xml:space="preserve"> </w:t>
                              </w:r>
                              <w:r>
                                <w:rPr>
                                  <w:w w:val="105"/>
                                  <w:sz w:val="14"/>
                                </w:rPr>
                                <w:t>el</w:t>
                              </w:r>
                              <w:r>
                                <w:rPr>
                                  <w:spacing w:val="-10"/>
                                  <w:w w:val="105"/>
                                  <w:sz w:val="14"/>
                                </w:rPr>
                                <w:t xml:space="preserve"> </w:t>
                              </w:r>
                              <w:r>
                                <w:rPr>
                                  <w:w w:val="105"/>
                                  <w:sz w:val="14"/>
                                </w:rPr>
                                <w:t>desarrollo</w:t>
                              </w:r>
                              <w:r>
                                <w:rPr>
                                  <w:spacing w:val="-10"/>
                                  <w:w w:val="105"/>
                                  <w:sz w:val="14"/>
                                </w:rPr>
                                <w:t xml:space="preserve"> </w:t>
                              </w:r>
                              <w:r>
                                <w:rPr>
                                  <w:w w:val="105"/>
                                  <w:sz w:val="14"/>
                                </w:rPr>
                                <w:t>de</w:t>
                              </w:r>
                              <w:r>
                                <w:rPr>
                                  <w:spacing w:val="-10"/>
                                  <w:w w:val="105"/>
                                  <w:sz w:val="14"/>
                                </w:rPr>
                                <w:t xml:space="preserve"> </w:t>
                              </w:r>
                              <w:r>
                                <w:rPr>
                                  <w:w w:val="105"/>
                                  <w:sz w:val="14"/>
                                </w:rPr>
                                <w:t>leyes contra</w:t>
                              </w:r>
                              <w:r>
                                <w:rPr>
                                  <w:spacing w:val="-3"/>
                                  <w:w w:val="105"/>
                                  <w:sz w:val="14"/>
                                </w:rPr>
                                <w:t xml:space="preserve"> </w:t>
                              </w:r>
                              <w:r>
                                <w:rPr>
                                  <w:w w:val="105"/>
                                  <w:sz w:val="14"/>
                                </w:rPr>
                                <w:t>la</w:t>
                              </w:r>
                              <w:r>
                                <w:rPr>
                                  <w:spacing w:val="-3"/>
                                  <w:w w:val="105"/>
                                  <w:sz w:val="14"/>
                                </w:rPr>
                                <w:t xml:space="preserve"> </w:t>
                              </w:r>
                              <w:r>
                                <w:rPr>
                                  <w:w w:val="105"/>
                                  <w:sz w:val="14"/>
                                </w:rPr>
                                <w:t>discriminación</w:t>
                              </w:r>
                              <w:r>
                                <w:rPr>
                                  <w:spacing w:val="-3"/>
                                  <w:w w:val="105"/>
                                  <w:sz w:val="14"/>
                                </w:rPr>
                                <w:t xml:space="preserve"> </w:t>
                              </w:r>
                              <w:r>
                                <w:rPr>
                                  <w:w w:val="105"/>
                                  <w:sz w:val="14"/>
                                </w:rPr>
                                <w:t>disposiciones</w:t>
                              </w:r>
                              <w:r>
                                <w:rPr>
                                  <w:spacing w:val="-4"/>
                                  <w:w w:val="105"/>
                                  <w:sz w:val="14"/>
                                </w:rPr>
                                <w:t xml:space="preserve"> </w:t>
                              </w:r>
                              <w:r>
                                <w:rPr>
                                  <w:w w:val="105"/>
                                  <w:sz w:val="14"/>
                                </w:rPr>
                                <w:t>sobre</w:t>
                              </w:r>
                              <w:r>
                                <w:rPr>
                                  <w:spacing w:val="-3"/>
                                  <w:w w:val="105"/>
                                  <w:sz w:val="14"/>
                                </w:rPr>
                                <w:t xml:space="preserve"> </w:t>
                              </w:r>
                              <w:r>
                                <w:rPr>
                                  <w:w w:val="105"/>
                                  <w:sz w:val="14"/>
                                </w:rPr>
                                <w:t>mejores</w:t>
                              </w:r>
                              <w:r>
                                <w:rPr>
                                  <w:spacing w:val="-3"/>
                                  <w:w w:val="105"/>
                                  <w:sz w:val="14"/>
                                </w:rPr>
                                <w:t xml:space="preserve"> </w:t>
                              </w:r>
                              <w:r>
                                <w:rPr>
                                  <w:w w:val="105"/>
                                  <w:sz w:val="14"/>
                                </w:rPr>
                                <w:t>prácticas</w:t>
                              </w:r>
                              <w:r>
                                <w:rPr>
                                  <w:spacing w:val="-4"/>
                                  <w:w w:val="105"/>
                                  <w:sz w:val="14"/>
                                </w:rPr>
                                <w:t xml:space="preserve"> </w:t>
                              </w:r>
                              <w:r>
                                <w:rPr>
                                  <w:w w:val="105"/>
                                  <w:sz w:val="14"/>
                                </w:rPr>
                                <w:t>que</w:t>
                              </w:r>
                              <w:r>
                                <w:rPr>
                                  <w:spacing w:val="-3"/>
                                  <w:w w:val="105"/>
                                  <w:sz w:val="14"/>
                                </w:rPr>
                                <w:t xml:space="preserve"> </w:t>
                              </w:r>
                              <w:r>
                                <w:rPr>
                                  <w:w w:val="105"/>
                                  <w:sz w:val="14"/>
                                </w:rPr>
                                <w:t>puedan</w:t>
                              </w:r>
                              <w:r>
                                <w:rPr>
                                  <w:spacing w:val="-3"/>
                                  <w:w w:val="105"/>
                                  <w:sz w:val="14"/>
                                </w:rPr>
                                <w:t xml:space="preserve"> </w:t>
                              </w:r>
                              <w:r>
                                <w:rPr>
                                  <w:w w:val="105"/>
                                  <w:sz w:val="14"/>
                                </w:rPr>
                                <w:t>adoptarse</w:t>
                              </w:r>
                              <w:r>
                                <w:rPr>
                                  <w:spacing w:val="-3"/>
                                  <w:w w:val="105"/>
                                  <w:sz w:val="14"/>
                                </w:rPr>
                                <w:t xml:space="preserve"> </w:t>
                              </w:r>
                              <w:r>
                                <w:rPr>
                                  <w:w w:val="105"/>
                                  <w:sz w:val="14"/>
                                </w:rPr>
                                <w:t>o</w:t>
                              </w:r>
                              <w:r>
                                <w:rPr>
                                  <w:spacing w:val="-3"/>
                                  <w:w w:val="105"/>
                                  <w:sz w:val="14"/>
                                </w:rPr>
                                <w:t xml:space="preserve"> </w:t>
                              </w:r>
                              <w:r>
                                <w:rPr>
                                  <w:w w:val="105"/>
                                  <w:sz w:val="14"/>
                                </w:rPr>
                                <w:t>adaptarse.</w:t>
                              </w:r>
                            </w:p>
                          </w:txbxContent>
                        </wps:txbx>
                        <wps:bodyPr wrap="square" lIns="0" tIns="0" rIns="0" bIns="0" rtlCol="0">
                          <a:noAutofit/>
                        </wps:bodyPr>
                      </wps:wsp>
                      <wps:wsp>
                        <wps:cNvPr id="48" name="Textbox 48"/>
                        <wps:cNvSpPr txBox="1"/>
                        <wps:spPr>
                          <a:xfrm>
                            <a:off x="177128" y="2168165"/>
                            <a:ext cx="5368290" cy="102870"/>
                          </a:xfrm>
                          <a:prstGeom prst="rect">
                            <a:avLst/>
                          </a:prstGeom>
                        </wps:spPr>
                        <wps:txbx>
                          <w:txbxContent>
                            <w:p w14:paraId="29E401FC" w14:textId="77777777" w:rsidR="0014798C" w:rsidRDefault="004E1F0B">
                              <w:pPr>
                                <w:spacing w:line="161" w:lineRule="exact"/>
                                <w:rPr>
                                  <w:sz w:val="14"/>
                                </w:rPr>
                              </w:pPr>
                              <w:r>
                                <w:rPr>
                                  <w:spacing w:val="-2"/>
                                  <w:w w:val="105"/>
                                  <w:sz w:val="14"/>
                                </w:rPr>
                                <w:t>Los</w:t>
                              </w:r>
                              <w:r>
                                <w:rPr>
                                  <w:w w:val="105"/>
                                  <w:sz w:val="14"/>
                                </w:rPr>
                                <w:t xml:space="preserve"> </w:t>
                              </w:r>
                              <w:r>
                                <w:rPr>
                                  <w:spacing w:val="-2"/>
                                  <w:w w:val="105"/>
                                  <w:sz w:val="14"/>
                                </w:rPr>
                                <w:t>recuadros</w:t>
                              </w:r>
                              <w:r>
                                <w:rPr>
                                  <w:spacing w:val="1"/>
                                  <w:w w:val="105"/>
                                  <w:sz w:val="14"/>
                                </w:rPr>
                                <w:t xml:space="preserve"> </w:t>
                              </w:r>
                              <w:r>
                                <w:rPr>
                                  <w:spacing w:val="-2"/>
                                  <w:w w:val="105"/>
                                  <w:sz w:val="14"/>
                                </w:rPr>
                                <w:t>de</w:t>
                              </w:r>
                              <w:r>
                                <w:rPr>
                                  <w:w w:val="105"/>
                                  <w:sz w:val="14"/>
                                </w:rPr>
                                <w:t xml:space="preserve"> </w:t>
                              </w:r>
                              <w:r>
                                <w:rPr>
                                  <w:spacing w:val="-2"/>
                                  <w:w w:val="105"/>
                                  <w:sz w:val="14"/>
                                </w:rPr>
                                <w:t>color</w:t>
                              </w:r>
                              <w:r>
                                <w:rPr>
                                  <w:spacing w:val="1"/>
                                  <w:w w:val="105"/>
                                  <w:sz w:val="14"/>
                                </w:rPr>
                                <w:t xml:space="preserve"> </w:t>
                              </w:r>
                              <w:r>
                                <w:rPr>
                                  <w:spacing w:val="-2"/>
                                  <w:w w:val="105"/>
                                  <w:sz w:val="14"/>
                                </w:rPr>
                                <w:t>arena</w:t>
                              </w:r>
                              <w:r>
                                <w:rPr>
                                  <w:w w:val="105"/>
                                  <w:sz w:val="14"/>
                                </w:rPr>
                                <w:t xml:space="preserve"> </w:t>
                              </w:r>
                              <w:r>
                                <w:rPr>
                                  <w:spacing w:val="-2"/>
                                  <w:w w:val="105"/>
                                  <w:sz w:val="14"/>
                                </w:rPr>
                                <w:t>proporcionan</w:t>
                              </w:r>
                              <w:r>
                                <w:rPr>
                                  <w:spacing w:val="1"/>
                                  <w:w w:val="105"/>
                                  <w:sz w:val="14"/>
                                </w:rPr>
                                <w:t xml:space="preserve"> </w:t>
                              </w:r>
                              <w:r>
                                <w:rPr>
                                  <w:spacing w:val="-2"/>
                                  <w:w w:val="105"/>
                                  <w:sz w:val="14"/>
                                </w:rPr>
                                <w:t>ejemplos</w:t>
                              </w:r>
                              <w:r>
                                <w:rPr>
                                  <w:w w:val="105"/>
                                  <w:sz w:val="14"/>
                                </w:rPr>
                                <w:t xml:space="preserve"> </w:t>
                              </w:r>
                              <w:r>
                                <w:rPr>
                                  <w:spacing w:val="-2"/>
                                  <w:w w:val="105"/>
                                  <w:sz w:val="14"/>
                                </w:rPr>
                                <w:t>de</w:t>
                              </w:r>
                              <w:r>
                                <w:rPr>
                                  <w:spacing w:val="1"/>
                                  <w:w w:val="105"/>
                                  <w:sz w:val="14"/>
                                </w:rPr>
                                <w:t xml:space="preserve"> </w:t>
                              </w:r>
                              <w:r>
                                <w:rPr>
                                  <w:spacing w:val="-2"/>
                                  <w:w w:val="105"/>
                                  <w:sz w:val="14"/>
                                </w:rPr>
                                <w:t>prácticas,</w:t>
                              </w:r>
                              <w:r>
                                <w:rPr>
                                  <w:w w:val="105"/>
                                  <w:sz w:val="14"/>
                                </w:rPr>
                                <w:t xml:space="preserve"> </w:t>
                              </w:r>
                              <w:r>
                                <w:rPr>
                                  <w:spacing w:val="-2"/>
                                  <w:w w:val="105"/>
                                  <w:sz w:val="14"/>
                                </w:rPr>
                                <w:t>leyes,</w:t>
                              </w:r>
                              <w:r>
                                <w:rPr>
                                  <w:spacing w:val="1"/>
                                  <w:w w:val="105"/>
                                  <w:sz w:val="14"/>
                                </w:rPr>
                                <w:t xml:space="preserve"> </w:t>
                              </w:r>
                              <w:r>
                                <w:rPr>
                                  <w:spacing w:val="-2"/>
                                  <w:w w:val="105"/>
                                  <w:sz w:val="14"/>
                                </w:rPr>
                                <w:t>jurisprudencia</w:t>
                              </w:r>
                              <w:r>
                                <w:rPr>
                                  <w:w w:val="105"/>
                                  <w:sz w:val="14"/>
                                </w:rPr>
                                <w:t xml:space="preserve"> </w:t>
                              </w:r>
                              <w:r>
                                <w:rPr>
                                  <w:spacing w:val="-2"/>
                                  <w:w w:val="105"/>
                                  <w:sz w:val="14"/>
                                </w:rPr>
                                <w:t>o</w:t>
                              </w:r>
                              <w:r>
                                <w:rPr>
                                  <w:spacing w:val="1"/>
                                  <w:w w:val="105"/>
                                  <w:sz w:val="14"/>
                                </w:rPr>
                                <w:t xml:space="preserve"> </w:t>
                              </w:r>
                              <w:r>
                                <w:rPr>
                                  <w:spacing w:val="-2"/>
                                  <w:w w:val="105"/>
                                  <w:sz w:val="14"/>
                                </w:rPr>
                                <w:t>comentarios</w:t>
                              </w:r>
                              <w:r>
                                <w:rPr>
                                  <w:spacing w:val="-1"/>
                                  <w:w w:val="105"/>
                                  <w:sz w:val="14"/>
                                </w:rPr>
                                <w:t xml:space="preserve"> </w:t>
                              </w:r>
                              <w:r>
                                <w:rPr>
                                  <w:spacing w:val="-2"/>
                                  <w:w w:val="105"/>
                                  <w:sz w:val="14"/>
                                </w:rPr>
                                <w:t>regionales</w:t>
                              </w:r>
                              <w:r>
                                <w:rPr>
                                  <w:spacing w:val="1"/>
                                  <w:w w:val="105"/>
                                  <w:sz w:val="14"/>
                                </w:rPr>
                                <w:t xml:space="preserve"> </w:t>
                              </w:r>
                              <w:r>
                                <w:rPr>
                                  <w:spacing w:val="-2"/>
                                  <w:w w:val="105"/>
                                  <w:sz w:val="14"/>
                                </w:rPr>
                                <w:t>o</w:t>
                              </w:r>
                              <w:r>
                                <w:rPr>
                                  <w:w w:val="105"/>
                                  <w:sz w:val="14"/>
                                </w:rPr>
                                <w:t xml:space="preserve"> </w:t>
                              </w:r>
                              <w:r>
                                <w:rPr>
                                  <w:spacing w:val="-2"/>
                                  <w:w w:val="105"/>
                                  <w:sz w:val="14"/>
                                </w:rPr>
                                <w:t>internacionales.</w:t>
                              </w:r>
                            </w:p>
                          </w:txbxContent>
                        </wps:txbx>
                        <wps:bodyPr wrap="square" lIns="0" tIns="0" rIns="0" bIns="0" rtlCol="0">
                          <a:noAutofit/>
                        </wps:bodyPr>
                      </wps:wsp>
                    </wpg:wgp>
                  </a:graphicData>
                </a:graphic>
              </wp:anchor>
            </w:drawing>
          </mc:Choice>
          <mc:Fallback>
            <w:pict>
              <v:group w14:anchorId="533750E8" id="Group 43" o:spid="_x0000_s1032" style="position:absolute;margin-left:62.95pt;margin-top:22.2pt;width:469.45pt;height:204.15pt;z-index:-251657966;mso-wrap-distance-left:0;mso-wrap-distance-right:0;mso-position-horizontal-relative:page" coordsize="59620,2592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">
                <v:shape id="Image 44" o:spid="_x0000_s1033" type="#_x0000_t75" style="position:absolute;width:59616;height:2592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">
                  <v:imagedata r:id="rId55" o:title=""/>
                </v:shape>
                <v:shape id="Textbox 45" o:spid="_x0000_s1034" type="#_x0000_t202" style="position:absolute;left:1770;top:1442;width:29845;height:10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" filled="f" stroked="f">
                  <v:textbox inset="0,0,0,0">
                    <w:txbxContent>
                      <w:p w14:paraId="4B9A9746" w14:textId="77777777" w:rsidR="0014798C" w:rsidRDefault="004E1F0B">
                        <w:pPr>
                          <w:spacing w:line="161" w:lineRule="exact"/>
                          <w:rPr>
                            <w:sz w:val="14"/>
                          </w:rPr>
                        </w:pPr>
                        <w:r>
                          <w:rPr>
                            <w:spacing w:val="-2"/>
                            <w:w w:val="105"/>
                            <w:sz w:val="14"/>
                          </w:rPr>
                          <w:t>Los</w:t>
                        </w:r>
                        <w:r>
                          <w:rPr>
                            <w:w w:val="105"/>
                            <w:sz w:val="14"/>
                          </w:rPr>
                          <w:t xml:space="preserve"> </w:t>
                        </w:r>
                        <w:r>
                          <w:rPr>
                            <w:spacing w:val="-2"/>
                            <w:w w:val="105"/>
                            <w:sz w:val="14"/>
                          </w:rPr>
                          <w:t>resúmenes</w:t>
                        </w:r>
                        <w:r>
                          <w:rPr>
                            <w:w w:val="105"/>
                            <w:sz w:val="14"/>
                          </w:rPr>
                          <w:t xml:space="preserve"> </w:t>
                        </w:r>
                        <w:r>
                          <w:rPr>
                            <w:spacing w:val="-2"/>
                            <w:w w:val="105"/>
                            <w:sz w:val="14"/>
                          </w:rPr>
                          <w:t>de</w:t>
                        </w:r>
                        <w:r>
                          <w:rPr>
                            <w:w w:val="105"/>
                            <w:sz w:val="14"/>
                          </w:rPr>
                          <w:t xml:space="preserve"> </w:t>
                        </w:r>
                        <w:r>
                          <w:rPr>
                            <w:spacing w:val="-2"/>
                            <w:w w:val="105"/>
                            <w:sz w:val="14"/>
                          </w:rPr>
                          <w:t>las</w:t>
                        </w:r>
                        <w:r>
                          <w:rPr>
                            <w:spacing w:val="1"/>
                            <w:w w:val="105"/>
                            <w:sz w:val="14"/>
                          </w:rPr>
                          <w:t xml:space="preserve"> </w:t>
                        </w:r>
                        <w:r>
                          <w:rPr>
                            <w:spacing w:val="-2"/>
                            <w:w w:val="105"/>
                            <w:sz w:val="14"/>
                          </w:rPr>
                          <w:t>secciones</w:t>
                        </w:r>
                        <w:r>
                          <w:rPr>
                            <w:w w:val="105"/>
                            <w:sz w:val="14"/>
                          </w:rPr>
                          <w:t xml:space="preserve"> </w:t>
                        </w:r>
                        <w:r>
                          <w:rPr>
                            <w:spacing w:val="-2"/>
                            <w:w w:val="105"/>
                            <w:sz w:val="14"/>
                          </w:rPr>
                          <w:t>se</w:t>
                        </w:r>
                        <w:r>
                          <w:rPr>
                            <w:w w:val="105"/>
                            <w:sz w:val="14"/>
                          </w:rPr>
                          <w:t xml:space="preserve"> </w:t>
                        </w:r>
                        <w:r>
                          <w:rPr>
                            <w:spacing w:val="-2"/>
                            <w:w w:val="105"/>
                            <w:sz w:val="14"/>
                          </w:rPr>
                          <w:t>proporcionan</w:t>
                        </w:r>
                        <w:r>
                          <w:rPr>
                            <w:w w:val="105"/>
                            <w:sz w:val="14"/>
                          </w:rPr>
                          <w:t xml:space="preserve"> </w:t>
                        </w:r>
                        <w:r>
                          <w:rPr>
                            <w:spacing w:val="-2"/>
                            <w:w w:val="105"/>
                            <w:sz w:val="14"/>
                          </w:rPr>
                          <w:t>en</w:t>
                        </w:r>
                        <w:r>
                          <w:rPr>
                            <w:spacing w:val="1"/>
                            <w:w w:val="105"/>
                            <w:sz w:val="14"/>
                          </w:rPr>
                          <w:t xml:space="preserve"> </w:t>
                        </w:r>
                        <w:r>
                          <w:rPr>
                            <w:spacing w:val="-2"/>
                            <w:w w:val="105"/>
                            <w:sz w:val="14"/>
                          </w:rPr>
                          <w:t>cuadros</w:t>
                        </w:r>
                        <w:r>
                          <w:rPr>
                            <w:w w:val="105"/>
                            <w:sz w:val="14"/>
                          </w:rPr>
                          <w:t xml:space="preserve"> </w:t>
                        </w:r>
                        <w:r>
                          <w:rPr>
                            <w:spacing w:val="-2"/>
                            <w:w w:val="105"/>
                            <w:sz w:val="14"/>
                          </w:rPr>
                          <w:t>como</w:t>
                        </w:r>
                        <w:r>
                          <w:rPr>
                            <w:w w:val="105"/>
                            <w:sz w:val="14"/>
                          </w:rPr>
                          <w:t xml:space="preserve"> </w:t>
                        </w:r>
                        <w:r>
                          <w:rPr>
                            <w:spacing w:val="-2"/>
                            <w:w w:val="105"/>
                            <w:sz w:val="14"/>
                          </w:rPr>
                          <w:t>este.</w:t>
                        </w:r>
                      </w:p>
                    </w:txbxContent>
                  </v:textbox>
                </v:shape>
                <v:shape id="Textbox 46" o:spid="_x0000_s1035" type="#_x0000_t202" style="position:absolute;left:302;top:5905;width:58991;height:41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" filled="f" stroked="f">
                  <v:textbox inset="0,0,0,0">
                    <w:txbxContent>
                      <w:p w14:paraId="0E51EA05" w14:textId="77777777" w:rsidR="0014798C" w:rsidRDefault="004E1F0B">
                        <w:pPr>
                          <w:spacing w:line="161" w:lineRule="exact"/>
                          <w:rPr>
                            <w:sz w:val="14"/>
                          </w:rPr>
                        </w:pPr>
                        <w:r>
                          <w:rPr>
                            <w:w w:val="105"/>
                            <w:sz w:val="14"/>
                          </w:rPr>
                          <w:t>Como</w:t>
                        </w:r>
                        <w:r>
                          <w:rPr>
                            <w:spacing w:val="-11"/>
                            <w:w w:val="105"/>
                            <w:sz w:val="14"/>
                          </w:rPr>
                          <w:t xml:space="preserve"> </w:t>
                        </w:r>
                        <w:r>
                          <w:rPr>
                            <w:w w:val="105"/>
                            <w:sz w:val="14"/>
                          </w:rPr>
                          <w:t>el</w:t>
                        </w:r>
                        <w:r>
                          <w:rPr>
                            <w:spacing w:val="-10"/>
                            <w:w w:val="105"/>
                            <w:sz w:val="14"/>
                          </w:rPr>
                          <w:t xml:space="preserve"> </w:t>
                        </w:r>
                        <w:r>
                          <w:rPr>
                            <w:w w:val="105"/>
                            <w:sz w:val="14"/>
                          </w:rPr>
                          <w:t>objetivo</w:t>
                        </w:r>
                        <w:r>
                          <w:rPr>
                            <w:spacing w:val="-10"/>
                            <w:w w:val="105"/>
                            <w:sz w:val="14"/>
                          </w:rPr>
                          <w:t xml:space="preserve"> </w:t>
                        </w:r>
                        <w:r>
                          <w:rPr>
                            <w:w w:val="105"/>
                            <w:sz w:val="14"/>
                          </w:rPr>
                          <w:t>de</w:t>
                        </w:r>
                        <w:r>
                          <w:rPr>
                            <w:spacing w:val="-10"/>
                            <w:w w:val="105"/>
                            <w:sz w:val="14"/>
                          </w:rPr>
                          <w:t xml:space="preserve"> </w:t>
                        </w:r>
                        <w:r>
                          <w:rPr>
                            <w:w w:val="105"/>
                            <w:sz w:val="14"/>
                          </w:rPr>
                          <w:t>sus</w:t>
                        </w:r>
                        <w:r>
                          <w:rPr>
                            <w:spacing w:val="-10"/>
                            <w:w w:val="105"/>
                            <w:sz w:val="14"/>
                          </w:rPr>
                          <w:t xml:space="preserve"> </w:t>
                        </w:r>
                        <w:r>
                          <w:rPr>
                            <w:w w:val="105"/>
                            <w:sz w:val="14"/>
                          </w:rPr>
                          <w:t>redactores</w:t>
                        </w:r>
                        <w:r>
                          <w:rPr>
                            <w:spacing w:val="-10"/>
                            <w:w w:val="105"/>
                            <w:sz w:val="14"/>
                          </w:rPr>
                          <w:t xml:space="preserve"> </w:t>
                        </w:r>
                        <w:r>
                          <w:rPr>
                            <w:w w:val="105"/>
                            <w:sz w:val="14"/>
                          </w:rPr>
                          <w:t>es</w:t>
                        </w:r>
                        <w:r>
                          <w:rPr>
                            <w:spacing w:val="-10"/>
                            <w:w w:val="105"/>
                            <w:sz w:val="14"/>
                          </w:rPr>
                          <w:t xml:space="preserve"> </w:t>
                        </w:r>
                        <w:r>
                          <w:rPr>
                            <w:w w:val="105"/>
                            <w:sz w:val="14"/>
                          </w:rPr>
                          <w:t>que</w:t>
                        </w:r>
                        <w:r>
                          <w:rPr>
                            <w:spacing w:val="-10"/>
                            <w:w w:val="105"/>
                            <w:sz w:val="14"/>
                          </w:rPr>
                          <w:t xml:space="preserve"> </w:t>
                        </w:r>
                        <w:r>
                          <w:rPr>
                            <w:w w:val="105"/>
                            <w:sz w:val="14"/>
                          </w:rPr>
                          <w:t>la</w:t>
                        </w:r>
                        <w:r>
                          <w:rPr>
                            <w:spacing w:val="-10"/>
                            <w:w w:val="105"/>
                            <w:sz w:val="14"/>
                          </w:rPr>
                          <w:t xml:space="preserve"> </w:t>
                        </w:r>
                        <w:r>
                          <w:rPr>
                            <w:w w:val="105"/>
                            <w:sz w:val="14"/>
                          </w:rPr>
                          <w:t>guía</w:t>
                        </w:r>
                        <w:r>
                          <w:rPr>
                            <w:spacing w:val="-10"/>
                            <w:w w:val="105"/>
                            <w:sz w:val="14"/>
                          </w:rPr>
                          <w:t xml:space="preserve"> </w:t>
                        </w:r>
                        <w:r>
                          <w:rPr>
                            <w:w w:val="105"/>
                            <w:sz w:val="14"/>
                          </w:rPr>
                          <w:t>sea,</w:t>
                        </w:r>
                        <w:r>
                          <w:rPr>
                            <w:spacing w:val="-10"/>
                            <w:w w:val="105"/>
                            <w:sz w:val="14"/>
                          </w:rPr>
                          <w:t xml:space="preserve"> </w:t>
                        </w:r>
                        <w:r>
                          <w:rPr>
                            <w:w w:val="105"/>
                            <w:sz w:val="14"/>
                          </w:rPr>
                          <w:t>ante</w:t>
                        </w:r>
                        <w:r>
                          <w:rPr>
                            <w:spacing w:val="-10"/>
                            <w:w w:val="105"/>
                            <w:sz w:val="14"/>
                          </w:rPr>
                          <w:t xml:space="preserve"> </w:t>
                        </w:r>
                        <w:r>
                          <w:rPr>
                            <w:w w:val="105"/>
                            <w:sz w:val="14"/>
                          </w:rPr>
                          <w:t>todo,</w:t>
                        </w:r>
                        <w:r>
                          <w:rPr>
                            <w:spacing w:val="-10"/>
                            <w:w w:val="105"/>
                            <w:sz w:val="14"/>
                          </w:rPr>
                          <w:t xml:space="preserve"> </w:t>
                        </w:r>
                        <w:r>
                          <w:rPr>
                            <w:w w:val="105"/>
                            <w:sz w:val="14"/>
                          </w:rPr>
                          <w:t>práctica,</w:t>
                        </w:r>
                        <w:r>
                          <w:rPr>
                            <w:spacing w:val="-10"/>
                            <w:w w:val="105"/>
                            <w:sz w:val="14"/>
                          </w:rPr>
                          <w:t xml:space="preserve"> </w:t>
                        </w:r>
                        <w:r>
                          <w:rPr>
                            <w:w w:val="105"/>
                            <w:sz w:val="14"/>
                          </w:rPr>
                          <w:t>las</w:t>
                        </w:r>
                        <w:r>
                          <w:rPr>
                            <w:spacing w:val="-9"/>
                            <w:w w:val="105"/>
                            <w:sz w:val="14"/>
                          </w:rPr>
                          <w:t xml:space="preserve"> </w:t>
                        </w:r>
                        <w:r>
                          <w:rPr>
                            <w:w w:val="105"/>
                            <w:sz w:val="14"/>
                          </w:rPr>
                          <w:t>secciones</w:t>
                        </w:r>
                        <w:r>
                          <w:rPr>
                            <w:spacing w:val="-10"/>
                            <w:w w:val="105"/>
                            <w:sz w:val="14"/>
                          </w:rPr>
                          <w:t xml:space="preserve"> </w:t>
                        </w:r>
                        <w:r>
                          <w:rPr>
                            <w:w w:val="105"/>
                            <w:sz w:val="14"/>
                          </w:rPr>
                          <w:t>incluyen</w:t>
                        </w:r>
                        <w:r>
                          <w:rPr>
                            <w:spacing w:val="-10"/>
                            <w:w w:val="105"/>
                            <w:sz w:val="14"/>
                          </w:rPr>
                          <w:t xml:space="preserve"> </w:t>
                        </w:r>
                        <w:r>
                          <w:rPr>
                            <w:w w:val="105"/>
                            <w:sz w:val="14"/>
                          </w:rPr>
                          <w:t>recuadros</w:t>
                        </w:r>
                        <w:r>
                          <w:rPr>
                            <w:spacing w:val="-10"/>
                            <w:w w:val="105"/>
                            <w:sz w:val="14"/>
                          </w:rPr>
                          <w:t xml:space="preserve"> </w:t>
                        </w:r>
                        <w:r>
                          <w:rPr>
                            <w:w w:val="105"/>
                            <w:sz w:val="14"/>
                          </w:rPr>
                          <w:t>ilustrativos</w:t>
                        </w:r>
                        <w:r>
                          <w:rPr>
                            <w:spacing w:val="-10"/>
                            <w:w w:val="105"/>
                            <w:sz w:val="14"/>
                          </w:rPr>
                          <w:t xml:space="preserve"> </w:t>
                        </w:r>
                        <w:r>
                          <w:rPr>
                            <w:w w:val="105"/>
                            <w:sz w:val="14"/>
                          </w:rPr>
                          <w:t>con</w:t>
                        </w:r>
                        <w:r>
                          <w:rPr>
                            <w:spacing w:val="-10"/>
                            <w:w w:val="105"/>
                            <w:sz w:val="14"/>
                          </w:rPr>
                          <w:t xml:space="preserve"> </w:t>
                        </w:r>
                        <w:r>
                          <w:rPr>
                            <w:w w:val="105"/>
                            <w:sz w:val="14"/>
                          </w:rPr>
                          <w:t>ejemplos</w:t>
                        </w:r>
                        <w:r>
                          <w:rPr>
                            <w:spacing w:val="-10"/>
                            <w:w w:val="105"/>
                            <w:sz w:val="14"/>
                          </w:rPr>
                          <w:t xml:space="preserve"> </w:t>
                        </w:r>
                        <w:r>
                          <w:rPr>
                            <w:w w:val="105"/>
                            <w:sz w:val="14"/>
                          </w:rPr>
                          <w:t>y</w:t>
                        </w:r>
                        <w:r>
                          <w:rPr>
                            <w:spacing w:val="-10"/>
                            <w:w w:val="105"/>
                            <w:sz w:val="14"/>
                          </w:rPr>
                          <w:t xml:space="preserve"> </w:t>
                        </w:r>
                        <w:r>
                          <w:rPr>
                            <w:spacing w:val="-2"/>
                            <w:w w:val="105"/>
                            <w:sz w:val="14"/>
                          </w:rPr>
                          <w:t>estudios</w:t>
                        </w:r>
                      </w:p>
                      <w:p w14:paraId="778B81BA" w14:textId="77777777" w:rsidR="0014798C" w:rsidRDefault="004E1F0B">
                        <w:pPr>
                          <w:spacing w:before="9" w:line="240" w:lineRule="atLeast"/>
                          <w:ind w:left="4" w:right="263" w:hanging="2"/>
                          <w:rPr>
                            <w:sz w:val="14"/>
                          </w:rPr>
                        </w:pPr>
                        <w:r>
                          <w:rPr>
                            <w:w w:val="105"/>
                            <w:sz w:val="14"/>
                          </w:rPr>
                          <w:t>de</w:t>
                        </w:r>
                        <w:r>
                          <w:rPr>
                            <w:spacing w:val="-11"/>
                            <w:w w:val="105"/>
                            <w:sz w:val="14"/>
                          </w:rPr>
                          <w:t xml:space="preserve"> </w:t>
                        </w:r>
                        <w:r>
                          <w:rPr>
                            <w:w w:val="105"/>
                            <w:sz w:val="14"/>
                          </w:rPr>
                          <w:t>casos,</w:t>
                        </w:r>
                        <w:r>
                          <w:rPr>
                            <w:spacing w:val="-10"/>
                            <w:w w:val="105"/>
                            <w:sz w:val="14"/>
                          </w:rPr>
                          <w:t xml:space="preserve"> </w:t>
                        </w:r>
                        <w:r>
                          <w:rPr>
                            <w:w w:val="105"/>
                            <w:sz w:val="14"/>
                          </w:rPr>
                          <w:t>cuestiones</w:t>
                        </w:r>
                        <w:r>
                          <w:rPr>
                            <w:spacing w:val="-10"/>
                            <w:w w:val="105"/>
                            <w:sz w:val="14"/>
                          </w:rPr>
                          <w:t xml:space="preserve"> </w:t>
                        </w:r>
                        <w:r>
                          <w:rPr>
                            <w:w w:val="105"/>
                            <w:sz w:val="14"/>
                          </w:rPr>
                          <w:t>específicas</w:t>
                        </w:r>
                        <w:r>
                          <w:rPr>
                            <w:spacing w:val="-10"/>
                            <w:w w:val="105"/>
                            <w:sz w:val="14"/>
                          </w:rPr>
                          <w:t xml:space="preserve"> </w:t>
                        </w:r>
                        <w:r>
                          <w:rPr>
                            <w:w w:val="105"/>
                            <w:sz w:val="14"/>
                          </w:rPr>
                          <w:t>o</w:t>
                        </w:r>
                        <w:r>
                          <w:rPr>
                            <w:spacing w:val="-11"/>
                            <w:w w:val="105"/>
                            <w:sz w:val="14"/>
                          </w:rPr>
                          <w:t xml:space="preserve"> </w:t>
                        </w:r>
                        <w:r>
                          <w:rPr>
                            <w:w w:val="105"/>
                            <w:sz w:val="14"/>
                          </w:rPr>
                          <w:t>complejas</w:t>
                        </w:r>
                        <w:r>
                          <w:rPr>
                            <w:spacing w:val="-10"/>
                            <w:w w:val="105"/>
                            <w:sz w:val="14"/>
                          </w:rPr>
                          <w:t xml:space="preserve"> </w:t>
                        </w:r>
                        <w:r>
                          <w:rPr>
                            <w:w w:val="105"/>
                            <w:sz w:val="14"/>
                          </w:rPr>
                          <w:t>del</w:t>
                        </w:r>
                        <w:r>
                          <w:rPr>
                            <w:spacing w:val="-10"/>
                            <w:w w:val="105"/>
                            <w:sz w:val="14"/>
                          </w:rPr>
                          <w:t xml:space="preserve"> </w:t>
                        </w:r>
                        <w:r>
                          <w:rPr>
                            <w:w w:val="105"/>
                            <w:sz w:val="14"/>
                          </w:rPr>
                          <w:t>derecho</w:t>
                        </w:r>
                        <w:r>
                          <w:rPr>
                            <w:spacing w:val="-10"/>
                            <w:w w:val="105"/>
                            <w:sz w:val="14"/>
                          </w:rPr>
                          <w:t xml:space="preserve"> </w:t>
                        </w:r>
                        <w:r>
                          <w:rPr>
                            <w:w w:val="105"/>
                            <w:sz w:val="14"/>
                          </w:rPr>
                          <w:t>internacional,</w:t>
                        </w:r>
                        <w:r>
                          <w:rPr>
                            <w:spacing w:val="-10"/>
                            <w:w w:val="105"/>
                            <w:sz w:val="14"/>
                          </w:rPr>
                          <w:t xml:space="preserve"> </w:t>
                        </w:r>
                        <w:r>
                          <w:rPr>
                            <w:w w:val="105"/>
                            <w:sz w:val="14"/>
                          </w:rPr>
                          <w:t>junto</w:t>
                        </w:r>
                        <w:r>
                          <w:rPr>
                            <w:spacing w:val="-11"/>
                            <w:w w:val="105"/>
                            <w:sz w:val="14"/>
                          </w:rPr>
                          <w:t xml:space="preserve"> </w:t>
                        </w:r>
                        <w:r>
                          <w:rPr>
                            <w:w w:val="105"/>
                            <w:sz w:val="14"/>
                          </w:rPr>
                          <w:t>con</w:t>
                        </w:r>
                        <w:r>
                          <w:rPr>
                            <w:spacing w:val="-10"/>
                            <w:w w:val="105"/>
                            <w:sz w:val="14"/>
                          </w:rPr>
                          <w:t xml:space="preserve"> </w:t>
                        </w:r>
                        <w:r>
                          <w:rPr>
                            <w:w w:val="105"/>
                            <w:sz w:val="14"/>
                          </w:rPr>
                          <w:t>los</w:t>
                        </w:r>
                        <w:r>
                          <w:rPr>
                            <w:spacing w:val="-10"/>
                            <w:w w:val="105"/>
                            <w:sz w:val="14"/>
                          </w:rPr>
                          <w:t xml:space="preserve"> </w:t>
                        </w:r>
                        <w:r>
                          <w:rPr>
                            <w:w w:val="105"/>
                            <w:sz w:val="14"/>
                          </w:rPr>
                          <w:t>resúmenes</w:t>
                        </w:r>
                        <w:r>
                          <w:rPr>
                            <w:spacing w:val="-10"/>
                            <w:w w:val="105"/>
                            <w:sz w:val="14"/>
                          </w:rPr>
                          <w:t xml:space="preserve"> </w:t>
                        </w:r>
                        <w:r>
                          <w:rPr>
                            <w:w w:val="105"/>
                            <w:sz w:val="14"/>
                          </w:rPr>
                          <w:t>de</w:t>
                        </w:r>
                        <w:r>
                          <w:rPr>
                            <w:spacing w:val="-10"/>
                            <w:w w:val="105"/>
                            <w:sz w:val="14"/>
                          </w:rPr>
                          <w:t xml:space="preserve"> </w:t>
                        </w:r>
                        <w:r>
                          <w:rPr>
                            <w:w w:val="105"/>
                            <w:sz w:val="14"/>
                          </w:rPr>
                          <w:t>las</w:t>
                        </w:r>
                        <w:r>
                          <w:rPr>
                            <w:spacing w:val="-11"/>
                            <w:w w:val="105"/>
                            <w:sz w:val="14"/>
                          </w:rPr>
                          <w:t xml:space="preserve"> </w:t>
                        </w:r>
                        <w:r>
                          <w:rPr>
                            <w:w w:val="105"/>
                            <w:sz w:val="14"/>
                          </w:rPr>
                          <w:t>secciones</w:t>
                        </w:r>
                        <w:r>
                          <w:rPr>
                            <w:spacing w:val="-10"/>
                            <w:w w:val="105"/>
                            <w:sz w:val="14"/>
                          </w:rPr>
                          <w:t xml:space="preserve"> </w:t>
                        </w:r>
                        <w:r>
                          <w:rPr>
                            <w:w w:val="105"/>
                            <w:sz w:val="14"/>
                          </w:rPr>
                          <w:t>antes</w:t>
                        </w:r>
                        <w:r>
                          <w:rPr>
                            <w:spacing w:val="-10"/>
                            <w:w w:val="105"/>
                            <w:sz w:val="14"/>
                          </w:rPr>
                          <w:t xml:space="preserve"> </w:t>
                        </w:r>
                        <w:r>
                          <w:rPr>
                            <w:w w:val="105"/>
                            <w:sz w:val="14"/>
                          </w:rPr>
                          <w:t>mencionadas.</w:t>
                        </w:r>
                        <w:r>
                          <w:rPr>
                            <w:spacing w:val="-10"/>
                            <w:w w:val="105"/>
                            <w:sz w:val="14"/>
                          </w:rPr>
                          <w:t xml:space="preserve"> </w:t>
                        </w:r>
                        <w:r>
                          <w:rPr>
                            <w:w w:val="105"/>
                            <w:sz w:val="14"/>
                          </w:rPr>
                          <w:t>Para mayor comodidad, están codificados</w:t>
                        </w:r>
                        <w:r>
                          <w:rPr>
                            <w:spacing w:val="-1"/>
                            <w:w w:val="105"/>
                            <w:sz w:val="14"/>
                          </w:rPr>
                          <w:t xml:space="preserve"> </w:t>
                        </w:r>
                        <w:r>
                          <w:rPr>
                            <w:w w:val="105"/>
                            <w:sz w:val="14"/>
                          </w:rPr>
                          <w:t>por colores, de la siguiente manera:</w:t>
                        </w:r>
                      </w:p>
                    </w:txbxContent>
                  </v:textbox>
                </v:shape>
                <v:shape id="Textbox 47" o:spid="_x0000_s1036" type="#_x0000_t202" style="position:absolute;left:1745;top:13540;width:55524;height:420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" filled="f" stroked="f">
                  <v:textbox inset="0,0,0,0">
                    <w:txbxContent>
                      <w:p w14:paraId="2389AD9D" w14:textId="77777777" w:rsidR="0014798C" w:rsidRDefault="004E1F0B">
                        <w:pPr>
                          <w:spacing w:line="161" w:lineRule="exact"/>
                          <w:ind w:left="3"/>
                          <w:rPr>
                            <w:sz w:val="14"/>
                          </w:rPr>
                        </w:pPr>
                        <w:r>
                          <w:rPr>
                            <w:spacing w:val="-2"/>
                            <w:w w:val="105"/>
                            <w:sz w:val="14"/>
                          </w:rPr>
                          <w:t>Los</w:t>
                        </w:r>
                        <w:r>
                          <w:rPr>
                            <w:spacing w:val="-1"/>
                            <w:w w:val="105"/>
                            <w:sz w:val="14"/>
                          </w:rPr>
                          <w:t xml:space="preserve"> </w:t>
                        </w:r>
                        <w:r>
                          <w:rPr>
                            <w:spacing w:val="-2"/>
                            <w:w w:val="105"/>
                            <w:sz w:val="14"/>
                          </w:rPr>
                          <w:t>cuadros</w:t>
                        </w:r>
                        <w:r>
                          <w:rPr>
                            <w:w w:val="105"/>
                            <w:sz w:val="14"/>
                          </w:rPr>
                          <w:t xml:space="preserve"> </w:t>
                        </w:r>
                        <w:r>
                          <w:rPr>
                            <w:spacing w:val="-2"/>
                            <w:w w:val="105"/>
                            <w:sz w:val="14"/>
                          </w:rPr>
                          <w:t>de</w:t>
                        </w:r>
                        <w:r>
                          <w:rPr>
                            <w:w w:val="105"/>
                            <w:sz w:val="14"/>
                          </w:rPr>
                          <w:t xml:space="preserve"> </w:t>
                        </w:r>
                        <w:r>
                          <w:rPr>
                            <w:spacing w:val="-2"/>
                            <w:w w:val="105"/>
                            <w:sz w:val="14"/>
                          </w:rPr>
                          <w:t>color</w:t>
                        </w:r>
                        <w:r>
                          <w:rPr>
                            <w:w w:val="105"/>
                            <w:sz w:val="14"/>
                          </w:rPr>
                          <w:t xml:space="preserve"> </w:t>
                        </w:r>
                        <w:r>
                          <w:rPr>
                            <w:spacing w:val="-2"/>
                            <w:w w:val="105"/>
                            <w:sz w:val="14"/>
                          </w:rPr>
                          <w:t>verde</w:t>
                        </w:r>
                        <w:r>
                          <w:rPr>
                            <w:w w:val="105"/>
                            <w:sz w:val="14"/>
                          </w:rPr>
                          <w:t xml:space="preserve"> </w:t>
                        </w:r>
                        <w:r>
                          <w:rPr>
                            <w:spacing w:val="-2"/>
                            <w:w w:val="105"/>
                            <w:sz w:val="14"/>
                          </w:rPr>
                          <w:t>proporcionan</w:t>
                        </w:r>
                        <w:r>
                          <w:rPr>
                            <w:w w:val="105"/>
                            <w:sz w:val="14"/>
                          </w:rPr>
                          <w:t xml:space="preserve"> </w:t>
                        </w:r>
                        <w:r>
                          <w:rPr>
                            <w:spacing w:val="-2"/>
                            <w:w w:val="105"/>
                            <w:sz w:val="14"/>
                          </w:rPr>
                          <w:t>ejemplos</w:t>
                        </w:r>
                        <w:r>
                          <w:rPr>
                            <w:w w:val="105"/>
                            <w:sz w:val="14"/>
                          </w:rPr>
                          <w:t xml:space="preserve"> </w:t>
                        </w:r>
                        <w:r>
                          <w:rPr>
                            <w:spacing w:val="-2"/>
                            <w:w w:val="105"/>
                            <w:sz w:val="14"/>
                          </w:rPr>
                          <w:t>de</w:t>
                        </w:r>
                        <w:r>
                          <w:rPr>
                            <w:w w:val="105"/>
                            <w:sz w:val="14"/>
                          </w:rPr>
                          <w:t xml:space="preserve"> </w:t>
                        </w:r>
                        <w:r>
                          <w:rPr>
                            <w:spacing w:val="-2"/>
                            <w:w w:val="105"/>
                            <w:sz w:val="14"/>
                          </w:rPr>
                          <w:t>la</w:t>
                        </w:r>
                        <w:r>
                          <w:rPr>
                            <w:w w:val="105"/>
                            <w:sz w:val="14"/>
                          </w:rPr>
                          <w:t xml:space="preserve"> </w:t>
                        </w:r>
                        <w:r>
                          <w:rPr>
                            <w:spacing w:val="-2"/>
                            <w:w w:val="105"/>
                            <w:sz w:val="14"/>
                          </w:rPr>
                          <w:t>práctica</w:t>
                        </w:r>
                        <w:r>
                          <w:rPr>
                            <w:w w:val="105"/>
                            <w:sz w:val="14"/>
                          </w:rPr>
                          <w:t xml:space="preserve"> </w:t>
                        </w:r>
                        <w:r>
                          <w:rPr>
                            <w:spacing w:val="-2"/>
                            <w:w w:val="105"/>
                            <w:sz w:val="14"/>
                          </w:rPr>
                          <w:t>nacional,</w:t>
                        </w:r>
                        <w:r>
                          <w:rPr>
                            <w:w w:val="105"/>
                            <w:sz w:val="14"/>
                          </w:rPr>
                          <w:t xml:space="preserve"> </w:t>
                        </w:r>
                        <w:r>
                          <w:rPr>
                            <w:spacing w:val="-2"/>
                            <w:w w:val="105"/>
                            <w:sz w:val="14"/>
                          </w:rPr>
                          <w:t>principalmente</w:t>
                        </w:r>
                        <w:r>
                          <w:rPr>
                            <w:spacing w:val="-1"/>
                            <w:w w:val="105"/>
                            <w:sz w:val="14"/>
                          </w:rPr>
                          <w:t xml:space="preserve"> </w:t>
                        </w:r>
                        <w:r>
                          <w:rPr>
                            <w:spacing w:val="-2"/>
                            <w:w w:val="105"/>
                            <w:sz w:val="14"/>
                          </w:rPr>
                          <w:t>en</w:t>
                        </w:r>
                        <w:r>
                          <w:rPr>
                            <w:w w:val="105"/>
                            <w:sz w:val="14"/>
                          </w:rPr>
                          <w:t xml:space="preserve"> </w:t>
                        </w:r>
                        <w:r>
                          <w:rPr>
                            <w:spacing w:val="-2"/>
                            <w:w w:val="105"/>
                            <w:sz w:val="14"/>
                          </w:rPr>
                          <w:t>forma</w:t>
                        </w:r>
                        <w:r>
                          <w:rPr>
                            <w:w w:val="105"/>
                            <w:sz w:val="14"/>
                          </w:rPr>
                          <w:t xml:space="preserve"> </w:t>
                        </w:r>
                        <w:r>
                          <w:rPr>
                            <w:spacing w:val="-2"/>
                            <w:w w:val="105"/>
                            <w:sz w:val="14"/>
                          </w:rPr>
                          <w:t>de</w:t>
                        </w:r>
                        <w:r>
                          <w:rPr>
                            <w:w w:val="105"/>
                            <w:sz w:val="14"/>
                          </w:rPr>
                          <w:t xml:space="preserve"> </w:t>
                        </w:r>
                        <w:r>
                          <w:rPr>
                            <w:spacing w:val="-2"/>
                            <w:w w:val="105"/>
                            <w:sz w:val="14"/>
                          </w:rPr>
                          <w:t>disposiciones</w:t>
                        </w:r>
                        <w:r>
                          <w:rPr>
                            <w:spacing w:val="-1"/>
                            <w:w w:val="105"/>
                            <w:sz w:val="14"/>
                          </w:rPr>
                          <w:t xml:space="preserve"> </w:t>
                        </w:r>
                        <w:r>
                          <w:rPr>
                            <w:spacing w:val="-2"/>
                            <w:w w:val="105"/>
                            <w:sz w:val="14"/>
                          </w:rPr>
                          <w:t>de</w:t>
                        </w:r>
                        <w:r>
                          <w:rPr>
                            <w:w w:val="105"/>
                            <w:sz w:val="14"/>
                          </w:rPr>
                          <w:t xml:space="preserve"> </w:t>
                        </w:r>
                        <w:r>
                          <w:rPr>
                            <w:spacing w:val="-2"/>
                            <w:w w:val="105"/>
                            <w:sz w:val="14"/>
                          </w:rPr>
                          <w:t>las</w:t>
                        </w:r>
                        <w:r>
                          <w:rPr>
                            <w:w w:val="105"/>
                            <w:sz w:val="14"/>
                          </w:rPr>
                          <w:t xml:space="preserve"> </w:t>
                        </w:r>
                        <w:r>
                          <w:rPr>
                            <w:spacing w:val="-2"/>
                            <w:w w:val="105"/>
                            <w:sz w:val="14"/>
                          </w:rPr>
                          <w:t>leyes</w:t>
                        </w:r>
                      </w:p>
                      <w:p w14:paraId="73D61FB9" w14:textId="77777777" w:rsidR="0014798C" w:rsidRDefault="004E1F0B">
                        <w:pPr>
                          <w:spacing w:line="250" w:lineRule="atLeast"/>
                          <w:ind w:left="3" w:hanging="4"/>
                          <w:rPr>
                            <w:sz w:val="14"/>
                          </w:rPr>
                        </w:pPr>
                        <w:r>
                          <w:rPr>
                            <w:w w:val="105"/>
                            <w:sz w:val="14"/>
                          </w:rPr>
                          <w:t>nacionales</w:t>
                        </w:r>
                        <w:r>
                          <w:rPr>
                            <w:spacing w:val="-10"/>
                            <w:w w:val="105"/>
                            <w:sz w:val="14"/>
                          </w:rPr>
                          <w:t xml:space="preserve"> </w:t>
                        </w:r>
                        <w:r>
                          <w:rPr>
                            <w:w w:val="105"/>
                            <w:sz w:val="14"/>
                          </w:rPr>
                          <w:t>contra</w:t>
                        </w:r>
                        <w:r>
                          <w:rPr>
                            <w:spacing w:val="-10"/>
                            <w:w w:val="105"/>
                            <w:sz w:val="14"/>
                          </w:rPr>
                          <w:t xml:space="preserve"> </w:t>
                        </w:r>
                        <w:r>
                          <w:rPr>
                            <w:w w:val="105"/>
                            <w:sz w:val="14"/>
                          </w:rPr>
                          <w:t>la</w:t>
                        </w:r>
                        <w:r>
                          <w:rPr>
                            <w:spacing w:val="-10"/>
                            <w:w w:val="105"/>
                            <w:sz w:val="14"/>
                          </w:rPr>
                          <w:t xml:space="preserve"> </w:t>
                        </w:r>
                        <w:r>
                          <w:rPr>
                            <w:w w:val="105"/>
                            <w:sz w:val="14"/>
                          </w:rPr>
                          <w:t>discriminación.</w:t>
                        </w:r>
                        <w:r>
                          <w:rPr>
                            <w:spacing w:val="-9"/>
                            <w:w w:val="105"/>
                            <w:sz w:val="14"/>
                          </w:rPr>
                          <w:t xml:space="preserve"> </w:t>
                        </w:r>
                        <w:r>
                          <w:rPr>
                            <w:w w:val="105"/>
                            <w:sz w:val="14"/>
                          </w:rPr>
                          <w:t>Estos</w:t>
                        </w:r>
                        <w:r>
                          <w:rPr>
                            <w:spacing w:val="-11"/>
                            <w:w w:val="105"/>
                            <w:sz w:val="14"/>
                          </w:rPr>
                          <w:t xml:space="preserve"> </w:t>
                        </w:r>
                        <w:r>
                          <w:rPr>
                            <w:w w:val="105"/>
                            <w:sz w:val="14"/>
                          </w:rPr>
                          <w:t>se</w:t>
                        </w:r>
                        <w:r>
                          <w:rPr>
                            <w:spacing w:val="-9"/>
                            <w:w w:val="105"/>
                            <w:sz w:val="14"/>
                          </w:rPr>
                          <w:t xml:space="preserve"> </w:t>
                        </w:r>
                        <w:r>
                          <w:rPr>
                            <w:w w:val="105"/>
                            <w:sz w:val="14"/>
                          </w:rPr>
                          <w:t>proporcionan</w:t>
                        </w:r>
                        <w:r>
                          <w:rPr>
                            <w:spacing w:val="-10"/>
                            <w:w w:val="105"/>
                            <w:sz w:val="14"/>
                          </w:rPr>
                          <w:t xml:space="preserve"> </w:t>
                        </w:r>
                        <w:r>
                          <w:rPr>
                            <w:w w:val="105"/>
                            <w:sz w:val="14"/>
                          </w:rPr>
                          <w:t>con</w:t>
                        </w:r>
                        <w:r>
                          <w:rPr>
                            <w:spacing w:val="-10"/>
                            <w:w w:val="105"/>
                            <w:sz w:val="14"/>
                          </w:rPr>
                          <w:t xml:space="preserve"> </w:t>
                        </w:r>
                        <w:r>
                          <w:rPr>
                            <w:w w:val="105"/>
                            <w:sz w:val="14"/>
                          </w:rPr>
                          <w:t>el</w:t>
                        </w:r>
                        <w:r>
                          <w:rPr>
                            <w:spacing w:val="-10"/>
                            <w:w w:val="105"/>
                            <w:sz w:val="14"/>
                          </w:rPr>
                          <w:t xml:space="preserve"> </w:t>
                        </w:r>
                        <w:r>
                          <w:rPr>
                            <w:w w:val="105"/>
                            <w:sz w:val="14"/>
                          </w:rPr>
                          <w:t>objetivo</w:t>
                        </w:r>
                        <w:r>
                          <w:rPr>
                            <w:spacing w:val="-10"/>
                            <w:w w:val="105"/>
                            <w:sz w:val="14"/>
                          </w:rPr>
                          <w:t xml:space="preserve"> </w:t>
                        </w:r>
                        <w:r>
                          <w:rPr>
                            <w:w w:val="105"/>
                            <w:sz w:val="14"/>
                          </w:rPr>
                          <w:t>de</w:t>
                        </w:r>
                        <w:r>
                          <w:rPr>
                            <w:spacing w:val="-10"/>
                            <w:w w:val="105"/>
                            <w:sz w:val="14"/>
                          </w:rPr>
                          <w:t xml:space="preserve"> </w:t>
                        </w:r>
                        <w:r>
                          <w:rPr>
                            <w:w w:val="105"/>
                            <w:sz w:val="14"/>
                          </w:rPr>
                          <w:t>proporcionar</w:t>
                        </w:r>
                        <w:r>
                          <w:rPr>
                            <w:spacing w:val="-10"/>
                            <w:w w:val="105"/>
                            <w:sz w:val="14"/>
                          </w:rPr>
                          <w:t xml:space="preserve"> </w:t>
                        </w:r>
                        <w:r>
                          <w:rPr>
                            <w:w w:val="105"/>
                            <w:sz w:val="14"/>
                          </w:rPr>
                          <w:t>a</w:t>
                        </w:r>
                        <w:r>
                          <w:rPr>
                            <w:spacing w:val="-10"/>
                            <w:w w:val="105"/>
                            <w:sz w:val="14"/>
                          </w:rPr>
                          <w:t xml:space="preserve"> </w:t>
                        </w:r>
                        <w:r>
                          <w:rPr>
                            <w:w w:val="105"/>
                            <w:sz w:val="14"/>
                          </w:rPr>
                          <w:t>quienes</w:t>
                        </w:r>
                        <w:r>
                          <w:rPr>
                            <w:spacing w:val="-10"/>
                            <w:w w:val="105"/>
                            <w:sz w:val="14"/>
                          </w:rPr>
                          <w:t xml:space="preserve"> </w:t>
                        </w:r>
                        <w:r>
                          <w:rPr>
                            <w:w w:val="105"/>
                            <w:sz w:val="14"/>
                          </w:rPr>
                          <w:t>participan</w:t>
                        </w:r>
                        <w:r>
                          <w:rPr>
                            <w:spacing w:val="-10"/>
                            <w:w w:val="105"/>
                            <w:sz w:val="14"/>
                          </w:rPr>
                          <w:t xml:space="preserve"> </w:t>
                        </w:r>
                        <w:r>
                          <w:rPr>
                            <w:w w:val="105"/>
                            <w:sz w:val="14"/>
                          </w:rPr>
                          <w:t>en</w:t>
                        </w:r>
                        <w:r>
                          <w:rPr>
                            <w:spacing w:val="-10"/>
                            <w:w w:val="105"/>
                            <w:sz w:val="14"/>
                          </w:rPr>
                          <w:t xml:space="preserve"> </w:t>
                        </w:r>
                        <w:r>
                          <w:rPr>
                            <w:w w:val="105"/>
                            <w:sz w:val="14"/>
                          </w:rPr>
                          <w:t>el</w:t>
                        </w:r>
                        <w:r>
                          <w:rPr>
                            <w:spacing w:val="-10"/>
                            <w:w w:val="105"/>
                            <w:sz w:val="14"/>
                          </w:rPr>
                          <w:t xml:space="preserve"> </w:t>
                        </w:r>
                        <w:r>
                          <w:rPr>
                            <w:w w:val="105"/>
                            <w:sz w:val="14"/>
                          </w:rPr>
                          <w:t>desarrollo</w:t>
                        </w:r>
                        <w:r>
                          <w:rPr>
                            <w:spacing w:val="-10"/>
                            <w:w w:val="105"/>
                            <w:sz w:val="14"/>
                          </w:rPr>
                          <w:t xml:space="preserve"> </w:t>
                        </w:r>
                        <w:r>
                          <w:rPr>
                            <w:w w:val="105"/>
                            <w:sz w:val="14"/>
                          </w:rPr>
                          <w:t>de</w:t>
                        </w:r>
                        <w:r>
                          <w:rPr>
                            <w:spacing w:val="-10"/>
                            <w:w w:val="105"/>
                            <w:sz w:val="14"/>
                          </w:rPr>
                          <w:t xml:space="preserve"> </w:t>
                        </w:r>
                        <w:r>
                          <w:rPr>
                            <w:w w:val="105"/>
                            <w:sz w:val="14"/>
                          </w:rPr>
                          <w:t>leyes contra</w:t>
                        </w:r>
                        <w:r>
                          <w:rPr>
                            <w:spacing w:val="-3"/>
                            <w:w w:val="105"/>
                            <w:sz w:val="14"/>
                          </w:rPr>
                          <w:t xml:space="preserve"> </w:t>
                        </w:r>
                        <w:r>
                          <w:rPr>
                            <w:w w:val="105"/>
                            <w:sz w:val="14"/>
                          </w:rPr>
                          <w:t>la</w:t>
                        </w:r>
                        <w:r>
                          <w:rPr>
                            <w:spacing w:val="-3"/>
                            <w:w w:val="105"/>
                            <w:sz w:val="14"/>
                          </w:rPr>
                          <w:t xml:space="preserve"> </w:t>
                        </w:r>
                        <w:r>
                          <w:rPr>
                            <w:w w:val="105"/>
                            <w:sz w:val="14"/>
                          </w:rPr>
                          <w:t>discriminación</w:t>
                        </w:r>
                        <w:r>
                          <w:rPr>
                            <w:spacing w:val="-3"/>
                            <w:w w:val="105"/>
                            <w:sz w:val="14"/>
                          </w:rPr>
                          <w:t xml:space="preserve"> </w:t>
                        </w:r>
                        <w:r>
                          <w:rPr>
                            <w:w w:val="105"/>
                            <w:sz w:val="14"/>
                          </w:rPr>
                          <w:t>disposiciones</w:t>
                        </w:r>
                        <w:r>
                          <w:rPr>
                            <w:spacing w:val="-4"/>
                            <w:w w:val="105"/>
                            <w:sz w:val="14"/>
                          </w:rPr>
                          <w:t xml:space="preserve"> </w:t>
                        </w:r>
                        <w:r>
                          <w:rPr>
                            <w:w w:val="105"/>
                            <w:sz w:val="14"/>
                          </w:rPr>
                          <w:t>sobre</w:t>
                        </w:r>
                        <w:r>
                          <w:rPr>
                            <w:spacing w:val="-3"/>
                            <w:w w:val="105"/>
                            <w:sz w:val="14"/>
                          </w:rPr>
                          <w:t xml:space="preserve"> </w:t>
                        </w:r>
                        <w:r>
                          <w:rPr>
                            <w:w w:val="105"/>
                            <w:sz w:val="14"/>
                          </w:rPr>
                          <w:t>mejores</w:t>
                        </w:r>
                        <w:r>
                          <w:rPr>
                            <w:spacing w:val="-3"/>
                            <w:w w:val="105"/>
                            <w:sz w:val="14"/>
                          </w:rPr>
                          <w:t xml:space="preserve"> </w:t>
                        </w:r>
                        <w:r>
                          <w:rPr>
                            <w:w w:val="105"/>
                            <w:sz w:val="14"/>
                          </w:rPr>
                          <w:t>prácticas</w:t>
                        </w:r>
                        <w:r>
                          <w:rPr>
                            <w:spacing w:val="-4"/>
                            <w:w w:val="105"/>
                            <w:sz w:val="14"/>
                          </w:rPr>
                          <w:t xml:space="preserve"> </w:t>
                        </w:r>
                        <w:r>
                          <w:rPr>
                            <w:w w:val="105"/>
                            <w:sz w:val="14"/>
                          </w:rPr>
                          <w:t>que</w:t>
                        </w:r>
                        <w:r>
                          <w:rPr>
                            <w:spacing w:val="-3"/>
                            <w:w w:val="105"/>
                            <w:sz w:val="14"/>
                          </w:rPr>
                          <w:t xml:space="preserve"> </w:t>
                        </w:r>
                        <w:r>
                          <w:rPr>
                            <w:w w:val="105"/>
                            <w:sz w:val="14"/>
                          </w:rPr>
                          <w:t>puedan</w:t>
                        </w:r>
                        <w:r>
                          <w:rPr>
                            <w:spacing w:val="-3"/>
                            <w:w w:val="105"/>
                            <w:sz w:val="14"/>
                          </w:rPr>
                          <w:t xml:space="preserve"> </w:t>
                        </w:r>
                        <w:r>
                          <w:rPr>
                            <w:w w:val="105"/>
                            <w:sz w:val="14"/>
                          </w:rPr>
                          <w:t>adoptarse</w:t>
                        </w:r>
                        <w:r>
                          <w:rPr>
                            <w:spacing w:val="-3"/>
                            <w:w w:val="105"/>
                            <w:sz w:val="14"/>
                          </w:rPr>
                          <w:t xml:space="preserve"> </w:t>
                        </w:r>
                        <w:r>
                          <w:rPr>
                            <w:w w:val="105"/>
                            <w:sz w:val="14"/>
                          </w:rPr>
                          <w:t>o</w:t>
                        </w:r>
                        <w:r>
                          <w:rPr>
                            <w:spacing w:val="-3"/>
                            <w:w w:val="105"/>
                            <w:sz w:val="14"/>
                          </w:rPr>
                          <w:t xml:space="preserve"> </w:t>
                        </w:r>
                        <w:r>
                          <w:rPr>
                            <w:w w:val="105"/>
                            <w:sz w:val="14"/>
                          </w:rPr>
                          <w:t>adaptarse.</w:t>
                        </w:r>
                      </w:p>
                    </w:txbxContent>
                  </v:textbox>
                </v:shape>
                <v:shape id="Textbox 48" o:spid="_x0000_s1037" type="#_x0000_t202" style="position:absolute;left:1771;top:21681;width:53683;height:10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" filled="f" stroked="f">
                  <v:textbox inset="0,0,0,0">
                    <w:txbxContent>
                      <w:p w14:paraId="29E401FC" w14:textId="77777777" w:rsidR="0014798C" w:rsidRDefault="004E1F0B">
                        <w:pPr>
                          <w:spacing w:line="161" w:lineRule="exact"/>
                          <w:rPr>
                            <w:sz w:val="14"/>
                          </w:rPr>
                        </w:pPr>
                        <w:r>
                          <w:rPr>
                            <w:spacing w:val="-2"/>
                            <w:w w:val="105"/>
                            <w:sz w:val="14"/>
                          </w:rPr>
                          <w:t>Los</w:t>
                        </w:r>
                        <w:r>
                          <w:rPr>
                            <w:w w:val="105"/>
                            <w:sz w:val="14"/>
                          </w:rPr>
                          <w:t xml:space="preserve"> </w:t>
                        </w:r>
                        <w:r>
                          <w:rPr>
                            <w:spacing w:val="-2"/>
                            <w:w w:val="105"/>
                            <w:sz w:val="14"/>
                          </w:rPr>
                          <w:t>recuadros</w:t>
                        </w:r>
                        <w:r>
                          <w:rPr>
                            <w:spacing w:val="1"/>
                            <w:w w:val="105"/>
                            <w:sz w:val="14"/>
                          </w:rPr>
                          <w:t xml:space="preserve"> </w:t>
                        </w:r>
                        <w:r>
                          <w:rPr>
                            <w:spacing w:val="-2"/>
                            <w:w w:val="105"/>
                            <w:sz w:val="14"/>
                          </w:rPr>
                          <w:t>de</w:t>
                        </w:r>
                        <w:r>
                          <w:rPr>
                            <w:w w:val="105"/>
                            <w:sz w:val="14"/>
                          </w:rPr>
                          <w:t xml:space="preserve"> </w:t>
                        </w:r>
                        <w:r>
                          <w:rPr>
                            <w:spacing w:val="-2"/>
                            <w:w w:val="105"/>
                            <w:sz w:val="14"/>
                          </w:rPr>
                          <w:t>color</w:t>
                        </w:r>
                        <w:r>
                          <w:rPr>
                            <w:spacing w:val="1"/>
                            <w:w w:val="105"/>
                            <w:sz w:val="14"/>
                          </w:rPr>
                          <w:t xml:space="preserve"> </w:t>
                        </w:r>
                        <w:r>
                          <w:rPr>
                            <w:spacing w:val="-2"/>
                            <w:w w:val="105"/>
                            <w:sz w:val="14"/>
                          </w:rPr>
                          <w:t>arena</w:t>
                        </w:r>
                        <w:r>
                          <w:rPr>
                            <w:w w:val="105"/>
                            <w:sz w:val="14"/>
                          </w:rPr>
                          <w:t xml:space="preserve"> </w:t>
                        </w:r>
                        <w:r>
                          <w:rPr>
                            <w:spacing w:val="-2"/>
                            <w:w w:val="105"/>
                            <w:sz w:val="14"/>
                          </w:rPr>
                          <w:t>proporcionan</w:t>
                        </w:r>
                        <w:r>
                          <w:rPr>
                            <w:spacing w:val="1"/>
                            <w:w w:val="105"/>
                            <w:sz w:val="14"/>
                          </w:rPr>
                          <w:t xml:space="preserve"> </w:t>
                        </w:r>
                        <w:r>
                          <w:rPr>
                            <w:spacing w:val="-2"/>
                            <w:w w:val="105"/>
                            <w:sz w:val="14"/>
                          </w:rPr>
                          <w:t>ejemplos</w:t>
                        </w:r>
                        <w:r>
                          <w:rPr>
                            <w:w w:val="105"/>
                            <w:sz w:val="14"/>
                          </w:rPr>
                          <w:t xml:space="preserve"> </w:t>
                        </w:r>
                        <w:r>
                          <w:rPr>
                            <w:spacing w:val="-2"/>
                            <w:w w:val="105"/>
                            <w:sz w:val="14"/>
                          </w:rPr>
                          <w:t>de</w:t>
                        </w:r>
                        <w:r>
                          <w:rPr>
                            <w:spacing w:val="1"/>
                            <w:w w:val="105"/>
                            <w:sz w:val="14"/>
                          </w:rPr>
                          <w:t xml:space="preserve"> </w:t>
                        </w:r>
                        <w:r>
                          <w:rPr>
                            <w:spacing w:val="-2"/>
                            <w:w w:val="105"/>
                            <w:sz w:val="14"/>
                          </w:rPr>
                          <w:t>prácticas,</w:t>
                        </w:r>
                        <w:r>
                          <w:rPr>
                            <w:w w:val="105"/>
                            <w:sz w:val="14"/>
                          </w:rPr>
                          <w:t xml:space="preserve"> </w:t>
                        </w:r>
                        <w:r>
                          <w:rPr>
                            <w:spacing w:val="-2"/>
                            <w:w w:val="105"/>
                            <w:sz w:val="14"/>
                          </w:rPr>
                          <w:t>leyes,</w:t>
                        </w:r>
                        <w:r>
                          <w:rPr>
                            <w:spacing w:val="1"/>
                            <w:w w:val="105"/>
                            <w:sz w:val="14"/>
                          </w:rPr>
                          <w:t xml:space="preserve"> </w:t>
                        </w:r>
                        <w:r>
                          <w:rPr>
                            <w:spacing w:val="-2"/>
                            <w:w w:val="105"/>
                            <w:sz w:val="14"/>
                          </w:rPr>
                          <w:t>jurisprudencia</w:t>
                        </w:r>
                        <w:r>
                          <w:rPr>
                            <w:w w:val="105"/>
                            <w:sz w:val="14"/>
                          </w:rPr>
                          <w:t xml:space="preserve"> </w:t>
                        </w:r>
                        <w:r>
                          <w:rPr>
                            <w:spacing w:val="-2"/>
                            <w:w w:val="105"/>
                            <w:sz w:val="14"/>
                          </w:rPr>
                          <w:t>o</w:t>
                        </w:r>
                        <w:r>
                          <w:rPr>
                            <w:spacing w:val="1"/>
                            <w:w w:val="105"/>
                            <w:sz w:val="14"/>
                          </w:rPr>
                          <w:t xml:space="preserve"> </w:t>
                        </w:r>
                        <w:r>
                          <w:rPr>
                            <w:spacing w:val="-2"/>
                            <w:w w:val="105"/>
                            <w:sz w:val="14"/>
                          </w:rPr>
                          <w:t>comentarios</w:t>
                        </w:r>
                        <w:r>
                          <w:rPr>
                            <w:spacing w:val="-1"/>
                            <w:w w:val="105"/>
                            <w:sz w:val="14"/>
                          </w:rPr>
                          <w:t xml:space="preserve"> </w:t>
                        </w:r>
                        <w:r>
                          <w:rPr>
                            <w:spacing w:val="-2"/>
                            <w:w w:val="105"/>
                            <w:sz w:val="14"/>
                          </w:rPr>
                          <w:t>regionales</w:t>
                        </w:r>
                        <w:r>
                          <w:rPr>
                            <w:spacing w:val="1"/>
                            <w:w w:val="105"/>
                            <w:sz w:val="14"/>
                          </w:rPr>
                          <w:t xml:space="preserve"> </w:t>
                        </w:r>
                        <w:r>
                          <w:rPr>
                            <w:spacing w:val="-2"/>
                            <w:w w:val="105"/>
                            <w:sz w:val="14"/>
                          </w:rPr>
                          <w:t>o</w:t>
                        </w:r>
                        <w:r>
                          <w:rPr>
                            <w:w w:val="105"/>
                            <w:sz w:val="14"/>
                          </w:rPr>
                          <w:t xml:space="preserve"> </w:t>
                        </w:r>
                        <w:r>
                          <w:rPr>
                            <w:spacing w:val="-2"/>
                            <w:w w:val="105"/>
                            <w:sz w:val="14"/>
                          </w:rPr>
                          <w:t>internacionales.</w:t>
                        </w:r>
                      </w:p>
                    </w:txbxContent>
                  </v:textbox>
                </v:shape>
                <w10:wrap type="topAndBottom" anchorx="page"/>
              </v:group>
            </w:pict>
          </mc:Fallback>
        </mc:AlternateContent>
      </w:r>
    </w:p>
    <w:p w14:paraId="6E703007" w14:textId="77777777" w:rsidR="0014798C" w:rsidRDefault="0014798C">
      <w:pPr>
        <w:pStyle w:val="Textoindependiente"/>
      </w:pPr>
    </w:p>
    <w:p w14:paraId="60EF65AA" w14:textId="77777777" w:rsidR="0014798C" w:rsidRDefault="0014798C">
      <w:pPr>
        <w:pStyle w:val="Textoindependiente"/>
      </w:pPr>
    </w:p>
    <w:p w14:paraId="5B1C24F7" w14:textId="77777777" w:rsidR="0014798C" w:rsidRDefault="0014798C">
      <w:pPr>
        <w:pStyle w:val="Textoindependiente"/>
      </w:pPr>
    </w:p>
    <w:p w14:paraId="61C2FB62" w14:textId="77777777" w:rsidR="0014798C" w:rsidRDefault="0014798C">
      <w:pPr>
        <w:pStyle w:val="Textoindependiente"/>
      </w:pPr>
    </w:p>
    <w:p w14:paraId="1032CEC6" w14:textId="77777777" w:rsidR="0014798C" w:rsidRDefault="0014798C">
      <w:pPr>
        <w:pStyle w:val="Textoindependiente"/>
      </w:pPr>
    </w:p>
    <w:p w14:paraId="08333230" w14:textId="77777777" w:rsidR="0014798C" w:rsidRDefault="0014798C">
      <w:pPr>
        <w:pStyle w:val="Textoindependiente"/>
        <w:spacing w:before="44"/>
      </w:pPr>
    </w:p>
    <w:p w14:paraId="2F190E04" w14:textId="77777777" w:rsidR="0014798C" w:rsidRPr="00537489" w:rsidRDefault="004E1F0B">
      <w:pPr>
        <w:pStyle w:val="Textoindependiente"/>
        <w:ind w:left="479"/>
        <w:rPr>
          <w:lang w:val="en-US"/>
        </w:rPr>
      </w:pPr>
      <w:r w:rsidRPr="00537489">
        <w:rPr>
          <w:spacing w:val="-5"/>
          <w:lang w:val="en-US"/>
        </w:rPr>
        <w:t>xxx</w:t>
      </w:r>
    </w:p>
    <w:p w14:paraId="6F3B7A3B" w14:textId="77777777" w:rsidR="0014798C" w:rsidRPr="00537489" w:rsidRDefault="0014798C">
      <w:pPr>
        <w:rPr>
          <w:lang w:val="en-US"/>
        </w:rPr>
        <w:sectPr w:rsidR="0014798C" w:rsidRPr="00537489" w:rsidSect="00F265E4">
          <w:headerReference w:type="default" r:id="rId56"/>
          <w:pgSz w:w="11900" w:h="16820"/>
          <w:pgMar w:top="340" w:right="0" w:bottom="280" w:left="200" w:header="121" w:footer="0" w:gutter="0"/>
          <w:cols w:space="720"/>
        </w:sectPr>
      </w:pPr>
    </w:p>
    <w:p w14:paraId="57CD0DE9" w14:textId="77777777" w:rsidR="0014798C" w:rsidRPr="00537489" w:rsidRDefault="0014798C">
      <w:pPr>
        <w:pStyle w:val="Textoindependiente"/>
        <w:spacing w:before="51"/>
        <w:rPr>
          <w:sz w:val="14"/>
          <w:lang w:val="en-US"/>
        </w:rPr>
      </w:pPr>
    </w:p>
    <w:p w14:paraId="709B93CF" w14:textId="77777777" w:rsidR="0014798C" w:rsidRPr="00537489" w:rsidRDefault="004E1F0B">
      <w:pPr>
        <w:ind w:left="1114"/>
        <w:rPr>
          <w:sz w:val="14"/>
          <w:lang w:val="en-US"/>
        </w:rPr>
      </w:pPr>
      <w:r w:rsidRPr="00537489">
        <w:rPr>
          <w:color w:val="0075BF"/>
          <w:spacing w:val="-2"/>
          <w:sz w:val="14"/>
          <w:lang w:val="en-US"/>
        </w:rPr>
        <w:t>INTRODUCCIÓN</w:t>
      </w:r>
    </w:p>
    <w:p w14:paraId="1B82692F" w14:textId="77777777" w:rsidR="0014798C" w:rsidRPr="00537489" w:rsidRDefault="0014798C">
      <w:pPr>
        <w:pStyle w:val="Textoindependiente"/>
        <w:rPr>
          <w:sz w:val="20"/>
          <w:lang w:val="en-US"/>
        </w:rPr>
      </w:pPr>
    </w:p>
    <w:p w14:paraId="7509E2A6" w14:textId="77777777" w:rsidR="0014798C" w:rsidRPr="00537489" w:rsidRDefault="0014798C">
      <w:pPr>
        <w:pStyle w:val="Textoindependiente"/>
        <w:rPr>
          <w:sz w:val="20"/>
          <w:lang w:val="en-US"/>
        </w:rPr>
      </w:pPr>
    </w:p>
    <w:p w14:paraId="1748EB73" w14:textId="77777777" w:rsidR="0014798C" w:rsidRPr="00537489" w:rsidRDefault="004E1F0B">
      <w:pPr>
        <w:pStyle w:val="Textoindependiente"/>
        <w:spacing w:before="19"/>
        <w:rPr>
          <w:sz w:val="20"/>
          <w:lang w:val="en-US"/>
        </w:rPr>
      </w:pPr>
      <w:r>
        <w:rPr>
          <w:noProof/>
        </w:rPr>
        <mc:AlternateContent>
          <mc:Choice Requires="wpg">
            <w:drawing>
              <wp:anchor distT="0" distB="0" distL="0" distR="0" simplePos="0" relativeHeight="251658515" behindDoc="1" locked="0" layoutInCell="1" allowOverlap="1" wp14:anchorId="6C188CDC" wp14:editId="04E0BB1A">
                <wp:simplePos x="0" y="0"/>
                <wp:positionH relativeFrom="page">
                  <wp:posOffset>790692</wp:posOffset>
                </wp:positionH>
                <wp:positionV relativeFrom="paragraph">
                  <wp:posOffset>173853</wp:posOffset>
                </wp:positionV>
                <wp:extent cx="5970905" cy="1087755"/>
                <wp:effectExtent l="0" t="0" r="0" b="0"/>
                <wp:wrapTopAndBottom/>
                <wp:docPr id="49" name="Group 4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970905" cy="1087755"/>
                          <a:chOff x="0" y="0"/>
                          <a:chExt cx="5970905" cy="1087755"/>
                        </a:xfrm>
                      </wpg:grpSpPr>
                      <pic:pic xmlns:pic="http://schemas.openxmlformats.org/drawingml/2006/picture">
                        <pic:nvPicPr>
                          <pic:cNvPr id="50" name="Image 50"/>
                          <pic:cNvPicPr/>
                        </pic:nvPicPr>
                        <pic:blipFill>
                          <a:blip r:embed="rId57" cstate="print"/>
                          <a:stretch>
                            <a:fillRect/>
                          </a:stretch>
                        </pic:blipFill>
                        <pic:spPr>
                          <a:xfrm>
                            <a:off x="0" y="0"/>
                            <a:ext cx="5970623" cy="1087391"/>
                          </a:xfrm>
                          <a:prstGeom prst="rect">
                            <a:avLst/>
                          </a:prstGeom>
                        </pic:spPr>
                      </pic:pic>
                      <wps:wsp>
                        <wps:cNvPr id="51" name="Textbox 51"/>
                        <wps:cNvSpPr txBox="1"/>
                        <wps:spPr>
                          <a:xfrm>
                            <a:off x="0" y="0"/>
                            <a:ext cx="5970905" cy="1087755"/>
                          </a:xfrm>
                          <a:prstGeom prst="rect">
                            <a:avLst/>
                          </a:prstGeom>
                        </wps:spPr>
                        <wps:txbx>
                          <w:txbxContent>
                            <w:p w14:paraId="74865C8D" w14:textId="77777777" w:rsidR="0014798C" w:rsidRDefault="0014798C">
                              <w:pPr>
                                <w:spacing w:before="24"/>
                                <w:rPr>
                                  <w:sz w:val="17"/>
                                </w:rPr>
                              </w:pPr>
                            </w:p>
                            <w:p w14:paraId="61998D20" w14:textId="77777777" w:rsidR="0014798C" w:rsidRDefault="004E1F0B">
                              <w:pPr>
                                <w:spacing w:line="307" w:lineRule="auto"/>
                                <w:ind w:left="284" w:right="133" w:firstLine="4"/>
                                <w:rPr>
                                  <w:sz w:val="17"/>
                                </w:rPr>
                              </w:pPr>
                              <w:r>
                                <w:rPr>
                                  <w:sz w:val="17"/>
                                </w:rPr>
                                <w:t>Los recuadros de color rojo examinan cuestiones específicas de la ley contra la discriminación. Estos recuadros se incluyen cuando es importante examinar un tema en particular para brindar una imagen completa de la ley en esta área, pero el asunto en cuestión no requiere codificación específica o adicional en una ley integral contra la discriminación. Así, por ejemplo, el papel de la intención en la ley de discriminación, las cuestiones de discriminación contra los no ciudadanos y la discusión sobre comparadores se incluyen en un cuadro de texto rojo.</w:t>
                              </w:r>
                            </w:p>
                          </w:txbxContent>
                        </wps:txbx>
                        <wps:bodyPr wrap="square" lIns="0" tIns="0" rIns="0" bIns="0" rtlCol="0">
                          <a:noAutofit/>
                        </wps:bodyPr>
                      </wps:wsp>
                    </wpg:wgp>
                  </a:graphicData>
                </a:graphic>
              </wp:anchor>
            </w:drawing>
          </mc:Choice>
          <mc:Fallback>
            <w:pict>
              <v:group w14:anchorId="6C188CDC" id="Group 49" o:spid="_x0000_s1038" style="position:absolute;margin-left:62.25pt;margin-top:13.7pt;width:470.15pt;height:85.65pt;z-index:-251657965;mso-wrap-distance-left:0;mso-wrap-distance-right:0;mso-position-horizontal-relative:page" coordsize="59709,1087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">
                <v:shape id="Image 50" o:spid="_x0000_s1039" type="#_x0000_t75" style="position:absolute;width:59706;height:1087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">
                  <v:imagedata r:id="rId58" o:title=""/>
                </v:shape>
                <v:shape id="Textbox 51" o:spid="_x0000_s1040" type="#_x0000_t202" style="position:absolute;width:59709;height:108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" filled="f" stroked="f">
                  <v:textbox inset="0,0,0,0">
                    <w:txbxContent>
                      <w:p w14:paraId="74865C8D" w14:textId="77777777" w:rsidR="0014798C" w:rsidRDefault="0014798C">
                        <w:pPr>
                          <w:spacing w:before="24"/>
                          <w:rPr>
                            <w:sz w:val="17"/>
                          </w:rPr>
                        </w:pPr>
                      </w:p>
                      <w:p w14:paraId="61998D20" w14:textId="77777777" w:rsidR="0014798C" w:rsidRDefault="004E1F0B">
                        <w:pPr>
                          <w:spacing w:line="307" w:lineRule="auto"/>
                          <w:ind w:left="284" w:right="133" w:firstLine="4"/>
                          <w:rPr>
                            <w:sz w:val="17"/>
                          </w:rPr>
                        </w:pPr>
                        <w:r>
                          <w:rPr>
                            <w:sz w:val="17"/>
                          </w:rPr>
                          <w:t>Los recuadros de color rojo examinan cuestiones específicas de la ley contra la discriminación. Estos recuadros se incluyen cuando es importante examinar un tema en particular para brindar una imagen completa de la ley en esta área, pero el asunto en cuestión no requiere codificación específica o adicional en una ley integral contra la discriminación. Así, por ejemplo, el papel de la intención en la ley de discriminación, las cuestiones de discriminación contra los no ciudadanos y la discusión sobre comparadores se incluyen en un cuadro de texto rojo.</w:t>
                        </w:r>
                      </w:p>
                    </w:txbxContent>
                  </v:textbox>
                </v:shape>
                <w10:wrap type="topAndBottom" anchorx="page"/>
              </v:group>
            </w:pict>
          </mc:Fallback>
        </mc:AlternateContent>
      </w:r>
    </w:p>
    <w:p w14:paraId="637D590A" w14:textId="77777777" w:rsidR="0014798C" w:rsidRPr="00537489" w:rsidRDefault="0014798C">
      <w:pPr>
        <w:pStyle w:val="Textoindependiente"/>
        <w:rPr>
          <w:sz w:val="17"/>
          <w:lang w:val="en-US"/>
        </w:rPr>
      </w:pPr>
    </w:p>
    <w:p w14:paraId="5ACDD2A9" w14:textId="77777777" w:rsidR="0014798C" w:rsidRPr="00537489" w:rsidRDefault="0014798C">
      <w:pPr>
        <w:pStyle w:val="Textoindependiente"/>
        <w:rPr>
          <w:sz w:val="17"/>
          <w:lang w:val="en-US"/>
        </w:rPr>
      </w:pPr>
    </w:p>
    <w:p w14:paraId="25178B2B" w14:textId="77777777" w:rsidR="0014798C" w:rsidRPr="00537489" w:rsidRDefault="0014798C">
      <w:pPr>
        <w:pStyle w:val="Textoindependiente"/>
        <w:rPr>
          <w:sz w:val="17"/>
          <w:lang w:val="en-US"/>
        </w:rPr>
      </w:pPr>
    </w:p>
    <w:p w14:paraId="1342A812" w14:textId="77777777" w:rsidR="0014798C" w:rsidRPr="00537489" w:rsidRDefault="0014798C">
      <w:pPr>
        <w:pStyle w:val="Textoindependiente"/>
        <w:rPr>
          <w:sz w:val="17"/>
          <w:lang w:val="en-US"/>
        </w:rPr>
      </w:pPr>
    </w:p>
    <w:p w14:paraId="7F367DE5" w14:textId="77777777" w:rsidR="0014798C" w:rsidRPr="00537489" w:rsidRDefault="0014798C">
      <w:pPr>
        <w:pStyle w:val="Textoindependiente"/>
        <w:rPr>
          <w:sz w:val="17"/>
          <w:lang w:val="en-US"/>
        </w:rPr>
      </w:pPr>
    </w:p>
    <w:p w14:paraId="6888C5B5" w14:textId="77777777" w:rsidR="0014798C" w:rsidRPr="00537489" w:rsidRDefault="0014798C">
      <w:pPr>
        <w:pStyle w:val="Textoindependiente"/>
        <w:rPr>
          <w:sz w:val="17"/>
          <w:lang w:val="en-US"/>
        </w:rPr>
      </w:pPr>
    </w:p>
    <w:p w14:paraId="621592FC" w14:textId="77777777" w:rsidR="0014798C" w:rsidRPr="00537489" w:rsidRDefault="0014798C">
      <w:pPr>
        <w:pStyle w:val="Textoindependiente"/>
        <w:rPr>
          <w:sz w:val="17"/>
          <w:lang w:val="en-US"/>
        </w:rPr>
      </w:pPr>
    </w:p>
    <w:p w14:paraId="70B4AC67" w14:textId="77777777" w:rsidR="0014798C" w:rsidRPr="00537489" w:rsidRDefault="0014798C">
      <w:pPr>
        <w:pStyle w:val="Textoindependiente"/>
        <w:rPr>
          <w:sz w:val="17"/>
          <w:lang w:val="en-US"/>
        </w:rPr>
      </w:pPr>
    </w:p>
    <w:p w14:paraId="5E46E9F8" w14:textId="77777777" w:rsidR="0014798C" w:rsidRPr="00537489" w:rsidRDefault="0014798C">
      <w:pPr>
        <w:pStyle w:val="Textoindependiente"/>
        <w:rPr>
          <w:sz w:val="17"/>
          <w:lang w:val="en-US"/>
        </w:rPr>
      </w:pPr>
    </w:p>
    <w:p w14:paraId="618AC75A" w14:textId="77777777" w:rsidR="0014798C" w:rsidRPr="00537489" w:rsidRDefault="0014798C">
      <w:pPr>
        <w:pStyle w:val="Textoindependiente"/>
        <w:rPr>
          <w:sz w:val="17"/>
          <w:lang w:val="en-US"/>
        </w:rPr>
      </w:pPr>
    </w:p>
    <w:p w14:paraId="240EB5FE" w14:textId="77777777" w:rsidR="0014798C" w:rsidRPr="00537489" w:rsidRDefault="0014798C">
      <w:pPr>
        <w:pStyle w:val="Textoindependiente"/>
        <w:rPr>
          <w:sz w:val="17"/>
          <w:lang w:val="en-US"/>
        </w:rPr>
      </w:pPr>
    </w:p>
    <w:p w14:paraId="63689322" w14:textId="77777777" w:rsidR="0014798C" w:rsidRPr="00537489" w:rsidRDefault="0014798C">
      <w:pPr>
        <w:pStyle w:val="Textoindependiente"/>
        <w:rPr>
          <w:sz w:val="17"/>
          <w:lang w:val="en-US"/>
        </w:rPr>
      </w:pPr>
    </w:p>
    <w:p w14:paraId="3DE17297" w14:textId="77777777" w:rsidR="0014798C" w:rsidRPr="00537489" w:rsidRDefault="0014798C">
      <w:pPr>
        <w:pStyle w:val="Textoindependiente"/>
        <w:rPr>
          <w:sz w:val="17"/>
          <w:lang w:val="en-US"/>
        </w:rPr>
      </w:pPr>
    </w:p>
    <w:p w14:paraId="0CF5F2A2" w14:textId="77777777" w:rsidR="0014798C" w:rsidRPr="00537489" w:rsidRDefault="0014798C">
      <w:pPr>
        <w:pStyle w:val="Textoindependiente"/>
        <w:rPr>
          <w:sz w:val="17"/>
          <w:lang w:val="en-US"/>
        </w:rPr>
      </w:pPr>
    </w:p>
    <w:p w14:paraId="5269FA48" w14:textId="77777777" w:rsidR="0014798C" w:rsidRPr="00537489" w:rsidRDefault="0014798C">
      <w:pPr>
        <w:pStyle w:val="Textoindependiente"/>
        <w:rPr>
          <w:sz w:val="17"/>
          <w:lang w:val="en-US"/>
        </w:rPr>
      </w:pPr>
    </w:p>
    <w:p w14:paraId="46B3764B" w14:textId="77777777" w:rsidR="0014798C" w:rsidRPr="00537489" w:rsidRDefault="0014798C">
      <w:pPr>
        <w:pStyle w:val="Textoindependiente"/>
        <w:rPr>
          <w:sz w:val="17"/>
          <w:lang w:val="en-US"/>
        </w:rPr>
      </w:pPr>
    </w:p>
    <w:p w14:paraId="6DCE08CA" w14:textId="77777777" w:rsidR="0014798C" w:rsidRPr="00537489" w:rsidRDefault="0014798C">
      <w:pPr>
        <w:pStyle w:val="Textoindependiente"/>
        <w:rPr>
          <w:sz w:val="17"/>
          <w:lang w:val="en-US"/>
        </w:rPr>
      </w:pPr>
    </w:p>
    <w:p w14:paraId="14341CA8" w14:textId="77777777" w:rsidR="0014798C" w:rsidRPr="00537489" w:rsidRDefault="0014798C">
      <w:pPr>
        <w:pStyle w:val="Textoindependiente"/>
        <w:rPr>
          <w:sz w:val="17"/>
          <w:lang w:val="en-US"/>
        </w:rPr>
      </w:pPr>
    </w:p>
    <w:p w14:paraId="2E3C0278" w14:textId="77777777" w:rsidR="0014798C" w:rsidRPr="00537489" w:rsidRDefault="0014798C">
      <w:pPr>
        <w:pStyle w:val="Textoindependiente"/>
        <w:rPr>
          <w:sz w:val="17"/>
          <w:lang w:val="en-US"/>
        </w:rPr>
      </w:pPr>
    </w:p>
    <w:p w14:paraId="4F377A3A" w14:textId="77777777" w:rsidR="0014798C" w:rsidRPr="00537489" w:rsidRDefault="0014798C">
      <w:pPr>
        <w:pStyle w:val="Textoindependiente"/>
        <w:rPr>
          <w:sz w:val="17"/>
          <w:lang w:val="en-US"/>
        </w:rPr>
      </w:pPr>
    </w:p>
    <w:p w14:paraId="1E58EB99" w14:textId="77777777" w:rsidR="0014798C" w:rsidRPr="00537489" w:rsidRDefault="0014798C">
      <w:pPr>
        <w:pStyle w:val="Textoindependiente"/>
        <w:rPr>
          <w:sz w:val="17"/>
          <w:lang w:val="en-US"/>
        </w:rPr>
      </w:pPr>
    </w:p>
    <w:p w14:paraId="54530EF8" w14:textId="77777777" w:rsidR="0014798C" w:rsidRPr="00537489" w:rsidRDefault="0014798C">
      <w:pPr>
        <w:pStyle w:val="Textoindependiente"/>
        <w:rPr>
          <w:sz w:val="17"/>
          <w:lang w:val="en-US"/>
        </w:rPr>
      </w:pPr>
    </w:p>
    <w:p w14:paraId="11721763" w14:textId="77777777" w:rsidR="0014798C" w:rsidRPr="00537489" w:rsidRDefault="0014798C">
      <w:pPr>
        <w:pStyle w:val="Textoindependiente"/>
        <w:rPr>
          <w:sz w:val="17"/>
          <w:lang w:val="en-US"/>
        </w:rPr>
      </w:pPr>
    </w:p>
    <w:p w14:paraId="60F7FBE4" w14:textId="77777777" w:rsidR="0014798C" w:rsidRPr="00537489" w:rsidRDefault="0014798C">
      <w:pPr>
        <w:pStyle w:val="Textoindependiente"/>
        <w:rPr>
          <w:sz w:val="17"/>
          <w:lang w:val="en-US"/>
        </w:rPr>
      </w:pPr>
    </w:p>
    <w:p w14:paraId="24874C3F" w14:textId="77777777" w:rsidR="0014798C" w:rsidRPr="00537489" w:rsidRDefault="0014798C">
      <w:pPr>
        <w:pStyle w:val="Textoindependiente"/>
        <w:rPr>
          <w:sz w:val="17"/>
          <w:lang w:val="en-US"/>
        </w:rPr>
      </w:pPr>
    </w:p>
    <w:p w14:paraId="7584CE5F" w14:textId="77777777" w:rsidR="0014798C" w:rsidRPr="00537489" w:rsidRDefault="0014798C">
      <w:pPr>
        <w:pStyle w:val="Textoindependiente"/>
        <w:rPr>
          <w:sz w:val="17"/>
          <w:lang w:val="en-US"/>
        </w:rPr>
      </w:pPr>
    </w:p>
    <w:p w14:paraId="02EE0947" w14:textId="77777777" w:rsidR="0014798C" w:rsidRPr="00537489" w:rsidRDefault="0014798C">
      <w:pPr>
        <w:pStyle w:val="Textoindependiente"/>
        <w:rPr>
          <w:sz w:val="17"/>
          <w:lang w:val="en-US"/>
        </w:rPr>
      </w:pPr>
    </w:p>
    <w:p w14:paraId="00E69887" w14:textId="77777777" w:rsidR="0014798C" w:rsidRPr="00537489" w:rsidRDefault="0014798C">
      <w:pPr>
        <w:pStyle w:val="Textoindependiente"/>
        <w:rPr>
          <w:sz w:val="17"/>
          <w:lang w:val="en-US"/>
        </w:rPr>
      </w:pPr>
    </w:p>
    <w:p w14:paraId="29761B35" w14:textId="77777777" w:rsidR="0014798C" w:rsidRPr="00537489" w:rsidRDefault="0014798C">
      <w:pPr>
        <w:pStyle w:val="Textoindependiente"/>
        <w:rPr>
          <w:sz w:val="17"/>
          <w:lang w:val="en-US"/>
        </w:rPr>
      </w:pPr>
    </w:p>
    <w:p w14:paraId="32FE9884" w14:textId="77777777" w:rsidR="0014798C" w:rsidRPr="00537489" w:rsidRDefault="0014798C">
      <w:pPr>
        <w:pStyle w:val="Textoindependiente"/>
        <w:rPr>
          <w:sz w:val="17"/>
          <w:lang w:val="en-US"/>
        </w:rPr>
      </w:pPr>
    </w:p>
    <w:p w14:paraId="6C2DC599" w14:textId="77777777" w:rsidR="0014798C" w:rsidRPr="00537489" w:rsidRDefault="0014798C">
      <w:pPr>
        <w:pStyle w:val="Textoindependiente"/>
        <w:rPr>
          <w:sz w:val="17"/>
          <w:lang w:val="en-US"/>
        </w:rPr>
      </w:pPr>
    </w:p>
    <w:p w14:paraId="33026546" w14:textId="77777777" w:rsidR="0014798C" w:rsidRPr="00537489" w:rsidRDefault="0014798C">
      <w:pPr>
        <w:pStyle w:val="Textoindependiente"/>
        <w:rPr>
          <w:sz w:val="17"/>
          <w:lang w:val="en-US"/>
        </w:rPr>
      </w:pPr>
    </w:p>
    <w:p w14:paraId="7DF3F2D6" w14:textId="77777777" w:rsidR="0014798C" w:rsidRPr="00537489" w:rsidRDefault="0014798C">
      <w:pPr>
        <w:pStyle w:val="Textoindependiente"/>
        <w:rPr>
          <w:sz w:val="17"/>
          <w:lang w:val="en-US"/>
        </w:rPr>
      </w:pPr>
    </w:p>
    <w:p w14:paraId="12B7F5BB" w14:textId="77777777" w:rsidR="0014798C" w:rsidRPr="00537489" w:rsidRDefault="0014798C">
      <w:pPr>
        <w:pStyle w:val="Textoindependiente"/>
        <w:rPr>
          <w:sz w:val="17"/>
          <w:lang w:val="en-US"/>
        </w:rPr>
      </w:pPr>
    </w:p>
    <w:p w14:paraId="365AAF52" w14:textId="77777777" w:rsidR="0014798C" w:rsidRPr="00537489" w:rsidRDefault="0014798C">
      <w:pPr>
        <w:pStyle w:val="Textoindependiente"/>
        <w:rPr>
          <w:sz w:val="17"/>
          <w:lang w:val="en-US"/>
        </w:rPr>
      </w:pPr>
    </w:p>
    <w:p w14:paraId="5004B2F5" w14:textId="77777777" w:rsidR="0014798C" w:rsidRPr="00537489" w:rsidRDefault="0014798C">
      <w:pPr>
        <w:pStyle w:val="Textoindependiente"/>
        <w:rPr>
          <w:sz w:val="17"/>
          <w:lang w:val="en-US"/>
        </w:rPr>
      </w:pPr>
    </w:p>
    <w:p w14:paraId="5F52367F" w14:textId="77777777" w:rsidR="0014798C" w:rsidRPr="00537489" w:rsidRDefault="0014798C">
      <w:pPr>
        <w:pStyle w:val="Textoindependiente"/>
        <w:rPr>
          <w:sz w:val="17"/>
          <w:lang w:val="en-US"/>
        </w:rPr>
      </w:pPr>
    </w:p>
    <w:p w14:paraId="700189A4" w14:textId="77777777" w:rsidR="0014798C" w:rsidRPr="00537489" w:rsidRDefault="0014798C">
      <w:pPr>
        <w:pStyle w:val="Textoindependiente"/>
        <w:rPr>
          <w:sz w:val="17"/>
          <w:lang w:val="en-US"/>
        </w:rPr>
      </w:pPr>
    </w:p>
    <w:p w14:paraId="060A3AD0" w14:textId="77777777" w:rsidR="0014798C" w:rsidRPr="00537489" w:rsidRDefault="0014798C">
      <w:pPr>
        <w:pStyle w:val="Textoindependiente"/>
        <w:rPr>
          <w:sz w:val="17"/>
          <w:lang w:val="en-US"/>
        </w:rPr>
      </w:pPr>
    </w:p>
    <w:p w14:paraId="517EF622" w14:textId="77777777" w:rsidR="0014798C" w:rsidRPr="00537489" w:rsidRDefault="0014798C">
      <w:pPr>
        <w:pStyle w:val="Textoindependiente"/>
        <w:rPr>
          <w:sz w:val="17"/>
          <w:lang w:val="en-US"/>
        </w:rPr>
      </w:pPr>
    </w:p>
    <w:p w14:paraId="0EB55584" w14:textId="77777777" w:rsidR="0014798C" w:rsidRPr="00537489" w:rsidRDefault="0014798C">
      <w:pPr>
        <w:pStyle w:val="Textoindependiente"/>
        <w:rPr>
          <w:sz w:val="17"/>
          <w:lang w:val="en-US"/>
        </w:rPr>
      </w:pPr>
    </w:p>
    <w:p w14:paraId="5D9E504A" w14:textId="77777777" w:rsidR="0014798C" w:rsidRPr="00537489" w:rsidRDefault="0014798C">
      <w:pPr>
        <w:pStyle w:val="Textoindependiente"/>
        <w:rPr>
          <w:sz w:val="17"/>
          <w:lang w:val="en-US"/>
        </w:rPr>
      </w:pPr>
    </w:p>
    <w:p w14:paraId="1D7B0E96" w14:textId="77777777" w:rsidR="0014798C" w:rsidRPr="00537489" w:rsidRDefault="0014798C">
      <w:pPr>
        <w:pStyle w:val="Textoindependiente"/>
        <w:rPr>
          <w:sz w:val="17"/>
          <w:lang w:val="en-US"/>
        </w:rPr>
      </w:pPr>
    </w:p>
    <w:p w14:paraId="14EB52F5" w14:textId="77777777" w:rsidR="0014798C" w:rsidRPr="00537489" w:rsidRDefault="0014798C">
      <w:pPr>
        <w:pStyle w:val="Textoindependiente"/>
        <w:rPr>
          <w:sz w:val="17"/>
          <w:lang w:val="en-US"/>
        </w:rPr>
      </w:pPr>
    </w:p>
    <w:p w14:paraId="22DA38E7" w14:textId="77777777" w:rsidR="0014798C" w:rsidRPr="00537489" w:rsidRDefault="0014798C">
      <w:pPr>
        <w:pStyle w:val="Textoindependiente"/>
        <w:rPr>
          <w:sz w:val="17"/>
          <w:lang w:val="en-US"/>
        </w:rPr>
      </w:pPr>
    </w:p>
    <w:p w14:paraId="28C5BCBA" w14:textId="77777777" w:rsidR="0014798C" w:rsidRPr="00537489" w:rsidRDefault="0014798C">
      <w:pPr>
        <w:pStyle w:val="Textoindependiente"/>
        <w:rPr>
          <w:sz w:val="17"/>
          <w:lang w:val="en-US"/>
        </w:rPr>
      </w:pPr>
    </w:p>
    <w:p w14:paraId="44E5F7FF" w14:textId="77777777" w:rsidR="0014798C" w:rsidRPr="00537489" w:rsidRDefault="0014798C">
      <w:pPr>
        <w:pStyle w:val="Textoindependiente"/>
        <w:rPr>
          <w:sz w:val="17"/>
          <w:lang w:val="en-US"/>
        </w:rPr>
      </w:pPr>
    </w:p>
    <w:p w14:paraId="4567D5F7" w14:textId="77777777" w:rsidR="0014798C" w:rsidRPr="00537489" w:rsidRDefault="0014798C">
      <w:pPr>
        <w:pStyle w:val="Textoindependiente"/>
        <w:rPr>
          <w:sz w:val="17"/>
          <w:lang w:val="en-US"/>
        </w:rPr>
      </w:pPr>
    </w:p>
    <w:p w14:paraId="3B8846E3" w14:textId="77777777" w:rsidR="0014798C" w:rsidRPr="00537489" w:rsidRDefault="0014798C">
      <w:pPr>
        <w:pStyle w:val="Textoindependiente"/>
        <w:rPr>
          <w:sz w:val="17"/>
          <w:lang w:val="en-US"/>
        </w:rPr>
      </w:pPr>
    </w:p>
    <w:p w14:paraId="76144A5A" w14:textId="77777777" w:rsidR="0014798C" w:rsidRPr="00537489" w:rsidRDefault="0014798C">
      <w:pPr>
        <w:pStyle w:val="Textoindependiente"/>
        <w:rPr>
          <w:sz w:val="17"/>
          <w:lang w:val="en-US"/>
        </w:rPr>
      </w:pPr>
    </w:p>
    <w:p w14:paraId="03756160" w14:textId="77777777" w:rsidR="0014798C" w:rsidRPr="00537489" w:rsidRDefault="0014798C">
      <w:pPr>
        <w:pStyle w:val="Textoindependiente"/>
        <w:rPr>
          <w:sz w:val="17"/>
          <w:lang w:val="en-US"/>
        </w:rPr>
      </w:pPr>
    </w:p>
    <w:p w14:paraId="49254AF5" w14:textId="77777777" w:rsidR="0014798C" w:rsidRPr="00537489" w:rsidRDefault="0014798C">
      <w:pPr>
        <w:pStyle w:val="Textoindependiente"/>
        <w:rPr>
          <w:sz w:val="17"/>
          <w:lang w:val="en-US"/>
        </w:rPr>
      </w:pPr>
    </w:p>
    <w:p w14:paraId="36B983DA" w14:textId="77777777" w:rsidR="0014798C" w:rsidRPr="00537489" w:rsidRDefault="0014798C">
      <w:pPr>
        <w:pStyle w:val="Textoindependiente"/>
        <w:rPr>
          <w:sz w:val="17"/>
          <w:lang w:val="en-US"/>
        </w:rPr>
      </w:pPr>
    </w:p>
    <w:p w14:paraId="06041CCA" w14:textId="77777777" w:rsidR="0014798C" w:rsidRPr="00537489" w:rsidRDefault="0014798C">
      <w:pPr>
        <w:pStyle w:val="Textoindependiente"/>
        <w:rPr>
          <w:sz w:val="17"/>
          <w:lang w:val="en-US"/>
        </w:rPr>
      </w:pPr>
    </w:p>
    <w:p w14:paraId="66D115A5" w14:textId="77777777" w:rsidR="0014798C" w:rsidRPr="00537489" w:rsidRDefault="0014798C">
      <w:pPr>
        <w:pStyle w:val="Textoindependiente"/>
        <w:rPr>
          <w:sz w:val="17"/>
          <w:lang w:val="en-US"/>
        </w:rPr>
      </w:pPr>
    </w:p>
    <w:p w14:paraId="7E3857D8" w14:textId="77777777" w:rsidR="0014798C" w:rsidRPr="00537489" w:rsidRDefault="0014798C">
      <w:pPr>
        <w:pStyle w:val="Textoindependiente"/>
        <w:rPr>
          <w:sz w:val="17"/>
          <w:lang w:val="en-US"/>
        </w:rPr>
      </w:pPr>
    </w:p>
    <w:p w14:paraId="528EF1CE" w14:textId="77777777" w:rsidR="0014798C" w:rsidRPr="00537489" w:rsidRDefault="0014798C">
      <w:pPr>
        <w:pStyle w:val="Textoindependiente"/>
        <w:rPr>
          <w:sz w:val="17"/>
          <w:lang w:val="en-US"/>
        </w:rPr>
      </w:pPr>
    </w:p>
    <w:p w14:paraId="50DF3AE2" w14:textId="77777777" w:rsidR="0014798C" w:rsidRPr="00537489" w:rsidRDefault="0014798C">
      <w:pPr>
        <w:pStyle w:val="Textoindependiente"/>
        <w:rPr>
          <w:sz w:val="17"/>
          <w:lang w:val="en-US"/>
        </w:rPr>
      </w:pPr>
    </w:p>
    <w:p w14:paraId="1EE2E225" w14:textId="77777777" w:rsidR="0014798C" w:rsidRPr="00537489" w:rsidRDefault="0014798C">
      <w:pPr>
        <w:pStyle w:val="Textoindependiente"/>
        <w:rPr>
          <w:sz w:val="17"/>
          <w:lang w:val="en-US"/>
        </w:rPr>
      </w:pPr>
    </w:p>
    <w:p w14:paraId="010A6A74" w14:textId="77777777" w:rsidR="0014798C" w:rsidRPr="00537489" w:rsidRDefault="0014798C">
      <w:pPr>
        <w:pStyle w:val="Textoindependiente"/>
        <w:rPr>
          <w:sz w:val="17"/>
          <w:lang w:val="en-US"/>
        </w:rPr>
      </w:pPr>
    </w:p>
    <w:p w14:paraId="07A2A2C9" w14:textId="77777777" w:rsidR="0014798C" w:rsidRPr="00537489" w:rsidRDefault="0014798C">
      <w:pPr>
        <w:pStyle w:val="Textoindependiente"/>
        <w:rPr>
          <w:sz w:val="17"/>
          <w:lang w:val="en-US"/>
        </w:rPr>
      </w:pPr>
    </w:p>
    <w:p w14:paraId="054BA6CE" w14:textId="77777777" w:rsidR="0014798C" w:rsidRPr="00537489" w:rsidRDefault="0014798C">
      <w:pPr>
        <w:pStyle w:val="Textoindependiente"/>
        <w:rPr>
          <w:sz w:val="17"/>
          <w:lang w:val="en-US"/>
        </w:rPr>
      </w:pPr>
    </w:p>
    <w:p w14:paraId="424AEB24" w14:textId="77777777" w:rsidR="0014798C" w:rsidRPr="00537489" w:rsidRDefault="0014798C">
      <w:pPr>
        <w:pStyle w:val="Textoindependiente"/>
        <w:rPr>
          <w:sz w:val="17"/>
          <w:lang w:val="en-US"/>
        </w:rPr>
      </w:pPr>
    </w:p>
    <w:p w14:paraId="4F2B8C0C" w14:textId="77777777" w:rsidR="0014798C" w:rsidRPr="00537489" w:rsidRDefault="0014798C">
      <w:pPr>
        <w:pStyle w:val="Textoindependiente"/>
        <w:rPr>
          <w:sz w:val="17"/>
          <w:lang w:val="en-US"/>
        </w:rPr>
      </w:pPr>
    </w:p>
    <w:p w14:paraId="54A880EC" w14:textId="77777777" w:rsidR="0014798C" w:rsidRPr="00537489" w:rsidRDefault="0014798C">
      <w:pPr>
        <w:pStyle w:val="Textoindependiente"/>
        <w:rPr>
          <w:sz w:val="17"/>
          <w:lang w:val="en-US"/>
        </w:rPr>
      </w:pPr>
    </w:p>
    <w:p w14:paraId="5F66D265" w14:textId="77777777" w:rsidR="0014798C" w:rsidRPr="00537489" w:rsidRDefault="0014798C">
      <w:pPr>
        <w:pStyle w:val="Textoindependiente"/>
        <w:spacing w:before="4"/>
        <w:rPr>
          <w:sz w:val="17"/>
          <w:lang w:val="en-US"/>
        </w:rPr>
      </w:pPr>
    </w:p>
    <w:p w14:paraId="06A265C8" w14:textId="77777777" w:rsidR="0014798C" w:rsidRPr="00537489" w:rsidRDefault="004E1F0B">
      <w:pPr>
        <w:spacing w:before="1"/>
        <w:ind w:right="752"/>
        <w:jc w:val="right"/>
        <w:rPr>
          <w:sz w:val="17"/>
          <w:lang w:val="en-US"/>
        </w:rPr>
      </w:pPr>
      <w:r w:rsidRPr="00537489">
        <w:rPr>
          <w:spacing w:val="-4"/>
          <w:sz w:val="17"/>
          <w:lang w:val="en-US"/>
        </w:rPr>
        <w:t>xxxi</w:t>
      </w:r>
    </w:p>
    <w:p w14:paraId="1F274B27" w14:textId="77777777" w:rsidR="0014798C" w:rsidRPr="00537489" w:rsidRDefault="0014798C">
      <w:pPr>
        <w:jc w:val="right"/>
        <w:rPr>
          <w:sz w:val="17"/>
          <w:lang w:val="en-US"/>
        </w:rPr>
        <w:sectPr w:rsidR="0014798C" w:rsidRPr="00537489" w:rsidSect="00F265E4">
          <w:pgSz w:w="11900" w:h="16820"/>
          <w:pgMar w:top="340" w:right="0" w:bottom="280" w:left="200" w:header="121" w:footer="0" w:gutter="0"/>
          <w:cols w:space="720"/>
        </w:sectPr>
      </w:pPr>
    </w:p>
    <w:p w14:paraId="417AD210" w14:textId="77777777" w:rsidR="0014798C" w:rsidRPr="00537489" w:rsidRDefault="004E1F0B">
      <w:pPr>
        <w:spacing w:before="76"/>
        <w:ind w:left="113"/>
        <w:rPr>
          <w:sz w:val="21"/>
          <w:lang w:val="en-US"/>
        </w:rPr>
      </w:pPr>
      <w:r>
        <w:rPr>
          <w:noProof/>
        </w:rPr>
        <w:lastRenderedPageBreak/>
        <w:drawing>
          <wp:anchor distT="0" distB="0" distL="0" distR="0" simplePos="0" relativeHeight="251658360" behindDoc="1" locked="0" layoutInCell="1" allowOverlap="1" wp14:anchorId="3C768C91" wp14:editId="2AFB7264">
            <wp:simplePos x="0" y="0"/>
            <wp:positionH relativeFrom="page">
              <wp:posOffset>0</wp:posOffset>
            </wp:positionH>
            <wp:positionV relativeFrom="page">
              <wp:posOffset>0</wp:posOffset>
            </wp:positionV>
            <wp:extent cx="7556500" cy="10680700"/>
            <wp:effectExtent l="0" t="0" r="0" b="0"/>
            <wp:wrapNone/>
            <wp:docPr id="52" name="Image 5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52" name="Image 52"/>
                    <pic:cNvPicPr/>
                  </pic:nvPicPr>
                  <pic:blipFill>
                    <a:blip r:embed="rId59" cstate="print"/>
                    <a:stretch>
                      <a:fillRect/>
                    </a:stretch>
                  </pic:blipFill>
                  <pic:spPr>
                    <a:xfrm>
                      <a:off x="0" y="0"/>
                      <a:ext cx="7556500" cy="10680700"/>
                    </a:xfrm>
                    <a:prstGeom prst="rect">
                      <a:avLst/>
                    </a:prstGeom>
                  </pic:spPr>
                </pic:pic>
              </a:graphicData>
            </a:graphic>
          </wp:anchor>
        </w:drawing>
      </w:r>
      <w:r w:rsidRPr="00537489">
        <w:rPr>
          <w:sz w:val="21"/>
          <w:lang w:val="en-US"/>
        </w:rPr>
        <w:t>Machine</w:t>
      </w:r>
      <w:r w:rsidRPr="00537489">
        <w:rPr>
          <w:spacing w:val="6"/>
          <w:sz w:val="21"/>
          <w:lang w:val="en-US"/>
        </w:rPr>
        <w:t xml:space="preserve"> </w:t>
      </w:r>
      <w:r w:rsidRPr="00537489">
        <w:rPr>
          <w:sz w:val="21"/>
          <w:lang w:val="en-US"/>
        </w:rPr>
        <w:t>Translated</w:t>
      </w:r>
      <w:r w:rsidRPr="00537489">
        <w:rPr>
          <w:spacing w:val="7"/>
          <w:sz w:val="21"/>
          <w:lang w:val="en-US"/>
        </w:rPr>
        <w:t xml:space="preserve"> </w:t>
      </w:r>
      <w:r w:rsidRPr="00537489">
        <w:rPr>
          <w:sz w:val="21"/>
          <w:lang w:val="en-US"/>
        </w:rPr>
        <w:t>by</w:t>
      </w:r>
      <w:r w:rsidRPr="00537489">
        <w:rPr>
          <w:spacing w:val="7"/>
          <w:sz w:val="21"/>
          <w:lang w:val="en-US"/>
        </w:rPr>
        <w:t xml:space="preserve"> </w:t>
      </w:r>
      <w:r w:rsidRPr="00537489">
        <w:rPr>
          <w:spacing w:val="-2"/>
          <w:sz w:val="21"/>
          <w:lang w:val="en-US"/>
        </w:rPr>
        <w:t>Google</w:t>
      </w:r>
    </w:p>
    <w:p w14:paraId="1FD980D0" w14:textId="77777777" w:rsidR="0014798C" w:rsidRPr="00537489" w:rsidRDefault="0014798C">
      <w:pPr>
        <w:pStyle w:val="Textoindependiente"/>
        <w:rPr>
          <w:sz w:val="32"/>
          <w:lang w:val="en-US"/>
        </w:rPr>
      </w:pPr>
    </w:p>
    <w:p w14:paraId="762F6C99" w14:textId="77777777" w:rsidR="0014798C" w:rsidRPr="00537489" w:rsidRDefault="0014798C">
      <w:pPr>
        <w:pStyle w:val="Textoindependiente"/>
        <w:rPr>
          <w:sz w:val="32"/>
          <w:lang w:val="en-US"/>
        </w:rPr>
      </w:pPr>
    </w:p>
    <w:p w14:paraId="14661CE6" w14:textId="77777777" w:rsidR="0014798C" w:rsidRPr="00537489" w:rsidRDefault="0014798C">
      <w:pPr>
        <w:pStyle w:val="Textoindependiente"/>
        <w:rPr>
          <w:sz w:val="32"/>
          <w:lang w:val="en-US"/>
        </w:rPr>
      </w:pPr>
    </w:p>
    <w:p w14:paraId="2C6F6C03" w14:textId="77777777" w:rsidR="0014798C" w:rsidRPr="00537489" w:rsidRDefault="0014798C">
      <w:pPr>
        <w:pStyle w:val="Textoindependiente"/>
        <w:rPr>
          <w:sz w:val="32"/>
          <w:lang w:val="en-US"/>
        </w:rPr>
      </w:pPr>
    </w:p>
    <w:p w14:paraId="498F7B5E" w14:textId="77777777" w:rsidR="0014798C" w:rsidRPr="00537489" w:rsidRDefault="0014798C">
      <w:pPr>
        <w:pStyle w:val="Textoindependiente"/>
        <w:rPr>
          <w:sz w:val="32"/>
          <w:lang w:val="en-US"/>
        </w:rPr>
      </w:pPr>
    </w:p>
    <w:p w14:paraId="207C9B8B" w14:textId="77777777" w:rsidR="0014798C" w:rsidRPr="00537489" w:rsidRDefault="0014798C">
      <w:pPr>
        <w:pStyle w:val="Textoindependiente"/>
        <w:rPr>
          <w:sz w:val="32"/>
          <w:lang w:val="en-US"/>
        </w:rPr>
      </w:pPr>
    </w:p>
    <w:p w14:paraId="6767E787" w14:textId="77777777" w:rsidR="0014798C" w:rsidRPr="00537489" w:rsidRDefault="0014798C">
      <w:pPr>
        <w:pStyle w:val="Textoindependiente"/>
        <w:rPr>
          <w:sz w:val="32"/>
          <w:lang w:val="en-US"/>
        </w:rPr>
      </w:pPr>
    </w:p>
    <w:p w14:paraId="182A238D" w14:textId="77777777" w:rsidR="0014798C" w:rsidRPr="00537489" w:rsidRDefault="0014798C">
      <w:pPr>
        <w:pStyle w:val="Textoindependiente"/>
        <w:rPr>
          <w:sz w:val="32"/>
          <w:lang w:val="en-US"/>
        </w:rPr>
      </w:pPr>
    </w:p>
    <w:p w14:paraId="23A29537" w14:textId="77777777" w:rsidR="0014798C" w:rsidRPr="00537489" w:rsidRDefault="0014798C">
      <w:pPr>
        <w:pStyle w:val="Textoindependiente"/>
        <w:rPr>
          <w:sz w:val="32"/>
          <w:lang w:val="en-US"/>
        </w:rPr>
      </w:pPr>
    </w:p>
    <w:p w14:paraId="2F433347" w14:textId="77777777" w:rsidR="0014798C" w:rsidRPr="00537489" w:rsidRDefault="0014798C">
      <w:pPr>
        <w:pStyle w:val="Textoindependiente"/>
        <w:rPr>
          <w:sz w:val="32"/>
          <w:lang w:val="en-US"/>
        </w:rPr>
      </w:pPr>
    </w:p>
    <w:p w14:paraId="4012EB88" w14:textId="77777777" w:rsidR="0014798C" w:rsidRPr="00537489" w:rsidRDefault="0014798C">
      <w:pPr>
        <w:pStyle w:val="Textoindependiente"/>
        <w:rPr>
          <w:sz w:val="32"/>
          <w:lang w:val="en-US"/>
        </w:rPr>
      </w:pPr>
    </w:p>
    <w:p w14:paraId="30E297D9" w14:textId="77777777" w:rsidR="0014798C" w:rsidRPr="00537489" w:rsidRDefault="0014798C">
      <w:pPr>
        <w:pStyle w:val="Textoindependiente"/>
        <w:rPr>
          <w:sz w:val="32"/>
          <w:lang w:val="en-US"/>
        </w:rPr>
      </w:pPr>
    </w:p>
    <w:p w14:paraId="7FE838B2" w14:textId="77777777" w:rsidR="0014798C" w:rsidRPr="00537489" w:rsidRDefault="0014798C">
      <w:pPr>
        <w:pStyle w:val="Textoindependiente"/>
        <w:rPr>
          <w:sz w:val="32"/>
          <w:lang w:val="en-US"/>
        </w:rPr>
      </w:pPr>
    </w:p>
    <w:p w14:paraId="0AD3EED7" w14:textId="77777777" w:rsidR="0014798C" w:rsidRPr="00537489" w:rsidRDefault="0014798C">
      <w:pPr>
        <w:pStyle w:val="Textoindependiente"/>
        <w:rPr>
          <w:sz w:val="32"/>
          <w:lang w:val="en-US"/>
        </w:rPr>
      </w:pPr>
    </w:p>
    <w:p w14:paraId="7F7E706A" w14:textId="77777777" w:rsidR="0014798C" w:rsidRPr="00537489" w:rsidRDefault="0014798C">
      <w:pPr>
        <w:pStyle w:val="Textoindependiente"/>
        <w:rPr>
          <w:sz w:val="32"/>
          <w:lang w:val="en-US"/>
        </w:rPr>
      </w:pPr>
    </w:p>
    <w:p w14:paraId="30AB8932" w14:textId="77777777" w:rsidR="0014798C" w:rsidRPr="00537489" w:rsidRDefault="0014798C">
      <w:pPr>
        <w:pStyle w:val="Textoindependiente"/>
        <w:rPr>
          <w:sz w:val="32"/>
          <w:lang w:val="en-US"/>
        </w:rPr>
      </w:pPr>
    </w:p>
    <w:p w14:paraId="3FBB1237" w14:textId="77777777" w:rsidR="0014798C" w:rsidRPr="00537489" w:rsidRDefault="0014798C">
      <w:pPr>
        <w:pStyle w:val="Textoindependiente"/>
        <w:rPr>
          <w:sz w:val="32"/>
          <w:lang w:val="en-US"/>
        </w:rPr>
      </w:pPr>
    </w:p>
    <w:p w14:paraId="06B693A9" w14:textId="77777777" w:rsidR="0014798C" w:rsidRPr="00537489" w:rsidRDefault="0014798C">
      <w:pPr>
        <w:pStyle w:val="Textoindependiente"/>
        <w:rPr>
          <w:sz w:val="32"/>
          <w:lang w:val="en-US"/>
        </w:rPr>
      </w:pPr>
    </w:p>
    <w:p w14:paraId="254B7F68" w14:textId="77777777" w:rsidR="0014798C" w:rsidRPr="00537489" w:rsidRDefault="0014798C">
      <w:pPr>
        <w:pStyle w:val="Textoindependiente"/>
        <w:rPr>
          <w:sz w:val="32"/>
          <w:lang w:val="en-US"/>
        </w:rPr>
      </w:pPr>
    </w:p>
    <w:p w14:paraId="5C63776B" w14:textId="77777777" w:rsidR="0014798C" w:rsidRPr="00537489" w:rsidRDefault="0014798C">
      <w:pPr>
        <w:pStyle w:val="Textoindependiente"/>
        <w:rPr>
          <w:sz w:val="32"/>
          <w:lang w:val="en-US"/>
        </w:rPr>
      </w:pPr>
    </w:p>
    <w:p w14:paraId="6EE93E60" w14:textId="77777777" w:rsidR="0014798C" w:rsidRPr="00537489" w:rsidRDefault="0014798C">
      <w:pPr>
        <w:pStyle w:val="Textoindependiente"/>
        <w:rPr>
          <w:sz w:val="32"/>
          <w:lang w:val="en-US"/>
        </w:rPr>
      </w:pPr>
    </w:p>
    <w:p w14:paraId="050AE868" w14:textId="77777777" w:rsidR="0014798C" w:rsidRPr="00537489" w:rsidRDefault="0014798C">
      <w:pPr>
        <w:pStyle w:val="Textoindependiente"/>
        <w:rPr>
          <w:sz w:val="32"/>
          <w:lang w:val="en-US"/>
        </w:rPr>
      </w:pPr>
    </w:p>
    <w:p w14:paraId="0E829741" w14:textId="77777777" w:rsidR="0014798C" w:rsidRPr="00537489" w:rsidRDefault="0014798C">
      <w:pPr>
        <w:pStyle w:val="Textoindependiente"/>
        <w:rPr>
          <w:sz w:val="32"/>
          <w:lang w:val="en-US"/>
        </w:rPr>
      </w:pPr>
    </w:p>
    <w:p w14:paraId="42F1584D" w14:textId="77777777" w:rsidR="0014798C" w:rsidRPr="00537489" w:rsidRDefault="0014798C">
      <w:pPr>
        <w:pStyle w:val="Textoindependiente"/>
        <w:rPr>
          <w:sz w:val="32"/>
          <w:lang w:val="en-US"/>
        </w:rPr>
      </w:pPr>
    </w:p>
    <w:p w14:paraId="3FD56AF3" w14:textId="77777777" w:rsidR="0014798C" w:rsidRPr="00537489" w:rsidRDefault="0014798C">
      <w:pPr>
        <w:pStyle w:val="Textoindependiente"/>
        <w:rPr>
          <w:sz w:val="32"/>
          <w:lang w:val="en-US"/>
        </w:rPr>
      </w:pPr>
    </w:p>
    <w:p w14:paraId="7974B21B" w14:textId="77777777" w:rsidR="0014798C" w:rsidRPr="00537489" w:rsidRDefault="0014798C">
      <w:pPr>
        <w:pStyle w:val="Textoindependiente"/>
        <w:rPr>
          <w:sz w:val="32"/>
          <w:lang w:val="en-US"/>
        </w:rPr>
      </w:pPr>
    </w:p>
    <w:p w14:paraId="0CE1C11B" w14:textId="77777777" w:rsidR="0014798C" w:rsidRPr="00537489" w:rsidRDefault="0014798C">
      <w:pPr>
        <w:pStyle w:val="Textoindependiente"/>
        <w:rPr>
          <w:sz w:val="32"/>
          <w:lang w:val="en-US"/>
        </w:rPr>
      </w:pPr>
    </w:p>
    <w:p w14:paraId="4BB9CFB2" w14:textId="77777777" w:rsidR="0014798C" w:rsidRPr="00537489" w:rsidRDefault="0014798C">
      <w:pPr>
        <w:pStyle w:val="Textoindependiente"/>
        <w:rPr>
          <w:sz w:val="32"/>
          <w:lang w:val="en-US"/>
        </w:rPr>
      </w:pPr>
    </w:p>
    <w:p w14:paraId="3261C3EB" w14:textId="77777777" w:rsidR="0014798C" w:rsidRPr="00537489" w:rsidRDefault="0014798C">
      <w:pPr>
        <w:pStyle w:val="Textoindependiente"/>
        <w:rPr>
          <w:sz w:val="32"/>
          <w:lang w:val="en-US"/>
        </w:rPr>
      </w:pPr>
    </w:p>
    <w:p w14:paraId="6BA5E98E" w14:textId="77777777" w:rsidR="0014798C" w:rsidRPr="00537489" w:rsidRDefault="0014798C">
      <w:pPr>
        <w:pStyle w:val="Textoindependiente"/>
        <w:rPr>
          <w:sz w:val="32"/>
          <w:lang w:val="en-US"/>
        </w:rPr>
      </w:pPr>
    </w:p>
    <w:p w14:paraId="56FDEEF6" w14:textId="77777777" w:rsidR="0014798C" w:rsidRPr="00537489" w:rsidRDefault="0014798C">
      <w:pPr>
        <w:pStyle w:val="Textoindependiente"/>
        <w:rPr>
          <w:sz w:val="32"/>
          <w:lang w:val="en-US"/>
        </w:rPr>
      </w:pPr>
    </w:p>
    <w:p w14:paraId="66C52F4D" w14:textId="77777777" w:rsidR="0014798C" w:rsidRPr="00537489" w:rsidRDefault="0014798C">
      <w:pPr>
        <w:pStyle w:val="Textoindependiente"/>
        <w:rPr>
          <w:sz w:val="32"/>
          <w:lang w:val="en-US"/>
        </w:rPr>
      </w:pPr>
    </w:p>
    <w:p w14:paraId="35B4984E" w14:textId="77777777" w:rsidR="0014798C" w:rsidRPr="00537489" w:rsidRDefault="0014798C">
      <w:pPr>
        <w:pStyle w:val="Textoindependiente"/>
        <w:rPr>
          <w:sz w:val="32"/>
          <w:lang w:val="en-US"/>
        </w:rPr>
      </w:pPr>
    </w:p>
    <w:p w14:paraId="6C43C16C" w14:textId="77777777" w:rsidR="0014798C" w:rsidRPr="00537489" w:rsidRDefault="0014798C">
      <w:pPr>
        <w:pStyle w:val="Textoindependiente"/>
        <w:rPr>
          <w:sz w:val="32"/>
          <w:lang w:val="en-US"/>
        </w:rPr>
      </w:pPr>
    </w:p>
    <w:p w14:paraId="7E604B4F" w14:textId="77777777" w:rsidR="0014798C" w:rsidRPr="00537489" w:rsidRDefault="0014798C">
      <w:pPr>
        <w:pStyle w:val="Textoindependiente"/>
        <w:rPr>
          <w:sz w:val="32"/>
          <w:lang w:val="en-US"/>
        </w:rPr>
      </w:pPr>
    </w:p>
    <w:p w14:paraId="4F36184C" w14:textId="77777777" w:rsidR="0014798C" w:rsidRPr="00537489" w:rsidRDefault="0014798C">
      <w:pPr>
        <w:pStyle w:val="Textoindependiente"/>
        <w:rPr>
          <w:sz w:val="32"/>
          <w:lang w:val="en-US"/>
        </w:rPr>
      </w:pPr>
    </w:p>
    <w:p w14:paraId="694F0C86" w14:textId="77777777" w:rsidR="0014798C" w:rsidRPr="00537489" w:rsidRDefault="0014798C">
      <w:pPr>
        <w:pStyle w:val="Textoindependiente"/>
        <w:spacing w:before="125"/>
        <w:rPr>
          <w:sz w:val="32"/>
          <w:lang w:val="en-US"/>
        </w:rPr>
      </w:pPr>
    </w:p>
    <w:p w14:paraId="18A0669F" w14:textId="77777777" w:rsidR="0014798C" w:rsidRDefault="004E1F0B">
      <w:pPr>
        <w:ind w:left="1188"/>
        <w:rPr>
          <w:sz w:val="32"/>
        </w:rPr>
      </w:pPr>
      <w:bookmarkStart w:id="7" w:name="obligaciones"/>
      <w:r>
        <w:rPr>
          <w:color w:val="009EDB"/>
          <w:sz w:val="32"/>
        </w:rPr>
        <w:t>PARTE</w:t>
      </w:r>
      <w:r>
        <w:rPr>
          <w:color w:val="009EDB"/>
          <w:spacing w:val="7"/>
          <w:sz w:val="32"/>
        </w:rPr>
        <w:t xml:space="preserve"> </w:t>
      </w:r>
      <w:r>
        <w:rPr>
          <w:color w:val="009EDB"/>
          <w:spacing w:val="-4"/>
          <w:sz w:val="32"/>
        </w:rPr>
        <w:t>UNO:</w:t>
      </w:r>
    </w:p>
    <w:p w14:paraId="5C8D917D" w14:textId="77777777" w:rsidR="0014798C" w:rsidRDefault="004E1F0B">
      <w:pPr>
        <w:spacing w:before="366"/>
        <w:ind w:left="1117"/>
        <w:rPr>
          <w:sz w:val="32"/>
        </w:rPr>
      </w:pPr>
      <w:r>
        <w:rPr>
          <w:color w:val="FFFFFF"/>
          <w:sz w:val="32"/>
        </w:rPr>
        <w:t>OBLIGACIONES</w:t>
      </w:r>
      <w:r>
        <w:rPr>
          <w:color w:val="FFFFFF"/>
          <w:spacing w:val="-6"/>
          <w:sz w:val="32"/>
        </w:rPr>
        <w:t xml:space="preserve"> </w:t>
      </w:r>
      <w:r>
        <w:rPr>
          <w:color w:val="FFFFFF"/>
          <w:sz w:val="32"/>
        </w:rPr>
        <w:t>DEL</w:t>
      </w:r>
      <w:r>
        <w:rPr>
          <w:color w:val="FFFFFF"/>
          <w:spacing w:val="-6"/>
          <w:sz w:val="32"/>
        </w:rPr>
        <w:t xml:space="preserve"> </w:t>
      </w:r>
      <w:r>
        <w:rPr>
          <w:color w:val="FFFFFF"/>
          <w:sz w:val="32"/>
        </w:rPr>
        <w:t>ESTADO</w:t>
      </w:r>
      <w:r>
        <w:rPr>
          <w:color w:val="FFFFFF"/>
          <w:spacing w:val="-6"/>
          <w:sz w:val="32"/>
        </w:rPr>
        <w:t xml:space="preserve"> </w:t>
      </w:r>
      <w:r>
        <w:rPr>
          <w:color w:val="FFFFFF"/>
          <w:sz w:val="32"/>
        </w:rPr>
        <w:t>PARA</w:t>
      </w:r>
      <w:r>
        <w:rPr>
          <w:color w:val="FFFFFF"/>
          <w:spacing w:val="-6"/>
          <w:sz w:val="32"/>
        </w:rPr>
        <w:t xml:space="preserve"> </w:t>
      </w:r>
      <w:r>
        <w:rPr>
          <w:color w:val="FFFFFF"/>
          <w:spacing w:val="-2"/>
          <w:sz w:val="32"/>
        </w:rPr>
        <w:t>DECLARAR</w:t>
      </w:r>
    </w:p>
    <w:p w14:paraId="76CD189B" w14:textId="77777777" w:rsidR="00885BC2" w:rsidRDefault="005C5A91">
      <w:pPr>
        <w:pStyle w:val="Ttulo4"/>
        <w:spacing w:before="76" w:line="264" w:lineRule="auto"/>
        <w:ind w:right="4198" w:hanging="18"/>
        <w:rPr>
          <w:color w:val="FFFFFF"/>
        </w:rPr>
      </w:pPr>
      <w:r>
        <w:rPr>
          <w:color w:val="FFFFFF"/>
        </w:rPr>
        <w:t>LEYES INTEGRALES</w:t>
      </w:r>
    </w:p>
    <w:p w14:paraId="3E135D4C" w14:textId="411FAA17" w:rsidR="0014798C" w:rsidRDefault="004E1F0B">
      <w:pPr>
        <w:pStyle w:val="Ttulo4"/>
        <w:spacing w:before="76" w:line="264" w:lineRule="auto"/>
        <w:ind w:right="4198" w:hanging="18"/>
      </w:pPr>
      <w:r>
        <w:rPr>
          <w:color w:val="FFFFFF"/>
        </w:rPr>
        <w:t xml:space="preserve">ANTIDISCRIMINACIÓN </w:t>
      </w:r>
    </w:p>
    <w:bookmarkEnd w:id="7"/>
    <w:p w14:paraId="07EF143D" w14:textId="77777777" w:rsidR="0014798C" w:rsidRDefault="0014798C">
      <w:pPr>
        <w:spacing w:line="264" w:lineRule="auto"/>
        <w:sectPr w:rsidR="0014798C" w:rsidSect="00F265E4">
          <w:headerReference w:type="default" r:id="rId60"/>
          <w:pgSz w:w="11900" w:h="16820"/>
          <w:pgMar w:top="40" w:right="0" w:bottom="280" w:left="200" w:header="0" w:footer="0" w:gutter="0"/>
          <w:cols w:space="720"/>
        </w:sectPr>
      </w:pPr>
    </w:p>
    <w:p w14:paraId="79E823A6" w14:textId="77777777" w:rsidR="0014798C" w:rsidRDefault="004E1F0B">
      <w:pPr>
        <w:pStyle w:val="Textoindependiente"/>
        <w:rPr>
          <w:sz w:val="10"/>
        </w:rPr>
      </w:pPr>
      <w:r>
        <w:rPr>
          <w:noProof/>
        </w:rPr>
        <w:lastRenderedPageBreak/>
        <w:drawing>
          <wp:anchor distT="0" distB="0" distL="0" distR="0" simplePos="0" relativeHeight="251658361" behindDoc="1" locked="0" layoutInCell="1" allowOverlap="1" wp14:anchorId="0B602665" wp14:editId="02ADAFC9">
            <wp:simplePos x="0" y="0"/>
            <wp:positionH relativeFrom="page">
              <wp:posOffset>0</wp:posOffset>
            </wp:positionH>
            <wp:positionV relativeFrom="page">
              <wp:posOffset>1073911</wp:posOffset>
            </wp:positionV>
            <wp:extent cx="7556500" cy="9606788"/>
            <wp:effectExtent l="0" t="0" r="0" b="0"/>
            <wp:wrapNone/>
            <wp:docPr id="54" name="Image 5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54" name="Image 54"/>
                    <pic:cNvPicPr/>
                  </pic:nvPicPr>
                  <pic:blipFill>
                    <a:blip r:embed="rId61" cstate="print"/>
                    <a:stretch>
                      <a:fillRect/>
                    </a:stretch>
                  </pic:blipFill>
                  <pic:spPr>
                    <a:xfrm>
                      <a:off x="0" y="0"/>
                      <a:ext cx="7556500" cy="9606788"/>
                    </a:xfrm>
                    <a:prstGeom prst="rect">
                      <a:avLst/>
                    </a:prstGeom>
                  </pic:spPr>
                </pic:pic>
              </a:graphicData>
            </a:graphic>
          </wp:anchor>
        </w:drawing>
      </w:r>
    </w:p>
    <w:p w14:paraId="59ACA00C" w14:textId="77777777" w:rsidR="0014798C" w:rsidRDefault="0014798C">
      <w:pPr>
        <w:pStyle w:val="Textoindependiente"/>
        <w:spacing w:before="4"/>
        <w:rPr>
          <w:sz w:val="10"/>
        </w:rPr>
      </w:pPr>
    </w:p>
    <w:p w14:paraId="4E84D93B" w14:textId="77777777" w:rsidR="0014798C" w:rsidRDefault="004E1F0B">
      <w:pPr>
        <w:ind w:left="1111"/>
        <w:rPr>
          <w:sz w:val="10"/>
        </w:rPr>
      </w:pPr>
      <w:r>
        <w:rPr>
          <w:color w:val="009EDB"/>
          <w:w w:val="105"/>
          <w:sz w:val="10"/>
        </w:rPr>
        <w:t>PRIMERA</w:t>
      </w:r>
      <w:r>
        <w:rPr>
          <w:color w:val="009EDB"/>
          <w:spacing w:val="3"/>
          <w:w w:val="105"/>
          <w:sz w:val="10"/>
        </w:rPr>
        <w:t xml:space="preserve"> </w:t>
      </w:r>
      <w:r>
        <w:rPr>
          <w:color w:val="009EDB"/>
          <w:w w:val="105"/>
          <w:sz w:val="10"/>
        </w:rPr>
        <w:t>PARTE:</w:t>
      </w:r>
      <w:r>
        <w:rPr>
          <w:color w:val="009EDB"/>
          <w:spacing w:val="2"/>
          <w:w w:val="105"/>
          <w:sz w:val="10"/>
        </w:rPr>
        <w:t xml:space="preserve"> </w:t>
      </w:r>
      <w:r>
        <w:rPr>
          <w:color w:val="009EDB"/>
          <w:w w:val="105"/>
          <w:sz w:val="10"/>
        </w:rPr>
        <w:t>OBLIGACIONES</w:t>
      </w:r>
      <w:r>
        <w:rPr>
          <w:color w:val="009EDB"/>
          <w:spacing w:val="4"/>
          <w:w w:val="105"/>
          <w:sz w:val="10"/>
        </w:rPr>
        <w:t xml:space="preserve"> </w:t>
      </w:r>
      <w:r>
        <w:rPr>
          <w:color w:val="009EDB"/>
          <w:w w:val="105"/>
          <w:sz w:val="10"/>
        </w:rPr>
        <w:t>DE</w:t>
      </w:r>
      <w:r>
        <w:rPr>
          <w:color w:val="009EDB"/>
          <w:spacing w:val="2"/>
          <w:w w:val="105"/>
          <w:sz w:val="10"/>
        </w:rPr>
        <w:t xml:space="preserve"> </w:t>
      </w:r>
      <w:r>
        <w:rPr>
          <w:color w:val="009EDB"/>
          <w:w w:val="105"/>
          <w:sz w:val="10"/>
        </w:rPr>
        <w:t>LOS</w:t>
      </w:r>
      <w:r>
        <w:rPr>
          <w:color w:val="009EDB"/>
          <w:spacing w:val="2"/>
          <w:w w:val="105"/>
          <w:sz w:val="10"/>
        </w:rPr>
        <w:t xml:space="preserve"> </w:t>
      </w:r>
      <w:r>
        <w:rPr>
          <w:color w:val="009EDB"/>
          <w:w w:val="105"/>
          <w:sz w:val="10"/>
        </w:rPr>
        <w:t>ESTADOS</w:t>
      </w:r>
      <w:r>
        <w:rPr>
          <w:color w:val="009EDB"/>
          <w:spacing w:val="4"/>
          <w:w w:val="105"/>
          <w:sz w:val="10"/>
        </w:rPr>
        <w:t xml:space="preserve"> </w:t>
      </w:r>
      <w:r>
        <w:rPr>
          <w:color w:val="009EDB"/>
          <w:w w:val="105"/>
          <w:sz w:val="10"/>
        </w:rPr>
        <w:t>PARA</w:t>
      </w:r>
      <w:r>
        <w:rPr>
          <w:color w:val="009EDB"/>
          <w:spacing w:val="2"/>
          <w:w w:val="105"/>
          <w:sz w:val="10"/>
        </w:rPr>
        <w:t xml:space="preserve"> </w:t>
      </w:r>
      <w:r>
        <w:rPr>
          <w:color w:val="009EDB"/>
          <w:w w:val="105"/>
          <w:sz w:val="10"/>
        </w:rPr>
        <w:t>PROMULGAR</w:t>
      </w:r>
      <w:r>
        <w:rPr>
          <w:color w:val="009EDB"/>
          <w:spacing w:val="3"/>
          <w:w w:val="105"/>
          <w:sz w:val="10"/>
        </w:rPr>
        <w:t xml:space="preserve"> </w:t>
      </w:r>
      <w:r>
        <w:rPr>
          <w:color w:val="009EDB"/>
          <w:w w:val="105"/>
          <w:sz w:val="10"/>
        </w:rPr>
        <w:t>UNA</w:t>
      </w:r>
      <w:r>
        <w:rPr>
          <w:color w:val="009EDB"/>
          <w:spacing w:val="3"/>
          <w:w w:val="105"/>
          <w:sz w:val="10"/>
        </w:rPr>
        <w:t xml:space="preserve"> </w:t>
      </w:r>
      <w:r>
        <w:rPr>
          <w:color w:val="009EDB"/>
          <w:w w:val="105"/>
          <w:sz w:val="10"/>
        </w:rPr>
        <w:t>LEY</w:t>
      </w:r>
      <w:r>
        <w:rPr>
          <w:color w:val="009EDB"/>
          <w:spacing w:val="2"/>
          <w:w w:val="105"/>
          <w:sz w:val="10"/>
        </w:rPr>
        <w:t xml:space="preserve"> </w:t>
      </w:r>
      <w:r>
        <w:rPr>
          <w:color w:val="009EDB"/>
          <w:w w:val="105"/>
          <w:sz w:val="10"/>
        </w:rPr>
        <w:t>INTEGRAL</w:t>
      </w:r>
      <w:r>
        <w:rPr>
          <w:color w:val="009EDB"/>
          <w:spacing w:val="3"/>
          <w:w w:val="105"/>
          <w:sz w:val="10"/>
        </w:rPr>
        <w:t xml:space="preserve"> </w:t>
      </w:r>
      <w:r>
        <w:rPr>
          <w:color w:val="009EDB"/>
          <w:w w:val="105"/>
          <w:sz w:val="10"/>
        </w:rPr>
        <w:t>CONTRA</w:t>
      </w:r>
      <w:r>
        <w:rPr>
          <w:color w:val="009EDB"/>
          <w:spacing w:val="3"/>
          <w:w w:val="105"/>
          <w:sz w:val="10"/>
        </w:rPr>
        <w:t xml:space="preserve"> </w:t>
      </w:r>
      <w:r>
        <w:rPr>
          <w:color w:val="009EDB"/>
          <w:w w:val="105"/>
          <w:sz w:val="10"/>
        </w:rPr>
        <w:t>LA</w:t>
      </w:r>
      <w:r>
        <w:rPr>
          <w:color w:val="009EDB"/>
          <w:spacing w:val="2"/>
          <w:w w:val="105"/>
          <w:sz w:val="10"/>
        </w:rPr>
        <w:t xml:space="preserve"> </w:t>
      </w:r>
      <w:r>
        <w:rPr>
          <w:color w:val="009EDB"/>
          <w:spacing w:val="-2"/>
          <w:w w:val="105"/>
          <w:sz w:val="10"/>
        </w:rPr>
        <w:t>DISCRIMINACIÓN</w:t>
      </w:r>
    </w:p>
    <w:p w14:paraId="598E8359" w14:textId="77777777" w:rsidR="0014798C" w:rsidRDefault="0014798C">
      <w:pPr>
        <w:pStyle w:val="Textoindependiente"/>
        <w:rPr>
          <w:sz w:val="15"/>
        </w:rPr>
      </w:pPr>
    </w:p>
    <w:p w14:paraId="4B51E225" w14:textId="77777777" w:rsidR="0014798C" w:rsidRDefault="0014798C">
      <w:pPr>
        <w:pStyle w:val="Textoindependiente"/>
        <w:rPr>
          <w:sz w:val="15"/>
        </w:rPr>
      </w:pPr>
    </w:p>
    <w:p w14:paraId="1F5D861A" w14:textId="77777777" w:rsidR="0014798C" w:rsidRDefault="0014798C">
      <w:pPr>
        <w:pStyle w:val="Textoindependiente"/>
        <w:rPr>
          <w:sz w:val="15"/>
        </w:rPr>
      </w:pPr>
    </w:p>
    <w:p w14:paraId="61EE530F" w14:textId="77777777" w:rsidR="0014798C" w:rsidRDefault="0014798C">
      <w:pPr>
        <w:pStyle w:val="Textoindependiente"/>
        <w:rPr>
          <w:sz w:val="15"/>
        </w:rPr>
      </w:pPr>
    </w:p>
    <w:p w14:paraId="0EF54875" w14:textId="77777777" w:rsidR="0014798C" w:rsidRDefault="0014798C">
      <w:pPr>
        <w:pStyle w:val="Textoindependiente"/>
        <w:spacing w:before="128"/>
        <w:rPr>
          <w:sz w:val="15"/>
        </w:rPr>
      </w:pPr>
    </w:p>
    <w:p w14:paraId="72E97A75" w14:textId="77777777" w:rsidR="0014798C" w:rsidRDefault="004E1F0B">
      <w:pPr>
        <w:ind w:left="1106"/>
        <w:rPr>
          <w:sz w:val="15"/>
        </w:rPr>
      </w:pPr>
      <w:r>
        <w:rPr>
          <w:sz w:val="15"/>
        </w:rPr>
        <w:t>Los</w:t>
      </w:r>
      <w:r>
        <w:rPr>
          <w:spacing w:val="1"/>
          <w:sz w:val="15"/>
        </w:rPr>
        <w:t xml:space="preserve"> </w:t>
      </w:r>
      <w:r>
        <w:rPr>
          <w:sz w:val="15"/>
        </w:rPr>
        <w:t>derechos</w:t>
      </w:r>
      <w:r>
        <w:rPr>
          <w:spacing w:val="2"/>
          <w:sz w:val="15"/>
        </w:rPr>
        <w:t xml:space="preserve"> </w:t>
      </w:r>
      <w:r>
        <w:rPr>
          <w:sz w:val="15"/>
        </w:rPr>
        <w:t>a</w:t>
      </w:r>
      <w:r>
        <w:rPr>
          <w:spacing w:val="1"/>
          <w:sz w:val="15"/>
        </w:rPr>
        <w:t xml:space="preserve"> </w:t>
      </w:r>
      <w:r>
        <w:rPr>
          <w:sz w:val="15"/>
        </w:rPr>
        <w:t>la</w:t>
      </w:r>
      <w:r>
        <w:rPr>
          <w:spacing w:val="2"/>
          <w:sz w:val="15"/>
        </w:rPr>
        <w:t xml:space="preserve"> </w:t>
      </w:r>
      <w:r>
        <w:rPr>
          <w:sz w:val="15"/>
        </w:rPr>
        <w:t>igualdad</w:t>
      </w:r>
      <w:r>
        <w:rPr>
          <w:spacing w:val="2"/>
          <w:sz w:val="15"/>
        </w:rPr>
        <w:t xml:space="preserve"> </w:t>
      </w:r>
      <w:r>
        <w:rPr>
          <w:sz w:val="15"/>
        </w:rPr>
        <w:t>y</w:t>
      </w:r>
      <w:r>
        <w:rPr>
          <w:spacing w:val="1"/>
          <w:sz w:val="15"/>
        </w:rPr>
        <w:t xml:space="preserve"> </w:t>
      </w:r>
      <w:r>
        <w:rPr>
          <w:sz w:val="15"/>
        </w:rPr>
        <w:t>a</w:t>
      </w:r>
      <w:r>
        <w:rPr>
          <w:spacing w:val="2"/>
          <w:sz w:val="15"/>
        </w:rPr>
        <w:t xml:space="preserve"> </w:t>
      </w:r>
      <w:r>
        <w:rPr>
          <w:sz w:val="15"/>
        </w:rPr>
        <w:t>la</w:t>
      </w:r>
      <w:r>
        <w:rPr>
          <w:spacing w:val="2"/>
          <w:sz w:val="15"/>
        </w:rPr>
        <w:t xml:space="preserve"> </w:t>
      </w:r>
      <w:r>
        <w:rPr>
          <w:sz w:val="15"/>
        </w:rPr>
        <w:t>no</w:t>
      </w:r>
      <w:r>
        <w:rPr>
          <w:spacing w:val="1"/>
          <w:sz w:val="15"/>
        </w:rPr>
        <w:t xml:space="preserve"> </w:t>
      </w:r>
      <w:r>
        <w:rPr>
          <w:sz w:val="15"/>
        </w:rPr>
        <w:t>discriminación</w:t>
      </w:r>
      <w:r>
        <w:rPr>
          <w:spacing w:val="2"/>
          <w:sz w:val="15"/>
        </w:rPr>
        <w:t xml:space="preserve"> </w:t>
      </w:r>
      <w:r>
        <w:rPr>
          <w:sz w:val="15"/>
        </w:rPr>
        <w:t>son</w:t>
      </w:r>
      <w:r>
        <w:rPr>
          <w:spacing w:val="2"/>
          <w:sz w:val="15"/>
        </w:rPr>
        <w:t xml:space="preserve"> </w:t>
      </w:r>
      <w:r>
        <w:rPr>
          <w:sz w:val="15"/>
        </w:rPr>
        <w:t>componentes</w:t>
      </w:r>
      <w:r>
        <w:rPr>
          <w:spacing w:val="1"/>
          <w:sz w:val="15"/>
        </w:rPr>
        <w:t xml:space="preserve"> </w:t>
      </w:r>
      <w:r>
        <w:rPr>
          <w:sz w:val="15"/>
        </w:rPr>
        <w:t>fundamentales</w:t>
      </w:r>
      <w:r>
        <w:rPr>
          <w:spacing w:val="2"/>
          <w:sz w:val="15"/>
        </w:rPr>
        <w:t xml:space="preserve"> </w:t>
      </w:r>
      <w:r>
        <w:rPr>
          <w:sz w:val="15"/>
        </w:rPr>
        <w:t>del</w:t>
      </w:r>
      <w:r>
        <w:rPr>
          <w:spacing w:val="1"/>
          <w:sz w:val="15"/>
        </w:rPr>
        <w:t xml:space="preserve"> </w:t>
      </w:r>
      <w:r>
        <w:rPr>
          <w:sz w:val="15"/>
        </w:rPr>
        <w:t>derecho</w:t>
      </w:r>
      <w:r>
        <w:rPr>
          <w:spacing w:val="2"/>
          <w:sz w:val="15"/>
        </w:rPr>
        <w:t xml:space="preserve"> </w:t>
      </w:r>
      <w:r>
        <w:rPr>
          <w:sz w:val="15"/>
        </w:rPr>
        <w:t>internacional</w:t>
      </w:r>
      <w:r>
        <w:rPr>
          <w:spacing w:val="2"/>
          <w:sz w:val="15"/>
        </w:rPr>
        <w:t xml:space="preserve"> </w:t>
      </w:r>
      <w:r>
        <w:rPr>
          <w:sz w:val="15"/>
        </w:rPr>
        <w:t>de</w:t>
      </w:r>
      <w:r>
        <w:rPr>
          <w:spacing w:val="1"/>
          <w:sz w:val="15"/>
        </w:rPr>
        <w:t xml:space="preserve"> </w:t>
      </w:r>
      <w:r>
        <w:rPr>
          <w:sz w:val="15"/>
        </w:rPr>
        <w:t>los</w:t>
      </w:r>
      <w:r>
        <w:rPr>
          <w:spacing w:val="2"/>
          <w:sz w:val="15"/>
        </w:rPr>
        <w:t xml:space="preserve"> </w:t>
      </w:r>
      <w:r>
        <w:rPr>
          <w:sz w:val="15"/>
        </w:rPr>
        <w:t>derechos</w:t>
      </w:r>
      <w:r>
        <w:rPr>
          <w:spacing w:val="2"/>
          <w:sz w:val="15"/>
        </w:rPr>
        <w:t xml:space="preserve"> </w:t>
      </w:r>
      <w:r>
        <w:rPr>
          <w:spacing w:val="-2"/>
          <w:sz w:val="15"/>
        </w:rPr>
        <w:t>humanos.</w:t>
      </w:r>
    </w:p>
    <w:p w14:paraId="020BBF10" w14:textId="77777777" w:rsidR="0014798C" w:rsidRDefault="0014798C">
      <w:pPr>
        <w:pStyle w:val="Textoindependiente"/>
        <w:spacing w:before="78"/>
      </w:pPr>
    </w:p>
    <w:p w14:paraId="17AD734D" w14:textId="77777777" w:rsidR="0014798C" w:rsidRDefault="004E1F0B">
      <w:pPr>
        <w:pStyle w:val="Textoindependiente"/>
        <w:spacing w:line="326" w:lineRule="auto"/>
        <w:ind w:left="1107" w:right="1418" w:hanging="1"/>
      </w:pPr>
      <w:r>
        <w:rPr>
          <w:noProof/>
        </w:rPr>
        <mc:AlternateContent>
          <mc:Choice Requires="wps">
            <w:drawing>
              <wp:anchor distT="0" distB="0" distL="0" distR="0" simplePos="0" relativeHeight="251658240" behindDoc="0" locked="0" layoutInCell="1" allowOverlap="1" wp14:anchorId="5C3D633F" wp14:editId="3A154EB1">
                <wp:simplePos x="0" y="0"/>
                <wp:positionH relativeFrom="page">
                  <wp:posOffset>7301499</wp:posOffset>
                </wp:positionH>
                <wp:positionV relativeFrom="paragraph">
                  <wp:posOffset>263768</wp:posOffset>
                </wp:positionV>
                <wp:extent cx="97790" cy="241300"/>
                <wp:effectExtent l="0" t="0" r="0" b="0"/>
                <wp:wrapNone/>
                <wp:docPr id="55" name="Textbox 5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97790" cy="241300"/>
                        </a:xfrm>
                        <a:prstGeom prst="rect">
                          <a:avLst/>
                        </a:prstGeom>
                      </wps:spPr>
                      <wps:txbx>
                        <w:txbxContent>
                          <w:p w14:paraId="410A48C4" w14:textId="77777777" w:rsidR="0014798C" w:rsidRDefault="004E1F0B">
                            <w:pPr>
                              <w:spacing w:before="18"/>
                              <w:ind w:left="20"/>
                              <w:rPr>
                                <w:sz w:val="10"/>
                              </w:rPr>
                            </w:pPr>
                            <w:r>
                              <w:rPr>
                                <w:color w:val="FFFFFF"/>
                                <w:spacing w:val="-27"/>
                                <w:sz w:val="10"/>
                              </w:rPr>
                              <w:t>UPANROTE</w:t>
                            </w:r>
                          </w:p>
                        </w:txbxContent>
                      </wps:txbx>
                      <wps:bodyPr vert="vert270" wrap="square" lIns="0" tIns="0" rIns="0" bIns="0" rtlCol="0">
                        <a:noAutofit/>
                      </wps:bodyPr>
                    </wps:wsp>
                  </a:graphicData>
                </a:graphic>
              </wp:anchor>
            </w:drawing>
          </mc:Choice>
          <mc:Fallback>
            <w:pict>
              <v:shape w14:anchorId="5C3D633F" id="Textbox 55" o:spid="_x0000_s1041" type="#_x0000_t202" style="position:absolute;left:0;text-align:left;margin-left:574.9pt;margin-top:20.75pt;width:7.7pt;height:19pt;z-index:251658240;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" filled="f" stroked="f">
                <v:textbox style="layout-flow:vertical;mso-layout-flow-alt:bottom-to-top" inset="0,0,0,0">
                  <w:txbxContent>
                    <w:p w14:paraId="410A48C4" w14:textId="77777777" w:rsidR="0014798C" w:rsidRDefault="004E1F0B">
                      <w:pPr>
                        <w:spacing w:before="18"/>
                        <w:ind w:left="20"/>
                        <w:rPr>
                          <w:sz w:val="10"/>
                        </w:rPr>
                      </w:pPr>
                      <w:r>
                        <w:rPr>
                          <w:color w:val="FFFFFF"/>
                          <w:spacing w:val="-27"/>
                          <w:sz w:val="10"/>
                        </w:rPr>
                        <w:t>UPANROTE</w:t>
                      </w:r>
                    </w:p>
                  </w:txbxContent>
                </v:textbox>
                <w10:wrap anchorx="page"/>
              </v:shape>
            </w:pict>
          </mc:Fallback>
        </mc:AlternateContent>
      </w:r>
      <w:r>
        <w:t xml:space="preserve">A medida que la comprensión de estos derechos ha ido evolucionando gracias a la labor de los órganos creados en virtud de tratados de derechos humanos de las Naciones </w:t>
      </w:r>
      <w:proofErr w:type="gramStart"/>
      <w:r>
        <w:t>Unidas ,</w:t>
      </w:r>
      <w:proofErr w:type="gramEnd"/>
      <w:r>
        <w:t xml:space="preserve"> se ha reconocido que una protección eficaz contra la discriminación requiere</w:t>
      </w:r>
      <w:r>
        <w:rPr>
          <w:spacing w:val="13"/>
        </w:rPr>
        <w:t xml:space="preserve"> </w:t>
      </w:r>
      <w:r>
        <w:t>la</w:t>
      </w:r>
      <w:r>
        <w:rPr>
          <w:spacing w:val="13"/>
        </w:rPr>
        <w:t xml:space="preserve"> </w:t>
      </w:r>
      <w:r>
        <w:t>adopción</w:t>
      </w:r>
      <w:r>
        <w:rPr>
          <w:spacing w:val="13"/>
        </w:rPr>
        <w:t xml:space="preserve"> </w:t>
      </w:r>
      <w:r>
        <w:t>de</w:t>
      </w:r>
      <w:r>
        <w:rPr>
          <w:spacing w:val="13"/>
        </w:rPr>
        <w:t xml:space="preserve"> </w:t>
      </w:r>
      <w:r>
        <w:t>una</w:t>
      </w:r>
      <w:r>
        <w:rPr>
          <w:spacing w:val="13"/>
        </w:rPr>
        <w:t xml:space="preserve"> </w:t>
      </w:r>
      <w:r>
        <w:t>legislación</w:t>
      </w:r>
      <w:r>
        <w:rPr>
          <w:spacing w:val="13"/>
        </w:rPr>
        <w:t xml:space="preserve"> </w:t>
      </w:r>
      <w:r>
        <w:t>integral</w:t>
      </w:r>
      <w:r>
        <w:rPr>
          <w:spacing w:val="13"/>
        </w:rPr>
        <w:t xml:space="preserve"> </w:t>
      </w:r>
      <w:r>
        <w:t>contra</w:t>
      </w:r>
      <w:r>
        <w:rPr>
          <w:spacing w:val="13"/>
        </w:rPr>
        <w:t xml:space="preserve"> </w:t>
      </w:r>
      <w:r>
        <w:t>la</w:t>
      </w:r>
      <w:r>
        <w:rPr>
          <w:spacing w:val="13"/>
        </w:rPr>
        <w:t xml:space="preserve"> </w:t>
      </w:r>
      <w:r>
        <w:t>discriminación.</w:t>
      </w:r>
      <w:r>
        <w:rPr>
          <w:spacing w:val="16"/>
        </w:rPr>
        <w:t xml:space="preserve"> </w:t>
      </w:r>
      <w:r>
        <w:t>En</w:t>
      </w:r>
      <w:r>
        <w:rPr>
          <w:spacing w:val="13"/>
        </w:rPr>
        <w:t xml:space="preserve"> </w:t>
      </w:r>
      <w:r>
        <w:t>el</w:t>
      </w:r>
      <w:r>
        <w:rPr>
          <w:spacing w:val="13"/>
        </w:rPr>
        <w:t xml:space="preserve"> </w:t>
      </w:r>
      <w:r>
        <w:t>cambio</w:t>
      </w:r>
      <w:r>
        <w:rPr>
          <w:spacing w:val="13"/>
        </w:rPr>
        <w:t xml:space="preserve"> </w:t>
      </w:r>
      <w:r>
        <w:t>de</w:t>
      </w:r>
      <w:r>
        <w:rPr>
          <w:spacing w:val="13"/>
        </w:rPr>
        <w:t xml:space="preserve"> </w:t>
      </w:r>
      <w:r>
        <w:t>milenio,</w:t>
      </w:r>
      <w:r>
        <w:rPr>
          <w:spacing w:val="15"/>
        </w:rPr>
        <w:t xml:space="preserve"> </w:t>
      </w:r>
      <w:r>
        <w:t>sólo</w:t>
      </w:r>
      <w:r>
        <w:rPr>
          <w:spacing w:val="13"/>
        </w:rPr>
        <w:t xml:space="preserve"> </w:t>
      </w:r>
      <w:r>
        <w:t>un</w:t>
      </w:r>
      <w:r>
        <w:rPr>
          <w:spacing w:val="13"/>
        </w:rPr>
        <w:t xml:space="preserve"> </w:t>
      </w:r>
      <w:r>
        <w:t>puñado</w:t>
      </w:r>
      <w:r>
        <w:rPr>
          <w:spacing w:val="13"/>
        </w:rPr>
        <w:t xml:space="preserve"> </w:t>
      </w:r>
      <w:r>
        <w:t>de</w:t>
      </w:r>
      <w:r>
        <w:rPr>
          <w:spacing w:val="13"/>
        </w:rPr>
        <w:t xml:space="preserve"> </w:t>
      </w:r>
      <w:r>
        <w:t>Estados en todo el mundo habían adoptado esa legislación. En los dos últimos decenios se han producido avances importantes en este sentido, a medida que un número cada vez mayor de Estados –de diferentes regiones del mundo y de diferentes tradiciones jurídicas– han reconocido los beneficios de un enfoque holístico e integral para abordar la desigualdad y han tratado de dar</w:t>
      </w:r>
      <w:r>
        <w:rPr>
          <w:spacing w:val="40"/>
        </w:rPr>
        <w:t xml:space="preserve"> </w:t>
      </w:r>
      <w:r>
        <w:t>efecto a sus obligaciones de derecho internacional. En el presente capítulo, los redactores trazan este desarrollo.</w:t>
      </w:r>
    </w:p>
    <w:p w14:paraId="742D0413" w14:textId="77777777" w:rsidR="0014798C" w:rsidRDefault="0014798C">
      <w:pPr>
        <w:pStyle w:val="Textoindependiente"/>
        <w:spacing w:before="58"/>
        <w:rPr>
          <w:sz w:val="26"/>
        </w:rPr>
      </w:pPr>
    </w:p>
    <w:p w14:paraId="7E023918" w14:textId="77777777" w:rsidR="0014798C" w:rsidRDefault="004E1F0B">
      <w:pPr>
        <w:pStyle w:val="Prrafodelista"/>
        <w:numPr>
          <w:ilvl w:val="2"/>
          <w:numId w:val="93"/>
        </w:numPr>
        <w:tabs>
          <w:tab w:val="left" w:pos="1341"/>
        </w:tabs>
        <w:spacing w:before="1"/>
        <w:ind w:left="1341" w:hanging="218"/>
        <w:rPr>
          <w:sz w:val="26"/>
        </w:rPr>
      </w:pPr>
      <w:bookmarkStart w:id="8" w:name="consenso"/>
      <w:r>
        <w:rPr>
          <w:color w:val="009EDB"/>
          <w:sz w:val="26"/>
        </w:rPr>
        <w:t>CONSENSO</w:t>
      </w:r>
      <w:r>
        <w:rPr>
          <w:color w:val="009EDB"/>
          <w:spacing w:val="6"/>
          <w:sz w:val="26"/>
        </w:rPr>
        <w:t xml:space="preserve"> </w:t>
      </w:r>
      <w:r>
        <w:rPr>
          <w:color w:val="009EDB"/>
          <w:sz w:val="26"/>
        </w:rPr>
        <w:t>SOBRE</w:t>
      </w:r>
      <w:r>
        <w:rPr>
          <w:color w:val="009EDB"/>
          <w:spacing w:val="5"/>
          <w:sz w:val="26"/>
        </w:rPr>
        <w:t xml:space="preserve"> </w:t>
      </w:r>
      <w:r>
        <w:rPr>
          <w:color w:val="009EDB"/>
          <w:sz w:val="26"/>
        </w:rPr>
        <w:t>LA</w:t>
      </w:r>
      <w:r>
        <w:rPr>
          <w:color w:val="009EDB"/>
          <w:spacing w:val="5"/>
          <w:sz w:val="26"/>
        </w:rPr>
        <w:t xml:space="preserve"> </w:t>
      </w:r>
      <w:r>
        <w:rPr>
          <w:color w:val="009EDB"/>
          <w:sz w:val="26"/>
        </w:rPr>
        <w:t>NECESIDAD</w:t>
      </w:r>
      <w:r>
        <w:rPr>
          <w:color w:val="009EDB"/>
          <w:spacing w:val="3"/>
          <w:sz w:val="26"/>
        </w:rPr>
        <w:t xml:space="preserve"> </w:t>
      </w:r>
      <w:r>
        <w:rPr>
          <w:color w:val="009EDB"/>
          <w:sz w:val="26"/>
        </w:rPr>
        <w:t>DE</w:t>
      </w:r>
      <w:r>
        <w:rPr>
          <w:color w:val="009EDB"/>
          <w:spacing w:val="5"/>
          <w:sz w:val="26"/>
        </w:rPr>
        <w:t xml:space="preserve"> </w:t>
      </w:r>
      <w:r>
        <w:rPr>
          <w:color w:val="009EDB"/>
          <w:spacing w:val="-2"/>
          <w:sz w:val="26"/>
        </w:rPr>
        <w:t>ADOPTAR</w:t>
      </w:r>
    </w:p>
    <w:p w14:paraId="36555903" w14:textId="77777777" w:rsidR="0014798C" w:rsidRDefault="004E1F0B">
      <w:pPr>
        <w:pStyle w:val="Ttulo9"/>
        <w:spacing w:before="81"/>
        <w:ind w:left="1571" w:firstLine="0"/>
      </w:pPr>
      <w:r>
        <w:rPr>
          <w:color w:val="009EDB"/>
        </w:rPr>
        <w:t>LEY</w:t>
      </w:r>
      <w:r>
        <w:rPr>
          <w:color w:val="009EDB"/>
          <w:spacing w:val="-16"/>
        </w:rPr>
        <w:t xml:space="preserve"> </w:t>
      </w:r>
      <w:r>
        <w:rPr>
          <w:color w:val="009EDB"/>
        </w:rPr>
        <w:t>INTEGRAL</w:t>
      </w:r>
      <w:r>
        <w:rPr>
          <w:color w:val="009EDB"/>
          <w:spacing w:val="-16"/>
        </w:rPr>
        <w:t xml:space="preserve"> </w:t>
      </w:r>
      <w:r>
        <w:rPr>
          <w:color w:val="009EDB"/>
          <w:spacing w:val="-2"/>
        </w:rPr>
        <w:t>ANTIDISCRIMINACIÓN</w:t>
      </w:r>
    </w:p>
    <w:bookmarkEnd w:id="8"/>
    <w:p w14:paraId="03449558" w14:textId="77777777" w:rsidR="0014798C" w:rsidRDefault="0014798C">
      <w:pPr>
        <w:pStyle w:val="Textoindependiente"/>
        <w:spacing w:before="43"/>
        <w:rPr>
          <w:sz w:val="26"/>
        </w:rPr>
      </w:pPr>
    </w:p>
    <w:p w14:paraId="79220EDB" w14:textId="77777777" w:rsidR="0014798C" w:rsidRDefault="004E1F0B">
      <w:pPr>
        <w:numPr>
          <w:ilvl w:val="3"/>
          <w:numId w:val="93"/>
        </w:numPr>
        <w:tabs>
          <w:tab w:val="left" w:pos="1420"/>
        </w:tabs>
        <w:ind w:left="1420" w:hanging="320"/>
        <w:rPr>
          <w:color w:val="009EDB"/>
          <w:sz w:val="26"/>
        </w:rPr>
      </w:pPr>
      <w:r>
        <w:rPr>
          <w:color w:val="009EDB"/>
          <w:sz w:val="26"/>
        </w:rPr>
        <w:t>El</w:t>
      </w:r>
      <w:r>
        <w:rPr>
          <w:color w:val="009EDB"/>
          <w:spacing w:val="3"/>
          <w:sz w:val="26"/>
        </w:rPr>
        <w:t xml:space="preserve"> </w:t>
      </w:r>
      <w:r>
        <w:rPr>
          <w:color w:val="009EDB"/>
          <w:sz w:val="26"/>
        </w:rPr>
        <w:t>marco</w:t>
      </w:r>
      <w:r>
        <w:rPr>
          <w:color w:val="009EDB"/>
          <w:spacing w:val="5"/>
          <w:sz w:val="26"/>
        </w:rPr>
        <w:t xml:space="preserve"> </w:t>
      </w:r>
      <w:r>
        <w:rPr>
          <w:color w:val="009EDB"/>
          <w:sz w:val="26"/>
        </w:rPr>
        <w:t>normativo</w:t>
      </w:r>
      <w:r>
        <w:rPr>
          <w:color w:val="009EDB"/>
          <w:spacing w:val="4"/>
          <w:sz w:val="26"/>
        </w:rPr>
        <w:t xml:space="preserve"> </w:t>
      </w:r>
      <w:r>
        <w:rPr>
          <w:color w:val="009EDB"/>
          <w:sz w:val="26"/>
        </w:rPr>
        <w:t>internacional</w:t>
      </w:r>
      <w:r>
        <w:rPr>
          <w:color w:val="009EDB"/>
          <w:spacing w:val="4"/>
          <w:sz w:val="26"/>
        </w:rPr>
        <w:t xml:space="preserve"> </w:t>
      </w:r>
      <w:r>
        <w:rPr>
          <w:color w:val="009EDB"/>
          <w:sz w:val="26"/>
        </w:rPr>
        <w:t>de</w:t>
      </w:r>
      <w:r>
        <w:rPr>
          <w:color w:val="009EDB"/>
          <w:spacing w:val="4"/>
          <w:sz w:val="26"/>
        </w:rPr>
        <w:t xml:space="preserve"> </w:t>
      </w:r>
      <w:r>
        <w:rPr>
          <w:color w:val="009EDB"/>
          <w:sz w:val="26"/>
        </w:rPr>
        <w:t>derechos</w:t>
      </w:r>
      <w:r>
        <w:rPr>
          <w:color w:val="009EDB"/>
          <w:spacing w:val="4"/>
          <w:sz w:val="26"/>
        </w:rPr>
        <w:t xml:space="preserve"> </w:t>
      </w:r>
      <w:r>
        <w:rPr>
          <w:color w:val="009EDB"/>
          <w:spacing w:val="-2"/>
          <w:sz w:val="26"/>
        </w:rPr>
        <w:t>humanos</w:t>
      </w:r>
    </w:p>
    <w:p w14:paraId="2AA0E91D" w14:textId="77777777" w:rsidR="0014798C" w:rsidRDefault="004E1F0B">
      <w:pPr>
        <w:pStyle w:val="Textoindependiente"/>
        <w:spacing w:before="174" w:line="326" w:lineRule="auto"/>
        <w:ind w:left="1108" w:right="1272" w:hanging="3"/>
      </w:pPr>
      <w:r>
        <w:t>El</w:t>
      </w:r>
      <w:r>
        <w:rPr>
          <w:spacing w:val="10"/>
        </w:rPr>
        <w:t xml:space="preserve"> </w:t>
      </w:r>
      <w:r>
        <w:t>derecho</w:t>
      </w:r>
      <w:r>
        <w:rPr>
          <w:spacing w:val="10"/>
        </w:rPr>
        <w:t xml:space="preserve"> </w:t>
      </w:r>
      <w:r>
        <w:t>a</w:t>
      </w:r>
      <w:r>
        <w:rPr>
          <w:spacing w:val="10"/>
        </w:rPr>
        <w:t xml:space="preserve"> </w:t>
      </w:r>
      <w:r>
        <w:t>la</w:t>
      </w:r>
      <w:r>
        <w:rPr>
          <w:spacing w:val="10"/>
        </w:rPr>
        <w:t xml:space="preserve"> </w:t>
      </w:r>
      <w:r>
        <w:t>no</w:t>
      </w:r>
      <w:r>
        <w:rPr>
          <w:spacing w:val="10"/>
        </w:rPr>
        <w:t xml:space="preserve"> </w:t>
      </w:r>
      <w:r>
        <w:t>discriminación</w:t>
      </w:r>
      <w:r>
        <w:rPr>
          <w:spacing w:val="11"/>
        </w:rPr>
        <w:t xml:space="preserve"> </w:t>
      </w:r>
      <w:r>
        <w:t>–junto</w:t>
      </w:r>
      <w:r>
        <w:rPr>
          <w:spacing w:val="10"/>
        </w:rPr>
        <w:t xml:space="preserve"> </w:t>
      </w:r>
      <w:r>
        <w:t>con</w:t>
      </w:r>
      <w:r>
        <w:rPr>
          <w:spacing w:val="10"/>
        </w:rPr>
        <w:t xml:space="preserve"> </w:t>
      </w:r>
      <w:r>
        <w:t>la</w:t>
      </w:r>
      <w:r>
        <w:rPr>
          <w:spacing w:val="10"/>
        </w:rPr>
        <w:t xml:space="preserve"> </w:t>
      </w:r>
      <w:r>
        <w:t>igualdad</w:t>
      </w:r>
      <w:r>
        <w:rPr>
          <w:spacing w:val="10"/>
        </w:rPr>
        <w:t xml:space="preserve"> </w:t>
      </w:r>
      <w:r>
        <w:t>ante</w:t>
      </w:r>
      <w:r>
        <w:rPr>
          <w:spacing w:val="10"/>
        </w:rPr>
        <w:t xml:space="preserve"> </w:t>
      </w:r>
      <w:r>
        <w:t>la</w:t>
      </w:r>
      <w:r>
        <w:rPr>
          <w:spacing w:val="10"/>
        </w:rPr>
        <w:t xml:space="preserve"> </w:t>
      </w:r>
      <w:r>
        <w:t>ley</w:t>
      </w:r>
      <w:r>
        <w:rPr>
          <w:spacing w:val="10"/>
        </w:rPr>
        <w:t xml:space="preserve"> </w:t>
      </w:r>
      <w:r>
        <w:t>y</w:t>
      </w:r>
      <w:r>
        <w:rPr>
          <w:spacing w:val="10"/>
        </w:rPr>
        <w:t xml:space="preserve"> </w:t>
      </w:r>
      <w:r>
        <w:t>la</w:t>
      </w:r>
      <w:r>
        <w:rPr>
          <w:spacing w:val="10"/>
        </w:rPr>
        <w:t xml:space="preserve"> </w:t>
      </w:r>
      <w:r>
        <w:t>igual</w:t>
      </w:r>
      <w:r>
        <w:rPr>
          <w:spacing w:val="10"/>
        </w:rPr>
        <w:t xml:space="preserve"> </w:t>
      </w:r>
      <w:r>
        <w:t>protección</w:t>
      </w:r>
      <w:r>
        <w:rPr>
          <w:spacing w:val="10"/>
        </w:rPr>
        <w:t xml:space="preserve"> </w:t>
      </w:r>
      <w:r>
        <w:t>de</w:t>
      </w:r>
      <w:r>
        <w:rPr>
          <w:spacing w:val="10"/>
        </w:rPr>
        <w:t xml:space="preserve"> </w:t>
      </w:r>
      <w:r>
        <w:t>la</w:t>
      </w:r>
      <w:r>
        <w:rPr>
          <w:spacing w:val="10"/>
        </w:rPr>
        <w:t xml:space="preserve"> </w:t>
      </w:r>
      <w:r>
        <w:t>ley–</w:t>
      </w:r>
      <w:r>
        <w:rPr>
          <w:spacing w:val="10"/>
        </w:rPr>
        <w:t xml:space="preserve"> </w:t>
      </w:r>
      <w:r>
        <w:t>es</w:t>
      </w:r>
      <w:r>
        <w:rPr>
          <w:spacing w:val="10"/>
        </w:rPr>
        <w:t xml:space="preserve"> </w:t>
      </w:r>
      <w:r>
        <w:t>“un</w:t>
      </w:r>
      <w:r>
        <w:rPr>
          <w:spacing w:val="10"/>
        </w:rPr>
        <w:t xml:space="preserve"> </w:t>
      </w:r>
      <w:r>
        <w:t>principio</w:t>
      </w:r>
      <w:r>
        <w:rPr>
          <w:spacing w:val="10"/>
        </w:rPr>
        <w:t xml:space="preserve"> </w:t>
      </w:r>
      <w:r>
        <w:t>básico</w:t>
      </w:r>
      <w:r>
        <w:rPr>
          <w:spacing w:val="10"/>
        </w:rPr>
        <w:t xml:space="preserve"> </w:t>
      </w:r>
      <w:r>
        <w:t>y general</w:t>
      </w:r>
      <w:r>
        <w:rPr>
          <w:spacing w:val="18"/>
        </w:rPr>
        <w:t xml:space="preserve"> </w:t>
      </w:r>
      <w:r>
        <w:t>relacionado</w:t>
      </w:r>
      <w:r>
        <w:rPr>
          <w:spacing w:val="18"/>
        </w:rPr>
        <w:t xml:space="preserve"> </w:t>
      </w:r>
      <w:r>
        <w:t>con</w:t>
      </w:r>
      <w:r>
        <w:rPr>
          <w:spacing w:val="18"/>
        </w:rPr>
        <w:t xml:space="preserve"> </w:t>
      </w:r>
      <w:r>
        <w:t>la</w:t>
      </w:r>
      <w:r>
        <w:rPr>
          <w:spacing w:val="18"/>
        </w:rPr>
        <w:t xml:space="preserve"> </w:t>
      </w:r>
      <w:r>
        <w:t>protección</w:t>
      </w:r>
      <w:r>
        <w:rPr>
          <w:spacing w:val="18"/>
        </w:rPr>
        <w:t xml:space="preserve"> </w:t>
      </w:r>
      <w:r>
        <w:t>de</w:t>
      </w:r>
      <w:r>
        <w:rPr>
          <w:spacing w:val="18"/>
        </w:rPr>
        <w:t xml:space="preserve"> </w:t>
      </w:r>
      <w:r>
        <w:t>los</w:t>
      </w:r>
      <w:r>
        <w:rPr>
          <w:spacing w:val="18"/>
        </w:rPr>
        <w:t xml:space="preserve"> </w:t>
      </w:r>
      <w:r>
        <w:t>derechos</w:t>
      </w:r>
      <w:r>
        <w:rPr>
          <w:spacing w:val="18"/>
        </w:rPr>
        <w:t xml:space="preserve"> </w:t>
      </w:r>
      <w:r>
        <w:t>humanos”18</w:t>
      </w:r>
      <w:r>
        <w:rPr>
          <w:spacing w:val="19"/>
        </w:rPr>
        <w:t xml:space="preserve"> </w:t>
      </w:r>
      <w:r>
        <w:t>y</w:t>
      </w:r>
      <w:r>
        <w:rPr>
          <w:spacing w:val="18"/>
        </w:rPr>
        <w:t xml:space="preserve"> </w:t>
      </w:r>
      <w:r>
        <w:t>un</w:t>
      </w:r>
      <w:r>
        <w:rPr>
          <w:spacing w:val="18"/>
        </w:rPr>
        <w:t xml:space="preserve"> </w:t>
      </w:r>
      <w:r>
        <w:t>“componente</w:t>
      </w:r>
      <w:r>
        <w:rPr>
          <w:spacing w:val="18"/>
        </w:rPr>
        <w:t xml:space="preserve"> </w:t>
      </w:r>
      <w:r>
        <w:t>fundamental”</w:t>
      </w:r>
      <w:r>
        <w:rPr>
          <w:spacing w:val="18"/>
        </w:rPr>
        <w:t xml:space="preserve"> </w:t>
      </w:r>
      <w:r>
        <w:t>del</w:t>
      </w:r>
      <w:r>
        <w:rPr>
          <w:spacing w:val="18"/>
        </w:rPr>
        <w:t xml:space="preserve"> </w:t>
      </w:r>
      <w:r>
        <w:t>derecho</w:t>
      </w:r>
      <w:r>
        <w:rPr>
          <w:spacing w:val="18"/>
        </w:rPr>
        <w:t xml:space="preserve"> </w:t>
      </w:r>
      <w:r>
        <w:t xml:space="preserve">internacional de los derechos humanos que da lugar a </w:t>
      </w:r>
      <w:proofErr w:type="spellStart"/>
      <w:r>
        <w:t>a</w:t>
      </w:r>
      <w:proofErr w:type="spellEnd"/>
      <w:r>
        <w:t xml:space="preserve"> obligaciones “inmediatas y transversales”.19 El derecho tiene un estatus dual: los individuos tienen tanto el derecho a no ser discriminados en el disfrute de todos los demás derechos humanos como un derecho “independiente” a la no discriminación en áreas que están regulados por la ley pero no son objeto de otro derecho humano.</w:t>
      </w:r>
    </w:p>
    <w:p w14:paraId="7A1BCA2F" w14:textId="77777777" w:rsidR="0014798C" w:rsidRDefault="0014798C">
      <w:pPr>
        <w:pStyle w:val="Textoindependiente"/>
      </w:pPr>
    </w:p>
    <w:p w14:paraId="17286650" w14:textId="77777777" w:rsidR="0014798C" w:rsidRDefault="0014798C">
      <w:pPr>
        <w:pStyle w:val="Textoindependiente"/>
        <w:spacing w:before="49"/>
      </w:pPr>
    </w:p>
    <w:p w14:paraId="03E9BAA5" w14:textId="77777777" w:rsidR="0014798C" w:rsidRDefault="004E1F0B">
      <w:pPr>
        <w:pStyle w:val="Textoindependiente"/>
        <w:spacing w:line="326" w:lineRule="auto"/>
        <w:ind w:left="1105" w:right="1387" w:firstLine="6"/>
      </w:pPr>
      <w:r>
        <w:t xml:space="preserve">Los </w:t>
      </w:r>
      <w:proofErr w:type="gramStart"/>
      <w:r>
        <w:t>Estados partes</w:t>
      </w:r>
      <w:proofErr w:type="gramEnd"/>
      <w:r>
        <w:t xml:space="preserve"> tanto en el Pacto Internacional de Derechos Civiles y Políticos como en el Pacto Internacional de Derechos Económicos, Sociales y Culturales han aceptado la obligación de respetar y garantizar los derechos civiles, políticos,</w:t>
      </w:r>
      <w:r>
        <w:rPr>
          <w:spacing w:val="80"/>
        </w:rPr>
        <w:t xml:space="preserve"> </w:t>
      </w:r>
      <w:r>
        <w:t>económicos, sociales y culturales previstos en esos tratados sin discriminación</w:t>
      </w:r>
      <w:proofErr w:type="gramStart"/>
      <w:r>
        <w:t>20 .</w:t>
      </w:r>
      <w:proofErr w:type="gramEnd"/>
      <w:r>
        <w:t xml:space="preserve"> Las disposiciones se complementan con el artículo 3 de cada Pacto, que garantiza el disfrute igual de los derechos por hombres y mujeres. Además de estas garantías, el artículo</w:t>
      </w:r>
      <w:r>
        <w:rPr>
          <w:spacing w:val="14"/>
        </w:rPr>
        <w:t xml:space="preserve"> </w:t>
      </w:r>
      <w:r>
        <w:t>16</w:t>
      </w:r>
      <w:r>
        <w:rPr>
          <w:spacing w:val="14"/>
        </w:rPr>
        <w:t xml:space="preserve"> </w:t>
      </w:r>
      <w:r>
        <w:t>del</w:t>
      </w:r>
      <w:r>
        <w:rPr>
          <w:spacing w:val="14"/>
        </w:rPr>
        <w:t xml:space="preserve"> </w:t>
      </w:r>
      <w:r>
        <w:t>Pacto</w:t>
      </w:r>
      <w:r>
        <w:rPr>
          <w:spacing w:val="14"/>
        </w:rPr>
        <w:t xml:space="preserve"> </w:t>
      </w:r>
      <w:r>
        <w:t>Internacional</w:t>
      </w:r>
      <w:r>
        <w:rPr>
          <w:spacing w:val="14"/>
        </w:rPr>
        <w:t xml:space="preserve"> </w:t>
      </w:r>
      <w:r>
        <w:t>de</w:t>
      </w:r>
      <w:r>
        <w:rPr>
          <w:spacing w:val="14"/>
        </w:rPr>
        <w:t xml:space="preserve"> </w:t>
      </w:r>
      <w:r>
        <w:t>Derechos</w:t>
      </w:r>
      <w:r>
        <w:rPr>
          <w:spacing w:val="14"/>
        </w:rPr>
        <w:t xml:space="preserve"> </w:t>
      </w:r>
      <w:r>
        <w:t>Civiles</w:t>
      </w:r>
      <w:r>
        <w:rPr>
          <w:spacing w:val="14"/>
        </w:rPr>
        <w:t xml:space="preserve"> </w:t>
      </w:r>
      <w:r>
        <w:t>y</w:t>
      </w:r>
      <w:r>
        <w:rPr>
          <w:spacing w:val="14"/>
        </w:rPr>
        <w:t xml:space="preserve"> </w:t>
      </w:r>
      <w:r>
        <w:t>Políticos</w:t>
      </w:r>
      <w:r>
        <w:rPr>
          <w:spacing w:val="14"/>
        </w:rPr>
        <w:t xml:space="preserve"> </w:t>
      </w:r>
      <w:r>
        <w:t>establece</w:t>
      </w:r>
      <w:r>
        <w:rPr>
          <w:spacing w:val="14"/>
        </w:rPr>
        <w:t xml:space="preserve"> </w:t>
      </w:r>
      <w:r>
        <w:t>que:</w:t>
      </w:r>
      <w:r>
        <w:rPr>
          <w:spacing w:val="16"/>
        </w:rPr>
        <w:t xml:space="preserve"> </w:t>
      </w:r>
      <w:r>
        <w:t>“Toda</w:t>
      </w:r>
      <w:r>
        <w:rPr>
          <w:spacing w:val="14"/>
        </w:rPr>
        <w:t xml:space="preserve"> </w:t>
      </w:r>
      <w:r>
        <w:t>persona</w:t>
      </w:r>
      <w:r>
        <w:rPr>
          <w:spacing w:val="14"/>
        </w:rPr>
        <w:t xml:space="preserve"> </w:t>
      </w:r>
      <w:r>
        <w:t>tendrá</w:t>
      </w:r>
      <w:r>
        <w:rPr>
          <w:spacing w:val="14"/>
        </w:rPr>
        <w:t xml:space="preserve"> </w:t>
      </w:r>
      <w:r>
        <w:t>derecho</w:t>
      </w:r>
      <w:r>
        <w:rPr>
          <w:spacing w:val="14"/>
        </w:rPr>
        <w:t xml:space="preserve"> </w:t>
      </w:r>
      <w:r>
        <w:t>en</w:t>
      </w:r>
      <w:r>
        <w:rPr>
          <w:spacing w:val="14"/>
        </w:rPr>
        <w:t xml:space="preserve"> </w:t>
      </w:r>
      <w:r>
        <w:t>todo</w:t>
      </w:r>
      <w:r>
        <w:rPr>
          <w:spacing w:val="14"/>
        </w:rPr>
        <w:t xml:space="preserve"> </w:t>
      </w:r>
      <w:r>
        <w:t>lugar al reconocimiento de su personalidad ante la ley”. El artículo 26 de ese Pacto establece además que: "Todas las personas son iguales</w:t>
      </w:r>
      <w:r>
        <w:rPr>
          <w:spacing w:val="13"/>
        </w:rPr>
        <w:t xml:space="preserve"> </w:t>
      </w:r>
      <w:r>
        <w:t>ante</w:t>
      </w:r>
      <w:r>
        <w:rPr>
          <w:spacing w:val="13"/>
        </w:rPr>
        <w:t xml:space="preserve"> </w:t>
      </w:r>
      <w:r>
        <w:t>la</w:t>
      </w:r>
      <w:r>
        <w:rPr>
          <w:spacing w:val="13"/>
        </w:rPr>
        <w:t xml:space="preserve"> </w:t>
      </w:r>
      <w:r>
        <w:t>ley</w:t>
      </w:r>
      <w:r>
        <w:rPr>
          <w:spacing w:val="13"/>
        </w:rPr>
        <w:t xml:space="preserve"> </w:t>
      </w:r>
      <w:r>
        <w:t>y</w:t>
      </w:r>
      <w:r>
        <w:rPr>
          <w:spacing w:val="13"/>
        </w:rPr>
        <w:t xml:space="preserve"> </w:t>
      </w:r>
      <w:r>
        <w:t>tienen</w:t>
      </w:r>
      <w:r>
        <w:rPr>
          <w:spacing w:val="13"/>
        </w:rPr>
        <w:t xml:space="preserve"> </w:t>
      </w:r>
      <w:r>
        <w:t>derecho,</w:t>
      </w:r>
      <w:r>
        <w:rPr>
          <w:spacing w:val="15"/>
        </w:rPr>
        <w:t xml:space="preserve"> </w:t>
      </w:r>
      <w:r>
        <w:t>sin</w:t>
      </w:r>
      <w:r>
        <w:rPr>
          <w:spacing w:val="13"/>
        </w:rPr>
        <w:t xml:space="preserve"> </w:t>
      </w:r>
      <w:r>
        <w:t>discriminación</w:t>
      </w:r>
      <w:r>
        <w:rPr>
          <w:spacing w:val="15"/>
        </w:rPr>
        <w:t xml:space="preserve"> </w:t>
      </w:r>
      <w:r>
        <w:t>alguna,</w:t>
      </w:r>
      <w:r>
        <w:rPr>
          <w:spacing w:val="15"/>
        </w:rPr>
        <w:t xml:space="preserve"> </w:t>
      </w:r>
      <w:r>
        <w:t>a</w:t>
      </w:r>
      <w:r>
        <w:rPr>
          <w:spacing w:val="13"/>
        </w:rPr>
        <w:t xml:space="preserve"> </w:t>
      </w:r>
      <w:r>
        <w:t>igual</w:t>
      </w:r>
      <w:r>
        <w:rPr>
          <w:spacing w:val="13"/>
        </w:rPr>
        <w:t xml:space="preserve"> </w:t>
      </w:r>
      <w:r>
        <w:t>protección</w:t>
      </w:r>
      <w:r>
        <w:rPr>
          <w:spacing w:val="13"/>
        </w:rPr>
        <w:t xml:space="preserve"> </w:t>
      </w:r>
      <w:r>
        <w:t>de</w:t>
      </w:r>
      <w:r>
        <w:rPr>
          <w:spacing w:val="13"/>
        </w:rPr>
        <w:t xml:space="preserve"> </w:t>
      </w:r>
      <w:r>
        <w:t>la</w:t>
      </w:r>
      <w:r>
        <w:rPr>
          <w:spacing w:val="13"/>
        </w:rPr>
        <w:t xml:space="preserve"> </w:t>
      </w:r>
      <w:r>
        <w:t>ley".</w:t>
      </w:r>
      <w:r>
        <w:rPr>
          <w:spacing w:val="15"/>
        </w:rPr>
        <w:t xml:space="preserve"> </w:t>
      </w:r>
      <w:r>
        <w:t>El</w:t>
      </w:r>
      <w:r>
        <w:rPr>
          <w:spacing w:val="13"/>
        </w:rPr>
        <w:t xml:space="preserve"> </w:t>
      </w:r>
      <w:r>
        <w:t>Comité</w:t>
      </w:r>
      <w:r>
        <w:rPr>
          <w:spacing w:val="13"/>
        </w:rPr>
        <w:t xml:space="preserve"> </w:t>
      </w:r>
      <w:r>
        <w:t>de</w:t>
      </w:r>
      <w:r>
        <w:rPr>
          <w:spacing w:val="13"/>
        </w:rPr>
        <w:t xml:space="preserve"> </w:t>
      </w:r>
      <w:r>
        <w:t>Derechos</w:t>
      </w:r>
      <w:r>
        <w:rPr>
          <w:spacing w:val="13"/>
        </w:rPr>
        <w:t xml:space="preserve"> </w:t>
      </w:r>
      <w:r>
        <w:t>Humanos ha aclarado que este artículo establece un “derecho autónomo” que “prohíbe la discriminación de hecho o de derecho en cualquier ámbito regulado y protegido por las autoridades públicas”.21</w:t>
      </w:r>
    </w:p>
    <w:p w14:paraId="38AA0C88" w14:textId="77777777" w:rsidR="0014798C" w:rsidRDefault="0014798C">
      <w:pPr>
        <w:pStyle w:val="Textoindependiente"/>
      </w:pPr>
    </w:p>
    <w:p w14:paraId="6EAF86E9" w14:textId="77777777" w:rsidR="0014798C" w:rsidRDefault="0014798C">
      <w:pPr>
        <w:pStyle w:val="Textoindependiente"/>
        <w:spacing w:before="48"/>
      </w:pPr>
    </w:p>
    <w:p w14:paraId="5ED779C0" w14:textId="77777777" w:rsidR="0014798C" w:rsidRDefault="004E1F0B">
      <w:pPr>
        <w:pStyle w:val="Textoindependiente"/>
        <w:spacing w:line="326" w:lineRule="auto"/>
        <w:ind w:left="1107" w:right="1319" w:firstLine="1"/>
      </w:pPr>
      <w:r>
        <w:t>Además de los Pactos, se han adoptado instrumentos específicos con el objetivo de eliminar la discriminación por motivos particulares.</w:t>
      </w:r>
      <w:r>
        <w:rPr>
          <w:spacing w:val="20"/>
        </w:rPr>
        <w:t xml:space="preserve"> </w:t>
      </w:r>
      <w:r>
        <w:t>La Convención Internacional sobre la Eliminación de todas las Formas de Discriminación</w:t>
      </w:r>
      <w:r>
        <w:rPr>
          <w:spacing w:val="18"/>
        </w:rPr>
        <w:t xml:space="preserve"> </w:t>
      </w:r>
      <w:r>
        <w:t>Racial,</w:t>
      </w:r>
      <w:r>
        <w:rPr>
          <w:spacing w:val="18"/>
        </w:rPr>
        <w:t xml:space="preserve"> </w:t>
      </w:r>
      <w:r>
        <w:t>la Convención</w:t>
      </w:r>
      <w:r>
        <w:rPr>
          <w:spacing w:val="40"/>
        </w:rPr>
        <w:t xml:space="preserve"> </w:t>
      </w:r>
      <w:r>
        <w:t>sobre</w:t>
      </w:r>
      <w:r>
        <w:rPr>
          <w:spacing w:val="14"/>
        </w:rPr>
        <w:t xml:space="preserve"> </w:t>
      </w:r>
      <w:r>
        <w:t>la</w:t>
      </w:r>
      <w:r>
        <w:rPr>
          <w:spacing w:val="14"/>
        </w:rPr>
        <w:t xml:space="preserve"> </w:t>
      </w:r>
      <w:r>
        <w:t>Eliminación</w:t>
      </w:r>
      <w:r>
        <w:rPr>
          <w:spacing w:val="14"/>
        </w:rPr>
        <w:t xml:space="preserve"> </w:t>
      </w:r>
      <w:r>
        <w:t>de</w:t>
      </w:r>
      <w:r>
        <w:rPr>
          <w:spacing w:val="14"/>
        </w:rPr>
        <w:t xml:space="preserve"> </w:t>
      </w:r>
      <w:r>
        <w:t>Todas</w:t>
      </w:r>
      <w:r>
        <w:rPr>
          <w:spacing w:val="14"/>
        </w:rPr>
        <w:t xml:space="preserve"> </w:t>
      </w:r>
      <w:r>
        <w:t>las</w:t>
      </w:r>
      <w:r>
        <w:rPr>
          <w:spacing w:val="14"/>
        </w:rPr>
        <w:t xml:space="preserve"> </w:t>
      </w:r>
      <w:r>
        <w:t>Formas</w:t>
      </w:r>
      <w:r>
        <w:rPr>
          <w:spacing w:val="14"/>
        </w:rPr>
        <w:t xml:space="preserve"> </w:t>
      </w:r>
      <w:r>
        <w:t>de</w:t>
      </w:r>
      <w:r>
        <w:rPr>
          <w:spacing w:val="14"/>
        </w:rPr>
        <w:t xml:space="preserve"> </w:t>
      </w:r>
      <w:r>
        <w:t>Discriminación</w:t>
      </w:r>
      <w:r>
        <w:rPr>
          <w:spacing w:val="16"/>
        </w:rPr>
        <w:t xml:space="preserve"> </w:t>
      </w:r>
      <w:r>
        <w:t>contra</w:t>
      </w:r>
      <w:r>
        <w:rPr>
          <w:spacing w:val="14"/>
        </w:rPr>
        <w:t xml:space="preserve"> </w:t>
      </w:r>
      <w:r>
        <w:t>la</w:t>
      </w:r>
      <w:r>
        <w:rPr>
          <w:spacing w:val="14"/>
        </w:rPr>
        <w:t xml:space="preserve"> </w:t>
      </w:r>
      <w:r>
        <w:t>Mujer</w:t>
      </w:r>
      <w:r>
        <w:rPr>
          <w:spacing w:val="14"/>
        </w:rPr>
        <w:t xml:space="preserve"> </w:t>
      </w:r>
      <w:r>
        <w:t>y</w:t>
      </w:r>
      <w:r>
        <w:rPr>
          <w:spacing w:val="14"/>
        </w:rPr>
        <w:t xml:space="preserve"> </w:t>
      </w:r>
      <w:r>
        <w:t>la</w:t>
      </w:r>
      <w:r>
        <w:rPr>
          <w:spacing w:val="14"/>
        </w:rPr>
        <w:t xml:space="preserve"> </w:t>
      </w:r>
      <w:r>
        <w:t>Convención</w:t>
      </w:r>
      <w:r>
        <w:rPr>
          <w:spacing w:val="14"/>
        </w:rPr>
        <w:t xml:space="preserve"> </w:t>
      </w:r>
      <w:r>
        <w:t>sobre</w:t>
      </w:r>
      <w:r>
        <w:rPr>
          <w:spacing w:val="14"/>
        </w:rPr>
        <w:t xml:space="preserve"> </w:t>
      </w:r>
      <w:r>
        <w:t>los</w:t>
      </w:r>
      <w:r>
        <w:rPr>
          <w:spacing w:val="14"/>
        </w:rPr>
        <w:t xml:space="preserve"> </w:t>
      </w:r>
      <w:r>
        <w:t>Derechos</w:t>
      </w:r>
      <w:r>
        <w:rPr>
          <w:spacing w:val="14"/>
        </w:rPr>
        <w:t xml:space="preserve"> </w:t>
      </w:r>
      <w:r>
        <w:t>de</w:t>
      </w:r>
      <w:r>
        <w:rPr>
          <w:spacing w:val="14"/>
        </w:rPr>
        <w:t xml:space="preserve"> </w:t>
      </w:r>
      <w:r>
        <w:t>las Personas con Discapacidad tienen como elemento central la eliminación de la discriminación. Cada uno de estos instrumentos define</w:t>
      </w:r>
      <w:r>
        <w:rPr>
          <w:spacing w:val="11"/>
        </w:rPr>
        <w:t xml:space="preserve"> </w:t>
      </w:r>
      <w:r>
        <w:t>la</w:t>
      </w:r>
      <w:r>
        <w:rPr>
          <w:spacing w:val="11"/>
        </w:rPr>
        <w:t xml:space="preserve"> </w:t>
      </w:r>
      <w:r>
        <w:t>discriminación,</w:t>
      </w:r>
      <w:r>
        <w:rPr>
          <w:spacing w:val="14"/>
        </w:rPr>
        <w:t xml:space="preserve"> </w:t>
      </w:r>
      <w:r>
        <w:t>establece</w:t>
      </w:r>
      <w:r>
        <w:rPr>
          <w:spacing w:val="11"/>
        </w:rPr>
        <w:t xml:space="preserve"> </w:t>
      </w:r>
      <w:r>
        <w:t>obligaciones</w:t>
      </w:r>
      <w:r>
        <w:rPr>
          <w:spacing w:val="11"/>
        </w:rPr>
        <w:t xml:space="preserve"> </w:t>
      </w:r>
      <w:r>
        <w:t>legislativas,</w:t>
      </w:r>
      <w:r>
        <w:rPr>
          <w:spacing w:val="14"/>
        </w:rPr>
        <w:t xml:space="preserve"> </w:t>
      </w:r>
      <w:r>
        <w:t>políticas</w:t>
      </w:r>
      <w:r>
        <w:rPr>
          <w:spacing w:val="11"/>
        </w:rPr>
        <w:t xml:space="preserve"> </w:t>
      </w:r>
      <w:r>
        <w:t>y</w:t>
      </w:r>
      <w:r>
        <w:rPr>
          <w:spacing w:val="11"/>
        </w:rPr>
        <w:t xml:space="preserve"> </w:t>
      </w:r>
      <w:r>
        <w:t>prácticas</w:t>
      </w:r>
      <w:r>
        <w:rPr>
          <w:spacing w:val="11"/>
        </w:rPr>
        <w:t xml:space="preserve"> </w:t>
      </w:r>
      <w:r>
        <w:t>del</w:t>
      </w:r>
      <w:r>
        <w:rPr>
          <w:spacing w:val="11"/>
        </w:rPr>
        <w:t xml:space="preserve"> </w:t>
      </w:r>
      <w:r>
        <w:t>Estado</w:t>
      </w:r>
      <w:r>
        <w:rPr>
          <w:spacing w:val="11"/>
        </w:rPr>
        <w:t xml:space="preserve"> </w:t>
      </w:r>
      <w:r>
        <w:t>para</w:t>
      </w:r>
      <w:r>
        <w:rPr>
          <w:spacing w:val="11"/>
        </w:rPr>
        <w:t xml:space="preserve"> </w:t>
      </w:r>
      <w:r>
        <w:t>la</w:t>
      </w:r>
      <w:r>
        <w:rPr>
          <w:spacing w:val="11"/>
        </w:rPr>
        <w:t xml:space="preserve"> </w:t>
      </w:r>
      <w:r>
        <w:t>implementación</w:t>
      </w:r>
      <w:r>
        <w:rPr>
          <w:spacing w:val="11"/>
        </w:rPr>
        <w:t xml:space="preserve"> </w:t>
      </w:r>
      <w:r>
        <w:t>del</w:t>
      </w:r>
      <w:r>
        <w:rPr>
          <w:spacing w:val="11"/>
        </w:rPr>
        <w:t xml:space="preserve"> </w:t>
      </w:r>
      <w:r>
        <w:t>derecho a la no discriminación y delinea obligaciones de no discriminación en diferentes áreas de la vida.</w:t>
      </w:r>
    </w:p>
    <w:p w14:paraId="0B66A42D" w14:textId="77777777" w:rsidR="0014798C" w:rsidRDefault="0014798C">
      <w:pPr>
        <w:pStyle w:val="Textoindependiente"/>
      </w:pPr>
    </w:p>
    <w:p w14:paraId="7BB51BA0" w14:textId="77777777" w:rsidR="0014798C" w:rsidRDefault="0014798C">
      <w:pPr>
        <w:pStyle w:val="Textoindependiente"/>
        <w:spacing w:before="41"/>
      </w:pPr>
    </w:p>
    <w:p w14:paraId="6DF1BBB0" w14:textId="77777777" w:rsidR="0014798C" w:rsidRDefault="004E1F0B">
      <w:pPr>
        <w:pStyle w:val="Textoindependiente"/>
        <w:spacing w:line="328" w:lineRule="auto"/>
        <w:ind w:left="1105" w:right="1335"/>
      </w:pPr>
      <w:r>
        <w:t>La Convención Internacional sobre la Eliminación de todas las Formas de Discriminación Racial, la Convención sobre la</w:t>
      </w:r>
      <w:r>
        <w:rPr>
          <w:spacing w:val="40"/>
        </w:rPr>
        <w:t xml:space="preserve"> </w:t>
      </w:r>
      <w:r>
        <w:t>Eliminación de Todas las Formas de Discriminación contra la Mujer y la Convención sobre los Derechos de las Personas con Discapacidad se basan en la premisa de la igualdad ante la ley y la igual protección de las personas. cada uno de ellos los</w:t>
      </w:r>
      <w:r>
        <w:rPr>
          <w:spacing w:val="40"/>
        </w:rPr>
        <w:t xml:space="preserve"> </w:t>
      </w:r>
      <w:r>
        <w:t>reconoce como derechos específicos.22 De hecho, se puede considerar que cada uno de estos Convenios elabora el significado</w:t>
      </w:r>
      <w:r>
        <w:rPr>
          <w:spacing w:val="80"/>
        </w:rPr>
        <w:t xml:space="preserve"> </w:t>
      </w:r>
      <w:r>
        <w:t>de los requisitos legales específicos para garantizar el mismo reconocimiento y protección a las personas y grupos en</w:t>
      </w:r>
    </w:p>
    <w:p w14:paraId="6DBA44CC" w14:textId="77777777" w:rsidR="0014798C" w:rsidRDefault="0014798C">
      <w:pPr>
        <w:pStyle w:val="Textoindependiente"/>
        <w:rPr>
          <w:sz w:val="12"/>
        </w:rPr>
      </w:pPr>
    </w:p>
    <w:p w14:paraId="1DEE3BAD" w14:textId="77777777" w:rsidR="0014798C" w:rsidRDefault="0014798C">
      <w:pPr>
        <w:pStyle w:val="Textoindependiente"/>
        <w:rPr>
          <w:sz w:val="12"/>
        </w:rPr>
      </w:pPr>
    </w:p>
    <w:p w14:paraId="57740F2C" w14:textId="77777777" w:rsidR="0014798C" w:rsidRDefault="0014798C">
      <w:pPr>
        <w:pStyle w:val="Textoindependiente"/>
        <w:spacing w:before="23"/>
        <w:rPr>
          <w:sz w:val="12"/>
        </w:rPr>
      </w:pPr>
    </w:p>
    <w:p w14:paraId="1A76F516" w14:textId="77777777" w:rsidR="0014798C" w:rsidRDefault="004E1F0B">
      <w:pPr>
        <w:spacing w:before="1"/>
        <w:ind w:left="1111"/>
        <w:rPr>
          <w:sz w:val="12"/>
        </w:rPr>
      </w:pPr>
      <w:r>
        <w:rPr>
          <w:w w:val="105"/>
          <w:sz w:val="12"/>
        </w:rPr>
        <w:t>18</w:t>
      </w:r>
      <w:r>
        <w:rPr>
          <w:spacing w:val="-5"/>
          <w:w w:val="105"/>
          <w:sz w:val="12"/>
        </w:rPr>
        <w:t xml:space="preserve"> </w:t>
      </w:r>
      <w:r>
        <w:rPr>
          <w:w w:val="105"/>
          <w:sz w:val="12"/>
        </w:rPr>
        <w:t>Comité</w:t>
      </w:r>
      <w:r>
        <w:rPr>
          <w:spacing w:val="-5"/>
          <w:w w:val="105"/>
          <w:sz w:val="12"/>
        </w:rPr>
        <w:t xml:space="preserve"> </w:t>
      </w:r>
      <w:r>
        <w:rPr>
          <w:w w:val="105"/>
          <w:sz w:val="12"/>
        </w:rPr>
        <w:t>de</w:t>
      </w:r>
      <w:r>
        <w:rPr>
          <w:spacing w:val="-4"/>
          <w:w w:val="105"/>
          <w:sz w:val="12"/>
        </w:rPr>
        <w:t xml:space="preserve"> </w:t>
      </w:r>
      <w:r>
        <w:rPr>
          <w:w w:val="105"/>
          <w:sz w:val="12"/>
        </w:rPr>
        <w:t>Derechos</w:t>
      </w:r>
      <w:r>
        <w:rPr>
          <w:spacing w:val="-5"/>
          <w:w w:val="105"/>
          <w:sz w:val="12"/>
        </w:rPr>
        <w:t xml:space="preserve"> </w:t>
      </w:r>
      <w:r>
        <w:rPr>
          <w:w w:val="105"/>
          <w:sz w:val="12"/>
        </w:rPr>
        <w:t>Humanos,</w:t>
      </w:r>
      <w:r>
        <w:rPr>
          <w:spacing w:val="-4"/>
          <w:w w:val="105"/>
          <w:sz w:val="12"/>
        </w:rPr>
        <w:t xml:space="preserve"> </w:t>
      </w:r>
      <w:r>
        <w:rPr>
          <w:w w:val="105"/>
          <w:sz w:val="12"/>
        </w:rPr>
        <w:t>observación</w:t>
      </w:r>
      <w:r>
        <w:rPr>
          <w:spacing w:val="-4"/>
          <w:w w:val="105"/>
          <w:sz w:val="12"/>
        </w:rPr>
        <w:t xml:space="preserve"> </w:t>
      </w:r>
      <w:r>
        <w:rPr>
          <w:w w:val="105"/>
          <w:sz w:val="12"/>
        </w:rPr>
        <w:t>general</w:t>
      </w:r>
      <w:r>
        <w:rPr>
          <w:spacing w:val="-5"/>
          <w:w w:val="105"/>
          <w:sz w:val="12"/>
        </w:rPr>
        <w:t xml:space="preserve"> </w:t>
      </w:r>
      <w:r>
        <w:rPr>
          <w:w w:val="105"/>
          <w:sz w:val="12"/>
        </w:rPr>
        <w:t>núm.</w:t>
      </w:r>
      <w:r>
        <w:rPr>
          <w:spacing w:val="-5"/>
          <w:w w:val="105"/>
          <w:sz w:val="12"/>
        </w:rPr>
        <w:t xml:space="preserve"> </w:t>
      </w:r>
      <w:r>
        <w:rPr>
          <w:w w:val="105"/>
          <w:sz w:val="12"/>
        </w:rPr>
        <w:t>18</w:t>
      </w:r>
      <w:r>
        <w:rPr>
          <w:spacing w:val="-4"/>
          <w:w w:val="105"/>
          <w:sz w:val="12"/>
        </w:rPr>
        <w:t xml:space="preserve"> </w:t>
      </w:r>
      <w:r>
        <w:rPr>
          <w:w w:val="105"/>
          <w:sz w:val="12"/>
        </w:rPr>
        <w:t>(1989),</w:t>
      </w:r>
      <w:r>
        <w:rPr>
          <w:spacing w:val="-4"/>
          <w:w w:val="105"/>
          <w:sz w:val="12"/>
        </w:rPr>
        <w:t xml:space="preserve"> </w:t>
      </w:r>
      <w:r>
        <w:rPr>
          <w:w w:val="105"/>
          <w:sz w:val="12"/>
        </w:rPr>
        <w:t>párr.</w:t>
      </w:r>
      <w:r>
        <w:rPr>
          <w:spacing w:val="-4"/>
          <w:w w:val="105"/>
          <w:sz w:val="12"/>
        </w:rPr>
        <w:t xml:space="preserve"> </w:t>
      </w:r>
      <w:r>
        <w:rPr>
          <w:spacing w:val="-5"/>
          <w:w w:val="105"/>
          <w:sz w:val="12"/>
        </w:rPr>
        <w:t>1.</w:t>
      </w:r>
    </w:p>
    <w:p w14:paraId="60A50842" w14:textId="77777777" w:rsidR="0014798C" w:rsidRDefault="004E1F0B">
      <w:pPr>
        <w:spacing w:before="91"/>
        <w:ind w:left="1111"/>
        <w:rPr>
          <w:sz w:val="13"/>
        </w:rPr>
      </w:pPr>
      <w:r>
        <w:rPr>
          <w:sz w:val="13"/>
          <w:vertAlign w:val="superscript"/>
        </w:rPr>
        <w:t>19</w:t>
      </w:r>
      <w:r>
        <w:rPr>
          <w:spacing w:val="52"/>
          <w:sz w:val="13"/>
        </w:rPr>
        <w:t xml:space="preserve">  </w:t>
      </w:r>
      <w:r>
        <w:rPr>
          <w:sz w:val="13"/>
        </w:rPr>
        <w:t>Véase,</w:t>
      </w:r>
      <w:r>
        <w:rPr>
          <w:spacing w:val="4"/>
          <w:sz w:val="13"/>
        </w:rPr>
        <w:t xml:space="preserve"> </w:t>
      </w:r>
      <w:r>
        <w:rPr>
          <w:sz w:val="13"/>
        </w:rPr>
        <w:t>en</w:t>
      </w:r>
      <w:r>
        <w:rPr>
          <w:spacing w:val="3"/>
          <w:sz w:val="13"/>
        </w:rPr>
        <w:t xml:space="preserve"> </w:t>
      </w:r>
      <w:r>
        <w:rPr>
          <w:sz w:val="13"/>
        </w:rPr>
        <w:t>particular,</w:t>
      </w:r>
      <w:r>
        <w:rPr>
          <w:spacing w:val="4"/>
          <w:sz w:val="13"/>
        </w:rPr>
        <w:t xml:space="preserve"> </w:t>
      </w:r>
      <w:r>
        <w:rPr>
          <w:sz w:val="13"/>
        </w:rPr>
        <w:t>Comité</w:t>
      </w:r>
      <w:r>
        <w:rPr>
          <w:spacing w:val="3"/>
          <w:sz w:val="13"/>
        </w:rPr>
        <w:t xml:space="preserve"> </w:t>
      </w:r>
      <w:r>
        <w:rPr>
          <w:sz w:val="13"/>
        </w:rPr>
        <w:t>de</w:t>
      </w:r>
      <w:r>
        <w:rPr>
          <w:spacing w:val="3"/>
          <w:sz w:val="13"/>
        </w:rPr>
        <w:t xml:space="preserve"> </w:t>
      </w:r>
      <w:r>
        <w:rPr>
          <w:sz w:val="13"/>
        </w:rPr>
        <w:t>Derechos</w:t>
      </w:r>
      <w:r>
        <w:rPr>
          <w:spacing w:val="3"/>
          <w:sz w:val="13"/>
        </w:rPr>
        <w:t xml:space="preserve"> </w:t>
      </w:r>
      <w:r>
        <w:rPr>
          <w:sz w:val="13"/>
        </w:rPr>
        <w:t>Económicos,</w:t>
      </w:r>
      <w:r>
        <w:rPr>
          <w:spacing w:val="5"/>
          <w:sz w:val="13"/>
        </w:rPr>
        <w:t xml:space="preserve"> </w:t>
      </w:r>
      <w:r>
        <w:rPr>
          <w:sz w:val="13"/>
        </w:rPr>
        <w:t>Sociales</w:t>
      </w:r>
      <w:r>
        <w:rPr>
          <w:spacing w:val="3"/>
          <w:sz w:val="13"/>
        </w:rPr>
        <w:t xml:space="preserve"> </w:t>
      </w:r>
      <w:r>
        <w:rPr>
          <w:sz w:val="13"/>
        </w:rPr>
        <w:t>y</w:t>
      </w:r>
      <w:r>
        <w:rPr>
          <w:spacing w:val="3"/>
          <w:sz w:val="13"/>
        </w:rPr>
        <w:t xml:space="preserve"> </w:t>
      </w:r>
      <w:r>
        <w:rPr>
          <w:sz w:val="13"/>
        </w:rPr>
        <w:t>Culturales,</w:t>
      </w:r>
      <w:r>
        <w:rPr>
          <w:spacing w:val="4"/>
          <w:sz w:val="13"/>
        </w:rPr>
        <w:t xml:space="preserve"> </w:t>
      </w:r>
      <w:r>
        <w:rPr>
          <w:sz w:val="13"/>
        </w:rPr>
        <w:t>observación</w:t>
      </w:r>
      <w:r>
        <w:rPr>
          <w:spacing w:val="3"/>
          <w:sz w:val="13"/>
        </w:rPr>
        <w:t xml:space="preserve"> </w:t>
      </w:r>
      <w:r>
        <w:rPr>
          <w:sz w:val="13"/>
        </w:rPr>
        <w:t>general</w:t>
      </w:r>
      <w:r>
        <w:rPr>
          <w:spacing w:val="3"/>
          <w:sz w:val="13"/>
        </w:rPr>
        <w:t xml:space="preserve"> </w:t>
      </w:r>
      <w:r>
        <w:rPr>
          <w:sz w:val="13"/>
        </w:rPr>
        <w:t>núm.</w:t>
      </w:r>
      <w:r>
        <w:rPr>
          <w:spacing w:val="4"/>
          <w:sz w:val="13"/>
        </w:rPr>
        <w:t xml:space="preserve"> </w:t>
      </w:r>
      <w:r>
        <w:rPr>
          <w:sz w:val="13"/>
        </w:rPr>
        <w:t>20</w:t>
      </w:r>
      <w:r>
        <w:rPr>
          <w:spacing w:val="3"/>
          <w:sz w:val="13"/>
        </w:rPr>
        <w:t xml:space="preserve"> </w:t>
      </w:r>
      <w:r>
        <w:rPr>
          <w:sz w:val="13"/>
        </w:rPr>
        <w:t>(2009),</w:t>
      </w:r>
      <w:r>
        <w:rPr>
          <w:spacing w:val="4"/>
          <w:sz w:val="13"/>
        </w:rPr>
        <w:t xml:space="preserve"> </w:t>
      </w:r>
      <w:proofErr w:type="spellStart"/>
      <w:r>
        <w:rPr>
          <w:sz w:val="13"/>
        </w:rPr>
        <w:t>párrs</w:t>
      </w:r>
      <w:proofErr w:type="spellEnd"/>
      <w:r>
        <w:rPr>
          <w:sz w:val="13"/>
        </w:rPr>
        <w:t>.</w:t>
      </w:r>
      <w:r>
        <w:rPr>
          <w:spacing w:val="4"/>
          <w:sz w:val="13"/>
        </w:rPr>
        <w:t xml:space="preserve"> </w:t>
      </w:r>
      <w:r>
        <w:rPr>
          <w:sz w:val="13"/>
        </w:rPr>
        <w:t>2</w:t>
      </w:r>
      <w:r>
        <w:rPr>
          <w:spacing w:val="3"/>
          <w:sz w:val="13"/>
        </w:rPr>
        <w:t xml:space="preserve"> </w:t>
      </w:r>
      <w:r>
        <w:rPr>
          <w:sz w:val="13"/>
        </w:rPr>
        <w:t>y</w:t>
      </w:r>
      <w:r>
        <w:rPr>
          <w:spacing w:val="3"/>
          <w:sz w:val="13"/>
        </w:rPr>
        <w:t xml:space="preserve"> </w:t>
      </w:r>
      <w:r>
        <w:rPr>
          <w:spacing w:val="-5"/>
          <w:sz w:val="13"/>
        </w:rPr>
        <w:t>7.</w:t>
      </w:r>
    </w:p>
    <w:p w14:paraId="363ABFD1" w14:textId="77777777" w:rsidR="0014798C" w:rsidRDefault="004E1F0B">
      <w:pPr>
        <w:pStyle w:val="Prrafodelista"/>
        <w:numPr>
          <w:ilvl w:val="0"/>
          <w:numId w:val="91"/>
        </w:numPr>
        <w:tabs>
          <w:tab w:val="left" w:pos="1279"/>
        </w:tabs>
        <w:spacing w:before="94"/>
        <w:ind w:left="1279" w:hanging="174"/>
        <w:rPr>
          <w:sz w:val="12"/>
        </w:rPr>
      </w:pPr>
      <w:r>
        <w:rPr>
          <w:sz w:val="12"/>
        </w:rPr>
        <w:t>Pacto</w:t>
      </w:r>
      <w:r>
        <w:rPr>
          <w:spacing w:val="9"/>
          <w:sz w:val="12"/>
        </w:rPr>
        <w:t xml:space="preserve"> </w:t>
      </w:r>
      <w:r>
        <w:rPr>
          <w:sz w:val="12"/>
        </w:rPr>
        <w:t>Internacional</w:t>
      </w:r>
      <w:r>
        <w:rPr>
          <w:spacing w:val="9"/>
          <w:sz w:val="12"/>
        </w:rPr>
        <w:t xml:space="preserve"> </w:t>
      </w:r>
      <w:r>
        <w:rPr>
          <w:sz w:val="12"/>
        </w:rPr>
        <w:t>de</w:t>
      </w:r>
      <w:r>
        <w:rPr>
          <w:spacing w:val="9"/>
          <w:sz w:val="12"/>
        </w:rPr>
        <w:t xml:space="preserve"> </w:t>
      </w:r>
      <w:r>
        <w:rPr>
          <w:sz w:val="12"/>
        </w:rPr>
        <w:t>Derechos</w:t>
      </w:r>
      <w:r>
        <w:rPr>
          <w:spacing w:val="9"/>
          <w:sz w:val="12"/>
        </w:rPr>
        <w:t xml:space="preserve"> </w:t>
      </w:r>
      <w:r>
        <w:rPr>
          <w:sz w:val="12"/>
        </w:rPr>
        <w:t>Civiles</w:t>
      </w:r>
      <w:r>
        <w:rPr>
          <w:spacing w:val="9"/>
          <w:sz w:val="12"/>
        </w:rPr>
        <w:t xml:space="preserve"> </w:t>
      </w:r>
      <w:r>
        <w:rPr>
          <w:sz w:val="12"/>
        </w:rPr>
        <w:t>y</w:t>
      </w:r>
      <w:r>
        <w:rPr>
          <w:spacing w:val="10"/>
          <w:sz w:val="12"/>
        </w:rPr>
        <w:t xml:space="preserve"> </w:t>
      </w:r>
      <w:r>
        <w:rPr>
          <w:sz w:val="12"/>
        </w:rPr>
        <w:t>Políticos,</w:t>
      </w:r>
      <w:r>
        <w:rPr>
          <w:spacing w:val="10"/>
          <w:sz w:val="12"/>
        </w:rPr>
        <w:t xml:space="preserve"> </w:t>
      </w:r>
      <w:r>
        <w:rPr>
          <w:sz w:val="12"/>
        </w:rPr>
        <w:t>art.</w:t>
      </w:r>
      <w:r>
        <w:rPr>
          <w:spacing w:val="9"/>
          <w:sz w:val="12"/>
        </w:rPr>
        <w:t xml:space="preserve"> </w:t>
      </w:r>
      <w:r>
        <w:rPr>
          <w:sz w:val="12"/>
        </w:rPr>
        <w:t>2</w:t>
      </w:r>
      <w:r>
        <w:rPr>
          <w:spacing w:val="9"/>
          <w:sz w:val="12"/>
        </w:rPr>
        <w:t xml:space="preserve"> </w:t>
      </w:r>
      <w:r>
        <w:rPr>
          <w:sz w:val="12"/>
        </w:rPr>
        <w:t>(</w:t>
      </w:r>
      <w:proofErr w:type="gramStart"/>
      <w:r>
        <w:rPr>
          <w:sz w:val="12"/>
        </w:rPr>
        <w:t>1);</w:t>
      </w:r>
      <w:proofErr w:type="gramEnd"/>
      <w:r>
        <w:rPr>
          <w:spacing w:val="10"/>
          <w:sz w:val="12"/>
        </w:rPr>
        <w:t xml:space="preserve"> </w:t>
      </w:r>
      <w:r>
        <w:rPr>
          <w:sz w:val="12"/>
        </w:rPr>
        <w:t>y</w:t>
      </w:r>
      <w:r>
        <w:rPr>
          <w:spacing w:val="9"/>
          <w:sz w:val="12"/>
        </w:rPr>
        <w:t xml:space="preserve"> </w:t>
      </w:r>
      <w:r>
        <w:rPr>
          <w:sz w:val="12"/>
        </w:rPr>
        <w:t>Pacto</w:t>
      </w:r>
      <w:r>
        <w:rPr>
          <w:spacing w:val="9"/>
          <w:sz w:val="12"/>
        </w:rPr>
        <w:t xml:space="preserve"> </w:t>
      </w:r>
      <w:r>
        <w:rPr>
          <w:sz w:val="12"/>
        </w:rPr>
        <w:t>Internacional</w:t>
      </w:r>
      <w:r>
        <w:rPr>
          <w:spacing w:val="9"/>
          <w:sz w:val="12"/>
        </w:rPr>
        <w:t xml:space="preserve"> </w:t>
      </w:r>
      <w:r>
        <w:rPr>
          <w:sz w:val="12"/>
        </w:rPr>
        <w:t>de</w:t>
      </w:r>
      <w:r>
        <w:rPr>
          <w:spacing w:val="9"/>
          <w:sz w:val="12"/>
        </w:rPr>
        <w:t xml:space="preserve"> </w:t>
      </w:r>
      <w:r>
        <w:rPr>
          <w:sz w:val="12"/>
        </w:rPr>
        <w:t>Derechos</w:t>
      </w:r>
      <w:r>
        <w:rPr>
          <w:spacing w:val="10"/>
          <w:sz w:val="12"/>
        </w:rPr>
        <w:t xml:space="preserve"> </w:t>
      </w:r>
      <w:r>
        <w:rPr>
          <w:sz w:val="12"/>
        </w:rPr>
        <w:t>Económicos,</w:t>
      </w:r>
      <w:r>
        <w:rPr>
          <w:spacing w:val="10"/>
          <w:sz w:val="12"/>
        </w:rPr>
        <w:t xml:space="preserve"> </w:t>
      </w:r>
      <w:r>
        <w:rPr>
          <w:sz w:val="12"/>
        </w:rPr>
        <w:t>Sociales</w:t>
      </w:r>
      <w:r>
        <w:rPr>
          <w:spacing w:val="9"/>
          <w:sz w:val="12"/>
        </w:rPr>
        <w:t xml:space="preserve"> </w:t>
      </w:r>
      <w:r>
        <w:rPr>
          <w:sz w:val="12"/>
        </w:rPr>
        <w:t>y</w:t>
      </w:r>
      <w:r>
        <w:rPr>
          <w:spacing w:val="9"/>
          <w:sz w:val="12"/>
        </w:rPr>
        <w:t xml:space="preserve"> </w:t>
      </w:r>
      <w:r>
        <w:rPr>
          <w:spacing w:val="-2"/>
          <w:sz w:val="12"/>
        </w:rPr>
        <w:t>Culturales,</w:t>
      </w:r>
    </w:p>
    <w:p w14:paraId="06DD87BA" w14:textId="77777777" w:rsidR="0014798C" w:rsidRDefault="004E1F0B">
      <w:pPr>
        <w:spacing w:before="29"/>
        <w:ind w:left="1369"/>
        <w:rPr>
          <w:sz w:val="13"/>
        </w:rPr>
      </w:pPr>
      <w:r>
        <w:rPr>
          <w:sz w:val="13"/>
        </w:rPr>
        <w:t>arte.</w:t>
      </w:r>
      <w:r>
        <w:rPr>
          <w:spacing w:val="2"/>
          <w:sz w:val="13"/>
        </w:rPr>
        <w:t xml:space="preserve"> </w:t>
      </w:r>
      <w:r>
        <w:rPr>
          <w:sz w:val="13"/>
        </w:rPr>
        <w:t>2</w:t>
      </w:r>
      <w:r>
        <w:rPr>
          <w:spacing w:val="1"/>
          <w:sz w:val="13"/>
        </w:rPr>
        <w:t xml:space="preserve"> </w:t>
      </w:r>
      <w:r>
        <w:rPr>
          <w:spacing w:val="-4"/>
          <w:sz w:val="13"/>
        </w:rPr>
        <w:t>(2).</w:t>
      </w:r>
    </w:p>
    <w:p w14:paraId="7BAC9307" w14:textId="77777777" w:rsidR="0014798C" w:rsidRDefault="004E1F0B">
      <w:pPr>
        <w:pStyle w:val="Prrafodelista"/>
        <w:numPr>
          <w:ilvl w:val="0"/>
          <w:numId w:val="91"/>
        </w:numPr>
        <w:tabs>
          <w:tab w:val="left" w:pos="1279"/>
        </w:tabs>
        <w:spacing w:before="100"/>
        <w:ind w:left="1279" w:hanging="174"/>
        <w:rPr>
          <w:sz w:val="12"/>
        </w:rPr>
      </w:pPr>
      <w:r>
        <w:rPr>
          <w:w w:val="105"/>
          <w:sz w:val="12"/>
        </w:rPr>
        <w:t>Comité</w:t>
      </w:r>
      <w:r>
        <w:rPr>
          <w:spacing w:val="-5"/>
          <w:w w:val="105"/>
          <w:sz w:val="12"/>
        </w:rPr>
        <w:t xml:space="preserve"> </w:t>
      </w:r>
      <w:r>
        <w:rPr>
          <w:w w:val="105"/>
          <w:sz w:val="12"/>
        </w:rPr>
        <w:t>de</w:t>
      </w:r>
      <w:r>
        <w:rPr>
          <w:spacing w:val="-5"/>
          <w:w w:val="105"/>
          <w:sz w:val="12"/>
        </w:rPr>
        <w:t xml:space="preserve"> </w:t>
      </w:r>
      <w:r>
        <w:rPr>
          <w:w w:val="105"/>
          <w:sz w:val="12"/>
        </w:rPr>
        <w:t>Derechos</w:t>
      </w:r>
      <w:r>
        <w:rPr>
          <w:spacing w:val="-5"/>
          <w:w w:val="105"/>
          <w:sz w:val="12"/>
        </w:rPr>
        <w:t xml:space="preserve"> </w:t>
      </w:r>
      <w:r>
        <w:rPr>
          <w:w w:val="105"/>
          <w:sz w:val="12"/>
        </w:rPr>
        <w:t>Humanos,</w:t>
      </w:r>
      <w:r>
        <w:rPr>
          <w:spacing w:val="-4"/>
          <w:w w:val="105"/>
          <w:sz w:val="12"/>
        </w:rPr>
        <w:t xml:space="preserve"> </w:t>
      </w:r>
      <w:r>
        <w:rPr>
          <w:w w:val="105"/>
          <w:sz w:val="12"/>
        </w:rPr>
        <w:t>observación</w:t>
      </w:r>
      <w:r>
        <w:rPr>
          <w:spacing w:val="-5"/>
          <w:w w:val="105"/>
          <w:sz w:val="12"/>
        </w:rPr>
        <w:t xml:space="preserve"> </w:t>
      </w:r>
      <w:r>
        <w:rPr>
          <w:w w:val="105"/>
          <w:sz w:val="12"/>
        </w:rPr>
        <w:t>general</w:t>
      </w:r>
      <w:r>
        <w:rPr>
          <w:spacing w:val="-5"/>
          <w:w w:val="105"/>
          <w:sz w:val="12"/>
        </w:rPr>
        <w:t xml:space="preserve"> </w:t>
      </w:r>
      <w:r>
        <w:rPr>
          <w:w w:val="105"/>
          <w:sz w:val="12"/>
        </w:rPr>
        <w:t>núm.</w:t>
      </w:r>
      <w:r>
        <w:rPr>
          <w:spacing w:val="-5"/>
          <w:w w:val="105"/>
          <w:sz w:val="12"/>
        </w:rPr>
        <w:t xml:space="preserve"> </w:t>
      </w:r>
      <w:r>
        <w:rPr>
          <w:w w:val="105"/>
          <w:sz w:val="12"/>
        </w:rPr>
        <w:t>18</w:t>
      </w:r>
      <w:r>
        <w:rPr>
          <w:spacing w:val="-5"/>
          <w:w w:val="105"/>
          <w:sz w:val="12"/>
        </w:rPr>
        <w:t xml:space="preserve"> </w:t>
      </w:r>
      <w:r>
        <w:rPr>
          <w:w w:val="105"/>
          <w:sz w:val="12"/>
        </w:rPr>
        <w:t>(1989),</w:t>
      </w:r>
      <w:r>
        <w:rPr>
          <w:spacing w:val="-4"/>
          <w:w w:val="105"/>
          <w:sz w:val="12"/>
        </w:rPr>
        <w:t xml:space="preserve"> </w:t>
      </w:r>
      <w:r>
        <w:rPr>
          <w:w w:val="105"/>
          <w:sz w:val="12"/>
        </w:rPr>
        <w:t>párr.</w:t>
      </w:r>
      <w:r>
        <w:rPr>
          <w:spacing w:val="-4"/>
          <w:w w:val="105"/>
          <w:sz w:val="12"/>
        </w:rPr>
        <w:t xml:space="preserve"> </w:t>
      </w:r>
      <w:r>
        <w:rPr>
          <w:spacing w:val="-5"/>
          <w:w w:val="105"/>
          <w:sz w:val="12"/>
        </w:rPr>
        <w:t>12.</w:t>
      </w:r>
    </w:p>
    <w:p w14:paraId="2691770B" w14:textId="77777777" w:rsidR="0014798C" w:rsidRDefault="004E1F0B">
      <w:pPr>
        <w:pStyle w:val="Prrafodelista"/>
        <w:numPr>
          <w:ilvl w:val="0"/>
          <w:numId w:val="91"/>
        </w:numPr>
        <w:tabs>
          <w:tab w:val="left" w:pos="1279"/>
        </w:tabs>
        <w:spacing w:before="93"/>
        <w:ind w:left="1279" w:hanging="174"/>
        <w:rPr>
          <w:sz w:val="12"/>
        </w:rPr>
      </w:pPr>
      <w:r>
        <w:rPr>
          <w:w w:val="105"/>
          <w:sz w:val="12"/>
        </w:rPr>
        <w:t>Convención</w:t>
      </w:r>
      <w:r>
        <w:rPr>
          <w:spacing w:val="-8"/>
          <w:w w:val="105"/>
          <w:sz w:val="12"/>
        </w:rPr>
        <w:t xml:space="preserve"> </w:t>
      </w:r>
      <w:r>
        <w:rPr>
          <w:w w:val="105"/>
          <w:sz w:val="12"/>
        </w:rPr>
        <w:t>Internacional</w:t>
      </w:r>
      <w:r>
        <w:rPr>
          <w:spacing w:val="-8"/>
          <w:w w:val="105"/>
          <w:sz w:val="12"/>
        </w:rPr>
        <w:t xml:space="preserve"> </w:t>
      </w:r>
      <w:r>
        <w:rPr>
          <w:w w:val="105"/>
          <w:sz w:val="12"/>
        </w:rPr>
        <w:t>sobre</w:t>
      </w:r>
      <w:r>
        <w:rPr>
          <w:spacing w:val="-8"/>
          <w:w w:val="105"/>
          <w:sz w:val="12"/>
        </w:rPr>
        <w:t xml:space="preserve"> </w:t>
      </w:r>
      <w:r>
        <w:rPr>
          <w:w w:val="105"/>
          <w:sz w:val="12"/>
        </w:rPr>
        <w:t>la</w:t>
      </w:r>
      <w:r>
        <w:rPr>
          <w:spacing w:val="-8"/>
          <w:w w:val="105"/>
          <w:sz w:val="12"/>
        </w:rPr>
        <w:t xml:space="preserve"> </w:t>
      </w:r>
      <w:r>
        <w:rPr>
          <w:w w:val="105"/>
          <w:sz w:val="12"/>
        </w:rPr>
        <w:t>Eliminación</w:t>
      </w:r>
      <w:r>
        <w:rPr>
          <w:spacing w:val="-8"/>
          <w:w w:val="105"/>
          <w:sz w:val="12"/>
        </w:rPr>
        <w:t xml:space="preserve"> </w:t>
      </w:r>
      <w:r>
        <w:rPr>
          <w:w w:val="105"/>
          <w:sz w:val="12"/>
        </w:rPr>
        <w:t>de</w:t>
      </w:r>
      <w:r>
        <w:rPr>
          <w:spacing w:val="-8"/>
          <w:w w:val="105"/>
          <w:sz w:val="12"/>
        </w:rPr>
        <w:t xml:space="preserve"> </w:t>
      </w:r>
      <w:r>
        <w:rPr>
          <w:w w:val="105"/>
          <w:sz w:val="12"/>
        </w:rPr>
        <w:t>todas</w:t>
      </w:r>
      <w:r>
        <w:rPr>
          <w:spacing w:val="-8"/>
          <w:w w:val="105"/>
          <w:sz w:val="12"/>
        </w:rPr>
        <w:t xml:space="preserve"> </w:t>
      </w:r>
      <w:r>
        <w:rPr>
          <w:w w:val="105"/>
          <w:sz w:val="12"/>
        </w:rPr>
        <w:t>las</w:t>
      </w:r>
      <w:r>
        <w:rPr>
          <w:spacing w:val="-8"/>
          <w:w w:val="105"/>
          <w:sz w:val="12"/>
        </w:rPr>
        <w:t xml:space="preserve"> </w:t>
      </w:r>
      <w:r>
        <w:rPr>
          <w:w w:val="105"/>
          <w:sz w:val="12"/>
        </w:rPr>
        <w:t>Formas</w:t>
      </w:r>
      <w:r>
        <w:rPr>
          <w:spacing w:val="-7"/>
          <w:w w:val="105"/>
          <w:sz w:val="12"/>
        </w:rPr>
        <w:t xml:space="preserve"> </w:t>
      </w:r>
      <w:r>
        <w:rPr>
          <w:w w:val="105"/>
          <w:sz w:val="12"/>
        </w:rPr>
        <w:t>de</w:t>
      </w:r>
      <w:r>
        <w:rPr>
          <w:spacing w:val="-8"/>
          <w:w w:val="105"/>
          <w:sz w:val="12"/>
        </w:rPr>
        <w:t xml:space="preserve"> </w:t>
      </w:r>
      <w:r>
        <w:rPr>
          <w:w w:val="105"/>
          <w:sz w:val="12"/>
        </w:rPr>
        <w:t>Discriminación</w:t>
      </w:r>
      <w:r>
        <w:rPr>
          <w:spacing w:val="-8"/>
          <w:w w:val="105"/>
          <w:sz w:val="12"/>
        </w:rPr>
        <w:t xml:space="preserve"> </w:t>
      </w:r>
      <w:r>
        <w:rPr>
          <w:w w:val="105"/>
          <w:sz w:val="12"/>
        </w:rPr>
        <w:t>Racial,</w:t>
      </w:r>
      <w:r>
        <w:rPr>
          <w:spacing w:val="-7"/>
          <w:w w:val="105"/>
          <w:sz w:val="12"/>
        </w:rPr>
        <w:t xml:space="preserve"> </w:t>
      </w:r>
      <w:r>
        <w:rPr>
          <w:w w:val="105"/>
          <w:sz w:val="12"/>
        </w:rPr>
        <w:t>art.</w:t>
      </w:r>
      <w:r>
        <w:rPr>
          <w:spacing w:val="-8"/>
          <w:w w:val="105"/>
          <w:sz w:val="12"/>
        </w:rPr>
        <w:t xml:space="preserve"> </w:t>
      </w:r>
      <w:r>
        <w:rPr>
          <w:w w:val="95"/>
          <w:sz w:val="12"/>
        </w:rPr>
        <w:t>5;</w:t>
      </w:r>
      <w:r>
        <w:rPr>
          <w:spacing w:val="-5"/>
          <w:w w:val="95"/>
          <w:sz w:val="12"/>
        </w:rPr>
        <w:t xml:space="preserve"> </w:t>
      </w:r>
      <w:r>
        <w:rPr>
          <w:w w:val="105"/>
          <w:sz w:val="12"/>
        </w:rPr>
        <w:t>Convención</w:t>
      </w:r>
      <w:r>
        <w:rPr>
          <w:spacing w:val="-8"/>
          <w:w w:val="105"/>
          <w:sz w:val="12"/>
        </w:rPr>
        <w:t xml:space="preserve"> </w:t>
      </w:r>
      <w:r>
        <w:rPr>
          <w:w w:val="105"/>
          <w:sz w:val="12"/>
        </w:rPr>
        <w:t>sobre</w:t>
      </w:r>
      <w:r>
        <w:rPr>
          <w:spacing w:val="-7"/>
          <w:w w:val="105"/>
          <w:sz w:val="12"/>
        </w:rPr>
        <w:t xml:space="preserve"> </w:t>
      </w:r>
      <w:r>
        <w:rPr>
          <w:w w:val="105"/>
          <w:sz w:val="12"/>
        </w:rPr>
        <w:t>la</w:t>
      </w:r>
      <w:r>
        <w:rPr>
          <w:spacing w:val="-8"/>
          <w:w w:val="105"/>
          <w:sz w:val="12"/>
        </w:rPr>
        <w:t xml:space="preserve"> </w:t>
      </w:r>
      <w:r>
        <w:rPr>
          <w:w w:val="105"/>
          <w:sz w:val="12"/>
        </w:rPr>
        <w:t>eliminación</w:t>
      </w:r>
      <w:r>
        <w:rPr>
          <w:spacing w:val="-8"/>
          <w:w w:val="105"/>
          <w:sz w:val="12"/>
        </w:rPr>
        <w:t xml:space="preserve"> </w:t>
      </w:r>
      <w:r>
        <w:rPr>
          <w:w w:val="105"/>
          <w:sz w:val="12"/>
        </w:rPr>
        <w:t>de</w:t>
      </w:r>
      <w:r>
        <w:rPr>
          <w:spacing w:val="-8"/>
          <w:w w:val="105"/>
          <w:sz w:val="12"/>
        </w:rPr>
        <w:t xml:space="preserve"> </w:t>
      </w:r>
      <w:r>
        <w:rPr>
          <w:w w:val="105"/>
          <w:sz w:val="12"/>
        </w:rPr>
        <w:t>todas</w:t>
      </w:r>
      <w:r>
        <w:rPr>
          <w:spacing w:val="-8"/>
          <w:w w:val="105"/>
          <w:sz w:val="12"/>
        </w:rPr>
        <w:t xml:space="preserve"> </w:t>
      </w:r>
      <w:r>
        <w:rPr>
          <w:w w:val="105"/>
          <w:sz w:val="12"/>
        </w:rPr>
        <w:t>las</w:t>
      </w:r>
      <w:r>
        <w:rPr>
          <w:spacing w:val="-8"/>
          <w:w w:val="105"/>
          <w:sz w:val="12"/>
        </w:rPr>
        <w:t xml:space="preserve"> </w:t>
      </w:r>
      <w:r>
        <w:rPr>
          <w:w w:val="105"/>
          <w:sz w:val="12"/>
        </w:rPr>
        <w:t>formas</w:t>
      </w:r>
      <w:r>
        <w:rPr>
          <w:spacing w:val="-8"/>
          <w:w w:val="105"/>
          <w:sz w:val="12"/>
        </w:rPr>
        <w:t xml:space="preserve"> </w:t>
      </w:r>
      <w:r>
        <w:rPr>
          <w:spacing w:val="-5"/>
          <w:w w:val="105"/>
          <w:sz w:val="12"/>
        </w:rPr>
        <w:t>de</w:t>
      </w:r>
    </w:p>
    <w:p w14:paraId="3590B272" w14:textId="77777777" w:rsidR="0014798C" w:rsidRDefault="004E1F0B">
      <w:pPr>
        <w:spacing w:before="40"/>
        <w:ind w:left="1367"/>
        <w:rPr>
          <w:sz w:val="13"/>
        </w:rPr>
      </w:pPr>
      <w:r>
        <w:rPr>
          <w:sz w:val="13"/>
        </w:rPr>
        <w:t>Discriminación</w:t>
      </w:r>
      <w:r>
        <w:rPr>
          <w:spacing w:val="-3"/>
          <w:sz w:val="13"/>
        </w:rPr>
        <w:t xml:space="preserve"> </w:t>
      </w:r>
      <w:r>
        <w:rPr>
          <w:sz w:val="13"/>
        </w:rPr>
        <w:t>contra</w:t>
      </w:r>
      <w:r>
        <w:rPr>
          <w:spacing w:val="-2"/>
          <w:sz w:val="13"/>
        </w:rPr>
        <w:t xml:space="preserve"> </w:t>
      </w:r>
      <w:r>
        <w:rPr>
          <w:sz w:val="13"/>
        </w:rPr>
        <w:t>la</w:t>
      </w:r>
      <w:r>
        <w:rPr>
          <w:spacing w:val="-2"/>
          <w:sz w:val="13"/>
        </w:rPr>
        <w:t xml:space="preserve"> </w:t>
      </w:r>
      <w:r>
        <w:rPr>
          <w:sz w:val="13"/>
        </w:rPr>
        <w:t>Mujer,</w:t>
      </w:r>
      <w:r>
        <w:rPr>
          <w:spacing w:val="-1"/>
          <w:sz w:val="13"/>
        </w:rPr>
        <w:t xml:space="preserve"> </w:t>
      </w:r>
      <w:r>
        <w:rPr>
          <w:sz w:val="13"/>
        </w:rPr>
        <w:t>art.</w:t>
      </w:r>
      <w:r>
        <w:rPr>
          <w:spacing w:val="-2"/>
          <w:sz w:val="13"/>
        </w:rPr>
        <w:t xml:space="preserve"> </w:t>
      </w:r>
      <w:r>
        <w:rPr>
          <w:sz w:val="13"/>
        </w:rPr>
        <w:t>15;</w:t>
      </w:r>
      <w:r>
        <w:rPr>
          <w:spacing w:val="-2"/>
          <w:sz w:val="13"/>
        </w:rPr>
        <w:t xml:space="preserve"> </w:t>
      </w:r>
      <w:r>
        <w:rPr>
          <w:sz w:val="13"/>
        </w:rPr>
        <w:t>y</w:t>
      </w:r>
      <w:r>
        <w:rPr>
          <w:spacing w:val="-2"/>
          <w:sz w:val="13"/>
        </w:rPr>
        <w:t xml:space="preserve"> </w:t>
      </w:r>
      <w:r>
        <w:rPr>
          <w:sz w:val="13"/>
        </w:rPr>
        <w:t>Convención</w:t>
      </w:r>
      <w:r>
        <w:rPr>
          <w:spacing w:val="-2"/>
          <w:sz w:val="13"/>
        </w:rPr>
        <w:t xml:space="preserve"> </w:t>
      </w:r>
      <w:r>
        <w:rPr>
          <w:sz w:val="13"/>
        </w:rPr>
        <w:t>sobre</w:t>
      </w:r>
      <w:r>
        <w:rPr>
          <w:spacing w:val="-3"/>
          <w:sz w:val="13"/>
        </w:rPr>
        <w:t xml:space="preserve"> </w:t>
      </w:r>
      <w:r>
        <w:rPr>
          <w:sz w:val="13"/>
        </w:rPr>
        <w:t>los</w:t>
      </w:r>
      <w:r>
        <w:rPr>
          <w:spacing w:val="-2"/>
          <w:sz w:val="13"/>
        </w:rPr>
        <w:t xml:space="preserve"> </w:t>
      </w:r>
      <w:r>
        <w:rPr>
          <w:sz w:val="13"/>
        </w:rPr>
        <w:t>Derechos</w:t>
      </w:r>
      <w:r>
        <w:rPr>
          <w:spacing w:val="-2"/>
          <w:sz w:val="13"/>
        </w:rPr>
        <w:t xml:space="preserve"> </w:t>
      </w:r>
      <w:r>
        <w:rPr>
          <w:sz w:val="13"/>
        </w:rPr>
        <w:t>de</w:t>
      </w:r>
      <w:r>
        <w:rPr>
          <w:spacing w:val="-2"/>
          <w:sz w:val="13"/>
        </w:rPr>
        <w:t xml:space="preserve"> </w:t>
      </w:r>
      <w:r>
        <w:rPr>
          <w:sz w:val="13"/>
        </w:rPr>
        <w:t>las</w:t>
      </w:r>
      <w:r>
        <w:rPr>
          <w:spacing w:val="-2"/>
          <w:sz w:val="13"/>
        </w:rPr>
        <w:t xml:space="preserve"> </w:t>
      </w:r>
      <w:r>
        <w:rPr>
          <w:sz w:val="13"/>
        </w:rPr>
        <w:t>Personas</w:t>
      </w:r>
      <w:r>
        <w:rPr>
          <w:spacing w:val="-2"/>
          <w:sz w:val="13"/>
        </w:rPr>
        <w:t xml:space="preserve"> </w:t>
      </w:r>
      <w:r>
        <w:rPr>
          <w:sz w:val="13"/>
        </w:rPr>
        <w:t>con</w:t>
      </w:r>
      <w:r>
        <w:rPr>
          <w:spacing w:val="-2"/>
          <w:sz w:val="13"/>
        </w:rPr>
        <w:t xml:space="preserve"> </w:t>
      </w:r>
      <w:r>
        <w:rPr>
          <w:sz w:val="13"/>
        </w:rPr>
        <w:t>Discapacidad,</w:t>
      </w:r>
      <w:r>
        <w:rPr>
          <w:spacing w:val="-1"/>
          <w:sz w:val="13"/>
        </w:rPr>
        <w:t xml:space="preserve"> </w:t>
      </w:r>
      <w:r>
        <w:rPr>
          <w:sz w:val="13"/>
        </w:rPr>
        <w:t>art.</w:t>
      </w:r>
      <w:r>
        <w:rPr>
          <w:spacing w:val="-3"/>
          <w:sz w:val="13"/>
        </w:rPr>
        <w:t xml:space="preserve"> </w:t>
      </w:r>
      <w:r>
        <w:rPr>
          <w:spacing w:val="-5"/>
          <w:sz w:val="13"/>
        </w:rPr>
        <w:t>12.</w:t>
      </w:r>
    </w:p>
    <w:p w14:paraId="0B1A83E7" w14:textId="77777777" w:rsidR="0014798C" w:rsidRDefault="0014798C">
      <w:pPr>
        <w:pStyle w:val="Textoindependiente"/>
        <w:rPr>
          <w:sz w:val="14"/>
        </w:rPr>
      </w:pPr>
    </w:p>
    <w:p w14:paraId="1342E925" w14:textId="77777777" w:rsidR="0014798C" w:rsidRDefault="0014798C">
      <w:pPr>
        <w:pStyle w:val="Textoindependiente"/>
        <w:rPr>
          <w:sz w:val="14"/>
        </w:rPr>
      </w:pPr>
    </w:p>
    <w:p w14:paraId="08F6FB13" w14:textId="77777777" w:rsidR="0014798C" w:rsidRDefault="0014798C">
      <w:pPr>
        <w:pStyle w:val="Textoindependiente"/>
        <w:rPr>
          <w:sz w:val="14"/>
        </w:rPr>
      </w:pPr>
    </w:p>
    <w:p w14:paraId="060AB816" w14:textId="77777777" w:rsidR="0014798C" w:rsidRDefault="0014798C">
      <w:pPr>
        <w:pStyle w:val="Textoindependiente"/>
        <w:rPr>
          <w:sz w:val="14"/>
        </w:rPr>
      </w:pPr>
    </w:p>
    <w:p w14:paraId="6444CF99" w14:textId="77777777" w:rsidR="0014798C" w:rsidRDefault="0014798C">
      <w:pPr>
        <w:pStyle w:val="Textoindependiente"/>
        <w:spacing w:before="141"/>
        <w:rPr>
          <w:sz w:val="14"/>
        </w:rPr>
      </w:pPr>
    </w:p>
    <w:p w14:paraId="3EDD15D8" w14:textId="77777777" w:rsidR="0014798C" w:rsidRDefault="004E1F0B">
      <w:pPr>
        <w:ind w:right="724"/>
        <w:jc w:val="right"/>
        <w:rPr>
          <w:sz w:val="14"/>
        </w:rPr>
      </w:pPr>
      <w:r>
        <w:rPr>
          <w:spacing w:val="-10"/>
          <w:sz w:val="14"/>
        </w:rPr>
        <w:t>1</w:t>
      </w:r>
    </w:p>
    <w:p w14:paraId="429BE393" w14:textId="77777777" w:rsidR="0014798C" w:rsidRDefault="0014798C">
      <w:pPr>
        <w:jc w:val="right"/>
        <w:rPr>
          <w:sz w:val="14"/>
        </w:rPr>
        <w:sectPr w:rsidR="0014798C" w:rsidSect="00F265E4">
          <w:headerReference w:type="default" r:id="rId62"/>
          <w:pgSz w:w="11900" w:h="16820"/>
          <w:pgMar w:top="340" w:right="0" w:bottom="280" w:left="200" w:header="121" w:footer="0" w:gutter="0"/>
          <w:cols w:space="720"/>
        </w:sectPr>
      </w:pPr>
    </w:p>
    <w:p w14:paraId="71764BA7" w14:textId="77777777" w:rsidR="0014798C" w:rsidRDefault="0014798C">
      <w:pPr>
        <w:pStyle w:val="Textoindependiente"/>
        <w:spacing w:before="110"/>
        <w:rPr>
          <w:sz w:val="11"/>
        </w:rPr>
      </w:pPr>
    </w:p>
    <w:p w14:paraId="624129EC" w14:textId="77777777" w:rsidR="0014798C" w:rsidRDefault="004E1F0B">
      <w:pPr>
        <w:ind w:left="1111"/>
        <w:rPr>
          <w:sz w:val="11"/>
        </w:rPr>
      </w:pPr>
      <w:r>
        <w:rPr>
          <w:color w:val="009EDB"/>
          <w:w w:val="105"/>
          <w:sz w:val="11"/>
        </w:rPr>
        <w:t>PROTECCIÓN</w:t>
      </w:r>
      <w:r>
        <w:rPr>
          <w:color w:val="009EDB"/>
          <w:spacing w:val="-2"/>
          <w:w w:val="105"/>
          <w:sz w:val="11"/>
        </w:rPr>
        <w:t xml:space="preserve"> </w:t>
      </w:r>
      <w:r>
        <w:rPr>
          <w:color w:val="009EDB"/>
          <w:w w:val="105"/>
          <w:sz w:val="11"/>
        </w:rPr>
        <w:t>DE</w:t>
      </w:r>
      <w:r>
        <w:rPr>
          <w:color w:val="009EDB"/>
          <w:spacing w:val="-1"/>
          <w:w w:val="105"/>
          <w:sz w:val="11"/>
        </w:rPr>
        <w:t xml:space="preserve"> </w:t>
      </w:r>
      <w:r>
        <w:rPr>
          <w:color w:val="009EDB"/>
          <w:w w:val="105"/>
          <w:sz w:val="11"/>
        </w:rPr>
        <w:t>LOS DERECHOS</w:t>
      </w:r>
      <w:r>
        <w:rPr>
          <w:color w:val="009EDB"/>
          <w:spacing w:val="-1"/>
          <w:w w:val="105"/>
          <w:sz w:val="11"/>
        </w:rPr>
        <w:t xml:space="preserve"> </w:t>
      </w:r>
      <w:r>
        <w:rPr>
          <w:color w:val="009EDB"/>
          <w:w w:val="105"/>
          <w:sz w:val="11"/>
        </w:rPr>
        <w:t>DE</w:t>
      </w:r>
      <w:r>
        <w:rPr>
          <w:color w:val="009EDB"/>
          <w:spacing w:val="-1"/>
          <w:w w:val="105"/>
          <w:sz w:val="11"/>
        </w:rPr>
        <w:t xml:space="preserve"> </w:t>
      </w:r>
      <w:r>
        <w:rPr>
          <w:color w:val="009EDB"/>
          <w:w w:val="105"/>
          <w:sz w:val="11"/>
        </w:rPr>
        <w:t>LAS</w:t>
      </w:r>
      <w:r>
        <w:rPr>
          <w:color w:val="009EDB"/>
          <w:spacing w:val="-1"/>
          <w:w w:val="105"/>
          <w:sz w:val="11"/>
        </w:rPr>
        <w:t xml:space="preserve"> </w:t>
      </w:r>
      <w:r>
        <w:rPr>
          <w:color w:val="009EDB"/>
          <w:w w:val="105"/>
          <w:sz w:val="11"/>
        </w:rPr>
        <w:t>MINORÍAS:</w:t>
      </w:r>
      <w:r>
        <w:rPr>
          <w:color w:val="009EDB"/>
          <w:spacing w:val="-1"/>
          <w:w w:val="105"/>
          <w:sz w:val="11"/>
        </w:rPr>
        <w:t xml:space="preserve"> </w:t>
      </w:r>
      <w:r>
        <w:rPr>
          <w:color w:val="009EDB"/>
          <w:w w:val="105"/>
          <w:sz w:val="11"/>
        </w:rPr>
        <w:t>una</w:t>
      </w:r>
      <w:r>
        <w:rPr>
          <w:color w:val="009EDB"/>
          <w:spacing w:val="-1"/>
          <w:w w:val="105"/>
          <w:sz w:val="11"/>
        </w:rPr>
        <w:t xml:space="preserve"> </w:t>
      </w:r>
      <w:r>
        <w:rPr>
          <w:color w:val="009EDB"/>
          <w:w w:val="105"/>
          <w:sz w:val="11"/>
        </w:rPr>
        <w:t>guía</w:t>
      </w:r>
      <w:r>
        <w:rPr>
          <w:color w:val="009EDB"/>
          <w:spacing w:val="-1"/>
          <w:w w:val="105"/>
          <w:sz w:val="11"/>
        </w:rPr>
        <w:t xml:space="preserve"> </w:t>
      </w:r>
      <w:r>
        <w:rPr>
          <w:color w:val="009EDB"/>
          <w:w w:val="105"/>
          <w:sz w:val="11"/>
        </w:rPr>
        <w:t>práctica</w:t>
      </w:r>
      <w:r>
        <w:rPr>
          <w:color w:val="009EDB"/>
          <w:spacing w:val="-2"/>
          <w:w w:val="105"/>
          <w:sz w:val="11"/>
        </w:rPr>
        <w:t xml:space="preserve"> </w:t>
      </w:r>
      <w:r>
        <w:rPr>
          <w:color w:val="009EDB"/>
          <w:w w:val="105"/>
          <w:sz w:val="11"/>
        </w:rPr>
        <w:t>para desarrollar</w:t>
      </w:r>
      <w:r>
        <w:rPr>
          <w:color w:val="009EDB"/>
          <w:spacing w:val="-1"/>
          <w:w w:val="105"/>
          <w:sz w:val="11"/>
        </w:rPr>
        <w:t xml:space="preserve"> </w:t>
      </w:r>
      <w:r>
        <w:rPr>
          <w:color w:val="009EDB"/>
          <w:w w:val="105"/>
          <w:sz w:val="11"/>
        </w:rPr>
        <w:t>una</w:t>
      </w:r>
      <w:r>
        <w:rPr>
          <w:color w:val="009EDB"/>
          <w:spacing w:val="-2"/>
          <w:w w:val="105"/>
          <w:sz w:val="11"/>
        </w:rPr>
        <w:t xml:space="preserve"> </w:t>
      </w:r>
      <w:r>
        <w:rPr>
          <w:color w:val="009EDB"/>
          <w:w w:val="105"/>
          <w:sz w:val="11"/>
        </w:rPr>
        <w:t>legislación integral</w:t>
      </w:r>
      <w:r>
        <w:rPr>
          <w:color w:val="009EDB"/>
          <w:spacing w:val="-1"/>
          <w:w w:val="105"/>
          <w:sz w:val="11"/>
        </w:rPr>
        <w:t xml:space="preserve"> </w:t>
      </w:r>
      <w:r>
        <w:rPr>
          <w:color w:val="009EDB"/>
          <w:w w:val="105"/>
          <w:sz w:val="11"/>
        </w:rPr>
        <w:t>contra</w:t>
      </w:r>
      <w:r>
        <w:rPr>
          <w:color w:val="009EDB"/>
          <w:spacing w:val="-2"/>
          <w:w w:val="105"/>
          <w:sz w:val="11"/>
        </w:rPr>
        <w:t xml:space="preserve"> </w:t>
      </w:r>
      <w:r>
        <w:rPr>
          <w:color w:val="009EDB"/>
          <w:w w:val="105"/>
          <w:sz w:val="11"/>
        </w:rPr>
        <w:t>la</w:t>
      </w:r>
      <w:r>
        <w:rPr>
          <w:color w:val="009EDB"/>
          <w:spacing w:val="-1"/>
          <w:w w:val="105"/>
          <w:sz w:val="11"/>
        </w:rPr>
        <w:t xml:space="preserve"> </w:t>
      </w:r>
      <w:r>
        <w:rPr>
          <w:color w:val="009EDB"/>
          <w:spacing w:val="-2"/>
          <w:w w:val="105"/>
          <w:sz w:val="11"/>
        </w:rPr>
        <w:t>discriminación</w:t>
      </w:r>
    </w:p>
    <w:p w14:paraId="78F21E12" w14:textId="77777777" w:rsidR="0014798C" w:rsidRDefault="0014798C">
      <w:pPr>
        <w:pStyle w:val="Textoindependiente"/>
        <w:rPr>
          <w:sz w:val="15"/>
        </w:rPr>
      </w:pPr>
    </w:p>
    <w:p w14:paraId="7B78827C" w14:textId="77777777" w:rsidR="0014798C" w:rsidRDefault="0014798C">
      <w:pPr>
        <w:pStyle w:val="Textoindependiente"/>
        <w:rPr>
          <w:sz w:val="15"/>
        </w:rPr>
      </w:pPr>
    </w:p>
    <w:p w14:paraId="5932C941" w14:textId="77777777" w:rsidR="0014798C" w:rsidRDefault="0014798C">
      <w:pPr>
        <w:pStyle w:val="Textoindependiente"/>
        <w:rPr>
          <w:sz w:val="15"/>
        </w:rPr>
      </w:pPr>
    </w:p>
    <w:p w14:paraId="0C5FA659" w14:textId="77777777" w:rsidR="0014798C" w:rsidRDefault="0014798C">
      <w:pPr>
        <w:pStyle w:val="Textoindependiente"/>
        <w:rPr>
          <w:sz w:val="15"/>
        </w:rPr>
      </w:pPr>
    </w:p>
    <w:p w14:paraId="4C7D4EBE" w14:textId="77777777" w:rsidR="0014798C" w:rsidRDefault="0014798C">
      <w:pPr>
        <w:pStyle w:val="Textoindependiente"/>
        <w:spacing w:before="115"/>
        <w:rPr>
          <w:sz w:val="15"/>
        </w:rPr>
      </w:pPr>
    </w:p>
    <w:p w14:paraId="7E42A184" w14:textId="77777777" w:rsidR="0014798C" w:rsidRDefault="004E1F0B">
      <w:pPr>
        <w:spacing w:line="348" w:lineRule="auto"/>
        <w:ind w:left="1108" w:right="1272" w:firstLine="1"/>
        <w:rPr>
          <w:sz w:val="15"/>
        </w:rPr>
      </w:pPr>
      <w:r>
        <w:rPr>
          <w:w w:val="105"/>
          <w:sz w:val="15"/>
        </w:rPr>
        <w:t>y los miembros individuales de estos grupos.23 También hay un reconocimiento cada vez mayor del derecho a la igualdad de capacidad jurídica, como un componente inherente de las obligaciones de los Estados de garantizar la igualdad ante la ley o la igualdad</w:t>
      </w:r>
      <w:r>
        <w:rPr>
          <w:spacing w:val="-1"/>
          <w:w w:val="105"/>
          <w:sz w:val="15"/>
        </w:rPr>
        <w:t xml:space="preserve"> </w:t>
      </w:r>
      <w:r>
        <w:rPr>
          <w:w w:val="105"/>
          <w:sz w:val="15"/>
        </w:rPr>
        <w:t>de</w:t>
      </w:r>
      <w:r>
        <w:rPr>
          <w:spacing w:val="-1"/>
          <w:w w:val="105"/>
          <w:sz w:val="15"/>
        </w:rPr>
        <w:t xml:space="preserve"> </w:t>
      </w:r>
      <w:r>
        <w:rPr>
          <w:w w:val="105"/>
          <w:sz w:val="15"/>
        </w:rPr>
        <w:t>protección</w:t>
      </w:r>
      <w:r>
        <w:rPr>
          <w:spacing w:val="-1"/>
          <w:w w:val="105"/>
          <w:sz w:val="15"/>
        </w:rPr>
        <w:t xml:space="preserve"> </w:t>
      </w:r>
      <w:r>
        <w:rPr>
          <w:w w:val="105"/>
          <w:sz w:val="15"/>
        </w:rPr>
        <w:t>de</w:t>
      </w:r>
      <w:r>
        <w:rPr>
          <w:spacing w:val="-1"/>
          <w:w w:val="105"/>
          <w:sz w:val="15"/>
        </w:rPr>
        <w:t xml:space="preserve"> </w:t>
      </w:r>
      <w:r>
        <w:rPr>
          <w:w w:val="105"/>
          <w:sz w:val="15"/>
        </w:rPr>
        <w:t>la</w:t>
      </w:r>
      <w:r>
        <w:rPr>
          <w:spacing w:val="-1"/>
          <w:w w:val="105"/>
          <w:sz w:val="15"/>
        </w:rPr>
        <w:t xml:space="preserve"> </w:t>
      </w:r>
      <w:r>
        <w:rPr>
          <w:w w:val="105"/>
          <w:sz w:val="15"/>
        </w:rPr>
        <w:t>ley.</w:t>
      </w:r>
      <w:r>
        <w:rPr>
          <w:spacing w:val="-1"/>
          <w:w w:val="105"/>
          <w:sz w:val="15"/>
        </w:rPr>
        <w:t xml:space="preserve"> </w:t>
      </w:r>
      <w:r>
        <w:rPr>
          <w:w w:val="105"/>
          <w:sz w:val="15"/>
        </w:rPr>
        <w:t>A</w:t>
      </w:r>
      <w:r>
        <w:rPr>
          <w:spacing w:val="-2"/>
          <w:w w:val="105"/>
          <w:sz w:val="15"/>
        </w:rPr>
        <w:t xml:space="preserve"> </w:t>
      </w:r>
      <w:r>
        <w:rPr>
          <w:w w:val="105"/>
          <w:sz w:val="15"/>
        </w:rPr>
        <w:t>este</w:t>
      </w:r>
      <w:r>
        <w:rPr>
          <w:spacing w:val="-2"/>
          <w:w w:val="105"/>
          <w:sz w:val="15"/>
        </w:rPr>
        <w:t xml:space="preserve"> </w:t>
      </w:r>
      <w:r>
        <w:rPr>
          <w:w w:val="105"/>
          <w:sz w:val="15"/>
        </w:rPr>
        <w:t>respecto,</w:t>
      </w:r>
      <w:r>
        <w:rPr>
          <w:spacing w:val="-1"/>
          <w:w w:val="105"/>
          <w:sz w:val="15"/>
        </w:rPr>
        <w:t xml:space="preserve"> </w:t>
      </w:r>
      <w:r>
        <w:rPr>
          <w:w w:val="105"/>
          <w:sz w:val="15"/>
        </w:rPr>
        <w:t>el</w:t>
      </w:r>
      <w:r>
        <w:rPr>
          <w:spacing w:val="-1"/>
          <w:w w:val="105"/>
          <w:sz w:val="15"/>
        </w:rPr>
        <w:t xml:space="preserve"> </w:t>
      </w:r>
      <w:r>
        <w:rPr>
          <w:w w:val="105"/>
          <w:sz w:val="15"/>
        </w:rPr>
        <w:t>Comité</w:t>
      </w:r>
      <w:r>
        <w:rPr>
          <w:spacing w:val="-2"/>
          <w:w w:val="105"/>
          <w:sz w:val="15"/>
        </w:rPr>
        <w:t xml:space="preserve"> </w:t>
      </w:r>
      <w:r>
        <w:rPr>
          <w:w w:val="105"/>
          <w:sz w:val="15"/>
        </w:rPr>
        <w:t>sobre</w:t>
      </w:r>
      <w:r>
        <w:rPr>
          <w:spacing w:val="-1"/>
          <w:w w:val="105"/>
          <w:sz w:val="15"/>
        </w:rPr>
        <w:t xml:space="preserve"> </w:t>
      </w:r>
      <w:r>
        <w:rPr>
          <w:w w:val="105"/>
          <w:sz w:val="15"/>
        </w:rPr>
        <w:t>los</w:t>
      </w:r>
      <w:r>
        <w:rPr>
          <w:spacing w:val="-1"/>
          <w:w w:val="105"/>
          <w:sz w:val="15"/>
        </w:rPr>
        <w:t xml:space="preserve"> </w:t>
      </w:r>
      <w:r>
        <w:rPr>
          <w:w w:val="105"/>
          <w:sz w:val="15"/>
        </w:rPr>
        <w:t>Derechos</w:t>
      </w:r>
      <w:r>
        <w:rPr>
          <w:spacing w:val="-2"/>
          <w:w w:val="105"/>
          <w:sz w:val="15"/>
        </w:rPr>
        <w:t xml:space="preserve"> </w:t>
      </w:r>
      <w:r>
        <w:rPr>
          <w:w w:val="105"/>
          <w:sz w:val="15"/>
        </w:rPr>
        <w:t>de</w:t>
      </w:r>
      <w:r>
        <w:rPr>
          <w:spacing w:val="-1"/>
          <w:w w:val="105"/>
          <w:sz w:val="15"/>
        </w:rPr>
        <w:t xml:space="preserve"> </w:t>
      </w:r>
      <w:r>
        <w:rPr>
          <w:w w:val="105"/>
          <w:sz w:val="15"/>
        </w:rPr>
        <w:t>las</w:t>
      </w:r>
      <w:r>
        <w:rPr>
          <w:spacing w:val="-1"/>
          <w:w w:val="105"/>
          <w:sz w:val="15"/>
        </w:rPr>
        <w:t xml:space="preserve"> </w:t>
      </w:r>
      <w:r>
        <w:rPr>
          <w:w w:val="105"/>
          <w:sz w:val="15"/>
        </w:rPr>
        <w:t>Personas</w:t>
      </w:r>
      <w:r>
        <w:rPr>
          <w:spacing w:val="-2"/>
          <w:w w:val="105"/>
          <w:sz w:val="15"/>
        </w:rPr>
        <w:t xml:space="preserve"> </w:t>
      </w:r>
      <w:r>
        <w:rPr>
          <w:w w:val="105"/>
          <w:sz w:val="15"/>
        </w:rPr>
        <w:t>con</w:t>
      </w:r>
      <w:r>
        <w:rPr>
          <w:spacing w:val="-1"/>
          <w:w w:val="105"/>
          <w:sz w:val="15"/>
        </w:rPr>
        <w:t xml:space="preserve"> </w:t>
      </w:r>
      <w:r>
        <w:rPr>
          <w:w w:val="105"/>
          <w:sz w:val="15"/>
        </w:rPr>
        <w:t>Discapacidad</w:t>
      </w:r>
      <w:r>
        <w:rPr>
          <w:spacing w:val="-1"/>
          <w:w w:val="105"/>
          <w:sz w:val="15"/>
        </w:rPr>
        <w:t xml:space="preserve"> </w:t>
      </w:r>
      <w:r>
        <w:rPr>
          <w:w w:val="105"/>
          <w:sz w:val="15"/>
        </w:rPr>
        <w:t>ha</w:t>
      </w:r>
      <w:r>
        <w:rPr>
          <w:spacing w:val="-1"/>
          <w:w w:val="105"/>
          <w:sz w:val="15"/>
        </w:rPr>
        <w:t xml:space="preserve"> </w:t>
      </w:r>
      <w:r>
        <w:rPr>
          <w:w w:val="105"/>
          <w:sz w:val="15"/>
        </w:rPr>
        <w:t>señalado</w:t>
      </w:r>
      <w:r>
        <w:rPr>
          <w:spacing w:val="-1"/>
          <w:w w:val="105"/>
          <w:sz w:val="15"/>
        </w:rPr>
        <w:t xml:space="preserve"> </w:t>
      </w:r>
      <w:r>
        <w:rPr>
          <w:w w:val="105"/>
          <w:sz w:val="15"/>
        </w:rPr>
        <w:t xml:space="preserve">que “no existen circunstancias permisibles según el derecho internacional de los derechos humanos en las que una persona pueda ser privada del derecho al reconocimiento de su personalidad ante la ley, o en la que </w:t>
      </w:r>
      <w:proofErr w:type="spellStart"/>
      <w:r>
        <w:rPr>
          <w:w w:val="105"/>
          <w:sz w:val="15"/>
        </w:rPr>
        <w:t>esta</w:t>
      </w:r>
      <w:proofErr w:type="spellEnd"/>
      <w:r>
        <w:rPr>
          <w:w w:val="105"/>
          <w:sz w:val="15"/>
        </w:rPr>
        <w:t xml:space="preserve"> el derecho puede ser limitado”.24</w:t>
      </w:r>
    </w:p>
    <w:p w14:paraId="5D3B44A1" w14:textId="77777777" w:rsidR="0014798C" w:rsidRDefault="004E1F0B">
      <w:pPr>
        <w:spacing w:before="168" w:line="348" w:lineRule="auto"/>
        <w:ind w:left="1108" w:right="1272" w:firstLine="2"/>
        <w:rPr>
          <w:sz w:val="15"/>
        </w:rPr>
      </w:pPr>
      <w:r>
        <w:rPr>
          <w:w w:val="105"/>
          <w:sz w:val="15"/>
        </w:rPr>
        <w:t xml:space="preserve">Más allá de estos tratados, se pueden encontrar garantías de igualdad y no discriminación en una variedad de instrumentos internacionales. Los </w:t>
      </w:r>
      <w:proofErr w:type="gramStart"/>
      <w:r>
        <w:rPr>
          <w:w w:val="105"/>
          <w:sz w:val="15"/>
        </w:rPr>
        <w:t>Estados partes</w:t>
      </w:r>
      <w:proofErr w:type="gramEnd"/>
      <w:r>
        <w:rPr>
          <w:w w:val="105"/>
          <w:sz w:val="15"/>
        </w:rPr>
        <w:t xml:space="preserve"> en la Convención sobre los Derechos del Niño deben “respetar y garantizar” los derechos establecidos en la Convención “sin discriminación de ningún tipo”25 y una obligación similar se establece en la Convención Internacional</w:t>
      </w:r>
      <w:r>
        <w:rPr>
          <w:spacing w:val="-2"/>
          <w:w w:val="105"/>
          <w:sz w:val="15"/>
        </w:rPr>
        <w:t xml:space="preserve"> </w:t>
      </w:r>
      <w:r>
        <w:rPr>
          <w:w w:val="105"/>
          <w:sz w:val="15"/>
        </w:rPr>
        <w:t>sobre</w:t>
      </w:r>
      <w:r>
        <w:rPr>
          <w:spacing w:val="-1"/>
          <w:w w:val="105"/>
          <w:sz w:val="15"/>
        </w:rPr>
        <w:t xml:space="preserve"> </w:t>
      </w:r>
      <w:r>
        <w:rPr>
          <w:w w:val="105"/>
          <w:sz w:val="15"/>
        </w:rPr>
        <w:t>la</w:t>
      </w:r>
      <w:r>
        <w:rPr>
          <w:spacing w:val="-1"/>
          <w:w w:val="105"/>
          <w:sz w:val="15"/>
        </w:rPr>
        <w:t xml:space="preserve"> </w:t>
      </w:r>
      <w:r>
        <w:rPr>
          <w:w w:val="105"/>
          <w:sz w:val="15"/>
        </w:rPr>
        <w:t>Protección</w:t>
      </w:r>
      <w:r>
        <w:rPr>
          <w:spacing w:val="-2"/>
          <w:w w:val="105"/>
          <w:sz w:val="15"/>
        </w:rPr>
        <w:t xml:space="preserve"> </w:t>
      </w:r>
      <w:r>
        <w:rPr>
          <w:w w:val="105"/>
          <w:sz w:val="15"/>
        </w:rPr>
        <w:t>de</w:t>
      </w:r>
      <w:r>
        <w:rPr>
          <w:spacing w:val="-1"/>
          <w:w w:val="105"/>
          <w:sz w:val="15"/>
        </w:rPr>
        <w:t xml:space="preserve"> </w:t>
      </w:r>
      <w:r>
        <w:rPr>
          <w:w w:val="105"/>
          <w:sz w:val="15"/>
        </w:rPr>
        <w:t>los</w:t>
      </w:r>
      <w:r>
        <w:rPr>
          <w:spacing w:val="-1"/>
          <w:w w:val="105"/>
          <w:sz w:val="15"/>
        </w:rPr>
        <w:t xml:space="preserve"> </w:t>
      </w:r>
      <w:r>
        <w:rPr>
          <w:w w:val="105"/>
          <w:sz w:val="15"/>
        </w:rPr>
        <w:t>Derechos.</w:t>
      </w:r>
      <w:r>
        <w:rPr>
          <w:spacing w:val="-1"/>
          <w:w w:val="105"/>
          <w:sz w:val="15"/>
        </w:rPr>
        <w:t xml:space="preserve"> </w:t>
      </w:r>
      <w:r>
        <w:rPr>
          <w:w w:val="105"/>
          <w:sz w:val="15"/>
        </w:rPr>
        <w:t>de</w:t>
      </w:r>
      <w:r>
        <w:rPr>
          <w:spacing w:val="-1"/>
          <w:w w:val="105"/>
          <w:sz w:val="15"/>
        </w:rPr>
        <w:t xml:space="preserve"> </w:t>
      </w:r>
      <w:r>
        <w:rPr>
          <w:w w:val="105"/>
          <w:sz w:val="15"/>
        </w:rPr>
        <w:t>todos</w:t>
      </w:r>
      <w:r>
        <w:rPr>
          <w:spacing w:val="-2"/>
          <w:w w:val="105"/>
          <w:sz w:val="15"/>
        </w:rPr>
        <w:t xml:space="preserve"> </w:t>
      </w:r>
      <w:r>
        <w:rPr>
          <w:w w:val="105"/>
          <w:sz w:val="15"/>
        </w:rPr>
        <w:t>los</w:t>
      </w:r>
      <w:r>
        <w:rPr>
          <w:spacing w:val="-1"/>
          <w:w w:val="105"/>
          <w:sz w:val="15"/>
        </w:rPr>
        <w:t xml:space="preserve"> </w:t>
      </w:r>
      <w:r>
        <w:rPr>
          <w:w w:val="105"/>
          <w:sz w:val="15"/>
        </w:rPr>
        <w:t>trabajadores</w:t>
      </w:r>
      <w:r>
        <w:rPr>
          <w:spacing w:val="-2"/>
          <w:w w:val="105"/>
          <w:sz w:val="15"/>
        </w:rPr>
        <w:t xml:space="preserve"> </w:t>
      </w:r>
      <w:r>
        <w:rPr>
          <w:w w:val="105"/>
          <w:sz w:val="15"/>
        </w:rPr>
        <w:t>migratorios</w:t>
      </w:r>
      <w:r>
        <w:rPr>
          <w:spacing w:val="-2"/>
          <w:w w:val="105"/>
          <w:sz w:val="15"/>
        </w:rPr>
        <w:t xml:space="preserve"> </w:t>
      </w:r>
      <w:r>
        <w:rPr>
          <w:w w:val="105"/>
          <w:sz w:val="15"/>
        </w:rPr>
        <w:t>y</w:t>
      </w:r>
      <w:r>
        <w:rPr>
          <w:spacing w:val="-1"/>
          <w:w w:val="105"/>
          <w:sz w:val="15"/>
        </w:rPr>
        <w:t xml:space="preserve"> </w:t>
      </w:r>
      <w:r>
        <w:rPr>
          <w:w w:val="105"/>
          <w:sz w:val="15"/>
        </w:rPr>
        <w:t>de</w:t>
      </w:r>
      <w:r>
        <w:rPr>
          <w:spacing w:val="-1"/>
          <w:w w:val="105"/>
          <w:sz w:val="15"/>
        </w:rPr>
        <w:t xml:space="preserve"> </w:t>
      </w:r>
      <w:r>
        <w:rPr>
          <w:w w:val="105"/>
          <w:sz w:val="15"/>
        </w:rPr>
        <w:t>sus</w:t>
      </w:r>
      <w:r>
        <w:rPr>
          <w:spacing w:val="-1"/>
          <w:w w:val="105"/>
          <w:sz w:val="15"/>
        </w:rPr>
        <w:t xml:space="preserve"> </w:t>
      </w:r>
      <w:r>
        <w:rPr>
          <w:w w:val="105"/>
          <w:sz w:val="15"/>
        </w:rPr>
        <w:t>familiares.26</w:t>
      </w:r>
      <w:r>
        <w:rPr>
          <w:spacing w:val="-2"/>
          <w:w w:val="105"/>
          <w:sz w:val="15"/>
        </w:rPr>
        <w:t xml:space="preserve"> </w:t>
      </w:r>
      <w:r>
        <w:rPr>
          <w:w w:val="105"/>
          <w:sz w:val="15"/>
        </w:rPr>
        <w:t>La</w:t>
      </w:r>
      <w:r>
        <w:rPr>
          <w:spacing w:val="-1"/>
          <w:w w:val="105"/>
          <w:sz w:val="15"/>
        </w:rPr>
        <w:t xml:space="preserve"> </w:t>
      </w:r>
      <w:r>
        <w:rPr>
          <w:w w:val="105"/>
          <w:sz w:val="15"/>
        </w:rPr>
        <w:t>Asamblea</w:t>
      </w:r>
      <w:r>
        <w:rPr>
          <w:spacing w:val="-2"/>
          <w:w w:val="105"/>
          <w:sz w:val="15"/>
        </w:rPr>
        <w:t xml:space="preserve"> </w:t>
      </w:r>
      <w:r>
        <w:rPr>
          <w:w w:val="105"/>
          <w:sz w:val="15"/>
        </w:rPr>
        <w:t>General ha abierto el debate sobre un posible instrumento específico de derechos humanos sobre los derechos de las personas mayores,27 que se espera que incluya un compromiso igualmente sólido con la no discriminación.</w:t>
      </w:r>
    </w:p>
    <w:p w14:paraId="45C4C21C" w14:textId="77777777" w:rsidR="0014798C" w:rsidRDefault="004E1F0B">
      <w:pPr>
        <w:pStyle w:val="Textoindependiente"/>
        <w:spacing w:before="182" w:line="326" w:lineRule="auto"/>
        <w:ind w:left="1111" w:right="1272"/>
      </w:pPr>
      <w:r>
        <w:t>Los Estados también han aceptado obligaciones de no discriminación en ámbitos concretos de la vida, como el empleo y la educación, y en lo que respecta a grupos particulares, como los pueblos indígenas, mediante la ratificación de convenios de la Organización Internacional del Trabajo (OIT)28 y la Convención contra la Discriminación en la Educación. 29</w:t>
      </w:r>
    </w:p>
    <w:p w14:paraId="28577C0C" w14:textId="77777777" w:rsidR="0014798C" w:rsidRDefault="0014798C">
      <w:pPr>
        <w:pStyle w:val="Textoindependiente"/>
        <w:spacing w:before="214"/>
        <w:rPr>
          <w:sz w:val="28"/>
        </w:rPr>
      </w:pPr>
    </w:p>
    <w:p w14:paraId="3F3EA3F6" w14:textId="77777777" w:rsidR="0014798C" w:rsidRDefault="004E1F0B">
      <w:pPr>
        <w:numPr>
          <w:ilvl w:val="3"/>
          <w:numId w:val="93"/>
        </w:numPr>
        <w:tabs>
          <w:tab w:val="left" w:pos="1459"/>
        </w:tabs>
        <w:ind w:left="1459" w:hanging="339"/>
        <w:rPr>
          <w:color w:val="009EDB"/>
          <w:sz w:val="28"/>
        </w:rPr>
      </w:pPr>
      <w:r>
        <w:rPr>
          <w:color w:val="009EDB"/>
          <w:sz w:val="28"/>
        </w:rPr>
        <w:t>Obligaciones</w:t>
      </w:r>
      <w:r>
        <w:rPr>
          <w:color w:val="009EDB"/>
          <w:spacing w:val="-12"/>
          <w:sz w:val="28"/>
        </w:rPr>
        <w:t xml:space="preserve"> </w:t>
      </w:r>
      <w:r>
        <w:rPr>
          <w:color w:val="009EDB"/>
          <w:sz w:val="28"/>
        </w:rPr>
        <w:t>de</w:t>
      </w:r>
      <w:r>
        <w:rPr>
          <w:color w:val="009EDB"/>
          <w:spacing w:val="-11"/>
          <w:sz w:val="28"/>
        </w:rPr>
        <w:t xml:space="preserve"> </w:t>
      </w:r>
      <w:r>
        <w:rPr>
          <w:color w:val="009EDB"/>
          <w:sz w:val="28"/>
        </w:rPr>
        <w:t>respetar,</w:t>
      </w:r>
      <w:r>
        <w:rPr>
          <w:color w:val="009EDB"/>
          <w:spacing w:val="-10"/>
          <w:sz w:val="28"/>
        </w:rPr>
        <w:t xml:space="preserve"> </w:t>
      </w:r>
      <w:r>
        <w:rPr>
          <w:color w:val="009EDB"/>
          <w:sz w:val="28"/>
        </w:rPr>
        <w:t>proteger</w:t>
      </w:r>
      <w:r>
        <w:rPr>
          <w:color w:val="009EDB"/>
          <w:spacing w:val="-11"/>
          <w:sz w:val="28"/>
        </w:rPr>
        <w:t xml:space="preserve"> </w:t>
      </w:r>
      <w:r>
        <w:rPr>
          <w:color w:val="009EDB"/>
          <w:sz w:val="28"/>
        </w:rPr>
        <w:t>y</w:t>
      </w:r>
      <w:r>
        <w:rPr>
          <w:color w:val="009EDB"/>
          <w:spacing w:val="-12"/>
          <w:sz w:val="28"/>
        </w:rPr>
        <w:t xml:space="preserve"> </w:t>
      </w:r>
      <w:r>
        <w:rPr>
          <w:color w:val="009EDB"/>
          <w:spacing w:val="-2"/>
          <w:sz w:val="28"/>
        </w:rPr>
        <w:t>cumplir</w:t>
      </w:r>
    </w:p>
    <w:p w14:paraId="6124F8C5" w14:textId="77777777" w:rsidR="0014798C" w:rsidRDefault="004E1F0B">
      <w:pPr>
        <w:spacing w:before="207"/>
        <w:ind w:left="1110"/>
        <w:rPr>
          <w:sz w:val="18"/>
        </w:rPr>
      </w:pPr>
      <w:r>
        <w:rPr>
          <w:sz w:val="18"/>
        </w:rPr>
        <w:t>Al</w:t>
      </w:r>
      <w:r>
        <w:rPr>
          <w:spacing w:val="-9"/>
          <w:sz w:val="18"/>
        </w:rPr>
        <w:t xml:space="preserve"> </w:t>
      </w:r>
      <w:r>
        <w:rPr>
          <w:sz w:val="18"/>
        </w:rPr>
        <w:t>ratificar</w:t>
      </w:r>
      <w:r>
        <w:rPr>
          <w:spacing w:val="-8"/>
          <w:sz w:val="18"/>
        </w:rPr>
        <w:t xml:space="preserve"> </w:t>
      </w:r>
      <w:r>
        <w:rPr>
          <w:sz w:val="18"/>
        </w:rPr>
        <w:t>instrumentos</w:t>
      </w:r>
      <w:r>
        <w:rPr>
          <w:spacing w:val="-9"/>
          <w:sz w:val="18"/>
        </w:rPr>
        <w:t xml:space="preserve"> </w:t>
      </w:r>
      <w:r>
        <w:rPr>
          <w:sz w:val="18"/>
        </w:rPr>
        <w:t>de</w:t>
      </w:r>
      <w:r>
        <w:rPr>
          <w:spacing w:val="-8"/>
          <w:sz w:val="18"/>
        </w:rPr>
        <w:t xml:space="preserve"> </w:t>
      </w:r>
      <w:r>
        <w:rPr>
          <w:sz w:val="18"/>
        </w:rPr>
        <w:t>derechos</w:t>
      </w:r>
      <w:r>
        <w:rPr>
          <w:spacing w:val="-9"/>
          <w:sz w:val="18"/>
        </w:rPr>
        <w:t xml:space="preserve"> </w:t>
      </w:r>
      <w:r>
        <w:rPr>
          <w:sz w:val="18"/>
        </w:rPr>
        <w:t>humanos,</w:t>
      </w:r>
      <w:r>
        <w:rPr>
          <w:spacing w:val="-7"/>
          <w:sz w:val="18"/>
        </w:rPr>
        <w:t xml:space="preserve"> </w:t>
      </w:r>
      <w:r>
        <w:rPr>
          <w:sz w:val="18"/>
        </w:rPr>
        <w:t>los</w:t>
      </w:r>
      <w:r>
        <w:rPr>
          <w:spacing w:val="-9"/>
          <w:sz w:val="18"/>
        </w:rPr>
        <w:t xml:space="preserve"> </w:t>
      </w:r>
      <w:r>
        <w:rPr>
          <w:sz w:val="18"/>
        </w:rPr>
        <w:t>Estados</w:t>
      </w:r>
      <w:r>
        <w:rPr>
          <w:spacing w:val="-8"/>
          <w:sz w:val="18"/>
        </w:rPr>
        <w:t xml:space="preserve"> </w:t>
      </w:r>
      <w:r>
        <w:rPr>
          <w:sz w:val="18"/>
        </w:rPr>
        <w:t>asumen</w:t>
      </w:r>
      <w:r>
        <w:rPr>
          <w:spacing w:val="-9"/>
          <w:sz w:val="18"/>
        </w:rPr>
        <w:t xml:space="preserve"> </w:t>
      </w:r>
      <w:r>
        <w:rPr>
          <w:sz w:val="18"/>
        </w:rPr>
        <w:t>la</w:t>
      </w:r>
      <w:r>
        <w:rPr>
          <w:spacing w:val="-8"/>
          <w:sz w:val="18"/>
        </w:rPr>
        <w:t xml:space="preserve"> </w:t>
      </w:r>
      <w:r>
        <w:rPr>
          <w:sz w:val="18"/>
        </w:rPr>
        <w:t>obligación</w:t>
      </w:r>
      <w:r>
        <w:rPr>
          <w:spacing w:val="-8"/>
          <w:sz w:val="18"/>
        </w:rPr>
        <w:t xml:space="preserve"> </w:t>
      </w:r>
      <w:r>
        <w:rPr>
          <w:sz w:val="18"/>
        </w:rPr>
        <w:t>inmediata</w:t>
      </w:r>
      <w:r>
        <w:rPr>
          <w:spacing w:val="-9"/>
          <w:sz w:val="18"/>
        </w:rPr>
        <w:t xml:space="preserve"> </w:t>
      </w:r>
      <w:r>
        <w:rPr>
          <w:sz w:val="18"/>
        </w:rPr>
        <w:t>de</w:t>
      </w:r>
      <w:r>
        <w:rPr>
          <w:spacing w:val="-8"/>
          <w:sz w:val="18"/>
        </w:rPr>
        <w:t xml:space="preserve"> </w:t>
      </w:r>
      <w:r>
        <w:rPr>
          <w:sz w:val="18"/>
        </w:rPr>
        <w:t>tomar</w:t>
      </w:r>
      <w:r>
        <w:rPr>
          <w:spacing w:val="-9"/>
          <w:sz w:val="18"/>
        </w:rPr>
        <w:t xml:space="preserve"> </w:t>
      </w:r>
      <w:r>
        <w:rPr>
          <w:sz w:val="18"/>
        </w:rPr>
        <w:t>todas</w:t>
      </w:r>
      <w:r>
        <w:rPr>
          <w:spacing w:val="-8"/>
          <w:sz w:val="18"/>
        </w:rPr>
        <w:t xml:space="preserve"> </w:t>
      </w:r>
      <w:r>
        <w:rPr>
          <w:spacing w:val="-5"/>
          <w:sz w:val="18"/>
        </w:rPr>
        <w:t>las</w:t>
      </w:r>
    </w:p>
    <w:p w14:paraId="626886B0" w14:textId="77777777" w:rsidR="0014798C" w:rsidRDefault="004E1F0B">
      <w:pPr>
        <w:spacing w:before="42"/>
        <w:ind w:left="1111"/>
        <w:rPr>
          <w:sz w:val="18"/>
        </w:rPr>
      </w:pPr>
      <w:r>
        <w:rPr>
          <w:sz w:val="18"/>
        </w:rPr>
        <w:t>medidas</w:t>
      </w:r>
      <w:r>
        <w:rPr>
          <w:spacing w:val="-8"/>
          <w:sz w:val="18"/>
        </w:rPr>
        <w:t xml:space="preserve"> </w:t>
      </w:r>
      <w:r>
        <w:rPr>
          <w:sz w:val="18"/>
        </w:rPr>
        <w:t>–</w:t>
      </w:r>
      <w:proofErr w:type="gramStart"/>
      <w:r>
        <w:rPr>
          <w:sz w:val="18"/>
        </w:rPr>
        <w:t>administrativas</w:t>
      </w:r>
      <w:r>
        <w:rPr>
          <w:spacing w:val="-8"/>
          <w:sz w:val="18"/>
        </w:rPr>
        <w:t xml:space="preserve"> </w:t>
      </w:r>
      <w:r>
        <w:rPr>
          <w:sz w:val="18"/>
        </w:rPr>
        <w:t>,</w:t>
      </w:r>
      <w:proofErr w:type="gramEnd"/>
      <w:r>
        <w:rPr>
          <w:spacing w:val="-8"/>
          <w:sz w:val="18"/>
        </w:rPr>
        <w:t xml:space="preserve"> </w:t>
      </w:r>
      <w:r>
        <w:rPr>
          <w:sz w:val="18"/>
        </w:rPr>
        <w:t>legislativas</w:t>
      </w:r>
      <w:r>
        <w:rPr>
          <w:spacing w:val="-7"/>
          <w:sz w:val="18"/>
        </w:rPr>
        <w:t xml:space="preserve"> </w:t>
      </w:r>
      <w:r>
        <w:rPr>
          <w:sz w:val="18"/>
        </w:rPr>
        <w:t>y</w:t>
      </w:r>
      <w:r>
        <w:rPr>
          <w:spacing w:val="-8"/>
          <w:sz w:val="18"/>
        </w:rPr>
        <w:t xml:space="preserve"> </w:t>
      </w:r>
      <w:r>
        <w:rPr>
          <w:sz w:val="18"/>
        </w:rPr>
        <w:t>judiciales–</w:t>
      </w:r>
      <w:r>
        <w:rPr>
          <w:spacing w:val="-8"/>
          <w:sz w:val="18"/>
        </w:rPr>
        <w:t xml:space="preserve"> </w:t>
      </w:r>
      <w:r>
        <w:rPr>
          <w:sz w:val="18"/>
        </w:rPr>
        <w:t>necesarias</w:t>
      </w:r>
      <w:r>
        <w:rPr>
          <w:spacing w:val="-7"/>
          <w:sz w:val="18"/>
        </w:rPr>
        <w:t xml:space="preserve"> </w:t>
      </w:r>
      <w:r>
        <w:rPr>
          <w:sz w:val="18"/>
        </w:rPr>
        <w:t>para</w:t>
      </w:r>
      <w:r>
        <w:rPr>
          <w:spacing w:val="-8"/>
          <w:sz w:val="18"/>
        </w:rPr>
        <w:t xml:space="preserve"> </w:t>
      </w:r>
      <w:r>
        <w:rPr>
          <w:sz w:val="18"/>
        </w:rPr>
        <w:t>hacer</w:t>
      </w:r>
      <w:r>
        <w:rPr>
          <w:spacing w:val="-7"/>
          <w:sz w:val="18"/>
        </w:rPr>
        <w:t xml:space="preserve"> </w:t>
      </w:r>
      <w:r>
        <w:rPr>
          <w:sz w:val="18"/>
        </w:rPr>
        <w:t>efectivos</w:t>
      </w:r>
      <w:r>
        <w:rPr>
          <w:spacing w:val="-8"/>
          <w:sz w:val="18"/>
        </w:rPr>
        <w:t xml:space="preserve"> </w:t>
      </w:r>
      <w:r>
        <w:rPr>
          <w:sz w:val="18"/>
        </w:rPr>
        <w:t>y</w:t>
      </w:r>
      <w:r>
        <w:rPr>
          <w:spacing w:val="-7"/>
          <w:sz w:val="18"/>
        </w:rPr>
        <w:t xml:space="preserve"> </w:t>
      </w:r>
      <w:r>
        <w:rPr>
          <w:sz w:val="18"/>
        </w:rPr>
        <w:t>cumplir</w:t>
      </w:r>
      <w:r>
        <w:rPr>
          <w:spacing w:val="-8"/>
          <w:sz w:val="18"/>
        </w:rPr>
        <w:t xml:space="preserve"> </w:t>
      </w:r>
      <w:r>
        <w:rPr>
          <w:sz w:val="18"/>
        </w:rPr>
        <w:t>los</w:t>
      </w:r>
      <w:r>
        <w:rPr>
          <w:spacing w:val="-7"/>
          <w:sz w:val="18"/>
        </w:rPr>
        <w:t xml:space="preserve"> </w:t>
      </w:r>
      <w:r>
        <w:rPr>
          <w:sz w:val="18"/>
        </w:rPr>
        <w:t>derechos</w:t>
      </w:r>
      <w:r>
        <w:rPr>
          <w:spacing w:val="-8"/>
          <w:sz w:val="18"/>
        </w:rPr>
        <w:t xml:space="preserve"> </w:t>
      </w:r>
      <w:r>
        <w:rPr>
          <w:sz w:val="18"/>
        </w:rPr>
        <w:t>que</w:t>
      </w:r>
      <w:r>
        <w:rPr>
          <w:spacing w:val="-7"/>
          <w:sz w:val="18"/>
        </w:rPr>
        <w:t xml:space="preserve"> </w:t>
      </w:r>
      <w:r>
        <w:rPr>
          <w:spacing w:val="-2"/>
          <w:sz w:val="18"/>
        </w:rPr>
        <w:t>garantizan.</w:t>
      </w:r>
    </w:p>
    <w:p w14:paraId="5F040812" w14:textId="77777777" w:rsidR="0014798C" w:rsidRDefault="004E1F0B">
      <w:pPr>
        <w:spacing w:before="66" w:line="348" w:lineRule="auto"/>
        <w:ind w:left="1111" w:right="1272" w:hanging="6"/>
        <w:rPr>
          <w:sz w:val="15"/>
        </w:rPr>
      </w:pPr>
      <w:r>
        <w:rPr>
          <w:w w:val="105"/>
          <w:sz w:val="15"/>
        </w:rPr>
        <w:t>La</w:t>
      </w:r>
      <w:r>
        <w:rPr>
          <w:spacing w:val="-1"/>
          <w:w w:val="105"/>
          <w:sz w:val="15"/>
        </w:rPr>
        <w:t xml:space="preserve"> </w:t>
      </w:r>
      <w:r>
        <w:rPr>
          <w:w w:val="105"/>
          <w:sz w:val="15"/>
        </w:rPr>
        <w:t>ratificación</w:t>
      </w:r>
      <w:r>
        <w:rPr>
          <w:spacing w:val="-2"/>
          <w:w w:val="105"/>
          <w:sz w:val="15"/>
        </w:rPr>
        <w:t xml:space="preserve"> </w:t>
      </w:r>
      <w:r>
        <w:rPr>
          <w:w w:val="105"/>
          <w:sz w:val="15"/>
        </w:rPr>
        <w:t>del</w:t>
      </w:r>
      <w:r>
        <w:rPr>
          <w:spacing w:val="-1"/>
          <w:w w:val="105"/>
          <w:sz w:val="15"/>
        </w:rPr>
        <w:t xml:space="preserve"> </w:t>
      </w:r>
      <w:r>
        <w:rPr>
          <w:w w:val="105"/>
          <w:sz w:val="15"/>
        </w:rPr>
        <w:t>tratado</w:t>
      </w:r>
      <w:r>
        <w:rPr>
          <w:spacing w:val="-2"/>
          <w:w w:val="105"/>
          <w:sz w:val="15"/>
        </w:rPr>
        <w:t xml:space="preserve"> </w:t>
      </w:r>
      <w:r>
        <w:rPr>
          <w:w w:val="105"/>
          <w:sz w:val="15"/>
        </w:rPr>
        <w:t>da</w:t>
      </w:r>
      <w:r>
        <w:rPr>
          <w:spacing w:val="-1"/>
          <w:w w:val="105"/>
          <w:sz w:val="15"/>
        </w:rPr>
        <w:t xml:space="preserve"> </w:t>
      </w:r>
      <w:r>
        <w:rPr>
          <w:w w:val="105"/>
          <w:sz w:val="15"/>
        </w:rPr>
        <w:t>lugar</w:t>
      </w:r>
      <w:r>
        <w:rPr>
          <w:spacing w:val="-1"/>
          <w:w w:val="105"/>
          <w:sz w:val="15"/>
        </w:rPr>
        <w:t xml:space="preserve"> </w:t>
      </w:r>
      <w:r>
        <w:rPr>
          <w:w w:val="105"/>
          <w:sz w:val="15"/>
        </w:rPr>
        <w:t>a</w:t>
      </w:r>
      <w:r>
        <w:rPr>
          <w:spacing w:val="-1"/>
          <w:w w:val="105"/>
          <w:sz w:val="15"/>
        </w:rPr>
        <w:t xml:space="preserve"> </w:t>
      </w:r>
      <w:r>
        <w:rPr>
          <w:w w:val="105"/>
          <w:sz w:val="15"/>
        </w:rPr>
        <w:t>tres</w:t>
      </w:r>
      <w:r>
        <w:rPr>
          <w:spacing w:val="-2"/>
          <w:w w:val="105"/>
          <w:sz w:val="15"/>
        </w:rPr>
        <w:t xml:space="preserve"> </w:t>
      </w:r>
      <w:r>
        <w:rPr>
          <w:w w:val="105"/>
          <w:sz w:val="15"/>
        </w:rPr>
        <w:t>obligaciones</w:t>
      </w:r>
      <w:r>
        <w:rPr>
          <w:spacing w:val="-2"/>
          <w:w w:val="105"/>
          <w:sz w:val="15"/>
        </w:rPr>
        <w:t xml:space="preserve"> </w:t>
      </w:r>
      <w:r>
        <w:rPr>
          <w:w w:val="105"/>
          <w:sz w:val="15"/>
        </w:rPr>
        <w:t>separadas, pero</w:t>
      </w:r>
      <w:r>
        <w:rPr>
          <w:spacing w:val="-1"/>
          <w:w w:val="105"/>
          <w:sz w:val="15"/>
        </w:rPr>
        <w:t xml:space="preserve"> </w:t>
      </w:r>
      <w:r>
        <w:rPr>
          <w:w w:val="105"/>
          <w:sz w:val="15"/>
        </w:rPr>
        <w:t>interrelacionadas, para</w:t>
      </w:r>
      <w:r>
        <w:rPr>
          <w:spacing w:val="-1"/>
          <w:w w:val="105"/>
          <w:sz w:val="15"/>
        </w:rPr>
        <w:t xml:space="preserve"> </w:t>
      </w:r>
      <w:r>
        <w:rPr>
          <w:w w:val="105"/>
          <w:sz w:val="15"/>
        </w:rPr>
        <w:t>el</w:t>
      </w:r>
      <w:r>
        <w:rPr>
          <w:spacing w:val="-1"/>
          <w:w w:val="105"/>
          <w:sz w:val="15"/>
        </w:rPr>
        <w:t xml:space="preserve"> </w:t>
      </w:r>
      <w:r>
        <w:rPr>
          <w:w w:val="105"/>
          <w:sz w:val="15"/>
        </w:rPr>
        <w:t>Estado:</w:t>
      </w:r>
      <w:r>
        <w:rPr>
          <w:spacing w:val="-1"/>
          <w:w w:val="105"/>
          <w:sz w:val="15"/>
        </w:rPr>
        <w:t xml:space="preserve"> </w:t>
      </w:r>
      <w:r>
        <w:rPr>
          <w:w w:val="105"/>
          <w:sz w:val="15"/>
        </w:rPr>
        <w:t>respetar,</w:t>
      </w:r>
      <w:r>
        <w:rPr>
          <w:spacing w:val="-1"/>
          <w:w w:val="105"/>
          <w:sz w:val="15"/>
        </w:rPr>
        <w:t xml:space="preserve"> </w:t>
      </w:r>
      <w:r>
        <w:rPr>
          <w:w w:val="105"/>
          <w:sz w:val="15"/>
        </w:rPr>
        <w:t>proteger</w:t>
      </w:r>
      <w:r>
        <w:rPr>
          <w:spacing w:val="-2"/>
          <w:w w:val="105"/>
          <w:sz w:val="15"/>
        </w:rPr>
        <w:t xml:space="preserve"> </w:t>
      </w:r>
      <w:r>
        <w:rPr>
          <w:w w:val="105"/>
          <w:sz w:val="15"/>
        </w:rPr>
        <w:t>y</w:t>
      </w:r>
      <w:r>
        <w:rPr>
          <w:spacing w:val="-1"/>
          <w:w w:val="105"/>
          <w:sz w:val="15"/>
        </w:rPr>
        <w:t xml:space="preserve"> </w:t>
      </w:r>
      <w:r>
        <w:rPr>
          <w:w w:val="105"/>
          <w:sz w:val="15"/>
        </w:rPr>
        <w:t>cumplir los derechos allí previstos.30 La comprensión del marco de “respetar, proteger y realizar” se ha desarrollado a través de la labor del tratado. organismos y otros que han aplicado el marco, entre otras cosas, con respecto al derecho a la no discriminación.31</w:t>
      </w:r>
    </w:p>
    <w:p w14:paraId="38B6773A" w14:textId="77777777" w:rsidR="0014798C" w:rsidRDefault="0014798C">
      <w:pPr>
        <w:pStyle w:val="Textoindependiente"/>
        <w:rPr>
          <w:sz w:val="15"/>
        </w:rPr>
      </w:pPr>
    </w:p>
    <w:p w14:paraId="4B08B9FF" w14:textId="77777777" w:rsidR="0014798C" w:rsidRDefault="0014798C">
      <w:pPr>
        <w:pStyle w:val="Textoindependiente"/>
        <w:spacing w:before="73"/>
        <w:rPr>
          <w:sz w:val="15"/>
        </w:rPr>
      </w:pPr>
    </w:p>
    <w:p w14:paraId="28D441E2" w14:textId="77777777" w:rsidR="0014798C" w:rsidRDefault="004E1F0B">
      <w:pPr>
        <w:spacing w:line="348" w:lineRule="auto"/>
        <w:ind w:left="1109" w:right="1272" w:hanging="3"/>
        <w:rPr>
          <w:sz w:val="15"/>
        </w:rPr>
      </w:pPr>
      <w:r>
        <w:rPr>
          <w:w w:val="105"/>
          <w:sz w:val="15"/>
        </w:rPr>
        <w:t>Como</w:t>
      </w:r>
      <w:r>
        <w:rPr>
          <w:spacing w:val="-1"/>
          <w:w w:val="105"/>
          <w:sz w:val="15"/>
        </w:rPr>
        <w:t xml:space="preserve"> </w:t>
      </w:r>
      <w:r>
        <w:rPr>
          <w:w w:val="105"/>
          <w:sz w:val="15"/>
        </w:rPr>
        <w:t>ha</w:t>
      </w:r>
      <w:r>
        <w:rPr>
          <w:spacing w:val="-1"/>
          <w:w w:val="105"/>
          <w:sz w:val="15"/>
        </w:rPr>
        <w:t xml:space="preserve"> </w:t>
      </w:r>
      <w:r>
        <w:rPr>
          <w:w w:val="105"/>
          <w:sz w:val="15"/>
        </w:rPr>
        <w:t>señalado</w:t>
      </w:r>
      <w:r>
        <w:rPr>
          <w:spacing w:val="-1"/>
          <w:w w:val="105"/>
          <w:sz w:val="15"/>
        </w:rPr>
        <w:t xml:space="preserve"> </w:t>
      </w:r>
      <w:r>
        <w:rPr>
          <w:w w:val="105"/>
          <w:sz w:val="15"/>
        </w:rPr>
        <w:t>el</w:t>
      </w:r>
      <w:r>
        <w:rPr>
          <w:spacing w:val="-1"/>
          <w:w w:val="105"/>
          <w:sz w:val="15"/>
        </w:rPr>
        <w:t xml:space="preserve"> </w:t>
      </w:r>
      <w:r>
        <w:rPr>
          <w:w w:val="105"/>
          <w:sz w:val="15"/>
        </w:rPr>
        <w:t>Comité</w:t>
      </w:r>
      <w:r>
        <w:rPr>
          <w:spacing w:val="-2"/>
          <w:w w:val="105"/>
          <w:sz w:val="15"/>
        </w:rPr>
        <w:t xml:space="preserve"> </w:t>
      </w:r>
      <w:r>
        <w:rPr>
          <w:w w:val="105"/>
          <w:sz w:val="15"/>
        </w:rPr>
        <w:t>para</w:t>
      </w:r>
      <w:r>
        <w:rPr>
          <w:spacing w:val="-1"/>
          <w:w w:val="105"/>
          <w:sz w:val="15"/>
        </w:rPr>
        <w:t xml:space="preserve"> </w:t>
      </w:r>
      <w:r>
        <w:rPr>
          <w:w w:val="105"/>
          <w:sz w:val="15"/>
        </w:rPr>
        <w:t>la</w:t>
      </w:r>
      <w:r>
        <w:rPr>
          <w:spacing w:val="-1"/>
          <w:w w:val="105"/>
          <w:sz w:val="15"/>
        </w:rPr>
        <w:t xml:space="preserve"> </w:t>
      </w:r>
      <w:r>
        <w:rPr>
          <w:w w:val="105"/>
          <w:sz w:val="15"/>
        </w:rPr>
        <w:t>Eliminación</w:t>
      </w:r>
      <w:r>
        <w:rPr>
          <w:spacing w:val="-2"/>
          <w:w w:val="105"/>
          <w:sz w:val="15"/>
        </w:rPr>
        <w:t xml:space="preserve"> </w:t>
      </w:r>
      <w:r>
        <w:rPr>
          <w:w w:val="105"/>
          <w:sz w:val="15"/>
        </w:rPr>
        <w:t>de</w:t>
      </w:r>
      <w:r>
        <w:rPr>
          <w:spacing w:val="-1"/>
          <w:w w:val="105"/>
          <w:sz w:val="15"/>
        </w:rPr>
        <w:t xml:space="preserve"> </w:t>
      </w:r>
      <w:r>
        <w:rPr>
          <w:w w:val="105"/>
          <w:sz w:val="15"/>
        </w:rPr>
        <w:t>la</w:t>
      </w:r>
      <w:r>
        <w:rPr>
          <w:spacing w:val="-1"/>
          <w:w w:val="105"/>
          <w:sz w:val="15"/>
        </w:rPr>
        <w:t xml:space="preserve"> </w:t>
      </w:r>
      <w:r>
        <w:rPr>
          <w:w w:val="105"/>
          <w:sz w:val="15"/>
        </w:rPr>
        <w:t>Discriminación</w:t>
      </w:r>
      <w:r>
        <w:rPr>
          <w:spacing w:val="-1"/>
          <w:w w:val="105"/>
          <w:sz w:val="15"/>
        </w:rPr>
        <w:t xml:space="preserve"> </w:t>
      </w:r>
      <w:r>
        <w:rPr>
          <w:w w:val="105"/>
          <w:sz w:val="15"/>
        </w:rPr>
        <w:t>contra</w:t>
      </w:r>
      <w:r>
        <w:rPr>
          <w:spacing w:val="-1"/>
          <w:w w:val="105"/>
          <w:sz w:val="15"/>
        </w:rPr>
        <w:t xml:space="preserve"> </w:t>
      </w:r>
      <w:r>
        <w:rPr>
          <w:w w:val="105"/>
          <w:sz w:val="15"/>
        </w:rPr>
        <w:t>la</w:t>
      </w:r>
      <w:r>
        <w:rPr>
          <w:spacing w:val="-1"/>
          <w:w w:val="105"/>
          <w:sz w:val="15"/>
        </w:rPr>
        <w:t xml:space="preserve"> </w:t>
      </w:r>
      <w:r>
        <w:rPr>
          <w:w w:val="105"/>
          <w:sz w:val="15"/>
        </w:rPr>
        <w:t>Mujer,</w:t>
      </w:r>
      <w:r>
        <w:rPr>
          <w:spacing w:val="-1"/>
          <w:w w:val="105"/>
          <w:sz w:val="15"/>
        </w:rPr>
        <w:t xml:space="preserve"> </w:t>
      </w:r>
      <w:r>
        <w:rPr>
          <w:w w:val="105"/>
          <w:sz w:val="15"/>
        </w:rPr>
        <w:t>la</w:t>
      </w:r>
      <w:r>
        <w:rPr>
          <w:spacing w:val="-1"/>
          <w:w w:val="105"/>
          <w:sz w:val="15"/>
        </w:rPr>
        <w:t xml:space="preserve"> </w:t>
      </w:r>
      <w:r>
        <w:rPr>
          <w:w w:val="105"/>
          <w:sz w:val="15"/>
        </w:rPr>
        <w:t>obligación</w:t>
      </w:r>
      <w:r>
        <w:rPr>
          <w:spacing w:val="-1"/>
          <w:w w:val="105"/>
          <w:sz w:val="15"/>
        </w:rPr>
        <w:t xml:space="preserve"> </w:t>
      </w:r>
      <w:r>
        <w:rPr>
          <w:w w:val="105"/>
          <w:sz w:val="15"/>
        </w:rPr>
        <w:t>de</w:t>
      </w:r>
      <w:r>
        <w:rPr>
          <w:spacing w:val="-1"/>
          <w:w w:val="105"/>
          <w:sz w:val="15"/>
        </w:rPr>
        <w:t xml:space="preserve"> </w:t>
      </w:r>
      <w:r>
        <w:rPr>
          <w:w w:val="105"/>
          <w:sz w:val="15"/>
        </w:rPr>
        <w:t>respetar</w:t>
      </w:r>
      <w:r>
        <w:rPr>
          <w:spacing w:val="-2"/>
          <w:w w:val="105"/>
          <w:sz w:val="15"/>
        </w:rPr>
        <w:t xml:space="preserve"> </w:t>
      </w:r>
      <w:r>
        <w:rPr>
          <w:w w:val="105"/>
          <w:sz w:val="15"/>
        </w:rPr>
        <w:t>es</w:t>
      </w:r>
      <w:r>
        <w:rPr>
          <w:spacing w:val="-1"/>
          <w:w w:val="105"/>
          <w:sz w:val="15"/>
        </w:rPr>
        <w:t xml:space="preserve"> </w:t>
      </w:r>
      <w:r>
        <w:rPr>
          <w:w w:val="105"/>
          <w:sz w:val="15"/>
        </w:rPr>
        <w:t>una</w:t>
      </w:r>
      <w:r>
        <w:rPr>
          <w:spacing w:val="-1"/>
          <w:w w:val="105"/>
          <w:sz w:val="15"/>
        </w:rPr>
        <w:t xml:space="preserve"> </w:t>
      </w:r>
      <w:r>
        <w:rPr>
          <w:w w:val="105"/>
          <w:sz w:val="15"/>
        </w:rPr>
        <w:t>obligación negativa, que requiere que los Estados se abstengan de discriminar en la ley, la política o la práctica.32</w:t>
      </w:r>
    </w:p>
    <w:p w14:paraId="71F03132" w14:textId="77777777" w:rsidR="0014798C" w:rsidRDefault="004E1F0B">
      <w:pPr>
        <w:spacing w:line="348" w:lineRule="auto"/>
        <w:ind w:left="1111" w:right="1272" w:hanging="4"/>
        <w:rPr>
          <w:sz w:val="15"/>
        </w:rPr>
      </w:pPr>
      <w:r>
        <w:rPr>
          <w:w w:val="105"/>
          <w:sz w:val="15"/>
        </w:rPr>
        <w:t>Se</w:t>
      </w:r>
      <w:r>
        <w:rPr>
          <w:spacing w:val="-2"/>
          <w:w w:val="105"/>
          <w:sz w:val="15"/>
        </w:rPr>
        <w:t xml:space="preserve"> </w:t>
      </w:r>
      <w:r>
        <w:rPr>
          <w:w w:val="105"/>
          <w:sz w:val="15"/>
        </w:rPr>
        <w:t>puede</w:t>
      </w:r>
      <w:r>
        <w:rPr>
          <w:spacing w:val="-1"/>
          <w:w w:val="105"/>
          <w:sz w:val="15"/>
        </w:rPr>
        <w:t xml:space="preserve"> </w:t>
      </w:r>
      <w:r>
        <w:rPr>
          <w:w w:val="105"/>
          <w:sz w:val="15"/>
        </w:rPr>
        <w:t>considerar</w:t>
      </w:r>
      <w:r>
        <w:rPr>
          <w:spacing w:val="-2"/>
          <w:w w:val="105"/>
          <w:sz w:val="15"/>
        </w:rPr>
        <w:t xml:space="preserve"> </w:t>
      </w:r>
      <w:r>
        <w:rPr>
          <w:w w:val="105"/>
          <w:sz w:val="15"/>
        </w:rPr>
        <w:t>que</w:t>
      </w:r>
      <w:r>
        <w:rPr>
          <w:spacing w:val="-1"/>
          <w:w w:val="105"/>
          <w:sz w:val="15"/>
        </w:rPr>
        <w:t xml:space="preserve"> </w:t>
      </w:r>
      <w:r>
        <w:rPr>
          <w:w w:val="105"/>
          <w:sz w:val="15"/>
        </w:rPr>
        <w:t>implica</w:t>
      </w:r>
      <w:r>
        <w:rPr>
          <w:spacing w:val="-1"/>
          <w:w w:val="105"/>
          <w:sz w:val="15"/>
        </w:rPr>
        <w:t xml:space="preserve"> </w:t>
      </w:r>
      <w:r>
        <w:rPr>
          <w:w w:val="105"/>
          <w:sz w:val="15"/>
        </w:rPr>
        <w:t>dos</w:t>
      </w:r>
      <w:r>
        <w:rPr>
          <w:spacing w:val="-1"/>
          <w:w w:val="105"/>
          <w:sz w:val="15"/>
        </w:rPr>
        <w:t xml:space="preserve"> </w:t>
      </w:r>
      <w:r>
        <w:rPr>
          <w:w w:val="105"/>
          <w:sz w:val="15"/>
        </w:rPr>
        <w:t>componentes</w:t>
      </w:r>
      <w:r>
        <w:rPr>
          <w:spacing w:val="-2"/>
          <w:w w:val="105"/>
          <w:sz w:val="15"/>
        </w:rPr>
        <w:t xml:space="preserve"> </w:t>
      </w:r>
      <w:r>
        <w:rPr>
          <w:w w:val="105"/>
          <w:sz w:val="15"/>
        </w:rPr>
        <w:t>principales. En</w:t>
      </w:r>
      <w:r>
        <w:rPr>
          <w:spacing w:val="-2"/>
          <w:w w:val="105"/>
          <w:sz w:val="15"/>
        </w:rPr>
        <w:t xml:space="preserve"> </w:t>
      </w:r>
      <w:r>
        <w:rPr>
          <w:w w:val="105"/>
          <w:sz w:val="15"/>
        </w:rPr>
        <w:t>primer</w:t>
      </w:r>
      <w:r>
        <w:rPr>
          <w:spacing w:val="-1"/>
          <w:w w:val="105"/>
          <w:sz w:val="15"/>
        </w:rPr>
        <w:t xml:space="preserve"> </w:t>
      </w:r>
      <w:r>
        <w:rPr>
          <w:w w:val="105"/>
          <w:sz w:val="15"/>
        </w:rPr>
        <w:t>lugar,</w:t>
      </w:r>
      <w:r>
        <w:rPr>
          <w:spacing w:val="-1"/>
          <w:w w:val="105"/>
          <w:sz w:val="15"/>
        </w:rPr>
        <w:t xml:space="preserve"> </w:t>
      </w:r>
      <w:r>
        <w:rPr>
          <w:w w:val="105"/>
          <w:sz w:val="15"/>
        </w:rPr>
        <w:t>los</w:t>
      </w:r>
      <w:r>
        <w:rPr>
          <w:spacing w:val="-1"/>
          <w:w w:val="105"/>
          <w:sz w:val="15"/>
        </w:rPr>
        <w:t xml:space="preserve"> </w:t>
      </w:r>
      <w:r>
        <w:rPr>
          <w:w w:val="105"/>
          <w:sz w:val="15"/>
        </w:rPr>
        <w:t>Estados</w:t>
      </w:r>
      <w:r>
        <w:rPr>
          <w:spacing w:val="-2"/>
          <w:w w:val="105"/>
          <w:sz w:val="15"/>
        </w:rPr>
        <w:t xml:space="preserve"> </w:t>
      </w:r>
      <w:r>
        <w:rPr>
          <w:w w:val="105"/>
          <w:sz w:val="15"/>
        </w:rPr>
        <w:t>se</w:t>
      </w:r>
      <w:r>
        <w:rPr>
          <w:spacing w:val="-1"/>
          <w:w w:val="105"/>
          <w:sz w:val="15"/>
        </w:rPr>
        <w:t xml:space="preserve"> </w:t>
      </w:r>
      <w:r>
        <w:rPr>
          <w:w w:val="105"/>
          <w:sz w:val="15"/>
        </w:rPr>
        <w:t>comprometen</w:t>
      </w:r>
      <w:r>
        <w:rPr>
          <w:spacing w:val="-1"/>
          <w:w w:val="105"/>
          <w:sz w:val="15"/>
        </w:rPr>
        <w:t xml:space="preserve"> </w:t>
      </w:r>
      <w:r>
        <w:rPr>
          <w:w w:val="105"/>
          <w:sz w:val="15"/>
        </w:rPr>
        <w:t>a</w:t>
      </w:r>
      <w:r>
        <w:rPr>
          <w:spacing w:val="-1"/>
          <w:w w:val="105"/>
          <w:sz w:val="15"/>
        </w:rPr>
        <w:t xml:space="preserve"> </w:t>
      </w:r>
      <w:r>
        <w:rPr>
          <w:w w:val="105"/>
          <w:sz w:val="15"/>
        </w:rPr>
        <w:t>abstenerse</w:t>
      </w:r>
      <w:r>
        <w:rPr>
          <w:spacing w:val="-1"/>
          <w:w w:val="105"/>
          <w:sz w:val="15"/>
        </w:rPr>
        <w:t xml:space="preserve"> </w:t>
      </w:r>
      <w:r>
        <w:rPr>
          <w:w w:val="105"/>
          <w:sz w:val="15"/>
        </w:rPr>
        <w:t>de participar en actos discriminatorios o de adoptar, implementar o aplicar políticas que sean discriminatorias en su propósito o</w:t>
      </w:r>
    </w:p>
    <w:p w14:paraId="269C50EA" w14:textId="77777777" w:rsidR="0014798C" w:rsidRDefault="0014798C">
      <w:pPr>
        <w:pStyle w:val="Textoindependiente"/>
        <w:rPr>
          <w:sz w:val="20"/>
        </w:rPr>
      </w:pPr>
    </w:p>
    <w:p w14:paraId="55D8DD53" w14:textId="77777777" w:rsidR="0014798C" w:rsidRDefault="0014798C">
      <w:pPr>
        <w:pStyle w:val="Textoindependiente"/>
        <w:rPr>
          <w:sz w:val="20"/>
        </w:rPr>
      </w:pPr>
    </w:p>
    <w:p w14:paraId="7BAF9B74" w14:textId="77777777" w:rsidR="0014798C" w:rsidRDefault="004E1F0B">
      <w:pPr>
        <w:pStyle w:val="Textoindependiente"/>
        <w:spacing w:before="113"/>
        <w:rPr>
          <w:sz w:val="20"/>
        </w:rPr>
      </w:pPr>
      <w:r>
        <w:rPr>
          <w:noProof/>
        </w:rPr>
        <w:drawing>
          <wp:anchor distT="0" distB="0" distL="0" distR="0" simplePos="0" relativeHeight="251658516" behindDoc="1" locked="0" layoutInCell="1" allowOverlap="1" wp14:anchorId="5E78AEDF" wp14:editId="56D9814B">
            <wp:simplePos x="0" y="0"/>
            <wp:positionH relativeFrom="page">
              <wp:posOffset>826632</wp:posOffset>
            </wp:positionH>
            <wp:positionV relativeFrom="paragraph">
              <wp:posOffset>233189</wp:posOffset>
            </wp:positionV>
            <wp:extent cx="931001" cy="35813"/>
            <wp:effectExtent l="0" t="0" r="0" b="0"/>
            <wp:wrapTopAndBottom/>
            <wp:docPr id="56" name="Image 5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56" name="Image 56"/>
                    <pic:cNvPicPr/>
                  </pic:nvPicPr>
                  <pic:blipFill>
                    <a:blip r:embed="rId63" cstate="print"/>
                    <a:stretch>
                      <a:fillRect/>
                    </a:stretch>
                  </pic:blipFill>
                  <pic:spPr>
                    <a:xfrm>
                      <a:off x="0" y="0"/>
                      <a:ext cx="931001" cy="35813"/>
                    </a:xfrm>
                    <a:prstGeom prst="rect">
                      <a:avLst/>
                    </a:prstGeom>
                  </pic:spPr>
                </pic:pic>
              </a:graphicData>
            </a:graphic>
          </wp:anchor>
        </w:drawing>
      </w:r>
    </w:p>
    <w:p w14:paraId="1AEBBD56" w14:textId="77777777" w:rsidR="0014798C" w:rsidRDefault="0014798C">
      <w:pPr>
        <w:pStyle w:val="Textoindependiente"/>
        <w:spacing w:before="80"/>
        <w:rPr>
          <w:sz w:val="11"/>
        </w:rPr>
      </w:pPr>
    </w:p>
    <w:p w14:paraId="60CB3A06" w14:textId="77777777" w:rsidR="0014798C" w:rsidRDefault="004E1F0B">
      <w:pPr>
        <w:pStyle w:val="Prrafodelista"/>
        <w:numPr>
          <w:ilvl w:val="0"/>
          <w:numId w:val="91"/>
        </w:numPr>
        <w:tabs>
          <w:tab w:val="left" w:pos="1256"/>
          <w:tab w:val="left" w:pos="1366"/>
        </w:tabs>
        <w:spacing w:before="1" w:line="273" w:lineRule="auto"/>
        <w:ind w:left="1366" w:right="1767" w:hanging="262"/>
        <w:rPr>
          <w:sz w:val="11"/>
        </w:rPr>
      </w:pPr>
      <w:r>
        <w:rPr>
          <w:sz w:val="11"/>
        </w:rPr>
        <w:t>Aunque</w:t>
      </w:r>
      <w:r>
        <w:rPr>
          <w:spacing w:val="-2"/>
          <w:sz w:val="11"/>
        </w:rPr>
        <w:t xml:space="preserve"> </w:t>
      </w:r>
      <w:r>
        <w:rPr>
          <w:sz w:val="11"/>
        </w:rPr>
        <w:t>la</w:t>
      </w:r>
      <w:r>
        <w:rPr>
          <w:spacing w:val="-1"/>
          <w:sz w:val="11"/>
        </w:rPr>
        <w:t xml:space="preserve"> </w:t>
      </w:r>
      <w:r>
        <w:rPr>
          <w:sz w:val="11"/>
        </w:rPr>
        <w:t>existencia</w:t>
      </w:r>
      <w:r>
        <w:rPr>
          <w:spacing w:val="-2"/>
          <w:sz w:val="11"/>
        </w:rPr>
        <w:t xml:space="preserve"> </w:t>
      </w:r>
      <w:r>
        <w:rPr>
          <w:sz w:val="11"/>
        </w:rPr>
        <w:t>de</w:t>
      </w:r>
      <w:r>
        <w:rPr>
          <w:spacing w:val="-1"/>
          <w:sz w:val="11"/>
        </w:rPr>
        <w:t xml:space="preserve"> </w:t>
      </w:r>
      <w:r>
        <w:rPr>
          <w:sz w:val="11"/>
        </w:rPr>
        <w:t>un</w:t>
      </w:r>
      <w:r>
        <w:rPr>
          <w:spacing w:val="-1"/>
          <w:sz w:val="11"/>
        </w:rPr>
        <w:t xml:space="preserve"> </w:t>
      </w:r>
      <w:r>
        <w:rPr>
          <w:sz w:val="11"/>
        </w:rPr>
        <w:t>instrumento</w:t>
      </w:r>
      <w:r>
        <w:rPr>
          <w:spacing w:val="-2"/>
          <w:sz w:val="11"/>
        </w:rPr>
        <w:t xml:space="preserve"> </w:t>
      </w:r>
      <w:r>
        <w:rPr>
          <w:sz w:val="11"/>
        </w:rPr>
        <w:t>jurídico</w:t>
      </w:r>
      <w:r>
        <w:rPr>
          <w:spacing w:val="-2"/>
          <w:sz w:val="11"/>
        </w:rPr>
        <w:t xml:space="preserve"> </w:t>
      </w:r>
      <w:r>
        <w:rPr>
          <w:sz w:val="11"/>
        </w:rPr>
        <w:t>internacional</w:t>
      </w:r>
      <w:r>
        <w:rPr>
          <w:spacing w:val="-2"/>
          <w:sz w:val="11"/>
        </w:rPr>
        <w:t xml:space="preserve"> </w:t>
      </w:r>
      <w:r>
        <w:rPr>
          <w:sz w:val="11"/>
        </w:rPr>
        <w:t>tan</w:t>
      </w:r>
      <w:r>
        <w:rPr>
          <w:spacing w:val="-2"/>
          <w:sz w:val="11"/>
        </w:rPr>
        <w:t xml:space="preserve"> </w:t>
      </w:r>
      <w:r>
        <w:rPr>
          <w:sz w:val="11"/>
        </w:rPr>
        <w:t>específico</w:t>
      </w:r>
      <w:r>
        <w:rPr>
          <w:spacing w:val="-2"/>
          <w:sz w:val="11"/>
        </w:rPr>
        <w:t xml:space="preserve"> </w:t>
      </w:r>
      <w:r>
        <w:rPr>
          <w:sz w:val="11"/>
        </w:rPr>
        <w:t>no</w:t>
      </w:r>
      <w:r>
        <w:rPr>
          <w:spacing w:val="-1"/>
          <w:sz w:val="11"/>
        </w:rPr>
        <w:t xml:space="preserve"> </w:t>
      </w:r>
      <w:r>
        <w:rPr>
          <w:sz w:val="11"/>
        </w:rPr>
        <w:t>es</w:t>
      </w:r>
      <w:r>
        <w:rPr>
          <w:spacing w:val="-1"/>
          <w:sz w:val="11"/>
        </w:rPr>
        <w:t xml:space="preserve"> </w:t>
      </w:r>
      <w:r>
        <w:rPr>
          <w:sz w:val="11"/>
        </w:rPr>
        <w:t>de</w:t>
      </w:r>
      <w:r>
        <w:rPr>
          <w:spacing w:val="-1"/>
          <w:sz w:val="11"/>
        </w:rPr>
        <w:t xml:space="preserve"> </w:t>
      </w:r>
      <w:r>
        <w:rPr>
          <w:sz w:val="11"/>
        </w:rPr>
        <w:t>ninguna</w:t>
      </w:r>
      <w:r>
        <w:rPr>
          <w:spacing w:val="-1"/>
          <w:sz w:val="11"/>
        </w:rPr>
        <w:t xml:space="preserve"> </w:t>
      </w:r>
      <w:r>
        <w:rPr>
          <w:sz w:val="11"/>
        </w:rPr>
        <w:t>manera</w:t>
      </w:r>
      <w:r>
        <w:rPr>
          <w:spacing w:val="-1"/>
          <w:sz w:val="11"/>
        </w:rPr>
        <w:t xml:space="preserve"> </w:t>
      </w:r>
      <w:r>
        <w:rPr>
          <w:sz w:val="11"/>
        </w:rPr>
        <w:t>una</w:t>
      </w:r>
      <w:r>
        <w:rPr>
          <w:spacing w:val="-1"/>
          <w:sz w:val="11"/>
        </w:rPr>
        <w:t xml:space="preserve"> </w:t>
      </w:r>
      <w:r>
        <w:rPr>
          <w:sz w:val="11"/>
        </w:rPr>
        <w:t>condición</w:t>
      </w:r>
      <w:r>
        <w:rPr>
          <w:spacing w:val="-1"/>
          <w:sz w:val="11"/>
        </w:rPr>
        <w:t xml:space="preserve"> </w:t>
      </w:r>
      <w:r>
        <w:rPr>
          <w:sz w:val="11"/>
        </w:rPr>
        <w:t>previa</w:t>
      </w:r>
      <w:r>
        <w:rPr>
          <w:spacing w:val="-1"/>
          <w:sz w:val="11"/>
        </w:rPr>
        <w:t xml:space="preserve"> </w:t>
      </w:r>
      <w:r>
        <w:rPr>
          <w:sz w:val="11"/>
        </w:rPr>
        <w:t>para</w:t>
      </w:r>
      <w:r>
        <w:rPr>
          <w:spacing w:val="-1"/>
          <w:sz w:val="11"/>
        </w:rPr>
        <w:t xml:space="preserve"> </w:t>
      </w:r>
      <w:r>
        <w:rPr>
          <w:sz w:val="11"/>
        </w:rPr>
        <w:t>que</w:t>
      </w:r>
      <w:r>
        <w:rPr>
          <w:spacing w:val="-1"/>
          <w:sz w:val="11"/>
        </w:rPr>
        <w:t xml:space="preserve"> </w:t>
      </w:r>
      <w:r>
        <w:rPr>
          <w:sz w:val="11"/>
        </w:rPr>
        <w:t>la</w:t>
      </w:r>
      <w:r>
        <w:rPr>
          <w:spacing w:val="-1"/>
          <w:sz w:val="11"/>
        </w:rPr>
        <w:t xml:space="preserve"> </w:t>
      </w:r>
      <w:r>
        <w:rPr>
          <w:sz w:val="11"/>
        </w:rPr>
        <w:t>acción</w:t>
      </w:r>
      <w:r>
        <w:rPr>
          <w:spacing w:val="-1"/>
          <w:sz w:val="11"/>
        </w:rPr>
        <w:t xml:space="preserve"> </w:t>
      </w:r>
      <w:r>
        <w:rPr>
          <w:sz w:val="11"/>
        </w:rPr>
        <w:t>del</w:t>
      </w:r>
      <w:r>
        <w:rPr>
          <w:spacing w:val="-1"/>
          <w:sz w:val="11"/>
        </w:rPr>
        <w:t xml:space="preserve"> </w:t>
      </w:r>
      <w:r>
        <w:rPr>
          <w:sz w:val="11"/>
        </w:rPr>
        <w:t>Estado</w:t>
      </w:r>
      <w:r>
        <w:rPr>
          <w:spacing w:val="-2"/>
          <w:sz w:val="11"/>
        </w:rPr>
        <w:t xml:space="preserve"> </w:t>
      </w:r>
      <w:r>
        <w:rPr>
          <w:sz w:val="11"/>
        </w:rPr>
        <w:t>garantice</w:t>
      </w:r>
      <w:r>
        <w:rPr>
          <w:spacing w:val="-2"/>
          <w:sz w:val="11"/>
        </w:rPr>
        <w:t xml:space="preserve"> </w:t>
      </w:r>
      <w:r>
        <w:rPr>
          <w:sz w:val="11"/>
        </w:rPr>
        <w:t>la</w:t>
      </w:r>
      <w:r>
        <w:rPr>
          <w:spacing w:val="-1"/>
          <w:sz w:val="11"/>
        </w:rPr>
        <w:t xml:space="preserve"> </w:t>
      </w:r>
      <w:r>
        <w:rPr>
          <w:sz w:val="11"/>
        </w:rPr>
        <w:t>igualdad</w:t>
      </w:r>
      <w:r>
        <w:rPr>
          <w:spacing w:val="40"/>
          <w:sz w:val="11"/>
        </w:rPr>
        <w:t xml:space="preserve"> </w:t>
      </w:r>
      <w:r>
        <w:rPr>
          <w:sz w:val="13"/>
        </w:rPr>
        <w:t>reconocimiento y protección para todos, que es una obligación inmediata, que emana directamente del Pacto Internacional de Derechos Civiles y</w:t>
      </w:r>
      <w:r>
        <w:rPr>
          <w:spacing w:val="40"/>
          <w:sz w:val="13"/>
        </w:rPr>
        <w:t xml:space="preserve"> </w:t>
      </w:r>
      <w:r>
        <w:rPr>
          <w:spacing w:val="-2"/>
          <w:sz w:val="13"/>
        </w:rPr>
        <w:t>Políticos.</w:t>
      </w:r>
    </w:p>
    <w:p w14:paraId="6F7DD157" w14:textId="77777777" w:rsidR="0014798C" w:rsidRDefault="004E1F0B">
      <w:pPr>
        <w:pStyle w:val="Prrafodelista"/>
        <w:numPr>
          <w:ilvl w:val="0"/>
          <w:numId w:val="91"/>
        </w:numPr>
        <w:tabs>
          <w:tab w:val="left" w:pos="1257"/>
        </w:tabs>
        <w:spacing w:before="111"/>
        <w:ind w:left="1257" w:hanging="152"/>
        <w:rPr>
          <w:sz w:val="11"/>
        </w:rPr>
      </w:pPr>
      <w:r>
        <w:rPr>
          <w:sz w:val="11"/>
        </w:rPr>
        <w:t>Comité</w:t>
      </w:r>
      <w:r>
        <w:rPr>
          <w:spacing w:val="-5"/>
          <w:sz w:val="11"/>
        </w:rPr>
        <w:t xml:space="preserve"> </w:t>
      </w:r>
      <w:r>
        <w:rPr>
          <w:sz w:val="11"/>
        </w:rPr>
        <w:t>sobre</w:t>
      </w:r>
      <w:r>
        <w:rPr>
          <w:spacing w:val="-4"/>
          <w:sz w:val="11"/>
        </w:rPr>
        <w:t xml:space="preserve"> </w:t>
      </w:r>
      <w:r>
        <w:rPr>
          <w:sz w:val="11"/>
        </w:rPr>
        <w:t>los</w:t>
      </w:r>
      <w:r>
        <w:rPr>
          <w:spacing w:val="-4"/>
          <w:sz w:val="11"/>
        </w:rPr>
        <w:t xml:space="preserve"> </w:t>
      </w:r>
      <w:r>
        <w:rPr>
          <w:sz w:val="11"/>
        </w:rPr>
        <w:t>Derechos</w:t>
      </w:r>
      <w:r>
        <w:rPr>
          <w:spacing w:val="-4"/>
          <w:sz w:val="11"/>
        </w:rPr>
        <w:t xml:space="preserve"> </w:t>
      </w:r>
      <w:r>
        <w:rPr>
          <w:sz w:val="11"/>
        </w:rPr>
        <w:t>de</w:t>
      </w:r>
      <w:r>
        <w:rPr>
          <w:spacing w:val="-4"/>
          <w:sz w:val="11"/>
        </w:rPr>
        <w:t xml:space="preserve"> </w:t>
      </w:r>
      <w:r>
        <w:rPr>
          <w:sz w:val="11"/>
        </w:rPr>
        <w:t>las</w:t>
      </w:r>
      <w:r>
        <w:rPr>
          <w:spacing w:val="-4"/>
          <w:sz w:val="11"/>
        </w:rPr>
        <w:t xml:space="preserve"> </w:t>
      </w:r>
      <w:r>
        <w:rPr>
          <w:sz w:val="11"/>
        </w:rPr>
        <w:t>Personas</w:t>
      </w:r>
      <w:r>
        <w:rPr>
          <w:spacing w:val="-5"/>
          <w:sz w:val="11"/>
        </w:rPr>
        <w:t xml:space="preserve"> </w:t>
      </w:r>
      <w:r>
        <w:rPr>
          <w:sz w:val="11"/>
        </w:rPr>
        <w:t>con</w:t>
      </w:r>
      <w:r>
        <w:rPr>
          <w:spacing w:val="-3"/>
          <w:sz w:val="11"/>
        </w:rPr>
        <w:t xml:space="preserve"> </w:t>
      </w:r>
      <w:r>
        <w:rPr>
          <w:sz w:val="11"/>
        </w:rPr>
        <w:t>Discapacidad,</w:t>
      </w:r>
      <w:r>
        <w:rPr>
          <w:spacing w:val="-4"/>
          <w:sz w:val="11"/>
        </w:rPr>
        <w:t xml:space="preserve"> </w:t>
      </w:r>
      <w:r>
        <w:rPr>
          <w:sz w:val="11"/>
        </w:rPr>
        <w:t>observación</w:t>
      </w:r>
      <w:r>
        <w:rPr>
          <w:spacing w:val="-4"/>
          <w:sz w:val="11"/>
        </w:rPr>
        <w:t xml:space="preserve"> </w:t>
      </w:r>
      <w:r>
        <w:rPr>
          <w:sz w:val="11"/>
        </w:rPr>
        <w:t>general</w:t>
      </w:r>
      <w:r>
        <w:rPr>
          <w:spacing w:val="-3"/>
          <w:sz w:val="11"/>
        </w:rPr>
        <w:t xml:space="preserve"> </w:t>
      </w:r>
      <w:r>
        <w:rPr>
          <w:sz w:val="11"/>
        </w:rPr>
        <w:t>núm.</w:t>
      </w:r>
      <w:r>
        <w:rPr>
          <w:spacing w:val="-4"/>
          <w:sz w:val="11"/>
        </w:rPr>
        <w:t xml:space="preserve"> </w:t>
      </w:r>
      <w:r>
        <w:rPr>
          <w:sz w:val="11"/>
        </w:rPr>
        <w:t>1</w:t>
      </w:r>
      <w:r>
        <w:rPr>
          <w:spacing w:val="-3"/>
          <w:sz w:val="11"/>
        </w:rPr>
        <w:t xml:space="preserve"> </w:t>
      </w:r>
      <w:r>
        <w:rPr>
          <w:sz w:val="11"/>
        </w:rPr>
        <w:t>(2014),</w:t>
      </w:r>
      <w:r>
        <w:rPr>
          <w:spacing w:val="-4"/>
          <w:sz w:val="11"/>
        </w:rPr>
        <w:t xml:space="preserve"> </w:t>
      </w:r>
      <w:r>
        <w:rPr>
          <w:sz w:val="11"/>
        </w:rPr>
        <w:t>párr.</w:t>
      </w:r>
      <w:r>
        <w:rPr>
          <w:spacing w:val="-3"/>
          <w:sz w:val="11"/>
        </w:rPr>
        <w:t xml:space="preserve"> </w:t>
      </w:r>
      <w:r>
        <w:rPr>
          <w:spacing w:val="-5"/>
          <w:sz w:val="11"/>
        </w:rPr>
        <w:t>5.</w:t>
      </w:r>
    </w:p>
    <w:p w14:paraId="48D4FCA7" w14:textId="77777777" w:rsidR="0014798C" w:rsidRDefault="004E1F0B">
      <w:pPr>
        <w:pStyle w:val="Prrafodelista"/>
        <w:numPr>
          <w:ilvl w:val="0"/>
          <w:numId w:val="91"/>
        </w:numPr>
        <w:tabs>
          <w:tab w:val="left" w:pos="1257"/>
        </w:tabs>
        <w:spacing w:before="110"/>
        <w:ind w:left="1257" w:hanging="152"/>
        <w:rPr>
          <w:sz w:val="11"/>
        </w:rPr>
      </w:pPr>
      <w:r>
        <w:rPr>
          <w:sz w:val="11"/>
        </w:rPr>
        <w:t>Convención</w:t>
      </w:r>
      <w:r>
        <w:rPr>
          <w:spacing w:val="-3"/>
          <w:sz w:val="11"/>
        </w:rPr>
        <w:t xml:space="preserve"> </w:t>
      </w:r>
      <w:r>
        <w:rPr>
          <w:sz w:val="11"/>
        </w:rPr>
        <w:t>sobre</w:t>
      </w:r>
      <w:r>
        <w:rPr>
          <w:spacing w:val="-3"/>
          <w:sz w:val="11"/>
        </w:rPr>
        <w:t xml:space="preserve"> </w:t>
      </w:r>
      <w:r>
        <w:rPr>
          <w:sz w:val="11"/>
        </w:rPr>
        <w:t>los</w:t>
      </w:r>
      <w:r>
        <w:rPr>
          <w:spacing w:val="-4"/>
          <w:sz w:val="11"/>
        </w:rPr>
        <w:t xml:space="preserve"> </w:t>
      </w:r>
      <w:r>
        <w:rPr>
          <w:sz w:val="11"/>
        </w:rPr>
        <w:t>Derechos</w:t>
      </w:r>
      <w:r>
        <w:rPr>
          <w:spacing w:val="-3"/>
          <w:sz w:val="11"/>
        </w:rPr>
        <w:t xml:space="preserve"> </w:t>
      </w:r>
      <w:r>
        <w:rPr>
          <w:sz w:val="11"/>
        </w:rPr>
        <w:t>del</w:t>
      </w:r>
      <w:r>
        <w:rPr>
          <w:spacing w:val="-3"/>
          <w:sz w:val="11"/>
        </w:rPr>
        <w:t xml:space="preserve"> </w:t>
      </w:r>
      <w:r>
        <w:rPr>
          <w:sz w:val="11"/>
        </w:rPr>
        <w:t>Niño,</w:t>
      </w:r>
      <w:r>
        <w:rPr>
          <w:spacing w:val="-3"/>
          <w:sz w:val="11"/>
        </w:rPr>
        <w:t xml:space="preserve"> </w:t>
      </w:r>
      <w:r>
        <w:rPr>
          <w:sz w:val="11"/>
        </w:rPr>
        <w:t>art.</w:t>
      </w:r>
      <w:r>
        <w:rPr>
          <w:spacing w:val="-3"/>
          <w:sz w:val="11"/>
        </w:rPr>
        <w:t xml:space="preserve"> </w:t>
      </w:r>
      <w:r>
        <w:rPr>
          <w:sz w:val="11"/>
        </w:rPr>
        <w:t>2</w:t>
      </w:r>
      <w:r>
        <w:rPr>
          <w:spacing w:val="-2"/>
          <w:sz w:val="11"/>
        </w:rPr>
        <w:t xml:space="preserve"> </w:t>
      </w:r>
      <w:r>
        <w:rPr>
          <w:spacing w:val="-4"/>
          <w:sz w:val="11"/>
        </w:rPr>
        <w:t>(1).</w:t>
      </w:r>
    </w:p>
    <w:p w14:paraId="2DED6ADC" w14:textId="77777777" w:rsidR="0014798C" w:rsidRDefault="004E1F0B">
      <w:pPr>
        <w:pStyle w:val="Prrafodelista"/>
        <w:numPr>
          <w:ilvl w:val="0"/>
          <w:numId w:val="91"/>
        </w:numPr>
        <w:tabs>
          <w:tab w:val="left" w:pos="1257"/>
        </w:tabs>
        <w:spacing w:before="110"/>
        <w:ind w:left="1257" w:hanging="152"/>
        <w:rPr>
          <w:sz w:val="11"/>
        </w:rPr>
      </w:pPr>
      <w:r>
        <w:rPr>
          <w:sz w:val="11"/>
        </w:rPr>
        <w:t>Convención</w:t>
      </w:r>
      <w:r>
        <w:rPr>
          <w:spacing w:val="-3"/>
          <w:sz w:val="11"/>
        </w:rPr>
        <w:t xml:space="preserve"> </w:t>
      </w:r>
      <w:r>
        <w:rPr>
          <w:sz w:val="11"/>
        </w:rPr>
        <w:t>Internacional</w:t>
      </w:r>
      <w:r>
        <w:rPr>
          <w:spacing w:val="-4"/>
          <w:sz w:val="11"/>
        </w:rPr>
        <w:t xml:space="preserve"> </w:t>
      </w:r>
      <w:r>
        <w:rPr>
          <w:sz w:val="11"/>
        </w:rPr>
        <w:t>sobre</w:t>
      </w:r>
      <w:r>
        <w:rPr>
          <w:spacing w:val="-3"/>
          <w:sz w:val="11"/>
        </w:rPr>
        <w:t xml:space="preserve"> </w:t>
      </w:r>
      <w:r>
        <w:rPr>
          <w:sz w:val="11"/>
        </w:rPr>
        <w:t>la</w:t>
      </w:r>
      <w:r>
        <w:rPr>
          <w:spacing w:val="-2"/>
          <w:sz w:val="11"/>
        </w:rPr>
        <w:t xml:space="preserve"> </w:t>
      </w:r>
      <w:r>
        <w:rPr>
          <w:sz w:val="11"/>
        </w:rPr>
        <w:t>protección</w:t>
      </w:r>
      <w:r>
        <w:rPr>
          <w:spacing w:val="-4"/>
          <w:sz w:val="11"/>
        </w:rPr>
        <w:t xml:space="preserve"> </w:t>
      </w:r>
      <w:r>
        <w:rPr>
          <w:sz w:val="11"/>
        </w:rPr>
        <w:t>de</w:t>
      </w:r>
      <w:r>
        <w:rPr>
          <w:spacing w:val="-3"/>
          <w:sz w:val="11"/>
        </w:rPr>
        <w:t xml:space="preserve"> </w:t>
      </w:r>
      <w:r>
        <w:rPr>
          <w:sz w:val="11"/>
        </w:rPr>
        <w:t>los</w:t>
      </w:r>
      <w:r>
        <w:rPr>
          <w:spacing w:val="-3"/>
          <w:sz w:val="11"/>
        </w:rPr>
        <w:t xml:space="preserve"> </w:t>
      </w:r>
      <w:r>
        <w:rPr>
          <w:sz w:val="11"/>
        </w:rPr>
        <w:t>derechos</w:t>
      </w:r>
      <w:r>
        <w:rPr>
          <w:spacing w:val="-4"/>
          <w:sz w:val="11"/>
        </w:rPr>
        <w:t xml:space="preserve"> </w:t>
      </w:r>
      <w:r>
        <w:rPr>
          <w:sz w:val="11"/>
        </w:rPr>
        <w:t>de</w:t>
      </w:r>
      <w:r>
        <w:rPr>
          <w:spacing w:val="-3"/>
          <w:sz w:val="11"/>
        </w:rPr>
        <w:t xml:space="preserve"> </w:t>
      </w:r>
      <w:r>
        <w:rPr>
          <w:sz w:val="11"/>
        </w:rPr>
        <w:t>todos</w:t>
      </w:r>
      <w:r>
        <w:rPr>
          <w:spacing w:val="-3"/>
          <w:sz w:val="11"/>
        </w:rPr>
        <w:t xml:space="preserve"> </w:t>
      </w:r>
      <w:r>
        <w:rPr>
          <w:sz w:val="11"/>
        </w:rPr>
        <w:t>los</w:t>
      </w:r>
      <w:r>
        <w:rPr>
          <w:spacing w:val="-4"/>
          <w:sz w:val="11"/>
        </w:rPr>
        <w:t xml:space="preserve"> </w:t>
      </w:r>
      <w:r>
        <w:rPr>
          <w:sz w:val="11"/>
        </w:rPr>
        <w:t>trabajadores</w:t>
      </w:r>
      <w:r>
        <w:rPr>
          <w:spacing w:val="-4"/>
          <w:sz w:val="11"/>
        </w:rPr>
        <w:t xml:space="preserve"> </w:t>
      </w:r>
      <w:r>
        <w:rPr>
          <w:sz w:val="11"/>
        </w:rPr>
        <w:t>migratorios</w:t>
      </w:r>
      <w:r>
        <w:rPr>
          <w:spacing w:val="-3"/>
          <w:sz w:val="11"/>
        </w:rPr>
        <w:t xml:space="preserve"> </w:t>
      </w:r>
      <w:r>
        <w:rPr>
          <w:sz w:val="11"/>
        </w:rPr>
        <w:t>y</w:t>
      </w:r>
      <w:r>
        <w:rPr>
          <w:spacing w:val="-3"/>
          <w:sz w:val="11"/>
        </w:rPr>
        <w:t xml:space="preserve"> </w:t>
      </w:r>
      <w:r>
        <w:rPr>
          <w:sz w:val="11"/>
        </w:rPr>
        <w:t>de</w:t>
      </w:r>
      <w:r>
        <w:rPr>
          <w:spacing w:val="-3"/>
          <w:sz w:val="11"/>
        </w:rPr>
        <w:t xml:space="preserve"> </w:t>
      </w:r>
      <w:r>
        <w:rPr>
          <w:sz w:val="11"/>
        </w:rPr>
        <w:t>sus</w:t>
      </w:r>
      <w:r>
        <w:rPr>
          <w:spacing w:val="-2"/>
          <w:sz w:val="11"/>
        </w:rPr>
        <w:t xml:space="preserve"> </w:t>
      </w:r>
      <w:r>
        <w:rPr>
          <w:sz w:val="11"/>
        </w:rPr>
        <w:t>familiares,</w:t>
      </w:r>
      <w:r>
        <w:rPr>
          <w:spacing w:val="-3"/>
          <w:sz w:val="11"/>
        </w:rPr>
        <w:t xml:space="preserve"> </w:t>
      </w:r>
      <w:r>
        <w:rPr>
          <w:sz w:val="11"/>
        </w:rPr>
        <w:t>art.</w:t>
      </w:r>
      <w:r>
        <w:rPr>
          <w:spacing w:val="-3"/>
          <w:sz w:val="11"/>
        </w:rPr>
        <w:t xml:space="preserve"> </w:t>
      </w:r>
      <w:r>
        <w:rPr>
          <w:sz w:val="11"/>
        </w:rPr>
        <w:t>1</w:t>
      </w:r>
      <w:r>
        <w:rPr>
          <w:spacing w:val="-2"/>
          <w:sz w:val="11"/>
        </w:rPr>
        <w:t xml:space="preserve"> </w:t>
      </w:r>
      <w:r>
        <w:rPr>
          <w:spacing w:val="-4"/>
          <w:sz w:val="11"/>
        </w:rPr>
        <w:t>(1).</w:t>
      </w:r>
    </w:p>
    <w:p w14:paraId="08294BBF" w14:textId="77777777" w:rsidR="0014798C" w:rsidRDefault="004E1F0B">
      <w:pPr>
        <w:pStyle w:val="Prrafodelista"/>
        <w:numPr>
          <w:ilvl w:val="0"/>
          <w:numId w:val="91"/>
        </w:numPr>
        <w:tabs>
          <w:tab w:val="left" w:pos="1266"/>
        </w:tabs>
        <w:spacing w:before="76"/>
        <w:ind w:left="1266" w:hanging="161"/>
        <w:rPr>
          <w:sz w:val="11"/>
        </w:rPr>
      </w:pPr>
      <w:r>
        <w:rPr>
          <w:w w:val="105"/>
          <w:sz w:val="11"/>
        </w:rPr>
        <w:t>La</w:t>
      </w:r>
      <w:r>
        <w:rPr>
          <w:spacing w:val="-3"/>
          <w:w w:val="105"/>
          <w:sz w:val="11"/>
        </w:rPr>
        <w:t xml:space="preserve"> </w:t>
      </w:r>
      <w:r>
        <w:rPr>
          <w:w w:val="105"/>
          <w:sz w:val="11"/>
        </w:rPr>
        <w:t>información</w:t>
      </w:r>
      <w:r>
        <w:rPr>
          <w:spacing w:val="-3"/>
          <w:w w:val="105"/>
          <w:sz w:val="11"/>
        </w:rPr>
        <w:t xml:space="preserve"> </w:t>
      </w:r>
      <w:r>
        <w:rPr>
          <w:w w:val="105"/>
          <w:sz w:val="11"/>
        </w:rPr>
        <w:t>sobre</w:t>
      </w:r>
      <w:r>
        <w:rPr>
          <w:spacing w:val="-2"/>
          <w:w w:val="105"/>
          <w:sz w:val="11"/>
        </w:rPr>
        <w:t xml:space="preserve"> </w:t>
      </w:r>
      <w:r>
        <w:rPr>
          <w:w w:val="105"/>
          <w:sz w:val="11"/>
        </w:rPr>
        <w:t>el</w:t>
      </w:r>
      <w:r>
        <w:rPr>
          <w:spacing w:val="-3"/>
          <w:w w:val="105"/>
          <w:sz w:val="11"/>
        </w:rPr>
        <w:t xml:space="preserve"> </w:t>
      </w:r>
      <w:r>
        <w:rPr>
          <w:w w:val="105"/>
          <w:sz w:val="11"/>
        </w:rPr>
        <w:t>Grupo</w:t>
      </w:r>
      <w:r>
        <w:rPr>
          <w:spacing w:val="-3"/>
          <w:w w:val="105"/>
          <w:sz w:val="11"/>
        </w:rPr>
        <w:t xml:space="preserve"> </w:t>
      </w:r>
      <w:r>
        <w:rPr>
          <w:w w:val="105"/>
          <w:sz w:val="11"/>
        </w:rPr>
        <w:t>de</w:t>
      </w:r>
      <w:r>
        <w:rPr>
          <w:spacing w:val="-2"/>
          <w:w w:val="105"/>
          <w:sz w:val="11"/>
        </w:rPr>
        <w:t xml:space="preserve"> </w:t>
      </w:r>
      <w:r>
        <w:rPr>
          <w:w w:val="105"/>
          <w:sz w:val="11"/>
        </w:rPr>
        <w:t>Trabajo</w:t>
      </w:r>
      <w:r>
        <w:rPr>
          <w:spacing w:val="-3"/>
          <w:w w:val="105"/>
          <w:sz w:val="11"/>
        </w:rPr>
        <w:t xml:space="preserve"> </w:t>
      </w:r>
      <w:r>
        <w:rPr>
          <w:w w:val="105"/>
          <w:sz w:val="11"/>
        </w:rPr>
        <w:t>de</w:t>
      </w:r>
      <w:r>
        <w:rPr>
          <w:spacing w:val="-3"/>
          <w:w w:val="105"/>
          <w:sz w:val="11"/>
        </w:rPr>
        <w:t xml:space="preserve"> </w:t>
      </w:r>
      <w:r>
        <w:rPr>
          <w:w w:val="105"/>
          <w:sz w:val="11"/>
        </w:rPr>
        <w:t>composición</w:t>
      </w:r>
      <w:r>
        <w:rPr>
          <w:spacing w:val="-2"/>
          <w:w w:val="105"/>
          <w:sz w:val="11"/>
        </w:rPr>
        <w:t xml:space="preserve"> </w:t>
      </w:r>
      <w:r>
        <w:rPr>
          <w:w w:val="105"/>
          <w:sz w:val="11"/>
        </w:rPr>
        <w:t>abierta</w:t>
      </w:r>
      <w:r>
        <w:rPr>
          <w:spacing w:val="-3"/>
          <w:w w:val="105"/>
          <w:sz w:val="11"/>
        </w:rPr>
        <w:t xml:space="preserve"> </w:t>
      </w:r>
      <w:r>
        <w:rPr>
          <w:w w:val="105"/>
          <w:sz w:val="11"/>
        </w:rPr>
        <w:t>sobre</w:t>
      </w:r>
      <w:r>
        <w:rPr>
          <w:spacing w:val="-2"/>
          <w:w w:val="105"/>
          <w:sz w:val="11"/>
        </w:rPr>
        <w:t xml:space="preserve"> </w:t>
      </w:r>
      <w:r>
        <w:rPr>
          <w:w w:val="105"/>
          <w:sz w:val="11"/>
        </w:rPr>
        <w:t>el</w:t>
      </w:r>
      <w:r>
        <w:rPr>
          <w:spacing w:val="-3"/>
          <w:w w:val="105"/>
          <w:sz w:val="11"/>
        </w:rPr>
        <w:t xml:space="preserve"> </w:t>
      </w:r>
      <w:r>
        <w:rPr>
          <w:w w:val="105"/>
          <w:sz w:val="11"/>
        </w:rPr>
        <w:t>envejecimiento</w:t>
      </w:r>
      <w:r>
        <w:rPr>
          <w:spacing w:val="-2"/>
          <w:w w:val="105"/>
          <w:sz w:val="11"/>
        </w:rPr>
        <w:t xml:space="preserve"> </w:t>
      </w:r>
      <w:r>
        <w:rPr>
          <w:w w:val="105"/>
          <w:sz w:val="11"/>
        </w:rPr>
        <w:t>está</w:t>
      </w:r>
      <w:r>
        <w:rPr>
          <w:spacing w:val="-3"/>
          <w:w w:val="105"/>
          <w:sz w:val="11"/>
        </w:rPr>
        <w:t xml:space="preserve"> </w:t>
      </w:r>
      <w:r>
        <w:rPr>
          <w:w w:val="105"/>
          <w:sz w:val="11"/>
        </w:rPr>
        <w:t>disponible</w:t>
      </w:r>
      <w:r>
        <w:rPr>
          <w:spacing w:val="-2"/>
          <w:w w:val="105"/>
          <w:sz w:val="11"/>
        </w:rPr>
        <w:t xml:space="preserve"> </w:t>
      </w:r>
      <w:r>
        <w:rPr>
          <w:w w:val="105"/>
          <w:sz w:val="11"/>
        </w:rPr>
        <w:t>en</w:t>
      </w:r>
      <w:r>
        <w:rPr>
          <w:spacing w:val="-3"/>
          <w:w w:val="105"/>
          <w:sz w:val="11"/>
        </w:rPr>
        <w:t xml:space="preserve"> </w:t>
      </w:r>
      <w:hyperlink r:id="rId64">
        <w:r>
          <w:rPr>
            <w:color w:val="0075BF"/>
            <w:w w:val="105"/>
            <w:sz w:val="11"/>
          </w:rPr>
          <w:t>https://social.un.org/ageing­working­</w:t>
        </w:r>
        <w:r>
          <w:rPr>
            <w:color w:val="0075BF"/>
            <w:spacing w:val="-2"/>
            <w:w w:val="105"/>
            <w:sz w:val="11"/>
          </w:rPr>
          <w:t>group.</w:t>
        </w:r>
      </w:hyperlink>
    </w:p>
    <w:p w14:paraId="334B9F5A" w14:textId="77777777" w:rsidR="0014798C" w:rsidRDefault="004E1F0B">
      <w:pPr>
        <w:spacing w:before="99" w:line="288" w:lineRule="auto"/>
        <w:ind w:left="1375" w:right="1840" w:hanging="270"/>
        <w:rPr>
          <w:sz w:val="13"/>
        </w:rPr>
      </w:pPr>
      <w:r>
        <w:rPr>
          <w:sz w:val="13"/>
          <w:vertAlign w:val="superscript"/>
        </w:rPr>
        <w:t>28</w:t>
      </w:r>
      <w:r>
        <w:rPr>
          <w:spacing w:val="80"/>
          <w:w w:val="150"/>
          <w:sz w:val="13"/>
        </w:rPr>
        <w:t xml:space="preserve"> </w:t>
      </w:r>
      <w:r>
        <w:rPr>
          <w:sz w:val="13"/>
        </w:rPr>
        <w:t xml:space="preserve">Véanse, en particular, Convenio sobre igualdad de remuneración, 1951 (núm. </w:t>
      </w:r>
      <w:proofErr w:type="gramStart"/>
      <w:r>
        <w:rPr>
          <w:sz w:val="13"/>
        </w:rPr>
        <w:t>100);</w:t>
      </w:r>
      <w:proofErr w:type="gramEnd"/>
      <w:r>
        <w:rPr>
          <w:sz w:val="13"/>
        </w:rPr>
        <w:t xml:space="preserve"> Convenio sobre la discriminación (empleo y ocupación), 1958</w:t>
      </w:r>
      <w:r>
        <w:rPr>
          <w:spacing w:val="40"/>
          <w:sz w:val="13"/>
        </w:rPr>
        <w:t xml:space="preserve"> </w:t>
      </w:r>
      <w:r>
        <w:rPr>
          <w:sz w:val="13"/>
        </w:rPr>
        <w:t>(núm.</w:t>
      </w:r>
      <w:r>
        <w:rPr>
          <w:spacing w:val="6"/>
          <w:sz w:val="13"/>
        </w:rPr>
        <w:t xml:space="preserve"> </w:t>
      </w:r>
      <w:proofErr w:type="gramStart"/>
      <w:r>
        <w:rPr>
          <w:sz w:val="13"/>
        </w:rPr>
        <w:t>111);</w:t>
      </w:r>
      <w:proofErr w:type="gramEnd"/>
      <w:r>
        <w:rPr>
          <w:spacing w:val="6"/>
          <w:sz w:val="13"/>
        </w:rPr>
        <w:t xml:space="preserve"> </w:t>
      </w:r>
      <w:r>
        <w:rPr>
          <w:sz w:val="13"/>
        </w:rPr>
        <w:t>y</w:t>
      </w:r>
      <w:r>
        <w:rPr>
          <w:spacing w:val="5"/>
          <w:sz w:val="13"/>
        </w:rPr>
        <w:t xml:space="preserve"> </w:t>
      </w:r>
      <w:r>
        <w:rPr>
          <w:sz w:val="13"/>
        </w:rPr>
        <w:t>Convenio</w:t>
      </w:r>
      <w:r>
        <w:rPr>
          <w:spacing w:val="5"/>
          <w:sz w:val="13"/>
        </w:rPr>
        <w:t xml:space="preserve"> </w:t>
      </w:r>
      <w:r>
        <w:rPr>
          <w:sz w:val="13"/>
        </w:rPr>
        <w:t>sobre</w:t>
      </w:r>
      <w:r>
        <w:rPr>
          <w:spacing w:val="4"/>
          <w:sz w:val="13"/>
        </w:rPr>
        <w:t xml:space="preserve"> </w:t>
      </w:r>
      <w:r>
        <w:rPr>
          <w:sz w:val="13"/>
        </w:rPr>
        <w:t>pueblos</w:t>
      </w:r>
      <w:r>
        <w:rPr>
          <w:spacing w:val="5"/>
          <w:sz w:val="13"/>
        </w:rPr>
        <w:t xml:space="preserve"> </w:t>
      </w:r>
      <w:r>
        <w:rPr>
          <w:sz w:val="13"/>
        </w:rPr>
        <w:t>indígenas</w:t>
      </w:r>
      <w:r>
        <w:rPr>
          <w:spacing w:val="5"/>
          <w:sz w:val="13"/>
        </w:rPr>
        <w:t xml:space="preserve"> </w:t>
      </w:r>
      <w:r>
        <w:rPr>
          <w:sz w:val="13"/>
        </w:rPr>
        <w:t>y</w:t>
      </w:r>
      <w:r>
        <w:rPr>
          <w:spacing w:val="4"/>
          <w:sz w:val="13"/>
        </w:rPr>
        <w:t xml:space="preserve"> </w:t>
      </w:r>
      <w:r>
        <w:rPr>
          <w:sz w:val="13"/>
        </w:rPr>
        <w:t>tribales</w:t>
      </w:r>
      <w:r>
        <w:rPr>
          <w:spacing w:val="5"/>
          <w:sz w:val="13"/>
        </w:rPr>
        <w:t xml:space="preserve"> </w:t>
      </w:r>
      <w:r>
        <w:rPr>
          <w:sz w:val="13"/>
        </w:rPr>
        <w:t>de</w:t>
      </w:r>
      <w:r>
        <w:rPr>
          <w:spacing w:val="5"/>
          <w:sz w:val="13"/>
        </w:rPr>
        <w:t xml:space="preserve"> </w:t>
      </w:r>
      <w:r>
        <w:rPr>
          <w:sz w:val="13"/>
        </w:rPr>
        <w:t>1989</w:t>
      </w:r>
      <w:r>
        <w:rPr>
          <w:spacing w:val="4"/>
          <w:sz w:val="13"/>
        </w:rPr>
        <w:t xml:space="preserve"> </w:t>
      </w:r>
      <w:r>
        <w:rPr>
          <w:sz w:val="13"/>
        </w:rPr>
        <w:t>(núm.</w:t>
      </w:r>
      <w:r>
        <w:rPr>
          <w:spacing w:val="6"/>
          <w:sz w:val="13"/>
        </w:rPr>
        <w:t xml:space="preserve"> </w:t>
      </w:r>
      <w:r>
        <w:rPr>
          <w:sz w:val="13"/>
        </w:rPr>
        <w:t>169).</w:t>
      </w:r>
      <w:r>
        <w:rPr>
          <w:spacing w:val="6"/>
          <w:sz w:val="13"/>
        </w:rPr>
        <w:t xml:space="preserve"> </w:t>
      </w:r>
      <w:r>
        <w:rPr>
          <w:sz w:val="13"/>
        </w:rPr>
        <w:t>En</w:t>
      </w:r>
      <w:r>
        <w:rPr>
          <w:spacing w:val="5"/>
          <w:sz w:val="13"/>
        </w:rPr>
        <w:t xml:space="preserve"> </w:t>
      </w:r>
      <w:r>
        <w:rPr>
          <w:sz w:val="13"/>
        </w:rPr>
        <w:t>2019</w:t>
      </w:r>
      <w:r>
        <w:rPr>
          <w:spacing w:val="5"/>
          <w:sz w:val="13"/>
        </w:rPr>
        <w:t xml:space="preserve"> </w:t>
      </w:r>
      <w:r>
        <w:rPr>
          <w:sz w:val="13"/>
        </w:rPr>
        <w:t>se</w:t>
      </w:r>
      <w:r>
        <w:rPr>
          <w:spacing w:val="4"/>
          <w:sz w:val="13"/>
        </w:rPr>
        <w:t xml:space="preserve"> </w:t>
      </w:r>
      <w:r>
        <w:rPr>
          <w:sz w:val="13"/>
        </w:rPr>
        <w:t>adoptó</w:t>
      </w:r>
      <w:r>
        <w:rPr>
          <w:spacing w:val="5"/>
          <w:sz w:val="13"/>
        </w:rPr>
        <w:t xml:space="preserve"> </w:t>
      </w:r>
      <w:r>
        <w:rPr>
          <w:sz w:val="13"/>
        </w:rPr>
        <w:t>el</w:t>
      </w:r>
      <w:r>
        <w:rPr>
          <w:spacing w:val="5"/>
          <w:sz w:val="13"/>
        </w:rPr>
        <w:t xml:space="preserve"> </w:t>
      </w:r>
      <w:r>
        <w:rPr>
          <w:sz w:val="13"/>
        </w:rPr>
        <w:t>Convenio</w:t>
      </w:r>
      <w:r>
        <w:rPr>
          <w:spacing w:val="4"/>
          <w:sz w:val="13"/>
        </w:rPr>
        <w:t xml:space="preserve"> </w:t>
      </w:r>
      <w:r>
        <w:rPr>
          <w:sz w:val="13"/>
        </w:rPr>
        <w:t>sobre</w:t>
      </w:r>
      <w:r>
        <w:rPr>
          <w:spacing w:val="5"/>
          <w:sz w:val="13"/>
        </w:rPr>
        <w:t xml:space="preserve"> </w:t>
      </w:r>
      <w:r>
        <w:rPr>
          <w:sz w:val="13"/>
        </w:rPr>
        <w:t>la</w:t>
      </w:r>
      <w:r>
        <w:rPr>
          <w:spacing w:val="5"/>
          <w:sz w:val="13"/>
        </w:rPr>
        <w:t xml:space="preserve"> </w:t>
      </w:r>
      <w:r>
        <w:rPr>
          <w:sz w:val="13"/>
        </w:rPr>
        <w:t>violencia</w:t>
      </w:r>
      <w:r>
        <w:rPr>
          <w:spacing w:val="4"/>
          <w:sz w:val="13"/>
        </w:rPr>
        <w:t xml:space="preserve"> </w:t>
      </w:r>
      <w:r>
        <w:rPr>
          <w:sz w:val="13"/>
        </w:rPr>
        <w:t>y</w:t>
      </w:r>
      <w:r>
        <w:rPr>
          <w:spacing w:val="5"/>
          <w:sz w:val="13"/>
        </w:rPr>
        <w:t xml:space="preserve"> </w:t>
      </w:r>
      <w:r>
        <w:rPr>
          <w:sz w:val="13"/>
        </w:rPr>
        <w:t>el</w:t>
      </w:r>
      <w:r>
        <w:rPr>
          <w:spacing w:val="5"/>
          <w:sz w:val="13"/>
        </w:rPr>
        <w:t xml:space="preserve"> </w:t>
      </w:r>
      <w:r>
        <w:rPr>
          <w:sz w:val="13"/>
        </w:rPr>
        <w:t>acoso,</w:t>
      </w:r>
      <w:r>
        <w:rPr>
          <w:spacing w:val="40"/>
          <w:sz w:val="13"/>
        </w:rPr>
        <w:t xml:space="preserve"> </w:t>
      </w:r>
      <w:r>
        <w:rPr>
          <w:sz w:val="13"/>
        </w:rPr>
        <w:t>2019 (núm. 190). En el momento de redactar este informe, la Convención ha sido ratificada por 10 Estados. Entró en vigor en junio de 2021.</w:t>
      </w:r>
    </w:p>
    <w:p w14:paraId="772D05AD" w14:textId="77777777" w:rsidR="0014798C" w:rsidRDefault="004E1F0B">
      <w:pPr>
        <w:spacing w:before="102"/>
        <w:ind w:left="1105"/>
        <w:rPr>
          <w:sz w:val="11"/>
        </w:rPr>
      </w:pPr>
      <w:r>
        <w:rPr>
          <w:sz w:val="11"/>
        </w:rPr>
        <w:t>29</w:t>
      </w:r>
      <w:r>
        <w:rPr>
          <w:spacing w:val="-7"/>
          <w:sz w:val="11"/>
        </w:rPr>
        <w:t xml:space="preserve"> </w:t>
      </w:r>
      <w:r>
        <w:rPr>
          <w:sz w:val="11"/>
        </w:rPr>
        <w:t>Convención</w:t>
      </w:r>
      <w:r>
        <w:rPr>
          <w:spacing w:val="-5"/>
          <w:sz w:val="11"/>
        </w:rPr>
        <w:t xml:space="preserve"> </w:t>
      </w:r>
      <w:r>
        <w:rPr>
          <w:sz w:val="11"/>
        </w:rPr>
        <w:t>contra</w:t>
      </w:r>
      <w:r>
        <w:rPr>
          <w:spacing w:val="-6"/>
          <w:sz w:val="11"/>
        </w:rPr>
        <w:t xml:space="preserve"> </w:t>
      </w:r>
      <w:r>
        <w:rPr>
          <w:sz w:val="11"/>
        </w:rPr>
        <w:t>la</w:t>
      </w:r>
      <w:r>
        <w:rPr>
          <w:spacing w:val="-5"/>
          <w:sz w:val="11"/>
        </w:rPr>
        <w:t xml:space="preserve"> </w:t>
      </w:r>
      <w:r>
        <w:rPr>
          <w:sz w:val="11"/>
        </w:rPr>
        <w:t>Discriminación</w:t>
      </w:r>
      <w:r>
        <w:rPr>
          <w:spacing w:val="-4"/>
          <w:sz w:val="11"/>
        </w:rPr>
        <w:t xml:space="preserve"> </w:t>
      </w:r>
      <w:r>
        <w:rPr>
          <w:sz w:val="11"/>
        </w:rPr>
        <w:t>en</w:t>
      </w:r>
      <w:r>
        <w:rPr>
          <w:spacing w:val="-5"/>
          <w:sz w:val="11"/>
        </w:rPr>
        <w:t xml:space="preserve"> </w:t>
      </w:r>
      <w:r>
        <w:rPr>
          <w:sz w:val="11"/>
        </w:rPr>
        <w:t>la</w:t>
      </w:r>
      <w:r>
        <w:rPr>
          <w:spacing w:val="-5"/>
          <w:sz w:val="11"/>
        </w:rPr>
        <w:t xml:space="preserve"> </w:t>
      </w:r>
      <w:r>
        <w:rPr>
          <w:sz w:val="11"/>
        </w:rPr>
        <w:t>Educación,</w:t>
      </w:r>
      <w:r>
        <w:rPr>
          <w:spacing w:val="-5"/>
          <w:sz w:val="11"/>
        </w:rPr>
        <w:t xml:space="preserve"> </w:t>
      </w:r>
      <w:r>
        <w:rPr>
          <w:sz w:val="11"/>
        </w:rPr>
        <w:t>adoptada</w:t>
      </w:r>
      <w:r>
        <w:rPr>
          <w:spacing w:val="-6"/>
          <w:sz w:val="11"/>
        </w:rPr>
        <w:t xml:space="preserve"> </w:t>
      </w:r>
      <w:r>
        <w:rPr>
          <w:sz w:val="11"/>
        </w:rPr>
        <w:t>en</w:t>
      </w:r>
      <w:r>
        <w:rPr>
          <w:spacing w:val="-4"/>
          <w:sz w:val="11"/>
        </w:rPr>
        <w:t xml:space="preserve"> </w:t>
      </w:r>
      <w:r>
        <w:rPr>
          <w:spacing w:val="-2"/>
          <w:sz w:val="11"/>
        </w:rPr>
        <w:t>1960.</w:t>
      </w:r>
    </w:p>
    <w:p w14:paraId="153FB0B7" w14:textId="77777777" w:rsidR="0014798C" w:rsidRDefault="004E1F0B">
      <w:pPr>
        <w:spacing w:before="66" w:line="288" w:lineRule="auto"/>
        <w:ind w:left="1367" w:right="1626" w:hanging="260"/>
        <w:rPr>
          <w:sz w:val="13"/>
        </w:rPr>
      </w:pPr>
      <w:r>
        <w:rPr>
          <w:sz w:val="13"/>
          <w:vertAlign w:val="superscript"/>
        </w:rPr>
        <w:t>30</w:t>
      </w:r>
      <w:r>
        <w:rPr>
          <w:spacing w:val="80"/>
          <w:w w:val="150"/>
          <w:sz w:val="13"/>
        </w:rPr>
        <w:t xml:space="preserve"> </w:t>
      </w:r>
      <w:r>
        <w:rPr>
          <w:sz w:val="13"/>
        </w:rPr>
        <w:t xml:space="preserve">Véase, por ejemplo, Comité de Derechos Económicos, Sociales y Culturales, observación general núm. 24 (2017), párr. </w:t>
      </w:r>
      <w:r>
        <w:rPr>
          <w:w w:val="95"/>
          <w:sz w:val="13"/>
        </w:rPr>
        <w:t xml:space="preserve">10; </w:t>
      </w:r>
      <w:r>
        <w:rPr>
          <w:sz w:val="13"/>
        </w:rPr>
        <w:t>Comité sobre el</w:t>
      </w:r>
      <w:r>
        <w:rPr>
          <w:spacing w:val="40"/>
          <w:sz w:val="13"/>
        </w:rPr>
        <w:t xml:space="preserve"> </w:t>
      </w:r>
      <w:r>
        <w:rPr>
          <w:sz w:val="13"/>
        </w:rPr>
        <w:t xml:space="preserve">Eliminación de la discriminación contra la mujer, recomendación general núm. 28 (2010), párr. </w:t>
      </w:r>
      <w:r>
        <w:rPr>
          <w:w w:val="95"/>
          <w:sz w:val="13"/>
        </w:rPr>
        <w:t xml:space="preserve">9; </w:t>
      </w:r>
      <w:r>
        <w:rPr>
          <w:sz w:val="13"/>
        </w:rPr>
        <w:t>Comité para la Eliminación de la Discriminación</w:t>
      </w:r>
      <w:r>
        <w:rPr>
          <w:spacing w:val="40"/>
          <w:sz w:val="13"/>
        </w:rPr>
        <w:t xml:space="preserve"> </w:t>
      </w:r>
      <w:r>
        <w:rPr>
          <w:sz w:val="13"/>
        </w:rPr>
        <w:t>Racial, “Declaración sobre la pandemia del coronavirus (COVID­19) y sus implicaciones en el marco de la Convención Internacional sobre la</w:t>
      </w:r>
      <w:r>
        <w:rPr>
          <w:spacing w:val="40"/>
          <w:sz w:val="13"/>
        </w:rPr>
        <w:t xml:space="preserve"> </w:t>
      </w:r>
      <w:r>
        <w:rPr>
          <w:sz w:val="13"/>
        </w:rPr>
        <w:t xml:space="preserve">Eliminación de todas las Formas de Discriminación Racial” (2020), pág. </w:t>
      </w:r>
      <w:r>
        <w:rPr>
          <w:w w:val="95"/>
          <w:sz w:val="13"/>
        </w:rPr>
        <w:t xml:space="preserve">2; </w:t>
      </w:r>
      <w:r>
        <w:rPr>
          <w:sz w:val="13"/>
        </w:rPr>
        <w:t>y Comité sobre los Derechos de las Personas con Discapacidad,</w:t>
      </w:r>
    </w:p>
    <w:p w14:paraId="476B217D" w14:textId="77777777" w:rsidR="0014798C" w:rsidRDefault="004E1F0B">
      <w:pPr>
        <w:spacing w:before="2" w:line="288" w:lineRule="auto"/>
        <w:ind w:left="1371" w:right="1272" w:hanging="5"/>
        <w:rPr>
          <w:sz w:val="13"/>
        </w:rPr>
      </w:pPr>
      <w:r>
        <w:rPr>
          <w:sz w:val="13"/>
        </w:rPr>
        <w:t>observación general núm. 6 (2018), párr. 30. El Comité de Derechos Humanos ha articulado las obligaciones de los Estados en virtud del artículo 2 (1) de la</w:t>
      </w:r>
      <w:r>
        <w:rPr>
          <w:spacing w:val="40"/>
          <w:sz w:val="13"/>
        </w:rPr>
        <w:t xml:space="preserve"> </w:t>
      </w:r>
      <w:r>
        <w:rPr>
          <w:sz w:val="13"/>
        </w:rPr>
        <w:t>Pacto en términos de la obligación negativa de abstenerse de discriminar y la obligación positiva de adoptar medidas de protección. En su</w:t>
      </w:r>
    </w:p>
    <w:p w14:paraId="73F09D69" w14:textId="77777777" w:rsidR="0014798C" w:rsidRDefault="004E1F0B">
      <w:pPr>
        <w:spacing w:before="1" w:line="288" w:lineRule="auto"/>
        <w:ind w:left="1366" w:right="1463" w:firstLine="1"/>
        <w:rPr>
          <w:sz w:val="13"/>
        </w:rPr>
      </w:pPr>
      <w:r>
        <w:rPr>
          <w:sz w:val="13"/>
        </w:rPr>
        <w:t xml:space="preserve">Observación general </w:t>
      </w:r>
      <w:proofErr w:type="spellStart"/>
      <w:r>
        <w:rPr>
          <w:sz w:val="13"/>
        </w:rPr>
        <w:t>Nº</w:t>
      </w:r>
      <w:proofErr w:type="spellEnd"/>
      <w:r>
        <w:rPr>
          <w:sz w:val="13"/>
        </w:rPr>
        <w:t xml:space="preserve"> 18 (1989), el Comité deja claro que el cumplimiento de los derechos a la igualdad y la no discriminación requiere medidas</w:t>
      </w:r>
      <w:r>
        <w:rPr>
          <w:spacing w:val="40"/>
          <w:sz w:val="13"/>
        </w:rPr>
        <w:t xml:space="preserve"> </w:t>
      </w:r>
      <w:r>
        <w:rPr>
          <w:sz w:val="13"/>
        </w:rPr>
        <w:t xml:space="preserve">positivas. Véanse, respectivamente, Comité de Derechos Humanos, observación general núm. 31 (2004), </w:t>
      </w:r>
      <w:proofErr w:type="spellStart"/>
      <w:r>
        <w:rPr>
          <w:sz w:val="13"/>
        </w:rPr>
        <w:t>párrs</w:t>
      </w:r>
      <w:proofErr w:type="spellEnd"/>
      <w:r>
        <w:rPr>
          <w:sz w:val="13"/>
        </w:rPr>
        <w:t xml:space="preserve">. 6 y </w:t>
      </w:r>
      <w:r>
        <w:rPr>
          <w:w w:val="95"/>
          <w:sz w:val="13"/>
        </w:rPr>
        <w:t xml:space="preserve">8; </w:t>
      </w:r>
      <w:r>
        <w:rPr>
          <w:sz w:val="13"/>
        </w:rPr>
        <w:t>y observación general núm. 18</w:t>
      </w:r>
      <w:r>
        <w:rPr>
          <w:spacing w:val="40"/>
          <w:sz w:val="13"/>
        </w:rPr>
        <w:t xml:space="preserve"> </w:t>
      </w:r>
      <w:r>
        <w:rPr>
          <w:sz w:val="13"/>
        </w:rPr>
        <w:t>(1989), párr. 10.</w:t>
      </w:r>
    </w:p>
    <w:p w14:paraId="70D3BFA6" w14:textId="77777777" w:rsidR="0014798C" w:rsidRDefault="004E1F0B">
      <w:pPr>
        <w:spacing w:before="58" w:line="288" w:lineRule="auto"/>
        <w:ind w:left="1368" w:right="1272" w:hanging="261"/>
        <w:rPr>
          <w:sz w:val="13"/>
        </w:rPr>
      </w:pPr>
      <w:r>
        <w:rPr>
          <w:sz w:val="13"/>
          <w:vertAlign w:val="superscript"/>
        </w:rPr>
        <w:t>31</w:t>
      </w:r>
      <w:r>
        <w:rPr>
          <w:spacing w:val="80"/>
          <w:w w:val="150"/>
          <w:sz w:val="13"/>
        </w:rPr>
        <w:t xml:space="preserve"> </w:t>
      </w:r>
      <w:r>
        <w:rPr>
          <w:sz w:val="13"/>
        </w:rPr>
        <w:t>Véase, por ejemplo, Comité sobre los Derechos de las Personas con Discapacidad, observación general núm. 6 (2018), párr. 30; y Comité para la</w:t>
      </w:r>
      <w:r>
        <w:rPr>
          <w:spacing w:val="40"/>
          <w:sz w:val="13"/>
        </w:rPr>
        <w:t xml:space="preserve"> </w:t>
      </w:r>
      <w:r>
        <w:rPr>
          <w:sz w:val="13"/>
        </w:rPr>
        <w:t>Eliminación de la Discriminación contra la Mujer, recomendación general núm. 28 (2010), párr. 9.</w:t>
      </w:r>
    </w:p>
    <w:p w14:paraId="066C42E9" w14:textId="77777777" w:rsidR="0014798C" w:rsidRDefault="004E1F0B">
      <w:pPr>
        <w:spacing w:before="101" w:line="340" w:lineRule="auto"/>
        <w:ind w:left="1371" w:right="1463" w:hanging="265"/>
        <w:rPr>
          <w:sz w:val="11"/>
        </w:rPr>
      </w:pPr>
      <w:r>
        <w:rPr>
          <w:sz w:val="11"/>
        </w:rPr>
        <w:t>32</w:t>
      </w:r>
      <w:r>
        <w:rPr>
          <w:spacing w:val="-1"/>
          <w:sz w:val="11"/>
        </w:rPr>
        <w:t xml:space="preserve"> </w:t>
      </w:r>
      <w:r>
        <w:rPr>
          <w:sz w:val="11"/>
        </w:rPr>
        <w:t>Comité</w:t>
      </w:r>
      <w:r>
        <w:rPr>
          <w:spacing w:val="-2"/>
          <w:sz w:val="11"/>
        </w:rPr>
        <w:t xml:space="preserve"> </w:t>
      </w:r>
      <w:r>
        <w:rPr>
          <w:sz w:val="11"/>
        </w:rPr>
        <w:t>para</w:t>
      </w:r>
      <w:r>
        <w:rPr>
          <w:spacing w:val="-1"/>
          <w:sz w:val="11"/>
        </w:rPr>
        <w:t xml:space="preserve"> </w:t>
      </w:r>
      <w:r>
        <w:rPr>
          <w:sz w:val="11"/>
        </w:rPr>
        <w:t>la</w:t>
      </w:r>
      <w:r>
        <w:rPr>
          <w:spacing w:val="-1"/>
          <w:sz w:val="11"/>
        </w:rPr>
        <w:t xml:space="preserve"> </w:t>
      </w:r>
      <w:r>
        <w:rPr>
          <w:sz w:val="11"/>
        </w:rPr>
        <w:t>Eliminación</w:t>
      </w:r>
      <w:r>
        <w:rPr>
          <w:spacing w:val="-2"/>
          <w:sz w:val="11"/>
        </w:rPr>
        <w:t xml:space="preserve"> </w:t>
      </w:r>
      <w:r>
        <w:rPr>
          <w:sz w:val="11"/>
        </w:rPr>
        <w:t>de</w:t>
      </w:r>
      <w:r>
        <w:rPr>
          <w:spacing w:val="-1"/>
          <w:sz w:val="11"/>
        </w:rPr>
        <w:t xml:space="preserve"> </w:t>
      </w:r>
      <w:r>
        <w:rPr>
          <w:sz w:val="11"/>
        </w:rPr>
        <w:t>la</w:t>
      </w:r>
      <w:r>
        <w:rPr>
          <w:spacing w:val="-1"/>
          <w:sz w:val="11"/>
        </w:rPr>
        <w:t xml:space="preserve"> </w:t>
      </w:r>
      <w:r>
        <w:rPr>
          <w:sz w:val="11"/>
        </w:rPr>
        <w:t>Discriminación</w:t>
      </w:r>
      <w:r>
        <w:rPr>
          <w:spacing w:val="-1"/>
          <w:sz w:val="11"/>
        </w:rPr>
        <w:t xml:space="preserve"> </w:t>
      </w:r>
      <w:r>
        <w:rPr>
          <w:sz w:val="11"/>
        </w:rPr>
        <w:t>contra</w:t>
      </w:r>
      <w:r>
        <w:rPr>
          <w:spacing w:val="-2"/>
          <w:sz w:val="11"/>
        </w:rPr>
        <w:t xml:space="preserve"> </w:t>
      </w:r>
      <w:r>
        <w:rPr>
          <w:sz w:val="11"/>
        </w:rPr>
        <w:t>la</w:t>
      </w:r>
      <w:r>
        <w:rPr>
          <w:spacing w:val="-1"/>
          <w:sz w:val="11"/>
        </w:rPr>
        <w:t xml:space="preserve"> </w:t>
      </w:r>
      <w:r>
        <w:rPr>
          <w:sz w:val="11"/>
        </w:rPr>
        <w:t>Mujer,</w:t>
      </w:r>
      <w:r>
        <w:rPr>
          <w:spacing w:val="-1"/>
          <w:sz w:val="11"/>
        </w:rPr>
        <w:t xml:space="preserve"> </w:t>
      </w:r>
      <w:r>
        <w:rPr>
          <w:sz w:val="11"/>
        </w:rPr>
        <w:t>recomendación</w:t>
      </w:r>
      <w:r>
        <w:rPr>
          <w:spacing w:val="-1"/>
          <w:sz w:val="11"/>
        </w:rPr>
        <w:t xml:space="preserve"> </w:t>
      </w:r>
      <w:r>
        <w:rPr>
          <w:sz w:val="11"/>
        </w:rPr>
        <w:t>general</w:t>
      </w:r>
      <w:r>
        <w:rPr>
          <w:spacing w:val="-1"/>
          <w:sz w:val="11"/>
        </w:rPr>
        <w:t xml:space="preserve"> </w:t>
      </w:r>
      <w:r>
        <w:rPr>
          <w:sz w:val="11"/>
        </w:rPr>
        <w:t>núm.</w:t>
      </w:r>
      <w:r>
        <w:rPr>
          <w:spacing w:val="-1"/>
          <w:sz w:val="11"/>
        </w:rPr>
        <w:t xml:space="preserve"> </w:t>
      </w:r>
      <w:r>
        <w:rPr>
          <w:sz w:val="11"/>
        </w:rPr>
        <w:t>28</w:t>
      </w:r>
      <w:r>
        <w:rPr>
          <w:spacing w:val="-1"/>
          <w:sz w:val="11"/>
        </w:rPr>
        <w:t xml:space="preserve"> </w:t>
      </w:r>
      <w:r>
        <w:rPr>
          <w:sz w:val="11"/>
        </w:rPr>
        <w:t>(2010),</w:t>
      </w:r>
      <w:r>
        <w:rPr>
          <w:spacing w:val="-1"/>
          <w:sz w:val="11"/>
        </w:rPr>
        <w:t xml:space="preserve"> </w:t>
      </w:r>
      <w:r>
        <w:rPr>
          <w:sz w:val="11"/>
        </w:rPr>
        <w:t>párr.</w:t>
      </w:r>
      <w:r>
        <w:rPr>
          <w:spacing w:val="-1"/>
          <w:sz w:val="11"/>
        </w:rPr>
        <w:t xml:space="preserve"> </w:t>
      </w:r>
      <w:r>
        <w:rPr>
          <w:sz w:val="11"/>
        </w:rPr>
        <w:t>9.</w:t>
      </w:r>
      <w:r>
        <w:rPr>
          <w:spacing w:val="-1"/>
          <w:sz w:val="11"/>
        </w:rPr>
        <w:t xml:space="preserve"> </w:t>
      </w:r>
      <w:r>
        <w:rPr>
          <w:sz w:val="11"/>
        </w:rPr>
        <w:t>Véase</w:t>
      </w:r>
      <w:r>
        <w:rPr>
          <w:spacing w:val="-2"/>
          <w:sz w:val="11"/>
        </w:rPr>
        <w:t xml:space="preserve"> </w:t>
      </w:r>
      <w:r>
        <w:rPr>
          <w:sz w:val="11"/>
        </w:rPr>
        <w:t>también</w:t>
      </w:r>
      <w:r>
        <w:rPr>
          <w:spacing w:val="-2"/>
          <w:sz w:val="11"/>
        </w:rPr>
        <w:t xml:space="preserve"> </w:t>
      </w:r>
      <w:r>
        <w:rPr>
          <w:sz w:val="11"/>
        </w:rPr>
        <w:t>Comité</w:t>
      </w:r>
      <w:r>
        <w:rPr>
          <w:spacing w:val="-2"/>
          <w:sz w:val="11"/>
        </w:rPr>
        <w:t xml:space="preserve"> </w:t>
      </w:r>
      <w:r>
        <w:rPr>
          <w:sz w:val="11"/>
        </w:rPr>
        <w:t>de</w:t>
      </w:r>
      <w:r>
        <w:rPr>
          <w:spacing w:val="-1"/>
          <w:sz w:val="11"/>
        </w:rPr>
        <w:t xml:space="preserve"> </w:t>
      </w:r>
      <w:r>
        <w:rPr>
          <w:sz w:val="11"/>
        </w:rPr>
        <w:t>Derechos</w:t>
      </w:r>
      <w:r>
        <w:rPr>
          <w:spacing w:val="-2"/>
          <w:sz w:val="11"/>
        </w:rPr>
        <w:t xml:space="preserve"> </w:t>
      </w:r>
      <w:r>
        <w:rPr>
          <w:sz w:val="11"/>
        </w:rPr>
        <w:t>Humanos,</w:t>
      </w:r>
      <w:r>
        <w:rPr>
          <w:spacing w:val="-1"/>
          <w:sz w:val="11"/>
        </w:rPr>
        <w:t xml:space="preserve"> </w:t>
      </w:r>
      <w:r>
        <w:rPr>
          <w:sz w:val="11"/>
        </w:rPr>
        <w:t>observación</w:t>
      </w:r>
      <w:r>
        <w:rPr>
          <w:spacing w:val="-1"/>
          <w:sz w:val="11"/>
        </w:rPr>
        <w:t xml:space="preserve"> </w:t>
      </w:r>
      <w:r>
        <w:rPr>
          <w:sz w:val="11"/>
        </w:rPr>
        <w:t>general</w:t>
      </w:r>
      <w:r>
        <w:rPr>
          <w:spacing w:val="40"/>
          <w:sz w:val="11"/>
        </w:rPr>
        <w:t xml:space="preserve"> </w:t>
      </w:r>
      <w:r>
        <w:rPr>
          <w:sz w:val="11"/>
        </w:rPr>
        <w:t xml:space="preserve">núm. 31 (2004), </w:t>
      </w:r>
      <w:proofErr w:type="spellStart"/>
      <w:r>
        <w:rPr>
          <w:sz w:val="11"/>
        </w:rPr>
        <w:t>párrs</w:t>
      </w:r>
      <w:proofErr w:type="spellEnd"/>
      <w:r>
        <w:rPr>
          <w:sz w:val="11"/>
        </w:rPr>
        <w:t>. 6 y 8.</w:t>
      </w:r>
    </w:p>
    <w:p w14:paraId="024FA503" w14:textId="77777777" w:rsidR="0014798C" w:rsidRDefault="0014798C">
      <w:pPr>
        <w:pStyle w:val="Textoindependiente"/>
        <w:rPr>
          <w:sz w:val="18"/>
        </w:rPr>
      </w:pPr>
    </w:p>
    <w:p w14:paraId="447A18B1" w14:textId="77777777" w:rsidR="0014798C" w:rsidRDefault="0014798C">
      <w:pPr>
        <w:pStyle w:val="Textoindependiente"/>
        <w:rPr>
          <w:sz w:val="18"/>
        </w:rPr>
      </w:pPr>
    </w:p>
    <w:p w14:paraId="1B12056A" w14:textId="77777777" w:rsidR="0014798C" w:rsidRDefault="0014798C">
      <w:pPr>
        <w:pStyle w:val="Textoindependiente"/>
        <w:rPr>
          <w:sz w:val="18"/>
        </w:rPr>
      </w:pPr>
    </w:p>
    <w:p w14:paraId="1D666616" w14:textId="77777777" w:rsidR="0014798C" w:rsidRDefault="0014798C">
      <w:pPr>
        <w:pStyle w:val="Textoindependiente"/>
        <w:spacing w:before="24"/>
        <w:rPr>
          <w:sz w:val="18"/>
        </w:rPr>
      </w:pPr>
    </w:p>
    <w:p w14:paraId="7C6724C4" w14:textId="77777777" w:rsidR="0014798C" w:rsidRDefault="004E1F0B">
      <w:pPr>
        <w:ind w:left="659"/>
        <w:rPr>
          <w:sz w:val="18"/>
        </w:rPr>
      </w:pPr>
      <w:r>
        <w:rPr>
          <w:spacing w:val="-10"/>
          <w:sz w:val="18"/>
        </w:rPr>
        <w:t>2</w:t>
      </w:r>
    </w:p>
    <w:p w14:paraId="1BFA7E0C" w14:textId="77777777" w:rsidR="0014798C" w:rsidRDefault="0014798C">
      <w:pPr>
        <w:rPr>
          <w:sz w:val="18"/>
        </w:rPr>
        <w:sectPr w:rsidR="0014798C" w:rsidSect="00F265E4">
          <w:pgSz w:w="11900" w:h="16820"/>
          <w:pgMar w:top="340" w:right="0" w:bottom="280" w:left="200" w:header="121" w:footer="0" w:gutter="0"/>
          <w:cols w:space="720"/>
        </w:sectPr>
      </w:pPr>
    </w:p>
    <w:p w14:paraId="73C25C29" w14:textId="77777777" w:rsidR="0014798C" w:rsidRDefault="0014798C">
      <w:pPr>
        <w:pStyle w:val="Textoindependiente"/>
        <w:rPr>
          <w:sz w:val="10"/>
        </w:rPr>
      </w:pPr>
    </w:p>
    <w:p w14:paraId="02568DE1" w14:textId="77777777" w:rsidR="0014798C" w:rsidRDefault="0014798C">
      <w:pPr>
        <w:pStyle w:val="Textoindependiente"/>
        <w:spacing w:before="4"/>
        <w:rPr>
          <w:sz w:val="10"/>
        </w:rPr>
      </w:pPr>
    </w:p>
    <w:p w14:paraId="4D8DA350" w14:textId="77777777" w:rsidR="0014798C" w:rsidRDefault="004E1F0B">
      <w:pPr>
        <w:ind w:left="1111"/>
        <w:rPr>
          <w:sz w:val="10"/>
        </w:rPr>
      </w:pPr>
      <w:r>
        <w:rPr>
          <w:color w:val="009EDB"/>
          <w:w w:val="105"/>
          <w:sz w:val="10"/>
        </w:rPr>
        <w:t>PRIMERA</w:t>
      </w:r>
      <w:r>
        <w:rPr>
          <w:color w:val="009EDB"/>
          <w:spacing w:val="3"/>
          <w:w w:val="105"/>
          <w:sz w:val="10"/>
        </w:rPr>
        <w:t xml:space="preserve"> </w:t>
      </w:r>
      <w:r>
        <w:rPr>
          <w:color w:val="009EDB"/>
          <w:w w:val="105"/>
          <w:sz w:val="10"/>
        </w:rPr>
        <w:t>PARTE:</w:t>
      </w:r>
      <w:r>
        <w:rPr>
          <w:color w:val="009EDB"/>
          <w:spacing w:val="2"/>
          <w:w w:val="105"/>
          <w:sz w:val="10"/>
        </w:rPr>
        <w:t xml:space="preserve"> </w:t>
      </w:r>
      <w:r>
        <w:rPr>
          <w:color w:val="009EDB"/>
          <w:w w:val="105"/>
          <w:sz w:val="10"/>
        </w:rPr>
        <w:t>OBLIGACIONES</w:t>
      </w:r>
      <w:r>
        <w:rPr>
          <w:color w:val="009EDB"/>
          <w:spacing w:val="4"/>
          <w:w w:val="105"/>
          <w:sz w:val="10"/>
        </w:rPr>
        <w:t xml:space="preserve"> </w:t>
      </w:r>
      <w:r>
        <w:rPr>
          <w:color w:val="009EDB"/>
          <w:w w:val="105"/>
          <w:sz w:val="10"/>
        </w:rPr>
        <w:t>DE</w:t>
      </w:r>
      <w:r>
        <w:rPr>
          <w:color w:val="009EDB"/>
          <w:spacing w:val="2"/>
          <w:w w:val="105"/>
          <w:sz w:val="10"/>
        </w:rPr>
        <w:t xml:space="preserve"> </w:t>
      </w:r>
      <w:r>
        <w:rPr>
          <w:color w:val="009EDB"/>
          <w:w w:val="105"/>
          <w:sz w:val="10"/>
        </w:rPr>
        <w:t>LOS</w:t>
      </w:r>
      <w:r>
        <w:rPr>
          <w:color w:val="009EDB"/>
          <w:spacing w:val="2"/>
          <w:w w:val="105"/>
          <w:sz w:val="10"/>
        </w:rPr>
        <w:t xml:space="preserve"> </w:t>
      </w:r>
      <w:r>
        <w:rPr>
          <w:color w:val="009EDB"/>
          <w:w w:val="105"/>
          <w:sz w:val="10"/>
        </w:rPr>
        <w:t>ESTADOS</w:t>
      </w:r>
      <w:r>
        <w:rPr>
          <w:color w:val="009EDB"/>
          <w:spacing w:val="4"/>
          <w:w w:val="105"/>
          <w:sz w:val="10"/>
        </w:rPr>
        <w:t xml:space="preserve"> </w:t>
      </w:r>
      <w:r>
        <w:rPr>
          <w:color w:val="009EDB"/>
          <w:w w:val="105"/>
          <w:sz w:val="10"/>
        </w:rPr>
        <w:t>PARA</w:t>
      </w:r>
      <w:r>
        <w:rPr>
          <w:color w:val="009EDB"/>
          <w:spacing w:val="2"/>
          <w:w w:val="105"/>
          <w:sz w:val="10"/>
        </w:rPr>
        <w:t xml:space="preserve"> </w:t>
      </w:r>
      <w:r>
        <w:rPr>
          <w:color w:val="009EDB"/>
          <w:w w:val="105"/>
          <w:sz w:val="10"/>
        </w:rPr>
        <w:t>PROMULGAR</w:t>
      </w:r>
      <w:r>
        <w:rPr>
          <w:color w:val="009EDB"/>
          <w:spacing w:val="3"/>
          <w:w w:val="105"/>
          <w:sz w:val="10"/>
        </w:rPr>
        <w:t xml:space="preserve"> </w:t>
      </w:r>
      <w:r>
        <w:rPr>
          <w:color w:val="009EDB"/>
          <w:w w:val="105"/>
          <w:sz w:val="10"/>
        </w:rPr>
        <w:t>UNA</w:t>
      </w:r>
      <w:r>
        <w:rPr>
          <w:color w:val="009EDB"/>
          <w:spacing w:val="3"/>
          <w:w w:val="105"/>
          <w:sz w:val="10"/>
        </w:rPr>
        <w:t xml:space="preserve"> </w:t>
      </w:r>
      <w:r>
        <w:rPr>
          <w:color w:val="009EDB"/>
          <w:w w:val="105"/>
          <w:sz w:val="10"/>
        </w:rPr>
        <w:t>LEY</w:t>
      </w:r>
      <w:r>
        <w:rPr>
          <w:color w:val="009EDB"/>
          <w:spacing w:val="2"/>
          <w:w w:val="105"/>
          <w:sz w:val="10"/>
        </w:rPr>
        <w:t xml:space="preserve"> </w:t>
      </w:r>
      <w:r>
        <w:rPr>
          <w:color w:val="009EDB"/>
          <w:w w:val="105"/>
          <w:sz w:val="10"/>
        </w:rPr>
        <w:t>INTEGRAL</w:t>
      </w:r>
      <w:r>
        <w:rPr>
          <w:color w:val="009EDB"/>
          <w:spacing w:val="3"/>
          <w:w w:val="105"/>
          <w:sz w:val="10"/>
        </w:rPr>
        <w:t xml:space="preserve"> </w:t>
      </w:r>
      <w:r>
        <w:rPr>
          <w:color w:val="009EDB"/>
          <w:w w:val="105"/>
          <w:sz w:val="10"/>
        </w:rPr>
        <w:t>CONTRA</w:t>
      </w:r>
      <w:r>
        <w:rPr>
          <w:color w:val="009EDB"/>
          <w:spacing w:val="3"/>
          <w:w w:val="105"/>
          <w:sz w:val="10"/>
        </w:rPr>
        <w:t xml:space="preserve"> </w:t>
      </w:r>
      <w:r>
        <w:rPr>
          <w:color w:val="009EDB"/>
          <w:w w:val="105"/>
          <w:sz w:val="10"/>
        </w:rPr>
        <w:t>LA</w:t>
      </w:r>
      <w:r>
        <w:rPr>
          <w:color w:val="009EDB"/>
          <w:spacing w:val="2"/>
          <w:w w:val="105"/>
          <w:sz w:val="10"/>
        </w:rPr>
        <w:t xml:space="preserve"> </w:t>
      </w:r>
      <w:r>
        <w:rPr>
          <w:color w:val="009EDB"/>
          <w:spacing w:val="-2"/>
          <w:w w:val="105"/>
          <w:sz w:val="10"/>
        </w:rPr>
        <w:t>DISCRIMINACIÓN</w:t>
      </w:r>
    </w:p>
    <w:p w14:paraId="4DBF2535" w14:textId="77777777" w:rsidR="0014798C" w:rsidRDefault="0014798C">
      <w:pPr>
        <w:pStyle w:val="Textoindependiente"/>
      </w:pPr>
    </w:p>
    <w:p w14:paraId="39033760" w14:textId="77777777" w:rsidR="0014798C" w:rsidRDefault="0014798C">
      <w:pPr>
        <w:pStyle w:val="Textoindependiente"/>
      </w:pPr>
    </w:p>
    <w:p w14:paraId="4B701E8A" w14:textId="77777777" w:rsidR="0014798C" w:rsidRDefault="0014798C">
      <w:pPr>
        <w:pStyle w:val="Textoindependiente"/>
      </w:pPr>
    </w:p>
    <w:p w14:paraId="2750649C" w14:textId="77777777" w:rsidR="0014798C" w:rsidRDefault="0014798C">
      <w:pPr>
        <w:pStyle w:val="Textoindependiente"/>
      </w:pPr>
    </w:p>
    <w:p w14:paraId="52306B4B" w14:textId="77777777" w:rsidR="0014798C" w:rsidRDefault="0014798C">
      <w:pPr>
        <w:pStyle w:val="Textoindependiente"/>
        <w:spacing w:before="85"/>
      </w:pPr>
    </w:p>
    <w:p w14:paraId="2691060C" w14:textId="77777777" w:rsidR="0014798C" w:rsidRDefault="004E1F0B">
      <w:pPr>
        <w:pStyle w:val="Textoindependiente"/>
        <w:spacing w:line="326" w:lineRule="auto"/>
        <w:ind w:left="1111" w:right="1272" w:hanging="2"/>
      </w:pPr>
      <w:r>
        <w:rPr>
          <w:noProof/>
        </w:rPr>
        <w:drawing>
          <wp:anchor distT="0" distB="0" distL="0" distR="0" simplePos="0" relativeHeight="251658362" behindDoc="1" locked="0" layoutInCell="1" allowOverlap="1" wp14:anchorId="714203BE" wp14:editId="0C9686A3">
            <wp:simplePos x="0" y="0"/>
            <wp:positionH relativeFrom="page">
              <wp:posOffset>826632</wp:posOffset>
            </wp:positionH>
            <wp:positionV relativeFrom="paragraph">
              <wp:posOffset>-13167</wp:posOffset>
            </wp:positionV>
            <wp:extent cx="6729867" cy="6187347"/>
            <wp:effectExtent l="0" t="0" r="0" b="0"/>
            <wp:wrapNone/>
            <wp:docPr id="57" name="Image 5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57" name="Image 57"/>
                    <pic:cNvPicPr/>
                  </pic:nvPicPr>
                  <pic:blipFill>
                    <a:blip r:embed="rId65" cstate="print"/>
                    <a:stretch>
                      <a:fillRect/>
                    </a:stretch>
                  </pic:blipFill>
                  <pic:spPr>
                    <a:xfrm>
                      <a:off x="0" y="0"/>
                      <a:ext cx="6729867" cy="6187347"/>
                    </a:xfrm>
                    <a:prstGeom prst="rect">
                      <a:avLst/>
                    </a:prstGeom>
                  </pic:spPr>
                </pic:pic>
              </a:graphicData>
            </a:graphic>
          </wp:anchor>
        </w:drawing>
      </w:r>
      <w:r>
        <w:t>efecto.33 En segundo lugar, los Estados se comprometen a “modificar, derogar o anular cualesquiera leyes y reglamentos que tengan por efecto crear o perpetuar” la discriminación.34</w:t>
      </w:r>
    </w:p>
    <w:p w14:paraId="24A1C01F" w14:textId="77777777" w:rsidR="0014798C" w:rsidRDefault="004E1F0B">
      <w:pPr>
        <w:pStyle w:val="Textoindependiente"/>
        <w:spacing w:before="169" w:line="326" w:lineRule="auto"/>
        <w:ind w:left="1107" w:right="1309" w:hanging="1"/>
      </w:pPr>
      <w:r>
        <w:rPr>
          <w:noProof/>
        </w:rPr>
        <mc:AlternateContent>
          <mc:Choice Requires="wps">
            <w:drawing>
              <wp:anchor distT="0" distB="0" distL="0" distR="0" simplePos="0" relativeHeight="251658241" behindDoc="0" locked="0" layoutInCell="1" allowOverlap="1" wp14:anchorId="05B7E360" wp14:editId="7A9A8A47">
                <wp:simplePos x="0" y="0"/>
                <wp:positionH relativeFrom="page">
                  <wp:posOffset>7301499</wp:posOffset>
                </wp:positionH>
                <wp:positionV relativeFrom="paragraph">
                  <wp:posOffset>212674</wp:posOffset>
                </wp:positionV>
                <wp:extent cx="97790" cy="241300"/>
                <wp:effectExtent l="0" t="0" r="0" b="0"/>
                <wp:wrapNone/>
                <wp:docPr id="58" name="Textbox 5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97790" cy="241300"/>
                        </a:xfrm>
                        <a:prstGeom prst="rect">
                          <a:avLst/>
                        </a:prstGeom>
                      </wps:spPr>
                      <wps:txbx>
                        <w:txbxContent>
                          <w:p w14:paraId="1B80926A" w14:textId="77777777" w:rsidR="0014798C" w:rsidRDefault="004E1F0B">
                            <w:pPr>
                              <w:spacing w:before="18"/>
                              <w:ind w:left="20"/>
                              <w:rPr>
                                <w:sz w:val="10"/>
                              </w:rPr>
                            </w:pPr>
                            <w:r>
                              <w:rPr>
                                <w:color w:val="FFFFFF"/>
                                <w:spacing w:val="-27"/>
                                <w:sz w:val="10"/>
                              </w:rPr>
                              <w:t>UPANROTE</w:t>
                            </w:r>
                          </w:p>
                        </w:txbxContent>
                      </wps:txbx>
                      <wps:bodyPr vert="vert270" wrap="square" lIns="0" tIns="0" rIns="0" bIns="0" rtlCol="0">
                        <a:noAutofit/>
                      </wps:bodyPr>
                    </wps:wsp>
                  </a:graphicData>
                </a:graphic>
              </wp:anchor>
            </w:drawing>
          </mc:Choice>
          <mc:Fallback>
            <w:pict>
              <v:shape w14:anchorId="05B7E360" id="Textbox 58" o:spid="_x0000_s1042" type="#_x0000_t202" style="position:absolute;left:0;text-align:left;margin-left:574.9pt;margin-top:16.75pt;width:7.7pt;height:19pt;z-index:251658241;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" filled="f" stroked="f">
                <v:textbox style="layout-flow:vertical;mso-layout-flow-alt:bottom-to-top" inset="0,0,0,0">
                  <w:txbxContent>
                    <w:p w14:paraId="1B80926A" w14:textId="77777777" w:rsidR="0014798C" w:rsidRDefault="004E1F0B">
                      <w:pPr>
                        <w:spacing w:before="18"/>
                        <w:ind w:left="20"/>
                        <w:rPr>
                          <w:sz w:val="10"/>
                        </w:rPr>
                      </w:pPr>
                      <w:r>
                        <w:rPr>
                          <w:color w:val="FFFFFF"/>
                          <w:spacing w:val="-27"/>
                          <w:sz w:val="10"/>
                        </w:rPr>
                        <w:t>UPANROTE</w:t>
                      </w:r>
                    </w:p>
                  </w:txbxContent>
                </v:textbox>
                <w10:wrap anchorx="page"/>
              </v:shape>
            </w:pict>
          </mc:Fallback>
        </mc:AlternateContent>
      </w:r>
      <w:r>
        <w:t>La obligación de proteger es una obligación de proteger contra la discriminación por parte de todas las demás entidades, incluidos los</w:t>
      </w:r>
      <w:r>
        <w:rPr>
          <w:spacing w:val="10"/>
        </w:rPr>
        <w:t xml:space="preserve"> </w:t>
      </w:r>
      <w:r>
        <w:t>actores</w:t>
      </w:r>
      <w:r>
        <w:rPr>
          <w:spacing w:val="10"/>
        </w:rPr>
        <w:t xml:space="preserve"> </w:t>
      </w:r>
      <w:r>
        <w:t>privados.</w:t>
      </w:r>
      <w:r>
        <w:rPr>
          <w:spacing w:val="11"/>
        </w:rPr>
        <w:t xml:space="preserve"> </w:t>
      </w:r>
      <w:r>
        <w:t>Requiere</w:t>
      </w:r>
      <w:r>
        <w:rPr>
          <w:spacing w:val="10"/>
        </w:rPr>
        <w:t xml:space="preserve"> </w:t>
      </w:r>
      <w:r>
        <w:t>la</w:t>
      </w:r>
      <w:r>
        <w:rPr>
          <w:spacing w:val="10"/>
        </w:rPr>
        <w:t xml:space="preserve"> </w:t>
      </w:r>
      <w:r>
        <w:t>adopción</w:t>
      </w:r>
      <w:r>
        <w:rPr>
          <w:spacing w:val="10"/>
        </w:rPr>
        <w:t xml:space="preserve"> </w:t>
      </w:r>
      <w:r>
        <w:t>de</w:t>
      </w:r>
      <w:r>
        <w:rPr>
          <w:spacing w:val="10"/>
        </w:rPr>
        <w:t xml:space="preserve"> </w:t>
      </w:r>
      <w:r>
        <w:t>medidas</w:t>
      </w:r>
      <w:r>
        <w:rPr>
          <w:spacing w:val="10"/>
        </w:rPr>
        <w:t xml:space="preserve"> </w:t>
      </w:r>
      <w:r>
        <w:t>jurídicas</w:t>
      </w:r>
      <w:r>
        <w:rPr>
          <w:spacing w:val="10"/>
        </w:rPr>
        <w:t xml:space="preserve"> </w:t>
      </w:r>
      <w:r>
        <w:t>y</w:t>
      </w:r>
      <w:r>
        <w:rPr>
          <w:spacing w:val="10"/>
        </w:rPr>
        <w:t xml:space="preserve"> </w:t>
      </w:r>
      <w:r>
        <w:t>políticas específicas,</w:t>
      </w:r>
      <w:r>
        <w:rPr>
          <w:spacing w:val="11"/>
        </w:rPr>
        <w:t xml:space="preserve"> </w:t>
      </w:r>
      <w:r>
        <w:t>incluida</w:t>
      </w:r>
      <w:r>
        <w:rPr>
          <w:spacing w:val="10"/>
        </w:rPr>
        <w:t xml:space="preserve"> </w:t>
      </w:r>
      <w:r>
        <w:t>legislación.</w:t>
      </w:r>
      <w:r>
        <w:rPr>
          <w:spacing w:val="11"/>
        </w:rPr>
        <w:t xml:space="preserve"> </w:t>
      </w:r>
      <w:r>
        <w:t>El</w:t>
      </w:r>
      <w:r>
        <w:rPr>
          <w:spacing w:val="10"/>
        </w:rPr>
        <w:t xml:space="preserve"> </w:t>
      </w:r>
      <w:r>
        <w:t>artículo</w:t>
      </w:r>
      <w:r>
        <w:rPr>
          <w:spacing w:val="10"/>
        </w:rPr>
        <w:t xml:space="preserve"> </w:t>
      </w:r>
      <w:r>
        <w:t>26</w:t>
      </w:r>
      <w:r>
        <w:rPr>
          <w:spacing w:val="10"/>
        </w:rPr>
        <w:t xml:space="preserve"> </w:t>
      </w:r>
      <w:r>
        <w:t>del Pacto Internacional de Derechos Civiles y Políticos contiene una obligación explícita de adoptar legislación contra la</w:t>
      </w:r>
      <w:r>
        <w:rPr>
          <w:spacing w:val="80"/>
        </w:rPr>
        <w:t xml:space="preserve"> </w:t>
      </w:r>
      <w:r>
        <w:t>discriminación, que exige que “la ley prohibirá toda discriminación y garantizará a todas las personas una protección igual y</w:t>
      </w:r>
      <w:r>
        <w:rPr>
          <w:spacing w:val="40"/>
        </w:rPr>
        <w:t xml:space="preserve"> </w:t>
      </w:r>
      <w:r>
        <w:t>efectiva contra la discriminación”. En términos más generales, en virtud del artículo 2 (2) del mismo tratado, los Estados se comprometen a “adoptar las medidas necesarias... para adoptar las leyes u otras medidas que sean necesarias para dar efecto”</w:t>
      </w:r>
    </w:p>
    <w:p w14:paraId="6C541CDB" w14:textId="77777777" w:rsidR="0014798C" w:rsidRDefault="004E1F0B">
      <w:pPr>
        <w:pStyle w:val="Textoindependiente"/>
        <w:spacing w:line="326" w:lineRule="auto"/>
        <w:ind w:left="1106" w:right="1378"/>
      </w:pPr>
      <w:r>
        <w:t>a los derechos establecidos en el Pacto, incluido el derecho a la no discriminación</w:t>
      </w:r>
      <w:proofErr w:type="gramStart"/>
      <w:r>
        <w:t>. ,</w:t>
      </w:r>
      <w:proofErr w:type="gramEnd"/>
      <w:r>
        <w:t xml:space="preserve"> mientras que el artículo 2 (1) del Pacto Internacional de Derechos Económicos, Sociales y Culturales crea una obligación paralela. Obligaciones similares se establecen en el artículo 2 (1) (d) de la Convención Internacional sobre la Eliminación de todas las Formas de Discriminación Racial, el artículo 2 (a) de la Convención sobre la Eliminación de todas las Formas de Discriminación contra la Mujer y el artículo 4 (1</w:t>
      </w:r>
      <w:proofErr w:type="gramStart"/>
      <w:r>
        <w:t>) )</w:t>
      </w:r>
      <w:proofErr w:type="gramEnd"/>
      <w:r>
        <w:t xml:space="preserve"> de la Convención sobre los Derechos de las Personas con Discapacidad.</w:t>
      </w:r>
    </w:p>
    <w:p w14:paraId="71E3F537" w14:textId="77777777" w:rsidR="0014798C" w:rsidRDefault="004E1F0B">
      <w:pPr>
        <w:pStyle w:val="Textoindependiente"/>
        <w:spacing w:line="326" w:lineRule="auto"/>
        <w:ind w:left="1106" w:right="1272"/>
      </w:pPr>
      <w:r>
        <w:t xml:space="preserve">Como se analiza más adelante, las interpretaciones de estos y otros instrumentos de derechos humanos desde al menos el año 2000 han aclarado que la obligación de proteger implica la adopción de legislación antidiscriminatoria que sea de naturaleza </w:t>
      </w:r>
      <w:r>
        <w:rPr>
          <w:spacing w:val="-2"/>
        </w:rPr>
        <w:t>integral.35</w:t>
      </w:r>
    </w:p>
    <w:p w14:paraId="51434254" w14:textId="77777777" w:rsidR="0014798C" w:rsidRDefault="004E1F0B">
      <w:pPr>
        <w:pStyle w:val="Textoindependiente"/>
        <w:spacing w:before="163" w:line="326" w:lineRule="auto"/>
        <w:ind w:left="1108" w:right="1283" w:hanging="2"/>
      </w:pPr>
      <w:r>
        <w:t>La obligación de cumplir requiere que los Estados eliminen la discriminación en la práctica y garanticen el goce efectivo de los derechos a la igualdad y a la no discriminación. Como ha declarado el Comité de Derechos Económicos, Sociales y Culturales: “Además</w:t>
      </w:r>
      <w:r>
        <w:rPr>
          <w:spacing w:val="11"/>
        </w:rPr>
        <w:t xml:space="preserve"> </w:t>
      </w:r>
      <w:r>
        <w:t>de</w:t>
      </w:r>
      <w:r>
        <w:rPr>
          <w:spacing w:val="11"/>
        </w:rPr>
        <w:t xml:space="preserve"> </w:t>
      </w:r>
      <w:r>
        <w:t>abstenerse</w:t>
      </w:r>
      <w:r>
        <w:rPr>
          <w:spacing w:val="11"/>
        </w:rPr>
        <w:t xml:space="preserve"> </w:t>
      </w:r>
      <w:r>
        <w:t>de</w:t>
      </w:r>
      <w:r>
        <w:rPr>
          <w:spacing w:val="11"/>
        </w:rPr>
        <w:t xml:space="preserve"> </w:t>
      </w:r>
      <w:r>
        <w:t>adoptar</w:t>
      </w:r>
      <w:r>
        <w:rPr>
          <w:spacing w:val="11"/>
        </w:rPr>
        <w:t xml:space="preserve"> </w:t>
      </w:r>
      <w:r>
        <w:t>medidas</w:t>
      </w:r>
      <w:r>
        <w:rPr>
          <w:spacing w:val="11"/>
        </w:rPr>
        <w:t xml:space="preserve"> </w:t>
      </w:r>
      <w:r>
        <w:t>discriminatorias,</w:t>
      </w:r>
      <w:r>
        <w:rPr>
          <w:spacing w:val="14"/>
        </w:rPr>
        <w:t xml:space="preserve"> </w:t>
      </w:r>
      <w:r>
        <w:t>los</w:t>
      </w:r>
      <w:r>
        <w:rPr>
          <w:spacing w:val="11"/>
        </w:rPr>
        <w:t xml:space="preserve"> </w:t>
      </w:r>
      <w:proofErr w:type="gramStart"/>
      <w:r>
        <w:t>Estados</w:t>
      </w:r>
      <w:r>
        <w:rPr>
          <w:spacing w:val="11"/>
        </w:rPr>
        <w:t xml:space="preserve"> </w:t>
      </w:r>
      <w:r>
        <w:t>partes</w:t>
      </w:r>
      <w:proofErr w:type="gramEnd"/>
      <w:r>
        <w:rPr>
          <w:spacing w:val="11"/>
        </w:rPr>
        <w:t xml:space="preserve"> </w:t>
      </w:r>
      <w:r>
        <w:t>deben</w:t>
      </w:r>
      <w:r>
        <w:rPr>
          <w:spacing w:val="11"/>
        </w:rPr>
        <w:t xml:space="preserve"> </w:t>
      </w:r>
      <w:r>
        <w:t>adoptar</w:t>
      </w:r>
      <w:r>
        <w:rPr>
          <w:spacing w:val="11"/>
        </w:rPr>
        <w:t xml:space="preserve"> </w:t>
      </w:r>
      <w:r>
        <w:t>medidas</w:t>
      </w:r>
      <w:r>
        <w:rPr>
          <w:spacing w:val="11"/>
        </w:rPr>
        <w:t xml:space="preserve"> </w:t>
      </w:r>
      <w:r>
        <w:t>concretas,</w:t>
      </w:r>
      <w:r>
        <w:rPr>
          <w:spacing w:val="13"/>
        </w:rPr>
        <w:t xml:space="preserve"> </w:t>
      </w:r>
      <w:r>
        <w:t>deliberadas y específicas para garantizar que la discriminación... sea eliminada”. 36 Ese Comité y otros órganos creados en virtud de tratados han establecido establecer una serie de medidas que los Estados deben implementar para cumplir con sus obligaciones de hacer realidad el derecho a la no discriminación, incluido el desarrollo y la implementación de políticas, planes y estrategias; Recogida</w:t>
      </w:r>
    </w:p>
    <w:p w14:paraId="1C547A64" w14:textId="77777777" w:rsidR="0014798C" w:rsidRDefault="004E1F0B">
      <w:pPr>
        <w:pStyle w:val="Textoindependiente"/>
        <w:spacing w:line="326" w:lineRule="auto"/>
        <w:ind w:left="1107" w:right="1428" w:hanging="1"/>
      </w:pPr>
      <w:r>
        <w:t>y</w:t>
      </w:r>
      <w:r>
        <w:rPr>
          <w:spacing w:val="-12"/>
        </w:rPr>
        <w:t xml:space="preserve"> </w:t>
      </w:r>
      <w:r>
        <w:t>análisis</w:t>
      </w:r>
      <w:r>
        <w:rPr>
          <w:spacing w:val="-11"/>
        </w:rPr>
        <w:t xml:space="preserve"> </w:t>
      </w:r>
      <w:r>
        <w:t>de</w:t>
      </w:r>
      <w:r>
        <w:rPr>
          <w:spacing w:val="-11"/>
        </w:rPr>
        <w:t xml:space="preserve"> </w:t>
      </w:r>
      <w:r>
        <w:t>datos;</w:t>
      </w:r>
      <w:r>
        <w:rPr>
          <w:spacing w:val="-11"/>
        </w:rPr>
        <w:t xml:space="preserve"> </w:t>
      </w:r>
      <w:r>
        <w:t>informes</w:t>
      </w:r>
      <w:r>
        <w:rPr>
          <w:spacing w:val="-11"/>
        </w:rPr>
        <w:t xml:space="preserve"> </w:t>
      </w:r>
      <w:r>
        <w:t>públicos;</w:t>
      </w:r>
      <w:r>
        <w:rPr>
          <w:spacing w:val="-11"/>
        </w:rPr>
        <w:t xml:space="preserve"> </w:t>
      </w:r>
      <w:r>
        <w:t>educación,</w:t>
      </w:r>
      <w:r>
        <w:rPr>
          <w:spacing w:val="-11"/>
        </w:rPr>
        <w:t xml:space="preserve"> </w:t>
      </w:r>
      <w:r>
        <w:t>formación</w:t>
      </w:r>
      <w:r>
        <w:rPr>
          <w:spacing w:val="-11"/>
        </w:rPr>
        <w:t xml:space="preserve"> </w:t>
      </w:r>
      <w:r>
        <w:t>y</w:t>
      </w:r>
      <w:r>
        <w:rPr>
          <w:spacing w:val="-12"/>
        </w:rPr>
        <w:t xml:space="preserve"> </w:t>
      </w:r>
      <w:r>
        <w:t>sensibilización</w:t>
      </w:r>
      <w:r>
        <w:rPr>
          <w:spacing w:val="-11"/>
        </w:rPr>
        <w:t xml:space="preserve"> </w:t>
      </w:r>
      <w:r>
        <w:t>públicas;</w:t>
      </w:r>
      <w:r>
        <w:rPr>
          <w:spacing w:val="-11"/>
        </w:rPr>
        <w:t xml:space="preserve"> </w:t>
      </w:r>
      <w:r>
        <w:t>y</w:t>
      </w:r>
      <w:r>
        <w:rPr>
          <w:spacing w:val="-11"/>
        </w:rPr>
        <w:t xml:space="preserve"> </w:t>
      </w:r>
      <w:r>
        <w:t>el</w:t>
      </w:r>
      <w:r>
        <w:rPr>
          <w:spacing w:val="-11"/>
        </w:rPr>
        <w:t xml:space="preserve"> </w:t>
      </w:r>
      <w:r>
        <w:t>establecimiento</w:t>
      </w:r>
      <w:r>
        <w:rPr>
          <w:spacing w:val="-11"/>
        </w:rPr>
        <w:t xml:space="preserve"> </w:t>
      </w:r>
      <w:r>
        <w:t>de</w:t>
      </w:r>
      <w:r>
        <w:rPr>
          <w:spacing w:val="-11"/>
        </w:rPr>
        <w:t xml:space="preserve"> </w:t>
      </w:r>
      <w:r>
        <w:t>instituciones.37 En particular, esta obligación genera la obligación de adoptar acciones positivas –también conocidas como acción afirmativa o medidas especiales temporales– diseñadas para abordar las desventajas históricas y garantizar que todos puedan participar en igualdad de condiciones.38 Internacional La ley también impone obligaciones a los Estados para lograr la igualdad desafiando los prejuicios, los estereotipos y otros factores de discriminación.39</w:t>
      </w:r>
    </w:p>
    <w:p w14:paraId="6FE81B0D" w14:textId="77777777" w:rsidR="0014798C" w:rsidRDefault="0014798C">
      <w:pPr>
        <w:pStyle w:val="Textoindependiente"/>
        <w:rPr>
          <w:sz w:val="12"/>
        </w:rPr>
      </w:pPr>
    </w:p>
    <w:p w14:paraId="3662C1ED" w14:textId="77777777" w:rsidR="0014798C" w:rsidRDefault="0014798C">
      <w:pPr>
        <w:pStyle w:val="Textoindependiente"/>
        <w:rPr>
          <w:sz w:val="12"/>
        </w:rPr>
      </w:pPr>
    </w:p>
    <w:p w14:paraId="05B672D9" w14:textId="77777777" w:rsidR="0014798C" w:rsidRDefault="0014798C">
      <w:pPr>
        <w:pStyle w:val="Textoindependiente"/>
        <w:rPr>
          <w:sz w:val="12"/>
        </w:rPr>
      </w:pPr>
    </w:p>
    <w:p w14:paraId="4360A8D4" w14:textId="77777777" w:rsidR="0014798C" w:rsidRDefault="0014798C">
      <w:pPr>
        <w:pStyle w:val="Textoindependiente"/>
        <w:rPr>
          <w:sz w:val="12"/>
        </w:rPr>
      </w:pPr>
    </w:p>
    <w:p w14:paraId="6E39971E" w14:textId="77777777" w:rsidR="0014798C" w:rsidRDefault="0014798C">
      <w:pPr>
        <w:pStyle w:val="Textoindependiente"/>
        <w:rPr>
          <w:sz w:val="12"/>
        </w:rPr>
      </w:pPr>
    </w:p>
    <w:p w14:paraId="32674C64" w14:textId="77777777" w:rsidR="0014798C" w:rsidRDefault="0014798C">
      <w:pPr>
        <w:pStyle w:val="Textoindependiente"/>
        <w:rPr>
          <w:sz w:val="12"/>
        </w:rPr>
      </w:pPr>
    </w:p>
    <w:p w14:paraId="3FEA60C9" w14:textId="77777777" w:rsidR="0014798C" w:rsidRDefault="0014798C">
      <w:pPr>
        <w:pStyle w:val="Textoindependiente"/>
        <w:rPr>
          <w:sz w:val="12"/>
        </w:rPr>
      </w:pPr>
    </w:p>
    <w:p w14:paraId="1D8FCB4D" w14:textId="77777777" w:rsidR="0014798C" w:rsidRDefault="0014798C">
      <w:pPr>
        <w:pStyle w:val="Textoindependiente"/>
        <w:rPr>
          <w:sz w:val="12"/>
        </w:rPr>
      </w:pPr>
    </w:p>
    <w:p w14:paraId="3076F901" w14:textId="77777777" w:rsidR="0014798C" w:rsidRDefault="0014798C">
      <w:pPr>
        <w:pStyle w:val="Textoindependiente"/>
        <w:rPr>
          <w:sz w:val="12"/>
        </w:rPr>
      </w:pPr>
    </w:p>
    <w:p w14:paraId="5F3B5F66" w14:textId="77777777" w:rsidR="0014798C" w:rsidRDefault="0014798C">
      <w:pPr>
        <w:pStyle w:val="Textoindependiente"/>
        <w:rPr>
          <w:sz w:val="12"/>
        </w:rPr>
      </w:pPr>
    </w:p>
    <w:p w14:paraId="03C7A333" w14:textId="77777777" w:rsidR="0014798C" w:rsidRDefault="0014798C">
      <w:pPr>
        <w:pStyle w:val="Textoindependiente"/>
        <w:rPr>
          <w:sz w:val="12"/>
        </w:rPr>
      </w:pPr>
    </w:p>
    <w:p w14:paraId="1CCC9885" w14:textId="77777777" w:rsidR="0014798C" w:rsidRDefault="0014798C">
      <w:pPr>
        <w:pStyle w:val="Textoindependiente"/>
        <w:rPr>
          <w:sz w:val="12"/>
        </w:rPr>
      </w:pPr>
    </w:p>
    <w:p w14:paraId="7003FA9C" w14:textId="77777777" w:rsidR="0014798C" w:rsidRDefault="0014798C">
      <w:pPr>
        <w:pStyle w:val="Textoindependiente"/>
        <w:rPr>
          <w:sz w:val="12"/>
        </w:rPr>
      </w:pPr>
    </w:p>
    <w:p w14:paraId="63B219C5" w14:textId="77777777" w:rsidR="0014798C" w:rsidRDefault="0014798C">
      <w:pPr>
        <w:pStyle w:val="Textoindependiente"/>
        <w:rPr>
          <w:sz w:val="12"/>
        </w:rPr>
      </w:pPr>
    </w:p>
    <w:p w14:paraId="4293985F" w14:textId="77777777" w:rsidR="0014798C" w:rsidRDefault="0014798C">
      <w:pPr>
        <w:pStyle w:val="Textoindependiente"/>
        <w:rPr>
          <w:sz w:val="12"/>
        </w:rPr>
      </w:pPr>
    </w:p>
    <w:p w14:paraId="33494D61" w14:textId="77777777" w:rsidR="0014798C" w:rsidRDefault="0014798C">
      <w:pPr>
        <w:pStyle w:val="Textoindependiente"/>
        <w:rPr>
          <w:sz w:val="12"/>
        </w:rPr>
      </w:pPr>
    </w:p>
    <w:p w14:paraId="1E2A460D" w14:textId="77777777" w:rsidR="0014798C" w:rsidRDefault="0014798C">
      <w:pPr>
        <w:pStyle w:val="Textoindependiente"/>
        <w:rPr>
          <w:sz w:val="12"/>
        </w:rPr>
      </w:pPr>
    </w:p>
    <w:p w14:paraId="56CE22F5" w14:textId="77777777" w:rsidR="0014798C" w:rsidRDefault="0014798C">
      <w:pPr>
        <w:pStyle w:val="Textoindependiente"/>
        <w:rPr>
          <w:sz w:val="12"/>
        </w:rPr>
      </w:pPr>
    </w:p>
    <w:p w14:paraId="3D2000B9" w14:textId="77777777" w:rsidR="0014798C" w:rsidRDefault="0014798C">
      <w:pPr>
        <w:pStyle w:val="Textoindependiente"/>
        <w:rPr>
          <w:sz w:val="12"/>
        </w:rPr>
      </w:pPr>
    </w:p>
    <w:p w14:paraId="0FC88C61" w14:textId="77777777" w:rsidR="0014798C" w:rsidRDefault="0014798C">
      <w:pPr>
        <w:pStyle w:val="Textoindependiente"/>
        <w:spacing w:before="41"/>
        <w:rPr>
          <w:sz w:val="12"/>
        </w:rPr>
      </w:pPr>
    </w:p>
    <w:p w14:paraId="1BBE308B" w14:textId="77777777" w:rsidR="0014798C" w:rsidRDefault="004E1F0B">
      <w:pPr>
        <w:spacing w:before="1" w:line="321" w:lineRule="auto"/>
        <w:ind w:left="1368" w:right="1928" w:hanging="261"/>
        <w:rPr>
          <w:sz w:val="12"/>
        </w:rPr>
      </w:pPr>
      <w:r>
        <w:rPr>
          <w:sz w:val="12"/>
          <w:vertAlign w:val="superscript"/>
        </w:rPr>
        <w:t>33</w:t>
      </w:r>
      <w:r>
        <w:rPr>
          <w:spacing w:val="80"/>
          <w:w w:val="150"/>
          <w:sz w:val="12"/>
        </w:rPr>
        <w:t xml:space="preserve"> </w:t>
      </w:r>
      <w:r>
        <w:rPr>
          <w:sz w:val="12"/>
        </w:rPr>
        <w:t>Véase,</w:t>
      </w:r>
      <w:r>
        <w:rPr>
          <w:spacing w:val="-2"/>
          <w:sz w:val="12"/>
        </w:rPr>
        <w:t xml:space="preserve"> </w:t>
      </w:r>
      <w:r>
        <w:rPr>
          <w:sz w:val="12"/>
        </w:rPr>
        <w:t>por</w:t>
      </w:r>
      <w:r>
        <w:rPr>
          <w:spacing w:val="-2"/>
          <w:sz w:val="12"/>
        </w:rPr>
        <w:t xml:space="preserve"> </w:t>
      </w:r>
      <w:r>
        <w:rPr>
          <w:sz w:val="12"/>
        </w:rPr>
        <w:t>ejemplo,</w:t>
      </w:r>
      <w:r>
        <w:rPr>
          <w:spacing w:val="-2"/>
          <w:sz w:val="12"/>
        </w:rPr>
        <w:t xml:space="preserve"> </w:t>
      </w:r>
      <w:r>
        <w:rPr>
          <w:sz w:val="12"/>
        </w:rPr>
        <w:t>Convención</w:t>
      </w:r>
      <w:r>
        <w:rPr>
          <w:spacing w:val="-2"/>
          <w:sz w:val="12"/>
        </w:rPr>
        <w:t xml:space="preserve"> </w:t>
      </w:r>
      <w:r>
        <w:rPr>
          <w:sz w:val="12"/>
        </w:rPr>
        <w:t>Internacional</w:t>
      </w:r>
      <w:r>
        <w:rPr>
          <w:spacing w:val="-2"/>
          <w:sz w:val="12"/>
        </w:rPr>
        <w:t xml:space="preserve"> </w:t>
      </w:r>
      <w:r>
        <w:rPr>
          <w:sz w:val="12"/>
        </w:rPr>
        <w:t>sobre</w:t>
      </w:r>
      <w:r>
        <w:rPr>
          <w:spacing w:val="-2"/>
          <w:sz w:val="12"/>
        </w:rPr>
        <w:t xml:space="preserve"> </w:t>
      </w:r>
      <w:r>
        <w:rPr>
          <w:sz w:val="12"/>
        </w:rPr>
        <w:t>la</w:t>
      </w:r>
      <w:r>
        <w:rPr>
          <w:spacing w:val="-2"/>
          <w:sz w:val="12"/>
        </w:rPr>
        <w:t xml:space="preserve"> </w:t>
      </w:r>
      <w:r>
        <w:rPr>
          <w:sz w:val="12"/>
        </w:rPr>
        <w:t>Eliminación</w:t>
      </w:r>
      <w:r>
        <w:rPr>
          <w:spacing w:val="-2"/>
          <w:sz w:val="12"/>
        </w:rPr>
        <w:t xml:space="preserve"> </w:t>
      </w:r>
      <w:r>
        <w:rPr>
          <w:sz w:val="12"/>
        </w:rPr>
        <w:t>de</w:t>
      </w:r>
      <w:r>
        <w:rPr>
          <w:spacing w:val="-2"/>
          <w:sz w:val="12"/>
        </w:rPr>
        <w:t xml:space="preserve"> </w:t>
      </w:r>
      <w:r>
        <w:rPr>
          <w:sz w:val="12"/>
        </w:rPr>
        <w:t>todas</w:t>
      </w:r>
      <w:r>
        <w:rPr>
          <w:spacing w:val="-2"/>
          <w:sz w:val="12"/>
        </w:rPr>
        <w:t xml:space="preserve"> </w:t>
      </w:r>
      <w:r>
        <w:rPr>
          <w:sz w:val="12"/>
        </w:rPr>
        <w:t>las</w:t>
      </w:r>
      <w:r>
        <w:rPr>
          <w:spacing w:val="-2"/>
          <w:sz w:val="12"/>
        </w:rPr>
        <w:t xml:space="preserve"> </w:t>
      </w:r>
      <w:r>
        <w:rPr>
          <w:sz w:val="12"/>
        </w:rPr>
        <w:t>Formas</w:t>
      </w:r>
      <w:r>
        <w:rPr>
          <w:spacing w:val="-2"/>
          <w:sz w:val="12"/>
        </w:rPr>
        <w:t xml:space="preserve"> </w:t>
      </w:r>
      <w:r>
        <w:rPr>
          <w:sz w:val="12"/>
        </w:rPr>
        <w:t>de</w:t>
      </w:r>
      <w:r>
        <w:rPr>
          <w:spacing w:val="-2"/>
          <w:sz w:val="12"/>
        </w:rPr>
        <w:t xml:space="preserve"> </w:t>
      </w:r>
      <w:r>
        <w:rPr>
          <w:sz w:val="12"/>
        </w:rPr>
        <w:t>Discriminación</w:t>
      </w:r>
      <w:r>
        <w:rPr>
          <w:spacing w:val="-2"/>
          <w:sz w:val="12"/>
        </w:rPr>
        <w:t xml:space="preserve"> </w:t>
      </w:r>
      <w:r>
        <w:rPr>
          <w:sz w:val="12"/>
        </w:rPr>
        <w:t>Racial,</w:t>
      </w:r>
      <w:r>
        <w:rPr>
          <w:spacing w:val="-2"/>
          <w:sz w:val="12"/>
        </w:rPr>
        <w:t xml:space="preserve"> </w:t>
      </w:r>
      <w:r>
        <w:rPr>
          <w:sz w:val="12"/>
        </w:rPr>
        <w:t>art.</w:t>
      </w:r>
      <w:r>
        <w:rPr>
          <w:spacing w:val="-2"/>
          <w:sz w:val="12"/>
        </w:rPr>
        <w:t xml:space="preserve"> </w:t>
      </w:r>
      <w:r>
        <w:rPr>
          <w:sz w:val="12"/>
        </w:rPr>
        <w:t>2</w:t>
      </w:r>
      <w:r>
        <w:rPr>
          <w:spacing w:val="-2"/>
          <w:sz w:val="12"/>
        </w:rPr>
        <w:t xml:space="preserve"> </w:t>
      </w:r>
      <w:r>
        <w:rPr>
          <w:sz w:val="12"/>
        </w:rPr>
        <w:t>(</w:t>
      </w:r>
      <w:proofErr w:type="gramStart"/>
      <w:r>
        <w:rPr>
          <w:sz w:val="12"/>
        </w:rPr>
        <w:t>1);</w:t>
      </w:r>
      <w:proofErr w:type="gramEnd"/>
      <w:r>
        <w:rPr>
          <w:spacing w:val="-2"/>
          <w:sz w:val="12"/>
        </w:rPr>
        <w:t xml:space="preserve"> </w:t>
      </w:r>
      <w:r>
        <w:rPr>
          <w:sz w:val="12"/>
        </w:rPr>
        <w:t>Convención</w:t>
      </w:r>
      <w:r>
        <w:rPr>
          <w:spacing w:val="-2"/>
          <w:sz w:val="12"/>
        </w:rPr>
        <w:t xml:space="preserve"> </w:t>
      </w:r>
      <w:r>
        <w:rPr>
          <w:sz w:val="12"/>
        </w:rPr>
        <w:t>sobre</w:t>
      </w:r>
      <w:r>
        <w:rPr>
          <w:spacing w:val="-2"/>
          <w:sz w:val="12"/>
        </w:rPr>
        <w:t xml:space="preserve"> </w:t>
      </w:r>
      <w:r>
        <w:rPr>
          <w:sz w:val="12"/>
        </w:rPr>
        <w:t>la</w:t>
      </w:r>
      <w:r>
        <w:rPr>
          <w:spacing w:val="-2"/>
          <w:sz w:val="12"/>
        </w:rPr>
        <w:t xml:space="preserve"> </w:t>
      </w:r>
      <w:r>
        <w:rPr>
          <w:sz w:val="12"/>
        </w:rPr>
        <w:t>eliminación</w:t>
      </w:r>
      <w:r>
        <w:rPr>
          <w:spacing w:val="40"/>
          <w:sz w:val="12"/>
        </w:rPr>
        <w:t xml:space="preserve"> </w:t>
      </w:r>
      <w:r>
        <w:rPr>
          <w:sz w:val="12"/>
        </w:rPr>
        <w:t>de todas las formas de discriminación contra la mujer, art. 2 (d); y Convención sobre los Derechos de las Personas con Discapacidad, art. 4 (1) (b).</w:t>
      </w:r>
    </w:p>
    <w:p w14:paraId="6A590D06" w14:textId="77777777" w:rsidR="0014798C" w:rsidRDefault="0014798C">
      <w:pPr>
        <w:pStyle w:val="Textoindependiente"/>
        <w:spacing w:before="121"/>
        <w:rPr>
          <w:sz w:val="11"/>
        </w:rPr>
      </w:pPr>
    </w:p>
    <w:p w14:paraId="755598C9" w14:textId="77777777" w:rsidR="0014798C" w:rsidRDefault="004E1F0B">
      <w:pPr>
        <w:spacing w:before="1" w:line="345" w:lineRule="auto"/>
        <w:ind w:left="1367" w:right="1463" w:hanging="260"/>
        <w:rPr>
          <w:sz w:val="11"/>
        </w:rPr>
      </w:pPr>
      <w:r>
        <w:rPr>
          <w:sz w:val="11"/>
        </w:rPr>
        <w:t>34</w:t>
      </w:r>
      <w:r>
        <w:rPr>
          <w:spacing w:val="-2"/>
          <w:sz w:val="11"/>
        </w:rPr>
        <w:t xml:space="preserve"> </w:t>
      </w:r>
      <w:r>
        <w:rPr>
          <w:sz w:val="11"/>
        </w:rPr>
        <w:t>Convención</w:t>
      </w:r>
      <w:r>
        <w:rPr>
          <w:spacing w:val="-2"/>
          <w:sz w:val="11"/>
        </w:rPr>
        <w:t xml:space="preserve"> </w:t>
      </w:r>
      <w:r>
        <w:rPr>
          <w:sz w:val="11"/>
        </w:rPr>
        <w:t>Internacional</w:t>
      </w:r>
      <w:r>
        <w:rPr>
          <w:spacing w:val="-2"/>
          <w:sz w:val="11"/>
        </w:rPr>
        <w:t xml:space="preserve"> </w:t>
      </w:r>
      <w:r>
        <w:rPr>
          <w:sz w:val="11"/>
        </w:rPr>
        <w:t>sobre</w:t>
      </w:r>
      <w:r>
        <w:rPr>
          <w:spacing w:val="-2"/>
          <w:sz w:val="11"/>
        </w:rPr>
        <w:t xml:space="preserve"> </w:t>
      </w:r>
      <w:r>
        <w:rPr>
          <w:sz w:val="11"/>
        </w:rPr>
        <w:t>la</w:t>
      </w:r>
      <w:r>
        <w:rPr>
          <w:spacing w:val="-2"/>
          <w:sz w:val="11"/>
        </w:rPr>
        <w:t xml:space="preserve"> </w:t>
      </w:r>
      <w:r>
        <w:rPr>
          <w:sz w:val="11"/>
        </w:rPr>
        <w:t>Eliminación</w:t>
      </w:r>
      <w:r>
        <w:rPr>
          <w:spacing w:val="-2"/>
          <w:sz w:val="11"/>
        </w:rPr>
        <w:t xml:space="preserve"> </w:t>
      </w:r>
      <w:r>
        <w:rPr>
          <w:sz w:val="11"/>
        </w:rPr>
        <w:t>de</w:t>
      </w:r>
      <w:r>
        <w:rPr>
          <w:spacing w:val="-2"/>
          <w:sz w:val="11"/>
        </w:rPr>
        <w:t xml:space="preserve"> </w:t>
      </w:r>
      <w:r>
        <w:rPr>
          <w:sz w:val="11"/>
        </w:rPr>
        <w:t>todas</w:t>
      </w:r>
      <w:r>
        <w:rPr>
          <w:spacing w:val="-2"/>
          <w:sz w:val="11"/>
        </w:rPr>
        <w:t xml:space="preserve"> </w:t>
      </w:r>
      <w:r>
        <w:rPr>
          <w:sz w:val="11"/>
        </w:rPr>
        <w:t>las</w:t>
      </w:r>
      <w:r>
        <w:rPr>
          <w:spacing w:val="-2"/>
          <w:sz w:val="11"/>
        </w:rPr>
        <w:t xml:space="preserve"> </w:t>
      </w:r>
      <w:r>
        <w:rPr>
          <w:sz w:val="11"/>
        </w:rPr>
        <w:t>Formas</w:t>
      </w:r>
      <w:r>
        <w:rPr>
          <w:spacing w:val="-2"/>
          <w:sz w:val="11"/>
        </w:rPr>
        <w:t xml:space="preserve"> </w:t>
      </w:r>
      <w:r>
        <w:rPr>
          <w:sz w:val="11"/>
        </w:rPr>
        <w:t>de</w:t>
      </w:r>
      <w:r>
        <w:rPr>
          <w:spacing w:val="-2"/>
          <w:sz w:val="11"/>
        </w:rPr>
        <w:t xml:space="preserve"> </w:t>
      </w:r>
      <w:r>
        <w:rPr>
          <w:sz w:val="11"/>
        </w:rPr>
        <w:t>Discriminación</w:t>
      </w:r>
      <w:r>
        <w:rPr>
          <w:spacing w:val="-2"/>
          <w:sz w:val="11"/>
        </w:rPr>
        <w:t xml:space="preserve"> </w:t>
      </w:r>
      <w:r>
        <w:rPr>
          <w:sz w:val="11"/>
        </w:rPr>
        <w:t>Racial,</w:t>
      </w:r>
      <w:r>
        <w:rPr>
          <w:spacing w:val="-1"/>
          <w:sz w:val="11"/>
        </w:rPr>
        <w:t xml:space="preserve"> </w:t>
      </w:r>
      <w:r>
        <w:rPr>
          <w:sz w:val="11"/>
        </w:rPr>
        <w:t>art.</w:t>
      </w:r>
      <w:r>
        <w:rPr>
          <w:spacing w:val="-2"/>
          <w:sz w:val="11"/>
        </w:rPr>
        <w:t xml:space="preserve"> </w:t>
      </w:r>
      <w:r>
        <w:rPr>
          <w:sz w:val="11"/>
        </w:rPr>
        <w:t>2</w:t>
      </w:r>
      <w:r>
        <w:rPr>
          <w:spacing w:val="-2"/>
          <w:sz w:val="11"/>
        </w:rPr>
        <w:t xml:space="preserve"> </w:t>
      </w:r>
      <w:r>
        <w:rPr>
          <w:sz w:val="11"/>
        </w:rPr>
        <w:t>(1)</w:t>
      </w:r>
      <w:r>
        <w:rPr>
          <w:spacing w:val="-2"/>
          <w:sz w:val="11"/>
        </w:rPr>
        <w:t xml:space="preserve"> </w:t>
      </w:r>
      <w:r>
        <w:rPr>
          <w:sz w:val="11"/>
        </w:rPr>
        <w:t>(c).</w:t>
      </w:r>
      <w:r>
        <w:rPr>
          <w:spacing w:val="-1"/>
          <w:sz w:val="11"/>
        </w:rPr>
        <w:t xml:space="preserve"> </w:t>
      </w:r>
      <w:r>
        <w:rPr>
          <w:sz w:val="11"/>
        </w:rPr>
        <w:t>Véase</w:t>
      </w:r>
      <w:r>
        <w:rPr>
          <w:spacing w:val="-2"/>
          <w:sz w:val="11"/>
        </w:rPr>
        <w:t xml:space="preserve"> </w:t>
      </w:r>
      <w:r>
        <w:rPr>
          <w:sz w:val="11"/>
        </w:rPr>
        <w:t>también</w:t>
      </w:r>
      <w:r>
        <w:rPr>
          <w:spacing w:val="-2"/>
          <w:sz w:val="11"/>
        </w:rPr>
        <w:t xml:space="preserve"> </w:t>
      </w:r>
      <w:r>
        <w:rPr>
          <w:sz w:val="11"/>
        </w:rPr>
        <w:t>Convención</w:t>
      </w:r>
      <w:r>
        <w:rPr>
          <w:spacing w:val="-2"/>
          <w:sz w:val="11"/>
        </w:rPr>
        <w:t xml:space="preserve"> </w:t>
      </w:r>
      <w:r>
        <w:rPr>
          <w:sz w:val="11"/>
        </w:rPr>
        <w:t>Internacional</w:t>
      </w:r>
      <w:r>
        <w:rPr>
          <w:spacing w:val="-2"/>
          <w:sz w:val="11"/>
        </w:rPr>
        <w:t xml:space="preserve"> </w:t>
      </w:r>
      <w:r>
        <w:rPr>
          <w:sz w:val="11"/>
        </w:rPr>
        <w:t>sobre</w:t>
      </w:r>
      <w:r>
        <w:rPr>
          <w:spacing w:val="-2"/>
          <w:sz w:val="11"/>
        </w:rPr>
        <w:t xml:space="preserve"> </w:t>
      </w:r>
      <w:r>
        <w:rPr>
          <w:sz w:val="11"/>
        </w:rPr>
        <w:t>la</w:t>
      </w:r>
      <w:r>
        <w:rPr>
          <w:spacing w:val="-2"/>
          <w:sz w:val="11"/>
        </w:rPr>
        <w:t xml:space="preserve"> </w:t>
      </w:r>
      <w:r>
        <w:rPr>
          <w:sz w:val="11"/>
        </w:rPr>
        <w:t>Eliminación</w:t>
      </w:r>
      <w:r>
        <w:rPr>
          <w:spacing w:val="-2"/>
          <w:sz w:val="11"/>
        </w:rPr>
        <w:t xml:space="preserve"> </w:t>
      </w:r>
      <w:r>
        <w:rPr>
          <w:sz w:val="11"/>
        </w:rPr>
        <w:t>de</w:t>
      </w:r>
      <w:r>
        <w:rPr>
          <w:spacing w:val="-2"/>
          <w:sz w:val="11"/>
        </w:rPr>
        <w:t xml:space="preserve"> </w:t>
      </w:r>
      <w:r>
        <w:rPr>
          <w:sz w:val="11"/>
        </w:rPr>
        <w:t>Todas</w:t>
      </w:r>
      <w:r>
        <w:rPr>
          <w:spacing w:val="-2"/>
          <w:sz w:val="11"/>
        </w:rPr>
        <w:t xml:space="preserve"> </w:t>
      </w:r>
      <w:r>
        <w:rPr>
          <w:sz w:val="11"/>
        </w:rPr>
        <w:t>las</w:t>
      </w:r>
      <w:r>
        <w:rPr>
          <w:spacing w:val="40"/>
          <w:sz w:val="11"/>
        </w:rPr>
        <w:t xml:space="preserve"> </w:t>
      </w:r>
      <w:r>
        <w:rPr>
          <w:sz w:val="11"/>
        </w:rPr>
        <w:t>Formas</w:t>
      </w:r>
      <w:r>
        <w:rPr>
          <w:spacing w:val="-5"/>
          <w:sz w:val="11"/>
        </w:rPr>
        <w:t xml:space="preserve"> </w:t>
      </w:r>
      <w:r>
        <w:rPr>
          <w:sz w:val="11"/>
        </w:rPr>
        <w:t>de</w:t>
      </w:r>
      <w:r>
        <w:rPr>
          <w:spacing w:val="-5"/>
          <w:sz w:val="11"/>
        </w:rPr>
        <w:t xml:space="preserve"> </w:t>
      </w:r>
      <w:r>
        <w:rPr>
          <w:sz w:val="11"/>
        </w:rPr>
        <w:t>Discriminación</w:t>
      </w:r>
      <w:r>
        <w:rPr>
          <w:spacing w:val="-5"/>
          <w:sz w:val="11"/>
        </w:rPr>
        <w:t xml:space="preserve"> </w:t>
      </w:r>
      <w:r>
        <w:rPr>
          <w:sz w:val="11"/>
        </w:rPr>
        <w:t>contra</w:t>
      </w:r>
      <w:r>
        <w:rPr>
          <w:spacing w:val="-5"/>
          <w:sz w:val="11"/>
        </w:rPr>
        <w:t xml:space="preserve"> </w:t>
      </w:r>
      <w:r>
        <w:rPr>
          <w:sz w:val="11"/>
        </w:rPr>
        <w:t>la</w:t>
      </w:r>
      <w:r>
        <w:rPr>
          <w:spacing w:val="-5"/>
          <w:sz w:val="11"/>
        </w:rPr>
        <w:t xml:space="preserve"> </w:t>
      </w:r>
      <w:r>
        <w:rPr>
          <w:sz w:val="11"/>
        </w:rPr>
        <w:t>Mujer,</w:t>
      </w:r>
      <w:r>
        <w:rPr>
          <w:spacing w:val="-4"/>
          <w:sz w:val="11"/>
        </w:rPr>
        <w:t xml:space="preserve"> </w:t>
      </w:r>
      <w:r>
        <w:rPr>
          <w:sz w:val="11"/>
        </w:rPr>
        <w:t>art.</w:t>
      </w:r>
      <w:r>
        <w:rPr>
          <w:spacing w:val="-5"/>
          <w:sz w:val="11"/>
        </w:rPr>
        <w:t xml:space="preserve"> </w:t>
      </w:r>
      <w:r>
        <w:rPr>
          <w:w w:val="85"/>
          <w:sz w:val="11"/>
        </w:rPr>
        <w:t xml:space="preserve">2; </w:t>
      </w:r>
      <w:r>
        <w:rPr>
          <w:sz w:val="11"/>
        </w:rPr>
        <w:t>Convención</w:t>
      </w:r>
      <w:r>
        <w:rPr>
          <w:spacing w:val="-5"/>
          <w:sz w:val="11"/>
        </w:rPr>
        <w:t xml:space="preserve"> </w:t>
      </w:r>
      <w:r>
        <w:rPr>
          <w:sz w:val="11"/>
        </w:rPr>
        <w:t>sobre</w:t>
      </w:r>
      <w:r>
        <w:rPr>
          <w:spacing w:val="-5"/>
          <w:sz w:val="11"/>
        </w:rPr>
        <w:t xml:space="preserve"> </w:t>
      </w:r>
      <w:r>
        <w:rPr>
          <w:sz w:val="11"/>
        </w:rPr>
        <w:t>los</w:t>
      </w:r>
      <w:r>
        <w:rPr>
          <w:spacing w:val="-5"/>
          <w:sz w:val="11"/>
        </w:rPr>
        <w:t xml:space="preserve"> </w:t>
      </w:r>
      <w:r>
        <w:rPr>
          <w:sz w:val="11"/>
        </w:rPr>
        <w:t>Derechos</w:t>
      </w:r>
      <w:r>
        <w:rPr>
          <w:spacing w:val="-5"/>
          <w:sz w:val="11"/>
        </w:rPr>
        <w:t xml:space="preserve"> </w:t>
      </w:r>
      <w:r>
        <w:rPr>
          <w:sz w:val="11"/>
        </w:rPr>
        <w:t>de</w:t>
      </w:r>
      <w:r>
        <w:rPr>
          <w:spacing w:val="-5"/>
          <w:sz w:val="11"/>
        </w:rPr>
        <w:t xml:space="preserve"> </w:t>
      </w:r>
      <w:r>
        <w:rPr>
          <w:sz w:val="11"/>
        </w:rPr>
        <w:t>las</w:t>
      </w:r>
      <w:r>
        <w:rPr>
          <w:spacing w:val="-5"/>
          <w:sz w:val="11"/>
        </w:rPr>
        <w:t xml:space="preserve"> </w:t>
      </w:r>
      <w:r>
        <w:rPr>
          <w:sz w:val="11"/>
        </w:rPr>
        <w:t>Personas</w:t>
      </w:r>
      <w:r>
        <w:rPr>
          <w:spacing w:val="-5"/>
          <w:sz w:val="11"/>
        </w:rPr>
        <w:t xml:space="preserve"> </w:t>
      </w:r>
      <w:r>
        <w:rPr>
          <w:sz w:val="11"/>
        </w:rPr>
        <w:t>con</w:t>
      </w:r>
      <w:r>
        <w:rPr>
          <w:spacing w:val="-5"/>
          <w:sz w:val="11"/>
        </w:rPr>
        <w:t xml:space="preserve"> </w:t>
      </w:r>
      <w:r>
        <w:rPr>
          <w:sz w:val="11"/>
        </w:rPr>
        <w:t>Discapacidad,</w:t>
      </w:r>
      <w:r>
        <w:rPr>
          <w:spacing w:val="-4"/>
          <w:sz w:val="11"/>
        </w:rPr>
        <w:t xml:space="preserve"> </w:t>
      </w:r>
      <w:r>
        <w:rPr>
          <w:sz w:val="11"/>
        </w:rPr>
        <w:t>art.</w:t>
      </w:r>
      <w:r>
        <w:rPr>
          <w:spacing w:val="-5"/>
          <w:sz w:val="11"/>
        </w:rPr>
        <w:t xml:space="preserve"> </w:t>
      </w:r>
      <w:r>
        <w:rPr>
          <w:sz w:val="11"/>
        </w:rPr>
        <w:t>4</w:t>
      </w:r>
      <w:r>
        <w:rPr>
          <w:spacing w:val="-5"/>
          <w:sz w:val="11"/>
        </w:rPr>
        <w:t xml:space="preserve"> </w:t>
      </w:r>
      <w:r>
        <w:rPr>
          <w:sz w:val="11"/>
        </w:rPr>
        <w:t>(1)</w:t>
      </w:r>
      <w:r>
        <w:rPr>
          <w:spacing w:val="-5"/>
          <w:sz w:val="11"/>
        </w:rPr>
        <w:t xml:space="preserve"> </w:t>
      </w:r>
      <w:r>
        <w:rPr>
          <w:w w:val="85"/>
          <w:sz w:val="11"/>
        </w:rPr>
        <w:t xml:space="preserve">(b); </w:t>
      </w:r>
      <w:r>
        <w:rPr>
          <w:sz w:val="11"/>
        </w:rPr>
        <w:t>y</w:t>
      </w:r>
      <w:r>
        <w:rPr>
          <w:spacing w:val="-5"/>
          <w:sz w:val="11"/>
        </w:rPr>
        <w:t xml:space="preserve"> </w:t>
      </w:r>
      <w:r>
        <w:rPr>
          <w:sz w:val="11"/>
        </w:rPr>
        <w:t>Declaración</w:t>
      </w:r>
      <w:r>
        <w:rPr>
          <w:spacing w:val="-5"/>
          <w:sz w:val="11"/>
        </w:rPr>
        <w:t xml:space="preserve"> </w:t>
      </w:r>
      <w:r>
        <w:rPr>
          <w:sz w:val="11"/>
        </w:rPr>
        <w:t>sobre</w:t>
      </w:r>
      <w:r>
        <w:rPr>
          <w:spacing w:val="-5"/>
          <w:sz w:val="11"/>
        </w:rPr>
        <w:t xml:space="preserve"> </w:t>
      </w:r>
      <w:r>
        <w:rPr>
          <w:sz w:val="11"/>
        </w:rPr>
        <w:t>la</w:t>
      </w:r>
      <w:r>
        <w:rPr>
          <w:spacing w:val="-5"/>
          <w:sz w:val="11"/>
        </w:rPr>
        <w:t xml:space="preserve"> </w:t>
      </w:r>
      <w:r>
        <w:rPr>
          <w:sz w:val="11"/>
        </w:rPr>
        <w:t>Eliminación</w:t>
      </w:r>
      <w:r>
        <w:rPr>
          <w:spacing w:val="-5"/>
          <w:sz w:val="11"/>
        </w:rPr>
        <w:t xml:space="preserve"> </w:t>
      </w:r>
      <w:r>
        <w:rPr>
          <w:sz w:val="11"/>
        </w:rPr>
        <w:t>de</w:t>
      </w:r>
      <w:r>
        <w:rPr>
          <w:spacing w:val="-5"/>
          <w:sz w:val="11"/>
        </w:rPr>
        <w:t xml:space="preserve"> </w:t>
      </w:r>
      <w:r>
        <w:rPr>
          <w:sz w:val="11"/>
        </w:rPr>
        <w:t>Todas</w:t>
      </w:r>
      <w:r>
        <w:rPr>
          <w:spacing w:val="-5"/>
          <w:sz w:val="11"/>
        </w:rPr>
        <w:t xml:space="preserve"> </w:t>
      </w:r>
      <w:r>
        <w:rPr>
          <w:sz w:val="11"/>
        </w:rPr>
        <w:t>las</w:t>
      </w:r>
      <w:r>
        <w:rPr>
          <w:spacing w:val="40"/>
          <w:sz w:val="11"/>
        </w:rPr>
        <w:t xml:space="preserve"> </w:t>
      </w:r>
      <w:r>
        <w:rPr>
          <w:sz w:val="11"/>
        </w:rPr>
        <w:t>Formas de Intolerancia y Discriminación Fundadas en la Religión o las Creencias, art. 4 (2).</w:t>
      </w:r>
    </w:p>
    <w:p w14:paraId="6FD34FA7" w14:textId="77777777" w:rsidR="0014798C" w:rsidRPr="00537489" w:rsidRDefault="004E1F0B">
      <w:pPr>
        <w:spacing w:before="32" w:line="312" w:lineRule="auto"/>
        <w:ind w:left="1369" w:right="1272" w:hanging="262"/>
        <w:rPr>
          <w:sz w:val="12"/>
          <w:lang w:val="en-US"/>
        </w:rPr>
      </w:pPr>
      <w:r>
        <w:rPr>
          <w:sz w:val="12"/>
          <w:vertAlign w:val="superscript"/>
        </w:rPr>
        <w:t>35</w:t>
      </w:r>
      <w:r>
        <w:rPr>
          <w:spacing w:val="80"/>
          <w:w w:val="150"/>
          <w:sz w:val="12"/>
        </w:rPr>
        <w:t xml:space="preserve"> </w:t>
      </w:r>
      <w:r>
        <w:rPr>
          <w:sz w:val="12"/>
        </w:rPr>
        <w:t>Véase,</w:t>
      </w:r>
      <w:r>
        <w:rPr>
          <w:spacing w:val="-2"/>
          <w:sz w:val="12"/>
        </w:rPr>
        <w:t xml:space="preserve"> </w:t>
      </w:r>
      <w:r>
        <w:rPr>
          <w:sz w:val="12"/>
        </w:rPr>
        <w:t>por</w:t>
      </w:r>
      <w:r>
        <w:rPr>
          <w:spacing w:val="-2"/>
          <w:sz w:val="12"/>
        </w:rPr>
        <w:t xml:space="preserve"> </w:t>
      </w:r>
      <w:r>
        <w:rPr>
          <w:sz w:val="12"/>
        </w:rPr>
        <w:t>ejemplo,</w:t>
      </w:r>
      <w:r>
        <w:rPr>
          <w:spacing w:val="-2"/>
          <w:sz w:val="12"/>
        </w:rPr>
        <w:t xml:space="preserve"> </w:t>
      </w:r>
      <w:r>
        <w:rPr>
          <w:sz w:val="12"/>
        </w:rPr>
        <w:t>Comité</w:t>
      </w:r>
      <w:r>
        <w:rPr>
          <w:spacing w:val="-2"/>
          <w:sz w:val="12"/>
        </w:rPr>
        <w:t xml:space="preserve"> </w:t>
      </w:r>
      <w:r>
        <w:rPr>
          <w:sz w:val="12"/>
        </w:rPr>
        <w:t>de</w:t>
      </w:r>
      <w:r>
        <w:rPr>
          <w:spacing w:val="-2"/>
          <w:sz w:val="12"/>
        </w:rPr>
        <w:t xml:space="preserve"> </w:t>
      </w:r>
      <w:r>
        <w:rPr>
          <w:sz w:val="12"/>
        </w:rPr>
        <w:t>Derechos</w:t>
      </w:r>
      <w:r>
        <w:rPr>
          <w:spacing w:val="-2"/>
          <w:sz w:val="12"/>
        </w:rPr>
        <w:t xml:space="preserve"> </w:t>
      </w:r>
      <w:r>
        <w:rPr>
          <w:sz w:val="12"/>
        </w:rPr>
        <w:t>Económicos,</w:t>
      </w:r>
      <w:r>
        <w:rPr>
          <w:spacing w:val="-2"/>
          <w:sz w:val="12"/>
        </w:rPr>
        <w:t xml:space="preserve"> </w:t>
      </w:r>
      <w:r>
        <w:rPr>
          <w:sz w:val="12"/>
        </w:rPr>
        <w:t>Sociales</w:t>
      </w:r>
      <w:r>
        <w:rPr>
          <w:spacing w:val="-3"/>
          <w:sz w:val="12"/>
        </w:rPr>
        <w:t xml:space="preserve"> </w:t>
      </w:r>
      <w:r>
        <w:rPr>
          <w:sz w:val="12"/>
        </w:rPr>
        <w:t>y</w:t>
      </w:r>
      <w:r>
        <w:rPr>
          <w:spacing w:val="-2"/>
          <w:sz w:val="12"/>
        </w:rPr>
        <w:t xml:space="preserve"> </w:t>
      </w:r>
      <w:r>
        <w:rPr>
          <w:sz w:val="12"/>
        </w:rPr>
        <w:t>Culturales,</w:t>
      </w:r>
      <w:r>
        <w:rPr>
          <w:spacing w:val="-2"/>
          <w:sz w:val="12"/>
        </w:rPr>
        <w:t xml:space="preserve"> </w:t>
      </w:r>
      <w:r>
        <w:rPr>
          <w:sz w:val="12"/>
        </w:rPr>
        <w:t>observación</w:t>
      </w:r>
      <w:r>
        <w:rPr>
          <w:spacing w:val="-2"/>
          <w:sz w:val="12"/>
        </w:rPr>
        <w:t xml:space="preserve"> </w:t>
      </w:r>
      <w:r>
        <w:rPr>
          <w:sz w:val="12"/>
        </w:rPr>
        <w:t>general</w:t>
      </w:r>
      <w:r>
        <w:rPr>
          <w:spacing w:val="-2"/>
          <w:sz w:val="12"/>
        </w:rPr>
        <w:t xml:space="preserve"> </w:t>
      </w:r>
      <w:r>
        <w:rPr>
          <w:sz w:val="12"/>
        </w:rPr>
        <w:t>núm.</w:t>
      </w:r>
      <w:r>
        <w:rPr>
          <w:spacing w:val="-2"/>
          <w:sz w:val="12"/>
        </w:rPr>
        <w:t xml:space="preserve"> </w:t>
      </w:r>
      <w:r>
        <w:rPr>
          <w:sz w:val="12"/>
        </w:rPr>
        <w:t>20</w:t>
      </w:r>
      <w:r>
        <w:rPr>
          <w:spacing w:val="-2"/>
          <w:sz w:val="12"/>
        </w:rPr>
        <w:t xml:space="preserve"> </w:t>
      </w:r>
      <w:r>
        <w:rPr>
          <w:sz w:val="12"/>
        </w:rPr>
        <w:t>(2009),</w:t>
      </w:r>
      <w:r>
        <w:rPr>
          <w:spacing w:val="-2"/>
          <w:sz w:val="12"/>
        </w:rPr>
        <w:t xml:space="preserve"> </w:t>
      </w:r>
      <w:r>
        <w:rPr>
          <w:sz w:val="12"/>
        </w:rPr>
        <w:t>párr.</w:t>
      </w:r>
      <w:r>
        <w:rPr>
          <w:spacing w:val="-2"/>
          <w:sz w:val="12"/>
        </w:rPr>
        <w:t xml:space="preserve"> </w:t>
      </w:r>
      <w:r>
        <w:rPr>
          <w:sz w:val="12"/>
        </w:rPr>
        <w:t>37;</w:t>
      </w:r>
      <w:r>
        <w:rPr>
          <w:spacing w:val="-2"/>
          <w:sz w:val="12"/>
        </w:rPr>
        <w:t xml:space="preserve"> </w:t>
      </w:r>
      <w:r>
        <w:rPr>
          <w:sz w:val="12"/>
        </w:rPr>
        <w:t>Comité</w:t>
      </w:r>
      <w:r>
        <w:rPr>
          <w:spacing w:val="-2"/>
          <w:sz w:val="12"/>
        </w:rPr>
        <w:t xml:space="preserve"> </w:t>
      </w:r>
      <w:r>
        <w:rPr>
          <w:sz w:val="12"/>
        </w:rPr>
        <w:t>sobre</w:t>
      </w:r>
      <w:r>
        <w:rPr>
          <w:spacing w:val="-2"/>
          <w:sz w:val="12"/>
        </w:rPr>
        <w:t xml:space="preserve"> </w:t>
      </w:r>
      <w:r>
        <w:rPr>
          <w:sz w:val="12"/>
        </w:rPr>
        <w:t>los</w:t>
      </w:r>
      <w:r>
        <w:rPr>
          <w:spacing w:val="-2"/>
          <w:sz w:val="12"/>
        </w:rPr>
        <w:t xml:space="preserve"> </w:t>
      </w:r>
      <w:r>
        <w:rPr>
          <w:sz w:val="12"/>
        </w:rPr>
        <w:t>Derechos</w:t>
      </w:r>
      <w:r>
        <w:rPr>
          <w:spacing w:val="-2"/>
          <w:sz w:val="12"/>
        </w:rPr>
        <w:t xml:space="preserve"> </w:t>
      </w:r>
      <w:r>
        <w:rPr>
          <w:sz w:val="12"/>
        </w:rPr>
        <w:t>de</w:t>
      </w:r>
      <w:r>
        <w:rPr>
          <w:spacing w:val="-2"/>
          <w:sz w:val="12"/>
        </w:rPr>
        <w:t xml:space="preserve"> </w:t>
      </w:r>
      <w:r>
        <w:rPr>
          <w:sz w:val="12"/>
        </w:rPr>
        <w:t>las</w:t>
      </w:r>
      <w:r>
        <w:rPr>
          <w:spacing w:val="-2"/>
          <w:sz w:val="12"/>
        </w:rPr>
        <w:t xml:space="preserve"> </w:t>
      </w:r>
      <w:r>
        <w:rPr>
          <w:sz w:val="12"/>
        </w:rPr>
        <w:t>Personas</w:t>
      </w:r>
      <w:r>
        <w:rPr>
          <w:spacing w:val="40"/>
          <w:sz w:val="12"/>
        </w:rPr>
        <w:t xml:space="preserve"> </w:t>
      </w:r>
      <w:r>
        <w:rPr>
          <w:sz w:val="12"/>
        </w:rPr>
        <w:t>con</w:t>
      </w:r>
      <w:r>
        <w:rPr>
          <w:spacing w:val="-9"/>
          <w:sz w:val="12"/>
        </w:rPr>
        <w:t xml:space="preserve"> </w:t>
      </w:r>
      <w:r>
        <w:rPr>
          <w:sz w:val="12"/>
        </w:rPr>
        <w:t>Discapacidad,</w:t>
      </w:r>
      <w:r>
        <w:rPr>
          <w:spacing w:val="-7"/>
          <w:sz w:val="12"/>
        </w:rPr>
        <w:t xml:space="preserve"> </w:t>
      </w:r>
      <w:r>
        <w:rPr>
          <w:sz w:val="12"/>
        </w:rPr>
        <w:t>observación</w:t>
      </w:r>
      <w:r>
        <w:rPr>
          <w:spacing w:val="-9"/>
          <w:sz w:val="12"/>
        </w:rPr>
        <w:t xml:space="preserve"> </w:t>
      </w:r>
      <w:r>
        <w:rPr>
          <w:sz w:val="12"/>
        </w:rPr>
        <w:t>general</w:t>
      </w:r>
      <w:r>
        <w:rPr>
          <w:spacing w:val="-8"/>
          <w:sz w:val="12"/>
        </w:rPr>
        <w:t xml:space="preserve"> </w:t>
      </w:r>
      <w:r>
        <w:rPr>
          <w:sz w:val="12"/>
        </w:rPr>
        <w:t>núm.</w:t>
      </w:r>
      <w:r>
        <w:rPr>
          <w:spacing w:val="-8"/>
          <w:sz w:val="12"/>
        </w:rPr>
        <w:t xml:space="preserve"> </w:t>
      </w:r>
      <w:r>
        <w:rPr>
          <w:sz w:val="12"/>
        </w:rPr>
        <w:t>6</w:t>
      </w:r>
      <w:r>
        <w:rPr>
          <w:spacing w:val="-9"/>
          <w:sz w:val="12"/>
        </w:rPr>
        <w:t xml:space="preserve"> </w:t>
      </w:r>
      <w:r>
        <w:rPr>
          <w:sz w:val="12"/>
        </w:rPr>
        <w:t>(2018),</w:t>
      </w:r>
      <w:r>
        <w:rPr>
          <w:spacing w:val="-8"/>
          <w:sz w:val="12"/>
        </w:rPr>
        <w:t xml:space="preserve"> </w:t>
      </w:r>
      <w:r>
        <w:rPr>
          <w:sz w:val="12"/>
        </w:rPr>
        <w:t>párr.</w:t>
      </w:r>
      <w:r>
        <w:rPr>
          <w:spacing w:val="-8"/>
          <w:sz w:val="12"/>
        </w:rPr>
        <w:t xml:space="preserve"> </w:t>
      </w:r>
      <w:r w:rsidRPr="00537489">
        <w:rPr>
          <w:sz w:val="12"/>
          <w:lang w:val="en-US"/>
        </w:rPr>
        <w:t>22</w:t>
      </w:r>
      <w:r>
        <w:rPr>
          <w:sz w:val="12"/>
        </w:rPr>
        <w:t>;</w:t>
      </w:r>
      <w:r w:rsidRPr="00537489">
        <w:rPr>
          <w:spacing w:val="-9"/>
          <w:sz w:val="12"/>
          <w:lang w:val="en-US"/>
        </w:rPr>
        <w:t xml:space="preserve"> </w:t>
      </w:r>
      <w:r w:rsidRPr="00537489">
        <w:rPr>
          <w:sz w:val="12"/>
          <w:lang w:val="en-US"/>
        </w:rPr>
        <w:t>CCPR/C/KOR/CO/4,</w:t>
      </w:r>
      <w:r w:rsidRPr="00537489">
        <w:rPr>
          <w:spacing w:val="-8"/>
          <w:sz w:val="12"/>
          <w:lang w:val="en-US"/>
        </w:rPr>
        <w:t xml:space="preserve"> </w:t>
      </w:r>
      <w:proofErr w:type="spellStart"/>
      <w:r w:rsidRPr="00537489">
        <w:rPr>
          <w:sz w:val="12"/>
          <w:lang w:val="en-US"/>
        </w:rPr>
        <w:t>párrs</w:t>
      </w:r>
      <w:proofErr w:type="spellEnd"/>
      <w:r w:rsidRPr="00537489">
        <w:rPr>
          <w:sz w:val="12"/>
          <w:lang w:val="en-US"/>
        </w:rPr>
        <w:t>.</w:t>
      </w:r>
      <w:r w:rsidRPr="00537489">
        <w:rPr>
          <w:spacing w:val="-8"/>
          <w:sz w:val="12"/>
          <w:lang w:val="en-US"/>
        </w:rPr>
        <w:t xml:space="preserve"> </w:t>
      </w:r>
      <w:r w:rsidRPr="00537489">
        <w:rPr>
          <w:sz w:val="12"/>
          <w:lang w:val="en-US"/>
        </w:rPr>
        <w:t>12­13</w:t>
      </w:r>
      <w:r>
        <w:rPr>
          <w:sz w:val="12"/>
        </w:rPr>
        <w:t>;</w:t>
      </w:r>
      <w:r w:rsidRPr="00537489">
        <w:rPr>
          <w:spacing w:val="-9"/>
          <w:sz w:val="12"/>
          <w:lang w:val="en-US"/>
        </w:rPr>
        <w:t xml:space="preserve"> </w:t>
      </w:r>
      <w:r w:rsidRPr="00537489">
        <w:rPr>
          <w:sz w:val="12"/>
          <w:lang w:val="en-US"/>
        </w:rPr>
        <w:t>CERD/C/KGZ/CO/8­10,</w:t>
      </w:r>
      <w:r w:rsidRPr="00537489">
        <w:rPr>
          <w:spacing w:val="-8"/>
          <w:sz w:val="12"/>
          <w:lang w:val="en-US"/>
        </w:rPr>
        <w:t xml:space="preserve"> </w:t>
      </w:r>
      <w:proofErr w:type="spellStart"/>
      <w:r w:rsidRPr="00537489">
        <w:rPr>
          <w:sz w:val="12"/>
          <w:lang w:val="en-US"/>
        </w:rPr>
        <w:t>párr</w:t>
      </w:r>
      <w:proofErr w:type="spellEnd"/>
      <w:r w:rsidRPr="00537489">
        <w:rPr>
          <w:sz w:val="12"/>
          <w:lang w:val="en-US"/>
        </w:rPr>
        <w:t>.</w:t>
      </w:r>
    </w:p>
    <w:p w14:paraId="18A3A498" w14:textId="77777777" w:rsidR="0014798C" w:rsidRDefault="004E1F0B">
      <w:pPr>
        <w:spacing w:before="1" w:line="312" w:lineRule="auto"/>
        <w:ind w:left="1365" w:right="1553" w:firstLine="10"/>
        <w:rPr>
          <w:sz w:val="12"/>
        </w:rPr>
      </w:pPr>
      <w:r w:rsidRPr="00537489">
        <w:rPr>
          <w:spacing w:val="-2"/>
          <w:w w:val="95"/>
          <w:sz w:val="12"/>
          <w:lang w:val="en-US"/>
        </w:rPr>
        <w:t>11</w:t>
      </w:r>
      <w:r>
        <w:rPr>
          <w:spacing w:val="-2"/>
          <w:w w:val="95"/>
          <w:sz w:val="12"/>
        </w:rPr>
        <w:t>;</w:t>
      </w:r>
      <w:r w:rsidRPr="00537489">
        <w:rPr>
          <w:spacing w:val="-2"/>
          <w:w w:val="95"/>
          <w:sz w:val="12"/>
          <w:lang w:val="en-US"/>
        </w:rPr>
        <w:t xml:space="preserve"> </w:t>
      </w:r>
      <w:r w:rsidRPr="00537489">
        <w:rPr>
          <w:spacing w:val="-2"/>
          <w:sz w:val="12"/>
          <w:lang w:val="en-US"/>
        </w:rPr>
        <w:t xml:space="preserve">CEDAW/C/KAZ/CO/5, </w:t>
      </w:r>
      <w:proofErr w:type="spellStart"/>
      <w:r w:rsidRPr="00537489">
        <w:rPr>
          <w:spacing w:val="-2"/>
          <w:sz w:val="12"/>
          <w:lang w:val="en-US"/>
        </w:rPr>
        <w:t>párr</w:t>
      </w:r>
      <w:proofErr w:type="spellEnd"/>
      <w:r w:rsidRPr="00537489">
        <w:rPr>
          <w:spacing w:val="-2"/>
          <w:sz w:val="12"/>
          <w:lang w:val="en-US"/>
        </w:rPr>
        <w:t xml:space="preserve">. 12 </w:t>
      </w:r>
      <w:r w:rsidRPr="00537489">
        <w:rPr>
          <w:spacing w:val="-2"/>
          <w:w w:val="95"/>
          <w:sz w:val="12"/>
          <w:lang w:val="en-US"/>
        </w:rPr>
        <w:t>(a)</w:t>
      </w:r>
      <w:r>
        <w:rPr>
          <w:spacing w:val="-2"/>
          <w:w w:val="95"/>
          <w:sz w:val="12"/>
        </w:rPr>
        <w:t>;</w:t>
      </w:r>
      <w:r w:rsidRPr="00537489">
        <w:rPr>
          <w:spacing w:val="-2"/>
          <w:w w:val="95"/>
          <w:sz w:val="12"/>
          <w:lang w:val="en-US"/>
        </w:rPr>
        <w:t xml:space="preserve"> </w:t>
      </w:r>
      <w:r w:rsidRPr="00537489">
        <w:rPr>
          <w:spacing w:val="-2"/>
          <w:sz w:val="12"/>
          <w:lang w:val="en-US"/>
        </w:rPr>
        <w:t xml:space="preserve">CRC/C/COD/CO/3­5, </w:t>
      </w:r>
      <w:proofErr w:type="spellStart"/>
      <w:r w:rsidRPr="00537489">
        <w:rPr>
          <w:spacing w:val="-2"/>
          <w:sz w:val="12"/>
          <w:lang w:val="en-US"/>
        </w:rPr>
        <w:t>párr</w:t>
      </w:r>
      <w:proofErr w:type="spellEnd"/>
      <w:r w:rsidRPr="00537489">
        <w:rPr>
          <w:spacing w:val="-2"/>
          <w:sz w:val="12"/>
          <w:lang w:val="en-US"/>
        </w:rPr>
        <w:t xml:space="preserve">. </w:t>
      </w:r>
      <w:r w:rsidRPr="00537489">
        <w:rPr>
          <w:spacing w:val="-2"/>
          <w:w w:val="95"/>
          <w:sz w:val="12"/>
          <w:lang w:val="en-US"/>
        </w:rPr>
        <w:t>15</w:t>
      </w:r>
      <w:r>
        <w:rPr>
          <w:spacing w:val="-2"/>
          <w:w w:val="95"/>
          <w:sz w:val="12"/>
        </w:rPr>
        <w:t>;</w:t>
      </w:r>
      <w:r w:rsidRPr="00537489">
        <w:rPr>
          <w:spacing w:val="-2"/>
          <w:w w:val="95"/>
          <w:sz w:val="12"/>
          <w:lang w:val="en-US"/>
        </w:rPr>
        <w:t xml:space="preserve"> </w:t>
      </w:r>
      <w:r w:rsidRPr="00537489">
        <w:rPr>
          <w:spacing w:val="-2"/>
          <w:sz w:val="12"/>
          <w:lang w:val="en-US"/>
        </w:rPr>
        <w:t xml:space="preserve">CMW/C/LBY/CO/1, </w:t>
      </w:r>
      <w:proofErr w:type="spellStart"/>
      <w:r w:rsidRPr="00537489">
        <w:rPr>
          <w:spacing w:val="-2"/>
          <w:sz w:val="12"/>
          <w:lang w:val="en-US"/>
        </w:rPr>
        <w:t>párr</w:t>
      </w:r>
      <w:proofErr w:type="spellEnd"/>
      <w:r w:rsidRPr="00537489">
        <w:rPr>
          <w:spacing w:val="-2"/>
          <w:sz w:val="12"/>
          <w:lang w:val="en-US"/>
        </w:rPr>
        <w:t xml:space="preserve">. </w:t>
      </w:r>
      <w:r>
        <w:rPr>
          <w:spacing w:val="-2"/>
          <w:sz w:val="12"/>
        </w:rPr>
        <w:t>29(a); Convención Interamericana contra Todas las Formas de</w:t>
      </w:r>
      <w:r>
        <w:rPr>
          <w:spacing w:val="40"/>
          <w:sz w:val="12"/>
        </w:rPr>
        <w:t xml:space="preserve"> </w:t>
      </w:r>
      <w:r>
        <w:rPr>
          <w:sz w:val="12"/>
        </w:rPr>
        <w:t xml:space="preserve">Discriminación e Intolerancia, art. </w:t>
      </w:r>
      <w:r>
        <w:rPr>
          <w:w w:val="95"/>
          <w:sz w:val="12"/>
        </w:rPr>
        <w:t xml:space="preserve">7; </w:t>
      </w:r>
      <w:r>
        <w:rPr>
          <w:sz w:val="12"/>
        </w:rPr>
        <w:t>Comisión Interamericana de Derechos Humanos, Avances y Desafíos</w:t>
      </w:r>
      <w:r>
        <w:rPr>
          <w:spacing w:val="-1"/>
          <w:sz w:val="12"/>
        </w:rPr>
        <w:t xml:space="preserve"> </w:t>
      </w:r>
      <w:r>
        <w:rPr>
          <w:sz w:val="12"/>
        </w:rPr>
        <w:t>hacia el Reconocimiento de los Derechos de las</w:t>
      </w:r>
      <w:r>
        <w:rPr>
          <w:spacing w:val="40"/>
          <w:sz w:val="12"/>
        </w:rPr>
        <w:t xml:space="preserve"> </w:t>
      </w:r>
      <w:r>
        <w:rPr>
          <w:sz w:val="12"/>
        </w:rPr>
        <w:t>Personas</w:t>
      </w:r>
      <w:r>
        <w:rPr>
          <w:spacing w:val="-2"/>
          <w:sz w:val="12"/>
        </w:rPr>
        <w:t xml:space="preserve"> </w:t>
      </w:r>
      <w:r>
        <w:rPr>
          <w:sz w:val="12"/>
        </w:rPr>
        <w:t>LGBTI</w:t>
      </w:r>
      <w:r>
        <w:rPr>
          <w:spacing w:val="-2"/>
          <w:sz w:val="12"/>
        </w:rPr>
        <w:t xml:space="preserve"> </w:t>
      </w:r>
      <w:r>
        <w:rPr>
          <w:sz w:val="12"/>
        </w:rPr>
        <w:t>en</w:t>
      </w:r>
      <w:r>
        <w:rPr>
          <w:spacing w:val="-2"/>
          <w:sz w:val="12"/>
        </w:rPr>
        <w:t xml:space="preserve"> </w:t>
      </w:r>
      <w:r>
        <w:rPr>
          <w:sz w:val="12"/>
        </w:rPr>
        <w:t>las</w:t>
      </w:r>
      <w:r>
        <w:rPr>
          <w:spacing w:val="-2"/>
          <w:sz w:val="12"/>
        </w:rPr>
        <w:t xml:space="preserve"> </w:t>
      </w:r>
      <w:r>
        <w:rPr>
          <w:sz w:val="12"/>
        </w:rPr>
        <w:t>Américas</w:t>
      </w:r>
      <w:r>
        <w:rPr>
          <w:spacing w:val="-2"/>
          <w:sz w:val="12"/>
        </w:rPr>
        <w:t xml:space="preserve"> </w:t>
      </w:r>
      <w:r>
        <w:rPr>
          <w:sz w:val="12"/>
        </w:rPr>
        <w:t>(OEA/</w:t>
      </w:r>
      <w:proofErr w:type="spellStart"/>
      <w:r>
        <w:rPr>
          <w:sz w:val="12"/>
        </w:rPr>
        <w:t>Ser.L</w:t>
      </w:r>
      <w:proofErr w:type="spellEnd"/>
      <w:r>
        <w:rPr>
          <w:sz w:val="12"/>
        </w:rPr>
        <w:t>/V/II.170,</w:t>
      </w:r>
      <w:r>
        <w:rPr>
          <w:spacing w:val="-2"/>
          <w:sz w:val="12"/>
        </w:rPr>
        <w:t xml:space="preserve"> </w:t>
      </w:r>
      <w:r>
        <w:rPr>
          <w:sz w:val="12"/>
        </w:rPr>
        <w:t>Doc.</w:t>
      </w:r>
      <w:r>
        <w:rPr>
          <w:spacing w:val="-2"/>
          <w:sz w:val="12"/>
        </w:rPr>
        <w:t xml:space="preserve"> </w:t>
      </w:r>
      <w:r>
        <w:rPr>
          <w:sz w:val="12"/>
        </w:rPr>
        <w:t>184)</w:t>
      </w:r>
      <w:r>
        <w:rPr>
          <w:spacing w:val="-2"/>
          <w:sz w:val="12"/>
        </w:rPr>
        <w:t xml:space="preserve"> </w:t>
      </w:r>
      <w:r>
        <w:rPr>
          <w:sz w:val="12"/>
        </w:rPr>
        <w:t>(2018),</w:t>
      </w:r>
      <w:r>
        <w:rPr>
          <w:spacing w:val="-2"/>
          <w:sz w:val="12"/>
        </w:rPr>
        <w:t xml:space="preserve"> </w:t>
      </w:r>
      <w:r>
        <w:rPr>
          <w:sz w:val="12"/>
        </w:rPr>
        <w:t>párr.</w:t>
      </w:r>
      <w:r>
        <w:rPr>
          <w:spacing w:val="-2"/>
          <w:sz w:val="12"/>
        </w:rPr>
        <w:t xml:space="preserve"> </w:t>
      </w:r>
      <w:r>
        <w:rPr>
          <w:w w:val="95"/>
          <w:sz w:val="12"/>
        </w:rPr>
        <w:t>94;</w:t>
      </w:r>
      <w:r>
        <w:rPr>
          <w:spacing w:val="-1"/>
          <w:w w:val="95"/>
          <w:sz w:val="12"/>
        </w:rPr>
        <w:t xml:space="preserve"> </w:t>
      </w:r>
      <w:r>
        <w:rPr>
          <w:sz w:val="12"/>
        </w:rPr>
        <w:t>Asamblea</w:t>
      </w:r>
      <w:r>
        <w:rPr>
          <w:spacing w:val="-2"/>
          <w:sz w:val="12"/>
        </w:rPr>
        <w:t xml:space="preserve"> </w:t>
      </w:r>
      <w:r>
        <w:rPr>
          <w:sz w:val="12"/>
        </w:rPr>
        <w:t>Parlamentaria</w:t>
      </w:r>
      <w:r>
        <w:rPr>
          <w:spacing w:val="-2"/>
          <w:sz w:val="12"/>
        </w:rPr>
        <w:t xml:space="preserve"> </w:t>
      </w:r>
      <w:r>
        <w:rPr>
          <w:sz w:val="12"/>
        </w:rPr>
        <w:t>del</w:t>
      </w:r>
      <w:r>
        <w:rPr>
          <w:spacing w:val="-2"/>
          <w:sz w:val="12"/>
        </w:rPr>
        <w:t xml:space="preserve"> </w:t>
      </w:r>
      <w:r>
        <w:rPr>
          <w:sz w:val="12"/>
        </w:rPr>
        <w:t>Consejo</w:t>
      </w:r>
      <w:r>
        <w:rPr>
          <w:spacing w:val="-2"/>
          <w:sz w:val="12"/>
        </w:rPr>
        <w:t xml:space="preserve"> </w:t>
      </w:r>
      <w:r>
        <w:rPr>
          <w:sz w:val="12"/>
        </w:rPr>
        <w:t>de</w:t>
      </w:r>
      <w:r>
        <w:rPr>
          <w:spacing w:val="-2"/>
          <w:sz w:val="12"/>
        </w:rPr>
        <w:t xml:space="preserve"> </w:t>
      </w:r>
      <w:r>
        <w:rPr>
          <w:sz w:val="12"/>
        </w:rPr>
        <w:t>Europa,</w:t>
      </w:r>
      <w:r>
        <w:rPr>
          <w:spacing w:val="-2"/>
          <w:sz w:val="12"/>
        </w:rPr>
        <w:t xml:space="preserve"> </w:t>
      </w:r>
      <w:r>
        <w:rPr>
          <w:sz w:val="12"/>
        </w:rPr>
        <w:t>resolución</w:t>
      </w:r>
      <w:r>
        <w:rPr>
          <w:spacing w:val="-2"/>
          <w:sz w:val="12"/>
        </w:rPr>
        <w:t xml:space="preserve"> </w:t>
      </w:r>
      <w:r>
        <w:rPr>
          <w:sz w:val="12"/>
        </w:rPr>
        <w:t>1844</w:t>
      </w:r>
      <w:r>
        <w:rPr>
          <w:spacing w:val="-2"/>
          <w:sz w:val="12"/>
        </w:rPr>
        <w:t xml:space="preserve"> </w:t>
      </w:r>
      <w:r>
        <w:rPr>
          <w:sz w:val="12"/>
        </w:rPr>
        <w:t>(2011)</w:t>
      </w:r>
      <w:r>
        <w:rPr>
          <w:spacing w:val="-2"/>
          <w:sz w:val="12"/>
        </w:rPr>
        <w:t xml:space="preserve"> </w:t>
      </w:r>
      <w:r>
        <w:rPr>
          <w:sz w:val="12"/>
        </w:rPr>
        <w:t>sobre</w:t>
      </w:r>
      <w:r>
        <w:rPr>
          <w:spacing w:val="-2"/>
          <w:sz w:val="12"/>
        </w:rPr>
        <w:t xml:space="preserve"> </w:t>
      </w:r>
      <w:r>
        <w:rPr>
          <w:sz w:val="12"/>
        </w:rPr>
        <w:t>la</w:t>
      </w:r>
      <w:r>
        <w:rPr>
          <w:spacing w:val="40"/>
          <w:sz w:val="12"/>
        </w:rPr>
        <w:t xml:space="preserve"> </w:t>
      </w:r>
      <w:r>
        <w:rPr>
          <w:sz w:val="12"/>
        </w:rPr>
        <w:t>Declaración</w:t>
      </w:r>
      <w:r>
        <w:rPr>
          <w:spacing w:val="-1"/>
          <w:sz w:val="12"/>
        </w:rPr>
        <w:t xml:space="preserve"> </w:t>
      </w:r>
      <w:r>
        <w:rPr>
          <w:sz w:val="12"/>
        </w:rPr>
        <w:t>de</w:t>
      </w:r>
      <w:r>
        <w:rPr>
          <w:spacing w:val="-1"/>
          <w:sz w:val="12"/>
        </w:rPr>
        <w:t xml:space="preserve"> </w:t>
      </w:r>
      <w:r>
        <w:rPr>
          <w:sz w:val="12"/>
        </w:rPr>
        <w:t>Principios</w:t>
      </w:r>
      <w:r>
        <w:rPr>
          <w:spacing w:val="-2"/>
          <w:sz w:val="12"/>
        </w:rPr>
        <w:t xml:space="preserve"> </w:t>
      </w:r>
      <w:r>
        <w:rPr>
          <w:sz w:val="12"/>
        </w:rPr>
        <w:t>sobre</w:t>
      </w:r>
      <w:r>
        <w:rPr>
          <w:spacing w:val="-1"/>
          <w:sz w:val="12"/>
        </w:rPr>
        <w:t xml:space="preserve"> </w:t>
      </w:r>
      <w:r>
        <w:rPr>
          <w:sz w:val="12"/>
        </w:rPr>
        <w:t>Igualdad</w:t>
      </w:r>
      <w:r>
        <w:rPr>
          <w:spacing w:val="-1"/>
          <w:sz w:val="12"/>
        </w:rPr>
        <w:t xml:space="preserve"> </w:t>
      </w:r>
      <w:r>
        <w:rPr>
          <w:sz w:val="12"/>
        </w:rPr>
        <w:t>y</w:t>
      </w:r>
      <w:r>
        <w:rPr>
          <w:spacing w:val="-1"/>
          <w:sz w:val="12"/>
        </w:rPr>
        <w:t xml:space="preserve"> </w:t>
      </w:r>
      <w:r>
        <w:rPr>
          <w:sz w:val="12"/>
        </w:rPr>
        <w:t>actividades</w:t>
      </w:r>
      <w:r>
        <w:rPr>
          <w:spacing w:val="-2"/>
          <w:sz w:val="12"/>
        </w:rPr>
        <w:t xml:space="preserve"> </w:t>
      </w:r>
      <w:r>
        <w:rPr>
          <w:sz w:val="12"/>
        </w:rPr>
        <w:t>del</w:t>
      </w:r>
      <w:r>
        <w:rPr>
          <w:spacing w:val="-1"/>
          <w:sz w:val="12"/>
        </w:rPr>
        <w:t xml:space="preserve"> </w:t>
      </w:r>
      <w:r>
        <w:rPr>
          <w:sz w:val="12"/>
        </w:rPr>
        <w:t>Consejo</w:t>
      </w:r>
      <w:r>
        <w:rPr>
          <w:spacing w:val="-1"/>
          <w:sz w:val="12"/>
        </w:rPr>
        <w:t xml:space="preserve"> </w:t>
      </w:r>
      <w:r>
        <w:rPr>
          <w:sz w:val="12"/>
        </w:rPr>
        <w:t>de</w:t>
      </w:r>
      <w:r>
        <w:rPr>
          <w:spacing w:val="-1"/>
          <w:sz w:val="12"/>
        </w:rPr>
        <w:t xml:space="preserve"> </w:t>
      </w:r>
      <w:r>
        <w:rPr>
          <w:sz w:val="12"/>
        </w:rPr>
        <w:t>Europa;</w:t>
      </w:r>
      <w:r>
        <w:rPr>
          <w:spacing w:val="-1"/>
          <w:sz w:val="12"/>
        </w:rPr>
        <w:t xml:space="preserve"> </w:t>
      </w:r>
      <w:r>
        <w:rPr>
          <w:sz w:val="12"/>
        </w:rPr>
        <w:t>Comisión</w:t>
      </w:r>
      <w:r>
        <w:rPr>
          <w:spacing w:val="-1"/>
          <w:sz w:val="12"/>
        </w:rPr>
        <w:t xml:space="preserve"> </w:t>
      </w:r>
      <w:r>
        <w:rPr>
          <w:sz w:val="12"/>
        </w:rPr>
        <w:t>Africana</w:t>
      </w:r>
      <w:r>
        <w:rPr>
          <w:spacing w:val="-1"/>
          <w:sz w:val="12"/>
        </w:rPr>
        <w:t xml:space="preserve"> </w:t>
      </w:r>
      <w:r>
        <w:rPr>
          <w:sz w:val="12"/>
        </w:rPr>
        <w:t>de</w:t>
      </w:r>
      <w:r>
        <w:rPr>
          <w:spacing w:val="-1"/>
          <w:sz w:val="12"/>
        </w:rPr>
        <w:t xml:space="preserve"> </w:t>
      </w:r>
      <w:r>
        <w:rPr>
          <w:sz w:val="12"/>
        </w:rPr>
        <w:t>Derechos</w:t>
      </w:r>
      <w:r>
        <w:rPr>
          <w:spacing w:val="-1"/>
          <w:sz w:val="12"/>
        </w:rPr>
        <w:t xml:space="preserve"> </w:t>
      </w:r>
      <w:r>
        <w:rPr>
          <w:sz w:val="12"/>
        </w:rPr>
        <w:t>Humanos</w:t>
      </w:r>
      <w:r>
        <w:rPr>
          <w:spacing w:val="-1"/>
          <w:sz w:val="12"/>
        </w:rPr>
        <w:t xml:space="preserve"> </w:t>
      </w:r>
      <w:r>
        <w:rPr>
          <w:sz w:val="12"/>
        </w:rPr>
        <w:t>y</w:t>
      </w:r>
      <w:r>
        <w:rPr>
          <w:spacing w:val="-1"/>
          <w:sz w:val="12"/>
        </w:rPr>
        <w:t xml:space="preserve"> </w:t>
      </w:r>
      <w:r>
        <w:rPr>
          <w:sz w:val="12"/>
        </w:rPr>
        <w:t>de</w:t>
      </w:r>
      <w:r>
        <w:rPr>
          <w:spacing w:val="-1"/>
          <w:sz w:val="12"/>
        </w:rPr>
        <w:t xml:space="preserve"> </w:t>
      </w:r>
      <w:r>
        <w:rPr>
          <w:sz w:val="12"/>
        </w:rPr>
        <w:t>los</w:t>
      </w:r>
      <w:r>
        <w:rPr>
          <w:spacing w:val="-1"/>
          <w:sz w:val="12"/>
        </w:rPr>
        <w:t xml:space="preserve"> </w:t>
      </w:r>
      <w:r>
        <w:rPr>
          <w:sz w:val="12"/>
        </w:rPr>
        <w:t>Pueblos,</w:t>
      </w:r>
      <w:r>
        <w:rPr>
          <w:spacing w:val="-1"/>
          <w:sz w:val="12"/>
        </w:rPr>
        <w:t xml:space="preserve"> </w:t>
      </w:r>
      <w:r>
        <w:rPr>
          <w:sz w:val="12"/>
        </w:rPr>
        <w:t>“Observaciones</w:t>
      </w:r>
      <w:r>
        <w:rPr>
          <w:spacing w:val="-2"/>
          <w:sz w:val="12"/>
        </w:rPr>
        <w:t xml:space="preserve"> </w:t>
      </w:r>
      <w:r>
        <w:rPr>
          <w:sz w:val="12"/>
        </w:rPr>
        <w:t>finales</w:t>
      </w:r>
      <w:r>
        <w:rPr>
          <w:spacing w:val="40"/>
          <w:sz w:val="12"/>
        </w:rPr>
        <w:t xml:space="preserve"> </w:t>
      </w:r>
      <w:r>
        <w:rPr>
          <w:sz w:val="12"/>
        </w:rPr>
        <w:t>y recomendaciones sobre los informes periódicos octavo a undécimo de la República de Kenia” (2016), párr. 55.</w:t>
      </w:r>
    </w:p>
    <w:p w14:paraId="58EE167C" w14:textId="77777777" w:rsidR="0014798C" w:rsidRDefault="0014798C">
      <w:pPr>
        <w:pStyle w:val="Textoindependiente"/>
        <w:rPr>
          <w:sz w:val="11"/>
        </w:rPr>
      </w:pPr>
    </w:p>
    <w:p w14:paraId="40E186E3" w14:textId="77777777" w:rsidR="0014798C" w:rsidRDefault="0014798C">
      <w:pPr>
        <w:pStyle w:val="Textoindependiente"/>
        <w:spacing w:before="9"/>
        <w:rPr>
          <w:sz w:val="11"/>
        </w:rPr>
      </w:pPr>
    </w:p>
    <w:p w14:paraId="27008543" w14:textId="77777777" w:rsidR="0014798C" w:rsidRDefault="004E1F0B">
      <w:pPr>
        <w:ind w:left="1107"/>
        <w:rPr>
          <w:sz w:val="11"/>
        </w:rPr>
      </w:pPr>
      <w:r>
        <w:rPr>
          <w:sz w:val="11"/>
        </w:rPr>
        <w:t>36</w:t>
      </w:r>
      <w:r>
        <w:rPr>
          <w:spacing w:val="-8"/>
          <w:sz w:val="11"/>
        </w:rPr>
        <w:t xml:space="preserve"> </w:t>
      </w:r>
      <w:r>
        <w:rPr>
          <w:sz w:val="11"/>
        </w:rPr>
        <w:t>Comité</w:t>
      </w:r>
      <w:r>
        <w:rPr>
          <w:spacing w:val="-5"/>
          <w:sz w:val="11"/>
        </w:rPr>
        <w:t xml:space="preserve"> </w:t>
      </w:r>
      <w:r>
        <w:rPr>
          <w:sz w:val="11"/>
        </w:rPr>
        <w:t>de</w:t>
      </w:r>
      <w:r>
        <w:rPr>
          <w:spacing w:val="-5"/>
          <w:sz w:val="11"/>
        </w:rPr>
        <w:t xml:space="preserve"> </w:t>
      </w:r>
      <w:r>
        <w:rPr>
          <w:sz w:val="11"/>
        </w:rPr>
        <w:t>Derechos</w:t>
      </w:r>
      <w:r>
        <w:rPr>
          <w:spacing w:val="-5"/>
          <w:sz w:val="11"/>
        </w:rPr>
        <w:t xml:space="preserve"> </w:t>
      </w:r>
      <w:r>
        <w:rPr>
          <w:sz w:val="11"/>
        </w:rPr>
        <w:t>Económicos,</w:t>
      </w:r>
      <w:r>
        <w:rPr>
          <w:spacing w:val="-4"/>
          <w:sz w:val="11"/>
        </w:rPr>
        <w:t xml:space="preserve"> </w:t>
      </w:r>
      <w:r>
        <w:rPr>
          <w:sz w:val="11"/>
        </w:rPr>
        <w:t>Sociales</w:t>
      </w:r>
      <w:r>
        <w:rPr>
          <w:spacing w:val="-5"/>
          <w:sz w:val="11"/>
        </w:rPr>
        <w:t xml:space="preserve"> </w:t>
      </w:r>
      <w:r>
        <w:rPr>
          <w:sz w:val="11"/>
        </w:rPr>
        <w:t>y</w:t>
      </w:r>
      <w:r>
        <w:rPr>
          <w:spacing w:val="-5"/>
          <w:sz w:val="11"/>
        </w:rPr>
        <w:t xml:space="preserve"> </w:t>
      </w:r>
      <w:r>
        <w:rPr>
          <w:sz w:val="11"/>
        </w:rPr>
        <w:t>Culturales,</w:t>
      </w:r>
      <w:r>
        <w:rPr>
          <w:spacing w:val="-4"/>
          <w:sz w:val="11"/>
        </w:rPr>
        <w:t xml:space="preserve"> </w:t>
      </w:r>
      <w:r>
        <w:rPr>
          <w:sz w:val="11"/>
        </w:rPr>
        <w:t>observación</w:t>
      </w:r>
      <w:r>
        <w:rPr>
          <w:spacing w:val="-5"/>
          <w:sz w:val="11"/>
        </w:rPr>
        <w:t xml:space="preserve"> </w:t>
      </w:r>
      <w:r>
        <w:rPr>
          <w:sz w:val="11"/>
        </w:rPr>
        <w:t>general</w:t>
      </w:r>
      <w:r>
        <w:rPr>
          <w:spacing w:val="-5"/>
          <w:sz w:val="11"/>
        </w:rPr>
        <w:t xml:space="preserve"> </w:t>
      </w:r>
      <w:r>
        <w:rPr>
          <w:sz w:val="11"/>
        </w:rPr>
        <w:t>núm.</w:t>
      </w:r>
      <w:r>
        <w:rPr>
          <w:spacing w:val="-4"/>
          <w:sz w:val="11"/>
        </w:rPr>
        <w:t xml:space="preserve"> </w:t>
      </w:r>
      <w:r>
        <w:rPr>
          <w:sz w:val="11"/>
        </w:rPr>
        <w:t>20</w:t>
      </w:r>
      <w:r>
        <w:rPr>
          <w:spacing w:val="-5"/>
          <w:sz w:val="11"/>
        </w:rPr>
        <w:t xml:space="preserve"> </w:t>
      </w:r>
      <w:r>
        <w:rPr>
          <w:sz w:val="11"/>
        </w:rPr>
        <w:t>(2009),</w:t>
      </w:r>
      <w:r>
        <w:rPr>
          <w:spacing w:val="-4"/>
          <w:sz w:val="11"/>
        </w:rPr>
        <w:t xml:space="preserve"> </w:t>
      </w:r>
      <w:r>
        <w:rPr>
          <w:sz w:val="11"/>
        </w:rPr>
        <w:t>párr.</w:t>
      </w:r>
      <w:r>
        <w:rPr>
          <w:spacing w:val="-4"/>
          <w:sz w:val="11"/>
        </w:rPr>
        <w:t xml:space="preserve"> </w:t>
      </w:r>
      <w:r>
        <w:rPr>
          <w:spacing w:val="-5"/>
          <w:sz w:val="11"/>
        </w:rPr>
        <w:t>36.</w:t>
      </w:r>
    </w:p>
    <w:p w14:paraId="5A052A2A" w14:textId="77777777" w:rsidR="0014798C" w:rsidRDefault="004E1F0B">
      <w:pPr>
        <w:spacing w:before="110"/>
        <w:ind w:left="1107"/>
        <w:rPr>
          <w:sz w:val="11"/>
        </w:rPr>
      </w:pPr>
      <w:r>
        <w:rPr>
          <w:sz w:val="11"/>
        </w:rPr>
        <w:t>37</w:t>
      </w:r>
      <w:r>
        <w:rPr>
          <w:spacing w:val="-4"/>
          <w:sz w:val="11"/>
        </w:rPr>
        <w:t xml:space="preserve"> </w:t>
      </w:r>
      <w:proofErr w:type="spellStart"/>
      <w:r>
        <w:rPr>
          <w:sz w:val="11"/>
        </w:rPr>
        <w:t>Ibíd</w:t>
      </w:r>
      <w:proofErr w:type="spellEnd"/>
      <w:r>
        <w:rPr>
          <w:sz w:val="11"/>
        </w:rPr>
        <w:t>.,</w:t>
      </w:r>
      <w:r>
        <w:rPr>
          <w:spacing w:val="-4"/>
          <w:sz w:val="11"/>
        </w:rPr>
        <w:t xml:space="preserve"> </w:t>
      </w:r>
      <w:proofErr w:type="spellStart"/>
      <w:r>
        <w:rPr>
          <w:sz w:val="11"/>
        </w:rPr>
        <w:t>párrs</w:t>
      </w:r>
      <w:proofErr w:type="spellEnd"/>
      <w:r>
        <w:rPr>
          <w:sz w:val="11"/>
        </w:rPr>
        <w:t>.</w:t>
      </w:r>
      <w:r>
        <w:rPr>
          <w:spacing w:val="-3"/>
          <w:sz w:val="11"/>
        </w:rPr>
        <w:t xml:space="preserve"> </w:t>
      </w:r>
      <w:r>
        <w:rPr>
          <w:sz w:val="11"/>
        </w:rPr>
        <w:t>36,</w:t>
      </w:r>
      <w:r>
        <w:rPr>
          <w:spacing w:val="-4"/>
          <w:sz w:val="11"/>
        </w:rPr>
        <w:t xml:space="preserve"> </w:t>
      </w:r>
      <w:r>
        <w:rPr>
          <w:sz w:val="11"/>
        </w:rPr>
        <w:t>38–39</w:t>
      </w:r>
      <w:r>
        <w:rPr>
          <w:spacing w:val="-4"/>
          <w:sz w:val="11"/>
        </w:rPr>
        <w:t xml:space="preserve"> </w:t>
      </w:r>
      <w:r>
        <w:rPr>
          <w:sz w:val="11"/>
        </w:rPr>
        <w:t>y</w:t>
      </w:r>
      <w:r>
        <w:rPr>
          <w:spacing w:val="-3"/>
          <w:sz w:val="11"/>
        </w:rPr>
        <w:t xml:space="preserve"> </w:t>
      </w:r>
      <w:r>
        <w:rPr>
          <w:spacing w:val="-5"/>
          <w:sz w:val="11"/>
        </w:rPr>
        <w:t>41.</w:t>
      </w:r>
    </w:p>
    <w:p w14:paraId="132F6A66" w14:textId="77777777" w:rsidR="0014798C" w:rsidRDefault="004E1F0B">
      <w:pPr>
        <w:spacing w:before="87"/>
        <w:ind w:left="1107"/>
        <w:rPr>
          <w:sz w:val="12"/>
        </w:rPr>
      </w:pPr>
      <w:r>
        <w:rPr>
          <w:sz w:val="12"/>
          <w:vertAlign w:val="superscript"/>
        </w:rPr>
        <w:t>38</w:t>
      </w:r>
      <w:r>
        <w:rPr>
          <w:spacing w:val="42"/>
          <w:sz w:val="12"/>
        </w:rPr>
        <w:t xml:space="preserve">  </w:t>
      </w:r>
      <w:r>
        <w:rPr>
          <w:sz w:val="12"/>
        </w:rPr>
        <w:t>Véase,</w:t>
      </w:r>
      <w:r>
        <w:rPr>
          <w:spacing w:val="-4"/>
          <w:sz w:val="12"/>
        </w:rPr>
        <w:t xml:space="preserve"> </w:t>
      </w:r>
      <w:r>
        <w:rPr>
          <w:sz w:val="12"/>
        </w:rPr>
        <w:t>por</w:t>
      </w:r>
      <w:r>
        <w:rPr>
          <w:spacing w:val="-3"/>
          <w:sz w:val="12"/>
        </w:rPr>
        <w:t xml:space="preserve"> </w:t>
      </w:r>
      <w:r>
        <w:rPr>
          <w:sz w:val="12"/>
        </w:rPr>
        <w:t>ejemplo,</w:t>
      </w:r>
      <w:r>
        <w:rPr>
          <w:spacing w:val="-4"/>
          <w:sz w:val="12"/>
        </w:rPr>
        <w:t xml:space="preserve"> </w:t>
      </w:r>
      <w:r>
        <w:rPr>
          <w:sz w:val="12"/>
        </w:rPr>
        <w:t>Comité</w:t>
      </w:r>
      <w:r>
        <w:rPr>
          <w:spacing w:val="-3"/>
          <w:sz w:val="12"/>
        </w:rPr>
        <w:t xml:space="preserve"> </w:t>
      </w:r>
      <w:r>
        <w:rPr>
          <w:sz w:val="12"/>
        </w:rPr>
        <w:t>para</w:t>
      </w:r>
      <w:r>
        <w:rPr>
          <w:spacing w:val="-3"/>
          <w:sz w:val="12"/>
        </w:rPr>
        <w:t xml:space="preserve"> </w:t>
      </w:r>
      <w:r>
        <w:rPr>
          <w:sz w:val="12"/>
        </w:rPr>
        <w:t>la</w:t>
      </w:r>
      <w:r>
        <w:rPr>
          <w:spacing w:val="-4"/>
          <w:sz w:val="12"/>
        </w:rPr>
        <w:t xml:space="preserve"> </w:t>
      </w:r>
      <w:r>
        <w:rPr>
          <w:sz w:val="12"/>
        </w:rPr>
        <w:t>Eliminación</w:t>
      </w:r>
      <w:r>
        <w:rPr>
          <w:spacing w:val="-3"/>
          <w:sz w:val="12"/>
        </w:rPr>
        <w:t xml:space="preserve"> </w:t>
      </w:r>
      <w:r>
        <w:rPr>
          <w:sz w:val="12"/>
        </w:rPr>
        <w:t>de</w:t>
      </w:r>
      <w:r>
        <w:rPr>
          <w:spacing w:val="-4"/>
          <w:sz w:val="12"/>
        </w:rPr>
        <w:t xml:space="preserve"> </w:t>
      </w:r>
      <w:r>
        <w:rPr>
          <w:sz w:val="12"/>
        </w:rPr>
        <w:t>la</w:t>
      </w:r>
      <w:r>
        <w:rPr>
          <w:spacing w:val="-3"/>
          <w:sz w:val="12"/>
        </w:rPr>
        <w:t xml:space="preserve"> </w:t>
      </w:r>
      <w:r>
        <w:rPr>
          <w:sz w:val="12"/>
        </w:rPr>
        <w:t>Discriminación</w:t>
      </w:r>
      <w:r>
        <w:rPr>
          <w:spacing w:val="-4"/>
          <w:sz w:val="12"/>
        </w:rPr>
        <w:t xml:space="preserve"> </w:t>
      </w:r>
      <w:r>
        <w:rPr>
          <w:sz w:val="12"/>
        </w:rPr>
        <w:t>contra</w:t>
      </w:r>
      <w:r>
        <w:rPr>
          <w:spacing w:val="-3"/>
          <w:sz w:val="12"/>
        </w:rPr>
        <w:t xml:space="preserve"> </w:t>
      </w:r>
      <w:r>
        <w:rPr>
          <w:sz w:val="12"/>
        </w:rPr>
        <w:t>la</w:t>
      </w:r>
      <w:r>
        <w:rPr>
          <w:spacing w:val="-4"/>
          <w:sz w:val="12"/>
        </w:rPr>
        <w:t xml:space="preserve"> </w:t>
      </w:r>
      <w:r>
        <w:rPr>
          <w:sz w:val="12"/>
        </w:rPr>
        <w:t>Mujer,</w:t>
      </w:r>
      <w:r>
        <w:rPr>
          <w:spacing w:val="-3"/>
          <w:sz w:val="12"/>
        </w:rPr>
        <w:t xml:space="preserve"> </w:t>
      </w:r>
      <w:r>
        <w:rPr>
          <w:sz w:val="12"/>
        </w:rPr>
        <w:t>recomendación</w:t>
      </w:r>
      <w:r>
        <w:rPr>
          <w:spacing w:val="-3"/>
          <w:sz w:val="12"/>
        </w:rPr>
        <w:t xml:space="preserve"> </w:t>
      </w:r>
      <w:r>
        <w:rPr>
          <w:sz w:val="12"/>
        </w:rPr>
        <w:t>general</w:t>
      </w:r>
      <w:r>
        <w:rPr>
          <w:spacing w:val="-4"/>
          <w:sz w:val="12"/>
        </w:rPr>
        <w:t xml:space="preserve"> </w:t>
      </w:r>
      <w:r>
        <w:rPr>
          <w:sz w:val="12"/>
        </w:rPr>
        <w:t>núm.</w:t>
      </w:r>
      <w:r>
        <w:rPr>
          <w:spacing w:val="-3"/>
          <w:sz w:val="12"/>
        </w:rPr>
        <w:t xml:space="preserve"> </w:t>
      </w:r>
      <w:r>
        <w:rPr>
          <w:sz w:val="12"/>
        </w:rPr>
        <w:t>28</w:t>
      </w:r>
      <w:r>
        <w:rPr>
          <w:spacing w:val="-4"/>
          <w:sz w:val="12"/>
        </w:rPr>
        <w:t xml:space="preserve"> </w:t>
      </w:r>
      <w:r>
        <w:rPr>
          <w:sz w:val="12"/>
        </w:rPr>
        <w:t>(2010),</w:t>
      </w:r>
      <w:r>
        <w:rPr>
          <w:spacing w:val="-3"/>
          <w:sz w:val="12"/>
        </w:rPr>
        <w:t xml:space="preserve"> </w:t>
      </w:r>
      <w:r>
        <w:rPr>
          <w:sz w:val="12"/>
        </w:rPr>
        <w:t>párr.</w:t>
      </w:r>
      <w:r>
        <w:rPr>
          <w:spacing w:val="-4"/>
          <w:sz w:val="12"/>
        </w:rPr>
        <w:t xml:space="preserve"> </w:t>
      </w:r>
      <w:r>
        <w:rPr>
          <w:spacing w:val="-5"/>
          <w:sz w:val="12"/>
        </w:rPr>
        <w:t>9.</w:t>
      </w:r>
    </w:p>
    <w:p w14:paraId="1D117611" w14:textId="77777777" w:rsidR="0014798C" w:rsidRDefault="004E1F0B">
      <w:pPr>
        <w:spacing w:before="98"/>
        <w:ind w:left="1107"/>
        <w:rPr>
          <w:sz w:val="12"/>
        </w:rPr>
      </w:pPr>
      <w:r>
        <w:rPr>
          <w:sz w:val="12"/>
          <w:vertAlign w:val="superscript"/>
        </w:rPr>
        <w:t>39</w:t>
      </w:r>
      <w:r>
        <w:rPr>
          <w:spacing w:val="45"/>
          <w:sz w:val="12"/>
        </w:rPr>
        <w:t xml:space="preserve">  </w:t>
      </w:r>
      <w:r>
        <w:rPr>
          <w:sz w:val="12"/>
        </w:rPr>
        <w:t>Véase,</w:t>
      </w:r>
      <w:r>
        <w:rPr>
          <w:spacing w:val="-1"/>
          <w:sz w:val="12"/>
        </w:rPr>
        <w:t xml:space="preserve"> </w:t>
      </w:r>
      <w:r>
        <w:rPr>
          <w:sz w:val="12"/>
        </w:rPr>
        <w:t>en</w:t>
      </w:r>
      <w:r>
        <w:rPr>
          <w:spacing w:val="-2"/>
          <w:sz w:val="12"/>
        </w:rPr>
        <w:t xml:space="preserve"> </w:t>
      </w:r>
      <w:r>
        <w:rPr>
          <w:sz w:val="12"/>
        </w:rPr>
        <w:t>particular,</w:t>
      </w:r>
      <w:r>
        <w:rPr>
          <w:spacing w:val="-2"/>
          <w:sz w:val="12"/>
        </w:rPr>
        <w:t xml:space="preserve"> </w:t>
      </w:r>
      <w:r>
        <w:rPr>
          <w:sz w:val="12"/>
        </w:rPr>
        <w:t>el</w:t>
      </w:r>
      <w:r>
        <w:rPr>
          <w:spacing w:val="-2"/>
          <w:sz w:val="12"/>
        </w:rPr>
        <w:t xml:space="preserve"> </w:t>
      </w:r>
      <w:r>
        <w:rPr>
          <w:sz w:val="12"/>
        </w:rPr>
        <w:t>capítulo</w:t>
      </w:r>
      <w:r>
        <w:rPr>
          <w:spacing w:val="-2"/>
          <w:sz w:val="12"/>
        </w:rPr>
        <w:t xml:space="preserve"> </w:t>
      </w:r>
      <w:r>
        <w:rPr>
          <w:sz w:val="12"/>
        </w:rPr>
        <w:t>I</w:t>
      </w:r>
      <w:r>
        <w:rPr>
          <w:spacing w:val="-2"/>
          <w:sz w:val="12"/>
        </w:rPr>
        <w:t xml:space="preserve"> </w:t>
      </w:r>
      <w:r>
        <w:rPr>
          <w:sz w:val="12"/>
        </w:rPr>
        <w:t>de</w:t>
      </w:r>
      <w:r>
        <w:rPr>
          <w:spacing w:val="-2"/>
          <w:sz w:val="12"/>
        </w:rPr>
        <w:t xml:space="preserve"> </w:t>
      </w:r>
      <w:r>
        <w:rPr>
          <w:sz w:val="12"/>
        </w:rPr>
        <w:t>la</w:t>
      </w:r>
      <w:r>
        <w:rPr>
          <w:spacing w:val="-2"/>
          <w:sz w:val="12"/>
        </w:rPr>
        <w:t xml:space="preserve"> </w:t>
      </w:r>
      <w:r>
        <w:rPr>
          <w:sz w:val="12"/>
        </w:rPr>
        <w:t>sexta</w:t>
      </w:r>
      <w:r>
        <w:rPr>
          <w:spacing w:val="-1"/>
          <w:sz w:val="12"/>
        </w:rPr>
        <w:t xml:space="preserve"> </w:t>
      </w:r>
      <w:r>
        <w:rPr>
          <w:sz w:val="12"/>
        </w:rPr>
        <w:t>parte</w:t>
      </w:r>
      <w:r>
        <w:rPr>
          <w:spacing w:val="-2"/>
          <w:sz w:val="12"/>
        </w:rPr>
        <w:t xml:space="preserve"> </w:t>
      </w:r>
      <w:r>
        <w:rPr>
          <w:sz w:val="12"/>
        </w:rPr>
        <w:t>de</w:t>
      </w:r>
      <w:r>
        <w:rPr>
          <w:spacing w:val="-2"/>
          <w:sz w:val="12"/>
        </w:rPr>
        <w:t xml:space="preserve"> </w:t>
      </w:r>
      <w:r>
        <w:rPr>
          <w:sz w:val="12"/>
        </w:rPr>
        <w:t>la</w:t>
      </w:r>
      <w:r>
        <w:rPr>
          <w:spacing w:val="-2"/>
          <w:sz w:val="12"/>
        </w:rPr>
        <w:t xml:space="preserve"> </w:t>
      </w:r>
      <w:r>
        <w:rPr>
          <w:sz w:val="12"/>
        </w:rPr>
        <w:t>presente</w:t>
      </w:r>
      <w:r>
        <w:rPr>
          <w:spacing w:val="-2"/>
          <w:sz w:val="12"/>
        </w:rPr>
        <w:t xml:space="preserve"> guía.</w:t>
      </w:r>
    </w:p>
    <w:p w14:paraId="41EB27B1" w14:textId="77777777" w:rsidR="0014798C" w:rsidRDefault="0014798C">
      <w:pPr>
        <w:pStyle w:val="Textoindependiente"/>
        <w:rPr>
          <w:sz w:val="17"/>
        </w:rPr>
      </w:pPr>
    </w:p>
    <w:p w14:paraId="755E9002" w14:textId="77777777" w:rsidR="0014798C" w:rsidRDefault="0014798C">
      <w:pPr>
        <w:pStyle w:val="Textoindependiente"/>
        <w:rPr>
          <w:sz w:val="17"/>
        </w:rPr>
      </w:pPr>
    </w:p>
    <w:p w14:paraId="47C78D58" w14:textId="77777777" w:rsidR="0014798C" w:rsidRDefault="0014798C">
      <w:pPr>
        <w:pStyle w:val="Textoindependiente"/>
        <w:rPr>
          <w:sz w:val="17"/>
        </w:rPr>
      </w:pPr>
    </w:p>
    <w:p w14:paraId="4D86431B" w14:textId="77777777" w:rsidR="0014798C" w:rsidRDefault="0014798C">
      <w:pPr>
        <w:pStyle w:val="Textoindependiente"/>
        <w:spacing w:before="156"/>
        <w:rPr>
          <w:sz w:val="17"/>
        </w:rPr>
      </w:pPr>
    </w:p>
    <w:p w14:paraId="32C9505B" w14:textId="77777777" w:rsidR="0014798C" w:rsidRDefault="004E1F0B">
      <w:pPr>
        <w:ind w:right="724"/>
        <w:jc w:val="right"/>
        <w:rPr>
          <w:sz w:val="17"/>
        </w:rPr>
      </w:pPr>
      <w:r>
        <w:rPr>
          <w:spacing w:val="-10"/>
          <w:w w:val="105"/>
          <w:sz w:val="17"/>
        </w:rPr>
        <w:t>3</w:t>
      </w:r>
    </w:p>
    <w:p w14:paraId="701C7BF6" w14:textId="77777777" w:rsidR="0014798C" w:rsidRDefault="0014798C">
      <w:pPr>
        <w:jc w:val="right"/>
        <w:rPr>
          <w:sz w:val="17"/>
        </w:rPr>
        <w:sectPr w:rsidR="0014798C" w:rsidSect="00F265E4">
          <w:pgSz w:w="11900" w:h="16820"/>
          <w:pgMar w:top="340" w:right="0" w:bottom="280" w:left="200" w:header="121" w:footer="0" w:gutter="0"/>
          <w:cols w:space="720"/>
        </w:sectPr>
      </w:pPr>
    </w:p>
    <w:p w14:paraId="0FCC8275" w14:textId="77777777" w:rsidR="0014798C" w:rsidRDefault="0014798C">
      <w:pPr>
        <w:pStyle w:val="Textoindependiente"/>
        <w:spacing w:before="85"/>
        <w:rPr>
          <w:sz w:val="12"/>
        </w:rPr>
      </w:pPr>
    </w:p>
    <w:p w14:paraId="33B5802C" w14:textId="77777777" w:rsidR="0014798C" w:rsidRDefault="004E1F0B">
      <w:pPr>
        <w:ind w:left="1111"/>
        <w:rPr>
          <w:sz w:val="12"/>
        </w:rPr>
      </w:pPr>
      <w:r>
        <w:rPr>
          <w:color w:val="009EDB"/>
          <w:sz w:val="12"/>
        </w:rPr>
        <w:t>PROTECCIÓN</w:t>
      </w:r>
      <w:r>
        <w:rPr>
          <w:color w:val="009EDB"/>
          <w:spacing w:val="6"/>
          <w:sz w:val="12"/>
        </w:rPr>
        <w:t xml:space="preserve"> </w:t>
      </w:r>
      <w:r>
        <w:rPr>
          <w:color w:val="009EDB"/>
          <w:sz w:val="12"/>
        </w:rPr>
        <w:t>DE</w:t>
      </w:r>
      <w:r>
        <w:rPr>
          <w:color w:val="009EDB"/>
          <w:spacing w:val="7"/>
          <w:sz w:val="12"/>
        </w:rPr>
        <w:t xml:space="preserve"> </w:t>
      </w:r>
      <w:r>
        <w:rPr>
          <w:color w:val="009EDB"/>
          <w:sz w:val="12"/>
        </w:rPr>
        <w:t>LOS</w:t>
      </w:r>
      <w:r>
        <w:rPr>
          <w:color w:val="009EDB"/>
          <w:spacing w:val="8"/>
          <w:sz w:val="12"/>
        </w:rPr>
        <w:t xml:space="preserve"> </w:t>
      </w:r>
      <w:r>
        <w:rPr>
          <w:color w:val="009EDB"/>
          <w:sz w:val="12"/>
        </w:rPr>
        <w:t>DERECHOS</w:t>
      </w:r>
      <w:r>
        <w:rPr>
          <w:color w:val="009EDB"/>
          <w:spacing w:val="8"/>
          <w:sz w:val="12"/>
        </w:rPr>
        <w:t xml:space="preserve"> </w:t>
      </w:r>
      <w:r>
        <w:rPr>
          <w:color w:val="009EDB"/>
          <w:sz w:val="12"/>
        </w:rPr>
        <w:t>DE</w:t>
      </w:r>
      <w:r>
        <w:rPr>
          <w:color w:val="009EDB"/>
          <w:spacing w:val="6"/>
          <w:sz w:val="12"/>
        </w:rPr>
        <w:t xml:space="preserve"> </w:t>
      </w:r>
      <w:r>
        <w:rPr>
          <w:color w:val="009EDB"/>
          <w:sz w:val="12"/>
        </w:rPr>
        <w:t>LAS</w:t>
      </w:r>
      <w:r>
        <w:rPr>
          <w:color w:val="009EDB"/>
          <w:spacing w:val="7"/>
          <w:sz w:val="12"/>
        </w:rPr>
        <w:t xml:space="preserve"> </w:t>
      </w:r>
      <w:r>
        <w:rPr>
          <w:color w:val="009EDB"/>
          <w:sz w:val="12"/>
        </w:rPr>
        <w:t>MINORÍAS:</w:t>
      </w:r>
      <w:r>
        <w:rPr>
          <w:color w:val="009EDB"/>
          <w:spacing w:val="8"/>
          <w:sz w:val="12"/>
        </w:rPr>
        <w:t xml:space="preserve"> </w:t>
      </w:r>
      <w:r>
        <w:rPr>
          <w:color w:val="009EDB"/>
          <w:sz w:val="12"/>
        </w:rPr>
        <w:t>una</w:t>
      </w:r>
      <w:r>
        <w:rPr>
          <w:color w:val="009EDB"/>
          <w:spacing w:val="7"/>
          <w:sz w:val="12"/>
        </w:rPr>
        <w:t xml:space="preserve"> </w:t>
      </w:r>
      <w:r>
        <w:rPr>
          <w:color w:val="009EDB"/>
          <w:sz w:val="12"/>
        </w:rPr>
        <w:t>guía</w:t>
      </w:r>
      <w:r>
        <w:rPr>
          <w:color w:val="009EDB"/>
          <w:spacing w:val="6"/>
          <w:sz w:val="12"/>
        </w:rPr>
        <w:t xml:space="preserve"> </w:t>
      </w:r>
      <w:r>
        <w:rPr>
          <w:color w:val="009EDB"/>
          <w:sz w:val="12"/>
        </w:rPr>
        <w:t>práctica</w:t>
      </w:r>
      <w:r>
        <w:rPr>
          <w:color w:val="009EDB"/>
          <w:spacing w:val="7"/>
          <w:sz w:val="12"/>
        </w:rPr>
        <w:t xml:space="preserve"> </w:t>
      </w:r>
      <w:r>
        <w:rPr>
          <w:color w:val="009EDB"/>
          <w:sz w:val="12"/>
        </w:rPr>
        <w:t>para</w:t>
      </w:r>
      <w:r>
        <w:rPr>
          <w:color w:val="009EDB"/>
          <w:spacing w:val="8"/>
          <w:sz w:val="12"/>
        </w:rPr>
        <w:t xml:space="preserve"> </w:t>
      </w:r>
      <w:r>
        <w:rPr>
          <w:color w:val="009EDB"/>
          <w:sz w:val="12"/>
        </w:rPr>
        <w:t>desarrollar</w:t>
      </w:r>
      <w:r>
        <w:rPr>
          <w:color w:val="009EDB"/>
          <w:spacing w:val="6"/>
          <w:sz w:val="12"/>
        </w:rPr>
        <w:t xml:space="preserve"> </w:t>
      </w:r>
      <w:r>
        <w:rPr>
          <w:color w:val="009EDB"/>
          <w:sz w:val="12"/>
        </w:rPr>
        <w:t>una</w:t>
      </w:r>
      <w:r>
        <w:rPr>
          <w:color w:val="009EDB"/>
          <w:spacing w:val="7"/>
          <w:sz w:val="12"/>
        </w:rPr>
        <w:t xml:space="preserve"> </w:t>
      </w:r>
      <w:r>
        <w:rPr>
          <w:color w:val="009EDB"/>
          <w:sz w:val="12"/>
        </w:rPr>
        <w:t>legislación</w:t>
      </w:r>
      <w:r>
        <w:rPr>
          <w:color w:val="009EDB"/>
          <w:spacing w:val="8"/>
          <w:sz w:val="12"/>
        </w:rPr>
        <w:t xml:space="preserve"> </w:t>
      </w:r>
      <w:r>
        <w:rPr>
          <w:color w:val="009EDB"/>
          <w:sz w:val="12"/>
        </w:rPr>
        <w:t>integral</w:t>
      </w:r>
      <w:r>
        <w:rPr>
          <w:color w:val="009EDB"/>
          <w:spacing w:val="7"/>
          <w:sz w:val="12"/>
        </w:rPr>
        <w:t xml:space="preserve"> </w:t>
      </w:r>
      <w:r>
        <w:rPr>
          <w:color w:val="009EDB"/>
          <w:sz w:val="12"/>
        </w:rPr>
        <w:t>contra</w:t>
      </w:r>
      <w:r>
        <w:rPr>
          <w:color w:val="009EDB"/>
          <w:spacing w:val="6"/>
          <w:sz w:val="12"/>
        </w:rPr>
        <w:t xml:space="preserve"> </w:t>
      </w:r>
      <w:r>
        <w:rPr>
          <w:color w:val="009EDB"/>
          <w:sz w:val="12"/>
        </w:rPr>
        <w:t>la</w:t>
      </w:r>
      <w:r>
        <w:rPr>
          <w:color w:val="009EDB"/>
          <w:spacing w:val="7"/>
          <w:sz w:val="12"/>
        </w:rPr>
        <w:t xml:space="preserve"> </w:t>
      </w:r>
      <w:r>
        <w:rPr>
          <w:color w:val="009EDB"/>
          <w:spacing w:val="-2"/>
          <w:sz w:val="12"/>
        </w:rPr>
        <w:t>discriminación</w:t>
      </w:r>
    </w:p>
    <w:p w14:paraId="5502DE44" w14:textId="77777777" w:rsidR="0014798C" w:rsidRDefault="0014798C">
      <w:pPr>
        <w:pStyle w:val="Textoindependiente"/>
        <w:rPr>
          <w:sz w:val="25"/>
        </w:rPr>
      </w:pPr>
    </w:p>
    <w:p w14:paraId="6A15BF13" w14:textId="77777777" w:rsidR="0014798C" w:rsidRDefault="0014798C">
      <w:pPr>
        <w:pStyle w:val="Textoindependiente"/>
        <w:rPr>
          <w:sz w:val="25"/>
        </w:rPr>
      </w:pPr>
    </w:p>
    <w:p w14:paraId="5F503D14" w14:textId="77777777" w:rsidR="0014798C" w:rsidRDefault="0014798C">
      <w:pPr>
        <w:pStyle w:val="Textoindependiente"/>
        <w:spacing w:before="130"/>
        <w:rPr>
          <w:sz w:val="25"/>
        </w:rPr>
      </w:pPr>
    </w:p>
    <w:p w14:paraId="244407CD" w14:textId="77777777" w:rsidR="0014798C" w:rsidRDefault="004E1F0B">
      <w:pPr>
        <w:numPr>
          <w:ilvl w:val="1"/>
          <w:numId w:val="93"/>
        </w:numPr>
        <w:tabs>
          <w:tab w:val="left" w:pos="1430"/>
          <w:tab w:val="left" w:pos="1514"/>
        </w:tabs>
        <w:spacing w:before="1" w:line="333" w:lineRule="auto"/>
        <w:ind w:left="1514" w:right="3303" w:hanging="405"/>
        <w:rPr>
          <w:color w:val="009EDB"/>
          <w:sz w:val="25"/>
        </w:rPr>
      </w:pPr>
      <w:r>
        <w:rPr>
          <w:color w:val="009EDB"/>
          <w:sz w:val="25"/>
        </w:rPr>
        <w:t>Instrumentos de derechos humanos de las Naciones Unidas y su interpretación</w:t>
      </w:r>
    </w:p>
    <w:p w14:paraId="60EC0DA6" w14:textId="77777777" w:rsidR="0014798C" w:rsidRDefault="004E1F0B">
      <w:pPr>
        <w:pStyle w:val="Textoindependiente"/>
        <w:spacing w:before="109" w:line="326" w:lineRule="auto"/>
        <w:ind w:left="1107" w:right="1335" w:firstLine="7"/>
      </w:pPr>
      <w:r>
        <w:t>Durante las últimas dos décadas, se ha desarrollado un consenso internacional en el sentido de que, para cumplir con sus obligaciones de respetar, proteger y hacer realidad el derecho a la no discriminación, los Estados deben adoptar una legislación antidiscriminatoria</w:t>
      </w:r>
      <w:r>
        <w:rPr>
          <w:spacing w:val="-1"/>
        </w:rPr>
        <w:t xml:space="preserve"> </w:t>
      </w:r>
      <w:r>
        <w:t>específica</w:t>
      </w:r>
      <w:r>
        <w:rPr>
          <w:spacing w:val="-1"/>
        </w:rPr>
        <w:t xml:space="preserve"> </w:t>
      </w:r>
      <w:r>
        <w:t>e integral. Esto</w:t>
      </w:r>
      <w:r>
        <w:rPr>
          <w:spacing w:val="-1"/>
        </w:rPr>
        <w:t xml:space="preserve"> </w:t>
      </w:r>
      <w:r>
        <w:t>se refleja</w:t>
      </w:r>
      <w:r>
        <w:rPr>
          <w:spacing w:val="-1"/>
        </w:rPr>
        <w:t xml:space="preserve"> </w:t>
      </w:r>
      <w:r>
        <w:t>en la interpretación</w:t>
      </w:r>
      <w:r>
        <w:rPr>
          <w:spacing w:val="-1"/>
        </w:rPr>
        <w:t xml:space="preserve"> </w:t>
      </w:r>
      <w:r>
        <w:t>autorizada de los instrumentos</w:t>
      </w:r>
      <w:r>
        <w:rPr>
          <w:spacing w:val="-1"/>
        </w:rPr>
        <w:t xml:space="preserve"> </w:t>
      </w:r>
      <w:r>
        <w:t>de derechos</w:t>
      </w:r>
      <w:r>
        <w:rPr>
          <w:spacing w:val="-1"/>
        </w:rPr>
        <w:t xml:space="preserve"> </w:t>
      </w:r>
      <w:r>
        <w:t>humanos por parte de mecanismos tanto dentro como fuera del sistema de las Naciones Unidas.</w:t>
      </w:r>
    </w:p>
    <w:p w14:paraId="5AD492C3" w14:textId="77777777" w:rsidR="0014798C" w:rsidRDefault="004E1F0B">
      <w:pPr>
        <w:spacing w:before="179" w:line="307" w:lineRule="auto"/>
        <w:ind w:left="1107" w:right="1272" w:hanging="1"/>
        <w:rPr>
          <w:sz w:val="17"/>
        </w:rPr>
      </w:pPr>
      <w:r>
        <w:rPr>
          <w:sz w:val="17"/>
        </w:rPr>
        <w:t>El artículo 26 del Pacto Internacional de Derechos Civiles y Políticos crea un requisito explícito para que los Estados legislen para prohibir la discriminación. En su Observación general No. 18 (1989) sobre la no discriminación, el Comité de Derechos Humanos proporcionó importantes aclaraciones sobre la interpretación del derecho, aunque no detalló completamente la naturaleza o el alcance de las obligaciones de los Estados. Desde entonces, el Comité ha sostenido repetidamente que la adopción de una legislación integral contra la discriminación es necesaria para hacer efectivo el derecho a la no discriminación: desde 2010, el Comité ha hecho 47 recomendaciones explícitas para la adopción de una legislación integral contra la discriminación. ley a 45 Estados en todas las regiones del mundo. Esto incluye 15 recomendaciones</w:t>
      </w:r>
      <w:r>
        <w:rPr>
          <w:spacing w:val="-1"/>
          <w:sz w:val="17"/>
        </w:rPr>
        <w:t xml:space="preserve"> </w:t>
      </w:r>
      <w:r>
        <w:rPr>
          <w:sz w:val="17"/>
        </w:rPr>
        <w:t>a</w:t>
      </w:r>
      <w:r>
        <w:rPr>
          <w:spacing w:val="-1"/>
          <w:sz w:val="17"/>
        </w:rPr>
        <w:t xml:space="preserve"> </w:t>
      </w:r>
      <w:r>
        <w:rPr>
          <w:sz w:val="17"/>
        </w:rPr>
        <w:t>Estados</w:t>
      </w:r>
      <w:r>
        <w:rPr>
          <w:spacing w:val="-1"/>
          <w:sz w:val="17"/>
        </w:rPr>
        <w:t xml:space="preserve"> </w:t>
      </w:r>
      <w:r>
        <w:rPr>
          <w:sz w:val="17"/>
        </w:rPr>
        <w:t>de</w:t>
      </w:r>
      <w:r>
        <w:rPr>
          <w:spacing w:val="-1"/>
          <w:sz w:val="17"/>
        </w:rPr>
        <w:t xml:space="preserve"> </w:t>
      </w:r>
      <w:r>
        <w:rPr>
          <w:sz w:val="17"/>
        </w:rPr>
        <w:t>África40, 7</w:t>
      </w:r>
      <w:r>
        <w:rPr>
          <w:spacing w:val="-1"/>
          <w:sz w:val="17"/>
        </w:rPr>
        <w:t xml:space="preserve"> </w:t>
      </w:r>
      <w:r>
        <w:rPr>
          <w:sz w:val="17"/>
        </w:rPr>
        <w:t>recomendaciones</w:t>
      </w:r>
      <w:r>
        <w:rPr>
          <w:spacing w:val="-1"/>
          <w:sz w:val="17"/>
        </w:rPr>
        <w:t xml:space="preserve"> </w:t>
      </w:r>
      <w:r>
        <w:rPr>
          <w:sz w:val="17"/>
        </w:rPr>
        <w:t>a</w:t>
      </w:r>
      <w:r>
        <w:rPr>
          <w:spacing w:val="-1"/>
          <w:sz w:val="17"/>
        </w:rPr>
        <w:t xml:space="preserve"> </w:t>
      </w:r>
      <w:r>
        <w:rPr>
          <w:sz w:val="17"/>
        </w:rPr>
        <w:t>Estados</w:t>
      </w:r>
      <w:r>
        <w:rPr>
          <w:spacing w:val="-1"/>
          <w:sz w:val="17"/>
        </w:rPr>
        <w:t xml:space="preserve"> </w:t>
      </w:r>
      <w:r>
        <w:rPr>
          <w:sz w:val="17"/>
        </w:rPr>
        <w:t>de</w:t>
      </w:r>
      <w:r>
        <w:rPr>
          <w:spacing w:val="-1"/>
          <w:sz w:val="17"/>
        </w:rPr>
        <w:t xml:space="preserve"> </w:t>
      </w:r>
      <w:r>
        <w:rPr>
          <w:sz w:val="17"/>
        </w:rPr>
        <w:t>América41, 18</w:t>
      </w:r>
      <w:r>
        <w:rPr>
          <w:spacing w:val="-1"/>
          <w:sz w:val="17"/>
        </w:rPr>
        <w:t xml:space="preserve"> </w:t>
      </w:r>
      <w:r>
        <w:rPr>
          <w:sz w:val="17"/>
        </w:rPr>
        <w:t>recomendaciones</w:t>
      </w:r>
      <w:r>
        <w:rPr>
          <w:spacing w:val="-1"/>
          <w:sz w:val="17"/>
        </w:rPr>
        <w:t xml:space="preserve"> </w:t>
      </w:r>
      <w:r>
        <w:rPr>
          <w:sz w:val="17"/>
        </w:rPr>
        <w:t>a</w:t>
      </w:r>
      <w:r>
        <w:rPr>
          <w:spacing w:val="-1"/>
          <w:sz w:val="17"/>
        </w:rPr>
        <w:t xml:space="preserve"> </w:t>
      </w:r>
      <w:r>
        <w:rPr>
          <w:sz w:val="17"/>
        </w:rPr>
        <w:t>Estados</w:t>
      </w:r>
      <w:r>
        <w:rPr>
          <w:spacing w:val="-1"/>
          <w:sz w:val="17"/>
        </w:rPr>
        <w:t xml:space="preserve"> </w:t>
      </w:r>
      <w:r>
        <w:rPr>
          <w:sz w:val="17"/>
        </w:rPr>
        <w:t>de Asia42, 6 recomendaciones a Estados europeos43 y 1 recomendación a Australia44.</w:t>
      </w:r>
    </w:p>
    <w:p w14:paraId="280F2D8A" w14:textId="77777777" w:rsidR="0014798C" w:rsidRDefault="004E1F0B">
      <w:pPr>
        <w:spacing w:before="166" w:line="307" w:lineRule="auto"/>
        <w:ind w:left="1107" w:right="1335" w:firstLine="1"/>
        <w:rPr>
          <w:sz w:val="17"/>
        </w:rPr>
      </w:pPr>
      <w:r>
        <w:rPr>
          <w:sz w:val="17"/>
        </w:rPr>
        <w:t>En</w:t>
      </w:r>
      <w:r>
        <w:rPr>
          <w:spacing w:val="-2"/>
          <w:sz w:val="17"/>
        </w:rPr>
        <w:t xml:space="preserve"> </w:t>
      </w:r>
      <w:r>
        <w:rPr>
          <w:sz w:val="17"/>
        </w:rPr>
        <w:t>2009,</w:t>
      </w:r>
      <w:r>
        <w:rPr>
          <w:spacing w:val="-1"/>
          <w:sz w:val="17"/>
        </w:rPr>
        <w:t xml:space="preserve"> </w:t>
      </w:r>
      <w:r>
        <w:rPr>
          <w:sz w:val="17"/>
        </w:rPr>
        <w:t>el</w:t>
      </w:r>
      <w:r>
        <w:rPr>
          <w:spacing w:val="-2"/>
          <w:sz w:val="17"/>
        </w:rPr>
        <w:t xml:space="preserve"> </w:t>
      </w:r>
      <w:r>
        <w:rPr>
          <w:sz w:val="17"/>
        </w:rPr>
        <w:t>Comité</w:t>
      </w:r>
      <w:r>
        <w:rPr>
          <w:spacing w:val="-2"/>
          <w:sz w:val="17"/>
        </w:rPr>
        <w:t xml:space="preserve"> </w:t>
      </w:r>
      <w:r>
        <w:rPr>
          <w:sz w:val="17"/>
        </w:rPr>
        <w:t>de</w:t>
      </w:r>
      <w:r>
        <w:rPr>
          <w:spacing w:val="-2"/>
          <w:sz w:val="17"/>
        </w:rPr>
        <w:t xml:space="preserve"> </w:t>
      </w:r>
      <w:r>
        <w:rPr>
          <w:sz w:val="17"/>
        </w:rPr>
        <w:t>Derechos</w:t>
      </w:r>
      <w:r>
        <w:rPr>
          <w:spacing w:val="-2"/>
          <w:sz w:val="17"/>
        </w:rPr>
        <w:t xml:space="preserve"> </w:t>
      </w:r>
      <w:r>
        <w:rPr>
          <w:sz w:val="17"/>
        </w:rPr>
        <w:t>Económicos,</w:t>
      </w:r>
      <w:r>
        <w:rPr>
          <w:spacing w:val="-1"/>
          <w:sz w:val="17"/>
        </w:rPr>
        <w:t xml:space="preserve"> </w:t>
      </w:r>
      <w:r>
        <w:rPr>
          <w:sz w:val="17"/>
        </w:rPr>
        <w:t>Sociales</w:t>
      </w:r>
      <w:r>
        <w:rPr>
          <w:spacing w:val="-2"/>
          <w:sz w:val="17"/>
        </w:rPr>
        <w:t xml:space="preserve"> </w:t>
      </w:r>
      <w:r>
        <w:rPr>
          <w:sz w:val="17"/>
        </w:rPr>
        <w:t>y</w:t>
      </w:r>
      <w:r>
        <w:rPr>
          <w:spacing w:val="-2"/>
          <w:sz w:val="17"/>
        </w:rPr>
        <w:t xml:space="preserve"> </w:t>
      </w:r>
      <w:r>
        <w:rPr>
          <w:sz w:val="17"/>
        </w:rPr>
        <w:t>Culturales</w:t>
      </w:r>
      <w:r>
        <w:rPr>
          <w:spacing w:val="-2"/>
          <w:sz w:val="17"/>
        </w:rPr>
        <w:t xml:space="preserve"> </w:t>
      </w:r>
      <w:r>
        <w:rPr>
          <w:sz w:val="17"/>
        </w:rPr>
        <w:t>publicó</w:t>
      </w:r>
      <w:r>
        <w:rPr>
          <w:spacing w:val="-2"/>
          <w:sz w:val="17"/>
        </w:rPr>
        <w:t xml:space="preserve"> </w:t>
      </w:r>
      <w:r>
        <w:rPr>
          <w:sz w:val="17"/>
        </w:rPr>
        <w:t>su</w:t>
      </w:r>
      <w:r>
        <w:rPr>
          <w:spacing w:val="-2"/>
          <w:sz w:val="17"/>
        </w:rPr>
        <w:t xml:space="preserve"> </w:t>
      </w:r>
      <w:r>
        <w:rPr>
          <w:sz w:val="17"/>
        </w:rPr>
        <w:t>Observación</w:t>
      </w:r>
      <w:r>
        <w:rPr>
          <w:spacing w:val="-2"/>
          <w:sz w:val="17"/>
        </w:rPr>
        <w:t xml:space="preserve"> </w:t>
      </w:r>
      <w:r>
        <w:rPr>
          <w:sz w:val="17"/>
        </w:rPr>
        <w:t>general</w:t>
      </w:r>
      <w:r>
        <w:rPr>
          <w:spacing w:val="-2"/>
          <w:sz w:val="17"/>
        </w:rPr>
        <w:t xml:space="preserve"> </w:t>
      </w:r>
      <w:r>
        <w:rPr>
          <w:sz w:val="17"/>
        </w:rPr>
        <w:t>núm.</w:t>
      </w:r>
      <w:r>
        <w:rPr>
          <w:spacing w:val="-1"/>
          <w:sz w:val="17"/>
        </w:rPr>
        <w:t xml:space="preserve"> </w:t>
      </w:r>
      <w:r>
        <w:rPr>
          <w:sz w:val="17"/>
        </w:rPr>
        <w:t>20</w:t>
      </w:r>
      <w:r>
        <w:rPr>
          <w:spacing w:val="-2"/>
          <w:sz w:val="17"/>
        </w:rPr>
        <w:t xml:space="preserve"> </w:t>
      </w:r>
      <w:r>
        <w:rPr>
          <w:sz w:val="17"/>
        </w:rPr>
        <w:t>(2009)</w:t>
      </w:r>
      <w:r>
        <w:rPr>
          <w:spacing w:val="-2"/>
          <w:sz w:val="17"/>
        </w:rPr>
        <w:t xml:space="preserve"> </w:t>
      </w:r>
      <w:r>
        <w:rPr>
          <w:sz w:val="17"/>
        </w:rPr>
        <w:t xml:space="preserve">sobre la no discriminación en los derechos económicos, sociales y culturales, en la que el Comité destacó que: “La adopción de legislación para abordar la discriminación es indispensable en cumplimiento del artículo 2, párrafo 2 [prohibición de discriminación]”. 45 En la misma observación general, el Comité explicó el carácter integral del derecho a la no discriminación, estableciendo, entre otras cosas, que el cumplimiento del artículo 2 (2) requiere que los Estados brinden protección contra la discriminación y el acoso directos e indirectos sobre la base de una lista extensa y abierta de características.46 Desde entonces, el Comité ha hecho una serie de recomendaciones relevantes a los Estados para la adopción de leyes integrales contra la discriminación, en </w:t>
      </w:r>
      <w:proofErr w:type="spellStart"/>
      <w:r>
        <w:rPr>
          <w:sz w:val="17"/>
        </w:rPr>
        <w:t>en</w:t>
      </w:r>
      <w:proofErr w:type="spellEnd"/>
      <w:r>
        <w:rPr>
          <w:sz w:val="17"/>
        </w:rPr>
        <w:t xml:space="preserve"> consonancia con sus obligaciones de no discriminación dimanantes del artículo 2, párrafo 2, del Pacto47.</w:t>
      </w:r>
    </w:p>
    <w:p w14:paraId="6952D3C8" w14:textId="77777777" w:rsidR="0014798C" w:rsidRDefault="004E1F0B">
      <w:pPr>
        <w:spacing w:before="158" w:line="309" w:lineRule="auto"/>
        <w:ind w:left="1105" w:right="1239"/>
        <w:rPr>
          <w:sz w:val="17"/>
        </w:rPr>
      </w:pPr>
      <w:r>
        <w:rPr>
          <w:sz w:val="17"/>
        </w:rPr>
        <w:t>La Convención Internacional sobre la Eliminación de todas las Formas de Discriminación Racial, la Convención sobre la Eliminación de Todas las Formas de Discriminación contra la Mujer y la Convención sobre los Derechos de las Personas con</w:t>
      </w:r>
      <w:r>
        <w:rPr>
          <w:spacing w:val="-2"/>
          <w:sz w:val="17"/>
        </w:rPr>
        <w:t xml:space="preserve"> </w:t>
      </w:r>
      <w:r>
        <w:rPr>
          <w:sz w:val="17"/>
        </w:rPr>
        <w:t>Discapacidad</w:t>
      </w:r>
      <w:r>
        <w:rPr>
          <w:spacing w:val="-1"/>
          <w:sz w:val="17"/>
        </w:rPr>
        <w:t xml:space="preserve"> </w:t>
      </w:r>
      <w:r>
        <w:rPr>
          <w:sz w:val="17"/>
        </w:rPr>
        <w:t>contienen</w:t>
      </w:r>
      <w:r>
        <w:rPr>
          <w:spacing w:val="-2"/>
          <w:sz w:val="17"/>
        </w:rPr>
        <w:t xml:space="preserve"> </w:t>
      </w:r>
      <w:r>
        <w:rPr>
          <w:sz w:val="17"/>
        </w:rPr>
        <w:t>disposiciones</w:t>
      </w:r>
      <w:r>
        <w:rPr>
          <w:spacing w:val="-2"/>
          <w:sz w:val="17"/>
        </w:rPr>
        <w:t xml:space="preserve"> </w:t>
      </w:r>
      <w:r>
        <w:rPr>
          <w:sz w:val="17"/>
        </w:rPr>
        <w:t>explícitas</w:t>
      </w:r>
      <w:r>
        <w:rPr>
          <w:spacing w:val="-2"/>
          <w:sz w:val="17"/>
        </w:rPr>
        <w:t xml:space="preserve"> </w:t>
      </w:r>
      <w:r>
        <w:rPr>
          <w:sz w:val="17"/>
        </w:rPr>
        <w:t>que</w:t>
      </w:r>
      <w:r>
        <w:rPr>
          <w:spacing w:val="-2"/>
          <w:sz w:val="17"/>
        </w:rPr>
        <w:t xml:space="preserve"> </w:t>
      </w:r>
      <w:r>
        <w:rPr>
          <w:sz w:val="17"/>
        </w:rPr>
        <w:t>exigen</w:t>
      </w:r>
      <w:r>
        <w:rPr>
          <w:spacing w:val="-2"/>
          <w:sz w:val="17"/>
        </w:rPr>
        <w:t xml:space="preserve"> </w:t>
      </w:r>
      <w:r>
        <w:rPr>
          <w:sz w:val="17"/>
        </w:rPr>
        <w:t>a</w:t>
      </w:r>
      <w:r>
        <w:rPr>
          <w:spacing w:val="-2"/>
          <w:sz w:val="17"/>
        </w:rPr>
        <w:t xml:space="preserve"> </w:t>
      </w:r>
      <w:r>
        <w:rPr>
          <w:sz w:val="17"/>
        </w:rPr>
        <w:t>los</w:t>
      </w:r>
      <w:r>
        <w:rPr>
          <w:spacing w:val="-2"/>
          <w:sz w:val="17"/>
        </w:rPr>
        <w:t xml:space="preserve"> </w:t>
      </w:r>
      <w:r>
        <w:rPr>
          <w:sz w:val="17"/>
        </w:rPr>
        <w:t>Estados</w:t>
      </w:r>
      <w:r>
        <w:rPr>
          <w:spacing w:val="-2"/>
          <w:sz w:val="17"/>
        </w:rPr>
        <w:t xml:space="preserve"> </w:t>
      </w:r>
      <w:r>
        <w:rPr>
          <w:sz w:val="17"/>
        </w:rPr>
        <w:t>adoptar</w:t>
      </w:r>
      <w:r>
        <w:rPr>
          <w:spacing w:val="-2"/>
          <w:sz w:val="17"/>
        </w:rPr>
        <w:t xml:space="preserve"> </w:t>
      </w:r>
      <w:r>
        <w:rPr>
          <w:sz w:val="17"/>
        </w:rPr>
        <w:t>leyes</w:t>
      </w:r>
      <w:r>
        <w:rPr>
          <w:spacing w:val="-2"/>
          <w:sz w:val="17"/>
        </w:rPr>
        <w:t xml:space="preserve"> </w:t>
      </w:r>
      <w:r>
        <w:rPr>
          <w:sz w:val="17"/>
        </w:rPr>
        <w:t>que</w:t>
      </w:r>
      <w:r>
        <w:rPr>
          <w:spacing w:val="-2"/>
          <w:sz w:val="17"/>
        </w:rPr>
        <w:t xml:space="preserve"> </w:t>
      </w:r>
      <w:r>
        <w:rPr>
          <w:sz w:val="17"/>
        </w:rPr>
        <w:t>prohíban</w:t>
      </w:r>
      <w:r>
        <w:rPr>
          <w:spacing w:val="-2"/>
          <w:sz w:val="17"/>
        </w:rPr>
        <w:t xml:space="preserve"> </w:t>
      </w:r>
      <w:r>
        <w:rPr>
          <w:sz w:val="17"/>
        </w:rPr>
        <w:t>la</w:t>
      </w:r>
      <w:r>
        <w:rPr>
          <w:spacing w:val="-2"/>
          <w:sz w:val="17"/>
        </w:rPr>
        <w:t xml:space="preserve"> </w:t>
      </w:r>
      <w:r>
        <w:rPr>
          <w:sz w:val="17"/>
        </w:rPr>
        <w:t>discriminación por motivos de son objeto de esos instrumentos.48 En los últimos años, cada uno de los órganos de tratados pertinentes</w:t>
      </w:r>
    </w:p>
    <w:p w14:paraId="299398E4" w14:textId="77777777" w:rsidR="0014798C" w:rsidRDefault="004E1F0B">
      <w:pPr>
        <w:pStyle w:val="Textoindependiente"/>
        <w:spacing w:before="128"/>
        <w:rPr>
          <w:sz w:val="20"/>
        </w:rPr>
      </w:pPr>
      <w:r>
        <w:rPr>
          <w:noProof/>
        </w:rPr>
        <w:drawing>
          <wp:anchor distT="0" distB="0" distL="0" distR="0" simplePos="0" relativeHeight="251658517" behindDoc="1" locked="0" layoutInCell="1" allowOverlap="1" wp14:anchorId="15B7ACAC" wp14:editId="42680519">
            <wp:simplePos x="0" y="0"/>
            <wp:positionH relativeFrom="page">
              <wp:posOffset>826632</wp:posOffset>
            </wp:positionH>
            <wp:positionV relativeFrom="paragraph">
              <wp:posOffset>243006</wp:posOffset>
            </wp:positionV>
            <wp:extent cx="931001" cy="35813"/>
            <wp:effectExtent l="0" t="0" r="0" b="0"/>
            <wp:wrapTopAndBottom/>
            <wp:docPr id="59" name="Image 5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59" name="Image 59"/>
                    <pic:cNvPicPr/>
                  </pic:nvPicPr>
                  <pic:blipFill>
                    <a:blip r:embed="rId66" cstate="print"/>
                    <a:stretch>
                      <a:fillRect/>
                    </a:stretch>
                  </pic:blipFill>
                  <pic:spPr>
                    <a:xfrm>
                      <a:off x="0" y="0"/>
                      <a:ext cx="931001" cy="35813"/>
                    </a:xfrm>
                    <a:prstGeom prst="rect">
                      <a:avLst/>
                    </a:prstGeom>
                  </pic:spPr>
                </pic:pic>
              </a:graphicData>
            </a:graphic>
          </wp:anchor>
        </w:drawing>
      </w:r>
    </w:p>
    <w:p w14:paraId="1E5D38A0" w14:textId="77777777" w:rsidR="0014798C" w:rsidRDefault="0014798C">
      <w:pPr>
        <w:pStyle w:val="Textoindependiente"/>
        <w:spacing w:before="2"/>
        <w:rPr>
          <w:sz w:val="13"/>
        </w:rPr>
      </w:pPr>
    </w:p>
    <w:p w14:paraId="795204C6" w14:textId="77777777" w:rsidR="0014798C" w:rsidRPr="00537489" w:rsidRDefault="004E1F0B">
      <w:pPr>
        <w:spacing w:line="288" w:lineRule="auto"/>
        <w:ind w:left="1366" w:right="1343" w:hanging="261"/>
        <w:rPr>
          <w:sz w:val="13"/>
          <w:lang w:val="en-US"/>
        </w:rPr>
      </w:pPr>
      <w:r w:rsidRPr="00537489">
        <w:rPr>
          <w:spacing w:val="-2"/>
          <w:sz w:val="13"/>
          <w:vertAlign w:val="superscript"/>
          <w:lang w:val="en-US"/>
        </w:rPr>
        <w:t>40</w:t>
      </w:r>
      <w:r w:rsidRPr="00537489">
        <w:rPr>
          <w:spacing w:val="75"/>
          <w:sz w:val="13"/>
          <w:lang w:val="en-US"/>
        </w:rPr>
        <w:t xml:space="preserve"> </w:t>
      </w:r>
      <w:r w:rsidRPr="00537489">
        <w:rPr>
          <w:spacing w:val="-2"/>
          <w:sz w:val="13"/>
          <w:lang w:val="en-US"/>
        </w:rPr>
        <w:t>CCPR/C/DZA/CO/4,</w:t>
      </w:r>
      <w:r w:rsidRPr="00537489">
        <w:rPr>
          <w:spacing w:val="-7"/>
          <w:sz w:val="13"/>
          <w:lang w:val="en-US"/>
        </w:rPr>
        <w:t xml:space="preserve"> </w:t>
      </w:r>
      <w:proofErr w:type="spellStart"/>
      <w:r w:rsidRPr="00537489">
        <w:rPr>
          <w:spacing w:val="-2"/>
          <w:sz w:val="13"/>
          <w:lang w:val="en-US"/>
        </w:rPr>
        <w:t>párrs</w:t>
      </w:r>
      <w:proofErr w:type="spellEnd"/>
      <w:r w:rsidRPr="00537489">
        <w:rPr>
          <w:spacing w:val="-2"/>
          <w:sz w:val="13"/>
          <w:lang w:val="en-US"/>
        </w:rPr>
        <w:t>.</w:t>
      </w:r>
      <w:r w:rsidRPr="00537489">
        <w:rPr>
          <w:spacing w:val="-7"/>
          <w:sz w:val="13"/>
          <w:lang w:val="en-US"/>
        </w:rPr>
        <w:t xml:space="preserve"> </w:t>
      </w:r>
      <w:r w:rsidRPr="00537489">
        <w:rPr>
          <w:spacing w:val="-2"/>
          <w:sz w:val="13"/>
          <w:lang w:val="en-US"/>
        </w:rPr>
        <w:t>19–20</w:t>
      </w:r>
      <w:r>
        <w:rPr>
          <w:spacing w:val="-2"/>
          <w:sz w:val="13"/>
        </w:rPr>
        <w:t>;</w:t>
      </w:r>
      <w:r w:rsidRPr="00537489">
        <w:rPr>
          <w:spacing w:val="-7"/>
          <w:sz w:val="13"/>
          <w:lang w:val="en-US"/>
        </w:rPr>
        <w:t xml:space="preserve"> </w:t>
      </w:r>
      <w:r w:rsidRPr="00537489">
        <w:rPr>
          <w:spacing w:val="-2"/>
          <w:sz w:val="13"/>
          <w:lang w:val="en-US"/>
        </w:rPr>
        <w:t>CCPR/C/AGO/CO/2,</w:t>
      </w:r>
      <w:r w:rsidRPr="00537489">
        <w:rPr>
          <w:spacing w:val="-7"/>
          <w:sz w:val="13"/>
          <w:lang w:val="en-US"/>
        </w:rPr>
        <w:t xml:space="preserve"> </w:t>
      </w:r>
      <w:proofErr w:type="spellStart"/>
      <w:r w:rsidRPr="00537489">
        <w:rPr>
          <w:spacing w:val="-2"/>
          <w:sz w:val="13"/>
          <w:lang w:val="en-US"/>
        </w:rPr>
        <w:t>párr</w:t>
      </w:r>
      <w:proofErr w:type="spellEnd"/>
      <w:r w:rsidRPr="00537489">
        <w:rPr>
          <w:spacing w:val="-2"/>
          <w:sz w:val="13"/>
          <w:lang w:val="en-US"/>
        </w:rPr>
        <w:t>.</w:t>
      </w:r>
      <w:r w:rsidRPr="00537489">
        <w:rPr>
          <w:spacing w:val="-7"/>
          <w:sz w:val="13"/>
          <w:lang w:val="en-US"/>
        </w:rPr>
        <w:t xml:space="preserve"> </w:t>
      </w:r>
      <w:r w:rsidRPr="00537489">
        <w:rPr>
          <w:spacing w:val="-2"/>
          <w:sz w:val="13"/>
          <w:lang w:val="en-US"/>
        </w:rPr>
        <w:t>14</w:t>
      </w:r>
      <w:r>
        <w:rPr>
          <w:spacing w:val="-2"/>
          <w:sz w:val="13"/>
        </w:rPr>
        <w:t>;</w:t>
      </w:r>
      <w:r w:rsidRPr="00537489">
        <w:rPr>
          <w:spacing w:val="-8"/>
          <w:sz w:val="13"/>
          <w:lang w:val="en-US"/>
        </w:rPr>
        <w:t xml:space="preserve"> </w:t>
      </w:r>
      <w:r w:rsidRPr="00537489">
        <w:rPr>
          <w:spacing w:val="-2"/>
          <w:sz w:val="13"/>
          <w:lang w:val="en-US"/>
        </w:rPr>
        <w:t>CCPR/C/CPV/CO/1/Add.1,</w:t>
      </w:r>
      <w:r w:rsidRPr="00537489">
        <w:rPr>
          <w:spacing w:val="-7"/>
          <w:sz w:val="13"/>
          <w:lang w:val="en-US"/>
        </w:rPr>
        <w:t xml:space="preserve"> </w:t>
      </w:r>
      <w:proofErr w:type="spellStart"/>
      <w:r w:rsidRPr="00537489">
        <w:rPr>
          <w:spacing w:val="-2"/>
          <w:sz w:val="13"/>
          <w:lang w:val="en-US"/>
        </w:rPr>
        <w:t>párrs</w:t>
      </w:r>
      <w:proofErr w:type="spellEnd"/>
      <w:r w:rsidRPr="00537489">
        <w:rPr>
          <w:spacing w:val="-2"/>
          <w:sz w:val="13"/>
          <w:lang w:val="en-US"/>
        </w:rPr>
        <w:t>.</w:t>
      </w:r>
      <w:r w:rsidRPr="00537489">
        <w:rPr>
          <w:spacing w:val="-7"/>
          <w:sz w:val="13"/>
          <w:lang w:val="en-US"/>
        </w:rPr>
        <w:t xml:space="preserve"> </w:t>
      </w:r>
      <w:r w:rsidRPr="00537489">
        <w:rPr>
          <w:spacing w:val="-2"/>
          <w:sz w:val="13"/>
          <w:lang w:val="en-US"/>
        </w:rPr>
        <w:t>9–10</w:t>
      </w:r>
      <w:r>
        <w:rPr>
          <w:spacing w:val="-2"/>
          <w:sz w:val="13"/>
        </w:rPr>
        <w:t>;</w:t>
      </w:r>
      <w:r w:rsidRPr="00537489">
        <w:rPr>
          <w:spacing w:val="-7"/>
          <w:sz w:val="13"/>
          <w:lang w:val="en-US"/>
        </w:rPr>
        <w:t xml:space="preserve"> </w:t>
      </w:r>
      <w:r w:rsidRPr="00537489">
        <w:rPr>
          <w:spacing w:val="-2"/>
          <w:sz w:val="13"/>
          <w:lang w:val="en-US"/>
        </w:rPr>
        <w:t>CCPR/C/CMR/CO/5,</w:t>
      </w:r>
      <w:r w:rsidRPr="00537489">
        <w:rPr>
          <w:spacing w:val="-7"/>
          <w:sz w:val="13"/>
          <w:lang w:val="en-US"/>
        </w:rPr>
        <w:t xml:space="preserve"> </w:t>
      </w:r>
      <w:proofErr w:type="spellStart"/>
      <w:r w:rsidRPr="00537489">
        <w:rPr>
          <w:spacing w:val="-2"/>
          <w:sz w:val="13"/>
          <w:lang w:val="en-US"/>
        </w:rPr>
        <w:t>párr</w:t>
      </w:r>
      <w:proofErr w:type="spellEnd"/>
      <w:r w:rsidRPr="00537489">
        <w:rPr>
          <w:spacing w:val="-2"/>
          <w:sz w:val="13"/>
          <w:lang w:val="en-US"/>
        </w:rPr>
        <w:t>.</w:t>
      </w:r>
      <w:r w:rsidRPr="00537489">
        <w:rPr>
          <w:spacing w:val="-7"/>
          <w:sz w:val="13"/>
          <w:lang w:val="en-US"/>
        </w:rPr>
        <w:t xml:space="preserve"> </w:t>
      </w:r>
      <w:r w:rsidRPr="00537489">
        <w:rPr>
          <w:spacing w:val="-2"/>
          <w:sz w:val="13"/>
          <w:lang w:val="en-US"/>
        </w:rPr>
        <w:t>14</w:t>
      </w:r>
      <w:r>
        <w:rPr>
          <w:spacing w:val="-2"/>
          <w:sz w:val="13"/>
        </w:rPr>
        <w:t>;</w:t>
      </w:r>
      <w:r w:rsidRPr="00537489">
        <w:rPr>
          <w:spacing w:val="-7"/>
          <w:sz w:val="13"/>
          <w:lang w:val="en-US"/>
        </w:rPr>
        <w:t xml:space="preserve"> </w:t>
      </w:r>
      <w:r w:rsidRPr="00537489">
        <w:rPr>
          <w:spacing w:val="-2"/>
          <w:sz w:val="13"/>
          <w:lang w:val="en-US"/>
        </w:rPr>
        <w:t>CCPR/C/</w:t>
      </w:r>
      <w:r w:rsidRPr="00537489">
        <w:rPr>
          <w:spacing w:val="40"/>
          <w:sz w:val="13"/>
          <w:lang w:val="en-US"/>
        </w:rPr>
        <w:t xml:space="preserve"> </w:t>
      </w:r>
      <w:r w:rsidRPr="00537489">
        <w:rPr>
          <w:spacing w:val="-4"/>
          <w:sz w:val="13"/>
          <w:lang w:val="en-US"/>
        </w:rPr>
        <w:t xml:space="preserve">CAF/CO/3, </w:t>
      </w:r>
      <w:proofErr w:type="spellStart"/>
      <w:r w:rsidRPr="00537489">
        <w:rPr>
          <w:spacing w:val="-4"/>
          <w:sz w:val="13"/>
          <w:lang w:val="en-US"/>
        </w:rPr>
        <w:t>párrs</w:t>
      </w:r>
      <w:proofErr w:type="spellEnd"/>
      <w:r w:rsidRPr="00537489">
        <w:rPr>
          <w:spacing w:val="-4"/>
          <w:sz w:val="13"/>
          <w:lang w:val="en-US"/>
        </w:rPr>
        <w:t>. 11-12</w:t>
      </w:r>
      <w:r>
        <w:rPr>
          <w:spacing w:val="-4"/>
          <w:sz w:val="13"/>
        </w:rPr>
        <w:t>;</w:t>
      </w:r>
      <w:r w:rsidRPr="00537489">
        <w:rPr>
          <w:spacing w:val="-4"/>
          <w:sz w:val="13"/>
          <w:lang w:val="en-US"/>
        </w:rPr>
        <w:t xml:space="preserve"> CCPR/C/COD/CO/4, </w:t>
      </w:r>
      <w:proofErr w:type="spellStart"/>
      <w:r w:rsidRPr="00537489">
        <w:rPr>
          <w:spacing w:val="-4"/>
          <w:sz w:val="13"/>
          <w:lang w:val="en-US"/>
        </w:rPr>
        <w:t>párrs</w:t>
      </w:r>
      <w:proofErr w:type="spellEnd"/>
      <w:r w:rsidRPr="00537489">
        <w:rPr>
          <w:spacing w:val="-4"/>
          <w:sz w:val="13"/>
          <w:lang w:val="en-US"/>
        </w:rPr>
        <w:t>. 13–14</w:t>
      </w:r>
      <w:r>
        <w:rPr>
          <w:spacing w:val="-4"/>
          <w:sz w:val="13"/>
        </w:rPr>
        <w:t>;</w:t>
      </w:r>
      <w:r w:rsidRPr="00537489">
        <w:rPr>
          <w:spacing w:val="-4"/>
          <w:sz w:val="13"/>
          <w:lang w:val="en-US"/>
        </w:rPr>
        <w:t xml:space="preserve"> CCPR/C/GNQ/CO/1, </w:t>
      </w:r>
      <w:proofErr w:type="spellStart"/>
      <w:r w:rsidRPr="00537489">
        <w:rPr>
          <w:spacing w:val="-4"/>
          <w:sz w:val="13"/>
          <w:lang w:val="en-US"/>
        </w:rPr>
        <w:t>párr</w:t>
      </w:r>
      <w:proofErr w:type="spellEnd"/>
      <w:r w:rsidRPr="00537489">
        <w:rPr>
          <w:spacing w:val="-4"/>
          <w:sz w:val="13"/>
          <w:lang w:val="en-US"/>
        </w:rPr>
        <w:t>. 25</w:t>
      </w:r>
      <w:r>
        <w:rPr>
          <w:spacing w:val="-4"/>
          <w:sz w:val="13"/>
        </w:rPr>
        <w:t>;</w:t>
      </w:r>
      <w:r w:rsidRPr="00537489">
        <w:rPr>
          <w:spacing w:val="-4"/>
          <w:sz w:val="13"/>
          <w:lang w:val="en-US"/>
        </w:rPr>
        <w:t xml:space="preserve"> CCPR/C/GMB/CO/2, </w:t>
      </w:r>
      <w:proofErr w:type="spellStart"/>
      <w:r w:rsidRPr="00537489">
        <w:rPr>
          <w:spacing w:val="-4"/>
          <w:sz w:val="13"/>
          <w:lang w:val="en-US"/>
        </w:rPr>
        <w:t>párrs</w:t>
      </w:r>
      <w:proofErr w:type="spellEnd"/>
      <w:r w:rsidRPr="00537489">
        <w:rPr>
          <w:spacing w:val="-4"/>
          <w:sz w:val="13"/>
          <w:lang w:val="en-US"/>
        </w:rPr>
        <w:t>. 11-12</w:t>
      </w:r>
      <w:r>
        <w:rPr>
          <w:spacing w:val="-4"/>
          <w:sz w:val="13"/>
        </w:rPr>
        <w:t>;</w:t>
      </w:r>
      <w:r w:rsidRPr="00537489">
        <w:rPr>
          <w:spacing w:val="-4"/>
          <w:sz w:val="13"/>
          <w:lang w:val="en-US"/>
        </w:rPr>
        <w:t xml:space="preserve"> CCPR/C/LBR/CO/1, </w:t>
      </w:r>
      <w:proofErr w:type="spellStart"/>
      <w:r w:rsidRPr="00537489">
        <w:rPr>
          <w:spacing w:val="-4"/>
          <w:sz w:val="13"/>
          <w:lang w:val="en-US"/>
        </w:rPr>
        <w:t>párrs</w:t>
      </w:r>
      <w:proofErr w:type="spellEnd"/>
      <w:r w:rsidRPr="00537489">
        <w:rPr>
          <w:spacing w:val="-4"/>
          <w:sz w:val="13"/>
          <w:lang w:val="en-US"/>
        </w:rPr>
        <w:t>.</w:t>
      </w:r>
      <w:r w:rsidRPr="00537489">
        <w:rPr>
          <w:spacing w:val="40"/>
          <w:sz w:val="13"/>
          <w:lang w:val="en-US"/>
        </w:rPr>
        <w:t xml:space="preserve"> </w:t>
      </w:r>
      <w:r w:rsidRPr="00537489">
        <w:rPr>
          <w:spacing w:val="-4"/>
          <w:sz w:val="13"/>
          <w:lang w:val="en-US"/>
        </w:rPr>
        <w:t>16–17</w:t>
      </w:r>
      <w:r>
        <w:rPr>
          <w:spacing w:val="-4"/>
          <w:sz w:val="13"/>
        </w:rPr>
        <w:t>;</w:t>
      </w:r>
      <w:r w:rsidRPr="00537489">
        <w:rPr>
          <w:spacing w:val="-5"/>
          <w:sz w:val="13"/>
          <w:lang w:val="en-US"/>
        </w:rPr>
        <w:t xml:space="preserve"> </w:t>
      </w:r>
      <w:r w:rsidRPr="00537489">
        <w:rPr>
          <w:spacing w:val="-4"/>
          <w:sz w:val="13"/>
          <w:lang w:val="en-US"/>
        </w:rPr>
        <w:t>CCPR/C/MDG/CO/4,</w:t>
      </w:r>
      <w:r w:rsidRPr="00537489">
        <w:rPr>
          <w:spacing w:val="-5"/>
          <w:sz w:val="13"/>
          <w:lang w:val="en-US"/>
        </w:rPr>
        <w:t xml:space="preserve"> </w:t>
      </w:r>
      <w:proofErr w:type="spellStart"/>
      <w:r w:rsidRPr="00537489">
        <w:rPr>
          <w:spacing w:val="-4"/>
          <w:sz w:val="13"/>
          <w:lang w:val="en-US"/>
        </w:rPr>
        <w:t>párrs</w:t>
      </w:r>
      <w:proofErr w:type="spellEnd"/>
      <w:r w:rsidRPr="00537489">
        <w:rPr>
          <w:spacing w:val="-4"/>
          <w:sz w:val="13"/>
          <w:lang w:val="en-US"/>
        </w:rPr>
        <w:t>. 15-16</w:t>
      </w:r>
      <w:r>
        <w:rPr>
          <w:spacing w:val="-4"/>
          <w:sz w:val="13"/>
        </w:rPr>
        <w:t>;</w:t>
      </w:r>
      <w:r w:rsidRPr="00537489">
        <w:rPr>
          <w:spacing w:val="-4"/>
          <w:sz w:val="13"/>
          <w:lang w:val="en-US"/>
        </w:rPr>
        <w:t xml:space="preserve"> CCPR/C/NER/CO/2,</w:t>
      </w:r>
      <w:r w:rsidRPr="00537489">
        <w:rPr>
          <w:spacing w:val="-5"/>
          <w:sz w:val="13"/>
          <w:lang w:val="en-US"/>
        </w:rPr>
        <w:t xml:space="preserve"> </w:t>
      </w:r>
      <w:proofErr w:type="spellStart"/>
      <w:r w:rsidRPr="00537489">
        <w:rPr>
          <w:spacing w:val="-4"/>
          <w:sz w:val="13"/>
          <w:lang w:val="en-US"/>
        </w:rPr>
        <w:t>párr</w:t>
      </w:r>
      <w:proofErr w:type="spellEnd"/>
      <w:r w:rsidRPr="00537489">
        <w:rPr>
          <w:spacing w:val="-4"/>
          <w:sz w:val="13"/>
          <w:lang w:val="en-US"/>
        </w:rPr>
        <w:t>. 19</w:t>
      </w:r>
      <w:r>
        <w:rPr>
          <w:spacing w:val="-4"/>
          <w:sz w:val="13"/>
        </w:rPr>
        <w:t>;</w:t>
      </w:r>
      <w:r w:rsidRPr="00537489">
        <w:rPr>
          <w:spacing w:val="-5"/>
          <w:sz w:val="13"/>
          <w:lang w:val="en-US"/>
        </w:rPr>
        <w:t xml:space="preserve"> </w:t>
      </w:r>
      <w:r w:rsidRPr="00537489">
        <w:rPr>
          <w:spacing w:val="-4"/>
          <w:sz w:val="13"/>
          <w:lang w:val="en-US"/>
        </w:rPr>
        <w:t>CCPR/C/NGA/CO/2,</w:t>
      </w:r>
      <w:r w:rsidRPr="00537489">
        <w:rPr>
          <w:spacing w:val="-5"/>
          <w:sz w:val="13"/>
          <w:lang w:val="en-US"/>
        </w:rPr>
        <w:t xml:space="preserve"> </w:t>
      </w:r>
      <w:proofErr w:type="spellStart"/>
      <w:r w:rsidRPr="00537489">
        <w:rPr>
          <w:spacing w:val="-4"/>
          <w:sz w:val="13"/>
          <w:lang w:val="en-US"/>
        </w:rPr>
        <w:t>párrs</w:t>
      </w:r>
      <w:proofErr w:type="spellEnd"/>
      <w:r w:rsidRPr="00537489">
        <w:rPr>
          <w:spacing w:val="-4"/>
          <w:sz w:val="13"/>
          <w:lang w:val="en-US"/>
        </w:rPr>
        <w:t>. 16–17</w:t>
      </w:r>
      <w:r>
        <w:rPr>
          <w:spacing w:val="-4"/>
          <w:sz w:val="13"/>
        </w:rPr>
        <w:t>;</w:t>
      </w:r>
      <w:r w:rsidRPr="00537489">
        <w:rPr>
          <w:spacing w:val="-5"/>
          <w:sz w:val="13"/>
          <w:lang w:val="en-US"/>
        </w:rPr>
        <w:t xml:space="preserve"> </w:t>
      </w:r>
      <w:r w:rsidRPr="00537489">
        <w:rPr>
          <w:spacing w:val="-4"/>
          <w:sz w:val="13"/>
          <w:lang w:val="en-US"/>
        </w:rPr>
        <w:t>CCPR/C/SEN/CO/5,</w:t>
      </w:r>
      <w:r w:rsidRPr="00537489">
        <w:rPr>
          <w:spacing w:val="-5"/>
          <w:sz w:val="13"/>
          <w:lang w:val="en-US"/>
        </w:rPr>
        <w:t xml:space="preserve"> </w:t>
      </w:r>
      <w:proofErr w:type="spellStart"/>
      <w:r w:rsidRPr="00537489">
        <w:rPr>
          <w:spacing w:val="-4"/>
          <w:sz w:val="13"/>
          <w:lang w:val="en-US"/>
        </w:rPr>
        <w:t>párr</w:t>
      </w:r>
      <w:proofErr w:type="spellEnd"/>
      <w:r w:rsidRPr="00537489">
        <w:rPr>
          <w:spacing w:val="-4"/>
          <w:sz w:val="13"/>
          <w:lang w:val="en-US"/>
        </w:rPr>
        <w:t>. 11</w:t>
      </w:r>
      <w:r>
        <w:rPr>
          <w:spacing w:val="-4"/>
          <w:sz w:val="13"/>
        </w:rPr>
        <w:t>;</w:t>
      </w:r>
      <w:r w:rsidRPr="00537489">
        <w:rPr>
          <w:spacing w:val="-5"/>
          <w:sz w:val="13"/>
          <w:lang w:val="en-US"/>
        </w:rPr>
        <w:t xml:space="preserve"> </w:t>
      </w:r>
      <w:r w:rsidRPr="00537489">
        <w:rPr>
          <w:spacing w:val="-4"/>
          <w:sz w:val="13"/>
          <w:lang w:val="en-US"/>
        </w:rPr>
        <w:t>CCPR/C/SDN/CO/</w:t>
      </w:r>
    </w:p>
    <w:p w14:paraId="5A8E180A" w14:textId="77777777" w:rsidR="0014798C" w:rsidRPr="00537489" w:rsidRDefault="004E1F0B">
      <w:pPr>
        <w:spacing w:before="2"/>
        <w:ind w:left="1366"/>
        <w:rPr>
          <w:sz w:val="13"/>
          <w:lang w:val="en-US"/>
        </w:rPr>
      </w:pPr>
      <w:r w:rsidRPr="00537489">
        <w:rPr>
          <w:spacing w:val="-4"/>
          <w:sz w:val="13"/>
          <w:lang w:val="en-US"/>
        </w:rPr>
        <w:t>4,</w:t>
      </w:r>
      <w:r w:rsidRPr="00537489">
        <w:rPr>
          <w:spacing w:val="-1"/>
          <w:sz w:val="13"/>
          <w:lang w:val="en-US"/>
        </w:rPr>
        <w:t xml:space="preserve"> </w:t>
      </w:r>
      <w:proofErr w:type="spellStart"/>
      <w:r w:rsidRPr="00537489">
        <w:rPr>
          <w:spacing w:val="-4"/>
          <w:sz w:val="13"/>
          <w:lang w:val="en-US"/>
        </w:rPr>
        <w:t>párr</w:t>
      </w:r>
      <w:proofErr w:type="spellEnd"/>
      <w:r w:rsidRPr="00537489">
        <w:rPr>
          <w:spacing w:val="-4"/>
          <w:sz w:val="13"/>
          <w:lang w:val="en-US"/>
        </w:rPr>
        <w:t>.</w:t>
      </w:r>
      <w:r w:rsidRPr="00537489">
        <w:rPr>
          <w:sz w:val="13"/>
          <w:lang w:val="en-US"/>
        </w:rPr>
        <w:t xml:space="preserve"> </w:t>
      </w:r>
      <w:r w:rsidRPr="00537489">
        <w:rPr>
          <w:spacing w:val="-4"/>
          <w:sz w:val="13"/>
          <w:lang w:val="en-US"/>
        </w:rPr>
        <w:t>11</w:t>
      </w:r>
      <w:r>
        <w:rPr>
          <w:spacing w:val="-4"/>
          <w:sz w:val="13"/>
        </w:rPr>
        <w:t>;</w:t>
      </w:r>
      <w:r w:rsidRPr="00537489">
        <w:rPr>
          <w:spacing w:val="-1"/>
          <w:sz w:val="13"/>
          <w:lang w:val="en-US"/>
        </w:rPr>
        <w:t xml:space="preserve"> </w:t>
      </w:r>
      <w:r w:rsidRPr="00537489">
        <w:rPr>
          <w:spacing w:val="-4"/>
          <w:sz w:val="13"/>
          <w:lang w:val="en-US"/>
        </w:rPr>
        <w:t>y</w:t>
      </w:r>
      <w:r w:rsidRPr="00537489">
        <w:rPr>
          <w:spacing w:val="-1"/>
          <w:sz w:val="13"/>
          <w:lang w:val="en-US"/>
        </w:rPr>
        <w:t xml:space="preserve"> </w:t>
      </w:r>
      <w:r w:rsidRPr="00537489">
        <w:rPr>
          <w:spacing w:val="-4"/>
          <w:sz w:val="13"/>
          <w:lang w:val="en-US"/>
        </w:rPr>
        <w:t>CCPR/C/SDN/CO/5,</w:t>
      </w:r>
      <w:r w:rsidRPr="00537489">
        <w:rPr>
          <w:spacing w:val="-1"/>
          <w:sz w:val="13"/>
          <w:lang w:val="en-US"/>
        </w:rPr>
        <w:t xml:space="preserve"> </w:t>
      </w:r>
      <w:proofErr w:type="spellStart"/>
      <w:r w:rsidRPr="00537489">
        <w:rPr>
          <w:spacing w:val="-4"/>
          <w:sz w:val="13"/>
          <w:lang w:val="en-US"/>
        </w:rPr>
        <w:t>párrs</w:t>
      </w:r>
      <w:proofErr w:type="spellEnd"/>
      <w:r w:rsidRPr="00537489">
        <w:rPr>
          <w:spacing w:val="-4"/>
          <w:sz w:val="13"/>
          <w:lang w:val="en-US"/>
        </w:rPr>
        <w:t>.</w:t>
      </w:r>
      <w:r w:rsidRPr="00537489">
        <w:rPr>
          <w:sz w:val="13"/>
          <w:lang w:val="en-US"/>
        </w:rPr>
        <w:t xml:space="preserve"> </w:t>
      </w:r>
      <w:r w:rsidRPr="00537489">
        <w:rPr>
          <w:spacing w:val="-4"/>
          <w:sz w:val="13"/>
          <w:lang w:val="en-US"/>
        </w:rPr>
        <w:t>14-</w:t>
      </w:r>
      <w:r w:rsidRPr="00537489">
        <w:rPr>
          <w:spacing w:val="-5"/>
          <w:sz w:val="13"/>
          <w:lang w:val="en-US"/>
        </w:rPr>
        <w:t>16.</w:t>
      </w:r>
    </w:p>
    <w:p w14:paraId="183D1811" w14:textId="77777777" w:rsidR="0014798C" w:rsidRPr="00537489" w:rsidRDefault="004E1F0B">
      <w:pPr>
        <w:spacing w:before="105"/>
        <w:ind w:left="1105"/>
        <w:rPr>
          <w:sz w:val="12"/>
          <w:lang w:val="en-US"/>
        </w:rPr>
      </w:pPr>
      <w:r w:rsidRPr="00537489">
        <w:rPr>
          <w:spacing w:val="-2"/>
          <w:sz w:val="12"/>
          <w:lang w:val="en-US"/>
        </w:rPr>
        <w:t>41</w:t>
      </w:r>
      <w:r w:rsidRPr="00537489">
        <w:rPr>
          <w:spacing w:val="-6"/>
          <w:sz w:val="12"/>
          <w:lang w:val="en-US"/>
        </w:rPr>
        <w:t xml:space="preserve"> </w:t>
      </w:r>
      <w:r w:rsidRPr="00537489">
        <w:rPr>
          <w:spacing w:val="-2"/>
          <w:sz w:val="12"/>
          <w:lang w:val="en-US"/>
        </w:rPr>
        <w:t>CCPR/C/BLZ/CO/1/Add.1,</w:t>
      </w:r>
      <w:r w:rsidRPr="00537489">
        <w:rPr>
          <w:spacing w:val="-5"/>
          <w:sz w:val="12"/>
          <w:lang w:val="en-US"/>
        </w:rPr>
        <w:t xml:space="preserve"> </w:t>
      </w:r>
      <w:proofErr w:type="spellStart"/>
      <w:r w:rsidRPr="00537489">
        <w:rPr>
          <w:spacing w:val="-2"/>
          <w:sz w:val="12"/>
          <w:lang w:val="en-US"/>
        </w:rPr>
        <w:t>párrs</w:t>
      </w:r>
      <w:proofErr w:type="spellEnd"/>
      <w:r w:rsidRPr="00537489">
        <w:rPr>
          <w:spacing w:val="-2"/>
          <w:sz w:val="12"/>
          <w:lang w:val="en-US"/>
        </w:rPr>
        <w:t>.</w:t>
      </w:r>
      <w:r w:rsidRPr="00537489">
        <w:rPr>
          <w:spacing w:val="-5"/>
          <w:sz w:val="12"/>
          <w:lang w:val="en-US"/>
        </w:rPr>
        <w:t xml:space="preserve"> </w:t>
      </w:r>
      <w:r>
        <w:rPr>
          <w:spacing w:val="-2"/>
          <w:sz w:val="12"/>
        </w:rPr>
        <w:t>11–13;</w:t>
      </w:r>
      <w:r>
        <w:rPr>
          <w:spacing w:val="-5"/>
          <w:sz w:val="12"/>
        </w:rPr>
        <w:t xml:space="preserve"> </w:t>
      </w:r>
      <w:r>
        <w:rPr>
          <w:spacing w:val="-2"/>
          <w:sz w:val="12"/>
        </w:rPr>
        <w:t>CCPR/C/DMA/COAR/1,</w:t>
      </w:r>
      <w:r>
        <w:rPr>
          <w:spacing w:val="-6"/>
          <w:sz w:val="12"/>
        </w:rPr>
        <w:t xml:space="preserve"> </w:t>
      </w:r>
      <w:proofErr w:type="spellStart"/>
      <w:r>
        <w:rPr>
          <w:spacing w:val="-2"/>
          <w:sz w:val="12"/>
        </w:rPr>
        <w:t>párrs</w:t>
      </w:r>
      <w:proofErr w:type="spellEnd"/>
      <w:r>
        <w:rPr>
          <w:spacing w:val="-2"/>
          <w:sz w:val="12"/>
        </w:rPr>
        <w:t>.</w:t>
      </w:r>
      <w:r>
        <w:rPr>
          <w:spacing w:val="-5"/>
          <w:sz w:val="12"/>
        </w:rPr>
        <w:t xml:space="preserve"> </w:t>
      </w:r>
      <w:r w:rsidRPr="00537489">
        <w:rPr>
          <w:spacing w:val="-2"/>
          <w:sz w:val="12"/>
          <w:lang w:val="en-US"/>
        </w:rPr>
        <w:t>15–17</w:t>
      </w:r>
      <w:r w:rsidRPr="00537489">
        <w:rPr>
          <w:spacing w:val="-5"/>
          <w:sz w:val="12"/>
          <w:lang w:val="en-US"/>
        </w:rPr>
        <w:t xml:space="preserve"> </w:t>
      </w:r>
      <w:r w:rsidRPr="00537489">
        <w:rPr>
          <w:spacing w:val="-2"/>
          <w:sz w:val="12"/>
          <w:lang w:val="en-US"/>
        </w:rPr>
        <w:t>y</w:t>
      </w:r>
      <w:r w:rsidRPr="00537489">
        <w:rPr>
          <w:spacing w:val="-5"/>
          <w:sz w:val="12"/>
          <w:lang w:val="en-US"/>
        </w:rPr>
        <w:t xml:space="preserve"> </w:t>
      </w:r>
      <w:r w:rsidRPr="00537489">
        <w:rPr>
          <w:spacing w:val="-2"/>
          <w:sz w:val="12"/>
          <w:lang w:val="en-US"/>
        </w:rPr>
        <w:t>48</w:t>
      </w:r>
      <w:r>
        <w:rPr>
          <w:spacing w:val="-2"/>
          <w:sz w:val="12"/>
        </w:rPr>
        <w:t>;</w:t>
      </w:r>
      <w:r w:rsidRPr="00537489">
        <w:rPr>
          <w:spacing w:val="-5"/>
          <w:sz w:val="12"/>
          <w:lang w:val="en-US"/>
        </w:rPr>
        <w:t xml:space="preserve"> </w:t>
      </w:r>
      <w:r w:rsidRPr="00537489">
        <w:rPr>
          <w:spacing w:val="-2"/>
          <w:sz w:val="12"/>
          <w:lang w:val="en-US"/>
        </w:rPr>
        <w:t>CCPR/C/SLV/CO/7,</w:t>
      </w:r>
      <w:r w:rsidRPr="00537489">
        <w:rPr>
          <w:spacing w:val="-6"/>
          <w:sz w:val="12"/>
          <w:lang w:val="en-US"/>
        </w:rPr>
        <w:t xml:space="preserve"> </w:t>
      </w:r>
      <w:proofErr w:type="spellStart"/>
      <w:r w:rsidRPr="00537489">
        <w:rPr>
          <w:spacing w:val="-2"/>
          <w:sz w:val="12"/>
          <w:lang w:val="en-US"/>
        </w:rPr>
        <w:t>párrs</w:t>
      </w:r>
      <w:proofErr w:type="spellEnd"/>
      <w:r w:rsidRPr="00537489">
        <w:rPr>
          <w:spacing w:val="-2"/>
          <w:sz w:val="12"/>
          <w:lang w:val="en-US"/>
        </w:rPr>
        <w:t>.</w:t>
      </w:r>
      <w:r w:rsidRPr="00537489">
        <w:rPr>
          <w:spacing w:val="-5"/>
          <w:sz w:val="12"/>
          <w:lang w:val="en-US"/>
        </w:rPr>
        <w:t xml:space="preserve"> </w:t>
      </w:r>
      <w:r w:rsidRPr="00537489">
        <w:rPr>
          <w:spacing w:val="-2"/>
          <w:sz w:val="12"/>
          <w:lang w:val="en-US"/>
        </w:rPr>
        <w:t>9–10</w:t>
      </w:r>
      <w:r>
        <w:rPr>
          <w:spacing w:val="-2"/>
          <w:sz w:val="12"/>
        </w:rPr>
        <w:t>;</w:t>
      </w:r>
    </w:p>
    <w:p w14:paraId="7AD1153F" w14:textId="77777777" w:rsidR="0014798C" w:rsidRDefault="004E1F0B">
      <w:pPr>
        <w:spacing w:before="24"/>
        <w:ind w:left="1371"/>
        <w:rPr>
          <w:sz w:val="13"/>
        </w:rPr>
      </w:pPr>
      <w:r w:rsidRPr="00537489">
        <w:rPr>
          <w:w w:val="95"/>
          <w:sz w:val="13"/>
          <w:lang w:val="en-US"/>
        </w:rPr>
        <w:t>CCPR/C/JAM/CO/4,</w:t>
      </w:r>
      <w:r w:rsidRPr="00537489">
        <w:rPr>
          <w:spacing w:val="-4"/>
          <w:w w:val="95"/>
          <w:sz w:val="13"/>
          <w:lang w:val="en-US"/>
        </w:rPr>
        <w:t xml:space="preserve"> </w:t>
      </w:r>
      <w:proofErr w:type="spellStart"/>
      <w:r w:rsidRPr="00537489">
        <w:rPr>
          <w:w w:val="95"/>
          <w:sz w:val="13"/>
          <w:lang w:val="en-US"/>
        </w:rPr>
        <w:t>párrs</w:t>
      </w:r>
      <w:proofErr w:type="spellEnd"/>
      <w:r w:rsidRPr="00537489">
        <w:rPr>
          <w:w w:val="95"/>
          <w:sz w:val="13"/>
          <w:lang w:val="en-US"/>
        </w:rPr>
        <w:t>.</w:t>
      </w:r>
      <w:r w:rsidRPr="00537489">
        <w:rPr>
          <w:spacing w:val="-3"/>
          <w:w w:val="95"/>
          <w:sz w:val="13"/>
          <w:lang w:val="en-US"/>
        </w:rPr>
        <w:t xml:space="preserve"> </w:t>
      </w:r>
      <w:r w:rsidRPr="00537489">
        <w:rPr>
          <w:w w:val="95"/>
          <w:sz w:val="13"/>
          <w:lang w:val="en-US"/>
        </w:rPr>
        <w:t>15-16</w:t>
      </w:r>
      <w:r>
        <w:rPr>
          <w:w w:val="95"/>
          <w:sz w:val="13"/>
        </w:rPr>
        <w:t>;</w:t>
      </w:r>
      <w:r w:rsidRPr="00537489">
        <w:rPr>
          <w:spacing w:val="-3"/>
          <w:w w:val="95"/>
          <w:sz w:val="13"/>
          <w:lang w:val="en-US"/>
        </w:rPr>
        <w:t xml:space="preserve"> </w:t>
      </w:r>
      <w:r w:rsidRPr="00537489">
        <w:rPr>
          <w:w w:val="95"/>
          <w:sz w:val="13"/>
          <w:lang w:val="en-US"/>
        </w:rPr>
        <w:t>CCPR/C/PRY/CO/3,</w:t>
      </w:r>
      <w:r w:rsidRPr="00537489">
        <w:rPr>
          <w:spacing w:val="-4"/>
          <w:w w:val="95"/>
          <w:sz w:val="13"/>
          <w:lang w:val="en-US"/>
        </w:rPr>
        <w:t xml:space="preserve"> </w:t>
      </w:r>
      <w:proofErr w:type="spellStart"/>
      <w:r w:rsidRPr="00537489">
        <w:rPr>
          <w:w w:val="95"/>
          <w:sz w:val="13"/>
          <w:lang w:val="en-US"/>
        </w:rPr>
        <w:t>párr</w:t>
      </w:r>
      <w:proofErr w:type="spellEnd"/>
      <w:r w:rsidRPr="00537489">
        <w:rPr>
          <w:w w:val="95"/>
          <w:sz w:val="13"/>
          <w:lang w:val="en-US"/>
        </w:rPr>
        <w:t>.</w:t>
      </w:r>
      <w:r w:rsidRPr="00537489">
        <w:rPr>
          <w:spacing w:val="-3"/>
          <w:w w:val="95"/>
          <w:sz w:val="13"/>
          <w:lang w:val="en-US"/>
        </w:rPr>
        <w:t xml:space="preserve"> </w:t>
      </w:r>
      <w:r w:rsidRPr="00537489">
        <w:rPr>
          <w:w w:val="90"/>
          <w:sz w:val="13"/>
          <w:lang w:val="en-US"/>
        </w:rPr>
        <w:t>9</w:t>
      </w:r>
      <w:r>
        <w:rPr>
          <w:w w:val="90"/>
          <w:sz w:val="13"/>
        </w:rPr>
        <w:t>;</w:t>
      </w:r>
      <w:r w:rsidRPr="00537489">
        <w:rPr>
          <w:spacing w:val="-2"/>
          <w:w w:val="90"/>
          <w:sz w:val="13"/>
          <w:lang w:val="en-US"/>
        </w:rPr>
        <w:t xml:space="preserve"> </w:t>
      </w:r>
      <w:r w:rsidRPr="00537489">
        <w:rPr>
          <w:w w:val="95"/>
          <w:sz w:val="13"/>
          <w:lang w:val="en-US"/>
        </w:rPr>
        <w:t>CCPR/C/PRY/CO/4,</w:t>
      </w:r>
      <w:r w:rsidRPr="00537489">
        <w:rPr>
          <w:spacing w:val="-4"/>
          <w:w w:val="95"/>
          <w:sz w:val="13"/>
          <w:lang w:val="en-US"/>
        </w:rPr>
        <w:t xml:space="preserve"> </w:t>
      </w:r>
      <w:proofErr w:type="spellStart"/>
      <w:r w:rsidRPr="00537489">
        <w:rPr>
          <w:w w:val="95"/>
          <w:sz w:val="13"/>
          <w:lang w:val="en-US"/>
        </w:rPr>
        <w:t>párrs</w:t>
      </w:r>
      <w:proofErr w:type="spellEnd"/>
      <w:r w:rsidRPr="00537489">
        <w:rPr>
          <w:w w:val="95"/>
          <w:sz w:val="13"/>
          <w:lang w:val="en-US"/>
        </w:rPr>
        <w:t>.</w:t>
      </w:r>
      <w:r w:rsidRPr="00537489">
        <w:rPr>
          <w:spacing w:val="-3"/>
          <w:w w:val="95"/>
          <w:sz w:val="13"/>
          <w:lang w:val="en-US"/>
        </w:rPr>
        <w:t xml:space="preserve"> </w:t>
      </w:r>
      <w:r>
        <w:rPr>
          <w:w w:val="95"/>
          <w:sz w:val="13"/>
        </w:rPr>
        <w:t>14-15;</w:t>
      </w:r>
      <w:r>
        <w:rPr>
          <w:spacing w:val="-3"/>
          <w:w w:val="95"/>
          <w:sz w:val="13"/>
        </w:rPr>
        <w:t xml:space="preserve"> </w:t>
      </w:r>
      <w:r>
        <w:rPr>
          <w:w w:val="95"/>
          <w:sz w:val="13"/>
        </w:rPr>
        <w:t>y</w:t>
      </w:r>
      <w:r>
        <w:rPr>
          <w:spacing w:val="-4"/>
          <w:w w:val="95"/>
          <w:sz w:val="13"/>
        </w:rPr>
        <w:t xml:space="preserve"> </w:t>
      </w:r>
      <w:r>
        <w:rPr>
          <w:w w:val="95"/>
          <w:sz w:val="13"/>
        </w:rPr>
        <w:t>CCPR/C/VEN/CO/4,</w:t>
      </w:r>
      <w:r>
        <w:rPr>
          <w:spacing w:val="-4"/>
          <w:w w:val="95"/>
          <w:sz w:val="13"/>
        </w:rPr>
        <w:t xml:space="preserve"> </w:t>
      </w:r>
      <w:r>
        <w:rPr>
          <w:w w:val="95"/>
          <w:sz w:val="13"/>
        </w:rPr>
        <w:t>párr.</w:t>
      </w:r>
      <w:r>
        <w:rPr>
          <w:spacing w:val="-3"/>
          <w:w w:val="95"/>
          <w:sz w:val="13"/>
        </w:rPr>
        <w:t xml:space="preserve"> </w:t>
      </w:r>
      <w:r>
        <w:rPr>
          <w:spacing w:val="-5"/>
          <w:w w:val="95"/>
          <w:sz w:val="13"/>
        </w:rPr>
        <w:t>8.</w:t>
      </w:r>
    </w:p>
    <w:p w14:paraId="42290042" w14:textId="77777777" w:rsidR="0014798C" w:rsidRPr="00537489" w:rsidRDefault="004E1F0B">
      <w:pPr>
        <w:spacing w:before="86"/>
        <w:ind w:left="1105"/>
        <w:rPr>
          <w:sz w:val="13"/>
          <w:lang w:val="en-US"/>
        </w:rPr>
      </w:pPr>
      <w:proofErr w:type="gramStart"/>
      <w:r w:rsidRPr="005C01C5">
        <w:rPr>
          <w:spacing w:val="-4"/>
          <w:sz w:val="13"/>
          <w:vertAlign w:val="superscript"/>
          <w:lang w:val="en-US"/>
        </w:rPr>
        <w:t>42</w:t>
      </w:r>
      <w:r w:rsidRPr="005C01C5">
        <w:rPr>
          <w:spacing w:val="38"/>
          <w:sz w:val="13"/>
          <w:lang w:val="en-US"/>
        </w:rPr>
        <w:t xml:space="preserve">  </w:t>
      </w:r>
      <w:r w:rsidRPr="005C01C5">
        <w:rPr>
          <w:spacing w:val="-4"/>
          <w:sz w:val="13"/>
          <w:lang w:val="en-US"/>
        </w:rPr>
        <w:t>CCPR</w:t>
      </w:r>
      <w:proofErr w:type="gramEnd"/>
      <w:r w:rsidRPr="005C01C5">
        <w:rPr>
          <w:spacing w:val="-4"/>
          <w:sz w:val="13"/>
          <w:lang w:val="en-US"/>
        </w:rPr>
        <w:t xml:space="preserve">/C/BHR/CO/1, </w:t>
      </w:r>
      <w:proofErr w:type="spellStart"/>
      <w:r w:rsidRPr="005C01C5">
        <w:rPr>
          <w:spacing w:val="-4"/>
          <w:sz w:val="13"/>
          <w:lang w:val="en-US"/>
        </w:rPr>
        <w:t>párrs</w:t>
      </w:r>
      <w:proofErr w:type="spellEnd"/>
      <w:r w:rsidRPr="005C01C5">
        <w:rPr>
          <w:spacing w:val="-4"/>
          <w:sz w:val="13"/>
          <w:lang w:val="en-US"/>
        </w:rPr>
        <w:t xml:space="preserve">. </w:t>
      </w:r>
      <w:r w:rsidRPr="00537489">
        <w:rPr>
          <w:spacing w:val="-4"/>
          <w:sz w:val="13"/>
          <w:lang w:val="en-US"/>
        </w:rPr>
        <w:t>15-16</w:t>
      </w:r>
      <w:r>
        <w:rPr>
          <w:spacing w:val="-4"/>
          <w:sz w:val="13"/>
        </w:rPr>
        <w:t>;</w:t>
      </w:r>
      <w:r w:rsidRPr="00537489">
        <w:rPr>
          <w:spacing w:val="-5"/>
          <w:sz w:val="13"/>
          <w:lang w:val="en-US"/>
        </w:rPr>
        <w:t xml:space="preserve"> </w:t>
      </w:r>
      <w:r w:rsidRPr="00537489">
        <w:rPr>
          <w:spacing w:val="-4"/>
          <w:sz w:val="13"/>
          <w:lang w:val="en-US"/>
        </w:rPr>
        <w:t>CCPR/C/BGD/CO/1,</w:t>
      </w:r>
      <w:r w:rsidRPr="00537489">
        <w:rPr>
          <w:spacing w:val="-5"/>
          <w:sz w:val="13"/>
          <w:lang w:val="en-US"/>
        </w:rPr>
        <w:t xml:space="preserve"> </w:t>
      </w:r>
      <w:proofErr w:type="spellStart"/>
      <w:r w:rsidRPr="00537489">
        <w:rPr>
          <w:spacing w:val="-4"/>
          <w:sz w:val="13"/>
          <w:lang w:val="en-US"/>
        </w:rPr>
        <w:t>párr</w:t>
      </w:r>
      <w:proofErr w:type="spellEnd"/>
      <w:r w:rsidRPr="00537489">
        <w:rPr>
          <w:spacing w:val="-4"/>
          <w:sz w:val="13"/>
          <w:lang w:val="en-US"/>
        </w:rPr>
        <w:t>. 12</w:t>
      </w:r>
      <w:r>
        <w:rPr>
          <w:spacing w:val="-4"/>
          <w:sz w:val="13"/>
        </w:rPr>
        <w:t>;</w:t>
      </w:r>
      <w:r w:rsidRPr="00537489">
        <w:rPr>
          <w:spacing w:val="-5"/>
          <w:sz w:val="13"/>
          <w:lang w:val="en-US"/>
        </w:rPr>
        <w:t xml:space="preserve"> </w:t>
      </w:r>
      <w:r w:rsidRPr="00537489">
        <w:rPr>
          <w:spacing w:val="-4"/>
          <w:sz w:val="13"/>
          <w:lang w:val="en-US"/>
        </w:rPr>
        <w:t>CCPR/C/CHN-HKG/CO/3,</w:t>
      </w:r>
      <w:r w:rsidRPr="00537489">
        <w:rPr>
          <w:spacing w:val="-5"/>
          <w:sz w:val="13"/>
          <w:lang w:val="en-US"/>
        </w:rPr>
        <w:t xml:space="preserve"> </w:t>
      </w:r>
      <w:proofErr w:type="spellStart"/>
      <w:r w:rsidRPr="00537489">
        <w:rPr>
          <w:spacing w:val="-4"/>
          <w:sz w:val="13"/>
          <w:lang w:val="en-US"/>
        </w:rPr>
        <w:t>párr</w:t>
      </w:r>
      <w:proofErr w:type="spellEnd"/>
      <w:r w:rsidRPr="00537489">
        <w:rPr>
          <w:spacing w:val="-4"/>
          <w:sz w:val="13"/>
          <w:lang w:val="en-US"/>
        </w:rPr>
        <w:t>.</w:t>
      </w:r>
      <w:r w:rsidRPr="00537489">
        <w:rPr>
          <w:spacing w:val="-5"/>
          <w:sz w:val="13"/>
          <w:lang w:val="en-US"/>
        </w:rPr>
        <w:t xml:space="preserve"> </w:t>
      </w:r>
      <w:r w:rsidRPr="00537489">
        <w:rPr>
          <w:spacing w:val="-4"/>
          <w:sz w:val="13"/>
          <w:lang w:val="en-US"/>
        </w:rPr>
        <w:t>19</w:t>
      </w:r>
      <w:r>
        <w:rPr>
          <w:spacing w:val="-4"/>
          <w:sz w:val="13"/>
        </w:rPr>
        <w:t>;</w:t>
      </w:r>
      <w:r w:rsidRPr="00537489">
        <w:rPr>
          <w:spacing w:val="-5"/>
          <w:sz w:val="13"/>
          <w:lang w:val="en-US"/>
        </w:rPr>
        <w:t xml:space="preserve"> </w:t>
      </w:r>
      <w:r w:rsidRPr="00537489">
        <w:rPr>
          <w:spacing w:val="-4"/>
          <w:sz w:val="13"/>
          <w:lang w:val="en-US"/>
        </w:rPr>
        <w:t>CCPR/C/IRQ/CO/5,</w:t>
      </w:r>
    </w:p>
    <w:p w14:paraId="39FBACE2" w14:textId="77777777" w:rsidR="0014798C" w:rsidRPr="00537489" w:rsidRDefault="004E1F0B">
      <w:pPr>
        <w:spacing w:before="31"/>
        <w:ind w:left="1366"/>
        <w:rPr>
          <w:sz w:val="13"/>
          <w:lang w:val="en-US"/>
        </w:rPr>
      </w:pPr>
      <w:proofErr w:type="spellStart"/>
      <w:r w:rsidRPr="00537489">
        <w:rPr>
          <w:w w:val="90"/>
          <w:sz w:val="13"/>
          <w:lang w:val="en-US"/>
        </w:rPr>
        <w:t>párrs</w:t>
      </w:r>
      <w:proofErr w:type="spellEnd"/>
      <w:r w:rsidRPr="00537489">
        <w:rPr>
          <w:w w:val="90"/>
          <w:sz w:val="13"/>
          <w:lang w:val="en-US"/>
        </w:rPr>
        <w:t>.</w:t>
      </w:r>
      <w:r w:rsidRPr="00537489">
        <w:rPr>
          <w:spacing w:val="12"/>
          <w:sz w:val="13"/>
          <w:lang w:val="en-US"/>
        </w:rPr>
        <w:t xml:space="preserve"> </w:t>
      </w:r>
      <w:r w:rsidRPr="00537489">
        <w:rPr>
          <w:w w:val="90"/>
          <w:sz w:val="13"/>
          <w:lang w:val="en-US"/>
        </w:rPr>
        <w:t>11-12</w:t>
      </w:r>
      <w:r>
        <w:rPr>
          <w:w w:val="90"/>
          <w:sz w:val="13"/>
        </w:rPr>
        <w:t>;</w:t>
      </w:r>
      <w:r w:rsidRPr="00537489">
        <w:rPr>
          <w:spacing w:val="12"/>
          <w:sz w:val="13"/>
          <w:lang w:val="en-US"/>
        </w:rPr>
        <w:t xml:space="preserve"> </w:t>
      </w:r>
      <w:r w:rsidRPr="00537489">
        <w:rPr>
          <w:w w:val="90"/>
          <w:sz w:val="13"/>
          <w:lang w:val="en-US"/>
        </w:rPr>
        <w:t>CCPR/C/JPN/CO/6,</w:t>
      </w:r>
      <w:r w:rsidRPr="00537489">
        <w:rPr>
          <w:spacing w:val="11"/>
          <w:sz w:val="13"/>
          <w:lang w:val="en-US"/>
        </w:rPr>
        <w:t xml:space="preserve"> </w:t>
      </w:r>
      <w:proofErr w:type="spellStart"/>
      <w:r w:rsidRPr="00537489">
        <w:rPr>
          <w:w w:val="90"/>
          <w:sz w:val="13"/>
          <w:lang w:val="en-US"/>
        </w:rPr>
        <w:t>párr</w:t>
      </w:r>
      <w:proofErr w:type="spellEnd"/>
      <w:r w:rsidRPr="00537489">
        <w:rPr>
          <w:w w:val="90"/>
          <w:sz w:val="13"/>
          <w:lang w:val="en-US"/>
        </w:rPr>
        <w:t>.</w:t>
      </w:r>
      <w:r w:rsidRPr="00537489">
        <w:rPr>
          <w:spacing w:val="12"/>
          <w:sz w:val="13"/>
          <w:lang w:val="en-US"/>
        </w:rPr>
        <w:t xml:space="preserve"> </w:t>
      </w:r>
      <w:r w:rsidRPr="00537489">
        <w:rPr>
          <w:w w:val="90"/>
          <w:sz w:val="13"/>
          <w:lang w:val="en-US"/>
        </w:rPr>
        <w:t>11</w:t>
      </w:r>
      <w:r>
        <w:rPr>
          <w:w w:val="90"/>
          <w:sz w:val="13"/>
        </w:rPr>
        <w:t>;</w:t>
      </w:r>
      <w:r w:rsidRPr="00537489">
        <w:rPr>
          <w:spacing w:val="11"/>
          <w:sz w:val="13"/>
          <w:lang w:val="en-US"/>
        </w:rPr>
        <w:t xml:space="preserve"> </w:t>
      </w:r>
      <w:r w:rsidRPr="00537489">
        <w:rPr>
          <w:w w:val="90"/>
          <w:sz w:val="13"/>
          <w:lang w:val="en-US"/>
        </w:rPr>
        <w:t>CCPR/C/JOR/CO/5,</w:t>
      </w:r>
      <w:r w:rsidRPr="00537489">
        <w:rPr>
          <w:spacing w:val="11"/>
          <w:sz w:val="13"/>
          <w:lang w:val="en-US"/>
        </w:rPr>
        <w:t xml:space="preserve"> </w:t>
      </w:r>
      <w:proofErr w:type="spellStart"/>
      <w:r w:rsidRPr="00537489">
        <w:rPr>
          <w:w w:val="90"/>
          <w:sz w:val="13"/>
          <w:lang w:val="en-US"/>
        </w:rPr>
        <w:t>párrs</w:t>
      </w:r>
      <w:proofErr w:type="spellEnd"/>
      <w:r w:rsidRPr="00537489">
        <w:rPr>
          <w:w w:val="90"/>
          <w:sz w:val="13"/>
          <w:lang w:val="en-US"/>
        </w:rPr>
        <w:t>.</w:t>
      </w:r>
      <w:r w:rsidRPr="00537489">
        <w:rPr>
          <w:spacing w:val="12"/>
          <w:sz w:val="13"/>
          <w:lang w:val="en-US"/>
        </w:rPr>
        <w:t xml:space="preserve"> </w:t>
      </w:r>
      <w:r w:rsidRPr="00537489">
        <w:rPr>
          <w:w w:val="90"/>
          <w:sz w:val="13"/>
          <w:lang w:val="en-US"/>
        </w:rPr>
        <w:t>8–9</w:t>
      </w:r>
      <w:r>
        <w:rPr>
          <w:w w:val="90"/>
          <w:sz w:val="13"/>
        </w:rPr>
        <w:t>;</w:t>
      </w:r>
      <w:r w:rsidRPr="00537489">
        <w:rPr>
          <w:spacing w:val="11"/>
          <w:sz w:val="13"/>
          <w:lang w:val="en-US"/>
        </w:rPr>
        <w:t xml:space="preserve"> </w:t>
      </w:r>
      <w:r w:rsidRPr="00537489">
        <w:rPr>
          <w:w w:val="90"/>
          <w:sz w:val="13"/>
          <w:lang w:val="en-US"/>
        </w:rPr>
        <w:t>CCPR/C/KGZ/CO/2,</w:t>
      </w:r>
      <w:r w:rsidRPr="00537489">
        <w:rPr>
          <w:spacing w:val="11"/>
          <w:sz w:val="13"/>
          <w:lang w:val="en-US"/>
        </w:rPr>
        <w:t xml:space="preserve"> </w:t>
      </w:r>
      <w:proofErr w:type="spellStart"/>
      <w:r w:rsidRPr="00537489">
        <w:rPr>
          <w:w w:val="90"/>
          <w:sz w:val="13"/>
          <w:lang w:val="en-US"/>
        </w:rPr>
        <w:t>párr</w:t>
      </w:r>
      <w:proofErr w:type="spellEnd"/>
      <w:r w:rsidRPr="00537489">
        <w:rPr>
          <w:w w:val="90"/>
          <w:sz w:val="13"/>
          <w:lang w:val="en-US"/>
        </w:rPr>
        <w:t>.</w:t>
      </w:r>
      <w:r w:rsidRPr="00537489">
        <w:rPr>
          <w:spacing w:val="12"/>
          <w:sz w:val="13"/>
          <w:lang w:val="en-US"/>
        </w:rPr>
        <w:t xml:space="preserve"> </w:t>
      </w:r>
      <w:r w:rsidRPr="00537489">
        <w:rPr>
          <w:w w:val="90"/>
          <w:sz w:val="13"/>
          <w:lang w:val="en-US"/>
        </w:rPr>
        <w:t>8</w:t>
      </w:r>
      <w:r>
        <w:rPr>
          <w:w w:val="90"/>
          <w:sz w:val="13"/>
        </w:rPr>
        <w:t>;</w:t>
      </w:r>
      <w:r w:rsidRPr="00537489">
        <w:rPr>
          <w:spacing w:val="11"/>
          <w:sz w:val="13"/>
          <w:lang w:val="en-US"/>
        </w:rPr>
        <w:t xml:space="preserve"> </w:t>
      </w:r>
      <w:r w:rsidRPr="00537489">
        <w:rPr>
          <w:w w:val="90"/>
          <w:sz w:val="13"/>
          <w:lang w:val="en-US"/>
        </w:rPr>
        <w:t>CCPR/C/LAO/CO/1,</w:t>
      </w:r>
      <w:r w:rsidRPr="00537489">
        <w:rPr>
          <w:spacing w:val="10"/>
          <w:sz w:val="13"/>
          <w:lang w:val="en-US"/>
        </w:rPr>
        <w:t xml:space="preserve"> </w:t>
      </w:r>
      <w:proofErr w:type="spellStart"/>
      <w:r w:rsidRPr="00537489">
        <w:rPr>
          <w:w w:val="90"/>
          <w:sz w:val="13"/>
          <w:lang w:val="en-US"/>
        </w:rPr>
        <w:t>párrs</w:t>
      </w:r>
      <w:proofErr w:type="spellEnd"/>
      <w:r w:rsidRPr="00537489">
        <w:rPr>
          <w:w w:val="90"/>
          <w:sz w:val="13"/>
          <w:lang w:val="en-US"/>
        </w:rPr>
        <w:t>.</w:t>
      </w:r>
      <w:r w:rsidRPr="00537489">
        <w:rPr>
          <w:spacing w:val="13"/>
          <w:sz w:val="13"/>
          <w:lang w:val="en-US"/>
        </w:rPr>
        <w:t xml:space="preserve"> </w:t>
      </w:r>
      <w:r w:rsidRPr="00537489">
        <w:rPr>
          <w:w w:val="90"/>
          <w:sz w:val="13"/>
          <w:lang w:val="en-US"/>
        </w:rPr>
        <w:t>15-16</w:t>
      </w:r>
      <w:r>
        <w:rPr>
          <w:w w:val="90"/>
          <w:sz w:val="13"/>
        </w:rPr>
        <w:t>;</w:t>
      </w:r>
      <w:r w:rsidRPr="00537489">
        <w:rPr>
          <w:spacing w:val="12"/>
          <w:sz w:val="13"/>
          <w:lang w:val="en-US"/>
        </w:rPr>
        <w:t xml:space="preserve"> </w:t>
      </w:r>
      <w:r w:rsidRPr="00537489">
        <w:rPr>
          <w:spacing w:val="-2"/>
          <w:w w:val="90"/>
          <w:sz w:val="13"/>
          <w:lang w:val="en-US"/>
        </w:rPr>
        <w:t>CCPR/</w:t>
      </w:r>
    </w:p>
    <w:p w14:paraId="072429D4" w14:textId="77777777" w:rsidR="0014798C" w:rsidRPr="00B16F84" w:rsidRDefault="004E1F0B">
      <w:pPr>
        <w:spacing w:before="30" w:line="288" w:lineRule="auto"/>
        <w:ind w:left="1366" w:right="1272"/>
        <w:rPr>
          <w:sz w:val="13"/>
          <w:lang w:val="en-US"/>
        </w:rPr>
      </w:pPr>
      <w:r w:rsidRPr="00537489">
        <w:rPr>
          <w:w w:val="95"/>
          <w:sz w:val="13"/>
          <w:lang w:val="en-US"/>
        </w:rPr>
        <w:t>C/LBN/CO/3,</w:t>
      </w:r>
      <w:r w:rsidRPr="00537489">
        <w:rPr>
          <w:spacing w:val="-4"/>
          <w:w w:val="95"/>
          <w:sz w:val="13"/>
          <w:lang w:val="en-US"/>
        </w:rPr>
        <w:t xml:space="preserve"> </w:t>
      </w:r>
      <w:proofErr w:type="spellStart"/>
      <w:r w:rsidRPr="00537489">
        <w:rPr>
          <w:w w:val="95"/>
          <w:sz w:val="13"/>
          <w:lang w:val="en-US"/>
        </w:rPr>
        <w:t>párrs</w:t>
      </w:r>
      <w:proofErr w:type="spellEnd"/>
      <w:r w:rsidRPr="00537489">
        <w:rPr>
          <w:w w:val="95"/>
          <w:sz w:val="13"/>
          <w:lang w:val="en-US"/>
        </w:rPr>
        <w:t>.</w:t>
      </w:r>
      <w:r w:rsidRPr="00537489">
        <w:rPr>
          <w:spacing w:val="-3"/>
          <w:w w:val="95"/>
          <w:sz w:val="13"/>
          <w:lang w:val="en-US"/>
        </w:rPr>
        <w:t xml:space="preserve"> </w:t>
      </w:r>
      <w:r w:rsidRPr="00537489">
        <w:rPr>
          <w:w w:val="95"/>
          <w:sz w:val="13"/>
          <w:lang w:val="en-US"/>
        </w:rPr>
        <w:t>11-12</w:t>
      </w:r>
      <w:r>
        <w:rPr>
          <w:w w:val="95"/>
          <w:sz w:val="13"/>
        </w:rPr>
        <w:t>;</w:t>
      </w:r>
      <w:r w:rsidRPr="00537489">
        <w:rPr>
          <w:spacing w:val="-3"/>
          <w:w w:val="95"/>
          <w:sz w:val="13"/>
          <w:lang w:val="en-US"/>
        </w:rPr>
        <w:t xml:space="preserve"> </w:t>
      </w:r>
      <w:r w:rsidRPr="00537489">
        <w:rPr>
          <w:w w:val="95"/>
          <w:sz w:val="13"/>
          <w:lang w:val="en-US"/>
        </w:rPr>
        <w:t>CCPR/C/MNG/CO/6,</w:t>
      </w:r>
      <w:r w:rsidRPr="00537489">
        <w:rPr>
          <w:spacing w:val="-4"/>
          <w:w w:val="95"/>
          <w:sz w:val="13"/>
          <w:lang w:val="en-US"/>
        </w:rPr>
        <w:t xml:space="preserve"> </w:t>
      </w:r>
      <w:proofErr w:type="spellStart"/>
      <w:r w:rsidRPr="00537489">
        <w:rPr>
          <w:w w:val="95"/>
          <w:sz w:val="13"/>
          <w:lang w:val="en-US"/>
        </w:rPr>
        <w:t>párrs</w:t>
      </w:r>
      <w:proofErr w:type="spellEnd"/>
      <w:r w:rsidRPr="00537489">
        <w:rPr>
          <w:w w:val="95"/>
          <w:sz w:val="13"/>
          <w:lang w:val="en-US"/>
        </w:rPr>
        <w:t>.</w:t>
      </w:r>
      <w:r w:rsidRPr="00537489">
        <w:rPr>
          <w:spacing w:val="-3"/>
          <w:w w:val="95"/>
          <w:sz w:val="13"/>
          <w:lang w:val="en-US"/>
        </w:rPr>
        <w:t xml:space="preserve"> </w:t>
      </w:r>
      <w:r w:rsidRPr="00537489">
        <w:rPr>
          <w:w w:val="95"/>
          <w:sz w:val="13"/>
          <w:lang w:val="en-US"/>
        </w:rPr>
        <w:t>9–10</w:t>
      </w:r>
      <w:r>
        <w:rPr>
          <w:w w:val="95"/>
          <w:sz w:val="13"/>
        </w:rPr>
        <w:t>;</w:t>
      </w:r>
      <w:r w:rsidRPr="00537489">
        <w:rPr>
          <w:spacing w:val="-4"/>
          <w:w w:val="95"/>
          <w:sz w:val="13"/>
          <w:lang w:val="en-US"/>
        </w:rPr>
        <w:t xml:space="preserve"> </w:t>
      </w:r>
      <w:r w:rsidRPr="00537489">
        <w:rPr>
          <w:w w:val="95"/>
          <w:sz w:val="13"/>
          <w:lang w:val="en-US"/>
        </w:rPr>
        <w:t>CCPR/C/PAK/CO/1,</w:t>
      </w:r>
      <w:r w:rsidRPr="00537489">
        <w:rPr>
          <w:spacing w:val="-4"/>
          <w:w w:val="95"/>
          <w:sz w:val="13"/>
          <w:lang w:val="en-US"/>
        </w:rPr>
        <w:t xml:space="preserve"> </w:t>
      </w:r>
      <w:proofErr w:type="spellStart"/>
      <w:r w:rsidRPr="00537489">
        <w:rPr>
          <w:w w:val="95"/>
          <w:sz w:val="13"/>
          <w:lang w:val="en-US"/>
        </w:rPr>
        <w:t>párr</w:t>
      </w:r>
      <w:proofErr w:type="spellEnd"/>
      <w:r w:rsidRPr="00537489">
        <w:rPr>
          <w:w w:val="95"/>
          <w:sz w:val="13"/>
          <w:lang w:val="en-US"/>
        </w:rPr>
        <w:t>.</w:t>
      </w:r>
      <w:r w:rsidRPr="00537489">
        <w:rPr>
          <w:spacing w:val="-3"/>
          <w:w w:val="95"/>
          <w:sz w:val="13"/>
          <w:lang w:val="en-US"/>
        </w:rPr>
        <w:t xml:space="preserve"> </w:t>
      </w:r>
      <w:r w:rsidRPr="00537489">
        <w:rPr>
          <w:w w:val="90"/>
          <w:sz w:val="13"/>
          <w:lang w:val="en-US"/>
        </w:rPr>
        <w:t>12</w:t>
      </w:r>
      <w:r>
        <w:rPr>
          <w:w w:val="90"/>
          <w:sz w:val="13"/>
        </w:rPr>
        <w:t>;</w:t>
      </w:r>
      <w:r w:rsidRPr="00537489">
        <w:rPr>
          <w:spacing w:val="-3"/>
          <w:w w:val="90"/>
          <w:sz w:val="13"/>
          <w:lang w:val="en-US"/>
        </w:rPr>
        <w:t xml:space="preserve"> </w:t>
      </w:r>
      <w:r w:rsidRPr="00537489">
        <w:rPr>
          <w:w w:val="95"/>
          <w:sz w:val="13"/>
          <w:lang w:val="en-US"/>
        </w:rPr>
        <w:t>CCPR/C/PHL/CO/4,</w:t>
      </w:r>
      <w:r w:rsidRPr="00537489">
        <w:rPr>
          <w:spacing w:val="-4"/>
          <w:w w:val="95"/>
          <w:sz w:val="13"/>
          <w:lang w:val="en-US"/>
        </w:rPr>
        <w:t xml:space="preserve"> </w:t>
      </w:r>
      <w:proofErr w:type="spellStart"/>
      <w:r w:rsidRPr="00537489">
        <w:rPr>
          <w:w w:val="95"/>
          <w:sz w:val="13"/>
          <w:lang w:val="en-US"/>
        </w:rPr>
        <w:t>párr</w:t>
      </w:r>
      <w:proofErr w:type="spellEnd"/>
      <w:r w:rsidRPr="00537489">
        <w:rPr>
          <w:w w:val="95"/>
          <w:sz w:val="13"/>
          <w:lang w:val="en-US"/>
        </w:rPr>
        <w:t>.</w:t>
      </w:r>
      <w:r w:rsidRPr="00537489">
        <w:rPr>
          <w:spacing w:val="-3"/>
          <w:w w:val="95"/>
          <w:sz w:val="13"/>
          <w:lang w:val="en-US"/>
        </w:rPr>
        <w:t xml:space="preserve"> </w:t>
      </w:r>
      <w:r w:rsidRPr="00537489">
        <w:rPr>
          <w:w w:val="90"/>
          <w:sz w:val="13"/>
          <w:lang w:val="en-US"/>
        </w:rPr>
        <w:t>10</w:t>
      </w:r>
      <w:r>
        <w:rPr>
          <w:w w:val="90"/>
          <w:sz w:val="13"/>
        </w:rPr>
        <w:t>;</w:t>
      </w:r>
      <w:r w:rsidRPr="00537489">
        <w:rPr>
          <w:spacing w:val="-3"/>
          <w:w w:val="90"/>
          <w:sz w:val="13"/>
          <w:lang w:val="en-US"/>
        </w:rPr>
        <w:t xml:space="preserve"> </w:t>
      </w:r>
      <w:r w:rsidRPr="00537489">
        <w:rPr>
          <w:w w:val="95"/>
          <w:sz w:val="13"/>
          <w:lang w:val="en-US"/>
        </w:rPr>
        <w:t>CCPR/C/KOR/CO/4,</w:t>
      </w:r>
      <w:r w:rsidRPr="00537489">
        <w:rPr>
          <w:spacing w:val="-4"/>
          <w:w w:val="95"/>
          <w:sz w:val="13"/>
          <w:lang w:val="en-US"/>
        </w:rPr>
        <w:t xml:space="preserve"> </w:t>
      </w:r>
      <w:proofErr w:type="spellStart"/>
      <w:r w:rsidRPr="00537489">
        <w:rPr>
          <w:w w:val="95"/>
          <w:sz w:val="13"/>
          <w:lang w:val="en-US"/>
        </w:rPr>
        <w:t>párrs</w:t>
      </w:r>
      <w:proofErr w:type="spellEnd"/>
      <w:r w:rsidRPr="00537489">
        <w:rPr>
          <w:w w:val="95"/>
          <w:sz w:val="13"/>
          <w:lang w:val="en-US"/>
        </w:rPr>
        <w:t>.</w:t>
      </w:r>
      <w:r w:rsidRPr="00537489">
        <w:rPr>
          <w:spacing w:val="-3"/>
          <w:w w:val="95"/>
          <w:sz w:val="13"/>
          <w:lang w:val="en-US"/>
        </w:rPr>
        <w:t xml:space="preserve"> </w:t>
      </w:r>
      <w:r w:rsidRPr="00537489">
        <w:rPr>
          <w:w w:val="95"/>
          <w:sz w:val="13"/>
          <w:lang w:val="en-US"/>
        </w:rPr>
        <w:t>12-13</w:t>
      </w:r>
      <w:r>
        <w:rPr>
          <w:w w:val="95"/>
          <w:sz w:val="13"/>
        </w:rPr>
        <w:t>;</w:t>
      </w:r>
      <w:r w:rsidRPr="00537489">
        <w:rPr>
          <w:spacing w:val="40"/>
          <w:sz w:val="13"/>
          <w:lang w:val="en-US"/>
        </w:rPr>
        <w:t xml:space="preserve"> </w:t>
      </w:r>
      <w:r w:rsidRPr="00537489">
        <w:rPr>
          <w:w w:val="95"/>
          <w:sz w:val="13"/>
          <w:lang w:val="en-US"/>
        </w:rPr>
        <w:t xml:space="preserve">CCPR/C/TJK/CO/3, </w:t>
      </w:r>
      <w:proofErr w:type="spellStart"/>
      <w:r w:rsidRPr="00537489">
        <w:rPr>
          <w:w w:val="95"/>
          <w:sz w:val="13"/>
          <w:lang w:val="en-US"/>
        </w:rPr>
        <w:t>párrs</w:t>
      </w:r>
      <w:proofErr w:type="spellEnd"/>
      <w:r w:rsidRPr="00537489">
        <w:rPr>
          <w:w w:val="95"/>
          <w:sz w:val="13"/>
          <w:lang w:val="en-US"/>
        </w:rPr>
        <w:t>. 13–14</w:t>
      </w:r>
      <w:r>
        <w:rPr>
          <w:w w:val="95"/>
          <w:sz w:val="13"/>
        </w:rPr>
        <w:t>;</w:t>
      </w:r>
      <w:r w:rsidRPr="00537489">
        <w:rPr>
          <w:w w:val="95"/>
          <w:sz w:val="13"/>
          <w:lang w:val="en-US"/>
        </w:rPr>
        <w:t xml:space="preserve"> CCPR/C/TUR/CO/1, </w:t>
      </w:r>
      <w:proofErr w:type="spellStart"/>
      <w:r w:rsidRPr="00537489">
        <w:rPr>
          <w:w w:val="95"/>
          <w:sz w:val="13"/>
          <w:lang w:val="en-US"/>
        </w:rPr>
        <w:t>párr</w:t>
      </w:r>
      <w:proofErr w:type="spellEnd"/>
      <w:r w:rsidRPr="00537489">
        <w:rPr>
          <w:w w:val="95"/>
          <w:sz w:val="13"/>
          <w:lang w:val="en-US"/>
        </w:rPr>
        <w:t xml:space="preserve">. </w:t>
      </w:r>
      <w:r w:rsidRPr="00537489">
        <w:rPr>
          <w:w w:val="90"/>
          <w:sz w:val="13"/>
          <w:lang w:val="en-US"/>
        </w:rPr>
        <w:t>8</w:t>
      </w:r>
      <w:r>
        <w:rPr>
          <w:w w:val="90"/>
          <w:sz w:val="13"/>
        </w:rPr>
        <w:t>;</w:t>
      </w:r>
      <w:r w:rsidRPr="00537489">
        <w:rPr>
          <w:w w:val="90"/>
          <w:sz w:val="13"/>
          <w:lang w:val="en-US"/>
        </w:rPr>
        <w:t xml:space="preserve"> </w:t>
      </w:r>
      <w:r w:rsidRPr="00537489">
        <w:rPr>
          <w:w w:val="95"/>
          <w:sz w:val="13"/>
          <w:lang w:val="en-US"/>
        </w:rPr>
        <w:t xml:space="preserve">CCPR/C/TKM/CO/2, </w:t>
      </w:r>
      <w:proofErr w:type="spellStart"/>
      <w:r w:rsidRPr="00537489">
        <w:rPr>
          <w:w w:val="95"/>
          <w:sz w:val="13"/>
          <w:lang w:val="en-US"/>
        </w:rPr>
        <w:t>párrs</w:t>
      </w:r>
      <w:proofErr w:type="spellEnd"/>
      <w:r w:rsidRPr="00537489">
        <w:rPr>
          <w:w w:val="95"/>
          <w:sz w:val="13"/>
          <w:lang w:val="en-US"/>
        </w:rPr>
        <w:t>. 6–7</w:t>
      </w:r>
      <w:r>
        <w:rPr>
          <w:w w:val="95"/>
          <w:sz w:val="13"/>
        </w:rPr>
        <w:t>;</w:t>
      </w:r>
      <w:r w:rsidRPr="00537489">
        <w:rPr>
          <w:w w:val="95"/>
          <w:sz w:val="13"/>
          <w:lang w:val="en-US"/>
        </w:rPr>
        <w:t xml:space="preserve"> CCPR/C/UZB/CO/5, </w:t>
      </w:r>
      <w:proofErr w:type="spellStart"/>
      <w:r w:rsidRPr="00537489">
        <w:rPr>
          <w:w w:val="95"/>
          <w:sz w:val="13"/>
          <w:lang w:val="en-US"/>
        </w:rPr>
        <w:t>párrs</w:t>
      </w:r>
      <w:proofErr w:type="spellEnd"/>
      <w:r w:rsidRPr="00537489">
        <w:rPr>
          <w:w w:val="95"/>
          <w:sz w:val="13"/>
          <w:lang w:val="en-US"/>
        </w:rPr>
        <w:t xml:space="preserve">. </w:t>
      </w:r>
      <w:r w:rsidRPr="00B16F84">
        <w:rPr>
          <w:w w:val="95"/>
          <w:sz w:val="13"/>
          <w:lang w:val="en-US"/>
        </w:rPr>
        <w:t>8–9</w:t>
      </w:r>
      <w:r>
        <w:rPr>
          <w:w w:val="95"/>
          <w:sz w:val="13"/>
        </w:rPr>
        <w:t>;</w:t>
      </w:r>
      <w:r w:rsidRPr="00B16F84">
        <w:rPr>
          <w:w w:val="95"/>
          <w:sz w:val="13"/>
          <w:lang w:val="en-US"/>
        </w:rPr>
        <w:t xml:space="preserve"> y CCPR/C/VNM/CO/</w:t>
      </w:r>
    </w:p>
    <w:p w14:paraId="116567AF" w14:textId="77777777" w:rsidR="0014798C" w:rsidRPr="00B16F84" w:rsidRDefault="004E1F0B">
      <w:pPr>
        <w:spacing w:before="1"/>
        <w:ind w:left="1366"/>
        <w:rPr>
          <w:sz w:val="13"/>
          <w:lang w:val="en-US"/>
        </w:rPr>
      </w:pPr>
      <w:r w:rsidRPr="00B16F84">
        <w:rPr>
          <w:sz w:val="13"/>
          <w:lang w:val="en-US"/>
        </w:rPr>
        <w:t>3,</w:t>
      </w:r>
      <w:r w:rsidRPr="00B16F84">
        <w:rPr>
          <w:spacing w:val="-6"/>
          <w:sz w:val="13"/>
          <w:lang w:val="en-US"/>
        </w:rPr>
        <w:t xml:space="preserve"> </w:t>
      </w:r>
      <w:proofErr w:type="spellStart"/>
      <w:r w:rsidRPr="00B16F84">
        <w:rPr>
          <w:sz w:val="13"/>
          <w:lang w:val="en-US"/>
        </w:rPr>
        <w:t>párr</w:t>
      </w:r>
      <w:proofErr w:type="spellEnd"/>
      <w:r w:rsidRPr="00B16F84">
        <w:rPr>
          <w:sz w:val="13"/>
          <w:lang w:val="en-US"/>
        </w:rPr>
        <w:t>.</w:t>
      </w:r>
      <w:r w:rsidRPr="00B16F84">
        <w:rPr>
          <w:spacing w:val="-4"/>
          <w:sz w:val="13"/>
          <w:lang w:val="en-US"/>
        </w:rPr>
        <w:t xml:space="preserve"> </w:t>
      </w:r>
      <w:r w:rsidRPr="00B16F84">
        <w:rPr>
          <w:spacing w:val="-5"/>
          <w:sz w:val="13"/>
          <w:lang w:val="en-US"/>
        </w:rPr>
        <w:t>14.</w:t>
      </w:r>
    </w:p>
    <w:p w14:paraId="7A476ADB" w14:textId="77777777" w:rsidR="0014798C" w:rsidRPr="00537489" w:rsidRDefault="004E1F0B">
      <w:pPr>
        <w:spacing w:before="87" w:line="288" w:lineRule="auto"/>
        <w:ind w:left="1371" w:right="2765" w:hanging="267"/>
        <w:rPr>
          <w:sz w:val="13"/>
          <w:lang w:val="en-US"/>
        </w:rPr>
      </w:pPr>
      <w:r w:rsidRPr="00537489">
        <w:rPr>
          <w:w w:val="95"/>
          <w:sz w:val="13"/>
          <w:vertAlign w:val="superscript"/>
          <w:lang w:val="en-US"/>
        </w:rPr>
        <w:t>43</w:t>
      </w:r>
      <w:r w:rsidRPr="00537489">
        <w:rPr>
          <w:spacing w:val="80"/>
          <w:w w:val="150"/>
          <w:sz w:val="13"/>
          <w:lang w:val="en-US"/>
        </w:rPr>
        <w:t xml:space="preserve"> </w:t>
      </w:r>
      <w:r w:rsidRPr="00537489">
        <w:rPr>
          <w:w w:val="95"/>
          <w:sz w:val="13"/>
          <w:lang w:val="en-US"/>
        </w:rPr>
        <w:t>CCPR/C/BLR/CO/5,</w:t>
      </w:r>
      <w:r w:rsidRPr="00537489">
        <w:rPr>
          <w:spacing w:val="-4"/>
          <w:w w:val="95"/>
          <w:sz w:val="13"/>
          <w:lang w:val="en-US"/>
        </w:rPr>
        <w:t xml:space="preserve"> </w:t>
      </w:r>
      <w:proofErr w:type="spellStart"/>
      <w:r w:rsidRPr="00537489">
        <w:rPr>
          <w:w w:val="95"/>
          <w:sz w:val="13"/>
          <w:lang w:val="en-US"/>
        </w:rPr>
        <w:t>párrs</w:t>
      </w:r>
      <w:proofErr w:type="spellEnd"/>
      <w:r w:rsidRPr="00537489">
        <w:rPr>
          <w:w w:val="95"/>
          <w:sz w:val="13"/>
          <w:lang w:val="en-US"/>
        </w:rPr>
        <w:t>.</w:t>
      </w:r>
      <w:r w:rsidRPr="00537489">
        <w:rPr>
          <w:spacing w:val="-3"/>
          <w:w w:val="95"/>
          <w:sz w:val="13"/>
          <w:lang w:val="en-US"/>
        </w:rPr>
        <w:t xml:space="preserve"> </w:t>
      </w:r>
      <w:r w:rsidRPr="00537489">
        <w:rPr>
          <w:w w:val="95"/>
          <w:sz w:val="13"/>
          <w:lang w:val="en-US"/>
        </w:rPr>
        <w:t>15-16</w:t>
      </w:r>
      <w:r>
        <w:rPr>
          <w:w w:val="95"/>
          <w:sz w:val="13"/>
        </w:rPr>
        <w:t>;</w:t>
      </w:r>
      <w:r w:rsidRPr="00537489">
        <w:rPr>
          <w:spacing w:val="-3"/>
          <w:w w:val="95"/>
          <w:sz w:val="13"/>
          <w:lang w:val="en-US"/>
        </w:rPr>
        <w:t xml:space="preserve"> </w:t>
      </w:r>
      <w:r w:rsidRPr="00537489">
        <w:rPr>
          <w:w w:val="95"/>
          <w:sz w:val="13"/>
          <w:lang w:val="en-US"/>
        </w:rPr>
        <w:t>CCPR/C/CZE/CO/4,</w:t>
      </w:r>
      <w:r w:rsidRPr="00537489">
        <w:rPr>
          <w:spacing w:val="-4"/>
          <w:w w:val="95"/>
          <w:sz w:val="13"/>
          <w:lang w:val="en-US"/>
        </w:rPr>
        <w:t xml:space="preserve"> </w:t>
      </w:r>
      <w:proofErr w:type="spellStart"/>
      <w:r w:rsidRPr="00537489">
        <w:rPr>
          <w:w w:val="95"/>
          <w:sz w:val="13"/>
          <w:lang w:val="en-US"/>
        </w:rPr>
        <w:t>párr</w:t>
      </w:r>
      <w:proofErr w:type="spellEnd"/>
      <w:r w:rsidRPr="00537489">
        <w:rPr>
          <w:w w:val="95"/>
          <w:sz w:val="13"/>
          <w:lang w:val="en-US"/>
        </w:rPr>
        <w:t>.</w:t>
      </w:r>
      <w:r w:rsidRPr="00537489">
        <w:rPr>
          <w:spacing w:val="-3"/>
          <w:w w:val="95"/>
          <w:sz w:val="13"/>
          <w:lang w:val="en-US"/>
        </w:rPr>
        <w:t xml:space="preserve"> </w:t>
      </w:r>
      <w:r w:rsidRPr="00537489">
        <w:rPr>
          <w:w w:val="95"/>
          <w:sz w:val="13"/>
          <w:lang w:val="en-US"/>
        </w:rPr>
        <w:t>10</w:t>
      </w:r>
      <w:r>
        <w:rPr>
          <w:w w:val="95"/>
          <w:sz w:val="13"/>
        </w:rPr>
        <w:t>;</w:t>
      </w:r>
      <w:r w:rsidRPr="00537489">
        <w:rPr>
          <w:spacing w:val="-4"/>
          <w:w w:val="95"/>
          <w:sz w:val="13"/>
          <w:lang w:val="en-US"/>
        </w:rPr>
        <w:t xml:space="preserve"> </w:t>
      </w:r>
      <w:r w:rsidRPr="00537489">
        <w:rPr>
          <w:w w:val="95"/>
          <w:sz w:val="13"/>
          <w:lang w:val="en-US"/>
        </w:rPr>
        <w:t>CCPR/C/ISL/CO/5,</w:t>
      </w:r>
      <w:r w:rsidRPr="00537489">
        <w:rPr>
          <w:spacing w:val="-4"/>
          <w:w w:val="95"/>
          <w:sz w:val="13"/>
          <w:lang w:val="en-US"/>
        </w:rPr>
        <w:t xml:space="preserve"> </w:t>
      </w:r>
      <w:proofErr w:type="spellStart"/>
      <w:r w:rsidRPr="00537489">
        <w:rPr>
          <w:w w:val="95"/>
          <w:sz w:val="13"/>
          <w:lang w:val="en-US"/>
        </w:rPr>
        <w:t>párr</w:t>
      </w:r>
      <w:proofErr w:type="spellEnd"/>
      <w:r w:rsidRPr="00537489">
        <w:rPr>
          <w:w w:val="95"/>
          <w:sz w:val="13"/>
          <w:lang w:val="en-US"/>
        </w:rPr>
        <w:t>.</w:t>
      </w:r>
      <w:r w:rsidRPr="00537489">
        <w:rPr>
          <w:spacing w:val="-3"/>
          <w:w w:val="95"/>
          <w:sz w:val="13"/>
          <w:lang w:val="en-US"/>
        </w:rPr>
        <w:t xml:space="preserve"> </w:t>
      </w:r>
      <w:r w:rsidRPr="00537489">
        <w:rPr>
          <w:w w:val="90"/>
          <w:sz w:val="13"/>
          <w:lang w:val="en-US"/>
        </w:rPr>
        <w:t>6</w:t>
      </w:r>
      <w:r>
        <w:rPr>
          <w:w w:val="90"/>
          <w:sz w:val="13"/>
        </w:rPr>
        <w:t>;</w:t>
      </w:r>
      <w:r w:rsidRPr="00537489">
        <w:rPr>
          <w:spacing w:val="-2"/>
          <w:w w:val="90"/>
          <w:sz w:val="13"/>
          <w:lang w:val="en-US"/>
        </w:rPr>
        <w:t xml:space="preserve"> </w:t>
      </w:r>
      <w:r w:rsidRPr="00537489">
        <w:rPr>
          <w:w w:val="95"/>
          <w:sz w:val="13"/>
          <w:lang w:val="en-US"/>
        </w:rPr>
        <w:t>CCPR/C/ITA/CO/6,</w:t>
      </w:r>
      <w:r w:rsidRPr="00537489">
        <w:rPr>
          <w:spacing w:val="-4"/>
          <w:w w:val="95"/>
          <w:sz w:val="13"/>
          <w:lang w:val="en-US"/>
        </w:rPr>
        <w:t xml:space="preserve"> </w:t>
      </w:r>
      <w:proofErr w:type="spellStart"/>
      <w:r w:rsidRPr="00537489">
        <w:rPr>
          <w:w w:val="95"/>
          <w:sz w:val="13"/>
          <w:lang w:val="en-US"/>
        </w:rPr>
        <w:t>párrs</w:t>
      </w:r>
      <w:proofErr w:type="spellEnd"/>
      <w:r w:rsidRPr="00537489">
        <w:rPr>
          <w:w w:val="95"/>
          <w:sz w:val="13"/>
          <w:lang w:val="en-US"/>
        </w:rPr>
        <w:t>.</w:t>
      </w:r>
      <w:r w:rsidRPr="00537489">
        <w:rPr>
          <w:spacing w:val="-3"/>
          <w:w w:val="95"/>
          <w:sz w:val="13"/>
          <w:lang w:val="en-US"/>
        </w:rPr>
        <w:t xml:space="preserve"> </w:t>
      </w:r>
      <w:r w:rsidRPr="00537489">
        <w:rPr>
          <w:w w:val="95"/>
          <w:sz w:val="13"/>
          <w:lang w:val="en-US"/>
        </w:rPr>
        <w:t>8–9</w:t>
      </w:r>
      <w:r>
        <w:rPr>
          <w:w w:val="95"/>
          <w:sz w:val="13"/>
        </w:rPr>
        <w:t>;</w:t>
      </w:r>
      <w:r w:rsidRPr="00537489">
        <w:rPr>
          <w:spacing w:val="40"/>
          <w:sz w:val="13"/>
          <w:lang w:val="en-US"/>
        </w:rPr>
        <w:t xml:space="preserve"> </w:t>
      </w:r>
      <w:r w:rsidRPr="00537489">
        <w:rPr>
          <w:sz w:val="13"/>
          <w:lang w:val="en-US"/>
        </w:rPr>
        <w:t>CCPR/C/SMR/CO/3,</w:t>
      </w:r>
      <w:r w:rsidRPr="00537489">
        <w:rPr>
          <w:spacing w:val="-8"/>
          <w:sz w:val="13"/>
          <w:lang w:val="en-US"/>
        </w:rPr>
        <w:t xml:space="preserve"> </w:t>
      </w:r>
      <w:proofErr w:type="spellStart"/>
      <w:r w:rsidRPr="00537489">
        <w:rPr>
          <w:sz w:val="13"/>
          <w:lang w:val="en-US"/>
        </w:rPr>
        <w:t>párrs</w:t>
      </w:r>
      <w:proofErr w:type="spellEnd"/>
      <w:r w:rsidRPr="00537489">
        <w:rPr>
          <w:sz w:val="13"/>
          <w:lang w:val="en-US"/>
        </w:rPr>
        <w:t>.</w:t>
      </w:r>
      <w:r w:rsidRPr="00537489">
        <w:rPr>
          <w:spacing w:val="-7"/>
          <w:sz w:val="13"/>
          <w:lang w:val="en-US"/>
        </w:rPr>
        <w:t xml:space="preserve"> </w:t>
      </w:r>
      <w:r w:rsidRPr="00537489">
        <w:rPr>
          <w:sz w:val="13"/>
          <w:lang w:val="en-US"/>
        </w:rPr>
        <w:t>8–9</w:t>
      </w:r>
      <w:r>
        <w:rPr>
          <w:sz w:val="13"/>
        </w:rPr>
        <w:t>;</w:t>
      </w:r>
      <w:r w:rsidRPr="00537489">
        <w:rPr>
          <w:spacing w:val="-8"/>
          <w:sz w:val="13"/>
          <w:lang w:val="en-US"/>
        </w:rPr>
        <w:t xml:space="preserve"> </w:t>
      </w:r>
      <w:r w:rsidRPr="00537489">
        <w:rPr>
          <w:sz w:val="13"/>
          <w:lang w:val="en-US"/>
        </w:rPr>
        <w:t>y</w:t>
      </w:r>
      <w:r w:rsidRPr="00537489">
        <w:rPr>
          <w:spacing w:val="-8"/>
          <w:sz w:val="13"/>
          <w:lang w:val="en-US"/>
        </w:rPr>
        <w:t xml:space="preserve"> </w:t>
      </w:r>
      <w:r w:rsidRPr="00537489">
        <w:rPr>
          <w:sz w:val="13"/>
          <w:lang w:val="en-US"/>
        </w:rPr>
        <w:t>CCPR/C/CHE/CO/4,</w:t>
      </w:r>
      <w:r w:rsidRPr="00537489">
        <w:rPr>
          <w:spacing w:val="-8"/>
          <w:sz w:val="13"/>
          <w:lang w:val="en-US"/>
        </w:rPr>
        <w:t xml:space="preserve"> </w:t>
      </w:r>
      <w:proofErr w:type="spellStart"/>
      <w:r w:rsidRPr="00537489">
        <w:rPr>
          <w:sz w:val="13"/>
          <w:lang w:val="en-US"/>
        </w:rPr>
        <w:t>párrs</w:t>
      </w:r>
      <w:proofErr w:type="spellEnd"/>
      <w:r w:rsidRPr="00537489">
        <w:rPr>
          <w:sz w:val="13"/>
          <w:lang w:val="en-US"/>
        </w:rPr>
        <w:t>.</w:t>
      </w:r>
      <w:r w:rsidRPr="00537489">
        <w:rPr>
          <w:spacing w:val="-7"/>
          <w:sz w:val="13"/>
          <w:lang w:val="en-US"/>
        </w:rPr>
        <w:t xml:space="preserve"> </w:t>
      </w:r>
      <w:r w:rsidRPr="00537489">
        <w:rPr>
          <w:sz w:val="13"/>
          <w:lang w:val="en-US"/>
        </w:rPr>
        <w:t>16–17.</w:t>
      </w:r>
    </w:p>
    <w:p w14:paraId="20DB3BF0" w14:textId="77777777" w:rsidR="0014798C" w:rsidRDefault="004E1F0B">
      <w:pPr>
        <w:spacing w:before="57"/>
        <w:ind w:left="1105"/>
        <w:rPr>
          <w:sz w:val="13"/>
        </w:rPr>
      </w:pPr>
      <w:proofErr w:type="gramStart"/>
      <w:r w:rsidRPr="00537489">
        <w:rPr>
          <w:sz w:val="13"/>
          <w:vertAlign w:val="superscript"/>
          <w:lang w:val="en-US"/>
        </w:rPr>
        <w:t>44</w:t>
      </w:r>
      <w:r w:rsidRPr="00537489">
        <w:rPr>
          <w:spacing w:val="41"/>
          <w:sz w:val="13"/>
          <w:lang w:val="en-US"/>
        </w:rPr>
        <w:t xml:space="preserve">  </w:t>
      </w:r>
      <w:r w:rsidRPr="00537489">
        <w:rPr>
          <w:sz w:val="13"/>
          <w:lang w:val="en-US"/>
        </w:rPr>
        <w:t>CCPR</w:t>
      </w:r>
      <w:proofErr w:type="gramEnd"/>
      <w:r w:rsidRPr="00537489">
        <w:rPr>
          <w:sz w:val="13"/>
          <w:lang w:val="en-US"/>
        </w:rPr>
        <w:t>/C/AUS/CO/6,</w:t>
      </w:r>
      <w:r w:rsidRPr="00537489">
        <w:rPr>
          <w:spacing w:val="-3"/>
          <w:sz w:val="13"/>
          <w:lang w:val="en-US"/>
        </w:rPr>
        <w:t xml:space="preserve"> </w:t>
      </w:r>
      <w:proofErr w:type="spellStart"/>
      <w:r w:rsidRPr="00537489">
        <w:rPr>
          <w:sz w:val="13"/>
          <w:lang w:val="en-US"/>
        </w:rPr>
        <w:t>párrs</w:t>
      </w:r>
      <w:proofErr w:type="spellEnd"/>
      <w:r w:rsidRPr="00537489">
        <w:rPr>
          <w:sz w:val="13"/>
          <w:lang w:val="en-US"/>
        </w:rPr>
        <w:t>.</w:t>
      </w:r>
      <w:r w:rsidRPr="00537489">
        <w:rPr>
          <w:spacing w:val="-3"/>
          <w:sz w:val="13"/>
          <w:lang w:val="en-US"/>
        </w:rPr>
        <w:t xml:space="preserve"> </w:t>
      </w:r>
      <w:r>
        <w:rPr>
          <w:spacing w:val="-2"/>
          <w:sz w:val="13"/>
        </w:rPr>
        <w:t>17–18.</w:t>
      </w:r>
    </w:p>
    <w:p w14:paraId="15971AB7" w14:textId="77777777" w:rsidR="0014798C" w:rsidRDefault="004E1F0B">
      <w:pPr>
        <w:spacing w:before="106"/>
        <w:ind w:left="1105"/>
        <w:rPr>
          <w:sz w:val="12"/>
        </w:rPr>
      </w:pPr>
      <w:r>
        <w:rPr>
          <w:sz w:val="12"/>
        </w:rPr>
        <w:t>45</w:t>
      </w:r>
      <w:r>
        <w:rPr>
          <w:spacing w:val="-7"/>
          <w:sz w:val="12"/>
        </w:rPr>
        <w:t xml:space="preserve"> </w:t>
      </w:r>
      <w:r>
        <w:rPr>
          <w:sz w:val="12"/>
        </w:rPr>
        <w:t>Comité</w:t>
      </w:r>
      <w:r>
        <w:rPr>
          <w:spacing w:val="-4"/>
          <w:sz w:val="12"/>
        </w:rPr>
        <w:t xml:space="preserve"> </w:t>
      </w:r>
      <w:r>
        <w:rPr>
          <w:sz w:val="12"/>
        </w:rPr>
        <w:t>de</w:t>
      </w:r>
      <w:r>
        <w:rPr>
          <w:spacing w:val="-4"/>
          <w:sz w:val="12"/>
        </w:rPr>
        <w:t xml:space="preserve"> </w:t>
      </w:r>
      <w:r>
        <w:rPr>
          <w:sz w:val="12"/>
        </w:rPr>
        <w:t>Derechos</w:t>
      </w:r>
      <w:r>
        <w:rPr>
          <w:spacing w:val="-4"/>
          <w:sz w:val="12"/>
        </w:rPr>
        <w:t xml:space="preserve"> </w:t>
      </w:r>
      <w:r>
        <w:rPr>
          <w:sz w:val="12"/>
        </w:rPr>
        <w:t>Económicos,</w:t>
      </w:r>
      <w:r>
        <w:rPr>
          <w:spacing w:val="-4"/>
          <w:sz w:val="12"/>
        </w:rPr>
        <w:t xml:space="preserve"> </w:t>
      </w:r>
      <w:r>
        <w:rPr>
          <w:sz w:val="12"/>
        </w:rPr>
        <w:t>Sociales</w:t>
      </w:r>
      <w:r>
        <w:rPr>
          <w:spacing w:val="-5"/>
          <w:sz w:val="12"/>
        </w:rPr>
        <w:t xml:space="preserve"> </w:t>
      </w:r>
      <w:r>
        <w:rPr>
          <w:sz w:val="12"/>
        </w:rPr>
        <w:t>y</w:t>
      </w:r>
      <w:r>
        <w:rPr>
          <w:spacing w:val="-4"/>
          <w:sz w:val="12"/>
        </w:rPr>
        <w:t xml:space="preserve"> </w:t>
      </w:r>
      <w:r>
        <w:rPr>
          <w:sz w:val="12"/>
        </w:rPr>
        <w:t>Culturales,</w:t>
      </w:r>
      <w:r>
        <w:rPr>
          <w:spacing w:val="-4"/>
          <w:sz w:val="12"/>
        </w:rPr>
        <w:t xml:space="preserve"> </w:t>
      </w:r>
      <w:r>
        <w:rPr>
          <w:sz w:val="12"/>
        </w:rPr>
        <w:t>observación</w:t>
      </w:r>
      <w:r>
        <w:rPr>
          <w:spacing w:val="-4"/>
          <w:sz w:val="12"/>
        </w:rPr>
        <w:t xml:space="preserve"> </w:t>
      </w:r>
      <w:r>
        <w:rPr>
          <w:sz w:val="12"/>
        </w:rPr>
        <w:t>general</w:t>
      </w:r>
      <w:r>
        <w:rPr>
          <w:spacing w:val="-4"/>
          <w:sz w:val="12"/>
        </w:rPr>
        <w:t xml:space="preserve"> </w:t>
      </w:r>
      <w:r>
        <w:rPr>
          <w:sz w:val="12"/>
        </w:rPr>
        <w:t>núm.</w:t>
      </w:r>
      <w:r>
        <w:rPr>
          <w:spacing w:val="-4"/>
          <w:sz w:val="12"/>
        </w:rPr>
        <w:t xml:space="preserve"> </w:t>
      </w:r>
      <w:r>
        <w:rPr>
          <w:sz w:val="12"/>
        </w:rPr>
        <w:t>20</w:t>
      </w:r>
      <w:r>
        <w:rPr>
          <w:spacing w:val="-4"/>
          <w:sz w:val="12"/>
        </w:rPr>
        <w:t xml:space="preserve"> </w:t>
      </w:r>
      <w:r>
        <w:rPr>
          <w:sz w:val="12"/>
        </w:rPr>
        <w:t>(2009),</w:t>
      </w:r>
      <w:r>
        <w:rPr>
          <w:spacing w:val="-4"/>
          <w:sz w:val="12"/>
        </w:rPr>
        <w:t xml:space="preserve"> </w:t>
      </w:r>
      <w:r>
        <w:rPr>
          <w:sz w:val="12"/>
        </w:rPr>
        <w:t>párr.</w:t>
      </w:r>
      <w:r>
        <w:rPr>
          <w:spacing w:val="-4"/>
          <w:sz w:val="12"/>
        </w:rPr>
        <w:t xml:space="preserve"> </w:t>
      </w:r>
      <w:r>
        <w:rPr>
          <w:spacing w:val="-5"/>
          <w:sz w:val="12"/>
        </w:rPr>
        <w:t>37.</w:t>
      </w:r>
    </w:p>
    <w:p w14:paraId="60E89E9E" w14:textId="77777777" w:rsidR="0014798C" w:rsidRDefault="004E1F0B">
      <w:pPr>
        <w:spacing w:before="98"/>
        <w:ind w:left="1105"/>
        <w:rPr>
          <w:sz w:val="12"/>
        </w:rPr>
      </w:pPr>
      <w:r>
        <w:rPr>
          <w:sz w:val="12"/>
        </w:rPr>
        <w:t>46</w:t>
      </w:r>
      <w:r>
        <w:rPr>
          <w:spacing w:val="-3"/>
          <w:sz w:val="12"/>
        </w:rPr>
        <w:t xml:space="preserve"> </w:t>
      </w:r>
      <w:proofErr w:type="spellStart"/>
      <w:r>
        <w:rPr>
          <w:sz w:val="12"/>
        </w:rPr>
        <w:t>Ibíd</w:t>
      </w:r>
      <w:proofErr w:type="spellEnd"/>
      <w:r>
        <w:rPr>
          <w:sz w:val="12"/>
        </w:rPr>
        <w:t>.,</w:t>
      </w:r>
      <w:r>
        <w:rPr>
          <w:spacing w:val="-2"/>
          <w:sz w:val="12"/>
        </w:rPr>
        <w:t xml:space="preserve"> </w:t>
      </w:r>
      <w:proofErr w:type="spellStart"/>
      <w:r>
        <w:rPr>
          <w:sz w:val="12"/>
        </w:rPr>
        <w:t>párrs</w:t>
      </w:r>
      <w:proofErr w:type="spellEnd"/>
      <w:r>
        <w:rPr>
          <w:sz w:val="12"/>
        </w:rPr>
        <w:t>.</w:t>
      </w:r>
      <w:r>
        <w:rPr>
          <w:spacing w:val="-2"/>
          <w:sz w:val="12"/>
        </w:rPr>
        <w:t xml:space="preserve"> </w:t>
      </w:r>
      <w:r>
        <w:rPr>
          <w:sz w:val="12"/>
        </w:rPr>
        <w:t>7,</w:t>
      </w:r>
      <w:r>
        <w:rPr>
          <w:spacing w:val="-2"/>
          <w:sz w:val="12"/>
        </w:rPr>
        <w:t xml:space="preserve"> </w:t>
      </w:r>
      <w:r>
        <w:rPr>
          <w:sz w:val="12"/>
        </w:rPr>
        <w:t>10</w:t>
      </w:r>
      <w:r>
        <w:rPr>
          <w:spacing w:val="-2"/>
          <w:sz w:val="12"/>
        </w:rPr>
        <w:t xml:space="preserve"> </w:t>
      </w:r>
      <w:r>
        <w:rPr>
          <w:sz w:val="12"/>
        </w:rPr>
        <w:t>y</w:t>
      </w:r>
      <w:r>
        <w:rPr>
          <w:spacing w:val="-2"/>
          <w:sz w:val="12"/>
        </w:rPr>
        <w:t xml:space="preserve"> 18–35.</w:t>
      </w:r>
    </w:p>
    <w:p w14:paraId="5719FFD2" w14:textId="77777777" w:rsidR="0014798C" w:rsidRDefault="004E1F0B">
      <w:pPr>
        <w:spacing w:before="99"/>
        <w:ind w:left="1105"/>
        <w:rPr>
          <w:sz w:val="12"/>
        </w:rPr>
      </w:pPr>
      <w:r>
        <w:rPr>
          <w:spacing w:val="-4"/>
          <w:sz w:val="12"/>
        </w:rPr>
        <w:t>47</w:t>
      </w:r>
      <w:r>
        <w:rPr>
          <w:spacing w:val="5"/>
          <w:sz w:val="12"/>
        </w:rPr>
        <w:t xml:space="preserve"> </w:t>
      </w:r>
      <w:r>
        <w:rPr>
          <w:spacing w:val="-4"/>
          <w:sz w:val="12"/>
        </w:rPr>
        <w:t>Para</w:t>
      </w:r>
      <w:r>
        <w:rPr>
          <w:spacing w:val="6"/>
          <w:sz w:val="12"/>
        </w:rPr>
        <w:t xml:space="preserve"> </w:t>
      </w:r>
      <w:r>
        <w:rPr>
          <w:spacing w:val="-4"/>
          <w:sz w:val="12"/>
        </w:rPr>
        <w:t>ejemplos</w:t>
      </w:r>
      <w:r>
        <w:rPr>
          <w:spacing w:val="6"/>
          <w:sz w:val="12"/>
        </w:rPr>
        <w:t xml:space="preserve"> </w:t>
      </w:r>
      <w:r>
        <w:rPr>
          <w:spacing w:val="-4"/>
          <w:sz w:val="12"/>
        </w:rPr>
        <w:t>recientes,</w:t>
      </w:r>
      <w:r>
        <w:rPr>
          <w:spacing w:val="6"/>
          <w:sz w:val="12"/>
        </w:rPr>
        <w:t xml:space="preserve"> </w:t>
      </w:r>
      <w:r>
        <w:rPr>
          <w:spacing w:val="-4"/>
          <w:sz w:val="12"/>
        </w:rPr>
        <w:t>véase</w:t>
      </w:r>
      <w:r>
        <w:rPr>
          <w:spacing w:val="6"/>
          <w:sz w:val="12"/>
        </w:rPr>
        <w:t xml:space="preserve"> </w:t>
      </w:r>
      <w:r>
        <w:rPr>
          <w:spacing w:val="-4"/>
          <w:sz w:val="12"/>
        </w:rPr>
        <w:t>E/C.12/GIN/CO/1,</w:t>
      </w:r>
      <w:r>
        <w:rPr>
          <w:spacing w:val="6"/>
          <w:sz w:val="12"/>
        </w:rPr>
        <w:t xml:space="preserve"> </w:t>
      </w:r>
      <w:r>
        <w:rPr>
          <w:spacing w:val="-4"/>
          <w:sz w:val="12"/>
        </w:rPr>
        <w:t>párr.</w:t>
      </w:r>
      <w:r>
        <w:rPr>
          <w:spacing w:val="6"/>
          <w:sz w:val="12"/>
        </w:rPr>
        <w:t xml:space="preserve"> </w:t>
      </w:r>
      <w:r>
        <w:rPr>
          <w:spacing w:val="-4"/>
          <w:sz w:val="12"/>
        </w:rPr>
        <w:t>19(a);</w:t>
      </w:r>
      <w:r>
        <w:rPr>
          <w:spacing w:val="6"/>
          <w:sz w:val="12"/>
        </w:rPr>
        <w:t xml:space="preserve"> </w:t>
      </w:r>
      <w:r>
        <w:rPr>
          <w:spacing w:val="-4"/>
          <w:sz w:val="12"/>
        </w:rPr>
        <w:t>E/C.12/DNK/CO/6,</w:t>
      </w:r>
      <w:r>
        <w:rPr>
          <w:spacing w:val="6"/>
          <w:sz w:val="12"/>
        </w:rPr>
        <w:t xml:space="preserve"> </w:t>
      </w:r>
      <w:r>
        <w:rPr>
          <w:spacing w:val="-4"/>
          <w:sz w:val="12"/>
        </w:rPr>
        <w:t>párr.</w:t>
      </w:r>
      <w:r>
        <w:rPr>
          <w:spacing w:val="6"/>
          <w:sz w:val="12"/>
        </w:rPr>
        <w:t xml:space="preserve"> </w:t>
      </w:r>
      <w:r>
        <w:rPr>
          <w:spacing w:val="-4"/>
          <w:sz w:val="12"/>
        </w:rPr>
        <w:t>22;</w:t>
      </w:r>
      <w:r>
        <w:rPr>
          <w:spacing w:val="5"/>
          <w:sz w:val="12"/>
        </w:rPr>
        <w:t xml:space="preserve"> </w:t>
      </w:r>
      <w:r>
        <w:rPr>
          <w:spacing w:val="-4"/>
          <w:sz w:val="12"/>
        </w:rPr>
        <w:t>E/C.12/ISR/CO/4,</w:t>
      </w:r>
      <w:r>
        <w:rPr>
          <w:spacing w:val="6"/>
          <w:sz w:val="12"/>
        </w:rPr>
        <w:t xml:space="preserve"> </w:t>
      </w:r>
      <w:r>
        <w:rPr>
          <w:spacing w:val="-4"/>
          <w:sz w:val="12"/>
        </w:rPr>
        <w:t>párr.</w:t>
      </w:r>
      <w:r>
        <w:rPr>
          <w:spacing w:val="6"/>
          <w:sz w:val="12"/>
        </w:rPr>
        <w:t xml:space="preserve"> </w:t>
      </w:r>
      <w:r>
        <w:rPr>
          <w:spacing w:val="-4"/>
          <w:sz w:val="12"/>
        </w:rPr>
        <w:t>19;</w:t>
      </w:r>
      <w:r>
        <w:rPr>
          <w:spacing w:val="6"/>
          <w:sz w:val="12"/>
        </w:rPr>
        <w:t xml:space="preserve"> </w:t>
      </w:r>
      <w:r>
        <w:rPr>
          <w:spacing w:val="-4"/>
          <w:sz w:val="12"/>
        </w:rPr>
        <w:t>y</w:t>
      </w:r>
      <w:r>
        <w:rPr>
          <w:spacing w:val="6"/>
          <w:sz w:val="12"/>
        </w:rPr>
        <w:t xml:space="preserve"> </w:t>
      </w:r>
      <w:r>
        <w:rPr>
          <w:spacing w:val="-4"/>
          <w:sz w:val="12"/>
        </w:rPr>
        <w:t>E/C.12/KAZ/CO/2,</w:t>
      </w:r>
    </w:p>
    <w:p w14:paraId="1B77EEC3" w14:textId="77777777" w:rsidR="0014798C" w:rsidRDefault="004E1F0B">
      <w:pPr>
        <w:spacing w:before="23"/>
        <w:ind w:left="1366"/>
        <w:rPr>
          <w:sz w:val="13"/>
        </w:rPr>
      </w:pPr>
      <w:r>
        <w:rPr>
          <w:spacing w:val="-2"/>
          <w:sz w:val="13"/>
        </w:rPr>
        <w:t>paraca.</w:t>
      </w:r>
      <w:r>
        <w:rPr>
          <w:spacing w:val="3"/>
          <w:sz w:val="13"/>
        </w:rPr>
        <w:t xml:space="preserve"> </w:t>
      </w:r>
      <w:r>
        <w:rPr>
          <w:spacing w:val="-2"/>
          <w:sz w:val="13"/>
        </w:rPr>
        <w:t>11(a).</w:t>
      </w:r>
    </w:p>
    <w:p w14:paraId="630F6FA7" w14:textId="77777777" w:rsidR="0014798C" w:rsidRDefault="004E1F0B">
      <w:pPr>
        <w:spacing w:before="105"/>
        <w:ind w:left="1105"/>
        <w:rPr>
          <w:sz w:val="12"/>
        </w:rPr>
      </w:pPr>
      <w:r>
        <w:rPr>
          <w:sz w:val="12"/>
        </w:rPr>
        <w:t>48</w:t>
      </w:r>
      <w:r>
        <w:rPr>
          <w:spacing w:val="-6"/>
          <w:sz w:val="12"/>
        </w:rPr>
        <w:t xml:space="preserve"> </w:t>
      </w:r>
      <w:r>
        <w:rPr>
          <w:sz w:val="12"/>
        </w:rPr>
        <w:t>El</w:t>
      </w:r>
      <w:r>
        <w:rPr>
          <w:spacing w:val="-4"/>
          <w:sz w:val="12"/>
        </w:rPr>
        <w:t xml:space="preserve"> </w:t>
      </w:r>
      <w:r>
        <w:rPr>
          <w:sz w:val="12"/>
        </w:rPr>
        <w:t>artículo</w:t>
      </w:r>
      <w:r>
        <w:rPr>
          <w:spacing w:val="-3"/>
          <w:sz w:val="12"/>
        </w:rPr>
        <w:t xml:space="preserve"> </w:t>
      </w:r>
      <w:r>
        <w:rPr>
          <w:sz w:val="12"/>
        </w:rPr>
        <w:t>2</w:t>
      </w:r>
      <w:r>
        <w:rPr>
          <w:spacing w:val="-4"/>
          <w:sz w:val="12"/>
        </w:rPr>
        <w:t xml:space="preserve"> </w:t>
      </w:r>
      <w:r>
        <w:rPr>
          <w:sz w:val="12"/>
        </w:rPr>
        <w:t>(d)</w:t>
      </w:r>
      <w:r>
        <w:rPr>
          <w:spacing w:val="-3"/>
          <w:sz w:val="12"/>
        </w:rPr>
        <w:t xml:space="preserve"> </w:t>
      </w:r>
      <w:r>
        <w:rPr>
          <w:sz w:val="12"/>
        </w:rPr>
        <w:t>de</w:t>
      </w:r>
      <w:r>
        <w:rPr>
          <w:spacing w:val="-4"/>
          <w:sz w:val="12"/>
        </w:rPr>
        <w:t xml:space="preserve"> </w:t>
      </w:r>
      <w:r>
        <w:rPr>
          <w:sz w:val="12"/>
        </w:rPr>
        <w:t>la</w:t>
      </w:r>
      <w:r>
        <w:rPr>
          <w:spacing w:val="-3"/>
          <w:sz w:val="12"/>
        </w:rPr>
        <w:t xml:space="preserve"> </w:t>
      </w:r>
      <w:r>
        <w:rPr>
          <w:sz w:val="12"/>
        </w:rPr>
        <w:t>Convención</w:t>
      </w:r>
      <w:r>
        <w:rPr>
          <w:spacing w:val="-4"/>
          <w:sz w:val="12"/>
        </w:rPr>
        <w:t xml:space="preserve"> </w:t>
      </w:r>
      <w:r>
        <w:rPr>
          <w:sz w:val="12"/>
        </w:rPr>
        <w:t>Internacional</w:t>
      </w:r>
      <w:r>
        <w:rPr>
          <w:spacing w:val="-3"/>
          <w:sz w:val="12"/>
        </w:rPr>
        <w:t xml:space="preserve"> </w:t>
      </w:r>
      <w:r>
        <w:rPr>
          <w:sz w:val="12"/>
        </w:rPr>
        <w:t>sobre</w:t>
      </w:r>
      <w:r>
        <w:rPr>
          <w:spacing w:val="-4"/>
          <w:sz w:val="12"/>
        </w:rPr>
        <w:t xml:space="preserve"> </w:t>
      </w:r>
      <w:r>
        <w:rPr>
          <w:sz w:val="12"/>
        </w:rPr>
        <w:t>la</w:t>
      </w:r>
      <w:r>
        <w:rPr>
          <w:spacing w:val="-3"/>
          <w:sz w:val="12"/>
        </w:rPr>
        <w:t xml:space="preserve"> </w:t>
      </w:r>
      <w:r>
        <w:rPr>
          <w:sz w:val="12"/>
        </w:rPr>
        <w:t>Eliminación</w:t>
      </w:r>
      <w:r>
        <w:rPr>
          <w:spacing w:val="-4"/>
          <w:sz w:val="12"/>
        </w:rPr>
        <w:t xml:space="preserve"> </w:t>
      </w:r>
      <w:r>
        <w:rPr>
          <w:sz w:val="12"/>
        </w:rPr>
        <w:t>de</w:t>
      </w:r>
      <w:r>
        <w:rPr>
          <w:spacing w:val="-3"/>
          <w:sz w:val="12"/>
        </w:rPr>
        <w:t xml:space="preserve"> </w:t>
      </w:r>
      <w:r>
        <w:rPr>
          <w:sz w:val="12"/>
        </w:rPr>
        <w:t>todas</w:t>
      </w:r>
      <w:r>
        <w:rPr>
          <w:spacing w:val="-4"/>
          <w:sz w:val="12"/>
        </w:rPr>
        <w:t xml:space="preserve"> </w:t>
      </w:r>
      <w:r>
        <w:rPr>
          <w:sz w:val="12"/>
        </w:rPr>
        <w:t>las</w:t>
      </w:r>
      <w:r>
        <w:rPr>
          <w:spacing w:val="-3"/>
          <w:sz w:val="12"/>
        </w:rPr>
        <w:t xml:space="preserve"> </w:t>
      </w:r>
      <w:r>
        <w:rPr>
          <w:sz w:val="12"/>
        </w:rPr>
        <w:t>Formas</w:t>
      </w:r>
      <w:r>
        <w:rPr>
          <w:spacing w:val="-4"/>
          <w:sz w:val="12"/>
        </w:rPr>
        <w:t xml:space="preserve"> </w:t>
      </w:r>
      <w:r>
        <w:rPr>
          <w:sz w:val="12"/>
        </w:rPr>
        <w:t>de</w:t>
      </w:r>
      <w:r>
        <w:rPr>
          <w:spacing w:val="-3"/>
          <w:sz w:val="12"/>
        </w:rPr>
        <w:t xml:space="preserve"> </w:t>
      </w:r>
      <w:r>
        <w:rPr>
          <w:sz w:val="12"/>
        </w:rPr>
        <w:t>Discriminación</w:t>
      </w:r>
      <w:r>
        <w:rPr>
          <w:spacing w:val="-4"/>
          <w:sz w:val="12"/>
        </w:rPr>
        <w:t xml:space="preserve"> </w:t>
      </w:r>
      <w:r>
        <w:rPr>
          <w:sz w:val="12"/>
        </w:rPr>
        <w:t>Racial</w:t>
      </w:r>
      <w:r>
        <w:rPr>
          <w:spacing w:val="-3"/>
          <w:sz w:val="12"/>
        </w:rPr>
        <w:t xml:space="preserve"> </w:t>
      </w:r>
      <w:r>
        <w:rPr>
          <w:sz w:val="12"/>
        </w:rPr>
        <w:t>exige</w:t>
      </w:r>
      <w:r>
        <w:rPr>
          <w:spacing w:val="-4"/>
          <w:sz w:val="12"/>
        </w:rPr>
        <w:t xml:space="preserve"> </w:t>
      </w:r>
      <w:r>
        <w:rPr>
          <w:sz w:val="12"/>
        </w:rPr>
        <w:t>que</w:t>
      </w:r>
      <w:r>
        <w:rPr>
          <w:spacing w:val="-4"/>
          <w:sz w:val="12"/>
        </w:rPr>
        <w:t xml:space="preserve"> </w:t>
      </w:r>
      <w:r>
        <w:rPr>
          <w:sz w:val="12"/>
        </w:rPr>
        <w:t>cada</w:t>
      </w:r>
      <w:r>
        <w:rPr>
          <w:spacing w:val="-3"/>
          <w:sz w:val="12"/>
        </w:rPr>
        <w:t xml:space="preserve"> </w:t>
      </w:r>
      <w:r>
        <w:rPr>
          <w:sz w:val="12"/>
        </w:rPr>
        <w:t>Estado</w:t>
      </w:r>
      <w:r>
        <w:rPr>
          <w:spacing w:val="-4"/>
          <w:sz w:val="12"/>
        </w:rPr>
        <w:t xml:space="preserve"> </w:t>
      </w:r>
      <w:r>
        <w:rPr>
          <w:spacing w:val="-2"/>
          <w:sz w:val="12"/>
        </w:rPr>
        <w:t>parte</w:t>
      </w:r>
    </w:p>
    <w:p w14:paraId="623B3813" w14:textId="77777777" w:rsidR="0014798C" w:rsidRDefault="004E1F0B">
      <w:pPr>
        <w:spacing w:before="24" w:line="288" w:lineRule="auto"/>
        <w:ind w:left="1366" w:right="1272" w:firstLine="12"/>
        <w:rPr>
          <w:sz w:val="13"/>
        </w:rPr>
      </w:pPr>
      <w:r>
        <w:rPr>
          <w:sz w:val="13"/>
        </w:rPr>
        <w:t>“prohibir</w:t>
      </w:r>
      <w:r>
        <w:rPr>
          <w:spacing w:val="-1"/>
          <w:sz w:val="13"/>
        </w:rPr>
        <w:t xml:space="preserve"> </w:t>
      </w:r>
      <w:r>
        <w:rPr>
          <w:sz w:val="13"/>
        </w:rPr>
        <w:t>y</w:t>
      </w:r>
      <w:r>
        <w:rPr>
          <w:spacing w:val="-1"/>
          <w:sz w:val="13"/>
        </w:rPr>
        <w:t xml:space="preserve"> </w:t>
      </w:r>
      <w:r>
        <w:rPr>
          <w:sz w:val="13"/>
        </w:rPr>
        <w:t>poner</w:t>
      </w:r>
      <w:r>
        <w:rPr>
          <w:spacing w:val="-1"/>
          <w:sz w:val="13"/>
        </w:rPr>
        <w:t xml:space="preserve"> </w:t>
      </w:r>
      <w:r>
        <w:rPr>
          <w:sz w:val="13"/>
        </w:rPr>
        <w:t>fin,</w:t>
      </w:r>
      <w:r>
        <w:rPr>
          <w:spacing w:val="-1"/>
          <w:sz w:val="13"/>
        </w:rPr>
        <w:t xml:space="preserve"> </w:t>
      </w:r>
      <w:r>
        <w:rPr>
          <w:sz w:val="13"/>
        </w:rPr>
        <w:t>por</w:t>
      </w:r>
      <w:r>
        <w:rPr>
          <w:spacing w:val="-1"/>
          <w:sz w:val="13"/>
        </w:rPr>
        <w:t xml:space="preserve"> </w:t>
      </w:r>
      <w:r>
        <w:rPr>
          <w:sz w:val="13"/>
        </w:rPr>
        <w:t>todos</w:t>
      </w:r>
      <w:r>
        <w:rPr>
          <w:spacing w:val="-1"/>
          <w:sz w:val="13"/>
        </w:rPr>
        <w:t xml:space="preserve"> </w:t>
      </w:r>
      <w:r>
        <w:rPr>
          <w:sz w:val="13"/>
        </w:rPr>
        <w:t>los</w:t>
      </w:r>
      <w:r>
        <w:rPr>
          <w:spacing w:val="-1"/>
          <w:sz w:val="13"/>
        </w:rPr>
        <w:t xml:space="preserve"> </w:t>
      </w:r>
      <w:r>
        <w:rPr>
          <w:sz w:val="13"/>
        </w:rPr>
        <w:t>medios</w:t>
      </w:r>
      <w:r>
        <w:rPr>
          <w:spacing w:val="-1"/>
          <w:sz w:val="13"/>
        </w:rPr>
        <w:t xml:space="preserve"> </w:t>
      </w:r>
      <w:r>
        <w:rPr>
          <w:sz w:val="13"/>
        </w:rPr>
        <w:t>apropiados, incluida</w:t>
      </w:r>
      <w:r>
        <w:rPr>
          <w:spacing w:val="-1"/>
          <w:sz w:val="13"/>
        </w:rPr>
        <w:t xml:space="preserve"> </w:t>
      </w:r>
      <w:r>
        <w:rPr>
          <w:sz w:val="13"/>
        </w:rPr>
        <w:t>la</w:t>
      </w:r>
      <w:r>
        <w:rPr>
          <w:spacing w:val="-1"/>
          <w:sz w:val="13"/>
        </w:rPr>
        <w:t xml:space="preserve"> </w:t>
      </w:r>
      <w:r>
        <w:rPr>
          <w:sz w:val="13"/>
        </w:rPr>
        <w:t>legislación</w:t>
      </w:r>
      <w:r>
        <w:rPr>
          <w:spacing w:val="-1"/>
          <w:sz w:val="13"/>
        </w:rPr>
        <w:t xml:space="preserve"> </w:t>
      </w:r>
      <w:r>
        <w:rPr>
          <w:sz w:val="13"/>
        </w:rPr>
        <w:t>que</w:t>
      </w:r>
      <w:r>
        <w:rPr>
          <w:spacing w:val="-1"/>
          <w:sz w:val="13"/>
        </w:rPr>
        <w:t xml:space="preserve"> </w:t>
      </w:r>
      <w:r>
        <w:rPr>
          <w:sz w:val="13"/>
        </w:rPr>
        <w:t>exijan</w:t>
      </w:r>
      <w:r>
        <w:rPr>
          <w:spacing w:val="-1"/>
          <w:sz w:val="13"/>
        </w:rPr>
        <w:t xml:space="preserve"> </w:t>
      </w:r>
      <w:r>
        <w:rPr>
          <w:sz w:val="13"/>
        </w:rPr>
        <w:t>las</w:t>
      </w:r>
      <w:r>
        <w:rPr>
          <w:spacing w:val="-1"/>
          <w:sz w:val="13"/>
        </w:rPr>
        <w:t xml:space="preserve"> </w:t>
      </w:r>
      <w:r>
        <w:rPr>
          <w:sz w:val="13"/>
        </w:rPr>
        <w:t>circunstancias, a</w:t>
      </w:r>
      <w:r>
        <w:rPr>
          <w:spacing w:val="-1"/>
          <w:sz w:val="13"/>
        </w:rPr>
        <w:t xml:space="preserve"> </w:t>
      </w:r>
      <w:r>
        <w:rPr>
          <w:sz w:val="13"/>
        </w:rPr>
        <w:t>la</w:t>
      </w:r>
      <w:r>
        <w:rPr>
          <w:spacing w:val="-1"/>
          <w:sz w:val="13"/>
        </w:rPr>
        <w:t xml:space="preserve"> </w:t>
      </w:r>
      <w:r>
        <w:rPr>
          <w:sz w:val="13"/>
        </w:rPr>
        <w:t>discriminación</w:t>
      </w:r>
      <w:r>
        <w:rPr>
          <w:spacing w:val="-1"/>
          <w:sz w:val="13"/>
        </w:rPr>
        <w:t xml:space="preserve"> </w:t>
      </w:r>
      <w:r>
        <w:rPr>
          <w:sz w:val="13"/>
        </w:rPr>
        <w:t>racial</w:t>
      </w:r>
      <w:r>
        <w:rPr>
          <w:spacing w:val="-1"/>
          <w:sz w:val="13"/>
        </w:rPr>
        <w:t xml:space="preserve"> </w:t>
      </w:r>
      <w:r>
        <w:rPr>
          <w:sz w:val="13"/>
        </w:rPr>
        <w:t>por</w:t>
      </w:r>
      <w:r>
        <w:rPr>
          <w:spacing w:val="-1"/>
          <w:sz w:val="13"/>
        </w:rPr>
        <w:t xml:space="preserve"> </w:t>
      </w:r>
      <w:r>
        <w:rPr>
          <w:sz w:val="13"/>
        </w:rPr>
        <w:t>parte</w:t>
      </w:r>
      <w:r>
        <w:rPr>
          <w:spacing w:val="-1"/>
          <w:sz w:val="13"/>
        </w:rPr>
        <w:t xml:space="preserve"> </w:t>
      </w:r>
      <w:r>
        <w:rPr>
          <w:sz w:val="13"/>
        </w:rPr>
        <w:t>de</w:t>
      </w:r>
      <w:r>
        <w:rPr>
          <w:spacing w:val="-1"/>
          <w:sz w:val="13"/>
        </w:rPr>
        <w:t xml:space="preserve"> </w:t>
      </w:r>
      <w:r>
        <w:rPr>
          <w:sz w:val="13"/>
        </w:rPr>
        <w:t>cualquier</w:t>
      </w:r>
      <w:r>
        <w:rPr>
          <w:spacing w:val="40"/>
          <w:sz w:val="13"/>
        </w:rPr>
        <w:t xml:space="preserve"> </w:t>
      </w:r>
      <w:r>
        <w:rPr>
          <w:sz w:val="13"/>
        </w:rPr>
        <w:t>persona,</w:t>
      </w:r>
      <w:r>
        <w:rPr>
          <w:spacing w:val="-1"/>
          <w:sz w:val="13"/>
        </w:rPr>
        <w:t xml:space="preserve"> </w:t>
      </w:r>
      <w:r>
        <w:rPr>
          <w:sz w:val="13"/>
        </w:rPr>
        <w:t>grupo</w:t>
      </w:r>
      <w:r>
        <w:rPr>
          <w:spacing w:val="-2"/>
          <w:sz w:val="13"/>
        </w:rPr>
        <w:t xml:space="preserve"> </w:t>
      </w:r>
      <w:r>
        <w:rPr>
          <w:sz w:val="13"/>
        </w:rPr>
        <w:t>u</w:t>
      </w:r>
      <w:r>
        <w:rPr>
          <w:spacing w:val="-2"/>
          <w:sz w:val="13"/>
        </w:rPr>
        <w:t xml:space="preserve"> </w:t>
      </w:r>
      <w:r>
        <w:rPr>
          <w:sz w:val="13"/>
        </w:rPr>
        <w:t>organización”.</w:t>
      </w:r>
      <w:r>
        <w:rPr>
          <w:spacing w:val="-1"/>
          <w:sz w:val="13"/>
        </w:rPr>
        <w:t xml:space="preserve"> </w:t>
      </w:r>
      <w:r>
        <w:rPr>
          <w:sz w:val="13"/>
        </w:rPr>
        <w:t>El</w:t>
      </w:r>
      <w:r>
        <w:rPr>
          <w:spacing w:val="-2"/>
          <w:sz w:val="13"/>
        </w:rPr>
        <w:t xml:space="preserve"> </w:t>
      </w:r>
      <w:r>
        <w:rPr>
          <w:sz w:val="13"/>
        </w:rPr>
        <w:t>artículo</w:t>
      </w:r>
      <w:r>
        <w:rPr>
          <w:spacing w:val="-2"/>
          <w:sz w:val="13"/>
        </w:rPr>
        <w:t xml:space="preserve"> </w:t>
      </w:r>
      <w:r>
        <w:rPr>
          <w:sz w:val="13"/>
        </w:rPr>
        <w:t>2</w:t>
      </w:r>
      <w:r>
        <w:rPr>
          <w:spacing w:val="-2"/>
          <w:sz w:val="13"/>
        </w:rPr>
        <w:t xml:space="preserve"> </w:t>
      </w:r>
      <w:r>
        <w:rPr>
          <w:sz w:val="13"/>
        </w:rPr>
        <w:t>(a)</w:t>
      </w:r>
      <w:r>
        <w:rPr>
          <w:spacing w:val="-2"/>
          <w:sz w:val="13"/>
        </w:rPr>
        <w:t xml:space="preserve"> </w:t>
      </w:r>
      <w:r>
        <w:rPr>
          <w:sz w:val="13"/>
        </w:rPr>
        <w:t>de</w:t>
      </w:r>
      <w:r>
        <w:rPr>
          <w:spacing w:val="-2"/>
          <w:sz w:val="13"/>
        </w:rPr>
        <w:t xml:space="preserve"> </w:t>
      </w:r>
      <w:r>
        <w:rPr>
          <w:sz w:val="13"/>
        </w:rPr>
        <w:t>la</w:t>
      </w:r>
      <w:r>
        <w:rPr>
          <w:spacing w:val="-2"/>
          <w:sz w:val="13"/>
        </w:rPr>
        <w:t xml:space="preserve"> </w:t>
      </w:r>
      <w:r>
        <w:rPr>
          <w:sz w:val="13"/>
        </w:rPr>
        <w:t>Convención</w:t>
      </w:r>
      <w:r>
        <w:rPr>
          <w:spacing w:val="-2"/>
          <w:sz w:val="13"/>
        </w:rPr>
        <w:t xml:space="preserve"> </w:t>
      </w:r>
      <w:r>
        <w:rPr>
          <w:sz w:val="13"/>
        </w:rPr>
        <w:t>sobre</w:t>
      </w:r>
      <w:r>
        <w:rPr>
          <w:spacing w:val="-2"/>
          <w:sz w:val="13"/>
        </w:rPr>
        <w:t xml:space="preserve"> </w:t>
      </w:r>
      <w:r>
        <w:rPr>
          <w:sz w:val="13"/>
        </w:rPr>
        <w:t>la</w:t>
      </w:r>
      <w:r>
        <w:rPr>
          <w:spacing w:val="-2"/>
          <w:sz w:val="13"/>
        </w:rPr>
        <w:t xml:space="preserve"> </w:t>
      </w:r>
      <w:r>
        <w:rPr>
          <w:sz w:val="13"/>
        </w:rPr>
        <w:t>eliminación</w:t>
      </w:r>
      <w:r>
        <w:rPr>
          <w:spacing w:val="-2"/>
          <w:sz w:val="13"/>
        </w:rPr>
        <w:t xml:space="preserve"> </w:t>
      </w:r>
      <w:r>
        <w:rPr>
          <w:sz w:val="13"/>
        </w:rPr>
        <w:t>de</w:t>
      </w:r>
      <w:r>
        <w:rPr>
          <w:spacing w:val="-2"/>
          <w:sz w:val="13"/>
        </w:rPr>
        <w:t xml:space="preserve"> </w:t>
      </w:r>
      <w:r>
        <w:rPr>
          <w:sz w:val="13"/>
        </w:rPr>
        <w:t>todas</w:t>
      </w:r>
      <w:r>
        <w:rPr>
          <w:spacing w:val="-2"/>
          <w:sz w:val="13"/>
        </w:rPr>
        <w:t xml:space="preserve"> </w:t>
      </w:r>
      <w:r>
        <w:rPr>
          <w:sz w:val="13"/>
        </w:rPr>
        <w:t>las</w:t>
      </w:r>
      <w:r>
        <w:rPr>
          <w:spacing w:val="-2"/>
          <w:sz w:val="13"/>
        </w:rPr>
        <w:t xml:space="preserve"> </w:t>
      </w:r>
      <w:r>
        <w:rPr>
          <w:sz w:val="13"/>
        </w:rPr>
        <w:t>formas</w:t>
      </w:r>
      <w:r>
        <w:rPr>
          <w:spacing w:val="-2"/>
          <w:sz w:val="13"/>
        </w:rPr>
        <w:t xml:space="preserve"> </w:t>
      </w:r>
      <w:r>
        <w:rPr>
          <w:sz w:val="13"/>
        </w:rPr>
        <w:t>de</w:t>
      </w:r>
      <w:r>
        <w:rPr>
          <w:spacing w:val="-2"/>
          <w:sz w:val="13"/>
        </w:rPr>
        <w:t xml:space="preserve"> </w:t>
      </w:r>
      <w:r>
        <w:rPr>
          <w:sz w:val="13"/>
        </w:rPr>
        <w:t>discriminación</w:t>
      </w:r>
      <w:r>
        <w:rPr>
          <w:spacing w:val="-2"/>
          <w:sz w:val="13"/>
        </w:rPr>
        <w:t xml:space="preserve"> </w:t>
      </w:r>
      <w:r>
        <w:rPr>
          <w:sz w:val="13"/>
        </w:rPr>
        <w:t>contra</w:t>
      </w:r>
      <w:r>
        <w:rPr>
          <w:spacing w:val="-2"/>
          <w:sz w:val="13"/>
        </w:rPr>
        <w:t xml:space="preserve"> </w:t>
      </w:r>
      <w:r>
        <w:rPr>
          <w:sz w:val="13"/>
        </w:rPr>
        <w:t>la</w:t>
      </w:r>
      <w:r>
        <w:rPr>
          <w:spacing w:val="-2"/>
          <w:sz w:val="13"/>
        </w:rPr>
        <w:t xml:space="preserve"> </w:t>
      </w:r>
      <w:r>
        <w:rPr>
          <w:sz w:val="13"/>
        </w:rPr>
        <w:t>mujer</w:t>
      </w:r>
      <w:r>
        <w:rPr>
          <w:spacing w:val="-2"/>
          <w:sz w:val="13"/>
        </w:rPr>
        <w:t xml:space="preserve"> </w:t>
      </w:r>
      <w:r>
        <w:rPr>
          <w:sz w:val="13"/>
        </w:rPr>
        <w:t>insta</w:t>
      </w:r>
      <w:r>
        <w:rPr>
          <w:spacing w:val="-2"/>
          <w:sz w:val="13"/>
        </w:rPr>
        <w:t xml:space="preserve"> </w:t>
      </w:r>
      <w:r>
        <w:rPr>
          <w:sz w:val="13"/>
        </w:rPr>
        <w:t>a</w:t>
      </w:r>
      <w:r>
        <w:rPr>
          <w:spacing w:val="-2"/>
          <w:sz w:val="13"/>
        </w:rPr>
        <w:t xml:space="preserve"> </w:t>
      </w:r>
      <w:r>
        <w:rPr>
          <w:sz w:val="13"/>
        </w:rPr>
        <w:t>los</w:t>
      </w:r>
      <w:r>
        <w:rPr>
          <w:spacing w:val="40"/>
          <w:sz w:val="13"/>
        </w:rPr>
        <w:t xml:space="preserve"> </w:t>
      </w:r>
      <w:r>
        <w:rPr>
          <w:sz w:val="13"/>
        </w:rPr>
        <w:t>Estados</w:t>
      </w:r>
      <w:r>
        <w:rPr>
          <w:spacing w:val="-1"/>
          <w:sz w:val="13"/>
        </w:rPr>
        <w:t xml:space="preserve"> </w:t>
      </w:r>
      <w:r>
        <w:rPr>
          <w:sz w:val="13"/>
        </w:rPr>
        <w:t>a:</w:t>
      </w:r>
      <w:r>
        <w:rPr>
          <w:spacing w:val="-1"/>
          <w:sz w:val="13"/>
        </w:rPr>
        <w:t xml:space="preserve"> </w:t>
      </w:r>
      <w:r>
        <w:rPr>
          <w:sz w:val="13"/>
        </w:rPr>
        <w:t>“Incorporar</w:t>
      </w:r>
      <w:r>
        <w:rPr>
          <w:spacing w:val="-1"/>
          <w:sz w:val="13"/>
        </w:rPr>
        <w:t xml:space="preserve"> </w:t>
      </w:r>
      <w:r>
        <w:rPr>
          <w:sz w:val="13"/>
        </w:rPr>
        <w:t>el</w:t>
      </w:r>
      <w:r>
        <w:rPr>
          <w:spacing w:val="-1"/>
          <w:sz w:val="13"/>
        </w:rPr>
        <w:t xml:space="preserve"> </w:t>
      </w:r>
      <w:r>
        <w:rPr>
          <w:sz w:val="13"/>
        </w:rPr>
        <w:t>principio</w:t>
      </w:r>
      <w:r>
        <w:rPr>
          <w:spacing w:val="-1"/>
          <w:sz w:val="13"/>
        </w:rPr>
        <w:t xml:space="preserve"> </w:t>
      </w:r>
      <w:r>
        <w:rPr>
          <w:sz w:val="13"/>
        </w:rPr>
        <w:t>de</w:t>
      </w:r>
      <w:r>
        <w:rPr>
          <w:spacing w:val="-1"/>
          <w:sz w:val="13"/>
        </w:rPr>
        <w:t xml:space="preserve"> </w:t>
      </w:r>
      <w:r>
        <w:rPr>
          <w:sz w:val="13"/>
        </w:rPr>
        <w:t>la</w:t>
      </w:r>
      <w:r>
        <w:rPr>
          <w:spacing w:val="-1"/>
          <w:sz w:val="13"/>
        </w:rPr>
        <w:t xml:space="preserve"> </w:t>
      </w:r>
      <w:r>
        <w:rPr>
          <w:sz w:val="13"/>
        </w:rPr>
        <w:t>igualdad</w:t>
      </w:r>
      <w:r>
        <w:rPr>
          <w:spacing w:val="-1"/>
          <w:sz w:val="13"/>
        </w:rPr>
        <w:t xml:space="preserve"> </w:t>
      </w:r>
      <w:r>
        <w:rPr>
          <w:sz w:val="13"/>
        </w:rPr>
        <w:t>entre</w:t>
      </w:r>
      <w:r>
        <w:rPr>
          <w:spacing w:val="-1"/>
          <w:sz w:val="13"/>
        </w:rPr>
        <w:t xml:space="preserve"> </w:t>
      </w:r>
      <w:r>
        <w:rPr>
          <w:sz w:val="13"/>
        </w:rPr>
        <w:t>hombres</w:t>
      </w:r>
      <w:r>
        <w:rPr>
          <w:spacing w:val="-1"/>
          <w:sz w:val="13"/>
        </w:rPr>
        <w:t xml:space="preserve"> </w:t>
      </w:r>
      <w:r>
        <w:rPr>
          <w:sz w:val="13"/>
        </w:rPr>
        <w:t>y</w:t>
      </w:r>
      <w:r>
        <w:rPr>
          <w:spacing w:val="-1"/>
          <w:sz w:val="13"/>
        </w:rPr>
        <w:t xml:space="preserve"> </w:t>
      </w:r>
      <w:r>
        <w:rPr>
          <w:sz w:val="13"/>
        </w:rPr>
        <w:t>mujeres</w:t>
      </w:r>
      <w:r>
        <w:rPr>
          <w:spacing w:val="-1"/>
          <w:sz w:val="13"/>
        </w:rPr>
        <w:t xml:space="preserve"> </w:t>
      </w:r>
      <w:r>
        <w:rPr>
          <w:sz w:val="13"/>
        </w:rPr>
        <w:t>en</w:t>
      </w:r>
      <w:r>
        <w:rPr>
          <w:spacing w:val="-1"/>
          <w:sz w:val="13"/>
        </w:rPr>
        <w:t xml:space="preserve"> </w:t>
      </w:r>
      <w:r>
        <w:rPr>
          <w:sz w:val="13"/>
        </w:rPr>
        <w:t>sus</w:t>
      </w:r>
      <w:r>
        <w:rPr>
          <w:spacing w:val="-1"/>
          <w:sz w:val="13"/>
        </w:rPr>
        <w:t xml:space="preserve"> </w:t>
      </w:r>
      <w:r>
        <w:rPr>
          <w:sz w:val="13"/>
        </w:rPr>
        <w:t>constituciones</w:t>
      </w:r>
      <w:r>
        <w:rPr>
          <w:spacing w:val="-1"/>
          <w:sz w:val="13"/>
        </w:rPr>
        <w:t xml:space="preserve"> </w:t>
      </w:r>
      <w:r>
        <w:rPr>
          <w:sz w:val="13"/>
        </w:rPr>
        <w:t>nacionales</w:t>
      </w:r>
      <w:r>
        <w:rPr>
          <w:spacing w:val="-1"/>
          <w:sz w:val="13"/>
        </w:rPr>
        <w:t xml:space="preserve"> </w:t>
      </w:r>
      <w:r>
        <w:rPr>
          <w:sz w:val="13"/>
        </w:rPr>
        <w:t>o</w:t>
      </w:r>
      <w:r>
        <w:rPr>
          <w:spacing w:val="-1"/>
          <w:sz w:val="13"/>
        </w:rPr>
        <w:t xml:space="preserve"> </w:t>
      </w:r>
      <w:r>
        <w:rPr>
          <w:sz w:val="13"/>
        </w:rPr>
        <w:t>en</w:t>
      </w:r>
      <w:r>
        <w:rPr>
          <w:spacing w:val="-1"/>
          <w:sz w:val="13"/>
        </w:rPr>
        <w:t xml:space="preserve"> </w:t>
      </w:r>
      <w:r>
        <w:rPr>
          <w:sz w:val="13"/>
        </w:rPr>
        <w:t>otra</w:t>
      </w:r>
      <w:r>
        <w:rPr>
          <w:spacing w:val="-1"/>
          <w:sz w:val="13"/>
        </w:rPr>
        <w:t xml:space="preserve"> </w:t>
      </w:r>
      <w:r>
        <w:rPr>
          <w:sz w:val="13"/>
        </w:rPr>
        <w:t>legislación</w:t>
      </w:r>
      <w:r>
        <w:rPr>
          <w:spacing w:val="-1"/>
          <w:sz w:val="13"/>
        </w:rPr>
        <w:t xml:space="preserve"> </w:t>
      </w:r>
      <w:r>
        <w:rPr>
          <w:sz w:val="13"/>
        </w:rPr>
        <w:t>apropiada, si</w:t>
      </w:r>
      <w:r>
        <w:rPr>
          <w:spacing w:val="-1"/>
          <w:sz w:val="13"/>
        </w:rPr>
        <w:t xml:space="preserve"> </w:t>
      </w:r>
      <w:r>
        <w:rPr>
          <w:sz w:val="13"/>
        </w:rPr>
        <w:t>aún</w:t>
      </w:r>
      <w:r>
        <w:rPr>
          <w:spacing w:val="-1"/>
          <w:sz w:val="13"/>
        </w:rPr>
        <w:t xml:space="preserve"> </w:t>
      </w:r>
      <w:r>
        <w:rPr>
          <w:sz w:val="13"/>
        </w:rPr>
        <w:t>no</w:t>
      </w:r>
      <w:r>
        <w:rPr>
          <w:spacing w:val="-1"/>
          <w:sz w:val="13"/>
        </w:rPr>
        <w:t xml:space="preserve"> </w:t>
      </w:r>
      <w:r>
        <w:rPr>
          <w:sz w:val="13"/>
        </w:rPr>
        <w:t>está</w:t>
      </w:r>
      <w:r>
        <w:rPr>
          <w:spacing w:val="40"/>
          <w:sz w:val="13"/>
        </w:rPr>
        <w:t xml:space="preserve"> </w:t>
      </w:r>
      <w:r>
        <w:rPr>
          <w:sz w:val="13"/>
        </w:rPr>
        <w:t>incorporado</w:t>
      </w:r>
      <w:r>
        <w:rPr>
          <w:spacing w:val="-4"/>
          <w:sz w:val="13"/>
        </w:rPr>
        <w:t xml:space="preserve"> </w:t>
      </w:r>
      <w:r>
        <w:rPr>
          <w:sz w:val="13"/>
        </w:rPr>
        <w:t>en</w:t>
      </w:r>
      <w:r>
        <w:rPr>
          <w:spacing w:val="-4"/>
          <w:sz w:val="13"/>
        </w:rPr>
        <w:t xml:space="preserve"> </w:t>
      </w:r>
      <w:r>
        <w:rPr>
          <w:sz w:val="13"/>
        </w:rPr>
        <w:t>ellas,</w:t>
      </w:r>
      <w:r>
        <w:rPr>
          <w:spacing w:val="-3"/>
          <w:sz w:val="13"/>
        </w:rPr>
        <w:t xml:space="preserve"> </w:t>
      </w:r>
      <w:r>
        <w:rPr>
          <w:sz w:val="13"/>
        </w:rPr>
        <w:t>y</w:t>
      </w:r>
      <w:r>
        <w:rPr>
          <w:spacing w:val="-4"/>
          <w:sz w:val="13"/>
        </w:rPr>
        <w:t xml:space="preserve"> </w:t>
      </w:r>
      <w:proofErr w:type="gramStart"/>
      <w:r>
        <w:rPr>
          <w:sz w:val="13"/>
        </w:rPr>
        <w:t>garantizar</w:t>
      </w:r>
      <w:r>
        <w:rPr>
          <w:spacing w:val="-4"/>
          <w:sz w:val="13"/>
        </w:rPr>
        <w:t xml:space="preserve"> </w:t>
      </w:r>
      <w:r>
        <w:rPr>
          <w:sz w:val="13"/>
        </w:rPr>
        <w:t>,</w:t>
      </w:r>
      <w:proofErr w:type="gramEnd"/>
      <w:r>
        <w:rPr>
          <w:spacing w:val="-4"/>
          <w:sz w:val="13"/>
        </w:rPr>
        <w:t xml:space="preserve"> </w:t>
      </w:r>
      <w:r>
        <w:rPr>
          <w:sz w:val="13"/>
        </w:rPr>
        <w:t>mediante</w:t>
      </w:r>
      <w:r>
        <w:rPr>
          <w:spacing w:val="-4"/>
          <w:sz w:val="13"/>
        </w:rPr>
        <w:t xml:space="preserve"> </w:t>
      </w:r>
      <w:r>
        <w:rPr>
          <w:sz w:val="13"/>
        </w:rPr>
        <w:t>la</w:t>
      </w:r>
      <w:r>
        <w:rPr>
          <w:spacing w:val="-4"/>
          <w:sz w:val="13"/>
        </w:rPr>
        <w:t xml:space="preserve"> </w:t>
      </w:r>
      <w:r>
        <w:rPr>
          <w:sz w:val="13"/>
        </w:rPr>
        <w:t>ley</w:t>
      </w:r>
      <w:r>
        <w:rPr>
          <w:spacing w:val="-4"/>
          <w:sz w:val="13"/>
        </w:rPr>
        <w:t xml:space="preserve"> </w:t>
      </w:r>
      <w:r>
        <w:rPr>
          <w:sz w:val="13"/>
        </w:rPr>
        <w:t>y</w:t>
      </w:r>
      <w:r>
        <w:rPr>
          <w:spacing w:val="-4"/>
          <w:sz w:val="13"/>
        </w:rPr>
        <w:t xml:space="preserve"> </w:t>
      </w:r>
      <w:r>
        <w:rPr>
          <w:sz w:val="13"/>
        </w:rPr>
        <w:t>otros</w:t>
      </w:r>
      <w:r>
        <w:rPr>
          <w:spacing w:val="-4"/>
          <w:sz w:val="13"/>
        </w:rPr>
        <w:t xml:space="preserve"> </w:t>
      </w:r>
      <w:r>
        <w:rPr>
          <w:sz w:val="13"/>
        </w:rPr>
        <w:t>medios</w:t>
      </w:r>
      <w:r>
        <w:rPr>
          <w:spacing w:val="-4"/>
          <w:sz w:val="13"/>
        </w:rPr>
        <w:t xml:space="preserve"> </w:t>
      </w:r>
      <w:r>
        <w:rPr>
          <w:sz w:val="13"/>
        </w:rPr>
        <w:t>apropiados,</w:t>
      </w:r>
      <w:r>
        <w:rPr>
          <w:spacing w:val="-3"/>
          <w:sz w:val="13"/>
        </w:rPr>
        <w:t xml:space="preserve"> </w:t>
      </w:r>
      <w:r>
        <w:rPr>
          <w:sz w:val="13"/>
        </w:rPr>
        <w:t>la</w:t>
      </w:r>
      <w:r>
        <w:rPr>
          <w:spacing w:val="-4"/>
          <w:sz w:val="13"/>
        </w:rPr>
        <w:t xml:space="preserve"> </w:t>
      </w:r>
      <w:r>
        <w:rPr>
          <w:sz w:val="13"/>
        </w:rPr>
        <w:t>realización</w:t>
      </w:r>
      <w:r>
        <w:rPr>
          <w:spacing w:val="-4"/>
          <w:sz w:val="13"/>
        </w:rPr>
        <w:t xml:space="preserve"> </w:t>
      </w:r>
      <w:r>
        <w:rPr>
          <w:sz w:val="13"/>
        </w:rPr>
        <w:t>práctica</w:t>
      </w:r>
      <w:r>
        <w:rPr>
          <w:spacing w:val="-4"/>
          <w:sz w:val="13"/>
        </w:rPr>
        <w:t xml:space="preserve"> </w:t>
      </w:r>
      <w:r>
        <w:rPr>
          <w:sz w:val="13"/>
        </w:rPr>
        <w:t>de</w:t>
      </w:r>
      <w:r>
        <w:rPr>
          <w:spacing w:val="-4"/>
          <w:sz w:val="13"/>
        </w:rPr>
        <w:t xml:space="preserve"> </w:t>
      </w:r>
      <w:r>
        <w:rPr>
          <w:sz w:val="13"/>
        </w:rPr>
        <w:t>este</w:t>
      </w:r>
      <w:r>
        <w:rPr>
          <w:spacing w:val="-4"/>
          <w:sz w:val="13"/>
        </w:rPr>
        <w:t xml:space="preserve"> </w:t>
      </w:r>
      <w:r>
        <w:rPr>
          <w:sz w:val="13"/>
        </w:rPr>
        <w:t>principio”.</w:t>
      </w:r>
      <w:r>
        <w:rPr>
          <w:spacing w:val="-3"/>
          <w:sz w:val="13"/>
        </w:rPr>
        <w:t xml:space="preserve"> </w:t>
      </w:r>
      <w:r>
        <w:rPr>
          <w:sz w:val="13"/>
        </w:rPr>
        <w:t>El</w:t>
      </w:r>
      <w:r>
        <w:rPr>
          <w:spacing w:val="-4"/>
          <w:sz w:val="13"/>
        </w:rPr>
        <w:t xml:space="preserve"> </w:t>
      </w:r>
      <w:r>
        <w:rPr>
          <w:sz w:val="13"/>
        </w:rPr>
        <w:t>artículo</w:t>
      </w:r>
      <w:r>
        <w:rPr>
          <w:spacing w:val="-4"/>
          <w:sz w:val="13"/>
        </w:rPr>
        <w:t xml:space="preserve"> </w:t>
      </w:r>
      <w:r>
        <w:rPr>
          <w:sz w:val="13"/>
        </w:rPr>
        <w:t>4</w:t>
      </w:r>
      <w:r>
        <w:rPr>
          <w:spacing w:val="-4"/>
          <w:sz w:val="13"/>
        </w:rPr>
        <w:t xml:space="preserve"> </w:t>
      </w:r>
      <w:r>
        <w:rPr>
          <w:sz w:val="13"/>
        </w:rPr>
        <w:t>(1)</w:t>
      </w:r>
      <w:r>
        <w:rPr>
          <w:spacing w:val="-4"/>
          <w:sz w:val="13"/>
        </w:rPr>
        <w:t xml:space="preserve"> </w:t>
      </w:r>
      <w:r>
        <w:rPr>
          <w:sz w:val="13"/>
        </w:rPr>
        <w:t>(a)</w:t>
      </w:r>
      <w:r>
        <w:rPr>
          <w:spacing w:val="-4"/>
          <w:sz w:val="13"/>
        </w:rPr>
        <w:t xml:space="preserve"> </w:t>
      </w:r>
      <w:r>
        <w:rPr>
          <w:sz w:val="13"/>
        </w:rPr>
        <w:t>de</w:t>
      </w:r>
      <w:r>
        <w:rPr>
          <w:spacing w:val="-4"/>
          <w:sz w:val="13"/>
        </w:rPr>
        <w:t xml:space="preserve"> </w:t>
      </w:r>
      <w:r>
        <w:rPr>
          <w:sz w:val="13"/>
        </w:rPr>
        <w:t>la</w:t>
      </w:r>
      <w:r>
        <w:rPr>
          <w:spacing w:val="-4"/>
          <w:sz w:val="13"/>
        </w:rPr>
        <w:t xml:space="preserve"> </w:t>
      </w:r>
      <w:r>
        <w:rPr>
          <w:sz w:val="13"/>
        </w:rPr>
        <w:t>Convención</w:t>
      </w:r>
      <w:r>
        <w:rPr>
          <w:spacing w:val="40"/>
          <w:sz w:val="13"/>
        </w:rPr>
        <w:t xml:space="preserve"> </w:t>
      </w:r>
      <w:r>
        <w:rPr>
          <w:sz w:val="13"/>
        </w:rPr>
        <w:t>sobre los Derechos de las Personas con Discapacidad exige a los Estados: “Adoptar todas las medidas legislativas, administrativas y de otra índole</w:t>
      </w:r>
      <w:r>
        <w:rPr>
          <w:spacing w:val="40"/>
          <w:sz w:val="13"/>
        </w:rPr>
        <w:t xml:space="preserve"> </w:t>
      </w:r>
      <w:r>
        <w:rPr>
          <w:sz w:val="13"/>
        </w:rPr>
        <w:t>apropiadas para la implementación de los derechos reconocidos en la presente Convención”.</w:t>
      </w:r>
    </w:p>
    <w:p w14:paraId="14E32C03" w14:textId="77777777" w:rsidR="0014798C" w:rsidRDefault="0014798C">
      <w:pPr>
        <w:pStyle w:val="Textoindependiente"/>
        <w:rPr>
          <w:sz w:val="19"/>
        </w:rPr>
      </w:pPr>
    </w:p>
    <w:p w14:paraId="6A1C3346" w14:textId="77777777" w:rsidR="0014798C" w:rsidRDefault="0014798C">
      <w:pPr>
        <w:pStyle w:val="Textoindependiente"/>
        <w:rPr>
          <w:sz w:val="19"/>
        </w:rPr>
      </w:pPr>
    </w:p>
    <w:p w14:paraId="56E7E982" w14:textId="77777777" w:rsidR="0014798C" w:rsidRDefault="0014798C">
      <w:pPr>
        <w:pStyle w:val="Textoindependiente"/>
        <w:rPr>
          <w:sz w:val="19"/>
        </w:rPr>
      </w:pPr>
    </w:p>
    <w:p w14:paraId="19F5FB58" w14:textId="77777777" w:rsidR="0014798C" w:rsidRDefault="0014798C">
      <w:pPr>
        <w:pStyle w:val="Textoindependiente"/>
        <w:spacing w:before="17"/>
        <w:rPr>
          <w:sz w:val="19"/>
        </w:rPr>
      </w:pPr>
    </w:p>
    <w:p w14:paraId="0CB80DA7" w14:textId="77777777" w:rsidR="0014798C" w:rsidRDefault="004E1F0B">
      <w:pPr>
        <w:ind w:left="653"/>
        <w:rPr>
          <w:sz w:val="19"/>
        </w:rPr>
      </w:pPr>
      <w:r>
        <w:rPr>
          <w:spacing w:val="-10"/>
          <w:w w:val="105"/>
          <w:sz w:val="19"/>
        </w:rPr>
        <w:t>4</w:t>
      </w:r>
    </w:p>
    <w:p w14:paraId="0BF0795E" w14:textId="77777777" w:rsidR="0014798C" w:rsidRDefault="0014798C">
      <w:pPr>
        <w:rPr>
          <w:sz w:val="19"/>
        </w:rPr>
        <w:sectPr w:rsidR="0014798C" w:rsidSect="00F265E4">
          <w:pgSz w:w="11900" w:h="16820"/>
          <w:pgMar w:top="340" w:right="0" w:bottom="280" w:left="200" w:header="121" w:footer="0" w:gutter="0"/>
          <w:cols w:space="720"/>
        </w:sectPr>
      </w:pPr>
    </w:p>
    <w:p w14:paraId="236CB962" w14:textId="77777777" w:rsidR="0014798C" w:rsidRDefault="0014798C">
      <w:pPr>
        <w:pStyle w:val="Textoindependiente"/>
        <w:rPr>
          <w:sz w:val="10"/>
        </w:rPr>
      </w:pPr>
    </w:p>
    <w:p w14:paraId="1D109ADA" w14:textId="77777777" w:rsidR="0014798C" w:rsidRDefault="0014798C">
      <w:pPr>
        <w:pStyle w:val="Textoindependiente"/>
        <w:spacing w:before="4"/>
        <w:rPr>
          <w:sz w:val="10"/>
        </w:rPr>
      </w:pPr>
    </w:p>
    <w:p w14:paraId="21116428" w14:textId="77777777" w:rsidR="0014798C" w:rsidRDefault="004E1F0B">
      <w:pPr>
        <w:ind w:left="1111"/>
        <w:rPr>
          <w:sz w:val="10"/>
        </w:rPr>
      </w:pPr>
      <w:r>
        <w:rPr>
          <w:color w:val="009EDB"/>
          <w:w w:val="105"/>
          <w:sz w:val="10"/>
        </w:rPr>
        <w:t>PRIMERA</w:t>
      </w:r>
      <w:r>
        <w:rPr>
          <w:color w:val="009EDB"/>
          <w:spacing w:val="3"/>
          <w:w w:val="105"/>
          <w:sz w:val="10"/>
        </w:rPr>
        <w:t xml:space="preserve"> </w:t>
      </w:r>
      <w:r>
        <w:rPr>
          <w:color w:val="009EDB"/>
          <w:w w:val="105"/>
          <w:sz w:val="10"/>
        </w:rPr>
        <w:t>PARTE:</w:t>
      </w:r>
      <w:r>
        <w:rPr>
          <w:color w:val="009EDB"/>
          <w:spacing w:val="2"/>
          <w:w w:val="105"/>
          <w:sz w:val="10"/>
        </w:rPr>
        <w:t xml:space="preserve"> </w:t>
      </w:r>
      <w:r>
        <w:rPr>
          <w:color w:val="009EDB"/>
          <w:w w:val="105"/>
          <w:sz w:val="10"/>
        </w:rPr>
        <w:t>OBLIGACIONES</w:t>
      </w:r>
      <w:r>
        <w:rPr>
          <w:color w:val="009EDB"/>
          <w:spacing w:val="4"/>
          <w:w w:val="105"/>
          <w:sz w:val="10"/>
        </w:rPr>
        <w:t xml:space="preserve"> </w:t>
      </w:r>
      <w:r>
        <w:rPr>
          <w:color w:val="009EDB"/>
          <w:w w:val="105"/>
          <w:sz w:val="10"/>
        </w:rPr>
        <w:t>DE</w:t>
      </w:r>
      <w:r>
        <w:rPr>
          <w:color w:val="009EDB"/>
          <w:spacing w:val="2"/>
          <w:w w:val="105"/>
          <w:sz w:val="10"/>
        </w:rPr>
        <w:t xml:space="preserve"> </w:t>
      </w:r>
      <w:r>
        <w:rPr>
          <w:color w:val="009EDB"/>
          <w:w w:val="105"/>
          <w:sz w:val="10"/>
        </w:rPr>
        <w:t>LOS</w:t>
      </w:r>
      <w:r>
        <w:rPr>
          <w:color w:val="009EDB"/>
          <w:spacing w:val="2"/>
          <w:w w:val="105"/>
          <w:sz w:val="10"/>
        </w:rPr>
        <w:t xml:space="preserve"> </w:t>
      </w:r>
      <w:r>
        <w:rPr>
          <w:color w:val="009EDB"/>
          <w:w w:val="105"/>
          <w:sz w:val="10"/>
        </w:rPr>
        <w:t>ESTADOS</w:t>
      </w:r>
      <w:r>
        <w:rPr>
          <w:color w:val="009EDB"/>
          <w:spacing w:val="4"/>
          <w:w w:val="105"/>
          <w:sz w:val="10"/>
        </w:rPr>
        <w:t xml:space="preserve"> </w:t>
      </w:r>
      <w:r>
        <w:rPr>
          <w:color w:val="009EDB"/>
          <w:w w:val="105"/>
          <w:sz w:val="10"/>
        </w:rPr>
        <w:t>PARA</w:t>
      </w:r>
      <w:r>
        <w:rPr>
          <w:color w:val="009EDB"/>
          <w:spacing w:val="2"/>
          <w:w w:val="105"/>
          <w:sz w:val="10"/>
        </w:rPr>
        <w:t xml:space="preserve"> </w:t>
      </w:r>
      <w:r>
        <w:rPr>
          <w:color w:val="009EDB"/>
          <w:w w:val="105"/>
          <w:sz w:val="10"/>
        </w:rPr>
        <w:t>PROMULGAR</w:t>
      </w:r>
      <w:r>
        <w:rPr>
          <w:color w:val="009EDB"/>
          <w:spacing w:val="3"/>
          <w:w w:val="105"/>
          <w:sz w:val="10"/>
        </w:rPr>
        <w:t xml:space="preserve"> </w:t>
      </w:r>
      <w:r>
        <w:rPr>
          <w:color w:val="009EDB"/>
          <w:w w:val="105"/>
          <w:sz w:val="10"/>
        </w:rPr>
        <w:t>UNA</w:t>
      </w:r>
      <w:r>
        <w:rPr>
          <w:color w:val="009EDB"/>
          <w:spacing w:val="3"/>
          <w:w w:val="105"/>
          <w:sz w:val="10"/>
        </w:rPr>
        <w:t xml:space="preserve"> </w:t>
      </w:r>
      <w:r>
        <w:rPr>
          <w:color w:val="009EDB"/>
          <w:w w:val="105"/>
          <w:sz w:val="10"/>
        </w:rPr>
        <w:t>LEY</w:t>
      </w:r>
      <w:r>
        <w:rPr>
          <w:color w:val="009EDB"/>
          <w:spacing w:val="2"/>
          <w:w w:val="105"/>
          <w:sz w:val="10"/>
        </w:rPr>
        <w:t xml:space="preserve"> </w:t>
      </w:r>
      <w:r>
        <w:rPr>
          <w:color w:val="009EDB"/>
          <w:w w:val="105"/>
          <w:sz w:val="10"/>
        </w:rPr>
        <w:t>INTEGRAL</w:t>
      </w:r>
      <w:r>
        <w:rPr>
          <w:color w:val="009EDB"/>
          <w:spacing w:val="3"/>
          <w:w w:val="105"/>
          <w:sz w:val="10"/>
        </w:rPr>
        <w:t xml:space="preserve"> </w:t>
      </w:r>
      <w:r>
        <w:rPr>
          <w:color w:val="009EDB"/>
          <w:w w:val="105"/>
          <w:sz w:val="10"/>
        </w:rPr>
        <w:t>CONTRA</w:t>
      </w:r>
      <w:r>
        <w:rPr>
          <w:color w:val="009EDB"/>
          <w:spacing w:val="3"/>
          <w:w w:val="105"/>
          <w:sz w:val="10"/>
        </w:rPr>
        <w:t xml:space="preserve"> </w:t>
      </w:r>
      <w:r>
        <w:rPr>
          <w:color w:val="009EDB"/>
          <w:w w:val="105"/>
          <w:sz w:val="10"/>
        </w:rPr>
        <w:t>LA</w:t>
      </w:r>
      <w:r>
        <w:rPr>
          <w:color w:val="009EDB"/>
          <w:spacing w:val="2"/>
          <w:w w:val="105"/>
          <w:sz w:val="10"/>
        </w:rPr>
        <w:t xml:space="preserve"> </w:t>
      </w:r>
      <w:r>
        <w:rPr>
          <w:color w:val="009EDB"/>
          <w:spacing w:val="-2"/>
          <w:w w:val="105"/>
          <w:sz w:val="10"/>
        </w:rPr>
        <w:t>DISCRIMINACIÓN</w:t>
      </w:r>
    </w:p>
    <w:p w14:paraId="333C0688" w14:textId="77777777" w:rsidR="0014798C" w:rsidRDefault="0014798C">
      <w:pPr>
        <w:pStyle w:val="Textoindependiente"/>
      </w:pPr>
    </w:p>
    <w:p w14:paraId="20D36B7F" w14:textId="77777777" w:rsidR="0014798C" w:rsidRDefault="0014798C">
      <w:pPr>
        <w:pStyle w:val="Textoindependiente"/>
      </w:pPr>
    </w:p>
    <w:p w14:paraId="69CFA3AD" w14:textId="77777777" w:rsidR="0014798C" w:rsidRDefault="0014798C">
      <w:pPr>
        <w:pStyle w:val="Textoindependiente"/>
      </w:pPr>
    </w:p>
    <w:p w14:paraId="5DC71B0F" w14:textId="77777777" w:rsidR="0014798C" w:rsidRDefault="0014798C">
      <w:pPr>
        <w:pStyle w:val="Textoindependiente"/>
      </w:pPr>
    </w:p>
    <w:p w14:paraId="3A65E7EA" w14:textId="77777777" w:rsidR="0014798C" w:rsidRDefault="0014798C">
      <w:pPr>
        <w:pStyle w:val="Textoindependiente"/>
        <w:spacing w:before="43"/>
      </w:pPr>
    </w:p>
    <w:p w14:paraId="727ED133" w14:textId="77777777" w:rsidR="0014798C" w:rsidRDefault="004E1F0B">
      <w:pPr>
        <w:pStyle w:val="Textoindependiente"/>
        <w:ind w:left="1108"/>
      </w:pPr>
      <w:r>
        <w:rPr>
          <w:noProof/>
        </w:rPr>
        <w:drawing>
          <wp:anchor distT="0" distB="0" distL="0" distR="0" simplePos="0" relativeHeight="251658363" behindDoc="1" locked="0" layoutInCell="1" allowOverlap="1" wp14:anchorId="2B9855EB" wp14:editId="0E24D6F1">
            <wp:simplePos x="0" y="0"/>
            <wp:positionH relativeFrom="page">
              <wp:posOffset>826632</wp:posOffset>
            </wp:positionH>
            <wp:positionV relativeFrom="paragraph">
              <wp:posOffset>13502</wp:posOffset>
            </wp:positionV>
            <wp:extent cx="6729867" cy="6259240"/>
            <wp:effectExtent l="0" t="0" r="0" b="0"/>
            <wp:wrapNone/>
            <wp:docPr id="60" name="Image 6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60" name="Image 60"/>
                    <pic:cNvPicPr/>
                  </pic:nvPicPr>
                  <pic:blipFill>
                    <a:blip r:embed="rId67" cstate="print"/>
                    <a:stretch>
                      <a:fillRect/>
                    </a:stretch>
                  </pic:blipFill>
                  <pic:spPr>
                    <a:xfrm>
                      <a:off x="0" y="0"/>
                      <a:ext cx="6729867" cy="6259240"/>
                    </a:xfrm>
                    <a:prstGeom prst="rect">
                      <a:avLst/>
                    </a:prstGeom>
                  </pic:spPr>
                </pic:pic>
              </a:graphicData>
            </a:graphic>
          </wp:anchor>
        </w:drawing>
      </w:r>
      <w:r>
        <w:t>ha</w:t>
      </w:r>
      <w:r>
        <w:rPr>
          <w:spacing w:val="5"/>
        </w:rPr>
        <w:t xml:space="preserve"> </w:t>
      </w:r>
      <w:r>
        <w:t>aclarado</w:t>
      </w:r>
      <w:r>
        <w:rPr>
          <w:spacing w:val="5"/>
        </w:rPr>
        <w:t xml:space="preserve"> </w:t>
      </w:r>
      <w:r>
        <w:t>que</w:t>
      </w:r>
      <w:r>
        <w:rPr>
          <w:spacing w:val="6"/>
        </w:rPr>
        <w:t xml:space="preserve"> </w:t>
      </w:r>
      <w:r>
        <w:t>la</w:t>
      </w:r>
      <w:r>
        <w:rPr>
          <w:spacing w:val="5"/>
        </w:rPr>
        <w:t xml:space="preserve"> </w:t>
      </w:r>
      <w:r>
        <w:t>eliminación</w:t>
      </w:r>
      <w:r>
        <w:rPr>
          <w:spacing w:val="6"/>
        </w:rPr>
        <w:t xml:space="preserve"> </w:t>
      </w:r>
      <w:r>
        <w:t>de</w:t>
      </w:r>
      <w:r>
        <w:rPr>
          <w:spacing w:val="5"/>
        </w:rPr>
        <w:t xml:space="preserve"> </w:t>
      </w:r>
      <w:r>
        <w:t>“todas</w:t>
      </w:r>
      <w:r>
        <w:rPr>
          <w:spacing w:val="6"/>
        </w:rPr>
        <w:t xml:space="preserve"> </w:t>
      </w:r>
      <w:r>
        <w:t>las</w:t>
      </w:r>
      <w:r>
        <w:rPr>
          <w:spacing w:val="5"/>
        </w:rPr>
        <w:t xml:space="preserve"> </w:t>
      </w:r>
      <w:r>
        <w:t>formas</w:t>
      </w:r>
      <w:r>
        <w:rPr>
          <w:spacing w:val="6"/>
        </w:rPr>
        <w:t xml:space="preserve"> </w:t>
      </w:r>
      <w:r>
        <w:t>de</w:t>
      </w:r>
      <w:r>
        <w:rPr>
          <w:spacing w:val="5"/>
        </w:rPr>
        <w:t xml:space="preserve"> </w:t>
      </w:r>
      <w:r>
        <w:t>discriminación”</w:t>
      </w:r>
      <w:r>
        <w:rPr>
          <w:spacing w:val="6"/>
        </w:rPr>
        <w:t xml:space="preserve"> </w:t>
      </w:r>
      <w:r>
        <w:t>en</w:t>
      </w:r>
      <w:r>
        <w:rPr>
          <w:spacing w:val="5"/>
        </w:rPr>
        <w:t xml:space="preserve"> </w:t>
      </w:r>
      <w:r>
        <w:t>virtud</w:t>
      </w:r>
      <w:r>
        <w:rPr>
          <w:spacing w:val="6"/>
        </w:rPr>
        <w:t xml:space="preserve"> </w:t>
      </w:r>
      <w:r>
        <w:t>de</w:t>
      </w:r>
      <w:r>
        <w:rPr>
          <w:spacing w:val="5"/>
        </w:rPr>
        <w:t xml:space="preserve"> </w:t>
      </w:r>
      <w:r>
        <w:t>los</w:t>
      </w:r>
      <w:r>
        <w:rPr>
          <w:spacing w:val="5"/>
        </w:rPr>
        <w:t xml:space="preserve"> </w:t>
      </w:r>
      <w:r>
        <w:t>Convenios</w:t>
      </w:r>
      <w:r>
        <w:rPr>
          <w:spacing w:val="6"/>
        </w:rPr>
        <w:t xml:space="preserve"> </w:t>
      </w:r>
      <w:r>
        <w:t>requiere</w:t>
      </w:r>
      <w:r>
        <w:rPr>
          <w:spacing w:val="5"/>
        </w:rPr>
        <w:t xml:space="preserve"> </w:t>
      </w:r>
      <w:r>
        <w:t>la</w:t>
      </w:r>
      <w:r>
        <w:rPr>
          <w:spacing w:val="6"/>
        </w:rPr>
        <w:t xml:space="preserve"> </w:t>
      </w:r>
      <w:r>
        <w:t>prohibición</w:t>
      </w:r>
      <w:r>
        <w:rPr>
          <w:spacing w:val="5"/>
        </w:rPr>
        <w:t xml:space="preserve"> </w:t>
      </w:r>
      <w:r>
        <w:t>de</w:t>
      </w:r>
      <w:r>
        <w:rPr>
          <w:spacing w:val="6"/>
        </w:rPr>
        <w:t xml:space="preserve"> </w:t>
      </w:r>
      <w:r>
        <w:rPr>
          <w:spacing w:val="-5"/>
        </w:rPr>
        <w:t>la</w:t>
      </w:r>
    </w:p>
    <w:p w14:paraId="062C7F87" w14:textId="77777777" w:rsidR="0014798C" w:rsidRDefault="004E1F0B">
      <w:pPr>
        <w:pStyle w:val="Textoindependiente"/>
        <w:spacing w:before="108" w:line="326" w:lineRule="auto"/>
        <w:ind w:left="1109" w:right="1272" w:hanging="3"/>
      </w:pPr>
      <w:r>
        <w:rPr>
          <w:noProof/>
        </w:rPr>
        <mc:AlternateContent>
          <mc:Choice Requires="wps">
            <w:drawing>
              <wp:anchor distT="0" distB="0" distL="0" distR="0" simplePos="0" relativeHeight="251658242" behindDoc="0" locked="0" layoutInCell="1" allowOverlap="1" wp14:anchorId="3656825D" wp14:editId="2FD40712">
                <wp:simplePos x="0" y="0"/>
                <wp:positionH relativeFrom="page">
                  <wp:posOffset>7301499</wp:posOffset>
                </wp:positionH>
                <wp:positionV relativeFrom="paragraph">
                  <wp:posOffset>440292</wp:posOffset>
                </wp:positionV>
                <wp:extent cx="97790" cy="241300"/>
                <wp:effectExtent l="0" t="0" r="0" b="0"/>
                <wp:wrapNone/>
                <wp:docPr id="61" name="Textbox 6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97790" cy="241300"/>
                        </a:xfrm>
                        <a:prstGeom prst="rect">
                          <a:avLst/>
                        </a:prstGeom>
                      </wps:spPr>
                      <wps:txbx>
                        <w:txbxContent>
                          <w:p w14:paraId="286EAA2E" w14:textId="77777777" w:rsidR="0014798C" w:rsidRDefault="004E1F0B">
                            <w:pPr>
                              <w:spacing w:before="18"/>
                              <w:ind w:left="20"/>
                              <w:rPr>
                                <w:sz w:val="10"/>
                              </w:rPr>
                            </w:pPr>
                            <w:r>
                              <w:rPr>
                                <w:color w:val="FFFFFF"/>
                                <w:spacing w:val="-27"/>
                                <w:sz w:val="10"/>
                              </w:rPr>
                              <w:t>UPANROTE</w:t>
                            </w:r>
                          </w:p>
                        </w:txbxContent>
                      </wps:txbx>
                      <wps:bodyPr vert="vert270" wrap="square" lIns="0" tIns="0" rIns="0" bIns="0" rtlCol="0">
                        <a:noAutofit/>
                      </wps:bodyPr>
                    </wps:wsp>
                  </a:graphicData>
                </a:graphic>
              </wp:anchor>
            </w:drawing>
          </mc:Choice>
          <mc:Fallback>
            <w:pict>
              <v:shape w14:anchorId="3656825D" id="Textbox 61" o:spid="_x0000_s1043" type="#_x0000_t202" style="position:absolute;left:0;text-align:left;margin-left:574.9pt;margin-top:34.65pt;width:7.7pt;height:19pt;z-index:251658242;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" filled="f" stroked="f">
                <v:textbox style="layout-flow:vertical;mso-layout-flow-alt:bottom-to-top" inset="0,0,0,0">
                  <w:txbxContent>
                    <w:p w14:paraId="286EAA2E" w14:textId="77777777" w:rsidR="0014798C" w:rsidRDefault="004E1F0B">
                      <w:pPr>
                        <w:spacing w:before="18"/>
                        <w:ind w:left="20"/>
                        <w:rPr>
                          <w:sz w:val="10"/>
                        </w:rPr>
                      </w:pPr>
                      <w:r>
                        <w:rPr>
                          <w:color w:val="FFFFFF"/>
                          <w:spacing w:val="-27"/>
                          <w:sz w:val="10"/>
                        </w:rPr>
                        <w:t>UPANROTE</w:t>
                      </w:r>
                    </w:p>
                  </w:txbxContent>
                </v:textbox>
                <w10:wrap anchorx="page"/>
              </v:shape>
            </w:pict>
          </mc:Fallback>
        </mc:AlternateContent>
      </w:r>
      <w:r>
        <w:t>discriminación interseccional.49 Como tal, se entiende correctamente que la obligación de promulgar legislación contra la discriminación en virtud de estos instrumentos exige la adopción de una ley integral contra la discriminación. y los órganos de tratados han hecho recomendaciones pertinentes a este efecto.50</w:t>
      </w:r>
    </w:p>
    <w:p w14:paraId="74250407" w14:textId="77777777" w:rsidR="0014798C" w:rsidRDefault="004E1F0B">
      <w:pPr>
        <w:pStyle w:val="Textoindependiente"/>
        <w:spacing w:before="161" w:line="328" w:lineRule="auto"/>
        <w:ind w:left="1107" w:right="1463" w:firstLine="5"/>
      </w:pPr>
      <w:r>
        <w:t>Desde 2010, el Comité para la Eliminación de la Discriminación Racial ha dirigido recomendaciones para la adopción de legislación integral contra la discriminación a al menos 12 Estados, entre ellos Belice, Islandia, el Iraq, Israel, Kazajstán, Kirguistán, Letonia, el Pakistán, la Federación de Rusia, Vietnam, Zambia y el Estado de Palestina.51 Por ejemplo, en 2018, el Comité recomendó que Kirguistán: “adopte una legislación integral contra la discriminación que... [defina] la discriminación</w:t>
      </w:r>
      <w:r>
        <w:rPr>
          <w:spacing w:val="80"/>
        </w:rPr>
        <w:t xml:space="preserve"> </w:t>
      </w:r>
      <w:r>
        <w:t>directa e indirecta, incluya todos los motivos de discriminación y prohíba todos los tipos de discriminación. formas de discriminación racial”.52</w:t>
      </w:r>
    </w:p>
    <w:p w14:paraId="4B188444" w14:textId="77777777" w:rsidR="0014798C" w:rsidRDefault="004E1F0B">
      <w:pPr>
        <w:pStyle w:val="Textoindependiente"/>
        <w:spacing w:before="163" w:line="326" w:lineRule="auto"/>
        <w:ind w:left="1103" w:right="1185" w:firstLine="4"/>
      </w:pPr>
      <w:r>
        <w:t>En su recomendación general núm. 28 (2011), el Comité para la Eliminación de la Discriminación contra la Mujer señaló que el artículo</w:t>
      </w:r>
      <w:r>
        <w:rPr>
          <w:spacing w:val="14"/>
        </w:rPr>
        <w:t xml:space="preserve"> </w:t>
      </w:r>
      <w:r>
        <w:t>2</w:t>
      </w:r>
      <w:r>
        <w:rPr>
          <w:spacing w:val="14"/>
        </w:rPr>
        <w:t xml:space="preserve"> </w:t>
      </w:r>
      <w:r>
        <w:t>de</w:t>
      </w:r>
      <w:r>
        <w:rPr>
          <w:spacing w:val="14"/>
        </w:rPr>
        <w:t xml:space="preserve"> </w:t>
      </w:r>
      <w:r>
        <w:t>la</w:t>
      </w:r>
      <w:r>
        <w:rPr>
          <w:spacing w:val="14"/>
        </w:rPr>
        <w:t xml:space="preserve"> </w:t>
      </w:r>
      <w:r>
        <w:t>Convención</w:t>
      </w:r>
      <w:r>
        <w:rPr>
          <w:spacing w:val="14"/>
        </w:rPr>
        <w:t xml:space="preserve"> </w:t>
      </w:r>
      <w:r>
        <w:t>establecía</w:t>
      </w:r>
      <w:r>
        <w:rPr>
          <w:spacing w:val="14"/>
        </w:rPr>
        <w:t xml:space="preserve"> </w:t>
      </w:r>
      <w:r>
        <w:t>la</w:t>
      </w:r>
      <w:r>
        <w:rPr>
          <w:spacing w:val="14"/>
        </w:rPr>
        <w:t xml:space="preserve"> </w:t>
      </w:r>
      <w:r>
        <w:t>obligación</w:t>
      </w:r>
      <w:r>
        <w:rPr>
          <w:spacing w:val="14"/>
        </w:rPr>
        <w:t xml:space="preserve"> </w:t>
      </w:r>
      <w:r>
        <w:t>de</w:t>
      </w:r>
      <w:r>
        <w:rPr>
          <w:spacing w:val="14"/>
        </w:rPr>
        <w:t xml:space="preserve"> </w:t>
      </w:r>
      <w:r>
        <w:t>“promulgar</w:t>
      </w:r>
      <w:r>
        <w:rPr>
          <w:spacing w:val="14"/>
        </w:rPr>
        <w:t xml:space="preserve"> </w:t>
      </w:r>
      <w:r>
        <w:t>legislación</w:t>
      </w:r>
      <w:r>
        <w:rPr>
          <w:spacing w:val="14"/>
        </w:rPr>
        <w:t xml:space="preserve"> </w:t>
      </w:r>
      <w:r>
        <w:t>que</w:t>
      </w:r>
      <w:r>
        <w:rPr>
          <w:spacing w:val="14"/>
        </w:rPr>
        <w:t xml:space="preserve"> </w:t>
      </w:r>
      <w:r>
        <w:t>prohíba</w:t>
      </w:r>
      <w:r>
        <w:rPr>
          <w:spacing w:val="14"/>
        </w:rPr>
        <w:t xml:space="preserve"> </w:t>
      </w:r>
      <w:r>
        <w:t>la</w:t>
      </w:r>
      <w:r>
        <w:rPr>
          <w:spacing w:val="14"/>
        </w:rPr>
        <w:t xml:space="preserve"> </w:t>
      </w:r>
      <w:r>
        <w:t>discriminación</w:t>
      </w:r>
      <w:r>
        <w:rPr>
          <w:spacing w:val="16"/>
        </w:rPr>
        <w:t xml:space="preserve"> </w:t>
      </w:r>
      <w:r>
        <w:t>en</w:t>
      </w:r>
      <w:r>
        <w:rPr>
          <w:spacing w:val="14"/>
        </w:rPr>
        <w:t xml:space="preserve"> </w:t>
      </w:r>
      <w:r>
        <w:t>todos</w:t>
      </w:r>
      <w:r>
        <w:rPr>
          <w:spacing w:val="14"/>
        </w:rPr>
        <w:t xml:space="preserve"> </w:t>
      </w:r>
      <w:r>
        <w:t>los</w:t>
      </w:r>
      <w:r>
        <w:rPr>
          <w:spacing w:val="14"/>
        </w:rPr>
        <w:t xml:space="preserve"> </w:t>
      </w:r>
      <w:r>
        <w:t>ámbitos de</w:t>
      </w:r>
      <w:r>
        <w:rPr>
          <w:spacing w:val="14"/>
        </w:rPr>
        <w:t xml:space="preserve"> </w:t>
      </w:r>
      <w:r>
        <w:t>la</w:t>
      </w:r>
      <w:r>
        <w:rPr>
          <w:spacing w:val="14"/>
        </w:rPr>
        <w:t xml:space="preserve"> </w:t>
      </w:r>
      <w:r>
        <w:t>vida</w:t>
      </w:r>
      <w:r>
        <w:rPr>
          <w:spacing w:val="14"/>
        </w:rPr>
        <w:t xml:space="preserve"> </w:t>
      </w:r>
      <w:r>
        <w:t>de</w:t>
      </w:r>
      <w:r>
        <w:rPr>
          <w:spacing w:val="14"/>
        </w:rPr>
        <w:t xml:space="preserve"> </w:t>
      </w:r>
      <w:r>
        <w:t>las</w:t>
      </w:r>
      <w:r>
        <w:rPr>
          <w:spacing w:val="14"/>
        </w:rPr>
        <w:t xml:space="preserve"> </w:t>
      </w:r>
      <w:r>
        <w:t>mujeres</w:t>
      </w:r>
      <w:r>
        <w:rPr>
          <w:spacing w:val="14"/>
        </w:rPr>
        <w:t xml:space="preserve"> </w:t>
      </w:r>
      <w:r>
        <w:t>en</w:t>
      </w:r>
      <w:r>
        <w:rPr>
          <w:spacing w:val="14"/>
        </w:rPr>
        <w:t xml:space="preserve"> </w:t>
      </w:r>
      <w:r>
        <w:t>virtud</w:t>
      </w:r>
      <w:r>
        <w:rPr>
          <w:spacing w:val="14"/>
        </w:rPr>
        <w:t xml:space="preserve"> </w:t>
      </w:r>
      <w:r>
        <w:t>de</w:t>
      </w:r>
      <w:r>
        <w:rPr>
          <w:spacing w:val="14"/>
        </w:rPr>
        <w:t xml:space="preserve"> </w:t>
      </w:r>
      <w:r>
        <w:t>la</w:t>
      </w:r>
      <w:r>
        <w:rPr>
          <w:spacing w:val="14"/>
        </w:rPr>
        <w:t xml:space="preserve"> </w:t>
      </w:r>
      <w:r>
        <w:t>Convención”,</w:t>
      </w:r>
      <w:r>
        <w:rPr>
          <w:spacing w:val="16"/>
        </w:rPr>
        <w:t xml:space="preserve"> </w:t>
      </w:r>
      <w:r>
        <w:t>aclarando</w:t>
      </w:r>
      <w:r>
        <w:rPr>
          <w:spacing w:val="14"/>
        </w:rPr>
        <w:t xml:space="preserve"> </w:t>
      </w:r>
      <w:r>
        <w:t>que</w:t>
      </w:r>
      <w:r>
        <w:rPr>
          <w:spacing w:val="14"/>
        </w:rPr>
        <w:t xml:space="preserve"> </w:t>
      </w:r>
      <w:r>
        <w:t>dicha</w:t>
      </w:r>
      <w:r>
        <w:rPr>
          <w:spacing w:val="14"/>
        </w:rPr>
        <w:t xml:space="preserve"> </w:t>
      </w:r>
      <w:r>
        <w:t>legislación</w:t>
      </w:r>
      <w:r>
        <w:rPr>
          <w:spacing w:val="14"/>
        </w:rPr>
        <w:t xml:space="preserve"> </w:t>
      </w:r>
      <w:r>
        <w:t>debe</w:t>
      </w:r>
      <w:r>
        <w:rPr>
          <w:spacing w:val="14"/>
        </w:rPr>
        <w:t xml:space="preserve"> </w:t>
      </w:r>
      <w:r>
        <w:t>prohibir</w:t>
      </w:r>
      <w:r>
        <w:rPr>
          <w:spacing w:val="14"/>
        </w:rPr>
        <w:t xml:space="preserve"> </w:t>
      </w:r>
      <w:r>
        <w:t>la</w:t>
      </w:r>
      <w:r>
        <w:rPr>
          <w:spacing w:val="14"/>
        </w:rPr>
        <w:t xml:space="preserve"> </w:t>
      </w:r>
      <w:r>
        <w:t>discriminación</w:t>
      </w:r>
      <w:r>
        <w:rPr>
          <w:spacing w:val="15"/>
        </w:rPr>
        <w:t xml:space="preserve"> </w:t>
      </w:r>
      <w:r>
        <w:t>tanto directa como indirecta, aplicarse tanto a actores públicos como privados, prever un recurso efectivo y –lo que es más importante– “reconocer legalmente esas formas interseccionales de discriminación... y prohibirlas”.53</w:t>
      </w:r>
    </w:p>
    <w:p w14:paraId="06970B22" w14:textId="77777777" w:rsidR="0014798C" w:rsidRDefault="004E1F0B">
      <w:pPr>
        <w:pStyle w:val="Textoindependiente"/>
        <w:spacing w:before="168" w:line="326" w:lineRule="auto"/>
        <w:ind w:left="1106" w:right="1251"/>
      </w:pPr>
      <w:r>
        <w:t>El Comité sobre los Derechos de las Personas con Discapacidad también ha publicado orientaciones sobre los derechos a la igualdad</w:t>
      </w:r>
      <w:r>
        <w:rPr>
          <w:spacing w:val="13"/>
        </w:rPr>
        <w:t xml:space="preserve"> </w:t>
      </w:r>
      <w:r>
        <w:t>y</w:t>
      </w:r>
      <w:r>
        <w:rPr>
          <w:spacing w:val="13"/>
        </w:rPr>
        <w:t xml:space="preserve"> </w:t>
      </w:r>
      <w:r>
        <w:t>la</w:t>
      </w:r>
      <w:r>
        <w:rPr>
          <w:spacing w:val="13"/>
        </w:rPr>
        <w:t xml:space="preserve"> </w:t>
      </w:r>
      <w:r>
        <w:t>no</w:t>
      </w:r>
      <w:r>
        <w:rPr>
          <w:spacing w:val="13"/>
        </w:rPr>
        <w:t xml:space="preserve"> </w:t>
      </w:r>
      <w:r>
        <w:t>discriminación.</w:t>
      </w:r>
      <w:r>
        <w:rPr>
          <w:spacing w:val="15"/>
        </w:rPr>
        <w:t xml:space="preserve"> </w:t>
      </w:r>
      <w:r>
        <w:t>Reflejando</w:t>
      </w:r>
      <w:r>
        <w:rPr>
          <w:spacing w:val="13"/>
        </w:rPr>
        <w:t xml:space="preserve"> </w:t>
      </w:r>
      <w:r>
        <w:t>la</w:t>
      </w:r>
      <w:r>
        <w:rPr>
          <w:spacing w:val="13"/>
        </w:rPr>
        <w:t xml:space="preserve"> </w:t>
      </w:r>
      <w:r>
        <w:t>posición</w:t>
      </w:r>
      <w:r>
        <w:rPr>
          <w:spacing w:val="13"/>
        </w:rPr>
        <w:t xml:space="preserve"> </w:t>
      </w:r>
      <w:r>
        <w:t>desarrollada</w:t>
      </w:r>
      <w:r>
        <w:rPr>
          <w:spacing w:val="14"/>
        </w:rPr>
        <w:t xml:space="preserve"> </w:t>
      </w:r>
      <w:r>
        <w:t>anteriormente</w:t>
      </w:r>
      <w:r>
        <w:rPr>
          <w:spacing w:val="13"/>
        </w:rPr>
        <w:t xml:space="preserve"> </w:t>
      </w:r>
      <w:r>
        <w:t>por</w:t>
      </w:r>
      <w:r>
        <w:rPr>
          <w:spacing w:val="13"/>
        </w:rPr>
        <w:t xml:space="preserve"> </w:t>
      </w:r>
      <w:r>
        <w:t>los</w:t>
      </w:r>
      <w:r>
        <w:rPr>
          <w:spacing w:val="13"/>
        </w:rPr>
        <w:t xml:space="preserve"> </w:t>
      </w:r>
      <w:r>
        <w:t>órganos</w:t>
      </w:r>
      <w:r>
        <w:rPr>
          <w:spacing w:val="13"/>
        </w:rPr>
        <w:t xml:space="preserve"> </w:t>
      </w:r>
      <w:r>
        <w:t>creados</w:t>
      </w:r>
      <w:r>
        <w:rPr>
          <w:spacing w:val="13"/>
        </w:rPr>
        <w:t xml:space="preserve"> </w:t>
      </w:r>
      <w:r>
        <w:t>en</w:t>
      </w:r>
      <w:r>
        <w:rPr>
          <w:spacing w:val="13"/>
        </w:rPr>
        <w:t xml:space="preserve"> </w:t>
      </w:r>
      <w:r>
        <w:t>virtud</w:t>
      </w:r>
      <w:r>
        <w:rPr>
          <w:spacing w:val="13"/>
        </w:rPr>
        <w:t xml:space="preserve"> </w:t>
      </w:r>
      <w:r>
        <w:t>de</w:t>
      </w:r>
      <w:r>
        <w:rPr>
          <w:spacing w:val="13"/>
        </w:rPr>
        <w:t xml:space="preserve"> </w:t>
      </w:r>
      <w:r>
        <w:t>tratados, en su Observación general núm. 6 (2018), el Comité declaró claramente que la Convención creaba una “obligación de promulgar legislación específica y completa contra la discriminación”.54 El Comité pasó a elaborar la alcance personal y material de dicha legislación, las formas de conducta prohibida y las medidas necesarias para garantizar el cumplimiento y la implementación</w:t>
      </w:r>
      <w:r>
        <w:rPr>
          <w:spacing w:val="80"/>
        </w:rPr>
        <w:t xml:space="preserve"> </w:t>
      </w:r>
      <w:r>
        <w:t>efectiva de los derechos.55 El Comité sitúa esta obligación como un medio necesario para dar efecto al modelo inclusivo de igualdad, que elabora lo siguiente:</w:t>
      </w:r>
    </w:p>
    <w:p w14:paraId="6B92D670" w14:textId="77777777" w:rsidR="0014798C" w:rsidRDefault="004E1F0B">
      <w:pPr>
        <w:pStyle w:val="Textoindependiente"/>
        <w:spacing w:before="166" w:line="326" w:lineRule="auto"/>
        <w:ind w:left="1673" w:right="1725" w:hanging="1"/>
      </w:pPr>
      <w:r>
        <w:rPr>
          <w:color w:val="009EDB"/>
        </w:rPr>
        <w:t>La igualdad inclusiva es un nuevo modelo de igualdad desarrollado a lo largo de la Convención. Abarca un modelo sustantivo de igualdad y amplía y profundiza el contenido de la igualdad en: (a) una dimensión redistributiva justa para abordar las desventajas socioeconómicas; b) una dimensión de reconocimiento para combatir el estigma, los estereotipos, los prejuicios y la violencia y reconocer la dignidad de los seres humanos y su interseccionalidad; (c) una dimensión participativa para reafirmar la naturaleza social de las personas como miembros de grupos sociales</w:t>
      </w:r>
    </w:p>
    <w:p w14:paraId="7B3984A4" w14:textId="77777777" w:rsidR="0014798C" w:rsidRDefault="004E1F0B">
      <w:pPr>
        <w:pStyle w:val="Textoindependiente"/>
        <w:spacing w:line="326" w:lineRule="auto"/>
        <w:ind w:left="1678" w:right="1463" w:hanging="4"/>
      </w:pPr>
      <w:r>
        <w:rPr>
          <w:color w:val="009EDB"/>
        </w:rPr>
        <w:t xml:space="preserve">y el pleno reconocimiento de la humanidad a través de la inclusión en la sociedad; y (d) una dimensión acomodaticia para dejar espacio a la diferencia como una cuestión de dignidad humana. La Convención se basa en la igualdad </w:t>
      </w:r>
      <w:r>
        <w:rPr>
          <w:color w:val="009EDB"/>
          <w:spacing w:val="-2"/>
        </w:rPr>
        <w:t>inclusiva.56</w:t>
      </w:r>
    </w:p>
    <w:p w14:paraId="68A26E74" w14:textId="77777777" w:rsidR="0014798C" w:rsidRDefault="004E1F0B">
      <w:pPr>
        <w:pStyle w:val="Textoindependiente"/>
        <w:spacing w:before="167" w:line="326" w:lineRule="auto"/>
        <w:ind w:left="1110" w:right="1462" w:hanging="2"/>
        <w:jc w:val="both"/>
      </w:pPr>
      <w:r>
        <w:t>En otras áreas del derecho internacional, la Comisión de Expertos en Aplicación de Convenios y Recomendaciones de la OIT</w:t>
      </w:r>
      <w:r>
        <w:rPr>
          <w:spacing w:val="40"/>
        </w:rPr>
        <w:t xml:space="preserve"> </w:t>
      </w:r>
      <w:r>
        <w:t>ha recomendado repetidamente la promulgación de legislación integral contra la discriminación.57</w:t>
      </w:r>
    </w:p>
    <w:p w14:paraId="3A74411E" w14:textId="77777777" w:rsidR="0014798C" w:rsidRDefault="004E1F0B">
      <w:pPr>
        <w:pStyle w:val="Textoindependiente"/>
        <w:spacing w:line="326" w:lineRule="auto"/>
        <w:ind w:left="1109" w:right="1514" w:firstLine="2"/>
        <w:jc w:val="both"/>
      </w:pPr>
      <w:r>
        <w:t>Según el Comité, esa ley puede ser necesaria para abordar patrones persistentes de discriminación en el empleo incluso en aquellos Estados en los que ya se han adoptado garantías constitucionales de igualdad o disposiciones de no discriminación</w:t>
      </w:r>
      <w:r>
        <w:rPr>
          <w:spacing w:val="40"/>
        </w:rPr>
        <w:t xml:space="preserve"> </w:t>
      </w:r>
      <w:r>
        <w:t>en la legislación laboral general58.</w:t>
      </w:r>
    </w:p>
    <w:p w14:paraId="18F2E1BC" w14:textId="77777777" w:rsidR="0014798C" w:rsidRDefault="0014798C">
      <w:pPr>
        <w:pStyle w:val="Textoindependiente"/>
        <w:rPr>
          <w:sz w:val="12"/>
        </w:rPr>
      </w:pPr>
    </w:p>
    <w:p w14:paraId="38CAA7DD" w14:textId="77777777" w:rsidR="0014798C" w:rsidRDefault="0014798C">
      <w:pPr>
        <w:pStyle w:val="Textoindependiente"/>
        <w:rPr>
          <w:sz w:val="12"/>
        </w:rPr>
      </w:pPr>
    </w:p>
    <w:p w14:paraId="51969676" w14:textId="77777777" w:rsidR="0014798C" w:rsidRDefault="0014798C">
      <w:pPr>
        <w:pStyle w:val="Textoindependiente"/>
        <w:spacing w:before="37"/>
        <w:rPr>
          <w:sz w:val="12"/>
        </w:rPr>
      </w:pPr>
    </w:p>
    <w:p w14:paraId="19170A28" w14:textId="77777777" w:rsidR="0014798C" w:rsidRDefault="004E1F0B">
      <w:pPr>
        <w:spacing w:line="312" w:lineRule="auto"/>
        <w:ind w:left="1369" w:right="1505" w:hanging="265"/>
        <w:rPr>
          <w:sz w:val="12"/>
        </w:rPr>
      </w:pPr>
      <w:r>
        <w:rPr>
          <w:w w:val="105"/>
          <w:sz w:val="12"/>
        </w:rPr>
        <w:t>49</w:t>
      </w:r>
      <w:r>
        <w:rPr>
          <w:spacing w:val="-4"/>
          <w:w w:val="105"/>
          <w:sz w:val="12"/>
        </w:rPr>
        <w:t xml:space="preserve"> </w:t>
      </w:r>
      <w:r>
        <w:rPr>
          <w:w w:val="105"/>
          <w:sz w:val="12"/>
        </w:rPr>
        <w:t>Comité</w:t>
      </w:r>
      <w:r>
        <w:rPr>
          <w:spacing w:val="-4"/>
          <w:w w:val="105"/>
          <w:sz w:val="12"/>
        </w:rPr>
        <w:t xml:space="preserve"> </w:t>
      </w:r>
      <w:r>
        <w:rPr>
          <w:w w:val="105"/>
          <w:sz w:val="12"/>
        </w:rPr>
        <w:t>para</w:t>
      </w:r>
      <w:r>
        <w:rPr>
          <w:spacing w:val="-4"/>
          <w:w w:val="105"/>
          <w:sz w:val="12"/>
        </w:rPr>
        <w:t xml:space="preserve"> </w:t>
      </w:r>
      <w:r>
        <w:rPr>
          <w:w w:val="105"/>
          <w:sz w:val="12"/>
        </w:rPr>
        <w:t>la</w:t>
      </w:r>
      <w:r>
        <w:rPr>
          <w:spacing w:val="-4"/>
          <w:w w:val="105"/>
          <w:sz w:val="12"/>
        </w:rPr>
        <w:t xml:space="preserve"> </w:t>
      </w:r>
      <w:r>
        <w:rPr>
          <w:w w:val="105"/>
          <w:sz w:val="12"/>
        </w:rPr>
        <w:t>Eliminación</w:t>
      </w:r>
      <w:r>
        <w:rPr>
          <w:spacing w:val="-4"/>
          <w:w w:val="105"/>
          <w:sz w:val="12"/>
        </w:rPr>
        <w:t xml:space="preserve"> </w:t>
      </w:r>
      <w:r>
        <w:rPr>
          <w:w w:val="105"/>
          <w:sz w:val="12"/>
        </w:rPr>
        <w:t>de</w:t>
      </w:r>
      <w:r>
        <w:rPr>
          <w:spacing w:val="-4"/>
          <w:w w:val="105"/>
          <w:sz w:val="12"/>
        </w:rPr>
        <w:t xml:space="preserve"> </w:t>
      </w:r>
      <w:r>
        <w:rPr>
          <w:w w:val="105"/>
          <w:sz w:val="12"/>
        </w:rPr>
        <w:t>la</w:t>
      </w:r>
      <w:r>
        <w:rPr>
          <w:spacing w:val="-4"/>
          <w:w w:val="105"/>
          <w:sz w:val="12"/>
        </w:rPr>
        <w:t xml:space="preserve"> </w:t>
      </w:r>
      <w:r>
        <w:rPr>
          <w:w w:val="105"/>
          <w:sz w:val="12"/>
        </w:rPr>
        <w:t>Discriminación</w:t>
      </w:r>
      <w:r>
        <w:rPr>
          <w:spacing w:val="-4"/>
          <w:w w:val="105"/>
          <w:sz w:val="12"/>
        </w:rPr>
        <w:t xml:space="preserve"> </w:t>
      </w:r>
      <w:r>
        <w:rPr>
          <w:w w:val="105"/>
          <w:sz w:val="12"/>
        </w:rPr>
        <w:t>Racial,</w:t>
      </w:r>
      <w:r>
        <w:rPr>
          <w:spacing w:val="-3"/>
          <w:w w:val="105"/>
          <w:sz w:val="12"/>
        </w:rPr>
        <w:t xml:space="preserve"> </w:t>
      </w:r>
      <w:r>
        <w:rPr>
          <w:w w:val="105"/>
          <w:sz w:val="12"/>
        </w:rPr>
        <w:t>recomendación</w:t>
      </w:r>
      <w:r>
        <w:rPr>
          <w:spacing w:val="-4"/>
          <w:w w:val="105"/>
          <w:sz w:val="12"/>
        </w:rPr>
        <w:t xml:space="preserve"> </w:t>
      </w:r>
      <w:r>
        <w:rPr>
          <w:w w:val="105"/>
          <w:sz w:val="12"/>
        </w:rPr>
        <w:t>general</w:t>
      </w:r>
      <w:r>
        <w:rPr>
          <w:spacing w:val="-4"/>
          <w:w w:val="105"/>
          <w:sz w:val="12"/>
        </w:rPr>
        <w:t xml:space="preserve"> </w:t>
      </w:r>
      <w:r>
        <w:rPr>
          <w:w w:val="105"/>
          <w:sz w:val="12"/>
        </w:rPr>
        <w:t>núm.</w:t>
      </w:r>
      <w:r>
        <w:rPr>
          <w:spacing w:val="-4"/>
          <w:w w:val="105"/>
          <w:sz w:val="12"/>
        </w:rPr>
        <w:t xml:space="preserve"> </w:t>
      </w:r>
      <w:r>
        <w:rPr>
          <w:w w:val="105"/>
          <w:sz w:val="12"/>
        </w:rPr>
        <w:t>32</w:t>
      </w:r>
      <w:r>
        <w:rPr>
          <w:spacing w:val="-4"/>
          <w:w w:val="105"/>
          <w:sz w:val="12"/>
        </w:rPr>
        <w:t xml:space="preserve"> </w:t>
      </w:r>
      <w:r>
        <w:rPr>
          <w:w w:val="105"/>
          <w:sz w:val="12"/>
        </w:rPr>
        <w:t>(2009),</w:t>
      </w:r>
      <w:r>
        <w:rPr>
          <w:spacing w:val="-3"/>
          <w:w w:val="105"/>
          <w:sz w:val="12"/>
        </w:rPr>
        <w:t xml:space="preserve"> </w:t>
      </w:r>
      <w:r>
        <w:rPr>
          <w:w w:val="105"/>
          <w:sz w:val="12"/>
        </w:rPr>
        <w:t>párr.</w:t>
      </w:r>
      <w:r>
        <w:rPr>
          <w:spacing w:val="-4"/>
          <w:w w:val="105"/>
          <w:sz w:val="12"/>
        </w:rPr>
        <w:t xml:space="preserve"> </w:t>
      </w:r>
      <w:r>
        <w:rPr>
          <w:w w:val="95"/>
          <w:sz w:val="12"/>
        </w:rPr>
        <w:t>7;</w:t>
      </w:r>
      <w:r>
        <w:rPr>
          <w:spacing w:val="-1"/>
          <w:w w:val="95"/>
          <w:sz w:val="12"/>
        </w:rPr>
        <w:t xml:space="preserve"> </w:t>
      </w:r>
      <w:r>
        <w:rPr>
          <w:w w:val="105"/>
          <w:sz w:val="12"/>
        </w:rPr>
        <w:t>Comité</w:t>
      </w:r>
      <w:r>
        <w:rPr>
          <w:spacing w:val="-4"/>
          <w:w w:val="105"/>
          <w:sz w:val="12"/>
        </w:rPr>
        <w:t xml:space="preserve"> </w:t>
      </w:r>
      <w:r>
        <w:rPr>
          <w:w w:val="105"/>
          <w:sz w:val="12"/>
        </w:rPr>
        <w:t>para</w:t>
      </w:r>
      <w:r>
        <w:rPr>
          <w:spacing w:val="-4"/>
          <w:w w:val="105"/>
          <w:sz w:val="12"/>
        </w:rPr>
        <w:t xml:space="preserve"> </w:t>
      </w:r>
      <w:r>
        <w:rPr>
          <w:w w:val="105"/>
          <w:sz w:val="12"/>
        </w:rPr>
        <w:t>la</w:t>
      </w:r>
      <w:r>
        <w:rPr>
          <w:spacing w:val="-4"/>
          <w:w w:val="105"/>
          <w:sz w:val="12"/>
        </w:rPr>
        <w:t xml:space="preserve"> </w:t>
      </w:r>
      <w:r>
        <w:rPr>
          <w:w w:val="105"/>
          <w:sz w:val="12"/>
        </w:rPr>
        <w:t>Eliminación</w:t>
      </w:r>
      <w:r>
        <w:rPr>
          <w:spacing w:val="-4"/>
          <w:w w:val="105"/>
          <w:sz w:val="12"/>
        </w:rPr>
        <w:t xml:space="preserve"> </w:t>
      </w:r>
      <w:r>
        <w:rPr>
          <w:w w:val="105"/>
          <w:sz w:val="12"/>
        </w:rPr>
        <w:t>de</w:t>
      </w:r>
      <w:r>
        <w:rPr>
          <w:spacing w:val="-4"/>
          <w:w w:val="105"/>
          <w:sz w:val="12"/>
        </w:rPr>
        <w:t xml:space="preserve"> </w:t>
      </w:r>
      <w:r>
        <w:rPr>
          <w:w w:val="105"/>
          <w:sz w:val="12"/>
        </w:rPr>
        <w:t>la</w:t>
      </w:r>
      <w:r>
        <w:rPr>
          <w:spacing w:val="-4"/>
          <w:w w:val="105"/>
          <w:sz w:val="12"/>
        </w:rPr>
        <w:t xml:space="preserve"> </w:t>
      </w:r>
      <w:r>
        <w:rPr>
          <w:w w:val="105"/>
          <w:sz w:val="12"/>
        </w:rPr>
        <w:t>Discriminación</w:t>
      </w:r>
      <w:r>
        <w:rPr>
          <w:spacing w:val="-4"/>
          <w:w w:val="105"/>
          <w:sz w:val="12"/>
        </w:rPr>
        <w:t xml:space="preserve"> </w:t>
      </w:r>
      <w:r>
        <w:rPr>
          <w:w w:val="105"/>
          <w:sz w:val="12"/>
        </w:rPr>
        <w:t>contra</w:t>
      </w:r>
      <w:r>
        <w:rPr>
          <w:spacing w:val="40"/>
          <w:w w:val="105"/>
          <w:sz w:val="12"/>
        </w:rPr>
        <w:t xml:space="preserve"> </w:t>
      </w:r>
      <w:r>
        <w:rPr>
          <w:w w:val="105"/>
          <w:sz w:val="12"/>
        </w:rPr>
        <w:t>la</w:t>
      </w:r>
      <w:r>
        <w:rPr>
          <w:spacing w:val="-2"/>
          <w:w w:val="105"/>
          <w:sz w:val="12"/>
        </w:rPr>
        <w:t xml:space="preserve"> </w:t>
      </w:r>
      <w:r>
        <w:rPr>
          <w:w w:val="105"/>
          <w:sz w:val="12"/>
        </w:rPr>
        <w:t>Mujer,</w:t>
      </w:r>
      <w:r>
        <w:rPr>
          <w:spacing w:val="-1"/>
          <w:w w:val="105"/>
          <w:sz w:val="12"/>
        </w:rPr>
        <w:t xml:space="preserve"> </w:t>
      </w:r>
      <w:r>
        <w:rPr>
          <w:w w:val="105"/>
          <w:sz w:val="12"/>
        </w:rPr>
        <w:t>recomendación</w:t>
      </w:r>
      <w:r>
        <w:rPr>
          <w:spacing w:val="-2"/>
          <w:w w:val="105"/>
          <w:sz w:val="12"/>
        </w:rPr>
        <w:t xml:space="preserve"> </w:t>
      </w:r>
      <w:r>
        <w:rPr>
          <w:w w:val="105"/>
          <w:sz w:val="12"/>
        </w:rPr>
        <w:t>general</w:t>
      </w:r>
      <w:r>
        <w:rPr>
          <w:spacing w:val="-2"/>
          <w:w w:val="105"/>
          <w:sz w:val="12"/>
        </w:rPr>
        <w:t xml:space="preserve"> </w:t>
      </w:r>
      <w:r>
        <w:rPr>
          <w:w w:val="105"/>
          <w:sz w:val="12"/>
        </w:rPr>
        <w:t>núm.</w:t>
      </w:r>
      <w:r>
        <w:rPr>
          <w:spacing w:val="-2"/>
          <w:w w:val="105"/>
          <w:sz w:val="12"/>
        </w:rPr>
        <w:t xml:space="preserve"> </w:t>
      </w:r>
      <w:r>
        <w:rPr>
          <w:w w:val="105"/>
          <w:sz w:val="12"/>
        </w:rPr>
        <w:t>28</w:t>
      </w:r>
      <w:r>
        <w:rPr>
          <w:spacing w:val="-2"/>
          <w:w w:val="105"/>
          <w:sz w:val="12"/>
        </w:rPr>
        <w:t xml:space="preserve"> </w:t>
      </w:r>
      <w:r>
        <w:rPr>
          <w:w w:val="105"/>
          <w:sz w:val="12"/>
        </w:rPr>
        <w:t>(2010),</w:t>
      </w:r>
      <w:r>
        <w:rPr>
          <w:spacing w:val="-1"/>
          <w:w w:val="105"/>
          <w:sz w:val="12"/>
        </w:rPr>
        <w:t xml:space="preserve"> </w:t>
      </w:r>
      <w:r>
        <w:rPr>
          <w:w w:val="105"/>
          <w:sz w:val="12"/>
        </w:rPr>
        <w:t>párr.</w:t>
      </w:r>
      <w:r>
        <w:rPr>
          <w:spacing w:val="-2"/>
          <w:w w:val="105"/>
          <w:sz w:val="12"/>
        </w:rPr>
        <w:t xml:space="preserve"> </w:t>
      </w:r>
      <w:r>
        <w:rPr>
          <w:w w:val="95"/>
          <w:sz w:val="12"/>
        </w:rPr>
        <w:t xml:space="preserve">18; </w:t>
      </w:r>
      <w:r>
        <w:rPr>
          <w:w w:val="105"/>
          <w:sz w:val="12"/>
        </w:rPr>
        <w:t>y</w:t>
      </w:r>
      <w:r>
        <w:rPr>
          <w:spacing w:val="-2"/>
          <w:w w:val="105"/>
          <w:sz w:val="12"/>
        </w:rPr>
        <w:t xml:space="preserve"> </w:t>
      </w:r>
      <w:r>
        <w:rPr>
          <w:w w:val="105"/>
          <w:sz w:val="12"/>
        </w:rPr>
        <w:t>Comité</w:t>
      </w:r>
      <w:r>
        <w:rPr>
          <w:spacing w:val="-2"/>
          <w:w w:val="105"/>
          <w:sz w:val="12"/>
        </w:rPr>
        <w:t xml:space="preserve"> </w:t>
      </w:r>
      <w:r>
        <w:rPr>
          <w:w w:val="105"/>
          <w:sz w:val="12"/>
        </w:rPr>
        <w:t>sobre</w:t>
      </w:r>
      <w:r>
        <w:rPr>
          <w:spacing w:val="-2"/>
          <w:w w:val="105"/>
          <w:sz w:val="12"/>
        </w:rPr>
        <w:t xml:space="preserve"> </w:t>
      </w:r>
      <w:r>
        <w:rPr>
          <w:w w:val="105"/>
          <w:sz w:val="12"/>
        </w:rPr>
        <w:t>los</w:t>
      </w:r>
      <w:r>
        <w:rPr>
          <w:spacing w:val="-2"/>
          <w:w w:val="105"/>
          <w:sz w:val="12"/>
        </w:rPr>
        <w:t xml:space="preserve"> </w:t>
      </w:r>
      <w:r>
        <w:rPr>
          <w:w w:val="105"/>
          <w:sz w:val="12"/>
        </w:rPr>
        <w:t>Derechos</w:t>
      </w:r>
      <w:r>
        <w:rPr>
          <w:spacing w:val="-2"/>
          <w:w w:val="105"/>
          <w:sz w:val="12"/>
        </w:rPr>
        <w:t xml:space="preserve"> </w:t>
      </w:r>
      <w:r>
        <w:rPr>
          <w:w w:val="105"/>
          <w:sz w:val="12"/>
        </w:rPr>
        <w:t>de</w:t>
      </w:r>
      <w:r>
        <w:rPr>
          <w:spacing w:val="-2"/>
          <w:w w:val="105"/>
          <w:sz w:val="12"/>
        </w:rPr>
        <w:t xml:space="preserve"> </w:t>
      </w:r>
      <w:r>
        <w:rPr>
          <w:w w:val="105"/>
          <w:sz w:val="12"/>
        </w:rPr>
        <w:t>las</w:t>
      </w:r>
      <w:r>
        <w:rPr>
          <w:spacing w:val="-2"/>
          <w:w w:val="105"/>
          <w:sz w:val="12"/>
        </w:rPr>
        <w:t xml:space="preserve"> </w:t>
      </w:r>
      <w:r>
        <w:rPr>
          <w:w w:val="105"/>
          <w:sz w:val="12"/>
        </w:rPr>
        <w:t>Personas</w:t>
      </w:r>
      <w:r>
        <w:rPr>
          <w:spacing w:val="-2"/>
          <w:w w:val="105"/>
          <w:sz w:val="12"/>
        </w:rPr>
        <w:t xml:space="preserve"> </w:t>
      </w:r>
      <w:r>
        <w:rPr>
          <w:w w:val="105"/>
          <w:sz w:val="12"/>
        </w:rPr>
        <w:t>con</w:t>
      </w:r>
      <w:r>
        <w:rPr>
          <w:spacing w:val="-2"/>
          <w:w w:val="105"/>
          <w:sz w:val="12"/>
        </w:rPr>
        <w:t xml:space="preserve"> </w:t>
      </w:r>
      <w:r>
        <w:rPr>
          <w:w w:val="105"/>
          <w:sz w:val="12"/>
        </w:rPr>
        <w:t>Discapacidad,</w:t>
      </w:r>
      <w:r>
        <w:rPr>
          <w:spacing w:val="-1"/>
          <w:w w:val="105"/>
          <w:sz w:val="12"/>
        </w:rPr>
        <w:t xml:space="preserve"> </w:t>
      </w:r>
      <w:r>
        <w:rPr>
          <w:w w:val="105"/>
          <w:sz w:val="12"/>
        </w:rPr>
        <w:t>observación</w:t>
      </w:r>
      <w:r>
        <w:rPr>
          <w:spacing w:val="-2"/>
          <w:w w:val="105"/>
          <w:sz w:val="12"/>
        </w:rPr>
        <w:t xml:space="preserve"> </w:t>
      </w:r>
      <w:r>
        <w:rPr>
          <w:w w:val="105"/>
          <w:sz w:val="12"/>
        </w:rPr>
        <w:t>general</w:t>
      </w:r>
      <w:r>
        <w:rPr>
          <w:spacing w:val="-2"/>
          <w:w w:val="105"/>
          <w:sz w:val="12"/>
        </w:rPr>
        <w:t xml:space="preserve"> </w:t>
      </w:r>
      <w:r>
        <w:rPr>
          <w:w w:val="105"/>
          <w:sz w:val="12"/>
        </w:rPr>
        <w:t>núm.</w:t>
      </w:r>
    </w:p>
    <w:p w14:paraId="23ED597B" w14:textId="77777777" w:rsidR="0014798C" w:rsidRDefault="004E1F0B">
      <w:pPr>
        <w:spacing w:before="1"/>
        <w:ind w:left="1367"/>
        <w:rPr>
          <w:sz w:val="12"/>
        </w:rPr>
      </w:pPr>
      <w:r>
        <w:rPr>
          <w:w w:val="105"/>
          <w:sz w:val="12"/>
        </w:rPr>
        <w:t>6</w:t>
      </w:r>
      <w:r>
        <w:rPr>
          <w:spacing w:val="-4"/>
          <w:w w:val="105"/>
          <w:sz w:val="12"/>
        </w:rPr>
        <w:t xml:space="preserve"> </w:t>
      </w:r>
      <w:r>
        <w:rPr>
          <w:w w:val="105"/>
          <w:sz w:val="12"/>
        </w:rPr>
        <w:t>(2018),</w:t>
      </w:r>
      <w:r>
        <w:rPr>
          <w:spacing w:val="-3"/>
          <w:w w:val="105"/>
          <w:sz w:val="12"/>
        </w:rPr>
        <w:t xml:space="preserve"> </w:t>
      </w:r>
      <w:proofErr w:type="spellStart"/>
      <w:r>
        <w:rPr>
          <w:w w:val="105"/>
          <w:sz w:val="12"/>
        </w:rPr>
        <w:t>párrs</w:t>
      </w:r>
      <w:proofErr w:type="spellEnd"/>
      <w:r>
        <w:rPr>
          <w:w w:val="105"/>
          <w:sz w:val="12"/>
        </w:rPr>
        <w:t>.</w:t>
      </w:r>
      <w:r>
        <w:rPr>
          <w:spacing w:val="-3"/>
          <w:w w:val="105"/>
          <w:sz w:val="12"/>
        </w:rPr>
        <w:t xml:space="preserve"> </w:t>
      </w:r>
      <w:r>
        <w:rPr>
          <w:w w:val="105"/>
          <w:sz w:val="12"/>
        </w:rPr>
        <w:t>19</w:t>
      </w:r>
      <w:r>
        <w:rPr>
          <w:spacing w:val="-3"/>
          <w:w w:val="105"/>
          <w:sz w:val="12"/>
        </w:rPr>
        <w:t xml:space="preserve"> </w:t>
      </w:r>
      <w:r>
        <w:rPr>
          <w:w w:val="105"/>
          <w:sz w:val="12"/>
        </w:rPr>
        <w:t>y</w:t>
      </w:r>
      <w:r>
        <w:rPr>
          <w:spacing w:val="-4"/>
          <w:w w:val="105"/>
          <w:sz w:val="12"/>
        </w:rPr>
        <w:t xml:space="preserve"> </w:t>
      </w:r>
      <w:r>
        <w:rPr>
          <w:w w:val="105"/>
          <w:sz w:val="12"/>
        </w:rPr>
        <w:t>21-</w:t>
      </w:r>
      <w:r>
        <w:rPr>
          <w:spacing w:val="-5"/>
          <w:w w:val="105"/>
          <w:sz w:val="12"/>
        </w:rPr>
        <w:t>22.</w:t>
      </w:r>
    </w:p>
    <w:p w14:paraId="638E78F5" w14:textId="77777777" w:rsidR="0014798C" w:rsidRPr="00B16F84" w:rsidRDefault="004E1F0B">
      <w:pPr>
        <w:spacing w:before="47" w:line="268" w:lineRule="auto"/>
        <w:ind w:left="1367" w:right="1272" w:hanging="261"/>
        <w:rPr>
          <w:sz w:val="14"/>
          <w:lang w:val="en-US"/>
        </w:rPr>
      </w:pPr>
      <w:r>
        <w:rPr>
          <w:spacing w:val="-2"/>
          <w:sz w:val="14"/>
          <w:vertAlign w:val="superscript"/>
        </w:rPr>
        <w:t>50</w:t>
      </w:r>
      <w:r>
        <w:rPr>
          <w:spacing w:val="80"/>
          <w:w w:val="150"/>
          <w:sz w:val="14"/>
        </w:rPr>
        <w:t xml:space="preserve"> </w:t>
      </w:r>
      <w:r>
        <w:rPr>
          <w:spacing w:val="-2"/>
          <w:sz w:val="14"/>
        </w:rPr>
        <w:t>Véase,</w:t>
      </w:r>
      <w:r>
        <w:rPr>
          <w:spacing w:val="-7"/>
          <w:sz w:val="14"/>
        </w:rPr>
        <w:t xml:space="preserve"> </w:t>
      </w:r>
      <w:r>
        <w:rPr>
          <w:spacing w:val="-2"/>
          <w:sz w:val="14"/>
        </w:rPr>
        <w:t>por</w:t>
      </w:r>
      <w:r>
        <w:rPr>
          <w:spacing w:val="-7"/>
          <w:sz w:val="14"/>
        </w:rPr>
        <w:t xml:space="preserve"> </w:t>
      </w:r>
      <w:r>
        <w:rPr>
          <w:spacing w:val="-2"/>
          <w:sz w:val="14"/>
        </w:rPr>
        <w:t>ejemplo,</w:t>
      </w:r>
      <w:r>
        <w:rPr>
          <w:spacing w:val="-7"/>
          <w:sz w:val="14"/>
        </w:rPr>
        <w:t xml:space="preserve"> </w:t>
      </w:r>
      <w:r>
        <w:rPr>
          <w:spacing w:val="-2"/>
          <w:sz w:val="14"/>
        </w:rPr>
        <w:t>CERD/C/KGZ/CO/8-10,</w:t>
      </w:r>
      <w:r>
        <w:rPr>
          <w:spacing w:val="-7"/>
          <w:sz w:val="14"/>
        </w:rPr>
        <w:t xml:space="preserve"> </w:t>
      </w:r>
      <w:r>
        <w:rPr>
          <w:spacing w:val="-2"/>
          <w:sz w:val="14"/>
        </w:rPr>
        <w:t>párr.</w:t>
      </w:r>
      <w:r>
        <w:rPr>
          <w:spacing w:val="-7"/>
          <w:sz w:val="14"/>
        </w:rPr>
        <w:t xml:space="preserve"> </w:t>
      </w:r>
      <w:r>
        <w:rPr>
          <w:spacing w:val="-2"/>
          <w:sz w:val="14"/>
        </w:rPr>
        <w:t>11;</w:t>
      </w:r>
      <w:r>
        <w:rPr>
          <w:spacing w:val="-7"/>
          <w:sz w:val="14"/>
        </w:rPr>
        <w:t xml:space="preserve"> </w:t>
      </w:r>
      <w:r>
        <w:rPr>
          <w:spacing w:val="-2"/>
          <w:sz w:val="14"/>
        </w:rPr>
        <w:t>CEDAW/C/KAZ/CO/5,</w:t>
      </w:r>
      <w:r>
        <w:rPr>
          <w:spacing w:val="-7"/>
          <w:sz w:val="14"/>
        </w:rPr>
        <w:t xml:space="preserve"> </w:t>
      </w:r>
      <w:r>
        <w:rPr>
          <w:spacing w:val="-2"/>
          <w:sz w:val="14"/>
        </w:rPr>
        <w:t>párr.</w:t>
      </w:r>
      <w:r>
        <w:rPr>
          <w:spacing w:val="-7"/>
          <w:sz w:val="14"/>
        </w:rPr>
        <w:t xml:space="preserve"> </w:t>
      </w:r>
      <w:r>
        <w:rPr>
          <w:spacing w:val="-2"/>
          <w:sz w:val="14"/>
        </w:rPr>
        <w:t>12</w:t>
      </w:r>
      <w:r>
        <w:rPr>
          <w:spacing w:val="-7"/>
          <w:sz w:val="14"/>
        </w:rPr>
        <w:t xml:space="preserve"> </w:t>
      </w:r>
      <w:r>
        <w:rPr>
          <w:spacing w:val="-2"/>
          <w:sz w:val="14"/>
        </w:rPr>
        <w:t>(a);</w:t>
      </w:r>
      <w:r>
        <w:rPr>
          <w:spacing w:val="-7"/>
          <w:sz w:val="14"/>
        </w:rPr>
        <w:t xml:space="preserve"> </w:t>
      </w:r>
      <w:r>
        <w:rPr>
          <w:spacing w:val="-2"/>
          <w:sz w:val="14"/>
        </w:rPr>
        <w:t>y</w:t>
      </w:r>
      <w:r>
        <w:rPr>
          <w:spacing w:val="-7"/>
          <w:sz w:val="14"/>
        </w:rPr>
        <w:t xml:space="preserve"> </w:t>
      </w:r>
      <w:r>
        <w:rPr>
          <w:spacing w:val="-2"/>
          <w:sz w:val="14"/>
        </w:rPr>
        <w:t>Comité</w:t>
      </w:r>
      <w:r>
        <w:rPr>
          <w:spacing w:val="-7"/>
          <w:sz w:val="14"/>
        </w:rPr>
        <w:t xml:space="preserve"> </w:t>
      </w:r>
      <w:r>
        <w:rPr>
          <w:spacing w:val="-2"/>
          <w:sz w:val="14"/>
        </w:rPr>
        <w:t>sobre</w:t>
      </w:r>
      <w:r>
        <w:rPr>
          <w:spacing w:val="-7"/>
          <w:sz w:val="14"/>
        </w:rPr>
        <w:t xml:space="preserve"> </w:t>
      </w:r>
      <w:r>
        <w:rPr>
          <w:spacing w:val="-2"/>
          <w:sz w:val="14"/>
        </w:rPr>
        <w:t>los</w:t>
      </w:r>
      <w:r>
        <w:rPr>
          <w:spacing w:val="-7"/>
          <w:sz w:val="14"/>
        </w:rPr>
        <w:t xml:space="preserve"> </w:t>
      </w:r>
      <w:r>
        <w:rPr>
          <w:spacing w:val="-2"/>
          <w:sz w:val="14"/>
        </w:rPr>
        <w:t>Derechos</w:t>
      </w:r>
      <w:r>
        <w:rPr>
          <w:spacing w:val="-7"/>
          <w:sz w:val="14"/>
        </w:rPr>
        <w:t xml:space="preserve"> </w:t>
      </w:r>
      <w:r>
        <w:rPr>
          <w:spacing w:val="-2"/>
          <w:sz w:val="14"/>
        </w:rPr>
        <w:t>de</w:t>
      </w:r>
      <w:r>
        <w:rPr>
          <w:spacing w:val="-7"/>
          <w:sz w:val="14"/>
        </w:rPr>
        <w:t xml:space="preserve"> </w:t>
      </w:r>
      <w:r>
        <w:rPr>
          <w:spacing w:val="-2"/>
          <w:sz w:val="14"/>
        </w:rPr>
        <w:t>las</w:t>
      </w:r>
      <w:r>
        <w:rPr>
          <w:spacing w:val="-7"/>
          <w:sz w:val="14"/>
        </w:rPr>
        <w:t xml:space="preserve"> </w:t>
      </w:r>
      <w:r>
        <w:rPr>
          <w:spacing w:val="-2"/>
          <w:sz w:val="14"/>
        </w:rPr>
        <w:t>Personas</w:t>
      </w:r>
      <w:r>
        <w:rPr>
          <w:spacing w:val="-7"/>
          <w:sz w:val="14"/>
        </w:rPr>
        <w:t xml:space="preserve"> </w:t>
      </w:r>
      <w:r>
        <w:rPr>
          <w:spacing w:val="-2"/>
          <w:sz w:val="14"/>
        </w:rPr>
        <w:t>con</w:t>
      </w:r>
      <w:r>
        <w:rPr>
          <w:spacing w:val="40"/>
          <w:sz w:val="14"/>
        </w:rPr>
        <w:t xml:space="preserve"> </w:t>
      </w:r>
      <w:r>
        <w:rPr>
          <w:sz w:val="14"/>
        </w:rPr>
        <w:t xml:space="preserve">Discapacidad, observación general núm. 6 (2018), párr. </w:t>
      </w:r>
      <w:r w:rsidRPr="00B16F84">
        <w:rPr>
          <w:sz w:val="14"/>
          <w:lang w:val="en-US"/>
        </w:rPr>
        <w:t>22.</w:t>
      </w:r>
    </w:p>
    <w:p w14:paraId="6BC32E76" w14:textId="77777777" w:rsidR="0014798C" w:rsidRPr="00537489" w:rsidRDefault="004E1F0B">
      <w:pPr>
        <w:spacing w:before="56"/>
        <w:ind w:left="1107"/>
        <w:rPr>
          <w:sz w:val="14"/>
          <w:lang w:val="en-US"/>
        </w:rPr>
      </w:pPr>
      <w:proofErr w:type="gramStart"/>
      <w:r w:rsidRPr="00537489">
        <w:rPr>
          <w:spacing w:val="-2"/>
          <w:w w:val="95"/>
          <w:sz w:val="14"/>
          <w:vertAlign w:val="superscript"/>
          <w:lang w:val="en-US"/>
        </w:rPr>
        <w:t>51</w:t>
      </w:r>
      <w:r w:rsidRPr="00537489">
        <w:rPr>
          <w:spacing w:val="50"/>
          <w:sz w:val="14"/>
          <w:lang w:val="en-US"/>
        </w:rPr>
        <w:t xml:space="preserve">  </w:t>
      </w:r>
      <w:r w:rsidRPr="00537489">
        <w:rPr>
          <w:spacing w:val="-2"/>
          <w:w w:val="95"/>
          <w:sz w:val="14"/>
          <w:lang w:val="en-US"/>
        </w:rPr>
        <w:t>CERD</w:t>
      </w:r>
      <w:proofErr w:type="gramEnd"/>
      <w:r w:rsidRPr="00537489">
        <w:rPr>
          <w:spacing w:val="-2"/>
          <w:w w:val="95"/>
          <w:sz w:val="14"/>
          <w:lang w:val="en-US"/>
        </w:rPr>
        <w:t>/C/BLZ/CO/1,</w:t>
      </w:r>
      <w:r w:rsidRPr="00537489">
        <w:rPr>
          <w:spacing w:val="1"/>
          <w:sz w:val="14"/>
          <w:lang w:val="en-US"/>
        </w:rPr>
        <w:t xml:space="preserve"> </w:t>
      </w:r>
      <w:proofErr w:type="spellStart"/>
      <w:r w:rsidRPr="00537489">
        <w:rPr>
          <w:spacing w:val="-2"/>
          <w:w w:val="95"/>
          <w:sz w:val="14"/>
          <w:lang w:val="en-US"/>
        </w:rPr>
        <w:t>párr</w:t>
      </w:r>
      <w:proofErr w:type="spellEnd"/>
      <w:r w:rsidRPr="00537489">
        <w:rPr>
          <w:spacing w:val="-2"/>
          <w:w w:val="95"/>
          <w:sz w:val="14"/>
          <w:lang w:val="en-US"/>
        </w:rPr>
        <w:t>.</w:t>
      </w:r>
      <w:r w:rsidRPr="00537489">
        <w:rPr>
          <w:spacing w:val="1"/>
          <w:sz w:val="14"/>
          <w:lang w:val="en-US"/>
        </w:rPr>
        <w:t xml:space="preserve"> </w:t>
      </w:r>
      <w:r w:rsidRPr="00537489">
        <w:rPr>
          <w:spacing w:val="-2"/>
          <w:w w:val="90"/>
          <w:sz w:val="14"/>
          <w:lang w:val="en-US"/>
        </w:rPr>
        <w:t>7</w:t>
      </w:r>
      <w:r>
        <w:rPr>
          <w:spacing w:val="-2"/>
          <w:w w:val="90"/>
          <w:sz w:val="14"/>
        </w:rPr>
        <w:t>;</w:t>
      </w:r>
      <w:r w:rsidRPr="00537489">
        <w:rPr>
          <w:spacing w:val="1"/>
          <w:sz w:val="14"/>
          <w:lang w:val="en-US"/>
        </w:rPr>
        <w:t xml:space="preserve"> </w:t>
      </w:r>
      <w:r w:rsidRPr="00537489">
        <w:rPr>
          <w:spacing w:val="-2"/>
          <w:w w:val="95"/>
          <w:sz w:val="14"/>
          <w:lang w:val="en-US"/>
        </w:rPr>
        <w:t>CERD/C/ISL/CO/19-20,</w:t>
      </w:r>
      <w:r w:rsidRPr="00537489">
        <w:rPr>
          <w:spacing w:val="1"/>
          <w:sz w:val="14"/>
          <w:lang w:val="en-US"/>
        </w:rPr>
        <w:t xml:space="preserve"> </w:t>
      </w:r>
      <w:proofErr w:type="spellStart"/>
      <w:r w:rsidRPr="00537489">
        <w:rPr>
          <w:spacing w:val="-2"/>
          <w:w w:val="95"/>
          <w:sz w:val="14"/>
          <w:lang w:val="en-US"/>
        </w:rPr>
        <w:t>párr</w:t>
      </w:r>
      <w:proofErr w:type="spellEnd"/>
      <w:r w:rsidRPr="00537489">
        <w:rPr>
          <w:spacing w:val="-2"/>
          <w:w w:val="95"/>
          <w:sz w:val="14"/>
          <w:lang w:val="en-US"/>
        </w:rPr>
        <w:t>.</w:t>
      </w:r>
      <w:r w:rsidRPr="00537489">
        <w:rPr>
          <w:spacing w:val="1"/>
          <w:sz w:val="14"/>
          <w:lang w:val="en-US"/>
        </w:rPr>
        <w:t xml:space="preserve"> </w:t>
      </w:r>
      <w:r w:rsidRPr="00537489">
        <w:rPr>
          <w:spacing w:val="-2"/>
          <w:w w:val="90"/>
          <w:sz w:val="14"/>
          <w:lang w:val="en-US"/>
        </w:rPr>
        <w:t>12</w:t>
      </w:r>
      <w:r>
        <w:rPr>
          <w:spacing w:val="-2"/>
          <w:w w:val="90"/>
          <w:sz w:val="14"/>
        </w:rPr>
        <w:t>;</w:t>
      </w:r>
      <w:r w:rsidRPr="00537489">
        <w:rPr>
          <w:spacing w:val="1"/>
          <w:sz w:val="14"/>
          <w:lang w:val="en-US"/>
        </w:rPr>
        <w:t xml:space="preserve"> </w:t>
      </w:r>
      <w:r w:rsidRPr="00537489">
        <w:rPr>
          <w:spacing w:val="-2"/>
          <w:w w:val="95"/>
          <w:sz w:val="14"/>
          <w:lang w:val="en-US"/>
        </w:rPr>
        <w:t>CERD/C/IRQ/CO/22-25,</w:t>
      </w:r>
      <w:r w:rsidRPr="00537489">
        <w:rPr>
          <w:spacing w:val="2"/>
          <w:sz w:val="14"/>
          <w:lang w:val="en-US"/>
        </w:rPr>
        <w:t xml:space="preserve"> </w:t>
      </w:r>
      <w:proofErr w:type="spellStart"/>
      <w:r w:rsidRPr="00537489">
        <w:rPr>
          <w:spacing w:val="-2"/>
          <w:w w:val="95"/>
          <w:sz w:val="14"/>
          <w:lang w:val="en-US"/>
        </w:rPr>
        <w:t>párr</w:t>
      </w:r>
      <w:proofErr w:type="spellEnd"/>
      <w:r w:rsidRPr="00537489">
        <w:rPr>
          <w:spacing w:val="-2"/>
          <w:w w:val="95"/>
          <w:sz w:val="14"/>
          <w:lang w:val="en-US"/>
        </w:rPr>
        <w:t>.</w:t>
      </w:r>
      <w:r w:rsidRPr="00537489">
        <w:rPr>
          <w:spacing w:val="1"/>
          <w:sz w:val="14"/>
          <w:lang w:val="en-US"/>
        </w:rPr>
        <w:t xml:space="preserve"> </w:t>
      </w:r>
      <w:r w:rsidRPr="00537489">
        <w:rPr>
          <w:spacing w:val="-2"/>
          <w:w w:val="90"/>
          <w:sz w:val="14"/>
          <w:lang w:val="en-US"/>
        </w:rPr>
        <w:t>10</w:t>
      </w:r>
      <w:r>
        <w:rPr>
          <w:spacing w:val="-2"/>
          <w:w w:val="90"/>
          <w:sz w:val="14"/>
        </w:rPr>
        <w:t>;</w:t>
      </w:r>
      <w:r w:rsidRPr="00537489">
        <w:rPr>
          <w:spacing w:val="1"/>
          <w:sz w:val="14"/>
          <w:lang w:val="en-US"/>
        </w:rPr>
        <w:t xml:space="preserve"> </w:t>
      </w:r>
      <w:r w:rsidRPr="00537489">
        <w:rPr>
          <w:spacing w:val="-2"/>
          <w:w w:val="95"/>
          <w:sz w:val="14"/>
          <w:lang w:val="en-US"/>
        </w:rPr>
        <w:t>CERD/C/ISR/CO/17-19,</w:t>
      </w:r>
      <w:r w:rsidRPr="00537489">
        <w:rPr>
          <w:spacing w:val="1"/>
          <w:sz w:val="14"/>
          <w:lang w:val="en-US"/>
        </w:rPr>
        <w:t xml:space="preserve"> </w:t>
      </w:r>
      <w:proofErr w:type="spellStart"/>
      <w:r w:rsidRPr="00537489">
        <w:rPr>
          <w:spacing w:val="-2"/>
          <w:w w:val="95"/>
          <w:sz w:val="14"/>
          <w:lang w:val="en-US"/>
        </w:rPr>
        <w:t>párr</w:t>
      </w:r>
      <w:proofErr w:type="spellEnd"/>
      <w:r w:rsidRPr="00537489">
        <w:rPr>
          <w:spacing w:val="-2"/>
          <w:w w:val="95"/>
          <w:sz w:val="14"/>
          <w:lang w:val="en-US"/>
        </w:rPr>
        <w:t>.</w:t>
      </w:r>
      <w:r w:rsidRPr="00537489">
        <w:rPr>
          <w:spacing w:val="1"/>
          <w:sz w:val="14"/>
          <w:lang w:val="en-US"/>
        </w:rPr>
        <w:t xml:space="preserve"> </w:t>
      </w:r>
      <w:r w:rsidRPr="00537489">
        <w:rPr>
          <w:spacing w:val="-2"/>
          <w:w w:val="90"/>
          <w:sz w:val="14"/>
          <w:lang w:val="en-US"/>
        </w:rPr>
        <w:t>12</w:t>
      </w:r>
      <w:r>
        <w:rPr>
          <w:spacing w:val="-2"/>
          <w:w w:val="90"/>
          <w:sz w:val="14"/>
        </w:rPr>
        <w:t>;</w:t>
      </w:r>
      <w:r w:rsidRPr="00537489">
        <w:rPr>
          <w:spacing w:val="1"/>
          <w:sz w:val="14"/>
          <w:lang w:val="en-US"/>
        </w:rPr>
        <w:t xml:space="preserve"> </w:t>
      </w:r>
      <w:r w:rsidRPr="00537489">
        <w:rPr>
          <w:spacing w:val="-2"/>
          <w:w w:val="95"/>
          <w:sz w:val="14"/>
          <w:lang w:val="en-US"/>
        </w:rPr>
        <w:t>CERD/C/</w:t>
      </w:r>
    </w:p>
    <w:p w14:paraId="39DA4E71" w14:textId="77777777" w:rsidR="0014798C" w:rsidRPr="00537489" w:rsidRDefault="004E1F0B">
      <w:pPr>
        <w:spacing w:before="19"/>
        <w:ind w:left="1371"/>
        <w:rPr>
          <w:sz w:val="14"/>
          <w:lang w:val="en-US"/>
        </w:rPr>
      </w:pPr>
      <w:r w:rsidRPr="00537489">
        <w:rPr>
          <w:w w:val="90"/>
          <w:sz w:val="14"/>
          <w:lang w:val="en-US"/>
        </w:rPr>
        <w:t>KAZ/CO/6-7,</w:t>
      </w:r>
      <w:r w:rsidRPr="00537489">
        <w:rPr>
          <w:spacing w:val="12"/>
          <w:sz w:val="14"/>
          <w:lang w:val="en-US"/>
        </w:rPr>
        <w:t xml:space="preserve"> </w:t>
      </w:r>
      <w:proofErr w:type="spellStart"/>
      <w:r w:rsidRPr="00537489">
        <w:rPr>
          <w:w w:val="90"/>
          <w:sz w:val="14"/>
          <w:lang w:val="en-US"/>
        </w:rPr>
        <w:t>párr</w:t>
      </w:r>
      <w:proofErr w:type="spellEnd"/>
      <w:r w:rsidRPr="00537489">
        <w:rPr>
          <w:w w:val="90"/>
          <w:sz w:val="14"/>
          <w:lang w:val="en-US"/>
        </w:rPr>
        <w:t>.</w:t>
      </w:r>
      <w:r w:rsidRPr="00537489">
        <w:rPr>
          <w:spacing w:val="12"/>
          <w:sz w:val="14"/>
          <w:lang w:val="en-US"/>
        </w:rPr>
        <w:t xml:space="preserve"> </w:t>
      </w:r>
      <w:r w:rsidRPr="00537489">
        <w:rPr>
          <w:w w:val="90"/>
          <w:sz w:val="14"/>
          <w:lang w:val="en-US"/>
        </w:rPr>
        <w:t>6</w:t>
      </w:r>
      <w:r>
        <w:rPr>
          <w:w w:val="90"/>
          <w:sz w:val="14"/>
        </w:rPr>
        <w:t>;</w:t>
      </w:r>
      <w:r w:rsidRPr="00537489">
        <w:rPr>
          <w:spacing w:val="12"/>
          <w:sz w:val="14"/>
          <w:lang w:val="en-US"/>
        </w:rPr>
        <w:t xml:space="preserve"> </w:t>
      </w:r>
      <w:r w:rsidRPr="00537489">
        <w:rPr>
          <w:w w:val="90"/>
          <w:sz w:val="14"/>
          <w:lang w:val="en-US"/>
        </w:rPr>
        <w:t>CERD/C/KGZ/CO/8-10,</w:t>
      </w:r>
      <w:r w:rsidRPr="00537489">
        <w:rPr>
          <w:spacing w:val="12"/>
          <w:sz w:val="14"/>
          <w:lang w:val="en-US"/>
        </w:rPr>
        <w:t xml:space="preserve"> </w:t>
      </w:r>
      <w:proofErr w:type="spellStart"/>
      <w:r w:rsidRPr="00537489">
        <w:rPr>
          <w:w w:val="90"/>
          <w:sz w:val="14"/>
          <w:lang w:val="en-US"/>
        </w:rPr>
        <w:t>párr</w:t>
      </w:r>
      <w:proofErr w:type="spellEnd"/>
      <w:r w:rsidRPr="00537489">
        <w:rPr>
          <w:w w:val="90"/>
          <w:sz w:val="14"/>
          <w:lang w:val="en-US"/>
        </w:rPr>
        <w:t>.</w:t>
      </w:r>
      <w:r w:rsidRPr="00537489">
        <w:rPr>
          <w:spacing w:val="12"/>
          <w:sz w:val="14"/>
          <w:lang w:val="en-US"/>
        </w:rPr>
        <w:t xml:space="preserve"> </w:t>
      </w:r>
      <w:r w:rsidRPr="00537489">
        <w:rPr>
          <w:w w:val="90"/>
          <w:sz w:val="14"/>
          <w:lang w:val="en-US"/>
        </w:rPr>
        <w:t>11</w:t>
      </w:r>
      <w:r>
        <w:rPr>
          <w:w w:val="90"/>
          <w:sz w:val="14"/>
        </w:rPr>
        <w:t>;</w:t>
      </w:r>
      <w:r w:rsidRPr="00537489">
        <w:rPr>
          <w:spacing w:val="12"/>
          <w:sz w:val="14"/>
          <w:lang w:val="en-US"/>
        </w:rPr>
        <w:t xml:space="preserve"> </w:t>
      </w:r>
      <w:r w:rsidRPr="00537489">
        <w:rPr>
          <w:w w:val="90"/>
          <w:sz w:val="14"/>
          <w:lang w:val="en-US"/>
        </w:rPr>
        <w:t>CERD/C/LVA/CO/6-12,</w:t>
      </w:r>
      <w:r w:rsidRPr="00537489">
        <w:rPr>
          <w:spacing w:val="12"/>
          <w:sz w:val="14"/>
          <w:lang w:val="en-US"/>
        </w:rPr>
        <w:t xml:space="preserve"> </w:t>
      </w:r>
      <w:proofErr w:type="spellStart"/>
      <w:r w:rsidRPr="00537489">
        <w:rPr>
          <w:w w:val="90"/>
          <w:sz w:val="14"/>
          <w:lang w:val="en-US"/>
        </w:rPr>
        <w:t>párrs</w:t>
      </w:r>
      <w:proofErr w:type="spellEnd"/>
      <w:r w:rsidRPr="00537489">
        <w:rPr>
          <w:w w:val="90"/>
          <w:sz w:val="14"/>
          <w:lang w:val="en-US"/>
        </w:rPr>
        <w:t>.</w:t>
      </w:r>
      <w:r w:rsidRPr="00537489">
        <w:rPr>
          <w:spacing w:val="12"/>
          <w:sz w:val="14"/>
          <w:lang w:val="en-US"/>
        </w:rPr>
        <w:t xml:space="preserve"> </w:t>
      </w:r>
      <w:r w:rsidRPr="00537489">
        <w:rPr>
          <w:w w:val="90"/>
          <w:sz w:val="14"/>
          <w:lang w:val="en-US"/>
        </w:rPr>
        <w:t>12-13</w:t>
      </w:r>
      <w:r>
        <w:rPr>
          <w:w w:val="90"/>
          <w:sz w:val="14"/>
        </w:rPr>
        <w:t>;</w:t>
      </w:r>
      <w:r w:rsidRPr="00537489">
        <w:rPr>
          <w:spacing w:val="12"/>
          <w:sz w:val="14"/>
          <w:lang w:val="en-US"/>
        </w:rPr>
        <w:t xml:space="preserve"> </w:t>
      </w:r>
      <w:r w:rsidRPr="00537489">
        <w:rPr>
          <w:w w:val="90"/>
          <w:sz w:val="14"/>
          <w:lang w:val="en-US"/>
        </w:rPr>
        <w:t>CERD/C/PAK/CO/21-23,</w:t>
      </w:r>
      <w:r w:rsidRPr="00537489">
        <w:rPr>
          <w:spacing w:val="12"/>
          <w:sz w:val="14"/>
          <w:lang w:val="en-US"/>
        </w:rPr>
        <w:t xml:space="preserve"> </w:t>
      </w:r>
      <w:proofErr w:type="spellStart"/>
      <w:r w:rsidRPr="00537489">
        <w:rPr>
          <w:w w:val="90"/>
          <w:sz w:val="14"/>
          <w:lang w:val="en-US"/>
        </w:rPr>
        <w:t>párrs</w:t>
      </w:r>
      <w:proofErr w:type="spellEnd"/>
      <w:r w:rsidRPr="00537489">
        <w:rPr>
          <w:w w:val="90"/>
          <w:sz w:val="14"/>
          <w:lang w:val="en-US"/>
        </w:rPr>
        <w:t>.</w:t>
      </w:r>
      <w:r w:rsidRPr="00537489">
        <w:rPr>
          <w:spacing w:val="13"/>
          <w:sz w:val="14"/>
          <w:lang w:val="en-US"/>
        </w:rPr>
        <w:t xml:space="preserve"> </w:t>
      </w:r>
      <w:r w:rsidRPr="00537489">
        <w:rPr>
          <w:w w:val="90"/>
          <w:sz w:val="14"/>
          <w:lang w:val="en-US"/>
        </w:rPr>
        <w:t>9–10</w:t>
      </w:r>
      <w:r>
        <w:rPr>
          <w:w w:val="90"/>
          <w:sz w:val="14"/>
        </w:rPr>
        <w:t>;</w:t>
      </w:r>
      <w:r w:rsidRPr="00537489">
        <w:rPr>
          <w:spacing w:val="12"/>
          <w:sz w:val="14"/>
          <w:lang w:val="en-US"/>
        </w:rPr>
        <w:t xml:space="preserve"> </w:t>
      </w:r>
      <w:r w:rsidRPr="00537489">
        <w:rPr>
          <w:spacing w:val="-2"/>
          <w:w w:val="90"/>
          <w:sz w:val="14"/>
          <w:lang w:val="en-US"/>
        </w:rPr>
        <w:t>CERD/C/</w:t>
      </w:r>
    </w:p>
    <w:p w14:paraId="07001C59" w14:textId="77777777" w:rsidR="0014798C" w:rsidRDefault="004E1F0B">
      <w:pPr>
        <w:spacing w:before="19"/>
        <w:ind w:left="1366"/>
        <w:rPr>
          <w:sz w:val="14"/>
        </w:rPr>
      </w:pPr>
      <w:r w:rsidRPr="00537489">
        <w:rPr>
          <w:spacing w:val="-2"/>
          <w:w w:val="95"/>
          <w:sz w:val="14"/>
          <w:lang w:val="en-US"/>
        </w:rPr>
        <w:t>RUS/CO/20-22,</w:t>
      </w:r>
      <w:r w:rsidRPr="00537489">
        <w:rPr>
          <w:spacing w:val="8"/>
          <w:sz w:val="14"/>
          <w:lang w:val="en-US"/>
        </w:rPr>
        <w:t xml:space="preserve"> </w:t>
      </w:r>
      <w:proofErr w:type="spellStart"/>
      <w:r w:rsidRPr="00537489">
        <w:rPr>
          <w:spacing w:val="-2"/>
          <w:w w:val="95"/>
          <w:sz w:val="14"/>
          <w:lang w:val="en-US"/>
        </w:rPr>
        <w:t>párr</w:t>
      </w:r>
      <w:proofErr w:type="spellEnd"/>
      <w:r w:rsidRPr="00537489">
        <w:rPr>
          <w:spacing w:val="-2"/>
          <w:w w:val="95"/>
          <w:sz w:val="14"/>
          <w:lang w:val="en-US"/>
        </w:rPr>
        <w:t>.</w:t>
      </w:r>
      <w:r w:rsidRPr="00537489">
        <w:rPr>
          <w:spacing w:val="8"/>
          <w:sz w:val="14"/>
          <w:lang w:val="en-US"/>
        </w:rPr>
        <w:t xml:space="preserve"> </w:t>
      </w:r>
      <w:r w:rsidRPr="00537489">
        <w:rPr>
          <w:spacing w:val="-2"/>
          <w:w w:val="90"/>
          <w:sz w:val="14"/>
          <w:lang w:val="en-US"/>
        </w:rPr>
        <w:t>7</w:t>
      </w:r>
      <w:r>
        <w:rPr>
          <w:spacing w:val="-2"/>
          <w:w w:val="90"/>
          <w:sz w:val="14"/>
        </w:rPr>
        <w:t>;</w:t>
      </w:r>
      <w:r w:rsidRPr="00537489">
        <w:rPr>
          <w:spacing w:val="8"/>
          <w:sz w:val="14"/>
          <w:lang w:val="en-US"/>
        </w:rPr>
        <w:t xml:space="preserve"> </w:t>
      </w:r>
      <w:r w:rsidRPr="00537489">
        <w:rPr>
          <w:spacing w:val="-2"/>
          <w:w w:val="95"/>
          <w:sz w:val="14"/>
          <w:lang w:val="en-US"/>
        </w:rPr>
        <w:t>CERD/C/RUS/CO/23-24,</w:t>
      </w:r>
      <w:r w:rsidRPr="00537489">
        <w:rPr>
          <w:spacing w:val="8"/>
          <w:sz w:val="14"/>
          <w:lang w:val="en-US"/>
        </w:rPr>
        <w:t xml:space="preserve"> </w:t>
      </w:r>
      <w:proofErr w:type="spellStart"/>
      <w:r w:rsidRPr="00537489">
        <w:rPr>
          <w:spacing w:val="-2"/>
          <w:w w:val="95"/>
          <w:sz w:val="14"/>
          <w:lang w:val="en-US"/>
        </w:rPr>
        <w:t>párr</w:t>
      </w:r>
      <w:proofErr w:type="spellEnd"/>
      <w:r w:rsidRPr="00537489">
        <w:rPr>
          <w:spacing w:val="-2"/>
          <w:w w:val="95"/>
          <w:sz w:val="14"/>
          <w:lang w:val="en-US"/>
        </w:rPr>
        <w:t>.</w:t>
      </w:r>
      <w:r w:rsidRPr="00537489">
        <w:rPr>
          <w:spacing w:val="8"/>
          <w:sz w:val="14"/>
          <w:lang w:val="en-US"/>
        </w:rPr>
        <w:t xml:space="preserve"> </w:t>
      </w:r>
      <w:r w:rsidRPr="00537489">
        <w:rPr>
          <w:spacing w:val="-2"/>
          <w:w w:val="90"/>
          <w:sz w:val="14"/>
          <w:lang w:val="en-US"/>
        </w:rPr>
        <w:t>9</w:t>
      </w:r>
      <w:r>
        <w:rPr>
          <w:spacing w:val="-2"/>
          <w:w w:val="90"/>
          <w:sz w:val="14"/>
        </w:rPr>
        <w:t>;</w:t>
      </w:r>
      <w:r w:rsidRPr="00537489">
        <w:rPr>
          <w:spacing w:val="9"/>
          <w:sz w:val="14"/>
          <w:lang w:val="en-US"/>
        </w:rPr>
        <w:t xml:space="preserve"> </w:t>
      </w:r>
      <w:r w:rsidRPr="00537489">
        <w:rPr>
          <w:spacing w:val="-2"/>
          <w:w w:val="95"/>
          <w:sz w:val="14"/>
          <w:lang w:val="en-US"/>
        </w:rPr>
        <w:t>CERD/C/VNM/CO/10-14,</w:t>
      </w:r>
      <w:r w:rsidRPr="00537489">
        <w:rPr>
          <w:spacing w:val="8"/>
          <w:sz w:val="14"/>
          <w:lang w:val="en-US"/>
        </w:rPr>
        <w:t xml:space="preserve"> </w:t>
      </w:r>
      <w:proofErr w:type="spellStart"/>
      <w:r w:rsidRPr="00537489">
        <w:rPr>
          <w:spacing w:val="-2"/>
          <w:w w:val="95"/>
          <w:sz w:val="14"/>
          <w:lang w:val="en-US"/>
        </w:rPr>
        <w:t>párr</w:t>
      </w:r>
      <w:proofErr w:type="spellEnd"/>
      <w:r w:rsidRPr="00537489">
        <w:rPr>
          <w:spacing w:val="-2"/>
          <w:w w:val="95"/>
          <w:sz w:val="14"/>
          <w:lang w:val="en-US"/>
        </w:rPr>
        <w:t>.</w:t>
      </w:r>
      <w:r w:rsidRPr="00537489">
        <w:rPr>
          <w:spacing w:val="8"/>
          <w:sz w:val="14"/>
          <w:lang w:val="en-US"/>
        </w:rPr>
        <w:t xml:space="preserve"> </w:t>
      </w:r>
      <w:r>
        <w:rPr>
          <w:spacing w:val="-5"/>
          <w:w w:val="90"/>
          <w:sz w:val="14"/>
        </w:rPr>
        <w:t>7;</w:t>
      </w:r>
    </w:p>
    <w:p w14:paraId="2A4C26E6" w14:textId="77777777" w:rsidR="0014798C" w:rsidRDefault="004E1F0B">
      <w:pPr>
        <w:spacing w:before="19"/>
        <w:ind w:left="1371"/>
        <w:rPr>
          <w:sz w:val="14"/>
        </w:rPr>
      </w:pPr>
      <w:r>
        <w:rPr>
          <w:spacing w:val="-4"/>
          <w:sz w:val="14"/>
        </w:rPr>
        <w:t>CERD/C/ZMB/CO/17-19,</w:t>
      </w:r>
      <w:r>
        <w:rPr>
          <w:sz w:val="14"/>
        </w:rPr>
        <w:t xml:space="preserve"> </w:t>
      </w:r>
      <w:proofErr w:type="spellStart"/>
      <w:r>
        <w:rPr>
          <w:spacing w:val="-4"/>
          <w:sz w:val="14"/>
        </w:rPr>
        <w:t>párrs</w:t>
      </w:r>
      <w:proofErr w:type="spellEnd"/>
      <w:r>
        <w:rPr>
          <w:spacing w:val="-4"/>
          <w:sz w:val="14"/>
        </w:rPr>
        <w:t>.</w:t>
      </w:r>
      <w:r>
        <w:rPr>
          <w:sz w:val="14"/>
        </w:rPr>
        <w:t xml:space="preserve"> </w:t>
      </w:r>
      <w:r>
        <w:rPr>
          <w:spacing w:val="-4"/>
          <w:sz w:val="14"/>
        </w:rPr>
        <w:t>11</w:t>
      </w:r>
      <w:r>
        <w:rPr>
          <w:spacing w:val="1"/>
          <w:sz w:val="14"/>
        </w:rPr>
        <w:t xml:space="preserve"> </w:t>
      </w:r>
      <w:r>
        <w:rPr>
          <w:spacing w:val="-4"/>
          <w:sz w:val="14"/>
        </w:rPr>
        <w:t>(d)</w:t>
      </w:r>
      <w:r>
        <w:rPr>
          <w:sz w:val="14"/>
        </w:rPr>
        <w:t xml:space="preserve"> </w:t>
      </w:r>
      <w:r>
        <w:rPr>
          <w:spacing w:val="-4"/>
          <w:sz w:val="14"/>
        </w:rPr>
        <w:t>y</w:t>
      </w:r>
      <w:r>
        <w:rPr>
          <w:sz w:val="14"/>
        </w:rPr>
        <w:t xml:space="preserve"> </w:t>
      </w:r>
      <w:r>
        <w:rPr>
          <w:spacing w:val="-4"/>
          <w:sz w:val="14"/>
        </w:rPr>
        <w:t>12</w:t>
      </w:r>
      <w:r>
        <w:rPr>
          <w:spacing w:val="1"/>
          <w:sz w:val="14"/>
        </w:rPr>
        <w:t xml:space="preserve"> </w:t>
      </w:r>
      <w:r>
        <w:rPr>
          <w:spacing w:val="-4"/>
          <w:sz w:val="14"/>
        </w:rPr>
        <w:t>(b);</w:t>
      </w:r>
      <w:r>
        <w:rPr>
          <w:sz w:val="14"/>
        </w:rPr>
        <w:t xml:space="preserve"> </w:t>
      </w:r>
      <w:r>
        <w:rPr>
          <w:spacing w:val="-4"/>
          <w:sz w:val="14"/>
        </w:rPr>
        <w:t>CERD/C/PSE/CO/1-2,</w:t>
      </w:r>
      <w:r>
        <w:rPr>
          <w:spacing w:val="1"/>
          <w:sz w:val="14"/>
        </w:rPr>
        <w:t xml:space="preserve"> </w:t>
      </w:r>
      <w:r>
        <w:rPr>
          <w:spacing w:val="-4"/>
          <w:sz w:val="14"/>
        </w:rPr>
        <w:t>párr.</w:t>
      </w:r>
      <w:r>
        <w:rPr>
          <w:sz w:val="14"/>
        </w:rPr>
        <w:t xml:space="preserve"> </w:t>
      </w:r>
      <w:r>
        <w:rPr>
          <w:spacing w:val="-4"/>
          <w:sz w:val="14"/>
        </w:rPr>
        <w:t>12(a).</w:t>
      </w:r>
    </w:p>
    <w:p w14:paraId="467D119B" w14:textId="77777777" w:rsidR="0014798C" w:rsidRDefault="004E1F0B">
      <w:pPr>
        <w:spacing w:before="75"/>
        <w:ind w:left="1107"/>
        <w:rPr>
          <w:sz w:val="14"/>
        </w:rPr>
      </w:pPr>
      <w:r w:rsidRPr="00B16F84">
        <w:rPr>
          <w:sz w:val="14"/>
          <w:vertAlign w:val="superscript"/>
          <w:lang w:val="es-CR"/>
        </w:rPr>
        <w:t>52</w:t>
      </w:r>
      <w:r w:rsidRPr="00B16F84">
        <w:rPr>
          <w:spacing w:val="72"/>
          <w:w w:val="150"/>
          <w:sz w:val="14"/>
          <w:lang w:val="es-CR"/>
        </w:rPr>
        <w:t xml:space="preserve"> </w:t>
      </w:r>
      <w:r w:rsidRPr="00B16F84">
        <w:rPr>
          <w:sz w:val="14"/>
          <w:lang w:val="es-CR"/>
        </w:rPr>
        <w:t>CERD/C/KGZ/CO/8-10,</w:t>
      </w:r>
      <w:r w:rsidRPr="00B16F84">
        <w:rPr>
          <w:spacing w:val="-10"/>
          <w:sz w:val="14"/>
          <w:lang w:val="es-CR"/>
        </w:rPr>
        <w:t xml:space="preserve"> </w:t>
      </w:r>
      <w:r w:rsidRPr="00B16F84">
        <w:rPr>
          <w:sz w:val="14"/>
          <w:lang w:val="es-CR"/>
        </w:rPr>
        <w:t>párr.</w:t>
      </w:r>
      <w:r w:rsidRPr="00B16F84">
        <w:rPr>
          <w:spacing w:val="-9"/>
          <w:sz w:val="14"/>
          <w:lang w:val="es-CR"/>
        </w:rPr>
        <w:t xml:space="preserve"> </w:t>
      </w:r>
      <w:r>
        <w:rPr>
          <w:spacing w:val="-5"/>
          <w:sz w:val="14"/>
        </w:rPr>
        <w:t>11.</w:t>
      </w:r>
    </w:p>
    <w:p w14:paraId="47194F29" w14:textId="77777777" w:rsidR="0014798C" w:rsidRDefault="004E1F0B">
      <w:pPr>
        <w:spacing w:before="127" w:line="312" w:lineRule="auto"/>
        <w:ind w:left="1366" w:right="1840" w:hanging="259"/>
        <w:rPr>
          <w:sz w:val="12"/>
        </w:rPr>
      </w:pPr>
      <w:r>
        <w:rPr>
          <w:w w:val="105"/>
          <w:sz w:val="12"/>
        </w:rPr>
        <w:t>53</w:t>
      </w:r>
      <w:r>
        <w:rPr>
          <w:spacing w:val="-1"/>
          <w:w w:val="105"/>
          <w:sz w:val="12"/>
        </w:rPr>
        <w:t xml:space="preserve"> </w:t>
      </w:r>
      <w:r>
        <w:rPr>
          <w:w w:val="105"/>
          <w:sz w:val="12"/>
        </w:rPr>
        <w:t>Comité</w:t>
      </w:r>
      <w:r>
        <w:rPr>
          <w:spacing w:val="-1"/>
          <w:w w:val="105"/>
          <w:sz w:val="12"/>
        </w:rPr>
        <w:t xml:space="preserve"> </w:t>
      </w:r>
      <w:r>
        <w:rPr>
          <w:w w:val="105"/>
          <w:sz w:val="12"/>
        </w:rPr>
        <w:t>para</w:t>
      </w:r>
      <w:r>
        <w:rPr>
          <w:spacing w:val="-1"/>
          <w:w w:val="105"/>
          <w:sz w:val="12"/>
        </w:rPr>
        <w:t xml:space="preserve"> </w:t>
      </w:r>
      <w:r>
        <w:rPr>
          <w:w w:val="105"/>
          <w:sz w:val="12"/>
        </w:rPr>
        <w:t>la</w:t>
      </w:r>
      <w:r>
        <w:rPr>
          <w:spacing w:val="-1"/>
          <w:w w:val="105"/>
          <w:sz w:val="12"/>
        </w:rPr>
        <w:t xml:space="preserve"> </w:t>
      </w:r>
      <w:r>
        <w:rPr>
          <w:w w:val="105"/>
          <w:sz w:val="12"/>
        </w:rPr>
        <w:t>Eliminación</w:t>
      </w:r>
      <w:r>
        <w:rPr>
          <w:spacing w:val="-1"/>
          <w:w w:val="105"/>
          <w:sz w:val="12"/>
        </w:rPr>
        <w:t xml:space="preserve"> </w:t>
      </w:r>
      <w:r>
        <w:rPr>
          <w:w w:val="105"/>
          <w:sz w:val="12"/>
        </w:rPr>
        <w:t>de</w:t>
      </w:r>
      <w:r>
        <w:rPr>
          <w:spacing w:val="-1"/>
          <w:w w:val="105"/>
          <w:sz w:val="12"/>
        </w:rPr>
        <w:t xml:space="preserve"> </w:t>
      </w:r>
      <w:r>
        <w:rPr>
          <w:w w:val="105"/>
          <w:sz w:val="12"/>
        </w:rPr>
        <w:t>la</w:t>
      </w:r>
      <w:r>
        <w:rPr>
          <w:spacing w:val="-1"/>
          <w:w w:val="105"/>
          <w:sz w:val="12"/>
        </w:rPr>
        <w:t xml:space="preserve"> </w:t>
      </w:r>
      <w:r>
        <w:rPr>
          <w:w w:val="105"/>
          <w:sz w:val="12"/>
        </w:rPr>
        <w:t>Discriminación</w:t>
      </w:r>
      <w:r>
        <w:rPr>
          <w:spacing w:val="-1"/>
          <w:w w:val="105"/>
          <w:sz w:val="12"/>
        </w:rPr>
        <w:t xml:space="preserve"> </w:t>
      </w:r>
      <w:r>
        <w:rPr>
          <w:w w:val="105"/>
          <w:sz w:val="12"/>
        </w:rPr>
        <w:t>contra</w:t>
      </w:r>
      <w:r>
        <w:rPr>
          <w:spacing w:val="-1"/>
          <w:w w:val="105"/>
          <w:sz w:val="12"/>
        </w:rPr>
        <w:t xml:space="preserve"> </w:t>
      </w:r>
      <w:r>
        <w:rPr>
          <w:w w:val="105"/>
          <w:sz w:val="12"/>
        </w:rPr>
        <w:t>la</w:t>
      </w:r>
      <w:r>
        <w:rPr>
          <w:spacing w:val="-1"/>
          <w:w w:val="105"/>
          <w:sz w:val="12"/>
        </w:rPr>
        <w:t xml:space="preserve"> </w:t>
      </w:r>
      <w:r>
        <w:rPr>
          <w:w w:val="105"/>
          <w:sz w:val="12"/>
        </w:rPr>
        <w:t>Mujer, recomendación</w:t>
      </w:r>
      <w:r>
        <w:rPr>
          <w:spacing w:val="-1"/>
          <w:w w:val="105"/>
          <w:sz w:val="12"/>
        </w:rPr>
        <w:t xml:space="preserve"> </w:t>
      </w:r>
      <w:r>
        <w:rPr>
          <w:w w:val="105"/>
          <w:sz w:val="12"/>
        </w:rPr>
        <w:t>general</w:t>
      </w:r>
      <w:r>
        <w:rPr>
          <w:spacing w:val="-1"/>
          <w:w w:val="105"/>
          <w:sz w:val="12"/>
        </w:rPr>
        <w:t xml:space="preserve"> </w:t>
      </w:r>
      <w:r>
        <w:rPr>
          <w:w w:val="105"/>
          <w:sz w:val="12"/>
        </w:rPr>
        <w:t>núm.</w:t>
      </w:r>
      <w:r>
        <w:rPr>
          <w:spacing w:val="-1"/>
          <w:w w:val="105"/>
          <w:sz w:val="12"/>
        </w:rPr>
        <w:t xml:space="preserve"> </w:t>
      </w:r>
      <w:r>
        <w:rPr>
          <w:w w:val="105"/>
          <w:sz w:val="12"/>
        </w:rPr>
        <w:t>28</w:t>
      </w:r>
      <w:r>
        <w:rPr>
          <w:spacing w:val="-1"/>
          <w:w w:val="105"/>
          <w:sz w:val="12"/>
        </w:rPr>
        <w:t xml:space="preserve"> </w:t>
      </w:r>
      <w:r>
        <w:rPr>
          <w:w w:val="105"/>
          <w:sz w:val="12"/>
        </w:rPr>
        <w:t xml:space="preserve">(2010), </w:t>
      </w:r>
      <w:proofErr w:type="spellStart"/>
      <w:r>
        <w:rPr>
          <w:w w:val="105"/>
          <w:sz w:val="12"/>
        </w:rPr>
        <w:t>párrs</w:t>
      </w:r>
      <w:proofErr w:type="spellEnd"/>
      <w:r>
        <w:rPr>
          <w:w w:val="105"/>
          <w:sz w:val="12"/>
        </w:rPr>
        <w:t>. 31</w:t>
      </w:r>
      <w:r>
        <w:rPr>
          <w:spacing w:val="-1"/>
          <w:w w:val="105"/>
          <w:sz w:val="12"/>
        </w:rPr>
        <w:t xml:space="preserve"> </w:t>
      </w:r>
      <w:r>
        <w:rPr>
          <w:w w:val="105"/>
          <w:sz w:val="12"/>
        </w:rPr>
        <w:t>y</w:t>
      </w:r>
      <w:r>
        <w:rPr>
          <w:spacing w:val="-1"/>
          <w:w w:val="105"/>
          <w:sz w:val="12"/>
        </w:rPr>
        <w:t xml:space="preserve"> </w:t>
      </w:r>
      <w:r>
        <w:rPr>
          <w:w w:val="105"/>
          <w:sz w:val="12"/>
        </w:rPr>
        <w:t>18.</w:t>
      </w:r>
      <w:r>
        <w:rPr>
          <w:spacing w:val="-1"/>
          <w:w w:val="105"/>
          <w:sz w:val="12"/>
        </w:rPr>
        <w:t xml:space="preserve"> </w:t>
      </w:r>
      <w:r>
        <w:rPr>
          <w:w w:val="105"/>
          <w:sz w:val="12"/>
        </w:rPr>
        <w:t>Véanse</w:t>
      </w:r>
      <w:r>
        <w:rPr>
          <w:spacing w:val="-1"/>
          <w:w w:val="105"/>
          <w:sz w:val="12"/>
        </w:rPr>
        <w:t xml:space="preserve"> </w:t>
      </w:r>
      <w:r>
        <w:rPr>
          <w:w w:val="105"/>
          <w:sz w:val="12"/>
        </w:rPr>
        <w:t>también</w:t>
      </w:r>
      <w:r>
        <w:rPr>
          <w:spacing w:val="-1"/>
          <w:w w:val="105"/>
          <w:sz w:val="12"/>
        </w:rPr>
        <w:t xml:space="preserve"> </w:t>
      </w:r>
      <w:r>
        <w:rPr>
          <w:w w:val="105"/>
          <w:sz w:val="12"/>
        </w:rPr>
        <w:t>los</w:t>
      </w:r>
      <w:r>
        <w:rPr>
          <w:spacing w:val="-1"/>
          <w:w w:val="105"/>
          <w:sz w:val="12"/>
        </w:rPr>
        <w:t xml:space="preserve"> </w:t>
      </w:r>
      <w:proofErr w:type="spellStart"/>
      <w:r>
        <w:rPr>
          <w:w w:val="105"/>
          <w:sz w:val="12"/>
        </w:rPr>
        <w:t>párrs</w:t>
      </w:r>
      <w:proofErr w:type="spellEnd"/>
      <w:r>
        <w:rPr>
          <w:w w:val="105"/>
          <w:sz w:val="12"/>
        </w:rPr>
        <w:t>. 9–10,</w:t>
      </w:r>
      <w:r>
        <w:rPr>
          <w:spacing w:val="40"/>
          <w:w w:val="105"/>
          <w:sz w:val="12"/>
        </w:rPr>
        <w:t xml:space="preserve"> </w:t>
      </w:r>
      <w:r>
        <w:rPr>
          <w:w w:val="105"/>
          <w:sz w:val="12"/>
        </w:rPr>
        <w:t>13, 16–17, 32 y 34–36.</w:t>
      </w:r>
    </w:p>
    <w:p w14:paraId="30FEA84B" w14:textId="77777777" w:rsidR="0014798C" w:rsidRDefault="004E1F0B">
      <w:pPr>
        <w:spacing w:before="57"/>
        <w:ind w:left="1107"/>
        <w:rPr>
          <w:sz w:val="12"/>
        </w:rPr>
      </w:pPr>
      <w:r>
        <w:rPr>
          <w:w w:val="105"/>
          <w:sz w:val="12"/>
        </w:rPr>
        <w:t>54</w:t>
      </w:r>
      <w:r>
        <w:rPr>
          <w:spacing w:val="-5"/>
          <w:w w:val="105"/>
          <w:sz w:val="12"/>
        </w:rPr>
        <w:t xml:space="preserve"> </w:t>
      </w:r>
      <w:r>
        <w:rPr>
          <w:w w:val="105"/>
          <w:sz w:val="12"/>
        </w:rPr>
        <w:t>Comité</w:t>
      </w:r>
      <w:r>
        <w:rPr>
          <w:spacing w:val="-4"/>
          <w:w w:val="105"/>
          <w:sz w:val="12"/>
        </w:rPr>
        <w:t xml:space="preserve"> </w:t>
      </w:r>
      <w:r>
        <w:rPr>
          <w:w w:val="105"/>
          <w:sz w:val="12"/>
        </w:rPr>
        <w:t>sobre</w:t>
      </w:r>
      <w:r>
        <w:rPr>
          <w:spacing w:val="-4"/>
          <w:w w:val="105"/>
          <w:sz w:val="12"/>
        </w:rPr>
        <w:t xml:space="preserve"> </w:t>
      </w:r>
      <w:r>
        <w:rPr>
          <w:w w:val="105"/>
          <w:sz w:val="12"/>
        </w:rPr>
        <w:t>los</w:t>
      </w:r>
      <w:r>
        <w:rPr>
          <w:spacing w:val="-4"/>
          <w:w w:val="105"/>
          <w:sz w:val="12"/>
        </w:rPr>
        <w:t xml:space="preserve"> </w:t>
      </w:r>
      <w:r>
        <w:rPr>
          <w:w w:val="105"/>
          <w:sz w:val="12"/>
        </w:rPr>
        <w:t>Derechos</w:t>
      </w:r>
      <w:r>
        <w:rPr>
          <w:spacing w:val="-4"/>
          <w:w w:val="105"/>
          <w:sz w:val="12"/>
        </w:rPr>
        <w:t xml:space="preserve"> </w:t>
      </w:r>
      <w:r>
        <w:rPr>
          <w:w w:val="105"/>
          <w:sz w:val="12"/>
        </w:rPr>
        <w:t>de</w:t>
      </w:r>
      <w:r>
        <w:rPr>
          <w:spacing w:val="-4"/>
          <w:w w:val="105"/>
          <w:sz w:val="12"/>
        </w:rPr>
        <w:t xml:space="preserve"> </w:t>
      </w:r>
      <w:r>
        <w:rPr>
          <w:w w:val="105"/>
          <w:sz w:val="12"/>
        </w:rPr>
        <w:t>las</w:t>
      </w:r>
      <w:r>
        <w:rPr>
          <w:spacing w:val="-4"/>
          <w:w w:val="105"/>
          <w:sz w:val="12"/>
        </w:rPr>
        <w:t xml:space="preserve"> </w:t>
      </w:r>
      <w:r>
        <w:rPr>
          <w:w w:val="105"/>
          <w:sz w:val="12"/>
        </w:rPr>
        <w:t>Personas</w:t>
      </w:r>
      <w:r>
        <w:rPr>
          <w:spacing w:val="-4"/>
          <w:w w:val="105"/>
          <w:sz w:val="12"/>
        </w:rPr>
        <w:t xml:space="preserve"> </w:t>
      </w:r>
      <w:r>
        <w:rPr>
          <w:w w:val="105"/>
          <w:sz w:val="12"/>
        </w:rPr>
        <w:t>con</w:t>
      </w:r>
      <w:r>
        <w:rPr>
          <w:spacing w:val="-4"/>
          <w:w w:val="105"/>
          <w:sz w:val="12"/>
        </w:rPr>
        <w:t xml:space="preserve"> </w:t>
      </w:r>
      <w:r>
        <w:rPr>
          <w:w w:val="105"/>
          <w:sz w:val="12"/>
        </w:rPr>
        <w:t>Discapacidad,</w:t>
      </w:r>
      <w:r>
        <w:rPr>
          <w:spacing w:val="-3"/>
          <w:w w:val="105"/>
          <w:sz w:val="12"/>
        </w:rPr>
        <w:t xml:space="preserve"> </w:t>
      </w:r>
      <w:r>
        <w:rPr>
          <w:w w:val="105"/>
          <w:sz w:val="12"/>
        </w:rPr>
        <w:t>observación</w:t>
      </w:r>
      <w:r>
        <w:rPr>
          <w:spacing w:val="-4"/>
          <w:w w:val="105"/>
          <w:sz w:val="12"/>
        </w:rPr>
        <w:t xml:space="preserve"> </w:t>
      </w:r>
      <w:r>
        <w:rPr>
          <w:w w:val="105"/>
          <w:sz w:val="12"/>
        </w:rPr>
        <w:t>general</w:t>
      </w:r>
      <w:r>
        <w:rPr>
          <w:spacing w:val="-4"/>
          <w:w w:val="105"/>
          <w:sz w:val="12"/>
        </w:rPr>
        <w:t xml:space="preserve"> </w:t>
      </w:r>
      <w:r>
        <w:rPr>
          <w:w w:val="105"/>
          <w:sz w:val="12"/>
        </w:rPr>
        <w:t>núm.</w:t>
      </w:r>
      <w:r>
        <w:rPr>
          <w:spacing w:val="-4"/>
          <w:w w:val="105"/>
          <w:sz w:val="12"/>
        </w:rPr>
        <w:t xml:space="preserve"> </w:t>
      </w:r>
      <w:r>
        <w:rPr>
          <w:w w:val="105"/>
          <w:sz w:val="12"/>
        </w:rPr>
        <w:t>6</w:t>
      </w:r>
      <w:r>
        <w:rPr>
          <w:spacing w:val="-4"/>
          <w:w w:val="105"/>
          <w:sz w:val="12"/>
        </w:rPr>
        <w:t xml:space="preserve"> </w:t>
      </w:r>
      <w:r>
        <w:rPr>
          <w:w w:val="105"/>
          <w:sz w:val="12"/>
        </w:rPr>
        <w:t>(2018),</w:t>
      </w:r>
      <w:r>
        <w:rPr>
          <w:spacing w:val="-3"/>
          <w:w w:val="105"/>
          <w:sz w:val="12"/>
        </w:rPr>
        <w:t xml:space="preserve"> </w:t>
      </w:r>
      <w:r>
        <w:rPr>
          <w:w w:val="105"/>
          <w:sz w:val="12"/>
        </w:rPr>
        <w:t>párr.</w:t>
      </w:r>
      <w:r>
        <w:rPr>
          <w:spacing w:val="-4"/>
          <w:w w:val="105"/>
          <w:sz w:val="12"/>
        </w:rPr>
        <w:t xml:space="preserve"> </w:t>
      </w:r>
      <w:r>
        <w:rPr>
          <w:spacing w:val="-5"/>
          <w:w w:val="105"/>
          <w:sz w:val="12"/>
        </w:rPr>
        <w:t>22.</w:t>
      </w:r>
    </w:p>
    <w:p w14:paraId="348B1B44" w14:textId="77777777" w:rsidR="0014798C" w:rsidRDefault="004E1F0B">
      <w:pPr>
        <w:spacing w:before="99"/>
        <w:ind w:left="1107"/>
        <w:rPr>
          <w:sz w:val="12"/>
        </w:rPr>
      </w:pPr>
      <w:r>
        <w:rPr>
          <w:w w:val="105"/>
          <w:sz w:val="12"/>
        </w:rPr>
        <w:t>55</w:t>
      </w:r>
      <w:r>
        <w:rPr>
          <w:spacing w:val="-7"/>
          <w:w w:val="105"/>
          <w:sz w:val="12"/>
        </w:rPr>
        <w:t xml:space="preserve"> </w:t>
      </w:r>
      <w:proofErr w:type="spellStart"/>
      <w:r>
        <w:rPr>
          <w:w w:val="105"/>
          <w:sz w:val="12"/>
        </w:rPr>
        <w:t>Ibíd</w:t>
      </w:r>
      <w:proofErr w:type="spellEnd"/>
      <w:r>
        <w:rPr>
          <w:w w:val="105"/>
          <w:sz w:val="12"/>
        </w:rPr>
        <w:t>.,</w:t>
      </w:r>
      <w:r>
        <w:rPr>
          <w:spacing w:val="-4"/>
          <w:w w:val="105"/>
          <w:sz w:val="12"/>
        </w:rPr>
        <w:t xml:space="preserve"> </w:t>
      </w:r>
      <w:proofErr w:type="spellStart"/>
      <w:r>
        <w:rPr>
          <w:w w:val="105"/>
          <w:sz w:val="12"/>
        </w:rPr>
        <w:t>párrs</w:t>
      </w:r>
      <w:proofErr w:type="spellEnd"/>
      <w:r>
        <w:rPr>
          <w:w w:val="105"/>
          <w:sz w:val="12"/>
        </w:rPr>
        <w:t>.</w:t>
      </w:r>
      <w:r>
        <w:rPr>
          <w:spacing w:val="-3"/>
          <w:w w:val="105"/>
          <w:sz w:val="12"/>
        </w:rPr>
        <w:t xml:space="preserve"> </w:t>
      </w:r>
      <w:r>
        <w:rPr>
          <w:spacing w:val="-2"/>
          <w:w w:val="105"/>
          <w:sz w:val="12"/>
        </w:rPr>
        <w:t>12–73.</w:t>
      </w:r>
    </w:p>
    <w:p w14:paraId="57A1C742" w14:textId="77777777" w:rsidR="0014798C" w:rsidRDefault="004E1F0B">
      <w:pPr>
        <w:spacing w:before="98"/>
        <w:ind w:left="1107"/>
        <w:rPr>
          <w:sz w:val="12"/>
        </w:rPr>
      </w:pPr>
      <w:r>
        <w:rPr>
          <w:w w:val="105"/>
          <w:sz w:val="12"/>
        </w:rPr>
        <w:t>56</w:t>
      </w:r>
      <w:r>
        <w:rPr>
          <w:spacing w:val="-6"/>
          <w:w w:val="105"/>
          <w:sz w:val="12"/>
        </w:rPr>
        <w:t xml:space="preserve"> </w:t>
      </w:r>
      <w:proofErr w:type="spellStart"/>
      <w:r>
        <w:rPr>
          <w:w w:val="105"/>
          <w:sz w:val="12"/>
        </w:rPr>
        <w:t>Ibíd</w:t>
      </w:r>
      <w:proofErr w:type="spellEnd"/>
      <w:r>
        <w:rPr>
          <w:w w:val="105"/>
          <w:sz w:val="12"/>
        </w:rPr>
        <w:t>.,</w:t>
      </w:r>
      <w:r>
        <w:rPr>
          <w:spacing w:val="-4"/>
          <w:w w:val="105"/>
          <w:sz w:val="12"/>
        </w:rPr>
        <w:t xml:space="preserve"> </w:t>
      </w:r>
      <w:r>
        <w:rPr>
          <w:w w:val="105"/>
          <w:sz w:val="12"/>
        </w:rPr>
        <w:t>párr.</w:t>
      </w:r>
      <w:r>
        <w:rPr>
          <w:spacing w:val="-4"/>
          <w:w w:val="105"/>
          <w:sz w:val="12"/>
        </w:rPr>
        <w:t xml:space="preserve"> </w:t>
      </w:r>
      <w:r>
        <w:rPr>
          <w:spacing w:val="-5"/>
          <w:w w:val="105"/>
          <w:sz w:val="12"/>
        </w:rPr>
        <w:t>11.</w:t>
      </w:r>
    </w:p>
    <w:p w14:paraId="74661AB8" w14:textId="77777777" w:rsidR="0014798C" w:rsidRDefault="004E1F0B">
      <w:pPr>
        <w:spacing w:before="47"/>
        <w:ind w:left="1107"/>
        <w:rPr>
          <w:sz w:val="14"/>
        </w:rPr>
      </w:pPr>
      <w:r>
        <w:rPr>
          <w:spacing w:val="-2"/>
          <w:sz w:val="14"/>
          <w:vertAlign w:val="superscript"/>
        </w:rPr>
        <w:t>57</w:t>
      </w:r>
      <w:r>
        <w:rPr>
          <w:spacing w:val="43"/>
          <w:sz w:val="14"/>
        </w:rPr>
        <w:t xml:space="preserve">  </w:t>
      </w:r>
      <w:r>
        <w:rPr>
          <w:spacing w:val="-2"/>
          <w:sz w:val="14"/>
        </w:rPr>
        <w:t>OIT,</w:t>
      </w:r>
      <w:r>
        <w:rPr>
          <w:spacing w:val="-1"/>
          <w:sz w:val="14"/>
        </w:rPr>
        <w:t xml:space="preserve"> </w:t>
      </w:r>
      <w:r>
        <w:rPr>
          <w:spacing w:val="-2"/>
          <w:sz w:val="14"/>
        </w:rPr>
        <w:t>“Informe</w:t>
      </w:r>
      <w:r>
        <w:rPr>
          <w:spacing w:val="-1"/>
          <w:sz w:val="14"/>
        </w:rPr>
        <w:t xml:space="preserve"> </w:t>
      </w:r>
      <w:r>
        <w:rPr>
          <w:spacing w:val="-2"/>
          <w:sz w:val="14"/>
        </w:rPr>
        <w:t>de</w:t>
      </w:r>
      <w:r>
        <w:rPr>
          <w:spacing w:val="-1"/>
          <w:sz w:val="14"/>
        </w:rPr>
        <w:t xml:space="preserve"> </w:t>
      </w:r>
      <w:r>
        <w:rPr>
          <w:spacing w:val="-2"/>
          <w:sz w:val="14"/>
        </w:rPr>
        <w:t>la</w:t>
      </w:r>
      <w:r>
        <w:rPr>
          <w:spacing w:val="-1"/>
          <w:sz w:val="14"/>
        </w:rPr>
        <w:t xml:space="preserve"> </w:t>
      </w:r>
      <w:r>
        <w:rPr>
          <w:spacing w:val="-2"/>
          <w:sz w:val="14"/>
        </w:rPr>
        <w:t>Comisión de</w:t>
      </w:r>
      <w:r>
        <w:rPr>
          <w:spacing w:val="-1"/>
          <w:sz w:val="14"/>
        </w:rPr>
        <w:t xml:space="preserve"> </w:t>
      </w:r>
      <w:r>
        <w:rPr>
          <w:spacing w:val="-2"/>
          <w:sz w:val="14"/>
        </w:rPr>
        <w:t>Expertos</w:t>
      </w:r>
      <w:r>
        <w:rPr>
          <w:spacing w:val="-1"/>
          <w:sz w:val="14"/>
        </w:rPr>
        <w:t xml:space="preserve"> </w:t>
      </w:r>
      <w:r>
        <w:rPr>
          <w:spacing w:val="-2"/>
          <w:sz w:val="14"/>
        </w:rPr>
        <w:t>en</w:t>
      </w:r>
      <w:r>
        <w:rPr>
          <w:spacing w:val="-1"/>
          <w:sz w:val="14"/>
        </w:rPr>
        <w:t xml:space="preserve"> </w:t>
      </w:r>
      <w:r>
        <w:rPr>
          <w:spacing w:val="-2"/>
          <w:sz w:val="14"/>
        </w:rPr>
        <w:t>Aplicación</w:t>
      </w:r>
      <w:r>
        <w:rPr>
          <w:spacing w:val="-1"/>
          <w:sz w:val="14"/>
        </w:rPr>
        <w:t xml:space="preserve"> </w:t>
      </w:r>
      <w:r>
        <w:rPr>
          <w:spacing w:val="-2"/>
          <w:sz w:val="14"/>
        </w:rPr>
        <w:t>de</w:t>
      </w:r>
      <w:r>
        <w:rPr>
          <w:spacing w:val="-1"/>
          <w:sz w:val="14"/>
        </w:rPr>
        <w:t xml:space="preserve"> </w:t>
      </w:r>
      <w:r>
        <w:rPr>
          <w:spacing w:val="-2"/>
          <w:sz w:val="14"/>
        </w:rPr>
        <w:t>Convenios</w:t>
      </w:r>
      <w:r>
        <w:rPr>
          <w:spacing w:val="-1"/>
          <w:sz w:val="14"/>
        </w:rPr>
        <w:t xml:space="preserve"> </w:t>
      </w:r>
      <w:r>
        <w:rPr>
          <w:spacing w:val="-2"/>
          <w:sz w:val="14"/>
        </w:rPr>
        <w:t>y</w:t>
      </w:r>
      <w:r>
        <w:rPr>
          <w:spacing w:val="-1"/>
          <w:sz w:val="14"/>
        </w:rPr>
        <w:t xml:space="preserve"> </w:t>
      </w:r>
      <w:r>
        <w:rPr>
          <w:spacing w:val="-2"/>
          <w:sz w:val="14"/>
        </w:rPr>
        <w:t>Recomendaciones”,</w:t>
      </w:r>
      <w:r>
        <w:rPr>
          <w:spacing w:val="-1"/>
          <w:sz w:val="14"/>
        </w:rPr>
        <w:t xml:space="preserve"> </w:t>
      </w:r>
      <w:r>
        <w:rPr>
          <w:spacing w:val="-2"/>
          <w:sz w:val="14"/>
        </w:rPr>
        <w:t>Informe</w:t>
      </w:r>
      <w:r>
        <w:rPr>
          <w:spacing w:val="-1"/>
          <w:sz w:val="14"/>
        </w:rPr>
        <w:t xml:space="preserve"> </w:t>
      </w:r>
      <w:r>
        <w:rPr>
          <w:spacing w:val="-2"/>
          <w:sz w:val="14"/>
        </w:rPr>
        <w:t>III</w:t>
      </w:r>
      <w:r>
        <w:rPr>
          <w:spacing w:val="-1"/>
          <w:sz w:val="14"/>
        </w:rPr>
        <w:t xml:space="preserve"> </w:t>
      </w:r>
      <w:r>
        <w:rPr>
          <w:spacing w:val="-2"/>
          <w:sz w:val="14"/>
        </w:rPr>
        <w:t>(Parte</w:t>
      </w:r>
      <w:r>
        <w:rPr>
          <w:spacing w:val="-1"/>
          <w:sz w:val="14"/>
        </w:rPr>
        <w:t xml:space="preserve"> </w:t>
      </w:r>
      <w:r>
        <w:rPr>
          <w:spacing w:val="-2"/>
          <w:sz w:val="14"/>
        </w:rPr>
        <w:t>1A)</w:t>
      </w:r>
      <w:r>
        <w:rPr>
          <w:spacing w:val="-1"/>
          <w:sz w:val="14"/>
        </w:rPr>
        <w:t xml:space="preserve"> </w:t>
      </w:r>
      <w:r>
        <w:rPr>
          <w:spacing w:val="-2"/>
          <w:sz w:val="14"/>
        </w:rPr>
        <w:t>(Ginebra,</w:t>
      </w:r>
      <w:r>
        <w:rPr>
          <w:spacing w:val="-1"/>
          <w:sz w:val="14"/>
        </w:rPr>
        <w:t xml:space="preserve"> </w:t>
      </w:r>
      <w:r>
        <w:rPr>
          <w:spacing w:val="-2"/>
          <w:sz w:val="14"/>
        </w:rPr>
        <w:t>2009),</w:t>
      </w:r>
      <w:r>
        <w:rPr>
          <w:spacing w:val="-1"/>
          <w:sz w:val="14"/>
        </w:rPr>
        <w:t xml:space="preserve"> </w:t>
      </w:r>
      <w:r>
        <w:rPr>
          <w:spacing w:val="-2"/>
          <w:sz w:val="14"/>
        </w:rPr>
        <w:t>párr.</w:t>
      </w:r>
    </w:p>
    <w:p w14:paraId="0C1C0CB1" w14:textId="77777777" w:rsidR="0014798C" w:rsidRDefault="004E1F0B">
      <w:pPr>
        <w:spacing w:before="19"/>
        <w:ind w:left="1366"/>
        <w:rPr>
          <w:sz w:val="14"/>
        </w:rPr>
      </w:pPr>
      <w:r>
        <w:rPr>
          <w:spacing w:val="-2"/>
          <w:sz w:val="14"/>
        </w:rPr>
        <w:t>109.</w:t>
      </w:r>
      <w:r>
        <w:rPr>
          <w:spacing w:val="-5"/>
          <w:sz w:val="14"/>
        </w:rPr>
        <w:t xml:space="preserve"> </w:t>
      </w:r>
      <w:r>
        <w:rPr>
          <w:spacing w:val="-2"/>
          <w:sz w:val="14"/>
        </w:rPr>
        <w:t>Disponible</w:t>
      </w:r>
      <w:r>
        <w:rPr>
          <w:spacing w:val="-5"/>
          <w:sz w:val="14"/>
        </w:rPr>
        <w:t xml:space="preserve"> </w:t>
      </w:r>
      <w:r>
        <w:rPr>
          <w:spacing w:val="-2"/>
          <w:sz w:val="14"/>
        </w:rPr>
        <w:t>en</w:t>
      </w:r>
      <w:r>
        <w:rPr>
          <w:spacing w:val="-5"/>
          <w:sz w:val="14"/>
        </w:rPr>
        <w:t xml:space="preserve"> </w:t>
      </w:r>
      <w:hyperlink r:id="rId68">
        <w:r>
          <w:rPr>
            <w:color w:val="0075BF"/>
            <w:spacing w:val="-2"/>
            <w:sz w:val="14"/>
          </w:rPr>
          <w:t>www.ilo.org/public/libdoc/ilo/P/09661/09661(2009-98-1A).pdf.</w:t>
        </w:r>
      </w:hyperlink>
    </w:p>
    <w:p w14:paraId="2B1FA1EB" w14:textId="77777777" w:rsidR="0014798C" w:rsidRDefault="004E1F0B">
      <w:pPr>
        <w:spacing w:before="95"/>
        <w:ind w:left="1107"/>
        <w:rPr>
          <w:sz w:val="12"/>
        </w:rPr>
      </w:pPr>
      <w:r>
        <w:rPr>
          <w:w w:val="105"/>
          <w:sz w:val="12"/>
        </w:rPr>
        <w:t>58</w:t>
      </w:r>
      <w:r>
        <w:rPr>
          <w:spacing w:val="-2"/>
          <w:w w:val="105"/>
          <w:sz w:val="12"/>
        </w:rPr>
        <w:t xml:space="preserve"> </w:t>
      </w:r>
      <w:proofErr w:type="spellStart"/>
      <w:r>
        <w:rPr>
          <w:spacing w:val="-4"/>
          <w:w w:val="105"/>
          <w:sz w:val="12"/>
        </w:rPr>
        <w:t>Ibíd</w:t>
      </w:r>
      <w:proofErr w:type="spellEnd"/>
      <w:r>
        <w:rPr>
          <w:spacing w:val="-4"/>
          <w:w w:val="105"/>
          <w:sz w:val="12"/>
        </w:rPr>
        <w:t>.</w:t>
      </w:r>
    </w:p>
    <w:p w14:paraId="77937003" w14:textId="77777777" w:rsidR="0014798C" w:rsidRDefault="0014798C">
      <w:pPr>
        <w:pStyle w:val="Textoindependiente"/>
        <w:rPr>
          <w:sz w:val="19"/>
        </w:rPr>
      </w:pPr>
    </w:p>
    <w:p w14:paraId="6E3D1368" w14:textId="77777777" w:rsidR="0014798C" w:rsidRDefault="0014798C">
      <w:pPr>
        <w:pStyle w:val="Textoindependiente"/>
        <w:spacing w:before="198"/>
        <w:rPr>
          <w:sz w:val="19"/>
        </w:rPr>
      </w:pPr>
    </w:p>
    <w:p w14:paraId="381E6169" w14:textId="77777777" w:rsidR="0014798C" w:rsidRDefault="004E1F0B">
      <w:pPr>
        <w:spacing w:before="1"/>
        <w:ind w:right="723"/>
        <w:jc w:val="right"/>
        <w:rPr>
          <w:sz w:val="19"/>
        </w:rPr>
      </w:pPr>
      <w:r>
        <w:rPr>
          <w:spacing w:val="-10"/>
          <w:sz w:val="19"/>
        </w:rPr>
        <w:t>5</w:t>
      </w:r>
    </w:p>
    <w:p w14:paraId="008BD0E4" w14:textId="77777777" w:rsidR="0014798C" w:rsidRDefault="0014798C">
      <w:pPr>
        <w:jc w:val="right"/>
        <w:rPr>
          <w:sz w:val="19"/>
        </w:rPr>
        <w:sectPr w:rsidR="0014798C" w:rsidSect="00F265E4">
          <w:pgSz w:w="11900" w:h="16820"/>
          <w:pgMar w:top="340" w:right="0" w:bottom="280" w:left="200" w:header="121" w:footer="0" w:gutter="0"/>
          <w:cols w:space="720"/>
        </w:sectPr>
      </w:pPr>
    </w:p>
    <w:p w14:paraId="0ED962D8" w14:textId="77777777" w:rsidR="0014798C" w:rsidRDefault="0014798C">
      <w:pPr>
        <w:pStyle w:val="Textoindependiente"/>
        <w:spacing w:before="85"/>
        <w:rPr>
          <w:sz w:val="12"/>
        </w:rPr>
      </w:pPr>
    </w:p>
    <w:p w14:paraId="44B1ABCC" w14:textId="77777777" w:rsidR="0014798C" w:rsidRDefault="004E1F0B">
      <w:pPr>
        <w:ind w:left="1111"/>
        <w:rPr>
          <w:sz w:val="12"/>
        </w:rPr>
      </w:pPr>
      <w:r>
        <w:rPr>
          <w:color w:val="009EDB"/>
          <w:sz w:val="12"/>
        </w:rPr>
        <w:t>PROTECCIÓN</w:t>
      </w:r>
      <w:r>
        <w:rPr>
          <w:color w:val="009EDB"/>
          <w:spacing w:val="6"/>
          <w:sz w:val="12"/>
        </w:rPr>
        <w:t xml:space="preserve"> </w:t>
      </w:r>
      <w:r>
        <w:rPr>
          <w:color w:val="009EDB"/>
          <w:sz w:val="12"/>
        </w:rPr>
        <w:t>DE</w:t>
      </w:r>
      <w:r>
        <w:rPr>
          <w:color w:val="009EDB"/>
          <w:spacing w:val="7"/>
          <w:sz w:val="12"/>
        </w:rPr>
        <w:t xml:space="preserve"> </w:t>
      </w:r>
      <w:r>
        <w:rPr>
          <w:color w:val="009EDB"/>
          <w:sz w:val="12"/>
        </w:rPr>
        <w:t>LOS</w:t>
      </w:r>
      <w:r>
        <w:rPr>
          <w:color w:val="009EDB"/>
          <w:spacing w:val="8"/>
          <w:sz w:val="12"/>
        </w:rPr>
        <w:t xml:space="preserve"> </w:t>
      </w:r>
      <w:r>
        <w:rPr>
          <w:color w:val="009EDB"/>
          <w:sz w:val="12"/>
        </w:rPr>
        <w:t>DERECHOS</w:t>
      </w:r>
      <w:r>
        <w:rPr>
          <w:color w:val="009EDB"/>
          <w:spacing w:val="8"/>
          <w:sz w:val="12"/>
        </w:rPr>
        <w:t xml:space="preserve"> </w:t>
      </w:r>
      <w:r>
        <w:rPr>
          <w:color w:val="009EDB"/>
          <w:sz w:val="12"/>
        </w:rPr>
        <w:t>DE</w:t>
      </w:r>
      <w:r>
        <w:rPr>
          <w:color w:val="009EDB"/>
          <w:spacing w:val="6"/>
          <w:sz w:val="12"/>
        </w:rPr>
        <w:t xml:space="preserve"> </w:t>
      </w:r>
      <w:r>
        <w:rPr>
          <w:color w:val="009EDB"/>
          <w:sz w:val="12"/>
        </w:rPr>
        <w:t>LAS</w:t>
      </w:r>
      <w:r>
        <w:rPr>
          <w:color w:val="009EDB"/>
          <w:spacing w:val="7"/>
          <w:sz w:val="12"/>
        </w:rPr>
        <w:t xml:space="preserve"> </w:t>
      </w:r>
      <w:r>
        <w:rPr>
          <w:color w:val="009EDB"/>
          <w:sz w:val="12"/>
        </w:rPr>
        <w:t>MINORÍAS:</w:t>
      </w:r>
      <w:r>
        <w:rPr>
          <w:color w:val="009EDB"/>
          <w:spacing w:val="8"/>
          <w:sz w:val="12"/>
        </w:rPr>
        <w:t xml:space="preserve"> </w:t>
      </w:r>
      <w:r>
        <w:rPr>
          <w:color w:val="009EDB"/>
          <w:sz w:val="12"/>
        </w:rPr>
        <w:t>una</w:t>
      </w:r>
      <w:r>
        <w:rPr>
          <w:color w:val="009EDB"/>
          <w:spacing w:val="7"/>
          <w:sz w:val="12"/>
        </w:rPr>
        <w:t xml:space="preserve"> </w:t>
      </w:r>
      <w:r>
        <w:rPr>
          <w:color w:val="009EDB"/>
          <w:sz w:val="12"/>
        </w:rPr>
        <w:t>guía</w:t>
      </w:r>
      <w:r>
        <w:rPr>
          <w:color w:val="009EDB"/>
          <w:spacing w:val="6"/>
          <w:sz w:val="12"/>
        </w:rPr>
        <w:t xml:space="preserve"> </w:t>
      </w:r>
      <w:r>
        <w:rPr>
          <w:color w:val="009EDB"/>
          <w:sz w:val="12"/>
        </w:rPr>
        <w:t>práctica</w:t>
      </w:r>
      <w:r>
        <w:rPr>
          <w:color w:val="009EDB"/>
          <w:spacing w:val="7"/>
          <w:sz w:val="12"/>
        </w:rPr>
        <w:t xml:space="preserve"> </w:t>
      </w:r>
      <w:r>
        <w:rPr>
          <w:color w:val="009EDB"/>
          <w:sz w:val="12"/>
        </w:rPr>
        <w:t>para</w:t>
      </w:r>
      <w:r>
        <w:rPr>
          <w:color w:val="009EDB"/>
          <w:spacing w:val="8"/>
          <w:sz w:val="12"/>
        </w:rPr>
        <w:t xml:space="preserve"> </w:t>
      </w:r>
      <w:r>
        <w:rPr>
          <w:color w:val="009EDB"/>
          <w:sz w:val="12"/>
        </w:rPr>
        <w:t>desarrollar</w:t>
      </w:r>
      <w:r>
        <w:rPr>
          <w:color w:val="009EDB"/>
          <w:spacing w:val="6"/>
          <w:sz w:val="12"/>
        </w:rPr>
        <w:t xml:space="preserve"> </w:t>
      </w:r>
      <w:r>
        <w:rPr>
          <w:color w:val="009EDB"/>
          <w:sz w:val="12"/>
        </w:rPr>
        <w:t>una</w:t>
      </w:r>
      <w:r>
        <w:rPr>
          <w:color w:val="009EDB"/>
          <w:spacing w:val="7"/>
          <w:sz w:val="12"/>
        </w:rPr>
        <w:t xml:space="preserve"> </w:t>
      </w:r>
      <w:r>
        <w:rPr>
          <w:color w:val="009EDB"/>
          <w:sz w:val="12"/>
        </w:rPr>
        <w:t>legislación</w:t>
      </w:r>
      <w:r>
        <w:rPr>
          <w:color w:val="009EDB"/>
          <w:spacing w:val="8"/>
          <w:sz w:val="12"/>
        </w:rPr>
        <w:t xml:space="preserve"> </w:t>
      </w:r>
      <w:r>
        <w:rPr>
          <w:color w:val="009EDB"/>
          <w:sz w:val="12"/>
        </w:rPr>
        <w:t>integral</w:t>
      </w:r>
      <w:r>
        <w:rPr>
          <w:color w:val="009EDB"/>
          <w:spacing w:val="7"/>
          <w:sz w:val="12"/>
        </w:rPr>
        <w:t xml:space="preserve"> </w:t>
      </w:r>
      <w:r>
        <w:rPr>
          <w:color w:val="009EDB"/>
          <w:sz w:val="12"/>
        </w:rPr>
        <w:t>contra</w:t>
      </w:r>
      <w:r>
        <w:rPr>
          <w:color w:val="009EDB"/>
          <w:spacing w:val="6"/>
          <w:sz w:val="12"/>
        </w:rPr>
        <w:t xml:space="preserve"> </w:t>
      </w:r>
      <w:r>
        <w:rPr>
          <w:color w:val="009EDB"/>
          <w:sz w:val="12"/>
        </w:rPr>
        <w:t>la</w:t>
      </w:r>
      <w:r>
        <w:rPr>
          <w:color w:val="009EDB"/>
          <w:spacing w:val="7"/>
          <w:sz w:val="12"/>
        </w:rPr>
        <w:t xml:space="preserve"> </w:t>
      </w:r>
      <w:r>
        <w:rPr>
          <w:color w:val="009EDB"/>
          <w:spacing w:val="-2"/>
          <w:sz w:val="12"/>
        </w:rPr>
        <w:t>discriminación</w:t>
      </w:r>
    </w:p>
    <w:p w14:paraId="6F188058" w14:textId="77777777" w:rsidR="0014798C" w:rsidRDefault="0014798C">
      <w:pPr>
        <w:pStyle w:val="Textoindependiente"/>
        <w:rPr>
          <w:sz w:val="26"/>
        </w:rPr>
      </w:pPr>
    </w:p>
    <w:p w14:paraId="1A00A037" w14:textId="77777777" w:rsidR="0014798C" w:rsidRDefault="0014798C">
      <w:pPr>
        <w:pStyle w:val="Textoindependiente"/>
        <w:rPr>
          <w:sz w:val="26"/>
        </w:rPr>
      </w:pPr>
    </w:p>
    <w:p w14:paraId="250F155B" w14:textId="77777777" w:rsidR="0014798C" w:rsidRDefault="0014798C">
      <w:pPr>
        <w:pStyle w:val="Textoindependiente"/>
        <w:spacing w:before="79"/>
        <w:rPr>
          <w:sz w:val="26"/>
        </w:rPr>
      </w:pPr>
    </w:p>
    <w:p w14:paraId="4EB30073" w14:textId="77777777" w:rsidR="0014798C" w:rsidRDefault="004E1F0B">
      <w:pPr>
        <w:spacing w:line="321" w:lineRule="auto"/>
        <w:ind w:left="1583" w:right="1290" w:hanging="460"/>
        <w:rPr>
          <w:sz w:val="26"/>
        </w:rPr>
      </w:pPr>
      <w:r>
        <w:rPr>
          <w:color w:val="009EDB"/>
          <w:sz w:val="26"/>
        </w:rPr>
        <w:t xml:space="preserve">II. </w:t>
      </w:r>
      <w:bookmarkStart w:id="9" w:name="constitutivos"/>
      <w:r>
        <w:rPr>
          <w:color w:val="009EDB"/>
          <w:sz w:val="26"/>
        </w:rPr>
        <w:t xml:space="preserve">ORGANISMOS CONSTITUTIVOS Y OTROS INTERNACIONALES </w:t>
      </w:r>
      <w:r>
        <w:rPr>
          <w:color w:val="009EDB"/>
          <w:spacing w:val="-2"/>
          <w:sz w:val="26"/>
        </w:rPr>
        <w:t>PROCESOS</w:t>
      </w:r>
      <w:bookmarkEnd w:id="9"/>
    </w:p>
    <w:p w14:paraId="4425250D" w14:textId="77777777" w:rsidR="0014798C" w:rsidRDefault="004E1F0B">
      <w:pPr>
        <w:spacing w:before="134" w:line="307" w:lineRule="auto"/>
        <w:ind w:left="1107" w:right="1283" w:hanging="1"/>
        <w:rPr>
          <w:sz w:val="17"/>
        </w:rPr>
      </w:pPr>
      <w:r>
        <w:rPr>
          <w:w w:val="105"/>
          <w:sz w:val="17"/>
        </w:rPr>
        <w:t>El</w:t>
      </w:r>
      <w:r>
        <w:rPr>
          <w:spacing w:val="-8"/>
          <w:w w:val="105"/>
          <w:sz w:val="17"/>
        </w:rPr>
        <w:t xml:space="preserve"> </w:t>
      </w:r>
      <w:r>
        <w:rPr>
          <w:w w:val="105"/>
          <w:sz w:val="17"/>
        </w:rPr>
        <w:t>consenso</w:t>
      </w:r>
      <w:r>
        <w:rPr>
          <w:spacing w:val="-8"/>
          <w:w w:val="105"/>
          <w:sz w:val="17"/>
        </w:rPr>
        <w:t xml:space="preserve"> </w:t>
      </w:r>
      <w:r>
        <w:rPr>
          <w:w w:val="105"/>
          <w:sz w:val="17"/>
        </w:rPr>
        <w:t>sobre</w:t>
      </w:r>
      <w:r>
        <w:rPr>
          <w:spacing w:val="-8"/>
          <w:w w:val="105"/>
          <w:sz w:val="17"/>
        </w:rPr>
        <w:t xml:space="preserve"> </w:t>
      </w:r>
      <w:r>
        <w:rPr>
          <w:w w:val="105"/>
          <w:sz w:val="17"/>
        </w:rPr>
        <w:t>la</w:t>
      </w:r>
      <w:r>
        <w:rPr>
          <w:spacing w:val="-8"/>
          <w:w w:val="105"/>
          <w:sz w:val="17"/>
        </w:rPr>
        <w:t xml:space="preserve"> </w:t>
      </w:r>
      <w:r>
        <w:rPr>
          <w:w w:val="105"/>
          <w:sz w:val="17"/>
        </w:rPr>
        <w:t>necesidad</w:t>
      </w:r>
      <w:r>
        <w:rPr>
          <w:spacing w:val="-8"/>
          <w:w w:val="105"/>
          <w:sz w:val="17"/>
        </w:rPr>
        <w:t xml:space="preserve"> </w:t>
      </w:r>
      <w:r>
        <w:rPr>
          <w:w w:val="105"/>
          <w:sz w:val="17"/>
        </w:rPr>
        <w:t>de</w:t>
      </w:r>
      <w:r>
        <w:rPr>
          <w:spacing w:val="-8"/>
          <w:w w:val="105"/>
          <w:sz w:val="17"/>
        </w:rPr>
        <w:t xml:space="preserve"> </w:t>
      </w:r>
      <w:r>
        <w:rPr>
          <w:w w:val="105"/>
          <w:sz w:val="17"/>
        </w:rPr>
        <w:t>adoptar</w:t>
      </w:r>
      <w:r>
        <w:rPr>
          <w:spacing w:val="-8"/>
          <w:w w:val="105"/>
          <w:sz w:val="17"/>
        </w:rPr>
        <w:t xml:space="preserve"> </w:t>
      </w:r>
      <w:r>
        <w:rPr>
          <w:w w:val="105"/>
          <w:sz w:val="17"/>
        </w:rPr>
        <w:t>una</w:t>
      </w:r>
      <w:r>
        <w:rPr>
          <w:spacing w:val="-8"/>
          <w:w w:val="105"/>
          <w:sz w:val="17"/>
        </w:rPr>
        <w:t xml:space="preserve"> </w:t>
      </w:r>
      <w:r>
        <w:rPr>
          <w:w w:val="105"/>
          <w:sz w:val="17"/>
        </w:rPr>
        <w:t>legislación</w:t>
      </w:r>
      <w:r>
        <w:rPr>
          <w:spacing w:val="-8"/>
          <w:w w:val="105"/>
          <w:sz w:val="17"/>
        </w:rPr>
        <w:t xml:space="preserve"> </w:t>
      </w:r>
      <w:r>
        <w:rPr>
          <w:w w:val="105"/>
          <w:sz w:val="17"/>
        </w:rPr>
        <w:t>integral</w:t>
      </w:r>
      <w:r>
        <w:rPr>
          <w:spacing w:val="-8"/>
          <w:w w:val="105"/>
          <w:sz w:val="17"/>
        </w:rPr>
        <w:t xml:space="preserve"> </w:t>
      </w:r>
      <w:r>
        <w:rPr>
          <w:w w:val="105"/>
          <w:sz w:val="17"/>
        </w:rPr>
        <w:t>contra</w:t>
      </w:r>
      <w:r>
        <w:rPr>
          <w:spacing w:val="-8"/>
          <w:w w:val="105"/>
          <w:sz w:val="17"/>
        </w:rPr>
        <w:t xml:space="preserve"> </w:t>
      </w:r>
      <w:r>
        <w:rPr>
          <w:w w:val="105"/>
          <w:sz w:val="17"/>
        </w:rPr>
        <w:t>la</w:t>
      </w:r>
      <w:r>
        <w:rPr>
          <w:spacing w:val="-8"/>
          <w:w w:val="105"/>
          <w:sz w:val="17"/>
        </w:rPr>
        <w:t xml:space="preserve"> </w:t>
      </w:r>
      <w:r>
        <w:rPr>
          <w:w w:val="105"/>
          <w:sz w:val="17"/>
        </w:rPr>
        <w:t>discriminación</w:t>
      </w:r>
      <w:r>
        <w:rPr>
          <w:spacing w:val="-8"/>
          <w:w w:val="105"/>
          <w:sz w:val="17"/>
        </w:rPr>
        <w:t xml:space="preserve"> </w:t>
      </w:r>
      <w:r>
        <w:rPr>
          <w:w w:val="105"/>
          <w:sz w:val="17"/>
        </w:rPr>
        <w:t>también</w:t>
      </w:r>
      <w:r>
        <w:rPr>
          <w:spacing w:val="-8"/>
          <w:w w:val="105"/>
          <w:sz w:val="17"/>
        </w:rPr>
        <w:t xml:space="preserve"> </w:t>
      </w:r>
      <w:r>
        <w:rPr>
          <w:w w:val="105"/>
          <w:sz w:val="17"/>
        </w:rPr>
        <w:t>es</w:t>
      </w:r>
      <w:r>
        <w:rPr>
          <w:spacing w:val="-8"/>
          <w:w w:val="105"/>
          <w:sz w:val="17"/>
        </w:rPr>
        <w:t xml:space="preserve"> </w:t>
      </w:r>
      <w:r>
        <w:rPr>
          <w:w w:val="105"/>
          <w:sz w:val="17"/>
        </w:rPr>
        <w:t>visible</w:t>
      </w:r>
      <w:r>
        <w:rPr>
          <w:spacing w:val="-8"/>
          <w:w w:val="105"/>
          <w:sz w:val="17"/>
        </w:rPr>
        <w:t xml:space="preserve"> </w:t>
      </w:r>
      <w:r>
        <w:rPr>
          <w:w w:val="105"/>
          <w:sz w:val="17"/>
        </w:rPr>
        <w:t>fuera</w:t>
      </w:r>
      <w:r>
        <w:rPr>
          <w:spacing w:val="-8"/>
          <w:w w:val="105"/>
          <w:sz w:val="17"/>
        </w:rPr>
        <w:t xml:space="preserve"> </w:t>
      </w:r>
      <w:r>
        <w:rPr>
          <w:w w:val="105"/>
          <w:sz w:val="17"/>
        </w:rPr>
        <w:t>de los procesos basados en tratados. Los titulares de mandatos de procedimientos especiales de las Naciones Unidas han</w:t>
      </w:r>
      <w:r>
        <w:rPr>
          <w:spacing w:val="-1"/>
          <w:w w:val="105"/>
          <w:sz w:val="17"/>
        </w:rPr>
        <w:t xml:space="preserve"> </w:t>
      </w:r>
      <w:r>
        <w:rPr>
          <w:w w:val="105"/>
          <w:sz w:val="17"/>
        </w:rPr>
        <w:t>pedido</w:t>
      </w:r>
      <w:r>
        <w:rPr>
          <w:spacing w:val="-1"/>
          <w:w w:val="105"/>
          <w:sz w:val="17"/>
        </w:rPr>
        <w:t xml:space="preserve"> </w:t>
      </w:r>
      <w:r>
        <w:rPr>
          <w:w w:val="105"/>
          <w:sz w:val="17"/>
        </w:rPr>
        <w:t>cada</w:t>
      </w:r>
      <w:r>
        <w:rPr>
          <w:spacing w:val="-1"/>
          <w:w w:val="105"/>
          <w:sz w:val="17"/>
        </w:rPr>
        <w:t xml:space="preserve"> </w:t>
      </w:r>
      <w:r>
        <w:rPr>
          <w:w w:val="105"/>
          <w:sz w:val="17"/>
        </w:rPr>
        <w:t>vez</w:t>
      </w:r>
      <w:r>
        <w:rPr>
          <w:spacing w:val="-1"/>
          <w:w w:val="105"/>
          <w:sz w:val="17"/>
        </w:rPr>
        <w:t xml:space="preserve"> </w:t>
      </w:r>
      <w:r>
        <w:rPr>
          <w:w w:val="105"/>
          <w:sz w:val="17"/>
        </w:rPr>
        <w:t>más</w:t>
      </w:r>
      <w:r>
        <w:rPr>
          <w:spacing w:val="-1"/>
          <w:w w:val="105"/>
          <w:sz w:val="17"/>
        </w:rPr>
        <w:t xml:space="preserve"> </w:t>
      </w:r>
      <w:r>
        <w:rPr>
          <w:w w:val="105"/>
          <w:sz w:val="17"/>
        </w:rPr>
        <w:t>la</w:t>
      </w:r>
      <w:r>
        <w:rPr>
          <w:spacing w:val="-1"/>
          <w:w w:val="105"/>
          <w:sz w:val="17"/>
        </w:rPr>
        <w:t xml:space="preserve"> </w:t>
      </w:r>
      <w:r>
        <w:rPr>
          <w:w w:val="105"/>
          <w:sz w:val="17"/>
        </w:rPr>
        <w:t>adopción</w:t>
      </w:r>
      <w:r>
        <w:rPr>
          <w:spacing w:val="-1"/>
          <w:w w:val="105"/>
          <w:sz w:val="17"/>
        </w:rPr>
        <w:t xml:space="preserve"> </w:t>
      </w:r>
      <w:r>
        <w:rPr>
          <w:w w:val="105"/>
          <w:sz w:val="17"/>
        </w:rPr>
        <w:t>de</w:t>
      </w:r>
      <w:r>
        <w:rPr>
          <w:spacing w:val="-1"/>
          <w:w w:val="105"/>
          <w:sz w:val="17"/>
        </w:rPr>
        <w:t xml:space="preserve"> </w:t>
      </w:r>
      <w:r>
        <w:rPr>
          <w:w w:val="105"/>
          <w:sz w:val="17"/>
        </w:rPr>
        <w:t>una</w:t>
      </w:r>
      <w:r>
        <w:rPr>
          <w:spacing w:val="-1"/>
          <w:w w:val="105"/>
          <w:sz w:val="17"/>
        </w:rPr>
        <w:t xml:space="preserve"> </w:t>
      </w:r>
      <w:r>
        <w:rPr>
          <w:w w:val="105"/>
          <w:sz w:val="17"/>
        </w:rPr>
        <w:t>legislación</w:t>
      </w:r>
      <w:r>
        <w:rPr>
          <w:spacing w:val="-1"/>
          <w:w w:val="105"/>
          <w:sz w:val="17"/>
        </w:rPr>
        <w:t xml:space="preserve"> </w:t>
      </w:r>
      <w:r>
        <w:rPr>
          <w:w w:val="105"/>
          <w:sz w:val="17"/>
        </w:rPr>
        <w:t>integral</w:t>
      </w:r>
      <w:r>
        <w:rPr>
          <w:spacing w:val="-1"/>
          <w:w w:val="105"/>
          <w:sz w:val="17"/>
        </w:rPr>
        <w:t xml:space="preserve"> </w:t>
      </w:r>
      <w:r>
        <w:rPr>
          <w:w w:val="105"/>
          <w:sz w:val="17"/>
        </w:rPr>
        <w:t>contra</w:t>
      </w:r>
      <w:r>
        <w:rPr>
          <w:spacing w:val="-1"/>
          <w:w w:val="105"/>
          <w:sz w:val="17"/>
        </w:rPr>
        <w:t xml:space="preserve"> </w:t>
      </w:r>
      <w:r>
        <w:rPr>
          <w:w w:val="105"/>
          <w:sz w:val="17"/>
        </w:rPr>
        <w:t>la</w:t>
      </w:r>
      <w:r>
        <w:rPr>
          <w:spacing w:val="-1"/>
          <w:w w:val="105"/>
          <w:sz w:val="17"/>
        </w:rPr>
        <w:t xml:space="preserve"> </w:t>
      </w:r>
      <w:r>
        <w:rPr>
          <w:w w:val="105"/>
          <w:sz w:val="17"/>
        </w:rPr>
        <w:t>discriminación</w:t>
      </w:r>
      <w:r>
        <w:rPr>
          <w:spacing w:val="-1"/>
          <w:w w:val="105"/>
          <w:sz w:val="17"/>
        </w:rPr>
        <w:t xml:space="preserve"> </w:t>
      </w:r>
      <w:r>
        <w:rPr>
          <w:w w:val="105"/>
          <w:sz w:val="17"/>
        </w:rPr>
        <w:t>para</w:t>
      </w:r>
      <w:r>
        <w:rPr>
          <w:spacing w:val="-1"/>
          <w:w w:val="105"/>
          <w:sz w:val="17"/>
        </w:rPr>
        <w:t xml:space="preserve"> </w:t>
      </w:r>
      <w:r>
        <w:rPr>
          <w:w w:val="105"/>
          <w:sz w:val="17"/>
        </w:rPr>
        <w:t>mejorar</w:t>
      </w:r>
      <w:r>
        <w:rPr>
          <w:spacing w:val="-1"/>
          <w:w w:val="105"/>
          <w:sz w:val="17"/>
        </w:rPr>
        <w:t xml:space="preserve"> </w:t>
      </w:r>
      <w:r>
        <w:rPr>
          <w:w w:val="105"/>
          <w:sz w:val="17"/>
        </w:rPr>
        <w:t>la</w:t>
      </w:r>
      <w:r>
        <w:rPr>
          <w:spacing w:val="-1"/>
          <w:w w:val="105"/>
          <w:sz w:val="17"/>
        </w:rPr>
        <w:t xml:space="preserve"> </w:t>
      </w:r>
      <w:r>
        <w:rPr>
          <w:w w:val="105"/>
          <w:sz w:val="17"/>
        </w:rPr>
        <w:t>protección de las personas y grupos en riesgo de discriminación. A través del mecanismo de examen periódico universal del Consejo de Derechos Humanos, Estados de todas las regiones del mundo han hecho59, recibido60 y aceptado61 recomendaciones</w:t>
      </w:r>
      <w:r>
        <w:rPr>
          <w:spacing w:val="-8"/>
          <w:w w:val="105"/>
          <w:sz w:val="17"/>
        </w:rPr>
        <w:t xml:space="preserve"> </w:t>
      </w:r>
      <w:r>
        <w:rPr>
          <w:w w:val="105"/>
          <w:sz w:val="17"/>
        </w:rPr>
        <w:t>para</w:t>
      </w:r>
      <w:r>
        <w:rPr>
          <w:spacing w:val="-8"/>
          <w:w w:val="105"/>
          <w:sz w:val="17"/>
        </w:rPr>
        <w:t xml:space="preserve"> </w:t>
      </w:r>
      <w:r>
        <w:rPr>
          <w:w w:val="105"/>
          <w:sz w:val="17"/>
        </w:rPr>
        <w:t>la</w:t>
      </w:r>
      <w:r>
        <w:rPr>
          <w:spacing w:val="-8"/>
          <w:w w:val="105"/>
          <w:sz w:val="17"/>
        </w:rPr>
        <w:t xml:space="preserve"> </w:t>
      </w:r>
      <w:r>
        <w:rPr>
          <w:w w:val="105"/>
          <w:sz w:val="17"/>
        </w:rPr>
        <w:t>adopción</w:t>
      </w:r>
      <w:r>
        <w:rPr>
          <w:spacing w:val="-8"/>
          <w:w w:val="105"/>
          <w:sz w:val="17"/>
        </w:rPr>
        <w:t xml:space="preserve"> </w:t>
      </w:r>
      <w:r>
        <w:rPr>
          <w:w w:val="105"/>
          <w:sz w:val="17"/>
        </w:rPr>
        <w:t>de</w:t>
      </w:r>
      <w:r>
        <w:rPr>
          <w:spacing w:val="-8"/>
          <w:w w:val="105"/>
          <w:sz w:val="17"/>
        </w:rPr>
        <w:t xml:space="preserve"> </w:t>
      </w:r>
      <w:r>
        <w:rPr>
          <w:w w:val="105"/>
          <w:sz w:val="17"/>
        </w:rPr>
        <w:t>legislación</w:t>
      </w:r>
      <w:r>
        <w:rPr>
          <w:spacing w:val="-8"/>
          <w:w w:val="105"/>
          <w:sz w:val="17"/>
        </w:rPr>
        <w:t xml:space="preserve"> </w:t>
      </w:r>
      <w:r>
        <w:rPr>
          <w:w w:val="105"/>
          <w:sz w:val="17"/>
        </w:rPr>
        <w:t>integral</w:t>
      </w:r>
      <w:r>
        <w:rPr>
          <w:spacing w:val="-8"/>
          <w:w w:val="105"/>
          <w:sz w:val="17"/>
        </w:rPr>
        <w:t xml:space="preserve"> </w:t>
      </w:r>
      <w:r>
        <w:rPr>
          <w:w w:val="105"/>
          <w:sz w:val="17"/>
        </w:rPr>
        <w:t>contra</w:t>
      </w:r>
      <w:r>
        <w:rPr>
          <w:spacing w:val="-8"/>
          <w:w w:val="105"/>
          <w:sz w:val="17"/>
        </w:rPr>
        <w:t xml:space="preserve"> </w:t>
      </w:r>
      <w:r>
        <w:rPr>
          <w:w w:val="105"/>
          <w:sz w:val="17"/>
        </w:rPr>
        <w:t>la</w:t>
      </w:r>
      <w:r>
        <w:rPr>
          <w:spacing w:val="-8"/>
          <w:w w:val="105"/>
          <w:sz w:val="17"/>
        </w:rPr>
        <w:t xml:space="preserve"> </w:t>
      </w:r>
      <w:r>
        <w:rPr>
          <w:w w:val="105"/>
          <w:sz w:val="17"/>
        </w:rPr>
        <w:t>discriminación.</w:t>
      </w:r>
      <w:r>
        <w:rPr>
          <w:spacing w:val="-7"/>
          <w:w w:val="105"/>
          <w:sz w:val="17"/>
        </w:rPr>
        <w:t xml:space="preserve"> </w:t>
      </w:r>
      <w:r>
        <w:rPr>
          <w:w w:val="105"/>
          <w:sz w:val="17"/>
        </w:rPr>
        <w:t>Al</w:t>
      </w:r>
      <w:r>
        <w:rPr>
          <w:spacing w:val="-8"/>
          <w:w w:val="105"/>
          <w:sz w:val="17"/>
        </w:rPr>
        <w:t xml:space="preserve"> </w:t>
      </w:r>
      <w:r>
        <w:rPr>
          <w:w w:val="105"/>
          <w:sz w:val="17"/>
        </w:rPr>
        <w:t>mismo</w:t>
      </w:r>
      <w:r>
        <w:rPr>
          <w:spacing w:val="-8"/>
          <w:w w:val="105"/>
          <w:sz w:val="17"/>
        </w:rPr>
        <w:t xml:space="preserve"> </w:t>
      </w:r>
      <w:r>
        <w:rPr>
          <w:w w:val="105"/>
          <w:sz w:val="17"/>
        </w:rPr>
        <w:t>tiempo,</w:t>
      </w:r>
      <w:r>
        <w:rPr>
          <w:spacing w:val="-7"/>
          <w:w w:val="105"/>
          <w:sz w:val="17"/>
        </w:rPr>
        <w:t xml:space="preserve"> </w:t>
      </w:r>
      <w:r>
        <w:rPr>
          <w:w w:val="105"/>
          <w:sz w:val="17"/>
        </w:rPr>
        <w:t>los</w:t>
      </w:r>
      <w:r>
        <w:rPr>
          <w:spacing w:val="-8"/>
          <w:w w:val="105"/>
          <w:sz w:val="17"/>
        </w:rPr>
        <w:t xml:space="preserve"> </w:t>
      </w:r>
      <w:r>
        <w:rPr>
          <w:w w:val="105"/>
          <w:sz w:val="17"/>
        </w:rPr>
        <w:t>vínculos</w:t>
      </w:r>
      <w:r>
        <w:rPr>
          <w:spacing w:val="-8"/>
          <w:w w:val="105"/>
          <w:sz w:val="17"/>
        </w:rPr>
        <w:t xml:space="preserve"> </w:t>
      </w:r>
      <w:r>
        <w:rPr>
          <w:w w:val="105"/>
          <w:sz w:val="17"/>
        </w:rPr>
        <w:t>entre las</w:t>
      </w:r>
      <w:r>
        <w:rPr>
          <w:spacing w:val="-3"/>
          <w:w w:val="105"/>
          <w:sz w:val="17"/>
        </w:rPr>
        <w:t xml:space="preserve"> </w:t>
      </w:r>
      <w:r>
        <w:rPr>
          <w:w w:val="105"/>
          <w:sz w:val="17"/>
        </w:rPr>
        <w:t>leyes</w:t>
      </w:r>
      <w:r>
        <w:rPr>
          <w:spacing w:val="-3"/>
          <w:w w:val="105"/>
          <w:sz w:val="17"/>
        </w:rPr>
        <w:t xml:space="preserve"> </w:t>
      </w:r>
      <w:r>
        <w:rPr>
          <w:w w:val="105"/>
          <w:sz w:val="17"/>
        </w:rPr>
        <w:t>contra</w:t>
      </w:r>
      <w:r>
        <w:rPr>
          <w:spacing w:val="-3"/>
          <w:w w:val="105"/>
          <w:sz w:val="17"/>
        </w:rPr>
        <w:t xml:space="preserve"> </w:t>
      </w:r>
      <w:r>
        <w:rPr>
          <w:w w:val="105"/>
          <w:sz w:val="17"/>
        </w:rPr>
        <w:t>la</w:t>
      </w:r>
      <w:r>
        <w:rPr>
          <w:spacing w:val="-3"/>
          <w:w w:val="105"/>
          <w:sz w:val="17"/>
        </w:rPr>
        <w:t xml:space="preserve"> </w:t>
      </w:r>
      <w:r>
        <w:rPr>
          <w:w w:val="105"/>
          <w:sz w:val="17"/>
        </w:rPr>
        <w:t>discriminación</w:t>
      </w:r>
      <w:r>
        <w:rPr>
          <w:spacing w:val="-3"/>
          <w:w w:val="105"/>
          <w:sz w:val="17"/>
        </w:rPr>
        <w:t xml:space="preserve"> </w:t>
      </w:r>
      <w:r>
        <w:rPr>
          <w:w w:val="105"/>
          <w:sz w:val="17"/>
        </w:rPr>
        <w:t>y</w:t>
      </w:r>
      <w:r>
        <w:rPr>
          <w:spacing w:val="-3"/>
          <w:w w:val="105"/>
          <w:sz w:val="17"/>
        </w:rPr>
        <w:t xml:space="preserve"> </w:t>
      </w:r>
      <w:r>
        <w:rPr>
          <w:w w:val="105"/>
          <w:sz w:val="17"/>
        </w:rPr>
        <w:t>el</w:t>
      </w:r>
      <w:r>
        <w:rPr>
          <w:spacing w:val="-3"/>
          <w:w w:val="105"/>
          <w:sz w:val="17"/>
        </w:rPr>
        <w:t xml:space="preserve"> </w:t>
      </w:r>
      <w:r>
        <w:rPr>
          <w:w w:val="105"/>
          <w:sz w:val="17"/>
        </w:rPr>
        <w:t>logro</w:t>
      </w:r>
      <w:r>
        <w:rPr>
          <w:spacing w:val="-3"/>
          <w:w w:val="105"/>
          <w:sz w:val="17"/>
        </w:rPr>
        <w:t xml:space="preserve"> </w:t>
      </w:r>
      <w:r>
        <w:rPr>
          <w:w w:val="105"/>
          <w:sz w:val="17"/>
        </w:rPr>
        <w:t>de</w:t>
      </w:r>
      <w:r>
        <w:rPr>
          <w:spacing w:val="-3"/>
          <w:w w:val="105"/>
          <w:sz w:val="17"/>
        </w:rPr>
        <w:t xml:space="preserve"> </w:t>
      </w:r>
      <w:r>
        <w:rPr>
          <w:w w:val="105"/>
          <w:sz w:val="17"/>
        </w:rPr>
        <w:t>objetivos</w:t>
      </w:r>
      <w:r>
        <w:rPr>
          <w:spacing w:val="-3"/>
          <w:w w:val="105"/>
          <w:sz w:val="17"/>
        </w:rPr>
        <w:t xml:space="preserve"> </w:t>
      </w:r>
      <w:r>
        <w:rPr>
          <w:w w:val="105"/>
          <w:sz w:val="17"/>
        </w:rPr>
        <w:t>sociales</w:t>
      </w:r>
      <w:r>
        <w:rPr>
          <w:spacing w:val="-3"/>
          <w:w w:val="105"/>
          <w:sz w:val="17"/>
        </w:rPr>
        <w:t xml:space="preserve"> </w:t>
      </w:r>
      <w:r>
        <w:rPr>
          <w:w w:val="105"/>
          <w:sz w:val="17"/>
        </w:rPr>
        <w:t>relacionados</w:t>
      </w:r>
      <w:r>
        <w:rPr>
          <w:spacing w:val="-3"/>
          <w:w w:val="105"/>
          <w:sz w:val="17"/>
        </w:rPr>
        <w:t xml:space="preserve"> </w:t>
      </w:r>
      <w:r>
        <w:rPr>
          <w:w w:val="105"/>
          <w:sz w:val="17"/>
        </w:rPr>
        <w:t>–como</w:t>
      </w:r>
      <w:r>
        <w:rPr>
          <w:spacing w:val="-3"/>
          <w:w w:val="105"/>
          <w:sz w:val="17"/>
        </w:rPr>
        <w:t xml:space="preserve"> </w:t>
      </w:r>
      <w:r>
        <w:rPr>
          <w:w w:val="105"/>
          <w:sz w:val="17"/>
        </w:rPr>
        <w:t>el</w:t>
      </w:r>
      <w:r>
        <w:rPr>
          <w:spacing w:val="-3"/>
          <w:w w:val="105"/>
          <w:sz w:val="17"/>
        </w:rPr>
        <w:t xml:space="preserve"> </w:t>
      </w:r>
      <w:r>
        <w:rPr>
          <w:w w:val="105"/>
          <w:sz w:val="17"/>
        </w:rPr>
        <w:t>desarrollo</w:t>
      </w:r>
      <w:r>
        <w:rPr>
          <w:spacing w:val="-3"/>
          <w:w w:val="105"/>
          <w:sz w:val="17"/>
        </w:rPr>
        <w:t xml:space="preserve"> </w:t>
      </w:r>
      <w:r>
        <w:rPr>
          <w:w w:val="105"/>
          <w:sz w:val="17"/>
        </w:rPr>
        <w:t>sostenible–</w:t>
      </w:r>
      <w:r>
        <w:rPr>
          <w:spacing w:val="-3"/>
          <w:w w:val="105"/>
          <w:sz w:val="17"/>
        </w:rPr>
        <w:t xml:space="preserve"> </w:t>
      </w:r>
      <w:r>
        <w:rPr>
          <w:w w:val="105"/>
          <w:sz w:val="17"/>
        </w:rPr>
        <w:t>se</w:t>
      </w:r>
      <w:r>
        <w:rPr>
          <w:spacing w:val="-3"/>
          <w:w w:val="105"/>
          <w:sz w:val="17"/>
        </w:rPr>
        <w:t xml:space="preserve"> </w:t>
      </w:r>
      <w:r>
        <w:rPr>
          <w:w w:val="105"/>
          <w:sz w:val="17"/>
        </w:rPr>
        <w:t>han comprendido mejor y los Estados han demostrado su compromiso con la protección legislativa de los derechos a la</w:t>
      </w:r>
    </w:p>
    <w:p w14:paraId="600B456D" w14:textId="77777777" w:rsidR="0014798C" w:rsidRDefault="004E1F0B">
      <w:pPr>
        <w:spacing w:line="192" w:lineRule="exact"/>
        <w:ind w:left="1111"/>
        <w:rPr>
          <w:sz w:val="17"/>
        </w:rPr>
      </w:pPr>
      <w:r>
        <w:rPr>
          <w:w w:val="105"/>
          <w:sz w:val="17"/>
        </w:rPr>
        <w:t>no</w:t>
      </w:r>
      <w:r>
        <w:rPr>
          <w:spacing w:val="-8"/>
          <w:w w:val="105"/>
          <w:sz w:val="17"/>
        </w:rPr>
        <w:t xml:space="preserve"> </w:t>
      </w:r>
      <w:r>
        <w:rPr>
          <w:w w:val="105"/>
          <w:sz w:val="17"/>
        </w:rPr>
        <w:t>discriminación</w:t>
      </w:r>
      <w:r>
        <w:rPr>
          <w:spacing w:val="-7"/>
          <w:w w:val="105"/>
          <w:sz w:val="17"/>
        </w:rPr>
        <w:t xml:space="preserve"> </w:t>
      </w:r>
      <w:r>
        <w:rPr>
          <w:w w:val="105"/>
          <w:sz w:val="17"/>
        </w:rPr>
        <w:t>y</w:t>
      </w:r>
      <w:r>
        <w:rPr>
          <w:spacing w:val="-7"/>
          <w:w w:val="105"/>
          <w:sz w:val="17"/>
        </w:rPr>
        <w:t xml:space="preserve"> </w:t>
      </w:r>
      <w:r>
        <w:rPr>
          <w:w w:val="105"/>
          <w:sz w:val="17"/>
        </w:rPr>
        <w:t>a</w:t>
      </w:r>
      <w:r>
        <w:rPr>
          <w:spacing w:val="-7"/>
          <w:w w:val="105"/>
          <w:sz w:val="17"/>
        </w:rPr>
        <w:t xml:space="preserve"> </w:t>
      </w:r>
      <w:r>
        <w:rPr>
          <w:w w:val="105"/>
          <w:sz w:val="17"/>
        </w:rPr>
        <w:t>la</w:t>
      </w:r>
      <w:r>
        <w:rPr>
          <w:spacing w:val="-7"/>
          <w:w w:val="105"/>
          <w:sz w:val="17"/>
        </w:rPr>
        <w:t xml:space="preserve"> </w:t>
      </w:r>
      <w:r>
        <w:rPr>
          <w:w w:val="105"/>
          <w:sz w:val="17"/>
        </w:rPr>
        <w:t>igualdad</w:t>
      </w:r>
      <w:r>
        <w:rPr>
          <w:spacing w:val="-7"/>
          <w:w w:val="105"/>
          <w:sz w:val="17"/>
        </w:rPr>
        <w:t xml:space="preserve"> </w:t>
      </w:r>
      <w:r>
        <w:rPr>
          <w:w w:val="105"/>
          <w:sz w:val="17"/>
        </w:rPr>
        <w:t>a</w:t>
      </w:r>
      <w:r>
        <w:rPr>
          <w:spacing w:val="-7"/>
          <w:w w:val="105"/>
          <w:sz w:val="17"/>
        </w:rPr>
        <w:t xml:space="preserve"> </w:t>
      </w:r>
      <w:r>
        <w:rPr>
          <w:w w:val="105"/>
          <w:sz w:val="17"/>
        </w:rPr>
        <w:t>través</w:t>
      </w:r>
      <w:r>
        <w:rPr>
          <w:spacing w:val="-7"/>
          <w:w w:val="105"/>
          <w:sz w:val="17"/>
        </w:rPr>
        <w:t xml:space="preserve"> </w:t>
      </w:r>
      <w:r>
        <w:rPr>
          <w:w w:val="105"/>
          <w:sz w:val="17"/>
        </w:rPr>
        <w:t>de</w:t>
      </w:r>
      <w:r>
        <w:rPr>
          <w:spacing w:val="-8"/>
          <w:w w:val="105"/>
          <w:sz w:val="17"/>
        </w:rPr>
        <w:t xml:space="preserve"> </w:t>
      </w:r>
      <w:r>
        <w:rPr>
          <w:w w:val="105"/>
          <w:sz w:val="17"/>
        </w:rPr>
        <w:t>otros</w:t>
      </w:r>
      <w:r>
        <w:rPr>
          <w:spacing w:val="-7"/>
          <w:w w:val="105"/>
          <w:sz w:val="17"/>
        </w:rPr>
        <w:t xml:space="preserve"> </w:t>
      </w:r>
      <w:r>
        <w:rPr>
          <w:w w:val="105"/>
          <w:sz w:val="17"/>
        </w:rPr>
        <w:t>procesos</w:t>
      </w:r>
      <w:r>
        <w:rPr>
          <w:spacing w:val="-7"/>
          <w:w w:val="105"/>
          <w:sz w:val="17"/>
        </w:rPr>
        <w:t xml:space="preserve"> </w:t>
      </w:r>
      <w:r>
        <w:rPr>
          <w:spacing w:val="-2"/>
          <w:w w:val="105"/>
          <w:sz w:val="17"/>
        </w:rPr>
        <w:t>internacionales.</w:t>
      </w:r>
    </w:p>
    <w:p w14:paraId="2B736168" w14:textId="77777777" w:rsidR="0014798C" w:rsidRDefault="0014798C">
      <w:pPr>
        <w:pStyle w:val="Textoindependiente"/>
        <w:rPr>
          <w:sz w:val="21"/>
        </w:rPr>
      </w:pPr>
    </w:p>
    <w:p w14:paraId="046CA176" w14:textId="77777777" w:rsidR="0014798C" w:rsidRDefault="0014798C">
      <w:pPr>
        <w:pStyle w:val="Textoindependiente"/>
        <w:spacing w:before="11"/>
        <w:rPr>
          <w:sz w:val="21"/>
        </w:rPr>
      </w:pPr>
    </w:p>
    <w:p w14:paraId="567AD4B4" w14:textId="77777777" w:rsidR="0014798C" w:rsidRDefault="004E1F0B">
      <w:pPr>
        <w:numPr>
          <w:ilvl w:val="0"/>
          <w:numId w:val="90"/>
        </w:numPr>
        <w:tabs>
          <w:tab w:val="left" w:pos="1354"/>
        </w:tabs>
        <w:ind w:left="1354" w:hanging="254"/>
        <w:rPr>
          <w:color w:val="009EDB"/>
          <w:sz w:val="21"/>
        </w:rPr>
      </w:pPr>
      <w:r>
        <w:rPr>
          <w:color w:val="009EDB"/>
          <w:sz w:val="21"/>
        </w:rPr>
        <w:t>Titulares</w:t>
      </w:r>
      <w:r>
        <w:rPr>
          <w:color w:val="009EDB"/>
          <w:spacing w:val="-8"/>
          <w:sz w:val="21"/>
        </w:rPr>
        <w:t xml:space="preserve"> </w:t>
      </w:r>
      <w:r>
        <w:rPr>
          <w:color w:val="009EDB"/>
          <w:sz w:val="21"/>
        </w:rPr>
        <w:t>de</w:t>
      </w:r>
      <w:r>
        <w:rPr>
          <w:color w:val="009EDB"/>
          <w:spacing w:val="-8"/>
          <w:sz w:val="21"/>
        </w:rPr>
        <w:t xml:space="preserve"> </w:t>
      </w:r>
      <w:r>
        <w:rPr>
          <w:color w:val="009EDB"/>
          <w:sz w:val="21"/>
        </w:rPr>
        <w:t>mandatos</w:t>
      </w:r>
      <w:r>
        <w:rPr>
          <w:color w:val="009EDB"/>
          <w:spacing w:val="-8"/>
          <w:sz w:val="21"/>
        </w:rPr>
        <w:t xml:space="preserve"> </w:t>
      </w:r>
      <w:r>
        <w:rPr>
          <w:color w:val="009EDB"/>
          <w:sz w:val="21"/>
        </w:rPr>
        <w:t>de</w:t>
      </w:r>
      <w:r>
        <w:rPr>
          <w:color w:val="009EDB"/>
          <w:spacing w:val="-8"/>
          <w:sz w:val="21"/>
        </w:rPr>
        <w:t xml:space="preserve"> </w:t>
      </w:r>
      <w:r>
        <w:rPr>
          <w:color w:val="009EDB"/>
          <w:sz w:val="21"/>
        </w:rPr>
        <w:t>procedimientos</w:t>
      </w:r>
      <w:r>
        <w:rPr>
          <w:color w:val="009EDB"/>
          <w:spacing w:val="-8"/>
          <w:sz w:val="21"/>
        </w:rPr>
        <w:t xml:space="preserve"> </w:t>
      </w:r>
      <w:r>
        <w:rPr>
          <w:color w:val="009EDB"/>
          <w:sz w:val="21"/>
        </w:rPr>
        <w:t>especiales</w:t>
      </w:r>
      <w:r>
        <w:rPr>
          <w:color w:val="009EDB"/>
          <w:spacing w:val="-8"/>
          <w:sz w:val="21"/>
        </w:rPr>
        <w:t xml:space="preserve"> </w:t>
      </w:r>
      <w:r>
        <w:rPr>
          <w:color w:val="009EDB"/>
          <w:sz w:val="21"/>
        </w:rPr>
        <w:t>de</w:t>
      </w:r>
      <w:r>
        <w:rPr>
          <w:color w:val="009EDB"/>
          <w:spacing w:val="-8"/>
          <w:sz w:val="21"/>
        </w:rPr>
        <w:t xml:space="preserve"> </w:t>
      </w:r>
      <w:r>
        <w:rPr>
          <w:color w:val="009EDB"/>
          <w:sz w:val="21"/>
        </w:rPr>
        <w:t>las</w:t>
      </w:r>
      <w:r>
        <w:rPr>
          <w:color w:val="009EDB"/>
          <w:spacing w:val="-8"/>
          <w:sz w:val="21"/>
        </w:rPr>
        <w:t xml:space="preserve"> </w:t>
      </w:r>
      <w:r>
        <w:rPr>
          <w:color w:val="009EDB"/>
          <w:sz w:val="21"/>
        </w:rPr>
        <w:t>Naciones</w:t>
      </w:r>
      <w:r>
        <w:rPr>
          <w:color w:val="009EDB"/>
          <w:spacing w:val="-8"/>
          <w:sz w:val="21"/>
        </w:rPr>
        <w:t xml:space="preserve"> </w:t>
      </w:r>
      <w:r>
        <w:rPr>
          <w:color w:val="009EDB"/>
          <w:spacing w:val="-2"/>
          <w:sz w:val="21"/>
        </w:rPr>
        <w:t>Unidas</w:t>
      </w:r>
    </w:p>
    <w:p w14:paraId="413ED701" w14:textId="77777777" w:rsidR="0014798C" w:rsidRDefault="004E1F0B">
      <w:pPr>
        <w:spacing w:before="172" w:line="307" w:lineRule="auto"/>
        <w:ind w:left="1108" w:right="1272" w:firstLine="4"/>
        <w:rPr>
          <w:sz w:val="17"/>
        </w:rPr>
      </w:pPr>
      <w:r>
        <w:rPr>
          <w:w w:val="105"/>
          <w:sz w:val="17"/>
        </w:rPr>
        <w:t>Desde 2010, una serie de titulares de mandatos de procedimientos especiales han hecho recomendaciones a los Estados sobre la adopción de leyes integrales contra la discriminación, como parte de sus informes temáticos62 y visitas</w:t>
      </w:r>
      <w:r>
        <w:rPr>
          <w:spacing w:val="-4"/>
          <w:w w:val="105"/>
          <w:sz w:val="17"/>
        </w:rPr>
        <w:t xml:space="preserve"> </w:t>
      </w:r>
      <w:r>
        <w:rPr>
          <w:w w:val="105"/>
          <w:sz w:val="17"/>
        </w:rPr>
        <w:t>a</w:t>
      </w:r>
      <w:r>
        <w:rPr>
          <w:spacing w:val="-4"/>
          <w:w w:val="105"/>
          <w:sz w:val="17"/>
        </w:rPr>
        <w:t xml:space="preserve"> </w:t>
      </w:r>
      <w:r>
        <w:rPr>
          <w:w w:val="105"/>
          <w:sz w:val="17"/>
        </w:rPr>
        <w:t>los</w:t>
      </w:r>
      <w:r>
        <w:rPr>
          <w:spacing w:val="-4"/>
          <w:w w:val="105"/>
          <w:sz w:val="17"/>
        </w:rPr>
        <w:t xml:space="preserve"> </w:t>
      </w:r>
      <w:r>
        <w:rPr>
          <w:w w:val="105"/>
          <w:sz w:val="17"/>
        </w:rPr>
        <w:t>países.63</w:t>
      </w:r>
      <w:r>
        <w:rPr>
          <w:spacing w:val="-4"/>
          <w:w w:val="105"/>
          <w:sz w:val="17"/>
        </w:rPr>
        <w:t xml:space="preserve"> </w:t>
      </w:r>
      <w:r>
        <w:rPr>
          <w:w w:val="105"/>
          <w:sz w:val="17"/>
        </w:rPr>
        <w:t>Por</w:t>
      </w:r>
      <w:r>
        <w:rPr>
          <w:spacing w:val="-4"/>
          <w:w w:val="105"/>
          <w:sz w:val="17"/>
        </w:rPr>
        <w:t xml:space="preserve"> </w:t>
      </w:r>
      <w:r>
        <w:rPr>
          <w:w w:val="105"/>
          <w:sz w:val="17"/>
        </w:rPr>
        <w:t>ejemplo,</w:t>
      </w:r>
      <w:r>
        <w:rPr>
          <w:spacing w:val="-3"/>
          <w:w w:val="105"/>
          <w:sz w:val="17"/>
        </w:rPr>
        <w:t xml:space="preserve"> </w:t>
      </w:r>
      <w:r>
        <w:rPr>
          <w:w w:val="105"/>
          <w:sz w:val="17"/>
        </w:rPr>
        <w:t>después</w:t>
      </w:r>
      <w:r>
        <w:rPr>
          <w:spacing w:val="-4"/>
          <w:w w:val="105"/>
          <w:sz w:val="17"/>
        </w:rPr>
        <w:t xml:space="preserve"> </w:t>
      </w:r>
      <w:r>
        <w:rPr>
          <w:w w:val="105"/>
          <w:sz w:val="17"/>
        </w:rPr>
        <w:t>de</w:t>
      </w:r>
      <w:r>
        <w:rPr>
          <w:spacing w:val="-4"/>
          <w:w w:val="105"/>
          <w:sz w:val="17"/>
        </w:rPr>
        <w:t xml:space="preserve"> </w:t>
      </w:r>
      <w:r>
        <w:rPr>
          <w:w w:val="105"/>
          <w:sz w:val="17"/>
        </w:rPr>
        <w:t>una</w:t>
      </w:r>
      <w:r>
        <w:rPr>
          <w:spacing w:val="-4"/>
          <w:w w:val="105"/>
          <w:sz w:val="17"/>
        </w:rPr>
        <w:t xml:space="preserve"> </w:t>
      </w:r>
      <w:r>
        <w:rPr>
          <w:w w:val="105"/>
          <w:sz w:val="17"/>
        </w:rPr>
        <w:t>visita</w:t>
      </w:r>
      <w:r>
        <w:rPr>
          <w:spacing w:val="-4"/>
          <w:w w:val="105"/>
          <w:sz w:val="17"/>
        </w:rPr>
        <w:t xml:space="preserve"> </w:t>
      </w:r>
      <w:r>
        <w:rPr>
          <w:w w:val="105"/>
          <w:sz w:val="17"/>
        </w:rPr>
        <w:t>a</w:t>
      </w:r>
      <w:r>
        <w:rPr>
          <w:spacing w:val="-4"/>
          <w:w w:val="105"/>
          <w:sz w:val="17"/>
        </w:rPr>
        <w:t xml:space="preserve"> </w:t>
      </w:r>
      <w:r>
        <w:rPr>
          <w:w w:val="105"/>
          <w:sz w:val="17"/>
        </w:rPr>
        <w:t>Panamá</w:t>
      </w:r>
      <w:r>
        <w:rPr>
          <w:spacing w:val="-4"/>
          <w:w w:val="105"/>
          <w:sz w:val="17"/>
        </w:rPr>
        <w:t xml:space="preserve"> </w:t>
      </w:r>
      <w:r>
        <w:rPr>
          <w:w w:val="105"/>
          <w:sz w:val="17"/>
        </w:rPr>
        <w:t>en</w:t>
      </w:r>
      <w:r>
        <w:rPr>
          <w:spacing w:val="-4"/>
          <w:w w:val="105"/>
          <w:sz w:val="17"/>
        </w:rPr>
        <w:t xml:space="preserve"> </w:t>
      </w:r>
      <w:r>
        <w:rPr>
          <w:w w:val="105"/>
          <w:sz w:val="17"/>
        </w:rPr>
        <w:t>2013,</w:t>
      </w:r>
      <w:r>
        <w:rPr>
          <w:spacing w:val="-3"/>
          <w:w w:val="105"/>
          <w:sz w:val="17"/>
        </w:rPr>
        <w:t xml:space="preserve"> </w:t>
      </w:r>
      <w:r>
        <w:rPr>
          <w:w w:val="105"/>
          <w:sz w:val="17"/>
        </w:rPr>
        <w:t>el</w:t>
      </w:r>
      <w:r>
        <w:rPr>
          <w:spacing w:val="-4"/>
          <w:w w:val="105"/>
          <w:sz w:val="17"/>
        </w:rPr>
        <w:t xml:space="preserve"> </w:t>
      </w:r>
      <w:r>
        <w:rPr>
          <w:w w:val="105"/>
          <w:sz w:val="17"/>
        </w:rPr>
        <w:t>Grupo</w:t>
      </w:r>
      <w:r>
        <w:rPr>
          <w:spacing w:val="-4"/>
          <w:w w:val="105"/>
          <w:sz w:val="17"/>
        </w:rPr>
        <w:t xml:space="preserve"> </w:t>
      </w:r>
      <w:r>
        <w:rPr>
          <w:w w:val="105"/>
          <w:sz w:val="17"/>
        </w:rPr>
        <w:t>de</w:t>
      </w:r>
      <w:r>
        <w:rPr>
          <w:spacing w:val="-4"/>
          <w:w w:val="105"/>
          <w:sz w:val="17"/>
        </w:rPr>
        <w:t xml:space="preserve"> </w:t>
      </w:r>
      <w:r>
        <w:rPr>
          <w:w w:val="105"/>
          <w:sz w:val="17"/>
        </w:rPr>
        <w:t>Trabajo</w:t>
      </w:r>
      <w:r>
        <w:rPr>
          <w:spacing w:val="-4"/>
          <w:w w:val="105"/>
          <w:sz w:val="17"/>
        </w:rPr>
        <w:t xml:space="preserve"> </w:t>
      </w:r>
      <w:r>
        <w:rPr>
          <w:w w:val="105"/>
          <w:sz w:val="17"/>
        </w:rPr>
        <w:t>de</w:t>
      </w:r>
      <w:r>
        <w:rPr>
          <w:spacing w:val="-4"/>
          <w:w w:val="105"/>
          <w:sz w:val="17"/>
        </w:rPr>
        <w:t xml:space="preserve"> </w:t>
      </w:r>
      <w:r>
        <w:rPr>
          <w:w w:val="105"/>
          <w:sz w:val="17"/>
        </w:rPr>
        <w:t>Expertos</w:t>
      </w:r>
      <w:r>
        <w:rPr>
          <w:spacing w:val="-4"/>
          <w:w w:val="105"/>
          <w:sz w:val="17"/>
        </w:rPr>
        <w:t xml:space="preserve"> </w:t>
      </w:r>
      <w:r>
        <w:rPr>
          <w:w w:val="105"/>
          <w:sz w:val="17"/>
        </w:rPr>
        <w:t>sobre Afrodescendientes pidió al país que “promulgue una legislación integral contra la discriminación que prohíba la discriminación por todos los motivos”. Según el Grupo de Trabajo, dicha legislación “debería prever mecanismos de aplicación</w:t>
      </w:r>
      <w:r>
        <w:rPr>
          <w:spacing w:val="-1"/>
          <w:w w:val="105"/>
          <w:sz w:val="17"/>
        </w:rPr>
        <w:t xml:space="preserve"> </w:t>
      </w:r>
      <w:r>
        <w:rPr>
          <w:w w:val="105"/>
          <w:sz w:val="17"/>
        </w:rPr>
        <w:t>eficaces</w:t>
      </w:r>
      <w:r>
        <w:rPr>
          <w:spacing w:val="-1"/>
          <w:w w:val="105"/>
          <w:sz w:val="17"/>
        </w:rPr>
        <w:t xml:space="preserve"> </w:t>
      </w:r>
      <w:r>
        <w:rPr>
          <w:w w:val="105"/>
          <w:sz w:val="17"/>
        </w:rPr>
        <w:t>y</w:t>
      </w:r>
      <w:r>
        <w:rPr>
          <w:spacing w:val="-1"/>
          <w:w w:val="105"/>
          <w:sz w:val="17"/>
        </w:rPr>
        <w:t xml:space="preserve"> </w:t>
      </w:r>
      <w:r>
        <w:rPr>
          <w:w w:val="105"/>
          <w:sz w:val="17"/>
        </w:rPr>
        <w:t>la</w:t>
      </w:r>
      <w:r>
        <w:rPr>
          <w:spacing w:val="-1"/>
          <w:w w:val="105"/>
          <w:sz w:val="17"/>
        </w:rPr>
        <w:t xml:space="preserve"> </w:t>
      </w:r>
      <w:r>
        <w:rPr>
          <w:w w:val="105"/>
          <w:sz w:val="17"/>
        </w:rPr>
        <w:t>disponibilidad</w:t>
      </w:r>
      <w:r>
        <w:rPr>
          <w:spacing w:val="-1"/>
          <w:w w:val="105"/>
          <w:sz w:val="17"/>
        </w:rPr>
        <w:t xml:space="preserve"> </w:t>
      </w:r>
      <w:r>
        <w:rPr>
          <w:w w:val="105"/>
          <w:sz w:val="17"/>
        </w:rPr>
        <w:t>de</w:t>
      </w:r>
      <w:r>
        <w:rPr>
          <w:spacing w:val="-1"/>
          <w:w w:val="105"/>
          <w:sz w:val="17"/>
        </w:rPr>
        <w:t xml:space="preserve"> </w:t>
      </w:r>
      <w:r>
        <w:rPr>
          <w:w w:val="105"/>
          <w:sz w:val="17"/>
        </w:rPr>
        <w:t>recursos”. 64</w:t>
      </w:r>
      <w:r>
        <w:rPr>
          <w:spacing w:val="-1"/>
          <w:w w:val="105"/>
          <w:sz w:val="17"/>
        </w:rPr>
        <w:t xml:space="preserve"> </w:t>
      </w:r>
      <w:r>
        <w:rPr>
          <w:w w:val="105"/>
          <w:sz w:val="17"/>
        </w:rPr>
        <w:t>Más</w:t>
      </w:r>
      <w:r>
        <w:rPr>
          <w:spacing w:val="-1"/>
          <w:w w:val="105"/>
          <w:sz w:val="17"/>
        </w:rPr>
        <w:t xml:space="preserve"> </w:t>
      </w:r>
      <w:r>
        <w:rPr>
          <w:w w:val="105"/>
          <w:sz w:val="17"/>
        </w:rPr>
        <w:t>recientemente, en</w:t>
      </w:r>
      <w:r>
        <w:rPr>
          <w:spacing w:val="-1"/>
          <w:w w:val="105"/>
          <w:sz w:val="17"/>
        </w:rPr>
        <w:t xml:space="preserve"> </w:t>
      </w:r>
      <w:r>
        <w:rPr>
          <w:w w:val="105"/>
          <w:sz w:val="17"/>
        </w:rPr>
        <w:t>2020, el</w:t>
      </w:r>
      <w:r>
        <w:rPr>
          <w:spacing w:val="-1"/>
          <w:w w:val="105"/>
          <w:sz w:val="17"/>
        </w:rPr>
        <w:t xml:space="preserve"> </w:t>
      </w:r>
      <w:r>
        <w:rPr>
          <w:w w:val="105"/>
          <w:sz w:val="17"/>
        </w:rPr>
        <w:t>Relator</w:t>
      </w:r>
      <w:r>
        <w:rPr>
          <w:spacing w:val="-1"/>
          <w:w w:val="105"/>
          <w:sz w:val="17"/>
        </w:rPr>
        <w:t xml:space="preserve"> </w:t>
      </w:r>
      <w:r>
        <w:rPr>
          <w:w w:val="105"/>
          <w:sz w:val="17"/>
        </w:rPr>
        <w:t>Especial</w:t>
      </w:r>
      <w:r>
        <w:rPr>
          <w:spacing w:val="-1"/>
          <w:w w:val="105"/>
          <w:sz w:val="17"/>
        </w:rPr>
        <w:t xml:space="preserve"> </w:t>
      </w:r>
      <w:r>
        <w:rPr>
          <w:w w:val="105"/>
          <w:sz w:val="17"/>
        </w:rPr>
        <w:t>sobre</w:t>
      </w:r>
      <w:r>
        <w:rPr>
          <w:spacing w:val="-1"/>
          <w:w w:val="105"/>
          <w:sz w:val="17"/>
        </w:rPr>
        <w:t xml:space="preserve"> </w:t>
      </w:r>
      <w:r>
        <w:rPr>
          <w:w w:val="105"/>
          <w:sz w:val="17"/>
        </w:rPr>
        <w:t>la libertad</w:t>
      </w:r>
      <w:r>
        <w:rPr>
          <w:spacing w:val="-8"/>
          <w:w w:val="105"/>
          <w:sz w:val="17"/>
        </w:rPr>
        <w:t xml:space="preserve"> </w:t>
      </w:r>
      <w:r>
        <w:rPr>
          <w:w w:val="105"/>
          <w:sz w:val="17"/>
        </w:rPr>
        <w:t>de</w:t>
      </w:r>
      <w:r>
        <w:rPr>
          <w:spacing w:val="-8"/>
          <w:w w:val="105"/>
          <w:sz w:val="17"/>
        </w:rPr>
        <w:t xml:space="preserve"> </w:t>
      </w:r>
      <w:r>
        <w:rPr>
          <w:w w:val="105"/>
          <w:sz w:val="17"/>
        </w:rPr>
        <w:t>religión</w:t>
      </w:r>
      <w:r>
        <w:rPr>
          <w:spacing w:val="-8"/>
          <w:w w:val="105"/>
          <w:sz w:val="17"/>
        </w:rPr>
        <w:t xml:space="preserve"> </w:t>
      </w:r>
      <w:r>
        <w:rPr>
          <w:w w:val="105"/>
          <w:sz w:val="17"/>
        </w:rPr>
        <w:t>o</w:t>
      </w:r>
      <w:r>
        <w:rPr>
          <w:spacing w:val="-8"/>
          <w:w w:val="105"/>
          <w:sz w:val="17"/>
        </w:rPr>
        <w:t xml:space="preserve"> </w:t>
      </w:r>
      <w:r>
        <w:rPr>
          <w:w w:val="105"/>
          <w:sz w:val="17"/>
        </w:rPr>
        <w:t>de</w:t>
      </w:r>
      <w:r>
        <w:rPr>
          <w:spacing w:val="-8"/>
          <w:w w:val="105"/>
          <w:sz w:val="17"/>
        </w:rPr>
        <w:t xml:space="preserve"> </w:t>
      </w:r>
      <w:r>
        <w:rPr>
          <w:w w:val="105"/>
          <w:sz w:val="17"/>
        </w:rPr>
        <w:t>creencias</w:t>
      </w:r>
      <w:r>
        <w:rPr>
          <w:spacing w:val="-8"/>
          <w:w w:val="105"/>
          <w:sz w:val="17"/>
        </w:rPr>
        <w:t xml:space="preserve"> </w:t>
      </w:r>
      <w:r>
        <w:rPr>
          <w:w w:val="105"/>
          <w:sz w:val="17"/>
        </w:rPr>
        <w:t>pidió</w:t>
      </w:r>
      <w:r>
        <w:rPr>
          <w:spacing w:val="-8"/>
          <w:w w:val="105"/>
          <w:sz w:val="17"/>
        </w:rPr>
        <w:t xml:space="preserve"> </w:t>
      </w:r>
      <w:r>
        <w:rPr>
          <w:w w:val="105"/>
          <w:sz w:val="17"/>
        </w:rPr>
        <w:t>a</w:t>
      </w:r>
      <w:r>
        <w:rPr>
          <w:spacing w:val="-8"/>
          <w:w w:val="105"/>
          <w:sz w:val="17"/>
        </w:rPr>
        <w:t xml:space="preserve"> </w:t>
      </w:r>
      <w:r>
        <w:rPr>
          <w:w w:val="105"/>
          <w:sz w:val="17"/>
        </w:rPr>
        <w:t>todos</w:t>
      </w:r>
      <w:r>
        <w:rPr>
          <w:spacing w:val="-8"/>
          <w:w w:val="105"/>
          <w:sz w:val="17"/>
        </w:rPr>
        <w:t xml:space="preserve"> </w:t>
      </w:r>
      <w:r>
        <w:rPr>
          <w:w w:val="105"/>
          <w:sz w:val="17"/>
        </w:rPr>
        <w:t>los</w:t>
      </w:r>
      <w:r>
        <w:rPr>
          <w:spacing w:val="-8"/>
          <w:w w:val="105"/>
          <w:sz w:val="17"/>
        </w:rPr>
        <w:t xml:space="preserve"> </w:t>
      </w:r>
      <w:r>
        <w:rPr>
          <w:w w:val="105"/>
          <w:sz w:val="17"/>
        </w:rPr>
        <w:t>Estados</w:t>
      </w:r>
      <w:r>
        <w:rPr>
          <w:spacing w:val="-8"/>
          <w:w w:val="105"/>
          <w:sz w:val="17"/>
        </w:rPr>
        <w:t xml:space="preserve"> </w:t>
      </w:r>
      <w:r>
        <w:rPr>
          <w:w w:val="105"/>
          <w:sz w:val="17"/>
        </w:rPr>
        <w:t>que</w:t>
      </w:r>
      <w:r>
        <w:rPr>
          <w:spacing w:val="-8"/>
          <w:w w:val="105"/>
          <w:sz w:val="17"/>
        </w:rPr>
        <w:t xml:space="preserve"> </w:t>
      </w:r>
      <w:r>
        <w:rPr>
          <w:w w:val="105"/>
          <w:sz w:val="17"/>
        </w:rPr>
        <w:t>“adopten</w:t>
      </w:r>
      <w:r>
        <w:rPr>
          <w:spacing w:val="-8"/>
          <w:w w:val="105"/>
          <w:sz w:val="17"/>
        </w:rPr>
        <w:t xml:space="preserve"> </w:t>
      </w:r>
      <w:r>
        <w:rPr>
          <w:w w:val="105"/>
          <w:sz w:val="17"/>
        </w:rPr>
        <w:t>medidas</w:t>
      </w:r>
      <w:r>
        <w:rPr>
          <w:spacing w:val="-8"/>
          <w:w w:val="105"/>
          <w:sz w:val="17"/>
        </w:rPr>
        <w:t xml:space="preserve"> </w:t>
      </w:r>
      <w:r>
        <w:rPr>
          <w:w w:val="105"/>
          <w:sz w:val="17"/>
        </w:rPr>
        <w:t>integrales</w:t>
      </w:r>
      <w:r>
        <w:rPr>
          <w:spacing w:val="-8"/>
          <w:w w:val="105"/>
          <w:sz w:val="17"/>
        </w:rPr>
        <w:t xml:space="preserve"> </w:t>
      </w:r>
      <w:r>
        <w:rPr>
          <w:w w:val="105"/>
          <w:sz w:val="17"/>
        </w:rPr>
        <w:t>contra</w:t>
      </w:r>
      <w:r>
        <w:rPr>
          <w:spacing w:val="-8"/>
          <w:w w:val="105"/>
          <w:sz w:val="17"/>
        </w:rPr>
        <w:t xml:space="preserve"> </w:t>
      </w:r>
      <w:r>
        <w:rPr>
          <w:w w:val="105"/>
          <w:sz w:val="17"/>
        </w:rPr>
        <w:t>la</w:t>
      </w:r>
      <w:r>
        <w:rPr>
          <w:spacing w:val="-8"/>
          <w:w w:val="105"/>
          <w:sz w:val="17"/>
        </w:rPr>
        <w:t xml:space="preserve"> </w:t>
      </w:r>
      <w:r>
        <w:rPr>
          <w:w w:val="105"/>
          <w:sz w:val="17"/>
        </w:rPr>
        <w:t>discriminación”. legislación</w:t>
      </w:r>
      <w:r>
        <w:rPr>
          <w:spacing w:val="-1"/>
          <w:w w:val="105"/>
          <w:sz w:val="17"/>
        </w:rPr>
        <w:t xml:space="preserve"> </w:t>
      </w:r>
      <w:r>
        <w:rPr>
          <w:w w:val="105"/>
          <w:sz w:val="17"/>
        </w:rPr>
        <w:t>que</w:t>
      </w:r>
      <w:r>
        <w:rPr>
          <w:spacing w:val="-1"/>
          <w:w w:val="105"/>
          <w:sz w:val="17"/>
        </w:rPr>
        <w:t xml:space="preserve"> </w:t>
      </w:r>
      <w:r>
        <w:rPr>
          <w:w w:val="105"/>
          <w:sz w:val="17"/>
        </w:rPr>
        <w:t>prohíba</w:t>
      </w:r>
      <w:r>
        <w:rPr>
          <w:spacing w:val="-1"/>
          <w:w w:val="105"/>
          <w:sz w:val="17"/>
        </w:rPr>
        <w:t xml:space="preserve"> </w:t>
      </w:r>
      <w:r>
        <w:rPr>
          <w:w w:val="105"/>
          <w:sz w:val="17"/>
        </w:rPr>
        <w:t>la</w:t>
      </w:r>
      <w:r>
        <w:rPr>
          <w:spacing w:val="-1"/>
          <w:w w:val="105"/>
          <w:sz w:val="17"/>
        </w:rPr>
        <w:t xml:space="preserve"> </w:t>
      </w:r>
      <w:r>
        <w:rPr>
          <w:w w:val="105"/>
          <w:sz w:val="17"/>
        </w:rPr>
        <w:t>discriminación</w:t>
      </w:r>
      <w:r>
        <w:rPr>
          <w:spacing w:val="-1"/>
          <w:w w:val="105"/>
          <w:sz w:val="17"/>
        </w:rPr>
        <w:t xml:space="preserve"> </w:t>
      </w:r>
      <w:r>
        <w:rPr>
          <w:w w:val="105"/>
          <w:sz w:val="17"/>
        </w:rPr>
        <w:t>directa</w:t>
      </w:r>
      <w:r>
        <w:rPr>
          <w:spacing w:val="-1"/>
          <w:w w:val="105"/>
          <w:sz w:val="17"/>
        </w:rPr>
        <w:t xml:space="preserve"> </w:t>
      </w:r>
      <w:r>
        <w:rPr>
          <w:w w:val="105"/>
          <w:sz w:val="17"/>
        </w:rPr>
        <w:t>e</w:t>
      </w:r>
      <w:r>
        <w:rPr>
          <w:spacing w:val="-1"/>
          <w:w w:val="105"/>
          <w:sz w:val="17"/>
        </w:rPr>
        <w:t xml:space="preserve"> </w:t>
      </w:r>
      <w:r>
        <w:rPr>
          <w:w w:val="105"/>
          <w:sz w:val="17"/>
        </w:rPr>
        <w:t>indirecta, el</w:t>
      </w:r>
      <w:r>
        <w:rPr>
          <w:spacing w:val="-1"/>
          <w:w w:val="105"/>
          <w:sz w:val="17"/>
        </w:rPr>
        <w:t xml:space="preserve"> </w:t>
      </w:r>
      <w:r>
        <w:rPr>
          <w:w w:val="105"/>
          <w:sz w:val="17"/>
        </w:rPr>
        <w:t>acoso</w:t>
      </w:r>
      <w:r>
        <w:rPr>
          <w:spacing w:val="-1"/>
          <w:w w:val="105"/>
          <w:sz w:val="17"/>
        </w:rPr>
        <w:t xml:space="preserve"> </w:t>
      </w:r>
      <w:r>
        <w:rPr>
          <w:w w:val="105"/>
          <w:sz w:val="17"/>
        </w:rPr>
        <w:t>y</w:t>
      </w:r>
      <w:r>
        <w:rPr>
          <w:spacing w:val="-1"/>
          <w:w w:val="105"/>
          <w:sz w:val="17"/>
        </w:rPr>
        <w:t xml:space="preserve"> </w:t>
      </w:r>
      <w:r>
        <w:rPr>
          <w:w w:val="105"/>
          <w:sz w:val="17"/>
        </w:rPr>
        <w:t>la</w:t>
      </w:r>
      <w:r>
        <w:rPr>
          <w:spacing w:val="-1"/>
          <w:w w:val="105"/>
          <w:sz w:val="17"/>
        </w:rPr>
        <w:t xml:space="preserve"> </w:t>
      </w:r>
      <w:r>
        <w:rPr>
          <w:w w:val="105"/>
          <w:sz w:val="17"/>
        </w:rPr>
        <w:t>falta</w:t>
      </w:r>
      <w:r>
        <w:rPr>
          <w:spacing w:val="-1"/>
          <w:w w:val="105"/>
          <w:sz w:val="17"/>
        </w:rPr>
        <w:t xml:space="preserve"> </w:t>
      </w:r>
      <w:r>
        <w:rPr>
          <w:w w:val="105"/>
          <w:sz w:val="17"/>
        </w:rPr>
        <w:t>de</w:t>
      </w:r>
      <w:r>
        <w:rPr>
          <w:spacing w:val="-1"/>
          <w:w w:val="105"/>
          <w:sz w:val="17"/>
        </w:rPr>
        <w:t xml:space="preserve"> </w:t>
      </w:r>
      <w:r>
        <w:rPr>
          <w:w w:val="105"/>
          <w:sz w:val="17"/>
        </w:rPr>
        <w:t>ajustes</w:t>
      </w:r>
      <w:r>
        <w:rPr>
          <w:spacing w:val="-1"/>
          <w:w w:val="105"/>
          <w:sz w:val="17"/>
        </w:rPr>
        <w:t xml:space="preserve"> </w:t>
      </w:r>
      <w:r>
        <w:rPr>
          <w:w w:val="105"/>
          <w:sz w:val="17"/>
        </w:rPr>
        <w:t>razonables”.65</w:t>
      </w:r>
      <w:r>
        <w:rPr>
          <w:spacing w:val="-1"/>
          <w:w w:val="105"/>
          <w:sz w:val="17"/>
        </w:rPr>
        <w:t xml:space="preserve"> </w:t>
      </w:r>
      <w:r>
        <w:rPr>
          <w:w w:val="105"/>
          <w:sz w:val="17"/>
        </w:rPr>
        <w:t>Dicha legislación debería prohibir la discriminación “por motivos de religión y todos los demás motivos reconocidos en el derecho internacional y en todos los ámbitos de la vida regulados por la ley”.66</w:t>
      </w:r>
    </w:p>
    <w:p w14:paraId="22CB247F" w14:textId="77777777" w:rsidR="0014798C" w:rsidRDefault="0014798C">
      <w:pPr>
        <w:pStyle w:val="Textoindependiente"/>
        <w:spacing w:before="88"/>
        <w:rPr>
          <w:sz w:val="26"/>
        </w:rPr>
      </w:pPr>
    </w:p>
    <w:p w14:paraId="6643DB86" w14:textId="77777777" w:rsidR="0014798C" w:rsidRDefault="004E1F0B">
      <w:pPr>
        <w:numPr>
          <w:ilvl w:val="0"/>
          <w:numId w:val="90"/>
        </w:numPr>
        <w:tabs>
          <w:tab w:val="left" w:pos="1443"/>
        </w:tabs>
        <w:ind w:left="1443" w:hanging="323"/>
        <w:rPr>
          <w:color w:val="009EDB"/>
          <w:sz w:val="26"/>
        </w:rPr>
      </w:pPr>
      <w:r>
        <w:rPr>
          <w:color w:val="009EDB"/>
          <w:sz w:val="26"/>
        </w:rPr>
        <w:t>Examen</w:t>
      </w:r>
      <w:r>
        <w:rPr>
          <w:color w:val="009EDB"/>
          <w:spacing w:val="14"/>
          <w:sz w:val="26"/>
        </w:rPr>
        <w:t xml:space="preserve"> </w:t>
      </w:r>
      <w:r>
        <w:rPr>
          <w:color w:val="009EDB"/>
          <w:sz w:val="26"/>
        </w:rPr>
        <w:t>periódico</w:t>
      </w:r>
      <w:r>
        <w:rPr>
          <w:color w:val="009EDB"/>
          <w:spacing w:val="15"/>
          <w:sz w:val="26"/>
        </w:rPr>
        <w:t xml:space="preserve"> </w:t>
      </w:r>
      <w:r>
        <w:rPr>
          <w:color w:val="009EDB"/>
          <w:spacing w:val="-2"/>
          <w:sz w:val="26"/>
        </w:rPr>
        <w:t>universal</w:t>
      </w:r>
    </w:p>
    <w:p w14:paraId="54499725" w14:textId="77777777" w:rsidR="0014798C" w:rsidRDefault="004E1F0B">
      <w:pPr>
        <w:spacing w:before="162" w:line="307" w:lineRule="auto"/>
        <w:ind w:left="1107" w:right="1272" w:firstLine="1"/>
        <w:rPr>
          <w:sz w:val="17"/>
        </w:rPr>
      </w:pPr>
      <w:r>
        <w:rPr>
          <w:w w:val="105"/>
          <w:sz w:val="17"/>
        </w:rPr>
        <w:t>En</w:t>
      </w:r>
      <w:r>
        <w:rPr>
          <w:spacing w:val="-5"/>
          <w:w w:val="105"/>
          <w:sz w:val="17"/>
        </w:rPr>
        <w:t xml:space="preserve"> </w:t>
      </w:r>
      <w:r>
        <w:rPr>
          <w:w w:val="105"/>
          <w:sz w:val="17"/>
        </w:rPr>
        <w:t>los</w:t>
      </w:r>
      <w:r>
        <w:rPr>
          <w:spacing w:val="-5"/>
          <w:w w:val="105"/>
          <w:sz w:val="17"/>
        </w:rPr>
        <w:t xml:space="preserve"> </w:t>
      </w:r>
      <w:r>
        <w:rPr>
          <w:w w:val="105"/>
          <w:sz w:val="17"/>
        </w:rPr>
        <w:t>últimos</w:t>
      </w:r>
      <w:r>
        <w:rPr>
          <w:spacing w:val="-5"/>
          <w:w w:val="105"/>
          <w:sz w:val="17"/>
        </w:rPr>
        <w:t xml:space="preserve"> </w:t>
      </w:r>
      <w:r>
        <w:rPr>
          <w:w w:val="105"/>
          <w:sz w:val="17"/>
        </w:rPr>
        <w:t>años,</w:t>
      </w:r>
      <w:r>
        <w:rPr>
          <w:spacing w:val="-4"/>
          <w:w w:val="105"/>
          <w:sz w:val="17"/>
        </w:rPr>
        <w:t xml:space="preserve"> </w:t>
      </w:r>
      <w:r>
        <w:rPr>
          <w:w w:val="105"/>
          <w:sz w:val="17"/>
        </w:rPr>
        <w:t>un</w:t>
      </w:r>
      <w:r>
        <w:rPr>
          <w:spacing w:val="-5"/>
          <w:w w:val="105"/>
          <w:sz w:val="17"/>
        </w:rPr>
        <w:t xml:space="preserve"> </w:t>
      </w:r>
      <w:r>
        <w:rPr>
          <w:w w:val="105"/>
          <w:sz w:val="17"/>
        </w:rPr>
        <w:t>número</w:t>
      </w:r>
      <w:r>
        <w:rPr>
          <w:spacing w:val="-5"/>
          <w:w w:val="105"/>
          <w:sz w:val="17"/>
        </w:rPr>
        <w:t xml:space="preserve"> </w:t>
      </w:r>
      <w:r>
        <w:rPr>
          <w:w w:val="105"/>
          <w:sz w:val="17"/>
        </w:rPr>
        <w:t>cada</w:t>
      </w:r>
      <w:r>
        <w:rPr>
          <w:spacing w:val="-5"/>
          <w:w w:val="105"/>
          <w:sz w:val="17"/>
        </w:rPr>
        <w:t xml:space="preserve"> </w:t>
      </w:r>
      <w:r>
        <w:rPr>
          <w:w w:val="105"/>
          <w:sz w:val="17"/>
        </w:rPr>
        <w:t>vez</w:t>
      </w:r>
      <w:r>
        <w:rPr>
          <w:spacing w:val="-5"/>
          <w:w w:val="105"/>
          <w:sz w:val="17"/>
        </w:rPr>
        <w:t xml:space="preserve"> </w:t>
      </w:r>
      <w:r>
        <w:rPr>
          <w:w w:val="105"/>
          <w:sz w:val="17"/>
        </w:rPr>
        <w:t>mayor</w:t>
      </w:r>
      <w:r>
        <w:rPr>
          <w:spacing w:val="-5"/>
          <w:w w:val="105"/>
          <w:sz w:val="17"/>
        </w:rPr>
        <w:t xml:space="preserve"> </w:t>
      </w:r>
      <w:r>
        <w:rPr>
          <w:w w:val="105"/>
          <w:sz w:val="17"/>
        </w:rPr>
        <w:t>de</w:t>
      </w:r>
      <w:r>
        <w:rPr>
          <w:spacing w:val="-5"/>
          <w:w w:val="105"/>
          <w:sz w:val="17"/>
        </w:rPr>
        <w:t xml:space="preserve"> </w:t>
      </w:r>
      <w:r>
        <w:rPr>
          <w:w w:val="105"/>
          <w:sz w:val="17"/>
        </w:rPr>
        <w:t>Estados</w:t>
      </w:r>
      <w:r>
        <w:rPr>
          <w:spacing w:val="-5"/>
          <w:w w:val="105"/>
          <w:sz w:val="17"/>
        </w:rPr>
        <w:t xml:space="preserve"> </w:t>
      </w:r>
      <w:r>
        <w:rPr>
          <w:w w:val="105"/>
          <w:sz w:val="17"/>
        </w:rPr>
        <w:t>ha</w:t>
      </w:r>
      <w:r>
        <w:rPr>
          <w:spacing w:val="-5"/>
          <w:w w:val="105"/>
          <w:sz w:val="17"/>
        </w:rPr>
        <w:t xml:space="preserve"> </w:t>
      </w:r>
      <w:r>
        <w:rPr>
          <w:w w:val="105"/>
          <w:sz w:val="17"/>
        </w:rPr>
        <w:t>formulado</w:t>
      </w:r>
      <w:r>
        <w:rPr>
          <w:spacing w:val="-5"/>
          <w:w w:val="105"/>
          <w:sz w:val="17"/>
        </w:rPr>
        <w:t xml:space="preserve"> </w:t>
      </w:r>
      <w:r>
        <w:rPr>
          <w:w w:val="105"/>
          <w:sz w:val="17"/>
        </w:rPr>
        <w:t>y</w:t>
      </w:r>
      <w:r>
        <w:rPr>
          <w:spacing w:val="-5"/>
          <w:w w:val="105"/>
          <w:sz w:val="17"/>
        </w:rPr>
        <w:t xml:space="preserve"> </w:t>
      </w:r>
      <w:r>
        <w:rPr>
          <w:w w:val="105"/>
          <w:sz w:val="17"/>
        </w:rPr>
        <w:t>recibido</w:t>
      </w:r>
      <w:r>
        <w:rPr>
          <w:spacing w:val="-5"/>
          <w:w w:val="105"/>
          <w:sz w:val="17"/>
        </w:rPr>
        <w:t xml:space="preserve"> </w:t>
      </w:r>
      <w:r>
        <w:rPr>
          <w:w w:val="105"/>
          <w:sz w:val="17"/>
        </w:rPr>
        <w:t>recomendaciones</w:t>
      </w:r>
      <w:r>
        <w:rPr>
          <w:spacing w:val="-5"/>
          <w:w w:val="105"/>
          <w:sz w:val="17"/>
        </w:rPr>
        <w:t xml:space="preserve"> </w:t>
      </w:r>
      <w:r>
        <w:rPr>
          <w:w w:val="105"/>
          <w:sz w:val="17"/>
        </w:rPr>
        <w:t>para</w:t>
      </w:r>
      <w:r>
        <w:rPr>
          <w:spacing w:val="-5"/>
          <w:w w:val="105"/>
          <w:sz w:val="17"/>
        </w:rPr>
        <w:t xml:space="preserve"> </w:t>
      </w:r>
      <w:r>
        <w:rPr>
          <w:w w:val="105"/>
          <w:sz w:val="17"/>
        </w:rPr>
        <w:t>adoptar, modificar</w:t>
      </w:r>
      <w:r>
        <w:rPr>
          <w:spacing w:val="-8"/>
          <w:w w:val="105"/>
          <w:sz w:val="17"/>
        </w:rPr>
        <w:t xml:space="preserve"> </w:t>
      </w:r>
      <w:r>
        <w:rPr>
          <w:w w:val="105"/>
          <w:sz w:val="17"/>
        </w:rPr>
        <w:t>o</w:t>
      </w:r>
      <w:r>
        <w:rPr>
          <w:spacing w:val="-8"/>
          <w:w w:val="105"/>
          <w:sz w:val="17"/>
        </w:rPr>
        <w:t xml:space="preserve"> </w:t>
      </w:r>
      <w:r>
        <w:rPr>
          <w:w w:val="105"/>
          <w:sz w:val="17"/>
        </w:rPr>
        <w:t>aplicar</w:t>
      </w:r>
      <w:r>
        <w:rPr>
          <w:spacing w:val="-8"/>
          <w:w w:val="105"/>
          <w:sz w:val="17"/>
        </w:rPr>
        <w:t xml:space="preserve"> </w:t>
      </w:r>
      <w:r>
        <w:rPr>
          <w:w w:val="105"/>
          <w:sz w:val="17"/>
        </w:rPr>
        <w:t>leyes</w:t>
      </w:r>
      <w:r>
        <w:rPr>
          <w:spacing w:val="-8"/>
          <w:w w:val="105"/>
          <w:sz w:val="17"/>
        </w:rPr>
        <w:t xml:space="preserve"> </w:t>
      </w:r>
      <w:r>
        <w:rPr>
          <w:w w:val="105"/>
          <w:sz w:val="17"/>
        </w:rPr>
        <w:t>integrales</w:t>
      </w:r>
      <w:r>
        <w:rPr>
          <w:spacing w:val="-8"/>
          <w:w w:val="105"/>
          <w:sz w:val="17"/>
        </w:rPr>
        <w:t xml:space="preserve"> </w:t>
      </w:r>
      <w:r>
        <w:rPr>
          <w:w w:val="105"/>
          <w:sz w:val="17"/>
        </w:rPr>
        <w:t>contra</w:t>
      </w:r>
      <w:r>
        <w:rPr>
          <w:spacing w:val="-8"/>
          <w:w w:val="105"/>
          <w:sz w:val="17"/>
        </w:rPr>
        <w:t xml:space="preserve"> </w:t>
      </w:r>
      <w:r>
        <w:rPr>
          <w:w w:val="105"/>
          <w:sz w:val="17"/>
        </w:rPr>
        <w:t>la</w:t>
      </w:r>
      <w:r>
        <w:rPr>
          <w:spacing w:val="-8"/>
          <w:w w:val="105"/>
          <w:sz w:val="17"/>
        </w:rPr>
        <w:t xml:space="preserve"> </w:t>
      </w:r>
      <w:r>
        <w:rPr>
          <w:w w:val="105"/>
          <w:sz w:val="17"/>
        </w:rPr>
        <w:t>discriminación</w:t>
      </w:r>
      <w:r>
        <w:rPr>
          <w:spacing w:val="-8"/>
          <w:w w:val="105"/>
          <w:sz w:val="17"/>
        </w:rPr>
        <w:t xml:space="preserve"> </w:t>
      </w:r>
      <w:r>
        <w:rPr>
          <w:w w:val="105"/>
          <w:sz w:val="17"/>
        </w:rPr>
        <w:t>a</w:t>
      </w:r>
      <w:r>
        <w:rPr>
          <w:spacing w:val="-8"/>
          <w:w w:val="105"/>
          <w:sz w:val="17"/>
        </w:rPr>
        <w:t xml:space="preserve"> </w:t>
      </w:r>
      <w:r>
        <w:rPr>
          <w:w w:val="105"/>
          <w:sz w:val="17"/>
        </w:rPr>
        <w:t>través</w:t>
      </w:r>
      <w:r>
        <w:rPr>
          <w:spacing w:val="-8"/>
          <w:w w:val="105"/>
          <w:sz w:val="17"/>
        </w:rPr>
        <w:t xml:space="preserve"> </w:t>
      </w:r>
      <w:r>
        <w:rPr>
          <w:w w:val="105"/>
          <w:sz w:val="17"/>
        </w:rPr>
        <w:t>de</w:t>
      </w:r>
      <w:r>
        <w:rPr>
          <w:spacing w:val="-8"/>
          <w:w w:val="105"/>
          <w:sz w:val="17"/>
        </w:rPr>
        <w:t xml:space="preserve"> </w:t>
      </w:r>
      <w:r>
        <w:rPr>
          <w:w w:val="105"/>
          <w:sz w:val="17"/>
        </w:rPr>
        <w:t>sus</w:t>
      </w:r>
      <w:r>
        <w:rPr>
          <w:spacing w:val="-8"/>
          <w:w w:val="105"/>
          <w:sz w:val="17"/>
        </w:rPr>
        <w:t xml:space="preserve"> </w:t>
      </w:r>
      <w:r>
        <w:rPr>
          <w:w w:val="105"/>
          <w:sz w:val="17"/>
        </w:rPr>
        <w:t>interacciones</w:t>
      </w:r>
      <w:r>
        <w:rPr>
          <w:spacing w:val="-8"/>
          <w:w w:val="105"/>
          <w:sz w:val="17"/>
        </w:rPr>
        <w:t xml:space="preserve"> </w:t>
      </w:r>
      <w:r>
        <w:rPr>
          <w:w w:val="105"/>
          <w:sz w:val="17"/>
        </w:rPr>
        <w:t>entre</w:t>
      </w:r>
      <w:r>
        <w:rPr>
          <w:spacing w:val="-8"/>
          <w:w w:val="105"/>
          <w:sz w:val="17"/>
        </w:rPr>
        <w:t xml:space="preserve"> </w:t>
      </w:r>
      <w:r>
        <w:rPr>
          <w:w w:val="105"/>
          <w:sz w:val="17"/>
        </w:rPr>
        <w:t>pares.</w:t>
      </w:r>
      <w:r>
        <w:rPr>
          <w:spacing w:val="-7"/>
          <w:w w:val="105"/>
          <w:sz w:val="17"/>
        </w:rPr>
        <w:t xml:space="preserve"> </w:t>
      </w:r>
      <w:r>
        <w:rPr>
          <w:w w:val="105"/>
          <w:sz w:val="17"/>
        </w:rPr>
        <w:t>En</w:t>
      </w:r>
      <w:r>
        <w:rPr>
          <w:spacing w:val="-8"/>
          <w:w w:val="105"/>
          <w:sz w:val="17"/>
        </w:rPr>
        <w:t xml:space="preserve"> </w:t>
      </w:r>
      <w:r>
        <w:rPr>
          <w:w w:val="105"/>
          <w:sz w:val="17"/>
        </w:rPr>
        <w:t>el</w:t>
      </w:r>
      <w:r>
        <w:rPr>
          <w:spacing w:val="-8"/>
          <w:w w:val="105"/>
          <w:sz w:val="17"/>
        </w:rPr>
        <w:t xml:space="preserve"> </w:t>
      </w:r>
      <w:r>
        <w:rPr>
          <w:w w:val="105"/>
          <w:sz w:val="17"/>
        </w:rPr>
        <w:t>momento del</w:t>
      </w:r>
      <w:r>
        <w:rPr>
          <w:spacing w:val="-1"/>
          <w:w w:val="105"/>
          <w:sz w:val="17"/>
        </w:rPr>
        <w:t xml:space="preserve"> </w:t>
      </w:r>
      <w:r>
        <w:rPr>
          <w:w w:val="105"/>
          <w:sz w:val="17"/>
        </w:rPr>
        <w:t>35º</w:t>
      </w:r>
      <w:r>
        <w:rPr>
          <w:spacing w:val="-1"/>
          <w:w w:val="105"/>
          <w:sz w:val="17"/>
        </w:rPr>
        <w:t xml:space="preserve"> </w:t>
      </w:r>
      <w:r>
        <w:rPr>
          <w:w w:val="105"/>
          <w:sz w:val="17"/>
        </w:rPr>
        <w:t>período</w:t>
      </w:r>
      <w:r>
        <w:rPr>
          <w:spacing w:val="-1"/>
          <w:w w:val="105"/>
          <w:sz w:val="17"/>
        </w:rPr>
        <w:t xml:space="preserve"> </w:t>
      </w:r>
      <w:r>
        <w:rPr>
          <w:w w:val="105"/>
          <w:sz w:val="17"/>
        </w:rPr>
        <w:t>de</w:t>
      </w:r>
      <w:r>
        <w:rPr>
          <w:spacing w:val="-1"/>
          <w:w w:val="105"/>
          <w:sz w:val="17"/>
        </w:rPr>
        <w:t xml:space="preserve"> </w:t>
      </w:r>
      <w:r>
        <w:rPr>
          <w:w w:val="105"/>
          <w:sz w:val="17"/>
        </w:rPr>
        <w:t>sesiones</w:t>
      </w:r>
      <w:r>
        <w:rPr>
          <w:spacing w:val="-1"/>
          <w:w w:val="105"/>
          <w:sz w:val="17"/>
        </w:rPr>
        <w:t xml:space="preserve"> </w:t>
      </w:r>
      <w:r>
        <w:rPr>
          <w:w w:val="105"/>
          <w:sz w:val="17"/>
        </w:rPr>
        <w:t>del</w:t>
      </w:r>
      <w:r>
        <w:rPr>
          <w:spacing w:val="-1"/>
          <w:w w:val="105"/>
          <w:sz w:val="17"/>
        </w:rPr>
        <w:t xml:space="preserve"> </w:t>
      </w:r>
      <w:r>
        <w:rPr>
          <w:w w:val="105"/>
          <w:sz w:val="17"/>
        </w:rPr>
        <w:t>Grupo</w:t>
      </w:r>
      <w:r>
        <w:rPr>
          <w:spacing w:val="-1"/>
          <w:w w:val="105"/>
          <w:sz w:val="17"/>
        </w:rPr>
        <w:t xml:space="preserve"> </w:t>
      </w:r>
      <w:r>
        <w:rPr>
          <w:w w:val="105"/>
          <w:sz w:val="17"/>
        </w:rPr>
        <w:t>de</w:t>
      </w:r>
      <w:r>
        <w:rPr>
          <w:spacing w:val="-1"/>
          <w:w w:val="105"/>
          <w:sz w:val="17"/>
        </w:rPr>
        <w:t xml:space="preserve"> </w:t>
      </w:r>
      <w:r>
        <w:rPr>
          <w:w w:val="105"/>
          <w:sz w:val="17"/>
        </w:rPr>
        <w:t>Trabajo</w:t>
      </w:r>
      <w:r>
        <w:rPr>
          <w:spacing w:val="-1"/>
          <w:w w:val="105"/>
          <w:sz w:val="17"/>
        </w:rPr>
        <w:t xml:space="preserve"> </w:t>
      </w:r>
      <w:r>
        <w:rPr>
          <w:w w:val="105"/>
          <w:sz w:val="17"/>
        </w:rPr>
        <w:t>sobre</w:t>
      </w:r>
      <w:r>
        <w:rPr>
          <w:spacing w:val="-1"/>
          <w:w w:val="105"/>
          <w:sz w:val="17"/>
        </w:rPr>
        <w:t xml:space="preserve"> </w:t>
      </w:r>
      <w:r>
        <w:rPr>
          <w:w w:val="105"/>
          <w:sz w:val="17"/>
        </w:rPr>
        <w:t>el</w:t>
      </w:r>
      <w:r>
        <w:rPr>
          <w:spacing w:val="-1"/>
          <w:w w:val="105"/>
          <w:sz w:val="17"/>
        </w:rPr>
        <w:t xml:space="preserve"> </w:t>
      </w:r>
      <w:r>
        <w:rPr>
          <w:w w:val="105"/>
          <w:sz w:val="17"/>
        </w:rPr>
        <w:t>Examen</w:t>
      </w:r>
      <w:r>
        <w:rPr>
          <w:spacing w:val="-1"/>
          <w:w w:val="105"/>
          <w:sz w:val="17"/>
        </w:rPr>
        <w:t xml:space="preserve"> </w:t>
      </w:r>
      <w:r>
        <w:rPr>
          <w:w w:val="105"/>
          <w:sz w:val="17"/>
        </w:rPr>
        <w:t>Periódico</w:t>
      </w:r>
      <w:r>
        <w:rPr>
          <w:spacing w:val="-1"/>
          <w:w w:val="105"/>
          <w:sz w:val="17"/>
        </w:rPr>
        <w:t xml:space="preserve"> </w:t>
      </w:r>
      <w:r>
        <w:rPr>
          <w:w w:val="105"/>
          <w:sz w:val="17"/>
        </w:rPr>
        <w:t>Universal, durante</w:t>
      </w:r>
      <w:r>
        <w:rPr>
          <w:spacing w:val="-1"/>
          <w:w w:val="105"/>
          <w:sz w:val="17"/>
        </w:rPr>
        <w:t xml:space="preserve"> </w:t>
      </w:r>
      <w:r>
        <w:rPr>
          <w:w w:val="105"/>
          <w:sz w:val="17"/>
        </w:rPr>
        <w:t>el</w:t>
      </w:r>
      <w:r>
        <w:rPr>
          <w:spacing w:val="-1"/>
          <w:w w:val="105"/>
          <w:sz w:val="17"/>
        </w:rPr>
        <w:t xml:space="preserve"> </w:t>
      </w:r>
      <w:r>
        <w:rPr>
          <w:w w:val="105"/>
          <w:sz w:val="17"/>
        </w:rPr>
        <w:t>tercer</w:t>
      </w:r>
      <w:r>
        <w:rPr>
          <w:spacing w:val="-1"/>
          <w:w w:val="105"/>
          <w:sz w:val="17"/>
        </w:rPr>
        <w:t xml:space="preserve"> </w:t>
      </w:r>
      <w:r>
        <w:rPr>
          <w:w w:val="105"/>
          <w:sz w:val="17"/>
        </w:rPr>
        <w:t>ciclo</w:t>
      </w:r>
      <w:r>
        <w:rPr>
          <w:spacing w:val="-1"/>
          <w:w w:val="105"/>
          <w:sz w:val="17"/>
        </w:rPr>
        <w:t xml:space="preserve"> </w:t>
      </w:r>
      <w:r>
        <w:rPr>
          <w:w w:val="105"/>
          <w:sz w:val="17"/>
        </w:rPr>
        <w:t>del examen periódico universal, 46 Estados del este, sur y sur del país habían formulado recomendaciones específicas</w:t>
      </w:r>
    </w:p>
    <w:p w14:paraId="26383CC3" w14:textId="77777777" w:rsidR="0014798C" w:rsidRDefault="004E1F0B">
      <w:pPr>
        <w:spacing w:line="194" w:lineRule="exact"/>
        <w:ind w:left="1108"/>
        <w:rPr>
          <w:sz w:val="17"/>
        </w:rPr>
      </w:pPr>
      <w:r>
        <w:rPr>
          <w:spacing w:val="-2"/>
          <w:w w:val="105"/>
          <w:sz w:val="17"/>
        </w:rPr>
        <w:t>para</w:t>
      </w:r>
      <w:r>
        <w:rPr>
          <w:spacing w:val="-6"/>
          <w:w w:val="105"/>
          <w:sz w:val="17"/>
        </w:rPr>
        <w:t xml:space="preserve"> </w:t>
      </w:r>
      <w:r>
        <w:rPr>
          <w:spacing w:val="-2"/>
          <w:w w:val="105"/>
          <w:sz w:val="17"/>
        </w:rPr>
        <w:t>la</w:t>
      </w:r>
      <w:r>
        <w:rPr>
          <w:spacing w:val="-5"/>
          <w:w w:val="105"/>
          <w:sz w:val="17"/>
        </w:rPr>
        <w:t xml:space="preserve"> </w:t>
      </w:r>
      <w:r>
        <w:rPr>
          <w:spacing w:val="-2"/>
          <w:w w:val="105"/>
          <w:sz w:val="17"/>
        </w:rPr>
        <w:t>aprobación</w:t>
      </w:r>
      <w:r>
        <w:rPr>
          <w:spacing w:val="-6"/>
          <w:w w:val="105"/>
          <w:sz w:val="17"/>
        </w:rPr>
        <w:t xml:space="preserve"> </w:t>
      </w:r>
      <w:r>
        <w:rPr>
          <w:spacing w:val="-2"/>
          <w:w w:val="105"/>
          <w:sz w:val="17"/>
        </w:rPr>
        <w:t>de</w:t>
      </w:r>
      <w:r>
        <w:rPr>
          <w:spacing w:val="-5"/>
          <w:w w:val="105"/>
          <w:sz w:val="17"/>
        </w:rPr>
        <w:t xml:space="preserve"> </w:t>
      </w:r>
      <w:r>
        <w:rPr>
          <w:spacing w:val="-2"/>
          <w:w w:val="105"/>
          <w:sz w:val="17"/>
        </w:rPr>
        <w:t>una</w:t>
      </w:r>
      <w:r>
        <w:rPr>
          <w:spacing w:val="-5"/>
          <w:w w:val="105"/>
          <w:sz w:val="17"/>
        </w:rPr>
        <w:t xml:space="preserve"> </w:t>
      </w:r>
      <w:r>
        <w:rPr>
          <w:spacing w:val="-2"/>
          <w:w w:val="105"/>
          <w:sz w:val="17"/>
        </w:rPr>
        <w:t>ley</w:t>
      </w:r>
      <w:r>
        <w:rPr>
          <w:spacing w:val="-6"/>
          <w:w w:val="105"/>
          <w:sz w:val="17"/>
        </w:rPr>
        <w:t xml:space="preserve"> </w:t>
      </w:r>
      <w:r>
        <w:rPr>
          <w:spacing w:val="-2"/>
          <w:w w:val="105"/>
          <w:sz w:val="17"/>
        </w:rPr>
        <w:t>integral</w:t>
      </w:r>
      <w:r>
        <w:rPr>
          <w:spacing w:val="-5"/>
          <w:w w:val="105"/>
          <w:sz w:val="17"/>
        </w:rPr>
        <w:t xml:space="preserve"> </w:t>
      </w:r>
      <w:r>
        <w:rPr>
          <w:spacing w:val="-2"/>
          <w:w w:val="105"/>
          <w:sz w:val="17"/>
        </w:rPr>
        <w:t>contra</w:t>
      </w:r>
      <w:r>
        <w:rPr>
          <w:spacing w:val="-6"/>
          <w:w w:val="105"/>
          <w:sz w:val="17"/>
        </w:rPr>
        <w:t xml:space="preserve"> </w:t>
      </w:r>
      <w:r>
        <w:rPr>
          <w:spacing w:val="-2"/>
          <w:w w:val="105"/>
          <w:sz w:val="17"/>
        </w:rPr>
        <w:t>la</w:t>
      </w:r>
      <w:r>
        <w:rPr>
          <w:spacing w:val="-5"/>
          <w:w w:val="105"/>
          <w:sz w:val="17"/>
        </w:rPr>
        <w:t xml:space="preserve"> </w:t>
      </w:r>
      <w:r>
        <w:rPr>
          <w:spacing w:val="-2"/>
          <w:w w:val="105"/>
          <w:sz w:val="17"/>
        </w:rPr>
        <w:t>discriminación.</w:t>
      </w:r>
      <w:r>
        <w:rPr>
          <w:spacing w:val="-3"/>
          <w:w w:val="105"/>
          <w:sz w:val="17"/>
        </w:rPr>
        <w:t xml:space="preserve"> </w:t>
      </w:r>
      <w:r>
        <w:rPr>
          <w:spacing w:val="-2"/>
          <w:w w:val="105"/>
          <w:sz w:val="17"/>
        </w:rPr>
        <w:t>y</w:t>
      </w:r>
      <w:r>
        <w:rPr>
          <w:spacing w:val="-6"/>
          <w:w w:val="105"/>
          <w:sz w:val="17"/>
        </w:rPr>
        <w:t xml:space="preserve"> </w:t>
      </w:r>
      <w:r>
        <w:rPr>
          <w:spacing w:val="-2"/>
          <w:w w:val="105"/>
          <w:sz w:val="17"/>
        </w:rPr>
        <w:t>África</w:t>
      </w:r>
      <w:r>
        <w:rPr>
          <w:spacing w:val="-5"/>
          <w:w w:val="105"/>
          <w:sz w:val="17"/>
        </w:rPr>
        <w:t xml:space="preserve"> </w:t>
      </w:r>
      <w:r>
        <w:rPr>
          <w:spacing w:val="-2"/>
          <w:w w:val="105"/>
          <w:sz w:val="17"/>
        </w:rPr>
        <w:t>occidental;</w:t>
      </w:r>
      <w:r>
        <w:rPr>
          <w:spacing w:val="-5"/>
          <w:w w:val="105"/>
          <w:sz w:val="17"/>
        </w:rPr>
        <w:t xml:space="preserve"> </w:t>
      </w:r>
      <w:r>
        <w:rPr>
          <w:spacing w:val="-2"/>
          <w:w w:val="105"/>
          <w:sz w:val="17"/>
        </w:rPr>
        <w:t>América</w:t>
      </w:r>
      <w:r>
        <w:rPr>
          <w:spacing w:val="-5"/>
          <w:w w:val="105"/>
          <w:sz w:val="17"/>
        </w:rPr>
        <w:t xml:space="preserve"> </w:t>
      </w:r>
      <w:r>
        <w:rPr>
          <w:spacing w:val="-2"/>
          <w:w w:val="105"/>
          <w:sz w:val="17"/>
        </w:rPr>
        <w:t>del</w:t>
      </w:r>
      <w:r>
        <w:rPr>
          <w:spacing w:val="-5"/>
          <w:w w:val="105"/>
          <w:sz w:val="17"/>
        </w:rPr>
        <w:t xml:space="preserve"> </w:t>
      </w:r>
      <w:r>
        <w:rPr>
          <w:spacing w:val="-2"/>
          <w:w w:val="105"/>
          <w:sz w:val="17"/>
        </w:rPr>
        <w:t>Norte,</w:t>
      </w:r>
      <w:r>
        <w:rPr>
          <w:spacing w:val="-5"/>
          <w:w w:val="105"/>
          <w:sz w:val="17"/>
        </w:rPr>
        <w:t xml:space="preserve"> </w:t>
      </w:r>
      <w:r>
        <w:rPr>
          <w:spacing w:val="-2"/>
          <w:w w:val="105"/>
          <w:sz w:val="17"/>
        </w:rPr>
        <w:t>del</w:t>
      </w:r>
      <w:r>
        <w:rPr>
          <w:spacing w:val="-5"/>
          <w:w w:val="105"/>
          <w:sz w:val="17"/>
        </w:rPr>
        <w:t xml:space="preserve"> </w:t>
      </w:r>
      <w:r>
        <w:rPr>
          <w:spacing w:val="-2"/>
          <w:w w:val="105"/>
          <w:sz w:val="17"/>
        </w:rPr>
        <w:t>Sur</w:t>
      </w:r>
      <w:r>
        <w:rPr>
          <w:spacing w:val="-6"/>
          <w:w w:val="105"/>
          <w:sz w:val="17"/>
        </w:rPr>
        <w:t xml:space="preserve"> </w:t>
      </w:r>
      <w:r>
        <w:rPr>
          <w:spacing w:val="-2"/>
          <w:w w:val="105"/>
          <w:sz w:val="17"/>
        </w:rPr>
        <w:t>y</w:t>
      </w:r>
      <w:r>
        <w:rPr>
          <w:spacing w:val="-5"/>
          <w:w w:val="105"/>
          <w:sz w:val="17"/>
        </w:rPr>
        <w:t xml:space="preserve"> </w:t>
      </w:r>
      <w:r>
        <w:rPr>
          <w:spacing w:val="-2"/>
          <w:w w:val="105"/>
          <w:sz w:val="17"/>
        </w:rPr>
        <w:t>Central</w:t>
      </w:r>
      <w:r>
        <w:rPr>
          <w:spacing w:val="-5"/>
          <w:w w:val="105"/>
          <w:sz w:val="17"/>
        </w:rPr>
        <w:t xml:space="preserve"> </w:t>
      </w:r>
      <w:r>
        <w:rPr>
          <w:spacing w:val="-2"/>
          <w:w w:val="105"/>
          <w:sz w:val="17"/>
        </w:rPr>
        <w:t>y</w:t>
      </w:r>
      <w:r>
        <w:rPr>
          <w:spacing w:val="-6"/>
          <w:w w:val="105"/>
          <w:sz w:val="17"/>
        </w:rPr>
        <w:t xml:space="preserve"> </w:t>
      </w:r>
      <w:r>
        <w:rPr>
          <w:spacing w:val="-5"/>
          <w:w w:val="105"/>
          <w:sz w:val="17"/>
        </w:rPr>
        <w:t>el</w:t>
      </w:r>
    </w:p>
    <w:p w14:paraId="567FC1E8" w14:textId="77777777" w:rsidR="0014798C" w:rsidRDefault="0014798C">
      <w:pPr>
        <w:pStyle w:val="Textoindependiente"/>
        <w:rPr>
          <w:sz w:val="20"/>
        </w:rPr>
      </w:pPr>
    </w:p>
    <w:p w14:paraId="7E3EBC8A" w14:textId="77777777" w:rsidR="0014798C" w:rsidRDefault="0014798C">
      <w:pPr>
        <w:pStyle w:val="Textoindependiente"/>
        <w:rPr>
          <w:sz w:val="20"/>
        </w:rPr>
      </w:pPr>
    </w:p>
    <w:p w14:paraId="47D4037A" w14:textId="77777777" w:rsidR="0014798C" w:rsidRDefault="0014798C">
      <w:pPr>
        <w:pStyle w:val="Textoindependiente"/>
        <w:rPr>
          <w:sz w:val="20"/>
        </w:rPr>
      </w:pPr>
    </w:p>
    <w:p w14:paraId="2B963736" w14:textId="77777777" w:rsidR="0014798C" w:rsidRDefault="0014798C">
      <w:pPr>
        <w:pStyle w:val="Textoindependiente"/>
        <w:rPr>
          <w:sz w:val="20"/>
        </w:rPr>
      </w:pPr>
    </w:p>
    <w:p w14:paraId="3CD0EEEE" w14:textId="77777777" w:rsidR="0014798C" w:rsidRDefault="0014798C">
      <w:pPr>
        <w:pStyle w:val="Textoindependiente"/>
        <w:rPr>
          <w:sz w:val="20"/>
        </w:rPr>
      </w:pPr>
    </w:p>
    <w:p w14:paraId="366AF1E9" w14:textId="77777777" w:rsidR="0014798C" w:rsidRDefault="0014798C">
      <w:pPr>
        <w:pStyle w:val="Textoindependiente"/>
        <w:rPr>
          <w:sz w:val="20"/>
        </w:rPr>
      </w:pPr>
    </w:p>
    <w:p w14:paraId="3FCF3C21" w14:textId="77777777" w:rsidR="0014798C" w:rsidRDefault="0014798C">
      <w:pPr>
        <w:pStyle w:val="Textoindependiente"/>
        <w:rPr>
          <w:sz w:val="20"/>
        </w:rPr>
      </w:pPr>
    </w:p>
    <w:p w14:paraId="0C429894" w14:textId="77777777" w:rsidR="0014798C" w:rsidRDefault="0014798C">
      <w:pPr>
        <w:pStyle w:val="Textoindependiente"/>
        <w:rPr>
          <w:sz w:val="20"/>
        </w:rPr>
      </w:pPr>
    </w:p>
    <w:p w14:paraId="71E43064" w14:textId="77777777" w:rsidR="0014798C" w:rsidRDefault="004E1F0B">
      <w:pPr>
        <w:pStyle w:val="Textoindependiente"/>
        <w:spacing w:before="141"/>
        <w:rPr>
          <w:sz w:val="20"/>
        </w:rPr>
      </w:pPr>
      <w:r>
        <w:rPr>
          <w:noProof/>
        </w:rPr>
        <w:drawing>
          <wp:anchor distT="0" distB="0" distL="0" distR="0" simplePos="0" relativeHeight="251658518" behindDoc="1" locked="0" layoutInCell="1" allowOverlap="1" wp14:anchorId="74201CD8" wp14:editId="0EFF8C79">
            <wp:simplePos x="0" y="0"/>
            <wp:positionH relativeFrom="page">
              <wp:posOffset>826632</wp:posOffset>
            </wp:positionH>
            <wp:positionV relativeFrom="paragraph">
              <wp:posOffset>250963</wp:posOffset>
            </wp:positionV>
            <wp:extent cx="931001" cy="35813"/>
            <wp:effectExtent l="0" t="0" r="0" b="0"/>
            <wp:wrapTopAndBottom/>
            <wp:docPr id="62" name="Image 6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62" name="Image 62"/>
                    <pic:cNvPicPr/>
                  </pic:nvPicPr>
                  <pic:blipFill>
                    <a:blip r:embed="rId69" cstate="print"/>
                    <a:stretch>
                      <a:fillRect/>
                    </a:stretch>
                  </pic:blipFill>
                  <pic:spPr>
                    <a:xfrm>
                      <a:off x="0" y="0"/>
                      <a:ext cx="931001" cy="35813"/>
                    </a:xfrm>
                    <a:prstGeom prst="rect">
                      <a:avLst/>
                    </a:prstGeom>
                  </pic:spPr>
                </pic:pic>
              </a:graphicData>
            </a:graphic>
          </wp:anchor>
        </w:drawing>
      </w:r>
    </w:p>
    <w:p w14:paraId="5A21693B" w14:textId="77777777" w:rsidR="0014798C" w:rsidRDefault="0014798C">
      <w:pPr>
        <w:pStyle w:val="Textoindependiente"/>
        <w:spacing w:before="6"/>
        <w:rPr>
          <w:sz w:val="13"/>
        </w:rPr>
      </w:pPr>
    </w:p>
    <w:p w14:paraId="4ECEF4D8" w14:textId="77777777" w:rsidR="0014798C" w:rsidRDefault="004E1F0B">
      <w:pPr>
        <w:ind w:left="1107"/>
        <w:rPr>
          <w:sz w:val="13"/>
        </w:rPr>
      </w:pPr>
      <w:r>
        <w:rPr>
          <w:sz w:val="13"/>
          <w:vertAlign w:val="superscript"/>
        </w:rPr>
        <w:t>59</w:t>
      </w:r>
      <w:r>
        <w:rPr>
          <w:spacing w:val="50"/>
          <w:sz w:val="13"/>
        </w:rPr>
        <w:t xml:space="preserve">  </w:t>
      </w:r>
      <w:r>
        <w:rPr>
          <w:sz w:val="13"/>
        </w:rPr>
        <w:t>Véanse,</w:t>
      </w:r>
      <w:r>
        <w:rPr>
          <w:spacing w:val="2"/>
          <w:sz w:val="13"/>
        </w:rPr>
        <w:t xml:space="preserve"> </w:t>
      </w:r>
      <w:r>
        <w:rPr>
          <w:sz w:val="13"/>
        </w:rPr>
        <w:t>por ejemplo,</w:t>
      </w:r>
      <w:r>
        <w:rPr>
          <w:spacing w:val="1"/>
          <w:sz w:val="13"/>
        </w:rPr>
        <w:t xml:space="preserve"> </w:t>
      </w:r>
      <w:r>
        <w:rPr>
          <w:sz w:val="13"/>
        </w:rPr>
        <w:t>las</w:t>
      </w:r>
      <w:r>
        <w:rPr>
          <w:spacing w:val="1"/>
          <w:sz w:val="13"/>
        </w:rPr>
        <w:t xml:space="preserve"> </w:t>
      </w:r>
      <w:r>
        <w:rPr>
          <w:sz w:val="13"/>
        </w:rPr>
        <w:t>recomendaciones de</w:t>
      </w:r>
      <w:r>
        <w:rPr>
          <w:spacing w:val="1"/>
          <w:sz w:val="13"/>
        </w:rPr>
        <w:t xml:space="preserve"> </w:t>
      </w:r>
      <w:r>
        <w:rPr>
          <w:sz w:val="13"/>
        </w:rPr>
        <w:t>Australia,</w:t>
      </w:r>
      <w:r>
        <w:rPr>
          <w:spacing w:val="1"/>
          <w:sz w:val="13"/>
        </w:rPr>
        <w:t xml:space="preserve"> </w:t>
      </w:r>
      <w:r>
        <w:rPr>
          <w:sz w:val="13"/>
        </w:rPr>
        <w:t>Bangladesh,</w:t>
      </w:r>
      <w:r>
        <w:rPr>
          <w:spacing w:val="2"/>
          <w:sz w:val="13"/>
        </w:rPr>
        <w:t xml:space="preserve"> </w:t>
      </w:r>
      <w:r>
        <w:rPr>
          <w:sz w:val="13"/>
        </w:rPr>
        <w:t>Dinamarca,</w:t>
      </w:r>
      <w:r>
        <w:rPr>
          <w:spacing w:val="1"/>
          <w:sz w:val="13"/>
        </w:rPr>
        <w:t xml:space="preserve"> </w:t>
      </w:r>
      <w:r>
        <w:rPr>
          <w:sz w:val="13"/>
        </w:rPr>
        <w:t>Ghana</w:t>
      </w:r>
      <w:r>
        <w:rPr>
          <w:spacing w:val="1"/>
          <w:sz w:val="13"/>
        </w:rPr>
        <w:t xml:space="preserve"> </w:t>
      </w:r>
      <w:r>
        <w:rPr>
          <w:sz w:val="13"/>
        </w:rPr>
        <w:t>y</w:t>
      </w:r>
      <w:r>
        <w:rPr>
          <w:spacing w:val="1"/>
          <w:sz w:val="13"/>
        </w:rPr>
        <w:t xml:space="preserve"> </w:t>
      </w:r>
      <w:r>
        <w:rPr>
          <w:sz w:val="13"/>
        </w:rPr>
        <w:t>Honduras</w:t>
      </w:r>
      <w:r>
        <w:rPr>
          <w:spacing w:val="1"/>
          <w:sz w:val="13"/>
        </w:rPr>
        <w:t xml:space="preserve"> </w:t>
      </w:r>
      <w:r>
        <w:rPr>
          <w:sz w:val="13"/>
        </w:rPr>
        <w:t xml:space="preserve">(a </w:t>
      </w:r>
      <w:r>
        <w:rPr>
          <w:spacing w:val="-2"/>
          <w:sz w:val="13"/>
        </w:rPr>
        <w:t>continuación).</w:t>
      </w:r>
    </w:p>
    <w:p w14:paraId="7493D855" w14:textId="77777777" w:rsidR="0014798C" w:rsidRDefault="004E1F0B">
      <w:pPr>
        <w:spacing w:before="87" w:line="288" w:lineRule="auto"/>
        <w:ind w:left="1366" w:right="1626" w:hanging="258"/>
        <w:rPr>
          <w:sz w:val="13"/>
        </w:rPr>
      </w:pPr>
      <w:r>
        <w:rPr>
          <w:sz w:val="13"/>
          <w:vertAlign w:val="superscript"/>
        </w:rPr>
        <w:t>60</w:t>
      </w:r>
      <w:r>
        <w:rPr>
          <w:spacing w:val="73"/>
          <w:sz w:val="13"/>
        </w:rPr>
        <w:t xml:space="preserve"> </w:t>
      </w:r>
      <w:r>
        <w:rPr>
          <w:sz w:val="13"/>
        </w:rPr>
        <w:t>Véanse,</w:t>
      </w:r>
      <w:r>
        <w:rPr>
          <w:spacing w:val="-9"/>
          <w:sz w:val="13"/>
        </w:rPr>
        <w:t xml:space="preserve"> </w:t>
      </w:r>
      <w:r>
        <w:rPr>
          <w:sz w:val="13"/>
        </w:rPr>
        <w:t>por</w:t>
      </w:r>
      <w:r>
        <w:rPr>
          <w:spacing w:val="-9"/>
          <w:sz w:val="13"/>
        </w:rPr>
        <w:t xml:space="preserve"> </w:t>
      </w:r>
      <w:r>
        <w:rPr>
          <w:sz w:val="13"/>
        </w:rPr>
        <w:t>ejemplo,</w:t>
      </w:r>
      <w:r>
        <w:rPr>
          <w:spacing w:val="-9"/>
          <w:sz w:val="13"/>
        </w:rPr>
        <w:t xml:space="preserve"> </w:t>
      </w:r>
      <w:r>
        <w:rPr>
          <w:sz w:val="13"/>
        </w:rPr>
        <w:t>Angola</w:t>
      </w:r>
      <w:r>
        <w:rPr>
          <w:spacing w:val="-9"/>
          <w:sz w:val="13"/>
        </w:rPr>
        <w:t xml:space="preserve"> </w:t>
      </w:r>
      <w:r>
        <w:rPr>
          <w:sz w:val="13"/>
        </w:rPr>
        <w:t>(A/HRC/43/11,</w:t>
      </w:r>
      <w:r>
        <w:rPr>
          <w:spacing w:val="-9"/>
          <w:sz w:val="13"/>
        </w:rPr>
        <w:t xml:space="preserve"> </w:t>
      </w:r>
      <w:r>
        <w:rPr>
          <w:sz w:val="13"/>
        </w:rPr>
        <w:t>párr.</w:t>
      </w:r>
      <w:r>
        <w:rPr>
          <w:spacing w:val="-9"/>
          <w:sz w:val="13"/>
        </w:rPr>
        <w:t xml:space="preserve"> </w:t>
      </w:r>
      <w:proofErr w:type="gramStart"/>
      <w:r>
        <w:rPr>
          <w:sz w:val="13"/>
        </w:rPr>
        <w:t>146.64);</w:t>
      </w:r>
      <w:proofErr w:type="gramEnd"/>
      <w:r>
        <w:rPr>
          <w:spacing w:val="-9"/>
          <w:sz w:val="13"/>
        </w:rPr>
        <w:t xml:space="preserve"> </w:t>
      </w:r>
      <w:r>
        <w:rPr>
          <w:sz w:val="13"/>
        </w:rPr>
        <w:t>la</w:t>
      </w:r>
      <w:r>
        <w:rPr>
          <w:spacing w:val="-9"/>
          <w:sz w:val="13"/>
        </w:rPr>
        <w:t xml:space="preserve"> </w:t>
      </w:r>
      <w:r>
        <w:rPr>
          <w:sz w:val="13"/>
        </w:rPr>
        <w:t>República</w:t>
      </w:r>
      <w:r>
        <w:rPr>
          <w:spacing w:val="-9"/>
          <w:sz w:val="13"/>
        </w:rPr>
        <w:t xml:space="preserve"> </w:t>
      </w:r>
      <w:r>
        <w:rPr>
          <w:sz w:val="13"/>
        </w:rPr>
        <w:t>Dominicana</w:t>
      </w:r>
      <w:r>
        <w:rPr>
          <w:spacing w:val="-9"/>
          <w:sz w:val="13"/>
        </w:rPr>
        <w:t xml:space="preserve"> </w:t>
      </w:r>
      <w:r>
        <w:rPr>
          <w:sz w:val="13"/>
        </w:rPr>
        <w:t>(A/HRC/41/16,</w:t>
      </w:r>
      <w:r>
        <w:rPr>
          <w:spacing w:val="-9"/>
          <w:sz w:val="13"/>
        </w:rPr>
        <w:t xml:space="preserve"> </w:t>
      </w:r>
      <w:r>
        <w:rPr>
          <w:sz w:val="13"/>
        </w:rPr>
        <w:t>párr.</w:t>
      </w:r>
      <w:r>
        <w:rPr>
          <w:spacing w:val="-9"/>
          <w:sz w:val="13"/>
        </w:rPr>
        <w:t xml:space="preserve"> </w:t>
      </w:r>
      <w:proofErr w:type="gramStart"/>
      <w:r>
        <w:rPr>
          <w:sz w:val="13"/>
        </w:rPr>
        <w:t>94.54);</w:t>
      </w:r>
      <w:proofErr w:type="gramEnd"/>
      <w:r>
        <w:rPr>
          <w:spacing w:val="-9"/>
          <w:sz w:val="13"/>
        </w:rPr>
        <w:t xml:space="preserve"> </w:t>
      </w:r>
      <w:proofErr w:type="spellStart"/>
      <w:r>
        <w:rPr>
          <w:sz w:val="13"/>
        </w:rPr>
        <w:t>Fiji</w:t>
      </w:r>
      <w:proofErr w:type="spellEnd"/>
      <w:r>
        <w:rPr>
          <w:spacing w:val="-9"/>
          <w:sz w:val="13"/>
        </w:rPr>
        <w:t xml:space="preserve"> </w:t>
      </w:r>
      <w:r>
        <w:rPr>
          <w:sz w:val="13"/>
        </w:rPr>
        <w:t>(A/HRC/43/8,</w:t>
      </w:r>
      <w:r>
        <w:rPr>
          <w:spacing w:val="-9"/>
          <w:sz w:val="13"/>
        </w:rPr>
        <w:t xml:space="preserve"> </w:t>
      </w:r>
      <w:r>
        <w:rPr>
          <w:sz w:val="13"/>
        </w:rPr>
        <w:t>párr.</w:t>
      </w:r>
      <w:r>
        <w:rPr>
          <w:spacing w:val="-9"/>
          <w:sz w:val="13"/>
        </w:rPr>
        <w:t xml:space="preserve"> </w:t>
      </w:r>
      <w:proofErr w:type="gramStart"/>
      <w:r>
        <w:rPr>
          <w:sz w:val="13"/>
        </w:rPr>
        <w:t>140.25);</w:t>
      </w:r>
      <w:proofErr w:type="gramEnd"/>
      <w:r>
        <w:rPr>
          <w:spacing w:val="40"/>
          <w:sz w:val="13"/>
        </w:rPr>
        <w:t xml:space="preserve"> </w:t>
      </w:r>
      <w:r>
        <w:rPr>
          <w:sz w:val="13"/>
        </w:rPr>
        <w:t xml:space="preserve">Japón (A/HRC/37/15, párr. </w:t>
      </w:r>
      <w:proofErr w:type="gramStart"/>
      <w:r>
        <w:rPr>
          <w:sz w:val="13"/>
        </w:rPr>
        <w:t>161.65);</w:t>
      </w:r>
      <w:proofErr w:type="gramEnd"/>
      <w:r>
        <w:rPr>
          <w:sz w:val="13"/>
        </w:rPr>
        <w:t xml:space="preserve"> y España (A/HRC/44/7, párr. 150.25).</w:t>
      </w:r>
    </w:p>
    <w:p w14:paraId="66DF3B39" w14:textId="77777777" w:rsidR="0014798C" w:rsidRDefault="004E1F0B">
      <w:pPr>
        <w:spacing w:before="57" w:line="288" w:lineRule="auto"/>
        <w:ind w:left="1366" w:right="1626" w:hanging="258"/>
        <w:rPr>
          <w:sz w:val="13"/>
        </w:rPr>
      </w:pPr>
      <w:r>
        <w:rPr>
          <w:sz w:val="13"/>
          <w:vertAlign w:val="superscript"/>
        </w:rPr>
        <w:t>61</w:t>
      </w:r>
      <w:r>
        <w:rPr>
          <w:spacing w:val="40"/>
          <w:sz w:val="13"/>
        </w:rPr>
        <w:t xml:space="preserve">  </w:t>
      </w:r>
      <w:r>
        <w:rPr>
          <w:sz w:val="13"/>
        </w:rPr>
        <w:t>Véanse, por ejemplo, los informes del Grupo de Trabajo sobre el Examen Periódico Universal y las adiciones de apoyo relativas a los exámenes del</w:t>
      </w:r>
      <w:r>
        <w:rPr>
          <w:spacing w:val="40"/>
          <w:sz w:val="13"/>
        </w:rPr>
        <w:t xml:space="preserve"> </w:t>
      </w:r>
      <w:r>
        <w:rPr>
          <w:sz w:val="13"/>
        </w:rPr>
        <w:t xml:space="preserve">tercer ciclo de Costa Rica (A/HRC/42/12, </w:t>
      </w:r>
      <w:proofErr w:type="spellStart"/>
      <w:r>
        <w:rPr>
          <w:sz w:val="13"/>
        </w:rPr>
        <w:t>párrs</w:t>
      </w:r>
      <w:proofErr w:type="spellEnd"/>
      <w:r>
        <w:rPr>
          <w:sz w:val="13"/>
        </w:rPr>
        <w:t>. 111.12 y 111.20, y A/HRC/42/ 12/Add.1, párr. 10), Gabón (A/HRC/37/6, párr. 118.62), la República de</w:t>
      </w:r>
      <w:r>
        <w:rPr>
          <w:spacing w:val="40"/>
          <w:sz w:val="13"/>
        </w:rPr>
        <w:t xml:space="preserve"> </w:t>
      </w:r>
      <w:r>
        <w:rPr>
          <w:sz w:val="13"/>
        </w:rPr>
        <w:t xml:space="preserve">Corea (A/HRC/37/11/Add.1, párr. 15) y Suecia </w:t>
      </w:r>
      <w:proofErr w:type="gramStart"/>
      <w:r>
        <w:rPr>
          <w:sz w:val="13"/>
        </w:rPr>
        <w:t>( A</w:t>
      </w:r>
      <w:proofErr w:type="gramEnd"/>
      <w:r>
        <w:rPr>
          <w:sz w:val="13"/>
        </w:rPr>
        <w:t>/HRC/44/12, párr. 156.91 y A/HRC/44/12/Add.1, párr.</w:t>
      </w:r>
    </w:p>
    <w:p w14:paraId="1CEFEDC6" w14:textId="77777777" w:rsidR="0014798C" w:rsidRDefault="004E1F0B">
      <w:pPr>
        <w:spacing w:before="58"/>
        <w:ind w:left="1108"/>
        <w:rPr>
          <w:sz w:val="13"/>
        </w:rPr>
      </w:pPr>
      <w:r>
        <w:rPr>
          <w:spacing w:val="-2"/>
          <w:sz w:val="13"/>
          <w:vertAlign w:val="superscript"/>
        </w:rPr>
        <w:t>62</w:t>
      </w:r>
      <w:r>
        <w:rPr>
          <w:spacing w:val="31"/>
          <w:sz w:val="13"/>
        </w:rPr>
        <w:t xml:space="preserve">  </w:t>
      </w:r>
      <w:r>
        <w:rPr>
          <w:spacing w:val="-2"/>
          <w:sz w:val="13"/>
        </w:rPr>
        <w:t>A/68/293,</w:t>
      </w:r>
      <w:r>
        <w:rPr>
          <w:spacing w:val="-7"/>
          <w:sz w:val="13"/>
        </w:rPr>
        <w:t xml:space="preserve"> </w:t>
      </w:r>
      <w:r>
        <w:rPr>
          <w:spacing w:val="-2"/>
          <w:sz w:val="13"/>
        </w:rPr>
        <w:t>párr.</w:t>
      </w:r>
      <w:r>
        <w:rPr>
          <w:spacing w:val="-6"/>
          <w:sz w:val="13"/>
        </w:rPr>
        <w:t xml:space="preserve"> </w:t>
      </w:r>
      <w:r>
        <w:rPr>
          <w:spacing w:val="-2"/>
          <w:sz w:val="13"/>
        </w:rPr>
        <w:t>76;</w:t>
      </w:r>
      <w:r>
        <w:rPr>
          <w:spacing w:val="-7"/>
          <w:sz w:val="13"/>
        </w:rPr>
        <w:t xml:space="preserve"> </w:t>
      </w:r>
      <w:r>
        <w:rPr>
          <w:spacing w:val="-2"/>
          <w:sz w:val="13"/>
        </w:rPr>
        <w:t>A/HRC/36/43,</w:t>
      </w:r>
      <w:r>
        <w:rPr>
          <w:spacing w:val="-6"/>
          <w:sz w:val="13"/>
        </w:rPr>
        <w:t xml:space="preserve"> </w:t>
      </w:r>
      <w:r>
        <w:rPr>
          <w:spacing w:val="-2"/>
          <w:sz w:val="13"/>
        </w:rPr>
        <w:t>párr.</w:t>
      </w:r>
      <w:r>
        <w:rPr>
          <w:spacing w:val="-7"/>
          <w:sz w:val="13"/>
        </w:rPr>
        <w:t xml:space="preserve"> </w:t>
      </w:r>
      <w:r>
        <w:rPr>
          <w:spacing w:val="-2"/>
          <w:sz w:val="13"/>
        </w:rPr>
        <w:t>61</w:t>
      </w:r>
      <w:r>
        <w:rPr>
          <w:spacing w:val="-7"/>
          <w:sz w:val="13"/>
        </w:rPr>
        <w:t xml:space="preserve"> </w:t>
      </w:r>
      <w:r>
        <w:rPr>
          <w:spacing w:val="-2"/>
          <w:sz w:val="13"/>
        </w:rPr>
        <w:t>(e);</w:t>
      </w:r>
      <w:r>
        <w:rPr>
          <w:spacing w:val="-6"/>
          <w:sz w:val="13"/>
        </w:rPr>
        <w:t xml:space="preserve"> </w:t>
      </w:r>
      <w:r>
        <w:rPr>
          <w:spacing w:val="-2"/>
          <w:sz w:val="13"/>
        </w:rPr>
        <w:t>A/HRC/42/38,</w:t>
      </w:r>
      <w:r>
        <w:rPr>
          <w:spacing w:val="-7"/>
          <w:sz w:val="13"/>
        </w:rPr>
        <w:t xml:space="preserve"> </w:t>
      </w:r>
      <w:proofErr w:type="spellStart"/>
      <w:r>
        <w:rPr>
          <w:spacing w:val="-2"/>
          <w:sz w:val="13"/>
        </w:rPr>
        <w:t>párrs</w:t>
      </w:r>
      <w:proofErr w:type="spellEnd"/>
      <w:r>
        <w:rPr>
          <w:spacing w:val="-2"/>
          <w:sz w:val="13"/>
        </w:rPr>
        <w:t>.</w:t>
      </w:r>
      <w:r>
        <w:rPr>
          <w:spacing w:val="-7"/>
          <w:sz w:val="13"/>
        </w:rPr>
        <w:t xml:space="preserve"> </w:t>
      </w:r>
      <w:r>
        <w:rPr>
          <w:spacing w:val="-2"/>
          <w:sz w:val="13"/>
        </w:rPr>
        <w:t>147–148;</w:t>
      </w:r>
      <w:r>
        <w:rPr>
          <w:spacing w:val="-6"/>
          <w:sz w:val="13"/>
        </w:rPr>
        <w:t xml:space="preserve"> </w:t>
      </w:r>
      <w:r>
        <w:rPr>
          <w:spacing w:val="-2"/>
          <w:sz w:val="13"/>
        </w:rPr>
        <w:t>y</w:t>
      </w:r>
      <w:r>
        <w:rPr>
          <w:spacing w:val="-7"/>
          <w:sz w:val="13"/>
        </w:rPr>
        <w:t xml:space="preserve"> </w:t>
      </w:r>
      <w:r>
        <w:rPr>
          <w:spacing w:val="-2"/>
          <w:sz w:val="13"/>
        </w:rPr>
        <w:t>A/75/385,</w:t>
      </w:r>
      <w:r>
        <w:rPr>
          <w:spacing w:val="-7"/>
          <w:sz w:val="13"/>
        </w:rPr>
        <w:t xml:space="preserve"> </w:t>
      </w:r>
      <w:r>
        <w:rPr>
          <w:spacing w:val="-2"/>
          <w:sz w:val="13"/>
        </w:rPr>
        <w:t>párr.</w:t>
      </w:r>
      <w:r>
        <w:rPr>
          <w:spacing w:val="-6"/>
          <w:sz w:val="13"/>
        </w:rPr>
        <w:t xml:space="preserve"> </w:t>
      </w:r>
      <w:r>
        <w:rPr>
          <w:spacing w:val="-2"/>
          <w:sz w:val="13"/>
        </w:rPr>
        <w:t>80</w:t>
      </w:r>
      <w:r>
        <w:rPr>
          <w:spacing w:val="-7"/>
          <w:sz w:val="13"/>
        </w:rPr>
        <w:t xml:space="preserve"> </w:t>
      </w:r>
      <w:r>
        <w:rPr>
          <w:spacing w:val="-4"/>
          <w:sz w:val="13"/>
        </w:rPr>
        <w:t>(d).</w:t>
      </w:r>
    </w:p>
    <w:p w14:paraId="3B818645" w14:textId="77777777" w:rsidR="0014798C" w:rsidRDefault="004E1F0B">
      <w:pPr>
        <w:spacing w:before="87" w:line="288" w:lineRule="auto"/>
        <w:ind w:left="1366" w:right="1463" w:hanging="258"/>
        <w:rPr>
          <w:sz w:val="13"/>
        </w:rPr>
      </w:pPr>
      <w:r>
        <w:rPr>
          <w:sz w:val="13"/>
          <w:vertAlign w:val="superscript"/>
        </w:rPr>
        <w:t>63</w:t>
      </w:r>
      <w:r>
        <w:rPr>
          <w:spacing w:val="73"/>
          <w:sz w:val="13"/>
        </w:rPr>
        <w:t xml:space="preserve"> </w:t>
      </w:r>
      <w:r>
        <w:rPr>
          <w:sz w:val="13"/>
        </w:rPr>
        <w:t>Véase,</w:t>
      </w:r>
      <w:r>
        <w:rPr>
          <w:spacing w:val="-9"/>
          <w:sz w:val="13"/>
        </w:rPr>
        <w:t xml:space="preserve"> </w:t>
      </w:r>
      <w:r>
        <w:rPr>
          <w:sz w:val="13"/>
        </w:rPr>
        <w:t>por</w:t>
      </w:r>
      <w:r>
        <w:rPr>
          <w:spacing w:val="-9"/>
          <w:sz w:val="13"/>
        </w:rPr>
        <w:t xml:space="preserve"> </w:t>
      </w:r>
      <w:r>
        <w:rPr>
          <w:sz w:val="13"/>
        </w:rPr>
        <w:t>ejemplo,</w:t>
      </w:r>
      <w:r>
        <w:rPr>
          <w:spacing w:val="-9"/>
          <w:sz w:val="13"/>
        </w:rPr>
        <w:t xml:space="preserve"> </w:t>
      </w:r>
      <w:r>
        <w:rPr>
          <w:sz w:val="13"/>
        </w:rPr>
        <w:t>A/HRC/19/56/Add.1,</w:t>
      </w:r>
      <w:r>
        <w:rPr>
          <w:spacing w:val="-9"/>
          <w:sz w:val="13"/>
        </w:rPr>
        <w:t xml:space="preserve"> </w:t>
      </w:r>
      <w:r>
        <w:rPr>
          <w:sz w:val="13"/>
        </w:rPr>
        <w:t>párr.</w:t>
      </w:r>
      <w:r>
        <w:rPr>
          <w:spacing w:val="-9"/>
          <w:sz w:val="13"/>
        </w:rPr>
        <w:t xml:space="preserve"> </w:t>
      </w:r>
      <w:r w:rsidRPr="005C01C5">
        <w:rPr>
          <w:sz w:val="13"/>
          <w:lang w:val="en-US"/>
        </w:rPr>
        <w:t>90</w:t>
      </w:r>
      <w:r>
        <w:rPr>
          <w:sz w:val="13"/>
        </w:rPr>
        <w:t>;</w:t>
      </w:r>
      <w:r w:rsidRPr="005C01C5">
        <w:rPr>
          <w:spacing w:val="-9"/>
          <w:sz w:val="13"/>
          <w:lang w:val="en-US"/>
        </w:rPr>
        <w:t xml:space="preserve"> </w:t>
      </w:r>
      <w:r w:rsidRPr="005C01C5">
        <w:rPr>
          <w:sz w:val="13"/>
          <w:lang w:val="en-US"/>
        </w:rPr>
        <w:t>A/HRC/24/52/Add.2,</w:t>
      </w:r>
      <w:r w:rsidRPr="005C01C5">
        <w:rPr>
          <w:spacing w:val="-9"/>
          <w:sz w:val="13"/>
          <w:lang w:val="en-US"/>
        </w:rPr>
        <w:t xml:space="preserve"> </w:t>
      </w:r>
      <w:proofErr w:type="spellStart"/>
      <w:r w:rsidRPr="005C01C5">
        <w:rPr>
          <w:sz w:val="13"/>
          <w:lang w:val="en-US"/>
        </w:rPr>
        <w:t>párr</w:t>
      </w:r>
      <w:proofErr w:type="spellEnd"/>
      <w:r w:rsidRPr="005C01C5">
        <w:rPr>
          <w:sz w:val="13"/>
          <w:lang w:val="en-US"/>
        </w:rPr>
        <w:t>.</w:t>
      </w:r>
      <w:r w:rsidRPr="005C01C5">
        <w:rPr>
          <w:spacing w:val="-9"/>
          <w:sz w:val="13"/>
          <w:lang w:val="en-US"/>
        </w:rPr>
        <w:t xml:space="preserve"> </w:t>
      </w:r>
      <w:r w:rsidRPr="005C01C5">
        <w:rPr>
          <w:sz w:val="13"/>
          <w:lang w:val="en-US"/>
        </w:rPr>
        <w:t>105</w:t>
      </w:r>
      <w:r w:rsidRPr="005C01C5">
        <w:rPr>
          <w:spacing w:val="-9"/>
          <w:sz w:val="13"/>
          <w:lang w:val="en-US"/>
        </w:rPr>
        <w:t xml:space="preserve"> </w:t>
      </w:r>
      <w:proofErr w:type="gramStart"/>
      <w:r w:rsidRPr="005C01C5">
        <w:rPr>
          <w:sz w:val="13"/>
          <w:lang w:val="en-US"/>
        </w:rPr>
        <w:t>a)</w:t>
      </w:r>
      <w:r>
        <w:rPr>
          <w:sz w:val="13"/>
        </w:rPr>
        <w:t>;</w:t>
      </w:r>
      <w:proofErr w:type="gramEnd"/>
      <w:r w:rsidRPr="005C01C5">
        <w:rPr>
          <w:spacing w:val="-9"/>
          <w:sz w:val="13"/>
          <w:lang w:val="en-US"/>
        </w:rPr>
        <w:t xml:space="preserve"> </w:t>
      </w:r>
      <w:r w:rsidRPr="005C01C5">
        <w:rPr>
          <w:sz w:val="13"/>
          <w:lang w:val="en-US"/>
        </w:rPr>
        <w:t>A/HRC/37/56/Add.2,</w:t>
      </w:r>
      <w:r w:rsidRPr="005C01C5">
        <w:rPr>
          <w:spacing w:val="-9"/>
          <w:sz w:val="13"/>
          <w:lang w:val="en-US"/>
        </w:rPr>
        <w:t xml:space="preserve"> </w:t>
      </w:r>
      <w:proofErr w:type="spellStart"/>
      <w:r w:rsidRPr="005C01C5">
        <w:rPr>
          <w:sz w:val="13"/>
          <w:lang w:val="en-US"/>
        </w:rPr>
        <w:t>párr</w:t>
      </w:r>
      <w:proofErr w:type="spellEnd"/>
      <w:r w:rsidRPr="005C01C5">
        <w:rPr>
          <w:sz w:val="13"/>
          <w:lang w:val="en-US"/>
        </w:rPr>
        <w:t>.</w:t>
      </w:r>
      <w:r w:rsidRPr="005C01C5">
        <w:rPr>
          <w:spacing w:val="-9"/>
          <w:sz w:val="13"/>
          <w:lang w:val="en-US"/>
        </w:rPr>
        <w:t xml:space="preserve"> </w:t>
      </w:r>
      <w:r w:rsidRPr="005C01C5">
        <w:rPr>
          <w:sz w:val="13"/>
          <w:lang w:val="en-US"/>
        </w:rPr>
        <w:t>46</w:t>
      </w:r>
      <w:r>
        <w:rPr>
          <w:sz w:val="13"/>
        </w:rPr>
        <w:t>;</w:t>
      </w:r>
      <w:r w:rsidRPr="005C01C5">
        <w:rPr>
          <w:spacing w:val="-9"/>
          <w:sz w:val="13"/>
          <w:lang w:val="en-US"/>
        </w:rPr>
        <w:t xml:space="preserve"> </w:t>
      </w:r>
      <w:r w:rsidRPr="005C01C5">
        <w:rPr>
          <w:sz w:val="13"/>
          <w:lang w:val="en-US"/>
        </w:rPr>
        <w:t>A/HRC/38/43/Add.1,</w:t>
      </w:r>
      <w:r w:rsidRPr="005C01C5">
        <w:rPr>
          <w:spacing w:val="-9"/>
          <w:sz w:val="13"/>
          <w:lang w:val="en-US"/>
        </w:rPr>
        <w:t xml:space="preserve"> </w:t>
      </w:r>
      <w:proofErr w:type="spellStart"/>
      <w:r w:rsidRPr="005C01C5">
        <w:rPr>
          <w:sz w:val="13"/>
          <w:lang w:val="en-US"/>
        </w:rPr>
        <w:t>párrs</w:t>
      </w:r>
      <w:proofErr w:type="spellEnd"/>
      <w:r w:rsidRPr="005C01C5">
        <w:rPr>
          <w:sz w:val="13"/>
          <w:lang w:val="en-US"/>
        </w:rPr>
        <w:t>.</w:t>
      </w:r>
      <w:r w:rsidRPr="005C01C5">
        <w:rPr>
          <w:spacing w:val="-9"/>
          <w:sz w:val="13"/>
          <w:lang w:val="en-US"/>
        </w:rPr>
        <w:t xml:space="preserve"> </w:t>
      </w:r>
      <w:r w:rsidRPr="005C01C5">
        <w:rPr>
          <w:sz w:val="13"/>
          <w:lang w:val="en-US"/>
        </w:rPr>
        <w:t>63</w:t>
      </w:r>
      <w:r w:rsidRPr="005C01C5">
        <w:rPr>
          <w:spacing w:val="-9"/>
          <w:sz w:val="13"/>
          <w:lang w:val="en-US"/>
        </w:rPr>
        <w:t xml:space="preserve"> </w:t>
      </w:r>
      <w:r w:rsidRPr="005C01C5">
        <w:rPr>
          <w:sz w:val="13"/>
          <w:lang w:val="en-US"/>
        </w:rPr>
        <w:t>y</w:t>
      </w:r>
      <w:r w:rsidRPr="005C01C5">
        <w:rPr>
          <w:spacing w:val="-9"/>
          <w:sz w:val="13"/>
          <w:lang w:val="en-US"/>
        </w:rPr>
        <w:t xml:space="preserve"> </w:t>
      </w:r>
      <w:r w:rsidRPr="005C01C5">
        <w:rPr>
          <w:sz w:val="13"/>
          <w:lang w:val="en-US"/>
        </w:rPr>
        <w:t>78</w:t>
      </w:r>
      <w:r w:rsidRPr="005C01C5">
        <w:rPr>
          <w:spacing w:val="40"/>
          <w:sz w:val="13"/>
          <w:lang w:val="en-US"/>
        </w:rPr>
        <w:t xml:space="preserve"> </w:t>
      </w:r>
      <w:r w:rsidRPr="005C01C5">
        <w:rPr>
          <w:spacing w:val="-2"/>
          <w:sz w:val="13"/>
          <w:lang w:val="en-US"/>
        </w:rPr>
        <w:t>(d)</w:t>
      </w:r>
      <w:r>
        <w:rPr>
          <w:spacing w:val="-2"/>
          <w:sz w:val="13"/>
        </w:rPr>
        <w:t>;</w:t>
      </w:r>
      <w:r w:rsidRPr="005C01C5">
        <w:rPr>
          <w:spacing w:val="-7"/>
          <w:sz w:val="13"/>
          <w:lang w:val="en-US"/>
        </w:rPr>
        <w:t xml:space="preserve"> </w:t>
      </w:r>
      <w:r w:rsidRPr="005C01C5">
        <w:rPr>
          <w:spacing w:val="-2"/>
          <w:sz w:val="13"/>
          <w:lang w:val="en-US"/>
        </w:rPr>
        <w:t>A/HRC/41/42/Add.2,</w:t>
      </w:r>
      <w:r w:rsidRPr="005C01C5">
        <w:rPr>
          <w:spacing w:val="-7"/>
          <w:sz w:val="13"/>
          <w:lang w:val="en-US"/>
        </w:rPr>
        <w:t xml:space="preserve"> </w:t>
      </w:r>
      <w:proofErr w:type="spellStart"/>
      <w:r w:rsidRPr="005C01C5">
        <w:rPr>
          <w:spacing w:val="-2"/>
          <w:sz w:val="13"/>
          <w:lang w:val="en-US"/>
        </w:rPr>
        <w:t>párr</w:t>
      </w:r>
      <w:proofErr w:type="spellEnd"/>
      <w:r w:rsidRPr="005C01C5">
        <w:rPr>
          <w:spacing w:val="-2"/>
          <w:sz w:val="13"/>
          <w:lang w:val="en-US"/>
        </w:rPr>
        <w:t>.</w:t>
      </w:r>
      <w:r w:rsidRPr="005C01C5">
        <w:rPr>
          <w:spacing w:val="-7"/>
          <w:sz w:val="13"/>
          <w:lang w:val="en-US"/>
        </w:rPr>
        <w:t xml:space="preserve"> </w:t>
      </w:r>
      <w:r w:rsidRPr="005C01C5">
        <w:rPr>
          <w:spacing w:val="-2"/>
          <w:sz w:val="13"/>
          <w:lang w:val="en-US"/>
        </w:rPr>
        <w:t>78</w:t>
      </w:r>
      <w:r w:rsidRPr="005C01C5">
        <w:rPr>
          <w:spacing w:val="-7"/>
          <w:sz w:val="13"/>
          <w:lang w:val="en-US"/>
        </w:rPr>
        <w:t xml:space="preserve"> </w:t>
      </w:r>
      <w:proofErr w:type="gramStart"/>
      <w:r w:rsidRPr="005C01C5">
        <w:rPr>
          <w:spacing w:val="-2"/>
          <w:sz w:val="13"/>
          <w:lang w:val="en-US"/>
        </w:rPr>
        <w:t>b)</w:t>
      </w:r>
      <w:r>
        <w:rPr>
          <w:spacing w:val="-2"/>
          <w:sz w:val="13"/>
        </w:rPr>
        <w:t>;</w:t>
      </w:r>
      <w:proofErr w:type="gramEnd"/>
      <w:r w:rsidRPr="005C01C5">
        <w:rPr>
          <w:spacing w:val="-7"/>
          <w:sz w:val="13"/>
          <w:lang w:val="en-US"/>
        </w:rPr>
        <w:t xml:space="preserve"> </w:t>
      </w:r>
      <w:r w:rsidRPr="005C01C5">
        <w:rPr>
          <w:spacing w:val="-2"/>
          <w:sz w:val="13"/>
          <w:lang w:val="en-US"/>
        </w:rPr>
        <w:t>A/HRC/42/38/Add.1,</w:t>
      </w:r>
      <w:r w:rsidRPr="005C01C5">
        <w:rPr>
          <w:spacing w:val="-7"/>
          <w:sz w:val="13"/>
          <w:lang w:val="en-US"/>
        </w:rPr>
        <w:t xml:space="preserve"> </w:t>
      </w:r>
      <w:proofErr w:type="spellStart"/>
      <w:r w:rsidRPr="005C01C5">
        <w:rPr>
          <w:spacing w:val="-2"/>
          <w:sz w:val="13"/>
          <w:lang w:val="en-US"/>
        </w:rPr>
        <w:t>párr</w:t>
      </w:r>
      <w:proofErr w:type="spellEnd"/>
      <w:r w:rsidRPr="005C01C5">
        <w:rPr>
          <w:spacing w:val="-2"/>
          <w:sz w:val="13"/>
          <w:lang w:val="en-US"/>
        </w:rPr>
        <w:t>.</w:t>
      </w:r>
      <w:r w:rsidRPr="005C01C5">
        <w:rPr>
          <w:spacing w:val="-7"/>
          <w:sz w:val="13"/>
          <w:lang w:val="en-US"/>
        </w:rPr>
        <w:t xml:space="preserve"> </w:t>
      </w:r>
      <w:r w:rsidRPr="002B051F">
        <w:rPr>
          <w:spacing w:val="-2"/>
          <w:sz w:val="13"/>
          <w:lang w:val="es-CR"/>
        </w:rPr>
        <w:t>73</w:t>
      </w:r>
      <w:r>
        <w:rPr>
          <w:spacing w:val="-2"/>
          <w:sz w:val="13"/>
        </w:rPr>
        <w:t>;</w:t>
      </w:r>
      <w:r w:rsidRPr="002B051F">
        <w:rPr>
          <w:spacing w:val="-7"/>
          <w:sz w:val="13"/>
          <w:lang w:val="es-CR"/>
        </w:rPr>
        <w:t xml:space="preserve"> </w:t>
      </w:r>
      <w:r>
        <w:rPr>
          <w:spacing w:val="-2"/>
          <w:sz w:val="13"/>
        </w:rPr>
        <w:t>A/HRC/41/34/Add.1,</w:t>
      </w:r>
      <w:r>
        <w:rPr>
          <w:spacing w:val="-7"/>
          <w:sz w:val="13"/>
        </w:rPr>
        <w:t xml:space="preserve"> </w:t>
      </w:r>
      <w:r>
        <w:rPr>
          <w:spacing w:val="-2"/>
          <w:sz w:val="13"/>
        </w:rPr>
        <w:t>párr.</w:t>
      </w:r>
      <w:r>
        <w:rPr>
          <w:spacing w:val="-7"/>
          <w:sz w:val="13"/>
        </w:rPr>
        <w:t xml:space="preserve"> </w:t>
      </w:r>
      <w:r>
        <w:rPr>
          <w:spacing w:val="-2"/>
          <w:sz w:val="13"/>
        </w:rPr>
        <w:t>100</w:t>
      </w:r>
      <w:r>
        <w:rPr>
          <w:spacing w:val="-7"/>
          <w:sz w:val="13"/>
        </w:rPr>
        <w:t xml:space="preserve"> </w:t>
      </w:r>
      <w:r>
        <w:rPr>
          <w:spacing w:val="-2"/>
          <w:sz w:val="13"/>
        </w:rPr>
        <w:t>(miles);</w:t>
      </w:r>
      <w:r>
        <w:rPr>
          <w:spacing w:val="-7"/>
          <w:sz w:val="13"/>
        </w:rPr>
        <w:t xml:space="preserve"> </w:t>
      </w:r>
      <w:r>
        <w:rPr>
          <w:spacing w:val="-2"/>
          <w:sz w:val="13"/>
        </w:rPr>
        <w:t>y</w:t>
      </w:r>
    </w:p>
    <w:p w14:paraId="7308C786" w14:textId="77777777" w:rsidR="0014798C" w:rsidRDefault="004E1F0B">
      <w:pPr>
        <w:spacing w:before="1"/>
        <w:ind w:left="1365"/>
        <w:rPr>
          <w:sz w:val="13"/>
        </w:rPr>
      </w:pPr>
      <w:r>
        <w:rPr>
          <w:sz w:val="13"/>
        </w:rPr>
        <w:t>A/HRC/40/61/Add.2,</w:t>
      </w:r>
      <w:r>
        <w:rPr>
          <w:spacing w:val="-2"/>
          <w:sz w:val="13"/>
        </w:rPr>
        <w:t xml:space="preserve"> </w:t>
      </w:r>
      <w:r>
        <w:rPr>
          <w:sz w:val="13"/>
        </w:rPr>
        <w:t>párr.</w:t>
      </w:r>
      <w:r>
        <w:rPr>
          <w:spacing w:val="-1"/>
          <w:sz w:val="13"/>
        </w:rPr>
        <w:t xml:space="preserve"> </w:t>
      </w:r>
      <w:r>
        <w:rPr>
          <w:sz w:val="13"/>
        </w:rPr>
        <w:t>105</w:t>
      </w:r>
      <w:r>
        <w:rPr>
          <w:spacing w:val="-1"/>
          <w:sz w:val="13"/>
        </w:rPr>
        <w:t xml:space="preserve"> </w:t>
      </w:r>
      <w:r>
        <w:rPr>
          <w:spacing w:val="-4"/>
          <w:sz w:val="13"/>
        </w:rPr>
        <w:t>(a).</w:t>
      </w:r>
    </w:p>
    <w:p w14:paraId="32DB644E" w14:textId="77777777" w:rsidR="0014798C" w:rsidRDefault="0014798C">
      <w:pPr>
        <w:pStyle w:val="Textoindependiente"/>
        <w:spacing w:before="63"/>
        <w:rPr>
          <w:sz w:val="8"/>
        </w:rPr>
      </w:pPr>
    </w:p>
    <w:p w14:paraId="25A3CB4C" w14:textId="77777777" w:rsidR="0014798C" w:rsidRDefault="004E1F0B">
      <w:pPr>
        <w:ind w:left="1108"/>
        <w:rPr>
          <w:sz w:val="8"/>
        </w:rPr>
      </w:pPr>
      <w:r>
        <w:rPr>
          <w:sz w:val="8"/>
        </w:rPr>
        <w:t>64</w:t>
      </w:r>
      <w:r>
        <w:rPr>
          <w:spacing w:val="3"/>
          <w:sz w:val="8"/>
        </w:rPr>
        <w:t xml:space="preserve"> </w:t>
      </w:r>
      <w:r>
        <w:rPr>
          <w:sz w:val="8"/>
        </w:rPr>
        <w:t>A/HRC/24/52/Add.2,</w:t>
      </w:r>
      <w:r>
        <w:rPr>
          <w:spacing w:val="3"/>
          <w:sz w:val="8"/>
        </w:rPr>
        <w:t xml:space="preserve"> </w:t>
      </w:r>
      <w:r>
        <w:rPr>
          <w:sz w:val="8"/>
        </w:rPr>
        <w:t>párr.</w:t>
      </w:r>
      <w:r>
        <w:rPr>
          <w:spacing w:val="3"/>
          <w:sz w:val="8"/>
        </w:rPr>
        <w:t xml:space="preserve"> </w:t>
      </w:r>
      <w:r>
        <w:rPr>
          <w:sz w:val="8"/>
        </w:rPr>
        <w:t>105</w:t>
      </w:r>
      <w:r>
        <w:rPr>
          <w:spacing w:val="3"/>
          <w:sz w:val="8"/>
        </w:rPr>
        <w:t xml:space="preserve"> </w:t>
      </w:r>
      <w:r>
        <w:rPr>
          <w:spacing w:val="-4"/>
          <w:sz w:val="8"/>
        </w:rPr>
        <w:t>(a).</w:t>
      </w:r>
    </w:p>
    <w:p w14:paraId="17BAD69D" w14:textId="77777777" w:rsidR="0014798C" w:rsidRDefault="0014798C">
      <w:pPr>
        <w:rPr>
          <w:sz w:val="8"/>
        </w:rPr>
        <w:sectPr w:rsidR="0014798C" w:rsidSect="00F265E4">
          <w:pgSz w:w="11900" w:h="16820"/>
          <w:pgMar w:top="340" w:right="0" w:bottom="280" w:left="200" w:header="121" w:footer="0" w:gutter="0"/>
          <w:cols w:space="720"/>
        </w:sectPr>
      </w:pPr>
    </w:p>
    <w:p w14:paraId="75C7FAC1" w14:textId="77777777" w:rsidR="0014798C" w:rsidRDefault="0014798C">
      <w:pPr>
        <w:pStyle w:val="Textoindependiente"/>
        <w:rPr>
          <w:sz w:val="2"/>
        </w:rPr>
      </w:pPr>
    </w:p>
    <w:p w14:paraId="13EBC763" w14:textId="77777777" w:rsidR="0014798C" w:rsidRDefault="0014798C">
      <w:pPr>
        <w:pStyle w:val="Textoindependiente"/>
        <w:rPr>
          <w:sz w:val="2"/>
        </w:rPr>
      </w:pPr>
    </w:p>
    <w:p w14:paraId="574CCB73" w14:textId="77777777" w:rsidR="0014798C" w:rsidRDefault="0014798C">
      <w:pPr>
        <w:pStyle w:val="Textoindependiente"/>
        <w:rPr>
          <w:sz w:val="2"/>
        </w:rPr>
      </w:pPr>
    </w:p>
    <w:p w14:paraId="3825D43E" w14:textId="77777777" w:rsidR="0014798C" w:rsidRDefault="0014798C">
      <w:pPr>
        <w:pStyle w:val="Textoindependiente"/>
        <w:rPr>
          <w:sz w:val="2"/>
        </w:rPr>
      </w:pPr>
    </w:p>
    <w:p w14:paraId="1E4C23B8" w14:textId="77777777" w:rsidR="0014798C" w:rsidRDefault="0014798C">
      <w:pPr>
        <w:pStyle w:val="Textoindependiente"/>
        <w:spacing w:before="12"/>
        <w:rPr>
          <w:sz w:val="2"/>
        </w:rPr>
      </w:pPr>
    </w:p>
    <w:p w14:paraId="6A031179" w14:textId="77777777" w:rsidR="0014798C" w:rsidRDefault="004E1F0B">
      <w:pPr>
        <w:pStyle w:val="Textoindependiente"/>
        <w:jc w:val="right"/>
        <w:rPr>
          <w:sz w:val="2"/>
        </w:rPr>
      </w:pPr>
      <w:r>
        <w:rPr>
          <w:w w:val="125"/>
          <w:sz w:val="2"/>
        </w:rPr>
        <w:t>sesenta</w:t>
      </w:r>
      <w:r>
        <w:rPr>
          <w:spacing w:val="-1"/>
          <w:w w:val="125"/>
          <w:sz w:val="2"/>
        </w:rPr>
        <w:t xml:space="preserve"> </w:t>
      </w:r>
      <w:r>
        <w:rPr>
          <w:w w:val="125"/>
          <w:sz w:val="2"/>
        </w:rPr>
        <w:t xml:space="preserve">y </w:t>
      </w:r>
      <w:r>
        <w:rPr>
          <w:spacing w:val="-2"/>
          <w:w w:val="125"/>
          <w:sz w:val="2"/>
        </w:rPr>
        <w:t>cinco</w:t>
      </w:r>
    </w:p>
    <w:p w14:paraId="12C241AD" w14:textId="77777777" w:rsidR="0014798C" w:rsidRDefault="004E1F0B">
      <w:pPr>
        <w:spacing w:before="76"/>
        <w:ind w:left="130"/>
        <w:rPr>
          <w:sz w:val="13"/>
        </w:rPr>
      </w:pPr>
      <w:r>
        <w:br w:type="column"/>
      </w:r>
      <w:r>
        <w:rPr>
          <w:sz w:val="13"/>
        </w:rPr>
        <w:t>A/75/385,</w:t>
      </w:r>
      <w:r>
        <w:rPr>
          <w:spacing w:val="-1"/>
          <w:sz w:val="13"/>
        </w:rPr>
        <w:t xml:space="preserve"> </w:t>
      </w:r>
      <w:r>
        <w:rPr>
          <w:sz w:val="13"/>
        </w:rPr>
        <w:t>párr.</w:t>
      </w:r>
      <w:r>
        <w:rPr>
          <w:spacing w:val="-1"/>
          <w:sz w:val="13"/>
        </w:rPr>
        <w:t xml:space="preserve"> </w:t>
      </w:r>
      <w:r>
        <w:rPr>
          <w:sz w:val="13"/>
        </w:rPr>
        <w:t>80</w:t>
      </w:r>
      <w:r>
        <w:rPr>
          <w:spacing w:val="-1"/>
          <w:sz w:val="13"/>
        </w:rPr>
        <w:t xml:space="preserve"> </w:t>
      </w:r>
      <w:r>
        <w:rPr>
          <w:spacing w:val="-4"/>
          <w:sz w:val="13"/>
        </w:rPr>
        <w:t>(d).</w:t>
      </w:r>
    </w:p>
    <w:p w14:paraId="415E40D8" w14:textId="77777777" w:rsidR="0014798C" w:rsidRDefault="0014798C">
      <w:pPr>
        <w:rPr>
          <w:sz w:val="13"/>
        </w:rPr>
        <w:sectPr w:rsidR="0014798C" w:rsidSect="00F265E4">
          <w:type w:val="continuous"/>
          <w:pgSz w:w="11900" w:h="16820"/>
          <w:pgMar w:top="40" w:right="0" w:bottom="280" w:left="200" w:header="121" w:footer="0" w:gutter="0"/>
          <w:cols w:num="2" w:space="720" w:equalWidth="0">
            <w:col w:w="1196" w:space="40"/>
            <w:col w:w="10464"/>
          </w:cols>
        </w:sectPr>
      </w:pPr>
    </w:p>
    <w:p w14:paraId="57EA84BF" w14:textId="77777777" w:rsidR="0014798C" w:rsidRDefault="0014798C">
      <w:pPr>
        <w:pStyle w:val="Textoindependiente"/>
        <w:spacing w:before="31"/>
        <w:rPr>
          <w:sz w:val="8"/>
        </w:rPr>
      </w:pPr>
    </w:p>
    <w:p w14:paraId="5AF36AE7" w14:textId="77777777" w:rsidR="0014798C" w:rsidRDefault="004E1F0B">
      <w:pPr>
        <w:spacing w:before="1"/>
        <w:ind w:left="1108"/>
        <w:rPr>
          <w:sz w:val="8"/>
        </w:rPr>
      </w:pPr>
      <w:r>
        <w:rPr>
          <w:w w:val="105"/>
          <w:sz w:val="8"/>
        </w:rPr>
        <w:t>66</w:t>
      </w:r>
      <w:r>
        <w:rPr>
          <w:spacing w:val="-4"/>
          <w:w w:val="105"/>
          <w:sz w:val="8"/>
        </w:rPr>
        <w:t xml:space="preserve"> </w:t>
      </w:r>
      <w:proofErr w:type="spellStart"/>
      <w:r>
        <w:rPr>
          <w:spacing w:val="-2"/>
          <w:w w:val="105"/>
          <w:sz w:val="8"/>
        </w:rPr>
        <w:t>Ibídem</w:t>
      </w:r>
      <w:proofErr w:type="spellEnd"/>
      <w:r>
        <w:rPr>
          <w:spacing w:val="-2"/>
          <w:w w:val="105"/>
          <w:sz w:val="8"/>
        </w:rPr>
        <w:t>.</w:t>
      </w:r>
    </w:p>
    <w:p w14:paraId="4758FFC0" w14:textId="77777777" w:rsidR="0014798C" w:rsidRDefault="0014798C">
      <w:pPr>
        <w:pStyle w:val="Textoindependiente"/>
        <w:rPr>
          <w:sz w:val="19"/>
        </w:rPr>
      </w:pPr>
    </w:p>
    <w:p w14:paraId="3C584ECE" w14:textId="77777777" w:rsidR="0014798C" w:rsidRDefault="0014798C">
      <w:pPr>
        <w:pStyle w:val="Textoindependiente"/>
        <w:rPr>
          <w:sz w:val="19"/>
        </w:rPr>
      </w:pPr>
    </w:p>
    <w:p w14:paraId="22D3F773" w14:textId="77777777" w:rsidR="0014798C" w:rsidRDefault="0014798C">
      <w:pPr>
        <w:pStyle w:val="Textoindependiente"/>
        <w:spacing w:before="4"/>
        <w:rPr>
          <w:sz w:val="19"/>
        </w:rPr>
      </w:pPr>
    </w:p>
    <w:p w14:paraId="38C8BC9C" w14:textId="77777777" w:rsidR="0014798C" w:rsidRDefault="004E1F0B">
      <w:pPr>
        <w:ind w:left="660"/>
        <w:rPr>
          <w:sz w:val="19"/>
        </w:rPr>
      </w:pPr>
      <w:r>
        <w:rPr>
          <w:spacing w:val="-10"/>
          <w:sz w:val="19"/>
        </w:rPr>
        <w:t>6</w:t>
      </w:r>
    </w:p>
    <w:p w14:paraId="07F8919B" w14:textId="77777777" w:rsidR="0014798C" w:rsidRDefault="0014798C">
      <w:pPr>
        <w:rPr>
          <w:sz w:val="19"/>
        </w:rPr>
        <w:sectPr w:rsidR="0014798C" w:rsidSect="00F265E4">
          <w:type w:val="continuous"/>
          <w:pgSz w:w="11900" w:h="16820"/>
          <w:pgMar w:top="40" w:right="0" w:bottom="280" w:left="200" w:header="121" w:footer="0" w:gutter="0"/>
          <w:cols w:space="720"/>
        </w:sectPr>
      </w:pPr>
    </w:p>
    <w:p w14:paraId="65F68E1F" w14:textId="77777777" w:rsidR="0014798C" w:rsidRDefault="0014798C">
      <w:pPr>
        <w:pStyle w:val="Textoindependiente"/>
        <w:rPr>
          <w:sz w:val="10"/>
        </w:rPr>
      </w:pPr>
    </w:p>
    <w:p w14:paraId="3EB7188C" w14:textId="77777777" w:rsidR="0014798C" w:rsidRDefault="0014798C">
      <w:pPr>
        <w:pStyle w:val="Textoindependiente"/>
        <w:spacing w:before="4"/>
        <w:rPr>
          <w:sz w:val="10"/>
        </w:rPr>
      </w:pPr>
    </w:p>
    <w:p w14:paraId="1135922C" w14:textId="77777777" w:rsidR="0014798C" w:rsidRDefault="004E1F0B">
      <w:pPr>
        <w:ind w:left="1111"/>
        <w:rPr>
          <w:sz w:val="10"/>
        </w:rPr>
      </w:pPr>
      <w:r>
        <w:rPr>
          <w:color w:val="009EDB"/>
          <w:w w:val="105"/>
          <w:sz w:val="10"/>
        </w:rPr>
        <w:t>PRIMERA</w:t>
      </w:r>
      <w:r>
        <w:rPr>
          <w:color w:val="009EDB"/>
          <w:spacing w:val="3"/>
          <w:w w:val="105"/>
          <w:sz w:val="10"/>
        </w:rPr>
        <w:t xml:space="preserve"> </w:t>
      </w:r>
      <w:r>
        <w:rPr>
          <w:color w:val="009EDB"/>
          <w:w w:val="105"/>
          <w:sz w:val="10"/>
        </w:rPr>
        <w:t>PARTE:</w:t>
      </w:r>
      <w:r>
        <w:rPr>
          <w:color w:val="009EDB"/>
          <w:spacing w:val="2"/>
          <w:w w:val="105"/>
          <w:sz w:val="10"/>
        </w:rPr>
        <w:t xml:space="preserve"> </w:t>
      </w:r>
      <w:r>
        <w:rPr>
          <w:color w:val="009EDB"/>
          <w:w w:val="105"/>
          <w:sz w:val="10"/>
        </w:rPr>
        <w:t>OBLIGACIONES</w:t>
      </w:r>
      <w:r>
        <w:rPr>
          <w:color w:val="009EDB"/>
          <w:spacing w:val="4"/>
          <w:w w:val="105"/>
          <w:sz w:val="10"/>
        </w:rPr>
        <w:t xml:space="preserve"> </w:t>
      </w:r>
      <w:r>
        <w:rPr>
          <w:color w:val="009EDB"/>
          <w:w w:val="105"/>
          <w:sz w:val="10"/>
        </w:rPr>
        <w:t>DE</w:t>
      </w:r>
      <w:r>
        <w:rPr>
          <w:color w:val="009EDB"/>
          <w:spacing w:val="2"/>
          <w:w w:val="105"/>
          <w:sz w:val="10"/>
        </w:rPr>
        <w:t xml:space="preserve"> </w:t>
      </w:r>
      <w:r>
        <w:rPr>
          <w:color w:val="009EDB"/>
          <w:w w:val="105"/>
          <w:sz w:val="10"/>
        </w:rPr>
        <w:t>LOS</w:t>
      </w:r>
      <w:r>
        <w:rPr>
          <w:color w:val="009EDB"/>
          <w:spacing w:val="2"/>
          <w:w w:val="105"/>
          <w:sz w:val="10"/>
        </w:rPr>
        <w:t xml:space="preserve"> </w:t>
      </w:r>
      <w:r>
        <w:rPr>
          <w:color w:val="009EDB"/>
          <w:w w:val="105"/>
          <w:sz w:val="10"/>
        </w:rPr>
        <w:t>ESTADOS</w:t>
      </w:r>
      <w:r>
        <w:rPr>
          <w:color w:val="009EDB"/>
          <w:spacing w:val="4"/>
          <w:w w:val="105"/>
          <w:sz w:val="10"/>
        </w:rPr>
        <w:t xml:space="preserve"> </w:t>
      </w:r>
      <w:r>
        <w:rPr>
          <w:color w:val="009EDB"/>
          <w:w w:val="105"/>
          <w:sz w:val="10"/>
        </w:rPr>
        <w:t>PARA</w:t>
      </w:r>
      <w:r>
        <w:rPr>
          <w:color w:val="009EDB"/>
          <w:spacing w:val="2"/>
          <w:w w:val="105"/>
          <w:sz w:val="10"/>
        </w:rPr>
        <w:t xml:space="preserve"> </w:t>
      </w:r>
      <w:r>
        <w:rPr>
          <w:color w:val="009EDB"/>
          <w:w w:val="105"/>
          <w:sz w:val="10"/>
        </w:rPr>
        <w:t>PROMULGAR</w:t>
      </w:r>
      <w:r>
        <w:rPr>
          <w:color w:val="009EDB"/>
          <w:spacing w:val="3"/>
          <w:w w:val="105"/>
          <w:sz w:val="10"/>
        </w:rPr>
        <w:t xml:space="preserve"> </w:t>
      </w:r>
      <w:r>
        <w:rPr>
          <w:color w:val="009EDB"/>
          <w:w w:val="105"/>
          <w:sz w:val="10"/>
        </w:rPr>
        <w:t>UNA</w:t>
      </w:r>
      <w:r>
        <w:rPr>
          <w:color w:val="009EDB"/>
          <w:spacing w:val="3"/>
          <w:w w:val="105"/>
          <w:sz w:val="10"/>
        </w:rPr>
        <w:t xml:space="preserve"> </w:t>
      </w:r>
      <w:r>
        <w:rPr>
          <w:color w:val="009EDB"/>
          <w:w w:val="105"/>
          <w:sz w:val="10"/>
        </w:rPr>
        <w:t>LEY</w:t>
      </w:r>
      <w:r>
        <w:rPr>
          <w:color w:val="009EDB"/>
          <w:spacing w:val="2"/>
          <w:w w:val="105"/>
          <w:sz w:val="10"/>
        </w:rPr>
        <w:t xml:space="preserve"> </w:t>
      </w:r>
      <w:r>
        <w:rPr>
          <w:color w:val="009EDB"/>
          <w:w w:val="105"/>
          <w:sz w:val="10"/>
        </w:rPr>
        <w:t>INTEGRAL</w:t>
      </w:r>
      <w:r>
        <w:rPr>
          <w:color w:val="009EDB"/>
          <w:spacing w:val="3"/>
          <w:w w:val="105"/>
          <w:sz w:val="10"/>
        </w:rPr>
        <w:t xml:space="preserve"> </w:t>
      </w:r>
      <w:r>
        <w:rPr>
          <w:color w:val="009EDB"/>
          <w:w w:val="105"/>
          <w:sz w:val="10"/>
        </w:rPr>
        <w:t>CONTRA</w:t>
      </w:r>
      <w:r>
        <w:rPr>
          <w:color w:val="009EDB"/>
          <w:spacing w:val="3"/>
          <w:w w:val="105"/>
          <w:sz w:val="10"/>
        </w:rPr>
        <w:t xml:space="preserve"> </w:t>
      </w:r>
      <w:r>
        <w:rPr>
          <w:color w:val="009EDB"/>
          <w:w w:val="105"/>
          <w:sz w:val="10"/>
        </w:rPr>
        <w:t>LA</w:t>
      </w:r>
      <w:r>
        <w:rPr>
          <w:color w:val="009EDB"/>
          <w:spacing w:val="2"/>
          <w:w w:val="105"/>
          <w:sz w:val="10"/>
        </w:rPr>
        <w:t xml:space="preserve"> </w:t>
      </w:r>
      <w:r>
        <w:rPr>
          <w:color w:val="009EDB"/>
          <w:spacing w:val="-2"/>
          <w:w w:val="105"/>
          <w:sz w:val="10"/>
        </w:rPr>
        <w:t>DISCRIMINACIÓN</w:t>
      </w:r>
    </w:p>
    <w:p w14:paraId="4F355742" w14:textId="77777777" w:rsidR="0014798C" w:rsidRDefault="0014798C">
      <w:pPr>
        <w:pStyle w:val="Textoindependiente"/>
      </w:pPr>
    </w:p>
    <w:p w14:paraId="4C615E6F" w14:textId="77777777" w:rsidR="0014798C" w:rsidRDefault="0014798C">
      <w:pPr>
        <w:pStyle w:val="Textoindependiente"/>
      </w:pPr>
    </w:p>
    <w:p w14:paraId="4E70B1E6" w14:textId="77777777" w:rsidR="0014798C" w:rsidRDefault="0014798C">
      <w:pPr>
        <w:pStyle w:val="Textoindependiente"/>
      </w:pPr>
    </w:p>
    <w:p w14:paraId="54659BC5" w14:textId="77777777" w:rsidR="0014798C" w:rsidRDefault="0014798C">
      <w:pPr>
        <w:pStyle w:val="Textoindependiente"/>
      </w:pPr>
    </w:p>
    <w:p w14:paraId="5915BEE3" w14:textId="77777777" w:rsidR="0014798C" w:rsidRDefault="0014798C">
      <w:pPr>
        <w:pStyle w:val="Textoindependiente"/>
        <w:spacing w:before="84"/>
      </w:pPr>
    </w:p>
    <w:p w14:paraId="32490101" w14:textId="77777777" w:rsidR="0014798C" w:rsidRDefault="004E1F0B">
      <w:pPr>
        <w:pStyle w:val="Textoindependiente"/>
        <w:spacing w:before="1" w:line="326" w:lineRule="auto"/>
        <w:ind w:left="1111" w:right="1463" w:firstLine="3"/>
      </w:pPr>
      <w:r>
        <w:rPr>
          <w:noProof/>
        </w:rPr>
        <w:drawing>
          <wp:anchor distT="0" distB="0" distL="0" distR="0" simplePos="0" relativeHeight="251658364" behindDoc="1" locked="0" layoutInCell="1" allowOverlap="1" wp14:anchorId="7CBCB720" wp14:editId="6ECA372A">
            <wp:simplePos x="0" y="0"/>
            <wp:positionH relativeFrom="page">
              <wp:posOffset>826632</wp:posOffset>
            </wp:positionH>
            <wp:positionV relativeFrom="paragraph">
              <wp:posOffset>-12532</wp:posOffset>
            </wp:positionV>
            <wp:extent cx="6729867" cy="5396516"/>
            <wp:effectExtent l="0" t="0" r="0" b="0"/>
            <wp:wrapNone/>
            <wp:docPr id="63" name="Image 6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63" name="Image 63"/>
                    <pic:cNvPicPr/>
                  </pic:nvPicPr>
                  <pic:blipFill>
                    <a:blip r:embed="rId70" cstate="print"/>
                    <a:stretch>
                      <a:fillRect/>
                    </a:stretch>
                  </pic:blipFill>
                  <pic:spPr>
                    <a:xfrm>
                      <a:off x="0" y="0"/>
                      <a:ext cx="6729867" cy="5396516"/>
                    </a:xfrm>
                    <a:prstGeom prst="rect">
                      <a:avLst/>
                    </a:prstGeom>
                  </pic:spPr>
                </pic:pic>
              </a:graphicData>
            </a:graphic>
          </wp:anchor>
        </w:drawing>
      </w:r>
      <w:r>
        <w:rPr>
          <w:spacing w:val="-2"/>
        </w:rPr>
        <w:t>Caribe;</w:t>
      </w:r>
      <w:r>
        <w:rPr>
          <w:spacing w:val="-10"/>
        </w:rPr>
        <w:t xml:space="preserve"> </w:t>
      </w:r>
      <w:r>
        <w:rPr>
          <w:spacing w:val="-2"/>
        </w:rPr>
        <w:t>Asia</w:t>
      </w:r>
      <w:r>
        <w:rPr>
          <w:spacing w:val="-8"/>
        </w:rPr>
        <w:t xml:space="preserve"> </w:t>
      </w:r>
      <w:r>
        <w:rPr>
          <w:spacing w:val="-2"/>
        </w:rPr>
        <w:t>meridional</w:t>
      </w:r>
      <w:r>
        <w:rPr>
          <w:spacing w:val="-9"/>
        </w:rPr>
        <w:t xml:space="preserve"> </w:t>
      </w:r>
      <w:r>
        <w:rPr>
          <w:spacing w:val="-2"/>
        </w:rPr>
        <w:t>y</w:t>
      </w:r>
      <w:r>
        <w:rPr>
          <w:spacing w:val="-9"/>
        </w:rPr>
        <w:t xml:space="preserve"> </w:t>
      </w:r>
      <w:r>
        <w:rPr>
          <w:spacing w:val="-2"/>
        </w:rPr>
        <w:t>occidental;</w:t>
      </w:r>
      <w:r>
        <w:rPr>
          <w:spacing w:val="-8"/>
        </w:rPr>
        <w:t xml:space="preserve"> </w:t>
      </w:r>
      <w:r>
        <w:rPr>
          <w:spacing w:val="-2"/>
        </w:rPr>
        <w:t>Europa;</w:t>
      </w:r>
      <w:r>
        <w:rPr>
          <w:spacing w:val="-9"/>
        </w:rPr>
        <w:t xml:space="preserve"> </w:t>
      </w:r>
      <w:r>
        <w:rPr>
          <w:spacing w:val="-2"/>
        </w:rPr>
        <w:t>y</w:t>
      </w:r>
      <w:r>
        <w:rPr>
          <w:spacing w:val="-9"/>
        </w:rPr>
        <w:t xml:space="preserve"> </w:t>
      </w:r>
      <w:r>
        <w:rPr>
          <w:spacing w:val="-2"/>
        </w:rPr>
        <w:t>Australia</w:t>
      </w:r>
      <w:r>
        <w:rPr>
          <w:spacing w:val="-9"/>
        </w:rPr>
        <w:t xml:space="preserve"> </w:t>
      </w:r>
      <w:r>
        <w:rPr>
          <w:spacing w:val="-2"/>
        </w:rPr>
        <w:t>y</w:t>
      </w:r>
      <w:r>
        <w:rPr>
          <w:spacing w:val="-9"/>
        </w:rPr>
        <w:t xml:space="preserve"> </w:t>
      </w:r>
      <w:r>
        <w:rPr>
          <w:spacing w:val="-2"/>
        </w:rPr>
        <w:t>Nueva</w:t>
      </w:r>
      <w:r>
        <w:rPr>
          <w:spacing w:val="-9"/>
        </w:rPr>
        <w:t xml:space="preserve"> </w:t>
      </w:r>
      <w:r>
        <w:rPr>
          <w:spacing w:val="-2"/>
        </w:rPr>
        <w:t>Zelanda.67</w:t>
      </w:r>
      <w:r>
        <w:rPr>
          <w:spacing w:val="-9"/>
        </w:rPr>
        <w:t xml:space="preserve"> </w:t>
      </w:r>
      <w:r>
        <w:rPr>
          <w:spacing w:val="-2"/>
        </w:rPr>
        <w:t>Esas</w:t>
      </w:r>
      <w:r>
        <w:rPr>
          <w:spacing w:val="-9"/>
        </w:rPr>
        <w:t xml:space="preserve"> </w:t>
      </w:r>
      <w:r>
        <w:rPr>
          <w:spacing w:val="-2"/>
        </w:rPr>
        <w:t>recomendaciones</w:t>
      </w:r>
      <w:r>
        <w:rPr>
          <w:spacing w:val="-9"/>
        </w:rPr>
        <w:t xml:space="preserve"> </w:t>
      </w:r>
      <w:r>
        <w:rPr>
          <w:spacing w:val="-2"/>
        </w:rPr>
        <w:t>fueron</w:t>
      </w:r>
      <w:r>
        <w:rPr>
          <w:spacing w:val="-9"/>
        </w:rPr>
        <w:t xml:space="preserve"> </w:t>
      </w:r>
      <w:r>
        <w:rPr>
          <w:spacing w:val="-2"/>
        </w:rPr>
        <w:t>aceptadas</w:t>
      </w:r>
      <w:r>
        <w:rPr>
          <w:spacing w:val="-9"/>
        </w:rPr>
        <w:t xml:space="preserve"> </w:t>
      </w:r>
      <w:r>
        <w:rPr>
          <w:spacing w:val="-2"/>
        </w:rPr>
        <w:t xml:space="preserve">por </w:t>
      </w:r>
      <w:r>
        <w:t>Estados de diversos contextos legales, sociales y geográficos, desde Gabón68 hasta la República de Corea.69</w:t>
      </w:r>
    </w:p>
    <w:p w14:paraId="35B8447A" w14:textId="77777777" w:rsidR="0014798C" w:rsidRDefault="0014798C">
      <w:pPr>
        <w:pStyle w:val="Textoindependiente"/>
        <w:spacing w:before="202"/>
        <w:rPr>
          <w:sz w:val="29"/>
        </w:rPr>
      </w:pPr>
    </w:p>
    <w:p w14:paraId="7927D03D" w14:textId="77777777" w:rsidR="0014798C" w:rsidRDefault="004E1F0B">
      <w:pPr>
        <w:pStyle w:val="Ttulo8"/>
        <w:ind w:left="1109" w:firstLine="0"/>
      </w:pPr>
      <w:r>
        <w:rPr>
          <w:noProof/>
        </w:rPr>
        <mc:AlternateContent>
          <mc:Choice Requires="wps">
            <w:drawing>
              <wp:anchor distT="0" distB="0" distL="0" distR="0" simplePos="0" relativeHeight="251658243" behindDoc="0" locked="0" layoutInCell="1" allowOverlap="1" wp14:anchorId="5EB33FDD" wp14:editId="1DA5F9FF">
                <wp:simplePos x="0" y="0"/>
                <wp:positionH relativeFrom="page">
                  <wp:posOffset>7301499</wp:posOffset>
                </wp:positionH>
                <wp:positionV relativeFrom="paragraph">
                  <wp:posOffset>-127349</wp:posOffset>
                </wp:positionV>
                <wp:extent cx="97790" cy="241300"/>
                <wp:effectExtent l="0" t="0" r="0" b="0"/>
                <wp:wrapNone/>
                <wp:docPr id="64" name="Textbox 6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97790" cy="241300"/>
                        </a:xfrm>
                        <a:prstGeom prst="rect">
                          <a:avLst/>
                        </a:prstGeom>
                      </wps:spPr>
                      <wps:txbx>
                        <w:txbxContent>
                          <w:p w14:paraId="2671C3B5" w14:textId="77777777" w:rsidR="0014798C" w:rsidRDefault="004E1F0B">
                            <w:pPr>
                              <w:spacing w:before="18"/>
                              <w:ind w:left="20"/>
                              <w:rPr>
                                <w:sz w:val="10"/>
                              </w:rPr>
                            </w:pPr>
                            <w:r>
                              <w:rPr>
                                <w:color w:val="FFFFFF"/>
                                <w:spacing w:val="-27"/>
                                <w:sz w:val="10"/>
                              </w:rPr>
                              <w:t>UPANROTE</w:t>
                            </w:r>
                          </w:p>
                        </w:txbxContent>
                      </wps:txbx>
                      <wps:bodyPr vert="vert270" wrap="square" lIns="0" tIns="0" rIns="0" bIns="0" rtlCol="0">
                        <a:noAutofit/>
                      </wps:bodyPr>
                    </wps:wsp>
                  </a:graphicData>
                </a:graphic>
              </wp:anchor>
            </w:drawing>
          </mc:Choice>
          <mc:Fallback>
            <w:pict>
              <v:shape w14:anchorId="5EB33FDD" id="Textbox 64" o:spid="_x0000_s1044" type="#_x0000_t202" style="position:absolute;left:0;text-align:left;margin-left:574.9pt;margin-top:-10.05pt;width:7.7pt;height:19pt;z-index:251658243;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" filled="f" stroked="f">
                <v:textbox style="layout-flow:vertical;mso-layout-flow-alt:bottom-to-top" inset="0,0,0,0">
                  <w:txbxContent>
                    <w:p w14:paraId="2671C3B5" w14:textId="77777777" w:rsidR="0014798C" w:rsidRDefault="004E1F0B">
                      <w:pPr>
                        <w:spacing w:before="18"/>
                        <w:ind w:left="20"/>
                        <w:rPr>
                          <w:sz w:val="10"/>
                        </w:rPr>
                      </w:pPr>
                      <w:r>
                        <w:rPr>
                          <w:color w:val="FFFFFF"/>
                          <w:spacing w:val="-27"/>
                          <w:sz w:val="10"/>
                        </w:rPr>
                        <w:t>UPANROTE</w:t>
                      </w:r>
                    </w:p>
                  </w:txbxContent>
                </v:textbox>
                <w10:wrap anchorx="page"/>
              </v:shape>
            </w:pict>
          </mc:Fallback>
        </mc:AlternateContent>
      </w:r>
      <w:r>
        <w:rPr>
          <w:color w:val="009EDB"/>
        </w:rPr>
        <w:t>C.</w:t>
      </w:r>
      <w:r>
        <w:rPr>
          <w:color w:val="009EDB"/>
          <w:spacing w:val="7"/>
        </w:rPr>
        <w:t xml:space="preserve"> </w:t>
      </w:r>
      <w:r>
        <w:rPr>
          <w:color w:val="009EDB"/>
        </w:rPr>
        <w:t>Otros</w:t>
      </w:r>
      <w:r>
        <w:rPr>
          <w:color w:val="009EDB"/>
          <w:spacing w:val="7"/>
        </w:rPr>
        <w:t xml:space="preserve"> </w:t>
      </w:r>
      <w:r>
        <w:rPr>
          <w:color w:val="009EDB"/>
        </w:rPr>
        <w:t>procesos</w:t>
      </w:r>
      <w:r>
        <w:rPr>
          <w:color w:val="009EDB"/>
          <w:spacing w:val="8"/>
        </w:rPr>
        <w:t xml:space="preserve"> </w:t>
      </w:r>
      <w:r>
        <w:rPr>
          <w:color w:val="009EDB"/>
          <w:spacing w:val="-2"/>
        </w:rPr>
        <w:t>internacionales</w:t>
      </w:r>
    </w:p>
    <w:p w14:paraId="076C9EC9" w14:textId="77777777" w:rsidR="0014798C" w:rsidRDefault="0014798C">
      <w:pPr>
        <w:pStyle w:val="Textoindependiente"/>
        <w:spacing w:before="48"/>
      </w:pPr>
    </w:p>
    <w:p w14:paraId="6D144AC6" w14:textId="77777777" w:rsidR="0014798C" w:rsidRDefault="004E1F0B">
      <w:pPr>
        <w:pStyle w:val="Textoindependiente"/>
        <w:ind w:left="1111" w:hanging="2"/>
      </w:pPr>
      <w:r>
        <w:t>Más</w:t>
      </w:r>
      <w:r>
        <w:rPr>
          <w:spacing w:val="-2"/>
        </w:rPr>
        <w:t xml:space="preserve"> </w:t>
      </w:r>
      <w:r>
        <w:t>allá</w:t>
      </w:r>
      <w:r>
        <w:rPr>
          <w:spacing w:val="-2"/>
        </w:rPr>
        <w:t xml:space="preserve"> </w:t>
      </w:r>
      <w:r>
        <w:t>de</w:t>
      </w:r>
      <w:r>
        <w:rPr>
          <w:spacing w:val="-1"/>
        </w:rPr>
        <w:t xml:space="preserve"> </w:t>
      </w:r>
      <w:r>
        <w:t>las</w:t>
      </w:r>
      <w:r>
        <w:rPr>
          <w:spacing w:val="-2"/>
        </w:rPr>
        <w:t xml:space="preserve"> </w:t>
      </w:r>
      <w:r>
        <w:t>principales</w:t>
      </w:r>
      <w:r>
        <w:rPr>
          <w:spacing w:val="-2"/>
        </w:rPr>
        <w:t xml:space="preserve"> </w:t>
      </w:r>
      <w:r>
        <w:t>convenciones</w:t>
      </w:r>
      <w:r>
        <w:rPr>
          <w:spacing w:val="-3"/>
        </w:rPr>
        <w:t xml:space="preserve"> </w:t>
      </w:r>
      <w:r>
        <w:t>de</w:t>
      </w:r>
      <w:r>
        <w:rPr>
          <w:spacing w:val="-1"/>
        </w:rPr>
        <w:t xml:space="preserve"> </w:t>
      </w:r>
      <w:r>
        <w:t>derechos</w:t>
      </w:r>
      <w:r>
        <w:rPr>
          <w:spacing w:val="-2"/>
        </w:rPr>
        <w:t xml:space="preserve"> </w:t>
      </w:r>
      <w:r>
        <w:t>humanos</w:t>
      </w:r>
      <w:r>
        <w:rPr>
          <w:spacing w:val="-1"/>
        </w:rPr>
        <w:t xml:space="preserve"> </w:t>
      </w:r>
      <w:r>
        <w:t>de</w:t>
      </w:r>
      <w:r>
        <w:rPr>
          <w:spacing w:val="-2"/>
        </w:rPr>
        <w:t xml:space="preserve"> </w:t>
      </w:r>
      <w:r>
        <w:t>las</w:t>
      </w:r>
      <w:r>
        <w:rPr>
          <w:spacing w:val="-1"/>
        </w:rPr>
        <w:t xml:space="preserve"> </w:t>
      </w:r>
      <w:r>
        <w:t>Naciones</w:t>
      </w:r>
      <w:r>
        <w:rPr>
          <w:spacing w:val="-3"/>
        </w:rPr>
        <w:t xml:space="preserve"> </w:t>
      </w:r>
      <w:r>
        <w:t>Unidas,</w:t>
      </w:r>
      <w:r>
        <w:rPr>
          <w:spacing w:val="-1"/>
        </w:rPr>
        <w:t xml:space="preserve"> </w:t>
      </w:r>
      <w:r>
        <w:t>desde</w:t>
      </w:r>
      <w:r>
        <w:rPr>
          <w:spacing w:val="-2"/>
        </w:rPr>
        <w:t xml:space="preserve"> </w:t>
      </w:r>
      <w:r>
        <w:t>el</w:t>
      </w:r>
      <w:r>
        <w:rPr>
          <w:spacing w:val="-1"/>
        </w:rPr>
        <w:t xml:space="preserve"> </w:t>
      </w:r>
      <w:r>
        <w:t>cambio</w:t>
      </w:r>
      <w:r>
        <w:rPr>
          <w:spacing w:val="-2"/>
        </w:rPr>
        <w:t xml:space="preserve"> </w:t>
      </w:r>
      <w:r>
        <w:t>de</w:t>
      </w:r>
      <w:r>
        <w:rPr>
          <w:spacing w:val="-1"/>
        </w:rPr>
        <w:t xml:space="preserve"> </w:t>
      </w:r>
      <w:r>
        <w:t>milenio</w:t>
      </w:r>
      <w:r>
        <w:rPr>
          <w:spacing w:val="-2"/>
        </w:rPr>
        <w:t xml:space="preserve"> </w:t>
      </w:r>
      <w:r>
        <w:t>los</w:t>
      </w:r>
      <w:r>
        <w:rPr>
          <w:spacing w:val="-1"/>
        </w:rPr>
        <w:t xml:space="preserve"> </w:t>
      </w:r>
      <w:r>
        <w:rPr>
          <w:spacing w:val="-2"/>
        </w:rPr>
        <w:t>Estados</w:t>
      </w:r>
    </w:p>
    <w:p w14:paraId="3E859241" w14:textId="77777777" w:rsidR="0014798C" w:rsidRDefault="004E1F0B">
      <w:pPr>
        <w:pStyle w:val="Textoindependiente"/>
        <w:spacing w:before="66" w:line="271" w:lineRule="auto"/>
        <w:ind w:left="1109" w:right="1272" w:firstLine="2"/>
      </w:pPr>
      <w:r>
        <w:t>han demostrado una creciente preocupación por la necesidad de promulgar leyes integrales</w:t>
      </w:r>
      <w:r>
        <w:rPr>
          <w:spacing w:val="-1"/>
        </w:rPr>
        <w:t xml:space="preserve"> </w:t>
      </w:r>
      <w:r>
        <w:t>contra la discriminación a través</w:t>
      </w:r>
      <w:r>
        <w:rPr>
          <w:spacing w:val="-1"/>
        </w:rPr>
        <w:t xml:space="preserve"> </w:t>
      </w:r>
      <w:r>
        <w:t>de otros compromisos internacionales.</w:t>
      </w:r>
    </w:p>
    <w:p w14:paraId="25489910" w14:textId="77777777" w:rsidR="0014798C" w:rsidRDefault="0014798C">
      <w:pPr>
        <w:pStyle w:val="Textoindependiente"/>
        <w:spacing w:before="69"/>
      </w:pPr>
    </w:p>
    <w:p w14:paraId="6D24BF4B" w14:textId="77777777" w:rsidR="0014798C" w:rsidRDefault="004E1F0B">
      <w:pPr>
        <w:pStyle w:val="Textoindependiente"/>
        <w:spacing w:line="271" w:lineRule="auto"/>
        <w:ind w:left="1109" w:right="1272" w:hanging="3"/>
      </w:pPr>
      <w:r>
        <w:t>La Conferencia Mundial contra el Racismo, la Discriminación Racial, la Xenofobia</w:t>
      </w:r>
      <w:r>
        <w:rPr>
          <w:spacing w:val="-1"/>
        </w:rPr>
        <w:t xml:space="preserve"> </w:t>
      </w:r>
      <w:r>
        <w:t>y las Formas</w:t>
      </w:r>
      <w:r>
        <w:rPr>
          <w:spacing w:val="-1"/>
        </w:rPr>
        <w:t xml:space="preserve"> </w:t>
      </w:r>
      <w:r>
        <w:t>Conexas de Intolerancia</w:t>
      </w:r>
      <w:r>
        <w:rPr>
          <w:spacing w:val="-1"/>
        </w:rPr>
        <w:t xml:space="preserve"> </w:t>
      </w:r>
      <w:r>
        <w:t>celebrada en Durban en 2001 dedicó amplia atención a la necesidad de abordar la discriminación interseccional. La Declaración de Durban</w:t>
      </w:r>
    </w:p>
    <w:p w14:paraId="35CBA133" w14:textId="77777777" w:rsidR="0014798C" w:rsidRDefault="004E1F0B">
      <w:pPr>
        <w:pStyle w:val="Textoindependiente"/>
        <w:spacing w:before="84" w:line="326" w:lineRule="auto"/>
        <w:ind w:left="1108" w:right="1272"/>
      </w:pPr>
      <w:r>
        <w:t>señaló que las víctimas del racismo y la discriminación racial “pueden sufrir formas múltiples o agravadas de discriminación basadas en otros motivos conexos, como el sexo, el idioma, la religión, la opinión política o de otra índole, el origen social, la propiedad, el nacimiento u otra condición”70. La Conferencia de Examen de Durban, convocada en 2009, expresó preocupación por “el aumento de los casos de formas múltiples o agravadas de discriminación” antes de instar a los Estados a “adoptar o fortalecer... medidas para erradicar la discriminación múltiple..., en particular adoptando o mejorando... legislación para abordar estos fenómenos”.71</w:t>
      </w:r>
    </w:p>
    <w:p w14:paraId="5FF3EC3B" w14:textId="77777777" w:rsidR="0014798C" w:rsidRDefault="004E1F0B">
      <w:pPr>
        <w:pStyle w:val="Textoindependiente"/>
        <w:spacing w:before="167" w:line="326" w:lineRule="auto"/>
        <w:ind w:left="1103" w:right="1244" w:firstLine="9"/>
      </w:pPr>
      <w:r>
        <w:t>Los Estados también han reconocido la centralidad de los derechos a la igualdad y la no discriminación para el logro del desarrollo sostenible. El compromiso de “no dejar a nadie atrás” en la Agenda 2030 –acompañado tanto de un objetivo específico de reducir</w:t>
      </w:r>
      <w:r>
        <w:rPr>
          <w:spacing w:val="40"/>
        </w:rPr>
        <w:t xml:space="preserve"> </w:t>
      </w:r>
      <w:r>
        <w:t>la desigualdad como de objetivos que requieren igualdad en muchas otras áreas del desarrollo– refleja un reconocimiento del</w:t>
      </w:r>
      <w:r>
        <w:rPr>
          <w:spacing w:val="80"/>
        </w:rPr>
        <w:t xml:space="preserve"> </w:t>
      </w:r>
      <w:r>
        <w:t>papel y la relevancia de la igualdad y la no discriminación para cualquier país. concepción del desarrollo sostenible.72 En</w:t>
      </w:r>
      <w:r>
        <w:rPr>
          <w:spacing w:val="40"/>
        </w:rPr>
        <w:t xml:space="preserve"> </w:t>
      </w:r>
      <w:r>
        <w:t>particular, la meta 10.3 de los Objetivos de Desarrollo Sostenible insta explícitamente a los Estados a “garantizar la igualdad de oportunidades y reducir las desigualdades en los resultados, incluso mediante... la promoción de leyes, políticas y medidas apropiadas a este respecto”.73 Esta meta hace que La adopción de leyes integrales de igualdad es una necesidad funcional</w:t>
      </w:r>
      <w:r>
        <w:rPr>
          <w:spacing w:val="80"/>
        </w:rPr>
        <w:t xml:space="preserve"> </w:t>
      </w:r>
      <w:r>
        <w:t>dentro del marco de los Objetivos de Desarrollo Sostenible: bien entendido, el requisito de adoptar “legislación apropiada” para “garantizar la igualdad de oportunidades y reducir las desigualdades de resultados” requiere la adopción de una legislación integral de igualdad,74 incluidas medidas de acción positiva. .</w:t>
      </w:r>
    </w:p>
    <w:p w14:paraId="2BBA70F2" w14:textId="77777777" w:rsidR="0014798C" w:rsidRDefault="004E1F0B">
      <w:pPr>
        <w:pStyle w:val="Textoindependiente"/>
        <w:spacing w:line="179" w:lineRule="exact"/>
        <w:ind w:left="1108"/>
      </w:pPr>
      <w:r>
        <w:t>Además,</w:t>
      </w:r>
      <w:r>
        <w:rPr>
          <w:spacing w:val="-6"/>
        </w:rPr>
        <w:t xml:space="preserve"> </w:t>
      </w:r>
      <w:r>
        <w:t>las</w:t>
      </w:r>
      <w:r>
        <w:rPr>
          <w:spacing w:val="-3"/>
        </w:rPr>
        <w:t xml:space="preserve"> </w:t>
      </w:r>
      <w:r>
        <w:t>metas</w:t>
      </w:r>
      <w:r>
        <w:rPr>
          <w:spacing w:val="-4"/>
        </w:rPr>
        <w:t xml:space="preserve"> </w:t>
      </w:r>
      <w:r>
        <w:t>de</w:t>
      </w:r>
      <w:r>
        <w:rPr>
          <w:spacing w:val="-3"/>
        </w:rPr>
        <w:t xml:space="preserve"> </w:t>
      </w:r>
      <w:r>
        <w:t>los</w:t>
      </w:r>
      <w:r>
        <w:rPr>
          <w:spacing w:val="-3"/>
        </w:rPr>
        <w:t xml:space="preserve"> </w:t>
      </w:r>
      <w:r>
        <w:t>Objetivos</w:t>
      </w:r>
      <w:r>
        <w:rPr>
          <w:spacing w:val="-4"/>
        </w:rPr>
        <w:t xml:space="preserve"> </w:t>
      </w:r>
      <w:r>
        <w:t>5</w:t>
      </w:r>
      <w:r>
        <w:rPr>
          <w:spacing w:val="-4"/>
        </w:rPr>
        <w:t xml:space="preserve"> </w:t>
      </w:r>
      <w:r>
        <w:t>y</w:t>
      </w:r>
      <w:r>
        <w:rPr>
          <w:spacing w:val="-3"/>
        </w:rPr>
        <w:t xml:space="preserve"> </w:t>
      </w:r>
      <w:r>
        <w:t>16</w:t>
      </w:r>
      <w:r>
        <w:rPr>
          <w:spacing w:val="-3"/>
        </w:rPr>
        <w:t xml:space="preserve"> </w:t>
      </w:r>
      <w:r>
        <w:t>requieren</w:t>
      </w:r>
      <w:r>
        <w:rPr>
          <w:spacing w:val="-3"/>
        </w:rPr>
        <w:t xml:space="preserve"> </w:t>
      </w:r>
      <w:r>
        <w:t>explícitamente</w:t>
      </w:r>
      <w:r>
        <w:rPr>
          <w:spacing w:val="-4"/>
        </w:rPr>
        <w:t xml:space="preserve"> </w:t>
      </w:r>
      <w:r>
        <w:t>la</w:t>
      </w:r>
      <w:r>
        <w:rPr>
          <w:spacing w:val="-4"/>
        </w:rPr>
        <w:t xml:space="preserve"> </w:t>
      </w:r>
      <w:r>
        <w:t>adopción</w:t>
      </w:r>
      <w:r>
        <w:rPr>
          <w:spacing w:val="-3"/>
        </w:rPr>
        <w:t xml:space="preserve"> </w:t>
      </w:r>
      <w:r>
        <w:t>de</w:t>
      </w:r>
      <w:r>
        <w:rPr>
          <w:spacing w:val="-3"/>
        </w:rPr>
        <w:t xml:space="preserve"> </w:t>
      </w:r>
      <w:r>
        <w:t>legislación</w:t>
      </w:r>
      <w:r>
        <w:rPr>
          <w:spacing w:val="-3"/>
        </w:rPr>
        <w:t xml:space="preserve"> </w:t>
      </w:r>
      <w:r>
        <w:t>contra</w:t>
      </w:r>
      <w:r>
        <w:rPr>
          <w:spacing w:val="-3"/>
        </w:rPr>
        <w:t xml:space="preserve"> </w:t>
      </w:r>
      <w:r>
        <w:t>la</w:t>
      </w:r>
      <w:r>
        <w:rPr>
          <w:spacing w:val="-3"/>
        </w:rPr>
        <w:t xml:space="preserve"> </w:t>
      </w:r>
      <w:r>
        <w:rPr>
          <w:spacing w:val="-2"/>
        </w:rPr>
        <w:t>discriminación.75</w:t>
      </w:r>
    </w:p>
    <w:p w14:paraId="2A8BC1C4" w14:textId="77777777" w:rsidR="0014798C" w:rsidRDefault="004E1F0B">
      <w:pPr>
        <w:spacing w:before="18"/>
        <w:ind w:left="1108"/>
        <w:rPr>
          <w:sz w:val="20"/>
        </w:rPr>
      </w:pPr>
      <w:r>
        <w:rPr>
          <w:sz w:val="20"/>
        </w:rPr>
        <w:t>En</w:t>
      </w:r>
      <w:r>
        <w:rPr>
          <w:spacing w:val="-9"/>
          <w:sz w:val="20"/>
        </w:rPr>
        <w:t xml:space="preserve"> </w:t>
      </w:r>
      <w:r>
        <w:rPr>
          <w:sz w:val="20"/>
        </w:rPr>
        <w:t>directrices</w:t>
      </w:r>
      <w:r>
        <w:rPr>
          <w:spacing w:val="-8"/>
          <w:sz w:val="20"/>
        </w:rPr>
        <w:t xml:space="preserve"> </w:t>
      </w:r>
      <w:r>
        <w:rPr>
          <w:sz w:val="20"/>
        </w:rPr>
        <w:t>sobre</w:t>
      </w:r>
      <w:r>
        <w:rPr>
          <w:spacing w:val="-9"/>
          <w:sz w:val="20"/>
        </w:rPr>
        <w:t xml:space="preserve"> </w:t>
      </w:r>
      <w:r>
        <w:rPr>
          <w:sz w:val="20"/>
        </w:rPr>
        <w:t>el</w:t>
      </w:r>
      <w:r>
        <w:rPr>
          <w:spacing w:val="-8"/>
          <w:sz w:val="20"/>
        </w:rPr>
        <w:t xml:space="preserve"> </w:t>
      </w:r>
      <w:r>
        <w:rPr>
          <w:sz w:val="20"/>
        </w:rPr>
        <w:t>tema</w:t>
      </w:r>
      <w:r>
        <w:rPr>
          <w:spacing w:val="-8"/>
          <w:sz w:val="20"/>
        </w:rPr>
        <w:t xml:space="preserve"> </w:t>
      </w:r>
      <w:r>
        <w:rPr>
          <w:sz w:val="20"/>
        </w:rPr>
        <w:t>redactadas</w:t>
      </w:r>
      <w:r>
        <w:rPr>
          <w:spacing w:val="-9"/>
          <w:sz w:val="20"/>
        </w:rPr>
        <w:t xml:space="preserve"> </w:t>
      </w:r>
      <w:r>
        <w:rPr>
          <w:sz w:val="20"/>
        </w:rPr>
        <w:t>por</w:t>
      </w:r>
      <w:r>
        <w:rPr>
          <w:spacing w:val="-8"/>
          <w:sz w:val="20"/>
        </w:rPr>
        <w:t xml:space="preserve"> </w:t>
      </w:r>
      <w:r>
        <w:rPr>
          <w:sz w:val="20"/>
        </w:rPr>
        <w:t>el</w:t>
      </w:r>
      <w:r>
        <w:rPr>
          <w:spacing w:val="-8"/>
          <w:sz w:val="20"/>
        </w:rPr>
        <w:t xml:space="preserve"> </w:t>
      </w:r>
      <w:r>
        <w:rPr>
          <w:sz w:val="20"/>
        </w:rPr>
        <w:t>Relator</w:t>
      </w:r>
      <w:r>
        <w:rPr>
          <w:spacing w:val="-9"/>
          <w:sz w:val="20"/>
        </w:rPr>
        <w:t xml:space="preserve"> </w:t>
      </w:r>
      <w:r>
        <w:rPr>
          <w:sz w:val="20"/>
        </w:rPr>
        <w:t>Especial</w:t>
      </w:r>
      <w:r>
        <w:rPr>
          <w:spacing w:val="-8"/>
          <w:sz w:val="20"/>
        </w:rPr>
        <w:t xml:space="preserve"> </w:t>
      </w:r>
      <w:r>
        <w:rPr>
          <w:sz w:val="20"/>
        </w:rPr>
        <w:t>sobre</w:t>
      </w:r>
      <w:r>
        <w:rPr>
          <w:spacing w:val="-8"/>
          <w:sz w:val="20"/>
        </w:rPr>
        <w:t xml:space="preserve"> </w:t>
      </w:r>
      <w:r>
        <w:rPr>
          <w:sz w:val="20"/>
        </w:rPr>
        <w:t>el</w:t>
      </w:r>
      <w:r>
        <w:rPr>
          <w:spacing w:val="-9"/>
          <w:sz w:val="20"/>
        </w:rPr>
        <w:t xml:space="preserve"> </w:t>
      </w:r>
      <w:r>
        <w:rPr>
          <w:sz w:val="20"/>
        </w:rPr>
        <w:t>derecho</w:t>
      </w:r>
      <w:r>
        <w:rPr>
          <w:spacing w:val="-8"/>
          <w:sz w:val="20"/>
        </w:rPr>
        <w:t xml:space="preserve"> </w:t>
      </w:r>
      <w:r>
        <w:rPr>
          <w:sz w:val="20"/>
        </w:rPr>
        <w:t>al</w:t>
      </w:r>
      <w:r>
        <w:rPr>
          <w:spacing w:val="-9"/>
          <w:sz w:val="20"/>
        </w:rPr>
        <w:t xml:space="preserve"> </w:t>
      </w:r>
      <w:r>
        <w:rPr>
          <w:sz w:val="20"/>
        </w:rPr>
        <w:t>desarrollo</w:t>
      </w:r>
      <w:r>
        <w:rPr>
          <w:spacing w:val="-8"/>
          <w:sz w:val="20"/>
        </w:rPr>
        <w:t xml:space="preserve"> </w:t>
      </w:r>
      <w:r>
        <w:rPr>
          <w:sz w:val="20"/>
        </w:rPr>
        <w:t>en</w:t>
      </w:r>
      <w:r>
        <w:rPr>
          <w:spacing w:val="-8"/>
          <w:sz w:val="20"/>
        </w:rPr>
        <w:t xml:space="preserve"> </w:t>
      </w:r>
      <w:r>
        <w:rPr>
          <w:sz w:val="20"/>
        </w:rPr>
        <w:t>2019,</w:t>
      </w:r>
      <w:r>
        <w:rPr>
          <w:spacing w:val="-8"/>
          <w:sz w:val="20"/>
        </w:rPr>
        <w:t xml:space="preserve"> </w:t>
      </w:r>
      <w:r>
        <w:rPr>
          <w:spacing w:val="-5"/>
          <w:sz w:val="20"/>
        </w:rPr>
        <w:t>la</w:t>
      </w:r>
    </w:p>
    <w:p w14:paraId="4E954B7A" w14:textId="77777777" w:rsidR="0014798C" w:rsidRDefault="0014798C">
      <w:pPr>
        <w:pStyle w:val="Textoindependiente"/>
        <w:rPr>
          <w:sz w:val="11"/>
        </w:rPr>
      </w:pPr>
    </w:p>
    <w:p w14:paraId="507D67E7" w14:textId="77777777" w:rsidR="0014798C" w:rsidRDefault="0014798C">
      <w:pPr>
        <w:pStyle w:val="Textoindependiente"/>
        <w:rPr>
          <w:sz w:val="11"/>
        </w:rPr>
      </w:pPr>
    </w:p>
    <w:p w14:paraId="7607E7ED" w14:textId="77777777" w:rsidR="0014798C" w:rsidRDefault="0014798C">
      <w:pPr>
        <w:pStyle w:val="Textoindependiente"/>
        <w:rPr>
          <w:sz w:val="11"/>
        </w:rPr>
      </w:pPr>
    </w:p>
    <w:p w14:paraId="2859553A" w14:textId="77777777" w:rsidR="0014798C" w:rsidRDefault="0014798C">
      <w:pPr>
        <w:pStyle w:val="Textoindependiente"/>
        <w:rPr>
          <w:sz w:val="11"/>
        </w:rPr>
      </w:pPr>
    </w:p>
    <w:p w14:paraId="06275BBB" w14:textId="77777777" w:rsidR="0014798C" w:rsidRDefault="0014798C">
      <w:pPr>
        <w:pStyle w:val="Textoindependiente"/>
        <w:rPr>
          <w:sz w:val="11"/>
        </w:rPr>
      </w:pPr>
    </w:p>
    <w:p w14:paraId="2EF6B741" w14:textId="77777777" w:rsidR="0014798C" w:rsidRDefault="0014798C">
      <w:pPr>
        <w:pStyle w:val="Textoindependiente"/>
        <w:rPr>
          <w:sz w:val="11"/>
        </w:rPr>
      </w:pPr>
    </w:p>
    <w:p w14:paraId="49E0F36F" w14:textId="77777777" w:rsidR="0014798C" w:rsidRDefault="0014798C">
      <w:pPr>
        <w:pStyle w:val="Textoindependiente"/>
        <w:rPr>
          <w:sz w:val="11"/>
        </w:rPr>
      </w:pPr>
    </w:p>
    <w:p w14:paraId="55E7B35A" w14:textId="77777777" w:rsidR="0014798C" w:rsidRDefault="0014798C">
      <w:pPr>
        <w:pStyle w:val="Textoindependiente"/>
        <w:spacing w:before="40"/>
        <w:rPr>
          <w:sz w:val="11"/>
        </w:rPr>
      </w:pPr>
    </w:p>
    <w:p w14:paraId="34D86F38" w14:textId="77777777" w:rsidR="0014798C" w:rsidRDefault="004E1F0B">
      <w:pPr>
        <w:ind w:left="1108"/>
        <w:rPr>
          <w:sz w:val="11"/>
        </w:rPr>
      </w:pPr>
      <w:r>
        <w:rPr>
          <w:spacing w:val="-2"/>
          <w:w w:val="105"/>
          <w:sz w:val="11"/>
        </w:rPr>
        <w:t>67</w:t>
      </w:r>
      <w:r>
        <w:rPr>
          <w:spacing w:val="4"/>
          <w:w w:val="105"/>
          <w:sz w:val="11"/>
        </w:rPr>
        <w:t xml:space="preserve"> </w:t>
      </w:r>
      <w:r>
        <w:rPr>
          <w:spacing w:val="-2"/>
          <w:w w:val="105"/>
          <w:sz w:val="11"/>
        </w:rPr>
        <w:t>Afganistán</w:t>
      </w:r>
      <w:r>
        <w:rPr>
          <w:spacing w:val="5"/>
          <w:w w:val="105"/>
          <w:sz w:val="11"/>
        </w:rPr>
        <w:t xml:space="preserve"> </w:t>
      </w:r>
      <w:r>
        <w:rPr>
          <w:spacing w:val="-2"/>
          <w:w w:val="105"/>
          <w:sz w:val="11"/>
        </w:rPr>
        <w:t>(A/HRC/42/12,</w:t>
      </w:r>
      <w:r>
        <w:rPr>
          <w:spacing w:val="5"/>
          <w:w w:val="105"/>
          <w:sz w:val="11"/>
        </w:rPr>
        <w:t xml:space="preserve"> </w:t>
      </w:r>
      <w:r>
        <w:rPr>
          <w:spacing w:val="-2"/>
          <w:w w:val="105"/>
          <w:sz w:val="11"/>
        </w:rPr>
        <w:t>párr.</w:t>
      </w:r>
      <w:r>
        <w:rPr>
          <w:spacing w:val="5"/>
          <w:w w:val="105"/>
          <w:sz w:val="11"/>
        </w:rPr>
        <w:t xml:space="preserve"> </w:t>
      </w:r>
      <w:r>
        <w:rPr>
          <w:spacing w:val="-2"/>
          <w:w w:val="105"/>
          <w:sz w:val="11"/>
        </w:rPr>
        <w:t>111.12),</w:t>
      </w:r>
      <w:r>
        <w:rPr>
          <w:spacing w:val="5"/>
          <w:w w:val="105"/>
          <w:sz w:val="11"/>
        </w:rPr>
        <w:t xml:space="preserve"> </w:t>
      </w:r>
      <w:r>
        <w:rPr>
          <w:spacing w:val="-2"/>
          <w:w w:val="105"/>
          <w:sz w:val="11"/>
        </w:rPr>
        <w:t>Albania</w:t>
      </w:r>
      <w:r>
        <w:rPr>
          <w:spacing w:val="5"/>
          <w:w w:val="105"/>
          <w:sz w:val="11"/>
        </w:rPr>
        <w:t xml:space="preserve"> </w:t>
      </w:r>
      <w:r>
        <w:rPr>
          <w:spacing w:val="-2"/>
          <w:w w:val="105"/>
          <w:sz w:val="11"/>
        </w:rPr>
        <w:t>(A/HRC/37/11,</w:t>
      </w:r>
      <w:r>
        <w:rPr>
          <w:spacing w:val="4"/>
          <w:w w:val="105"/>
          <w:sz w:val="11"/>
        </w:rPr>
        <w:t xml:space="preserve"> </w:t>
      </w:r>
      <w:r>
        <w:rPr>
          <w:spacing w:val="-2"/>
          <w:w w:val="105"/>
          <w:sz w:val="11"/>
        </w:rPr>
        <w:t>párr.</w:t>
      </w:r>
      <w:r>
        <w:rPr>
          <w:spacing w:val="5"/>
          <w:w w:val="105"/>
          <w:sz w:val="11"/>
        </w:rPr>
        <w:t xml:space="preserve"> </w:t>
      </w:r>
      <w:r>
        <w:rPr>
          <w:spacing w:val="-2"/>
          <w:w w:val="105"/>
          <w:sz w:val="11"/>
        </w:rPr>
        <w:t>132.32),</w:t>
      </w:r>
      <w:r>
        <w:rPr>
          <w:spacing w:val="5"/>
          <w:w w:val="105"/>
          <w:sz w:val="11"/>
        </w:rPr>
        <w:t xml:space="preserve"> </w:t>
      </w:r>
      <w:r>
        <w:rPr>
          <w:spacing w:val="-2"/>
          <w:w w:val="105"/>
          <w:sz w:val="11"/>
        </w:rPr>
        <w:t>Australia</w:t>
      </w:r>
      <w:r>
        <w:rPr>
          <w:spacing w:val="5"/>
          <w:w w:val="105"/>
          <w:sz w:val="11"/>
        </w:rPr>
        <w:t xml:space="preserve"> </w:t>
      </w:r>
      <w:r>
        <w:rPr>
          <w:spacing w:val="-2"/>
          <w:w w:val="105"/>
          <w:sz w:val="11"/>
        </w:rPr>
        <w:t>(A/HRC/44/4,</w:t>
      </w:r>
      <w:r>
        <w:rPr>
          <w:spacing w:val="5"/>
          <w:w w:val="105"/>
          <w:sz w:val="11"/>
        </w:rPr>
        <w:t xml:space="preserve"> </w:t>
      </w:r>
      <w:r>
        <w:rPr>
          <w:spacing w:val="-2"/>
          <w:w w:val="105"/>
          <w:sz w:val="11"/>
        </w:rPr>
        <w:t>párr.</w:t>
      </w:r>
      <w:r>
        <w:rPr>
          <w:spacing w:val="5"/>
          <w:w w:val="105"/>
          <w:sz w:val="11"/>
        </w:rPr>
        <w:t xml:space="preserve"> </w:t>
      </w:r>
      <w:r>
        <w:rPr>
          <w:spacing w:val="-2"/>
          <w:w w:val="105"/>
          <w:sz w:val="11"/>
        </w:rPr>
        <w:t>140.48),</w:t>
      </w:r>
      <w:r>
        <w:rPr>
          <w:spacing w:val="5"/>
          <w:w w:val="105"/>
          <w:sz w:val="11"/>
        </w:rPr>
        <w:t xml:space="preserve"> </w:t>
      </w:r>
      <w:r>
        <w:rPr>
          <w:spacing w:val="-2"/>
          <w:w w:val="105"/>
          <w:sz w:val="11"/>
        </w:rPr>
        <w:t>Bangladesh</w:t>
      </w:r>
    </w:p>
    <w:p w14:paraId="6E2F83EB" w14:textId="77777777" w:rsidR="0014798C" w:rsidRDefault="004E1F0B">
      <w:pPr>
        <w:spacing w:before="3" w:line="288" w:lineRule="auto"/>
        <w:ind w:left="1366" w:right="1272" w:firstLine="9"/>
        <w:rPr>
          <w:sz w:val="13"/>
        </w:rPr>
      </w:pPr>
      <w:r>
        <w:rPr>
          <w:sz w:val="13"/>
        </w:rPr>
        <w:t xml:space="preserve">(A/HRC/37/11, párr. 132.28), Barbados (A/HRC/44/12, párr. 156.91), Bélgica (A/HRC/43/6, párr. 127.48), </w:t>
      </w:r>
      <w:proofErr w:type="spellStart"/>
      <w:r>
        <w:rPr>
          <w:sz w:val="13"/>
        </w:rPr>
        <w:t>Botswana</w:t>
      </w:r>
      <w:proofErr w:type="spellEnd"/>
      <w:r>
        <w:rPr>
          <w:sz w:val="13"/>
        </w:rPr>
        <w:t xml:space="preserve"> (A/HRC/ 37/11, párr. 132.37), Brasil</w:t>
      </w:r>
      <w:r>
        <w:rPr>
          <w:spacing w:val="40"/>
          <w:sz w:val="13"/>
        </w:rPr>
        <w:t xml:space="preserve"> </w:t>
      </w:r>
      <w:r>
        <w:rPr>
          <w:sz w:val="13"/>
        </w:rPr>
        <w:t xml:space="preserve">(A/HRC/43/6, párr. 127.51), Canadá (A/HRC/44/9, párr. 144.26), Chile (A/HRC/43/10, párr. 139.47), Colombia (A/HRC/37/11, párr. 132.36), </w:t>
      </w:r>
      <w:proofErr w:type="spellStart"/>
      <w:r>
        <w:rPr>
          <w:sz w:val="13"/>
        </w:rPr>
        <w:t>Côte</w:t>
      </w:r>
      <w:proofErr w:type="spellEnd"/>
      <w:r>
        <w:rPr>
          <w:sz w:val="13"/>
        </w:rPr>
        <w:t xml:space="preserve"> </w:t>
      </w:r>
      <w:proofErr w:type="spellStart"/>
      <w:r>
        <w:rPr>
          <w:sz w:val="13"/>
        </w:rPr>
        <w:t>d'Ivoire</w:t>
      </w:r>
      <w:proofErr w:type="spellEnd"/>
      <w:r>
        <w:rPr>
          <w:spacing w:val="40"/>
          <w:sz w:val="13"/>
        </w:rPr>
        <w:t xml:space="preserve"> </w:t>
      </w:r>
      <w:r>
        <w:rPr>
          <w:sz w:val="13"/>
        </w:rPr>
        <w:t>(A/HRC/37/13, párr. 152.83), Chequia (A/HRC/44/10, párr. 153.59 ),</w:t>
      </w:r>
      <w:r>
        <w:rPr>
          <w:spacing w:val="-1"/>
          <w:sz w:val="13"/>
        </w:rPr>
        <w:t xml:space="preserve"> </w:t>
      </w:r>
      <w:r>
        <w:rPr>
          <w:sz w:val="13"/>
        </w:rPr>
        <w:t>Dinamarca (A/HRC/44/4, párr. 140.209), Francia (A/HRC/37/11, párr. 132.44), Georgia</w:t>
      </w:r>
      <w:r>
        <w:rPr>
          <w:spacing w:val="40"/>
          <w:sz w:val="13"/>
        </w:rPr>
        <w:t xml:space="preserve"> </w:t>
      </w:r>
      <w:r>
        <w:rPr>
          <w:sz w:val="13"/>
        </w:rPr>
        <w:t>(A/HRC/37/11, párr. 132.31), Alemania (A /HRC/37/15, párr. 161.63), Ghana (A/HRC/43/11, párr. 146.64), Haití (A/HRC/37/15, párr. 161.64), Honduras</w:t>
      </w:r>
      <w:r>
        <w:rPr>
          <w:spacing w:val="40"/>
          <w:sz w:val="13"/>
        </w:rPr>
        <w:t xml:space="preserve"> </w:t>
      </w:r>
      <w:r>
        <w:rPr>
          <w:sz w:val="13"/>
        </w:rPr>
        <w:t>(A/HRC/43/ 10, párr. 139.53), Islandia</w:t>
      </w:r>
    </w:p>
    <w:p w14:paraId="2FE4C0A3" w14:textId="77777777" w:rsidR="0014798C" w:rsidRDefault="004E1F0B">
      <w:pPr>
        <w:spacing w:before="2" w:line="288" w:lineRule="auto"/>
        <w:ind w:left="1367" w:right="1626" w:firstLine="8"/>
        <w:rPr>
          <w:sz w:val="13"/>
        </w:rPr>
      </w:pPr>
      <w:r>
        <w:rPr>
          <w:sz w:val="13"/>
        </w:rPr>
        <w:t>(A/HRC/43/13, párr. 123.4), India</w:t>
      </w:r>
      <w:r>
        <w:rPr>
          <w:spacing w:val="-1"/>
          <w:sz w:val="13"/>
        </w:rPr>
        <w:t xml:space="preserve"> </w:t>
      </w:r>
      <w:r>
        <w:rPr>
          <w:sz w:val="13"/>
        </w:rPr>
        <w:t>(A/HRC/37/12, párr. 148.34), Irak</w:t>
      </w:r>
      <w:r>
        <w:rPr>
          <w:spacing w:val="-1"/>
          <w:sz w:val="13"/>
        </w:rPr>
        <w:t xml:space="preserve"> </w:t>
      </w:r>
      <w:r>
        <w:rPr>
          <w:sz w:val="13"/>
        </w:rPr>
        <w:t>(A/HRC/37/15, párr. 161.66), Irlanda</w:t>
      </w:r>
      <w:r>
        <w:rPr>
          <w:spacing w:val="-1"/>
          <w:sz w:val="13"/>
        </w:rPr>
        <w:t xml:space="preserve"> </w:t>
      </w:r>
      <w:r>
        <w:rPr>
          <w:sz w:val="13"/>
        </w:rPr>
        <w:t>(A/HRC/ 41/15, párr. 139.36), Italia</w:t>
      </w:r>
      <w:r>
        <w:rPr>
          <w:spacing w:val="-1"/>
          <w:sz w:val="13"/>
        </w:rPr>
        <w:t xml:space="preserve"> </w:t>
      </w:r>
      <w:r>
        <w:rPr>
          <w:sz w:val="13"/>
        </w:rPr>
        <w:t>(A/HRC/</w:t>
      </w:r>
      <w:r>
        <w:rPr>
          <w:spacing w:val="40"/>
          <w:sz w:val="13"/>
        </w:rPr>
        <w:t xml:space="preserve"> </w:t>
      </w:r>
      <w:r>
        <w:rPr>
          <w:sz w:val="13"/>
        </w:rPr>
        <w:t xml:space="preserve">37/11, párr. 132.62), </w:t>
      </w:r>
      <w:proofErr w:type="spellStart"/>
      <w:r>
        <w:rPr>
          <w:sz w:val="13"/>
        </w:rPr>
        <w:t>Kenya</w:t>
      </w:r>
      <w:proofErr w:type="spellEnd"/>
      <w:r>
        <w:rPr>
          <w:sz w:val="13"/>
        </w:rPr>
        <w:t xml:space="preserve"> (A/HRC/37/15, párr. 161.67), Madagascar (A/HRC/40/13 y </w:t>
      </w:r>
      <w:proofErr w:type="spellStart"/>
      <w:r>
        <w:rPr>
          <w:sz w:val="13"/>
        </w:rPr>
        <w:t>Corr</w:t>
      </w:r>
      <w:proofErr w:type="spellEnd"/>
      <w:r>
        <w:rPr>
          <w:sz w:val="13"/>
        </w:rPr>
        <w:t xml:space="preserve"> .1, párr. 78.23), México (A/HRC/44/10, párr. 153.52),</w:t>
      </w:r>
      <w:r>
        <w:rPr>
          <w:spacing w:val="40"/>
          <w:sz w:val="13"/>
        </w:rPr>
        <w:t xml:space="preserve"> </w:t>
      </w:r>
      <w:r>
        <w:rPr>
          <w:sz w:val="13"/>
        </w:rPr>
        <w:t>Montenegro (A/HRC/39/3, párr. 115.2), Países Bajos (A/HRC/37/15, párr. 161.59), Nueva Zelanda (A/HRC/44/8, párr. 111.29), Nicaragua (A/HRC/</w:t>
      </w:r>
      <w:r>
        <w:rPr>
          <w:spacing w:val="40"/>
          <w:sz w:val="13"/>
        </w:rPr>
        <w:t xml:space="preserve"> </w:t>
      </w:r>
      <w:r>
        <w:rPr>
          <w:sz w:val="13"/>
        </w:rPr>
        <w:t>37/11, párr. 132.33), Noruega (A/HRC/44/9, párr. 144.25), Portugal (A/HRC/43/8, párr. 140.23), Senegal (A/HRC/38/16, párr. 108.32), Sierra Leona</w:t>
      </w:r>
    </w:p>
    <w:p w14:paraId="75BF0733" w14:textId="77777777" w:rsidR="0014798C" w:rsidRDefault="004E1F0B">
      <w:pPr>
        <w:spacing w:before="2" w:line="288" w:lineRule="auto"/>
        <w:ind w:left="1366" w:right="1272"/>
        <w:rPr>
          <w:sz w:val="13"/>
        </w:rPr>
      </w:pPr>
      <w:r>
        <w:rPr>
          <w:sz w:val="13"/>
        </w:rPr>
        <w:t>(A/HRC/37/12, párr. 148.32), Eslovaquia</w:t>
      </w:r>
      <w:r>
        <w:rPr>
          <w:spacing w:val="-1"/>
          <w:sz w:val="13"/>
        </w:rPr>
        <w:t xml:space="preserve"> </w:t>
      </w:r>
      <w:r>
        <w:rPr>
          <w:sz w:val="13"/>
        </w:rPr>
        <w:t>(A/ HRC/44/10, párr. 153.54), Eslovenia</w:t>
      </w:r>
      <w:r>
        <w:rPr>
          <w:spacing w:val="-1"/>
          <w:sz w:val="13"/>
        </w:rPr>
        <w:t xml:space="preserve"> </w:t>
      </w:r>
      <w:r>
        <w:rPr>
          <w:sz w:val="13"/>
        </w:rPr>
        <w:t>(A/HRC/43/8, párr. 140.25), España</w:t>
      </w:r>
      <w:r>
        <w:rPr>
          <w:spacing w:val="-1"/>
          <w:sz w:val="13"/>
        </w:rPr>
        <w:t xml:space="preserve"> </w:t>
      </w:r>
      <w:r>
        <w:rPr>
          <w:sz w:val="13"/>
        </w:rPr>
        <w:t>(A/HRC/37/11, párr. 132.29), Suecia</w:t>
      </w:r>
      <w:r>
        <w:rPr>
          <w:spacing w:val="40"/>
          <w:sz w:val="13"/>
        </w:rPr>
        <w:t xml:space="preserve"> </w:t>
      </w:r>
      <w:r>
        <w:rPr>
          <w:sz w:val="13"/>
        </w:rPr>
        <w:t>(A/HRC/44/14</w:t>
      </w:r>
      <w:proofErr w:type="gramStart"/>
      <w:r>
        <w:rPr>
          <w:sz w:val="13"/>
        </w:rPr>
        <w:t>) ,</w:t>
      </w:r>
      <w:proofErr w:type="gramEnd"/>
      <w:r>
        <w:rPr>
          <w:sz w:val="13"/>
        </w:rPr>
        <w:t xml:space="preserve"> párr. 45.74), Turquía (A/HRC/37/11, párr. 132.34), Ucrania (A/HRC/38/16, párr. 108.31), Estados Unidos de América (A/HRC/38/9, párr.</w:t>
      </w:r>
      <w:r>
        <w:rPr>
          <w:spacing w:val="40"/>
          <w:sz w:val="13"/>
        </w:rPr>
        <w:t xml:space="preserve"> </w:t>
      </w:r>
      <w:r>
        <w:rPr>
          <w:sz w:val="13"/>
        </w:rPr>
        <w:t>105.122), Uruguay (A/HRC/44/10,</w:t>
      </w:r>
    </w:p>
    <w:p w14:paraId="3C843580" w14:textId="77777777" w:rsidR="0014798C" w:rsidRDefault="004E1F0B">
      <w:pPr>
        <w:spacing w:before="1"/>
        <w:ind w:left="1366"/>
        <w:rPr>
          <w:sz w:val="13"/>
        </w:rPr>
      </w:pPr>
      <w:r>
        <w:rPr>
          <w:sz w:val="13"/>
        </w:rPr>
        <w:t>paraca.</w:t>
      </w:r>
      <w:r>
        <w:rPr>
          <w:spacing w:val="-6"/>
          <w:sz w:val="13"/>
        </w:rPr>
        <w:t xml:space="preserve"> </w:t>
      </w:r>
      <w:r>
        <w:rPr>
          <w:sz w:val="13"/>
        </w:rPr>
        <w:t>153.57),</w:t>
      </w:r>
      <w:r>
        <w:rPr>
          <w:spacing w:val="-6"/>
          <w:sz w:val="13"/>
        </w:rPr>
        <w:t xml:space="preserve"> </w:t>
      </w:r>
      <w:r>
        <w:rPr>
          <w:sz w:val="13"/>
        </w:rPr>
        <w:t>Venezuela</w:t>
      </w:r>
      <w:r>
        <w:rPr>
          <w:spacing w:val="-6"/>
          <w:sz w:val="13"/>
        </w:rPr>
        <w:t xml:space="preserve"> </w:t>
      </w:r>
      <w:r>
        <w:rPr>
          <w:sz w:val="13"/>
        </w:rPr>
        <w:t>(República</w:t>
      </w:r>
      <w:r>
        <w:rPr>
          <w:spacing w:val="-5"/>
          <w:sz w:val="13"/>
        </w:rPr>
        <w:t xml:space="preserve"> </w:t>
      </w:r>
      <w:r>
        <w:rPr>
          <w:sz w:val="13"/>
        </w:rPr>
        <w:t>Bolivariana</w:t>
      </w:r>
      <w:r>
        <w:rPr>
          <w:spacing w:val="-7"/>
          <w:sz w:val="13"/>
        </w:rPr>
        <w:t xml:space="preserve"> </w:t>
      </w:r>
      <w:r>
        <w:rPr>
          <w:sz w:val="13"/>
        </w:rPr>
        <w:t>de)</w:t>
      </w:r>
      <w:r>
        <w:rPr>
          <w:spacing w:val="-5"/>
          <w:sz w:val="13"/>
        </w:rPr>
        <w:t xml:space="preserve"> </w:t>
      </w:r>
      <w:r>
        <w:rPr>
          <w:sz w:val="13"/>
        </w:rPr>
        <w:t>(A/HRC/37/12,</w:t>
      </w:r>
      <w:r>
        <w:rPr>
          <w:spacing w:val="-6"/>
          <w:sz w:val="13"/>
        </w:rPr>
        <w:t xml:space="preserve"> </w:t>
      </w:r>
      <w:r>
        <w:rPr>
          <w:sz w:val="13"/>
        </w:rPr>
        <w:t>párr.</w:t>
      </w:r>
      <w:r>
        <w:rPr>
          <w:spacing w:val="-5"/>
          <w:sz w:val="13"/>
        </w:rPr>
        <w:t xml:space="preserve"> </w:t>
      </w:r>
      <w:r>
        <w:rPr>
          <w:sz w:val="13"/>
        </w:rPr>
        <w:t>148.31)</w:t>
      </w:r>
      <w:r>
        <w:rPr>
          <w:spacing w:val="-7"/>
          <w:sz w:val="13"/>
        </w:rPr>
        <w:t xml:space="preserve"> </w:t>
      </w:r>
      <w:r>
        <w:rPr>
          <w:sz w:val="13"/>
        </w:rPr>
        <w:t>y</w:t>
      </w:r>
      <w:r>
        <w:rPr>
          <w:spacing w:val="-5"/>
          <w:sz w:val="13"/>
        </w:rPr>
        <w:t xml:space="preserve"> </w:t>
      </w:r>
      <w:r>
        <w:rPr>
          <w:sz w:val="13"/>
        </w:rPr>
        <w:t>Estado</w:t>
      </w:r>
      <w:r>
        <w:rPr>
          <w:spacing w:val="-7"/>
          <w:sz w:val="13"/>
        </w:rPr>
        <w:t xml:space="preserve"> </w:t>
      </w:r>
      <w:r>
        <w:rPr>
          <w:sz w:val="13"/>
        </w:rPr>
        <w:t>de</w:t>
      </w:r>
      <w:r>
        <w:rPr>
          <w:spacing w:val="-5"/>
          <w:sz w:val="13"/>
        </w:rPr>
        <w:t xml:space="preserve"> </w:t>
      </w:r>
      <w:r>
        <w:rPr>
          <w:sz w:val="13"/>
        </w:rPr>
        <w:t>Palestina</w:t>
      </w:r>
      <w:r>
        <w:rPr>
          <w:spacing w:val="-6"/>
          <w:sz w:val="13"/>
        </w:rPr>
        <w:t xml:space="preserve"> </w:t>
      </w:r>
      <w:r>
        <w:rPr>
          <w:sz w:val="13"/>
        </w:rPr>
        <w:t>(A/HRC/37/11,</w:t>
      </w:r>
      <w:r>
        <w:rPr>
          <w:spacing w:val="-6"/>
          <w:sz w:val="13"/>
        </w:rPr>
        <w:t xml:space="preserve"> </w:t>
      </w:r>
      <w:r>
        <w:rPr>
          <w:sz w:val="13"/>
        </w:rPr>
        <w:t>párr.</w:t>
      </w:r>
      <w:r>
        <w:rPr>
          <w:spacing w:val="-5"/>
          <w:sz w:val="13"/>
        </w:rPr>
        <w:t xml:space="preserve"> </w:t>
      </w:r>
      <w:r>
        <w:rPr>
          <w:spacing w:val="-2"/>
          <w:sz w:val="13"/>
        </w:rPr>
        <w:t>132.35).</w:t>
      </w:r>
    </w:p>
    <w:p w14:paraId="370540A6" w14:textId="77777777" w:rsidR="0014798C" w:rsidRDefault="004E1F0B">
      <w:pPr>
        <w:spacing w:before="87"/>
        <w:ind w:left="1108"/>
        <w:rPr>
          <w:sz w:val="13"/>
        </w:rPr>
      </w:pPr>
      <w:r>
        <w:rPr>
          <w:sz w:val="13"/>
          <w:vertAlign w:val="superscript"/>
        </w:rPr>
        <w:t>68</w:t>
      </w:r>
      <w:r>
        <w:rPr>
          <w:spacing w:val="43"/>
          <w:sz w:val="13"/>
        </w:rPr>
        <w:t xml:space="preserve">  </w:t>
      </w:r>
      <w:r>
        <w:rPr>
          <w:sz w:val="13"/>
        </w:rPr>
        <w:t>A/HRC/37/6, párr.</w:t>
      </w:r>
      <w:r>
        <w:rPr>
          <w:spacing w:val="-1"/>
          <w:sz w:val="13"/>
        </w:rPr>
        <w:t xml:space="preserve"> </w:t>
      </w:r>
      <w:r>
        <w:rPr>
          <w:spacing w:val="-2"/>
          <w:sz w:val="13"/>
        </w:rPr>
        <w:t>118,62.</w:t>
      </w:r>
    </w:p>
    <w:p w14:paraId="5F8DEF47" w14:textId="77777777" w:rsidR="0014798C" w:rsidRDefault="004E1F0B">
      <w:pPr>
        <w:spacing w:before="87"/>
        <w:ind w:left="1108"/>
        <w:rPr>
          <w:sz w:val="13"/>
        </w:rPr>
      </w:pPr>
      <w:r>
        <w:rPr>
          <w:spacing w:val="-2"/>
          <w:sz w:val="13"/>
          <w:vertAlign w:val="superscript"/>
        </w:rPr>
        <w:t>69</w:t>
      </w:r>
      <w:r>
        <w:rPr>
          <w:spacing w:val="51"/>
          <w:sz w:val="13"/>
        </w:rPr>
        <w:t xml:space="preserve">  </w:t>
      </w:r>
      <w:r>
        <w:rPr>
          <w:spacing w:val="-2"/>
          <w:sz w:val="13"/>
        </w:rPr>
        <w:t>A/HRC/37/11,</w:t>
      </w:r>
      <w:r>
        <w:rPr>
          <w:spacing w:val="3"/>
          <w:sz w:val="13"/>
        </w:rPr>
        <w:t xml:space="preserve"> </w:t>
      </w:r>
      <w:proofErr w:type="spellStart"/>
      <w:r>
        <w:rPr>
          <w:spacing w:val="-2"/>
          <w:sz w:val="13"/>
        </w:rPr>
        <w:t>párrs</w:t>
      </w:r>
      <w:proofErr w:type="spellEnd"/>
      <w:r>
        <w:rPr>
          <w:spacing w:val="-2"/>
          <w:sz w:val="13"/>
        </w:rPr>
        <w:t>.</w:t>
      </w:r>
      <w:r>
        <w:rPr>
          <w:spacing w:val="2"/>
          <w:sz w:val="13"/>
        </w:rPr>
        <w:t xml:space="preserve"> </w:t>
      </w:r>
      <w:r>
        <w:rPr>
          <w:spacing w:val="-2"/>
          <w:sz w:val="13"/>
        </w:rPr>
        <w:t>132,27–132,29,</w:t>
      </w:r>
      <w:r>
        <w:rPr>
          <w:spacing w:val="3"/>
          <w:sz w:val="13"/>
        </w:rPr>
        <w:t xml:space="preserve"> </w:t>
      </w:r>
      <w:r>
        <w:rPr>
          <w:spacing w:val="-2"/>
          <w:sz w:val="13"/>
        </w:rPr>
        <w:t>132,34–132,35,</w:t>
      </w:r>
      <w:r>
        <w:rPr>
          <w:spacing w:val="3"/>
          <w:sz w:val="13"/>
        </w:rPr>
        <w:t xml:space="preserve"> </w:t>
      </w:r>
      <w:r>
        <w:rPr>
          <w:spacing w:val="-2"/>
          <w:sz w:val="13"/>
        </w:rPr>
        <w:t>132,37–132,40,</w:t>
      </w:r>
      <w:r>
        <w:rPr>
          <w:spacing w:val="3"/>
          <w:sz w:val="13"/>
        </w:rPr>
        <w:t xml:space="preserve"> </w:t>
      </w:r>
      <w:r>
        <w:rPr>
          <w:spacing w:val="-2"/>
          <w:sz w:val="13"/>
        </w:rPr>
        <w:t>132,42</w:t>
      </w:r>
      <w:r>
        <w:rPr>
          <w:spacing w:val="1"/>
          <w:sz w:val="13"/>
        </w:rPr>
        <w:t xml:space="preserve"> </w:t>
      </w:r>
      <w:r>
        <w:rPr>
          <w:spacing w:val="-2"/>
          <w:sz w:val="13"/>
        </w:rPr>
        <w:t>y</w:t>
      </w:r>
      <w:r>
        <w:rPr>
          <w:spacing w:val="3"/>
          <w:sz w:val="13"/>
        </w:rPr>
        <w:t xml:space="preserve"> </w:t>
      </w:r>
      <w:r>
        <w:rPr>
          <w:spacing w:val="-2"/>
          <w:sz w:val="13"/>
        </w:rPr>
        <w:t>132,64–132,65;</w:t>
      </w:r>
      <w:r>
        <w:rPr>
          <w:spacing w:val="3"/>
          <w:sz w:val="13"/>
        </w:rPr>
        <w:t xml:space="preserve"> </w:t>
      </w:r>
      <w:r>
        <w:rPr>
          <w:spacing w:val="-2"/>
          <w:sz w:val="13"/>
        </w:rPr>
        <w:t>y</w:t>
      </w:r>
      <w:r>
        <w:rPr>
          <w:spacing w:val="3"/>
          <w:sz w:val="13"/>
        </w:rPr>
        <w:t xml:space="preserve"> </w:t>
      </w:r>
      <w:r>
        <w:rPr>
          <w:spacing w:val="-2"/>
          <w:sz w:val="13"/>
        </w:rPr>
        <w:t>A/HRC/37/11/Add.1,</w:t>
      </w:r>
      <w:r>
        <w:rPr>
          <w:spacing w:val="2"/>
          <w:sz w:val="13"/>
        </w:rPr>
        <w:t xml:space="preserve"> </w:t>
      </w:r>
      <w:proofErr w:type="spellStart"/>
      <w:r>
        <w:rPr>
          <w:spacing w:val="-2"/>
          <w:sz w:val="13"/>
        </w:rPr>
        <w:t>párrs</w:t>
      </w:r>
      <w:proofErr w:type="spellEnd"/>
      <w:r>
        <w:rPr>
          <w:spacing w:val="-2"/>
          <w:sz w:val="13"/>
        </w:rPr>
        <w:t>.</w:t>
      </w:r>
      <w:r>
        <w:rPr>
          <w:spacing w:val="3"/>
          <w:sz w:val="13"/>
        </w:rPr>
        <w:t xml:space="preserve"> </w:t>
      </w:r>
      <w:r>
        <w:rPr>
          <w:spacing w:val="-2"/>
          <w:sz w:val="13"/>
        </w:rPr>
        <w:t>15-</w:t>
      </w:r>
      <w:r>
        <w:rPr>
          <w:spacing w:val="-5"/>
          <w:sz w:val="13"/>
        </w:rPr>
        <w:t>16.</w:t>
      </w:r>
    </w:p>
    <w:p w14:paraId="632161DD" w14:textId="77777777" w:rsidR="0014798C" w:rsidRDefault="0014798C">
      <w:pPr>
        <w:pStyle w:val="Textoindependiente"/>
        <w:spacing w:before="10"/>
        <w:rPr>
          <w:sz w:val="11"/>
        </w:rPr>
      </w:pPr>
    </w:p>
    <w:p w14:paraId="12B44AC8" w14:textId="77777777" w:rsidR="0014798C" w:rsidRDefault="004E1F0B">
      <w:pPr>
        <w:spacing w:before="1"/>
        <w:ind w:left="1108"/>
        <w:rPr>
          <w:sz w:val="11"/>
        </w:rPr>
      </w:pPr>
      <w:r>
        <w:rPr>
          <w:w w:val="105"/>
          <w:sz w:val="11"/>
        </w:rPr>
        <w:t>70</w:t>
      </w:r>
      <w:r>
        <w:rPr>
          <w:spacing w:val="-8"/>
          <w:w w:val="105"/>
          <w:sz w:val="11"/>
        </w:rPr>
        <w:t xml:space="preserve"> </w:t>
      </w:r>
      <w:r>
        <w:rPr>
          <w:w w:val="105"/>
          <w:sz w:val="11"/>
        </w:rPr>
        <w:t>Declaración</w:t>
      </w:r>
      <w:r>
        <w:rPr>
          <w:spacing w:val="-8"/>
          <w:w w:val="105"/>
          <w:sz w:val="11"/>
        </w:rPr>
        <w:t xml:space="preserve"> </w:t>
      </w:r>
      <w:r>
        <w:rPr>
          <w:w w:val="105"/>
          <w:sz w:val="11"/>
        </w:rPr>
        <w:t>de</w:t>
      </w:r>
      <w:r>
        <w:rPr>
          <w:spacing w:val="-8"/>
          <w:w w:val="105"/>
          <w:sz w:val="11"/>
        </w:rPr>
        <w:t xml:space="preserve"> </w:t>
      </w:r>
      <w:r>
        <w:rPr>
          <w:w w:val="105"/>
          <w:sz w:val="11"/>
        </w:rPr>
        <w:t>Durban,</w:t>
      </w:r>
      <w:r>
        <w:rPr>
          <w:spacing w:val="-8"/>
          <w:w w:val="105"/>
          <w:sz w:val="11"/>
        </w:rPr>
        <w:t xml:space="preserve"> </w:t>
      </w:r>
      <w:r>
        <w:rPr>
          <w:w w:val="105"/>
          <w:sz w:val="11"/>
        </w:rPr>
        <w:t>párr.</w:t>
      </w:r>
      <w:r>
        <w:rPr>
          <w:spacing w:val="-8"/>
          <w:w w:val="105"/>
          <w:sz w:val="11"/>
        </w:rPr>
        <w:t xml:space="preserve"> </w:t>
      </w:r>
      <w:r>
        <w:rPr>
          <w:spacing w:val="-5"/>
          <w:w w:val="105"/>
          <w:sz w:val="11"/>
        </w:rPr>
        <w:t>2.</w:t>
      </w:r>
    </w:p>
    <w:p w14:paraId="29A598EC" w14:textId="77777777" w:rsidR="0014798C" w:rsidRDefault="004E1F0B">
      <w:pPr>
        <w:spacing w:before="110"/>
        <w:ind w:left="1108"/>
        <w:rPr>
          <w:sz w:val="11"/>
        </w:rPr>
      </w:pPr>
      <w:r>
        <w:rPr>
          <w:w w:val="105"/>
          <w:sz w:val="11"/>
        </w:rPr>
        <w:t>71</w:t>
      </w:r>
      <w:r>
        <w:rPr>
          <w:spacing w:val="-8"/>
          <w:w w:val="105"/>
          <w:sz w:val="11"/>
        </w:rPr>
        <w:t xml:space="preserve"> </w:t>
      </w:r>
      <w:r>
        <w:rPr>
          <w:w w:val="105"/>
          <w:sz w:val="11"/>
        </w:rPr>
        <w:t>Documento</w:t>
      </w:r>
      <w:r>
        <w:rPr>
          <w:spacing w:val="-7"/>
          <w:w w:val="105"/>
          <w:sz w:val="11"/>
        </w:rPr>
        <w:t xml:space="preserve"> </w:t>
      </w:r>
      <w:r>
        <w:rPr>
          <w:w w:val="105"/>
          <w:sz w:val="11"/>
        </w:rPr>
        <w:t>final</w:t>
      </w:r>
      <w:r>
        <w:rPr>
          <w:spacing w:val="-7"/>
          <w:w w:val="105"/>
          <w:sz w:val="11"/>
        </w:rPr>
        <w:t xml:space="preserve"> </w:t>
      </w:r>
      <w:r>
        <w:rPr>
          <w:w w:val="105"/>
          <w:sz w:val="11"/>
        </w:rPr>
        <w:t>de</w:t>
      </w:r>
      <w:r>
        <w:rPr>
          <w:spacing w:val="-7"/>
          <w:w w:val="105"/>
          <w:sz w:val="11"/>
        </w:rPr>
        <w:t xml:space="preserve"> </w:t>
      </w:r>
      <w:r>
        <w:rPr>
          <w:w w:val="105"/>
          <w:sz w:val="11"/>
        </w:rPr>
        <w:t>la</w:t>
      </w:r>
      <w:r>
        <w:rPr>
          <w:spacing w:val="-7"/>
          <w:w w:val="105"/>
          <w:sz w:val="11"/>
        </w:rPr>
        <w:t xml:space="preserve"> </w:t>
      </w:r>
      <w:r>
        <w:rPr>
          <w:w w:val="105"/>
          <w:sz w:val="11"/>
        </w:rPr>
        <w:t>Conferencia</w:t>
      </w:r>
      <w:r>
        <w:rPr>
          <w:spacing w:val="-7"/>
          <w:w w:val="105"/>
          <w:sz w:val="11"/>
        </w:rPr>
        <w:t xml:space="preserve"> </w:t>
      </w:r>
      <w:r>
        <w:rPr>
          <w:w w:val="105"/>
          <w:sz w:val="11"/>
        </w:rPr>
        <w:t>de</w:t>
      </w:r>
      <w:r>
        <w:rPr>
          <w:spacing w:val="-7"/>
          <w:w w:val="105"/>
          <w:sz w:val="11"/>
        </w:rPr>
        <w:t xml:space="preserve"> </w:t>
      </w:r>
      <w:r>
        <w:rPr>
          <w:w w:val="105"/>
          <w:sz w:val="11"/>
        </w:rPr>
        <w:t>Examen</w:t>
      </w:r>
      <w:r>
        <w:rPr>
          <w:spacing w:val="-7"/>
          <w:w w:val="105"/>
          <w:sz w:val="11"/>
        </w:rPr>
        <w:t xml:space="preserve"> </w:t>
      </w:r>
      <w:r>
        <w:rPr>
          <w:w w:val="105"/>
          <w:sz w:val="11"/>
        </w:rPr>
        <w:t>de</w:t>
      </w:r>
      <w:r>
        <w:rPr>
          <w:spacing w:val="-7"/>
          <w:w w:val="105"/>
          <w:sz w:val="11"/>
        </w:rPr>
        <w:t xml:space="preserve"> </w:t>
      </w:r>
      <w:r>
        <w:rPr>
          <w:w w:val="105"/>
          <w:sz w:val="11"/>
        </w:rPr>
        <w:t>Durban,</w:t>
      </w:r>
      <w:r>
        <w:rPr>
          <w:spacing w:val="-7"/>
          <w:w w:val="105"/>
          <w:sz w:val="11"/>
        </w:rPr>
        <w:t xml:space="preserve"> </w:t>
      </w:r>
      <w:r>
        <w:rPr>
          <w:w w:val="105"/>
          <w:sz w:val="11"/>
        </w:rPr>
        <w:t>párr.</w:t>
      </w:r>
      <w:r>
        <w:rPr>
          <w:spacing w:val="-7"/>
          <w:w w:val="105"/>
          <w:sz w:val="11"/>
        </w:rPr>
        <w:t xml:space="preserve"> </w:t>
      </w:r>
      <w:r>
        <w:rPr>
          <w:spacing w:val="-5"/>
          <w:w w:val="105"/>
          <w:sz w:val="11"/>
        </w:rPr>
        <w:t>85.</w:t>
      </w:r>
    </w:p>
    <w:p w14:paraId="50E86D66" w14:textId="77777777" w:rsidR="0014798C" w:rsidRDefault="004E1F0B">
      <w:pPr>
        <w:spacing w:before="109" w:line="340" w:lineRule="auto"/>
        <w:ind w:left="1369" w:right="1463" w:hanging="262"/>
        <w:rPr>
          <w:sz w:val="11"/>
        </w:rPr>
      </w:pPr>
      <w:r>
        <w:rPr>
          <w:w w:val="105"/>
          <w:sz w:val="11"/>
        </w:rPr>
        <w:t>72</w:t>
      </w:r>
      <w:r>
        <w:rPr>
          <w:spacing w:val="-3"/>
          <w:w w:val="105"/>
          <w:sz w:val="11"/>
        </w:rPr>
        <w:t xml:space="preserve"> </w:t>
      </w:r>
      <w:r>
        <w:rPr>
          <w:w w:val="105"/>
          <w:sz w:val="11"/>
        </w:rPr>
        <w:t>En</w:t>
      </w:r>
      <w:r>
        <w:rPr>
          <w:spacing w:val="-3"/>
          <w:w w:val="105"/>
          <w:sz w:val="11"/>
        </w:rPr>
        <w:t xml:space="preserve"> </w:t>
      </w:r>
      <w:r>
        <w:rPr>
          <w:w w:val="105"/>
          <w:sz w:val="11"/>
        </w:rPr>
        <w:t>particular,</w:t>
      </w:r>
      <w:r>
        <w:rPr>
          <w:spacing w:val="-2"/>
          <w:w w:val="105"/>
          <w:sz w:val="11"/>
        </w:rPr>
        <w:t xml:space="preserve"> </w:t>
      </w:r>
      <w:r>
        <w:rPr>
          <w:w w:val="105"/>
          <w:sz w:val="11"/>
        </w:rPr>
        <w:t>el</w:t>
      </w:r>
      <w:r>
        <w:rPr>
          <w:spacing w:val="-3"/>
          <w:w w:val="105"/>
          <w:sz w:val="11"/>
        </w:rPr>
        <w:t xml:space="preserve"> </w:t>
      </w:r>
      <w:r>
        <w:rPr>
          <w:w w:val="105"/>
          <w:sz w:val="11"/>
        </w:rPr>
        <w:t>logro</w:t>
      </w:r>
      <w:r>
        <w:rPr>
          <w:spacing w:val="-3"/>
          <w:w w:val="105"/>
          <w:sz w:val="11"/>
        </w:rPr>
        <w:t xml:space="preserve"> </w:t>
      </w:r>
      <w:r>
        <w:rPr>
          <w:w w:val="105"/>
          <w:sz w:val="11"/>
        </w:rPr>
        <w:t>de</w:t>
      </w:r>
      <w:r>
        <w:rPr>
          <w:spacing w:val="-3"/>
          <w:w w:val="105"/>
          <w:sz w:val="11"/>
        </w:rPr>
        <w:t xml:space="preserve"> </w:t>
      </w:r>
      <w:r>
        <w:rPr>
          <w:w w:val="105"/>
          <w:sz w:val="11"/>
        </w:rPr>
        <w:t>los</w:t>
      </w:r>
      <w:r>
        <w:rPr>
          <w:spacing w:val="-3"/>
          <w:w w:val="105"/>
          <w:sz w:val="11"/>
        </w:rPr>
        <w:t xml:space="preserve"> </w:t>
      </w:r>
      <w:r>
        <w:rPr>
          <w:w w:val="105"/>
          <w:sz w:val="11"/>
        </w:rPr>
        <w:t>Objetivos</w:t>
      </w:r>
      <w:r>
        <w:rPr>
          <w:spacing w:val="-3"/>
          <w:w w:val="105"/>
          <w:sz w:val="11"/>
        </w:rPr>
        <w:t xml:space="preserve"> </w:t>
      </w:r>
      <w:r>
        <w:rPr>
          <w:w w:val="105"/>
          <w:sz w:val="11"/>
        </w:rPr>
        <w:t>10</w:t>
      </w:r>
      <w:r>
        <w:rPr>
          <w:spacing w:val="-3"/>
          <w:w w:val="105"/>
          <w:sz w:val="11"/>
        </w:rPr>
        <w:t xml:space="preserve"> </w:t>
      </w:r>
      <w:r>
        <w:rPr>
          <w:w w:val="105"/>
          <w:sz w:val="11"/>
        </w:rPr>
        <w:t>y</w:t>
      </w:r>
      <w:r>
        <w:rPr>
          <w:spacing w:val="-3"/>
          <w:w w:val="105"/>
          <w:sz w:val="11"/>
        </w:rPr>
        <w:t xml:space="preserve"> </w:t>
      </w:r>
      <w:r>
        <w:rPr>
          <w:w w:val="105"/>
          <w:sz w:val="11"/>
        </w:rPr>
        <w:t>16.</w:t>
      </w:r>
      <w:r>
        <w:rPr>
          <w:spacing w:val="-3"/>
          <w:w w:val="105"/>
          <w:sz w:val="11"/>
        </w:rPr>
        <w:t xml:space="preserve"> </w:t>
      </w:r>
      <w:r>
        <w:rPr>
          <w:w w:val="105"/>
          <w:sz w:val="11"/>
        </w:rPr>
        <w:t>Como</w:t>
      </w:r>
      <w:r>
        <w:rPr>
          <w:spacing w:val="-3"/>
          <w:w w:val="105"/>
          <w:sz w:val="11"/>
        </w:rPr>
        <w:t xml:space="preserve"> </w:t>
      </w:r>
      <w:r>
        <w:rPr>
          <w:w w:val="105"/>
          <w:sz w:val="11"/>
        </w:rPr>
        <w:t>se</w:t>
      </w:r>
      <w:r>
        <w:rPr>
          <w:spacing w:val="-3"/>
          <w:w w:val="105"/>
          <w:sz w:val="11"/>
        </w:rPr>
        <w:t xml:space="preserve"> </w:t>
      </w:r>
      <w:r>
        <w:rPr>
          <w:w w:val="105"/>
          <w:sz w:val="11"/>
        </w:rPr>
        <w:t>analizó</w:t>
      </w:r>
      <w:r>
        <w:rPr>
          <w:spacing w:val="-3"/>
          <w:w w:val="105"/>
          <w:sz w:val="11"/>
        </w:rPr>
        <w:t xml:space="preserve"> </w:t>
      </w:r>
      <w:r>
        <w:rPr>
          <w:w w:val="105"/>
          <w:sz w:val="11"/>
        </w:rPr>
        <w:t>en</w:t>
      </w:r>
      <w:r>
        <w:rPr>
          <w:spacing w:val="-3"/>
          <w:w w:val="105"/>
          <w:sz w:val="11"/>
        </w:rPr>
        <w:t xml:space="preserve"> </w:t>
      </w:r>
      <w:r>
        <w:rPr>
          <w:w w:val="105"/>
          <w:sz w:val="11"/>
        </w:rPr>
        <w:t>otros</w:t>
      </w:r>
      <w:r>
        <w:rPr>
          <w:spacing w:val="-3"/>
          <w:w w:val="105"/>
          <w:sz w:val="11"/>
        </w:rPr>
        <w:t xml:space="preserve"> </w:t>
      </w:r>
      <w:r>
        <w:rPr>
          <w:w w:val="105"/>
          <w:sz w:val="11"/>
        </w:rPr>
        <w:t>lugares,</w:t>
      </w:r>
      <w:r>
        <w:rPr>
          <w:spacing w:val="-3"/>
          <w:w w:val="105"/>
          <w:sz w:val="11"/>
        </w:rPr>
        <w:t xml:space="preserve"> </w:t>
      </w:r>
      <w:r>
        <w:rPr>
          <w:w w:val="105"/>
          <w:sz w:val="11"/>
        </w:rPr>
        <w:t>la</w:t>
      </w:r>
      <w:r>
        <w:rPr>
          <w:spacing w:val="-3"/>
          <w:w w:val="105"/>
          <w:sz w:val="11"/>
        </w:rPr>
        <w:t xml:space="preserve"> </w:t>
      </w:r>
      <w:r>
        <w:rPr>
          <w:w w:val="105"/>
          <w:sz w:val="11"/>
        </w:rPr>
        <w:t>ley</w:t>
      </w:r>
      <w:r>
        <w:rPr>
          <w:spacing w:val="-3"/>
          <w:w w:val="105"/>
          <w:sz w:val="11"/>
        </w:rPr>
        <w:t xml:space="preserve"> </w:t>
      </w:r>
      <w:r>
        <w:rPr>
          <w:w w:val="105"/>
          <w:sz w:val="11"/>
        </w:rPr>
        <w:t>de</w:t>
      </w:r>
      <w:r>
        <w:rPr>
          <w:spacing w:val="-3"/>
          <w:w w:val="105"/>
          <w:sz w:val="11"/>
        </w:rPr>
        <w:t xml:space="preserve"> </w:t>
      </w:r>
      <w:r>
        <w:rPr>
          <w:w w:val="105"/>
          <w:sz w:val="11"/>
        </w:rPr>
        <w:t>igualdad</w:t>
      </w:r>
      <w:r>
        <w:rPr>
          <w:spacing w:val="-3"/>
          <w:w w:val="105"/>
          <w:sz w:val="11"/>
        </w:rPr>
        <w:t xml:space="preserve"> </w:t>
      </w:r>
      <w:r>
        <w:rPr>
          <w:w w:val="105"/>
          <w:sz w:val="11"/>
        </w:rPr>
        <w:t>proporciona</w:t>
      </w:r>
      <w:r>
        <w:rPr>
          <w:spacing w:val="-3"/>
          <w:w w:val="105"/>
          <w:sz w:val="11"/>
        </w:rPr>
        <w:t xml:space="preserve"> </w:t>
      </w:r>
      <w:r>
        <w:rPr>
          <w:w w:val="105"/>
          <w:sz w:val="11"/>
        </w:rPr>
        <w:t>un</w:t>
      </w:r>
      <w:r>
        <w:rPr>
          <w:spacing w:val="-3"/>
          <w:w w:val="105"/>
          <w:sz w:val="11"/>
        </w:rPr>
        <w:t xml:space="preserve"> </w:t>
      </w:r>
      <w:r>
        <w:rPr>
          <w:w w:val="105"/>
          <w:sz w:val="11"/>
        </w:rPr>
        <w:t>medio</w:t>
      </w:r>
      <w:r>
        <w:rPr>
          <w:spacing w:val="-3"/>
          <w:w w:val="105"/>
          <w:sz w:val="11"/>
        </w:rPr>
        <w:t xml:space="preserve"> </w:t>
      </w:r>
      <w:r>
        <w:rPr>
          <w:w w:val="105"/>
          <w:sz w:val="11"/>
        </w:rPr>
        <w:t>para</w:t>
      </w:r>
      <w:r>
        <w:rPr>
          <w:spacing w:val="-3"/>
          <w:w w:val="105"/>
          <w:sz w:val="11"/>
        </w:rPr>
        <w:t xml:space="preserve"> </w:t>
      </w:r>
      <w:r>
        <w:rPr>
          <w:w w:val="105"/>
          <w:sz w:val="11"/>
        </w:rPr>
        <w:t>acelerar</w:t>
      </w:r>
      <w:r>
        <w:rPr>
          <w:spacing w:val="-3"/>
          <w:w w:val="105"/>
          <w:sz w:val="11"/>
        </w:rPr>
        <w:t xml:space="preserve"> </w:t>
      </w:r>
      <w:r>
        <w:rPr>
          <w:w w:val="105"/>
          <w:sz w:val="11"/>
        </w:rPr>
        <w:t>el</w:t>
      </w:r>
      <w:r>
        <w:rPr>
          <w:spacing w:val="-3"/>
          <w:w w:val="105"/>
          <w:sz w:val="11"/>
        </w:rPr>
        <w:t xml:space="preserve"> </w:t>
      </w:r>
      <w:r>
        <w:rPr>
          <w:w w:val="105"/>
          <w:sz w:val="11"/>
        </w:rPr>
        <w:t>progreso</w:t>
      </w:r>
      <w:r>
        <w:rPr>
          <w:spacing w:val="-3"/>
          <w:w w:val="105"/>
          <w:sz w:val="11"/>
        </w:rPr>
        <w:t xml:space="preserve"> </w:t>
      </w:r>
      <w:r>
        <w:rPr>
          <w:w w:val="105"/>
          <w:sz w:val="11"/>
        </w:rPr>
        <w:t>hacia</w:t>
      </w:r>
      <w:r>
        <w:rPr>
          <w:spacing w:val="-3"/>
          <w:w w:val="105"/>
          <w:sz w:val="11"/>
        </w:rPr>
        <w:t xml:space="preserve"> </w:t>
      </w:r>
      <w:r>
        <w:rPr>
          <w:w w:val="105"/>
          <w:sz w:val="11"/>
        </w:rPr>
        <w:t>el</w:t>
      </w:r>
      <w:r>
        <w:rPr>
          <w:spacing w:val="-3"/>
          <w:w w:val="105"/>
          <w:sz w:val="11"/>
        </w:rPr>
        <w:t xml:space="preserve"> </w:t>
      </w:r>
      <w:r>
        <w:rPr>
          <w:w w:val="105"/>
          <w:sz w:val="11"/>
        </w:rPr>
        <w:t>logro</w:t>
      </w:r>
      <w:r>
        <w:rPr>
          <w:spacing w:val="-3"/>
          <w:w w:val="105"/>
          <w:sz w:val="11"/>
        </w:rPr>
        <w:t xml:space="preserve"> </w:t>
      </w:r>
      <w:r>
        <w:rPr>
          <w:w w:val="105"/>
          <w:sz w:val="11"/>
        </w:rPr>
        <w:t>de</w:t>
      </w:r>
      <w:r>
        <w:rPr>
          <w:spacing w:val="-3"/>
          <w:w w:val="105"/>
          <w:sz w:val="11"/>
        </w:rPr>
        <w:t xml:space="preserve"> </w:t>
      </w:r>
      <w:r>
        <w:rPr>
          <w:w w:val="105"/>
          <w:sz w:val="11"/>
        </w:rPr>
        <w:t>los</w:t>
      </w:r>
      <w:r>
        <w:rPr>
          <w:spacing w:val="40"/>
          <w:w w:val="105"/>
          <w:sz w:val="11"/>
        </w:rPr>
        <w:t xml:space="preserve"> </w:t>
      </w:r>
      <w:r>
        <w:rPr>
          <w:w w:val="105"/>
          <w:sz w:val="11"/>
        </w:rPr>
        <w:t>Objetivos</w:t>
      </w:r>
      <w:r>
        <w:rPr>
          <w:spacing w:val="-1"/>
          <w:w w:val="105"/>
          <w:sz w:val="11"/>
        </w:rPr>
        <w:t xml:space="preserve"> </w:t>
      </w:r>
      <w:r>
        <w:rPr>
          <w:w w:val="105"/>
          <w:sz w:val="11"/>
        </w:rPr>
        <w:t>1,</w:t>
      </w:r>
      <w:r>
        <w:rPr>
          <w:spacing w:val="-1"/>
          <w:w w:val="105"/>
          <w:sz w:val="11"/>
        </w:rPr>
        <w:t xml:space="preserve"> </w:t>
      </w:r>
      <w:r>
        <w:rPr>
          <w:w w:val="105"/>
          <w:sz w:val="11"/>
        </w:rPr>
        <w:t>2,</w:t>
      </w:r>
      <w:r>
        <w:rPr>
          <w:spacing w:val="-1"/>
          <w:w w:val="105"/>
          <w:sz w:val="11"/>
        </w:rPr>
        <w:t xml:space="preserve"> </w:t>
      </w:r>
      <w:r>
        <w:rPr>
          <w:w w:val="105"/>
          <w:sz w:val="11"/>
        </w:rPr>
        <w:t>3</w:t>
      </w:r>
      <w:r>
        <w:rPr>
          <w:spacing w:val="-1"/>
          <w:w w:val="105"/>
          <w:sz w:val="11"/>
        </w:rPr>
        <w:t xml:space="preserve"> </w:t>
      </w:r>
      <w:r>
        <w:rPr>
          <w:w w:val="105"/>
          <w:sz w:val="11"/>
        </w:rPr>
        <w:t>y</w:t>
      </w:r>
      <w:r>
        <w:rPr>
          <w:spacing w:val="-1"/>
          <w:w w:val="105"/>
          <w:sz w:val="11"/>
        </w:rPr>
        <w:t xml:space="preserve"> </w:t>
      </w:r>
      <w:r>
        <w:rPr>
          <w:w w:val="105"/>
          <w:sz w:val="11"/>
        </w:rPr>
        <w:t>4,</w:t>
      </w:r>
      <w:r>
        <w:rPr>
          <w:spacing w:val="-1"/>
          <w:w w:val="105"/>
          <w:sz w:val="11"/>
        </w:rPr>
        <w:t xml:space="preserve"> </w:t>
      </w:r>
      <w:r>
        <w:rPr>
          <w:w w:val="105"/>
          <w:sz w:val="11"/>
        </w:rPr>
        <w:t>al</w:t>
      </w:r>
      <w:r>
        <w:rPr>
          <w:spacing w:val="-1"/>
          <w:w w:val="105"/>
          <w:sz w:val="11"/>
        </w:rPr>
        <w:t xml:space="preserve"> </w:t>
      </w:r>
      <w:r>
        <w:rPr>
          <w:w w:val="105"/>
          <w:sz w:val="11"/>
        </w:rPr>
        <w:t>proporcionar</w:t>
      </w:r>
      <w:r>
        <w:rPr>
          <w:spacing w:val="-1"/>
          <w:w w:val="105"/>
          <w:sz w:val="11"/>
        </w:rPr>
        <w:t xml:space="preserve"> </w:t>
      </w:r>
      <w:r>
        <w:rPr>
          <w:w w:val="105"/>
          <w:sz w:val="11"/>
        </w:rPr>
        <w:t>un</w:t>
      </w:r>
      <w:r>
        <w:rPr>
          <w:spacing w:val="-1"/>
          <w:w w:val="105"/>
          <w:sz w:val="11"/>
        </w:rPr>
        <w:t xml:space="preserve"> </w:t>
      </w:r>
      <w:r>
        <w:rPr>
          <w:w w:val="105"/>
          <w:sz w:val="11"/>
        </w:rPr>
        <w:t>marco</w:t>
      </w:r>
      <w:r>
        <w:rPr>
          <w:spacing w:val="-1"/>
          <w:w w:val="105"/>
          <w:sz w:val="11"/>
        </w:rPr>
        <w:t xml:space="preserve"> </w:t>
      </w:r>
      <w:r>
        <w:rPr>
          <w:w w:val="105"/>
          <w:sz w:val="11"/>
        </w:rPr>
        <w:t>legal</w:t>
      </w:r>
      <w:r>
        <w:rPr>
          <w:spacing w:val="-1"/>
          <w:w w:val="105"/>
          <w:sz w:val="11"/>
        </w:rPr>
        <w:t xml:space="preserve"> </w:t>
      </w:r>
      <w:r>
        <w:rPr>
          <w:w w:val="105"/>
          <w:sz w:val="11"/>
        </w:rPr>
        <w:t>para</w:t>
      </w:r>
      <w:r>
        <w:rPr>
          <w:spacing w:val="-1"/>
          <w:w w:val="105"/>
          <w:sz w:val="11"/>
        </w:rPr>
        <w:t xml:space="preserve"> </w:t>
      </w:r>
      <w:r>
        <w:rPr>
          <w:w w:val="105"/>
          <w:sz w:val="11"/>
        </w:rPr>
        <w:t>desafiar</w:t>
      </w:r>
      <w:r>
        <w:rPr>
          <w:spacing w:val="-1"/>
          <w:w w:val="105"/>
          <w:sz w:val="11"/>
        </w:rPr>
        <w:t xml:space="preserve"> </w:t>
      </w:r>
      <w:r>
        <w:rPr>
          <w:w w:val="105"/>
          <w:sz w:val="11"/>
        </w:rPr>
        <w:t>las</w:t>
      </w:r>
      <w:r>
        <w:rPr>
          <w:spacing w:val="-1"/>
          <w:w w:val="105"/>
          <w:sz w:val="11"/>
        </w:rPr>
        <w:t xml:space="preserve"> </w:t>
      </w:r>
      <w:r>
        <w:rPr>
          <w:w w:val="105"/>
          <w:sz w:val="11"/>
        </w:rPr>
        <w:t>barreras</w:t>
      </w:r>
      <w:r>
        <w:rPr>
          <w:spacing w:val="-1"/>
          <w:w w:val="105"/>
          <w:sz w:val="11"/>
        </w:rPr>
        <w:t xml:space="preserve"> </w:t>
      </w:r>
      <w:r>
        <w:rPr>
          <w:w w:val="105"/>
          <w:sz w:val="11"/>
        </w:rPr>
        <w:t>discriminatorias</w:t>
      </w:r>
      <w:r>
        <w:rPr>
          <w:spacing w:val="-1"/>
          <w:w w:val="105"/>
          <w:sz w:val="11"/>
        </w:rPr>
        <w:t xml:space="preserve"> </w:t>
      </w:r>
      <w:r>
        <w:rPr>
          <w:w w:val="105"/>
          <w:sz w:val="11"/>
        </w:rPr>
        <w:t>al</w:t>
      </w:r>
      <w:r>
        <w:rPr>
          <w:spacing w:val="-1"/>
          <w:w w:val="105"/>
          <w:sz w:val="11"/>
        </w:rPr>
        <w:t xml:space="preserve"> </w:t>
      </w:r>
      <w:r>
        <w:rPr>
          <w:w w:val="105"/>
          <w:sz w:val="11"/>
        </w:rPr>
        <w:t>desarrollo. Véase</w:t>
      </w:r>
      <w:r>
        <w:rPr>
          <w:spacing w:val="-1"/>
          <w:w w:val="105"/>
          <w:sz w:val="11"/>
        </w:rPr>
        <w:t xml:space="preserve"> </w:t>
      </w:r>
      <w:proofErr w:type="spellStart"/>
      <w:r>
        <w:rPr>
          <w:w w:val="105"/>
          <w:sz w:val="11"/>
        </w:rPr>
        <w:t>Equal</w:t>
      </w:r>
      <w:proofErr w:type="spellEnd"/>
      <w:r>
        <w:rPr>
          <w:spacing w:val="-1"/>
          <w:w w:val="105"/>
          <w:sz w:val="11"/>
        </w:rPr>
        <w:t xml:space="preserve"> </w:t>
      </w:r>
      <w:proofErr w:type="spellStart"/>
      <w:r>
        <w:rPr>
          <w:w w:val="105"/>
          <w:sz w:val="11"/>
        </w:rPr>
        <w:t>Rights</w:t>
      </w:r>
      <w:proofErr w:type="spellEnd"/>
      <w:r>
        <w:rPr>
          <w:spacing w:val="-1"/>
          <w:w w:val="105"/>
          <w:sz w:val="11"/>
        </w:rPr>
        <w:t xml:space="preserve"> </w:t>
      </w:r>
      <w:r>
        <w:rPr>
          <w:w w:val="105"/>
          <w:sz w:val="11"/>
        </w:rPr>
        <w:t>Trust,</w:t>
      </w:r>
      <w:r>
        <w:rPr>
          <w:spacing w:val="-1"/>
          <w:w w:val="105"/>
          <w:sz w:val="11"/>
        </w:rPr>
        <w:t xml:space="preserve"> </w:t>
      </w:r>
      <w:r>
        <w:rPr>
          <w:w w:val="105"/>
          <w:sz w:val="11"/>
        </w:rPr>
        <w:t>“No</w:t>
      </w:r>
      <w:r>
        <w:rPr>
          <w:spacing w:val="-1"/>
          <w:w w:val="105"/>
          <w:sz w:val="11"/>
        </w:rPr>
        <w:t xml:space="preserve"> </w:t>
      </w:r>
      <w:proofErr w:type="spellStart"/>
      <w:r>
        <w:rPr>
          <w:w w:val="105"/>
          <w:sz w:val="11"/>
        </w:rPr>
        <w:t>one</w:t>
      </w:r>
      <w:proofErr w:type="spellEnd"/>
      <w:r>
        <w:rPr>
          <w:spacing w:val="-1"/>
          <w:w w:val="105"/>
          <w:sz w:val="11"/>
        </w:rPr>
        <w:t xml:space="preserve"> </w:t>
      </w:r>
      <w:proofErr w:type="spellStart"/>
      <w:r>
        <w:rPr>
          <w:w w:val="105"/>
          <w:sz w:val="11"/>
        </w:rPr>
        <w:t>left</w:t>
      </w:r>
      <w:proofErr w:type="spellEnd"/>
      <w:r>
        <w:rPr>
          <w:spacing w:val="-1"/>
          <w:w w:val="105"/>
          <w:sz w:val="11"/>
        </w:rPr>
        <w:t xml:space="preserve"> </w:t>
      </w:r>
      <w:proofErr w:type="spellStart"/>
      <w:r>
        <w:rPr>
          <w:w w:val="105"/>
          <w:sz w:val="11"/>
        </w:rPr>
        <w:t>left</w:t>
      </w:r>
      <w:proofErr w:type="spellEnd"/>
      <w:r>
        <w:rPr>
          <w:spacing w:val="-1"/>
          <w:w w:val="105"/>
          <w:sz w:val="11"/>
        </w:rPr>
        <w:t xml:space="preserve"> </w:t>
      </w:r>
      <w:r>
        <w:rPr>
          <w:w w:val="105"/>
          <w:sz w:val="11"/>
        </w:rPr>
        <w:t>atrás:</w:t>
      </w:r>
      <w:r>
        <w:rPr>
          <w:spacing w:val="-1"/>
          <w:w w:val="105"/>
          <w:sz w:val="11"/>
        </w:rPr>
        <w:t xml:space="preserve"> </w:t>
      </w:r>
      <w:r>
        <w:rPr>
          <w:w w:val="105"/>
          <w:sz w:val="11"/>
        </w:rPr>
        <w:t>un</w:t>
      </w:r>
    </w:p>
    <w:p w14:paraId="7FB9CFD2" w14:textId="77777777" w:rsidR="0014798C" w:rsidRDefault="004E1F0B">
      <w:pPr>
        <w:spacing w:before="1" w:line="340" w:lineRule="auto"/>
        <w:ind w:left="1369" w:right="1272" w:hanging="4"/>
        <w:rPr>
          <w:sz w:val="11"/>
        </w:rPr>
      </w:pPr>
      <w:r>
        <w:rPr>
          <w:w w:val="105"/>
          <w:sz w:val="11"/>
        </w:rPr>
        <w:t>enfoque</w:t>
      </w:r>
      <w:r>
        <w:rPr>
          <w:spacing w:val="-3"/>
          <w:w w:val="105"/>
          <w:sz w:val="11"/>
        </w:rPr>
        <w:t xml:space="preserve"> </w:t>
      </w:r>
      <w:r>
        <w:rPr>
          <w:w w:val="105"/>
          <w:sz w:val="11"/>
        </w:rPr>
        <w:t>de</w:t>
      </w:r>
      <w:r>
        <w:rPr>
          <w:spacing w:val="-3"/>
          <w:w w:val="105"/>
          <w:sz w:val="11"/>
        </w:rPr>
        <w:t xml:space="preserve"> </w:t>
      </w:r>
      <w:r>
        <w:rPr>
          <w:w w:val="105"/>
          <w:sz w:val="11"/>
        </w:rPr>
        <w:t>igualdad</w:t>
      </w:r>
      <w:r>
        <w:rPr>
          <w:spacing w:val="-3"/>
          <w:w w:val="105"/>
          <w:sz w:val="11"/>
        </w:rPr>
        <w:t xml:space="preserve"> </w:t>
      </w:r>
      <w:r>
        <w:rPr>
          <w:w w:val="105"/>
          <w:sz w:val="11"/>
        </w:rPr>
        <w:t>de</w:t>
      </w:r>
      <w:r>
        <w:rPr>
          <w:spacing w:val="-3"/>
          <w:w w:val="105"/>
          <w:sz w:val="11"/>
        </w:rPr>
        <w:t xml:space="preserve"> </w:t>
      </w:r>
      <w:r>
        <w:rPr>
          <w:w w:val="105"/>
          <w:sz w:val="11"/>
        </w:rPr>
        <w:t>derechos</w:t>
      </w:r>
      <w:r>
        <w:rPr>
          <w:spacing w:val="-3"/>
          <w:w w:val="105"/>
          <w:sz w:val="11"/>
        </w:rPr>
        <w:t xml:space="preserve"> </w:t>
      </w:r>
      <w:r>
        <w:rPr>
          <w:w w:val="105"/>
          <w:sz w:val="11"/>
        </w:rPr>
        <w:t>para</w:t>
      </w:r>
      <w:r>
        <w:rPr>
          <w:spacing w:val="-3"/>
          <w:w w:val="105"/>
          <w:sz w:val="11"/>
        </w:rPr>
        <w:t xml:space="preserve"> </w:t>
      </w:r>
      <w:r>
        <w:rPr>
          <w:w w:val="105"/>
          <w:sz w:val="11"/>
        </w:rPr>
        <w:t>el</w:t>
      </w:r>
      <w:r>
        <w:rPr>
          <w:spacing w:val="-3"/>
          <w:w w:val="105"/>
          <w:sz w:val="11"/>
        </w:rPr>
        <w:t xml:space="preserve"> </w:t>
      </w:r>
      <w:r>
        <w:rPr>
          <w:w w:val="105"/>
          <w:sz w:val="11"/>
        </w:rPr>
        <w:t>desarrollo</w:t>
      </w:r>
      <w:r>
        <w:rPr>
          <w:spacing w:val="-3"/>
          <w:w w:val="105"/>
          <w:sz w:val="11"/>
        </w:rPr>
        <w:t xml:space="preserve"> </w:t>
      </w:r>
      <w:r>
        <w:rPr>
          <w:w w:val="105"/>
          <w:sz w:val="11"/>
        </w:rPr>
        <w:t>sostenible”,</w:t>
      </w:r>
      <w:r>
        <w:rPr>
          <w:spacing w:val="-2"/>
          <w:w w:val="105"/>
          <w:sz w:val="11"/>
        </w:rPr>
        <w:t xml:space="preserve"> </w:t>
      </w:r>
      <w:r>
        <w:rPr>
          <w:w w:val="105"/>
          <w:sz w:val="11"/>
        </w:rPr>
        <w:t>presentación</w:t>
      </w:r>
      <w:r>
        <w:rPr>
          <w:spacing w:val="-3"/>
          <w:w w:val="105"/>
          <w:sz w:val="11"/>
        </w:rPr>
        <w:t xml:space="preserve"> </w:t>
      </w:r>
      <w:r>
        <w:rPr>
          <w:w w:val="105"/>
          <w:sz w:val="11"/>
        </w:rPr>
        <w:t>al</w:t>
      </w:r>
      <w:r>
        <w:rPr>
          <w:spacing w:val="-3"/>
          <w:w w:val="105"/>
          <w:sz w:val="11"/>
        </w:rPr>
        <w:t xml:space="preserve"> </w:t>
      </w:r>
      <w:r>
        <w:rPr>
          <w:w w:val="105"/>
          <w:sz w:val="11"/>
        </w:rPr>
        <w:t>Relator</w:t>
      </w:r>
      <w:r>
        <w:rPr>
          <w:spacing w:val="-3"/>
          <w:w w:val="105"/>
          <w:sz w:val="11"/>
        </w:rPr>
        <w:t xml:space="preserve"> </w:t>
      </w:r>
      <w:r>
        <w:rPr>
          <w:w w:val="105"/>
          <w:sz w:val="11"/>
        </w:rPr>
        <w:t>Especial</w:t>
      </w:r>
      <w:r>
        <w:rPr>
          <w:spacing w:val="-3"/>
          <w:w w:val="105"/>
          <w:sz w:val="11"/>
        </w:rPr>
        <w:t xml:space="preserve"> </w:t>
      </w:r>
      <w:r>
        <w:rPr>
          <w:w w:val="105"/>
          <w:sz w:val="11"/>
        </w:rPr>
        <w:t>sobre</w:t>
      </w:r>
      <w:r>
        <w:rPr>
          <w:spacing w:val="-3"/>
          <w:w w:val="105"/>
          <w:sz w:val="11"/>
        </w:rPr>
        <w:t xml:space="preserve"> </w:t>
      </w:r>
      <w:r>
        <w:rPr>
          <w:w w:val="105"/>
          <w:sz w:val="11"/>
        </w:rPr>
        <w:t>el</w:t>
      </w:r>
      <w:r>
        <w:rPr>
          <w:spacing w:val="-3"/>
          <w:w w:val="105"/>
          <w:sz w:val="11"/>
        </w:rPr>
        <w:t xml:space="preserve"> </w:t>
      </w:r>
      <w:r>
        <w:rPr>
          <w:w w:val="105"/>
          <w:sz w:val="11"/>
        </w:rPr>
        <w:t>derecho</w:t>
      </w:r>
      <w:r>
        <w:rPr>
          <w:spacing w:val="-3"/>
          <w:w w:val="105"/>
          <w:sz w:val="11"/>
        </w:rPr>
        <w:t xml:space="preserve"> </w:t>
      </w:r>
      <w:r>
        <w:rPr>
          <w:w w:val="105"/>
          <w:sz w:val="11"/>
        </w:rPr>
        <w:t>al</w:t>
      </w:r>
      <w:r>
        <w:rPr>
          <w:spacing w:val="-3"/>
          <w:w w:val="105"/>
          <w:sz w:val="11"/>
        </w:rPr>
        <w:t xml:space="preserve"> </w:t>
      </w:r>
      <w:r>
        <w:rPr>
          <w:w w:val="105"/>
          <w:sz w:val="11"/>
        </w:rPr>
        <w:t>desarrollo</w:t>
      </w:r>
      <w:r>
        <w:rPr>
          <w:spacing w:val="-3"/>
          <w:w w:val="105"/>
          <w:sz w:val="11"/>
        </w:rPr>
        <w:t xml:space="preserve"> </w:t>
      </w:r>
      <w:r>
        <w:rPr>
          <w:w w:val="105"/>
          <w:sz w:val="11"/>
        </w:rPr>
        <w:t>sobre</w:t>
      </w:r>
      <w:r>
        <w:rPr>
          <w:spacing w:val="-3"/>
          <w:w w:val="105"/>
          <w:sz w:val="11"/>
        </w:rPr>
        <w:t xml:space="preserve"> </w:t>
      </w:r>
      <w:r>
        <w:rPr>
          <w:w w:val="105"/>
          <w:sz w:val="11"/>
        </w:rPr>
        <w:t>buenas</w:t>
      </w:r>
      <w:r>
        <w:rPr>
          <w:spacing w:val="-3"/>
          <w:w w:val="105"/>
          <w:sz w:val="11"/>
        </w:rPr>
        <w:t xml:space="preserve"> </w:t>
      </w:r>
      <w:r>
        <w:rPr>
          <w:w w:val="105"/>
          <w:sz w:val="11"/>
        </w:rPr>
        <w:t>prácticas</w:t>
      </w:r>
      <w:r>
        <w:rPr>
          <w:spacing w:val="-3"/>
          <w:w w:val="105"/>
          <w:sz w:val="11"/>
        </w:rPr>
        <w:t xml:space="preserve"> </w:t>
      </w:r>
      <w:r>
        <w:rPr>
          <w:w w:val="105"/>
          <w:sz w:val="11"/>
        </w:rPr>
        <w:t>con</w:t>
      </w:r>
      <w:r>
        <w:rPr>
          <w:spacing w:val="-3"/>
          <w:w w:val="105"/>
          <w:sz w:val="11"/>
        </w:rPr>
        <w:t xml:space="preserve"> </w:t>
      </w:r>
      <w:r>
        <w:rPr>
          <w:w w:val="105"/>
          <w:sz w:val="11"/>
        </w:rPr>
        <w:t>respecto</w:t>
      </w:r>
      <w:r>
        <w:rPr>
          <w:spacing w:val="-3"/>
          <w:w w:val="105"/>
          <w:sz w:val="11"/>
        </w:rPr>
        <w:t xml:space="preserve"> </w:t>
      </w:r>
      <w:r>
        <w:rPr>
          <w:w w:val="105"/>
          <w:sz w:val="11"/>
        </w:rPr>
        <w:t>a</w:t>
      </w:r>
      <w:r>
        <w:rPr>
          <w:spacing w:val="-3"/>
          <w:w w:val="105"/>
          <w:sz w:val="11"/>
        </w:rPr>
        <w:t xml:space="preserve"> </w:t>
      </w:r>
      <w:r>
        <w:rPr>
          <w:w w:val="105"/>
          <w:sz w:val="11"/>
        </w:rPr>
        <w:t>la</w:t>
      </w:r>
      <w:r>
        <w:rPr>
          <w:spacing w:val="40"/>
          <w:w w:val="105"/>
          <w:sz w:val="11"/>
        </w:rPr>
        <w:t xml:space="preserve"> </w:t>
      </w:r>
      <w:r>
        <w:rPr>
          <w:w w:val="105"/>
          <w:sz w:val="11"/>
        </w:rPr>
        <w:t>implementación práctica del derecho al desarrollo (Londres, 2018).</w:t>
      </w:r>
    </w:p>
    <w:p w14:paraId="1666AF77" w14:textId="77777777" w:rsidR="0014798C" w:rsidRDefault="004E1F0B">
      <w:pPr>
        <w:spacing w:before="7"/>
        <w:ind w:left="1108"/>
        <w:rPr>
          <w:sz w:val="13"/>
        </w:rPr>
      </w:pPr>
      <w:r>
        <w:rPr>
          <w:sz w:val="13"/>
          <w:vertAlign w:val="superscript"/>
        </w:rPr>
        <w:t>73</w:t>
      </w:r>
      <w:r>
        <w:rPr>
          <w:spacing w:val="43"/>
          <w:sz w:val="13"/>
        </w:rPr>
        <w:t xml:space="preserve">  </w:t>
      </w:r>
      <w:r>
        <w:rPr>
          <w:sz w:val="13"/>
        </w:rPr>
        <w:t>Meta</w:t>
      </w:r>
      <w:r>
        <w:rPr>
          <w:spacing w:val="-2"/>
          <w:sz w:val="13"/>
        </w:rPr>
        <w:t xml:space="preserve"> </w:t>
      </w:r>
      <w:r>
        <w:rPr>
          <w:sz w:val="13"/>
        </w:rPr>
        <w:t>10.3</w:t>
      </w:r>
      <w:r>
        <w:rPr>
          <w:spacing w:val="-2"/>
          <w:sz w:val="13"/>
        </w:rPr>
        <w:t xml:space="preserve"> </w:t>
      </w:r>
      <w:r>
        <w:rPr>
          <w:sz w:val="13"/>
        </w:rPr>
        <w:t>de</w:t>
      </w:r>
      <w:r>
        <w:rPr>
          <w:spacing w:val="-1"/>
          <w:sz w:val="13"/>
        </w:rPr>
        <w:t xml:space="preserve"> </w:t>
      </w:r>
      <w:r>
        <w:rPr>
          <w:sz w:val="13"/>
        </w:rPr>
        <w:t>los</w:t>
      </w:r>
      <w:r>
        <w:rPr>
          <w:spacing w:val="-1"/>
          <w:sz w:val="13"/>
        </w:rPr>
        <w:t xml:space="preserve"> </w:t>
      </w:r>
      <w:r>
        <w:rPr>
          <w:sz w:val="13"/>
        </w:rPr>
        <w:t>Objetivos</w:t>
      </w:r>
      <w:r>
        <w:rPr>
          <w:spacing w:val="-2"/>
          <w:sz w:val="13"/>
        </w:rPr>
        <w:t xml:space="preserve"> </w:t>
      </w:r>
      <w:r>
        <w:rPr>
          <w:sz w:val="13"/>
        </w:rPr>
        <w:t>de</w:t>
      </w:r>
      <w:r>
        <w:rPr>
          <w:spacing w:val="-1"/>
          <w:sz w:val="13"/>
        </w:rPr>
        <w:t xml:space="preserve"> </w:t>
      </w:r>
      <w:r>
        <w:rPr>
          <w:sz w:val="13"/>
        </w:rPr>
        <w:t xml:space="preserve">Desarrollo </w:t>
      </w:r>
      <w:r>
        <w:rPr>
          <w:spacing w:val="-2"/>
          <w:sz w:val="13"/>
        </w:rPr>
        <w:t>Sostenible.</w:t>
      </w:r>
    </w:p>
    <w:p w14:paraId="7C662B96" w14:textId="77777777" w:rsidR="0014798C" w:rsidRDefault="004E1F0B">
      <w:pPr>
        <w:spacing w:before="87"/>
        <w:ind w:left="1108"/>
        <w:rPr>
          <w:sz w:val="13"/>
        </w:rPr>
      </w:pPr>
      <w:r>
        <w:rPr>
          <w:sz w:val="13"/>
          <w:vertAlign w:val="superscript"/>
        </w:rPr>
        <w:t>74</w:t>
      </w:r>
      <w:r>
        <w:rPr>
          <w:spacing w:val="43"/>
          <w:sz w:val="13"/>
        </w:rPr>
        <w:t xml:space="preserve">  </w:t>
      </w:r>
      <w:r>
        <w:rPr>
          <w:sz w:val="13"/>
        </w:rPr>
        <w:t>A/HRC/42/38,</w:t>
      </w:r>
      <w:r>
        <w:rPr>
          <w:spacing w:val="1"/>
          <w:sz w:val="13"/>
        </w:rPr>
        <w:t xml:space="preserve"> </w:t>
      </w:r>
      <w:proofErr w:type="spellStart"/>
      <w:r>
        <w:rPr>
          <w:sz w:val="13"/>
        </w:rPr>
        <w:t>párrs</w:t>
      </w:r>
      <w:proofErr w:type="spellEnd"/>
      <w:r>
        <w:rPr>
          <w:sz w:val="13"/>
        </w:rPr>
        <w:t xml:space="preserve">. </w:t>
      </w:r>
      <w:r>
        <w:rPr>
          <w:spacing w:val="-2"/>
          <w:sz w:val="13"/>
        </w:rPr>
        <w:t>147–148.</w:t>
      </w:r>
    </w:p>
    <w:p w14:paraId="76A32501" w14:textId="77777777" w:rsidR="0014798C" w:rsidRDefault="0014798C">
      <w:pPr>
        <w:pStyle w:val="Textoindependiente"/>
        <w:spacing w:before="10"/>
        <w:rPr>
          <w:sz w:val="11"/>
        </w:rPr>
      </w:pPr>
    </w:p>
    <w:p w14:paraId="6BCF9FF5" w14:textId="77777777" w:rsidR="0014798C" w:rsidRDefault="004E1F0B">
      <w:pPr>
        <w:ind w:left="1108"/>
        <w:rPr>
          <w:sz w:val="11"/>
        </w:rPr>
      </w:pPr>
      <w:r>
        <w:rPr>
          <w:w w:val="105"/>
          <w:sz w:val="11"/>
        </w:rPr>
        <w:t>75</w:t>
      </w:r>
      <w:r>
        <w:rPr>
          <w:spacing w:val="-7"/>
          <w:w w:val="105"/>
          <w:sz w:val="11"/>
        </w:rPr>
        <w:t xml:space="preserve"> </w:t>
      </w:r>
      <w:r>
        <w:rPr>
          <w:w w:val="105"/>
          <w:sz w:val="11"/>
        </w:rPr>
        <w:t>En</w:t>
      </w:r>
      <w:r>
        <w:rPr>
          <w:spacing w:val="-6"/>
          <w:w w:val="105"/>
          <w:sz w:val="11"/>
        </w:rPr>
        <w:t xml:space="preserve"> </w:t>
      </w:r>
      <w:r>
        <w:rPr>
          <w:w w:val="105"/>
          <w:sz w:val="11"/>
        </w:rPr>
        <w:t>particular,</w:t>
      </w:r>
      <w:r>
        <w:rPr>
          <w:spacing w:val="-6"/>
          <w:w w:val="105"/>
          <w:sz w:val="11"/>
        </w:rPr>
        <w:t xml:space="preserve"> </w:t>
      </w:r>
      <w:r>
        <w:rPr>
          <w:w w:val="105"/>
          <w:sz w:val="11"/>
        </w:rPr>
        <w:t>la</w:t>
      </w:r>
      <w:r>
        <w:rPr>
          <w:spacing w:val="-7"/>
          <w:w w:val="105"/>
          <w:sz w:val="11"/>
        </w:rPr>
        <w:t xml:space="preserve"> </w:t>
      </w:r>
      <w:r>
        <w:rPr>
          <w:w w:val="105"/>
          <w:sz w:val="11"/>
        </w:rPr>
        <w:t>meta</w:t>
      </w:r>
      <w:r>
        <w:rPr>
          <w:spacing w:val="-6"/>
          <w:w w:val="105"/>
          <w:sz w:val="11"/>
        </w:rPr>
        <w:t xml:space="preserve"> </w:t>
      </w:r>
      <w:r>
        <w:rPr>
          <w:w w:val="105"/>
          <w:sz w:val="11"/>
        </w:rPr>
        <w:t>5.c</w:t>
      </w:r>
      <w:r>
        <w:rPr>
          <w:spacing w:val="-7"/>
          <w:w w:val="105"/>
          <w:sz w:val="11"/>
        </w:rPr>
        <w:t xml:space="preserve"> </w:t>
      </w:r>
      <w:r>
        <w:rPr>
          <w:w w:val="105"/>
          <w:sz w:val="11"/>
        </w:rPr>
        <w:t>requiere</w:t>
      </w:r>
      <w:r>
        <w:rPr>
          <w:spacing w:val="-6"/>
          <w:w w:val="105"/>
          <w:sz w:val="11"/>
        </w:rPr>
        <w:t xml:space="preserve"> </w:t>
      </w:r>
      <w:r>
        <w:rPr>
          <w:w w:val="105"/>
          <w:sz w:val="11"/>
        </w:rPr>
        <w:t>que</w:t>
      </w:r>
      <w:r>
        <w:rPr>
          <w:spacing w:val="-6"/>
          <w:w w:val="105"/>
          <w:sz w:val="11"/>
        </w:rPr>
        <w:t xml:space="preserve"> </w:t>
      </w:r>
      <w:r>
        <w:rPr>
          <w:w w:val="105"/>
          <w:sz w:val="11"/>
        </w:rPr>
        <w:t>los</w:t>
      </w:r>
      <w:r>
        <w:rPr>
          <w:spacing w:val="-7"/>
          <w:w w:val="105"/>
          <w:sz w:val="11"/>
        </w:rPr>
        <w:t xml:space="preserve"> </w:t>
      </w:r>
      <w:r>
        <w:rPr>
          <w:w w:val="105"/>
          <w:sz w:val="11"/>
        </w:rPr>
        <w:t>Estados</w:t>
      </w:r>
      <w:r>
        <w:rPr>
          <w:spacing w:val="-6"/>
          <w:w w:val="105"/>
          <w:sz w:val="11"/>
        </w:rPr>
        <w:t xml:space="preserve"> </w:t>
      </w:r>
      <w:r>
        <w:rPr>
          <w:w w:val="105"/>
          <w:sz w:val="11"/>
        </w:rPr>
        <w:t>“adopten</w:t>
      </w:r>
      <w:r>
        <w:rPr>
          <w:spacing w:val="-7"/>
          <w:w w:val="105"/>
          <w:sz w:val="11"/>
        </w:rPr>
        <w:t xml:space="preserve"> </w:t>
      </w:r>
      <w:r>
        <w:rPr>
          <w:w w:val="105"/>
          <w:sz w:val="11"/>
        </w:rPr>
        <w:t>y</w:t>
      </w:r>
      <w:r>
        <w:rPr>
          <w:spacing w:val="-6"/>
          <w:w w:val="105"/>
          <w:sz w:val="11"/>
        </w:rPr>
        <w:t xml:space="preserve"> </w:t>
      </w:r>
      <w:r>
        <w:rPr>
          <w:w w:val="105"/>
          <w:sz w:val="11"/>
        </w:rPr>
        <w:t>fortalezcan</w:t>
      </w:r>
      <w:r>
        <w:rPr>
          <w:spacing w:val="-7"/>
          <w:w w:val="105"/>
          <w:sz w:val="11"/>
        </w:rPr>
        <w:t xml:space="preserve"> </w:t>
      </w:r>
      <w:r>
        <w:rPr>
          <w:w w:val="105"/>
          <w:sz w:val="11"/>
        </w:rPr>
        <w:t>políticas</w:t>
      </w:r>
      <w:r>
        <w:rPr>
          <w:spacing w:val="-6"/>
          <w:w w:val="105"/>
          <w:sz w:val="11"/>
        </w:rPr>
        <w:t xml:space="preserve"> </w:t>
      </w:r>
      <w:r>
        <w:rPr>
          <w:w w:val="105"/>
          <w:sz w:val="11"/>
        </w:rPr>
        <w:t>sólidas</w:t>
      </w:r>
      <w:r>
        <w:rPr>
          <w:spacing w:val="-7"/>
          <w:w w:val="105"/>
          <w:sz w:val="11"/>
        </w:rPr>
        <w:t xml:space="preserve"> </w:t>
      </w:r>
      <w:r>
        <w:rPr>
          <w:w w:val="105"/>
          <w:sz w:val="11"/>
        </w:rPr>
        <w:t>y</w:t>
      </w:r>
      <w:r>
        <w:rPr>
          <w:spacing w:val="-6"/>
          <w:w w:val="105"/>
          <w:sz w:val="11"/>
        </w:rPr>
        <w:t xml:space="preserve"> </w:t>
      </w:r>
      <w:r>
        <w:rPr>
          <w:w w:val="105"/>
          <w:sz w:val="11"/>
        </w:rPr>
        <w:t>legislación</w:t>
      </w:r>
      <w:r>
        <w:rPr>
          <w:spacing w:val="-7"/>
          <w:w w:val="105"/>
          <w:sz w:val="11"/>
        </w:rPr>
        <w:t xml:space="preserve"> </w:t>
      </w:r>
      <w:r>
        <w:rPr>
          <w:w w:val="105"/>
          <w:sz w:val="11"/>
        </w:rPr>
        <w:t>aplicable</w:t>
      </w:r>
      <w:r>
        <w:rPr>
          <w:spacing w:val="-6"/>
          <w:w w:val="105"/>
          <w:sz w:val="11"/>
        </w:rPr>
        <w:t xml:space="preserve"> </w:t>
      </w:r>
      <w:r>
        <w:rPr>
          <w:w w:val="105"/>
          <w:sz w:val="11"/>
        </w:rPr>
        <w:t>para</w:t>
      </w:r>
      <w:r>
        <w:rPr>
          <w:spacing w:val="-7"/>
          <w:w w:val="105"/>
          <w:sz w:val="11"/>
        </w:rPr>
        <w:t xml:space="preserve"> </w:t>
      </w:r>
      <w:r>
        <w:rPr>
          <w:w w:val="105"/>
          <w:sz w:val="11"/>
        </w:rPr>
        <w:t>la</w:t>
      </w:r>
      <w:r>
        <w:rPr>
          <w:spacing w:val="-6"/>
          <w:w w:val="105"/>
          <w:sz w:val="11"/>
        </w:rPr>
        <w:t xml:space="preserve"> </w:t>
      </w:r>
      <w:r>
        <w:rPr>
          <w:w w:val="105"/>
          <w:sz w:val="11"/>
        </w:rPr>
        <w:t>promoción</w:t>
      </w:r>
      <w:r>
        <w:rPr>
          <w:spacing w:val="-7"/>
          <w:w w:val="105"/>
          <w:sz w:val="11"/>
        </w:rPr>
        <w:t xml:space="preserve"> </w:t>
      </w:r>
      <w:r>
        <w:rPr>
          <w:w w:val="105"/>
          <w:sz w:val="11"/>
        </w:rPr>
        <w:t>de</w:t>
      </w:r>
      <w:r>
        <w:rPr>
          <w:spacing w:val="-6"/>
          <w:w w:val="105"/>
          <w:sz w:val="11"/>
        </w:rPr>
        <w:t xml:space="preserve"> </w:t>
      </w:r>
      <w:r>
        <w:rPr>
          <w:w w:val="105"/>
          <w:sz w:val="11"/>
        </w:rPr>
        <w:t>la</w:t>
      </w:r>
      <w:r>
        <w:rPr>
          <w:spacing w:val="-7"/>
          <w:w w:val="105"/>
          <w:sz w:val="11"/>
        </w:rPr>
        <w:t xml:space="preserve"> </w:t>
      </w:r>
      <w:r>
        <w:rPr>
          <w:w w:val="105"/>
          <w:sz w:val="11"/>
        </w:rPr>
        <w:t>igualdad</w:t>
      </w:r>
      <w:r>
        <w:rPr>
          <w:spacing w:val="-6"/>
          <w:w w:val="105"/>
          <w:sz w:val="11"/>
        </w:rPr>
        <w:t xml:space="preserve"> </w:t>
      </w:r>
      <w:r>
        <w:rPr>
          <w:w w:val="105"/>
          <w:sz w:val="11"/>
        </w:rPr>
        <w:t>de</w:t>
      </w:r>
      <w:r>
        <w:rPr>
          <w:spacing w:val="-7"/>
          <w:w w:val="105"/>
          <w:sz w:val="11"/>
        </w:rPr>
        <w:t xml:space="preserve"> </w:t>
      </w:r>
      <w:r>
        <w:rPr>
          <w:spacing w:val="-2"/>
          <w:w w:val="105"/>
          <w:sz w:val="11"/>
        </w:rPr>
        <w:t>género”.</w:t>
      </w:r>
    </w:p>
    <w:p w14:paraId="173858F1" w14:textId="77777777" w:rsidR="0014798C" w:rsidRDefault="004E1F0B">
      <w:pPr>
        <w:spacing w:before="3"/>
        <w:ind w:left="1368"/>
        <w:rPr>
          <w:sz w:val="13"/>
        </w:rPr>
      </w:pPr>
      <w:r>
        <w:rPr>
          <w:sz w:val="13"/>
        </w:rPr>
        <w:t>igualdad”,</w:t>
      </w:r>
      <w:r>
        <w:rPr>
          <w:spacing w:val="-5"/>
          <w:sz w:val="13"/>
        </w:rPr>
        <w:t xml:space="preserve"> </w:t>
      </w:r>
      <w:r>
        <w:rPr>
          <w:sz w:val="13"/>
        </w:rPr>
        <w:t>mientras</w:t>
      </w:r>
      <w:r>
        <w:rPr>
          <w:spacing w:val="-3"/>
          <w:sz w:val="13"/>
        </w:rPr>
        <w:t xml:space="preserve"> </w:t>
      </w:r>
      <w:r>
        <w:rPr>
          <w:sz w:val="13"/>
        </w:rPr>
        <w:t>que</w:t>
      </w:r>
      <w:r>
        <w:rPr>
          <w:spacing w:val="-3"/>
          <w:sz w:val="13"/>
        </w:rPr>
        <w:t xml:space="preserve"> </w:t>
      </w:r>
      <w:r>
        <w:rPr>
          <w:sz w:val="13"/>
        </w:rPr>
        <w:t>la</w:t>
      </w:r>
      <w:r>
        <w:rPr>
          <w:spacing w:val="-2"/>
          <w:sz w:val="13"/>
        </w:rPr>
        <w:t xml:space="preserve"> </w:t>
      </w:r>
      <w:r>
        <w:rPr>
          <w:sz w:val="13"/>
        </w:rPr>
        <w:t>meta</w:t>
      </w:r>
      <w:r>
        <w:rPr>
          <w:spacing w:val="-4"/>
          <w:sz w:val="13"/>
        </w:rPr>
        <w:t xml:space="preserve"> </w:t>
      </w:r>
      <w:r>
        <w:rPr>
          <w:sz w:val="13"/>
        </w:rPr>
        <w:t>16.b</w:t>
      </w:r>
      <w:r>
        <w:rPr>
          <w:spacing w:val="-3"/>
          <w:sz w:val="13"/>
        </w:rPr>
        <w:t xml:space="preserve"> </w:t>
      </w:r>
      <w:r>
        <w:rPr>
          <w:sz w:val="13"/>
        </w:rPr>
        <w:t>exige</w:t>
      </w:r>
      <w:r>
        <w:rPr>
          <w:spacing w:val="-2"/>
          <w:sz w:val="13"/>
        </w:rPr>
        <w:t xml:space="preserve"> </w:t>
      </w:r>
      <w:r>
        <w:rPr>
          <w:sz w:val="13"/>
        </w:rPr>
        <w:t>que</w:t>
      </w:r>
      <w:r>
        <w:rPr>
          <w:spacing w:val="-3"/>
          <w:sz w:val="13"/>
        </w:rPr>
        <w:t xml:space="preserve"> </w:t>
      </w:r>
      <w:r>
        <w:rPr>
          <w:sz w:val="13"/>
        </w:rPr>
        <w:t>los</w:t>
      </w:r>
      <w:r>
        <w:rPr>
          <w:spacing w:val="-2"/>
          <w:sz w:val="13"/>
        </w:rPr>
        <w:t xml:space="preserve"> </w:t>
      </w:r>
      <w:r>
        <w:rPr>
          <w:sz w:val="13"/>
        </w:rPr>
        <w:t>Estados</w:t>
      </w:r>
      <w:r>
        <w:rPr>
          <w:spacing w:val="-4"/>
          <w:sz w:val="13"/>
        </w:rPr>
        <w:t xml:space="preserve"> </w:t>
      </w:r>
      <w:r>
        <w:rPr>
          <w:sz w:val="13"/>
        </w:rPr>
        <w:t>“promuevan</w:t>
      </w:r>
      <w:r>
        <w:rPr>
          <w:spacing w:val="-2"/>
          <w:sz w:val="13"/>
        </w:rPr>
        <w:t xml:space="preserve"> </w:t>
      </w:r>
      <w:r>
        <w:rPr>
          <w:sz w:val="13"/>
        </w:rPr>
        <w:t>y</w:t>
      </w:r>
      <w:r>
        <w:rPr>
          <w:spacing w:val="-2"/>
          <w:sz w:val="13"/>
        </w:rPr>
        <w:t xml:space="preserve"> </w:t>
      </w:r>
      <w:r>
        <w:rPr>
          <w:sz w:val="13"/>
        </w:rPr>
        <w:t>apliquen</w:t>
      </w:r>
      <w:r>
        <w:rPr>
          <w:spacing w:val="-3"/>
          <w:sz w:val="13"/>
        </w:rPr>
        <w:t xml:space="preserve"> </w:t>
      </w:r>
      <w:r>
        <w:rPr>
          <w:sz w:val="13"/>
        </w:rPr>
        <w:t>leyes</w:t>
      </w:r>
      <w:r>
        <w:rPr>
          <w:spacing w:val="-2"/>
          <w:sz w:val="13"/>
        </w:rPr>
        <w:t xml:space="preserve"> </w:t>
      </w:r>
      <w:r>
        <w:rPr>
          <w:sz w:val="13"/>
        </w:rPr>
        <w:t>y</w:t>
      </w:r>
      <w:r>
        <w:rPr>
          <w:spacing w:val="-3"/>
          <w:sz w:val="13"/>
        </w:rPr>
        <w:t xml:space="preserve"> </w:t>
      </w:r>
      <w:r>
        <w:rPr>
          <w:sz w:val="13"/>
        </w:rPr>
        <w:t>políticas</w:t>
      </w:r>
      <w:r>
        <w:rPr>
          <w:spacing w:val="-3"/>
          <w:sz w:val="13"/>
        </w:rPr>
        <w:t xml:space="preserve"> </w:t>
      </w:r>
      <w:r>
        <w:rPr>
          <w:sz w:val="13"/>
        </w:rPr>
        <w:t>no</w:t>
      </w:r>
      <w:r>
        <w:rPr>
          <w:spacing w:val="-2"/>
          <w:sz w:val="13"/>
        </w:rPr>
        <w:t xml:space="preserve"> discriminatorias”.</w:t>
      </w:r>
    </w:p>
    <w:p w14:paraId="67B8CE6B" w14:textId="77777777" w:rsidR="0014798C" w:rsidRDefault="0014798C">
      <w:pPr>
        <w:pStyle w:val="Textoindependiente"/>
        <w:rPr>
          <w:sz w:val="19"/>
        </w:rPr>
      </w:pPr>
    </w:p>
    <w:p w14:paraId="37D3D9E7" w14:textId="77777777" w:rsidR="0014798C" w:rsidRDefault="0014798C">
      <w:pPr>
        <w:pStyle w:val="Textoindependiente"/>
        <w:spacing w:before="202"/>
        <w:rPr>
          <w:sz w:val="19"/>
        </w:rPr>
      </w:pPr>
    </w:p>
    <w:p w14:paraId="555B567F" w14:textId="77777777" w:rsidR="0014798C" w:rsidRDefault="004E1F0B">
      <w:pPr>
        <w:ind w:right="719"/>
        <w:jc w:val="right"/>
        <w:rPr>
          <w:sz w:val="19"/>
        </w:rPr>
      </w:pPr>
      <w:r>
        <w:rPr>
          <w:spacing w:val="-10"/>
          <w:sz w:val="19"/>
        </w:rPr>
        <w:t>7</w:t>
      </w:r>
    </w:p>
    <w:p w14:paraId="2C122F56" w14:textId="77777777" w:rsidR="0014798C" w:rsidRDefault="0014798C">
      <w:pPr>
        <w:jc w:val="right"/>
        <w:rPr>
          <w:sz w:val="19"/>
        </w:rPr>
        <w:sectPr w:rsidR="0014798C" w:rsidSect="00F265E4">
          <w:pgSz w:w="11900" w:h="16820"/>
          <w:pgMar w:top="340" w:right="0" w:bottom="280" w:left="200" w:header="121" w:footer="0" w:gutter="0"/>
          <w:cols w:space="720"/>
        </w:sectPr>
      </w:pPr>
    </w:p>
    <w:p w14:paraId="50AED0FB" w14:textId="77777777" w:rsidR="0014798C" w:rsidRDefault="0014798C">
      <w:pPr>
        <w:pStyle w:val="Textoindependiente"/>
        <w:spacing w:before="85"/>
        <w:rPr>
          <w:sz w:val="12"/>
        </w:rPr>
      </w:pPr>
    </w:p>
    <w:p w14:paraId="5D9405BF" w14:textId="77777777" w:rsidR="0014798C" w:rsidRDefault="004E1F0B">
      <w:pPr>
        <w:ind w:left="1111"/>
        <w:rPr>
          <w:sz w:val="12"/>
        </w:rPr>
      </w:pPr>
      <w:r>
        <w:rPr>
          <w:color w:val="009EDB"/>
          <w:sz w:val="12"/>
        </w:rPr>
        <w:t>PROTECCIÓN</w:t>
      </w:r>
      <w:r>
        <w:rPr>
          <w:color w:val="009EDB"/>
          <w:spacing w:val="6"/>
          <w:sz w:val="12"/>
        </w:rPr>
        <w:t xml:space="preserve"> </w:t>
      </w:r>
      <w:r>
        <w:rPr>
          <w:color w:val="009EDB"/>
          <w:sz w:val="12"/>
        </w:rPr>
        <w:t>DE</w:t>
      </w:r>
      <w:r>
        <w:rPr>
          <w:color w:val="009EDB"/>
          <w:spacing w:val="7"/>
          <w:sz w:val="12"/>
        </w:rPr>
        <w:t xml:space="preserve"> </w:t>
      </w:r>
      <w:r>
        <w:rPr>
          <w:color w:val="009EDB"/>
          <w:sz w:val="12"/>
        </w:rPr>
        <w:t>LOS</w:t>
      </w:r>
      <w:r>
        <w:rPr>
          <w:color w:val="009EDB"/>
          <w:spacing w:val="8"/>
          <w:sz w:val="12"/>
        </w:rPr>
        <w:t xml:space="preserve"> </w:t>
      </w:r>
      <w:r>
        <w:rPr>
          <w:color w:val="009EDB"/>
          <w:sz w:val="12"/>
        </w:rPr>
        <w:t>DERECHOS</w:t>
      </w:r>
      <w:r>
        <w:rPr>
          <w:color w:val="009EDB"/>
          <w:spacing w:val="8"/>
          <w:sz w:val="12"/>
        </w:rPr>
        <w:t xml:space="preserve"> </w:t>
      </w:r>
      <w:r>
        <w:rPr>
          <w:color w:val="009EDB"/>
          <w:sz w:val="12"/>
        </w:rPr>
        <w:t>DE</w:t>
      </w:r>
      <w:r>
        <w:rPr>
          <w:color w:val="009EDB"/>
          <w:spacing w:val="6"/>
          <w:sz w:val="12"/>
        </w:rPr>
        <w:t xml:space="preserve"> </w:t>
      </w:r>
      <w:r>
        <w:rPr>
          <w:color w:val="009EDB"/>
          <w:sz w:val="12"/>
        </w:rPr>
        <w:t>LAS</w:t>
      </w:r>
      <w:r>
        <w:rPr>
          <w:color w:val="009EDB"/>
          <w:spacing w:val="7"/>
          <w:sz w:val="12"/>
        </w:rPr>
        <w:t xml:space="preserve"> </w:t>
      </w:r>
      <w:r>
        <w:rPr>
          <w:color w:val="009EDB"/>
          <w:sz w:val="12"/>
        </w:rPr>
        <w:t>MINORÍAS:</w:t>
      </w:r>
      <w:r>
        <w:rPr>
          <w:color w:val="009EDB"/>
          <w:spacing w:val="8"/>
          <w:sz w:val="12"/>
        </w:rPr>
        <w:t xml:space="preserve"> </w:t>
      </w:r>
      <w:r>
        <w:rPr>
          <w:color w:val="009EDB"/>
          <w:sz w:val="12"/>
        </w:rPr>
        <w:t>una</w:t>
      </w:r>
      <w:r>
        <w:rPr>
          <w:color w:val="009EDB"/>
          <w:spacing w:val="7"/>
          <w:sz w:val="12"/>
        </w:rPr>
        <w:t xml:space="preserve"> </w:t>
      </w:r>
      <w:r>
        <w:rPr>
          <w:color w:val="009EDB"/>
          <w:sz w:val="12"/>
        </w:rPr>
        <w:t>guía</w:t>
      </w:r>
      <w:r>
        <w:rPr>
          <w:color w:val="009EDB"/>
          <w:spacing w:val="6"/>
          <w:sz w:val="12"/>
        </w:rPr>
        <w:t xml:space="preserve"> </w:t>
      </w:r>
      <w:r>
        <w:rPr>
          <w:color w:val="009EDB"/>
          <w:sz w:val="12"/>
        </w:rPr>
        <w:t>práctica</w:t>
      </w:r>
      <w:r>
        <w:rPr>
          <w:color w:val="009EDB"/>
          <w:spacing w:val="7"/>
          <w:sz w:val="12"/>
        </w:rPr>
        <w:t xml:space="preserve"> </w:t>
      </w:r>
      <w:r>
        <w:rPr>
          <w:color w:val="009EDB"/>
          <w:sz w:val="12"/>
        </w:rPr>
        <w:t>para</w:t>
      </w:r>
      <w:r>
        <w:rPr>
          <w:color w:val="009EDB"/>
          <w:spacing w:val="8"/>
          <w:sz w:val="12"/>
        </w:rPr>
        <w:t xml:space="preserve"> </w:t>
      </w:r>
      <w:r>
        <w:rPr>
          <w:color w:val="009EDB"/>
          <w:sz w:val="12"/>
        </w:rPr>
        <w:t>desarrollar</w:t>
      </w:r>
      <w:r>
        <w:rPr>
          <w:color w:val="009EDB"/>
          <w:spacing w:val="6"/>
          <w:sz w:val="12"/>
        </w:rPr>
        <w:t xml:space="preserve"> </w:t>
      </w:r>
      <w:r>
        <w:rPr>
          <w:color w:val="009EDB"/>
          <w:sz w:val="12"/>
        </w:rPr>
        <w:t>una</w:t>
      </w:r>
      <w:r>
        <w:rPr>
          <w:color w:val="009EDB"/>
          <w:spacing w:val="7"/>
          <w:sz w:val="12"/>
        </w:rPr>
        <w:t xml:space="preserve"> </w:t>
      </w:r>
      <w:r>
        <w:rPr>
          <w:color w:val="009EDB"/>
          <w:sz w:val="12"/>
        </w:rPr>
        <w:t>legislación</w:t>
      </w:r>
      <w:r>
        <w:rPr>
          <w:color w:val="009EDB"/>
          <w:spacing w:val="8"/>
          <w:sz w:val="12"/>
        </w:rPr>
        <w:t xml:space="preserve"> </w:t>
      </w:r>
      <w:r>
        <w:rPr>
          <w:color w:val="009EDB"/>
          <w:sz w:val="12"/>
        </w:rPr>
        <w:t>integral</w:t>
      </w:r>
      <w:r>
        <w:rPr>
          <w:color w:val="009EDB"/>
          <w:spacing w:val="7"/>
          <w:sz w:val="12"/>
        </w:rPr>
        <w:t xml:space="preserve"> </w:t>
      </w:r>
      <w:r>
        <w:rPr>
          <w:color w:val="009EDB"/>
          <w:sz w:val="12"/>
        </w:rPr>
        <w:t>contra</w:t>
      </w:r>
      <w:r>
        <w:rPr>
          <w:color w:val="009EDB"/>
          <w:spacing w:val="6"/>
          <w:sz w:val="12"/>
        </w:rPr>
        <w:t xml:space="preserve"> </w:t>
      </w:r>
      <w:r>
        <w:rPr>
          <w:color w:val="009EDB"/>
          <w:sz w:val="12"/>
        </w:rPr>
        <w:t>la</w:t>
      </w:r>
      <w:r>
        <w:rPr>
          <w:color w:val="009EDB"/>
          <w:spacing w:val="7"/>
          <w:sz w:val="12"/>
        </w:rPr>
        <w:t xml:space="preserve"> </w:t>
      </w:r>
      <w:r>
        <w:rPr>
          <w:color w:val="009EDB"/>
          <w:spacing w:val="-2"/>
          <w:sz w:val="12"/>
        </w:rPr>
        <w:t>discriminación</w:t>
      </w:r>
    </w:p>
    <w:p w14:paraId="12AD650E" w14:textId="77777777" w:rsidR="0014798C" w:rsidRDefault="0014798C">
      <w:pPr>
        <w:pStyle w:val="Textoindependiente"/>
        <w:rPr>
          <w:sz w:val="17"/>
        </w:rPr>
      </w:pPr>
    </w:p>
    <w:p w14:paraId="210A7672" w14:textId="77777777" w:rsidR="0014798C" w:rsidRDefault="0014798C">
      <w:pPr>
        <w:pStyle w:val="Textoindependiente"/>
        <w:rPr>
          <w:sz w:val="17"/>
        </w:rPr>
      </w:pPr>
    </w:p>
    <w:p w14:paraId="296EBB46" w14:textId="77777777" w:rsidR="0014798C" w:rsidRDefault="0014798C">
      <w:pPr>
        <w:pStyle w:val="Textoindependiente"/>
        <w:rPr>
          <w:sz w:val="17"/>
        </w:rPr>
      </w:pPr>
    </w:p>
    <w:p w14:paraId="18132753" w14:textId="77777777" w:rsidR="0014798C" w:rsidRDefault="0014798C">
      <w:pPr>
        <w:pStyle w:val="Textoindependiente"/>
        <w:rPr>
          <w:sz w:val="17"/>
        </w:rPr>
      </w:pPr>
    </w:p>
    <w:p w14:paraId="31D86C27" w14:textId="77777777" w:rsidR="0014798C" w:rsidRDefault="0014798C">
      <w:pPr>
        <w:pStyle w:val="Textoindependiente"/>
        <w:spacing w:before="3"/>
        <w:rPr>
          <w:sz w:val="17"/>
        </w:rPr>
      </w:pPr>
    </w:p>
    <w:p w14:paraId="56B9D534" w14:textId="77777777" w:rsidR="0014798C" w:rsidRDefault="004E1F0B">
      <w:pPr>
        <w:spacing w:line="307" w:lineRule="auto"/>
        <w:ind w:left="1111" w:right="1272"/>
        <w:rPr>
          <w:sz w:val="17"/>
        </w:rPr>
      </w:pPr>
      <w:r>
        <w:rPr>
          <w:sz w:val="17"/>
        </w:rPr>
        <w:t>Se reconoció que la adopción de una ley integral contra la discriminación era necesaria “para lograr varios Objetivos de Desarrollo Sostenible y metas conexas”76.</w:t>
      </w:r>
    </w:p>
    <w:p w14:paraId="32351F35" w14:textId="77777777" w:rsidR="0014798C" w:rsidRDefault="0014798C">
      <w:pPr>
        <w:pStyle w:val="Textoindependiente"/>
        <w:spacing w:before="18"/>
        <w:rPr>
          <w:sz w:val="30"/>
        </w:rPr>
      </w:pPr>
    </w:p>
    <w:p w14:paraId="3AFAFCA3" w14:textId="15F1AAF0" w:rsidR="0014798C" w:rsidRDefault="004E1F0B">
      <w:pPr>
        <w:pStyle w:val="Ttulo7"/>
        <w:numPr>
          <w:ilvl w:val="0"/>
          <w:numId w:val="93"/>
        </w:numPr>
        <w:tabs>
          <w:tab w:val="left" w:pos="1458"/>
        </w:tabs>
        <w:spacing w:before="1"/>
        <w:ind w:left="1458" w:hanging="335"/>
        <w:rPr>
          <w:color w:val="009EDB"/>
          <w:sz w:val="28"/>
        </w:rPr>
      </w:pPr>
      <w:bookmarkStart w:id="10" w:name="regional"/>
      <w:r>
        <w:rPr>
          <w:color w:val="009EDB"/>
        </w:rPr>
        <w:t>DESARROLLO</w:t>
      </w:r>
      <w:r>
        <w:rPr>
          <w:color w:val="009EDB"/>
          <w:spacing w:val="9"/>
        </w:rPr>
        <w:t xml:space="preserve"> </w:t>
      </w:r>
      <w:r>
        <w:rPr>
          <w:color w:val="009EDB"/>
        </w:rPr>
        <w:t>DEL</w:t>
      </w:r>
      <w:r>
        <w:rPr>
          <w:color w:val="009EDB"/>
          <w:spacing w:val="7"/>
        </w:rPr>
        <w:t xml:space="preserve"> </w:t>
      </w:r>
      <w:r>
        <w:rPr>
          <w:color w:val="009EDB"/>
        </w:rPr>
        <w:t>DERECHO</w:t>
      </w:r>
      <w:r>
        <w:rPr>
          <w:color w:val="009EDB"/>
          <w:spacing w:val="8"/>
        </w:rPr>
        <w:t xml:space="preserve"> </w:t>
      </w:r>
      <w:r>
        <w:rPr>
          <w:color w:val="009EDB"/>
        </w:rPr>
        <w:t>REGIONAL</w:t>
      </w:r>
      <w:r>
        <w:rPr>
          <w:color w:val="009EDB"/>
          <w:spacing w:val="6"/>
        </w:rPr>
        <w:t xml:space="preserve"> </w:t>
      </w:r>
      <w:r>
        <w:rPr>
          <w:color w:val="009EDB"/>
        </w:rPr>
        <w:t>Y</w:t>
      </w:r>
      <w:r>
        <w:rPr>
          <w:color w:val="009EDB"/>
          <w:spacing w:val="7"/>
        </w:rPr>
        <w:t xml:space="preserve"> </w:t>
      </w:r>
      <w:r>
        <w:rPr>
          <w:color w:val="009EDB"/>
          <w:spacing w:val="-2"/>
        </w:rPr>
        <w:t>NACIONAL</w:t>
      </w:r>
    </w:p>
    <w:bookmarkEnd w:id="10"/>
    <w:p w14:paraId="49BABE86" w14:textId="77777777" w:rsidR="0014798C" w:rsidRDefault="0014798C">
      <w:pPr>
        <w:pStyle w:val="Textoindependiente"/>
        <w:spacing w:before="3"/>
        <w:rPr>
          <w:sz w:val="17"/>
        </w:rPr>
      </w:pPr>
    </w:p>
    <w:p w14:paraId="1C2BF532" w14:textId="77777777" w:rsidR="0014798C" w:rsidRDefault="004E1F0B">
      <w:pPr>
        <w:spacing w:before="1" w:line="307" w:lineRule="auto"/>
        <w:ind w:left="1107" w:right="1330" w:hanging="1"/>
        <w:rPr>
          <w:sz w:val="17"/>
        </w:rPr>
      </w:pPr>
      <w:r>
        <w:rPr>
          <w:sz w:val="17"/>
        </w:rPr>
        <w:t>A nivel regional, el valor de una legislación integral contra la discriminación ha sido reconocido por órganos normativos supranacionales, incluidos aquellos con poderes decisorios. Todos los órganos regionales de derechos humanos en</w:t>
      </w:r>
      <w:r>
        <w:rPr>
          <w:spacing w:val="40"/>
          <w:sz w:val="17"/>
        </w:rPr>
        <w:t xml:space="preserve"> </w:t>
      </w:r>
      <w:r>
        <w:rPr>
          <w:sz w:val="17"/>
        </w:rPr>
        <w:t>África,</w:t>
      </w:r>
      <w:r>
        <w:rPr>
          <w:spacing w:val="17"/>
          <w:sz w:val="17"/>
        </w:rPr>
        <w:t xml:space="preserve"> </w:t>
      </w:r>
      <w:r>
        <w:rPr>
          <w:sz w:val="17"/>
        </w:rPr>
        <w:t>América</w:t>
      </w:r>
      <w:r>
        <w:rPr>
          <w:spacing w:val="16"/>
          <w:sz w:val="17"/>
        </w:rPr>
        <w:t xml:space="preserve"> </w:t>
      </w:r>
      <w:r>
        <w:rPr>
          <w:sz w:val="17"/>
        </w:rPr>
        <w:t>y</w:t>
      </w:r>
      <w:r>
        <w:rPr>
          <w:spacing w:val="16"/>
          <w:sz w:val="17"/>
        </w:rPr>
        <w:t xml:space="preserve"> </w:t>
      </w:r>
      <w:r>
        <w:rPr>
          <w:sz w:val="17"/>
        </w:rPr>
        <w:t>Europa</w:t>
      </w:r>
      <w:r>
        <w:rPr>
          <w:spacing w:val="16"/>
          <w:sz w:val="17"/>
        </w:rPr>
        <w:t xml:space="preserve"> </w:t>
      </w:r>
      <w:r>
        <w:rPr>
          <w:sz w:val="17"/>
        </w:rPr>
        <w:t>han</w:t>
      </w:r>
      <w:r>
        <w:rPr>
          <w:spacing w:val="16"/>
          <w:sz w:val="17"/>
        </w:rPr>
        <w:t xml:space="preserve"> </w:t>
      </w:r>
      <w:r>
        <w:rPr>
          <w:sz w:val="17"/>
        </w:rPr>
        <w:t>llegado</w:t>
      </w:r>
      <w:r>
        <w:rPr>
          <w:spacing w:val="16"/>
          <w:sz w:val="17"/>
        </w:rPr>
        <w:t xml:space="preserve"> </w:t>
      </w:r>
      <w:r>
        <w:rPr>
          <w:sz w:val="17"/>
        </w:rPr>
        <w:t>a</w:t>
      </w:r>
      <w:r>
        <w:rPr>
          <w:spacing w:val="16"/>
          <w:sz w:val="17"/>
        </w:rPr>
        <w:t xml:space="preserve"> </w:t>
      </w:r>
      <w:r>
        <w:rPr>
          <w:sz w:val="17"/>
        </w:rPr>
        <w:t>la</w:t>
      </w:r>
      <w:r>
        <w:rPr>
          <w:spacing w:val="16"/>
          <w:sz w:val="17"/>
        </w:rPr>
        <w:t xml:space="preserve"> </w:t>
      </w:r>
      <w:r>
        <w:rPr>
          <w:sz w:val="17"/>
        </w:rPr>
        <w:t>conclusión</w:t>
      </w:r>
      <w:r>
        <w:rPr>
          <w:spacing w:val="16"/>
          <w:sz w:val="17"/>
        </w:rPr>
        <w:t xml:space="preserve"> </w:t>
      </w:r>
      <w:r>
        <w:rPr>
          <w:sz w:val="17"/>
        </w:rPr>
        <w:t>de</w:t>
      </w:r>
      <w:r>
        <w:rPr>
          <w:spacing w:val="16"/>
          <w:sz w:val="17"/>
        </w:rPr>
        <w:t xml:space="preserve"> </w:t>
      </w:r>
      <w:r>
        <w:rPr>
          <w:sz w:val="17"/>
        </w:rPr>
        <w:t>que</w:t>
      </w:r>
      <w:r>
        <w:rPr>
          <w:spacing w:val="16"/>
          <w:sz w:val="17"/>
        </w:rPr>
        <w:t xml:space="preserve"> </w:t>
      </w:r>
      <w:r>
        <w:rPr>
          <w:sz w:val="17"/>
        </w:rPr>
        <w:t>los</w:t>
      </w:r>
      <w:r>
        <w:rPr>
          <w:spacing w:val="16"/>
          <w:sz w:val="17"/>
        </w:rPr>
        <w:t xml:space="preserve"> </w:t>
      </w:r>
      <w:proofErr w:type="gramStart"/>
      <w:r>
        <w:rPr>
          <w:sz w:val="17"/>
        </w:rPr>
        <w:t>Estados</w:t>
      </w:r>
      <w:r>
        <w:rPr>
          <w:spacing w:val="16"/>
          <w:sz w:val="17"/>
        </w:rPr>
        <w:t xml:space="preserve"> </w:t>
      </w:r>
      <w:r>
        <w:rPr>
          <w:sz w:val="17"/>
        </w:rPr>
        <w:t>partes</w:t>
      </w:r>
      <w:proofErr w:type="gramEnd"/>
      <w:r>
        <w:rPr>
          <w:spacing w:val="16"/>
          <w:sz w:val="17"/>
        </w:rPr>
        <w:t xml:space="preserve"> </w:t>
      </w:r>
      <w:r>
        <w:rPr>
          <w:sz w:val="17"/>
        </w:rPr>
        <w:t>en</w:t>
      </w:r>
      <w:r>
        <w:rPr>
          <w:spacing w:val="16"/>
          <w:sz w:val="17"/>
        </w:rPr>
        <w:t xml:space="preserve"> </w:t>
      </w:r>
      <w:r>
        <w:rPr>
          <w:sz w:val="17"/>
        </w:rPr>
        <w:t>los</w:t>
      </w:r>
      <w:r>
        <w:rPr>
          <w:spacing w:val="16"/>
          <w:sz w:val="17"/>
        </w:rPr>
        <w:t xml:space="preserve"> </w:t>
      </w:r>
      <w:r>
        <w:rPr>
          <w:sz w:val="17"/>
        </w:rPr>
        <w:t>instrumentos</w:t>
      </w:r>
      <w:r>
        <w:rPr>
          <w:spacing w:val="16"/>
          <w:sz w:val="17"/>
        </w:rPr>
        <w:t xml:space="preserve"> </w:t>
      </w:r>
      <w:r>
        <w:rPr>
          <w:sz w:val="17"/>
        </w:rPr>
        <w:t>de</w:t>
      </w:r>
      <w:r>
        <w:rPr>
          <w:spacing w:val="16"/>
          <w:sz w:val="17"/>
        </w:rPr>
        <w:t xml:space="preserve"> </w:t>
      </w:r>
      <w:r>
        <w:rPr>
          <w:sz w:val="17"/>
        </w:rPr>
        <w:t>derechos humanos</w:t>
      </w:r>
      <w:r>
        <w:rPr>
          <w:spacing w:val="16"/>
          <w:sz w:val="17"/>
        </w:rPr>
        <w:t xml:space="preserve"> </w:t>
      </w:r>
      <w:r>
        <w:rPr>
          <w:sz w:val="17"/>
        </w:rPr>
        <w:t>en</w:t>
      </w:r>
      <w:r>
        <w:rPr>
          <w:spacing w:val="16"/>
          <w:sz w:val="17"/>
        </w:rPr>
        <w:t xml:space="preserve"> </w:t>
      </w:r>
      <w:r>
        <w:rPr>
          <w:sz w:val="17"/>
        </w:rPr>
        <w:t>esas</w:t>
      </w:r>
      <w:r>
        <w:rPr>
          <w:spacing w:val="16"/>
          <w:sz w:val="17"/>
        </w:rPr>
        <w:t xml:space="preserve"> </w:t>
      </w:r>
      <w:r>
        <w:rPr>
          <w:sz w:val="17"/>
        </w:rPr>
        <w:t>regiones</w:t>
      </w:r>
      <w:r>
        <w:rPr>
          <w:spacing w:val="16"/>
          <w:sz w:val="17"/>
        </w:rPr>
        <w:t xml:space="preserve"> </w:t>
      </w:r>
      <w:r>
        <w:rPr>
          <w:sz w:val="17"/>
        </w:rPr>
        <w:t>tienen</w:t>
      </w:r>
      <w:r>
        <w:rPr>
          <w:spacing w:val="16"/>
          <w:sz w:val="17"/>
        </w:rPr>
        <w:t xml:space="preserve"> </w:t>
      </w:r>
      <w:r>
        <w:rPr>
          <w:sz w:val="17"/>
        </w:rPr>
        <w:t>la</w:t>
      </w:r>
      <w:r>
        <w:rPr>
          <w:spacing w:val="16"/>
          <w:sz w:val="17"/>
        </w:rPr>
        <w:t xml:space="preserve"> </w:t>
      </w:r>
      <w:r>
        <w:rPr>
          <w:sz w:val="17"/>
        </w:rPr>
        <w:t>obligación</w:t>
      </w:r>
      <w:r>
        <w:rPr>
          <w:spacing w:val="16"/>
          <w:sz w:val="17"/>
        </w:rPr>
        <w:t xml:space="preserve"> </w:t>
      </w:r>
      <w:r>
        <w:rPr>
          <w:sz w:val="17"/>
        </w:rPr>
        <w:t>de</w:t>
      </w:r>
      <w:r>
        <w:rPr>
          <w:spacing w:val="16"/>
          <w:sz w:val="17"/>
        </w:rPr>
        <w:t xml:space="preserve"> </w:t>
      </w:r>
      <w:r>
        <w:rPr>
          <w:sz w:val="17"/>
        </w:rPr>
        <w:t>promulgar</w:t>
      </w:r>
      <w:r>
        <w:rPr>
          <w:spacing w:val="16"/>
          <w:sz w:val="17"/>
        </w:rPr>
        <w:t xml:space="preserve"> </w:t>
      </w:r>
      <w:r>
        <w:rPr>
          <w:sz w:val="17"/>
        </w:rPr>
        <w:t>leyes</w:t>
      </w:r>
      <w:r>
        <w:rPr>
          <w:spacing w:val="16"/>
          <w:sz w:val="17"/>
        </w:rPr>
        <w:t xml:space="preserve"> </w:t>
      </w:r>
      <w:r>
        <w:rPr>
          <w:sz w:val="17"/>
        </w:rPr>
        <w:t>integrales</w:t>
      </w:r>
      <w:r>
        <w:rPr>
          <w:spacing w:val="16"/>
          <w:sz w:val="17"/>
        </w:rPr>
        <w:t xml:space="preserve"> </w:t>
      </w:r>
      <w:r>
        <w:rPr>
          <w:sz w:val="17"/>
        </w:rPr>
        <w:t>contra</w:t>
      </w:r>
      <w:r>
        <w:rPr>
          <w:spacing w:val="16"/>
          <w:sz w:val="17"/>
        </w:rPr>
        <w:t xml:space="preserve"> </w:t>
      </w:r>
      <w:r>
        <w:rPr>
          <w:sz w:val="17"/>
        </w:rPr>
        <w:t>la</w:t>
      </w:r>
      <w:r>
        <w:rPr>
          <w:spacing w:val="16"/>
          <w:sz w:val="17"/>
        </w:rPr>
        <w:t xml:space="preserve"> </w:t>
      </w:r>
      <w:r>
        <w:rPr>
          <w:sz w:val="17"/>
        </w:rPr>
        <w:t>discriminación.</w:t>
      </w:r>
      <w:r>
        <w:rPr>
          <w:spacing w:val="19"/>
          <w:sz w:val="17"/>
        </w:rPr>
        <w:t xml:space="preserve"> </w:t>
      </w:r>
      <w:r>
        <w:rPr>
          <w:sz w:val="17"/>
        </w:rPr>
        <w:t>A</w:t>
      </w:r>
      <w:r>
        <w:rPr>
          <w:spacing w:val="16"/>
          <w:sz w:val="17"/>
        </w:rPr>
        <w:t xml:space="preserve"> </w:t>
      </w:r>
      <w:r>
        <w:rPr>
          <w:sz w:val="17"/>
        </w:rPr>
        <w:t>nivel</w:t>
      </w:r>
      <w:r>
        <w:rPr>
          <w:spacing w:val="16"/>
          <w:sz w:val="17"/>
        </w:rPr>
        <w:t xml:space="preserve"> </w:t>
      </w:r>
      <w:r>
        <w:rPr>
          <w:sz w:val="17"/>
        </w:rPr>
        <w:t>nacional, se</w:t>
      </w:r>
      <w:r>
        <w:rPr>
          <w:spacing w:val="19"/>
          <w:sz w:val="17"/>
        </w:rPr>
        <w:t xml:space="preserve"> </w:t>
      </w:r>
      <w:r>
        <w:rPr>
          <w:sz w:val="17"/>
        </w:rPr>
        <w:t>han</w:t>
      </w:r>
      <w:r>
        <w:rPr>
          <w:spacing w:val="19"/>
          <w:sz w:val="17"/>
        </w:rPr>
        <w:t xml:space="preserve"> </w:t>
      </w:r>
      <w:r>
        <w:rPr>
          <w:sz w:val="17"/>
        </w:rPr>
        <w:t>adoptado</w:t>
      </w:r>
      <w:r>
        <w:rPr>
          <w:spacing w:val="19"/>
          <w:sz w:val="17"/>
        </w:rPr>
        <w:t xml:space="preserve"> </w:t>
      </w:r>
      <w:r>
        <w:rPr>
          <w:sz w:val="17"/>
        </w:rPr>
        <w:t>leyes</w:t>
      </w:r>
      <w:r>
        <w:rPr>
          <w:spacing w:val="19"/>
          <w:sz w:val="17"/>
        </w:rPr>
        <w:t xml:space="preserve"> </w:t>
      </w:r>
      <w:r>
        <w:rPr>
          <w:sz w:val="17"/>
        </w:rPr>
        <w:t>contra</w:t>
      </w:r>
      <w:r>
        <w:rPr>
          <w:spacing w:val="19"/>
          <w:sz w:val="17"/>
        </w:rPr>
        <w:t xml:space="preserve"> </w:t>
      </w:r>
      <w:r>
        <w:rPr>
          <w:sz w:val="17"/>
        </w:rPr>
        <w:t>la</w:t>
      </w:r>
      <w:r>
        <w:rPr>
          <w:spacing w:val="19"/>
          <w:sz w:val="17"/>
        </w:rPr>
        <w:t xml:space="preserve"> </w:t>
      </w:r>
      <w:r>
        <w:rPr>
          <w:sz w:val="17"/>
        </w:rPr>
        <w:t>discriminación</w:t>
      </w:r>
      <w:r>
        <w:rPr>
          <w:spacing w:val="20"/>
          <w:sz w:val="17"/>
        </w:rPr>
        <w:t xml:space="preserve"> </w:t>
      </w:r>
      <w:r>
        <w:rPr>
          <w:sz w:val="17"/>
        </w:rPr>
        <w:t>que,</w:t>
      </w:r>
      <w:r>
        <w:rPr>
          <w:spacing w:val="20"/>
          <w:sz w:val="17"/>
        </w:rPr>
        <w:t xml:space="preserve"> </w:t>
      </w:r>
      <w:r>
        <w:rPr>
          <w:sz w:val="17"/>
        </w:rPr>
        <w:t>aunque</w:t>
      </w:r>
      <w:r>
        <w:rPr>
          <w:spacing w:val="19"/>
          <w:sz w:val="17"/>
        </w:rPr>
        <w:t xml:space="preserve"> </w:t>
      </w:r>
      <w:r>
        <w:rPr>
          <w:sz w:val="17"/>
        </w:rPr>
        <w:t>en</w:t>
      </w:r>
      <w:r>
        <w:rPr>
          <w:spacing w:val="19"/>
          <w:sz w:val="17"/>
        </w:rPr>
        <w:t xml:space="preserve"> </w:t>
      </w:r>
      <w:r>
        <w:rPr>
          <w:sz w:val="17"/>
        </w:rPr>
        <w:t>algunos</w:t>
      </w:r>
      <w:r>
        <w:rPr>
          <w:spacing w:val="19"/>
          <w:sz w:val="17"/>
        </w:rPr>
        <w:t xml:space="preserve"> </w:t>
      </w:r>
      <w:r>
        <w:rPr>
          <w:sz w:val="17"/>
        </w:rPr>
        <w:t>casos</w:t>
      </w:r>
      <w:r>
        <w:rPr>
          <w:spacing w:val="19"/>
          <w:sz w:val="17"/>
        </w:rPr>
        <w:t xml:space="preserve"> </w:t>
      </w:r>
      <w:r>
        <w:rPr>
          <w:sz w:val="17"/>
        </w:rPr>
        <w:t>imperfectas,</w:t>
      </w:r>
      <w:r>
        <w:rPr>
          <w:spacing w:val="20"/>
          <w:sz w:val="17"/>
        </w:rPr>
        <w:t xml:space="preserve"> </w:t>
      </w:r>
      <w:r>
        <w:rPr>
          <w:sz w:val="17"/>
        </w:rPr>
        <w:t>aparentemente</w:t>
      </w:r>
      <w:r>
        <w:rPr>
          <w:spacing w:val="19"/>
          <w:sz w:val="17"/>
        </w:rPr>
        <w:t xml:space="preserve"> </w:t>
      </w:r>
      <w:r>
        <w:rPr>
          <w:sz w:val="17"/>
        </w:rPr>
        <w:t>buscan brindar</w:t>
      </w:r>
      <w:r>
        <w:rPr>
          <w:spacing w:val="17"/>
          <w:sz w:val="17"/>
        </w:rPr>
        <w:t xml:space="preserve"> </w:t>
      </w:r>
      <w:r>
        <w:rPr>
          <w:sz w:val="17"/>
        </w:rPr>
        <w:t>niveles</w:t>
      </w:r>
      <w:r>
        <w:rPr>
          <w:spacing w:val="17"/>
          <w:sz w:val="17"/>
        </w:rPr>
        <w:t xml:space="preserve"> </w:t>
      </w:r>
      <w:r>
        <w:rPr>
          <w:sz w:val="17"/>
        </w:rPr>
        <w:t>integrales</w:t>
      </w:r>
      <w:r>
        <w:rPr>
          <w:spacing w:val="17"/>
          <w:sz w:val="17"/>
        </w:rPr>
        <w:t xml:space="preserve"> </w:t>
      </w:r>
      <w:r>
        <w:rPr>
          <w:sz w:val="17"/>
        </w:rPr>
        <w:t>de</w:t>
      </w:r>
      <w:r>
        <w:rPr>
          <w:spacing w:val="17"/>
          <w:sz w:val="17"/>
        </w:rPr>
        <w:t xml:space="preserve"> </w:t>
      </w:r>
      <w:r>
        <w:rPr>
          <w:sz w:val="17"/>
        </w:rPr>
        <w:t>protección,</w:t>
      </w:r>
      <w:r>
        <w:rPr>
          <w:spacing w:val="19"/>
          <w:sz w:val="17"/>
        </w:rPr>
        <w:t xml:space="preserve"> </w:t>
      </w:r>
      <w:r>
        <w:rPr>
          <w:sz w:val="17"/>
        </w:rPr>
        <w:t>demostrando</w:t>
      </w:r>
      <w:r>
        <w:rPr>
          <w:spacing w:val="17"/>
          <w:sz w:val="17"/>
        </w:rPr>
        <w:t xml:space="preserve"> </w:t>
      </w:r>
      <w:r>
        <w:rPr>
          <w:sz w:val="17"/>
        </w:rPr>
        <w:t>así</w:t>
      </w:r>
      <w:r>
        <w:rPr>
          <w:spacing w:val="19"/>
          <w:sz w:val="17"/>
        </w:rPr>
        <w:t xml:space="preserve"> </w:t>
      </w:r>
      <w:r>
        <w:rPr>
          <w:sz w:val="17"/>
        </w:rPr>
        <w:t>un</w:t>
      </w:r>
      <w:r>
        <w:rPr>
          <w:spacing w:val="17"/>
          <w:sz w:val="17"/>
        </w:rPr>
        <w:t xml:space="preserve"> </w:t>
      </w:r>
      <w:r>
        <w:rPr>
          <w:sz w:val="17"/>
        </w:rPr>
        <w:t>claro</w:t>
      </w:r>
      <w:r>
        <w:rPr>
          <w:spacing w:val="17"/>
          <w:sz w:val="17"/>
        </w:rPr>
        <w:t xml:space="preserve"> </w:t>
      </w:r>
      <w:r>
        <w:rPr>
          <w:sz w:val="17"/>
        </w:rPr>
        <w:t>consenso</w:t>
      </w:r>
      <w:r>
        <w:rPr>
          <w:spacing w:val="19"/>
          <w:sz w:val="17"/>
        </w:rPr>
        <w:t xml:space="preserve"> </w:t>
      </w:r>
      <w:r>
        <w:rPr>
          <w:sz w:val="17"/>
        </w:rPr>
        <w:t>entre</w:t>
      </w:r>
      <w:r>
        <w:rPr>
          <w:spacing w:val="17"/>
          <w:sz w:val="17"/>
        </w:rPr>
        <w:t xml:space="preserve"> </w:t>
      </w:r>
      <w:r>
        <w:rPr>
          <w:sz w:val="17"/>
        </w:rPr>
        <w:t>los</w:t>
      </w:r>
      <w:r>
        <w:rPr>
          <w:spacing w:val="17"/>
          <w:sz w:val="17"/>
        </w:rPr>
        <w:t xml:space="preserve"> </w:t>
      </w:r>
      <w:r>
        <w:rPr>
          <w:sz w:val="17"/>
        </w:rPr>
        <w:t>Estados</w:t>
      </w:r>
      <w:r>
        <w:rPr>
          <w:spacing w:val="17"/>
          <w:sz w:val="17"/>
        </w:rPr>
        <w:t xml:space="preserve"> </w:t>
      </w:r>
      <w:r>
        <w:rPr>
          <w:sz w:val="17"/>
        </w:rPr>
        <w:t>sobre</w:t>
      </w:r>
      <w:r>
        <w:rPr>
          <w:spacing w:val="17"/>
          <w:sz w:val="17"/>
        </w:rPr>
        <w:t xml:space="preserve"> </w:t>
      </w:r>
      <w:r>
        <w:rPr>
          <w:sz w:val="17"/>
        </w:rPr>
        <w:t>la</w:t>
      </w:r>
      <w:r>
        <w:rPr>
          <w:spacing w:val="17"/>
          <w:sz w:val="17"/>
        </w:rPr>
        <w:t xml:space="preserve"> </w:t>
      </w:r>
      <w:r>
        <w:rPr>
          <w:sz w:val="17"/>
        </w:rPr>
        <w:t>necesidad</w:t>
      </w:r>
      <w:r>
        <w:rPr>
          <w:spacing w:val="17"/>
          <w:sz w:val="17"/>
        </w:rPr>
        <w:t xml:space="preserve"> </w:t>
      </w:r>
      <w:r>
        <w:rPr>
          <w:sz w:val="17"/>
        </w:rPr>
        <w:t>de una legislación integral contra la discriminación. En cada continente se están llevando a cabo más esfuerzos de reforma legislativa, a medida que el impulso hacia la adopción de una ley integral contra la discriminación se ha convertido en un movimiento verdaderamente global.</w:t>
      </w:r>
    </w:p>
    <w:p w14:paraId="5D6A42D3" w14:textId="77777777" w:rsidR="0014798C" w:rsidRDefault="004E1F0B">
      <w:pPr>
        <w:pStyle w:val="Ttulo7"/>
        <w:numPr>
          <w:ilvl w:val="1"/>
          <w:numId w:val="93"/>
        </w:numPr>
        <w:tabs>
          <w:tab w:val="left" w:pos="1470"/>
        </w:tabs>
        <w:spacing w:before="302"/>
        <w:ind w:left="1470" w:hanging="370"/>
        <w:rPr>
          <w:color w:val="009EDB"/>
        </w:rPr>
      </w:pPr>
      <w:r>
        <w:rPr>
          <w:color w:val="009EDB"/>
          <w:spacing w:val="-2"/>
        </w:rPr>
        <w:t>África</w:t>
      </w:r>
    </w:p>
    <w:p w14:paraId="50927351" w14:textId="77777777" w:rsidR="0014798C" w:rsidRDefault="0014798C">
      <w:pPr>
        <w:pStyle w:val="Textoindependiente"/>
        <w:spacing w:before="5"/>
        <w:rPr>
          <w:sz w:val="17"/>
        </w:rPr>
      </w:pPr>
    </w:p>
    <w:p w14:paraId="1D5EBC06" w14:textId="77777777" w:rsidR="0014798C" w:rsidRDefault="004E1F0B">
      <w:pPr>
        <w:spacing w:line="307" w:lineRule="auto"/>
        <w:ind w:left="1107" w:right="1293" w:hanging="1"/>
        <w:rPr>
          <w:sz w:val="17"/>
        </w:rPr>
      </w:pPr>
      <w:r>
        <w:rPr>
          <w:sz w:val="17"/>
        </w:rPr>
        <w:t>El</w:t>
      </w:r>
      <w:r>
        <w:rPr>
          <w:spacing w:val="10"/>
          <w:sz w:val="17"/>
        </w:rPr>
        <w:t xml:space="preserve"> </w:t>
      </w:r>
      <w:r>
        <w:rPr>
          <w:sz w:val="17"/>
        </w:rPr>
        <w:t>artículo</w:t>
      </w:r>
      <w:r>
        <w:rPr>
          <w:spacing w:val="10"/>
          <w:sz w:val="17"/>
        </w:rPr>
        <w:t xml:space="preserve"> </w:t>
      </w:r>
      <w:r>
        <w:rPr>
          <w:sz w:val="17"/>
        </w:rPr>
        <w:t>2</w:t>
      </w:r>
      <w:r>
        <w:rPr>
          <w:spacing w:val="10"/>
          <w:sz w:val="17"/>
        </w:rPr>
        <w:t xml:space="preserve"> </w:t>
      </w:r>
      <w:r>
        <w:rPr>
          <w:sz w:val="17"/>
        </w:rPr>
        <w:t>de</w:t>
      </w:r>
      <w:r>
        <w:rPr>
          <w:spacing w:val="10"/>
          <w:sz w:val="17"/>
        </w:rPr>
        <w:t xml:space="preserve"> </w:t>
      </w:r>
      <w:r>
        <w:rPr>
          <w:sz w:val="17"/>
        </w:rPr>
        <w:t>la</w:t>
      </w:r>
      <w:r>
        <w:rPr>
          <w:spacing w:val="10"/>
          <w:sz w:val="17"/>
        </w:rPr>
        <w:t xml:space="preserve"> </w:t>
      </w:r>
      <w:r>
        <w:rPr>
          <w:sz w:val="17"/>
        </w:rPr>
        <w:t>Carta</w:t>
      </w:r>
      <w:r>
        <w:rPr>
          <w:spacing w:val="10"/>
          <w:sz w:val="17"/>
        </w:rPr>
        <w:t xml:space="preserve"> </w:t>
      </w:r>
      <w:r>
        <w:rPr>
          <w:sz w:val="17"/>
        </w:rPr>
        <w:t>Africana</w:t>
      </w:r>
      <w:r>
        <w:rPr>
          <w:spacing w:val="10"/>
          <w:sz w:val="17"/>
        </w:rPr>
        <w:t xml:space="preserve"> </w:t>
      </w:r>
      <w:r>
        <w:rPr>
          <w:sz w:val="17"/>
        </w:rPr>
        <w:t>de</w:t>
      </w:r>
      <w:r>
        <w:rPr>
          <w:spacing w:val="10"/>
          <w:sz w:val="17"/>
        </w:rPr>
        <w:t xml:space="preserve"> </w:t>
      </w:r>
      <w:r>
        <w:rPr>
          <w:sz w:val="17"/>
        </w:rPr>
        <w:t>Derechos</w:t>
      </w:r>
      <w:r>
        <w:rPr>
          <w:spacing w:val="10"/>
          <w:sz w:val="17"/>
        </w:rPr>
        <w:t xml:space="preserve"> </w:t>
      </w:r>
      <w:r>
        <w:rPr>
          <w:sz w:val="17"/>
        </w:rPr>
        <w:t>Humanos</w:t>
      </w:r>
      <w:r>
        <w:rPr>
          <w:spacing w:val="10"/>
          <w:sz w:val="17"/>
        </w:rPr>
        <w:t xml:space="preserve"> </w:t>
      </w:r>
      <w:r>
        <w:rPr>
          <w:sz w:val="17"/>
        </w:rPr>
        <w:t>y</w:t>
      </w:r>
      <w:r>
        <w:rPr>
          <w:spacing w:val="10"/>
          <w:sz w:val="17"/>
        </w:rPr>
        <w:t xml:space="preserve"> </w:t>
      </w:r>
      <w:r>
        <w:rPr>
          <w:sz w:val="17"/>
        </w:rPr>
        <w:t>de</w:t>
      </w:r>
      <w:r>
        <w:rPr>
          <w:spacing w:val="10"/>
          <w:sz w:val="17"/>
        </w:rPr>
        <w:t xml:space="preserve"> </w:t>
      </w:r>
      <w:r>
        <w:rPr>
          <w:sz w:val="17"/>
        </w:rPr>
        <w:t>los</w:t>
      </w:r>
      <w:r>
        <w:rPr>
          <w:spacing w:val="10"/>
          <w:sz w:val="17"/>
        </w:rPr>
        <w:t xml:space="preserve"> </w:t>
      </w:r>
      <w:r>
        <w:rPr>
          <w:sz w:val="17"/>
        </w:rPr>
        <w:t>Pueblos</w:t>
      </w:r>
      <w:r>
        <w:rPr>
          <w:spacing w:val="10"/>
          <w:sz w:val="17"/>
        </w:rPr>
        <w:t xml:space="preserve"> </w:t>
      </w:r>
      <w:r>
        <w:rPr>
          <w:sz w:val="17"/>
        </w:rPr>
        <w:t>establece</w:t>
      </w:r>
      <w:r>
        <w:rPr>
          <w:spacing w:val="10"/>
          <w:sz w:val="17"/>
        </w:rPr>
        <w:t xml:space="preserve"> </w:t>
      </w:r>
      <w:r>
        <w:rPr>
          <w:sz w:val="17"/>
        </w:rPr>
        <w:t>que:</w:t>
      </w:r>
      <w:r>
        <w:rPr>
          <w:spacing w:val="11"/>
          <w:sz w:val="17"/>
        </w:rPr>
        <w:t xml:space="preserve"> </w:t>
      </w:r>
      <w:r>
        <w:rPr>
          <w:sz w:val="17"/>
        </w:rPr>
        <w:t>“Todo</w:t>
      </w:r>
      <w:r>
        <w:rPr>
          <w:spacing w:val="10"/>
          <w:sz w:val="17"/>
        </w:rPr>
        <w:t xml:space="preserve"> </w:t>
      </w:r>
      <w:r>
        <w:rPr>
          <w:sz w:val="17"/>
        </w:rPr>
        <w:t>individuo</w:t>
      </w:r>
      <w:r>
        <w:rPr>
          <w:spacing w:val="10"/>
          <w:sz w:val="17"/>
        </w:rPr>
        <w:t xml:space="preserve"> </w:t>
      </w:r>
      <w:r>
        <w:rPr>
          <w:sz w:val="17"/>
        </w:rPr>
        <w:t>tendrá</w:t>
      </w:r>
      <w:r>
        <w:rPr>
          <w:spacing w:val="10"/>
          <w:sz w:val="17"/>
        </w:rPr>
        <w:t xml:space="preserve"> </w:t>
      </w:r>
      <w:r>
        <w:rPr>
          <w:sz w:val="17"/>
        </w:rPr>
        <w:t>derecho al disfrute de los derechos y libertades reconocidos y garantizados en la presente Carta sin distinción alguna de raza,</w:t>
      </w:r>
      <w:r>
        <w:rPr>
          <w:spacing w:val="40"/>
          <w:sz w:val="17"/>
        </w:rPr>
        <w:t xml:space="preserve"> </w:t>
      </w:r>
      <w:r>
        <w:rPr>
          <w:sz w:val="17"/>
        </w:rPr>
        <w:t>grupo étnico, color, sexo, idioma, religión, opinión política o de cualquier otra índole, origen nacional y social, fortuna, nacimiento o cualquier condición”. El Artículo 1 de la Carta exige que los Estados “reconozcan los derechos, deberes y libertades consagrados en [la] Carta y… adopten medidas legislativas o de otra índole para darles efecto”. La prohibición</w:t>
      </w:r>
      <w:r>
        <w:rPr>
          <w:spacing w:val="40"/>
          <w:sz w:val="17"/>
        </w:rPr>
        <w:t xml:space="preserve"> </w:t>
      </w:r>
      <w:r>
        <w:rPr>
          <w:sz w:val="17"/>
        </w:rPr>
        <w:t>de</w:t>
      </w:r>
      <w:r>
        <w:rPr>
          <w:spacing w:val="13"/>
          <w:sz w:val="17"/>
        </w:rPr>
        <w:t xml:space="preserve"> </w:t>
      </w:r>
      <w:r>
        <w:rPr>
          <w:sz w:val="17"/>
        </w:rPr>
        <w:t>la</w:t>
      </w:r>
      <w:r>
        <w:rPr>
          <w:spacing w:val="13"/>
          <w:sz w:val="17"/>
        </w:rPr>
        <w:t xml:space="preserve"> </w:t>
      </w:r>
      <w:r>
        <w:rPr>
          <w:sz w:val="17"/>
        </w:rPr>
        <w:t>discriminación</w:t>
      </w:r>
      <w:r>
        <w:rPr>
          <w:spacing w:val="14"/>
          <w:sz w:val="17"/>
        </w:rPr>
        <w:t xml:space="preserve"> </w:t>
      </w:r>
      <w:r>
        <w:rPr>
          <w:sz w:val="17"/>
        </w:rPr>
        <w:t>consagrada</w:t>
      </w:r>
      <w:r>
        <w:rPr>
          <w:spacing w:val="13"/>
          <w:sz w:val="17"/>
        </w:rPr>
        <w:t xml:space="preserve"> </w:t>
      </w:r>
      <w:r>
        <w:rPr>
          <w:sz w:val="17"/>
        </w:rPr>
        <w:t>en</w:t>
      </w:r>
      <w:r>
        <w:rPr>
          <w:spacing w:val="13"/>
          <w:sz w:val="17"/>
        </w:rPr>
        <w:t xml:space="preserve"> </w:t>
      </w:r>
      <w:r>
        <w:rPr>
          <w:sz w:val="17"/>
        </w:rPr>
        <w:t>el</w:t>
      </w:r>
      <w:r>
        <w:rPr>
          <w:spacing w:val="13"/>
          <w:sz w:val="17"/>
        </w:rPr>
        <w:t xml:space="preserve"> </w:t>
      </w:r>
      <w:r>
        <w:rPr>
          <w:sz w:val="17"/>
        </w:rPr>
        <w:t>artículo</w:t>
      </w:r>
      <w:r>
        <w:rPr>
          <w:spacing w:val="13"/>
          <w:sz w:val="17"/>
        </w:rPr>
        <w:t xml:space="preserve"> </w:t>
      </w:r>
      <w:r>
        <w:rPr>
          <w:sz w:val="17"/>
        </w:rPr>
        <w:t>2</w:t>
      </w:r>
      <w:r>
        <w:rPr>
          <w:spacing w:val="13"/>
          <w:sz w:val="17"/>
        </w:rPr>
        <w:t xml:space="preserve"> </w:t>
      </w:r>
      <w:r>
        <w:rPr>
          <w:sz w:val="17"/>
        </w:rPr>
        <w:t>se</w:t>
      </w:r>
      <w:r>
        <w:rPr>
          <w:spacing w:val="13"/>
          <w:sz w:val="17"/>
        </w:rPr>
        <w:t xml:space="preserve"> </w:t>
      </w:r>
      <w:r>
        <w:rPr>
          <w:sz w:val="17"/>
        </w:rPr>
        <w:t>recoge</w:t>
      </w:r>
      <w:r>
        <w:rPr>
          <w:spacing w:val="13"/>
          <w:sz w:val="17"/>
        </w:rPr>
        <w:t xml:space="preserve"> </w:t>
      </w:r>
      <w:r>
        <w:rPr>
          <w:sz w:val="17"/>
        </w:rPr>
        <w:t>en</w:t>
      </w:r>
      <w:r>
        <w:rPr>
          <w:spacing w:val="13"/>
          <w:sz w:val="17"/>
        </w:rPr>
        <w:t xml:space="preserve"> </w:t>
      </w:r>
      <w:r>
        <w:rPr>
          <w:sz w:val="17"/>
        </w:rPr>
        <w:t>el</w:t>
      </w:r>
      <w:r>
        <w:rPr>
          <w:spacing w:val="13"/>
          <w:sz w:val="17"/>
        </w:rPr>
        <w:t xml:space="preserve"> </w:t>
      </w:r>
      <w:r>
        <w:rPr>
          <w:sz w:val="17"/>
        </w:rPr>
        <w:t>preámbulo</w:t>
      </w:r>
      <w:r>
        <w:rPr>
          <w:spacing w:val="13"/>
          <w:sz w:val="17"/>
        </w:rPr>
        <w:t xml:space="preserve"> </w:t>
      </w:r>
      <w:r>
        <w:rPr>
          <w:sz w:val="17"/>
        </w:rPr>
        <w:t>del</w:t>
      </w:r>
      <w:r>
        <w:rPr>
          <w:spacing w:val="13"/>
          <w:sz w:val="17"/>
        </w:rPr>
        <w:t xml:space="preserve"> </w:t>
      </w:r>
      <w:r>
        <w:rPr>
          <w:sz w:val="17"/>
        </w:rPr>
        <w:t>Protocolo</w:t>
      </w:r>
      <w:r>
        <w:rPr>
          <w:spacing w:val="13"/>
          <w:sz w:val="17"/>
        </w:rPr>
        <w:t xml:space="preserve"> </w:t>
      </w:r>
      <w:r>
        <w:rPr>
          <w:sz w:val="17"/>
        </w:rPr>
        <w:t>de</w:t>
      </w:r>
      <w:r>
        <w:rPr>
          <w:spacing w:val="13"/>
          <w:sz w:val="17"/>
        </w:rPr>
        <w:t xml:space="preserve"> </w:t>
      </w:r>
      <w:r>
        <w:rPr>
          <w:sz w:val="17"/>
        </w:rPr>
        <w:t>la</w:t>
      </w:r>
      <w:r>
        <w:rPr>
          <w:spacing w:val="13"/>
          <w:sz w:val="17"/>
        </w:rPr>
        <w:t xml:space="preserve"> </w:t>
      </w:r>
      <w:r>
        <w:rPr>
          <w:sz w:val="17"/>
        </w:rPr>
        <w:t>Carta</w:t>
      </w:r>
      <w:r>
        <w:rPr>
          <w:spacing w:val="13"/>
          <w:sz w:val="17"/>
        </w:rPr>
        <w:t xml:space="preserve"> </w:t>
      </w:r>
      <w:r>
        <w:rPr>
          <w:sz w:val="17"/>
        </w:rPr>
        <w:t>Africana</w:t>
      </w:r>
      <w:r>
        <w:rPr>
          <w:spacing w:val="13"/>
          <w:sz w:val="17"/>
        </w:rPr>
        <w:t xml:space="preserve"> </w:t>
      </w:r>
      <w:r>
        <w:rPr>
          <w:sz w:val="17"/>
        </w:rPr>
        <w:t>de Derechos Humanos y de los Pueblos sobre los derechos de la mujer en África.</w:t>
      </w:r>
    </w:p>
    <w:p w14:paraId="5660049A" w14:textId="77777777" w:rsidR="0014798C" w:rsidRDefault="004E1F0B">
      <w:pPr>
        <w:spacing w:line="307" w:lineRule="auto"/>
        <w:ind w:left="1108" w:right="1272" w:hanging="3"/>
        <w:rPr>
          <w:sz w:val="17"/>
        </w:rPr>
      </w:pPr>
      <w:r>
        <w:rPr>
          <w:sz w:val="17"/>
        </w:rPr>
        <w:t>Según el artículo 2 del Protocolo, los Estados deben tomar todas las “medidas legislativas, institucionales y de otro tipo apropiadas” para combatir la discriminación contra la mujer.</w:t>
      </w:r>
    </w:p>
    <w:p w14:paraId="3C9D5A4B" w14:textId="77777777" w:rsidR="0014798C" w:rsidRDefault="004E1F0B">
      <w:pPr>
        <w:spacing w:before="166" w:line="307" w:lineRule="auto"/>
        <w:ind w:left="1105" w:right="1463" w:firstLine="2"/>
        <w:rPr>
          <w:sz w:val="17"/>
        </w:rPr>
      </w:pPr>
      <w:r>
        <w:rPr>
          <w:sz w:val="17"/>
        </w:rPr>
        <w:t>En 2010, la Comisión Africana de Derechos Humanos y de los Pueblos adoptó sus Principios y Directrices sobre la implementación de los derechos económicos, sociales y culturales en la Carta Africana de Derechos Humanos y de los Pueblos, que enfatizan las obligaciones de los Estados de “reconocer y tomar medidas para combatir la discriminación interseccional basada en una combinación de (pero no limitado a) los siguientes motivos: sexo/género, raza, etnia, idioma, religión, opinión política y de otro tipo, sexualidad, origen nacional o social, propiedad, nacimiento, edad, discapacidad, estado civil, de refugiado, de migrante y/o de otro tipo”.77 De conformidad con esta orientación, la</w:t>
      </w:r>
      <w:r>
        <w:rPr>
          <w:spacing w:val="40"/>
          <w:sz w:val="17"/>
        </w:rPr>
        <w:t xml:space="preserve"> </w:t>
      </w:r>
      <w:r>
        <w:rPr>
          <w:sz w:val="17"/>
        </w:rPr>
        <w:t>Comisión ha recomendado que los Estados adopten “leyes integrales de igualdad y no discriminación”.78 En vista de</w:t>
      </w:r>
    </w:p>
    <w:p w14:paraId="7B9DBA9F" w14:textId="77777777" w:rsidR="0014798C" w:rsidRDefault="004E1F0B">
      <w:pPr>
        <w:spacing w:line="307" w:lineRule="auto"/>
        <w:ind w:left="1110" w:right="1272" w:firstLine="1"/>
        <w:rPr>
          <w:sz w:val="17"/>
        </w:rPr>
      </w:pPr>
      <w:r>
        <w:rPr>
          <w:sz w:val="17"/>
        </w:rPr>
        <w:t>las recomendaciones de la Comisión, varios Estados de África están en el proceso de revisión de sus marcos legislativos sobre igualdad.79 En algunos países, como Kenia, se ha considerado la posibilidad de adoptar leyes integrales contra</w:t>
      </w:r>
    </w:p>
    <w:p w14:paraId="6D0D5B9F" w14:textId="77777777" w:rsidR="0014798C" w:rsidRDefault="004E1F0B">
      <w:pPr>
        <w:spacing w:line="195" w:lineRule="exact"/>
        <w:ind w:left="1109"/>
        <w:rPr>
          <w:sz w:val="17"/>
        </w:rPr>
      </w:pPr>
      <w:r>
        <w:rPr>
          <w:sz w:val="17"/>
        </w:rPr>
        <w:t>la</w:t>
      </w:r>
      <w:r>
        <w:rPr>
          <w:spacing w:val="5"/>
          <w:sz w:val="17"/>
        </w:rPr>
        <w:t xml:space="preserve"> </w:t>
      </w:r>
      <w:r>
        <w:rPr>
          <w:sz w:val="17"/>
        </w:rPr>
        <w:t>discriminación</w:t>
      </w:r>
      <w:r>
        <w:rPr>
          <w:spacing w:val="6"/>
          <w:sz w:val="17"/>
        </w:rPr>
        <w:t xml:space="preserve"> </w:t>
      </w:r>
      <w:r>
        <w:rPr>
          <w:sz w:val="17"/>
        </w:rPr>
        <w:t>como</w:t>
      </w:r>
      <w:r>
        <w:rPr>
          <w:spacing w:val="5"/>
          <w:sz w:val="17"/>
        </w:rPr>
        <w:t xml:space="preserve"> </w:t>
      </w:r>
      <w:r>
        <w:rPr>
          <w:sz w:val="17"/>
        </w:rPr>
        <w:t>parte</w:t>
      </w:r>
      <w:r>
        <w:rPr>
          <w:spacing w:val="5"/>
          <w:sz w:val="17"/>
        </w:rPr>
        <w:t xml:space="preserve"> </w:t>
      </w:r>
      <w:r>
        <w:rPr>
          <w:sz w:val="17"/>
        </w:rPr>
        <w:t>de</w:t>
      </w:r>
      <w:r>
        <w:rPr>
          <w:spacing w:val="5"/>
          <w:sz w:val="17"/>
        </w:rPr>
        <w:t xml:space="preserve"> </w:t>
      </w:r>
      <w:r>
        <w:rPr>
          <w:sz w:val="17"/>
        </w:rPr>
        <w:t>estos</w:t>
      </w:r>
      <w:r>
        <w:rPr>
          <w:spacing w:val="5"/>
          <w:sz w:val="17"/>
        </w:rPr>
        <w:t xml:space="preserve"> </w:t>
      </w:r>
      <w:r>
        <w:rPr>
          <w:spacing w:val="-2"/>
          <w:sz w:val="17"/>
        </w:rPr>
        <w:t>procesos.80</w:t>
      </w:r>
    </w:p>
    <w:p w14:paraId="3480D853" w14:textId="77777777" w:rsidR="0014798C" w:rsidRDefault="0014798C">
      <w:pPr>
        <w:pStyle w:val="Textoindependiente"/>
        <w:rPr>
          <w:sz w:val="20"/>
        </w:rPr>
      </w:pPr>
    </w:p>
    <w:p w14:paraId="4DF7C1D7" w14:textId="77777777" w:rsidR="0014798C" w:rsidRDefault="0014798C">
      <w:pPr>
        <w:pStyle w:val="Textoindependiente"/>
        <w:rPr>
          <w:sz w:val="20"/>
        </w:rPr>
      </w:pPr>
    </w:p>
    <w:p w14:paraId="34D43F34" w14:textId="77777777" w:rsidR="0014798C" w:rsidRDefault="0014798C">
      <w:pPr>
        <w:pStyle w:val="Textoindependiente"/>
        <w:rPr>
          <w:sz w:val="20"/>
        </w:rPr>
      </w:pPr>
    </w:p>
    <w:p w14:paraId="4D898F86" w14:textId="77777777" w:rsidR="0014798C" w:rsidRDefault="0014798C">
      <w:pPr>
        <w:pStyle w:val="Textoindependiente"/>
        <w:rPr>
          <w:sz w:val="20"/>
        </w:rPr>
      </w:pPr>
    </w:p>
    <w:p w14:paraId="3153D528" w14:textId="77777777" w:rsidR="0014798C" w:rsidRDefault="0014798C">
      <w:pPr>
        <w:pStyle w:val="Textoindependiente"/>
        <w:rPr>
          <w:sz w:val="20"/>
        </w:rPr>
      </w:pPr>
    </w:p>
    <w:p w14:paraId="78253253" w14:textId="77777777" w:rsidR="0014798C" w:rsidRDefault="0014798C">
      <w:pPr>
        <w:pStyle w:val="Textoindependiente"/>
        <w:rPr>
          <w:sz w:val="20"/>
        </w:rPr>
      </w:pPr>
    </w:p>
    <w:p w14:paraId="46088F57" w14:textId="77777777" w:rsidR="0014798C" w:rsidRDefault="0014798C">
      <w:pPr>
        <w:pStyle w:val="Textoindependiente"/>
        <w:rPr>
          <w:sz w:val="20"/>
        </w:rPr>
      </w:pPr>
    </w:p>
    <w:p w14:paraId="516FD9BE" w14:textId="77777777" w:rsidR="0014798C" w:rsidRDefault="0014798C">
      <w:pPr>
        <w:pStyle w:val="Textoindependiente"/>
        <w:rPr>
          <w:sz w:val="20"/>
        </w:rPr>
      </w:pPr>
    </w:p>
    <w:p w14:paraId="4B011F65" w14:textId="77777777" w:rsidR="0014798C" w:rsidRDefault="0014798C">
      <w:pPr>
        <w:pStyle w:val="Textoindependiente"/>
        <w:rPr>
          <w:sz w:val="20"/>
        </w:rPr>
      </w:pPr>
    </w:p>
    <w:p w14:paraId="051E4993" w14:textId="77777777" w:rsidR="0014798C" w:rsidRDefault="004E1F0B">
      <w:pPr>
        <w:pStyle w:val="Textoindependiente"/>
        <w:spacing w:before="20"/>
        <w:rPr>
          <w:sz w:val="20"/>
        </w:rPr>
      </w:pPr>
      <w:r>
        <w:rPr>
          <w:noProof/>
        </w:rPr>
        <w:drawing>
          <wp:anchor distT="0" distB="0" distL="0" distR="0" simplePos="0" relativeHeight="251658519" behindDoc="1" locked="0" layoutInCell="1" allowOverlap="1" wp14:anchorId="03747705" wp14:editId="2606A3F4">
            <wp:simplePos x="0" y="0"/>
            <wp:positionH relativeFrom="page">
              <wp:posOffset>826632</wp:posOffset>
            </wp:positionH>
            <wp:positionV relativeFrom="paragraph">
              <wp:posOffset>174226</wp:posOffset>
            </wp:positionV>
            <wp:extent cx="931001" cy="35813"/>
            <wp:effectExtent l="0" t="0" r="0" b="0"/>
            <wp:wrapTopAndBottom/>
            <wp:docPr id="65" name="Image 6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65" name="Image 65"/>
                    <pic:cNvPicPr/>
                  </pic:nvPicPr>
                  <pic:blipFill>
                    <a:blip r:embed="rId71" cstate="print"/>
                    <a:stretch>
                      <a:fillRect/>
                    </a:stretch>
                  </pic:blipFill>
                  <pic:spPr>
                    <a:xfrm>
                      <a:off x="0" y="0"/>
                      <a:ext cx="931001" cy="35813"/>
                    </a:xfrm>
                    <a:prstGeom prst="rect">
                      <a:avLst/>
                    </a:prstGeom>
                  </pic:spPr>
                </pic:pic>
              </a:graphicData>
            </a:graphic>
          </wp:anchor>
        </w:drawing>
      </w:r>
    </w:p>
    <w:p w14:paraId="75F944BF" w14:textId="77777777" w:rsidR="0014798C" w:rsidRDefault="0014798C">
      <w:pPr>
        <w:pStyle w:val="Textoindependiente"/>
        <w:spacing w:before="9"/>
        <w:rPr>
          <w:sz w:val="12"/>
        </w:rPr>
      </w:pPr>
    </w:p>
    <w:p w14:paraId="76CF4400" w14:textId="77777777" w:rsidR="0014798C" w:rsidRDefault="004E1F0B">
      <w:pPr>
        <w:spacing w:before="1"/>
        <w:ind w:left="1108"/>
        <w:rPr>
          <w:sz w:val="12"/>
        </w:rPr>
      </w:pPr>
      <w:r>
        <w:rPr>
          <w:sz w:val="12"/>
          <w:vertAlign w:val="superscript"/>
        </w:rPr>
        <w:t>76</w:t>
      </w:r>
      <w:r>
        <w:rPr>
          <w:spacing w:val="50"/>
          <w:sz w:val="12"/>
        </w:rPr>
        <w:t xml:space="preserve">  </w:t>
      </w:r>
      <w:r>
        <w:rPr>
          <w:sz w:val="12"/>
        </w:rPr>
        <w:t xml:space="preserve">A/HRC/42/38, </w:t>
      </w:r>
      <w:proofErr w:type="spellStart"/>
      <w:r>
        <w:rPr>
          <w:sz w:val="12"/>
        </w:rPr>
        <w:t>párrs</w:t>
      </w:r>
      <w:proofErr w:type="spellEnd"/>
      <w:r>
        <w:rPr>
          <w:sz w:val="12"/>
        </w:rPr>
        <w:t>.</w:t>
      </w:r>
      <w:r>
        <w:rPr>
          <w:spacing w:val="1"/>
          <w:sz w:val="12"/>
        </w:rPr>
        <w:t xml:space="preserve"> </w:t>
      </w:r>
      <w:r>
        <w:rPr>
          <w:spacing w:val="-2"/>
          <w:sz w:val="12"/>
        </w:rPr>
        <w:t>147–148.</w:t>
      </w:r>
    </w:p>
    <w:p w14:paraId="0870B481" w14:textId="77777777" w:rsidR="0014798C" w:rsidRDefault="0014798C">
      <w:pPr>
        <w:pStyle w:val="Textoindependiente"/>
        <w:spacing w:before="16"/>
        <w:rPr>
          <w:sz w:val="11"/>
        </w:rPr>
      </w:pPr>
    </w:p>
    <w:p w14:paraId="66C9801E" w14:textId="77777777" w:rsidR="0014798C" w:rsidRDefault="004E1F0B">
      <w:pPr>
        <w:pStyle w:val="Prrafodelista"/>
        <w:numPr>
          <w:ilvl w:val="0"/>
          <w:numId w:val="89"/>
        </w:numPr>
        <w:tabs>
          <w:tab w:val="left" w:pos="1269"/>
        </w:tabs>
        <w:ind w:left="1269" w:hanging="161"/>
        <w:rPr>
          <w:sz w:val="11"/>
        </w:rPr>
      </w:pPr>
      <w:r>
        <w:rPr>
          <w:w w:val="105"/>
          <w:sz w:val="11"/>
        </w:rPr>
        <w:t>Comisión Africana de Derechos Humanos y</w:t>
      </w:r>
      <w:r>
        <w:rPr>
          <w:spacing w:val="1"/>
          <w:w w:val="105"/>
          <w:sz w:val="11"/>
        </w:rPr>
        <w:t xml:space="preserve"> </w:t>
      </w:r>
      <w:r>
        <w:rPr>
          <w:w w:val="105"/>
          <w:sz w:val="11"/>
        </w:rPr>
        <w:t>de los Pueblos,</w:t>
      </w:r>
      <w:r>
        <w:rPr>
          <w:spacing w:val="1"/>
          <w:w w:val="105"/>
          <w:sz w:val="11"/>
        </w:rPr>
        <w:t xml:space="preserve"> </w:t>
      </w:r>
      <w:r>
        <w:rPr>
          <w:w w:val="105"/>
          <w:sz w:val="11"/>
        </w:rPr>
        <w:t>Principios y</w:t>
      </w:r>
      <w:r>
        <w:rPr>
          <w:spacing w:val="1"/>
          <w:w w:val="105"/>
          <w:sz w:val="11"/>
        </w:rPr>
        <w:t xml:space="preserve"> </w:t>
      </w:r>
      <w:r>
        <w:rPr>
          <w:w w:val="105"/>
          <w:sz w:val="11"/>
        </w:rPr>
        <w:t>Directrices sobre la Implementación de los</w:t>
      </w:r>
      <w:r>
        <w:rPr>
          <w:spacing w:val="1"/>
          <w:w w:val="105"/>
          <w:sz w:val="11"/>
        </w:rPr>
        <w:t xml:space="preserve"> </w:t>
      </w:r>
      <w:r>
        <w:rPr>
          <w:w w:val="105"/>
          <w:sz w:val="11"/>
        </w:rPr>
        <w:t>Derechos Económicos,</w:t>
      </w:r>
      <w:r>
        <w:rPr>
          <w:spacing w:val="1"/>
          <w:w w:val="105"/>
          <w:sz w:val="11"/>
        </w:rPr>
        <w:t xml:space="preserve"> </w:t>
      </w:r>
      <w:r>
        <w:rPr>
          <w:w w:val="105"/>
          <w:sz w:val="11"/>
        </w:rPr>
        <w:t xml:space="preserve">Sociales y </w:t>
      </w:r>
      <w:r>
        <w:rPr>
          <w:spacing w:val="-2"/>
          <w:w w:val="105"/>
          <w:sz w:val="11"/>
        </w:rPr>
        <w:t>Culturales</w:t>
      </w:r>
    </w:p>
    <w:p w14:paraId="5B44F522" w14:textId="77777777" w:rsidR="0014798C" w:rsidRDefault="004E1F0B">
      <w:pPr>
        <w:spacing w:before="9"/>
        <w:ind w:left="1368"/>
        <w:rPr>
          <w:sz w:val="12"/>
        </w:rPr>
      </w:pPr>
      <w:r>
        <w:rPr>
          <w:sz w:val="12"/>
        </w:rPr>
        <w:t>Derechos en</w:t>
      </w:r>
      <w:r>
        <w:rPr>
          <w:spacing w:val="1"/>
          <w:sz w:val="12"/>
        </w:rPr>
        <w:t xml:space="preserve"> </w:t>
      </w:r>
      <w:r>
        <w:rPr>
          <w:sz w:val="12"/>
        </w:rPr>
        <w:t>la</w:t>
      </w:r>
      <w:r>
        <w:rPr>
          <w:spacing w:val="1"/>
          <w:sz w:val="12"/>
        </w:rPr>
        <w:t xml:space="preserve"> </w:t>
      </w:r>
      <w:r>
        <w:rPr>
          <w:sz w:val="12"/>
        </w:rPr>
        <w:t>Carta</w:t>
      </w:r>
      <w:r>
        <w:rPr>
          <w:spacing w:val="1"/>
          <w:sz w:val="12"/>
        </w:rPr>
        <w:t xml:space="preserve"> </w:t>
      </w:r>
      <w:r>
        <w:rPr>
          <w:sz w:val="12"/>
        </w:rPr>
        <w:t>Africana</w:t>
      </w:r>
      <w:r>
        <w:rPr>
          <w:spacing w:val="1"/>
          <w:sz w:val="12"/>
        </w:rPr>
        <w:t xml:space="preserve"> </w:t>
      </w:r>
      <w:r>
        <w:rPr>
          <w:sz w:val="12"/>
        </w:rPr>
        <w:t>de</w:t>
      </w:r>
      <w:r>
        <w:rPr>
          <w:spacing w:val="1"/>
          <w:sz w:val="12"/>
        </w:rPr>
        <w:t xml:space="preserve"> </w:t>
      </w:r>
      <w:r>
        <w:rPr>
          <w:sz w:val="12"/>
        </w:rPr>
        <w:t>Derechos Humanos</w:t>
      </w:r>
      <w:r>
        <w:rPr>
          <w:spacing w:val="1"/>
          <w:sz w:val="12"/>
        </w:rPr>
        <w:t xml:space="preserve"> </w:t>
      </w:r>
      <w:r>
        <w:rPr>
          <w:sz w:val="12"/>
        </w:rPr>
        <w:t>y</w:t>
      </w:r>
      <w:r>
        <w:rPr>
          <w:spacing w:val="1"/>
          <w:sz w:val="12"/>
        </w:rPr>
        <w:t xml:space="preserve"> </w:t>
      </w:r>
      <w:r>
        <w:rPr>
          <w:sz w:val="12"/>
        </w:rPr>
        <w:t>de</w:t>
      </w:r>
      <w:r>
        <w:rPr>
          <w:spacing w:val="1"/>
          <w:sz w:val="12"/>
        </w:rPr>
        <w:t xml:space="preserve"> </w:t>
      </w:r>
      <w:r>
        <w:rPr>
          <w:sz w:val="12"/>
        </w:rPr>
        <w:t>los</w:t>
      </w:r>
      <w:r>
        <w:rPr>
          <w:spacing w:val="1"/>
          <w:sz w:val="12"/>
        </w:rPr>
        <w:t xml:space="preserve"> </w:t>
      </w:r>
      <w:r>
        <w:rPr>
          <w:sz w:val="12"/>
        </w:rPr>
        <w:t>Pueblos,</w:t>
      </w:r>
      <w:r>
        <w:rPr>
          <w:spacing w:val="1"/>
          <w:sz w:val="12"/>
        </w:rPr>
        <w:t xml:space="preserve"> </w:t>
      </w:r>
      <w:r>
        <w:rPr>
          <w:sz w:val="12"/>
        </w:rPr>
        <w:t xml:space="preserve">párr. </w:t>
      </w:r>
      <w:r>
        <w:rPr>
          <w:spacing w:val="-5"/>
          <w:sz w:val="12"/>
        </w:rPr>
        <w:t>38.</w:t>
      </w:r>
    </w:p>
    <w:p w14:paraId="7F7D0B50" w14:textId="77777777" w:rsidR="0014798C" w:rsidRDefault="0014798C">
      <w:pPr>
        <w:pStyle w:val="Textoindependiente"/>
        <w:spacing w:before="16"/>
        <w:rPr>
          <w:sz w:val="11"/>
        </w:rPr>
      </w:pPr>
    </w:p>
    <w:p w14:paraId="7B2806D4" w14:textId="77777777" w:rsidR="0014798C" w:rsidRDefault="004E1F0B">
      <w:pPr>
        <w:pStyle w:val="Prrafodelista"/>
        <w:numPr>
          <w:ilvl w:val="0"/>
          <w:numId w:val="89"/>
        </w:numPr>
        <w:tabs>
          <w:tab w:val="left" w:pos="1269"/>
        </w:tabs>
        <w:ind w:left="1269" w:hanging="161"/>
        <w:rPr>
          <w:sz w:val="11"/>
        </w:rPr>
      </w:pPr>
      <w:r>
        <w:rPr>
          <w:w w:val="105"/>
          <w:sz w:val="11"/>
        </w:rPr>
        <w:t>Comisión</w:t>
      </w:r>
      <w:r>
        <w:rPr>
          <w:spacing w:val="1"/>
          <w:w w:val="105"/>
          <w:sz w:val="11"/>
        </w:rPr>
        <w:t xml:space="preserve"> </w:t>
      </w:r>
      <w:r>
        <w:rPr>
          <w:w w:val="105"/>
          <w:sz w:val="11"/>
        </w:rPr>
        <w:t>Africana</w:t>
      </w:r>
      <w:r>
        <w:rPr>
          <w:spacing w:val="1"/>
          <w:w w:val="105"/>
          <w:sz w:val="11"/>
        </w:rPr>
        <w:t xml:space="preserve"> </w:t>
      </w:r>
      <w:r>
        <w:rPr>
          <w:w w:val="105"/>
          <w:sz w:val="11"/>
        </w:rPr>
        <w:t>de</w:t>
      </w:r>
      <w:r>
        <w:rPr>
          <w:spacing w:val="1"/>
          <w:w w:val="105"/>
          <w:sz w:val="11"/>
        </w:rPr>
        <w:t xml:space="preserve"> </w:t>
      </w:r>
      <w:r>
        <w:rPr>
          <w:w w:val="105"/>
          <w:sz w:val="11"/>
        </w:rPr>
        <w:t>Derechos</w:t>
      </w:r>
      <w:r>
        <w:rPr>
          <w:spacing w:val="1"/>
          <w:w w:val="105"/>
          <w:sz w:val="11"/>
        </w:rPr>
        <w:t xml:space="preserve"> </w:t>
      </w:r>
      <w:r>
        <w:rPr>
          <w:w w:val="105"/>
          <w:sz w:val="11"/>
        </w:rPr>
        <w:t>Humanos</w:t>
      </w:r>
      <w:r>
        <w:rPr>
          <w:spacing w:val="2"/>
          <w:w w:val="105"/>
          <w:sz w:val="11"/>
        </w:rPr>
        <w:t xml:space="preserve"> </w:t>
      </w:r>
      <w:r>
        <w:rPr>
          <w:w w:val="105"/>
          <w:sz w:val="11"/>
        </w:rPr>
        <w:t>y</w:t>
      </w:r>
      <w:r>
        <w:rPr>
          <w:spacing w:val="1"/>
          <w:w w:val="105"/>
          <w:sz w:val="11"/>
        </w:rPr>
        <w:t xml:space="preserve"> </w:t>
      </w:r>
      <w:r>
        <w:rPr>
          <w:w w:val="105"/>
          <w:sz w:val="11"/>
        </w:rPr>
        <w:t>de</w:t>
      </w:r>
      <w:r>
        <w:rPr>
          <w:spacing w:val="1"/>
          <w:w w:val="105"/>
          <w:sz w:val="11"/>
        </w:rPr>
        <w:t xml:space="preserve"> </w:t>
      </w:r>
      <w:r>
        <w:rPr>
          <w:w w:val="105"/>
          <w:sz w:val="11"/>
        </w:rPr>
        <w:t>los</w:t>
      </w:r>
      <w:r>
        <w:rPr>
          <w:spacing w:val="1"/>
          <w:w w:val="105"/>
          <w:sz w:val="11"/>
        </w:rPr>
        <w:t xml:space="preserve"> </w:t>
      </w:r>
      <w:r>
        <w:rPr>
          <w:w w:val="105"/>
          <w:sz w:val="11"/>
        </w:rPr>
        <w:t>Pueblos,</w:t>
      </w:r>
      <w:r>
        <w:rPr>
          <w:spacing w:val="2"/>
          <w:w w:val="105"/>
          <w:sz w:val="11"/>
        </w:rPr>
        <w:t xml:space="preserve"> </w:t>
      </w:r>
      <w:r>
        <w:rPr>
          <w:w w:val="105"/>
          <w:sz w:val="11"/>
        </w:rPr>
        <w:t>“Observaciones</w:t>
      </w:r>
      <w:r>
        <w:rPr>
          <w:spacing w:val="2"/>
          <w:w w:val="105"/>
          <w:sz w:val="11"/>
        </w:rPr>
        <w:t xml:space="preserve"> </w:t>
      </w:r>
      <w:r>
        <w:rPr>
          <w:w w:val="105"/>
          <w:sz w:val="11"/>
        </w:rPr>
        <w:t>finales</w:t>
      </w:r>
      <w:r>
        <w:rPr>
          <w:spacing w:val="1"/>
          <w:w w:val="105"/>
          <w:sz w:val="11"/>
        </w:rPr>
        <w:t xml:space="preserve"> </w:t>
      </w:r>
      <w:r>
        <w:rPr>
          <w:w w:val="105"/>
          <w:sz w:val="11"/>
        </w:rPr>
        <w:t>y</w:t>
      </w:r>
      <w:r>
        <w:rPr>
          <w:spacing w:val="1"/>
          <w:w w:val="105"/>
          <w:sz w:val="11"/>
        </w:rPr>
        <w:t xml:space="preserve"> </w:t>
      </w:r>
      <w:r>
        <w:rPr>
          <w:w w:val="105"/>
          <w:sz w:val="11"/>
        </w:rPr>
        <w:t>recomendaciones</w:t>
      </w:r>
      <w:r>
        <w:rPr>
          <w:spacing w:val="1"/>
          <w:w w:val="105"/>
          <w:sz w:val="11"/>
        </w:rPr>
        <w:t xml:space="preserve"> </w:t>
      </w:r>
      <w:r>
        <w:rPr>
          <w:w w:val="105"/>
          <w:sz w:val="11"/>
        </w:rPr>
        <w:t>sobre</w:t>
      </w:r>
      <w:r>
        <w:rPr>
          <w:spacing w:val="2"/>
          <w:w w:val="105"/>
          <w:sz w:val="11"/>
        </w:rPr>
        <w:t xml:space="preserve"> </w:t>
      </w:r>
      <w:r>
        <w:rPr>
          <w:w w:val="105"/>
          <w:sz w:val="11"/>
        </w:rPr>
        <w:t>los</w:t>
      </w:r>
      <w:r>
        <w:rPr>
          <w:spacing w:val="1"/>
          <w:w w:val="105"/>
          <w:sz w:val="11"/>
        </w:rPr>
        <w:t xml:space="preserve"> </w:t>
      </w:r>
      <w:r>
        <w:rPr>
          <w:w w:val="105"/>
          <w:sz w:val="11"/>
        </w:rPr>
        <w:t>informes</w:t>
      </w:r>
      <w:r>
        <w:rPr>
          <w:spacing w:val="1"/>
          <w:w w:val="105"/>
          <w:sz w:val="11"/>
        </w:rPr>
        <w:t xml:space="preserve"> </w:t>
      </w:r>
      <w:r>
        <w:rPr>
          <w:w w:val="105"/>
          <w:sz w:val="11"/>
        </w:rPr>
        <w:t>periódicos</w:t>
      </w:r>
      <w:r>
        <w:rPr>
          <w:spacing w:val="1"/>
          <w:w w:val="105"/>
          <w:sz w:val="11"/>
        </w:rPr>
        <w:t xml:space="preserve"> </w:t>
      </w:r>
      <w:r>
        <w:rPr>
          <w:w w:val="105"/>
          <w:sz w:val="11"/>
        </w:rPr>
        <w:t>8.º</w:t>
      </w:r>
      <w:r>
        <w:rPr>
          <w:spacing w:val="1"/>
          <w:w w:val="105"/>
          <w:sz w:val="11"/>
        </w:rPr>
        <w:t xml:space="preserve"> </w:t>
      </w:r>
      <w:r>
        <w:rPr>
          <w:w w:val="105"/>
          <w:sz w:val="11"/>
        </w:rPr>
        <w:t>a</w:t>
      </w:r>
      <w:r>
        <w:rPr>
          <w:spacing w:val="2"/>
          <w:w w:val="105"/>
          <w:sz w:val="11"/>
        </w:rPr>
        <w:t xml:space="preserve"> </w:t>
      </w:r>
      <w:r>
        <w:rPr>
          <w:spacing w:val="-4"/>
          <w:w w:val="105"/>
          <w:sz w:val="11"/>
        </w:rPr>
        <w:t>11.º</w:t>
      </w:r>
    </w:p>
    <w:p w14:paraId="499ADC24" w14:textId="77777777" w:rsidR="0014798C" w:rsidRDefault="004E1F0B">
      <w:pPr>
        <w:spacing w:before="9"/>
        <w:ind w:left="1369"/>
        <w:rPr>
          <w:sz w:val="12"/>
        </w:rPr>
      </w:pPr>
      <w:r>
        <w:rPr>
          <w:sz w:val="12"/>
        </w:rPr>
        <w:t>de</w:t>
      </w:r>
      <w:r>
        <w:rPr>
          <w:spacing w:val="-1"/>
          <w:sz w:val="12"/>
        </w:rPr>
        <w:t xml:space="preserve"> </w:t>
      </w:r>
      <w:r>
        <w:rPr>
          <w:sz w:val="12"/>
        </w:rPr>
        <w:t>la República de Kenia”</w:t>
      </w:r>
      <w:r>
        <w:rPr>
          <w:spacing w:val="-1"/>
          <w:sz w:val="12"/>
        </w:rPr>
        <w:t xml:space="preserve"> </w:t>
      </w:r>
      <w:r>
        <w:rPr>
          <w:sz w:val="12"/>
        </w:rPr>
        <w:t xml:space="preserve">(2016), párr. 55 </w:t>
      </w:r>
      <w:r>
        <w:rPr>
          <w:spacing w:val="-2"/>
          <w:sz w:val="12"/>
        </w:rPr>
        <w:t>(</w:t>
      </w:r>
      <w:proofErr w:type="spellStart"/>
      <w:r>
        <w:rPr>
          <w:spacing w:val="-2"/>
          <w:sz w:val="12"/>
        </w:rPr>
        <w:t>ii</w:t>
      </w:r>
      <w:proofErr w:type="spellEnd"/>
      <w:r>
        <w:rPr>
          <w:spacing w:val="-2"/>
          <w:sz w:val="12"/>
        </w:rPr>
        <w:t>).</w:t>
      </w:r>
    </w:p>
    <w:p w14:paraId="54FC24EC" w14:textId="77777777" w:rsidR="0014798C" w:rsidRDefault="004E1F0B">
      <w:pPr>
        <w:spacing w:before="99"/>
        <w:ind w:left="1108"/>
        <w:rPr>
          <w:sz w:val="12"/>
        </w:rPr>
      </w:pPr>
      <w:r>
        <w:rPr>
          <w:sz w:val="12"/>
          <w:vertAlign w:val="superscript"/>
        </w:rPr>
        <w:t>79</w:t>
      </w:r>
      <w:r>
        <w:rPr>
          <w:spacing w:val="63"/>
          <w:sz w:val="12"/>
        </w:rPr>
        <w:t xml:space="preserve">  </w:t>
      </w:r>
      <w:r>
        <w:rPr>
          <w:sz w:val="12"/>
        </w:rPr>
        <w:t>Véase,</w:t>
      </w:r>
      <w:r>
        <w:rPr>
          <w:spacing w:val="1"/>
          <w:sz w:val="12"/>
        </w:rPr>
        <w:t xml:space="preserve"> </w:t>
      </w:r>
      <w:r>
        <w:rPr>
          <w:sz w:val="12"/>
        </w:rPr>
        <w:t>por</w:t>
      </w:r>
      <w:r>
        <w:rPr>
          <w:spacing w:val="1"/>
          <w:sz w:val="12"/>
        </w:rPr>
        <w:t xml:space="preserve"> </w:t>
      </w:r>
      <w:r>
        <w:rPr>
          <w:sz w:val="12"/>
        </w:rPr>
        <w:t>ejemplo, CCPR/C/KEN/4,</w:t>
      </w:r>
      <w:r>
        <w:rPr>
          <w:spacing w:val="1"/>
          <w:sz w:val="12"/>
        </w:rPr>
        <w:t xml:space="preserve"> </w:t>
      </w:r>
      <w:r>
        <w:rPr>
          <w:sz w:val="12"/>
        </w:rPr>
        <w:t>párr.</w:t>
      </w:r>
      <w:r>
        <w:rPr>
          <w:spacing w:val="1"/>
          <w:sz w:val="12"/>
        </w:rPr>
        <w:t xml:space="preserve"> </w:t>
      </w:r>
      <w:r>
        <w:rPr>
          <w:sz w:val="12"/>
        </w:rPr>
        <w:t>170. Véase</w:t>
      </w:r>
      <w:r>
        <w:rPr>
          <w:spacing w:val="1"/>
          <w:sz w:val="12"/>
        </w:rPr>
        <w:t xml:space="preserve"> </w:t>
      </w:r>
      <w:r>
        <w:rPr>
          <w:sz w:val="12"/>
        </w:rPr>
        <w:t>también el</w:t>
      </w:r>
      <w:r>
        <w:rPr>
          <w:spacing w:val="1"/>
          <w:sz w:val="12"/>
        </w:rPr>
        <w:t xml:space="preserve"> </w:t>
      </w:r>
      <w:r>
        <w:rPr>
          <w:sz w:val="12"/>
        </w:rPr>
        <w:t>análisis</w:t>
      </w:r>
      <w:r>
        <w:rPr>
          <w:spacing w:val="1"/>
          <w:sz w:val="12"/>
        </w:rPr>
        <w:t xml:space="preserve"> </w:t>
      </w:r>
      <w:r>
        <w:rPr>
          <w:sz w:val="12"/>
        </w:rPr>
        <w:t>de Túnez</w:t>
      </w:r>
      <w:r>
        <w:rPr>
          <w:spacing w:val="1"/>
          <w:sz w:val="12"/>
        </w:rPr>
        <w:t xml:space="preserve"> </w:t>
      </w:r>
      <w:r>
        <w:rPr>
          <w:sz w:val="12"/>
        </w:rPr>
        <w:t xml:space="preserve">a </w:t>
      </w:r>
      <w:r>
        <w:rPr>
          <w:spacing w:val="-2"/>
          <w:sz w:val="12"/>
        </w:rPr>
        <w:t>continuación.</w:t>
      </w:r>
    </w:p>
    <w:p w14:paraId="68215563" w14:textId="77777777" w:rsidR="0014798C" w:rsidRDefault="0014798C">
      <w:pPr>
        <w:pStyle w:val="Textoindependiente"/>
        <w:spacing w:before="16"/>
        <w:rPr>
          <w:sz w:val="11"/>
        </w:rPr>
      </w:pPr>
    </w:p>
    <w:p w14:paraId="61D5A721" w14:textId="77777777" w:rsidR="0014798C" w:rsidRDefault="004E1F0B">
      <w:pPr>
        <w:pStyle w:val="Prrafodelista"/>
        <w:numPr>
          <w:ilvl w:val="0"/>
          <w:numId w:val="88"/>
        </w:numPr>
        <w:tabs>
          <w:tab w:val="left" w:pos="1271"/>
        </w:tabs>
        <w:ind w:left="1271" w:hanging="161"/>
        <w:rPr>
          <w:sz w:val="11"/>
        </w:rPr>
      </w:pPr>
      <w:r>
        <w:rPr>
          <w:w w:val="105"/>
          <w:sz w:val="11"/>
        </w:rPr>
        <w:t>De</w:t>
      </w:r>
      <w:r>
        <w:rPr>
          <w:spacing w:val="-2"/>
          <w:w w:val="105"/>
          <w:sz w:val="11"/>
        </w:rPr>
        <w:t xml:space="preserve"> </w:t>
      </w:r>
      <w:r>
        <w:rPr>
          <w:w w:val="105"/>
          <w:sz w:val="11"/>
        </w:rPr>
        <w:t>hecho,</w:t>
      </w:r>
      <w:r>
        <w:rPr>
          <w:spacing w:val="-1"/>
          <w:w w:val="105"/>
          <w:sz w:val="11"/>
        </w:rPr>
        <w:t xml:space="preserve"> </w:t>
      </w:r>
      <w:r>
        <w:rPr>
          <w:w w:val="105"/>
          <w:sz w:val="11"/>
        </w:rPr>
        <w:t>en</w:t>
      </w:r>
      <w:r>
        <w:rPr>
          <w:spacing w:val="-1"/>
          <w:w w:val="105"/>
          <w:sz w:val="11"/>
        </w:rPr>
        <w:t xml:space="preserve"> </w:t>
      </w:r>
      <w:r>
        <w:rPr>
          <w:w w:val="105"/>
          <w:sz w:val="11"/>
        </w:rPr>
        <w:t>2017,</w:t>
      </w:r>
      <w:r>
        <w:rPr>
          <w:spacing w:val="-1"/>
          <w:w w:val="105"/>
          <w:sz w:val="11"/>
        </w:rPr>
        <w:t xml:space="preserve"> </w:t>
      </w:r>
      <w:r>
        <w:rPr>
          <w:w w:val="105"/>
          <w:sz w:val="11"/>
        </w:rPr>
        <w:t>la</w:t>
      </w:r>
      <w:r>
        <w:rPr>
          <w:spacing w:val="-1"/>
          <w:w w:val="105"/>
          <w:sz w:val="11"/>
        </w:rPr>
        <w:t xml:space="preserve"> </w:t>
      </w:r>
      <w:r>
        <w:rPr>
          <w:w w:val="105"/>
          <w:sz w:val="11"/>
        </w:rPr>
        <w:t>delegación</w:t>
      </w:r>
      <w:r>
        <w:rPr>
          <w:spacing w:val="-2"/>
          <w:w w:val="105"/>
          <w:sz w:val="11"/>
        </w:rPr>
        <w:t xml:space="preserve"> </w:t>
      </w:r>
      <w:r>
        <w:rPr>
          <w:w w:val="105"/>
          <w:sz w:val="11"/>
        </w:rPr>
        <w:t>de</w:t>
      </w:r>
      <w:r>
        <w:rPr>
          <w:spacing w:val="-2"/>
          <w:w w:val="105"/>
          <w:sz w:val="11"/>
        </w:rPr>
        <w:t xml:space="preserve"> </w:t>
      </w:r>
      <w:r>
        <w:rPr>
          <w:w w:val="105"/>
          <w:sz w:val="11"/>
        </w:rPr>
        <w:t>Kenia</w:t>
      </w:r>
      <w:r>
        <w:rPr>
          <w:spacing w:val="-1"/>
          <w:w w:val="105"/>
          <w:sz w:val="11"/>
        </w:rPr>
        <w:t xml:space="preserve"> </w:t>
      </w:r>
      <w:r>
        <w:rPr>
          <w:w w:val="105"/>
          <w:sz w:val="11"/>
        </w:rPr>
        <w:t>ante</w:t>
      </w:r>
      <w:r>
        <w:rPr>
          <w:spacing w:val="-2"/>
          <w:w w:val="105"/>
          <w:sz w:val="11"/>
        </w:rPr>
        <w:t xml:space="preserve"> </w:t>
      </w:r>
      <w:r>
        <w:rPr>
          <w:w w:val="105"/>
          <w:sz w:val="11"/>
        </w:rPr>
        <w:t>el</w:t>
      </w:r>
      <w:r>
        <w:rPr>
          <w:spacing w:val="-1"/>
          <w:w w:val="105"/>
          <w:sz w:val="11"/>
        </w:rPr>
        <w:t xml:space="preserve"> </w:t>
      </w:r>
      <w:r>
        <w:rPr>
          <w:w w:val="105"/>
          <w:sz w:val="11"/>
        </w:rPr>
        <w:t>Comité</w:t>
      </w:r>
      <w:r>
        <w:rPr>
          <w:spacing w:val="-2"/>
          <w:w w:val="105"/>
          <w:sz w:val="11"/>
        </w:rPr>
        <w:t xml:space="preserve"> </w:t>
      </w:r>
      <w:r>
        <w:rPr>
          <w:w w:val="105"/>
          <w:sz w:val="11"/>
        </w:rPr>
        <w:t>para</w:t>
      </w:r>
      <w:r>
        <w:rPr>
          <w:spacing w:val="-2"/>
          <w:w w:val="105"/>
          <w:sz w:val="11"/>
        </w:rPr>
        <w:t xml:space="preserve"> </w:t>
      </w:r>
      <w:r>
        <w:rPr>
          <w:w w:val="105"/>
          <w:sz w:val="11"/>
        </w:rPr>
        <w:t>la</w:t>
      </w:r>
      <w:r>
        <w:rPr>
          <w:spacing w:val="-1"/>
          <w:w w:val="105"/>
          <w:sz w:val="11"/>
        </w:rPr>
        <w:t xml:space="preserve"> </w:t>
      </w:r>
      <w:r>
        <w:rPr>
          <w:w w:val="105"/>
          <w:sz w:val="11"/>
        </w:rPr>
        <w:t>Eliminación</w:t>
      </w:r>
      <w:r>
        <w:rPr>
          <w:spacing w:val="-2"/>
          <w:w w:val="105"/>
          <w:sz w:val="11"/>
        </w:rPr>
        <w:t xml:space="preserve"> </w:t>
      </w:r>
      <w:r>
        <w:rPr>
          <w:w w:val="105"/>
          <w:sz w:val="11"/>
        </w:rPr>
        <w:t>de</w:t>
      </w:r>
      <w:r>
        <w:rPr>
          <w:spacing w:val="-1"/>
          <w:w w:val="105"/>
          <w:sz w:val="11"/>
        </w:rPr>
        <w:t xml:space="preserve"> </w:t>
      </w:r>
      <w:r>
        <w:rPr>
          <w:w w:val="105"/>
          <w:sz w:val="11"/>
        </w:rPr>
        <w:t>la</w:t>
      </w:r>
      <w:r>
        <w:rPr>
          <w:spacing w:val="-2"/>
          <w:w w:val="105"/>
          <w:sz w:val="11"/>
        </w:rPr>
        <w:t xml:space="preserve"> </w:t>
      </w:r>
      <w:r>
        <w:rPr>
          <w:w w:val="105"/>
          <w:sz w:val="11"/>
        </w:rPr>
        <w:t>Discriminación contra</w:t>
      </w:r>
      <w:r>
        <w:rPr>
          <w:spacing w:val="-2"/>
          <w:w w:val="105"/>
          <w:sz w:val="11"/>
        </w:rPr>
        <w:t xml:space="preserve"> </w:t>
      </w:r>
      <w:r>
        <w:rPr>
          <w:w w:val="105"/>
          <w:sz w:val="11"/>
        </w:rPr>
        <w:t>la</w:t>
      </w:r>
      <w:r>
        <w:rPr>
          <w:spacing w:val="-2"/>
          <w:w w:val="105"/>
          <w:sz w:val="11"/>
        </w:rPr>
        <w:t xml:space="preserve"> </w:t>
      </w:r>
      <w:r>
        <w:rPr>
          <w:w w:val="105"/>
          <w:sz w:val="11"/>
        </w:rPr>
        <w:t>Mujer</w:t>
      </w:r>
      <w:r>
        <w:rPr>
          <w:spacing w:val="-1"/>
          <w:w w:val="105"/>
          <w:sz w:val="11"/>
        </w:rPr>
        <w:t xml:space="preserve"> </w:t>
      </w:r>
      <w:r>
        <w:rPr>
          <w:w w:val="105"/>
          <w:sz w:val="11"/>
        </w:rPr>
        <w:t>indicó</w:t>
      </w:r>
      <w:r>
        <w:rPr>
          <w:spacing w:val="-2"/>
          <w:w w:val="105"/>
          <w:sz w:val="11"/>
        </w:rPr>
        <w:t xml:space="preserve"> </w:t>
      </w:r>
      <w:r>
        <w:rPr>
          <w:spacing w:val="-5"/>
          <w:w w:val="105"/>
          <w:sz w:val="11"/>
        </w:rPr>
        <w:t>que</w:t>
      </w:r>
    </w:p>
    <w:p w14:paraId="5C7999F8" w14:textId="77777777" w:rsidR="0014798C" w:rsidRDefault="004E1F0B">
      <w:pPr>
        <w:spacing w:before="9" w:line="312" w:lineRule="auto"/>
        <w:ind w:left="1366" w:right="1553"/>
        <w:rPr>
          <w:sz w:val="12"/>
        </w:rPr>
      </w:pPr>
      <w:r>
        <w:rPr>
          <w:sz w:val="12"/>
        </w:rPr>
        <w:t xml:space="preserve">La Comisión de Reforma Legislativa de </w:t>
      </w:r>
      <w:proofErr w:type="spellStart"/>
      <w:r>
        <w:rPr>
          <w:sz w:val="12"/>
        </w:rPr>
        <w:t>Kenya</w:t>
      </w:r>
      <w:proofErr w:type="spellEnd"/>
      <w:r>
        <w:rPr>
          <w:sz w:val="12"/>
        </w:rPr>
        <w:t xml:space="preserve"> estaba examinando una legislación amplia contra la discriminación. Véase ACNUDH, “El Comité para la Eliminación</w:t>
      </w:r>
      <w:r>
        <w:rPr>
          <w:spacing w:val="40"/>
          <w:sz w:val="12"/>
        </w:rPr>
        <w:t xml:space="preserve"> </w:t>
      </w:r>
      <w:r>
        <w:rPr>
          <w:sz w:val="12"/>
        </w:rPr>
        <w:t>de la Discriminación contra la Mujer considera el informe de Kenia”, 2 de noviembre de 2017.</w:t>
      </w:r>
    </w:p>
    <w:p w14:paraId="40149809" w14:textId="77777777" w:rsidR="0014798C" w:rsidRDefault="0014798C">
      <w:pPr>
        <w:pStyle w:val="Textoindependiente"/>
        <w:rPr>
          <w:sz w:val="17"/>
        </w:rPr>
      </w:pPr>
    </w:p>
    <w:p w14:paraId="71195C0C" w14:textId="77777777" w:rsidR="0014798C" w:rsidRDefault="0014798C">
      <w:pPr>
        <w:pStyle w:val="Textoindependiente"/>
        <w:rPr>
          <w:sz w:val="17"/>
        </w:rPr>
      </w:pPr>
    </w:p>
    <w:p w14:paraId="74ED1CD6" w14:textId="77777777" w:rsidR="0014798C" w:rsidRDefault="0014798C">
      <w:pPr>
        <w:pStyle w:val="Textoindependiente"/>
        <w:spacing w:before="28"/>
        <w:rPr>
          <w:sz w:val="17"/>
        </w:rPr>
      </w:pPr>
    </w:p>
    <w:p w14:paraId="47782DE9" w14:textId="77777777" w:rsidR="0014798C" w:rsidRDefault="004E1F0B">
      <w:pPr>
        <w:ind w:left="666"/>
        <w:rPr>
          <w:sz w:val="17"/>
        </w:rPr>
      </w:pPr>
      <w:r>
        <w:rPr>
          <w:spacing w:val="-10"/>
          <w:w w:val="105"/>
          <w:sz w:val="17"/>
        </w:rPr>
        <w:t>8</w:t>
      </w:r>
    </w:p>
    <w:p w14:paraId="68861A56" w14:textId="77777777" w:rsidR="0014798C" w:rsidRDefault="0014798C">
      <w:pPr>
        <w:rPr>
          <w:sz w:val="17"/>
        </w:rPr>
        <w:sectPr w:rsidR="0014798C" w:rsidSect="00F265E4">
          <w:pgSz w:w="11900" w:h="16820"/>
          <w:pgMar w:top="340" w:right="0" w:bottom="280" w:left="200" w:header="121" w:footer="0" w:gutter="0"/>
          <w:cols w:space="720"/>
        </w:sectPr>
      </w:pPr>
    </w:p>
    <w:p w14:paraId="7BAD3526" w14:textId="77777777" w:rsidR="0014798C" w:rsidRDefault="0014798C">
      <w:pPr>
        <w:pStyle w:val="Textoindependiente"/>
        <w:rPr>
          <w:sz w:val="10"/>
        </w:rPr>
      </w:pPr>
    </w:p>
    <w:p w14:paraId="3EDCDFD3" w14:textId="77777777" w:rsidR="0014798C" w:rsidRDefault="0014798C">
      <w:pPr>
        <w:pStyle w:val="Textoindependiente"/>
        <w:spacing w:before="4"/>
        <w:rPr>
          <w:sz w:val="10"/>
        </w:rPr>
      </w:pPr>
    </w:p>
    <w:p w14:paraId="3A838695" w14:textId="77777777" w:rsidR="0014798C" w:rsidRDefault="004E1F0B">
      <w:pPr>
        <w:ind w:left="1111"/>
        <w:rPr>
          <w:sz w:val="10"/>
        </w:rPr>
      </w:pPr>
      <w:r>
        <w:rPr>
          <w:color w:val="009EDB"/>
          <w:w w:val="105"/>
          <w:sz w:val="10"/>
        </w:rPr>
        <w:t>PRIMERA</w:t>
      </w:r>
      <w:r>
        <w:rPr>
          <w:color w:val="009EDB"/>
          <w:spacing w:val="3"/>
          <w:w w:val="105"/>
          <w:sz w:val="10"/>
        </w:rPr>
        <w:t xml:space="preserve"> </w:t>
      </w:r>
      <w:r>
        <w:rPr>
          <w:color w:val="009EDB"/>
          <w:w w:val="105"/>
          <w:sz w:val="10"/>
        </w:rPr>
        <w:t>PARTE:</w:t>
      </w:r>
      <w:r>
        <w:rPr>
          <w:color w:val="009EDB"/>
          <w:spacing w:val="2"/>
          <w:w w:val="105"/>
          <w:sz w:val="10"/>
        </w:rPr>
        <w:t xml:space="preserve"> </w:t>
      </w:r>
      <w:r>
        <w:rPr>
          <w:color w:val="009EDB"/>
          <w:w w:val="105"/>
          <w:sz w:val="10"/>
        </w:rPr>
        <w:t>OBLIGACIONES</w:t>
      </w:r>
      <w:r>
        <w:rPr>
          <w:color w:val="009EDB"/>
          <w:spacing w:val="4"/>
          <w:w w:val="105"/>
          <w:sz w:val="10"/>
        </w:rPr>
        <w:t xml:space="preserve"> </w:t>
      </w:r>
      <w:r>
        <w:rPr>
          <w:color w:val="009EDB"/>
          <w:w w:val="105"/>
          <w:sz w:val="10"/>
        </w:rPr>
        <w:t>DE</w:t>
      </w:r>
      <w:r>
        <w:rPr>
          <w:color w:val="009EDB"/>
          <w:spacing w:val="2"/>
          <w:w w:val="105"/>
          <w:sz w:val="10"/>
        </w:rPr>
        <w:t xml:space="preserve"> </w:t>
      </w:r>
      <w:r>
        <w:rPr>
          <w:color w:val="009EDB"/>
          <w:w w:val="105"/>
          <w:sz w:val="10"/>
        </w:rPr>
        <w:t>LOS</w:t>
      </w:r>
      <w:r>
        <w:rPr>
          <w:color w:val="009EDB"/>
          <w:spacing w:val="2"/>
          <w:w w:val="105"/>
          <w:sz w:val="10"/>
        </w:rPr>
        <w:t xml:space="preserve"> </w:t>
      </w:r>
      <w:r>
        <w:rPr>
          <w:color w:val="009EDB"/>
          <w:w w:val="105"/>
          <w:sz w:val="10"/>
        </w:rPr>
        <w:t>ESTADOS</w:t>
      </w:r>
      <w:r>
        <w:rPr>
          <w:color w:val="009EDB"/>
          <w:spacing w:val="4"/>
          <w:w w:val="105"/>
          <w:sz w:val="10"/>
        </w:rPr>
        <w:t xml:space="preserve"> </w:t>
      </w:r>
      <w:r>
        <w:rPr>
          <w:color w:val="009EDB"/>
          <w:w w:val="105"/>
          <w:sz w:val="10"/>
        </w:rPr>
        <w:t>PARA</w:t>
      </w:r>
      <w:r>
        <w:rPr>
          <w:color w:val="009EDB"/>
          <w:spacing w:val="2"/>
          <w:w w:val="105"/>
          <w:sz w:val="10"/>
        </w:rPr>
        <w:t xml:space="preserve"> </w:t>
      </w:r>
      <w:r>
        <w:rPr>
          <w:color w:val="009EDB"/>
          <w:w w:val="105"/>
          <w:sz w:val="10"/>
        </w:rPr>
        <w:t>PROMULGAR</w:t>
      </w:r>
      <w:r>
        <w:rPr>
          <w:color w:val="009EDB"/>
          <w:spacing w:val="3"/>
          <w:w w:val="105"/>
          <w:sz w:val="10"/>
        </w:rPr>
        <w:t xml:space="preserve"> </w:t>
      </w:r>
      <w:r>
        <w:rPr>
          <w:color w:val="009EDB"/>
          <w:w w:val="105"/>
          <w:sz w:val="10"/>
        </w:rPr>
        <w:t>UNA</w:t>
      </w:r>
      <w:r>
        <w:rPr>
          <w:color w:val="009EDB"/>
          <w:spacing w:val="3"/>
          <w:w w:val="105"/>
          <w:sz w:val="10"/>
        </w:rPr>
        <w:t xml:space="preserve"> </w:t>
      </w:r>
      <w:r>
        <w:rPr>
          <w:color w:val="009EDB"/>
          <w:w w:val="105"/>
          <w:sz w:val="10"/>
        </w:rPr>
        <w:t>LEY</w:t>
      </w:r>
      <w:r>
        <w:rPr>
          <w:color w:val="009EDB"/>
          <w:spacing w:val="2"/>
          <w:w w:val="105"/>
          <w:sz w:val="10"/>
        </w:rPr>
        <w:t xml:space="preserve"> </w:t>
      </w:r>
      <w:r>
        <w:rPr>
          <w:color w:val="009EDB"/>
          <w:w w:val="105"/>
          <w:sz w:val="10"/>
        </w:rPr>
        <w:t>INTEGRAL</w:t>
      </w:r>
      <w:r>
        <w:rPr>
          <w:color w:val="009EDB"/>
          <w:spacing w:val="3"/>
          <w:w w:val="105"/>
          <w:sz w:val="10"/>
        </w:rPr>
        <w:t xml:space="preserve"> </w:t>
      </w:r>
      <w:r>
        <w:rPr>
          <w:color w:val="009EDB"/>
          <w:w w:val="105"/>
          <w:sz w:val="10"/>
        </w:rPr>
        <w:t>CONTRA</w:t>
      </w:r>
      <w:r>
        <w:rPr>
          <w:color w:val="009EDB"/>
          <w:spacing w:val="3"/>
          <w:w w:val="105"/>
          <w:sz w:val="10"/>
        </w:rPr>
        <w:t xml:space="preserve"> </w:t>
      </w:r>
      <w:r>
        <w:rPr>
          <w:color w:val="009EDB"/>
          <w:w w:val="105"/>
          <w:sz w:val="10"/>
        </w:rPr>
        <w:t>LA</w:t>
      </w:r>
      <w:r>
        <w:rPr>
          <w:color w:val="009EDB"/>
          <w:spacing w:val="2"/>
          <w:w w:val="105"/>
          <w:sz w:val="10"/>
        </w:rPr>
        <w:t xml:space="preserve"> </w:t>
      </w:r>
      <w:r>
        <w:rPr>
          <w:color w:val="009EDB"/>
          <w:spacing w:val="-2"/>
          <w:w w:val="105"/>
          <w:sz w:val="10"/>
        </w:rPr>
        <w:t>DISCRIMINACIÓN</w:t>
      </w:r>
    </w:p>
    <w:p w14:paraId="62CECF4E" w14:textId="77777777" w:rsidR="0014798C" w:rsidRDefault="0014798C">
      <w:pPr>
        <w:pStyle w:val="Textoindependiente"/>
      </w:pPr>
    </w:p>
    <w:p w14:paraId="32F3C09F" w14:textId="77777777" w:rsidR="0014798C" w:rsidRDefault="0014798C">
      <w:pPr>
        <w:pStyle w:val="Textoindependiente"/>
      </w:pPr>
    </w:p>
    <w:p w14:paraId="4C317312" w14:textId="77777777" w:rsidR="0014798C" w:rsidRDefault="0014798C">
      <w:pPr>
        <w:pStyle w:val="Textoindependiente"/>
      </w:pPr>
    </w:p>
    <w:p w14:paraId="2018552E" w14:textId="77777777" w:rsidR="0014798C" w:rsidRDefault="0014798C">
      <w:pPr>
        <w:pStyle w:val="Textoindependiente"/>
      </w:pPr>
    </w:p>
    <w:p w14:paraId="60887ECE" w14:textId="77777777" w:rsidR="0014798C" w:rsidRDefault="0014798C">
      <w:pPr>
        <w:pStyle w:val="Textoindependiente"/>
        <w:spacing w:before="60"/>
      </w:pPr>
    </w:p>
    <w:p w14:paraId="6F758E68" w14:textId="77777777" w:rsidR="0014798C" w:rsidRDefault="004E1F0B">
      <w:pPr>
        <w:pStyle w:val="Textoindependiente"/>
        <w:spacing w:line="319" w:lineRule="auto"/>
        <w:ind w:left="1342" w:right="4198" w:hanging="7"/>
      </w:pPr>
      <w:r>
        <w:rPr>
          <w:noProof/>
        </w:rPr>
        <w:drawing>
          <wp:anchor distT="0" distB="0" distL="0" distR="0" simplePos="0" relativeHeight="251658365" behindDoc="1" locked="0" layoutInCell="1" allowOverlap="1" wp14:anchorId="67CC96C3" wp14:editId="2EC0AFDA">
            <wp:simplePos x="0" y="0"/>
            <wp:positionH relativeFrom="page">
              <wp:posOffset>795184</wp:posOffset>
            </wp:positionH>
            <wp:positionV relativeFrom="paragraph">
              <wp:posOffset>-141080</wp:posOffset>
            </wp:positionV>
            <wp:extent cx="6761315" cy="7625219"/>
            <wp:effectExtent l="0" t="0" r="0" b="0"/>
            <wp:wrapNone/>
            <wp:docPr id="66" name="Image 6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66" name="Image 66"/>
                    <pic:cNvPicPr/>
                  </pic:nvPicPr>
                  <pic:blipFill>
                    <a:blip r:embed="rId72" cstate="print"/>
                    <a:stretch>
                      <a:fillRect/>
                    </a:stretch>
                  </pic:blipFill>
                  <pic:spPr>
                    <a:xfrm>
                      <a:off x="0" y="0"/>
                      <a:ext cx="6761315" cy="7625219"/>
                    </a:xfrm>
                    <a:prstGeom prst="rect">
                      <a:avLst/>
                    </a:prstGeom>
                  </pic:spPr>
                </pic:pic>
              </a:graphicData>
            </a:graphic>
          </wp:anchor>
        </w:drawing>
      </w:r>
      <w:r>
        <w:t>SUDÁFRICA:</w:t>
      </w:r>
      <w:r>
        <w:rPr>
          <w:spacing w:val="-12"/>
        </w:rPr>
        <w:t xml:space="preserve"> </w:t>
      </w:r>
      <w:r>
        <w:t>PROMOCIÓN</w:t>
      </w:r>
      <w:r>
        <w:rPr>
          <w:spacing w:val="-11"/>
        </w:rPr>
        <w:t xml:space="preserve"> </w:t>
      </w:r>
      <w:r>
        <w:t>DE</w:t>
      </w:r>
      <w:r>
        <w:rPr>
          <w:spacing w:val="-11"/>
        </w:rPr>
        <w:t xml:space="preserve"> </w:t>
      </w:r>
      <w:r>
        <w:t>LA</w:t>
      </w:r>
      <w:r>
        <w:rPr>
          <w:spacing w:val="-11"/>
        </w:rPr>
        <w:t xml:space="preserve"> </w:t>
      </w:r>
      <w:r>
        <w:t>IGUALDAD</w:t>
      </w:r>
      <w:r>
        <w:rPr>
          <w:spacing w:val="-11"/>
        </w:rPr>
        <w:t xml:space="preserve"> </w:t>
      </w:r>
      <w:r>
        <w:t>Y</w:t>
      </w:r>
      <w:r>
        <w:rPr>
          <w:spacing w:val="-11"/>
        </w:rPr>
        <w:t xml:space="preserve"> </w:t>
      </w:r>
      <w:r>
        <w:t>PREVENCIÓN</w:t>
      </w:r>
      <w:r>
        <w:rPr>
          <w:spacing w:val="-11"/>
        </w:rPr>
        <w:t xml:space="preserve"> </w:t>
      </w:r>
      <w:r>
        <w:t>DE</w:t>
      </w:r>
      <w:r>
        <w:rPr>
          <w:spacing w:val="-11"/>
        </w:rPr>
        <w:t xml:space="preserve"> </w:t>
      </w:r>
      <w:r>
        <w:t>DESAJUSTES LEY DE DISCRIMINACIÓN</w:t>
      </w:r>
    </w:p>
    <w:p w14:paraId="0BE5295D" w14:textId="77777777" w:rsidR="0014798C" w:rsidRDefault="004E1F0B">
      <w:pPr>
        <w:pStyle w:val="Textoindependiente"/>
        <w:spacing w:before="159"/>
        <w:ind w:left="1332"/>
      </w:pPr>
      <w:r>
        <w:rPr>
          <w:noProof/>
        </w:rPr>
        <mc:AlternateContent>
          <mc:Choice Requires="wps">
            <w:drawing>
              <wp:anchor distT="0" distB="0" distL="0" distR="0" simplePos="0" relativeHeight="251658244" behindDoc="0" locked="0" layoutInCell="1" allowOverlap="1" wp14:anchorId="3126FF16" wp14:editId="4014AE02">
                <wp:simplePos x="0" y="0"/>
                <wp:positionH relativeFrom="page">
                  <wp:posOffset>7301499</wp:posOffset>
                </wp:positionH>
                <wp:positionV relativeFrom="paragraph">
                  <wp:posOffset>235559</wp:posOffset>
                </wp:positionV>
                <wp:extent cx="97790" cy="241300"/>
                <wp:effectExtent l="0" t="0" r="0" b="0"/>
                <wp:wrapNone/>
                <wp:docPr id="67" name="Textbox 6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97790" cy="241300"/>
                        </a:xfrm>
                        <a:prstGeom prst="rect">
                          <a:avLst/>
                        </a:prstGeom>
                      </wps:spPr>
                      <wps:txbx>
                        <w:txbxContent>
                          <w:p w14:paraId="10A32BFF" w14:textId="77777777" w:rsidR="0014798C" w:rsidRDefault="004E1F0B">
                            <w:pPr>
                              <w:spacing w:before="18"/>
                              <w:ind w:left="20"/>
                              <w:rPr>
                                <w:sz w:val="10"/>
                              </w:rPr>
                            </w:pPr>
                            <w:r>
                              <w:rPr>
                                <w:color w:val="FFFFFF"/>
                                <w:spacing w:val="-27"/>
                                <w:sz w:val="10"/>
                              </w:rPr>
                              <w:t>UPANROTE</w:t>
                            </w:r>
                          </w:p>
                        </w:txbxContent>
                      </wps:txbx>
                      <wps:bodyPr vert="vert270" wrap="square" lIns="0" tIns="0" rIns="0" bIns="0" rtlCol="0">
                        <a:noAutofit/>
                      </wps:bodyPr>
                    </wps:wsp>
                  </a:graphicData>
                </a:graphic>
              </wp:anchor>
            </w:drawing>
          </mc:Choice>
          <mc:Fallback>
            <w:pict>
              <v:shape w14:anchorId="3126FF16" id="Textbox 67" o:spid="_x0000_s1045" type="#_x0000_t202" style="position:absolute;left:0;text-align:left;margin-left:574.9pt;margin-top:18.55pt;width:7.7pt;height:19pt;z-index:251658244;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" filled="f" stroked="f">
                <v:textbox style="layout-flow:vertical;mso-layout-flow-alt:bottom-to-top" inset="0,0,0,0">
                  <w:txbxContent>
                    <w:p w14:paraId="10A32BFF" w14:textId="77777777" w:rsidR="0014798C" w:rsidRDefault="004E1F0B">
                      <w:pPr>
                        <w:spacing w:before="18"/>
                        <w:ind w:left="20"/>
                        <w:rPr>
                          <w:sz w:val="10"/>
                        </w:rPr>
                      </w:pPr>
                      <w:r>
                        <w:rPr>
                          <w:color w:val="FFFFFF"/>
                          <w:spacing w:val="-27"/>
                          <w:sz w:val="10"/>
                        </w:rPr>
                        <w:t>UPANROTE</w:t>
                      </w:r>
                    </w:p>
                  </w:txbxContent>
                </v:textbox>
                <w10:wrap anchorx="page"/>
              </v:shape>
            </w:pict>
          </mc:Fallback>
        </mc:AlternateContent>
      </w:r>
      <w:r>
        <w:rPr>
          <w:spacing w:val="-2"/>
        </w:rPr>
        <w:t>En</w:t>
      </w:r>
      <w:r>
        <w:rPr>
          <w:spacing w:val="-3"/>
        </w:rPr>
        <w:t xml:space="preserve"> </w:t>
      </w:r>
      <w:r>
        <w:rPr>
          <w:spacing w:val="-2"/>
        </w:rPr>
        <w:t>2000,</w:t>
      </w:r>
      <w:r>
        <w:rPr>
          <w:spacing w:val="-3"/>
        </w:rPr>
        <w:t xml:space="preserve"> </w:t>
      </w:r>
      <w:r>
        <w:rPr>
          <w:spacing w:val="-2"/>
        </w:rPr>
        <w:t>Sudáfrica</w:t>
      </w:r>
      <w:r>
        <w:rPr>
          <w:spacing w:val="-3"/>
        </w:rPr>
        <w:t xml:space="preserve"> </w:t>
      </w:r>
      <w:r>
        <w:rPr>
          <w:spacing w:val="-2"/>
        </w:rPr>
        <w:t>aprobó la</w:t>
      </w:r>
      <w:r>
        <w:rPr>
          <w:spacing w:val="-3"/>
        </w:rPr>
        <w:t xml:space="preserve"> </w:t>
      </w:r>
      <w:r>
        <w:rPr>
          <w:spacing w:val="-2"/>
        </w:rPr>
        <w:t>Ley</w:t>
      </w:r>
      <w:r>
        <w:rPr>
          <w:spacing w:val="-3"/>
        </w:rPr>
        <w:t xml:space="preserve"> </w:t>
      </w:r>
      <w:r>
        <w:rPr>
          <w:spacing w:val="-2"/>
        </w:rPr>
        <w:t>de</w:t>
      </w:r>
      <w:r>
        <w:rPr>
          <w:spacing w:val="-3"/>
        </w:rPr>
        <w:t xml:space="preserve"> </w:t>
      </w:r>
      <w:r>
        <w:rPr>
          <w:spacing w:val="-2"/>
        </w:rPr>
        <w:t>Promoción de</w:t>
      </w:r>
      <w:r>
        <w:rPr>
          <w:spacing w:val="-3"/>
        </w:rPr>
        <w:t xml:space="preserve"> </w:t>
      </w:r>
      <w:r>
        <w:rPr>
          <w:spacing w:val="-2"/>
        </w:rPr>
        <w:t>la</w:t>
      </w:r>
      <w:r>
        <w:rPr>
          <w:spacing w:val="-3"/>
        </w:rPr>
        <w:t xml:space="preserve"> </w:t>
      </w:r>
      <w:r>
        <w:rPr>
          <w:spacing w:val="-2"/>
        </w:rPr>
        <w:t>Igualdad</w:t>
      </w:r>
      <w:r>
        <w:rPr>
          <w:spacing w:val="-3"/>
        </w:rPr>
        <w:t xml:space="preserve"> </w:t>
      </w:r>
      <w:r>
        <w:rPr>
          <w:spacing w:val="-2"/>
        </w:rPr>
        <w:t>y Prevención</w:t>
      </w:r>
      <w:r>
        <w:rPr>
          <w:spacing w:val="-3"/>
        </w:rPr>
        <w:t xml:space="preserve"> </w:t>
      </w:r>
      <w:r>
        <w:rPr>
          <w:spacing w:val="-2"/>
        </w:rPr>
        <w:t>de</w:t>
      </w:r>
      <w:r>
        <w:rPr>
          <w:spacing w:val="-3"/>
        </w:rPr>
        <w:t xml:space="preserve"> </w:t>
      </w:r>
      <w:r>
        <w:rPr>
          <w:spacing w:val="-2"/>
        </w:rPr>
        <w:t>la Discriminación</w:t>
      </w:r>
      <w:r>
        <w:rPr>
          <w:spacing w:val="-3"/>
        </w:rPr>
        <w:t xml:space="preserve"> </w:t>
      </w:r>
      <w:r>
        <w:rPr>
          <w:spacing w:val="-2"/>
        </w:rPr>
        <w:t>Injusta.</w:t>
      </w:r>
    </w:p>
    <w:p w14:paraId="717098BE" w14:textId="77777777" w:rsidR="0014798C" w:rsidRDefault="004E1F0B">
      <w:pPr>
        <w:pStyle w:val="Textoindependiente"/>
        <w:spacing w:before="66" w:line="326" w:lineRule="auto"/>
        <w:ind w:left="1338" w:right="2004" w:hanging="7"/>
      </w:pPr>
      <w:r>
        <w:t>La</w:t>
      </w:r>
      <w:r>
        <w:rPr>
          <w:spacing w:val="-8"/>
        </w:rPr>
        <w:t xml:space="preserve"> </w:t>
      </w:r>
      <w:r>
        <w:t>Ley</w:t>
      </w:r>
      <w:r>
        <w:rPr>
          <w:spacing w:val="-8"/>
        </w:rPr>
        <w:t xml:space="preserve"> </w:t>
      </w:r>
      <w:r>
        <w:t>representa</w:t>
      </w:r>
      <w:r>
        <w:rPr>
          <w:spacing w:val="-8"/>
        </w:rPr>
        <w:t xml:space="preserve"> </w:t>
      </w:r>
      <w:r>
        <w:t>uno</w:t>
      </w:r>
      <w:r>
        <w:rPr>
          <w:spacing w:val="-8"/>
        </w:rPr>
        <w:t xml:space="preserve"> </w:t>
      </w:r>
      <w:r>
        <w:t>de</w:t>
      </w:r>
      <w:r>
        <w:rPr>
          <w:spacing w:val="-8"/>
        </w:rPr>
        <w:t xml:space="preserve"> </w:t>
      </w:r>
      <w:r>
        <w:t>los</w:t>
      </w:r>
      <w:r>
        <w:rPr>
          <w:spacing w:val="-8"/>
        </w:rPr>
        <w:t xml:space="preserve"> </w:t>
      </w:r>
      <w:r>
        <w:t>primeros</w:t>
      </w:r>
      <w:r>
        <w:rPr>
          <w:spacing w:val="-8"/>
        </w:rPr>
        <w:t xml:space="preserve"> </w:t>
      </w:r>
      <w:r>
        <w:t>intentos</w:t>
      </w:r>
      <w:r>
        <w:rPr>
          <w:spacing w:val="-8"/>
        </w:rPr>
        <w:t xml:space="preserve"> </w:t>
      </w:r>
      <w:r>
        <w:t>de</w:t>
      </w:r>
      <w:r>
        <w:rPr>
          <w:spacing w:val="-8"/>
        </w:rPr>
        <w:t xml:space="preserve"> </w:t>
      </w:r>
      <w:r>
        <w:t>promulgar</w:t>
      </w:r>
      <w:r>
        <w:rPr>
          <w:spacing w:val="-8"/>
        </w:rPr>
        <w:t xml:space="preserve"> </w:t>
      </w:r>
      <w:r>
        <w:t>una</w:t>
      </w:r>
      <w:r>
        <w:rPr>
          <w:spacing w:val="-8"/>
        </w:rPr>
        <w:t xml:space="preserve"> </w:t>
      </w:r>
      <w:r>
        <w:t>legislación</w:t>
      </w:r>
      <w:r>
        <w:rPr>
          <w:spacing w:val="-8"/>
        </w:rPr>
        <w:t xml:space="preserve"> </w:t>
      </w:r>
      <w:r>
        <w:t>integral</w:t>
      </w:r>
      <w:r>
        <w:rPr>
          <w:spacing w:val="-8"/>
        </w:rPr>
        <w:t xml:space="preserve"> </w:t>
      </w:r>
      <w:r>
        <w:t>contra</w:t>
      </w:r>
      <w:r>
        <w:rPr>
          <w:spacing w:val="-8"/>
        </w:rPr>
        <w:t xml:space="preserve"> </w:t>
      </w:r>
      <w:r>
        <w:t>la</w:t>
      </w:r>
      <w:r>
        <w:rPr>
          <w:spacing w:val="-8"/>
        </w:rPr>
        <w:t xml:space="preserve"> </w:t>
      </w:r>
      <w:r>
        <w:t>discriminación</w:t>
      </w:r>
      <w:r>
        <w:rPr>
          <w:spacing w:val="-8"/>
        </w:rPr>
        <w:t xml:space="preserve"> </w:t>
      </w:r>
      <w:r>
        <w:t>y</w:t>
      </w:r>
      <w:r>
        <w:rPr>
          <w:spacing w:val="-8"/>
        </w:rPr>
        <w:t xml:space="preserve"> </w:t>
      </w:r>
      <w:r>
        <w:t>ha proporcionado una base para varias leyes, conceptos de discriminación y mejores prácticas a seguir.</w:t>
      </w:r>
    </w:p>
    <w:p w14:paraId="07A0A790" w14:textId="77777777" w:rsidR="0014798C" w:rsidRDefault="004E1F0B">
      <w:pPr>
        <w:pStyle w:val="Textoindependiente"/>
        <w:spacing w:before="112" w:line="326" w:lineRule="auto"/>
        <w:ind w:left="1334" w:right="1463" w:firstLine="3"/>
      </w:pPr>
      <w:r>
        <w:t>La</w:t>
      </w:r>
      <w:r>
        <w:rPr>
          <w:spacing w:val="-2"/>
        </w:rPr>
        <w:t xml:space="preserve"> </w:t>
      </w:r>
      <w:r>
        <w:t>sección</w:t>
      </w:r>
      <w:r>
        <w:rPr>
          <w:spacing w:val="-2"/>
        </w:rPr>
        <w:t xml:space="preserve"> </w:t>
      </w:r>
      <w:r>
        <w:t>1</w:t>
      </w:r>
      <w:r>
        <w:rPr>
          <w:spacing w:val="-2"/>
        </w:rPr>
        <w:t xml:space="preserve"> </w:t>
      </w:r>
      <w:r>
        <w:t>de</w:t>
      </w:r>
      <w:r>
        <w:rPr>
          <w:spacing w:val="-2"/>
        </w:rPr>
        <w:t xml:space="preserve"> </w:t>
      </w:r>
      <w:r>
        <w:t>la</w:t>
      </w:r>
      <w:r>
        <w:rPr>
          <w:spacing w:val="-2"/>
        </w:rPr>
        <w:t xml:space="preserve"> </w:t>
      </w:r>
      <w:r>
        <w:t>Ley</w:t>
      </w:r>
      <w:r>
        <w:rPr>
          <w:spacing w:val="-2"/>
        </w:rPr>
        <w:t xml:space="preserve"> </w:t>
      </w:r>
      <w:r>
        <w:t>contiene</w:t>
      </w:r>
      <w:r>
        <w:rPr>
          <w:spacing w:val="-2"/>
        </w:rPr>
        <w:t xml:space="preserve"> </w:t>
      </w:r>
      <w:r>
        <w:t>definiciones.</w:t>
      </w:r>
      <w:r>
        <w:rPr>
          <w:spacing w:val="-1"/>
        </w:rPr>
        <w:t xml:space="preserve"> </w:t>
      </w:r>
      <w:r>
        <w:t>Allí,</w:t>
      </w:r>
      <w:r>
        <w:rPr>
          <w:spacing w:val="-2"/>
        </w:rPr>
        <w:t xml:space="preserve"> </w:t>
      </w:r>
      <w:r>
        <w:t>la</w:t>
      </w:r>
      <w:r>
        <w:rPr>
          <w:spacing w:val="-2"/>
        </w:rPr>
        <w:t xml:space="preserve"> </w:t>
      </w:r>
      <w:r>
        <w:t>igualdad</w:t>
      </w:r>
      <w:r>
        <w:rPr>
          <w:spacing w:val="-2"/>
        </w:rPr>
        <w:t xml:space="preserve"> </w:t>
      </w:r>
      <w:r>
        <w:t>se</w:t>
      </w:r>
      <w:r>
        <w:rPr>
          <w:spacing w:val="-2"/>
        </w:rPr>
        <w:t xml:space="preserve"> </w:t>
      </w:r>
      <w:r>
        <w:t>define</w:t>
      </w:r>
      <w:r>
        <w:rPr>
          <w:spacing w:val="-2"/>
        </w:rPr>
        <w:t xml:space="preserve"> </w:t>
      </w:r>
      <w:r>
        <w:t>para</w:t>
      </w:r>
      <w:r>
        <w:rPr>
          <w:spacing w:val="-2"/>
        </w:rPr>
        <w:t xml:space="preserve"> </w:t>
      </w:r>
      <w:r>
        <w:t>incluir</w:t>
      </w:r>
      <w:r>
        <w:rPr>
          <w:spacing w:val="-2"/>
        </w:rPr>
        <w:t xml:space="preserve"> </w:t>
      </w:r>
      <w:r>
        <w:t>“el</w:t>
      </w:r>
      <w:r>
        <w:rPr>
          <w:spacing w:val="-2"/>
        </w:rPr>
        <w:t xml:space="preserve"> </w:t>
      </w:r>
      <w:r>
        <w:t>disfrute</w:t>
      </w:r>
      <w:r>
        <w:rPr>
          <w:spacing w:val="-2"/>
        </w:rPr>
        <w:t xml:space="preserve"> </w:t>
      </w:r>
      <w:r>
        <w:t>pleno</w:t>
      </w:r>
      <w:r>
        <w:rPr>
          <w:spacing w:val="-2"/>
        </w:rPr>
        <w:t xml:space="preserve"> </w:t>
      </w:r>
      <w:r>
        <w:t>e</w:t>
      </w:r>
      <w:r>
        <w:rPr>
          <w:spacing w:val="-2"/>
        </w:rPr>
        <w:t xml:space="preserve"> </w:t>
      </w:r>
      <w:r>
        <w:t>igualitario</w:t>
      </w:r>
      <w:r>
        <w:rPr>
          <w:spacing w:val="-2"/>
        </w:rPr>
        <w:t xml:space="preserve"> </w:t>
      </w:r>
      <w:r>
        <w:t>de</w:t>
      </w:r>
      <w:r>
        <w:rPr>
          <w:spacing w:val="-2"/>
        </w:rPr>
        <w:t xml:space="preserve"> </w:t>
      </w:r>
      <w:r>
        <w:t>los derechos</w:t>
      </w:r>
      <w:r>
        <w:rPr>
          <w:spacing w:val="-7"/>
        </w:rPr>
        <w:t xml:space="preserve"> </w:t>
      </w:r>
      <w:r>
        <w:t>y</w:t>
      </w:r>
      <w:r>
        <w:rPr>
          <w:spacing w:val="-7"/>
        </w:rPr>
        <w:t xml:space="preserve"> </w:t>
      </w:r>
      <w:r>
        <w:t>libertades</w:t>
      </w:r>
      <w:r>
        <w:rPr>
          <w:spacing w:val="-7"/>
        </w:rPr>
        <w:t xml:space="preserve"> </w:t>
      </w:r>
      <w:r>
        <w:t>contemplados</w:t>
      </w:r>
      <w:r>
        <w:rPr>
          <w:spacing w:val="-7"/>
        </w:rPr>
        <w:t xml:space="preserve"> </w:t>
      </w:r>
      <w:r>
        <w:t>en</w:t>
      </w:r>
      <w:r>
        <w:rPr>
          <w:spacing w:val="-7"/>
        </w:rPr>
        <w:t xml:space="preserve"> </w:t>
      </w:r>
      <w:r>
        <w:t>la</w:t>
      </w:r>
      <w:r>
        <w:rPr>
          <w:spacing w:val="-7"/>
        </w:rPr>
        <w:t xml:space="preserve"> </w:t>
      </w:r>
      <w:r>
        <w:t>Constitución”,</w:t>
      </w:r>
      <w:r>
        <w:rPr>
          <w:spacing w:val="-6"/>
        </w:rPr>
        <w:t xml:space="preserve"> </w:t>
      </w:r>
      <w:r>
        <w:t>incluida</w:t>
      </w:r>
      <w:r>
        <w:rPr>
          <w:spacing w:val="-7"/>
        </w:rPr>
        <w:t xml:space="preserve"> </w:t>
      </w:r>
      <w:proofErr w:type="gramStart"/>
      <w:r>
        <w:t>“</w:t>
      </w:r>
      <w:r>
        <w:rPr>
          <w:spacing w:val="-7"/>
        </w:rPr>
        <w:t xml:space="preserve"> </w:t>
      </w:r>
      <w:r>
        <w:t>la</w:t>
      </w:r>
      <w:proofErr w:type="gramEnd"/>
      <w:r>
        <w:rPr>
          <w:spacing w:val="-7"/>
        </w:rPr>
        <w:t xml:space="preserve"> </w:t>
      </w:r>
      <w:r>
        <w:t>igualdad</w:t>
      </w:r>
      <w:r>
        <w:rPr>
          <w:spacing w:val="-7"/>
        </w:rPr>
        <w:t xml:space="preserve"> </w:t>
      </w:r>
      <w:r>
        <w:t>de</w:t>
      </w:r>
      <w:r>
        <w:rPr>
          <w:spacing w:val="-7"/>
        </w:rPr>
        <w:t xml:space="preserve"> </w:t>
      </w:r>
      <w:r>
        <w:t>jure</w:t>
      </w:r>
      <w:r>
        <w:rPr>
          <w:spacing w:val="-7"/>
        </w:rPr>
        <w:t xml:space="preserve"> </w:t>
      </w:r>
      <w:r>
        <w:t>y</w:t>
      </w:r>
      <w:r>
        <w:rPr>
          <w:spacing w:val="-7"/>
        </w:rPr>
        <w:t xml:space="preserve"> </w:t>
      </w:r>
      <w:r>
        <w:t>de</w:t>
      </w:r>
      <w:r>
        <w:rPr>
          <w:spacing w:val="-7"/>
        </w:rPr>
        <w:t xml:space="preserve"> </w:t>
      </w:r>
      <w:r>
        <w:t>facto</w:t>
      </w:r>
      <w:r>
        <w:rPr>
          <w:spacing w:val="-7"/>
        </w:rPr>
        <w:t xml:space="preserve"> </w:t>
      </w:r>
      <w:r>
        <w:t>y</w:t>
      </w:r>
      <w:r>
        <w:rPr>
          <w:spacing w:val="-7"/>
        </w:rPr>
        <w:t xml:space="preserve"> </w:t>
      </w:r>
      <w:r>
        <w:t>también</w:t>
      </w:r>
      <w:r>
        <w:rPr>
          <w:spacing w:val="-7"/>
        </w:rPr>
        <w:t xml:space="preserve"> </w:t>
      </w:r>
      <w:r>
        <w:t>la</w:t>
      </w:r>
      <w:r>
        <w:rPr>
          <w:spacing w:val="-7"/>
        </w:rPr>
        <w:t xml:space="preserve"> </w:t>
      </w:r>
      <w:r>
        <w:t>igualdad</w:t>
      </w:r>
      <w:r>
        <w:rPr>
          <w:spacing w:val="-7"/>
        </w:rPr>
        <w:t xml:space="preserve"> </w:t>
      </w:r>
      <w:r>
        <w:t>en términos</w:t>
      </w:r>
      <w:r>
        <w:rPr>
          <w:spacing w:val="-8"/>
        </w:rPr>
        <w:t xml:space="preserve"> </w:t>
      </w:r>
      <w:r>
        <w:t>de</w:t>
      </w:r>
      <w:r>
        <w:rPr>
          <w:spacing w:val="-8"/>
        </w:rPr>
        <w:t xml:space="preserve"> </w:t>
      </w:r>
      <w:r>
        <w:t>resultado”.</w:t>
      </w:r>
      <w:r>
        <w:rPr>
          <w:spacing w:val="-7"/>
        </w:rPr>
        <w:t xml:space="preserve"> </w:t>
      </w:r>
      <w:r>
        <w:t>La</w:t>
      </w:r>
      <w:r>
        <w:rPr>
          <w:spacing w:val="-8"/>
        </w:rPr>
        <w:t xml:space="preserve"> </w:t>
      </w:r>
      <w:r>
        <w:t>discriminación</w:t>
      </w:r>
      <w:r>
        <w:rPr>
          <w:spacing w:val="-8"/>
        </w:rPr>
        <w:t xml:space="preserve"> </w:t>
      </w:r>
      <w:r>
        <w:t>se</w:t>
      </w:r>
      <w:r>
        <w:rPr>
          <w:spacing w:val="-8"/>
        </w:rPr>
        <w:t xml:space="preserve"> </w:t>
      </w:r>
      <w:r>
        <w:t>define</w:t>
      </w:r>
      <w:r>
        <w:rPr>
          <w:spacing w:val="-8"/>
        </w:rPr>
        <w:t xml:space="preserve"> </w:t>
      </w:r>
      <w:r>
        <w:t>para</w:t>
      </w:r>
      <w:r>
        <w:rPr>
          <w:spacing w:val="-8"/>
        </w:rPr>
        <w:t xml:space="preserve"> </w:t>
      </w:r>
      <w:r>
        <w:t>incluir</w:t>
      </w:r>
      <w:r>
        <w:rPr>
          <w:spacing w:val="-8"/>
        </w:rPr>
        <w:t xml:space="preserve"> </w:t>
      </w:r>
      <w:r>
        <w:t>“cualquier</w:t>
      </w:r>
      <w:r>
        <w:rPr>
          <w:spacing w:val="-8"/>
        </w:rPr>
        <w:t xml:space="preserve"> </w:t>
      </w:r>
      <w:r>
        <w:t>acto</w:t>
      </w:r>
      <w:r>
        <w:rPr>
          <w:spacing w:val="-8"/>
        </w:rPr>
        <w:t xml:space="preserve"> </w:t>
      </w:r>
      <w:r>
        <w:t>u</w:t>
      </w:r>
      <w:r>
        <w:rPr>
          <w:spacing w:val="-8"/>
        </w:rPr>
        <w:t xml:space="preserve"> </w:t>
      </w:r>
      <w:r>
        <w:t>omisión,</w:t>
      </w:r>
      <w:r>
        <w:rPr>
          <w:spacing w:val="-7"/>
        </w:rPr>
        <w:t xml:space="preserve"> </w:t>
      </w:r>
      <w:r>
        <w:t>incluida</w:t>
      </w:r>
      <w:r>
        <w:rPr>
          <w:spacing w:val="-8"/>
        </w:rPr>
        <w:t xml:space="preserve"> </w:t>
      </w:r>
      <w:r>
        <w:t>una</w:t>
      </w:r>
      <w:r>
        <w:rPr>
          <w:spacing w:val="-8"/>
        </w:rPr>
        <w:t xml:space="preserve"> </w:t>
      </w:r>
      <w:r>
        <w:t>política,</w:t>
      </w:r>
      <w:r>
        <w:rPr>
          <w:spacing w:val="-8"/>
        </w:rPr>
        <w:t xml:space="preserve"> </w:t>
      </w:r>
      <w:r>
        <w:t>ley,</w:t>
      </w:r>
      <w:r>
        <w:rPr>
          <w:spacing w:val="-8"/>
        </w:rPr>
        <w:t xml:space="preserve"> </w:t>
      </w:r>
      <w:r>
        <w:t>regla, práctica,</w:t>
      </w:r>
      <w:r>
        <w:rPr>
          <w:spacing w:val="-12"/>
        </w:rPr>
        <w:t xml:space="preserve"> </w:t>
      </w:r>
      <w:r>
        <w:t>condición</w:t>
      </w:r>
      <w:r>
        <w:rPr>
          <w:spacing w:val="-11"/>
        </w:rPr>
        <w:t xml:space="preserve"> </w:t>
      </w:r>
      <w:r>
        <w:t>o</w:t>
      </w:r>
      <w:r>
        <w:rPr>
          <w:spacing w:val="-11"/>
        </w:rPr>
        <w:t xml:space="preserve"> </w:t>
      </w:r>
      <w:r>
        <w:t>situación</w:t>
      </w:r>
      <w:r>
        <w:rPr>
          <w:spacing w:val="-11"/>
        </w:rPr>
        <w:t xml:space="preserve"> </w:t>
      </w:r>
      <w:r>
        <w:t>que</w:t>
      </w:r>
      <w:r>
        <w:rPr>
          <w:spacing w:val="-11"/>
        </w:rPr>
        <w:t xml:space="preserve"> </w:t>
      </w:r>
      <w:r>
        <w:t>directa</w:t>
      </w:r>
      <w:r>
        <w:rPr>
          <w:spacing w:val="-11"/>
        </w:rPr>
        <w:t xml:space="preserve"> </w:t>
      </w:r>
      <w:r>
        <w:t>o</w:t>
      </w:r>
      <w:r>
        <w:rPr>
          <w:spacing w:val="-11"/>
        </w:rPr>
        <w:t xml:space="preserve"> </w:t>
      </w:r>
      <w:r>
        <w:t>indirectamente</w:t>
      </w:r>
      <w:r>
        <w:rPr>
          <w:spacing w:val="-11"/>
        </w:rPr>
        <w:t xml:space="preserve"> </w:t>
      </w:r>
      <w:r>
        <w:t>(a)</w:t>
      </w:r>
      <w:r>
        <w:rPr>
          <w:spacing w:val="-12"/>
        </w:rPr>
        <w:t xml:space="preserve"> </w:t>
      </w:r>
      <w:r>
        <w:t>imponga</w:t>
      </w:r>
      <w:r>
        <w:rPr>
          <w:spacing w:val="-11"/>
        </w:rPr>
        <w:t xml:space="preserve"> </w:t>
      </w:r>
      <w:r>
        <w:t>cargas,</w:t>
      </w:r>
      <w:r>
        <w:rPr>
          <w:spacing w:val="-11"/>
        </w:rPr>
        <w:t xml:space="preserve"> </w:t>
      </w:r>
      <w:r>
        <w:t>obligaciones</w:t>
      </w:r>
      <w:r>
        <w:rPr>
          <w:spacing w:val="-11"/>
        </w:rPr>
        <w:t xml:space="preserve"> </w:t>
      </w:r>
      <w:r>
        <w:t>o</w:t>
      </w:r>
      <w:r>
        <w:rPr>
          <w:spacing w:val="-11"/>
        </w:rPr>
        <w:t xml:space="preserve"> </w:t>
      </w:r>
      <w:r>
        <w:t>desventajas;</w:t>
      </w:r>
      <w:r>
        <w:rPr>
          <w:spacing w:val="-11"/>
        </w:rPr>
        <w:t xml:space="preserve"> </w:t>
      </w:r>
      <w:r>
        <w:t>o</w:t>
      </w:r>
      <w:r>
        <w:rPr>
          <w:spacing w:val="-11"/>
        </w:rPr>
        <w:t xml:space="preserve"> </w:t>
      </w:r>
      <w:r>
        <w:t>(b)</w:t>
      </w:r>
      <w:r>
        <w:rPr>
          <w:spacing w:val="-11"/>
        </w:rPr>
        <w:t xml:space="preserve"> </w:t>
      </w:r>
      <w:r>
        <w:t>niega beneficios, oportunidades o ventajas a cualquier persona por uno o más de los motivos prohibidos”.</w:t>
      </w:r>
    </w:p>
    <w:p w14:paraId="39490093" w14:textId="77777777" w:rsidR="0014798C" w:rsidRDefault="0014798C">
      <w:pPr>
        <w:pStyle w:val="Textoindependiente"/>
        <w:spacing w:before="177"/>
      </w:pPr>
    </w:p>
    <w:p w14:paraId="40A7E942" w14:textId="77777777" w:rsidR="0014798C" w:rsidRDefault="004E1F0B">
      <w:pPr>
        <w:pStyle w:val="Textoindependiente"/>
        <w:spacing w:line="326" w:lineRule="auto"/>
        <w:ind w:left="1337" w:right="1553" w:hanging="5"/>
      </w:pPr>
      <w:r>
        <w:t>Los</w:t>
      </w:r>
      <w:r>
        <w:rPr>
          <w:spacing w:val="-1"/>
        </w:rPr>
        <w:t xml:space="preserve"> </w:t>
      </w:r>
      <w:r>
        <w:t>motivos</w:t>
      </w:r>
      <w:r>
        <w:rPr>
          <w:spacing w:val="-1"/>
        </w:rPr>
        <w:t xml:space="preserve"> </w:t>
      </w:r>
      <w:r>
        <w:t>prohibidos</w:t>
      </w:r>
      <w:r>
        <w:rPr>
          <w:spacing w:val="-1"/>
        </w:rPr>
        <w:t xml:space="preserve"> </w:t>
      </w:r>
      <w:r>
        <w:t>de</w:t>
      </w:r>
      <w:r>
        <w:rPr>
          <w:spacing w:val="-1"/>
        </w:rPr>
        <w:t xml:space="preserve"> </w:t>
      </w:r>
      <w:r>
        <w:t>discriminación</w:t>
      </w:r>
      <w:r>
        <w:rPr>
          <w:spacing w:val="-1"/>
        </w:rPr>
        <w:t xml:space="preserve"> </w:t>
      </w:r>
      <w:r>
        <w:t>se</w:t>
      </w:r>
      <w:r>
        <w:rPr>
          <w:spacing w:val="-1"/>
        </w:rPr>
        <w:t xml:space="preserve"> </w:t>
      </w:r>
      <w:r>
        <w:t>enumeran</w:t>
      </w:r>
      <w:r>
        <w:rPr>
          <w:spacing w:val="-1"/>
        </w:rPr>
        <w:t xml:space="preserve"> </w:t>
      </w:r>
      <w:r>
        <w:t>en</w:t>
      </w:r>
      <w:r>
        <w:rPr>
          <w:spacing w:val="-1"/>
        </w:rPr>
        <w:t xml:space="preserve"> </w:t>
      </w:r>
      <w:r>
        <w:t>el</w:t>
      </w:r>
      <w:r>
        <w:rPr>
          <w:spacing w:val="-1"/>
        </w:rPr>
        <w:t xml:space="preserve"> </w:t>
      </w:r>
      <w:r>
        <w:t>artículo</w:t>
      </w:r>
      <w:r>
        <w:rPr>
          <w:spacing w:val="-1"/>
        </w:rPr>
        <w:t xml:space="preserve"> </w:t>
      </w:r>
      <w:r>
        <w:t>1</w:t>
      </w:r>
      <w:r>
        <w:rPr>
          <w:spacing w:val="-1"/>
        </w:rPr>
        <w:t xml:space="preserve"> </w:t>
      </w:r>
      <w:r>
        <w:t>de</w:t>
      </w:r>
      <w:r>
        <w:rPr>
          <w:spacing w:val="-1"/>
        </w:rPr>
        <w:t xml:space="preserve"> </w:t>
      </w:r>
      <w:r>
        <w:t>la</w:t>
      </w:r>
      <w:r>
        <w:rPr>
          <w:spacing w:val="-1"/>
        </w:rPr>
        <w:t xml:space="preserve"> </w:t>
      </w:r>
      <w:r>
        <w:t>Ley</w:t>
      </w:r>
      <w:r>
        <w:rPr>
          <w:spacing w:val="-1"/>
        </w:rPr>
        <w:t xml:space="preserve"> </w:t>
      </w:r>
      <w:r>
        <w:t>para</w:t>
      </w:r>
      <w:r>
        <w:rPr>
          <w:spacing w:val="-1"/>
        </w:rPr>
        <w:t xml:space="preserve"> </w:t>
      </w:r>
      <w:r>
        <w:t>incluir</w:t>
      </w:r>
      <w:r>
        <w:rPr>
          <w:spacing w:val="-1"/>
        </w:rPr>
        <w:t xml:space="preserve"> </w:t>
      </w:r>
      <w:r>
        <w:t>(explícitamente)</w:t>
      </w:r>
      <w:r>
        <w:rPr>
          <w:spacing w:val="-2"/>
        </w:rPr>
        <w:t xml:space="preserve"> </w:t>
      </w:r>
      <w:r>
        <w:t>“raza,</w:t>
      </w:r>
      <w:r>
        <w:rPr>
          <w:spacing w:val="-1"/>
        </w:rPr>
        <w:t xml:space="preserve"> </w:t>
      </w:r>
      <w:r>
        <w:t>género, sexo,</w:t>
      </w:r>
      <w:r>
        <w:rPr>
          <w:spacing w:val="-4"/>
        </w:rPr>
        <w:t xml:space="preserve"> </w:t>
      </w:r>
      <w:r>
        <w:t>embarazo,</w:t>
      </w:r>
      <w:r>
        <w:rPr>
          <w:spacing w:val="-3"/>
        </w:rPr>
        <w:t xml:space="preserve"> </w:t>
      </w:r>
      <w:r>
        <w:t>estado</w:t>
      </w:r>
      <w:r>
        <w:rPr>
          <w:spacing w:val="-4"/>
        </w:rPr>
        <w:t xml:space="preserve"> </w:t>
      </w:r>
      <w:r>
        <w:t>civil,</w:t>
      </w:r>
      <w:r>
        <w:rPr>
          <w:spacing w:val="-4"/>
        </w:rPr>
        <w:t xml:space="preserve"> </w:t>
      </w:r>
      <w:r>
        <w:t>origen</w:t>
      </w:r>
      <w:r>
        <w:rPr>
          <w:spacing w:val="-4"/>
        </w:rPr>
        <w:t xml:space="preserve"> </w:t>
      </w:r>
      <w:r>
        <w:t>étnico</w:t>
      </w:r>
      <w:r>
        <w:rPr>
          <w:spacing w:val="-4"/>
        </w:rPr>
        <w:t xml:space="preserve"> </w:t>
      </w:r>
      <w:r>
        <w:t>o</w:t>
      </w:r>
      <w:r>
        <w:rPr>
          <w:spacing w:val="-4"/>
        </w:rPr>
        <w:t xml:space="preserve"> </w:t>
      </w:r>
      <w:r>
        <w:t>social,</w:t>
      </w:r>
      <w:r>
        <w:rPr>
          <w:spacing w:val="-4"/>
        </w:rPr>
        <w:t xml:space="preserve"> </w:t>
      </w:r>
      <w:r>
        <w:t>color,</w:t>
      </w:r>
      <w:r>
        <w:rPr>
          <w:spacing w:val="-4"/>
        </w:rPr>
        <w:t xml:space="preserve"> </w:t>
      </w:r>
      <w:r>
        <w:t>orientación</w:t>
      </w:r>
      <w:r>
        <w:rPr>
          <w:spacing w:val="-4"/>
        </w:rPr>
        <w:t xml:space="preserve"> </w:t>
      </w:r>
      <w:r>
        <w:t>sexual,</w:t>
      </w:r>
      <w:r>
        <w:rPr>
          <w:spacing w:val="-4"/>
        </w:rPr>
        <w:t xml:space="preserve"> </w:t>
      </w:r>
      <w:r>
        <w:t>edad,</w:t>
      </w:r>
      <w:r>
        <w:rPr>
          <w:spacing w:val="-4"/>
        </w:rPr>
        <w:t xml:space="preserve"> </w:t>
      </w:r>
      <w:r>
        <w:t>discapacidad,</w:t>
      </w:r>
      <w:r>
        <w:rPr>
          <w:spacing w:val="-3"/>
        </w:rPr>
        <w:t xml:space="preserve"> </w:t>
      </w:r>
      <w:r>
        <w:t>religión,</w:t>
      </w:r>
      <w:r>
        <w:rPr>
          <w:spacing w:val="-3"/>
        </w:rPr>
        <w:t xml:space="preserve"> </w:t>
      </w:r>
      <w:r>
        <w:t>conciencia, creencias,</w:t>
      </w:r>
      <w:r>
        <w:rPr>
          <w:spacing w:val="-8"/>
        </w:rPr>
        <w:t xml:space="preserve"> </w:t>
      </w:r>
      <w:r>
        <w:t>cultura,</w:t>
      </w:r>
      <w:r>
        <w:rPr>
          <w:spacing w:val="-8"/>
        </w:rPr>
        <w:t xml:space="preserve"> </w:t>
      </w:r>
      <w:r>
        <w:t>idioma,</w:t>
      </w:r>
      <w:r>
        <w:rPr>
          <w:spacing w:val="-8"/>
        </w:rPr>
        <w:t xml:space="preserve"> </w:t>
      </w:r>
      <w:r>
        <w:t>nacimiento</w:t>
      </w:r>
      <w:r>
        <w:rPr>
          <w:spacing w:val="-8"/>
        </w:rPr>
        <w:t xml:space="preserve"> </w:t>
      </w:r>
      <w:r>
        <w:t>y</w:t>
      </w:r>
      <w:r>
        <w:rPr>
          <w:spacing w:val="-8"/>
        </w:rPr>
        <w:t xml:space="preserve"> </w:t>
      </w:r>
      <w:r>
        <w:t>estado</w:t>
      </w:r>
      <w:r>
        <w:rPr>
          <w:spacing w:val="-8"/>
        </w:rPr>
        <w:t xml:space="preserve"> </w:t>
      </w:r>
      <w:r>
        <w:t>serológico</w:t>
      </w:r>
      <w:r>
        <w:rPr>
          <w:spacing w:val="-8"/>
        </w:rPr>
        <w:t xml:space="preserve"> </w:t>
      </w:r>
      <w:r>
        <w:t>respecto</w:t>
      </w:r>
      <w:r>
        <w:rPr>
          <w:spacing w:val="-8"/>
        </w:rPr>
        <w:t xml:space="preserve"> </w:t>
      </w:r>
      <w:r>
        <w:t>del</w:t>
      </w:r>
      <w:r>
        <w:rPr>
          <w:spacing w:val="-8"/>
        </w:rPr>
        <w:t xml:space="preserve"> </w:t>
      </w:r>
      <w:r>
        <w:t>VIH/SIDA”.</w:t>
      </w:r>
      <w:r>
        <w:rPr>
          <w:spacing w:val="-8"/>
        </w:rPr>
        <w:t xml:space="preserve"> </w:t>
      </w:r>
      <w:r>
        <w:t>Además,</w:t>
      </w:r>
      <w:r>
        <w:rPr>
          <w:spacing w:val="-8"/>
        </w:rPr>
        <w:t xml:space="preserve"> </w:t>
      </w:r>
      <w:r>
        <w:t>como</w:t>
      </w:r>
      <w:r>
        <w:rPr>
          <w:spacing w:val="-8"/>
        </w:rPr>
        <w:t xml:space="preserve"> </w:t>
      </w:r>
      <w:r>
        <w:t>se</w:t>
      </w:r>
      <w:r>
        <w:rPr>
          <w:spacing w:val="-8"/>
        </w:rPr>
        <w:t xml:space="preserve"> </w:t>
      </w:r>
      <w:r>
        <w:t>analiza</w:t>
      </w:r>
      <w:r>
        <w:rPr>
          <w:spacing w:val="-8"/>
        </w:rPr>
        <w:t xml:space="preserve"> </w:t>
      </w:r>
      <w:r>
        <w:t>en</w:t>
      </w:r>
      <w:r>
        <w:rPr>
          <w:spacing w:val="-8"/>
        </w:rPr>
        <w:t xml:space="preserve"> </w:t>
      </w:r>
      <w:r>
        <w:t>otra</w:t>
      </w:r>
      <w:r>
        <w:rPr>
          <w:spacing w:val="-8"/>
        </w:rPr>
        <w:t xml:space="preserve"> </w:t>
      </w:r>
      <w:r>
        <w:t>parte</w:t>
      </w:r>
      <w:r>
        <w:rPr>
          <w:spacing w:val="-8"/>
        </w:rPr>
        <w:t xml:space="preserve"> </w:t>
      </w:r>
      <w:r>
        <w:t>de la</w:t>
      </w:r>
      <w:r>
        <w:rPr>
          <w:spacing w:val="-1"/>
        </w:rPr>
        <w:t xml:space="preserve"> </w:t>
      </w:r>
      <w:r>
        <w:t>presente</w:t>
      </w:r>
      <w:r>
        <w:rPr>
          <w:spacing w:val="-1"/>
        </w:rPr>
        <w:t xml:space="preserve"> </w:t>
      </w:r>
      <w:r>
        <w:t>guía,</w:t>
      </w:r>
      <w:r>
        <w:rPr>
          <w:spacing w:val="-1"/>
        </w:rPr>
        <w:t xml:space="preserve"> </w:t>
      </w:r>
      <w:r>
        <w:t>la</w:t>
      </w:r>
      <w:r>
        <w:rPr>
          <w:spacing w:val="-1"/>
        </w:rPr>
        <w:t xml:space="preserve"> </w:t>
      </w:r>
      <w:r>
        <w:t>ley</w:t>
      </w:r>
      <w:r>
        <w:rPr>
          <w:spacing w:val="-1"/>
        </w:rPr>
        <w:t xml:space="preserve"> </w:t>
      </w:r>
      <w:r>
        <w:t>establece</w:t>
      </w:r>
      <w:r>
        <w:rPr>
          <w:spacing w:val="-1"/>
        </w:rPr>
        <w:t xml:space="preserve"> </w:t>
      </w:r>
      <w:r>
        <w:t>una</w:t>
      </w:r>
      <w:r>
        <w:rPr>
          <w:spacing w:val="-1"/>
        </w:rPr>
        <w:t xml:space="preserve"> </w:t>
      </w:r>
      <w:r>
        <w:t>prueba</w:t>
      </w:r>
      <w:r>
        <w:rPr>
          <w:spacing w:val="-1"/>
        </w:rPr>
        <w:t xml:space="preserve"> </w:t>
      </w:r>
      <w:r>
        <w:t>para</w:t>
      </w:r>
      <w:r>
        <w:rPr>
          <w:spacing w:val="-1"/>
        </w:rPr>
        <w:t xml:space="preserve"> </w:t>
      </w:r>
      <w:r>
        <w:t>la</w:t>
      </w:r>
      <w:r>
        <w:rPr>
          <w:spacing w:val="-1"/>
        </w:rPr>
        <w:t xml:space="preserve"> </w:t>
      </w:r>
      <w:r>
        <w:t>identificación</w:t>
      </w:r>
      <w:r>
        <w:rPr>
          <w:spacing w:val="-1"/>
        </w:rPr>
        <w:t xml:space="preserve"> </w:t>
      </w:r>
      <w:r>
        <w:t>de</w:t>
      </w:r>
      <w:r>
        <w:rPr>
          <w:spacing w:val="-1"/>
        </w:rPr>
        <w:t xml:space="preserve"> </w:t>
      </w:r>
      <w:r>
        <w:t>nuevos</w:t>
      </w:r>
      <w:r>
        <w:rPr>
          <w:spacing w:val="-1"/>
        </w:rPr>
        <w:t xml:space="preserve"> </w:t>
      </w:r>
      <w:r>
        <w:t>motivos</w:t>
      </w:r>
      <w:r>
        <w:rPr>
          <w:spacing w:val="-1"/>
        </w:rPr>
        <w:t xml:space="preserve"> </w:t>
      </w:r>
      <w:r>
        <w:t>de</w:t>
      </w:r>
      <w:r>
        <w:rPr>
          <w:spacing w:val="-1"/>
        </w:rPr>
        <w:t xml:space="preserve"> </w:t>
      </w:r>
      <w:r>
        <w:t>discriminación.81</w:t>
      </w:r>
    </w:p>
    <w:p w14:paraId="04AC6B5D" w14:textId="77777777" w:rsidR="0014798C" w:rsidRDefault="0014798C">
      <w:pPr>
        <w:pStyle w:val="Textoindependiente"/>
        <w:spacing w:before="177"/>
      </w:pPr>
    </w:p>
    <w:p w14:paraId="659F6EDA" w14:textId="77777777" w:rsidR="0014798C" w:rsidRDefault="004E1F0B">
      <w:pPr>
        <w:pStyle w:val="Textoindependiente"/>
        <w:spacing w:line="326" w:lineRule="auto"/>
        <w:ind w:left="1334" w:right="1463" w:firstLine="3"/>
      </w:pPr>
      <w:r>
        <w:t>El</w:t>
      </w:r>
      <w:r>
        <w:rPr>
          <w:spacing w:val="-3"/>
        </w:rPr>
        <w:t xml:space="preserve"> </w:t>
      </w:r>
      <w:r>
        <w:t>artículo</w:t>
      </w:r>
      <w:r>
        <w:rPr>
          <w:spacing w:val="-3"/>
        </w:rPr>
        <w:t xml:space="preserve"> </w:t>
      </w:r>
      <w:r>
        <w:t>5</w:t>
      </w:r>
      <w:r>
        <w:rPr>
          <w:spacing w:val="-3"/>
        </w:rPr>
        <w:t xml:space="preserve"> </w:t>
      </w:r>
      <w:r>
        <w:t>de</w:t>
      </w:r>
      <w:r>
        <w:rPr>
          <w:spacing w:val="-3"/>
        </w:rPr>
        <w:t xml:space="preserve"> </w:t>
      </w:r>
      <w:r>
        <w:t>la</w:t>
      </w:r>
      <w:r>
        <w:rPr>
          <w:spacing w:val="-3"/>
        </w:rPr>
        <w:t xml:space="preserve"> </w:t>
      </w:r>
      <w:r>
        <w:t>Ley</w:t>
      </w:r>
      <w:r>
        <w:rPr>
          <w:spacing w:val="-3"/>
        </w:rPr>
        <w:t xml:space="preserve"> </w:t>
      </w:r>
      <w:r>
        <w:t>deja</w:t>
      </w:r>
      <w:r>
        <w:rPr>
          <w:spacing w:val="-3"/>
        </w:rPr>
        <w:t xml:space="preserve"> </w:t>
      </w:r>
      <w:r>
        <w:t>claro</w:t>
      </w:r>
      <w:r>
        <w:rPr>
          <w:spacing w:val="-3"/>
        </w:rPr>
        <w:t xml:space="preserve"> </w:t>
      </w:r>
      <w:r>
        <w:t>que</w:t>
      </w:r>
      <w:r>
        <w:rPr>
          <w:spacing w:val="-3"/>
        </w:rPr>
        <w:t xml:space="preserve"> </w:t>
      </w:r>
      <w:r>
        <w:t>sus</w:t>
      </w:r>
      <w:r>
        <w:rPr>
          <w:spacing w:val="-3"/>
        </w:rPr>
        <w:t xml:space="preserve"> </w:t>
      </w:r>
      <w:r>
        <w:t>disposiciones</w:t>
      </w:r>
      <w:r>
        <w:rPr>
          <w:spacing w:val="-3"/>
        </w:rPr>
        <w:t xml:space="preserve"> </w:t>
      </w:r>
      <w:r>
        <w:t>vinculan</w:t>
      </w:r>
      <w:r>
        <w:rPr>
          <w:spacing w:val="-3"/>
        </w:rPr>
        <w:t xml:space="preserve"> </w:t>
      </w:r>
      <w:r>
        <w:t>“al</w:t>
      </w:r>
      <w:r>
        <w:rPr>
          <w:spacing w:val="-3"/>
        </w:rPr>
        <w:t xml:space="preserve"> </w:t>
      </w:r>
      <w:r>
        <w:t>Estado</w:t>
      </w:r>
      <w:r>
        <w:rPr>
          <w:spacing w:val="-3"/>
        </w:rPr>
        <w:t xml:space="preserve"> </w:t>
      </w:r>
      <w:r>
        <w:t>y</w:t>
      </w:r>
      <w:r>
        <w:rPr>
          <w:spacing w:val="-3"/>
        </w:rPr>
        <w:t xml:space="preserve"> </w:t>
      </w:r>
      <w:r>
        <w:t>a</w:t>
      </w:r>
      <w:r>
        <w:rPr>
          <w:spacing w:val="-3"/>
        </w:rPr>
        <w:t xml:space="preserve"> </w:t>
      </w:r>
      <w:r>
        <w:t>todas</w:t>
      </w:r>
      <w:r>
        <w:rPr>
          <w:spacing w:val="-3"/>
        </w:rPr>
        <w:t xml:space="preserve"> </w:t>
      </w:r>
      <w:r>
        <w:t>las</w:t>
      </w:r>
      <w:r>
        <w:rPr>
          <w:spacing w:val="-3"/>
        </w:rPr>
        <w:t xml:space="preserve"> </w:t>
      </w:r>
      <w:r>
        <w:t>personas”,</w:t>
      </w:r>
      <w:r>
        <w:rPr>
          <w:spacing w:val="-2"/>
        </w:rPr>
        <w:t xml:space="preserve"> </w:t>
      </w:r>
      <w:r>
        <w:t>aunque</w:t>
      </w:r>
      <w:r>
        <w:rPr>
          <w:spacing w:val="-3"/>
        </w:rPr>
        <w:t xml:space="preserve"> </w:t>
      </w:r>
      <w:r>
        <w:t>la</w:t>
      </w:r>
      <w:r>
        <w:rPr>
          <w:spacing w:val="-3"/>
        </w:rPr>
        <w:t xml:space="preserve"> </w:t>
      </w:r>
      <w:r>
        <w:t>discriminación en</w:t>
      </w:r>
      <w:r>
        <w:rPr>
          <w:spacing w:val="-4"/>
        </w:rPr>
        <w:t xml:space="preserve"> </w:t>
      </w:r>
      <w:r>
        <w:t>el</w:t>
      </w:r>
      <w:r>
        <w:rPr>
          <w:spacing w:val="-4"/>
        </w:rPr>
        <w:t xml:space="preserve"> </w:t>
      </w:r>
      <w:r>
        <w:t>contexto</w:t>
      </w:r>
      <w:r>
        <w:rPr>
          <w:spacing w:val="-4"/>
        </w:rPr>
        <w:t xml:space="preserve"> </w:t>
      </w:r>
      <w:r>
        <w:t>laboral</w:t>
      </w:r>
      <w:r>
        <w:rPr>
          <w:spacing w:val="-4"/>
        </w:rPr>
        <w:t xml:space="preserve"> </w:t>
      </w:r>
      <w:r>
        <w:t>está</w:t>
      </w:r>
      <w:r>
        <w:rPr>
          <w:spacing w:val="-4"/>
        </w:rPr>
        <w:t xml:space="preserve"> </w:t>
      </w:r>
      <w:r>
        <w:t>regulada</w:t>
      </w:r>
      <w:r>
        <w:rPr>
          <w:spacing w:val="-4"/>
        </w:rPr>
        <w:t xml:space="preserve"> </w:t>
      </w:r>
      <w:r>
        <w:t>por</w:t>
      </w:r>
      <w:r>
        <w:rPr>
          <w:spacing w:val="-4"/>
        </w:rPr>
        <w:t xml:space="preserve"> </w:t>
      </w:r>
      <w:r>
        <w:t>separado</w:t>
      </w:r>
      <w:r>
        <w:rPr>
          <w:spacing w:val="-4"/>
        </w:rPr>
        <w:t xml:space="preserve"> </w:t>
      </w:r>
      <w:r>
        <w:t>por</w:t>
      </w:r>
      <w:r>
        <w:rPr>
          <w:spacing w:val="-4"/>
        </w:rPr>
        <w:t xml:space="preserve"> </w:t>
      </w:r>
      <w:r>
        <w:t>la</w:t>
      </w:r>
      <w:r>
        <w:rPr>
          <w:spacing w:val="-4"/>
        </w:rPr>
        <w:t xml:space="preserve"> </w:t>
      </w:r>
      <w:r>
        <w:t>Ley</w:t>
      </w:r>
      <w:r>
        <w:rPr>
          <w:spacing w:val="-4"/>
        </w:rPr>
        <w:t xml:space="preserve"> </w:t>
      </w:r>
      <w:r>
        <w:t>de</w:t>
      </w:r>
      <w:r>
        <w:rPr>
          <w:spacing w:val="-4"/>
        </w:rPr>
        <w:t xml:space="preserve"> </w:t>
      </w:r>
      <w:r>
        <w:t>Equidad</w:t>
      </w:r>
      <w:r>
        <w:rPr>
          <w:spacing w:val="-4"/>
        </w:rPr>
        <w:t xml:space="preserve"> </w:t>
      </w:r>
      <w:r>
        <w:t>en</w:t>
      </w:r>
      <w:r>
        <w:rPr>
          <w:spacing w:val="-4"/>
        </w:rPr>
        <w:t xml:space="preserve"> </w:t>
      </w:r>
      <w:r>
        <w:t>el</w:t>
      </w:r>
      <w:r>
        <w:rPr>
          <w:spacing w:val="-4"/>
        </w:rPr>
        <w:t xml:space="preserve"> </w:t>
      </w:r>
      <w:r>
        <w:t>Empleo.82</w:t>
      </w:r>
      <w:r>
        <w:rPr>
          <w:spacing w:val="-4"/>
        </w:rPr>
        <w:t xml:space="preserve"> </w:t>
      </w:r>
      <w:r>
        <w:t>El</w:t>
      </w:r>
      <w:r>
        <w:rPr>
          <w:spacing w:val="-4"/>
        </w:rPr>
        <w:t xml:space="preserve"> </w:t>
      </w:r>
      <w:r>
        <w:t>artículo</w:t>
      </w:r>
      <w:r>
        <w:rPr>
          <w:spacing w:val="-4"/>
        </w:rPr>
        <w:t xml:space="preserve"> </w:t>
      </w:r>
      <w:r>
        <w:t>6</w:t>
      </w:r>
      <w:r>
        <w:rPr>
          <w:spacing w:val="-4"/>
        </w:rPr>
        <w:t xml:space="preserve"> </w:t>
      </w:r>
      <w:r>
        <w:t>de</w:t>
      </w:r>
      <w:r>
        <w:rPr>
          <w:spacing w:val="-4"/>
        </w:rPr>
        <w:t xml:space="preserve"> </w:t>
      </w:r>
      <w:r>
        <w:t>la</w:t>
      </w:r>
      <w:r>
        <w:rPr>
          <w:spacing w:val="-4"/>
        </w:rPr>
        <w:t xml:space="preserve"> </w:t>
      </w:r>
      <w:r>
        <w:t>Ley</w:t>
      </w:r>
      <w:r>
        <w:rPr>
          <w:spacing w:val="-4"/>
        </w:rPr>
        <w:t xml:space="preserve"> </w:t>
      </w:r>
      <w:r>
        <w:t>contiene</w:t>
      </w:r>
      <w:r>
        <w:rPr>
          <w:spacing w:val="-4"/>
        </w:rPr>
        <w:t xml:space="preserve"> </w:t>
      </w:r>
      <w:r>
        <w:t>una disposición</w:t>
      </w:r>
      <w:r>
        <w:rPr>
          <w:spacing w:val="-8"/>
        </w:rPr>
        <w:t xml:space="preserve"> </w:t>
      </w:r>
      <w:r>
        <w:t>sobre</w:t>
      </w:r>
      <w:r>
        <w:rPr>
          <w:spacing w:val="-8"/>
        </w:rPr>
        <w:t xml:space="preserve"> </w:t>
      </w:r>
      <w:r>
        <w:t>la</w:t>
      </w:r>
      <w:r>
        <w:rPr>
          <w:spacing w:val="-8"/>
        </w:rPr>
        <w:t xml:space="preserve"> </w:t>
      </w:r>
      <w:r>
        <w:t>prohibición</w:t>
      </w:r>
      <w:r>
        <w:rPr>
          <w:spacing w:val="-8"/>
        </w:rPr>
        <w:t xml:space="preserve"> </w:t>
      </w:r>
      <w:r>
        <w:t>general</w:t>
      </w:r>
      <w:r>
        <w:rPr>
          <w:spacing w:val="-8"/>
        </w:rPr>
        <w:t xml:space="preserve"> </w:t>
      </w:r>
      <w:r>
        <w:t>de</w:t>
      </w:r>
      <w:r>
        <w:rPr>
          <w:spacing w:val="-8"/>
        </w:rPr>
        <w:t xml:space="preserve"> </w:t>
      </w:r>
      <w:r>
        <w:t>la</w:t>
      </w:r>
      <w:r>
        <w:rPr>
          <w:spacing w:val="-8"/>
        </w:rPr>
        <w:t xml:space="preserve"> </w:t>
      </w:r>
      <w:r>
        <w:t>discriminación,</w:t>
      </w:r>
      <w:r>
        <w:rPr>
          <w:spacing w:val="-7"/>
        </w:rPr>
        <w:t xml:space="preserve"> </w:t>
      </w:r>
      <w:r>
        <w:t>que</w:t>
      </w:r>
      <w:r>
        <w:rPr>
          <w:spacing w:val="-8"/>
        </w:rPr>
        <w:t xml:space="preserve"> </w:t>
      </w:r>
      <w:r>
        <w:t>se</w:t>
      </w:r>
      <w:r>
        <w:rPr>
          <w:spacing w:val="-8"/>
        </w:rPr>
        <w:t xml:space="preserve"> </w:t>
      </w:r>
      <w:r>
        <w:t>establece</w:t>
      </w:r>
      <w:r>
        <w:rPr>
          <w:spacing w:val="-8"/>
        </w:rPr>
        <w:t xml:space="preserve"> </w:t>
      </w:r>
      <w:r>
        <w:t>sobre</w:t>
      </w:r>
      <w:r>
        <w:rPr>
          <w:spacing w:val="-8"/>
        </w:rPr>
        <w:t xml:space="preserve"> </w:t>
      </w:r>
      <w:r>
        <w:t>la</w:t>
      </w:r>
      <w:r>
        <w:rPr>
          <w:spacing w:val="-8"/>
        </w:rPr>
        <w:t xml:space="preserve"> </w:t>
      </w:r>
      <w:r>
        <w:t>base</w:t>
      </w:r>
      <w:r>
        <w:rPr>
          <w:spacing w:val="-8"/>
        </w:rPr>
        <w:t xml:space="preserve"> </w:t>
      </w:r>
      <w:r>
        <w:t>de</w:t>
      </w:r>
      <w:r>
        <w:rPr>
          <w:spacing w:val="-8"/>
        </w:rPr>
        <w:t xml:space="preserve"> </w:t>
      </w:r>
      <w:r>
        <w:t>todas</w:t>
      </w:r>
      <w:r>
        <w:rPr>
          <w:spacing w:val="-8"/>
        </w:rPr>
        <w:t xml:space="preserve"> </w:t>
      </w:r>
      <w:r>
        <w:t>las</w:t>
      </w:r>
      <w:r>
        <w:rPr>
          <w:spacing w:val="-8"/>
        </w:rPr>
        <w:t xml:space="preserve"> </w:t>
      </w:r>
      <w:r>
        <w:t>causales</w:t>
      </w:r>
      <w:r>
        <w:rPr>
          <w:spacing w:val="-8"/>
        </w:rPr>
        <w:t xml:space="preserve"> </w:t>
      </w:r>
      <w:r>
        <w:t>expuestas anteriormente.</w:t>
      </w:r>
      <w:r>
        <w:rPr>
          <w:spacing w:val="-2"/>
        </w:rPr>
        <w:t xml:space="preserve"> </w:t>
      </w:r>
      <w:r>
        <w:t>Los</w:t>
      </w:r>
      <w:r>
        <w:rPr>
          <w:spacing w:val="-3"/>
        </w:rPr>
        <w:t xml:space="preserve"> </w:t>
      </w:r>
      <w:r>
        <w:t>artículos</w:t>
      </w:r>
      <w:r>
        <w:rPr>
          <w:spacing w:val="-3"/>
        </w:rPr>
        <w:t xml:space="preserve"> </w:t>
      </w:r>
      <w:r>
        <w:t>7</w:t>
      </w:r>
      <w:r>
        <w:rPr>
          <w:spacing w:val="-3"/>
        </w:rPr>
        <w:t xml:space="preserve"> </w:t>
      </w:r>
      <w:r>
        <w:t>a</w:t>
      </w:r>
      <w:r>
        <w:rPr>
          <w:spacing w:val="-3"/>
        </w:rPr>
        <w:t xml:space="preserve"> </w:t>
      </w:r>
      <w:r>
        <w:t>9</w:t>
      </w:r>
      <w:r>
        <w:rPr>
          <w:spacing w:val="-3"/>
        </w:rPr>
        <w:t xml:space="preserve"> </w:t>
      </w:r>
      <w:r>
        <w:t>de</w:t>
      </w:r>
      <w:r>
        <w:rPr>
          <w:spacing w:val="-3"/>
        </w:rPr>
        <w:t xml:space="preserve"> </w:t>
      </w:r>
      <w:r>
        <w:t>la</w:t>
      </w:r>
      <w:r>
        <w:rPr>
          <w:spacing w:val="-3"/>
        </w:rPr>
        <w:t xml:space="preserve"> </w:t>
      </w:r>
      <w:r>
        <w:t>ley</w:t>
      </w:r>
      <w:r>
        <w:rPr>
          <w:spacing w:val="-3"/>
        </w:rPr>
        <w:t xml:space="preserve"> </w:t>
      </w:r>
      <w:r>
        <w:t>proporcionan</w:t>
      </w:r>
      <w:r>
        <w:rPr>
          <w:spacing w:val="-3"/>
        </w:rPr>
        <w:t xml:space="preserve"> </w:t>
      </w:r>
      <w:r>
        <w:t>ejemplos</w:t>
      </w:r>
      <w:r>
        <w:rPr>
          <w:spacing w:val="-3"/>
        </w:rPr>
        <w:t xml:space="preserve"> </w:t>
      </w:r>
      <w:r>
        <w:t>concretos</w:t>
      </w:r>
      <w:r>
        <w:rPr>
          <w:spacing w:val="-3"/>
        </w:rPr>
        <w:t xml:space="preserve"> </w:t>
      </w:r>
      <w:r>
        <w:t>de</w:t>
      </w:r>
      <w:r>
        <w:rPr>
          <w:spacing w:val="-3"/>
        </w:rPr>
        <w:t xml:space="preserve"> </w:t>
      </w:r>
      <w:r>
        <w:t>la</w:t>
      </w:r>
      <w:r>
        <w:rPr>
          <w:spacing w:val="-3"/>
        </w:rPr>
        <w:t xml:space="preserve"> </w:t>
      </w:r>
      <w:r>
        <w:t>aplicación</w:t>
      </w:r>
      <w:r>
        <w:rPr>
          <w:spacing w:val="-3"/>
        </w:rPr>
        <w:t xml:space="preserve"> </w:t>
      </w:r>
      <w:r>
        <w:t>de</w:t>
      </w:r>
      <w:r>
        <w:rPr>
          <w:spacing w:val="-3"/>
        </w:rPr>
        <w:t xml:space="preserve"> </w:t>
      </w:r>
      <w:r>
        <w:t>esta</w:t>
      </w:r>
      <w:r>
        <w:rPr>
          <w:spacing w:val="-3"/>
        </w:rPr>
        <w:t xml:space="preserve"> </w:t>
      </w:r>
      <w:r>
        <w:t>prohibición</w:t>
      </w:r>
      <w:r>
        <w:rPr>
          <w:spacing w:val="-3"/>
        </w:rPr>
        <w:t xml:space="preserve"> </w:t>
      </w:r>
      <w:r>
        <w:t>por</w:t>
      </w:r>
      <w:r>
        <w:rPr>
          <w:spacing w:val="-3"/>
        </w:rPr>
        <w:t xml:space="preserve"> </w:t>
      </w:r>
      <w:r>
        <w:t>motivos de</w:t>
      </w:r>
      <w:r>
        <w:rPr>
          <w:spacing w:val="-2"/>
        </w:rPr>
        <w:t xml:space="preserve"> </w:t>
      </w:r>
      <w:r>
        <w:t>raza,</w:t>
      </w:r>
      <w:r>
        <w:rPr>
          <w:spacing w:val="-2"/>
        </w:rPr>
        <w:t xml:space="preserve"> </w:t>
      </w:r>
      <w:r>
        <w:t>género</w:t>
      </w:r>
      <w:r>
        <w:rPr>
          <w:spacing w:val="-2"/>
        </w:rPr>
        <w:t xml:space="preserve"> </w:t>
      </w:r>
      <w:r>
        <w:t>y</w:t>
      </w:r>
      <w:r>
        <w:rPr>
          <w:spacing w:val="-2"/>
        </w:rPr>
        <w:t xml:space="preserve"> </w:t>
      </w:r>
      <w:r>
        <w:t>discapacidad.</w:t>
      </w:r>
      <w:r>
        <w:rPr>
          <w:spacing w:val="-1"/>
        </w:rPr>
        <w:t xml:space="preserve"> </w:t>
      </w:r>
      <w:r>
        <w:t>Por</w:t>
      </w:r>
      <w:r>
        <w:rPr>
          <w:spacing w:val="-2"/>
        </w:rPr>
        <w:t xml:space="preserve"> </w:t>
      </w:r>
      <w:r>
        <w:t>ejemplo,</w:t>
      </w:r>
      <w:r>
        <w:rPr>
          <w:spacing w:val="-1"/>
        </w:rPr>
        <w:t xml:space="preserve"> </w:t>
      </w:r>
      <w:r>
        <w:t>el</w:t>
      </w:r>
      <w:r>
        <w:rPr>
          <w:spacing w:val="-2"/>
        </w:rPr>
        <w:t xml:space="preserve"> </w:t>
      </w:r>
      <w:r>
        <w:t>artículo</w:t>
      </w:r>
      <w:r>
        <w:rPr>
          <w:spacing w:val="-2"/>
        </w:rPr>
        <w:t xml:space="preserve"> </w:t>
      </w:r>
      <w:r>
        <w:t>8</w:t>
      </w:r>
      <w:r>
        <w:rPr>
          <w:spacing w:val="-2"/>
        </w:rPr>
        <w:t xml:space="preserve"> </w:t>
      </w:r>
      <w:r>
        <w:t>de</w:t>
      </w:r>
      <w:r>
        <w:rPr>
          <w:spacing w:val="-2"/>
        </w:rPr>
        <w:t xml:space="preserve"> </w:t>
      </w:r>
      <w:r>
        <w:t>la</w:t>
      </w:r>
      <w:r>
        <w:rPr>
          <w:spacing w:val="-2"/>
        </w:rPr>
        <w:t xml:space="preserve"> </w:t>
      </w:r>
      <w:r>
        <w:t>ley</w:t>
      </w:r>
      <w:r>
        <w:rPr>
          <w:spacing w:val="-2"/>
        </w:rPr>
        <w:t xml:space="preserve"> </w:t>
      </w:r>
      <w:r>
        <w:t>aclara</w:t>
      </w:r>
      <w:r>
        <w:rPr>
          <w:spacing w:val="-2"/>
        </w:rPr>
        <w:t xml:space="preserve"> </w:t>
      </w:r>
      <w:r>
        <w:t>que</w:t>
      </w:r>
      <w:r>
        <w:rPr>
          <w:spacing w:val="-2"/>
        </w:rPr>
        <w:t xml:space="preserve"> </w:t>
      </w:r>
      <w:r>
        <w:t>la</w:t>
      </w:r>
      <w:r>
        <w:rPr>
          <w:spacing w:val="-2"/>
        </w:rPr>
        <w:t xml:space="preserve"> </w:t>
      </w:r>
      <w:r>
        <w:t>violencia</w:t>
      </w:r>
      <w:r>
        <w:rPr>
          <w:spacing w:val="-2"/>
        </w:rPr>
        <w:t xml:space="preserve"> </w:t>
      </w:r>
      <w:r>
        <w:t>de</w:t>
      </w:r>
      <w:r>
        <w:rPr>
          <w:spacing w:val="-2"/>
        </w:rPr>
        <w:t xml:space="preserve"> </w:t>
      </w:r>
      <w:r>
        <w:t>género</w:t>
      </w:r>
      <w:r>
        <w:rPr>
          <w:spacing w:val="-2"/>
        </w:rPr>
        <w:t xml:space="preserve"> </w:t>
      </w:r>
      <w:r>
        <w:t>entra</w:t>
      </w:r>
      <w:r>
        <w:rPr>
          <w:spacing w:val="-2"/>
        </w:rPr>
        <w:t xml:space="preserve"> </w:t>
      </w:r>
      <w:r>
        <w:t>dentro</w:t>
      </w:r>
      <w:r>
        <w:rPr>
          <w:spacing w:val="-2"/>
        </w:rPr>
        <w:t xml:space="preserve"> </w:t>
      </w:r>
      <w:r>
        <w:t>de</w:t>
      </w:r>
      <w:r>
        <w:rPr>
          <w:spacing w:val="-2"/>
        </w:rPr>
        <w:t xml:space="preserve"> </w:t>
      </w:r>
      <w:r>
        <w:t>la prohibición</w:t>
      </w:r>
      <w:r>
        <w:rPr>
          <w:spacing w:val="-2"/>
        </w:rPr>
        <w:t xml:space="preserve"> </w:t>
      </w:r>
      <w:r>
        <w:t>de</w:t>
      </w:r>
      <w:r>
        <w:rPr>
          <w:spacing w:val="-2"/>
        </w:rPr>
        <w:t xml:space="preserve"> </w:t>
      </w:r>
      <w:r>
        <w:t>la</w:t>
      </w:r>
      <w:r>
        <w:rPr>
          <w:spacing w:val="-2"/>
        </w:rPr>
        <w:t xml:space="preserve"> </w:t>
      </w:r>
      <w:r>
        <w:t>discriminación</w:t>
      </w:r>
      <w:r>
        <w:rPr>
          <w:spacing w:val="-2"/>
        </w:rPr>
        <w:t xml:space="preserve"> </w:t>
      </w:r>
      <w:r>
        <w:t>por</w:t>
      </w:r>
      <w:r>
        <w:rPr>
          <w:spacing w:val="-2"/>
        </w:rPr>
        <w:t xml:space="preserve"> </w:t>
      </w:r>
      <w:r>
        <w:t>motivos</w:t>
      </w:r>
      <w:r>
        <w:rPr>
          <w:spacing w:val="-2"/>
        </w:rPr>
        <w:t xml:space="preserve"> </w:t>
      </w:r>
      <w:r>
        <w:t>de</w:t>
      </w:r>
      <w:r>
        <w:rPr>
          <w:spacing w:val="-2"/>
        </w:rPr>
        <w:t xml:space="preserve"> </w:t>
      </w:r>
      <w:r>
        <w:t>género.</w:t>
      </w:r>
      <w:r>
        <w:rPr>
          <w:spacing w:val="-2"/>
        </w:rPr>
        <w:t xml:space="preserve"> </w:t>
      </w:r>
      <w:r>
        <w:t>Según</w:t>
      </w:r>
      <w:r>
        <w:rPr>
          <w:spacing w:val="-2"/>
        </w:rPr>
        <w:t xml:space="preserve"> </w:t>
      </w:r>
      <w:r>
        <w:t>el</w:t>
      </w:r>
      <w:r>
        <w:rPr>
          <w:spacing w:val="-2"/>
        </w:rPr>
        <w:t xml:space="preserve"> </w:t>
      </w:r>
      <w:r>
        <w:t>artículo</w:t>
      </w:r>
      <w:r>
        <w:rPr>
          <w:spacing w:val="-2"/>
        </w:rPr>
        <w:t xml:space="preserve"> </w:t>
      </w:r>
      <w:r>
        <w:t>9,</w:t>
      </w:r>
      <w:r>
        <w:rPr>
          <w:spacing w:val="-2"/>
        </w:rPr>
        <w:t xml:space="preserve"> </w:t>
      </w:r>
      <w:r>
        <w:t>la</w:t>
      </w:r>
      <w:r>
        <w:rPr>
          <w:spacing w:val="-2"/>
        </w:rPr>
        <w:t xml:space="preserve"> </w:t>
      </w:r>
      <w:r>
        <w:t>discriminación</w:t>
      </w:r>
      <w:r>
        <w:rPr>
          <w:spacing w:val="-2"/>
        </w:rPr>
        <w:t xml:space="preserve"> </w:t>
      </w:r>
      <w:r>
        <w:t>por</w:t>
      </w:r>
      <w:r>
        <w:rPr>
          <w:spacing w:val="-2"/>
        </w:rPr>
        <w:t xml:space="preserve"> </w:t>
      </w:r>
      <w:r>
        <w:t>discapacidad</w:t>
      </w:r>
      <w:r>
        <w:rPr>
          <w:spacing w:val="-2"/>
        </w:rPr>
        <w:t xml:space="preserve"> </w:t>
      </w:r>
      <w:r>
        <w:t>incluye</w:t>
      </w:r>
      <w:r>
        <w:rPr>
          <w:spacing w:val="-2"/>
        </w:rPr>
        <w:t xml:space="preserve"> </w:t>
      </w:r>
      <w:r>
        <w:t>la contravención de las normas de accesibilidad establecidas.</w:t>
      </w:r>
    </w:p>
    <w:p w14:paraId="306C9782" w14:textId="77777777" w:rsidR="0014798C" w:rsidRDefault="004E1F0B">
      <w:pPr>
        <w:pStyle w:val="Textoindependiente"/>
        <w:spacing w:before="110" w:line="326" w:lineRule="auto"/>
        <w:ind w:left="1334" w:right="1272" w:firstLine="4"/>
      </w:pPr>
      <w:r>
        <w:t>Los</w:t>
      </w:r>
      <w:r>
        <w:rPr>
          <w:spacing w:val="-6"/>
        </w:rPr>
        <w:t xml:space="preserve"> </w:t>
      </w:r>
      <w:r>
        <w:t>artículos</w:t>
      </w:r>
      <w:r>
        <w:rPr>
          <w:spacing w:val="-6"/>
        </w:rPr>
        <w:t xml:space="preserve"> </w:t>
      </w:r>
      <w:r>
        <w:t>10</w:t>
      </w:r>
      <w:r>
        <w:rPr>
          <w:spacing w:val="-6"/>
        </w:rPr>
        <w:t xml:space="preserve"> </w:t>
      </w:r>
      <w:r>
        <w:t>a</w:t>
      </w:r>
      <w:r>
        <w:rPr>
          <w:spacing w:val="-6"/>
        </w:rPr>
        <w:t xml:space="preserve"> </w:t>
      </w:r>
      <w:r>
        <w:t>12</w:t>
      </w:r>
      <w:r>
        <w:rPr>
          <w:spacing w:val="-6"/>
        </w:rPr>
        <w:t xml:space="preserve"> </w:t>
      </w:r>
      <w:r>
        <w:t>de</w:t>
      </w:r>
      <w:r>
        <w:rPr>
          <w:spacing w:val="-6"/>
        </w:rPr>
        <w:t xml:space="preserve"> </w:t>
      </w:r>
      <w:r>
        <w:t>la</w:t>
      </w:r>
      <w:r>
        <w:rPr>
          <w:spacing w:val="-6"/>
        </w:rPr>
        <w:t xml:space="preserve"> </w:t>
      </w:r>
      <w:r>
        <w:t>ley</w:t>
      </w:r>
      <w:r>
        <w:rPr>
          <w:spacing w:val="-6"/>
        </w:rPr>
        <w:t xml:space="preserve"> </w:t>
      </w:r>
      <w:r>
        <w:t>prohíben</w:t>
      </w:r>
      <w:r>
        <w:rPr>
          <w:spacing w:val="-6"/>
        </w:rPr>
        <w:t xml:space="preserve"> </w:t>
      </w:r>
      <w:r>
        <w:t>el</w:t>
      </w:r>
      <w:r>
        <w:rPr>
          <w:spacing w:val="-6"/>
        </w:rPr>
        <w:t xml:space="preserve"> </w:t>
      </w:r>
      <w:r>
        <w:t>discurso</w:t>
      </w:r>
      <w:r>
        <w:rPr>
          <w:spacing w:val="-6"/>
        </w:rPr>
        <w:t xml:space="preserve"> </w:t>
      </w:r>
      <w:r>
        <w:t>de</w:t>
      </w:r>
      <w:r>
        <w:rPr>
          <w:spacing w:val="-6"/>
        </w:rPr>
        <w:t xml:space="preserve"> </w:t>
      </w:r>
      <w:r>
        <w:t>odio,</w:t>
      </w:r>
      <w:r>
        <w:rPr>
          <w:spacing w:val="-6"/>
        </w:rPr>
        <w:t xml:space="preserve"> </w:t>
      </w:r>
      <w:r>
        <w:t>el</w:t>
      </w:r>
      <w:r>
        <w:rPr>
          <w:spacing w:val="-6"/>
        </w:rPr>
        <w:t xml:space="preserve"> </w:t>
      </w:r>
      <w:r>
        <w:t>acoso</w:t>
      </w:r>
      <w:r>
        <w:rPr>
          <w:spacing w:val="-6"/>
        </w:rPr>
        <w:t xml:space="preserve"> </w:t>
      </w:r>
      <w:r>
        <w:t>y</w:t>
      </w:r>
      <w:r>
        <w:rPr>
          <w:spacing w:val="-6"/>
        </w:rPr>
        <w:t xml:space="preserve"> </w:t>
      </w:r>
      <w:r>
        <w:t>la</w:t>
      </w:r>
      <w:r>
        <w:rPr>
          <w:spacing w:val="-6"/>
        </w:rPr>
        <w:t xml:space="preserve"> </w:t>
      </w:r>
      <w:r>
        <w:t>“difusión</w:t>
      </w:r>
      <w:r>
        <w:rPr>
          <w:spacing w:val="-6"/>
        </w:rPr>
        <w:t xml:space="preserve"> </w:t>
      </w:r>
      <w:r>
        <w:t>y</w:t>
      </w:r>
      <w:r>
        <w:rPr>
          <w:spacing w:val="-6"/>
        </w:rPr>
        <w:t xml:space="preserve"> </w:t>
      </w:r>
      <w:r>
        <w:t>publicación</w:t>
      </w:r>
      <w:r>
        <w:rPr>
          <w:spacing w:val="-6"/>
        </w:rPr>
        <w:t xml:space="preserve"> </w:t>
      </w:r>
      <w:r>
        <w:t>de</w:t>
      </w:r>
      <w:r>
        <w:rPr>
          <w:spacing w:val="-6"/>
        </w:rPr>
        <w:t xml:space="preserve"> </w:t>
      </w:r>
      <w:r>
        <w:t>información</w:t>
      </w:r>
      <w:r>
        <w:rPr>
          <w:spacing w:val="-6"/>
        </w:rPr>
        <w:t xml:space="preserve"> </w:t>
      </w:r>
      <w:r>
        <w:t>que</w:t>
      </w:r>
      <w:r>
        <w:rPr>
          <w:spacing w:val="-6"/>
        </w:rPr>
        <w:t xml:space="preserve"> </w:t>
      </w:r>
      <w:r>
        <w:t>discrimine injustamente”,</w:t>
      </w:r>
      <w:r>
        <w:rPr>
          <w:spacing w:val="-1"/>
        </w:rPr>
        <w:t xml:space="preserve"> </w:t>
      </w:r>
      <w:r>
        <w:t>respectivamente.</w:t>
      </w:r>
      <w:r>
        <w:rPr>
          <w:spacing w:val="-1"/>
        </w:rPr>
        <w:t xml:space="preserve"> </w:t>
      </w:r>
      <w:r>
        <w:t>En</w:t>
      </w:r>
      <w:r>
        <w:rPr>
          <w:spacing w:val="-2"/>
        </w:rPr>
        <w:t xml:space="preserve"> </w:t>
      </w:r>
      <w:r>
        <w:t>2019,</w:t>
      </w:r>
      <w:r>
        <w:rPr>
          <w:spacing w:val="-2"/>
        </w:rPr>
        <w:t xml:space="preserve"> </w:t>
      </w:r>
      <w:r>
        <w:t>la</w:t>
      </w:r>
      <w:r>
        <w:rPr>
          <w:spacing w:val="-2"/>
        </w:rPr>
        <w:t xml:space="preserve"> </w:t>
      </w:r>
      <w:r>
        <w:t>Corte</w:t>
      </w:r>
      <w:r>
        <w:rPr>
          <w:spacing w:val="-2"/>
        </w:rPr>
        <w:t xml:space="preserve"> </w:t>
      </w:r>
      <w:r>
        <w:t>Suprema</w:t>
      </w:r>
      <w:r>
        <w:rPr>
          <w:spacing w:val="-2"/>
        </w:rPr>
        <w:t xml:space="preserve"> </w:t>
      </w:r>
      <w:r>
        <w:t>de</w:t>
      </w:r>
      <w:r>
        <w:rPr>
          <w:spacing w:val="-2"/>
        </w:rPr>
        <w:t xml:space="preserve"> </w:t>
      </w:r>
      <w:r>
        <w:t>Apelaciones</w:t>
      </w:r>
      <w:r>
        <w:rPr>
          <w:spacing w:val="-2"/>
        </w:rPr>
        <w:t xml:space="preserve"> </w:t>
      </w:r>
      <w:r>
        <w:t>sostuvo</w:t>
      </w:r>
      <w:r>
        <w:rPr>
          <w:spacing w:val="-2"/>
        </w:rPr>
        <w:t xml:space="preserve"> </w:t>
      </w:r>
      <w:r>
        <w:t>que</w:t>
      </w:r>
      <w:r>
        <w:rPr>
          <w:spacing w:val="-2"/>
        </w:rPr>
        <w:t xml:space="preserve"> </w:t>
      </w:r>
      <w:r>
        <w:t>la</w:t>
      </w:r>
      <w:r>
        <w:rPr>
          <w:spacing w:val="-2"/>
        </w:rPr>
        <w:t xml:space="preserve"> </w:t>
      </w:r>
      <w:r>
        <w:t>definición</w:t>
      </w:r>
      <w:r>
        <w:rPr>
          <w:spacing w:val="-2"/>
        </w:rPr>
        <w:t xml:space="preserve"> </w:t>
      </w:r>
      <w:r>
        <w:t>de</w:t>
      </w:r>
      <w:r>
        <w:rPr>
          <w:spacing w:val="-2"/>
        </w:rPr>
        <w:t xml:space="preserve"> </w:t>
      </w:r>
      <w:r>
        <w:t>discurso</w:t>
      </w:r>
      <w:r>
        <w:rPr>
          <w:spacing w:val="-2"/>
        </w:rPr>
        <w:t xml:space="preserve"> </w:t>
      </w:r>
      <w:r>
        <w:t>de</w:t>
      </w:r>
      <w:r>
        <w:rPr>
          <w:spacing w:val="-2"/>
        </w:rPr>
        <w:t xml:space="preserve"> </w:t>
      </w:r>
      <w:r>
        <w:t>odio contenida en la sección 10 era demasiado amplia y, por tanto, inconstitucional.83</w:t>
      </w:r>
    </w:p>
    <w:p w14:paraId="50FD28CC" w14:textId="77777777" w:rsidR="0014798C" w:rsidRDefault="004E1F0B">
      <w:pPr>
        <w:pStyle w:val="Textoindependiente"/>
        <w:spacing w:line="326" w:lineRule="auto"/>
        <w:ind w:left="1332" w:right="1553"/>
      </w:pPr>
      <w:r>
        <w:t>El</w:t>
      </w:r>
      <w:r>
        <w:rPr>
          <w:spacing w:val="-2"/>
        </w:rPr>
        <w:t xml:space="preserve"> </w:t>
      </w:r>
      <w:r>
        <w:t>Tribunal</w:t>
      </w:r>
      <w:r>
        <w:rPr>
          <w:spacing w:val="-2"/>
        </w:rPr>
        <w:t xml:space="preserve"> </w:t>
      </w:r>
      <w:r>
        <w:t>dictó</w:t>
      </w:r>
      <w:r>
        <w:rPr>
          <w:spacing w:val="-2"/>
        </w:rPr>
        <w:t xml:space="preserve"> </w:t>
      </w:r>
      <w:r>
        <w:t>una</w:t>
      </w:r>
      <w:r>
        <w:rPr>
          <w:spacing w:val="-2"/>
        </w:rPr>
        <w:t xml:space="preserve"> </w:t>
      </w:r>
      <w:r>
        <w:t>orden</w:t>
      </w:r>
      <w:r>
        <w:rPr>
          <w:spacing w:val="-2"/>
        </w:rPr>
        <w:t xml:space="preserve"> </w:t>
      </w:r>
      <w:r>
        <w:t>exigiendo</w:t>
      </w:r>
      <w:r>
        <w:rPr>
          <w:spacing w:val="-2"/>
        </w:rPr>
        <w:t xml:space="preserve"> </w:t>
      </w:r>
      <w:r>
        <w:t>que</w:t>
      </w:r>
      <w:r>
        <w:rPr>
          <w:spacing w:val="-2"/>
        </w:rPr>
        <w:t xml:space="preserve"> </w:t>
      </w:r>
      <w:r>
        <w:t>el</w:t>
      </w:r>
      <w:r>
        <w:rPr>
          <w:spacing w:val="-2"/>
        </w:rPr>
        <w:t xml:space="preserve"> </w:t>
      </w:r>
      <w:r>
        <w:t>Parlamento</w:t>
      </w:r>
      <w:r>
        <w:rPr>
          <w:spacing w:val="-2"/>
        </w:rPr>
        <w:t xml:space="preserve"> </w:t>
      </w:r>
      <w:r>
        <w:t>modificara</w:t>
      </w:r>
      <w:r>
        <w:rPr>
          <w:spacing w:val="-2"/>
        </w:rPr>
        <w:t xml:space="preserve"> </w:t>
      </w:r>
      <w:r>
        <w:t>la</w:t>
      </w:r>
      <w:r>
        <w:rPr>
          <w:spacing w:val="-2"/>
        </w:rPr>
        <w:t xml:space="preserve"> </w:t>
      </w:r>
      <w:r>
        <w:t>disposición</w:t>
      </w:r>
      <w:r>
        <w:rPr>
          <w:spacing w:val="-2"/>
        </w:rPr>
        <w:t xml:space="preserve"> </w:t>
      </w:r>
      <w:r>
        <w:t>pertinente</w:t>
      </w:r>
      <w:r>
        <w:rPr>
          <w:spacing w:val="-2"/>
        </w:rPr>
        <w:t xml:space="preserve"> </w:t>
      </w:r>
      <w:r>
        <w:t>en</w:t>
      </w:r>
      <w:r>
        <w:rPr>
          <w:spacing w:val="-2"/>
        </w:rPr>
        <w:t xml:space="preserve"> </w:t>
      </w:r>
      <w:r>
        <w:t>un</w:t>
      </w:r>
      <w:r>
        <w:rPr>
          <w:spacing w:val="-2"/>
        </w:rPr>
        <w:t xml:space="preserve"> </w:t>
      </w:r>
      <w:r>
        <w:t>plazo</w:t>
      </w:r>
      <w:r>
        <w:rPr>
          <w:spacing w:val="-2"/>
        </w:rPr>
        <w:t xml:space="preserve"> </w:t>
      </w:r>
      <w:r>
        <w:t>de</w:t>
      </w:r>
      <w:r>
        <w:rPr>
          <w:spacing w:val="-2"/>
        </w:rPr>
        <w:t xml:space="preserve"> </w:t>
      </w:r>
      <w:r>
        <w:t>18</w:t>
      </w:r>
      <w:r>
        <w:rPr>
          <w:spacing w:val="-2"/>
        </w:rPr>
        <w:t xml:space="preserve"> </w:t>
      </w:r>
      <w:r>
        <w:t>meses. Posteriormente,</w:t>
      </w:r>
      <w:r>
        <w:rPr>
          <w:spacing w:val="-8"/>
        </w:rPr>
        <w:t xml:space="preserve"> </w:t>
      </w:r>
      <w:r>
        <w:t>el</w:t>
      </w:r>
      <w:r>
        <w:rPr>
          <w:spacing w:val="-9"/>
        </w:rPr>
        <w:t xml:space="preserve"> </w:t>
      </w:r>
      <w:r>
        <w:t>caso</w:t>
      </w:r>
      <w:r>
        <w:rPr>
          <w:spacing w:val="-9"/>
        </w:rPr>
        <w:t xml:space="preserve"> </w:t>
      </w:r>
      <w:r>
        <w:t>fue</w:t>
      </w:r>
      <w:r>
        <w:rPr>
          <w:spacing w:val="-9"/>
        </w:rPr>
        <w:t xml:space="preserve"> </w:t>
      </w:r>
      <w:r>
        <w:t>apelado</w:t>
      </w:r>
      <w:r>
        <w:rPr>
          <w:spacing w:val="-9"/>
        </w:rPr>
        <w:t xml:space="preserve"> </w:t>
      </w:r>
      <w:r>
        <w:t>ante</w:t>
      </w:r>
      <w:r>
        <w:rPr>
          <w:spacing w:val="-9"/>
        </w:rPr>
        <w:t xml:space="preserve"> </w:t>
      </w:r>
      <w:r>
        <w:t>el</w:t>
      </w:r>
      <w:r>
        <w:rPr>
          <w:spacing w:val="-9"/>
        </w:rPr>
        <w:t xml:space="preserve"> </w:t>
      </w:r>
      <w:r>
        <w:t>Tribunal</w:t>
      </w:r>
      <w:r>
        <w:rPr>
          <w:spacing w:val="-9"/>
        </w:rPr>
        <w:t xml:space="preserve"> </w:t>
      </w:r>
      <w:r>
        <w:t>Constitucional,</w:t>
      </w:r>
      <w:r>
        <w:rPr>
          <w:spacing w:val="-8"/>
        </w:rPr>
        <w:t xml:space="preserve"> </w:t>
      </w:r>
      <w:r>
        <w:t>que</w:t>
      </w:r>
      <w:r>
        <w:rPr>
          <w:spacing w:val="-9"/>
        </w:rPr>
        <w:t xml:space="preserve"> </w:t>
      </w:r>
      <w:r>
        <w:t>confirmó</w:t>
      </w:r>
      <w:r>
        <w:rPr>
          <w:spacing w:val="-9"/>
        </w:rPr>
        <w:t xml:space="preserve"> </w:t>
      </w:r>
      <w:r>
        <w:t>parcialmente</w:t>
      </w:r>
      <w:r>
        <w:rPr>
          <w:spacing w:val="-9"/>
        </w:rPr>
        <w:t xml:space="preserve"> </w:t>
      </w:r>
      <w:r>
        <w:t>la</w:t>
      </w:r>
      <w:r>
        <w:rPr>
          <w:spacing w:val="-9"/>
        </w:rPr>
        <w:t xml:space="preserve"> </w:t>
      </w:r>
      <w:r>
        <w:t>conclusión</w:t>
      </w:r>
      <w:r>
        <w:rPr>
          <w:spacing w:val="-9"/>
        </w:rPr>
        <w:t xml:space="preserve"> </w:t>
      </w:r>
      <w:r>
        <w:t>en</w:t>
      </w:r>
      <w:r>
        <w:rPr>
          <w:spacing w:val="-9"/>
        </w:rPr>
        <w:t xml:space="preserve"> </w:t>
      </w:r>
      <w:r>
        <w:t>su</w:t>
      </w:r>
      <w:r>
        <w:rPr>
          <w:spacing w:val="-9"/>
        </w:rPr>
        <w:t xml:space="preserve"> </w:t>
      </w:r>
      <w:r>
        <w:t>sentencia de 2021.84</w:t>
      </w:r>
    </w:p>
    <w:p w14:paraId="1B12FA65" w14:textId="77777777" w:rsidR="0014798C" w:rsidRDefault="004E1F0B">
      <w:pPr>
        <w:pStyle w:val="Textoindependiente"/>
        <w:spacing w:before="110" w:line="326" w:lineRule="auto"/>
        <w:ind w:left="1337" w:right="1553" w:hanging="7"/>
      </w:pPr>
      <w:r>
        <w:t>Las</w:t>
      </w:r>
      <w:r>
        <w:rPr>
          <w:spacing w:val="-1"/>
        </w:rPr>
        <w:t xml:space="preserve"> </w:t>
      </w:r>
      <w:r>
        <w:t>violaciones</w:t>
      </w:r>
      <w:r>
        <w:rPr>
          <w:spacing w:val="-1"/>
        </w:rPr>
        <w:t xml:space="preserve"> </w:t>
      </w:r>
      <w:r>
        <w:t>de</w:t>
      </w:r>
      <w:r>
        <w:rPr>
          <w:spacing w:val="-1"/>
        </w:rPr>
        <w:t xml:space="preserve"> </w:t>
      </w:r>
      <w:r>
        <w:t>la</w:t>
      </w:r>
      <w:r>
        <w:rPr>
          <w:spacing w:val="-1"/>
        </w:rPr>
        <w:t xml:space="preserve"> </w:t>
      </w:r>
      <w:r>
        <w:t>ley</w:t>
      </w:r>
      <w:r>
        <w:rPr>
          <w:spacing w:val="-1"/>
        </w:rPr>
        <w:t xml:space="preserve"> </w:t>
      </w:r>
      <w:r>
        <w:t>pueden</w:t>
      </w:r>
      <w:r>
        <w:rPr>
          <w:spacing w:val="-1"/>
        </w:rPr>
        <w:t xml:space="preserve"> </w:t>
      </w:r>
      <w:r>
        <w:t>impugnarse</w:t>
      </w:r>
      <w:r>
        <w:rPr>
          <w:spacing w:val="-1"/>
        </w:rPr>
        <w:t xml:space="preserve"> </w:t>
      </w:r>
      <w:r>
        <w:t>llevando</w:t>
      </w:r>
      <w:r>
        <w:rPr>
          <w:spacing w:val="-1"/>
        </w:rPr>
        <w:t xml:space="preserve"> </w:t>
      </w:r>
      <w:r>
        <w:t>el</w:t>
      </w:r>
      <w:r>
        <w:rPr>
          <w:spacing w:val="-1"/>
        </w:rPr>
        <w:t xml:space="preserve"> </w:t>
      </w:r>
      <w:r>
        <w:t>caso</w:t>
      </w:r>
      <w:r>
        <w:rPr>
          <w:spacing w:val="-1"/>
        </w:rPr>
        <w:t xml:space="preserve"> </w:t>
      </w:r>
      <w:r>
        <w:t>ante</w:t>
      </w:r>
      <w:r>
        <w:rPr>
          <w:spacing w:val="-1"/>
        </w:rPr>
        <w:t xml:space="preserve"> </w:t>
      </w:r>
      <w:r>
        <w:t>un</w:t>
      </w:r>
      <w:r>
        <w:rPr>
          <w:spacing w:val="-1"/>
        </w:rPr>
        <w:t xml:space="preserve"> </w:t>
      </w:r>
      <w:r>
        <w:t>tribunal</w:t>
      </w:r>
      <w:r>
        <w:rPr>
          <w:spacing w:val="-1"/>
        </w:rPr>
        <w:t xml:space="preserve"> </w:t>
      </w:r>
      <w:r>
        <w:t>de</w:t>
      </w:r>
      <w:r>
        <w:rPr>
          <w:spacing w:val="-1"/>
        </w:rPr>
        <w:t xml:space="preserve"> </w:t>
      </w:r>
      <w:r>
        <w:t>igualdad, compuesto</w:t>
      </w:r>
      <w:r>
        <w:rPr>
          <w:spacing w:val="-1"/>
        </w:rPr>
        <w:t xml:space="preserve"> </w:t>
      </w:r>
      <w:r>
        <w:t>por</w:t>
      </w:r>
      <w:r>
        <w:rPr>
          <w:spacing w:val="-1"/>
        </w:rPr>
        <w:t xml:space="preserve"> </w:t>
      </w:r>
      <w:r>
        <w:t>tribunales superiores y tribunales de magistrados, de conformidad con el artículo 16 de la ley. Las facultades de los tribunales de igualdad</w:t>
      </w:r>
      <w:r>
        <w:rPr>
          <w:spacing w:val="-1"/>
        </w:rPr>
        <w:t xml:space="preserve"> </w:t>
      </w:r>
      <w:r>
        <w:t>se</w:t>
      </w:r>
      <w:r>
        <w:rPr>
          <w:spacing w:val="-1"/>
        </w:rPr>
        <w:t xml:space="preserve"> </w:t>
      </w:r>
      <w:r>
        <w:t>establecen</w:t>
      </w:r>
      <w:r>
        <w:rPr>
          <w:spacing w:val="-1"/>
        </w:rPr>
        <w:t xml:space="preserve"> </w:t>
      </w:r>
      <w:r>
        <w:t>en</w:t>
      </w:r>
      <w:r>
        <w:rPr>
          <w:spacing w:val="-1"/>
        </w:rPr>
        <w:t xml:space="preserve"> </w:t>
      </w:r>
      <w:r>
        <w:t>el</w:t>
      </w:r>
      <w:r>
        <w:rPr>
          <w:spacing w:val="-1"/>
        </w:rPr>
        <w:t xml:space="preserve"> </w:t>
      </w:r>
      <w:r>
        <w:t>artículo</w:t>
      </w:r>
      <w:r>
        <w:rPr>
          <w:spacing w:val="-1"/>
        </w:rPr>
        <w:t xml:space="preserve"> </w:t>
      </w:r>
      <w:r>
        <w:t>21</w:t>
      </w:r>
      <w:r>
        <w:rPr>
          <w:spacing w:val="-1"/>
        </w:rPr>
        <w:t xml:space="preserve"> </w:t>
      </w:r>
      <w:r>
        <w:t>de</w:t>
      </w:r>
      <w:r>
        <w:rPr>
          <w:spacing w:val="-1"/>
        </w:rPr>
        <w:t xml:space="preserve"> </w:t>
      </w:r>
      <w:r>
        <w:t>la</w:t>
      </w:r>
      <w:r>
        <w:rPr>
          <w:spacing w:val="-1"/>
        </w:rPr>
        <w:t xml:space="preserve"> </w:t>
      </w:r>
      <w:r>
        <w:t>ley</w:t>
      </w:r>
      <w:r>
        <w:rPr>
          <w:spacing w:val="-1"/>
        </w:rPr>
        <w:t xml:space="preserve"> </w:t>
      </w:r>
      <w:r>
        <w:t>e</w:t>
      </w:r>
      <w:r>
        <w:rPr>
          <w:spacing w:val="-1"/>
        </w:rPr>
        <w:t xml:space="preserve"> </w:t>
      </w:r>
      <w:r>
        <w:t>incluyen</w:t>
      </w:r>
      <w:r>
        <w:rPr>
          <w:spacing w:val="-1"/>
        </w:rPr>
        <w:t xml:space="preserve"> </w:t>
      </w:r>
      <w:r>
        <w:t>amplias</w:t>
      </w:r>
      <w:r>
        <w:rPr>
          <w:spacing w:val="-1"/>
        </w:rPr>
        <w:t xml:space="preserve"> </w:t>
      </w:r>
      <w:r>
        <w:t>facultades</w:t>
      </w:r>
      <w:r>
        <w:rPr>
          <w:spacing w:val="-1"/>
        </w:rPr>
        <w:t xml:space="preserve"> </w:t>
      </w:r>
      <w:r>
        <w:t>para</w:t>
      </w:r>
      <w:r>
        <w:rPr>
          <w:spacing w:val="-1"/>
        </w:rPr>
        <w:t xml:space="preserve"> </w:t>
      </w:r>
      <w:r>
        <w:t>dictar</w:t>
      </w:r>
      <w:r>
        <w:rPr>
          <w:spacing w:val="-1"/>
        </w:rPr>
        <w:t xml:space="preserve"> </w:t>
      </w:r>
      <w:r>
        <w:t>órdenes. El</w:t>
      </w:r>
      <w:r>
        <w:rPr>
          <w:spacing w:val="-1"/>
        </w:rPr>
        <w:t xml:space="preserve"> </w:t>
      </w:r>
      <w:r>
        <w:t>artículo</w:t>
      </w:r>
      <w:r>
        <w:rPr>
          <w:spacing w:val="-1"/>
        </w:rPr>
        <w:t xml:space="preserve"> </w:t>
      </w:r>
      <w:r>
        <w:t>13</w:t>
      </w:r>
      <w:r>
        <w:rPr>
          <w:spacing w:val="-1"/>
        </w:rPr>
        <w:t xml:space="preserve"> </w:t>
      </w:r>
      <w:r>
        <w:t>de</w:t>
      </w:r>
      <w:r>
        <w:rPr>
          <w:spacing w:val="-1"/>
        </w:rPr>
        <w:t xml:space="preserve"> </w:t>
      </w:r>
      <w:r>
        <w:t>la</w:t>
      </w:r>
      <w:r>
        <w:rPr>
          <w:spacing w:val="-1"/>
        </w:rPr>
        <w:t xml:space="preserve"> </w:t>
      </w:r>
      <w:r>
        <w:t>Ley establece</w:t>
      </w:r>
      <w:r>
        <w:rPr>
          <w:spacing w:val="-8"/>
        </w:rPr>
        <w:t xml:space="preserve"> </w:t>
      </w:r>
      <w:r>
        <w:t>normas</w:t>
      </w:r>
      <w:r>
        <w:rPr>
          <w:spacing w:val="-8"/>
        </w:rPr>
        <w:t xml:space="preserve"> </w:t>
      </w:r>
      <w:r>
        <w:t>específicas</w:t>
      </w:r>
      <w:r>
        <w:rPr>
          <w:spacing w:val="-8"/>
        </w:rPr>
        <w:t xml:space="preserve"> </w:t>
      </w:r>
      <w:r>
        <w:t>que</w:t>
      </w:r>
      <w:r>
        <w:rPr>
          <w:spacing w:val="-8"/>
        </w:rPr>
        <w:t xml:space="preserve"> </w:t>
      </w:r>
      <w:r>
        <w:t>regulan</w:t>
      </w:r>
      <w:r>
        <w:rPr>
          <w:spacing w:val="-8"/>
        </w:rPr>
        <w:t xml:space="preserve"> </w:t>
      </w:r>
      <w:r>
        <w:t>la</w:t>
      </w:r>
      <w:r>
        <w:rPr>
          <w:spacing w:val="-8"/>
        </w:rPr>
        <w:t xml:space="preserve"> </w:t>
      </w:r>
      <w:r>
        <w:t>transferencia</w:t>
      </w:r>
      <w:r>
        <w:rPr>
          <w:spacing w:val="-8"/>
        </w:rPr>
        <w:t xml:space="preserve"> </w:t>
      </w:r>
      <w:r>
        <w:t>de</w:t>
      </w:r>
      <w:r>
        <w:rPr>
          <w:spacing w:val="-8"/>
        </w:rPr>
        <w:t xml:space="preserve"> </w:t>
      </w:r>
      <w:r>
        <w:t>la</w:t>
      </w:r>
      <w:r>
        <w:rPr>
          <w:spacing w:val="-8"/>
        </w:rPr>
        <w:t xml:space="preserve"> </w:t>
      </w:r>
      <w:r>
        <w:t>carga</w:t>
      </w:r>
      <w:r>
        <w:rPr>
          <w:spacing w:val="-8"/>
        </w:rPr>
        <w:t xml:space="preserve"> </w:t>
      </w:r>
      <w:r>
        <w:t>de</w:t>
      </w:r>
      <w:r>
        <w:rPr>
          <w:spacing w:val="-8"/>
        </w:rPr>
        <w:t xml:space="preserve"> </w:t>
      </w:r>
      <w:r>
        <w:t>la</w:t>
      </w:r>
      <w:r>
        <w:rPr>
          <w:spacing w:val="-8"/>
        </w:rPr>
        <w:t xml:space="preserve"> </w:t>
      </w:r>
      <w:r>
        <w:t>prueba</w:t>
      </w:r>
      <w:r>
        <w:rPr>
          <w:spacing w:val="-8"/>
        </w:rPr>
        <w:t xml:space="preserve"> </w:t>
      </w:r>
      <w:r>
        <w:t>en</w:t>
      </w:r>
      <w:r>
        <w:rPr>
          <w:spacing w:val="-8"/>
        </w:rPr>
        <w:t xml:space="preserve"> </w:t>
      </w:r>
      <w:r>
        <w:t>casos</w:t>
      </w:r>
      <w:r>
        <w:rPr>
          <w:spacing w:val="-8"/>
        </w:rPr>
        <w:t xml:space="preserve"> </w:t>
      </w:r>
      <w:r>
        <w:t>de</w:t>
      </w:r>
      <w:r>
        <w:rPr>
          <w:spacing w:val="-8"/>
        </w:rPr>
        <w:t xml:space="preserve"> </w:t>
      </w:r>
      <w:r>
        <w:t>discriminación,</w:t>
      </w:r>
      <w:r>
        <w:rPr>
          <w:spacing w:val="-7"/>
        </w:rPr>
        <w:t xml:space="preserve"> </w:t>
      </w:r>
      <w:r>
        <w:t>mientras</w:t>
      </w:r>
      <w:r>
        <w:rPr>
          <w:spacing w:val="-8"/>
        </w:rPr>
        <w:t xml:space="preserve"> </w:t>
      </w:r>
      <w:r>
        <w:t>que el</w:t>
      </w:r>
      <w:r>
        <w:rPr>
          <w:spacing w:val="-2"/>
        </w:rPr>
        <w:t xml:space="preserve"> </w:t>
      </w:r>
      <w:r>
        <w:t>artículo</w:t>
      </w:r>
      <w:r>
        <w:rPr>
          <w:spacing w:val="-2"/>
        </w:rPr>
        <w:t xml:space="preserve"> </w:t>
      </w:r>
      <w:r>
        <w:t>20</w:t>
      </w:r>
      <w:r>
        <w:rPr>
          <w:spacing w:val="-2"/>
        </w:rPr>
        <w:t xml:space="preserve"> </w:t>
      </w:r>
      <w:r>
        <w:t>establece</w:t>
      </w:r>
      <w:r>
        <w:rPr>
          <w:spacing w:val="-2"/>
        </w:rPr>
        <w:t xml:space="preserve"> </w:t>
      </w:r>
      <w:r>
        <w:t>normas</w:t>
      </w:r>
      <w:r>
        <w:rPr>
          <w:spacing w:val="-2"/>
        </w:rPr>
        <w:t xml:space="preserve"> </w:t>
      </w:r>
      <w:r>
        <w:t>amplias</w:t>
      </w:r>
      <w:r>
        <w:rPr>
          <w:spacing w:val="-2"/>
        </w:rPr>
        <w:t xml:space="preserve"> </w:t>
      </w:r>
      <w:r>
        <w:t>de</w:t>
      </w:r>
      <w:r>
        <w:rPr>
          <w:spacing w:val="-2"/>
        </w:rPr>
        <w:t xml:space="preserve"> </w:t>
      </w:r>
      <w:r>
        <w:t>legitimación</w:t>
      </w:r>
      <w:r>
        <w:rPr>
          <w:spacing w:val="-2"/>
        </w:rPr>
        <w:t xml:space="preserve"> </w:t>
      </w:r>
      <w:r>
        <w:t>activa</w:t>
      </w:r>
      <w:r>
        <w:rPr>
          <w:spacing w:val="-2"/>
        </w:rPr>
        <w:t xml:space="preserve"> </w:t>
      </w:r>
      <w:r>
        <w:t>que</w:t>
      </w:r>
      <w:r>
        <w:rPr>
          <w:spacing w:val="-2"/>
        </w:rPr>
        <w:t xml:space="preserve"> </w:t>
      </w:r>
      <w:r>
        <w:t>permiten,</w:t>
      </w:r>
      <w:r>
        <w:rPr>
          <w:spacing w:val="-1"/>
        </w:rPr>
        <w:t xml:space="preserve"> </w:t>
      </w:r>
      <w:r>
        <w:t>entre</w:t>
      </w:r>
      <w:r>
        <w:rPr>
          <w:spacing w:val="-2"/>
        </w:rPr>
        <w:t xml:space="preserve"> </w:t>
      </w:r>
      <w:r>
        <w:t>otras</w:t>
      </w:r>
      <w:r>
        <w:rPr>
          <w:spacing w:val="-2"/>
        </w:rPr>
        <w:t xml:space="preserve"> </w:t>
      </w:r>
      <w:r>
        <w:t>cosas,</w:t>
      </w:r>
      <w:r>
        <w:rPr>
          <w:spacing w:val="-2"/>
        </w:rPr>
        <w:t xml:space="preserve"> </w:t>
      </w:r>
      <w:r>
        <w:t>litigios</w:t>
      </w:r>
      <w:r>
        <w:rPr>
          <w:spacing w:val="-2"/>
        </w:rPr>
        <w:t xml:space="preserve"> </w:t>
      </w:r>
      <w:r>
        <w:t>de</w:t>
      </w:r>
      <w:r>
        <w:rPr>
          <w:spacing w:val="-2"/>
        </w:rPr>
        <w:t xml:space="preserve"> </w:t>
      </w:r>
      <w:r>
        <w:t>interés</w:t>
      </w:r>
      <w:r>
        <w:rPr>
          <w:spacing w:val="-2"/>
        </w:rPr>
        <w:t xml:space="preserve"> </w:t>
      </w:r>
      <w:r>
        <w:t>público.85</w:t>
      </w:r>
    </w:p>
    <w:p w14:paraId="421CB7D4" w14:textId="77777777" w:rsidR="0014798C" w:rsidRDefault="0014798C">
      <w:pPr>
        <w:pStyle w:val="Textoindependiente"/>
        <w:rPr>
          <w:sz w:val="11"/>
        </w:rPr>
      </w:pPr>
    </w:p>
    <w:p w14:paraId="62C51043" w14:textId="77777777" w:rsidR="0014798C" w:rsidRDefault="0014798C">
      <w:pPr>
        <w:pStyle w:val="Textoindependiente"/>
        <w:rPr>
          <w:sz w:val="11"/>
        </w:rPr>
      </w:pPr>
    </w:p>
    <w:p w14:paraId="3D0DC8C9" w14:textId="77777777" w:rsidR="0014798C" w:rsidRDefault="0014798C">
      <w:pPr>
        <w:pStyle w:val="Textoindependiente"/>
        <w:rPr>
          <w:sz w:val="11"/>
        </w:rPr>
      </w:pPr>
    </w:p>
    <w:p w14:paraId="54DC96D1" w14:textId="77777777" w:rsidR="0014798C" w:rsidRDefault="0014798C">
      <w:pPr>
        <w:pStyle w:val="Textoindependiente"/>
        <w:rPr>
          <w:sz w:val="11"/>
        </w:rPr>
      </w:pPr>
    </w:p>
    <w:p w14:paraId="2D92BAED" w14:textId="77777777" w:rsidR="0014798C" w:rsidRDefault="0014798C">
      <w:pPr>
        <w:pStyle w:val="Textoindependiente"/>
        <w:rPr>
          <w:sz w:val="11"/>
        </w:rPr>
      </w:pPr>
    </w:p>
    <w:p w14:paraId="7119D842" w14:textId="77777777" w:rsidR="0014798C" w:rsidRDefault="0014798C">
      <w:pPr>
        <w:pStyle w:val="Textoindependiente"/>
        <w:rPr>
          <w:sz w:val="11"/>
        </w:rPr>
      </w:pPr>
    </w:p>
    <w:p w14:paraId="078A44BB" w14:textId="77777777" w:rsidR="0014798C" w:rsidRDefault="0014798C">
      <w:pPr>
        <w:pStyle w:val="Textoindependiente"/>
        <w:rPr>
          <w:sz w:val="11"/>
        </w:rPr>
      </w:pPr>
    </w:p>
    <w:p w14:paraId="5E7B6B03" w14:textId="77777777" w:rsidR="0014798C" w:rsidRDefault="0014798C">
      <w:pPr>
        <w:pStyle w:val="Textoindependiente"/>
        <w:rPr>
          <w:sz w:val="11"/>
        </w:rPr>
      </w:pPr>
    </w:p>
    <w:p w14:paraId="3FC52AF5" w14:textId="77777777" w:rsidR="0014798C" w:rsidRDefault="0014798C">
      <w:pPr>
        <w:pStyle w:val="Textoindependiente"/>
        <w:rPr>
          <w:sz w:val="11"/>
        </w:rPr>
      </w:pPr>
    </w:p>
    <w:p w14:paraId="0A0DBCD1" w14:textId="77777777" w:rsidR="0014798C" w:rsidRDefault="0014798C">
      <w:pPr>
        <w:pStyle w:val="Textoindependiente"/>
        <w:rPr>
          <w:sz w:val="11"/>
        </w:rPr>
      </w:pPr>
    </w:p>
    <w:p w14:paraId="4C116029" w14:textId="77777777" w:rsidR="0014798C" w:rsidRDefault="0014798C">
      <w:pPr>
        <w:pStyle w:val="Textoindependiente"/>
        <w:rPr>
          <w:sz w:val="11"/>
        </w:rPr>
      </w:pPr>
    </w:p>
    <w:p w14:paraId="51A2F49D" w14:textId="77777777" w:rsidR="0014798C" w:rsidRDefault="0014798C">
      <w:pPr>
        <w:pStyle w:val="Textoindependiente"/>
        <w:rPr>
          <w:sz w:val="11"/>
        </w:rPr>
      </w:pPr>
    </w:p>
    <w:p w14:paraId="738EFE34" w14:textId="77777777" w:rsidR="0014798C" w:rsidRDefault="0014798C">
      <w:pPr>
        <w:pStyle w:val="Textoindependiente"/>
        <w:rPr>
          <w:sz w:val="11"/>
        </w:rPr>
      </w:pPr>
    </w:p>
    <w:p w14:paraId="4FBB028E" w14:textId="77777777" w:rsidR="0014798C" w:rsidRDefault="0014798C">
      <w:pPr>
        <w:pStyle w:val="Textoindependiente"/>
        <w:rPr>
          <w:sz w:val="11"/>
        </w:rPr>
      </w:pPr>
    </w:p>
    <w:p w14:paraId="545DF08E" w14:textId="77777777" w:rsidR="0014798C" w:rsidRDefault="0014798C">
      <w:pPr>
        <w:pStyle w:val="Textoindependiente"/>
        <w:rPr>
          <w:sz w:val="11"/>
        </w:rPr>
      </w:pPr>
    </w:p>
    <w:p w14:paraId="32E251CD" w14:textId="77777777" w:rsidR="0014798C" w:rsidRDefault="0014798C">
      <w:pPr>
        <w:pStyle w:val="Textoindependiente"/>
        <w:rPr>
          <w:sz w:val="11"/>
        </w:rPr>
      </w:pPr>
    </w:p>
    <w:p w14:paraId="2F68F3A0" w14:textId="77777777" w:rsidR="0014798C" w:rsidRDefault="0014798C">
      <w:pPr>
        <w:pStyle w:val="Textoindependiente"/>
        <w:rPr>
          <w:sz w:val="11"/>
        </w:rPr>
      </w:pPr>
    </w:p>
    <w:p w14:paraId="685705E8" w14:textId="77777777" w:rsidR="0014798C" w:rsidRDefault="0014798C">
      <w:pPr>
        <w:pStyle w:val="Textoindependiente"/>
        <w:rPr>
          <w:sz w:val="11"/>
        </w:rPr>
      </w:pPr>
    </w:p>
    <w:p w14:paraId="6D8A8BBE" w14:textId="77777777" w:rsidR="0014798C" w:rsidRDefault="0014798C">
      <w:pPr>
        <w:pStyle w:val="Textoindependiente"/>
        <w:rPr>
          <w:sz w:val="11"/>
        </w:rPr>
      </w:pPr>
    </w:p>
    <w:p w14:paraId="771FD887" w14:textId="77777777" w:rsidR="0014798C" w:rsidRDefault="0014798C">
      <w:pPr>
        <w:pStyle w:val="Textoindependiente"/>
        <w:rPr>
          <w:sz w:val="11"/>
        </w:rPr>
      </w:pPr>
    </w:p>
    <w:p w14:paraId="1BC2B173" w14:textId="77777777" w:rsidR="0014798C" w:rsidRDefault="0014798C">
      <w:pPr>
        <w:pStyle w:val="Textoindependiente"/>
        <w:spacing w:before="82"/>
        <w:rPr>
          <w:sz w:val="11"/>
        </w:rPr>
      </w:pPr>
    </w:p>
    <w:p w14:paraId="171E4CBD" w14:textId="77777777" w:rsidR="0014798C" w:rsidRPr="009D3D20" w:rsidRDefault="004E1F0B" w:rsidP="004E377C">
      <w:pPr>
        <w:pStyle w:val="Prrafodelista"/>
        <w:numPr>
          <w:ilvl w:val="0"/>
          <w:numId w:val="88"/>
        </w:numPr>
        <w:spacing w:before="1"/>
        <w:ind w:left="1268" w:hanging="275"/>
        <w:rPr>
          <w:sz w:val="12"/>
          <w:szCs w:val="12"/>
        </w:rPr>
      </w:pPr>
      <w:r w:rsidRPr="009D3D20">
        <w:rPr>
          <w:w w:val="105"/>
          <w:sz w:val="12"/>
          <w:szCs w:val="12"/>
        </w:rPr>
        <w:t>Véase</w:t>
      </w:r>
      <w:r w:rsidRPr="009D3D20">
        <w:rPr>
          <w:spacing w:val="-6"/>
          <w:w w:val="105"/>
          <w:sz w:val="12"/>
          <w:szCs w:val="12"/>
        </w:rPr>
        <w:t xml:space="preserve"> </w:t>
      </w:r>
      <w:r w:rsidRPr="009D3D20">
        <w:rPr>
          <w:w w:val="105"/>
          <w:sz w:val="12"/>
          <w:szCs w:val="12"/>
        </w:rPr>
        <w:t>un</w:t>
      </w:r>
      <w:r w:rsidRPr="009D3D20">
        <w:rPr>
          <w:spacing w:val="-6"/>
          <w:w w:val="105"/>
          <w:sz w:val="12"/>
          <w:szCs w:val="12"/>
        </w:rPr>
        <w:t xml:space="preserve"> </w:t>
      </w:r>
      <w:r w:rsidRPr="009D3D20">
        <w:rPr>
          <w:w w:val="105"/>
          <w:sz w:val="12"/>
          <w:szCs w:val="12"/>
        </w:rPr>
        <w:t>análisis</w:t>
      </w:r>
      <w:r w:rsidRPr="009D3D20">
        <w:rPr>
          <w:spacing w:val="-6"/>
          <w:w w:val="105"/>
          <w:sz w:val="12"/>
          <w:szCs w:val="12"/>
        </w:rPr>
        <w:t xml:space="preserve"> </w:t>
      </w:r>
      <w:r w:rsidRPr="009D3D20">
        <w:rPr>
          <w:w w:val="105"/>
          <w:sz w:val="12"/>
          <w:szCs w:val="12"/>
        </w:rPr>
        <w:t>más</w:t>
      </w:r>
      <w:r w:rsidRPr="009D3D20">
        <w:rPr>
          <w:spacing w:val="-5"/>
          <w:w w:val="105"/>
          <w:sz w:val="12"/>
          <w:szCs w:val="12"/>
        </w:rPr>
        <w:t xml:space="preserve"> </w:t>
      </w:r>
      <w:r w:rsidRPr="009D3D20">
        <w:rPr>
          <w:w w:val="105"/>
          <w:sz w:val="12"/>
          <w:szCs w:val="12"/>
        </w:rPr>
        <w:t>detallado</w:t>
      </w:r>
      <w:r w:rsidRPr="009D3D20">
        <w:rPr>
          <w:spacing w:val="-6"/>
          <w:w w:val="105"/>
          <w:sz w:val="12"/>
          <w:szCs w:val="12"/>
        </w:rPr>
        <w:t xml:space="preserve"> </w:t>
      </w:r>
      <w:r w:rsidRPr="009D3D20">
        <w:rPr>
          <w:w w:val="105"/>
          <w:sz w:val="12"/>
          <w:szCs w:val="12"/>
        </w:rPr>
        <w:t>sobre</w:t>
      </w:r>
      <w:r w:rsidRPr="009D3D20">
        <w:rPr>
          <w:spacing w:val="-6"/>
          <w:w w:val="105"/>
          <w:sz w:val="12"/>
          <w:szCs w:val="12"/>
        </w:rPr>
        <w:t xml:space="preserve"> </w:t>
      </w:r>
      <w:r w:rsidRPr="009D3D20">
        <w:rPr>
          <w:w w:val="105"/>
          <w:sz w:val="12"/>
          <w:szCs w:val="12"/>
        </w:rPr>
        <w:t>este</w:t>
      </w:r>
      <w:r w:rsidRPr="009D3D20">
        <w:rPr>
          <w:spacing w:val="-6"/>
          <w:w w:val="105"/>
          <w:sz w:val="12"/>
          <w:szCs w:val="12"/>
        </w:rPr>
        <w:t xml:space="preserve"> </w:t>
      </w:r>
      <w:r w:rsidRPr="009D3D20">
        <w:rPr>
          <w:w w:val="105"/>
          <w:sz w:val="12"/>
          <w:szCs w:val="12"/>
        </w:rPr>
        <w:t>punto</w:t>
      </w:r>
      <w:r w:rsidRPr="009D3D20">
        <w:rPr>
          <w:spacing w:val="-5"/>
          <w:w w:val="105"/>
          <w:sz w:val="12"/>
          <w:szCs w:val="12"/>
        </w:rPr>
        <w:t xml:space="preserve"> </w:t>
      </w:r>
      <w:r w:rsidRPr="009D3D20">
        <w:rPr>
          <w:w w:val="105"/>
          <w:sz w:val="12"/>
          <w:szCs w:val="12"/>
        </w:rPr>
        <w:t>en</w:t>
      </w:r>
      <w:r w:rsidRPr="009D3D20">
        <w:rPr>
          <w:spacing w:val="-6"/>
          <w:w w:val="105"/>
          <w:sz w:val="12"/>
          <w:szCs w:val="12"/>
        </w:rPr>
        <w:t xml:space="preserve"> </w:t>
      </w:r>
      <w:r w:rsidRPr="009D3D20">
        <w:rPr>
          <w:w w:val="105"/>
          <w:sz w:val="12"/>
          <w:szCs w:val="12"/>
        </w:rPr>
        <w:t>la</w:t>
      </w:r>
      <w:r w:rsidRPr="009D3D20">
        <w:rPr>
          <w:spacing w:val="-6"/>
          <w:w w:val="105"/>
          <w:sz w:val="12"/>
          <w:szCs w:val="12"/>
        </w:rPr>
        <w:t xml:space="preserve"> </w:t>
      </w:r>
      <w:r w:rsidRPr="009D3D20">
        <w:rPr>
          <w:w w:val="105"/>
          <w:sz w:val="12"/>
          <w:szCs w:val="12"/>
        </w:rPr>
        <w:t>sección</w:t>
      </w:r>
      <w:r w:rsidRPr="009D3D20">
        <w:rPr>
          <w:spacing w:val="-6"/>
          <w:w w:val="105"/>
          <w:sz w:val="12"/>
          <w:szCs w:val="12"/>
        </w:rPr>
        <w:t xml:space="preserve"> </w:t>
      </w:r>
      <w:r w:rsidRPr="009D3D20">
        <w:rPr>
          <w:w w:val="105"/>
          <w:sz w:val="12"/>
          <w:szCs w:val="12"/>
        </w:rPr>
        <w:t>IA1(a)</w:t>
      </w:r>
      <w:r w:rsidRPr="009D3D20">
        <w:rPr>
          <w:spacing w:val="-5"/>
          <w:w w:val="105"/>
          <w:sz w:val="12"/>
          <w:szCs w:val="12"/>
        </w:rPr>
        <w:t xml:space="preserve"> </w:t>
      </w:r>
      <w:r w:rsidRPr="009D3D20">
        <w:rPr>
          <w:w w:val="105"/>
          <w:sz w:val="12"/>
          <w:szCs w:val="12"/>
        </w:rPr>
        <w:t>de</w:t>
      </w:r>
      <w:r w:rsidRPr="009D3D20">
        <w:rPr>
          <w:spacing w:val="-6"/>
          <w:w w:val="105"/>
          <w:sz w:val="12"/>
          <w:szCs w:val="12"/>
        </w:rPr>
        <w:t xml:space="preserve"> </w:t>
      </w:r>
      <w:r w:rsidRPr="009D3D20">
        <w:rPr>
          <w:w w:val="105"/>
          <w:sz w:val="12"/>
          <w:szCs w:val="12"/>
        </w:rPr>
        <w:t>la</w:t>
      </w:r>
      <w:r w:rsidRPr="009D3D20">
        <w:rPr>
          <w:spacing w:val="-6"/>
          <w:w w:val="105"/>
          <w:sz w:val="12"/>
          <w:szCs w:val="12"/>
        </w:rPr>
        <w:t xml:space="preserve"> </w:t>
      </w:r>
      <w:r w:rsidRPr="009D3D20">
        <w:rPr>
          <w:w w:val="105"/>
          <w:sz w:val="12"/>
          <w:szCs w:val="12"/>
        </w:rPr>
        <w:t>segunda</w:t>
      </w:r>
      <w:r w:rsidRPr="009D3D20">
        <w:rPr>
          <w:spacing w:val="-6"/>
          <w:w w:val="105"/>
          <w:sz w:val="12"/>
          <w:szCs w:val="12"/>
        </w:rPr>
        <w:t xml:space="preserve"> </w:t>
      </w:r>
      <w:r w:rsidRPr="009D3D20">
        <w:rPr>
          <w:w w:val="105"/>
          <w:sz w:val="12"/>
          <w:szCs w:val="12"/>
        </w:rPr>
        <w:t>parte</w:t>
      </w:r>
      <w:r w:rsidRPr="009D3D20">
        <w:rPr>
          <w:spacing w:val="-5"/>
          <w:w w:val="105"/>
          <w:sz w:val="12"/>
          <w:szCs w:val="12"/>
        </w:rPr>
        <w:t xml:space="preserve"> </w:t>
      </w:r>
      <w:r w:rsidRPr="009D3D20">
        <w:rPr>
          <w:w w:val="105"/>
          <w:sz w:val="12"/>
          <w:szCs w:val="12"/>
        </w:rPr>
        <w:t>de</w:t>
      </w:r>
      <w:r w:rsidRPr="009D3D20">
        <w:rPr>
          <w:spacing w:val="-6"/>
          <w:w w:val="105"/>
          <w:sz w:val="12"/>
          <w:szCs w:val="12"/>
        </w:rPr>
        <w:t xml:space="preserve"> </w:t>
      </w:r>
      <w:r w:rsidRPr="009D3D20">
        <w:rPr>
          <w:w w:val="105"/>
          <w:sz w:val="12"/>
          <w:szCs w:val="12"/>
        </w:rPr>
        <w:t>la</w:t>
      </w:r>
      <w:r w:rsidRPr="009D3D20">
        <w:rPr>
          <w:spacing w:val="-6"/>
          <w:w w:val="105"/>
          <w:sz w:val="12"/>
          <w:szCs w:val="12"/>
        </w:rPr>
        <w:t xml:space="preserve"> </w:t>
      </w:r>
      <w:r w:rsidRPr="009D3D20">
        <w:rPr>
          <w:w w:val="105"/>
          <w:sz w:val="12"/>
          <w:szCs w:val="12"/>
        </w:rPr>
        <w:t>presente</w:t>
      </w:r>
      <w:r w:rsidRPr="009D3D20">
        <w:rPr>
          <w:spacing w:val="-6"/>
          <w:w w:val="105"/>
          <w:sz w:val="12"/>
          <w:szCs w:val="12"/>
        </w:rPr>
        <w:t xml:space="preserve"> </w:t>
      </w:r>
      <w:r w:rsidRPr="009D3D20">
        <w:rPr>
          <w:spacing w:val="-2"/>
          <w:w w:val="105"/>
          <w:sz w:val="12"/>
          <w:szCs w:val="12"/>
        </w:rPr>
        <w:t>guía.</w:t>
      </w:r>
    </w:p>
    <w:p w14:paraId="0072BED6" w14:textId="77777777" w:rsidR="0014798C" w:rsidRPr="009D3D20" w:rsidRDefault="004E1F0B" w:rsidP="004E377C">
      <w:pPr>
        <w:pStyle w:val="Prrafodelista"/>
        <w:numPr>
          <w:ilvl w:val="0"/>
          <w:numId w:val="88"/>
        </w:numPr>
        <w:spacing w:before="110"/>
        <w:ind w:left="1268" w:hanging="275"/>
        <w:rPr>
          <w:sz w:val="12"/>
          <w:szCs w:val="12"/>
        </w:rPr>
      </w:pPr>
      <w:r w:rsidRPr="009D3D20">
        <w:rPr>
          <w:w w:val="105"/>
          <w:sz w:val="12"/>
          <w:szCs w:val="12"/>
        </w:rPr>
        <w:t>Ley</w:t>
      </w:r>
      <w:r w:rsidRPr="009D3D20">
        <w:rPr>
          <w:spacing w:val="-5"/>
          <w:w w:val="105"/>
          <w:sz w:val="12"/>
          <w:szCs w:val="12"/>
        </w:rPr>
        <w:t xml:space="preserve"> </w:t>
      </w:r>
      <w:r w:rsidRPr="009D3D20">
        <w:rPr>
          <w:w w:val="105"/>
          <w:sz w:val="12"/>
          <w:szCs w:val="12"/>
        </w:rPr>
        <w:t>de</w:t>
      </w:r>
      <w:r w:rsidRPr="009D3D20">
        <w:rPr>
          <w:spacing w:val="-5"/>
          <w:w w:val="105"/>
          <w:sz w:val="12"/>
          <w:szCs w:val="12"/>
        </w:rPr>
        <w:t xml:space="preserve"> </w:t>
      </w:r>
      <w:r w:rsidRPr="009D3D20">
        <w:rPr>
          <w:w w:val="105"/>
          <w:sz w:val="12"/>
          <w:szCs w:val="12"/>
        </w:rPr>
        <w:t>Equidad</w:t>
      </w:r>
      <w:r w:rsidRPr="009D3D20">
        <w:rPr>
          <w:spacing w:val="-5"/>
          <w:w w:val="105"/>
          <w:sz w:val="12"/>
          <w:szCs w:val="12"/>
        </w:rPr>
        <w:t xml:space="preserve"> </w:t>
      </w:r>
      <w:r w:rsidRPr="009D3D20">
        <w:rPr>
          <w:w w:val="105"/>
          <w:sz w:val="12"/>
          <w:szCs w:val="12"/>
        </w:rPr>
        <w:t>en</w:t>
      </w:r>
      <w:r w:rsidRPr="009D3D20">
        <w:rPr>
          <w:spacing w:val="-4"/>
          <w:w w:val="105"/>
          <w:sz w:val="12"/>
          <w:szCs w:val="12"/>
        </w:rPr>
        <w:t xml:space="preserve"> </w:t>
      </w:r>
      <w:r w:rsidRPr="009D3D20">
        <w:rPr>
          <w:w w:val="105"/>
          <w:sz w:val="12"/>
          <w:szCs w:val="12"/>
        </w:rPr>
        <w:t>el</w:t>
      </w:r>
      <w:r w:rsidRPr="009D3D20">
        <w:rPr>
          <w:spacing w:val="-5"/>
          <w:w w:val="105"/>
          <w:sz w:val="12"/>
          <w:szCs w:val="12"/>
        </w:rPr>
        <w:t xml:space="preserve"> </w:t>
      </w:r>
      <w:r w:rsidRPr="009D3D20">
        <w:rPr>
          <w:w w:val="105"/>
          <w:sz w:val="12"/>
          <w:szCs w:val="12"/>
        </w:rPr>
        <w:t>Empleo</w:t>
      </w:r>
      <w:r w:rsidRPr="009D3D20">
        <w:rPr>
          <w:spacing w:val="-5"/>
          <w:w w:val="105"/>
          <w:sz w:val="12"/>
          <w:szCs w:val="12"/>
        </w:rPr>
        <w:t xml:space="preserve"> </w:t>
      </w:r>
      <w:r w:rsidRPr="009D3D20">
        <w:rPr>
          <w:w w:val="105"/>
          <w:sz w:val="12"/>
          <w:szCs w:val="12"/>
        </w:rPr>
        <w:t>de</w:t>
      </w:r>
      <w:r w:rsidRPr="009D3D20">
        <w:rPr>
          <w:spacing w:val="-5"/>
          <w:w w:val="105"/>
          <w:sz w:val="12"/>
          <w:szCs w:val="12"/>
        </w:rPr>
        <w:t xml:space="preserve"> </w:t>
      </w:r>
      <w:r w:rsidRPr="009D3D20">
        <w:rPr>
          <w:w w:val="105"/>
          <w:sz w:val="12"/>
          <w:szCs w:val="12"/>
        </w:rPr>
        <w:t>1998</w:t>
      </w:r>
      <w:r w:rsidRPr="009D3D20">
        <w:rPr>
          <w:spacing w:val="-4"/>
          <w:w w:val="105"/>
          <w:sz w:val="12"/>
          <w:szCs w:val="12"/>
        </w:rPr>
        <w:t xml:space="preserve"> </w:t>
      </w:r>
      <w:r w:rsidRPr="009D3D20">
        <w:rPr>
          <w:w w:val="105"/>
          <w:sz w:val="12"/>
          <w:szCs w:val="12"/>
        </w:rPr>
        <w:t>(Ley</w:t>
      </w:r>
      <w:r w:rsidRPr="009D3D20">
        <w:rPr>
          <w:spacing w:val="-5"/>
          <w:w w:val="105"/>
          <w:sz w:val="12"/>
          <w:szCs w:val="12"/>
        </w:rPr>
        <w:t xml:space="preserve"> </w:t>
      </w:r>
      <w:r w:rsidRPr="009D3D20">
        <w:rPr>
          <w:w w:val="105"/>
          <w:sz w:val="12"/>
          <w:szCs w:val="12"/>
        </w:rPr>
        <w:t>núm.</w:t>
      </w:r>
      <w:r w:rsidRPr="009D3D20">
        <w:rPr>
          <w:spacing w:val="-5"/>
          <w:w w:val="105"/>
          <w:sz w:val="12"/>
          <w:szCs w:val="12"/>
        </w:rPr>
        <w:t xml:space="preserve"> </w:t>
      </w:r>
      <w:r w:rsidRPr="009D3D20">
        <w:rPr>
          <w:spacing w:val="-4"/>
          <w:w w:val="105"/>
          <w:sz w:val="12"/>
          <w:szCs w:val="12"/>
        </w:rPr>
        <w:t>55).</w:t>
      </w:r>
    </w:p>
    <w:p w14:paraId="4D0FD8DB" w14:textId="77777777" w:rsidR="0014798C" w:rsidRPr="009D3D20" w:rsidRDefault="004E1F0B" w:rsidP="004E377C">
      <w:pPr>
        <w:spacing w:before="90" w:line="278" w:lineRule="auto"/>
        <w:ind w:left="1378" w:right="2004" w:hanging="275"/>
        <w:rPr>
          <w:sz w:val="12"/>
          <w:szCs w:val="12"/>
        </w:rPr>
      </w:pPr>
      <w:r w:rsidRPr="009D3D20">
        <w:rPr>
          <w:sz w:val="12"/>
          <w:szCs w:val="12"/>
          <w:vertAlign w:val="superscript"/>
        </w:rPr>
        <w:t>83</w:t>
      </w:r>
      <w:r w:rsidRPr="009D3D20">
        <w:rPr>
          <w:spacing w:val="71"/>
          <w:sz w:val="12"/>
          <w:szCs w:val="12"/>
        </w:rPr>
        <w:t xml:space="preserve">  </w:t>
      </w:r>
      <w:r w:rsidRPr="009D3D20">
        <w:rPr>
          <w:sz w:val="12"/>
          <w:szCs w:val="12"/>
        </w:rPr>
        <w:t xml:space="preserve">Corte Suprema de Apelaciones, </w:t>
      </w:r>
      <w:proofErr w:type="spellStart"/>
      <w:r w:rsidRPr="009D3D20">
        <w:rPr>
          <w:sz w:val="12"/>
          <w:szCs w:val="12"/>
        </w:rPr>
        <w:t>Qwelane</w:t>
      </w:r>
      <w:proofErr w:type="spellEnd"/>
      <w:r w:rsidRPr="009D3D20">
        <w:rPr>
          <w:sz w:val="12"/>
          <w:szCs w:val="12"/>
        </w:rPr>
        <w:t xml:space="preserve"> v. Comisión Sudafricana de Derechos Humanos y otro (686/2018) [2019] ZASCA 167; [2020] 1</w:t>
      </w:r>
      <w:r w:rsidRPr="009D3D20">
        <w:rPr>
          <w:spacing w:val="40"/>
          <w:sz w:val="12"/>
          <w:szCs w:val="12"/>
        </w:rPr>
        <w:t xml:space="preserve"> </w:t>
      </w:r>
      <w:r w:rsidRPr="009D3D20">
        <w:rPr>
          <w:sz w:val="12"/>
          <w:szCs w:val="12"/>
        </w:rPr>
        <w:t>Todos SA 325 (SCA); 2020 (2) SA 124 (SCA); y 2020 (3) BCLR 334 (SCA) (29 de noviembre de 2019).</w:t>
      </w:r>
    </w:p>
    <w:p w14:paraId="73FF1D7A" w14:textId="77777777" w:rsidR="0014798C" w:rsidRPr="009D3D20" w:rsidRDefault="004E1F0B" w:rsidP="004E377C">
      <w:pPr>
        <w:pStyle w:val="Prrafodelista"/>
        <w:numPr>
          <w:ilvl w:val="0"/>
          <w:numId w:val="87"/>
        </w:numPr>
        <w:spacing w:before="69"/>
        <w:ind w:left="1293" w:hanging="275"/>
        <w:rPr>
          <w:sz w:val="12"/>
          <w:szCs w:val="12"/>
        </w:rPr>
      </w:pPr>
      <w:r w:rsidRPr="009D3D20">
        <w:rPr>
          <w:sz w:val="12"/>
          <w:szCs w:val="12"/>
        </w:rPr>
        <w:t>En</w:t>
      </w:r>
      <w:r w:rsidRPr="009D3D20">
        <w:rPr>
          <w:spacing w:val="2"/>
          <w:sz w:val="12"/>
          <w:szCs w:val="12"/>
        </w:rPr>
        <w:t xml:space="preserve"> </w:t>
      </w:r>
      <w:r w:rsidRPr="009D3D20">
        <w:rPr>
          <w:sz w:val="12"/>
          <w:szCs w:val="12"/>
        </w:rPr>
        <w:t>particular,</w:t>
      </w:r>
      <w:r w:rsidRPr="009D3D20">
        <w:rPr>
          <w:spacing w:val="4"/>
          <w:sz w:val="12"/>
          <w:szCs w:val="12"/>
        </w:rPr>
        <w:t xml:space="preserve"> </w:t>
      </w:r>
      <w:r w:rsidRPr="009D3D20">
        <w:rPr>
          <w:sz w:val="12"/>
          <w:szCs w:val="12"/>
        </w:rPr>
        <w:t>el</w:t>
      </w:r>
      <w:r w:rsidRPr="009D3D20">
        <w:rPr>
          <w:spacing w:val="2"/>
          <w:sz w:val="12"/>
          <w:szCs w:val="12"/>
        </w:rPr>
        <w:t xml:space="preserve"> </w:t>
      </w:r>
      <w:r w:rsidRPr="009D3D20">
        <w:rPr>
          <w:sz w:val="12"/>
          <w:szCs w:val="12"/>
        </w:rPr>
        <w:t>Tribunal</w:t>
      </w:r>
      <w:r w:rsidRPr="009D3D20">
        <w:rPr>
          <w:spacing w:val="3"/>
          <w:sz w:val="12"/>
          <w:szCs w:val="12"/>
        </w:rPr>
        <w:t xml:space="preserve"> </w:t>
      </w:r>
      <w:r w:rsidRPr="009D3D20">
        <w:rPr>
          <w:sz w:val="12"/>
          <w:szCs w:val="12"/>
        </w:rPr>
        <w:t>concluyó</w:t>
      </w:r>
      <w:r w:rsidRPr="009D3D20">
        <w:rPr>
          <w:spacing w:val="2"/>
          <w:sz w:val="12"/>
          <w:szCs w:val="12"/>
        </w:rPr>
        <w:t xml:space="preserve"> </w:t>
      </w:r>
      <w:r w:rsidRPr="009D3D20">
        <w:rPr>
          <w:sz w:val="12"/>
          <w:szCs w:val="12"/>
        </w:rPr>
        <w:t>que</w:t>
      </w:r>
      <w:r w:rsidRPr="009D3D20">
        <w:rPr>
          <w:spacing w:val="2"/>
          <w:sz w:val="12"/>
          <w:szCs w:val="12"/>
        </w:rPr>
        <w:t xml:space="preserve"> </w:t>
      </w:r>
      <w:r w:rsidRPr="009D3D20">
        <w:rPr>
          <w:sz w:val="12"/>
          <w:szCs w:val="12"/>
        </w:rPr>
        <w:t>el</w:t>
      </w:r>
      <w:r w:rsidRPr="009D3D20">
        <w:rPr>
          <w:spacing w:val="3"/>
          <w:sz w:val="12"/>
          <w:szCs w:val="12"/>
        </w:rPr>
        <w:t xml:space="preserve"> </w:t>
      </w:r>
      <w:r w:rsidRPr="009D3D20">
        <w:rPr>
          <w:sz w:val="12"/>
          <w:szCs w:val="12"/>
        </w:rPr>
        <w:t>uso</w:t>
      </w:r>
      <w:r w:rsidRPr="009D3D20">
        <w:rPr>
          <w:spacing w:val="2"/>
          <w:sz w:val="12"/>
          <w:szCs w:val="12"/>
        </w:rPr>
        <w:t xml:space="preserve"> </w:t>
      </w:r>
      <w:r w:rsidRPr="009D3D20">
        <w:rPr>
          <w:sz w:val="12"/>
          <w:szCs w:val="12"/>
        </w:rPr>
        <w:t>de</w:t>
      </w:r>
      <w:r w:rsidRPr="009D3D20">
        <w:rPr>
          <w:spacing w:val="3"/>
          <w:sz w:val="12"/>
          <w:szCs w:val="12"/>
        </w:rPr>
        <w:t xml:space="preserve"> </w:t>
      </w:r>
      <w:r w:rsidRPr="009D3D20">
        <w:rPr>
          <w:sz w:val="12"/>
          <w:szCs w:val="12"/>
        </w:rPr>
        <w:t>la</w:t>
      </w:r>
      <w:r w:rsidRPr="009D3D20">
        <w:rPr>
          <w:spacing w:val="2"/>
          <w:sz w:val="12"/>
          <w:szCs w:val="12"/>
        </w:rPr>
        <w:t xml:space="preserve"> </w:t>
      </w:r>
      <w:r w:rsidRPr="009D3D20">
        <w:rPr>
          <w:sz w:val="12"/>
          <w:szCs w:val="12"/>
        </w:rPr>
        <w:t>palabra</w:t>
      </w:r>
      <w:r w:rsidRPr="009D3D20">
        <w:rPr>
          <w:spacing w:val="3"/>
          <w:sz w:val="12"/>
          <w:szCs w:val="12"/>
        </w:rPr>
        <w:t xml:space="preserve"> </w:t>
      </w:r>
      <w:r w:rsidRPr="009D3D20">
        <w:rPr>
          <w:sz w:val="12"/>
          <w:szCs w:val="12"/>
        </w:rPr>
        <w:t>“dañino”</w:t>
      </w:r>
      <w:r w:rsidRPr="009D3D20">
        <w:rPr>
          <w:spacing w:val="2"/>
          <w:sz w:val="12"/>
          <w:szCs w:val="12"/>
        </w:rPr>
        <w:t xml:space="preserve"> </w:t>
      </w:r>
      <w:r w:rsidRPr="009D3D20">
        <w:rPr>
          <w:sz w:val="12"/>
          <w:szCs w:val="12"/>
        </w:rPr>
        <w:t>en</w:t>
      </w:r>
      <w:r w:rsidRPr="009D3D20">
        <w:rPr>
          <w:spacing w:val="3"/>
          <w:sz w:val="12"/>
          <w:szCs w:val="12"/>
        </w:rPr>
        <w:t xml:space="preserve"> </w:t>
      </w:r>
      <w:r w:rsidRPr="009D3D20">
        <w:rPr>
          <w:sz w:val="12"/>
          <w:szCs w:val="12"/>
        </w:rPr>
        <w:t>el</w:t>
      </w:r>
      <w:r w:rsidRPr="009D3D20">
        <w:rPr>
          <w:spacing w:val="2"/>
          <w:sz w:val="12"/>
          <w:szCs w:val="12"/>
        </w:rPr>
        <w:t xml:space="preserve"> </w:t>
      </w:r>
      <w:r w:rsidRPr="009D3D20">
        <w:rPr>
          <w:sz w:val="12"/>
          <w:szCs w:val="12"/>
        </w:rPr>
        <w:t>artículo</w:t>
      </w:r>
      <w:r w:rsidRPr="009D3D20">
        <w:rPr>
          <w:spacing w:val="3"/>
          <w:sz w:val="12"/>
          <w:szCs w:val="12"/>
        </w:rPr>
        <w:t xml:space="preserve"> </w:t>
      </w:r>
      <w:r w:rsidRPr="009D3D20">
        <w:rPr>
          <w:sz w:val="12"/>
          <w:szCs w:val="12"/>
        </w:rPr>
        <w:t>10</w:t>
      </w:r>
      <w:r w:rsidRPr="009D3D20">
        <w:rPr>
          <w:spacing w:val="2"/>
          <w:sz w:val="12"/>
          <w:szCs w:val="12"/>
        </w:rPr>
        <w:t xml:space="preserve"> </w:t>
      </w:r>
      <w:r w:rsidRPr="009D3D20">
        <w:rPr>
          <w:sz w:val="12"/>
          <w:szCs w:val="12"/>
        </w:rPr>
        <w:t>(1)</w:t>
      </w:r>
      <w:r w:rsidRPr="009D3D20">
        <w:rPr>
          <w:spacing w:val="3"/>
          <w:sz w:val="12"/>
          <w:szCs w:val="12"/>
        </w:rPr>
        <w:t xml:space="preserve"> </w:t>
      </w:r>
      <w:r w:rsidRPr="009D3D20">
        <w:rPr>
          <w:sz w:val="12"/>
          <w:szCs w:val="12"/>
        </w:rPr>
        <w:t>(a)</w:t>
      </w:r>
      <w:r w:rsidRPr="009D3D20">
        <w:rPr>
          <w:spacing w:val="2"/>
          <w:sz w:val="12"/>
          <w:szCs w:val="12"/>
        </w:rPr>
        <w:t xml:space="preserve"> </w:t>
      </w:r>
      <w:r w:rsidRPr="009D3D20">
        <w:rPr>
          <w:sz w:val="12"/>
          <w:szCs w:val="12"/>
        </w:rPr>
        <w:t>era</w:t>
      </w:r>
      <w:r w:rsidRPr="009D3D20">
        <w:rPr>
          <w:spacing w:val="3"/>
          <w:sz w:val="12"/>
          <w:szCs w:val="12"/>
        </w:rPr>
        <w:t xml:space="preserve"> </w:t>
      </w:r>
      <w:r w:rsidRPr="009D3D20">
        <w:rPr>
          <w:sz w:val="12"/>
          <w:szCs w:val="12"/>
        </w:rPr>
        <w:t>demasiado</w:t>
      </w:r>
      <w:r w:rsidRPr="009D3D20">
        <w:rPr>
          <w:spacing w:val="2"/>
          <w:sz w:val="12"/>
          <w:szCs w:val="12"/>
        </w:rPr>
        <w:t xml:space="preserve"> </w:t>
      </w:r>
      <w:r w:rsidRPr="009D3D20">
        <w:rPr>
          <w:sz w:val="12"/>
          <w:szCs w:val="12"/>
        </w:rPr>
        <w:t>amplio</w:t>
      </w:r>
      <w:r w:rsidRPr="009D3D20">
        <w:rPr>
          <w:spacing w:val="3"/>
          <w:sz w:val="12"/>
          <w:szCs w:val="12"/>
        </w:rPr>
        <w:t xml:space="preserve"> </w:t>
      </w:r>
      <w:r w:rsidRPr="009D3D20">
        <w:rPr>
          <w:sz w:val="12"/>
          <w:szCs w:val="12"/>
        </w:rPr>
        <w:t>y,</w:t>
      </w:r>
      <w:r w:rsidRPr="009D3D20">
        <w:rPr>
          <w:spacing w:val="2"/>
          <w:sz w:val="12"/>
          <w:szCs w:val="12"/>
        </w:rPr>
        <w:t xml:space="preserve"> </w:t>
      </w:r>
      <w:r w:rsidRPr="009D3D20">
        <w:rPr>
          <w:sz w:val="12"/>
          <w:szCs w:val="12"/>
        </w:rPr>
        <w:t>en</w:t>
      </w:r>
      <w:r w:rsidRPr="009D3D20">
        <w:rPr>
          <w:spacing w:val="3"/>
          <w:sz w:val="12"/>
          <w:szCs w:val="12"/>
        </w:rPr>
        <w:t xml:space="preserve"> </w:t>
      </w:r>
      <w:r w:rsidRPr="009D3D20">
        <w:rPr>
          <w:sz w:val="12"/>
          <w:szCs w:val="12"/>
        </w:rPr>
        <w:t>esa</w:t>
      </w:r>
      <w:r w:rsidRPr="009D3D20">
        <w:rPr>
          <w:spacing w:val="2"/>
          <w:sz w:val="12"/>
          <w:szCs w:val="12"/>
        </w:rPr>
        <w:t xml:space="preserve"> </w:t>
      </w:r>
      <w:r w:rsidRPr="009D3D20">
        <w:rPr>
          <w:sz w:val="12"/>
          <w:szCs w:val="12"/>
        </w:rPr>
        <w:t>medida,</w:t>
      </w:r>
      <w:r w:rsidRPr="009D3D20">
        <w:rPr>
          <w:spacing w:val="4"/>
          <w:sz w:val="12"/>
          <w:szCs w:val="12"/>
        </w:rPr>
        <w:t xml:space="preserve"> </w:t>
      </w:r>
      <w:r w:rsidRPr="009D3D20">
        <w:rPr>
          <w:sz w:val="12"/>
          <w:szCs w:val="12"/>
        </w:rPr>
        <w:t>incompatible</w:t>
      </w:r>
      <w:r w:rsidRPr="009D3D20">
        <w:rPr>
          <w:spacing w:val="2"/>
          <w:sz w:val="12"/>
          <w:szCs w:val="12"/>
        </w:rPr>
        <w:t xml:space="preserve"> </w:t>
      </w:r>
      <w:r w:rsidRPr="009D3D20">
        <w:rPr>
          <w:spacing w:val="-5"/>
          <w:sz w:val="12"/>
          <w:szCs w:val="12"/>
        </w:rPr>
        <w:t>con</w:t>
      </w:r>
    </w:p>
    <w:p w14:paraId="1D1AC769" w14:textId="77777777" w:rsidR="0014798C" w:rsidRPr="009D3D20" w:rsidRDefault="004E1F0B" w:rsidP="004E377C">
      <w:pPr>
        <w:spacing w:before="31" w:line="290" w:lineRule="auto"/>
        <w:ind w:left="1366" w:right="1463" w:hanging="275"/>
        <w:rPr>
          <w:sz w:val="12"/>
          <w:szCs w:val="12"/>
        </w:rPr>
      </w:pPr>
      <w:r w:rsidRPr="009D3D20">
        <w:rPr>
          <w:sz w:val="12"/>
          <w:szCs w:val="12"/>
        </w:rPr>
        <w:t>la Constitución. La ejecución de la declaración de inconstitucionalidad se suspendió durante dos años, para que el Parlamento tuviera tiempo suficiente</w:t>
      </w:r>
      <w:r w:rsidRPr="009D3D20">
        <w:rPr>
          <w:spacing w:val="40"/>
          <w:sz w:val="12"/>
          <w:szCs w:val="12"/>
        </w:rPr>
        <w:t xml:space="preserve"> </w:t>
      </w:r>
      <w:r w:rsidRPr="009D3D20">
        <w:rPr>
          <w:sz w:val="12"/>
          <w:szCs w:val="12"/>
        </w:rPr>
        <w:t>para</w:t>
      </w:r>
      <w:r w:rsidRPr="009D3D20">
        <w:rPr>
          <w:spacing w:val="12"/>
          <w:sz w:val="12"/>
          <w:szCs w:val="12"/>
        </w:rPr>
        <w:t xml:space="preserve"> </w:t>
      </w:r>
      <w:r w:rsidRPr="009D3D20">
        <w:rPr>
          <w:sz w:val="12"/>
          <w:szCs w:val="12"/>
        </w:rPr>
        <w:t>modificar</w:t>
      </w:r>
      <w:r w:rsidRPr="009D3D20">
        <w:rPr>
          <w:spacing w:val="12"/>
          <w:sz w:val="12"/>
          <w:szCs w:val="12"/>
        </w:rPr>
        <w:t xml:space="preserve"> </w:t>
      </w:r>
      <w:r w:rsidRPr="009D3D20">
        <w:rPr>
          <w:sz w:val="12"/>
          <w:szCs w:val="12"/>
        </w:rPr>
        <w:t>la</w:t>
      </w:r>
      <w:r w:rsidRPr="009D3D20">
        <w:rPr>
          <w:spacing w:val="12"/>
          <w:sz w:val="12"/>
          <w:szCs w:val="12"/>
        </w:rPr>
        <w:t xml:space="preserve"> </w:t>
      </w:r>
      <w:r w:rsidRPr="009D3D20">
        <w:rPr>
          <w:sz w:val="12"/>
          <w:szCs w:val="12"/>
        </w:rPr>
        <w:t>parte</w:t>
      </w:r>
      <w:r w:rsidRPr="009D3D20">
        <w:rPr>
          <w:spacing w:val="12"/>
          <w:sz w:val="12"/>
          <w:szCs w:val="12"/>
        </w:rPr>
        <w:t xml:space="preserve"> </w:t>
      </w:r>
      <w:r w:rsidRPr="009D3D20">
        <w:rPr>
          <w:sz w:val="12"/>
          <w:szCs w:val="12"/>
        </w:rPr>
        <w:t>pertinente</w:t>
      </w:r>
      <w:r w:rsidRPr="009D3D20">
        <w:rPr>
          <w:spacing w:val="12"/>
          <w:sz w:val="12"/>
          <w:szCs w:val="12"/>
        </w:rPr>
        <w:t xml:space="preserve"> </w:t>
      </w:r>
      <w:r w:rsidRPr="009D3D20">
        <w:rPr>
          <w:sz w:val="12"/>
          <w:szCs w:val="12"/>
        </w:rPr>
        <w:t>del</w:t>
      </w:r>
      <w:r w:rsidRPr="009D3D20">
        <w:rPr>
          <w:spacing w:val="12"/>
          <w:sz w:val="12"/>
          <w:szCs w:val="12"/>
        </w:rPr>
        <w:t xml:space="preserve"> </w:t>
      </w:r>
      <w:r w:rsidRPr="009D3D20">
        <w:rPr>
          <w:sz w:val="12"/>
          <w:szCs w:val="12"/>
        </w:rPr>
        <w:t>artículo.</w:t>
      </w:r>
      <w:r w:rsidRPr="009D3D20">
        <w:rPr>
          <w:spacing w:val="14"/>
          <w:sz w:val="12"/>
          <w:szCs w:val="12"/>
        </w:rPr>
        <w:t xml:space="preserve"> </w:t>
      </w:r>
      <w:r w:rsidRPr="009D3D20">
        <w:rPr>
          <w:sz w:val="12"/>
          <w:szCs w:val="12"/>
        </w:rPr>
        <w:t>Véase</w:t>
      </w:r>
      <w:r w:rsidRPr="009D3D20">
        <w:rPr>
          <w:spacing w:val="12"/>
          <w:sz w:val="12"/>
          <w:szCs w:val="12"/>
        </w:rPr>
        <w:t xml:space="preserve"> </w:t>
      </w:r>
      <w:proofErr w:type="spellStart"/>
      <w:r w:rsidRPr="009D3D20">
        <w:rPr>
          <w:sz w:val="12"/>
          <w:szCs w:val="12"/>
        </w:rPr>
        <w:t>Qwelane</w:t>
      </w:r>
      <w:proofErr w:type="spellEnd"/>
      <w:r w:rsidRPr="009D3D20">
        <w:rPr>
          <w:spacing w:val="12"/>
          <w:sz w:val="12"/>
          <w:szCs w:val="12"/>
        </w:rPr>
        <w:t xml:space="preserve"> </w:t>
      </w:r>
      <w:r w:rsidRPr="009D3D20">
        <w:rPr>
          <w:sz w:val="12"/>
          <w:szCs w:val="12"/>
        </w:rPr>
        <w:t>contra</w:t>
      </w:r>
      <w:r w:rsidRPr="009D3D20">
        <w:rPr>
          <w:spacing w:val="12"/>
          <w:sz w:val="12"/>
          <w:szCs w:val="12"/>
        </w:rPr>
        <w:t xml:space="preserve"> </w:t>
      </w:r>
      <w:r w:rsidRPr="009D3D20">
        <w:rPr>
          <w:sz w:val="12"/>
          <w:szCs w:val="12"/>
        </w:rPr>
        <w:t>la</w:t>
      </w:r>
      <w:r w:rsidRPr="009D3D20">
        <w:rPr>
          <w:spacing w:val="12"/>
          <w:sz w:val="12"/>
          <w:szCs w:val="12"/>
        </w:rPr>
        <w:t xml:space="preserve"> </w:t>
      </w:r>
      <w:r w:rsidRPr="009D3D20">
        <w:rPr>
          <w:sz w:val="12"/>
          <w:szCs w:val="12"/>
        </w:rPr>
        <w:t>Comisión</w:t>
      </w:r>
      <w:r w:rsidRPr="009D3D20">
        <w:rPr>
          <w:spacing w:val="12"/>
          <w:sz w:val="12"/>
          <w:szCs w:val="12"/>
        </w:rPr>
        <w:t xml:space="preserve"> </w:t>
      </w:r>
      <w:r w:rsidRPr="009D3D20">
        <w:rPr>
          <w:sz w:val="12"/>
          <w:szCs w:val="12"/>
        </w:rPr>
        <w:t>Sudafricana</w:t>
      </w:r>
      <w:r w:rsidRPr="009D3D20">
        <w:rPr>
          <w:spacing w:val="12"/>
          <w:sz w:val="12"/>
          <w:szCs w:val="12"/>
        </w:rPr>
        <w:t xml:space="preserve"> </w:t>
      </w:r>
      <w:r w:rsidRPr="009D3D20">
        <w:rPr>
          <w:sz w:val="12"/>
          <w:szCs w:val="12"/>
        </w:rPr>
        <w:t>de</w:t>
      </w:r>
      <w:r w:rsidRPr="009D3D20">
        <w:rPr>
          <w:spacing w:val="12"/>
          <w:sz w:val="12"/>
          <w:szCs w:val="12"/>
        </w:rPr>
        <w:t xml:space="preserve"> </w:t>
      </w:r>
      <w:r w:rsidRPr="009D3D20">
        <w:rPr>
          <w:sz w:val="12"/>
          <w:szCs w:val="12"/>
        </w:rPr>
        <w:t>Derechos</w:t>
      </w:r>
      <w:r w:rsidRPr="009D3D20">
        <w:rPr>
          <w:spacing w:val="12"/>
          <w:sz w:val="12"/>
          <w:szCs w:val="12"/>
        </w:rPr>
        <w:t xml:space="preserve"> </w:t>
      </w:r>
      <w:r w:rsidRPr="009D3D20">
        <w:rPr>
          <w:sz w:val="12"/>
          <w:szCs w:val="12"/>
        </w:rPr>
        <w:t>Humanos</w:t>
      </w:r>
      <w:r w:rsidRPr="009D3D20">
        <w:rPr>
          <w:spacing w:val="12"/>
          <w:sz w:val="12"/>
          <w:szCs w:val="12"/>
        </w:rPr>
        <w:t xml:space="preserve"> </w:t>
      </w:r>
      <w:r w:rsidRPr="009D3D20">
        <w:rPr>
          <w:sz w:val="12"/>
          <w:szCs w:val="12"/>
        </w:rPr>
        <w:t>y</w:t>
      </w:r>
      <w:r w:rsidRPr="009D3D20">
        <w:rPr>
          <w:spacing w:val="12"/>
          <w:sz w:val="12"/>
          <w:szCs w:val="12"/>
        </w:rPr>
        <w:t xml:space="preserve"> </w:t>
      </w:r>
      <w:r w:rsidRPr="009D3D20">
        <w:rPr>
          <w:sz w:val="12"/>
          <w:szCs w:val="12"/>
        </w:rPr>
        <w:t>otro</w:t>
      </w:r>
      <w:r w:rsidRPr="009D3D20">
        <w:rPr>
          <w:spacing w:val="12"/>
          <w:sz w:val="12"/>
          <w:szCs w:val="12"/>
        </w:rPr>
        <w:t xml:space="preserve"> </w:t>
      </w:r>
      <w:r w:rsidRPr="009D3D20">
        <w:rPr>
          <w:sz w:val="12"/>
          <w:szCs w:val="12"/>
        </w:rPr>
        <w:t>(CCT</w:t>
      </w:r>
      <w:r w:rsidRPr="009D3D20">
        <w:rPr>
          <w:spacing w:val="14"/>
          <w:sz w:val="12"/>
          <w:szCs w:val="12"/>
        </w:rPr>
        <w:t xml:space="preserve"> </w:t>
      </w:r>
      <w:r w:rsidRPr="009D3D20">
        <w:rPr>
          <w:sz w:val="12"/>
          <w:szCs w:val="12"/>
        </w:rPr>
        <w:t>13/20)</w:t>
      </w:r>
      <w:r w:rsidRPr="009D3D20">
        <w:rPr>
          <w:spacing w:val="12"/>
          <w:sz w:val="12"/>
          <w:szCs w:val="12"/>
        </w:rPr>
        <w:t xml:space="preserve"> </w:t>
      </w:r>
      <w:r w:rsidRPr="009D3D20">
        <w:rPr>
          <w:sz w:val="12"/>
          <w:szCs w:val="12"/>
        </w:rPr>
        <w:t>[2021]</w:t>
      </w:r>
    </w:p>
    <w:p w14:paraId="2760C4D0" w14:textId="77777777" w:rsidR="0014798C" w:rsidRPr="009D3D20" w:rsidRDefault="004E1F0B" w:rsidP="004E377C">
      <w:pPr>
        <w:spacing w:line="147" w:lineRule="exact"/>
        <w:ind w:left="1366" w:hanging="275"/>
        <w:rPr>
          <w:sz w:val="12"/>
          <w:szCs w:val="12"/>
        </w:rPr>
      </w:pPr>
      <w:r w:rsidRPr="009D3D20">
        <w:rPr>
          <w:sz w:val="12"/>
          <w:szCs w:val="12"/>
        </w:rPr>
        <w:t>ZACC</w:t>
      </w:r>
      <w:r w:rsidRPr="009D3D20">
        <w:rPr>
          <w:spacing w:val="-9"/>
          <w:sz w:val="12"/>
          <w:szCs w:val="12"/>
        </w:rPr>
        <w:t xml:space="preserve"> </w:t>
      </w:r>
      <w:r w:rsidRPr="009D3D20">
        <w:rPr>
          <w:sz w:val="12"/>
          <w:szCs w:val="12"/>
        </w:rPr>
        <w:t>22;</w:t>
      </w:r>
      <w:r w:rsidRPr="009D3D20">
        <w:rPr>
          <w:spacing w:val="-9"/>
          <w:sz w:val="12"/>
          <w:szCs w:val="12"/>
        </w:rPr>
        <w:t xml:space="preserve"> </w:t>
      </w:r>
      <w:r w:rsidRPr="009D3D20">
        <w:rPr>
          <w:sz w:val="12"/>
          <w:szCs w:val="12"/>
        </w:rPr>
        <w:t>2021</w:t>
      </w:r>
      <w:r w:rsidRPr="009D3D20">
        <w:rPr>
          <w:spacing w:val="-8"/>
          <w:sz w:val="12"/>
          <w:szCs w:val="12"/>
        </w:rPr>
        <w:t xml:space="preserve"> </w:t>
      </w:r>
      <w:r w:rsidRPr="009D3D20">
        <w:rPr>
          <w:sz w:val="12"/>
          <w:szCs w:val="12"/>
        </w:rPr>
        <w:t>(6)</w:t>
      </w:r>
      <w:r w:rsidRPr="009D3D20">
        <w:rPr>
          <w:spacing w:val="-9"/>
          <w:sz w:val="12"/>
          <w:szCs w:val="12"/>
        </w:rPr>
        <w:t xml:space="preserve"> </w:t>
      </w:r>
      <w:r w:rsidRPr="009D3D20">
        <w:rPr>
          <w:sz w:val="12"/>
          <w:szCs w:val="12"/>
        </w:rPr>
        <w:t>SA</w:t>
      </w:r>
      <w:r w:rsidRPr="009D3D20">
        <w:rPr>
          <w:spacing w:val="-9"/>
          <w:sz w:val="12"/>
          <w:szCs w:val="12"/>
        </w:rPr>
        <w:t xml:space="preserve"> </w:t>
      </w:r>
      <w:r w:rsidRPr="009D3D20">
        <w:rPr>
          <w:sz w:val="12"/>
          <w:szCs w:val="12"/>
        </w:rPr>
        <w:t>579</w:t>
      </w:r>
      <w:r w:rsidRPr="009D3D20">
        <w:rPr>
          <w:spacing w:val="-9"/>
          <w:sz w:val="12"/>
          <w:szCs w:val="12"/>
        </w:rPr>
        <w:t xml:space="preserve"> </w:t>
      </w:r>
      <w:r w:rsidRPr="009D3D20">
        <w:rPr>
          <w:sz w:val="12"/>
          <w:szCs w:val="12"/>
        </w:rPr>
        <w:t>(CC);</w:t>
      </w:r>
      <w:r w:rsidRPr="009D3D20">
        <w:rPr>
          <w:spacing w:val="-8"/>
          <w:sz w:val="12"/>
          <w:szCs w:val="12"/>
        </w:rPr>
        <w:t xml:space="preserve"> </w:t>
      </w:r>
      <w:r w:rsidRPr="009D3D20">
        <w:rPr>
          <w:sz w:val="12"/>
          <w:szCs w:val="12"/>
        </w:rPr>
        <w:t>2022</w:t>
      </w:r>
      <w:r w:rsidRPr="009D3D20">
        <w:rPr>
          <w:spacing w:val="-9"/>
          <w:sz w:val="12"/>
          <w:szCs w:val="12"/>
        </w:rPr>
        <w:t xml:space="preserve"> </w:t>
      </w:r>
      <w:r w:rsidRPr="009D3D20">
        <w:rPr>
          <w:sz w:val="12"/>
          <w:szCs w:val="12"/>
        </w:rPr>
        <w:t>(2)</w:t>
      </w:r>
      <w:r w:rsidRPr="009D3D20">
        <w:rPr>
          <w:spacing w:val="-9"/>
          <w:sz w:val="12"/>
          <w:szCs w:val="12"/>
        </w:rPr>
        <w:t xml:space="preserve"> </w:t>
      </w:r>
      <w:r w:rsidRPr="009D3D20">
        <w:rPr>
          <w:sz w:val="12"/>
          <w:szCs w:val="12"/>
        </w:rPr>
        <w:t>BCLR</w:t>
      </w:r>
      <w:r w:rsidRPr="009D3D20">
        <w:rPr>
          <w:spacing w:val="-9"/>
          <w:sz w:val="12"/>
          <w:szCs w:val="12"/>
        </w:rPr>
        <w:t xml:space="preserve"> </w:t>
      </w:r>
      <w:r w:rsidRPr="009D3D20">
        <w:rPr>
          <w:sz w:val="12"/>
          <w:szCs w:val="12"/>
        </w:rPr>
        <w:t>129</w:t>
      </w:r>
      <w:r w:rsidRPr="009D3D20">
        <w:rPr>
          <w:spacing w:val="-9"/>
          <w:sz w:val="12"/>
          <w:szCs w:val="12"/>
        </w:rPr>
        <w:t xml:space="preserve"> </w:t>
      </w:r>
      <w:r w:rsidRPr="009D3D20">
        <w:rPr>
          <w:sz w:val="12"/>
          <w:szCs w:val="12"/>
        </w:rPr>
        <w:t>(CC)</w:t>
      </w:r>
      <w:r w:rsidRPr="009D3D20">
        <w:rPr>
          <w:spacing w:val="-9"/>
          <w:sz w:val="12"/>
          <w:szCs w:val="12"/>
        </w:rPr>
        <w:t xml:space="preserve"> </w:t>
      </w:r>
      <w:r w:rsidRPr="009D3D20">
        <w:rPr>
          <w:sz w:val="12"/>
          <w:szCs w:val="12"/>
        </w:rPr>
        <w:t>(31</w:t>
      </w:r>
      <w:r w:rsidRPr="009D3D20">
        <w:rPr>
          <w:spacing w:val="-9"/>
          <w:sz w:val="12"/>
          <w:szCs w:val="12"/>
        </w:rPr>
        <w:t xml:space="preserve"> </w:t>
      </w:r>
      <w:r w:rsidRPr="009D3D20">
        <w:rPr>
          <w:sz w:val="12"/>
          <w:szCs w:val="12"/>
        </w:rPr>
        <w:t>de</w:t>
      </w:r>
      <w:r w:rsidRPr="009D3D20">
        <w:rPr>
          <w:spacing w:val="-8"/>
          <w:sz w:val="12"/>
          <w:szCs w:val="12"/>
        </w:rPr>
        <w:t xml:space="preserve"> </w:t>
      </w:r>
      <w:r w:rsidRPr="009D3D20">
        <w:rPr>
          <w:sz w:val="12"/>
          <w:szCs w:val="12"/>
        </w:rPr>
        <w:t>julio</w:t>
      </w:r>
      <w:r w:rsidRPr="009D3D20">
        <w:rPr>
          <w:spacing w:val="-9"/>
          <w:sz w:val="12"/>
          <w:szCs w:val="12"/>
        </w:rPr>
        <w:t xml:space="preserve"> </w:t>
      </w:r>
      <w:r w:rsidRPr="009D3D20">
        <w:rPr>
          <w:sz w:val="12"/>
          <w:szCs w:val="12"/>
        </w:rPr>
        <w:t>de</w:t>
      </w:r>
      <w:r w:rsidRPr="009D3D20">
        <w:rPr>
          <w:spacing w:val="-9"/>
          <w:sz w:val="12"/>
          <w:szCs w:val="12"/>
        </w:rPr>
        <w:t xml:space="preserve"> </w:t>
      </w:r>
      <w:r w:rsidRPr="009D3D20">
        <w:rPr>
          <w:spacing w:val="-2"/>
          <w:sz w:val="12"/>
          <w:szCs w:val="12"/>
        </w:rPr>
        <w:t>2021).</w:t>
      </w:r>
    </w:p>
    <w:p w14:paraId="466B25D8" w14:textId="77777777" w:rsidR="0014798C" w:rsidRPr="009D3D20" w:rsidRDefault="004E1F0B" w:rsidP="004E377C">
      <w:pPr>
        <w:pStyle w:val="Prrafodelista"/>
        <w:numPr>
          <w:ilvl w:val="0"/>
          <w:numId w:val="87"/>
        </w:numPr>
        <w:spacing w:before="106"/>
        <w:ind w:left="1268" w:hanging="275"/>
        <w:rPr>
          <w:sz w:val="12"/>
          <w:szCs w:val="12"/>
        </w:rPr>
      </w:pPr>
      <w:r w:rsidRPr="009D3D20">
        <w:rPr>
          <w:w w:val="105"/>
          <w:sz w:val="12"/>
          <w:szCs w:val="12"/>
        </w:rPr>
        <w:t>Ley</w:t>
      </w:r>
      <w:r w:rsidRPr="009D3D20">
        <w:rPr>
          <w:spacing w:val="-7"/>
          <w:w w:val="105"/>
          <w:sz w:val="12"/>
          <w:szCs w:val="12"/>
        </w:rPr>
        <w:t xml:space="preserve"> </w:t>
      </w:r>
      <w:r w:rsidRPr="009D3D20">
        <w:rPr>
          <w:w w:val="105"/>
          <w:sz w:val="12"/>
          <w:szCs w:val="12"/>
        </w:rPr>
        <w:t>de</w:t>
      </w:r>
      <w:r w:rsidRPr="009D3D20">
        <w:rPr>
          <w:spacing w:val="-7"/>
          <w:w w:val="105"/>
          <w:sz w:val="12"/>
          <w:szCs w:val="12"/>
        </w:rPr>
        <w:t xml:space="preserve"> </w:t>
      </w:r>
      <w:r w:rsidRPr="009D3D20">
        <w:rPr>
          <w:w w:val="105"/>
          <w:sz w:val="12"/>
          <w:szCs w:val="12"/>
        </w:rPr>
        <w:t>Promoción</w:t>
      </w:r>
      <w:r w:rsidRPr="009D3D20">
        <w:rPr>
          <w:spacing w:val="-6"/>
          <w:w w:val="105"/>
          <w:sz w:val="12"/>
          <w:szCs w:val="12"/>
        </w:rPr>
        <w:t xml:space="preserve"> </w:t>
      </w:r>
      <w:r w:rsidRPr="009D3D20">
        <w:rPr>
          <w:w w:val="105"/>
          <w:sz w:val="12"/>
          <w:szCs w:val="12"/>
        </w:rPr>
        <w:t>de</w:t>
      </w:r>
      <w:r w:rsidRPr="009D3D20">
        <w:rPr>
          <w:spacing w:val="-7"/>
          <w:w w:val="105"/>
          <w:sz w:val="12"/>
          <w:szCs w:val="12"/>
        </w:rPr>
        <w:t xml:space="preserve"> </w:t>
      </w:r>
      <w:r w:rsidRPr="009D3D20">
        <w:rPr>
          <w:w w:val="105"/>
          <w:sz w:val="12"/>
          <w:szCs w:val="12"/>
        </w:rPr>
        <w:t>la</w:t>
      </w:r>
      <w:r w:rsidRPr="009D3D20">
        <w:rPr>
          <w:spacing w:val="-6"/>
          <w:w w:val="105"/>
          <w:sz w:val="12"/>
          <w:szCs w:val="12"/>
        </w:rPr>
        <w:t xml:space="preserve"> </w:t>
      </w:r>
      <w:r w:rsidRPr="009D3D20">
        <w:rPr>
          <w:w w:val="105"/>
          <w:sz w:val="12"/>
          <w:szCs w:val="12"/>
        </w:rPr>
        <w:t>Igualdad</w:t>
      </w:r>
      <w:r w:rsidRPr="009D3D20">
        <w:rPr>
          <w:spacing w:val="-7"/>
          <w:w w:val="105"/>
          <w:sz w:val="12"/>
          <w:szCs w:val="12"/>
        </w:rPr>
        <w:t xml:space="preserve"> </w:t>
      </w:r>
      <w:r w:rsidRPr="009D3D20">
        <w:rPr>
          <w:w w:val="105"/>
          <w:sz w:val="12"/>
          <w:szCs w:val="12"/>
        </w:rPr>
        <w:t>y</w:t>
      </w:r>
      <w:r w:rsidRPr="009D3D20">
        <w:rPr>
          <w:spacing w:val="-6"/>
          <w:w w:val="105"/>
          <w:sz w:val="12"/>
          <w:szCs w:val="12"/>
        </w:rPr>
        <w:t xml:space="preserve"> </w:t>
      </w:r>
      <w:r w:rsidRPr="009D3D20">
        <w:rPr>
          <w:w w:val="105"/>
          <w:sz w:val="12"/>
          <w:szCs w:val="12"/>
        </w:rPr>
        <w:t>Prevención</w:t>
      </w:r>
      <w:r w:rsidRPr="009D3D20">
        <w:rPr>
          <w:spacing w:val="-7"/>
          <w:w w:val="105"/>
          <w:sz w:val="12"/>
          <w:szCs w:val="12"/>
        </w:rPr>
        <w:t xml:space="preserve"> </w:t>
      </w:r>
      <w:r w:rsidRPr="009D3D20">
        <w:rPr>
          <w:w w:val="105"/>
          <w:sz w:val="12"/>
          <w:szCs w:val="12"/>
        </w:rPr>
        <w:t>de</w:t>
      </w:r>
      <w:r w:rsidRPr="009D3D20">
        <w:rPr>
          <w:spacing w:val="-7"/>
          <w:w w:val="105"/>
          <w:sz w:val="12"/>
          <w:szCs w:val="12"/>
        </w:rPr>
        <w:t xml:space="preserve"> </w:t>
      </w:r>
      <w:r w:rsidRPr="009D3D20">
        <w:rPr>
          <w:w w:val="105"/>
          <w:sz w:val="12"/>
          <w:szCs w:val="12"/>
        </w:rPr>
        <w:t>la</w:t>
      </w:r>
      <w:r w:rsidRPr="009D3D20">
        <w:rPr>
          <w:spacing w:val="-6"/>
          <w:w w:val="105"/>
          <w:sz w:val="12"/>
          <w:szCs w:val="12"/>
        </w:rPr>
        <w:t xml:space="preserve"> </w:t>
      </w:r>
      <w:r w:rsidRPr="009D3D20">
        <w:rPr>
          <w:w w:val="105"/>
          <w:sz w:val="12"/>
          <w:szCs w:val="12"/>
        </w:rPr>
        <w:t>Discriminación</w:t>
      </w:r>
      <w:r w:rsidRPr="009D3D20">
        <w:rPr>
          <w:spacing w:val="-7"/>
          <w:w w:val="105"/>
          <w:sz w:val="12"/>
          <w:szCs w:val="12"/>
        </w:rPr>
        <w:t xml:space="preserve"> </w:t>
      </w:r>
      <w:r w:rsidRPr="009D3D20">
        <w:rPr>
          <w:w w:val="105"/>
          <w:sz w:val="12"/>
          <w:szCs w:val="12"/>
        </w:rPr>
        <w:t>Injusta,</w:t>
      </w:r>
      <w:r w:rsidRPr="009D3D20">
        <w:rPr>
          <w:spacing w:val="-6"/>
          <w:w w:val="105"/>
          <w:sz w:val="12"/>
          <w:szCs w:val="12"/>
        </w:rPr>
        <w:t xml:space="preserve"> </w:t>
      </w:r>
      <w:r w:rsidRPr="009D3D20">
        <w:rPr>
          <w:w w:val="105"/>
          <w:sz w:val="12"/>
          <w:szCs w:val="12"/>
        </w:rPr>
        <w:t>art.</w:t>
      </w:r>
      <w:r w:rsidRPr="009D3D20">
        <w:rPr>
          <w:spacing w:val="-7"/>
          <w:w w:val="105"/>
          <w:sz w:val="12"/>
          <w:szCs w:val="12"/>
        </w:rPr>
        <w:t xml:space="preserve"> </w:t>
      </w:r>
      <w:r w:rsidRPr="009D3D20">
        <w:rPr>
          <w:w w:val="105"/>
          <w:sz w:val="12"/>
          <w:szCs w:val="12"/>
        </w:rPr>
        <w:t>20</w:t>
      </w:r>
      <w:r w:rsidRPr="009D3D20">
        <w:rPr>
          <w:spacing w:val="-6"/>
          <w:w w:val="105"/>
          <w:sz w:val="12"/>
          <w:szCs w:val="12"/>
        </w:rPr>
        <w:t xml:space="preserve"> </w:t>
      </w:r>
      <w:r w:rsidRPr="009D3D20">
        <w:rPr>
          <w:w w:val="105"/>
          <w:sz w:val="12"/>
          <w:szCs w:val="12"/>
        </w:rPr>
        <w:t>(1)</w:t>
      </w:r>
      <w:r w:rsidRPr="009D3D20">
        <w:rPr>
          <w:spacing w:val="-7"/>
          <w:w w:val="105"/>
          <w:sz w:val="12"/>
          <w:szCs w:val="12"/>
        </w:rPr>
        <w:t xml:space="preserve"> </w:t>
      </w:r>
      <w:r w:rsidRPr="009D3D20">
        <w:rPr>
          <w:spacing w:val="-4"/>
          <w:w w:val="105"/>
          <w:sz w:val="12"/>
          <w:szCs w:val="12"/>
        </w:rPr>
        <w:t>(d).</w:t>
      </w:r>
    </w:p>
    <w:p w14:paraId="1797B7D9" w14:textId="77777777" w:rsidR="0014798C" w:rsidRDefault="0014798C">
      <w:pPr>
        <w:pStyle w:val="Textoindependiente"/>
        <w:rPr>
          <w:sz w:val="19"/>
        </w:rPr>
      </w:pPr>
    </w:p>
    <w:p w14:paraId="3274B448" w14:textId="77777777" w:rsidR="0014798C" w:rsidRDefault="0014798C">
      <w:pPr>
        <w:pStyle w:val="Textoindependiente"/>
        <w:spacing w:before="202"/>
        <w:rPr>
          <w:sz w:val="19"/>
        </w:rPr>
      </w:pPr>
    </w:p>
    <w:p w14:paraId="42350DB1" w14:textId="77777777" w:rsidR="0014798C" w:rsidRDefault="004E1F0B">
      <w:pPr>
        <w:ind w:right="718"/>
        <w:jc w:val="right"/>
        <w:rPr>
          <w:sz w:val="19"/>
        </w:rPr>
      </w:pPr>
      <w:r>
        <w:rPr>
          <w:spacing w:val="-10"/>
          <w:sz w:val="19"/>
        </w:rPr>
        <w:t>9</w:t>
      </w:r>
    </w:p>
    <w:p w14:paraId="085B097C" w14:textId="77777777" w:rsidR="0014798C" w:rsidRDefault="0014798C">
      <w:pPr>
        <w:jc w:val="right"/>
        <w:rPr>
          <w:sz w:val="19"/>
        </w:rPr>
        <w:sectPr w:rsidR="0014798C" w:rsidSect="00F265E4">
          <w:pgSz w:w="11900" w:h="16820"/>
          <w:pgMar w:top="340" w:right="0" w:bottom="280" w:left="200" w:header="121" w:footer="0" w:gutter="0"/>
          <w:cols w:space="720"/>
        </w:sectPr>
      </w:pPr>
    </w:p>
    <w:p w14:paraId="278786C8" w14:textId="77777777" w:rsidR="0014798C" w:rsidRDefault="0014798C">
      <w:pPr>
        <w:pStyle w:val="Textoindependiente"/>
        <w:spacing w:before="90"/>
        <w:rPr>
          <w:sz w:val="12"/>
        </w:rPr>
      </w:pPr>
    </w:p>
    <w:p w14:paraId="154A6AFE" w14:textId="77777777" w:rsidR="0014798C" w:rsidRDefault="004E1F0B">
      <w:pPr>
        <w:spacing w:before="1"/>
        <w:ind w:left="1111"/>
        <w:rPr>
          <w:sz w:val="12"/>
        </w:rPr>
      </w:pPr>
      <w:r>
        <w:rPr>
          <w:color w:val="009EDB"/>
          <w:sz w:val="12"/>
        </w:rPr>
        <w:t>PROTECCIÓN</w:t>
      </w:r>
      <w:r>
        <w:rPr>
          <w:color w:val="009EDB"/>
          <w:spacing w:val="6"/>
          <w:sz w:val="12"/>
        </w:rPr>
        <w:t xml:space="preserve"> </w:t>
      </w:r>
      <w:r>
        <w:rPr>
          <w:color w:val="009EDB"/>
          <w:sz w:val="12"/>
        </w:rPr>
        <w:t>DE</w:t>
      </w:r>
      <w:r>
        <w:rPr>
          <w:color w:val="009EDB"/>
          <w:spacing w:val="7"/>
          <w:sz w:val="12"/>
        </w:rPr>
        <w:t xml:space="preserve"> </w:t>
      </w:r>
      <w:r>
        <w:rPr>
          <w:color w:val="009EDB"/>
          <w:sz w:val="12"/>
        </w:rPr>
        <w:t>LOS</w:t>
      </w:r>
      <w:r>
        <w:rPr>
          <w:color w:val="009EDB"/>
          <w:spacing w:val="8"/>
          <w:sz w:val="12"/>
        </w:rPr>
        <w:t xml:space="preserve"> </w:t>
      </w:r>
      <w:r>
        <w:rPr>
          <w:color w:val="009EDB"/>
          <w:sz w:val="12"/>
        </w:rPr>
        <w:t>DERECHOS</w:t>
      </w:r>
      <w:r>
        <w:rPr>
          <w:color w:val="009EDB"/>
          <w:spacing w:val="8"/>
          <w:sz w:val="12"/>
        </w:rPr>
        <w:t xml:space="preserve"> </w:t>
      </w:r>
      <w:r>
        <w:rPr>
          <w:color w:val="009EDB"/>
          <w:sz w:val="12"/>
        </w:rPr>
        <w:t>DE</w:t>
      </w:r>
      <w:r>
        <w:rPr>
          <w:color w:val="009EDB"/>
          <w:spacing w:val="6"/>
          <w:sz w:val="12"/>
        </w:rPr>
        <w:t xml:space="preserve"> </w:t>
      </w:r>
      <w:r>
        <w:rPr>
          <w:color w:val="009EDB"/>
          <w:sz w:val="12"/>
        </w:rPr>
        <w:t>LAS</w:t>
      </w:r>
      <w:r>
        <w:rPr>
          <w:color w:val="009EDB"/>
          <w:spacing w:val="7"/>
          <w:sz w:val="12"/>
        </w:rPr>
        <w:t xml:space="preserve"> </w:t>
      </w:r>
      <w:r>
        <w:rPr>
          <w:color w:val="009EDB"/>
          <w:sz w:val="12"/>
        </w:rPr>
        <w:t>MINORÍAS:</w:t>
      </w:r>
      <w:r>
        <w:rPr>
          <w:color w:val="009EDB"/>
          <w:spacing w:val="8"/>
          <w:sz w:val="12"/>
        </w:rPr>
        <w:t xml:space="preserve"> </w:t>
      </w:r>
      <w:r>
        <w:rPr>
          <w:color w:val="009EDB"/>
          <w:sz w:val="12"/>
        </w:rPr>
        <w:t>una</w:t>
      </w:r>
      <w:r>
        <w:rPr>
          <w:color w:val="009EDB"/>
          <w:spacing w:val="7"/>
          <w:sz w:val="12"/>
        </w:rPr>
        <w:t xml:space="preserve"> </w:t>
      </w:r>
      <w:r>
        <w:rPr>
          <w:color w:val="009EDB"/>
          <w:sz w:val="12"/>
        </w:rPr>
        <w:t>guía</w:t>
      </w:r>
      <w:r>
        <w:rPr>
          <w:color w:val="009EDB"/>
          <w:spacing w:val="6"/>
          <w:sz w:val="12"/>
        </w:rPr>
        <w:t xml:space="preserve"> </w:t>
      </w:r>
      <w:r>
        <w:rPr>
          <w:color w:val="009EDB"/>
          <w:sz w:val="12"/>
        </w:rPr>
        <w:t>práctica</w:t>
      </w:r>
      <w:r>
        <w:rPr>
          <w:color w:val="009EDB"/>
          <w:spacing w:val="7"/>
          <w:sz w:val="12"/>
        </w:rPr>
        <w:t xml:space="preserve"> </w:t>
      </w:r>
      <w:r>
        <w:rPr>
          <w:color w:val="009EDB"/>
          <w:sz w:val="12"/>
        </w:rPr>
        <w:t>para</w:t>
      </w:r>
      <w:r>
        <w:rPr>
          <w:color w:val="009EDB"/>
          <w:spacing w:val="8"/>
          <w:sz w:val="12"/>
        </w:rPr>
        <w:t xml:space="preserve"> </w:t>
      </w:r>
      <w:r>
        <w:rPr>
          <w:color w:val="009EDB"/>
          <w:sz w:val="12"/>
        </w:rPr>
        <w:t>desarrollar</w:t>
      </w:r>
      <w:r>
        <w:rPr>
          <w:color w:val="009EDB"/>
          <w:spacing w:val="6"/>
          <w:sz w:val="12"/>
        </w:rPr>
        <w:t xml:space="preserve"> </w:t>
      </w:r>
      <w:r>
        <w:rPr>
          <w:color w:val="009EDB"/>
          <w:sz w:val="12"/>
        </w:rPr>
        <w:t>una</w:t>
      </w:r>
      <w:r>
        <w:rPr>
          <w:color w:val="009EDB"/>
          <w:spacing w:val="7"/>
          <w:sz w:val="12"/>
        </w:rPr>
        <w:t xml:space="preserve"> </w:t>
      </w:r>
      <w:r>
        <w:rPr>
          <w:color w:val="009EDB"/>
          <w:sz w:val="12"/>
        </w:rPr>
        <w:t>legislación</w:t>
      </w:r>
      <w:r>
        <w:rPr>
          <w:color w:val="009EDB"/>
          <w:spacing w:val="8"/>
          <w:sz w:val="12"/>
        </w:rPr>
        <w:t xml:space="preserve"> </w:t>
      </w:r>
      <w:r>
        <w:rPr>
          <w:color w:val="009EDB"/>
          <w:sz w:val="12"/>
        </w:rPr>
        <w:t>integral</w:t>
      </w:r>
      <w:r>
        <w:rPr>
          <w:color w:val="009EDB"/>
          <w:spacing w:val="7"/>
          <w:sz w:val="12"/>
        </w:rPr>
        <w:t xml:space="preserve"> </w:t>
      </w:r>
      <w:r>
        <w:rPr>
          <w:color w:val="009EDB"/>
          <w:sz w:val="12"/>
        </w:rPr>
        <w:t>contra</w:t>
      </w:r>
      <w:r>
        <w:rPr>
          <w:color w:val="009EDB"/>
          <w:spacing w:val="6"/>
          <w:sz w:val="12"/>
        </w:rPr>
        <w:t xml:space="preserve"> </w:t>
      </w:r>
      <w:r>
        <w:rPr>
          <w:color w:val="009EDB"/>
          <w:sz w:val="12"/>
        </w:rPr>
        <w:t>la</w:t>
      </w:r>
      <w:r>
        <w:rPr>
          <w:color w:val="009EDB"/>
          <w:spacing w:val="7"/>
          <w:sz w:val="12"/>
        </w:rPr>
        <w:t xml:space="preserve"> </w:t>
      </w:r>
      <w:r>
        <w:rPr>
          <w:color w:val="009EDB"/>
          <w:spacing w:val="-2"/>
          <w:sz w:val="12"/>
        </w:rPr>
        <w:t>discriminación</w:t>
      </w:r>
    </w:p>
    <w:p w14:paraId="62F75EEC" w14:textId="77777777" w:rsidR="0014798C" w:rsidRDefault="0014798C">
      <w:pPr>
        <w:pStyle w:val="Textoindependiente"/>
        <w:rPr>
          <w:sz w:val="31"/>
        </w:rPr>
      </w:pPr>
    </w:p>
    <w:p w14:paraId="47017CF8" w14:textId="77777777" w:rsidR="0014798C" w:rsidRDefault="0014798C">
      <w:pPr>
        <w:pStyle w:val="Textoindependiente"/>
        <w:spacing w:before="212"/>
        <w:rPr>
          <w:sz w:val="31"/>
        </w:rPr>
      </w:pPr>
    </w:p>
    <w:p w14:paraId="1F240BE4" w14:textId="77777777" w:rsidR="0014798C" w:rsidRDefault="004E1F0B">
      <w:pPr>
        <w:pStyle w:val="Prrafodelista"/>
        <w:numPr>
          <w:ilvl w:val="1"/>
          <w:numId w:val="93"/>
        </w:numPr>
        <w:tabs>
          <w:tab w:val="left" w:pos="1496"/>
        </w:tabs>
        <w:spacing w:before="1"/>
        <w:ind w:left="1496" w:hanging="376"/>
        <w:rPr>
          <w:color w:val="009EDB"/>
          <w:sz w:val="31"/>
        </w:rPr>
      </w:pPr>
      <w:r>
        <w:rPr>
          <w:color w:val="009EDB"/>
          <w:sz w:val="31"/>
        </w:rPr>
        <w:t>Las</w:t>
      </w:r>
      <w:r>
        <w:rPr>
          <w:color w:val="009EDB"/>
          <w:spacing w:val="-6"/>
          <w:sz w:val="31"/>
        </w:rPr>
        <w:t xml:space="preserve"> </w:t>
      </w:r>
      <w:r>
        <w:rPr>
          <w:color w:val="009EDB"/>
          <w:spacing w:val="-2"/>
          <w:sz w:val="31"/>
        </w:rPr>
        <w:t>Américas</w:t>
      </w:r>
    </w:p>
    <w:p w14:paraId="44E8DC7B" w14:textId="77777777" w:rsidR="0014798C" w:rsidRDefault="0014798C">
      <w:pPr>
        <w:pStyle w:val="Textoindependiente"/>
        <w:spacing w:before="51"/>
      </w:pPr>
    </w:p>
    <w:p w14:paraId="345F2C6E" w14:textId="77777777" w:rsidR="0014798C" w:rsidRDefault="004E1F0B">
      <w:pPr>
        <w:pStyle w:val="Textoindependiente"/>
        <w:spacing w:before="1" w:line="326" w:lineRule="auto"/>
        <w:ind w:left="1107" w:right="1399" w:hanging="1"/>
      </w:pPr>
      <w:r>
        <w:t>El artículo 2 de la Convención Americana sobre Derechos Humanos establece la obligación de adoptar todas “las medidas legislativas</w:t>
      </w:r>
      <w:r>
        <w:rPr>
          <w:spacing w:val="10"/>
        </w:rPr>
        <w:t xml:space="preserve"> </w:t>
      </w:r>
      <w:r>
        <w:t>o</w:t>
      </w:r>
      <w:r>
        <w:rPr>
          <w:spacing w:val="10"/>
        </w:rPr>
        <w:t xml:space="preserve"> </w:t>
      </w:r>
      <w:r>
        <w:t>de</w:t>
      </w:r>
      <w:r>
        <w:rPr>
          <w:spacing w:val="10"/>
        </w:rPr>
        <w:t xml:space="preserve"> </w:t>
      </w:r>
      <w:r>
        <w:t>otra</w:t>
      </w:r>
      <w:r>
        <w:rPr>
          <w:spacing w:val="10"/>
        </w:rPr>
        <w:t xml:space="preserve"> </w:t>
      </w:r>
      <w:r>
        <w:t>índole</w:t>
      </w:r>
      <w:r>
        <w:rPr>
          <w:spacing w:val="10"/>
        </w:rPr>
        <w:t xml:space="preserve"> </w:t>
      </w:r>
      <w:r>
        <w:t>que</w:t>
      </w:r>
      <w:r>
        <w:rPr>
          <w:spacing w:val="10"/>
        </w:rPr>
        <w:t xml:space="preserve"> </w:t>
      </w:r>
      <w:r>
        <w:t>sean</w:t>
      </w:r>
      <w:r>
        <w:rPr>
          <w:spacing w:val="10"/>
        </w:rPr>
        <w:t xml:space="preserve"> </w:t>
      </w:r>
      <w:r>
        <w:t>necesarias</w:t>
      </w:r>
      <w:r>
        <w:rPr>
          <w:spacing w:val="10"/>
        </w:rPr>
        <w:t xml:space="preserve"> </w:t>
      </w:r>
      <w:r>
        <w:t>para</w:t>
      </w:r>
      <w:r>
        <w:rPr>
          <w:spacing w:val="10"/>
        </w:rPr>
        <w:t xml:space="preserve"> </w:t>
      </w:r>
      <w:r>
        <w:t>hacer</w:t>
      </w:r>
      <w:r>
        <w:rPr>
          <w:spacing w:val="10"/>
        </w:rPr>
        <w:t xml:space="preserve"> </w:t>
      </w:r>
      <w:r>
        <w:t>efectivos</w:t>
      </w:r>
      <w:r>
        <w:rPr>
          <w:spacing w:val="10"/>
        </w:rPr>
        <w:t xml:space="preserve"> </w:t>
      </w:r>
      <w:r>
        <w:t>los</w:t>
      </w:r>
      <w:r>
        <w:rPr>
          <w:spacing w:val="10"/>
        </w:rPr>
        <w:t xml:space="preserve"> </w:t>
      </w:r>
      <w:r>
        <w:t>derechos</w:t>
      </w:r>
      <w:r>
        <w:rPr>
          <w:spacing w:val="10"/>
        </w:rPr>
        <w:t xml:space="preserve"> </w:t>
      </w:r>
      <w:r>
        <w:t>o</w:t>
      </w:r>
      <w:r>
        <w:rPr>
          <w:spacing w:val="10"/>
        </w:rPr>
        <w:t xml:space="preserve"> </w:t>
      </w:r>
      <w:r>
        <w:t>libertades”</w:t>
      </w:r>
      <w:r>
        <w:rPr>
          <w:spacing w:val="10"/>
        </w:rPr>
        <w:t xml:space="preserve"> </w:t>
      </w:r>
      <w:r>
        <w:t>protegidos</w:t>
      </w:r>
      <w:r>
        <w:rPr>
          <w:spacing w:val="10"/>
        </w:rPr>
        <w:t xml:space="preserve"> </w:t>
      </w:r>
      <w:r>
        <w:t>por</w:t>
      </w:r>
      <w:r>
        <w:rPr>
          <w:spacing w:val="10"/>
        </w:rPr>
        <w:t xml:space="preserve"> </w:t>
      </w:r>
      <w:r>
        <w:t>ella.</w:t>
      </w:r>
      <w:r>
        <w:rPr>
          <w:spacing w:val="11"/>
        </w:rPr>
        <w:t xml:space="preserve"> </w:t>
      </w:r>
      <w:r>
        <w:t>El</w:t>
      </w:r>
      <w:r>
        <w:rPr>
          <w:spacing w:val="10"/>
        </w:rPr>
        <w:t xml:space="preserve"> </w:t>
      </w:r>
      <w:r>
        <w:t>artículo 1 (1) de la Convención establece la obligación general de “respetar los derechos y libertades reconocidos en ella ... sin discriminación alguna por motivos de raza, color, sexo, idioma, religión, opinión política o de cualquier otra índole, origen</w:t>
      </w:r>
      <w:r>
        <w:rPr>
          <w:spacing w:val="80"/>
        </w:rPr>
        <w:t xml:space="preserve"> </w:t>
      </w:r>
      <w:r>
        <w:t>nacional o social, condición económica”</w:t>
      </w:r>
      <w:proofErr w:type="gramStart"/>
      <w:r>
        <w:t>. ,</w:t>
      </w:r>
      <w:proofErr w:type="gramEnd"/>
      <w:r>
        <w:rPr>
          <w:spacing w:val="17"/>
        </w:rPr>
        <w:t xml:space="preserve"> </w:t>
      </w:r>
      <w:r>
        <w:t>nacimiento o cualquier otra condición social”. El artículo 24 establece el derecho a</w:t>
      </w:r>
      <w:r>
        <w:rPr>
          <w:spacing w:val="40"/>
        </w:rPr>
        <w:t xml:space="preserve"> </w:t>
      </w:r>
      <w:r>
        <w:t>igual protección ante la ley y el derecho, “sin discriminación, a igual protección de la ley”. Según lo establecido por la Corte Interamericana de Derechos Humanos y la Comisión Interamericana de Derechos Humanos, estos artículos, tomados en conjunto, entrañan obligaciones positivas erga omnes del Estado de adoptar todas las medidas necesarias (incluida la promulgación de legislación) para garantizar la efectividad y ejercicio igualitario de los derechos y libertades establecidos en la Convención.86 La Comisión ha identificado una obligación clara de “adoptar legislación contra la discriminación”,87 citando un creciente consenso en esta área.88 Para ser efectivas, tales medidas legislativas “deben ser integrales y debe abarcar tanto la discriminación “formal como sustantiva, de jure y de facto”.89</w:t>
      </w:r>
    </w:p>
    <w:p w14:paraId="42385852" w14:textId="77777777" w:rsidR="0014798C" w:rsidRDefault="0014798C">
      <w:pPr>
        <w:pStyle w:val="Textoindependiente"/>
      </w:pPr>
    </w:p>
    <w:p w14:paraId="06A10BE6" w14:textId="77777777" w:rsidR="0014798C" w:rsidRDefault="0014798C">
      <w:pPr>
        <w:pStyle w:val="Textoindependiente"/>
        <w:spacing w:before="45"/>
      </w:pPr>
    </w:p>
    <w:p w14:paraId="6B521C51" w14:textId="77777777" w:rsidR="0014798C" w:rsidRDefault="004E1F0B">
      <w:pPr>
        <w:pStyle w:val="Textoindependiente"/>
        <w:spacing w:before="1" w:line="326" w:lineRule="auto"/>
        <w:ind w:left="1107" w:right="1246" w:hanging="1"/>
      </w:pPr>
      <w:r>
        <w:t>La</w:t>
      </w:r>
      <w:r>
        <w:rPr>
          <w:spacing w:val="14"/>
        </w:rPr>
        <w:t xml:space="preserve"> </w:t>
      </w:r>
      <w:r>
        <w:t>Convención</w:t>
      </w:r>
      <w:r>
        <w:rPr>
          <w:spacing w:val="14"/>
        </w:rPr>
        <w:t xml:space="preserve"> </w:t>
      </w:r>
      <w:r>
        <w:t>Interamericana</w:t>
      </w:r>
      <w:r>
        <w:rPr>
          <w:spacing w:val="14"/>
        </w:rPr>
        <w:t xml:space="preserve"> </w:t>
      </w:r>
      <w:r>
        <w:t>contra</w:t>
      </w:r>
      <w:r>
        <w:rPr>
          <w:spacing w:val="14"/>
        </w:rPr>
        <w:t xml:space="preserve"> </w:t>
      </w:r>
      <w:r>
        <w:t>Todas</w:t>
      </w:r>
      <w:r>
        <w:rPr>
          <w:spacing w:val="14"/>
        </w:rPr>
        <w:t xml:space="preserve"> </w:t>
      </w:r>
      <w:r>
        <w:t>las</w:t>
      </w:r>
      <w:r>
        <w:rPr>
          <w:spacing w:val="14"/>
        </w:rPr>
        <w:t xml:space="preserve"> </w:t>
      </w:r>
      <w:r>
        <w:t>Formas</w:t>
      </w:r>
      <w:r>
        <w:rPr>
          <w:spacing w:val="14"/>
        </w:rPr>
        <w:t xml:space="preserve"> </w:t>
      </w:r>
      <w:r>
        <w:t>de</w:t>
      </w:r>
      <w:r>
        <w:rPr>
          <w:spacing w:val="14"/>
        </w:rPr>
        <w:t xml:space="preserve"> </w:t>
      </w:r>
      <w:r>
        <w:t>Discriminación</w:t>
      </w:r>
      <w:r>
        <w:rPr>
          <w:spacing w:val="16"/>
        </w:rPr>
        <w:t xml:space="preserve"> </w:t>
      </w:r>
      <w:r>
        <w:t>e</w:t>
      </w:r>
      <w:r>
        <w:rPr>
          <w:spacing w:val="14"/>
        </w:rPr>
        <w:t xml:space="preserve"> </w:t>
      </w:r>
      <w:r>
        <w:t>Intolerancia</w:t>
      </w:r>
      <w:r>
        <w:rPr>
          <w:spacing w:val="14"/>
        </w:rPr>
        <w:t xml:space="preserve"> </w:t>
      </w:r>
      <w:r>
        <w:t>fue</w:t>
      </w:r>
      <w:r>
        <w:rPr>
          <w:spacing w:val="14"/>
        </w:rPr>
        <w:t xml:space="preserve"> </w:t>
      </w:r>
      <w:r>
        <w:t>adoptada</w:t>
      </w:r>
      <w:r>
        <w:rPr>
          <w:spacing w:val="14"/>
        </w:rPr>
        <w:t xml:space="preserve"> </w:t>
      </w:r>
      <w:r>
        <w:t>en</w:t>
      </w:r>
      <w:r>
        <w:rPr>
          <w:spacing w:val="14"/>
        </w:rPr>
        <w:t xml:space="preserve"> </w:t>
      </w:r>
      <w:r>
        <w:t>2013</w:t>
      </w:r>
      <w:r>
        <w:rPr>
          <w:spacing w:val="14"/>
        </w:rPr>
        <w:t xml:space="preserve"> </w:t>
      </w:r>
      <w:r>
        <w:t>y</w:t>
      </w:r>
      <w:r>
        <w:rPr>
          <w:spacing w:val="14"/>
        </w:rPr>
        <w:t xml:space="preserve"> </w:t>
      </w:r>
      <w:r>
        <w:t>entró</w:t>
      </w:r>
      <w:r>
        <w:rPr>
          <w:spacing w:val="14"/>
        </w:rPr>
        <w:t xml:space="preserve"> </w:t>
      </w:r>
      <w:r>
        <w:t>en</w:t>
      </w:r>
      <w:r>
        <w:rPr>
          <w:spacing w:val="14"/>
        </w:rPr>
        <w:t xml:space="preserve"> </w:t>
      </w:r>
      <w:r>
        <w:t xml:space="preserve">vigor en febrero de 2020. Según su artículo 7, “los </w:t>
      </w:r>
      <w:proofErr w:type="gramStart"/>
      <w:r>
        <w:t>Estados Partes</w:t>
      </w:r>
      <w:proofErr w:type="gramEnd"/>
      <w:r>
        <w:t xml:space="preserve"> se comprometen a adoptar legislación que defina y prohíba</w:t>
      </w:r>
      <w:r>
        <w:rPr>
          <w:spacing w:val="40"/>
        </w:rPr>
        <w:t xml:space="preserve"> </w:t>
      </w:r>
      <w:r>
        <w:t>claramente la discriminación y la intolerancia, aplicable a todas las autoridades públicas como así como a todas las personas naturales o jurídicas, tanto del sector público como del privado”. La Convención complementa y se basa en una serie de instrumentos</w:t>
      </w:r>
      <w:r>
        <w:rPr>
          <w:spacing w:val="25"/>
        </w:rPr>
        <w:t xml:space="preserve"> </w:t>
      </w:r>
      <w:r>
        <w:t>específicos,</w:t>
      </w:r>
      <w:r>
        <w:rPr>
          <w:spacing w:val="26"/>
        </w:rPr>
        <w:t xml:space="preserve"> </w:t>
      </w:r>
      <w:r>
        <w:t>que</w:t>
      </w:r>
      <w:r>
        <w:rPr>
          <w:spacing w:val="25"/>
        </w:rPr>
        <w:t xml:space="preserve"> </w:t>
      </w:r>
      <w:r>
        <w:t>imponen</w:t>
      </w:r>
      <w:r>
        <w:rPr>
          <w:spacing w:val="25"/>
        </w:rPr>
        <w:t xml:space="preserve"> </w:t>
      </w:r>
      <w:r>
        <w:t>obligaciones</w:t>
      </w:r>
      <w:r>
        <w:rPr>
          <w:spacing w:val="25"/>
        </w:rPr>
        <w:t xml:space="preserve"> </w:t>
      </w:r>
      <w:r>
        <w:t>específicas</w:t>
      </w:r>
      <w:r>
        <w:rPr>
          <w:spacing w:val="25"/>
        </w:rPr>
        <w:t xml:space="preserve"> </w:t>
      </w:r>
      <w:r>
        <w:t>(y</w:t>
      </w:r>
      <w:r>
        <w:rPr>
          <w:spacing w:val="25"/>
        </w:rPr>
        <w:t xml:space="preserve"> </w:t>
      </w:r>
      <w:r>
        <w:t>complementarias)</w:t>
      </w:r>
      <w:r>
        <w:rPr>
          <w:spacing w:val="25"/>
        </w:rPr>
        <w:t xml:space="preserve"> </w:t>
      </w:r>
      <w:r>
        <w:t>de</w:t>
      </w:r>
      <w:r>
        <w:rPr>
          <w:spacing w:val="25"/>
        </w:rPr>
        <w:t xml:space="preserve"> </w:t>
      </w:r>
      <w:r>
        <w:t>adoptar</w:t>
      </w:r>
      <w:r>
        <w:rPr>
          <w:spacing w:val="25"/>
        </w:rPr>
        <w:t xml:space="preserve"> </w:t>
      </w:r>
      <w:r>
        <w:t>leyes</w:t>
      </w:r>
      <w:r>
        <w:rPr>
          <w:spacing w:val="25"/>
        </w:rPr>
        <w:t xml:space="preserve"> </w:t>
      </w:r>
      <w:r>
        <w:t>y</w:t>
      </w:r>
      <w:r>
        <w:rPr>
          <w:spacing w:val="25"/>
        </w:rPr>
        <w:t xml:space="preserve"> </w:t>
      </w:r>
      <w:r>
        <w:t>políticas</w:t>
      </w:r>
      <w:r>
        <w:rPr>
          <w:spacing w:val="25"/>
        </w:rPr>
        <w:t xml:space="preserve"> </w:t>
      </w:r>
      <w:r>
        <w:t>diseñadas para eliminar la discriminación contra las mujeres, las minorías étnicas y raciales, las personas con discapacidad y las personas mayores.90</w:t>
      </w:r>
      <w:r>
        <w:rPr>
          <w:spacing w:val="13"/>
        </w:rPr>
        <w:t xml:space="preserve"> </w:t>
      </w:r>
      <w:r>
        <w:t>En</w:t>
      </w:r>
      <w:r>
        <w:rPr>
          <w:spacing w:val="13"/>
        </w:rPr>
        <w:t xml:space="preserve"> </w:t>
      </w:r>
      <w:r>
        <w:t>ese</w:t>
      </w:r>
      <w:r>
        <w:rPr>
          <w:spacing w:val="13"/>
        </w:rPr>
        <w:t xml:space="preserve"> </w:t>
      </w:r>
      <w:r>
        <w:t>momento</w:t>
      </w:r>
      <w:r>
        <w:rPr>
          <w:spacing w:val="13"/>
        </w:rPr>
        <w:t xml:space="preserve"> </w:t>
      </w:r>
      <w:r>
        <w:t>Hasta</w:t>
      </w:r>
      <w:r>
        <w:rPr>
          <w:spacing w:val="13"/>
        </w:rPr>
        <w:t xml:space="preserve"> </w:t>
      </w:r>
      <w:r>
        <w:t>el</w:t>
      </w:r>
      <w:r>
        <w:rPr>
          <w:spacing w:val="13"/>
        </w:rPr>
        <w:t xml:space="preserve"> </w:t>
      </w:r>
      <w:r>
        <w:t>momento,</w:t>
      </w:r>
      <w:r>
        <w:rPr>
          <w:spacing w:val="15"/>
        </w:rPr>
        <w:t xml:space="preserve"> </w:t>
      </w:r>
      <w:r>
        <w:t>12</w:t>
      </w:r>
      <w:r>
        <w:rPr>
          <w:spacing w:val="13"/>
        </w:rPr>
        <w:t xml:space="preserve"> </w:t>
      </w:r>
      <w:r>
        <w:t>Estados</w:t>
      </w:r>
      <w:r>
        <w:rPr>
          <w:spacing w:val="13"/>
        </w:rPr>
        <w:t xml:space="preserve"> </w:t>
      </w:r>
      <w:r>
        <w:t>de</w:t>
      </w:r>
      <w:r>
        <w:rPr>
          <w:spacing w:val="13"/>
        </w:rPr>
        <w:t xml:space="preserve"> </w:t>
      </w:r>
      <w:r>
        <w:t>América</w:t>
      </w:r>
      <w:r>
        <w:rPr>
          <w:spacing w:val="13"/>
        </w:rPr>
        <w:t xml:space="preserve"> </w:t>
      </w:r>
      <w:r>
        <w:t>del</w:t>
      </w:r>
      <w:r>
        <w:rPr>
          <w:spacing w:val="13"/>
        </w:rPr>
        <w:t xml:space="preserve"> </w:t>
      </w:r>
      <w:r>
        <w:t>Norte,</w:t>
      </w:r>
      <w:r>
        <w:rPr>
          <w:spacing w:val="15"/>
        </w:rPr>
        <w:t xml:space="preserve"> </w:t>
      </w:r>
      <w:r>
        <w:t>Central</w:t>
      </w:r>
      <w:r>
        <w:rPr>
          <w:spacing w:val="13"/>
        </w:rPr>
        <w:t xml:space="preserve"> </w:t>
      </w:r>
      <w:r>
        <w:t>y</w:t>
      </w:r>
      <w:r>
        <w:rPr>
          <w:spacing w:val="13"/>
        </w:rPr>
        <w:t xml:space="preserve"> </w:t>
      </w:r>
      <w:r>
        <w:t>del</w:t>
      </w:r>
      <w:r>
        <w:rPr>
          <w:spacing w:val="13"/>
        </w:rPr>
        <w:t xml:space="preserve"> </w:t>
      </w:r>
      <w:r>
        <w:t>Sur</w:t>
      </w:r>
      <w:r>
        <w:rPr>
          <w:spacing w:val="13"/>
        </w:rPr>
        <w:t xml:space="preserve"> </w:t>
      </w:r>
      <w:r>
        <w:t>han</w:t>
      </w:r>
      <w:r>
        <w:rPr>
          <w:spacing w:val="13"/>
        </w:rPr>
        <w:t xml:space="preserve"> </w:t>
      </w:r>
      <w:r>
        <w:t>firmado</w:t>
      </w:r>
      <w:r>
        <w:rPr>
          <w:spacing w:val="13"/>
        </w:rPr>
        <w:t xml:space="preserve"> </w:t>
      </w:r>
      <w:r>
        <w:t>la Convención.91 De conformidad con sus obligaciones legales regionales e internacionales, una variedad de Estados en América</w:t>
      </w:r>
      <w:r>
        <w:rPr>
          <w:spacing w:val="40"/>
        </w:rPr>
        <w:t xml:space="preserve"> </w:t>
      </w:r>
      <w:r>
        <w:t>han adoptado legislación contra la discriminación que aparentemente busca brindar protección integral; prohibir la discriminación según una lista abierta de motivos en diversos ámbitos de la vida.92</w:t>
      </w:r>
    </w:p>
    <w:p w14:paraId="48153E3F" w14:textId="77777777" w:rsidR="0014798C" w:rsidRDefault="004E1F0B">
      <w:pPr>
        <w:pStyle w:val="Textoindependiente"/>
        <w:spacing w:before="188"/>
        <w:rPr>
          <w:sz w:val="20"/>
        </w:rPr>
      </w:pPr>
      <w:r>
        <w:rPr>
          <w:noProof/>
        </w:rPr>
        <mc:AlternateContent>
          <mc:Choice Requires="wpg">
            <w:drawing>
              <wp:anchor distT="0" distB="0" distL="0" distR="0" simplePos="0" relativeHeight="251658520" behindDoc="1" locked="0" layoutInCell="1" allowOverlap="1" wp14:anchorId="74645359" wp14:editId="47DE6841">
                <wp:simplePos x="0" y="0"/>
                <wp:positionH relativeFrom="page">
                  <wp:posOffset>813154</wp:posOffset>
                </wp:positionH>
                <wp:positionV relativeFrom="paragraph">
                  <wp:posOffset>280923</wp:posOffset>
                </wp:positionV>
                <wp:extent cx="5944235" cy="1941195"/>
                <wp:effectExtent l="0" t="0" r="0" b="0"/>
                <wp:wrapTopAndBottom/>
                <wp:docPr id="68" name="Group 6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944235" cy="1941195"/>
                          <a:chOff x="0" y="0"/>
                          <a:chExt cx="5944235" cy="1941195"/>
                        </a:xfrm>
                      </wpg:grpSpPr>
                      <pic:pic xmlns:pic="http://schemas.openxmlformats.org/drawingml/2006/picture">
                        <pic:nvPicPr>
                          <pic:cNvPr id="69" name="Image 69"/>
                          <pic:cNvPicPr/>
                        </pic:nvPicPr>
                        <pic:blipFill>
                          <a:blip r:embed="rId73" cstate="print"/>
                          <a:stretch>
                            <a:fillRect/>
                          </a:stretch>
                        </pic:blipFill>
                        <pic:spPr>
                          <a:xfrm>
                            <a:off x="0" y="0"/>
                            <a:ext cx="5943667" cy="1941128"/>
                          </a:xfrm>
                          <a:prstGeom prst="rect">
                            <a:avLst/>
                          </a:prstGeom>
                        </pic:spPr>
                      </pic:pic>
                      <wps:wsp>
                        <wps:cNvPr id="70" name="Textbox 70"/>
                        <wps:cNvSpPr txBox="1"/>
                        <wps:spPr>
                          <a:xfrm>
                            <a:off x="0" y="0"/>
                            <a:ext cx="5944235" cy="1941195"/>
                          </a:xfrm>
                          <a:prstGeom prst="rect">
                            <a:avLst/>
                          </a:prstGeom>
                        </wps:spPr>
                        <wps:txbx>
                          <w:txbxContent>
                            <w:p w14:paraId="2A6F4972" w14:textId="77777777" w:rsidR="0014798C" w:rsidRDefault="0014798C">
                              <w:pPr>
                                <w:spacing w:before="87"/>
                                <w:rPr>
                                  <w:sz w:val="16"/>
                                </w:rPr>
                              </w:pPr>
                            </w:p>
                            <w:p w14:paraId="0A6165B8" w14:textId="77777777" w:rsidR="0014798C" w:rsidRDefault="004E1F0B">
                              <w:pPr>
                                <w:ind w:left="254"/>
                                <w:rPr>
                                  <w:sz w:val="16"/>
                                </w:rPr>
                              </w:pPr>
                              <w:r>
                                <w:rPr>
                                  <w:sz w:val="16"/>
                                </w:rPr>
                                <w:t>CHILE:</w:t>
                              </w:r>
                              <w:r>
                                <w:rPr>
                                  <w:spacing w:val="7"/>
                                  <w:sz w:val="16"/>
                                </w:rPr>
                                <w:t xml:space="preserve"> </w:t>
                              </w:r>
                              <w:r>
                                <w:rPr>
                                  <w:sz w:val="16"/>
                                </w:rPr>
                                <w:t>LA</w:t>
                              </w:r>
                              <w:r>
                                <w:rPr>
                                  <w:spacing w:val="6"/>
                                  <w:sz w:val="16"/>
                                </w:rPr>
                                <w:t xml:space="preserve"> </w:t>
                              </w:r>
                              <w:r>
                                <w:rPr>
                                  <w:sz w:val="16"/>
                                </w:rPr>
                                <w:t>LEY</w:t>
                              </w:r>
                              <w:r>
                                <w:rPr>
                                  <w:spacing w:val="5"/>
                                  <w:sz w:val="16"/>
                                </w:rPr>
                                <w:t xml:space="preserve"> </w:t>
                              </w:r>
                              <w:r>
                                <w:rPr>
                                  <w:sz w:val="16"/>
                                </w:rPr>
                                <w:t>QUE</w:t>
                              </w:r>
                              <w:r>
                                <w:rPr>
                                  <w:spacing w:val="6"/>
                                  <w:sz w:val="16"/>
                                </w:rPr>
                                <w:t xml:space="preserve"> </w:t>
                              </w:r>
                              <w:r>
                                <w:rPr>
                                  <w:sz w:val="16"/>
                                </w:rPr>
                                <w:t>ESTABLECE</w:t>
                              </w:r>
                              <w:r>
                                <w:rPr>
                                  <w:spacing w:val="7"/>
                                  <w:sz w:val="16"/>
                                </w:rPr>
                                <w:t xml:space="preserve"> </w:t>
                              </w:r>
                              <w:r>
                                <w:rPr>
                                  <w:sz w:val="16"/>
                                </w:rPr>
                                <w:t>MEDIDAS</w:t>
                              </w:r>
                              <w:r>
                                <w:rPr>
                                  <w:spacing w:val="8"/>
                                  <w:sz w:val="16"/>
                                </w:rPr>
                                <w:t xml:space="preserve"> </w:t>
                              </w:r>
                              <w:r>
                                <w:rPr>
                                  <w:sz w:val="16"/>
                                </w:rPr>
                                <w:t>CONTRA</w:t>
                              </w:r>
                              <w:r>
                                <w:rPr>
                                  <w:spacing w:val="7"/>
                                  <w:sz w:val="16"/>
                                </w:rPr>
                                <w:t xml:space="preserve"> </w:t>
                              </w:r>
                              <w:r>
                                <w:rPr>
                                  <w:sz w:val="16"/>
                                </w:rPr>
                                <w:t>LA</w:t>
                              </w:r>
                              <w:r>
                                <w:rPr>
                                  <w:spacing w:val="6"/>
                                  <w:sz w:val="16"/>
                                </w:rPr>
                                <w:t xml:space="preserve"> </w:t>
                              </w:r>
                              <w:r>
                                <w:rPr>
                                  <w:spacing w:val="-2"/>
                                  <w:sz w:val="16"/>
                                </w:rPr>
                                <w:t>DISCRIMINACIÓN</w:t>
                              </w:r>
                            </w:p>
                            <w:p w14:paraId="55880C60" w14:textId="77777777" w:rsidR="0014798C" w:rsidRDefault="0014798C">
                              <w:pPr>
                                <w:spacing w:before="36"/>
                                <w:rPr>
                                  <w:sz w:val="16"/>
                                </w:rPr>
                              </w:pPr>
                            </w:p>
                            <w:p w14:paraId="5F4F921E" w14:textId="77777777" w:rsidR="0014798C" w:rsidRDefault="004E1F0B">
                              <w:pPr>
                                <w:spacing w:line="326" w:lineRule="auto"/>
                                <w:ind w:left="253" w:right="353" w:hanging="2"/>
                                <w:rPr>
                                  <w:sz w:val="16"/>
                                </w:rPr>
                              </w:pPr>
                              <w:r>
                                <w:rPr>
                                  <w:sz w:val="16"/>
                                </w:rPr>
                                <w:t xml:space="preserve">En 2012, el Congreso Nacional de Chile aprobó la Ley </w:t>
                              </w:r>
                              <w:r>
                                <w:rPr>
                                  <w:sz w:val="16"/>
                                </w:rPr>
                                <w:t>N° 20.609 que establece medidas contra la discriminación. El presidente de la Cámara de Diputados presentó por primera vez un proyecto de ley en 2005. La aprobación del proyecto</w:t>
                              </w:r>
                              <w:r>
                                <w:rPr>
                                  <w:spacing w:val="40"/>
                                  <w:sz w:val="16"/>
                                </w:rPr>
                                <w:t xml:space="preserve"> </w:t>
                              </w:r>
                              <w:r>
                                <w:rPr>
                                  <w:sz w:val="16"/>
                                </w:rPr>
                                <w:t>de</w:t>
                              </w:r>
                              <w:r>
                                <w:rPr>
                                  <w:spacing w:val="8"/>
                                  <w:sz w:val="16"/>
                                </w:rPr>
                                <w:t xml:space="preserve"> </w:t>
                              </w:r>
                              <w:r>
                                <w:rPr>
                                  <w:sz w:val="16"/>
                                </w:rPr>
                                <w:t>ley</w:t>
                              </w:r>
                              <w:r>
                                <w:rPr>
                                  <w:spacing w:val="8"/>
                                  <w:sz w:val="16"/>
                                </w:rPr>
                                <w:t xml:space="preserve"> </w:t>
                              </w:r>
                              <w:r>
                                <w:rPr>
                                  <w:sz w:val="16"/>
                                </w:rPr>
                                <w:t>se</w:t>
                              </w:r>
                              <w:r>
                                <w:rPr>
                                  <w:spacing w:val="8"/>
                                  <w:sz w:val="16"/>
                                </w:rPr>
                                <w:t xml:space="preserve"> </w:t>
                              </w:r>
                              <w:r>
                                <w:rPr>
                                  <w:sz w:val="16"/>
                                </w:rPr>
                                <w:t>aceleró</w:t>
                              </w:r>
                              <w:r>
                                <w:rPr>
                                  <w:spacing w:val="8"/>
                                  <w:sz w:val="16"/>
                                </w:rPr>
                                <w:t xml:space="preserve"> </w:t>
                              </w:r>
                              <w:r>
                                <w:rPr>
                                  <w:sz w:val="16"/>
                                </w:rPr>
                                <w:t>en</w:t>
                              </w:r>
                              <w:r>
                                <w:rPr>
                                  <w:spacing w:val="8"/>
                                  <w:sz w:val="16"/>
                                </w:rPr>
                                <w:t xml:space="preserve"> </w:t>
                              </w:r>
                              <w:r>
                                <w:rPr>
                                  <w:sz w:val="16"/>
                                </w:rPr>
                                <w:t>2012</w:t>
                              </w:r>
                              <w:r>
                                <w:rPr>
                                  <w:spacing w:val="8"/>
                                  <w:sz w:val="16"/>
                                </w:rPr>
                                <w:t xml:space="preserve"> </w:t>
                              </w:r>
                              <w:r>
                                <w:rPr>
                                  <w:sz w:val="16"/>
                                </w:rPr>
                                <w:t>tras</w:t>
                              </w:r>
                              <w:r>
                                <w:rPr>
                                  <w:spacing w:val="8"/>
                                  <w:sz w:val="16"/>
                                </w:rPr>
                                <w:t xml:space="preserve"> </w:t>
                              </w:r>
                              <w:r>
                                <w:rPr>
                                  <w:sz w:val="16"/>
                                </w:rPr>
                                <w:t>el</w:t>
                              </w:r>
                              <w:r>
                                <w:rPr>
                                  <w:spacing w:val="8"/>
                                  <w:sz w:val="16"/>
                                </w:rPr>
                                <w:t xml:space="preserve"> </w:t>
                              </w:r>
                              <w:r>
                                <w:rPr>
                                  <w:sz w:val="16"/>
                                </w:rPr>
                                <w:t>asesinato</w:t>
                              </w:r>
                              <w:r>
                                <w:rPr>
                                  <w:spacing w:val="8"/>
                                  <w:sz w:val="16"/>
                                </w:rPr>
                                <w:t xml:space="preserve"> </w:t>
                              </w:r>
                              <w:r>
                                <w:rPr>
                                  <w:sz w:val="16"/>
                                </w:rPr>
                                <w:t>discriminatorio</w:t>
                              </w:r>
                              <w:r>
                                <w:rPr>
                                  <w:spacing w:val="8"/>
                                  <w:sz w:val="16"/>
                                </w:rPr>
                                <w:t xml:space="preserve"> </w:t>
                              </w:r>
                              <w:r>
                                <w:rPr>
                                  <w:sz w:val="16"/>
                                </w:rPr>
                                <w:t>de</w:t>
                              </w:r>
                              <w:r>
                                <w:rPr>
                                  <w:spacing w:val="8"/>
                                  <w:sz w:val="16"/>
                                </w:rPr>
                                <w:t xml:space="preserve"> </w:t>
                              </w:r>
                              <w:r>
                                <w:rPr>
                                  <w:sz w:val="16"/>
                                </w:rPr>
                                <w:t>Daniel</w:t>
                              </w:r>
                              <w:r>
                                <w:rPr>
                                  <w:spacing w:val="8"/>
                                  <w:sz w:val="16"/>
                                </w:rPr>
                                <w:t xml:space="preserve"> </w:t>
                              </w:r>
                              <w:r>
                                <w:rPr>
                                  <w:sz w:val="16"/>
                                </w:rPr>
                                <w:t>Zamudio,</w:t>
                              </w:r>
                              <w:r>
                                <w:rPr>
                                  <w:spacing w:val="10"/>
                                  <w:sz w:val="16"/>
                                </w:rPr>
                                <w:t xml:space="preserve"> </w:t>
                              </w:r>
                              <w:r>
                                <w:rPr>
                                  <w:sz w:val="16"/>
                                </w:rPr>
                                <w:t>de</w:t>
                              </w:r>
                              <w:r>
                                <w:rPr>
                                  <w:spacing w:val="8"/>
                                  <w:sz w:val="16"/>
                                </w:rPr>
                                <w:t xml:space="preserve"> </w:t>
                              </w:r>
                              <w:r>
                                <w:rPr>
                                  <w:sz w:val="16"/>
                                </w:rPr>
                                <w:t>24</w:t>
                              </w:r>
                              <w:r>
                                <w:rPr>
                                  <w:spacing w:val="8"/>
                                  <w:sz w:val="16"/>
                                </w:rPr>
                                <w:t xml:space="preserve"> </w:t>
                              </w:r>
                              <w:r>
                                <w:rPr>
                                  <w:sz w:val="16"/>
                                </w:rPr>
                                <w:t>años,</w:t>
                              </w:r>
                              <w:r>
                                <w:rPr>
                                  <w:spacing w:val="10"/>
                                  <w:sz w:val="16"/>
                                </w:rPr>
                                <w:t xml:space="preserve"> </w:t>
                              </w:r>
                              <w:r>
                                <w:rPr>
                                  <w:sz w:val="16"/>
                                </w:rPr>
                                <w:t>que</w:t>
                              </w:r>
                              <w:r>
                                <w:rPr>
                                  <w:spacing w:val="8"/>
                                  <w:sz w:val="16"/>
                                </w:rPr>
                                <w:t xml:space="preserve"> </w:t>
                              </w:r>
                              <w:r>
                                <w:rPr>
                                  <w:sz w:val="16"/>
                                </w:rPr>
                                <w:t>fue</w:t>
                              </w:r>
                              <w:r>
                                <w:rPr>
                                  <w:spacing w:val="8"/>
                                  <w:sz w:val="16"/>
                                </w:rPr>
                                <w:t xml:space="preserve"> </w:t>
                              </w:r>
                              <w:r>
                                <w:rPr>
                                  <w:sz w:val="16"/>
                                </w:rPr>
                                <w:t>brutalmente</w:t>
                              </w:r>
                              <w:r>
                                <w:rPr>
                                  <w:spacing w:val="8"/>
                                  <w:sz w:val="16"/>
                                </w:rPr>
                                <w:t xml:space="preserve"> </w:t>
                              </w:r>
                              <w:r>
                                <w:rPr>
                                  <w:sz w:val="16"/>
                                </w:rPr>
                                <w:t>agredido y torturado por un grupo. de presuntos neonazis en un parque de Santiago.93</w:t>
                              </w:r>
                            </w:p>
                          </w:txbxContent>
                        </wps:txbx>
                        <wps:bodyPr wrap="square" lIns="0" tIns="0" rIns="0" bIns="0" rtlCol="0">
                          <a:noAutofit/>
                        </wps:bodyPr>
                      </wps:wsp>
                    </wpg:wgp>
                  </a:graphicData>
                </a:graphic>
              </wp:anchor>
            </w:drawing>
          </mc:Choice>
          <mc:Fallback>
            <w:pict>
              <v:group w14:anchorId="74645359" id="Group 68" o:spid="_x0000_s1046" style="position:absolute;margin-left:64.05pt;margin-top:22.1pt;width:468.05pt;height:152.85pt;z-index:-251657960;mso-wrap-distance-left:0;mso-wrap-distance-right:0;mso-position-horizontal-relative:page" coordsize="59442,19411"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">
                <v:shape id="Image 69" o:spid="_x0000_s1047" type="#_x0000_t75" style="position:absolute;width:59436;height:1941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">
                  <v:imagedata r:id="rId74" o:title=""/>
                </v:shape>
                <v:shape id="Textbox 70" o:spid="_x0000_s1048" type="#_x0000_t202" style="position:absolute;width:59442;height:194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" filled="f" stroked="f">
                  <v:textbox inset="0,0,0,0">
                    <w:txbxContent>
                      <w:p w14:paraId="2A6F4972" w14:textId="77777777" w:rsidR="0014798C" w:rsidRDefault="0014798C">
                        <w:pPr>
                          <w:spacing w:before="87"/>
                          <w:rPr>
                            <w:sz w:val="16"/>
                          </w:rPr>
                        </w:pPr>
                      </w:p>
                      <w:p w14:paraId="0A6165B8" w14:textId="77777777" w:rsidR="0014798C" w:rsidRDefault="004E1F0B">
                        <w:pPr>
                          <w:ind w:left="254"/>
                          <w:rPr>
                            <w:sz w:val="16"/>
                          </w:rPr>
                        </w:pPr>
                        <w:r>
                          <w:rPr>
                            <w:sz w:val="16"/>
                          </w:rPr>
                          <w:t>CHILE:</w:t>
                        </w:r>
                        <w:r>
                          <w:rPr>
                            <w:spacing w:val="7"/>
                            <w:sz w:val="16"/>
                          </w:rPr>
                          <w:t xml:space="preserve"> </w:t>
                        </w:r>
                        <w:r>
                          <w:rPr>
                            <w:sz w:val="16"/>
                          </w:rPr>
                          <w:t>LA</w:t>
                        </w:r>
                        <w:r>
                          <w:rPr>
                            <w:spacing w:val="6"/>
                            <w:sz w:val="16"/>
                          </w:rPr>
                          <w:t xml:space="preserve"> </w:t>
                        </w:r>
                        <w:r>
                          <w:rPr>
                            <w:sz w:val="16"/>
                          </w:rPr>
                          <w:t>LEY</w:t>
                        </w:r>
                        <w:r>
                          <w:rPr>
                            <w:spacing w:val="5"/>
                            <w:sz w:val="16"/>
                          </w:rPr>
                          <w:t xml:space="preserve"> </w:t>
                        </w:r>
                        <w:r>
                          <w:rPr>
                            <w:sz w:val="16"/>
                          </w:rPr>
                          <w:t>QUE</w:t>
                        </w:r>
                        <w:r>
                          <w:rPr>
                            <w:spacing w:val="6"/>
                            <w:sz w:val="16"/>
                          </w:rPr>
                          <w:t xml:space="preserve"> </w:t>
                        </w:r>
                        <w:r>
                          <w:rPr>
                            <w:sz w:val="16"/>
                          </w:rPr>
                          <w:t>ESTABLECE</w:t>
                        </w:r>
                        <w:r>
                          <w:rPr>
                            <w:spacing w:val="7"/>
                            <w:sz w:val="16"/>
                          </w:rPr>
                          <w:t xml:space="preserve"> </w:t>
                        </w:r>
                        <w:r>
                          <w:rPr>
                            <w:sz w:val="16"/>
                          </w:rPr>
                          <w:t>MEDIDAS</w:t>
                        </w:r>
                        <w:r>
                          <w:rPr>
                            <w:spacing w:val="8"/>
                            <w:sz w:val="16"/>
                          </w:rPr>
                          <w:t xml:space="preserve"> </w:t>
                        </w:r>
                        <w:r>
                          <w:rPr>
                            <w:sz w:val="16"/>
                          </w:rPr>
                          <w:t>CONTRA</w:t>
                        </w:r>
                        <w:r>
                          <w:rPr>
                            <w:spacing w:val="7"/>
                            <w:sz w:val="16"/>
                          </w:rPr>
                          <w:t xml:space="preserve"> </w:t>
                        </w:r>
                        <w:r>
                          <w:rPr>
                            <w:sz w:val="16"/>
                          </w:rPr>
                          <w:t>LA</w:t>
                        </w:r>
                        <w:r>
                          <w:rPr>
                            <w:spacing w:val="6"/>
                            <w:sz w:val="16"/>
                          </w:rPr>
                          <w:t xml:space="preserve"> </w:t>
                        </w:r>
                        <w:r>
                          <w:rPr>
                            <w:spacing w:val="-2"/>
                            <w:sz w:val="16"/>
                          </w:rPr>
                          <w:t>DISCRIMINACIÓN</w:t>
                        </w:r>
                      </w:p>
                      <w:p w14:paraId="55880C60" w14:textId="77777777" w:rsidR="0014798C" w:rsidRDefault="0014798C">
                        <w:pPr>
                          <w:spacing w:before="36"/>
                          <w:rPr>
                            <w:sz w:val="16"/>
                          </w:rPr>
                        </w:pPr>
                      </w:p>
                      <w:p w14:paraId="5F4F921E" w14:textId="77777777" w:rsidR="0014798C" w:rsidRDefault="004E1F0B">
                        <w:pPr>
                          <w:spacing w:line="326" w:lineRule="auto"/>
                          <w:ind w:left="253" w:right="353" w:hanging="2"/>
                          <w:rPr>
                            <w:sz w:val="16"/>
                          </w:rPr>
                        </w:pPr>
                        <w:r>
                          <w:rPr>
                            <w:sz w:val="16"/>
                          </w:rPr>
                          <w:t xml:space="preserve">En 2012, el Congreso Nacional de Chile aprobó la Ley </w:t>
                        </w:r>
                        <w:proofErr w:type="spellStart"/>
                        <w:r>
                          <w:rPr>
                            <w:sz w:val="16"/>
                          </w:rPr>
                          <w:t>N°</w:t>
                        </w:r>
                        <w:proofErr w:type="spellEnd"/>
                        <w:r>
                          <w:rPr>
                            <w:sz w:val="16"/>
                          </w:rPr>
                          <w:t xml:space="preserve"> 20.609 que establece medidas contra la discriminación. El presidente de la Cámara de Diputados presentó por primera vez un proyecto de ley en 2005. La aprobación del proyecto</w:t>
                        </w:r>
                        <w:r>
                          <w:rPr>
                            <w:spacing w:val="40"/>
                            <w:sz w:val="16"/>
                          </w:rPr>
                          <w:t xml:space="preserve"> </w:t>
                        </w:r>
                        <w:r>
                          <w:rPr>
                            <w:sz w:val="16"/>
                          </w:rPr>
                          <w:t>de</w:t>
                        </w:r>
                        <w:r>
                          <w:rPr>
                            <w:spacing w:val="8"/>
                            <w:sz w:val="16"/>
                          </w:rPr>
                          <w:t xml:space="preserve"> </w:t>
                        </w:r>
                        <w:r>
                          <w:rPr>
                            <w:sz w:val="16"/>
                          </w:rPr>
                          <w:t>ley</w:t>
                        </w:r>
                        <w:r>
                          <w:rPr>
                            <w:spacing w:val="8"/>
                            <w:sz w:val="16"/>
                          </w:rPr>
                          <w:t xml:space="preserve"> </w:t>
                        </w:r>
                        <w:r>
                          <w:rPr>
                            <w:sz w:val="16"/>
                          </w:rPr>
                          <w:t>se</w:t>
                        </w:r>
                        <w:r>
                          <w:rPr>
                            <w:spacing w:val="8"/>
                            <w:sz w:val="16"/>
                          </w:rPr>
                          <w:t xml:space="preserve"> </w:t>
                        </w:r>
                        <w:r>
                          <w:rPr>
                            <w:sz w:val="16"/>
                          </w:rPr>
                          <w:t>aceleró</w:t>
                        </w:r>
                        <w:r>
                          <w:rPr>
                            <w:spacing w:val="8"/>
                            <w:sz w:val="16"/>
                          </w:rPr>
                          <w:t xml:space="preserve"> </w:t>
                        </w:r>
                        <w:r>
                          <w:rPr>
                            <w:sz w:val="16"/>
                          </w:rPr>
                          <w:t>en</w:t>
                        </w:r>
                        <w:r>
                          <w:rPr>
                            <w:spacing w:val="8"/>
                            <w:sz w:val="16"/>
                          </w:rPr>
                          <w:t xml:space="preserve"> </w:t>
                        </w:r>
                        <w:r>
                          <w:rPr>
                            <w:sz w:val="16"/>
                          </w:rPr>
                          <w:t>2012</w:t>
                        </w:r>
                        <w:r>
                          <w:rPr>
                            <w:spacing w:val="8"/>
                            <w:sz w:val="16"/>
                          </w:rPr>
                          <w:t xml:space="preserve"> </w:t>
                        </w:r>
                        <w:r>
                          <w:rPr>
                            <w:sz w:val="16"/>
                          </w:rPr>
                          <w:t>tras</w:t>
                        </w:r>
                        <w:r>
                          <w:rPr>
                            <w:spacing w:val="8"/>
                            <w:sz w:val="16"/>
                          </w:rPr>
                          <w:t xml:space="preserve"> </w:t>
                        </w:r>
                        <w:r>
                          <w:rPr>
                            <w:sz w:val="16"/>
                          </w:rPr>
                          <w:t>el</w:t>
                        </w:r>
                        <w:r>
                          <w:rPr>
                            <w:spacing w:val="8"/>
                            <w:sz w:val="16"/>
                          </w:rPr>
                          <w:t xml:space="preserve"> </w:t>
                        </w:r>
                        <w:r>
                          <w:rPr>
                            <w:sz w:val="16"/>
                          </w:rPr>
                          <w:t>asesinato</w:t>
                        </w:r>
                        <w:r>
                          <w:rPr>
                            <w:spacing w:val="8"/>
                            <w:sz w:val="16"/>
                          </w:rPr>
                          <w:t xml:space="preserve"> </w:t>
                        </w:r>
                        <w:r>
                          <w:rPr>
                            <w:sz w:val="16"/>
                          </w:rPr>
                          <w:t>discriminatorio</w:t>
                        </w:r>
                        <w:r>
                          <w:rPr>
                            <w:spacing w:val="8"/>
                            <w:sz w:val="16"/>
                          </w:rPr>
                          <w:t xml:space="preserve"> </w:t>
                        </w:r>
                        <w:r>
                          <w:rPr>
                            <w:sz w:val="16"/>
                          </w:rPr>
                          <w:t>de</w:t>
                        </w:r>
                        <w:r>
                          <w:rPr>
                            <w:spacing w:val="8"/>
                            <w:sz w:val="16"/>
                          </w:rPr>
                          <w:t xml:space="preserve"> </w:t>
                        </w:r>
                        <w:r>
                          <w:rPr>
                            <w:sz w:val="16"/>
                          </w:rPr>
                          <w:t>Daniel</w:t>
                        </w:r>
                        <w:r>
                          <w:rPr>
                            <w:spacing w:val="8"/>
                            <w:sz w:val="16"/>
                          </w:rPr>
                          <w:t xml:space="preserve"> </w:t>
                        </w:r>
                        <w:r>
                          <w:rPr>
                            <w:sz w:val="16"/>
                          </w:rPr>
                          <w:t>Zamudio,</w:t>
                        </w:r>
                        <w:r>
                          <w:rPr>
                            <w:spacing w:val="10"/>
                            <w:sz w:val="16"/>
                          </w:rPr>
                          <w:t xml:space="preserve"> </w:t>
                        </w:r>
                        <w:r>
                          <w:rPr>
                            <w:sz w:val="16"/>
                          </w:rPr>
                          <w:t>de</w:t>
                        </w:r>
                        <w:r>
                          <w:rPr>
                            <w:spacing w:val="8"/>
                            <w:sz w:val="16"/>
                          </w:rPr>
                          <w:t xml:space="preserve"> </w:t>
                        </w:r>
                        <w:r>
                          <w:rPr>
                            <w:sz w:val="16"/>
                          </w:rPr>
                          <w:t>24</w:t>
                        </w:r>
                        <w:r>
                          <w:rPr>
                            <w:spacing w:val="8"/>
                            <w:sz w:val="16"/>
                          </w:rPr>
                          <w:t xml:space="preserve"> </w:t>
                        </w:r>
                        <w:r>
                          <w:rPr>
                            <w:sz w:val="16"/>
                          </w:rPr>
                          <w:t>años,</w:t>
                        </w:r>
                        <w:r>
                          <w:rPr>
                            <w:spacing w:val="10"/>
                            <w:sz w:val="16"/>
                          </w:rPr>
                          <w:t xml:space="preserve"> </w:t>
                        </w:r>
                        <w:r>
                          <w:rPr>
                            <w:sz w:val="16"/>
                          </w:rPr>
                          <w:t>que</w:t>
                        </w:r>
                        <w:r>
                          <w:rPr>
                            <w:spacing w:val="8"/>
                            <w:sz w:val="16"/>
                          </w:rPr>
                          <w:t xml:space="preserve"> </w:t>
                        </w:r>
                        <w:r>
                          <w:rPr>
                            <w:sz w:val="16"/>
                          </w:rPr>
                          <w:t>fue</w:t>
                        </w:r>
                        <w:r>
                          <w:rPr>
                            <w:spacing w:val="8"/>
                            <w:sz w:val="16"/>
                          </w:rPr>
                          <w:t xml:space="preserve"> </w:t>
                        </w:r>
                        <w:r>
                          <w:rPr>
                            <w:sz w:val="16"/>
                          </w:rPr>
                          <w:t>brutalmente</w:t>
                        </w:r>
                        <w:r>
                          <w:rPr>
                            <w:spacing w:val="8"/>
                            <w:sz w:val="16"/>
                          </w:rPr>
                          <w:t xml:space="preserve"> </w:t>
                        </w:r>
                        <w:r>
                          <w:rPr>
                            <w:sz w:val="16"/>
                          </w:rPr>
                          <w:t>agredido y torturado por un grupo. de presuntos neonazis en un parque de Santiago.93</w:t>
                        </w:r>
                      </w:p>
                    </w:txbxContent>
                  </v:textbox>
                </v:shape>
                <w10:wrap type="topAndBottom" anchorx="page"/>
              </v:group>
            </w:pict>
          </mc:Fallback>
        </mc:AlternateContent>
      </w:r>
    </w:p>
    <w:p w14:paraId="7201C33C" w14:textId="77777777" w:rsidR="0014798C" w:rsidRDefault="0014798C">
      <w:pPr>
        <w:pStyle w:val="Textoindependiente"/>
        <w:spacing w:before="17"/>
        <w:rPr>
          <w:sz w:val="13"/>
        </w:rPr>
      </w:pPr>
    </w:p>
    <w:p w14:paraId="48ABD885" w14:textId="77777777" w:rsidR="0014798C" w:rsidRDefault="004E1F0B">
      <w:pPr>
        <w:spacing w:line="288" w:lineRule="auto"/>
        <w:ind w:left="1367" w:right="1463" w:hanging="257"/>
        <w:rPr>
          <w:sz w:val="13"/>
        </w:rPr>
      </w:pPr>
      <w:r>
        <w:rPr>
          <w:w w:val="105"/>
          <w:sz w:val="13"/>
          <w:vertAlign w:val="superscript"/>
        </w:rPr>
        <w:t>86</w:t>
      </w:r>
      <w:r>
        <w:rPr>
          <w:spacing w:val="80"/>
          <w:w w:val="150"/>
          <w:sz w:val="13"/>
        </w:rPr>
        <w:t xml:space="preserve"> </w:t>
      </w:r>
      <w:r>
        <w:rPr>
          <w:w w:val="105"/>
          <w:sz w:val="13"/>
        </w:rPr>
        <w:t xml:space="preserve">Véase, por ejemplo, Corte Interamericana de Derechos Humanos, </w:t>
      </w:r>
      <w:proofErr w:type="spellStart"/>
      <w:r>
        <w:rPr>
          <w:w w:val="105"/>
          <w:sz w:val="13"/>
        </w:rPr>
        <w:t>Atala</w:t>
      </w:r>
      <w:proofErr w:type="spellEnd"/>
      <w:r>
        <w:rPr>
          <w:w w:val="105"/>
          <w:sz w:val="13"/>
        </w:rPr>
        <w:t xml:space="preserve"> Riffo and </w:t>
      </w:r>
      <w:proofErr w:type="spellStart"/>
      <w:r>
        <w:rPr>
          <w:w w:val="105"/>
          <w:sz w:val="13"/>
        </w:rPr>
        <w:t>Daughters</w:t>
      </w:r>
      <w:proofErr w:type="spellEnd"/>
      <w:r>
        <w:rPr>
          <w:w w:val="105"/>
          <w:sz w:val="13"/>
        </w:rPr>
        <w:t xml:space="preserve"> v. Chile, sentencia de 24 de febrero de 2012, párr.</w:t>
      </w:r>
      <w:r>
        <w:rPr>
          <w:spacing w:val="40"/>
          <w:w w:val="105"/>
          <w:sz w:val="13"/>
        </w:rPr>
        <w:t xml:space="preserve"> </w:t>
      </w:r>
      <w:r>
        <w:rPr>
          <w:w w:val="105"/>
          <w:sz w:val="13"/>
        </w:rPr>
        <w:t>279;</w:t>
      </w:r>
      <w:r>
        <w:rPr>
          <w:spacing w:val="-1"/>
          <w:w w:val="105"/>
          <w:sz w:val="13"/>
        </w:rPr>
        <w:t xml:space="preserve"> </w:t>
      </w:r>
      <w:r>
        <w:rPr>
          <w:w w:val="105"/>
          <w:sz w:val="13"/>
        </w:rPr>
        <w:t>Comisión</w:t>
      </w:r>
      <w:r>
        <w:rPr>
          <w:spacing w:val="-1"/>
          <w:w w:val="105"/>
          <w:sz w:val="13"/>
        </w:rPr>
        <w:t xml:space="preserve"> </w:t>
      </w:r>
      <w:r>
        <w:rPr>
          <w:w w:val="105"/>
          <w:sz w:val="13"/>
        </w:rPr>
        <w:t>Interamericana</w:t>
      </w:r>
      <w:r>
        <w:rPr>
          <w:spacing w:val="-2"/>
          <w:w w:val="105"/>
          <w:sz w:val="13"/>
        </w:rPr>
        <w:t xml:space="preserve"> </w:t>
      </w:r>
      <w:r>
        <w:rPr>
          <w:w w:val="105"/>
          <w:sz w:val="13"/>
        </w:rPr>
        <w:t>de</w:t>
      </w:r>
      <w:r>
        <w:rPr>
          <w:spacing w:val="-2"/>
          <w:w w:val="105"/>
          <w:sz w:val="13"/>
        </w:rPr>
        <w:t xml:space="preserve"> </w:t>
      </w:r>
      <w:r>
        <w:rPr>
          <w:w w:val="105"/>
          <w:sz w:val="13"/>
        </w:rPr>
        <w:t>Derechos</w:t>
      </w:r>
      <w:r>
        <w:rPr>
          <w:spacing w:val="-2"/>
          <w:w w:val="105"/>
          <w:sz w:val="13"/>
        </w:rPr>
        <w:t xml:space="preserve"> </w:t>
      </w:r>
      <w:r>
        <w:rPr>
          <w:w w:val="105"/>
          <w:sz w:val="13"/>
        </w:rPr>
        <w:t>Humanos,</w:t>
      </w:r>
      <w:r>
        <w:rPr>
          <w:spacing w:val="-1"/>
          <w:w w:val="105"/>
          <w:sz w:val="13"/>
        </w:rPr>
        <w:t xml:space="preserve"> </w:t>
      </w:r>
      <w:r>
        <w:rPr>
          <w:w w:val="105"/>
          <w:sz w:val="13"/>
        </w:rPr>
        <w:t>San</w:t>
      </w:r>
      <w:r>
        <w:rPr>
          <w:spacing w:val="-2"/>
          <w:w w:val="105"/>
          <w:sz w:val="13"/>
        </w:rPr>
        <w:t xml:space="preserve"> </w:t>
      </w:r>
      <w:r>
        <w:rPr>
          <w:w w:val="105"/>
          <w:sz w:val="13"/>
        </w:rPr>
        <w:t>Miguel</w:t>
      </w:r>
      <w:r>
        <w:rPr>
          <w:spacing w:val="-1"/>
          <w:w w:val="105"/>
          <w:sz w:val="13"/>
        </w:rPr>
        <w:t xml:space="preserve"> </w:t>
      </w:r>
      <w:r>
        <w:rPr>
          <w:w w:val="105"/>
          <w:sz w:val="13"/>
        </w:rPr>
        <w:t>Sosa</w:t>
      </w:r>
      <w:r>
        <w:rPr>
          <w:spacing w:val="-2"/>
          <w:w w:val="105"/>
          <w:sz w:val="13"/>
        </w:rPr>
        <w:t xml:space="preserve"> </w:t>
      </w:r>
      <w:r>
        <w:rPr>
          <w:w w:val="105"/>
          <w:sz w:val="13"/>
        </w:rPr>
        <w:t>y</w:t>
      </w:r>
      <w:r>
        <w:rPr>
          <w:spacing w:val="-2"/>
          <w:w w:val="105"/>
          <w:sz w:val="13"/>
        </w:rPr>
        <w:t xml:space="preserve"> </w:t>
      </w:r>
      <w:r>
        <w:rPr>
          <w:w w:val="105"/>
          <w:sz w:val="13"/>
        </w:rPr>
        <w:t>otros</w:t>
      </w:r>
      <w:r>
        <w:rPr>
          <w:spacing w:val="-2"/>
          <w:w w:val="105"/>
          <w:sz w:val="13"/>
        </w:rPr>
        <w:t xml:space="preserve"> </w:t>
      </w:r>
      <w:r>
        <w:rPr>
          <w:w w:val="105"/>
          <w:sz w:val="13"/>
        </w:rPr>
        <w:t>vs.</w:t>
      </w:r>
      <w:r>
        <w:rPr>
          <w:spacing w:val="-1"/>
          <w:w w:val="105"/>
          <w:sz w:val="13"/>
        </w:rPr>
        <w:t xml:space="preserve"> </w:t>
      </w:r>
      <w:r>
        <w:rPr>
          <w:w w:val="105"/>
          <w:sz w:val="13"/>
        </w:rPr>
        <w:t>Venezuela,</w:t>
      </w:r>
      <w:r>
        <w:rPr>
          <w:spacing w:val="-1"/>
          <w:w w:val="105"/>
          <w:sz w:val="13"/>
        </w:rPr>
        <w:t xml:space="preserve"> </w:t>
      </w:r>
      <w:r>
        <w:rPr>
          <w:w w:val="105"/>
          <w:sz w:val="13"/>
        </w:rPr>
        <w:t>Caso</w:t>
      </w:r>
      <w:r>
        <w:rPr>
          <w:spacing w:val="-2"/>
          <w:w w:val="105"/>
          <w:sz w:val="13"/>
        </w:rPr>
        <w:t xml:space="preserve"> </w:t>
      </w:r>
      <w:r>
        <w:rPr>
          <w:w w:val="105"/>
          <w:sz w:val="13"/>
        </w:rPr>
        <w:t>12.923,</w:t>
      </w:r>
      <w:r>
        <w:rPr>
          <w:spacing w:val="-1"/>
          <w:w w:val="105"/>
          <w:sz w:val="13"/>
        </w:rPr>
        <w:t xml:space="preserve"> </w:t>
      </w:r>
      <w:r>
        <w:rPr>
          <w:w w:val="105"/>
          <w:sz w:val="13"/>
        </w:rPr>
        <w:t>Informe</w:t>
      </w:r>
      <w:r>
        <w:rPr>
          <w:spacing w:val="-2"/>
          <w:w w:val="105"/>
          <w:sz w:val="13"/>
        </w:rPr>
        <w:t xml:space="preserve"> </w:t>
      </w:r>
      <w:r>
        <w:rPr>
          <w:w w:val="105"/>
          <w:sz w:val="13"/>
        </w:rPr>
        <w:t>No.</w:t>
      </w:r>
      <w:r>
        <w:rPr>
          <w:spacing w:val="-1"/>
          <w:w w:val="105"/>
          <w:sz w:val="13"/>
        </w:rPr>
        <w:t xml:space="preserve"> </w:t>
      </w:r>
      <w:r>
        <w:rPr>
          <w:w w:val="105"/>
          <w:sz w:val="13"/>
        </w:rPr>
        <w:t>75/15,</w:t>
      </w:r>
      <w:r>
        <w:rPr>
          <w:spacing w:val="-1"/>
          <w:w w:val="105"/>
          <w:sz w:val="13"/>
        </w:rPr>
        <w:t xml:space="preserve"> </w:t>
      </w:r>
      <w:r>
        <w:rPr>
          <w:w w:val="105"/>
          <w:sz w:val="13"/>
        </w:rPr>
        <w:t>Fondo,</w:t>
      </w:r>
    </w:p>
    <w:p w14:paraId="039E4CBF" w14:textId="77777777" w:rsidR="0014798C" w:rsidRDefault="004E1F0B">
      <w:pPr>
        <w:spacing w:before="1" w:line="288" w:lineRule="auto"/>
        <w:ind w:left="1365" w:right="1463" w:firstLine="1"/>
        <w:rPr>
          <w:sz w:val="13"/>
        </w:rPr>
      </w:pPr>
      <w:r>
        <w:rPr>
          <w:w w:val="105"/>
          <w:sz w:val="13"/>
        </w:rPr>
        <w:t>28</w:t>
      </w:r>
      <w:r>
        <w:rPr>
          <w:spacing w:val="-4"/>
          <w:w w:val="105"/>
          <w:sz w:val="13"/>
        </w:rPr>
        <w:t xml:space="preserve"> </w:t>
      </w:r>
      <w:r>
        <w:rPr>
          <w:w w:val="105"/>
          <w:sz w:val="13"/>
        </w:rPr>
        <w:t>de</w:t>
      </w:r>
      <w:r>
        <w:rPr>
          <w:spacing w:val="-4"/>
          <w:w w:val="105"/>
          <w:sz w:val="13"/>
        </w:rPr>
        <w:t xml:space="preserve"> </w:t>
      </w:r>
      <w:r>
        <w:rPr>
          <w:w w:val="105"/>
          <w:sz w:val="13"/>
        </w:rPr>
        <w:t>octubre</w:t>
      </w:r>
      <w:r>
        <w:rPr>
          <w:spacing w:val="-4"/>
          <w:w w:val="105"/>
          <w:sz w:val="13"/>
        </w:rPr>
        <w:t xml:space="preserve"> </w:t>
      </w:r>
      <w:r>
        <w:rPr>
          <w:w w:val="105"/>
          <w:sz w:val="13"/>
        </w:rPr>
        <w:t>de</w:t>
      </w:r>
      <w:r>
        <w:rPr>
          <w:spacing w:val="-4"/>
          <w:w w:val="105"/>
          <w:sz w:val="13"/>
        </w:rPr>
        <w:t xml:space="preserve"> </w:t>
      </w:r>
      <w:r>
        <w:rPr>
          <w:w w:val="105"/>
          <w:sz w:val="13"/>
        </w:rPr>
        <w:t>2015,</w:t>
      </w:r>
      <w:r>
        <w:rPr>
          <w:spacing w:val="-3"/>
          <w:w w:val="105"/>
          <w:sz w:val="13"/>
        </w:rPr>
        <w:t xml:space="preserve"> </w:t>
      </w:r>
      <w:r>
        <w:rPr>
          <w:w w:val="105"/>
          <w:sz w:val="13"/>
        </w:rPr>
        <w:t>párr.</w:t>
      </w:r>
      <w:r>
        <w:rPr>
          <w:spacing w:val="-3"/>
          <w:w w:val="105"/>
          <w:sz w:val="13"/>
        </w:rPr>
        <w:t xml:space="preserve"> </w:t>
      </w:r>
      <w:r>
        <w:rPr>
          <w:w w:val="105"/>
          <w:sz w:val="13"/>
        </w:rPr>
        <w:t>144;</w:t>
      </w:r>
      <w:r>
        <w:rPr>
          <w:spacing w:val="-3"/>
          <w:w w:val="105"/>
          <w:sz w:val="13"/>
        </w:rPr>
        <w:t xml:space="preserve"> </w:t>
      </w:r>
      <w:r>
        <w:rPr>
          <w:w w:val="105"/>
          <w:sz w:val="13"/>
        </w:rPr>
        <w:t>y</w:t>
      </w:r>
      <w:r>
        <w:rPr>
          <w:spacing w:val="-4"/>
          <w:w w:val="105"/>
          <w:sz w:val="13"/>
        </w:rPr>
        <w:t xml:space="preserve"> </w:t>
      </w:r>
      <w:r>
        <w:rPr>
          <w:w w:val="105"/>
          <w:sz w:val="13"/>
        </w:rPr>
        <w:t>Corte</w:t>
      </w:r>
      <w:r>
        <w:rPr>
          <w:spacing w:val="-4"/>
          <w:w w:val="105"/>
          <w:sz w:val="13"/>
        </w:rPr>
        <w:t xml:space="preserve"> </w:t>
      </w:r>
      <w:r>
        <w:rPr>
          <w:w w:val="105"/>
          <w:sz w:val="13"/>
        </w:rPr>
        <w:t>Interamericana</w:t>
      </w:r>
      <w:r>
        <w:rPr>
          <w:spacing w:val="-4"/>
          <w:w w:val="105"/>
          <w:sz w:val="13"/>
        </w:rPr>
        <w:t xml:space="preserve"> </w:t>
      </w:r>
      <w:r>
        <w:rPr>
          <w:w w:val="105"/>
          <w:sz w:val="13"/>
        </w:rPr>
        <w:t>de</w:t>
      </w:r>
      <w:r>
        <w:rPr>
          <w:spacing w:val="-4"/>
          <w:w w:val="105"/>
          <w:sz w:val="13"/>
        </w:rPr>
        <w:t xml:space="preserve"> </w:t>
      </w:r>
      <w:r>
        <w:rPr>
          <w:w w:val="105"/>
          <w:sz w:val="13"/>
        </w:rPr>
        <w:t>Derechos</w:t>
      </w:r>
      <w:r>
        <w:rPr>
          <w:spacing w:val="-4"/>
          <w:w w:val="105"/>
          <w:sz w:val="13"/>
        </w:rPr>
        <w:t xml:space="preserve"> </w:t>
      </w:r>
      <w:r>
        <w:rPr>
          <w:w w:val="105"/>
          <w:sz w:val="13"/>
        </w:rPr>
        <w:t>Humanos,</w:t>
      </w:r>
      <w:r>
        <w:rPr>
          <w:spacing w:val="-3"/>
          <w:w w:val="105"/>
          <w:sz w:val="13"/>
        </w:rPr>
        <w:t xml:space="preserve"> </w:t>
      </w:r>
      <w:proofErr w:type="spellStart"/>
      <w:r>
        <w:rPr>
          <w:w w:val="105"/>
          <w:sz w:val="13"/>
        </w:rPr>
        <w:t>Norín</w:t>
      </w:r>
      <w:proofErr w:type="spellEnd"/>
      <w:r>
        <w:rPr>
          <w:spacing w:val="-4"/>
          <w:w w:val="105"/>
          <w:sz w:val="13"/>
        </w:rPr>
        <w:t xml:space="preserve"> </w:t>
      </w:r>
      <w:proofErr w:type="spellStart"/>
      <w:r>
        <w:rPr>
          <w:w w:val="105"/>
          <w:sz w:val="13"/>
        </w:rPr>
        <w:t>Catrimán</w:t>
      </w:r>
      <w:proofErr w:type="spellEnd"/>
      <w:r>
        <w:rPr>
          <w:spacing w:val="-4"/>
          <w:w w:val="105"/>
          <w:sz w:val="13"/>
        </w:rPr>
        <w:t xml:space="preserve"> </w:t>
      </w:r>
      <w:r>
        <w:rPr>
          <w:w w:val="105"/>
          <w:sz w:val="13"/>
        </w:rPr>
        <w:t>y</w:t>
      </w:r>
      <w:r>
        <w:rPr>
          <w:spacing w:val="-4"/>
          <w:w w:val="105"/>
          <w:sz w:val="13"/>
        </w:rPr>
        <w:t xml:space="preserve"> </w:t>
      </w:r>
      <w:r>
        <w:rPr>
          <w:w w:val="105"/>
          <w:sz w:val="13"/>
        </w:rPr>
        <w:t>otros.</w:t>
      </w:r>
      <w:r>
        <w:rPr>
          <w:spacing w:val="-3"/>
          <w:w w:val="105"/>
          <w:sz w:val="13"/>
        </w:rPr>
        <w:t xml:space="preserve"> </w:t>
      </w:r>
      <w:r>
        <w:rPr>
          <w:w w:val="105"/>
          <w:sz w:val="13"/>
        </w:rPr>
        <w:t>(Líderes,</w:t>
      </w:r>
      <w:r>
        <w:rPr>
          <w:spacing w:val="-3"/>
          <w:w w:val="105"/>
          <w:sz w:val="13"/>
        </w:rPr>
        <w:t xml:space="preserve"> </w:t>
      </w:r>
      <w:r>
        <w:rPr>
          <w:w w:val="105"/>
          <w:sz w:val="13"/>
        </w:rPr>
        <w:t>miembros</w:t>
      </w:r>
      <w:r>
        <w:rPr>
          <w:spacing w:val="-4"/>
          <w:w w:val="105"/>
          <w:sz w:val="13"/>
        </w:rPr>
        <w:t xml:space="preserve"> </w:t>
      </w:r>
      <w:r>
        <w:rPr>
          <w:w w:val="105"/>
          <w:sz w:val="13"/>
        </w:rPr>
        <w:t>y</w:t>
      </w:r>
      <w:r>
        <w:rPr>
          <w:spacing w:val="-4"/>
          <w:w w:val="105"/>
          <w:sz w:val="13"/>
        </w:rPr>
        <w:t xml:space="preserve"> </w:t>
      </w:r>
      <w:r>
        <w:rPr>
          <w:w w:val="105"/>
          <w:sz w:val="13"/>
        </w:rPr>
        <w:t>activistas</w:t>
      </w:r>
      <w:r>
        <w:rPr>
          <w:spacing w:val="-4"/>
          <w:w w:val="105"/>
          <w:sz w:val="13"/>
        </w:rPr>
        <w:t xml:space="preserve"> </w:t>
      </w:r>
      <w:r>
        <w:rPr>
          <w:w w:val="105"/>
          <w:sz w:val="13"/>
        </w:rPr>
        <w:t>del</w:t>
      </w:r>
      <w:r>
        <w:rPr>
          <w:spacing w:val="40"/>
          <w:w w:val="105"/>
          <w:sz w:val="13"/>
        </w:rPr>
        <w:t xml:space="preserve"> </w:t>
      </w:r>
      <w:r>
        <w:rPr>
          <w:w w:val="105"/>
          <w:sz w:val="13"/>
        </w:rPr>
        <w:t>Pueblo Indígena Mapuche) v. Chile, Sentencia de 29 de mayo de 2014, párr. 199.</w:t>
      </w:r>
    </w:p>
    <w:p w14:paraId="6AF2FA79" w14:textId="77777777" w:rsidR="0014798C" w:rsidRDefault="004E1F0B">
      <w:pPr>
        <w:spacing w:before="57" w:line="288" w:lineRule="auto"/>
        <w:ind w:left="1363" w:right="1463" w:hanging="254"/>
        <w:rPr>
          <w:sz w:val="13"/>
        </w:rPr>
      </w:pPr>
      <w:r>
        <w:rPr>
          <w:w w:val="105"/>
          <w:sz w:val="13"/>
        </w:rPr>
        <w:t>87 Comisión Interamericana de Derechos Humanos, Avances y Desafíos hacia el Reconocimiento de los Derechos de las Personas LGBTI en las</w:t>
      </w:r>
      <w:r>
        <w:rPr>
          <w:spacing w:val="40"/>
          <w:w w:val="105"/>
          <w:sz w:val="13"/>
        </w:rPr>
        <w:t xml:space="preserve"> </w:t>
      </w:r>
      <w:r>
        <w:rPr>
          <w:w w:val="105"/>
          <w:sz w:val="13"/>
        </w:rPr>
        <w:t xml:space="preserve">Américas, párr. 82. Véase también Comisión Interamericana de Derechos Humanos, Violencia contra personas lesbianas, </w:t>
      </w:r>
      <w:proofErr w:type="spellStart"/>
      <w:r>
        <w:rPr>
          <w:w w:val="105"/>
          <w:sz w:val="13"/>
        </w:rPr>
        <w:t>gays</w:t>
      </w:r>
      <w:proofErr w:type="spellEnd"/>
      <w:r>
        <w:rPr>
          <w:w w:val="105"/>
          <w:sz w:val="13"/>
        </w:rPr>
        <w:t>, bisexuales, trans</w:t>
      </w:r>
      <w:r>
        <w:rPr>
          <w:spacing w:val="40"/>
          <w:w w:val="105"/>
          <w:sz w:val="13"/>
        </w:rPr>
        <w:t xml:space="preserve"> </w:t>
      </w:r>
      <w:r>
        <w:rPr>
          <w:w w:val="105"/>
          <w:sz w:val="13"/>
        </w:rPr>
        <w:t>e intersex en las Américas (OEA/</w:t>
      </w:r>
      <w:proofErr w:type="spellStart"/>
      <w:r>
        <w:rPr>
          <w:w w:val="105"/>
          <w:sz w:val="13"/>
        </w:rPr>
        <w:t>Ser.L</w:t>
      </w:r>
      <w:proofErr w:type="spellEnd"/>
      <w:r>
        <w:rPr>
          <w:w w:val="105"/>
          <w:sz w:val="13"/>
        </w:rPr>
        <w:t>/V/II, Doc.36/15 Rev.2) (2015</w:t>
      </w:r>
      <w:proofErr w:type="gramStart"/>
      <w:r>
        <w:rPr>
          <w:w w:val="105"/>
          <w:sz w:val="13"/>
        </w:rPr>
        <w:t>) ,</w:t>
      </w:r>
      <w:proofErr w:type="gramEnd"/>
      <w:r>
        <w:rPr>
          <w:w w:val="105"/>
          <w:sz w:val="13"/>
        </w:rPr>
        <w:t xml:space="preserve"> </w:t>
      </w:r>
      <w:proofErr w:type="spellStart"/>
      <w:r>
        <w:rPr>
          <w:w w:val="105"/>
          <w:sz w:val="13"/>
        </w:rPr>
        <w:t>pag.</w:t>
      </w:r>
      <w:proofErr w:type="spellEnd"/>
      <w:r>
        <w:rPr>
          <w:w w:val="105"/>
          <w:sz w:val="13"/>
        </w:rPr>
        <w:t xml:space="preserve"> 270 (recomendaciones, párr. 25).</w:t>
      </w:r>
    </w:p>
    <w:p w14:paraId="067FF1EA" w14:textId="77777777" w:rsidR="0014798C" w:rsidRDefault="004E1F0B">
      <w:pPr>
        <w:spacing w:before="58" w:line="288" w:lineRule="auto"/>
        <w:ind w:left="1363" w:right="1272" w:hanging="254"/>
        <w:rPr>
          <w:sz w:val="13"/>
        </w:rPr>
      </w:pPr>
      <w:r>
        <w:rPr>
          <w:w w:val="105"/>
          <w:sz w:val="13"/>
        </w:rPr>
        <w:t>88 Comisión Interamericana de Derechos Humanos, Avances y Desafíos hacia el Reconocimiento de los Derechos de las Personas LGBTI en el</w:t>
      </w:r>
      <w:r>
        <w:rPr>
          <w:spacing w:val="40"/>
          <w:w w:val="105"/>
          <w:sz w:val="13"/>
        </w:rPr>
        <w:t xml:space="preserve"> </w:t>
      </w:r>
      <w:r>
        <w:rPr>
          <w:w w:val="105"/>
          <w:sz w:val="13"/>
        </w:rPr>
        <w:t xml:space="preserve">Américas, </w:t>
      </w:r>
      <w:proofErr w:type="spellStart"/>
      <w:r>
        <w:rPr>
          <w:w w:val="105"/>
          <w:sz w:val="13"/>
        </w:rPr>
        <w:t>párrs</w:t>
      </w:r>
      <w:proofErr w:type="spellEnd"/>
      <w:r>
        <w:rPr>
          <w:w w:val="105"/>
          <w:sz w:val="13"/>
        </w:rPr>
        <w:t>. 82–84.</w:t>
      </w:r>
    </w:p>
    <w:p w14:paraId="75705E85" w14:textId="77777777" w:rsidR="0014798C" w:rsidRDefault="004E1F0B">
      <w:pPr>
        <w:spacing w:before="110"/>
        <w:ind w:left="1110"/>
        <w:rPr>
          <w:sz w:val="11"/>
        </w:rPr>
      </w:pPr>
      <w:r>
        <w:rPr>
          <w:sz w:val="11"/>
        </w:rPr>
        <w:t xml:space="preserve">89 </w:t>
      </w:r>
      <w:proofErr w:type="spellStart"/>
      <w:r>
        <w:rPr>
          <w:sz w:val="11"/>
        </w:rPr>
        <w:t>Ibíd</w:t>
      </w:r>
      <w:proofErr w:type="spellEnd"/>
      <w:r>
        <w:rPr>
          <w:sz w:val="11"/>
        </w:rPr>
        <w:t>.,</w:t>
      </w:r>
      <w:r>
        <w:rPr>
          <w:spacing w:val="1"/>
          <w:sz w:val="11"/>
        </w:rPr>
        <w:t xml:space="preserve"> </w:t>
      </w:r>
      <w:r>
        <w:rPr>
          <w:sz w:val="11"/>
        </w:rPr>
        <w:t xml:space="preserve">párr. </w:t>
      </w:r>
      <w:r>
        <w:rPr>
          <w:spacing w:val="-5"/>
          <w:sz w:val="11"/>
        </w:rPr>
        <w:t>94.</w:t>
      </w:r>
    </w:p>
    <w:p w14:paraId="72E6FD37" w14:textId="77777777" w:rsidR="0014798C" w:rsidRDefault="004E1F0B">
      <w:pPr>
        <w:spacing w:before="110" w:line="340" w:lineRule="auto"/>
        <w:ind w:left="1368" w:right="1463" w:hanging="261"/>
        <w:rPr>
          <w:sz w:val="11"/>
        </w:rPr>
      </w:pPr>
      <w:r>
        <w:rPr>
          <w:sz w:val="11"/>
        </w:rPr>
        <w:t xml:space="preserve">90 Convención Interamericana para Prevenir, Sancionar y Erradicar la Violencia contra la Mujer, art. </w:t>
      </w:r>
      <w:r>
        <w:rPr>
          <w:w w:val="90"/>
          <w:sz w:val="11"/>
        </w:rPr>
        <w:t xml:space="preserve">7; </w:t>
      </w:r>
      <w:r>
        <w:rPr>
          <w:sz w:val="11"/>
        </w:rPr>
        <w:t>Convención Interamericana contra el Racismo, la Discriminación Racial y Formas</w:t>
      </w:r>
      <w:r>
        <w:rPr>
          <w:spacing w:val="40"/>
          <w:sz w:val="11"/>
        </w:rPr>
        <w:t xml:space="preserve"> </w:t>
      </w:r>
      <w:r>
        <w:rPr>
          <w:sz w:val="11"/>
        </w:rPr>
        <w:t xml:space="preserve">Conexas de Intolerancia, art. </w:t>
      </w:r>
      <w:r>
        <w:rPr>
          <w:w w:val="90"/>
          <w:sz w:val="11"/>
        </w:rPr>
        <w:t xml:space="preserve">7; </w:t>
      </w:r>
      <w:r>
        <w:rPr>
          <w:sz w:val="11"/>
        </w:rPr>
        <w:t xml:space="preserve">Convención Interamericana para la Eliminación de Todas las Formas de Discriminación contra las Personas con Discapacidad, art. 3 </w:t>
      </w:r>
      <w:r>
        <w:rPr>
          <w:w w:val="90"/>
          <w:sz w:val="11"/>
        </w:rPr>
        <w:t>(</w:t>
      </w:r>
      <w:proofErr w:type="gramStart"/>
      <w:r>
        <w:rPr>
          <w:w w:val="90"/>
          <w:sz w:val="11"/>
        </w:rPr>
        <w:t>1);</w:t>
      </w:r>
      <w:proofErr w:type="gramEnd"/>
      <w:r>
        <w:rPr>
          <w:w w:val="90"/>
          <w:sz w:val="11"/>
        </w:rPr>
        <w:t xml:space="preserve"> </w:t>
      </w:r>
      <w:r>
        <w:rPr>
          <w:sz w:val="11"/>
        </w:rPr>
        <w:t>y</w:t>
      </w:r>
      <w:r>
        <w:rPr>
          <w:spacing w:val="40"/>
          <w:sz w:val="11"/>
        </w:rPr>
        <w:t xml:space="preserve"> </w:t>
      </w:r>
      <w:r>
        <w:rPr>
          <w:sz w:val="11"/>
        </w:rPr>
        <w:t>Convención Interamericana sobre la Protección de los Derechos Humanos de las Personas Mayores, arts. 4–5.</w:t>
      </w:r>
    </w:p>
    <w:p w14:paraId="228D0C36" w14:textId="77777777" w:rsidR="0014798C" w:rsidRDefault="0014798C">
      <w:pPr>
        <w:pStyle w:val="Textoindependiente"/>
        <w:spacing w:before="35"/>
        <w:rPr>
          <w:sz w:val="13"/>
        </w:rPr>
      </w:pPr>
    </w:p>
    <w:p w14:paraId="181A3662" w14:textId="77777777" w:rsidR="0014798C" w:rsidRDefault="004E1F0B">
      <w:pPr>
        <w:ind w:left="1107"/>
        <w:rPr>
          <w:sz w:val="13"/>
        </w:rPr>
      </w:pPr>
      <w:r>
        <w:rPr>
          <w:w w:val="105"/>
          <w:sz w:val="13"/>
          <w:vertAlign w:val="superscript"/>
        </w:rPr>
        <w:t>91</w:t>
      </w:r>
      <w:r>
        <w:rPr>
          <w:spacing w:val="34"/>
          <w:w w:val="105"/>
          <w:sz w:val="13"/>
        </w:rPr>
        <w:t xml:space="preserve">  </w:t>
      </w:r>
      <w:r>
        <w:rPr>
          <w:w w:val="105"/>
          <w:sz w:val="13"/>
        </w:rPr>
        <w:t>Argentina,</w:t>
      </w:r>
      <w:r>
        <w:rPr>
          <w:spacing w:val="-3"/>
          <w:w w:val="105"/>
          <w:sz w:val="13"/>
        </w:rPr>
        <w:t xml:space="preserve"> </w:t>
      </w:r>
      <w:r>
        <w:rPr>
          <w:w w:val="105"/>
          <w:sz w:val="13"/>
        </w:rPr>
        <w:t>Bolivia</w:t>
      </w:r>
      <w:r>
        <w:rPr>
          <w:spacing w:val="-5"/>
          <w:w w:val="105"/>
          <w:sz w:val="13"/>
        </w:rPr>
        <w:t xml:space="preserve"> </w:t>
      </w:r>
      <w:r>
        <w:rPr>
          <w:w w:val="105"/>
          <w:sz w:val="13"/>
        </w:rPr>
        <w:t>(Estado</w:t>
      </w:r>
      <w:r>
        <w:rPr>
          <w:spacing w:val="-5"/>
          <w:w w:val="105"/>
          <w:sz w:val="13"/>
        </w:rPr>
        <w:t xml:space="preserve"> </w:t>
      </w:r>
      <w:r>
        <w:rPr>
          <w:w w:val="105"/>
          <w:sz w:val="13"/>
        </w:rPr>
        <w:t>Plurinacional</w:t>
      </w:r>
      <w:r>
        <w:rPr>
          <w:spacing w:val="-5"/>
          <w:w w:val="105"/>
          <w:sz w:val="13"/>
        </w:rPr>
        <w:t xml:space="preserve"> </w:t>
      </w:r>
      <w:r>
        <w:rPr>
          <w:w w:val="105"/>
          <w:sz w:val="13"/>
        </w:rPr>
        <w:t>de),</w:t>
      </w:r>
      <w:r>
        <w:rPr>
          <w:spacing w:val="-4"/>
          <w:w w:val="105"/>
          <w:sz w:val="13"/>
        </w:rPr>
        <w:t xml:space="preserve"> </w:t>
      </w:r>
      <w:r>
        <w:rPr>
          <w:w w:val="105"/>
          <w:sz w:val="13"/>
        </w:rPr>
        <w:t>Brasil,</w:t>
      </w:r>
      <w:r>
        <w:rPr>
          <w:spacing w:val="-4"/>
          <w:w w:val="105"/>
          <w:sz w:val="13"/>
        </w:rPr>
        <w:t xml:space="preserve"> </w:t>
      </w:r>
      <w:r>
        <w:rPr>
          <w:w w:val="105"/>
          <w:sz w:val="13"/>
        </w:rPr>
        <w:t>Chile,</w:t>
      </w:r>
      <w:r>
        <w:rPr>
          <w:spacing w:val="-4"/>
          <w:w w:val="105"/>
          <w:sz w:val="13"/>
        </w:rPr>
        <w:t xml:space="preserve"> </w:t>
      </w:r>
      <w:r>
        <w:rPr>
          <w:w w:val="105"/>
          <w:sz w:val="13"/>
        </w:rPr>
        <w:t>Colombia,</w:t>
      </w:r>
      <w:r>
        <w:rPr>
          <w:spacing w:val="-4"/>
          <w:w w:val="105"/>
          <w:sz w:val="13"/>
        </w:rPr>
        <w:t xml:space="preserve"> </w:t>
      </w:r>
      <w:r>
        <w:rPr>
          <w:w w:val="105"/>
          <w:sz w:val="13"/>
        </w:rPr>
        <w:t>Costa</w:t>
      </w:r>
      <w:r>
        <w:rPr>
          <w:spacing w:val="-5"/>
          <w:w w:val="105"/>
          <w:sz w:val="13"/>
        </w:rPr>
        <w:t xml:space="preserve"> </w:t>
      </w:r>
      <w:r>
        <w:rPr>
          <w:w w:val="105"/>
          <w:sz w:val="13"/>
        </w:rPr>
        <w:t>Rica,</w:t>
      </w:r>
      <w:r>
        <w:rPr>
          <w:spacing w:val="-4"/>
          <w:w w:val="105"/>
          <w:sz w:val="13"/>
        </w:rPr>
        <w:t xml:space="preserve"> </w:t>
      </w:r>
      <w:r>
        <w:rPr>
          <w:w w:val="105"/>
          <w:sz w:val="13"/>
        </w:rPr>
        <w:t>Ecuador,</w:t>
      </w:r>
      <w:r>
        <w:rPr>
          <w:spacing w:val="-4"/>
          <w:w w:val="105"/>
          <w:sz w:val="13"/>
        </w:rPr>
        <w:t xml:space="preserve"> </w:t>
      </w:r>
      <w:r>
        <w:rPr>
          <w:w w:val="105"/>
          <w:sz w:val="13"/>
        </w:rPr>
        <w:t>Haití,</w:t>
      </w:r>
      <w:r>
        <w:rPr>
          <w:spacing w:val="-4"/>
          <w:w w:val="105"/>
          <w:sz w:val="13"/>
        </w:rPr>
        <w:t xml:space="preserve"> </w:t>
      </w:r>
      <w:r>
        <w:rPr>
          <w:w w:val="105"/>
          <w:sz w:val="13"/>
        </w:rPr>
        <w:t>México,</w:t>
      </w:r>
      <w:r>
        <w:rPr>
          <w:spacing w:val="-4"/>
          <w:w w:val="105"/>
          <w:sz w:val="13"/>
        </w:rPr>
        <w:t xml:space="preserve"> </w:t>
      </w:r>
      <w:r>
        <w:rPr>
          <w:w w:val="105"/>
          <w:sz w:val="13"/>
        </w:rPr>
        <w:t>Panamá,</w:t>
      </w:r>
      <w:r>
        <w:rPr>
          <w:spacing w:val="-4"/>
          <w:w w:val="105"/>
          <w:sz w:val="13"/>
        </w:rPr>
        <w:t xml:space="preserve"> </w:t>
      </w:r>
      <w:r>
        <w:rPr>
          <w:w w:val="105"/>
          <w:sz w:val="13"/>
        </w:rPr>
        <w:t>Perú</w:t>
      </w:r>
      <w:r>
        <w:rPr>
          <w:spacing w:val="-5"/>
          <w:w w:val="105"/>
          <w:sz w:val="13"/>
        </w:rPr>
        <w:t xml:space="preserve"> </w:t>
      </w:r>
      <w:r>
        <w:rPr>
          <w:w w:val="105"/>
          <w:sz w:val="13"/>
        </w:rPr>
        <w:t>y</w:t>
      </w:r>
      <w:r>
        <w:rPr>
          <w:spacing w:val="-5"/>
          <w:w w:val="105"/>
          <w:sz w:val="13"/>
        </w:rPr>
        <w:t xml:space="preserve"> </w:t>
      </w:r>
      <w:r>
        <w:rPr>
          <w:spacing w:val="-2"/>
          <w:w w:val="105"/>
          <w:sz w:val="13"/>
        </w:rPr>
        <w:t>Uruguay.</w:t>
      </w:r>
    </w:p>
    <w:p w14:paraId="40A4FB02" w14:textId="77777777" w:rsidR="0014798C" w:rsidRDefault="004E1F0B">
      <w:pPr>
        <w:spacing w:before="87" w:line="280" w:lineRule="auto"/>
        <w:ind w:left="1366" w:right="2004" w:hanging="260"/>
        <w:rPr>
          <w:sz w:val="13"/>
        </w:rPr>
      </w:pPr>
      <w:r>
        <w:rPr>
          <w:sz w:val="13"/>
          <w:vertAlign w:val="superscript"/>
        </w:rPr>
        <w:t>92</w:t>
      </w:r>
      <w:r>
        <w:rPr>
          <w:spacing w:val="72"/>
          <w:sz w:val="13"/>
        </w:rPr>
        <w:t xml:space="preserve">  </w:t>
      </w:r>
      <w:r>
        <w:rPr>
          <w:sz w:val="13"/>
        </w:rPr>
        <w:t>Ver,</w:t>
      </w:r>
      <w:r>
        <w:rPr>
          <w:spacing w:val="13"/>
          <w:sz w:val="13"/>
        </w:rPr>
        <w:t xml:space="preserve"> </w:t>
      </w:r>
      <w:r>
        <w:rPr>
          <w:sz w:val="13"/>
        </w:rPr>
        <w:t>a</w:t>
      </w:r>
      <w:r>
        <w:rPr>
          <w:spacing w:val="12"/>
          <w:sz w:val="13"/>
        </w:rPr>
        <w:t xml:space="preserve"> </w:t>
      </w:r>
      <w:r>
        <w:rPr>
          <w:sz w:val="13"/>
        </w:rPr>
        <w:t>modo</w:t>
      </w:r>
      <w:r>
        <w:rPr>
          <w:spacing w:val="12"/>
          <w:sz w:val="13"/>
        </w:rPr>
        <w:t xml:space="preserve"> </w:t>
      </w:r>
      <w:r>
        <w:rPr>
          <w:sz w:val="13"/>
        </w:rPr>
        <w:t>ilustrativo,</w:t>
      </w:r>
      <w:r>
        <w:rPr>
          <w:spacing w:val="13"/>
          <w:sz w:val="13"/>
        </w:rPr>
        <w:t xml:space="preserve"> </w:t>
      </w:r>
      <w:r>
        <w:rPr>
          <w:sz w:val="13"/>
        </w:rPr>
        <w:t>Estado</w:t>
      </w:r>
      <w:r>
        <w:rPr>
          <w:spacing w:val="12"/>
          <w:sz w:val="13"/>
        </w:rPr>
        <w:t xml:space="preserve"> </w:t>
      </w:r>
      <w:r>
        <w:rPr>
          <w:sz w:val="13"/>
        </w:rPr>
        <w:t>Plurinacional</w:t>
      </w:r>
      <w:r>
        <w:rPr>
          <w:spacing w:val="12"/>
          <w:sz w:val="13"/>
        </w:rPr>
        <w:t xml:space="preserve"> </w:t>
      </w:r>
      <w:r>
        <w:rPr>
          <w:sz w:val="13"/>
        </w:rPr>
        <w:t>de</w:t>
      </w:r>
      <w:r>
        <w:rPr>
          <w:spacing w:val="12"/>
          <w:sz w:val="13"/>
        </w:rPr>
        <w:t xml:space="preserve"> </w:t>
      </w:r>
      <w:r>
        <w:rPr>
          <w:sz w:val="13"/>
        </w:rPr>
        <w:t>Bolivia,</w:t>
      </w:r>
      <w:r>
        <w:rPr>
          <w:spacing w:val="13"/>
          <w:sz w:val="13"/>
        </w:rPr>
        <w:t xml:space="preserve"> </w:t>
      </w:r>
      <w:r>
        <w:rPr>
          <w:sz w:val="13"/>
        </w:rPr>
        <w:t>Ley</w:t>
      </w:r>
      <w:r>
        <w:rPr>
          <w:spacing w:val="12"/>
          <w:sz w:val="13"/>
        </w:rPr>
        <w:t xml:space="preserve"> </w:t>
      </w:r>
      <w:r>
        <w:rPr>
          <w:sz w:val="13"/>
        </w:rPr>
        <w:t>contra</w:t>
      </w:r>
      <w:r>
        <w:rPr>
          <w:spacing w:val="12"/>
          <w:sz w:val="13"/>
        </w:rPr>
        <w:t xml:space="preserve"> </w:t>
      </w:r>
      <w:r>
        <w:rPr>
          <w:sz w:val="13"/>
        </w:rPr>
        <w:t>el</w:t>
      </w:r>
      <w:r>
        <w:rPr>
          <w:spacing w:val="12"/>
          <w:sz w:val="13"/>
        </w:rPr>
        <w:t xml:space="preserve"> </w:t>
      </w:r>
      <w:r>
        <w:rPr>
          <w:sz w:val="13"/>
        </w:rPr>
        <w:t>Racismo</w:t>
      </w:r>
      <w:r>
        <w:rPr>
          <w:spacing w:val="13"/>
          <w:sz w:val="13"/>
        </w:rPr>
        <w:t xml:space="preserve"> </w:t>
      </w:r>
      <w:r>
        <w:rPr>
          <w:sz w:val="13"/>
        </w:rPr>
        <w:t>y</w:t>
      </w:r>
      <w:r>
        <w:rPr>
          <w:spacing w:val="12"/>
          <w:sz w:val="13"/>
        </w:rPr>
        <w:t xml:space="preserve"> </w:t>
      </w:r>
      <w:r>
        <w:rPr>
          <w:sz w:val="13"/>
        </w:rPr>
        <w:t>Toda</w:t>
      </w:r>
      <w:r>
        <w:rPr>
          <w:spacing w:val="12"/>
          <w:sz w:val="13"/>
        </w:rPr>
        <w:t xml:space="preserve"> </w:t>
      </w:r>
      <w:r>
        <w:rPr>
          <w:sz w:val="13"/>
        </w:rPr>
        <w:t>Forma</w:t>
      </w:r>
      <w:r>
        <w:rPr>
          <w:spacing w:val="12"/>
          <w:sz w:val="13"/>
        </w:rPr>
        <w:t xml:space="preserve"> </w:t>
      </w:r>
      <w:r>
        <w:rPr>
          <w:sz w:val="13"/>
        </w:rPr>
        <w:t>de</w:t>
      </w:r>
      <w:r>
        <w:rPr>
          <w:spacing w:val="12"/>
          <w:sz w:val="13"/>
        </w:rPr>
        <w:t xml:space="preserve"> </w:t>
      </w:r>
      <w:r>
        <w:rPr>
          <w:sz w:val="13"/>
        </w:rPr>
        <w:t>Discriminación,</w:t>
      </w:r>
      <w:r>
        <w:rPr>
          <w:spacing w:val="14"/>
          <w:sz w:val="13"/>
        </w:rPr>
        <w:t xml:space="preserve"> </w:t>
      </w:r>
      <w:r>
        <w:rPr>
          <w:sz w:val="13"/>
        </w:rPr>
        <w:t>2010</w:t>
      </w:r>
      <w:r>
        <w:rPr>
          <w:spacing w:val="12"/>
          <w:sz w:val="13"/>
        </w:rPr>
        <w:t xml:space="preserve"> </w:t>
      </w:r>
      <w:r>
        <w:rPr>
          <w:sz w:val="13"/>
        </w:rPr>
        <w:t>(Ley</w:t>
      </w:r>
      <w:r>
        <w:rPr>
          <w:spacing w:val="12"/>
          <w:sz w:val="13"/>
        </w:rPr>
        <w:t xml:space="preserve"> </w:t>
      </w:r>
      <w:r>
        <w:rPr>
          <w:sz w:val="13"/>
        </w:rPr>
        <w:t>N°</w:t>
      </w:r>
      <w:r>
        <w:rPr>
          <w:spacing w:val="12"/>
          <w:sz w:val="13"/>
        </w:rPr>
        <w:t xml:space="preserve"> </w:t>
      </w:r>
      <w:proofErr w:type="gramStart"/>
      <w:r>
        <w:rPr>
          <w:sz w:val="13"/>
        </w:rPr>
        <w:t>45);</w:t>
      </w:r>
      <w:proofErr w:type="gramEnd"/>
      <w:r>
        <w:rPr>
          <w:spacing w:val="13"/>
          <w:sz w:val="13"/>
        </w:rPr>
        <w:t xml:space="preserve"> </w:t>
      </w:r>
      <w:r>
        <w:rPr>
          <w:sz w:val="13"/>
        </w:rPr>
        <w:t>y</w:t>
      </w:r>
      <w:r>
        <w:rPr>
          <w:spacing w:val="40"/>
          <w:sz w:val="13"/>
        </w:rPr>
        <w:t xml:space="preserve"> </w:t>
      </w:r>
      <w:r>
        <w:rPr>
          <w:sz w:val="13"/>
        </w:rPr>
        <w:t>México,</w:t>
      </w:r>
      <w:r>
        <w:rPr>
          <w:spacing w:val="34"/>
          <w:sz w:val="13"/>
        </w:rPr>
        <w:t xml:space="preserve"> </w:t>
      </w:r>
      <w:r>
        <w:rPr>
          <w:sz w:val="13"/>
        </w:rPr>
        <w:t>Ley</w:t>
      </w:r>
      <w:r>
        <w:rPr>
          <w:spacing w:val="32"/>
          <w:sz w:val="13"/>
        </w:rPr>
        <w:t xml:space="preserve"> </w:t>
      </w:r>
      <w:r>
        <w:rPr>
          <w:sz w:val="13"/>
        </w:rPr>
        <w:t>Federal</w:t>
      </w:r>
      <w:r>
        <w:rPr>
          <w:spacing w:val="32"/>
          <w:sz w:val="13"/>
        </w:rPr>
        <w:t xml:space="preserve"> </w:t>
      </w:r>
      <w:r>
        <w:rPr>
          <w:sz w:val="13"/>
        </w:rPr>
        <w:t>para</w:t>
      </w:r>
      <w:r>
        <w:rPr>
          <w:spacing w:val="32"/>
          <w:sz w:val="13"/>
        </w:rPr>
        <w:t xml:space="preserve"> </w:t>
      </w:r>
      <w:r>
        <w:rPr>
          <w:sz w:val="13"/>
        </w:rPr>
        <w:t>Prevenir</w:t>
      </w:r>
      <w:r>
        <w:rPr>
          <w:spacing w:val="32"/>
          <w:sz w:val="13"/>
        </w:rPr>
        <w:t xml:space="preserve"> </w:t>
      </w:r>
      <w:r>
        <w:rPr>
          <w:sz w:val="13"/>
        </w:rPr>
        <w:t>y</w:t>
      </w:r>
      <w:r>
        <w:rPr>
          <w:spacing w:val="32"/>
          <w:sz w:val="13"/>
        </w:rPr>
        <w:t xml:space="preserve"> </w:t>
      </w:r>
      <w:r>
        <w:rPr>
          <w:sz w:val="13"/>
        </w:rPr>
        <w:t>Eliminar</w:t>
      </w:r>
      <w:r>
        <w:rPr>
          <w:spacing w:val="32"/>
          <w:sz w:val="13"/>
        </w:rPr>
        <w:t xml:space="preserve"> </w:t>
      </w:r>
      <w:r>
        <w:rPr>
          <w:sz w:val="13"/>
        </w:rPr>
        <w:t>la</w:t>
      </w:r>
      <w:r>
        <w:rPr>
          <w:spacing w:val="32"/>
          <w:sz w:val="13"/>
        </w:rPr>
        <w:t xml:space="preserve"> </w:t>
      </w:r>
      <w:r>
        <w:rPr>
          <w:sz w:val="13"/>
        </w:rPr>
        <w:t>Discriminación,</w:t>
      </w:r>
      <w:r>
        <w:rPr>
          <w:spacing w:val="36"/>
          <w:sz w:val="13"/>
        </w:rPr>
        <w:t xml:space="preserve"> </w:t>
      </w:r>
      <w:r>
        <w:rPr>
          <w:sz w:val="13"/>
        </w:rPr>
        <w:t>2003.</w:t>
      </w:r>
    </w:p>
    <w:p w14:paraId="143E586A" w14:textId="77777777" w:rsidR="0014798C" w:rsidRDefault="004E1F0B">
      <w:pPr>
        <w:spacing w:before="69"/>
        <w:ind w:left="1107"/>
        <w:rPr>
          <w:sz w:val="12"/>
        </w:rPr>
      </w:pPr>
      <w:r>
        <w:rPr>
          <w:sz w:val="12"/>
        </w:rPr>
        <w:t>93</w:t>
      </w:r>
      <w:r>
        <w:rPr>
          <w:spacing w:val="22"/>
          <w:sz w:val="12"/>
        </w:rPr>
        <w:t xml:space="preserve"> </w:t>
      </w:r>
      <w:r>
        <w:rPr>
          <w:sz w:val="12"/>
        </w:rPr>
        <w:t>Ver</w:t>
      </w:r>
      <w:r>
        <w:rPr>
          <w:spacing w:val="22"/>
          <w:sz w:val="12"/>
        </w:rPr>
        <w:t xml:space="preserve"> </w:t>
      </w:r>
      <w:hyperlink r:id="rId75">
        <w:r>
          <w:rPr>
            <w:color w:val="0075BF"/>
            <w:sz w:val="12"/>
          </w:rPr>
          <w:t>www.bcn.cl/historiadelaley/historia-de-la-ley/vista-</w:t>
        </w:r>
        <w:r>
          <w:rPr>
            <w:color w:val="0075BF"/>
            <w:spacing w:val="-2"/>
            <w:sz w:val="12"/>
          </w:rPr>
          <w:t>expandida/4516.</w:t>
        </w:r>
      </w:hyperlink>
    </w:p>
    <w:p w14:paraId="36D2A86F" w14:textId="77777777" w:rsidR="0014798C" w:rsidRDefault="0014798C">
      <w:pPr>
        <w:pStyle w:val="Textoindependiente"/>
        <w:rPr>
          <w:sz w:val="18"/>
        </w:rPr>
      </w:pPr>
    </w:p>
    <w:p w14:paraId="4A948091" w14:textId="77777777" w:rsidR="0014798C" w:rsidRDefault="0014798C">
      <w:pPr>
        <w:pStyle w:val="Textoindependiente"/>
        <w:rPr>
          <w:sz w:val="18"/>
        </w:rPr>
      </w:pPr>
    </w:p>
    <w:p w14:paraId="3E151723" w14:textId="77777777" w:rsidR="0014798C" w:rsidRDefault="0014798C">
      <w:pPr>
        <w:pStyle w:val="Textoindependiente"/>
        <w:spacing w:before="30"/>
        <w:rPr>
          <w:sz w:val="18"/>
        </w:rPr>
      </w:pPr>
    </w:p>
    <w:p w14:paraId="4A257919" w14:textId="77777777" w:rsidR="0014798C" w:rsidRDefault="004E1F0B">
      <w:pPr>
        <w:ind w:left="581"/>
        <w:rPr>
          <w:sz w:val="18"/>
        </w:rPr>
      </w:pPr>
      <w:r>
        <w:rPr>
          <w:spacing w:val="-5"/>
          <w:sz w:val="18"/>
        </w:rPr>
        <w:t>10</w:t>
      </w:r>
    </w:p>
    <w:p w14:paraId="1AA396B1" w14:textId="77777777" w:rsidR="0014798C" w:rsidRDefault="0014798C">
      <w:pPr>
        <w:rPr>
          <w:sz w:val="18"/>
        </w:rPr>
        <w:sectPr w:rsidR="0014798C" w:rsidSect="00F265E4">
          <w:pgSz w:w="11900" w:h="16820"/>
          <w:pgMar w:top="340" w:right="0" w:bottom="280" w:left="200" w:header="121" w:footer="0" w:gutter="0"/>
          <w:cols w:space="720"/>
        </w:sectPr>
      </w:pPr>
    </w:p>
    <w:p w14:paraId="10D8B947" w14:textId="77777777" w:rsidR="0014798C" w:rsidRDefault="0014798C">
      <w:pPr>
        <w:pStyle w:val="Textoindependiente"/>
        <w:rPr>
          <w:sz w:val="10"/>
        </w:rPr>
      </w:pPr>
    </w:p>
    <w:p w14:paraId="65489C60" w14:textId="77777777" w:rsidR="0014798C" w:rsidRDefault="0014798C">
      <w:pPr>
        <w:pStyle w:val="Textoindependiente"/>
        <w:spacing w:before="4"/>
        <w:rPr>
          <w:sz w:val="10"/>
        </w:rPr>
      </w:pPr>
    </w:p>
    <w:p w14:paraId="2DA408EF" w14:textId="77777777" w:rsidR="0014798C" w:rsidRDefault="004E1F0B">
      <w:pPr>
        <w:ind w:left="1111"/>
        <w:rPr>
          <w:sz w:val="10"/>
        </w:rPr>
      </w:pPr>
      <w:r>
        <w:rPr>
          <w:color w:val="009EDB"/>
          <w:w w:val="105"/>
          <w:sz w:val="10"/>
        </w:rPr>
        <w:t>PRIMERA</w:t>
      </w:r>
      <w:r>
        <w:rPr>
          <w:color w:val="009EDB"/>
          <w:spacing w:val="3"/>
          <w:w w:val="105"/>
          <w:sz w:val="10"/>
        </w:rPr>
        <w:t xml:space="preserve"> </w:t>
      </w:r>
      <w:r>
        <w:rPr>
          <w:color w:val="009EDB"/>
          <w:w w:val="105"/>
          <w:sz w:val="10"/>
        </w:rPr>
        <w:t>PARTE:</w:t>
      </w:r>
      <w:r>
        <w:rPr>
          <w:color w:val="009EDB"/>
          <w:spacing w:val="2"/>
          <w:w w:val="105"/>
          <w:sz w:val="10"/>
        </w:rPr>
        <w:t xml:space="preserve"> </w:t>
      </w:r>
      <w:r>
        <w:rPr>
          <w:color w:val="009EDB"/>
          <w:w w:val="105"/>
          <w:sz w:val="10"/>
        </w:rPr>
        <w:t>OBLIGACIONES</w:t>
      </w:r>
      <w:r>
        <w:rPr>
          <w:color w:val="009EDB"/>
          <w:spacing w:val="4"/>
          <w:w w:val="105"/>
          <w:sz w:val="10"/>
        </w:rPr>
        <w:t xml:space="preserve"> </w:t>
      </w:r>
      <w:r>
        <w:rPr>
          <w:color w:val="009EDB"/>
          <w:w w:val="105"/>
          <w:sz w:val="10"/>
        </w:rPr>
        <w:t>DE</w:t>
      </w:r>
      <w:r>
        <w:rPr>
          <w:color w:val="009EDB"/>
          <w:spacing w:val="2"/>
          <w:w w:val="105"/>
          <w:sz w:val="10"/>
        </w:rPr>
        <w:t xml:space="preserve"> </w:t>
      </w:r>
      <w:r>
        <w:rPr>
          <w:color w:val="009EDB"/>
          <w:w w:val="105"/>
          <w:sz w:val="10"/>
        </w:rPr>
        <w:t>LOS</w:t>
      </w:r>
      <w:r>
        <w:rPr>
          <w:color w:val="009EDB"/>
          <w:spacing w:val="2"/>
          <w:w w:val="105"/>
          <w:sz w:val="10"/>
        </w:rPr>
        <w:t xml:space="preserve"> </w:t>
      </w:r>
      <w:r>
        <w:rPr>
          <w:color w:val="009EDB"/>
          <w:w w:val="105"/>
          <w:sz w:val="10"/>
        </w:rPr>
        <w:t>ESTADOS</w:t>
      </w:r>
      <w:r>
        <w:rPr>
          <w:color w:val="009EDB"/>
          <w:spacing w:val="4"/>
          <w:w w:val="105"/>
          <w:sz w:val="10"/>
        </w:rPr>
        <w:t xml:space="preserve"> </w:t>
      </w:r>
      <w:r>
        <w:rPr>
          <w:color w:val="009EDB"/>
          <w:w w:val="105"/>
          <w:sz w:val="10"/>
        </w:rPr>
        <w:t>PARA</w:t>
      </w:r>
      <w:r>
        <w:rPr>
          <w:color w:val="009EDB"/>
          <w:spacing w:val="2"/>
          <w:w w:val="105"/>
          <w:sz w:val="10"/>
        </w:rPr>
        <w:t xml:space="preserve"> </w:t>
      </w:r>
      <w:r>
        <w:rPr>
          <w:color w:val="009EDB"/>
          <w:w w:val="105"/>
          <w:sz w:val="10"/>
        </w:rPr>
        <w:t>PROMULGAR</w:t>
      </w:r>
      <w:r>
        <w:rPr>
          <w:color w:val="009EDB"/>
          <w:spacing w:val="3"/>
          <w:w w:val="105"/>
          <w:sz w:val="10"/>
        </w:rPr>
        <w:t xml:space="preserve"> </w:t>
      </w:r>
      <w:r>
        <w:rPr>
          <w:color w:val="009EDB"/>
          <w:w w:val="105"/>
          <w:sz w:val="10"/>
        </w:rPr>
        <w:t>UNA</w:t>
      </w:r>
      <w:r>
        <w:rPr>
          <w:color w:val="009EDB"/>
          <w:spacing w:val="3"/>
          <w:w w:val="105"/>
          <w:sz w:val="10"/>
        </w:rPr>
        <w:t xml:space="preserve"> </w:t>
      </w:r>
      <w:r>
        <w:rPr>
          <w:color w:val="009EDB"/>
          <w:w w:val="105"/>
          <w:sz w:val="10"/>
        </w:rPr>
        <w:t>LEY</w:t>
      </w:r>
      <w:r>
        <w:rPr>
          <w:color w:val="009EDB"/>
          <w:spacing w:val="2"/>
          <w:w w:val="105"/>
          <w:sz w:val="10"/>
        </w:rPr>
        <w:t xml:space="preserve"> </w:t>
      </w:r>
      <w:r>
        <w:rPr>
          <w:color w:val="009EDB"/>
          <w:w w:val="105"/>
          <w:sz w:val="10"/>
        </w:rPr>
        <w:t>INTEGRAL</w:t>
      </w:r>
      <w:r>
        <w:rPr>
          <w:color w:val="009EDB"/>
          <w:spacing w:val="3"/>
          <w:w w:val="105"/>
          <w:sz w:val="10"/>
        </w:rPr>
        <w:t xml:space="preserve"> </w:t>
      </w:r>
      <w:r>
        <w:rPr>
          <w:color w:val="009EDB"/>
          <w:w w:val="105"/>
          <w:sz w:val="10"/>
        </w:rPr>
        <w:t>CONTRA</w:t>
      </w:r>
      <w:r>
        <w:rPr>
          <w:color w:val="009EDB"/>
          <w:spacing w:val="3"/>
          <w:w w:val="105"/>
          <w:sz w:val="10"/>
        </w:rPr>
        <w:t xml:space="preserve"> </w:t>
      </w:r>
      <w:r>
        <w:rPr>
          <w:color w:val="009EDB"/>
          <w:w w:val="105"/>
          <w:sz w:val="10"/>
        </w:rPr>
        <w:t>LA</w:t>
      </w:r>
      <w:r>
        <w:rPr>
          <w:color w:val="009EDB"/>
          <w:spacing w:val="2"/>
          <w:w w:val="105"/>
          <w:sz w:val="10"/>
        </w:rPr>
        <w:t xml:space="preserve"> </w:t>
      </w:r>
      <w:r>
        <w:rPr>
          <w:color w:val="009EDB"/>
          <w:spacing w:val="-2"/>
          <w:w w:val="105"/>
          <w:sz w:val="10"/>
        </w:rPr>
        <w:t>DISCRIMINACIÓN</w:t>
      </w:r>
    </w:p>
    <w:p w14:paraId="08F78E8C" w14:textId="77777777" w:rsidR="0014798C" w:rsidRDefault="0014798C">
      <w:pPr>
        <w:pStyle w:val="Textoindependiente"/>
        <w:rPr>
          <w:sz w:val="17"/>
        </w:rPr>
      </w:pPr>
    </w:p>
    <w:p w14:paraId="1C243C8C" w14:textId="77777777" w:rsidR="0014798C" w:rsidRDefault="0014798C">
      <w:pPr>
        <w:pStyle w:val="Textoindependiente"/>
        <w:rPr>
          <w:sz w:val="17"/>
        </w:rPr>
      </w:pPr>
    </w:p>
    <w:p w14:paraId="3533765D" w14:textId="77777777" w:rsidR="0014798C" w:rsidRDefault="0014798C">
      <w:pPr>
        <w:pStyle w:val="Textoindependiente"/>
        <w:rPr>
          <w:sz w:val="17"/>
        </w:rPr>
      </w:pPr>
    </w:p>
    <w:p w14:paraId="1250ADC5" w14:textId="77777777" w:rsidR="0014798C" w:rsidRDefault="0014798C">
      <w:pPr>
        <w:pStyle w:val="Textoindependiente"/>
        <w:spacing w:before="194"/>
        <w:rPr>
          <w:sz w:val="17"/>
        </w:rPr>
      </w:pPr>
    </w:p>
    <w:p w14:paraId="3C272C31" w14:textId="77777777" w:rsidR="0014798C" w:rsidRDefault="004E1F0B">
      <w:pPr>
        <w:spacing w:line="307" w:lineRule="auto"/>
        <w:ind w:left="1332" w:right="1624"/>
        <w:jc w:val="both"/>
        <w:rPr>
          <w:sz w:val="17"/>
        </w:rPr>
      </w:pPr>
      <w:r>
        <w:rPr>
          <w:noProof/>
        </w:rPr>
        <w:drawing>
          <wp:anchor distT="0" distB="0" distL="0" distR="0" simplePos="0" relativeHeight="251658366" behindDoc="1" locked="0" layoutInCell="1" allowOverlap="1" wp14:anchorId="3A52673F" wp14:editId="064FA95E">
            <wp:simplePos x="0" y="0"/>
            <wp:positionH relativeFrom="page">
              <wp:posOffset>813154</wp:posOffset>
            </wp:positionH>
            <wp:positionV relativeFrom="paragraph">
              <wp:posOffset>-134054</wp:posOffset>
            </wp:positionV>
            <wp:extent cx="6743345" cy="6506375"/>
            <wp:effectExtent l="0" t="0" r="0" b="0"/>
            <wp:wrapNone/>
            <wp:docPr id="71" name="Image 7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71" name="Image 71"/>
                    <pic:cNvPicPr/>
                  </pic:nvPicPr>
                  <pic:blipFill>
                    <a:blip r:embed="rId76" cstate="print"/>
                    <a:stretch>
                      <a:fillRect/>
                    </a:stretch>
                  </pic:blipFill>
                  <pic:spPr>
                    <a:xfrm>
                      <a:off x="0" y="0"/>
                      <a:ext cx="6743345" cy="6506375"/>
                    </a:xfrm>
                    <a:prstGeom prst="rect">
                      <a:avLst/>
                    </a:prstGeom>
                  </pic:spPr>
                </pic:pic>
              </a:graphicData>
            </a:graphic>
          </wp:anchor>
        </w:drawing>
      </w:r>
      <w:r>
        <w:rPr>
          <w:sz w:val="17"/>
        </w:rPr>
        <w:t>La</w:t>
      </w:r>
      <w:r>
        <w:rPr>
          <w:spacing w:val="-5"/>
          <w:sz w:val="17"/>
        </w:rPr>
        <w:t xml:space="preserve"> </w:t>
      </w:r>
      <w:r>
        <w:rPr>
          <w:sz w:val="17"/>
        </w:rPr>
        <w:t>Ley</w:t>
      </w:r>
      <w:r>
        <w:rPr>
          <w:spacing w:val="-5"/>
          <w:sz w:val="17"/>
        </w:rPr>
        <w:t xml:space="preserve"> </w:t>
      </w:r>
      <w:r>
        <w:rPr>
          <w:sz w:val="17"/>
        </w:rPr>
        <w:t>establece</w:t>
      </w:r>
      <w:r>
        <w:rPr>
          <w:spacing w:val="-5"/>
          <w:sz w:val="17"/>
        </w:rPr>
        <w:t xml:space="preserve"> </w:t>
      </w:r>
      <w:r>
        <w:rPr>
          <w:sz w:val="17"/>
        </w:rPr>
        <w:t>un</w:t>
      </w:r>
      <w:r>
        <w:rPr>
          <w:spacing w:val="-5"/>
          <w:sz w:val="17"/>
        </w:rPr>
        <w:t xml:space="preserve"> </w:t>
      </w:r>
      <w:r>
        <w:rPr>
          <w:sz w:val="17"/>
        </w:rPr>
        <w:t>mecanismo</w:t>
      </w:r>
      <w:r>
        <w:rPr>
          <w:spacing w:val="-5"/>
          <w:sz w:val="17"/>
        </w:rPr>
        <w:t xml:space="preserve"> </w:t>
      </w:r>
      <w:r>
        <w:rPr>
          <w:sz w:val="17"/>
        </w:rPr>
        <w:t>judicial</w:t>
      </w:r>
      <w:r>
        <w:rPr>
          <w:spacing w:val="-5"/>
          <w:sz w:val="17"/>
        </w:rPr>
        <w:t xml:space="preserve"> </w:t>
      </w:r>
      <w:r>
        <w:rPr>
          <w:sz w:val="17"/>
        </w:rPr>
        <w:t>que</w:t>
      </w:r>
      <w:r>
        <w:rPr>
          <w:spacing w:val="-5"/>
          <w:sz w:val="17"/>
        </w:rPr>
        <w:t xml:space="preserve"> </w:t>
      </w:r>
      <w:r>
        <w:rPr>
          <w:sz w:val="17"/>
        </w:rPr>
        <w:t>permite</w:t>
      </w:r>
      <w:r>
        <w:rPr>
          <w:spacing w:val="-5"/>
          <w:sz w:val="17"/>
        </w:rPr>
        <w:t xml:space="preserve"> </w:t>
      </w:r>
      <w:r>
        <w:rPr>
          <w:sz w:val="17"/>
        </w:rPr>
        <w:t>el</w:t>
      </w:r>
      <w:r>
        <w:rPr>
          <w:spacing w:val="-5"/>
          <w:sz w:val="17"/>
        </w:rPr>
        <w:t xml:space="preserve"> </w:t>
      </w:r>
      <w:r>
        <w:rPr>
          <w:sz w:val="17"/>
        </w:rPr>
        <w:t>restablecimiento</w:t>
      </w:r>
      <w:r>
        <w:rPr>
          <w:spacing w:val="-5"/>
          <w:sz w:val="17"/>
        </w:rPr>
        <w:t xml:space="preserve"> </w:t>
      </w:r>
      <w:r>
        <w:rPr>
          <w:sz w:val="17"/>
        </w:rPr>
        <w:t>efectivo</w:t>
      </w:r>
      <w:r>
        <w:rPr>
          <w:spacing w:val="-5"/>
          <w:sz w:val="17"/>
        </w:rPr>
        <w:t xml:space="preserve"> </w:t>
      </w:r>
      <w:r>
        <w:rPr>
          <w:sz w:val="17"/>
        </w:rPr>
        <w:t>del</w:t>
      </w:r>
      <w:r>
        <w:rPr>
          <w:spacing w:val="-5"/>
          <w:sz w:val="17"/>
        </w:rPr>
        <w:t xml:space="preserve"> </w:t>
      </w:r>
      <w:r>
        <w:rPr>
          <w:sz w:val="17"/>
        </w:rPr>
        <w:t>Estado</w:t>
      </w:r>
      <w:r>
        <w:rPr>
          <w:spacing w:val="-5"/>
          <w:sz w:val="17"/>
        </w:rPr>
        <w:t xml:space="preserve"> </w:t>
      </w:r>
      <w:r>
        <w:rPr>
          <w:sz w:val="17"/>
        </w:rPr>
        <w:t>de</w:t>
      </w:r>
      <w:r>
        <w:rPr>
          <w:spacing w:val="-5"/>
          <w:sz w:val="17"/>
        </w:rPr>
        <w:t xml:space="preserve"> </w:t>
      </w:r>
      <w:r>
        <w:rPr>
          <w:sz w:val="17"/>
        </w:rPr>
        <w:t>derecho</w:t>
      </w:r>
      <w:r>
        <w:rPr>
          <w:spacing w:val="-5"/>
          <w:sz w:val="17"/>
        </w:rPr>
        <w:t xml:space="preserve"> </w:t>
      </w:r>
      <w:r>
        <w:rPr>
          <w:sz w:val="17"/>
        </w:rPr>
        <w:t>siempre</w:t>
      </w:r>
      <w:r>
        <w:rPr>
          <w:spacing w:val="-5"/>
          <w:sz w:val="17"/>
        </w:rPr>
        <w:t xml:space="preserve"> </w:t>
      </w:r>
      <w:r>
        <w:rPr>
          <w:sz w:val="17"/>
        </w:rPr>
        <w:t>que se</w:t>
      </w:r>
      <w:r>
        <w:rPr>
          <w:spacing w:val="-6"/>
          <w:sz w:val="17"/>
        </w:rPr>
        <w:t xml:space="preserve"> </w:t>
      </w:r>
      <w:r>
        <w:rPr>
          <w:sz w:val="17"/>
        </w:rPr>
        <w:t>cometa</w:t>
      </w:r>
      <w:r>
        <w:rPr>
          <w:spacing w:val="-6"/>
          <w:sz w:val="17"/>
        </w:rPr>
        <w:t xml:space="preserve"> </w:t>
      </w:r>
      <w:r>
        <w:rPr>
          <w:sz w:val="17"/>
        </w:rPr>
        <w:t>un</w:t>
      </w:r>
      <w:r>
        <w:rPr>
          <w:spacing w:val="-6"/>
          <w:sz w:val="17"/>
        </w:rPr>
        <w:t xml:space="preserve"> </w:t>
      </w:r>
      <w:r>
        <w:rPr>
          <w:sz w:val="17"/>
        </w:rPr>
        <w:t>acto</w:t>
      </w:r>
      <w:r>
        <w:rPr>
          <w:spacing w:val="-6"/>
          <w:sz w:val="17"/>
        </w:rPr>
        <w:t xml:space="preserve"> </w:t>
      </w:r>
      <w:r>
        <w:rPr>
          <w:sz w:val="17"/>
        </w:rPr>
        <w:t>de</w:t>
      </w:r>
      <w:r>
        <w:rPr>
          <w:spacing w:val="-6"/>
          <w:sz w:val="17"/>
        </w:rPr>
        <w:t xml:space="preserve"> </w:t>
      </w:r>
      <w:r>
        <w:rPr>
          <w:sz w:val="17"/>
        </w:rPr>
        <w:t>discriminación</w:t>
      </w:r>
      <w:r>
        <w:rPr>
          <w:spacing w:val="-6"/>
          <w:sz w:val="17"/>
        </w:rPr>
        <w:t xml:space="preserve"> </w:t>
      </w:r>
      <w:r>
        <w:rPr>
          <w:sz w:val="17"/>
        </w:rPr>
        <w:t>arbitraria.</w:t>
      </w:r>
      <w:r>
        <w:rPr>
          <w:spacing w:val="-5"/>
          <w:sz w:val="17"/>
        </w:rPr>
        <w:t xml:space="preserve"> </w:t>
      </w:r>
      <w:r>
        <w:rPr>
          <w:sz w:val="17"/>
        </w:rPr>
        <w:t>El</w:t>
      </w:r>
      <w:r>
        <w:rPr>
          <w:spacing w:val="-6"/>
          <w:sz w:val="17"/>
        </w:rPr>
        <w:t xml:space="preserve"> </w:t>
      </w:r>
      <w:r>
        <w:rPr>
          <w:sz w:val="17"/>
        </w:rPr>
        <w:t>artículo</w:t>
      </w:r>
      <w:r>
        <w:rPr>
          <w:spacing w:val="-6"/>
          <w:sz w:val="17"/>
        </w:rPr>
        <w:t xml:space="preserve"> </w:t>
      </w:r>
      <w:r>
        <w:rPr>
          <w:sz w:val="17"/>
        </w:rPr>
        <w:t>1</w:t>
      </w:r>
      <w:r>
        <w:rPr>
          <w:spacing w:val="-6"/>
          <w:sz w:val="17"/>
        </w:rPr>
        <w:t xml:space="preserve"> </w:t>
      </w:r>
      <w:r>
        <w:rPr>
          <w:sz w:val="17"/>
        </w:rPr>
        <w:t>establece</w:t>
      </w:r>
      <w:r>
        <w:rPr>
          <w:spacing w:val="-6"/>
          <w:sz w:val="17"/>
        </w:rPr>
        <w:t xml:space="preserve"> </w:t>
      </w:r>
      <w:r>
        <w:rPr>
          <w:sz w:val="17"/>
        </w:rPr>
        <w:t>el</w:t>
      </w:r>
      <w:r>
        <w:rPr>
          <w:spacing w:val="-6"/>
          <w:sz w:val="17"/>
        </w:rPr>
        <w:t xml:space="preserve"> </w:t>
      </w:r>
      <w:r>
        <w:rPr>
          <w:sz w:val="17"/>
        </w:rPr>
        <w:t>alcance</w:t>
      </w:r>
      <w:r>
        <w:rPr>
          <w:spacing w:val="-6"/>
          <w:sz w:val="17"/>
        </w:rPr>
        <w:t xml:space="preserve"> </w:t>
      </w:r>
      <w:r>
        <w:rPr>
          <w:sz w:val="17"/>
        </w:rPr>
        <w:t>material</w:t>
      </w:r>
      <w:r>
        <w:rPr>
          <w:spacing w:val="-6"/>
          <w:sz w:val="17"/>
        </w:rPr>
        <w:t xml:space="preserve"> </w:t>
      </w:r>
      <w:r>
        <w:rPr>
          <w:sz w:val="17"/>
        </w:rPr>
        <w:t>de</w:t>
      </w:r>
      <w:r>
        <w:rPr>
          <w:spacing w:val="-6"/>
          <w:sz w:val="17"/>
        </w:rPr>
        <w:t xml:space="preserve"> </w:t>
      </w:r>
      <w:r>
        <w:rPr>
          <w:sz w:val="17"/>
        </w:rPr>
        <w:t>la</w:t>
      </w:r>
      <w:r>
        <w:rPr>
          <w:spacing w:val="-6"/>
          <w:sz w:val="17"/>
        </w:rPr>
        <w:t xml:space="preserve"> </w:t>
      </w:r>
      <w:r>
        <w:rPr>
          <w:sz w:val="17"/>
        </w:rPr>
        <w:t>ley,</w:t>
      </w:r>
      <w:r>
        <w:rPr>
          <w:spacing w:val="-6"/>
          <w:sz w:val="17"/>
        </w:rPr>
        <w:t xml:space="preserve"> </w:t>
      </w:r>
      <w:r>
        <w:rPr>
          <w:sz w:val="17"/>
        </w:rPr>
        <w:t>que</w:t>
      </w:r>
      <w:r>
        <w:rPr>
          <w:spacing w:val="-6"/>
          <w:sz w:val="17"/>
        </w:rPr>
        <w:t xml:space="preserve"> </w:t>
      </w:r>
      <w:r>
        <w:rPr>
          <w:sz w:val="17"/>
        </w:rPr>
        <w:t>obliga</w:t>
      </w:r>
      <w:r>
        <w:rPr>
          <w:spacing w:val="-6"/>
          <w:sz w:val="17"/>
        </w:rPr>
        <w:t xml:space="preserve"> </w:t>
      </w:r>
      <w:r>
        <w:rPr>
          <w:sz w:val="17"/>
        </w:rPr>
        <w:t>a</w:t>
      </w:r>
      <w:r>
        <w:rPr>
          <w:spacing w:val="-6"/>
          <w:sz w:val="17"/>
        </w:rPr>
        <w:t xml:space="preserve"> </w:t>
      </w:r>
      <w:r>
        <w:rPr>
          <w:sz w:val="17"/>
        </w:rPr>
        <w:t>cada uno de los órganos de la Administración del Estado, en el ámbito de sus competencias.</w:t>
      </w:r>
    </w:p>
    <w:p w14:paraId="45D73488" w14:textId="77777777" w:rsidR="0014798C" w:rsidRDefault="004E1F0B">
      <w:pPr>
        <w:spacing w:line="307" w:lineRule="auto"/>
        <w:ind w:left="1337" w:right="2004" w:hanging="6"/>
        <w:rPr>
          <w:sz w:val="17"/>
        </w:rPr>
      </w:pPr>
      <w:r>
        <w:rPr>
          <w:noProof/>
        </w:rPr>
        <mc:AlternateContent>
          <mc:Choice Requires="wps">
            <w:drawing>
              <wp:anchor distT="0" distB="0" distL="0" distR="0" simplePos="0" relativeHeight="251658245" behindDoc="0" locked="0" layoutInCell="1" allowOverlap="1" wp14:anchorId="39212795" wp14:editId="47F84DF4">
                <wp:simplePos x="0" y="0"/>
                <wp:positionH relativeFrom="page">
                  <wp:posOffset>7301499</wp:posOffset>
                </wp:positionH>
                <wp:positionV relativeFrom="paragraph">
                  <wp:posOffset>72193</wp:posOffset>
                </wp:positionV>
                <wp:extent cx="97790" cy="241300"/>
                <wp:effectExtent l="0" t="0" r="0" b="0"/>
                <wp:wrapNone/>
                <wp:docPr id="72" name="Textbox 7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97790" cy="241300"/>
                        </a:xfrm>
                        <a:prstGeom prst="rect">
                          <a:avLst/>
                        </a:prstGeom>
                      </wps:spPr>
                      <wps:txbx>
                        <w:txbxContent>
                          <w:p w14:paraId="0A67292F" w14:textId="77777777" w:rsidR="0014798C" w:rsidRDefault="004E1F0B">
                            <w:pPr>
                              <w:spacing w:before="18"/>
                              <w:ind w:left="20"/>
                              <w:rPr>
                                <w:sz w:val="10"/>
                              </w:rPr>
                            </w:pPr>
                            <w:r>
                              <w:rPr>
                                <w:color w:val="FFFFFF"/>
                                <w:spacing w:val="-27"/>
                                <w:sz w:val="10"/>
                              </w:rPr>
                              <w:t>UPANROTE</w:t>
                            </w:r>
                          </w:p>
                        </w:txbxContent>
                      </wps:txbx>
                      <wps:bodyPr vert="vert270" wrap="square" lIns="0" tIns="0" rIns="0" bIns="0" rtlCol="0">
                        <a:noAutofit/>
                      </wps:bodyPr>
                    </wps:wsp>
                  </a:graphicData>
                </a:graphic>
              </wp:anchor>
            </w:drawing>
          </mc:Choice>
          <mc:Fallback>
            <w:pict>
              <v:shape w14:anchorId="39212795" id="Textbox 72" o:spid="_x0000_s1049" type="#_x0000_t202" style="position:absolute;left:0;text-align:left;margin-left:574.9pt;margin-top:5.7pt;width:7.7pt;height:19pt;z-index:251658245;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" filled="f" stroked="f">
                <v:textbox style="layout-flow:vertical;mso-layout-flow-alt:bottom-to-top" inset="0,0,0,0">
                  <w:txbxContent>
                    <w:p w14:paraId="0A67292F" w14:textId="77777777" w:rsidR="0014798C" w:rsidRDefault="004E1F0B">
                      <w:pPr>
                        <w:spacing w:before="18"/>
                        <w:ind w:left="20"/>
                        <w:rPr>
                          <w:sz w:val="10"/>
                        </w:rPr>
                      </w:pPr>
                      <w:r>
                        <w:rPr>
                          <w:color w:val="FFFFFF"/>
                          <w:spacing w:val="-27"/>
                          <w:sz w:val="10"/>
                        </w:rPr>
                        <w:t>UPANROTE</w:t>
                      </w:r>
                    </w:p>
                  </w:txbxContent>
                </v:textbox>
                <w10:wrap anchorx="page"/>
              </v:shape>
            </w:pict>
          </mc:Fallback>
        </mc:AlternateContent>
      </w:r>
      <w:r>
        <w:rPr>
          <w:sz w:val="17"/>
        </w:rPr>
        <w:t>El</w:t>
      </w:r>
      <w:r>
        <w:rPr>
          <w:spacing w:val="-8"/>
          <w:sz w:val="17"/>
        </w:rPr>
        <w:t xml:space="preserve"> </w:t>
      </w:r>
      <w:r>
        <w:rPr>
          <w:sz w:val="17"/>
        </w:rPr>
        <w:t>artículo</w:t>
      </w:r>
      <w:r>
        <w:rPr>
          <w:spacing w:val="-8"/>
          <w:sz w:val="17"/>
        </w:rPr>
        <w:t xml:space="preserve"> </w:t>
      </w:r>
      <w:r>
        <w:rPr>
          <w:sz w:val="17"/>
        </w:rPr>
        <w:t>1</w:t>
      </w:r>
      <w:r>
        <w:rPr>
          <w:spacing w:val="-8"/>
          <w:sz w:val="17"/>
        </w:rPr>
        <w:t xml:space="preserve"> </w:t>
      </w:r>
      <w:r>
        <w:rPr>
          <w:sz w:val="17"/>
        </w:rPr>
        <w:t>establece</w:t>
      </w:r>
      <w:r>
        <w:rPr>
          <w:spacing w:val="-8"/>
          <w:sz w:val="17"/>
        </w:rPr>
        <w:t xml:space="preserve"> </w:t>
      </w:r>
      <w:r>
        <w:rPr>
          <w:sz w:val="17"/>
        </w:rPr>
        <w:t>además</w:t>
      </w:r>
      <w:r>
        <w:rPr>
          <w:spacing w:val="-8"/>
          <w:sz w:val="17"/>
        </w:rPr>
        <w:t xml:space="preserve"> </w:t>
      </w:r>
      <w:r>
        <w:rPr>
          <w:sz w:val="17"/>
        </w:rPr>
        <w:t>una</w:t>
      </w:r>
      <w:r>
        <w:rPr>
          <w:spacing w:val="-8"/>
          <w:sz w:val="17"/>
        </w:rPr>
        <w:t xml:space="preserve"> </w:t>
      </w:r>
      <w:r>
        <w:rPr>
          <w:sz w:val="17"/>
        </w:rPr>
        <w:t>obligación</w:t>
      </w:r>
      <w:r>
        <w:rPr>
          <w:spacing w:val="-8"/>
          <w:sz w:val="17"/>
        </w:rPr>
        <w:t xml:space="preserve"> </w:t>
      </w:r>
      <w:r>
        <w:rPr>
          <w:sz w:val="17"/>
        </w:rPr>
        <w:t>positiva</w:t>
      </w:r>
      <w:r>
        <w:rPr>
          <w:spacing w:val="-8"/>
          <w:sz w:val="17"/>
        </w:rPr>
        <w:t xml:space="preserve"> </w:t>
      </w:r>
      <w:r>
        <w:rPr>
          <w:sz w:val="17"/>
        </w:rPr>
        <w:t>para</w:t>
      </w:r>
      <w:r>
        <w:rPr>
          <w:spacing w:val="-8"/>
          <w:sz w:val="17"/>
        </w:rPr>
        <w:t xml:space="preserve"> </w:t>
      </w:r>
      <w:r>
        <w:rPr>
          <w:sz w:val="17"/>
        </w:rPr>
        <w:t>los</w:t>
      </w:r>
      <w:r>
        <w:rPr>
          <w:spacing w:val="-8"/>
          <w:sz w:val="17"/>
        </w:rPr>
        <w:t xml:space="preserve"> </w:t>
      </w:r>
      <w:r>
        <w:rPr>
          <w:sz w:val="17"/>
        </w:rPr>
        <w:t>órganos</w:t>
      </w:r>
      <w:r>
        <w:rPr>
          <w:spacing w:val="-8"/>
          <w:sz w:val="17"/>
        </w:rPr>
        <w:t xml:space="preserve"> </w:t>
      </w:r>
      <w:r>
        <w:rPr>
          <w:sz w:val="17"/>
        </w:rPr>
        <w:t>estatales</w:t>
      </w:r>
      <w:r>
        <w:rPr>
          <w:spacing w:val="-8"/>
          <w:sz w:val="17"/>
        </w:rPr>
        <w:t xml:space="preserve"> </w:t>
      </w:r>
      <w:r>
        <w:rPr>
          <w:sz w:val="17"/>
        </w:rPr>
        <w:t>de</w:t>
      </w:r>
      <w:r>
        <w:rPr>
          <w:spacing w:val="-8"/>
          <w:sz w:val="17"/>
        </w:rPr>
        <w:t xml:space="preserve"> </w:t>
      </w:r>
      <w:r>
        <w:rPr>
          <w:sz w:val="17"/>
        </w:rPr>
        <w:t>desarrollar</w:t>
      </w:r>
      <w:r>
        <w:rPr>
          <w:spacing w:val="-8"/>
          <w:sz w:val="17"/>
        </w:rPr>
        <w:t xml:space="preserve"> </w:t>
      </w:r>
      <w:r>
        <w:rPr>
          <w:sz w:val="17"/>
        </w:rPr>
        <w:t>e</w:t>
      </w:r>
      <w:r>
        <w:rPr>
          <w:spacing w:val="-8"/>
          <w:sz w:val="17"/>
        </w:rPr>
        <w:t xml:space="preserve"> </w:t>
      </w:r>
      <w:r>
        <w:rPr>
          <w:sz w:val="17"/>
        </w:rPr>
        <w:t>implementar políticas diseñadas para garantizar a todas las personas el derecho a no ser discriminados.</w:t>
      </w:r>
    </w:p>
    <w:p w14:paraId="6C07325A" w14:textId="77777777" w:rsidR="0014798C" w:rsidRDefault="004E1F0B">
      <w:pPr>
        <w:spacing w:before="111" w:line="307" w:lineRule="auto"/>
        <w:ind w:left="1332" w:right="1626" w:firstLine="1"/>
        <w:rPr>
          <w:sz w:val="17"/>
        </w:rPr>
      </w:pPr>
      <w:r>
        <w:rPr>
          <w:sz w:val="17"/>
        </w:rPr>
        <w:t>La</w:t>
      </w:r>
      <w:r>
        <w:rPr>
          <w:spacing w:val="-1"/>
          <w:sz w:val="17"/>
        </w:rPr>
        <w:t xml:space="preserve"> </w:t>
      </w:r>
      <w:r>
        <w:rPr>
          <w:sz w:val="17"/>
        </w:rPr>
        <w:t>discriminación</w:t>
      </w:r>
      <w:r>
        <w:rPr>
          <w:spacing w:val="-1"/>
          <w:sz w:val="17"/>
        </w:rPr>
        <w:t xml:space="preserve"> </w:t>
      </w:r>
      <w:r>
        <w:rPr>
          <w:sz w:val="17"/>
        </w:rPr>
        <w:t>se</w:t>
      </w:r>
      <w:r>
        <w:rPr>
          <w:spacing w:val="-1"/>
          <w:sz w:val="17"/>
        </w:rPr>
        <w:t xml:space="preserve"> </w:t>
      </w:r>
      <w:r>
        <w:rPr>
          <w:sz w:val="17"/>
        </w:rPr>
        <w:t>define</w:t>
      </w:r>
      <w:r>
        <w:rPr>
          <w:spacing w:val="-1"/>
          <w:sz w:val="17"/>
        </w:rPr>
        <w:t xml:space="preserve"> </w:t>
      </w:r>
      <w:r>
        <w:rPr>
          <w:sz w:val="17"/>
        </w:rPr>
        <w:t>en</w:t>
      </w:r>
      <w:r>
        <w:rPr>
          <w:spacing w:val="-1"/>
          <w:sz w:val="17"/>
        </w:rPr>
        <w:t xml:space="preserve"> </w:t>
      </w:r>
      <w:r>
        <w:rPr>
          <w:sz w:val="17"/>
        </w:rPr>
        <w:t>el</w:t>
      </w:r>
      <w:r>
        <w:rPr>
          <w:spacing w:val="-1"/>
          <w:sz w:val="17"/>
        </w:rPr>
        <w:t xml:space="preserve"> </w:t>
      </w:r>
      <w:r>
        <w:rPr>
          <w:sz w:val="17"/>
        </w:rPr>
        <w:t>artículo</w:t>
      </w:r>
      <w:r>
        <w:rPr>
          <w:spacing w:val="-1"/>
          <w:sz w:val="17"/>
        </w:rPr>
        <w:t xml:space="preserve"> </w:t>
      </w:r>
      <w:r>
        <w:rPr>
          <w:sz w:val="17"/>
        </w:rPr>
        <w:t>2</w:t>
      </w:r>
      <w:r>
        <w:rPr>
          <w:spacing w:val="-1"/>
          <w:sz w:val="17"/>
        </w:rPr>
        <w:t xml:space="preserve"> </w:t>
      </w:r>
      <w:r>
        <w:rPr>
          <w:sz w:val="17"/>
        </w:rPr>
        <w:t>como</w:t>
      </w:r>
      <w:r>
        <w:rPr>
          <w:spacing w:val="-1"/>
          <w:sz w:val="17"/>
        </w:rPr>
        <w:t xml:space="preserve"> </w:t>
      </w:r>
      <w:r>
        <w:rPr>
          <w:sz w:val="17"/>
        </w:rPr>
        <w:t>toda</w:t>
      </w:r>
      <w:r>
        <w:rPr>
          <w:spacing w:val="-1"/>
          <w:sz w:val="17"/>
        </w:rPr>
        <w:t xml:space="preserve"> </w:t>
      </w:r>
      <w:r>
        <w:rPr>
          <w:sz w:val="17"/>
        </w:rPr>
        <w:t>distinción, exclusión</w:t>
      </w:r>
      <w:r>
        <w:rPr>
          <w:spacing w:val="-1"/>
          <w:sz w:val="17"/>
        </w:rPr>
        <w:t xml:space="preserve"> </w:t>
      </w:r>
      <w:r>
        <w:rPr>
          <w:sz w:val="17"/>
        </w:rPr>
        <w:t>o</w:t>
      </w:r>
      <w:r>
        <w:rPr>
          <w:spacing w:val="-1"/>
          <w:sz w:val="17"/>
        </w:rPr>
        <w:t xml:space="preserve"> </w:t>
      </w:r>
      <w:r>
        <w:rPr>
          <w:sz w:val="17"/>
        </w:rPr>
        <w:t>restricción</w:t>
      </w:r>
      <w:r>
        <w:rPr>
          <w:spacing w:val="-1"/>
          <w:sz w:val="17"/>
        </w:rPr>
        <w:t xml:space="preserve"> </w:t>
      </w:r>
      <w:r>
        <w:rPr>
          <w:sz w:val="17"/>
        </w:rPr>
        <w:t>carente</w:t>
      </w:r>
      <w:r>
        <w:rPr>
          <w:spacing w:val="-1"/>
          <w:sz w:val="17"/>
        </w:rPr>
        <w:t xml:space="preserve"> </w:t>
      </w:r>
      <w:r>
        <w:rPr>
          <w:sz w:val="17"/>
        </w:rPr>
        <w:t>de</w:t>
      </w:r>
      <w:r>
        <w:rPr>
          <w:spacing w:val="-1"/>
          <w:sz w:val="17"/>
        </w:rPr>
        <w:t xml:space="preserve"> </w:t>
      </w:r>
      <w:r>
        <w:rPr>
          <w:sz w:val="17"/>
        </w:rPr>
        <w:t>justificación razonable, hecha por agentes del Estado o por particulares, que cause privación, perturbación o amenaza en el ejercicio legítimo de los derechos fundamentales establecidos en la Constitución o en el derecho internacional. tratados</w:t>
      </w:r>
      <w:r>
        <w:rPr>
          <w:spacing w:val="-7"/>
          <w:sz w:val="17"/>
        </w:rPr>
        <w:t xml:space="preserve"> </w:t>
      </w:r>
      <w:r>
        <w:rPr>
          <w:sz w:val="17"/>
        </w:rPr>
        <w:t>en</w:t>
      </w:r>
      <w:r>
        <w:rPr>
          <w:spacing w:val="-7"/>
          <w:sz w:val="17"/>
        </w:rPr>
        <w:t xml:space="preserve"> </w:t>
      </w:r>
      <w:r>
        <w:rPr>
          <w:sz w:val="17"/>
        </w:rPr>
        <w:t>materia</w:t>
      </w:r>
      <w:r>
        <w:rPr>
          <w:spacing w:val="-7"/>
          <w:sz w:val="17"/>
        </w:rPr>
        <w:t xml:space="preserve"> </w:t>
      </w:r>
      <w:r>
        <w:rPr>
          <w:sz w:val="17"/>
        </w:rPr>
        <w:t>de</w:t>
      </w:r>
      <w:r>
        <w:rPr>
          <w:spacing w:val="-7"/>
          <w:sz w:val="17"/>
        </w:rPr>
        <w:t xml:space="preserve"> </w:t>
      </w:r>
      <w:r>
        <w:rPr>
          <w:sz w:val="17"/>
        </w:rPr>
        <w:t>derechos</w:t>
      </w:r>
      <w:r>
        <w:rPr>
          <w:spacing w:val="-7"/>
          <w:sz w:val="17"/>
        </w:rPr>
        <w:t xml:space="preserve"> </w:t>
      </w:r>
      <w:r>
        <w:rPr>
          <w:sz w:val="17"/>
        </w:rPr>
        <w:t>humanos</w:t>
      </w:r>
      <w:r>
        <w:rPr>
          <w:spacing w:val="-7"/>
          <w:sz w:val="17"/>
        </w:rPr>
        <w:t xml:space="preserve"> </w:t>
      </w:r>
      <w:r>
        <w:rPr>
          <w:sz w:val="17"/>
        </w:rPr>
        <w:t>ratificados</w:t>
      </w:r>
      <w:r>
        <w:rPr>
          <w:spacing w:val="-7"/>
          <w:sz w:val="17"/>
        </w:rPr>
        <w:t xml:space="preserve"> </w:t>
      </w:r>
      <w:r>
        <w:rPr>
          <w:sz w:val="17"/>
        </w:rPr>
        <w:t>por</w:t>
      </w:r>
      <w:r>
        <w:rPr>
          <w:spacing w:val="-7"/>
          <w:sz w:val="17"/>
        </w:rPr>
        <w:t xml:space="preserve"> </w:t>
      </w:r>
      <w:r>
        <w:rPr>
          <w:sz w:val="17"/>
        </w:rPr>
        <w:t>Chile</w:t>
      </w:r>
      <w:r>
        <w:rPr>
          <w:spacing w:val="-7"/>
          <w:sz w:val="17"/>
        </w:rPr>
        <w:t xml:space="preserve"> </w:t>
      </w:r>
      <w:r>
        <w:rPr>
          <w:sz w:val="17"/>
        </w:rPr>
        <w:t>que</w:t>
      </w:r>
      <w:r>
        <w:rPr>
          <w:spacing w:val="-7"/>
          <w:sz w:val="17"/>
        </w:rPr>
        <w:t xml:space="preserve"> </w:t>
      </w:r>
      <w:r>
        <w:rPr>
          <w:sz w:val="17"/>
        </w:rPr>
        <w:t>se</w:t>
      </w:r>
      <w:r>
        <w:rPr>
          <w:spacing w:val="-7"/>
          <w:sz w:val="17"/>
        </w:rPr>
        <w:t xml:space="preserve"> </w:t>
      </w:r>
      <w:r>
        <w:rPr>
          <w:sz w:val="17"/>
        </w:rPr>
        <w:t>encuentran</w:t>
      </w:r>
      <w:r>
        <w:rPr>
          <w:spacing w:val="-7"/>
          <w:sz w:val="17"/>
        </w:rPr>
        <w:t xml:space="preserve"> </w:t>
      </w:r>
      <w:r>
        <w:rPr>
          <w:sz w:val="17"/>
        </w:rPr>
        <w:t>vigentes.</w:t>
      </w:r>
      <w:r>
        <w:rPr>
          <w:spacing w:val="-6"/>
          <w:sz w:val="17"/>
        </w:rPr>
        <w:t xml:space="preserve"> </w:t>
      </w:r>
      <w:r>
        <w:rPr>
          <w:sz w:val="17"/>
        </w:rPr>
        <w:t>El</w:t>
      </w:r>
      <w:r>
        <w:rPr>
          <w:spacing w:val="-7"/>
          <w:sz w:val="17"/>
        </w:rPr>
        <w:t xml:space="preserve"> </w:t>
      </w:r>
      <w:r>
        <w:rPr>
          <w:sz w:val="17"/>
        </w:rPr>
        <w:t>artículo</w:t>
      </w:r>
      <w:r>
        <w:rPr>
          <w:spacing w:val="-7"/>
          <w:sz w:val="17"/>
        </w:rPr>
        <w:t xml:space="preserve"> </w:t>
      </w:r>
      <w:r>
        <w:rPr>
          <w:sz w:val="17"/>
        </w:rPr>
        <w:t>2</w:t>
      </w:r>
      <w:r>
        <w:rPr>
          <w:spacing w:val="-7"/>
          <w:sz w:val="17"/>
        </w:rPr>
        <w:t xml:space="preserve"> </w:t>
      </w:r>
      <w:r>
        <w:rPr>
          <w:sz w:val="17"/>
        </w:rPr>
        <w:t>establece una lista abierta de motivos para prohibir la discriminación por motivos de raza o etnia, nacionalidad, situación socioeconómica, idioma, ideología</w:t>
      </w:r>
      <w:r>
        <w:rPr>
          <w:spacing w:val="-1"/>
          <w:sz w:val="17"/>
        </w:rPr>
        <w:t xml:space="preserve"> </w:t>
      </w:r>
      <w:r>
        <w:rPr>
          <w:sz w:val="17"/>
        </w:rPr>
        <w:t>u</w:t>
      </w:r>
      <w:r>
        <w:rPr>
          <w:spacing w:val="-1"/>
          <w:sz w:val="17"/>
        </w:rPr>
        <w:t xml:space="preserve"> </w:t>
      </w:r>
      <w:r>
        <w:rPr>
          <w:sz w:val="17"/>
        </w:rPr>
        <w:t>opinión</w:t>
      </w:r>
      <w:r>
        <w:rPr>
          <w:spacing w:val="-1"/>
          <w:sz w:val="17"/>
        </w:rPr>
        <w:t xml:space="preserve"> </w:t>
      </w:r>
      <w:r>
        <w:rPr>
          <w:sz w:val="17"/>
        </w:rPr>
        <w:t>política, religión</w:t>
      </w:r>
      <w:r>
        <w:rPr>
          <w:spacing w:val="-1"/>
          <w:sz w:val="17"/>
        </w:rPr>
        <w:t xml:space="preserve"> </w:t>
      </w:r>
      <w:r>
        <w:rPr>
          <w:sz w:val="17"/>
        </w:rPr>
        <w:t>o</w:t>
      </w:r>
      <w:r>
        <w:rPr>
          <w:spacing w:val="-1"/>
          <w:sz w:val="17"/>
        </w:rPr>
        <w:t xml:space="preserve"> </w:t>
      </w:r>
      <w:r>
        <w:rPr>
          <w:sz w:val="17"/>
        </w:rPr>
        <w:t>creencias, afiliación</w:t>
      </w:r>
      <w:r>
        <w:rPr>
          <w:spacing w:val="-1"/>
          <w:sz w:val="17"/>
        </w:rPr>
        <w:t xml:space="preserve"> </w:t>
      </w:r>
      <w:r>
        <w:rPr>
          <w:sz w:val="17"/>
        </w:rPr>
        <w:t>o</w:t>
      </w:r>
      <w:r>
        <w:rPr>
          <w:spacing w:val="-1"/>
          <w:sz w:val="17"/>
        </w:rPr>
        <w:t xml:space="preserve"> </w:t>
      </w:r>
      <w:r>
        <w:rPr>
          <w:sz w:val="17"/>
        </w:rPr>
        <w:t>participación</w:t>
      </w:r>
      <w:r>
        <w:rPr>
          <w:spacing w:val="-1"/>
          <w:sz w:val="17"/>
        </w:rPr>
        <w:t xml:space="preserve"> </w:t>
      </w:r>
      <w:r>
        <w:rPr>
          <w:sz w:val="17"/>
        </w:rPr>
        <w:t>sindical, sexo, orientación sexual, identidad de género y estado civil</w:t>
      </w:r>
      <w:proofErr w:type="gramStart"/>
      <w:r>
        <w:rPr>
          <w:sz w:val="17"/>
        </w:rPr>
        <w:t>. ,</w:t>
      </w:r>
      <w:proofErr w:type="gramEnd"/>
      <w:r>
        <w:rPr>
          <w:sz w:val="17"/>
        </w:rPr>
        <w:t xml:space="preserve"> entre otras características.</w:t>
      </w:r>
    </w:p>
    <w:p w14:paraId="6B238494" w14:textId="77777777" w:rsidR="0014798C" w:rsidRDefault="004E1F0B">
      <w:pPr>
        <w:spacing w:before="110" w:line="307" w:lineRule="auto"/>
        <w:ind w:left="1333" w:right="1272" w:hanging="1"/>
        <w:rPr>
          <w:sz w:val="17"/>
        </w:rPr>
      </w:pPr>
      <w:r>
        <w:rPr>
          <w:sz w:val="17"/>
        </w:rPr>
        <w:t>El</w:t>
      </w:r>
      <w:r>
        <w:rPr>
          <w:spacing w:val="-7"/>
          <w:sz w:val="17"/>
        </w:rPr>
        <w:t xml:space="preserve"> </w:t>
      </w:r>
      <w:r>
        <w:rPr>
          <w:sz w:val="17"/>
        </w:rPr>
        <w:t>artículo</w:t>
      </w:r>
      <w:r>
        <w:rPr>
          <w:spacing w:val="-7"/>
          <w:sz w:val="17"/>
        </w:rPr>
        <w:t xml:space="preserve"> </w:t>
      </w:r>
      <w:r>
        <w:rPr>
          <w:sz w:val="17"/>
        </w:rPr>
        <w:t>2</w:t>
      </w:r>
      <w:r>
        <w:rPr>
          <w:spacing w:val="-7"/>
          <w:sz w:val="17"/>
        </w:rPr>
        <w:t xml:space="preserve"> </w:t>
      </w:r>
      <w:r>
        <w:rPr>
          <w:sz w:val="17"/>
        </w:rPr>
        <w:t>añade</w:t>
      </w:r>
      <w:r>
        <w:rPr>
          <w:spacing w:val="-7"/>
          <w:sz w:val="17"/>
        </w:rPr>
        <w:t xml:space="preserve"> </w:t>
      </w:r>
      <w:r>
        <w:rPr>
          <w:sz w:val="17"/>
        </w:rPr>
        <w:t>además</w:t>
      </w:r>
      <w:r>
        <w:rPr>
          <w:spacing w:val="-7"/>
          <w:sz w:val="17"/>
        </w:rPr>
        <w:t xml:space="preserve"> </w:t>
      </w:r>
      <w:r>
        <w:rPr>
          <w:sz w:val="17"/>
        </w:rPr>
        <w:t>que</w:t>
      </w:r>
      <w:r>
        <w:rPr>
          <w:spacing w:val="-7"/>
          <w:sz w:val="17"/>
        </w:rPr>
        <w:t xml:space="preserve"> </w:t>
      </w:r>
      <w:r>
        <w:rPr>
          <w:sz w:val="17"/>
        </w:rPr>
        <w:t>la</w:t>
      </w:r>
      <w:r>
        <w:rPr>
          <w:spacing w:val="-7"/>
          <w:sz w:val="17"/>
        </w:rPr>
        <w:t xml:space="preserve"> </w:t>
      </w:r>
      <w:r>
        <w:rPr>
          <w:sz w:val="17"/>
        </w:rPr>
        <w:t>diferenciación</w:t>
      </w:r>
      <w:r>
        <w:rPr>
          <w:spacing w:val="-7"/>
          <w:sz w:val="17"/>
        </w:rPr>
        <w:t xml:space="preserve"> </w:t>
      </w:r>
      <w:r>
        <w:rPr>
          <w:sz w:val="17"/>
        </w:rPr>
        <w:t>puede</w:t>
      </w:r>
      <w:r>
        <w:rPr>
          <w:spacing w:val="-7"/>
          <w:sz w:val="17"/>
        </w:rPr>
        <w:t xml:space="preserve"> </w:t>
      </w:r>
      <w:r>
        <w:rPr>
          <w:sz w:val="17"/>
        </w:rPr>
        <w:t>estar</w:t>
      </w:r>
      <w:r>
        <w:rPr>
          <w:spacing w:val="-7"/>
          <w:sz w:val="17"/>
        </w:rPr>
        <w:t xml:space="preserve"> </w:t>
      </w:r>
      <w:r>
        <w:rPr>
          <w:sz w:val="17"/>
        </w:rPr>
        <w:t>justificada</w:t>
      </w:r>
      <w:r>
        <w:rPr>
          <w:spacing w:val="-7"/>
          <w:sz w:val="17"/>
        </w:rPr>
        <w:t xml:space="preserve"> </w:t>
      </w:r>
      <w:r>
        <w:rPr>
          <w:sz w:val="17"/>
        </w:rPr>
        <w:t>por</w:t>
      </w:r>
      <w:r>
        <w:rPr>
          <w:spacing w:val="-7"/>
          <w:sz w:val="17"/>
        </w:rPr>
        <w:t xml:space="preserve"> </w:t>
      </w:r>
      <w:r>
        <w:rPr>
          <w:sz w:val="17"/>
        </w:rPr>
        <w:t>el</w:t>
      </w:r>
      <w:r>
        <w:rPr>
          <w:spacing w:val="-7"/>
          <w:sz w:val="17"/>
        </w:rPr>
        <w:t xml:space="preserve"> </w:t>
      </w:r>
      <w:r>
        <w:rPr>
          <w:sz w:val="17"/>
        </w:rPr>
        <w:t>ejercicio</w:t>
      </w:r>
      <w:r>
        <w:rPr>
          <w:spacing w:val="-7"/>
          <w:sz w:val="17"/>
        </w:rPr>
        <w:t xml:space="preserve"> </w:t>
      </w:r>
      <w:r>
        <w:rPr>
          <w:sz w:val="17"/>
        </w:rPr>
        <w:t>legítimo</w:t>
      </w:r>
      <w:r>
        <w:rPr>
          <w:spacing w:val="-7"/>
          <w:sz w:val="17"/>
        </w:rPr>
        <w:t xml:space="preserve"> </w:t>
      </w:r>
      <w:r>
        <w:rPr>
          <w:sz w:val="17"/>
        </w:rPr>
        <w:t>de</w:t>
      </w:r>
      <w:r>
        <w:rPr>
          <w:spacing w:val="-7"/>
          <w:sz w:val="17"/>
        </w:rPr>
        <w:t xml:space="preserve"> </w:t>
      </w:r>
      <w:r>
        <w:rPr>
          <w:sz w:val="17"/>
        </w:rPr>
        <w:t>otro</w:t>
      </w:r>
      <w:r>
        <w:rPr>
          <w:spacing w:val="-7"/>
          <w:sz w:val="17"/>
        </w:rPr>
        <w:t xml:space="preserve"> </w:t>
      </w:r>
      <w:r>
        <w:rPr>
          <w:sz w:val="17"/>
        </w:rPr>
        <w:t>derecho fundamental con referencia a una serie de cláusulas constitucionales específicas.</w:t>
      </w:r>
    </w:p>
    <w:p w14:paraId="4CA21288" w14:textId="77777777" w:rsidR="0014798C" w:rsidRDefault="0014798C">
      <w:pPr>
        <w:pStyle w:val="Textoindependiente"/>
        <w:spacing w:before="144"/>
        <w:rPr>
          <w:sz w:val="30"/>
        </w:rPr>
      </w:pPr>
    </w:p>
    <w:p w14:paraId="00ADD37C" w14:textId="77777777" w:rsidR="0014798C" w:rsidRDefault="004E1F0B">
      <w:pPr>
        <w:pStyle w:val="Ttulo7"/>
        <w:numPr>
          <w:ilvl w:val="1"/>
          <w:numId w:val="93"/>
        </w:numPr>
        <w:tabs>
          <w:tab w:val="left" w:pos="1497"/>
        </w:tabs>
        <w:ind w:left="1497" w:hanging="388"/>
        <w:rPr>
          <w:color w:val="009EDB"/>
        </w:rPr>
      </w:pPr>
      <w:r>
        <w:rPr>
          <w:color w:val="009EDB"/>
          <w:spacing w:val="-2"/>
        </w:rPr>
        <w:t>Europa</w:t>
      </w:r>
    </w:p>
    <w:p w14:paraId="2796FAFD" w14:textId="77777777" w:rsidR="0014798C" w:rsidRDefault="004E1F0B">
      <w:pPr>
        <w:spacing w:before="187" w:line="307" w:lineRule="auto"/>
        <w:ind w:left="1108" w:right="1272" w:hanging="2"/>
        <w:rPr>
          <w:sz w:val="17"/>
        </w:rPr>
      </w:pPr>
      <w:r>
        <w:rPr>
          <w:sz w:val="17"/>
        </w:rPr>
        <w:t xml:space="preserve">El artículo 14 del Convenio para la Protección de los Derechos Humanos y de las Libertades Fundamentales </w:t>
      </w:r>
      <w:proofErr w:type="gramStart"/>
      <w:r>
        <w:rPr>
          <w:sz w:val="17"/>
        </w:rPr>
        <w:t>( Convenio</w:t>
      </w:r>
      <w:proofErr w:type="gramEnd"/>
      <w:r>
        <w:rPr>
          <w:sz w:val="17"/>
        </w:rPr>
        <w:t xml:space="preserve"> Europeo</w:t>
      </w:r>
      <w:r>
        <w:rPr>
          <w:spacing w:val="-7"/>
          <w:sz w:val="17"/>
        </w:rPr>
        <w:t xml:space="preserve"> </w:t>
      </w:r>
      <w:r>
        <w:rPr>
          <w:sz w:val="17"/>
        </w:rPr>
        <w:t>de</w:t>
      </w:r>
      <w:r>
        <w:rPr>
          <w:spacing w:val="-7"/>
          <w:sz w:val="17"/>
        </w:rPr>
        <w:t xml:space="preserve"> </w:t>
      </w:r>
      <w:r>
        <w:rPr>
          <w:sz w:val="17"/>
        </w:rPr>
        <w:t>Derechos</w:t>
      </w:r>
      <w:r>
        <w:rPr>
          <w:spacing w:val="-7"/>
          <w:sz w:val="17"/>
        </w:rPr>
        <w:t xml:space="preserve"> </w:t>
      </w:r>
      <w:r>
        <w:rPr>
          <w:sz w:val="17"/>
        </w:rPr>
        <w:t>Humanos)</w:t>
      </w:r>
      <w:r>
        <w:rPr>
          <w:spacing w:val="-7"/>
          <w:sz w:val="17"/>
        </w:rPr>
        <w:t xml:space="preserve"> </w:t>
      </w:r>
      <w:r>
        <w:rPr>
          <w:sz w:val="17"/>
        </w:rPr>
        <w:t>prohíbe</w:t>
      </w:r>
      <w:r>
        <w:rPr>
          <w:spacing w:val="-7"/>
          <w:sz w:val="17"/>
        </w:rPr>
        <w:t xml:space="preserve"> </w:t>
      </w:r>
      <w:r>
        <w:rPr>
          <w:sz w:val="17"/>
        </w:rPr>
        <w:t>la</w:t>
      </w:r>
      <w:r>
        <w:rPr>
          <w:spacing w:val="-7"/>
          <w:sz w:val="17"/>
        </w:rPr>
        <w:t xml:space="preserve"> </w:t>
      </w:r>
      <w:r>
        <w:rPr>
          <w:sz w:val="17"/>
        </w:rPr>
        <w:t>discriminación</w:t>
      </w:r>
      <w:r>
        <w:rPr>
          <w:spacing w:val="-7"/>
          <w:sz w:val="17"/>
        </w:rPr>
        <w:t xml:space="preserve"> </w:t>
      </w:r>
      <w:r>
        <w:rPr>
          <w:sz w:val="17"/>
        </w:rPr>
        <w:t>con</w:t>
      </w:r>
      <w:r>
        <w:rPr>
          <w:spacing w:val="-7"/>
          <w:sz w:val="17"/>
        </w:rPr>
        <w:t xml:space="preserve"> </w:t>
      </w:r>
      <w:r>
        <w:rPr>
          <w:sz w:val="17"/>
        </w:rPr>
        <w:t>respecto</w:t>
      </w:r>
      <w:r>
        <w:rPr>
          <w:spacing w:val="-7"/>
          <w:sz w:val="17"/>
        </w:rPr>
        <w:t xml:space="preserve"> </w:t>
      </w:r>
      <w:r>
        <w:rPr>
          <w:sz w:val="17"/>
        </w:rPr>
        <w:t>a</w:t>
      </w:r>
      <w:r>
        <w:rPr>
          <w:spacing w:val="-7"/>
          <w:sz w:val="17"/>
        </w:rPr>
        <w:t xml:space="preserve"> </w:t>
      </w:r>
      <w:r>
        <w:rPr>
          <w:sz w:val="17"/>
        </w:rPr>
        <w:t>otros</w:t>
      </w:r>
      <w:r>
        <w:rPr>
          <w:spacing w:val="-7"/>
          <w:sz w:val="17"/>
        </w:rPr>
        <w:t xml:space="preserve"> </w:t>
      </w:r>
      <w:r>
        <w:rPr>
          <w:sz w:val="17"/>
        </w:rPr>
        <w:t>derechos</w:t>
      </w:r>
      <w:r>
        <w:rPr>
          <w:spacing w:val="-7"/>
          <w:sz w:val="17"/>
        </w:rPr>
        <w:t xml:space="preserve"> </w:t>
      </w:r>
      <w:r>
        <w:rPr>
          <w:sz w:val="17"/>
        </w:rPr>
        <w:t>del</w:t>
      </w:r>
      <w:r>
        <w:rPr>
          <w:spacing w:val="-7"/>
          <w:sz w:val="17"/>
        </w:rPr>
        <w:t xml:space="preserve"> </w:t>
      </w:r>
      <w:r>
        <w:rPr>
          <w:sz w:val="17"/>
        </w:rPr>
        <w:t>Convenio.</w:t>
      </w:r>
      <w:r>
        <w:rPr>
          <w:spacing w:val="-7"/>
          <w:sz w:val="17"/>
        </w:rPr>
        <w:t xml:space="preserve"> </w:t>
      </w:r>
      <w:r>
        <w:rPr>
          <w:sz w:val="17"/>
        </w:rPr>
        <w:t>El</w:t>
      </w:r>
      <w:r>
        <w:rPr>
          <w:spacing w:val="-7"/>
          <w:sz w:val="17"/>
        </w:rPr>
        <w:t xml:space="preserve"> </w:t>
      </w:r>
      <w:r>
        <w:rPr>
          <w:sz w:val="17"/>
        </w:rPr>
        <w:t>Tribunal</w:t>
      </w:r>
      <w:r>
        <w:rPr>
          <w:spacing w:val="-7"/>
          <w:sz w:val="17"/>
        </w:rPr>
        <w:t xml:space="preserve"> </w:t>
      </w:r>
      <w:r>
        <w:rPr>
          <w:sz w:val="17"/>
        </w:rPr>
        <w:t>Europeo de</w:t>
      </w:r>
      <w:r>
        <w:rPr>
          <w:spacing w:val="-3"/>
          <w:sz w:val="17"/>
        </w:rPr>
        <w:t xml:space="preserve"> </w:t>
      </w:r>
      <w:r>
        <w:rPr>
          <w:sz w:val="17"/>
        </w:rPr>
        <w:t>Derechos</w:t>
      </w:r>
      <w:r>
        <w:rPr>
          <w:spacing w:val="-3"/>
          <w:sz w:val="17"/>
        </w:rPr>
        <w:t xml:space="preserve"> </w:t>
      </w:r>
      <w:r>
        <w:rPr>
          <w:sz w:val="17"/>
        </w:rPr>
        <w:t>Humanos</w:t>
      </w:r>
      <w:r>
        <w:rPr>
          <w:spacing w:val="-3"/>
          <w:sz w:val="17"/>
        </w:rPr>
        <w:t xml:space="preserve"> </w:t>
      </w:r>
      <w:r>
        <w:rPr>
          <w:sz w:val="17"/>
        </w:rPr>
        <w:t>ha</w:t>
      </w:r>
      <w:r>
        <w:rPr>
          <w:spacing w:val="-3"/>
          <w:sz w:val="17"/>
        </w:rPr>
        <w:t xml:space="preserve"> </w:t>
      </w:r>
      <w:r>
        <w:rPr>
          <w:sz w:val="17"/>
        </w:rPr>
        <w:t>interpretado</w:t>
      </w:r>
      <w:r>
        <w:rPr>
          <w:spacing w:val="-3"/>
          <w:sz w:val="17"/>
        </w:rPr>
        <w:t xml:space="preserve"> </w:t>
      </w:r>
      <w:r>
        <w:rPr>
          <w:sz w:val="17"/>
        </w:rPr>
        <w:t>que</w:t>
      </w:r>
      <w:r>
        <w:rPr>
          <w:spacing w:val="-3"/>
          <w:sz w:val="17"/>
        </w:rPr>
        <w:t xml:space="preserve"> </w:t>
      </w:r>
      <w:r>
        <w:rPr>
          <w:sz w:val="17"/>
        </w:rPr>
        <w:t>esto</w:t>
      </w:r>
      <w:r>
        <w:rPr>
          <w:spacing w:val="-3"/>
          <w:sz w:val="17"/>
        </w:rPr>
        <w:t xml:space="preserve"> </w:t>
      </w:r>
      <w:r>
        <w:rPr>
          <w:sz w:val="17"/>
        </w:rPr>
        <w:t>abarca</w:t>
      </w:r>
      <w:r>
        <w:rPr>
          <w:spacing w:val="-3"/>
          <w:sz w:val="17"/>
        </w:rPr>
        <w:t xml:space="preserve"> </w:t>
      </w:r>
      <w:r>
        <w:rPr>
          <w:sz w:val="17"/>
        </w:rPr>
        <w:t>la</w:t>
      </w:r>
      <w:r>
        <w:rPr>
          <w:spacing w:val="-3"/>
          <w:sz w:val="17"/>
        </w:rPr>
        <w:t xml:space="preserve"> </w:t>
      </w:r>
      <w:r>
        <w:rPr>
          <w:sz w:val="17"/>
        </w:rPr>
        <w:t>prohibición</w:t>
      </w:r>
      <w:r>
        <w:rPr>
          <w:spacing w:val="-3"/>
          <w:sz w:val="17"/>
        </w:rPr>
        <w:t xml:space="preserve"> </w:t>
      </w:r>
      <w:r>
        <w:rPr>
          <w:sz w:val="17"/>
        </w:rPr>
        <w:t>de</w:t>
      </w:r>
      <w:r>
        <w:rPr>
          <w:spacing w:val="-3"/>
          <w:sz w:val="17"/>
        </w:rPr>
        <w:t xml:space="preserve"> </w:t>
      </w:r>
      <w:r>
        <w:rPr>
          <w:sz w:val="17"/>
        </w:rPr>
        <w:t>tratar</w:t>
      </w:r>
      <w:r>
        <w:rPr>
          <w:spacing w:val="-3"/>
          <w:sz w:val="17"/>
        </w:rPr>
        <w:t xml:space="preserve"> </w:t>
      </w:r>
      <w:r>
        <w:rPr>
          <w:sz w:val="17"/>
        </w:rPr>
        <w:t>cosas</w:t>
      </w:r>
      <w:r>
        <w:rPr>
          <w:spacing w:val="-3"/>
          <w:sz w:val="17"/>
        </w:rPr>
        <w:t xml:space="preserve"> </w:t>
      </w:r>
      <w:r>
        <w:rPr>
          <w:sz w:val="17"/>
        </w:rPr>
        <w:t>similares</w:t>
      </w:r>
      <w:r>
        <w:rPr>
          <w:spacing w:val="-3"/>
          <w:sz w:val="17"/>
        </w:rPr>
        <w:t xml:space="preserve"> </w:t>
      </w:r>
      <w:r>
        <w:rPr>
          <w:sz w:val="17"/>
        </w:rPr>
        <w:t>de</w:t>
      </w:r>
      <w:r>
        <w:rPr>
          <w:spacing w:val="-3"/>
          <w:sz w:val="17"/>
        </w:rPr>
        <w:t xml:space="preserve"> </w:t>
      </w:r>
      <w:r>
        <w:rPr>
          <w:sz w:val="17"/>
        </w:rPr>
        <w:t>manera</w:t>
      </w:r>
      <w:r>
        <w:rPr>
          <w:spacing w:val="-3"/>
          <w:sz w:val="17"/>
        </w:rPr>
        <w:t xml:space="preserve"> </w:t>
      </w:r>
      <w:r>
        <w:rPr>
          <w:sz w:val="17"/>
        </w:rPr>
        <w:t>diferente</w:t>
      </w:r>
      <w:r>
        <w:rPr>
          <w:spacing w:val="-3"/>
          <w:sz w:val="17"/>
        </w:rPr>
        <w:t xml:space="preserve"> </w:t>
      </w:r>
      <w:r>
        <w:rPr>
          <w:sz w:val="17"/>
        </w:rPr>
        <w:t>y</w:t>
      </w:r>
      <w:r>
        <w:rPr>
          <w:spacing w:val="-3"/>
          <w:sz w:val="17"/>
        </w:rPr>
        <w:t xml:space="preserve"> </w:t>
      </w:r>
      <w:r>
        <w:rPr>
          <w:sz w:val="17"/>
        </w:rPr>
        <w:t>cosas diferentes</w:t>
      </w:r>
      <w:r>
        <w:rPr>
          <w:spacing w:val="-2"/>
          <w:sz w:val="17"/>
        </w:rPr>
        <w:t xml:space="preserve"> </w:t>
      </w:r>
      <w:r>
        <w:rPr>
          <w:sz w:val="17"/>
        </w:rPr>
        <w:t>de</w:t>
      </w:r>
      <w:r>
        <w:rPr>
          <w:spacing w:val="-2"/>
          <w:sz w:val="17"/>
        </w:rPr>
        <w:t xml:space="preserve"> </w:t>
      </w:r>
      <w:r>
        <w:rPr>
          <w:sz w:val="17"/>
        </w:rPr>
        <w:t>manera</w:t>
      </w:r>
      <w:r>
        <w:rPr>
          <w:spacing w:val="-2"/>
          <w:sz w:val="17"/>
        </w:rPr>
        <w:t xml:space="preserve"> </w:t>
      </w:r>
      <w:r>
        <w:rPr>
          <w:sz w:val="17"/>
        </w:rPr>
        <w:t>similar.94</w:t>
      </w:r>
      <w:r>
        <w:rPr>
          <w:spacing w:val="-2"/>
          <w:sz w:val="17"/>
        </w:rPr>
        <w:t xml:space="preserve"> </w:t>
      </w:r>
      <w:r>
        <w:rPr>
          <w:sz w:val="17"/>
        </w:rPr>
        <w:t>Esta</w:t>
      </w:r>
      <w:r>
        <w:rPr>
          <w:spacing w:val="-2"/>
          <w:sz w:val="17"/>
        </w:rPr>
        <w:t xml:space="preserve"> </w:t>
      </w:r>
      <w:r>
        <w:rPr>
          <w:sz w:val="17"/>
        </w:rPr>
        <w:t>disposición</w:t>
      </w:r>
      <w:r>
        <w:rPr>
          <w:spacing w:val="-2"/>
          <w:sz w:val="17"/>
        </w:rPr>
        <w:t xml:space="preserve"> </w:t>
      </w:r>
      <w:r>
        <w:rPr>
          <w:sz w:val="17"/>
        </w:rPr>
        <w:t>se</w:t>
      </w:r>
      <w:r>
        <w:rPr>
          <w:spacing w:val="-2"/>
          <w:sz w:val="17"/>
        </w:rPr>
        <w:t xml:space="preserve"> </w:t>
      </w:r>
      <w:r>
        <w:rPr>
          <w:sz w:val="17"/>
        </w:rPr>
        <w:t>complementa</w:t>
      </w:r>
      <w:r>
        <w:rPr>
          <w:spacing w:val="-2"/>
          <w:sz w:val="17"/>
        </w:rPr>
        <w:t xml:space="preserve"> </w:t>
      </w:r>
      <w:r>
        <w:rPr>
          <w:sz w:val="17"/>
        </w:rPr>
        <w:t>con</w:t>
      </w:r>
      <w:r>
        <w:rPr>
          <w:spacing w:val="-2"/>
          <w:sz w:val="17"/>
        </w:rPr>
        <w:t xml:space="preserve"> </w:t>
      </w:r>
      <w:r>
        <w:rPr>
          <w:sz w:val="17"/>
        </w:rPr>
        <w:t>el</w:t>
      </w:r>
      <w:r>
        <w:rPr>
          <w:spacing w:val="-2"/>
          <w:sz w:val="17"/>
        </w:rPr>
        <w:t xml:space="preserve"> </w:t>
      </w:r>
      <w:r>
        <w:rPr>
          <w:sz w:val="17"/>
        </w:rPr>
        <w:t>artículo</w:t>
      </w:r>
      <w:r>
        <w:rPr>
          <w:spacing w:val="-2"/>
          <w:sz w:val="17"/>
        </w:rPr>
        <w:t xml:space="preserve"> </w:t>
      </w:r>
      <w:r>
        <w:rPr>
          <w:sz w:val="17"/>
        </w:rPr>
        <w:t>1</w:t>
      </w:r>
      <w:r>
        <w:rPr>
          <w:spacing w:val="-2"/>
          <w:sz w:val="17"/>
        </w:rPr>
        <w:t xml:space="preserve"> </w:t>
      </w:r>
      <w:r>
        <w:rPr>
          <w:sz w:val="17"/>
        </w:rPr>
        <w:t>del</w:t>
      </w:r>
      <w:r>
        <w:rPr>
          <w:spacing w:val="-2"/>
          <w:sz w:val="17"/>
        </w:rPr>
        <w:t xml:space="preserve"> </w:t>
      </w:r>
      <w:r>
        <w:rPr>
          <w:sz w:val="17"/>
        </w:rPr>
        <w:t>Protocolo</w:t>
      </w:r>
      <w:r>
        <w:rPr>
          <w:spacing w:val="-2"/>
          <w:sz w:val="17"/>
        </w:rPr>
        <w:t xml:space="preserve"> </w:t>
      </w:r>
      <w:r>
        <w:rPr>
          <w:sz w:val="17"/>
        </w:rPr>
        <w:t>núm.</w:t>
      </w:r>
      <w:r>
        <w:rPr>
          <w:spacing w:val="-2"/>
          <w:sz w:val="17"/>
        </w:rPr>
        <w:t xml:space="preserve"> </w:t>
      </w:r>
      <w:r>
        <w:rPr>
          <w:sz w:val="17"/>
        </w:rPr>
        <w:t>12</w:t>
      </w:r>
      <w:r>
        <w:rPr>
          <w:spacing w:val="-2"/>
          <w:sz w:val="17"/>
        </w:rPr>
        <w:t xml:space="preserve"> </w:t>
      </w:r>
      <w:r>
        <w:rPr>
          <w:sz w:val="17"/>
        </w:rPr>
        <w:t>de</w:t>
      </w:r>
      <w:r>
        <w:rPr>
          <w:spacing w:val="-2"/>
          <w:sz w:val="17"/>
        </w:rPr>
        <w:t xml:space="preserve"> </w:t>
      </w:r>
      <w:r>
        <w:rPr>
          <w:sz w:val="17"/>
        </w:rPr>
        <w:t>la</w:t>
      </w:r>
      <w:r>
        <w:rPr>
          <w:spacing w:val="-2"/>
          <w:sz w:val="17"/>
        </w:rPr>
        <w:t xml:space="preserve"> </w:t>
      </w:r>
      <w:r>
        <w:rPr>
          <w:sz w:val="17"/>
        </w:rPr>
        <w:t>Convención, que</w:t>
      </w:r>
      <w:r>
        <w:rPr>
          <w:spacing w:val="-4"/>
          <w:sz w:val="17"/>
        </w:rPr>
        <w:t xml:space="preserve"> </w:t>
      </w:r>
      <w:r>
        <w:rPr>
          <w:sz w:val="17"/>
        </w:rPr>
        <w:t>establece</w:t>
      </w:r>
      <w:r>
        <w:rPr>
          <w:spacing w:val="-4"/>
          <w:sz w:val="17"/>
        </w:rPr>
        <w:t xml:space="preserve"> </w:t>
      </w:r>
      <w:r>
        <w:rPr>
          <w:sz w:val="17"/>
        </w:rPr>
        <w:t>un</w:t>
      </w:r>
      <w:r>
        <w:rPr>
          <w:spacing w:val="-4"/>
          <w:sz w:val="17"/>
        </w:rPr>
        <w:t xml:space="preserve"> </w:t>
      </w:r>
      <w:r>
        <w:rPr>
          <w:sz w:val="17"/>
        </w:rPr>
        <w:t>derecho</w:t>
      </w:r>
      <w:r>
        <w:rPr>
          <w:spacing w:val="-4"/>
          <w:sz w:val="17"/>
        </w:rPr>
        <w:t xml:space="preserve"> </w:t>
      </w:r>
      <w:r>
        <w:rPr>
          <w:sz w:val="17"/>
        </w:rPr>
        <w:t>autónomo</w:t>
      </w:r>
      <w:r>
        <w:rPr>
          <w:spacing w:val="-4"/>
          <w:sz w:val="17"/>
        </w:rPr>
        <w:t xml:space="preserve"> </w:t>
      </w:r>
      <w:r>
        <w:rPr>
          <w:sz w:val="17"/>
        </w:rPr>
        <w:t>a</w:t>
      </w:r>
      <w:r>
        <w:rPr>
          <w:spacing w:val="-4"/>
          <w:sz w:val="17"/>
        </w:rPr>
        <w:t xml:space="preserve"> </w:t>
      </w:r>
      <w:r>
        <w:rPr>
          <w:sz w:val="17"/>
        </w:rPr>
        <w:t>no</w:t>
      </w:r>
      <w:r>
        <w:rPr>
          <w:spacing w:val="-4"/>
          <w:sz w:val="17"/>
        </w:rPr>
        <w:t xml:space="preserve"> </w:t>
      </w:r>
      <w:r>
        <w:rPr>
          <w:sz w:val="17"/>
        </w:rPr>
        <w:t>discriminación.</w:t>
      </w:r>
      <w:r>
        <w:rPr>
          <w:spacing w:val="-3"/>
          <w:sz w:val="17"/>
        </w:rPr>
        <w:t xml:space="preserve"> </w:t>
      </w:r>
      <w:r>
        <w:rPr>
          <w:sz w:val="17"/>
        </w:rPr>
        <w:t>Hasta</w:t>
      </w:r>
      <w:r>
        <w:rPr>
          <w:spacing w:val="-4"/>
          <w:sz w:val="17"/>
        </w:rPr>
        <w:t xml:space="preserve"> </w:t>
      </w:r>
      <w:r>
        <w:rPr>
          <w:sz w:val="17"/>
        </w:rPr>
        <w:t>la</w:t>
      </w:r>
      <w:r>
        <w:rPr>
          <w:spacing w:val="-4"/>
          <w:sz w:val="17"/>
        </w:rPr>
        <w:t xml:space="preserve"> </w:t>
      </w:r>
      <w:r>
        <w:rPr>
          <w:sz w:val="17"/>
        </w:rPr>
        <w:t>fecha,</w:t>
      </w:r>
      <w:r>
        <w:rPr>
          <w:spacing w:val="-4"/>
          <w:sz w:val="17"/>
        </w:rPr>
        <w:t xml:space="preserve"> </w:t>
      </w:r>
      <w:r>
        <w:rPr>
          <w:sz w:val="17"/>
        </w:rPr>
        <w:t>20</w:t>
      </w:r>
      <w:r>
        <w:rPr>
          <w:spacing w:val="-4"/>
          <w:sz w:val="17"/>
        </w:rPr>
        <w:t xml:space="preserve"> </w:t>
      </w:r>
      <w:r>
        <w:rPr>
          <w:sz w:val="17"/>
        </w:rPr>
        <w:t>Estados</w:t>
      </w:r>
      <w:r>
        <w:rPr>
          <w:spacing w:val="-4"/>
          <w:sz w:val="17"/>
        </w:rPr>
        <w:t xml:space="preserve"> </w:t>
      </w:r>
      <w:r>
        <w:rPr>
          <w:sz w:val="17"/>
        </w:rPr>
        <w:t>han</w:t>
      </w:r>
      <w:r>
        <w:rPr>
          <w:spacing w:val="-4"/>
          <w:sz w:val="17"/>
        </w:rPr>
        <w:t xml:space="preserve"> </w:t>
      </w:r>
      <w:r>
        <w:rPr>
          <w:sz w:val="17"/>
        </w:rPr>
        <w:t>ratificado</w:t>
      </w:r>
      <w:r>
        <w:rPr>
          <w:spacing w:val="-4"/>
          <w:sz w:val="17"/>
        </w:rPr>
        <w:t xml:space="preserve"> </w:t>
      </w:r>
      <w:r>
        <w:rPr>
          <w:sz w:val="17"/>
        </w:rPr>
        <w:t>el</w:t>
      </w:r>
      <w:r>
        <w:rPr>
          <w:spacing w:val="-4"/>
          <w:sz w:val="17"/>
        </w:rPr>
        <w:t xml:space="preserve"> </w:t>
      </w:r>
      <w:r>
        <w:rPr>
          <w:sz w:val="17"/>
        </w:rPr>
        <w:t>Protocolo</w:t>
      </w:r>
      <w:r>
        <w:rPr>
          <w:spacing w:val="-4"/>
          <w:sz w:val="17"/>
        </w:rPr>
        <w:t xml:space="preserve"> </w:t>
      </w:r>
      <w:r>
        <w:rPr>
          <w:sz w:val="17"/>
        </w:rPr>
        <w:t>núm.</w:t>
      </w:r>
      <w:r>
        <w:rPr>
          <w:spacing w:val="-4"/>
          <w:sz w:val="17"/>
        </w:rPr>
        <w:t xml:space="preserve"> </w:t>
      </w:r>
      <w:r>
        <w:rPr>
          <w:sz w:val="17"/>
        </w:rPr>
        <w:t>12.</w:t>
      </w:r>
      <w:r>
        <w:rPr>
          <w:spacing w:val="-4"/>
          <w:sz w:val="17"/>
        </w:rPr>
        <w:t xml:space="preserve"> </w:t>
      </w:r>
      <w:r>
        <w:rPr>
          <w:sz w:val="17"/>
        </w:rPr>
        <w:t>La ratificación del Convenio es un requisito previo para ser miembro del Consejo de Europa y, por lo tanto, los 46 Estados miembros</w:t>
      </w:r>
      <w:r>
        <w:rPr>
          <w:spacing w:val="-5"/>
          <w:sz w:val="17"/>
        </w:rPr>
        <w:t xml:space="preserve"> </w:t>
      </w:r>
      <w:r>
        <w:rPr>
          <w:sz w:val="17"/>
        </w:rPr>
        <w:t>del</w:t>
      </w:r>
      <w:r>
        <w:rPr>
          <w:spacing w:val="-5"/>
          <w:sz w:val="17"/>
        </w:rPr>
        <w:t xml:space="preserve"> </w:t>
      </w:r>
      <w:r>
        <w:rPr>
          <w:sz w:val="17"/>
        </w:rPr>
        <w:t>Consejo</w:t>
      </w:r>
      <w:r>
        <w:rPr>
          <w:spacing w:val="-5"/>
          <w:sz w:val="17"/>
        </w:rPr>
        <w:t xml:space="preserve"> </w:t>
      </w:r>
      <w:r>
        <w:rPr>
          <w:sz w:val="17"/>
        </w:rPr>
        <w:t>de</w:t>
      </w:r>
      <w:r>
        <w:rPr>
          <w:spacing w:val="-5"/>
          <w:sz w:val="17"/>
        </w:rPr>
        <w:t xml:space="preserve"> </w:t>
      </w:r>
      <w:r>
        <w:rPr>
          <w:sz w:val="17"/>
        </w:rPr>
        <w:t>Europa</w:t>
      </w:r>
      <w:r>
        <w:rPr>
          <w:spacing w:val="-5"/>
          <w:sz w:val="17"/>
        </w:rPr>
        <w:t xml:space="preserve"> </w:t>
      </w:r>
      <w:r>
        <w:rPr>
          <w:sz w:val="17"/>
        </w:rPr>
        <w:t>están</w:t>
      </w:r>
      <w:r>
        <w:rPr>
          <w:spacing w:val="-5"/>
          <w:sz w:val="17"/>
        </w:rPr>
        <w:t xml:space="preserve"> </w:t>
      </w:r>
      <w:r>
        <w:rPr>
          <w:sz w:val="17"/>
        </w:rPr>
        <w:t>obligados</w:t>
      </w:r>
      <w:r>
        <w:rPr>
          <w:spacing w:val="-5"/>
          <w:sz w:val="17"/>
        </w:rPr>
        <w:t xml:space="preserve"> </w:t>
      </w:r>
      <w:r>
        <w:rPr>
          <w:sz w:val="17"/>
        </w:rPr>
        <w:t>por</w:t>
      </w:r>
      <w:r>
        <w:rPr>
          <w:spacing w:val="-5"/>
          <w:sz w:val="17"/>
        </w:rPr>
        <w:t xml:space="preserve"> </w:t>
      </w:r>
      <w:r>
        <w:rPr>
          <w:sz w:val="17"/>
        </w:rPr>
        <w:t>los</w:t>
      </w:r>
      <w:r>
        <w:rPr>
          <w:spacing w:val="-5"/>
          <w:sz w:val="17"/>
        </w:rPr>
        <w:t xml:space="preserve"> </w:t>
      </w:r>
      <w:r>
        <w:rPr>
          <w:sz w:val="17"/>
        </w:rPr>
        <w:t>requisitos</w:t>
      </w:r>
      <w:r>
        <w:rPr>
          <w:spacing w:val="-5"/>
          <w:sz w:val="17"/>
        </w:rPr>
        <w:t xml:space="preserve"> </w:t>
      </w:r>
      <w:r>
        <w:rPr>
          <w:sz w:val="17"/>
        </w:rPr>
        <w:t>del</w:t>
      </w:r>
      <w:r>
        <w:rPr>
          <w:spacing w:val="-5"/>
          <w:sz w:val="17"/>
        </w:rPr>
        <w:t xml:space="preserve"> </w:t>
      </w:r>
      <w:r>
        <w:rPr>
          <w:sz w:val="17"/>
        </w:rPr>
        <w:t>artículo</w:t>
      </w:r>
      <w:r>
        <w:rPr>
          <w:spacing w:val="-5"/>
          <w:sz w:val="17"/>
        </w:rPr>
        <w:t xml:space="preserve"> </w:t>
      </w:r>
      <w:r>
        <w:rPr>
          <w:sz w:val="17"/>
        </w:rPr>
        <w:t>14.95</w:t>
      </w:r>
      <w:r>
        <w:rPr>
          <w:spacing w:val="-5"/>
          <w:sz w:val="17"/>
        </w:rPr>
        <w:t xml:space="preserve"> </w:t>
      </w:r>
      <w:r>
        <w:rPr>
          <w:sz w:val="17"/>
        </w:rPr>
        <w:t>Varios</w:t>
      </w:r>
      <w:r>
        <w:rPr>
          <w:spacing w:val="-5"/>
          <w:sz w:val="17"/>
        </w:rPr>
        <w:t xml:space="preserve"> </w:t>
      </w:r>
      <w:r>
        <w:rPr>
          <w:sz w:val="17"/>
        </w:rPr>
        <w:t>Estados</w:t>
      </w:r>
      <w:r>
        <w:rPr>
          <w:spacing w:val="-5"/>
          <w:sz w:val="17"/>
        </w:rPr>
        <w:t xml:space="preserve"> </w:t>
      </w:r>
      <w:r>
        <w:rPr>
          <w:sz w:val="17"/>
        </w:rPr>
        <w:t>también</w:t>
      </w:r>
      <w:r>
        <w:rPr>
          <w:spacing w:val="-5"/>
          <w:sz w:val="17"/>
        </w:rPr>
        <w:t xml:space="preserve"> </w:t>
      </w:r>
      <w:r>
        <w:rPr>
          <w:sz w:val="17"/>
        </w:rPr>
        <w:t>han</w:t>
      </w:r>
      <w:r>
        <w:rPr>
          <w:spacing w:val="-5"/>
          <w:sz w:val="17"/>
        </w:rPr>
        <w:t xml:space="preserve"> </w:t>
      </w:r>
      <w:r>
        <w:rPr>
          <w:sz w:val="17"/>
        </w:rPr>
        <w:t>ratificado la Carta Social Europea o la Carta revisada y, por lo tanto, también están obligados por los requisitos de no discriminación de estos tratados.96</w:t>
      </w:r>
    </w:p>
    <w:p w14:paraId="66278590" w14:textId="77777777" w:rsidR="0014798C" w:rsidRDefault="004E1F0B">
      <w:pPr>
        <w:spacing w:before="166" w:line="307" w:lineRule="auto"/>
        <w:ind w:left="1107" w:right="1166" w:hanging="1"/>
        <w:rPr>
          <w:sz w:val="17"/>
        </w:rPr>
      </w:pPr>
      <w:r>
        <w:rPr>
          <w:sz w:val="17"/>
        </w:rPr>
        <w:t>La</w:t>
      </w:r>
      <w:r>
        <w:rPr>
          <w:spacing w:val="-1"/>
          <w:sz w:val="17"/>
        </w:rPr>
        <w:t xml:space="preserve"> </w:t>
      </w:r>
      <w:r>
        <w:rPr>
          <w:sz w:val="17"/>
        </w:rPr>
        <w:t>Unión</w:t>
      </w:r>
      <w:r>
        <w:rPr>
          <w:spacing w:val="-1"/>
          <w:sz w:val="17"/>
        </w:rPr>
        <w:t xml:space="preserve"> </w:t>
      </w:r>
      <w:r>
        <w:rPr>
          <w:sz w:val="17"/>
        </w:rPr>
        <w:t>Europea</w:t>
      </w:r>
      <w:r>
        <w:rPr>
          <w:spacing w:val="-1"/>
          <w:sz w:val="17"/>
        </w:rPr>
        <w:t xml:space="preserve"> </w:t>
      </w:r>
      <w:r>
        <w:rPr>
          <w:sz w:val="17"/>
        </w:rPr>
        <w:t>ha</w:t>
      </w:r>
      <w:r>
        <w:rPr>
          <w:spacing w:val="-1"/>
          <w:sz w:val="17"/>
        </w:rPr>
        <w:t xml:space="preserve"> </w:t>
      </w:r>
      <w:r>
        <w:rPr>
          <w:sz w:val="17"/>
        </w:rPr>
        <w:t>hecho</w:t>
      </w:r>
      <w:r>
        <w:rPr>
          <w:spacing w:val="-1"/>
          <w:sz w:val="17"/>
        </w:rPr>
        <w:t xml:space="preserve"> </w:t>
      </w:r>
      <w:r>
        <w:rPr>
          <w:sz w:val="17"/>
        </w:rPr>
        <w:t>que</w:t>
      </w:r>
      <w:r>
        <w:rPr>
          <w:spacing w:val="-1"/>
          <w:sz w:val="17"/>
        </w:rPr>
        <w:t xml:space="preserve"> </w:t>
      </w:r>
      <w:r>
        <w:rPr>
          <w:sz w:val="17"/>
        </w:rPr>
        <w:t>la</w:t>
      </w:r>
      <w:r>
        <w:rPr>
          <w:spacing w:val="-1"/>
          <w:sz w:val="17"/>
        </w:rPr>
        <w:t xml:space="preserve"> </w:t>
      </w:r>
      <w:r>
        <w:rPr>
          <w:sz w:val="17"/>
        </w:rPr>
        <w:t>armonización</w:t>
      </w:r>
      <w:r>
        <w:rPr>
          <w:spacing w:val="-1"/>
          <w:sz w:val="17"/>
        </w:rPr>
        <w:t xml:space="preserve"> </w:t>
      </w:r>
      <w:r>
        <w:rPr>
          <w:sz w:val="17"/>
        </w:rPr>
        <w:t>de</w:t>
      </w:r>
      <w:r>
        <w:rPr>
          <w:spacing w:val="-1"/>
          <w:sz w:val="17"/>
        </w:rPr>
        <w:t xml:space="preserve"> </w:t>
      </w:r>
      <w:r>
        <w:rPr>
          <w:sz w:val="17"/>
        </w:rPr>
        <w:t>la</w:t>
      </w:r>
      <w:r>
        <w:rPr>
          <w:spacing w:val="-1"/>
          <w:sz w:val="17"/>
        </w:rPr>
        <w:t xml:space="preserve"> </w:t>
      </w:r>
      <w:r>
        <w:rPr>
          <w:sz w:val="17"/>
        </w:rPr>
        <w:t>legislación</w:t>
      </w:r>
      <w:r>
        <w:rPr>
          <w:spacing w:val="-1"/>
          <w:sz w:val="17"/>
        </w:rPr>
        <w:t xml:space="preserve"> </w:t>
      </w:r>
      <w:r>
        <w:rPr>
          <w:sz w:val="17"/>
        </w:rPr>
        <w:t>nacional</w:t>
      </w:r>
      <w:r>
        <w:rPr>
          <w:spacing w:val="-1"/>
          <w:sz w:val="17"/>
        </w:rPr>
        <w:t xml:space="preserve"> </w:t>
      </w:r>
      <w:r>
        <w:rPr>
          <w:sz w:val="17"/>
        </w:rPr>
        <w:t>sobre</w:t>
      </w:r>
      <w:r>
        <w:rPr>
          <w:spacing w:val="-1"/>
          <w:sz w:val="17"/>
        </w:rPr>
        <w:t xml:space="preserve"> </w:t>
      </w:r>
      <w:r>
        <w:rPr>
          <w:sz w:val="17"/>
        </w:rPr>
        <w:t>igualdad</w:t>
      </w:r>
      <w:r>
        <w:rPr>
          <w:spacing w:val="-1"/>
          <w:sz w:val="17"/>
        </w:rPr>
        <w:t xml:space="preserve"> </w:t>
      </w:r>
      <w:r>
        <w:rPr>
          <w:sz w:val="17"/>
        </w:rPr>
        <w:t>con</w:t>
      </w:r>
      <w:r>
        <w:rPr>
          <w:spacing w:val="-1"/>
          <w:sz w:val="17"/>
        </w:rPr>
        <w:t xml:space="preserve"> </w:t>
      </w:r>
      <w:r>
        <w:rPr>
          <w:sz w:val="17"/>
        </w:rPr>
        <w:t>las</w:t>
      </w:r>
      <w:r>
        <w:rPr>
          <w:spacing w:val="-1"/>
          <w:sz w:val="17"/>
        </w:rPr>
        <w:t xml:space="preserve"> </w:t>
      </w:r>
      <w:r>
        <w:rPr>
          <w:sz w:val="17"/>
        </w:rPr>
        <w:t>directivas</w:t>
      </w:r>
      <w:r>
        <w:rPr>
          <w:spacing w:val="-1"/>
          <w:sz w:val="17"/>
        </w:rPr>
        <w:t xml:space="preserve"> </w:t>
      </w:r>
      <w:r>
        <w:rPr>
          <w:sz w:val="17"/>
        </w:rPr>
        <w:t>sobre</w:t>
      </w:r>
      <w:r>
        <w:rPr>
          <w:spacing w:val="-1"/>
          <w:sz w:val="17"/>
        </w:rPr>
        <w:t xml:space="preserve"> </w:t>
      </w:r>
      <w:r>
        <w:rPr>
          <w:sz w:val="17"/>
        </w:rPr>
        <w:t>igualdad de trato sea una obligación para todos los Estados miembros de la Unión Europea, así como en las negociaciones de asociación</w:t>
      </w:r>
      <w:r>
        <w:rPr>
          <w:spacing w:val="-7"/>
          <w:sz w:val="17"/>
        </w:rPr>
        <w:t xml:space="preserve"> </w:t>
      </w:r>
      <w:r>
        <w:rPr>
          <w:sz w:val="17"/>
        </w:rPr>
        <w:t>y</w:t>
      </w:r>
      <w:r>
        <w:rPr>
          <w:spacing w:val="-7"/>
          <w:sz w:val="17"/>
        </w:rPr>
        <w:t xml:space="preserve"> </w:t>
      </w:r>
      <w:r>
        <w:rPr>
          <w:sz w:val="17"/>
        </w:rPr>
        <w:t>membresía</w:t>
      </w:r>
      <w:r>
        <w:rPr>
          <w:spacing w:val="-7"/>
          <w:sz w:val="17"/>
        </w:rPr>
        <w:t xml:space="preserve"> </w:t>
      </w:r>
      <w:r>
        <w:rPr>
          <w:sz w:val="17"/>
        </w:rPr>
        <w:t>con</w:t>
      </w:r>
      <w:r>
        <w:rPr>
          <w:spacing w:val="-7"/>
          <w:sz w:val="17"/>
        </w:rPr>
        <w:t xml:space="preserve"> </w:t>
      </w:r>
      <w:r>
        <w:rPr>
          <w:sz w:val="17"/>
        </w:rPr>
        <w:t>los</w:t>
      </w:r>
      <w:r>
        <w:rPr>
          <w:spacing w:val="-7"/>
          <w:sz w:val="17"/>
        </w:rPr>
        <w:t xml:space="preserve"> </w:t>
      </w:r>
      <w:r>
        <w:rPr>
          <w:sz w:val="17"/>
        </w:rPr>
        <w:t>Estados</w:t>
      </w:r>
      <w:r>
        <w:rPr>
          <w:spacing w:val="-7"/>
          <w:sz w:val="17"/>
        </w:rPr>
        <w:t xml:space="preserve"> </w:t>
      </w:r>
      <w:r>
        <w:rPr>
          <w:sz w:val="17"/>
        </w:rPr>
        <w:t>que</w:t>
      </w:r>
      <w:r>
        <w:rPr>
          <w:spacing w:val="-7"/>
          <w:sz w:val="17"/>
        </w:rPr>
        <w:t xml:space="preserve"> </w:t>
      </w:r>
      <w:r>
        <w:rPr>
          <w:sz w:val="17"/>
        </w:rPr>
        <w:t>buscan</w:t>
      </w:r>
      <w:r>
        <w:rPr>
          <w:spacing w:val="-7"/>
          <w:sz w:val="17"/>
        </w:rPr>
        <w:t xml:space="preserve"> </w:t>
      </w:r>
      <w:r>
        <w:rPr>
          <w:sz w:val="17"/>
        </w:rPr>
        <w:t>relaciones</w:t>
      </w:r>
      <w:r>
        <w:rPr>
          <w:spacing w:val="-7"/>
          <w:sz w:val="17"/>
        </w:rPr>
        <w:t xml:space="preserve"> </w:t>
      </w:r>
      <w:r>
        <w:rPr>
          <w:sz w:val="17"/>
        </w:rPr>
        <w:t>más</w:t>
      </w:r>
      <w:r>
        <w:rPr>
          <w:spacing w:val="-7"/>
          <w:sz w:val="17"/>
        </w:rPr>
        <w:t xml:space="preserve"> </w:t>
      </w:r>
      <w:r>
        <w:rPr>
          <w:sz w:val="17"/>
        </w:rPr>
        <w:t>estrechas</w:t>
      </w:r>
      <w:r>
        <w:rPr>
          <w:spacing w:val="-7"/>
          <w:sz w:val="17"/>
        </w:rPr>
        <w:t xml:space="preserve"> </w:t>
      </w:r>
      <w:r>
        <w:rPr>
          <w:sz w:val="17"/>
        </w:rPr>
        <w:t>con</w:t>
      </w:r>
      <w:r>
        <w:rPr>
          <w:spacing w:val="-7"/>
          <w:sz w:val="17"/>
        </w:rPr>
        <w:t xml:space="preserve"> </w:t>
      </w:r>
      <w:r>
        <w:rPr>
          <w:sz w:val="17"/>
        </w:rPr>
        <w:t>ella.</w:t>
      </w:r>
      <w:r>
        <w:rPr>
          <w:spacing w:val="-7"/>
          <w:sz w:val="17"/>
        </w:rPr>
        <w:t xml:space="preserve"> </w:t>
      </w:r>
      <w:r>
        <w:rPr>
          <w:sz w:val="17"/>
        </w:rPr>
        <w:t>En</w:t>
      </w:r>
      <w:r>
        <w:rPr>
          <w:spacing w:val="-7"/>
          <w:sz w:val="17"/>
        </w:rPr>
        <w:t xml:space="preserve"> </w:t>
      </w:r>
      <w:r>
        <w:rPr>
          <w:sz w:val="17"/>
        </w:rPr>
        <w:t>conjunto,</w:t>
      </w:r>
      <w:r>
        <w:rPr>
          <w:spacing w:val="-6"/>
          <w:sz w:val="17"/>
        </w:rPr>
        <w:t xml:space="preserve"> </w:t>
      </w:r>
      <w:r>
        <w:rPr>
          <w:sz w:val="17"/>
        </w:rPr>
        <w:t>las</w:t>
      </w:r>
      <w:r>
        <w:rPr>
          <w:spacing w:val="-7"/>
          <w:sz w:val="17"/>
        </w:rPr>
        <w:t xml:space="preserve"> </w:t>
      </w:r>
      <w:r>
        <w:rPr>
          <w:sz w:val="17"/>
        </w:rPr>
        <w:t>directivas</w:t>
      </w:r>
      <w:r>
        <w:rPr>
          <w:spacing w:val="-7"/>
          <w:sz w:val="17"/>
        </w:rPr>
        <w:t xml:space="preserve"> </w:t>
      </w:r>
      <w:r>
        <w:rPr>
          <w:sz w:val="17"/>
        </w:rPr>
        <w:t>extienden la protección contra la discriminación a las personas por motivos de edad, discapacidad, género, origen racial o étnico, religión o creencias y orientación sexual en el empleo y también por motivos de origen racial o étnico en las áreas de educación.</w:t>
      </w:r>
      <w:r>
        <w:rPr>
          <w:spacing w:val="-11"/>
          <w:sz w:val="17"/>
        </w:rPr>
        <w:t xml:space="preserve"> </w:t>
      </w:r>
      <w:r>
        <w:rPr>
          <w:w w:val="65"/>
          <w:sz w:val="17"/>
        </w:rPr>
        <w:t>;</w:t>
      </w:r>
      <w:r>
        <w:rPr>
          <w:spacing w:val="-11"/>
          <w:sz w:val="17"/>
        </w:rPr>
        <w:t xml:space="preserve"> </w:t>
      </w:r>
      <w:r>
        <w:rPr>
          <w:sz w:val="17"/>
        </w:rPr>
        <w:t>protección</w:t>
      </w:r>
      <w:r>
        <w:rPr>
          <w:spacing w:val="-11"/>
          <w:sz w:val="17"/>
        </w:rPr>
        <w:t xml:space="preserve"> </w:t>
      </w:r>
      <w:r>
        <w:rPr>
          <w:sz w:val="17"/>
        </w:rPr>
        <w:t>social,</w:t>
      </w:r>
      <w:r>
        <w:rPr>
          <w:spacing w:val="-11"/>
          <w:sz w:val="17"/>
        </w:rPr>
        <w:t xml:space="preserve"> </w:t>
      </w:r>
      <w:r>
        <w:rPr>
          <w:sz w:val="17"/>
        </w:rPr>
        <w:t>incluida</w:t>
      </w:r>
      <w:r>
        <w:rPr>
          <w:spacing w:val="-11"/>
          <w:sz w:val="17"/>
        </w:rPr>
        <w:t xml:space="preserve"> </w:t>
      </w:r>
      <w:r>
        <w:rPr>
          <w:sz w:val="17"/>
        </w:rPr>
        <w:t>la</w:t>
      </w:r>
      <w:r>
        <w:rPr>
          <w:spacing w:val="-11"/>
          <w:sz w:val="17"/>
        </w:rPr>
        <w:t xml:space="preserve"> </w:t>
      </w:r>
      <w:r>
        <w:rPr>
          <w:sz w:val="17"/>
        </w:rPr>
        <w:t>seguridad</w:t>
      </w:r>
      <w:r>
        <w:rPr>
          <w:spacing w:val="-11"/>
          <w:sz w:val="17"/>
        </w:rPr>
        <w:t xml:space="preserve"> </w:t>
      </w:r>
      <w:r>
        <w:rPr>
          <w:sz w:val="17"/>
        </w:rPr>
        <w:t>social</w:t>
      </w:r>
      <w:r>
        <w:rPr>
          <w:spacing w:val="-11"/>
          <w:sz w:val="17"/>
        </w:rPr>
        <w:t xml:space="preserve"> </w:t>
      </w:r>
      <w:r>
        <w:rPr>
          <w:sz w:val="17"/>
        </w:rPr>
        <w:t>y</w:t>
      </w:r>
      <w:r>
        <w:rPr>
          <w:spacing w:val="-11"/>
          <w:sz w:val="17"/>
        </w:rPr>
        <w:t xml:space="preserve"> </w:t>
      </w:r>
      <w:r>
        <w:rPr>
          <w:sz w:val="17"/>
        </w:rPr>
        <w:t>la</w:t>
      </w:r>
      <w:r>
        <w:rPr>
          <w:spacing w:val="-11"/>
          <w:sz w:val="17"/>
        </w:rPr>
        <w:t xml:space="preserve"> </w:t>
      </w:r>
      <w:r>
        <w:rPr>
          <w:sz w:val="17"/>
        </w:rPr>
        <w:t>atención</w:t>
      </w:r>
      <w:r>
        <w:rPr>
          <w:spacing w:val="-11"/>
          <w:sz w:val="17"/>
        </w:rPr>
        <w:t xml:space="preserve"> </w:t>
      </w:r>
      <w:r>
        <w:rPr>
          <w:sz w:val="17"/>
        </w:rPr>
        <w:t>sanitaria;</w:t>
      </w:r>
      <w:r>
        <w:rPr>
          <w:spacing w:val="-11"/>
          <w:sz w:val="17"/>
        </w:rPr>
        <w:t xml:space="preserve"> </w:t>
      </w:r>
      <w:r>
        <w:rPr>
          <w:sz w:val="17"/>
        </w:rPr>
        <w:t>y</w:t>
      </w:r>
      <w:r>
        <w:rPr>
          <w:spacing w:val="-11"/>
          <w:sz w:val="17"/>
        </w:rPr>
        <w:t xml:space="preserve"> </w:t>
      </w:r>
      <w:r>
        <w:rPr>
          <w:sz w:val="17"/>
        </w:rPr>
        <w:t>el</w:t>
      </w:r>
      <w:r>
        <w:rPr>
          <w:spacing w:val="-11"/>
          <w:sz w:val="17"/>
        </w:rPr>
        <w:t xml:space="preserve"> </w:t>
      </w:r>
      <w:r>
        <w:rPr>
          <w:sz w:val="17"/>
        </w:rPr>
        <w:t>suministro</w:t>
      </w:r>
      <w:r>
        <w:rPr>
          <w:spacing w:val="-11"/>
          <w:sz w:val="17"/>
        </w:rPr>
        <w:t xml:space="preserve"> </w:t>
      </w:r>
      <w:r>
        <w:rPr>
          <w:sz w:val="17"/>
        </w:rPr>
        <w:t>de</w:t>
      </w:r>
      <w:r>
        <w:rPr>
          <w:spacing w:val="-11"/>
          <w:sz w:val="17"/>
        </w:rPr>
        <w:t xml:space="preserve"> </w:t>
      </w:r>
      <w:r>
        <w:rPr>
          <w:sz w:val="17"/>
        </w:rPr>
        <w:t>bienes</w:t>
      </w:r>
      <w:r>
        <w:rPr>
          <w:spacing w:val="-11"/>
          <w:sz w:val="17"/>
        </w:rPr>
        <w:t xml:space="preserve"> </w:t>
      </w:r>
      <w:r>
        <w:rPr>
          <w:sz w:val="17"/>
        </w:rPr>
        <w:t>y</w:t>
      </w:r>
      <w:r>
        <w:rPr>
          <w:spacing w:val="-11"/>
          <w:sz w:val="17"/>
        </w:rPr>
        <w:t xml:space="preserve"> </w:t>
      </w:r>
      <w:r>
        <w:rPr>
          <w:sz w:val="17"/>
        </w:rPr>
        <w:t>servicios, incluida</w:t>
      </w:r>
      <w:r>
        <w:rPr>
          <w:spacing w:val="-1"/>
          <w:sz w:val="17"/>
        </w:rPr>
        <w:t xml:space="preserve"> </w:t>
      </w:r>
      <w:r>
        <w:rPr>
          <w:sz w:val="17"/>
        </w:rPr>
        <w:t>la</w:t>
      </w:r>
      <w:r>
        <w:rPr>
          <w:spacing w:val="-1"/>
          <w:sz w:val="17"/>
        </w:rPr>
        <w:t xml:space="preserve"> </w:t>
      </w:r>
      <w:r>
        <w:rPr>
          <w:sz w:val="17"/>
        </w:rPr>
        <w:t>vivienda.97</w:t>
      </w:r>
      <w:r>
        <w:rPr>
          <w:spacing w:val="-1"/>
          <w:sz w:val="17"/>
        </w:rPr>
        <w:t xml:space="preserve"> </w:t>
      </w:r>
      <w:r>
        <w:rPr>
          <w:sz w:val="17"/>
        </w:rPr>
        <w:t>Desde</w:t>
      </w:r>
      <w:r>
        <w:rPr>
          <w:spacing w:val="-1"/>
          <w:sz w:val="17"/>
        </w:rPr>
        <w:t xml:space="preserve"> </w:t>
      </w:r>
      <w:r>
        <w:rPr>
          <w:sz w:val="17"/>
        </w:rPr>
        <w:t>2008,</w:t>
      </w:r>
      <w:r>
        <w:rPr>
          <w:spacing w:val="-1"/>
          <w:sz w:val="17"/>
        </w:rPr>
        <w:t xml:space="preserve"> </w:t>
      </w:r>
      <w:r>
        <w:rPr>
          <w:sz w:val="17"/>
        </w:rPr>
        <w:t>un</w:t>
      </w:r>
      <w:r>
        <w:rPr>
          <w:spacing w:val="-1"/>
          <w:sz w:val="17"/>
        </w:rPr>
        <w:t xml:space="preserve"> </w:t>
      </w:r>
      <w:r>
        <w:rPr>
          <w:sz w:val="17"/>
        </w:rPr>
        <w:t>proyecto</w:t>
      </w:r>
      <w:r>
        <w:rPr>
          <w:spacing w:val="-1"/>
          <w:sz w:val="17"/>
        </w:rPr>
        <w:t xml:space="preserve"> </w:t>
      </w:r>
      <w:r>
        <w:rPr>
          <w:sz w:val="17"/>
        </w:rPr>
        <w:t>de</w:t>
      </w:r>
      <w:r>
        <w:rPr>
          <w:spacing w:val="-1"/>
          <w:sz w:val="17"/>
        </w:rPr>
        <w:t xml:space="preserve"> </w:t>
      </w:r>
      <w:r>
        <w:rPr>
          <w:sz w:val="17"/>
        </w:rPr>
        <w:t>directiva</w:t>
      </w:r>
      <w:r>
        <w:rPr>
          <w:spacing w:val="-1"/>
          <w:sz w:val="17"/>
        </w:rPr>
        <w:t xml:space="preserve"> </w:t>
      </w:r>
      <w:r>
        <w:rPr>
          <w:sz w:val="17"/>
        </w:rPr>
        <w:t>horizontal</w:t>
      </w:r>
      <w:r>
        <w:rPr>
          <w:spacing w:val="-1"/>
          <w:sz w:val="17"/>
        </w:rPr>
        <w:t xml:space="preserve"> </w:t>
      </w:r>
      <w:r>
        <w:rPr>
          <w:sz w:val="17"/>
        </w:rPr>
        <w:t>ha</w:t>
      </w:r>
      <w:r>
        <w:rPr>
          <w:spacing w:val="-1"/>
          <w:sz w:val="17"/>
        </w:rPr>
        <w:t xml:space="preserve"> </w:t>
      </w:r>
      <w:r>
        <w:rPr>
          <w:sz w:val="17"/>
        </w:rPr>
        <w:t>estado</w:t>
      </w:r>
      <w:r>
        <w:rPr>
          <w:spacing w:val="-1"/>
          <w:sz w:val="17"/>
        </w:rPr>
        <w:t xml:space="preserve"> </w:t>
      </w:r>
      <w:r>
        <w:rPr>
          <w:sz w:val="17"/>
        </w:rPr>
        <w:t>pendiente</w:t>
      </w:r>
      <w:r>
        <w:rPr>
          <w:spacing w:val="-1"/>
          <w:sz w:val="17"/>
        </w:rPr>
        <w:t xml:space="preserve"> </w:t>
      </w:r>
      <w:r>
        <w:rPr>
          <w:sz w:val="17"/>
        </w:rPr>
        <w:t>en</w:t>
      </w:r>
      <w:r>
        <w:rPr>
          <w:spacing w:val="-1"/>
          <w:sz w:val="17"/>
        </w:rPr>
        <w:t xml:space="preserve"> </w:t>
      </w:r>
      <w:r>
        <w:rPr>
          <w:sz w:val="17"/>
        </w:rPr>
        <w:t>el</w:t>
      </w:r>
      <w:r>
        <w:rPr>
          <w:spacing w:val="-1"/>
          <w:sz w:val="17"/>
        </w:rPr>
        <w:t xml:space="preserve"> </w:t>
      </w:r>
      <w:r>
        <w:rPr>
          <w:sz w:val="17"/>
        </w:rPr>
        <w:t>Consejo</w:t>
      </w:r>
      <w:r>
        <w:rPr>
          <w:spacing w:val="-1"/>
          <w:sz w:val="17"/>
        </w:rPr>
        <w:t xml:space="preserve"> </w:t>
      </w:r>
      <w:r>
        <w:rPr>
          <w:sz w:val="17"/>
        </w:rPr>
        <w:t>Europeo.98 Además de las directivas, el capítulo III de la Carta de Derechos Fundamentales de la Unión Europea impone obligaciones suplementarias a Estados en la aplicación del derecho de la Unión Europea, que puede utilizarse para ampliar la lista de motivos prohibidos de discriminación99 y el nivel de protección otorgado en la práctica.100</w:t>
      </w:r>
    </w:p>
    <w:p w14:paraId="153BDFDC" w14:textId="77777777" w:rsidR="0014798C" w:rsidRDefault="0014798C">
      <w:pPr>
        <w:pStyle w:val="Textoindependiente"/>
        <w:rPr>
          <w:sz w:val="12"/>
        </w:rPr>
      </w:pPr>
    </w:p>
    <w:p w14:paraId="3507C45A" w14:textId="77777777" w:rsidR="0014798C" w:rsidRDefault="0014798C">
      <w:pPr>
        <w:pStyle w:val="Textoindependiente"/>
        <w:rPr>
          <w:sz w:val="12"/>
        </w:rPr>
      </w:pPr>
    </w:p>
    <w:p w14:paraId="06048AD7" w14:textId="77777777" w:rsidR="0014798C" w:rsidRDefault="0014798C">
      <w:pPr>
        <w:pStyle w:val="Textoindependiente"/>
        <w:rPr>
          <w:sz w:val="12"/>
        </w:rPr>
      </w:pPr>
    </w:p>
    <w:p w14:paraId="774EFAEC" w14:textId="77777777" w:rsidR="0014798C" w:rsidRDefault="0014798C">
      <w:pPr>
        <w:pStyle w:val="Textoindependiente"/>
        <w:spacing w:before="3"/>
        <w:rPr>
          <w:sz w:val="12"/>
        </w:rPr>
      </w:pPr>
    </w:p>
    <w:p w14:paraId="2BFD1F01" w14:textId="77777777" w:rsidR="0014798C" w:rsidRDefault="004E1F0B">
      <w:pPr>
        <w:ind w:left="1107"/>
        <w:rPr>
          <w:sz w:val="12"/>
        </w:rPr>
      </w:pPr>
      <w:r>
        <w:rPr>
          <w:sz w:val="12"/>
          <w:vertAlign w:val="superscript"/>
        </w:rPr>
        <w:t>94</w:t>
      </w:r>
      <w:r>
        <w:rPr>
          <w:spacing w:val="48"/>
          <w:sz w:val="12"/>
        </w:rPr>
        <w:t xml:space="preserve">  </w:t>
      </w:r>
      <w:r>
        <w:rPr>
          <w:sz w:val="12"/>
        </w:rPr>
        <w:t>Tribunal</w:t>
      </w:r>
      <w:r>
        <w:rPr>
          <w:spacing w:val="1"/>
          <w:sz w:val="12"/>
        </w:rPr>
        <w:t xml:space="preserve"> </w:t>
      </w:r>
      <w:r>
        <w:rPr>
          <w:sz w:val="12"/>
        </w:rPr>
        <w:t>Europeo</w:t>
      </w:r>
      <w:r>
        <w:rPr>
          <w:spacing w:val="-1"/>
          <w:sz w:val="12"/>
        </w:rPr>
        <w:t xml:space="preserve"> </w:t>
      </w:r>
      <w:r>
        <w:rPr>
          <w:sz w:val="12"/>
        </w:rPr>
        <w:t xml:space="preserve">de Derechos Humanos, </w:t>
      </w:r>
      <w:proofErr w:type="spellStart"/>
      <w:r>
        <w:rPr>
          <w:sz w:val="12"/>
        </w:rPr>
        <w:t>Thlimmenos</w:t>
      </w:r>
      <w:proofErr w:type="spellEnd"/>
      <w:r>
        <w:rPr>
          <w:sz w:val="12"/>
        </w:rPr>
        <w:t xml:space="preserve"> c. Grecia, solicitud</w:t>
      </w:r>
      <w:r>
        <w:rPr>
          <w:spacing w:val="-1"/>
          <w:sz w:val="12"/>
        </w:rPr>
        <w:t xml:space="preserve"> </w:t>
      </w:r>
      <w:proofErr w:type="spellStart"/>
      <w:r>
        <w:rPr>
          <w:sz w:val="12"/>
        </w:rPr>
        <w:t>n.°</w:t>
      </w:r>
      <w:proofErr w:type="spellEnd"/>
      <w:r>
        <w:rPr>
          <w:sz w:val="12"/>
        </w:rPr>
        <w:t xml:space="preserve"> 34369/97,</w:t>
      </w:r>
      <w:r>
        <w:rPr>
          <w:spacing w:val="1"/>
          <w:sz w:val="12"/>
        </w:rPr>
        <w:t xml:space="preserve"> </w:t>
      </w:r>
      <w:r>
        <w:rPr>
          <w:sz w:val="12"/>
        </w:rPr>
        <w:t>sentencia de</w:t>
      </w:r>
      <w:r>
        <w:rPr>
          <w:spacing w:val="-1"/>
          <w:sz w:val="12"/>
        </w:rPr>
        <w:t xml:space="preserve"> </w:t>
      </w:r>
      <w:r>
        <w:rPr>
          <w:sz w:val="12"/>
        </w:rPr>
        <w:t>6 de abril</w:t>
      </w:r>
      <w:r>
        <w:rPr>
          <w:spacing w:val="-1"/>
          <w:sz w:val="12"/>
        </w:rPr>
        <w:t xml:space="preserve"> </w:t>
      </w:r>
      <w:r>
        <w:rPr>
          <w:sz w:val="12"/>
        </w:rPr>
        <w:t xml:space="preserve">de </w:t>
      </w:r>
      <w:r>
        <w:rPr>
          <w:spacing w:val="-2"/>
          <w:sz w:val="12"/>
        </w:rPr>
        <w:t>2000.</w:t>
      </w:r>
    </w:p>
    <w:p w14:paraId="289B392A" w14:textId="77777777" w:rsidR="0014798C" w:rsidRDefault="0014798C">
      <w:pPr>
        <w:pStyle w:val="Textoindependiente"/>
        <w:spacing w:before="2"/>
        <w:rPr>
          <w:sz w:val="11"/>
        </w:rPr>
      </w:pPr>
    </w:p>
    <w:p w14:paraId="65ECC4E4" w14:textId="77777777" w:rsidR="0014798C" w:rsidRDefault="004E1F0B">
      <w:pPr>
        <w:ind w:left="1107"/>
        <w:rPr>
          <w:sz w:val="11"/>
        </w:rPr>
      </w:pPr>
      <w:r>
        <w:rPr>
          <w:w w:val="105"/>
          <w:sz w:val="11"/>
        </w:rPr>
        <w:t>95</w:t>
      </w:r>
      <w:r>
        <w:rPr>
          <w:spacing w:val="-2"/>
          <w:w w:val="105"/>
          <w:sz w:val="11"/>
        </w:rPr>
        <w:t xml:space="preserve"> </w:t>
      </w:r>
      <w:r>
        <w:rPr>
          <w:w w:val="105"/>
          <w:sz w:val="11"/>
        </w:rPr>
        <w:t>Además,</w:t>
      </w:r>
      <w:r>
        <w:rPr>
          <w:spacing w:val="-1"/>
          <w:w w:val="105"/>
          <w:sz w:val="11"/>
        </w:rPr>
        <w:t xml:space="preserve"> </w:t>
      </w:r>
      <w:r>
        <w:rPr>
          <w:w w:val="105"/>
          <w:sz w:val="11"/>
        </w:rPr>
        <w:t>en</w:t>
      </w:r>
      <w:r>
        <w:rPr>
          <w:spacing w:val="-2"/>
          <w:w w:val="105"/>
          <w:sz w:val="11"/>
        </w:rPr>
        <w:t xml:space="preserve"> </w:t>
      </w:r>
      <w:r>
        <w:rPr>
          <w:w w:val="105"/>
          <w:sz w:val="11"/>
        </w:rPr>
        <w:t>2011,</w:t>
      </w:r>
      <w:r>
        <w:rPr>
          <w:spacing w:val="-1"/>
          <w:w w:val="105"/>
          <w:sz w:val="11"/>
        </w:rPr>
        <w:t xml:space="preserve"> </w:t>
      </w:r>
      <w:r>
        <w:rPr>
          <w:w w:val="105"/>
          <w:sz w:val="11"/>
        </w:rPr>
        <w:t>la</w:t>
      </w:r>
      <w:r>
        <w:rPr>
          <w:spacing w:val="-2"/>
          <w:w w:val="105"/>
          <w:sz w:val="11"/>
        </w:rPr>
        <w:t xml:space="preserve"> </w:t>
      </w:r>
      <w:r>
        <w:rPr>
          <w:w w:val="105"/>
          <w:sz w:val="11"/>
        </w:rPr>
        <w:t>Asamblea</w:t>
      </w:r>
      <w:r>
        <w:rPr>
          <w:spacing w:val="-2"/>
          <w:w w:val="105"/>
          <w:sz w:val="11"/>
        </w:rPr>
        <w:t xml:space="preserve"> </w:t>
      </w:r>
      <w:r>
        <w:rPr>
          <w:w w:val="105"/>
          <w:sz w:val="11"/>
        </w:rPr>
        <w:t>Parlamentaria</w:t>
      </w:r>
      <w:r>
        <w:rPr>
          <w:spacing w:val="-1"/>
          <w:w w:val="105"/>
          <w:sz w:val="11"/>
        </w:rPr>
        <w:t xml:space="preserve"> </w:t>
      </w:r>
      <w:r>
        <w:rPr>
          <w:w w:val="105"/>
          <w:sz w:val="11"/>
        </w:rPr>
        <w:t>del</w:t>
      </w:r>
      <w:r>
        <w:rPr>
          <w:spacing w:val="-2"/>
          <w:w w:val="105"/>
          <w:sz w:val="11"/>
        </w:rPr>
        <w:t xml:space="preserve"> </w:t>
      </w:r>
      <w:r>
        <w:rPr>
          <w:w w:val="105"/>
          <w:sz w:val="11"/>
        </w:rPr>
        <w:t>Consejo</w:t>
      </w:r>
      <w:r>
        <w:rPr>
          <w:spacing w:val="-2"/>
          <w:w w:val="105"/>
          <w:sz w:val="11"/>
        </w:rPr>
        <w:t xml:space="preserve"> </w:t>
      </w:r>
      <w:r>
        <w:rPr>
          <w:w w:val="105"/>
          <w:sz w:val="11"/>
        </w:rPr>
        <w:t>de</w:t>
      </w:r>
      <w:r>
        <w:rPr>
          <w:spacing w:val="-2"/>
          <w:w w:val="105"/>
          <w:sz w:val="11"/>
        </w:rPr>
        <w:t xml:space="preserve"> </w:t>
      </w:r>
      <w:r>
        <w:rPr>
          <w:w w:val="105"/>
          <w:sz w:val="11"/>
        </w:rPr>
        <w:t>Europa</w:t>
      </w:r>
      <w:r>
        <w:rPr>
          <w:spacing w:val="-1"/>
          <w:w w:val="105"/>
          <w:sz w:val="11"/>
        </w:rPr>
        <w:t xml:space="preserve"> </w:t>
      </w:r>
      <w:r>
        <w:rPr>
          <w:w w:val="105"/>
          <w:sz w:val="11"/>
        </w:rPr>
        <w:t>adoptó</w:t>
      </w:r>
      <w:r>
        <w:rPr>
          <w:spacing w:val="-2"/>
          <w:w w:val="105"/>
          <w:sz w:val="11"/>
        </w:rPr>
        <w:t xml:space="preserve"> </w:t>
      </w:r>
      <w:r>
        <w:rPr>
          <w:w w:val="105"/>
          <w:sz w:val="11"/>
        </w:rPr>
        <w:t>la</w:t>
      </w:r>
      <w:r>
        <w:rPr>
          <w:spacing w:val="-2"/>
          <w:w w:val="105"/>
          <w:sz w:val="11"/>
        </w:rPr>
        <w:t xml:space="preserve"> </w:t>
      </w:r>
      <w:r>
        <w:rPr>
          <w:w w:val="105"/>
          <w:sz w:val="11"/>
        </w:rPr>
        <w:t>resolución</w:t>
      </w:r>
      <w:r>
        <w:rPr>
          <w:spacing w:val="-1"/>
          <w:w w:val="105"/>
          <w:sz w:val="11"/>
        </w:rPr>
        <w:t xml:space="preserve"> </w:t>
      </w:r>
      <w:r>
        <w:rPr>
          <w:w w:val="105"/>
          <w:sz w:val="11"/>
        </w:rPr>
        <w:t>1844</w:t>
      </w:r>
      <w:r>
        <w:rPr>
          <w:spacing w:val="-2"/>
          <w:w w:val="105"/>
          <w:sz w:val="11"/>
        </w:rPr>
        <w:t xml:space="preserve"> </w:t>
      </w:r>
      <w:r>
        <w:rPr>
          <w:w w:val="105"/>
          <w:sz w:val="11"/>
        </w:rPr>
        <w:t>(2011)</w:t>
      </w:r>
      <w:r>
        <w:rPr>
          <w:spacing w:val="-2"/>
          <w:w w:val="105"/>
          <w:sz w:val="11"/>
        </w:rPr>
        <w:t xml:space="preserve"> </w:t>
      </w:r>
      <w:r>
        <w:rPr>
          <w:w w:val="105"/>
          <w:sz w:val="11"/>
        </w:rPr>
        <w:t>sobre</w:t>
      </w:r>
      <w:r>
        <w:rPr>
          <w:spacing w:val="-1"/>
          <w:w w:val="105"/>
          <w:sz w:val="11"/>
        </w:rPr>
        <w:t xml:space="preserve"> </w:t>
      </w:r>
      <w:r>
        <w:rPr>
          <w:w w:val="105"/>
          <w:sz w:val="11"/>
        </w:rPr>
        <w:t>la</w:t>
      </w:r>
      <w:r>
        <w:rPr>
          <w:spacing w:val="-2"/>
          <w:w w:val="105"/>
          <w:sz w:val="11"/>
        </w:rPr>
        <w:t xml:space="preserve"> </w:t>
      </w:r>
      <w:r>
        <w:rPr>
          <w:w w:val="105"/>
          <w:sz w:val="11"/>
        </w:rPr>
        <w:t>Declaración</w:t>
      </w:r>
      <w:r>
        <w:rPr>
          <w:spacing w:val="-2"/>
          <w:w w:val="105"/>
          <w:sz w:val="11"/>
        </w:rPr>
        <w:t xml:space="preserve"> </w:t>
      </w:r>
      <w:r>
        <w:rPr>
          <w:spacing w:val="-5"/>
          <w:w w:val="105"/>
          <w:sz w:val="11"/>
        </w:rPr>
        <w:t>de</w:t>
      </w:r>
    </w:p>
    <w:p w14:paraId="474A475A" w14:textId="77777777" w:rsidR="0014798C" w:rsidRDefault="004E1F0B">
      <w:pPr>
        <w:spacing w:before="23"/>
        <w:ind w:left="1367"/>
        <w:rPr>
          <w:sz w:val="12"/>
        </w:rPr>
      </w:pPr>
      <w:r>
        <w:rPr>
          <w:sz w:val="12"/>
        </w:rPr>
        <w:t>Principios</w:t>
      </w:r>
      <w:r>
        <w:rPr>
          <w:spacing w:val="1"/>
          <w:sz w:val="12"/>
        </w:rPr>
        <w:t xml:space="preserve"> </w:t>
      </w:r>
      <w:r>
        <w:rPr>
          <w:sz w:val="12"/>
        </w:rPr>
        <w:t>de</w:t>
      </w:r>
      <w:r>
        <w:rPr>
          <w:spacing w:val="1"/>
          <w:sz w:val="12"/>
        </w:rPr>
        <w:t xml:space="preserve"> </w:t>
      </w:r>
      <w:r>
        <w:rPr>
          <w:sz w:val="12"/>
        </w:rPr>
        <w:t>Igualdad</w:t>
      </w:r>
      <w:r>
        <w:rPr>
          <w:spacing w:val="1"/>
          <w:sz w:val="12"/>
        </w:rPr>
        <w:t xml:space="preserve"> </w:t>
      </w:r>
      <w:r>
        <w:rPr>
          <w:sz w:val="12"/>
        </w:rPr>
        <w:t>y</w:t>
      </w:r>
      <w:r>
        <w:rPr>
          <w:spacing w:val="2"/>
          <w:sz w:val="12"/>
        </w:rPr>
        <w:t xml:space="preserve"> </w:t>
      </w:r>
      <w:r>
        <w:rPr>
          <w:sz w:val="12"/>
        </w:rPr>
        <w:t>actividades</w:t>
      </w:r>
      <w:r>
        <w:rPr>
          <w:spacing w:val="1"/>
          <w:sz w:val="12"/>
        </w:rPr>
        <w:t xml:space="preserve"> </w:t>
      </w:r>
      <w:r>
        <w:rPr>
          <w:sz w:val="12"/>
        </w:rPr>
        <w:t>del</w:t>
      </w:r>
      <w:r>
        <w:rPr>
          <w:spacing w:val="1"/>
          <w:sz w:val="12"/>
        </w:rPr>
        <w:t xml:space="preserve"> </w:t>
      </w:r>
      <w:r>
        <w:rPr>
          <w:sz w:val="12"/>
        </w:rPr>
        <w:t>Consejo</w:t>
      </w:r>
      <w:r>
        <w:rPr>
          <w:spacing w:val="2"/>
          <w:sz w:val="12"/>
        </w:rPr>
        <w:t xml:space="preserve"> </w:t>
      </w:r>
      <w:r>
        <w:rPr>
          <w:sz w:val="12"/>
        </w:rPr>
        <w:t>de</w:t>
      </w:r>
      <w:r>
        <w:rPr>
          <w:spacing w:val="1"/>
          <w:sz w:val="12"/>
        </w:rPr>
        <w:t xml:space="preserve"> </w:t>
      </w:r>
      <w:r>
        <w:rPr>
          <w:sz w:val="12"/>
        </w:rPr>
        <w:t>Europa,</w:t>
      </w:r>
      <w:r>
        <w:rPr>
          <w:spacing w:val="1"/>
          <w:sz w:val="12"/>
        </w:rPr>
        <w:t xml:space="preserve"> </w:t>
      </w:r>
      <w:r>
        <w:rPr>
          <w:sz w:val="12"/>
        </w:rPr>
        <w:t>que</w:t>
      </w:r>
      <w:r>
        <w:rPr>
          <w:spacing w:val="2"/>
          <w:sz w:val="12"/>
        </w:rPr>
        <w:t xml:space="preserve"> </w:t>
      </w:r>
      <w:r>
        <w:rPr>
          <w:sz w:val="12"/>
        </w:rPr>
        <w:t>insta</w:t>
      </w:r>
      <w:r>
        <w:rPr>
          <w:spacing w:val="1"/>
          <w:sz w:val="12"/>
        </w:rPr>
        <w:t xml:space="preserve"> </w:t>
      </w:r>
      <w:r>
        <w:rPr>
          <w:sz w:val="12"/>
        </w:rPr>
        <w:t>a</w:t>
      </w:r>
      <w:r>
        <w:rPr>
          <w:spacing w:val="1"/>
          <w:sz w:val="12"/>
        </w:rPr>
        <w:t xml:space="preserve"> </w:t>
      </w:r>
      <w:r>
        <w:rPr>
          <w:sz w:val="12"/>
        </w:rPr>
        <w:t>los</w:t>
      </w:r>
      <w:r>
        <w:rPr>
          <w:spacing w:val="2"/>
          <w:sz w:val="12"/>
        </w:rPr>
        <w:t xml:space="preserve"> </w:t>
      </w:r>
      <w:r>
        <w:rPr>
          <w:sz w:val="12"/>
        </w:rPr>
        <w:t>Estados</w:t>
      </w:r>
      <w:r>
        <w:rPr>
          <w:spacing w:val="1"/>
          <w:sz w:val="12"/>
        </w:rPr>
        <w:t xml:space="preserve"> </w:t>
      </w:r>
      <w:r>
        <w:rPr>
          <w:sz w:val="12"/>
        </w:rPr>
        <w:t>miembros</w:t>
      </w:r>
      <w:r>
        <w:rPr>
          <w:spacing w:val="1"/>
          <w:sz w:val="12"/>
        </w:rPr>
        <w:t xml:space="preserve"> </w:t>
      </w:r>
      <w:r>
        <w:rPr>
          <w:sz w:val="12"/>
        </w:rPr>
        <w:t>a</w:t>
      </w:r>
      <w:r>
        <w:rPr>
          <w:spacing w:val="2"/>
          <w:sz w:val="12"/>
        </w:rPr>
        <w:t xml:space="preserve"> </w:t>
      </w:r>
      <w:r>
        <w:rPr>
          <w:sz w:val="12"/>
        </w:rPr>
        <w:t>adoptar</w:t>
      </w:r>
      <w:r>
        <w:rPr>
          <w:spacing w:val="1"/>
          <w:sz w:val="12"/>
        </w:rPr>
        <w:t xml:space="preserve"> </w:t>
      </w:r>
      <w:r>
        <w:rPr>
          <w:sz w:val="12"/>
        </w:rPr>
        <w:t>leyes</w:t>
      </w:r>
      <w:r>
        <w:rPr>
          <w:spacing w:val="1"/>
          <w:sz w:val="12"/>
        </w:rPr>
        <w:t xml:space="preserve"> </w:t>
      </w:r>
      <w:r>
        <w:rPr>
          <w:sz w:val="12"/>
        </w:rPr>
        <w:t>integrales</w:t>
      </w:r>
      <w:r>
        <w:rPr>
          <w:spacing w:val="2"/>
          <w:sz w:val="12"/>
        </w:rPr>
        <w:t xml:space="preserve"> </w:t>
      </w:r>
      <w:r>
        <w:rPr>
          <w:sz w:val="12"/>
        </w:rPr>
        <w:t>contra</w:t>
      </w:r>
      <w:r>
        <w:rPr>
          <w:spacing w:val="1"/>
          <w:sz w:val="12"/>
        </w:rPr>
        <w:t xml:space="preserve"> </w:t>
      </w:r>
      <w:r>
        <w:rPr>
          <w:sz w:val="12"/>
        </w:rPr>
        <w:t>la</w:t>
      </w:r>
      <w:r>
        <w:rPr>
          <w:spacing w:val="1"/>
          <w:sz w:val="12"/>
        </w:rPr>
        <w:t xml:space="preserve"> </w:t>
      </w:r>
      <w:r>
        <w:rPr>
          <w:spacing w:val="-2"/>
          <w:sz w:val="12"/>
        </w:rPr>
        <w:t>discriminación.</w:t>
      </w:r>
    </w:p>
    <w:p w14:paraId="07A03073" w14:textId="77777777" w:rsidR="0014798C" w:rsidRDefault="0014798C">
      <w:pPr>
        <w:pStyle w:val="Textoindependiente"/>
        <w:rPr>
          <w:sz w:val="12"/>
        </w:rPr>
      </w:pPr>
    </w:p>
    <w:p w14:paraId="276F5CB5" w14:textId="77777777" w:rsidR="0014798C" w:rsidRDefault="0014798C">
      <w:pPr>
        <w:pStyle w:val="Textoindependiente"/>
        <w:spacing w:before="2"/>
        <w:rPr>
          <w:sz w:val="12"/>
        </w:rPr>
      </w:pPr>
    </w:p>
    <w:p w14:paraId="764456AE" w14:textId="77777777" w:rsidR="0014798C" w:rsidRDefault="004E1F0B">
      <w:pPr>
        <w:ind w:left="1107"/>
        <w:rPr>
          <w:sz w:val="12"/>
        </w:rPr>
      </w:pPr>
      <w:r>
        <w:rPr>
          <w:sz w:val="12"/>
          <w:vertAlign w:val="superscript"/>
        </w:rPr>
        <w:t>96</w:t>
      </w:r>
      <w:r>
        <w:rPr>
          <w:spacing w:val="38"/>
          <w:sz w:val="12"/>
        </w:rPr>
        <w:t xml:space="preserve">  </w:t>
      </w:r>
      <w:r>
        <w:rPr>
          <w:sz w:val="12"/>
        </w:rPr>
        <w:t>Carta</w:t>
      </w:r>
      <w:r>
        <w:rPr>
          <w:spacing w:val="-5"/>
          <w:sz w:val="12"/>
        </w:rPr>
        <w:t xml:space="preserve"> </w:t>
      </w:r>
      <w:r>
        <w:rPr>
          <w:sz w:val="12"/>
        </w:rPr>
        <w:t>Social</w:t>
      </w:r>
      <w:r>
        <w:rPr>
          <w:spacing w:val="-4"/>
          <w:sz w:val="12"/>
        </w:rPr>
        <w:t xml:space="preserve"> </w:t>
      </w:r>
      <w:r>
        <w:rPr>
          <w:sz w:val="12"/>
        </w:rPr>
        <w:t>Europea,</w:t>
      </w:r>
      <w:r>
        <w:rPr>
          <w:spacing w:val="-5"/>
          <w:sz w:val="12"/>
        </w:rPr>
        <w:t xml:space="preserve"> </w:t>
      </w:r>
      <w:r>
        <w:rPr>
          <w:sz w:val="12"/>
        </w:rPr>
        <w:t>tercer</w:t>
      </w:r>
      <w:r>
        <w:rPr>
          <w:spacing w:val="-4"/>
          <w:sz w:val="12"/>
        </w:rPr>
        <w:t xml:space="preserve"> </w:t>
      </w:r>
      <w:r>
        <w:rPr>
          <w:sz w:val="12"/>
        </w:rPr>
        <w:t>párrafo</w:t>
      </w:r>
      <w:r>
        <w:rPr>
          <w:spacing w:val="-4"/>
          <w:sz w:val="12"/>
        </w:rPr>
        <w:t xml:space="preserve"> </w:t>
      </w:r>
      <w:r>
        <w:rPr>
          <w:sz w:val="12"/>
        </w:rPr>
        <w:t>del</w:t>
      </w:r>
      <w:r>
        <w:rPr>
          <w:spacing w:val="-5"/>
          <w:sz w:val="12"/>
        </w:rPr>
        <w:t xml:space="preserve"> </w:t>
      </w:r>
      <w:r>
        <w:rPr>
          <w:sz w:val="12"/>
        </w:rPr>
        <w:t>preámbulo;</w:t>
      </w:r>
      <w:r>
        <w:rPr>
          <w:spacing w:val="-4"/>
          <w:sz w:val="12"/>
        </w:rPr>
        <w:t xml:space="preserve"> </w:t>
      </w:r>
      <w:r>
        <w:rPr>
          <w:sz w:val="12"/>
        </w:rPr>
        <w:t>y</w:t>
      </w:r>
      <w:r>
        <w:rPr>
          <w:spacing w:val="-4"/>
          <w:sz w:val="12"/>
        </w:rPr>
        <w:t xml:space="preserve"> </w:t>
      </w:r>
      <w:r>
        <w:rPr>
          <w:sz w:val="12"/>
        </w:rPr>
        <w:t>Carta</w:t>
      </w:r>
      <w:r>
        <w:rPr>
          <w:spacing w:val="-5"/>
          <w:sz w:val="12"/>
        </w:rPr>
        <w:t xml:space="preserve"> </w:t>
      </w:r>
      <w:r>
        <w:rPr>
          <w:sz w:val="12"/>
        </w:rPr>
        <w:t>Social</w:t>
      </w:r>
      <w:r>
        <w:rPr>
          <w:spacing w:val="-4"/>
          <w:sz w:val="12"/>
        </w:rPr>
        <w:t xml:space="preserve"> </w:t>
      </w:r>
      <w:r>
        <w:rPr>
          <w:sz w:val="12"/>
        </w:rPr>
        <w:t>Europea</w:t>
      </w:r>
      <w:r>
        <w:rPr>
          <w:spacing w:val="-5"/>
          <w:sz w:val="12"/>
        </w:rPr>
        <w:t xml:space="preserve"> </w:t>
      </w:r>
      <w:r>
        <w:rPr>
          <w:sz w:val="12"/>
        </w:rPr>
        <w:t>(revisada),</w:t>
      </w:r>
      <w:r>
        <w:rPr>
          <w:spacing w:val="-3"/>
          <w:sz w:val="12"/>
        </w:rPr>
        <w:t xml:space="preserve"> </w:t>
      </w:r>
      <w:r>
        <w:rPr>
          <w:sz w:val="12"/>
        </w:rPr>
        <w:t>parte</w:t>
      </w:r>
      <w:r>
        <w:rPr>
          <w:spacing w:val="-5"/>
          <w:sz w:val="12"/>
        </w:rPr>
        <w:t xml:space="preserve"> </w:t>
      </w:r>
      <w:r>
        <w:rPr>
          <w:sz w:val="12"/>
        </w:rPr>
        <w:t>V,</w:t>
      </w:r>
      <w:r>
        <w:rPr>
          <w:spacing w:val="-4"/>
          <w:sz w:val="12"/>
        </w:rPr>
        <w:t xml:space="preserve"> </w:t>
      </w:r>
      <w:r>
        <w:rPr>
          <w:sz w:val="12"/>
        </w:rPr>
        <w:t>art.</w:t>
      </w:r>
      <w:r>
        <w:rPr>
          <w:spacing w:val="-5"/>
          <w:sz w:val="12"/>
        </w:rPr>
        <w:t xml:space="preserve"> MI.</w:t>
      </w:r>
    </w:p>
    <w:p w14:paraId="36BE43A1" w14:textId="77777777" w:rsidR="0014798C" w:rsidRDefault="0014798C">
      <w:pPr>
        <w:pStyle w:val="Textoindependiente"/>
        <w:spacing w:before="3"/>
        <w:rPr>
          <w:sz w:val="11"/>
        </w:rPr>
      </w:pPr>
    </w:p>
    <w:p w14:paraId="3C35390D" w14:textId="77777777" w:rsidR="0014798C" w:rsidRDefault="004E1F0B">
      <w:pPr>
        <w:spacing w:line="340" w:lineRule="auto"/>
        <w:ind w:left="1365" w:right="1642" w:hanging="258"/>
        <w:rPr>
          <w:sz w:val="11"/>
        </w:rPr>
      </w:pPr>
      <w:r>
        <w:rPr>
          <w:w w:val="105"/>
          <w:sz w:val="11"/>
        </w:rPr>
        <w:t>97</w:t>
      </w:r>
      <w:r>
        <w:rPr>
          <w:spacing w:val="-2"/>
          <w:w w:val="105"/>
          <w:sz w:val="11"/>
        </w:rPr>
        <w:t xml:space="preserve"> </w:t>
      </w:r>
      <w:r>
        <w:rPr>
          <w:w w:val="105"/>
          <w:sz w:val="11"/>
        </w:rPr>
        <w:t>Directiva</w:t>
      </w:r>
      <w:r>
        <w:rPr>
          <w:spacing w:val="-2"/>
          <w:w w:val="105"/>
          <w:sz w:val="11"/>
        </w:rPr>
        <w:t xml:space="preserve"> </w:t>
      </w:r>
      <w:r>
        <w:rPr>
          <w:w w:val="105"/>
          <w:sz w:val="11"/>
        </w:rPr>
        <w:t>2000/78/CE</w:t>
      </w:r>
      <w:r>
        <w:rPr>
          <w:spacing w:val="-2"/>
          <w:w w:val="105"/>
          <w:sz w:val="11"/>
        </w:rPr>
        <w:t xml:space="preserve"> </w:t>
      </w:r>
      <w:r>
        <w:rPr>
          <w:w w:val="105"/>
          <w:sz w:val="11"/>
        </w:rPr>
        <w:t>del</w:t>
      </w:r>
      <w:r>
        <w:rPr>
          <w:spacing w:val="-2"/>
          <w:w w:val="105"/>
          <w:sz w:val="11"/>
        </w:rPr>
        <w:t xml:space="preserve"> </w:t>
      </w:r>
      <w:r>
        <w:rPr>
          <w:w w:val="105"/>
          <w:sz w:val="11"/>
        </w:rPr>
        <w:t>Consejo,</w:t>
      </w:r>
      <w:r>
        <w:rPr>
          <w:spacing w:val="-1"/>
          <w:w w:val="105"/>
          <w:sz w:val="11"/>
        </w:rPr>
        <w:t xml:space="preserve"> </w:t>
      </w:r>
      <w:r>
        <w:rPr>
          <w:w w:val="105"/>
          <w:sz w:val="11"/>
        </w:rPr>
        <w:t>de</w:t>
      </w:r>
      <w:r>
        <w:rPr>
          <w:spacing w:val="-2"/>
          <w:w w:val="105"/>
          <w:sz w:val="11"/>
        </w:rPr>
        <w:t xml:space="preserve"> </w:t>
      </w:r>
      <w:r>
        <w:rPr>
          <w:w w:val="105"/>
          <w:sz w:val="11"/>
        </w:rPr>
        <w:t>27</w:t>
      </w:r>
      <w:r>
        <w:rPr>
          <w:spacing w:val="-2"/>
          <w:w w:val="105"/>
          <w:sz w:val="11"/>
        </w:rPr>
        <w:t xml:space="preserve"> </w:t>
      </w:r>
      <w:r>
        <w:rPr>
          <w:w w:val="105"/>
          <w:sz w:val="11"/>
        </w:rPr>
        <w:t>de</w:t>
      </w:r>
      <w:r>
        <w:rPr>
          <w:spacing w:val="-2"/>
          <w:w w:val="105"/>
          <w:sz w:val="11"/>
        </w:rPr>
        <w:t xml:space="preserve"> </w:t>
      </w:r>
      <w:r>
        <w:rPr>
          <w:w w:val="105"/>
          <w:sz w:val="11"/>
        </w:rPr>
        <w:t>noviembre</w:t>
      </w:r>
      <w:r>
        <w:rPr>
          <w:spacing w:val="-2"/>
          <w:w w:val="105"/>
          <w:sz w:val="11"/>
        </w:rPr>
        <w:t xml:space="preserve"> </w:t>
      </w:r>
      <w:r>
        <w:rPr>
          <w:w w:val="105"/>
          <w:sz w:val="11"/>
        </w:rPr>
        <w:t>de</w:t>
      </w:r>
      <w:r>
        <w:rPr>
          <w:spacing w:val="-2"/>
          <w:w w:val="105"/>
          <w:sz w:val="11"/>
        </w:rPr>
        <w:t xml:space="preserve"> </w:t>
      </w:r>
      <w:r>
        <w:rPr>
          <w:w w:val="105"/>
          <w:sz w:val="11"/>
        </w:rPr>
        <w:t>2000,</w:t>
      </w:r>
      <w:r>
        <w:rPr>
          <w:spacing w:val="-2"/>
          <w:w w:val="105"/>
          <w:sz w:val="11"/>
        </w:rPr>
        <w:t xml:space="preserve"> </w:t>
      </w:r>
      <w:r>
        <w:rPr>
          <w:w w:val="105"/>
          <w:sz w:val="11"/>
        </w:rPr>
        <w:t>por</w:t>
      </w:r>
      <w:r>
        <w:rPr>
          <w:spacing w:val="-2"/>
          <w:w w:val="105"/>
          <w:sz w:val="11"/>
        </w:rPr>
        <w:t xml:space="preserve"> </w:t>
      </w:r>
      <w:r>
        <w:rPr>
          <w:w w:val="105"/>
          <w:sz w:val="11"/>
        </w:rPr>
        <w:t>la</w:t>
      </w:r>
      <w:r>
        <w:rPr>
          <w:spacing w:val="-2"/>
          <w:w w:val="105"/>
          <w:sz w:val="11"/>
        </w:rPr>
        <w:t xml:space="preserve"> </w:t>
      </w:r>
      <w:r>
        <w:rPr>
          <w:w w:val="105"/>
          <w:sz w:val="11"/>
        </w:rPr>
        <w:t>que</w:t>
      </w:r>
      <w:r>
        <w:rPr>
          <w:spacing w:val="-2"/>
          <w:w w:val="105"/>
          <w:sz w:val="11"/>
        </w:rPr>
        <w:t xml:space="preserve"> </w:t>
      </w:r>
      <w:r>
        <w:rPr>
          <w:w w:val="105"/>
          <w:sz w:val="11"/>
        </w:rPr>
        <w:t>se</w:t>
      </w:r>
      <w:r>
        <w:rPr>
          <w:spacing w:val="-2"/>
          <w:w w:val="105"/>
          <w:sz w:val="11"/>
        </w:rPr>
        <w:t xml:space="preserve"> </w:t>
      </w:r>
      <w:r>
        <w:rPr>
          <w:w w:val="105"/>
          <w:sz w:val="11"/>
        </w:rPr>
        <w:t>establece</w:t>
      </w:r>
      <w:r>
        <w:rPr>
          <w:spacing w:val="-2"/>
          <w:w w:val="105"/>
          <w:sz w:val="11"/>
        </w:rPr>
        <w:t xml:space="preserve"> </w:t>
      </w:r>
      <w:r>
        <w:rPr>
          <w:w w:val="105"/>
          <w:sz w:val="11"/>
        </w:rPr>
        <w:t>un</w:t>
      </w:r>
      <w:r>
        <w:rPr>
          <w:spacing w:val="-2"/>
          <w:w w:val="105"/>
          <w:sz w:val="11"/>
        </w:rPr>
        <w:t xml:space="preserve"> </w:t>
      </w:r>
      <w:r>
        <w:rPr>
          <w:w w:val="105"/>
          <w:sz w:val="11"/>
        </w:rPr>
        <w:t>marco</w:t>
      </w:r>
      <w:r>
        <w:rPr>
          <w:spacing w:val="-2"/>
          <w:w w:val="105"/>
          <w:sz w:val="11"/>
        </w:rPr>
        <w:t xml:space="preserve"> </w:t>
      </w:r>
      <w:r>
        <w:rPr>
          <w:w w:val="105"/>
          <w:sz w:val="11"/>
        </w:rPr>
        <w:t>general</w:t>
      </w:r>
      <w:r>
        <w:rPr>
          <w:spacing w:val="-2"/>
          <w:w w:val="105"/>
          <w:sz w:val="11"/>
        </w:rPr>
        <w:t xml:space="preserve"> </w:t>
      </w:r>
      <w:r>
        <w:rPr>
          <w:w w:val="105"/>
          <w:sz w:val="11"/>
        </w:rPr>
        <w:t>para</w:t>
      </w:r>
      <w:r>
        <w:rPr>
          <w:spacing w:val="-2"/>
          <w:w w:val="105"/>
          <w:sz w:val="11"/>
        </w:rPr>
        <w:t xml:space="preserve"> </w:t>
      </w:r>
      <w:r>
        <w:rPr>
          <w:w w:val="105"/>
          <w:sz w:val="11"/>
        </w:rPr>
        <w:t>la</w:t>
      </w:r>
      <w:r>
        <w:rPr>
          <w:spacing w:val="-2"/>
          <w:w w:val="105"/>
          <w:sz w:val="11"/>
        </w:rPr>
        <w:t xml:space="preserve"> </w:t>
      </w:r>
      <w:r>
        <w:rPr>
          <w:w w:val="105"/>
          <w:sz w:val="11"/>
        </w:rPr>
        <w:t>igualdad</w:t>
      </w:r>
      <w:r>
        <w:rPr>
          <w:spacing w:val="-2"/>
          <w:w w:val="105"/>
          <w:sz w:val="11"/>
        </w:rPr>
        <w:t xml:space="preserve"> </w:t>
      </w:r>
      <w:r>
        <w:rPr>
          <w:w w:val="105"/>
          <w:sz w:val="11"/>
        </w:rPr>
        <w:t>de</w:t>
      </w:r>
      <w:r>
        <w:rPr>
          <w:spacing w:val="-2"/>
          <w:w w:val="105"/>
          <w:sz w:val="11"/>
        </w:rPr>
        <w:t xml:space="preserve"> </w:t>
      </w:r>
      <w:r>
        <w:rPr>
          <w:w w:val="105"/>
          <w:sz w:val="11"/>
        </w:rPr>
        <w:t>trato</w:t>
      </w:r>
      <w:r>
        <w:rPr>
          <w:spacing w:val="-2"/>
          <w:w w:val="105"/>
          <w:sz w:val="11"/>
        </w:rPr>
        <w:t xml:space="preserve"> </w:t>
      </w:r>
      <w:r>
        <w:rPr>
          <w:w w:val="105"/>
          <w:sz w:val="11"/>
        </w:rPr>
        <w:t>en</w:t>
      </w:r>
      <w:r>
        <w:rPr>
          <w:spacing w:val="-2"/>
          <w:w w:val="105"/>
          <w:sz w:val="11"/>
        </w:rPr>
        <w:t xml:space="preserve"> </w:t>
      </w:r>
      <w:r>
        <w:rPr>
          <w:w w:val="105"/>
          <w:sz w:val="11"/>
        </w:rPr>
        <w:t>el</w:t>
      </w:r>
      <w:r>
        <w:rPr>
          <w:spacing w:val="-2"/>
          <w:w w:val="105"/>
          <w:sz w:val="11"/>
        </w:rPr>
        <w:t xml:space="preserve"> </w:t>
      </w:r>
      <w:r>
        <w:rPr>
          <w:w w:val="105"/>
          <w:sz w:val="11"/>
        </w:rPr>
        <w:t>empleo</w:t>
      </w:r>
      <w:r>
        <w:rPr>
          <w:spacing w:val="-2"/>
          <w:w w:val="105"/>
          <w:sz w:val="11"/>
        </w:rPr>
        <w:t xml:space="preserve"> </w:t>
      </w:r>
      <w:r>
        <w:rPr>
          <w:w w:val="105"/>
          <w:sz w:val="11"/>
        </w:rPr>
        <w:t>y</w:t>
      </w:r>
      <w:r>
        <w:rPr>
          <w:spacing w:val="-2"/>
          <w:w w:val="105"/>
          <w:sz w:val="11"/>
        </w:rPr>
        <w:t xml:space="preserve"> </w:t>
      </w:r>
      <w:r>
        <w:rPr>
          <w:w w:val="105"/>
          <w:sz w:val="11"/>
        </w:rPr>
        <w:t>la</w:t>
      </w:r>
      <w:r>
        <w:rPr>
          <w:spacing w:val="-2"/>
          <w:w w:val="105"/>
          <w:sz w:val="11"/>
        </w:rPr>
        <w:t xml:space="preserve"> </w:t>
      </w:r>
      <w:r>
        <w:rPr>
          <w:w w:val="105"/>
          <w:sz w:val="11"/>
        </w:rPr>
        <w:t>ocupación;</w:t>
      </w:r>
      <w:r>
        <w:rPr>
          <w:spacing w:val="-1"/>
          <w:w w:val="105"/>
          <w:sz w:val="11"/>
        </w:rPr>
        <w:t xml:space="preserve"> </w:t>
      </w:r>
      <w:r>
        <w:rPr>
          <w:w w:val="105"/>
          <w:sz w:val="11"/>
        </w:rPr>
        <w:t>Directiva</w:t>
      </w:r>
      <w:r>
        <w:rPr>
          <w:spacing w:val="40"/>
          <w:w w:val="105"/>
          <w:sz w:val="11"/>
        </w:rPr>
        <w:t xml:space="preserve"> </w:t>
      </w:r>
      <w:r>
        <w:rPr>
          <w:w w:val="105"/>
          <w:sz w:val="11"/>
        </w:rPr>
        <w:t>2000/43/CE del Consejo, de 29 de junio de 2000, por la que se aplica el principio de igualdad de trato entre las personas independientemente de su origen racial o</w:t>
      </w:r>
      <w:r>
        <w:rPr>
          <w:spacing w:val="40"/>
          <w:w w:val="105"/>
          <w:sz w:val="11"/>
        </w:rPr>
        <w:t xml:space="preserve"> </w:t>
      </w:r>
      <w:r>
        <w:rPr>
          <w:w w:val="105"/>
          <w:sz w:val="11"/>
        </w:rPr>
        <w:t>étnico;</w:t>
      </w:r>
      <w:r>
        <w:rPr>
          <w:spacing w:val="-1"/>
          <w:w w:val="105"/>
          <w:sz w:val="11"/>
        </w:rPr>
        <w:t xml:space="preserve"> </w:t>
      </w:r>
      <w:r>
        <w:rPr>
          <w:w w:val="105"/>
          <w:sz w:val="11"/>
        </w:rPr>
        <w:t>Directiva</w:t>
      </w:r>
      <w:r>
        <w:rPr>
          <w:spacing w:val="-2"/>
          <w:w w:val="105"/>
          <w:sz w:val="11"/>
        </w:rPr>
        <w:t xml:space="preserve"> </w:t>
      </w:r>
      <w:r>
        <w:rPr>
          <w:w w:val="105"/>
          <w:sz w:val="11"/>
        </w:rPr>
        <w:t>2004/113/CE</w:t>
      </w:r>
      <w:r>
        <w:rPr>
          <w:spacing w:val="-2"/>
          <w:w w:val="105"/>
          <w:sz w:val="11"/>
        </w:rPr>
        <w:t xml:space="preserve"> </w:t>
      </w:r>
      <w:r>
        <w:rPr>
          <w:w w:val="105"/>
          <w:sz w:val="11"/>
        </w:rPr>
        <w:t>del</w:t>
      </w:r>
      <w:r>
        <w:rPr>
          <w:spacing w:val="-2"/>
          <w:w w:val="105"/>
          <w:sz w:val="11"/>
        </w:rPr>
        <w:t xml:space="preserve"> </w:t>
      </w:r>
      <w:r>
        <w:rPr>
          <w:w w:val="105"/>
          <w:sz w:val="11"/>
        </w:rPr>
        <w:t>Consejo,</w:t>
      </w:r>
      <w:r>
        <w:rPr>
          <w:spacing w:val="-1"/>
          <w:w w:val="105"/>
          <w:sz w:val="11"/>
        </w:rPr>
        <w:t xml:space="preserve"> </w:t>
      </w:r>
      <w:r>
        <w:rPr>
          <w:w w:val="105"/>
          <w:sz w:val="11"/>
        </w:rPr>
        <w:t>de</w:t>
      </w:r>
      <w:r>
        <w:rPr>
          <w:spacing w:val="-2"/>
          <w:w w:val="105"/>
          <w:sz w:val="11"/>
        </w:rPr>
        <w:t xml:space="preserve"> </w:t>
      </w:r>
      <w:r>
        <w:rPr>
          <w:w w:val="105"/>
          <w:sz w:val="11"/>
        </w:rPr>
        <w:t>13</w:t>
      </w:r>
      <w:r>
        <w:rPr>
          <w:spacing w:val="-2"/>
          <w:w w:val="105"/>
          <w:sz w:val="11"/>
        </w:rPr>
        <w:t xml:space="preserve"> </w:t>
      </w:r>
      <w:r>
        <w:rPr>
          <w:w w:val="105"/>
          <w:sz w:val="11"/>
        </w:rPr>
        <w:t>de</w:t>
      </w:r>
      <w:r>
        <w:rPr>
          <w:spacing w:val="-2"/>
          <w:w w:val="105"/>
          <w:sz w:val="11"/>
        </w:rPr>
        <w:t xml:space="preserve"> </w:t>
      </w:r>
      <w:r>
        <w:rPr>
          <w:w w:val="105"/>
          <w:sz w:val="11"/>
        </w:rPr>
        <w:t>diciembre</w:t>
      </w:r>
      <w:r>
        <w:rPr>
          <w:spacing w:val="-2"/>
          <w:w w:val="105"/>
          <w:sz w:val="11"/>
        </w:rPr>
        <w:t xml:space="preserve"> </w:t>
      </w:r>
      <w:r>
        <w:rPr>
          <w:w w:val="105"/>
          <w:sz w:val="11"/>
        </w:rPr>
        <w:t>de</w:t>
      </w:r>
      <w:r>
        <w:rPr>
          <w:spacing w:val="-2"/>
          <w:w w:val="105"/>
          <w:sz w:val="11"/>
        </w:rPr>
        <w:t xml:space="preserve"> </w:t>
      </w:r>
      <w:r>
        <w:rPr>
          <w:w w:val="105"/>
          <w:sz w:val="11"/>
        </w:rPr>
        <w:t>2004,</w:t>
      </w:r>
      <w:r>
        <w:rPr>
          <w:spacing w:val="-2"/>
          <w:w w:val="105"/>
          <w:sz w:val="11"/>
        </w:rPr>
        <w:t xml:space="preserve"> </w:t>
      </w:r>
      <w:r>
        <w:rPr>
          <w:w w:val="105"/>
          <w:sz w:val="11"/>
        </w:rPr>
        <w:t>que</w:t>
      </w:r>
      <w:r>
        <w:rPr>
          <w:spacing w:val="-2"/>
          <w:w w:val="105"/>
          <w:sz w:val="11"/>
        </w:rPr>
        <w:t xml:space="preserve"> </w:t>
      </w:r>
      <w:r>
        <w:rPr>
          <w:w w:val="105"/>
          <w:sz w:val="11"/>
        </w:rPr>
        <w:t>aplica</w:t>
      </w:r>
      <w:r>
        <w:rPr>
          <w:spacing w:val="-2"/>
          <w:w w:val="105"/>
          <w:sz w:val="11"/>
        </w:rPr>
        <w:t xml:space="preserve"> </w:t>
      </w:r>
      <w:r>
        <w:rPr>
          <w:w w:val="105"/>
          <w:sz w:val="11"/>
        </w:rPr>
        <w:t>el</w:t>
      </w:r>
      <w:r>
        <w:rPr>
          <w:spacing w:val="-2"/>
          <w:w w:val="105"/>
          <w:sz w:val="11"/>
        </w:rPr>
        <w:t xml:space="preserve"> </w:t>
      </w:r>
      <w:r>
        <w:rPr>
          <w:w w:val="105"/>
          <w:sz w:val="11"/>
        </w:rPr>
        <w:t>principio</w:t>
      </w:r>
      <w:r>
        <w:rPr>
          <w:spacing w:val="-2"/>
          <w:w w:val="105"/>
          <w:sz w:val="11"/>
        </w:rPr>
        <w:t xml:space="preserve"> </w:t>
      </w:r>
      <w:r>
        <w:rPr>
          <w:w w:val="105"/>
          <w:sz w:val="11"/>
        </w:rPr>
        <w:t>de</w:t>
      </w:r>
      <w:r>
        <w:rPr>
          <w:spacing w:val="-2"/>
          <w:w w:val="105"/>
          <w:sz w:val="11"/>
        </w:rPr>
        <w:t xml:space="preserve"> </w:t>
      </w:r>
      <w:r>
        <w:rPr>
          <w:w w:val="105"/>
          <w:sz w:val="11"/>
        </w:rPr>
        <w:t>igualdad</w:t>
      </w:r>
      <w:r>
        <w:rPr>
          <w:spacing w:val="-2"/>
          <w:w w:val="105"/>
          <w:sz w:val="11"/>
        </w:rPr>
        <w:t xml:space="preserve"> </w:t>
      </w:r>
      <w:r>
        <w:rPr>
          <w:w w:val="105"/>
          <w:sz w:val="11"/>
        </w:rPr>
        <w:t>de</w:t>
      </w:r>
      <w:r>
        <w:rPr>
          <w:spacing w:val="-2"/>
          <w:w w:val="105"/>
          <w:sz w:val="11"/>
        </w:rPr>
        <w:t xml:space="preserve"> </w:t>
      </w:r>
      <w:r>
        <w:rPr>
          <w:w w:val="105"/>
          <w:sz w:val="11"/>
        </w:rPr>
        <w:t>trato</w:t>
      </w:r>
      <w:r>
        <w:rPr>
          <w:spacing w:val="-2"/>
          <w:w w:val="105"/>
          <w:sz w:val="11"/>
        </w:rPr>
        <w:t xml:space="preserve"> </w:t>
      </w:r>
      <w:r>
        <w:rPr>
          <w:w w:val="105"/>
          <w:sz w:val="11"/>
        </w:rPr>
        <w:t>entre</w:t>
      </w:r>
      <w:r>
        <w:rPr>
          <w:spacing w:val="-2"/>
          <w:w w:val="105"/>
          <w:sz w:val="11"/>
        </w:rPr>
        <w:t xml:space="preserve"> </w:t>
      </w:r>
      <w:r>
        <w:rPr>
          <w:w w:val="105"/>
          <w:sz w:val="11"/>
        </w:rPr>
        <w:t>hombres</w:t>
      </w:r>
      <w:r>
        <w:rPr>
          <w:spacing w:val="-2"/>
          <w:w w:val="105"/>
          <w:sz w:val="11"/>
        </w:rPr>
        <w:t xml:space="preserve"> </w:t>
      </w:r>
      <w:r>
        <w:rPr>
          <w:w w:val="105"/>
          <w:sz w:val="11"/>
        </w:rPr>
        <w:t>y</w:t>
      </w:r>
      <w:r>
        <w:rPr>
          <w:spacing w:val="-2"/>
          <w:w w:val="105"/>
          <w:sz w:val="11"/>
        </w:rPr>
        <w:t xml:space="preserve"> </w:t>
      </w:r>
      <w:r>
        <w:rPr>
          <w:w w:val="105"/>
          <w:sz w:val="11"/>
        </w:rPr>
        <w:t>mujeres</w:t>
      </w:r>
      <w:r>
        <w:rPr>
          <w:spacing w:val="-2"/>
          <w:w w:val="105"/>
          <w:sz w:val="11"/>
        </w:rPr>
        <w:t xml:space="preserve"> </w:t>
      </w:r>
      <w:r>
        <w:rPr>
          <w:w w:val="105"/>
          <w:sz w:val="11"/>
        </w:rPr>
        <w:t>en</w:t>
      </w:r>
      <w:r>
        <w:rPr>
          <w:spacing w:val="-2"/>
          <w:w w:val="105"/>
          <w:sz w:val="11"/>
        </w:rPr>
        <w:t xml:space="preserve"> </w:t>
      </w:r>
      <w:r>
        <w:rPr>
          <w:w w:val="105"/>
          <w:sz w:val="11"/>
        </w:rPr>
        <w:t>el</w:t>
      </w:r>
      <w:r>
        <w:rPr>
          <w:spacing w:val="-2"/>
          <w:w w:val="105"/>
          <w:sz w:val="11"/>
        </w:rPr>
        <w:t xml:space="preserve"> </w:t>
      </w:r>
      <w:r>
        <w:rPr>
          <w:w w:val="105"/>
          <w:sz w:val="11"/>
        </w:rPr>
        <w:t>acceso</w:t>
      </w:r>
      <w:r>
        <w:rPr>
          <w:spacing w:val="-2"/>
          <w:w w:val="105"/>
          <w:sz w:val="11"/>
        </w:rPr>
        <w:t xml:space="preserve"> </w:t>
      </w:r>
      <w:r>
        <w:rPr>
          <w:w w:val="105"/>
          <w:sz w:val="11"/>
        </w:rPr>
        <w:t>y</w:t>
      </w:r>
      <w:r>
        <w:rPr>
          <w:spacing w:val="-2"/>
          <w:w w:val="105"/>
          <w:sz w:val="11"/>
        </w:rPr>
        <w:t xml:space="preserve"> </w:t>
      </w:r>
      <w:r>
        <w:rPr>
          <w:w w:val="105"/>
          <w:sz w:val="11"/>
        </w:rPr>
        <w:t>suministro</w:t>
      </w:r>
      <w:r>
        <w:rPr>
          <w:spacing w:val="40"/>
          <w:w w:val="105"/>
          <w:sz w:val="11"/>
        </w:rPr>
        <w:t xml:space="preserve"> </w:t>
      </w:r>
      <w:r>
        <w:rPr>
          <w:w w:val="105"/>
          <w:sz w:val="11"/>
        </w:rPr>
        <w:t>de</w:t>
      </w:r>
      <w:r>
        <w:rPr>
          <w:spacing w:val="-2"/>
          <w:w w:val="105"/>
          <w:sz w:val="11"/>
        </w:rPr>
        <w:t xml:space="preserve"> </w:t>
      </w:r>
      <w:r>
        <w:rPr>
          <w:w w:val="105"/>
          <w:sz w:val="11"/>
        </w:rPr>
        <w:t>bienes</w:t>
      </w:r>
      <w:r>
        <w:rPr>
          <w:spacing w:val="-2"/>
          <w:w w:val="105"/>
          <w:sz w:val="11"/>
        </w:rPr>
        <w:t xml:space="preserve"> </w:t>
      </w:r>
      <w:r>
        <w:rPr>
          <w:w w:val="105"/>
          <w:sz w:val="11"/>
        </w:rPr>
        <w:t>y</w:t>
      </w:r>
      <w:r>
        <w:rPr>
          <w:spacing w:val="-2"/>
          <w:w w:val="105"/>
          <w:sz w:val="11"/>
        </w:rPr>
        <w:t xml:space="preserve"> </w:t>
      </w:r>
      <w:r>
        <w:rPr>
          <w:w w:val="105"/>
          <w:sz w:val="11"/>
        </w:rPr>
        <w:t>servicios;</w:t>
      </w:r>
      <w:r>
        <w:rPr>
          <w:spacing w:val="-1"/>
          <w:w w:val="105"/>
          <w:sz w:val="11"/>
        </w:rPr>
        <w:t xml:space="preserve"> </w:t>
      </w:r>
      <w:r>
        <w:rPr>
          <w:w w:val="105"/>
          <w:sz w:val="11"/>
        </w:rPr>
        <w:t>y</w:t>
      </w:r>
      <w:r>
        <w:rPr>
          <w:spacing w:val="-2"/>
          <w:w w:val="105"/>
          <w:sz w:val="11"/>
        </w:rPr>
        <w:t xml:space="preserve"> </w:t>
      </w:r>
      <w:r>
        <w:rPr>
          <w:w w:val="105"/>
          <w:sz w:val="11"/>
        </w:rPr>
        <w:t>Directiva</w:t>
      </w:r>
      <w:r>
        <w:rPr>
          <w:spacing w:val="-2"/>
          <w:w w:val="105"/>
          <w:sz w:val="11"/>
        </w:rPr>
        <w:t xml:space="preserve"> </w:t>
      </w:r>
      <w:r>
        <w:rPr>
          <w:w w:val="105"/>
          <w:sz w:val="11"/>
        </w:rPr>
        <w:t>2006/54/CE</w:t>
      </w:r>
      <w:r>
        <w:rPr>
          <w:spacing w:val="-2"/>
          <w:w w:val="105"/>
          <w:sz w:val="11"/>
        </w:rPr>
        <w:t xml:space="preserve"> </w:t>
      </w:r>
      <w:r>
        <w:rPr>
          <w:w w:val="105"/>
          <w:sz w:val="11"/>
        </w:rPr>
        <w:t>del</w:t>
      </w:r>
      <w:r>
        <w:rPr>
          <w:spacing w:val="-2"/>
          <w:w w:val="105"/>
          <w:sz w:val="11"/>
        </w:rPr>
        <w:t xml:space="preserve"> </w:t>
      </w:r>
      <w:r>
        <w:rPr>
          <w:w w:val="105"/>
          <w:sz w:val="11"/>
        </w:rPr>
        <w:t>Parlamento</w:t>
      </w:r>
      <w:r>
        <w:rPr>
          <w:spacing w:val="-2"/>
          <w:w w:val="105"/>
          <w:sz w:val="11"/>
        </w:rPr>
        <w:t xml:space="preserve"> </w:t>
      </w:r>
      <w:r>
        <w:rPr>
          <w:w w:val="105"/>
          <w:sz w:val="11"/>
        </w:rPr>
        <w:t>Europeo</w:t>
      </w:r>
      <w:r>
        <w:rPr>
          <w:spacing w:val="-2"/>
          <w:w w:val="105"/>
          <w:sz w:val="11"/>
        </w:rPr>
        <w:t xml:space="preserve"> </w:t>
      </w:r>
      <w:r>
        <w:rPr>
          <w:w w:val="105"/>
          <w:sz w:val="11"/>
        </w:rPr>
        <w:t>y</w:t>
      </w:r>
      <w:r>
        <w:rPr>
          <w:spacing w:val="-2"/>
          <w:w w:val="105"/>
          <w:sz w:val="11"/>
        </w:rPr>
        <w:t xml:space="preserve"> </w:t>
      </w:r>
      <w:r>
        <w:rPr>
          <w:w w:val="105"/>
          <w:sz w:val="11"/>
        </w:rPr>
        <w:t>del</w:t>
      </w:r>
      <w:r>
        <w:rPr>
          <w:spacing w:val="-2"/>
          <w:w w:val="105"/>
          <w:sz w:val="11"/>
        </w:rPr>
        <w:t xml:space="preserve"> </w:t>
      </w:r>
      <w:r>
        <w:rPr>
          <w:w w:val="105"/>
          <w:sz w:val="11"/>
        </w:rPr>
        <w:t>Consejo</w:t>
      </w:r>
    </w:p>
    <w:p w14:paraId="60DA7F16" w14:textId="77777777" w:rsidR="0014798C" w:rsidRDefault="004E1F0B">
      <w:pPr>
        <w:spacing w:line="108" w:lineRule="exact"/>
        <w:ind w:left="1369"/>
        <w:rPr>
          <w:sz w:val="12"/>
        </w:rPr>
      </w:pPr>
      <w:r>
        <w:rPr>
          <w:sz w:val="12"/>
        </w:rPr>
        <w:t xml:space="preserve">de 5 de julio de 2006 sobre la aplicación del principio de igualdad de oportunidades e igualdad de trato entre hombres y mujeres en materia </w:t>
      </w:r>
      <w:r>
        <w:rPr>
          <w:spacing w:val="-5"/>
          <w:sz w:val="12"/>
        </w:rPr>
        <w:t>de</w:t>
      </w:r>
    </w:p>
    <w:p w14:paraId="394A6741" w14:textId="77777777" w:rsidR="0014798C" w:rsidRDefault="004E1F0B">
      <w:pPr>
        <w:spacing w:before="42"/>
        <w:ind w:left="1368"/>
        <w:rPr>
          <w:sz w:val="12"/>
        </w:rPr>
      </w:pPr>
      <w:r>
        <w:rPr>
          <w:sz w:val="12"/>
        </w:rPr>
        <w:t>empleo</w:t>
      </w:r>
      <w:r>
        <w:rPr>
          <w:spacing w:val="-1"/>
          <w:sz w:val="12"/>
        </w:rPr>
        <w:t xml:space="preserve"> </w:t>
      </w:r>
      <w:r>
        <w:rPr>
          <w:sz w:val="12"/>
        </w:rPr>
        <w:t>y</w:t>
      </w:r>
      <w:r>
        <w:rPr>
          <w:spacing w:val="-1"/>
          <w:sz w:val="12"/>
        </w:rPr>
        <w:t xml:space="preserve"> </w:t>
      </w:r>
      <w:r>
        <w:rPr>
          <w:sz w:val="12"/>
        </w:rPr>
        <w:t>ocupación</w:t>
      </w:r>
      <w:r>
        <w:rPr>
          <w:spacing w:val="-1"/>
          <w:sz w:val="12"/>
        </w:rPr>
        <w:t xml:space="preserve"> </w:t>
      </w:r>
      <w:r>
        <w:rPr>
          <w:spacing w:val="-2"/>
          <w:sz w:val="12"/>
        </w:rPr>
        <w:t>(refundición).</w:t>
      </w:r>
    </w:p>
    <w:p w14:paraId="7667F08B" w14:textId="77777777" w:rsidR="0014798C" w:rsidRDefault="004E1F0B">
      <w:pPr>
        <w:spacing w:before="129" w:line="297" w:lineRule="auto"/>
        <w:ind w:left="1368" w:right="1626" w:hanging="261"/>
        <w:rPr>
          <w:sz w:val="12"/>
        </w:rPr>
      </w:pPr>
      <w:r>
        <w:rPr>
          <w:w w:val="105"/>
          <w:sz w:val="11"/>
        </w:rPr>
        <w:t>98</w:t>
      </w:r>
      <w:r>
        <w:rPr>
          <w:spacing w:val="1"/>
          <w:w w:val="105"/>
          <w:sz w:val="11"/>
        </w:rPr>
        <w:t xml:space="preserve"> </w:t>
      </w:r>
      <w:r>
        <w:rPr>
          <w:w w:val="105"/>
          <w:sz w:val="11"/>
        </w:rPr>
        <w:t>Propuesta</w:t>
      </w:r>
      <w:r>
        <w:rPr>
          <w:spacing w:val="1"/>
          <w:w w:val="105"/>
          <w:sz w:val="11"/>
        </w:rPr>
        <w:t xml:space="preserve"> </w:t>
      </w:r>
      <w:r>
        <w:rPr>
          <w:w w:val="105"/>
          <w:sz w:val="11"/>
        </w:rPr>
        <w:t>de</w:t>
      </w:r>
      <w:r>
        <w:rPr>
          <w:spacing w:val="1"/>
          <w:w w:val="105"/>
          <w:sz w:val="11"/>
        </w:rPr>
        <w:t xml:space="preserve"> </w:t>
      </w:r>
      <w:r>
        <w:rPr>
          <w:w w:val="105"/>
          <w:sz w:val="11"/>
        </w:rPr>
        <w:t>Directiva</w:t>
      </w:r>
      <w:r>
        <w:rPr>
          <w:spacing w:val="1"/>
          <w:w w:val="105"/>
          <w:sz w:val="11"/>
        </w:rPr>
        <w:t xml:space="preserve"> </w:t>
      </w:r>
      <w:r>
        <w:rPr>
          <w:w w:val="105"/>
          <w:sz w:val="11"/>
        </w:rPr>
        <w:t>del</w:t>
      </w:r>
      <w:r>
        <w:rPr>
          <w:spacing w:val="1"/>
          <w:w w:val="105"/>
          <w:sz w:val="11"/>
        </w:rPr>
        <w:t xml:space="preserve"> </w:t>
      </w:r>
      <w:r>
        <w:rPr>
          <w:w w:val="105"/>
          <w:sz w:val="11"/>
        </w:rPr>
        <w:t>Consejo</w:t>
      </w:r>
      <w:r>
        <w:rPr>
          <w:spacing w:val="1"/>
          <w:w w:val="105"/>
          <w:sz w:val="11"/>
        </w:rPr>
        <w:t xml:space="preserve"> </w:t>
      </w:r>
      <w:r>
        <w:rPr>
          <w:w w:val="105"/>
          <w:sz w:val="11"/>
        </w:rPr>
        <w:t>relativa</w:t>
      </w:r>
      <w:r>
        <w:rPr>
          <w:spacing w:val="1"/>
          <w:w w:val="105"/>
          <w:sz w:val="11"/>
        </w:rPr>
        <w:t xml:space="preserve"> </w:t>
      </w:r>
      <w:r>
        <w:rPr>
          <w:w w:val="105"/>
          <w:sz w:val="11"/>
        </w:rPr>
        <w:t>a</w:t>
      </w:r>
      <w:r>
        <w:rPr>
          <w:spacing w:val="1"/>
          <w:w w:val="105"/>
          <w:sz w:val="11"/>
        </w:rPr>
        <w:t xml:space="preserve"> </w:t>
      </w:r>
      <w:r>
        <w:rPr>
          <w:w w:val="105"/>
          <w:sz w:val="11"/>
        </w:rPr>
        <w:t>la</w:t>
      </w:r>
      <w:r>
        <w:rPr>
          <w:spacing w:val="1"/>
          <w:w w:val="105"/>
          <w:sz w:val="11"/>
        </w:rPr>
        <w:t xml:space="preserve"> </w:t>
      </w:r>
      <w:r>
        <w:rPr>
          <w:w w:val="105"/>
          <w:sz w:val="11"/>
        </w:rPr>
        <w:t>aplicación</w:t>
      </w:r>
      <w:r>
        <w:rPr>
          <w:spacing w:val="1"/>
          <w:w w:val="105"/>
          <w:sz w:val="11"/>
        </w:rPr>
        <w:t xml:space="preserve"> </w:t>
      </w:r>
      <w:r>
        <w:rPr>
          <w:w w:val="105"/>
          <w:sz w:val="11"/>
        </w:rPr>
        <w:t>del</w:t>
      </w:r>
      <w:r>
        <w:rPr>
          <w:spacing w:val="1"/>
          <w:w w:val="105"/>
          <w:sz w:val="11"/>
        </w:rPr>
        <w:t xml:space="preserve"> </w:t>
      </w:r>
      <w:r>
        <w:rPr>
          <w:w w:val="105"/>
          <w:sz w:val="11"/>
        </w:rPr>
        <w:t>principio</w:t>
      </w:r>
      <w:r>
        <w:rPr>
          <w:spacing w:val="1"/>
          <w:w w:val="105"/>
          <w:sz w:val="11"/>
        </w:rPr>
        <w:t xml:space="preserve"> </w:t>
      </w:r>
      <w:r>
        <w:rPr>
          <w:w w:val="105"/>
          <w:sz w:val="11"/>
        </w:rPr>
        <w:t>de</w:t>
      </w:r>
      <w:r>
        <w:rPr>
          <w:spacing w:val="1"/>
          <w:w w:val="105"/>
          <w:sz w:val="11"/>
        </w:rPr>
        <w:t xml:space="preserve"> </w:t>
      </w:r>
      <w:r>
        <w:rPr>
          <w:w w:val="105"/>
          <w:sz w:val="11"/>
        </w:rPr>
        <w:t>igualdad</w:t>
      </w:r>
      <w:r>
        <w:rPr>
          <w:spacing w:val="1"/>
          <w:w w:val="105"/>
          <w:sz w:val="11"/>
        </w:rPr>
        <w:t xml:space="preserve"> </w:t>
      </w:r>
      <w:r>
        <w:rPr>
          <w:w w:val="105"/>
          <w:sz w:val="11"/>
        </w:rPr>
        <w:t>de</w:t>
      </w:r>
      <w:r>
        <w:rPr>
          <w:spacing w:val="1"/>
          <w:w w:val="105"/>
          <w:sz w:val="11"/>
        </w:rPr>
        <w:t xml:space="preserve"> </w:t>
      </w:r>
      <w:r>
        <w:rPr>
          <w:w w:val="105"/>
          <w:sz w:val="11"/>
        </w:rPr>
        <w:t>trato</w:t>
      </w:r>
      <w:r>
        <w:rPr>
          <w:spacing w:val="1"/>
          <w:w w:val="105"/>
          <w:sz w:val="11"/>
        </w:rPr>
        <w:t xml:space="preserve"> </w:t>
      </w:r>
      <w:r>
        <w:rPr>
          <w:w w:val="105"/>
          <w:sz w:val="11"/>
        </w:rPr>
        <w:t>entre</w:t>
      </w:r>
      <w:r>
        <w:rPr>
          <w:spacing w:val="1"/>
          <w:w w:val="105"/>
          <w:sz w:val="11"/>
        </w:rPr>
        <w:t xml:space="preserve"> </w:t>
      </w:r>
      <w:r>
        <w:rPr>
          <w:w w:val="105"/>
          <w:sz w:val="11"/>
        </w:rPr>
        <w:t>las</w:t>
      </w:r>
      <w:r>
        <w:rPr>
          <w:spacing w:val="1"/>
          <w:w w:val="105"/>
          <w:sz w:val="11"/>
        </w:rPr>
        <w:t xml:space="preserve"> </w:t>
      </w:r>
      <w:r>
        <w:rPr>
          <w:w w:val="105"/>
          <w:sz w:val="11"/>
        </w:rPr>
        <w:t>personas</w:t>
      </w:r>
      <w:r>
        <w:rPr>
          <w:spacing w:val="1"/>
          <w:w w:val="105"/>
          <w:sz w:val="11"/>
        </w:rPr>
        <w:t xml:space="preserve"> </w:t>
      </w:r>
      <w:r>
        <w:rPr>
          <w:w w:val="105"/>
          <w:sz w:val="11"/>
        </w:rPr>
        <w:t>independientemente</w:t>
      </w:r>
      <w:r>
        <w:rPr>
          <w:spacing w:val="1"/>
          <w:w w:val="105"/>
          <w:sz w:val="11"/>
        </w:rPr>
        <w:t xml:space="preserve"> </w:t>
      </w:r>
      <w:r>
        <w:rPr>
          <w:w w:val="105"/>
          <w:sz w:val="11"/>
        </w:rPr>
        <w:t>de</w:t>
      </w:r>
      <w:r>
        <w:rPr>
          <w:spacing w:val="1"/>
          <w:w w:val="105"/>
          <w:sz w:val="11"/>
        </w:rPr>
        <w:t xml:space="preserve"> </w:t>
      </w:r>
      <w:r>
        <w:rPr>
          <w:w w:val="105"/>
          <w:sz w:val="11"/>
        </w:rPr>
        <w:t>su</w:t>
      </w:r>
      <w:r>
        <w:rPr>
          <w:spacing w:val="1"/>
          <w:w w:val="105"/>
          <w:sz w:val="11"/>
        </w:rPr>
        <w:t xml:space="preserve"> </w:t>
      </w:r>
      <w:r>
        <w:rPr>
          <w:w w:val="105"/>
          <w:sz w:val="11"/>
        </w:rPr>
        <w:t>religión</w:t>
      </w:r>
      <w:r>
        <w:rPr>
          <w:spacing w:val="1"/>
          <w:w w:val="105"/>
          <w:sz w:val="11"/>
        </w:rPr>
        <w:t xml:space="preserve"> </w:t>
      </w:r>
      <w:r>
        <w:rPr>
          <w:w w:val="105"/>
          <w:sz w:val="11"/>
        </w:rPr>
        <w:t>o</w:t>
      </w:r>
      <w:r>
        <w:rPr>
          <w:spacing w:val="1"/>
          <w:w w:val="105"/>
          <w:sz w:val="11"/>
        </w:rPr>
        <w:t xml:space="preserve"> </w:t>
      </w:r>
      <w:r>
        <w:rPr>
          <w:w w:val="105"/>
          <w:sz w:val="11"/>
        </w:rPr>
        <w:t>creencias.</w:t>
      </w:r>
      <w:r>
        <w:rPr>
          <w:spacing w:val="92"/>
          <w:w w:val="105"/>
          <w:sz w:val="11"/>
        </w:rPr>
        <w:t xml:space="preserve"> </w:t>
      </w:r>
      <w:r>
        <w:rPr>
          <w:sz w:val="12"/>
        </w:rPr>
        <w:t>discapacidad, edad u orientación sexual. Para obtener más información, consulte la Red Europea de Organismos para la Igualdad (EQUINET), “</w:t>
      </w:r>
      <w:proofErr w:type="spellStart"/>
      <w:r>
        <w:rPr>
          <w:sz w:val="12"/>
        </w:rPr>
        <w:t>Advancing</w:t>
      </w:r>
      <w:proofErr w:type="spellEnd"/>
      <w:r>
        <w:rPr>
          <w:sz w:val="12"/>
        </w:rPr>
        <w:t xml:space="preserve"> </w:t>
      </w:r>
      <w:proofErr w:type="spellStart"/>
      <w:r>
        <w:rPr>
          <w:sz w:val="12"/>
        </w:rPr>
        <w:t>the</w:t>
      </w:r>
      <w:proofErr w:type="spellEnd"/>
      <w:r>
        <w:rPr>
          <w:sz w:val="12"/>
        </w:rPr>
        <w:t xml:space="preserve"> EU</w:t>
      </w:r>
      <w:r>
        <w:rPr>
          <w:spacing w:val="40"/>
          <w:w w:val="105"/>
          <w:sz w:val="12"/>
        </w:rPr>
        <w:t xml:space="preserve"> </w:t>
      </w:r>
      <w:r>
        <w:rPr>
          <w:w w:val="105"/>
          <w:sz w:val="12"/>
        </w:rPr>
        <w:t>legal</w:t>
      </w:r>
      <w:r>
        <w:rPr>
          <w:spacing w:val="-7"/>
          <w:w w:val="105"/>
          <w:sz w:val="12"/>
        </w:rPr>
        <w:t xml:space="preserve"> </w:t>
      </w:r>
      <w:proofErr w:type="spellStart"/>
      <w:r>
        <w:rPr>
          <w:w w:val="105"/>
          <w:sz w:val="12"/>
        </w:rPr>
        <w:t>framework</w:t>
      </w:r>
      <w:proofErr w:type="spellEnd"/>
      <w:r>
        <w:rPr>
          <w:spacing w:val="-7"/>
          <w:w w:val="105"/>
          <w:sz w:val="12"/>
        </w:rPr>
        <w:t xml:space="preserve"> </w:t>
      </w:r>
      <w:proofErr w:type="spellStart"/>
      <w:r>
        <w:rPr>
          <w:w w:val="105"/>
          <w:sz w:val="12"/>
        </w:rPr>
        <w:t>for</w:t>
      </w:r>
      <w:proofErr w:type="spellEnd"/>
      <w:r>
        <w:rPr>
          <w:spacing w:val="-7"/>
          <w:w w:val="105"/>
          <w:sz w:val="12"/>
        </w:rPr>
        <w:t xml:space="preserve"> </w:t>
      </w:r>
      <w:r>
        <w:rPr>
          <w:w w:val="105"/>
          <w:sz w:val="12"/>
        </w:rPr>
        <w:t>la</w:t>
      </w:r>
      <w:r>
        <w:rPr>
          <w:spacing w:val="-7"/>
          <w:w w:val="105"/>
          <w:sz w:val="12"/>
        </w:rPr>
        <w:t xml:space="preserve"> </w:t>
      </w:r>
      <w:r>
        <w:rPr>
          <w:w w:val="105"/>
          <w:sz w:val="12"/>
        </w:rPr>
        <w:t>igualdad</w:t>
      </w:r>
      <w:r>
        <w:rPr>
          <w:spacing w:val="-7"/>
          <w:w w:val="105"/>
          <w:sz w:val="12"/>
        </w:rPr>
        <w:t xml:space="preserve"> </w:t>
      </w:r>
      <w:r>
        <w:rPr>
          <w:w w:val="105"/>
          <w:sz w:val="12"/>
        </w:rPr>
        <w:t>y</w:t>
      </w:r>
      <w:r>
        <w:rPr>
          <w:spacing w:val="-7"/>
          <w:w w:val="105"/>
          <w:sz w:val="12"/>
        </w:rPr>
        <w:t xml:space="preserve"> </w:t>
      </w:r>
      <w:r>
        <w:rPr>
          <w:w w:val="105"/>
          <w:sz w:val="12"/>
        </w:rPr>
        <w:t>su</w:t>
      </w:r>
      <w:r>
        <w:rPr>
          <w:spacing w:val="-7"/>
          <w:w w:val="105"/>
          <w:sz w:val="12"/>
        </w:rPr>
        <w:t xml:space="preserve"> </w:t>
      </w:r>
      <w:r>
        <w:rPr>
          <w:w w:val="105"/>
          <w:sz w:val="12"/>
        </w:rPr>
        <w:t>implementación”,</w:t>
      </w:r>
      <w:r>
        <w:rPr>
          <w:spacing w:val="-7"/>
          <w:w w:val="105"/>
          <w:sz w:val="12"/>
        </w:rPr>
        <w:t xml:space="preserve"> </w:t>
      </w:r>
      <w:r>
        <w:rPr>
          <w:w w:val="105"/>
          <w:sz w:val="12"/>
        </w:rPr>
        <w:t>9</w:t>
      </w:r>
      <w:r>
        <w:rPr>
          <w:spacing w:val="-7"/>
          <w:w w:val="105"/>
          <w:sz w:val="12"/>
        </w:rPr>
        <w:t xml:space="preserve"> </w:t>
      </w:r>
      <w:r>
        <w:rPr>
          <w:w w:val="105"/>
          <w:sz w:val="12"/>
        </w:rPr>
        <w:t>de</w:t>
      </w:r>
      <w:r>
        <w:rPr>
          <w:spacing w:val="-7"/>
          <w:w w:val="105"/>
          <w:sz w:val="12"/>
        </w:rPr>
        <w:t xml:space="preserve"> </w:t>
      </w:r>
      <w:r>
        <w:rPr>
          <w:w w:val="105"/>
          <w:sz w:val="12"/>
        </w:rPr>
        <w:t>noviembre</w:t>
      </w:r>
      <w:r>
        <w:rPr>
          <w:spacing w:val="-7"/>
          <w:w w:val="105"/>
          <w:sz w:val="12"/>
        </w:rPr>
        <w:t xml:space="preserve"> </w:t>
      </w:r>
      <w:r>
        <w:rPr>
          <w:w w:val="105"/>
          <w:sz w:val="12"/>
        </w:rPr>
        <w:t>de</w:t>
      </w:r>
      <w:r>
        <w:rPr>
          <w:spacing w:val="-7"/>
          <w:w w:val="105"/>
          <w:sz w:val="12"/>
        </w:rPr>
        <w:t xml:space="preserve"> </w:t>
      </w:r>
      <w:r>
        <w:rPr>
          <w:w w:val="105"/>
          <w:sz w:val="12"/>
        </w:rPr>
        <w:t>2020.</w:t>
      </w:r>
    </w:p>
    <w:p w14:paraId="0C83ECBA" w14:textId="77777777" w:rsidR="0014798C" w:rsidRDefault="004E1F0B">
      <w:pPr>
        <w:spacing w:before="97"/>
        <w:ind w:left="1107"/>
        <w:rPr>
          <w:sz w:val="11"/>
        </w:rPr>
      </w:pPr>
      <w:r>
        <w:rPr>
          <w:w w:val="105"/>
          <w:sz w:val="11"/>
        </w:rPr>
        <w:t>99 Carta de Derechos Fundamentales de la Unión Europea,</w:t>
      </w:r>
      <w:r>
        <w:rPr>
          <w:spacing w:val="1"/>
          <w:w w:val="105"/>
          <w:sz w:val="11"/>
        </w:rPr>
        <w:t xml:space="preserve"> </w:t>
      </w:r>
      <w:r>
        <w:rPr>
          <w:w w:val="105"/>
          <w:sz w:val="11"/>
        </w:rPr>
        <w:t xml:space="preserve">art. 21 </w:t>
      </w:r>
      <w:r>
        <w:rPr>
          <w:spacing w:val="-4"/>
          <w:w w:val="105"/>
          <w:sz w:val="11"/>
        </w:rPr>
        <w:t>(1).</w:t>
      </w:r>
    </w:p>
    <w:p w14:paraId="3C1D4229" w14:textId="77777777" w:rsidR="0014798C" w:rsidRDefault="0014798C">
      <w:pPr>
        <w:rPr>
          <w:sz w:val="11"/>
        </w:rPr>
        <w:sectPr w:rsidR="0014798C" w:rsidSect="00F265E4">
          <w:pgSz w:w="11900" w:h="16820"/>
          <w:pgMar w:top="340" w:right="0" w:bottom="280" w:left="200" w:header="121" w:footer="0" w:gutter="0"/>
          <w:cols w:space="720"/>
        </w:sectPr>
      </w:pPr>
    </w:p>
    <w:p w14:paraId="497FE746" w14:textId="77777777" w:rsidR="0014798C" w:rsidRDefault="004E1F0B">
      <w:pPr>
        <w:spacing w:before="55"/>
        <w:jc w:val="right"/>
        <w:rPr>
          <w:sz w:val="8"/>
        </w:rPr>
      </w:pPr>
      <w:r>
        <w:rPr>
          <w:spacing w:val="-5"/>
          <w:w w:val="105"/>
          <w:sz w:val="8"/>
        </w:rPr>
        <w:t>100</w:t>
      </w:r>
    </w:p>
    <w:p w14:paraId="4AD8541A" w14:textId="77777777" w:rsidR="0014798C" w:rsidRDefault="004E1F0B">
      <w:pPr>
        <w:spacing w:before="79"/>
        <w:ind w:left="77"/>
        <w:rPr>
          <w:sz w:val="12"/>
        </w:rPr>
      </w:pPr>
      <w:r>
        <w:br w:type="column"/>
      </w:r>
      <w:r>
        <w:rPr>
          <w:sz w:val="12"/>
        </w:rPr>
        <w:t>Véase,</w:t>
      </w:r>
      <w:r>
        <w:rPr>
          <w:spacing w:val="-7"/>
          <w:sz w:val="12"/>
        </w:rPr>
        <w:t xml:space="preserve"> </w:t>
      </w:r>
      <w:r>
        <w:rPr>
          <w:sz w:val="12"/>
        </w:rPr>
        <w:t>por</w:t>
      </w:r>
      <w:r>
        <w:rPr>
          <w:spacing w:val="-6"/>
          <w:sz w:val="12"/>
        </w:rPr>
        <w:t xml:space="preserve"> </w:t>
      </w:r>
      <w:r>
        <w:rPr>
          <w:sz w:val="12"/>
        </w:rPr>
        <w:t>ejemplo,</w:t>
      </w:r>
      <w:r>
        <w:rPr>
          <w:spacing w:val="-5"/>
          <w:sz w:val="12"/>
        </w:rPr>
        <w:t xml:space="preserve"> </w:t>
      </w:r>
      <w:r>
        <w:rPr>
          <w:sz w:val="12"/>
        </w:rPr>
        <w:t>Tribunal</w:t>
      </w:r>
      <w:r>
        <w:rPr>
          <w:spacing w:val="-7"/>
          <w:sz w:val="12"/>
        </w:rPr>
        <w:t xml:space="preserve"> </w:t>
      </w:r>
      <w:r>
        <w:rPr>
          <w:sz w:val="12"/>
        </w:rPr>
        <w:t>de</w:t>
      </w:r>
      <w:r>
        <w:rPr>
          <w:spacing w:val="-6"/>
          <w:sz w:val="12"/>
        </w:rPr>
        <w:t xml:space="preserve"> </w:t>
      </w:r>
      <w:r>
        <w:rPr>
          <w:sz w:val="12"/>
        </w:rPr>
        <w:t>Justicia</w:t>
      </w:r>
      <w:r>
        <w:rPr>
          <w:spacing w:val="-6"/>
          <w:sz w:val="12"/>
        </w:rPr>
        <w:t xml:space="preserve"> </w:t>
      </w:r>
      <w:r>
        <w:rPr>
          <w:sz w:val="12"/>
        </w:rPr>
        <w:t>de</w:t>
      </w:r>
      <w:r>
        <w:rPr>
          <w:spacing w:val="-6"/>
          <w:sz w:val="12"/>
        </w:rPr>
        <w:t xml:space="preserve"> </w:t>
      </w:r>
      <w:r>
        <w:rPr>
          <w:sz w:val="12"/>
        </w:rPr>
        <w:t>la</w:t>
      </w:r>
      <w:r>
        <w:rPr>
          <w:spacing w:val="-7"/>
          <w:sz w:val="12"/>
        </w:rPr>
        <w:t xml:space="preserve"> </w:t>
      </w:r>
      <w:r>
        <w:rPr>
          <w:sz w:val="12"/>
        </w:rPr>
        <w:t>Unión</w:t>
      </w:r>
      <w:r>
        <w:rPr>
          <w:spacing w:val="-6"/>
          <w:sz w:val="12"/>
        </w:rPr>
        <w:t xml:space="preserve"> </w:t>
      </w:r>
      <w:r>
        <w:rPr>
          <w:sz w:val="12"/>
        </w:rPr>
        <w:t>Europea,</w:t>
      </w:r>
      <w:r>
        <w:rPr>
          <w:spacing w:val="-6"/>
          <w:sz w:val="12"/>
        </w:rPr>
        <w:t xml:space="preserve"> </w:t>
      </w:r>
      <w:proofErr w:type="spellStart"/>
      <w:r>
        <w:rPr>
          <w:sz w:val="12"/>
        </w:rPr>
        <w:t>Blanka</w:t>
      </w:r>
      <w:proofErr w:type="spellEnd"/>
      <w:r>
        <w:rPr>
          <w:spacing w:val="-6"/>
          <w:sz w:val="12"/>
        </w:rPr>
        <w:t xml:space="preserve"> </w:t>
      </w:r>
      <w:proofErr w:type="spellStart"/>
      <w:r>
        <w:rPr>
          <w:sz w:val="12"/>
        </w:rPr>
        <w:t>Soukupová</w:t>
      </w:r>
      <w:proofErr w:type="spellEnd"/>
      <w:r>
        <w:rPr>
          <w:spacing w:val="-7"/>
          <w:sz w:val="12"/>
        </w:rPr>
        <w:t xml:space="preserve"> </w:t>
      </w:r>
      <w:r>
        <w:rPr>
          <w:sz w:val="12"/>
        </w:rPr>
        <w:t>v.</w:t>
      </w:r>
      <w:r>
        <w:rPr>
          <w:spacing w:val="-6"/>
          <w:sz w:val="12"/>
        </w:rPr>
        <w:t xml:space="preserve"> </w:t>
      </w:r>
      <w:proofErr w:type="spellStart"/>
      <w:r>
        <w:rPr>
          <w:sz w:val="12"/>
        </w:rPr>
        <w:t>Ministerstvo</w:t>
      </w:r>
      <w:proofErr w:type="spellEnd"/>
      <w:r>
        <w:rPr>
          <w:spacing w:val="-6"/>
          <w:sz w:val="12"/>
        </w:rPr>
        <w:t xml:space="preserve"> </w:t>
      </w:r>
      <w:proofErr w:type="spellStart"/>
      <w:r>
        <w:rPr>
          <w:sz w:val="12"/>
        </w:rPr>
        <w:t>zemědělství</w:t>
      </w:r>
      <w:proofErr w:type="spellEnd"/>
      <w:r>
        <w:rPr>
          <w:sz w:val="12"/>
        </w:rPr>
        <w:t>,</w:t>
      </w:r>
      <w:r>
        <w:rPr>
          <w:spacing w:val="-6"/>
          <w:sz w:val="12"/>
        </w:rPr>
        <w:t xml:space="preserve"> </w:t>
      </w:r>
      <w:r>
        <w:rPr>
          <w:sz w:val="12"/>
        </w:rPr>
        <w:t>asunto</w:t>
      </w:r>
      <w:r>
        <w:rPr>
          <w:spacing w:val="-6"/>
          <w:sz w:val="12"/>
        </w:rPr>
        <w:t xml:space="preserve"> </w:t>
      </w:r>
      <w:r>
        <w:rPr>
          <w:sz w:val="12"/>
        </w:rPr>
        <w:t>C-401/11,</w:t>
      </w:r>
      <w:r>
        <w:rPr>
          <w:spacing w:val="-5"/>
          <w:sz w:val="12"/>
        </w:rPr>
        <w:t xml:space="preserve"> </w:t>
      </w:r>
      <w:r>
        <w:rPr>
          <w:sz w:val="12"/>
        </w:rPr>
        <w:t>sentencia</w:t>
      </w:r>
      <w:r>
        <w:rPr>
          <w:spacing w:val="-7"/>
          <w:sz w:val="12"/>
        </w:rPr>
        <w:t xml:space="preserve"> </w:t>
      </w:r>
      <w:r>
        <w:rPr>
          <w:sz w:val="12"/>
        </w:rPr>
        <w:t>de</w:t>
      </w:r>
      <w:r>
        <w:rPr>
          <w:spacing w:val="-6"/>
          <w:sz w:val="12"/>
        </w:rPr>
        <w:t xml:space="preserve"> </w:t>
      </w:r>
      <w:r>
        <w:rPr>
          <w:sz w:val="12"/>
        </w:rPr>
        <w:t>11</w:t>
      </w:r>
      <w:r>
        <w:rPr>
          <w:spacing w:val="-6"/>
          <w:sz w:val="12"/>
        </w:rPr>
        <w:t xml:space="preserve"> </w:t>
      </w:r>
      <w:r>
        <w:rPr>
          <w:sz w:val="12"/>
        </w:rPr>
        <w:t>de</w:t>
      </w:r>
      <w:r>
        <w:rPr>
          <w:spacing w:val="-6"/>
          <w:sz w:val="12"/>
        </w:rPr>
        <w:t xml:space="preserve"> </w:t>
      </w:r>
      <w:r>
        <w:rPr>
          <w:sz w:val="12"/>
        </w:rPr>
        <w:t>abril</w:t>
      </w:r>
      <w:r>
        <w:rPr>
          <w:spacing w:val="-7"/>
          <w:sz w:val="12"/>
        </w:rPr>
        <w:t xml:space="preserve"> </w:t>
      </w:r>
      <w:r>
        <w:rPr>
          <w:spacing w:val="-5"/>
          <w:sz w:val="12"/>
        </w:rPr>
        <w:t>de</w:t>
      </w:r>
    </w:p>
    <w:p w14:paraId="681F43F5" w14:textId="77777777" w:rsidR="0014798C" w:rsidRDefault="004E1F0B">
      <w:pPr>
        <w:spacing w:before="42"/>
        <w:ind w:left="84"/>
        <w:rPr>
          <w:sz w:val="12"/>
        </w:rPr>
      </w:pPr>
      <w:r>
        <w:rPr>
          <w:sz w:val="12"/>
        </w:rPr>
        <w:t>2013. Véase</w:t>
      </w:r>
      <w:r>
        <w:rPr>
          <w:spacing w:val="1"/>
          <w:sz w:val="12"/>
        </w:rPr>
        <w:t xml:space="preserve"> </w:t>
      </w:r>
      <w:r>
        <w:rPr>
          <w:sz w:val="12"/>
        </w:rPr>
        <w:t>también</w:t>
      </w:r>
      <w:r>
        <w:rPr>
          <w:spacing w:val="1"/>
          <w:sz w:val="12"/>
        </w:rPr>
        <w:t xml:space="preserve"> </w:t>
      </w:r>
      <w:r>
        <w:rPr>
          <w:sz w:val="12"/>
        </w:rPr>
        <w:t>Agencia</w:t>
      </w:r>
      <w:r>
        <w:rPr>
          <w:spacing w:val="1"/>
          <w:sz w:val="12"/>
        </w:rPr>
        <w:t xml:space="preserve"> </w:t>
      </w:r>
      <w:r>
        <w:rPr>
          <w:sz w:val="12"/>
        </w:rPr>
        <w:t>de los</w:t>
      </w:r>
      <w:r>
        <w:rPr>
          <w:spacing w:val="1"/>
          <w:sz w:val="12"/>
        </w:rPr>
        <w:t xml:space="preserve"> </w:t>
      </w:r>
      <w:r>
        <w:rPr>
          <w:sz w:val="12"/>
        </w:rPr>
        <w:t>Derechos</w:t>
      </w:r>
      <w:r>
        <w:rPr>
          <w:spacing w:val="1"/>
          <w:sz w:val="12"/>
        </w:rPr>
        <w:t xml:space="preserve"> </w:t>
      </w:r>
      <w:r>
        <w:rPr>
          <w:sz w:val="12"/>
        </w:rPr>
        <w:t>Fundamentales</w:t>
      </w:r>
      <w:r>
        <w:rPr>
          <w:spacing w:val="1"/>
          <w:sz w:val="12"/>
        </w:rPr>
        <w:t xml:space="preserve"> </w:t>
      </w:r>
      <w:r>
        <w:rPr>
          <w:sz w:val="12"/>
        </w:rPr>
        <w:t>de</w:t>
      </w:r>
      <w:r>
        <w:rPr>
          <w:spacing w:val="1"/>
          <w:sz w:val="12"/>
        </w:rPr>
        <w:t xml:space="preserve"> </w:t>
      </w:r>
      <w:r>
        <w:rPr>
          <w:sz w:val="12"/>
        </w:rPr>
        <w:t>la Unión</w:t>
      </w:r>
      <w:r>
        <w:rPr>
          <w:spacing w:val="1"/>
          <w:sz w:val="12"/>
        </w:rPr>
        <w:t xml:space="preserve"> </w:t>
      </w:r>
      <w:r>
        <w:rPr>
          <w:sz w:val="12"/>
        </w:rPr>
        <w:t>Europea,</w:t>
      </w:r>
      <w:r>
        <w:rPr>
          <w:spacing w:val="1"/>
          <w:sz w:val="12"/>
        </w:rPr>
        <w:t xml:space="preserve"> </w:t>
      </w:r>
      <w:r>
        <w:rPr>
          <w:sz w:val="12"/>
        </w:rPr>
        <w:t>Aplicación</w:t>
      </w:r>
      <w:r>
        <w:rPr>
          <w:spacing w:val="1"/>
          <w:sz w:val="12"/>
        </w:rPr>
        <w:t xml:space="preserve"> </w:t>
      </w:r>
      <w:r>
        <w:rPr>
          <w:sz w:val="12"/>
        </w:rPr>
        <w:t>de la</w:t>
      </w:r>
      <w:r>
        <w:rPr>
          <w:spacing w:val="1"/>
          <w:sz w:val="12"/>
        </w:rPr>
        <w:t xml:space="preserve"> </w:t>
      </w:r>
      <w:r>
        <w:rPr>
          <w:sz w:val="12"/>
        </w:rPr>
        <w:t>Carta</w:t>
      </w:r>
      <w:r>
        <w:rPr>
          <w:spacing w:val="1"/>
          <w:sz w:val="12"/>
        </w:rPr>
        <w:t xml:space="preserve"> </w:t>
      </w:r>
      <w:r>
        <w:rPr>
          <w:sz w:val="12"/>
        </w:rPr>
        <w:t>de</w:t>
      </w:r>
      <w:r>
        <w:rPr>
          <w:spacing w:val="1"/>
          <w:sz w:val="12"/>
        </w:rPr>
        <w:t xml:space="preserve"> </w:t>
      </w:r>
      <w:r>
        <w:rPr>
          <w:sz w:val="12"/>
        </w:rPr>
        <w:t>los</w:t>
      </w:r>
      <w:r>
        <w:rPr>
          <w:spacing w:val="1"/>
          <w:sz w:val="12"/>
        </w:rPr>
        <w:t xml:space="preserve"> </w:t>
      </w:r>
      <w:r>
        <w:rPr>
          <w:sz w:val="12"/>
        </w:rPr>
        <w:t>Derechos Fundamentales</w:t>
      </w:r>
      <w:r>
        <w:rPr>
          <w:spacing w:val="1"/>
          <w:sz w:val="12"/>
        </w:rPr>
        <w:t xml:space="preserve"> </w:t>
      </w:r>
      <w:r>
        <w:rPr>
          <w:sz w:val="12"/>
        </w:rPr>
        <w:t>de</w:t>
      </w:r>
      <w:r>
        <w:rPr>
          <w:spacing w:val="1"/>
          <w:sz w:val="12"/>
        </w:rPr>
        <w:t xml:space="preserve"> </w:t>
      </w:r>
      <w:r>
        <w:rPr>
          <w:sz w:val="12"/>
        </w:rPr>
        <w:t>la</w:t>
      </w:r>
      <w:r>
        <w:rPr>
          <w:spacing w:val="1"/>
          <w:sz w:val="12"/>
        </w:rPr>
        <w:t xml:space="preserve"> </w:t>
      </w:r>
      <w:r>
        <w:rPr>
          <w:sz w:val="12"/>
        </w:rPr>
        <w:t xml:space="preserve">Unión </w:t>
      </w:r>
      <w:r>
        <w:rPr>
          <w:spacing w:val="-2"/>
          <w:sz w:val="12"/>
        </w:rPr>
        <w:t>Europea.</w:t>
      </w:r>
    </w:p>
    <w:p w14:paraId="127EF808" w14:textId="77777777" w:rsidR="0014798C" w:rsidRDefault="004E1F0B">
      <w:pPr>
        <w:spacing w:before="42"/>
        <w:ind w:left="87"/>
        <w:rPr>
          <w:sz w:val="12"/>
        </w:rPr>
      </w:pPr>
      <w:r>
        <w:rPr>
          <w:sz w:val="12"/>
        </w:rPr>
        <w:t>La</w:t>
      </w:r>
      <w:r>
        <w:rPr>
          <w:spacing w:val="-1"/>
          <w:sz w:val="12"/>
        </w:rPr>
        <w:t xml:space="preserve"> </w:t>
      </w:r>
      <w:r>
        <w:rPr>
          <w:sz w:val="12"/>
        </w:rPr>
        <w:t>Unión</w:t>
      </w:r>
      <w:r>
        <w:rPr>
          <w:spacing w:val="-1"/>
          <w:sz w:val="12"/>
        </w:rPr>
        <w:t xml:space="preserve"> </w:t>
      </w:r>
      <w:r>
        <w:rPr>
          <w:sz w:val="12"/>
        </w:rPr>
        <w:t>Europea en</w:t>
      </w:r>
      <w:r>
        <w:rPr>
          <w:spacing w:val="-1"/>
          <w:sz w:val="12"/>
        </w:rPr>
        <w:t xml:space="preserve"> </w:t>
      </w:r>
      <w:r>
        <w:rPr>
          <w:sz w:val="12"/>
        </w:rPr>
        <w:t>la</w:t>
      </w:r>
      <w:r>
        <w:rPr>
          <w:spacing w:val="-1"/>
          <w:sz w:val="12"/>
        </w:rPr>
        <w:t xml:space="preserve"> </w:t>
      </w:r>
      <w:r>
        <w:rPr>
          <w:sz w:val="12"/>
        </w:rPr>
        <w:t>legislación y</w:t>
      </w:r>
      <w:r>
        <w:rPr>
          <w:spacing w:val="-1"/>
          <w:sz w:val="12"/>
        </w:rPr>
        <w:t xml:space="preserve"> </w:t>
      </w:r>
      <w:r>
        <w:rPr>
          <w:sz w:val="12"/>
        </w:rPr>
        <w:t>la</w:t>
      </w:r>
      <w:r>
        <w:rPr>
          <w:spacing w:val="-1"/>
          <w:sz w:val="12"/>
        </w:rPr>
        <w:t xml:space="preserve"> </w:t>
      </w:r>
      <w:r>
        <w:rPr>
          <w:sz w:val="12"/>
        </w:rPr>
        <w:t>formulación de</w:t>
      </w:r>
      <w:r>
        <w:rPr>
          <w:spacing w:val="-1"/>
          <w:sz w:val="12"/>
        </w:rPr>
        <w:t xml:space="preserve"> </w:t>
      </w:r>
      <w:r>
        <w:rPr>
          <w:sz w:val="12"/>
        </w:rPr>
        <w:t>políticas a</w:t>
      </w:r>
      <w:r>
        <w:rPr>
          <w:spacing w:val="-1"/>
          <w:sz w:val="12"/>
        </w:rPr>
        <w:t xml:space="preserve"> </w:t>
      </w:r>
      <w:r>
        <w:rPr>
          <w:sz w:val="12"/>
        </w:rPr>
        <w:t>nivel</w:t>
      </w:r>
      <w:r>
        <w:rPr>
          <w:spacing w:val="-1"/>
          <w:sz w:val="12"/>
        </w:rPr>
        <w:t xml:space="preserve"> </w:t>
      </w:r>
      <w:r>
        <w:rPr>
          <w:sz w:val="12"/>
        </w:rPr>
        <w:t>nacional:</w:t>
      </w:r>
      <w:r>
        <w:rPr>
          <w:spacing w:val="1"/>
          <w:sz w:val="12"/>
        </w:rPr>
        <w:t xml:space="preserve"> </w:t>
      </w:r>
      <w:r>
        <w:rPr>
          <w:sz w:val="12"/>
        </w:rPr>
        <w:t>orientación</w:t>
      </w:r>
      <w:r>
        <w:rPr>
          <w:spacing w:val="-1"/>
          <w:sz w:val="12"/>
        </w:rPr>
        <w:t xml:space="preserve"> </w:t>
      </w:r>
      <w:r>
        <w:rPr>
          <w:sz w:val="12"/>
        </w:rPr>
        <w:t>(Luxemburgo, Oficina de</w:t>
      </w:r>
      <w:r>
        <w:rPr>
          <w:spacing w:val="-1"/>
          <w:sz w:val="12"/>
        </w:rPr>
        <w:t xml:space="preserve"> </w:t>
      </w:r>
      <w:r>
        <w:rPr>
          <w:sz w:val="12"/>
        </w:rPr>
        <w:t>Publicaciones</w:t>
      </w:r>
      <w:r>
        <w:rPr>
          <w:spacing w:val="-1"/>
          <w:sz w:val="12"/>
        </w:rPr>
        <w:t xml:space="preserve"> </w:t>
      </w:r>
      <w:r>
        <w:rPr>
          <w:sz w:val="12"/>
        </w:rPr>
        <w:t>de la</w:t>
      </w:r>
      <w:r>
        <w:rPr>
          <w:spacing w:val="-1"/>
          <w:sz w:val="12"/>
        </w:rPr>
        <w:t xml:space="preserve"> </w:t>
      </w:r>
      <w:r>
        <w:rPr>
          <w:sz w:val="12"/>
        </w:rPr>
        <w:t>Unión</w:t>
      </w:r>
      <w:r>
        <w:rPr>
          <w:spacing w:val="-1"/>
          <w:sz w:val="12"/>
        </w:rPr>
        <w:t xml:space="preserve"> </w:t>
      </w:r>
      <w:r>
        <w:rPr>
          <w:sz w:val="12"/>
        </w:rPr>
        <w:t>Europea, 2020),</w:t>
      </w:r>
      <w:r>
        <w:rPr>
          <w:spacing w:val="-1"/>
          <w:sz w:val="12"/>
        </w:rPr>
        <w:t xml:space="preserve"> </w:t>
      </w:r>
      <w:r>
        <w:rPr>
          <w:spacing w:val="-2"/>
          <w:sz w:val="12"/>
        </w:rPr>
        <w:t>págs.</w:t>
      </w:r>
    </w:p>
    <w:p w14:paraId="2BFDFF35" w14:textId="77777777" w:rsidR="0014798C" w:rsidRDefault="0014798C">
      <w:pPr>
        <w:rPr>
          <w:sz w:val="12"/>
        </w:rPr>
        <w:sectPr w:rsidR="0014798C" w:rsidSect="00F265E4">
          <w:type w:val="continuous"/>
          <w:pgSz w:w="11900" w:h="16820"/>
          <w:pgMar w:top="40" w:right="0" w:bottom="280" w:left="200" w:header="121" w:footer="0" w:gutter="0"/>
          <w:cols w:num="2" w:space="720" w:equalWidth="0">
            <w:col w:w="1253" w:space="40"/>
            <w:col w:w="10407"/>
          </w:cols>
        </w:sectPr>
      </w:pPr>
    </w:p>
    <w:p w14:paraId="4A3465DA" w14:textId="77777777" w:rsidR="0014798C" w:rsidRDefault="0014798C">
      <w:pPr>
        <w:pStyle w:val="Textoindependiente"/>
        <w:rPr>
          <w:sz w:val="15"/>
        </w:rPr>
      </w:pPr>
    </w:p>
    <w:p w14:paraId="57342E9E" w14:textId="77777777" w:rsidR="0014798C" w:rsidRDefault="0014798C">
      <w:pPr>
        <w:pStyle w:val="Textoindependiente"/>
        <w:rPr>
          <w:sz w:val="15"/>
        </w:rPr>
      </w:pPr>
    </w:p>
    <w:p w14:paraId="07ED35C0" w14:textId="77777777" w:rsidR="0014798C" w:rsidRDefault="0014798C">
      <w:pPr>
        <w:pStyle w:val="Textoindependiente"/>
        <w:spacing w:before="134"/>
        <w:rPr>
          <w:sz w:val="15"/>
        </w:rPr>
      </w:pPr>
    </w:p>
    <w:p w14:paraId="3233ABC4" w14:textId="77777777" w:rsidR="0014798C" w:rsidRDefault="004E1F0B">
      <w:pPr>
        <w:ind w:right="722"/>
        <w:jc w:val="right"/>
        <w:rPr>
          <w:sz w:val="15"/>
        </w:rPr>
      </w:pPr>
      <w:r>
        <w:rPr>
          <w:spacing w:val="-5"/>
          <w:sz w:val="15"/>
        </w:rPr>
        <w:t>11</w:t>
      </w:r>
    </w:p>
    <w:p w14:paraId="03514DB5" w14:textId="77777777" w:rsidR="0014798C" w:rsidRDefault="0014798C">
      <w:pPr>
        <w:jc w:val="right"/>
        <w:rPr>
          <w:sz w:val="15"/>
        </w:rPr>
        <w:sectPr w:rsidR="0014798C" w:rsidSect="00F265E4">
          <w:type w:val="continuous"/>
          <w:pgSz w:w="11900" w:h="16820"/>
          <w:pgMar w:top="40" w:right="0" w:bottom="280" w:left="200" w:header="121" w:footer="0" w:gutter="0"/>
          <w:cols w:space="720"/>
        </w:sectPr>
      </w:pPr>
    </w:p>
    <w:p w14:paraId="611EC183" w14:textId="77777777" w:rsidR="0014798C" w:rsidRDefault="0014798C">
      <w:pPr>
        <w:pStyle w:val="Textoindependiente"/>
        <w:spacing w:before="85"/>
        <w:rPr>
          <w:sz w:val="12"/>
        </w:rPr>
      </w:pPr>
    </w:p>
    <w:p w14:paraId="73F2B799" w14:textId="77777777" w:rsidR="0014798C" w:rsidRDefault="004E1F0B">
      <w:pPr>
        <w:ind w:left="1111"/>
        <w:rPr>
          <w:sz w:val="12"/>
        </w:rPr>
      </w:pPr>
      <w:r>
        <w:rPr>
          <w:color w:val="009EDB"/>
          <w:sz w:val="12"/>
        </w:rPr>
        <w:t>PROTECCIÓN</w:t>
      </w:r>
      <w:r>
        <w:rPr>
          <w:color w:val="009EDB"/>
          <w:spacing w:val="6"/>
          <w:sz w:val="12"/>
        </w:rPr>
        <w:t xml:space="preserve"> </w:t>
      </w:r>
      <w:r>
        <w:rPr>
          <w:color w:val="009EDB"/>
          <w:sz w:val="12"/>
        </w:rPr>
        <w:t>DE</w:t>
      </w:r>
      <w:r>
        <w:rPr>
          <w:color w:val="009EDB"/>
          <w:spacing w:val="7"/>
          <w:sz w:val="12"/>
        </w:rPr>
        <w:t xml:space="preserve"> </w:t>
      </w:r>
      <w:r>
        <w:rPr>
          <w:color w:val="009EDB"/>
          <w:sz w:val="12"/>
        </w:rPr>
        <w:t>LOS</w:t>
      </w:r>
      <w:r>
        <w:rPr>
          <w:color w:val="009EDB"/>
          <w:spacing w:val="8"/>
          <w:sz w:val="12"/>
        </w:rPr>
        <w:t xml:space="preserve"> </w:t>
      </w:r>
      <w:r>
        <w:rPr>
          <w:color w:val="009EDB"/>
          <w:sz w:val="12"/>
        </w:rPr>
        <w:t>DERECHOS</w:t>
      </w:r>
      <w:r>
        <w:rPr>
          <w:color w:val="009EDB"/>
          <w:spacing w:val="8"/>
          <w:sz w:val="12"/>
        </w:rPr>
        <w:t xml:space="preserve"> </w:t>
      </w:r>
      <w:r>
        <w:rPr>
          <w:color w:val="009EDB"/>
          <w:sz w:val="12"/>
        </w:rPr>
        <w:t>DE</w:t>
      </w:r>
      <w:r>
        <w:rPr>
          <w:color w:val="009EDB"/>
          <w:spacing w:val="6"/>
          <w:sz w:val="12"/>
        </w:rPr>
        <w:t xml:space="preserve"> </w:t>
      </w:r>
      <w:r>
        <w:rPr>
          <w:color w:val="009EDB"/>
          <w:sz w:val="12"/>
        </w:rPr>
        <w:t>LAS</w:t>
      </w:r>
      <w:r>
        <w:rPr>
          <w:color w:val="009EDB"/>
          <w:spacing w:val="7"/>
          <w:sz w:val="12"/>
        </w:rPr>
        <w:t xml:space="preserve"> </w:t>
      </w:r>
      <w:r>
        <w:rPr>
          <w:color w:val="009EDB"/>
          <w:sz w:val="12"/>
        </w:rPr>
        <w:t>MINORÍAS:</w:t>
      </w:r>
      <w:r>
        <w:rPr>
          <w:color w:val="009EDB"/>
          <w:spacing w:val="8"/>
          <w:sz w:val="12"/>
        </w:rPr>
        <w:t xml:space="preserve"> </w:t>
      </w:r>
      <w:r>
        <w:rPr>
          <w:color w:val="009EDB"/>
          <w:sz w:val="12"/>
        </w:rPr>
        <w:t>una</w:t>
      </w:r>
      <w:r>
        <w:rPr>
          <w:color w:val="009EDB"/>
          <w:spacing w:val="7"/>
          <w:sz w:val="12"/>
        </w:rPr>
        <w:t xml:space="preserve"> </w:t>
      </w:r>
      <w:r>
        <w:rPr>
          <w:color w:val="009EDB"/>
          <w:sz w:val="12"/>
        </w:rPr>
        <w:t>guía</w:t>
      </w:r>
      <w:r>
        <w:rPr>
          <w:color w:val="009EDB"/>
          <w:spacing w:val="6"/>
          <w:sz w:val="12"/>
        </w:rPr>
        <w:t xml:space="preserve"> </w:t>
      </w:r>
      <w:r>
        <w:rPr>
          <w:color w:val="009EDB"/>
          <w:sz w:val="12"/>
        </w:rPr>
        <w:t>práctica</w:t>
      </w:r>
      <w:r>
        <w:rPr>
          <w:color w:val="009EDB"/>
          <w:spacing w:val="7"/>
          <w:sz w:val="12"/>
        </w:rPr>
        <w:t xml:space="preserve"> </w:t>
      </w:r>
      <w:r>
        <w:rPr>
          <w:color w:val="009EDB"/>
          <w:sz w:val="12"/>
        </w:rPr>
        <w:t>para</w:t>
      </w:r>
      <w:r>
        <w:rPr>
          <w:color w:val="009EDB"/>
          <w:spacing w:val="8"/>
          <w:sz w:val="12"/>
        </w:rPr>
        <w:t xml:space="preserve"> </w:t>
      </w:r>
      <w:r>
        <w:rPr>
          <w:color w:val="009EDB"/>
          <w:sz w:val="12"/>
        </w:rPr>
        <w:t>desarrollar</w:t>
      </w:r>
      <w:r>
        <w:rPr>
          <w:color w:val="009EDB"/>
          <w:spacing w:val="6"/>
          <w:sz w:val="12"/>
        </w:rPr>
        <w:t xml:space="preserve"> </w:t>
      </w:r>
      <w:r>
        <w:rPr>
          <w:color w:val="009EDB"/>
          <w:sz w:val="12"/>
        </w:rPr>
        <w:t>una</w:t>
      </w:r>
      <w:r>
        <w:rPr>
          <w:color w:val="009EDB"/>
          <w:spacing w:val="7"/>
          <w:sz w:val="12"/>
        </w:rPr>
        <w:t xml:space="preserve"> </w:t>
      </w:r>
      <w:r>
        <w:rPr>
          <w:color w:val="009EDB"/>
          <w:sz w:val="12"/>
        </w:rPr>
        <w:t>legislación</w:t>
      </w:r>
      <w:r>
        <w:rPr>
          <w:color w:val="009EDB"/>
          <w:spacing w:val="8"/>
          <w:sz w:val="12"/>
        </w:rPr>
        <w:t xml:space="preserve"> </w:t>
      </w:r>
      <w:r>
        <w:rPr>
          <w:color w:val="009EDB"/>
          <w:sz w:val="12"/>
        </w:rPr>
        <w:t>integral</w:t>
      </w:r>
      <w:r>
        <w:rPr>
          <w:color w:val="009EDB"/>
          <w:spacing w:val="7"/>
          <w:sz w:val="12"/>
        </w:rPr>
        <w:t xml:space="preserve"> </w:t>
      </w:r>
      <w:r>
        <w:rPr>
          <w:color w:val="009EDB"/>
          <w:sz w:val="12"/>
        </w:rPr>
        <w:t>contra</w:t>
      </w:r>
      <w:r>
        <w:rPr>
          <w:color w:val="009EDB"/>
          <w:spacing w:val="6"/>
          <w:sz w:val="12"/>
        </w:rPr>
        <w:t xml:space="preserve"> </w:t>
      </w:r>
      <w:r>
        <w:rPr>
          <w:color w:val="009EDB"/>
          <w:sz w:val="12"/>
        </w:rPr>
        <w:t>la</w:t>
      </w:r>
      <w:r>
        <w:rPr>
          <w:color w:val="009EDB"/>
          <w:spacing w:val="7"/>
          <w:sz w:val="12"/>
        </w:rPr>
        <w:t xml:space="preserve"> </w:t>
      </w:r>
      <w:r>
        <w:rPr>
          <w:color w:val="009EDB"/>
          <w:spacing w:val="-2"/>
          <w:sz w:val="12"/>
        </w:rPr>
        <w:t>discriminación</w:t>
      </w:r>
    </w:p>
    <w:p w14:paraId="417A66D6" w14:textId="77777777" w:rsidR="0014798C" w:rsidRDefault="0014798C">
      <w:pPr>
        <w:pStyle w:val="Textoindependiente"/>
        <w:rPr>
          <w:sz w:val="17"/>
        </w:rPr>
      </w:pPr>
    </w:p>
    <w:p w14:paraId="0FC7FC22" w14:textId="77777777" w:rsidR="0014798C" w:rsidRDefault="0014798C">
      <w:pPr>
        <w:pStyle w:val="Textoindependiente"/>
        <w:rPr>
          <w:sz w:val="17"/>
        </w:rPr>
      </w:pPr>
    </w:p>
    <w:p w14:paraId="4E7E9EE3" w14:textId="77777777" w:rsidR="0014798C" w:rsidRDefault="004E1F0B">
      <w:pPr>
        <w:spacing w:line="307" w:lineRule="auto"/>
        <w:ind w:left="1105" w:right="1272"/>
        <w:rPr>
          <w:sz w:val="17"/>
        </w:rPr>
      </w:pPr>
      <w:r>
        <w:rPr>
          <w:sz w:val="17"/>
        </w:rPr>
        <w:t>La Unión Europea ha ayudado a impulsar un proceso de reforma de la legislación sobre igualdad en todo el continente, a medida</w:t>
      </w:r>
      <w:r>
        <w:rPr>
          <w:spacing w:val="-2"/>
          <w:sz w:val="17"/>
        </w:rPr>
        <w:t xml:space="preserve"> </w:t>
      </w:r>
      <w:r>
        <w:rPr>
          <w:sz w:val="17"/>
        </w:rPr>
        <w:t>que</w:t>
      </w:r>
      <w:r>
        <w:rPr>
          <w:spacing w:val="-2"/>
          <w:sz w:val="17"/>
        </w:rPr>
        <w:t xml:space="preserve"> </w:t>
      </w:r>
      <w:r>
        <w:rPr>
          <w:sz w:val="17"/>
        </w:rPr>
        <w:t>los</w:t>
      </w:r>
      <w:r>
        <w:rPr>
          <w:spacing w:val="-2"/>
          <w:sz w:val="17"/>
        </w:rPr>
        <w:t xml:space="preserve"> </w:t>
      </w:r>
      <w:r>
        <w:rPr>
          <w:sz w:val="17"/>
        </w:rPr>
        <w:t>Estados</w:t>
      </w:r>
      <w:r>
        <w:rPr>
          <w:spacing w:val="-2"/>
          <w:sz w:val="17"/>
        </w:rPr>
        <w:t xml:space="preserve"> </w:t>
      </w:r>
      <w:r>
        <w:rPr>
          <w:sz w:val="17"/>
        </w:rPr>
        <w:t>miembros</w:t>
      </w:r>
      <w:r>
        <w:rPr>
          <w:spacing w:val="-2"/>
          <w:sz w:val="17"/>
        </w:rPr>
        <w:t xml:space="preserve"> </w:t>
      </w:r>
      <w:r>
        <w:rPr>
          <w:sz w:val="17"/>
        </w:rPr>
        <w:t>y</w:t>
      </w:r>
      <w:r>
        <w:rPr>
          <w:spacing w:val="-2"/>
          <w:sz w:val="17"/>
        </w:rPr>
        <w:t xml:space="preserve"> </w:t>
      </w:r>
      <w:r>
        <w:rPr>
          <w:sz w:val="17"/>
        </w:rPr>
        <w:t>los</w:t>
      </w:r>
      <w:r>
        <w:rPr>
          <w:spacing w:val="-2"/>
          <w:sz w:val="17"/>
        </w:rPr>
        <w:t xml:space="preserve"> </w:t>
      </w:r>
      <w:r>
        <w:rPr>
          <w:sz w:val="17"/>
        </w:rPr>
        <w:t>Estados</w:t>
      </w:r>
      <w:r>
        <w:rPr>
          <w:spacing w:val="-2"/>
          <w:sz w:val="17"/>
        </w:rPr>
        <w:t xml:space="preserve"> </w:t>
      </w:r>
      <w:r>
        <w:rPr>
          <w:sz w:val="17"/>
        </w:rPr>
        <w:t>que</w:t>
      </w:r>
      <w:r>
        <w:rPr>
          <w:spacing w:val="-2"/>
          <w:sz w:val="17"/>
        </w:rPr>
        <w:t xml:space="preserve"> </w:t>
      </w:r>
      <w:r>
        <w:rPr>
          <w:sz w:val="17"/>
        </w:rPr>
        <w:t>aspiran</w:t>
      </w:r>
      <w:r>
        <w:rPr>
          <w:spacing w:val="-2"/>
          <w:sz w:val="17"/>
        </w:rPr>
        <w:t xml:space="preserve"> </w:t>
      </w:r>
      <w:r>
        <w:rPr>
          <w:sz w:val="17"/>
        </w:rPr>
        <w:t>a</w:t>
      </w:r>
      <w:r>
        <w:rPr>
          <w:spacing w:val="-2"/>
          <w:sz w:val="17"/>
        </w:rPr>
        <w:t xml:space="preserve"> </w:t>
      </w:r>
      <w:r>
        <w:rPr>
          <w:sz w:val="17"/>
        </w:rPr>
        <w:t>adherirse</w:t>
      </w:r>
      <w:r>
        <w:rPr>
          <w:spacing w:val="-2"/>
          <w:sz w:val="17"/>
        </w:rPr>
        <w:t xml:space="preserve"> </w:t>
      </w:r>
      <w:r>
        <w:rPr>
          <w:sz w:val="17"/>
        </w:rPr>
        <w:t>armonizan</w:t>
      </w:r>
      <w:r>
        <w:rPr>
          <w:spacing w:val="-2"/>
          <w:sz w:val="17"/>
        </w:rPr>
        <w:t xml:space="preserve"> </w:t>
      </w:r>
      <w:r>
        <w:rPr>
          <w:sz w:val="17"/>
        </w:rPr>
        <w:t>su</w:t>
      </w:r>
      <w:r>
        <w:rPr>
          <w:spacing w:val="-2"/>
          <w:sz w:val="17"/>
        </w:rPr>
        <w:t xml:space="preserve"> </w:t>
      </w:r>
      <w:r>
        <w:rPr>
          <w:sz w:val="17"/>
        </w:rPr>
        <w:t>legislación</w:t>
      </w:r>
      <w:r>
        <w:rPr>
          <w:spacing w:val="-2"/>
          <w:sz w:val="17"/>
        </w:rPr>
        <w:t xml:space="preserve"> </w:t>
      </w:r>
      <w:r>
        <w:rPr>
          <w:sz w:val="17"/>
        </w:rPr>
        <w:t>con</w:t>
      </w:r>
      <w:r>
        <w:rPr>
          <w:spacing w:val="-2"/>
          <w:sz w:val="17"/>
        </w:rPr>
        <w:t xml:space="preserve"> </w:t>
      </w:r>
      <w:r>
        <w:rPr>
          <w:sz w:val="17"/>
        </w:rPr>
        <w:t>las</w:t>
      </w:r>
      <w:r>
        <w:rPr>
          <w:spacing w:val="-2"/>
          <w:sz w:val="17"/>
        </w:rPr>
        <w:t xml:space="preserve"> </w:t>
      </w:r>
      <w:r>
        <w:rPr>
          <w:sz w:val="17"/>
        </w:rPr>
        <w:t>directivas</w:t>
      </w:r>
      <w:r>
        <w:rPr>
          <w:spacing w:val="-2"/>
          <w:sz w:val="17"/>
        </w:rPr>
        <w:t xml:space="preserve"> </w:t>
      </w:r>
      <w:r>
        <w:rPr>
          <w:sz w:val="17"/>
        </w:rPr>
        <w:t>sobre igualdad</w:t>
      </w:r>
      <w:r>
        <w:rPr>
          <w:spacing w:val="-5"/>
          <w:sz w:val="17"/>
        </w:rPr>
        <w:t xml:space="preserve"> </w:t>
      </w:r>
      <w:r>
        <w:rPr>
          <w:sz w:val="17"/>
        </w:rPr>
        <w:t>de</w:t>
      </w:r>
      <w:r>
        <w:rPr>
          <w:spacing w:val="-5"/>
          <w:sz w:val="17"/>
        </w:rPr>
        <w:t xml:space="preserve"> </w:t>
      </w:r>
      <w:r>
        <w:rPr>
          <w:sz w:val="17"/>
        </w:rPr>
        <w:t>trato:</w:t>
      </w:r>
      <w:r>
        <w:rPr>
          <w:spacing w:val="-5"/>
          <w:sz w:val="17"/>
        </w:rPr>
        <w:t xml:space="preserve"> </w:t>
      </w:r>
      <w:r>
        <w:rPr>
          <w:sz w:val="17"/>
        </w:rPr>
        <w:t>en</w:t>
      </w:r>
      <w:r>
        <w:rPr>
          <w:spacing w:val="-5"/>
          <w:sz w:val="17"/>
        </w:rPr>
        <w:t xml:space="preserve"> </w:t>
      </w:r>
      <w:r>
        <w:rPr>
          <w:sz w:val="17"/>
        </w:rPr>
        <w:t>2009,</w:t>
      </w:r>
      <w:r>
        <w:rPr>
          <w:spacing w:val="-5"/>
          <w:sz w:val="17"/>
        </w:rPr>
        <w:t xml:space="preserve"> </w:t>
      </w:r>
      <w:r>
        <w:rPr>
          <w:sz w:val="17"/>
        </w:rPr>
        <w:t>mediante</w:t>
      </w:r>
      <w:r>
        <w:rPr>
          <w:spacing w:val="-5"/>
          <w:sz w:val="17"/>
        </w:rPr>
        <w:t xml:space="preserve"> </w:t>
      </w:r>
      <w:r>
        <w:rPr>
          <w:sz w:val="17"/>
        </w:rPr>
        <w:t>la</w:t>
      </w:r>
      <w:r>
        <w:rPr>
          <w:spacing w:val="-5"/>
          <w:sz w:val="17"/>
        </w:rPr>
        <w:t xml:space="preserve"> </w:t>
      </w:r>
      <w:r>
        <w:rPr>
          <w:sz w:val="17"/>
        </w:rPr>
        <w:t>adopción</w:t>
      </w:r>
      <w:r>
        <w:rPr>
          <w:spacing w:val="-5"/>
          <w:sz w:val="17"/>
        </w:rPr>
        <w:t xml:space="preserve"> </w:t>
      </w:r>
      <w:r>
        <w:rPr>
          <w:sz w:val="17"/>
        </w:rPr>
        <w:t>de</w:t>
      </w:r>
      <w:r>
        <w:rPr>
          <w:spacing w:val="-5"/>
          <w:sz w:val="17"/>
        </w:rPr>
        <w:t xml:space="preserve"> </w:t>
      </w:r>
      <w:r>
        <w:rPr>
          <w:sz w:val="17"/>
        </w:rPr>
        <w:t>la</w:t>
      </w:r>
      <w:r>
        <w:rPr>
          <w:spacing w:val="-5"/>
          <w:sz w:val="17"/>
        </w:rPr>
        <w:t xml:space="preserve"> </w:t>
      </w:r>
      <w:r>
        <w:rPr>
          <w:sz w:val="17"/>
        </w:rPr>
        <w:t>Ley</w:t>
      </w:r>
      <w:r>
        <w:rPr>
          <w:spacing w:val="-5"/>
          <w:sz w:val="17"/>
        </w:rPr>
        <w:t xml:space="preserve"> </w:t>
      </w:r>
      <w:r>
        <w:rPr>
          <w:sz w:val="17"/>
        </w:rPr>
        <w:t>contra</w:t>
      </w:r>
      <w:r>
        <w:rPr>
          <w:spacing w:val="-5"/>
          <w:sz w:val="17"/>
        </w:rPr>
        <w:t xml:space="preserve"> </w:t>
      </w:r>
      <w:r>
        <w:rPr>
          <w:sz w:val="17"/>
        </w:rPr>
        <w:t>la</w:t>
      </w:r>
      <w:r>
        <w:rPr>
          <w:spacing w:val="-5"/>
          <w:sz w:val="17"/>
        </w:rPr>
        <w:t xml:space="preserve"> </w:t>
      </w:r>
      <w:r>
        <w:rPr>
          <w:sz w:val="17"/>
        </w:rPr>
        <w:t>discriminación,</w:t>
      </w:r>
      <w:r>
        <w:rPr>
          <w:spacing w:val="-3"/>
          <w:sz w:val="17"/>
        </w:rPr>
        <w:t xml:space="preserve"> </w:t>
      </w:r>
      <w:r>
        <w:rPr>
          <w:sz w:val="17"/>
        </w:rPr>
        <w:t>Chequia</w:t>
      </w:r>
      <w:r>
        <w:rPr>
          <w:spacing w:val="-5"/>
          <w:sz w:val="17"/>
        </w:rPr>
        <w:t xml:space="preserve"> </w:t>
      </w:r>
      <w:r>
        <w:rPr>
          <w:sz w:val="17"/>
        </w:rPr>
        <w:t>se</w:t>
      </w:r>
      <w:r>
        <w:rPr>
          <w:spacing w:val="-5"/>
          <w:sz w:val="17"/>
        </w:rPr>
        <w:t xml:space="preserve"> </w:t>
      </w:r>
      <w:r>
        <w:rPr>
          <w:sz w:val="17"/>
        </w:rPr>
        <w:t>convirtió</w:t>
      </w:r>
      <w:r>
        <w:rPr>
          <w:spacing w:val="-5"/>
          <w:sz w:val="17"/>
        </w:rPr>
        <w:t xml:space="preserve"> </w:t>
      </w:r>
      <w:r>
        <w:rPr>
          <w:sz w:val="17"/>
        </w:rPr>
        <w:t>en</w:t>
      </w:r>
      <w:r>
        <w:rPr>
          <w:spacing w:val="-5"/>
          <w:sz w:val="17"/>
        </w:rPr>
        <w:t xml:space="preserve"> </w:t>
      </w:r>
      <w:r>
        <w:rPr>
          <w:sz w:val="17"/>
        </w:rPr>
        <w:t>el</w:t>
      </w:r>
      <w:r>
        <w:rPr>
          <w:spacing w:val="-5"/>
          <w:sz w:val="17"/>
        </w:rPr>
        <w:t xml:space="preserve"> </w:t>
      </w:r>
      <w:r>
        <w:rPr>
          <w:sz w:val="17"/>
        </w:rPr>
        <w:t>último</w:t>
      </w:r>
      <w:r>
        <w:rPr>
          <w:spacing w:val="-5"/>
          <w:sz w:val="17"/>
        </w:rPr>
        <w:t xml:space="preserve"> </w:t>
      </w:r>
      <w:r>
        <w:rPr>
          <w:sz w:val="17"/>
        </w:rPr>
        <w:t>de</w:t>
      </w:r>
      <w:r>
        <w:rPr>
          <w:spacing w:val="-5"/>
          <w:sz w:val="17"/>
        </w:rPr>
        <w:t xml:space="preserve"> </w:t>
      </w:r>
      <w:r>
        <w:rPr>
          <w:sz w:val="17"/>
        </w:rPr>
        <w:t>los 27 Estados miembros de la Unión Europea en adoptar legislación para implementar los requisitos de las directivas.101 Además,</w:t>
      </w:r>
      <w:r>
        <w:rPr>
          <w:spacing w:val="-2"/>
          <w:sz w:val="17"/>
        </w:rPr>
        <w:t xml:space="preserve"> </w:t>
      </w:r>
      <w:r>
        <w:rPr>
          <w:sz w:val="17"/>
        </w:rPr>
        <w:t>entre</w:t>
      </w:r>
      <w:r>
        <w:rPr>
          <w:spacing w:val="-3"/>
          <w:sz w:val="17"/>
        </w:rPr>
        <w:t xml:space="preserve"> </w:t>
      </w:r>
      <w:r>
        <w:rPr>
          <w:sz w:val="17"/>
        </w:rPr>
        <w:t>2008</w:t>
      </w:r>
      <w:r>
        <w:rPr>
          <w:spacing w:val="-3"/>
          <w:sz w:val="17"/>
        </w:rPr>
        <w:t xml:space="preserve"> </w:t>
      </w:r>
      <w:r>
        <w:rPr>
          <w:sz w:val="17"/>
        </w:rPr>
        <w:t>y</w:t>
      </w:r>
      <w:r>
        <w:rPr>
          <w:spacing w:val="-3"/>
          <w:sz w:val="17"/>
        </w:rPr>
        <w:t xml:space="preserve"> </w:t>
      </w:r>
      <w:r>
        <w:rPr>
          <w:sz w:val="17"/>
        </w:rPr>
        <w:t>2015,</w:t>
      </w:r>
      <w:r>
        <w:rPr>
          <w:spacing w:val="-3"/>
          <w:sz w:val="17"/>
        </w:rPr>
        <w:t xml:space="preserve"> </w:t>
      </w:r>
      <w:r>
        <w:rPr>
          <w:sz w:val="17"/>
        </w:rPr>
        <w:t>nueve</w:t>
      </w:r>
      <w:r>
        <w:rPr>
          <w:spacing w:val="-3"/>
          <w:sz w:val="17"/>
        </w:rPr>
        <w:t xml:space="preserve"> </w:t>
      </w:r>
      <w:r>
        <w:rPr>
          <w:sz w:val="17"/>
        </w:rPr>
        <w:t>Estados</w:t>
      </w:r>
      <w:r>
        <w:rPr>
          <w:spacing w:val="-3"/>
          <w:sz w:val="17"/>
        </w:rPr>
        <w:t xml:space="preserve"> </w:t>
      </w:r>
      <w:r>
        <w:rPr>
          <w:sz w:val="17"/>
        </w:rPr>
        <w:t>del</w:t>
      </w:r>
      <w:r>
        <w:rPr>
          <w:spacing w:val="-3"/>
          <w:sz w:val="17"/>
        </w:rPr>
        <w:t xml:space="preserve"> </w:t>
      </w:r>
      <w:r>
        <w:rPr>
          <w:sz w:val="17"/>
        </w:rPr>
        <w:t>continente</w:t>
      </w:r>
      <w:r>
        <w:rPr>
          <w:spacing w:val="-3"/>
          <w:sz w:val="17"/>
        </w:rPr>
        <w:t xml:space="preserve"> </w:t>
      </w:r>
      <w:r>
        <w:rPr>
          <w:sz w:val="17"/>
        </w:rPr>
        <w:t>(primero</w:t>
      </w:r>
      <w:r>
        <w:rPr>
          <w:spacing w:val="-3"/>
          <w:sz w:val="17"/>
        </w:rPr>
        <w:t xml:space="preserve"> </w:t>
      </w:r>
      <w:r>
        <w:rPr>
          <w:sz w:val="17"/>
        </w:rPr>
        <w:t>Croacia,</w:t>
      </w:r>
      <w:r>
        <w:rPr>
          <w:spacing w:val="-2"/>
          <w:sz w:val="17"/>
        </w:rPr>
        <w:t xml:space="preserve"> </w:t>
      </w:r>
      <w:r>
        <w:rPr>
          <w:sz w:val="17"/>
        </w:rPr>
        <w:t>luego</w:t>
      </w:r>
      <w:r>
        <w:rPr>
          <w:spacing w:val="-3"/>
          <w:sz w:val="17"/>
        </w:rPr>
        <w:t xml:space="preserve"> </w:t>
      </w:r>
      <w:r>
        <w:rPr>
          <w:sz w:val="17"/>
        </w:rPr>
        <w:t>Bosnia</w:t>
      </w:r>
      <w:r>
        <w:rPr>
          <w:spacing w:val="-3"/>
          <w:sz w:val="17"/>
        </w:rPr>
        <w:t xml:space="preserve"> </w:t>
      </w:r>
      <w:r>
        <w:rPr>
          <w:sz w:val="17"/>
        </w:rPr>
        <w:t>y</w:t>
      </w:r>
      <w:r>
        <w:rPr>
          <w:spacing w:val="-3"/>
          <w:sz w:val="17"/>
        </w:rPr>
        <w:t xml:space="preserve"> </w:t>
      </w:r>
      <w:r>
        <w:rPr>
          <w:sz w:val="17"/>
        </w:rPr>
        <w:t>Herzegovina,</w:t>
      </w:r>
      <w:r>
        <w:rPr>
          <w:spacing w:val="-2"/>
          <w:sz w:val="17"/>
        </w:rPr>
        <w:t xml:space="preserve"> </w:t>
      </w:r>
      <w:r>
        <w:rPr>
          <w:sz w:val="17"/>
        </w:rPr>
        <w:t>Serbia,</w:t>
      </w:r>
      <w:r>
        <w:rPr>
          <w:spacing w:val="-2"/>
          <w:sz w:val="17"/>
        </w:rPr>
        <w:t xml:space="preserve"> </w:t>
      </w:r>
      <w:r>
        <w:rPr>
          <w:sz w:val="17"/>
        </w:rPr>
        <w:t>Albania, Montenegro y Macedonia del Norte) , Ucrania, la República de Moldavia y finalmente Georgia – adoptaron leyes antidiscriminatorias integrales (o casi integrales).102</w:t>
      </w:r>
    </w:p>
    <w:p w14:paraId="6AA252C4" w14:textId="77777777" w:rsidR="0014798C" w:rsidRDefault="0014798C">
      <w:pPr>
        <w:pStyle w:val="Textoindependiente"/>
        <w:rPr>
          <w:sz w:val="17"/>
        </w:rPr>
      </w:pPr>
    </w:p>
    <w:p w14:paraId="704E140C" w14:textId="77777777" w:rsidR="0014798C" w:rsidRDefault="0014798C">
      <w:pPr>
        <w:pStyle w:val="Textoindependiente"/>
        <w:spacing w:before="75"/>
        <w:rPr>
          <w:sz w:val="17"/>
        </w:rPr>
      </w:pPr>
    </w:p>
    <w:p w14:paraId="7E64114F" w14:textId="77777777" w:rsidR="0014798C" w:rsidRDefault="004E1F0B">
      <w:pPr>
        <w:spacing w:line="307" w:lineRule="auto"/>
        <w:ind w:left="1342" w:right="4198"/>
        <w:rPr>
          <w:sz w:val="17"/>
        </w:rPr>
      </w:pPr>
      <w:r>
        <w:rPr>
          <w:noProof/>
        </w:rPr>
        <w:drawing>
          <wp:anchor distT="0" distB="0" distL="0" distR="0" simplePos="0" relativeHeight="251658367" behindDoc="1" locked="0" layoutInCell="1" allowOverlap="1" wp14:anchorId="1BD366C7" wp14:editId="181AB1AB">
            <wp:simplePos x="0" y="0"/>
            <wp:positionH relativeFrom="page">
              <wp:posOffset>795184</wp:posOffset>
            </wp:positionH>
            <wp:positionV relativeFrom="paragraph">
              <wp:posOffset>-191150</wp:posOffset>
            </wp:positionV>
            <wp:extent cx="5966130" cy="6331134"/>
            <wp:effectExtent l="0" t="0" r="0" b="0"/>
            <wp:wrapNone/>
            <wp:docPr id="73" name="Image 7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73" name="Image 73"/>
                    <pic:cNvPicPr/>
                  </pic:nvPicPr>
                  <pic:blipFill>
                    <a:blip r:embed="rId77" cstate="print"/>
                    <a:stretch>
                      <a:fillRect/>
                    </a:stretch>
                  </pic:blipFill>
                  <pic:spPr>
                    <a:xfrm>
                      <a:off x="0" y="0"/>
                      <a:ext cx="5966130" cy="6331134"/>
                    </a:xfrm>
                    <a:prstGeom prst="rect">
                      <a:avLst/>
                    </a:prstGeom>
                  </pic:spPr>
                </pic:pic>
              </a:graphicData>
            </a:graphic>
          </wp:anchor>
        </w:drawing>
      </w:r>
      <w:r>
        <w:rPr>
          <w:sz w:val="17"/>
        </w:rPr>
        <w:t>MACEDONIA</w:t>
      </w:r>
      <w:r>
        <w:rPr>
          <w:spacing w:val="-10"/>
          <w:sz w:val="17"/>
        </w:rPr>
        <w:t xml:space="preserve"> </w:t>
      </w:r>
      <w:r>
        <w:rPr>
          <w:sz w:val="17"/>
        </w:rPr>
        <w:t>DEL</w:t>
      </w:r>
      <w:r>
        <w:rPr>
          <w:spacing w:val="-10"/>
          <w:sz w:val="17"/>
        </w:rPr>
        <w:t xml:space="preserve"> </w:t>
      </w:r>
      <w:r>
        <w:rPr>
          <w:sz w:val="17"/>
        </w:rPr>
        <w:t>NORTE:</w:t>
      </w:r>
      <w:r>
        <w:rPr>
          <w:spacing w:val="-10"/>
          <w:sz w:val="17"/>
        </w:rPr>
        <w:t xml:space="preserve"> </w:t>
      </w:r>
      <w:r>
        <w:rPr>
          <w:sz w:val="17"/>
        </w:rPr>
        <w:t>LEY</w:t>
      </w:r>
      <w:r>
        <w:rPr>
          <w:spacing w:val="-10"/>
          <w:sz w:val="17"/>
        </w:rPr>
        <w:t xml:space="preserve"> </w:t>
      </w:r>
      <w:r>
        <w:rPr>
          <w:sz w:val="17"/>
        </w:rPr>
        <w:t>DE</w:t>
      </w:r>
      <w:r>
        <w:rPr>
          <w:spacing w:val="-10"/>
          <w:sz w:val="17"/>
        </w:rPr>
        <w:t xml:space="preserve"> </w:t>
      </w:r>
      <w:r>
        <w:rPr>
          <w:sz w:val="17"/>
        </w:rPr>
        <w:t>PREVENCIÓN</w:t>
      </w:r>
      <w:r>
        <w:rPr>
          <w:spacing w:val="-11"/>
          <w:sz w:val="17"/>
        </w:rPr>
        <w:t xml:space="preserve"> </w:t>
      </w:r>
      <w:r>
        <w:rPr>
          <w:sz w:val="17"/>
        </w:rPr>
        <w:t>Y</w:t>
      </w:r>
      <w:r>
        <w:rPr>
          <w:spacing w:val="-10"/>
          <w:sz w:val="17"/>
        </w:rPr>
        <w:t xml:space="preserve"> </w:t>
      </w:r>
      <w:r>
        <w:rPr>
          <w:sz w:val="17"/>
        </w:rPr>
        <w:t>PROTECCIÓN</w:t>
      </w:r>
      <w:r>
        <w:rPr>
          <w:spacing w:val="-11"/>
          <w:sz w:val="17"/>
        </w:rPr>
        <w:t xml:space="preserve"> </w:t>
      </w:r>
      <w:r>
        <w:rPr>
          <w:sz w:val="17"/>
        </w:rPr>
        <w:t xml:space="preserve">CONTRA </w:t>
      </w:r>
      <w:r>
        <w:rPr>
          <w:spacing w:val="-2"/>
          <w:sz w:val="17"/>
        </w:rPr>
        <w:t>DISCRIMINACIÓN</w:t>
      </w:r>
    </w:p>
    <w:p w14:paraId="5FF8F4C4" w14:textId="77777777" w:rsidR="0014798C" w:rsidRDefault="004E1F0B">
      <w:pPr>
        <w:spacing w:before="134" w:line="307" w:lineRule="auto"/>
        <w:ind w:left="1333" w:right="1553" w:firstLine="5"/>
        <w:rPr>
          <w:sz w:val="17"/>
        </w:rPr>
      </w:pPr>
      <w:r>
        <w:rPr>
          <w:sz w:val="17"/>
        </w:rPr>
        <w:t>Una</w:t>
      </w:r>
      <w:r>
        <w:rPr>
          <w:spacing w:val="-6"/>
          <w:sz w:val="17"/>
        </w:rPr>
        <w:t xml:space="preserve"> </w:t>
      </w:r>
      <w:r>
        <w:rPr>
          <w:sz w:val="17"/>
        </w:rPr>
        <w:t>de</w:t>
      </w:r>
      <w:r>
        <w:rPr>
          <w:spacing w:val="-6"/>
          <w:sz w:val="17"/>
        </w:rPr>
        <w:t xml:space="preserve"> </w:t>
      </w:r>
      <w:r>
        <w:rPr>
          <w:sz w:val="17"/>
        </w:rPr>
        <w:t>las</w:t>
      </w:r>
      <w:r>
        <w:rPr>
          <w:spacing w:val="-6"/>
          <w:sz w:val="17"/>
        </w:rPr>
        <w:t xml:space="preserve"> </w:t>
      </w:r>
      <w:r>
        <w:rPr>
          <w:sz w:val="17"/>
        </w:rPr>
        <w:t>leyes</w:t>
      </w:r>
      <w:r>
        <w:rPr>
          <w:spacing w:val="-6"/>
          <w:sz w:val="17"/>
        </w:rPr>
        <w:t xml:space="preserve"> </w:t>
      </w:r>
      <w:r>
        <w:rPr>
          <w:sz w:val="17"/>
        </w:rPr>
        <w:t>de</w:t>
      </w:r>
      <w:r>
        <w:rPr>
          <w:spacing w:val="-6"/>
          <w:sz w:val="17"/>
        </w:rPr>
        <w:t xml:space="preserve"> </w:t>
      </w:r>
      <w:r>
        <w:rPr>
          <w:sz w:val="17"/>
        </w:rPr>
        <w:t>igualdad</w:t>
      </w:r>
      <w:r>
        <w:rPr>
          <w:spacing w:val="-6"/>
          <w:sz w:val="17"/>
        </w:rPr>
        <w:t xml:space="preserve"> </w:t>
      </w:r>
      <w:r>
        <w:rPr>
          <w:sz w:val="17"/>
        </w:rPr>
        <w:t>más</w:t>
      </w:r>
      <w:r>
        <w:rPr>
          <w:spacing w:val="-6"/>
          <w:sz w:val="17"/>
        </w:rPr>
        <w:t xml:space="preserve"> </w:t>
      </w:r>
      <w:r>
        <w:rPr>
          <w:sz w:val="17"/>
        </w:rPr>
        <w:t>recientes</w:t>
      </w:r>
      <w:r>
        <w:rPr>
          <w:spacing w:val="-6"/>
          <w:sz w:val="17"/>
        </w:rPr>
        <w:t xml:space="preserve"> </w:t>
      </w:r>
      <w:r>
        <w:rPr>
          <w:sz w:val="17"/>
        </w:rPr>
        <w:t>en</w:t>
      </w:r>
      <w:r>
        <w:rPr>
          <w:spacing w:val="-6"/>
          <w:sz w:val="17"/>
        </w:rPr>
        <w:t xml:space="preserve"> </w:t>
      </w:r>
      <w:r>
        <w:rPr>
          <w:sz w:val="17"/>
        </w:rPr>
        <w:t>Europa</w:t>
      </w:r>
      <w:r>
        <w:rPr>
          <w:spacing w:val="-6"/>
          <w:sz w:val="17"/>
        </w:rPr>
        <w:t xml:space="preserve"> </w:t>
      </w:r>
      <w:r>
        <w:rPr>
          <w:sz w:val="17"/>
        </w:rPr>
        <w:t>es</w:t>
      </w:r>
      <w:r>
        <w:rPr>
          <w:spacing w:val="-6"/>
          <w:sz w:val="17"/>
        </w:rPr>
        <w:t xml:space="preserve"> </w:t>
      </w:r>
      <w:r>
        <w:rPr>
          <w:sz w:val="17"/>
        </w:rPr>
        <w:t>la</w:t>
      </w:r>
      <w:r>
        <w:rPr>
          <w:spacing w:val="-6"/>
          <w:sz w:val="17"/>
        </w:rPr>
        <w:t xml:space="preserve"> </w:t>
      </w:r>
      <w:r>
        <w:rPr>
          <w:sz w:val="17"/>
        </w:rPr>
        <w:t>Ley</w:t>
      </w:r>
      <w:r>
        <w:rPr>
          <w:spacing w:val="-6"/>
          <w:sz w:val="17"/>
        </w:rPr>
        <w:t xml:space="preserve"> </w:t>
      </w:r>
      <w:r>
        <w:rPr>
          <w:sz w:val="17"/>
        </w:rPr>
        <w:t>de</w:t>
      </w:r>
      <w:r>
        <w:rPr>
          <w:spacing w:val="-6"/>
          <w:sz w:val="17"/>
        </w:rPr>
        <w:t xml:space="preserve"> </w:t>
      </w:r>
      <w:r>
        <w:rPr>
          <w:sz w:val="17"/>
        </w:rPr>
        <w:t>Prevención</w:t>
      </w:r>
      <w:r>
        <w:rPr>
          <w:spacing w:val="-6"/>
          <w:sz w:val="17"/>
        </w:rPr>
        <w:t xml:space="preserve"> </w:t>
      </w:r>
      <w:r>
        <w:rPr>
          <w:sz w:val="17"/>
        </w:rPr>
        <w:t>y</w:t>
      </w:r>
      <w:r>
        <w:rPr>
          <w:spacing w:val="-6"/>
          <w:sz w:val="17"/>
        </w:rPr>
        <w:t xml:space="preserve"> </w:t>
      </w:r>
      <w:r>
        <w:rPr>
          <w:sz w:val="17"/>
        </w:rPr>
        <w:t>Protección</w:t>
      </w:r>
      <w:r>
        <w:rPr>
          <w:spacing w:val="-6"/>
          <w:sz w:val="17"/>
        </w:rPr>
        <w:t xml:space="preserve"> </w:t>
      </w:r>
      <w:r>
        <w:rPr>
          <w:sz w:val="17"/>
        </w:rPr>
        <w:t>contra</w:t>
      </w:r>
      <w:r>
        <w:rPr>
          <w:spacing w:val="-6"/>
          <w:sz w:val="17"/>
        </w:rPr>
        <w:t xml:space="preserve"> </w:t>
      </w:r>
      <w:r>
        <w:rPr>
          <w:sz w:val="17"/>
        </w:rPr>
        <w:t>la</w:t>
      </w:r>
      <w:r>
        <w:rPr>
          <w:spacing w:val="-6"/>
          <w:sz w:val="17"/>
        </w:rPr>
        <w:t xml:space="preserve"> </w:t>
      </w:r>
      <w:r>
        <w:rPr>
          <w:sz w:val="17"/>
        </w:rPr>
        <w:t>Discriminación promulgada</w:t>
      </w:r>
      <w:r>
        <w:rPr>
          <w:spacing w:val="-6"/>
          <w:sz w:val="17"/>
        </w:rPr>
        <w:t xml:space="preserve"> </w:t>
      </w:r>
      <w:r>
        <w:rPr>
          <w:sz w:val="17"/>
        </w:rPr>
        <w:t>en</w:t>
      </w:r>
      <w:r>
        <w:rPr>
          <w:spacing w:val="-6"/>
          <w:sz w:val="17"/>
        </w:rPr>
        <w:t xml:space="preserve"> </w:t>
      </w:r>
      <w:r>
        <w:rPr>
          <w:sz w:val="17"/>
        </w:rPr>
        <w:t>mayo</w:t>
      </w:r>
      <w:r>
        <w:rPr>
          <w:spacing w:val="-6"/>
          <w:sz w:val="17"/>
        </w:rPr>
        <w:t xml:space="preserve"> </w:t>
      </w:r>
      <w:r>
        <w:rPr>
          <w:sz w:val="17"/>
        </w:rPr>
        <w:t>de</w:t>
      </w:r>
      <w:r>
        <w:rPr>
          <w:spacing w:val="-6"/>
          <w:sz w:val="17"/>
        </w:rPr>
        <w:t xml:space="preserve"> </w:t>
      </w:r>
      <w:r>
        <w:rPr>
          <w:sz w:val="17"/>
        </w:rPr>
        <w:t>2019</w:t>
      </w:r>
      <w:r>
        <w:rPr>
          <w:spacing w:val="-6"/>
          <w:sz w:val="17"/>
        </w:rPr>
        <w:t xml:space="preserve"> </w:t>
      </w:r>
      <w:r>
        <w:rPr>
          <w:sz w:val="17"/>
        </w:rPr>
        <w:t>por</w:t>
      </w:r>
      <w:r>
        <w:rPr>
          <w:spacing w:val="-6"/>
          <w:sz w:val="17"/>
        </w:rPr>
        <w:t xml:space="preserve"> </w:t>
      </w:r>
      <w:r>
        <w:rPr>
          <w:sz w:val="17"/>
        </w:rPr>
        <w:t>Macedonia</w:t>
      </w:r>
      <w:r>
        <w:rPr>
          <w:spacing w:val="-6"/>
          <w:sz w:val="17"/>
        </w:rPr>
        <w:t xml:space="preserve"> </w:t>
      </w:r>
      <w:r>
        <w:rPr>
          <w:sz w:val="17"/>
        </w:rPr>
        <w:t>del</w:t>
      </w:r>
      <w:r>
        <w:rPr>
          <w:spacing w:val="-6"/>
          <w:sz w:val="17"/>
        </w:rPr>
        <w:t xml:space="preserve"> </w:t>
      </w:r>
      <w:r>
        <w:rPr>
          <w:sz w:val="17"/>
        </w:rPr>
        <w:t>Norte;</w:t>
      </w:r>
      <w:r>
        <w:rPr>
          <w:spacing w:val="-6"/>
          <w:sz w:val="17"/>
        </w:rPr>
        <w:t xml:space="preserve"> </w:t>
      </w:r>
      <w:r>
        <w:rPr>
          <w:sz w:val="17"/>
        </w:rPr>
        <w:t>reemplazó</w:t>
      </w:r>
      <w:r>
        <w:rPr>
          <w:spacing w:val="-6"/>
          <w:sz w:val="17"/>
        </w:rPr>
        <w:t xml:space="preserve"> </w:t>
      </w:r>
      <w:r>
        <w:rPr>
          <w:sz w:val="17"/>
        </w:rPr>
        <w:t>la</w:t>
      </w:r>
      <w:r>
        <w:rPr>
          <w:spacing w:val="-6"/>
          <w:sz w:val="17"/>
        </w:rPr>
        <w:t xml:space="preserve"> </w:t>
      </w:r>
      <w:r>
        <w:rPr>
          <w:sz w:val="17"/>
        </w:rPr>
        <w:t>legislación</w:t>
      </w:r>
      <w:r>
        <w:rPr>
          <w:spacing w:val="-6"/>
          <w:sz w:val="17"/>
        </w:rPr>
        <w:t xml:space="preserve"> </w:t>
      </w:r>
      <w:r>
        <w:rPr>
          <w:sz w:val="17"/>
        </w:rPr>
        <w:t>anterior.</w:t>
      </w:r>
      <w:r>
        <w:rPr>
          <w:spacing w:val="-5"/>
          <w:sz w:val="17"/>
        </w:rPr>
        <w:t xml:space="preserve"> </w:t>
      </w:r>
      <w:r>
        <w:rPr>
          <w:sz w:val="17"/>
        </w:rPr>
        <w:t>El</w:t>
      </w:r>
      <w:r>
        <w:rPr>
          <w:spacing w:val="-6"/>
          <w:sz w:val="17"/>
        </w:rPr>
        <w:t xml:space="preserve"> </w:t>
      </w:r>
      <w:r>
        <w:rPr>
          <w:sz w:val="17"/>
        </w:rPr>
        <w:t>14</w:t>
      </w:r>
      <w:r>
        <w:rPr>
          <w:spacing w:val="-6"/>
          <w:sz w:val="17"/>
        </w:rPr>
        <w:t xml:space="preserve"> </w:t>
      </w:r>
      <w:r>
        <w:rPr>
          <w:sz w:val="17"/>
        </w:rPr>
        <w:t>de</w:t>
      </w:r>
      <w:r>
        <w:rPr>
          <w:spacing w:val="-6"/>
          <w:sz w:val="17"/>
        </w:rPr>
        <w:t xml:space="preserve"> </w:t>
      </w:r>
      <w:r>
        <w:rPr>
          <w:sz w:val="17"/>
        </w:rPr>
        <w:t>mayo</w:t>
      </w:r>
      <w:r>
        <w:rPr>
          <w:spacing w:val="-6"/>
          <w:sz w:val="17"/>
        </w:rPr>
        <w:t xml:space="preserve"> </w:t>
      </w:r>
      <w:r>
        <w:rPr>
          <w:sz w:val="17"/>
        </w:rPr>
        <w:t>de</w:t>
      </w:r>
      <w:r>
        <w:rPr>
          <w:spacing w:val="-6"/>
          <w:sz w:val="17"/>
        </w:rPr>
        <w:t xml:space="preserve"> </w:t>
      </w:r>
      <w:r>
        <w:rPr>
          <w:sz w:val="17"/>
        </w:rPr>
        <w:t>2020, aproximadamente un año después de su entrada en vigor, la Ley fue anulada por el Tribunal Constitucional por razones</w:t>
      </w:r>
      <w:r>
        <w:rPr>
          <w:spacing w:val="-4"/>
          <w:sz w:val="17"/>
        </w:rPr>
        <w:t xml:space="preserve"> </w:t>
      </w:r>
      <w:r>
        <w:rPr>
          <w:sz w:val="17"/>
        </w:rPr>
        <w:t>de</w:t>
      </w:r>
      <w:r>
        <w:rPr>
          <w:spacing w:val="-4"/>
          <w:sz w:val="17"/>
        </w:rPr>
        <w:t xml:space="preserve"> </w:t>
      </w:r>
      <w:r>
        <w:rPr>
          <w:sz w:val="17"/>
        </w:rPr>
        <w:t>procedimiento,</w:t>
      </w:r>
      <w:r>
        <w:rPr>
          <w:spacing w:val="-3"/>
          <w:sz w:val="17"/>
        </w:rPr>
        <w:t xml:space="preserve"> </w:t>
      </w:r>
      <w:r>
        <w:rPr>
          <w:sz w:val="17"/>
        </w:rPr>
        <w:t>ya</w:t>
      </w:r>
      <w:r>
        <w:rPr>
          <w:spacing w:val="-4"/>
          <w:sz w:val="17"/>
        </w:rPr>
        <w:t xml:space="preserve"> </w:t>
      </w:r>
      <w:r>
        <w:rPr>
          <w:sz w:val="17"/>
        </w:rPr>
        <w:t>que</w:t>
      </w:r>
      <w:r>
        <w:rPr>
          <w:spacing w:val="-4"/>
          <w:sz w:val="17"/>
        </w:rPr>
        <w:t xml:space="preserve"> </w:t>
      </w:r>
      <w:r>
        <w:rPr>
          <w:sz w:val="17"/>
        </w:rPr>
        <w:t>había</w:t>
      </w:r>
      <w:r>
        <w:rPr>
          <w:spacing w:val="-4"/>
          <w:sz w:val="17"/>
        </w:rPr>
        <w:t xml:space="preserve"> </w:t>
      </w:r>
      <w:r>
        <w:rPr>
          <w:sz w:val="17"/>
        </w:rPr>
        <w:t>sido</w:t>
      </w:r>
      <w:r>
        <w:rPr>
          <w:spacing w:val="-4"/>
          <w:sz w:val="17"/>
        </w:rPr>
        <w:t xml:space="preserve"> </w:t>
      </w:r>
      <w:r>
        <w:rPr>
          <w:sz w:val="17"/>
        </w:rPr>
        <w:t>adoptada</w:t>
      </w:r>
      <w:r>
        <w:rPr>
          <w:spacing w:val="-4"/>
          <w:sz w:val="17"/>
        </w:rPr>
        <w:t xml:space="preserve"> </w:t>
      </w:r>
      <w:r>
        <w:rPr>
          <w:sz w:val="17"/>
        </w:rPr>
        <w:t>sin</w:t>
      </w:r>
      <w:r>
        <w:rPr>
          <w:spacing w:val="-4"/>
          <w:sz w:val="17"/>
        </w:rPr>
        <w:t xml:space="preserve"> </w:t>
      </w:r>
      <w:r>
        <w:rPr>
          <w:sz w:val="17"/>
        </w:rPr>
        <w:t>la</w:t>
      </w:r>
      <w:r>
        <w:rPr>
          <w:spacing w:val="-4"/>
          <w:sz w:val="17"/>
        </w:rPr>
        <w:t xml:space="preserve"> </w:t>
      </w:r>
      <w:r>
        <w:rPr>
          <w:sz w:val="17"/>
        </w:rPr>
        <w:t>mayoría</w:t>
      </w:r>
      <w:r>
        <w:rPr>
          <w:spacing w:val="-4"/>
          <w:sz w:val="17"/>
        </w:rPr>
        <w:t xml:space="preserve"> </w:t>
      </w:r>
      <w:r>
        <w:rPr>
          <w:sz w:val="17"/>
        </w:rPr>
        <w:t>requerida</w:t>
      </w:r>
      <w:r>
        <w:rPr>
          <w:spacing w:val="-4"/>
          <w:sz w:val="17"/>
        </w:rPr>
        <w:t xml:space="preserve"> </w:t>
      </w:r>
      <w:r>
        <w:rPr>
          <w:sz w:val="17"/>
        </w:rPr>
        <w:t>por</w:t>
      </w:r>
      <w:r>
        <w:rPr>
          <w:spacing w:val="-4"/>
          <w:sz w:val="17"/>
        </w:rPr>
        <w:t xml:space="preserve"> </w:t>
      </w:r>
      <w:r>
        <w:rPr>
          <w:sz w:val="17"/>
        </w:rPr>
        <w:t>el</w:t>
      </w:r>
      <w:r>
        <w:rPr>
          <w:spacing w:val="-4"/>
          <w:sz w:val="17"/>
        </w:rPr>
        <w:t xml:space="preserve"> </w:t>
      </w:r>
      <w:r>
        <w:rPr>
          <w:sz w:val="17"/>
        </w:rPr>
        <w:t>artículo</w:t>
      </w:r>
      <w:r>
        <w:rPr>
          <w:spacing w:val="-4"/>
          <w:sz w:val="17"/>
        </w:rPr>
        <w:t xml:space="preserve"> </w:t>
      </w:r>
      <w:r>
        <w:rPr>
          <w:sz w:val="17"/>
        </w:rPr>
        <w:t>75</w:t>
      </w:r>
      <w:r>
        <w:rPr>
          <w:spacing w:val="-4"/>
          <w:sz w:val="17"/>
        </w:rPr>
        <w:t xml:space="preserve"> </w:t>
      </w:r>
      <w:r>
        <w:rPr>
          <w:sz w:val="17"/>
        </w:rPr>
        <w:t>de</w:t>
      </w:r>
      <w:r>
        <w:rPr>
          <w:spacing w:val="-4"/>
          <w:sz w:val="17"/>
        </w:rPr>
        <w:t xml:space="preserve"> </w:t>
      </w:r>
      <w:r>
        <w:rPr>
          <w:sz w:val="17"/>
        </w:rPr>
        <w:t>la</w:t>
      </w:r>
      <w:r>
        <w:rPr>
          <w:spacing w:val="-4"/>
          <w:sz w:val="17"/>
        </w:rPr>
        <w:t xml:space="preserve"> </w:t>
      </w:r>
      <w:r>
        <w:rPr>
          <w:sz w:val="17"/>
        </w:rPr>
        <w:t>Constitución. El 27 de octubre de 2020, el Parlamento volvió a adoptar la Ley, que entró en vigor tres días después, tras su</w:t>
      </w:r>
    </w:p>
    <w:p w14:paraId="6CD2E0C9" w14:textId="77777777" w:rsidR="0014798C" w:rsidRDefault="0014798C">
      <w:pPr>
        <w:spacing w:line="307" w:lineRule="auto"/>
        <w:rPr>
          <w:sz w:val="17"/>
        </w:rPr>
        <w:sectPr w:rsidR="0014798C" w:rsidSect="00F265E4">
          <w:pgSz w:w="11900" w:h="16820"/>
          <w:pgMar w:top="340" w:right="0" w:bottom="280" w:left="200" w:header="121" w:footer="0" w:gutter="0"/>
          <w:cols w:space="720"/>
        </w:sectPr>
      </w:pPr>
    </w:p>
    <w:p w14:paraId="71067A33" w14:textId="77777777" w:rsidR="0014798C" w:rsidRDefault="004E1F0B">
      <w:pPr>
        <w:spacing w:before="18"/>
        <w:ind w:left="1334"/>
        <w:rPr>
          <w:sz w:val="17"/>
        </w:rPr>
      </w:pPr>
      <w:r>
        <w:rPr>
          <w:sz w:val="17"/>
        </w:rPr>
        <w:t>publicación</w:t>
      </w:r>
      <w:r>
        <w:rPr>
          <w:spacing w:val="-10"/>
          <w:sz w:val="17"/>
        </w:rPr>
        <w:t xml:space="preserve"> </w:t>
      </w:r>
      <w:r>
        <w:rPr>
          <w:sz w:val="17"/>
        </w:rPr>
        <w:t>en</w:t>
      </w:r>
      <w:r>
        <w:rPr>
          <w:spacing w:val="-10"/>
          <w:sz w:val="17"/>
        </w:rPr>
        <w:t xml:space="preserve"> </w:t>
      </w:r>
      <w:r>
        <w:rPr>
          <w:sz w:val="17"/>
        </w:rPr>
        <w:t>el</w:t>
      </w:r>
      <w:r>
        <w:rPr>
          <w:spacing w:val="-10"/>
          <w:sz w:val="17"/>
        </w:rPr>
        <w:t xml:space="preserve"> </w:t>
      </w:r>
      <w:r>
        <w:rPr>
          <w:sz w:val="17"/>
        </w:rPr>
        <w:t>Boletín</w:t>
      </w:r>
      <w:r>
        <w:rPr>
          <w:spacing w:val="-10"/>
          <w:sz w:val="17"/>
        </w:rPr>
        <w:t xml:space="preserve"> </w:t>
      </w:r>
      <w:r>
        <w:rPr>
          <w:spacing w:val="-2"/>
          <w:sz w:val="17"/>
        </w:rPr>
        <w:t>Oficial.</w:t>
      </w:r>
    </w:p>
    <w:p w14:paraId="208AE80C" w14:textId="77777777" w:rsidR="0014798C" w:rsidRDefault="004E1F0B">
      <w:pPr>
        <w:spacing w:line="125" w:lineRule="exact"/>
        <w:ind w:left="1334"/>
        <w:rPr>
          <w:sz w:val="11"/>
        </w:rPr>
      </w:pPr>
      <w:r>
        <w:br w:type="column"/>
      </w:r>
      <w:r>
        <w:rPr>
          <w:spacing w:val="-5"/>
          <w:sz w:val="11"/>
        </w:rPr>
        <w:t>103</w:t>
      </w:r>
    </w:p>
    <w:p w14:paraId="0BF4CF08" w14:textId="77777777" w:rsidR="0014798C" w:rsidRDefault="0014798C">
      <w:pPr>
        <w:spacing w:line="125" w:lineRule="exact"/>
        <w:rPr>
          <w:sz w:val="11"/>
        </w:rPr>
        <w:sectPr w:rsidR="0014798C" w:rsidSect="00F265E4">
          <w:type w:val="continuous"/>
          <w:pgSz w:w="11900" w:h="16820"/>
          <w:pgMar w:top="40" w:right="0" w:bottom="280" w:left="200" w:header="121" w:footer="0" w:gutter="0"/>
          <w:cols w:num="2" w:space="720" w:equalWidth="0">
            <w:col w:w="3768" w:space="886"/>
            <w:col w:w="7046"/>
          </w:cols>
        </w:sectPr>
      </w:pPr>
    </w:p>
    <w:p w14:paraId="49B72200" w14:textId="77777777" w:rsidR="0014798C" w:rsidRDefault="004E1F0B">
      <w:pPr>
        <w:spacing w:before="166" w:line="307" w:lineRule="auto"/>
        <w:ind w:left="1332" w:right="1463"/>
        <w:rPr>
          <w:sz w:val="17"/>
        </w:rPr>
      </w:pPr>
      <w:r>
        <w:rPr>
          <w:sz w:val="17"/>
        </w:rPr>
        <w:t>El artículo 3 establece el alcance material de la Ley, que se aplica a “todas las personas físicas y jurídicas”, en una lista</w:t>
      </w:r>
      <w:r>
        <w:rPr>
          <w:spacing w:val="-5"/>
          <w:sz w:val="17"/>
        </w:rPr>
        <w:t xml:space="preserve"> </w:t>
      </w:r>
      <w:r>
        <w:rPr>
          <w:sz w:val="17"/>
        </w:rPr>
        <w:t>no</w:t>
      </w:r>
      <w:r>
        <w:rPr>
          <w:spacing w:val="-5"/>
          <w:sz w:val="17"/>
        </w:rPr>
        <w:t xml:space="preserve"> </w:t>
      </w:r>
      <w:r>
        <w:rPr>
          <w:sz w:val="17"/>
        </w:rPr>
        <w:t>exhaustiva</w:t>
      </w:r>
      <w:r>
        <w:rPr>
          <w:spacing w:val="-5"/>
          <w:sz w:val="17"/>
        </w:rPr>
        <w:t xml:space="preserve"> </w:t>
      </w:r>
      <w:r>
        <w:rPr>
          <w:sz w:val="17"/>
        </w:rPr>
        <w:t>de</w:t>
      </w:r>
      <w:r>
        <w:rPr>
          <w:spacing w:val="-5"/>
          <w:sz w:val="17"/>
        </w:rPr>
        <w:t xml:space="preserve"> </w:t>
      </w:r>
      <w:r>
        <w:rPr>
          <w:sz w:val="17"/>
        </w:rPr>
        <w:t>ámbitos</w:t>
      </w:r>
      <w:r>
        <w:rPr>
          <w:spacing w:val="-5"/>
          <w:sz w:val="17"/>
        </w:rPr>
        <w:t xml:space="preserve"> </w:t>
      </w:r>
      <w:r>
        <w:rPr>
          <w:sz w:val="17"/>
        </w:rPr>
        <w:t>de</w:t>
      </w:r>
      <w:r>
        <w:rPr>
          <w:spacing w:val="-5"/>
          <w:sz w:val="17"/>
        </w:rPr>
        <w:t xml:space="preserve"> </w:t>
      </w:r>
      <w:r>
        <w:rPr>
          <w:sz w:val="17"/>
        </w:rPr>
        <w:t>la</w:t>
      </w:r>
      <w:r>
        <w:rPr>
          <w:spacing w:val="-5"/>
          <w:sz w:val="17"/>
        </w:rPr>
        <w:t xml:space="preserve"> </w:t>
      </w:r>
      <w:r>
        <w:rPr>
          <w:sz w:val="17"/>
        </w:rPr>
        <w:t>vida.</w:t>
      </w:r>
      <w:r>
        <w:rPr>
          <w:spacing w:val="-5"/>
          <w:sz w:val="17"/>
        </w:rPr>
        <w:t xml:space="preserve"> </w:t>
      </w:r>
      <w:r>
        <w:rPr>
          <w:sz w:val="17"/>
        </w:rPr>
        <w:t>Según</w:t>
      </w:r>
      <w:r>
        <w:rPr>
          <w:spacing w:val="-5"/>
          <w:sz w:val="17"/>
        </w:rPr>
        <w:t xml:space="preserve"> </w:t>
      </w:r>
      <w:r>
        <w:rPr>
          <w:sz w:val="17"/>
        </w:rPr>
        <w:t>el</w:t>
      </w:r>
      <w:r>
        <w:rPr>
          <w:spacing w:val="-5"/>
          <w:sz w:val="17"/>
        </w:rPr>
        <w:t xml:space="preserve"> </w:t>
      </w:r>
      <w:r>
        <w:rPr>
          <w:sz w:val="17"/>
        </w:rPr>
        <w:t>artículo</w:t>
      </w:r>
      <w:r>
        <w:rPr>
          <w:spacing w:val="-5"/>
          <w:sz w:val="17"/>
        </w:rPr>
        <w:t xml:space="preserve"> </w:t>
      </w:r>
      <w:r>
        <w:rPr>
          <w:sz w:val="17"/>
        </w:rPr>
        <w:t>3,</w:t>
      </w:r>
      <w:r>
        <w:rPr>
          <w:spacing w:val="-5"/>
          <w:sz w:val="17"/>
        </w:rPr>
        <w:t xml:space="preserve"> </w:t>
      </w:r>
      <w:r>
        <w:rPr>
          <w:sz w:val="17"/>
        </w:rPr>
        <w:t>párrafos</w:t>
      </w:r>
      <w:r>
        <w:rPr>
          <w:spacing w:val="-5"/>
          <w:sz w:val="17"/>
        </w:rPr>
        <w:t xml:space="preserve"> </w:t>
      </w:r>
      <w:r>
        <w:rPr>
          <w:sz w:val="17"/>
        </w:rPr>
        <w:t>2</w:t>
      </w:r>
      <w:r>
        <w:rPr>
          <w:spacing w:val="-5"/>
          <w:sz w:val="17"/>
        </w:rPr>
        <w:t xml:space="preserve"> </w:t>
      </w:r>
      <w:r>
        <w:rPr>
          <w:sz w:val="17"/>
        </w:rPr>
        <w:t>y</w:t>
      </w:r>
      <w:r>
        <w:rPr>
          <w:spacing w:val="-5"/>
          <w:sz w:val="17"/>
        </w:rPr>
        <w:t xml:space="preserve"> </w:t>
      </w:r>
      <w:r>
        <w:rPr>
          <w:sz w:val="17"/>
        </w:rPr>
        <w:t>3,</w:t>
      </w:r>
      <w:r>
        <w:rPr>
          <w:spacing w:val="-5"/>
          <w:sz w:val="17"/>
        </w:rPr>
        <w:t xml:space="preserve"> </w:t>
      </w:r>
      <w:r>
        <w:rPr>
          <w:sz w:val="17"/>
        </w:rPr>
        <w:t>todas</w:t>
      </w:r>
      <w:r>
        <w:rPr>
          <w:spacing w:val="-5"/>
          <w:sz w:val="17"/>
        </w:rPr>
        <w:t xml:space="preserve"> </w:t>
      </w:r>
      <w:r>
        <w:rPr>
          <w:sz w:val="17"/>
        </w:rPr>
        <w:t>las</w:t>
      </w:r>
      <w:r>
        <w:rPr>
          <w:spacing w:val="-5"/>
          <w:sz w:val="17"/>
        </w:rPr>
        <w:t xml:space="preserve"> </w:t>
      </w:r>
      <w:r>
        <w:rPr>
          <w:sz w:val="17"/>
        </w:rPr>
        <w:t>“autoridades</w:t>
      </w:r>
      <w:r>
        <w:rPr>
          <w:spacing w:val="-5"/>
          <w:sz w:val="17"/>
        </w:rPr>
        <w:t xml:space="preserve"> </w:t>
      </w:r>
      <w:r>
        <w:rPr>
          <w:sz w:val="17"/>
        </w:rPr>
        <w:t>estatales,</w:t>
      </w:r>
      <w:r>
        <w:rPr>
          <w:spacing w:val="-4"/>
          <w:sz w:val="17"/>
        </w:rPr>
        <w:t xml:space="preserve"> </w:t>
      </w:r>
      <w:r>
        <w:rPr>
          <w:sz w:val="17"/>
        </w:rPr>
        <w:t>órganos de</w:t>
      </w:r>
      <w:r>
        <w:rPr>
          <w:spacing w:val="-5"/>
          <w:sz w:val="17"/>
        </w:rPr>
        <w:t xml:space="preserve"> </w:t>
      </w:r>
      <w:r>
        <w:rPr>
          <w:sz w:val="17"/>
        </w:rPr>
        <w:t>autogobierno</w:t>
      </w:r>
      <w:r>
        <w:rPr>
          <w:spacing w:val="-5"/>
          <w:sz w:val="17"/>
        </w:rPr>
        <w:t xml:space="preserve"> </w:t>
      </w:r>
      <w:r>
        <w:rPr>
          <w:sz w:val="17"/>
        </w:rPr>
        <w:t>local,</w:t>
      </w:r>
      <w:r>
        <w:rPr>
          <w:spacing w:val="-4"/>
          <w:sz w:val="17"/>
        </w:rPr>
        <w:t xml:space="preserve"> </w:t>
      </w:r>
      <w:r>
        <w:rPr>
          <w:sz w:val="17"/>
        </w:rPr>
        <w:t>entidades</w:t>
      </w:r>
      <w:r>
        <w:rPr>
          <w:spacing w:val="-5"/>
          <w:sz w:val="17"/>
        </w:rPr>
        <w:t xml:space="preserve"> </w:t>
      </w:r>
      <w:r>
        <w:rPr>
          <w:sz w:val="17"/>
        </w:rPr>
        <w:t>jurídicas</w:t>
      </w:r>
      <w:r>
        <w:rPr>
          <w:spacing w:val="-5"/>
          <w:sz w:val="17"/>
        </w:rPr>
        <w:t xml:space="preserve"> </w:t>
      </w:r>
      <w:r>
        <w:rPr>
          <w:sz w:val="17"/>
        </w:rPr>
        <w:t>con</w:t>
      </w:r>
      <w:r>
        <w:rPr>
          <w:spacing w:val="-5"/>
          <w:sz w:val="17"/>
        </w:rPr>
        <w:t xml:space="preserve"> </w:t>
      </w:r>
      <w:r>
        <w:rPr>
          <w:sz w:val="17"/>
        </w:rPr>
        <w:t>autoridades</w:t>
      </w:r>
      <w:r>
        <w:rPr>
          <w:spacing w:val="-5"/>
          <w:sz w:val="17"/>
        </w:rPr>
        <w:t xml:space="preserve"> </w:t>
      </w:r>
      <w:r>
        <w:rPr>
          <w:sz w:val="17"/>
        </w:rPr>
        <w:t>públicas</w:t>
      </w:r>
      <w:r>
        <w:rPr>
          <w:spacing w:val="-5"/>
          <w:sz w:val="17"/>
        </w:rPr>
        <w:t xml:space="preserve"> </w:t>
      </w:r>
      <w:r>
        <w:rPr>
          <w:sz w:val="17"/>
        </w:rPr>
        <w:t>y</w:t>
      </w:r>
      <w:r>
        <w:rPr>
          <w:spacing w:val="-5"/>
          <w:sz w:val="17"/>
        </w:rPr>
        <w:t xml:space="preserve"> </w:t>
      </w:r>
      <w:r>
        <w:rPr>
          <w:sz w:val="17"/>
        </w:rPr>
        <w:t>todas</w:t>
      </w:r>
      <w:r>
        <w:rPr>
          <w:spacing w:val="-5"/>
          <w:sz w:val="17"/>
        </w:rPr>
        <w:t xml:space="preserve"> </w:t>
      </w:r>
      <w:r>
        <w:rPr>
          <w:sz w:val="17"/>
        </w:rPr>
        <w:t>las</w:t>
      </w:r>
      <w:r>
        <w:rPr>
          <w:spacing w:val="-5"/>
          <w:sz w:val="17"/>
        </w:rPr>
        <w:t xml:space="preserve"> </w:t>
      </w:r>
      <w:r>
        <w:rPr>
          <w:sz w:val="17"/>
        </w:rPr>
        <w:t>demás</w:t>
      </w:r>
      <w:r>
        <w:rPr>
          <w:spacing w:val="-5"/>
          <w:sz w:val="17"/>
        </w:rPr>
        <w:t xml:space="preserve"> </w:t>
      </w:r>
      <w:r>
        <w:rPr>
          <w:sz w:val="17"/>
        </w:rPr>
        <w:t>entidades</w:t>
      </w:r>
      <w:r>
        <w:rPr>
          <w:spacing w:val="-5"/>
          <w:sz w:val="17"/>
        </w:rPr>
        <w:t xml:space="preserve"> </w:t>
      </w:r>
      <w:r>
        <w:rPr>
          <w:sz w:val="17"/>
        </w:rPr>
        <w:t>jurídicas</w:t>
      </w:r>
      <w:r>
        <w:rPr>
          <w:spacing w:val="-5"/>
          <w:sz w:val="17"/>
        </w:rPr>
        <w:t xml:space="preserve"> </w:t>
      </w:r>
      <w:r>
        <w:rPr>
          <w:sz w:val="17"/>
        </w:rPr>
        <w:t>y</w:t>
      </w:r>
      <w:r>
        <w:rPr>
          <w:spacing w:val="-5"/>
          <w:sz w:val="17"/>
        </w:rPr>
        <w:t xml:space="preserve"> </w:t>
      </w:r>
      <w:r>
        <w:rPr>
          <w:sz w:val="17"/>
        </w:rPr>
        <w:t>naturales” tienen la obligación de “adoptar medidas o acciones para [el] promoción y avance de la igualdad y prevención de la discriminación”.</w:t>
      </w:r>
      <w:r>
        <w:rPr>
          <w:spacing w:val="-1"/>
          <w:sz w:val="17"/>
        </w:rPr>
        <w:t xml:space="preserve"> </w:t>
      </w:r>
      <w:r>
        <w:rPr>
          <w:sz w:val="17"/>
        </w:rPr>
        <w:t>El</w:t>
      </w:r>
      <w:r>
        <w:rPr>
          <w:spacing w:val="-3"/>
          <w:sz w:val="17"/>
        </w:rPr>
        <w:t xml:space="preserve"> </w:t>
      </w:r>
      <w:r>
        <w:rPr>
          <w:sz w:val="17"/>
        </w:rPr>
        <w:t>artículo</w:t>
      </w:r>
      <w:r>
        <w:rPr>
          <w:spacing w:val="-3"/>
          <w:sz w:val="17"/>
        </w:rPr>
        <w:t xml:space="preserve"> </w:t>
      </w:r>
      <w:r>
        <w:rPr>
          <w:sz w:val="17"/>
        </w:rPr>
        <w:t>3</w:t>
      </w:r>
      <w:r>
        <w:rPr>
          <w:spacing w:val="-3"/>
          <w:sz w:val="17"/>
        </w:rPr>
        <w:t xml:space="preserve"> </w:t>
      </w:r>
      <w:r>
        <w:rPr>
          <w:sz w:val="17"/>
        </w:rPr>
        <w:t>(4)</w:t>
      </w:r>
      <w:r>
        <w:rPr>
          <w:spacing w:val="-3"/>
          <w:sz w:val="17"/>
        </w:rPr>
        <w:t xml:space="preserve"> </w:t>
      </w:r>
      <w:r>
        <w:rPr>
          <w:sz w:val="17"/>
        </w:rPr>
        <w:t>de</w:t>
      </w:r>
      <w:r>
        <w:rPr>
          <w:spacing w:val="-3"/>
          <w:sz w:val="17"/>
        </w:rPr>
        <w:t xml:space="preserve"> </w:t>
      </w:r>
      <w:r>
        <w:rPr>
          <w:sz w:val="17"/>
        </w:rPr>
        <w:t>la</w:t>
      </w:r>
      <w:r>
        <w:rPr>
          <w:spacing w:val="-3"/>
          <w:sz w:val="17"/>
        </w:rPr>
        <w:t xml:space="preserve"> </w:t>
      </w:r>
      <w:r>
        <w:rPr>
          <w:sz w:val="17"/>
        </w:rPr>
        <w:t>Ley</w:t>
      </w:r>
      <w:r>
        <w:rPr>
          <w:spacing w:val="-3"/>
          <w:sz w:val="17"/>
        </w:rPr>
        <w:t xml:space="preserve"> </w:t>
      </w:r>
      <w:r>
        <w:rPr>
          <w:sz w:val="17"/>
        </w:rPr>
        <w:t>detalla</w:t>
      </w:r>
      <w:r>
        <w:rPr>
          <w:spacing w:val="-3"/>
          <w:sz w:val="17"/>
        </w:rPr>
        <w:t xml:space="preserve"> </w:t>
      </w:r>
      <w:r>
        <w:rPr>
          <w:sz w:val="17"/>
        </w:rPr>
        <w:t>con</w:t>
      </w:r>
      <w:r>
        <w:rPr>
          <w:spacing w:val="-3"/>
          <w:sz w:val="17"/>
        </w:rPr>
        <w:t xml:space="preserve"> </w:t>
      </w:r>
      <w:r>
        <w:rPr>
          <w:sz w:val="17"/>
        </w:rPr>
        <w:t>más</w:t>
      </w:r>
      <w:r>
        <w:rPr>
          <w:spacing w:val="-3"/>
          <w:sz w:val="17"/>
        </w:rPr>
        <w:t xml:space="preserve"> </w:t>
      </w:r>
      <w:r>
        <w:rPr>
          <w:sz w:val="17"/>
        </w:rPr>
        <w:t>detalle</w:t>
      </w:r>
      <w:r>
        <w:rPr>
          <w:spacing w:val="-3"/>
          <w:sz w:val="17"/>
        </w:rPr>
        <w:t xml:space="preserve"> </w:t>
      </w:r>
      <w:r>
        <w:rPr>
          <w:sz w:val="17"/>
        </w:rPr>
        <w:t>las</w:t>
      </w:r>
      <w:r>
        <w:rPr>
          <w:spacing w:val="-3"/>
          <w:sz w:val="17"/>
        </w:rPr>
        <w:t xml:space="preserve"> </w:t>
      </w:r>
      <w:r>
        <w:rPr>
          <w:sz w:val="17"/>
        </w:rPr>
        <w:t>obligaciones</w:t>
      </w:r>
      <w:r>
        <w:rPr>
          <w:spacing w:val="-3"/>
          <w:sz w:val="17"/>
        </w:rPr>
        <w:t xml:space="preserve"> </w:t>
      </w:r>
      <w:r>
        <w:rPr>
          <w:sz w:val="17"/>
        </w:rPr>
        <w:t>de</w:t>
      </w:r>
      <w:r>
        <w:rPr>
          <w:spacing w:val="-3"/>
          <w:sz w:val="17"/>
        </w:rPr>
        <w:t xml:space="preserve"> </w:t>
      </w:r>
      <w:r>
        <w:rPr>
          <w:sz w:val="17"/>
        </w:rPr>
        <w:t>las</w:t>
      </w:r>
      <w:r>
        <w:rPr>
          <w:spacing w:val="-3"/>
          <w:sz w:val="17"/>
        </w:rPr>
        <w:t xml:space="preserve"> </w:t>
      </w:r>
      <w:r>
        <w:rPr>
          <w:sz w:val="17"/>
        </w:rPr>
        <w:t>entidades</w:t>
      </w:r>
      <w:r>
        <w:rPr>
          <w:spacing w:val="-3"/>
          <w:sz w:val="17"/>
        </w:rPr>
        <w:t xml:space="preserve"> </w:t>
      </w:r>
      <w:r>
        <w:rPr>
          <w:sz w:val="17"/>
        </w:rPr>
        <w:t>involucradas</w:t>
      </w:r>
      <w:r>
        <w:rPr>
          <w:spacing w:val="-3"/>
          <w:sz w:val="17"/>
        </w:rPr>
        <w:t xml:space="preserve"> </w:t>
      </w:r>
      <w:r>
        <w:rPr>
          <w:sz w:val="17"/>
        </w:rPr>
        <w:t>en</w:t>
      </w:r>
      <w:r>
        <w:rPr>
          <w:spacing w:val="-3"/>
          <w:sz w:val="17"/>
        </w:rPr>
        <w:t xml:space="preserve"> </w:t>
      </w:r>
      <w:r>
        <w:rPr>
          <w:sz w:val="17"/>
        </w:rPr>
        <w:t>la recopilación y el procesamiento de datos.</w:t>
      </w:r>
    </w:p>
    <w:p w14:paraId="11A02767" w14:textId="77777777" w:rsidR="0014798C" w:rsidRDefault="004E1F0B">
      <w:pPr>
        <w:spacing w:before="110" w:line="307" w:lineRule="auto"/>
        <w:ind w:left="1334" w:right="1626" w:hanging="2"/>
        <w:rPr>
          <w:sz w:val="17"/>
        </w:rPr>
      </w:pPr>
      <w:r>
        <w:rPr>
          <w:sz w:val="17"/>
        </w:rPr>
        <w:t>El</w:t>
      </w:r>
      <w:r>
        <w:rPr>
          <w:spacing w:val="-1"/>
          <w:sz w:val="17"/>
        </w:rPr>
        <w:t xml:space="preserve"> </w:t>
      </w:r>
      <w:r>
        <w:rPr>
          <w:sz w:val="17"/>
        </w:rPr>
        <w:t>artículo</w:t>
      </w:r>
      <w:r>
        <w:rPr>
          <w:spacing w:val="-1"/>
          <w:sz w:val="17"/>
        </w:rPr>
        <w:t xml:space="preserve"> </w:t>
      </w:r>
      <w:r>
        <w:rPr>
          <w:sz w:val="17"/>
        </w:rPr>
        <w:t>4</w:t>
      </w:r>
      <w:r>
        <w:rPr>
          <w:spacing w:val="-1"/>
          <w:sz w:val="17"/>
        </w:rPr>
        <w:t xml:space="preserve"> </w:t>
      </w:r>
      <w:r>
        <w:rPr>
          <w:sz w:val="17"/>
        </w:rPr>
        <w:t>contiene</w:t>
      </w:r>
      <w:r>
        <w:rPr>
          <w:spacing w:val="-1"/>
          <w:sz w:val="17"/>
        </w:rPr>
        <w:t xml:space="preserve"> </w:t>
      </w:r>
      <w:r>
        <w:rPr>
          <w:sz w:val="17"/>
        </w:rPr>
        <w:t>un</w:t>
      </w:r>
      <w:r>
        <w:rPr>
          <w:spacing w:val="-1"/>
          <w:sz w:val="17"/>
        </w:rPr>
        <w:t xml:space="preserve"> </w:t>
      </w:r>
      <w:r>
        <w:rPr>
          <w:sz w:val="17"/>
        </w:rPr>
        <w:t>glosario</w:t>
      </w:r>
      <w:r>
        <w:rPr>
          <w:spacing w:val="-1"/>
          <w:sz w:val="17"/>
        </w:rPr>
        <w:t xml:space="preserve"> </w:t>
      </w:r>
      <w:r>
        <w:rPr>
          <w:sz w:val="17"/>
        </w:rPr>
        <w:t>de</w:t>
      </w:r>
      <w:r>
        <w:rPr>
          <w:spacing w:val="-1"/>
          <w:sz w:val="17"/>
        </w:rPr>
        <w:t xml:space="preserve"> </w:t>
      </w:r>
      <w:r>
        <w:rPr>
          <w:sz w:val="17"/>
        </w:rPr>
        <w:t>términos. Aquí,</w:t>
      </w:r>
      <w:r>
        <w:rPr>
          <w:spacing w:val="-1"/>
          <w:sz w:val="17"/>
        </w:rPr>
        <w:t xml:space="preserve"> </w:t>
      </w:r>
      <w:r>
        <w:rPr>
          <w:sz w:val="17"/>
        </w:rPr>
        <w:t>la</w:t>
      </w:r>
      <w:r>
        <w:rPr>
          <w:spacing w:val="-1"/>
          <w:sz w:val="17"/>
        </w:rPr>
        <w:t xml:space="preserve"> </w:t>
      </w:r>
      <w:r>
        <w:rPr>
          <w:sz w:val="17"/>
        </w:rPr>
        <w:t>igualdad</w:t>
      </w:r>
      <w:r>
        <w:rPr>
          <w:spacing w:val="-1"/>
          <w:sz w:val="17"/>
        </w:rPr>
        <w:t xml:space="preserve"> </w:t>
      </w:r>
      <w:r>
        <w:rPr>
          <w:sz w:val="17"/>
        </w:rPr>
        <w:t>se</w:t>
      </w:r>
      <w:r>
        <w:rPr>
          <w:spacing w:val="-1"/>
          <w:sz w:val="17"/>
        </w:rPr>
        <w:t xml:space="preserve"> </w:t>
      </w:r>
      <w:r>
        <w:rPr>
          <w:sz w:val="17"/>
        </w:rPr>
        <w:t>define</w:t>
      </w:r>
      <w:r>
        <w:rPr>
          <w:spacing w:val="-1"/>
          <w:sz w:val="17"/>
        </w:rPr>
        <w:t xml:space="preserve"> </w:t>
      </w:r>
      <w:r>
        <w:rPr>
          <w:sz w:val="17"/>
        </w:rPr>
        <w:t>como</w:t>
      </w:r>
      <w:r>
        <w:rPr>
          <w:spacing w:val="-1"/>
          <w:sz w:val="17"/>
        </w:rPr>
        <w:t xml:space="preserve"> </w:t>
      </w:r>
      <w:r>
        <w:rPr>
          <w:sz w:val="17"/>
        </w:rPr>
        <w:t>“el</w:t>
      </w:r>
      <w:r>
        <w:rPr>
          <w:spacing w:val="-1"/>
          <w:sz w:val="17"/>
        </w:rPr>
        <w:t xml:space="preserve"> </w:t>
      </w:r>
      <w:r>
        <w:rPr>
          <w:sz w:val="17"/>
        </w:rPr>
        <w:t>principio</w:t>
      </w:r>
      <w:r>
        <w:rPr>
          <w:spacing w:val="-1"/>
          <w:sz w:val="17"/>
        </w:rPr>
        <w:t xml:space="preserve"> </w:t>
      </w:r>
      <w:r>
        <w:rPr>
          <w:sz w:val="17"/>
        </w:rPr>
        <w:t>según</w:t>
      </w:r>
      <w:r>
        <w:rPr>
          <w:spacing w:val="-1"/>
          <w:sz w:val="17"/>
        </w:rPr>
        <w:t xml:space="preserve"> </w:t>
      </w:r>
      <w:r>
        <w:rPr>
          <w:sz w:val="17"/>
        </w:rPr>
        <w:t>el</w:t>
      </w:r>
      <w:r>
        <w:rPr>
          <w:spacing w:val="-1"/>
          <w:sz w:val="17"/>
        </w:rPr>
        <w:t xml:space="preserve"> </w:t>
      </w:r>
      <w:r>
        <w:rPr>
          <w:sz w:val="17"/>
        </w:rPr>
        <w:t>cual</w:t>
      </w:r>
      <w:r>
        <w:rPr>
          <w:spacing w:val="-1"/>
          <w:sz w:val="17"/>
        </w:rPr>
        <w:t xml:space="preserve"> </w:t>
      </w:r>
      <w:r>
        <w:rPr>
          <w:sz w:val="17"/>
        </w:rPr>
        <w:t>todas</w:t>
      </w:r>
      <w:r>
        <w:rPr>
          <w:spacing w:val="-1"/>
          <w:sz w:val="17"/>
        </w:rPr>
        <w:t xml:space="preserve"> </w:t>
      </w:r>
      <w:r>
        <w:rPr>
          <w:sz w:val="17"/>
        </w:rPr>
        <w:t>las personas</w:t>
      </w:r>
      <w:r>
        <w:rPr>
          <w:spacing w:val="-6"/>
          <w:sz w:val="17"/>
        </w:rPr>
        <w:t xml:space="preserve"> </w:t>
      </w:r>
      <w:r>
        <w:rPr>
          <w:sz w:val="17"/>
        </w:rPr>
        <w:t>tienen</w:t>
      </w:r>
      <w:r>
        <w:rPr>
          <w:spacing w:val="-6"/>
          <w:sz w:val="17"/>
        </w:rPr>
        <w:t xml:space="preserve"> </w:t>
      </w:r>
      <w:r>
        <w:rPr>
          <w:sz w:val="17"/>
        </w:rPr>
        <w:t>iguales</w:t>
      </w:r>
      <w:r>
        <w:rPr>
          <w:spacing w:val="-6"/>
          <w:sz w:val="17"/>
        </w:rPr>
        <w:t xml:space="preserve"> </w:t>
      </w:r>
      <w:r>
        <w:rPr>
          <w:sz w:val="17"/>
        </w:rPr>
        <w:t>derechos”.</w:t>
      </w:r>
      <w:r>
        <w:rPr>
          <w:spacing w:val="-6"/>
          <w:sz w:val="17"/>
        </w:rPr>
        <w:t xml:space="preserve"> </w:t>
      </w:r>
      <w:r>
        <w:rPr>
          <w:sz w:val="17"/>
        </w:rPr>
        <w:t>También</w:t>
      </w:r>
      <w:r>
        <w:rPr>
          <w:spacing w:val="-6"/>
          <w:sz w:val="17"/>
        </w:rPr>
        <w:t xml:space="preserve"> </w:t>
      </w:r>
      <w:r>
        <w:rPr>
          <w:sz w:val="17"/>
        </w:rPr>
        <w:t>se</w:t>
      </w:r>
      <w:r>
        <w:rPr>
          <w:spacing w:val="-6"/>
          <w:sz w:val="17"/>
        </w:rPr>
        <w:t xml:space="preserve"> </w:t>
      </w:r>
      <w:r>
        <w:rPr>
          <w:sz w:val="17"/>
        </w:rPr>
        <w:t>definen</w:t>
      </w:r>
      <w:r>
        <w:rPr>
          <w:spacing w:val="-6"/>
          <w:sz w:val="17"/>
        </w:rPr>
        <w:t xml:space="preserve"> </w:t>
      </w:r>
      <w:r>
        <w:rPr>
          <w:sz w:val="17"/>
        </w:rPr>
        <w:t>la</w:t>
      </w:r>
      <w:r>
        <w:rPr>
          <w:spacing w:val="-6"/>
          <w:sz w:val="17"/>
        </w:rPr>
        <w:t xml:space="preserve"> </w:t>
      </w:r>
      <w:r>
        <w:rPr>
          <w:sz w:val="17"/>
        </w:rPr>
        <w:t>discriminación</w:t>
      </w:r>
      <w:r>
        <w:rPr>
          <w:spacing w:val="-6"/>
          <w:sz w:val="17"/>
        </w:rPr>
        <w:t xml:space="preserve"> </w:t>
      </w:r>
      <w:r>
        <w:rPr>
          <w:sz w:val="17"/>
        </w:rPr>
        <w:t>basada</w:t>
      </w:r>
      <w:r>
        <w:rPr>
          <w:spacing w:val="-6"/>
          <w:sz w:val="17"/>
        </w:rPr>
        <w:t xml:space="preserve"> </w:t>
      </w:r>
      <w:r>
        <w:rPr>
          <w:sz w:val="17"/>
        </w:rPr>
        <w:t>en</w:t>
      </w:r>
      <w:r>
        <w:rPr>
          <w:spacing w:val="-6"/>
          <w:sz w:val="17"/>
        </w:rPr>
        <w:t xml:space="preserve"> </w:t>
      </w:r>
      <w:r>
        <w:rPr>
          <w:sz w:val="17"/>
        </w:rPr>
        <w:t>la</w:t>
      </w:r>
      <w:r>
        <w:rPr>
          <w:spacing w:val="-6"/>
          <w:sz w:val="17"/>
        </w:rPr>
        <w:t xml:space="preserve"> </w:t>
      </w:r>
      <w:r>
        <w:rPr>
          <w:sz w:val="17"/>
        </w:rPr>
        <w:t>asociación</w:t>
      </w:r>
      <w:r>
        <w:rPr>
          <w:spacing w:val="-6"/>
          <w:sz w:val="17"/>
        </w:rPr>
        <w:t xml:space="preserve"> </w:t>
      </w:r>
      <w:r>
        <w:rPr>
          <w:sz w:val="17"/>
        </w:rPr>
        <w:t>y</w:t>
      </w:r>
      <w:r>
        <w:rPr>
          <w:spacing w:val="-6"/>
          <w:sz w:val="17"/>
        </w:rPr>
        <w:t xml:space="preserve"> </w:t>
      </w:r>
      <w:r>
        <w:rPr>
          <w:sz w:val="17"/>
        </w:rPr>
        <w:t>la</w:t>
      </w:r>
      <w:r>
        <w:rPr>
          <w:spacing w:val="-6"/>
          <w:sz w:val="17"/>
        </w:rPr>
        <w:t xml:space="preserve"> </w:t>
      </w:r>
      <w:r>
        <w:rPr>
          <w:sz w:val="17"/>
        </w:rPr>
        <w:t>percepción,</w:t>
      </w:r>
      <w:r>
        <w:rPr>
          <w:spacing w:val="-6"/>
          <w:sz w:val="17"/>
        </w:rPr>
        <w:t xml:space="preserve"> </w:t>
      </w:r>
      <w:r>
        <w:rPr>
          <w:sz w:val="17"/>
        </w:rPr>
        <w:t>y la discriminación múltiple e interseccional, junto con otra terminología clave, como “adaptaciones razonables”.</w:t>
      </w:r>
    </w:p>
    <w:p w14:paraId="4814663F" w14:textId="77777777" w:rsidR="0014798C" w:rsidRDefault="004E1F0B">
      <w:pPr>
        <w:spacing w:before="112" w:line="307" w:lineRule="auto"/>
        <w:ind w:left="1334" w:right="1400" w:hanging="2"/>
        <w:rPr>
          <w:sz w:val="17"/>
        </w:rPr>
      </w:pPr>
      <w:r>
        <w:rPr>
          <w:sz w:val="17"/>
        </w:rPr>
        <w:t>El artículo 5 establece el alcance personal de la ley: prohíbe “toda discriminación por motivos de raza, color de piel, origen nacional o étnico, sexo, género, orientación sexual, identidad de género, pertenencia a un grupo marginado, idioma,</w:t>
      </w:r>
      <w:r>
        <w:rPr>
          <w:spacing w:val="-7"/>
          <w:sz w:val="17"/>
        </w:rPr>
        <w:t xml:space="preserve"> </w:t>
      </w:r>
      <w:r>
        <w:rPr>
          <w:sz w:val="17"/>
        </w:rPr>
        <w:t>nacionalidad,</w:t>
      </w:r>
      <w:r>
        <w:rPr>
          <w:spacing w:val="-7"/>
          <w:sz w:val="17"/>
        </w:rPr>
        <w:t xml:space="preserve"> </w:t>
      </w:r>
      <w:r>
        <w:rPr>
          <w:sz w:val="17"/>
        </w:rPr>
        <w:t>origen</w:t>
      </w:r>
      <w:r>
        <w:rPr>
          <w:spacing w:val="-8"/>
          <w:sz w:val="17"/>
        </w:rPr>
        <w:t xml:space="preserve"> </w:t>
      </w:r>
      <w:r>
        <w:rPr>
          <w:sz w:val="17"/>
        </w:rPr>
        <w:t>social,</w:t>
      </w:r>
      <w:r>
        <w:rPr>
          <w:spacing w:val="-7"/>
          <w:sz w:val="17"/>
        </w:rPr>
        <w:t xml:space="preserve"> </w:t>
      </w:r>
      <w:r>
        <w:rPr>
          <w:sz w:val="17"/>
        </w:rPr>
        <w:t>educación”.</w:t>
      </w:r>
      <w:r>
        <w:rPr>
          <w:spacing w:val="-8"/>
          <w:sz w:val="17"/>
        </w:rPr>
        <w:t xml:space="preserve"> </w:t>
      </w:r>
      <w:r>
        <w:rPr>
          <w:sz w:val="17"/>
        </w:rPr>
        <w:t>,</w:t>
      </w:r>
      <w:r>
        <w:rPr>
          <w:spacing w:val="-7"/>
          <w:sz w:val="17"/>
        </w:rPr>
        <w:t xml:space="preserve"> </w:t>
      </w:r>
      <w:r>
        <w:rPr>
          <w:sz w:val="17"/>
        </w:rPr>
        <w:t>religión</w:t>
      </w:r>
      <w:r>
        <w:rPr>
          <w:spacing w:val="-8"/>
          <w:sz w:val="17"/>
        </w:rPr>
        <w:t xml:space="preserve"> </w:t>
      </w:r>
      <w:r>
        <w:rPr>
          <w:sz w:val="17"/>
        </w:rPr>
        <w:t>o</w:t>
      </w:r>
      <w:r>
        <w:rPr>
          <w:spacing w:val="-8"/>
          <w:sz w:val="17"/>
        </w:rPr>
        <w:t xml:space="preserve"> </w:t>
      </w:r>
      <w:r>
        <w:rPr>
          <w:sz w:val="17"/>
        </w:rPr>
        <w:t>creencia</w:t>
      </w:r>
      <w:r>
        <w:rPr>
          <w:spacing w:val="-8"/>
          <w:sz w:val="17"/>
        </w:rPr>
        <w:t xml:space="preserve"> </w:t>
      </w:r>
      <w:r>
        <w:rPr>
          <w:sz w:val="17"/>
        </w:rPr>
        <w:t>religiosa,</w:t>
      </w:r>
      <w:r>
        <w:rPr>
          <w:spacing w:val="-7"/>
          <w:sz w:val="17"/>
        </w:rPr>
        <w:t xml:space="preserve"> </w:t>
      </w:r>
      <w:r>
        <w:rPr>
          <w:sz w:val="17"/>
        </w:rPr>
        <w:t>convicciones</w:t>
      </w:r>
      <w:r>
        <w:rPr>
          <w:spacing w:val="-8"/>
          <w:sz w:val="17"/>
        </w:rPr>
        <w:t xml:space="preserve"> </w:t>
      </w:r>
      <w:r>
        <w:rPr>
          <w:sz w:val="17"/>
        </w:rPr>
        <w:t>políticas,</w:t>
      </w:r>
      <w:r>
        <w:rPr>
          <w:spacing w:val="-7"/>
          <w:sz w:val="17"/>
        </w:rPr>
        <w:t xml:space="preserve"> </w:t>
      </w:r>
      <w:r>
        <w:rPr>
          <w:sz w:val="17"/>
        </w:rPr>
        <w:t>otras</w:t>
      </w:r>
      <w:r>
        <w:rPr>
          <w:spacing w:val="-8"/>
          <w:sz w:val="17"/>
        </w:rPr>
        <w:t xml:space="preserve"> </w:t>
      </w:r>
      <w:r>
        <w:rPr>
          <w:sz w:val="17"/>
        </w:rPr>
        <w:t>creencias, discapacidad, edad, estado familiar o civil, situación patrimonial, estado de salud, capacidad personal y condición social, o cualquier otro motivo”.</w:t>
      </w:r>
    </w:p>
    <w:p w14:paraId="51A351D5" w14:textId="77777777" w:rsidR="0014798C" w:rsidRDefault="004E1F0B">
      <w:pPr>
        <w:spacing w:before="111" w:line="307" w:lineRule="auto"/>
        <w:ind w:left="1332" w:right="1463" w:firstLine="1"/>
        <w:rPr>
          <w:sz w:val="17"/>
        </w:rPr>
      </w:pPr>
      <w:r>
        <w:rPr>
          <w:sz w:val="17"/>
        </w:rPr>
        <w:t>La discriminación se define en el artículo 6 como “toda distinción, exclusión, restricción o preferencia basada en cualquier motivo discriminatorio, ya sea que se haga o no, que tenga por objeto o tenga como resultado impedir, restringir, reconocer, disfrutar o ejercer los derechos y libertades de cualquier persona o grupo en igualdad de condiciones con los demás”. Esto incluye formas de discriminación directa e indirecta, incitación e instrucción a discriminar,</w:t>
      </w:r>
      <w:r>
        <w:rPr>
          <w:spacing w:val="-7"/>
          <w:sz w:val="17"/>
        </w:rPr>
        <w:t xml:space="preserve"> </w:t>
      </w:r>
      <w:r>
        <w:rPr>
          <w:sz w:val="17"/>
        </w:rPr>
        <w:t>acoso</w:t>
      </w:r>
      <w:r>
        <w:rPr>
          <w:spacing w:val="-7"/>
          <w:sz w:val="17"/>
        </w:rPr>
        <w:t xml:space="preserve"> </w:t>
      </w:r>
      <w:r>
        <w:rPr>
          <w:sz w:val="17"/>
        </w:rPr>
        <w:t>(incluido</w:t>
      </w:r>
      <w:r>
        <w:rPr>
          <w:spacing w:val="-7"/>
          <w:sz w:val="17"/>
        </w:rPr>
        <w:t xml:space="preserve"> </w:t>
      </w:r>
      <w:r>
        <w:rPr>
          <w:sz w:val="17"/>
        </w:rPr>
        <w:t>el</w:t>
      </w:r>
      <w:r>
        <w:rPr>
          <w:spacing w:val="-7"/>
          <w:sz w:val="17"/>
        </w:rPr>
        <w:t xml:space="preserve"> </w:t>
      </w:r>
      <w:r>
        <w:rPr>
          <w:sz w:val="17"/>
        </w:rPr>
        <w:t>acoso</w:t>
      </w:r>
      <w:r>
        <w:rPr>
          <w:spacing w:val="-7"/>
          <w:sz w:val="17"/>
        </w:rPr>
        <w:t xml:space="preserve"> </w:t>
      </w:r>
      <w:r>
        <w:rPr>
          <w:sz w:val="17"/>
        </w:rPr>
        <w:t>sexual),</w:t>
      </w:r>
      <w:r>
        <w:rPr>
          <w:spacing w:val="-7"/>
          <w:sz w:val="17"/>
        </w:rPr>
        <w:t xml:space="preserve"> </w:t>
      </w:r>
      <w:r>
        <w:rPr>
          <w:sz w:val="17"/>
        </w:rPr>
        <w:t>victimización</w:t>
      </w:r>
      <w:r>
        <w:rPr>
          <w:spacing w:val="-7"/>
          <w:sz w:val="17"/>
        </w:rPr>
        <w:t xml:space="preserve"> </w:t>
      </w:r>
      <w:r>
        <w:rPr>
          <w:sz w:val="17"/>
        </w:rPr>
        <w:t>y</w:t>
      </w:r>
      <w:r>
        <w:rPr>
          <w:spacing w:val="-7"/>
          <w:sz w:val="17"/>
        </w:rPr>
        <w:t xml:space="preserve"> </w:t>
      </w:r>
      <w:r>
        <w:rPr>
          <w:sz w:val="17"/>
        </w:rPr>
        <w:t>segregación,</w:t>
      </w:r>
      <w:r>
        <w:rPr>
          <w:spacing w:val="-7"/>
          <w:sz w:val="17"/>
        </w:rPr>
        <w:t xml:space="preserve"> </w:t>
      </w:r>
      <w:r>
        <w:rPr>
          <w:sz w:val="17"/>
        </w:rPr>
        <w:t>que</w:t>
      </w:r>
      <w:r>
        <w:rPr>
          <w:spacing w:val="-7"/>
          <w:sz w:val="17"/>
        </w:rPr>
        <w:t xml:space="preserve"> </w:t>
      </w:r>
      <w:r>
        <w:rPr>
          <w:sz w:val="17"/>
        </w:rPr>
        <w:t>se</w:t>
      </w:r>
      <w:r>
        <w:rPr>
          <w:spacing w:val="-7"/>
          <w:sz w:val="17"/>
        </w:rPr>
        <w:t xml:space="preserve"> </w:t>
      </w:r>
      <w:r>
        <w:rPr>
          <w:sz w:val="17"/>
        </w:rPr>
        <w:t>definen,</w:t>
      </w:r>
      <w:r>
        <w:rPr>
          <w:spacing w:val="-7"/>
          <w:sz w:val="17"/>
        </w:rPr>
        <w:t xml:space="preserve"> </w:t>
      </w:r>
      <w:r>
        <w:rPr>
          <w:sz w:val="17"/>
        </w:rPr>
        <w:t>respectivamente,</w:t>
      </w:r>
      <w:r>
        <w:rPr>
          <w:spacing w:val="-6"/>
          <w:sz w:val="17"/>
        </w:rPr>
        <w:t xml:space="preserve"> </w:t>
      </w:r>
      <w:r>
        <w:rPr>
          <w:sz w:val="17"/>
        </w:rPr>
        <w:t>en</w:t>
      </w:r>
      <w:r>
        <w:rPr>
          <w:spacing w:val="-7"/>
          <w:sz w:val="17"/>
        </w:rPr>
        <w:t xml:space="preserve"> </w:t>
      </w:r>
      <w:r>
        <w:rPr>
          <w:sz w:val="17"/>
        </w:rPr>
        <w:t xml:space="preserve">los artículos 8 a 12 de la Ley. También incluye, en el artículo 6, la denegación de ajustes razonables y medidas de </w:t>
      </w:r>
      <w:r>
        <w:rPr>
          <w:spacing w:val="-2"/>
          <w:sz w:val="17"/>
        </w:rPr>
        <w:t>accesibilidad.</w:t>
      </w:r>
    </w:p>
    <w:p w14:paraId="01873525" w14:textId="77777777" w:rsidR="0014798C" w:rsidRDefault="004E1F0B">
      <w:pPr>
        <w:spacing w:before="110" w:line="307" w:lineRule="auto"/>
        <w:ind w:left="1334" w:right="1272"/>
        <w:rPr>
          <w:sz w:val="17"/>
        </w:rPr>
      </w:pPr>
      <w:r>
        <w:rPr>
          <w:sz w:val="17"/>
        </w:rPr>
        <w:t>Las</w:t>
      </w:r>
      <w:r>
        <w:rPr>
          <w:spacing w:val="-6"/>
          <w:sz w:val="17"/>
        </w:rPr>
        <w:t xml:space="preserve"> </w:t>
      </w:r>
      <w:r>
        <w:rPr>
          <w:sz w:val="17"/>
        </w:rPr>
        <w:t>acciones</w:t>
      </w:r>
      <w:r>
        <w:rPr>
          <w:spacing w:val="-6"/>
          <w:sz w:val="17"/>
        </w:rPr>
        <w:t xml:space="preserve"> </w:t>
      </w:r>
      <w:r>
        <w:rPr>
          <w:sz w:val="17"/>
        </w:rPr>
        <w:t>positivas,</w:t>
      </w:r>
      <w:r>
        <w:rPr>
          <w:spacing w:val="-5"/>
          <w:sz w:val="17"/>
        </w:rPr>
        <w:t xml:space="preserve"> </w:t>
      </w:r>
      <w:r>
        <w:rPr>
          <w:sz w:val="17"/>
        </w:rPr>
        <w:t>adoptadas</w:t>
      </w:r>
      <w:r>
        <w:rPr>
          <w:spacing w:val="-6"/>
          <w:sz w:val="17"/>
        </w:rPr>
        <w:t xml:space="preserve"> </w:t>
      </w:r>
      <w:r>
        <w:rPr>
          <w:sz w:val="17"/>
        </w:rPr>
        <w:t>“con</w:t>
      </w:r>
      <w:r>
        <w:rPr>
          <w:spacing w:val="-6"/>
          <w:sz w:val="17"/>
        </w:rPr>
        <w:t xml:space="preserve"> </w:t>
      </w:r>
      <w:r>
        <w:rPr>
          <w:sz w:val="17"/>
        </w:rPr>
        <w:t>el</w:t>
      </w:r>
      <w:r>
        <w:rPr>
          <w:spacing w:val="-6"/>
          <w:sz w:val="17"/>
        </w:rPr>
        <w:t xml:space="preserve"> </w:t>
      </w:r>
      <w:r>
        <w:rPr>
          <w:sz w:val="17"/>
        </w:rPr>
        <w:t>único</w:t>
      </w:r>
      <w:r>
        <w:rPr>
          <w:spacing w:val="-6"/>
          <w:sz w:val="17"/>
        </w:rPr>
        <w:t xml:space="preserve"> </w:t>
      </w:r>
      <w:r>
        <w:rPr>
          <w:sz w:val="17"/>
        </w:rPr>
        <w:t>propósito</w:t>
      </w:r>
      <w:r>
        <w:rPr>
          <w:spacing w:val="-6"/>
          <w:sz w:val="17"/>
        </w:rPr>
        <w:t xml:space="preserve"> </w:t>
      </w:r>
      <w:r>
        <w:rPr>
          <w:sz w:val="17"/>
        </w:rPr>
        <w:t>de</w:t>
      </w:r>
      <w:r>
        <w:rPr>
          <w:spacing w:val="-6"/>
          <w:sz w:val="17"/>
        </w:rPr>
        <w:t xml:space="preserve"> </w:t>
      </w:r>
      <w:r>
        <w:rPr>
          <w:sz w:val="17"/>
        </w:rPr>
        <w:t>eliminar</w:t>
      </w:r>
      <w:r>
        <w:rPr>
          <w:spacing w:val="-6"/>
          <w:sz w:val="17"/>
        </w:rPr>
        <w:t xml:space="preserve"> </w:t>
      </w:r>
      <w:r>
        <w:rPr>
          <w:sz w:val="17"/>
        </w:rPr>
        <w:t>el</w:t>
      </w:r>
      <w:r>
        <w:rPr>
          <w:spacing w:val="-6"/>
          <w:sz w:val="17"/>
        </w:rPr>
        <w:t xml:space="preserve"> </w:t>
      </w:r>
      <w:r>
        <w:rPr>
          <w:sz w:val="17"/>
        </w:rPr>
        <w:t>disfrute</w:t>
      </w:r>
      <w:r>
        <w:rPr>
          <w:spacing w:val="-6"/>
          <w:sz w:val="17"/>
        </w:rPr>
        <w:t xml:space="preserve"> </w:t>
      </w:r>
      <w:r>
        <w:rPr>
          <w:sz w:val="17"/>
        </w:rPr>
        <w:t>desigual</w:t>
      </w:r>
      <w:r>
        <w:rPr>
          <w:spacing w:val="-6"/>
          <w:sz w:val="17"/>
        </w:rPr>
        <w:t xml:space="preserve"> </w:t>
      </w:r>
      <w:r>
        <w:rPr>
          <w:sz w:val="17"/>
        </w:rPr>
        <w:t>de</w:t>
      </w:r>
      <w:r>
        <w:rPr>
          <w:spacing w:val="-6"/>
          <w:sz w:val="17"/>
        </w:rPr>
        <w:t xml:space="preserve"> </w:t>
      </w:r>
      <w:r>
        <w:rPr>
          <w:sz w:val="17"/>
        </w:rPr>
        <w:t>los</w:t>
      </w:r>
      <w:r>
        <w:rPr>
          <w:spacing w:val="-6"/>
          <w:sz w:val="17"/>
        </w:rPr>
        <w:t xml:space="preserve"> </w:t>
      </w:r>
      <w:r>
        <w:rPr>
          <w:sz w:val="17"/>
        </w:rPr>
        <w:t>derechos</w:t>
      </w:r>
      <w:r>
        <w:rPr>
          <w:spacing w:val="-6"/>
          <w:sz w:val="17"/>
        </w:rPr>
        <w:t xml:space="preserve"> </w:t>
      </w:r>
      <w:r>
        <w:rPr>
          <w:sz w:val="17"/>
        </w:rPr>
        <w:t>y</w:t>
      </w:r>
      <w:r>
        <w:rPr>
          <w:spacing w:val="-6"/>
          <w:sz w:val="17"/>
        </w:rPr>
        <w:t xml:space="preserve"> </w:t>
      </w:r>
      <w:r>
        <w:rPr>
          <w:sz w:val="17"/>
        </w:rPr>
        <w:t>libertades humanos hasta que se logre la igualdad de facto de cualquier persona o grupo”, no se considerarán discriminatorias siempre que se cumplan los requisitos del artículo 7. Esta disposición contiene una excepción al marco de no discriminación: el trato diferenciado basado en un motivo particular puede ser permisible en situaciones en las que constituya un “requisito ocupacional genuino y determinante”, siempre que</w:t>
      </w:r>
    </w:p>
    <w:p w14:paraId="3B0E7AF9" w14:textId="77777777" w:rsidR="0014798C" w:rsidRDefault="0014798C">
      <w:pPr>
        <w:pStyle w:val="Textoindependiente"/>
        <w:rPr>
          <w:sz w:val="11"/>
        </w:rPr>
      </w:pPr>
    </w:p>
    <w:p w14:paraId="35907495" w14:textId="77777777" w:rsidR="0014798C" w:rsidRDefault="0014798C">
      <w:pPr>
        <w:pStyle w:val="Textoindependiente"/>
        <w:rPr>
          <w:sz w:val="11"/>
        </w:rPr>
      </w:pPr>
    </w:p>
    <w:p w14:paraId="01D53A12" w14:textId="77777777" w:rsidR="0014798C" w:rsidRDefault="0014798C">
      <w:pPr>
        <w:pStyle w:val="Textoindependiente"/>
        <w:rPr>
          <w:sz w:val="11"/>
        </w:rPr>
      </w:pPr>
    </w:p>
    <w:p w14:paraId="6C217205" w14:textId="77777777" w:rsidR="0014798C" w:rsidRDefault="0014798C">
      <w:pPr>
        <w:pStyle w:val="Textoindependiente"/>
        <w:spacing w:before="112"/>
        <w:rPr>
          <w:sz w:val="11"/>
        </w:rPr>
      </w:pPr>
    </w:p>
    <w:p w14:paraId="5A200D79" w14:textId="77777777" w:rsidR="0014798C" w:rsidRDefault="004E1F0B">
      <w:pPr>
        <w:ind w:left="1111"/>
        <w:rPr>
          <w:sz w:val="11"/>
        </w:rPr>
      </w:pPr>
      <w:r>
        <w:rPr>
          <w:spacing w:val="-2"/>
          <w:sz w:val="11"/>
        </w:rPr>
        <w:t>101</w:t>
      </w:r>
      <w:r>
        <w:rPr>
          <w:sz w:val="11"/>
        </w:rPr>
        <w:t xml:space="preserve"> </w:t>
      </w:r>
      <w:proofErr w:type="spellStart"/>
      <w:r>
        <w:rPr>
          <w:spacing w:val="-2"/>
          <w:sz w:val="11"/>
        </w:rPr>
        <w:t>Equal</w:t>
      </w:r>
      <w:proofErr w:type="spellEnd"/>
      <w:r>
        <w:rPr>
          <w:sz w:val="11"/>
        </w:rPr>
        <w:t xml:space="preserve"> </w:t>
      </w:r>
      <w:proofErr w:type="spellStart"/>
      <w:r>
        <w:rPr>
          <w:spacing w:val="-2"/>
          <w:sz w:val="11"/>
        </w:rPr>
        <w:t>Rights</w:t>
      </w:r>
      <w:proofErr w:type="spellEnd"/>
      <w:r>
        <w:rPr>
          <w:sz w:val="11"/>
        </w:rPr>
        <w:t xml:space="preserve"> </w:t>
      </w:r>
      <w:r>
        <w:rPr>
          <w:spacing w:val="-2"/>
          <w:sz w:val="11"/>
        </w:rPr>
        <w:t>Trust,</w:t>
      </w:r>
      <w:r>
        <w:rPr>
          <w:sz w:val="11"/>
        </w:rPr>
        <w:t xml:space="preserve"> </w:t>
      </w:r>
      <w:r>
        <w:rPr>
          <w:spacing w:val="-2"/>
          <w:sz w:val="11"/>
        </w:rPr>
        <w:t>“La</w:t>
      </w:r>
      <w:r>
        <w:rPr>
          <w:spacing w:val="1"/>
          <w:sz w:val="11"/>
        </w:rPr>
        <w:t xml:space="preserve"> </w:t>
      </w:r>
      <w:r>
        <w:rPr>
          <w:spacing w:val="-2"/>
          <w:sz w:val="11"/>
        </w:rPr>
        <w:t>República</w:t>
      </w:r>
      <w:r>
        <w:rPr>
          <w:sz w:val="11"/>
        </w:rPr>
        <w:t xml:space="preserve"> </w:t>
      </w:r>
      <w:r>
        <w:rPr>
          <w:spacing w:val="-2"/>
          <w:sz w:val="11"/>
        </w:rPr>
        <w:t>Checa</w:t>
      </w:r>
      <w:r>
        <w:rPr>
          <w:sz w:val="11"/>
        </w:rPr>
        <w:t xml:space="preserve"> </w:t>
      </w:r>
      <w:r>
        <w:rPr>
          <w:spacing w:val="-2"/>
          <w:sz w:val="11"/>
        </w:rPr>
        <w:t>se</w:t>
      </w:r>
      <w:r>
        <w:rPr>
          <w:sz w:val="11"/>
        </w:rPr>
        <w:t xml:space="preserve"> </w:t>
      </w:r>
      <w:r>
        <w:rPr>
          <w:spacing w:val="-2"/>
          <w:sz w:val="11"/>
        </w:rPr>
        <w:t>convierte</w:t>
      </w:r>
      <w:r>
        <w:rPr>
          <w:sz w:val="11"/>
        </w:rPr>
        <w:t xml:space="preserve"> </w:t>
      </w:r>
      <w:r>
        <w:rPr>
          <w:spacing w:val="-2"/>
          <w:sz w:val="11"/>
        </w:rPr>
        <w:t>en</w:t>
      </w:r>
      <w:r>
        <w:rPr>
          <w:spacing w:val="1"/>
          <w:sz w:val="11"/>
        </w:rPr>
        <w:t xml:space="preserve"> </w:t>
      </w:r>
      <w:r>
        <w:rPr>
          <w:spacing w:val="-2"/>
          <w:sz w:val="11"/>
        </w:rPr>
        <w:t>el</w:t>
      </w:r>
      <w:r>
        <w:rPr>
          <w:sz w:val="11"/>
        </w:rPr>
        <w:t xml:space="preserve"> </w:t>
      </w:r>
      <w:r>
        <w:rPr>
          <w:spacing w:val="-2"/>
          <w:sz w:val="11"/>
        </w:rPr>
        <w:t>último</w:t>
      </w:r>
      <w:r>
        <w:rPr>
          <w:sz w:val="11"/>
        </w:rPr>
        <w:t xml:space="preserve"> </w:t>
      </w:r>
      <w:r>
        <w:rPr>
          <w:spacing w:val="-2"/>
          <w:sz w:val="11"/>
        </w:rPr>
        <w:t>Estado</w:t>
      </w:r>
      <w:r>
        <w:rPr>
          <w:sz w:val="11"/>
        </w:rPr>
        <w:t xml:space="preserve"> </w:t>
      </w:r>
      <w:r>
        <w:rPr>
          <w:spacing w:val="-2"/>
          <w:sz w:val="11"/>
        </w:rPr>
        <w:t>de</w:t>
      </w:r>
      <w:r>
        <w:rPr>
          <w:sz w:val="11"/>
        </w:rPr>
        <w:t xml:space="preserve"> </w:t>
      </w:r>
      <w:r>
        <w:rPr>
          <w:spacing w:val="-2"/>
          <w:sz w:val="11"/>
        </w:rPr>
        <w:t>la</w:t>
      </w:r>
      <w:r>
        <w:rPr>
          <w:spacing w:val="1"/>
          <w:sz w:val="11"/>
        </w:rPr>
        <w:t xml:space="preserve"> </w:t>
      </w:r>
      <w:r>
        <w:rPr>
          <w:spacing w:val="-2"/>
          <w:sz w:val="11"/>
        </w:rPr>
        <w:t>UE</w:t>
      </w:r>
      <w:r>
        <w:rPr>
          <w:sz w:val="11"/>
        </w:rPr>
        <w:t xml:space="preserve"> </w:t>
      </w:r>
      <w:r>
        <w:rPr>
          <w:spacing w:val="-2"/>
          <w:sz w:val="11"/>
        </w:rPr>
        <w:t>en</w:t>
      </w:r>
      <w:r>
        <w:rPr>
          <w:sz w:val="11"/>
        </w:rPr>
        <w:t xml:space="preserve"> </w:t>
      </w:r>
      <w:r>
        <w:rPr>
          <w:spacing w:val="-2"/>
          <w:sz w:val="11"/>
        </w:rPr>
        <w:t>adoptar</w:t>
      </w:r>
      <w:r>
        <w:rPr>
          <w:sz w:val="11"/>
        </w:rPr>
        <w:t xml:space="preserve"> </w:t>
      </w:r>
      <w:r>
        <w:rPr>
          <w:spacing w:val="-2"/>
          <w:sz w:val="11"/>
        </w:rPr>
        <w:t>una</w:t>
      </w:r>
      <w:r>
        <w:rPr>
          <w:sz w:val="11"/>
        </w:rPr>
        <w:t xml:space="preserve"> </w:t>
      </w:r>
      <w:r>
        <w:rPr>
          <w:spacing w:val="-2"/>
          <w:sz w:val="11"/>
        </w:rPr>
        <w:t>ley</w:t>
      </w:r>
      <w:r>
        <w:rPr>
          <w:spacing w:val="1"/>
          <w:sz w:val="11"/>
        </w:rPr>
        <w:t xml:space="preserve"> </w:t>
      </w:r>
      <w:r>
        <w:rPr>
          <w:spacing w:val="-2"/>
          <w:sz w:val="11"/>
        </w:rPr>
        <w:t>contra</w:t>
      </w:r>
      <w:r>
        <w:rPr>
          <w:sz w:val="11"/>
        </w:rPr>
        <w:t xml:space="preserve"> </w:t>
      </w:r>
      <w:r>
        <w:rPr>
          <w:spacing w:val="-2"/>
          <w:sz w:val="11"/>
        </w:rPr>
        <w:t>la</w:t>
      </w:r>
      <w:r>
        <w:rPr>
          <w:sz w:val="11"/>
        </w:rPr>
        <w:t xml:space="preserve"> </w:t>
      </w:r>
      <w:r>
        <w:rPr>
          <w:spacing w:val="-2"/>
          <w:sz w:val="11"/>
        </w:rPr>
        <w:t>discriminación”,</w:t>
      </w:r>
      <w:r>
        <w:rPr>
          <w:spacing w:val="1"/>
          <w:sz w:val="11"/>
        </w:rPr>
        <w:t xml:space="preserve"> </w:t>
      </w:r>
      <w:r>
        <w:rPr>
          <w:spacing w:val="-2"/>
          <w:sz w:val="11"/>
        </w:rPr>
        <w:t>25</w:t>
      </w:r>
      <w:r>
        <w:rPr>
          <w:spacing w:val="1"/>
          <w:sz w:val="11"/>
        </w:rPr>
        <w:t xml:space="preserve"> </w:t>
      </w:r>
      <w:r>
        <w:rPr>
          <w:spacing w:val="-2"/>
          <w:sz w:val="11"/>
        </w:rPr>
        <w:t>de</w:t>
      </w:r>
      <w:r>
        <w:rPr>
          <w:sz w:val="11"/>
        </w:rPr>
        <w:t xml:space="preserve"> </w:t>
      </w:r>
      <w:r>
        <w:rPr>
          <w:spacing w:val="-2"/>
          <w:sz w:val="11"/>
        </w:rPr>
        <w:t>junio</w:t>
      </w:r>
      <w:r>
        <w:rPr>
          <w:sz w:val="11"/>
        </w:rPr>
        <w:t xml:space="preserve"> </w:t>
      </w:r>
      <w:r>
        <w:rPr>
          <w:spacing w:val="-2"/>
          <w:sz w:val="11"/>
        </w:rPr>
        <w:t>de</w:t>
      </w:r>
      <w:r>
        <w:rPr>
          <w:sz w:val="11"/>
        </w:rPr>
        <w:t xml:space="preserve"> </w:t>
      </w:r>
      <w:r>
        <w:rPr>
          <w:spacing w:val="-2"/>
          <w:sz w:val="11"/>
        </w:rPr>
        <w:t>2009.</w:t>
      </w:r>
    </w:p>
    <w:p w14:paraId="1AB1BBD8" w14:textId="77777777" w:rsidR="0014798C" w:rsidRDefault="0014798C">
      <w:pPr>
        <w:rPr>
          <w:sz w:val="11"/>
        </w:rPr>
        <w:sectPr w:rsidR="0014798C" w:rsidSect="00F265E4">
          <w:type w:val="continuous"/>
          <w:pgSz w:w="11900" w:h="16820"/>
          <w:pgMar w:top="40" w:right="0" w:bottom="280" w:left="200" w:header="121" w:footer="0" w:gutter="0"/>
          <w:cols w:space="720"/>
        </w:sectPr>
      </w:pPr>
    </w:p>
    <w:p w14:paraId="2F7FFBA0" w14:textId="77777777" w:rsidR="0014798C" w:rsidRDefault="004E1F0B">
      <w:pPr>
        <w:spacing w:before="56"/>
        <w:jc w:val="right"/>
        <w:rPr>
          <w:sz w:val="8"/>
        </w:rPr>
      </w:pPr>
      <w:r>
        <w:rPr>
          <w:spacing w:val="-5"/>
          <w:w w:val="105"/>
          <w:sz w:val="8"/>
        </w:rPr>
        <w:t>102</w:t>
      </w:r>
    </w:p>
    <w:p w14:paraId="5BE4FEC4" w14:textId="77777777" w:rsidR="0014798C" w:rsidRDefault="004E1F0B">
      <w:pPr>
        <w:spacing w:before="82" w:line="268" w:lineRule="auto"/>
        <w:ind w:left="74" w:right="1644" w:firstLine="4"/>
        <w:rPr>
          <w:sz w:val="14"/>
        </w:rPr>
      </w:pPr>
      <w:r>
        <w:br w:type="column"/>
      </w:r>
      <w:r>
        <w:rPr>
          <w:sz w:val="14"/>
        </w:rPr>
        <w:t>Croacia,</w:t>
      </w:r>
      <w:r>
        <w:rPr>
          <w:spacing w:val="-10"/>
          <w:sz w:val="14"/>
        </w:rPr>
        <w:t xml:space="preserve"> </w:t>
      </w:r>
      <w:r>
        <w:rPr>
          <w:sz w:val="14"/>
        </w:rPr>
        <w:t>Ley</w:t>
      </w:r>
      <w:r>
        <w:rPr>
          <w:spacing w:val="-10"/>
          <w:sz w:val="14"/>
        </w:rPr>
        <w:t xml:space="preserve"> </w:t>
      </w:r>
      <w:r>
        <w:rPr>
          <w:sz w:val="14"/>
        </w:rPr>
        <w:t>contra</w:t>
      </w:r>
      <w:r>
        <w:rPr>
          <w:spacing w:val="-10"/>
          <w:sz w:val="14"/>
        </w:rPr>
        <w:t xml:space="preserve"> </w:t>
      </w:r>
      <w:r>
        <w:rPr>
          <w:sz w:val="14"/>
        </w:rPr>
        <w:t>la</w:t>
      </w:r>
      <w:r>
        <w:rPr>
          <w:spacing w:val="-9"/>
          <w:sz w:val="14"/>
        </w:rPr>
        <w:t xml:space="preserve"> </w:t>
      </w:r>
      <w:r>
        <w:rPr>
          <w:sz w:val="14"/>
        </w:rPr>
        <w:t>discriminación,</w:t>
      </w:r>
      <w:r>
        <w:rPr>
          <w:spacing w:val="-10"/>
          <w:sz w:val="14"/>
        </w:rPr>
        <w:t xml:space="preserve"> </w:t>
      </w:r>
      <w:r>
        <w:rPr>
          <w:sz w:val="14"/>
        </w:rPr>
        <w:t>2008;</w:t>
      </w:r>
      <w:r>
        <w:rPr>
          <w:spacing w:val="-10"/>
          <w:sz w:val="14"/>
        </w:rPr>
        <w:t xml:space="preserve"> </w:t>
      </w:r>
      <w:r>
        <w:rPr>
          <w:sz w:val="14"/>
        </w:rPr>
        <w:t>Bosnia</w:t>
      </w:r>
      <w:r>
        <w:rPr>
          <w:spacing w:val="-10"/>
          <w:sz w:val="14"/>
        </w:rPr>
        <w:t xml:space="preserve"> </w:t>
      </w:r>
      <w:r>
        <w:rPr>
          <w:sz w:val="14"/>
        </w:rPr>
        <w:t>y</w:t>
      </w:r>
      <w:r>
        <w:rPr>
          <w:spacing w:val="-9"/>
          <w:sz w:val="14"/>
        </w:rPr>
        <w:t xml:space="preserve"> </w:t>
      </w:r>
      <w:r>
        <w:rPr>
          <w:sz w:val="14"/>
        </w:rPr>
        <w:t>Herzegovina,</w:t>
      </w:r>
      <w:r>
        <w:rPr>
          <w:spacing w:val="-10"/>
          <w:sz w:val="14"/>
        </w:rPr>
        <w:t xml:space="preserve"> </w:t>
      </w:r>
      <w:r>
        <w:rPr>
          <w:sz w:val="14"/>
        </w:rPr>
        <w:t>Ley</w:t>
      </w:r>
      <w:r>
        <w:rPr>
          <w:spacing w:val="-10"/>
          <w:sz w:val="14"/>
        </w:rPr>
        <w:t xml:space="preserve"> </w:t>
      </w:r>
      <w:r>
        <w:rPr>
          <w:sz w:val="14"/>
        </w:rPr>
        <w:t>de</w:t>
      </w:r>
      <w:r>
        <w:rPr>
          <w:spacing w:val="-9"/>
          <w:sz w:val="14"/>
        </w:rPr>
        <w:t xml:space="preserve"> </w:t>
      </w:r>
      <w:r>
        <w:rPr>
          <w:sz w:val="14"/>
        </w:rPr>
        <w:t>Prohibición</w:t>
      </w:r>
      <w:r>
        <w:rPr>
          <w:spacing w:val="-10"/>
          <w:sz w:val="14"/>
        </w:rPr>
        <w:t xml:space="preserve"> </w:t>
      </w:r>
      <w:r>
        <w:rPr>
          <w:sz w:val="14"/>
        </w:rPr>
        <w:t>de</w:t>
      </w:r>
      <w:r>
        <w:rPr>
          <w:spacing w:val="-10"/>
          <w:sz w:val="14"/>
        </w:rPr>
        <w:t xml:space="preserve"> </w:t>
      </w:r>
      <w:r>
        <w:rPr>
          <w:sz w:val="14"/>
        </w:rPr>
        <w:t>la</w:t>
      </w:r>
      <w:r>
        <w:rPr>
          <w:spacing w:val="-10"/>
          <w:sz w:val="14"/>
        </w:rPr>
        <w:t xml:space="preserve"> </w:t>
      </w:r>
      <w:r>
        <w:rPr>
          <w:sz w:val="14"/>
        </w:rPr>
        <w:t>Discriminación,</w:t>
      </w:r>
      <w:r>
        <w:rPr>
          <w:spacing w:val="-9"/>
          <w:sz w:val="14"/>
        </w:rPr>
        <w:t xml:space="preserve"> </w:t>
      </w:r>
      <w:r>
        <w:rPr>
          <w:sz w:val="14"/>
        </w:rPr>
        <w:t>2009;</w:t>
      </w:r>
      <w:r>
        <w:rPr>
          <w:spacing w:val="-10"/>
          <w:sz w:val="14"/>
        </w:rPr>
        <w:t xml:space="preserve"> </w:t>
      </w:r>
      <w:r>
        <w:rPr>
          <w:sz w:val="14"/>
        </w:rPr>
        <w:t>Serbia,</w:t>
      </w:r>
      <w:r>
        <w:rPr>
          <w:spacing w:val="-10"/>
          <w:sz w:val="14"/>
        </w:rPr>
        <w:t xml:space="preserve"> </w:t>
      </w:r>
      <w:r>
        <w:rPr>
          <w:sz w:val="14"/>
        </w:rPr>
        <w:t>Ley</w:t>
      </w:r>
      <w:r>
        <w:rPr>
          <w:spacing w:val="-10"/>
          <w:sz w:val="14"/>
        </w:rPr>
        <w:t xml:space="preserve"> </w:t>
      </w:r>
      <w:r>
        <w:rPr>
          <w:sz w:val="14"/>
        </w:rPr>
        <w:t>de</w:t>
      </w:r>
      <w:r>
        <w:rPr>
          <w:spacing w:val="40"/>
          <w:sz w:val="14"/>
        </w:rPr>
        <w:t xml:space="preserve"> </w:t>
      </w:r>
      <w:r>
        <w:rPr>
          <w:spacing w:val="-2"/>
          <w:sz w:val="14"/>
        </w:rPr>
        <w:t xml:space="preserve">Prohibición de la Discriminación, 2009; Albania, Ley </w:t>
      </w:r>
      <w:proofErr w:type="spellStart"/>
      <w:r>
        <w:rPr>
          <w:spacing w:val="-2"/>
          <w:sz w:val="14"/>
        </w:rPr>
        <w:t>Nº</w:t>
      </w:r>
      <w:proofErr w:type="spellEnd"/>
      <w:r>
        <w:rPr>
          <w:spacing w:val="-2"/>
          <w:sz w:val="14"/>
        </w:rPr>
        <w:t xml:space="preserve"> 10 221 de Protección contra la Discriminación, 2010; Macedonia del Norte, Ley de</w:t>
      </w:r>
      <w:r>
        <w:rPr>
          <w:spacing w:val="40"/>
          <w:sz w:val="14"/>
        </w:rPr>
        <w:t xml:space="preserve"> </w:t>
      </w:r>
      <w:r>
        <w:rPr>
          <w:sz w:val="14"/>
        </w:rPr>
        <w:t>Prevención</w:t>
      </w:r>
      <w:r>
        <w:rPr>
          <w:spacing w:val="-6"/>
          <w:sz w:val="14"/>
        </w:rPr>
        <w:t xml:space="preserve"> </w:t>
      </w:r>
      <w:r>
        <w:rPr>
          <w:sz w:val="14"/>
        </w:rPr>
        <w:t>y</w:t>
      </w:r>
      <w:r>
        <w:rPr>
          <w:spacing w:val="-6"/>
          <w:sz w:val="14"/>
        </w:rPr>
        <w:t xml:space="preserve"> </w:t>
      </w:r>
      <w:r>
        <w:rPr>
          <w:sz w:val="14"/>
        </w:rPr>
        <w:t>Protección</w:t>
      </w:r>
      <w:r>
        <w:rPr>
          <w:spacing w:val="-6"/>
          <w:sz w:val="14"/>
        </w:rPr>
        <w:t xml:space="preserve"> </w:t>
      </w:r>
      <w:r>
        <w:rPr>
          <w:sz w:val="14"/>
        </w:rPr>
        <w:t>contra</w:t>
      </w:r>
      <w:r>
        <w:rPr>
          <w:spacing w:val="-6"/>
          <w:sz w:val="14"/>
        </w:rPr>
        <w:t xml:space="preserve"> </w:t>
      </w:r>
      <w:r>
        <w:rPr>
          <w:sz w:val="14"/>
        </w:rPr>
        <w:t>la</w:t>
      </w:r>
      <w:r>
        <w:rPr>
          <w:spacing w:val="-6"/>
          <w:sz w:val="14"/>
        </w:rPr>
        <w:t xml:space="preserve"> </w:t>
      </w:r>
      <w:r>
        <w:rPr>
          <w:sz w:val="14"/>
        </w:rPr>
        <w:t>Discriminación,</w:t>
      </w:r>
      <w:r>
        <w:rPr>
          <w:spacing w:val="-4"/>
          <w:sz w:val="14"/>
        </w:rPr>
        <w:t xml:space="preserve"> </w:t>
      </w:r>
      <w:r>
        <w:rPr>
          <w:sz w:val="14"/>
        </w:rPr>
        <w:t>2010</w:t>
      </w:r>
      <w:r>
        <w:rPr>
          <w:spacing w:val="-6"/>
          <w:sz w:val="14"/>
        </w:rPr>
        <w:t xml:space="preserve"> </w:t>
      </w:r>
      <w:r>
        <w:rPr>
          <w:sz w:val="14"/>
        </w:rPr>
        <w:t>(reemplazada</w:t>
      </w:r>
      <w:r>
        <w:rPr>
          <w:spacing w:val="-6"/>
          <w:sz w:val="14"/>
        </w:rPr>
        <w:t xml:space="preserve"> </w:t>
      </w:r>
      <w:r>
        <w:rPr>
          <w:sz w:val="14"/>
        </w:rPr>
        <w:t>en</w:t>
      </w:r>
      <w:r>
        <w:rPr>
          <w:spacing w:val="-6"/>
          <w:sz w:val="14"/>
        </w:rPr>
        <w:t xml:space="preserve"> </w:t>
      </w:r>
      <w:r>
        <w:rPr>
          <w:sz w:val="14"/>
        </w:rPr>
        <w:t>octubre</w:t>
      </w:r>
      <w:r>
        <w:rPr>
          <w:spacing w:val="-6"/>
          <w:sz w:val="14"/>
        </w:rPr>
        <w:t xml:space="preserve"> </w:t>
      </w:r>
      <w:r>
        <w:rPr>
          <w:sz w:val="14"/>
        </w:rPr>
        <w:t>de</w:t>
      </w:r>
      <w:r>
        <w:rPr>
          <w:spacing w:val="-6"/>
          <w:sz w:val="14"/>
        </w:rPr>
        <w:t xml:space="preserve"> </w:t>
      </w:r>
      <w:proofErr w:type="gramStart"/>
      <w:r>
        <w:rPr>
          <w:sz w:val="14"/>
        </w:rPr>
        <w:t>2020);</w:t>
      </w:r>
      <w:proofErr w:type="gramEnd"/>
      <w:r>
        <w:rPr>
          <w:spacing w:val="-5"/>
          <w:sz w:val="14"/>
        </w:rPr>
        <w:t xml:space="preserve"> </w:t>
      </w:r>
      <w:r>
        <w:rPr>
          <w:sz w:val="14"/>
        </w:rPr>
        <w:t>República</w:t>
      </w:r>
      <w:r>
        <w:rPr>
          <w:spacing w:val="-6"/>
          <w:sz w:val="14"/>
        </w:rPr>
        <w:t xml:space="preserve"> </w:t>
      </w:r>
      <w:r>
        <w:rPr>
          <w:sz w:val="14"/>
        </w:rPr>
        <w:t>de</w:t>
      </w:r>
      <w:r>
        <w:rPr>
          <w:spacing w:val="-6"/>
          <w:sz w:val="14"/>
        </w:rPr>
        <w:t xml:space="preserve"> </w:t>
      </w:r>
      <w:r>
        <w:rPr>
          <w:sz w:val="14"/>
        </w:rPr>
        <w:t>Moldova,</w:t>
      </w:r>
      <w:r>
        <w:rPr>
          <w:spacing w:val="-5"/>
          <w:sz w:val="14"/>
        </w:rPr>
        <w:t xml:space="preserve"> </w:t>
      </w:r>
      <w:r>
        <w:rPr>
          <w:sz w:val="14"/>
        </w:rPr>
        <w:t>Ley</w:t>
      </w:r>
      <w:r>
        <w:rPr>
          <w:spacing w:val="-6"/>
          <w:sz w:val="14"/>
        </w:rPr>
        <w:t xml:space="preserve"> </w:t>
      </w:r>
      <w:r>
        <w:rPr>
          <w:sz w:val="14"/>
        </w:rPr>
        <w:t>de</w:t>
      </w:r>
      <w:r>
        <w:rPr>
          <w:spacing w:val="-6"/>
          <w:sz w:val="14"/>
        </w:rPr>
        <w:t xml:space="preserve"> </w:t>
      </w:r>
      <w:r>
        <w:rPr>
          <w:sz w:val="14"/>
        </w:rPr>
        <w:t>Igualdad,</w:t>
      </w:r>
    </w:p>
    <w:p w14:paraId="7B0E96A4" w14:textId="77777777" w:rsidR="0014798C" w:rsidRDefault="004E1F0B">
      <w:pPr>
        <w:spacing w:line="268" w:lineRule="auto"/>
        <w:ind w:left="76" w:right="1602" w:hanging="5"/>
        <w:rPr>
          <w:sz w:val="14"/>
        </w:rPr>
      </w:pPr>
      <w:r>
        <w:rPr>
          <w:sz w:val="14"/>
        </w:rPr>
        <w:t>2012;</w:t>
      </w:r>
      <w:r>
        <w:rPr>
          <w:spacing w:val="-10"/>
          <w:sz w:val="14"/>
        </w:rPr>
        <w:t xml:space="preserve"> </w:t>
      </w:r>
      <w:r>
        <w:rPr>
          <w:sz w:val="14"/>
        </w:rPr>
        <w:t>Ucrania,</w:t>
      </w:r>
      <w:r>
        <w:rPr>
          <w:spacing w:val="-10"/>
          <w:sz w:val="14"/>
        </w:rPr>
        <w:t xml:space="preserve"> </w:t>
      </w:r>
      <w:r>
        <w:rPr>
          <w:sz w:val="14"/>
        </w:rPr>
        <w:t>Ley</w:t>
      </w:r>
      <w:r>
        <w:rPr>
          <w:spacing w:val="-10"/>
          <w:sz w:val="14"/>
        </w:rPr>
        <w:t xml:space="preserve"> </w:t>
      </w:r>
      <w:r>
        <w:rPr>
          <w:sz w:val="14"/>
        </w:rPr>
        <w:t>sobre</w:t>
      </w:r>
      <w:r>
        <w:rPr>
          <w:spacing w:val="-9"/>
          <w:sz w:val="14"/>
        </w:rPr>
        <w:t xml:space="preserve"> </w:t>
      </w:r>
      <w:r>
        <w:rPr>
          <w:sz w:val="14"/>
        </w:rPr>
        <w:t>los</w:t>
      </w:r>
      <w:r>
        <w:rPr>
          <w:spacing w:val="-10"/>
          <w:sz w:val="14"/>
        </w:rPr>
        <w:t xml:space="preserve"> </w:t>
      </w:r>
      <w:r>
        <w:rPr>
          <w:sz w:val="14"/>
        </w:rPr>
        <w:t>principios</w:t>
      </w:r>
      <w:r>
        <w:rPr>
          <w:spacing w:val="-10"/>
          <w:sz w:val="14"/>
        </w:rPr>
        <w:t xml:space="preserve"> </w:t>
      </w:r>
      <w:r>
        <w:rPr>
          <w:sz w:val="14"/>
        </w:rPr>
        <w:t>de</w:t>
      </w:r>
      <w:r>
        <w:rPr>
          <w:spacing w:val="-10"/>
          <w:sz w:val="14"/>
        </w:rPr>
        <w:t xml:space="preserve"> </w:t>
      </w:r>
      <w:r>
        <w:rPr>
          <w:sz w:val="14"/>
        </w:rPr>
        <w:t>prevención</w:t>
      </w:r>
      <w:r>
        <w:rPr>
          <w:spacing w:val="-9"/>
          <w:sz w:val="14"/>
        </w:rPr>
        <w:t xml:space="preserve"> </w:t>
      </w:r>
      <w:r>
        <w:rPr>
          <w:sz w:val="14"/>
        </w:rPr>
        <w:t>y</w:t>
      </w:r>
      <w:r>
        <w:rPr>
          <w:spacing w:val="-10"/>
          <w:sz w:val="14"/>
        </w:rPr>
        <w:t xml:space="preserve"> </w:t>
      </w:r>
      <w:r>
        <w:rPr>
          <w:sz w:val="14"/>
        </w:rPr>
        <w:t>lucha</w:t>
      </w:r>
      <w:r>
        <w:rPr>
          <w:spacing w:val="-10"/>
          <w:sz w:val="14"/>
        </w:rPr>
        <w:t xml:space="preserve"> </w:t>
      </w:r>
      <w:r>
        <w:rPr>
          <w:sz w:val="14"/>
        </w:rPr>
        <w:t>contra</w:t>
      </w:r>
      <w:r>
        <w:rPr>
          <w:spacing w:val="-9"/>
          <w:sz w:val="14"/>
        </w:rPr>
        <w:t xml:space="preserve"> </w:t>
      </w:r>
      <w:r>
        <w:rPr>
          <w:sz w:val="14"/>
        </w:rPr>
        <w:t>la</w:t>
      </w:r>
      <w:r>
        <w:rPr>
          <w:spacing w:val="-10"/>
          <w:sz w:val="14"/>
        </w:rPr>
        <w:t xml:space="preserve"> </w:t>
      </w:r>
      <w:r>
        <w:rPr>
          <w:sz w:val="14"/>
        </w:rPr>
        <w:t>discriminación</w:t>
      </w:r>
      <w:r>
        <w:rPr>
          <w:spacing w:val="-10"/>
          <w:sz w:val="14"/>
        </w:rPr>
        <w:t xml:space="preserve"> </w:t>
      </w:r>
      <w:r>
        <w:rPr>
          <w:sz w:val="14"/>
        </w:rPr>
        <w:t>en</w:t>
      </w:r>
      <w:r>
        <w:rPr>
          <w:spacing w:val="-10"/>
          <w:sz w:val="14"/>
        </w:rPr>
        <w:t xml:space="preserve"> </w:t>
      </w:r>
      <w:r>
        <w:rPr>
          <w:sz w:val="14"/>
        </w:rPr>
        <w:t>Ucrania,</w:t>
      </w:r>
      <w:r>
        <w:rPr>
          <w:spacing w:val="-9"/>
          <w:sz w:val="14"/>
        </w:rPr>
        <w:t xml:space="preserve"> </w:t>
      </w:r>
      <w:r>
        <w:rPr>
          <w:sz w:val="14"/>
        </w:rPr>
        <w:t>2012;</w:t>
      </w:r>
      <w:r>
        <w:rPr>
          <w:spacing w:val="-10"/>
          <w:sz w:val="14"/>
        </w:rPr>
        <w:t xml:space="preserve"> </w:t>
      </w:r>
      <w:r>
        <w:rPr>
          <w:sz w:val="14"/>
        </w:rPr>
        <w:t>Georgia,</w:t>
      </w:r>
      <w:r>
        <w:rPr>
          <w:spacing w:val="-10"/>
          <w:sz w:val="14"/>
        </w:rPr>
        <w:t xml:space="preserve"> </w:t>
      </w:r>
      <w:r>
        <w:rPr>
          <w:sz w:val="14"/>
        </w:rPr>
        <w:t>Ley</w:t>
      </w:r>
      <w:r>
        <w:rPr>
          <w:spacing w:val="-10"/>
          <w:sz w:val="14"/>
        </w:rPr>
        <w:t xml:space="preserve"> </w:t>
      </w:r>
      <w:r>
        <w:rPr>
          <w:sz w:val="14"/>
        </w:rPr>
        <w:t>para</w:t>
      </w:r>
      <w:r>
        <w:rPr>
          <w:spacing w:val="-9"/>
          <w:sz w:val="14"/>
        </w:rPr>
        <w:t xml:space="preserve"> </w:t>
      </w:r>
      <w:r>
        <w:rPr>
          <w:sz w:val="14"/>
        </w:rPr>
        <w:t>la</w:t>
      </w:r>
      <w:r>
        <w:rPr>
          <w:spacing w:val="-10"/>
          <w:sz w:val="14"/>
        </w:rPr>
        <w:t xml:space="preserve"> </w:t>
      </w:r>
      <w:r>
        <w:rPr>
          <w:sz w:val="14"/>
        </w:rPr>
        <w:t>Eliminación</w:t>
      </w:r>
      <w:r>
        <w:rPr>
          <w:spacing w:val="-10"/>
          <w:sz w:val="14"/>
        </w:rPr>
        <w:t xml:space="preserve"> </w:t>
      </w:r>
      <w:r>
        <w:rPr>
          <w:sz w:val="14"/>
        </w:rPr>
        <w:t>de</w:t>
      </w:r>
      <w:r>
        <w:rPr>
          <w:spacing w:val="40"/>
          <w:sz w:val="14"/>
        </w:rPr>
        <w:t xml:space="preserve"> </w:t>
      </w:r>
      <w:r>
        <w:rPr>
          <w:sz w:val="14"/>
        </w:rPr>
        <w:t>Todas</w:t>
      </w:r>
      <w:r>
        <w:rPr>
          <w:spacing w:val="-4"/>
          <w:sz w:val="14"/>
        </w:rPr>
        <w:t xml:space="preserve"> </w:t>
      </w:r>
      <w:r>
        <w:rPr>
          <w:sz w:val="14"/>
        </w:rPr>
        <w:t>las</w:t>
      </w:r>
      <w:r>
        <w:rPr>
          <w:spacing w:val="-4"/>
          <w:sz w:val="14"/>
        </w:rPr>
        <w:t xml:space="preserve"> </w:t>
      </w:r>
      <w:r>
        <w:rPr>
          <w:sz w:val="14"/>
        </w:rPr>
        <w:t>Formas</w:t>
      </w:r>
      <w:r>
        <w:rPr>
          <w:spacing w:val="-4"/>
          <w:sz w:val="14"/>
        </w:rPr>
        <w:t xml:space="preserve"> </w:t>
      </w:r>
      <w:r>
        <w:rPr>
          <w:sz w:val="14"/>
        </w:rPr>
        <w:t>de</w:t>
      </w:r>
      <w:r>
        <w:rPr>
          <w:spacing w:val="-4"/>
          <w:sz w:val="14"/>
        </w:rPr>
        <w:t xml:space="preserve"> </w:t>
      </w:r>
      <w:r>
        <w:rPr>
          <w:sz w:val="14"/>
        </w:rPr>
        <w:t>Discriminación,</w:t>
      </w:r>
      <w:r>
        <w:rPr>
          <w:spacing w:val="-3"/>
          <w:sz w:val="14"/>
        </w:rPr>
        <w:t xml:space="preserve"> </w:t>
      </w:r>
      <w:r>
        <w:rPr>
          <w:sz w:val="14"/>
        </w:rPr>
        <w:t>2014;</w:t>
      </w:r>
      <w:r>
        <w:rPr>
          <w:spacing w:val="-3"/>
          <w:sz w:val="14"/>
        </w:rPr>
        <w:t xml:space="preserve"> </w:t>
      </w:r>
      <w:r>
        <w:rPr>
          <w:sz w:val="14"/>
        </w:rPr>
        <w:t>y</w:t>
      </w:r>
      <w:r>
        <w:rPr>
          <w:spacing w:val="-4"/>
          <w:sz w:val="14"/>
        </w:rPr>
        <w:t xml:space="preserve"> </w:t>
      </w:r>
      <w:r>
        <w:rPr>
          <w:sz w:val="14"/>
        </w:rPr>
        <w:t>Montenegro,</w:t>
      </w:r>
      <w:r>
        <w:rPr>
          <w:spacing w:val="-3"/>
          <w:sz w:val="14"/>
        </w:rPr>
        <w:t xml:space="preserve"> </w:t>
      </w:r>
      <w:r>
        <w:rPr>
          <w:sz w:val="14"/>
        </w:rPr>
        <w:t>Ley</w:t>
      </w:r>
      <w:r>
        <w:rPr>
          <w:spacing w:val="-4"/>
          <w:sz w:val="14"/>
        </w:rPr>
        <w:t xml:space="preserve"> </w:t>
      </w:r>
      <w:r>
        <w:rPr>
          <w:sz w:val="14"/>
        </w:rPr>
        <w:t>de</w:t>
      </w:r>
      <w:r>
        <w:rPr>
          <w:spacing w:val="-4"/>
          <w:sz w:val="14"/>
        </w:rPr>
        <w:t xml:space="preserve"> </w:t>
      </w:r>
      <w:r>
        <w:rPr>
          <w:sz w:val="14"/>
        </w:rPr>
        <w:t>Prohibición</w:t>
      </w:r>
      <w:r>
        <w:rPr>
          <w:spacing w:val="-4"/>
          <w:sz w:val="14"/>
        </w:rPr>
        <w:t xml:space="preserve"> </w:t>
      </w:r>
      <w:r>
        <w:rPr>
          <w:sz w:val="14"/>
        </w:rPr>
        <w:t>de</w:t>
      </w:r>
      <w:r>
        <w:rPr>
          <w:spacing w:val="-4"/>
          <w:sz w:val="14"/>
        </w:rPr>
        <w:t xml:space="preserve"> </w:t>
      </w:r>
      <w:r>
        <w:rPr>
          <w:sz w:val="14"/>
        </w:rPr>
        <w:t>la</w:t>
      </w:r>
      <w:r>
        <w:rPr>
          <w:spacing w:val="-4"/>
          <w:sz w:val="14"/>
        </w:rPr>
        <w:t xml:space="preserve"> </w:t>
      </w:r>
      <w:r>
        <w:rPr>
          <w:sz w:val="14"/>
        </w:rPr>
        <w:t>Discriminación,</w:t>
      </w:r>
      <w:r>
        <w:rPr>
          <w:spacing w:val="-3"/>
          <w:sz w:val="14"/>
        </w:rPr>
        <w:t xml:space="preserve"> </w:t>
      </w:r>
      <w:r>
        <w:rPr>
          <w:sz w:val="14"/>
        </w:rPr>
        <w:t>2014.</w:t>
      </w:r>
    </w:p>
    <w:p w14:paraId="79B611ED" w14:textId="77777777" w:rsidR="0014798C" w:rsidRDefault="0014798C">
      <w:pPr>
        <w:spacing w:line="268" w:lineRule="auto"/>
        <w:rPr>
          <w:sz w:val="14"/>
        </w:rPr>
        <w:sectPr w:rsidR="0014798C" w:rsidSect="00F265E4">
          <w:type w:val="continuous"/>
          <w:pgSz w:w="11900" w:h="16820"/>
          <w:pgMar w:top="40" w:right="0" w:bottom="280" w:left="200" w:header="121" w:footer="0" w:gutter="0"/>
          <w:cols w:num="2" w:space="720" w:equalWidth="0">
            <w:col w:w="1253" w:space="40"/>
            <w:col w:w="10407"/>
          </w:cols>
        </w:sectPr>
      </w:pPr>
    </w:p>
    <w:p w14:paraId="58DAB725" w14:textId="77777777" w:rsidR="0014798C" w:rsidRDefault="004E1F0B">
      <w:pPr>
        <w:spacing w:before="82"/>
        <w:ind w:left="1111"/>
        <w:rPr>
          <w:sz w:val="11"/>
        </w:rPr>
      </w:pPr>
      <w:r>
        <w:rPr>
          <w:spacing w:val="-2"/>
          <w:sz w:val="11"/>
        </w:rPr>
        <w:t>103</w:t>
      </w:r>
      <w:r>
        <w:rPr>
          <w:sz w:val="11"/>
        </w:rPr>
        <w:t xml:space="preserve"> </w:t>
      </w:r>
      <w:r>
        <w:rPr>
          <w:spacing w:val="-2"/>
          <w:sz w:val="11"/>
        </w:rPr>
        <w:t>Véase</w:t>
      </w:r>
      <w:r>
        <w:rPr>
          <w:sz w:val="11"/>
        </w:rPr>
        <w:t xml:space="preserve"> </w:t>
      </w:r>
      <w:r>
        <w:rPr>
          <w:spacing w:val="-2"/>
          <w:sz w:val="11"/>
        </w:rPr>
        <w:t>también</w:t>
      </w:r>
      <w:r>
        <w:rPr>
          <w:sz w:val="11"/>
        </w:rPr>
        <w:t xml:space="preserve"> </w:t>
      </w:r>
      <w:r>
        <w:rPr>
          <w:spacing w:val="-2"/>
          <w:sz w:val="11"/>
        </w:rPr>
        <w:t>Red</w:t>
      </w:r>
      <w:r>
        <w:rPr>
          <w:spacing w:val="1"/>
          <w:sz w:val="11"/>
        </w:rPr>
        <w:t xml:space="preserve"> </w:t>
      </w:r>
      <w:r>
        <w:rPr>
          <w:spacing w:val="-2"/>
          <w:sz w:val="11"/>
        </w:rPr>
        <w:t>Europea</w:t>
      </w:r>
      <w:r>
        <w:rPr>
          <w:sz w:val="11"/>
        </w:rPr>
        <w:t xml:space="preserve"> </w:t>
      </w:r>
      <w:r>
        <w:rPr>
          <w:spacing w:val="-2"/>
          <w:sz w:val="11"/>
        </w:rPr>
        <w:t>de</w:t>
      </w:r>
      <w:r>
        <w:rPr>
          <w:sz w:val="11"/>
        </w:rPr>
        <w:t xml:space="preserve"> </w:t>
      </w:r>
      <w:r>
        <w:rPr>
          <w:spacing w:val="-2"/>
          <w:sz w:val="11"/>
        </w:rPr>
        <w:t>Expertos</w:t>
      </w:r>
      <w:r>
        <w:rPr>
          <w:spacing w:val="1"/>
          <w:sz w:val="11"/>
        </w:rPr>
        <w:t xml:space="preserve"> </w:t>
      </w:r>
      <w:r>
        <w:rPr>
          <w:spacing w:val="-2"/>
          <w:sz w:val="11"/>
        </w:rPr>
        <w:t>Jurídicos</w:t>
      </w:r>
      <w:r>
        <w:rPr>
          <w:sz w:val="11"/>
        </w:rPr>
        <w:t xml:space="preserve"> </w:t>
      </w:r>
      <w:r>
        <w:rPr>
          <w:spacing w:val="-2"/>
          <w:sz w:val="11"/>
        </w:rPr>
        <w:t>en</w:t>
      </w:r>
      <w:r>
        <w:rPr>
          <w:sz w:val="11"/>
        </w:rPr>
        <w:t xml:space="preserve"> </w:t>
      </w:r>
      <w:r>
        <w:rPr>
          <w:spacing w:val="-2"/>
          <w:sz w:val="11"/>
        </w:rPr>
        <w:t>Igualdad</w:t>
      </w:r>
      <w:r>
        <w:rPr>
          <w:spacing w:val="1"/>
          <w:sz w:val="11"/>
        </w:rPr>
        <w:t xml:space="preserve"> </w:t>
      </w:r>
      <w:r>
        <w:rPr>
          <w:spacing w:val="-2"/>
          <w:sz w:val="11"/>
        </w:rPr>
        <w:t>de</w:t>
      </w:r>
      <w:r>
        <w:rPr>
          <w:sz w:val="11"/>
        </w:rPr>
        <w:t xml:space="preserve"> </w:t>
      </w:r>
      <w:r>
        <w:rPr>
          <w:spacing w:val="-2"/>
          <w:sz w:val="11"/>
        </w:rPr>
        <w:t>Género</w:t>
      </w:r>
      <w:r>
        <w:rPr>
          <w:sz w:val="11"/>
        </w:rPr>
        <w:t xml:space="preserve"> </w:t>
      </w:r>
      <w:r>
        <w:rPr>
          <w:spacing w:val="-2"/>
          <w:sz w:val="11"/>
        </w:rPr>
        <w:t>y</w:t>
      </w:r>
      <w:r>
        <w:rPr>
          <w:spacing w:val="1"/>
          <w:sz w:val="11"/>
        </w:rPr>
        <w:t xml:space="preserve"> </w:t>
      </w:r>
      <w:r>
        <w:rPr>
          <w:spacing w:val="-2"/>
          <w:sz w:val="11"/>
        </w:rPr>
        <w:t>No</w:t>
      </w:r>
      <w:r>
        <w:rPr>
          <w:sz w:val="11"/>
        </w:rPr>
        <w:t xml:space="preserve"> </w:t>
      </w:r>
      <w:r>
        <w:rPr>
          <w:spacing w:val="-2"/>
          <w:sz w:val="11"/>
        </w:rPr>
        <w:t>Discriminación,</w:t>
      </w:r>
      <w:r>
        <w:rPr>
          <w:spacing w:val="1"/>
          <w:sz w:val="11"/>
        </w:rPr>
        <w:t xml:space="preserve"> </w:t>
      </w:r>
      <w:r>
        <w:rPr>
          <w:spacing w:val="-2"/>
          <w:sz w:val="11"/>
        </w:rPr>
        <w:t>“Flash</w:t>
      </w:r>
      <w:r>
        <w:rPr>
          <w:spacing w:val="1"/>
          <w:sz w:val="11"/>
        </w:rPr>
        <w:t xml:space="preserve"> </w:t>
      </w:r>
      <w:proofErr w:type="spellStart"/>
      <w:r>
        <w:rPr>
          <w:spacing w:val="-2"/>
          <w:sz w:val="11"/>
        </w:rPr>
        <w:t>report</w:t>
      </w:r>
      <w:proofErr w:type="spellEnd"/>
      <w:r>
        <w:rPr>
          <w:spacing w:val="-2"/>
          <w:sz w:val="11"/>
        </w:rPr>
        <w:t>:</w:t>
      </w:r>
      <w:r>
        <w:rPr>
          <w:sz w:val="11"/>
        </w:rPr>
        <w:t xml:space="preserve"> </w:t>
      </w:r>
      <w:r>
        <w:rPr>
          <w:spacing w:val="-2"/>
          <w:sz w:val="11"/>
        </w:rPr>
        <w:t>North</w:t>
      </w:r>
      <w:r>
        <w:rPr>
          <w:sz w:val="11"/>
        </w:rPr>
        <w:t xml:space="preserve"> </w:t>
      </w:r>
      <w:r>
        <w:rPr>
          <w:spacing w:val="-2"/>
          <w:sz w:val="11"/>
        </w:rPr>
        <w:t>Macedonia”,</w:t>
      </w:r>
    </w:p>
    <w:p w14:paraId="59B0DEA1" w14:textId="77777777" w:rsidR="0014798C" w:rsidRDefault="004E1F0B">
      <w:pPr>
        <w:spacing w:before="25" w:line="268" w:lineRule="auto"/>
        <w:ind w:left="1368" w:right="1443" w:firstLine="8"/>
        <w:rPr>
          <w:sz w:val="14"/>
        </w:rPr>
      </w:pPr>
      <w:r>
        <w:rPr>
          <w:sz w:val="14"/>
        </w:rPr>
        <w:t>1</w:t>
      </w:r>
      <w:r>
        <w:rPr>
          <w:spacing w:val="-10"/>
          <w:sz w:val="14"/>
        </w:rPr>
        <w:t xml:space="preserve"> </w:t>
      </w:r>
      <w:r>
        <w:rPr>
          <w:sz w:val="14"/>
        </w:rPr>
        <w:t>de</w:t>
      </w:r>
      <w:r>
        <w:rPr>
          <w:spacing w:val="-10"/>
          <w:sz w:val="14"/>
        </w:rPr>
        <w:t xml:space="preserve"> </w:t>
      </w:r>
      <w:r>
        <w:rPr>
          <w:sz w:val="14"/>
        </w:rPr>
        <w:t>diciembre</w:t>
      </w:r>
      <w:r>
        <w:rPr>
          <w:spacing w:val="-10"/>
          <w:sz w:val="14"/>
        </w:rPr>
        <w:t xml:space="preserve"> </w:t>
      </w:r>
      <w:r>
        <w:rPr>
          <w:sz w:val="14"/>
        </w:rPr>
        <w:t>de</w:t>
      </w:r>
      <w:r>
        <w:rPr>
          <w:spacing w:val="-9"/>
          <w:sz w:val="14"/>
        </w:rPr>
        <w:t xml:space="preserve"> </w:t>
      </w:r>
      <w:r>
        <w:rPr>
          <w:sz w:val="14"/>
        </w:rPr>
        <w:t>2020.</w:t>
      </w:r>
      <w:r>
        <w:rPr>
          <w:spacing w:val="-10"/>
          <w:sz w:val="14"/>
        </w:rPr>
        <w:t xml:space="preserve"> </w:t>
      </w:r>
      <w:r>
        <w:rPr>
          <w:sz w:val="14"/>
        </w:rPr>
        <w:t>Disponible</w:t>
      </w:r>
      <w:r>
        <w:rPr>
          <w:spacing w:val="-10"/>
          <w:sz w:val="14"/>
        </w:rPr>
        <w:t xml:space="preserve"> </w:t>
      </w:r>
      <w:r>
        <w:rPr>
          <w:sz w:val="14"/>
        </w:rPr>
        <w:t>en</w:t>
      </w:r>
      <w:r>
        <w:rPr>
          <w:spacing w:val="-10"/>
          <w:sz w:val="14"/>
        </w:rPr>
        <w:t xml:space="preserve"> </w:t>
      </w:r>
      <w:hyperlink r:id="rId78">
        <w:r>
          <w:rPr>
            <w:color w:val="0075BF"/>
            <w:sz w:val="14"/>
          </w:rPr>
          <w:t>www.equalitylaw.eu/downloads/5306-north-macedonia-anti-discrimination-law-re-adopted-by-parliament-</w:t>
        </w:r>
      </w:hyperlink>
      <w:r>
        <w:rPr>
          <w:color w:val="0075BF"/>
          <w:spacing w:val="40"/>
          <w:sz w:val="14"/>
        </w:rPr>
        <w:t xml:space="preserve"> </w:t>
      </w:r>
      <w:r>
        <w:rPr>
          <w:color w:val="0075BF"/>
          <w:spacing w:val="-2"/>
          <w:sz w:val="14"/>
        </w:rPr>
        <w:t>following-annulment-by-the-constitutional-court-89-kb.</w:t>
      </w:r>
    </w:p>
    <w:p w14:paraId="7159BEAC" w14:textId="77777777" w:rsidR="0014798C" w:rsidRDefault="0014798C">
      <w:pPr>
        <w:pStyle w:val="Textoindependiente"/>
        <w:rPr>
          <w:sz w:val="17"/>
        </w:rPr>
      </w:pPr>
    </w:p>
    <w:p w14:paraId="1AF4B3D0" w14:textId="77777777" w:rsidR="0014798C" w:rsidRDefault="0014798C">
      <w:pPr>
        <w:pStyle w:val="Textoindependiente"/>
        <w:rPr>
          <w:sz w:val="17"/>
        </w:rPr>
      </w:pPr>
    </w:p>
    <w:p w14:paraId="38A2F89F" w14:textId="77777777" w:rsidR="0014798C" w:rsidRDefault="0014798C">
      <w:pPr>
        <w:pStyle w:val="Textoindependiente"/>
        <w:spacing w:before="37"/>
        <w:rPr>
          <w:sz w:val="17"/>
        </w:rPr>
      </w:pPr>
    </w:p>
    <w:p w14:paraId="5F28BF3B" w14:textId="77777777" w:rsidR="0014798C" w:rsidRDefault="004E1F0B">
      <w:pPr>
        <w:spacing w:before="1"/>
        <w:ind w:left="586"/>
        <w:rPr>
          <w:sz w:val="17"/>
        </w:rPr>
      </w:pPr>
      <w:r>
        <w:rPr>
          <w:spacing w:val="-5"/>
          <w:sz w:val="17"/>
        </w:rPr>
        <w:t>12</w:t>
      </w:r>
    </w:p>
    <w:p w14:paraId="393D219C" w14:textId="77777777" w:rsidR="0014798C" w:rsidRDefault="0014798C">
      <w:pPr>
        <w:rPr>
          <w:sz w:val="17"/>
        </w:rPr>
        <w:sectPr w:rsidR="0014798C" w:rsidSect="00F265E4">
          <w:type w:val="continuous"/>
          <w:pgSz w:w="11900" w:h="16820"/>
          <w:pgMar w:top="40" w:right="0" w:bottom="280" w:left="200" w:header="121" w:footer="0" w:gutter="0"/>
          <w:cols w:space="720"/>
        </w:sectPr>
      </w:pPr>
    </w:p>
    <w:p w14:paraId="793F3C14" w14:textId="77777777" w:rsidR="0014798C" w:rsidRDefault="0014798C">
      <w:pPr>
        <w:pStyle w:val="Textoindependiente"/>
        <w:rPr>
          <w:sz w:val="9"/>
        </w:rPr>
      </w:pPr>
    </w:p>
    <w:p w14:paraId="09F0C660" w14:textId="77777777" w:rsidR="0014798C" w:rsidRDefault="0014798C">
      <w:pPr>
        <w:pStyle w:val="Textoindependiente"/>
        <w:spacing w:before="32"/>
        <w:rPr>
          <w:sz w:val="9"/>
        </w:rPr>
      </w:pPr>
    </w:p>
    <w:p w14:paraId="74F71522" w14:textId="77777777" w:rsidR="0014798C" w:rsidRDefault="004E1F0B">
      <w:pPr>
        <w:ind w:left="1111"/>
        <w:rPr>
          <w:sz w:val="9"/>
        </w:rPr>
      </w:pPr>
      <w:r>
        <w:rPr>
          <w:color w:val="009EDB"/>
          <w:w w:val="105"/>
          <w:sz w:val="9"/>
        </w:rPr>
        <w:t>PRIMERA</w:t>
      </w:r>
      <w:r>
        <w:rPr>
          <w:color w:val="009EDB"/>
          <w:spacing w:val="1"/>
          <w:w w:val="105"/>
          <w:sz w:val="9"/>
        </w:rPr>
        <w:t xml:space="preserve"> </w:t>
      </w:r>
      <w:r>
        <w:rPr>
          <w:color w:val="009EDB"/>
          <w:w w:val="105"/>
          <w:sz w:val="9"/>
        </w:rPr>
        <w:t>PARTE:</w:t>
      </w:r>
      <w:r>
        <w:rPr>
          <w:color w:val="009EDB"/>
          <w:spacing w:val="2"/>
          <w:w w:val="105"/>
          <w:sz w:val="9"/>
        </w:rPr>
        <w:t xml:space="preserve"> </w:t>
      </w:r>
      <w:r>
        <w:rPr>
          <w:color w:val="009EDB"/>
          <w:w w:val="105"/>
          <w:sz w:val="9"/>
        </w:rPr>
        <w:t>OBLIGACIONES</w:t>
      </w:r>
      <w:r>
        <w:rPr>
          <w:color w:val="009EDB"/>
          <w:spacing w:val="2"/>
          <w:w w:val="105"/>
          <w:sz w:val="9"/>
        </w:rPr>
        <w:t xml:space="preserve"> </w:t>
      </w:r>
      <w:r>
        <w:rPr>
          <w:color w:val="009EDB"/>
          <w:w w:val="105"/>
          <w:sz w:val="9"/>
        </w:rPr>
        <w:t>DE</w:t>
      </w:r>
      <w:r>
        <w:rPr>
          <w:color w:val="009EDB"/>
          <w:spacing w:val="2"/>
          <w:w w:val="105"/>
          <w:sz w:val="9"/>
        </w:rPr>
        <w:t xml:space="preserve"> </w:t>
      </w:r>
      <w:r>
        <w:rPr>
          <w:color w:val="009EDB"/>
          <w:w w:val="105"/>
          <w:sz w:val="9"/>
        </w:rPr>
        <w:t>LOS</w:t>
      </w:r>
      <w:r>
        <w:rPr>
          <w:color w:val="009EDB"/>
          <w:spacing w:val="1"/>
          <w:w w:val="105"/>
          <w:sz w:val="9"/>
        </w:rPr>
        <w:t xml:space="preserve"> </w:t>
      </w:r>
      <w:r>
        <w:rPr>
          <w:color w:val="009EDB"/>
          <w:w w:val="105"/>
          <w:sz w:val="9"/>
        </w:rPr>
        <w:t>ESTADOS</w:t>
      </w:r>
      <w:r>
        <w:rPr>
          <w:color w:val="009EDB"/>
          <w:spacing w:val="2"/>
          <w:w w:val="105"/>
          <w:sz w:val="9"/>
        </w:rPr>
        <w:t xml:space="preserve"> </w:t>
      </w:r>
      <w:r>
        <w:rPr>
          <w:color w:val="009EDB"/>
          <w:w w:val="105"/>
          <w:sz w:val="9"/>
        </w:rPr>
        <w:t>PARA</w:t>
      </w:r>
      <w:r>
        <w:rPr>
          <w:color w:val="009EDB"/>
          <w:spacing w:val="2"/>
          <w:w w:val="105"/>
          <w:sz w:val="9"/>
        </w:rPr>
        <w:t xml:space="preserve"> </w:t>
      </w:r>
      <w:r>
        <w:rPr>
          <w:color w:val="009EDB"/>
          <w:w w:val="105"/>
          <w:sz w:val="9"/>
        </w:rPr>
        <w:t>PROMULGAR</w:t>
      </w:r>
      <w:r>
        <w:rPr>
          <w:color w:val="009EDB"/>
          <w:spacing w:val="2"/>
          <w:w w:val="105"/>
          <w:sz w:val="9"/>
        </w:rPr>
        <w:t xml:space="preserve"> </w:t>
      </w:r>
      <w:r>
        <w:rPr>
          <w:color w:val="009EDB"/>
          <w:w w:val="105"/>
          <w:sz w:val="9"/>
        </w:rPr>
        <w:t>UNA</w:t>
      </w:r>
      <w:r>
        <w:rPr>
          <w:color w:val="009EDB"/>
          <w:spacing w:val="2"/>
          <w:w w:val="105"/>
          <w:sz w:val="9"/>
        </w:rPr>
        <w:t xml:space="preserve"> </w:t>
      </w:r>
      <w:r>
        <w:rPr>
          <w:color w:val="009EDB"/>
          <w:w w:val="105"/>
          <w:sz w:val="9"/>
        </w:rPr>
        <w:t>LEY</w:t>
      </w:r>
      <w:r>
        <w:rPr>
          <w:color w:val="009EDB"/>
          <w:spacing w:val="1"/>
          <w:w w:val="105"/>
          <w:sz w:val="9"/>
        </w:rPr>
        <w:t xml:space="preserve"> </w:t>
      </w:r>
      <w:r>
        <w:rPr>
          <w:color w:val="009EDB"/>
          <w:w w:val="105"/>
          <w:sz w:val="9"/>
        </w:rPr>
        <w:t>INTEGRAL</w:t>
      </w:r>
      <w:r>
        <w:rPr>
          <w:color w:val="009EDB"/>
          <w:spacing w:val="2"/>
          <w:w w:val="105"/>
          <w:sz w:val="9"/>
        </w:rPr>
        <w:t xml:space="preserve"> </w:t>
      </w:r>
      <w:r>
        <w:rPr>
          <w:color w:val="009EDB"/>
          <w:w w:val="105"/>
          <w:sz w:val="9"/>
        </w:rPr>
        <w:t>CONTRA</w:t>
      </w:r>
      <w:r>
        <w:rPr>
          <w:color w:val="009EDB"/>
          <w:spacing w:val="2"/>
          <w:w w:val="105"/>
          <w:sz w:val="9"/>
        </w:rPr>
        <w:t xml:space="preserve"> </w:t>
      </w:r>
      <w:r>
        <w:rPr>
          <w:color w:val="009EDB"/>
          <w:w w:val="105"/>
          <w:sz w:val="9"/>
        </w:rPr>
        <w:t>LA</w:t>
      </w:r>
      <w:r>
        <w:rPr>
          <w:color w:val="009EDB"/>
          <w:spacing w:val="2"/>
          <w:w w:val="105"/>
          <w:sz w:val="9"/>
        </w:rPr>
        <w:t xml:space="preserve"> </w:t>
      </w:r>
      <w:r>
        <w:rPr>
          <w:color w:val="009EDB"/>
          <w:spacing w:val="-2"/>
          <w:w w:val="105"/>
          <w:sz w:val="9"/>
        </w:rPr>
        <w:t>DISCRIMINACIÓN</w:t>
      </w:r>
    </w:p>
    <w:p w14:paraId="45F2A566" w14:textId="77777777" w:rsidR="0014798C" w:rsidRDefault="0014798C">
      <w:pPr>
        <w:pStyle w:val="Textoindependiente"/>
      </w:pPr>
    </w:p>
    <w:p w14:paraId="08C01133" w14:textId="77777777" w:rsidR="0014798C" w:rsidRDefault="0014798C">
      <w:pPr>
        <w:pStyle w:val="Textoindependiente"/>
      </w:pPr>
    </w:p>
    <w:p w14:paraId="4B608E85" w14:textId="77777777" w:rsidR="0014798C" w:rsidRDefault="0014798C">
      <w:pPr>
        <w:pStyle w:val="Textoindependiente"/>
      </w:pPr>
    </w:p>
    <w:p w14:paraId="5248589C" w14:textId="77777777" w:rsidR="0014798C" w:rsidRDefault="0014798C">
      <w:pPr>
        <w:pStyle w:val="Textoindependiente"/>
      </w:pPr>
    </w:p>
    <w:p w14:paraId="3C7C3FC6" w14:textId="0A69826B" w:rsidR="0014798C" w:rsidRDefault="001A3311">
      <w:pPr>
        <w:pStyle w:val="Textoindependiente"/>
        <w:spacing w:before="92"/>
      </w:pPr>
      <w:r>
        <w:rPr>
          <w:noProof/>
        </w:rPr>
        <w:drawing>
          <wp:anchor distT="0" distB="0" distL="0" distR="0" simplePos="0" relativeHeight="251658368" behindDoc="1" locked="0" layoutInCell="1" allowOverlap="1" wp14:anchorId="531EAAA3" wp14:editId="0CBCF23B">
            <wp:simplePos x="0" y="0"/>
            <wp:positionH relativeFrom="margin">
              <wp:align>right</wp:align>
            </wp:positionH>
            <wp:positionV relativeFrom="paragraph">
              <wp:posOffset>21004</wp:posOffset>
            </wp:positionV>
            <wp:extent cx="6760845" cy="7174523"/>
            <wp:effectExtent l="0" t="0" r="1905" b="7620"/>
            <wp:wrapNone/>
            <wp:docPr id="74" name="Image 7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74" name="Image 74"/>
                    <pic:cNvPicPr/>
                  </pic:nvPicPr>
                  <pic:blipFill>
                    <a:blip r:embed="rId79" cstate="print"/>
                    <a:stretch>
                      <a:fillRect/>
                    </a:stretch>
                  </pic:blipFill>
                  <pic:spPr>
                    <a:xfrm>
                      <a:off x="0" y="0"/>
                      <a:ext cx="6760845" cy="7174523"/>
                    </a:xfrm>
                    <a:prstGeom prst="rect">
                      <a:avLst/>
                    </a:prstGeom>
                  </pic:spPr>
                </pic:pic>
              </a:graphicData>
            </a:graphic>
            <wp14:sizeRelV relativeFrom="margin">
              <wp14:pctHeight>0</wp14:pctHeight>
            </wp14:sizeRelV>
          </wp:anchor>
        </w:drawing>
      </w:r>
    </w:p>
    <w:p w14:paraId="05A76660" w14:textId="4E400E18" w:rsidR="0014798C" w:rsidRDefault="004E1F0B">
      <w:pPr>
        <w:pStyle w:val="Textoindependiente"/>
        <w:ind w:left="1334"/>
      </w:pPr>
      <w:r>
        <w:t>que</w:t>
      </w:r>
      <w:r>
        <w:rPr>
          <w:spacing w:val="3"/>
        </w:rPr>
        <w:t xml:space="preserve"> </w:t>
      </w:r>
      <w:r>
        <w:t>“el</w:t>
      </w:r>
      <w:r>
        <w:rPr>
          <w:spacing w:val="4"/>
        </w:rPr>
        <w:t xml:space="preserve"> </w:t>
      </w:r>
      <w:r>
        <w:t>objetivo</w:t>
      </w:r>
      <w:r>
        <w:rPr>
          <w:spacing w:val="4"/>
        </w:rPr>
        <w:t xml:space="preserve"> </w:t>
      </w:r>
      <w:r>
        <w:t>es</w:t>
      </w:r>
      <w:r>
        <w:rPr>
          <w:spacing w:val="4"/>
        </w:rPr>
        <w:t xml:space="preserve"> </w:t>
      </w:r>
      <w:r>
        <w:t>legítimo</w:t>
      </w:r>
      <w:r>
        <w:rPr>
          <w:spacing w:val="3"/>
        </w:rPr>
        <w:t xml:space="preserve"> </w:t>
      </w:r>
      <w:r>
        <w:t>y</w:t>
      </w:r>
      <w:r>
        <w:rPr>
          <w:spacing w:val="4"/>
        </w:rPr>
        <w:t xml:space="preserve"> </w:t>
      </w:r>
      <w:r>
        <w:t>la</w:t>
      </w:r>
      <w:r>
        <w:rPr>
          <w:spacing w:val="4"/>
        </w:rPr>
        <w:t xml:space="preserve"> </w:t>
      </w:r>
      <w:r>
        <w:t>exigencia</w:t>
      </w:r>
      <w:r>
        <w:rPr>
          <w:spacing w:val="4"/>
        </w:rPr>
        <w:t xml:space="preserve"> </w:t>
      </w:r>
      <w:r>
        <w:t>no</w:t>
      </w:r>
      <w:r>
        <w:rPr>
          <w:spacing w:val="4"/>
        </w:rPr>
        <w:t xml:space="preserve"> </w:t>
      </w:r>
      <w:r>
        <w:t>excede</w:t>
      </w:r>
      <w:r>
        <w:rPr>
          <w:spacing w:val="3"/>
        </w:rPr>
        <w:t xml:space="preserve"> </w:t>
      </w:r>
      <w:r>
        <w:t>el</w:t>
      </w:r>
      <w:r>
        <w:rPr>
          <w:spacing w:val="4"/>
        </w:rPr>
        <w:t xml:space="preserve"> </w:t>
      </w:r>
      <w:r>
        <w:t>nivel</w:t>
      </w:r>
      <w:r>
        <w:rPr>
          <w:spacing w:val="4"/>
        </w:rPr>
        <w:t xml:space="preserve"> </w:t>
      </w:r>
      <w:r>
        <w:t>requerido</w:t>
      </w:r>
      <w:r>
        <w:rPr>
          <w:spacing w:val="4"/>
        </w:rPr>
        <w:t xml:space="preserve"> </w:t>
      </w:r>
      <w:r>
        <w:t>para</w:t>
      </w:r>
      <w:r>
        <w:rPr>
          <w:spacing w:val="4"/>
        </w:rPr>
        <w:t xml:space="preserve"> </w:t>
      </w:r>
      <w:r>
        <w:t>su</w:t>
      </w:r>
      <w:r>
        <w:rPr>
          <w:spacing w:val="3"/>
        </w:rPr>
        <w:t xml:space="preserve"> </w:t>
      </w:r>
      <w:r>
        <w:t>realización”</w:t>
      </w:r>
      <w:r>
        <w:rPr>
          <w:spacing w:val="4"/>
        </w:rPr>
        <w:t xml:space="preserve"> </w:t>
      </w:r>
      <w:r>
        <w:t>(art.</w:t>
      </w:r>
      <w:r>
        <w:rPr>
          <w:spacing w:val="5"/>
        </w:rPr>
        <w:t xml:space="preserve"> </w:t>
      </w:r>
      <w:r>
        <w:t>7</w:t>
      </w:r>
      <w:r>
        <w:rPr>
          <w:spacing w:val="4"/>
        </w:rPr>
        <w:t xml:space="preserve"> </w:t>
      </w:r>
      <w:r>
        <w:t>(3)</w:t>
      </w:r>
      <w:r>
        <w:rPr>
          <w:spacing w:val="4"/>
        </w:rPr>
        <w:t xml:space="preserve"> </w:t>
      </w:r>
      <w:r>
        <w:rPr>
          <w:spacing w:val="-2"/>
        </w:rPr>
        <w:t>(2)).</w:t>
      </w:r>
    </w:p>
    <w:p w14:paraId="020F2361" w14:textId="77777777" w:rsidR="0014798C" w:rsidRDefault="0014798C">
      <w:pPr>
        <w:pStyle w:val="Textoindependiente"/>
      </w:pPr>
    </w:p>
    <w:p w14:paraId="19CD040D" w14:textId="77777777" w:rsidR="0014798C" w:rsidRDefault="0014798C">
      <w:pPr>
        <w:pStyle w:val="Textoindependiente"/>
        <w:spacing w:before="60"/>
      </w:pPr>
    </w:p>
    <w:p w14:paraId="692128F6" w14:textId="77777777" w:rsidR="0014798C" w:rsidRDefault="004E1F0B">
      <w:pPr>
        <w:pStyle w:val="Textoindependiente"/>
        <w:spacing w:before="1" w:line="326" w:lineRule="auto"/>
        <w:ind w:left="1333" w:right="1626" w:firstLine="5"/>
      </w:pPr>
      <w:r>
        <w:rPr>
          <w:noProof/>
        </w:rPr>
        <mc:AlternateContent>
          <mc:Choice Requires="wps">
            <w:drawing>
              <wp:anchor distT="0" distB="0" distL="0" distR="0" simplePos="0" relativeHeight="251658246" behindDoc="0" locked="0" layoutInCell="1" allowOverlap="1" wp14:anchorId="3D74075A" wp14:editId="274AE1C3">
                <wp:simplePos x="0" y="0"/>
                <wp:positionH relativeFrom="page">
                  <wp:posOffset>7301499</wp:posOffset>
                </wp:positionH>
                <wp:positionV relativeFrom="paragraph">
                  <wp:posOffset>141542</wp:posOffset>
                </wp:positionV>
                <wp:extent cx="97790" cy="241300"/>
                <wp:effectExtent l="0" t="0" r="0" b="0"/>
                <wp:wrapNone/>
                <wp:docPr id="75" name="Textbox 7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97790" cy="241300"/>
                        </a:xfrm>
                        <a:prstGeom prst="rect">
                          <a:avLst/>
                        </a:prstGeom>
                      </wps:spPr>
                      <wps:txbx>
                        <w:txbxContent>
                          <w:p w14:paraId="49D794A1" w14:textId="77777777" w:rsidR="0014798C" w:rsidRDefault="004E1F0B">
                            <w:pPr>
                              <w:spacing w:before="18"/>
                              <w:ind w:left="20"/>
                              <w:rPr>
                                <w:sz w:val="10"/>
                              </w:rPr>
                            </w:pPr>
                            <w:r>
                              <w:rPr>
                                <w:color w:val="FFFFFF"/>
                                <w:spacing w:val="-27"/>
                                <w:sz w:val="10"/>
                              </w:rPr>
                              <w:t>UPANROTE</w:t>
                            </w:r>
                          </w:p>
                        </w:txbxContent>
                      </wps:txbx>
                      <wps:bodyPr vert="vert270" wrap="square" lIns="0" tIns="0" rIns="0" bIns="0" rtlCol="0">
                        <a:noAutofit/>
                      </wps:bodyPr>
                    </wps:wsp>
                  </a:graphicData>
                </a:graphic>
              </wp:anchor>
            </w:drawing>
          </mc:Choice>
          <mc:Fallback>
            <w:pict>
              <v:shape w14:anchorId="3D74075A" id="Textbox 75" o:spid="_x0000_s1050" type="#_x0000_t202" style="position:absolute;left:0;text-align:left;margin-left:574.9pt;margin-top:11.15pt;width:7.7pt;height:19pt;z-index:251658246;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" filled="f" stroked="f">
                <v:textbox style="layout-flow:vertical;mso-layout-flow-alt:bottom-to-top" inset="0,0,0,0">
                  <w:txbxContent>
                    <w:p w14:paraId="49D794A1" w14:textId="77777777" w:rsidR="0014798C" w:rsidRDefault="004E1F0B">
                      <w:pPr>
                        <w:spacing w:before="18"/>
                        <w:ind w:left="20"/>
                        <w:rPr>
                          <w:sz w:val="10"/>
                        </w:rPr>
                      </w:pPr>
                      <w:r>
                        <w:rPr>
                          <w:color w:val="FFFFFF"/>
                          <w:spacing w:val="-27"/>
                          <w:sz w:val="10"/>
                        </w:rPr>
                        <w:t>UPANROTE</w:t>
                      </w:r>
                    </w:p>
                  </w:txbxContent>
                </v:textbox>
                <w10:wrap anchorx="page"/>
              </v:shape>
            </w:pict>
          </mc:Fallback>
        </mc:AlternateContent>
      </w:r>
      <w:r>
        <w:t>El capítulo III de la Ley se refiere a la Comisión de Protección contra la Discriminación, que se establece en virtud del</w:t>
      </w:r>
      <w:r>
        <w:rPr>
          <w:spacing w:val="40"/>
        </w:rPr>
        <w:t xml:space="preserve"> </w:t>
      </w:r>
      <w:r>
        <w:t>artículo 14 como persona jurídica y "organismo autónomo e independiente". Los artículos 15 a 22 establecen el mandato institucional y los requisitos de la Comisión, incluido su presupuesto, composición y normas que regulan el nombramiento, destitución y destitución de sus miembros. El Capítulo IV de la Ley establece el procedimiento para presentar solicitudes</w:t>
      </w:r>
      <w:r>
        <w:rPr>
          <w:spacing w:val="40"/>
        </w:rPr>
        <w:t xml:space="preserve"> </w:t>
      </w:r>
      <w:r>
        <w:t>ante la Comisión, incluidas las normas que regulan la carga de la prueba. Incluye detalles de los poderes de la Comisión</w:t>
      </w:r>
      <w:r>
        <w:rPr>
          <w:spacing w:val="40"/>
        </w:rPr>
        <w:t xml:space="preserve"> </w:t>
      </w:r>
      <w:r>
        <w:t>para recopilar datos e inspeccionar documentos y locales.</w:t>
      </w:r>
    </w:p>
    <w:p w14:paraId="382D45BA" w14:textId="77777777" w:rsidR="0014798C" w:rsidRDefault="0014798C">
      <w:pPr>
        <w:pStyle w:val="Textoindependiente"/>
        <w:spacing w:before="176"/>
      </w:pPr>
    </w:p>
    <w:p w14:paraId="3BD8BAAD" w14:textId="77777777" w:rsidR="0014798C" w:rsidRDefault="004E1F0B">
      <w:pPr>
        <w:pStyle w:val="Textoindependiente"/>
        <w:spacing w:line="326" w:lineRule="auto"/>
        <w:ind w:left="1332" w:right="1463" w:firstLine="5"/>
      </w:pPr>
      <w:r>
        <w:t>El capítulo V de la Ley se refiere a la protección judicial. Según el artículo 32, toda persona que haya sufrido discriminación tiene derecho a "presentar una demanda ante el tribunal civil competente". Las acciones de protección contra la</w:t>
      </w:r>
      <w:r>
        <w:rPr>
          <w:spacing w:val="40"/>
        </w:rPr>
        <w:t xml:space="preserve"> </w:t>
      </w:r>
      <w:r>
        <w:t>discriminación por motivos de interés público (</w:t>
      </w:r>
      <w:proofErr w:type="spellStart"/>
      <w:r>
        <w:t>actio</w:t>
      </w:r>
      <w:proofErr w:type="spellEnd"/>
      <w:r>
        <w:t xml:space="preserve"> </w:t>
      </w:r>
      <w:proofErr w:type="spellStart"/>
      <w:r>
        <w:t>popularis</w:t>
      </w:r>
      <w:proofErr w:type="spellEnd"/>
      <w:r>
        <w:t>) están permitidas en virtud del artículo 35, mientras que el artículo 40 establece el derecho de terceros interesados a intervenir en los casos ante los tribunales.</w:t>
      </w:r>
    </w:p>
    <w:p w14:paraId="047E4AFB" w14:textId="77777777" w:rsidR="0014798C" w:rsidRDefault="004E1F0B">
      <w:pPr>
        <w:pStyle w:val="Textoindependiente"/>
        <w:spacing w:line="182" w:lineRule="exact"/>
        <w:ind w:left="1332"/>
      </w:pPr>
      <w:r>
        <w:t>El</w:t>
      </w:r>
      <w:r>
        <w:rPr>
          <w:spacing w:val="3"/>
        </w:rPr>
        <w:t xml:space="preserve"> </w:t>
      </w:r>
      <w:r>
        <w:t>artículo</w:t>
      </w:r>
      <w:r>
        <w:rPr>
          <w:spacing w:val="4"/>
        </w:rPr>
        <w:t xml:space="preserve"> </w:t>
      </w:r>
      <w:r>
        <w:t>37</w:t>
      </w:r>
      <w:r>
        <w:rPr>
          <w:spacing w:val="3"/>
        </w:rPr>
        <w:t xml:space="preserve"> </w:t>
      </w:r>
      <w:r>
        <w:t>regula</w:t>
      </w:r>
      <w:r>
        <w:rPr>
          <w:spacing w:val="4"/>
        </w:rPr>
        <w:t xml:space="preserve"> </w:t>
      </w:r>
      <w:r>
        <w:t>la</w:t>
      </w:r>
      <w:r>
        <w:rPr>
          <w:spacing w:val="3"/>
        </w:rPr>
        <w:t xml:space="preserve"> </w:t>
      </w:r>
      <w:r>
        <w:t>carga</w:t>
      </w:r>
      <w:r>
        <w:rPr>
          <w:spacing w:val="4"/>
        </w:rPr>
        <w:t xml:space="preserve"> </w:t>
      </w:r>
      <w:r>
        <w:t>de</w:t>
      </w:r>
      <w:r>
        <w:rPr>
          <w:spacing w:val="4"/>
        </w:rPr>
        <w:t xml:space="preserve"> </w:t>
      </w:r>
      <w:r>
        <w:t>la</w:t>
      </w:r>
      <w:r>
        <w:rPr>
          <w:spacing w:val="3"/>
        </w:rPr>
        <w:t xml:space="preserve"> </w:t>
      </w:r>
      <w:r>
        <w:t>prueba</w:t>
      </w:r>
      <w:r>
        <w:rPr>
          <w:spacing w:val="4"/>
        </w:rPr>
        <w:t xml:space="preserve"> </w:t>
      </w:r>
      <w:r>
        <w:t>en</w:t>
      </w:r>
      <w:r>
        <w:rPr>
          <w:spacing w:val="3"/>
        </w:rPr>
        <w:t xml:space="preserve"> </w:t>
      </w:r>
      <w:r>
        <w:t>los</w:t>
      </w:r>
      <w:r>
        <w:rPr>
          <w:spacing w:val="4"/>
        </w:rPr>
        <w:t xml:space="preserve"> </w:t>
      </w:r>
      <w:r>
        <w:t>casos</w:t>
      </w:r>
      <w:r>
        <w:rPr>
          <w:spacing w:val="4"/>
        </w:rPr>
        <w:t xml:space="preserve"> </w:t>
      </w:r>
      <w:r>
        <w:t>de</w:t>
      </w:r>
      <w:r>
        <w:rPr>
          <w:spacing w:val="3"/>
        </w:rPr>
        <w:t xml:space="preserve"> </w:t>
      </w:r>
      <w:r>
        <w:t>discriminación,</w:t>
      </w:r>
      <w:r>
        <w:rPr>
          <w:spacing w:val="6"/>
        </w:rPr>
        <w:t xml:space="preserve"> </w:t>
      </w:r>
      <w:r>
        <w:t>que</w:t>
      </w:r>
      <w:r>
        <w:rPr>
          <w:spacing w:val="3"/>
        </w:rPr>
        <w:t xml:space="preserve"> </w:t>
      </w:r>
      <w:r>
        <w:t>recae</w:t>
      </w:r>
      <w:r>
        <w:rPr>
          <w:spacing w:val="4"/>
        </w:rPr>
        <w:t xml:space="preserve"> </w:t>
      </w:r>
      <w:r>
        <w:t>en</w:t>
      </w:r>
      <w:r>
        <w:rPr>
          <w:spacing w:val="4"/>
        </w:rPr>
        <w:t xml:space="preserve"> </w:t>
      </w:r>
      <w:r>
        <w:t>el</w:t>
      </w:r>
      <w:r>
        <w:rPr>
          <w:spacing w:val="3"/>
        </w:rPr>
        <w:t xml:space="preserve"> </w:t>
      </w:r>
      <w:r>
        <w:t>acusado</w:t>
      </w:r>
      <w:r>
        <w:rPr>
          <w:spacing w:val="4"/>
        </w:rPr>
        <w:t xml:space="preserve"> </w:t>
      </w:r>
      <w:r>
        <w:t>una</w:t>
      </w:r>
      <w:r>
        <w:rPr>
          <w:spacing w:val="3"/>
        </w:rPr>
        <w:t xml:space="preserve"> </w:t>
      </w:r>
      <w:r>
        <w:t>vez</w:t>
      </w:r>
      <w:r>
        <w:rPr>
          <w:spacing w:val="4"/>
        </w:rPr>
        <w:t xml:space="preserve"> </w:t>
      </w:r>
      <w:r>
        <w:t>que</w:t>
      </w:r>
      <w:r>
        <w:rPr>
          <w:spacing w:val="3"/>
        </w:rPr>
        <w:t xml:space="preserve"> </w:t>
      </w:r>
      <w:r>
        <w:t>se</w:t>
      </w:r>
      <w:r>
        <w:rPr>
          <w:spacing w:val="4"/>
        </w:rPr>
        <w:t xml:space="preserve"> </w:t>
      </w:r>
      <w:r>
        <w:rPr>
          <w:spacing w:val="-5"/>
        </w:rPr>
        <w:t>ha</w:t>
      </w:r>
    </w:p>
    <w:p w14:paraId="7C0F2146" w14:textId="77777777" w:rsidR="0014798C" w:rsidRDefault="004E1F0B">
      <w:pPr>
        <w:pStyle w:val="Textoindependiente"/>
        <w:spacing w:before="66" w:line="271" w:lineRule="auto"/>
        <w:ind w:left="1334" w:right="1917" w:hanging="2"/>
      </w:pPr>
      <w:r>
        <w:t>presentado un caso prima facie de discriminación. El artículo 38 establece que las normas de prueba en casos de discriminación deben ajustarse al Código de Procedimiento Civil. El uso de “datos estadísticos y/o datos obtenidos a</w:t>
      </w:r>
    </w:p>
    <w:p w14:paraId="6B7C6D11" w14:textId="77777777" w:rsidR="0014798C" w:rsidRDefault="004E1F0B">
      <w:pPr>
        <w:pStyle w:val="Textoindependiente"/>
        <w:spacing w:before="83" w:line="326" w:lineRule="auto"/>
        <w:ind w:left="1334" w:right="1840" w:firstLine="3"/>
      </w:pPr>
      <w:r>
        <w:t>través de pruebas de situación” está explícitamente permitido bajo esta disposición. El artículo 39 exime a las personas que inician una demanda por discriminación del pago de tasas judiciales, que correrán a cargo del Estado.</w:t>
      </w:r>
    </w:p>
    <w:p w14:paraId="1F712215" w14:textId="77777777" w:rsidR="0014798C" w:rsidRDefault="004E1F0B">
      <w:pPr>
        <w:pStyle w:val="Textoindependiente"/>
        <w:spacing w:before="113" w:line="326" w:lineRule="auto"/>
        <w:ind w:left="1338" w:right="2004" w:hanging="6"/>
      </w:pPr>
      <w:r>
        <w:t>Finalmente, el capítulo VI establece las sanciones por infracciones a la Ley y el capítulo VII contiene disposiciones transitorias y finales.</w:t>
      </w:r>
    </w:p>
    <w:p w14:paraId="523551AD" w14:textId="77777777" w:rsidR="0014798C" w:rsidRDefault="0014798C">
      <w:pPr>
        <w:pStyle w:val="Textoindependiente"/>
        <w:spacing w:before="173"/>
        <w:rPr>
          <w:sz w:val="26"/>
        </w:rPr>
      </w:pPr>
    </w:p>
    <w:p w14:paraId="628B2FB7" w14:textId="77777777" w:rsidR="0014798C" w:rsidRDefault="004E1F0B">
      <w:pPr>
        <w:ind w:left="1120"/>
        <w:rPr>
          <w:sz w:val="26"/>
        </w:rPr>
      </w:pPr>
      <w:r>
        <w:rPr>
          <w:color w:val="009EDB"/>
          <w:sz w:val="26"/>
        </w:rPr>
        <w:t>D.</w:t>
      </w:r>
      <w:r>
        <w:rPr>
          <w:color w:val="009EDB"/>
          <w:spacing w:val="-1"/>
          <w:sz w:val="26"/>
        </w:rPr>
        <w:t xml:space="preserve"> </w:t>
      </w:r>
      <w:r>
        <w:rPr>
          <w:color w:val="009EDB"/>
          <w:sz w:val="26"/>
        </w:rPr>
        <w:t>Otras</w:t>
      </w:r>
      <w:r>
        <w:rPr>
          <w:color w:val="009EDB"/>
          <w:spacing w:val="-1"/>
          <w:sz w:val="26"/>
        </w:rPr>
        <w:t xml:space="preserve"> </w:t>
      </w:r>
      <w:r>
        <w:rPr>
          <w:color w:val="009EDB"/>
          <w:sz w:val="26"/>
        </w:rPr>
        <w:t>novedades</w:t>
      </w:r>
      <w:r>
        <w:rPr>
          <w:color w:val="009EDB"/>
          <w:spacing w:val="-1"/>
          <w:sz w:val="26"/>
        </w:rPr>
        <w:t xml:space="preserve"> </w:t>
      </w:r>
      <w:r>
        <w:rPr>
          <w:color w:val="009EDB"/>
          <w:sz w:val="26"/>
        </w:rPr>
        <w:t>legislativas</w:t>
      </w:r>
      <w:r>
        <w:rPr>
          <w:color w:val="009EDB"/>
          <w:spacing w:val="-1"/>
          <w:sz w:val="26"/>
        </w:rPr>
        <w:t xml:space="preserve"> </w:t>
      </w:r>
      <w:r>
        <w:rPr>
          <w:color w:val="009EDB"/>
          <w:spacing w:val="-2"/>
          <w:sz w:val="26"/>
        </w:rPr>
        <w:t>nacionales</w:t>
      </w:r>
    </w:p>
    <w:p w14:paraId="10B25F78" w14:textId="77777777" w:rsidR="0014798C" w:rsidRDefault="0014798C">
      <w:pPr>
        <w:pStyle w:val="Textoindependiente"/>
        <w:spacing w:before="66"/>
      </w:pPr>
    </w:p>
    <w:p w14:paraId="260525DC" w14:textId="77777777" w:rsidR="0014798C" w:rsidRDefault="004E1F0B">
      <w:pPr>
        <w:pStyle w:val="Textoindependiente"/>
        <w:spacing w:line="326" w:lineRule="auto"/>
        <w:ind w:left="1107" w:right="1626" w:hanging="4"/>
      </w:pPr>
      <w:r>
        <w:t>Si bien los avances hacia la adopción de una legislación integral contra la discriminación han sido más limitados en otras regiones del mundo, hay indicios claros de que los Estados participan cada vez más en el creciente consenso internacional sobre la necesidad de esa ley y lo impulsan.</w:t>
      </w:r>
    </w:p>
    <w:p w14:paraId="2E8A234B" w14:textId="77777777" w:rsidR="0014798C" w:rsidRDefault="004E1F0B">
      <w:pPr>
        <w:pStyle w:val="Textoindependiente"/>
        <w:spacing w:before="169" w:line="326" w:lineRule="auto"/>
        <w:ind w:left="1106" w:right="1335" w:firstLine="2"/>
      </w:pPr>
      <w:r>
        <w:t>En</w:t>
      </w:r>
      <w:r>
        <w:rPr>
          <w:spacing w:val="16"/>
        </w:rPr>
        <w:t xml:space="preserve"> </w:t>
      </w:r>
      <w:r>
        <w:t>varias</w:t>
      </w:r>
      <w:r>
        <w:rPr>
          <w:spacing w:val="16"/>
        </w:rPr>
        <w:t xml:space="preserve"> </w:t>
      </w:r>
      <w:r>
        <w:t>jurisdicciones</w:t>
      </w:r>
      <w:r>
        <w:rPr>
          <w:spacing w:val="16"/>
        </w:rPr>
        <w:t xml:space="preserve"> </w:t>
      </w:r>
      <w:r>
        <w:t>se</w:t>
      </w:r>
      <w:r>
        <w:rPr>
          <w:spacing w:val="16"/>
        </w:rPr>
        <w:t xml:space="preserve"> </w:t>
      </w:r>
      <w:r>
        <w:t>están</w:t>
      </w:r>
      <w:r>
        <w:rPr>
          <w:spacing w:val="16"/>
        </w:rPr>
        <w:t xml:space="preserve"> </w:t>
      </w:r>
      <w:r>
        <w:t>realizando</w:t>
      </w:r>
      <w:r>
        <w:rPr>
          <w:spacing w:val="16"/>
        </w:rPr>
        <w:t xml:space="preserve"> </w:t>
      </w:r>
      <w:r>
        <w:t>esfuerzos</w:t>
      </w:r>
      <w:r>
        <w:rPr>
          <w:spacing w:val="16"/>
        </w:rPr>
        <w:t xml:space="preserve"> </w:t>
      </w:r>
      <w:r>
        <w:t>para</w:t>
      </w:r>
      <w:r>
        <w:rPr>
          <w:spacing w:val="16"/>
        </w:rPr>
        <w:t xml:space="preserve"> </w:t>
      </w:r>
      <w:r>
        <w:t>reformar</w:t>
      </w:r>
      <w:r>
        <w:rPr>
          <w:spacing w:val="16"/>
        </w:rPr>
        <w:t xml:space="preserve"> </w:t>
      </w:r>
      <w:r>
        <w:t>la</w:t>
      </w:r>
      <w:r>
        <w:rPr>
          <w:spacing w:val="16"/>
        </w:rPr>
        <w:t xml:space="preserve"> </w:t>
      </w:r>
      <w:r>
        <w:t>ley</w:t>
      </w:r>
      <w:r>
        <w:rPr>
          <w:spacing w:val="16"/>
        </w:rPr>
        <w:t xml:space="preserve"> </w:t>
      </w:r>
      <w:r>
        <w:t>de</w:t>
      </w:r>
      <w:r>
        <w:rPr>
          <w:spacing w:val="16"/>
        </w:rPr>
        <w:t xml:space="preserve"> </w:t>
      </w:r>
      <w:r>
        <w:t>igualdad.</w:t>
      </w:r>
      <w:r>
        <w:rPr>
          <w:spacing w:val="17"/>
        </w:rPr>
        <w:t xml:space="preserve"> </w:t>
      </w:r>
      <w:r>
        <w:t>En</w:t>
      </w:r>
      <w:r>
        <w:rPr>
          <w:spacing w:val="16"/>
        </w:rPr>
        <w:t xml:space="preserve"> </w:t>
      </w:r>
      <w:r>
        <w:t>2018,</w:t>
      </w:r>
      <w:r>
        <w:rPr>
          <w:spacing w:val="17"/>
        </w:rPr>
        <w:t xml:space="preserve"> </w:t>
      </w:r>
      <w:r>
        <w:t>por</w:t>
      </w:r>
      <w:r>
        <w:rPr>
          <w:spacing w:val="16"/>
        </w:rPr>
        <w:t xml:space="preserve"> </w:t>
      </w:r>
      <w:r>
        <w:t>ejemplo,</w:t>
      </w:r>
      <w:r>
        <w:rPr>
          <w:spacing w:val="17"/>
        </w:rPr>
        <w:t xml:space="preserve"> </w:t>
      </w:r>
      <w:r>
        <w:t>Túnez</w:t>
      </w:r>
      <w:r>
        <w:rPr>
          <w:spacing w:val="16"/>
        </w:rPr>
        <w:t xml:space="preserve"> </w:t>
      </w:r>
      <w:r>
        <w:t>adoptó una legislación que prohíbe todas las formas de discriminación racial, y recientemente un grupo de miembros del Parlamento propuso un proyecto de ley que prohíbe la discriminación por una gama más amplia de motivos.104 En Bangladesh, un proyecto</w:t>
      </w:r>
      <w:r>
        <w:rPr>
          <w:spacing w:val="80"/>
        </w:rPr>
        <w:t xml:space="preserve"> </w:t>
      </w:r>
      <w:r>
        <w:t>de ley sobre la eliminación de La Comisión Nacional de Derechos Humanos105 ha propuesto la discriminación contra la discriminación y actualmente se encuentra ante el Ministerio de Derecho, Justicia y Asuntos Parlamentarios para su revisión.106</w:t>
      </w:r>
      <w:r>
        <w:rPr>
          <w:spacing w:val="40"/>
        </w:rPr>
        <w:t xml:space="preserve"> </w:t>
      </w:r>
      <w:r>
        <w:t>En 2020, Hong Kong, China aprobó la Ordenanza sobre legislación contra la discriminación (enmiendas varias), que amplió el alcance</w:t>
      </w:r>
      <w:r>
        <w:rPr>
          <w:spacing w:val="18"/>
        </w:rPr>
        <w:t xml:space="preserve"> </w:t>
      </w:r>
      <w:r>
        <w:t>de</w:t>
      </w:r>
      <w:r>
        <w:rPr>
          <w:spacing w:val="18"/>
        </w:rPr>
        <w:t xml:space="preserve"> </w:t>
      </w:r>
      <w:r>
        <w:t>la</w:t>
      </w:r>
      <w:r>
        <w:rPr>
          <w:spacing w:val="18"/>
        </w:rPr>
        <w:t xml:space="preserve"> </w:t>
      </w:r>
      <w:r>
        <w:t>protección.</w:t>
      </w:r>
      <w:r>
        <w:rPr>
          <w:spacing w:val="19"/>
        </w:rPr>
        <w:t xml:space="preserve"> </w:t>
      </w:r>
      <w:r>
        <w:t>contra</w:t>
      </w:r>
      <w:r>
        <w:rPr>
          <w:spacing w:val="18"/>
        </w:rPr>
        <w:t xml:space="preserve"> </w:t>
      </w:r>
      <w:r>
        <w:t>la</w:t>
      </w:r>
      <w:r>
        <w:rPr>
          <w:spacing w:val="18"/>
        </w:rPr>
        <w:t xml:space="preserve"> </w:t>
      </w:r>
      <w:r>
        <w:t>discriminación</w:t>
      </w:r>
      <w:r>
        <w:rPr>
          <w:spacing w:val="19"/>
        </w:rPr>
        <w:t xml:space="preserve"> </w:t>
      </w:r>
      <w:r>
        <w:t>previstas</w:t>
      </w:r>
      <w:r>
        <w:rPr>
          <w:spacing w:val="18"/>
        </w:rPr>
        <w:t xml:space="preserve"> </w:t>
      </w:r>
      <w:r>
        <w:t>en</w:t>
      </w:r>
      <w:r>
        <w:rPr>
          <w:spacing w:val="18"/>
        </w:rPr>
        <w:t xml:space="preserve"> </w:t>
      </w:r>
      <w:r>
        <w:t>sus</w:t>
      </w:r>
      <w:r>
        <w:rPr>
          <w:spacing w:val="18"/>
        </w:rPr>
        <w:t xml:space="preserve"> </w:t>
      </w:r>
      <w:r>
        <w:t>ordenanzas</w:t>
      </w:r>
      <w:r>
        <w:rPr>
          <w:spacing w:val="18"/>
        </w:rPr>
        <w:t xml:space="preserve"> </w:t>
      </w:r>
      <w:r>
        <w:t>de</w:t>
      </w:r>
      <w:r>
        <w:rPr>
          <w:spacing w:val="18"/>
        </w:rPr>
        <w:t xml:space="preserve"> </w:t>
      </w:r>
      <w:r>
        <w:t>igualdad</w:t>
      </w:r>
      <w:r>
        <w:rPr>
          <w:spacing w:val="18"/>
        </w:rPr>
        <w:t xml:space="preserve"> </w:t>
      </w:r>
      <w:r>
        <w:t>(terrenos</w:t>
      </w:r>
      <w:r>
        <w:rPr>
          <w:spacing w:val="18"/>
        </w:rPr>
        <w:t xml:space="preserve"> </w:t>
      </w:r>
      <w:r>
        <w:t>específicos).107</w:t>
      </w:r>
      <w:r>
        <w:rPr>
          <w:spacing w:val="18"/>
        </w:rPr>
        <w:t xml:space="preserve"> </w:t>
      </w:r>
      <w:r>
        <w:t>En Australia, las conversaciones relacionadas con la consolidación de los instrumentos federales de igualdad del Estado108 en</w:t>
      </w:r>
    </w:p>
    <w:p w14:paraId="0478BAD5" w14:textId="77777777" w:rsidR="0014798C" w:rsidRDefault="004E1F0B">
      <w:pPr>
        <w:pStyle w:val="Textoindependiente"/>
        <w:spacing w:line="326" w:lineRule="auto"/>
        <w:ind w:left="1108" w:right="1443" w:firstLine="3"/>
        <w:jc w:val="both"/>
      </w:pPr>
      <w:proofErr w:type="gramStart"/>
      <w:r>
        <w:t>una única ley de igualdad han</w:t>
      </w:r>
      <w:proofErr w:type="gramEnd"/>
      <w:r>
        <w:t xml:space="preserve"> estado en curso desde al menos 2011109 y la Comisión Australiana de Derechos Humanos ha liderado recientemente discusiones sobre una mayor reforma de la ley federal contra la discriminación.110 En Argentina, una coalición</w:t>
      </w:r>
      <w:r>
        <w:rPr>
          <w:spacing w:val="9"/>
        </w:rPr>
        <w:t xml:space="preserve"> </w:t>
      </w:r>
      <w:r>
        <w:t>de</w:t>
      </w:r>
      <w:r>
        <w:rPr>
          <w:spacing w:val="9"/>
        </w:rPr>
        <w:t xml:space="preserve"> </w:t>
      </w:r>
      <w:r>
        <w:t>organizaciones</w:t>
      </w:r>
      <w:r>
        <w:rPr>
          <w:spacing w:val="9"/>
        </w:rPr>
        <w:t xml:space="preserve"> </w:t>
      </w:r>
      <w:r>
        <w:t>de</w:t>
      </w:r>
      <w:r>
        <w:rPr>
          <w:spacing w:val="9"/>
        </w:rPr>
        <w:t xml:space="preserve"> </w:t>
      </w:r>
      <w:r>
        <w:t>la</w:t>
      </w:r>
      <w:r>
        <w:rPr>
          <w:spacing w:val="9"/>
        </w:rPr>
        <w:t xml:space="preserve"> </w:t>
      </w:r>
      <w:r>
        <w:t>sociedad</w:t>
      </w:r>
      <w:r>
        <w:rPr>
          <w:spacing w:val="9"/>
        </w:rPr>
        <w:t xml:space="preserve"> </w:t>
      </w:r>
      <w:r>
        <w:t>civil</w:t>
      </w:r>
      <w:r>
        <w:rPr>
          <w:spacing w:val="11"/>
        </w:rPr>
        <w:t xml:space="preserve"> </w:t>
      </w:r>
      <w:r>
        <w:t>está</w:t>
      </w:r>
      <w:r>
        <w:rPr>
          <w:spacing w:val="9"/>
        </w:rPr>
        <w:t xml:space="preserve"> </w:t>
      </w:r>
      <w:r>
        <w:t>trabajando</w:t>
      </w:r>
      <w:r>
        <w:rPr>
          <w:spacing w:val="9"/>
        </w:rPr>
        <w:t xml:space="preserve"> </w:t>
      </w:r>
      <w:r>
        <w:t>para</w:t>
      </w:r>
      <w:r>
        <w:rPr>
          <w:spacing w:val="9"/>
        </w:rPr>
        <w:t xml:space="preserve"> </w:t>
      </w:r>
      <w:r>
        <w:t>promover</w:t>
      </w:r>
      <w:r>
        <w:rPr>
          <w:spacing w:val="9"/>
        </w:rPr>
        <w:t xml:space="preserve"> </w:t>
      </w:r>
      <w:r>
        <w:t>la</w:t>
      </w:r>
      <w:r>
        <w:rPr>
          <w:spacing w:val="9"/>
        </w:rPr>
        <w:t xml:space="preserve"> </w:t>
      </w:r>
      <w:r>
        <w:t>adopción</w:t>
      </w:r>
      <w:r>
        <w:rPr>
          <w:spacing w:val="9"/>
        </w:rPr>
        <w:t xml:space="preserve"> </w:t>
      </w:r>
      <w:r>
        <w:t>de</w:t>
      </w:r>
      <w:r>
        <w:rPr>
          <w:spacing w:val="9"/>
        </w:rPr>
        <w:t xml:space="preserve"> </w:t>
      </w:r>
      <w:r>
        <w:t>una</w:t>
      </w:r>
      <w:r>
        <w:rPr>
          <w:spacing w:val="9"/>
        </w:rPr>
        <w:t xml:space="preserve"> </w:t>
      </w:r>
      <w:r>
        <w:t>ley</w:t>
      </w:r>
      <w:r>
        <w:rPr>
          <w:spacing w:val="9"/>
        </w:rPr>
        <w:t xml:space="preserve"> </w:t>
      </w:r>
      <w:r>
        <w:t>nacional</w:t>
      </w:r>
      <w:r>
        <w:rPr>
          <w:spacing w:val="9"/>
        </w:rPr>
        <w:t xml:space="preserve"> </w:t>
      </w:r>
      <w:r>
        <w:t>integral</w:t>
      </w:r>
      <w:r>
        <w:rPr>
          <w:spacing w:val="9"/>
        </w:rPr>
        <w:t xml:space="preserve"> </w:t>
      </w:r>
      <w:r>
        <w:t>contra la discriminación, luego del éxito en la obtención de una ley en Buenos Aires (Ley No. 5261). en 2015.</w:t>
      </w:r>
    </w:p>
    <w:p w14:paraId="26A434E7" w14:textId="77777777" w:rsidR="0014798C" w:rsidRDefault="0014798C">
      <w:pPr>
        <w:pStyle w:val="Textoindependiente"/>
        <w:rPr>
          <w:sz w:val="20"/>
        </w:rPr>
      </w:pPr>
    </w:p>
    <w:p w14:paraId="048E4C40" w14:textId="77777777" w:rsidR="0014798C" w:rsidRDefault="0014798C">
      <w:pPr>
        <w:pStyle w:val="Textoindependiente"/>
        <w:rPr>
          <w:sz w:val="20"/>
        </w:rPr>
      </w:pPr>
    </w:p>
    <w:p w14:paraId="620FEDEB" w14:textId="77777777" w:rsidR="0014798C" w:rsidRDefault="0014798C">
      <w:pPr>
        <w:pStyle w:val="Textoindependiente"/>
        <w:rPr>
          <w:sz w:val="20"/>
        </w:rPr>
      </w:pPr>
    </w:p>
    <w:p w14:paraId="32D5BC6B" w14:textId="77777777" w:rsidR="0014798C" w:rsidRDefault="0014798C">
      <w:pPr>
        <w:rPr>
          <w:sz w:val="20"/>
        </w:rPr>
        <w:sectPr w:rsidR="0014798C" w:rsidSect="00F265E4">
          <w:pgSz w:w="11900" w:h="16820"/>
          <w:pgMar w:top="340" w:right="0" w:bottom="280" w:left="200" w:header="121" w:footer="0" w:gutter="0"/>
          <w:cols w:space="720"/>
        </w:sectPr>
      </w:pPr>
    </w:p>
    <w:p w14:paraId="4CAA20B3" w14:textId="77777777" w:rsidR="0014798C" w:rsidRDefault="0014798C">
      <w:pPr>
        <w:pStyle w:val="Textoindependiente"/>
        <w:spacing w:before="9"/>
        <w:rPr>
          <w:sz w:val="8"/>
        </w:rPr>
      </w:pPr>
    </w:p>
    <w:p w14:paraId="35B545F9" w14:textId="77777777" w:rsidR="0014798C" w:rsidRPr="00952E34" w:rsidRDefault="004E1F0B">
      <w:pPr>
        <w:spacing w:before="1"/>
        <w:jc w:val="right"/>
        <w:rPr>
          <w:sz w:val="12"/>
          <w:szCs w:val="12"/>
          <w:lang w:val="en-US"/>
        </w:rPr>
      </w:pPr>
      <w:r w:rsidRPr="00952E34">
        <w:rPr>
          <w:spacing w:val="-5"/>
          <w:w w:val="105"/>
          <w:sz w:val="12"/>
          <w:szCs w:val="12"/>
          <w:lang w:val="en-US"/>
        </w:rPr>
        <w:t>104</w:t>
      </w:r>
    </w:p>
    <w:p w14:paraId="064A3E39" w14:textId="77777777" w:rsidR="0014798C" w:rsidRPr="00952E34" w:rsidRDefault="004E1F0B">
      <w:pPr>
        <w:spacing w:before="119"/>
        <w:ind w:left="79"/>
        <w:rPr>
          <w:sz w:val="12"/>
          <w:szCs w:val="12"/>
          <w:lang w:val="en-US"/>
        </w:rPr>
      </w:pPr>
      <w:r w:rsidRPr="00952E34">
        <w:rPr>
          <w:sz w:val="12"/>
          <w:szCs w:val="12"/>
          <w:lang w:val="en-US"/>
        </w:rPr>
        <w:br w:type="column"/>
      </w:r>
      <w:r w:rsidRPr="00952E34">
        <w:rPr>
          <w:sz w:val="12"/>
          <w:szCs w:val="12"/>
          <w:lang w:val="en-US"/>
        </w:rPr>
        <w:t>CCPR/C/TUN/CO/6,</w:t>
      </w:r>
      <w:r w:rsidRPr="00952E34">
        <w:rPr>
          <w:spacing w:val="22"/>
          <w:sz w:val="12"/>
          <w:szCs w:val="12"/>
          <w:lang w:val="en-US"/>
        </w:rPr>
        <w:t xml:space="preserve"> </w:t>
      </w:r>
      <w:proofErr w:type="spellStart"/>
      <w:r w:rsidRPr="00952E34">
        <w:rPr>
          <w:sz w:val="12"/>
          <w:szCs w:val="12"/>
          <w:lang w:val="en-US"/>
        </w:rPr>
        <w:t>párrs</w:t>
      </w:r>
      <w:proofErr w:type="spellEnd"/>
      <w:r w:rsidRPr="00952E34">
        <w:rPr>
          <w:sz w:val="12"/>
          <w:szCs w:val="12"/>
          <w:lang w:val="en-US"/>
        </w:rPr>
        <w:t>.</w:t>
      </w:r>
      <w:r w:rsidRPr="00952E34">
        <w:rPr>
          <w:spacing w:val="23"/>
          <w:sz w:val="12"/>
          <w:szCs w:val="12"/>
          <w:lang w:val="en-US"/>
        </w:rPr>
        <w:t xml:space="preserve"> </w:t>
      </w:r>
      <w:r w:rsidRPr="00952E34">
        <w:rPr>
          <w:sz w:val="12"/>
          <w:szCs w:val="12"/>
          <w:lang w:val="en-US"/>
        </w:rPr>
        <w:t>15-</w:t>
      </w:r>
      <w:r w:rsidRPr="00952E34">
        <w:rPr>
          <w:spacing w:val="-5"/>
          <w:sz w:val="12"/>
          <w:szCs w:val="12"/>
          <w:lang w:val="en-US"/>
        </w:rPr>
        <w:t>16.</w:t>
      </w:r>
    </w:p>
    <w:p w14:paraId="6941BF3C" w14:textId="77777777" w:rsidR="0014798C" w:rsidRPr="00952E34" w:rsidRDefault="0014798C">
      <w:pPr>
        <w:rPr>
          <w:sz w:val="12"/>
          <w:szCs w:val="12"/>
          <w:lang w:val="en-US"/>
        </w:rPr>
        <w:sectPr w:rsidR="0014798C" w:rsidRPr="00952E34" w:rsidSect="00F265E4">
          <w:type w:val="continuous"/>
          <w:pgSz w:w="11900" w:h="16820"/>
          <w:pgMar w:top="40" w:right="0" w:bottom="280" w:left="200" w:header="121" w:footer="0" w:gutter="0"/>
          <w:cols w:num="2" w:space="720" w:equalWidth="0">
            <w:col w:w="1253" w:space="40"/>
            <w:col w:w="10407"/>
          </w:cols>
        </w:sectPr>
      </w:pPr>
    </w:p>
    <w:p w14:paraId="1A525949" w14:textId="77777777" w:rsidR="0014798C" w:rsidRPr="00952E34" w:rsidRDefault="004E1F0B">
      <w:pPr>
        <w:spacing w:before="99"/>
        <w:ind w:left="1111"/>
        <w:rPr>
          <w:sz w:val="12"/>
          <w:szCs w:val="12"/>
        </w:rPr>
      </w:pPr>
      <w:r w:rsidRPr="00952E34">
        <w:rPr>
          <w:w w:val="105"/>
          <w:sz w:val="12"/>
          <w:szCs w:val="12"/>
          <w:lang w:val="en-US"/>
        </w:rPr>
        <w:t>105</w:t>
      </w:r>
      <w:r w:rsidRPr="00952E34">
        <w:rPr>
          <w:spacing w:val="-8"/>
          <w:w w:val="105"/>
          <w:sz w:val="12"/>
          <w:szCs w:val="12"/>
          <w:lang w:val="en-US"/>
        </w:rPr>
        <w:t xml:space="preserve"> </w:t>
      </w:r>
      <w:r w:rsidRPr="00952E34">
        <w:rPr>
          <w:w w:val="105"/>
          <w:sz w:val="12"/>
          <w:szCs w:val="12"/>
          <w:lang w:val="en-US"/>
        </w:rPr>
        <w:t>Muhammed</w:t>
      </w:r>
      <w:r w:rsidRPr="00952E34">
        <w:rPr>
          <w:spacing w:val="-8"/>
          <w:w w:val="105"/>
          <w:sz w:val="12"/>
          <w:szCs w:val="12"/>
          <w:lang w:val="en-US"/>
        </w:rPr>
        <w:t xml:space="preserve"> </w:t>
      </w:r>
      <w:r w:rsidRPr="00952E34">
        <w:rPr>
          <w:w w:val="105"/>
          <w:sz w:val="12"/>
          <w:szCs w:val="12"/>
          <w:lang w:val="en-US"/>
        </w:rPr>
        <w:t>Yeasin,</w:t>
      </w:r>
      <w:r w:rsidRPr="00952E34">
        <w:rPr>
          <w:spacing w:val="-8"/>
          <w:w w:val="105"/>
          <w:sz w:val="12"/>
          <w:szCs w:val="12"/>
          <w:lang w:val="en-US"/>
        </w:rPr>
        <w:t xml:space="preserve"> </w:t>
      </w:r>
      <w:r w:rsidRPr="00952E34">
        <w:rPr>
          <w:w w:val="105"/>
          <w:sz w:val="12"/>
          <w:szCs w:val="12"/>
          <w:lang w:val="en-US"/>
        </w:rPr>
        <w:t>“NHRC</w:t>
      </w:r>
      <w:r w:rsidRPr="00952E34">
        <w:rPr>
          <w:spacing w:val="-7"/>
          <w:w w:val="105"/>
          <w:sz w:val="12"/>
          <w:szCs w:val="12"/>
          <w:lang w:val="en-US"/>
        </w:rPr>
        <w:t xml:space="preserve"> </w:t>
      </w:r>
      <w:r w:rsidRPr="00952E34">
        <w:rPr>
          <w:w w:val="105"/>
          <w:sz w:val="12"/>
          <w:szCs w:val="12"/>
          <w:lang w:val="en-US"/>
        </w:rPr>
        <w:t>sends</w:t>
      </w:r>
      <w:r w:rsidRPr="00952E34">
        <w:rPr>
          <w:spacing w:val="-8"/>
          <w:w w:val="105"/>
          <w:sz w:val="12"/>
          <w:szCs w:val="12"/>
          <w:lang w:val="en-US"/>
        </w:rPr>
        <w:t xml:space="preserve"> </w:t>
      </w:r>
      <w:r w:rsidRPr="00952E34">
        <w:rPr>
          <w:w w:val="105"/>
          <w:sz w:val="12"/>
          <w:szCs w:val="12"/>
          <w:lang w:val="en-US"/>
        </w:rPr>
        <w:t>draft</w:t>
      </w:r>
      <w:r w:rsidRPr="00952E34">
        <w:rPr>
          <w:spacing w:val="-8"/>
          <w:w w:val="105"/>
          <w:sz w:val="12"/>
          <w:szCs w:val="12"/>
          <w:lang w:val="en-US"/>
        </w:rPr>
        <w:t xml:space="preserve"> </w:t>
      </w:r>
      <w:r w:rsidRPr="00952E34">
        <w:rPr>
          <w:w w:val="105"/>
          <w:sz w:val="12"/>
          <w:szCs w:val="12"/>
          <w:lang w:val="en-US"/>
        </w:rPr>
        <w:t>to</w:t>
      </w:r>
      <w:r w:rsidRPr="00952E34">
        <w:rPr>
          <w:spacing w:val="-8"/>
          <w:w w:val="105"/>
          <w:sz w:val="12"/>
          <w:szCs w:val="12"/>
          <w:lang w:val="en-US"/>
        </w:rPr>
        <w:t xml:space="preserve"> </w:t>
      </w:r>
      <w:r w:rsidRPr="00952E34">
        <w:rPr>
          <w:w w:val="105"/>
          <w:sz w:val="12"/>
          <w:szCs w:val="12"/>
          <w:lang w:val="en-US"/>
        </w:rPr>
        <w:t>govt”,</w:t>
      </w:r>
      <w:r w:rsidRPr="00952E34">
        <w:rPr>
          <w:spacing w:val="-7"/>
          <w:w w:val="105"/>
          <w:sz w:val="12"/>
          <w:szCs w:val="12"/>
          <w:lang w:val="en-US"/>
        </w:rPr>
        <w:t xml:space="preserve"> </w:t>
      </w:r>
      <w:r w:rsidRPr="00952E34">
        <w:rPr>
          <w:w w:val="105"/>
          <w:sz w:val="12"/>
          <w:szCs w:val="12"/>
          <w:lang w:val="en-US"/>
        </w:rPr>
        <w:t>Independent</w:t>
      </w:r>
      <w:r w:rsidRPr="00952E34">
        <w:rPr>
          <w:spacing w:val="-7"/>
          <w:w w:val="105"/>
          <w:sz w:val="12"/>
          <w:szCs w:val="12"/>
          <w:lang w:val="en-US"/>
        </w:rPr>
        <w:t xml:space="preserve"> </w:t>
      </w:r>
      <w:r w:rsidRPr="00952E34">
        <w:rPr>
          <w:w w:val="105"/>
          <w:sz w:val="12"/>
          <w:szCs w:val="12"/>
          <w:lang w:val="en-US"/>
        </w:rPr>
        <w:t>(Dhaka),</w:t>
      </w:r>
      <w:r w:rsidRPr="00952E34">
        <w:rPr>
          <w:spacing w:val="-8"/>
          <w:w w:val="105"/>
          <w:sz w:val="12"/>
          <w:szCs w:val="12"/>
          <w:lang w:val="en-US"/>
        </w:rPr>
        <w:t xml:space="preserve"> </w:t>
      </w:r>
      <w:r w:rsidRPr="00952E34">
        <w:rPr>
          <w:w w:val="105"/>
          <w:sz w:val="12"/>
          <w:szCs w:val="12"/>
          <w:lang w:val="en-US"/>
        </w:rPr>
        <w:t>21</w:t>
      </w:r>
      <w:r w:rsidRPr="00952E34">
        <w:rPr>
          <w:spacing w:val="-8"/>
          <w:w w:val="105"/>
          <w:sz w:val="12"/>
          <w:szCs w:val="12"/>
          <w:lang w:val="en-US"/>
        </w:rPr>
        <w:t xml:space="preserve"> </w:t>
      </w:r>
      <w:r w:rsidRPr="00952E34">
        <w:rPr>
          <w:w w:val="105"/>
          <w:sz w:val="12"/>
          <w:szCs w:val="12"/>
          <w:lang w:val="en-US"/>
        </w:rPr>
        <w:t>de</w:t>
      </w:r>
      <w:r w:rsidRPr="00952E34">
        <w:rPr>
          <w:spacing w:val="-7"/>
          <w:w w:val="105"/>
          <w:sz w:val="12"/>
          <w:szCs w:val="12"/>
          <w:lang w:val="en-US"/>
        </w:rPr>
        <w:t xml:space="preserve"> </w:t>
      </w:r>
      <w:proofErr w:type="spellStart"/>
      <w:r w:rsidRPr="00952E34">
        <w:rPr>
          <w:w w:val="105"/>
          <w:sz w:val="12"/>
          <w:szCs w:val="12"/>
          <w:lang w:val="en-US"/>
        </w:rPr>
        <w:t>abril</w:t>
      </w:r>
      <w:proofErr w:type="spellEnd"/>
      <w:r w:rsidRPr="00952E34">
        <w:rPr>
          <w:spacing w:val="-8"/>
          <w:w w:val="105"/>
          <w:sz w:val="12"/>
          <w:szCs w:val="12"/>
          <w:lang w:val="en-US"/>
        </w:rPr>
        <w:t xml:space="preserve"> </w:t>
      </w:r>
      <w:r w:rsidRPr="00952E34">
        <w:rPr>
          <w:w w:val="105"/>
          <w:sz w:val="12"/>
          <w:szCs w:val="12"/>
          <w:lang w:val="en-US"/>
        </w:rPr>
        <w:t>de</w:t>
      </w:r>
      <w:r w:rsidRPr="00952E34">
        <w:rPr>
          <w:spacing w:val="-8"/>
          <w:w w:val="105"/>
          <w:sz w:val="12"/>
          <w:szCs w:val="12"/>
          <w:lang w:val="en-US"/>
        </w:rPr>
        <w:t xml:space="preserve"> </w:t>
      </w:r>
      <w:r w:rsidRPr="00952E34">
        <w:rPr>
          <w:w w:val="105"/>
          <w:sz w:val="12"/>
          <w:szCs w:val="12"/>
          <w:lang w:val="en-US"/>
        </w:rPr>
        <w:t>2018.</w:t>
      </w:r>
      <w:r w:rsidRPr="00952E34">
        <w:rPr>
          <w:spacing w:val="-8"/>
          <w:w w:val="105"/>
          <w:sz w:val="12"/>
          <w:szCs w:val="12"/>
          <w:lang w:val="en-US"/>
        </w:rPr>
        <w:t xml:space="preserve"> </w:t>
      </w:r>
      <w:r w:rsidRPr="00952E34">
        <w:rPr>
          <w:w w:val="105"/>
          <w:sz w:val="12"/>
          <w:szCs w:val="12"/>
        </w:rPr>
        <w:t>Disponible</w:t>
      </w:r>
      <w:r w:rsidRPr="00952E34">
        <w:rPr>
          <w:spacing w:val="-7"/>
          <w:w w:val="105"/>
          <w:sz w:val="12"/>
          <w:szCs w:val="12"/>
        </w:rPr>
        <w:t xml:space="preserve"> </w:t>
      </w:r>
      <w:r w:rsidRPr="00952E34">
        <w:rPr>
          <w:w w:val="105"/>
          <w:sz w:val="12"/>
          <w:szCs w:val="12"/>
        </w:rPr>
        <w:t>en</w:t>
      </w:r>
      <w:r w:rsidRPr="00952E34">
        <w:rPr>
          <w:spacing w:val="-8"/>
          <w:w w:val="105"/>
          <w:sz w:val="12"/>
          <w:szCs w:val="12"/>
        </w:rPr>
        <w:t xml:space="preserve"> </w:t>
      </w:r>
      <w:hyperlink r:id="rId80">
        <w:r w:rsidRPr="00952E34">
          <w:rPr>
            <w:color w:val="0075BF"/>
            <w:spacing w:val="-2"/>
            <w:w w:val="105"/>
            <w:sz w:val="12"/>
            <w:szCs w:val="12"/>
          </w:rPr>
          <w:t>www.theindependentbd.com/</w:t>
        </w:r>
      </w:hyperlink>
    </w:p>
    <w:p w14:paraId="6437FBFE" w14:textId="77777777" w:rsidR="0014798C" w:rsidRPr="00952E34" w:rsidRDefault="004E1F0B">
      <w:pPr>
        <w:spacing w:before="86"/>
        <w:ind w:left="1366"/>
        <w:rPr>
          <w:sz w:val="12"/>
          <w:szCs w:val="12"/>
        </w:rPr>
      </w:pPr>
      <w:hyperlink r:id="rId81">
        <w:r w:rsidRPr="00952E34">
          <w:rPr>
            <w:color w:val="0075BF"/>
            <w:spacing w:val="-2"/>
            <w:w w:val="105"/>
            <w:sz w:val="12"/>
            <w:szCs w:val="12"/>
          </w:rPr>
          <w:t>publicación/146679.</w:t>
        </w:r>
      </w:hyperlink>
    </w:p>
    <w:p w14:paraId="52CB1B22" w14:textId="77777777" w:rsidR="0014798C" w:rsidRPr="00952E34" w:rsidRDefault="0014798C">
      <w:pPr>
        <w:pStyle w:val="Textoindependiente"/>
        <w:spacing w:before="19"/>
        <w:rPr>
          <w:sz w:val="12"/>
          <w:szCs w:val="12"/>
        </w:rPr>
      </w:pPr>
    </w:p>
    <w:p w14:paraId="54DCDBB7" w14:textId="77777777" w:rsidR="0014798C" w:rsidRPr="00952E34" w:rsidRDefault="004E1F0B">
      <w:pPr>
        <w:spacing w:before="1"/>
        <w:ind w:left="1111"/>
        <w:rPr>
          <w:sz w:val="12"/>
          <w:szCs w:val="12"/>
        </w:rPr>
      </w:pPr>
      <w:r w:rsidRPr="00952E34">
        <w:rPr>
          <w:spacing w:val="-2"/>
          <w:w w:val="105"/>
          <w:sz w:val="12"/>
          <w:szCs w:val="12"/>
        </w:rPr>
        <w:t>106</w:t>
      </w:r>
      <w:r w:rsidRPr="00952E34">
        <w:rPr>
          <w:spacing w:val="4"/>
          <w:w w:val="105"/>
          <w:sz w:val="12"/>
          <w:szCs w:val="12"/>
        </w:rPr>
        <w:t xml:space="preserve"> </w:t>
      </w:r>
      <w:r w:rsidRPr="00952E34">
        <w:rPr>
          <w:spacing w:val="-2"/>
          <w:w w:val="105"/>
          <w:sz w:val="12"/>
          <w:szCs w:val="12"/>
        </w:rPr>
        <w:t>Grupo</w:t>
      </w:r>
      <w:r w:rsidRPr="00952E34">
        <w:rPr>
          <w:spacing w:val="5"/>
          <w:w w:val="105"/>
          <w:sz w:val="12"/>
          <w:szCs w:val="12"/>
        </w:rPr>
        <w:t xml:space="preserve"> </w:t>
      </w:r>
      <w:r w:rsidRPr="00952E34">
        <w:rPr>
          <w:spacing w:val="-2"/>
          <w:w w:val="105"/>
          <w:sz w:val="12"/>
          <w:szCs w:val="12"/>
        </w:rPr>
        <w:t>de</w:t>
      </w:r>
      <w:r w:rsidRPr="00952E34">
        <w:rPr>
          <w:spacing w:val="4"/>
          <w:w w:val="105"/>
          <w:sz w:val="12"/>
          <w:szCs w:val="12"/>
        </w:rPr>
        <w:t xml:space="preserve"> </w:t>
      </w:r>
      <w:r w:rsidRPr="00952E34">
        <w:rPr>
          <w:spacing w:val="-2"/>
          <w:w w:val="105"/>
          <w:sz w:val="12"/>
          <w:szCs w:val="12"/>
        </w:rPr>
        <w:t>Solidaridad</w:t>
      </w:r>
      <w:r w:rsidRPr="00952E34">
        <w:rPr>
          <w:spacing w:val="5"/>
          <w:w w:val="105"/>
          <w:sz w:val="12"/>
          <w:szCs w:val="12"/>
        </w:rPr>
        <w:t xml:space="preserve"> </w:t>
      </w:r>
      <w:r w:rsidRPr="00952E34">
        <w:rPr>
          <w:spacing w:val="-2"/>
          <w:w w:val="105"/>
          <w:sz w:val="12"/>
          <w:szCs w:val="12"/>
        </w:rPr>
        <w:t>con</w:t>
      </w:r>
      <w:r w:rsidRPr="00952E34">
        <w:rPr>
          <w:spacing w:val="5"/>
          <w:w w:val="105"/>
          <w:sz w:val="12"/>
          <w:szCs w:val="12"/>
        </w:rPr>
        <w:t xml:space="preserve"> </w:t>
      </w:r>
      <w:r w:rsidRPr="00952E34">
        <w:rPr>
          <w:spacing w:val="-2"/>
          <w:w w:val="105"/>
          <w:sz w:val="12"/>
          <w:szCs w:val="12"/>
        </w:rPr>
        <w:t>Bangladesh,</w:t>
      </w:r>
      <w:r w:rsidRPr="00952E34">
        <w:rPr>
          <w:spacing w:val="4"/>
          <w:w w:val="105"/>
          <w:sz w:val="12"/>
          <w:szCs w:val="12"/>
        </w:rPr>
        <w:t xml:space="preserve"> </w:t>
      </w:r>
      <w:r w:rsidRPr="00952E34">
        <w:rPr>
          <w:spacing w:val="-2"/>
          <w:w w:val="105"/>
          <w:sz w:val="12"/>
          <w:szCs w:val="12"/>
        </w:rPr>
        <w:t>“Derechos</w:t>
      </w:r>
      <w:r w:rsidRPr="00952E34">
        <w:rPr>
          <w:spacing w:val="5"/>
          <w:w w:val="105"/>
          <w:sz w:val="12"/>
          <w:szCs w:val="12"/>
        </w:rPr>
        <w:t xml:space="preserve"> </w:t>
      </w:r>
      <w:r w:rsidRPr="00952E34">
        <w:rPr>
          <w:spacing w:val="-2"/>
          <w:w w:val="105"/>
          <w:sz w:val="12"/>
          <w:szCs w:val="12"/>
        </w:rPr>
        <w:t>humanos</w:t>
      </w:r>
      <w:r w:rsidRPr="00952E34">
        <w:rPr>
          <w:spacing w:val="4"/>
          <w:w w:val="105"/>
          <w:sz w:val="12"/>
          <w:szCs w:val="12"/>
        </w:rPr>
        <w:t xml:space="preserve"> </w:t>
      </w:r>
      <w:r w:rsidRPr="00952E34">
        <w:rPr>
          <w:spacing w:val="-2"/>
          <w:w w:val="105"/>
          <w:sz w:val="12"/>
          <w:szCs w:val="12"/>
        </w:rPr>
        <w:t>en</w:t>
      </w:r>
      <w:r w:rsidRPr="00952E34">
        <w:rPr>
          <w:spacing w:val="5"/>
          <w:w w:val="105"/>
          <w:sz w:val="12"/>
          <w:szCs w:val="12"/>
        </w:rPr>
        <w:t xml:space="preserve"> </w:t>
      </w:r>
      <w:r w:rsidRPr="00952E34">
        <w:rPr>
          <w:spacing w:val="-2"/>
          <w:w w:val="105"/>
          <w:sz w:val="12"/>
          <w:szCs w:val="12"/>
        </w:rPr>
        <w:t>Bangladesh:</w:t>
      </w:r>
      <w:r w:rsidRPr="00952E34">
        <w:rPr>
          <w:spacing w:val="5"/>
          <w:w w:val="105"/>
          <w:sz w:val="12"/>
          <w:szCs w:val="12"/>
        </w:rPr>
        <w:t xml:space="preserve"> </w:t>
      </w:r>
      <w:r w:rsidRPr="00952E34">
        <w:rPr>
          <w:spacing w:val="-2"/>
          <w:w w:val="105"/>
          <w:sz w:val="12"/>
          <w:szCs w:val="12"/>
        </w:rPr>
        <w:t>una</w:t>
      </w:r>
      <w:r w:rsidRPr="00952E34">
        <w:rPr>
          <w:spacing w:val="4"/>
          <w:w w:val="105"/>
          <w:sz w:val="12"/>
          <w:szCs w:val="12"/>
        </w:rPr>
        <w:t xml:space="preserve"> </w:t>
      </w:r>
      <w:r w:rsidRPr="00952E34">
        <w:rPr>
          <w:spacing w:val="-2"/>
          <w:w w:val="105"/>
          <w:sz w:val="12"/>
          <w:szCs w:val="12"/>
        </w:rPr>
        <w:t>evaluación</w:t>
      </w:r>
      <w:r w:rsidRPr="00952E34">
        <w:rPr>
          <w:spacing w:val="5"/>
          <w:w w:val="105"/>
          <w:sz w:val="12"/>
          <w:szCs w:val="12"/>
        </w:rPr>
        <w:t xml:space="preserve"> </w:t>
      </w:r>
      <w:r w:rsidRPr="00952E34">
        <w:rPr>
          <w:spacing w:val="-2"/>
          <w:w w:val="105"/>
          <w:sz w:val="12"/>
          <w:szCs w:val="12"/>
        </w:rPr>
        <w:t>intermedia</w:t>
      </w:r>
      <w:r w:rsidRPr="00952E34">
        <w:rPr>
          <w:spacing w:val="4"/>
          <w:w w:val="105"/>
          <w:sz w:val="12"/>
          <w:szCs w:val="12"/>
        </w:rPr>
        <w:t xml:space="preserve"> </w:t>
      </w:r>
      <w:r w:rsidRPr="00952E34">
        <w:rPr>
          <w:spacing w:val="-2"/>
          <w:w w:val="105"/>
          <w:sz w:val="12"/>
          <w:szCs w:val="12"/>
        </w:rPr>
        <w:t>de</w:t>
      </w:r>
      <w:r w:rsidRPr="00952E34">
        <w:rPr>
          <w:spacing w:val="5"/>
          <w:w w:val="105"/>
          <w:sz w:val="12"/>
          <w:szCs w:val="12"/>
        </w:rPr>
        <w:t xml:space="preserve"> </w:t>
      </w:r>
      <w:r w:rsidRPr="00952E34">
        <w:rPr>
          <w:spacing w:val="-2"/>
          <w:w w:val="105"/>
          <w:sz w:val="12"/>
          <w:szCs w:val="12"/>
        </w:rPr>
        <w:t>la</w:t>
      </w:r>
      <w:r w:rsidRPr="00952E34">
        <w:rPr>
          <w:spacing w:val="5"/>
          <w:w w:val="105"/>
          <w:sz w:val="12"/>
          <w:szCs w:val="12"/>
        </w:rPr>
        <w:t xml:space="preserve"> </w:t>
      </w:r>
      <w:r w:rsidRPr="00952E34">
        <w:rPr>
          <w:spacing w:val="-2"/>
          <w:w w:val="105"/>
          <w:sz w:val="12"/>
          <w:szCs w:val="12"/>
        </w:rPr>
        <w:t>implementación</w:t>
      </w:r>
      <w:r w:rsidRPr="00952E34">
        <w:rPr>
          <w:spacing w:val="4"/>
          <w:w w:val="105"/>
          <w:sz w:val="12"/>
          <w:szCs w:val="12"/>
        </w:rPr>
        <w:t xml:space="preserve"> </w:t>
      </w:r>
      <w:r w:rsidRPr="00952E34">
        <w:rPr>
          <w:spacing w:val="-2"/>
          <w:w w:val="105"/>
          <w:sz w:val="12"/>
          <w:szCs w:val="12"/>
        </w:rPr>
        <w:t>durante</w:t>
      </w:r>
      <w:r w:rsidRPr="00952E34">
        <w:rPr>
          <w:spacing w:val="5"/>
          <w:w w:val="105"/>
          <w:sz w:val="12"/>
          <w:szCs w:val="12"/>
        </w:rPr>
        <w:t xml:space="preserve"> </w:t>
      </w:r>
      <w:r w:rsidRPr="00952E34">
        <w:rPr>
          <w:spacing w:val="-2"/>
          <w:w w:val="105"/>
          <w:sz w:val="12"/>
          <w:szCs w:val="12"/>
        </w:rPr>
        <w:t>el</w:t>
      </w:r>
      <w:r w:rsidRPr="00952E34">
        <w:rPr>
          <w:spacing w:val="4"/>
          <w:w w:val="105"/>
          <w:sz w:val="12"/>
          <w:szCs w:val="12"/>
        </w:rPr>
        <w:t xml:space="preserve"> </w:t>
      </w:r>
      <w:r w:rsidRPr="00952E34">
        <w:rPr>
          <w:spacing w:val="-2"/>
          <w:w w:val="105"/>
          <w:sz w:val="12"/>
          <w:szCs w:val="12"/>
        </w:rPr>
        <w:t>tercer</w:t>
      </w:r>
      <w:r w:rsidRPr="00952E34">
        <w:rPr>
          <w:spacing w:val="5"/>
          <w:w w:val="105"/>
          <w:sz w:val="12"/>
          <w:szCs w:val="12"/>
        </w:rPr>
        <w:t xml:space="preserve"> </w:t>
      </w:r>
      <w:r w:rsidRPr="00952E34">
        <w:rPr>
          <w:spacing w:val="-2"/>
          <w:w w:val="105"/>
          <w:sz w:val="12"/>
          <w:szCs w:val="12"/>
        </w:rPr>
        <w:t>ciclo</w:t>
      </w:r>
      <w:r w:rsidRPr="00952E34">
        <w:rPr>
          <w:spacing w:val="5"/>
          <w:w w:val="105"/>
          <w:sz w:val="12"/>
          <w:szCs w:val="12"/>
        </w:rPr>
        <w:t xml:space="preserve"> </w:t>
      </w:r>
      <w:r w:rsidRPr="00952E34">
        <w:rPr>
          <w:spacing w:val="-2"/>
          <w:w w:val="105"/>
          <w:sz w:val="12"/>
          <w:szCs w:val="12"/>
        </w:rPr>
        <w:t>del</w:t>
      </w:r>
      <w:r w:rsidRPr="00952E34">
        <w:rPr>
          <w:spacing w:val="4"/>
          <w:w w:val="105"/>
          <w:sz w:val="12"/>
          <w:szCs w:val="12"/>
        </w:rPr>
        <w:t xml:space="preserve"> </w:t>
      </w:r>
      <w:r w:rsidRPr="00952E34">
        <w:rPr>
          <w:spacing w:val="-4"/>
          <w:w w:val="105"/>
          <w:sz w:val="12"/>
          <w:szCs w:val="12"/>
        </w:rPr>
        <w:t>EPU”</w:t>
      </w:r>
    </w:p>
    <w:p w14:paraId="37E5D8B1" w14:textId="77777777" w:rsidR="0014798C" w:rsidRPr="00952E34" w:rsidRDefault="004E1F0B">
      <w:pPr>
        <w:spacing w:before="18"/>
        <w:ind w:left="1375"/>
        <w:rPr>
          <w:sz w:val="12"/>
          <w:szCs w:val="12"/>
        </w:rPr>
      </w:pPr>
      <w:r w:rsidRPr="00952E34">
        <w:rPr>
          <w:spacing w:val="-2"/>
          <w:w w:val="105"/>
          <w:sz w:val="12"/>
          <w:szCs w:val="12"/>
        </w:rPr>
        <w:t>(2020).</w:t>
      </w:r>
      <w:r w:rsidRPr="00952E34">
        <w:rPr>
          <w:spacing w:val="3"/>
          <w:w w:val="105"/>
          <w:sz w:val="12"/>
          <w:szCs w:val="12"/>
        </w:rPr>
        <w:t xml:space="preserve"> </w:t>
      </w:r>
      <w:r w:rsidRPr="00952E34">
        <w:rPr>
          <w:spacing w:val="-2"/>
          <w:w w:val="105"/>
          <w:sz w:val="12"/>
          <w:szCs w:val="12"/>
        </w:rPr>
        <w:t>Disponible</w:t>
      </w:r>
      <w:r w:rsidRPr="00952E34">
        <w:rPr>
          <w:spacing w:val="3"/>
          <w:w w:val="105"/>
          <w:sz w:val="12"/>
          <w:szCs w:val="12"/>
        </w:rPr>
        <w:t xml:space="preserve"> </w:t>
      </w:r>
      <w:r w:rsidRPr="00952E34">
        <w:rPr>
          <w:spacing w:val="-2"/>
          <w:w w:val="105"/>
          <w:sz w:val="12"/>
          <w:szCs w:val="12"/>
        </w:rPr>
        <w:t>en</w:t>
      </w:r>
      <w:r w:rsidRPr="00952E34">
        <w:rPr>
          <w:spacing w:val="3"/>
          <w:w w:val="105"/>
          <w:sz w:val="12"/>
          <w:szCs w:val="12"/>
        </w:rPr>
        <w:t xml:space="preserve"> </w:t>
      </w:r>
      <w:hyperlink r:id="rId82">
        <w:r w:rsidRPr="00952E34">
          <w:rPr>
            <w:color w:val="0075BF"/>
            <w:spacing w:val="-2"/>
            <w:w w:val="105"/>
            <w:sz w:val="12"/>
            <w:szCs w:val="12"/>
          </w:rPr>
          <w:t>www.ohchr.org/Documents/HRBodies/UPR/NGOsMidTermReports/JointsubmissionSolidarityGroup_Bangladesh.pdf.</w:t>
        </w:r>
      </w:hyperlink>
    </w:p>
    <w:p w14:paraId="07B6D6A5" w14:textId="77777777" w:rsidR="0014798C" w:rsidRPr="00952E34" w:rsidRDefault="0014798C">
      <w:pPr>
        <w:pStyle w:val="Textoindependiente"/>
        <w:spacing w:before="30"/>
        <w:rPr>
          <w:sz w:val="12"/>
          <w:szCs w:val="12"/>
        </w:rPr>
      </w:pPr>
    </w:p>
    <w:p w14:paraId="0C553157" w14:textId="77777777" w:rsidR="0014798C" w:rsidRPr="00952E34" w:rsidRDefault="004E1F0B">
      <w:pPr>
        <w:spacing w:line="364" w:lineRule="auto"/>
        <w:ind w:left="1367" w:right="1272" w:hanging="257"/>
        <w:rPr>
          <w:sz w:val="12"/>
          <w:szCs w:val="12"/>
        </w:rPr>
      </w:pPr>
      <w:r w:rsidRPr="00952E34">
        <w:rPr>
          <w:sz w:val="12"/>
          <w:szCs w:val="12"/>
        </w:rPr>
        <w:t>107 Ordenanza sobre discriminación sexual, 1995; Ordenanza sobre discriminación por discapacidad, de 1995; Ordenanza sobre discriminación por condición familiar, de 1997; y Ordenanza sobre</w:t>
      </w:r>
      <w:r w:rsidRPr="00952E34">
        <w:rPr>
          <w:spacing w:val="40"/>
          <w:w w:val="105"/>
          <w:sz w:val="12"/>
          <w:szCs w:val="12"/>
        </w:rPr>
        <w:t xml:space="preserve"> </w:t>
      </w:r>
      <w:r w:rsidRPr="00952E34">
        <w:rPr>
          <w:w w:val="105"/>
          <w:sz w:val="12"/>
          <w:szCs w:val="12"/>
        </w:rPr>
        <w:t>discriminación racial, de 2008.</w:t>
      </w:r>
    </w:p>
    <w:p w14:paraId="3B528F54" w14:textId="77777777" w:rsidR="0014798C" w:rsidRPr="00952E34" w:rsidRDefault="004E1F0B">
      <w:pPr>
        <w:spacing w:before="67"/>
        <w:ind w:left="1111"/>
        <w:rPr>
          <w:sz w:val="12"/>
          <w:szCs w:val="12"/>
        </w:rPr>
      </w:pPr>
      <w:r w:rsidRPr="00952E34">
        <w:rPr>
          <w:sz w:val="12"/>
          <w:szCs w:val="12"/>
        </w:rPr>
        <w:t>108 Ley sobre Discriminación Racial de 1975; Ley</w:t>
      </w:r>
      <w:r w:rsidRPr="00952E34">
        <w:rPr>
          <w:spacing w:val="1"/>
          <w:sz w:val="12"/>
          <w:szCs w:val="12"/>
        </w:rPr>
        <w:t xml:space="preserve"> </w:t>
      </w:r>
      <w:r w:rsidRPr="00952E34">
        <w:rPr>
          <w:sz w:val="12"/>
          <w:szCs w:val="12"/>
        </w:rPr>
        <w:t>contra la discriminación sexual, de 1984; Ley contra</w:t>
      </w:r>
      <w:r w:rsidRPr="00952E34">
        <w:rPr>
          <w:spacing w:val="1"/>
          <w:sz w:val="12"/>
          <w:szCs w:val="12"/>
        </w:rPr>
        <w:t xml:space="preserve"> </w:t>
      </w:r>
      <w:r w:rsidRPr="00952E34">
        <w:rPr>
          <w:sz w:val="12"/>
          <w:szCs w:val="12"/>
        </w:rPr>
        <w:t>la discriminación por discapacidad, de 1992; y</w:t>
      </w:r>
      <w:r w:rsidRPr="00952E34">
        <w:rPr>
          <w:spacing w:val="1"/>
          <w:sz w:val="12"/>
          <w:szCs w:val="12"/>
        </w:rPr>
        <w:t xml:space="preserve"> </w:t>
      </w:r>
      <w:r w:rsidRPr="00952E34">
        <w:rPr>
          <w:sz w:val="12"/>
          <w:szCs w:val="12"/>
        </w:rPr>
        <w:t xml:space="preserve">Ley contra la discriminación por edad de </w:t>
      </w:r>
      <w:r w:rsidRPr="00952E34">
        <w:rPr>
          <w:spacing w:val="-2"/>
          <w:sz w:val="12"/>
          <w:szCs w:val="12"/>
        </w:rPr>
        <w:t>2004.</w:t>
      </w:r>
    </w:p>
    <w:p w14:paraId="6951503F" w14:textId="77777777" w:rsidR="0014798C" w:rsidRPr="00952E34" w:rsidRDefault="0014798C">
      <w:pPr>
        <w:rPr>
          <w:sz w:val="12"/>
          <w:szCs w:val="12"/>
        </w:rPr>
        <w:sectPr w:rsidR="0014798C" w:rsidRPr="00952E34" w:rsidSect="00F265E4">
          <w:type w:val="continuous"/>
          <w:pgSz w:w="11900" w:h="16820"/>
          <w:pgMar w:top="40" w:right="0" w:bottom="280" w:left="200" w:header="121" w:footer="0" w:gutter="0"/>
          <w:cols w:space="720"/>
        </w:sectPr>
      </w:pPr>
    </w:p>
    <w:p w14:paraId="6825BB56" w14:textId="7B35BBDB" w:rsidR="00291710" w:rsidRPr="00275912" w:rsidRDefault="00275912" w:rsidP="00275912">
      <w:pPr>
        <w:spacing w:before="57"/>
        <w:ind w:right="-23" w:firstLine="1134"/>
        <w:rPr>
          <w:sz w:val="12"/>
          <w:szCs w:val="12"/>
        </w:rPr>
      </w:pPr>
      <w:r w:rsidRPr="00952E34">
        <w:rPr>
          <w:spacing w:val="-5"/>
          <w:w w:val="105"/>
          <w:sz w:val="12"/>
          <w:szCs w:val="12"/>
        </w:rPr>
        <w:t>109</w:t>
      </w:r>
      <w:r>
        <w:rPr>
          <w:sz w:val="12"/>
          <w:szCs w:val="12"/>
        </w:rPr>
        <w:t xml:space="preserve"> Véase</w:t>
      </w:r>
      <w:r w:rsidR="004E1F0B" w:rsidRPr="00952E34">
        <w:rPr>
          <w:spacing w:val="-2"/>
          <w:w w:val="105"/>
          <w:sz w:val="12"/>
          <w:szCs w:val="12"/>
        </w:rPr>
        <w:t>,</w:t>
      </w:r>
      <w:r w:rsidR="004E1F0B" w:rsidRPr="00952E34">
        <w:rPr>
          <w:spacing w:val="3"/>
          <w:w w:val="105"/>
          <w:sz w:val="12"/>
          <w:szCs w:val="12"/>
        </w:rPr>
        <w:t xml:space="preserve"> </w:t>
      </w:r>
      <w:r w:rsidR="004E1F0B" w:rsidRPr="00952E34">
        <w:rPr>
          <w:spacing w:val="-2"/>
          <w:w w:val="105"/>
          <w:sz w:val="12"/>
          <w:szCs w:val="12"/>
        </w:rPr>
        <w:t>por</w:t>
      </w:r>
      <w:r w:rsidR="004E1F0B" w:rsidRPr="00952E34">
        <w:rPr>
          <w:spacing w:val="4"/>
          <w:w w:val="105"/>
          <w:sz w:val="12"/>
          <w:szCs w:val="12"/>
        </w:rPr>
        <w:t xml:space="preserve"> </w:t>
      </w:r>
      <w:r w:rsidR="004E1F0B" w:rsidRPr="00952E34">
        <w:rPr>
          <w:spacing w:val="-2"/>
          <w:w w:val="105"/>
          <w:sz w:val="12"/>
          <w:szCs w:val="12"/>
        </w:rPr>
        <w:t>ejemplo,</w:t>
      </w:r>
      <w:r w:rsidR="004E1F0B" w:rsidRPr="00952E34">
        <w:rPr>
          <w:spacing w:val="4"/>
          <w:w w:val="105"/>
          <w:sz w:val="12"/>
          <w:szCs w:val="12"/>
        </w:rPr>
        <w:t xml:space="preserve"> </w:t>
      </w:r>
      <w:r w:rsidR="004E1F0B" w:rsidRPr="00952E34">
        <w:rPr>
          <w:spacing w:val="-2"/>
          <w:w w:val="105"/>
          <w:sz w:val="12"/>
          <w:szCs w:val="12"/>
        </w:rPr>
        <w:t>Comisión</w:t>
      </w:r>
      <w:r w:rsidR="004E1F0B" w:rsidRPr="00952E34">
        <w:rPr>
          <w:spacing w:val="4"/>
          <w:w w:val="105"/>
          <w:sz w:val="12"/>
          <w:szCs w:val="12"/>
        </w:rPr>
        <w:t xml:space="preserve"> </w:t>
      </w:r>
      <w:r w:rsidR="004E1F0B" w:rsidRPr="00952E34">
        <w:rPr>
          <w:spacing w:val="-2"/>
          <w:w w:val="105"/>
          <w:sz w:val="12"/>
          <w:szCs w:val="12"/>
        </w:rPr>
        <w:t>Australiana</w:t>
      </w:r>
      <w:r w:rsidR="004E1F0B" w:rsidRPr="00952E34">
        <w:rPr>
          <w:spacing w:val="4"/>
          <w:w w:val="105"/>
          <w:sz w:val="12"/>
          <w:szCs w:val="12"/>
        </w:rPr>
        <w:t xml:space="preserve"> </w:t>
      </w:r>
      <w:r w:rsidR="004E1F0B" w:rsidRPr="00952E34">
        <w:rPr>
          <w:spacing w:val="-2"/>
          <w:w w:val="105"/>
          <w:sz w:val="12"/>
          <w:szCs w:val="12"/>
        </w:rPr>
        <w:t>de</w:t>
      </w:r>
      <w:r w:rsidR="004E1F0B" w:rsidRPr="00952E34">
        <w:rPr>
          <w:spacing w:val="4"/>
          <w:w w:val="105"/>
          <w:sz w:val="12"/>
          <w:szCs w:val="12"/>
        </w:rPr>
        <w:t xml:space="preserve"> </w:t>
      </w:r>
      <w:r w:rsidR="004E1F0B" w:rsidRPr="00952E34">
        <w:rPr>
          <w:spacing w:val="-2"/>
          <w:w w:val="105"/>
          <w:sz w:val="12"/>
          <w:szCs w:val="12"/>
        </w:rPr>
        <w:t>Derechos</w:t>
      </w:r>
      <w:r w:rsidR="004E1F0B" w:rsidRPr="00952E34">
        <w:rPr>
          <w:spacing w:val="4"/>
          <w:w w:val="105"/>
          <w:sz w:val="12"/>
          <w:szCs w:val="12"/>
        </w:rPr>
        <w:t xml:space="preserve"> </w:t>
      </w:r>
      <w:r w:rsidR="004E1F0B" w:rsidRPr="00952E34">
        <w:rPr>
          <w:spacing w:val="-2"/>
          <w:w w:val="105"/>
          <w:sz w:val="12"/>
          <w:szCs w:val="12"/>
        </w:rPr>
        <w:t>Humanos,</w:t>
      </w:r>
      <w:r w:rsidR="004E1F0B" w:rsidRPr="00952E34">
        <w:rPr>
          <w:spacing w:val="4"/>
          <w:w w:val="105"/>
          <w:sz w:val="12"/>
          <w:szCs w:val="12"/>
        </w:rPr>
        <w:t xml:space="preserve"> </w:t>
      </w:r>
      <w:proofErr w:type="spellStart"/>
      <w:r w:rsidR="004E1F0B" w:rsidRPr="00952E34">
        <w:rPr>
          <w:spacing w:val="-2"/>
          <w:w w:val="105"/>
          <w:sz w:val="12"/>
          <w:szCs w:val="12"/>
        </w:rPr>
        <w:t>Consolidation</w:t>
      </w:r>
      <w:proofErr w:type="spellEnd"/>
      <w:r w:rsidR="004E1F0B" w:rsidRPr="00952E34">
        <w:rPr>
          <w:spacing w:val="4"/>
          <w:w w:val="105"/>
          <w:sz w:val="12"/>
          <w:szCs w:val="12"/>
        </w:rPr>
        <w:t xml:space="preserve"> </w:t>
      </w:r>
      <w:r w:rsidR="004E1F0B" w:rsidRPr="00952E34">
        <w:rPr>
          <w:spacing w:val="-2"/>
          <w:w w:val="105"/>
          <w:sz w:val="12"/>
          <w:szCs w:val="12"/>
        </w:rPr>
        <w:t>of</w:t>
      </w:r>
      <w:r w:rsidR="004E1F0B" w:rsidRPr="00952E34">
        <w:rPr>
          <w:spacing w:val="4"/>
          <w:w w:val="105"/>
          <w:sz w:val="12"/>
          <w:szCs w:val="12"/>
        </w:rPr>
        <w:t xml:space="preserve"> </w:t>
      </w:r>
      <w:r w:rsidR="004E1F0B" w:rsidRPr="00952E34">
        <w:rPr>
          <w:spacing w:val="-2"/>
          <w:w w:val="105"/>
          <w:sz w:val="12"/>
          <w:szCs w:val="12"/>
        </w:rPr>
        <w:t>Commonwealth</w:t>
      </w:r>
      <w:r w:rsidR="004E1F0B" w:rsidRPr="00952E34">
        <w:rPr>
          <w:spacing w:val="4"/>
          <w:w w:val="105"/>
          <w:sz w:val="12"/>
          <w:szCs w:val="12"/>
        </w:rPr>
        <w:t xml:space="preserve"> </w:t>
      </w:r>
      <w:proofErr w:type="spellStart"/>
      <w:r w:rsidR="004E1F0B" w:rsidRPr="00952E34">
        <w:rPr>
          <w:spacing w:val="-2"/>
          <w:w w:val="105"/>
          <w:sz w:val="12"/>
          <w:szCs w:val="12"/>
        </w:rPr>
        <w:t>Discrimination</w:t>
      </w:r>
      <w:proofErr w:type="spellEnd"/>
      <w:r w:rsidR="004E1F0B" w:rsidRPr="00952E34">
        <w:rPr>
          <w:spacing w:val="4"/>
          <w:w w:val="105"/>
          <w:sz w:val="12"/>
          <w:szCs w:val="12"/>
        </w:rPr>
        <w:t xml:space="preserve"> </w:t>
      </w:r>
      <w:proofErr w:type="spellStart"/>
      <w:r w:rsidR="004E1F0B" w:rsidRPr="00952E34">
        <w:rPr>
          <w:spacing w:val="-2"/>
          <w:w w:val="105"/>
          <w:sz w:val="12"/>
          <w:szCs w:val="12"/>
        </w:rPr>
        <w:t>Law</w:t>
      </w:r>
      <w:proofErr w:type="spellEnd"/>
      <w:r w:rsidR="004E1F0B" w:rsidRPr="00952E34">
        <w:rPr>
          <w:spacing w:val="4"/>
          <w:w w:val="105"/>
          <w:sz w:val="12"/>
          <w:szCs w:val="12"/>
        </w:rPr>
        <w:t xml:space="preserve"> </w:t>
      </w:r>
      <w:r w:rsidR="004E1F0B" w:rsidRPr="00952E34">
        <w:rPr>
          <w:spacing w:val="-2"/>
          <w:w w:val="105"/>
          <w:sz w:val="12"/>
          <w:szCs w:val="12"/>
        </w:rPr>
        <w:t>(</w:t>
      </w:r>
      <w:proofErr w:type="spellStart"/>
      <w:r w:rsidR="004E1F0B" w:rsidRPr="00952E34">
        <w:rPr>
          <w:spacing w:val="-2"/>
          <w:w w:val="105"/>
          <w:sz w:val="12"/>
          <w:szCs w:val="12"/>
        </w:rPr>
        <w:t>Sydney</w:t>
      </w:r>
      <w:proofErr w:type="spellEnd"/>
      <w:r w:rsidR="004E1F0B" w:rsidRPr="00952E34">
        <w:rPr>
          <w:spacing w:val="-2"/>
          <w:w w:val="105"/>
          <w:sz w:val="12"/>
          <w:szCs w:val="12"/>
        </w:rPr>
        <w:t>,</w:t>
      </w:r>
      <w:r w:rsidR="004E1F0B" w:rsidRPr="00952E34">
        <w:rPr>
          <w:spacing w:val="4"/>
          <w:w w:val="105"/>
          <w:sz w:val="12"/>
          <w:szCs w:val="12"/>
        </w:rPr>
        <w:t xml:space="preserve"> </w:t>
      </w:r>
      <w:r w:rsidR="004E1F0B" w:rsidRPr="00952E34">
        <w:rPr>
          <w:spacing w:val="-2"/>
          <w:w w:val="105"/>
          <w:sz w:val="12"/>
          <w:szCs w:val="12"/>
        </w:rPr>
        <w:t>2011).</w:t>
      </w:r>
    </w:p>
    <w:p w14:paraId="0A90C6AF" w14:textId="605C4CAC" w:rsidR="00015601" w:rsidRPr="00952E34" w:rsidRDefault="00015601" w:rsidP="00275912">
      <w:pPr>
        <w:spacing w:before="57"/>
        <w:ind w:left="1134" w:right="-23"/>
        <w:rPr>
          <w:spacing w:val="-5"/>
          <w:w w:val="105"/>
          <w:sz w:val="12"/>
          <w:szCs w:val="12"/>
        </w:rPr>
      </w:pPr>
      <w:r w:rsidRPr="00952E34">
        <w:rPr>
          <w:spacing w:val="-5"/>
          <w:w w:val="105"/>
          <w:sz w:val="12"/>
          <w:szCs w:val="12"/>
        </w:rPr>
        <w:t xml:space="preserve">110 </w:t>
      </w:r>
      <w:r w:rsidR="00275912" w:rsidRPr="00952E34">
        <w:rPr>
          <w:spacing w:val="-5"/>
          <w:w w:val="105"/>
          <w:sz w:val="12"/>
          <w:szCs w:val="12"/>
        </w:rPr>
        <w:t>Comisión</w:t>
      </w:r>
      <w:r w:rsidR="00275912">
        <w:rPr>
          <w:spacing w:val="-5"/>
          <w:w w:val="105"/>
          <w:sz w:val="12"/>
          <w:szCs w:val="12"/>
        </w:rPr>
        <w:t xml:space="preserve"> Australiana</w:t>
      </w:r>
      <w:r w:rsidRPr="00952E34">
        <w:rPr>
          <w:spacing w:val="-5"/>
          <w:w w:val="105"/>
          <w:sz w:val="12"/>
          <w:szCs w:val="12"/>
        </w:rPr>
        <w:t xml:space="preserve"> de Derechos Humanos, “Libres e iguales: una conversación australiana sobre derechos humanos – documento de debate: prioridades para</w:t>
      </w:r>
      <w:r>
        <w:rPr>
          <w:spacing w:val="-5"/>
          <w:w w:val="105"/>
          <w:sz w:val="12"/>
          <w:szCs w:val="12"/>
        </w:rPr>
        <w:t xml:space="preserve"> </w:t>
      </w:r>
      <w:r w:rsidRPr="00952E34">
        <w:rPr>
          <w:spacing w:val="-5"/>
          <w:w w:val="105"/>
          <w:sz w:val="12"/>
          <w:szCs w:val="12"/>
        </w:rPr>
        <w:t>reforma de la ley federal de discriminación” (</w:t>
      </w:r>
      <w:proofErr w:type="spellStart"/>
      <w:r w:rsidRPr="00952E34">
        <w:rPr>
          <w:spacing w:val="-5"/>
          <w:w w:val="105"/>
          <w:sz w:val="12"/>
          <w:szCs w:val="12"/>
        </w:rPr>
        <w:t>Sydney</w:t>
      </w:r>
      <w:proofErr w:type="spellEnd"/>
      <w:r w:rsidRPr="00952E34">
        <w:rPr>
          <w:spacing w:val="-5"/>
          <w:w w:val="105"/>
          <w:sz w:val="12"/>
          <w:szCs w:val="12"/>
        </w:rPr>
        <w:t>, 2019).</w:t>
      </w:r>
    </w:p>
    <w:p w14:paraId="04A3A41E" w14:textId="77777777" w:rsidR="00015601" w:rsidRPr="00275912" w:rsidRDefault="00015601" w:rsidP="00275912">
      <w:pPr>
        <w:spacing w:before="57"/>
        <w:ind w:right="-23" w:firstLine="1134"/>
        <w:rPr>
          <w:spacing w:val="-5"/>
          <w:w w:val="105"/>
          <w:sz w:val="12"/>
          <w:szCs w:val="12"/>
        </w:rPr>
        <w:sectPr w:rsidR="00015601" w:rsidRPr="00275912" w:rsidSect="00F265E4">
          <w:type w:val="continuous"/>
          <w:pgSz w:w="11900" w:h="16820"/>
          <w:pgMar w:top="40" w:right="0" w:bottom="280" w:left="200" w:header="121" w:footer="0" w:gutter="0"/>
          <w:cols w:space="40"/>
        </w:sectPr>
      </w:pPr>
    </w:p>
    <w:p w14:paraId="2FC8FD0D" w14:textId="77777777" w:rsidR="0014798C" w:rsidRPr="00275912" w:rsidRDefault="0014798C" w:rsidP="00275912">
      <w:pPr>
        <w:spacing w:before="57"/>
        <w:ind w:right="-23" w:firstLine="1134"/>
        <w:rPr>
          <w:spacing w:val="-5"/>
          <w:w w:val="105"/>
          <w:sz w:val="12"/>
          <w:szCs w:val="12"/>
        </w:rPr>
      </w:pPr>
    </w:p>
    <w:p w14:paraId="083AC0C6" w14:textId="77777777" w:rsidR="00114AEF" w:rsidRDefault="00114AEF" w:rsidP="00275912">
      <w:pPr>
        <w:spacing w:before="57"/>
        <w:ind w:right="-23" w:firstLine="1134"/>
        <w:rPr>
          <w:spacing w:val="-5"/>
          <w:w w:val="105"/>
          <w:sz w:val="12"/>
          <w:szCs w:val="12"/>
        </w:rPr>
        <w:sectPr w:rsidR="00114AEF" w:rsidSect="00F265E4">
          <w:type w:val="continuous"/>
          <w:pgSz w:w="11900" w:h="16820"/>
          <w:pgMar w:top="40" w:right="0" w:bottom="280" w:left="200" w:header="121" w:footer="0" w:gutter="0"/>
          <w:cols w:num="2" w:space="720" w:equalWidth="0">
            <w:col w:w="1253" w:space="40"/>
            <w:col w:w="10407"/>
          </w:cols>
        </w:sectPr>
      </w:pPr>
    </w:p>
    <w:p w14:paraId="596060D2" w14:textId="77777777" w:rsidR="006F0BEA" w:rsidRPr="00275912" w:rsidRDefault="006F0BEA" w:rsidP="00275912">
      <w:pPr>
        <w:spacing w:before="57"/>
        <w:ind w:right="-23" w:firstLine="1134"/>
        <w:rPr>
          <w:spacing w:val="-5"/>
          <w:w w:val="105"/>
          <w:sz w:val="12"/>
          <w:szCs w:val="12"/>
        </w:rPr>
        <w:sectPr w:rsidR="006F0BEA" w:rsidRPr="00275912" w:rsidSect="00F265E4">
          <w:type w:val="continuous"/>
          <w:pgSz w:w="11900" w:h="16820"/>
          <w:pgMar w:top="40" w:right="0" w:bottom="280" w:left="200" w:header="121" w:footer="0" w:gutter="0"/>
          <w:cols w:space="40"/>
        </w:sectPr>
      </w:pPr>
    </w:p>
    <w:p w14:paraId="616F41A3" w14:textId="77777777" w:rsidR="0014798C" w:rsidRDefault="0014798C">
      <w:pPr>
        <w:pStyle w:val="Textoindependiente"/>
        <w:spacing w:before="29"/>
        <w:rPr>
          <w:sz w:val="10"/>
        </w:rPr>
      </w:pPr>
    </w:p>
    <w:p w14:paraId="246AD838" w14:textId="77777777" w:rsidR="0014798C" w:rsidRDefault="0014798C">
      <w:pPr>
        <w:pStyle w:val="Textoindependiente"/>
      </w:pPr>
    </w:p>
    <w:p w14:paraId="78664582" w14:textId="77777777" w:rsidR="00217534" w:rsidRDefault="00217534">
      <w:pPr>
        <w:pStyle w:val="Textoindependiente"/>
      </w:pPr>
    </w:p>
    <w:p w14:paraId="498C2A9C" w14:textId="77777777" w:rsidR="00217534" w:rsidRDefault="00217534">
      <w:pPr>
        <w:pStyle w:val="Textoindependiente"/>
      </w:pPr>
    </w:p>
    <w:p w14:paraId="6A25060A" w14:textId="77777777" w:rsidR="00217534" w:rsidRDefault="00217534">
      <w:pPr>
        <w:pStyle w:val="Textoindependiente"/>
      </w:pPr>
    </w:p>
    <w:p w14:paraId="26DBF355" w14:textId="77777777" w:rsidR="0014798C" w:rsidRDefault="0014798C">
      <w:pPr>
        <w:pStyle w:val="Textoindependiente"/>
        <w:spacing w:before="85"/>
        <w:rPr>
          <w:sz w:val="12"/>
        </w:rPr>
      </w:pPr>
    </w:p>
    <w:p w14:paraId="5F12BD33" w14:textId="77777777" w:rsidR="0014798C" w:rsidRDefault="004E1F0B">
      <w:pPr>
        <w:ind w:left="1111"/>
        <w:rPr>
          <w:sz w:val="12"/>
        </w:rPr>
      </w:pPr>
      <w:r>
        <w:rPr>
          <w:color w:val="009EDB"/>
          <w:sz w:val="12"/>
        </w:rPr>
        <w:t>PROTECCIÓN</w:t>
      </w:r>
      <w:r>
        <w:rPr>
          <w:color w:val="009EDB"/>
          <w:spacing w:val="6"/>
          <w:sz w:val="12"/>
        </w:rPr>
        <w:t xml:space="preserve"> </w:t>
      </w:r>
      <w:r>
        <w:rPr>
          <w:color w:val="009EDB"/>
          <w:sz w:val="12"/>
        </w:rPr>
        <w:t>DE</w:t>
      </w:r>
      <w:r>
        <w:rPr>
          <w:color w:val="009EDB"/>
          <w:spacing w:val="7"/>
          <w:sz w:val="12"/>
        </w:rPr>
        <w:t xml:space="preserve"> </w:t>
      </w:r>
      <w:r>
        <w:rPr>
          <w:color w:val="009EDB"/>
          <w:sz w:val="12"/>
        </w:rPr>
        <w:t>LOS</w:t>
      </w:r>
      <w:r>
        <w:rPr>
          <w:color w:val="009EDB"/>
          <w:spacing w:val="8"/>
          <w:sz w:val="12"/>
        </w:rPr>
        <w:t xml:space="preserve"> </w:t>
      </w:r>
      <w:r>
        <w:rPr>
          <w:color w:val="009EDB"/>
          <w:sz w:val="12"/>
        </w:rPr>
        <w:t>DERECHOS</w:t>
      </w:r>
      <w:r>
        <w:rPr>
          <w:color w:val="009EDB"/>
          <w:spacing w:val="8"/>
          <w:sz w:val="12"/>
        </w:rPr>
        <w:t xml:space="preserve"> </w:t>
      </w:r>
      <w:r>
        <w:rPr>
          <w:color w:val="009EDB"/>
          <w:sz w:val="12"/>
        </w:rPr>
        <w:t>DE</w:t>
      </w:r>
      <w:r>
        <w:rPr>
          <w:color w:val="009EDB"/>
          <w:spacing w:val="6"/>
          <w:sz w:val="12"/>
        </w:rPr>
        <w:t xml:space="preserve"> </w:t>
      </w:r>
      <w:r>
        <w:rPr>
          <w:color w:val="009EDB"/>
          <w:sz w:val="12"/>
        </w:rPr>
        <w:t>LAS</w:t>
      </w:r>
      <w:r>
        <w:rPr>
          <w:color w:val="009EDB"/>
          <w:spacing w:val="7"/>
          <w:sz w:val="12"/>
        </w:rPr>
        <w:t xml:space="preserve"> </w:t>
      </w:r>
      <w:r>
        <w:rPr>
          <w:color w:val="009EDB"/>
          <w:sz w:val="12"/>
        </w:rPr>
        <w:t>MINORÍAS:</w:t>
      </w:r>
      <w:r>
        <w:rPr>
          <w:color w:val="009EDB"/>
          <w:spacing w:val="8"/>
          <w:sz w:val="12"/>
        </w:rPr>
        <w:t xml:space="preserve"> </w:t>
      </w:r>
      <w:r>
        <w:rPr>
          <w:color w:val="009EDB"/>
          <w:sz w:val="12"/>
        </w:rPr>
        <w:t>una</w:t>
      </w:r>
      <w:r>
        <w:rPr>
          <w:color w:val="009EDB"/>
          <w:spacing w:val="7"/>
          <w:sz w:val="12"/>
        </w:rPr>
        <w:t xml:space="preserve"> </w:t>
      </w:r>
      <w:r>
        <w:rPr>
          <w:color w:val="009EDB"/>
          <w:sz w:val="12"/>
        </w:rPr>
        <w:t>guía</w:t>
      </w:r>
      <w:r>
        <w:rPr>
          <w:color w:val="009EDB"/>
          <w:spacing w:val="6"/>
          <w:sz w:val="12"/>
        </w:rPr>
        <w:t xml:space="preserve"> </w:t>
      </w:r>
      <w:r>
        <w:rPr>
          <w:color w:val="009EDB"/>
          <w:sz w:val="12"/>
        </w:rPr>
        <w:t>práctica</w:t>
      </w:r>
      <w:r>
        <w:rPr>
          <w:color w:val="009EDB"/>
          <w:spacing w:val="7"/>
          <w:sz w:val="12"/>
        </w:rPr>
        <w:t xml:space="preserve"> </w:t>
      </w:r>
      <w:r>
        <w:rPr>
          <w:color w:val="009EDB"/>
          <w:sz w:val="12"/>
        </w:rPr>
        <w:t>para</w:t>
      </w:r>
      <w:r>
        <w:rPr>
          <w:color w:val="009EDB"/>
          <w:spacing w:val="8"/>
          <w:sz w:val="12"/>
        </w:rPr>
        <w:t xml:space="preserve"> </w:t>
      </w:r>
      <w:r>
        <w:rPr>
          <w:color w:val="009EDB"/>
          <w:sz w:val="12"/>
        </w:rPr>
        <w:t>desarrollar</w:t>
      </w:r>
      <w:r>
        <w:rPr>
          <w:color w:val="009EDB"/>
          <w:spacing w:val="6"/>
          <w:sz w:val="12"/>
        </w:rPr>
        <w:t xml:space="preserve"> </w:t>
      </w:r>
      <w:r>
        <w:rPr>
          <w:color w:val="009EDB"/>
          <w:sz w:val="12"/>
        </w:rPr>
        <w:t>una</w:t>
      </w:r>
      <w:r>
        <w:rPr>
          <w:color w:val="009EDB"/>
          <w:spacing w:val="7"/>
          <w:sz w:val="12"/>
        </w:rPr>
        <w:t xml:space="preserve"> </w:t>
      </w:r>
      <w:r>
        <w:rPr>
          <w:color w:val="009EDB"/>
          <w:sz w:val="12"/>
        </w:rPr>
        <w:t>legislación</w:t>
      </w:r>
      <w:r>
        <w:rPr>
          <w:color w:val="009EDB"/>
          <w:spacing w:val="8"/>
          <w:sz w:val="12"/>
        </w:rPr>
        <w:t xml:space="preserve"> </w:t>
      </w:r>
      <w:r>
        <w:rPr>
          <w:color w:val="009EDB"/>
          <w:sz w:val="12"/>
        </w:rPr>
        <w:t>integral</w:t>
      </w:r>
      <w:r>
        <w:rPr>
          <w:color w:val="009EDB"/>
          <w:spacing w:val="7"/>
          <w:sz w:val="12"/>
        </w:rPr>
        <w:t xml:space="preserve"> </w:t>
      </w:r>
      <w:r>
        <w:rPr>
          <w:color w:val="009EDB"/>
          <w:sz w:val="12"/>
        </w:rPr>
        <w:t>contra</w:t>
      </w:r>
      <w:r>
        <w:rPr>
          <w:color w:val="009EDB"/>
          <w:spacing w:val="6"/>
          <w:sz w:val="12"/>
        </w:rPr>
        <w:t xml:space="preserve"> </w:t>
      </w:r>
      <w:r>
        <w:rPr>
          <w:color w:val="009EDB"/>
          <w:sz w:val="12"/>
        </w:rPr>
        <w:t>la</w:t>
      </w:r>
      <w:r>
        <w:rPr>
          <w:color w:val="009EDB"/>
          <w:spacing w:val="7"/>
          <w:sz w:val="12"/>
        </w:rPr>
        <w:t xml:space="preserve"> </w:t>
      </w:r>
      <w:r>
        <w:rPr>
          <w:color w:val="009EDB"/>
          <w:spacing w:val="-2"/>
          <w:sz w:val="12"/>
        </w:rPr>
        <w:t>discriminación</w:t>
      </w:r>
    </w:p>
    <w:p w14:paraId="6CF125A4" w14:textId="77777777" w:rsidR="0014798C" w:rsidRDefault="0014798C">
      <w:pPr>
        <w:pStyle w:val="Textoindependiente"/>
      </w:pPr>
    </w:p>
    <w:p w14:paraId="7A3DF5CB" w14:textId="77777777" w:rsidR="0014798C" w:rsidRDefault="0014798C">
      <w:pPr>
        <w:pStyle w:val="Textoindependiente"/>
      </w:pPr>
    </w:p>
    <w:p w14:paraId="360B5845" w14:textId="77777777" w:rsidR="0014798C" w:rsidRDefault="0014798C">
      <w:pPr>
        <w:pStyle w:val="Textoindependiente"/>
      </w:pPr>
    </w:p>
    <w:p w14:paraId="61CD266C" w14:textId="77777777" w:rsidR="0014798C" w:rsidRDefault="004E1F0B">
      <w:pPr>
        <w:pStyle w:val="Textoindependiente"/>
        <w:spacing w:line="326" w:lineRule="auto"/>
        <w:ind w:left="1111" w:right="1400" w:hanging="4"/>
      </w:pPr>
      <w:r>
        <w:t>En</w:t>
      </w:r>
      <w:r>
        <w:rPr>
          <w:spacing w:val="-2"/>
        </w:rPr>
        <w:t xml:space="preserve"> </w:t>
      </w:r>
      <w:r>
        <w:t>2021,</w:t>
      </w:r>
      <w:r>
        <w:rPr>
          <w:spacing w:val="-1"/>
        </w:rPr>
        <w:t xml:space="preserve"> </w:t>
      </w:r>
      <w:r>
        <w:t>los</w:t>
      </w:r>
      <w:r>
        <w:rPr>
          <w:spacing w:val="-2"/>
        </w:rPr>
        <w:t xml:space="preserve"> </w:t>
      </w:r>
      <w:r>
        <w:t>órganos</w:t>
      </w:r>
      <w:r>
        <w:rPr>
          <w:spacing w:val="-2"/>
        </w:rPr>
        <w:t xml:space="preserve"> </w:t>
      </w:r>
      <w:r>
        <w:t>ejecutivo</w:t>
      </w:r>
      <w:r>
        <w:rPr>
          <w:spacing w:val="-2"/>
        </w:rPr>
        <w:t xml:space="preserve"> </w:t>
      </w:r>
      <w:r>
        <w:t>y</w:t>
      </w:r>
      <w:r>
        <w:rPr>
          <w:spacing w:val="-2"/>
        </w:rPr>
        <w:t xml:space="preserve"> </w:t>
      </w:r>
      <w:r>
        <w:t>legislativo</w:t>
      </w:r>
      <w:r>
        <w:rPr>
          <w:spacing w:val="-2"/>
        </w:rPr>
        <w:t xml:space="preserve"> </w:t>
      </w:r>
      <w:r>
        <w:t>de</w:t>
      </w:r>
      <w:r>
        <w:rPr>
          <w:spacing w:val="-2"/>
        </w:rPr>
        <w:t xml:space="preserve"> </w:t>
      </w:r>
      <w:r>
        <w:t>Filipinas111</w:t>
      </w:r>
      <w:r>
        <w:rPr>
          <w:spacing w:val="-2"/>
        </w:rPr>
        <w:t xml:space="preserve"> </w:t>
      </w:r>
      <w:r>
        <w:t>y</w:t>
      </w:r>
      <w:r>
        <w:rPr>
          <w:spacing w:val="-2"/>
        </w:rPr>
        <w:t xml:space="preserve"> </w:t>
      </w:r>
      <w:r>
        <w:t>Armenia112</w:t>
      </w:r>
      <w:r>
        <w:rPr>
          <w:spacing w:val="-2"/>
        </w:rPr>
        <w:t xml:space="preserve"> </w:t>
      </w:r>
      <w:r>
        <w:t>estaban</w:t>
      </w:r>
      <w:r>
        <w:rPr>
          <w:spacing w:val="-2"/>
        </w:rPr>
        <w:t xml:space="preserve"> </w:t>
      </w:r>
      <w:r>
        <w:t>considerando</w:t>
      </w:r>
      <w:r>
        <w:rPr>
          <w:spacing w:val="-1"/>
        </w:rPr>
        <w:t xml:space="preserve"> </w:t>
      </w:r>
      <w:r>
        <w:t>activamente</w:t>
      </w:r>
      <w:r>
        <w:rPr>
          <w:spacing w:val="-2"/>
        </w:rPr>
        <w:t xml:space="preserve"> </w:t>
      </w:r>
      <w:r>
        <w:t>la</w:t>
      </w:r>
      <w:r>
        <w:rPr>
          <w:spacing w:val="-2"/>
        </w:rPr>
        <w:t xml:space="preserve"> </w:t>
      </w:r>
      <w:r>
        <w:t>adopción</w:t>
      </w:r>
      <w:r>
        <w:rPr>
          <w:spacing w:val="-2"/>
        </w:rPr>
        <w:t xml:space="preserve"> </w:t>
      </w:r>
      <w:r>
        <w:t>de</w:t>
      </w:r>
      <w:r>
        <w:rPr>
          <w:spacing w:val="-2"/>
        </w:rPr>
        <w:t xml:space="preserve"> </w:t>
      </w:r>
      <w:r>
        <w:t>una ley integral contra la discriminación, mientras que en varios países se redactaron proyectos de ley, desarrollados y defendidos principalmente por la sociedad civil, incluidos (entre otros) República Dominicana, India, Kirguistán y Paraguay.</w:t>
      </w:r>
    </w:p>
    <w:p w14:paraId="1647E430" w14:textId="77777777" w:rsidR="0014798C" w:rsidRDefault="0014798C">
      <w:pPr>
        <w:pStyle w:val="Textoindependiente"/>
      </w:pPr>
    </w:p>
    <w:p w14:paraId="5F09CEF1" w14:textId="77777777" w:rsidR="0014798C" w:rsidRDefault="0014798C">
      <w:pPr>
        <w:pStyle w:val="Textoindependiente"/>
      </w:pPr>
    </w:p>
    <w:p w14:paraId="1654D4A9" w14:textId="77777777" w:rsidR="0014798C" w:rsidRDefault="0014798C">
      <w:pPr>
        <w:pStyle w:val="Textoindependiente"/>
        <w:spacing w:before="170"/>
      </w:pPr>
    </w:p>
    <w:p w14:paraId="4F6F1A74" w14:textId="77777777" w:rsidR="0014798C" w:rsidRDefault="004E1F0B">
      <w:pPr>
        <w:pStyle w:val="Textoindependiente"/>
        <w:ind w:left="1342"/>
      </w:pPr>
      <w:r>
        <w:rPr>
          <w:noProof/>
        </w:rPr>
        <w:drawing>
          <wp:anchor distT="0" distB="0" distL="0" distR="0" simplePos="0" relativeHeight="251658369" behindDoc="1" locked="0" layoutInCell="1" allowOverlap="1" wp14:anchorId="7EC3B60D" wp14:editId="352C041D">
            <wp:simplePos x="0" y="0"/>
            <wp:positionH relativeFrom="page">
              <wp:posOffset>808662</wp:posOffset>
            </wp:positionH>
            <wp:positionV relativeFrom="paragraph">
              <wp:posOffset>-152368</wp:posOffset>
            </wp:positionV>
            <wp:extent cx="5948160" cy="6403027"/>
            <wp:effectExtent l="0" t="0" r="0" b="0"/>
            <wp:wrapNone/>
            <wp:docPr id="76" name="Image 7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76" name="Image 76"/>
                    <pic:cNvPicPr/>
                  </pic:nvPicPr>
                  <pic:blipFill>
                    <a:blip r:embed="rId83" cstate="print"/>
                    <a:stretch>
                      <a:fillRect/>
                    </a:stretch>
                  </pic:blipFill>
                  <pic:spPr>
                    <a:xfrm>
                      <a:off x="0" y="0"/>
                      <a:ext cx="5948160" cy="6403027"/>
                    </a:xfrm>
                    <a:prstGeom prst="rect">
                      <a:avLst/>
                    </a:prstGeom>
                  </pic:spPr>
                </pic:pic>
              </a:graphicData>
            </a:graphic>
          </wp:anchor>
        </w:drawing>
      </w:r>
      <w:r>
        <w:t>INDIA:</w:t>
      </w:r>
      <w:r>
        <w:rPr>
          <w:spacing w:val="-7"/>
        </w:rPr>
        <w:t xml:space="preserve"> </w:t>
      </w:r>
      <w:r>
        <w:t>LEY</w:t>
      </w:r>
      <w:r>
        <w:rPr>
          <w:spacing w:val="-7"/>
        </w:rPr>
        <w:t xml:space="preserve"> </w:t>
      </w:r>
      <w:r>
        <w:t>ANTIDISCRIMINACIÓN</w:t>
      </w:r>
      <w:r>
        <w:rPr>
          <w:spacing w:val="-7"/>
        </w:rPr>
        <w:t xml:space="preserve"> </w:t>
      </w:r>
      <w:r>
        <w:t>E</w:t>
      </w:r>
      <w:r>
        <w:rPr>
          <w:spacing w:val="-7"/>
        </w:rPr>
        <w:t xml:space="preserve"> </w:t>
      </w:r>
      <w:r>
        <w:rPr>
          <w:spacing w:val="-2"/>
        </w:rPr>
        <w:t>IGUALDAD</w:t>
      </w:r>
    </w:p>
    <w:p w14:paraId="7456C3C8" w14:textId="77777777" w:rsidR="0014798C" w:rsidRDefault="0014798C">
      <w:pPr>
        <w:pStyle w:val="Textoindependiente"/>
        <w:spacing w:before="31"/>
      </w:pPr>
    </w:p>
    <w:p w14:paraId="3FA1C239" w14:textId="77777777" w:rsidR="0014798C" w:rsidRDefault="004E1F0B">
      <w:pPr>
        <w:pStyle w:val="Textoindependiente"/>
        <w:spacing w:line="326" w:lineRule="auto"/>
        <w:ind w:left="1329" w:right="1479" w:firstLine="2"/>
      </w:pPr>
      <w:r>
        <w:t xml:space="preserve">En 2017, </w:t>
      </w:r>
      <w:proofErr w:type="spellStart"/>
      <w:r>
        <w:t>Shashi</w:t>
      </w:r>
      <w:proofErr w:type="spellEnd"/>
      <w:r>
        <w:t xml:space="preserve"> Tharoor, miembro del Parlamento y exsecretario general adjunto de las Naciones </w:t>
      </w:r>
      <w:proofErr w:type="gramStart"/>
      <w:r>
        <w:t>Unidas ,</w:t>
      </w:r>
      <w:proofErr w:type="gramEnd"/>
      <w:r>
        <w:t xml:space="preserve"> presentó un proyecto</w:t>
      </w:r>
      <w:r>
        <w:rPr>
          <w:spacing w:val="-1"/>
        </w:rPr>
        <w:t xml:space="preserve"> </w:t>
      </w:r>
      <w:r>
        <w:t>de</w:t>
      </w:r>
      <w:r>
        <w:rPr>
          <w:spacing w:val="-1"/>
        </w:rPr>
        <w:t xml:space="preserve"> </w:t>
      </w:r>
      <w:r>
        <w:t>ley</w:t>
      </w:r>
      <w:r>
        <w:rPr>
          <w:spacing w:val="-1"/>
        </w:rPr>
        <w:t xml:space="preserve"> </w:t>
      </w:r>
      <w:r>
        <w:t>integral</w:t>
      </w:r>
      <w:r>
        <w:rPr>
          <w:spacing w:val="-1"/>
        </w:rPr>
        <w:t xml:space="preserve"> </w:t>
      </w:r>
      <w:r>
        <w:t>contra</w:t>
      </w:r>
      <w:r>
        <w:rPr>
          <w:spacing w:val="-1"/>
        </w:rPr>
        <w:t xml:space="preserve"> </w:t>
      </w:r>
      <w:r>
        <w:t>la</w:t>
      </w:r>
      <w:r>
        <w:rPr>
          <w:spacing w:val="-1"/>
        </w:rPr>
        <w:t xml:space="preserve"> </w:t>
      </w:r>
      <w:r>
        <w:t>discriminación, titulado</w:t>
      </w:r>
      <w:r>
        <w:rPr>
          <w:spacing w:val="-1"/>
        </w:rPr>
        <w:t xml:space="preserve"> </w:t>
      </w:r>
      <w:r>
        <w:t>“Proyecto</w:t>
      </w:r>
      <w:r>
        <w:rPr>
          <w:spacing w:val="-1"/>
        </w:rPr>
        <w:t xml:space="preserve"> </w:t>
      </w:r>
      <w:r>
        <w:t>de</w:t>
      </w:r>
      <w:r>
        <w:rPr>
          <w:spacing w:val="-1"/>
        </w:rPr>
        <w:t xml:space="preserve"> </w:t>
      </w:r>
      <w:r>
        <w:t>ley</w:t>
      </w:r>
      <w:r>
        <w:rPr>
          <w:spacing w:val="-1"/>
        </w:rPr>
        <w:t xml:space="preserve"> </w:t>
      </w:r>
      <w:r>
        <w:t>contra</w:t>
      </w:r>
      <w:r>
        <w:rPr>
          <w:spacing w:val="-1"/>
        </w:rPr>
        <w:t xml:space="preserve"> </w:t>
      </w:r>
      <w:r>
        <w:t>la</w:t>
      </w:r>
      <w:r>
        <w:rPr>
          <w:spacing w:val="-1"/>
        </w:rPr>
        <w:t xml:space="preserve"> </w:t>
      </w:r>
      <w:r>
        <w:t>discriminación y</w:t>
      </w:r>
      <w:r>
        <w:rPr>
          <w:spacing w:val="-1"/>
        </w:rPr>
        <w:t xml:space="preserve"> </w:t>
      </w:r>
      <w:r>
        <w:t>la</w:t>
      </w:r>
      <w:r>
        <w:rPr>
          <w:spacing w:val="-1"/>
        </w:rPr>
        <w:t xml:space="preserve"> </w:t>
      </w:r>
      <w:r>
        <w:t>igualdad, 2016”, como proyecto de ley de un miembro privado al Parlamento de la India.113 El proyecto de ley, que se basó en iniciativas legislativas</w:t>
      </w:r>
      <w:r>
        <w:rPr>
          <w:spacing w:val="-2"/>
        </w:rPr>
        <w:t xml:space="preserve"> </w:t>
      </w:r>
      <w:r>
        <w:t>anteriores,114</w:t>
      </w:r>
      <w:r>
        <w:rPr>
          <w:spacing w:val="-2"/>
        </w:rPr>
        <w:t xml:space="preserve"> </w:t>
      </w:r>
      <w:r>
        <w:t>fue</w:t>
      </w:r>
      <w:r>
        <w:rPr>
          <w:spacing w:val="-2"/>
        </w:rPr>
        <w:t xml:space="preserve"> </w:t>
      </w:r>
      <w:r>
        <w:t>la</w:t>
      </w:r>
      <w:r>
        <w:rPr>
          <w:spacing w:val="-2"/>
        </w:rPr>
        <w:t xml:space="preserve"> </w:t>
      </w:r>
      <w:r>
        <w:t>primera</w:t>
      </w:r>
      <w:r>
        <w:rPr>
          <w:spacing w:val="-1"/>
        </w:rPr>
        <w:t xml:space="preserve"> </w:t>
      </w:r>
      <w:r>
        <w:t>articulación</w:t>
      </w:r>
      <w:r>
        <w:rPr>
          <w:spacing w:val="-2"/>
        </w:rPr>
        <w:t xml:space="preserve"> </w:t>
      </w:r>
      <w:r>
        <w:t>tangible</w:t>
      </w:r>
      <w:r>
        <w:rPr>
          <w:spacing w:val="-2"/>
        </w:rPr>
        <w:t xml:space="preserve"> </w:t>
      </w:r>
      <w:r>
        <w:t>de</w:t>
      </w:r>
      <w:r>
        <w:rPr>
          <w:spacing w:val="-2"/>
        </w:rPr>
        <w:t xml:space="preserve"> </w:t>
      </w:r>
      <w:r>
        <w:t>una</w:t>
      </w:r>
      <w:r>
        <w:rPr>
          <w:spacing w:val="-2"/>
        </w:rPr>
        <w:t xml:space="preserve"> </w:t>
      </w:r>
      <w:r>
        <w:t>ley</w:t>
      </w:r>
      <w:r>
        <w:rPr>
          <w:spacing w:val="-2"/>
        </w:rPr>
        <w:t xml:space="preserve"> </w:t>
      </w:r>
      <w:r>
        <w:t>integral</w:t>
      </w:r>
      <w:r>
        <w:rPr>
          <w:spacing w:val="-2"/>
        </w:rPr>
        <w:t xml:space="preserve"> </w:t>
      </w:r>
      <w:r>
        <w:t>contra</w:t>
      </w:r>
      <w:r>
        <w:rPr>
          <w:spacing w:val="-2"/>
        </w:rPr>
        <w:t xml:space="preserve"> </w:t>
      </w:r>
      <w:r>
        <w:t>la</w:t>
      </w:r>
      <w:r>
        <w:rPr>
          <w:spacing w:val="-2"/>
        </w:rPr>
        <w:t xml:space="preserve"> </w:t>
      </w:r>
      <w:r>
        <w:t>discriminación</w:t>
      </w:r>
      <w:r>
        <w:rPr>
          <w:spacing w:val="-1"/>
        </w:rPr>
        <w:t xml:space="preserve"> </w:t>
      </w:r>
      <w:r>
        <w:t>en</w:t>
      </w:r>
      <w:r>
        <w:rPr>
          <w:spacing w:val="-2"/>
        </w:rPr>
        <w:t xml:space="preserve"> </w:t>
      </w:r>
      <w:r>
        <w:t>la</w:t>
      </w:r>
      <w:r>
        <w:rPr>
          <w:spacing w:val="-2"/>
        </w:rPr>
        <w:t xml:space="preserve"> </w:t>
      </w:r>
      <w:r>
        <w:t>India.</w:t>
      </w:r>
      <w:r>
        <w:rPr>
          <w:spacing w:val="-1"/>
        </w:rPr>
        <w:t xml:space="preserve"> </w:t>
      </w:r>
      <w:r>
        <w:t xml:space="preserve">Aunque el proyecto de ley caducó, la sociedad civil está trabajando más en esta área y queda espacio para futuros desarrollos </w:t>
      </w:r>
      <w:r>
        <w:rPr>
          <w:spacing w:val="-2"/>
        </w:rPr>
        <w:t>legislativos.</w:t>
      </w:r>
    </w:p>
    <w:p w14:paraId="3BA4D435" w14:textId="77777777" w:rsidR="0014798C" w:rsidRDefault="004E1F0B">
      <w:pPr>
        <w:pStyle w:val="Textoindependiente"/>
        <w:spacing w:before="111" w:line="326" w:lineRule="auto"/>
        <w:ind w:left="1333" w:right="1533" w:hanging="1"/>
      </w:pPr>
      <w:r>
        <w:t>El</w:t>
      </w:r>
      <w:r>
        <w:rPr>
          <w:spacing w:val="-1"/>
        </w:rPr>
        <w:t xml:space="preserve"> </w:t>
      </w:r>
      <w:r>
        <w:t>proyecto</w:t>
      </w:r>
      <w:r>
        <w:rPr>
          <w:spacing w:val="-1"/>
        </w:rPr>
        <w:t xml:space="preserve"> </w:t>
      </w:r>
      <w:r>
        <w:t>de</w:t>
      </w:r>
      <w:r>
        <w:rPr>
          <w:spacing w:val="-1"/>
        </w:rPr>
        <w:t xml:space="preserve"> </w:t>
      </w:r>
      <w:r>
        <w:t>ley</w:t>
      </w:r>
      <w:r>
        <w:rPr>
          <w:spacing w:val="-1"/>
        </w:rPr>
        <w:t xml:space="preserve"> </w:t>
      </w:r>
      <w:r>
        <w:t>tal</w:t>
      </w:r>
      <w:r>
        <w:rPr>
          <w:spacing w:val="-1"/>
        </w:rPr>
        <w:t xml:space="preserve"> </w:t>
      </w:r>
      <w:r>
        <w:t>como está</w:t>
      </w:r>
      <w:r>
        <w:rPr>
          <w:spacing w:val="-1"/>
        </w:rPr>
        <w:t xml:space="preserve"> </w:t>
      </w:r>
      <w:r>
        <w:t>redactado</w:t>
      </w:r>
      <w:r>
        <w:rPr>
          <w:spacing w:val="-1"/>
        </w:rPr>
        <w:t xml:space="preserve"> </w:t>
      </w:r>
      <w:r>
        <w:t>se</w:t>
      </w:r>
      <w:r>
        <w:rPr>
          <w:spacing w:val="-1"/>
        </w:rPr>
        <w:t xml:space="preserve"> </w:t>
      </w:r>
      <w:r>
        <w:t>divide</w:t>
      </w:r>
      <w:r>
        <w:rPr>
          <w:spacing w:val="-1"/>
        </w:rPr>
        <w:t xml:space="preserve"> </w:t>
      </w:r>
      <w:r>
        <w:t>en</w:t>
      </w:r>
      <w:r>
        <w:rPr>
          <w:spacing w:val="-1"/>
        </w:rPr>
        <w:t xml:space="preserve"> </w:t>
      </w:r>
      <w:r>
        <w:t>cinco capítulos. El</w:t>
      </w:r>
      <w:r>
        <w:rPr>
          <w:spacing w:val="-1"/>
        </w:rPr>
        <w:t xml:space="preserve"> </w:t>
      </w:r>
      <w:r>
        <w:t>capítulo</w:t>
      </w:r>
      <w:r>
        <w:rPr>
          <w:spacing w:val="-1"/>
        </w:rPr>
        <w:t xml:space="preserve"> </w:t>
      </w:r>
      <w:r>
        <w:t>II</w:t>
      </w:r>
      <w:r>
        <w:rPr>
          <w:spacing w:val="-1"/>
        </w:rPr>
        <w:t xml:space="preserve"> </w:t>
      </w:r>
      <w:r>
        <w:t>establece</w:t>
      </w:r>
      <w:r>
        <w:rPr>
          <w:spacing w:val="-1"/>
        </w:rPr>
        <w:t xml:space="preserve"> </w:t>
      </w:r>
      <w:r>
        <w:t>el</w:t>
      </w:r>
      <w:r>
        <w:rPr>
          <w:spacing w:val="-1"/>
        </w:rPr>
        <w:t xml:space="preserve"> </w:t>
      </w:r>
      <w:r>
        <w:t>alcance personal de</w:t>
      </w:r>
      <w:r>
        <w:rPr>
          <w:spacing w:val="-1"/>
        </w:rPr>
        <w:t xml:space="preserve"> </w:t>
      </w:r>
      <w:r>
        <w:t>la</w:t>
      </w:r>
      <w:r>
        <w:rPr>
          <w:spacing w:val="-1"/>
        </w:rPr>
        <w:t xml:space="preserve"> </w:t>
      </w:r>
      <w:r>
        <w:t>ley, las formas de conducta prohibidas y los deberes positivos. El capítulo III prevé el establecimiento de una comisión central</w:t>
      </w:r>
      <w:r>
        <w:rPr>
          <w:spacing w:val="80"/>
        </w:rPr>
        <w:t xml:space="preserve"> </w:t>
      </w:r>
      <w:r>
        <w:t>de igualdad, su mandato, recursos y facultades. El capítulo IV contiene disposiciones relativas a la reparación de actos de discriminación, mientras que el capítulo V contiene disposiciones diversas que regulan, entre otras cosas, la carga de la prueba en casos de discriminación y la legitimación activa para presentar una reclamación, que se extiende a una “persona agraviada”</w:t>
      </w:r>
      <w:r>
        <w:rPr>
          <w:spacing w:val="-2"/>
        </w:rPr>
        <w:t xml:space="preserve"> </w:t>
      </w:r>
      <w:r>
        <w:t>(un</w:t>
      </w:r>
      <w:r>
        <w:rPr>
          <w:spacing w:val="-2"/>
        </w:rPr>
        <w:t xml:space="preserve"> </w:t>
      </w:r>
      <w:r>
        <w:t>individuo</w:t>
      </w:r>
      <w:r>
        <w:rPr>
          <w:spacing w:val="-2"/>
        </w:rPr>
        <w:t xml:space="preserve"> </w:t>
      </w:r>
      <w:r>
        <w:t>que</w:t>
      </w:r>
      <w:r>
        <w:rPr>
          <w:spacing w:val="-2"/>
        </w:rPr>
        <w:t xml:space="preserve"> </w:t>
      </w:r>
      <w:r>
        <w:t>haya</w:t>
      </w:r>
      <w:r>
        <w:rPr>
          <w:spacing w:val="-2"/>
        </w:rPr>
        <w:t xml:space="preserve"> </w:t>
      </w:r>
      <w:r>
        <w:t>sufrido</w:t>
      </w:r>
      <w:r>
        <w:rPr>
          <w:spacing w:val="-2"/>
        </w:rPr>
        <w:t xml:space="preserve"> </w:t>
      </w:r>
      <w:r>
        <w:t>discriminación), un</w:t>
      </w:r>
      <w:r>
        <w:rPr>
          <w:spacing w:val="-2"/>
        </w:rPr>
        <w:t xml:space="preserve"> </w:t>
      </w:r>
      <w:r>
        <w:t>pariente</w:t>
      </w:r>
      <w:r>
        <w:rPr>
          <w:spacing w:val="-2"/>
        </w:rPr>
        <w:t xml:space="preserve"> </w:t>
      </w:r>
      <w:r>
        <w:t>cercano</w:t>
      </w:r>
      <w:r>
        <w:rPr>
          <w:spacing w:val="-1"/>
        </w:rPr>
        <w:t xml:space="preserve"> </w:t>
      </w:r>
      <w:r>
        <w:t>(cuando</w:t>
      </w:r>
      <w:r>
        <w:rPr>
          <w:spacing w:val="-1"/>
        </w:rPr>
        <w:t xml:space="preserve"> </w:t>
      </w:r>
      <w:r>
        <w:t>la</w:t>
      </w:r>
      <w:r>
        <w:rPr>
          <w:spacing w:val="-2"/>
        </w:rPr>
        <w:t xml:space="preserve"> </w:t>
      </w:r>
      <w:r>
        <w:t>persona</w:t>
      </w:r>
      <w:r>
        <w:rPr>
          <w:spacing w:val="-1"/>
        </w:rPr>
        <w:t xml:space="preserve"> </w:t>
      </w:r>
      <w:r>
        <w:t>agraviada</w:t>
      </w:r>
      <w:r>
        <w:rPr>
          <w:spacing w:val="-1"/>
        </w:rPr>
        <w:t xml:space="preserve"> </w:t>
      </w:r>
      <w:r>
        <w:t>haya</w:t>
      </w:r>
      <w:r>
        <w:rPr>
          <w:spacing w:val="-2"/>
        </w:rPr>
        <w:t xml:space="preserve"> </w:t>
      </w:r>
      <w:r>
        <w:t>fallecido), una organización que represente a las personas agraviadas con su consentimiento previo o cualquier persona agraviada cuando actúe en nombre de un grupo de personas agraviadas.115</w:t>
      </w:r>
    </w:p>
    <w:p w14:paraId="3D6DC461" w14:textId="77777777" w:rsidR="0014798C" w:rsidRDefault="004E1F0B">
      <w:pPr>
        <w:pStyle w:val="Textoindependiente"/>
        <w:spacing w:before="109" w:line="321" w:lineRule="auto"/>
        <w:ind w:left="1333" w:right="1463" w:firstLine="5"/>
      </w:pPr>
      <w:r>
        <w:t>La sección 3 contiene una lista explícita de características protegidas, que incluye motivos de “casta, raza, etnia, ascendencia,</w:t>
      </w:r>
      <w:r>
        <w:rPr>
          <w:spacing w:val="-1"/>
        </w:rPr>
        <w:t xml:space="preserve"> </w:t>
      </w:r>
      <w:r>
        <w:t>sexo,</w:t>
      </w:r>
      <w:r>
        <w:rPr>
          <w:spacing w:val="-2"/>
        </w:rPr>
        <w:t xml:space="preserve"> </w:t>
      </w:r>
      <w:r>
        <w:t>identidad</w:t>
      </w:r>
      <w:r>
        <w:rPr>
          <w:spacing w:val="-3"/>
        </w:rPr>
        <w:t xml:space="preserve"> </w:t>
      </w:r>
      <w:r>
        <w:t>de</w:t>
      </w:r>
      <w:r>
        <w:rPr>
          <w:spacing w:val="-3"/>
        </w:rPr>
        <w:t xml:space="preserve"> </w:t>
      </w:r>
      <w:r>
        <w:t>género,</w:t>
      </w:r>
      <w:r>
        <w:rPr>
          <w:spacing w:val="-2"/>
        </w:rPr>
        <w:t xml:space="preserve"> </w:t>
      </w:r>
      <w:r>
        <w:t>embarazo,</w:t>
      </w:r>
      <w:r>
        <w:rPr>
          <w:spacing w:val="-2"/>
        </w:rPr>
        <w:t xml:space="preserve"> </w:t>
      </w:r>
      <w:r>
        <w:t>orientación</w:t>
      </w:r>
      <w:r>
        <w:rPr>
          <w:spacing w:val="-3"/>
        </w:rPr>
        <w:t xml:space="preserve"> </w:t>
      </w:r>
      <w:r>
        <w:t>sexual,</w:t>
      </w:r>
      <w:r>
        <w:rPr>
          <w:spacing w:val="-2"/>
        </w:rPr>
        <w:t xml:space="preserve"> </w:t>
      </w:r>
      <w:r>
        <w:t>religión</w:t>
      </w:r>
      <w:r>
        <w:rPr>
          <w:spacing w:val="-3"/>
        </w:rPr>
        <w:t xml:space="preserve"> </w:t>
      </w:r>
      <w:r>
        <w:t>y</w:t>
      </w:r>
      <w:r>
        <w:rPr>
          <w:spacing w:val="-3"/>
        </w:rPr>
        <w:t xml:space="preserve"> </w:t>
      </w:r>
      <w:r>
        <w:t>creencias,</w:t>
      </w:r>
      <w:r>
        <w:rPr>
          <w:spacing w:val="-2"/>
        </w:rPr>
        <w:t xml:space="preserve"> </w:t>
      </w:r>
      <w:r>
        <w:t>tribu,</w:t>
      </w:r>
      <w:r>
        <w:rPr>
          <w:spacing w:val="-2"/>
        </w:rPr>
        <w:t xml:space="preserve"> </w:t>
      </w:r>
      <w:r>
        <w:t>discapacidad,</w:t>
      </w:r>
      <w:r>
        <w:rPr>
          <w:spacing w:val="-1"/>
        </w:rPr>
        <w:t xml:space="preserve"> </w:t>
      </w:r>
      <w:r>
        <w:t>identidad lingüística, estado serológico respecto del VIH, nacionalidad, estado civil, preferencia alimentaria, tono de piel, lugar de residencia, lugar de nacimiento o edad”. El proyecto de ley prohíbe además la discriminación basada en “cualquier otra característica que:</w:t>
      </w:r>
    </w:p>
    <w:p w14:paraId="37138FE3" w14:textId="77777777" w:rsidR="0014798C" w:rsidRDefault="004E1F0B">
      <w:pPr>
        <w:pStyle w:val="Textoindependiente"/>
        <w:spacing w:before="129"/>
        <w:ind w:left="1570"/>
      </w:pPr>
      <w:r>
        <w:t>(a)</w:t>
      </w:r>
      <w:r>
        <w:rPr>
          <w:spacing w:val="-11"/>
        </w:rPr>
        <w:t xml:space="preserve"> </w:t>
      </w:r>
      <w:r>
        <w:t>está</w:t>
      </w:r>
      <w:r>
        <w:rPr>
          <w:spacing w:val="-11"/>
        </w:rPr>
        <w:t xml:space="preserve"> </w:t>
      </w:r>
      <w:r>
        <w:t>fuera</w:t>
      </w:r>
      <w:r>
        <w:rPr>
          <w:spacing w:val="-10"/>
        </w:rPr>
        <w:t xml:space="preserve"> </w:t>
      </w:r>
      <w:r>
        <w:t>del</w:t>
      </w:r>
      <w:r>
        <w:rPr>
          <w:spacing w:val="-11"/>
        </w:rPr>
        <w:t xml:space="preserve"> </w:t>
      </w:r>
      <w:r>
        <w:t>control</w:t>
      </w:r>
      <w:r>
        <w:rPr>
          <w:spacing w:val="-10"/>
        </w:rPr>
        <w:t xml:space="preserve"> </w:t>
      </w:r>
      <w:r>
        <w:t>efectivo</w:t>
      </w:r>
      <w:r>
        <w:rPr>
          <w:spacing w:val="-11"/>
        </w:rPr>
        <w:t xml:space="preserve"> </w:t>
      </w:r>
      <w:r>
        <w:t>de</w:t>
      </w:r>
      <w:r>
        <w:rPr>
          <w:spacing w:val="-10"/>
        </w:rPr>
        <w:t xml:space="preserve"> </w:t>
      </w:r>
      <w:r>
        <w:t>una</w:t>
      </w:r>
      <w:r>
        <w:rPr>
          <w:spacing w:val="-11"/>
        </w:rPr>
        <w:t xml:space="preserve"> </w:t>
      </w:r>
      <w:r>
        <w:t>persona,</w:t>
      </w:r>
      <w:r>
        <w:rPr>
          <w:spacing w:val="-9"/>
        </w:rPr>
        <w:t xml:space="preserve"> </w:t>
      </w:r>
      <w:r>
        <w:t>o</w:t>
      </w:r>
      <w:r>
        <w:rPr>
          <w:spacing w:val="-11"/>
        </w:rPr>
        <w:t xml:space="preserve"> </w:t>
      </w:r>
      <w:r>
        <w:t>constituye</w:t>
      </w:r>
      <w:r>
        <w:rPr>
          <w:spacing w:val="-10"/>
        </w:rPr>
        <w:t xml:space="preserve"> </w:t>
      </w:r>
      <w:r>
        <w:t>una</w:t>
      </w:r>
      <w:r>
        <w:rPr>
          <w:spacing w:val="-11"/>
        </w:rPr>
        <w:t xml:space="preserve"> </w:t>
      </w:r>
      <w:r>
        <w:t>elección</w:t>
      </w:r>
      <w:r>
        <w:rPr>
          <w:spacing w:val="-10"/>
        </w:rPr>
        <w:t xml:space="preserve"> </w:t>
      </w:r>
      <w:r>
        <w:t>fundamental,</w:t>
      </w:r>
      <w:r>
        <w:rPr>
          <w:spacing w:val="-9"/>
        </w:rPr>
        <w:t xml:space="preserve"> </w:t>
      </w:r>
      <w:r>
        <w:t>o</w:t>
      </w:r>
      <w:r>
        <w:rPr>
          <w:spacing w:val="-11"/>
        </w:rPr>
        <w:t xml:space="preserve"> </w:t>
      </w:r>
      <w:r>
        <w:t>ambas</w:t>
      </w:r>
      <w:r>
        <w:rPr>
          <w:spacing w:val="-10"/>
        </w:rPr>
        <w:t xml:space="preserve"> </w:t>
      </w:r>
      <w:r>
        <w:t>cosas;</w:t>
      </w:r>
      <w:r>
        <w:rPr>
          <w:spacing w:val="-10"/>
        </w:rPr>
        <w:t xml:space="preserve"> </w:t>
      </w:r>
      <w:r>
        <w:t>y</w:t>
      </w:r>
      <w:r>
        <w:rPr>
          <w:spacing w:val="-11"/>
        </w:rPr>
        <w:t xml:space="preserve"> </w:t>
      </w:r>
      <w:r>
        <w:t>(b)</w:t>
      </w:r>
      <w:r>
        <w:rPr>
          <w:spacing w:val="-10"/>
        </w:rPr>
        <w:t xml:space="preserve"> </w:t>
      </w:r>
      <w:r>
        <w:rPr>
          <w:spacing w:val="-2"/>
        </w:rPr>
        <w:t>define</w:t>
      </w:r>
    </w:p>
    <w:p w14:paraId="0483B85B" w14:textId="77777777" w:rsidR="0014798C" w:rsidRDefault="004E1F0B">
      <w:pPr>
        <w:pStyle w:val="Textoindependiente"/>
        <w:spacing w:before="179" w:line="326" w:lineRule="auto"/>
        <w:ind w:left="1904" w:right="1463" w:hanging="334"/>
      </w:pPr>
      <w:r>
        <w:t>al</w:t>
      </w:r>
      <w:r>
        <w:rPr>
          <w:spacing w:val="-2"/>
        </w:rPr>
        <w:t xml:space="preserve"> </w:t>
      </w:r>
      <w:r>
        <w:t>menos</w:t>
      </w:r>
      <w:r>
        <w:rPr>
          <w:spacing w:val="-2"/>
        </w:rPr>
        <w:t xml:space="preserve"> </w:t>
      </w:r>
      <w:r>
        <w:t>un</w:t>
      </w:r>
      <w:r>
        <w:rPr>
          <w:spacing w:val="-2"/>
        </w:rPr>
        <w:t xml:space="preserve"> </w:t>
      </w:r>
      <w:r>
        <w:t>grupo</w:t>
      </w:r>
      <w:r>
        <w:rPr>
          <w:spacing w:val="-2"/>
        </w:rPr>
        <w:t xml:space="preserve"> </w:t>
      </w:r>
      <w:r>
        <w:t>que</w:t>
      </w:r>
      <w:r>
        <w:rPr>
          <w:spacing w:val="-2"/>
        </w:rPr>
        <w:t xml:space="preserve"> </w:t>
      </w:r>
      <w:r>
        <w:t>sufre</w:t>
      </w:r>
      <w:r>
        <w:rPr>
          <w:spacing w:val="-2"/>
        </w:rPr>
        <w:t xml:space="preserve"> </w:t>
      </w:r>
      <w:r>
        <w:t>o</w:t>
      </w:r>
      <w:r>
        <w:rPr>
          <w:spacing w:val="-2"/>
        </w:rPr>
        <w:t xml:space="preserve"> </w:t>
      </w:r>
      <w:r>
        <w:t>está</w:t>
      </w:r>
      <w:r>
        <w:rPr>
          <w:spacing w:val="-2"/>
        </w:rPr>
        <w:t xml:space="preserve"> </w:t>
      </w:r>
      <w:r>
        <w:t>en</w:t>
      </w:r>
      <w:r>
        <w:rPr>
          <w:spacing w:val="-2"/>
        </w:rPr>
        <w:t xml:space="preserve"> </w:t>
      </w:r>
      <w:r>
        <w:t>peligro</w:t>
      </w:r>
      <w:r>
        <w:rPr>
          <w:spacing w:val="-2"/>
        </w:rPr>
        <w:t xml:space="preserve"> </w:t>
      </w:r>
      <w:r>
        <w:t>de</w:t>
      </w:r>
      <w:r>
        <w:rPr>
          <w:spacing w:val="-2"/>
        </w:rPr>
        <w:t xml:space="preserve"> </w:t>
      </w:r>
      <w:r>
        <w:t>sufrir</w:t>
      </w:r>
      <w:r>
        <w:rPr>
          <w:spacing w:val="-2"/>
        </w:rPr>
        <w:t xml:space="preserve"> </w:t>
      </w:r>
      <w:r>
        <w:t>una</w:t>
      </w:r>
      <w:r>
        <w:rPr>
          <w:spacing w:val="-2"/>
        </w:rPr>
        <w:t xml:space="preserve"> </w:t>
      </w:r>
      <w:r>
        <w:t>desventaja</w:t>
      </w:r>
      <w:r>
        <w:rPr>
          <w:spacing w:val="-2"/>
        </w:rPr>
        <w:t xml:space="preserve"> </w:t>
      </w:r>
      <w:r>
        <w:t>generalizada</w:t>
      </w:r>
      <w:r>
        <w:rPr>
          <w:spacing w:val="-1"/>
        </w:rPr>
        <w:t xml:space="preserve"> </w:t>
      </w:r>
      <w:r>
        <w:t>y</w:t>
      </w:r>
      <w:r>
        <w:rPr>
          <w:spacing w:val="-2"/>
        </w:rPr>
        <w:t xml:space="preserve"> </w:t>
      </w:r>
      <w:r>
        <w:t>sustancial,</w:t>
      </w:r>
      <w:r>
        <w:rPr>
          <w:spacing w:val="-1"/>
        </w:rPr>
        <w:t xml:space="preserve"> </w:t>
      </w:r>
      <w:r>
        <w:t>en</w:t>
      </w:r>
      <w:r>
        <w:rPr>
          <w:spacing w:val="-2"/>
        </w:rPr>
        <w:t xml:space="preserve"> </w:t>
      </w:r>
      <w:r>
        <w:t>comparación</w:t>
      </w:r>
      <w:r>
        <w:rPr>
          <w:spacing w:val="-1"/>
        </w:rPr>
        <w:t xml:space="preserve"> </w:t>
      </w:r>
      <w:r>
        <w:t>con otros grupos definidos por la misma característica”.116</w:t>
      </w:r>
    </w:p>
    <w:p w14:paraId="4C443A13" w14:textId="77777777" w:rsidR="0014798C" w:rsidRDefault="004E1F0B">
      <w:pPr>
        <w:pStyle w:val="Textoindependiente"/>
        <w:spacing w:before="113" w:line="326" w:lineRule="auto"/>
        <w:ind w:left="1337" w:right="1463" w:hanging="4"/>
      </w:pPr>
      <w:r>
        <w:t>Además,</w:t>
      </w:r>
      <w:r>
        <w:rPr>
          <w:spacing w:val="-1"/>
        </w:rPr>
        <w:t xml:space="preserve"> </w:t>
      </w:r>
      <w:r>
        <w:t>se</w:t>
      </w:r>
      <w:r>
        <w:rPr>
          <w:spacing w:val="-2"/>
        </w:rPr>
        <w:t xml:space="preserve"> </w:t>
      </w:r>
      <w:r>
        <w:t>prohibiría</w:t>
      </w:r>
      <w:r>
        <w:rPr>
          <w:spacing w:val="-2"/>
        </w:rPr>
        <w:t xml:space="preserve"> </w:t>
      </w:r>
      <w:r>
        <w:t>la</w:t>
      </w:r>
      <w:r>
        <w:rPr>
          <w:spacing w:val="-2"/>
        </w:rPr>
        <w:t xml:space="preserve"> </w:t>
      </w:r>
      <w:r>
        <w:t>discriminación</w:t>
      </w:r>
      <w:r>
        <w:rPr>
          <w:spacing w:val="-1"/>
        </w:rPr>
        <w:t xml:space="preserve"> </w:t>
      </w:r>
      <w:r>
        <w:t>sobre</w:t>
      </w:r>
      <w:r>
        <w:rPr>
          <w:spacing w:val="-1"/>
        </w:rPr>
        <w:t xml:space="preserve"> </w:t>
      </w:r>
      <w:r>
        <w:t>la</w:t>
      </w:r>
      <w:r>
        <w:rPr>
          <w:spacing w:val="-2"/>
        </w:rPr>
        <w:t xml:space="preserve"> </w:t>
      </w:r>
      <w:r>
        <w:t>base</w:t>
      </w:r>
      <w:r>
        <w:rPr>
          <w:spacing w:val="-2"/>
        </w:rPr>
        <w:t xml:space="preserve"> </w:t>
      </w:r>
      <w:r>
        <w:t>de</w:t>
      </w:r>
      <w:r>
        <w:rPr>
          <w:spacing w:val="-2"/>
        </w:rPr>
        <w:t xml:space="preserve"> </w:t>
      </w:r>
      <w:r>
        <w:t>una</w:t>
      </w:r>
      <w:r>
        <w:rPr>
          <w:spacing w:val="-2"/>
        </w:rPr>
        <w:t xml:space="preserve"> </w:t>
      </w:r>
      <w:r>
        <w:t>combinación</w:t>
      </w:r>
      <w:r>
        <w:rPr>
          <w:spacing w:val="-1"/>
        </w:rPr>
        <w:t xml:space="preserve"> </w:t>
      </w:r>
      <w:r>
        <w:t>de</w:t>
      </w:r>
      <w:r>
        <w:rPr>
          <w:spacing w:val="-2"/>
        </w:rPr>
        <w:t xml:space="preserve"> </w:t>
      </w:r>
      <w:r>
        <w:t>cualquiera</w:t>
      </w:r>
      <w:r>
        <w:rPr>
          <w:spacing w:val="-1"/>
        </w:rPr>
        <w:t xml:space="preserve"> </w:t>
      </w:r>
      <w:r>
        <w:t>de</w:t>
      </w:r>
      <w:r>
        <w:rPr>
          <w:spacing w:val="-2"/>
        </w:rPr>
        <w:t xml:space="preserve"> </w:t>
      </w:r>
      <w:r>
        <w:t>las</w:t>
      </w:r>
      <w:r>
        <w:rPr>
          <w:spacing w:val="-2"/>
        </w:rPr>
        <w:t xml:space="preserve"> </w:t>
      </w:r>
      <w:r>
        <w:t>características</w:t>
      </w:r>
      <w:r>
        <w:rPr>
          <w:spacing w:val="-2"/>
        </w:rPr>
        <w:t xml:space="preserve"> </w:t>
      </w:r>
      <w:r>
        <w:t>anteriores.117 En virtud del artículo 4, el término “grupo protegido” se define para incluir a cualquier “persona que sea (correcta o incorrectamente) percibida como miembro de ese grupo”. y personas que estén asociadas con los miembros de ese grupo</w:t>
      </w:r>
    </w:p>
    <w:p w14:paraId="7074BB86" w14:textId="77777777" w:rsidR="0014798C" w:rsidRDefault="004E1F0B">
      <w:pPr>
        <w:pStyle w:val="Textoindependiente"/>
        <w:spacing w:line="183" w:lineRule="exact"/>
        <w:ind w:left="1332"/>
      </w:pPr>
      <w:r>
        <w:t>y</w:t>
      </w:r>
      <w:r>
        <w:rPr>
          <w:spacing w:val="-8"/>
        </w:rPr>
        <w:t xml:space="preserve"> </w:t>
      </w:r>
      <w:r>
        <w:t>puedan</w:t>
      </w:r>
      <w:r>
        <w:rPr>
          <w:spacing w:val="-5"/>
        </w:rPr>
        <w:t xml:space="preserve"> </w:t>
      </w:r>
      <w:r>
        <w:t>poseer</w:t>
      </w:r>
      <w:r>
        <w:rPr>
          <w:spacing w:val="-5"/>
        </w:rPr>
        <w:t xml:space="preserve"> </w:t>
      </w:r>
      <w:r>
        <w:t>o</w:t>
      </w:r>
      <w:r>
        <w:rPr>
          <w:spacing w:val="-5"/>
        </w:rPr>
        <w:t xml:space="preserve"> </w:t>
      </w:r>
      <w:r>
        <w:t>no</w:t>
      </w:r>
      <w:r>
        <w:rPr>
          <w:spacing w:val="-5"/>
        </w:rPr>
        <w:t xml:space="preserve"> </w:t>
      </w:r>
      <w:r>
        <w:t>algún</w:t>
      </w:r>
      <w:r>
        <w:rPr>
          <w:spacing w:val="-5"/>
        </w:rPr>
        <w:t xml:space="preserve"> </w:t>
      </w:r>
      <w:r>
        <w:t>reconocimiento</w:t>
      </w:r>
      <w:r>
        <w:rPr>
          <w:spacing w:val="-5"/>
        </w:rPr>
        <w:t xml:space="preserve"> </w:t>
      </w:r>
      <w:r>
        <w:t>formal,</w:t>
      </w:r>
      <w:r>
        <w:rPr>
          <w:spacing w:val="-5"/>
        </w:rPr>
        <w:t xml:space="preserve"> </w:t>
      </w:r>
      <w:r>
        <w:t>cohesión</w:t>
      </w:r>
      <w:r>
        <w:rPr>
          <w:spacing w:val="-4"/>
        </w:rPr>
        <w:t xml:space="preserve"> </w:t>
      </w:r>
      <w:r>
        <w:t>social</w:t>
      </w:r>
      <w:r>
        <w:rPr>
          <w:spacing w:val="-4"/>
        </w:rPr>
        <w:t xml:space="preserve"> </w:t>
      </w:r>
      <w:r>
        <w:t>o</w:t>
      </w:r>
      <w:r>
        <w:rPr>
          <w:spacing w:val="-5"/>
        </w:rPr>
        <w:t xml:space="preserve"> </w:t>
      </w:r>
      <w:r>
        <w:t>una</w:t>
      </w:r>
      <w:r>
        <w:rPr>
          <w:spacing w:val="-5"/>
        </w:rPr>
        <w:t xml:space="preserve"> </w:t>
      </w:r>
      <w:r>
        <w:t>identidad</w:t>
      </w:r>
      <w:r>
        <w:rPr>
          <w:spacing w:val="-5"/>
        </w:rPr>
        <w:t xml:space="preserve"> </w:t>
      </w:r>
      <w:r>
        <w:t>cultural</w:t>
      </w:r>
      <w:r>
        <w:rPr>
          <w:spacing w:val="-5"/>
        </w:rPr>
        <w:t xml:space="preserve"> </w:t>
      </w:r>
      <w:r>
        <w:rPr>
          <w:spacing w:val="-2"/>
        </w:rPr>
        <w:t>distinta”.</w:t>
      </w:r>
    </w:p>
    <w:p w14:paraId="494AEE9A" w14:textId="77777777" w:rsidR="0014798C" w:rsidRDefault="0014798C">
      <w:pPr>
        <w:pStyle w:val="Textoindependiente"/>
        <w:spacing w:before="159"/>
        <w:rPr>
          <w:sz w:val="20"/>
        </w:rPr>
      </w:pPr>
    </w:p>
    <w:p w14:paraId="5AB06B93" w14:textId="77777777" w:rsidR="0014798C" w:rsidRDefault="004E1F0B">
      <w:pPr>
        <w:ind w:left="1338"/>
        <w:rPr>
          <w:sz w:val="20"/>
        </w:rPr>
      </w:pPr>
      <w:r>
        <w:rPr>
          <w:spacing w:val="-2"/>
          <w:w w:val="105"/>
          <w:sz w:val="20"/>
        </w:rPr>
        <w:t>Las</w:t>
      </w:r>
      <w:r>
        <w:rPr>
          <w:spacing w:val="-5"/>
          <w:w w:val="105"/>
          <w:sz w:val="20"/>
        </w:rPr>
        <w:t xml:space="preserve"> </w:t>
      </w:r>
      <w:r>
        <w:rPr>
          <w:spacing w:val="-2"/>
          <w:w w:val="105"/>
          <w:sz w:val="20"/>
        </w:rPr>
        <w:t>secciones</w:t>
      </w:r>
      <w:r>
        <w:rPr>
          <w:spacing w:val="-4"/>
          <w:w w:val="105"/>
          <w:sz w:val="20"/>
        </w:rPr>
        <w:t xml:space="preserve"> </w:t>
      </w:r>
      <w:r>
        <w:rPr>
          <w:spacing w:val="-2"/>
          <w:w w:val="105"/>
          <w:sz w:val="20"/>
        </w:rPr>
        <w:t>6</w:t>
      </w:r>
      <w:r>
        <w:rPr>
          <w:spacing w:val="-5"/>
          <w:w w:val="105"/>
          <w:sz w:val="20"/>
        </w:rPr>
        <w:t xml:space="preserve"> </w:t>
      </w:r>
      <w:r>
        <w:rPr>
          <w:spacing w:val="-2"/>
          <w:w w:val="105"/>
          <w:sz w:val="20"/>
        </w:rPr>
        <w:t>a</w:t>
      </w:r>
      <w:r>
        <w:rPr>
          <w:spacing w:val="-4"/>
          <w:w w:val="105"/>
          <w:sz w:val="20"/>
        </w:rPr>
        <w:t xml:space="preserve"> </w:t>
      </w:r>
      <w:r>
        <w:rPr>
          <w:spacing w:val="-2"/>
          <w:w w:val="105"/>
          <w:sz w:val="20"/>
        </w:rPr>
        <w:t>12</w:t>
      </w:r>
      <w:r>
        <w:rPr>
          <w:spacing w:val="-5"/>
          <w:w w:val="105"/>
          <w:sz w:val="20"/>
        </w:rPr>
        <w:t xml:space="preserve"> </w:t>
      </w:r>
      <w:r>
        <w:rPr>
          <w:spacing w:val="-2"/>
          <w:w w:val="105"/>
          <w:sz w:val="20"/>
        </w:rPr>
        <w:t>identifican</w:t>
      </w:r>
      <w:r>
        <w:rPr>
          <w:spacing w:val="-4"/>
          <w:w w:val="105"/>
          <w:sz w:val="20"/>
        </w:rPr>
        <w:t xml:space="preserve"> </w:t>
      </w:r>
      <w:r>
        <w:rPr>
          <w:spacing w:val="-2"/>
          <w:w w:val="105"/>
          <w:sz w:val="20"/>
        </w:rPr>
        <w:t>formas</w:t>
      </w:r>
      <w:r>
        <w:rPr>
          <w:spacing w:val="-5"/>
          <w:w w:val="105"/>
          <w:sz w:val="20"/>
        </w:rPr>
        <w:t xml:space="preserve"> </w:t>
      </w:r>
      <w:r>
        <w:rPr>
          <w:spacing w:val="-2"/>
          <w:w w:val="105"/>
          <w:sz w:val="20"/>
        </w:rPr>
        <w:t>de</w:t>
      </w:r>
      <w:r>
        <w:rPr>
          <w:spacing w:val="-4"/>
          <w:w w:val="105"/>
          <w:sz w:val="20"/>
        </w:rPr>
        <w:t xml:space="preserve"> </w:t>
      </w:r>
      <w:r>
        <w:rPr>
          <w:spacing w:val="-2"/>
          <w:w w:val="105"/>
          <w:sz w:val="20"/>
        </w:rPr>
        <w:t>conducta</w:t>
      </w:r>
      <w:r>
        <w:rPr>
          <w:spacing w:val="-4"/>
          <w:w w:val="105"/>
          <w:sz w:val="20"/>
        </w:rPr>
        <w:t xml:space="preserve"> </w:t>
      </w:r>
      <w:r>
        <w:rPr>
          <w:spacing w:val="-2"/>
          <w:w w:val="105"/>
          <w:sz w:val="20"/>
        </w:rPr>
        <w:t>prohibida,</w:t>
      </w:r>
      <w:r>
        <w:rPr>
          <w:spacing w:val="-3"/>
          <w:w w:val="105"/>
          <w:sz w:val="20"/>
        </w:rPr>
        <w:t xml:space="preserve"> </w:t>
      </w:r>
      <w:r>
        <w:rPr>
          <w:spacing w:val="-2"/>
          <w:w w:val="105"/>
          <w:sz w:val="20"/>
        </w:rPr>
        <w:t>que</w:t>
      </w:r>
      <w:r>
        <w:rPr>
          <w:spacing w:val="-4"/>
          <w:w w:val="105"/>
          <w:sz w:val="20"/>
        </w:rPr>
        <w:t xml:space="preserve"> </w:t>
      </w:r>
      <w:r>
        <w:rPr>
          <w:spacing w:val="-2"/>
          <w:w w:val="105"/>
          <w:sz w:val="20"/>
        </w:rPr>
        <w:t>incluyen</w:t>
      </w:r>
      <w:r>
        <w:rPr>
          <w:spacing w:val="-5"/>
          <w:w w:val="105"/>
          <w:sz w:val="20"/>
        </w:rPr>
        <w:t xml:space="preserve"> </w:t>
      </w:r>
      <w:r>
        <w:rPr>
          <w:spacing w:val="-2"/>
          <w:w w:val="105"/>
          <w:sz w:val="20"/>
        </w:rPr>
        <w:t>discriminación</w:t>
      </w:r>
    </w:p>
    <w:p w14:paraId="3D1BDA3E" w14:textId="77777777" w:rsidR="0014798C" w:rsidRDefault="004E1F0B">
      <w:pPr>
        <w:spacing w:before="20"/>
        <w:ind w:left="1337"/>
        <w:rPr>
          <w:sz w:val="20"/>
        </w:rPr>
      </w:pPr>
      <w:r>
        <w:rPr>
          <w:sz w:val="20"/>
        </w:rPr>
        <w:t>directa,</w:t>
      </w:r>
      <w:r>
        <w:rPr>
          <w:spacing w:val="18"/>
          <w:sz w:val="20"/>
        </w:rPr>
        <w:t xml:space="preserve"> </w:t>
      </w:r>
      <w:r>
        <w:rPr>
          <w:sz w:val="20"/>
        </w:rPr>
        <w:t>discriminación</w:t>
      </w:r>
      <w:r>
        <w:rPr>
          <w:spacing w:val="18"/>
          <w:sz w:val="20"/>
        </w:rPr>
        <w:t xml:space="preserve"> </w:t>
      </w:r>
      <w:r>
        <w:rPr>
          <w:sz w:val="20"/>
        </w:rPr>
        <w:t>indirecta,</w:t>
      </w:r>
      <w:r>
        <w:rPr>
          <w:spacing w:val="18"/>
          <w:sz w:val="20"/>
        </w:rPr>
        <w:t xml:space="preserve"> </w:t>
      </w:r>
      <w:r>
        <w:rPr>
          <w:sz w:val="20"/>
        </w:rPr>
        <w:t>acoso,</w:t>
      </w:r>
      <w:r>
        <w:rPr>
          <w:spacing w:val="18"/>
          <w:sz w:val="20"/>
        </w:rPr>
        <w:t xml:space="preserve"> </w:t>
      </w:r>
      <w:r>
        <w:rPr>
          <w:sz w:val="20"/>
        </w:rPr>
        <w:t>boicot,</w:t>
      </w:r>
      <w:r>
        <w:rPr>
          <w:spacing w:val="18"/>
          <w:sz w:val="20"/>
        </w:rPr>
        <w:t xml:space="preserve"> </w:t>
      </w:r>
      <w:r>
        <w:rPr>
          <w:sz w:val="20"/>
        </w:rPr>
        <w:t>segregación,</w:t>
      </w:r>
      <w:r>
        <w:rPr>
          <w:spacing w:val="19"/>
          <w:sz w:val="20"/>
        </w:rPr>
        <w:t xml:space="preserve"> </w:t>
      </w:r>
      <w:r>
        <w:rPr>
          <w:sz w:val="20"/>
        </w:rPr>
        <w:t>violencia</w:t>
      </w:r>
      <w:r>
        <w:rPr>
          <w:spacing w:val="17"/>
          <w:sz w:val="20"/>
        </w:rPr>
        <w:t xml:space="preserve"> </w:t>
      </w:r>
      <w:r>
        <w:rPr>
          <w:sz w:val="20"/>
        </w:rPr>
        <w:t>discriminatoria</w:t>
      </w:r>
      <w:r>
        <w:rPr>
          <w:spacing w:val="17"/>
          <w:sz w:val="20"/>
        </w:rPr>
        <w:t xml:space="preserve"> </w:t>
      </w:r>
      <w:r>
        <w:rPr>
          <w:sz w:val="20"/>
        </w:rPr>
        <w:t>y</w:t>
      </w:r>
      <w:r>
        <w:rPr>
          <w:spacing w:val="16"/>
          <w:sz w:val="20"/>
        </w:rPr>
        <w:t xml:space="preserve"> </w:t>
      </w:r>
      <w:r>
        <w:rPr>
          <w:spacing w:val="-2"/>
          <w:sz w:val="20"/>
        </w:rPr>
        <w:t>victimización.</w:t>
      </w:r>
    </w:p>
    <w:p w14:paraId="70904F51" w14:textId="77777777" w:rsidR="0014798C" w:rsidRDefault="004E1F0B">
      <w:pPr>
        <w:pStyle w:val="Textoindependiente"/>
        <w:spacing w:before="59" w:line="326" w:lineRule="auto"/>
        <w:ind w:left="1332" w:right="1625" w:firstLine="5"/>
        <w:jc w:val="both"/>
      </w:pPr>
      <w:r>
        <w:t>Los</w:t>
      </w:r>
      <w:r>
        <w:rPr>
          <w:spacing w:val="-9"/>
        </w:rPr>
        <w:t xml:space="preserve"> </w:t>
      </w:r>
      <w:r>
        <w:t>artículos</w:t>
      </w:r>
      <w:r>
        <w:rPr>
          <w:spacing w:val="-9"/>
        </w:rPr>
        <w:t xml:space="preserve"> </w:t>
      </w:r>
      <w:r>
        <w:t>14</w:t>
      </w:r>
      <w:r>
        <w:rPr>
          <w:spacing w:val="-9"/>
        </w:rPr>
        <w:t xml:space="preserve"> </w:t>
      </w:r>
      <w:r>
        <w:t>a</w:t>
      </w:r>
      <w:r>
        <w:rPr>
          <w:spacing w:val="-9"/>
        </w:rPr>
        <w:t xml:space="preserve"> </w:t>
      </w:r>
      <w:r>
        <w:t>16</w:t>
      </w:r>
      <w:r>
        <w:rPr>
          <w:spacing w:val="-9"/>
        </w:rPr>
        <w:t xml:space="preserve"> </w:t>
      </w:r>
      <w:r>
        <w:t>establecen</w:t>
      </w:r>
      <w:r>
        <w:rPr>
          <w:spacing w:val="-9"/>
        </w:rPr>
        <w:t xml:space="preserve"> </w:t>
      </w:r>
      <w:r>
        <w:t>deberes</w:t>
      </w:r>
      <w:r>
        <w:rPr>
          <w:spacing w:val="-9"/>
        </w:rPr>
        <w:t xml:space="preserve"> </w:t>
      </w:r>
      <w:r>
        <w:t>de</w:t>
      </w:r>
      <w:r>
        <w:rPr>
          <w:spacing w:val="-9"/>
        </w:rPr>
        <w:t xml:space="preserve"> </w:t>
      </w:r>
      <w:r>
        <w:t>“antidiscriminación”,</w:t>
      </w:r>
      <w:r>
        <w:rPr>
          <w:spacing w:val="-7"/>
        </w:rPr>
        <w:t xml:space="preserve"> </w:t>
      </w:r>
      <w:r>
        <w:t>“diversificación”</w:t>
      </w:r>
      <w:r>
        <w:rPr>
          <w:spacing w:val="-9"/>
        </w:rPr>
        <w:t xml:space="preserve"> </w:t>
      </w:r>
      <w:r>
        <w:t>y</w:t>
      </w:r>
      <w:r>
        <w:rPr>
          <w:spacing w:val="-9"/>
        </w:rPr>
        <w:t xml:space="preserve"> </w:t>
      </w:r>
      <w:r>
        <w:t>“debida</w:t>
      </w:r>
      <w:r>
        <w:rPr>
          <w:spacing w:val="-9"/>
        </w:rPr>
        <w:t xml:space="preserve"> </w:t>
      </w:r>
      <w:proofErr w:type="gramStart"/>
      <w:r>
        <w:t>consideración”;</w:t>
      </w:r>
      <w:proofErr w:type="gramEnd"/>
      <w:r>
        <w:rPr>
          <w:spacing w:val="-7"/>
        </w:rPr>
        <w:t xml:space="preserve"> </w:t>
      </w:r>
      <w:r>
        <w:t>el</w:t>
      </w:r>
      <w:r>
        <w:rPr>
          <w:spacing w:val="-9"/>
        </w:rPr>
        <w:t xml:space="preserve"> </w:t>
      </w:r>
      <w:r>
        <w:t>último</w:t>
      </w:r>
      <w:r>
        <w:rPr>
          <w:spacing w:val="-9"/>
        </w:rPr>
        <w:t xml:space="preserve"> </w:t>
      </w:r>
      <w:r>
        <w:t>de</w:t>
      </w:r>
      <w:r>
        <w:rPr>
          <w:spacing w:val="-9"/>
        </w:rPr>
        <w:t xml:space="preserve"> </w:t>
      </w:r>
      <w:r>
        <w:t>los cuales</w:t>
      </w:r>
      <w:r>
        <w:rPr>
          <w:spacing w:val="-2"/>
        </w:rPr>
        <w:t xml:space="preserve"> </w:t>
      </w:r>
      <w:r>
        <w:t>exige</w:t>
      </w:r>
      <w:r>
        <w:rPr>
          <w:spacing w:val="-2"/>
        </w:rPr>
        <w:t xml:space="preserve"> </w:t>
      </w:r>
      <w:r>
        <w:t>que</w:t>
      </w:r>
      <w:r>
        <w:rPr>
          <w:spacing w:val="-2"/>
        </w:rPr>
        <w:t xml:space="preserve"> </w:t>
      </w:r>
      <w:r>
        <w:t>“todas</w:t>
      </w:r>
      <w:r>
        <w:rPr>
          <w:spacing w:val="-2"/>
        </w:rPr>
        <w:t xml:space="preserve"> </w:t>
      </w:r>
      <w:r>
        <w:t>las</w:t>
      </w:r>
      <w:r>
        <w:rPr>
          <w:spacing w:val="-2"/>
        </w:rPr>
        <w:t xml:space="preserve"> </w:t>
      </w:r>
      <w:r>
        <w:t>autoridades</w:t>
      </w:r>
      <w:r>
        <w:rPr>
          <w:spacing w:val="-2"/>
        </w:rPr>
        <w:t xml:space="preserve"> </w:t>
      </w:r>
      <w:r>
        <w:t>públicas,</w:t>
      </w:r>
      <w:r>
        <w:rPr>
          <w:spacing w:val="-1"/>
        </w:rPr>
        <w:t xml:space="preserve"> </w:t>
      </w:r>
      <w:r>
        <w:t>al</w:t>
      </w:r>
      <w:r>
        <w:rPr>
          <w:spacing w:val="-2"/>
        </w:rPr>
        <w:t xml:space="preserve"> </w:t>
      </w:r>
      <w:r>
        <w:t>adoptar</w:t>
      </w:r>
      <w:r>
        <w:rPr>
          <w:spacing w:val="-2"/>
        </w:rPr>
        <w:t xml:space="preserve"> </w:t>
      </w:r>
      <w:r>
        <w:t>una</w:t>
      </w:r>
      <w:r>
        <w:rPr>
          <w:spacing w:val="-2"/>
        </w:rPr>
        <w:t xml:space="preserve"> </w:t>
      </w:r>
      <w:r>
        <w:t>norma,</w:t>
      </w:r>
      <w:r>
        <w:rPr>
          <w:spacing w:val="-1"/>
        </w:rPr>
        <w:t xml:space="preserve"> </w:t>
      </w:r>
      <w:r>
        <w:t>reglamento,</w:t>
      </w:r>
      <w:r>
        <w:rPr>
          <w:spacing w:val="-1"/>
        </w:rPr>
        <w:t xml:space="preserve"> </w:t>
      </w:r>
      <w:r>
        <w:t>política</w:t>
      </w:r>
      <w:r>
        <w:rPr>
          <w:spacing w:val="-2"/>
        </w:rPr>
        <w:t xml:space="preserve"> </w:t>
      </w:r>
      <w:r>
        <w:t>o</w:t>
      </w:r>
      <w:r>
        <w:rPr>
          <w:spacing w:val="-2"/>
        </w:rPr>
        <w:t xml:space="preserve"> </w:t>
      </w:r>
      <w:r>
        <w:t>decisión</w:t>
      </w:r>
      <w:r>
        <w:rPr>
          <w:spacing w:val="-1"/>
        </w:rPr>
        <w:t xml:space="preserve"> </w:t>
      </w:r>
      <w:r>
        <w:t>estratégica,</w:t>
      </w:r>
      <w:r>
        <w:rPr>
          <w:spacing w:val="-1"/>
        </w:rPr>
        <w:t xml:space="preserve"> </w:t>
      </w:r>
      <w:r>
        <w:t>tengan debidamente en cuenta [la necesidad de eliminar] todas las formas de discriminación para promover la igualdad y la</w:t>
      </w:r>
    </w:p>
    <w:p w14:paraId="6B3FCB9C" w14:textId="77777777" w:rsidR="0014798C" w:rsidRDefault="004E1F0B">
      <w:pPr>
        <w:pStyle w:val="Textoindependiente"/>
        <w:spacing w:line="183" w:lineRule="exact"/>
        <w:ind w:left="1339"/>
        <w:jc w:val="both"/>
      </w:pPr>
      <w:r>
        <w:t>diversidad”.</w:t>
      </w:r>
      <w:r>
        <w:rPr>
          <w:spacing w:val="-5"/>
        </w:rPr>
        <w:t xml:space="preserve"> </w:t>
      </w:r>
      <w:r>
        <w:t>Según</w:t>
      </w:r>
      <w:r>
        <w:rPr>
          <w:spacing w:val="-4"/>
        </w:rPr>
        <w:t xml:space="preserve"> </w:t>
      </w:r>
      <w:r>
        <w:t>el</w:t>
      </w:r>
      <w:r>
        <w:rPr>
          <w:spacing w:val="-4"/>
        </w:rPr>
        <w:t xml:space="preserve"> </w:t>
      </w:r>
      <w:r>
        <w:t>artículo</w:t>
      </w:r>
      <w:r>
        <w:rPr>
          <w:spacing w:val="-4"/>
        </w:rPr>
        <w:t xml:space="preserve"> </w:t>
      </w:r>
      <w:r>
        <w:t>33,</w:t>
      </w:r>
      <w:r>
        <w:rPr>
          <w:spacing w:val="-3"/>
        </w:rPr>
        <w:t xml:space="preserve"> </w:t>
      </w:r>
      <w:r>
        <w:t>cualquier</w:t>
      </w:r>
      <w:r>
        <w:rPr>
          <w:spacing w:val="-4"/>
        </w:rPr>
        <w:t xml:space="preserve"> </w:t>
      </w:r>
      <w:r>
        <w:t>incumplimiento</w:t>
      </w:r>
      <w:r>
        <w:rPr>
          <w:spacing w:val="-4"/>
        </w:rPr>
        <w:t xml:space="preserve"> </w:t>
      </w:r>
      <w:r>
        <w:t>de</w:t>
      </w:r>
      <w:r>
        <w:rPr>
          <w:spacing w:val="-4"/>
        </w:rPr>
        <w:t xml:space="preserve"> </w:t>
      </w:r>
      <w:r>
        <w:t>estos</w:t>
      </w:r>
      <w:r>
        <w:rPr>
          <w:spacing w:val="-4"/>
        </w:rPr>
        <w:t xml:space="preserve"> </w:t>
      </w:r>
      <w:r>
        <w:t>deberes</w:t>
      </w:r>
      <w:r>
        <w:rPr>
          <w:spacing w:val="-5"/>
        </w:rPr>
        <w:t xml:space="preserve"> </w:t>
      </w:r>
      <w:r>
        <w:t>puede</w:t>
      </w:r>
      <w:r>
        <w:rPr>
          <w:spacing w:val="-4"/>
        </w:rPr>
        <w:t xml:space="preserve"> </w:t>
      </w:r>
      <w:r>
        <w:t>dar</w:t>
      </w:r>
      <w:r>
        <w:rPr>
          <w:spacing w:val="-4"/>
        </w:rPr>
        <w:t xml:space="preserve"> </w:t>
      </w:r>
      <w:r>
        <w:t>lugar</w:t>
      </w:r>
      <w:r>
        <w:rPr>
          <w:spacing w:val="-4"/>
        </w:rPr>
        <w:t xml:space="preserve"> </w:t>
      </w:r>
      <w:r>
        <w:t>a</w:t>
      </w:r>
      <w:r>
        <w:rPr>
          <w:spacing w:val="-4"/>
        </w:rPr>
        <w:t xml:space="preserve"> </w:t>
      </w:r>
      <w:r>
        <w:t>la</w:t>
      </w:r>
      <w:r>
        <w:rPr>
          <w:spacing w:val="-4"/>
        </w:rPr>
        <w:t xml:space="preserve"> </w:t>
      </w:r>
      <w:r>
        <w:t>emisión</w:t>
      </w:r>
      <w:r>
        <w:rPr>
          <w:spacing w:val="-3"/>
        </w:rPr>
        <w:t xml:space="preserve"> </w:t>
      </w:r>
      <w:r>
        <w:t>de</w:t>
      </w:r>
      <w:r>
        <w:rPr>
          <w:spacing w:val="-4"/>
        </w:rPr>
        <w:t xml:space="preserve"> </w:t>
      </w:r>
      <w:r>
        <w:t>una</w:t>
      </w:r>
      <w:r>
        <w:rPr>
          <w:spacing w:val="-4"/>
        </w:rPr>
        <w:t xml:space="preserve"> </w:t>
      </w:r>
      <w:r>
        <w:t>“orden,</w:t>
      </w:r>
      <w:r>
        <w:rPr>
          <w:spacing w:val="-3"/>
        </w:rPr>
        <w:t xml:space="preserve"> </w:t>
      </w:r>
      <w:r>
        <w:rPr>
          <w:spacing w:val="-2"/>
        </w:rPr>
        <w:t>declaración,</w:t>
      </w:r>
    </w:p>
    <w:p w14:paraId="0973232D" w14:textId="77777777" w:rsidR="0014798C" w:rsidRDefault="0014798C">
      <w:pPr>
        <w:pStyle w:val="Textoindependiente"/>
        <w:rPr>
          <w:sz w:val="20"/>
        </w:rPr>
      </w:pPr>
    </w:p>
    <w:p w14:paraId="2119206F" w14:textId="77777777" w:rsidR="0014798C" w:rsidRDefault="0014798C">
      <w:pPr>
        <w:pStyle w:val="Textoindependiente"/>
        <w:spacing w:before="126"/>
        <w:rPr>
          <w:sz w:val="20"/>
        </w:rPr>
      </w:pPr>
    </w:p>
    <w:p w14:paraId="5BFE06CF" w14:textId="77777777" w:rsidR="0014798C" w:rsidRDefault="0014798C">
      <w:pPr>
        <w:rPr>
          <w:sz w:val="20"/>
        </w:rPr>
        <w:sectPr w:rsidR="0014798C" w:rsidSect="00F265E4">
          <w:pgSz w:w="11900" w:h="16820"/>
          <w:pgMar w:top="340" w:right="0" w:bottom="280" w:left="200" w:header="121" w:footer="0" w:gutter="0"/>
          <w:cols w:space="720"/>
        </w:sectPr>
      </w:pPr>
    </w:p>
    <w:p w14:paraId="3B580DCA" w14:textId="77777777" w:rsidR="0014798C" w:rsidRDefault="0014798C">
      <w:pPr>
        <w:pStyle w:val="Textoindependiente"/>
        <w:spacing w:before="10"/>
        <w:rPr>
          <w:sz w:val="8"/>
        </w:rPr>
      </w:pPr>
    </w:p>
    <w:p w14:paraId="3C15C903" w14:textId="77777777" w:rsidR="0014798C" w:rsidRDefault="004E1F0B">
      <w:pPr>
        <w:jc w:val="right"/>
        <w:rPr>
          <w:sz w:val="8"/>
        </w:rPr>
      </w:pPr>
      <w:r>
        <w:rPr>
          <w:spacing w:val="-5"/>
          <w:w w:val="105"/>
          <w:sz w:val="8"/>
        </w:rPr>
        <w:t>111</w:t>
      </w:r>
    </w:p>
    <w:p w14:paraId="2ACD4EA2" w14:textId="77777777" w:rsidR="0014798C" w:rsidRDefault="0014798C">
      <w:pPr>
        <w:pStyle w:val="Textoindependiente"/>
        <w:rPr>
          <w:sz w:val="8"/>
        </w:rPr>
      </w:pPr>
    </w:p>
    <w:p w14:paraId="214E6ED3" w14:textId="77777777" w:rsidR="0014798C" w:rsidRDefault="0014798C">
      <w:pPr>
        <w:pStyle w:val="Textoindependiente"/>
        <w:rPr>
          <w:sz w:val="8"/>
        </w:rPr>
      </w:pPr>
    </w:p>
    <w:p w14:paraId="58FE638D" w14:textId="77777777" w:rsidR="0014798C" w:rsidRDefault="0014798C">
      <w:pPr>
        <w:pStyle w:val="Textoindependiente"/>
        <w:rPr>
          <w:sz w:val="8"/>
        </w:rPr>
      </w:pPr>
    </w:p>
    <w:p w14:paraId="323DFC54" w14:textId="77777777" w:rsidR="0014798C" w:rsidRDefault="0014798C">
      <w:pPr>
        <w:pStyle w:val="Textoindependiente"/>
        <w:rPr>
          <w:sz w:val="8"/>
        </w:rPr>
      </w:pPr>
    </w:p>
    <w:p w14:paraId="0F05EFC5" w14:textId="77777777" w:rsidR="0014798C" w:rsidRDefault="0014798C">
      <w:pPr>
        <w:pStyle w:val="Textoindependiente"/>
        <w:spacing w:before="44"/>
        <w:rPr>
          <w:sz w:val="8"/>
        </w:rPr>
      </w:pPr>
    </w:p>
    <w:p w14:paraId="71CC1674" w14:textId="77777777" w:rsidR="0014798C" w:rsidRDefault="004E1F0B">
      <w:pPr>
        <w:jc w:val="right"/>
        <w:rPr>
          <w:sz w:val="8"/>
        </w:rPr>
      </w:pPr>
      <w:r>
        <w:rPr>
          <w:spacing w:val="-5"/>
          <w:w w:val="105"/>
          <w:sz w:val="8"/>
        </w:rPr>
        <w:t>112</w:t>
      </w:r>
    </w:p>
    <w:p w14:paraId="3D8661B1" w14:textId="77777777" w:rsidR="0014798C" w:rsidRDefault="004E1F0B">
      <w:pPr>
        <w:spacing w:before="124"/>
        <w:ind w:left="78"/>
        <w:rPr>
          <w:sz w:val="13"/>
        </w:rPr>
      </w:pPr>
      <w:r>
        <w:br w:type="column"/>
      </w:r>
      <w:r>
        <w:rPr>
          <w:sz w:val="13"/>
        </w:rPr>
        <w:t>Véase,</w:t>
      </w:r>
      <w:r>
        <w:rPr>
          <w:spacing w:val="-7"/>
          <w:sz w:val="13"/>
        </w:rPr>
        <w:t xml:space="preserve"> </w:t>
      </w:r>
      <w:r>
        <w:rPr>
          <w:sz w:val="13"/>
        </w:rPr>
        <w:t>por</w:t>
      </w:r>
      <w:r>
        <w:rPr>
          <w:spacing w:val="-4"/>
          <w:sz w:val="13"/>
        </w:rPr>
        <w:t xml:space="preserve"> </w:t>
      </w:r>
      <w:r>
        <w:rPr>
          <w:sz w:val="13"/>
        </w:rPr>
        <w:t>ejemplo,</w:t>
      </w:r>
      <w:r>
        <w:rPr>
          <w:spacing w:val="-4"/>
          <w:sz w:val="13"/>
        </w:rPr>
        <w:t xml:space="preserve"> </w:t>
      </w:r>
      <w:r>
        <w:rPr>
          <w:sz w:val="13"/>
        </w:rPr>
        <w:t>Comisión</w:t>
      </w:r>
      <w:r>
        <w:rPr>
          <w:spacing w:val="-4"/>
          <w:sz w:val="13"/>
        </w:rPr>
        <w:t xml:space="preserve"> </w:t>
      </w:r>
      <w:r>
        <w:rPr>
          <w:sz w:val="13"/>
        </w:rPr>
        <w:t>de</w:t>
      </w:r>
      <w:r>
        <w:rPr>
          <w:spacing w:val="-5"/>
          <w:sz w:val="13"/>
        </w:rPr>
        <w:t xml:space="preserve"> </w:t>
      </w:r>
      <w:r>
        <w:rPr>
          <w:sz w:val="13"/>
        </w:rPr>
        <w:t>Derechos</w:t>
      </w:r>
      <w:r>
        <w:rPr>
          <w:spacing w:val="-5"/>
          <w:sz w:val="13"/>
        </w:rPr>
        <w:t xml:space="preserve"> </w:t>
      </w:r>
      <w:r>
        <w:rPr>
          <w:sz w:val="13"/>
        </w:rPr>
        <w:t>Humanos,</w:t>
      </w:r>
      <w:r>
        <w:rPr>
          <w:spacing w:val="-4"/>
          <w:sz w:val="13"/>
        </w:rPr>
        <w:t xml:space="preserve"> </w:t>
      </w:r>
      <w:r>
        <w:rPr>
          <w:sz w:val="13"/>
        </w:rPr>
        <w:t>“Documento</w:t>
      </w:r>
      <w:r>
        <w:rPr>
          <w:spacing w:val="-4"/>
          <w:sz w:val="13"/>
        </w:rPr>
        <w:t xml:space="preserve"> </w:t>
      </w:r>
      <w:r>
        <w:rPr>
          <w:sz w:val="13"/>
        </w:rPr>
        <w:t>de</w:t>
      </w:r>
      <w:r>
        <w:rPr>
          <w:spacing w:val="-4"/>
          <w:sz w:val="13"/>
        </w:rPr>
        <w:t xml:space="preserve"> </w:t>
      </w:r>
      <w:r>
        <w:rPr>
          <w:sz w:val="13"/>
        </w:rPr>
        <w:t>posición</w:t>
      </w:r>
      <w:r>
        <w:rPr>
          <w:spacing w:val="-5"/>
          <w:sz w:val="13"/>
        </w:rPr>
        <w:t xml:space="preserve"> </w:t>
      </w:r>
      <w:r>
        <w:rPr>
          <w:sz w:val="13"/>
        </w:rPr>
        <w:t>sobre</w:t>
      </w:r>
      <w:r>
        <w:rPr>
          <w:spacing w:val="-4"/>
          <w:sz w:val="13"/>
        </w:rPr>
        <w:t xml:space="preserve"> </w:t>
      </w:r>
      <w:r>
        <w:rPr>
          <w:sz w:val="13"/>
        </w:rPr>
        <w:t>el</w:t>
      </w:r>
      <w:r>
        <w:rPr>
          <w:spacing w:val="-4"/>
          <w:sz w:val="13"/>
        </w:rPr>
        <w:t xml:space="preserve"> </w:t>
      </w:r>
      <w:r>
        <w:rPr>
          <w:sz w:val="13"/>
        </w:rPr>
        <w:t>proyecto</w:t>
      </w:r>
      <w:r>
        <w:rPr>
          <w:spacing w:val="-4"/>
          <w:sz w:val="13"/>
        </w:rPr>
        <w:t xml:space="preserve"> </w:t>
      </w:r>
      <w:r>
        <w:rPr>
          <w:sz w:val="13"/>
        </w:rPr>
        <w:t>de</w:t>
      </w:r>
      <w:r>
        <w:rPr>
          <w:spacing w:val="-4"/>
          <w:sz w:val="13"/>
        </w:rPr>
        <w:t xml:space="preserve"> </w:t>
      </w:r>
      <w:r>
        <w:rPr>
          <w:sz w:val="13"/>
        </w:rPr>
        <w:t>ley</w:t>
      </w:r>
      <w:r>
        <w:rPr>
          <w:spacing w:val="-5"/>
          <w:sz w:val="13"/>
        </w:rPr>
        <w:t xml:space="preserve"> </w:t>
      </w:r>
      <w:r>
        <w:rPr>
          <w:sz w:val="13"/>
        </w:rPr>
        <w:t>integral</w:t>
      </w:r>
      <w:r>
        <w:rPr>
          <w:spacing w:val="-5"/>
          <w:sz w:val="13"/>
        </w:rPr>
        <w:t xml:space="preserve"> </w:t>
      </w:r>
      <w:r>
        <w:rPr>
          <w:sz w:val="13"/>
        </w:rPr>
        <w:t>contra</w:t>
      </w:r>
      <w:r>
        <w:rPr>
          <w:spacing w:val="-5"/>
          <w:sz w:val="13"/>
        </w:rPr>
        <w:t xml:space="preserve"> </w:t>
      </w:r>
      <w:r>
        <w:rPr>
          <w:sz w:val="13"/>
        </w:rPr>
        <w:t>la</w:t>
      </w:r>
      <w:r>
        <w:rPr>
          <w:spacing w:val="-4"/>
          <w:sz w:val="13"/>
        </w:rPr>
        <w:t xml:space="preserve"> </w:t>
      </w:r>
      <w:r>
        <w:rPr>
          <w:sz w:val="13"/>
        </w:rPr>
        <w:t>discriminación</w:t>
      </w:r>
      <w:r>
        <w:rPr>
          <w:spacing w:val="-4"/>
          <w:sz w:val="13"/>
        </w:rPr>
        <w:t xml:space="preserve"> </w:t>
      </w:r>
      <w:r>
        <w:rPr>
          <w:sz w:val="13"/>
        </w:rPr>
        <w:t>en</w:t>
      </w:r>
      <w:r>
        <w:rPr>
          <w:spacing w:val="-4"/>
          <w:sz w:val="13"/>
        </w:rPr>
        <w:t xml:space="preserve"> </w:t>
      </w:r>
      <w:r>
        <w:rPr>
          <w:spacing w:val="-5"/>
          <w:sz w:val="13"/>
        </w:rPr>
        <w:t>la</w:t>
      </w:r>
    </w:p>
    <w:p w14:paraId="675E9F63" w14:textId="77777777" w:rsidR="0014798C" w:rsidRDefault="004E1F0B">
      <w:pPr>
        <w:spacing w:before="30" w:line="288" w:lineRule="auto"/>
        <w:ind w:left="79" w:right="1413" w:hanging="4"/>
        <w:rPr>
          <w:sz w:val="13"/>
        </w:rPr>
      </w:pPr>
      <w:r>
        <w:rPr>
          <w:sz w:val="13"/>
        </w:rPr>
        <w:t>Cámara</w:t>
      </w:r>
      <w:r>
        <w:rPr>
          <w:spacing w:val="-2"/>
          <w:sz w:val="13"/>
        </w:rPr>
        <w:t xml:space="preserve"> </w:t>
      </w:r>
      <w:r>
        <w:rPr>
          <w:sz w:val="13"/>
        </w:rPr>
        <w:t>de</w:t>
      </w:r>
      <w:r>
        <w:rPr>
          <w:spacing w:val="-2"/>
          <w:sz w:val="13"/>
        </w:rPr>
        <w:t xml:space="preserve"> </w:t>
      </w:r>
      <w:r>
        <w:rPr>
          <w:sz w:val="13"/>
        </w:rPr>
        <w:t>Representantes,</w:t>
      </w:r>
      <w:r>
        <w:rPr>
          <w:spacing w:val="-1"/>
          <w:sz w:val="13"/>
        </w:rPr>
        <w:t xml:space="preserve"> </w:t>
      </w:r>
      <w:r>
        <w:rPr>
          <w:sz w:val="13"/>
        </w:rPr>
        <w:t>18º</w:t>
      </w:r>
      <w:r>
        <w:rPr>
          <w:spacing w:val="-2"/>
          <w:sz w:val="13"/>
        </w:rPr>
        <w:t xml:space="preserve"> </w:t>
      </w:r>
      <w:r>
        <w:rPr>
          <w:sz w:val="13"/>
        </w:rPr>
        <w:t>Congreso”</w:t>
      </w:r>
      <w:r>
        <w:rPr>
          <w:spacing w:val="-3"/>
          <w:sz w:val="13"/>
        </w:rPr>
        <w:t xml:space="preserve"> </w:t>
      </w:r>
      <w:r>
        <w:rPr>
          <w:sz w:val="13"/>
        </w:rPr>
        <w:t>(Ciudad</w:t>
      </w:r>
      <w:r>
        <w:rPr>
          <w:spacing w:val="-2"/>
          <w:sz w:val="13"/>
        </w:rPr>
        <w:t xml:space="preserve"> </w:t>
      </w:r>
      <w:r>
        <w:rPr>
          <w:sz w:val="13"/>
        </w:rPr>
        <w:t>Quezón,</w:t>
      </w:r>
      <w:r>
        <w:rPr>
          <w:spacing w:val="-2"/>
          <w:sz w:val="13"/>
        </w:rPr>
        <w:t xml:space="preserve"> </w:t>
      </w:r>
      <w:r>
        <w:rPr>
          <w:sz w:val="13"/>
        </w:rPr>
        <w:t>2020).</w:t>
      </w:r>
      <w:r>
        <w:rPr>
          <w:spacing w:val="-2"/>
          <w:sz w:val="13"/>
        </w:rPr>
        <w:t xml:space="preserve"> </w:t>
      </w:r>
      <w:r>
        <w:rPr>
          <w:sz w:val="13"/>
        </w:rPr>
        <w:t>Disponible</w:t>
      </w:r>
      <w:r>
        <w:rPr>
          <w:spacing w:val="-2"/>
          <w:sz w:val="13"/>
        </w:rPr>
        <w:t xml:space="preserve"> </w:t>
      </w:r>
      <w:r>
        <w:rPr>
          <w:sz w:val="13"/>
        </w:rPr>
        <w:t>en</w:t>
      </w:r>
      <w:r>
        <w:rPr>
          <w:spacing w:val="-2"/>
          <w:sz w:val="13"/>
        </w:rPr>
        <w:t xml:space="preserve"> </w:t>
      </w:r>
      <w:hyperlink r:id="rId84">
        <w:r>
          <w:rPr>
            <w:color w:val="0075BF"/>
            <w:sz w:val="13"/>
          </w:rPr>
          <w:t>http://chr.gov.ph/wp-content/uploads/2020/11/SIGNED-Position-Paper_</w:t>
        </w:r>
      </w:hyperlink>
      <w:r>
        <w:rPr>
          <w:color w:val="0075BF"/>
          <w:spacing w:val="40"/>
          <w:sz w:val="13"/>
        </w:rPr>
        <w:t xml:space="preserve"> </w:t>
      </w:r>
      <w:r>
        <w:rPr>
          <w:color w:val="0075BF"/>
          <w:spacing w:val="-2"/>
          <w:sz w:val="13"/>
        </w:rPr>
        <w:t>CADB_Casa-copia.pdf.</w:t>
      </w:r>
    </w:p>
    <w:p w14:paraId="34157BDF" w14:textId="77777777" w:rsidR="0014798C" w:rsidRDefault="004E1F0B">
      <w:pPr>
        <w:spacing w:before="57"/>
        <w:ind w:left="79"/>
        <w:rPr>
          <w:sz w:val="13"/>
        </w:rPr>
      </w:pPr>
      <w:r w:rsidRPr="00537489">
        <w:rPr>
          <w:sz w:val="13"/>
          <w:lang w:val="en-US"/>
        </w:rPr>
        <w:t>CCPR/C/ARM/RQ/3,</w:t>
      </w:r>
      <w:r w:rsidRPr="00537489">
        <w:rPr>
          <w:spacing w:val="-8"/>
          <w:sz w:val="13"/>
          <w:lang w:val="en-US"/>
        </w:rPr>
        <w:t xml:space="preserve"> </w:t>
      </w:r>
      <w:proofErr w:type="spellStart"/>
      <w:r w:rsidRPr="00537489">
        <w:rPr>
          <w:sz w:val="13"/>
          <w:lang w:val="en-US"/>
        </w:rPr>
        <w:t>párrs</w:t>
      </w:r>
      <w:proofErr w:type="spellEnd"/>
      <w:r w:rsidRPr="00537489">
        <w:rPr>
          <w:sz w:val="13"/>
          <w:lang w:val="en-US"/>
        </w:rPr>
        <w:t>.</w:t>
      </w:r>
      <w:r w:rsidRPr="00537489">
        <w:rPr>
          <w:spacing w:val="-8"/>
          <w:sz w:val="13"/>
          <w:lang w:val="en-US"/>
        </w:rPr>
        <w:t xml:space="preserve"> </w:t>
      </w:r>
      <w:r>
        <w:rPr>
          <w:spacing w:val="-2"/>
          <w:sz w:val="13"/>
        </w:rPr>
        <w:t>9–10.</w:t>
      </w:r>
    </w:p>
    <w:p w14:paraId="373DEADC" w14:textId="77777777" w:rsidR="0014798C" w:rsidRDefault="0014798C">
      <w:pPr>
        <w:rPr>
          <w:sz w:val="13"/>
        </w:rPr>
        <w:sectPr w:rsidR="0014798C" w:rsidSect="00F265E4">
          <w:type w:val="continuous"/>
          <w:pgSz w:w="11900" w:h="16820"/>
          <w:pgMar w:top="40" w:right="0" w:bottom="280" w:left="200" w:header="121" w:footer="0" w:gutter="0"/>
          <w:cols w:num="2" w:space="720" w:equalWidth="0">
            <w:col w:w="1253" w:space="40"/>
            <w:col w:w="10407"/>
          </w:cols>
        </w:sectPr>
      </w:pPr>
    </w:p>
    <w:p w14:paraId="5D67D363" w14:textId="77777777" w:rsidR="0014798C" w:rsidRDefault="004E1F0B">
      <w:pPr>
        <w:spacing w:before="83"/>
        <w:ind w:left="1111"/>
        <w:rPr>
          <w:sz w:val="13"/>
        </w:rPr>
      </w:pPr>
      <w:r>
        <w:rPr>
          <w:sz w:val="13"/>
        </w:rPr>
        <w:t>113</w:t>
      </w:r>
      <w:r>
        <w:rPr>
          <w:spacing w:val="-9"/>
          <w:sz w:val="13"/>
        </w:rPr>
        <w:t xml:space="preserve"> </w:t>
      </w:r>
      <w:r>
        <w:rPr>
          <w:sz w:val="13"/>
        </w:rPr>
        <w:t>Proyecto</w:t>
      </w:r>
      <w:r>
        <w:rPr>
          <w:spacing w:val="-8"/>
          <w:sz w:val="13"/>
        </w:rPr>
        <w:t xml:space="preserve"> </w:t>
      </w:r>
      <w:r>
        <w:rPr>
          <w:sz w:val="13"/>
        </w:rPr>
        <w:t>de</w:t>
      </w:r>
      <w:r>
        <w:rPr>
          <w:spacing w:val="-8"/>
          <w:sz w:val="13"/>
        </w:rPr>
        <w:t xml:space="preserve"> </w:t>
      </w:r>
      <w:r>
        <w:rPr>
          <w:sz w:val="13"/>
        </w:rPr>
        <w:t>ley</w:t>
      </w:r>
      <w:r>
        <w:rPr>
          <w:spacing w:val="-8"/>
          <w:sz w:val="13"/>
        </w:rPr>
        <w:t xml:space="preserve"> </w:t>
      </w:r>
      <w:r>
        <w:rPr>
          <w:sz w:val="13"/>
        </w:rPr>
        <w:t>contra</w:t>
      </w:r>
      <w:r>
        <w:rPr>
          <w:spacing w:val="-8"/>
          <w:sz w:val="13"/>
        </w:rPr>
        <w:t xml:space="preserve"> </w:t>
      </w:r>
      <w:r>
        <w:rPr>
          <w:sz w:val="13"/>
        </w:rPr>
        <w:t>la</w:t>
      </w:r>
      <w:r>
        <w:rPr>
          <w:spacing w:val="-8"/>
          <w:sz w:val="13"/>
        </w:rPr>
        <w:t xml:space="preserve"> </w:t>
      </w:r>
      <w:r>
        <w:rPr>
          <w:sz w:val="13"/>
        </w:rPr>
        <w:t>discriminación</w:t>
      </w:r>
      <w:r>
        <w:rPr>
          <w:spacing w:val="-8"/>
          <w:sz w:val="13"/>
        </w:rPr>
        <w:t xml:space="preserve"> </w:t>
      </w:r>
      <w:r>
        <w:rPr>
          <w:sz w:val="13"/>
        </w:rPr>
        <w:t>y</w:t>
      </w:r>
      <w:r>
        <w:rPr>
          <w:spacing w:val="-8"/>
          <w:sz w:val="13"/>
        </w:rPr>
        <w:t xml:space="preserve"> </w:t>
      </w:r>
      <w:r>
        <w:rPr>
          <w:sz w:val="13"/>
        </w:rPr>
        <w:t>la</w:t>
      </w:r>
      <w:r>
        <w:rPr>
          <w:spacing w:val="-9"/>
          <w:sz w:val="13"/>
        </w:rPr>
        <w:t xml:space="preserve"> </w:t>
      </w:r>
      <w:r>
        <w:rPr>
          <w:sz w:val="13"/>
        </w:rPr>
        <w:t>igualdad,</w:t>
      </w:r>
      <w:r>
        <w:rPr>
          <w:spacing w:val="-7"/>
          <w:sz w:val="13"/>
        </w:rPr>
        <w:t xml:space="preserve"> </w:t>
      </w:r>
      <w:r>
        <w:rPr>
          <w:sz w:val="13"/>
        </w:rPr>
        <w:t>2016.</w:t>
      </w:r>
      <w:r>
        <w:rPr>
          <w:spacing w:val="-7"/>
          <w:sz w:val="13"/>
        </w:rPr>
        <w:t xml:space="preserve"> </w:t>
      </w:r>
      <w:r>
        <w:rPr>
          <w:sz w:val="13"/>
        </w:rPr>
        <w:t>Disponible</w:t>
      </w:r>
      <w:r>
        <w:rPr>
          <w:spacing w:val="-8"/>
          <w:sz w:val="13"/>
        </w:rPr>
        <w:t xml:space="preserve"> </w:t>
      </w:r>
      <w:r>
        <w:rPr>
          <w:sz w:val="13"/>
        </w:rPr>
        <w:t>en</w:t>
      </w:r>
      <w:r>
        <w:rPr>
          <w:spacing w:val="-8"/>
          <w:sz w:val="13"/>
        </w:rPr>
        <w:t xml:space="preserve"> </w:t>
      </w:r>
      <w:hyperlink r:id="rId85">
        <w:r>
          <w:rPr>
            <w:color w:val="0075BF"/>
            <w:spacing w:val="-2"/>
            <w:sz w:val="13"/>
          </w:rPr>
          <w:t>http://164.100.47.4/BillsTexts/LSBillTexts/Asintroduced/2991.pdf.</w:t>
        </w:r>
      </w:hyperlink>
    </w:p>
    <w:p w14:paraId="73255228" w14:textId="77777777" w:rsidR="0014798C" w:rsidRDefault="004E1F0B">
      <w:pPr>
        <w:spacing w:before="91" w:line="288" w:lineRule="auto"/>
        <w:ind w:left="1369" w:right="1272" w:hanging="259"/>
        <w:rPr>
          <w:sz w:val="13"/>
        </w:rPr>
      </w:pPr>
      <w:r>
        <w:rPr>
          <w:sz w:val="13"/>
        </w:rPr>
        <w:t>114 Incluyendo un proyecto de ley sobre una comisión de igualdad de oportunidades, que fue publicado en un informe de 2008 del Grupo de Expertos para</w:t>
      </w:r>
      <w:r>
        <w:rPr>
          <w:spacing w:val="40"/>
          <w:sz w:val="13"/>
        </w:rPr>
        <w:t xml:space="preserve"> </w:t>
      </w:r>
      <w:r>
        <w:rPr>
          <w:sz w:val="13"/>
        </w:rPr>
        <w:t>examinar</w:t>
      </w:r>
      <w:r>
        <w:rPr>
          <w:spacing w:val="-1"/>
          <w:sz w:val="13"/>
        </w:rPr>
        <w:t xml:space="preserve"> </w:t>
      </w:r>
      <w:r>
        <w:rPr>
          <w:sz w:val="13"/>
        </w:rPr>
        <w:t>y determinar</w:t>
      </w:r>
      <w:r>
        <w:rPr>
          <w:spacing w:val="-1"/>
          <w:sz w:val="13"/>
        </w:rPr>
        <w:t xml:space="preserve"> </w:t>
      </w:r>
      <w:r>
        <w:rPr>
          <w:sz w:val="13"/>
        </w:rPr>
        <w:t>la estructura</w:t>
      </w:r>
      <w:r>
        <w:rPr>
          <w:spacing w:val="-1"/>
          <w:sz w:val="13"/>
        </w:rPr>
        <w:t xml:space="preserve"> </w:t>
      </w:r>
      <w:r>
        <w:rPr>
          <w:sz w:val="13"/>
        </w:rPr>
        <w:t>y funciones</w:t>
      </w:r>
      <w:r>
        <w:rPr>
          <w:spacing w:val="-1"/>
          <w:sz w:val="13"/>
        </w:rPr>
        <w:t xml:space="preserve"> </w:t>
      </w:r>
      <w:r>
        <w:rPr>
          <w:sz w:val="13"/>
        </w:rPr>
        <w:t>de una comisión de igualdad de oportunidades</w:t>
      </w:r>
      <w:r>
        <w:rPr>
          <w:spacing w:val="-1"/>
          <w:sz w:val="13"/>
        </w:rPr>
        <w:t xml:space="preserve"> </w:t>
      </w:r>
      <w:r>
        <w:rPr>
          <w:sz w:val="13"/>
        </w:rPr>
        <w:t>(Comité</w:t>
      </w:r>
      <w:r>
        <w:rPr>
          <w:spacing w:val="-1"/>
          <w:sz w:val="13"/>
        </w:rPr>
        <w:t xml:space="preserve"> </w:t>
      </w:r>
      <w:proofErr w:type="spellStart"/>
      <w:r>
        <w:rPr>
          <w:sz w:val="13"/>
        </w:rPr>
        <w:t>Menon</w:t>
      </w:r>
      <w:proofErr w:type="spellEnd"/>
      <w:r>
        <w:rPr>
          <w:sz w:val="13"/>
        </w:rPr>
        <w:t>), Comisión de Igualdad</w:t>
      </w:r>
      <w:r>
        <w:rPr>
          <w:spacing w:val="-1"/>
          <w:sz w:val="13"/>
        </w:rPr>
        <w:t xml:space="preserve"> </w:t>
      </w:r>
      <w:r>
        <w:rPr>
          <w:sz w:val="13"/>
        </w:rPr>
        <w:t>de Oportunidades:</w:t>
      </w:r>
    </w:p>
    <w:p w14:paraId="79CDB686" w14:textId="77777777" w:rsidR="0014798C" w:rsidRDefault="004E1F0B">
      <w:pPr>
        <w:spacing w:before="1"/>
        <w:ind w:left="1379"/>
        <w:rPr>
          <w:sz w:val="13"/>
        </w:rPr>
      </w:pPr>
      <w:r>
        <w:rPr>
          <w:sz w:val="13"/>
        </w:rPr>
        <w:t>¿Qué,</w:t>
      </w:r>
      <w:r>
        <w:rPr>
          <w:spacing w:val="-6"/>
          <w:sz w:val="13"/>
        </w:rPr>
        <w:t xml:space="preserve"> </w:t>
      </w:r>
      <w:r>
        <w:rPr>
          <w:sz w:val="13"/>
        </w:rPr>
        <w:t>por</w:t>
      </w:r>
      <w:r>
        <w:rPr>
          <w:spacing w:val="-3"/>
          <w:sz w:val="13"/>
        </w:rPr>
        <w:t xml:space="preserve"> </w:t>
      </w:r>
      <w:r>
        <w:rPr>
          <w:sz w:val="13"/>
        </w:rPr>
        <w:t>qué</w:t>
      </w:r>
      <w:r>
        <w:rPr>
          <w:spacing w:val="-4"/>
          <w:sz w:val="13"/>
        </w:rPr>
        <w:t xml:space="preserve"> </w:t>
      </w:r>
      <w:r>
        <w:rPr>
          <w:sz w:val="13"/>
        </w:rPr>
        <w:t>y</w:t>
      </w:r>
      <w:r>
        <w:rPr>
          <w:spacing w:val="-3"/>
          <w:sz w:val="13"/>
        </w:rPr>
        <w:t xml:space="preserve"> </w:t>
      </w:r>
      <w:r>
        <w:rPr>
          <w:sz w:val="13"/>
        </w:rPr>
        <w:t>cómo?</w:t>
      </w:r>
      <w:r>
        <w:rPr>
          <w:spacing w:val="-4"/>
          <w:sz w:val="13"/>
        </w:rPr>
        <w:t xml:space="preserve"> </w:t>
      </w:r>
      <w:r>
        <w:rPr>
          <w:sz w:val="13"/>
        </w:rPr>
        <w:t>(Nueva</w:t>
      </w:r>
      <w:r>
        <w:rPr>
          <w:spacing w:val="-3"/>
          <w:sz w:val="13"/>
        </w:rPr>
        <w:t xml:space="preserve"> </w:t>
      </w:r>
      <w:r>
        <w:rPr>
          <w:sz w:val="13"/>
        </w:rPr>
        <w:t>Delhi,</w:t>
      </w:r>
      <w:r>
        <w:rPr>
          <w:spacing w:val="-4"/>
          <w:sz w:val="13"/>
        </w:rPr>
        <w:t xml:space="preserve"> </w:t>
      </w:r>
      <w:r>
        <w:rPr>
          <w:sz w:val="13"/>
        </w:rPr>
        <w:t>2008).</w:t>
      </w:r>
      <w:r>
        <w:rPr>
          <w:spacing w:val="-3"/>
          <w:sz w:val="13"/>
        </w:rPr>
        <w:t xml:space="preserve"> </w:t>
      </w:r>
      <w:r>
        <w:rPr>
          <w:sz w:val="13"/>
        </w:rPr>
        <w:t>Disponible</w:t>
      </w:r>
      <w:r>
        <w:rPr>
          <w:spacing w:val="-4"/>
          <w:sz w:val="13"/>
        </w:rPr>
        <w:t xml:space="preserve"> </w:t>
      </w:r>
      <w:r>
        <w:rPr>
          <w:sz w:val="13"/>
        </w:rPr>
        <w:t>en</w:t>
      </w:r>
      <w:r>
        <w:rPr>
          <w:spacing w:val="-3"/>
          <w:sz w:val="13"/>
        </w:rPr>
        <w:t xml:space="preserve"> </w:t>
      </w:r>
      <w:hyperlink r:id="rId86">
        <w:r>
          <w:rPr>
            <w:color w:val="0075BF"/>
            <w:spacing w:val="-2"/>
            <w:sz w:val="13"/>
          </w:rPr>
          <w:t>www.minorityaffairs.gov.in/sites/default/files/eoc_wwh.pdf.</w:t>
        </w:r>
      </w:hyperlink>
    </w:p>
    <w:p w14:paraId="63E02565" w14:textId="77777777" w:rsidR="0014798C" w:rsidRDefault="004E1F0B">
      <w:pPr>
        <w:spacing w:before="121"/>
        <w:ind w:left="1111"/>
        <w:rPr>
          <w:sz w:val="11"/>
        </w:rPr>
      </w:pPr>
      <w:r>
        <w:rPr>
          <w:w w:val="105"/>
          <w:sz w:val="11"/>
        </w:rPr>
        <w:t>115</w:t>
      </w:r>
      <w:r>
        <w:rPr>
          <w:spacing w:val="-7"/>
          <w:w w:val="105"/>
          <w:sz w:val="11"/>
        </w:rPr>
        <w:t xml:space="preserve"> </w:t>
      </w:r>
      <w:r>
        <w:rPr>
          <w:w w:val="105"/>
          <w:sz w:val="11"/>
        </w:rPr>
        <w:t>Proyecto</w:t>
      </w:r>
      <w:r>
        <w:rPr>
          <w:spacing w:val="-7"/>
          <w:w w:val="105"/>
          <w:sz w:val="11"/>
        </w:rPr>
        <w:t xml:space="preserve"> </w:t>
      </w:r>
      <w:r>
        <w:rPr>
          <w:w w:val="105"/>
          <w:sz w:val="11"/>
        </w:rPr>
        <w:t>de</w:t>
      </w:r>
      <w:r>
        <w:rPr>
          <w:spacing w:val="-7"/>
          <w:w w:val="105"/>
          <w:sz w:val="11"/>
        </w:rPr>
        <w:t xml:space="preserve"> </w:t>
      </w:r>
      <w:r>
        <w:rPr>
          <w:w w:val="105"/>
          <w:sz w:val="11"/>
        </w:rPr>
        <w:t>Ley</w:t>
      </w:r>
      <w:r>
        <w:rPr>
          <w:spacing w:val="-7"/>
          <w:w w:val="105"/>
          <w:sz w:val="11"/>
        </w:rPr>
        <w:t xml:space="preserve"> </w:t>
      </w:r>
      <w:r>
        <w:rPr>
          <w:w w:val="105"/>
          <w:sz w:val="11"/>
        </w:rPr>
        <w:t>contra</w:t>
      </w:r>
      <w:r>
        <w:rPr>
          <w:spacing w:val="-7"/>
          <w:w w:val="105"/>
          <w:sz w:val="11"/>
        </w:rPr>
        <w:t xml:space="preserve"> </w:t>
      </w:r>
      <w:r>
        <w:rPr>
          <w:w w:val="105"/>
          <w:sz w:val="11"/>
        </w:rPr>
        <w:t>la</w:t>
      </w:r>
      <w:r>
        <w:rPr>
          <w:spacing w:val="-6"/>
          <w:w w:val="105"/>
          <w:sz w:val="11"/>
        </w:rPr>
        <w:t xml:space="preserve"> </w:t>
      </w:r>
      <w:r>
        <w:rPr>
          <w:w w:val="105"/>
          <w:sz w:val="11"/>
        </w:rPr>
        <w:t>Discriminación</w:t>
      </w:r>
      <w:r>
        <w:rPr>
          <w:spacing w:val="-7"/>
          <w:w w:val="105"/>
          <w:sz w:val="11"/>
        </w:rPr>
        <w:t xml:space="preserve"> </w:t>
      </w:r>
      <w:r>
        <w:rPr>
          <w:w w:val="105"/>
          <w:sz w:val="11"/>
        </w:rPr>
        <w:t>y</w:t>
      </w:r>
      <w:r>
        <w:rPr>
          <w:spacing w:val="-7"/>
          <w:w w:val="105"/>
          <w:sz w:val="11"/>
        </w:rPr>
        <w:t xml:space="preserve"> </w:t>
      </w:r>
      <w:r>
        <w:rPr>
          <w:w w:val="105"/>
          <w:sz w:val="11"/>
        </w:rPr>
        <w:t>la</w:t>
      </w:r>
      <w:r>
        <w:rPr>
          <w:spacing w:val="-7"/>
          <w:w w:val="105"/>
          <w:sz w:val="11"/>
        </w:rPr>
        <w:t xml:space="preserve"> </w:t>
      </w:r>
      <w:r>
        <w:rPr>
          <w:w w:val="105"/>
          <w:sz w:val="11"/>
        </w:rPr>
        <w:t>Igualdad,</w:t>
      </w:r>
      <w:r>
        <w:rPr>
          <w:spacing w:val="-7"/>
          <w:w w:val="105"/>
          <w:sz w:val="11"/>
        </w:rPr>
        <w:t xml:space="preserve"> </w:t>
      </w:r>
      <w:r>
        <w:rPr>
          <w:w w:val="105"/>
          <w:sz w:val="11"/>
        </w:rPr>
        <w:t>2016,</w:t>
      </w:r>
      <w:r>
        <w:rPr>
          <w:spacing w:val="-7"/>
          <w:w w:val="105"/>
          <w:sz w:val="11"/>
        </w:rPr>
        <w:t xml:space="preserve"> </w:t>
      </w:r>
      <w:r>
        <w:rPr>
          <w:w w:val="105"/>
          <w:sz w:val="11"/>
        </w:rPr>
        <w:t>art.</w:t>
      </w:r>
      <w:r>
        <w:rPr>
          <w:spacing w:val="-6"/>
          <w:w w:val="105"/>
          <w:sz w:val="11"/>
        </w:rPr>
        <w:t xml:space="preserve"> </w:t>
      </w:r>
      <w:r>
        <w:rPr>
          <w:spacing w:val="-5"/>
          <w:w w:val="105"/>
          <w:sz w:val="11"/>
        </w:rPr>
        <w:t>37.</w:t>
      </w:r>
    </w:p>
    <w:p w14:paraId="29077121" w14:textId="77777777" w:rsidR="0014798C" w:rsidRDefault="004E1F0B">
      <w:pPr>
        <w:spacing w:before="105"/>
        <w:ind w:left="1111"/>
        <w:rPr>
          <w:sz w:val="11"/>
        </w:rPr>
      </w:pPr>
      <w:r>
        <w:rPr>
          <w:w w:val="105"/>
          <w:sz w:val="11"/>
        </w:rPr>
        <w:t>116</w:t>
      </w:r>
      <w:r>
        <w:rPr>
          <w:spacing w:val="-7"/>
          <w:w w:val="105"/>
          <w:sz w:val="11"/>
        </w:rPr>
        <w:t xml:space="preserve"> </w:t>
      </w:r>
      <w:proofErr w:type="spellStart"/>
      <w:r>
        <w:rPr>
          <w:w w:val="105"/>
          <w:sz w:val="11"/>
        </w:rPr>
        <w:t>Ibíd</w:t>
      </w:r>
      <w:proofErr w:type="spellEnd"/>
      <w:r>
        <w:rPr>
          <w:w w:val="105"/>
          <w:sz w:val="11"/>
        </w:rPr>
        <w:t>.,</w:t>
      </w:r>
      <w:r>
        <w:rPr>
          <w:spacing w:val="-6"/>
          <w:w w:val="105"/>
          <w:sz w:val="11"/>
        </w:rPr>
        <w:t xml:space="preserve"> </w:t>
      </w:r>
      <w:r>
        <w:rPr>
          <w:w w:val="105"/>
          <w:sz w:val="11"/>
        </w:rPr>
        <w:t>secc.</w:t>
      </w:r>
      <w:r>
        <w:rPr>
          <w:spacing w:val="-7"/>
          <w:w w:val="105"/>
          <w:sz w:val="11"/>
        </w:rPr>
        <w:t xml:space="preserve"> </w:t>
      </w:r>
      <w:r>
        <w:rPr>
          <w:spacing w:val="-5"/>
          <w:w w:val="105"/>
          <w:sz w:val="11"/>
        </w:rPr>
        <w:t>3.</w:t>
      </w:r>
    </w:p>
    <w:p w14:paraId="1D8BC5DF" w14:textId="77777777" w:rsidR="0014798C" w:rsidRDefault="004E1F0B">
      <w:pPr>
        <w:spacing w:before="110"/>
        <w:ind w:left="1111"/>
        <w:rPr>
          <w:sz w:val="11"/>
        </w:rPr>
      </w:pPr>
      <w:r>
        <w:rPr>
          <w:w w:val="105"/>
          <w:sz w:val="11"/>
        </w:rPr>
        <w:t>117</w:t>
      </w:r>
      <w:r>
        <w:rPr>
          <w:spacing w:val="-6"/>
          <w:w w:val="105"/>
          <w:sz w:val="11"/>
        </w:rPr>
        <w:t xml:space="preserve"> </w:t>
      </w:r>
      <w:proofErr w:type="spellStart"/>
      <w:r>
        <w:rPr>
          <w:w w:val="105"/>
          <w:sz w:val="11"/>
        </w:rPr>
        <w:t>Ibíd</w:t>
      </w:r>
      <w:proofErr w:type="spellEnd"/>
      <w:r>
        <w:rPr>
          <w:w w:val="105"/>
          <w:sz w:val="11"/>
        </w:rPr>
        <w:t>.,</w:t>
      </w:r>
      <w:r>
        <w:rPr>
          <w:spacing w:val="-5"/>
          <w:w w:val="105"/>
          <w:sz w:val="11"/>
        </w:rPr>
        <w:t xml:space="preserve"> </w:t>
      </w:r>
      <w:r>
        <w:rPr>
          <w:w w:val="105"/>
          <w:sz w:val="11"/>
        </w:rPr>
        <w:t>secc.</w:t>
      </w:r>
      <w:r>
        <w:rPr>
          <w:spacing w:val="-5"/>
          <w:w w:val="105"/>
          <w:sz w:val="11"/>
        </w:rPr>
        <w:t xml:space="preserve"> </w:t>
      </w:r>
      <w:r>
        <w:rPr>
          <w:w w:val="105"/>
          <w:sz w:val="11"/>
        </w:rPr>
        <w:t>3</w:t>
      </w:r>
      <w:r>
        <w:rPr>
          <w:spacing w:val="-5"/>
          <w:w w:val="105"/>
          <w:sz w:val="11"/>
        </w:rPr>
        <w:t xml:space="preserve"> </w:t>
      </w:r>
      <w:r>
        <w:rPr>
          <w:spacing w:val="-2"/>
          <w:w w:val="105"/>
          <w:sz w:val="11"/>
        </w:rPr>
        <w:t>(</w:t>
      </w:r>
      <w:proofErr w:type="spellStart"/>
      <w:r>
        <w:rPr>
          <w:spacing w:val="-2"/>
          <w:w w:val="105"/>
          <w:sz w:val="11"/>
        </w:rPr>
        <w:t>iii</w:t>
      </w:r>
      <w:proofErr w:type="spellEnd"/>
      <w:r>
        <w:rPr>
          <w:spacing w:val="-2"/>
          <w:w w:val="105"/>
          <w:sz w:val="11"/>
        </w:rPr>
        <w:t>).</w:t>
      </w:r>
    </w:p>
    <w:p w14:paraId="1632CF69" w14:textId="77777777" w:rsidR="0014798C" w:rsidRDefault="0014798C">
      <w:pPr>
        <w:pStyle w:val="Textoindependiente"/>
        <w:rPr>
          <w:sz w:val="18"/>
        </w:rPr>
      </w:pPr>
    </w:p>
    <w:p w14:paraId="364BA8FD" w14:textId="77777777" w:rsidR="0014798C" w:rsidRDefault="0014798C">
      <w:pPr>
        <w:pStyle w:val="Textoindependiente"/>
        <w:rPr>
          <w:sz w:val="18"/>
        </w:rPr>
      </w:pPr>
    </w:p>
    <w:p w14:paraId="121741F2" w14:textId="77777777" w:rsidR="0014798C" w:rsidRDefault="0014798C">
      <w:pPr>
        <w:rPr>
          <w:sz w:val="18"/>
        </w:rPr>
        <w:sectPr w:rsidR="0014798C" w:rsidSect="00F265E4">
          <w:type w:val="continuous"/>
          <w:pgSz w:w="11900" w:h="16820"/>
          <w:pgMar w:top="40" w:right="0" w:bottom="280" w:left="200" w:header="121" w:footer="0" w:gutter="0"/>
          <w:cols w:space="720"/>
        </w:sectPr>
      </w:pPr>
    </w:p>
    <w:p w14:paraId="21498DE0" w14:textId="77777777" w:rsidR="0014798C" w:rsidRDefault="0014798C">
      <w:pPr>
        <w:pStyle w:val="Textoindependiente"/>
        <w:rPr>
          <w:sz w:val="10"/>
        </w:rPr>
      </w:pPr>
    </w:p>
    <w:p w14:paraId="1DD47D41" w14:textId="77777777" w:rsidR="0014798C" w:rsidRDefault="0014798C">
      <w:pPr>
        <w:pStyle w:val="Textoindependiente"/>
        <w:spacing w:before="4"/>
        <w:rPr>
          <w:sz w:val="10"/>
        </w:rPr>
      </w:pPr>
    </w:p>
    <w:p w14:paraId="7BD5E6E6" w14:textId="77777777" w:rsidR="0014798C" w:rsidRDefault="004E1F0B">
      <w:pPr>
        <w:ind w:left="1111"/>
        <w:rPr>
          <w:sz w:val="10"/>
        </w:rPr>
      </w:pPr>
      <w:r>
        <w:rPr>
          <w:color w:val="009EDB"/>
          <w:w w:val="105"/>
          <w:sz w:val="10"/>
        </w:rPr>
        <w:t>PRIMERA</w:t>
      </w:r>
      <w:r>
        <w:rPr>
          <w:color w:val="009EDB"/>
          <w:spacing w:val="3"/>
          <w:w w:val="105"/>
          <w:sz w:val="10"/>
        </w:rPr>
        <w:t xml:space="preserve"> </w:t>
      </w:r>
      <w:r>
        <w:rPr>
          <w:color w:val="009EDB"/>
          <w:w w:val="105"/>
          <w:sz w:val="10"/>
        </w:rPr>
        <w:t>PARTE:</w:t>
      </w:r>
      <w:r>
        <w:rPr>
          <w:color w:val="009EDB"/>
          <w:spacing w:val="2"/>
          <w:w w:val="105"/>
          <w:sz w:val="10"/>
        </w:rPr>
        <w:t xml:space="preserve"> </w:t>
      </w:r>
      <w:r>
        <w:rPr>
          <w:color w:val="009EDB"/>
          <w:w w:val="105"/>
          <w:sz w:val="10"/>
        </w:rPr>
        <w:t>OBLIGACIONES</w:t>
      </w:r>
      <w:r>
        <w:rPr>
          <w:color w:val="009EDB"/>
          <w:spacing w:val="4"/>
          <w:w w:val="105"/>
          <w:sz w:val="10"/>
        </w:rPr>
        <w:t xml:space="preserve"> </w:t>
      </w:r>
      <w:r>
        <w:rPr>
          <w:color w:val="009EDB"/>
          <w:w w:val="105"/>
          <w:sz w:val="10"/>
        </w:rPr>
        <w:t>DE</w:t>
      </w:r>
      <w:r>
        <w:rPr>
          <w:color w:val="009EDB"/>
          <w:spacing w:val="2"/>
          <w:w w:val="105"/>
          <w:sz w:val="10"/>
        </w:rPr>
        <w:t xml:space="preserve"> </w:t>
      </w:r>
      <w:r>
        <w:rPr>
          <w:color w:val="009EDB"/>
          <w:w w:val="105"/>
          <w:sz w:val="10"/>
        </w:rPr>
        <w:t>LOS</w:t>
      </w:r>
      <w:r>
        <w:rPr>
          <w:color w:val="009EDB"/>
          <w:spacing w:val="2"/>
          <w:w w:val="105"/>
          <w:sz w:val="10"/>
        </w:rPr>
        <w:t xml:space="preserve"> </w:t>
      </w:r>
      <w:r>
        <w:rPr>
          <w:color w:val="009EDB"/>
          <w:w w:val="105"/>
          <w:sz w:val="10"/>
        </w:rPr>
        <w:t>ESTADOS</w:t>
      </w:r>
      <w:r>
        <w:rPr>
          <w:color w:val="009EDB"/>
          <w:spacing w:val="4"/>
          <w:w w:val="105"/>
          <w:sz w:val="10"/>
        </w:rPr>
        <w:t xml:space="preserve"> </w:t>
      </w:r>
      <w:r>
        <w:rPr>
          <w:color w:val="009EDB"/>
          <w:w w:val="105"/>
          <w:sz w:val="10"/>
        </w:rPr>
        <w:t>PARA</w:t>
      </w:r>
      <w:r>
        <w:rPr>
          <w:color w:val="009EDB"/>
          <w:spacing w:val="2"/>
          <w:w w:val="105"/>
          <w:sz w:val="10"/>
        </w:rPr>
        <w:t xml:space="preserve"> </w:t>
      </w:r>
      <w:r>
        <w:rPr>
          <w:color w:val="009EDB"/>
          <w:w w:val="105"/>
          <w:sz w:val="10"/>
        </w:rPr>
        <w:t>PROMULGAR</w:t>
      </w:r>
      <w:r>
        <w:rPr>
          <w:color w:val="009EDB"/>
          <w:spacing w:val="3"/>
          <w:w w:val="105"/>
          <w:sz w:val="10"/>
        </w:rPr>
        <w:t xml:space="preserve"> </w:t>
      </w:r>
      <w:r>
        <w:rPr>
          <w:color w:val="009EDB"/>
          <w:w w:val="105"/>
          <w:sz w:val="10"/>
        </w:rPr>
        <w:t>UNA</w:t>
      </w:r>
      <w:r>
        <w:rPr>
          <w:color w:val="009EDB"/>
          <w:spacing w:val="3"/>
          <w:w w:val="105"/>
          <w:sz w:val="10"/>
        </w:rPr>
        <w:t xml:space="preserve"> </w:t>
      </w:r>
      <w:r>
        <w:rPr>
          <w:color w:val="009EDB"/>
          <w:w w:val="105"/>
          <w:sz w:val="10"/>
        </w:rPr>
        <w:t>LEY</w:t>
      </w:r>
      <w:r>
        <w:rPr>
          <w:color w:val="009EDB"/>
          <w:spacing w:val="2"/>
          <w:w w:val="105"/>
          <w:sz w:val="10"/>
        </w:rPr>
        <w:t xml:space="preserve"> </w:t>
      </w:r>
      <w:r>
        <w:rPr>
          <w:color w:val="009EDB"/>
          <w:w w:val="105"/>
          <w:sz w:val="10"/>
        </w:rPr>
        <w:t>INTEGRAL</w:t>
      </w:r>
      <w:r>
        <w:rPr>
          <w:color w:val="009EDB"/>
          <w:spacing w:val="3"/>
          <w:w w:val="105"/>
          <w:sz w:val="10"/>
        </w:rPr>
        <w:t xml:space="preserve"> </w:t>
      </w:r>
      <w:r>
        <w:rPr>
          <w:color w:val="009EDB"/>
          <w:w w:val="105"/>
          <w:sz w:val="10"/>
        </w:rPr>
        <w:t>CONTRA</w:t>
      </w:r>
      <w:r>
        <w:rPr>
          <w:color w:val="009EDB"/>
          <w:spacing w:val="3"/>
          <w:w w:val="105"/>
          <w:sz w:val="10"/>
        </w:rPr>
        <w:t xml:space="preserve"> </w:t>
      </w:r>
      <w:r>
        <w:rPr>
          <w:color w:val="009EDB"/>
          <w:w w:val="105"/>
          <w:sz w:val="10"/>
        </w:rPr>
        <w:t>LA</w:t>
      </w:r>
      <w:r>
        <w:rPr>
          <w:color w:val="009EDB"/>
          <w:spacing w:val="2"/>
          <w:w w:val="105"/>
          <w:sz w:val="10"/>
        </w:rPr>
        <w:t xml:space="preserve"> </w:t>
      </w:r>
      <w:r>
        <w:rPr>
          <w:color w:val="009EDB"/>
          <w:spacing w:val="-2"/>
          <w:w w:val="105"/>
          <w:sz w:val="10"/>
        </w:rPr>
        <w:t>DISCRIMINACIÓN</w:t>
      </w:r>
    </w:p>
    <w:p w14:paraId="5807FFE9" w14:textId="77777777" w:rsidR="0014798C" w:rsidRDefault="0014798C">
      <w:pPr>
        <w:pStyle w:val="Textoindependiente"/>
      </w:pPr>
    </w:p>
    <w:p w14:paraId="45F17F50" w14:textId="77777777" w:rsidR="0014798C" w:rsidRDefault="0014798C">
      <w:pPr>
        <w:pStyle w:val="Textoindependiente"/>
      </w:pPr>
    </w:p>
    <w:p w14:paraId="5CADE897" w14:textId="77777777" w:rsidR="0014798C" w:rsidRDefault="0014798C">
      <w:pPr>
        <w:pStyle w:val="Textoindependiente"/>
      </w:pPr>
    </w:p>
    <w:p w14:paraId="16C0E278" w14:textId="77777777" w:rsidR="0014798C" w:rsidRDefault="0014798C">
      <w:pPr>
        <w:pStyle w:val="Textoindependiente"/>
      </w:pPr>
    </w:p>
    <w:p w14:paraId="00BCC182" w14:textId="77777777" w:rsidR="0014798C" w:rsidRDefault="0014798C">
      <w:pPr>
        <w:pStyle w:val="Textoindependiente"/>
      </w:pPr>
    </w:p>
    <w:p w14:paraId="64583645" w14:textId="77777777" w:rsidR="0014798C" w:rsidRDefault="0014798C">
      <w:pPr>
        <w:pStyle w:val="Textoindependiente"/>
      </w:pPr>
    </w:p>
    <w:p w14:paraId="2726EF0D" w14:textId="77777777" w:rsidR="0014798C" w:rsidRDefault="0014798C">
      <w:pPr>
        <w:pStyle w:val="Textoindependiente"/>
      </w:pPr>
    </w:p>
    <w:p w14:paraId="1BAD9FF0" w14:textId="77777777" w:rsidR="0014798C" w:rsidRDefault="0014798C">
      <w:pPr>
        <w:pStyle w:val="Textoindependiente"/>
      </w:pPr>
    </w:p>
    <w:p w14:paraId="6EDD8856" w14:textId="77777777" w:rsidR="0014798C" w:rsidRDefault="0014798C">
      <w:pPr>
        <w:pStyle w:val="Textoindependiente"/>
      </w:pPr>
    </w:p>
    <w:p w14:paraId="43C43664" w14:textId="77777777" w:rsidR="0014798C" w:rsidRDefault="0014798C">
      <w:pPr>
        <w:pStyle w:val="Textoindependiente"/>
      </w:pPr>
    </w:p>
    <w:p w14:paraId="59676A93" w14:textId="77777777" w:rsidR="0014798C" w:rsidRDefault="0014798C">
      <w:pPr>
        <w:pStyle w:val="Textoindependiente"/>
      </w:pPr>
    </w:p>
    <w:p w14:paraId="6F7077D8" w14:textId="77777777" w:rsidR="0014798C" w:rsidRDefault="0014798C">
      <w:pPr>
        <w:pStyle w:val="Textoindependiente"/>
      </w:pPr>
    </w:p>
    <w:p w14:paraId="48B28FA1" w14:textId="77777777" w:rsidR="0014798C" w:rsidRDefault="0014798C">
      <w:pPr>
        <w:pStyle w:val="Textoindependiente"/>
      </w:pPr>
    </w:p>
    <w:p w14:paraId="053CFE91" w14:textId="77777777" w:rsidR="0014798C" w:rsidRDefault="0014798C">
      <w:pPr>
        <w:pStyle w:val="Textoindependiente"/>
      </w:pPr>
    </w:p>
    <w:p w14:paraId="0FFEA372" w14:textId="77777777" w:rsidR="0014798C" w:rsidRDefault="0014798C">
      <w:pPr>
        <w:pStyle w:val="Textoindependiente"/>
      </w:pPr>
    </w:p>
    <w:p w14:paraId="36D10AAE" w14:textId="77777777" w:rsidR="0014798C" w:rsidRDefault="0014798C">
      <w:pPr>
        <w:pStyle w:val="Textoindependiente"/>
        <w:spacing w:before="62"/>
      </w:pPr>
    </w:p>
    <w:p w14:paraId="0C938CE1" w14:textId="77777777" w:rsidR="0014798C" w:rsidRDefault="004E1F0B">
      <w:pPr>
        <w:pStyle w:val="Textoindependiente"/>
        <w:spacing w:line="326" w:lineRule="auto"/>
        <w:ind w:left="1107" w:right="1335" w:hanging="1"/>
      </w:pPr>
      <w:r>
        <w:rPr>
          <w:noProof/>
        </w:rPr>
        <mc:AlternateContent>
          <mc:Choice Requires="wpg">
            <w:drawing>
              <wp:anchor distT="0" distB="0" distL="0" distR="0" simplePos="0" relativeHeight="251658247" behindDoc="0" locked="0" layoutInCell="1" allowOverlap="1" wp14:anchorId="74A69BE2" wp14:editId="36B714A7">
                <wp:simplePos x="0" y="0"/>
                <wp:positionH relativeFrom="page">
                  <wp:posOffset>813154</wp:posOffset>
                </wp:positionH>
                <wp:positionV relativeFrom="paragraph">
                  <wp:posOffset>-1422987</wp:posOffset>
                </wp:positionV>
                <wp:extent cx="6743700" cy="1299210"/>
                <wp:effectExtent l="0" t="0" r="0" b="0"/>
                <wp:wrapNone/>
                <wp:docPr id="77" name="Group 7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743700" cy="1299210"/>
                          <a:chOff x="0" y="0"/>
                          <a:chExt cx="6743700" cy="1299210"/>
                        </a:xfrm>
                      </wpg:grpSpPr>
                      <pic:pic xmlns:pic="http://schemas.openxmlformats.org/drawingml/2006/picture">
                        <pic:nvPicPr>
                          <pic:cNvPr id="78" name="Image 78"/>
                          <pic:cNvPicPr/>
                        </pic:nvPicPr>
                        <pic:blipFill>
                          <a:blip r:embed="rId87" cstate="print"/>
                          <a:stretch>
                            <a:fillRect/>
                          </a:stretch>
                        </pic:blipFill>
                        <pic:spPr>
                          <a:xfrm>
                            <a:off x="0" y="0"/>
                            <a:ext cx="6743345" cy="1294085"/>
                          </a:xfrm>
                          <a:prstGeom prst="rect">
                            <a:avLst/>
                          </a:prstGeom>
                        </pic:spPr>
                      </pic:pic>
                      <wps:wsp>
                        <wps:cNvPr id="79" name="Textbox 79"/>
                        <wps:cNvSpPr txBox="1"/>
                        <wps:spPr>
                          <a:xfrm>
                            <a:off x="159917" y="140647"/>
                            <a:ext cx="5612765" cy="591820"/>
                          </a:xfrm>
                          <a:prstGeom prst="rect">
                            <a:avLst/>
                          </a:prstGeom>
                        </wps:spPr>
                        <wps:txbx>
                          <w:txbxContent>
                            <w:p w14:paraId="029E9487" w14:textId="77777777" w:rsidR="0014798C" w:rsidRDefault="004E1F0B">
                              <w:pPr>
                                <w:spacing w:line="326" w:lineRule="auto"/>
                                <w:ind w:firstLine="2"/>
                                <w:rPr>
                                  <w:sz w:val="16"/>
                                </w:rPr>
                              </w:pPr>
                              <w:r>
                                <w:rPr>
                                  <w:sz w:val="16"/>
                                </w:rPr>
                                <w:t>orden</w:t>
                              </w:r>
                              <w:r>
                                <w:rPr>
                                  <w:spacing w:val="13"/>
                                  <w:sz w:val="16"/>
                                </w:rPr>
                                <w:t xml:space="preserve"> </w:t>
                              </w:r>
                              <w:r>
                                <w:rPr>
                                  <w:sz w:val="16"/>
                                </w:rPr>
                                <w:t>judicial,</w:t>
                              </w:r>
                              <w:r>
                                <w:rPr>
                                  <w:spacing w:val="15"/>
                                  <w:sz w:val="16"/>
                                </w:rPr>
                                <w:t xml:space="preserve"> </w:t>
                              </w:r>
                              <w:r>
                                <w:rPr>
                                  <w:sz w:val="16"/>
                                </w:rPr>
                                <w:t>reparación</w:t>
                              </w:r>
                              <w:r>
                                <w:rPr>
                                  <w:spacing w:val="13"/>
                                  <w:sz w:val="16"/>
                                </w:rPr>
                                <w:t xml:space="preserve"> </w:t>
                              </w:r>
                              <w:r>
                                <w:rPr>
                                  <w:sz w:val="16"/>
                                </w:rPr>
                                <w:t>o</w:t>
                              </w:r>
                              <w:r>
                                <w:rPr>
                                  <w:spacing w:val="13"/>
                                  <w:sz w:val="16"/>
                                </w:rPr>
                                <w:t xml:space="preserve"> </w:t>
                              </w:r>
                              <w:r>
                                <w:rPr>
                                  <w:sz w:val="16"/>
                                </w:rPr>
                                <w:t>laudo”</w:t>
                              </w:r>
                              <w:r>
                                <w:rPr>
                                  <w:spacing w:val="13"/>
                                  <w:sz w:val="16"/>
                                </w:rPr>
                                <w:t xml:space="preserve"> </w:t>
                              </w:r>
                              <w:r>
                                <w:rPr>
                                  <w:sz w:val="16"/>
                                </w:rPr>
                                <w:t>por</w:t>
                              </w:r>
                              <w:r>
                                <w:rPr>
                                  <w:spacing w:val="13"/>
                                  <w:sz w:val="16"/>
                                </w:rPr>
                                <w:t xml:space="preserve"> </w:t>
                              </w:r>
                              <w:r>
                                <w:rPr>
                                  <w:sz w:val="16"/>
                                </w:rPr>
                                <w:t>parte</w:t>
                              </w:r>
                              <w:r>
                                <w:rPr>
                                  <w:spacing w:val="13"/>
                                  <w:sz w:val="16"/>
                                </w:rPr>
                                <w:t xml:space="preserve"> </w:t>
                              </w:r>
                              <w:r>
                                <w:rPr>
                                  <w:sz w:val="16"/>
                                </w:rPr>
                                <w:t>de</w:t>
                              </w:r>
                              <w:r>
                                <w:rPr>
                                  <w:spacing w:val="13"/>
                                  <w:sz w:val="16"/>
                                </w:rPr>
                                <w:t xml:space="preserve"> </w:t>
                              </w:r>
                              <w:r>
                                <w:rPr>
                                  <w:sz w:val="16"/>
                                </w:rPr>
                                <w:t>la</w:t>
                              </w:r>
                              <w:r>
                                <w:rPr>
                                  <w:spacing w:val="13"/>
                                  <w:sz w:val="16"/>
                                </w:rPr>
                                <w:t xml:space="preserve"> </w:t>
                              </w:r>
                              <w:r>
                                <w:rPr>
                                  <w:sz w:val="16"/>
                                </w:rPr>
                                <w:t>Comisión</w:t>
                              </w:r>
                              <w:r>
                                <w:rPr>
                                  <w:spacing w:val="13"/>
                                  <w:sz w:val="16"/>
                                </w:rPr>
                                <w:t xml:space="preserve"> </w:t>
                              </w:r>
                              <w:r>
                                <w:rPr>
                                  <w:sz w:val="16"/>
                                </w:rPr>
                                <w:t>Estatal</w:t>
                              </w:r>
                              <w:r>
                                <w:rPr>
                                  <w:spacing w:val="13"/>
                                  <w:sz w:val="16"/>
                                </w:rPr>
                                <w:t xml:space="preserve"> </w:t>
                              </w:r>
                              <w:r>
                                <w:rPr>
                                  <w:sz w:val="16"/>
                                </w:rPr>
                                <w:t>de</w:t>
                              </w:r>
                              <w:r>
                                <w:rPr>
                                  <w:spacing w:val="13"/>
                                  <w:sz w:val="16"/>
                                </w:rPr>
                                <w:t xml:space="preserve"> </w:t>
                              </w:r>
                              <w:r>
                                <w:rPr>
                                  <w:sz w:val="16"/>
                                </w:rPr>
                                <w:t>Igualdad</w:t>
                              </w:r>
                              <w:r>
                                <w:rPr>
                                  <w:spacing w:val="13"/>
                                  <w:sz w:val="16"/>
                                </w:rPr>
                                <w:t xml:space="preserve"> </w:t>
                              </w:r>
                              <w:r>
                                <w:rPr>
                                  <w:sz w:val="16"/>
                                </w:rPr>
                                <w:t>para</w:t>
                              </w:r>
                              <w:r>
                                <w:rPr>
                                  <w:spacing w:val="13"/>
                                  <w:sz w:val="16"/>
                                </w:rPr>
                                <w:t xml:space="preserve"> </w:t>
                              </w:r>
                              <w:r>
                                <w:rPr>
                                  <w:sz w:val="16"/>
                                </w:rPr>
                                <w:t>reparar</w:t>
                              </w:r>
                              <w:r>
                                <w:rPr>
                                  <w:spacing w:val="13"/>
                                  <w:sz w:val="16"/>
                                </w:rPr>
                                <w:t xml:space="preserve"> </w:t>
                              </w:r>
                              <w:r>
                                <w:rPr>
                                  <w:sz w:val="16"/>
                                </w:rPr>
                                <w:t>el</w:t>
                              </w:r>
                              <w:r>
                                <w:rPr>
                                  <w:spacing w:val="13"/>
                                  <w:sz w:val="16"/>
                                </w:rPr>
                                <w:t xml:space="preserve"> </w:t>
                              </w:r>
                              <w:r>
                                <w:rPr>
                                  <w:sz w:val="16"/>
                                </w:rPr>
                                <w:t>daño</w:t>
                              </w:r>
                              <w:r>
                                <w:rPr>
                                  <w:spacing w:val="13"/>
                                  <w:sz w:val="16"/>
                                </w:rPr>
                                <w:t xml:space="preserve"> </w:t>
                              </w:r>
                              <w:r>
                                <w:rPr>
                                  <w:sz w:val="16"/>
                                </w:rPr>
                                <w:t>causado.</w:t>
                              </w:r>
                              <w:r>
                                <w:rPr>
                                  <w:spacing w:val="15"/>
                                  <w:sz w:val="16"/>
                                </w:rPr>
                                <w:t xml:space="preserve"> </w:t>
                              </w:r>
                              <w:r>
                                <w:rPr>
                                  <w:sz w:val="16"/>
                                </w:rPr>
                                <w:t>Los recursos pueden incluir, entre otras cosas, órdenes de abstenerse de discriminar o modificar la práctica discriminatoria; el pago</w:t>
                              </w:r>
                              <w:r>
                                <w:rPr>
                                  <w:spacing w:val="-5"/>
                                  <w:sz w:val="16"/>
                                </w:rPr>
                                <w:t xml:space="preserve"> </w:t>
                              </w:r>
                              <w:r>
                                <w:rPr>
                                  <w:sz w:val="16"/>
                                </w:rPr>
                                <w:t>de</w:t>
                              </w:r>
                              <w:r>
                                <w:rPr>
                                  <w:spacing w:val="-5"/>
                                  <w:sz w:val="16"/>
                                </w:rPr>
                                <w:t xml:space="preserve"> </w:t>
                              </w:r>
                              <w:r>
                                <w:rPr>
                                  <w:sz w:val="16"/>
                                </w:rPr>
                                <w:t>daños</w:t>
                              </w:r>
                              <w:r>
                                <w:rPr>
                                  <w:spacing w:val="-5"/>
                                  <w:sz w:val="16"/>
                                </w:rPr>
                                <w:t xml:space="preserve"> </w:t>
                              </w:r>
                              <w:r>
                                <w:rPr>
                                  <w:sz w:val="16"/>
                                </w:rPr>
                                <w:t>y</w:t>
                              </w:r>
                              <w:r>
                                <w:rPr>
                                  <w:spacing w:val="-5"/>
                                  <w:sz w:val="16"/>
                                </w:rPr>
                                <w:t xml:space="preserve"> </w:t>
                              </w:r>
                              <w:r>
                                <w:rPr>
                                  <w:sz w:val="16"/>
                                </w:rPr>
                                <w:t>perjuicios;</w:t>
                              </w:r>
                              <w:r>
                                <w:rPr>
                                  <w:spacing w:val="-4"/>
                                  <w:sz w:val="16"/>
                                </w:rPr>
                                <w:t xml:space="preserve"> </w:t>
                              </w:r>
                              <w:r>
                                <w:rPr>
                                  <w:sz w:val="16"/>
                                </w:rPr>
                                <w:t>disculpas</w:t>
                              </w:r>
                              <w:r>
                                <w:rPr>
                                  <w:spacing w:val="-5"/>
                                  <w:sz w:val="16"/>
                                </w:rPr>
                                <w:t xml:space="preserve"> </w:t>
                              </w:r>
                              <w:r>
                                <w:rPr>
                                  <w:sz w:val="16"/>
                                </w:rPr>
                                <w:t>públicas</w:t>
                              </w:r>
                              <w:r>
                                <w:rPr>
                                  <w:spacing w:val="-5"/>
                                  <w:sz w:val="16"/>
                                </w:rPr>
                                <w:t xml:space="preserve"> </w:t>
                              </w:r>
                              <w:r>
                                <w:rPr>
                                  <w:sz w:val="16"/>
                                </w:rPr>
                                <w:t>y</w:t>
                              </w:r>
                              <w:r>
                                <w:rPr>
                                  <w:spacing w:val="-5"/>
                                  <w:sz w:val="16"/>
                                </w:rPr>
                                <w:t xml:space="preserve"> </w:t>
                              </w:r>
                              <w:r>
                                <w:rPr>
                                  <w:sz w:val="16"/>
                                </w:rPr>
                                <w:t>garantías</w:t>
                              </w:r>
                              <w:r>
                                <w:rPr>
                                  <w:spacing w:val="-5"/>
                                  <w:sz w:val="16"/>
                                </w:rPr>
                                <w:t xml:space="preserve"> </w:t>
                              </w:r>
                              <w:r>
                                <w:rPr>
                                  <w:sz w:val="16"/>
                                </w:rPr>
                                <w:t>de</w:t>
                              </w:r>
                              <w:r>
                                <w:rPr>
                                  <w:spacing w:val="-5"/>
                                  <w:sz w:val="16"/>
                                </w:rPr>
                                <w:t xml:space="preserve"> </w:t>
                              </w:r>
                              <w:r>
                                <w:rPr>
                                  <w:sz w:val="16"/>
                                </w:rPr>
                                <w:t>no</w:t>
                              </w:r>
                              <w:r>
                                <w:rPr>
                                  <w:spacing w:val="-5"/>
                                  <w:sz w:val="16"/>
                                </w:rPr>
                                <w:t xml:space="preserve"> </w:t>
                              </w:r>
                              <w:r>
                                <w:rPr>
                                  <w:sz w:val="16"/>
                                </w:rPr>
                                <w:t>repetición;</w:t>
                              </w:r>
                              <w:r>
                                <w:rPr>
                                  <w:spacing w:val="-4"/>
                                  <w:sz w:val="16"/>
                                </w:rPr>
                                <w:t xml:space="preserve"> </w:t>
                              </w:r>
                              <w:r>
                                <w:rPr>
                                  <w:sz w:val="16"/>
                                </w:rPr>
                                <w:t>la</w:t>
                              </w:r>
                              <w:r>
                                <w:rPr>
                                  <w:spacing w:val="-5"/>
                                  <w:sz w:val="16"/>
                                </w:rPr>
                                <w:t xml:space="preserve"> </w:t>
                              </w:r>
                              <w:r>
                                <w:rPr>
                                  <w:sz w:val="16"/>
                                </w:rPr>
                                <w:t>adopción</w:t>
                              </w:r>
                              <w:r>
                                <w:rPr>
                                  <w:spacing w:val="-5"/>
                                  <w:sz w:val="16"/>
                                </w:rPr>
                                <w:t xml:space="preserve"> </w:t>
                              </w:r>
                              <w:r>
                                <w:rPr>
                                  <w:sz w:val="16"/>
                                </w:rPr>
                                <w:t>de</w:t>
                              </w:r>
                              <w:r>
                                <w:rPr>
                                  <w:spacing w:val="-5"/>
                                  <w:sz w:val="16"/>
                                </w:rPr>
                                <w:t xml:space="preserve"> </w:t>
                              </w:r>
                              <w:r>
                                <w:rPr>
                                  <w:sz w:val="16"/>
                                </w:rPr>
                                <w:t>medidas</w:t>
                              </w:r>
                              <w:r>
                                <w:rPr>
                                  <w:spacing w:val="-5"/>
                                  <w:sz w:val="16"/>
                                </w:rPr>
                                <w:t xml:space="preserve"> </w:t>
                              </w:r>
                              <w:r>
                                <w:rPr>
                                  <w:sz w:val="16"/>
                                </w:rPr>
                                <w:t>de</w:t>
                              </w:r>
                              <w:r>
                                <w:rPr>
                                  <w:spacing w:val="-5"/>
                                  <w:sz w:val="16"/>
                                </w:rPr>
                                <w:t xml:space="preserve"> </w:t>
                              </w:r>
                              <w:r>
                                <w:rPr>
                                  <w:sz w:val="16"/>
                                </w:rPr>
                                <w:t>diversificación;</w:t>
                              </w:r>
                            </w:p>
                            <w:p w14:paraId="18B4BC43" w14:textId="77777777" w:rsidR="0014798C" w:rsidRDefault="004E1F0B">
                              <w:pPr>
                                <w:spacing w:line="183" w:lineRule="exact"/>
                                <w:ind w:left="1"/>
                                <w:rPr>
                                  <w:sz w:val="16"/>
                                </w:rPr>
                              </w:pPr>
                              <w:r>
                                <w:rPr>
                                  <w:sz w:val="16"/>
                                </w:rPr>
                                <w:t>formación</w:t>
                              </w:r>
                              <w:r>
                                <w:rPr>
                                  <w:spacing w:val="-4"/>
                                  <w:sz w:val="16"/>
                                </w:rPr>
                                <w:t xml:space="preserve"> </w:t>
                              </w:r>
                              <w:r>
                                <w:rPr>
                                  <w:sz w:val="16"/>
                                </w:rPr>
                                <w:t>en</w:t>
                              </w:r>
                              <w:r>
                                <w:rPr>
                                  <w:spacing w:val="-3"/>
                                  <w:sz w:val="16"/>
                                </w:rPr>
                                <w:t xml:space="preserve"> </w:t>
                              </w:r>
                              <w:r>
                                <w:rPr>
                                  <w:sz w:val="16"/>
                                </w:rPr>
                                <w:t>diversidad;</w:t>
                              </w:r>
                              <w:r>
                                <w:rPr>
                                  <w:spacing w:val="-3"/>
                                  <w:sz w:val="16"/>
                                </w:rPr>
                                <w:t xml:space="preserve"> </w:t>
                              </w:r>
                              <w:r>
                                <w:rPr>
                                  <w:sz w:val="16"/>
                                </w:rPr>
                                <w:t>y</w:t>
                              </w:r>
                              <w:r>
                                <w:rPr>
                                  <w:spacing w:val="-3"/>
                                  <w:sz w:val="16"/>
                                </w:rPr>
                                <w:t xml:space="preserve"> </w:t>
                              </w:r>
                              <w:r>
                                <w:rPr>
                                  <w:sz w:val="16"/>
                                </w:rPr>
                                <w:t>medidas</w:t>
                              </w:r>
                              <w:r>
                                <w:rPr>
                                  <w:spacing w:val="-3"/>
                                  <w:sz w:val="16"/>
                                </w:rPr>
                                <w:t xml:space="preserve"> </w:t>
                              </w:r>
                              <w:r>
                                <w:rPr>
                                  <w:sz w:val="16"/>
                                </w:rPr>
                                <w:t>estructurales</w:t>
                              </w:r>
                              <w:r>
                                <w:rPr>
                                  <w:spacing w:val="-4"/>
                                  <w:sz w:val="16"/>
                                </w:rPr>
                                <w:t xml:space="preserve"> </w:t>
                              </w:r>
                              <w:r>
                                <w:rPr>
                                  <w:sz w:val="16"/>
                                </w:rPr>
                                <w:t>para</w:t>
                              </w:r>
                              <w:r>
                                <w:rPr>
                                  <w:spacing w:val="-3"/>
                                  <w:sz w:val="16"/>
                                </w:rPr>
                                <w:t xml:space="preserve"> </w:t>
                              </w:r>
                              <w:r>
                                <w:rPr>
                                  <w:sz w:val="16"/>
                                </w:rPr>
                                <w:t>evitar</w:t>
                              </w:r>
                              <w:r>
                                <w:rPr>
                                  <w:spacing w:val="-3"/>
                                  <w:sz w:val="16"/>
                                </w:rPr>
                                <w:t xml:space="preserve"> </w:t>
                              </w:r>
                              <w:r>
                                <w:rPr>
                                  <w:sz w:val="16"/>
                                </w:rPr>
                                <w:t>futuras</w:t>
                              </w:r>
                              <w:r>
                                <w:rPr>
                                  <w:spacing w:val="-4"/>
                                  <w:sz w:val="16"/>
                                </w:rPr>
                                <w:t xml:space="preserve"> </w:t>
                              </w:r>
                              <w:r>
                                <w:rPr>
                                  <w:sz w:val="16"/>
                                </w:rPr>
                                <w:t>violaciones</w:t>
                              </w:r>
                              <w:r>
                                <w:rPr>
                                  <w:spacing w:val="-3"/>
                                  <w:sz w:val="16"/>
                                </w:rPr>
                                <w:t xml:space="preserve"> </w:t>
                              </w:r>
                              <w:r>
                                <w:rPr>
                                  <w:sz w:val="16"/>
                                </w:rPr>
                                <w:t>de</w:t>
                              </w:r>
                              <w:r>
                                <w:rPr>
                                  <w:spacing w:val="-3"/>
                                  <w:sz w:val="16"/>
                                </w:rPr>
                                <w:t xml:space="preserve"> </w:t>
                              </w:r>
                              <w:r>
                                <w:rPr>
                                  <w:spacing w:val="-2"/>
                                  <w:sz w:val="16"/>
                                </w:rPr>
                                <w:t>derechos.</w:t>
                              </w:r>
                            </w:p>
                          </w:txbxContent>
                        </wps:txbx>
                        <wps:bodyPr wrap="square" lIns="0" tIns="0" rIns="0" bIns="0" rtlCol="0">
                          <a:noAutofit/>
                        </wps:bodyPr>
                      </wps:wsp>
                      <wps:wsp>
                        <wps:cNvPr id="80" name="Textbox 80"/>
                        <wps:cNvSpPr txBox="1"/>
                        <wps:spPr>
                          <a:xfrm>
                            <a:off x="27460" y="1101053"/>
                            <a:ext cx="1409065" cy="198120"/>
                          </a:xfrm>
                          <a:prstGeom prst="rect">
                            <a:avLst/>
                          </a:prstGeom>
                        </wps:spPr>
                        <wps:txbx>
                          <w:txbxContent>
                            <w:p w14:paraId="6D7DC516" w14:textId="77777777" w:rsidR="0014798C" w:rsidRDefault="004E1F0B">
                              <w:pPr>
                                <w:spacing w:line="311" w:lineRule="exact"/>
                                <w:rPr>
                                  <w:sz w:val="28"/>
                                </w:rPr>
                              </w:pPr>
                              <w:bookmarkStart w:id="11" w:name="conclusión"/>
                              <w:r>
                                <w:rPr>
                                  <w:color w:val="009EDB"/>
                                  <w:spacing w:val="-2"/>
                                  <w:sz w:val="28"/>
                                </w:rPr>
                                <w:t>IV.CONCLUSIÓN</w:t>
                              </w:r>
                              <w:bookmarkEnd w:id="11"/>
                            </w:p>
                          </w:txbxContent>
                        </wps:txbx>
                        <wps:bodyPr wrap="square" lIns="0" tIns="0" rIns="0" bIns="0" rtlCol="0">
                          <a:noAutofit/>
                        </wps:bodyPr>
                      </wps:wsp>
                    </wpg:wgp>
                  </a:graphicData>
                </a:graphic>
              </wp:anchor>
            </w:drawing>
          </mc:Choice>
          <mc:Fallback>
            <w:pict>
              <v:group w14:anchorId="74A69BE2" id="Group 77" o:spid="_x0000_s1051" style="position:absolute;left:0;text-align:left;margin-left:64.05pt;margin-top:-112.05pt;width:531pt;height:102.3pt;z-index:251658247;mso-wrap-distance-left:0;mso-wrap-distance-right:0;mso-position-horizontal-relative:page" coordsize="67437,12992"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">
                <v:shape id="Image 78" o:spid="_x0000_s1052" type="#_x0000_t75" style="position:absolute;width:67433;height:1294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">
                  <v:imagedata r:id="rId88" o:title=""/>
                </v:shape>
                <v:shape id="Textbox 79" o:spid="_x0000_s1053" type="#_x0000_t202" style="position:absolute;left:1599;top:1406;width:56127;height:591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" filled="f" stroked="f">
                  <v:textbox inset="0,0,0,0">
                    <w:txbxContent>
                      <w:p w14:paraId="029E9487" w14:textId="77777777" w:rsidR="0014798C" w:rsidRDefault="004E1F0B">
                        <w:pPr>
                          <w:spacing w:line="326" w:lineRule="auto"/>
                          <w:ind w:firstLine="2"/>
                          <w:rPr>
                            <w:sz w:val="16"/>
                          </w:rPr>
                        </w:pPr>
                        <w:r>
                          <w:rPr>
                            <w:sz w:val="16"/>
                          </w:rPr>
                          <w:t>orden</w:t>
                        </w:r>
                        <w:r>
                          <w:rPr>
                            <w:spacing w:val="13"/>
                            <w:sz w:val="16"/>
                          </w:rPr>
                          <w:t xml:space="preserve"> </w:t>
                        </w:r>
                        <w:r>
                          <w:rPr>
                            <w:sz w:val="16"/>
                          </w:rPr>
                          <w:t>judicial,</w:t>
                        </w:r>
                        <w:r>
                          <w:rPr>
                            <w:spacing w:val="15"/>
                            <w:sz w:val="16"/>
                          </w:rPr>
                          <w:t xml:space="preserve"> </w:t>
                        </w:r>
                        <w:r>
                          <w:rPr>
                            <w:sz w:val="16"/>
                          </w:rPr>
                          <w:t>reparación</w:t>
                        </w:r>
                        <w:r>
                          <w:rPr>
                            <w:spacing w:val="13"/>
                            <w:sz w:val="16"/>
                          </w:rPr>
                          <w:t xml:space="preserve"> </w:t>
                        </w:r>
                        <w:r>
                          <w:rPr>
                            <w:sz w:val="16"/>
                          </w:rPr>
                          <w:t>o</w:t>
                        </w:r>
                        <w:r>
                          <w:rPr>
                            <w:spacing w:val="13"/>
                            <w:sz w:val="16"/>
                          </w:rPr>
                          <w:t xml:space="preserve"> </w:t>
                        </w:r>
                        <w:r>
                          <w:rPr>
                            <w:sz w:val="16"/>
                          </w:rPr>
                          <w:t>laudo”</w:t>
                        </w:r>
                        <w:r>
                          <w:rPr>
                            <w:spacing w:val="13"/>
                            <w:sz w:val="16"/>
                          </w:rPr>
                          <w:t xml:space="preserve"> </w:t>
                        </w:r>
                        <w:r>
                          <w:rPr>
                            <w:sz w:val="16"/>
                          </w:rPr>
                          <w:t>por</w:t>
                        </w:r>
                        <w:r>
                          <w:rPr>
                            <w:spacing w:val="13"/>
                            <w:sz w:val="16"/>
                          </w:rPr>
                          <w:t xml:space="preserve"> </w:t>
                        </w:r>
                        <w:r>
                          <w:rPr>
                            <w:sz w:val="16"/>
                          </w:rPr>
                          <w:t>parte</w:t>
                        </w:r>
                        <w:r>
                          <w:rPr>
                            <w:spacing w:val="13"/>
                            <w:sz w:val="16"/>
                          </w:rPr>
                          <w:t xml:space="preserve"> </w:t>
                        </w:r>
                        <w:r>
                          <w:rPr>
                            <w:sz w:val="16"/>
                          </w:rPr>
                          <w:t>de</w:t>
                        </w:r>
                        <w:r>
                          <w:rPr>
                            <w:spacing w:val="13"/>
                            <w:sz w:val="16"/>
                          </w:rPr>
                          <w:t xml:space="preserve"> </w:t>
                        </w:r>
                        <w:r>
                          <w:rPr>
                            <w:sz w:val="16"/>
                          </w:rPr>
                          <w:t>la</w:t>
                        </w:r>
                        <w:r>
                          <w:rPr>
                            <w:spacing w:val="13"/>
                            <w:sz w:val="16"/>
                          </w:rPr>
                          <w:t xml:space="preserve"> </w:t>
                        </w:r>
                        <w:r>
                          <w:rPr>
                            <w:sz w:val="16"/>
                          </w:rPr>
                          <w:t>Comisión</w:t>
                        </w:r>
                        <w:r>
                          <w:rPr>
                            <w:spacing w:val="13"/>
                            <w:sz w:val="16"/>
                          </w:rPr>
                          <w:t xml:space="preserve"> </w:t>
                        </w:r>
                        <w:r>
                          <w:rPr>
                            <w:sz w:val="16"/>
                          </w:rPr>
                          <w:t>Estatal</w:t>
                        </w:r>
                        <w:r>
                          <w:rPr>
                            <w:spacing w:val="13"/>
                            <w:sz w:val="16"/>
                          </w:rPr>
                          <w:t xml:space="preserve"> </w:t>
                        </w:r>
                        <w:r>
                          <w:rPr>
                            <w:sz w:val="16"/>
                          </w:rPr>
                          <w:t>de</w:t>
                        </w:r>
                        <w:r>
                          <w:rPr>
                            <w:spacing w:val="13"/>
                            <w:sz w:val="16"/>
                          </w:rPr>
                          <w:t xml:space="preserve"> </w:t>
                        </w:r>
                        <w:r>
                          <w:rPr>
                            <w:sz w:val="16"/>
                          </w:rPr>
                          <w:t>Igualdad</w:t>
                        </w:r>
                        <w:r>
                          <w:rPr>
                            <w:spacing w:val="13"/>
                            <w:sz w:val="16"/>
                          </w:rPr>
                          <w:t xml:space="preserve"> </w:t>
                        </w:r>
                        <w:r>
                          <w:rPr>
                            <w:sz w:val="16"/>
                          </w:rPr>
                          <w:t>para</w:t>
                        </w:r>
                        <w:r>
                          <w:rPr>
                            <w:spacing w:val="13"/>
                            <w:sz w:val="16"/>
                          </w:rPr>
                          <w:t xml:space="preserve"> </w:t>
                        </w:r>
                        <w:r>
                          <w:rPr>
                            <w:sz w:val="16"/>
                          </w:rPr>
                          <w:t>reparar</w:t>
                        </w:r>
                        <w:r>
                          <w:rPr>
                            <w:spacing w:val="13"/>
                            <w:sz w:val="16"/>
                          </w:rPr>
                          <w:t xml:space="preserve"> </w:t>
                        </w:r>
                        <w:r>
                          <w:rPr>
                            <w:sz w:val="16"/>
                          </w:rPr>
                          <w:t>el</w:t>
                        </w:r>
                        <w:r>
                          <w:rPr>
                            <w:spacing w:val="13"/>
                            <w:sz w:val="16"/>
                          </w:rPr>
                          <w:t xml:space="preserve"> </w:t>
                        </w:r>
                        <w:r>
                          <w:rPr>
                            <w:sz w:val="16"/>
                          </w:rPr>
                          <w:t>daño</w:t>
                        </w:r>
                        <w:r>
                          <w:rPr>
                            <w:spacing w:val="13"/>
                            <w:sz w:val="16"/>
                          </w:rPr>
                          <w:t xml:space="preserve"> </w:t>
                        </w:r>
                        <w:r>
                          <w:rPr>
                            <w:sz w:val="16"/>
                          </w:rPr>
                          <w:t>causado.</w:t>
                        </w:r>
                        <w:r>
                          <w:rPr>
                            <w:spacing w:val="15"/>
                            <w:sz w:val="16"/>
                          </w:rPr>
                          <w:t xml:space="preserve"> </w:t>
                        </w:r>
                        <w:r>
                          <w:rPr>
                            <w:sz w:val="16"/>
                          </w:rPr>
                          <w:t>Los recursos pueden incluir, entre otras cosas, órdenes de abstenerse de discriminar o modificar la práctica discriminatoria; el pago</w:t>
                        </w:r>
                        <w:r>
                          <w:rPr>
                            <w:spacing w:val="-5"/>
                            <w:sz w:val="16"/>
                          </w:rPr>
                          <w:t xml:space="preserve"> </w:t>
                        </w:r>
                        <w:r>
                          <w:rPr>
                            <w:sz w:val="16"/>
                          </w:rPr>
                          <w:t>de</w:t>
                        </w:r>
                        <w:r>
                          <w:rPr>
                            <w:spacing w:val="-5"/>
                            <w:sz w:val="16"/>
                          </w:rPr>
                          <w:t xml:space="preserve"> </w:t>
                        </w:r>
                        <w:r>
                          <w:rPr>
                            <w:sz w:val="16"/>
                          </w:rPr>
                          <w:t>daños</w:t>
                        </w:r>
                        <w:r>
                          <w:rPr>
                            <w:spacing w:val="-5"/>
                            <w:sz w:val="16"/>
                          </w:rPr>
                          <w:t xml:space="preserve"> </w:t>
                        </w:r>
                        <w:r>
                          <w:rPr>
                            <w:sz w:val="16"/>
                          </w:rPr>
                          <w:t>y</w:t>
                        </w:r>
                        <w:r>
                          <w:rPr>
                            <w:spacing w:val="-5"/>
                            <w:sz w:val="16"/>
                          </w:rPr>
                          <w:t xml:space="preserve"> </w:t>
                        </w:r>
                        <w:r>
                          <w:rPr>
                            <w:sz w:val="16"/>
                          </w:rPr>
                          <w:t>perjuicios;</w:t>
                        </w:r>
                        <w:r>
                          <w:rPr>
                            <w:spacing w:val="-4"/>
                            <w:sz w:val="16"/>
                          </w:rPr>
                          <w:t xml:space="preserve"> </w:t>
                        </w:r>
                        <w:r>
                          <w:rPr>
                            <w:sz w:val="16"/>
                          </w:rPr>
                          <w:t>disculpas</w:t>
                        </w:r>
                        <w:r>
                          <w:rPr>
                            <w:spacing w:val="-5"/>
                            <w:sz w:val="16"/>
                          </w:rPr>
                          <w:t xml:space="preserve"> </w:t>
                        </w:r>
                        <w:r>
                          <w:rPr>
                            <w:sz w:val="16"/>
                          </w:rPr>
                          <w:t>públicas</w:t>
                        </w:r>
                        <w:r>
                          <w:rPr>
                            <w:spacing w:val="-5"/>
                            <w:sz w:val="16"/>
                          </w:rPr>
                          <w:t xml:space="preserve"> </w:t>
                        </w:r>
                        <w:r>
                          <w:rPr>
                            <w:sz w:val="16"/>
                          </w:rPr>
                          <w:t>y</w:t>
                        </w:r>
                        <w:r>
                          <w:rPr>
                            <w:spacing w:val="-5"/>
                            <w:sz w:val="16"/>
                          </w:rPr>
                          <w:t xml:space="preserve"> </w:t>
                        </w:r>
                        <w:r>
                          <w:rPr>
                            <w:sz w:val="16"/>
                          </w:rPr>
                          <w:t>garantías</w:t>
                        </w:r>
                        <w:r>
                          <w:rPr>
                            <w:spacing w:val="-5"/>
                            <w:sz w:val="16"/>
                          </w:rPr>
                          <w:t xml:space="preserve"> </w:t>
                        </w:r>
                        <w:r>
                          <w:rPr>
                            <w:sz w:val="16"/>
                          </w:rPr>
                          <w:t>de</w:t>
                        </w:r>
                        <w:r>
                          <w:rPr>
                            <w:spacing w:val="-5"/>
                            <w:sz w:val="16"/>
                          </w:rPr>
                          <w:t xml:space="preserve"> </w:t>
                        </w:r>
                        <w:r>
                          <w:rPr>
                            <w:sz w:val="16"/>
                          </w:rPr>
                          <w:t>no</w:t>
                        </w:r>
                        <w:r>
                          <w:rPr>
                            <w:spacing w:val="-5"/>
                            <w:sz w:val="16"/>
                          </w:rPr>
                          <w:t xml:space="preserve"> </w:t>
                        </w:r>
                        <w:r>
                          <w:rPr>
                            <w:sz w:val="16"/>
                          </w:rPr>
                          <w:t>repetición;</w:t>
                        </w:r>
                        <w:r>
                          <w:rPr>
                            <w:spacing w:val="-4"/>
                            <w:sz w:val="16"/>
                          </w:rPr>
                          <w:t xml:space="preserve"> </w:t>
                        </w:r>
                        <w:r>
                          <w:rPr>
                            <w:sz w:val="16"/>
                          </w:rPr>
                          <w:t>la</w:t>
                        </w:r>
                        <w:r>
                          <w:rPr>
                            <w:spacing w:val="-5"/>
                            <w:sz w:val="16"/>
                          </w:rPr>
                          <w:t xml:space="preserve"> </w:t>
                        </w:r>
                        <w:r>
                          <w:rPr>
                            <w:sz w:val="16"/>
                          </w:rPr>
                          <w:t>adopción</w:t>
                        </w:r>
                        <w:r>
                          <w:rPr>
                            <w:spacing w:val="-5"/>
                            <w:sz w:val="16"/>
                          </w:rPr>
                          <w:t xml:space="preserve"> </w:t>
                        </w:r>
                        <w:r>
                          <w:rPr>
                            <w:sz w:val="16"/>
                          </w:rPr>
                          <w:t>de</w:t>
                        </w:r>
                        <w:r>
                          <w:rPr>
                            <w:spacing w:val="-5"/>
                            <w:sz w:val="16"/>
                          </w:rPr>
                          <w:t xml:space="preserve"> </w:t>
                        </w:r>
                        <w:r>
                          <w:rPr>
                            <w:sz w:val="16"/>
                          </w:rPr>
                          <w:t>medidas</w:t>
                        </w:r>
                        <w:r>
                          <w:rPr>
                            <w:spacing w:val="-5"/>
                            <w:sz w:val="16"/>
                          </w:rPr>
                          <w:t xml:space="preserve"> </w:t>
                        </w:r>
                        <w:r>
                          <w:rPr>
                            <w:sz w:val="16"/>
                          </w:rPr>
                          <w:t>de</w:t>
                        </w:r>
                        <w:r>
                          <w:rPr>
                            <w:spacing w:val="-5"/>
                            <w:sz w:val="16"/>
                          </w:rPr>
                          <w:t xml:space="preserve"> </w:t>
                        </w:r>
                        <w:r>
                          <w:rPr>
                            <w:sz w:val="16"/>
                          </w:rPr>
                          <w:t>diversificación;</w:t>
                        </w:r>
                      </w:p>
                      <w:p w14:paraId="18B4BC43" w14:textId="77777777" w:rsidR="0014798C" w:rsidRDefault="004E1F0B">
                        <w:pPr>
                          <w:spacing w:line="183" w:lineRule="exact"/>
                          <w:ind w:left="1"/>
                          <w:rPr>
                            <w:sz w:val="16"/>
                          </w:rPr>
                        </w:pPr>
                        <w:r>
                          <w:rPr>
                            <w:sz w:val="16"/>
                          </w:rPr>
                          <w:t>formación</w:t>
                        </w:r>
                        <w:r>
                          <w:rPr>
                            <w:spacing w:val="-4"/>
                            <w:sz w:val="16"/>
                          </w:rPr>
                          <w:t xml:space="preserve"> </w:t>
                        </w:r>
                        <w:r>
                          <w:rPr>
                            <w:sz w:val="16"/>
                          </w:rPr>
                          <w:t>en</w:t>
                        </w:r>
                        <w:r>
                          <w:rPr>
                            <w:spacing w:val="-3"/>
                            <w:sz w:val="16"/>
                          </w:rPr>
                          <w:t xml:space="preserve"> </w:t>
                        </w:r>
                        <w:r>
                          <w:rPr>
                            <w:sz w:val="16"/>
                          </w:rPr>
                          <w:t>diversidad;</w:t>
                        </w:r>
                        <w:r>
                          <w:rPr>
                            <w:spacing w:val="-3"/>
                            <w:sz w:val="16"/>
                          </w:rPr>
                          <w:t xml:space="preserve"> </w:t>
                        </w:r>
                        <w:r>
                          <w:rPr>
                            <w:sz w:val="16"/>
                          </w:rPr>
                          <w:t>y</w:t>
                        </w:r>
                        <w:r>
                          <w:rPr>
                            <w:spacing w:val="-3"/>
                            <w:sz w:val="16"/>
                          </w:rPr>
                          <w:t xml:space="preserve"> </w:t>
                        </w:r>
                        <w:r>
                          <w:rPr>
                            <w:sz w:val="16"/>
                          </w:rPr>
                          <w:t>medidas</w:t>
                        </w:r>
                        <w:r>
                          <w:rPr>
                            <w:spacing w:val="-3"/>
                            <w:sz w:val="16"/>
                          </w:rPr>
                          <w:t xml:space="preserve"> </w:t>
                        </w:r>
                        <w:r>
                          <w:rPr>
                            <w:sz w:val="16"/>
                          </w:rPr>
                          <w:t>estructurales</w:t>
                        </w:r>
                        <w:r>
                          <w:rPr>
                            <w:spacing w:val="-4"/>
                            <w:sz w:val="16"/>
                          </w:rPr>
                          <w:t xml:space="preserve"> </w:t>
                        </w:r>
                        <w:r>
                          <w:rPr>
                            <w:sz w:val="16"/>
                          </w:rPr>
                          <w:t>para</w:t>
                        </w:r>
                        <w:r>
                          <w:rPr>
                            <w:spacing w:val="-3"/>
                            <w:sz w:val="16"/>
                          </w:rPr>
                          <w:t xml:space="preserve"> </w:t>
                        </w:r>
                        <w:r>
                          <w:rPr>
                            <w:sz w:val="16"/>
                          </w:rPr>
                          <w:t>evitar</w:t>
                        </w:r>
                        <w:r>
                          <w:rPr>
                            <w:spacing w:val="-3"/>
                            <w:sz w:val="16"/>
                          </w:rPr>
                          <w:t xml:space="preserve"> </w:t>
                        </w:r>
                        <w:r>
                          <w:rPr>
                            <w:sz w:val="16"/>
                          </w:rPr>
                          <w:t>futuras</w:t>
                        </w:r>
                        <w:r>
                          <w:rPr>
                            <w:spacing w:val="-4"/>
                            <w:sz w:val="16"/>
                          </w:rPr>
                          <w:t xml:space="preserve"> </w:t>
                        </w:r>
                        <w:r>
                          <w:rPr>
                            <w:sz w:val="16"/>
                          </w:rPr>
                          <w:t>violaciones</w:t>
                        </w:r>
                        <w:r>
                          <w:rPr>
                            <w:spacing w:val="-3"/>
                            <w:sz w:val="16"/>
                          </w:rPr>
                          <w:t xml:space="preserve"> </w:t>
                        </w:r>
                        <w:r>
                          <w:rPr>
                            <w:sz w:val="16"/>
                          </w:rPr>
                          <w:t>de</w:t>
                        </w:r>
                        <w:r>
                          <w:rPr>
                            <w:spacing w:val="-3"/>
                            <w:sz w:val="16"/>
                          </w:rPr>
                          <w:t xml:space="preserve"> </w:t>
                        </w:r>
                        <w:r>
                          <w:rPr>
                            <w:spacing w:val="-2"/>
                            <w:sz w:val="16"/>
                          </w:rPr>
                          <w:t>derechos.</w:t>
                        </w:r>
                      </w:p>
                    </w:txbxContent>
                  </v:textbox>
                </v:shape>
                <v:shape id="Textbox 80" o:spid="_x0000_s1054" type="#_x0000_t202" style="position:absolute;left:274;top:11010;width:14091;height:198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" filled="f" stroked="f">
                  <v:textbox inset="0,0,0,0">
                    <w:txbxContent>
                      <w:p w14:paraId="6D7DC516" w14:textId="77777777" w:rsidR="0014798C" w:rsidRDefault="004E1F0B">
                        <w:pPr>
                          <w:spacing w:line="311" w:lineRule="exact"/>
                          <w:rPr>
                            <w:sz w:val="28"/>
                          </w:rPr>
                        </w:pPr>
                        <w:bookmarkStart w:id="12" w:name="conclusión"/>
                        <w:r>
                          <w:rPr>
                            <w:color w:val="009EDB"/>
                            <w:spacing w:val="-2"/>
                            <w:sz w:val="28"/>
                          </w:rPr>
                          <w:t>IV.CONCLUSIÓN</w:t>
                        </w:r>
                        <w:bookmarkEnd w:id="12"/>
                      </w:p>
                    </w:txbxContent>
                  </v:textbox>
                </v:shape>
                <w10:wrap anchorx="page"/>
              </v:group>
            </w:pict>
          </mc:Fallback>
        </mc:AlternateContent>
      </w:r>
      <w:r>
        <w:rPr>
          <w:noProof/>
        </w:rPr>
        <mc:AlternateContent>
          <mc:Choice Requires="wps">
            <w:drawing>
              <wp:anchor distT="0" distB="0" distL="0" distR="0" simplePos="0" relativeHeight="251658248" behindDoc="0" locked="0" layoutInCell="1" allowOverlap="1" wp14:anchorId="28A025B5" wp14:editId="22D35ED5">
                <wp:simplePos x="0" y="0"/>
                <wp:positionH relativeFrom="page">
                  <wp:posOffset>7301499</wp:posOffset>
                </wp:positionH>
                <wp:positionV relativeFrom="paragraph">
                  <wp:posOffset>-740073</wp:posOffset>
                </wp:positionV>
                <wp:extent cx="97790" cy="241300"/>
                <wp:effectExtent l="0" t="0" r="0" b="0"/>
                <wp:wrapNone/>
                <wp:docPr id="81" name="Textbox 8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97790" cy="241300"/>
                        </a:xfrm>
                        <a:prstGeom prst="rect">
                          <a:avLst/>
                        </a:prstGeom>
                      </wps:spPr>
                      <wps:txbx>
                        <w:txbxContent>
                          <w:p w14:paraId="26EBEAC2" w14:textId="77777777" w:rsidR="0014798C" w:rsidRDefault="004E1F0B">
                            <w:pPr>
                              <w:spacing w:before="18"/>
                              <w:ind w:left="20"/>
                              <w:rPr>
                                <w:sz w:val="10"/>
                              </w:rPr>
                            </w:pPr>
                            <w:r>
                              <w:rPr>
                                <w:color w:val="FFFFFF"/>
                                <w:spacing w:val="-27"/>
                                <w:sz w:val="10"/>
                              </w:rPr>
                              <w:t>UPANROTE</w:t>
                            </w:r>
                          </w:p>
                        </w:txbxContent>
                      </wps:txbx>
                      <wps:bodyPr vert="vert270" wrap="square" lIns="0" tIns="0" rIns="0" bIns="0" rtlCol="0">
                        <a:noAutofit/>
                      </wps:bodyPr>
                    </wps:wsp>
                  </a:graphicData>
                </a:graphic>
              </wp:anchor>
            </w:drawing>
          </mc:Choice>
          <mc:Fallback>
            <w:pict>
              <v:shape w14:anchorId="28A025B5" id="Textbox 81" o:spid="_x0000_s1055" type="#_x0000_t202" style="position:absolute;left:0;text-align:left;margin-left:574.9pt;margin-top:-58.25pt;width:7.7pt;height:19pt;z-index:251658248;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" filled="f" stroked="f">
                <v:textbox style="layout-flow:vertical;mso-layout-flow-alt:bottom-to-top" inset="0,0,0,0">
                  <w:txbxContent>
                    <w:p w14:paraId="26EBEAC2" w14:textId="77777777" w:rsidR="0014798C" w:rsidRDefault="004E1F0B">
                      <w:pPr>
                        <w:spacing w:before="18"/>
                        <w:ind w:left="20"/>
                        <w:rPr>
                          <w:sz w:val="10"/>
                        </w:rPr>
                      </w:pPr>
                      <w:r>
                        <w:rPr>
                          <w:color w:val="FFFFFF"/>
                          <w:spacing w:val="-27"/>
                          <w:sz w:val="10"/>
                        </w:rPr>
                        <w:t>UPANROTE</w:t>
                      </w:r>
                    </w:p>
                  </w:txbxContent>
                </v:textbox>
                <w10:wrap anchorx="page"/>
              </v:shape>
            </w:pict>
          </mc:Fallback>
        </mc:AlternateContent>
      </w:r>
      <w:r>
        <w:t>Por lo tanto, en todos los niveles –desde los órganos creados en virtud de tratados de las Naciones Unidas hasta las legislaturas nacionales individuales y desde el examen periódico universal hasta los Objetivos de Desarrollo Sostenible– existe ahora un entendimiento</w:t>
      </w:r>
      <w:r>
        <w:rPr>
          <w:spacing w:val="15"/>
        </w:rPr>
        <w:t xml:space="preserve"> </w:t>
      </w:r>
      <w:r>
        <w:t>de</w:t>
      </w:r>
      <w:r>
        <w:rPr>
          <w:spacing w:val="15"/>
        </w:rPr>
        <w:t xml:space="preserve"> </w:t>
      </w:r>
      <w:r>
        <w:t>que</w:t>
      </w:r>
      <w:r>
        <w:rPr>
          <w:spacing w:val="15"/>
        </w:rPr>
        <w:t xml:space="preserve"> </w:t>
      </w:r>
      <w:r>
        <w:t>los</w:t>
      </w:r>
      <w:r>
        <w:rPr>
          <w:spacing w:val="15"/>
        </w:rPr>
        <w:t xml:space="preserve"> </w:t>
      </w:r>
      <w:r>
        <w:t>Estados</w:t>
      </w:r>
      <w:r>
        <w:rPr>
          <w:spacing w:val="15"/>
        </w:rPr>
        <w:t xml:space="preserve"> </w:t>
      </w:r>
      <w:r>
        <w:t>deben</w:t>
      </w:r>
      <w:r>
        <w:rPr>
          <w:spacing w:val="15"/>
        </w:rPr>
        <w:t xml:space="preserve"> </w:t>
      </w:r>
      <w:r>
        <w:t>–para</w:t>
      </w:r>
      <w:r>
        <w:rPr>
          <w:spacing w:val="15"/>
        </w:rPr>
        <w:t xml:space="preserve"> </w:t>
      </w:r>
      <w:r>
        <w:t>cumplir</w:t>
      </w:r>
      <w:r>
        <w:rPr>
          <w:spacing w:val="15"/>
        </w:rPr>
        <w:t xml:space="preserve"> </w:t>
      </w:r>
      <w:r>
        <w:t>con</w:t>
      </w:r>
      <w:r>
        <w:rPr>
          <w:spacing w:val="15"/>
        </w:rPr>
        <w:t xml:space="preserve"> </w:t>
      </w:r>
      <w:r>
        <w:t>su</w:t>
      </w:r>
      <w:r>
        <w:rPr>
          <w:spacing w:val="15"/>
        </w:rPr>
        <w:t xml:space="preserve"> </w:t>
      </w:r>
      <w:r>
        <w:t>obligación</w:t>
      </w:r>
      <w:r>
        <w:rPr>
          <w:spacing w:val="15"/>
        </w:rPr>
        <w:t xml:space="preserve"> </w:t>
      </w:r>
      <w:r>
        <w:t>de</w:t>
      </w:r>
      <w:r>
        <w:rPr>
          <w:spacing w:val="15"/>
        </w:rPr>
        <w:t xml:space="preserve"> </w:t>
      </w:r>
      <w:r>
        <w:t>eliminar</w:t>
      </w:r>
      <w:r>
        <w:rPr>
          <w:spacing w:val="15"/>
        </w:rPr>
        <w:t xml:space="preserve"> </w:t>
      </w:r>
      <w:r>
        <w:t>todas</w:t>
      </w:r>
      <w:r>
        <w:rPr>
          <w:spacing w:val="15"/>
        </w:rPr>
        <w:t xml:space="preserve"> </w:t>
      </w:r>
      <w:r>
        <w:t>las</w:t>
      </w:r>
      <w:r>
        <w:rPr>
          <w:spacing w:val="15"/>
        </w:rPr>
        <w:t xml:space="preserve"> </w:t>
      </w:r>
      <w:r>
        <w:t>formas</w:t>
      </w:r>
      <w:r>
        <w:rPr>
          <w:spacing w:val="15"/>
        </w:rPr>
        <w:t xml:space="preserve"> </w:t>
      </w:r>
      <w:r>
        <w:t>de</w:t>
      </w:r>
      <w:r>
        <w:rPr>
          <w:spacing w:val="15"/>
        </w:rPr>
        <w:t xml:space="preserve"> </w:t>
      </w:r>
      <w:r>
        <w:t>discriminación– adoptar medidas integrales leyes contra la discriminación.</w:t>
      </w:r>
      <w:r>
        <w:rPr>
          <w:spacing w:val="18"/>
        </w:rPr>
        <w:t xml:space="preserve"> </w:t>
      </w:r>
      <w:r>
        <w:t>En los capítulos siguientes de la presente guía se establece el</w:t>
      </w:r>
      <w:r>
        <w:rPr>
          <w:spacing w:val="80"/>
        </w:rPr>
        <w:t xml:space="preserve"> </w:t>
      </w:r>
      <w:r>
        <w:t>contenido necesario de dichas leyes para que cumplan con el derecho internacional y brinden una protección integral y efectiva.</w:t>
      </w:r>
    </w:p>
    <w:p w14:paraId="13905B26" w14:textId="77777777" w:rsidR="0014798C" w:rsidRDefault="0014798C">
      <w:pPr>
        <w:pStyle w:val="Textoindependiente"/>
        <w:rPr>
          <w:sz w:val="17"/>
        </w:rPr>
      </w:pPr>
    </w:p>
    <w:p w14:paraId="24057841" w14:textId="77777777" w:rsidR="0014798C" w:rsidRDefault="0014798C">
      <w:pPr>
        <w:pStyle w:val="Textoindependiente"/>
        <w:rPr>
          <w:sz w:val="17"/>
        </w:rPr>
      </w:pPr>
    </w:p>
    <w:p w14:paraId="00E318FA" w14:textId="77777777" w:rsidR="0014798C" w:rsidRDefault="0014798C">
      <w:pPr>
        <w:pStyle w:val="Textoindependiente"/>
        <w:rPr>
          <w:sz w:val="17"/>
        </w:rPr>
      </w:pPr>
    </w:p>
    <w:p w14:paraId="2341ED9D" w14:textId="77777777" w:rsidR="0014798C" w:rsidRDefault="0014798C">
      <w:pPr>
        <w:pStyle w:val="Textoindependiente"/>
        <w:rPr>
          <w:sz w:val="17"/>
        </w:rPr>
      </w:pPr>
    </w:p>
    <w:p w14:paraId="33455BC1" w14:textId="77777777" w:rsidR="0014798C" w:rsidRDefault="0014798C">
      <w:pPr>
        <w:pStyle w:val="Textoindependiente"/>
        <w:rPr>
          <w:sz w:val="17"/>
        </w:rPr>
      </w:pPr>
    </w:p>
    <w:p w14:paraId="06DDD78B" w14:textId="77777777" w:rsidR="0014798C" w:rsidRDefault="0014798C">
      <w:pPr>
        <w:pStyle w:val="Textoindependiente"/>
        <w:rPr>
          <w:sz w:val="17"/>
        </w:rPr>
      </w:pPr>
    </w:p>
    <w:p w14:paraId="07A291DB" w14:textId="77777777" w:rsidR="0014798C" w:rsidRDefault="0014798C">
      <w:pPr>
        <w:pStyle w:val="Textoindependiente"/>
        <w:rPr>
          <w:sz w:val="17"/>
        </w:rPr>
      </w:pPr>
    </w:p>
    <w:p w14:paraId="02C229AF" w14:textId="77777777" w:rsidR="0014798C" w:rsidRDefault="0014798C">
      <w:pPr>
        <w:pStyle w:val="Textoindependiente"/>
        <w:rPr>
          <w:sz w:val="17"/>
        </w:rPr>
      </w:pPr>
    </w:p>
    <w:p w14:paraId="6DC5D35C" w14:textId="77777777" w:rsidR="0014798C" w:rsidRDefault="0014798C">
      <w:pPr>
        <w:pStyle w:val="Textoindependiente"/>
        <w:rPr>
          <w:sz w:val="17"/>
        </w:rPr>
      </w:pPr>
    </w:p>
    <w:p w14:paraId="594A5C22" w14:textId="77777777" w:rsidR="0014798C" w:rsidRDefault="0014798C">
      <w:pPr>
        <w:pStyle w:val="Textoindependiente"/>
        <w:rPr>
          <w:sz w:val="17"/>
        </w:rPr>
      </w:pPr>
    </w:p>
    <w:p w14:paraId="14BD6649" w14:textId="77777777" w:rsidR="0014798C" w:rsidRDefault="0014798C">
      <w:pPr>
        <w:pStyle w:val="Textoindependiente"/>
        <w:rPr>
          <w:sz w:val="17"/>
        </w:rPr>
      </w:pPr>
    </w:p>
    <w:p w14:paraId="4109C181" w14:textId="77777777" w:rsidR="0014798C" w:rsidRDefault="0014798C">
      <w:pPr>
        <w:pStyle w:val="Textoindependiente"/>
        <w:rPr>
          <w:sz w:val="17"/>
        </w:rPr>
      </w:pPr>
    </w:p>
    <w:p w14:paraId="2E515A8A" w14:textId="77777777" w:rsidR="0014798C" w:rsidRDefault="0014798C">
      <w:pPr>
        <w:pStyle w:val="Textoindependiente"/>
        <w:rPr>
          <w:sz w:val="17"/>
        </w:rPr>
      </w:pPr>
    </w:p>
    <w:p w14:paraId="020B3076" w14:textId="77777777" w:rsidR="0014798C" w:rsidRDefault="0014798C">
      <w:pPr>
        <w:pStyle w:val="Textoindependiente"/>
        <w:rPr>
          <w:sz w:val="17"/>
        </w:rPr>
      </w:pPr>
    </w:p>
    <w:p w14:paraId="024EC78F" w14:textId="77777777" w:rsidR="0014798C" w:rsidRDefault="0014798C">
      <w:pPr>
        <w:pStyle w:val="Textoindependiente"/>
        <w:rPr>
          <w:sz w:val="17"/>
        </w:rPr>
      </w:pPr>
    </w:p>
    <w:p w14:paraId="234A5E45" w14:textId="77777777" w:rsidR="0014798C" w:rsidRDefault="0014798C">
      <w:pPr>
        <w:pStyle w:val="Textoindependiente"/>
        <w:rPr>
          <w:sz w:val="17"/>
        </w:rPr>
      </w:pPr>
    </w:p>
    <w:p w14:paraId="770F32B5" w14:textId="77777777" w:rsidR="0014798C" w:rsidRDefault="0014798C">
      <w:pPr>
        <w:pStyle w:val="Textoindependiente"/>
        <w:rPr>
          <w:sz w:val="17"/>
        </w:rPr>
      </w:pPr>
    </w:p>
    <w:p w14:paraId="1D19446A" w14:textId="77777777" w:rsidR="0014798C" w:rsidRDefault="0014798C">
      <w:pPr>
        <w:pStyle w:val="Textoindependiente"/>
        <w:rPr>
          <w:sz w:val="17"/>
        </w:rPr>
      </w:pPr>
    </w:p>
    <w:p w14:paraId="6D625751" w14:textId="77777777" w:rsidR="0014798C" w:rsidRDefault="0014798C">
      <w:pPr>
        <w:pStyle w:val="Textoindependiente"/>
        <w:rPr>
          <w:sz w:val="17"/>
        </w:rPr>
      </w:pPr>
    </w:p>
    <w:p w14:paraId="70BCC332" w14:textId="77777777" w:rsidR="0014798C" w:rsidRDefault="0014798C">
      <w:pPr>
        <w:pStyle w:val="Textoindependiente"/>
        <w:rPr>
          <w:sz w:val="17"/>
        </w:rPr>
      </w:pPr>
    </w:p>
    <w:p w14:paraId="14995046" w14:textId="77777777" w:rsidR="0014798C" w:rsidRDefault="0014798C">
      <w:pPr>
        <w:pStyle w:val="Textoindependiente"/>
        <w:rPr>
          <w:sz w:val="17"/>
        </w:rPr>
      </w:pPr>
    </w:p>
    <w:p w14:paraId="58A951B0" w14:textId="77777777" w:rsidR="0014798C" w:rsidRDefault="0014798C">
      <w:pPr>
        <w:pStyle w:val="Textoindependiente"/>
        <w:rPr>
          <w:sz w:val="17"/>
        </w:rPr>
      </w:pPr>
    </w:p>
    <w:p w14:paraId="72AFB8FB" w14:textId="77777777" w:rsidR="0014798C" w:rsidRDefault="0014798C">
      <w:pPr>
        <w:pStyle w:val="Textoindependiente"/>
        <w:rPr>
          <w:sz w:val="17"/>
        </w:rPr>
      </w:pPr>
    </w:p>
    <w:p w14:paraId="5A58728A" w14:textId="77777777" w:rsidR="0014798C" w:rsidRDefault="0014798C">
      <w:pPr>
        <w:pStyle w:val="Textoindependiente"/>
        <w:rPr>
          <w:sz w:val="17"/>
        </w:rPr>
      </w:pPr>
    </w:p>
    <w:p w14:paraId="0E2EEDA1" w14:textId="77777777" w:rsidR="0014798C" w:rsidRDefault="0014798C">
      <w:pPr>
        <w:pStyle w:val="Textoindependiente"/>
        <w:rPr>
          <w:sz w:val="17"/>
        </w:rPr>
      </w:pPr>
    </w:p>
    <w:p w14:paraId="395EF6A1" w14:textId="77777777" w:rsidR="0014798C" w:rsidRDefault="0014798C">
      <w:pPr>
        <w:pStyle w:val="Textoindependiente"/>
        <w:rPr>
          <w:sz w:val="17"/>
        </w:rPr>
      </w:pPr>
    </w:p>
    <w:p w14:paraId="0B2860B9" w14:textId="77777777" w:rsidR="0014798C" w:rsidRDefault="0014798C">
      <w:pPr>
        <w:pStyle w:val="Textoindependiente"/>
        <w:rPr>
          <w:sz w:val="17"/>
        </w:rPr>
      </w:pPr>
    </w:p>
    <w:p w14:paraId="271351B4" w14:textId="77777777" w:rsidR="0014798C" w:rsidRDefault="0014798C">
      <w:pPr>
        <w:pStyle w:val="Textoindependiente"/>
        <w:rPr>
          <w:sz w:val="17"/>
        </w:rPr>
      </w:pPr>
    </w:p>
    <w:p w14:paraId="2B323E95" w14:textId="77777777" w:rsidR="0014798C" w:rsidRDefault="0014798C">
      <w:pPr>
        <w:pStyle w:val="Textoindependiente"/>
        <w:rPr>
          <w:sz w:val="17"/>
        </w:rPr>
      </w:pPr>
    </w:p>
    <w:p w14:paraId="4197ABF3" w14:textId="77777777" w:rsidR="0014798C" w:rsidRDefault="0014798C">
      <w:pPr>
        <w:pStyle w:val="Textoindependiente"/>
        <w:rPr>
          <w:sz w:val="17"/>
        </w:rPr>
      </w:pPr>
    </w:p>
    <w:p w14:paraId="72AC709A" w14:textId="77777777" w:rsidR="0014798C" w:rsidRDefault="0014798C">
      <w:pPr>
        <w:pStyle w:val="Textoindependiente"/>
        <w:rPr>
          <w:sz w:val="17"/>
        </w:rPr>
      </w:pPr>
    </w:p>
    <w:p w14:paraId="5C68B04A" w14:textId="77777777" w:rsidR="0014798C" w:rsidRDefault="0014798C">
      <w:pPr>
        <w:pStyle w:val="Textoindependiente"/>
        <w:rPr>
          <w:sz w:val="17"/>
        </w:rPr>
      </w:pPr>
    </w:p>
    <w:p w14:paraId="373FF9E6" w14:textId="77777777" w:rsidR="0014798C" w:rsidRDefault="0014798C">
      <w:pPr>
        <w:pStyle w:val="Textoindependiente"/>
        <w:rPr>
          <w:sz w:val="17"/>
        </w:rPr>
      </w:pPr>
    </w:p>
    <w:p w14:paraId="2C62BF6D" w14:textId="77777777" w:rsidR="0014798C" w:rsidRDefault="0014798C">
      <w:pPr>
        <w:pStyle w:val="Textoindependiente"/>
        <w:rPr>
          <w:sz w:val="17"/>
        </w:rPr>
      </w:pPr>
    </w:p>
    <w:p w14:paraId="63568E64" w14:textId="77777777" w:rsidR="0014798C" w:rsidRDefault="0014798C">
      <w:pPr>
        <w:pStyle w:val="Textoindependiente"/>
        <w:rPr>
          <w:sz w:val="17"/>
        </w:rPr>
      </w:pPr>
    </w:p>
    <w:p w14:paraId="0AA16B59" w14:textId="77777777" w:rsidR="0014798C" w:rsidRDefault="0014798C">
      <w:pPr>
        <w:pStyle w:val="Textoindependiente"/>
        <w:rPr>
          <w:sz w:val="17"/>
        </w:rPr>
      </w:pPr>
    </w:p>
    <w:p w14:paraId="6D9FE0B7" w14:textId="77777777" w:rsidR="0014798C" w:rsidRDefault="0014798C">
      <w:pPr>
        <w:pStyle w:val="Textoindependiente"/>
        <w:rPr>
          <w:sz w:val="17"/>
        </w:rPr>
      </w:pPr>
    </w:p>
    <w:p w14:paraId="297CACD7" w14:textId="77777777" w:rsidR="0014798C" w:rsidRDefault="0014798C">
      <w:pPr>
        <w:pStyle w:val="Textoindependiente"/>
        <w:rPr>
          <w:sz w:val="17"/>
        </w:rPr>
      </w:pPr>
    </w:p>
    <w:p w14:paraId="2EFF7E5C" w14:textId="77777777" w:rsidR="0014798C" w:rsidRDefault="0014798C">
      <w:pPr>
        <w:pStyle w:val="Textoindependiente"/>
        <w:rPr>
          <w:sz w:val="17"/>
        </w:rPr>
      </w:pPr>
    </w:p>
    <w:p w14:paraId="1A9F697D" w14:textId="77777777" w:rsidR="0014798C" w:rsidRDefault="0014798C">
      <w:pPr>
        <w:pStyle w:val="Textoindependiente"/>
        <w:rPr>
          <w:sz w:val="17"/>
        </w:rPr>
      </w:pPr>
    </w:p>
    <w:p w14:paraId="709EA09F" w14:textId="77777777" w:rsidR="0014798C" w:rsidRDefault="0014798C">
      <w:pPr>
        <w:pStyle w:val="Textoindependiente"/>
        <w:rPr>
          <w:sz w:val="17"/>
        </w:rPr>
      </w:pPr>
    </w:p>
    <w:p w14:paraId="1084E728" w14:textId="77777777" w:rsidR="0014798C" w:rsidRDefault="0014798C">
      <w:pPr>
        <w:pStyle w:val="Textoindependiente"/>
        <w:rPr>
          <w:sz w:val="17"/>
        </w:rPr>
      </w:pPr>
    </w:p>
    <w:p w14:paraId="55A49284" w14:textId="77777777" w:rsidR="0014798C" w:rsidRDefault="0014798C">
      <w:pPr>
        <w:pStyle w:val="Textoindependiente"/>
        <w:rPr>
          <w:sz w:val="17"/>
        </w:rPr>
      </w:pPr>
    </w:p>
    <w:p w14:paraId="2595B982" w14:textId="77777777" w:rsidR="0014798C" w:rsidRDefault="0014798C">
      <w:pPr>
        <w:pStyle w:val="Textoindependiente"/>
        <w:rPr>
          <w:sz w:val="17"/>
        </w:rPr>
      </w:pPr>
    </w:p>
    <w:p w14:paraId="7BFA64BF" w14:textId="77777777" w:rsidR="0014798C" w:rsidRDefault="0014798C">
      <w:pPr>
        <w:pStyle w:val="Textoindependiente"/>
        <w:rPr>
          <w:sz w:val="17"/>
        </w:rPr>
      </w:pPr>
    </w:p>
    <w:p w14:paraId="4FF80040" w14:textId="77777777" w:rsidR="0014798C" w:rsidRDefault="0014798C">
      <w:pPr>
        <w:pStyle w:val="Textoindependiente"/>
        <w:rPr>
          <w:sz w:val="17"/>
        </w:rPr>
      </w:pPr>
    </w:p>
    <w:p w14:paraId="782E83AB" w14:textId="77777777" w:rsidR="0014798C" w:rsidRDefault="0014798C">
      <w:pPr>
        <w:pStyle w:val="Textoindependiente"/>
        <w:rPr>
          <w:sz w:val="17"/>
        </w:rPr>
      </w:pPr>
    </w:p>
    <w:p w14:paraId="2B7E30F5" w14:textId="77777777" w:rsidR="0014798C" w:rsidRDefault="0014798C">
      <w:pPr>
        <w:pStyle w:val="Textoindependiente"/>
        <w:rPr>
          <w:sz w:val="17"/>
        </w:rPr>
      </w:pPr>
    </w:p>
    <w:p w14:paraId="2328E7F8" w14:textId="77777777" w:rsidR="0014798C" w:rsidRDefault="0014798C">
      <w:pPr>
        <w:pStyle w:val="Textoindependiente"/>
        <w:rPr>
          <w:sz w:val="17"/>
        </w:rPr>
      </w:pPr>
    </w:p>
    <w:p w14:paraId="7357DB13" w14:textId="77777777" w:rsidR="0014798C" w:rsidRDefault="0014798C">
      <w:pPr>
        <w:pStyle w:val="Textoindependiente"/>
        <w:rPr>
          <w:sz w:val="17"/>
        </w:rPr>
      </w:pPr>
    </w:p>
    <w:p w14:paraId="0C7C5AC5" w14:textId="77777777" w:rsidR="0014798C" w:rsidRDefault="0014798C">
      <w:pPr>
        <w:pStyle w:val="Textoindependiente"/>
        <w:rPr>
          <w:sz w:val="17"/>
        </w:rPr>
      </w:pPr>
    </w:p>
    <w:p w14:paraId="19B2FC94" w14:textId="77777777" w:rsidR="0014798C" w:rsidRDefault="0014798C">
      <w:pPr>
        <w:pStyle w:val="Textoindependiente"/>
        <w:rPr>
          <w:sz w:val="17"/>
        </w:rPr>
      </w:pPr>
    </w:p>
    <w:p w14:paraId="02907869" w14:textId="77777777" w:rsidR="0014798C" w:rsidRDefault="0014798C">
      <w:pPr>
        <w:pStyle w:val="Textoindependiente"/>
        <w:rPr>
          <w:sz w:val="17"/>
        </w:rPr>
      </w:pPr>
    </w:p>
    <w:p w14:paraId="7B6801EC" w14:textId="77777777" w:rsidR="0014798C" w:rsidRDefault="0014798C">
      <w:pPr>
        <w:pStyle w:val="Textoindependiente"/>
        <w:rPr>
          <w:sz w:val="17"/>
        </w:rPr>
      </w:pPr>
    </w:p>
    <w:p w14:paraId="601EBA43" w14:textId="77777777" w:rsidR="0014798C" w:rsidRDefault="0014798C">
      <w:pPr>
        <w:pStyle w:val="Textoindependiente"/>
        <w:rPr>
          <w:sz w:val="17"/>
        </w:rPr>
      </w:pPr>
    </w:p>
    <w:p w14:paraId="15DC931B" w14:textId="77777777" w:rsidR="0014798C" w:rsidRDefault="0014798C">
      <w:pPr>
        <w:pStyle w:val="Textoindependiente"/>
        <w:spacing w:before="167"/>
        <w:rPr>
          <w:sz w:val="17"/>
        </w:rPr>
      </w:pPr>
    </w:p>
    <w:p w14:paraId="4A042276" w14:textId="77777777" w:rsidR="0014798C" w:rsidRPr="002B051F" w:rsidRDefault="004E1F0B">
      <w:pPr>
        <w:ind w:right="711"/>
        <w:jc w:val="right"/>
        <w:rPr>
          <w:sz w:val="17"/>
          <w:lang w:val="es-CR"/>
        </w:rPr>
      </w:pPr>
      <w:r w:rsidRPr="002B051F">
        <w:rPr>
          <w:spacing w:val="-5"/>
          <w:sz w:val="17"/>
          <w:lang w:val="es-CR"/>
        </w:rPr>
        <w:t>15</w:t>
      </w:r>
    </w:p>
    <w:p w14:paraId="1BAAF6CA" w14:textId="77777777" w:rsidR="0014798C" w:rsidRPr="002B051F" w:rsidRDefault="0014798C">
      <w:pPr>
        <w:jc w:val="right"/>
        <w:rPr>
          <w:sz w:val="17"/>
          <w:lang w:val="es-CR"/>
        </w:rPr>
        <w:sectPr w:rsidR="0014798C" w:rsidRPr="002B051F" w:rsidSect="00F265E4">
          <w:pgSz w:w="11900" w:h="16820"/>
          <w:pgMar w:top="340" w:right="0" w:bottom="280" w:left="200" w:header="121" w:footer="0" w:gutter="0"/>
          <w:cols w:space="720"/>
        </w:sectPr>
      </w:pPr>
    </w:p>
    <w:p w14:paraId="08CA68C5" w14:textId="31540648" w:rsidR="0014798C" w:rsidRPr="002B051F" w:rsidRDefault="006E64C5">
      <w:pPr>
        <w:spacing w:before="76"/>
        <w:ind w:left="113"/>
        <w:rPr>
          <w:sz w:val="21"/>
          <w:lang w:val="es-CR"/>
        </w:rPr>
      </w:pPr>
      <w:r>
        <w:rPr>
          <w:noProof/>
        </w:rPr>
        <w:lastRenderedPageBreak/>
        <mc:AlternateContent>
          <mc:Choice Requires="wps">
            <w:drawing>
              <wp:anchor distT="0" distB="0" distL="114300" distR="114300" simplePos="0" relativeHeight="251659591" behindDoc="0" locked="0" layoutInCell="1" allowOverlap="1" wp14:anchorId="52509B7C" wp14:editId="21AD3545">
                <wp:simplePos x="0" y="0"/>
                <wp:positionH relativeFrom="column">
                  <wp:posOffset>26909</wp:posOffset>
                </wp:positionH>
                <wp:positionV relativeFrom="paragraph">
                  <wp:posOffset>8484857</wp:posOffset>
                </wp:positionV>
                <wp:extent cx="7351395" cy="2088962"/>
                <wp:effectExtent l="0" t="0" r="20955" b="26035"/>
                <wp:wrapNone/>
                <wp:docPr id="133392118" name="Rectángulo 1"/>
                <wp:cNvGraphicFramePr/>
                <a:graphic xmlns:a="http://schemas.openxmlformats.org/drawingml/2006/main">
                  <a:graphicData uri="http://schemas.microsoft.com/office/word/2010/wordprocessingShape">
                    <wps:wsp>
                      <wps:cNvSpPr/>
                      <wps:spPr>
                        <a:xfrm>
                          <a:off x="0" y="0"/>
                          <a:ext cx="7351395" cy="2088962"/>
                        </a:xfrm>
                        <a:prstGeom prst="rect">
                          <a:avLst/>
                        </a:prstGeom>
                        <a:solidFill>
                          <a:srgbClr val="00B050"/>
                        </a:solidFill>
                        <a:ln>
                          <a:solidFill>
                            <a:srgbClr val="00B05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6D231E66" id="Rectángulo 1" o:spid="_x0000_s1026" style="position:absolute;margin-left:2.1pt;margin-top:668.1pt;width:578.85pt;height:164.5pt;z-index:251659591;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" fillcolor="#00b050" strokecolor="#00b050" strokeweight="2pt"/>
            </w:pict>
          </mc:Fallback>
        </mc:AlternateContent>
      </w:r>
      <w:r w:rsidR="00062094" w:rsidRPr="00062094">
        <w:rPr>
          <w:noProof/>
          <w:sz w:val="21"/>
          <w:lang w:val="en-US"/>
        </w:rPr>
        <mc:AlternateContent>
          <mc:Choice Requires="wps">
            <w:drawing>
              <wp:anchor distT="45720" distB="45720" distL="114300" distR="114300" simplePos="0" relativeHeight="251661639" behindDoc="0" locked="0" layoutInCell="1" allowOverlap="1" wp14:anchorId="7820B065" wp14:editId="1C1FF65D">
                <wp:simplePos x="0" y="0"/>
                <wp:positionH relativeFrom="column">
                  <wp:posOffset>171450</wp:posOffset>
                </wp:positionH>
                <wp:positionV relativeFrom="paragraph">
                  <wp:posOffset>8538845</wp:posOffset>
                </wp:positionV>
                <wp:extent cx="5803265" cy="1692910"/>
                <wp:effectExtent l="0" t="0" r="26035" b="21590"/>
                <wp:wrapSquare wrapText="bothSides"/>
                <wp:docPr id="941410894"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803265" cy="1692910"/>
                        </a:xfrm>
                        <a:prstGeom prst="rect">
                          <a:avLst/>
                        </a:prstGeom>
                        <a:solidFill>
                          <a:srgbClr val="00B050"/>
                        </a:solidFill>
                        <a:ln w="9525">
                          <a:solidFill>
                            <a:srgbClr val="00B050"/>
                          </a:solidFill>
                          <a:miter lim="800000"/>
                          <a:headEnd/>
                          <a:tailEnd/>
                        </a:ln>
                      </wps:spPr>
                      <wps:txbx>
                        <w:txbxContent>
                          <w:p w14:paraId="402D2D81" w14:textId="77777777" w:rsidR="00062094" w:rsidRPr="006E64C5" w:rsidRDefault="00062094">
                            <w:pPr>
                              <w:rPr>
                                <w:rFonts w:ascii="Tahoma" w:hAnsi="Tahoma" w:cs="Tahoma"/>
                                <w:b/>
                                <w:bCs/>
                                <w:color w:val="FFFFFF" w:themeColor="background1"/>
                                <w:spacing w:val="3"/>
                                <w:sz w:val="48"/>
                                <w:szCs w:val="48"/>
                              </w:rPr>
                            </w:pPr>
                            <w:bookmarkStart w:id="12" w:name="segunda"/>
                            <w:r w:rsidRPr="006E64C5">
                              <w:rPr>
                                <w:rFonts w:ascii="Tahoma" w:hAnsi="Tahoma" w:cs="Tahoma"/>
                                <w:b/>
                                <w:bCs/>
                                <w:color w:val="FFFFFF" w:themeColor="background1"/>
                                <w:sz w:val="48"/>
                                <w:szCs w:val="48"/>
                              </w:rPr>
                              <w:t>SEGUNDA</w:t>
                            </w:r>
                            <w:r w:rsidRPr="006E64C5">
                              <w:rPr>
                                <w:rFonts w:ascii="Tahoma" w:hAnsi="Tahoma" w:cs="Tahoma"/>
                                <w:b/>
                                <w:bCs/>
                                <w:color w:val="FFFFFF" w:themeColor="background1"/>
                                <w:spacing w:val="3"/>
                                <w:sz w:val="48"/>
                                <w:szCs w:val="48"/>
                              </w:rPr>
                              <w:t xml:space="preserve"> </w:t>
                            </w:r>
                            <w:r w:rsidRPr="006E64C5">
                              <w:rPr>
                                <w:rFonts w:ascii="Tahoma" w:hAnsi="Tahoma" w:cs="Tahoma"/>
                                <w:b/>
                                <w:bCs/>
                                <w:color w:val="FFFFFF" w:themeColor="background1"/>
                                <w:sz w:val="48"/>
                                <w:szCs w:val="48"/>
                              </w:rPr>
                              <w:t>PARTE:</w:t>
                            </w:r>
                            <w:r w:rsidRPr="006E64C5">
                              <w:rPr>
                                <w:rFonts w:ascii="Tahoma" w:hAnsi="Tahoma" w:cs="Tahoma"/>
                                <w:b/>
                                <w:bCs/>
                                <w:color w:val="FFFFFF" w:themeColor="background1"/>
                                <w:spacing w:val="3"/>
                                <w:sz w:val="48"/>
                                <w:szCs w:val="48"/>
                              </w:rPr>
                              <w:t xml:space="preserve"> </w:t>
                            </w:r>
                          </w:p>
                          <w:p w14:paraId="7C1247D3" w14:textId="1769AE09" w:rsidR="00062094" w:rsidRPr="00866DFF" w:rsidRDefault="00062094">
                            <w:pPr>
                              <w:rPr>
                                <w:rFonts w:ascii="Tahoma" w:hAnsi="Tahoma" w:cs="Tahoma"/>
                                <w:b/>
                                <w:bCs/>
                                <w:color w:val="FFFFFF" w:themeColor="background1"/>
                                <w:sz w:val="36"/>
                                <w:szCs w:val="36"/>
                              </w:rPr>
                            </w:pPr>
                            <w:r w:rsidRPr="00866DFF">
                              <w:rPr>
                                <w:rFonts w:ascii="Tahoma" w:hAnsi="Tahoma" w:cs="Tahoma"/>
                                <w:b/>
                                <w:bCs/>
                                <w:color w:val="FFFFFF" w:themeColor="background1"/>
                                <w:sz w:val="48"/>
                                <w:szCs w:val="48"/>
                              </w:rPr>
                              <w:t>CONTENIDO</w:t>
                            </w:r>
                            <w:r w:rsidRPr="00866DFF">
                              <w:rPr>
                                <w:rFonts w:ascii="Tahoma" w:hAnsi="Tahoma" w:cs="Tahoma"/>
                                <w:b/>
                                <w:bCs/>
                                <w:color w:val="FFFFFF" w:themeColor="background1"/>
                                <w:spacing w:val="3"/>
                                <w:sz w:val="48"/>
                                <w:szCs w:val="48"/>
                              </w:rPr>
                              <w:t xml:space="preserve"> </w:t>
                            </w:r>
                            <w:r w:rsidRPr="00866DFF">
                              <w:rPr>
                                <w:rFonts w:ascii="Tahoma" w:hAnsi="Tahoma" w:cs="Tahoma"/>
                                <w:b/>
                                <w:bCs/>
                                <w:color w:val="FFFFFF" w:themeColor="background1"/>
                                <w:sz w:val="48"/>
                                <w:szCs w:val="48"/>
                              </w:rPr>
                              <w:t>DE</w:t>
                            </w:r>
                            <w:r w:rsidRPr="00866DFF">
                              <w:rPr>
                                <w:rFonts w:ascii="Tahoma" w:hAnsi="Tahoma" w:cs="Tahoma"/>
                                <w:b/>
                                <w:bCs/>
                                <w:color w:val="FFFFFF" w:themeColor="background1"/>
                                <w:spacing w:val="3"/>
                                <w:sz w:val="48"/>
                                <w:szCs w:val="48"/>
                              </w:rPr>
                              <w:t xml:space="preserve"> </w:t>
                            </w:r>
                            <w:r w:rsidRPr="00866DFF">
                              <w:rPr>
                                <w:rFonts w:ascii="Tahoma" w:hAnsi="Tahoma" w:cs="Tahoma"/>
                                <w:b/>
                                <w:bCs/>
                                <w:color w:val="FFFFFF" w:themeColor="background1"/>
                                <w:sz w:val="48"/>
                                <w:szCs w:val="48"/>
                              </w:rPr>
                              <w:t>LA</w:t>
                            </w:r>
                            <w:r w:rsidRPr="00866DFF">
                              <w:rPr>
                                <w:rFonts w:ascii="Tahoma" w:hAnsi="Tahoma" w:cs="Tahoma"/>
                                <w:b/>
                                <w:bCs/>
                                <w:color w:val="FFFFFF" w:themeColor="background1"/>
                                <w:spacing w:val="3"/>
                                <w:sz w:val="48"/>
                                <w:szCs w:val="48"/>
                              </w:rPr>
                              <w:t xml:space="preserve"> </w:t>
                            </w:r>
                            <w:r w:rsidRPr="00866DFF">
                              <w:rPr>
                                <w:rFonts w:ascii="Tahoma" w:hAnsi="Tahoma" w:cs="Tahoma"/>
                                <w:b/>
                                <w:bCs/>
                                <w:color w:val="FFFFFF" w:themeColor="background1"/>
                                <w:sz w:val="48"/>
                                <w:szCs w:val="48"/>
                              </w:rPr>
                              <w:t>LEY</w:t>
                            </w:r>
                            <w:r w:rsidRPr="00866DFF">
                              <w:rPr>
                                <w:rFonts w:ascii="Tahoma" w:hAnsi="Tahoma" w:cs="Tahoma"/>
                                <w:b/>
                                <w:bCs/>
                                <w:color w:val="FFFFFF" w:themeColor="background1"/>
                                <w:spacing w:val="2"/>
                                <w:sz w:val="48"/>
                                <w:szCs w:val="48"/>
                              </w:rPr>
                              <w:t xml:space="preserve"> </w:t>
                            </w:r>
                            <w:r w:rsidRPr="00866DFF">
                              <w:rPr>
                                <w:rFonts w:ascii="Tahoma" w:hAnsi="Tahoma" w:cs="Tahoma"/>
                                <w:b/>
                                <w:bCs/>
                                <w:color w:val="FFFFFF" w:themeColor="background1"/>
                                <w:sz w:val="48"/>
                                <w:szCs w:val="48"/>
                              </w:rPr>
                              <w:t>INTEGRAL</w:t>
                            </w:r>
                            <w:r w:rsidR="001B7A13" w:rsidRPr="00866DFF">
                              <w:rPr>
                                <w:rFonts w:ascii="Tahoma" w:hAnsi="Tahoma" w:cs="Tahoma"/>
                                <w:b/>
                                <w:bCs/>
                                <w:color w:val="FFFFFF" w:themeColor="background1"/>
                                <w:spacing w:val="2"/>
                                <w:sz w:val="48"/>
                                <w:szCs w:val="48"/>
                              </w:rPr>
                              <w:t xml:space="preserve"> </w:t>
                            </w:r>
                            <w:r w:rsidRPr="00866DFF">
                              <w:rPr>
                                <w:rFonts w:ascii="Tahoma" w:hAnsi="Tahoma" w:cs="Tahoma"/>
                                <w:b/>
                                <w:bCs/>
                                <w:color w:val="FFFFFF" w:themeColor="background1"/>
                                <w:spacing w:val="-2"/>
                                <w:sz w:val="48"/>
                                <w:szCs w:val="48"/>
                              </w:rPr>
                              <w:t>ANTIDISCRIMINACIÓN</w:t>
                            </w:r>
                            <w:bookmarkEnd w:id="12"/>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7820B065" id="Cuadro de texto 2" o:spid="_x0000_s1056" type="#_x0000_t202" style="position:absolute;left:0;text-align:left;margin-left:13.5pt;margin-top:672.35pt;width:456.95pt;height:133.3pt;z-index:251661639;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" fillcolor="#00b050" strokecolor="#00b050">
                <v:textbox>
                  <w:txbxContent>
                    <w:p w14:paraId="402D2D81" w14:textId="77777777" w:rsidR="00062094" w:rsidRPr="006E64C5" w:rsidRDefault="00062094">
                      <w:pPr>
                        <w:rPr>
                          <w:rFonts w:ascii="Tahoma" w:hAnsi="Tahoma" w:cs="Tahoma"/>
                          <w:b/>
                          <w:bCs/>
                          <w:color w:val="FFFFFF" w:themeColor="background1"/>
                          <w:spacing w:val="3"/>
                          <w:sz w:val="48"/>
                          <w:szCs w:val="48"/>
                        </w:rPr>
                      </w:pPr>
                      <w:bookmarkStart w:id="14" w:name="segunda"/>
                      <w:r w:rsidRPr="006E64C5">
                        <w:rPr>
                          <w:rFonts w:ascii="Tahoma" w:hAnsi="Tahoma" w:cs="Tahoma"/>
                          <w:b/>
                          <w:bCs/>
                          <w:color w:val="FFFFFF" w:themeColor="background1"/>
                          <w:sz w:val="48"/>
                          <w:szCs w:val="48"/>
                        </w:rPr>
                        <w:t>SEGUNDA</w:t>
                      </w:r>
                      <w:r w:rsidRPr="006E64C5">
                        <w:rPr>
                          <w:rFonts w:ascii="Tahoma" w:hAnsi="Tahoma" w:cs="Tahoma"/>
                          <w:b/>
                          <w:bCs/>
                          <w:color w:val="FFFFFF" w:themeColor="background1"/>
                          <w:spacing w:val="3"/>
                          <w:sz w:val="48"/>
                          <w:szCs w:val="48"/>
                        </w:rPr>
                        <w:t xml:space="preserve"> </w:t>
                      </w:r>
                      <w:r w:rsidRPr="006E64C5">
                        <w:rPr>
                          <w:rFonts w:ascii="Tahoma" w:hAnsi="Tahoma" w:cs="Tahoma"/>
                          <w:b/>
                          <w:bCs/>
                          <w:color w:val="FFFFFF" w:themeColor="background1"/>
                          <w:sz w:val="48"/>
                          <w:szCs w:val="48"/>
                        </w:rPr>
                        <w:t>PARTE:</w:t>
                      </w:r>
                      <w:r w:rsidRPr="006E64C5">
                        <w:rPr>
                          <w:rFonts w:ascii="Tahoma" w:hAnsi="Tahoma" w:cs="Tahoma"/>
                          <w:b/>
                          <w:bCs/>
                          <w:color w:val="FFFFFF" w:themeColor="background1"/>
                          <w:spacing w:val="3"/>
                          <w:sz w:val="48"/>
                          <w:szCs w:val="48"/>
                        </w:rPr>
                        <w:t xml:space="preserve"> </w:t>
                      </w:r>
                    </w:p>
                    <w:p w14:paraId="7C1247D3" w14:textId="1769AE09" w:rsidR="00062094" w:rsidRPr="00866DFF" w:rsidRDefault="00062094">
                      <w:pPr>
                        <w:rPr>
                          <w:rFonts w:ascii="Tahoma" w:hAnsi="Tahoma" w:cs="Tahoma"/>
                          <w:b/>
                          <w:bCs/>
                          <w:color w:val="FFFFFF" w:themeColor="background1"/>
                          <w:sz w:val="36"/>
                          <w:szCs w:val="36"/>
                        </w:rPr>
                      </w:pPr>
                      <w:r w:rsidRPr="00866DFF">
                        <w:rPr>
                          <w:rFonts w:ascii="Tahoma" w:hAnsi="Tahoma" w:cs="Tahoma"/>
                          <w:b/>
                          <w:bCs/>
                          <w:color w:val="FFFFFF" w:themeColor="background1"/>
                          <w:sz w:val="48"/>
                          <w:szCs w:val="48"/>
                        </w:rPr>
                        <w:t>CONTENIDO</w:t>
                      </w:r>
                      <w:r w:rsidRPr="00866DFF">
                        <w:rPr>
                          <w:rFonts w:ascii="Tahoma" w:hAnsi="Tahoma" w:cs="Tahoma"/>
                          <w:b/>
                          <w:bCs/>
                          <w:color w:val="FFFFFF" w:themeColor="background1"/>
                          <w:spacing w:val="3"/>
                          <w:sz w:val="48"/>
                          <w:szCs w:val="48"/>
                        </w:rPr>
                        <w:t xml:space="preserve"> </w:t>
                      </w:r>
                      <w:r w:rsidRPr="00866DFF">
                        <w:rPr>
                          <w:rFonts w:ascii="Tahoma" w:hAnsi="Tahoma" w:cs="Tahoma"/>
                          <w:b/>
                          <w:bCs/>
                          <w:color w:val="FFFFFF" w:themeColor="background1"/>
                          <w:sz w:val="48"/>
                          <w:szCs w:val="48"/>
                        </w:rPr>
                        <w:t>DE</w:t>
                      </w:r>
                      <w:r w:rsidRPr="00866DFF">
                        <w:rPr>
                          <w:rFonts w:ascii="Tahoma" w:hAnsi="Tahoma" w:cs="Tahoma"/>
                          <w:b/>
                          <w:bCs/>
                          <w:color w:val="FFFFFF" w:themeColor="background1"/>
                          <w:spacing w:val="3"/>
                          <w:sz w:val="48"/>
                          <w:szCs w:val="48"/>
                        </w:rPr>
                        <w:t xml:space="preserve"> </w:t>
                      </w:r>
                      <w:r w:rsidRPr="00866DFF">
                        <w:rPr>
                          <w:rFonts w:ascii="Tahoma" w:hAnsi="Tahoma" w:cs="Tahoma"/>
                          <w:b/>
                          <w:bCs/>
                          <w:color w:val="FFFFFF" w:themeColor="background1"/>
                          <w:sz w:val="48"/>
                          <w:szCs w:val="48"/>
                        </w:rPr>
                        <w:t>LA</w:t>
                      </w:r>
                      <w:r w:rsidRPr="00866DFF">
                        <w:rPr>
                          <w:rFonts w:ascii="Tahoma" w:hAnsi="Tahoma" w:cs="Tahoma"/>
                          <w:b/>
                          <w:bCs/>
                          <w:color w:val="FFFFFF" w:themeColor="background1"/>
                          <w:spacing w:val="3"/>
                          <w:sz w:val="48"/>
                          <w:szCs w:val="48"/>
                        </w:rPr>
                        <w:t xml:space="preserve"> </w:t>
                      </w:r>
                      <w:r w:rsidRPr="00866DFF">
                        <w:rPr>
                          <w:rFonts w:ascii="Tahoma" w:hAnsi="Tahoma" w:cs="Tahoma"/>
                          <w:b/>
                          <w:bCs/>
                          <w:color w:val="FFFFFF" w:themeColor="background1"/>
                          <w:sz w:val="48"/>
                          <w:szCs w:val="48"/>
                        </w:rPr>
                        <w:t>LEY</w:t>
                      </w:r>
                      <w:r w:rsidRPr="00866DFF">
                        <w:rPr>
                          <w:rFonts w:ascii="Tahoma" w:hAnsi="Tahoma" w:cs="Tahoma"/>
                          <w:b/>
                          <w:bCs/>
                          <w:color w:val="FFFFFF" w:themeColor="background1"/>
                          <w:spacing w:val="2"/>
                          <w:sz w:val="48"/>
                          <w:szCs w:val="48"/>
                        </w:rPr>
                        <w:t xml:space="preserve"> </w:t>
                      </w:r>
                      <w:r w:rsidRPr="00866DFF">
                        <w:rPr>
                          <w:rFonts w:ascii="Tahoma" w:hAnsi="Tahoma" w:cs="Tahoma"/>
                          <w:b/>
                          <w:bCs/>
                          <w:color w:val="FFFFFF" w:themeColor="background1"/>
                          <w:sz w:val="48"/>
                          <w:szCs w:val="48"/>
                        </w:rPr>
                        <w:t>INTEGRAL</w:t>
                      </w:r>
                      <w:r w:rsidR="001B7A13" w:rsidRPr="00866DFF">
                        <w:rPr>
                          <w:rFonts w:ascii="Tahoma" w:hAnsi="Tahoma" w:cs="Tahoma"/>
                          <w:b/>
                          <w:bCs/>
                          <w:color w:val="FFFFFF" w:themeColor="background1"/>
                          <w:spacing w:val="2"/>
                          <w:sz w:val="48"/>
                          <w:szCs w:val="48"/>
                        </w:rPr>
                        <w:t xml:space="preserve"> </w:t>
                      </w:r>
                      <w:r w:rsidRPr="00866DFF">
                        <w:rPr>
                          <w:rFonts w:ascii="Tahoma" w:hAnsi="Tahoma" w:cs="Tahoma"/>
                          <w:b/>
                          <w:bCs/>
                          <w:color w:val="FFFFFF" w:themeColor="background1"/>
                          <w:spacing w:val="-2"/>
                          <w:sz w:val="48"/>
                          <w:szCs w:val="48"/>
                        </w:rPr>
                        <w:t>ANTIDISCRIMINACIÓN</w:t>
                      </w:r>
                      <w:bookmarkEnd w:id="14"/>
                    </w:p>
                  </w:txbxContent>
                </v:textbox>
                <w10:wrap type="square"/>
              </v:shape>
            </w:pict>
          </mc:Fallback>
        </mc:AlternateContent>
      </w:r>
      <w:r w:rsidR="004E1F0B">
        <w:rPr>
          <w:noProof/>
        </w:rPr>
        <w:drawing>
          <wp:anchor distT="0" distB="0" distL="0" distR="0" simplePos="0" relativeHeight="251658370" behindDoc="1" locked="0" layoutInCell="1" allowOverlap="1" wp14:anchorId="21E9CF32" wp14:editId="51DF9556">
            <wp:simplePos x="0" y="0"/>
            <wp:positionH relativeFrom="page">
              <wp:posOffset>133004</wp:posOffset>
            </wp:positionH>
            <wp:positionV relativeFrom="page">
              <wp:posOffset>-83128</wp:posOffset>
            </wp:positionV>
            <wp:extent cx="7556500" cy="10680700"/>
            <wp:effectExtent l="0" t="0" r="6350" b="6350"/>
            <wp:wrapNone/>
            <wp:docPr id="82" name="Image 8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82" name="Image 82"/>
                    <pic:cNvPicPr/>
                  </pic:nvPicPr>
                  <pic:blipFill>
                    <a:blip r:embed="rId89" cstate="print"/>
                    <a:stretch>
                      <a:fillRect/>
                    </a:stretch>
                  </pic:blipFill>
                  <pic:spPr>
                    <a:xfrm>
                      <a:off x="0" y="0"/>
                      <a:ext cx="7556500" cy="10680700"/>
                    </a:xfrm>
                    <a:prstGeom prst="rect">
                      <a:avLst/>
                    </a:prstGeom>
                  </pic:spPr>
                </pic:pic>
              </a:graphicData>
            </a:graphic>
            <wp14:sizeRelV relativeFrom="margin">
              <wp14:pctHeight>0</wp14:pctHeight>
            </wp14:sizeRelV>
          </wp:anchor>
        </w:drawing>
      </w:r>
      <w:r w:rsidR="004E1F0B" w:rsidRPr="002B051F">
        <w:rPr>
          <w:sz w:val="21"/>
          <w:lang w:val="es-CR"/>
        </w:rPr>
        <w:t>Machine</w:t>
      </w:r>
      <w:r w:rsidR="004E1F0B" w:rsidRPr="002B051F">
        <w:rPr>
          <w:spacing w:val="6"/>
          <w:sz w:val="21"/>
          <w:lang w:val="es-CR"/>
        </w:rPr>
        <w:t xml:space="preserve"> </w:t>
      </w:r>
      <w:proofErr w:type="spellStart"/>
      <w:r w:rsidR="004E1F0B" w:rsidRPr="002B051F">
        <w:rPr>
          <w:sz w:val="21"/>
          <w:lang w:val="es-CR"/>
        </w:rPr>
        <w:t>Translated</w:t>
      </w:r>
      <w:proofErr w:type="spellEnd"/>
      <w:r w:rsidR="004E1F0B" w:rsidRPr="002B051F">
        <w:rPr>
          <w:spacing w:val="7"/>
          <w:sz w:val="21"/>
          <w:lang w:val="es-CR"/>
        </w:rPr>
        <w:t xml:space="preserve"> </w:t>
      </w:r>
      <w:proofErr w:type="spellStart"/>
      <w:r w:rsidR="004E1F0B" w:rsidRPr="002B051F">
        <w:rPr>
          <w:sz w:val="21"/>
          <w:lang w:val="es-CR"/>
        </w:rPr>
        <w:t>by</w:t>
      </w:r>
      <w:proofErr w:type="spellEnd"/>
      <w:r w:rsidR="004E1F0B" w:rsidRPr="002B051F">
        <w:rPr>
          <w:spacing w:val="7"/>
          <w:sz w:val="21"/>
          <w:lang w:val="es-CR"/>
        </w:rPr>
        <w:t xml:space="preserve"> </w:t>
      </w:r>
      <w:r w:rsidR="004E1F0B" w:rsidRPr="002B051F">
        <w:rPr>
          <w:spacing w:val="-2"/>
          <w:sz w:val="21"/>
          <w:lang w:val="es-CR"/>
        </w:rPr>
        <w:t>Google</w:t>
      </w:r>
    </w:p>
    <w:p w14:paraId="582208AF" w14:textId="77777777" w:rsidR="0014798C" w:rsidRPr="002B051F" w:rsidRDefault="0014798C">
      <w:pPr>
        <w:rPr>
          <w:sz w:val="21"/>
          <w:lang w:val="es-CR"/>
        </w:rPr>
        <w:sectPr w:rsidR="0014798C" w:rsidRPr="002B051F" w:rsidSect="00F265E4">
          <w:headerReference w:type="default" r:id="rId90"/>
          <w:pgSz w:w="11900" w:h="16820"/>
          <w:pgMar w:top="40" w:right="0" w:bottom="280" w:left="200" w:header="0" w:footer="0" w:gutter="0"/>
          <w:cols w:space="720"/>
        </w:sectPr>
      </w:pPr>
    </w:p>
    <w:p w14:paraId="2CB4077A" w14:textId="73F960A4" w:rsidR="0014798C" w:rsidRPr="002B051F" w:rsidRDefault="004E1F0B">
      <w:pPr>
        <w:spacing w:before="76"/>
        <w:ind w:left="113"/>
        <w:rPr>
          <w:sz w:val="21"/>
          <w:lang w:val="es-CR"/>
        </w:rPr>
      </w:pPr>
      <w:r>
        <w:rPr>
          <w:noProof/>
        </w:rPr>
        <w:lastRenderedPageBreak/>
        <w:drawing>
          <wp:anchor distT="0" distB="0" distL="0" distR="0" simplePos="0" relativeHeight="251658371" behindDoc="1" locked="0" layoutInCell="1" allowOverlap="1" wp14:anchorId="250FE0BD" wp14:editId="6D2D67DB">
            <wp:simplePos x="0" y="0"/>
            <wp:positionH relativeFrom="page">
              <wp:posOffset>0</wp:posOffset>
            </wp:positionH>
            <wp:positionV relativeFrom="page">
              <wp:posOffset>0</wp:posOffset>
            </wp:positionV>
            <wp:extent cx="7556500" cy="10680700"/>
            <wp:effectExtent l="0" t="0" r="0" b="0"/>
            <wp:wrapNone/>
            <wp:docPr id="83" name="Image 8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83" name="Image 83"/>
                    <pic:cNvPicPr/>
                  </pic:nvPicPr>
                  <pic:blipFill>
                    <a:blip r:embed="rId91" cstate="print"/>
                    <a:stretch>
                      <a:fillRect/>
                    </a:stretch>
                  </pic:blipFill>
                  <pic:spPr>
                    <a:xfrm>
                      <a:off x="0" y="0"/>
                      <a:ext cx="7556500" cy="10680700"/>
                    </a:xfrm>
                    <a:prstGeom prst="rect">
                      <a:avLst/>
                    </a:prstGeom>
                  </pic:spPr>
                </pic:pic>
              </a:graphicData>
            </a:graphic>
          </wp:anchor>
        </w:drawing>
      </w:r>
    </w:p>
    <w:p w14:paraId="118FAE5D" w14:textId="77777777" w:rsidR="0014798C" w:rsidRPr="002B051F" w:rsidRDefault="0014798C">
      <w:pPr>
        <w:pStyle w:val="Textoindependiente"/>
        <w:spacing w:before="68"/>
        <w:rPr>
          <w:sz w:val="13"/>
          <w:lang w:val="es-CR"/>
        </w:rPr>
      </w:pPr>
    </w:p>
    <w:p w14:paraId="5020CD7F" w14:textId="77777777" w:rsidR="0014798C" w:rsidRDefault="004E1F0B">
      <w:pPr>
        <w:spacing w:before="1"/>
        <w:ind w:left="1111"/>
        <w:rPr>
          <w:sz w:val="13"/>
        </w:rPr>
      </w:pPr>
      <w:r>
        <w:rPr>
          <w:color w:val="00AC59"/>
          <w:sz w:val="13"/>
        </w:rPr>
        <w:t>SEGUNDA</w:t>
      </w:r>
      <w:r>
        <w:rPr>
          <w:color w:val="00AC59"/>
          <w:spacing w:val="4"/>
          <w:sz w:val="13"/>
        </w:rPr>
        <w:t xml:space="preserve"> </w:t>
      </w:r>
      <w:r>
        <w:rPr>
          <w:color w:val="00AC59"/>
          <w:sz w:val="13"/>
        </w:rPr>
        <w:t>PARTE:</w:t>
      </w:r>
      <w:r>
        <w:rPr>
          <w:color w:val="00AC59"/>
          <w:spacing w:val="5"/>
          <w:sz w:val="13"/>
        </w:rPr>
        <w:t xml:space="preserve"> </w:t>
      </w:r>
      <w:r>
        <w:rPr>
          <w:color w:val="00AC59"/>
          <w:sz w:val="13"/>
        </w:rPr>
        <w:t>CONTENIDO</w:t>
      </w:r>
      <w:r>
        <w:rPr>
          <w:color w:val="00AC59"/>
          <w:spacing w:val="4"/>
          <w:sz w:val="13"/>
        </w:rPr>
        <w:t xml:space="preserve"> </w:t>
      </w:r>
      <w:r>
        <w:rPr>
          <w:color w:val="00AC59"/>
          <w:sz w:val="13"/>
        </w:rPr>
        <w:t>DE</w:t>
      </w:r>
      <w:r>
        <w:rPr>
          <w:color w:val="00AC59"/>
          <w:spacing w:val="5"/>
          <w:sz w:val="13"/>
        </w:rPr>
        <w:t xml:space="preserve"> </w:t>
      </w:r>
      <w:r>
        <w:rPr>
          <w:color w:val="00AC59"/>
          <w:sz w:val="13"/>
        </w:rPr>
        <w:t>LA</w:t>
      </w:r>
      <w:r>
        <w:rPr>
          <w:color w:val="00AC59"/>
          <w:spacing w:val="5"/>
          <w:sz w:val="13"/>
        </w:rPr>
        <w:t xml:space="preserve"> </w:t>
      </w:r>
      <w:r>
        <w:rPr>
          <w:color w:val="00AC59"/>
          <w:sz w:val="13"/>
        </w:rPr>
        <w:t>LEY</w:t>
      </w:r>
      <w:r>
        <w:rPr>
          <w:color w:val="00AC59"/>
          <w:spacing w:val="4"/>
          <w:sz w:val="13"/>
        </w:rPr>
        <w:t xml:space="preserve"> </w:t>
      </w:r>
      <w:r>
        <w:rPr>
          <w:color w:val="00AC59"/>
          <w:sz w:val="13"/>
        </w:rPr>
        <w:t>INTEGRAL</w:t>
      </w:r>
      <w:r>
        <w:rPr>
          <w:color w:val="00AC59"/>
          <w:spacing w:val="5"/>
          <w:sz w:val="13"/>
        </w:rPr>
        <w:t xml:space="preserve"> </w:t>
      </w:r>
      <w:r>
        <w:rPr>
          <w:color w:val="00AC59"/>
          <w:spacing w:val="-2"/>
          <w:sz w:val="13"/>
        </w:rPr>
        <w:t>ANTIDISCRIMINACIÓN</w:t>
      </w:r>
    </w:p>
    <w:p w14:paraId="15786552" w14:textId="77777777" w:rsidR="0014798C" w:rsidRDefault="0014798C">
      <w:pPr>
        <w:pStyle w:val="Textoindependiente"/>
        <w:rPr>
          <w:sz w:val="28"/>
        </w:rPr>
      </w:pPr>
    </w:p>
    <w:p w14:paraId="40F9A213" w14:textId="77777777" w:rsidR="0014798C" w:rsidRDefault="0014798C">
      <w:pPr>
        <w:pStyle w:val="Textoindependiente"/>
        <w:spacing w:before="18"/>
        <w:rPr>
          <w:sz w:val="28"/>
        </w:rPr>
      </w:pPr>
    </w:p>
    <w:p w14:paraId="43CB8E77" w14:textId="77777777" w:rsidR="0014798C" w:rsidRDefault="004E1F0B">
      <w:pPr>
        <w:pStyle w:val="Ttulo9"/>
        <w:numPr>
          <w:ilvl w:val="0"/>
          <w:numId w:val="3"/>
        </w:numPr>
        <w:tabs>
          <w:tab w:val="left" w:pos="1355"/>
        </w:tabs>
        <w:ind w:left="1355" w:hanging="232"/>
        <w:rPr>
          <w:color w:val="00AC59"/>
        </w:rPr>
      </w:pPr>
      <w:bookmarkStart w:id="13" w:name="derechos"/>
      <w:r>
        <w:rPr>
          <w:color w:val="00AC59"/>
        </w:rPr>
        <w:t>DERECHOS</w:t>
      </w:r>
      <w:r>
        <w:rPr>
          <w:color w:val="00AC59"/>
          <w:spacing w:val="-3"/>
        </w:rPr>
        <w:t xml:space="preserve"> </w:t>
      </w:r>
      <w:r>
        <w:rPr>
          <w:color w:val="00AC59"/>
        </w:rPr>
        <w:t>A</w:t>
      </w:r>
      <w:r>
        <w:rPr>
          <w:color w:val="00AC59"/>
          <w:spacing w:val="-3"/>
        </w:rPr>
        <w:t xml:space="preserve"> </w:t>
      </w:r>
      <w:r>
        <w:rPr>
          <w:color w:val="00AC59"/>
        </w:rPr>
        <w:t>LA</w:t>
      </w:r>
      <w:r>
        <w:rPr>
          <w:color w:val="00AC59"/>
          <w:spacing w:val="-2"/>
        </w:rPr>
        <w:t xml:space="preserve"> </w:t>
      </w:r>
      <w:r>
        <w:rPr>
          <w:color w:val="00AC59"/>
        </w:rPr>
        <w:t>IGUALDAD</w:t>
      </w:r>
      <w:r>
        <w:rPr>
          <w:color w:val="00AC59"/>
          <w:spacing w:val="-3"/>
        </w:rPr>
        <w:t xml:space="preserve"> </w:t>
      </w:r>
      <w:r>
        <w:rPr>
          <w:color w:val="00AC59"/>
        </w:rPr>
        <w:t>Y</w:t>
      </w:r>
      <w:r>
        <w:rPr>
          <w:color w:val="00AC59"/>
          <w:spacing w:val="-3"/>
        </w:rPr>
        <w:t xml:space="preserve"> </w:t>
      </w:r>
      <w:r>
        <w:rPr>
          <w:color w:val="00AC59"/>
        </w:rPr>
        <w:t>A</w:t>
      </w:r>
      <w:r>
        <w:rPr>
          <w:color w:val="00AC59"/>
          <w:spacing w:val="-3"/>
        </w:rPr>
        <w:t xml:space="preserve"> </w:t>
      </w:r>
      <w:r>
        <w:rPr>
          <w:color w:val="00AC59"/>
        </w:rPr>
        <w:t>LA</w:t>
      </w:r>
      <w:r>
        <w:rPr>
          <w:color w:val="00AC59"/>
          <w:spacing w:val="-2"/>
        </w:rPr>
        <w:t xml:space="preserve"> </w:t>
      </w:r>
      <w:r>
        <w:rPr>
          <w:color w:val="00AC59"/>
        </w:rPr>
        <w:t>NO</w:t>
      </w:r>
      <w:r>
        <w:rPr>
          <w:color w:val="00AC59"/>
          <w:spacing w:val="-2"/>
        </w:rPr>
        <w:t xml:space="preserve"> DISCRIMINACIÓN</w:t>
      </w:r>
    </w:p>
    <w:bookmarkEnd w:id="13"/>
    <w:p w14:paraId="732543B8" w14:textId="77777777" w:rsidR="0014798C" w:rsidRDefault="0014798C">
      <w:pPr>
        <w:pStyle w:val="Textoindependiente"/>
        <w:spacing w:before="46"/>
        <w:rPr>
          <w:sz w:val="15"/>
        </w:rPr>
      </w:pPr>
    </w:p>
    <w:p w14:paraId="77A3D789" w14:textId="77777777" w:rsidR="0014798C" w:rsidRDefault="004E1F0B">
      <w:pPr>
        <w:spacing w:line="348" w:lineRule="auto"/>
        <w:ind w:left="1111" w:right="1463" w:hanging="6"/>
        <w:rPr>
          <w:sz w:val="15"/>
        </w:rPr>
      </w:pPr>
      <w:r>
        <w:rPr>
          <w:sz w:val="15"/>
        </w:rPr>
        <w:t>Esta parte de la presente guía aborda los elementos sustantivos de la ley contra la discriminación: cómo la ley debe definir y garantizar los derechos a la igualdad y la no discriminación.</w:t>
      </w:r>
    </w:p>
    <w:p w14:paraId="63909FF9" w14:textId="77777777" w:rsidR="0014798C" w:rsidRDefault="004E1F0B">
      <w:pPr>
        <w:spacing w:before="169" w:line="348" w:lineRule="auto"/>
        <w:ind w:left="1105" w:right="1272" w:firstLine="3"/>
        <w:rPr>
          <w:sz w:val="15"/>
        </w:rPr>
      </w:pPr>
      <w:r>
        <w:rPr>
          <w:noProof/>
        </w:rPr>
        <mc:AlternateContent>
          <mc:Choice Requires="wps">
            <w:drawing>
              <wp:anchor distT="0" distB="0" distL="0" distR="0" simplePos="0" relativeHeight="251658249" behindDoc="0" locked="0" layoutInCell="1" allowOverlap="1" wp14:anchorId="01F63B6B" wp14:editId="5E5218EA">
                <wp:simplePos x="0" y="0"/>
                <wp:positionH relativeFrom="page">
                  <wp:posOffset>7313138</wp:posOffset>
                </wp:positionH>
                <wp:positionV relativeFrom="paragraph">
                  <wp:posOffset>1021366</wp:posOffset>
                </wp:positionV>
                <wp:extent cx="83820" cy="281940"/>
                <wp:effectExtent l="0" t="0" r="0" b="0"/>
                <wp:wrapNone/>
                <wp:docPr id="84" name="Textbox 8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83820" cy="281940"/>
                        </a:xfrm>
                        <a:prstGeom prst="rect">
                          <a:avLst/>
                        </a:prstGeom>
                      </wps:spPr>
                      <wps:txbx>
                        <w:txbxContent>
                          <w:p w14:paraId="034FCB7D" w14:textId="77777777" w:rsidR="0014798C" w:rsidRDefault="004E1F0B">
                            <w:pPr>
                              <w:spacing w:before="19"/>
                              <w:ind w:left="20"/>
                              <w:rPr>
                                <w:sz w:val="8"/>
                              </w:rPr>
                            </w:pPr>
                            <w:r>
                              <w:rPr>
                                <w:color w:val="FFFFFF"/>
                                <w:spacing w:val="-24"/>
                                <w:sz w:val="8"/>
                              </w:rPr>
                              <w:t>I–P</w:t>
                            </w:r>
                            <w:r>
                              <w:rPr>
                                <w:spacing w:val="-24"/>
                                <w:sz w:val="8"/>
                              </w:rPr>
                              <w:t>S</w:t>
                            </w:r>
                            <w:r>
                              <w:rPr>
                                <w:color w:val="FFFFFF"/>
                                <w:spacing w:val="-24"/>
                                <w:sz w:val="8"/>
                              </w:rPr>
                              <w:t>A</w:t>
                            </w:r>
                            <w:r>
                              <w:rPr>
                                <w:spacing w:val="-24"/>
                                <w:sz w:val="8"/>
                              </w:rPr>
                              <w:t>E</w:t>
                            </w:r>
                            <w:r>
                              <w:rPr>
                                <w:color w:val="FFFFFF"/>
                                <w:spacing w:val="-24"/>
                                <w:sz w:val="8"/>
                              </w:rPr>
                              <w:t>R</w:t>
                            </w:r>
                            <w:r>
                              <w:rPr>
                                <w:spacing w:val="-24"/>
                                <w:sz w:val="8"/>
                              </w:rPr>
                              <w:t>G</w:t>
                            </w:r>
                            <w:r>
                              <w:rPr>
                                <w:color w:val="FFFFFF"/>
                                <w:spacing w:val="-24"/>
                                <w:sz w:val="8"/>
                              </w:rPr>
                              <w:t>T</w:t>
                            </w:r>
                            <w:r>
                              <w:rPr>
                                <w:spacing w:val="-24"/>
                                <w:sz w:val="8"/>
                              </w:rPr>
                              <w:t>U</w:t>
                            </w:r>
                            <w:r>
                              <w:rPr>
                                <w:color w:val="FFFFFF"/>
                                <w:spacing w:val="-24"/>
                                <w:sz w:val="8"/>
                              </w:rPr>
                              <w:t>E</w:t>
                            </w:r>
                            <w:r>
                              <w:rPr>
                                <w:spacing w:val="-24"/>
                                <w:sz w:val="8"/>
                              </w:rPr>
                              <w:t>NDA</w:t>
                            </w:r>
                          </w:p>
                        </w:txbxContent>
                      </wps:txbx>
                      <wps:bodyPr vert="vert270" wrap="square" lIns="0" tIns="0" rIns="0" bIns="0" rtlCol="0">
                        <a:noAutofit/>
                      </wps:bodyPr>
                    </wps:wsp>
                  </a:graphicData>
                </a:graphic>
              </wp:anchor>
            </w:drawing>
          </mc:Choice>
          <mc:Fallback>
            <w:pict>
              <v:shape w14:anchorId="01F63B6B" id="Textbox 84" o:spid="_x0000_s1057" type="#_x0000_t202" style="position:absolute;left:0;text-align:left;margin-left:575.85pt;margin-top:80.4pt;width:6.6pt;height:22.2pt;z-index:251658249;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" filled="f" stroked="f">
                <v:textbox style="layout-flow:vertical;mso-layout-flow-alt:bottom-to-top" inset="0,0,0,0">
                  <w:txbxContent>
                    <w:p w14:paraId="034FCB7D" w14:textId="77777777" w:rsidR="0014798C" w:rsidRDefault="004E1F0B">
                      <w:pPr>
                        <w:spacing w:before="19"/>
                        <w:ind w:left="20"/>
                        <w:rPr>
                          <w:sz w:val="8"/>
                        </w:rPr>
                      </w:pPr>
                      <w:r>
                        <w:rPr>
                          <w:color w:val="FFFFFF"/>
                          <w:spacing w:val="-24"/>
                          <w:sz w:val="8"/>
                        </w:rPr>
                        <w:t>I–P</w:t>
                      </w:r>
                      <w:r>
                        <w:rPr>
                          <w:spacing w:val="-24"/>
                          <w:sz w:val="8"/>
                        </w:rPr>
                        <w:t>S</w:t>
                      </w:r>
                      <w:r>
                        <w:rPr>
                          <w:color w:val="FFFFFF"/>
                          <w:spacing w:val="-24"/>
                          <w:sz w:val="8"/>
                        </w:rPr>
                        <w:t>A</w:t>
                      </w:r>
                      <w:r>
                        <w:rPr>
                          <w:spacing w:val="-24"/>
                          <w:sz w:val="8"/>
                        </w:rPr>
                        <w:t>E</w:t>
                      </w:r>
                      <w:r>
                        <w:rPr>
                          <w:color w:val="FFFFFF"/>
                          <w:spacing w:val="-24"/>
                          <w:sz w:val="8"/>
                        </w:rPr>
                        <w:t>R</w:t>
                      </w:r>
                      <w:r>
                        <w:rPr>
                          <w:spacing w:val="-24"/>
                          <w:sz w:val="8"/>
                        </w:rPr>
                        <w:t>G</w:t>
                      </w:r>
                      <w:r>
                        <w:rPr>
                          <w:color w:val="FFFFFF"/>
                          <w:spacing w:val="-24"/>
                          <w:sz w:val="8"/>
                        </w:rPr>
                        <w:t>T</w:t>
                      </w:r>
                      <w:r>
                        <w:rPr>
                          <w:spacing w:val="-24"/>
                          <w:sz w:val="8"/>
                        </w:rPr>
                        <w:t>U</w:t>
                      </w:r>
                      <w:r>
                        <w:rPr>
                          <w:color w:val="FFFFFF"/>
                          <w:spacing w:val="-24"/>
                          <w:sz w:val="8"/>
                        </w:rPr>
                        <w:t>E</w:t>
                      </w:r>
                      <w:r>
                        <w:rPr>
                          <w:spacing w:val="-24"/>
                          <w:sz w:val="8"/>
                        </w:rPr>
                        <w:t>NDA</w:t>
                      </w:r>
                    </w:p>
                  </w:txbxContent>
                </v:textbox>
                <w10:wrap anchorx="page"/>
              </v:shape>
            </w:pict>
          </mc:Fallback>
        </mc:AlternateContent>
      </w:r>
      <w:r>
        <w:rPr>
          <w:sz w:val="15"/>
        </w:rPr>
        <w:t>En primer lugar, se analiza la necesaria definición y alcance del derecho a la no discriminación. Para cumplir con el derecho internacional, las leyes integrales contra la discriminación deben definir y prohibir todas las formas de discriminación, que surjan sobre la base de todos</w:t>
      </w:r>
      <w:r>
        <w:rPr>
          <w:spacing w:val="40"/>
          <w:sz w:val="15"/>
        </w:rPr>
        <w:t xml:space="preserve"> </w:t>
      </w:r>
      <w:r>
        <w:rPr>
          <w:sz w:val="15"/>
        </w:rPr>
        <w:t>los motivos reconocidos por el derecho internacional y en todos los ámbitos de la vida regulados por la ley. La sección A examina los requisitos del derecho internacional en cada uno de estos aspectos y define los elementos necesarios del derecho antidiscriminación con respecto al ámbito personal, las formas de conducta prohibida y el ámbito material, antes de examinar cómo debe abordar el derecho la justificación. de actos que de otro modo serían discriminatorios.</w:t>
      </w:r>
    </w:p>
    <w:p w14:paraId="3E560161" w14:textId="77777777" w:rsidR="0014798C" w:rsidRDefault="0014798C">
      <w:pPr>
        <w:pStyle w:val="Textoindependiente"/>
        <w:rPr>
          <w:sz w:val="15"/>
        </w:rPr>
      </w:pPr>
    </w:p>
    <w:p w14:paraId="047FABA0" w14:textId="77777777" w:rsidR="0014798C" w:rsidRDefault="0014798C">
      <w:pPr>
        <w:pStyle w:val="Textoindependiente"/>
        <w:spacing w:before="72"/>
        <w:rPr>
          <w:sz w:val="15"/>
        </w:rPr>
      </w:pPr>
    </w:p>
    <w:p w14:paraId="30E7D43F" w14:textId="77777777" w:rsidR="0014798C" w:rsidRDefault="004E1F0B">
      <w:pPr>
        <w:spacing w:line="348" w:lineRule="auto"/>
        <w:ind w:left="1107" w:right="1463" w:firstLine="5"/>
        <w:rPr>
          <w:sz w:val="15"/>
        </w:rPr>
      </w:pPr>
      <w:r>
        <w:rPr>
          <w:sz w:val="15"/>
        </w:rPr>
        <w:t>Los Estados no cumplen con sus obligaciones jurídicas internacionales simplemente definiendo y prohibiendo la discriminación: también deben, entre otras cosas, adoptar medidas positivas diseñadas para acelerar el progreso hacia la igualdad para aquellos que se encuentran en desventaja histórica o que de otro modo no pueden participar en igualdad de condiciones. Por lo tanto, la sección B</w:t>
      </w:r>
    </w:p>
    <w:p w14:paraId="48C6346D" w14:textId="77777777" w:rsidR="0014798C" w:rsidRDefault="004E1F0B">
      <w:pPr>
        <w:spacing w:line="288" w:lineRule="auto"/>
        <w:ind w:left="1111" w:right="1272" w:hanging="2"/>
        <w:rPr>
          <w:sz w:val="15"/>
        </w:rPr>
      </w:pPr>
      <w:r>
        <w:rPr>
          <w:sz w:val="15"/>
        </w:rPr>
        <w:t xml:space="preserve">examina las obligaciones de los Estados con respecto a la acción positiva y cómo éstas deben llevarse a cabo a través de la legislación </w:t>
      </w:r>
      <w:r>
        <w:rPr>
          <w:spacing w:val="-2"/>
          <w:sz w:val="15"/>
        </w:rPr>
        <w:t>antidiscriminatoria.</w:t>
      </w:r>
    </w:p>
    <w:p w14:paraId="76D614A2" w14:textId="77777777" w:rsidR="0014798C" w:rsidRDefault="0014798C">
      <w:pPr>
        <w:pStyle w:val="Textoindependiente"/>
        <w:spacing w:before="82"/>
        <w:rPr>
          <w:sz w:val="15"/>
        </w:rPr>
      </w:pPr>
    </w:p>
    <w:p w14:paraId="0DE27F4B" w14:textId="77777777" w:rsidR="0014798C" w:rsidRDefault="004E1F0B">
      <w:pPr>
        <w:spacing w:line="348" w:lineRule="auto"/>
        <w:ind w:left="1107" w:right="1626" w:firstLine="2"/>
        <w:rPr>
          <w:sz w:val="15"/>
        </w:rPr>
      </w:pPr>
      <w:r>
        <w:rPr>
          <w:sz w:val="15"/>
        </w:rPr>
        <w:t>Finalmente, la sección C examina los deberes de igualdad. Considera el deber de ambos Estados de garantizar la accesibilidad, en igualdad de condiciones, al entorno físico, el transporte, la infraestructura, los servicios y la información y las comunicaciones y los deberes estatutarios incluidos en la legislación contra la discriminación a través de los cuales los Estados pueden dar cumplimiento a sus obligaciones de respetar, proteger y hacer efectivos los derechos a la igualdad y a la no discriminación.</w:t>
      </w:r>
    </w:p>
    <w:p w14:paraId="453A1E36" w14:textId="77777777" w:rsidR="0014798C" w:rsidRDefault="004E1F0B">
      <w:pPr>
        <w:spacing w:before="169" w:line="348" w:lineRule="auto"/>
        <w:ind w:left="1108" w:right="1272"/>
        <w:rPr>
          <w:sz w:val="15"/>
        </w:rPr>
      </w:pPr>
      <w:r>
        <w:rPr>
          <w:sz w:val="15"/>
        </w:rPr>
        <w:t>En cada caso, las secciones revisan las normas jurídicas internacionales y las interpretaciones autorizadas de los órganos de tratados pertinentes de las Naciones Unidas, con el fin de establecer los elementos necesarios de una ley integral contra la discriminación.</w:t>
      </w:r>
    </w:p>
    <w:p w14:paraId="61A5DFC6" w14:textId="77777777" w:rsidR="0014798C" w:rsidRDefault="0014798C">
      <w:pPr>
        <w:pStyle w:val="Textoindependiente"/>
        <w:spacing w:before="230"/>
        <w:rPr>
          <w:sz w:val="28"/>
        </w:rPr>
      </w:pPr>
    </w:p>
    <w:p w14:paraId="338686D2" w14:textId="77777777" w:rsidR="0014798C" w:rsidRDefault="004E1F0B">
      <w:pPr>
        <w:numPr>
          <w:ilvl w:val="1"/>
          <w:numId w:val="3"/>
        </w:numPr>
        <w:tabs>
          <w:tab w:val="left" w:pos="1441"/>
        </w:tabs>
        <w:ind w:left="1441" w:hanging="341"/>
        <w:rPr>
          <w:color w:val="00AC59"/>
          <w:sz w:val="28"/>
        </w:rPr>
      </w:pPr>
      <w:r>
        <w:rPr>
          <w:color w:val="00AC59"/>
          <w:sz w:val="28"/>
        </w:rPr>
        <w:t>Prohibición</w:t>
      </w:r>
      <w:r>
        <w:rPr>
          <w:color w:val="00AC59"/>
          <w:spacing w:val="-4"/>
          <w:sz w:val="28"/>
        </w:rPr>
        <w:t xml:space="preserve"> </w:t>
      </w:r>
      <w:r>
        <w:rPr>
          <w:color w:val="00AC59"/>
          <w:sz w:val="28"/>
        </w:rPr>
        <w:t>de</w:t>
      </w:r>
      <w:r>
        <w:rPr>
          <w:color w:val="00AC59"/>
          <w:spacing w:val="-4"/>
          <w:sz w:val="28"/>
        </w:rPr>
        <w:t xml:space="preserve"> </w:t>
      </w:r>
      <w:r>
        <w:rPr>
          <w:color w:val="00AC59"/>
          <w:sz w:val="28"/>
        </w:rPr>
        <w:t>la</w:t>
      </w:r>
      <w:r>
        <w:rPr>
          <w:color w:val="00AC59"/>
          <w:spacing w:val="-4"/>
          <w:sz w:val="28"/>
        </w:rPr>
        <w:t xml:space="preserve"> </w:t>
      </w:r>
      <w:r>
        <w:rPr>
          <w:color w:val="00AC59"/>
          <w:spacing w:val="-2"/>
          <w:sz w:val="28"/>
        </w:rPr>
        <w:t>discriminación</w:t>
      </w:r>
    </w:p>
    <w:p w14:paraId="4AEF029A" w14:textId="77777777" w:rsidR="0014798C" w:rsidRDefault="0014798C">
      <w:pPr>
        <w:pStyle w:val="Textoindependiente"/>
        <w:spacing w:before="55"/>
        <w:rPr>
          <w:sz w:val="15"/>
        </w:rPr>
      </w:pPr>
    </w:p>
    <w:p w14:paraId="4E439F64" w14:textId="77777777" w:rsidR="0014798C" w:rsidRDefault="004E1F0B">
      <w:pPr>
        <w:ind w:left="1114"/>
        <w:rPr>
          <w:sz w:val="15"/>
        </w:rPr>
      </w:pPr>
      <w:r>
        <w:rPr>
          <w:sz w:val="15"/>
        </w:rPr>
        <w:t>Las</w:t>
      </w:r>
      <w:r>
        <w:rPr>
          <w:spacing w:val="5"/>
          <w:sz w:val="15"/>
        </w:rPr>
        <w:t xml:space="preserve"> </w:t>
      </w:r>
      <w:r>
        <w:rPr>
          <w:sz w:val="15"/>
        </w:rPr>
        <w:t>leyes</w:t>
      </w:r>
      <w:r>
        <w:rPr>
          <w:spacing w:val="6"/>
          <w:sz w:val="15"/>
        </w:rPr>
        <w:t xml:space="preserve"> </w:t>
      </w:r>
      <w:r>
        <w:rPr>
          <w:sz w:val="15"/>
        </w:rPr>
        <w:t>integrales</w:t>
      </w:r>
      <w:r>
        <w:rPr>
          <w:spacing w:val="5"/>
          <w:sz w:val="15"/>
        </w:rPr>
        <w:t xml:space="preserve"> </w:t>
      </w:r>
      <w:r>
        <w:rPr>
          <w:sz w:val="15"/>
        </w:rPr>
        <w:t>contra</w:t>
      </w:r>
      <w:r>
        <w:rPr>
          <w:spacing w:val="6"/>
          <w:sz w:val="15"/>
        </w:rPr>
        <w:t xml:space="preserve"> </w:t>
      </w:r>
      <w:r>
        <w:rPr>
          <w:sz w:val="15"/>
        </w:rPr>
        <w:t>la</w:t>
      </w:r>
      <w:r>
        <w:rPr>
          <w:spacing w:val="5"/>
          <w:sz w:val="15"/>
        </w:rPr>
        <w:t xml:space="preserve"> </w:t>
      </w:r>
      <w:r>
        <w:rPr>
          <w:sz w:val="15"/>
        </w:rPr>
        <w:t>discriminación</w:t>
      </w:r>
      <w:r>
        <w:rPr>
          <w:spacing w:val="6"/>
          <w:sz w:val="15"/>
        </w:rPr>
        <w:t xml:space="preserve"> </w:t>
      </w:r>
      <w:r>
        <w:rPr>
          <w:sz w:val="15"/>
        </w:rPr>
        <w:t>deben</w:t>
      </w:r>
      <w:r>
        <w:rPr>
          <w:spacing w:val="5"/>
          <w:sz w:val="15"/>
        </w:rPr>
        <w:t xml:space="preserve"> </w:t>
      </w:r>
      <w:r>
        <w:rPr>
          <w:sz w:val="15"/>
        </w:rPr>
        <w:t>definir</w:t>
      </w:r>
      <w:r>
        <w:rPr>
          <w:spacing w:val="6"/>
          <w:sz w:val="15"/>
        </w:rPr>
        <w:t xml:space="preserve"> </w:t>
      </w:r>
      <w:r>
        <w:rPr>
          <w:sz w:val="15"/>
        </w:rPr>
        <w:t>y</w:t>
      </w:r>
      <w:r>
        <w:rPr>
          <w:spacing w:val="5"/>
          <w:sz w:val="15"/>
        </w:rPr>
        <w:t xml:space="preserve"> </w:t>
      </w:r>
      <w:r>
        <w:rPr>
          <w:sz w:val="15"/>
        </w:rPr>
        <w:t>prohibir</w:t>
      </w:r>
      <w:r>
        <w:rPr>
          <w:spacing w:val="6"/>
          <w:sz w:val="15"/>
        </w:rPr>
        <w:t xml:space="preserve"> </w:t>
      </w:r>
      <w:r>
        <w:rPr>
          <w:sz w:val="15"/>
        </w:rPr>
        <w:t>la</w:t>
      </w:r>
      <w:r>
        <w:rPr>
          <w:spacing w:val="5"/>
          <w:sz w:val="15"/>
        </w:rPr>
        <w:t xml:space="preserve"> </w:t>
      </w:r>
      <w:r>
        <w:rPr>
          <w:spacing w:val="-2"/>
          <w:sz w:val="15"/>
        </w:rPr>
        <w:t>discriminación.</w:t>
      </w:r>
    </w:p>
    <w:p w14:paraId="1346AA2E" w14:textId="77777777" w:rsidR="0014798C" w:rsidRDefault="0014798C">
      <w:pPr>
        <w:pStyle w:val="Textoindependiente"/>
        <w:spacing w:before="74"/>
        <w:rPr>
          <w:sz w:val="15"/>
        </w:rPr>
      </w:pPr>
    </w:p>
    <w:p w14:paraId="18FB5AF0" w14:textId="77777777" w:rsidR="0014798C" w:rsidRDefault="004E1F0B">
      <w:pPr>
        <w:spacing w:line="348" w:lineRule="auto"/>
        <w:ind w:left="1107" w:right="1335" w:hanging="1"/>
        <w:rPr>
          <w:sz w:val="15"/>
        </w:rPr>
      </w:pPr>
      <w:r>
        <w:rPr>
          <w:sz w:val="15"/>
        </w:rPr>
        <w:t>Ni el Pacto Internacional de Derechos Civiles y Políticos ni el Pacto Internacional de Derechos Económicos,</w:t>
      </w:r>
      <w:r>
        <w:rPr>
          <w:spacing w:val="8"/>
          <w:sz w:val="15"/>
        </w:rPr>
        <w:t xml:space="preserve"> </w:t>
      </w:r>
      <w:r>
        <w:rPr>
          <w:sz w:val="15"/>
        </w:rPr>
        <w:t>Sociales y Culturales definen</w:t>
      </w:r>
      <w:r>
        <w:rPr>
          <w:spacing w:val="80"/>
          <w:sz w:val="15"/>
        </w:rPr>
        <w:t xml:space="preserve"> </w:t>
      </w:r>
      <w:r>
        <w:rPr>
          <w:sz w:val="15"/>
        </w:rPr>
        <w:t>la "discriminación", pero se incluye una definición en la Convención Internacional sobre la Eliminación de todas las Formas de Discriminación Racial, la Convención sobre la Eliminación de Todas las Formas de Discriminación contra la Mujer y la Convención sobre</w:t>
      </w:r>
      <w:r>
        <w:rPr>
          <w:spacing w:val="40"/>
          <w:sz w:val="15"/>
        </w:rPr>
        <w:t xml:space="preserve"> </w:t>
      </w:r>
      <w:r>
        <w:rPr>
          <w:sz w:val="15"/>
        </w:rPr>
        <w:t>los</w:t>
      </w:r>
      <w:r>
        <w:rPr>
          <w:spacing w:val="11"/>
          <w:sz w:val="15"/>
        </w:rPr>
        <w:t xml:space="preserve"> </w:t>
      </w:r>
      <w:r>
        <w:rPr>
          <w:sz w:val="15"/>
        </w:rPr>
        <w:t>Derechos</w:t>
      </w:r>
      <w:r>
        <w:rPr>
          <w:spacing w:val="11"/>
          <w:sz w:val="15"/>
        </w:rPr>
        <w:t xml:space="preserve"> </w:t>
      </w:r>
      <w:r>
        <w:rPr>
          <w:sz w:val="15"/>
        </w:rPr>
        <w:t>de</w:t>
      </w:r>
      <w:r>
        <w:rPr>
          <w:spacing w:val="11"/>
          <w:sz w:val="15"/>
        </w:rPr>
        <w:t xml:space="preserve"> </w:t>
      </w:r>
      <w:r>
        <w:rPr>
          <w:sz w:val="15"/>
        </w:rPr>
        <w:t>las</w:t>
      </w:r>
      <w:r>
        <w:rPr>
          <w:spacing w:val="11"/>
          <w:sz w:val="15"/>
        </w:rPr>
        <w:t xml:space="preserve"> </w:t>
      </w:r>
      <w:r>
        <w:rPr>
          <w:sz w:val="15"/>
        </w:rPr>
        <w:t>Personas</w:t>
      </w:r>
      <w:r>
        <w:rPr>
          <w:spacing w:val="11"/>
          <w:sz w:val="15"/>
        </w:rPr>
        <w:t xml:space="preserve"> </w:t>
      </w:r>
      <w:r>
        <w:rPr>
          <w:sz w:val="15"/>
        </w:rPr>
        <w:t>con</w:t>
      </w:r>
      <w:r>
        <w:rPr>
          <w:spacing w:val="11"/>
          <w:sz w:val="15"/>
        </w:rPr>
        <w:t xml:space="preserve"> </w:t>
      </w:r>
      <w:r>
        <w:rPr>
          <w:sz w:val="15"/>
        </w:rPr>
        <w:t>Discapacidad.</w:t>
      </w:r>
      <w:r>
        <w:rPr>
          <w:spacing w:val="13"/>
          <w:sz w:val="15"/>
        </w:rPr>
        <w:t xml:space="preserve"> </w:t>
      </w:r>
      <w:r>
        <w:rPr>
          <w:sz w:val="15"/>
        </w:rPr>
        <w:t>El</w:t>
      </w:r>
      <w:r>
        <w:rPr>
          <w:spacing w:val="11"/>
          <w:sz w:val="15"/>
        </w:rPr>
        <w:t xml:space="preserve"> </w:t>
      </w:r>
      <w:r>
        <w:rPr>
          <w:sz w:val="15"/>
        </w:rPr>
        <w:t>artículo</w:t>
      </w:r>
      <w:r>
        <w:rPr>
          <w:spacing w:val="11"/>
          <w:sz w:val="15"/>
        </w:rPr>
        <w:t xml:space="preserve"> </w:t>
      </w:r>
      <w:r>
        <w:rPr>
          <w:sz w:val="15"/>
        </w:rPr>
        <w:t>1</w:t>
      </w:r>
      <w:r>
        <w:rPr>
          <w:spacing w:val="11"/>
          <w:sz w:val="15"/>
        </w:rPr>
        <w:t xml:space="preserve"> </w:t>
      </w:r>
      <w:r>
        <w:rPr>
          <w:sz w:val="15"/>
        </w:rPr>
        <w:t>de</w:t>
      </w:r>
      <w:r>
        <w:rPr>
          <w:spacing w:val="11"/>
          <w:sz w:val="15"/>
        </w:rPr>
        <w:t xml:space="preserve"> </w:t>
      </w:r>
      <w:r>
        <w:rPr>
          <w:sz w:val="15"/>
        </w:rPr>
        <w:t>la</w:t>
      </w:r>
      <w:r>
        <w:rPr>
          <w:spacing w:val="11"/>
          <w:sz w:val="15"/>
        </w:rPr>
        <w:t xml:space="preserve"> </w:t>
      </w:r>
      <w:r>
        <w:rPr>
          <w:sz w:val="15"/>
        </w:rPr>
        <w:t>Convención</w:t>
      </w:r>
      <w:r>
        <w:rPr>
          <w:spacing w:val="11"/>
          <w:sz w:val="15"/>
        </w:rPr>
        <w:t xml:space="preserve"> </w:t>
      </w:r>
      <w:r>
        <w:rPr>
          <w:sz w:val="15"/>
        </w:rPr>
        <w:t>Internacional</w:t>
      </w:r>
      <w:r>
        <w:rPr>
          <w:spacing w:val="11"/>
          <w:sz w:val="15"/>
        </w:rPr>
        <w:t xml:space="preserve"> </w:t>
      </w:r>
      <w:r>
        <w:rPr>
          <w:sz w:val="15"/>
        </w:rPr>
        <w:t>sobre</w:t>
      </w:r>
      <w:r>
        <w:rPr>
          <w:spacing w:val="11"/>
          <w:sz w:val="15"/>
        </w:rPr>
        <w:t xml:space="preserve"> </w:t>
      </w:r>
      <w:r>
        <w:rPr>
          <w:sz w:val="15"/>
        </w:rPr>
        <w:t>la</w:t>
      </w:r>
      <w:r>
        <w:rPr>
          <w:spacing w:val="11"/>
          <w:sz w:val="15"/>
        </w:rPr>
        <w:t xml:space="preserve"> </w:t>
      </w:r>
      <w:r>
        <w:rPr>
          <w:sz w:val="15"/>
        </w:rPr>
        <w:t>Eliminación</w:t>
      </w:r>
      <w:r>
        <w:rPr>
          <w:spacing w:val="11"/>
          <w:sz w:val="15"/>
        </w:rPr>
        <w:t xml:space="preserve"> </w:t>
      </w:r>
      <w:r>
        <w:rPr>
          <w:sz w:val="15"/>
        </w:rPr>
        <w:t>de</w:t>
      </w:r>
      <w:r>
        <w:rPr>
          <w:spacing w:val="11"/>
          <w:sz w:val="15"/>
        </w:rPr>
        <w:t xml:space="preserve"> </w:t>
      </w:r>
      <w:r>
        <w:rPr>
          <w:sz w:val="15"/>
        </w:rPr>
        <w:t>todas</w:t>
      </w:r>
      <w:r>
        <w:rPr>
          <w:spacing w:val="11"/>
          <w:sz w:val="15"/>
        </w:rPr>
        <w:t xml:space="preserve"> </w:t>
      </w:r>
      <w:r>
        <w:rPr>
          <w:sz w:val="15"/>
        </w:rPr>
        <w:t>las</w:t>
      </w:r>
      <w:r>
        <w:rPr>
          <w:spacing w:val="11"/>
          <w:sz w:val="15"/>
        </w:rPr>
        <w:t xml:space="preserve"> </w:t>
      </w:r>
      <w:r>
        <w:rPr>
          <w:sz w:val="15"/>
        </w:rPr>
        <w:t>Formas de Discriminación Racial establece que “por 'discriminación racial ' se entenderá cualquier distinción, exclusión, restricción o preferencia basada en la raza, el color, la ascendencia o el origen nacional o étnico que tenga por objeto o efecto de anular o menoscabar el reconocimiento, goce o ejercicio, en condiciones de igualdad, de los derechos humanos y las libertades fundamentales en las esferas</w:t>
      </w:r>
    </w:p>
    <w:p w14:paraId="7DDC73D0" w14:textId="77777777" w:rsidR="0014798C" w:rsidRDefault="004E1F0B">
      <w:pPr>
        <w:spacing w:line="348" w:lineRule="auto"/>
        <w:ind w:left="1108" w:right="1272" w:firstLine="3"/>
        <w:rPr>
          <w:sz w:val="15"/>
        </w:rPr>
      </w:pPr>
      <w:r>
        <w:rPr>
          <w:sz w:val="15"/>
        </w:rPr>
        <w:t>política, económica, social, cultural o en cualquier otra esfera de la vida pública”. Esta definición se repite en el artículo 1 de la Convención sobre la eliminación de todas las formas de discriminación contra la mujer y en el artículo 2 de la Convención sobre los derechos de las personas con discapacidad, con la sustitución de las referencias a “raza, color, ascendencia o condición nacional o étnica”. origen”, con “sexo” y “discapacidad”, respectivamente, y la omisión de la palabra “preferencia”.118 En su observación general No. 18, el Comité de Derechos Humanos adoptó la definición utilizada en la Convención Internacional sobre la Eliminación de todos Formas de Discriminación</w:t>
      </w:r>
    </w:p>
    <w:p w14:paraId="0D53EF79" w14:textId="77777777" w:rsidR="0014798C" w:rsidRDefault="004E1F0B">
      <w:pPr>
        <w:spacing w:line="288" w:lineRule="auto"/>
        <w:ind w:left="1107" w:right="1378" w:firstLine="1"/>
        <w:rPr>
          <w:sz w:val="15"/>
        </w:rPr>
      </w:pPr>
      <w:r>
        <w:rPr>
          <w:sz w:val="15"/>
        </w:rPr>
        <w:t>Racial y la Convención sobre la Eliminación de Todas las Formas de Discriminación contra la Mujer casi palabra por palabra,</w:t>
      </w:r>
      <w:r>
        <w:rPr>
          <w:spacing w:val="80"/>
          <w:sz w:val="15"/>
        </w:rPr>
        <w:t xml:space="preserve"> </w:t>
      </w:r>
      <w:r>
        <w:rPr>
          <w:sz w:val="15"/>
        </w:rPr>
        <w:t>modificándola sólo en la medida necesaria para ampliar el ámbito personal a “cualquier motivo”.119 El Comité de Derechos Económicos,</w:t>
      </w:r>
    </w:p>
    <w:p w14:paraId="6816A0A3" w14:textId="77777777" w:rsidR="0014798C" w:rsidRDefault="004E1F0B">
      <w:pPr>
        <w:spacing w:before="82"/>
        <w:ind w:left="1109"/>
        <w:rPr>
          <w:sz w:val="15"/>
        </w:rPr>
      </w:pPr>
      <w:r>
        <w:rPr>
          <w:sz w:val="15"/>
        </w:rPr>
        <w:t>Sociales</w:t>
      </w:r>
      <w:r>
        <w:rPr>
          <w:spacing w:val="6"/>
          <w:sz w:val="15"/>
        </w:rPr>
        <w:t xml:space="preserve"> </w:t>
      </w:r>
      <w:r>
        <w:rPr>
          <w:sz w:val="15"/>
        </w:rPr>
        <w:t>y</w:t>
      </w:r>
      <w:r>
        <w:rPr>
          <w:spacing w:val="7"/>
          <w:sz w:val="15"/>
        </w:rPr>
        <w:t xml:space="preserve"> </w:t>
      </w:r>
      <w:r>
        <w:rPr>
          <w:sz w:val="15"/>
        </w:rPr>
        <w:t>Culturales</w:t>
      </w:r>
      <w:r>
        <w:rPr>
          <w:spacing w:val="6"/>
          <w:sz w:val="15"/>
        </w:rPr>
        <w:t xml:space="preserve"> </w:t>
      </w:r>
      <w:r>
        <w:rPr>
          <w:sz w:val="15"/>
        </w:rPr>
        <w:t>adoptó</w:t>
      </w:r>
      <w:r>
        <w:rPr>
          <w:spacing w:val="7"/>
          <w:sz w:val="15"/>
        </w:rPr>
        <w:t xml:space="preserve"> </w:t>
      </w:r>
      <w:r>
        <w:rPr>
          <w:sz w:val="15"/>
        </w:rPr>
        <w:t>una</w:t>
      </w:r>
      <w:r>
        <w:rPr>
          <w:spacing w:val="7"/>
          <w:sz w:val="15"/>
        </w:rPr>
        <w:t xml:space="preserve"> </w:t>
      </w:r>
      <w:r>
        <w:rPr>
          <w:sz w:val="15"/>
        </w:rPr>
        <w:t>postura</w:t>
      </w:r>
      <w:r>
        <w:rPr>
          <w:spacing w:val="6"/>
          <w:sz w:val="15"/>
        </w:rPr>
        <w:t xml:space="preserve"> </w:t>
      </w:r>
      <w:r>
        <w:rPr>
          <w:sz w:val="15"/>
        </w:rPr>
        <w:t>similar</w:t>
      </w:r>
      <w:r>
        <w:rPr>
          <w:spacing w:val="7"/>
          <w:sz w:val="15"/>
        </w:rPr>
        <w:t xml:space="preserve"> </w:t>
      </w:r>
      <w:r>
        <w:rPr>
          <w:spacing w:val="-2"/>
          <w:sz w:val="15"/>
        </w:rPr>
        <w:t>acercarse</w:t>
      </w:r>
    </w:p>
    <w:p w14:paraId="471D8972" w14:textId="77777777" w:rsidR="0014798C" w:rsidRDefault="0014798C">
      <w:pPr>
        <w:pStyle w:val="Textoindependiente"/>
        <w:rPr>
          <w:sz w:val="13"/>
        </w:rPr>
      </w:pPr>
    </w:p>
    <w:p w14:paraId="532EBA65" w14:textId="77777777" w:rsidR="0014798C" w:rsidRDefault="0014798C">
      <w:pPr>
        <w:pStyle w:val="Textoindependiente"/>
        <w:rPr>
          <w:sz w:val="13"/>
        </w:rPr>
      </w:pPr>
    </w:p>
    <w:p w14:paraId="42B1A8AE" w14:textId="77777777" w:rsidR="0014798C" w:rsidRDefault="0014798C">
      <w:pPr>
        <w:pStyle w:val="Textoindependiente"/>
        <w:rPr>
          <w:sz w:val="13"/>
        </w:rPr>
      </w:pPr>
    </w:p>
    <w:p w14:paraId="34A0FBF2" w14:textId="77777777" w:rsidR="0014798C" w:rsidRDefault="0014798C">
      <w:pPr>
        <w:pStyle w:val="Textoindependiente"/>
        <w:rPr>
          <w:sz w:val="13"/>
        </w:rPr>
      </w:pPr>
    </w:p>
    <w:p w14:paraId="1EEE3980" w14:textId="77777777" w:rsidR="0014798C" w:rsidRDefault="0014798C">
      <w:pPr>
        <w:pStyle w:val="Textoindependiente"/>
        <w:spacing w:before="99"/>
        <w:rPr>
          <w:sz w:val="13"/>
        </w:rPr>
      </w:pPr>
    </w:p>
    <w:p w14:paraId="34209B06" w14:textId="77777777" w:rsidR="0014798C" w:rsidRDefault="004E1F0B">
      <w:pPr>
        <w:spacing w:line="288" w:lineRule="auto"/>
        <w:ind w:left="1369" w:right="1917" w:hanging="259"/>
        <w:rPr>
          <w:sz w:val="13"/>
        </w:rPr>
      </w:pPr>
      <w:r>
        <w:rPr>
          <w:sz w:val="13"/>
        </w:rPr>
        <w:t>118 Cabe señalar que la definición de la Convención sobre los Derechos de las Personas con Discapacidad incluye, en el artículo 2, una oración</w:t>
      </w:r>
      <w:r>
        <w:rPr>
          <w:spacing w:val="40"/>
          <w:sz w:val="13"/>
        </w:rPr>
        <w:t xml:space="preserve"> </w:t>
      </w:r>
      <w:r>
        <w:rPr>
          <w:sz w:val="13"/>
        </w:rPr>
        <w:t>adicional que dice lo siguiente: “Incluye todas las formas de discriminación, incluida la denegación de ajustes razonables”. La definición de</w:t>
      </w:r>
    </w:p>
    <w:p w14:paraId="61E7FF82" w14:textId="77777777" w:rsidR="0014798C" w:rsidRDefault="004E1F0B">
      <w:pPr>
        <w:spacing w:before="33" w:line="288" w:lineRule="auto"/>
        <w:ind w:left="1366" w:right="1840" w:firstLine="12"/>
        <w:rPr>
          <w:sz w:val="13"/>
        </w:rPr>
      </w:pPr>
      <w:r>
        <w:rPr>
          <w:sz w:val="13"/>
        </w:rPr>
        <w:t>“intolerancia</w:t>
      </w:r>
      <w:r>
        <w:rPr>
          <w:spacing w:val="8"/>
          <w:sz w:val="13"/>
        </w:rPr>
        <w:t xml:space="preserve"> </w:t>
      </w:r>
      <w:r>
        <w:rPr>
          <w:sz w:val="13"/>
        </w:rPr>
        <w:t>y</w:t>
      </w:r>
      <w:r>
        <w:rPr>
          <w:spacing w:val="8"/>
          <w:sz w:val="13"/>
        </w:rPr>
        <w:t xml:space="preserve"> </w:t>
      </w:r>
      <w:r>
        <w:rPr>
          <w:sz w:val="13"/>
        </w:rPr>
        <w:t>discriminación</w:t>
      </w:r>
      <w:r>
        <w:rPr>
          <w:spacing w:val="8"/>
          <w:sz w:val="13"/>
        </w:rPr>
        <w:t xml:space="preserve"> </w:t>
      </w:r>
      <w:r>
        <w:rPr>
          <w:sz w:val="13"/>
        </w:rPr>
        <w:t>basadas</w:t>
      </w:r>
      <w:r>
        <w:rPr>
          <w:spacing w:val="8"/>
          <w:sz w:val="13"/>
        </w:rPr>
        <w:t xml:space="preserve"> </w:t>
      </w:r>
      <w:r>
        <w:rPr>
          <w:sz w:val="13"/>
        </w:rPr>
        <w:t>en</w:t>
      </w:r>
      <w:r>
        <w:rPr>
          <w:spacing w:val="8"/>
          <w:sz w:val="13"/>
        </w:rPr>
        <w:t xml:space="preserve"> </w:t>
      </w:r>
      <w:r>
        <w:rPr>
          <w:sz w:val="13"/>
        </w:rPr>
        <w:t>la</w:t>
      </w:r>
      <w:r>
        <w:rPr>
          <w:spacing w:val="8"/>
          <w:sz w:val="13"/>
        </w:rPr>
        <w:t xml:space="preserve"> </w:t>
      </w:r>
      <w:r>
        <w:rPr>
          <w:sz w:val="13"/>
        </w:rPr>
        <w:t>religión</w:t>
      </w:r>
      <w:r>
        <w:rPr>
          <w:spacing w:val="8"/>
          <w:sz w:val="13"/>
        </w:rPr>
        <w:t xml:space="preserve"> </w:t>
      </w:r>
      <w:r>
        <w:rPr>
          <w:sz w:val="13"/>
        </w:rPr>
        <w:t>o</w:t>
      </w:r>
      <w:r>
        <w:rPr>
          <w:spacing w:val="8"/>
          <w:sz w:val="13"/>
        </w:rPr>
        <w:t xml:space="preserve"> </w:t>
      </w:r>
      <w:r>
        <w:rPr>
          <w:sz w:val="13"/>
        </w:rPr>
        <w:t>las</w:t>
      </w:r>
      <w:r>
        <w:rPr>
          <w:spacing w:val="8"/>
          <w:sz w:val="13"/>
        </w:rPr>
        <w:t xml:space="preserve"> </w:t>
      </w:r>
      <w:r>
        <w:rPr>
          <w:sz w:val="13"/>
        </w:rPr>
        <w:t>creencias”</w:t>
      </w:r>
      <w:r>
        <w:rPr>
          <w:spacing w:val="8"/>
          <w:sz w:val="13"/>
        </w:rPr>
        <w:t xml:space="preserve"> </w:t>
      </w:r>
      <w:r>
        <w:rPr>
          <w:sz w:val="13"/>
        </w:rPr>
        <w:t>en</w:t>
      </w:r>
      <w:r>
        <w:rPr>
          <w:spacing w:val="8"/>
          <w:sz w:val="13"/>
        </w:rPr>
        <w:t xml:space="preserve"> </w:t>
      </w:r>
      <w:r>
        <w:rPr>
          <w:sz w:val="13"/>
        </w:rPr>
        <w:t>el</w:t>
      </w:r>
      <w:r>
        <w:rPr>
          <w:spacing w:val="8"/>
          <w:sz w:val="13"/>
        </w:rPr>
        <w:t xml:space="preserve"> </w:t>
      </w:r>
      <w:r>
        <w:rPr>
          <w:sz w:val="13"/>
        </w:rPr>
        <w:t>artículo</w:t>
      </w:r>
      <w:r>
        <w:rPr>
          <w:spacing w:val="8"/>
          <w:sz w:val="13"/>
        </w:rPr>
        <w:t xml:space="preserve"> </w:t>
      </w:r>
      <w:r>
        <w:rPr>
          <w:sz w:val="13"/>
        </w:rPr>
        <w:t>2</w:t>
      </w:r>
      <w:r>
        <w:rPr>
          <w:spacing w:val="8"/>
          <w:sz w:val="13"/>
        </w:rPr>
        <w:t xml:space="preserve"> </w:t>
      </w:r>
      <w:r>
        <w:rPr>
          <w:sz w:val="13"/>
        </w:rPr>
        <w:t>(2)</w:t>
      </w:r>
      <w:r>
        <w:rPr>
          <w:spacing w:val="8"/>
          <w:sz w:val="13"/>
        </w:rPr>
        <w:t xml:space="preserve"> </w:t>
      </w:r>
      <w:r>
        <w:rPr>
          <w:sz w:val="13"/>
        </w:rPr>
        <w:t>de</w:t>
      </w:r>
      <w:r>
        <w:rPr>
          <w:spacing w:val="8"/>
          <w:sz w:val="13"/>
        </w:rPr>
        <w:t xml:space="preserve"> </w:t>
      </w:r>
      <w:r>
        <w:rPr>
          <w:sz w:val="13"/>
        </w:rPr>
        <w:t>la</w:t>
      </w:r>
      <w:r>
        <w:rPr>
          <w:spacing w:val="8"/>
          <w:sz w:val="13"/>
        </w:rPr>
        <w:t xml:space="preserve"> </w:t>
      </w:r>
      <w:r>
        <w:rPr>
          <w:sz w:val="13"/>
        </w:rPr>
        <w:t>Declaración</w:t>
      </w:r>
      <w:r>
        <w:rPr>
          <w:spacing w:val="8"/>
          <w:sz w:val="13"/>
        </w:rPr>
        <w:t xml:space="preserve"> </w:t>
      </w:r>
      <w:r>
        <w:rPr>
          <w:sz w:val="13"/>
        </w:rPr>
        <w:t>sobre</w:t>
      </w:r>
      <w:r>
        <w:rPr>
          <w:spacing w:val="8"/>
          <w:sz w:val="13"/>
        </w:rPr>
        <w:t xml:space="preserve"> </w:t>
      </w:r>
      <w:r>
        <w:rPr>
          <w:sz w:val="13"/>
        </w:rPr>
        <w:t>la</w:t>
      </w:r>
      <w:r>
        <w:rPr>
          <w:spacing w:val="8"/>
          <w:sz w:val="13"/>
        </w:rPr>
        <w:t xml:space="preserve"> </w:t>
      </w:r>
      <w:r>
        <w:rPr>
          <w:sz w:val="13"/>
        </w:rPr>
        <w:t>eliminación</w:t>
      </w:r>
      <w:r>
        <w:rPr>
          <w:spacing w:val="8"/>
          <w:sz w:val="13"/>
        </w:rPr>
        <w:t xml:space="preserve"> </w:t>
      </w:r>
      <w:r>
        <w:rPr>
          <w:sz w:val="13"/>
        </w:rPr>
        <w:t>de</w:t>
      </w:r>
      <w:r>
        <w:rPr>
          <w:spacing w:val="8"/>
          <w:sz w:val="13"/>
        </w:rPr>
        <w:t xml:space="preserve"> </w:t>
      </w:r>
      <w:r>
        <w:rPr>
          <w:sz w:val="13"/>
        </w:rPr>
        <w:t>todas</w:t>
      </w:r>
      <w:r>
        <w:rPr>
          <w:spacing w:val="8"/>
          <w:sz w:val="13"/>
        </w:rPr>
        <w:t xml:space="preserve"> </w:t>
      </w:r>
      <w:r>
        <w:rPr>
          <w:sz w:val="13"/>
        </w:rPr>
        <w:t>las</w:t>
      </w:r>
      <w:r>
        <w:rPr>
          <w:spacing w:val="40"/>
          <w:sz w:val="13"/>
        </w:rPr>
        <w:t xml:space="preserve"> </w:t>
      </w:r>
      <w:r>
        <w:rPr>
          <w:sz w:val="13"/>
        </w:rPr>
        <w:t>formas de intolerancia y discriminación basadas en la religión o las creencias también es similar a la definición utilizada en la Convención</w:t>
      </w:r>
      <w:r>
        <w:rPr>
          <w:spacing w:val="40"/>
          <w:sz w:val="13"/>
        </w:rPr>
        <w:t xml:space="preserve"> </w:t>
      </w:r>
      <w:r>
        <w:rPr>
          <w:sz w:val="13"/>
        </w:rPr>
        <w:t xml:space="preserve">Internacional sobre la Eliminación de Todas las formas de discriminación racial, incluida su referencia a la “preferencia”, véase Heiner </w:t>
      </w:r>
      <w:proofErr w:type="spellStart"/>
      <w:r>
        <w:rPr>
          <w:sz w:val="13"/>
        </w:rPr>
        <w:t>Bielefeldt</w:t>
      </w:r>
      <w:proofErr w:type="spellEnd"/>
      <w:r>
        <w:rPr>
          <w:sz w:val="13"/>
        </w:rPr>
        <w:t xml:space="preserve"> y</w:t>
      </w:r>
    </w:p>
    <w:p w14:paraId="1C41FF43" w14:textId="77777777" w:rsidR="0014798C" w:rsidRDefault="004E1F0B">
      <w:pPr>
        <w:spacing w:before="2" w:line="288" w:lineRule="auto"/>
        <w:ind w:left="1367" w:right="1626" w:firstLine="10"/>
        <w:rPr>
          <w:sz w:val="13"/>
        </w:rPr>
      </w:pPr>
      <w:r>
        <w:rPr>
          <w:sz w:val="13"/>
        </w:rPr>
        <w:t>Michael Wiener, “Declaración sobre la eliminación de todas las formas de intolerancia y discriminación basadas en la religión o las creencias” (2021),</w:t>
      </w:r>
      <w:r>
        <w:rPr>
          <w:spacing w:val="40"/>
          <w:sz w:val="13"/>
        </w:rPr>
        <w:t xml:space="preserve"> </w:t>
      </w:r>
      <w:r>
        <w:rPr>
          <w:sz w:val="13"/>
        </w:rPr>
        <w:t xml:space="preserve">pág. 3. Disponible en </w:t>
      </w:r>
      <w:hyperlink r:id="rId92">
        <w:r>
          <w:rPr>
            <w:color w:val="0075BF"/>
            <w:sz w:val="13"/>
          </w:rPr>
          <w:t>https://legal.un.org/avl/pdf/ha/ga_36-55/ga_36-55_e.pdf.</w:t>
        </w:r>
      </w:hyperlink>
    </w:p>
    <w:p w14:paraId="2AEA696F" w14:textId="77777777" w:rsidR="0014798C" w:rsidRDefault="004E1F0B">
      <w:pPr>
        <w:spacing w:before="24"/>
        <w:ind w:left="1111"/>
        <w:rPr>
          <w:sz w:val="13"/>
        </w:rPr>
      </w:pPr>
      <w:r>
        <w:rPr>
          <w:sz w:val="13"/>
        </w:rPr>
        <w:t>119</w:t>
      </w:r>
      <w:r>
        <w:rPr>
          <w:spacing w:val="-1"/>
          <w:sz w:val="13"/>
        </w:rPr>
        <w:t xml:space="preserve"> </w:t>
      </w:r>
      <w:r>
        <w:rPr>
          <w:sz w:val="13"/>
        </w:rPr>
        <w:t>Comité de Derechos</w:t>
      </w:r>
      <w:r>
        <w:rPr>
          <w:spacing w:val="-1"/>
          <w:sz w:val="13"/>
        </w:rPr>
        <w:t xml:space="preserve"> </w:t>
      </w:r>
      <w:r>
        <w:rPr>
          <w:sz w:val="13"/>
        </w:rPr>
        <w:t>Humanos, observación general</w:t>
      </w:r>
      <w:r>
        <w:rPr>
          <w:spacing w:val="-1"/>
          <w:sz w:val="13"/>
        </w:rPr>
        <w:t xml:space="preserve"> </w:t>
      </w:r>
      <w:r>
        <w:rPr>
          <w:sz w:val="13"/>
        </w:rPr>
        <w:t>núm. 18 (1989),</w:t>
      </w:r>
      <w:r>
        <w:rPr>
          <w:spacing w:val="-1"/>
          <w:sz w:val="13"/>
        </w:rPr>
        <w:t xml:space="preserve"> </w:t>
      </w:r>
      <w:proofErr w:type="spellStart"/>
      <w:r>
        <w:rPr>
          <w:sz w:val="13"/>
        </w:rPr>
        <w:t>párrs</w:t>
      </w:r>
      <w:proofErr w:type="spellEnd"/>
      <w:r>
        <w:rPr>
          <w:sz w:val="13"/>
        </w:rPr>
        <w:t xml:space="preserve">. </w:t>
      </w:r>
      <w:r>
        <w:rPr>
          <w:spacing w:val="-4"/>
          <w:sz w:val="13"/>
        </w:rPr>
        <w:t>6–7.</w:t>
      </w:r>
    </w:p>
    <w:p w14:paraId="7DDB94B9" w14:textId="77777777" w:rsidR="0014798C" w:rsidRDefault="0014798C">
      <w:pPr>
        <w:pStyle w:val="Textoindependiente"/>
        <w:rPr>
          <w:sz w:val="18"/>
        </w:rPr>
      </w:pPr>
    </w:p>
    <w:p w14:paraId="6BE56F65" w14:textId="77777777" w:rsidR="0014798C" w:rsidRDefault="0014798C">
      <w:pPr>
        <w:pStyle w:val="Textoindependiente"/>
        <w:rPr>
          <w:sz w:val="18"/>
        </w:rPr>
      </w:pPr>
    </w:p>
    <w:p w14:paraId="5BEF6F00" w14:textId="77777777" w:rsidR="0014798C" w:rsidRDefault="0014798C">
      <w:pPr>
        <w:pStyle w:val="Textoindependiente"/>
        <w:spacing w:before="28"/>
        <w:rPr>
          <w:sz w:val="18"/>
        </w:rPr>
      </w:pPr>
    </w:p>
    <w:p w14:paraId="0B822FD7" w14:textId="77777777" w:rsidR="0014798C" w:rsidRDefault="004E1F0B">
      <w:pPr>
        <w:ind w:right="694"/>
        <w:jc w:val="right"/>
        <w:rPr>
          <w:sz w:val="18"/>
        </w:rPr>
      </w:pPr>
      <w:r>
        <w:rPr>
          <w:spacing w:val="-5"/>
          <w:sz w:val="18"/>
        </w:rPr>
        <w:t>17</w:t>
      </w:r>
    </w:p>
    <w:p w14:paraId="1C72009B" w14:textId="77777777" w:rsidR="0014798C" w:rsidRDefault="0014798C">
      <w:pPr>
        <w:jc w:val="right"/>
        <w:rPr>
          <w:sz w:val="18"/>
        </w:rPr>
        <w:sectPr w:rsidR="0014798C" w:rsidSect="00F265E4">
          <w:headerReference w:type="default" r:id="rId93"/>
          <w:pgSz w:w="11900" w:h="16820"/>
          <w:pgMar w:top="40" w:right="0" w:bottom="280" w:left="200" w:header="0" w:footer="0" w:gutter="0"/>
          <w:cols w:space="720"/>
        </w:sectPr>
      </w:pPr>
    </w:p>
    <w:p w14:paraId="5C8E084F" w14:textId="77777777" w:rsidR="0014798C" w:rsidRDefault="0014798C">
      <w:pPr>
        <w:pStyle w:val="Textoindependiente"/>
        <w:spacing w:before="85"/>
        <w:rPr>
          <w:sz w:val="12"/>
        </w:rPr>
      </w:pPr>
    </w:p>
    <w:p w14:paraId="4FE19BE9" w14:textId="77777777" w:rsidR="0014798C" w:rsidRDefault="004E1F0B">
      <w:pPr>
        <w:ind w:left="1111"/>
        <w:rPr>
          <w:sz w:val="12"/>
        </w:rPr>
      </w:pPr>
      <w:r>
        <w:rPr>
          <w:color w:val="00AC59"/>
          <w:sz w:val="12"/>
        </w:rPr>
        <w:t>PROTECCIÓN</w:t>
      </w:r>
      <w:r>
        <w:rPr>
          <w:color w:val="00AC59"/>
          <w:spacing w:val="6"/>
          <w:sz w:val="12"/>
        </w:rPr>
        <w:t xml:space="preserve"> </w:t>
      </w:r>
      <w:r>
        <w:rPr>
          <w:color w:val="00AC59"/>
          <w:sz w:val="12"/>
        </w:rPr>
        <w:t>DE</w:t>
      </w:r>
      <w:r>
        <w:rPr>
          <w:color w:val="00AC59"/>
          <w:spacing w:val="7"/>
          <w:sz w:val="12"/>
        </w:rPr>
        <w:t xml:space="preserve"> </w:t>
      </w:r>
      <w:r>
        <w:rPr>
          <w:color w:val="00AC59"/>
          <w:sz w:val="12"/>
        </w:rPr>
        <w:t>LOS</w:t>
      </w:r>
      <w:r>
        <w:rPr>
          <w:color w:val="00AC59"/>
          <w:spacing w:val="8"/>
          <w:sz w:val="12"/>
        </w:rPr>
        <w:t xml:space="preserve"> </w:t>
      </w:r>
      <w:r>
        <w:rPr>
          <w:color w:val="00AC59"/>
          <w:sz w:val="12"/>
        </w:rPr>
        <w:t>DERECHOS</w:t>
      </w:r>
      <w:r>
        <w:rPr>
          <w:color w:val="00AC59"/>
          <w:spacing w:val="8"/>
          <w:sz w:val="12"/>
        </w:rPr>
        <w:t xml:space="preserve"> </w:t>
      </w:r>
      <w:r>
        <w:rPr>
          <w:color w:val="00AC59"/>
          <w:sz w:val="12"/>
        </w:rPr>
        <w:t>DE</w:t>
      </w:r>
      <w:r>
        <w:rPr>
          <w:color w:val="00AC59"/>
          <w:spacing w:val="6"/>
          <w:sz w:val="12"/>
        </w:rPr>
        <w:t xml:space="preserve"> </w:t>
      </w:r>
      <w:r>
        <w:rPr>
          <w:color w:val="00AC59"/>
          <w:sz w:val="12"/>
        </w:rPr>
        <w:t>LAS</w:t>
      </w:r>
      <w:r>
        <w:rPr>
          <w:color w:val="00AC59"/>
          <w:spacing w:val="7"/>
          <w:sz w:val="12"/>
        </w:rPr>
        <w:t xml:space="preserve"> </w:t>
      </w:r>
      <w:r>
        <w:rPr>
          <w:color w:val="00AC59"/>
          <w:sz w:val="12"/>
        </w:rPr>
        <w:t>MINORÍAS:</w:t>
      </w:r>
      <w:r>
        <w:rPr>
          <w:color w:val="00AC59"/>
          <w:spacing w:val="8"/>
          <w:sz w:val="12"/>
        </w:rPr>
        <w:t xml:space="preserve"> </w:t>
      </w:r>
      <w:r>
        <w:rPr>
          <w:color w:val="00AC59"/>
          <w:sz w:val="12"/>
        </w:rPr>
        <w:t>una</w:t>
      </w:r>
      <w:r>
        <w:rPr>
          <w:color w:val="00AC59"/>
          <w:spacing w:val="7"/>
          <w:sz w:val="12"/>
        </w:rPr>
        <w:t xml:space="preserve"> </w:t>
      </w:r>
      <w:r>
        <w:rPr>
          <w:color w:val="00AC59"/>
          <w:sz w:val="12"/>
        </w:rPr>
        <w:t>guía</w:t>
      </w:r>
      <w:r>
        <w:rPr>
          <w:color w:val="00AC59"/>
          <w:spacing w:val="6"/>
          <w:sz w:val="12"/>
        </w:rPr>
        <w:t xml:space="preserve"> </w:t>
      </w:r>
      <w:r>
        <w:rPr>
          <w:color w:val="00AC59"/>
          <w:sz w:val="12"/>
        </w:rPr>
        <w:t>práctica</w:t>
      </w:r>
      <w:r>
        <w:rPr>
          <w:color w:val="00AC59"/>
          <w:spacing w:val="7"/>
          <w:sz w:val="12"/>
        </w:rPr>
        <w:t xml:space="preserve"> </w:t>
      </w:r>
      <w:r>
        <w:rPr>
          <w:color w:val="00AC59"/>
          <w:sz w:val="12"/>
        </w:rPr>
        <w:t>para</w:t>
      </w:r>
      <w:r>
        <w:rPr>
          <w:color w:val="00AC59"/>
          <w:spacing w:val="8"/>
          <w:sz w:val="12"/>
        </w:rPr>
        <w:t xml:space="preserve"> </w:t>
      </w:r>
      <w:r>
        <w:rPr>
          <w:color w:val="00AC59"/>
          <w:sz w:val="12"/>
        </w:rPr>
        <w:t>desarrollar</w:t>
      </w:r>
      <w:r>
        <w:rPr>
          <w:color w:val="00AC59"/>
          <w:spacing w:val="6"/>
          <w:sz w:val="12"/>
        </w:rPr>
        <w:t xml:space="preserve"> </w:t>
      </w:r>
      <w:r>
        <w:rPr>
          <w:color w:val="00AC59"/>
          <w:sz w:val="12"/>
        </w:rPr>
        <w:t>una</w:t>
      </w:r>
      <w:r>
        <w:rPr>
          <w:color w:val="00AC59"/>
          <w:spacing w:val="7"/>
          <w:sz w:val="12"/>
        </w:rPr>
        <w:t xml:space="preserve"> </w:t>
      </w:r>
      <w:r>
        <w:rPr>
          <w:color w:val="00AC59"/>
          <w:sz w:val="12"/>
        </w:rPr>
        <w:t>legislación</w:t>
      </w:r>
      <w:r>
        <w:rPr>
          <w:color w:val="00AC59"/>
          <w:spacing w:val="8"/>
          <w:sz w:val="12"/>
        </w:rPr>
        <w:t xml:space="preserve"> </w:t>
      </w:r>
      <w:r>
        <w:rPr>
          <w:color w:val="00AC59"/>
          <w:sz w:val="12"/>
        </w:rPr>
        <w:t>integral</w:t>
      </w:r>
      <w:r>
        <w:rPr>
          <w:color w:val="00AC59"/>
          <w:spacing w:val="7"/>
          <w:sz w:val="12"/>
        </w:rPr>
        <w:t xml:space="preserve"> </w:t>
      </w:r>
      <w:r>
        <w:rPr>
          <w:color w:val="00AC59"/>
          <w:sz w:val="12"/>
        </w:rPr>
        <w:t>contra</w:t>
      </w:r>
      <w:r>
        <w:rPr>
          <w:color w:val="00AC59"/>
          <w:spacing w:val="6"/>
          <w:sz w:val="12"/>
        </w:rPr>
        <w:t xml:space="preserve"> </w:t>
      </w:r>
      <w:r>
        <w:rPr>
          <w:color w:val="00AC59"/>
          <w:sz w:val="12"/>
        </w:rPr>
        <w:t>la</w:t>
      </w:r>
      <w:r>
        <w:rPr>
          <w:color w:val="00AC59"/>
          <w:spacing w:val="7"/>
          <w:sz w:val="12"/>
        </w:rPr>
        <w:t xml:space="preserve"> </w:t>
      </w:r>
      <w:r>
        <w:rPr>
          <w:color w:val="00AC59"/>
          <w:spacing w:val="-2"/>
          <w:sz w:val="12"/>
        </w:rPr>
        <w:t>discriminación</w:t>
      </w:r>
    </w:p>
    <w:p w14:paraId="1D2711FD" w14:textId="77777777" w:rsidR="0014798C" w:rsidRDefault="0014798C">
      <w:pPr>
        <w:pStyle w:val="Textoindependiente"/>
        <w:rPr>
          <w:sz w:val="15"/>
        </w:rPr>
      </w:pPr>
    </w:p>
    <w:p w14:paraId="7EE9D04D" w14:textId="77777777" w:rsidR="0014798C" w:rsidRDefault="0014798C">
      <w:pPr>
        <w:pStyle w:val="Textoindependiente"/>
        <w:rPr>
          <w:sz w:val="15"/>
        </w:rPr>
      </w:pPr>
    </w:p>
    <w:p w14:paraId="6AE91F6B" w14:textId="77777777" w:rsidR="0014798C" w:rsidRDefault="0014798C">
      <w:pPr>
        <w:pStyle w:val="Textoindependiente"/>
        <w:rPr>
          <w:sz w:val="15"/>
        </w:rPr>
      </w:pPr>
    </w:p>
    <w:p w14:paraId="0C67390C" w14:textId="77777777" w:rsidR="0014798C" w:rsidRDefault="0014798C">
      <w:pPr>
        <w:pStyle w:val="Textoindependiente"/>
        <w:rPr>
          <w:sz w:val="15"/>
        </w:rPr>
      </w:pPr>
    </w:p>
    <w:p w14:paraId="6F04277F" w14:textId="77777777" w:rsidR="0014798C" w:rsidRDefault="0014798C">
      <w:pPr>
        <w:pStyle w:val="Textoindependiente"/>
        <w:spacing w:before="138"/>
        <w:rPr>
          <w:sz w:val="15"/>
        </w:rPr>
      </w:pPr>
    </w:p>
    <w:p w14:paraId="0D6C1E70" w14:textId="77777777" w:rsidR="0014798C" w:rsidRDefault="004E1F0B">
      <w:pPr>
        <w:spacing w:line="348" w:lineRule="auto"/>
        <w:ind w:left="1109" w:right="1272"/>
        <w:rPr>
          <w:sz w:val="15"/>
        </w:rPr>
      </w:pPr>
      <w:r>
        <w:rPr>
          <w:w w:val="105"/>
          <w:sz w:val="15"/>
        </w:rPr>
        <w:t>en</w:t>
      </w:r>
      <w:r>
        <w:rPr>
          <w:spacing w:val="-7"/>
          <w:w w:val="105"/>
          <w:sz w:val="15"/>
        </w:rPr>
        <w:t xml:space="preserve"> </w:t>
      </w:r>
      <w:r>
        <w:rPr>
          <w:w w:val="105"/>
          <w:sz w:val="15"/>
        </w:rPr>
        <w:t>su</w:t>
      </w:r>
      <w:r>
        <w:rPr>
          <w:spacing w:val="-7"/>
          <w:w w:val="105"/>
          <w:sz w:val="15"/>
        </w:rPr>
        <w:t xml:space="preserve"> </w:t>
      </w:r>
      <w:r>
        <w:rPr>
          <w:w w:val="105"/>
          <w:sz w:val="15"/>
        </w:rPr>
        <w:t>Observación</w:t>
      </w:r>
      <w:r>
        <w:rPr>
          <w:spacing w:val="-7"/>
          <w:w w:val="105"/>
          <w:sz w:val="15"/>
        </w:rPr>
        <w:t xml:space="preserve"> </w:t>
      </w:r>
      <w:r>
        <w:rPr>
          <w:w w:val="105"/>
          <w:sz w:val="15"/>
        </w:rPr>
        <w:t>general</w:t>
      </w:r>
      <w:r>
        <w:rPr>
          <w:spacing w:val="-7"/>
          <w:w w:val="105"/>
          <w:sz w:val="15"/>
        </w:rPr>
        <w:t xml:space="preserve"> </w:t>
      </w:r>
      <w:proofErr w:type="spellStart"/>
      <w:r>
        <w:rPr>
          <w:w w:val="105"/>
          <w:sz w:val="15"/>
        </w:rPr>
        <w:t>Nº</w:t>
      </w:r>
      <w:proofErr w:type="spellEnd"/>
      <w:r>
        <w:rPr>
          <w:spacing w:val="-7"/>
          <w:w w:val="105"/>
          <w:sz w:val="15"/>
        </w:rPr>
        <w:t xml:space="preserve"> </w:t>
      </w:r>
      <w:r>
        <w:rPr>
          <w:w w:val="105"/>
          <w:sz w:val="15"/>
        </w:rPr>
        <w:t>20</w:t>
      </w:r>
      <w:r>
        <w:rPr>
          <w:spacing w:val="-7"/>
          <w:w w:val="105"/>
          <w:sz w:val="15"/>
        </w:rPr>
        <w:t xml:space="preserve"> </w:t>
      </w:r>
      <w:r>
        <w:rPr>
          <w:w w:val="105"/>
          <w:sz w:val="15"/>
        </w:rPr>
        <w:t>(2009),</w:t>
      </w:r>
      <w:r>
        <w:rPr>
          <w:spacing w:val="-7"/>
          <w:w w:val="105"/>
          <w:sz w:val="15"/>
        </w:rPr>
        <w:t xml:space="preserve"> </w:t>
      </w:r>
      <w:r>
        <w:rPr>
          <w:w w:val="105"/>
          <w:sz w:val="15"/>
        </w:rPr>
        <w:t>insertando</w:t>
      </w:r>
      <w:r>
        <w:rPr>
          <w:spacing w:val="-7"/>
          <w:w w:val="105"/>
          <w:sz w:val="15"/>
        </w:rPr>
        <w:t xml:space="preserve"> </w:t>
      </w:r>
      <w:r>
        <w:rPr>
          <w:w w:val="105"/>
          <w:sz w:val="15"/>
        </w:rPr>
        <w:t>la</w:t>
      </w:r>
      <w:r>
        <w:rPr>
          <w:spacing w:val="-7"/>
          <w:w w:val="105"/>
          <w:sz w:val="15"/>
        </w:rPr>
        <w:t xml:space="preserve"> </w:t>
      </w:r>
      <w:r>
        <w:rPr>
          <w:w w:val="105"/>
          <w:sz w:val="15"/>
        </w:rPr>
        <w:t>frase</w:t>
      </w:r>
      <w:r>
        <w:rPr>
          <w:spacing w:val="-7"/>
          <w:w w:val="105"/>
          <w:sz w:val="15"/>
        </w:rPr>
        <w:t xml:space="preserve"> </w:t>
      </w:r>
      <w:r>
        <w:rPr>
          <w:w w:val="105"/>
          <w:sz w:val="15"/>
        </w:rPr>
        <w:t>“u</w:t>
      </w:r>
      <w:r>
        <w:rPr>
          <w:spacing w:val="-7"/>
          <w:w w:val="105"/>
          <w:sz w:val="15"/>
        </w:rPr>
        <w:t xml:space="preserve"> </w:t>
      </w:r>
      <w:r>
        <w:rPr>
          <w:w w:val="105"/>
          <w:sz w:val="15"/>
        </w:rPr>
        <w:t>otro</w:t>
      </w:r>
      <w:r>
        <w:rPr>
          <w:spacing w:val="-7"/>
          <w:w w:val="105"/>
          <w:sz w:val="15"/>
        </w:rPr>
        <w:t xml:space="preserve"> </w:t>
      </w:r>
      <w:r>
        <w:rPr>
          <w:w w:val="105"/>
          <w:sz w:val="15"/>
        </w:rPr>
        <w:t>trato</w:t>
      </w:r>
      <w:r>
        <w:rPr>
          <w:spacing w:val="-7"/>
          <w:w w:val="105"/>
          <w:sz w:val="15"/>
        </w:rPr>
        <w:t xml:space="preserve"> </w:t>
      </w:r>
      <w:r>
        <w:rPr>
          <w:w w:val="105"/>
          <w:sz w:val="15"/>
        </w:rPr>
        <w:t>diferenciado</w:t>
      </w:r>
      <w:r>
        <w:rPr>
          <w:spacing w:val="-7"/>
          <w:w w:val="105"/>
          <w:sz w:val="15"/>
        </w:rPr>
        <w:t xml:space="preserve"> </w:t>
      </w:r>
      <w:r>
        <w:rPr>
          <w:w w:val="105"/>
          <w:sz w:val="15"/>
        </w:rPr>
        <w:t>que</w:t>
      </w:r>
      <w:r>
        <w:rPr>
          <w:spacing w:val="-7"/>
          <w:w w:val="105"/>
          <w:sz w:val="15"/>
        </w:rPr>
        <w:t xml:space="preserve"> </w:t>
      </w:r>
      <w:r>
        <w:rPr>
          <w:w w:val="105"/>
          <w:sz w:val="15"/>
        </w:rPr>
        <w:t>se</w:t>
      </w:r>
      <w:r>
        <w:rPr>
          <w:spacing w:val="-7"/>
          <w:w w:val="105"/>
          <w:sz w:val="15"/>
        </w:rPr>
        <w:t xml:space="preserve"> </w:t>
      </w:r>
      <w:r>
        <w:rPr>
          <w:w w:val="105"/>
          <w:sz w:val="15"/>
        </w:rPr>
        <w:t>base</w:t>
      </w:r>
      <w:r>
        <w:rPr>
          <w:spacing w:val="-7"/>
          <w:w w:val="105"/>
          <w:sz w:val="15"/>
        </w:rPr>
        <w:t xml:space="preserve"> </w:t>
      </w:r>
      <w:r>
        <w:rPr>
          <w:w w:val="105"/>
          <w:sz w:val="15"/>
        </w:rPr>
        <w:t>directa</w:t>
      </w:r>
      <w:r>
        <w:rPr>
          <w:spacing w:val="-7"/>
          <w:w w:val="105"/>
          <w:sz w:val="15"/>
        </w:rPr>
        <w:t xml:space="preserve"> </w:t>
      </w:r>
      <w:r>
        <w:rPr>
          <w:w w:val="105"/>
          <w:sz w:val="15"/>
        </w:rPr>
        <w:t>o</w:t>
      </w:r>
      <w:r>
        <w:rPr>
          <w:spacing w:val="-7"/>
          <w:w w:val="105"/>
          <w:sz w:val="15"/>
        </w:rPr>
        <w:t xml:space="preserve"> </w:t>
      </w:r>
      <w:r>
        <w:rPr>
          <w:w w:val="105"/>
          <w:sz w:val="15"/>
        </w:rPr>
        <w:t>indirectamente</w:t>
      </w:r>
      <w:r>
        <w:rPr>
          <w:spacing w:val="-7"/>
          <w:w w:val="105"/>
          <w:sz w:val="15"/>
        </w:rPr>
        <w:t xml:space="preserve"> </w:t>
      </w:r>
      <w:r>
        <w:rPr>
          <w:w w:val="105"/>
          <w:sz w:val="15"/>
        </w:rPr>
        <w:t>en</w:t>
      </w:r>
      <w:r>
        <w:rPr>
          <w:spacing w:val="-7"/>
          <w:w w:val="105"/>
          <w:sz w:val="15"/>
        </w:rPr>
        <w:t xml:space="preserve"> </w:t>
      </w:r>
      <w:r>
        <w:rPr>
          <w:w w:val="105"/>
          <w:sz w:val="15"/>
        </w:rPr>
        <w:t>motivos de discriminación prohibidos” después de la palabra “preferencia”120.</w:t>
      </w:r>
    </w:p>
    <w:p w14:paraId="07D8665D" w14:textId="77777777" w:rsidR="0014798C" w:rsidRDefault="004E1F0B">
      <w:pPr>
        <w:spacing w:before="169" w:line="348" w:lineRule="auto"/>
        <w:ind w:left="1111" w:right="1272" w:hanging="5"/>
        <w:rPr>
          <w:sz w:val="15"/>
        </w:rPr>
      </w:pPr>
      <w:r>
        <w:rPr>
          <w:w w:val="105"/>
          <w:sz w:val="15"/>
        </w:rPr>
        <w:t>Como</w:t>
      </w:r>
      <w:r>
        <w:rPr>
          <w:spacing w:val="-3"/>
          <w:w w:val="105"/>
          <w:sz w:val="15"/>
        </w:rPr>
        <w:t xml:space="preserve"> </w:t>
      </w:r>
      <w:r>
        <w:rPr>
          <w:w w:val="105"/>
          <w:sz w:val="15"/>
        </w:rPr>
        <w:t>lo</w:t>
      </w:r>
      <w:r>
        <w:rPr>
          <w:spacing w:val="-3"/>
          <w:w w:val="105"/>
          <w:sz w:val="15"/>
        </w:rPr>
        <w:t xml:space="preserve"> </w:t>
      </w:r>
      <w:r>
        <w:rPr>
          <w:w w:val="105"/>
          <w:sz w:val="15"/>
        </w:rPr>
        <w:t>indican</w:t>
      </w:r>
      <w:r>
        <w:rPr>
          <w:spacing w:val="-3"/>
          <w:w w:val="105"/>
          <w:sz w:val="15"/>
        </w:rPr>
        <w:t xml:space="preserve"> </w:t>
      </w:r>
      <w:r>
        <w:rPr>
          <w:w w:val="105"/>
          <w:sz w:val="15"/>
        </w:rPr>
        <w:t>las</w:t>
      </w:r>
      <w:r>
        <w:rPr>
          <w:spacing w:val="-3"/>
          <w:w w:val="105"/>
          <w:sz w:val="15"/>
        </w:rPr>
        <w:t xml:space="preserve"> </w:t>
      </w:r>
      <w:r>
        <w:rPr>
          <w:w w:val="105"/>
          <w:sz w:val="15"/>
        </w:rPr>
        <w:t>constantes</w:t>
      </w:r>
      <w:r>
        <w:rPr>
          <w:spacing w:val="-3"/>
          <w:w w:val="105"/>
          <w:sz w:val="15"/>
        </w:rPr>
        <w:t xml:space="preserve"> </w:t>
      </w:r>
      <w:r>
        <w:rPr>
          <w:w w:val="105"/>
          <w:sz w:val="15"/>
        </w:rPr>
        <w:t>referencias</w:t>
      </w:r>
      <w:r>
        <w:rPr>
          <w:spacing w:val="-3"/>
          <w:w w:val="105"/>
          <w:sz w:val="15"/>
        </w:rPr>
        <w:t xml:space="preserve"> </w:t>
      </w:r>
      <w:r>
        <w:rPr>
          <w:w w:val="105"/>
          <w:sz w:val="15"/>
        </w:rPr>
        <w:t>a</w:t>
      </w:r>
      <w:r>
        <w:rPr>
          <w:spacing w:val="-3"/>
          <w:w w:val="105"/>
          <w:sz w:val="15"/>
        </w:rPr>
        <w:t xml:space="preserve"> </w:t>
      </w:r>
      <w:r>
        <w:rPr>
          <w:w w:val="105"/>
          <w:sz w:val="15"/>
        </w:rPr>
        <w:t>“propósito</w:t>
      </w:r>
      <w:r>
        <w:rPr>
          <w:spacing w:val="-3"/>
          <w:w w:val="105"/>
          <w:sz w:val="15"/>
        </w:rPr>
        <w:t xml:space="preserve"> </w:t>
      </w:r>
      <w:r>
        <w:rPr>
          <w:w w:val="105"/>
          <w:sz w:val="15"/>
        </w:rPr>
        <w:t>o</w:t>
      </w:r>
      <w:r>
        <w:rPr>
          <w:spacing w:val="-3"/>
          <w:w w:val="105"/>
          <w:sz w:val="15"/>
        </w:rPr>
        <w:t xml:space="preserve"> </w:t>
      </w:r>
      <w:r>
        <w:rPr>
          <w:w w:val="105"/>
          <w:sz w:val="15"/>
        </w:rPr>
        <w:t>efecto”</w:t>
      </w:r>
      <w:r>
        <w:rPr>
          <w:spacing w:val="-3"/>
          <w:w w:val="105"/>
          <w:sz w:val="15"/>
        </w:rPr>
        <w:t xml:space="preserve"> </w:t>
      </w:r>
      <w:r>
        <w:rPr>
          <w:w w:val="105"/>
          <w:sz w:val="15"/>
        </w:rPr>
        <w:t>en</w:t>
      </w:r>
      <w:r>
        <w:rPr>
          <w:spacing w:val="-3"/>
          <w:w w:val="105"/>
          <w:sz w:val="15"/>
        </w:rPr>
        <w:t xml:space="preserve"> </w:t>
      </w:r>
      <w:r>
        <w:rPr>
          <w:w w:val="105"/>
          <w:sz w:val="15"/>
        </w:rPr>
        <w:t>estas</w:t>
      </w:r>
      <w:r>
        <w:rPr>
          <w:spacing w:val="-3"/>
          <w:w w:val="105"/>
          <w:sz w:val="15"/>
        </w:rPr>
        <w:t xml:space="preserve"> </w:t>
      </w:r>
      <w:r>
        <w:rPr>
          <w:w w:val="105"/>
          <w:sz w:val="15"/>
        </w:rPr>
        <w:t>definiciones,</w:t>
      </w:r>
      <w:r>
        <w:rPr>
          <w:spacing w:val="-2"/>
          <w:w w:val="105"/>
          <w:sz w:val="15"/>
        </w:rPr>
        <w:t xml:space="preserve"> </w:t>
      </w:r>
      <w:r>
        <w:rPr>
          <w:w w:val="105"/>
          <w:sz w:val="15"/>
        </w:rPr>
        <w:t>está</w:t>
      </w:r>
      <w:r>
        <w:rPr>
          <w:spacing w:val="-3"/>
          <w:w w:val="105"/>
          <w:sz w:val="15"/>
        </w:rPr>
        <w:t xml:space="preserve"> </w:t>
      </w:r>
      <w:r>
        <w:rPr>
          <w:w w:val="105"/>
          <w:sz w:val="15"/>
        </w:rPr>
        <w:t>bien</w:t>
      </w:r>
      <w:r>
        <w:rPr>
          <w:spacing w:val="-3"/>
          <w:w w:val="105"/>
          <w:sz w:val="15"/>
        </w:rPr>
        <w:t xml:space="preserve"> </w:t>
      </w:r>
      <w:r>
        <w:rPr>
          <w:w w:val="105"/>
          <w:sz w:val="15"/>
        </w:rPr>
        <w:t>establecido</w:t>
      </w:r>
      <w:r>
        <w:rPr>
          <w:spacing w:val="-3"/>
          <w:w w:val="105"/>
          <w:sz w:val="15"/>
        </w:rPr>
        <w:t xml:space="preserve"> </w:t>
      </w:r>
      <w:r>
        <w:rPr>
          <w:w w:val="105"/>
          <w:sz w:val="15"/>
        </w:rPr>
        <w:t>que</w:t>
      </w:r>
      <w:r>
        <w:rPr>
          <w:spacing w:val="-3"/>
          <w:w w:val="105"/>
          <w:sz w:val="15"/>
        </w:rPr>
        <w:t xml:space="preserve"> </w:t>
      </w:r>
      <w:r>
        <w:rPr>
          <w:w w:val="105"/>
          <w:sz w:val="15"/>
        </w:rPr>
        <w:t>la</w:t>
      </w:r>
      <w:r>
        <w:rPr>
          <w:spacing w:val="-3"/>
          <w:w w:val="105"/>
          <w:sz w:val="15"/>
        </w:rPr>
        <w:t xml:space="preserve"> </w:t>
      </w:r>
      <w:r>
        <w:rPr>
          <w:w w:val="105"/>
          <w:sz w:val="15"/>
        </w:rPr>
        <w:t>discriminación ocurre</w:t>
      </w:r>
      <w:r>
        <w:rPr>
          <w:spacing w:val="-8"/>
          <w:w w:val="105"/>
          <w:sz w:val="15"/>
        </w:rPr>
        <w:t xml:space="preserve"> </w:t>
      </w:r>
      <w:r>
        <w:rPr>
          <w:w w:val="105"/>
          <w:sz w:val="15"/>
        </w:rPr>
        <w:t>tanto</w:t>
      </w:r>
      <w:r>
        <w:rPr>
          <w:spacing w:val="-8"/>
          <w:w w:val="105"/>
          <w:sz w:val="15"/>
        </w:rPr>
        <w:t xml:space="preserve"> </w:t>
      </w:r>
      <w:r>
        <w:rPr>
          <w:w w:val="105"/>
          <w:sz w:val="15"/>
        </w:rPr>
        <w:t>cuando</w:t>
      </w:r>
      <w:r>
        <w:rPr>
          <w:spacing w:val="-8"/>
          <w:w w:val="105"/>
          <w:sz w:val="15"/>
        </w:rPr>
        <w:t xml:space="preserve"> </w:t>
      </w:r>
      <w:r>
        <w:rPr>
          <w:w w:val="105"/>
          <w:sz w:val="15"/>
        </w:rPr>
        <w:t>una</w:t>
      </w:r>
      <w:r>
        <w:rPr>
          <w:spacing w:val="-8"/>
          <w:w w:val="105"/>
          <w:sz w:val="15"/>
        </w:rPr>
        <w:t xml:space="preserve"> </w:t>
      </w:r>
      <w:r>
        <w:rPr>
          <w:w w:val="105"/>
          <w:sz w:val="15"/>
        </w:rPr>
        <w:t>persona</w:t>
      </w:r>
      <w:r>
        <w:rPr>
          <w:spacing w:val="-8"/>
          <w:w w:val="105"/>
          <w:sz w:val="15"/>
        </w:rPr>
        <w:t xml:space="preserve"> </w:t>
      </w:r>
      <w:r>
        <w:rPr>
          <w:w w:val="105"/>
          <w:sz w:val="15"/>
        </w:rPr>
        <w:t>es</w:t>
      </w:r>
      <w:r>
        <w:rPr>
          <w:spacing w:val="-8"/>
          <w:w w:val="105"/>
          <w:sz w:val="15"/>
        </w:rPr>
        <w:t xml:space="preserve"> </w:t>
      </w:r>
      <w:r>
        <w:rPr>
          <w:w w:val="105"/>
          <w:sz w:val="15"/>
        </w:rPr>
        <w:t>tratada</w:t>
      </w:r>
      <w:r>
        <w:rPr>
          <w:spacing w:val="-8"/>
          <w:w w:val="105"/>
          <w:sz w:val="15"/>
        </w:rPr>
        <w:t xml:space="preserve"> </w:t>
      </w:r>
      <w:r>
        <w:rPr>
          <w:w w:val="105"/>
          <w:sz w:val="15"/>
        </w:rPr>
        <w:t>de</w:t>
      </w:r>
      <w:r>
        <w:rPr>
          <w:spacing w:val="-8"/>
          <w:w w:val="105"/>
          <w:sz w:val="15"/>
        </w:rPr>
        <w:t xml:space="preserve"> </w:t>
      </w:r>
      <w:r>
        <w:rPr>
          <w:w w:val="105"/>
          <w:sz w:val="15"/>
        </w:rPr>
        <w:t>manera</w:t>
      </w:r>
      <w:r>
        <w:rPr>
          <w:spacing w:val="-8"/>
          <w:w w:val="105"/>
          <w:sz w:val="15"/>
        </w:rPr>
        <w:t xml:space="preserve"> </w:t>
      </w:r>
      <w:r>
        <w:rPr>
          <w:w w:val="105"/>
          <w:sz w:val="15"/>
        </w:rPr>
        <w:t>diferente</w:t>
      </w:r>
      <w:r>
        <w:rPr>
          <w:spacing w:val="-8"/>
          <w:w w:val="105"/>
          <w:sz w:val="15"/>
        </w:rPr>
        <w:t xml:space="preserve"> </w:t>
      </w:r>
      <w:r>
        <w:rPr>
          <w:w w:val="105"/>
          <w:sz w:val="15"/>
        </w:rPr>
        <w:t>a</w:t>
      </w:r>
      <w:r>
        <w:rPr>
          <w:spacing w:val="-8"/>
          <w:w w:val="105"/>
          <w:sz w:val="15"/>
        </w:rPr>
        <w:t xml:space="preserve"> </w:t>
      </w:r>
      <w:r>
        <w:rPr>
          <w:w w:val="105"/>
          <w:sz w:val="15"/>
        </w:rPr>
        <w:t>alguien</w:t>
      </w:r>
      <w:r>
        <w:rPr>
          <w:spacing w:val="-8"/>
          <w:w w:val="105"/>
          <w:sz w:val="15"/>
        </w:rPr>
        <w:t xml:space="preserve"> </w:t>
      </w:r>
      <w:r>
        <w:rPr>
          <w:w w:val="105"/>
          <w:sz w:val="15"/>
        </w:rPr>
        <w:t>en</w:t>
      </w:r>
      <w:r>
        <w:rPr>
          <w:spacing w:val="-8"/>
          <w:w w:val="105"/>
          <w:sz w:val="15"/>
        </w:rPr>
        <w:t xml:space="preserve"> </w:t>
      </w:r>
      <w:r>
        <w:rPr>
          <w:w w:val="105"/>
          <w:sz w:val="15"/>
        </w:rPr>
        <w:t>una</w:t>
      </w:r>
      <w:r>
        <w:rPr>
          <w:spacing w:val="-8"/>
          <w:w w:val="105"/>
          <w:sz w:val="15"/>
        </w:rPr>
        <w:t xml:space="preserve"> </w:t>
      </w:r>
      <w:r>
        <w:rPr>
          <w:w w:val="105"/>
          <w:sz w:val="15"/>
        </w:rPr>
        <w:t>situación</w:t>
      </w:r>
      <w:r>
        <w:rPr>
          <w:spacing w:val="-8"/>
          <w:w w:val="105"/>
          <w:sz w:val="15"/>
        </w:rPr>
        <w:t xml:space="preserve"> </w:t>
      </w:r>
      <w:r>
        <w:rPr>
          <w:w w:val="105"/>
          <w:sz w:val="15"/>
        </w:rPr>
        <w:t>relevantemente</w:t>
      </w:r>
      <w:r>
        <w:rPr>
          <w:spacing w:val="-8"/>
          <w:w w:val="105"/>
          <w:sz w:val="15"/>
        </w:rPr>
        <w:t xml:space="preserve"> </w:t>
      </w:r>
      <w:r>
        <w:rPr>
          <w:w w:val="105"/>
          <w:sz w:val="15"/>
        </w:rPr>
        <w:t>similar</w:t>
      </w:r>
      <w:r>
        <w:rPr>
          <w:spacing w:val="-8"/>
          <w:w w:val="105"/>
          <w:sz w:val="15"/>
        </w:rPr>
        <w:t xml:space="preserve"> </w:t>
      </w:r>
      <w:r>
        <w:rPr>
          <w:w w:val="105"/>
          <w:sz w:val="15"/>
        </w:rPr>
        <w:t>como</w:t>
      </w:r>
      <w:r>
        <w:rPr>
          <w:spacing w:val="-8"/>
          <w:w w:val="105"/>
          <w:sz w:val="15"/>
        </w:rPr>
        <w:t xml:space="preserve"> </w:t>
      </w:r>
      <w:r>
        <w:rPr>
          <w:w w:val="105"/>
          <w:sz w:val="15"/>
        </w:rPr>
        <w:t>cuando</w:t>
      </w:r>
      <w:r>
        <w:rPr>
          <w:spacing w:val="-8"/>
          <w:w w:val="105"/>
          <w:sz w:val="15"/>
        </w:rPr>
        <w:t xml:space="preserve"> </w:t>
      </w:r>
      <w:r>
        <w:rPr>
          <w:w w:val="105"/>
          <w:sz w:val="15"/>
        </w:rPr>
        <w:t>se trata</w:t>
      </w:r>
      <w:r>
        <w:rPr>
          <w:spacing w:val="-2"/>
          <w:w w:val="105"/>
          <w:sz w:val="15"/>
        </w:rPr>
        <w:t xml:space="preserve"> </w:t>
      </w:r>
      <w:r>
        <w:rPr>
          <w:w w:val="105"/>
          <w:sz w:val="15"/>
        </w:rPr>
        <w:t>de</w:t>
      </w:r>
      <w:r>
        <w:rPr>
          <w:spacing w:val="-2"/>
          <w:w w:val="105"/>
          <w:sz w:val="15"/>
        </w:rPr>
        <w:t xml:space="preserve"> </w:t>
      </w:r>
      <w:r>
        <w:rPr>
          <w:w w:val="105"/>
          <w:sz w:val="15"/>
        </w:rPr>
        <w:t>manera</w:t>
      </w:r>
      <w:r>
        <w:rPr>
          <w:spacing w:val="-2"/>
          <w:w w:val="105"/>
          <w:sz w:val="15"/>
        </w:rPr>
        <w:t xml:space="preserve"> </w:t>
      </w:r>
      <w:r>
        <w:rPr>
          <w:w w:val="105"/>
          <w:sz w:val="15"/>
        </w:rPr>
        <w:t>igualitaria</w:t>
      </w:r>
      <w:r>
        <w:rPr>
          <w:spacing w:val="-2"/>
          <w:w w:val="105"/>
          <w:sz w:val="15"/>
        </w:rPr>
        <w:t xml:space="preserve"> </w:t>
      </w:r>
      <w:r>
        <w:rPr>
          <w:w w:val="105"/>
          <w:sz w:val="15"/>
        </w:rPr>
        <w:t>a</w:t>
      </w:r>
      <w:r>
        <w:rPr>
          <w:spacing w:val="-2"/>
          <w:w w:val="105"/>
          <w:sz w:val="15"/>
        </w:rPr>
        <w:t xml:space="preserve"> </w:t>
      </w:r>
      <w:r>
        <w:rPr>
          <w:w w:val="105"/>
          <w:sz w:val="15"/>
        </w:rPr>
        <w:t>un</w:t>
      </w:r>
      <w:r>
        <w:rPr>
          <w:spacing w:val="-2"/>
          <w:w w:val="105"/>
          <w:sz w:val="15"/>
        </w:rPr>
        <w:t xml:space="preserve"> </w:t>
      </w:r>
      <w:r>
        <w:rPr>
          <w:w w:val="105"/>
          <w:sz w:val="15"/>
        </w:rPr>
        <w:t>grupo</w:t>
      </w:r>
      <w:r>
        <w:rPr>
          <w:spacing w:val="-2"/>
          <w:w w:val="105"/>
          <w:sz w:val="15"/>
        </w:rPr>
        <w:t xml:space="preserve"> </w:t>
      </w:r>
      <w:r>
        <w:rPr>
          <w:w w:val="105"/>
          <w:sz w:val="15"/>
        </w:rPr>
        <w:t>de</w:t>
      </w:r>
      <w:r>
        <w:rPr>
          <w:spacing w:val="-2"/>
          <w:w w:val="105"/>
          <w:sz w:val="15"/>
        </w:rPr>
        <w:t xml:space="preserve"> </w:t>
      </w:r>
      <w:r>
        <w:rPr>
          <w:w w:val="105"/>
          <w:sz w:val="15"/>
        </w:rPr>
        <w:t>personas</w:t>
      </w:r>
      <w:r>
        <w:rPr>
          <w:spacing w:val="-2"/>
          <w:w w:val="105"/>
          <w:sz w:val="15"/>
        </w:rPr>
        <w:t xml:space="preserve"> </w:t>
      </w:r>
      <w:r>
        <w:rPr>
          <w:w w:val="105"/>
          <w:sz w:val="15"/>
        </w:rPr>
        <w:t>ubicadas</w:t>
      </w:r>
      <w:r>
        <w:rPr>
          <w:spacing w:val="-2"/>
          <w:w w:val="105"/>
          <w:sz w:val="15"/>
        </w:rPr>
        <w:t xml:space="preserve"> </w:t>
      </w:r>
      <w:r>
        <w:rPr>
          <w:w w:val="105"/>
          <w:sz w:val="15"/>
        </w:rPr>
        <w:t>en</w:t>
      </w:r>
      <w:r>
        <w:rPr>
          <w:spacing w:val="-2"/>
          <w:w w:val="105"/>
          <w:sz w:val="15"/>
        </w:rPr>
        <w:t xml:space="preserve"> </w:t>
      </w:r>
      <w:r>
        <w:rPr>
          <w:w w:val="105"/>
          <w:sz w:val="15"/>
        </w:rPr>
        <w:t>una</w:t>
      </w:r>
      <w:r>
        <w:rPr>
          <w:spacing w:val="-2"/>
          <w:w w:val="105"/>
          <w:sz w:val="15"/>
        </w:rPr>
        <w:t xml:space="preserve"> </w:t>
      </w:r>
      <w:r>
        <w:rPr>
          <w:w w:val="105"/>
          <w:sz w:val="15"/>
        </w:rPr>
        <w:t>situación</w:t>
      </w:r>
      <w:r>
        <w:rPr>
          <w:spacing w:val="-2"/>
          <w:w w:val="105"/>
          <w:sz w:val="15"/>
        </w:rPr>
        <w:t xml:space="preserve"> </w:t>
      </w:r>
      <w:r>
        <w:rPr>
          <w:w w:val="105"/>
          <w:sz w:val="15"/>
        </w:rPr>
        <w:t>relevantemente</w:t>
      </w:r>
      <w:r>
        <w:rPr>
          <w:spacing w:val="-2"/>
          <w:w w:val="105"/>
          <w:sz w:val="15"/>
        </w:rPr>
        <w:t xml:space="preserve"> </w:t>
      </w:r>
      <w:r>
        <w:rPr>
          <w:w w:val="105"/>
          <w:sz w:val="15"/>
        </w:rPr>
        <w:t>diferente.</w:t>
      </w:r>
      <w:r>
        <w:rPr>
          <w:spacing w:val="-1"/>
          <w:w w:val="105"/>
          <w:sz w:val="15"/>
        </w:rPr>
        <w:t xml:space="preserve"> </w:t>
      </w:r>
      <w:r>
        <w:rPr>
          <w:w w:val="105"/>
          <w:sz w:val="15"/>
        </w:rPr>
        <w:t>.121</w:t>
      </w:r>
    </w:p>
    <w:p w14:paraId="13DBAFB1" w14:textId="77777777" w:rsidR="0014798C" w:rsidRDefault="0014798C">
      <w:pPr>
        <w:pStyle w:val="Textoindependiente"/>
        <w:rPr>
          <w:sz w:val="15"/>
        </w:rPr>
      </w:pPr>
    </w:p>
    <w:p w14:paraId="6DEFCBBA" w14:textId="77777777" w:rsidR="0014798C" w:rsidRDefault="0014798C">
      <w:pPr>
        <w:pStyle w:val="Textoindependiente"/>
        <w:spacing w:before="123"/>
        <w:rPr>
          <w:sz w:val="15"/>
        </w:rPr>
      </w:pPr>
    </w:p>
    <w:p w14:paraId="236781C7" w14:textId="77777777" w:rsidR="0014798C" w:rsidRDefault="004E1F0B">
      <w:pPr>
        <w:ind w:left="1342"/>
        <w:rPr>
          <w:sz w:val="15"/>
        </w:rPr>
      </w:pPr>
      <w:r>
        <w:rPr>
          <w:noProof/>
        </w:rPr>
        <w:drawing>
          <wp:anchor distT="0" distB="0" distL="0" distR="0" simplePos="0" relativeHeight="251658372" behindDoc="1" locked="0" layoutInCell="1" allowOverlap="1" wp14:anchorId="0E92A6D3" wp14:editId="2B16A0A7">
            <wp:simplePos x="0" y="0"/>
            <wp:positionH relativeFrom="page">
              <wp:posOffset>795184</wp:posOffset>
            </wp:positionH>
            <wp:positionV relativeFrom="paragraph">
              <wp:posOffset>-209982</wp:posOffset>
            </wp:positionV>
            <wp:extent cx="5961638" cy="7265751"/>
            <wp:effectExtent l="0" t="0" r="0" b="0"/>
            <wp:wrapNone/>
            <wp:docPr id="86" name="Image 8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86" name="Image 86"/>
                    <pic:cNvPicPr/>
                  </pic:nvPicPr>
                  <pic:blipFill>
                    <a:blip r:embed="rId94" cstate="print"/>
                    <a:stretch>
                      <a:fillRect/>
                    </a:stretch>
                  </pic:blipFill>
                  <pic:spPr>
                    <a:xfrm>
                      <a:off x="0" y="0"/>
                      <a:ext cx="5961638" cy="7265751"/>
                    </a:xfrm>
                    <a:prstGeom prst="rect">
                      <a:avLst/>
                    </a:prstGeom>
                  </pic:spPr>
                </pic:pic>
              </a:graphicData>
            </a:graphic>
          </wp:anchor>
        </w:drawing>
      </w:r>
      <w:r>
        <w:rPr>
          <w:sz w:val="15"/>
        </w:rPr>
        <w:t>DEFINICIÓN</w:t>
      </w:r>
      <w:r>
        <w:rPr>
          <w:spacing w:val="11"/>
          <w:sz w:val="15"/>
        </w:rPr>
        <w:t xml:space="preserve"> </w:t>
      </w:r>
      <w:r>
        <w:rPr>
          <w:sz w:val="15"/>
        </w:rPr>
        <w:t>DE</w:t>
      </w:r>
      <w:r>
        <w:rPr>
          <w:spacing w:val="12"/>
          <w:sz w:val="15"/>
        </w:rPr>
        <w:t xml:space="preserve"> </w:t>
      </w:r>
      <w:r>
        <w:rPr>
          <w:spacing w:val="-2"/>
          <w:sz w:val="15"/>
        </w:rPr>
        <w:t>DISCRIMINACIÓN</w:t>
      </w:r>
    </w:p>
    <w:p w14:paraId="54EA75A6" w14:textId="77777777" w:rsidR="0014798C" w:rsidRDefault="0014798C">
      <w:pPr>
        <w:pStyle w:val="Textoindependiente"/>
        <w:spacing w:before="59"/>
        <w:rPr>
          <w:sz w:val="15"/>
        </w:rPr>
      </w:pPr>
    </w:p>
    <w:p w14:paraId="41B050A6" w14:textId="77777777" w:rsidR="0014798C" w:rsidRDefault="004E1F0B">
      <w:pPr>
        <w:spacing w:line="348" w:lineRule="auto"/>
        <w:ind w:left="1329" w:right="1505" w:firstLine="3"/>
        <w:rPr>
          <w:sz w:val="15"/>
        </w:rPr>
      </w:pPr>
      <w:r>
        <w:rPr>
          <w:w w:val="105"/>
          <w:sz w:val="15"/>
        </w:rPr>
        <w:t>Con</w:t>
      </w:r>
      <w:r>
        <w:rPr>
          <w:spacing w:val="-5"/>
          <w:w w:val="105"/>
          <w:sz w:val="15"/>
        </w:rPr>
        <w:t xml:space="preserve"> </w:t>
      </w:r>
      <w:r>
        <w:rPr>
          <w:w w:val="105"/>
          <w:sz w:val="15"/>
        </w:rPr>
        <w:t>base</w:t>
      </w:r>
      <w:r>
        <w:rPr>
          <w:spacing w:val="-5"/>
          <w:w w:val="105"/>
          <w:sz w:val="15"/>
        </w:rPr>
        <w:t xml:space="preserve"> </w:t>
      </w:r>
      <w:r>
        <w:rPr>
          <w:w w:val="105"/>
          <w:sz w:val="15"/>
        </w:rPr>
        <w:t>en</w:t>
      </w:r>
      <w:r>
        <w:rPr>
          <w:spacing w:val="-5"/>
          <w:w w:val="105"/>
          <w:sz w:val="15"/>
        </w:rPr>
        <w:t xml:space="preserve"> </w:t>
      </w:r>
      <w:r>
        <w:rPr>
          <w:w w:val="105"/>
          <w:sz w:val="15"/>
        </w:rPr>
        <w:t>la</w:t>
      </w:r>
      <w:r>
        <w:rPr>
          <w:spacing w:val="-5"/>
          <w:w w:val="105"/>
          <w:sz w:val="15"/>
        </w:rPr>
        <w:t xml:space="preserve"> </w:t>
      </w:r>
      <w:r>
        <w:rPr>
          <w:w w:val="105"/>
          <w:sz w:val="15"/>
        </w:rPr>
        <w:t>práctica</w:t>
      </w:r>
      <w:r>
        <w:rPr>
          <w:spacing w:val="-5"/>
          <w:w w:val="105"/>
          <w:sz w:val="15"/>
        </w:rPr>
        <w:t xml:space="preserve"> </w:t>
      </w:r>
      <w:r>
        <w:rPr>
          <w:w w:val="105"/>
          <w:sz w:val="15"/>
        </w:rPr>
        <w:t>y</w:t>
      </w:r>
      <w:r>
        <w:rPr>
          <w:spacing w:val="-5"/>
          <w:w w:val="105"/>
          <w:sz w:val="15"/>
        </w:rPr>
        <w:t xml:space="preserve"> </w:t>
      </w:r>
      <w:r>
        <w:rPr>
          <w:w w:val="105"/>
          <w:sz w:val="15"/>
        </w:rPr>
        <w:t>los</w:t>
      </w:r>
      <w:r>
        <w:rPr>
          <w:spacing w:val="-5"/>
          <w:w w:val="105"/>
          <w:sz w:val="15"/>
        </w:rPr>
        <w:t xml:space="preserve"> </w:t>
      </w:r>
      <w:r>
        <w:rPr>
          <w:w w:val="105"/>
          <w:sz w:val="15"/>
        </w:rPr>
        <w:t>comentarios</w:t>
      </w:r>
      <w:r>
        <w:rPr>
          <w:spacing w:val="-5"/>
          <w:w w:val="105"/>
          <w:sz w:val="15"/>
        </w:rPr>
        <w:t xml:space="preserve"> </w:t>
      </w:r>
      <w:r>
        <w:rPr>
          <w:w w:val="105"/>
          <w:sz w:val="15"/>
        </w:rPr>
        <w:t>de</w:t>
      </w:r>
      <w:r>
        <w:rPr>
          <w:spacing w:val="-5"/>
          <w:w w:val="105"/>
          <w:sz w:val="15"/>
        </w:rPr>
        <w:t xml:space="preserve"> </w:t>
      </w:r>
      <w:r>
        <w:rPr>
          <w:w w:val="105"/>
          <w:sz w:val="15"/>
        </w:rPr>
        <w:t>los</w:t>
      </w:r>
      <w:r>
        <w:rPr>
          <w:spacing w:val="-5"/>
          <w:w w:val="105"/>
          <w:sz w:val="15"/>
        </w:rPr>
        <w:t xml:space="preserve"> </w:t>
      </w:r>
      <w:r>
        <w:rPr>
          <w:w w:val="105"/>
          <w:sz w:val="15"/>
        </w:rPr>
        <w:t>órganos</w:t>
      </w:r>
      <w:r>
        <w:rPr>
          <w:spacing w:val="-5"/>
          <w:w w:val="105"/>
          <w:sz w:val="15"/>
        </w:rPr>
        <w:t xml:space="preserve"> </w:t>
      </w:r>
      <w:r>
        <w:rPr>
          <w:w w:val="105"/>
          <w:sz w:val="15"/>
        </w:rPr>
        <w:t>de</w:t>
      </w:r>
      <w:r>
        <w:rPr>
          <w:spacing w:val="-5"/>
          <w:w w:val="105"/>
          <w:sz w:val="15"/>
        </w:rPr>
        <w:t xml:space="preserve"> </w:t>
      </w:r>
      <w:r>
        <w:rPr>
          <w:w w:val="105"/>
          <w:sz w:val="15"/>
        </w:rPr>
        <w:t>tratados</w:t>
      </w:r>
      <w:r>
        <w:rPr>
          <w:spacing w:val="-5"/>
          <w:w w:val="105"/>
          <w:sz w:val="15"/>
        </w:rPr>
        <w:t xml:space="preserve"> </w:t>
      </w:r>
      <w:r>
        <w:rPr>
          <w:w w:val="105"/>
          <w:sz w:val="15"/>
        </w:rPr>
        <w:t>de</w:t>
      </w:r>
      <w:r>
        <w:rPr>
          <w:spacing w:val="-5"/>
          <w:w w:val="105"/>
          <w:sz w:val="15"/>
        </w:rPr>
        <w:t xml:space="preserve"> </w:t>
      </w:r>
      <w:r>
        <w:rPr>
          <w:w w:val="105"/>
          <w:sz w:val="15"/>
        </w:rPr>
        <w:t>las</w:t>
      </w:r>
      <w:r>
        <w:rPr>
          <w:spacing w:val="-5"/>
          <w:w w:val="105"/>
          <w:sz w:val="15"/>
        </w:rPr>
        <w:t xml:space="preserve"> </w:t>
      </w:r>
      <w:r>
        <w:rPr>
          <w:w w:val="105"/>
          <w:sz w:val="15"/>
        </w:rPr>
        <w:t>Naciones</w:t>
      </w:r>
      <w:r>
        <w:rPr>
          <w:spacing w:val="-5"/>
          <w:w w:val="105"/>
          <w:sz w:val="15"/>
        </w:rPr>
        <w:t xml:space="preserve"> </w:t>
      </w:r>
      <w:r>
        <w:rPr>
          <w:w w:val="105"/>
          <w:sz w:val="15"/>
        </w:rPr>
        <w:t>Unidas,</w:t>
      </w:r>
      <w:r>
        <w:rPr>
          <w:spacing w:val="-4"/>
          <w:w w:val="105"/>
          <w:sz w:val="15"/>
        </w:rPr>
        <w:t xml:space="preserve"> </w:t>
      </w:r>
      <w:r>
        <w:rPr>
          <w:w w:val="105"/>
          <w:sz w:val="15"/>
        </w:rPr>
        <w:t>la</w:t>
      </w:r>
      <w:r>
        <w:rPr>
          <w:spacing w:val="-5"/>
          <w:w w:val="105"/>
          <w:sz w:val="15"/>
        </w:rPr>
        <w:t xml:space="preserve"> </w:t>
      </w:r>
      <w:r>
        <w:rPr>
          <w:w w:val="105"/>
          <w:sz w:val="15"/>
        </w:rPr>
        <w:t>discriminación</w:t>
      </w:r>
      <w:r>
        <w:rPr>
          <w:spacing w:val="-5"/>
          <w:w w:val="105"/>
          <w:sz w:val="15"/>
        </w:rPr>
        <w:t xml:space="preserve"> </w:t>
      </w:r>
      <w:r>
        <w:rPr>
          <w:w w:val="105"/>
          <w:sz w:val="15"/>
        </w:rPr>
        <w:t>puede</w:t>
      </w:r>
      <w:r>
        <w:rPr>
          <w:spacing w:val="-5"/>
          <w:w w:val="105"/>
          <w:sz w:val="15"/>
        </w:rPr>
        <w:t xml:space="preserve"> </w:t>
      </w:r>
      <w:r>
        <w:rPr>
          <w:w w:val="105"/>
          <w:sz w:val="15"/>
        </w:rPr>
        <w:t>definirse como:</w:t>
      </w:r>
      <w:r>
        <w:rPr>
          <w:spacing w:val="-7"/>
          <w:w w:val="105"/>
          <w:sz w:val="15"/>
        </w:rPr>
        <w:t xml:space="preserve"> </w:t>
      </w:r>
      <w:r>
        <w:rPr>
          <w:w w:val="105"/>
          <w:sz w:val="15"/>
        </w:rPr>
        <w:t>cualquier</w:t>
      </w:r>
      <w:r>
        <w:rPr>
          <w:spacing w:val="-7"/>
          <w:w w:val="105"/>
          <w:sz w:val="15"/>
        </w:rPr>
        <w:t xml:space="preserve"> </w:t>
      </w:r>
      <w:r>
        <w:rPr>
          <w:w w:val="105"/>
          <w:sz w:val="15"/>
        </w:rPr>
        <w:t>distinción,</w:t>
      </w:r>
      <w:r>
        <w:rPr>
          <w:spacing w:val="-7"/>
          <w:w w:val="105"/>
          <w:sz w:val="15"/>
        </w:rPr>
        <w:t xml:space="preserve"> </w:t>
      </w:r>
      <w:r>
        <w:rPr>
          <w:w w:val="105"/>
          <w:sz w:val="15"/>
        </w:rPr>
        <w:t>exclusión</w:t>
      </w:r>
      <w:r>
        <w:rPr>
          <w:spacing w:val="-7"/>
          <w:w w:val="105"/>
          <w:sz w:val="15"/>
        </w:rPr>
        <w:t xml:space="preserve"> </w:t>
      </w:r>
      <w:r>
        <w:rPr>
          <w:w w:val="105"/>
          <w:sz w:val="15"/>
        </w:rPr>
        <w:t>o</w:t>
      </w:r>
      <w:r>
        <w:rPr>
          <w:spacing w:val="-7"/>
          <w:w w:val="105"/>
          <w:sz w:val="15"/>
        </w:rPr>
        <w:t xml:space="preserve"> </w:t>
      </w:r>
      <w:r>
        <w:rPr>
          <w:w w:val="105"/>
          <w:sz w:val="15"/>
        </w:rPr>
        <w:t>restricción</w:t>
      </w:r>
      <w:r>
        <w:rPr>
          <w:spacing w:val="-7"/>
          <w:w w:val="105"/>
          <w:sz w:val="15"/>
        </w:rPr>
        <w:t xml:space="preserve"> </w:t>
      </w:r>
      <w:r>
        <w:rPr>
          <w:w w:val="105"/>
          <w:sz w:val="15"/>
        </w:rPr>
        <w:t>basada</w:t>
      </w:r>
      <w:r>
        <w:rPr>
          <w:spacing w:val="-7"/>
          <w:w w:val="105"/>
          <w:sz w:val="15"/>
        </w:rPr>
        <w:t xml:space="preserve"> </w:t>
      </w:r>
      <w:r>
        <w:rPr>
          <w:w w:val="105"/>
          <w:sz w:val="15"/>
        </w:rPr>
        <w:t>en</w:t>
      </w:r>
      <w:r>
        <w:rPr>
          <w:spacing w:val="-7"/>
          <w:w w:val="105"/>
          <w:sz w:val="15"/>
        </w:rPr>
        <w:t xml:space="preserve"> </w:t>
      </w:r>
      <w:r>
        <w:rPr>
          <w:w w:val="105"/>
          <w:sz w:val="15"/>
        </w:rPr>
        <w:t>uno</w:t>
      </w:r>
      <w:r>
        <w:rPr>
          <w:spacing w:val="-7"/>
          <w:w w:val="105"/>
          <w:sz w:val="15"/>
        </w:rPr>
        <w:t xml:space="preserve"> </w:t>
      </w:r>
      <w:r>
        <w:rPr>
          <w:w w:val="105"/>
          <w:sz w:val="15"/>
        </w:rPr>
        <w:t>o</w:t>
      </w:r>
      <w:r>
        <w:rPr>
          <w:spacing w:val="-7"/>
          <w:w w:val="105"/>
          <w:sz w:val="15"/>
        </w:rPr>
        <w:t xml:space="preserve"> </w:t>
      </w:r>
      <w:r>
        <w:rPr>
          <w:w w:val="105"/>
          <w:sz w:val="15"/>
        </w:rPr>
        <w:t>más</w:t>
      </w:r>
      <w:r>
        <w:rPr>
          <w:spacing w:val="-7"/>
          <w:w w:val="105"/>
          <w:sz w:val="15"/>
        </w:rPr>
        <w:t xml:space="preserve"> </w:t>
      </w:r>
      <w:r>
        <w:rPr>
          <w:w w:val="105"/>
          <w:sz w:val="15"/>
        </w:rPr>
        <w:t>motivos</w:t>
      </w:r>
      <w:r>
        <w:rPr>
          <w:spacing w:val="-7"/>
          <w:w w:val="105"/>
          <w:sz w:val="15"/>
        </w:rPr>
        <w:t xml:space="preserve"> </w:t>
      </w:r>
      <w:r>
        <w:rPr>
          <w:w w:val="105"/>
          <w:sz w:val="15"/>
        </w:rPr>
        <w:t>protegidos</w:t>
      </w:r>
      <w:r>
        <w:rPr>
          <w:spacing w:val="-7"/>
          <w:w w:val="105"/>
          <w:sz w:val="15"/>
        </w:rPr>
        <w:t xml:space="preserve"> </w:t>
      </w:r>
      <w:r>
        <w:rPr>
          <w:w w:val="105"/>
          <w:sz w:val="15"/>
        </w:rPr>
        <w:t>que</w:t>
      </w:r>
      <w:r>
        <w:rPr>
          <w:spacing w:val="-7"/>
          <w:w w:val="105"/>
          <w:sz w:val="15"/>
        </w:rPr>
        <w:t xml:space="preserve"> </w:t>
      </w:r>
      <w:r>
        <w:rPr>
          <w:w w:val="105"/>
          <w:sz w:val="15"/>
        </w:rPr>
        <w:t>tenga</w:t>
      </w:r>
      <w:r>
        <w:rPr>
          <w:spacing w:val="-7"/>
          <w:w w:val="105"/>
          <w:sz w:val="15"/>
        </w:rPr>
        <w:t xml:space="preserve"> </w:t>
      </w:r>
      <w:r>
        <w:rPr>
          <w:w w:val="105"/>
          <w:sz w:val="15"/>
        </w:rPr>
        <w:t>por</w:t>
      </w:r>
      <w:r>
        <w:rPr>
          <w:spacing w:val="-7"/>
          <w:w w:val="105"/>
          <w:sz w:val="15"/>
        </w:rPr>
        <w:t xml:space="preserve"> </w:t>
      </w:r>
      <w:r>
        <w:rPr>
          <w:w w:val="105"/>
          <w:sz w:val="15"/>
        </w:rPr>
        <w:t>objeto</w:t>
      </w:r>
      <w:r>
        <w:rPr>
          <w:spacing w:val="-7"/>
          <w:w w:val="105"/>
          <w:sz w:val="15"/>
        </w:rPr>
        <w:t xml:space="preserve"> </w:t>
      </w:r>
      <w:r>
        <w:rPr>
          <w:w w:val="105"/>
          <w:sz w:val="15"/>
        </w:rPr>
        <w:t>o</w:t>
      </w:r>
      <w:r>
        <w:rPr>
          <w:spacing w:val="-7"/>
          <w:w w:val="105"/>
          <w:sz w:val="15"/>
        </w:rPr>
        <w:t xml:space="preserve"> </w:t>
      </w:r>
      <w:r>
        <w:rPr>
          <w:w w:val="105"/>
          <w:sz w:val="15"/>
        </w:rPr>
        <w:t>efecto</w:t>
      </w:r>
      <w:r>
        <w:rPr>
          <w:spacing w:val="-7"/>
          <w:w w:val="105"/>
          <w:sz w:val="15"/>
        </w:rPr>
        <w:t xml:space="preserve"> </w:t>
      </w:r>
      <w:r>
        <w:rPr>
          <w:w w:val="105"/>
          <w:sz w:val="15"/>
        </w:rPr>
        <w:t>anular o</w:t>
      </w:r>
      <w:r>
        <w:rPr>
          <w:spacing w:val="-1"/>
          <w:w w:val="105"/>
          <w:sz w:val="15"/>
        </w:rPr>
        <w:t xml:space="preserve"> </w:t>
      </w:r>
      <w:r>
        <w:rPr>
          <w:w w:val="105"/>
          <w:sz w:val="15"/>
        </w:rPr>
        <w:t>menoscabar</w:t>
      </w:r>
      <w:r>
        <w:rPr>
          <w:spacing w:val="-1"/>
          <w:w w:val="105"/>
          <w:sz w:val="15"/>
        </w:rPr>
        <w:t xml:space="preserve"> </w:t>
      </w:r>
      <w:r>
        <w:rPr>
          <w:w w:val="105"/>
          <w:sz w:val="15"/>
        </w:rPr>
        <w:t>el</w:t>
      </w:r>
      <w:r>
        <w:rPr>
          <w:spacing w:val="-1"/>
          <w:w w:val="105"/>
          <w:sz w:val="15"/>
        </w:rPr>
        <w:t xml:space="preserve"> </w:t>
      </w:r>
      <w:r>
        <w:rPr>
          <w:w w:val="105"/>
          <w:sz w:val="15"/>
        </w:rPr>
        <w:t>reconocimiento, goce</w:t>
      </w:r>
      <w:r>
        <w:rPr>
          <w:spacing w:val="-1"/>
          <w:w w:val="105"/>
          <w:sz w:val="15"/>
        </w:rPr>
        <w:t xml:space="preserve"> </w:t>
      </w:r>
      <w:r>
        <w:rPr>
          <w:w w:val="105"/>
          <w:sz w:val="15"/>
        </w:rPr>
        <w:t>o</w:t>
      </w:r>
      <w:r>
        <w:rPr>
          <w:spacing w:val="-1"/>
          <w:w w:val="105"/>
          <w:sz w:val="15"/>
        </w:rPr>
        <w:t xml:space="preserve"> </w:t>
      </w:r>
      <w:proofErr w:type="gramStart"/>
      <w:r>
        <w:rPr>
          <w:w w:val="105"/>
          <w:sz w:val="15"/>
        </w:rPr>
        <w:t>ejercicio</w:t>
      </w:r>
      <w:r>
        <w:rPr>
          <w:spacing w:val="-1"/>
          <w:w w:val="105"/>
          <w:sz w:val="15"/>
        </w:rPr>
        <w:t xml:space="preserve"> </w:t>
      </w:r>
      <w:r>
        <w:rPr>
          <w:w w:val="105"/>
          <w:sz w:val="15"/>
        </w:rPr>
        <w:t>,</w:t>
      </w:r>
      <w:proofErr w:type="gramEnd"/>
      <w:r>
        <w:rPr>
          <w:spacing w:val="-1"/>
          <w:w w:val="105"/>
          <w:sz w:val="15"/>
        </w:rPr>
        <w:t xml:space="preserve"> </w:t>
      </w:r>
      <w:r>
        <w:rPr>
          <w:w w:val="105"/>
          <w:sz w:val="15"/>
        </w:rPr>
        <w:t>en</w:t>
      </w:r>
      <w:r>
        <w:rPr>
          <w:spacing w:val="-1"/>
          <w:w w:val="105"/>
          <w:sz w:val="15"/>
        </w:rPr>
        <w:t xml:space="preserve"> </w:t>
      </w:r>
      <w:r>
        <w:rPr>
          <w:w w:val="105"/>
          <w:sz w:val="15"/>
        </w:rPr>
        <w:t>pie</w:t>
      </w:r>
      <w:r>
        <w:rPr>
          <w:spacing w:val="-1"/>
          <w:w w:val="105"/>
          <w:sz w:val="15"/>
        </w:rPr>
        <w:t xml:space="preserve"> </w:t>
      </w:r>
      <w:r>
        <w:rPr>
          <w:w w:val="105"/>
          <w:sz w:val="15"/>
        </w:rPr>
        <w:t>de</w:t>
      </w:r>
      <w:r>
        <w:rPr>
          <w:spacing w:val="-1"/>
          <w:w w:val="105"/>
          <w:sz w:val="15"/>
        </w:rPr>
        <w:t xml:space="preserve"> </w:t>
      </w:r>
      <w:r>
        <w:rPr>
          <w:w w:val="105"/>
          <w:sz w:val="15"/>
        </w:rPr>
        <w:t>igualdad, de</w:t>
      </w:r>
      <w:r>
        <w:rPr>
          <w:spacing w:val="-1"/>
          <w:w w:val="105"/>
          <w:sz w:val="15"/>
        </w:rPr>
        <w:t xml:space="preserve"> </w:t>
      </w:r>
      <w:r>
        <w:rPr>
          <w:w w:val="105"/>
          <w:sz w:val="15"/>
        </w:rPr>
        <w:t>los</w:t>
      </w:r>
      <w:r>
        <w:rPr>
          <w:spacing w:val="-1"/>
          <w:w w:val="105"/>
          <w:sz w:val="15"/>
        </w:rPr>
        <w:t xml:space="preserve"> </w:t>
      </w:r>
      <w:r>
        <w:rPr>
          <w:w w:val="105"/>
          <w:sz w:val="15"/>
        </w:rPr>
        <w:t>derechos</w:t>
      </w:r>
      <w:r>
        <w:rPr>
          <w:spacing w:val="-1"/>
          <w:w w:val="105"/>
          <w:sz w:val="15"/>
        </w:rPr>
        <w:t xml:space="preserve"> </w:t>
      </w:r>
      <w:r>
        <w:rPr>
          <w:w w:val="105"/>
          <w:sz w:val="15"/>
        </w:rPr>
        <w:t>humanos</w:t>
      </w:r>
      <w:r>
        <w:rPr>
          <w:spacing w:val="-1"/>
          <w:w w:val="105"/>
          <w:sz w:val="15"/>
        </w:rPr>
        <w:t xml:space="preserve"> </w:t>
      </w:r>
      <w:r>
        <w:rPr>
          <w:w w:val="105"/>
          <w:sz w:val="15"/>
        </w:rPr>
        <w:t>y</w:t>
      </w:r>
      <w:r>
        <w:rPr>
          <w:spacing w:val="-1"/>
          <w:w w:val="105"/>
          <w:sz w:val="15"/>
        </w:rPr>
        <w:t xml:space="preserve"> </w:t>
      </w:r>
      <w:r>
        <w:rPr>
          <w:w w:val="105"/>
          <w:sz w:val="15"/>
        </w:rPr>
        <w:t>de</w:t>
      </w:r>
      <w:r>
        <w:rPr>
          <w:spacing w:val="-1"/>
          <w:w w:val="105"/>
          <w:sz w:val="15"/>
        </w:rPr>
        <w:t xml:space="preserve"> </w:t>
      </w:r>
      <w:r>
        <w:rPr>
          <w:w w:val="105"/>
          <w:sz w:val="15"/>
        </w:rPr>
        <w:t>las</w:t>
      </w:r>
      <w:r>
        <w:rPr>
          <w:spacing w:val="-1"/>
          <w:w w:val="105"/>
          <w:sz w:val="15"/>
        </w:rPr>
        <w:t xml:space="preserve"> </w:t>
      </w:r>
      <w:r>
        <w:rPr>
          <w:w w:val="105"/>
          <w:sz w:val="15"/>
        </w:rPr>
        <w:t>libertades fundamentales</w:t>
      </w:r>
      <w:r>
        <w:rPr>
          <w:spacing w:val="-2"/>
          <w:w w:val="105"/>
          <w:sz w:val="15"/>
        </w:rPr>
        <w:t xml:space="preserve"> </w:t>
      </w:r>
      <w:r>
        <w:rPr>
          <w:w w:val="105"/>
          <w:sz w:val="15"/>
        </w:rPr>
        <w:t>o</w:t>
      </w:r>
      <w:r>
        <w:rPr>
          <w:spacing w:val="-2"/>
          <w:w w:val="105"/>
          <w:sz w:val="15"/>
        </w:rPr>
        <w:t xml:space="preserve"> </w:t>
      </w:r>
      <w:r>
        <w:rPr>
          <w:w w:val="105"/>
          <w:sz w:val="15"/>
        </w:rPr>
        <w:t>impedir</w:t>
      </w:r>
      <w:r>
        <w:rPr>
          <w:spacing w:val="-2"/>
          <w:w w:val="105"/>
          <w:sz w:val="15"/>
        </w:rPr>
        <w:t xml:space="preserve"> </w:t>
      </w:r>
      <w:r>
        <w:rPr>
          <w:w w:val="105"/>
          <w:sz w:val="15"/>
        </w:rPr>
        <w:t>la</w:t>
      </w:r>
      <w:r>
        <w:rPr>
          <w:spacing w:val="-2"/>
          <w:w w:val="105"/>
          <w:sz w:val="15"/>
        </w:rPr>
        <w:t xml:space="preserve"> </w:t>
      </w:r>
      <w:r>
        <w:rPr>
          <w:w w:val="105"/>
          <w:sz w:val="15"/>
        </w:rPr>
        <w:t>participación</w:t>
      </w:r>
      <w:r>
        <w:rPr>
          <w:spacing w:val="-2"/>
          <w:w w:val="105"/>
          <w:sz w:val="15"/>
        </w:rPr>
        <w:t xml:space="preserve"> </w:t>
      </w:r>
      <w:r>
        <w:rPr>
          <w:w w:val="105"/>
          <w:sz w:val="15"/>
        </w:rPr>
        <w:t>igualitaria</w:t>
      </w:r>
      <w:r>
        <w:rPr>
          <w:spacing w:val="-2"/>
          <w:w w:val="105"/>
          <w:sz w:val="15"/>
        </w:rPr>
        <w:t xml:space="preserve"> </w:t>
      </w:r>
      <w:r>
        <w:rPr>
          <w:w w:val="105"/>
          <w:sz w:val="15"/>
        </w:rPr>
        <w:t>en</w:t>
      </w:r>
      <w:r>
        <w:rPr>
          <w:spacing w:val="-2"/>
          <w:w w:val="105"/>
          <w:sz w:val="15"/>
        </w:rPr>
        <w:t xml:space="preserve"> </w:t>
      </w:r>
      <w:r>
        <w:rPr>
          <w:w w:val="105"/>
          <w:sz w:val="15"/>
        </w:rPr>
        <w:t>cualquier</w:t>
      </w:r>
      <w:r>
        <w:rPr>
          <w:spacing w:val="-2"/>
          <w:w w:val="105"/>
          <w:sz w:val="15"/>
        </w:rPr>
        <w:t xml:space="preserve"> </w:t>
      </w:r>
      <w:r>
        <w:rPr>
          <w:w w:val="105"/>
          <w:sz w:val="15"/>
        </w:rPr>
        <w:t>ámbito</w:t>
      </w:r>
      <w:r>
        <w:rPr>
          <w:spacing w:val="-2"/>
          <w:w w:val="105"/>
          <w:sz w:val="15"/>
        </w:rPr>
        <w:t xml:space="preserve"> </w:t>
      </w:r>
      <w:r>
        <w:rPr>
          <w:w w:val="105"/>
          <w:sz w:val="15"/>
        </w:rPr>
        <w:t>de</w:t>
      </w:r>
      <w:r>
        <w:rPr>
          <w:spacing w:val="-2"/>
          <w:w w:val="105"/>
          <w:sz w:val="15"/>
        </w:rPr>
        <w:t xml:space="preserve"> </w:t>
      </w:r>
      <w:r>
        <w:rPr>
          <w:w w:val="105"/>
          <w:sz w:val="15"/>
        </w:rPr>
        <w:t>la</w:t>
      </w:r>
      <w:r>
        <w:rPr>
          <w:spacing w:val="-2"/>
          <w:w w:val="105"/>
          <w:sz w:val="15"/>
        </w:rPr>
        <w:t xml:space="preserve"> </w:t>
      </w:r>
      <w:r>
        <w:rPr>
          <w:w w:val="105"/>
          <w:sz w:val="15"/>
        </w:rPr>
        <w:t>vida</w:t>
      </w:r>
      <w:r>
        <w:rPr>
          <w:spacing w:val="-2"/>
          <w:w w:val="105"/>
          <w:sz w:val="15"/>
        </w:rPr>
        <w:t xml:space="preserve"> </w:t>
      </w:r>
      <w:r>
        <w:rPr>
          <w:w w:val="105"/>
          <w:sz w:val="15"/>
        </w:rPr>
        <w:t>regulado</w:t>
      </w:r>
      <w:r>
        <w:rPr>
          <w:spacing w:val="-2"/>
          <w:w w:val="105"/>
          <w:sz w:val="15"/>
        </w:rPr>
        <w:t xml:space="preserve"> </w:t>
      </w:r>
      <w:r>
        <w:rPr>
          <w:w w:val="105"/>
          <w:sz w:val="15"/>
        </w:rPr>
        <w:t>por</w:t>
      </w:r>
      <w:r>
        <w:rPr>
          <w:spacing w:val="-2"/>
          <w:w w:val="105"/>
          <w:sz w:val="15"/>
        </w:rPr>
        <w:t xml:space="preserve"> </w:t>
      </w:r>
      <w:r>
        <w:rPr>
          <w:w w:val="105"/>
          <w:sz w:val="15"/>
        </w:rPr>
        <w:t>la</w:t>
      </w:r>
      <w:r>
        <w:rPr>
          <w:spacing w:val="-2"/>
          <w:w w:val="105"/>
          <w:sz w:val="15"/>
        </w:rPr>
        <w:t xml:space="preserve"> </w:t>
      </w:r>
      <w:r>
        <w:rPr>
          <w:w w:val="105"/>
          <w:sz w:val="15"/>
        </w:rPr>
        <w:t>ley.</w:t>
      </w:r>
      <w:r>
        <w:rPr>
          <w:spacing w:val="-2"/>
          <w:w w:val="105"/>
          <w:sz w:val="15"/>
        </w:rPr>
        <w:t xml:space="preserve"> </w:t>
      </w:r>
      <w:r>
        <w:rPr>
          <w:w w:val="105"/>
          <w:sz w:val="15"/>
        </w:rPr>
        <w:t>La</w:t>
      </w:r>
      <w:r>
        <w:rPr>
          <w:spacing w:val="-2"/>
          <w:w w:val="105"/>
          <w:sz w:val="15"/>
        </w:rPr>
        <w:t xml:space="preserve"> </w:t>
      </w:r>
      <w:r>
        <w:rPr>
          <w:w w:val="105"/>
          <w:sz w:val="15"/>
        </w:rPr>
        <w:t>prohibición</w:t>
      </w:r>
      <w:r>
        <w:rPr>
          <w:spacing w:val="-2"/>
          <w:w w:val="105"/>
          <w:sz w:val="15"/>
        </w:rPr>
        <w:t xml:space="preserve"> </w:t>
      </w:r>
      <w:r>
        <w:rPr>
          <w:w w:val="105"/>
          <w:sz w:val="15"/>
        </w:rPr>
        <w:t>de</w:t>
      </w:r>
      <w:r>
        <w:rPr>
          <w:spacing w:val="-2"/>
          <w:w w:val="105"/>
          <w:sz w:val="15"/>
        </w:rPr>
        <w:t xml:space="preserve"> </w:t>
      </w:r>
      <w:r>
        <w:rPr>
          <w:w w:val="105"/>
          <w:sz w:val="15"/>
        </w:rPr>
        <w:t>la discriminación</w:t>
      </w:r>
      <w:r>
        <w:rPr>
          <w:spacing w:val="-7"/>
          <w:w w:val="105"/>
          <w:sz w:val="15"/>
        </w:rPr>
        <w:t xml:space="preserve"> </w:t>
      </w:r>
      <w:r>
        <w:rPr>
          <w:w w:val="105"/>
          <w:sz w:val="15"/>
        </w:rPr>
        <w:t>incluye</w:t>
      </w:r>
      <w:r>
        <w:rPr>
          <w:spacing w:val="-7"/>
          <w:w w:val="105"/>
          <w:sz w:val="15"/>
        </w:rPr>
        <w:t xml:space="preserve"> </w:t>
      </w:r>
      <w:r>
        <w:rPr>
          <w:w w:val="105"/>
          <w:sz w:val="15"/>
        </w:rPr>
        <w:t>todas</w:t>
      </w:r>
      <w:r>
        <w:rPr>
          <w:spacing w:val="-7"/>
          <w:w w:val="105"/>
          <w:sz w:val="15"/>
        </w:rPr>
        <w:t xml:space="preserve"> </w:t>
      </w:r>
      <w:r>
        <w:rPr>
          <w:w w:val="105"/>
          <w:sz w:val="15"/>
        </w:rPr>
        <w:t>las</w:t>
      </w:r>
      <w:r>
        <w:rPr>
          <w:spacing w:val="-7"/>
          <w:w w:val="105"/>
          <w:sz w:val="15"/>
        </w:rPr>
        <w:t xml:space="preserve"> </w:t>
      </w:r>
      <w:r>
        <w:rPr>
          <w:w w:val="105"/>
          <w:sz w:val="15"/>
        </w:rPr>
        <w:t>formas</w:t>
      </w:r>
      <w:r>
        <w:rPr>
          <w:spacing w:val="-7"/>
          <w:w w:val="105"/>
          <w:sz w:val="15"/>
        </w:rPr>
        <w:t xml:space="preserve"> </w:t>
      </w:r>
      <w:r>
        <w:rPr>
          <w:w w:val="105"/>
          <w:sz w:val="15"/>
        </w:rPr>
        <w:t>de</w:t>
      </w:r>
      <w:r>
        <w:rPr>
          <w:spacing w:val="-7"/>
          <w:w w:val="105"/>
          <w:sz w:val="15"/>
        </w:rPr>
        <w:t xml:space="preserve"> </w:t>
      </w:r>
      <w:r>
        <w:rPr>
          <w:w w:val="105"/>
          <w:sz w:val="15"/>
        </w:rPr>
        <w:t>discriminación,</w:t>
      </w:r>
      <w:r>
        <w:rPr>
          <w:spacing w:val="-6"/>
          <w:w w:val="105"/>
          <w:sz w:val="15"/>
        </w:rPr>
        <w:t xml:space="preserve"> </w:t>
      </w:r>
      <w:r>
        <w:rPr>
          <w:w w:val="105"/>
          <w:sz w:val="15"/>
        </w:rPr>
        <w:t>incluido</w:t>
      </w:r>
      <w:r>
        <w:rPr>
          <w:spacing w:val="-7"/>
          <w:w w:val="105"/>
          <w:sz w:val="15"/>
        </w:rPr>
        <w:t xml:space="preserve"> </w:t>
      </w:r>
      <w:r>
        <w:rPr>
          <w:w w:val="105"/>
          <w:sz w:val="15"/>
        </w:rPr>
        <w:t>el</w:t>
      </w:r>
      <w:r>
        <w:rPr>
          <w:spacing w:val="-7"/>
          <w:w w:val="105"/>
          <w:sz w:val="15"/>
        </w:rPr>
        <w:t xml:space="preserve"> </w:t>
      </w:r>
      <w:r>
        <w:rPr>
          <w:w w:val="105"/>
          <w:sz w:val="15"/>
        </w:rPr>
        <w:t>acoso</w:t>
      </w:r>
      <w:r>
        <w:rPr>
          <w:spacing w:val="-7"/>
          <w:w w:val="105"/>
          <w:sz w:val="15"/>
        </w:rPr>
        <w:t xml:space="preserve"> </w:t>
      </w:r>
      <w:r>
        <w:rPr>
          <w:w w:val="105"/>
          <w:sz w:val="15"/>
        </w:rPr>
        <w:t>en</w:t>
      </w:r>
      <w:r>
        <w:rPr>
          <w:spacing w:val="-7"/>
          <w:w w:val="105"/>
          <w:sz w:val="15"/>
        </w:rPr>
        <w:t xml:space="preserve"> </w:t>
      </w:r>
      <w:r>
        <w:rPr>
          <w:w w:val="105"/>
          <w:sz w:val="15"/>
        </w:rPr>
        <w:t>el</w:t>
      </w:r>
      <w:r>
        <w:rPr>
          <w:spacing w:val="-7"/>
          <w:w w:val="105"/>
          <w:sz w:val="15"/>
        </w:rPr>
        <w:t xml:space="preserve"> </w:t>
      </w:r>
      <w:r>
        <w:rPr>
          <w:w w:val="105"/>
          <w:sz w:val="15"/>
        </w:rPr>
        <w:t>terreno</w:t>
      </w:r>
      <w:r>
        <w:rPr>
          <w:spacing w:val="-7"/>
          <w:w w:val="105"/>
          <w:sz w:val="15"/>
        </w:rPr>
        <w:t xml:space="preserve"> </w:t>
      </w:r>
      <w:r>
        <w:rPr>
          <w:w w:val="105"/>
          <w:sz w:val="15"/>
        </w:rPr>
        <w:t>y</w:t>
      </w:r>
      <w:r>
        <w:rPr>
          <w:spacing w:val="-7"/>
          <w:w w:val="105"/>
          <w:sz w:val="15"/>
        </w:rPr>
        <w:t xml:space="preserve"> </w:t>
      </w:r>
      <w:r>
        <w:rPr>
          <w:w w:val="105"/>
          <w:sz w:val="15"/>
        </w:rPr>
        <w:t>la</w:t>
      </w:r>
      <w:r>
        <w:rPr>
          <w:spacing w:val="-7"/>
          <w:w w:val="105"/>
          <w:sz w:val="15"/>
        </w:rPr>
        <w:t xml:space="preserve"> </w:t>
      </w:r>
      <w:r>
        <w:rPr>
          <w:w w:val="105"/>
          <w:sz w:val="15"/>
        </w:rPr>
        <w:t>denegación</w:t>
      </w:r>
      <w:r>
        <w:rPr>
          <w:spacing w:val="-7"/>
          <w:w w:val="105"/>
          <w:sz w:val="15"/>
        </w:rPr>
        <w:t xml:space="preserve"> </w:t>
      </w:r>
      <w:r>
        <w:rPr>
          <w:w w:val="105"/>
          <w:sz w:val="15"/>
        </w:rPr>
        <w:t>de</w:t>
      </w:r>
      <w:r>
        <w:rPr>
          <w:spacing w:val="-7"/>
          <w:w w:val="105"/>
          <w:sz w:val="15"/>
        </w:rPr>
        <w:t xml:space="preserve"> </w:t>
      </w:r>
      <w:r>
        <w:rPr>
          <w:w w:val="105"/>
          <w:sz w:val="15"/>
        </w:rPr>
        <w:t>ajustes</w:t>
      </w:r>
      <w:r>
        <w:rPr>
          <w:spacing w:val="-7"/>
          <w:w w:val="105"/>
          <w:sz w:val="15"/>
        </w:rPr>
        <w:t xml:space="preserve"> </w:t>
      </w:r>
      <w:r>
        <w:rPr>
          <w:w w:val="105"/>
          <w:sz w:val="15"/>
        </w:rPr>
        <w:t>razonables.</w:t>
      </w:r>
    </w:p>
    <w:p w14:paraId="2412C700" w14:textId="77777777" w:rsidR="0014798C" w:rsidRDefault="0014798C">
      <w:pPr>
        <w:pStyle w:val="Textoindependiente"/>
        <w:rPr>
          <w:sz w:val="15"/>
        </w:rPr>
      </w:pPr>
    </w:p>
    <w:p w14:paraId="7F69048B" w14:textId="77777777" w:rsidR="0014798C" w:rsidRDefault="0014798C">
      <w:pPr>
        <w:pStyle w:val="Textoindependiente"/>
        <w:rPr>
          <w:sz w:val="15"/>
        </w:rPr>
      </w:pPr>
    </w:p>
    <w:p w14:paraId="7AE03583" w14:textId="77777777" w:rsidR="0014798C" w:rsidRDefault="0014798C">
      <w:pPr>
        <w:pStyle w:val="Textoindependiente"/>
        <w:rPr>
          <w:sz w:val="15"/>
        </w:rPr>
      </w:pPr>
    </w:p>
    <w:p w14:paraId="0671EDE3" w14:textId="77777777" w:rsidR="0014798C" w:rsidRDefault="0014798C">
      <w:pPr>
        <w:pStyle w:val="Textoindependiente"/>
        <w:spacing w:before="11"/>
        <w:rPr>
          <w:sz w:val="15"/>
        </w:rPr>
      </w:pPr>
    </w:p>
    <w:p w14:paraId="5BBFC45A" w14:textId="77777777" w:rsidR="0014798C" w:rsidRDefault="004E1F0B">
      <w:pPr>
        <w:spacing w:line="348" w:lineRule="auto"/>
        <w:ind w:left="1107" w:right="1239" w:hanging="1"/>
        <w:rPr>
          <w:sz w:val="15"/>
        </w:rPr>
      </w:pPr>
      <w:r>
        <w:rPr>
          <w:w w:val="105"/>
          <w:sz w:val="15"/>
        </w:rPr>
        <w:t>Como</w:t>
      </w:r>
      <w:r>
        <w:rPr>
          <w:spacing w:val="-8"/>
          <w:w w:val="105"/>
          <w:sz w:val="15"/>
        </w:rPr>
        <w:t xml:space="preserve"> </w:t>
      </w:r>
      <w:r>
        <w:rPr>
          <w:w w:val="105"/>
          <w:sz w:val="15"/>
        </w:rPr>
        <w:t>implica</w:t>
      </w:r>
      <w:r>
        <w:rPr>
          <w:spacing w:val="-8"/>
          <w:w w:val="105"/>
          <w:sz w:val="15"/>
        </w:rPr>
        <w:t xml:space="preserve"> </w:t>
      </w:r>
      <w:r>
        <w:rPr>
          <w:w w:val="105"/>
          <w:sz w:val="15"/>
        </w:rPr>
        <w:t>la</w:t>
      </w:r>
      <w:r>
        <w:rPr>
          <w:spacing w:val="-8"/>
          <w:w w:val="105"/>
          <w:sz w:val="15"/>
        </w:rPr>
        <w:t xml:space="preserve"> </w:t>
      </w:r>
      <w:r>
        <w:rPr>
          <w:w w:val="105"/>
          <w:sz w:val="15"/>
        </w:rPr>
        <w:t>definición,</w:t>
      </w:r>
      <w:r>
        <w:rPr>
          <w:spacing w:val="-7"/>
          <w:w w:val="105"/>
          <w:sz w:val="15"/>
        </w:rPr>
        <w:t xml:space="preserve"> </w:t>
      </w:r>
      <w:r>
        <w:rPr>
          <w:w w:val="105"/>
          <w:sz w:val="15"/>
        </w:rPr>
        <w:t>la</w:t>
      </w:r>
      <w:r>
        <w:rPr>
          <w:spacing w:val="-8"/>
          <w:w w:val="105"/>
          <w:sz w:val="15"/>
        </w:rPr>
        <w:t xml:space="preserve"> </w:t>
      </w:r>
      <w:r>
        <w:rPr>
          <w:w w:val="105"/>
          <w:sz w:val="15"/>
        </w:rPr>
        <w:t>cuestión</w:t>
      </w:r>
      <w:r>
        <w:rPr>
          <w:spacing w:val="-8"/>
          <w:w w:val="105"/>
          <w:sz w:val="15"/>
        </w:rPr>
        <w:t xml:space="preserve"> </w:t>
      </w:r>
      <w:r>
        <w:rPr>
          <w:w w:val="105"/>
          <w:sz w:val="15"/>
        </w:rPr>
        <w:t>de</w:t>
      </w:r>
      <w:r>
        <w:rPr>
          <w:spacing w:val="-8"/>
          <w:w w:val="105"/>
          <w:sz w:val="15"/>
        </w:rPr>
        <w:t xml:space="preserve"> </w:t>
      </w:r>
      <w:r>
        <w:rPr>
          <w:w w:val="105"/>
          <w:sz w:val="15"/>
        </w:rPr>
        <w:t>la</w:t>
      </w:r>
      <w:r>
        <w:rPr>
          <w:spacing w:val="-8"/>
          <w:w w:val="105"/>
          <w:sz w:val="15"/>
        </w:rPr>
        <w:t xml:space="preserve"> </w:t>
      </w:r>
      <w:r>
        <w:rPr>
          <w:w w:val="105"/>
          <w:sz w:val="15"/>
        </w:rPr>
        <w:t>comparación</w:t>
      </w:r>
      <w:r>
        <w:rPr>
          <w:spacing w:val="-8"/>
          <w:w w:val="105"/>
          <w:sz w:val="15"/>
        </w:rPr>
        <w:t xml:space="preserve"> </w:t>
      </w:r>
      <w:r>
        <w:rPr>
          <w:w w:val="105"/>
          <w:sz w:val="15"/>
        </w:rPr>
        <w:t>ha</w:t>
      </w:r>
      <w:r>
        <w:rPr>
          <w:spacing w:val="-8"/>
          <w:w w:val="105"/>
          <w:sz w:val="15"/>
        </w:rPr>
        <w:t xml:space="preserve"> </w:t>
      </w:r>
      <w:r>
        <w:rPr>
          <w:w w:val="105"/>
          <w:sz w:val="15"/>
        </w:rPr>
        <w:t>sido,</w:t>
      </w:r>
      <w:r>
        <w:rPr>
          <w:spacing w:val="-8"/>
          <w:w w:val="105"/>
          <w:sz w:val="15"/>
        </w:rPr>
        <w:t xml:space="preserve"> </w:t>
      </w:r>
      <w:r>
        <w:rPr>
          <w:w w:val="105"/>
          <w:sz w:val="15"/>
        </w:rPr>
        <w:t>históricamente,</w:t>
      </w:r>
      <w:r>
        <w:rPr>
          <w:spacing w:val="-7"/>
          <w:w w:val="105"/>
          <w:sz w:val="15"/>
        </w:rPr>
        <w:t xml:space="preserve"> </w:t>
      </w:r>
      <w:r>
        <w:rPr>
          <w:w w:val="105"/>
          <w:sz w:val="15"/>
        </w:rPr>
        <w:t>central</w:t>
      </w:r>
      <w:r>
        <w:rPr>
          <w:spacing w:val="-8"/>
          <w:w w:val="105"/>
          <w:sz w:val="15"/>
        </w:rPr>
        <w:t xml:space="preserve"> </w:t>
      </w:r>
      <w:r>
        <w:rPr>
          <w:w w:val="105"/>
          <w:sz w:val="15"/>
        </w:rPr>
        <w:t>para</w:t>
      </w:r>
      <w:r>
        <w:rPr>
          <w:spacing w:val="-8"/>
          <w:w w:val="105"/>
          <w:sz w:val="15"/>
        </w:rPr>
        <w:t xml:space="preserve"> </w:t>
      </w:r>
      <w:r>
        <w:rPr>
          <w:w w:val="105"/>
          <w:sz w:val="15"/>
        </w:rPr>
        <w:t>entender</w:t>
      </w:r>
      <w:r>
        <w:rPr>
          <w:spacing w:val="-8"/>
          <w:w w:val="105"/>
          <w:sz w:val="15"/>
        </w:rPr>
        <w:t xml:space="preserve"> </w:t>
      </w:r>
      <w:r>
        <w:rPr>
          <w:w w:val="105"/>
          <w:sz w:val="15"/>
        </w:rPr>
        <w:t>la</w:t>
      </w:r>
      <w:r>
        <w:rPr>
          <w:spacing w:val="-8"/>
          <w:w w:val="105"/>
          <w:sz w:val="15"/>
        </w:rPr>
        <w:t xml:space="preserve"> </w:t>
      </w:r>
      <w:r>
        <w:rPr>
          <w:w w:val="105"/>
          <w:sz w:val="15"/>
        </w:rPr>
        <w:t>discriminación.</w:t>
      </w:r>
      <w:r>
        <w:rPr>
          <w:spacing w:val="-7"/>
          <w:w w:val="105"/>
          <w:sz w:val="15"/>
        </w:rPr>
        <w:t xml:space="preserve"> </w:t>
      </w:r>
      <w:r>
        <w:rPr>
          <w:w w:val="105"/>
          <w:sz w:val="15"/>
        </w:rPr>
        <w:t>En</w:t>
      </w:r>
      <w:r>
        <w:rPr>
          <w:spacing w:val="-8"/>
          <w:w w:val="105"/>
          <w:sz w:val="15"/>
        </w:rPr>
        <w:t xml:space="preserve"> </w:t>
      </w:r>
      <w:r>
        <w:rPr>
          <w:w w:val="105"/>
          <w:sz w:val="15"/>
        </w:rPr>
        <w:t>el</w:t>
      </w:r>
      <w:r>
        <w:rPr>
          <w:spacing w:val="-8"/>
          <w:w w:val="105"/>
          <w:sz w:val="15"/>
        </w:rPr>
        <w:t xml:space="preserve"> </w:t>
      </w:r>
      <w:r>
        <w:rPr>
          <w:w w:val="105"/>
          <w:sz w:val="15"/>
        </w:rPr>
        <w:t>sentido más</w:t>
      </w:r>
      <w:r>
        <w:rPr>
          <w:spacing w:val="-4"/>
          <w:w w:val="105"/>
          <w:sz w:val="15"/>
        </w:rPr>
        <w:t xml:space="preserve"> </w:t>
      </w:r>
      <w:r>
        <w:rPr>
          <w:w w:val="105"/>
          <w:sz w:val="15"/>
        </w:rPr>
        <w:t>básico,</w:t>
      </w:r>
      <w:r>
        <w:rPr>
          <w:spacing w:val="-3"/>
          <w:w w:val="105"/>
          <w:sz w:val="15"/>
        </w:rPr>
        <w:t xml:space="preserve"> </w:t>
      </w:r>
      <w:r>
        <w:rPr>
          <w:w w:val="105"/>
          <w:sz w:val="15"/>
        </w:rPr>
        <w:t>se</w:t>
      </w:r>
      <w:r>
        <w:rPr>
          <w:spacing w:val="-4"/>
          <w:w w:val="105"/>
          <w:sz w:val="15"/>
        </w:rPr>
        <w:t xml:space="preserve"> </w:t>
      </w:r>
      <w:r>
        <w:rPr>
          <w:w w:val="105"/>
          <w:sz w:val="15"/>
        </w:rPr>
        <w:t>puede</w:t>
      </w:r>
      <w:r>
        <w:rPr>
          <w:spacing w:val="-4"/>
          <w:w w:val="105"/>
          <w:sz w:val="15"/>
        </w:rPr>
        <w:t xml:space="preserve"> </w:t>
      </w:r>
      <w:r>
        <w:rPr>
          <w:w w:val="105"/>
          <w:sz w:val="15"/>
        </w:rPr>
        <w:t>entender</w:t>
      </w:r>
      <w:r>
        <w:rPr>
          <w:spacing w:val="-4"/>
          <w:w w:val="105"/>
          <w:sz w:val="15"/>
        </w:rPr>
        <w:t xml:space="preserve"> </w:t>
      </w:r>
      <w:r>
        <w:rPr>
          <w:w w:val="105"/>
          <w:sz w:val="15"/>
        </w:rPr>
        <w:t>que</w:t>
      </w:r>
      <w:r>
        <w:rPr>
          <w:spacing w:val="-4"/>
          <w:w w:val="105"/>
          <w:sz w:val="15"/>
        </w:rPr>
        <w:t xml:space="preserve"> </w:t>
      </w:r>
      <w:r>
        <w:rPr>
          <w:w w:val="105"/>
          <w:sz w:val="15"/>
        </w:rPr>
        <w:t>una</w:t>
      </w:r>
      <w:r>
        <w:rPr>
          <w:spacing w:val="-4"/>
          <w:w w:val="105"/>
          <w:sz w:val="15"/>
        </w:rPr>
        <w:t xml:space="preserve"> </w:t>
      </w:r>
      <w:r>
        <w:rPr>
          <w:w w:val="105"/>
          <w:sz w:val="15"/>
        </w:rPr>
        <w:t>persona</w:t>
      </w:r>
      <w:r>
        <w:rPr>
          <w:spacing w:val="-4"/>
          <w:w w:val="105"/>
          <w:sz w:val="15"/>
        </w:rPr>
        <w:t xml:space="preserve"> </w:t>
      </w:r>
      <w:r>
        <w:rPr>
          <w:w w:val="105"/>
          <w:sz w:val="15"/>
        </w:rPr>
        <w:t>o</w:t>
      </w:r>
      <w:r>
        <w:rPr>
          <w:spacing w:val="-4"/>
          <w:w w:val="105"/>
          <w:sz w:val="15"/>
        </w:rPr>
        <w:t xml:space="preserve"> </w:t>
      </w:r>
      <w:r>
        <w:rPr>
          <w:w w:val="105"/>
          <w:sz w:val="15"/>
        </w:rPr>
        <w:t>comunidad</w:t>
      </w:r>
      <w:r>
        <w:rPr>
          <w:spacing w:val="-4"/>
          <w:w w:val="105"/>
          <w:sz w:val="15"/>
        </w:rPr>
        <w:t xml:space="preserve"> </w:t>
      </w:r>
      <w:r>
        <w:rPr>
          <w:w w:val="105"/>
          <w:sz w:val="15"/>
        </w:rPr>
        <w:t>que</w:t>
      </w:r>
      <w:r>
        <w:rPr>
          <w:spacing w:val="-4"/>
          <w:w w:val="105"/>
          <w:sz w:val="15"/>
        </w:rPr>
        <w:t xml:space="preserve"> </w:t>
      </w:r>
      <w:r>
        <w:rPr>
          <w:w w:val="105"/>
          <w:sz w:val="15"/>
        </w:rPr>
        <w:t>sufre</w:t>
      </w:r>
      <w:r>
        <w:rPr>
          <w:spacing w:val="-4"/>
          <w:w w:val="105"/>
          <w:sz w:val="15"/>
        </w:rPr>
        <w:t xml:space="preserve"> </w:t>
      </w:r>
      <w:r>
        <w:rPr>
          <w:w w:val="105"/>
          <w:sz w:val="15"/>
        </w:rPr>
        <w:t>discriminación</w:t>
      </w:r>
      <w:r>
        <w:rPr>
          <w:spacing w:val="-4"/>
          <w:w w:val="105"/>
          <w:sz w:val="15"/>
        </w:rPr>
        <w:t xml:space="preserve"> </w:t>
      </w:r>
      <w:r>
        <w:rPr>
          <w:w w:val="105"/>
          <w:sz w:val="15"/>
        </w:rPr>
        <w:t>sufre</w:t>
      </w:r>
      <w:r>
        <w:rPr>
          <w:spacing w:val="-4"/>
          <w:w w:val="105"/>
          <w:sz w:val="15"/>
        </w:rPr>
        <w:t xml:space="preserve"> </w:t>
      </w:r>
      <w:r>
        <w:rPr>
          <w:w w:val="105"/>
          <w:sz w:val="15"/>
        </w:rPr>
        <w:t>una</w:t>
      </w:r>
      <w:r>
        <w:rPr>
          <w:spacing w:val="-4"/>
          <w:w w:val="105"/>
          <w:sz w:val="15"/>
        </w:rPr>
        <w:t xml:space="preserve"> </w:t>
      </w:r>
      <w:r>
        <w:rPr>
          <w:w w:val="105"/>
          <w:sz w:val="15"/>
        </w:rPr>
        <w:t>desventaja</w:t>
      </w:r>
      <w:r>
        <w:rPr>
          <w:spacing w:val="-4"/>
          <w:w w:val="105"/>
          <w:sz w:val="15"/>
        </w:rPr>
        <w:t xml:space="preserve"> </w:t>
      </w:r>
      <w:r>
        <w:rPr>
          <w:w w:val="105"/>
          <w:sz w:val="15"/>
        </w:rPr>
        <w:t>en</w:t>
      </w:r>
      <w:r>
        <w:rPr>
          <w:spacing w:val="-4"/>
          <w:w w:val="105"/>
          <w:sz w:val="15"/>
        </w:rPr>
        <w:t xml:space="preserve"> </w:t>
      </w:r>
      <w:r>
        <w:rPr>
          <w:w w:val="105"/>
          <w:sz w:val="15"/>
        </w:rPr>
        <w:t>comparación</w:t>
      </w:r>
      <w:r>
        <w:rPr>
          <w:spacing w:val="-4"/>
          <w:w w:val="105"/>
          <w:sz w:val="15"/>
        </w:rPr>
        <w:t xml:space="preserve"> </w:t>
      </w:r>
      <w:r>
        <w:rPr>
          <w:w w:val="105"/>
          <w:sz w:val="15"/>
        </w:rPr>
        <w:t>con otras.</w:t>
      </w:r>
      <w:r>
        <w:rPr>
          <w:spacing w:val="-2"/>
          <w:w w:val="105"/>
          <w:sz w:val="15"/>
        </w:rPr>
        <w:t xml:space="preserve"> </w:t>
      </w:r>
      <w:r>
        <w:rPr>
          <w:w w:val="105"/>
          <w:sz w:val="15"/>
        </w:rPr>
        <w:t>Por</w:t>
      </w:r>
      <w:r>
        <w:rPr>
          <w:spacing w:val="-2"/>
          <w:w w:val="105"/>
          <w:sz w:val="15"/>
        </w:rPr>
        <w:t xml:space="preserve"> </w:t>
      </w:r>
      <w:r>
        <w:rPr>
          <w:w w:val="105"/>
          <w:sz w:val="15"/>
        </w:rPr>
        <w:t>lo</w:t>
      </w:r>
      <w:r>
        <w:rPr>
          <w:spacing w:val="-2"/>
          <w:w w:val="105"/>
          <w:sz w:val="15"/>
        </w:rPr>
        <w:t xml:space="preserve"> </w:t>
      </w:r>
      <w:r>
        <w:rPr>
          <w:w w:val="105"/>
          <w:sz w:val="15"/>
        </w:rPr>
        <w:t>tanto,</w:t>
      </w:r>
      <w:r>
        <w:rPr>
          <w:spacing w:val="-2"/>
          <w:w w:val="105"/>
          <w:sz w:val="15"/>
        </w:rPr>
        <w:t xml:space="preserve"> </w:t>
      </w:r>
      <w:r>
        <w:rPr>
          <w:w w:val="105"/>
          <w:sz w:val="15"/>
        </w:rPr>
        <w:t>una</w:t>
      </w:r>
      <w:r>
        <w:rPr>
          <w:spacing w:val="-2"/>
          <w:w w:val="105"/>
          <w:sz w:val="15"/>
        </w:rPr>
        <w:t xml:space="preserve"> </w:t>
      </w:r>
      <w:r>
        <w:rPr>
          <w:w w:val="105"/>
          <w:sz w:val="15"/>
        </w:rPr>
        <w:t>cuestión</w:t>
      </w:r>
      <w:r>
        <w:rPr>
          <w:spacing w:val="-2"/>
          <w:w w:val="105"/>
          <w:sz w:val="15"/>
        </w:rPr>
        <w:t xml:space="preserve"> </w:t>
      </w:r>
      <w:r>
        <w:rPr>
          <w:w w:val="105"/>
          <w:sz w:val="15"/>
        </w:rPr>
        <w:t>en</w:t>
      </w:r>
      <w:r>
        <w:rPr>
          <w:spacing w:val="-2"/>
          <w:w w:val="105"/>
          <w:sz w:val="15"/>
        </w:rPr>
        <w:t xml:space="preserve"> </w:t>
      </w:r>
      <w:r>
        <w:rPr>
          <w:w w:val="105"/>
          <w:sz w:val="15"/>
        </w:rPr>
        <w:t>la</w:t>
      </w:r>
      <w:r>
        <w:rPr>
          <w:spacing w:val="-2"/>
          <w:w w:val="105"/>
          <w:sz w:val="15"/>
        </w:rPr>
        <w:t xml:space="preserve"> </w:t>
      </w:r>
      <w:r>
        <w:rPr>
          <w:w w:val="105"/>
          <w:sz w:val="15"/>
        </w:rPr>
        <w:t>resolución</w:t>
      </w:r>
      <w:r>
        <w:rPr>
          <w:spacing w:val="-2"/>
          <w:w w:val="105"/>
          <w:sz w:val="15"/>
        </w:rPr>
        <w:t xml:space="preserve"> </w:t>
      </w:r>
      <w:r>
        <w:rPr>
          <w:w w:val="105"/>
          <w:sz w:val="15"/>
        </w:rPr>
        <w:t>de</w:t>
      </w:r>
      <w:r>
        <w:rPr>
          <w:spacing w:val="-2"/>
          <w:w w:val="105"/>
          <w:sz w:val="15"/>
        </w:rPr>
        <w:t xml:space="preserve"> </w:t>
      </w:r>
      <w:r>
        <w:rPr>
          <w:w w:val="105"/>
          <w:sz w:val="15"/>
        </w:rPr>
        <w:t>muchos</w:t>
      </w:r>
      <w:r>
        <w:rPr>
          <w:spacing w:val="-2"/>
          <w:w w:val="105"/>
          <w:sz w:val="15"/>
        </w:rPr>
        <w:t xml:space="preserve"> </w:t>
      </w:r>
      <w:r>
        <w:rPr>
          <w:w w:val="105"/>
          <w:sz w:val="15"/>
        </w:rPr>
        <w:t>casos</w:t>
      </w:r>
      <w:r>
        <w:rPr>
          <w:spacing w:val="-2"/>
          <w:w w:val="105"/>
          <w:sz w:val="15"/>
        </w:rPr>
        <w:t xml:space="preserve"> </w:t>
      </w:r>
      <w:r>
        <w:rPr>
          <w:w w:val="105"/>
          <w:sz w:val="15"/>
        </w:rPr>
        <w:t>de</w:t>
      </w:r>
      <w:r>
        <w:rPr>
          <w:spacing w:val="-2"/>
          <w:w w:val="105"/>
          <w:sz w:val="15"/>
        </w:rPr>
        <w:t xml:space="preserve"> </w:t>
      </w:r>
      <w:r>
        <w:rPr>
          <w:w w:val="105"/>
          <w:sz w:val="15"/>
        </w:rPr>
        <w:t>discriminación</w:t>
      </w:r>
      <w:r>
        <w:rPr>
          <w:spacing w:val="-2"/>
          <w:w w:val="105"/>
          <w:sz w:val="15"/>
        </w:rPr>
        <w:t xml:space="preserve"> </w:t>
      </w:r>
      <w:r>
        <w:rPr>
          <w:w w:val="105"/>
          <w:sz w:val="15"/>
        </w:rPr>
        <w:t>ha</w:t>
      </w:r>
      <w:r>
        <w:rPr>
          <w:spacing w:val="-2"/>
          <w:w w:val="105"/>
          <w:sz w:val="15"/>
        </w:rPr>
        <w:t xml:space="preserve"> </w:t>
      </w:r>
      <w:r>
        <w:rPr>
          <w:w w:val="105"/>
          <w:sz w:val="15"/>
        </w:rPr>
        <w:t>sido</w:t>
      </w:r>
      <w:r>
        <w:rPr>
          <w:spacing w:val="-2"/>
          <w:w w:val="105"/>
          <w:sz w:val="15"/>
        </w:rPr>
        <w:t xml:space="preserve"> </w:t>
      </w:r>
      <w:r>
        <w:rPr>
          <w:w w:val="105"/>
          <w:sz w:val="15"/>
        </w:rPr>
        <w:t>“comparar</w:t>
      </w:r>
      <w:r>
        <w:rPr>
          <w:spacing w:val="-2"/>
          <w:w w:val="105"/>
          <w:sz w:val="15"/>
        </w:rPr>
        <w:t xml:space="preserve"> </w:t>
      </w:r>
      <w:r>
        <w:rPr>
          <w:w w:val="105"/>
          <w:sz w:val="15"/>
        </w:rPr>
        <w:t>con</w:t>
      </w:r>
      <w:r>
        <w:rPr>
          <w:spacing w:val="-2"/>
          <w:w w:val="105"/>
          <w:sz w:val="15"/>
        </w:rPr>
        <w:t xml:space="preserve"> </w:t>
      </w:r>
      <w:r>
        <w:rPr>
          <w:w w:val="105"/>
          <w:sz w:val="15"/>
        </w:rPr>
        <w:t>qué”</w:t>
      </w:r>
      <w:r>
        <w:rPr>
          <w:spacing w:val="-2"/>
          <w:w w:val="105"/>
          <w:sz w:val="15"/>
        </w:rPr>
        <w:t xml:space="preserve"> </w:t>
      </w:r>
      <w:r>
        <w:rPr>
          <w:w w:val="105"/>
          <w:sz w:val="15"/>
        </w:rPr>
        <w:t>“comparador”</w:t>
      </w:r>
      <w:r>
        <w:rPr>
          <w:spacing w:val="-2"/>
          <w:w w:val="105"/>
          <w:sz w:val="15"/>
        </w:rPr>
        <w:t xml:space="preserve"> </w:t>
      </w:r>
      <w:r>
        <w:rPr>
          <w:w w:val="105"/>
          <w:sz w:val="15"/>
        </w:rPr>
        <w:t>real</w:t>
      </w:r>
      <w:r>
        <w:rPr>
          <w:spacing w:val="-2"/>
          <w:w w:val="105"/>
          <w:sz w:val="15"/>
        </w:rPr>
        <w:t xml:space="preserve"> </w:t>
      </w:r>
      <w:r>
        <w:rPr>
          <w:w w:val="105"/>
          <w:sz w:val="15"/>
        </w:rPr>
        <w:t>o hipotético</w:t>
      </w:r>
      <w:r>
        <w:rPr>
          <w:spacing w:val="-4"/>
          <w:w w:val="105"/>
          <w:sz w:val="15"/>
        </w:rPr>
        <w:t xml:space="preserve"> </w:t>
      </w:r>
      <w:r>
        <w:rPr>
          <w:w w:val="105"/>
          <w:sz w:val="15"/>
        </w:rPr>
        <w:t>ha</w:t>
      </w:r>
      <w:r>
        <w:rPr>
          <w:spacing w:val="-4"/>
          <w:w w:val="105"/>
          <w:sz w:val="15"/>
        </w:rPr>
        <w:t xml:space="preserve"> </w:t>
      </w:r>
      <w:r>
        <w:rPr>
          <w:w w:val="105"/>
          <w:sz w:val="15"/>
        </w:rPr>
        <w:t>ocurrido</w:t>
      </w:r>
      <w:r>
        <w:rPr>
          <w:spacing w:val="-4"/>
          <w:w w:val="105"/>
          <w:sz w:val="15"/>
        </w:rPr>
        <w:t xml:space="preserve"> </w:t>
      </w:r>
      <w:r>
        <w:rPr>
          <w:w w:val="105"/>
          <w:sz w:val="15"/>
        </w:rPr>
        <w:t>la</w:t>
      </w:r>
      <w:r>
        <w:rPr>
          <w:spacing w:val="-4"/>
          <w:w w:val="105"/>
          <w:sz w:val="15"/>
        </w:rPr>
        <w:t xml:space="preserve"> </w:t>
      </w:r>
      <w:r>
        <w:rPr>
          <w:w w:val="105"/>
          <w:sz w:val="15"/>
        </w:rPr>
        <w:t>discriminación.</w:t>
      </w:r>
      <w:r>
        <w:rPr>
          <w:spacing w:val="-3"/>
          <w:w w:val="105"/>
          <w:sz w:val="15"/>
        </w:rPr>
        <w:t xml:space="preserve"> </w:t>
      </w:r>
      <w:r>
        <w:rPr>
          <w:w w:val="105"/>
          <w:sz w:val="15"/>
        </w:rPr>
        <w:t>Como</w:t>
      </w:r>
      <w:r>
        <w:rPr>
          <w:spacing w:val="-4"/>
          <w:w w:val="105"/>
          <w:sz w:val="15"/>
        </w:rPr>
        <w:t xml:space="preserve"> </w:t>
      </w:r>
      <w:r>
        <w:rPr>
          <w:w w:val="105"/>
          <w:sz w:val="15"/>
        </w:rPr>
        <w:t>se</w:t>
      </w:r>
      <w:r>
        <w:rPr>
          <w:spacing w:val="-4"/>
          <w:w w:val="105"/>
          <w:sz w:val="15"/>
        </w:rPr>
        <w:t xml:space="preserve"> </w:t>
      </w:r>
      <w:r>
        <w:rPr>
          <w:w w:val="105"/>
          <w:sz w:val="15"/>
        </w:rPr>
        <w:t>examina</w:t>
      </w:r>
      <w:r>
        <w:rPr>
          <w:spacing w:val="-4"/>
          <w:w w:val="105"/>
          <w:sz w:val="15"/>
        </w:rPr>
        <w:t xml:space="preserve"> </w:t>
      </w:r>
      <w:r>
        <w:rPr>
          <w:w w:val="105"/>
          <w:sz w:val="15"/>
        </w:rPr>
        <w:t>más</w:t>
      </w:r>
      <w:r>
        <w:rPr>
          <w:spacing w:val="-4"/>
          <w:w w:val="105"/>
          <w:sz w:val="15"/>
        </w:rPr>
        <w:t xml:space="preserve"> </w:t>
      </w:r>
      <w:r>
        <w:rPr>
          <w:w w:val="105"/>
          <w:sz w:val="15"/>
        </w:rPr>
        <w:t>adelante,</w:t>
      </w:r>
      <w:r>
        <w:rPr>
          <w:spacing w:val="-3"/>
          <w:w w:val="105"/>
          <w:sz w:val="15"/>
        </w:rPr>
        <w:t xml:space="preserve"> </w:t>
      </w:r>
      <w:r>
        <w:rPr>
          <w:w w:val="105"/>
          <w:sz w:val="15"/>
        </w:rPr>
        <w:t>a</w:t>
      </w:r>
      <w:r>
        <w:rPr>
          <w:spacing w:val="-4"/>
          <w:w w:val="105"/>
          <w:sz w:val="15"/>
        </w:rPr>
        <w:t xml:space="preserve"> </w:t>
      </w:r>
      <w:r>
        <w:rPr>
          <w:w w:val="105"/>
          <w:sz w:val="15"/>
        </w:rPr>
        <w:t>medida</w:t>
      </w:r>
      <w:r>
        <w:rPr>
          <w:spacing w:val="-4"/>
          <w:w w:val="105"/>
          <w:sz w:val="15"/>
        </w:rPr>
        <w:t xml:space="preserve"> </w:t>
      </w:r>
      <w:r>
        <w:rPr>
          <w:w w:val="105"/>
          <w:sz w:val="15"/>
        </w:rPr>
        <w:t>que</w:t>
      </w:r>
      <w:r>
        <w:rPr>
          <w:spacing w:val="-4"/>
          <w:w w:val="105"/>
          <w:sz w:val="15"/>
        </w:rPr>
        <w:t xml:space="preserve"> </w:t>
      </w:r>
      <w:r>
        <w:rPr>
          <w:w w:val="105"/>
          <w:sz w:val="15"/>
        </w:rPr>
        <w:t>ha</w:t>
      </w:r>
      <w:r>
        <w:rPr>
          <w:spacing w:val="-4"/>
          <w:w w:val="105"/>
          <w:sz w:val="15"/>
        </w:rPr>
        <w:t xml:space="preserve"> </w:t>
      </w:r>
      <w:r>
        <w:rPr>
          <w:w w:val="105"/>
          <w:sz w:val="15"/>
        </w:rPr>
        <w:t>ido</w:t>
      </w:r>
      <w:r>
        <w:rPr>
          <w:spacing w:val="-4"/>
          <w:w w:val="105"/>
          <w:sz w:val="15"/>
        </w:rPr>
        <w:t xml:space="preserve"> </w:t>
      </w:r>
      <w:r>
        <w:rPr>
          <w:w w:val="105"/>
          <w:sz w:val="15"/>
        </w:rPr>
        <w:t>evolucionando</w:t>
      </w:r>
      <w:r>
        <w:rPr>
          <w:spacing w:val="-4"/>
          <w:w w:val="105"/>
          <w:sz w:val="15"/>
        </w:rPr>
        <w:t xml:space="preserve"> </w:t>
      </w:r>
      <w:r>
        <w:rPr>
          <w:w w:val="105"/>
          <w:sz w:val="15"/>
        </w:rPr>
        <w:t>la</w:t>
      </w:r>
      <w:r>
        <w:rPr>
          <w:spacing w:val="-4"/>
          <w:w w:val="105"/>
          <w:sz w:val="15"/>
        </w:rPr>
        <w:t xml:space="preserve"> </w:t>
      </w:r>
      <w:r>
        <w:rPr>
          <w:w w:val="105"/>
          <w:sz w:val="15"/>
        </w:rPr>
        <w:t>comprensión</w:t>
      </w:r>
      <w:r>
        <w:rPr>
          <w:spacing w:val="-4"/>
          <w:w w:val="105"/>
          <w:sz w:val="15"/>
        </w:rPr>
        <w:t xml:space="preserve"> </w:t>
      </w:r>
      <w:r>
        <w:rPr>
          <w:w w:val="105"/>
          <w:sz w:val="15"/>
        </w:rPr>
        <w:t>de</w:t>
      </w:r>
      <w:r>
        <w:rPr>
          <w:spacing w:val="-4"/>
          <w:w w:val="105"/>
          <w:sz w:val="15"/>
        </w:rPr>
        <w:t xml:space="preserve"> </w:t>
      </w:r>
      <w:r>
        <w:rPr>
          <w:w w:val="105"/>
          <w:sz w:val="15"/>
        </w:rPr>
        <w:t>la discriminación,</w:t>
      </w:r>
      <w:r>
        <w:rPr>
          <w:spacing w:val="-3"/>
          <w:w w:val="105"/>
          <w:sz w:val="15"/>
        </w:rPr>
        <w:t xml:space="preserve"> </w:t>
      </w:r>
      <w:r>
        <w:rPr>
          <w:w w:val="105"/>
          <w:sz w:val="15"/>
        </w:rPr>
        <w:t>ahora</w:t>
      </w:r>
      <w:r>
        <w:rPr>
          <w:spacing w:val="-4"/>
          <w:w w:val="105"/>
          <w:sz w:val="15"/>
        </w:rPr>
        <w:t xml:space="preserve"> </w:t>
      </w:r>
      <w:r>
        <w:rPr>
          <w:w w:val="105"/>
          <w:sz w:val="15"/>
        </w:rPr>
        <w:t>se</w:t>
      </w:r>
      <w:r>
        <w:rPr>
          <w:spacing w:val="-4"/>
          <w:w w:val="105"/>
          <w:sz w:val="15"/>
        </w:rPr>
        <w:t xml:space="preserve"> </w:t>
      </w:r>
      <w:r>
        <w:rPr>
          <w:w w:val="105"/>
          <w:sz w:val="15"/>
        </w:rPr>
        <w:t>reconoce</w:t>
      </w:r>
      <w:r>
        <w:rPr>
          <w:spacing w:val="-4"/>
          <w:w w:val="105"/>
          <w:sz w:val="15"/>
        </w:rPr>
        <w:t xml:space="preserve"> </w:t>
      </w:r>
      <w:r>
        <w:rPr>
          <w:w w:val="105"/>
          <w:sz w:val="15"/>
        </w:rPr>
        <w:t>que</w:t>
      </w:r>
      <w:r>
        <w:rPr>
          <w:spacing w:val="-4"/>
          <w:w w:val="105"/>
          <w:sz w:val="15"/>
        </w:rPr>
        <w:t xml:space="preserve"> </w:t>
      </w:r>
      <w:r>
        <w:rPr>
          <w:w w:val="105"/>
          <w:sz w:val="15"/>
        </w:rPr>
        <w:t>la</w:t>
      </w:r>
      <w:r>
        <w:rPr>
          <w:spacing w:val="-4"/>
          <w:w w:val="105"/>
          <w:sz w:val="15"/>
        </w:rPr>
        <w:t xml:space="preserve"> </w:t>
      </w:r>
      <w:r>
        <w:rPr>
          <w:w w:val="105"/>
          <w:sz w:val="15"/>
        </w:rPr>
        <w:t>discriminación</w:t>
      </w:r>
      <w:r>
        <w:rPr>
          <w:spacing w:val="-4"/>
          <w:w w:val="105"/>
          <w:sz w:val="15"/>
        </w:rPr>
        <w:t xml:space="preserve"> </w:t>
      </w:r>
      <w:r>
        <w:rPr>
          <w:w w:val="105"/>
          <w:sz w:val="15"/>
        </w:rPr>
        <w:t>puede</w:t>
      </w:r>
      <w:r>
        <w:rPr>
          <w:spacing w:val="-4"/>
          <w:w w:val="105"/>
          <w:sz w:val="15"/>
        </w:rPr>
        <w:t xml:space="preserve"> </w:t>
      </w:r>
      <w:r>
        <w:rPr>
          <w:w w:val="105"/>
          <w:sz w:val="15"/>
        </w:rPr>
        <w:t>simplemente</w:t>
      </w:r>
      <w:r>
        <w:rPr>
          <w:spacing w:val="-4"/>
          <w:w w:val="105"/>
          <w:sz w:val="15"/>
        </w:rPr>
        <w:t xml:space="preserve"> </w:t>
      </w:r>
      <w:r>
        <w:rPr>
          <w:w w:val="105"/>
          <w:sz w:val="15"/>
        </w:rPr>
        <w:t>dar</w:t>
      </w:r>
      <w:r>
        <w:rPr>
          <w:spacing w:val="-4"/>
          <w:w w:val="105"/>
          <w:sz w:val="15"/>
        </w:rPr>
        <w:t xml:space="preserve"> </w:t>
      </w:r>
      <w:r>
        <w:rPr>
          <w:w w:val="105"/>
          <w:sz w:val="15"/>
        </w:rPr>
        <w:t>lugar</w:t>
      </w:r>
      <w:r>
        <w:rPr>
          <w:spacing w:val="-4"/>
          <w:w w:val="105"/>
          <w:sz w:val="15"/>
        </w:rPr>
        <w:t xml:space="preserve"> </w:t>
      </w:r>
      <w:r>
        <w:rPr>
          <w:w w:val="105"/>
          <w:sz w:val="15"/>
        </w:rPr>
        <w:t>a</w:t>
      </w:r>
      <w:r>
        <w:rPr>
          <w:spacing w:val="-4"/>
          <w:w w:val="105"/>
          <w:sz w:val="15"/>
        </w:rPr>
        <w:t xml:space="preserve"> </w:t>
      </w:r>
      <w:r>
        <w:rPr>
          <w:w w:val="105"/>
          <w:sz w:val="15"/>
        </w:rPr>
        <w:t>un</w:t>
      </w:r>
      <w:r>
        <w:rPr>
          <w:spacing w:val="-4"/>
          <w:w w:val="105"/>
          <w:sz w:val="15"/>
        </w:rPr>
        <w:t xml:space="preserve"> </w:t>
      </w:r>
      <w:r>
        <w:rPr>
          <w:w w:val="105"/>
          <w:sz w:val="15"/>
        </w:rPr>
        <w:t>perjuicio,</w:t>
      </w:r>
      <w:r>
        <w:rPr>
          <w:spacing w:val="-3"/>
          <w:w w:val="105"/>
          <w:sz w:val="15"/>
        </w:rPr>
        <w:t xml:space="preserve"> </w:t>
      </w:r>
      <w:r>
        <w:rPr>
          <w:w w:val="105"/>
          <w:sz w:val="15"/>
        </w:rPr>
        <w:t>sin</w:t>
      </w:r>
      <w:r>
        <w:rPr>
          <w:spacing w:val="-4"/>
          <w:w w:val="105"/>
          <w:sz w:val="15"/>
        </w:rPr>
        <w:t xml:space="preserve"> </w:t>
      </w:r>
      <w:r>
        <w:rPr>
          <w:w w:val="105"/>
          <w:sz w:val="15"/>
        </w:rPr>
        <w:t>ningún</w:t>
      </w:r>
      <w:r>
        <w:rPr>
          <w:spacing w:val="-4"/>
          <w:w w:val="105"/>
          <w:sz w:val="15"/>
        </w:rPr>
        <w:t xml:space="preserve"> </w:t>
      </w:r>
      <w:r>
        <w:rPr>
          <w:w w:val="105"/>
          <w:sz w:val="15"/>
        </w:rPr>
        <w:t>comparador</w:t>
      </w:r>
      <w:r>
        <w:rPr>
          <w:spacing w:val="-4"/>
          <w:w w:val="105"/>
          <w:sz w:val="15"/>
        </w:rPr>
        <w:t xml:space="preserve"> </w:t>
      </w:r>
      <w:r>
        <w:rPr>
          <w:w w:val="105"/>
          <w:sz w:val="15"/>
        </w:rPr>
        <w:t>claro</w:t>
      </w:r>
      <w:r>
        <w:rPr>
          <w:spacing w:val="-4"/>
          <w:w w:val="105"/>
          <w:sz w:val="15"/>
        </w:rPr>
        <w:t xml:space="preserve"> </w:t>
      </w:r>
      <w:r>
        <w:rPr>
          <w:w w:val="105"/>
          <w:sz w:val="15"/>
        </w:rPr>
        <w:t>y,</w:t>
      </w:r>
    </w:p>
    <w:p w14:paraId="66DC94F3" w14:textId="77777777" w:rsidR="0014798C" w:rsidRDefault="004E1F0B">
      <w:pPr>
        <w:spacing w:line="348" w:lineRule="auto"/>
        <w:ind w:left="1108" w:right="1351" w:firstLine="3"/>
        <w:jc w:val="both"/>
        <w:rPr>
          <w:sz w:val="15"/>
        </w:rPr>
      </w:pPr>
      <w:r>
        <w:rPr>
          <w:w w:val="105"/>
          <w:sz w:val="15"/>
        </w:rPr>
        <w:t>de</w:t>
      </w:r>
      <w:r>
        <w:rPr>
          <w:spacing w:val="-8"/>
          <w:w w:val="105"/>
          <w:sz w:val="15"/>
        </w:rPr>
        <w:t xml:space="preserve"> </w:t>
      </w:r>
      <w:r>
        <w:rPr>
          <w:w w:val="105"/>
          <w:sz w:val="15"/>
        </w:rPr>
        <w:t>hecho,</w:t>
      </w:r>
      <w:r>
        <w:rPr>
          <w:spacing w:val="-8"/>
          <w:w w:val="105"/>
          <w:sz w:val="15"/>
        </w:rPr>
        <w:t xml:space="preserve"> </w:t>
      </w:r>
      <w:r>
        <w:rPr>
          <w:w w:val="105"/>
          <w:sz w:val="15"/>
        </w:rPr>
        <w:t>con</w:t>
      </w:r>
      <w:r>
        <w:rPr>
          <w:spacing w:val="-8"/>
          <w:w w:val="105"/>
          <w:sz w:val="15"/>
        </w:rPr>
        <w:t xml:space="preserve"> </w:t>
      </w:r>
      <w:r>
        <w:rPr>
          <w:w w:val="105"/>
          <w:sz w:val="15"/>
        </w:rPr>
        <w:t>respecto</w:t>
      </w:r>
      <w:r>
        <w:rPr>
          <w:spacing w:val="-8"/>
          <w:w w:val="105"/>
          <w:sz w:val="15"/>
        </w:rPr>
        <w:t xml:space="preserve"> </w:t>
      </w:r>
      <w:r>
        <w:rPr>
          <w:w w:val="105"/>
          <w:sz w:val="15"/>
        </w:rPr>
        <w:t>a</w:t>
      </w:r>
      <w:r>
        <w:rPr>
          <w:spacing w:val="-8"/>
          <w:w w:val="105"/>
          <w:sz w:val="15"/>
        </w:rPr>
        <w:t xml:space="preserve"> </w:t>
      </w:r>
      <w:r>
        <w:rPr>
          <w:w w:val="105"/>
          <w:sz w:val="15"/>
        </w:rPr>
        <w:t>algunas</w:t>
      </w:r>
      <w:r>
        <w:rPr>
          <w:spacing w:val="-8"/>
          <w:w w:val="105"/>
          <w:sz w:val="15"/>
        </w:rPr>
        <w:t xml:space="preserve"> </w:t>
      </w:r>
      <w:r>
        <w:rPr>
          <w:w w:val="105"/>
          <w:sz w:val="15"/>
        </w:rPr>
        <w:t>formas</w:t>
      </w:r>
      <w:r>
        <w:rPr>
          <w:spacing w:val="-8"/>
          <w:w w:val="105"/>
          <w:sz w:val="15"/>
        </w:rPr>
        <w:t xml:space="preserve"> </w:t>
      </w:r>
      <w:r>
        <w:rPr>
          <w:w w:val="105"/>
          <w:sz w:val="15"/>
        </w:rPr>
        <w:t>de</w:t>
      </w:r>
      <w:r>
        <w:rPr>
          <w:spacing w:val="-8"/>
          <w:w w:val="105"/>
          <w:sz w:val="15"/>
        </w:rPr>
        <w:t xml:space="preserve"> </w:t>
      </w:r>
      <w:r>
        <w:rPr>
          <w:w w:val="105"/>
          <w:sz w:val="15"/>
        </w:rPr>
        <w:t>discriminación,</w:t>
      </w:r>
      <w:r>
        <w:rPr>
          <w:spacing w:val="-7"/>
          <w:w w:val="105"/>
          <w:sz w:val="15"/>
        </w:rPr>
        <w:t xml:space="preserve"> </w:t>
      </w:r>
      <w:r>
        <w:rPr>
          <w:w w:val="105"/>
          <w:sz w:val="15"/>
        </w:rPr>
        <w:t>la</w:t>
      </w:r>
      <w:r>
        <w:rPr>
          <w:spacing w:val="-8"/>
          <w:w w:val="105"/>
          <w:sz w:val="15"/>
        </w:rPr>
        <w:t xml:space="preserve"> </w:t>
      </w:r>
      <w:r>
        <w:rPr>
          <w:w w:val="105"/>
          <w:sz w:val="15"/>
        </w:rPr>
        <w:t>comparación</w:t>
      </w:r>
      <w:r>
        <w:rPr>
          <w:spacing w:val="-8"/>
          <w:w w:val="105"/>
          <w:sz w:val="15"/>
        </w:rPr>
        <w:t xml:space="preserve"> </w:t>
      </w:r>
      <w:r>
        <w:rPr>
          <w:w w:val="105"/>
          <w:sz w:val="15"/>
        </w:rPr>
        <w:t>no</w:t>
      </w:r>
      <w:r>
        <w:rPr>
          <w:spacing w:val="-8"/>
          <w:w w:val="105"/>
          <w:sz w:val="15"/>
        </w:rPr>
        <w:t xml:space="preserve"> </w:t>
      </w:r>
      <w:r>
        <w:rPr>
          <w:w w:val="105"/>
          <w:sz w:val="15"/>
        </w:rPr>
        <w:t>forma</w:t>
      </w:r>
      <w:r>
        <w:rPr>
          <w:spacing w:val="-8"/>
          <w:w w:val="105"/>
          <w:sz w:val="15"/>
        </w:rPr>
        <w:t xml:space="preserve"> </w:t>
      </w:r>
      <w:r>
        <w:rPr>
          <w:w w:val="105"/>
          <w:sz w:val="15"/>
        </w:rPr>
        <w:t>parte</w:t>
      </w:r>
      <w:r>
        <w:rPr>
          <w:spacing w:val="-8"/>
          <w:w w:val="105"/>
          <w:sz w:val="15"/>
        </w:rPr>
        <w:t xml:space="preserve"> </w:t>
      </w:r>
      <w:r>
        <w:rPr>
          <w:w w:val="105"/>
          <w:sz w:val="15"/>
        </w:rPr>
        <w:t>de</w:t>
      </w:r>
      <w:r>
        <w:rPr>
          <w:spacing w:val="-8"/>
          <w:w w:val="105"/>
          <w:sz w:val="15"/>
        </w:rPr>
        <w:t xml:space="preserve"> </w:t>
      </w:r>
      <w:r>
        <w:rPr>
          <w:w w:val="105"/>
          <w:sz w:val="15"/>
        </w:rPr>
        <w:t>la</w:t>
      </w:r>
      <w:r>
        <w:rPr>
          <w:spacing w:val="-8"/>
          <w:w w:val="105"/>
          <w:sz w:val="15"/>
        </w:rPr>
        <w:t xml:space="preserve"> </w:t>
      </w:r>
      <w:r>
        <w:rPr>
          <w:w w:val="105"/>
          <w:sz w:val="15"/>
        </w:rPr>
        <w:t>definición</w:t>
      </w:r>
      <w:r>
        <w:rPr>
          <w:spacing w:val="-8"/>
          <w:w w:val="105"/>
          <w:sz w:val="15"/>
        </w:rPr>
        <w:t xml:space="preserve"> </w:t>
      </w:r>
      <w:r>
        <w:rPr>
          <w:w w:val="105"/>
          <w:sz w:val="15"/>
        </w:rPr>
        <w:t>legal.</w:t>
      </w:r>
      <w:r>
        <w:rPr>
          <w:spacing w:val="-8"/>
          <w:w w:val="105"/>
          <w:sz w:val="15"/>
        </w:rPr>
        <w:t xml:space="preserve"> </w:t>
      </w:r>
      <w:r>
        <w:rPr>
          <w:w w:val="105"/>
          <w:sz w:val="15"/>
        </w:rPr>
        <w:t>Como</w:t>
      </w:r>
      <w:r>
        <w:rPr>
          <w:spacing w:val="-8"/>
          <w:w w:val="105"/>
          <w:sz w:val="15"/>
        </w:rPr>
        <w:t xml:space="preserve"> </w:t>
      </w:r>
      <w:r>
        <w:rPr>
          <w:w w:val="105"/>
          <w:sz w:val="15"/>
        </w:rPr>
        <w:t>se</w:t>
      </w:r>
      <w:r>
        <w:rPr>
          <w:spacing w:val="-8"/>
          <w:w w:val="105"/>
          <w:sz w:val="15"/>
        </w:rPr>
        <w:t xml:space="preserve"> </w:t>
      </w:r>
      <w:r>
        <w:rPr>
          <w:w w:val="105"/>
          <w:sz w:val="15"/>
        </w:rPr>
        <w:t>examinará más</w:t>
      </w:r>
      <w:r>
        <w:rPr>
          <w:spacing w:val="-8"/>
          <w:w w:val="105"/>
          <w:sz w:val="15"/>
        </w:rPr>
        <w:t xml:space="preserve"> </w:t>
      </w:r>
      <w:r>
        <w:rPr>
          <w:w w:val="105"/>
          <w:sz w:val="15"/>
        </w:rPr>
        <w:t>adelante,</w:t>
      </w:r>
      <w:r>
        <w:rPr>
          <w:spacing w:val="-7"/>
          <w:w w:val="105"/>
          <w:sz w:val="15"/>
        </w:rPr>
        <w:t xml:space="preserve"> </w:t>
      </w:r>
      <w:r>
        <w:rPr>
          <w:w w:val="105"/>
          <w:sz w:val="15"/>
        </w:rPr>
        <w:t>si</w:t>
      </w:r>
      <w:r>
        <w:rPr>
          <w:spacing w:val="-8"/>
          <w:w w:val="105"/>
          <w:sz w:val="15"/>
        </w:rPr>
        <w:t xml:space="preserve"> </w:t>
      </w:r>
      <w:r>
        <w:rPr>
          <w:w w:val="105"/>
          <w:sz w:val="15"/>
        </w:rPr>
        <w:t>bien</w:t>
      </w:r>
      <w:r>
        <w:rPr>
          <w:spacing w:val="-8"/>
          <w:w w:val="105"/>
          <w:sz w:val="15"/>
        </w:rPr>
        <w:t xml:space="preserve"> </w:t>
      </w:r>
      <w:r>
        <w:rPr>
          <w:w w:val="105"/>
          <w:sz w:val="15"/>
        </w:rPr>
        <w:t>la</w:t>
      </w:r>
      <w:r>
        <w:rPr>
          <w:spacing w:val="-8"/>
          <w:w w:val="105"/>
          <w:sz w:val="15"/>
        </w:rPr>
        <w:t xml:space="preserve"> </w:t>
      </w:r>
      <w:r>
        <w:rPr>
          <w:w w:val="105"/>
          <w:sz w:val="15"/>
        </w:rPr>
        <w:t>comparación</w:t>
      </w:r>
      <w:r>
        <w:rPr>
          <w:spacing w:val="-8"/>
          <w:w w:val="105"/>
          <w:sz w:val="15"/>
        </w:rPr>
        <w:t xml:space="preserve"> </w:t>
      </w:r>
      <w:r>
        <w:rPr>
          <w:w w:val="105"/>
          <w:sz w:val="15"/>
        </w:rPr>
        <w:t>puede</w:t>
      </w:r>
      <w:r>
        <w:rPr>
          <w:spacing w:val="-8"/>
          <w:w w:val="105"/>
          <w:sz w:val="15"/>
        </w:rPr>
        <w:t xml:space="preserve"> </w:t>
      </w:r>
      <w:r>
        <w:rPr>
          <w:w w:val="105"/>
          <w:sz w:val="15"/>
        </w:rPr>
        <w:t>ser</w:t>
      </w:r>
      <w:r>
        <w:rPr>
          <w:spacing w:val="-8"/>
          <w:w w:val="105"/>
          <w:sz w:val="15"/>
        </w:rPr>
        <w:t xml:space="preserve"> </w:t>
      </w:r>
      <w:r>
        <w:rPr>
          <w:w w:val="105"/>
          <w:sz w:val="15"/>
        </w:rPr>
        <w:t>útil</w:t>
      </w:r>
      <w:r>
        <w:rPr>
          <w:spacing w:val="-8"/>
          <w:w w:val="105"/>
          <w:sz w:val="15"/>
        </w:rPr>
        <w:t xml:space="preserve"> </w:t>
      </w:r>
      <w:r>
        <w:rPr>
          <w:w w:val="105"/>
          <w:sz w:val="15"/>
        </w:rPr>
        <w:t>para</w:t>
      </w:r>
      <w:r>
        <w:rPr>
          <w:spacing w:val="-8"/>
          <w:w w:val="105"/>
          <w:sz w:val="15"/>
        </w:rPr>
        <w:t xml:space="preserve"> </w:t>
      </w:r>
      <w:r>
        <w:rPr>
          <w:w w:val="105"/>
          <w:sz w:val="15"/>
        </w:rPr>
        <w:t>comprender</w:t>
      </w:r>
      <w:r>
        <w:rPr>
          <w:spacing w:val="-8"/>
          <w:w w:val="105"/>
          <w:sz w:val="15"/>
        </w:rPr>
        <w:t xml:space="preserve"> </w:t>
      </w:r>
      <w:r>
        <w:rPr>
          <w:w w:val="105"/>
          <w:sz w:val="15"/>
        </w:rPr>
        <w:t>cómo</w:t>
      </w:r>
      <w:r>
        <w:rPr>
          <w:spacing w:val="-8"/>
          <w:w w:val="105"/>
          <w:sz w:val="15"/>
        </w:rPr>
        <w:t xml:space="preserve"> </w:t>
      </w:r>
      <w:r>
        <w:rPr>
          <w:w w:val="105"/>
          <w:sz w:val="15"/>
        </w:rPr>
        <w:t>se</w:t>
      </w:r>
      <w:r>
        <w:rPr>
          <w:spacing w:val="-8"/>
          <w:w w:val="105"/>
          <w:sz w:val="15"/>
        </w:rPr>
        <w:t xml:space="preserve"> </w:t>
      </w:r>
      <w:r>
        <w:rPr>
          <w:w w:val="105"/>
          <w:sz w:val="15"/>
        </w:rPr>
        <w:t>produce</w:t>
      </w:r>
      <w:r>
        <w:rPr>
          <w:spacing w:val="-8"/>
          <w:w w:val="105"/>
          <w:sz w:val="15"/>
        </w:rPr>
        <w:t xml:space="preserve"> </w:t>
      </w:r>
      <w:r>
        <w:rPr>
          <w:w w:val="105"/>
          <w:sz w:val="15"/>
        </w:rPr>
        <w:t>la</w:t>
      </w:r>
      <w:r>
        <w:rPr>
          <w:spacing w:val="-8"/>
          <w:w w:val="105"/>
          <w:sz w:val="15"/>
        </w:rPr>
        <w:t xml:space="preserve"> </w:t>
      </w:r>
      <w:r>
        <w:rPr>
          <w:w w:val="105"/>
          <w:sz w:val="15"/>
        </w:rPr>
        <w:t>discriminación</w:t>
      </w:r>
      <w:r>
        <w:rPr>
          <w:spacing w:val="-8"/>
          <w:w w:val="105"/>
          <w:sz w:val="15"/>
        </w:rPr>
        <w:t xml:space="preserve"> </w:t>
      </w:r>
      <w:r>
        <w:rPr>
          <w:w w:val="105"/>
          <w:sz w:val="15"/>
        </w:rPr>
        <w:t>y</w:t>
      </w:r>
      <w:r>
        <w:rPr>
          <w:spacing w:val="-8"/>
          <w:w w:val="105"/>
          <w:sz w:val="15"/>
        </w:rPr>
        <w:t xml:space="preserve"> </w:t>
      </w:r>
      <w:r>
        <w:rPr>
          <w:w w:val="105"/>
          <w:sz w:val="15"/>
        </w:rPr>
        <w:t>sus</w:t>
      </w:r>
      <w:r>
        <w:rPr>
          <w:spacing w:val="-8"/>
          <w:w w:val="105"/>
          <w:sz w:val="15"/>
        </w:rPr>
        <w:t xml:space="preserve"> </w:t>
      </w:r>
      <w:r>
        <w:rPr>
          <w:w w:val="105"/>
          <w:sz w:val="15"/>
        </w:rPr>
        <w:t>consecuencias,</w:t>
      </w:r>
      <w:r>
        <w:rPr>
          <w:spacing w:val="-7"/>
          <w:w w:val="105"/>
          <w:sz w:val="15"/>
        </w:rPr>
        <w:t xml:space="preserve"> </w:t>
      </w:r>
      <w:r>
        <w:rPr>
          <w:w w:val="105"/>
          <w:sz w:val="15"/>
        </w:rPr>
        <w:t>la</w:t>
      </w:r>
      <w:r>
        <w:rPr>
          <w:spacing w:val="-8"/>
          <w:w w:val="105"/>
          <w:sz w:val="15"/>
        </w:rPr>
        <w:t xml:space="preserve"> </w:t>
      </w:r>
      <w:r>
        <w:rPr>
          <w:w w:val="105"/>
          <w:sz w:val="15"/>
        </w:rPr>
        <w:t>falta de</w:t>
      </w:r>
      <w:r>
        <w:rPr>
          <w:spacing w:val="-1"/>
          <w:w w:val="105"/>
          <w:sz w:val="15"/>
        </w:rPr>
        <w:t xml:space="preserve"> </w:t>
      </w:r>
      <w:r>
        <w:rPr>
          <w:w w:val="105"/>
          <w:sz w:val="15"/>
        </w:rPr>
        <w:t>identificación</w:t>
      </w:r>
      <w:r>
        <w:rPr>
          <w:spacing w:val="-1"/>
          <w:w w:val="105"/>
          <w:sz w:val="15"/>
        </w:rPr>
        <w:t xml:space="preserve"> </w:t>
      </w:r>
      <w:r>
        <w:rPr>
          <w:w w:val="105"/>
          <w:sz w:val="15"/>
        </w:rPr>
        <w:t>de</w:t>
      </w:r>
      <w:r>
        <w:rPr>
          <w:spacing w:val="-1"/>
          <w:w w:val="105"/>
          <w:sz w:val="15"/>
        </w:rPr>
        <w:t xml:space="preserve"> </w:t>
      </w:r>
      <w:r>
        <w:rPr>
          <w:w w:val="105"/>
          <w:sz w:val="15"/>
        </w:rPr>
        <w:t>un</w:t>
      </w:r>
      <w:r>
        <w:rPr>
          <w:spacing w:val="-1"/>
          <w:w w:val="105"/>
          <w:sz w:val="15"/>
        </w:rPr>
        <w:t xml:space="preserve"> </w:t>
      </w:r>
      <w:r>
        <w:rPr>
          <w:w w:val="105"/>
          <w:sz w:val="15"/>
        </w:rPr>
        <w:t>comparador</w:t>
      </w:r>
      <w:r>
        <w:rPr>
          <w:spacing w:val="-1"/>
          <w:w w:val="105"/>
          <w:sz w:val="15"/>
        </w:rPr>
        <w:t xml:space="preserve"> </w:t>
      </w:r>
      <w:r>
        <w:rPr>
          <w:w w:val="105"/>
          <w:sz w:val="15"/>
        </w:rPr>
        <w:t>nunca</w:t>
      </w:r>
      <w:r>
        <w:rPr>
          <w:spacing w:val="-1"/>
          <w:w w:val="105"/>
          <w:sz w:val="15"/>
        </w:rPr>
        <w:t xml:space="preserve"> </w:t>
      </w:r>
      <w:r>
        <w:rPr>
          <w:w w:val="105"/>
          <w:sz w:val="15"/>
        </w:rPr>
        <w:t>debería</w:t>
      </w:r>
      <w:r>
        <w:rPr>
          <w:spacing w:val="-1"/>
          <w:w w:val="105"/>
          <w:sz w:val="15"/>
        </w:rPr>
        <w:t xml:space="preserve"> </w:t>
      </w:r>
      <w:r>
        <w:rPr>
          <w:w w:val="105"/>
          <w:sz w:val="15"/>
        </w:rPr>
        <w:t>ser</w:t>
      </w:r>
      <w:r>
        <w:rPr>
          <w:spacing w:val="-1"/>
          <w:w w:val="105"/>
          <w:sz w:val="15"/>
        </w:rPr>
        <w:t xml:space="preserve"> </w:t>
      </w:r>
      <w:r>
        <w:rPr>
          <w:w w:val="105"/>
          <w:sz w:val="15"/>
        </w:rPr>
        <w:t>un</w:t>
      </w:r>
      <w:r>
        <w:rPr>
          <w:spacing w:val="-1"/>
          <w:w w:val="105"/>
          <w:sz w:val="15"/>
        </w:rPr>
        <w:t xml:space="preserve"> </w:t>
      </w:r>
      <w:r>
        <w:rPr>
          <w:w w:val="105"/>
          <w:sz w:val="15"/>
        </w:rPr>
        <w:t>factor</w:t>
      </w:r>
      <w:r>
        <w:rPr>
          <w:spacing w:val="-1"/>
          <w:w w:val="105"/>
          <w:sz w:val="15"/>
        </w:rPr>
        <w:t xml:space="preserve"> </w:t>
      </w:r>
      <w:r>
        <w:rPr>
          <w:w w:val="105"/>
          <w:sz w:val="15"/>
        </w:rPr>
        <w:t>decisivo</w:t>
      </w:r>
      <w:r>
        <w:rPr>
          <w:spacing w:val="-1"/>
          <w:w w:val="105"/>
          <w:sz w:val="15"/>
        </w:rPr>
        <w:t xml:space="preserve"> </w:t>
      </w:r>
      <w:r>
        <w:rPr>
          <w:w w:val="105"/>
          <w:sz w:val="15"/>
        </w:rPr>
        <w:t>en</w:t>
      </w:r>
      <w:r>
        <w:rPr>
          <w:spacing w:val="-1"/>
          <w:w w:val="105"/>
          <w:sz w:val="15"/>
        </w:rPr>
        <w:t xml:space="preserve"> </w:t>
      </w:r>
      <w:r>
        <w:rPr>
          <w:w w:val="105"/>
          <w:sz w:val="15"/>
        </w:rPr>
        <w:t>el</w:t>
      </w:r>
      <w:r>
        <w:rPr>
          <w:spacing w:val="-1"/>
          <w:w w:val="105"/>
          <w:sz w:val="15"/>
        </w:rPr>
        <w:t xml:space="preserve"> </w:t>
      </w:r>
      <w:r>
        <w:rPr>
          <w:w w:val="105"/>
          <w:sz w:val="15"/>
        </w:rPr>
        <w:t>examen</w:t>
      </w:r>
      <w:r>
        <w:rPr>
          <w:spacing w:val="-1"/>
          <w:w w:val="105"/>
          <w:sz w:val="15"/>
        </w:rPr>
        <w:t xml:space="preserve"> </w:t>
      </w:r>
      <w:r>
        <w:rPr>
          <w:w w:val="105"/>
          <w:sz w:val="15"/>
        </w:rPr>
        <w:t>de</w:t>
      </w:r>
      <w:r>
        <w:rPr>
          <w:spacing w:val="-1"/>
          <w:w w:val="105"/>
          <w:sz w:val="15"/>
        </w:rPr>
        <w:t xml:space="preserve"> </w:t>
      </w:r>
      <w:r>
        <w:rPr>
          <w:w w:val="105"/>
          <w:sz w:val="15"/>
        </w:rPr>
        <w:t>los</w:t>
      </w:r>
      <w:r>
        <w:rPr>
          <w:spacing w:val="-1"/>
          <w:w w:val="105"/>
          <w:sz w:val="15"/>
        </w:rPr>
        <w:t xml:space="preserve"> </w:t>
      </w:r>
      <w:r>
        <w:rPr>
          <w:w w:val="105"/>
          <w:sz w:val="15"/>
        </w:rPr>
        <w:t>casos.</w:t>
      </w:r>
    </w:p>
    <w:p w14:paraId="374B0977" w14:textId="77777777" w:rsidR="0014798C" w:rsidRDefault="0014798C">
      <w:pPr>
        <w:pStyle w:val="Textoindependiente"/>
        <w:rPr>
          <w:sz w:val="15"/>
        </w:rPr>
      </w:pPr>
    </w:p>
    <w:p w14:paraId="54B6F63E" w14:textId="77777777" w:rsidR="0014798C" w:rsidRDefault="0014798C">
      <w:pPr>
        <w:pStyle w:val="Textoindependiente"/>
        <w:rPr>
          <w:sz w:val="15"/>
        </w:rPr>
      </w:pPr>
    </w:p>
    <w:p w14:paraId="0A118477" w14:textId="77777777" w:rsidR="0014798C" w:rsidRDefault="0014798C">
      <w:pPr>
        <w:pStyle w:val="Textoindependiente"/>
        <w:rPr>
          <w:sz w:val="15"/>
        </w:rPr>
      </w:pPr>
    </w:p>
    <w:p w14:paraId="5D1377D6" w14:textId="77777777" w:rsidR="0014798C" w:rsidRDefault="0014798C">
      <w:pPr>
        <w:pStyle w:val="Textoindependiente"/>
        <w:spacing w:before="69"/>
        <w:rPr>
          <w:sz w:val="15"/>
        </w:rPr>
      </w:pPr>
    </w:p>
    <w:p w14:paraId="4EE925D5" w14:textId="77777777" w:rsidR="0014798C" w:rsidRDefault="004E1F0B">
      <w:pPr>
        <w:spacing w:line="288" w:lineRule="auto"/>
        <w:ind w:left="1342" w:right="4198" w:hanging="9"/>
        <w:rPr>
          <w:sz w:val="15"/>
        </w:rPr>
      </w:pPr>
      <w:r>
        <w:rPr>
          <w:w w:val="105"/>
          <w:sz w:val="15"/>
        </w:rPr>
        <w:t>MÉXICO:</w:t>
      </w:r>
      <w:r>
        <w:rPr>
          <w:spacing w:val="-10"/>
          <w:w w:val="105"/>
          <w:sz w:val="15"/>
        </w:rPr>
        <w:t xml:space="preserve"> </w:t>
      </w:r>
      <w:r>
        <w:rPr>
          <w:w w:val="105"/>
          <w:sz w:val="15"/>
        </w:rPr>
        <w:t>ARTÍCULO</w:t>
      </w:r>
      <w:r>
        <w:rPr>
          <w:spacing w:val="-10"/>
          <w:w w:val="105"/>
          <w:sz w:val="15"/>
        </w:rPr>
        <w:t xml:space="preserve"> </w:t>
      </w:r>
      <w:r>
        <w:rPr>
          <w:w w:val="105"/>
          <w:sz w:val="15"/>
        </w:rPr>
        <w:t>1</w:t>
      </w:r>
      <w:r>
        <w:rPr>
          <w:spacing w:val="-10"/>
          <w:w w:val="105"/>
          <w:sz w:val="15"/>
        </w:rPr>
        <w:t xml:space="preserve"> </w:t>
      </w:r>
      <w:r>
        <w:rPr>
          <w:w w:val="105"/>
          <w:sz w:val="15"/>
        </w:rPr>
        <w:t>(III)</w:t>
      </w:r>
      <w:r>
        <w:rPr>
          <w:spacing w:val="-10"/>
          <w:w w:val="105"/>
          <w:sz w:val="15"/>
        </w:rPr>
        <w:t xml:space="preserve"> </w:t>
      </w:r>
      <w:r>
        <w:rPr>
          <w:w w:val="105"/>
          <w:sz w:val="15"/>
        </w:rPr>
        <w:t>DE</w:t>
      </w:r>
      <w:r>
        <w:rPr>
          <w:spacing w:val="-10"/>
          <w:w w:val="105"/>
          <w:sz w:val="15"/>
        </w:rPr>
        <w:t xml:space="preserve"> </w:t>
      </w:r>
      <w:r>
        <w:rPr>
          <w:w w:val="105"/>
          <w:sz w:val="15"/>
        </w:rPr>
        <w:t>LA</w:t>
      </w:r>
      <w:r>
        <w:rPr>
          <w:spacing w:val="-10"/>
          <w:w w:val="105"/>
          <w:sz w:val="15"/>
        </w:rPr>
        <w:t xml:space="preserve"> </w:t>
      </w:r>
      <w:r>
        <w:rPr>
          <w:w w:val="105"/>
          <w:sz w:val="15"/>
        </w:rPr>
        <w:t>LEY</w:t>
      </w:r>
      <w:r>
        <w:rPr>
          <w:spacing w:val="-10"/>
          <w:w w:val="105"/>
          <w:sz w:val="15"/>
        </w:rPr>
        <w:t xml:space="preserve"> </w:t>
      </w:r>
      <w:r>
        <w:rPr>
          <w:w w:val="105"/>
          <w:sz w:val="15"/>
        </w:rPr>
        <w:t>FEDERAL</w:t>
      </w:r>
      <w:r>
        <w:rPr>
          <w:spacing w:val="-11"/>
          <w:w w:val="105"/>
          <w:sz w:val="15"/>
        </w:rPr>
        <w:t xml:space="preserve"> </w:t>
      </w:r>
      <w:r>
        <w:rPr>
          <w:w w:val="105"/>
          <w:sz w:val="15"/>
        </w:rPr>
        <w:t>PARA</w:t>
      </w:r>
      <w:r>
        <w:rPr>
          <w:spacing w:val="-10"/>
          <w:w w:val="105"/>
          <w:sz w:val="15"/>
        </w:rPr>
        <w:t xml:space="preserve"> </w:t>
      </w:r>
      <w:r>
        <w:rPr>
          <w:w w:val="105"/>
          <w:sz w:val="15"/>
        </w:rPr>
        <w:t>PREVENIR</w:t>
      </w:r>
      <w:r>
        <w:rPr>
          <w:spacing w:val="-11"/>
          <w:w w:val="105"/>
          <w:sz w:val="15"/>
        </w:rPr>
        <w:t xml:space="preserve"> </w:t>
      </w:r>
      <w:r>
        <w:rPr>
          <w:w w:val="105"/>
          <w:sz w:val="15"/>
        </w:rPr>
        <w:t>Y</w:t>
      </w:r>
      <w:r>
        <w:rPr>
          <w:spacing w:val="-10"/>
          <w:w w:val="105"/>
          <w:sz w:val="15"/>
        </w:rPr>
        <w:t xml:space="preserve"> </w:t>
      </w:r>
      <w:r>
        <w:rPr>
          <w:w w:val="105"/>
          <w:sz w:val="15"/>
        </w:rPr>
        <w:t xml:space="preserve">ELIMINAR </w:t>
      </w:r>
      <w:r>
        <w:rPr>
          <w:spacing w:val="-2"/>
          <w:w w:val="105"/>
          <w:sz w:val="15"/>
        </w:rPr>
        <w:t>DISCRIMINACIÓN</w:t>
      </w:r>
    </w:p>
    <w:p w14:paraId="615D3518" w14:textId="77777777" w:rsidR="0014798C" w:rsidRDefault="0014798C">
      <w:pPr>
        <w:pStyle w:val="Textoindependiente"/>
        <w:spacing w:before="24"/>
        <w:rPr>
          <w:sz w:val="15"/>
        </w:rPr>
      </w:pPr>
    </w:p>
    <w:p w14:paraId="4FCAB5F4" w14:textId="77777777" w:rsidR="0014798C" w:rsidRDefault="004E1F0B">
      <w:pPr>
        <w:spacing w:line="348" w:lineRule="auto"/>
        <w:ind w:left="1337" w:right="1463" w:hanging="4"/>
        <w:rPr>
          <w:sz w:val="15"/>
        </w:rPr>
      </w:pPr>
      <w:r>
        <w:rPr>
          <w:w w:val="105"/>
          <w:sz w:val="15"/>
        </w:rPr>
        <w:t>Para</w:t>
      </w:r>
      <w:r>
        <w:rPr>
          <w:spacing w:val="-3"/>
          <w:w w:val="105"/>
          <w:sz w:val="15"/>
        </w:rPr>
        <w:t xml:space="preserve"> </w:t>
      </w:r>
      <w:r>
        <w:rPr>
          <w:w w:val="105"/>
          <w:sz w:val="15"/>
        </w:rPr>
        <w:t>los</w:t>
      </w:r>
      <w:r>
        <w:rPr>
          <w:spacing w:val="-3"/>
          <w:w w:val="105"/>
          <w:sz w:val="15"/>
        </w:rPr>
        <w:t xml:space="preserve"> </w:t>
      </w:r>
      <w:r>
        <w:rPr>
          <w:w w:val="105"/>
          <w:sz w:val="15"/>
        </w:rPr>
        <w:t>efectos</w:t>
      </w:r>
      <w:r>
        <w:rPr>
          <w:spacing w:val="-3"/>
          <w:w w:val="105"/>
          <w:sz w:val="15"/>
        </w:rPr>
        <w:t xml:space="preserve"> </w:t>
      </w:r>
      <w:r>
        <w:rPr>
          <w:w w:val="105"/>
          <w:sz w:val="15"/>
        </w:rPr>
        <w:t>de</w:t>
      </w:r>
      <w:r>
        <w:rPr>
          <w:spacing w:val="-3"/>
          <w:w w:val="105"/>
          <w:sz w:val="15"/>
        </w:rPr>
        <w:t xml:space="preserve"> </w:t>
      </w:r>
      <w:r>
        <w:rPr>
          <w:w w:val="105"/>
          <w:sz w:val="15"/>
        </w:rPr>
        <w:t>esta</w:t>
      </w:r>
      <w:r>
        <w:rPr>
          <w:spacing w:val="-3"/>
          <w:w w:val="105"/>
          <w:sz w:val="15"/>
        </w:rPr>
        <w:t xml:space="preserve"> </w:t>
      </w:r>
      <w:r>
        <w:rPr>
          <w:w w:val="105"/>
          <w:sz w:val="15"/>
        </w:rPr>
        <w:t>ley,</w:t>
      </w:r>
      <w:r>
        <w:rPr>
          <w:spacing w:val="-3"/>
          <w:w w:val="105"/>
          <w:sz w:val="15"/>
        </w:rPr>
        <w:t xml:space="preserve"> </w:t>
      </w:r>
      <w:r>
        <w:rPr>
          <w:w w:val="105"/>
          <w:sz w:val="15"/>
        </w:rPr>
        <w:t>se</w:t>
      </w:r>
      <w:r>
        <w:rPr>
          <w:spacing w:val="-3"/>
          <w:w w:val="105"/>
          <w:sz w:val="15"/>
        </w:rPr>
        <w:t xml:space="preserve"> </w:t>
      </w:r>
      <w:r>
        <w:rPr>
          <w:w w:val="105"/>
          <w:sz w:val="15"/>
        </w:rPr>
        <w:t>entenderá</w:t>
      </w:r>
      <w:r>
        <w:rPr>
          <w:spacing w:val="-3"/>
          <w:w w:val="105"/>
          <w:sz w:val="15"/>
        </w:rPr>
        <w:t xml:space="preserve"> </w:t>
      </w:r>
      <w:r>
        <w:rPr>
          <w:w w:val="105"/>
          <w:sz w:val="15"/>
        </w:rPr>
        <w:t>por</w:t>
      </w:r>
      <w:r>
        <w:rPr>
          <w:spacing w:val="-3"/>
          <w:w w:val="105"/>
          <w:sz w:val="15"/>
        </w:rPr>
        <w:t xml:space="preserve"> </w:t>
      </w:r>
      <w:r>
        <w:rPr>
          <w:w w:val="105"/>
          <w:sz w:val="15"/>
        </w:rPr>
        <w:t>discriminación</w:t>
      </w:r>
      <w:r>
        <w:rPr>
          <w:spacing w:val="-3"/>
          <w:w w:val="105"/>
          <w:sz w:val="15"/>
        </w:rPr>
        <w:t xml:space="preserve"> </w:t>
      </w:r>
      <w:r>
        <w:rPr>
          <w:w w:val="105"/>
          <w:sz w:val="15"/>
        </w:rPr>
        <w:t>cualquier</w:t>
      </w:r>
      <w:r>
        <w:rPr>
          <w:spacing w:val="-3"/>
          <w:w w:val="105"/>
          <w:sz w:val="15"/>
        </w:rPr>
        <w:t xml:space="preserve"> </w:t>
      </w:r>
      <w:r>
        <w:rPr>
          <w:w w:val="105"/>
          <w:sz w:val="15"/>
        </w:rPr>
        <w:t>distinción,</w:t>
      </w:r>
      <w:r>
        <w:rPr>
          <w:spacing w:val="-2"/>
          <w:w w:val="105"/>
          <w:sz w:val="15"/>
        </w:rPr>
        <w:t xml:space="preserve"> </w:t>
      </w:r>
      <w:r>
        <w:rPr>
          <w:w w:val="105"/>
          <w:sz w:val="15"/>
        </w:rPr>
        <w:t>exclusión,</w:t>
      </w:r>
      <w:r>
        <w:rPr>
          <w:spacing w:val="-2"/>
          <w:w w:val="105"/>
          <w:sz w:val="15"/>
        </w:rPr>
        <w:t xml:space="preserve"> </w:t>
      </w:r>
      <w:r>
        <w:rPr>
          <w:w w:val="105"/>
          <w:sz w:val="15"/>
        </w:rPr>
        <w:t>restricción</w:t>
      </w:r>
      <w:r>
        <w:rPr>
          <w:spacing w:val="-3"/>
          <w:w w:val="105"/>
          <w:sz w:val="15"/>
        </w:rPr>
        <w:t xml:space="preserve"> </w:t>
      </w:r>
      <w:r>
        <w:rPr>
          <w:w w:val="105"/>
          <w:sz w:val="15"/>
        </w:rPr>
        <w:t>o</w:t>
      </w:r>
      <w:r>
        <w:rPr>
          <w:spacing w:val="-3"/>
          <w:w w:val="105"/>
          <w:sz w:val="15"/>
        </w:rPr>
        <w:t xml:space="preserve"> </w:t>
      </w:r>
      <w:r>
        <w:rPr>
          <w:w w:val="105"/>
          <w:sz w:val="15"/>
        </w:rPr>
        <w:t>preferencia</w:t>
      </w:r>
      <w:r>
        <w:rPr>
          <w:spacing w:val="-3"/>
          <w:w w:val="105"/>
          <w:sz w:val="15"/>
        </w:rPr>
        <w:t xml:space="preserve"> </w:t>
      </w:r>
      <w:r>
        <w:rPr>
          <w:w w:val="105"/>
          <w:sz w:val="15"/>
        </w:rPr>
        <w:t>que,</w:t>
      </w:r>
      <w:r>
        <w:rPr>
          <w:spacing w:val="-3"/>
          <w:w w:val="105"/>
          <w:sz w:val="15"/>
        </w:rPr>
        <w:t xml:space="preserve"> </w:t>
      </w:r>
      <w:r>
        <w:rPr>
          <w:w w:val="105"/>
          <w:sz w:val="15"/>
        </w:rPr>
        <w:t>por acción</w:t>
      </w:r>
      <w:r>
        <w:rPr>
          <w:spacing w:val="-7"/>
          <w:w w:val="105"/>
          <w:sz w:val="15"/>
        </w:rPr>
        <w:t xml:space="preserve"> </w:t>
      </w:r>
      <w:r>
        <w:rPr>
          <w:w w:val="105"/>
          <w:sz w:val="15"/>
        </w:rPr>
        <w:t>u</w:t>
      </w:r>
      <w:r>
        <w:rPr>
          <w:spacing w:val="-7"/>
          <w:w w:val="105"/>
          <w:sz w:val="15"/>
        </w:rPr>
        <w:t xml:space="preserve"> </w:t>
      </w:r>
      <w:r>
        <w:rPr>
          <w:w w:val="105"/>
          <w:sz w:val="15"/>
        </w:rPr>
        <w:t>omisión,</w:t>
      </w:r>
      <w:r>
        <w:rPr>
          <w:spacing w:val="-6"/>
          <w:w w:val="105"/>
          <w:sz w:val="15"/>
        </w:rPr>
        <w:t xml:space="preserve"> </w:t>
      </w:r>
      <w:r>
        <w:rPr>
          <w:w w:val="105"/>
          <w:sz w:val="15"/>
        </w:rPr>
        <w:t>con</w:t>
      </w:r>
      <w:r>
        <w:rPr>
          <w:spacing w:val="-7"/>
          <w:w w:val="105"/>
          <w:sz w:val="15"/>
        </w:rPr>
        <w:t xml:space="preserve"> </w:t>
      </w:r>
      <w:r>
        <w:rPr>
          <w:w w:val="105"/>
          <w:sz w:val="15"/>
        </w:rPr>
        <w:t>o</w:t>
      </w:r>
      <w:r>
        <w:rPr>
          <w:spacing w:val="-7"/>
          <w:w w:val="105"/>
          <w:sz w:val="15"/>
        </w:rPr>
        <w:t xml:space="preserve"> </w:t>
      </w:r>
      <w:r>
        <w:rPr>
          <w:w w:val="105"/>
          <w:sz w:val="15"/>
        </w:rPr>
        <w:t>sin</w:t>
      </w:r>
      <w:r>
        <w:rPr>
          <w:spacing w:val="-7"/>
          <w:w w:val="105"/>
          <w:sz w:val="15"/>
        </w:rPr>
        <w:t xml:space="preserve"> </w:t>
      </w:r>
      <w:r>
        <w:rPr>
          <w:w w:val="105"/>
          <w:sz w:val="15"/>
        </w:rPr>
        <w:t>intención,</w:t>
      </w:r>
      <w:r>
        <w:rPr>
          <w:spacing w:val="-6"/>
          <w:w w:val="105"/>
          <w:sz w:val="15"/>
        </w:rPr>
        <w:t xml:space="preserve"> </w:t>
      </w:r>
      <w:r>
        <w:rPr>
          <w:w w:val="105"/>
          <w:sz w:val="15"/>
        </w:rPr>
        <w:t>no</w:t>
      </w:r>
      <w:r>
        <w:rPr>
          <w:spacing w:val="-7"/>
          <w:w w:val="105"/>
          <w:sz w:val="15"/>
        </w:rPr>
        <w:t xml:space="preserve"> </w:t>
      </w:r>
      <w:r>
        <w:rPr>
          <w:w w:val="105"/>
          <w:sz w:val="15"/>
        </w:rPr>
        <w:t>sea</w:t>
      </w:r>
      <w:r>
        <w:rPr>
          <w:spacing w:val="-7"/>
          <w:w w:val="105"/>
          <w:sz w:val="15"/>
        </w:rPr>
        <w:t xml:space="preserve"> </w:t>
      </w:r>
      <w:r>
        <w:rPr>
          <w:w w:val="105"/>
          <w:sz w:val="15"/>
        </w:rPr>
        <w:t>objetiva,</w:t>
      </w:r>
      <w:r>
        <w:rPr>
          <w:spacing w:val="-6"/>
          <w:w w:val="105"/>
          <w:sz w:val="15"/>
        </w:rPr>
        <w:t xml:space="preserve"> </w:t>
      </w:r>
      <w:r>
        <w:rPr>
          <w:w w:val="105"/>
          <w:sz w:val="15"/>
        </w:rPr>
        <w:t>racional</w:t>
      </w:r>
      <w:r>
        <w:rPr>
          <w:spacing w:val="-7"/>
          <w:w w:val="105"/>
          <w:sz w:val="15"/>
        </w:rPr>
        <w:t xml:space="preserve"> </w:t>
      </w:r>
      <w:r>
        <w:rPr>
          <w:w w:val="105"/>
          <w:sz w:val="15"/>
        </w:rPr>
        <w:t>o</w:t>
      </w:r>
      <w:r>
        <w:rPr>
          <w:spacing w:val="-7"/>
          <w:w w:val="105"/>
          <w:sz w:val="15"/>
        </w:rPr>
        <w:t xml:space="preserve"> </w:t>
      </w:r>
      <w:r>
        <w:rPr>
          <w:w w:val="105"/>
          <w:sz w:val="15"/>
        </w:rPr>
        <w:t>proporcional</w:t>
      </w:r>
      <w:r>
        <w:rPr>
          <w:spacing w:val="-7"/>
          <w:w w:val="105"/>
          <w:sz w:val="15"/>
        </w:rPr>
        <w:t xml:space="preserve"> </w:t>
      </w:r>
      <w:r>
        <w:rPr>
          <w:w w:val="105"/>
          <w:sz w:val="15"/>
        </w:rPr>
        <w:t>y</w:t>
      </w:r>
      <w:r>
        <w:rPr>
          <w:spacing w:val="-7"/>
          <w:w w:val="105"/>
          <w:sz w:val="15"/>
        </w:rPr>
        <w:t xml:space="preserve"> </w:t>
      </w:r>
      <w:r>
        <w:rPr>
          <w:w w:val="105"/>
          <w:sz w:val="15"/>
        </w:rPr>
        <w:t>tenga</w:t>
      </w:r>
      <w:r>
        <w:rPr>
          <w:spacing w:val="-7"/>
          <w:w w:val="105"/>
          <w:sz w:val="15"/>
        </w:rPr>
        <w:t xml:space="preserve"> </w:t>
      </w:r>
      <w:r>
        <w:rPr>
          <w:w w:val="105"/>
          <w:sz w:val="15"/>
        </w:rPr>
        <w:t>por</w:t>
      </w:r>
      <w:r>
        <w:rPr>
          <w:spacing w:val="-7"/>
          <w:w w:val="105"/>
          <w:sz w:val="15"/>
        </w:rPr>
        <w:t xml:space="preserve"> </w:t>
      </w:r>
      <w:r>
        <w:rPr>
          <w:w w:val="105"/>
          <w:sz w:val="15"/>
        </w:rPr>
        <w:t>objeto</w:t>
      </w:r>
      <w:r>
        <w:rPr>
          <w:spacing w:val="-7"/>
          <w:w w:val="105"/>
          <w:sz w:val="15"/>
        </w:rPr>
        <w:t xml:space="preserve"> </w:t>
      </w:r>
      <w:r>
        <w:rPr>
          <w:w w:val="105"/>
          <w:sz w:val="15"/>
        </w:rPr>
        <w:t>o</w:t>
      </w:r>
      <w:r>
        <w:rPr>
          <w:spacing w:val="-7"/>
          <w:w w:val="105"/>
          <w:sz w:val="15"/>
        </w:rPr>
        <w:t xml:space="preserve"> </w:t>
      </w:r>
      <w:r>
        <w:rPr>
          <w:w w:val="105"/>
          <w:sz w:val="15"/>
        </w:rPr>
        <w:t>como</w:t>
      </w:r>
      <w:r>
        <w:rPr>
          <w:spacing w:val="-7"/>
          <w:w w:val="105"/>
          <w:sz w:val="15"/>
        </w:rPr>
        <w:t xml:space="preserve"> </w:t>
      </w:r>
      <w:r>
        <w:rPr>
          <w:w w:val="105"/>
          <w:sz w:val="15"/>
        </w:rPr>
        <w:t>resultado</w:t>
      </w:r>
      <w:r>
        <w:rPr>
          <w:spacing w:val="-7"/>
          <w:w w:val="105"/>
          <w:sz w:val="15"/>
        </w:rPr>
        <w:t xml:space="preserve"> </w:t>
      </w:r>
      <w:proofErr w:type="gramStart"/>
      <w:r>
        <w:rPr>
          <w:w w:val="105"/>
          <w:sz w:val="15"/>
        </w:rPr>
        <w:t>obstaculizar</w:t>
      </w:r>
      <w:r>
        <w:rPr>
          <w:spacing w:val="-7"/>
          <w:w w:val="105"/>
          <w:sz w:val="15"/>
        </w:rPr>
        <w:t xml:space="preserve"> </w:t>
      </w:r>
      <w:r>
        <w:rPr>
          <w:w w:val="105"/>
          <w:sz w:val="15"/>
        </w:rPr>
        <w:t>,</w:t>
      </w:r>
      <w:proofErr w:type="gramEnd"/>
      <w:r>
        <w:rPr>
          <w:w w:val="105"/>
          <w:sz w:val="15"/>
        </w:rPr>
        <w:t xml:space="preserve"> restringir,</w:t>
      </w:r>
      <w:r>
        <w:rPr>
          <w:spacing w:val="-1"/>
          <w:w w:val="105"/>
          <w:sz w:val="15"/>
        </w:rPr>
        <w:t xml:space="preserve"> </w:t>
      </w:r>
      <w:r>
        <w:rPr>
          <w:w w:val="105"/>
          <w:sz w:val="15"/>
        </w:rPr>
        <w:t>impedir,</w:t>
      </w:r>
      <w:r>
        <w:rPr>
          <w:spacing w:val="-1"/>
          <w:w w:val="105"/>
          <w:sz w:val="15"/>
        </w:rPr>
        <w:t xml:space="preserve"> </w:t>
      </w:r>
      <w:r>
        <w:rPr>
          <w:w w:val="105"/>
          <w:sz w:val="15"/>
        </w:rPr>
        <w:t>menoscabar</w:t>
      </w:r>
      <w:r>
        <w:rPr>
          <w:spacing w:val="-2"/>
          <w:w w:val="105"/>
          <w:sz w:val="15"/>
        </w:rPr>
        <w:t xml:space="preserve"> </w:t>
      </w:r>
      <w:r>
        <w:rPr>
          <w:w w:val="105"/>
          <w:sz w:val="15"/>
        </w:rPr>
        <w:t>o</w:t>
      </w:r>
      <w:r>
        <w:rPr>
          <w:spacing w:val="-2"/>
          <w:w w:val="105"/>
          <w:sz w:val="15"/>
        </w:rPr>
        <w:t xml:space="preserve"> </w:t>
      </w:r>
      <w:r>
        <w:rPr>
          <w:w w:val="105"/>
          <w:sz w:val="15"/>
        </w:rPr>
        <w:t>anular</w:t>
      </w:r>
      <w:r>
        <w:rPr>
          <w:spacing w:val="-2"/>
          <w:w w:val="105"/>
          <w:sz w:val="15"/>
        </w:rPr>
        <w:t xml:space="preserve"> </w:t>
      </w:r>
      <w:r>
        <w:rPr>
          <w:w w:val="105"/>
          <w:sz w:val="15"/>
        </w:rPr>
        <w:t>el</w:t>
      </w:r>
      <w:r>
        <w:rPr>
          <w:spacing w:val="-2"/>
          <w:w w:val="105"/>
          <w:sz w:val="15"/>
        </w:rPr>
        <w:t xml:space="preserve"> </w:t>
      </w:r>
      <w:r>
        <w:rPr>
          <w:w w:val="105"/>
          <w:sz w:val="15"/>
        </w:rPr>
        <w:t>reconocimiento,</w:t>
      </w:r>
      <w:r>
        <w:rPr>
          <w:spacing w:val="-1"/>
          <w:w w:val="105"/>
          <w:sz w:val="15"/>
        </w:rPr>
        <w:t xml:space="preserve"> </w:t>
      </w:r>
      <w:r>
        <w:rPr>
          <w:w w:val="105"/>
          <w:sz w:val="15"/>
        </w:rPr>
        <w:t>goce</w:t>
      </w:r>
      <w:r>
        <w:rPr>
          <w:spacing w:val="-2"/>
          <w:w w:val="105"/>
          <w:sz w:val="15"/>
        </w:rPr>
        <w:t xml:space="preserve"> </w:t>
      </w:r>
      <w:r>
        <w:rPr>
          <w:w w:val="105"/>
          <w:sz w:val="15"/>
        </w:rPr>
        <w:t>o</w:t>
      </w:r>
      <w:r>
        <w:rPr>
          <w:spacing w:val="-2"/>
          <w:w w:val="105"/>
          <w:sz w:val="15"/>
        </w:rPr>
        <w:t xml:space="preserve"> </w:t>
      </w:r>
      <w:r>
        <w:rPr>
          <w:w w:val="105"/>
          <w:sz w:val="15"/>
        </w:rPr>
        <w:t>ejercicio</w:t>
      </w:r>
      <w:r>
        <w:rPr>
          <w:spacing w:val="-2"/>
          <w:w w:val="105"/>
          <w:sz w:val="15"/>
        </w:rPr>
        <w:t xml:space="preserve"> </w:t>
      </w:r>
      <w:r>
        <w:rPr>
          <w:w w:val="105"/>
          <w:sz w:val="15"/>
        </w:rPr>
        <w:t>de</w:t>
      </w:r>
      <w:r>
        <w:rPr>
          <w:spacing w:val="-2"/>
          <w:w w:val="105"/>
          <w:sz w:val="15"/>
        </w:rPr>
        <w:t xml:space="preserve"> </w:t>
      </w:r>
      <w:r>
        <w:rPr>
          <w:w w:val="105"/>
          <w:sz w:val="15"/>
        </w:rPr>
        <w:t>los</w:t>
      </w:r>
      <w:r>
        <w:rPr>
          <w:spacing w:val="-2"/>
          <w:w w:val="105"/>
          <w:sz w:val="15"/>
        </w:rPr>
        <w:t xml:space="preserve"> </w:t>
      </w:r>
      <w:r>
        <w:rPr>
          <w:w w:val="105"/>
          <w:sz w:val="15"/>
        </w:rPr>
        <w:t>derechos</w:t>
      </w:r>
      <w:r>
        <w:rPr>
          <w:spacing w:val="-2"/>
          <w:w w:val="105"/>
          <w:sz w:val="15"/>
        </w:rPr>
        <w:t xml:space="preserve"> </w:t>
      </w:r>
      <w:r>
        <w:rPr>
          <w:w w:val="105"/>
          <w:sz w:val="15"/>
        </w:rPr>
        <w:t>y</w:t>
      </w:r>
      <w:r>
        <w:rPr>
          <w:spacing w:val="-2"/>
          <w:w w:val="105"/>
          <w:sz w:val="15"/>
        </w:rPr>
        <w:t xml:space="preserve"> </w:t>
      </w:r>
      <w:r>
        <w:rPr>
          <w:w w:val="105"/>
          <w:sz w:val="15"/>
        </w:rPr>
        <w:t>libertades</w:t>
      </w:r>
      <w:r>
        <w:rPr>
          <w:spacing w:val="-2"/>
          <w:w w:val="105"/>
          <w:sz w:val="15"/>
        </w:rPr>
        <w:t xml:space="preserve"> </w:t>
      </w:r>
      <w:r>
        <w:rPr>
          <w:w w:val="105"/>
          <w:sz w:val="15"/>
        </w:rPr>
        <w:t>humanos,</w:t>
      </w:r>
      <w:r>
        <w:rPr>
          <w:spacing w:val="-1"/>
          <w:w w:val="105"/>
          <w:sz w:val="15"/>
        </w:rPr>
        <w:t xml:space="preserve"> </w:t>
      </w:r>
      <w:r>
        <w:rPr>
          <w:w w:val="105"/>
          <w:sz w:val="15"/>
        </w:rPr>
        <w:t>cuando</w:t>
      </w:r>
      <w:r>
        <w:rPr>
          <w:spacing w:val="-2"/>
          <w:w w:val="105"/>
          <w:sz w:val="15"/>
        </w:rPr>
        <w:t xml:space="preserve"> </w:t>
      </w:r>
      <w:r>
        <w:rPr>
          <w:w w:val="105"/>
          <w:sz w:val="15"/>
        </w:rPr>
        <w:t>se base en uno o más de los siguientes motivos….</w:t>
      </w:r>
    </w:p>
    <w:p w14:paraId="2EB3427C" w14:textId="77777777" w:rsidR="0014798C" w:rsidRDefault="0014798C">
      <w:pPr>
        <w:pStyle w:val="Textoindependiente"/>
        <w:rPr>
          <w:sz w:val="15"/>
        </w:rPr>
      </w:pPr>
    </w:p>
    <w:p w14:paraId="2E0A57A7" w14:textId="77777777" w:rsidR="0014798C" w:rsidRDefault="0014798C">
      <w:pPr>
        <w:pStyle w:val="Textoindependiente"/>
        <w:rPr>
          <w:sz w:val="15"/>
        </w:rPr>
      </w:pPr>
    </w:p>
    <w:p w14:paraId="5DD17BE1" w14:textId="77777777" w:rsidR="0014798C" w:rsidRDefault="0014798C">
      <w:pPr>
        <w:pStyle w:val="Textoindependiente"/>
        <w:rPr>
          <w:sz w:val="15"/>
        </w:rPr>
      </w:pPr>
    </w:p>
    <w:p w14:paraId="488A5B40" w14:textId="77777777" w:rsidR="0014798C" w:rsidRDefault="0014798C">
      <w:pPr>
        <w:pStyle w:val="Textoindependiente"/>
        <w:spacing w:before="11"/>
        <w:rPr>
          <w:sz w:val="15"/>
        </w:rPr>
      </w:pPr>
    </w:p>
    <w:p w14:paraId="7EDB9165" w14:textId="77777777" w:rsidR="0014798C" w:rsidRDefault="004E1F0B">
      <w:pPr>
        <w:spacing w:line="348" w:lineRule="auto"/>
        <w:ind w:left="1109" w:right="1272" w:hanging="4"/>
        <w:rPr>
          <w:sz w:val="15"/>
        </w:rPr>
      </w:pPr>
      <w:r>
        <w:rPr>
          <w:w w:val="105"/>
          <w:sz w:val="15"/>
        </w:rPr>
        <w:t>Así,</w:t>
      </w:r>
      <w:r>
        <w:rPr>
          <w:spacing w:val="-3"/>
          <w:w w:val="105"/>
          <w:sz w:val="15"/>
        </w:rPr>
        <w:t xml:space="preserve"> </w:t>
      </w:r>
      <w:r>
        <w:rPr>
          <w:w w:val="105"/>
          <w:sz w:val="15"/>
        </w:rPr>
        <w:t>como</w:t>
      </w:r>
      <w:r>
        <w:rPr>
          <w:spacing w:val="-3"/>
          <w:w w:val="105"/>
          <w:sz w:val="15"/>
        </w:rPr>
        <w:t xml:space="preserve"> </w:t>
      </w:r>
      <w:r>
        <w:rPr>
          <w:w w:val="105"/>
          <w:sz w:val="15"/>
        </w:rPr>
        <w:t>subraya</w:t>
      </w:r>
      <w:r>
        <w:rPr>
          <w:spacing w:val="-3"/>
          <w:w w:val="105"/>
          <w:sz w:val="15"/>
        </w:rPr>
        <w:t xml:space="preserve"> </w:t>
      </w:r>
      <w:r>
        <w:rPr>
          <w:w w:val="105"/>
          <w:sz w:val="15"/>
        </w:rPr>
        <w:t>el</w:t>
      </w:r>
      <w:r>
        <w:rPr>
          <w:spacing w:val="-3"/>
          <w:w w:val="105"/>
          <w:sz w:val="15"/>
        </w:rPr>
        <w:t xml:space="preserve"> </w:t>
      </w:r>
      <w:r>
        <w:rPr>
          <w:w w:val="105"/>
          <w:sz w:val="15"/>
        </w:rPr>
        <w:t>consenso</w:t>
      </w:r>
      <w:r>
        <w:rPr>
          <w:spacing w:val="-3"/>
          <w:w w:val="105"/>
          <w:sz w:val="15"/>
        </w:rPr>
        <w:t xml:space="preserve"> </w:t>
      </w:r>
      <w:r>
        <w:rPr>
          <w:w w:val="105"/>
          <w:sz w:val="15"/>
        </w:rPr>
        <w:t>en</w:t>
      </w:r>
      <w:r>
        <w:rPr>
          <w:spacing w:val="-3"/>
          <w:w w:val="105"/>
          <w:sz w:val="15"/>
        </w:rPr>
        <w:t xml:space="preserve"> </w:t>
      </w:r>
      <w:r>
        <w:rPr>
          <w:w w:val="105"/>
          <w:sz w:val="15"/>
        </w:rPr>
        <w:t>torno</w:t>
      </w:r>
      <w:r>
        <w:rPr>
          <w:spacing w:val="-3"/>
          <w:w w:val="105"/>
          <w:sz w:val="15"/>
        </w:rPr>
        <w:t xml:space="preserve"> </w:t>
      </w:r>
      <w:r>
        <w:rPr>
          <w:w w:val="105"/>
          <w:sz w:val="15"/>
        </w:rPr>
        <w:t>a</w:t>
      </w:r>
      <w:r>
        <w:rPr>
          <w:spacing w:val="-3"/>
          <w:w w:val="105"/>
          <w:sz w:val="15"/>
        </w:rPr>
        <w:t xml:space="preserve"> </w:t>
      </w:r>
      <w:r>
        <w:rPr>
          <w:w w:val="105"/>
          <w:sz w:val="15"/>
        </w:rPr>
        <w:t>los</w:t>
      </w:r>
      <w:r>
        <w:rPr>
          <w:spacing w:val="-3"/>
          <w:w w:val="105"/>
          <w:sz w:val="15"/>
        </w:rPr>
        <w:t xml:space="preserve"> </w:t>
      </w:r>
      <w:r>
        <w:rPr>
          <w:w w:val="105"/>
          <w:sz w:val="15"/>
        </w:rPr>
        <w:t>principales</w:t>
      </w:r>
      <w:r>
        <w:rPr>
          <w:spacing w:val="-3"/>
          <w:w w:val="105"/>
          <w:sz w:val="15"/>
        </w:rPr>
        <w:t xml:space="preserve"> </w:t>
      </w:r>
      <w:r>
        <w:rPr>
          <w:w w:val="105"/>
          <w:sz w:val="15"/>
        </w:rPr>
        <w:t>aspectos</w:t>
      </w:r>
      <w:r>
        <w:rPr>
          <w:spacing w:val="-3"/>
          <w:w w:val="105"/>
          <w:sz w:val="15"/>
        </w:rPr>
        <w:t xml:space="preserve"> </w:t>
      </w:r>
      <w:r>
        <w:rPr>
          <w:w w:val="105"/>
          <w:sz w:val="15"/>
        </w:rPr>
        <w:t>de</w:t>
      </w:r>
      <w:r>
        <w:rPr>
          <w:spacing w:val="-3"/>
          <w:w w:val="105"/>
          <w:sz w:val="15"/>
        </w:rPr>
        <w:t xml:space="preserve"> </w:t>
      </w:r>
      <w:r>
        <w:rPr>
          <w:w w:val="105"/>
          <w:sz w:val="15"/>
        </w:rPr>
        <w:t>la</w:t>
      </w:r>
      <w:r>
        <w:rPr>
          <w:spacing w:val="-3"/>
          <w:w w:val="105"/>
          <w:sz w:val="15"/>
        </w:rPr>
        <w:t xml:space="preserve"> </w:t>
      </w:r>
      <w:r>
        <w:rPr>
          <w:w w:val="105"/>
          <w:sz w:val="15"/>
        </w:rPr>
        <w:t>definición,</w:t>
      </w:r>
      <w:r>
        <w:rPr>
          <w:spacing w:val="-2"/>
          <w:w w:val="105"/>
          <w:sz w:val="15"/>
        </w:rPr>
        <w:t xml:space="preserve"> </w:t>
      </w:r>
      <w:r>
        <w:rPr>
          <w:w w:val="105"/>
          <w:sz w:val="15"/>
        </w:rPr>
        <w:t>el</w:t>
      </w:r>
      <w:r>
        <w:rPr>
          <w:spacing w:val="-3"/>
          <w:w w:val="105"/>
          <w:sz w:val="15"/>
        </w:rPr>
        <w:t xml:space="preserve"> </w:t>
      </w:r>
      <w:r>
        <w:rPr>
          <w:w w:val="105"/>
          <w:sz w:val="15"/>
        </w:rPr>
        <w:t>derecho</w:t>
      </w:r>
      <w:r>
        <w:rPr>
          <w:spacing w:val="-3"/>
          <w:w w:val="105"/>
          <w:sz w:val="15"/>
        </w:rPr>
        <w:t xml:space="preserve"> </w:t>
      </w:r>
      <w:r>
        <w:rPr>
          <w:w w:val="105"/>
          <w:sz w:val="15"/>
        </w:rPr>
        <w:t>a</w:t>
      </w:r>
      <w:r>
        <w:rPr>
          <w:spacing w:val="-3"/>
          <w:w w:val="105"/>
          <w:sz w:val="15"/>
        </w:rPr>
        <w:t xml:space="preserve"> </w:t>
      </w:r>
      <w:r>
        <w:rPr>
          <w:w w:val="105"/>
          <w:sz w:val="15"/>
        </w:rPr>
        <w:t>la</w:t>
      </w:r>
      <w:r>
        <w:rPr>
          <w:spacing w:val="-3"/>
          <w:w w:val="105"/>
          <w:sz w:val="15"/>
        </w:rPr>
        <w:t xml:space="preserve"> </w:t>
      </w:r>
      <w:r>
        <w:rPr>
          <w:w w:val="105"/>
          <w:sz w:val="15"/>
        </w:rPr>
        <w:t>no</w:t>
      </w:r>
      <w:r>
        <w:rPr>
          <w:spacing w:val="-3"/>
          <w:w w:val="105"/>
          <w:sz w:val="15"/>
        </w:rPr>
        <w:t xml:space="preserve"> </w:t>
      </w:r>
      <w:r>
        <w:rPr>
          <w:w w:val="105"/>
          <w:sz w:val="15"/>
        </w:rPr>
        <w:t>discriminación</w:t>
      </w:r>
      <w:r>
        <w:rPr>
          <w:spacing w:val="-3"/>
          <w:w w:val="105"/>
          <w:sz w:val="15"/>
        </w:rPr>
        <w:t xml:space="preserve"> </w:t>
      </w:r>
      <w:r>
        <w:rPr>
          <w:w w:val="105"/>
          <w:sz w:val="15"/>
        </w:rPr>
        <w:t>se</w:t>
      </w:r>
      <w:r>
        <w:rPr>
          <w:spacing w:val="-3"/>
          <w:w w:val="105"/>
          <w:sz w:val="15"/>
        </w:rPr>
        <w:t xml:space="preserve"> </w:t>
      </w:r>
      <w:r>
        <w:rPr>
          <w:w w:val="105"/>
          <w:sz w:val="15"/>
        </w:rPr>
        <w:t>ocupa</w:t>
      </w:r>
      <w:r>
        <w:rPr>
          <w:spacing w:val="-3"/>
          <w:w w:val="105"/>
          <w:sz w:val="15"/>
        </w:rPr>
        <w:t xml:space="preserve"> </w:t>
      </w:r>
      <w:r>
        <w:rPr>
          <w:w w:val="105"/>
          <w:sz w:val="15"/>
        </w:rPr>
        <w:t>de proteger</w:t>
      </w:r>
      <w:r>
        <w:rPr>
          <w:spacing w:val="-7"/>
          <w:w w:val="105"/>
          <w:sz w:val="15"/>
        </w:rPr>
        <w:t xml:space="preserve"> </w:t>
      </w:r>
      <w:r>
        <w:rPr>
          <w:w w:val="105"/>
          <w:sz w:val="15"/>
        </w:rPr>
        <w:t>a</w:t>
      </w:r>
      <w:r>
        <w:rPr>
          <w:spacing w:val="-7"/>
          <w:w w:val="105"/>
          <w:sz w:val="15"/>
        </w:rPr>
        <w:t xml:space="preserve"> </w:t>
      </w:r>
      <w:r>
        <w:rPr>
          <w:w w:val="105"/>
          <w:sz w:val="15"/>
        </w:rPr>
        <w:t>las</w:t>
      </w:r>
      <w:r>
        <w:rPr>
          <w:spacing w:val="-7"/>
          <w:w w:val="105"/>
          <w:sz w:val="15"/>
        </w:rPr>
        <w:t xml:space="preserve"> </w:t>
      </w:r>
      <w:r>
        <w:rPr>
          <w:w w:val="105"/>
          <w:sz w:val="15"/>
        </w:rPr>
        <w:t>personas</w:t>
      </w:r>
      <w:r>
        <w:rPr>
          <w:spacing w:val="-7"/>
          <w:w w:val="105"/>
          <w:sz w:val="15"/>
        </w:rPr>
        <w:t xml:space="preserve"> </w:t>
      </w:r>
      <w:r>
        <w:rPr>
          <w:w w:val="105"/>
          <w:sz w:val="15"/>
        </w:rPr>
        <w:t>del</w:t>
      </w:r>
      <w:r>
        <w:rPr>
          <w:spacing w:val="-7"/>
          <w:w w:val="105"/>
          <w:sz w:val="15"/>
        </w:rPr>
        <w:t xml:space="preserve"> </w:t>
      </w:r>
      <w:r>
        <w:rPr>
          <w:w w:val="105"/>
          <w:sz w:val="15"/>
        </w:rPr>
        <w:t>trato</w:t>
      </w:r>
      <w:r>
        <w:rPr>
          <w:spacing w:val="-7"/>
          <w:w w:val="105"/>
          <w:sz w:val="15"/>
        </w:rPr>
        <w:t xml:space="preserve"> </w:t>
      </w:r>
      <w:r>
        <w:rPr>
          <w:w w:val="105"/>
          <w:sz w:val="15"/>
        </w:rPr>
        <w:t>diferenciado</w:t>
      </w:r>
      <w:r>
        <w:rPr>
          <w:spacing w:val="-7"/>
          <w:w w:val="105"/>
          <w:sz w:val="15"/>
        </w:rPr>
        <w:t xml:space="preserve"> </w:t>
      </w:r>
      <w:r>
        <w:rPr>
          <w:w w:val="105"/>
          <w:sz w:val="15"/>
        </w:rPr>
        <w:t>o</w:t>
      </w:r>
      <w:r>
        <w:rPr>
          <w:spacing w:val="-7"/>
          <w:w w:val="105"/>
          <w:sz w:val="15"/>
        </w:rPr>
        <w:t xml:space="preserve"> </w:t>
      </w:r>
      <w:r>
        <w:rPr>
          <w:w w:val="105"/>
          <w:sz w:val="15"/>
        </w:rPr>
        <w:t>de</w:t>
      </w:r>
      <w:r>
        <w:rPr>
          <w:spacing w:val="-7"/>
          <w:w w:val="105"/>
          <w:sz w:val="15"/>
        </w:rPr>
        <w:t xml:space="preserve"> </w:t>
      </w:r>
      <w:r>
        <w:rPr>
          <w:w w:val="105"/>
          <w:sz w:val="15"/>
        </w:rPr>
        <w:t>los</w:t>
      </w:r>
      <w:r>
        <w:rPr>
          <w:spacing w:val="-7"/>
          <w:w w:val="105"/>
          <w:sz w:val="15"/>
        </w:rPr>
        <w:t xml:space="preserve"> </w:t>
      </w:r>
      <w:r>
        <w:rPr>
          <w:w w:val="105"/>
          <w:sz w:val="15"/>
        </w:rPr>
        <w:t>impactos</w:t>
      </w:r>
      <w:r>
        <w:rPr>
          <w:spacing w:val="-7"/>
          <w:w w:val="105"/>
          <w:sz w:val="15"/>
        </w:rPr>
        <w:t xml:space="preserve"> </w:t>
      </w:r>
      <w:r>
        <w:rPr>
          <w:w w:val="105"/>
          <w:sz w:val="15"/>
        </w:rPr>
        <w:t>que</w:t>
      </w:r>
      <w:r>
        <w:rPr>
          <w:spacing w:val="-7"/>
          <w:w w:val="105"/>
          <w:sz w:val="15"/>
        </w:rPr>
        <w:t xml:space="preserve"> </w:t>
      </w:r>
      <w:r>
        <w:rPr>
          <w:w w:val="105"/>
          <w:sz w:val="15"/>
        </w:rPr>
        <w:t>surgen</w:t>
      </w:r>
      <w:r>
        <w:rPr>
          <w:spacing w:val="-7"/>
          <w:w w:val="105"/>
          <w:sz w:val="15"/>
        </w:rPr>
        <w:t xml:space="preserve"> </w:t>
      </w:r>
      <w:r>
        <w:rPr>
          <w:w w:val="105"/>
          <w:sz w:val="15"/>
        </w:rPr>
        <w:t>en</w:t>
      </w:r>
      <w:r>
        <w:rPr>
          <w:spacing w:val="-7"/>
          <w:w w:val="105"/>
          <w:sz w:val="15"/>
        </w:rPr>
        <w:t xml:space="preserve"> </w:t>
      </w:r>
      <w:r>
        <w:rPr>
          <w:w w:val="105"/>
          <w:sz w:val="15"/>
        </w:rPr>
        <w:t>relación</w:t>
      </w:r>
      <w:r>
        <w:rPr>
          <w:spacing w:val="-7"/>
          <w:w w:val="105"/>
          <w:sz w:val="15"/>
        </w:rPr>
        <w:t xml:space="preserve"> </w:t>
      </w:r>
      <w:r>
        <w:rPr>
          <w:w w:val="105"/>
          <w:sz w:val="15"/>
        </w:rPr>
        <w:t>con</w:t>
      </w:r>
      <w:r>
        <w:rPr>
          <w:spacing w:val="-7"/>
          <w:w w:val="105"/>
          <w:sz w:val="15"/>
        </w:rPr>
        <w:t xml:space="preserve"> </w:t>
      </w:r>
      <w:r>
        <w:rPr>
          <w:w w:val="105"/>
          <w:sz w:val="15"/>
        </w:rPr>
        <w:t>una</w:t>
      </w:r>
      <w:r>
        <w:rPr>
          <w:spacing w:val="-7"/>
          <w:w w:val="105"/>
          <w:sz w:val="15"/>
        </w:rPr>
        <w:t xml:space="preserve"> </w:t>
      </w:r>
      <w:r>
        <w:rPr>
          <w:w w:val="105"/>
          <w:sz w:val="15"/>
        </w:rPr>
        <w:t>“característica”</w:t>
      </w:r>
      <w:r>
        <w:rPr>
          <w:spacing w:val="-8"/>
          <w:w w:val="105"/>
          <w:sz w:val="15"/>
        </w:rPr>
        <w:t xml:space="preserve"> </w:t>
      </w:r>
      <w:r>
        <w:rPr>
          <w:w w:val="105"/>
          <w:sz w:val="15"/>
        </w:rPr>
        <w:t>personal</w:t>
      </w:r>
      <w:r>
        <w:rPr>
          <w:spacing w:val="-7"/>
          <w:w w:val="105"/>
          <w:sz w:val="15"/>
        </w:rPr>
        <w:t xml:space="preserve"> </w:t>
      </w:r>
      <w:r>
        <w:rPr>
          <w:w w:val="105"/>
          <w:sz w:val="15"/>
        </w:rPr>
        <w:t>o</w:t>
      </w:r>
      <w:r>
        <w:rPr>
          <w:spacing w:val="-7"/>
          <w:w w:val="105"/>
          <w:sz w:val="15"/>
        </w:rPr>
        <w:t xml:space="preserve"> </w:t>
      </w:r>
      <w:r>
        <w:rPr>
          <w:w w:val="105"/>
          <w:sz w:val="15"/>
        </w:rPr>
        <w:t>un</w:t>
      </w:r>
      <w:r>
        <w:rPr>
          <w:spacing w:val="-7"/>
          <w:w w:val="105"/>
          <w:sz w:val="15"/>
        </w:rPr>
        <w:t xml:space="preserve"> </w:t>
      </w:r>
      <w:r>
        <w:rPr>
          <w:w w:val="105"/>
          <w:sz w:val="15"/>
        </w:rPr>
        <w:t>“motivo de discriminación” y que perjudican su disfrute igualitario de la vida.</w:t>
      </w:r>
    </w:p>
    <w:p w14:paraId="4865C627" w14:textId="77777777" w:rsidR="0014798C" w:rsidRDefault="004E1F0B">
      <w:pPr>
        <w:spacing w:line="348" w:lineRule="auto"/>
        <w:ind w:left="1105" w:right="1272" w:firstLine="3"/>
        <w:rPr>
          <w:sz w:val="15"/>
        </w:rPr>
      </w:pPr>
      <w:r>
        <w:rPr>
          <w:w w:val="105"/>
          <w:sz w:val="15"/>
        </w:rPr>
        <w:t>De</w:t>
      </w:r>
      <w:r>
        <w:rPr>
          <w:spacing w:val="-7"/>
          <w:w w:val="105"/>
          <w:sz w:val="15"/>
        </w:rPr>
        <w:t xml:space="preserve"> </w:t>
      </w:r>
      <w:r>
        <w:rPr>
          <w:w w:val="105"/>
          <w:sz w:val="15"/>
        </w:rPr>
        <w:t>lo</w:t>
      </w:r>
      <w:r>
        <w:rPr>
          <w:spacing w:val="-7"/>
          <w:w w:val="105"/>
          <w:sz w:val="15"/>
        </w:rPr>
        <w:t xml:space="preserve"> </w:t>
      </w:r>
      <w:r>
        <w:rPr>
          <w:w w:val="105"/>
          <w:sz w:val="15"/>
        </w:rPr>
        <w:t>anterior,</w:t>
      </w:r>
      <w:r>
        <w:rPr>
          <w:spacing w:val="-7"/>
          <w:w w:val="105"/>
          <w:sz w:val="15"/>
        </w:rPr>
        <w:t xml:space="preserve"> </w:t>
      </w:r>
      <w:r>
        <w:rPr>
          <w:w w:val="105"/>
          <w:sz w:val="15"/>
        </w:rPr>
        <w:t>se</w:t>
      </w:r>
      <w:r>
        <w:rPr>
          <w:spacing w:val="-7"/>
          <w:w w:val="105"/>
          <w:sz w:val="15"/>
        </w:rPr>
        <w:t xml:space="preserve"> </w:t>
      </w:r>
      <w:r>
        <w:rPr>
          <w:w w:val="105"/>
          <w:sz w:val="15"/>
        </w:rPr>
        <w:t>puede</w:t>
      </w:r>
      <w:r>
        <w:rPr>
          <w:spacing w:val="-7"/>
          <w:w w:val="105"/>
          <w:sz w:val="15"/>
        </w:rPr>
        <w:t xml:space="preserve"> </w:t>
      </w:r>
      <w:r>
        <w:rPr>
          <w:w w:val="105"/>
          <w:sz w:val="15"/>
        </w:rPr>
        <w:t>entender</w:t>
      </w:r>
      <w:r>
        <w:rPr>
          <w:spacing w:val="-7"/>
          <w:w w:val="105"/>
          <w:sz w:val="15"/>
        </w:rPr>
        <w:t xml:space="preserve"> </w:t>
      </w:r>
      <w:r>
        <w:rPr>
          <w:w w:val="105"/>
          <w:sz w:val="15"/>
        </w:rPr>
        <w:t>que</w:t>
      </w:r>
      <w:r>
        <w:rPr>
          <w:spacing w:val="-7"/>
          <w:w w:val="105"/>
          <w:sz w:val="15"/>
        </w:rPr>
        <w:t xml:space="preserve"> </w:t>
      </w:r>
      <w:r>
        <w:rPr>
          <w:w w:val="105"/>
          <w:sz w:val="15"/>
        </w:rPr>
        <w:t>el</w:t>
      </w:r>
      <w:r>
        <w:rPr>
          <w:spacing w:val="-7"/>
          <w:w w:val="105"/>
          <w:sz w:val="15"/>
        </w:rPr>
        <w:t xml:space="preserve"> </w:t>
      </w:r>
      <w:r>
        <w:rPr>
          <w:w w:val="105"/>
          <w:sz w:val="15"/>
        </w:rPr>
        <w:t>derecho</w:t>
      </w:r>
      <w:r>
        <w:rPr>
          <w:spacing w:val="-7"/>
          <w:w w:val="105"/>
          <w:sz w:val="15"/>
        </w:rPr>
        <w:t xml:space="preserve"> </w:t>
      </w:r>
      <w:r>
        <w:rPr>
          <w:w w:val="105"/>
          <w:sz w:val="15"/>
        </w:rPr>
        <w:t>a</w:t>
      </w:r>
      <w:r>
        <w:rPr>
          <w:spacing w:val="-7"/>
          <w:w w:val="105"/>
          <w:sz w:val="15"/>
        </w:rPr>
        <w:t xml:space="preserve"> </w:t>
      </w:r>
      <w:r>
        <w:rPr>
          <w:w w:val="105"/>
          <w:sz w:val="15"/>
        </w:rPr>
        <w:t>la</w:t>
      </w:r>
      <w:r>
        <w:rPr>
          <w:spacing w:val="-7"/>
          <w:w w:val="105"/>
          <w:sz w:val="15"/>
        </w:rPr>
        <w:t xml:space="preserve"> </w:t>
      </w:r>
      <w:r>
        <w:rPr>
          <w:w w:val="105"/>
          <w:sz w:val="15"/>
        </w:rPr>
        <w:t>no</w:t>
      </w:r>
      <w:r>
        <w:rPr>
          <w:spacing w:val="-7"/>
          <w:w w:val="105"/>
          <w:sz w:val="15"/>
        </w:rPr>
        <w:t xml:space="preserve"> </w:t>
      </w:r>
      <w:r>
        <w:rPr>
          <w:w w:val="105"/>
          <w:sz w:val="15"/>
        </w:rPr>
        <w:t>discriminación</w:t>
      </w:r>
      <w:r>
        <w:rPr>
          <w:spacing w:val="-7"/>
          <w:w w:val="105"/>
          <w:sz w:val="15"/>
        </w:rPr>
        <w:t xml:space="preserve"> </w:t>
      </w:r>
      <w:r>
        <w:rPr>
          <w:w w:val="105"/>
          <w:sz w:val="15"/>
        </w:rPr>
        <w:t>tiene</w:t>
      </w:r>
      <w:r>
        <w:rPr>
          <w:spacing w:val="-7"/>
          <w:w w:val="105"/>
          <w:sz w:val="15"/>
        </w:rPr>
        <w:t xml:space="preserve"> </w:t>
      </w:r>
      <w:r>
        <w:rPr>
          <w:w w:val="105"/>
          <w:sz w:val="15"/>
        </w:rPr>
        <w:t>cuatro</w:t>
      </w:r>
      <w:r>
        <w:rPr>
          <w:spacing w:val="-7"/>
          <w:w w:val="105"/>
          <w:sz w:val="15"/>
        </w:rPr>
        <w:t xml:space="preserve"> </w:t>
      </w:r>
      <w:r>
        <w:rPr>
          <w:w w:val="105"/>
          <w:sz w:val="15"/>
        </w:rPr>
        <w:t>dimensiones,</w:t>
      </w:r>
      <w:r>
        <w:rPr>
          <w:spacing w:val="-7"/>
          <w:w w:val="105"/>
          <w:sz w:val="15"/>
        </w:rPr>
        <w:t xml:space="preserve"> </w:t>
      </w:r>
      <w:r>
        <w:rPr>
          <w:w w:val="105"/>
          <w:sz w:val="15"/>
        </w:rPr>
        <w:t>cada</w:t>
      </w:r>
      <w:r>
        <w:rPr>
          <w:spacing w:val="-7"/>
          <w:w w:val="105"/>
          <w:sz w:val="15"/>
        </w:rPr>
        <w:t xml:space="preserve"> </w:t>
      </w:r>
      <w:r>
        <w:rPr>
          <w:w w:val="105"/>
          <w:sz w:val="15"/>
        </w:rPr>
        <w:t>una</w:t>
      </w:r>
      <w:r>
        <w:rPr>
          <w:spacing w:val="-7"/>
          <w:w w:val="105"/>
          <w:sz w:val="15"/>
        </w:rPr>
        <w:t xml:space="preserve"> </w:t>
      </w:r>
      <w:r>
        <w:rPr>
          <w:w w:val="105"/>
          <w:sz w:val="15"/>
        </w:rPr>
        <w:t>de</w:t>
      </w:r>
      <w:r>
        <w:rPr>
          <w:spacing w:val="-7"/>
          <w:w w:val="105"/>
          <w:sz w:val="15"/>
        </w:rPr>
        <w:t xml:space="preserve"> </w:t>
      </w:r>
      <w:r>
        <w:rPr>
          <w:w w:val="105"/>
          <w:sz w:val="15"/>
        </w:rPr>
        <w:t>las</w:t>
      </w:r>
      <w:r>
        <w:rPr>
          <w:spacing w:val="-7"/>
          <w:w w:val="105"/>
          <w:sz w:val="15"/>
        </w:rPr>
        <w:t xml:space="preserve"> </w:t>
      </w:r>
      <w:r>
        <w:rPr>
          <w:w w:val="105"/>
          <w:sz w:val="15"/>
        </w:rPr>
        <w:t>cuales</w:t>
      </w:r>
      <w:r>
        <w:rPr>
          <w:spacing w:val="-7"/>
          <w:w w:val="105"/>
          <w:sz w:val="15"/>
        </w:rPr>
        <w:t xml:space="preserve"> </w:t>
      </w:r>
      <w:r>
        <w:rPr>
          <w:w w:val="105"/>
          <w:sz w:val="15"/>
        </w:rPr>
        <w:t>corresponde a una simple pregunta: • El alcance personal del</w:t>
      </w:r>
    </w:p>
    <w:p w14:paraId="036FA6C1" w14:textId="77777777" w:rsidR="0014798C" w:rsidRDefault="004E1F0B">
      <w:pPr>
        <w:spacing w:before="112" w:line="504" w:lineRule="auto"/>
        <w:ind w:left="1118" w:right="5703"/>
        <w:rPr>
          <w:sz w:val="15"/>
        </w:rPr>
      </w:pPr>
      <w:r>
        <w:rPr>
          <w:w w:val="105"/>
          <w:sz w:val="15"/>
        </w:rPr>
        <w:t>derecho:</w:t>
      </w:r>
      <w:r>
        <w:rPr>
          <w:spacing w:val="-10"/>
          <w:w w:val="105"/>
          <w:sz w:val="15"/>
        </w:rPr>
        <w:t xml:space="preserve"> </w:t>
      </w:r>
      <w:r>
        <w:rPr>
          <w:w w:val="105"/>
          <w:sz w:val="15"/>
        </w:rPr>
        <w:t>¿quién</w:t>
      </w:r>
      <w:r>
        <w:rPr>
          <w:spacing w:val="-10"/>
          <w:w w:val="105"/>
          <w:sz w:val="15"/>
        </w:rPr>
        <w:t xml:space="preserve"> </w:t>
      </w:r>
      <w:r>
        <w:rPr>
          <w:w w:val="105"/>
          <w:sz w:val="15"/>
        </w:rPr>
        <w:t>está</w:t>
      </w:r>
      <w:r>
        <w:rPr>
          <w:spacing w:val="-10"/>
          <w:w w:val="105"/>
          <w:sz w:val="15"/>
        </w:rPr>
        <w:t xml:space="preserve"> </w:t>
      </w:r>
      <w:r>
        <w:rPr>
          <w:w w:val="105"/>
          <w:sz w:val="15"/>
        </w:rPr>
        <w:t>protegido?</w:t>
      </w:r>
      <w:r>
        <w:rPr>
          <w:spacing w:val="-10"/>
          <w:w w:val="105"/>
          <w:sz w:val="15"/>
        </w:rPr>
        <w:t xml:space="preserve"> </w:t>
      </w:r>
      <w:r>
        <w:rPr>
          <w:w w:val="105"/>
          <w:sz w:val="15"/>
        </w:rPr>
        <w:t>•</w:t>
      </w:r>
      <w:r>
        <w:rPr>
          <w:spacing w:val="-10"/>
          <w:w w:val="105"/>
          <w:sz w:val="15"/>
        </w:rPr>
        <w:t xml:space="preserve"> </w:t>
      </w:r>
      <w:r>
        <w:rPr>
          <w:w w:val="105"/>
          <w:sz w:val="15"/>
        </w:rPr>
        <w:t>La</w:t>
      </w:r>
      <w:r>
        <w:rPr>
          <w:spacing w:val="-10"/>
          <w:w w:val="105"/>
          <w:sz w:val="15"/>
        </w:rPr>
        <w:t xml:space="preserve"> </w:t>
      </w:r>
      <w:r>
        <w:rPr>
          <w:w w:val="105"/>
          <w:sz w:val="15"/>
        </w:rPr>
        <w:t>conducta</w:t>
      </w:r>
      <w:r>
        <w:rPr>
          <w:spacing w:val="-10"/>
          <w:w w:val="105"/>
          <w:sz w:val="15"/>
        </w:rPr>
        <w:t xml:space="preserve"> </w:t>
      </w:r>
      <w:r>
        <w:rPr>
          <w:w w:val="105"/>
          <w:sz w:val="15"/>
        </w:rPr>
        <w:t>prohibida</w:t>
      </w:r>
      <w:r>
        <w:rPr>
          <w:spacing w:val="-10"/>
          <w:w w:val="105"/>
          <w:sz w:val="15"/>
        </w:rPr>
        <w:t xml:space="preserve"> </w:t>
      </w:r>
      <w:r>
        <w:rPr>
          <w:w w:val="105"/>
          <w:sz w:val="15"/>
        </w:rPr>
        <w:t>por</w:t>
      </w:r>
      <w:r>
        <w:rPr>
          <w:spacing w:val="-10"/>
          <w:w w:val="105"/>
          <w:sz w:val="15"/>
        </w:rPr>
        <w:t xml:space="preserve"> </w:t>
      </w:r>
      <w:r>
        <w:rPr>
          <w:w w:val="105"/>
          <w:sz w:val="15"/>
        </w:rPr>
        <w:t>el derecho: ¿de qué se protege a las personas?</w:t>
      </w:r>
    </w:p>
    <w:p w14:paraId="6D5CF2C2" w14:textId="77777777" w:rsidR="0014798C" w:rsidRDefault="004E1F0B">
      <w:pPr>
        <w:pStyle w:val="Prrafodelista"/>
        <w:numPr>
          <w:ilvl w:val="0"/>
          <w:numId w:val="86"/>
        </w:numPr>
        <w:tabs>
          <w:tab w:val="left" w:pos="1215"/>
        </w:tabs>
        <w:spacing w:before="1"/>
        <w:ind w:left="1215" w:hanging="97"/>
        <w:rPr>
          <w:sz w:val="15"/>
        </w:rPr>
      </w:pPr>
      <w:r>
        <w:rPr>
          <w:spacing w:val="-2"/>
          <w:w w:val="105"/>
          <w:sz w:val="15"/>
        </w:rPr>
        <w:t>El alcance</w:t>
      </w:r>
      <w:r>
        <w:rPr>
          <w:spacing w:val="-1"/>
          <w:w w:val="105"/>
          <w:sz w:val="15"/>
        </w:rPr>
        <w:t xml:space="preserve"> </w:t>
      </w:r>
      <w:r>
        <w:rPr>
          <w:spacing w:val="-2"/>
          <w:w w:val="105"/>
          <w:sz w:val="15"/>
        </w:rPr>
        <w:t>material</w:t>
      </w:r>
      <w:r>
        <w:rPr>
          <w:spacing w:val="-1"/>
          <w:w w:val="105"/>
          <w:sz w:val="15"/>
        </w:rPr>
        <w:t xml:space="preserve"> </w:t>
      </w:r>
      <w:r>
        <w:rPr>
          <w:spacing w:val="-2"/>
          <w:w w:val="105"/>
          <w:sz w:val="15"/>
        </w:rPr>
        <w:t>del</w:t>
      </w:r>
      <w:r>
        <w:rPr>
          <w:spacing w:val="-1"/>
          <w:w w:val="105"/>
          <w:sz w:val="15"/>
        </w:rPr>
        <w:t xml:space="preserve"> </w:t>
      </w:r>
      <w:r>
        <w:rPr>
          <w:spacing w:val="-2"/>
          <w:w w:val="105"/>
          <w:sz w:val="15"/>
        </w:rPr>
        <w:t>derecho:</w:t>
      </w:r>
      <w:r>
        <w:rPr>
          <w:w w:val="105"/>
          <w:sz w:val="15"/>
        </w:rPr>
        <w:t xml:space="preserve"> </w:t>
      </w:r>
      <w:r>
        <w:rPr>
          <w:spacing w:val="-2"/>
          <w:w w:val="105"/>
          <w:sz w:val="15"/>
        </w:rPr>
        <w:t>¿dónde</w:t>
      </w:r>
      <w:r>
        <w:rPr>
          <w:spacing w:val="-1"/>
          <w:w w:val="105"/>
          <w:sz w:val="15"/>
        </w:rPr>
        <w:t xml:space="preserve"> </w:t>
      </w:r>
      <w:r>
        <w:rPr>
          <w:spacing w:val="-2"/>
          <w:w w:val="105"/>
          <w:sz w:val="15"/>
        </w:rPr>
        <w:t>están</w:t>
      </w:r>
      <w:r>
        <w:rPr>
          <w:spacing w:val="-1"/>
          <w:w w:val="105"/>
          <w:sz w:val="15"/>
        </w:rPr>
        <w:t xml:space="preserve"> </w:t>
      </w:r>
      <w:r>
        <w:rPr>
          <w:spacing w:val="-2"/>
          <w:w w:val="105"/>
          <w:sz w:val="15"/>
        </w:rPr>
        <w:t>protegidas</w:t>
      </w:r>
      <w:r>
        <w:rPr>
          <w:spacing w:val="-1"/>
          <w:w w:val="105"/>
          <w:sz w:val="15"/>
        </w:rPr>
        <w:t xml:space="preserve"> </w:t>
      </w:r>
      <w:r>
        <w:rPr>
          <w:spacing w:val="-2"/>
          <w:w w:val="105"/>
          <w:sz w:val="15"/>
        </w:rPr>
        <w:t>las</w:t>
      </w:r>
      <w:r>
        <w:rPr>
          <w:spacing w:val="-1"/>
          <w:w w:val="105"/>
          <w:sz w:val="15"/>
        </w:rPr>
        <w:t xml:space="preserve"> </w:t>
      </w:r>
      <w:r>
        <w:rPr>
          <w:spacing w:val="-2"/>
          <w:w w:val="105"/>
          <w:sz w:val="15"/>
        </w:rPr>
        <w:t>personas</w:t>
      </w:r>
      <w:r>
        <w:rPr>
          <w:spacing w:val="-1"/>
          <w:w w:val="105"/>
          <w:sz w:val="15"/>
        </w:rPr>
        <w:t xml:space="preserve"> </w:t>
      </w:r>
      <w:r>
        <w:rPr>
          <w:spacing w:val="-2"/>
          <w:w w:val="105"/>
          <w:sz w:val="15"/>
        </w:rPr>
        <w:t>y</w:t>
      </w:r>
      <w:r>
        <w:rPr>
          <w:spacing w:val="-1"/>
          <w:w w:val="105"/>
          <w:sz w:val="15"/>
        </w:rPr>
        <w:t xml:space="preserve"> </w:t>
      </w:r>
      <w:r>
        <w:rPr>
          <w:spacing w:val="-2"/>
          <w:w w:val="105"/>
          <w:sz w:val="15"/>
        </w:rPr>
        <w:t>quién</w:t>
      </w:r>
      <w:r>
        <w:rPr>
          <w:spacing w:val="-1"/>
          <w:w w:val="105"/>
          <w:sz w:val="15"/>
        </w:rPr>
        <w:t xml:space="preserve"> </w:t>
      </w:r>
      <w:r>
        <w:rPr>
          <w:spacing w:val="-2"/>
          <w:w w:val="105"/>
          <w:sz w:val="15"/>
        </w:rPr>
        <w:t>tiene</w:t>
      </w:r>
      <w:r>
        <w:rPr>
          <w:spacing w:val="-1"/>
          <w:w w:val="105"/>
          <w:sz w:val="15"/>
        </w:rPr>
        <w:t xml:space="preserve"> </w:t>
      </w:r>
      <w:r>
        <w:rPr>
          <w:spacing w:val="-2"/>
          <w:w w:val="105"/>
          <w:sz w:val="15"/>
        </w:rPr>
        <w:t>el</w:t>
      </w:r>
      <w:r>
        <w:rPr>
          <w:spacing w:val="-1"/>
          <w:w w:val="105"/>
          <w:sz w:val="15"/>
        </w:rPr>
        <w:t xml:space="preserve"> </w:t>
      </w:r>
      <w:r>
        <w:rPr>
          <w:spacing w:val="-2"/>
          <w:w w:val="105"/>
          <w:sz w:val="15"/>
        </w:rPr>
        <w:t>deber?</w:t>
      </w:r>
    </w:p>
    <w:p w14:paraId="21D9E29B" w14:textId="77777777" w:rsidR="0014798C" w:rsidRDefault="0014798C">
      <w:pPr>
        <w:pStyle w:val="Textoindependiente"/>
        <w:spacing w:before="18"/>
        <w:rPr>
          <w:sz w:val="15"/>
        </w:rPr>
      </w:pPr>
    </w:p>
    <w:p w14:paraId="3ED71DF7" w14:textId="77777777" w:rsidR="0014798C" w:rsidRDefault="004E1F0B">
      <w:pPr>
        <w:pStyle w:val="Prrafodelista"/>
        <w:numPr>
          <w:ilvl w:val="0"/>
          <w:numId w:val="86"/>
        </w:numPr>
        <w:tabs>
          <w:tab w:val="left" w:pos="1215"/>
        </w:tabs>
        <w:ind w:left="1215" w:hanging="97"/>
        <w:rPr>
          <w:sz w:val="15"/>
        </w:rPr>
      </w:pPr>
      <w:r>
        <w:rPr>
          <w:spacing w:val="-2"/>
          <w:w w:val="105"/>
          <w:sz w:val="15"/>
        </w:rPr>
        <w:t>La posible justificación de la conducta:</w:t>
      </w:r>
      <w:r>
        <w:rPr>
          <w:spacing w:val="-1"/>
          <w:w w:val="105"/>
          <w:sz w:val="15"/>
        </w:rPr>
        <w:t xml:space="preserve"> </w:t>
      </w:r>
      <w:r>
        <w:rPr>
          <w:spacing w:val="-2"/>
          <w:w w:val="105"/>
          <w:sz w:val="15"/>
        </w:rPr>
        <w:t>¿por qué se permite alguna diferenciación?</w:t>
      </w:r>
    </w:p>
    <w:p w14:paraId="5DA55569" w14:textId="77777777" w:rsidR="0014798C" w:rsidRDefault="0014798C">
      <w:pPr>
        <w:pStyle w:val="Textoindependiente"/>
        <w:rPr>
          <w:sz w:val="11"/>
        </w:rPr>
      </w:pPr>
    </w:p>
    <w:p w14:paraId="2ACA7E54" w14:textId="77777777" w:rsidR="0014798C" w:rsidRDefault="0014798C">
      <w:pPr>
        <w:pStyle w:val="Textoindependiente"/>
        <w:rPr>
          <w:sz w:val="11"/>
        </w:rPr>
      </w:pPr>
    </w:p>
    <w:p w14:paraId="355D268C" w14:textId="77777777" w:rsidR="0014798C" w:rsidRDefault="0014798C">
      <w:pPr>
        <w:pStyle w:val="Textoindependiente"/>
        <w:rPr>
          <w:sz w:val="11"/>
        </w:rPr>
      </w:pPr>
    </w:p>
    <w:p w14:paraId="519C8E04" w14:textId="77777777" w:rsidR="0014798C" w:rsidRDefault="0014798C">
      <w:pPr>
        <w:pStyle w:val="Textoindependiente"/>
        <w:rPr>
          <w:sz w:val="11"/>
        </w:rPr>
      </w:pPr>
    </w:p>
    <w:p w14:paraId="7E012264" w14:textId="77777777" w:rsidR="0014798C" w:rsidRDefault="0014798C">
      <w:pPr>
        <w:pStyle w:val="Textoindependiente"/>
        <w:rPr>
          <w:sz w:val="11"/>
        </w:rPr>
      </w:pPr>
    </w:p>
    <w:p w14:paraId="0C914899" w14:textId="77777777" w:rsidR="0014798C" w:rsidRDefault="0014798C">
      <w:pPr>
        <w:pStyle w:val="Textoindependiente"/>
        <w:rPr>
          <w:sz w:val="11"/>
        </w:rPr>
      </w:pPr>
    </w:p>
    <w:p w14:paraId="3C9AC935" w14:textId="77777777" w:rsidR="0014798C" w:rsidRDefault="0014798C">
      <w:pPr>
        <w:pStyle w:val="Textoindependiente"/>
        <w:rPr>
          <w:sz w:val="11"/>
        </w:rPr>
      </w:pPr>
    </w:p>
    <w:p w14:paraId="1925D5DD" w14:textId="77777777" w:rsidR="0014798C" w:rsidRDefault="0014798C">
      <w:pPr>
        <w:pStyle w:val="Textoindependiente"/>
        <w:rPr>
          <w:sz w:val="11"/>
        </w:rPr>
      </w:pPr>
    </w:p>
    <w:p w14:paraId="5B8A506E" w14:textId="77777777" w:rsidR="0014798C" w:rsidRDefault="0014798C">
      <w:pPr>
        <w:pStyle w:val="Textoindependiente"/>
        <w:spacing w:before="96"/>
        <w:rPr>
          <w:sz w:val="11"/>
        </w:rPr>
      </w:pPr>
    </w:p>
    <w:p w14:paraId="643C814C" w14:textId="77777777" w:rsidR="0014798C" w:rsidRDefault="004E1F0B">
      <w:pPr>
        <w:ind w:left="1111"/>
        <w:rPr>
          <w:sz w:val="11"/>
        </w:rPr>
      </w:pPr>
      <w:r>
        <w:rPr>
          <w:w w:val="105"/>
          <w:sz w:val="11"/>
        </w:rPr>
        <w:t>120</w:t>
      </w:r>
      <w:r>
        <w:rPr>
          <w:spacing w:val="-8"/>
          <w:w w:val="105"/>
          <w:sz w:val="11"/>
        </w:rPr>
        <w:t xml:space="preserve"> </w:t>
      </w:r>
      <w:r>
        <w:rPr>
          <w:w w:val="105"/>
          <w:sz w:val="11"/>
        </w:rPr>
        <w:t>Comité</w:t>
      </w:r>
      <w:r>
        <w:rPr>
          <w:spacing w:val="-8"/>
          <w:w w:val="105"/>
          <w:sz w:val="11"/>
        </w:rPr>
        <w:t xml:space="preserve"> </w:t>
      </w:r>
      <w:r>
        <w:rPr>
          <w:w w:val="105"/>
          <w:sz w:val="11"/>
        </w:rPr>
        <w:t>de</w:t>
      </w:r>
      <w:r>
        <w:rPr>
          <w:spacing w:val="-8"/>
          <w:w w:val="105"/>
          <w:sz w:val="11"/>
        </w:rPr>
        <w:t xml:space="preserve"> </w:t>
      </w:r>
      <w:r>
        <w:rPr>
          <w:w w:val="105"/>
          <w:sz w:val="11"/>
        </w:rPr>
        <w:t>Derechos</w:t>
      </w:r>
      <w:r>
        <w:rPr>
          <w:spacing w:val="-8"/>
          <w:w w:val="105"/>
          <w:sz w:val="11"/>
        </w:rPr>
        <w:t xml:space="preserve"> </w:t>
      </w:r>
      <w:r>
        <w:rPr>
          <w:w w:val="105"/>
          <w:sz w:val="11"/>
        </w:rPr>
        <w:t>Económicos,</w:t>
      </w:r>
      <w:r>
        <w:rPr>
          <w:spacing w:val="-8"/>
          <w:w w:val="105"/>
          <w:sz w:val="11"/>
        </w:rPr>
        <w:t xml:space="preserve"> </w:t>
      </w:r>
      <w:r>
        <w:rPr>
          <w:w w:val="105"/>
          <w:sz w:val="11"/>
        </w:rPr>
        <w:t>Sociales</w:t>
      </w:r>
      <w:r>
        <w:rPr>
          <w:spacing w:val="-8"/>
          <w:w w:val="105"/>
          <w:sz w:val="11"/>
        </w:rPr>
        <w:t xml:space="preserve"> </w:t>
      </w:r>
      <w:r>
        <w:rPr>
          <w:w w:val="105"/>
          <w:sz w:val="11"/>
        </w:rPr>
        <w:t>y</w:t>
      </w:r>
      <w:r>
        <w:rPr>
          <w:spacing w:val="-8"/>
          <w:w w:val="105"/>
          <w:sz w:val="11"/>
        </w:rPr>
        <w:t xml:space="preserve"> </w:t>
      </w:r>
      <w:r>
        <w:rPr>
          <w:w w:val="105"/>
          <w:sz w:val="11"/>
        </w:rPr>
        <w:t>Culturales,</w:t>
      </w:r>
      <w:r>
        <w:rPr>
          <w:spacing w:val="-8"/>
          <w:w w:val="105"/>
          <w:sz w:val="11"/>
        </w:rPr>
        <w:t xml:space="preserve"> </w:t>
      </w:r>
      <w:r>
        <w:rPr>
          <w:w w:val="105"/>
          <w:sz w:val="11"/>
        </w:rPr>
        <w:t>observación</w:t>
      </w:r>
      <w:r>
        <w:rPr>
          <w:spacing w:val="-8"/>
          <w:w w:val="105"/>
          <w:sz w:val="11"/>
        </w:rPr>
        <w:t xml:space="preserve"> </w:t>
      </w:r>
      <w:r>
        <w:rPr>
          <w:w w:val="105"/>
          <w:sz w:val="11"/>
        </w:rPr>
        <w:t>general</w:t>
      </w:r>
      <w:r>
        <w:rPr>
          <w:spacing w:val="-8"/>
          <w:w w:val="105"/>
          <w:sz w:val="11"/>
        </w:rPr>
        <w:t xml:space="preserve"> </w:t>
      </w:r>
      <w:r>
        <w:rPr>
          <w:w w:val="105"/>
          <w:sz w:val="11"/>
        </w:rPr>
        <w:t>núm.</w:t>
      </w:r>
      <w:r>
        <w:rPr>
          <w:spacing w:val="-8"/>
          <w:w w:val="105"/>
          <w:sz w:val="11"/>
        </w:rPr>
        <w:t xml:space="preserve"> </w:t>
      </w:r>
      <w:r>
        <w:rPr>
          <w:w w:val="105"/>
          <w:sz w:val="11"/>
        </w:rPr>
        <w:t>20</w:t>
      </w:r>
      <w:r>
        <w:rPr>
          <w:spacing w:val="-8"/>
          <w:w w:val="105"/>
          <w:sz w:val="11"/>
        </w:rPr>
        <w:t xml:space="preserve"> </w:t>
      </w:r>
      <w:r>
        <w:rPr>
          <w:w w:val="105"/>
          <w:sz w:val="11"/>
        </w:rPr>
        <w:t>(2009),</w:t>
      </w:r>
      <w:r>
        <w:rPr>
          <w:spacing w:val="-8"/>
          <w:w w:val="105"/>
          <w:sz w:val="11"/>
        </w:rPr>
        <w:t xml:space="preserve"> </w:t>
      </w:r>
      <w:r>
        <w:rPr>
          <w:w w:val="105"/>
          <w:sz w:val="11"/>
        </w:rPr>
        <w:t>párr.</w:t>
      </w:r>
      <w:r>
        <w:rPr>
          <w:spacing w:val="-8"/>
          <w:w w:val="105"/>
          <w:sz w:val="11"/>
        </w:rPr>
        <w:t xml:space="preserve"> </w:t>
      </w:r>
      <w:r>
        <w:rPr>
          <w:spacing w:val="-5"/>
          <w:w w:val="105"/>
          <w:sz w:val="11"/>
        </w:rPr>
        <w:t>7.</w:t>
      </w:r>
    </w:p>
    <w:p w14:paraId="00392BB0" w14:textId="77777777" w:rsidR="0014798C" w:rsidRDefault="0014798C">
      <w:pPr>
        <w:rPr>
          <w:sz w:val="11"/>
        </w:rPr>
        <w:sectPr w:rsidR="0014798C" w:rsidSect="00F265E4">
          <w:headerReference w:type="default" r:id="rId95"/>
          <w:pgSz w:w="11900" w:h="16820"/>
          <w:pgMar w:top="340" w:right="0" w:bottom="280" w:left="200" w:header="121" w:footer="0" w:gutter="0"/>
          <w:cols w:space="720"/>
        </w:sectPr>
      </w:pPr>
    </w:p>
    <w:p w14:paraId="2C4DA1B5" w14:textId="77777777" w:rsidR="0014798C" w:rsidRDefault="004E1F0B">
      <w:pPr>
        <w:spacing w:before="54"/>
        <w:jc w:val="right"/>
        <w:rPr>
          <w:sz w:val="8"/>
        </w:rPr>
      </w:pPr>
      <w:r>
        <w:rPr>
          <w:spacing w:val="-5"/>
          <w:w w:val="105"/>
          <w:sz w:val="8"/>
        </w:rPr>
        <w:t>121</w:t>
      </w:r>
    </w:p>
    <w:p w14:paraId="39415B06" w14:textId="77777777" w:rsidR="0014798C" w:rsidRDefault="004E1F0B">
      <w:pPr>
        <w:spacing w:before="80" w:line="288" w:lineRule="auto"/>
        <w:ind w:left="74" w:right="1644" w:firstLine="4"/>
        <w:rPr>
          <w:sz w:val="13"/>
        </w:rPr>
      </w:pPr>
      <w:r>
        <w:br w:type="column"/>
      </w:r>
      <w:r>
        <w:rPr>
          <w:w w:val="105"/>
          <w:sz w:val="13"/>
        </w:rPr>
        <w:t>Véase,</w:t>
      </w:r>
      <w:r>
        <w:rPr>
          <w:spacing w:val="-7"/>
          <w:w w:val="105"/>
          <w:sz w:val="13"/>
        </w:rPr>
        <w:t xml:space="preserve"> </w:t>
      </w:r>
      <w:r>
        <w:rPr>
          <w:w w:val="105"/>
          <w:sz w:val="13"/>
        </w:rPr>
        <w:t>por</w:t>
      </w:r>
      <w:r>
        <w:rPr>
          <w:spacing w:val="-7"/>
          <w:w w:val="105"/>
          <w:sz w:val="13"/>
        </w:rPr>
        <w:t xml:space="preserve"> </w:t>
      </w:r>
      <w:r>
        <w:rPr>
          <w:w w:val="105"/>
          <w:sz w:val="13"/>
        </w:rPr>
        <w:t>ejemplo,</w:t>
      </w:r>
      <w:r>
        <w:rPr>
          <w:spacing w:val="-7"/>
          <w:w w:val="105"/>
          <w:sz w:val="13"/>
        </w:rPr>
        <w:t xml:space="preserve"> </w:t>
      </w:r>
      <w:r>
        <w:rPr>
          <w:w w:val="105"/>
          <w:sz w:val="13"/>
        </w:rPr>
        <w:t>Comité</w:t>
      </w:r>
      <w:r>
        <w:rPr>
          <w:spacing w:val="-7"/>
          <w:w w:val="105"/>
          <w:sz w:val="13"/>
        </w:rPr>
        <w:t xml:space="preserve"> </w:t>
      </w:r>
      <w:r>
        <w:rPr>
          <w:w w:val="105"/>
          <w:sz w:val="13"/>
        </w:rPr>
        <w:t>sobre</w:t>
      </w:r>
      <w:r>
        <w:rPr>
          <w:spacing w:val="-7"/>
          <w:w w:val="105"/>
          <w:sz w:val="13"/>
        </w:rPr>
        <w:t xml:space="preserve"> </w:t>
      </w:r>
      <w:r>
        <w:rPr>
          <w:w w:val="105"/>
          <w:sz w:val="13"/>
        </w:rPr>
        <w:t>los</w:t>
      </w:r>
      <w:r>
        <w:rPr>
          <w:spacing w:val="-7"/>
          <w:w w:val="105"/>
          <w:sz w:val="13"/>
        </w:rPr>
        <w:t xml:space="preserve"> </w:t>
      </w:r>
      <w:r>
        <w:rPr>
          <w:w w:val="105"/>
          <w:sz w:val="13"/>
        </w:rPr>
        <w:t>Derechos</w:t>
      </w:r>
      <w:r>
        <w:rPr>
          <w:spacing w:val="-7"/>
          <w:w w:val="105"/>
          <w:sz w:val="13"/>
        </w:rPr>
        <w:t xml:space="preserve"> </w:t>
      </w:r>
      <w:r>
        <w:rPr>
          <w:w w:val="105"/>
          <w:sz w:val="13"/>
        </w:rPr>
        <w:t>de</w:t>
      </w:r>
      <w:r>
        <w:rPr>
          <w:spacing w:val="-7"/>
          <w:w w:val="105"/>
          <w:sz w:val="13"/>
        </w:rPr>
        <w:t xml:space="preserve"> </w:t>
      </w:r>
      <w:r>
        <w:rPr>
          <w:w w:val="105"/>
          <w:sz w:val="13"/>
        </w:rPr>
        <w:t>las</w:t>
      </w:r>
      <w:r>
        <w:rPr>
          <w:spacing w:val="-7"/>
          <w:w w:val="105"/>
          <w:sz w:val="13"/>
        </w:rPr>
        <w:t xml:space="preserve"> </w:t>
      </w:r>
      <w:r>
        <w:rPr>
          <w:w w:val="105"/>
          <w:sz w:val="13"/>
        </w:rPr>
        <w:t>Personas</w:t>
      </w:r>
      <w:r>
        <w:rPr>
          <w:spacing w:val="-7"/>
          <w:w w:val="105"/>
          <w:sz w:val="13"/>
        </w:rPr>
        <w:t xml:space="preserve"> </w:t>
      </w:r>
      <w:r>
        <w:rPr>
          <w:w w:val="105"/>
          <w:sz w:val="13"/>
        </w:rPr>
        <w:t>con</w:t>
      </w:r>
      <w:r>
        <w:rPr>
          <w:spacing w:val="-7"/>
          <w:w w:val="105"/>
          <w:sz w:val="13"/>
        </w:rPr>
        <w:t xml:space="preserve"> </w:t>
      </w:r>
      <w:r>
        <w:rPr>
          <w:w w:val="105"/>
          <w:sz w:val="13"/>
        </w:rPr>
        <w:t>Discapacidad,</w:t>
      </w:r>
      <w:r>
        <w:rPr>
          <w:spacing w:val="-6"/>
          <w:w w:val="105"/>
          <w:sz w:val="13"/>
        </w:rPr>
        <w:t xml:space="preserve"> </w:t>
      </w:r>
      <w:r>
        <w:rPr>
          <w:w w:val="105"/>
          <w:sz w:val="13"/>
        </w:rPr>
        <w:t>Domina</w:t>
      </w:r>
      <w:r>
        <w:rPr>
          <w:spacing w:val="-7"/>
          <w:w w:val="105"/>
          <w:sz w:val="13"/>
        </w:rPr>
        <w:t xml:space="preserve"> </w:t>
      </w:r>
      <w:r>
        <w:rPr>
          <w:w w:val="105"/>
          <w:sz w:val="13"/>
        </w:rPr>
        <w:t>y</w:t>
      </w:r>
      <w:r>
        <w:rPr>
          <w:spacing w:val="-7"/>
          <w:w w:val="105"/>
          <w:sz w:val="13"/>
        </w:rPr>
        <w:t xml:space="preserve"> </w:t>
      </w:r>
      <w:proofErr w:type="spellStart"/>
      <w:r>
        <w:rPr>
          <w:w w:val="105"/>
          <w:sz w:val="13"/>
        </w:rPr>
        <w:t>Bendtsen</w:t>
      </w:r>
      <w:proofErr w:type="spellEnd"/>
      <w:r>
        <w:rPr>
          <w:spacing w:val="-7"/>
          <w:w w:val="105"/>
          <w:sz w:val="13"/>
        </w:rPr>
        <w:t xml:space="preserve"> </w:t>
      </w:r>
      <w:r>
        <w:rPr>
          <w:w w:val="105"/>
          <w:sz w:val="13"/>
        </w:rPr>
        <w:t>c.</w:t>
      </w:r>
      <w:r>
        <w:rPr>
          <w:spacing w:val="-7"/>
          <w:w w:val="105"/>
          <w:sz w:val="13"/>
        </w:rPr>
        <w:t xml:space="preserve"> </w:t>
      </w:r>
      <w:r>
        <w:rPr>
          <w:w w:val="105"/>
          <w:sz w:val="13"/>
        </w:rPr>
        <w:t>Dinamarca</w:t>
      </w:r>
      <w:r>
        <w:rPr>
          <w:spacing w:val="-7"/>
          <w:w w:val="105"/>
          <w:sz w:val="13"/>
        </w:rPr>
        <w:t xml:space="preserve"> </w:t>
      </w:r>
      <w:r>
        <w:rPr>
          <w:w w:val="105"/>
          <w:sz w:val="13"/>
        </w:rPr>
        <w:t>(CRPD/C/20/D/39/2017),</w:t>
      </w:r>
      <w:r>
        <w:rPr>
          <w:spacing w:val="40"/>
          <w:w w:val="105"/>
          <w:sz w:val="13"/>
        </w:rPr>
        <w:t xml:space="preserve"> </w:t>
      </w:r>
      <w:r>
        <w:rPr>
          <w:w w:val="105"/>
          <w:sz w:val="13"/>
        </w:rPr>
        <w:t>párr.</w:t>
      </w:r>
      <w:r>
        <w:rPr>
          <w:spacing w:val="-2"/>
          <w:w w:val="105"/>
          <w:sz w:val="13"/>
        </w:rPr>
        <w:t xml:space="preserve"> </w:t>
      </w:r>
      <w:r>
        <w:rPr>
          <w:w w:val="105"/>
          <w:sz w:val="13"/>
        </w:rPr>
        <w:t>8.3,</w:t>
      </w:r>
      <w:r>
        <w:rPr>
          <w:spacing w:val="-2"/>
          <w:w w:val="105"/>
          <w:sz w:val="13"/>
        </w:rPr>
        <w:t xml:space="preserve"> </w:t>
      </w:r>
      <w:r>
        <w:rPr>
          <w:w w:val="105"/>
          <w:sz w:val="13"/>
        </w:rPr>
        <w:t>aplicando</w:t>
      </w:r>
      <w:r>
        <w:rPr>
          <w:spacing w:val="-2"/>
          <w:w w:val="105"/>
          <w:sz w:val="13"/>
        </w:rPr>
        <w:t xml:space="preserve"> </w:t>
      </w:r>
      <w:r>
        <w:rPr>
          <w:w w:val="105"/>
          <w:sz w:val="13"/>
        </w:rPr>
        <w:t>el</w:t>
      </w:r>
      <w:r>
        <w:rPr>
          <w:spacing w:val="-2"/>
          <w:w w:val="105"/>
          <w:sz w:val="13"/>
        </w:rPr>
        <w:t xml:space="preserve"> </w:t>
      </w:r>
      <w:r>
        <w:rPr>
          <w:w w:val="105"/>
          <w:sz w:val="13"/>
        </w:rPr>
        <w:t>estándar</w:t>
      </w:r>
      <w:r>
        <w:rPr>
          <w:spacing w:val="-2"/>
          <w:w w:val="105"/>
          <w:sz w:val="13"/>
        </w:rPr>
        <w:t xml:space="preserve"> </w:t>
      </w:r>
      <w:r>
        <w:rPr>
          <w:w w:val="105"/>
          <w:sz w:val="13"/>
        </w:rPr>
        <w:t>establecido</w:t>
      </w:r>
      <w:r>
        <w:rPr>
          <w:spacing w:val="-2"/>
          <w:w w:val="105"/>
          <w:sz w:val="13"/>
        </w:rPr>
        <w:t xml:space="preserve"> </w:t>
      </w:r>
      <w:r>
        <w:rPr>
          <w:w w:val="105"/>
          <w:sz w:val="13"/>
        </w:rPr>
        <w:t>en</w:t>
      </w:r>
      <w:r>
        <w:rPr>
          <w:spacing w:val="-2"/>
          <w:w w:val="105"/>
          <w:sz w:val="13"/>
        </w:rPr>
        <w:t xml:space="preserve"> </w:t>
      </w:r>
      <w:r>
        <w:rPr>
          <w:w w:val="105"/>
          <w:sz w:val="13"/>
        </w:rPr>
        <w:t>el</w:t>
      </w:r>
      <w:r>
        <w:rPr>
          <w:spacing w:val="-2"/>
          <w:w w:val="105"/>
          <w:sz w:val="13"/>
        </w:rPr>
        <w:t xml:space="preserve"> </w:t>
      </w:r>
      <w:r>
        <w:rPr>
          <w:w w:val="105"/>
          <w:sz w:val="13"/>
        </w:rPr>
        <w:t>Tribunal</w:t>
      </w:r>
      <w:r>
        <w:rPr>
          <w:spacing w:val="-2"/>
          <w:w w:val="105"/>
          <w:sz w:val="13"/>
        </w:rPr>
        <w:t xml:space="preserve"> </w:t>
      </w:r>
      <w:r>
        <w:rPr>
          <w:w w:val="105"/>
          <w:sz w:val="13"/>
        </w:rPr>
        <w:t>Europeo</w:t>
      </w:r>
      <w:r>
        <w:rPr>
          <w:spacing w:val="-2"/>
          <w:w w:val="105"/>
          <w:sz w:val="13"/>
        </w:rPr>
        <w:t xml:space="preserve"> </w:t>
      </w:r>
      <w:r>
        <w:rPr>
          <w:w w:val="105"/>
          <w:sz w:val="13"/>
        </w:rPr>
        <w:t>de</w:t>
      </w:r>
      <w:r>
        <w:rPr>
          <w:spacing w:val="-2"/>
          <w:w w:val="105"/>
          <w:sz w:val="13"/>
        </w:rPr>
        <w:t xml:space="preserve"> </w:t>
      </w:r>
      <w:r>
        <w:rPr>
          <w:w w:val="105"/>
          <w:sz w:val="13"/>
        </w:rPr>
        <w:t>Derechos</w:t>
      </w:r>
      <w:r>
        <w:rPr>
          <w:spacing w:val="-2"/>
          <w:w w:val="105"/>
          <w:sz w:val="13"/>
        </w:rPr>
        <w:t xml:space="preserve"> </w:t>
      </w:r>
      <w:r>
        <w:rPr>
          <w:w w:val="105"/>
          <w:sz w:val="13"/>
        </w:rPr>
        <w:t>Humanos,</w:t>
      </w:r>
      <w:r>
        <w:rPr>
          <w:spacing w:val="-2"/>
          <w:w w:val="105"/>
          <w:sz w:val="13"/>
        </w:rPr>
        <w:t xml:space="preserve"> </w:t>
      </w:r>
      <w:proofErr w:type="spellStart"/>
      <w:r>
        <w:rPr>
          <w:w w:val="105"/>
          <w:sz w:val="13"/>
        </w:rPr>
        <w:t>Thlimmenos</w:t>
      </w:r>
      <w:proofErr w:type="spellEnd"/>
      <w:r>
        <w:rPr>
          <w:spacing w:val="-2"/>
          <w:w w:val="105"/>
          <w:sz w:val="13"/>
        </w:rPr>
        <w:t xml:space="preserve"> </w:t>
      </w:r>
      <w:r>
        <w:rPr>
          <w:w w:val="105"/>
          <w:sz w:val="13"/>
        </w:rPr>
        <w:t>v.</w:t>
      </w:r>
      <w:r>
        <w:rPr>
          <w:spacing w:val="-2"/>
          <w:w w:val="105"/>
          <w:sz w:val="13"/>
        </w:rPr>
        <w:t xml:space="preserve"> </w:t>
      </w:r>
      <w:r>
        <w:rPr>
          <w:w w:val="105"/>
          <w:sz w:val="13"/>
        </w:rPr>
        <w:t>Grecia,</w:t>
      </w:r>
      <w:r>
        <w:rPr>
          <w:spacing w:val="-2"/>
          <w:w w:val="105"/>
          <w:sz w:val="13"/>
        </w:rPr>
        <w:t xml:space="preserve"> </w:t>
      </w:r>
      <w:r>
        <w:rPr>
          <w:w w:val="105"/>
          <w:sz w:val="13"/>
        </w:rPr>
        <w:t>párr.</w:t>
      </w:r>
      <w:r>
        <w:rPr>
          <w:spacing w:val="-2"/>
          <w:w w:val="105"/>
          <w:sz w:val="13"/>
        </w:rPr>
        <w:t xml:space="preserve"> </w:t>
      </w:r>
      <w:r>
        <w:rPr>
          <w:w w:val="105"/>
          <w:sz w:val="13"/>
        </w:rPr>
        <w:t>44.</w:t>
      </w:r>
    </w:p>
    <w:p w14:paraId="1B4DB4DF" w14:textId="77777777" w:rsidR="0014798C" w:rsidRDefault="0014798C">
      <w:pPr>
        <w:spacing w:line="288" w:lineRule="auto"/>
        <w:rPr>
          <w:sz w:val="13"/>
        </w:rPr>
        <w:sectPr w:rsidR="0014798C" w:rsidSect="00F265E4">
          <w:type w:val="continuous"/>
          <w:pgSz w:w="11900" w:h="16820"/>
          <w:pgMar w:top="40" w:right="0" w:bottom="280" w:left="200" w:header="121" w:footer="0" w:gutter="0"/>
          <w:cols w:num="2" w:space="720" w:equalWidth="0">
            <w:col w:w="1253" w:space="40"/>
            <w:col w:w="10407"/>
          </w:cols>
        </w:sectPr>
      </w:pPr>
    </w:p>
    <w:p w14:paraId="0F2091A0" w14:textId="77777777" w:rsidR="0014798C" w:rsidRDefault="0014798C">
      <w:pPr>
        <w:pStyle w:val="Textoindependiente"/>
        <w:rPr>
          <w:sz w:val="17"/>
        </w:rPr>
      </w:pPr>
    </w:p>
    <w:p w14:paraId="6F7F6CF5" w14:textId="77777777" w:rsidR="0014798C" w:rsidRDefault="0014798C">
      <w:pPr>
        <w:pStyle w:val="Textoindependiente"/>
        <w:rPr>
          <w:sz w:val="17"/>
        </w:rPr>
      </w:pPr>
    </w:p>
    <w:p w14:paraId="0683D7F0" w14:textId="77777777" w:rsidR="0014798C" w:rsidRDefault="0014798C">
      <w:pPr>
        <w:pStyle w:val="Textoindependiente"/>
        <w:spacing w:before="34"/>
        <w:rPr>
          <w:sz w:val="17"/>
        </w:rPr>
      </w:pPr>
    </w:p>
    <w:p w14:paraId="0AFFB914" w14:textId="77777777" w:rsidR="0014798C" w:rsidRDefault="004E1F0B">
      <w:pPr>
        <w:ind w:left="584"/>
        <w:rPr>
          <w:sz w:val="17"/>
        </w:rPr>
      </w:pPr>
      <w:r>
        <w:rPr>
          <w:spacing w:val="-5"/>
          <w:sz w:val="17"/>
        </w:rPr>
        <w:t>18</w:t>
      </w:r>
    </w:p>
    <w:p w14:paraId="0F6BF229" w14:textId="77777777" w:rsidR="0014798C" w:rsidRDefault="0014798C">
      <w:pPr>
        <w:rPr>
          <w:sz w:val="17"/>
        </w:rPr>
        <w:sectPr w:rsidR="0014798C" w:rsidSect="00F265E4">
          <w:type w:val="continuous"/>
          <w:pgSz w:w="11900" w:h="16820"/>
          <w:pgMar w:top="40" w:right="0" w:bottom="280" w:left="200" w:header="121" w:footer="0" w:gutter="0"/>
          <w:cols w:space="720"/>
        </w:sectPr>
      </w:pPr>
    </w:p>
    <w:p w14:paraId="3B35C3B8" w14:textId="77777777" w:rsidR="0014798C" w:rsidRDefault="0014798C">
      <w:pPr>
        <w:pStyle w:val="Textoindependiente"/>
        <w:spacing w:before="51"/>
        <w:rPr>
          <w:sz w:val="14"/>
        </w:rPr>
      </w:pPr>
    </w:p>
    <w:p w14:paraId="18A245DC" w14:textId="77777777" w:rsidR="0014798C" w:rsidRDefault="004E1F0B">
      <w:pPr>
        <w:ind w:left="1111"/>
        <w:rPr>
          <w:sz w:val="14"/>
        </w:rPr>
      </w:pPr>
      <w:r>
        <w:rPr>
          <w:color w:val="00AC59"/>
          <w:sz w:val="14"/>
        </w:rPr>
        <w:t>SEGUNDA</w:t>
      </w:r>
      <w:r>
        <w:rPr>
          <w:color w:val="00AC59"/>
          <w:spacing w:val="-5"/>
          <w:sz w:val="14"/>
        </w:rPr>
        <w:t xml:space="preserve"> </w:t>
      </w:r>
      <w:r>
        <w:rPr>
          <w:color w:val="00AC59"/>
          <w:sz w:val="14"/>
        </w:rPr>
        <w:t>PARTE:</w:t>
      </w:r>
      <w:r>
        <w:rPr>
          <w:color w:val="00AC59"/>
          <w:spacing w:val="-5"/>
          <w:sz w:val="14"/>
        </w:rPr>
        <w:t xml:space="preserve"> </w:t>
      </w:r>
      <w:r>
        <w:rPr>
          <w:color w:val="00AC59"/>
          <w:sz w:val="14"/>
        </w:rPr>
        <w:t>CONTENIDO</w:t>
      </w:r>
      <w:r>
        <w:rPr>
          <w:color w:val="00AC59"/>
          <w:spacing w:val="-4"/>
          <w:sz w:val="14"/>
        </w:rPr>
        <w:t xml:space="preserve"> </w:t>
      </w:r>
      <w:r>
        <w:rPr>
          <w:color w:val="00AC59"/>
          <w:sz w:val="14"/>
        </w:rPr>
        <w:t>DE</w:t>
      </w:r>
      <w:r>
        <w:rPr>
          <w:color w:val="00AC59"/>
          <w:spacing w:val="-5"/>
          <w:sz w:val="14"/>
        </w:rPr>
        <w:t xml:space="preserve"> </w:t>
      </w:r>
      <w:r>
        <w:rPr>
          <w:color w:val="00AC59"/>
          <w:sz w:val="14"/>
        </w:rPr>
        <w:t>LA</w:t>
      </w:r>
      <w:r>
        <w:rPr>
          <w:color w:val="00AC59"/>
          <w:spacing w:val="-4"/>
          <w:sz w:val="14"/>
        </w:rPr>
        <w:t xml:space="preserve"> </w:t>
      </w:r>
      <w:r>
        <w:rPr>
          <w:color w:val="00AC59"/>
          <w:sz w:val="14"/>
        </w:rPr>
        <w:t>LEY</w:t>
      </w:r>
      <w:r>
        <w:rPr>
          <w:color w:val="00AC59"/>
          <w:spacing w:val="-4"/>
          <w:sz w:val="14"/>
        </w:rPr>
        <w:t xml:space="preserve"> </w:t>
      </w:r>
      <w:r>
        <w:rPr>
          <w:color w:val="00AC59"/>
          <w:sz w:val="14"/>
        </w:rPr>
        <w:t>INTEGRAL</w:t>
      </w:r>
      <w:r>
        <w:rPr>
          <w:color w:val="00AC59"/>
          <w:spacing w:val="-5"/>
          <w:sz w:val="14"/>
        </w:rPr>
        <w:t xml:space="preserve"> </w:t>
      </w:r>
      <w:r>
        <w:rPr>
          <w:color w:val="00AC59"/>
          <w:spacing w:val="-2"/>
          <w:sz w:val="14"/>
        </w:rPr>
        <w:t>ANTIDISCRIMINACIÓN</w:t>
      </w:r>
    </w:p>
    <w:p w14:paraId="245EBE7F" w14:textId="77777777" w:rsidR="0014798C" w:rsidRDefault="0014798C">
      <w:pPr>
        <w:pStyle w:val="Textoindependiente"/>
      </w:pPr>
    </w:p>
    <w:p w14:paraId="61BEE31B" w14:textId="77777777" w:rsidR="0014798C" w:rsidRDefault="0014798C">
      <w:pPr>
        <w:pStyle w:val="Textoindependiente"/>
      </w:pPr>
    </w:p>
    <w:p w14:paraId="731B5BE5" w14:textId="77777777" w:rsidR="0014798C" w:rsidRDefault="0014798C">
      <w:pPr>
        <w:pStyle w:val="Textoindependiente"/>
      </w:pPr>
    </w:p>
    <w:p w14:paraId="7BA15F44" w14:textId="77777777" w:rsidR="0014798C" w:rsidRDefault="0014798C">
      <w:pPr>
        <w:pStyle w:val="Textoindependiente"/>
      </w:pPr>
    </w:p>
    <w:p w14:paraId="78D0B64D" w14:textId="77777777" w:rsidR="0014798C" w:rsidRDefault="0014798C">
      <w:pPr>
        <w:pStyle w:val="Textoindependiente"/>
        <w:spacing w:before="41"/>
      </w:pPr>
    </w:p>
    <w:p w14:paraId="79EE98E3" w14:textId="77777777" w:rsidR="0014798C" w:rsidRDefault="004E1F0B">
      <w:pPr>
        <w:pStyle w:val="Textoindependiente"/>
        <w:spacing w:line="326" w:lineRule="auto"/>
        <w:ind w:left="1108" w:right="1335" w:hanging="2"/>
      </w:pPr>
      <w:r>
        <w:rPr>
          <w:w w:val="105"/>
        </w:rPr>
        <w:t>Esta</w:t>
      </w:r>
      <w:r>
        <w:rPr>
          <w:spacing w:val="-6"/>
          <w:w w:val="105"/>
        </w:rPr>
        <w:t xml:space="preserve"> </w:t>
      </w:r>
      <w:r>
        <w:rPr>
          <w:w w:val="105"/>
        </w:rPr>
        <w:t>sección</w:t>
      </w:r>
      <w:r>
        <w:rPr>
          <w:spacing w:val="-6"/>
          <w:w w:val="105"/>
        </w:rPr>
        <w:t xml:space="preserve"> </w:t>
      </w:r>
      <w:r>
        <w:rPr>
          <w:w w:val="105"/>
        </w:rPr>
        <w:t>analiza</w:t>
      </w:r>
      <w:r>
        <w:rPr>
          <w:spacing w:val="-6"/>
          <w:w w:val="105"/>
        </w:rPr>
        <w:t xml:space="preserve"> </w:t>
      </w:r>
      <w:r>
        <w:rPr>
          <w:w w:val="105"/>
        </w:rPr>
        <w:t>el</w:t>
      </w:r>
      <w:r>
        <w:rPr>
          <w:spacing w:val="-6"/>
          <w:w w:val="105"/>
        </w:rPr>
        <w:t xml:space="preserve"> </w:t>
      </w:r>
      <w:r>
        <w:rPr>
          <w:w w:val="105"/>
        </w:rPr>
        <w:t>desarrollo</w:t>
      </w:r>
      <w:r>
        <w:rPr>
          <w:spacing w:val="-6"/>
          <w:w w:val="105"/>
        </w:rPr>
        <w:t xml:space="preserve"> </w:t>
      </w:r>
      <w:r>
        <w:rPr>
          <w:w w:val="105"/>
        </w:rPr>
        <w:t>de</w:t>
      </w:r>
      <w:r>
        <w:rPr>
          <w:spacing w:val="-6"/>
          <w:w w:val="105"/>
        </w:rPr>
        <w:t xml:space="preserve"> </w:t>
      </w:r>
      <w:r>
        <w:rPr>
          <w:w w:val="105"/>
        </w:rPr>
        <w:t>estos</w:t>
      </w:r>
      <w:r>
        <w:rPr>
          <w:spacing w:val="-6"/>
          <w:w w:val="105"/>
        </w:rPr>
        <w:t xml:space="preserve"> </w:t>
      </w:r>
      <w:r>
        <w:rPr>
          <w:w w:val="105"/>
        </w:rPr>
        <w:t>conceptos</w:t>
      </w:r>
      <w:r>
        <w:rPr>
          <w:spacing w:val="-6"/>
          <w:w w:val="105"/>
        </w:rPr>
        <w:t xml:space="preserve"> </w:t>
      </w:r>
      <w:r>
        <w:rPr>
          <w:w w:val="105"/>
        </w:rPr>
        <w:t>y</w:t>
      </w:r>
      <w:r>
        <w:rPr>
          <w:spacing w:val="-6"/>
          <w:w w:val="105"/>
        </w:rPr>
        <w:t xml:space="preserve"> </w:t>
      </w:r>
      <w:r>
        <w:rPr>
          <w:w w:val="105"/>
        </w:rPr>
        <w:t>proporciona</w:t>
      </w:r>
      <w:r>
        <w:rPr>
          <w:spacing w:val="-6"/>
          <w:w w:val="105"/>
        </w:rPr>
        <w:t xml:space="preserve"> </w:t>
      </w:r>
      <w:r>
        <w:rPr>
          <w:w w:val="105"/>
        </w:rPr>
        <w:t>orientación</w:t>
      </w:r>
      <w:r>
        <w:rPr>
          <w:spacing w:val="-6"/>
          <w:w w:val="105"/>
        </w:rPr>
        <w:t xml:space="preserve"> </w:t>
      </w:r>
      <w:r>
        <w:rPr>
          <w:w w:val="105"/>
        </w:rPr>
        <w:t>práctica</w:t>
      </w:r>
      <w:r>
        <w:rPr>
          <w:spacing w:val="-6"/>
          <w:w w:val="105"/>
        </w:rPr>
        <w:t xml:space="preserve"> </w:t>
      </w:r>
      <w:r>
        <w:rPr>
          <w:w w:val="105"/>
        </w:rPr>
        <w:t>para</w:t>
      </w:r>
      <w:r>
        <w:rPr>
          <w:spacing w:val="-6"/>
          <w:w w:val="105"/>
        </w:rPr>
        <w:t xml:space="preserve"> </w:t>
      </w:r>
      <w:r>
        <w:rPr>
          <w:w w:val="105"/>
        </w:rPr>
        <w:t>los</w:t>
      </w:r>
      <w:r>
        <w:rPr>
          <w:spacing w:val="-6"/>
          <w:w w:val="105"/>
        </w:rPr>
        <w:t xml:space="preserve"> </w:t>
      </w:r>
      <w:r>
        <w:rPr>
          <w:w w:val="105"/>
        </w:rPr>
        <w:t>formuladores</w:t>
      </w:r>
      <w:r>
        <w:rPr>
          <w:spacing w:val="-6"/>
          <w:w w:val="105"/>
        </w:rPr>
        <w:t xml:space="preserve"> </w:t>
      </w:r>
      <w:r>
        <w:rPr>
          <w:w w:val="105"/>
        </w:rPr>
        <w:t>de</w:t>
      </w:r>
      <w:r>
        <w:rPr>
          <w:spacing w:val="-6"/>
          <w:w w:val="105"/>
        </w:rPr>
        <w:t xml:space="preserve"> </w:t>
      </w:r>
      <w:r>
        <w:rPr>
          <w:w w:val="105"/>
        </w:rPr>
        <w:t>políticas</w:t>
      </w:r>
      <w:r>
        <w:rPr>
          <w:spacing w:val="-6"/>
          <w:w w:val="105"/>
        </w:rPr>
        <w:t xml:space="preserve"> </w:t>
      </w:r>
      <w:r>
        <w:rPr>
          <w:w w:val="105"/>
        </w:rPr>
        <w:t>y la</w:t>
      </w:r>
      <w:r>
        <w:rPr>
          <w:spacing w:val="-1"/>
          <w:w w:val="105"/>
        </w:rPr>
        <w:t xml:space="preserve"> </w:t>
      </w:r>
      <w:r>
        <w:rPr>
          <w:w w:val="105"/>
        </w:rPr>
        <w:t>sociedad</w:t>
      </w:r>
      <w:r>
        <w:rPr>
          <w:spacing w:val="-1"/>
          <w:w w:val="105"/>
        </w:rPr>
        <w:t xml:space="preserve"> </w:t>
      </w:r>
      <w:r>
        <w:rPr>
          <w:w w:val="105"/>
        </w:rPr>
        <w:t>civil</w:t>
      </w:r>
      <w:r>
        <w:rPr>
          <w:spacing w:val="-1"/>
          <w:w w:val="105"/>
        </w:rPr>
        <w:t xml:space="preserve"> </w:t>
      </w:r>
      <w:r>
        <w:rPr>
          <w:w w:val="105"/>
        </w:rPr>
        <w:t>que</w:t>
      </w:r>
      <w:r>
        <w:rPr>
          <w:spacing w:val="-1"/>
          <w:w w:val="105"/>
        </w:rPr>
        <w:t xml:space="preserve"> </w:t>
      </w:r>
      <w:r>
        <w:rPr>
          <w:w w:val="105"/>
        </w:rPr>
        <w:t>trabajan</w:t>
      </w:r>
      <w:r>
        <w:rPr>
          <w:spacing w:val="-1"/>
          <w:w w:val="105"/>
        </w:rPr>
        <w:t xml:space="preserve"> </w:t>
      </w:r>
      <w:r>
        <w:rPr>
          <w:w w:val="105"/>
        </w:rPr>
        <w:t>para</w:t>
      </w:r>
      <w:r>
        <w:rPr>
          <w:spacing w:val="-1"/>
          <w:w w:val="105"/>
        </w:rPr>
        <w:t xml:space="preserve"> </w:t>
      </w:r>
      <w:r>
        <w:rPr>
          <w:w w:val="105"/>
        </w:rPr>
        <w:t>la</w:t>
      </w:r>
      <w:r>
        <w:rPr>
          <w:spacing w:val="-1"/>
          <w:w w:val="105"/>
        </w:rPr>
        <w:t xml:space="preserve"> </w:t>
      </w:r>
      <w:r>
        <w:rPr>
          <w:w w:val="105"/>
        </w:rPr>
        <w:t>adopción</w:t>
      </w:r>
      <w:r>
        <w:rPr>
          <w:spacing w:val="-1"/>
          <w:w w:val="105"/>
        </w:rPr>
        <w:t xml:space="preserve"> </w:t>
      </w:r>
      <w:r>
        <w:rPr>
          <w:w w:val="105"/>
        </w:rPr>
        <w:t>de</w:t>
      </w:r>
      <w:r>
        <w:rPr>
          <w:spacing w:val="-1"/>
          <w:w w:val="105"/>
        </w:rPr>
        <w:t xml:space="preserve"> </w:t>
      </w:r>
      <w:r>
        <w:rPr>
          <w:w w:val="105"/>
        </w:rPr>
        <w:t>una</w:t>
      </w:r>
      <w:r>
        <w:rPr>
          <w:spacing w:val="-1"/>
          <w:w w:val="105"/>
        </w:rPr>
        <w:t xml:space="preserve"> </w:t>
      </w:r>
      <w:r>
        <w:rPr>
          <w:w w:val="105"/>
        </w:rPr>
        <w:t>legislación</w:t>
      </w:r>
      <w:r>
        <w:rPr>
          <w:spacing w:val="-1"/>
          <w:w w:val="105"/>
        </w:rPr>
        <w:t xml:space="preserve"> </w:t>
      </w:r>
      <w:r>
        <w:rPr>
          <w:w w:val="105"/>
        </w:rPr>
        <w:t>integral</w:t>
      </w:r>
      <w:r>
        <w:rPr>
          <w:spacing w:val="-1"/>
          <w:w w:val="105"/>
        </w:rPr>
        <w:t xml:space="preserve"> </w:t>
      </w:r>
      <w:r>
        <w:rPr>
          <w:w w:val="105"/>
        </w:rPr>
        <w:t>contra</w:t>
      </w:r>
      <w:r>
        <w:rPr>
          <w:spacing w:val="-1"/>
          <w:w w:val="105"/>
        </w:rPr>
        <w:t xml:space="preserve"> </w:t>
      </w:r>
      <w:r>
        <w:rPr>
          <w:w w:val="105"/>
        </w:rPr>
        <w:t>la</w:t>
      </w:r>
      <w:r>
        <w:rPr>
          <w:spacing w:val="-1"/>
          <w:w w:val="105"/>
        </w:rPr>
        <w:t xml:space="preserve"> </w:t>
      </w:r>
      <w:r>
        <w:rPr>
          <w:w w:val="105"/>
        </w:rPr>
        <w:t>discriminación</w:t>
      </w:r>
      <w:r>
        <w:rPr>
          <w:spacing w:val="-1"/>
          <w:w w:val="105"/>
        </w:rPr>
        <w:t xml:space="preserve"> </w:t>
      </w:r>
      <w:r>
        <w:rPr>
          <w:w w:val="105"/>
        </w:rPr>
        <w:t>sobre</w:t>
      </w:r>
      <w:r>
        <w:rPr>
          <w:spacing w:val="-1"/>
          <w:w w:val="105"/>
        </w:rPr>
        <w:t xml:space="preserve"> </w:t>
      </w:r>
      <w:r>
        <w:rPr>
          <w:w w:val="105"/>
        </w:rPr>
        <w:t>lo</w:t>
      </w:r>
      <w:r>
        <w:rPr>
          <w:spacing w:val="-1"/>
          <w:w w:val="105"/>
        </w:rPr>
        <w:t xml:space="preserve"> </w:t>
      </w:r>
      <w:r>
        <w:rPr>
          <w:w w:val="105"/>
        </w:rPr>
        <w:t>que</w:t>
      </w:r>
      <w:r>
        <w:rPr>
          <w:spacing w:val="-1"/>
          <w:w w:val="105"/>
        </w:rPr>
        <w:t xml:space="preserve"> </w:t>
      </w:r>
      <w:r>
        <w:rPr>
          <w:w w:val="105"/>
        </w:rPr>
        <w:t>se</w:t>
      </w:r>
      <w:r>
        <w:rPr>
          <w:spacing w:val="-1"/>
          <w:w w:val="105"/>
        </w:rPr>
        <w:t xml:space="preserve"> </w:t>
      </w:r>
      <w:r>
        <w:rPr>
          <w:w w:val="105"/>
        </w:rPr>
        <w:t>debe incorporar en dichas leyes para garantizar el cumplimiento del derecho internacional de los derechos humanos.</w:t>
      </w:r>
    </w:p>
    <w:p w14:paraId="516C327A" w14:textId="77777777" w:rsidR="0014798C" w:rsidRDefault="004E1F0B">
      <w:pPr>
        <w:numPr>
          <w:ilvl w:val="0"/>
          <w:numId w:val="85"/>
        </w:numPr>
        <w:tabs>
          <w:tab w:val="left" w:pos="1391"/>
        </w:tabs>
        <w:spacing w:before="258"/>
        <w:ind w:left="1391" w:hanging="256"/>
        <w:rPr>
          <w:color w:val="00AC59"/>
          <w:sz w:val="23"/>
        </w:rPr>
      </w:pPr>
      <w:r>
        <w:rPr>
          <w:color w:val="00AC59"/>
          <w:sz w:val="23"/>
        </w:rPr>
        <w:t>Alcance</w:t>
      </w:r>
      <w:r>
        <w:rPr>
          <w:color w:val="00AC59"/>
          <w:spacing w:val="-4"/>
          <w:sz w:val="23"/>
        </w:rPr>
        <w:t xml:space="preserve"> </w:t>
      </w:r>
      <w:r>
        <w:rPr>
          <w:color w:val="00AC59"/>
          <w:sz w:val="23"/>
        </w:rPr>
        <w:t>personal</w:t>
      </w:r>
      <w:r>
        <w:rPr>
          <w:color w:val="00AC59"/>
          <w:spacing w:val="-3"/>
          <w:sz w:val="23"/>
        </w:rPr>
        <w:t xml:space="preserve"> </w:t>
      </w:r>
      <w:r>
        <w:rPr>
          <w:color w:val="00AC59"/>
          <w:sz w:val="23"/>
        </w:rPr>
        <w:t>del</w:t>
      </w:r>
      <w:r>
        <w:rPr>
          <w:color w:val="00AC59"/>
          <w:spacing w:val="-3"/>
          <w:sz w:val="23"/>
        </w:rPr>
        <w:t xml:space="preserve"> </w:t>
      </w:r>
      <w:r>
        <w:rPr>
          <w:color w:val="00AC59"/>
          <w:sz w:val="23"/>
        </w:rPr>
        <w:t>derecho</w:t>
      </w:r>
      <w:r>
        <w:rPr>
          <w:color w:val="00AC59"/>
          <w:spacing w:val="-4"/>
          <w:sz w:val="23"/>
        </w:rPr>
        <w:t xml:space="preserve"> </w:t>
      </w:r>
      <w:r>
        <w:rPr>
          <w:color w:val="00AC59"/>
          <w:sz w:val="23"/>
        </w:rPr>
        <w:t>a</w:t>
      </w:r>
      <w:r>
        <w:rPr>
          <w:color w:val="00AC59"/>
          <w:spacing w:val="-3"/>
          <w:sz w:val="23"/>
        </w:rPr>
        <w:t xml:space="preserve"> </w:t>
      </w:r>
      <w:r>
        <w:rPr>
          <w:color w:val="00AC59"/>
          <w:sz w:val="23"/>
        </w:rPr>
        <w:t>la</w:t>
      </w:r>
      <w:r>
        <w:rPr>
          <w:color w:val="00AC59"/>
          <w:spacing w:val="-3"/>
          <w:sz w:val="23"/>
        </w:rPr>
        <w:t xml:space="preserve"> </w:t>
      </w:r>
      <w:r>
        <w:rPr>
          <w:color w:val="00AC59"/>
          <w:sz w:val="23"/>
        </w:rPr>
        <w:t>no</w:t>
      </w:r>
      <w:r>
        <w:rPr>
          <w:color w:val="00AC59"/>
          <w:spacing w:val="-3"/>
          <w:sz w:val="23"/>
        </w:rPr>
        <w:t xml:space="preserve"> </w:t>
      </w:r>
      <w:r>
        <w:rPr>
          <w:color w:val="00AC59"/>
          <w:spacing w:val="-2"/>
          <w:sz w:val="23"/>
        </w:rPr>
        <w:t>discriminación</w:t>
      </w:r>
    </w:p>
    <w:p w14:paraId="3ED94F75" w14:textId="77777777" w:rsidR="0014798C" w:rsidRDefault="0014798C">
      <w:pPr>
        <w:pStyle w:val="Textoindependiente"/>
        <w:spacing w:before="8"/>
        <w:rPr>
          <w:sz w:val="18"/>
        </w:rPr>
      </w:pPr>
    </w:p>
    <w:p w14:paraId="31CA0CE1" w14:textId="77777777" w:rsidR="0014798C" w:rsidRDefault="004E1F0B">
      <w:pPr>
        <w:spacing w:line="290" w:lineRule="auto"/>
        <w:ind w:left="1107" w:right="1272" w:hanging="1"/>
        <w:rPr>
          <w:sz w:val="18"/>
        </w:rPr>
      </w:pPr>
      <w:r>
        <w:rPr>
          <w:noProof/>
        </w:rPr>
        <w:drawing>
          <wp:anchor distT="0" distB="0" distL="0" distR="0" simplePos="0" relativeHeight="251658373" behindDoc="1" locked="0" layoutInCell="1" allowOverlap="1" wp14:anchorId="1E1E02C2" wp14:editId="005C8906">
            <wp:simplePos x="0" y="0"/>
            <wp:positionH relativeFrom="page">
              <wp:posOffset>786199</wp:posOffset>
            </wp:positionH>
            <wp:positionV relativeFrom="paragraph">
              <wp:posOffset>132981</wp:posOffset>
            </wp:positionV>
            <wp:extent cx="6770300" cy="6151400"/>
            <wp:effectExtent l="0" t="0" r="0" b="0"/>
            <wp:wrapNone/>
            <wp:docPr id="87" name="Image 8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87" name="Image 87"/>
                    <pic:cNvPicPr/>
                  </pic:nvPicPr>
                  <pic:blipFill>
                    <a:blip r:embed="rId96" cstate="print"/>
                    <a:stretch>
                      <a:fillRect/>
                    </a:stretch>
                  </pic:blipFill>
                  <pic:spPr>
                    <a:xfrm>
                      <a:off x="0" y="0"/>
                      <a:ext cx="6770300" cy="6151400"/>
                    </a:xfrm>
                    <a:prstGeom prst="rect">
                      <a:avLst/>
                    </a:prstGeom>
                  </pic:spPr>
                </pic:pic>
              </a:graphicData>
            </a:graphic>
          </wp:anchor>
        </w:drawing>
      </w:r>
      <w:r>
        <w:rPr>
          <w:w w:val="105"/>
          <w:sz w:val="18"/>
        </w:rPr>
        <w:t>El</w:t>
      </w:r>
      <w:r>
        <w:rPr>
          <w:spacing w:val="-10"/>
          <w:w w:val="105"/>
          <w:sz w:val="18"/>
        </w:rPr>
        <w:t xml:space="preserve"> </w:t>
      </w:r>
      <w:r>
        <w:rPr>
          <w:w w:val="105"/>
          <w:sz w:val="18"/>
        </w:rPr>
        <w:t>derecho</w:t>
      </w:r>
      <w:r>
        <w:rPr>
          <w:spacing w:val="-10"/>
          <w:w w:val="105"/>
          <w:sz w:val="18"/>
        </w:rPr>
        <w:t xml:space="preserve"> </w:t>
      </w:r>
      <w:r>
        <w:rPr>
          <w:w w:val="105"/>
          <w:sz w:val="18"/>
        </w:rPr>
        <w:t>a</w:t>
      </w:r>
      <w:r>
        <w:rPr>
          <w:spacing w:val="-10"/>
          <w:w w:val="105"/>
          <w:sz w:val="18"/>
        </w:rPr>
        <w:t xml:space="preserve"> </w:t>
      </w:r>
      <w:r>
        <w:rPr>
          <w:w w:val="105"/>
          <w:sz w:val="18"/>
        </w:rPr>
        <w:t>la</w:t>
      </w:r>
      <w:r>
        <w:rPr>
          <w:spacing w:val="-10"/>
          <w:w w:val="105"/>
          <w:sz w:val="18"/>
        </w:rPr>
        <w:t xml:space="preserve"> </w:t>
      </w:r>
      <w:r>
        <w:rPr>
          <w:w w:val="105"/>
          <w:sz w:val="18"/>
        </w:rPr>
        <w:t>no</w:t>
      </w:r>
      <w:r>
        <w:rPr>
          <w:spacing w:val="-10"/>
          <w:w w:val="105"/>
          <w:sz w:val="18"/>
        </w:rPr>
        <w:t xml:space="preserve"> </w:t>
      </w:r>
      <w:r>
        <w:rPr>
          <w:w w:val="105"/>
          <w:sz w:val="18"/>
        </w:rPr>
        <w:t>discriminación</w:t>
      </w:r>
      <w:r>
        <w:rPr>
          <w:spacing w:val="-10"/>
          <w:w w:val="105"/>
          <w:sz w:val="18"/>
        </w:rPr>
        <w:t xml:space="preserve"> </w:t>
      </w:r>
      <w:r>
        <w:rPr>
          <w:w w:val="105"/>
          <w:sz w:val="18"/>
        </w:rPr>
        <w:t>se</w:t>
      </w:r>
      <w:r>
        <w:rPr>
          <w:spacing w:val="-10"/>
          <w:w w:val="105"/>
          <w:sz w:val="18"/>
        </w:rPr>
        <w:t xml:space="preserve"> </w:t>
      </w:r>
      <w:r>
        <w:rPr>
          <w:w w:val="105"/>
          <w:sz w:val="18"/>
        </w:rPr>
        <w:t>centra</w:t>
      </w:r>
      <w:r>
        <w:rPr>
          <w:spacing w:val="-10"/>
          <w:w w:val="105"/>
          <w:sz w:val="18"/>
        </w:rPr>
        <w:t xml:space="preserve"> </w:t>
      </w:r>
      <w:r>
        <w:rPr>
          <w:w w:val="105"/>
          <w:sz w:val="18"/>
        </w:rPr>
        <w:t>en</w:t>
      </w:r>
      <w:r>
        <w:rPr>
          <w:spacing w:val="-10"/>
          <w:w w:val="105"/>
          <w:sz w:val="18"/>
        </w:rPr>
        <w:t xml:space="preserve"> </w:t>
      </w:r>
      <w:r>
        <w:rPr>
          <w:w w:val="105"/>
          <w:sz w:val="18"/>
        </w:rPr>
        <w:t>la</w:t>
      </w:r>
      <w:r>
        <w:rPr>
          <w:spacing w:val="-10"/>
          <w:w w:val="105"/>
          <w:sz w:val="18"/>
        </w:rPr>
        <w:t xml:space="preserve"> </w:t>
      </w:r>
      <w:r>
        <w:rPr>
          <w:w w:val="105"/>
          <w:sz w:val="18"/>
        </w:rPr>
        <w:t>protección</w:t>
      </w:r>
      <w:r>
        <w:rPr>
          <w:spacing w:val="-10"/>
          <w:w w:val="105"/>
          <w:sz w:val="18"/>
        </w:rPr>
        <w:t xml:space="preserve"> </w:t>
      </w:r>
      <w:r>
        <w:rPr>
          <w:w w:val="105"/>
          <w:sz w:val="18"/>
        </w:rPr>
        <w:t>contra</w:t>
      </w:r>
      <w:r>
        <w:rPr>
          <w:spacing w:val="-10"/>
          <w:w w:val="105"/>
          <w:sz w:val="18"/>
        </w:rPr>
        <w:t xml:space="preserve"> </w:t>
      </w:r>
      <w:r>
        <w:rPr>
          <w:w w:val="105"/>
          <w:sz w:val="18"/>
        </w:rPr>
        <w:t>el</w:t>
      </w:r>
      <w:r>
        <w:rPr>
          <w:spacing w:val="-10"/>
          <w:w w:val="105"/>
          <w:sz w:val="18"/>
        </w:rPr>
        <w:t xml:space="preserve"> </w:t>
      </w:r>
      <w:r>
        <w:rPr>
          <w:w w:val="105"/>
          <w:sz w:val="18"/>
        </w:rPr>
        <w:t>daño</w:t>
      </w:r>
      <w:r>
        <w:rPr>
          <w:spacing w:val="-10"/>
          <w:w w:val="105"/>
          <w:sz w:val="18"/>
        </w:rPr>
        <w:t xml:space="preserve"> </w:t>
      </w:r>
      <w:r>
        <w:rPr>
          <w:w w:val="105"/>
          <w:sz w:val="18"/>
        </w:rPr>
        <w:t>que</w:t>
      </w:r>
      <w:r>
        <w:rPr>
          <w:spacing w:val="-10"/>
          <w:w w:val="105"/>
          <w:sz w:val="18"/>
        </w:rPr>
        <w:t xml:space="preserve"> </w:t>
      </w:r>
      <w:r>
        <w:rPr>
          <w:w w:val="105"/>
          <w:sz w:val="18"/>
        </w:rPr>
        <w:t>surge</w:t>
      </w:r>
      <w:r>
        <w:rPr>
          <w:spacing w:val="-10"/>
          <w:w w:val="105"/>
          <w:sz w:val="18"/>
        </w:rPr>
        <w:t xml:space="preserve"> </w:t>
      </w:r>
      <w:r>
        <w:rPr>
          <w:w w:val="105"/>
          <w:sz w:val="18"/>
        </w:rPr>
        <w:t>en</w:t>
      </w:r>
      <w:r>
        <w:rPr>
          <w:spacing w:val="-10"/>
          <w:w w:val="105"/>
          <w:sz w:val="18"/>
        </w:rPr>
        <w:t xml:space="preserve"> </w:t>
      </w:r>
      <w:r>
        <w:rPr>
          <w:w w:val="105"/>
          <w:sz w:val="18"/>
        </w:rPr>
        <w:t>relación</w:t>
      </w:r>
      <w:r>
        <w:rPr>
          <w:spacing w:val="-10"/>
          <w:w w:val="105"/>
          <w:sz w:val="18"/>
        </w:rPr>
        <w:t xml:space="preserve"> </w:t>
      </w:r>
      <w:r>
        <w:rPr>
          <w:w w:val="105"/>
          <w:sz w:val="18"/>
        </w:rPr>
        <w:t>con</w:t>
      </w:r>
      <w:r>
        <w:rPr>
          <w:spacing w:val="-10"/>
          <w:w w:val="105"/>
          <w:sz w:val="18"/>
        </w:rPr>
        <w:t xml:space="preserve"> </w:t>
      </w:r>
      <w:r>
        <w:rPr>
          <w:w w:val="105"/>
          <w:sz w:val="18"/>
        </w:rPr>
        <w:t>un</w:t>
      </w:r>
      <w:r>
        <w:rPr>
          <w:spacing w:val="-10"/>
          <w:w w:val="105"/>
          <w:sz w:val="18"/>
        </w:rPr>
        <w:t xml:space="preserve"> </w:t>
      </w:r>
      <w:r>
        <w:rPr>
          <w:w w:val="105"/>
          <w:sz w:val="18"/>
        </w:rPr>
        <w:t>estatus, identidad,</w:t>
      </w:r>
      <w:r>
        <w:rPr>
          <w:spacing w:val="-5"/>
          <w:w w:val="105"/>
          <w:sz w:val="18"/>
        </w:rPr>
        <w:t xml:space="preserve"> </w:t>
      </w:r>
      <w:r>
        <w:rPr>
          <w:w w:val="105"/>
          <w:sz w:val="18"/>
        </w:rPr>
        <w:t>característica</w:t>
      </w:r>
      <w:r>
        <w:rPr>
          <w:spacing w:val="-6"/>
          <w:w w:val="105"/>
          <w:sz w:val="18"/>
        </w:rPr>
        <w:t xml:space="preserve"> </w:t>
      </w:r>
      <w:r>
        <w:rPr>
          <w:w w:val="105"/>
          <w:sz w:val="18"/>
        </w:rPr>
        <w:t>o</w:t>
      </w:r>
      <w:r>
        <w:rPr>
          <w:spacing w:val="-6"/>
          <w:w w:val="105"/>
          <w:sz w:val="18"/>
        </w:rPr>
        <w:t xml:space="preserve"> </w:t>
      </w:r>
      <w:r>
        <w:rPr>
          <w:w w:val="105"/>
          <w:sz w:val="18"/>
        </w:rPr>
        <w:t>creencia,</w:t>
      </w:r>
      <w:r>
        <w:rPr>
          <w:spacing w:val="-5"/>
          <w:w w:val="105"/>
          <w:sz w:val="18"/>
        </w:rPr>
        <w:t xml:space="preserve"> </w:t>
      </w:r>
      <w:r>
        <w:rPr>
          <w:w w:val="105"/>
          <w:sz w:val="18"/>
        </w:rPr>
        <w:t>denominados</w:t>
      </w:r>
      <w:r>
        <w:rPr>
          <w:spacing w:val="-6"/>
          <w:w w:val="105"/>
          <w:sz w:val="18"/>
        </w:rPr>
        <w:t xml:space="preserve"> </w:t>
      </w:r>
      <w:r>
        <w:rPr>
          <w:w w:val="105"/>
          <w:sz w:val="18"/>
        </w:rPr>
        <w:t>colectivamente</w:t>
      </w:r>
      <w:r>
        <w:rPr>
          <w:spacing w:val="-6"/>
          <w:w w:val="105"/>
          <w:sz w:val="18"/>
        </w:rPr>
        <w:t xml:space="preserve"> </w:t>
      </w:r>
      <w:r>
        <w:rPr>
          <w:w w:val="105"/>
          <w:sz w:val="18"/>
        </w:rPr>
        <w:t>“motivos”</w:t>
      </w:r>
      <w:r>
        <w:rPr>
          <w:spacing w:val="-6"/>
          <w:w w:val="105"/>
          <w:sz w:val="18"/>
        </w:rPr>
        <w:t xml:space="preserve"> </w:t>
      </w:r>
      <w:r>
        <w:rPr>
          <w:w w:val="105"/>
          <w:sz w:val="18"/>
        </w:rPr>
        <w:t>de</w:t>
      </w:r>
      <w:r>
        <w:rPr>
          <w:spacing w:val="-6"/>
          <w:w w:val="105"/>
          <w:sz w:val="18"/>
        </w:rPr>
        <w:t xml:space="preserve"> </w:t>
      </w:r>
      <w:r>
        <w:rPr>
          <w:w w:val="105"/>
          <w:sz w:val="18"/>
        </w:rPr>
        <w:t>discriminación.122</w:t>
      </w:r>
      <w:r>
        <w:rPr>
          <w:spacing w:val="-6"/>
          <w:w w:val="105"/>
          <w:sz w:val="18"/>
        </w:rPr>
        <w:t xml:space="preserve"> </w:t>
      </w:r>
      <w:r>
        <w:rPr>
          <w:w w:val="105"/>
          <w:sz w:val="18"/>
        </w:rPr>
        <w:t>Esta</w:t>
      </w:r>
      <w:r>
        <w:rPr>
          <w:spacing w:val="-6"/>
          <w:w w:val="105"/>
          <w:sz w:val="18"/>
        </w:rPr>
        <w:t xml:space="preserve"> </w:t>
      </w:r>
      <w:r>
        <w:rPr>
          <w:w w:val="105"/>
          <w:sz w:val="18"/>
        </w:rPr>
        <w:t>sección analiza</w:t>
      </w:r>
      <w:r>
        <w:rPr>
          <w:spacing w:val="-1"/>
          <w:w w:val="105"/>
          <w:sz w:val="18"/>
        </w:rPr>
        <w:t xml:space="preserve"> </w:t>
      </w:r>
      <w:r>
        <w:rPr>
          <w:w w:val="105"/>
          <w:sz w:val="18"/>
        </w:rPr>
        <w:t>estos</w:t>
      </w:r>
      <w:r>
        <w:rPr>
          <w:spacing w:val="-1"/>
          <w:w w:val="105"/>
          <w:sz w:val="18"/>
        </w:rPr>
        <w:t xml:space="preserve"> </w:t>
      </w:r>
      <w:r>
        <w:rPr>
          <w:w w:val="105"/>
          <w:sz w:val="18"/>
        </w:rPr>
        <w:t>motivos, antes</w:t>
      </w:r>
      <w:r>
        <w:rPr>
          <w:spacing w:val="-1"/>
          <w:w w:val="105"/>
          <w:sz w:val="18"/>
        </w:rPr>
        <w:t xml:space="preserve"> </w:t>
      </w:r>
      <w:r>
        <w:rPr>
          <w:w w:val="105"/>
          <w:sz w:val="18"/>
        </w:rPr>
        <w:t>de</w:t>
      </w:r>
      <w:r>
        <w:rPr>
          <w:spacing w:val="-1"/>
          <w:w w:val="105"/>
          <w:sz w:val="18"/>
        </w:rPr>
        <w:t xml:space="preserve"> </w:t>
      </w:r>
      <w:r>
        <w:rPr>
          <w:w w:val="105"/>
          <w:sz w:val="18"/>
        </w:rPr>
        <w:t>abordar</w:t>
      </w:r>
      <w:r>
        <w:rPr>
          <w:spacing w:val="-1"/>
          <w:w w:val="105"/>
          <w:sz w:val="18"/>
        </w:rPr>
        <w:t xml:space="preserve"> </w:t>
      </w:r>
      <w:r>
        <w:rPr>
          <w:w w:val="105"/>
          <w:sz w:val="18"/>
        </w:rPr>
        <w:t>las</w:t>
      </w:r>
      <w:r>
        <w:rPr>
          <w:spacing w:val="-1"/>
          <w:w w:val="105"/>
          <w:sz w:val="18"/>
        </w:rPr>
        <w:t xml:space="preserve"> </w:t>
      </w:r>
      <w:r>
        <w:rPr>
          <w:w w:val="105"/>
          <w:sz w:val="18"/>
        </w:rPr>
        <w:t>diferentes</w:t>
      </w:r>
      <w:r>
        <w:rPr>
          <w:spacing w:val="-1"/>
          <w:w w:val="105"/>
          <w:sz w:val="18"/>
        </w:rPr>
        <w:t xml:space="preserve"> </w:t>
      </w:r>
      <w:r>
        <w:rPr>
          <w:w w:val="105"/>
          <w:sz w:val="18"/>
        </w:rPr>
        <w:t>relaciones</w:t>
      </w:r>
      <w:r>
        <w:rPr>
          <w:spacing w:val="-1"/>
          <w:w w:val="105"/>
          <w:sz w:val="18"/>
        </w:rPr>
        <w:t xml:space="preserve"> </w:t>
      </w:r>
      <w:r>
        <w:rPr>
          <w:w w:val="105"/>
          <w:sz w:val="18"/>
        </w:rPr>
        <w:t>entre</w:t>
      </w:r>
      <w:r>
        <w:rPr>
          <w:spacing w:val="-1"/>
          <w:w w:val="105"/>
          <w:sz w:val="18"/>
        </w:rPr>
        <w:t xml:space="preserve"> </w:t>
      </w:r>
      <w:r>
        <w:rPr>
          <w:w w:val="105"/>
          <w:sz w:val="18"/>
        </w:rPr>
        <w:t>ellos. y</w:t>
      </w:r>
      <w:r>
        <w:rPr>
          <w:spacing w:val="-1"/>
          <w:w w:val="105"/>
          <w:sz w:val="18"/>
        </w:rPr>
        <w:t xml:space="preserve"> </w:t>
      </w:r>
      <w:r>
        <w:rPr>
          <w:w w:val="105"/>
          <w:sz w:val="18"/>
        </w:rPr>
        <w:t>las</w:t>
      </w:r>
      <w:r>
        <w:rPr>
          <w:spacing w:val="-1"/>
          <w:w w:val="105"/>
          <w:sz w:val="18"/>
        </w:rPr>
        <w:t xml:space="preserve"> </w:t>
      </w:r>
      <w:r>
        <w:rPr>
          <w:w w:val="105"/>
          <w:sz w:val="18"/>
        </w:rPr>
        <w:t>formas</w:t>
      </w:r>
      <w:r>
        <w:rPr>
          <w:spacing w:val="-1"/>
          <w:w w:val="105"/>
          <w:sz w:val="18"/>
        </w:rPr>
        <w:t xml:space="preserve"> </w:t>
      </w:r>
      <w:r>
        <w:rPr>
          <w:w w:val="105"/>
          <w:sz w:val="18"/>
        </w:rPr>
        <w:t>en</w:t>
      </w:r>
      <w:r>
        <w:rPr>
          <w:spacing w:val="-1"/>
          <w:w w:val="105"/>
          <w:sz w:val="18"/>
        </w:rPr>
        <w:t xml:space="preserve"> </w:t>
      </w:r>
      <w:r>
        <w:rPr>
          <w:w w:val="105"/>
          <w:sz w:val="18"/>
        </w:rPr>
        <w:t>que</w:t>
      </w:r>
      <w:r>
        <w:rPr>
          <w:spacing w:val="-1"/>
          <w:w w:val="105"/>
          <w:sz w:val="18"/>
        </w:rPr>
        <w:t xml:space="preserve"> </w:t>
      </w:r>
      <w:r>
        <w:rPr>
          <w:w w:val="105"/>
          <w:sz w:val="18"/>
        </w:rPr>
        <w:t>las</w:t>
      </w:r>
      <w:r>
        <w:rPr>
          <w:spacing w:val="-1"/>
          <w:w w:val="105"/>
          <w:sz w:val="18"/>
        </w:rPr>
        <w:t xml:space="preserve"> </w:t>
      </w:r>
      <w:r>
        <w:rPr>
          <w:w w:val="105"/>
          <w:sz w:val="18"/>
        </w:rPr>
        <w:t>personas pueden verse expuestas a la discriminación.</w:t>
      </w:r>
    </w:p>
    <w:p w14:paraId="2F5CD141" w14:textId="77777777" w:rsidR="0014798C" w:rsidRDefault="004E1F0B">
      <w:pPr>
        <w:numPr>
          <w:ilvl w:val="1"/>
          <w:numId w:val="85"/>
        </w:numPr>
        <w:tabs>
          <w:tab w:val="left" w:pos="1375"/>
        </w:tabs>
        <w:spacing w:before="177"/>
        <w:ind w:left="1375" w:hanging="260"/>
      </w:pPr>
      <w:r>
        <w:rPr>
          <w:noProof/>
        </w:rPr>
        <mc:AlternateContent>
          <mc:Choice Requires="wps">
            <w:drawing>
              <wp:anchor distT="0" distB="0" distL="0" distR="0" simplePos="0" relativeHeight="251658250" behindDoc="0" locked="0" layoutInCell="1" allowOverlap="1" wp14:anchorId="790155A9" wp14:editId="43403439">
                <wp:simplePos x="0" y="0"/>
                <wp:positionH relativeFrom="page">
                  <wp:posOffset>7313138</wp:posOffset>
                </wp:positionH>
                <wp:positionV relativeFrom="paragraph">
                  <wp:posOffset>112166</wp:posOffset>
                </wp:positionV>
                <wp:extent cx="83820" cy="281940"/>
                <wp:effectExtent l="0" t="0" r="0" b="0"/>
                <wp:wrapNone/>
                <wp:docPr id="88" name="Textbox 8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83820" cy="281940"/>
                        </a:xfrm>
                        <a:prstGeom prst="rect">
                          <a:avLst/>
                        </a:prstGeom>
                      </wps:spPr>
                      <wps:txbx>
                        <w:txbxContent>
                          <w:p w14:paraId="193C3A94" w14:textId="77777777" w:rsidR="0014798C" w:rsidRDefault="004E1F0B">
                            <w:pPr>
                              <w:spacing w:before="19"/>
                              <w:ind w:left="20"/>
                              <w:rPr>
                                <w:sz w:val="8"/>
                              </w:rPr>
                            </w:pPr>
                            <w:r>
                              <w:rPr>
                                <w:color w:val="FFFFFF"/>
                                <w:spacing w:val="-24"/>
                                <w:sz w:val="8"/>
                              </w:rPr>
                              <w:t>I–P</w:t>
                            </w:r>
                            <w:r>
                              <w:rPr>
                                <w:spacing w:val="-24"/>
                                <w:sz w:val="8"/>
                              </w:rPr>
                              <w:t>S</w:t>
                            </w:r>
                            <w:r>
                              <w:rPr>
                                <w:color w:val="FFFFFF"/>
                                <w:spacing w:val="-24"/>
                                <w:sz w:val="8"/>
                              </w:rPr>
                              <w:t>A</w:t>
                            </w:r>
                            <w:r>
                              <w:rPr>
                                <w:spacing w:val="-24"/>
                                <w:sz w:val="8"/>
                              </w:rPr>
                              <w:t>E</w:t>
                            </w:r>
                            <w:r>
                              <w:rPr>
                                <w:color w:val="FFFFFF"/>
                                <w:spacing w:val="-24"/>
                                <w:sz w:val="8"/>
                              </w:rPr>
                              <w:t>R</w:t>
                            </w:r>
                            <w:r>
                              <w:rPr>
                                <w:spacing w:val="-24"/>
                                <w:sz w:val="8"/>
                              </w:rPr>
                              <w:t>G</w:t>
                            </w:r>
                            <w:r>
                              <w:rPr>
                                <w:color w:val="FFFFFF"/>
                                <w:spacing w:val="-24"/>
                                <w:sz w:val="8"/>
                              </w:rPr>
                              <w:t>T</w:t>
                            </w:r>
                            <w:r>
                              <w:rPr>
                                <w:spacing w:val="-24"/>
                                <w:sz w:val="8"/>
                              </w:rPr>
                              <w:t>U</w:t>
                            </w:r>
                            <w:r>
                              <w:rPr>
                                <w:color w:val="FFFFFF"/>
                                <w:spacing w:val="-24"/>
                                <w:sz w:val="8"/>
                              </w:rPr>
                              <w:t>E</w:t>
                            </w:r>
                            <w:r>
                              <w:rPr>
                                <w:spacing w:val="-24"/>
                                <w:sz w:val="8"/>
                              </w:rPr>
                              <w:t>NDA</w:t>
                            </w:r>
                          </w:p>
                        </w:txbxContent>
                      </wps:txbx>
                      <wps:bodyPr vert="vert270" wrap="square" lIns="0" tIns="0" rIns="0" bIns="0" rtlCol="0">
                        <a:noAutofit/>
                      </wps:bodyPr>
                    </wps:wsp>
                  </a:graphicData>
                </a:graphic>
              </wp:anchor>
            </w:drawing>
          </mc:Choice>
          <mc:Fallback>
            <w:pict>
              <v:shape w14:anchorId="790155A9" id="Textbox 88" o:spid="_x0000_s1058" type="#_x0000_t202" style="position:absolute;left:0;text-align:left;margin-left:575.85pt;margin-top:8.85pt;width:6.6pt;height:22.2pt;z-index:251658250;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" filled="f" stroked="f">
                <v:textbox style="layout-flow:vertical;mso-layout-flow-alt:bottom-to-top" inset="0,0,0,0">
                  <w:txbxContent>
                    <w:p w14:paraId="193C3A94" w14:textId="77777777" w:rsidR="0014798C" w:rsidRDefault="004E1F0B">
                      <w:pPr>
                        <w:spacing w:before="19"/>
                        <w:ind w:left="20"/>
                        <w:rPr>
                          <w:sz w:val="8"/>
                        </w:rPr>
                      </w:pPr>
                      <w:r>
                        <w:rPr>
                          <w:color w:val="FFFFFF"/>
                          <w:spacing w:val="-24"/>
                          <w:sz w:val="8"/>
                        </w:rPr>
                        <w:t>I–P</w:t>
                      </w:r>
                      <w:r>
                        <w:rPr>
                          <w:spacing w:val="-24"/>
                          <w:sz w:val="8"/>
                        </w:rPr>
                        <w:t>S</w:t>
                      </w:r>
                      <w:r>
                        <w:rPr>
                          <w:color w:val="FFFFFF"/>
                          <w:spacing w:val="-24"/>
                          <w:sz w:val="8"/>
                        </w:rPr>
                        <w:t>A</w:t>
                      </w:r>
                      <w:r>
                        <w:rPr>
                          <w:spacing w:val="-24"/>
                          <w:sz w:val="8"/>
                        </w:rPr>
                        <w:t>E</w:t>
                      </w:r>
                      <w:r>
                        <w:rPr>
                          <w:color w:val="FFFFFF"/>
                          <w:spacing w:val="-24"/>
                          <w:sz w:val="8"/>
                        </w:rPr>
                        <w:t>R</w:t>
                      </w:r>
                      <w:r>
                        <w:rPr>
                          <w:spacing w:val="-24"/>
                          <w:sz w:val="8"/>
                        </w:rPr>
                        <w:t>G</w:t>
                      </w:r>
                      <w:r>
                        <w:rPr>
                          <w:color w:val="FFFFFF"/>
                          <w:spacing w:val="-24"/>
                          <w:sz w:val="8"/>
                        </w:rPr>
                        <w:t>T</w:t>
                      </w:r>
                      <w:r>
                        <w:rPr>
                          <w:spacing w:val="-24"/>
                          <w:sz w:val="8"/>
                        </w:rPr>
                        <w:t>U</w:t>
                      </w:r>
                      <w:r>
                        <w:rPr>
                          <w:color w:val="FFFFFF"/>
                          <w:spacing w:val="-24"/>
                          <w:sz w:val="8"/>
                        </w:rPr>
                        <w:t>E</w:t>
                      </w:r>
                      <w:r>
                        <w:rPr>
                          <w:spacing w:val="-24"/>
                          <w:sz w:val="8"/>
                        </w:rPr>
                        <w:t>NDA</w:t>
                      </w:r>
                    </w:p>
                  </w:txbxContent>
                </v:textbox>
                <w10:wrap anchorx="page"/>
              </v:shape>
            </w:pict>
          </mc:Fallback>
        </mc:AlternateContent>
      </w:r>
      <w:r>
        <w:t>Motivos</w:t>
      </w:r>
      <w:r>
        <w:rPr>
          <w:spacing w:val="7"/>
        </w:rPr>
        <w:t xml:space="preserve"> </w:t>
      </w:r>
      <w:r>
        <w:rPr>
          <w:spacing w:val="-2"/>
        </w:rPr>
        <w:t>prohibidos</w:t>
      </w:r>
    </w:p>
    <w:p w14:paraId="16D48953" w14:textId="77777777" w:rsidR="0014798C" w:rsidRDefault="0014798C">
      <w:pPr>
        <w:pStyle w:val="Textoindependiente"/>
        <w:spacing w:before="165"/>
      </w:pPr>
    </w:p>
    <w:p w14:paraId="72A4FF67" w14:textId="77777777" w:rsidR="0014798C" w:rsidRDefault="004E1F0B">
      <w:pPr>
        <w:pStyle w:val="Textoindependiente"/>
        <w:ind w:left="1335"/>
      </w:pPr>
      <w:r>
        <w:rPr>
          <w:color w:val="FFFFFF"/>
          <w:spacing w:val="-2"/>
          <w:w w:val="105"/>
        </w:rPr>
        <w:t>RESUMEN</w:t>
      </w:r>
    </w:p>
    <w:p w14:paraId="3EE712D8" w14:textId="77777777" w:rsidR="0014798C" w:rsidRDefault="0014798C">
      <w:pPr>
        <w:pStyle w:val="Textoindependiente"/>
        <w:spacing w:before="150"/>
      </w:pPr>
    </w:p>
    <w:p w14:paraId="41CACF32" w14:textId="77777777" w:rsidR="0014798C" w:rsidRDefault="004E1F0B">
      <w:pPr>
        <w:pStyle w:val="Prrafodelista"/>
        <w:numPr>
          <w:ilvl w:val="2"/>
          <w:numId w:val="85"/>
        </w:numPr>
        <w:tabs>
          <w:tab w:val="left" w:pos="1461"/>
          <w:tab w:val="left" w:pos="1564"/>
        </w:tabs>
        <w:spacing w:line="271" w:lineRule="auto"/>
        <w:ind w:left="1564" w:right="1576" w:hanging="206"/>
        <w:rPr>
          <w:color w:val="0075BF"/>
          <w:sz w:val="16"/>
        </w:rPr>
      </w:pPr>
      <w:r>
        <w:rPr>
          <w:w w:val="105"/>
          <w:sz w:val="16"/>
        </w:rPr>
        <w:t>La</w:t>
      </w:r>
      <w:r>
        <w:rPr>
          <w:spacing w:val="-10"/>
          <w:w w:val="105"/>
          <w:sz w:val="16"/>
        </w:rPr>
        <w:t xml:space="preserve"> </w:t>
      </w:r>
      <w:r>
        <w:rPr>
          <w:w w:val="105"/>
          <w:sz w:val="16"/>
        </w:rPr>
        <w:t>legislación</w:t>
      </w:r>
      <w:r>
        <w:rPr>
          <w:spacing w:val="-10"/>
          <w:w w:val="105"/>
          <w:sz w:val="16"/>
        </w:rPr>
        <w:t xml:space="preserve"> </w:t>
      </w:r>
      <w:r>
        <w:rPr>
          <w:w w:val="105"/>
          <w:sz w:val="16"/>
        </w:rPr>
        <w:t>contra</w:t>
      </w:r>
      <w:r>
        <w:rPr>
          <w:spacing w:val="-10"/>
          <w:w w:val="105"/>
          <w:sz w:val="16"/>
        </w:rPr>
        <w:t xml:space="preserve"> </w:t>
      </w:r>
      <w:r>
        <w:rPr>
          <w:w w:val="105"/>
          <w:sz w:val="16"/>
        </w:rPr>
        <w:t>la</w:t>
      </w:r>
      <w:r>
        <w:rPr>
          <w:spacing w:val="-10"/>
          <w:w w:val="105"/>
          <w:sz w:val="16"/>
        </w:rPr>
        <w:t xml:space="preserve"> </w:t>
      </w:r>
      <w:r>
        <w:rPr>
          <w:w w:val="105"/>
          <w:sz w:val="16"/>
        </w:rPr>
        <w:t>discriminación</w:t>
      </w:r>
      <w:r>
        <w:rPr>
          <w:spacing w:val="-10"/>
          <w:w w:val="105"/>
          <w:sz w:val="16"/>
        </w:rPr>
        <w:t xml:space="preserve"> </w:t>
      </w:r>
      <w:r>
        <w:rPr>
          <w:w w:val="105"/>
          <w:sz w:val="16"/>
        </w:rPr>
        <w:t>debería</w:t>
      </w:r>
      <w:r>
        <w:rPr>
          <w:spacing w:val="-10"/>
          <w:w w:val="105"/>
          <w:sz w:val="16"/>
        </w:rPr>
        <w:t xml:space="preserve"> </w:t>
      </w:r>
      <w:r>
        <w:rPr>
          <w:w w:val="105"/>
          <w:sz w:val="16"/>
        </w:rPr>
        <w:t>prohibir</w:t>
      </w:r>
      <w:r>
        <w:rPr>
          <w:spacing w:val="-10"/>
          <w:w w:val="105"/>
          <w:sz w:val="16"/>
        </w:rPr>
        <w:t xml:space="preserve"> </w:t>
      </w:r>
      <w:r>
        <w:rPr>
          <w:w w:val="105"/>
          <w:sz w:val="16"/>
        </w:rPr>
        <w:t>la</w:t>
      </w:r>
      <w:r>
        <w:rPr>
          <w:spacing w:val="-10"/>
          <w:w w:val="105"/>
          <w:sz w:val="16"/>
        </w:rPr>
        <w:t xml:space="preserve"> </w:t>
      </w:r>
      <w:r>
        <w:rPr>
          <w:w w:val="105"/>
          <w:sz w:val="16"/>
        </w:rPr>
        <w:t>discriminación</w:t>
      </w:r>
      <w:r>
        <w:rPr>
          <w:spacing w:val="-10"/>
          <w:w w:val="105"/>
          <w:sz w:val="16"/>
        </w:rPr>
        <w:t xml:space="preserve"> </w:t>
      </w:r>
      <w:r>
        <w:rPr>
          <w:w w:val="105"/>
          <w:sz w:val="16"/>
        </w:rPr>
        <w:t>sobre</w:t>
      </w:r>
      <w:r>
        <w:rPr>
          <w:spacing w:val="-10"/>
          <w:w w:val="105"/>
          <w:sz w:val="16"/>
        </w:rPr>
        <w:t xml:space="preserve"> </w:t>
      </w:r>
      <w:r>
        <w:rPr>
          <w:w w:val="105"/>
          <w:sz w:val="16"/>
        </w:rPr>
        <w:t>la</w:t>
      </w:r>
      <w:r>
        <w:rPr>
          <w:spacing w:val="-10"/>
          <w:w w:val="105"/>
          <w:sz w:val="16"/>
        </w:rPr>
        <w:t xml:space="preserve"> </w:t>
      </w:r>
      <w:r>
        <w:rPr>
          <w:w w:val="105"/>
          <w:sz w:val="16"/>
        </w:rPr>
        <w:t>base</w:t>
      </w:r>
      <w:r>
        <w:rPr>
          <w:spacing w:val="-10"/>
          <w:w w:val="105"/>
          <w:sz w:val="16"/>
        </w:rPr>
        <w:t xml:space="preserve"> </w:t>
      </w:r>
      <w:r>
        <w:rPr>
          <w:w w:val="105"/>
          <w:sz w:val="16"/>
        </w:rPr>
        <w:t>de</w:t>
      </w:r>
      <w:r>
        <w:rPr>
          <w:spacing w:val="-10"/>
          <w:w w:val="105"/>
          <w:sz w:val="16"/>
        </w:rPr>
        <w:t xml:space="preserve"> </w:t>
      </w:r>
      <w:r>
        <w:rPr>
          <w:w w:val="105"/>
          <w:sz w:val="16"/>
        </w:rPr>
        <w:t>un</w:t>
      </w:r>
      <w:r>
        <w:rPr>
          <w:spacing w:val="-10"/>
          <w:w w:val="105"/>
          <w:sz w:val="16"/>
        </w:rPr>
        <w:t xml:space="preserve"> </w:t>
      </w:r>
      <w:r>
        <w:rPr>
          <w:w w:val="105"/>
          <w:sz w:val="16"/>
        </w:rPr>
        <w:t>enfoque</w:t>
      </w:r>
      <w:r>
        <w:rPr>
          <w:spacing w:val="-10"/>
          <w:w w:val="105"/>
          <w:sz w:val="16"/>
        </w:rPr>
        <w:t xml:space="preserve"> </w:t>
      </w:r>
      <w:r>
        <w:rPr>
          <w:w w:val="105"/>
          <w:sz w:val="16"/>
        </w:rPr>
        <w:t>amplio</w:t>
      </w:r>
      <w:r>
        <w:rPr>
          <w:spacing w:val="-10"/>
          <w:w w:val="105"/>
          <w:sz w:val="16"/>
        </w:rPr>
        <w:t xml:space="preserve"> </w:t>
      </w:r>
      <w:r>
        <w:rPr>
          <w:w w:val="105"/>
          <w:sz w:val="16"/>
        </w:rPr>
        <w:t>y</w:t>
      </w:r>
      <w:r>
        <w:rPr>
          <w:spacing w:val="-10"/>
          <w:w w:val="105"/>
          <w:sz w:val="16"/>
        </w:rPr>
        <w:t xml:space="preserve"> </w:t>
      </w:r>
      <w:r>
        <w:rPr>
          <w:w w:val="105"/>
          <w:sz w:val="16"/>
        </w:rPr>
        <w:t>abierto. lista final de características.</w:t>
      </w:r>
    </w:p>
    <w:p w14:paraId="1C7B8C21" w14:textId="77777777" w:rsidR="0014798C" w:rsidRDefault="0014798C">
      <w:pPr>
        <w:pStyle w:val="Textoindependiente"/>
        <w:spacing w:before="13"/>
      </w:pPr>
    </w:p>
    <w:p w14:paraId="4ABB9518" w14:textId="77777777" w:rsidR="0014798C" w:rsidRDefault="004E1F0B">
      <w:pPr>
        <w:pStyle w:val="Prrafodelista"/>
        <w:numPr>
          <w:ilvl w:val="2"/>
          <w:numId w:val="85"/>
        </w:numPr>
        <w:tabs>
          <w:tab w:val="left" w:pos="1462"/>
          <w:tab w:val="left" w:pos="1559"/>
        </w:tabs>
        <w:spacing w:line="326" w:lineRule="auto"/>
        <w:ind w:left="1559" w:right="1733" w:hanging="200"/>
        <w:rPr>
          <w:color w:val="0075BF"/>
          <w:sz w:val="16"/>
        </w:rPr>
      </w:pPr>
      <w:r>
        <w:rPr>
          <w:sz w:val="16"/>
        </w:rPr>
        <w:t>Debe</w:t>
      </w:r>
      <w:r>
        <w:rPr>
          <w:spacing w:val="-9"/>
          <w:sz w:val="16"/>
        </w:rPr>
        <w:t xml:space="preserve"> </w:t>
      </w:r>
      <w:r>
        <w:rPr>
          <w:sz w:val="16"/>
        </w:rPr>
        <w:t>prohibirse</w:t>
      </w:r>
      <w:r>
        <w:rPr>
          <w:spacing w:val="-9"/>
          <w:sz w:val="16"/>
        </w:rPr>
        <w:t xml:space="preserve"> </w:t>
      </w:r>
      <w:r>
        <w:rPr>
          <w:sz w:val="16"/>
        </w:rPr>
        <w:t>la</w:t>
      </w:r>
      <w:r>
        <w:rPr>
          <w:spacing w:val="-9"/>
          <w:sz w:val="16"/>
        </w:rPr>
        <w:t xml:space="preserve"> </w:t>
      </w:r>
      <w:r>
        <w:rPr>
          <w:sz w:val="16"/>
        </w:rPr>
        <w:t>discriminación</w:t>
      </w:r>
      <w:r>
        <w:rPr>
          <w:spacing w:val="-9"/>
          <w:sz w:val="16"/>
        </w:rPr>
        <w:t xml:space="preserve"> </w:t>
      </w:r>
      <w:r>
        <w:rPr>
          <w:sz w:val="16"/>
        </w:rPr>
        <w:t>por</w:t>
      </w:r>
      <w:r>
        <w:rPr>
          <w:spacing w:val="-9"/>
          <w:sz w:val="16"/>
        </w:rPr>
        <w:t xml:space="preserve"> </w:t>
      </w:r>
      <w:r>
        <w:rPr>
          <w:sz w:val="16"/>
        </w:rPr>
        <w:t>motivos</w:t>
      </w:r>
      <w:r>
        <w:rPr>
          <w:spacing w:val="-9"/>
          <w:sz w:val="16"/>
        </w:rPr>
        <w:t xml:space="preserve"> </w:t>
      </w:r>
      <w:r>
        <w:rPr>
          <w:sz w:val="16"/>
        </w:rPr>
        <w:t>de</w:t>
      </w:r>
      <w:r>
        <w:rPr>
          <w:spacing w:val="-9"/>
          <w:sz w:val="16"/>
        </w:rPr>
        <w:t xml:space="preserve"> </w:t>
      </w:r>
      <w:r>
        <w:rPr>
          <w:sz w:val="16"/>
        </w:rPr>
        <w:t>edad;</w:t>
      </w:r>
      <w:r>
        <w:rPr>
          <w:spacing w:val="-9"/>
          <w:sz w:val="16"/>
        </w:rPr>
        <w:t xml:space="preserve"> </w:t>
      </w:r>
      <w:r>
        <w:rPr>
          <w:sz w:val="16"/>
        </w:rPr>
        <w:t>nacimiento;</w:t>
      </w:r>
      <w:r>
        <w:rPr>
          <w:spacing w:val="-8"/>
          <w:sz w:val="16"/>
        </w:rPr>
        <w:t xml:space="preserve"> </w:t>
      </w:r>
      <w:r>
        <w:rPr>
          <w:sz w:val="16"/>
        </w:rPr>
        <w:t>estado</w:t>
      </w:r>
      <w:r>
        <w:rPr>
          <w:spacing w:val="-9"/>
          <w:sz w:val="16"/>
        </w:rPr>
        <w:t xml:space="preserve"> </w:t>
      </w:r>
      <w:r>
        <w:rPr>
          <w:sz w:val="16"/>
        </w:rPr>
        <w:t>civil,</w:t>
      </w:r>
      <w:r>
        <w:rPr>
          <w:spacing w:val="-9"/>
          <w:sz w:val="16"/>
        </w:rPr>
        <w:t xml:space="preserve"> </w:t>
      </w:r>
      <w:r>
        <w:rPr>
          <w:sz w:val="16"/>
        </w:rPr>
        <w:t>familiar</w:t>
      </w:r>
      <w:r>
        <w:rPr>
          <w:spacing w:val="-9"/>
          <w:sz w:val="16"/>
        </w:rPr>
        <w:t xml:space="preserve"> </w:t>
      </w:r>
      <w:r>
        <w:rPr>
          <w:sz w:val="16"/>
        </w:rPr>
        <w:t>o</w:t>
      </w:r>
      <w:r>
        <w:rPr>
          <w:spacing w:val="-9"/>
          <w:sz w:val="16"/>
        </w:rPr>
        <w:t xml:space="preserve"> </w:t>
      </w:r>
      <w:r>
        <w:rPr>
          <w:sz w:val="16"/>
        </w:rPr>
        <w:t>de</w:t>
      </w:r>
      <w:r>
        <w:rPr>
          <w:spacing w:val="-9"/>
          <w:sz w:val="16"/>
        </w:rPr>
        <w:t xml:space="preserve"> </w:t>
      </w:r>
      <w:r>
        <w:rPr>
          <w:sz w:val="16"/>
        </w:rPr>
        <w:t>cuidador;</w:t>
      </w:r>
      <w:r>
        <w:rPr>
          <w:spacing w:val="-8"/>
          <w:sz w:val="16"/>
        </w:rPr>
        <w:t xml:space="preserve"> </w:t>
      </w:r>
      <w:r>
        <w:rPr>
          <w:sz w:val="16"/>
        </w:rPr>
        <w:t xml:space="preserve">color; </w:t>
      </w:r>
      <w:r>
        <w:rPr>
          <w:spacing w:val="-2"/>
          <w:sz w:val="16"/>
        </w:rPr>
        <w:t>ascendencia,</w:t>
      </w:r>
      <w:r>
        <w:rPr>
          <w:spacing w:val="-4"/>
          <w:sz w:val="16"/>
        </w:rPr>
        <w:t xml:space="preserve"> </w:t>
      </w:r>
      <w:r>
        <w:rPr>
          <w:spacing w:val="-2"/>
          <w:sz w:val="16"/>
        </w:rPr>
        <w:t>incluida</w:t>
      </w:r>
      <w:r>
        <w:rPr>
          <w:spacing w:val="-5"/>
          <w:sz w:val="16"/>
        </w:rPr>
        <w:t xml:space="preserve"> </w:t>
      </w:r>
      <w:r>
        <w:rPr>
          <w:spacing w:val="-2"/>
          <w:sz w:val="16"/>
        </w:rPr>
        <w:t>la</w:t>
      </w:r>
      <w:r>
        <w:rPr>
          <w:spacing w:val="-5"/>
          <w:sz w:val="16"/>
        </w:rPr>
        <w:t xml:space="preserve"> </w:t>
      </w:r>
      <w:r>
        <w:rPr>
          <w:spacing w:val="-2"/>
          <w:sz w:val="16"/>
        </w:rPr>
        <w:t>casta;</w:t>
      </w:r>
      <w:r>
        <w:rPr>
          <w:spacing w:val="-5"/>
          <w:sz w:val="16"/>
        </w:rPr>
        <w:t xml:space="preserve"> </w:t>
      </w:r>
      <w:r>
        <w:rPr>
          <w:spacing w:val="-2"/>
          <w:sz w:val="16"/>
        </w:rPr>
        <w:t>discapacidad;</w:t>
      </w:r>
      <w:r>
        <w:rPr>
          <w:spacing w:val="-4"/>
          <w:sz w:val="16"/>
        </w:rPr>
        <w:t xml:space="preserve"> </w:t>
      </w:r>
      <w:r>
        <w:rPr>
          <w:spacing w:val="-2"/>
          <w:sz w:val="16"/>
        </w:rPr>
        <w:t>estatus</w:t>
      </w:r>
      <w:r>
        <w:rPr>
          <w:spacing w:val="-5"/>
          <w:sz w:val="16"/>
        </w:rPr>
        <w:t xml:space="preserve"> </w:t>
      </w:r>
      <w:proofErr w:type="spellStart"/>
      <w:r>
        <w:rPr>
          <w:spacing w:val="-2"/>
          <w:sz w:val="16"/>
        </w:rPr>
        <w:t>economico</w:t>
      </w:r>
      <w:proofErr w:type="spellEnd"/>
      <w:r>
        <w:rPr>
          <w:spacing w:val="-2"/>
          <w:sz w:val="16"/>
        </w:rPr>
        <w:t>;</w:t>
      </w:r>
      <w:r>
        <w:rPr>
          <w:spacing w:val="-4"/>
          <w:sz w:val="16"/>
        </w:rPr>
        <w:t xml:space="preserve"> </w:t>
      </w:r>
      <w:r>
        <w:rPr>
          <w:spacing w:val="-2"/>
          <w:sz w:val="16"/>
        </w:rPr>
        <w:t>etnicidad;</w:t>
      </w:r>
      <w:r>
        <w:rPr>
          <w:spacing w:val="-4"/>
          <w:sz w:val="16"/>
        </w:rPr>
        <w:t xml:space="preserve"> </w:t>
      </w:r>
      <w:r>
        <w:rPr>
          <w:spacing w:val="-2"/>
          <w:sz w:val="16"/>
        </w:rPr>
        <w:t>expresión</w:t>
      </w:r>
      <w:r>
        <w:rPr>
          <w:spacing w:val="-5"/>
          <w:sz w:val="16"/>
        </w:rPr>
        <w:t xml:space="preserve"> </w:t>
      </w:r>
      <w:r>
        <w:rPr>
          <w:spacing w:val="-2"/>
          <w:sz w:val="16"/>
        </w:rPr>
        <w:t>de</w:t>
      </w:r>
      <w:r>
        <w:rPr>
          <w:spacing w:val="-5"/>
          <w:sz w:val="16"/>
        </w:rPr>
        <w:t xml:space="preserve"> </w:t>
      </w:r>
      <w:r>
        <w:rPr>
          <w:spacing w:val="-2"/>
          <w:sz w:val="16"/>
        </w:rPr>
        <w:t>género;</w:t>
      </w:r>
      <w:r>
        <w:rPr>
          <w:spacing w:val="-4"/>
          <w:sz w:val="16"/>
        </w:rPr>
        <w:t xml:space="preserve"> </w:t>
      </w:r>
      <w:r>
        <w:rPr>
          <w:spacing w:val="-2"/>
          <w:sz w:val="16"/>
        </w:rPr>
        <w:t>identidad</w:t>
      </w:r>
      <w:r>
        <w:rPr>
          <w:spacing w:val="-5"/>
          <w:sz w:val="16"/>
        </w:rPr>
        <w:t xml:space="preserve"> </w:t>
      </w:r>
      <w:r>
        <w:rPr>
          <w:spacing w:val="-2"/>
          <w:sz w:val="16"/>
        </w:rPr>
        <w:t>de género;</w:t>
      </w:r>
      <w:r>
        <w:rPr>
          <w:spacing w:val="-3"/>
          <w:sz w:val="16"/>
        </w:rPr>
        <w:t xml:space="preserve"> </w:t>
      </w:r>
      <w:r>
        <w:rPr>
          <w:spacing w:val="-2"/>
          <w:sz w:val="16"/>
        </w:rPr>
        <w:t>predisposición</w:t>
      </w:r>
      <w:r>
        <w:rPr>
          <w:spacing w:val="-3"/>
          <w:sz w:val="16"/>
        </w:rPr>
        <w:t xml:space="preserve"> </w:t>
      </w:r>
      <w:r>
        <w:rPr>
          <w:spacing w:val="-2"/>
          <w:sz w:val="16"/>
        </w:rPr>
        <w:t>genética</w:t>
      </w:r>
      <w:r>
        <w:rPr>
          <w:spacing w:val="-3"/>
          <w:sz w:val="16"/>
        </w:rPr>
        <w:t xml:space="preserve"> </w:t>
      </w:r>
      <w:r>
        <w:rPr>
          <w:spacing w:val="-2"/>
          <w:sz w:val="16"/>
        </w:rPr>
        <w:t>o</w:t>
      </w:r>
      <w:r>
        <w:rPr>
          <w:spacing w:val="-3"/>
          <w:sz w:val="16"/>
        </w:rPr>
        <w:t xml:space="preserve"> </w:t>
      </w:r>
      <w:r>
        <w:rPr>
          <w:spacing w:val="-2"/>
          <w:sz w:val="16"/>
        </w:rPr>
        <w:t>de</w:t>
      </w:r>
      <w:r>
        <w:rPr>
          <w:spacing w:val="-3"/>
          <w:sz w:val="16"/>
        </w:rPr>
        <w:t xml:space="preserve"> </w:t>
      </w:r>
      <w:r>
        <w:rPr>
          <w:spacing w:val="-2"/>
          <w:sz w:val="16"/>
        </w:rPr>
        <w:t>otro</w:t>
      </w:r>
      <w:r>
        <w:rPr>
          <w:spacing w:val="-3"/>
          <w:sz w:val="16"/>
        </w:rPr>
        <w:t xml:space="preserve"> </w:t>
      </w:r>
      <w:r>
        <w:rPr>
          <w:spacing w:val="-2"/>
          <w:sz w:val="16"/>
        </w:rPr>
        <w:t>tipo</w:t>
      </w:r>
      <w:r>
        <w:rPr>
          <w:spacing w:val="-3"/>
          <w:sz w:val="16"/>
        </w:rPr>
        <w:t xml:space="preserve"> </w:t>
      </w:r>
      <w:r>
        <w:rPr>
          <w:spacing w:val="-2"/>
          <w:sz w:val="16"/>
        </w:rPr>
        <w:t>a</w:t>
      </w:r>
      <w:r>
        <w:rPr>
          <w:spacing w:val="-3"/>
          <w:sz w:val="16"/>
        </w:rPr>
        <w:t xml:space="preserve"> </w:t>
      </w:r>
      <w:r>
        <w:rPr>
          <w:spacing w:val="-2"/>
          <w:sz w:val="16"/>
        </w:rPr>
        <w:t>la</w:t>
      </w:r>
      <w:r>
        <w:rPr>
          <w:spacing w:val="-3"/>
          <w:sz w:val="16"/>
        </w:rPr>
        <w:t xml:space="preserve"> </w:t>
      </w:r>
      <w:r>
        <w:rPr>
          <w:spacing w:val="-2"/>
          <w:sz w:val="16"/>
        </w:rPr>
        <w:t>enfermedad;</w:t>
      </w:r>
      <w:r>
        <w:rPr>
          <w:spacing w:val="-3"/>
          <w:sz w:val="16"/>
        </w:rPr>
        <w:t xml:space="preserve"> </w:t>
      </w:r>
      <w:r>
        <w:rPr>
          <w:spacing w:val="-2"/>
          <w:sz w:val="16"/>
        </w:rPr>
        <w:t>Estado</w:t>
      </w:r>
      <w:r>
        <w:rPr>
          <w:spacing w:val="-3"/>
          <w:sz w:val="16"/>
        </w:rPr>
        <w:t xml:space="preserve"> </w:t>
      </w:r>
      <w:r>
        <w:rPr>
          <w:spacing w:val="-2"/>
          <w:sz w:val="16"/>
        </w:rPr>
        <w:t>de</w:t>
      </w:r>
      <w:r>
        <w:rPr>
          <w:spacing w:val="-3"/>
          <w:sz w:val="16"/>
        </w:rPr>
        <w:t xml:space="preserve"> </w:t>
      </w:r>
      <w:r>
        <w:rPr>
          <w:spacing w:val="-2"/>
          <w:sz w:val="16"/>
        </w:rPr>
        <w:t>salud;</w:t>
      </w:r>
      <w:r>
        <w:rPr>
          <w:spacing w:val="-3"/>
          <w:sz w:val="16"/>
        </w:rPr>
        <w:t xml:space="preserve"> </w:t>
      </w:r>
      <w:r>
        <w:rPr>
          <w:spacing w:val="-2"/>
          <w:sz w:val="16"/>
        </w:rPr>
        <w:t>origen</w:t>
      </w:r>
      <w:r>
        <w:rPr>
          <w:spacing w:val="-3"/>
          <w:sz w:val="16"/>
        </w:rPr>
        <w:t xml:space="preserve"> </w:t>
      </w:r>
      <w:r>
        <w:rPr>
          <w:spacing w:val="-2"/>
          <w:sz w:val="16"/>
        </w:rPr>
        <w:t>indígena;</w:t>
      </w:r>
      <w:r>
        <w:rPr>
          <w:spacing w:val="-3"/>
          <w:sz w:val="16"/>
        </w:rPr>
        <w:t xml:space="preserve"> </w:t>
      </w:r>
      <w:r>
        <w:rPr>
          <w:spacing w:val="-2"/>
          <w:sz w:val="16"/>
        </w:rPr>
        <w:t>idioma;</w:t>
      </w:r>
      <w:r>
        <w:rPr>
          <w:spacing w:val="-3"/>
          <w:sz w:val="16"/>
        </w:rPr>
        <w:t xml:space="preserve"> </w:t>
      </w:r>
      <w:r>
        <w:rPr>
          <w:spacing w:val="-2"/>
          <w:sz w:val="16"/>
        </w:rPr>
        <w:t xml:space="preserve">Estado </w:t>
      </w:r>
      <w:r>
        <w:rPr>
          <w:spacing w:val="-4"/>
          <w:sz w:val="16"/>
        </w:rPr>
        <w:t xml:space="preserve">civil; situación de maternidad o paternidad; estatus migratorio; condición de minoría; origen nacional; nacionalidad; </w:t>
      </w:r>
      <w:r>
        <w:rPr>
          <w:sz w:val="16"/>
        </w:rPr>
        <w:t>Lugar de residencia; opinión política o de otro tipo, incluida la condición de defensor de los derechos humanos,</w:t>
      </w:r>
    </w:p>
    <w:p w14:paraId="1953A206" w14:textId="77777777" w:rsidR="0014798C" w:rsidRDefault="004E1F0B">
      <w:pPr>
        <w:pStyle w:val="Textoindependiente"/>
        <w:spacing w:line="326" w:lineRule="auto"/>
        <w:ind w:left="1564" w:right="1272" w:firstLine="1"/>
      </w:pPr>
      <w:r>
        <w:rPr>
          <w:spacing w:val="-4"/>
        </w:rPr>
        <w:t xml:space="preserve">afiliación sindical o afiliación política; el embarazo; propiedad; carrera; estatus de refugiado o asilo; religión o creencia; </w:t>
      </w:r>
      <w:r>
        <w:rPr>
          <w:spacing w:val="-2"/>
        </w:rPr>
        <w:t>sexo y género; características</w:t>
      </w:r>
      <w:r>
        <w:rPr>
          <w:spacing w:val="-3"/>
        </w:rPr>
        <w:t xml:space="preserve"> </w:t>
      </w:r>
      <w:r>
        <w:rPr>
          <w:spacing w:val="-2"/>
        </w:rPr>
        <w:t>sexuales; orientación sexual; origen social; situación social; o cualquier otro estado.</w:t>
      </w:r>
    </w:p>
    <w:p w14:paraId="387B6DA9" w14:textId="77777777" w:rsidR="0014798C" w:rsidRDefault="004E1F0B">
      <w:pPr>
        <w:pStyle w:val="Prrafodelista"/>
        <w:numPr>
          <w:ilvl w:val="2"/>
          <w:numId w:val="85"/>
        </w:numPr>
        <w:tabs>
          <w:tab w:val="left" w:pos="1461"/>
        </w:tabs>
        <w:spacing w:before="110"/>
        <w:ind w:left="1461"/>
        <w:rPr>
          <w:color w:val="0075BF"/>
          <w:sz w:val="16"/>
        </w:rPr>
      </w:pPr>
      <w:r>
        <w:rPr>
          <w:sz w:val="16"/>
        </w:rPr>
        <w:t>También</w:t>
      </w:r>
      <w:r>
        <w:rPr>
          <w:spacing w:val="14"/>
          <w:sz w:val="16"/>
        </w:rPr>
        <w:t xml:space="preserve"> </w:t>
      </w:r>
      <w:r>
        <w:rPr>
          <w:sz w:val="16"/>
        </w:rPr>
        <w:t>debería</w:t>
      </w:r>
      <w:r>
        <w:rPr>
          <w:spacing w:val="14"/>
          <w:sz w:val="16"/>
        </w:rPr>
        <w:t xml:space="preserve"> </w:t>
      </w:r>
      <w:r>
        <w:rPr>
          <w:sz w:val="16"/>
        </w:rPr>
        <w:t>prohibirse</w:t>
      </w:r>
      <w:r>
        <w:rPr>
          <w:spacing w:val="14"/>
          <w:sz w:val="16"/>
        </w:rPr>
        <w:t xml:space="preserve"> </w:t>
      </w:r>
      <w:r>
        <w:rPr>
          <w:sz w:val="16"/>
        </w:rPr>
        <w:t>la</w:t>
      </w:r>
      <w:r>
        <w:rPr>
          <w:spacing w:val="14"/>
          <w:sz w:val="16"/>
        </w:rPr>
        <w:t xml:space="preserve"> </w:t>
      </w:r>
      <w:r>
        <w:rPr>
          <w:sz w:val="16"/>
        </w:rPr>
        <w:t>discriminación</w:t>
      </w:r>
      <w:r>
        <w:rPr>
          <w:spacing w:val="14"/>
          <w:sz w:val="16"/>
        </w:rPr>
        <w:t xml:space="preserve"> </w:t>
      </w:r>
      <w:r>
        <w:rPr>
          <w:sz w:val="16"/>
        </w:rPr>
        <w:t>basada</w:t>
      </w:r>
      <w:r>
        <w:rPr>
          <w:spacing w:val="14"/>
          <w:sz w:val="16"/>
        </w:rPr>
        <w:t xml:space="preserve"> </w:t>
      </w:r>
      <w:r>
        <w:rPr>
          <w:sz w:val="16"/>
        </w:rPr>
        <w:t>en</w:t>
      </w:r>
      <w:r>
        <w:rPr>
          <w:spacing w:val="15"/>
          <w:sz w:val="16"/>
        </w:rPr>
        <w:t xml:space="preserve"> </w:t>
      </w:r>
      <w:r>
        <w:rPr>
          <w:sz w:val="16"/>
        </w:rPr>
        <w:t>características</w:t>
      </w:r>
      <w:r>
        <w:rPr>
          <w:spacing w:val="12"/>
          <w:sz w:val="16"/>
        </w:rPr>
        <w:t xml:space="preserve"> </w:t>
      </w:r>
      <w:r>
        <w:rPr>
          <w:sz w:val="16"/>
        </w:rPr>
        <w:t>adicionales</w:t>
      </w:r>
      <w:r>
        <w:rPr>
          <w:spacing w:val="15"/>
          <w:sz w:val="16"/>
        </w:rPr>
        <w:t xml:space="preserve"> </w:t>
      </w:r>
      <w:r>
        <w:rPr>
          <w:sz w:val="16"/>
        </w:rPr>
        <w:t>que</w:t>
      </w:r>
      <w:r>
        <w:rPr>
          <w:spacing w:val="14"/>
          <w:sz w:val="16"/>
        </w:rPr>
        <w:t xml:space="preserve"> </w:t>
      </w:r>
      <w:r>
        <w:rPr>
          <w:spacing w:val="-2"/>
          <w:sz w:val="16"/>
        </w:rPr>
        <w:t>requieran</w:t>
      </w:r>
    </w:p>
    <w:p w14:paraId="722AD00C" w14:textId="77777777" w:rsidR="0014798C" w:rsidRDefault="004E1F0B">
      <w:pPr>
        <w:spacing w:before="94"/>
        <w:ind w:left="1559"/>
        <w:rPr>
          <w:sz w:val="13"/>
        </w:rPr>
      </w:pPr>
      <w:r>
        <w:rPr>
          <w:w w:val="105"/>
          <w:sz w:val="13"/>
        </w:rPr>
        <w:t>protección</w:t>
      </w:r>
      <w:r>
        <w:rPr>
          <w:spacing w:val="-10"/>
          <w:w w:val="105"/>
          <w:sz w:val="13"/>
        </w:rPr>
        <w:t xml:space="preserve"> </w:t>
      </w:r>
      <w:r>
        <w:rPr>
          <w:w w:val="105"/>
          <w:sz w:val="13"/>
        </w:rPr>
        <w:t>en</w:t>
      </w:r>
      <w:r>
        <w:rPr>
          <w:spacing w:val="-9"/>
          <w:w w:val="105"/>
          <w:sz w:val="13"/>
        </w:rPr>
        <w:t xml:space="preserve"> </w:t>
      </w:r>
      <w:r>
        <w:rPr>
          <w:w w:val="105"/>
          <w:sz w:val="13"/>
        </w:rPr>
        <w:t>una</w:t>
      </w:r>
      <w:r>
        <w:rPr>
          <w:spacing w:val="-9"/>
          <w:w w:val="105"/>
          <w:sz w:val="13"/>
        </w:rPr>
        <w:t xml:space="preserve"> </w:t>
      </w:r>
      <w:r>
        <w:rPr>
          <w:w w:val="105"/>
          <w:sz w:val="13"/>
        </w:rPr>
        <w:t>sociedad</w:t>
      </w:r>
      <w:r>
        <w:rPr>
          <w:spacing w:val="-10"/>
          <w:w w:val="105"/>
          <w:sz w:val="13"/>
        </w:rPr>
        <w:t xml:space="preserve"> </w:t>
      </w:r>
      <w:r>
        <w:rPr>
          <w:spacing w:val="-2"/>
          <w:w w:val="105"/>
          <w:sz w:val="13"/>
        </w:rPr>
        <w:t>determinada.</w:t>
      </w:r>
    </w:p>
    <w:p w14:paraId="6F7C4C86" w14:textId="77777777" w:rsidR="0014798C" w:rsidRDefault="0014798C">
      <w:pPr>
        <w:pStyle w:val="Textoindependiente"/>
        <w:spacing w:before="35"/>
        <w:rPr>
          <w:sz w:val="13"/>
        </w:rPr>
      </w:pPr>
    </w:p>
    <w:p w14:paraId="0E90ADBD" w14:textId="77777777" w:rsidR="0014798C" w:rsidRDefault="004E1F0B">
      <w:pPr>
        <w:pStyle w:val="Prrafodelista"/>
        <w:numPr>
          <w:ilvl w:val="2"/>
          <w:numId w:val="85"/>
        </w:numPr>
        <w:tabs>
          <w:tab w:val="left" w:pos="1460"/>
          <w:tab w:val="left" w:pos="1560"/>
        </w:tabs>
        <w:spacing w:before="1" w:line="326" w:lineRule="auto"/>
        <w:ind w:left="1560" w:right="1928" w:hanging="203"/>
        <w:rPr>
          <w:color w:val="0075BF"/>
          <w:sz w:val="16"/>
        </w:rPr>
      </w:pPr>
      <w:r>
        <w:rPr>
          <w:w w:val="105"/>
          <w:sz w:val="16"/>
        </w:rPr>
        <w:t>La</w:t>
      </w:r>
      <w:r>
        <w:rPr>
          <w:spacing w:val="-10"/>
          <w:w w:val="105"/>
          <w:sz w:val="16"/>
        </w:rPr>
        <w:t xml:space="preserve"> </w:t>
      </w:r>
      <w:r>
        <w:rPr>
          <w:w w:val="105"/>
          <w:sz w:val="16"/>
        </w:rPr>
        <w:t>legislación</w:t>
      </w:r>
      <w:r>
        <w:rPr>
          <w:spacing w:val="-10"/>
          <w:w w:val="105"/>
          <w:sz w:val="16"/>
        </w:rPr>
        <w:t xml:space="preserve"> </w:t>
      </w:r>
      <w:r>
        <w:rPr>
          <w:w w:val="105"/>
          <w:sz w:val="16"/>
        </w:rPr>
        <w:t>contra</w:t>
      </w:r>
      <w:r>
        <w:rPr>
          <w:spacing w:val="-10"/>
          <w:w w:val="105"/>
          <w:sz w:val="16"/>
        </w:rPr>
        <w:t xml:space="preserve"> </w:t>
      </w:r>
      <w:r>
        <w:rPr>
          <w:w w:val="105"/>
          <w:sz w:val="16"/>
        </w:rPr>
        <w:t>la</w:t>
      </w:r>
      <w:r>
        <w:rPr>
          <w:spacing w:val="-10"/>
          <w:w w:val="105"/>
          <w:sz w:val="16"/>
        </w:rPr>
        <w:t xml:space="preserve"> </w:t>
      </w:r>
      <w:r>
        <w:rPr>
          <w:w w:val="105"/>
          <w:sz w:val="16"/>
        </w:rPr>
        <w:t>discriminación</w:t>
      </w:r>
      <w:r>
        <w:rPr>
          <w:spacing w:val="-10"/>
          <w:w w:val="105"/>
          <w:sz w:val="16"/>
        </w:rPr>
        <w:t xml:space="preserve"> </w:t>
      </w:r>
      <w:r>
        <w:rPr>
          <w:w w:val="105"/>
          <w:sz w:val="16"/>
        </w:rPr>
        <w:t>debería</w:t>
      </w:r>
      <w:r>
        <w:rPr>
          <w:spacing w:val="-10"/>
          <w:w w:val="105"/>
          <w:sz w:val="16"/>
        </w:rPr>
        <w:t xml:space="preserve"> </w:t>
      </w:r>
      <w:r>
        <w:rPr>
          <w:w w:val="105"/>
          <w:sz w:val="16"/>
        </w:rPr>
        <w:t>permitir</w:t>
      </w:r>
      <w:r>
        <w:rPr>
          <w:spacing w:val="-10"/>
          <w:w w:val="105"/>
          <w:sz w:val="16"/>
        </w:rPr>
        <w:t xml:space="preserve"> </w:t>
      </w:r>
      <w:r>
        <w:rPr>
          <w:w w:val="105"/>
          <w:sz w:val="16"/>
        </w:rPr>
        <w:t>la</w:t>
      </w:r>
      <w:r>
        <w:rPr>
          <w:spacing w:val="-10"/>
          <w:w w:val="105"/>
          <w:sz w:val="16"/>
        </w:rPr>
        <w:t xml:space="preserve"> </w:t>
      </w:r>
      <w:r>
        <w:rPr>
          <w:w w:val="105"/>
          <w:sz w:val="16"/>
        </w:rPr>
        <w:t>inclusión</w:t>
      </w:r>
      <w:r>
        <w:rPr>
          <w:spacing w:val="-10"/>
          <w:w w:val="105"/>
          <w:sz w:val="16"/>
        </w:rPr>
        <w:t xml:space="preserve"> </w:t>
      </w:r>
      <w:r>
        <w:rPr>
          <w:w w:val="105"/>
          <w:sz w:val="16"/>
        </w:rPr>
        <w:t>de</w:t>
      </w:r>
      <w:r>
        <w:rPr>
          <w:spacing w:val="-10"/>
          <w:w w:val="105"/>
          <w:sz w:val="16"/>
        </w:rPr>
        <w:t xml:space="preserve"> </w:t>
      </w:r>
      <w:r>
        <w:rPr>
          <w:w w:val="105"/>
          <w:sz w:val="16"/>
        </w:rPr>
        <w:t>motivos</w:t>
      </w:r>
      <w:r>
        <w:rPr>
          <w:spacing w:val="-10"/>
          <w:w w:val="105"/>
          <w:sz w:val="16"/>
        </w:rPr>
        <w:t xml:space="preserve"> </w:t>
      </w:r>
      <w:r>
        <w:rPr>
          <w:w w:val="105"/>
          <w:sz w:val="16"/>
        </w:rPr>
        <w:t>de</w:t>
      </w:r>
      <w:r>
        <w:rPr>
          <w:spacing w:val="-10"/>
          <w:w w:val="105"/>
          <w:sz w:val="16"/>
        </w:rPr>
        <w:t xml:space="preserve"> </w:t>
      </w:r>
      <w:r>
        <w:rPr>
          <w:w w:val="105"/>
          <w:sz w:val="16"/>
        </w:rPr>
        <w:t>discriminación</w:t>
      </w:r>
      <w:r>
        <w:rPr>
          <w:spacing w:val="-10"/>
          <w:w w:val="105"/>
          <w:sz w:val="16"/>
        </w:rPr>
        <w:t xml:space="preserve"> </w:t>
      </w:r>
      <w:r>
        <w:rPr>
          <w:w w:val="105"/>
          <w:sz w:val="16"/>
        </w:rPr>
        <w:t>adicionales</w:t>
      </w:r>
      <w:r>
        <w:rPr>
          <w:spacing w:val="-10"/>
          <w:w w:val="105"/>
          <w:sz w:val="16"/>
        </w:rPr>
        <w:t xml:space="preserve"> </w:t>
      </w:r>
      <w:r>
        <w:rPr>
          <w:w w:val="105"/>
          <w:sz w:val="16"/>
        </w:rPr>
        <w:t>a</w:t>
      </w:r>
      <w:r>
        <w:rPr>
          <w:spacing w:val="-10"/>
          <w:w w:val="105"/>
          <w:sz w:val="16"/>
        </w:rPr>
        <w:t xml:space="preserve"> </w:t>
      </w:r>
      <w:r>
        <w:rPr>
          <w:w w:val="105"/>
          <w:sz w:val="16"/>
        </w:rPr>
        <w:t>los enumerados</w:t>
      </w:r>
      <w:r>
        <w:rPr>
          <w:spacing w:val="-12"/>
          <w:w w:val="105"/>
          <w:sz w:val="16"/>
        </w:rPr>
        <w:t xml:space="preserve"> </w:t>
      </w:r>
      <w:r>
        <w:rPr>
          <w:w w:val="105"/>
          <w:sz w:val="16"/>
        </w:rPr>
        <w:t>explícitamente,</w:t>
      </w:r>
      <w:r>
        <w:rPr>
          <w:spacing w:val="-12"/>
          <w:w w:val="105"/>
          <w:sz w:val="16"/>
        </w:rPr>
        <w:t xml:space="preserve"> </w:t>
      </w:r>
      <w:r>
        <w:rPr>
          <w:w w:val="105"/>
          <w:sz w:val="16"/>
        </w:rPr>
        <w:t>prohibiendo</w:t>
      </w:r>
      <w:r>
        <w:rPr>
          <w:spacing w:val="-11"/>
          <w:w w:val="105"/>
          <w:sz w:val="16"/>
        </w:rPr>
        <w:t xml:space="preserve"> </w:t>
      </w:r>
      <w:r>
        <w:rPr>
          <w:w w:val="105"/>
          <w:sz w:val="16"/>
        </w:rPr>
        <w:t>la</w:t>
      </w:r>
      <w:r>
        <w:rPr>
          <w:spacing w:val="-12"/>
          <w:w w:val="105"/>
          <w:sz w:val="16"/>
        </w:rPr>
        <w:t xml:space="preserve"> </w:t>
      </w:r>
      <w:r>
        <w:rPr>
          <w:w w:val="105"/>
          <w:sz w:val="16"/>
        </w:rPr>
        <w:t>discriminación</w:t>
      </w:r>
      <w:r>
        <w:rPr>
          <w:spacing w:val="-12"/>
          <w:w w:val="105"/>
          <w:sz w:val="16"/>
        </w:rPr>
        <w:t xml:space="preserve"> </w:t>
      </w:r>
      <w:r>
        <w:rPr>
          <w:w w:val="105"/>
          <w:sz w:val="16"/>
        </w:rPr>
        <w:t>que</w:t>
      </w:r>
      <w:r>
        <w:rPr>
          <w:spacing w:val="-12"/>
          <w:w w:val="105"/>
          <w:sz w:val="16"/>
        </w:rPr>
        <w:t xml:space="preserve"> </w:t>
      </w:r>
      <w:r>
        <w:rPr>
          <w:w w:val="105"/>
          <w:sz w:val="16"/>
        </w:rPr>
        <w:t>surja</w:t>
      </w:r>
      <w:r>
        <w:rPr>
          <w:spacing w:val="-11"/>
          <w:w w:val="105"/>
          <w:sz w:val="16"/>
        </w:rPr>
        <w:t xml:space="preserve"> </w:t>
      </w:r>
      <w:r>
        <w:rPr>
          <w:w w:val="105"/>
          <w:sz w:val="16"/>
        </w:rPr>
        <w:t>sobre</w:t>
      </w:r>
      <w:r>
        <w:rPr>
          <w:spacing w:val="-12"/>
          <w:w w:val="105"/>
          <w:sz w:val="16"/>
        </w:rPr>
        <w:t xml:space="preserve"> </w:t>
      </w:r>
      <w:r>
        <w:rPr>
          <w:w w:val="105"/>
          <w:sz w:val="16"/>
        </w:rPr>
        <w:t>la</w:t>
      </w:r>
      <w:r>
        <w:rPr>
          <w:spacing w:val="-12"/>
          <w:w w:val="105"/>
          <w:sz w:val="16"/>
        </w:rPr>
        <w:t xml:space="preserve"> </w:t>
      </w:r>
      <w:r>
        <w:rPr>
          <w:w w:val="105"/>
          <w:sz w:val="16"/>
        </w:rPr>
        <w:t>base</w:t>
      </w:r>
      <w:r>
        <w:rPr>
          <w:spacing w:val="-11"/>
          <w:w w:val="105"/>
          <w:sz w:val="16"/>
        </w:rPr>
        <w:t xml:space="preserve"> </w:t>
      </w:r>
      <w:r>
        <w:rPr>
          <w:w w:val="105"/>
          <w:sz w:val="16"/>
        </w:rPr>
        <w:t>de</w:t>
      </w:r>
      <w:r>
        <w:rPr>
          <w:spacing w:val="-12"/>
          <w:w w:val="105"/>
          <w:sz w:val="16"/>
        </w:rPr>
        <w:t xml:space="preserve"> </w:t>
      </w:r>
      <w:r>
        <w:rPr>
          <w:w w:val="105"/>
          <w:sz w:val="16"/>
        </w:rPr>
        <w:t>“cualquier</w:t>
      </w:r>
      <w:r>
        <w:rPr>
          <w:spacing w:val="-12"/>
          <w:w w:val="105"/>
          <w:sz w:val="16"/>
        </w:rPr>
        <w:t xml:space="preserve"> </w:t>
      </w:r>
      <w:r>
        <w:rPr>
          <w:w w:val="105"/>
          <w:sz w:val="16"/>
        </w:rPr>
        <w:t>otra</w:t>
      </w:r>
      <w:r>
        <w:rPr>
          <w:spacing w:val="-11"/>
          <w:w w:val="105"/>
          <w:sz w:val="16"/>
        </w:rPr>
        <w:t xml:space="preserve"> </w:t>
      </w:r>
      <w:r>
        <w:rPr>
          <w:w w:val="105"/>
          <w:sz w:val="16"/>
        </w:rPr>
        <w:t>condición”.</w:t>
      </w:r>
    </w:p>
    <w:p w14:paraId="5F65E547" w14:textId="77777777" w:rsidR="0014798C" w:rsidRDefault="0014798C">
      <w:pPr>
        <w:pStyle w:val="Textoindependiente"/>
      </w:pPr>
    </w:p>
    <w:p w14:paraId="6319C8C8" w14:textId="77777777" w:rsidR="0014798C" w:rsidRDefault="0014798C">
      <w:pPr>
        <w:pStyle w:val="Textoindependiente"/>
        <w:spacing w:before="140"/>
      </w:pPr>
    </w:p>
    <w:p w14:paraId="6F388163" w14:textId="77777777" w:rsidR="0014798C" w:rsidRDefault="004E1F0B">
      <w:pPr>
        <w:pStyle w:val="Textoindependiente"/>
        <w:spacing w:line="326" w:lineRule="auto"/>
        <w:ind w:left="1107" w:right="1335" w:firstLine="5"/>
      </w:pPr>
      <w:r>
        <w:rPr>
          <w:w w:val="105"/>
        </w:rPr>
        <w:t>Desde</w:t>
      </w:r>
      <w:r>
        <w:rPr>
          <w:spacing w:val="-4"/>
          <w:w w:val="105"/>
        </w:rPr>
        <w:t xml:space="preserve"> </w:t>
      </w:r>
      <w:r>
        <w:rPr>
          <w:w w:val="105"/>
        </w:rPr>
        <w:t>la</w:t>
      </w:r>
      <w:r>
        <w:rPr>
          <w:spacing w:val="-4"/>
          <w:w w:val="105"/>
        </w:rPr>
        <w:t xml:space="preserve"> </w:t>
      </w:r>
      <w:r>
        <w:rPr>
          <w:w w:val="105"/>
        </w:rPr>
        <w:t>adopción</w:t>
      </w:r>
      <w:r>
        <w:rPr>
          <w:spacing w:val="-4"/>
          <w:w w:val="105"/>
        </w:rPr>
        <w:t xml:space="preserve"> </w:t>
      </w:r>
      <w:r>
        <w:rPr>
          <w:w w:val="105"/>
        </w:rPr>
        <w:t>de</w:t>
      </w:r>
      <w:r>
        <w:rPr>
          <w:spacing w:val="-4"/>
          <w:w w:val="105"/>
        </w:rPr>
        <w:t xml:space="preserve"> </w:t>
      </w:r>
      <w:r>
        <w:rPr>
          <w:w w:val="105"/>
        </w:rPr>
        <w:t>la</w:t>
      </w:r>
      <w:r>
        <w:rPr>
          <w:spacing w:val="-4"/>
          <w:w w:val="105"/>
        </w:rPr>
        <w:t xml:space="preserve"> </w:t>
      </w:r>
      <w:r>
        <w:rPr>
          <w:w w:val="105"/>
        </w:rPr>
        <w:t>Declaración</w:t>
      </w:r>
      <w:r>
        <w:rPr>
          <w:spacing w:val="-4"/>
          <w:w w:val="105"/>
        </w:rPr>
        <w:t xml:space="preserve"> </w:t>
      </w:r>
      <w:r>
        <w:rPr>
          <w:w w:val="105"/>
        </w:rPr>
        <w:t>Universal</w:t>
      </w:r>
      <w:r>
        <w:rPr>
          <w:spacing w:val="-4"/>
          <w:w w:val="105"/>
        </w:rPr>
        <w:t xml:space="preserve"> </w:t>
      </w:r>
      <w:r>
        <w:rPr>
          <w:w w:val="105"/>
        </w:rPr>
        <w:t>de</w:t>
      </w:r>
      <w:r>
        <w:rPr>
          <w:spacing w:val="-4"/>
          <w:w w:val="105"/>
        </w:rPr>
        <w:t xml:space="preserve"> </w:t>
      </w:r>
      <w:r>
        <w:rPr>
          <w:w w:val="105"/>
        </w:rPr>
        <w:t>Derechos</w:t>
      </w:r>
      <w:r>
        <w:rPr>
          <w:spacing w:val="-4"/>
          <w:w w:val="105"/>
        </w:rPr>
        <w:t xml:space="preserve"> </w:t>
      </w:r>
      <w:r>
        <w:rPr>
          <w:w w:val="105"/>
        </w:rPr>
        <w:t>Humanos</w:t>
      </w:r>
      <w:r>
        <w:rPr>
          <w:spacing w:val="-4"/>
          <w:w w:val="105"/>
        </w:rPr>
        <w:t xml:space="preserve"> </w:t>
      </w:r>
      <w:r>
        <w:rPr>
          <w:w w:val="105"/>
        </w:rPr>
        <w:t>en</w:t>
      </w:r>
      <w:r>
        <w:rPr>
          <w:spacing w:val="-4"/>
          <w:w w:val="105"/>
        </w:rPr>
        <w:t xml:space="preserve"> </w:t>
      </w:r>
      <w:r>
        <w:rPr>
          <w:w w:val="105"/>
        </w:rPr>
        <w:t>1948,</w:t>
      </w:r>
      <w:r>
        <w:rPr>
          <w:spacing w:val="-4"/>
          <w:w w:val="105"/>
        </w:rPr>
        <w:t xml:space="preserve"> </w:t>
      </w:r>
      <w:r>
        <w:rPr>
          <w:w w:val="105"/>
        </w:rPr>
        <w:t>ha</w:t>
      </w:r>
      <w:r>
        <w:rPr>
          <w:spacing w:val="-4"/>
          <w:w w:val="105"/>
        </w:rPr>
        <w:t xml:space="preserve"> </w:t>
      </w:r>
      <w:r>
        <w:rPr>
          <w:w w:val="105"/>
        </w:rPr>
        <w:t>evolucionado</w:t>
      </w:r>
      <w:r>
        <w:rPr>
          <w:spacing w:val="-4"/>
          <w:w w:val="105"/>
        </w:rPr>
        <w:t xml:space="preserve"> </w:t>
      </w:r>
      <w:r>
        <w:rPr>
          <w:w w:val="105"/>
        </w:rPr>
        <w:t>la</w:t>
      </w:r>
      <w:r>
        <w:rPr>
          <w:spacing w:val="-4"/>
          <w:w w:val="105"/>
        </w:rPr>
        <w:t xml:space="preserve"> </w:t>
      </w:r>
      <w:r>
        <w:rPr>
          <w:w w:val="105"/>
        </w:rPr>
        <w:t>comprensión</w:t>
      </w:r>
      <w:r>
        <w:rPr>
          <w:spacing w:val="-4"/>
          <w:w w:val="105"/>
        </w:rPr>
        <w:t xml:space="preserve"> </w:t>
      </w:r>
      <w:r>
        <w:rPr>
          <w:w w:val="105"/>
        </w:rPr>
        <w:t>de</w:t>
      </w:r>
      <w:r>
        <w:rPr>
          <w:spacing w:val="-4"/>
          <w:w w:val="105"/>
        </w:rPr>
        <w:t xml:space="preserve"> </w:t>
      </w:r>
      <w:r>
        <w:rPr>
          <w:w w:val="105"/>
        </w:rPr>
        <w:t>los motivos</w:t>
      </w:r>
      <w:r>
        <w:rPr>
          <w:spacing w:val="-2"/>
          <w:w w:val="105"/>
        </w:rPr>
        <w:t xml:space="preserve"> </w:t>
      </w:r>
      <w:r>
        <w:rPr>
          <w:w w:val="105"/>
        </w:rPr>
        <w:t>por</w:t>
      </w:r>
      <w:r>
        <w:rPr>
          <w:spacing w:val="-2"/>
          <w:w w:val="105"/>
        </w:rPr>
        <w:t xml:space="preserve"> </w:t>
      </w:r>
      <w:r>
        <w:rPr>
          <w:w w:val="105"/>
        </w:rPr>
        <w:t>los</w:t>
      </w:r>
      <w:r>
        <w:rPr>
          <w:spacing w:val="-2"/>
          <w:w w:val="105"/>
        </w:rPr>
        <w:t xml:space="preserve"> </w:t>
      </w:r>
      <w:r>
        <w:rPr>
          <w:w w:val="105"/>
        </w:rPr>
        <w:t>que</w:t>
      </w:r>
      <w:r>
        <w:rPr>
          <w:spacing w:val="-2"/>
          <w:w w:val="105"/>
        </w:rPr>
        <w:t xml:space="preserve"> </w:t>
      </w:r>
      <w:r>
        <w:rPr>
          <w:w w:val="105"/>
        </w:rPr>
        <w:t>se</w:t>
      </w:r>
      <w:r>
        <w:rPr>
          <w:spacing w:val="-2"/>
          <w:w w:val="105"/>
        </w:rPr>
        <w:t xml:space="preserve"> </w:t>
      </w:r>
      <w:r>
        <w:rPr>
          <w:w w:val="105"/>
        </w:rPr>
        <w:t>debe</w:t>
      </w:r>
      <w:r>
        <w:rPr>
          <w:spacing w:val="-2"/>
          <w:w w:val="105"/>
        </w:rPr>
        <w:t xml:space="preserve"> </w:t>
      </w:r>
      <w:r>
        <w:rPr>
          <w:w w:val="105"/>
        </w:rPr>
        <w:t>prohibir</w:t>
      </w:r>
      <w:r>
        <w:rPr>
          <w:spacing w:val="-2"/>
          <w:w w:val="105"/>
        </w:rPr>
        <w:t xml:space="preserve"> </w:t>
      </w:r>
      <w:r>
        <w:rPr>
          <w:w w:val="105"/>
        </w:rPr>
        <w:t>la</w:t>
      </w:r>
      <w:r>
        <w:rPr>
          <w:spacing w:val="-2"/>
          <w:w w:val="105"/>
        </w:rPr>
        <w:t xml:space="preserve"> </w:t>
      </w:r>
      <w:r>
        <w:rPr>
          <w:w w:val="105"/>
        </w:rPr>
        <w:t>discriminación.</w:t>
      </w:r>
      <w:r>
        <w:rPr>
          <w:spacing w:val="-1"/>
          <w:w w:val="105"/>
        </w:rPr>
        <w:t xml:space="preserve"> </w:t>
      </w:r>
      <w:r>
        <w:rPr>
          <w:w w:val="105"/>
        </w:rPr>
        <w:t>En</w:t>
      </w:r>
      <w:r>
        <w:rPr>
          <w:spacing w:val="-2"/>
          <w:w w:val="105"/>
        </w:rPr>
        <w:t xml:space="preserve"> </w:t>
      </w:r>
      <w:r>
        <w:rPr>
          <w:w w:val="105"/>
        </w:rPr>
        <w:t>particular,</w:t>
      </w:r>
      <w:r>
        <w:rPr>
          <w:spacing w:val="-1"/>
          <w:w w:val="105"/>
        </w:rPr>
        <w:t xml:space="preserve"> </w:t>
      </w:r>
      <w:r>
        <w:rPr>
          <w:w w:val="105"/>
        </w:rPr>
        <w:t>los</w:t>
      </w:r>
      <w:r>
        <w:rPr>
          <w:spacing w:val="-2"/>
          <w:w w:val="105"/>
        </w:rPr>
        <w:t xml:space="preserve"> </w:t>
      </w:r>
      <w:r>
        <w:rPr>
          <w:w w:val="105"/>
        </w:rPr>
        <w:t>Estados</w:t>
      </w:r>
      <w:r>
        <w:rPr>
          <w:spacing w:val="-2"/>
          <w:w w:val="105"/>
        </w:rPr>
        <w:t xml:space="preserve"> </w:t>
      </w:r>
      <w:r>
        <w:rPr>
          <w:w w:val="105"/>
        </w:rPr>
        <w:t>y</w:t>
      </w:r>
      <w:r>
        <w:rPr>
          <w:spacing w:val="-2"/>
          <w:w w:val="105"/>
        </w:rPr>
        <w:t xml:space="preserve"> </w:t>
      </w:r>
      <w:r>
        <w:rPr>
          <w:w w:val="105"/>
        </w:rPr>
        <w:t>los</w:t>
      </w:r>
      <w:r>
        <w:rPr>
          <w:spacing w:val="-2"/>
          <w:w w:val="105"/>
        </w:rPr>
        <w:t xml:space="preserve"> </w:t>
      </w:r>
      <w:r>
        <w:rPr>
          <w:w w:val="105"/>
        </w:rPr>
        <w:t>organismos</w:t>
      </w:r>
      <w:r>
        <w:rPr>
          <w:spacing w:val="-2"/>
          <w:w w:val="105"/>
        </w:rPr>
        <w:t xml:space="preserve"> </w:t>
      </w:r>
      <w:r>
        <w:rPr>
          <w:w w:val="105"/>
        </w:rPr>
        <w:t>internacionales</w:t>
      </w:r>
      <w:r>
        <w:rPr>
          <w:spacing w:val="-2"/>
          <w:w w:val="105"/>
        </w:rPr>
        <w:t xml:space="preserve"> </w:t>
      </w:r>
      <w:r>
        <w:rPr>
          <w:w w:val="105"/>
        </w:rPr>
        <w:t>han reconocido</w:t>
      </w:r>
      <w:r>
        <w:rPr>
          <w:spacing w:val="-10"/>
          <w:w w:val="105"/>
        </w:rPr>
        <w:t xml:space="preserve"> </w:t>
      </w:r>
      <w:r>
        <w:rPr>
          <w:w w:val="105"/>
        </w:rPr>
        <w:t>que</w:t>
      </w:r>
      <w:r>
        <w:rPr>
          <w:spacing w:val="-10"/>
          <w:w w:val="105"/>
        </w:rPr>
        <w:t xml:space="preserve"> </w:t>
      </w:r>
      <w:r>
        <w:rPr>
          <w:w w:val="105"/>
        </w:rPr>
        <w:t>la</w:t>
      </w:r>
      <w:r>
        <w:rPr>
          <w:spacing w:val="-10"/>
          <w:w w:val="105"/>
        </w:rPr>
        <w:t xml:space="preserve"> </w:t>
      </w:r>
      <w:r>
        <w:rPr>
          <w:w w:val="105"/>
        </w:rPr>
        <w:t>prohibición</w:t>
      </w:r>
      <w:r>
        <w:rPr>
          <w:spacing w:val="-10"/>
          <w:w w:val="105"/>
        </w:rPr>
        <w:t xml:space="preserve"> </w:t>
      </w:r>
      <w:r>
        <w:rPr>
          <w:w w:val="105"/>
        </w:rPr>
        <w:t>de</w:t>
      </w:r>
      <w:r>
        <w:rPr>
          <w:spacing w:val="-10"/>
          <w:w w:val="105"/>
        </w:rPr>
        <w:t xml:space="preserve"> </w:t>
      </w:r>
      <w:r>
        <w:rPr>
          <w:w w:val="105"/>
        </w:rPr>
        <w:t>la</w:t>
      </w:r>
      <w:r>
        <w:rPr>
          <w:spacing w:val="-10"/>
          <w:w w:val="105"/>
        </w:rPr>
        <w:t xml:space="preserve"> </w:t>
      </w:r>
      <w:r>
        <w:rPr>
          <w:w w:val="105"/>
        </w:rPr>
        <w:t>discriminación</w:t>
      </w:r>
      <w:r>
        <w:rPr>
          <w:spacing w:val="-10"/>
          <w:w w:val="105"/>
        </w:rPr>
        <w:t xml:space="preserve"> </w:t>
      </w:r>
      <w:r>
        <w:rPr>
          <w:w w:val="105"/>
        </w:rPr>
        <w:t>por</w:t>
      </w:r>
      <w:r>
        <w:rPr>
          <w:spacing w:val="-10"/>
          <w:w w:val="105"/>
        </w:rPr>
        <w:t xml:space="preserve"> </w:t>
      </w:r>
      <w:r>
        <w:rPr>
          <w:w w:val="105"/>
        </w:rPr>
        <w:t>“cualquier</w:t>
      </w:r>
      <w:r>
        <w:rPr>
          <w:spacing w:val="-10"/>
          <w:w w:val="105"/>
        </w:rPr>
        <w:t xml:space="preserve"> </w:t>
      </w:r>
      <w:r>
        <w:rPr>
          <w:w w:val="105"/>
        </w:rPr>
        <w:t>otro</w:t>
      </w:r>
      <w:r>
        <w:rPr>
          <w:spacing w:val="-10"/>
          <w:w w:val="105"/>
        </w:rPr>
        <w:t xml:space="preserve"> </w:t>
      </w:r>
      <w:r>
        <w:rPr>
          <w:w w:val="105"/>
        </w:rPr>
        <w:t>motivo”</w:t>
      </w:r>
      <w:r>
        <w:rPr>
          <w:spacing w:val="-10"/>
          <w:w w:val="105"/>
        </w:rPr>
        <w:t xml:space="preserve"> </w:t>
      </w:r>
      <w:r>
        <w:rPr>
          <w:w w:val="105"/>
        </w:rPr>
        <w:t>incluye</w:t>
      </w:r>
      <w:r>
        <w:rPr>
          <w:spacing w:val="-10"/>
          <w:w w:val="105"/>
        </w:rPr>
        <w:t xml:space="preserve"> </w:t>
      </w:r>
      <w:r>
        <w:rPr>
          <w:w w:val="105"/>
        </w:rPr>
        <w:t>una</w:t>
      </w:r>
      <w:r>
        <w:rPr>
          <w:spacing w:val="-10"/>
          <w:w w:val="105"/>
        </w:rPr>
        <w:t xml:space="preserve"> </w:t>
      </w:r>
      <w:r>
        <w:rPr>
          <w:w w:val="105"/>
        </w:rPr>
        <w:t>amplia</w:t>
      </w:r>
      <w:r>
        <w:rPr>
          <w:spacing w:val="-10"/>
          <w:w w:val="105"/>
        </w:rPr>
        <w:t xml:space="preserve"> </w:t>
      </w:r>
      <w:r>
        <w:rPr>
          <w:w w:val="105"/>
        </w:rPr>
        <w:t>gama</w:t>
      </w:r>
      <w:r>
        <w:rPr>
          <w:spacing w:val="-10"/>
          <w:w w:val="105"/>
        </w:rPr>
        <w:t xml:space="preserve"> </w:t>
      </w:r>
      <w:r>
        <w:rPr>
          <w:w w:val="105"/>
        </w:rPr>
        <w:t>de</w:t>
      </w:r>
      <w:r>
        <w:rPr>
          <w:spacing w:val="-10"/>
          <w:w w:val="105"/>
        </w:rPr>
        <w:t xml:space="preserve"> </w:t>
      </w:r>
      <w:r>
        <w:rPr>
          <w:w w:val="105"/>
        </w:rPr>
        <w:t>características</w:t>
      </w:r>
      <w:r>
        <w:rPr>
          <w:spacing w:val="-11"/>
          <w:w w:val="105"/>
        </w:rPr>
        <w:t xml:space="preserve"> </w:t>
      </w:r>
      <w:r>
        <w:rPr>
          <w:w w:val="105"/>
        </w:rPr>
        <w:t>que no</w:t>
      </w:r>
      <w:r>
        <w:rPr>
          <w:spacing w:val="-8"/>
          <w:w w:val="105"/>
        </w:rPr>
        <w:t xml:space="preserve"> </w:t>
      </w:r>
      <w:r>
        <w:rPr>
          <w:w w:val="105"/>
        </w:rPr>
        <w:t>se</w:t>
      </w:r>
      <w:r>
        <w:rPr>
          <w:spacing w:val="-8"/>
          <w:w w:val="105"/>
        </w:rPr>
        <w:t xml:space="preserve"> </w:t>
      </w:r>
      <w:r>
        <w:rPr>
          <w:w w:val="105"/>
        </w:rPr>
        <w:t>enumeran</w:t>
      </w:r>
      <w:r>
        <w:rPr>
          <w:spacing w:val="-8"/>
          <w:w w:val="105"/>
        </w:rPr>
        <w:t xml:space="preserve"> </w:t>
      </w:r>
      <w:r>
        <w:rPr>
          <w:w w:val="105"/>
        </w:rPr>
        <w:t>explícitamente</w:t>
      </w:r>
      <w:r>
        <w:rPr>
          <w:spacing w:val="-8"/>
          <w:w w:val="105"/>
        </w:rPr>
        <w:t xml:space="preserve"> </w:t>
      </w:r>
      <w:r>
        <w:rPr>
          <w:w w:val="105"/>
        </w:rPr>
        <w:t>en</w:t>
      </w:r>
      <w:r>
        <w:rPr>
          <w:spacing w:val="-8"/>
          <w:w w:val="105"/>
        </w:rPr>
        <w:t xml:space="preserve"> </w:t>
      </w:r>
      <w:r>
        <w:rPr>
          <w:w w:val="105"/>
        </w:rPr>
        <w:t>los</w:t>
      </w:r>
      <w:r>
        <w:rPr>
          <w:spacing w:val="-8"/>
          <w:w w:val="105"/>
        </w:rPr>
        <w:t xml:space="preserve"> </w:t>
      </w:r>
      <w:r>
        <w:rPr>
          <w:w w:val="105"/>
        </w:rPr>
        <w:t>primeros</w:t>
      </w:r>
      <w:r>
        <w:rPr>
          <w:spacing w:val="-8"/>
          <w:w w:val="105"/>
        </w:rPr>
        <w:t xml:space="preserve"> </w:t>
      </w:r>
      <w:r>
        <w:rPr>
          <w:w w:val="105"/>
        </w:rPr>
        <w:t>instrumentos.</w:t>
      </w:r>
      <w:r>
        <w:rPr>
          <w:spacing w:val="-7"/>
          <w:w w:val="105"/>
        </w:rPr>
        <w:t xml:space="preserve"> </w:t>
      </w:r>
      <w:r>
        <w:rPr>
          <w:w w:val="105"/>
        </w:rPr>
        <w:t>Entre</w:t>
      </w:r>
      <w:r>
        <w:rPr>
          <w:spacing w:val="-8"/>
          <w:w w:val="105"/>
        </w:rPr>
        <w:t xml:space="preserve"> </w:t>
      </w:r>
      <w:r>
        <w:rPr>
          <w:w w:val="105"/>
        </w:rPr>
        <w:t>otras</w:t>
      </w:r>
      <w:r>
        <w:rPr>
          <w:spacing w:val="-8"/>
          <w:w w:val="105"/>
        </w:rPr>
        <w:t xml:space="preserve"> </w:t>
      </w:r>
      <w:r>
        <w:rPr>
          <w:w w:val="105"/>
        </w:rPr>
        <w:t>cosas,</w:t>
      </w:r>
      <w:r>
        <w:rPr>
          <w:spacing w:val="-8"/>
          <w:w w:val="105"/>
        </w:rPr>
        <w:t xml:space="preserve"> </w:t>
      </w:r>
      <w:r>
        <w:rPr>
          <w:w w:val="105"/>
        </w:rPr>
        <w:t>un</w:t>
      </w:r>
      <w:r>
        <w:rPr>
          <w:spacing w:val="-8"/>
          <w:w w:val="105"/>
        </w:rPr>
        <w:t xml:space="preserve"> </w:t>
      </w:r>
      <w:r>
        <w:rPr>
          <w:w w:val="105"/>
        </w:rPr>
        <w:t>gran</w:t>
      </w:r>
      <w:r>
        <w:rPr>
          <w:spacing w:val="-8"/>
          <w:w w:val="105"/>
        </w:rPr>
        <w:t xml:space="preserve"> </w:t>
      </w:r>
      <w:r>
        <w:rPr>
          <w:w w:val="105"/>
        </w:rPr>
        <w:t>número</w:t>
      </w:r>
      <w:r>
        <w:rPr>
          <w:spacing w:val="-8"/>
          <w:w w:val="105"/>
        </w:rPr>
        <w:t xml:space="preserve"> </w:t>
      </w:r>
      <w:r>
        <w:rPr>
          <w:w w:val="105"/>
        </w:rPr>
        <w:t>de</w:t>
      </w:r>
      <w:r>
        <w:rPr>
          <w:spacing w:val="-8"/>
          <w:w w:val="105"/>
        </w:rPr>
        <w:t xml:space="preserve"> </w:t>
      </w:r>
      <w:r>
        <w:rPr>
          <w:w w:val="105"/>
        </w:rPr>
        <w:t>motivos</w:t>
      </w:r>
      <w:r>
        <w:rPr>
          <w:spacing w:val="-8"/>
          <w:w w:val="105"/>
        </w:rPr>
        <w:t xml:space="preserve"> </w:t>
      </w:r>
      <w:r>
        <w:rPr>
          <w:w w:val="105"/>
        </w:rPr>
        <w:t>que</w:t>
      </w:r>
      <w:r>
        <w:rPr>
          <w:spacing w:val="-8"/>
          <w:w w:val="105"/>
        </w:rPr>
        <w:t xml:space="preserve"> </w:t>
      </w:r>
      <w:r>
        <w:rPr>
          <w:w w:val="105"/>
        </w:rPr>
        <w:t>no</w:t>
      </w:r>
      <w:r>
        <w:rPr>
          <w:spacing w:val="-8"/>
          <w:w w:val="105"/>
        </w:rPr>
        <w:t xml:space="preserve"> </w:t>
      </w:r>
      <w:r>
        <w:rPr>
          <w:w w:val="105"/>
        </w:rPr>
        <w:t>estaban explícitamente</w:t>
      </w:r>
      <w:r>
        <w:rPr>
          <w:spacing w:val="-8"/>
          <w:w w:val="105"/>
        </w:rPr>
        <w:t xml:space="preserve"> </w:t>
      </w:r>
      <w:r>
        <w:rPr>
          <w:w w:val="105"/>
        </w:rPr>
        <w:t>enumerados</w:t>
      </w:r>
      <w:r>
        <w:rPr>
          <w:spacing w:val="-8"/>
          <w:w w:val="105"/>
        </w:rPr>
        <w:t xml:space="preserve"> </w:t>
      </w:r>
      <w:r>
        <w:rPr>
          <w:w w:val="105"/>
        </w:rPr>
        <w:t>en</w:t>
      </w:r>
      <w:r>
        <w:rPr>
          <w:spacing w:val="-8"/>
          <w:w w:val="105"/>
        </w:rPr>
        <w:t xml:space="preserve"> </w:t>
      </w:r>
      <w:r>
        <w:rPr>
          <w:w w:val="105"/>
        </w:rPr>
        <w:t>esos</w:t>
      </w:r>
      <w:r>
        <w:rPr>
          <w:spacing w:val="-8"/>
          <w:w w:val="105"/>
        </w:rPr>
        <w:t xml:space="preserve"> </w:t>
      </w:r>
      <w:r>
        <w:rPr>
          <w:w w:val="105"/>
        </w:rPr>
        <w:t>instrumentos</w:t>
      </w:r>
      <w:r>
        <w:rPr>
          <w:spacing w:val="-8"/>
          <w:w w:val="105"/>
        </w:rPr>
        <w:t xml:space="preserve"> </w:t>
      </w:r>
      <w:r>
        <w:rPr>
          <w:w w:val="105"/>
        </w:rPr>
        <w:t>–incluyendo</w:t>
      </w:r>
      <w:r>
        <w:rPr>
          <w:spacing w:val="-8"/>
          <w:w w:val="105"/>
        </w:rPr>
        <w:t xml:space="preserve"> </w:t>
      </w:r>
      <w:r>
        <w:rPr>
          <w:w w:val="105"/>
        </w:rPr>
        <w:t>la</w:t>
      </w:r>
      <w:r>
        <w:rPr>
          <w:spacing w:val="-8"/>
          <w:w w:val="105"/>
        </w:rPr>
        <w:t xml:space="preserve"> </w:t>
      </w:r>
      <w:r>
        <w:rPr>
          <w:w w:val="105"/>
        </w:rPr>
        <w:t>edad,</w:t>
      </w:r>
      <w:r>
        <w:rPr>
          <w:spacing w:val="-8"/>
          <w:w w:val="105"/>
        </w:rPr>
        <w:t xml:space="preserve"> </w:t>
      </w:r>
      <w:r>
        <w:rPr>
          <w:w w:val="105"/>
        </w:rPr>
        <w:t>la</w:t>
      </w:r>
      <w:r>
        <w:rPr>
          <w:spacing w:val="-8"/>
          <w:w w:val="105"/>
        </w:rPr>
        <w:t xml:space="preserve"> </w:t>
      </w:r>
      <w:r>
        <w:rPr>
          <w:w w:val="105"/>
        </w:rPr>
        <w:t>discapacidad,</w:t>
      </w:r>
      <w:r>
        <w:rPr>
          <w:spacing w:val="-7"/>
          <w:w w:val="105"/>
        </w:rPr>
        <w:t xml:space="preserve"> </w:t>
      </w:r>
      <w:r>
        <w:rPr>
          <w:w w:val="105"/>
        </w:rPr>
        <w:t>la</w:t>
      </w:r>
      <w:r>
        <w:rPr>
          <w:spacing w:val="-8"/>
          <w:w w:val="105"/>
        </w:rPr>
        <w:t xml:space="preserve"> </w:t>
      </w:r>
      <w:r>
        <w:rPr>
          <w:w w:val="105"/>
        </w:rPr>
        <w:t>identidad</w:t>
      </w:r>
      <w:r>
        <w:rPr>
          <w:spacing w:val="-8"/>
          <w:w w:val="105"/>
        </w:rPr>
        <w:t xml:space="preserve"> </w:t>
      </w:r>
      <w:r>
        <w:rPr>
          <w:w w:val="105"/>
        </w:rPr>
        <w:t>de</w:t>
      </w:r>
      <w:r>
        <w:rPr>
          <w:spacing w:val="-8"/>
          <w:w w:val="105"/>
        </w:rPr>
        <w:t xml:space="preserve"> </w:t>
      </w:r>
      <w:r>
        <w:rPr>
          <w:w w:val="105"/>
        </w:rPr>
        <w:t>género,</w:t>
      </w:r>
      <w:r>
        <w:rPr>
          <w:spacing w:val="-7"/>
          <w:w w:val="105"/>
        </w:rPr>
        <w:t xml:space="preserve"> </w:t>
      </w:r>
      <w:r>
        <w:rPr>
          <w:w w:val="105"/>
        </w:rPr>
        <w:t>el</w:t>
      </w:r>
      <w:r>
        <w:rPr>
          <w:spacing w:val="-8"/>
          <w:w w:val="105"/>
        </w:rPr>
        <w:t xml:space="preserve"> </w:t>
      </w:r>
      <w:r>
        <w:rPr>
          <w:w w:val="105"/>
        </w:rPr>
        <w:t>estado</w:t>
      </w:r>
      <w:r>
        <w:rPr>
          <w:spacing w:val="-8"/>
          <w:w w:val="105"/>
        </w:rPr>
        <w:t xml:space="preserve"> </w:t>
      </w:r>
      <w:r>
        <w:rPr>
          <w:w w:val="105"/>
        </w:rPr>
        <w:t>de salud</w:t>
      </w:r>
      <w:r>
        <w:rPr>
          <w:spacing w:val="-10"/>
          <w:w w:val="105"/>
        </w:rPr>
        <w:t xml:space="preserve"> </w:t>
      </w:r>
      <w:r>
        <w:rPr>
          <w:w w:val="105"/>
        </w:rPr>
        <w:t>y</w:t>
      </w:r>
      <w:r>
        <w:rPr>
          <w:spacing w:val="-10"/>
          <w:w w:val="105"/>
        </w:rPr>
        <w:t xml:space="preserve"> </w:t>
      </w:r>
      <w:r>
        <w:rPr>
          <w:w w:val="105"/>
        </w:rPr>
        <w:t>la</w:t>
      </w:r>
      <w:r>
        <w:rPr>
          <w:spacing w:val="-10"/>
          <w:w w:val="105"/>
        </w:rPr>
        <w:t xml:space="preserve"> </w:t>
      </w:r>
      <w:r>
        <w:rPr>
          <w:w w:val="105"/>
        </w:rPr>
        <w:t>orientación</w:t>
      </w:r>
      <w:r>
        <w:rPr>
          <w:spacing w:val="-10"/>
          <w:w w:val="105"/>
        </w:rPr>
        <w:t xml:space="preserve"> </w:t>
      </w:r>
      <w:r>
        <w:rPr>
          <w:w w:val="105"/>
        </w:rPr>
        <w:t>sexual</w:t>
      </w:r>
      <w:r>
        <w:rPr>
          <w:spacing w:val="-10"/>
          <w:w w:val="105"/>
        </w:rPr>
        <w:t xml:space="preserve"> </w:t>
      </w:r>
      <w:r>
        <w:rPr>
          <w:w w:val="105"/>
        </w:rPr>
        <w:t>(entre</w:t>
      </w:r>
      <w:r>
        <w:rPr>
          <w:spacing w:val="-10"/>
          <w:w w:val="105"/>
        </w:rPr>
        <w:t xml:space="preserve"> </w:t>
      </w:r>
      <w:r>
        <w:rPr>
          <w:w w:val="105"/>
        </w:rPr>
        <w:t>otros)–</w:t>
      </w:r>
      <w:r>
        <w:rPr>
          <w:spacing w:val="-10"/>
          <w:w w:val="105"/>
        </w:rPr>
        <w:t xml:space="preserve"> </w:t>
      </w:r>
      <w:r>
        <w:rPr>
          <w:w w:val="105"/>
        </w:rPr>
        <w:t>han</w:t>
      </w:r>
      <w:r>
        <w:rPr>
          <w:spacing w:val="-10"/>
          <w:w w:val="105"/>
        </w:rPr>
        <w:t xml:space="preserve"> </w:t>
      </w:r>
      <w:r>
        <w:rPr>
          <w:w w:val="105"/>
        </w:rPr>
        <w:t>sido</w:t>
      </w:r>
      <w:r>
        <w:rPr>
          <w:spacing w:val="-10"/>
          <w:w w:val="105"/>
        </w:rPr>
        <w:t xml:space="preserve"> </w:t>
      </w:r>
      <w:r>
        <w:rPr>
          <w:w w:val="105"/>
        </w:rPr>
        <w:t>reconocidos</w:t>
      </w:r>
      <w:r>
        <w:rPr>
          <w:spacing w:val="-10"/>
          <w:w w:val="105"/>
        </w:rPr>
        <w:t xml:space="preserve"> </w:t>
      </w:r>
      <w:r>
        <w:rPr>
          <w:w w:val="105"/>
        </w:rPr>
        <w:t>como</w:t>
      </w:r>
      <w:r>
        <w:rPr>
          <w:spacing w:val="-10"/>
          <w:w w:val="105"/>
        </w:rPr>
        <w:t xml:space="preserve"> </w:t>
      </w:r>
      <w:r>
        <w:rPr>
          <w:w w:val="105"/>
        </w:rPr>
        <w:t>equivalentes</w:t>
      </w:r>
      <w:r>
        <w:rPr>
          <w:spacing w:val="-10"/>
          <w:w w:val="105"/>
        </w:rPr>
        <w:t xml:space="preserve"> </w:t>
      </w:r>
      <w:r>
        <w:rPr>
          <w:w w:val="105"/>
        </w:rPr>
        <w:t>a</w:t>
      </w:r>
      <w:r>
        <w:rPr>
          <w:spacing w:val="-10"/>
          <w:w w:val="105"/>
        </w:rPr>
        <w:t xml:space="preserve"> </w:t>
      </w:r>
      <w:r>
        <w:rPr>
          <w:w w:val="105"/>
        </w:rPr>
        <w:t>aquellos</w:t>
      </w:r>
      <w:r>
        <w:rPr>
          <w:spacing w:val="-10"/>
          <w:w w:val="105"/>
        </w:rPr>
        <w:t xml:space="preserve"> </w:t>
      </w:r>
      <w:r>
        <w:rPr>
          <w:w w:val="105"/>
        </w:rPr>
        <w:t>que</w:t>
      </w:r>
      <w:r>
        <w:rPr>
          <w:spacing w:val="-10"/>
          <w:w w:val="105"/>
        </w:rPr>
        <w:t xml:space="preserve"> </w:t>
      </w:r>
      <w:r>
        <w:rPr>
          <w:w w:val="105"/>
        </w:rPr>
        <w:t>sí</w:t>
      </w:r>
      <w:r>
        <w:rPr>
          <w:spacing w:val="-10"/>
          <w:w w:val="105"/>
        </w:rPr>
        <w:t xml:space="preserve"> </w:t>
      </w:r>
      <w:r>
        <w:rPr>
          <w:w w:val="105"/>
        </w:rPr>
        <w:t>estaban</w:t>
      </w:r>
      <w:r>
        <w:rPr>
          <w:spacing w:val="-10"/>
          <w:w w:val="105"/>
        </w:rPr>
        <w:t xml:space="preserve"> </w:t>
      </w:r>
      <w:r>
        <w:rPr>
          <w:w w:val="105"/>
        </w:rPr>
        <w:t>enumerados</w:t>
      </w:r>
      <w:r>
        <w:rPr>
          <w:spacing w:val="-10"/>
          <w:w w:val="105"/>
        </w:rPr>
        <w:t xml:space="preserve"> </w:t>
      </w:r>
      <w:r>
        <w:rPr>
          <w:w w:val="105"/>
        </w:rPr>
        <w:t>y así han sido incorporados dentro de la lista de motivos protegidos reconocidos.</w:t>
      </w:r>
    </w:p>
    <w:p w14:paraId="65C89FE9" w14:textId="77777777" w:rsidR="0014798C" w:rsidRDefault="004E1F0B">
      <w:pPr>
        <w:spacing w:before="151" w:line="290" w:lineRule="auto"/>
        <w:ind w:left="1109" w:right="1210" w:hanging="4"/>
        <w:rPr>
          <w:sz w:val="18"/>
        </w:rPr>
      </w:pPr>
      <w:r>
        <w:rPr>
          <w:sz w:val="18"/>
        </w:rPr>
        <w:t xml:space="preserve">La Declaración Universal de Derechos Humanos, adoptada en 1948, establece que toda persona tiene los derechos que enuncia “sin distinción alguna de raza, color, sexo, idioma, religión [o creencias]123, política o de otra </w:t>
      </w:r>
      <w:proofErr w:type="gramStart"/>
      <w:r>
        <w:rPr>
          <w:sz w:val="18"/>
        </w:rPr>
        <w:t>índole .</w:t>
      </w:r>
      <w:proofErr w:type="gramEnd"/>
      <w:r>
        <w:rPr>
          <w:sz w:val="18"/>
        </w:rPr>
        <w:t xml:space="preserve"> opinión, origen nacional o social, posición económica, nacimiento u otra condición”.124 La Declaración Universal sirvió</w:t>
      </w:r>
      <w:r>
        <w:rPr>
          <w:spacing w:val="-4"/>
          <w:sz w:val="18"/>
        </w:rPr>
        <w:t xml:space="preserve"> </w:t>
      </w:r>
      <w:r>
        <w:rPr>
          <w:sz w:val="18"/>
        </w:rPr>
        <w:t>como</w:t>
      </w:r>
      <w:r>
        <w:rPr>
          <w:spacing w:val="-4"/>
          <w:sz w:val="18"/>
        </w:rPr>
        <w:t xml:space="preserve"> </w:t>
      </w:r>
      <w:r>
        <w:rPr>
          <w:sz w:val="18"/>
        </w:rPr>
        <w:t>modelo</w:t>
      </w:r>
      <w:r>
        <w:rPr>
          <w:spacing w:val="-4"/>
          <w:sz w:val="18"/>
        </w:rPr>
        <w:t xml:space="preserve"> </w:t>
      </w:r>
      <w:r>
        <w:rPr>
          <w:sz w:val="18"/>
        </w:rPr>
        <w:t>para</w:t>
      </w:r>
      <w:r>
        <w:rPr>
          <w:spacing w:val="-4"/>
          <w:sz w:val="18"/>
        </w:rPr>
        <w:t xml:space="preserve"> </w:t>
      </w:r>
      <w:r>
        <w:rPr>
          <w:sz w:val="18"/>
        </w:rPr>
        <w:t>la</w:t>
      </w:r>
      <w:r>
        <w:rPr>
          <w:spacing w:val="-4"/>
          <w:sz w:val="18"/>
        </w:rPr>
        <w:t xml:space="preserve"> </w:t>
      </w:r>
      <w:r>
        <w:rPr>
          <w:sz w:val="18"/>
        </w:rPr>
        <w:t>prohibición</w:t>
      </w:r>
      <w:r>
        <w:rPr>
          <w:spacing w:val="-4"/>
          <w:sz w:val="18"/>
        </w:rPr>
        <w:t xml:space="preserve"> </w:t>
      </w:r>
      <w:r>
        <w:rPr>
          <w:sz w:val="18"/>
        </w:rPr>
        <w:t>de</w:t>
      </w:r>
      <w:r>
        <w:rPr>
          <w:spacing w:val="-4"/>
          <w:sz w:val="18"/>
        </w:rPr>
        <w:t xml:space="preserve"> </w:t>
      </w:r>
      <w:r>
        <w:rPr>
          <w:sz w:val="18"/>
        </w:rPr>
        <w:t>la</w:t>
      </w:r>
      <w:r>
        <w:rPr>
          <w:spacing w:val="-4"/>
          <w:sz w:val="18"/>
        </w:rPr>
        <w:t xml:space="preserve"> </w:t>
      </w:r>
      <w:r>
        <w:rPr>
          <w:sz w:val="18"/>
        </w:rPr>
        <w:t>discriminación</w:t>
      </w:r>
      <w:r>
        <w:rPr>
          <w:spacing w:val="-4"/>
          <w:sz w:val="18"/>
        </w:rPr>
        <w:t xml:space="preserve"> </w:t>
      </w:r>
      <w:r>
        <w:rPr>
          <w:sz w:val="18"/>
        </w:rPr>
        <w:t>en</w:t>
      </w:r>
      <w:r>
        <w:rPr>
          <w:spacing w:val="-4"/>
          <w:sz w:val="18"/>
        </w:rPr>
        <w:t xml:space="preserve"> </w:t>
      </w:r>
      <w:r>
        <w:rPr>
          <w:sz w:val="18"/>
        </w:rPr>
        <w:t>virtud</w:t>
      </w:r>
      <w:r>
        <w:rPr>
          <w:spacing w:val="-4"/>
          <w:sz w:val="18"/>
        </w:rPr>
        <w:t xml:space="preserve"> </w:t>
      </w:r>
      <w:r>
        <w:rPr>
          <w:sz w:val="18"/>
        </w:rPr>
        <w:t>de</w:t>
      </w:r>
      <w:r>
        <w:rPr>
          <w:spacing w:val="-4"/>
          <w:sz w:val="18"/>
        </w:rPr>
        <w:t xml:space="preserve"> </w:t>
      </w:r>
      <w:r>
        <w:rPr>
          <w:sz w:val="18"/>
        </w:rPr>
        <w:t>los</w:t>
      </w:r>
      <w:r>
        <w:rPr>
          <w:spacing w:val="-4"/>
          <w:sz w:val="18"/>
        </w:rPr>
        <w:t xml:space="preserve"> </w:t>
      </w:r>
      <w:r>
        <w:rPr>
          <w:sz w:val="18"/>
        </w:rPr>
        <w:t>artículos</w:t>
      </w:r>
      <w:r>
        <w:rPr>
          <w:spacing w:val="-4"/>
          <w:sz w:val="18"/>
        </w:rPr>
        <w:t xml:space="preserve"> </w:t>
      </w:r>
      <w:r>
        <w:rPr>
          <w:sz w:val="18"/>
        </w:rPr>
        <w:t>2</w:t>
      </w:r>
      <w:r>
        <w:rPr>
          <w:spacing w:val="-4"/>
          <w:sz w:val="18"/>
        </w:rPr>
        <w:t xml:space="preserve"> </w:t>
      </w:r>
      <w:r>
        <w:rPr>
          <w:sz w:val="18"/>
        </w:rPr>
        <w:t>(1)</w:t>
      </w:r>
      <w:r>
        <w:rPr>
          <w:spacing w:val="-4"/>
          <w:sz w:val="18"/>
        </w:rPr>
        <w:t xml:space="preserve"> </w:t>
      </w:r>
      <w:r>
        <w:rPr>
          <w:sz w:val="18"/>
        </w:rPr>
        <w:t>y</w:t>
      </w:r>
      <w:r>
        <w:rPr>
          <w:spacing w:val="-4"/>
          <w:sz w:val="18"/>
        </w:rPr>
        <w:t xml:space="preserve"> </w:t>
      </w:r>
      <w:r>
        <w:rPr>
          <w:sz w:val="18"/>
        </w:rPr>
        <w:t>26</w:t>
      </w:r>
      <w:r>
        <w:rPr>
          <w:spacing w:val="-4"/>
          <w:sz w:val="18"/>
        </w:rPr>
        <w:t xml:space="preserve"> </w:t>
      </w:r>
      <w:r>
        <w:rPr>
          <w:sz w:val="18"/>
        </w:rPr>
        <w:t>del</w:t>
      </w:r>
      <w:r>
        <w:rPr>
          <w:spacing w:val="-4"/>
          <w:sz w:val="18"/>
        </w:rPr>
        <w:t xml:space="preserve"> </w:t>
      </w:r>
      <w:r>
        <w:rPr>
          <w:sz w:val="18"/>
        </w:rPr>
        <w:t>Pacto</w:t>
      </w:r>
      <w:r>
        <w:rPr>
          <w:spacing w:val="-4"/>
          <w:sz w:val="18"/>
        </w:rPr>
        <w:t xml:space="preserve"> </w:t>
      </w:r>
      <w:r>
        <w:rPr>
          <w:sz w:val="18"/>
        </w:rPr>
        <w:t>Internacional</w:t>
      </w:r>
    </w:p>
    <w:p w14:paraId="5CAB8BAE" w14:textId="77777777" w:rsidR="0014798C" w:rsidRDefault="004E1F0B">
      <w:pPr>
        <w:spacing w:line="204" w:lineRule="exact"/>
        <w:ind w:left="1111"/>
        <w:rPr>
          <w:sz w:val="18"/>
        </w:rPr>
      </w:pPr>
      <w:r>
        <w:rPr>
          <w:sz w:val="18"/>
        </w:rPr>
        <w:t>de</w:t>
      </w:r>
      <w:r>
        <w:rPr>
          <w:spacing w:val="-8"/>
          <w:sz w:val="18"/>
        </w:rPr>
        <w:t xml:space="preserve"> </w:t>
      </w:r>
      <w:r>
        <w:rPr>
          <w:sz w:val="18"/>
        </w:rPr>
        <w:t>Derechos</w:t>
      </w:r>
      <w:r>
        <w:rPr>
          <w:spacing w:val="-7"/>
          <w:sz w:val="18"/>
        </w:rPr>
        <w:t xml:space="preserve"> </w:t>
      </w:r>
      <w:r>
        <w:rPr>
          <w:sz w:val="18"/>
        </w:rPr>
        <w:t>Civiles</w:t>
      </w:r>
      <w:r>
        <w:rPr>
          <w:spacing w:val="-7"/>
          <w:sz w:val="18"/>
        </w:rPr>
        <w:t xml:space="preserve"> </w:t>
      </w:r>
      <w:r>
        <w:rPr>
          <w:sz w:val="18"/>
        </w:rPr>
        <w:t>y</w:t>
      </w:r>
      <w:r>
        <w:rPr>
          <w:spacing w:val="-7"/>
          <w:sz w:val="18"/>
        </w:rPr>
        <w:t xml:space="preserve"> </w:t>
      </w:r>
      <w:r>
        <w:rPr>
          <w:sz w:val="18"/>
        </w:rPr>
        <w:t>Políticos</w:t>
      </w:r>
      <w:r>
        <w:rPr>
          <w:spacing w:val="-8"/>
          <w:sz w:val="18"/>
        </w:rPr>
        <w:t xml:space="preserve"> </w:t>
      </w:r>
      <w:r>
        <w:rPr>
          <w:sz w:val="18"/>
        </w:rPr>
        <w:t>y</w:t>
      </w:r>
      <w:r>
        <w:rPr>
          <w:spacing w:val="-7"/>
          <w:sz w:val="18"/>
        </w:rPr>
        <w:t xml:space="preserve"> </w:t>
      </w:r>
      <w:r>
        <w:rPr>
          <w:sz w:val="18"/>
        </w:rPr>
        <w:t>el</w:t>
      </w:r>
      <w:r>
        <w:rPr>
          <w:spacing w:val="-7"/>
          <w:sz w:val="18"/>
        </w:rPr>
        <w:t xml:space="preserve"> </w:t>
      </w:r>
      <w:r>
        <w:rPr>
          <w:sz w:val="18"/>
        </w:rPr>
        <w:t>artículo</w:t>
      </w:r>
      <w:r>
        <w:rPr>
          <w:spacing w:val="-7"/>
          <w:sz w:val="18"/>
        </w:rPr>
        <w:t xml:space="preserve"> </w:t>
      </w:r>
      <w:r>
        <w:rPr>
          <w:sz w:val="18"/>
        </w:rPr>
        <w:t>2</w:t>
      </w:r>
      <w:r>
        <w:rPr>
          <w:spacing w:val="-7"/>
          <w:sz w:val="18"/>
        </w:rPr>
        <w:t xml:space="preserve"> </w:t>
      </w:r>
      <w:r>
        <w:rPr>
          <w:sz w:val="18"/>
        </w:rPr>
        <w:t>(</w:t>
      </w:r>
      <w:proofErr w:type="gramStart"/>
      <w:r>
        <w:rPr>
          <w:sz w:val="18"/>
        </w:rPr>
        <w:t>2</w:t>
      </w:r>
      <w:r>
        <w:rPr>
          <w:spacing w:val="-8"/>
          <w:sz w:val="18"/>
        </w:rPr>
        <w:t xml:space="preserve"> </w:t>
      </w:r>
      <w:r>
        <w:rPr>
          <w:sz w:val="18"/>
        </w:rPr>
        <w:t>)</w:t>
      </w:r>
      <w:proofErr w:type="gramEnd"/>
      <w:r>
        <w:rPr>
          <w:spacing w:val="-7"/>
          <w:sz w:val="18"/>
        </w:rPr>
        <w:t xml:space="preserve"> </w:t>
      </w:r>
      <w:r>
        <w:rPr>
          <w:sz w:val="18"/>
        </w:rPr>
        <w:t>del</w:t>
      </w:r>
      <w:r>
        <w:rPr>
          <w:spacing w:val="-7"/>
          <w:sz w:val="18"/>
        </w:rPr>
        <w:t xml:space="preserve"> </w:t>
      </w:r>
      <w:r>
        <w:rPr>
          <w:sz w:val="18"/>
        </w:rPr>
        <w:t>Pacto</w:t>
      </w:r>
      <w:r>
        <w:rPr>
          <w:spacing w:val="-7"/>
          <w:sz w:val="18"/>
        </w:rPr>
        <w:t xml:space="preserve"> </w:t>
      </w:r>
      <w:r>
        <w:rPr>
          <w:sz w:val="18"/>
        </w:rPr>
        <w:t>Internacional</w:t>
      </w:r>
      <w:r>
        <w:rPr>
          <w:spacing w:val="-7"/>
          <w:sz w:val="18"/>
        </w:rPr>
        <w:t xml:space="preserve"> </w:t>
      </w:r>
      <w:r>
        <w:rPr>
          <w:sz w:val="18"/>
        </w:rPr>
        <w:t>de</w:t>
      </w:r>
      <w:r>
        <w:rPr>
          <w:spacing w:val="-8"/>
          <w:sz w:val="18"/>
        </w:rPr>
        <w:t xml:space="preserve"> </w:t>
      </w:r>
      <w:r>
        <w:rPr>
          <w:sz w:val="18"/>
        </w:rPr>
        <w:t>Derechos</w:t>
      </w:r>
      <w:r>
        <w:rPr>
          <w:spacing w:val="-7"/>
          <w:sz w:val="18"/>
        </w:rPr>
        <w:t xml:space="preserve"> </w:t>
      </w:r>
      <w:r>
        <w:rPr>
          <w:sz w:val="18"/>
        </w:rPr>
        <w:t>Económicos,</w:t>
      </w:r>
      <w:r>
        <w:rPr>
          <w:spacing w:val="-6"/>
          <w:sz w:val="18"/>
        </w:rPr>
        <w:t xml:space="preserve"> </w:t>
      </w:r>
      <w:r>
        <w:rPr>
          <w:sz w:val="18"/>
        </w:rPr>
        <w:t>Sociales</w:t>
      </w:r>
      <w:r>
        <w:rPr>
          <w:spacing w:val="-7"/>
          <w:sz w:val="18"/>
        </w:rPr>
        <w:t xml:space="preserve"> </w:t>
      </w:r>
      <w:r>
        <w:rPr>
          <w:sz w:val="18"/>
        </w:rPr>
        <w:t>y</w:t>
      </w:r>
      <w:r>
        <w:rPr>
          <w:spacing w:val="-8"/>
          <w:sz w:val="18"/>
        </w:rPr>
        <w:t xml:space="preserve"> </w:t>
      </w:r>
      <w:r>
        <w:rPr>
          <w:spacing w:val="-2"/>
          <w:sz w:val="18"/>
        </w:rPr>
        <w:t>Culturales</w:t>
      </w:r>
    </w:p>
    <w:p w14:paraId="3C1A6A7A" w14:textId="77777777" w:rsidR="0014798C" w:rsidRDefault="0014798C">
      <w:pPr>
        <w:pStyle w:val="Textoindependiente"/>
        <w:rPr>
          <w:sz w:val="12"/>
        </w:rPr>
      </w:pPr>
    </w:p>
    <w:p w14:paraId="5C73A31C" w14:textId="77777777" w:rsidR="0014798C" w:rsidRDefault="0014798C">
      <w:pPr>
        <w:pStyle w:val="Textoindependiente"/>
        <w:rPr>
          <w:sz w:val="12"/>
        </w:rPr>
      </w:pPr>
    </w:p>
    <w:p w14:paraId="5B454C60" w14:textId="77777777" w:rsidR="0014798C" w:rsidRDefault="0014798C">
      <w:pPr>
        <w:pStyle w:val="Textoindependiente"/>
        <w:spacing w:before="104"/>
        <w:rPr>
          <w:sz w:val="12"/>
        </w:rPr>
      </w:pPr>
    </w:p>
    <w:p w14:paraId="0C8FEB99" w14:textId="77777777" w:rsidR="0014798C" w:rsidRDefault="004E1F0B">
      <w:pPr>
        <w:pStyle w:val="Prrafodelista"/>
        <w:numPr>
          <w:ilvl w:val="0"/>
          <w:numId w:val="84"/>
        </w:numPr>
        <w:tabs>
          <w:tab w:val="left" w:pos="1338"/>
        </w:tabs>
        <w:ind w:left="1338" w:hanging="227"/>
        <w:rPr>
          <w:sz w:val="12"/>
        </w:rPr>
      </w:pPr>
      <w:r>
        <w:rPr>
          <w:spacing w:val="-2"/>
          <w:sz w:val="12"/>
        </w:rPr>
        <w:t>Cabe</w:t>
      </w:r>
      <w:r>
        <w:rPr>
          <w:sz w:val="12"/>
        </w:rPr>
        <w:t xml:space="preserve"> </w:t>
      </w:r>
      <w:r>
        <w:rPr>
          <w:spacing w:val="-2"/>
          <w:sz w:val="12"/>
        </w:rPr>
        <w:t>señalar</w:t>
      </w:r>
      <w:r>
        <w:rPr>
          <w:spacing w:val="1"/>
          <w:sz w:val="12"/>
        </w:rPr>
        <w:t xml:space="preserve"> </w:t>
      </w:r>
      <w:r>
        <w:rPr>
          <w:spacing w:val="-2"/>
          <w:sz w:val="12"/>
        </w:rPr>
        <w:t>que</w:t>
      </w:r>
      <w:r>
        <w:rPr>
          <w:sz w:val="12"/>
        </w:rPr>
        <w:t xml:space="preserve"> </w:t>
      </w:r>
      <w:r>
        <w:rPr>
          <w:spacing w:val="-2"/>
          <w:sz w:val="12"/>
        </w:rPr>
        <w:t>el</w:t>
      </w:r>
      <w:r>
        <w:rPr>
          <w:spacing w:val="1"/>
          <w:sz w:val="12"/>
        </w:rPr>
        <w:t xml:space="preserve"> </w:t>
      </w:r>
      <w:r>
        <w:rPr>
          <w:spacing w:val="-2"/>
          <w:sz w:val="12"/>
        </w:rPr>
        <w:t>artículo</w:t>
      </w:r>
      <w:r>
        <w:rPr>
          <w:sz w:val="12"/>
        </w:rPr>
        <w:t xml:space="preserve"> </w:t>
      </w:r>
      <w:r>
        <w:rPr>
          <w:spacing w:val="-2"/>
          <w:sz w:val="12"/>
        </w:rPr>
        <w:t>26</w:t>
      </w:r>
      <w:r>
        <w:rPr>
          <w:spacing w:val="1"/>
          <w:sz w:val="12"/>
        </w:rPr>
        <w:t xml:space="preserve"> </w:t>
      </w:r>
      <w:r>
        <w:rPr>
          <w:spacing w:val="-2"/>
          <w:sz w:val="12"/>
        </w:rPr>
        <w:t>del</w:t>
      </w:r>
      <w:r>
        <w:rPr>
          <w:sz w:val="12"/>
        </w:rPr>
        <w:t xml:space="preserve"> </w:t>
      </w:r>
      <w:r>
        <w:rPr>
          <w:spacing w:val="-2"/>
          <w:sz w:val="12"/>
        </w:rPr>
        <w:t>Pacto</w:t>
      </w:r>
      <w:r>
        <w:rPr>
          <w:spacing w:val="1"/>
          <w:sz w:val="12"/>
        </w:rPr>
        <w:t xml:space="preserve"> </w:t>
      </w:r>
      <w:r>
        <w:rPr>
          <w:spacing w:val="-2"/>
          <w:sz w:val="12"/>
        </w:rPr>
        <w:t>Internacional</w:t>
      </w:r>
      <w:r>
        <w:rPr>
          <w:spacing w:val="1"/>
          <w:sz w:val="12"/>
        </w:rPr>
        <w:t xml:space="preserve"> </w:t>
      </w:r>
      <w:r>
        <w:rPr>
          <w:spacing w:val="-2"/>
          <w:sz w:val="12"/>
        </w:rPr>
        <w:t>de</w:t>
      </w:r>
      <w:r>
        <w:rPr>
          <w:sz w:val="12"/>
        </w:rPr>
        <w:t xml:space="preserve"> </w:t>
      </w:r>
      <w:r>
        <w:rPr>
          <w:spacing w:val="-2"/>
          <w:sz w:val="12"/>
        </w:rPr>
        <w:t>Derechos</w:t>
      </w:r>
      <w:r>
        <w:rPr>
          <w:spacing w:val="1"/>
          <w:sz w:val="12"/>
        </w:rPr>
        <w:t xml:space="preserve"> </w:t>
      </w:r>
      <w:r>
        <w:rPr>
          <w:spacing w:val="-2"/>
          <w:sz w:val="12"/>
        </w:rPr>
        <w:t>Civiles</w:t>
      </w:r>
      <w:r>
        <w:rPr>
          <w:sz w:val="12"/>
        </w:rPr>
        <w:t xml:space="preserve"> </w:t>
      </w:r>
      <w:r>
        <w:rPr>
          <w:spacing w:val="-2"/>
          <w:sz w:val="12"/>
        </w:rPr>
        <w:t>y</w:t>
      </w:r>
      <w:r>
        <w:rPr>
          <w:spacing w:val="1"/>
          <w:sz w:val="12"/>
        </w:rPr>
        <w:t xml:space="preserve"> </w:t>
      </w:r>
      <w:r>
        <w:rPr>
          <w:spacing w:val="-2"/>
          <w:sz w:val="12"/>
        </w:rPr>
        <w:t>Políticos</w:t>
      </w:r>
      <w:r>
        <w:rPr>
          <w:sz w:val="12"/>
        </w:rPr>
        <w:t xml:space="preserve"> </w:t>
      </w:r>
      <w:r>
        <w:rPr>
          <w:spacing w:val="-2"/>
          <w:sz w:val="12"/>
        </w:rPr>
        <w:t>reconoce</w:t>
      </w:r>
      <w:r>
        <w:rPr>
          <w:spacing w:val="1"/>
          <w:sz w:val="12"/>
        </w:rPr>
        <w:t xml:space="preserve"> </w:t>
      </w:r>
      <w:r>
        <w:rPr>
          <w:spacing w:val="-2"/>
          <w:sz w:val="12"/>
        </w:rPr>
        <w:t>el</w:t>
      </w:r>
      <w:r>
        <w:rPr>
          <w:spacing w:val="1"/>
          <w:sz w:val="12"/>
        </w:rPr>
        <w:t xml:space="preserve"> </w:t>
      </w:r>
      <w:r>
        <w:rPr>
          <w:spacing w:val="-2"/>
          <w:sz w:val="12"/>
        </w:rPr>
        <w:t>derecho</w:t>
      </w:r>
      <w:r>
        <w:rPr>
          <w:sz w:val="12"/>
        </w:rPr>
        <w:t xml:space="preserve"> </w:t>
      </w:r>
      <w:r>
        <w:rPr>
          <w:spacing w:val="-2"/>
          <w:sz w:val="12"/>
        </w:rPr>
        <w:t>a</w:t>
      </w:r>
      <w:r>
        <w:rPr>
          <w:spacing w:val="1"/>
          <w:sz w:val="12"/>
        </w:rPr>
        <w:t xml:space="preserve"> </w:t>
      </w:r>
      <w:r>
        <w:rPr>
          <w:spacing w:val="-2"/>
          <w:sz w:val="12"/>
        </w:rPr>
        <w:t>la</w:t>
      </w:r>
      <w:r>
        <w:rPr>
          <w:sz w:val="12"/>
        </w:rPr>
        <w:t xml:space="preserve"> </w:t>
      </w:r>
      <w:r>
        <w:rPr>
          <w:spacing w:val="-2"/>
          <w:sz w:val="12"/>
        </w:rPr>
        <w:t>igualdad</w:t>
      </w:r>
      <w:r>
        <w:rPr>
          <w:spacing w:val="1"/>
          <w:sz w:val="12"/>
        </w:rPr>
        <w:t xml:space="preserve"> </w:t>
      </w:r>
      <w:r>
        <w:rPr>
          <w:spacing w:val="-2"/>
          <w:sz w:val="12"/>
        </w:rPr>
        <w:t>ante</w:t>
      </w:r>
      <w:r>
        <w:rPr>
          <w:sz w:val="12"/>
        </w:rPr>
        <w:t xml:space="preserve"> </w:t>
      </w:r>
      <w:r>
        <w:rPr>
          <w:spacing w:val="-2"/>
          <w:sz w:val="12"/>
        </w:rPr>
        <w:t>la</w:t>
      </w:r>
      <w:r>
        <w:rPr>
          <w:spacing w:val="1"/>
          <w:sz w:val="12"/>
        </w:rPr>
        <w:t xml:space="preserve"> </w:t>
      </w:r>
      <w:r>
        <w:rPr>
          <w:spacing w:val="-5"/>
          <w:sz w:val="12"/>
        </w:rPr>
        <w:t>ley</w:t>
      </w:r>
    </w:p>
    <w:p w14:paraId="084E1591" w14:textId="77777777" w:rsidR="0014798C" w:rsidRDefault="004E1F0B">
      <w:pPr>
        <w:spacing w:before="27" w:line="288" w:lineRule="auto"/>
        <w:ind w:left="1366" w:right="1395" w:firstLine="3"/>
        <w:rPr>
          <w:sz w:val="13"/>
        </w:rPr>
      </w:pPr>
      <w:r>
        <w:rPr>
          <w:sz w:val="13"/>
        </w:rPr>
        <w:t>e igual protección de la ley y varias constituciones nacionales reconocen el derecho a igual protección, que proporciona garantías de igualdad que no</w:t>
      </w:r>
      <w:r>
        <w:rPr>
          <w:spacing w:val="40"/>
          <w:sz w:val="13"/>
        </w:rPr>
        <w:t xml:space="preserve"> </w:t>
      </w:r>
      <w:r>
        <w:rPr>
          <w:sz w:val="13"/>
        </w:rPr>
        <w:t>hacen</w:t>
      </w:r>
      <w:r>
        <w:rPr>
          <w:spacing w:val="9"/>
          <w:sz w:val="13"/>
        </w:rPr>
        <w:t xml:space="preserve"> </w:t>
      </w:r>
      <w:r>
        <w:rPr>
          <w:sz w:val="13"/>
        </w:rPr>
        <w:t>referencia</w:t>
      </w:r>
      <w:r>
        <w:rPr>
          <w:spacing w:val="9"/>
          <w:sz w:val="13"/>
        </w:rPr>
        <w:t xml:space="preserve"> </w:t>
      </w:r>
      <w:r>
        <w:rPr>
          <w:sz w:val="13"/>
        </w:rPr>
        <w:t>a</w:t>
      </w:r>
      <w:r>
        <w:rPr>
          <w:spacing w:val="9"/>
          <w:sz w:val="13"/>
        </w:rPr>
        <w:t xml:space="preserve"> </w:t>
      </w:r>
      <w:r>
        <w:rPr>
          <w:sz w:val="13"/>
        </w:rPr>
        <w:t>motivos</w:t>
      </w:r>
      <w:r>
        <w:rPr>
          <w:spacing w:val="9"/>
          <w:sz w:val="13"/>
        </w:rPr>
        <w:t xml:space="preserve"> </w:t>
      </w:r>
      <w:r>
        <w:rPr>
          <w:sz w:val="13"/>
        </w:rPr>
        <w:t>de</w:t>
      </w:r>
      <w:r>
        <w:rPr>
          <w:spacing w:val="9"/>
          <w:sz w:val="13"/>
        </w:rPr>
        <w:t xml:space="preserve"> </w:t>
      </w:r>
      <w:r>
        <w:rPr>
          <w:sz w:val="13"/>
        </w:rPr>
        <w:t>discriminación,</w:t>
      </w:r>
      <w:r>
        <w:rPr>
          <w:spacing w:val="11"/>
          <w:sz w:val="13"/>
        </w:rPr>
        <w:t xml:space="preserve"> </w:t>
      </w:r>
      <w:r>
        <w:rPr>
          <w:sz w:val="13"/>
        </w:rPr>
        <w:t>lo</w:t>
      </w:r>
      <w:r>
        <w:rPr>
          <w:spacing w:val="9"/>
          <w:sz w:val="13"/>
        </w:rPr>
        <w:t xml:space="preserve"> </w:t>
      </w:r>
      <w:r>
        <w:rPr>
          <w:sz w:val="13"/>
        </w:rPr>
        <w:t>que</w:t>
      </w:r>
      <w:r>
        <w:rPr>
          <w:spacing w:val="9"/>
          <w:sz w:val="13"/>
        </w:rPr>
        <w:t xml:space="preserve"> </w:t>
      </w:r>
      <w:r>
        <w:rPr>
          <w:sz w:val="13"/>
        </w:rPr>
        <w:t>permite</w:t>
      </w:r>
      <w:r>
        <w:rPr>
          <w:spacing w:val="9"/>
          <w:sz w:val="13"/>
        </w:rPr>
        <w:t xml:space="preserve"> </w:t>
      </w:r>
      <w:r>
        <w:rPr>
          <w:sz w:val="13"/>
        </w:rPr>
        <w:t>a</w:t>
      </w:r>
      <w:r>
        <w:rPr>
          <w:spacing w:val="9"/>
          <w:sz w:val="13"/>
        </w:rPr>
        <w:t xml:space="preserve"> </w:t>
      </w:r>
      <w:r>
        <w:rPr>
          <w:sz w:val="13"/>
        </w:rPr>
        <w:t>los</w:t>
      </w:r>
      <w:r>
        <w:rPr>
          <w:spacing w:val="9"/>
          <w:sz w:val="13"/>
        </w:rPr>
        <w:t xml:space="preserve"> </w:t>
      </w:r>
      <w:r>
        <w:rPr>
          <w:sz w:val="13"/>
        </w:rPr>
        <w:t>tribunales</w:t>
      </w:r>
      <w:r>
        <w:rPr>
          <w:spacing w:val="9"/>
          <w:sz w:val="13"/>
        </w:rPr>
        <w:t xml:space="preserve"> </w:t>
      </w:r>
      <w:r>
        <w:rPr>
          <w:sz w:val="13"/>
        </w:rPr>
        <w:t>adoptar</w:t>
      </w:r>
      <w:r>
        <w:rPr>
          <w:spacing w:val="9"/>
          <w:sz w:val="13"/>
        </w:rPr>
        <w:t xml:space="preserve"> </w:t>
      </w:r>
      <w:r>
        <w:rPr>
          <w:sz w:val="13"/>
        </w:rPr>
        <w:t>un</w:t>
      </w:r>
      <w:r>
        <w:rPr>
          <w:spacing w:val="9"/>
          <w:sz w:val="13"/>
        </w:rPr>
        <w:t xml:space="preserve"> </w:t>
      </w:r>
      <w:r>
        <w:rPr>
          <w:sz w:val="13"/>
        </w:rPr>
        <w:t>enfoque</w:t>
      </w:r>
      <w:r>
        <w:rPr>
          <w:spacing w:val="9"/>
          <w:sz w:val="13"/>
        </w:rPr>
        <w:t xml:space="preserve"> </w:t>
      </w:r>
      <w:r>
        <w:rPr>
          <w:sz w:val="13"/>
        </w:rPr>
        <w:t>amplio</w:t>
      </w:r>
      <w:r>
        <w:rPr>
          <w:spacing w:val="9"/>
          <w:sz w:val="13"/>
        </w:rPr>
        <w:t xml:space="preserve"> </w:t>
      </w:r>
      <w:r>
        <w:rPr>
          <w:sz w:val="13"/>
        </w:rPr>
        <w:t>a</w:t>
      </w:r>
      <w:r>
        <w:rPr>
          <w:spacing w:val="9"/>
          <w:sz w:val="13"/>
        </w:rPr>
        <w:t xml:space="preserve"> </w:t>
      </w:r>
      <w:r>
        <w:rPr>
          <w:sz w:val="13"/>
        </w:rPr>
        <w:t>la</w:t>
      </w:r>
      <w:r>
        <w:rPr>
          <w:spacing w:val="9"/>
          <w:sz w:val="13"/>
        </w:rPr>
        <w:t xml:space="preserve"> </w:t>
      </w:r>
      <w:r>
        <w:rPr>
          <w:sz w:val="13"/>
        </w:rPr>
        <w:t>cuestión</w:t>
      </w:r>
      <w:r>
        <w:rPr>
          <w:spacing w:val="9"/>
          <w:sz w:val="13"/>
        </w:rPr>
        <w:t xml:space="preserve"> </w:t>
      </w:r>
      <w:r>
        <w:rPr>
          <w:sz w:val="13"/>
        </w:rPr>
        <w:t>de</w:t>
      </w:r>
      <w:r>
        <w:rPr>
          <w:spacing w:val="9"/>
          <w:sz w:val="13"/>
        </w:rPr>
        <w:t xml:space="preserve"> </w:t>
      </w:r>
      <w:r>
        <w:rPr>
          <w:sz w:val="13"/>
        </w:rPr>
        <w:t>las</w:t>
      </w:r>
      <w:r>
        <w:rPr>
          <w:spacing w:val="9"/>
          <w:sz w:val="13"/>
        </w:rPr>
        <w:t xml:space="preserve"> </w:t>
      </w:r>
      <w:r>
        <w:rPr>
          <w:sz w:val="13"/>
        </w:rPr>
        <w:t>características</w:t>
      </w:r>
      <w:r>
        <w:rPr>
          <w:spacing w:val="9"/>
          <w:sz w:val="13"/>
        </w:rPr>
        <w:t xml:space="preserve"> </w:t>
      </w:r>
      <w:r>
        <w:rPr>
          <w:sz w:val="13"/>
        </w:rPr>
        <w:t>protegidas.</w:t>
      </w:r>
    </w:p>
    <w:p w14:paraId="369E0C01" w14:textId="77777777" w:rsidR="0014798C" w:rsidRDefault="004E1F0B">
      <w:pPr>
        <w:pStyle w:val="Prrafodelista"/>
        <w:numPr>
          <w:ilvl w:val="0"/>
          <w:numId w:val="84"/>
        </w:numPr>
        <w:tabs>
          <w:tab w:val="left" w:pos="1338"/>
          <w:tab w:val="left" w:pos="1366"/>
        </w:tabs>
        <w:spacing w:before="72" w:line="288" w:lineRule="auto"/>
        <w:ind w:left="1366" w:right="1603" w:hanging="255"/>
        <w:rPr>
          <w:sz w:val="13"/>
        </w:rPr>
      </w:pPr>
      <w:r>
        <w:rPr>
          <w:sz w:val="12"/>
        </w:rPr>
        <w:t>Mientras</w:t>
      </w:r>
      <w:r>
        <w:rPr>
          <w:spacing w:val="-6"/>
          <w:sz w:val="12"/>
        </w:rPr>
        <w:t xml:space="preserve"> </w:t>
      </w:r>
      <w:r>
        <w:rPr>
          <w:sz w:val="12"/>
        </w:rPr>
        <w:t>que</w:t>
      </w:r>
      <w:r>
        <w:rPr>
          <w:spacing w:val="-6"/>
          <w:sz w:val="12"/>
        </w:rPr>
        <w:t xml:space="preserve"> </w:t>
      </w:r>
      <w:r>
        <w:rPr>
          <w:sz w:val="12"/>
        </w:rPr>
        <w:t>el</w:t>
      </w:r>
      <w:r>
        <w:rPr>
          <w:spacing w:val="-6"/>
          <w:sz w:val="12"/>
        </w:rPr>
        <w:t xml:space="preserve"> </w:t>
      </w:r>
      <w:r>
        <w:rPr>
          <w:sz w:val="12"/>
        </w:rPr>
        <w:t>artículo</w:t>
      </w:r>
      <w:r>
        <w:rPr>
          <w:spacing w:val="-6"/>
          <w:sz w:val="12"/>
        </w:rPr>
        <w:t xml:space="preserve"> </w:t>
      </w:r>
      <w:r>
        <w:rPr>
          <w:sz w:val="12"/>
        </w:rPr>
        <w:t>2</w:t>
      </w:r>
      <w:r>
        <w:rPr>
          <w:spacing w:val="-6"/>
          <w:sz w:val="12"/>
        </w:rPr>
        <w:t xml:space="preserve"> </w:t>
      </w:r>
      <w:r>
        <w:rPr>
          <w:sz w:val="12"/>
        </w:rPr>
        <w:t>de</w:t>
      </w:r>
      <w:r>
        <w:rPr>
          <w:spacing w:val="-6"/>
          <w:sz w:val="12"/>
        </w:rPr>
        <w:t xml:space="preserve"> </w:t>
      </w:r>
      <w:r>
        <w:rPr>
          <w:sz w:val="12"/>
        </w:rPr>
        <w:t>la</w:t>
      </w:r>
      <w:r>
        <w:rPr>
          <w:spacing w:val="-6"/>
          <w:sz w:val="12"/>
        </w:rPr>
        <w:t xml:space="preserve"> </w:t>
      </w:r>
      <w:r>
        <w:rPr>
          <w:sz w:val="12"/>
        </w:rPr>
        <w:t>Declaración</w:t>
      </w:r>
      <w:r>
        <w:rPr>
          <w:spacing w:val="-6"/>
          <w:sz w:val="12"/>
        </w:rPr>
        <w:t xml:space="preserve"> </w:t>
      </w:r>
      <w:r>
        <w:rPr>
          <w:sz w:val="12"/>
        </w:rPr>
        <w:t>Universal</w:t>
      </w:r>
      <w:r>
        <w:rPr>
          <w:spacing w:val="-6"/>
          <w:sz w:val="12"/>
        </w:rPr>
        <w:t xml:space="preserve"> </w:t>
      </w:r>
      <w:r>
        <w:rPr>
          <w:sz w:val="12"/>
        </w:rPr>
        <w:t>de</w:t>
      </w:r>
      <w:r>
        <w:rPr>
          <w:spacing w:val="-6"/>
          <w:sz w:val="12"/>
        </w:rPr>
        <w:t xml:space="preserve"> </w:t>
      </w:r>
      <w:r>
        <w:rPr>
          <w:sz w:val="12"/>
        </w:rPr>
        <w:t>Derechos</w:t>
      </w:r>
      <w:r>
        <w:rPr>
          <w:spacing w:val="-6"/>
          <w:sz w:val="12"/>
        </w:rPr>
        <w:t xml:space="preserve"> </w:t>
      </w:r>
      <w:r>
        <w:rPr>
          <w:sz w:val="12"/>
        </w:rPr>
        <w:t>Humanos</w:t>
      </w:r>
      <w:r>
        <w:rPr>
          <w:spacing w:val="-6"/>
          <w:sz w:val="12"/>
        </w:rPr>
        <w:t xml:space="preserve"> </w:t>
      </w:r>
      <w:r>
        <w:rPr>
          <w:sz w:val="12"/>
        </w:rPr>
        <w:t>utiliza</w:t>
      </w:r>
      <w:r>
        <w:rPr>
          <w:spacing w:val="-6"/>
          <w:sz w:val="12"/>
        </w:rPr>
        <w:t xml:space="preserve"> </w:t>
      </w:r>
      <w:r>
        <w:rPr>
          <w:sz w:val="12"/>
        </w:rPr>
        <w:t>el</w:t>
      </w:r>
      <w:r>
        <w:rPr>
          <w:spacing w:val="-6"/>
          <w:sz w:val="12"/>
        </w:rPr>
        <w:t xml:space="preserve"> </w:t>
      </w:r>
      <w:r>
        <w:rPr>
          <w:sz w:val="12"/>
        </w:rPr>
        <w:t>término</w:t>
      </w:r>
      <w:r>
        <w:rPr>
          <w:spacing w:val="-6"/>
          <w:sz w:val="12"/>
        </w:rPr>
        <w:t xml:space="preserve"> </w:t>
      </w:r>
      <w:r>
        <w:rPr>
          <w:sz w:val="12"/>
        </w:rPr>
        <w:t>“religión”,</w:t>
      </w:r>
      <w:r>
        <w:rPr>
          <w:spacing w:val="-5"/>
          <w:sz w:val="12"/>
        </w:rPr>
        <w:t xml:space="preserve"> </w:t>
      </w:r>
      <w:r>
        <w:rPr>
          <w:sz w:val="12"/>
        </w:rPr>
        <w:t>el</w:t>
      </w:r>
      <w:r>
        <w:rPr>
          <w:spacing w:val="-6"/>
          <w:sz w:val="12"/>
        </w:rPr>
        <w:t xml:space="preserve"> </w:t>
      </w:r>
      <w:r>
        <w:rPr>
          <w:sz w:val="12"/>
        </w:rPr>
        <w:t>artículo</w:t>
      </w:r>
      <w:r>
        <w:rPr>
          <w:spacing w:val="-6"/>
          <w:sz w:val="12"/>
        </w:rPr>
        <w:t xml:space="preserve"> </w:t>
      </w:r>
      <w:r>
        <w:rPr>
          <w:sz w:val="12"/>
        </w:rPr>
        <w:t>18</w:t>
      </w:r>
      <w:r>
        <w:rPr>
          <w:spacing w:val="-6"/>
          <w:sz w:val="12"/>
        </w:rPr>
        <w:t xml:space="preserve"> </w:t>
      </w:r>
      <w:r>
        <w:rPr>
          <w:sz w:val="12"/>
        </w:rPr>
        <w:t>(sobre</w:t>
      </w:r>
      <w:r>
        <w:rPr>
          <w:spacing w:val="-6"/>
          <w:sz w:val="12"/>
        </w:rPr>
        <w:t xml:space="preserve"> </w:t>
      </w:r>
      <w:r>
        <w:rPr>
          <w:sz w:val="12"/>
        </w:rPr>
        <w:t>el</w:t>
      </w:r>
      <w:r>
        <w:rPr>
          <w:spacing w:val="-6"/>
          <w:sz w:val="12"/>
        </w:rPr>
        <w:t xml:space="preserve"> </w:t>
      </w:r>
      <w:r>
        <w:rPr>
          <w:sz w:val="12"/>
        </w:rPr>
        <w:t>derecho</w:t>
      </w:r>
      <w:r>
        <w:rPr>
          <w:spacing w:val="-6"/>
          <w:sz w:val="12"/>
        </w:rPr>
        <w:t xml:space="preserve"> </w:t>
      </w:r>
      <w:r>
        <w:rPr>
          <w:sz w:val="12"/>
        </w:rPr>
        <w:t>a</w:t>
      </w:r>
      <w:r>
        <w:rPr>
          <w:spacing w:val="-6"/>
          <w:sz w:val="12"/>
        </w:rPr>
        <w:t xml:space="preserve"> </w:t>
      </w:r>
      <w:r>
        <w:rPr>
          <w:sz w:val="12"/>
        </w:rPr>
        <w:t>la</w:t>
      </w:r>
      <w:r>
        <w:rPr>
          <w:spacing w:val="-6"/>
          <w:sz w:val="12"/>
        </w:rPr>
        <w:t xml:space="preserve"> </w:t>
      </w:r>
      <w:r>
        <w:rPr>
          <w:sz w:val="12"/>
        </w:rPr>
        <w:t>libertad</w:t>
      </w:r>
      <w:r>
        <w:rPr>
          <w:spacing w:val="-6"/>
          <w:sz w:val="12"/>
        </w:rPr>
        <w:t xml:space="preserve"> </w:t>
      </w:r>
      <w:r>
        <w:rPr>
          <w:sz w:val="12"/>
        </w:rPr>
        <w:t>de</w:t>
      </w:r>
      <w:r>
        <w:rPr>
          <w:spacing w:val="-6"/>
          <w:sz w:val="12"/>
        </w:rPr>
        <w:t xml:space="preserve"> </w:t>
      </w:r>
      <w:r>
        <w:rPr>
          <w:sz w:val="12"/>
        </w:rPr>
        <w:t>pensamiento,</w:t>
      </w:r>
      <w:r>
        <w:rPr>
          <w:spacing w:val="40"/>
          <w:sz w:val="12"/>
        </w:rPr>
        <w:t xml:space="preserve"> </w:t>
      </w:r>
      <w:r>
        <w:rPr>
          <w:sz w:val="13"/>
        </w:rPr>
        <w:t>conciencia y religión) se refiere a “religión o creencia”. Los artículos 2 (1) y 18 del Pacto Internacional de Derechos Civiles y Políticos utilizan un</w:t>
      </w:r>
      <w:r>
        <w:rPr>
          <w:spacing w:val="40"/>
          <w:sz w:val="13"/>
        </w:rPr>
        <w:t xml:space="preserve"> </w:t>
      </w:r>
      <w:r>
        <w:rPr>
          <w:sz w:val="13"/>
        </w:rPr>
        <w:t>lenguaje similar. En sus comentarios, los órganos creados en virtud de tratados de derechos humanos han dejado claro que la prohibición de la</w:t>
      </w:r>
      <w:r>
        <w:rPr>
          <w:spacing w:val="40"/>
          <w:sz w:val="13"/>
        </w:rPr>
        <w:t xml:space="preserve"> </w:t>
      </w:r>
      <w:r>
        <w:rPr>
          <w:sz w:val="13"/>
        </w:rPr>
        <w:t>discriminación se aplica sobre la base de la “religión o creencia” de una persona (incluida la no profesión de cualquier religión o creencia). Esto se</w:t>
      </w:r>
      <w:r>
        <w:rPr>
          <w:spacing w:val="40"/>
          <w:sz w:val="13"/>
        </w:rPr>
        <w:t xml:space="preserve"> </w:t>
      </w:r>
      <w:r>
        <w:rPr>
          <w:sz w:val="13"/>
        </w:rPr>
        <w:t>hace explícito en el artículo 1 (1) de la Convención Internacional sobre la protección de los derechos de todos los trabajadores migratorios y de sus</w:t>
      </w:r>
      <w:r>
        <w:rPr>
          <w:spacing w:val="40"/>
          <w:sz w:val="13"/>
        </w:rPr>
        <w:t xml:space="preserve"> </w:t>
      </w:r>
      <w:r>
        <w:rPr>
          <w:sz w:val="13"/>
        </w:rPr>
        <w:t>familiares, que utiliza el término “religión o convicción”. Véase, a modo de ejemplo, Comité de Derechos Humanos, observación general núm. 22</w:t>
      </w:r>
    </w:p>
    <w:p w14:paraId="683F6245" w14:textId="77777777" w:rsidR="0014798C" w:rsidRDefault="004E1F0B">
      <w:pPr>
        <w:spacing w:before="2" w:line="288" w:lineRule="auto"/>
        <w:ind w:left="1367" w:right="629" w:firstLine="4"/>
        <w:rPr>
          <w:sz w:val="13"/>
        </w:rPr>
      </w:pPr>
      <w:r>
        <w:rPr>
          <w:sz w:val="13"/>
        </w:rPr>
        <w:t xml:space="preserve">(1993), </w:t>
      </w:r>
      <w:proofErr w:type="spellStart"/>
      <w:r>
        <w:rPr>
          <w:sz w:val="13"/>
        </w:rPr>
        <w:t>párrs</w:t>
      </w:r>
      <w:proofErr w:type="spellEnd"/>
      <w:r>
        <w:rPr>
          <w:sz w:val="13"/>
        </w:rPr>
        <w:t>. 2, 10 y 11; Comité de Derechos Económicos, Sociales y Culturales, observación general núm. 20 (2009), párr. 22; y Comité para la Eliminación de</w:t>
      </w:r>
      <w:r>
        <w:rPr>
          <w:spacing w:val="40"/>
          <w:sz w:val="13"/>
        </w:rPr>
        <w:t xml:space="preserve"> </w:t>
      </w:r>
      <w:r>
        <w:rPr>
          <w:sz w:val="13"/>
        </w:rPr>
        <w:t>Discriminación contra la mujer, recomendación general núm. 28 (2010), párr. 18.</w:t>
      </w:r>
    </w:p>
    <w:p w14:paraId="62A9DE16" w14:textId="77777777" w:rsidR="0014798C" w:rsidRDefault="004E1F0B">
      <w:pPr>
        <w:pStyle w:val="Prrafodelista"/>
        <w:numPr>
          <w:ilvl w:val="0"/>
          <w:numId w:val="84"/>
        </w:numPr>
        <w:tabs>
          <w:tab w:val="left" w:pos="1338"/>
        </w:tabs>
        <w:spacing w:before="72"/>
        <w:ind w:left="1338" w:hanging="227"/>
        <w:rPr>
          <w:sz w:val="12"/>
        </w:rPr>
      </w:pPr>
      <w:r>
        <w:rPr>
          <w:spacing w:val="-2"/>
          <w:sz w:val="12"/>
        </w:rPr>
        <w:t>Declaración</w:t>
      </w:r>
      <w:r>
        <w:rPr>
          <w:spacing w:val="-1"/>
          <w:sz w:val="12"/>
        </w:rPr>
        <w:t xml:space="preserve"> </w:t>
      </w:r>
      <w:r>
        <w:rPr>
          <w:spacing w:val="-2"/>
          <w:sz w:val="12"/>
        </w:rPr>
        <w:t>Universal</w:t>
      </w:r>
      <w:r>
        <w:rPr>
          <w:sz w:val="12"/>
        </w:rPr>
        <w:t xml:space="preserve"> </w:t>
      </w:r>
      <w:r>
        <w:rPr>
          <w:spacing w:val="-2"/>
          <w:sz w:val="12"/>
        </w:rPr>
        <w:t>de</w:t>
      </w:r>
      <w:r>
        <w:rPr>
          <w:sz w:val="12"/>
        </w:rPr>
        <w:t xml:space="preserve"> </w:t>
      </w:r>
      <w:r>
        <w:rPr>
          <w:spacing w:val="-2"/>
          <w:sz w:val="12"/>
        </w:rPr>
        <w:t>Derechos</w:t>
      </w:r>
      <w:r>
        <w:rPr>
          <w:sz w:val="12"/>
        </w:rPr>
        <w:t xml:space="preserve"> </w:t>
      </w:r>
      <w:r>
        <w:rPr>
          <w:spacing w:val="-2"/>
          <w:sz w:val="12"/>
        </w:rPr>
        <w:t>Humanos,</w:t>
      </w:r>
      <w:r>
        <w:rPr>
          <w:sz w:val="12"/>
        </w:rPr>
        <w:t xml:space="preserve"> </w:t>
      </w:r>
      <w:r>
        <w:rPr>
          <w:spacing w:val="-2"/>
          <w:sz w:val="12"/>
        </w:rPr>
        <w:t>art.</w:t>
      </w:r>
      <w:r>
        <w:rPr>
          <w:spacing w:val="-1"/>
          <w:sz w:val="12"/>
        </w:rPr>
        <w:t xml:space="preserve"> </w:t>
      </w:r>
      <w:r>
        <w:rPr>
          <w:spacing w:val="-5"/>
          <w:sz w:val="12"/>
        </w:rPr>
        <w:t>2.</w:t>
      </w:r>
    </w:p>
    <w:p w14:paraId="29B9D6D9" w14:textId="77777777" w:rsidR="0014798C" w:rsidRDefault="0014798C">
      <w:pPr>
        <w:pStyle w:val="Textoindependiente"/>
        <w:rPr>
          <w:sz w:val="17"/>
        </w:rPr>
      </w:pPr>
    </w:p>
    <w:p w14:paraId="5974090A" w14:textId="77777777" w:rsidR="0014798C" w:rsidRDefault="0014798C">
      <w:pPr>
        <w:pStyle w:val="Textoindependiente"/>
        <w:rPr>
          <w:sz w:val="17"/>
        </w:rPr>
      </w:pPr>
    </w:p>
    <w:p w14:paraId="538BA60A" w14:textId="77777777" w:rsidR="0014798C" w:rsidRDefault="0014798C">
      <w:pPr>
        <w:pStyle w:val="Textoindependiente"/>
        <w:spacing w:before="63"/>
        <w:rPr>
          <w:sz w:val="17"/>
        </w:rPr>
      </w:pPr>
    </w:p>
    <w:p w14:paraId="2F6DAC91" w14:textId="77777777" w:rsidR="0014798C" w:rsidRDefault="004E1F0B">
      <w:pPr>
        <w:ind w:right="703"/>
        <w:jc w:val="right"/>
        <w:rPr>
          <w:sz w:val="17"/>
        </w:rPr>
      </w:pPr>
      <w:r>
        <w:rPr>
          <w:spacing w:val="-5"/>
          <w:w w:val="105"/>
          <w:sz w:val="17"/>
        </w:rPr>
        <w:t>19</w:t>
      </w:r>
    </w:p>
    <w:p w14:paraId="1D8215D6" w14:textId="77777777" w:rsidR="0014798C" w:rsidRDefault="0014798C">
      <w:pPr>
        <w:jc w:val="right"/>
        <w:rPr>
          <w:sz w:val="17"/>
        </w:rPr>
        <w:sectPr w:rsidR="0014798C" w:rsidSect="00F265E4">
          <w:pgSz w:w="11900" w:h="16820"/>
          <w:pgMar w:top="340" w:right="0" w:bottom="280" w:left="200" w:header="121" w:footer="0" w:gutter="0"/>
          <w:cols w:space="720"/>
        </w:sectPr>
      </w:pPr>
    </w:p>
    <w:p w14:paraId="228C8072" w14:textId="77777777" w:rsidR="0014798C" w:rsidRDefault="0014798C">
      <w:pPr>
        <w:pStyle w:val="Textoindependiente"/>
        <w:spacing w:before="85"/>
        <w:rPr>
          <w:sz w:val="12"/>
        </w:rPr>
      </w:pPr>
    </w:p>
    <w:p w14:paraId="032856C1" w14:textId="77777777" w:rsidR="0014798C" w:rsidRDefault="004E1F0B">
      <w:pPr>
        <w:ind w:left="1111"/>
        <w:rPr>
          <w:sz w:val="12"/>
        </w:rPr>
      </w:pPr>
      <w:r>
        <w:rPr>
          <w:color w:val="00AC59"/>
          <w:sz w:val="12"/>
        </w:rPr>
        <w:t>PROTECCIÓN</w:t>
      </w:r>
      <w:r>
        <w:rPr>
          <w:color w:val="00AC59"/>
          <w:spacing w:val="6"/>
          <w:sz w:val="12"/>
        </w:rPr>
        <w:t xml:space="preserve"> </w:t>
      </w:r>
      <w:r>
        <w:rPr>
          <w:color w:val="00AC59"/>
          <w:sz w:val="12"/>
        </w:rPr>
        <w:t>DE</w:t>
      </w:r>
      <w:r>
        <w:rPr>
          <w:color w:val="00AC59"/>
          <w:spacing w:val="7"/>
          <w:sz w:val="12"/>
        </w:rPr>
        <w:t xml:space="preserve"> </w:t>
      </w:r>
      <w:r>
        <w:rPr>
          <w:color w:val="00AC59"/>
          <w:sz w:val="12"/>
        </w:rPr>
        <w:t>LOS</w:t>
      </w:r>
      <w:r>
        <w:rPr>
          <w:color w:val="00AC59"/>
          <w:spacing w:val="8"/>
          <w:sz w:val="12"/>
        </w:rPr>
        <w:t xml:space="preserve"> </w:t>
      </w:r>
      <w:r>
        <w:rPr>
          <w:color w:val="00AC59"/>
          <w:sz w:val="12"/>
        </w:rPr>
        <w:t>DERECHOS</w:t>
      </w:r>
      <w:r>
        <w:rPr>
          <w:color w:val="00AC59"/>
          <w:spacing w:val="8"/>
          <w:sz w:val="12"/>
        </w:rPr>
        <w:t xml:space="preserve"> </w:t>
      </w:r>
      <w:r>
        <w:rPr>
          <w:color w:val="00AC59"/>
          <w:sz w:val="12"/>
        </w:rPr>
        <w:t>DE</w:t>
      </w:r>
      <w:r>
        <w:rPr>
          <w:color w:val="00AC59"/>
          <w:spacing w:val="6"/>
          <w:sz w:val="12"/>
        </w:rPr>
        <w:t xml:space="preserve"> </w:t>
      </w:r>
      <w:r>
        <w:rPr>
          <w:color w:val="00AC59"/>
          <w:sz w:val="12"/>
        </w:rPr>
        <w:t>LAS</w:t>
      </w:r>
      <w:r>
        <w:rPr>
          <w:color w:val="00AC59"/>
          <w:spacing w:val="7"/>
          <w:sz w:val="12"/>
        </w:rPr>
        <w:t xml:space="preserve"> </w:t>
      </w:r>
      <w:r>
        <w:rPr>
          <w:color w:val="00AC59"/>
          <w:sz w:val="12"/>
        </w:rPr>
        <w:t>MINORÍAS:</w:t>
      </w:r>
      <w:r>
        <w:rPr>
          <w:color w:val="00AC59"/>
          <w:spacing w:val="8"/>
          <w:sz w:val="12"/>
        </w:rPr>
        <w:t xml:space="preserve"> </w:t>
      </w:r>
      <w:r>
        <w:rPr>
          <w:color w:val="00AC59"/>
          <w:sz w:val="12"/>
        </w:rPr>
        <w:t>una</w:t>
      </w:r>
      <w:r>
        <w:rPr>
          <w:color w:val="00AC59"/>
          <w:spacing w:val="7"/>
          <w:sz w:val="12"/>
        </w:rPr>
        <w:t xml:space="preserve"> </w:t>
      </w:r>
      <w:r>
        <w:rPr>
          <w:color w:val="00AC59"/>
          <w:sz w:val="12"/>
        </w:rPr>
        <w:t>guía</w:t>
      </w:r>
      <w:r>
        <w:rPr>
          <w:color w:val="00AC59"/>
          <w:spacing w:val="6"/>
          <w:sz w:val="12"/>
        </w:rPr>
        <w:t xml:space="preserve"> </w:t>
      </w:r>
      <w:r>
        <w:rPr>
          <w:color w:val="00AC59"/>
          <w:sz w:val="12"/>
        </w:rPr>
        <w:t>práctica</w:t>
      </w:r>
      <w:r>
        <w:rPr>
          <w:color w:val="00AC59"/>
          <w:spacing w:val="7"/>
          <w:sz w:val="12"/>
        </w:rPr>
        <w:t xml:space="preserve"> </w:t>
      </w:r>
      <w:r>
        <w:rPr>
          <w:color w:val="00AC59"/>
          <w:sz w:val="12"/>
        </w:rPr>
        <w:t>para</w:t>
      </w:r>
      <w:r>
        <w:rPr>
          <w:color w:val="00AC59"/>
          <w:spacing w:val="8"/>
          <w:sz w:val="12"/>
        </w:rPr>
        <w:t xml:space="preserve"> </w:t>
      </w:r>
      <w:r>
        <w:rPr>
          <w:color w:val="00AC59"/>
          <w:sz w:val="12"/>
        </w:rPr>
        <w:t>desarrollar</w:t>
      </w:r>
      <w:r>
        <w:rPr>
          <w:color w:val="00AC59"/>
          <w:spacing w:val="6"/>
          <w:sz w:val="12"/>
        </w:rPr>
        <w:t xml:space="preserve"> </w:t>
      </w:r>
      <w:r>
        <w:rPr>
          <w:color w:val="00AC59"/>
          <w:sz w:val="12"/>
        </w:rPr>
        <w:t>una</w:t>
      </w:r>
      <w:r>
        <w:rPr>
          <w:color w:val="00AC59"/>
          <w:spacing w:val="7"/>
          <w:sz w:val="12"/>
        </w:rPr>
        <w:t xml:space="preserve"> </w:t>
      </w:r>
      <w:r>
        <w:rPr>
          <w:color w:val="00AC59"/>
          <w:sz w:val="12"/>
        </w:rPr>
        <w:t>legislación</w:t>
      </w:r>
      <w:r>
        <w:rPr>
          <w:color w:val="00AC59"/>
          <w:spacing w:val="8"/>
          <w:sz w:val="12"/>
        </w:rPr>
        <w:t xml:space="preserve"> </w:t>
      </w:r>
      <w:r>
        <w:rPr>
          <w:color w:val="00AC59"/>
          <w:sz w:val="12"/>
        </w:rPr>
        <w:t>integral</w:t>
      </w:r>
      <w:r>
        <w:rPr>
          <w:color w:val="00AC59"/>
          <w:spacing w:val="7"/>
          <w:sz w:val="12"/>
        </w:rPr>
        <w:t xml:space="preserve"> </w:t>
      </w:r>
      <w:r>
        <w:rPr>
          <w:color w:val="00AC59"/>
          <w:sz w:val="12"/>
        </w:rPr>
        <w:t>contra</w:t>
      </w:r>
      <w:r>
        <w:rPr>
          <w:color w:val="00AC59"/>
          <w:spacing w:val="6"/>
          <w:sz w:val="12"/>
        </w:rPr>
        <w:t xml:space="preserve"> </w:t>
      </w:r>
      <w:r>
        <w:rPr>
          <w:color w:val="00AC59"/>
          <w:sz w:val="12"/>
        </w:rPr>
        <w:t>la</w:t>
      </w:r>
      <w:r>
        <w:rPr>
          <w:color w:val="00AC59"/>
          <w:spacing w:val="7"/>
          <w:sz w:val="12"/>
        </w:rPr>
        <w:t xml:space="preserve"> </w:t>
      </w:r>
      <w:r>
        <w:rPr>
          <w:color w:val="00AC59"/>
          <w:spacing w:val="-2"/>
          <w:sz w:val="12"/>
        </w:rPr>
        <w:t>discriminación</w:t>
      </w:r>
    </w:p>
    <w:p w14:paraId="3D94EC93" w14:textId="77777777" w:rsidR="0014798C" w:rsidRDefault="0014798C">
      <w:pPr>
        <w:pStyle w:val="Textoindependiente"/>
      </w:pPr>
    </w:p>
    <w:p w14:paraId="1544A1AB" w14:textId="77777777" w:rsidR="0014798C" w:rsidRDefault="0014798C">
      <w:pPr>
        <w:pStyle w:val="Textoindependiente"/>
      </w:pPr>
    </w:p>
    <w:p w14:paraId="04FAD492" w14:textId="77777777" w:rsidR="0014798C" w:rsidRDefault="0014798C">
      <w:pPr>
        <w:pStyle w:val="Textoindependiente"/>
      </w:pPr>
    </w:p>
    <w:p w14:paraId="25B9A867" w14:textId="77777777" w:rsidR="0014798C" w:rsidRDefault="0014798C">
      <w:pPr>
        <w:pStyle w:val="Textoindependiente"/>
      </w:pPr>
    </w:p>
    <w:p w14:paraId="5E7E3635" w14:textId="77777777" w:rsidR="0014798C" w:rsidRDefault="0014798C">
      <w:pPr>
        <w:pStyle w:val="Textoindependiente"/>
        <w:spacing w:before="106"/>
      </w:pPr>
    </w:p>
    <w:p w14:paraId="2AF27156" w14:textId="77777777" w:rsidR="0014798C" w:rsidRDefault="004E1F0B">
      <w:pPr>
        <w:pStyle w:val="Textoindependiente"/>
        <w:spacing w:line="326" w:lineRule="auto"/>
        <w:ind w:left="1109" w:right="1272"/>
      </w:pPr>
      <w:r>
        <w:t>Derechos, que utilizan la misma lista de motivos.125 La Convención Internacional sobre la Eliminación de todas las Formas de Discriminación Racial, adoptada en 1965, reconoce además la “ascendencia” y el “origen étnico” como formas de discriminación racial prohibidas por la Convención.126</w:t>
      </w:r>
    </w:p>
    <w:p w14:paraId="31F2C12A" w14:textId="77777777" w:rsidR="0014798C" w:rsidRDefault="004E1F0B">
      <w:pPr>
        <w:pStyle w:val="Textoindependiente"/>
        <w:spacing w:before="168" w:line="326" w:lineRule="auto"/>
        <w:ind w:left="1106" w:right="1342" w:firstLine="5"/>
      </w:pPr>
      <w:r>
        <w:t>Los tratados posteriores han reconocido una gama cada vez mayor de motivos. Según la Convención sobre la Eliminación de Todas las Formas de Discriminación contra la Mujer, la discriminación basada en el estado civil, el embarazo y la maternidad (o paternidad)127 está prohibida.128 El artículo 2 (1) de la Convención sobre los Derechos del Niño reconoce explícitamente la discapacidad como un motivo de discriminación, posición sustancialmente reforzada mediante la adopción de la Convención</w:t>
      </w:r>
      <w:r>
        <w:rPr>
          <w:spacing w:val="40"/>
        </w:rPr>
        <w:t xml:space="preserve"> </w:t>
      </w:r>
      <w:r>
        <w:t>sobre los derechos de las personas con discapacidad en 2006.129 La Convención Internacional sobre la protección de los derechos de todos los trabajadores migratorios y de sus familiares, adoptada en 1990, captura muchos de estos desarrollos, reafirmando</w:t>
      </w:r>
      <w:r>
        <w:rPr>
          <w:spacing w:val="11"/>
        </w:rPr>
        <w:t xml:space="preserve"> </w:t>
      </w:r>
      <w:r>
        <w:t>la</w:t>
      </w:r>
      <w:r>
        <w:rPr>
          <w:spacing w:val="11"/>
        </w:rPr>
        <w:t xml:space="preserve"> </w:t>
      </w:r>
      <w:r>
        <w:t>mayoría</w:t>
      </w:r>
      <w:r>
        <w:rPr>
          <w:spacing w:val="11"/>
        </w:rPr>
        <w:t xml:space="preserve"> </w:t>
      </w:r>
      <w:r>
        <w:t>de</w:t>
      </w:r>
      <w:r>
        <w:rPr>
          <w:spacing w:val="11"/>
        </w:rPr>
        <w:t xml:space="preserve"> </w:t>
      </w:r>
      <w:r>
        <w:t>los</w:t>
      </w:r>
      <w:r>
        <w:rPr>
          <w:spacing w:val="11"/>
        </w:rPr>
        <w:t xml:space="preserve"> </w:t>
      </w:r>
      <w:r>
        <w:t>motivos</w:t>
      </w:r>
      <w:r>
        <w:rPr>
          <w:spacing w:val="11"/>
        </w:rPr>
        <w:t xml:space="preserve"> </w:t>
      </w:r>
      <w:r>
        <w:t>enumerados</w:t>
      </w:r>
      <w:r>
        <w:rPr>
          <w:spacing w:val="11"/>
        </w:rPr>
        <w:t xml:space="preserve"> </w:t>
      </w:r>
      <w:r>
        <w:t>anteriormente</w:t>
      </w:r>
      <w:r>
        <w:rPr>
          <w:spacing w:val="11"/>
        </w:rPr>
        <w:t xml:space="preserve"> </w:t>
      </w:r>
      <w:r>
        <w:t>y</w:t>
      </w:r>
      <w:r>
        <w:rPr>
          <w:spacing w:val="11"/>
        </w:rPr>
        <w:t xml:space="preserve"> </w:t>
      </w:r>
      <w:r>
        <w:t>reconociendo</w:t>
      </w:r>
      <w:r>
        <w:rPr>
          <w:spacing w:val="11"/>
        </w:rPr>
        <w:t xml:space="preserve"> </w:t>
      </w:r>
      <w:r>
        <w:t>además</w:t>
      </w:r>
      <w:r>
        <w:rPr>
          <w:spacing w:val="11"/>
        </w:rPr>
        <w:t xml:space="preserve"> </w:t>
      </w:r>
      <w:r>
        <w:t>la</w:t>
      </w:r>
      <w:r>
        <w:rPr>
          <w:spacing w:val="11"/>
        </w:rPr>
        <w:t xml:space="preserve"> </w:t>
      </w:r>
      <w:r>
        <w:t>edad,</w:t>
      </w:r>
      <w:r>
        <w:rPr>
          <w:spacing w:val="12"/>
        </w:rPr>
        <w:t xml:space="preserve"> </w:t>
      </w:r>
      <w:r>
        <w:t>la</w:t>
      </w:r>
      <w:r>
        <w:rPr>
          <w:spacing w:val="11"/>
        </w:rPr>
        <w:t xml:space="preserve"> </w:t>
      </w:r>
      <w:r>
        <w:t>posición</w:t>
      </w:r>
      <w:r>
        <w:rPr>
          <w:spacing w:val="11"/>
        </w:rPr>
        <w:t xml:space="preserve"> </w:t>
      </w:r>
      <w:r>
        <w:t>económica130</w:t>
      </w:r>
      <w:r>
        <w:rPr>
          <w:spacing w:val="11"/>
        </w:rPr>
        <w:t xml:space="preserve"> </w:t>
      </w:r>
      <w:r>
        <w:t>y la nacionalidad como protegidas.131</w:t>
      </w:r>
    </w:p>
    <w:p w14:paraId="48E948B1" w14:textId="77777777" w:rsidR="0014798C" w:rsidRDefault="004E1F0B">
      <w:pPr>
        <w:pStyle w:val="Textoindependiente"/>
        <w:spacing w:before="166" w:line="326" w:lineRule="auto"/>
        <w:ind w:left="1108" w:right="1335"/>
      </w:pPr>
      <w:r>
        <w:t>Además de proporcionar una lista explícita de motivos, muchos de los principales tratados de derechos humanos, incluidos el Pacto Internacional de Derechos Civiles y Políticos y el Pacto Internacional de Derechos Económicos, Sociales y Culturales, también prohíben la discriminación por motivos de “otra condición”. .132 Varios instrumentos regionales de derechos humanos contienen disposiciones redactadas de manera similar.133 El término “otra condición” indica que la lista de motivos establecidos</w:t>
      </w:r>
      <w:r>
        <w:rPr>
          <w:spacing w:val="40"/>
        </w:rPr>
        <w:t xml:space="preserve"> </w:t>
      </w:r>
      <w:r>
        <w:t>en los Pactos es ilustrativa, más que exhaustiva; permitiendo que se reconozcan nuevos motivos a medida que evoluciona la comprensión de la discriminación.134</w:t>
      </w:r>
    </w:p>
    <w:p w14:paraId="38967F60" w14:textId="77777777" w:rsidR="0014798C" w:rsidRDefault="004E1F0B">
      <w:pPr>
        <w:pStyle w:val="Textoindependiente"/>
        <w:spacing w:before="9"/>
        <w:rPr>
          <w:sz w:val="7"/>
        </w:rPr>
      </w:pPr>
      <w:r>
        <w:rPr>
          <w:noProof/>
        </w:rPr>
        <mc:AlternateContent>
          <mc:Choice Requires="wpg">
            <w:drawing>
              <wp:anchor distT="0" distB="0" distL="0" distR="0" simplePos="0" relativeHeight="251658521" behindDoc="1" locked="0" layoutInCell="1" allowOverlap="1" wp14:anchorId="1120524A" wp14:editId="2001A3B9">
                <wp:simplePos x="0" y="0"/>
                <wp:positionH relativeFrom="page">
                  <wp:posOffset>790692</wp:posOffset>
                </wp:positionH>
                <wp:positionV relativeFrom="paragraph">
                  <wp:posOffset>72205</wp:posOffset>
                </wp:positionV>
                <wp:extent cx="5970905" cy="2305685"/>
                <wp:effectExtent l="0" t="0" r="0" b="0"/>
                <wp:wrapTopAndBottom/>
                <wp:docPr id="89" name="Group 8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970905" cy="2305685"/>
                          <a:chOff x="0" y="0"/>
                          <a:chExt cx="5970905" cy="2305685"/>
                        </a:xfrm>
                      </wpg:grpSpPr>
                      <pic:pic xmlns:pic="http://schemas.openxmlformats.org/drawingml/2006/picture">
                        <pic:nvPicPr>
                          <pic:cNvPr id="90" name="Image 90"/>
                          <pic:cNvPicPr/>
                        </pic:nvPicPr>
                        <pic:blipFill>
                          <a:blip r:embed="rId97" cstate="print"/>
                          <a:stretch>
                            <a:fillRect/>
                          </a:stretch>
                        </pic:blipFill>
                        <pic:spPr>
                          <a:xfrm>
                            <a:off x="0" y="0"/>
                            <a:ext cx="5970623" cy="2305090"/>
                          </a:xfrm>
                          <a:prstGeom prst="rect">
                            <a:avLst/>
                          </a:prstGeom>
                        </pic:spPr>
                      </pic:pic>
                      <wps:wsp>
                        <wps:cNvPr id="91" name="Textbox 91"/>
                        <wps:cNvSpPr txBox="1"/>
                        <wps:spPr>
                          <a:xfrm>
                            <a:off x="0" y="0"/>
                            <a:ext cx="5970905" cy="2305685"/>
                          </a:xfrm>
                          <a:prstGeom prst="rect">
                            <a:avLst/>
                          </a:prstGeom>
                        </wps:spPr>
                        <wps:txbx>
                          <w:txbxContent>
                            <w:p w14:paraId="342EC192" w14:textId="77777777" w:rsidR="0014798C" w:rsidRDefault="0014798C">
                              <w:pPr>
                                <w:rPr>
                                  <w:sz w:val="16"/>
                                </w:rPr>
                              </w:pPr>
                            </w:p>
                            <w:p w14:paraId="00C4DA21" w14:textId="77777777" w:rsidR="0014798C" w:rsidRDefault="0014798C">
                              <w:pPr>
                                <w:spacing w:before="8"/>
                                <w:rPr>
                                  <w:sz w:val="16"/>
                                </w:rPr>
                              </w:pPr>
                            </w:p>
                            <w:p w14:paraId="1AF0E088" w14:textId="77777777" w:rsidR="0014798C" w:rsidRDefault="004E1F0B">
                              <w:pPr>
                                <w:spacing w:line="295" w:lineRule="auto"/>
                                <w:ind w:left="297" w:right="1774"/>
                                <w:rPr>
                                  <w:sz w:val="16"/>
                                </w:rPr>
                              </w:pPr>
                              <w:r>
                                <w:rPr>
                                  <w:sz w:val="16"/>
                                </w:rPr>
                                <w:t>IDENTIFICACIÓN DE MOTIVOS ADICIONALES DE DISCRIMINACIÓN: INTERNACIONAL, PRÁCTICA REGIONAL Y NACIONAL</w:t>
                              </w:r>
                            </w:p>
                            <w:p w14:paraId="25E29242" w14:textId="77777777" w:rsidR="0014798C" w:rsidRDefault="004E1F0B">
                              <w:pPr>
                                <w:spacing w:before="178" w:line="326" w:lineRule="auto"/>
                                <w:ind w:left="289" w:right="411" w:hanging="2"/>
                                <w:rPr>
                                  <w:sz w:val="16"/>
                                </w:rPr>
                              </w:pPr>
                              <w:r>
                                <w:rPr>
                                  <w:sz w:val="16"/>
                                </w:rPr>
                                <w:t>En su Observación general No. 20 (2009), el Comité de Derechos Económicos, Sociales y Culturales destacó la importancia de “un enfoque flexible” para la comprensión del término “otra condición”. Según el Comité:</w:t>
                              </w:r>
                            </w:p>
                            <w:p w14:paraId="0011AC95" w14:textId="77777777" w:rsidR="0014798C" w:rsidRDefault="0014798C">
                              <w:pPr>
                                <w:spacing w:before="118"/>
                                <w:rPr>
                                  <w:sz w:val="16"/>
                                </w:rPr>
                              </w:pPr>
                            </w:p>
                            <w:p w14:paraId="41168D9C" w14:textId="77777777" w:rsidR="0014798C" w:rsidRDefault="004E1F0B">
                              <w:pPr>
                                <w:spacing w:line="307" w:lineRule="auto"/>
                                <w:ind w:left="628" w:right="411" w:hanging="1"/>
                                <w:rPr>
                                  <w:sz w:val="17"/>
                                </w:rPr>
                              </w:pPr>
                              <w:r>
                                <w:rPr>
                                  <w:w w:val="105"/>
                                  <w:sz w:val="17"/>
                                </w:rPr>
                                <w:t>La</w:t>
                              </w:r>
                              <w:r>
                                <w:rPr>
                                  <w:spacing w:val="-1"/>
                                  <w:w w:val="105"/>
                                  <w:sz w:val="17"/>
                                </w:rPr>
                                <w:t xml:space="preserve"> </w:t>
                              </w:r>
                              <w:r>
                                <w:rPr>
                                  <w:w w:val="105"/>
                                  <w:sz w:val="17"/>
                                </w:rPr>
                                <w:t>naturaleza</w:t>
                              </w:r>
                              <w:r>
                                <w:rPr>
                                  <w:spacing w:val="-1"/>
                                  <w:w w:val="105"/>
                                  <w:sz w:val="17"/>
                                </w:rPr>
                                <w:t xml:space="preserve"> </w:t>
                              </w:r>
                              <w:r>
                                <w:rPr>
                                  <w:w w:val="105"/>
                                  <w:sz w:val="17"/>
                                </w:rPr>
                                <w:t>de</w:t>
                              </w:r>
                              <w:r>
                                <w:rPr>
                                  <w:spacing w:val="-1"/>
                                  <w:w w:val="105"/>
                                  <w:sz w:val="17"/>
                                </w:rPr>
                                <w:t xml:space="preserve"> </w:t>
                              </w:r>
                              <w:r>
                                <w:rPr>
                                  <w:w w:val="105"/>
                                  <w:sz w:val="17"/>
                                </w:rPr>
                                <w:t>la</w:t>
                              </w:r>
                              <w:r>
                                <w:rPr>
                                  <w:spacing w:val="-1"/>
                                  <w:w w:val="105"/>
                                  <w:sz w:val="17"/>
                                </w:rPr>
                                <w:t xml:space="preserve"> </w:t>
                              </w:r>
                              <w:r>
                                <w:rPr>
                                  <w:w w:val="105"/>
                                  <w:sz w:val="17"/>
                                </w:rPr>
                                <w:t>discriminación</w:t>
                              </w:r>
                              <w:r>
                                <w:rPr>
                                  <w:spacing w:val="-1"/>
                                  <w:w w:val="105"/>
                                  <w:sz w:val="17"/>
                                </w:rPr>
                                <w:t xml:space="preserve"> </w:t>
                              </w:r>
                              <w:r>
                                <w:rPr>
                                  <w:w w:val="105"/>
                                  <w:sz w:val="17"/>
                                </w:rPr>
                                <w:t>varía</w:t>
                              </w:r>
                              <w:r>
                                <w:rPr>
                                  <w:spacing w:val="-1"/>
                                  <w:w w:val="105"/>
                                  <w:sz w:val="17"/>
                                </w:rPr>
                                <w:t xml:space="preserve"> </w:t>
                              </w:r>
                              <w:r>
                                <w:rPr>
                                  <w:w w:val="105"/>
                                  <w:sz w:val="17"/>
                                </w:rPr>
                                <w:t>según</w:t>
                              </w:r>
                              <w:r>
                                <w:rPr>
                                  <w:spacing w:val="-1"/>
                                  <w:w w:val="105"/>
                                  <w:sz w:val="17"/>
                                </w:rPr>
                                <w:t xml:space="preserve"> </w:t>
                              </w:r>
                              <w:r>
                                <w:rPr>
                                  <w:w w:val="105"/>
                                  <w:sz w:val="17"/>
                                </w:rPr>
                                <w:t>el</w:t>
                              </w:r>
                              <w:r>
                                <w:rPr>
                                  <w:spacing w:val="-1"/>
                                  <w:w w:val="105"/>
                                  <w:sz w:val="17"/>
                                </w:rPr>
                                <w:t xml:space="preserve"> </w:t>
                              </w:r>
                              <w:r>
                                <w:rPr>
                                  <w:w w:val="105"/>
                                  <w:sz w:val="17"/>
                                </w:rPr>
                                <w:t>contexto</w:t>
                              </w:r>
                              <w:r>
                                <w:rPr>
                                  <w:spacing w:val="-1"/>
                                  <w:w w:val="105"/>
                                  <w:sz w:val="17"/>
                                </w:rPr>
                                <w:t xml:space="preserve"> </w:t>
                              </w:r>
                              <w:r>
                                <w:rPr>
                                  <w:w w:val="105"/>
                                  <w:sz w:val="17"/>
                                </w:rPr>
                                <w:t>y</w:t>
                              </w:r>
                              <w:r>
                                <w:rPr>
                                  <w:spacing w:val="-1"/>
                                  <w:w w:val="105"/>
                                  <w:sz w:val="17"/>
                                </w:rPr>
                                <w:t xml:space="preserve"> </w:t>
                              </w:r>
                              <w:r>
                                <w:rPr>
                                  <w:w w:val="105"/>
                                  <w:sz w:val="17"/>
                                </w:rPr>
                                <w:t>evoluciona</w:t>
                              </w:r>
                              <w:r>
                                <w:rPr>
                                  <w:spacing w:val="-1"/>
                                  <w:w w:val="105"/>
                                  <w:sz w:val="17"/>
                                </w:rPr>
                                <w:t xml:space="preserve"> </w:t>
                              </w:r>
                              <w:r>
                                <w:rPr>
                                  <w:w w:val="105"/>
                                  <w:sz w:val="17"/>
                                </w:rPr>
                                <w:t>con</w:t>
                              </w:r>
                              <w:r>
                                <w:rPr>
                                  <w:spacing w:val="-1"/>
                                  <w:w w:val="105"/>
                                  <w:sz w:val="17"/>
                                </w:rPr>
                                <w:t xml:space="preserve"> </w:t>
                              </w:r>
                              <w:r>
                                <w:rPr>
                                  <w:w w:val="105"/>
                                  <w:sz w:val="17"/>
                                </w:rPr>
                                <w:t>el</w:t>
                              </w:r>
                              <w:r>
                                <w:rPr>
                                  <w:spacing w:val="-1"/>
                                  <w:w w:val="105"/>
                                  <w:sz w:val="17"/>
                                </w:rPr>
                                <w:t xml:space="preserve"> </w:t>
                              </w:r>
                              <w:r>
                                <w:rPr>
                                  <w:w w:val="105"/>
                                  <w:sz w:val="17"/>
                                </w:rPr>
                                <w:t>tiempo. Por</w:t>
                              </w:r>
                              <w:r>
                                <w:rPr>
                                  <w:spacing w:val="-1"/>
                                  <w:w w:val="105"/>
                                  <w:sz w:val="17"/>
                                </w:rPr>
                                <w:t xml:space="preserve"> </w:t>
                              </w:r>
                              <w:r>
                                <w:rPr>
                                  <w:w w:val="105"/>
                                  <w:sz w:val="17"/>
                                </w:rPr>
                                <w:t>lo</w:t>
                              </w:r>
                              <w:r>
                                <w:rPr>
                                  <w:spacing w:val="-1"/>
                                  <w:w w:val="105"/>
                                  <w:sz w:val="17"/>
                                </w:rPr>
                                <w:t xml:space="preserve"> </w:t>
                              </w:r>
                              <w:r>
                                <w:rPr>
                                  <w:w w:val="105"/>
                                  <w:sz w:val="17"/>
                                </w:rPr>
                                <w:t>tanto,</w:t>
                              </w:r>
                              <w:r>
                                <w:rPr>
                                  <w:spacing w:val="-1"/>
                                  <w:w w:val="105"/>
                                  <w:sz w:val="17"/>
                                </w:rPr>
                                <w:t xml:space="preserve"> </w:t>
                              </w:r>
                              <w:r>
                                <w:rPr>
                                  <w:w w:val="105"/>
                                  <w:sz w:val="17"/>
                                </w:rPr>
                                <w:t>se necesita</w:t>
                              </w:r>
                              <w:r>
                                <w:rPr>
                                  <w:spacing w:val="-2"/>
                                  <w:w w:val="105"/>
                                  <w:sz w:val="17"/>
                                </w:rPr>
                                <w:t xml:space="preserve"> </w:t>
                              </w:r>
                              <w:r>
                                <w:rPr>
                                  <w:w w:val="105"/>
                                  <w:sz w:val="17"/>
                                </w:rPr>
                                <w:t>un</w:t>
                              </w:r>
                              <w:r>
                                <w:rPr>
                                  <w:spacing w:val="-2"/>
                                  <w:w w:val="105"/>
                                  <w:sz w:val="17"/>
                                </w:rPr>
                                <w:t xml:space="preserve"> </w:t>
                              </w:r>
                              <w:r>
                                <w:rPr>
                                  <w:w w:val="105"/>
                                  <w:sz w:val="17"/>
                                </w:rPr>
                                <w:t>enfoque</w:t>
                              </w:r>
                              <w:r>
                                <w:rPr>
                                  <w:spacing w:val="-2"/>
                                  <w:w w:val="105"/>
                                  <w:sz w:val="17"/>
                                </w:rPr>
                                <w:t xml:space="preserve"> </w:t>
                              </w:r>
                              <w:r>
                                <w:rPr>
                                  <w:w w:val="105"/>
                                  <w:sz w:val="17"/>
                                </w:rPr>
                                <w:t>flexible</w:t>
                              </w:r>
                              <w:r>
                                <w:rPr>
                                  <w:spacing w:val="-2"/>
                                  <w:w w:val="105"/>
                                  <w:sz w:val="17"/>
                                </w:rPr>
                                <w:t xml:space="preserve"> </w:t>
                              </w:r>
                              <w:r>
                                <w:rPr>
                                  <w:w w:val="105"/>
                                  <w:sz w:val="17"/>
                                </w:rPr>
                                <w:t>respecto</w:t>
                              </w:r>
                              <w:r>
                                <w:rPr>
                                  <w:spacing w:val="-2"/>
                                  <w:w w:val="105"/>
                                  <w:sz w:val="17"/>
                                </w:rPr>
                                <w:t xml:space="preserve"> </w:t>
                              </w:r>
                              <w:r>
                                <w:rPr>
                                  <w:w w:val="105"/>
                                  <w:sz w:val="17"/>
                                </w:rPr>
                                <w:t>del</w:t>
                              </w:r>
                              <w:r>
                                <w:rPr>
                                  <w:spacing w:val="-2"/>
                                  <w:w w:val="105"/>
                                  <w:sz w:val="17"/>
                                </w:rPr>
                                <w:t xml:space="preserve"> </w:t>
                              </w:r>
                              <w:r>
                                <w:rPr>
                                  <w:w w:val="105"/>
                                  <w:sz w:val="17"/>
                                </w:rPr>
                                <w:t>motivo</w:t>
                              </w:r>
                              <w:r>
                                <w:rPr>
                                  <w:spacing w:val="-2"/>
                                  <w:w w:val="105"/>
                                  <w:sz w:val="17"/>
                                </w:rPr>
                                <w:t xml:space="preserve"> </w:t>
                              </w:r>
                              <w:r>
                                <w:rPr>
                                  <w:w w:val="105"/>
                                  <w:sz w:val="17"/>
                                </w:rPr>
                                <w:t>de</w:t>
                              </w:r>
                              <w:r>
                                <w:rPr>
                                  <w:spacing w:val="-2"/>
                                  <w:w w:val="105"/>
                                  <w:sz w:val="17"/>
                                </w:rPr>
                                <w:t xml:space="preserve"> </w:t>
                              </w:r>
                              <w:r>
                                <w:rPr>
                                  <w:w w:val="105"/>
                                  <w:sz w:val="17"/>
                                </w:rPr>
                                <w:t>“otra</w:t>
                              </w:r>
                              <w:r>
                                <w:rPr>
                                  <w:spacing w:val="-2"/>
                                  <w:w w:val="105"/>
                                  <w:sz w:val="17"/>
                                </w:rPr>
                                <w:t xml:space="preserve"> </w:t>
                              </w:r>
                              <w:r>
                                <w:rPr>
                                  <w:w w:val="105"/>
                                  <w:sz w:val="17"/>
                                </w:rPr>
                                <w:t>condición”</w:t>
                              </w:r>
                              <w:r>
                                <w:rPr>
                                  <w:spacing w:val="-2"/>
                                  <w:w w:val="105"/>
                                  <w:sz w:val="17"/>
                                </w:rPr>
                                <w:t xml:space="preserve"> </w:t>
                              </w:r>
                              <w:r>
                                <w:rPr>
                                  <w:w w:val="105"/>
                                  <w:sz w:val="17"/>
                                </w:rPr>
                                <w:t>a</w:t>
                              </w:r>
                              <w:r>
                                <w:rPr>
                                  <w:spacing w:val="-2"/>
                                  <w:w w:val="105"/>
                                  <w:sz w:val="17"/>
                                </w:rPr>
                                <w:t xml:space="preserve"> </w:t>
                              </w:r>
                              <w:r>
                                <w:rPr>
                                  <w:w w:val="105"/>
                                  <w:sz w:val="17"/>
                                </w:rPr>
                                <w:t>fin</w:t>
                              </w:r>
                              <w:r>
                                <w:rPr>
                                  <w:spacing w:val="-2"/>
                                  <w:w w:val="105"/>
                                  <w:sz w:val="17"/>
                                </w:rPr>
                                <w:t xml:space="preserve"> </w:t>
                              </w:r>
                              <w:r>
                                <w:rPr>
                                  <w:w w:val="105"/>
                                  <w:sz w:val="17"/>
                                </w:rPr>
                                <w:t>de</w:t>
                              </w:r>
                              <w:r>
                                <w:rPr>
                                  <w:spacing w:val="-2"/>
                                  <w:w w:val="105"/>
                                  <w:sz w:val="17"/>
                                </w:rPr>
                                <w:t xml:space="preserve"> </w:t>
                              </w:r>
                              <w:r>
                                <w:rPr>
                                  <w:w w:val="105"/>
                                  <w:sz w:val="17"/>
                                </w:rPr>
                                <w:t>abarcar</w:t>
                              </w:r>
                              <w:r>
                                <w:rPr>
                                  <w:spacing w:val="-2"/>
                                  <w:w w:val="105"/>
                                  <w:sz w:val="17"/>
                                </w:rPr>
                                <w:t xml:space="preserve"> </w:t>
                              </w:r>
                              <w:r>
                                <w:rPr>
                                  <w:w w:val="105"/>
                                  <w:sz w:val="17"/>
                                </w:rPr>
                                <w:t>otras</w:t>
                              </w:r>
                              <w:r>
                                <w:rPr>
                                  <w:spacing w:val="-2"/>
                                  <w:w w:val="105"/>
                                  <w:sz w:val="17"/>
                                </w:rPr>
                                <w:t xml:space="preserve"> </w:t>
                              </w:r>
                              <w:r>
                                <w:rPr>
                                  <w:w w:val="105"/>
                                  <w:sz w:val="17"/>
                                </w:rPr>
                                <w:t>formas</w:t>
                              </w:r>
                              <w:r>
                                <w:rPr>
                                  <w:spacing w:val="-2"/>
                                  <w:w w:val="105"/>
                                  <w:sz w:val="17"/>
                                </w:rPr>
                                <w:t xml:space="preserve"> </w:t>
                              </w:r>
                              <w:r>
                                <w:rPr>
                                  <w:w w:val="105"/>
                                  <w:sz w:val="17"/>
                                </w:rPr>
                                <w:t>de</w:t>
                              </w:r>
                              <w:r>
                                <w:rPr>
                                  <w:spacing w:val="-2"/>
                                  <w:w w:val="105"/>
                                  <w:sz w:val="17"/>
                                </w:rPr>
                                <w:t xml:space="preserve"> </w:t>
                              </w:r>
                              <w:r>
                                <w:rPr>
                                  <w:w w:val="105"/>
                                  <w:sz w:val="17"/>
                                </w:rPr>
                                <w:t>trato diferenciado</w:t>
                              </w:r>
                              <w:r>
                                <w:rPr>
                                  <w:spacing w:val="-2"/>
                                  <w:w w:val="105"/>
                                  <w:sz w:val="17"/>
                                </w:rPr>
                                <w:t xml:space="preserve"> </w:t>
                              </w:r>
                              <w:r>
                                <w:rPr>
                                  <w:w w:val="105"/>
                                  <w:sz w:val="17"/>
                                </w:rPr>
                                <w:t>que</w:t>
                              </w:r>
                              <w:r>
                                <w:rPr>
                                  <w:spacing w:val="-2"/>
                                  <w:w w:val="105"/>
                                  <w:sz w:val="17"/>
                                </w:rPr>
                                <w:t xml:space="preserve"> </w:t>
                              </w:r>
                              <w:r>
                                <w:rPr>
                                  <w:w w:val="105"/>
                                  <w:sz w:val="17"/>
                                </w:rPr>
                                <w:t>no</w:t>
                              </w:r>
                              <w:r>
                                <w:rPr>
                                  <w:spacing w:val="-2"/>
                                  <w:w w:val="105"/>
                                  <w:sz w:val="17"/>
                                </w:rPr>
                                <w:t xml:space="preserve"> </w:t>
                              </w:r>
                              <w:r>
                                <w:rPr>
                                  <w:w w:val="105"/>
                                  <w:sz w:val="17"/>
                                </w:rPr>
                                <w:t>pueden</w:t>
                              </w:r>
                              <w:r>
                                <w:rPr>
                                  <w:spacing w:val="-2"/>
                                  <w:w w:val="105"/>
                                  <w:sz w:val="17"/>
                                </w:rPr>
                                <w:t xml:space="preserve"> </w:t>
                              </w:r>
                              <w:r>
                                <w:rPr>
                                  <w:w w:val="105"/>
                                  <w:sz w:val="17"/>
                                </w:rPr>
                                <w:t>justificarse</w:t>
                              </w:r>
                              <w:r>
                                <w:rPr>
                                  <w:spacing w:val="-2"/>
                                  <w:w w:val="105"/>
                                  <w:sz w:val="17"/>
                                </w:rPr>
                                <w:t xml:space="preserve"> </w:t>
                              </w:r>
                              <w:r>
                                <w:rPr>
                                  <w:w w:val="105"/>
                                  <w:sz w:val="17"/>
                                </w:rPr>
                                <w:t>razonable</w:t>
                              </w:r>
                              <w:r>
                                <w:rPr>
                                  <w:spacing w:val="-2"/>
                                  <w:w w:val="105"/>
                                  <w:sz w:val="17"/>
                                </w:rPr>
                                <w:t xml:space="preserve"> </w:t>
                              </w:r>
                              <w:r>
                                <w:rPr>
                                  <w:w w:val="105"/>
                                  <w:sz w:val="17"/>
                                </w:rPr>
                                <w:t>y</w:t>
                              </w:r>
                              <w:r>
                                <w:rPr>
                                  <w:spacing w:val="-2"/>
                                  <w:w w:val="105"/>
                                  <w:sz w:val="17"/>
                                </w:rPr>
                                <w:t xml:space="preserve"> </w:t>
                              </w:r>
                              <w:r>
                                <w:rPr>
                                  <w:w w:val="105"/>
                                  <w:sz w:val="17"/>
                                </w:rPr>
                                <w:t>objetivamente</w:t>
                              </w:r>
                              <w:r>
                                <w:rPr>
                                  <w:spacing w:val="-2"/>
                                  <w:w w:val="105"/>
                                  <w:sz w:val="17"/>
                                </w:rPr>
                                <w:t xml:space="preserve"> </w:t>
                              </w:r>
                              <w:r>
                                <w:rPr>
                                  <w:w w:val="105"/>
                                  <w:sz w:val="17"/>
                                </w:rPr>
                                <w:t>y</w:t>
                              </w:r>
                              <w:r>
                                <w:rPr>
                                  <w:spacing w:val="-2"/>
                                  <w:w w:val="105"/>
                                  <w:sz w:val="17"/>
                                </w:rPr>
                                <w:t xml:space="preserve"> </w:t>
                              </w:r>
                              <w:r>
                                <w:rPr>
                                  <w:w w:val="105"/>
                                  <w:sz w:val="17"/>
                                </w:rPr>
                                <w:t>que</w:t>
                              </w:r>
                              <w:r>
                                <w:rPr>
                                  <w:spacing w:val="-2"/>
                                  <w:w w:val="105"/>
                                  <w:sz w:val="17"/>
                                </w:rPr>
                                <w:t xml:space="preserve"> </w:t>
                              </w:r>
                              <w:r>
                                <w:rPr>
                                  <w:w w:val="105"/>
                                  <w:sz w:val="17"/>
                                </w:rPr>
                                <w:t>son</w:t>
                              </w:r>
                              <w:r>
                                <w:rPr>
                                  <w:spacing w:val="-2"/>
                                  <w:w w:val="105"/>
                                  <w:sz w:val="17"/>
                                </w:rPr>
                                <w:t xml:space="preserve"> </w:t>
                              </w:r>
                              <w:r>
                                <w:rPr>
                                  <w:w w:val="105"/>
                                  <w:sz w:val="17"/>
                                </w:rPr>
                                <w:t>de</w:t>
                              </w:r>
                              <w:r>
                                <w:rPr>
                                  <w:spacing w:val="-2"/>
                                  <w:w w:val="105"/>
                                  <w:sz w:val="17"/>
                                </w:rPr>
                                <w:t xml:space="preserve"> </w:t>
                              </w:r>
                              <w:r>
                                <w:rPr>
                                  <w:w w:val="105"/>
                                  <w:sz w:val="17"/>
                                </w:rPr>
                                <w:t>naturaleza</w:t>
                              </w:r>
                              <w:r>
                                <w:rPr>
                                  <w:spacing w:val="-2"/>
                                  <w:w w:val="105"/>
                                  <w:sz w:val="17"/>
                                </w:rPr>
                                <w:t xml:space="preserve"> </w:t>
                              </w:r>
                              <w:r>
                                <w:rPr>
                                  <w:w w:val="105"/>
                                  <w:sz w:val="17"/>
                                </w:rPr>
                                <w:t>comparable</w:t>
                              </w:r>
                              <w:r>
                                <w:rPr>
                                  <w:spacing w:val="-2"/>
                                  <w:w w:val="105"/>
                                  <w:sz w:val="17"/>
                                </w:rPr>
                                <w:t xml:space="preserve"> </w:t>
                              </w:r>
                              <w:r>
                                <w:rPr>
                                  <w:w w:val="105"/>
                                  <w:sz w:val="17"/>
                                </w:rPr>
                                <w:t>a los motivos expresamente reconocidos en el párrafo 2 del artículo 2. Estos motivos adicionales Los motivos</w:t>
                              </w:r>
                              <w:r>
                                <w:rPr>
                                  <w:spacing w:val="-10"/>
                                  <w:w w:val="105"/>
                                  <w:sz w:val="17"/>
                                </w:rPr>
                                <w:t xml:space="preserve"> </w:t>
                              </w:r>
                              <w:r>
                                <w:rPr>
                                  <w:w w:val="105"/>
                                  <w:sz w:val="17"/>
                                </w:rPr>
                                <w:t>se</w:t>
                              </w:r>
                              <w:r>
                                <w:rPr>
                                  <w:spacing w:val="-10"/>
                                  <w:w w:val="105"/>
                                  <w:sz w:val="17"/>
                                </w:rPr>
                                <w:t xml:space="preserve"> </w:t>
                              </w:r>
                              <w:r>
                                <w:rPr>
                                  <w:w w:val="105"/>
                                  <w:sz w:val="17"/>
                                </w:rPr>
                                <w:t>reconocen</w:t>
                              </w:r>
                              <w:r>
                                <w:rPr>
                                  <w:spacing w:val="-10"/>
                                  <w:w w:val="105"/>
                                  <w:sz w:val="17"/>
                                </w:rPr>
                                <w:t xml:space="preserve"> </w:t>
                              </w:r>
                              <w:r>
                                <w:rPr>
                                  <w:w w:val="105"/>
                                  <w:sz w:val="17"/>
                                </w:rPr>
                                <w:t>comúnmente</w:t>
                              </w:r>
                              <w:r>
                                <w:rPr>
                                  <w:spacing w:val="-10"/>
                                  <w:w w:val="105"/>
                                  <w:sz w:val="17"/>
                                </w:rPr>
                                <w:t xml:space="preserve"> </w:t>
                              </w:r>
                              <w:r>
                                <w:rPr>
                                  <w:w w:val="105"/>
                                  <w:sz w:val="17"/>
                                </w:rPr>
                                <w:t>cuando</w:t>
                              </w:r>
                              <w:r>
                                <w:rPr>
                                  <w:spacing w:val="-10"/>
                                  <w:w w:val="105"/>
                                  <w:sz w:val="17"/>
                                </w:rPr>
                                <w:t xml:space="preserve"> </w:t>
                              </w:r>
                              <w:r>
                                <w:rPr>
                                  <w:w w:val="105"/>
                                  <w:sz w:val="17"/>
                                </w:rPr>
                                <w:t>reflejan</w:t>
                              </w:r>
                              <w:r>
                                <w:rPr>
                                  <w:spacing w:val="-10"/>
                                  <w:w w:val="105"/>
                                  <w:sz w:val="17"/>
                                </w:rPr>
                                <w:t xml:space="preserve"> </w:t>
                              </w:r>
                              <w:r>
                                <w:rPr>
                                  <w:w w:val="105"/>
                                  <w:sz w:val="17"/>
                                </w:rPr>
                                <w:t>la</w:t>
                              </w:r>
                              <w:r>
                                <w:rPr>
                                  <w:spacing w:val="-10"/>
                                  <w:w w:val="105"/>
                                  <w:sz w:val="17"/>
                                </w:rPr>
                                <w:t xml:space="preserve"> </w:t>
                              </w:r>
                              <w:r>
                                <w:rPr>
                                  <w:w w:val="105"/>
                                  <w:sz w:val="17"/>
                                </w:rPr>
                                <w:t>experiencia</w:t>
                              </w:r>
                              <w:r>
                                <w:rPr>
                                  <w:spacing w:val="-10"/>
                                  <w:w w:val="105"/>
                                  <w:sz w:val="17"/>
                                </w:rPr>
                                <w:t xml:space="preserve"> </w:t>
                              </w:r>
                              <w:r>
                                <w:rPr>
                                  <w:w w:val="105"/>
                                  <w:sz w:val="17"/>
                                </w:rPr>
                                <w:t>de</w:t>
                              </w:r>
                              <w:r>
                                <w:rPr>
                                  <w:spacing w:val="-10"/>
                                  <w:w w:val="105"/>
                                  <w:sz w:val="17"/>
                                </w:rPr>
                                <w:t xml:space="preserve"> </w:t>
                              </w:r>
                              <w:r>
                                <w:rPr>
                                  <w:w w:val="105"/>
                                  <w:sz w:val="17"/>
                                </w:rPr>
                                <w:t>grupos</w:t>
                              </w:r>
                              <w:r>
                                <w:rPr>
                                  <w:spacing w:val="-10"/>
                                  <w:w w:val="105"/>
                                  <w:sz w:val="17"/>
                                </w:rPr>
                                <w:t xml:space="preserve"> </w:t>
                              </w:r>
                              <w:r>
                                <w:rPr>
                                  <w:w w:val="105"/>
                                  <w:sz w:val="17"/>
                                </w:rPr>
                                <w:t>sociales</w:t>
                              </w:r>
                              <w:r>
                                <w:rPr>
                                  <w:spacing w:val="-10"/>
                                  <w:w w:val="105"/>
                                  <w:sz w:val="17"/>
                                </w:rPr>
                                <w:t xml:space="preserve"> </w:t>
                              </w:r>
                              <w:r>
                                <w:rPr>
                                  <w:w w:val="105"/>
                                  <w:sz w:val="17"/>
                                </w:rPr>
                                <w:t>que</w:t>
                              </w:r>
                              <w:r>
                                <w:rPr>
                                  <w:spacing w:val="-10"/>
                                  <w:w w:val="105"/>
                                  <w:sz w:val="17"/>
                                </w:rPr>
                                <w:t xml:space="preserve"> </w:t>
                              </w:r>
                              <w:r>
                                <w:rPr>
                                  <w:w w:val="105"/>
                                  <w:sz w:val="17"/>
                                </w:rPr>
                                <w:t>son</w:t>
                              </w:r>
                              <w:r>
                                <w:rPr>
                                  <w:spacing w:val="-10"/>
                                  <w:w w:val="105"/>
                                  <w:sz w:val="17"/>
                                </w:rPr>
                                <w:t xml:space="preserve"> </w:t>
                              </w:r>
                              <w:r>
                                <w:rPr>
                                  <w:w w:val="105"/>
                                  <w:sz w:val="17"/>
                                </w:rPr>
                                <w:t>vulnerables y han sufrido y continúan sufriendo marginación.135</w:t>
                              </w:r>
                            </w:p>
                          </w:txbxContent>
                        </wps:txbx>
                        <wps:bodyPr wrap="square" lIns="0" tIns="0" rIns="0" bIns="0" rtlCol="0">
                          <a:noAutofit/>
                        </wps:bodyPr>
                      </wps:wsp>
                    </wpg:wgp>
                  </a:graphicData>
                </a:graphic>
              </wp:anchor>
            </w:drawing>
          </mc:Choice>
          <mc:Fallback>
            <w:pict>
              <v:group w14:anchorId="1120524A" id="Group 89" o:spid="_x0000_s1059" style="position:absolute;margin-left:62.25pt;margin-top:5.7pt;width:470.15pt;height:181.55pt;z-index:-251657959;mso-wrap-distance-left:0;mso-wrap-distance-right:0;mso-position-horizontal-relative:page" coordsize="59709,23056"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">
                <v:shape id="Image 90" o:spid="_x0000_s1060" type="#_x0000_t75" style="position:absolute;width:59706;height:2305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">
                  <v:imagedata r:id="rId98" o:title=""/>
                </v:shape>
                <v:shape id="Textbox 91" o:spid="_x0000_s1061" type="#_x0000_t202" style="position:absolute;width:59709;height:2305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" filled="f" stroked="f">
                  <v:textbox inset="0,0,0,0">
                    <w:txbxContent>
                      <w:p w14:paraId="342EC192" w14:textId="77777777" w:rsidR="0014798C" w:rsidRDefault="0014798C">
                        <w:pPr>
                          <w:rPr>
                            <w:sz w:val="16"/>
                          </w:rPr>
                        </w:pPr>
                      </w:p>
                      <w:p w14:paraId="00C4DA21" w14:textId="77777777" w:rsidR="0014798C" w:rsidRDefault="0014798C">
                        <w:pPr>
                          <w:spacing w:before="8"/>
                          <w:rPr>
                            <w:sz w:val="16"/>
                          </w:rPr>
                        </w:pPr>
                      </w:p>
                      <w:p w14:paraId="1AF0E088" w14:textId="77777777" w:rsidR="0014798C" w:rsidRDefault="004E1F0B">
                        <w:pPr>
                          <w:spacing w:line="295" w:lineRule="auto"/>
                          <w:ind w:left="297" w:right="1774"/>
                          <w:rPr>
                            <w:sz w:val="16"/>
                          </w:rPr>
                        </w:pPr>
                        <w:r>
                          <w:rPr>
                            <w:sz w:val="16"/>
                          </w:rPr>
                          <w:t>IDENTIFICACIÓN DE MOTIVOS ADICIONALES DE DISCRIMINACIÓN: INTERNACIONAL, PRÁCTICA REGIONAL Y NACIONAL</w:t>
                        </w:r>
                      </w:p>
                      <w:p w14:paraId="25E29242" w14:textId="77777777" w:rsidR="0014798C" w:rsidRDefault="004E1F0B">
                        <w:pPr>
                          <w:spacing w:before="178" w:line="326" w:lineRule="auto"/>
                          <w:ind w:left="289" w:right="411" w:hanging="2"/>
                          <w:rPr>
                            <w:sz w:val="16"/>
                          </w:rPr>
                        </w:pPr>
                        <w:r>
                          <w:rPr>
                            <w:sz w:val="16"/>
                          </w:rPr>
                          <w:t>En su Observación general No. 20 (2009), el Comité de Derechos Económicos, Sociales y Culturales destacó la importancia de “un enfoque flexible” para la comprensión del término “otra condición”. Según el Comité:</w:t>
                        </w:r>
                      </w:p>
                      <w:p w14:paraId="0011AC95" w14:textId="77777777" w:rsidR="0014798C" w:rsidRDefault="0014798C">
                        <w:pPr>
                          <w:spacing w:before="118"/>
                          <w:rPr>
                            <w:sz w:val="16"/>
                          </w:rPr>
                        </w:pPr>
                      </w:p>
                      <w:p w14:paraId="41168D9C" w14:textId="77777777" w:rsidR="0014798C" w:rsidRDefault="004E1F0B">
                        <w:pPr>
                          <w:spacing w:line="307" w:lineRule="auto"/>
                          <w:ind w:left="628" w:right="411" w:hanging="1"/>
                          <w:rPr>
                            <w:sz w:val="17"/>
                          </w:rPr>
                        </w:pPr>
                        <w:r>
                          <w:rPr>
                            <w:w w:val="105"/>
                            <w:sz w:val="17"/>
                          </w:rPr>
                          <w:t>La</w:t>
                        </w:r>
                        <w:r>
                          <w:rPr>
                            <w:spacing w:val="-1"/>
                            <w:w w:val="105"/>
                            <w:sz w:val="17"/>
                          </w:rPr>
                          <w:t xml:space="preserve"> </w:t>
                        </w:r>
                        <w:r>
                          <w:rPr>
                            <w:w w:val="105"/>
                            <w:sz w:val="17"/>
                          </w:rPr>
                          <w:t>naturaleza</w:t>
                        </w:r>
                        <w:r>
                          <w:rPr>
                            <w:spacing w:val="-1"/>
                            <w:w w:val="105"/>
                            <w:sz w:val="17"/>
                          </w:rPr>
                          <w:t xml:space="preserve"> </w:t>
                        </w:r>
                        <w:r>
                          <w:rPr>
                            <w:w w:val="105"/>
                            <w:sz w:val="17"/>
                          </w:rPr>
                          <w:t>de</w:t>
                        </w:r>
                        <w:r>
                          <w:rPr>
                            <w:spacing w:val="-1"/>
                            <w:w w:val="105"/>
                            <w:sz w:val="17"/>
                          </w:rPr>
                          <w:t xml:space="preserve"> </w:t>
                        </w:r>
                        <w:r>
                          <w:rPr>
                            <w:w w:val="105"/>
                            <w:sz w:val="17"/>
                          </w:rPr>
                          <w:t>la</w:t>
                        </w:r>
                        <w:r>
                          <w:rPr>
                            <w:spacing w:val="-1"/>
                            <w:w w:val="105"/>
                            <w:sz w:val="17"/>
                          </w:rPr>
                          <w:t xml:space="preserve"> </w:t>
                        </w:r>
                        <w:r>
                          <w:rPr>
                            <w:w w:val="105"/>
                            <w:sz w:val="17"/>
                          </w:rPr>
                          <w:t>discriminación</w:t>
                        </w:r>
                        <w:r>
                          <w:rPr>
                            <w:spacing w:val="-1"/>
                            <w:w w:val="105"/>
                            <w:sz w:val="17"/>
                          </w:rPr>
                          <w:t xml:space="preserve"> </w:t>
                        </w:r>
                        <w:r>
                          <w:rPr>
                            <w:w w:val="105"/>
                            <w:sz w:val="17"/>
                          </w:rPr>
                          <w:t>varía</w:t>
                        </w:r>
                        <w:r>
                          <w:rPr>
                            <w:spacing w:val="-1"/>
                            <w:w w:val="105"/>
                            <w:sz w:val="17"/>
                          </w:rPr>
                          <w:t xml:space="preserve"> </w:t>
                        </w:r>
                        <w:r>
                          <w:rPr>
                            <w:w w:val="105"/>
                            <w:sz w:val="17"/>
                          </w:rPr>
                          <w:t>según</w:t>
                        </w:r>
                        <w:r>
                          <w:rPr>
                            <w:spacing w:val="-1"/>
                            <w:w w:val="105"/>
                            <w:sz w:val="17"/>
                          </w:rPr>
                          <w:t xml:space="preserve"> </w:t>
                        </w:r>
                        <w:r>
                          <w:rPr>
                            <w:w w:val="105"/>
                            <w:sz w:val="17"/>
                          </w:rPr>
                          <w:t>el</w:t>
                        </w:r>
                        <w:r>
                          <w:rPr>
                            <w:spacing w:val="-1"/>
                            <w:w w:val="105"/>
                            <w:sz w:val="17"/>
                          </w:rPr>
                          <w:t xml:space="preserve"> </w:t>
                        </w:r>
                        <w:r>
                          <w:rPr>
                            <w:w w:val="105"/>
                            <w:sz w:val="17"/>
                          </w:rPr>
                          <w:t>contexto</w:t>
                        </w:r>
                        <w:r>
                          <w:rPr>
                            <w:spacing w:val="-1"/>
                            <w:w w:val="105"/>
                            <w:sz w:val="17"/>
                          </w:rPr>
                          <w:t xml:space="preserve"> </w:t>
                        </w:r>
                        <w:r>
                          <w:rPr>
                            <w:w w:val="105"/>
                            <w:sz w:val="17"/>
                          </w:rPr>
                          <w:t>y</w:t>
                        </w:r>
                        <w:r>
                          <w:rPr>
                            <w:spacing w:val="-1"/>
                            <w:w w:val="105"/>
                            <w:sz w:val="17"/>
                          </w:rPr>
                          <w:t xml:space="preserve"> </w:t>
                        </w:r>
                        <w:r>
                          <w:rPr>
                            <w:w w:val="105"/>
                            <w:sz w:val="17"/>
                          </w:rPr>
                          <w:t>evoluciona</w:t>
                        </w:r>
                        <w:r>
                          <w:rPr>
                            <w:spacing w:val="-1"/>
                            <w:w w:val="105"/>
                            <w:sz w:val="17"/>
                          </w:rPr>
                          <w:t xml:space="preserve"> </w:t>
                        </w:r>
                        <w:r>
                          <w:rPr>
                            <w:w w:val="105"/>
                            <w:sz w:val="17"/>
                          </w:rPr>
                          <w:t>con</w:t>
                        </w:r>
                        <w:r>
                          <w:rPr>
                            <w:spacing w:val="-1"/>
                            <w:w w:val="105"/>
                            <w:sz w:val="17"/>
                          </w:rPr>
                          <w:t xml:space="preserve"> </w:t>
                        </w:r>
                        <w:r>
                          <w:rPr>
                            <w:w w:val="105"/>
                            <w:sz w:val="17"/>
                          </w:rPr>
                          <w:t>el</w:t>
                        </w:r>
                        <w:r>
                          <w:rPr>
                            <w:spacing w:val="-1"/>
                            <w:w w:val="105"/>
                            <w:sz w:val="17"/>
                          </w:rPr>
                          <w:t xml:space="preserve"> </w:t>
                        </w:r>
                        <w:r>
                          <w:rPr>
                            <w:w w:val="105"/>
                            <w:sz w:val="17"/>
                          </w:rPr>
                          <w:t>tiempo. Por</w:t>
                        </w:r>
                        <w:r>
                          <w:rPr>
                            <w:spacing w:val="-1"/>
                            <w:w w:val="105"/>
                            <w:sz w:val="17"/>
                          </w:rPr>
                          <w:t xml:space="preserve"> </w:t>
                        </w:r>
                        <w:r>
                          <w:rPr>
                            <w:w w:val="105"/>
                            <w:sz w:val="17"/>
                          </w:rPr>
                          <w:t>lo</w:t>
                        </w:r>
                        <w:r>
                          <w:rPr>
                            <w:spacing w:val="-1"/>
                            <w:w w:val="105"/>
                            <w:sz w:val="17"/>
                          </w:rPr>
                          <w:t xml:space="preserve"> </w:t>
                        </w:r>
                        <w:r>
                          <w:rPr>
                            <w:w w:val="105"/>
                            <w:sz w:val="17"/>
                          </w:rPr>
                          <w:t>tanto,</w:t>
                        </w:r>
                        <w:r>
                          <w:rPr>
                            <w:spacing w:val="-1"/>
                            <w:w w:val="105"/>
                            <w:sz w:val="17"/>
                          </w:rPr>
                          <w:t xml:space="preserve"> </w:t>
                        </w:r>
                        <w:r>
                          <w:rPr>
                            <w:w w:val="105"/>
                            <w:sz w:val="17"/>
                          </w:rPr>
                          <w:t>se necesita</w:t>
                        </w:r>
                        <w:r>
                          <w:rPr>
                            <w:spacing w:val="-2"/>
                            <w:w w:val="105"/>
                            <w:sz w:val="17"/>
                          </w:rPr>
                          <w:t xml:space="preserve"> </w:t>
                        </w:r>
                        <w:r>
                          <w:rPr>
                            <w:w w:val="105"/>
                            <w:sz w:val="17"/>
                          </w:rPr>
                          <w:t>un</w:t>
                        </w:r>
                        <w:r>
                          <w:rPr>
                            <w:spacing w:val="-2"/>
                            <w:w w:val="105"/>
                            <w:sz w:val="17"/>
                          </w:rPr>
                          <w:t xml:space="preserve"> </w:t>
                        </w:r>
                        <w:r>
                          <w:rPr>
                            <w:w w:val="105"/>
                            <w:sz w:val="17"/>
                          </w:rPr>
                          <w:t>enfoque</w:t>
                        </w:r>
                        <w:r>
                          <w:rPr>
                            <w:spacing w:val="-2"/>
                            <w:w w:val="105"/>
                            <w:sz w:val="17"/>
                          </w:rPr>
                          <w:t xml:space="preserve"> </w:t>
                        </w:r>
                        <w:r>
                          <w:rPr>
                            <w:w w:val="105"/>
                            <w:sz w:val="17"/>
                          </w:rPr>
                          <w:t>flexible</w:t>
                        </w:r>
                        <w:r>
                          <w:rPr>
                            <w:spacing w:val="-2"/>
                            <w:w w:val="105"/>
                            <w:sz w:val="17"/>
                          </w:rPr>
                          <w:t xml:space="preserve"> </w:t>
                        </w:r>
                        <w:r>
                          <w:rPr>
                            <w:w w:val="105"/>
                            <w:sz w:val="17"/>
                          </w:rPr>
                          <w:t>respecto</w:t>
                        </w:r>
                        <w:r>
                          <w:rPr>
                            <w:spacing w:val="-2"/>
                            <w:w w:val="105"/>
                            <w:sz w:val="17"/>
                          </w:rPr>
                          <w:t xml:space="preserve"> </w:t>
                        </w:r>
                        <w:r>
                          <w:rPr>
                            <w:w w:val="105"/>
                            <w:sz w:val="17"/>
                          </w:rPr>
                          <w:t>del</w:t>
                        </w:r>
                        <w:r>
                          <w:rPr>
                            <w:spacing w:val="-2"/>
                            <w:w w:val="105"/>
                            <w:sz w:val="17"/>
                          </w:rPr>
                          <w:t xml:space="preserve"> </w:t>
                        </w:r>
                        <w:r>
                          <w:rPr>
                            <w:w w:val="105"/>
                            <w:sz w:val="17"/>
                          </w:rPr>
                          <w:t>motivo</w:t>
                        </w:r>
                        <w:r>
                          <w:rPr>
                            <w:spacing w:val="-2"/>
                            <w:w w:val="105"/>
                            <w:sz w:val="17"/>
                          </w:rPr>
                          <w:t xml:space="preserve"> </w:t>
                        </w:r>
                        <w:r>
                          <w:rPr>
                            <w:w w:val="105"/>
                            <w:sz w:val="17"/>
                          </w:rPr>
                          <w:t>de</w:t>
                        </w:r>
                        <w:r>
                          <w:rPr>
                            <w:spacing w:val="-2"/>
                            <w:w w:val="105"/>
                            <w:sz w:val="17"/>
                          </w:rPr>
                          <w:t xml:space="preserve"> </w:t>
                        </w:r>
                        <w:r>
                          <w:rPr>
                            <w:w w:val="105"/>
                            <w:sz w:val="17"/>
                          </w:rPr>
                          <w:t>“otra</w:t>
                        </w:r>
                        <w:r>
                          <w:rPr>
                            <w:spacing w:val="-2"/>
                            <w:w w:val="105"/>
                            <w:sz w:val="17"/>
                          </w:rPr>
                          <w:t xml:space="preserve"> </w:t>
                        </w:r>
                        <w:r>
                          <w:rPr>
                            <w:w w:val="105"/>
                            <w:sz w:val="17"/>
                          </w:rPr>
                          <w:t>condición”</w:t>
                        </w:r>
                        <w:r>
                          <w:rPr>
                            <w:spacing w:val="-2"/>
                            <w:w w:val="105"/>
                            <w:sz w:val="17"/>
                          </w:rPr>
                          <w:t xml:space="preserve"> </w:t>
                        </w:r>
                        <w:r>
                          <w:rPr>
                            <w:w w:val="105"/>
                            <w:sz w:val="17"/>
                          </w:rPr>
                          <w:t>a</w:t>
                        </w:r>
                        <w:r>
                          <w:rPr>
                            <w:spacing w:val="-2"/>
                            <w:w w:val="105"/>
                            <w:sz w:val="17"/>
                          </w:rPr>
                          <w:t xml:space="preserve"> </w:t>
                        </w:r>
                        <w:r>
                          <w:rPr>
                            <w:w w:val="105"/>
                            <w:sz w:val="17"/>
                          </w:rPr>
                          <w:t>fin</w:t>
                        </w:r>
                        <w:r>
                          <w:rPr>
                            <w:spacing w:val="-2"/>
                            <w:w w:val="105"/>
                            <w:sz w:val="17"/>
                          </w:rPr>
                          <w:t xml:space="preserve"> </w:t>
                        </w:r>
                        <w:r>
                          <w:rPr>
                            <w:w w:val="105"/>
                            <w:sz w:val="17"/>
                          </w:rPr>
                          <w:t>de</w:t>
                        </w:r>
                        <w:r>
                          <w:rPr>
                            <w:spacing w:val="-2"/>
                            <w:w w:val="105"/>
                            <w:sz w:val="17"/>
                          </w:rPr>
                          <w:t xml:space="preserve"> </w:t>
                        </w:r>
                        <w:r>
                          <w:rPr>
                            <w:w w:val="105"/>
                            <w:sz w:val="17"/>
                          </w:rPr>
                          <w:t>abarcar</w:t>
                        </w:r>
                        <w:r>
                          <w:rPr>
                            <w:spacing w:val="-2"/>
                            <w:w w:val="105"/>
                            <w:sz w:val="17"/>
                          </w:rPr>
                          <w:t xml:space="preserve"> </w:t>
                        </w:r>
                        <w:r>
                          <w:rPr>
                            <w:w w:val="105"/>
                            <w:sz w:val="17"/>
                          </w:rPr>
                          <w:t>otras</w:t>
                        </w:r>
                        <w:r>
                          <w:rPr>
                            <w:spacing w:val="-2"/>
                            <w:w w:val="105"/>
                            <w:sz w:val="17"/>
                          </w:rPr>
                          <w:t xml:space="preserve"> </w:t>
                        </w:r>
                        <w:r>
                          <w:rPr>
                            <w:w w:val="105"/>
                            <w:sz w:val="17"/>
                          </w:rPr>
                          <w:t>formas</w:t>
                        </w:r>
                        <w:r>
                          <w:rPr>
                            <w:spacing w:val="-2"/>
                            <w:w w:val="105"/>
                            <w:sz w:val="17"/>
                          </w:rPr>
                          <w:t xml:space="preserve"> </w:t>
                        </w:r>
                        <w:r>
                          <w:rPr>
                            <w:w w:val="105"/>
                            <w:sz w:val="17"/>
                          </w:rPr>
                          <w:t>de</w:t>
                        </w:r>
                        <w:r>
                          <w:rPr>
                            <w:spacing w:val="-2"/>
                            <w:w w:val="105"/>
                            <w:sz w:val="17"/>
                          </w:rPr>
                          <w:t xml:space="preserve"> </w:t>
                        </w:r>
                        <w:r>
                          <w:rPr>
                            <w:w w:val="105"/>
                            <w:sz w:val="17"/>
                          </w:rPr>
                          <w:t>trato diferenciado</w:t>
                        </w:r>
                        <w:r>
                          <w:rPr>
                            <w:spacing w:val="-2"/>
                            <w:w w:val="105"/>
                            <w:sz w:val="17"/>
                          </w:rPr>
                          <w:t xml:space="preserve"> </w:t>
                        </w:r>
                        <w:r>
                          <w:rPr>
                            <w:w w:val="105"/>
                            <w:sz w:val="17"/>
                          </w:rPr>
                          <w:t>que</w:t>
                        </w:r>
                        <w:r>
                          <w:rPr>
                            <w:spacing w:val="-2"/>
                            <w:w w:val="105"/>
                            <w:sz w:val="17"/>
                          </w:rPr>
                          <w:t xml:space="preserve"> </w:t>
                        </w:r>
                        <w:r>
                          <w:rPr>
                            <w:w w:val="105"/>
                            <w:sz w:val="17"/>
                          </w:rPr>
                          <w:t>no</w:t>
                        </w:r>
                        <w:r>
                          <w:rPr>
                            <w:spacing w:val="-2"/>
                            <w:w w:val="105"/>
                            <w:sz w:val="17"/>
                          </w:rPr>
                          <w:t xml:space="preserve"> </w:t>
                        </w:r>
                        <w:r>
                          <w:rPr>
                            <w:w w:val="105"/>
                            <w:sz w:val="17"/>
                          </w:rPr>
                          <w:t>pueden</w:t>
                        </w:r>
                        <w:r>
                          <w:rPr>
                            <w:spacing w:val="-2"/>
                            <w:w w:val="105"/>
                            <w:sz w:val="17"/>
                          </w:rPr>
                          <w:t xml:space="preserve"> </w:t>
                        </w:r>
                        <w:r>
                          <w:rPr>
                            <w:w w:val="105"/>
                            <w:sz w:val="17"/>
                          </w:rPr>
                          <w:t>justificarse</w:t>
                        </w:r>
                        <w:r>
                          <w:rPr>
                            <w:spacing w:val="-2"/>
                            <w:w w:val="105"/>
                            <w:sz w:val="17"/>
                          </w:rPr>
                          <w:t xml:space="preserve"> </w:t>
                        </w:r>
                        <w:r>
                          <w:rPr>
                            <w:w w:val="105"/>
                            <w:sz w:val="17"/>
                          </w:rPr>
                          <w:t>razonable</w:t>
                        </w:r>
                        <w:r>
                          <w:rPr>
                            <w:spacing w:val="-2"/>
                            <w:w w:val="105"/>
                            <w:sz w:val="17"/>
                          </w:rPr>
                          <w:t xml:space="preserve"> </w:t>
                        </w:r>
                        <w:r>
                          <w:rPr>
                            <w:w w:val="105"/>
                            <w:sz w:val="17"/>
                          </w:rPr>
                          <w:t>y</w:t>
                        </w:r>
                        <w:r>
                          <w:rPr>
                            <w:spacing w:val="-2"/>
                            <w:w w:val="105"/>
                            <w:sz w:val="17"/>
                          </w:rPr>
                          <w:t xml:space="preserve"> </w:t>
                        </w:r>
                        <w:r>
                          <w:rPr>
                            <w:w w:val="105"/>
                            <w:sz w:val="17"/>
                          </w:rPr>
                          <w:t>objetivamente</w:t>
                        </w:r>
                        <w:r>
                          <w:rPr>
                            <w:spacing w:val="-2"/>
                            <w:w w:val="105"/>
                            <w:sz w:val="17"/>
                          </w:rPr>
                          <w:t xml:space="preserve"> </w:t>
                        </w:r>
                        <w:r>
                          <w:rPr>
                            <w:w w:val="105"/>
                            <w:sz w:val="17"/>
                          </w:rPr>
                          <w:t>y</w:t>
                        </w:r>
                        <w:r>
                          <w:rPr>
                            <w:spacing w:val="-2"/>
                            <w:w w:val="105"/>
                            <w:sz w:val="17"/>
                          </w:rPr>
                          <w:t xml:space="preserve"> </w:t>
                        </w:r>
                        <w:r>
                          <w:rPr>
                            <w:w w:val="105"/>
                            <w:sz w:val="17"/>
                          </w:rPr>
                          <w:t>que</w:t>
                        </w:r>
                        <w:r>
                          <w:rPr>
                            <w:spacing w:val="-2"/>
                            <w:w w:val="105"/>
                            <w:sz w:val="17"/>
                          </w:rPr>
                          <w:t xml:space="preserve"> </w:t>
                        </w:r>
                        <w:r>
                          <w:rPr>
                            <w:w w:val="105"/>
                            <w:sz w:val="17"/>
                          </w:rPr>
                          <w:t>son</w:t>
                        </w:r>
                        <w:r>
                          <w:rPr>
                            <w:spacing w:val="-2"/>
                            <w:w w:val="105"/>
                            <w:sz w:val="17"/>
                          </w:rPr>
                          <w:t xml:space="preserve"> </w:t>
                        </w:r>
                        <w:r>
                          <w:rPr>
                            <w:w w:val="105"/>
                            <w:sz w:val="17"/>
                          </w:rPr>
                          <w:t>de</w:t>
                        </w:r>
                        <w:r>
                          <w:rPr>
                            <w:spacing w:val="-2"/>
                            <w:w w:val="105"/>
                            <w:sz w:val="17"/>
                          </w:rPr>
                          <w:t xml:space="preserve"> </w:t>
                        </w:r>
                        <w:r>
                          <w:rPr>
                            <w:w w:val="105"/>
                            <w:sz w:val="17"/>
                          </w:rPr>
                          <w:t>naturaleza</w:t>
                        </w:r>
                        <w:r>
                          <w:rPr>
                            <w:spacing w:val="-2"/>
                            <w:w w:val="105"/>
                            <w:sz w:val="17"/>
                          </w:rPr>
                          <w:t xml:space="preserve"> </w:t>
                        </w:r>
                        <w:r>
                          <w:rPr>
                            <w:w w:val="105"/>
                            <w:sz w:val="17"/>
                          </w:rPr>
                          <w:t>comparable</w:t>
                        </w:r>
                        <w:r>
                          <w:rPr>
                            <w:spacing w:val="-2"/>
                            <w:w w:val="105"/>
                            <w:sz w:val="17"/>
                          </w:rPr>
                          <w:t xml:space="preserve"> </w:t>
                        </w:r>
                        <w:r>
                          <w:rPr>
                            <w:w w:val="105"/>
                            <w:sz w:val="17"/>
                          </w:rPr>
                          <w:t>a los motivos expresamente reconocidos en el párrafo 2 del artículo 2. Estos motivos adicionales Los motivos</w:t>
                        </w:r>
                        <w:r>
                          <w:rPr>
                            <w:spacing w:val="-10"/>
                            <w:w w:val="105"/>
                            <w:sz w:val="17"/>
                          </w:rPr>
                          <w:t xml:space="preserve"> </w:t>
                        </w:r>
                        <w:r>
                          <w:rPr>
                            <w:w w:val="105"/>
                            <w:sz w:val="17"/>
                          </w:rPr>
                          <w:t>se</w:t>
                        </w:r>
                        <w:r>
                          <w:rPr>
                            <w:spacing w:val="-10"/>
                            <w:w w:val="105"/>
                            <w:sz w:val="17"/>
                          </w:rPr>
                          <w:t xml:space="preserve"> </w:t>
                        </w:r>
                        <w:r>
                          <w:rPr>
                            <w:w w:val="105"/>
                            <w:sz w:val="17"/>
                          </w:rPr>
                          <w:t>reconocen</w:t>
                        </w:r>
                        <w:r>
                          <w:rPr>
                            <w:spacing w:val="-10"/>
                            <w:w w:val="105"/>
                            <w:sz w:val="17"/>
                          </w:rPr>
                          <w:t xml:space="preserve"> </w:t>
                        </w:r>
                        <w:r>
                          <w:rPr>
                            <w:w w:val="105"/>
                            <w:sz w:val="17"/>
                          </w:rPr>
                          <w:t>comúnmente</w:t>
                        </w:r>
                        <w:r>
                          <w:rPr>
                            <w:spacing w:val="-10"/>
                            <w:w w:val="105"/>
                            <w:sz w:val="17"/>
                          </w:rPr>
                          <w:t xml:space="preserve"> </w:t>
                        </w:r>
                        <w:r>
                          <w:rPr>
                            <w:w w:val="105"/>
                            <w:sz w:val="17"/>
                          </w:rPr>
                          <w:t>cuando</w:t>
                        </w:r>
                        <w:r>
                          <w:rPr>
                            <w:spacing w:val="-10"/>
                            <w:w w:val="105"/>
                            <w:sz w:val="17"/>
                          </w:rPr>
                          <w:t xml:space="preserve"> </w:t>
                        </w:r>
                        <w:r>
                          <w:rPr>
                            <w:w w:val="105"/>
                            <w:sz w:val="17"/>
                          </w:rPr>
                          <w:t>reflejan</w:t>
                        </w:r>
                        <w:r>
                          <w:rPr>
                            <w:spacing w:val="-10"/>
                            <w:w w:val="105"/>
                            <w:sz w:val="17"/>
                          </w:rPr>
                          <w:t xml:space="preserve"> </w:t>
                        </w:r>
                        <w:r>
                          <w:rPr>
                            <w:w w:val="105"/>
                            <w:sz w:val="17"/>
                          </w:rPr>
                          <w:t>la</w:t>
                        </w:r>
                        <w:r>
                          <w:rPr>
                            <w:spacing w:val="-10"/>
                            <w:w w:val="105"/>
                            <w:sz w:val="17"/>
                          </w:rPr>
                          <w:t xml:space="preserve"> </w:t>
                        </w:r>
                        <w:r>
                          <w:rPr>
                            <w:w w:val="105"/>
                            <w:sz w:val="17"/>
                          </w:rPr>
                          <w:t>experiencia</w:t>
                        </w:r>
                        <w:r>
                          <w:rPr>
                            <w:spacing w:val="-10"/>
                            <w:w w:val="105"/>
                            <w:sz w:val="17"/>
                          </w:rPr>
                          <w:t xml:space="preserve"> </w:t>
                        </w:r>
                        <w:r>
                          <w:rPr>
                            <w:w w:val="105"/>
                            <w:sz w:val="17"/>
                          </w:rPr>
                          <w:t>de</w:t>
                        </w:r>
                        <w:r>
                          <w:rPr>
                            <w:spacing w:val="-10"/>
                            <w:w w:val="105"/>
                            <w:sz w:val="17"/>
                          </w:rPr>
                          <w:t xml:space="preserve"> </w:t>
                        </w:r>
                        <w:r>
                          <w:rPr>
                            <w:w w:val="105"/>
                            <w:sz w:val="17"/>
                          </w:rPr>
                          <w:t>grupos</w:t>
                        </w:r>
                        <w:r>
                          <w:rPr>
                            <w:spacing w:val="-10"/>
                            <w:w w:val="105"/>
                            <w:sz w:val="17"/>
                          </w:rPr>
                          <w:t xml:space="preserve"> </w:t>
                        </w:r>
                        <w:r>
                          <w:rPr>
                            <w:w w:val="105"/>
                            <w:sz w:val="17"/>
                          </w:rPr>
                          <w:t>sociales</w:t>
                        </w:r>
                        <w:r>
                          <w:rPr>
                            <w:spacing w:val="-10"/>
                            <w:w w:val="105"/>
                            <w:sz w:val="17"/>
                          </w:rPr>
                          <w:t xml:space="preserve"> </w:t>
                        </w:r>
                        <w:r>
                          <w:rPr>
                            <w:w w:val="105"/>
                            <w:sz w:val="17"/>
                          </w:rPr>
                          <w:t>que</w:t>
                        </w:r>
                        <w:r>
                          <w:rPr>
                            <w:spacing w:val="-10"/>
                            <w:w w:val="105"/>
                            <w:sz w:val="17"/>
                          </w:rPr>
                          <w:t xml:space="preserve"> </w:t>
                        </w:r>
                        <w:r>
                          <w:rPr>
                            <w:w w:val="105"/>
                            <w:sz w:val="17"/>
                          </w:rPr>
                          <w:t>son</w:t>
                        </w:r>
                        <w:r>
                          <w:rPr>
                            <w:spacing w:val="-10"/>
                            <w:w w:val="105"/>
                            <w:sz w:val="17"/>
                          </w:rPr>
                          <w:t xml:space="preserve"> </w:t>
                        </w:r>
                        <w:r>
                          <w:rPr>
                            <w:w w:val="105"/>
                            <w:sz w:val="17"/>
                          </w:rPr>
                          <w:t>vulnerables y han sufrido y continúan sufriendo marginación.135</w:t>
                        </w:r>
                      </w:p>
                    </w:txbxContent>
                  </v:textbox>
                </v:shape>
                <w10:wrap type="topAndBottom" anchorx="page"/>
              </v:group>
            </w:pict>
          </mc:Fallback>
        </mc:AlternateContent>
      </w:r>
    </w:p>
    <w:p w14:paraId="00A14DE3" w14:textId="77777777" w:rsidR="0014798C" w:rsidRDefault="0014798C">
      <w:pPr>
        <w:pStyle w:val="Textoindependiente"/>
        <w:spacing w:before="10"/>
        <w:rPr>
          <w:sz w:val="12"/>
        </w:rPr>
      </w:pPr>
    </w:p>
    <w:p w14:paraId="47359FEF" w14:textId="77777777" w:rsidR="0014798C" w:rsidRDefault="004E1F0B">
      <w:pPr>
        <w:pStyle w:val="Prrafodelista"/>
        <w:numPr>
          <w:ilvl w:val="0"/>
          <w:numId w:val="84"/>
        </w:numPr>
        <w:tabs>
          <w:tab w:val="left" w:pos="1345"/>
        </w:tabs>
        <w:ind w:left="1345" w:hanging="234"/>
        <w:rPr>
          <w:sz w:val="12"/>
        </w:rPr>
      </w:pPr>
      <w:r>
        <w:rPr>
          <w:sz w:val="12"/>
        </w:rPr>
        <w:t>El</w:t>
      </w:r>
      <w:r>
        <w:rPr>
          <w:spacing w:val="-2"/>
          <w:sz w:val="12"/>
        </w:rPr>
        <w:t xml:space="preserve"> </w:t>
      </w:r>
      <w:r>
        <w:rPr>
          <w:sz w:val="12"/>
        </w:rPr>
        <w:t>artículo</w:t>
      </w:r>
      <w:r>
        <w:rPr>
          <w:spacing w:val="-1"/>
          <w:sz w:val="12"/>
        </w:rPr>
        <w:t xml:space="preserve"> </w:t>
      </w:r>
      <w:r>
        <w:rPr>
          <w:sz w:val="12"/>
        </w:rPr>
        <w:t>1</w:t>
      </w:r>
      <w:r>
        <w:rPr>
          <w:spacing w:val="-2"/>
          <w:sz w:val="12"/>
        </w:rPr>
        <w:t xml:space="preserve"> </w:t>
      </w:r>
      <w:r>
        <w:rPr>
          <w:sz w:val="12"/>
        </w:rPr>
        <w:t>del</w:t>
      </w:r>
      <w:r>
        <w:rPr>
          <w:spacing w:val="-1"/>
          <w:sz w:val="12"/>
        </w:rPr>
        <w:t xml:space="preserve"> </w:t>
      </w:r>
      <w:r>
        <w:rPr>
          <w:sz w:val="12"/>
        </w:rPr>
        <w:t>Convenio</w:t>
      </w:r>
      <w:r>
        <w:rPr>
          <w:spacing w:val="-2"/>
          <w:sz w:val="12"/>
        </w:rPr>
        <w:t xml:space="preserve"> </w:t>
      </w:r>
      <w:r>
        <w:rPr>
          <w:sz w:val="12"/>
        </w:rPr>
        <w:t>sobre</w:t>
      </w:r>
      <w:r>
        <w:rPr>
          <w:spacing w:val="-1"/>
          <w:sz w:val="12"/>
        </w:rPr>
        <w:t xml:space="preserve"> </w:t>
      </w:r>
      <w:r>
        <w:rPr>
          <w:sz w:val="12"/>
        </w:rPr>
        <w:t>la</w:t>
      </w:r>
      <w:r>
        <w:rPr>
          <w:spacing w:val="-2"/>
          <w:sz w:val="12"/>
        </w:rPr>
        <w:t xml:space="preserve"> </w:t>
      </w:r>
      <w:r>
        <w:rPr>
          <w:sz w:val="12"/>
        </w:rPr>
        <w:t>discriminación</w:t>
      </w:r>
      <w:r>
        <w:rPr>
          <w:spacing w:val="-1"/>
          <w:sz w:val="12"/>
        </w:rPr>
        <w:t xml:space="preserve"> </w:t>
      </w:r>
      <w:r>
        <w:rPr>
          <w:sz w:val="12"/>
        </w:rPr>
        <w:t>(empleo</w:t>
      </w:r>
      <w:r>
        <w:rPr>
          <w:spacing w:val="-2"/>
          <w:sz w:val="12"/>
        </w:rPr>
        <w:t xml:space="preserve"> </w:t>
      </w:r>
      <w:r>
        <w:rPr>
          <w:sz w:val="12"/>
        </w:rPr>
        <w:t>y</w:t>
      </w:r>
      <w:r>
        <w:rPr>
          <w:spacing w:val="-1"/>
          <w:sz w:val="12"/>
        </w:rPr>
        <w:t xml:space="preserve"> </w:t>
      </w:r>
      <w:r>
        <w:rPr>
          <w:sz w:val="12"/>
        </w:rPr>
        <w:t>ocupación),</w:t>
      </w:r>
      <w:r>
        <w:rPr>
          <w:spacing w:val="-1"/>
          <w:sz w:val="12"/>
        </w:rPr>
        <w:t xml:space="preserve"> </w:t>
      </w:r>
      <w:r>
        <w:rPr>
          <w:sz w:val="12"/>
        </w:rPr>
        <w:t>1958</w:t>
      </w:r>
      <w:r>
        <w:rPr>
          <w:spacing w:val="-2"/>
          <w:sz w:val="12"/>
        </w:rPr>
        <w:t xml:space="preserve"> </w:t>
      </w:r>
      <w:r>
        <w:rPr>
          <w:sz w:val="12"/>
        </w:rPr>
        <w:t>(núm.</w:t>
      </w:r>
      <w:r>
        <w:rPr>
          <w:spacing w:val="-1"/>
          <w:sz w:val="12"/>
        </w:rPr>
        <w:t xml:space="preserve"> </w:t>
      </w:r>
      <w:r>
        <w:rPr>
          <w:sz w:val="12"/>
        </w:rPr>
        <w:t>111),</w:t>
      </w:r>
      <w:r>
        <w:rPr>
          <w:spacing w:val="-2"/>
          <w:sz w:val="12"/>
        </w:rPr>
        <w:t xml:space="preserve"> </w:t>
      </w:r>
      <w:r>
        <w:rPr>
          <w:sz w:val="12"/>
        </w:rPr>
        <w:t>contiene</w:t>
      </w:r>
      <w:r>
        <w:rPr>
          <w:spacing w:val="-1"/>
          <w:sz w:val="12"/>
        </w:rPr>
        <w:t xml:space="preserve"> </w:t>
      </w:r>
      <w:r>
        <w:rPr>
          <w:sz w:val="12"/>
        </w:rPr>
        <w:t>una</w:t>
      </w:r>
      <w:r>
        <w:rPr>
          <w:spacing w:val="-2"/>
          <w:sz w:val="12"/>
        </w:rPr>
        <w:t xml:space="preserve"> </w:t>
      </w:r>
      <w:r>
        <w:rPr>
          <w:sz w:val="12"/>
        </w:rPr>
        <w:t>lista</w:t>
      </w:r>
      <w:r>
        <w:rPr>
          <w:spacing w:val="-1"/>
          <w:sz w:val="12"/>
        </w:rPr>
        <w:t xml:space="preserve"> </w:t>
      </w:r>
      <w:r>
        <w:rPr>
          <w:sz w:val="12"/>
        </w:rPr>
        <w:t>similar,</w:t>
      </w:r>
      <w:r>
        <w:rPr>
          <w:spacing w:val="-2"/>
          <w:sz w:val="12"/>
        </w:rPr>
        <w:t xml:space="preserve"> </w:t>
      </w:r>
      <w:r>
        <w:rPr>
          <w:sz w:val="12"/>
        </w:rPr>
        <w:t>aunque</w:t>
      </w:r>
      <w:r>
        <w:rPr>
          <w:spacing w:val="-1"/>
          <w:sz w:val="12"/>
        </w:rPr>
        <w:t xml:space="preserve"> </w:t>
      </w:r>
      <w:r>
        <w:rPr>
          <w:sz w:val="12"/>
        </w:rPr>
        <w:t>reducida,</w:t>
      </w:r>
      <w:r>
        <w:rPr>
          <w:spacing w:val="-1"/>
          <w:sz w:val="12"/>
        </w:rPr>
        <w:t xml:space="preserve"> </w:t>
      </w:r>
      <w:r>
        <w:rPr>
          <w:spacing w:val="-5"/>
          <w:sz w:val="12"/>
        </w:rPr>
        <w:t>de</w:t>
      </w:r>
    </w:p>
    <w:p w14:paraId="6F455C94" w14:textId="77777777" w:rsidR="0014798C" w:rsidRDefault="004E1F0B">
      <w:pPr>
        <w:spacing w:before="33"/>
        <w:ind w:left="1366"/>
        <w:rPr>
          <w:sz w:val="13"/>
        </w:rPr>
      </w:pPr>
      <w:r>
        <w:rPr>
          <w:spacing w:val="-2"/>
          <w:sz w:val="13"/>
        </w:rPr>
        <w:t>jardines.</w:t>
      </w:r>
    </w:p>
    <w:p w14:paraId="52FD8D61" w14:textId="77777777" w:rsidR="0014798C" w:rsidRDefault="004E1F0B">
      <w:pPr>
        <w:pStyle w:val="Prrafodelista"/>
        <w:numPr>
          <w:ilvl w:val="0"/>
          <w:numId w:val="84"/>
        </w:numPr>
        <w:tabs>
          <w:tab w:val="left" w:pos="1345"/>
        </w:tabs>
        <w:spacing w:before="91"/>
        <w:ind w:left="1345" w:hanging="234"/>
        <w:rPr>
          <w:sz w:val="12"/>
        </w:rPr>
      </w:pPr>
      <w:r>
        <w:rPr>
          <w:sz w:val="12"/>
        </w:rPr>
        <w:t>Convención</w:t>
      </w:r>
      <w:r>
        <w:rPr>
          <w:spacing w:val="-1"/>
          <w:sz w:val="12"/>
        </w:rPr>
        <w:t xml:space="preserve"> </w:t>
      </w:r>
      <w:r>
        <w:rPr>
          <w:sz w:val="12"/>
        </w:rPr>
        <w:t>Internacional</w:t>
      </w:r>
      <w:r>
        <w:rPr>
          <w:spacing w:val="-1"/>
          <w:sz w:val="12"/>
        </w:rPr>
        <w:t xml:space="preserve"> </w:t>
      </w:r>
      <w:r>
        <w:rPr>
          <w:sz w:val="12"/>
        </w:rPr>
        <w:t>sobre</w:t>
      </w:r>
      <w:r>
        <w:rPr>
          <w:spacing w:val="-1"/>
          <w:sz w:val="12"/>
        </w:rPr>
        <w:t xml:space="preserve"> </w:t>
      </w:r>
      <w:r>
        <w:rPr>
          <w:sz w:val="12"/>
        </w:rPr>
        <w:t>la</w:t>
      </w:r>
      <w:r>
        <w:rPr>
          <w:spacing w:val="-1"/>
          <w:sz w:val="12"/>
        </w:rPr>
        <w:t xml:space="preserve"> </w:t>
      </w:r>
      <w:r>
        <w:rPr>
          <w:sz w:val="12"/>
        </w:rPr>
        <w:t>Eliminación</w:t>
      </w:r>
      <w:r>
        <w:rPr>
          <w:spacing w:val="-1"/>
          <w:sz w:val="12"/>
        </w:rPr>
        <w:t xml:space="preserve"> </w:t>
      </w:r>
      <w:r>
        <w:rPr>
          <w:sz w:val="12"/>
        </w:rPr>
        <w:t>de todas</w:t>
      </w:r>
      <w:r>
        <w:rPr>
          <w:spacing w:val="-1"/>
          <w:sz w:val="12"/>
        </w:rPr>
        <w:t xml:space="preserve"> </w:t>
      </w:r>
      <w:r>
        <w:rPr>
          <w:sz w:val="12"/>
        </w:rPr>
        <w:t>las</w:t>
      </w:r>
      <w:r>
        <w:rPr>
          <w:spacing w:val="-1"/>
          <w:sz w:val="12"/>
        </w:rPr>
        <w:t xml:space="preserve"> </w:t>
      </w:r>
      <w:r>
        <w:rPr>
          <w:sz w:val="12"/>
        </w:rPr>
        <w:t>Formas</w:t>
      </w:r>
      <w:r>
        <w:rPr>
          <w:spacing w:val="-1"/>
          <w:sz w:val="12"/>
        </w:rPr>
        <w:t xml:space="preserve"> </w:t>
      </w:r>
      <w:r>
        <w:rPr>
          <w:sz w:val="12"/>
        </w:rPr>
        <w:t>de</w:t>
      </w:r>
      <w:r>
        <w:rPr>
          <w:spacing w:val="-1"/>
          <w:sz w:val="12"/>
        </w:rPr>
        <w:t xml:space="preserve"> </w:t>
      </w:r>
      <w:r>
        <w:rPr>
          <w:sz w:val="12"/>
        </w:rPr>
        <w:t>Discriminación</w:t>
      </w:r>
      <w:r>
        <w:rPr>
          <w:spacing w:val="-1"/>
          <w:sz w:val="12"/>
        </w:rPr>
        <w:t xml:space="preserve"> </w:t>
      </w:r>
      <w:r>
        <w:rPr>
          <w:sz w:val="12"/>
        </w:rPr>
        <w:t>Racial, art.</w:t>
      </w:r>
      <w:r>
        <w:rPr>
          <w:spacing w:val="-1"/>
          <w:sz w:val="12"/>
        </w:rPr>
        <w:t xml:space="preserve"> </w:t>
      </w:r>
      <w:r>
        <w:rPr>
          <w:sz w:val="12"/>
        </w:rPr>
        <w:t>1</w:t>
      </w:r>
      <w:r>
        <w:rPr>
          <w:spacing w:val="-1"/>
          <w:sz w:val="12"/>
        </w:rPr>
        <w:t xml:space="preserve"> </w:t>
      </w:r>
      <w:r>
        <w:rPr>
          <w:spacing w:val="-4"/>
          <w:sz w:val="12"/>
        </w:rPr>
        <w:t>(1).</w:t>
      </w:r>
    </w:p>
    <w:p w14:paraId="6425A691" w14:textId="77777777" w:rsidR="0014798C" w:rsidRDefault="004E1F0B">
      <w:pPr>
        <w:pStyle w:val="Prrafodelista"/>
        <w:numPr>
          <w:ilvl w:val="0"/>
          <w:numId w:val="84"/>
        </w:numPr>
        <w:tabs>
          <w:tab w:val="left" w:pos="1344"/>
          <w:tab w:val="left" w:pos="1369"/>
        </w:tabs>
        <w:spacing w:before="103" w:line="312" w:lineRule="auto"/>
        <w:ind w:left="1369" w:right="1773" w:hanging="259"/>
        <w:rPr>
          <w:sz w:val="12"/>
        </w:rPr>
      </w:pPr>
      <w:r>
        <w:rPr>
          <w:sz w:val="12"/>
        </w:rPr>
        <w:t>En esta publicación utilizamos el término “estado de maternidad o paternidad”, reflejando la redacción adoptada por el Comité sobre los Derechos de las</w:t>
      </w:r>
      <w:r>
        <w:rPr>
          <w:spacing w:val="40"/>
          <w:sz w:val="12"/>
        </w:rPr>
        <w:t xml:space="preserve"> </w:t>
      </w:r>
      <w:r>
        <w:rPr>
          <w:sz w:val="12"/>
        </w:rPr>
        <w:t>Personas con Discapacidad en su observación general núm. 6 (2018). En sus observaciones finales, el Comité para la Eliminación de la Discriminación contra</w:t>
      </w:r>
    </w:p>
    <w:p w14:paraId="1373EAD6" w14:textId="77777777" w:rsidR="0014798C" w:rsidRDefault="004E1F0B">
      <w:pPr>
        <w:spacing w:before="1" w:line="312" w:lineRule="auto"/>
        <w:ind w:left="1365" w:right="1463" w:firstLine="2"/>
        <w:rPr>
          <w:sz w:val="12"/>
        </w:rPr>
      </w:pPr>
      <w:r>
        <w:rPr>
          <w:sz w:val="12"/>
        </w:rPr>
        <w:t>la Mujer ha instado a los Estados a garantizar igualdad de licencias de maternidad y paternidad como medio para abordar la desigualdad de género y la exclusión de</w:t>
      </w:r>
      <w:r>
        <w:rPr>
          <w:spacing w:val="40"/>
          <w:sz w:val="12"/>
        </w:rPr>
        <w:t xml:space="preserve"> </w:t>
      </w:r>
      <w:r>
        <w:rPr>
          <w:sz w:val="12"/>
        </w:rPr>
        <w:t xml:space="preserve">las mujeres del mercado. Véase, por ejemplo, CEDAW/C/PRK/CO/2-4, </w:t>
      </w:r>
      <w:proofErr w:type="spellStart"/>
      <w:r>
        <w:rPr>
          <w:sz w:val="12"/>
        </w:rPr>
        <w:t>párrs</w:t>
      </w:r>
      <w:proofErr w:type="spellEnd"/>
      <w:r>
        <w:rPr>
          <w:sz w:val="12"/>
        </w:rPr>
        <w:t>. 35–36.</w:t>
      </w:r>
    </w:p>
    <w:p w14:paraId="6104C545" w14:textId="77777777" w:rsidR="0014798C" w:rsidRDefault="004E1F0B">
      <w:pPr>
        <w:pStyle w:val="Prrafodelista"/>
        <w:numPr>
          <w:ilvl w:val="0"/>
          <w:numId w:val="84"/>
        </w:numPr>
        <w:tabs>
          <w:tab w:val="left" w:pos="1345"/>
        </w:tabs>
        <w:spacing w:before="58"/>
        <w:ind w:left="1345" w:hanging="234"/>
        <w:rPr>
          <w:sz w:val="12"/>
        </w:rPr>
      </w:pPr>
      <w:r>
        <w:rPr>
          <w:sz w:val="12"/>
        </w:rPr>
        <w:t>Convención</w:t>
      </w:r>
      <w:r>
        <w:rPr>
          <w:spacing w:val="-1"/>
          <w:sz w:val="12"/>
        </w:rPr>
        <w:t xml:space="preserve"> </w:t>
      </w:r>
      <w:r>
        <w:rPr>
          <w:sz w:val="12"/>
        </w:rPr>
        <w:t>sobre</w:t>
      </w:r>
      <w:r>
        <w:rPr>
          <w:spacing w:val="-1"/>
          <w:sz w:val="12"/>
        </w:rPr>
        <w:t xml:space="preserve"> </w:t>
      </w:r>
      <w:r>
        <w:rPr>
          <w:sz w:val="12"/>
        </w:rPr>
        <w:t>la eliminación</w:t>
      </w:r>
      <w:r>
        <w:rPr>
          <w:spacing w:val="-1"/>
          <w:sz w:val="12"/>
        </w:rPr>
        <w:t xml:space="preserve"> </w:t>
      </w:r>
      <w:r>
        <w:rPr>
          <w:sz w:val="12"/>
        </w:rPr>
        <w:t>de todas</w:t>
      </w:r>
      <w:r>
        <w:rPr>
          <w:spacing w:val="-1"/>
          <w:sz w:val="12"/>
        </w:rPr>
        <w:t xml:space="preserve"> </w:t>
      </w:r>
      <w:r>
        <w:rPr>
          <w:sz w:val="12"/>
        </w:rPr>
        <w:t>las</w:t>
      </w:r>
      <w:r>
        <w:rPr>
          <w:spacing w:val="-1"/>
          <w:sz w:val="12"/>
        </w:rPr>
        <w:t xml:space="preserve"> </w:t>
      </w:r>
      <w:r>
        <w:rPr>
          <w:sz w:val="12"/>
        </w:rPr>
        <w:t>formas de</w:t>
      </w:r>
      <w:r>
        <w:rPr>
          <w:spacing w:val="-1"/>
          <w:sz w:val="12"/>
        </w:rPr>
        <w:t xml:space="preserve"> </w:t>
      </w:r>
      <w:r>
        <w:rPr>
          <w:sz w:val="12"/>
        </w:rPr>
        <w:t>discriminación contra</w:t>
      </w:r>
      <w:r>
        <w:rPr>
          <w:spacing w:val="-1"/>
          <w:sz w:val="12"/>
        </w:rPr>
        <w:t xml:space="preserve"> </w:t>
      </w:r>
      <w:r>
        <w:rPr>
          <w:sz w:val="12"/>
        </w:rPr>
        <w:t>la mujer,</w:t>
      </w:r>
      <w:r>
        <w:rPr>
          <w:spacing w:val="-1"/>
          <w:sz w:val="12"/>
        </w:rPr>
        <w:t xml:space="preserve"> </w:t>
      </w:r>
      <w:r>
        <w:rPr>
          <w:sz w:val="12"/>
        </w:rPr>
        <w:t>art.</w:t>
      </w:r>
      <w:r>
        <w:rPr>
          <w:spacing w:val="-1"/>
          <w:sz w:val="12"/>
        </w:rPr>
        <w:t xml:space="preserve"> </w:t>
      </w:r>
      <w:r>
        <w:rPr>
          <w:sz w:val="12"/>
        </w:rPr>
        <w:t xml:space="preserve">11 </w:t>
      </w:r>
      <w:r>
        <w:rPr>
          <w:spacing w:val="-4"/>
          <w:sz w:val="12"/>
        </w:rPr>
        <w:t>(2).</w:t>
      </w:r>
    </w:p>
    <w:p w14:paraId="0F10C462" w14:textId="77777777" w:rsidR="0014798C" w:rsidRDefault="004E1F0B">
      <w:pPr>
        <w:pStyle w:val="Prrafodelista"/>
        <w:numPr>
          <w:ilvl w:val="0"/>
          <w:numId w:val="84"/>
        </w:numPr>
        <w:tabs>
          <w:tab w:val="left" w:pos="1345"/>
        </w:tabs>
        <w:spacing w:before="98"/>
        <w:ind w:left="1345" w:hanging="234"/>
        <w:rPr>
          <w:sz w:val="12"/>
        </w:rPr>
      </w:pPr>
      <w:r>
        <w:rPr>
          <w:sz w:val="12"/>
        </w:rPr>
        <w:t>Convención sobre los</w:t>
      </w:r>
      <w:r>
        <w:rPr>
          <w:spacing w:val="1"/>
          <w:sz w:val="12"/>
        </w:rPr>
        <w:t xml:space="preserve"> </w:t>
      </w:r>
      <w:r>
        <w:rPr>
          <w:sz w:val="12"/>
        </w:rPr>
        <w:t>Derechos de</w:t>
      </w:r>
      <w:r>
        <w:rPr>
          <w:spacing w:val="1"/>
          <w:sz w:val="12"/>
        </w:rPr>
        <w:t xml:space="preserve"> </w:t>
      </w:r>
      <w:r>
        <w:rPr>
          <w:sz w:val="12"/>
        </w:rPr>
        <w:t>las Personas</w:t>
      </w:r>
      <w:r>
        <w:rPr>
          <w:spacing w:val="1"/>
          <w:sz w:val="12"/>
        </w:rPr>
        <w:t xml:space="preserve"> </w:t>
      </w:r>
      <w:r>
        <w:rPr>
          <w:sz w:val="12"/>
        </w:rPr>
        <w:t>con Discapacidad,</w:t>
      </w:r>
      <w:r>
        <w:rPr>
          <w:spacing w:val="1"/>
          <w:sz w:val="12"/>
        </w:rPr>
        <w:t xml:space="preserve"> </w:t>
      </w:r>
      <w:r>
        <w:rPr>
          <w:sz w:val="12"/>
        </w:rPr>
        <w:t>art.</w:t>
      </w:r>
      <w:r>
        <w:rPr>
          <w:spacing w:val="1"/>
          <w:sz w:val="12"/>
        </w:rPr>
        <w:t xml:space="preserve"> </w:t>
      </w:r>
      <w:r>
        <w:rPr>
          <w:sz w:val="12"/>
        </w:rPr>
        <w:t xml:space="preserve">4 </w:t>
      </w:r>
      <w:r>
        <w:rPr>
          <w:spacing w:val="-4"/>
          <w:sz w:val="12"/>
        </w:rPr>
        <w:t>(1).</w:t>
      </w:r>
    </w:p>
    <w:p w14:paraId="114A8EB0" w14:textId="77777777" w:rsidR="0014798C" w:rsidRDefault="004E1F0B">
      <w:pPr>
        <w:pStyle w:val="Prrafodelista"/>
        <w:numPr>
          <w:ilvl w:val="0"/>
          <w:numId w:val="84"/>
        </w:numPr>
        <w:tabs>
          <w:tab w:val="left" w:pos="1344"/>
          <w:tab w:val="left" w:pos="1369"/>
        </w:tabs>
        <w:spacing w:before="98" w:line="312" w:lineRule="auto"/>
        <w:ind w:left="1369" w:right="1720" w:hanging="259"/>
        <w:rPr>
          <w:sz w:val="12"/>
        </w:rPr>
      </w:pPr>
      <w:r>
        <w:rPr>
          <w:sz w:val="12"/>
        </w:rPr>
        <w:t xml:space="preserve">Denominada “situación económica” en la observación general </w:t>
      </w:r>
      <w:proofErr w:type="spellStart"/>
      <w:r>
        <w:rPr>
          <w:sz w:val="12"/>
        </w:rPr>
        <w:t>n.°</w:t>
      </w:r>
      <w:proofErr w:type="spellEnd"/>
      <w:r>
        <w:rPr>
          <w:sz w:val="12"/>
        </w:rPr>
        <w:t xml:space="preserve"> 20 (2009) del Comité de Derechos Económicos, Sociales y Culturales y “situación económica”</w:t>
      </w:r>
      <w:r>
        <w:rPr>
          <w:spacing w:val="40"/>
          <w:sz w:val="12"/>
        </w:rPr>
        <w:t xml:space="preserve"> </w:t>
      </w:r>
      <w:r>
        <w:rPr>
          <w:sz w:val="12"/>
        </w:rPr>
        <w:t xml:space="preserve">en la observación general </w:t>
      </w:r>
      <w:proofErr w:type="spellStart"/>
      <w:r>
        <w:rPr>
          <w:sz w:val="12"/>
        </w:rPr>
        <w:t>n.°</w:t>
      </w:r>
      <w:proofErr w:type="spellEnd"/>
      <w:r>
        <w:rPr>
          <w:sz w:val="12"/>
        </w:rPr>
        <w:t xml:space="preserve"> 6 (2018) del Comité sobre los Derechos de las Personas con Discapacidades. En la presente publicación se utiliza el término</w:t>
      </w:r>
      <w:r>
        <w:rPr>
          <w:spacing w:val="40"/>
          <w:sz w:val="12"/>
        </w:rPr>
        <w:t xml:space="preserve"> </w:t>
      </w:r>
      <w:r>
        <w:rPr>
          <w:sz w:val="12"/>
        </w:rPr>
        <w:t>“situación</w:t>
      </w:r>
      <w:r>
        <w:rPr>
          <w:spacing w:val="-7"/>
          <w:sz w:val="12"/>
        </w:rPr>
        <w:t xml:space="preserve"> </w:t>
      </w:r>
      <w:r>
        <w:rPr>
          <w:sz w:val="12"/>
        </w:rPr>
        <w:t>económica”.</w:t>
      </w:r>
    </w:p>
    <w:p w14:paraId="7450BA6B" w14:textId="77777777" w:rsidR="0014798C" w:rsidRDefault="004E1F0B">
      <w:pPr>
        <w:pStyle w:val="Prrafodelista"/>
        <w:numPr>
          <w:ilvl w:val="0"/>
          <w:numId w:val="84"/>
        </w:numPr>
        <w:tabs>
          <w:tab w:val="left" w:pos="1345"/>
        </w:tabs>
        <w:spacing w:before="58"/>
        <w:ind w:left="1345" w:hanging="234"/>
        <w:rPr>
          <w:sz w:val="12"/>
        </w:rPr>
      </w:pPr>
      <w:r>
        <w:rPr>
          <w:sz w:val="12"/>
        </w:rPr>
        <w:t>Convención Internacional sobre</w:t>
      </w:r>
      <w:r>
        <w:rPr>
          <w:spacing w:val="1"/>
          <w:sz w:val="12"/>
        </w:rPr>
        <w:t xml:space="preserve"> </w:t>
      </w:r>
      <w:r>
        <w:rPr>
          <w:sz w:val="12"/>
        </w:rPr>
        <w:t>la protección</w:t>
      </w:r>
      <w:r>
        <w:rPr>
          <w:spacing w:val="1"/>
          <w:sz w:val="12"/>
        </w:rPr>
        <w:t xml:space="preserve"> </w:t>
      </w:r>
      <w:r>
        <w:rPr>
          <w:sz w:val="12"/>
        </w:rPr>
        <w:t>de los derechos</w:t>
      </w:r>
      <w:r>
        <w:rPr>
          <w:spacing w:val="1"/>
          <w:sz w:val="12"/>
        </w:rPr>
        <w:t xml:space="preserve"> </w:t>
      </w:r>
      <w:r>
        <w:rPr>
          <w:sz w:val="12"/>
        </w:rPr>
        <w:t>de todos</w:t>
      </w:r>
      <w:r>
        <w:rPr>
          <w:spacing w:val="1"/>
          <w:sz w:val="12"/>
        </w:rPr>
        <w:t xml:space="preserve"> </w:t>
      </w:r>
      <w:r>
        <w:rPr>
          <w:sz w:val="12"/>
        </w:rPr>
        <w:t>los trabajadores</w:t>
      </w:r>
      <w:r>
        <w:rPr>
          <w:spacing w:val="1"/>
          <w:sz w:val="12"/>
        </w:rPr>
        <w:t xml:space="preserve"> </w:t>
      </w:r>
      <w:r>
        <w:rPr>
          <w:sz w:val="12"/>
        </w:rPr>
        <w:t>migratorios y de</w:t>
      </w:r>
      <w:r>
        <w:rPr>
          <w:spacing w:val="1"/>
          <w:sz w:val="12"/>
        </w:rPr>
        <w:t xml:space="preserve"> </w:t>
      </w:r>
      <w:r>
        <w:rPr>
          <w:sz w:val="12"/>
        </w:rPr>
        <w:t>sus familiares,</w:t>
      </w:r>
      <w:r>
        <w:rPr>
          <w:spacing w:val="2"/>
          <w:sz w:val="12"/>
        </w:rPr>
        <w:t xml:space="preserve"> </w:t>
      </w:r>
      <w:r>
        <w:rPr>
          <w:sz w:val="12"/>
        </w:rPr>
        <w:t>art. 1 (1).</w:t>
      </w:r>
      <w:r>
        <w:rPr>
          <w:spacing w:val="1"/>
          <w:sz w:val="12"/>
        </w:rPr>
        <w:t xml:space="preserve"> </w:t>
      </w:r>
      <w:r>
        <w:rPr>
          <w:spacing w:val="-5"/>
          <w:sz w:val="12"/>
        </w:rPr>
        <w:t>El</w:t>
      </w:r>
    </w:p>
    <w:p w14:paraId="580C9BD2" w14:textId="77777777" w:rsidR="0014798C" w:rsidRDefault="004E1F0B">
      <w:pPr>
        <w:spacing w:before="33" w:line="288" w:lineRule="auto"/>
        <w:ind w:left="1370" w:right="1840" w:firstLine="1"/>
        <w:rPr>
          <w:sz w:val="13"/>
        </w:rPr>
      </w:pPr>
      <w:r>
        <w:rPr>
          <w:sz w:val="13"/>
        </w:rPr>
        <w:t>La Convención también prohíbe la discriminación</w:t>
      </w:r>
      <w:r>
        <w:rPr>
          <w:spacing w:val="11"/>
          <w:sz w:val="13"/>
        </w:rPr>
        <w:t xml:space="preserve"> </w:t>
      </w:r>
      <w:r>
        <w:rPr>
          <w:sz w:val="13"/>
        </w:rPr>
        <w:t>basada en “convicciones”,</w:t>
      </w:r>
      <w:r>
        <w:rPr>
          <w:spacing w:val="13"/>
          <w:sz w:val="13"/>
        </w:rPr>
        <w:t xml:space="preserve"> </w:t>
      </w:r>
      <w:r>
        <w:rPr>
          <w:sz w:val="13"/>
        </w:rPr>
        <w:t>un motivo contiguo a la característica de religión o creencia protegida</w:t>
      </w:r>
      <w:r>
        <w:rPr>
          <w:spacing w:val="40"/>
          <w:sz w:val="13"/>
        </w:rPr>
        <w:t xml:space="preserve"> </w:t>
      </w:r>
      <w:r>
        <w:rPr>
          <w:sz w:val="13"/>
        </w:rPr>
        <w:t>por varios otros instrumentos internacionales.</w:t>
      </w:r>
    </w:p>
    <w:p w14:paraId="76C2B85A" w14:textId="77777777" w:rsidR="0014798C" w:rsidRDefault="004E1F0B">
      <w:pPr>
        <w:pStyle w:val="Prrafodelista"/>
        <w:numPr>
          <w:ilvl w:val="0"/>
          <w:numId w:val="84"/>
        </w:numPr>
        <w:tabs>
          <w:tab w:val="left" w:pos="1345"/>
          <w:tab w:val="left" w:pos="1368"/>
        </w:tabs>
        <w:spacing w:before="67" w:line="312" w:lineRule="auto"/>
        <w:ind w:left="1368" w:right="1971" w:hanging="257"/>
        <w:rPr>
          <w:sz w:val="12"/>
        </w:rPr>
      </w:pPr>
      <w:r>
        <w:rPr>
          <w:sz w:val="12"/>
        </w:rPr>
        <w:t>Pacto Internacional de Derechos Civiles y Políticos, arts. 2 (1) y 26; y Pacto Internacional de Derechos Económicos, Sociales y Culturales, art. 2 (2). Véase</w:t>
      </w:r>
      <w:r>
        <w:rPr>
          <w:spacing w:val="40"/>
          <w:sz w:val="12"/>
        </w:rPr>
        <w:t xml:space="preserve"> </w:t>
      </w:r>
      <w:r>
        <w:rPr>
          <w:sz w:val="12"/>
        </w:rPr>
        <w:t>también Convención Internacional sobre la protección de los derechos de todos los trabajadores migratorios y de sus familiares, art. 1 (</w:t>
      </w:r>
      <w:proofErr w:type="gramStart"/>
      <w:r>
        <w:rPr>
          <w:sz w:val="12"/>
        </w:rPr>
        <w:t>1);</w:t>
      </w:r>
      <w:proofErr w:type="gramEnd"/>
      <w:r>
        <w:rPr>
          <w:sz w:val="12"/>
        </w:rPr>
        <w:t xml:space="preserve"> y Convención</w:t>
      </w:r>
      <w:r>
        <w:rPr>
          <w:spacing w:val="40"/>
          <w:sz w:val="12"/>
        </w:rPr>
        <w:t xml:space="preserve"> </w:t>
      </w:r>
      <w:r>
        <w:rPr>
          <w:sz w:val="12"/>
        </w:rPr>
        <w:t>sobre los Derechos del Niño, art. 2 (1).</w:t>
      </w:r>
    </w:p>
    <w:p w14:paraId="27275892" w14:textId="77777777" w:rsidR="0014798C" w:rsidRDefault="004E1F0B">
      <w:pPr>
        <w:pStyle w:val="Prrafodelista"/>
        <w:numPr>
          <w:ilvl w:val="0"/>
          <w:numId w:val="84"/>
        </w:numPr>
        <w:tabs>
          <w:tab w:val="left" w:pos="1345"/>
        </w:tabs>
        <w:spacing w:before="58"/>
        <w:ind w:left="1345" w:hanging="234"/>
        <w:rPr>
          <w:sz w:val="12"/>
        </w:rPr>
      </w:pPr>
      <w:r>
        <w:rPr>
          <w:sz w:val="12"/>
        </w:rPr>
        <w:t>Artículo 2 de</w:t>
      </w:r>
      <w:r>
        <w:rPr>
          <w:spacing w:val="1"/>
          <w:sz w:val="12"/>
        </w:rPr>
        <w:t xml:space="preserve"> </w:t>
      </w:r>
      <w:r>
        <w:rPr>
          <w:sz w:val="12"/>
        </w:rPr>
        <w:t>la Carta Africana</w:t>
      </w:r>
      <w:r>
        <w:rPr>
          <w:spacing w:val="1"/>
          <w:sz w:val="12"/>
        </w:rPr>
        <w:t xml:space="preserve"> </w:t>
      </w:r>
      <w:r>
        <w:rPr>
          <w:sz w:val="12"/>
        </w:rPr>
        <w:t>de Derechos Humanos</w:t>
      </w:r>
      <w:r>
        <w:rPr>
          <w:spacing w:val="1"/>
          <w:sz w:val="12"/>
        </w:rPr>
        <w:t xml:space="preserve"> </w:t>
      </w:r>
      <w:r>
        <w:rPr>
          <w:sz w:val="12"/>
        </w:rPr>
        <w:t>y de</w:t>
      </w:r>
      <w:r>
        <w:rPr>
          <w:spacing w:val="1"/>
          <w:sz w:val="12"/>
        </w:rPr>
        <w:t xml:space="preserve"> </w:t>
      </w:r>
      <w:r>
        <w:rPr>
          <w:sz w:val="12"/>
        </w:rPr>
        <w:t>los Pueblos, artículo</w:t>
      </w:r>
      <w:r>
        <w:rPr>
          <w:spacing w:val="1"/>
          <w:sz w:val="12"/>
        </w:rPr>
        <w:t xml:space="preserve"> </w:t>
      </w:r>
      <w:r>
        <w:rPr>
          <w:sz w:val="12"/>
        </w:rPr>
        <w:t>14 del Convenio</w:t>
      </w:r>
      <w:r>
        <w:rPr>
          <w:spacing w:val="1"/>
          <w:sz w:val="12"/>
        </w:rPr>
        <w:t xml:space="preserve"> </w:t>
      </w:r>
      <w:r>
        <w:rPr>
          <w:sz w:val="12"/>
        </w:rPr>
        <w:t>Europeo sobre</w:t>
      </w:r>
      <w:r>
        <w:rPr>
          <w:spacing w:val="1"/>
          <w:sz w:val="12"/>
        </w:rPr>
        <w:t xml:space="preserve"> </w:t>
      </w:r>
      <w:r>
        <w:rPr>
          <w:sz w:val="12"/>
        </w:rPr>
        <w:t xml:space="preserve">Derechos Humanos </w:t>
      </w:r>
      <w:r>
        <w:rPr>
          <w:spacing w:val="-10"/>
          <w:sz w:val="12"/>
        </w:rPr>
        <w:t>y</w:t>
      </w:r>
    </w:p>
    <w:p w14:paraId="2B7DA6E4" w14:textId="77777777" w:rsidR="0014798C" w:rsidRDefault="004E1F0B">
      <w:pPr>
        <w:spacing w:before="33" w:line="288" w:lineRule="auto"/>
        <w:ind w:left="1366" w:right="1239" w:firstLine="3"/>
        <w:rPr>
          <w:sz w:val="13"/>
        </w:rPr>
      </w:pPr>
      <w:r>
        <w:rPr>
          <w:sz w:val="13"/>
        </w:rPr>
        <w:t>El</w:t>
      </w:r>
      <w:r>
        <w:rPr>
          <w:spacing w:val="9"/>
          <w:sz w:val="13"/>
        </w:rPr>
        <w:t xml:space="preserve"> </w:t>
      </w:r>
      <w:r>
        <w:rPr>
          <w:sz w:val="13"/>
        </w:rPr>
        <w:t>párrafo</w:t>
      </w:r>
      <w:r>
        <w:rPr>
          <w:spacing w:val="9"/>
          <w:sz w:val="13"/>
        </w:rPr>
        <w:t xml:space="preserve"> </w:t>
      </w:r>
      <w:r>
        <w:rPr>
          <w:sz w:val="13"/>
        </w:rPr>
        <w:t>1</w:t>
      </w:r>
      <w:r>
        <w:rPr>
          <w:spacing w:val="9"/>
          <w:sz w:val="13"/>
        </w:rPr>
        <w:t xml:space="preserve"> </w:t>
      </w:r>
      <w:r>
        <w:rPr>
          <w:sz w:val="13"/>
        </w:rPr>
        <w:t>del</w:t>
      </w:r>
      <w:r>
        <w:rPr>
          <w:spacing w:val="9"/>
          <w:sz w:val="13"/>
        </w:rPr>
        <w:t xml:space="preserve"> </w:t>
      </w:r>
      <w:r>
        <w:rPr>
          <w:sz w:val="13"/>
        </w:rPr>
        <w:t>artículo</w:t>
      </w:r>
      <w:r>
        <w:rPr>
          <w:spacing w:val="9"/>
          <w:sz w:val="13"/>
        </w:rPr>
        <w:t xml:space="preserve"> </w:t>
      </w:r>
      <w:r>
        <w:rPr>
          <w:sz w:val="13"/>
        </w:rPr>
        <w:t>1</w:t>
      </w:r>
      <w:r>
        <w:rPr>
          <w:spacing w:val="9"/>
          <w:sz w:val="13"/>
        </w:rPr>
        <w:t xml:space="preserve"> </w:t>
      </w:r>
      <w:r>
        <w:rPr>
          <w:sz w:val="13"/>
        </w:rPr>
        <w:t>de</w:t>
      </w:r>
      <w:r>
        <w:rPr>
          <w:spacing w:val="9"/>
          <w:sz w:val="13"/>
        </w:rPr>
        <w:t xml:space="preserve"> </w:t>
      </w:r>
      <w:r>
        <w:rPr>
          <w:sz w:val="13"/>
        </w:rPr>
        <w:t>su</w:t>
      </w:r>
      <w:r>
        <w:rPr>
          <w:spacing w:val="9"/>
          <w:sz w:val="13"/>
        </w:rPr>
        <w:t xml:space="preserve"> </w:t>
      </w:r>
      <w:r>
        <w:rPr>
          <w:sz w:val="13"/>
        </w:rPr>
        <w:t>Protocolo</w:t>
      </w:r>
      <w:r>
        <w:rPr>
          <w:spacing w:val="9"/>
          <w:sz w:val="13"/>
        </w:rPr>
        <w:t xml:space="preserve"> </w:t>
      </w:r>
      <w:r>
        <w:rPr>
          <w:sz w:val="13"/>
        </w:rPr>
        <w:t>núm.</w:t>
      </w:r>
      <w:r>
        <w:rPr>
          <w:spacing w:val="11"/>
          <w:sz w:val="13"/>
        </w:rPr>
        <w:t xml:space="preserve"> </w:t>
      </w:r>
      <w:r>
        <w:rPr>
          <w:sz w:val="13"/>
        </w:rPr>
        <w:t>12</w:t>
      </w:r>
      <w:r>
        <w:rPr>
          <w:spacing w:val="9"/>
          <w:sz w:val="13"/>
        </w:rPr>
        <w:t xml:space="preserve"> </w:t>
      </w:r>
      <w:r>
        <w:rPr>
          <w:sz w:val="13"/>
        </w:rPr>
        <w:t>también</w:t>
      </w:r>
      <w:r>
        <w:rPr>
          <w:spacing w:val="9"/>
          <w:sz w:val="13"/>
        </w:rPr>
        <w:t xml:space="preserve"> </w:t>
      </w:r>
      <w:r>
        <w:rPr>
          <w:sz w:val="13"/>
        </w:rPr>
        <w:t>prohíbe</w:t>
      </w:r>
      <w:r>
        <w:rPr>
          <w:spacing w:val="9"/>
          <w:sz w:val="13"/>
        </w:rPr>
        <w:t xml:space="preserve"> </w:t>
      </w:r>
      <w:r>
        <w:rPr>
          <w:sz w:val="13"/>
        </w:rPr>
        <w:t>la</w:t>
      </w:r>
      <w:r>
        <w:rPr>
          <w:spacing w:val="9"/>
          <w:sz w:val="13"/>
        </w:rPr>
        <w:t xml:space="preserve"> </w:t>
      </w:r>
      <w:r>
        <w:rPr>
          <w:sz w:val="13"/>
        </w:rPr>
        <w:t>discriminación</w:t>
      </w:r>
      <w:r>
        <w:rPr>
          <w:spacing w:val="11"/>
          <w:sz w:val="13"/>
        </w:rPr>
        <w:t xml:space="preserve"> </w:t>
      </w:r>
      <w:r>
        <w:rPr>
          <w:sz w:val="13"/>
        </w:rPr>
        <w:t>por</w:t>
      </w:r>
      <w:r>
        <w:rPr>
          <w:spacing w:val="9"/>
          <w:sz w:val="13"/>
        </w:rPr>
        <w:t xml:space="preserve"> </w:t>
      </w:r>
      <w:r>
        <w:rPr>
          <w:sz w:val="13"/>
        </w:rPr>
        <w:t>motivos</w:t>
      </w:r>
      <w:r>
        <w:rPr>
          <w:spacing w:val="9"/>
          <w:sz w:val="13"/>
        </w:rPr>
        <w:t xml:space="preserve"> </w:t>
      </w:r>
      <w:r>
        <w:rPr>
          <w:sz w:val="13"/>
        </w:rPr>
        <w:t>de</w:t>
      </w:r>
      <w:r>
        <w:rPr>
          <w:spacing w:val="9"/>
          <w:sz w:val="13"/>
        </w:rPr>
        <w:t xml:space="preserve"> </w:t>
      </w:r>
      <w:r>
        <w:rPr>
          <w:sz w:val="13"/>
        </w:rPr>
        <w:t>“otra</w:t>
      </w:r>
      <w:r>
        <w:rPr>
          <w:spacing w:val="9"/>
          <w:sz w:val="13"/>
        </w:rPr>
        <w:t xml:space="preserve"> </w:t>
      </w:r>
      <w:r>
        <w:rPr>
          <w:sz w:val="13"/>
        </w:rPr>
        <w:t>condición”.</w:t>
      </w:r>
      <w:r>
        <w:rPr>
          <w:spacing w:val="11"/>
          <w:sz w:val="13"/>
        </w:rPr>
        <w:t xml:space="preserve"> </w:t>
      </w:r>
      <w:r>
        <w:rPr>
          <w:sz w:val="13"/>
        </w:rPr>
        <w:t>Cada</w:t>
      </w:r>
      <w:r>
        <w:rPr>
          <w:spacing w:val="9"/>
          <w:sz w:val="13"/>
        </w:rPr>
        <w:t xml:space="preserve"> </w:t>
      </w:r>
      <w:r>
        <w:rPr>
          <w:sz w:val="13"/>
        </w:rPr>
        <w:t>instrumento</w:t>
      </w:r>
      <w:r>
        <w:rPr>
          <w:spacing w:val="9"/>
          <w:sz w:val="13"/>
        </w:rPr>
        <w:t xml:space="preserve"> </w:t>
      </w:r>
      <w:r>
        <w:rPr>
          <w:sz w:val="13"/>
        </w:rPr>
        <w:t>utiliza</w:t>
      </w:r>
      <w:r>
        <w:rPr>
          <w:spacing w:val="9"/>
          <w:sz w:val="13"/>
        </w:rPr>
        <w:t xml:space="preserve"> </w:t>
      </w:r>
      <w:r>
        <w:rPr>
          <w:sz w:val="13"/>
        </w:rPr>
        <w:t>la</w:t>
      </w:r>
      <w:r>
        <w:rPr>
          <w:spacing w:val="9"/>
          <w:sz w:val="13"/>
        </w:rPr>
        <w:t xml:space="preserve"> </w:t>
      </w:r>
      <w:r>
        <w:rPr>
          <w:sz w:val="13"/>
        </w:rPr>
        <w:t>frase</w:t>
      </w:r>
      <w:r>
        <w:rPr>
          <w:spacing w:val="40"/>
          <w:sz w:val="13"/>
        </w:rPr>
        <w:t xml:space="preserve"> </w:t>
      </w:r>
      <w:r>
        <w:rPr>
          <w:sz w:val="13"/>
        </w:rPr>
        <w:t>“tales como” para indicar que la lista de motivos es ilustrativa y no exhaustiva. Esto también se aplica al artículo 21 (1) de la Carta de Derechos</w:t>
      </w:r>
      <w:r>
        <w:rPr>
          <w:spacing w:val="40"/>
          <w:sz w:val="13"/>
        </w:rPr>
        <w:t xml:space="preserve"> </w:t>
      </w:r>
      <w:r>
        <w:rPr>
          <w:sz w:val="13"/>
        </w:rPr>
        <w:t>Fundamentales</w:t>
      </w:r>
      <w:r>
        <w:rPr>
          <w:spacing w:val="11"/>
          <w:sz w:val="13"/>
        </w:rPr>
        <w:t xml:space="preserve"> </w:t>
      </w:r>
      <w:r>
        <w:rPr>
          <w:sz w:val="13"/>
        </w:rPr>
        <w:t>de</w:t>
      </w:r>
      <w:r>
        <w:rPr>
          <w:spacing w:val="11"/>
          <w:sz w:val="13"/>
        </w:rPr>
        <w:t xml:space="preserve"> </w:t>
      </w:r>
      <w:r>
        <w:rPr>
          <w:sz w:val="13"/>
        </w:rPr>
        <w:t>la</w:t>
      </w:r>
      <w:r>
        <w:rPr>
          <w:spacing w:val="11"/>
          <w:sz w:val="13"/>
        </w:rPr>
        <w:t xml:space="preserve"> </w:t>
      </w:r>
      <w:r>
        <w:rPr>
          <w:sz w:val="13"/>
        </w:rPr>
        <w:t>Unión</w:t>
      </w:r>
      <w:r>
        <w:rPr>
          <w:spacing w:val="11"/>
          <w:sz w:val="13"/>
        </w:rPr>
        <w:t xml:space="preserve"> </w:t>
      </w:r>
      <w:r>
        <w:rPr>
          <w:sz w:val="13"/>
        </w:rPr>
        <w:t>Europea,</w:t>
      </w:r>
      <w:r>
        <w:rPr>
          <w:spacing w:val="13"/>
          <w:sz w:val="13"/>
        </w:rPr>
        <w:t xml:space="preserve"> </w:t>
      </w:r>
      <w:r>
        <w:rPr>
          <w:sz w:val="13"/>
        </w:rPr>
        <w:t>que</w:t>
      </w:r>
      <w:r>
        <w:rPr>
          <w:spacing w:val="11"/>
          <w:sz w:val="13"/>
        </w:rPr>
        <w:t xml:space="preserve"> </w:t>
      </w:r>
      <w:r>
        <w:rPr>
          <w:sz w:val="13"/>
        </w:rPr>
        <w:t>no</w:t>
      </w:r>
      <w:r>
        <w:rPr>
          <w:spacing w:val="11"/>
          <w:sz w:val="13"/>
        </w:rPr>
        <w:t xml:space="preserve"> </w:t>
      </w:r>
      <w:r>
        <w:rPr>
          <w:sz w:val="13"/>
        </w:rPr>
        <w:t>utiliza</w:t>
      </w:r>
      <w:r>
        <w:rPr>
          <w:spacing w:val="11"/>
          <w:sz w:val="13"/>
        </w:rPr>
        <w:t xml:space="preserve"> </w:t>
      </w:r>
      <w:r>
        <w:rPr>
          <w:sz w:val="13"/>
        </w:rPr>
        <w:t>el</w:t>
      </w:r>
      <w:r>
        <w:rPr>
          <w:spacing w:val="11"/>
          <w:sz w:val="13"/>
        </w:rPr>
        <w:t xml:space="preserve"> </w:t>
      </w:r>
      <w:r>
        <w:rPr>
          <w:sz w:val="13"/>
        </w:rPr>
        <w:t>término</w:t>
      </w:r>
      <w:r>
        <w:rPr>
          <w:spacing w:val="11"/>
          <w:sz w:val="13"/>
        </w:rPr>
        <w:t xml:space="preserve"> </w:t>
      </w:r>
      <w:r>
        <w:rPr>
          <w:sz w:val="13"/>
        </w:rPr>
        <w:t>“otro</w:t>
      </w:r>
      <w:r>
        <w:rPr>
          <w:spacing w:val="11"/>
          <w:sz w:val="13"/>
        </w:rPr>
        <w:t xml:space="preserve"> </w:t>
      </w:r>
      <w:r>
        <w:rPr>
          <w:sz w:val="13"/>
        </w:rPr>
        <w:t>estatus”.</w:t>
      </w:r>
      <w:r>
        <w:rPr>
          <w:spacing w:val="13"/>
          <w:sz w:val="13"/>
        </w:rPr>
        <w:t xml:space="preserve"> </w:t>
      </w:r>
      <w:r>
        <w:rPr>
          <w:sz w:val="13"/>
        </w:rPr>
        <w:t>El</w:t>
      </w:r>
      <w:r>
        <w:rPr>
          <w:spacing w:val="11"/>
          <w:sz w:val="13"/>
        </w:rPr>
        <w:t xml:space="preserve"> </w:t>
      </w:r>
      <w:r>
        <w:rPr>
          <w:sz w:val="13"/>
        </w:rPr>
        <w:t>artículo</w:t>
      </w:r>
      <w:r>
        <w:rPr>
          <w:spacing w:val="11"/>
          <w:sz w:val="13"/>
        </w:rPr>
        <w:t xml:space="preserve"> </w:t>
      </w:r>
      <w:r>
        <w:rPr>
          <w:sz w:val="13"/>
        </w:rPr>
        <w:t>1</w:t>
      </w:r>
      <w:r>
        <w:rPr>
          <w:spacing w:val="11"/>
          <w:sz w:val="13"/>
        </w:rPr>
        <w:t xml:space="preserve"> </w:t>
      </w:r>
      <w:r>
        <w:rPr>
          <w:sz w:val="13"/>
        </w:rPr>
        <w:t>(1)</w:t>
      </w:r>
      <w:r>
        <w:rPr>
          <w:spacing w:val="11"/>
          <w:sz w:val="13"/>
        </w:rPr>
        <w:t xml:space="preserve"> </w:t>
      </w:r>
      <w:r>
        <w:rPr>
          <w:sz w:val="13"/>
        </w:rPr>
        <w:t>de</w:t>
      </w:r>
      <w:r>
        <w:rPr>
          <w:spacing w:val="11"/>
          <w:sz w:val="13"/>
        </w:rPr>
        <w:t xml:space="preserve"> </w:t>
      </w:r>
      <w:r>
        <w:rPr>
          <w:sz w:val="13"/>
        </w:rPr>
        <w:t>la</w:t>
      </w:r>
      <w:r>
        <w:rPr>
          <w:spacing w:val="11"/>
          <w:sz w:val="13"/>
        </w:rPr>
        <w:t xml:space="preserve"> </w:t>
      </w:r>
      <w:r>
        <w:rPr>
          <w:sz w:val="13"/>
        </w:rPr>
        <w:t>Convención</w:t>
      </w:r>
      <w:r>
        <w:rPr>
          <w:spacing w:val="11"/>
          <w:sz w:val="13"/>
        </w:rPr>
        <w:t xml:space="preserve"> </w:t>
      </w:r>
      <w:r>
        <w:rPr>
          <w:sz w:val="13"/>
        </w:rPr>
        <w:t>Americana</w:t>
      </w:r>
      <w:r>
        <w:rPr>
          <w:spacing w:val="11"/>
          <w:sz w:val="13"/>
        </w:rPr>
        <w:t xml:space="preserve"> </w:t>
      </w:r>
      <w:r>
        <w:rPr>
          <w:sz w:val="13"/>
        </w:rPr>
        <w:t>sobre</w:t>
      </w:r>
      <w:r>
        <w:rPr>
          <w:spacing w:val="11"/>
          <w:sz w:val="13"/>
        </w:rPr>
        <w:t xml:space="preserve"> </w:t>
      </w:r>
      <w:r>
        <w:rPr>
          <w:sz w:val="13"/>
        </w:rPr>
        <w:t>Derechos</w:t>
      </w:r>
      <w:r>
        <w:rPr>
          <w:spacing w:val="11"/>
          <w:sz w:val="13"/>
        </w:rPr>
        <w:t xml:space="preserve"> </w:t>
      </w:r>
      <w:r>
        <w:rPr>
          <w:sz w:val="13"/>
        </w:rPr>
        <w:t>Humanos</w:t>
      </w:r>
      <w:r>
        <w:rPr>
          <w:spacing w:val="40"/>
          <w:sz w:val="13"/>
        </w:rPr>
        <w:t xml:space="preserve"> </w:t>
      </w:r>
      <w:r>
        <w:rPr>
          <w:sz w:val="13"/>
        </w:rPr>
        <w:t>prohíbe la discriminación basada en una lista determinada de motivos “o cualquier otra condición social”. El artículo 1 (1) de la Convención Interamericana</w:t>
      </w:r>
      <w:r>
        <w:rPr>
          <w:spacing w:val="40"/>
          <w:sz w:val="13"/>
        </w:rPr>
        <w:t xml:space="preserve"> </w:t>
      </w:r>
      <w:r>
        <w:rPr>
          <w:sz w:val="13"/>
        </w:rPr>
        <w:t>contra</w:t>
      </w:r>
      <w:r>
        <w:rPr>
          <w:spacing w:val="13"/>
          <w:sz w:val="13"/>
        </w:rPr>
        <w:t xml:space="preserve"> </w:t>
      </w:r>
      <w:r>
        <w:rPr>
          <w:sz w:val="13"/>
        </w:rPr>
        <w:t>Todas</w:t>
      </w:r>
      <w:r>
        <w:rPr>
          <w:spacing w:val="13"/>
          <w:sz w:val="13"/>
        </w:rPr>
        <w:t xml:space="preserve"> </w:t>
      </w:r>
      <w:r>
        <w:rPr>
          <w:sz w:val="13"/>
        </w:rPr>
        <w:t>las</w:t>
      </w:r>
      <w:r>
        <w:rPr>
          <w:spacing w:val="13"/>
          <w:sz w:val="13"/>
        </w:rPr>
        <w:t xml:space="preserve"> </w:t>
      </w:r>
      <w:r>
        <w:rPr>
          <w:sz w:val="13"/>
        </w:rPr>
        <w:t>Formas</w:t>
      </w:r>
      <w:r>
        <w:rPr>
          <w:spacing w:val="13"/>
          <w:sz w:val="13"/>
        </w:rPr>
        <w:t xml:space="preserve"> </w:t>
      </w:r>
      <w:r>
        <w:rPr>
          <w:sz w:val="13"/>
        </w:rPr>
        <w:t>de</w:t>
      </w:r>
      <w:r>
        <w:rPr>
          <w:spacing w:val="13"/>
          <w:sz w:val="13"/>
        </w:rPr>
        <w:t xml:space="preserve"> </w:t>
      </w:r>
      <w:r>
        <w:rPr>
          <w:sz w:val="13"/>
        </w:rPr>
        <w:t>Discriminación</w:t>
      </w:r>
      <w:r>
        <w:rPr>
          <w:spacing w:val="14"/>
          <w:sz w:val="13"/>
        </w:rPr>
        <w:t xml:space="preserve"> </w:t>
      </w:r>
      <w:r>
        <w:rPr>
          <w:sz w:val="13"/>
        </w:rPr>
        <w:t>e</w:t>
      </w:r>
      <w:r>
        <w:rPr>
          <w:spacing w:val="13"/>
          <w:sz w:val="13"/>
        </w:rPr>
        <w:t xml:space="preserve"> </w:t>
      </w:r>
      <w:r>
        <w:rPr>
          <w:sz w:val="13"/>
        </w:rPr>
        <w:t>Intolerancia</w:t>
      </w:r>
      <w:r>
        <w:rPr>
          <w:spacing w:val="13"/>
          <w:sz w:val="13"/>
        </w:rPr>
        <w:t xml:space="preserve"> </w:t>
      </w:r>
      <w:r>
        <w:rPr>
          <w:sz w:val="13"/>
        </w:rPr>
        <w:t>elimina</w:t>
      </w:r>
      <w:r>
        <w:rPr>
          <w:spacing w:val="13"/>
          <w:sz w:val="13"/>
        </w:rPr>
        <w:t xml:space="preserve"> </w:t>
      </w:r>
      <w:r>
        <w:rPr>
          <w:sz w:val="13"/>
        </w:rPr>
        <w:t>la</w:t>
      </w:r>
      <w:r>
        <w:rPr>
          <w:spacing w:val="13"/>
          <w:sz w:val="13"/>
        </w:rPr>
        <w:t xml:space="preserve"> </w:t>
      </w:r>
      <w:r>
        <w:rPr>
          <w:sz w:val="13"/>
        </w:rPr>
        <w:t>palabra</w:t>
      </w:r>
      <w:r>
        <w:rPr>
          <w:spacing w:val="13"/>
          <w:sz w:val="13"/>
        </w:rPr>
        <w:t xml:space="preserve"> </w:t>
      </w:r>
      <w:r>
        <w:rPr>
          <w:sz w:val="13"/>
        </w:rPr>
        <w:t>“social”</w:t>
      </w:r>
      <w:r>
        <w:rPr>
          <w:spacing w:val="13"/>
          <w:sz w:val="13"/>
        </w:rPr>
        <w:t xml:space="preserve"> </w:t>
      </w:r>
      <w:r>
        <w:rPr>
          <w:sz w:val="13"/>
        </w:rPr>
        <w:t>para</w:t>
      </w:r>
      <w:r>
        <w:rPr>
          <w:spacing w:val="13"/>
          <w:sz w:val="13"/>
        </w:rPr>
        <w:t xml:space="preserve"> </w:t>
      </w:r>
      <w:r>
        <w:rPr>
          <w:sz w:val="13"/>
        </w:rPr>
        <w:t>prohibir</w:t>
      </w:r>
      <w:r>
        <w:rPr>
          <w:spacing w:val="13"/>
          <w:sz w:val="13"/>
        </w:rPr>
        <w:t xml:space="preserve"> </w:t>
      </w:r>
      <w:r>
        <w:rPr>
          <w:sz w:val="13"/>
        </w:rPr>
        <w:t>la</w:t>
      </w:r>
      <w:r>
        <w:rPr>
          <w:spacing w:val="13"/>
          <w:sz w:val="13"/>
        </w:rPr>
        <w:t xml:space="preserve"> </w:t>
      </w:r>
      <w:r>
        <w:rPr>
          <w:sz w:val="13"/>
        </w:rPr>
        <w:t>discriminación</w:t>
      </w:r>
      <w:r>
        <w:rPr>
          <w:spacing w:val="14"/>
          <w:sz w:val="13"/>
        </w:rPr>
        <w:t xml:space="preserve"> </w:t>
      </w:r>
      <w:r>
        <w:rPr>
          <w:sz w:val="13"/>
        </w:rPr>
        <w:t>basada</w:t>
      </w:r>
      <w:r>
        <w:rPr>
          <w:spacing w:val="13"/>
          <w:sz w:val="13"/>
        </w:rPr>
        <w:t xml:space="preserve"> </w:t>
      </w:r>
      <w:r>
        <w:rPr>
          <w:sz w:val="13"/>
        </w:rPr>
        <w:t>en</w:t>
      </w:r>
      <w:r>
        <w:rPr>
          <w:spacing w:val="13"/>
          <w:sz w:val="13"/>
        </w:rPr>
        <w:t xml:space="preserve"> </w:t>
      </w:r>
      <w:r>
        <w:rPr>
          <w:sz w:val="13"/>
        </w:rPr>
        <w:t>“cualquier</w:t>
      </w:r>
      <w:r>
        <w:rPr>
          <w:spacing w:val="13"/>
          <w:sz w:val="13"/>
        </w:rPr>
        <w:t xml:space="preserve"> </w:t>
      </w:r>
      <w:r>
        <w:rPr>
          <w:sz w:val="13"/>
        </w:rPr>
        <w:t>otra</w:t>
      </w:r>
      <w:r>
        <w:rPr>
          <w:spacing w:val="13"/>
          <w:sz w:val="13"/>
        </w:rPr>
        <w:t xml:space="preserve"> </w:t>
      </w:r>
      <w:r>
        <w:rPr>
          <w:sz w:val="13"/>
        </w:rPr>
        <w:t>condición”.</w:t>
      </w:r>
    </w:p>
    <w:p w14:paraId="0E78481B" w14:textId="77777777" w:rsidR="0014798C" w:rsidRDefault="004E1F0B">
      <w:pPr>
        <w:pStyle w:val="Prrafodelista"/>
        <w:numPr>
          <w:ilvl w:val="0"/>
          <w:numId w:val="84"/>
        </w:numPr>
        <w:tabs>
          <w:tab w:val="left" w:pos="1345"/>
        </w:tabs>
        <w:spacing w:before="67"/>
        <w:ind w:left="1345" w:hanging="234"/>
        <w:rPr>
          <w:sz w:val="12"/>
        </w:rPr>
      </w:pPr>
      <w:r>
        <w:rPr>
          <w:sz w:val="12"/>
        </w:rPr>
        <w:t>Comité</w:t>
      </w:r>
      <w:r>
        <w:rPr>
          <w:spacing w:val="-1"/>
          <w:sz w:val="12"/>
        </w:rPr>
        <w:t xml:space="preserve"> </w:t>
      </w:r>
      <w:r>
        <w:rPr>
          <w:sz w:val="12"/>
        </w:rPr>
        <w:t>de</w:t>
      </w:r>
      <w:r>
        <w:rPr>
          <w:spacing w:val="-1"/>
          <w:sz w:val="12"/>
        </w:rPr>
        <w:t xml:space="preserve"> </w:t>
      </w:r>
      <w:r>
        <w:rPr>
          <w:sz w:val="12"/>
        </w:rPr>
        <w:t>Derechos Económicos, Sociales y</w:t>
      </w:r>
      <w:r>
        <w:rPr>
          <w:spacing w:val="-1"/>
          <w:sz w:val="12"/>
        </w:rPr>
        <w:t xml:space="preserve"> </w:t>
      </w:r>
      <w:r>
        <w:rPr>
          <w:sz w:val="12"/>
        </w:rPr>
        <w:t>Culturales,</w:t>
      </w:r>
      <w:r>
        <w:rPr>
          <w:spacing w:val="1"/>
          <w:sz w:val="12"/>
        </w:rPr>
        <w:t xml:space="preserve"> </w:t>
      </w:r>
      <w:r>
        <w:rPr>
          <w:sz w:val="12"/>
        </w:rPr>
        <w:t>observación</w:t>
      </w:r>
      <w:r>
        <w:rPr>
          <w:spacing w:val="-1"/>
          <w:sz w:val="12"/>
        </w:rPr>
        <w:t xml:space="preserve"> </w:t>
      </w:r>
      <w:r>
        <w:rPr>
          <w:sz w:val="12"/>
        </w:rPr>
        <w:t>general</w:t>
      </w:r>
      <w:r>
        <w:rPr>
          <w:spacing w:val="-1"/>
          <w:sz w:val="12"/>
        </w:rPr>
        <w:t xml:space="preserve"> </w:t>
      </w:r>
      <w:r>
        <w:rPr>
          <w:sz w:val="12"/>
        </w:rPr>
        <w:t>núm. 20</w:t>
      </w:r>
      <w:r>
        <w:rPr>
          <w:spacing w:val="-1"/>
          <w:sz w:val="12"/>
        </w:rPr>
        <w:t xml:space="preserve"> </w:t>
      </w:r>
      <w:r>
        <w:rPr>
          <w:sz w:val="12"/>
        </w:rPr>
        <w:t>(2009), párr.</w:t>
      </w:r>
      <w:r>
        <w:rPr>
          <w:spacing w:val="-1"/>
          <w:sz w:val="12"/>
        </w:rPr>
        <w:t xml:space="preserve"> </w:t>
      </w:r>
      <w:r>
        <w:rPr>
          <w:spacing w:val="-5"/>
          <w:sz w:val="12"/>
        </w:rPr>
        <w:t>27.</w:t>
      </w:r>
    </w:p>
    <w:p w14:paraId="3772EE07" w14:textId="77777777" w:rsidR="0014798C" w:rsidRDefault="004E1F0B">
      <w:pPr>
        <w:pStyle w:val="Prrafodelista"/>
        <w:numPr>
          <w:ilvl w:val="0"/>
          <w:numId w:val="84"/>
        </w:numPr>
        <w:tabs>
          <w:tab w:val="left" w:pos="1345"/>
        </w:tabs>
        <w:spacing w:before="67"/>
        <w:ind w:left="1345" w:hanging="234"/>
        <w:rPr>
          <w:sz w:val="12"/>
        </w:rPr>
      </w:pPr>
      <w:proofErr w:type="spellStart"/>
      <w:r>
        <w:rPr>
          <w:spacing w:val="-2"/>
          <w:sz w:val="12"/>
        </w:rPr>
        <w:t>Ibíd</w:t>
      </w:r>
      <w:proofErr w:type="spellEnd"/>
      <w:r>
        <w:rPr>
          <w:spacing w:val="-2"/>
          <w:sz w:val="12"/>
        </w:rPr>
        <w:t>.</w:t>
      </w:r>
    </w:p>
    <w:p w14:paraId="4F22618D" w14:textId="77777777" w:rsidR="0014798C" w:rsidRDefault="0014798C">
      <w:pPr>
        <w:pStyle w:val="Textoindependiente"/>
        <w:rPr>
          <w:sz w:val="19"/>
        </w:rPr>
      </w:pPr>
    </w:p>
    <w:p w14:paraId="75054459" w14:textId="77777777" w:rsidR="0014798C" w:rsidRDefault="0014798C">
      <w:pPr>
        <w:pStyle w:val="Textoindependiente"/>
        <w:rPr>
          <w:sz w:val="19"/>
        </w:rPr>
      </w:pPr>
    </w:p>
    <w:p w14:paraId="661BFA46" w14:textId="77777777" w:rsidR="0014798C" w:rsidRDefault="0014798C">
      <w:pPr>
        <w:pStyle w:val="Textoindependiente"/>
        <w:spacing w:before="17"/>
        <w:rPr>
          <w:sz w:val="19"/>
        </w:rPr>
      </w:pPr>
    </w:p>
    <w:p w14:paraId="5A5D37A7" w14:textId="77777777" w:rsidR="0014798C" w:rsidRDefault="004E1F0B">
      <w:pPr>
        <w:ind w:left="552"/>
        <w:rPr>
          <w:sz w:val="19"/>
        </w:rPr>
      </w:pPr>
      <w:r>
        <w:rPr>
          <w:spacing w:val="-5"/>
          <w:sz w:val="19"/>
        </w:rPr>
        <w:t>20</w:t>
      </w:r>
    </w:p>
    <w:p w14:paraId="452CF4E8" w14:textId="77777777" w:rsidR="0014798C" w:rsidRDefault="0014798C">
      <w:pPr>
        <w:rPr>
          <w:sz w:val="19"/>
        </w:rPr>
        <w:sectPr w:rsidR="0014798C" w:rsidSect="00F265E4">
          <w:pgSz w:w="11900" w:h="16820"/>
          <w:pgMar w:top="340" w:right="0" w:bottom="280" w:left="200" w:header="121" w:footer="0" w:gutter="0"/>
          <w:cols w:space="720"/>
        </w:sectPr>
      </w:pPr>
    </w:p>
    <w:p w14:paraId="68BC500E" w14:textId="77777777" w:rsidR="0014798C" w:rsidRDefault="0014798C">
      <w:pPr>
        <w:pStyle w:val="Textoindependiente"/>
        <w:spacing w:before="51"/>
        <w:rPr>
          <w:sz w:val="14"/>
        </w:rPr>
      </w:pPr>
    </w:p>
    <w:p w14:paraId="1B5818E2" w14:textId="77777777" w:rsidR="0014798C" w:rsidRDefault="004E1F0B">
      <w:pPr>
        <w:ind w:left="1111"/>
        <w:rPr>
          <w:sz w:val="14"/>
        </w:rPr>
      </w:pPr>
      <w:r>
        <w:rPr>
          <w:color w:val="00AC59"/>
          <w:sz w:val="14"/>
        </w:rPr>
        <w:t>SEGUNDA</w:t>
      </w:r>
      <w:r>
        <w:rPr>
          <w:color w:val="00AC59"/>
          <w:spacing w:val="-5"/>
          <w:sz w:val="14"/>
        </w:rPr>
        <w:t xml:space="preserve"> </w:t>
      </w:r>
      <w:r>
        <w:rPr>
          <w:color w:val="00AC59"/>
          <w:sz w:val="14"/>
        </w:rPr>
        <w:t>PARTE:</w:t>
      </w:r>
      <w:r>
        <w:rPr>
          <w:color w:val="00AC59"/>
          <w:spacing w:val="-5"/>
          <w:sz w:val="14"/>
        </w:rPr>
        <w:t xml:space="preserve"> </w:t>
      </w:r>
      <w:r>
        <w:rPr>
          <w:color w:val="00AC59"/>
          <w:sz w:val="14"/>
        </w:rPr>
        <w:t>CONTENIDO</w:t>
      </w:r>
      <w:r>
        <w:rPr>
          <w:color w:val="00AC59"/>
          <w:spacing w:val="-4"/>
          <w:sz w:val="14"/>
        </w:rPr>
        <w:t xml:space="preserve"> </w:t>
      </w:r>
      <w:r>
        <w:rPr>
          <w:color w:val="00AC59"/>
          <w:sz w:val="14"/>
        </w:rPr>
        <w:t>DE</w:t>
      </w:r>
      <w:r>
        <w:rPr>
          <w:color w:val="00AC59"/>
          <w:spacing w:val="-5"/>
          <w:sz w:val="14"/>
        </w:rPr>
        <w:t xml:space="preserve"> </w:t>
      </w:r>
      <w:r>
        <w:rPr>
          <w:color w:val="00AC59"/>
          <w:sz w:val="14"/>
        </w:rPr>
        <w:t>LA</w:t>
      </w:r>
      <w:r>
        <w:rPr>
          <w:color w:val="00AC59"/>
          <w:spacing w:val="-4"/>
          <w:sz w:val="14"/>
        </w:rPr>
        <w:t xml:space="preserve"> </w:t>
      </w:r>
      <w:r>
        <w:rPr>
          <w:color w:val="00AC59"/>
          <w:sz w:val="14"/>
        </w:rPr>
        <w:t>LEY</w:t>
      </w:r>
      <w:r>
        <w:rPr>
          <w:color w:val="00AC59"/>
          <w:spacing w:val="-4"/>
          <w:sz w:val="14"/>
        </w:rPr>
        <w:t xml:space="preserve"> </w:t>
      </w:r>
      <w:r>
        <w:rPr>
          <w:color w:val="00AC59"/>
          <w:sz w:val="14"/>
        </w:rPr>
        <w:t>INTEGRAL</w:t>
      </w:r>
      <w:r>
        <w:rPr>
          <w:color w:val="00AC59"/>
          <w:spacing w:val="-5"/>
          <w:sz w:val="14"/>
        </w:rPr>
        <w:t xml:space="preserve"> </w:t>
      </w:r>
      <w:r>
        <w:rPr>
          <w:color w:val="00AC59"/>
          <w:spacing w:val="-2"/>
          <w:sz w:val="14"/>
        </w:rPr>
        <w:t>ANTIDISCRIMINACIÓN</w:t>
      </w:r>
    </w:p>
    <w:p w14:paraId="1DBF49E1" w14:textId="77777777" w:rsidR="0014798C" w:rsidRDefault="0014798C">
      <w:pPr>
        <w:pStyle w:val="Textoindependiente"/>
      </w:pPr>
    </w:p>
    <w:p w14:paraId="4E8203EB" w14:textId="77777777" w:rsidR="0014798C" w:rsidRDefault="0014798C">
      <w:pPr>
        <w:pStyle w:val="Textoindependiente"/>
      </w:pPr>
    </w:p>
    <w:p w14:paraId="6CDD3DA3" w14:textId="77777777" w:rsidR="0014798C" w:rsidRDefault="0014798C">
      <w:pPr>
        <w:pStyle w:val="Textoindependiente"/>
      </w:pPr>
    </w:p>
    <w:p w14:paraId="7E928C4C" w14:textId="77777777" w:rsidR="0014798C" w:rsidRDefault="0014798C">
      <w:pPr>
        <w:pStyle w:val="Textoindependiente"/>
      </w:pPr>
    </w:p>
    <w:p w14:paraId="571D4A00" w14:textId="77777777" w:rsidR="0014798C" w:rsidRDefault="0014798C">
      <w:pPr>
        <w:pStyle w:val="Textoindependiente"/>
        <w:spacing w:before="57"/>
      </w:pPr>
    </w:p>
    <w:p w14:paraId="19ACCEB9" w14:textId="77777777" w:rsidR="0014798C" w:rsidRDefault="004E1F0B">
      <w:pPr>
        <w:pStyle w:val="Textoindependiente"/>
        <w:spacing w:line="326" w:lineRule="auto"/>
        <w:ind w:left="1333" w:right="1463" w:hanging="2"/>
      </w:pPr>
      <w:r>
        <w:rPr>
          <w:noProof/>
        </w:rPr>
        <w:drawing>
          <wp:anchor distT="0" distB="0" distL="0" distR="0" simplePos="0" relativeHeight="251658374" behindDoc="1" locked="0" layoutInCell="1" allowOverlap="1" wp14:anchorId="79F2A494" wp14:editId="6CA0C0B1">
            <wp:simplePos x="0" y="0"/>
            <wp:positionH relativeFrom="page">
              <wp:posOffset>790692</wp:posOffset>
            </wp:positionH>
            <wp:positionV relativeFrom="paragraph">
              <wp:posOffset>-154416</wp:posOffset>
            </wp:positionV>
            <wp:extent cx="6765807" cy="5144889"/>
            <wp:effectExtent l="0" t="0" r="0" b="0"/>
            <wp:wrapNone/>
            <wp:docPr id="92" name="Image 9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92" name="Image 92"/>
                    <pic:cNvPicPr/>
                  </pic:nvPicPr>
                  <pic:blipFill>
                    <a:blip r:embed="rId99" cstate="print"/>
                    <a:stretch>
                      <a:fillRect/>
                    </a:stretch>
                  </pic:blipFill>
                  <pic:spPr>
                    <a:xfrm>
                      <a:off x="0" y="0"/>
                      <a:ext cx="6765807" cy="5144889"/>
                    </a:xfrm>
                    <a:prstGeom prst="rect">
                      <a:avLst/>
                    </a:prstGeom>
                  </pic:spPr>
                </pic:pic>
              </a:graphicData>
            </a:graphic>
          </wp:anchor>
        </w:drawing>
      </w:r>
      <w:r>
        <w:rPr>
          <w:w w:val="105"/>
        </w:rPr>
        <w:t>El</w:t>
      </w:r>
      <w:r>
        <w:rPr>
          <w:spacing w:val="-1"/>
          <w:w w:val="105"/>
        </w:rPr>
        <w:t xml:space="preserve"> </w:t>
      </w:r>
      <w:r>
        <w:rPr>
          <w:w w:val="105"/>
        </w:rPr>
        <w:t>Tribunal</w:t>
      </w:r>
      <w:r>
        <w:rPr>
          <w:spacing w:val="-1"/>
          <w:w w:val="105"/>
        </w:rPr>
        <w:t xml:space="preserve"> </w:t>
      </w:r>
      <w:r>
        <w:rPr>
          <w:w w:val="105"/>
        </w:rPr>
        <w:t>Europeo</w:t>
      </w:r>
      <w:r>
        <w:rPr>
          <w:spacing w:val="-1"/>
          <w:w w:val="105"/>
        </w:rPr>
        <w:t xml:space="preserve"> </w:t>
      </w:r>
      <w:r>
        <w:rPr>
          <w:w w:val="105"/>
        </w:rPr>
        <w:t>de</w:t>
      </w:r>
      <w:r>
        <w:rPr>
          <w:spacing w:val="-1"/>
          <w:w w:val="105"/>
        </w:rPr>
        <w:t xml:space="preserve"> </w:t>
      </w:r>
      <w:r>
        <w:rPr>
          <w:w w:val="105"/>
        </w:rPr>
        <w:t>Derechos</w:t>
      </w:r>
      <w:r>
        <w:rPr>
          <w:spacing w:val="-1"/>
          <w:w w:val="105"/>
        </w:rPr>
        <w:t xml:space="preserve"> </w:t>
      </w:r>
      <w:r>
        <w:rPr>
          <w:w w:val="105"/>
        </w:rPr>
        <w:t>Humanos</w:t>
      </w:r>
      <w:r>
        <w:rPr>
          <w:spacing w:val="-1"/>
          <w:w w:val="105"/>
        </w:rPr>
        <w:t xml:space="preserve"> </w:t>
      </w:r>
      <w:r>
        <w:rPr>
          <w:w w:val="105"/>
        </w:rPr>
        <w:t>ha</w:t>
      </w:r>
      <w:r>
        <w:rPr>
          <w:spacing w:val="-1"/>
          <w:w w:val="105"/>
        </w:rPr>
        <w:t xml:space="preserve"> </w:t>
      </w:r>
      <w:r>
        <w:rPr>
          <w:w w:val="105"/>
        </w:rPr>
        <w:t>indicado</w:t>
      </w:r>
      <w:r>
        <w:rPr>
          <w:spacing w:val="-1"/>
          <w:w w:val="105"/>
        </w:rPr>
        <w:t xml:space="preserve"> </w:t>
      </w:r>
      <w:r>
        <w:rPr>
          <w:w w:val="105"/>
        </w:rPr>
        <w:t>que</w:t>
      </w:r>
      <w:r>
        <w:rPr>
          <w:spacing w:val="-1"/>
          <w:w w:val="105"/>
        </w:rPr>
        <w:t xml:space="preserve"> </w:t>
      </w:r>
      <w:r>
        <w:rPr>
          <w:w w:val="105"/>
        </w:rPr>
        <w:t>al</w:t>
      </w:r>
      <w:r>
        <w:rPr>
          <w:spacing w:val="-1"/>
          <w:w w:val="105"/>
        </w:rPr>
        <w:t xml:space="preserve"> </w:t>
      </w:r>
      <w:r>
        <w:rPr>
          <w:w w:val="105"/>
        </w:rPr>
        <w:t>término</w:t>
      </w:r>
      <w:r>
        <w:rPr>
          <w:spacing w:val="-1"/>
          <w:w w:val="105"/>
        </w:rPr>
        <w:t xml:space="preserve"> </w:t>
      </w:r>
      <w:r>
        <w:rPr>
          <w:w w:val="105"/>
        </w:rPr>
        <w:t>“otra</w:t>
      </w:r>
      <w:r>
        <w:rPr>
          <w:spacing w:val="-1"/>
          <w:w w:val="105"/>
        </w:rPr>
        <w:t xml:space="preserve"> </w:t>
      </w:r>
      <w:r>
        <w:rPr>
          <w:w w:val="105"/>
        </w:rPr>
        <w:t>condición”</w:t>
      </w:r>
      <w:r>
        <w:rPr>
          <w:spacing w:val="-1"/>
          <w:w w:val="105"/>
        </w:rPr>
        <w:t xml:space="preserve"> </w:t>
      </w:r>
      <w:r>
        <w:rPr>
          <w:w w:val="105"/>
        </w:rPr>
        <w:t>se</w:t>
      </w:r>
      <w:r>
        <w:rPr>
          <w:spacing w:val="-1"/>
          <w:w w:val="105"/>
        </w:rPr>
        <w:t xml:space="preserve"> </w:t>
      </w:r>
      <w:r>
        <w:rPr>
          <w:w w:val="105"/>
        </w:rPr>
        <w:t>le</w:t>
      </w:r>
      <w:r>
        <w:rPr>
          <w:spacing w:val="-1"/>
          <w:w w:val="105"/>
        </w:rPr>
        <w:t xml:space="preserve"> </w:t>
      </w:r>
      <w:r>
        <w:rPr>
          <w:w w:val="105"/>
        </w:rPr>
        <w:t>debe</w:t>
      </w:r>
      <w:r>
        <w:rPr>
          <w:spacing w:val="-1"/>
          <w:w w:val="105"/>
        </w:rPr>
        <w:t xml:space="preserve"> </w:t>
      </w:r>
      <w:r>
        <w:rPr>
          <w:w w:val="105"/>
        </w:rPr>
        <w:t>dar</w:t>
      </w:r>
      <w:r>
        <w:rPr>
          <w:spacing w:val="-1"/>
          <w:w w:val="105"/>
        </w:rPr>
        <w:t xml:space="preserve"> </w:t>
      </w:r>
      <w:r>
        <w:rPr>
          <w:w w:val="105"/>
        </w:rPr>
        <w:t>“un</w:t>
      </w:r>
      <w:r>
        <w:rPr>
          <w:spacing w:val="-1"/>
          <w:w w:val="105"/>
        </w:rPr>
        <w:t xml:space="preserve"> </w:t>
      </w:r>
      <w:r>
        <w:rPr>
          <w:w w:val="105"/>
        </w:rPr>
        <w:t>significado amplio”136</w:t>
      </w:r>
      <w:r>
        <w:rPr>
          <w:spacing w:val="-6"/>
          <w:w w:val="105"/>
        </w:rPr>
        <w:t xml:space="preserve"> </w:t>
      </w:r>
      <w:r>
        <w:rPr>
          <w:w w:val="105"/>
        </w:rPr>
        <w:t>y</w:t>
      </w:r>
      <w:r>
        <w:rPr>
          <w:spacing w:val="-6"/>
          <w:w w:val="105"/>
        </w:rPr>
        <w:t xml:space="preserve"> </w:t>
      </w:r>
      <w:r>
        <w:rPr>
          <w:w w:val="105"/>
        </w:rPr>
        <w:t>no</w:t>
      </w:r>
      <w:r>
        <w:rPr>
          <w:spacing w:val="-6"/>
          <w:w w:val="105"/>
        </w:rPr>
        <w:t xml:space="preserve"> </w:t>
      </w:r>
      <w:r>
        <w:rPr>
          <w:w w:val="105"/>
        </w:rPr>
        <w:t>debe</w:t>
      </w:r>
      <w:r>
        <w:rPr>
          <w:spacing w:val="-6"/>
          <w:w w:val="105"/>
        </w:rPr>
        <w:t xml:space="preserve"> </w:t>
      </w:r>
      <w:r>
        <w:rPr>
          <w:w w:val="105"/>
        </w:rPr>
        <w:t>limitarse</w:t>
      </w:r>
      <w:r>
        <w:rPr>
          <w:spacing w:val="-6"/>
          <w:w w:val="105"/>
        </w:rPr>
        <w:t xml:space="preserve"> </w:t>
      </w:r>
      <w:r>
        <w:rPr>
          <w:w w:val="105"/>
        </w:rPr>
        <w:t>a</w:t>
      </w:r>
      <w:r>
        <w:rPr>
          <w:spacing w:val="-6"/>
          <w:w w:val="105"/>
        </w:rPr>
        <w:t xml:space="preserve"> </w:t>
      </w:r>
      <w:r>
        <w:rPr>
          <w:w w:val="105"/>
        </w:rPr>
        <w:t>características</w:t>
      </w:r>
      <w:r>
        <w:rPr>
          <w:spacing w:val="-6"/>
          <w:w w:val="105"/>
        </w:rPr>
        <w:t xml:space="preserve"> </w:t>
      </w:r>
      <w:r>
        <w:rPr>
          <w:w w:val="105"/>
        </w:rPr>
        <w:t>“que</w:t>
      </w:r>
      <w:r>
        <w:rPr>
          <w:spacing w:val="-6"/>
          <w:w w:val="105"/>
        </w:rPr>
        <w:t xml:space="preserve"> </w:t>
      </w:r>
      <w:r>
        <w:rPr>
          <w:w w:val="105"/>
        </w:rPr>
        <w:t>son</w:t>
      </w:r>
      <w:r>
        <w:rPr>
          <w:spacing w:val="-6"/>
          <w:w w:val="105"/>
        </w:rPr>
        <w:t xml:space="preserve"> </w:t>
      </w:r>
      <w:r>
        <w:rPr>
          <w:w w:val="105"/>
        </w:rPr>
        <w:t>personales</w:t>
      </w:r>
      <w:r>
        <w:rPr>
          <w:spacing w:val="-6"/>
          <w:w w:val="105"/>
        </w:rPr>
        <w:t xml:space="preserve"> </w:t>
      </w:r>
      <w:r>
        <w:rPr>
          <w:w w:val="105"/>
        </w:rPr>
        <w:t>en</w:t>
      </w:r>
      <w:r>
        <w:rPr>
          <w:spacing w:val="-6"/>
          <w:w w:val="105"/>
        </w:rPr>
        <w:t xml:space="preserve"> </w:t>
      </w:r>
      <w:r>
        <w:rPr>
          <w:w w:val="105"/>
        </w:rPr>
        <w:t>el</w:t>
      </w:r>
      <w:r>
        <w:rPr>
          <w:spacing w:val="-6"/>
          <w:w w:val="105"/>
        </w:rPr>
        <w:t xml:space="preserve"> </w:t>
      </w:r>
      <w:r>
        <w:rPr>
          <w:w w:val="105"/>
        </w:rPr>
        <w:t>sentido</w:t>
      </w:r>
      <w:r>
        <w:rPr>
          <w:spacing w:val="-6"/>
          <w:w w:val="105"/>
        </w:rPr>
        <w:t xml:space="preserve"> </w:t>
      </w:r>
      <w:r>
        <w:rPr>
          <w:w w:val="105"/>
        </w:rPr>
        <w:t>de</w:t>
      </w:r>
      <w:r>
        <w:rPr>
          <w:spacing w:val="-6"/>
          <w:w w:val="105"/>
        </w:rPr>
        <w:t xml:space="preserve"> </w:t>
      </w:r>
      <w:r>
        <w:rPr>
          <w:w w:val="105"/>
        </w:rPr>
        <w:t>que</w:t>
      </w:r>
      <w:r>
        <w:rPr>
          <w:spacing w:val="-6"/>
          <w:w w:val="105"/>
        </w:rPr>
        <w:t xml:space="preserve"> </w:t>
      </w:r>
      <w:r>
        <w:rPr>
          <w:w w:val="105"/>
        </w:rPr>
        <w:t>son</w:t>
      </w:r>
      <w:r>
        <w:rPr>
          <w:spacing w:val="-6"/>
          <w:w w:val="105"/>
        </w:rPr>
        <w:t xml:space="preserve"> </w:t>
      </w:r>
      <w:r>
        <w:rPr>
          <w:w w:val="105"/>
        </w:rPr>
        <w:t>innatas</w:t>
      </w:r>
      <w:r>
        <w:rPr>
          <w:spacing w:val="-6"/>
          <w:w w:val="105"/>
        </w:rPr>
        <w:t xml:space="preserve"> </w:t>
      </w:r>
      <w:r>
        <w:rPr>
          <w:w w:val="105"/>
        </w:rPr>
        <w:t>o</w:t>
      </w:r>
      <w:r>
        <w:rPr>
          <w:spacing w:val="-6"/>
          <w:w w:val="105"/>
        </w:rPr>
        <w:t xml:space="preserve"> </w:t>
      </w:r>
      <w:r>
        <w:rPr>
          <w:w w:val="105"/>
        </w:rPr>
        <w:t>inherentes”.137 Asimismo,</w:t>
      </w:r>
      <w:r>
        <w:rPr>
          <w:spacing w:val="-9"/>
          <w:w w:val="105"/>
        </w:rPr>
        <w:t xml:space="preserve"> </w:t>
      </w:r>
      <w:r>
        <w:rPr>
          <w:w w:val="105"/>
        </w:rPr>
        <w:t>La</w:t>
      </w:r>
      <w:r>
        <w:rPr>
          <w:spacing w:val="-10"/>
          <w:w w:val="105"/>
        </w:rPr>
        <w:t xml:space="preserve"> </w:t>
      </w:r>
      <w:r>
        <w:rPr>
          <w:w w:val="105"/>
        </w:rPr>
        <w:t>Comisión</w:t>
      </w:r>
      <w:r>
        <w:rPr>
          <w:spacing w:val="-10"/>
          <w:w w:val="105"/>
        </w:rPr>
        <w:t xml:space="preserve"> </w:t>
      </w:r>
      <w:r>
        <w:rPr>
          <w:w w:val="105"/>
        </w:rPr>
        <w:t>Interamericana</w:t>
      </w:r>
      <w:r>
        <w:rPr>
          <w:spacing w:val="-10"/>
          <w:w w:val="105"/>
        </w:rPr>
        <w:t xml:space="preserve"> </w:t>
      </w:r>
      <w:r>
        <w:rPr>
          <w:w w:val="105"/>
        </w:rPr>
        <w:t>de</w:t>
      </w:r>
      <w:r>
        <w:rPr>
          <w:spacing w:val="-10"/>
          <w:w w:val="105"/>
        </w:rPr>
        <w:t xml:space="preserve"> </w:t>
      </w:r>
      <w:r>
        <w:rPr>
          <w:w w:val="105"/>
        </w:rPr>
        <w:t>Derechos</w:t>
      </w:r>
      <w:r>
        <w:rPr>
          <w:spacing w:val="-10"/>
          <w:w w:val="105"/>
        </w:rPr>
        <w:t xml:space="preserve"> </w:t>
      </w:r>
      <w:r>
        <w:rPr>
          <w:w w:val="105"/>
        </w:rPr>
        <w:t>Humanos</w:t>
      </w:r>
      <w:r>
        <w:rPr>
          <w:spacing w:val="-10"/>
          <w:w w:val="105"/>
        </w:rPr>
        <w:t xml:space="preserve"> </w:t>
      </w:r>
      <w:r>
        <w:rPr>
          <w:w w:val="105"/>
        </w:rPr>
        <w:t>ha</w:t>
      </w:r>
      <w:r>
        <w:rPr>
          <w:spacing w:val="-10"/>
          <w:w w:val="105"/>
        </w:rPr>
        <w:t xml:space="preserve"> </w:t>
      </w:r>
      <w:r>
        <w:rPr>
          <w:w w:val="105"/>
        </w:rPr>
        <w:t>recomendado</w:t>
      </w:r>
      <w:r>
        <w:rPr>
          <w:spacing w:val="-10"/>
          <w:w w:val="105"/>
        </w:rPr>
        <w:t xml:space="preserve"> </w:t>
      </w:r>
      <w:r>
        <w:rPr>
          <w:w w:val="105"/>
        </w:rPr>
        <w:t>que</w:t>
      </w:r>
      <w:r>
        <w:rPr>
          <w:spacing w:val="-10"/>
          <w:w w:val="105"/>
        </w:rPr>
        <w:t xml:space="preserve"> </w:t>
      </w:r>
      <w:r>
        <w:rPr>
          <w:w w:val="105"/>
        </w:rPr>
        <w:t>el</w:t>
      </w:r>
      <w:r>
        <w:rPr>
          <w:spacing w:val="-10"/>
          <w:w w:val="105"/>
        </w:rPr>
        <w:t xml:space="preserve"> </w:t>
      </w:r>
      <w:r>
        <w:rPr>
          <w:w w:val="105"/>
        </w:rPr>
        <w:t>término</w:t>
      </w:r>
      <w:r>
        <w:rPr>
          <w:spacing w:val="-10"/>
          <w:w w:val="105"/>
        </w:rPr>
        <w:t xml:space="preserve"> </w:t>
      </w:r>
      <w:r>
        <w:rPr>
          <w:w w:val="105"/>
        </w:rPr>
        <w:t>“cualquier</w:t>
      </w:r>
      <w:r>
        <w:rPr>
          <w:spacing w:val="-10"/>
          <w:w w:val="105"/>
        </w:rPr>
        <w:t xml:space="preserve"> </w:t>
      </w:r>
      <w:r>
        <w:rPr>
          <w:w w:val="105"/>
        </w:rPr>
        <w:t>otra</w:t>
      </w:r>
      <w:r>
        <w:rPr>
          <w:spacing w:val="-10"/>
          <w:w w:val="105"/>
        </w:rPr>
        <w:t xml:space="preserve"> </w:t>
      </w:r>
      <w:r>
        <w:rPr>
          <w:w w:val="105"/>
        </w:rPr>
        <w:t>condición social”</w:t>
      </w:r>
      <w:r>
        <w:rPr>
          <w:spacing w:val="-1"/>
          <w:w w:val="105"/>
        </w:rPr>
        <w:t xml:space="preserve"> </w:t>
      </w:r>
      <w:r>
        <w:rPr>
          <w:w w:val="105"/>
        </w:rPr>
        <w:t>establecido</w:t>
      </w:r>
      <w:r>
        <w:rPr>
          <w:spacing w:val="-1"/>
          <w:w w:val="105"/>
        </w:rPr>
        <w:t xml:space="preserve"> </w:t>
      </w:r>
      <w:r>
        <w:rPr>
          <w:w w:val="105"/>
        </w:rPr>
        <w:t>en</w:t>
      </w:r>
      <w:r>
        <w:rPr>
          <w:spacing w:val="-1"/>
          <w:w w:val="105"/>
        </w:rPr>
        <w:t xml:space="preserve"> </w:t>
      </w:r>
      <w:r>
        <w:rPr>
          <w:w w:val="105"/>
        </w:rPr>
        <w:t>el</w:t>
      </w:r>
      <w:r>
        <w:rPr>
          <w:spacing w:val="-1"/>
          <w:w w:val="105"/>
        </w:rPr>
        <w:t xml:space="preserve"> </w:t>
      </w:r>
      <w:r>
        <w:rPr>
          <w:w w:val="105"/>
        </w:rPr>
        <w:t>artículo</w:t>
      </w:r>
      <w:r>
        <w:rPr>
          <w:spacing w:val="-1"/>
          <w:w w:val="105"/>
        </w:rPr>
        <w:t xml:space="preserve"> </w:t>
      </w:r>
      <w:r>
        <w:rPr>
          <w:w w:val="105"/>
        </w:rPr>
        <w:t>1</w:t>
      </w:r>
      <w:r>
        <w:rPr>
          <w:spacing w:val="-1"/>
          <w:w w:val="105"/>
        </w:rPr>
        <w:t xml:space="preserve"> </w:t>
      </w:r>
      <w:r>
        <w:rPr>
          <w:w w:val="105"/>
        </w:rPr>
        <w:t>(1)</w:t>
      </w:r>
      <w:r>
        <w:rPr>
          <w:spacing w:val="-1"/>
          <w:w w:val="105"/>
        </w:rPr>
        <w:t xml:space="preserve"> </w:t>
      </w:r>
      <w:r>
        <w:rPr>
          <w:w w:val="105"/>
        </w:rPr>
        <w:t>de</w:t>
      </w:r>
      <w:r>
        <w:rPr>
          <w:spacing w:val="-1"/>
          <w:w w:val="105"/>
        </w:rPr>
        <w:t xml:space="preserve"> </w:t>
      </w:r>
      <w:r>
        <w:rPr>
          <w:w w:val="105"/>
        </w:rPr>
        <w:t>la</w:t>
      </w:r>
      <w:r>
        <w:rPr>
          <w:spacing w:val="-1"/>
          <w:w w:val="105"/>
        </w:rPr>
        <w:t xml:space="preserve"> </w:t>
      </w:r>
      <w:r>
        <w:rPr>
          <w:w w:val="105"/>
        </w:rPr>
        <w:t>Convención</w:t>
      </w:r>
      <w:r>
        <w:rPr>
          <w:spacing w:val="-1"/>
          <w:w w:val="105"/>
        </w:rPr>
        <w:t xml:space="preserve"> </w:t>
      </w:r>
      <w:r>
        <w:rPr>
          <w:w w:val="105"/>
        </w:rPr>
        <w:t>Americana</w:t>
      </w:r>
      <w:r>
        <w:rPr>
          <w:spacing w:val="-1"/>
          <w:w w:val="105"/>
        </w:rPr>
        <w:t xml:space="preserve"> </w:t>
      </w:r>
      <w:r>
        <w:rPr>
          <w:w w:val="105"/>
        </w:rPr>
        <w:t>sobre</w:t>
      </w:r>
      <w:r>
        <w:rPr>
          <w:spacing w:val="-1"/>
          <w:w w:val="105"/>
        </w:rPr>
        <w:t xml:space="preserve"> </w:t>
      </w:r>
      <w:r>
        <w:rPr>
          <w:w w:val="105"/>
        </w:rPr>
        <w:t>Derechos</w:t>
      </w:r>
      <w:r>
        <w:rPr>
          <w:spacing w:val="-1"/>
          <w:w w:val="105"/>
        </w:rPr>
        <w:t xml:space="preserve"> </w:t>
      </w:r>
      <w:r>
        <w:rPr>
          <w:w w:val="105"/>
        </w:rPr>
        <w:t>Humanos</w:t>
      </w:r>
      <w:r>
        <w:rPr>
          <w:spacing w:val="-1"/>
          <w:w w:val="105"/>
        </w:rPr>
        <w:t xml:space="preserve"> </w:t>
      </w:r>
      <w:r>
        <w:rPr>
          <w:w w:val="105"/>
        </w:rPr>
        <w:t>sea</w:t>
      </w:r>
      <w:r>
        <w:rPr>
          <w:spacing w:val="-1"/>
          <w:w w:val="105"/>
        </w:rPr>
        <w:t xml:space="preserve"> </w:t>
      </w:r>
      <w:r>
        <w:rPr>
          <w:w w:val="105"/>
        </w:rPr>
        <w:t>interpretado</w:t>
      </w:r>
      <w:r>
        <w:rPr>
          <w:spacing w:val="-1"/>
          <w:w w:val="105"/>
        </w:rPr>
        <w:t xml:space="preserve"> </w:t>
      </w:r>
      <w:r>
        <w:rPr>
          <w:w w:val="105"/>
        </w:rPr>
        <w:t>de manera</w:t>
      </w:r>
      <w:r>
        <w:rPr>
          <w:spacing w:val="-2"/>
          <w:w w:val="105"/>
        </w:rPr>
        <w:t xml:space="preserve"> </w:t>
      </w:r>
      <w:r>
        <w:rPr>
          <w:w w:val="105"/>
        </w:rPr>
        <w:t>amplia</w:t>
      </w:r>
      <w:r>
        <w:rPr>
          <w:spacing w:val="-2"/>
          <w:w w:val="105"/>
        </w:rPr>
        <w:t xml:space="preserve"> </w:t>
      </w:r>
      <w:r>
        <w:rPr>
          <w:w w:val="105"/>
        </w:rPr>
        <w:t>y</w:t>
      </w:r>
      <w:r>
        <w:rPr>
          <w:spacing w:val="-2"/>
          <w:w w:val="105"/>
        </w:rPr>
        <w:t xml:space="preserve"> </w:t>
      </w:r>
      <w:r>
        <w:rPr>
          <w:w w:val="105"/>
        </w:rPr>
        <w:t>“interpretado</w:t>
      </w:r>
      <w:r>
        <w:rPr>
          <w:spacing w:val="-2"/>
          <w:w w:val="105"/>
        </w:rPr>
        <w:t xml:space="preserve"> </w:t>
      </w:r>
      <w:r>
        <w:rPr>
          <w:w w:val="105"/>
        </w:rPr>
        <w:t>en</w:t>
      </w:r>
      <w:r>
        <w:rPr>
          <w:spacing w:val="-2"/>
          <w:w w:val="105"/>
        </w:rPr>
        <w:t xml:space="preserve"> </w:t>
      </w:r>
      <w:r>
        <w:rPr>
          <w:w w:val="105"/>
        </w:rPr>
        <w:t>el</w:t>
      </w:r>
      <w:r>
        <w:rPr>
          <w:spacing w:val="-2"/>
          <w:w w:val="105"/>
        </w:rPr>
        <w:t xml:space="preserve"> </w:t>
      </w:r>
      <w:r>
        <w:rPr>
          <w:w w:val="105"/>
        </w:rPr>
        <w:t>contexto</w:t>
      </w:r>
      <w:r>
        <w:rPr>
          <w:spacing w:val="-2"/>
          <w:w w:val="105"/>
        </w:rPr>
        <w:t xml:space="preserve"> </w:t>
      </w:r>
      <w:r>
        <w:rPr>
          <w:w w:val="105"/>
        </w:rPr>
        <w:t>de</w:t>
      </w:r>
      <w:r>
        <w:rPr>
          <w:spacing w:val="-2"/>
          <w:w w:val="105"/>
        </w:rPr>
        <w:t xml:space="preserve"> </w:t>
      </w:r>
      <w:r>
        <w:rPr>
          <w:w w:val="105"/>
        </w:rPr>
        <w:t>la</w:t>
      </w:r>
      <w:r>
        <w:rPr>
          <w:spacing w:val="-2"/>
          <w:w w:val="105"/>
        </w:rPr>
        <w:t xml:space="preserve"> </w:t>
      </w:r>
      <w:r>
        <w:rPr>
          <w:w w:val="105"/>
        </w:rPr>
        <w:t>opción</w:t>
      </w:r>
      <w:r>
        <w:rPr>
          <w:spacing w:val="-2"/>
          <w:w w:val="105"/>
        </w:rPr>
        <w:t xml:space="preserve"> </w:t>
      </w:r>
      <w:r>
        <w:rPr>
          <w:w w:val="105"/>
        </w:rPr>
        <w:t>más</w:t>
      </w:r>
      <w:r>
        <w:rPr>
          <w:spacing w:val="-2"/>
          <w:w w:val="105"/>
        </w:rPr>
        <w:t xml:space="preserve"> </w:t>
      </w:r>
      <w:r>
        <w:rPr>
          <w:w w:val="105"/>
        </w:rPr>
        <w:t>favorable</w:t>
      </w:r>
      <w:r>
        <w:rPr>
          <w:spacing w:val="-2"/>
          <w:w w:val="105"/>
        </w:rPr>
        <w:t xml:space="preserve"> </w:t>
      </w:r>
      <w:r>
        <w:rPr>
          <w:w w:val="105"/>
        </w:rPr>
        <w:t>para</w:t>
      </w:r>
      <w:r>
        <w:rPr>
          <w:spacing w:val="-2"/>
          <w:w w:val="105"/>
        </w:rPr>
        <w:t xml:space="preserve"> </w:t>
      </w:r>
      <w:r>
        <w:rPr>
          <w:w w:val="105"/>
        </w:rPr>
        <w:t>el</w:t>
      </w:r>
      <w:r>
        <w:rPr>
          <w:spacing w:val="-2"/>
          <w:w w:val="105"/>
        </w:rPr>
        <w:t xml:space="preserve"> </w:t>
      </w:r>
      <w:r>
        <w:rPr>
          <w:w w:val="105"/>
        </w:rPr>
        <w:t>ser</w:t>
      </w:r>
      <w:r>
        <w:rPr>
          <w:spacing w:val="-2"/>
          <w:w w:val="105"/>
        </w:rPr>
        <w:t xml:space="preserve"> </w:t>
      </w:r>
      <w:r>
        <w:rPr>
          <w:w w:val="105"/>
        </w:rPr>
        <w:t>humano”.</w:t>
      </w:r>
      <w:r>
        <w:rPr>
          <w:spacing w:val="-1"/>
          <w:w w:val="105"/>
        </w:rPr>
        <w:t xml:space="preserve"> </w:t>
      </w:r>
      <w:r>
        <w:rPr>
          <w:w w:val="105"/>
        </w:rPr>
        <w:t>siendo</w:t>
      </w:r>
      <w:r>
        <w:rPr>
          <w:spacing w:val="-2"/>
          <w:w w:val="105"/>
        </w:rPr>
        <w:t xml:space="preserve"> </w:t>
      </w:r>
      <w:r>
        <w:rPr>
          <w:w w:val="105"/>
        </w:rPr>
        <w:t>y</w:t>
      </w:r>
      <w:r>
        <w:rPr>
          <w:spacing w:val="-2"/>
          <w:w w:val="105"/>
        </w:rPr>
        <w:t xml:space="preserve"> </w:t>
      </w:r>
      <w:r>
        <w:rPr>
          <w:w w:val="105"/>
        </w:rPr>
        <w:t>a</w:t>
      </w:r>
      <w:r>
        <w:rPr>
          <w:spacing w:val="-2"/>
          <w:w w:val="105"/>
        </w:rPr>
        <w:t xml:space="preserve"> </w:t>
      </w:r>
      <w:r>
        <w:rPr>
          <w:w w:val="105"/>
        </w:rPr>
        <w:t>la</w:t>
      </w:r>
      <w:r>
        <w:rPr>
          <w:spacing w:val="-2"/>
          <w:w w:val="105"/>
        </w:rPr>
        <w:t xml:space="preserve"> </w:t>
      </w:r>
      <w:r>
        <w:rPr>
          <w:w w:val="105"/>
        </w:rPr>
        <w:t>luz</w:t>
      </w:r>
      <w:r>
        <w:rPr>
          <w:spacing w:val="-2"/>
          <w:w w:val="105"/>
        </w:rPr>
        <w:t xml:space="preserve"> </w:t>
      </w:r>
      <w:r>
        <w:rPr>
          <w:w w:val="105"/>
        </w:rPr>
        <w:t>de</w:t>
      </w:r>
      <w:r>
        <w:rPr>
          <w:spacing w:val="-2"/>
          <w:w w:val="105"/>
        </w:rPr>
        <w:t xml:space="preserve"> </w:t>
      </w:r>
      <w:r>
        <w:rPr>
          <w:w w:val="105"/>
        </w:rPr>
        <w:t>la evolución de los derechos fundamentales en el derecho internacional contemporáneo”.138</w:t>
      </w:r>
    </w:p>
    <w:p w14:paraId="15835831" w14:textId="77777777" w:rsidR="0014798C" w:rsidRDefault="0014798C">
      <w:pPr>
        <w:pStyle w:val="Textoindependiente"/>
      </w:pPr>
    </w:p>
    <w:p w14:paraId="6ADB0021" w14:textId="77777777" w:rsidR="0014798C" w:rsidRDefault="0014798C">
      <w:pPr>
        <w:pStyle w:val="Textoindependiente"/>
      </w:pPr>
    </w:p>
    <w:p w14:paraId="6EA0D1E5" w14:textId="77777777" w:rsidR="0014798C" w:rsidRDefault="0014798C">
      <w:pPr>
        <w:pStyle w:val="Textoindependiente"/>
      </w:pPr>
    </w:p>
    <w:p w14:paraId="2AA12B37" w14:textId="77777777" w:rsidR="0014798C" w:rsidRDefault="0014798C">
      <w:pPr>
        <w:pStyle w:val="Textoindependiente"/>
        <w:spacing w:before="98"/>
      </w:pPr>
    </w:p>
    <w:p w14:paraId="04039B8D" w14:textId="77777777" w:rsidR="0014798C" w:rsidRDefault="004E1F0B">
      <w:pPr>
        <w:pStyle w:val="Textoindependiente"/>
        <w:spacing w:line="319" w:lineRule="auto"/>
        <w:ind w:left="1342" w:right="3645" w:hanging="7"/>
      </w:pPr>
      <w:r>
        <w:rPr>
          <w:noProof/>
        </w:rPr>
        <mc:AlternateContent>
          <mc:Choice Requires="wps">
            <w:drawing>
              <wp:anchor distT="0" distB="0" distL="0" distR="0" simplePos="0" relativeHeight="251658251" behindDoc="0" locked="0" layoutInCell="1" allowOverlap="1" wp14:anchorId="6E0D3B1D" wp14:editId="0CA1A845">
                <wp:simplePos x="0" y="0"/>
                <wp:positionH relativeFrom="page">
                  <wp:posOffset>7313138</wp:posOffset>
                </wp:positionH>
                <wp:positionV relativeFrom="paragraph">
                  <wp:posOffset>200216</wp:posOffset>
                </wp:positionV>
                <wp:extent cx="83820" cy="281940"/>
                <wp:effectExtent l="0" t="0" r="0" b="0"/>
                <wp:wrapNone/>
                <wp:docPr id="93" name="Textbox 9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83820" cy="281940"/>
                        </a:xfrm>
                        <a:prstGeom prst="rect">
                          <a:avLst/>
                        </a:prstGeom>
                      </wps:spPr>
                      <wps:txbx>
                        <w:txbxContent>
                          <w:p w14:paraId="490896A7" w14:textId="77777777" w:rsidR="0014798C" w:rsidRDefault="004E1F0B">
                            <w:pPr>
                              <w:spacing w:before="19"/>
                              <w:ind w:left="20"/>
                              <w:rPr>
                                <w:sz w:val="8"/>
                              </w:rPr>
                            </w:pPr>
                            <w:r>
                              <w:rPr>
                                <w:color w:val="FFFFFF"/>
                                <w:spacing w:val="-24"/>
                                <w:sz w:val="8"/>
                              </w:rPr>
                              <w:t>I–P</w:t>
                            </w:r>
                            <w:r>
                              <w:rPr>
                                <w:spacing w:val="-24"/>
                                <w:sz w:val="8"/>
                              </w:rPr>
                              <w:t>S</w:t>
                            </w:r>
                            <w:r>
                              <w:rPr>
                                <w:color w:val="FFFFFF"/>
                                <w:spacing w:val="-24"/>
                                <w:sz w:val="8"/>
                              </w:rPr>
                              <w:t>A</w:t>
                            </w:r>
                            <w:r>
                              <w:rPr>
                                <w:spacing w:val="-24"/>
                                <w:sz w:val="8"/>
                              </w:rPr>
                              <w:t>E</w:t>
                            </w:r>
                            <w:r>
                              <w:rPr>
                                <w:color w:val="FFFFFF"/>
                                <w:spacing w:val="-24"/>
                                <w:sz w:val="8"/>
                              </w:rPr>
                              <w:t>R</w:t>
                            </w:r>
                            <w:r>
                              <w:rPr>
                                <w:spacing w:val="-24"/>
                                <w:sz w:val="8"/>
                              </w:rPr>
                              <w:t>G</w:t>
                            </w:r>
                            <w:r>
                              <w:rPr>
                                <w:color w:val="FFFFFF"/>
                                <w:spacing w:val="-24"/>
                                <w:sz w:val="8"/>
                              </w:rPr>
                              <w:t>T</w:t>
                            </w:r>
                            <w:r>
                              <w:rPr>
                                <w:spacing w:val="-24"/>
                                <w:sz w:val="8"/>
                              </w:rPr>
                              <w:t>U</w:t>
                            </w:r>
                            <w:r>
                              <w:rPr>
                                <w:color w:val="FFFFFF"/>
                                <w:spacing w:val="-24"/>
                                <w:sz w:val="8"/>
                              </w:rPr>
                              <w:t>E</w:t>
                            </w:r>
                            <w:r>
                              <w:rPr>
                                <w:spacing w:val="-24"/>
                                <w:sz w:val="8"/>
                              </w:rPr>
                              <w:t>NDA</w:t>
                            </w:r>
                          </w:p>
                        </w:txbxContent>
                      </wps:txbx>
                      <wps:bodyPr vert="vert270" wrap="square" lIns="0" tIns="0" rIns="0" bIns="0" rtlCol="0">
                        <a:noAutofit/>
                      </wps:bodyPr>
                    </wps:wsp>
                  </a:graphicData>
                </a:graphic>
              </wp:anchor>
            </w:drawing>
          </mc:Choice>
          <mc:Fallback>
            <w:pict>
              <v:shape w14:anchorId="6E0D3B1D" id="Textbox 93" o:spid="_x0000_s1062" type="#_x0000_t202" style="position:absolute;left:0;text-align:left;margin-left:575.85pt;margin-top:15.75pt;width:6.6pt;height:22.2pt;z-index:251658251;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" filled="f" stroked="f">
                <v:textbox style="layout-flow:vertical;mso-layout-flow-alt:bottom-to-top" inset="0,0,0,0">
                  <w:txbxContent>
                    <w:p w14:paraId="490896A7" w14:textId="77777777" w:rsidR="0014798C" w:rsidRDefault="004E1F0B">
                      <w:pPr>
                        <w:spacing w:before="19"/>
                        <w:ind w:left="20"/>
                        <w:rPr>
                          <w:sz w:val="8"/>
                        </w:rPr>
                      </w:pPr>
                      <w:r>
                        <w:rPr>
                          <w:color w:val="FFFFFF"/>
                          <w:spacing w:val="-24"/>
                          <w:sz w:val="8"/>
                        </w:rPr>
                        <w:t>I–P</w:t>
                      </w:r>
                      <w:r>
                        <w:rPr>
                          <w:spacing w:val="-24"/>
                          <w:sz w:val="8"/>
                        </w:rPr>
                        <w:t>S</w:t>
                      </w:r>
                      <w:r>
                        <w:rPr>
                          <w:color w:val="FFFFFF"/>
                          <w:spacing w:val="-24"/>
                          <w:sz w:val="8"/>
                        </w:rPr>
                        <w:t>A</w:t>
                      </w:r>
                      <w:r>
                        <w:rPr>
                          <w:spacing w:val="-24"/>
                          <w:sz w:val="8"/>
                        </w:rPr>
                        <w:t>E</w:t>
                      </w:r>
                      <w:r>
                        <w:rPr>
                          <w:color w:val="FFFFFF"/>
                          <w:spacing w:val="-24"/>
                          <w:sz w:val="8"/>
                        </w:rPr>
                        <w:t>R</w:t>
                      </w:r>
                      <w:r>
                        <w:rPr>
                          <w:spacing w:val="-24"/>
                          <w:sz w:val="8"/>
                        </w:rPr>
                        <w:t>G</w:t>
                      </w:r>
                      <w:r>
                        <w:rPr>
                          <w:color w:val="FFFFFF"/>
                          <w:spacing w:val="-24"/>
                          <w:sz w:val="8"/>
                        </w:rPr>
                        <w:t>T</w:t>
                      </w:r>
                      <w:r>
                        <w:rPr>
                          <w:spacing w:val="-24"/>
                          <w:sz w:val="8"/>
                        </w:rPr>
                        <w:t>U</w:t>
                      </w:r>
                      <w:r>
                        <w:rPr>
                          <w:color w:val="FFFFFF"/>
                          <w:spacing w:val="-24"/>
                          <w:sz w:val="8"/>
                        </w:rPr>
                        <w:t>E</w:t>
                      </w:r>
                      <w:r>
                        <w:rPr>
                          <w:spacing w:val="-24"/>
                          <w:sz w:val="8"/>
                        </w:rPr>
                        <w:t>NDA</w:t>
                      </w:r>
                    </w:p>
                  </w:txbxContent>
                </v:textbox>
                <w10:wrap anchorx="page"/>
              </v:shape>
            </w:pict>
          </mc:Fallback>
        </mc:AlternateContent>
      </w:r>
      <w:r>
        <w:rPr>
          <w:w w:val="105"/>
        </w:rPr>
        <w:t>SUDÁFRICA:</w:t>
      </w:r>
      <w:r>
        <w:rPr>
          <w:spacing w:val="-11"/>
          <w:w w:val="105"/>
        </w:rPr>
        <w:t xml:space="preserve"> </w:t>
      </w:r>
      <w:r>
        <w:rPr>
          <w:w w:val="105"/>
        </w:rPr>
        <w:t>LA</w:t>
      </w:r>
      <w:r>
        <w:rPr>
          <w:spacing w:val="-11"/>
          <w:w w:val="105"/>
        </w:rPr>
        <w:t xml:space="preserve"> </w:t>
      </w:r>
      <w:r>
        <w:rPr>
          <w:w w:val="105"/>
        </w:rPr>
        <w:t>PROMOCIÓN</w:t>
      </w:r>
      <w:r>
        <w:rPr>
          <w:spacing w:val="-11"/>
          <w:w w:val="105"/>
        </w:rPr>
        <w:t xml:space="preserve"> </w:t>
      </w:r>
      <w:r>
        <w:rPr>
          <w:w w:val="105"/>
        </w:rPr>
        <w:t>DE</w:t>
      </w:r>
      <w:r>
        <w:rPr>
          <w:spacing w:val="-11"/>
          <w:w w:val="105"/>
        </w:rPr>
        <w:t xml:space="preserve"> </w:t>
      </w:r>
      <w:r>
        <w:rPr>
          <w:w w:val="105"/>
        </w:rPr>
        <w:t>LA</w:t>
      </w:r>
      <w:r>
        <w:rPr>
          <w:spacing w:val="-11"/>
          <w:w w:val="105"/>
        </w:rPr>
        <w:t xml:space="preserve"> </w:t>
      </w:r>
      <w:r>
        <w:rPr>
          <w:w w:val="105"/>
        </w:rPr>
        <w:t>IGUALDAD</w:t>
      </w:r>
      <w:r>
        <w:rPr>
          <w:spacing w:val="-11"/>
          <w:w w:val="105"/>
        </w:rPr>
        <w:t xml:space="preserve"> </w:t>
      </w:r>
      <w:r>
        <w:rPr>
          <w:w w:val="105"/>
        </w:rPr>
        <w:t>Y</w:t>
      </w:r>
      <w:r>
        <w:rPr>
          <w:spacing w:val="-11"/>
          <w:w w:val="105"/>
        </w:rPr>
        <w:t xml:space="preserve"> </w:t>
      </w:r>
      <w:r>
        <w:rPr>
          <w:w w:val="105"/>
        </w:rPr>
        <w:t>LA</w:t>
      </w:r>
      <w:r>
        <w:rPr>
          <w:spacing w:val="-11"/>
          <w:w w:val="105"/>
        </w:rPr>
        <w:t xml:space="preserve"> </w:t>
      </w:r>
      <w:r>
        <w:rPr>
          <w:w w:val="105"/>
        </w:rPr>
        <w:t>PREVENCIÓN</w:t>
      </w:r>
      <w:r>
        <w:rPr>
          <w:spacing w:val="-11"/>
          <w:w w:val="105"/>
        </w:rPr>
        <w:t xml:space="preserve"> </w:t>
      </w:r>
      <w:r>
        <w:rPr>
          <w:w w:val="105"/>
        </w:rPr>
        <w:t>DE</w:t>
      </w:r>
      <w:r>
        <w:rPr>
          <w:spacing w:val="-11"/>
          <w:w w:val="105"/>
        </w:rPr>
        <w:t xml:space="preserve"> </w:t>
      </w:r>
      <w:r>
        <w:rPr>
          <w:w w:val="105"/>
        </w:rPr>
        <w:t>LO</w:t>
      </w:r>
      <w:r>
        <w:rPr>
          <w:spacing w:val="-11"/>
          <w:w w:val="105"/>
        </w:rPr>
        <w:t xml:space="preserve"> </w:t>
      </w:r>
      <w:r>
        <w:rPr>
          <w:w w:val="105"/>
        </w:rPr>
        <w:t>INJUSTO LEY DE DISCRIMINACIÓN</w:t>
      </w:r>
    </w:p>
    <w:p w14:paraId="1973170A" w14:textId="77777777" w:rsidR="0014798C" w:rsidRDefault="004E1F0B">
      <w:pPr>
        <w:pStyle w:val="Textoindependiente"/>
        <w:spacing w:before="159" w:line="326" w:lineRule="auto"/>
        <w:ind w:left="1329" w:right="1479" w:firstLine="2"/>
      </w:pPr>
      <w:r>
        <w:rPr>
          <w:w w:val="105"/>
        </w:rPr>
        <w:t>La</w:t>
      </w:r>
      <w:r>
        <w:rPr>
          <w:spacing w:val="-2"/>
          <w:w w:val="105"/>
        </w:rPr>
        <w:t xml:space="preserve"> </w:t>
      </w:r>
      <w:r>
        <w:rPr>
          <w:w w:val="105"/>
        </w:rPr>
        <w:t>Ley</w:t>
      </w:r>
      <w:r>
        <w:rPr>
          <w:spacing w:val="-2"/>
          <w:w w:val="105"/>
        </w:rPr>
        <w:t xml:space="preserve"> </w:t>
      </w:r>
      <w:r>
        <w:rPr>
          <w:w w:val="105"/>
        </w:rPr>
        <w:t>de</w:t>
      </w:r>
      <w:r>
        <w:rPr>
          <w:spacing w:val="-2"/>
          <w:w w:val="105"/>
        </w:rPr>
        <w:t xml:space="preserve"> </w:t>
      </w:r>
      <w:r>
        <w:rPr>
          <w:w w:val="105"/>
        </w:rPr>
        <w:t>Promoción</w:t>
      </w:r>
      <w:r>
        <w:rPr>
          <w:spacing w:val="-2"/>
          <w:w w:val="105"/>
        </w:rPr>
        <w:t xml:space="preserve"> </w:t>
      </w:r>
      <w:r>
        <w:rPr>
          <w:w w:val="105"/>
        </w:rPr>
        <w:t>de</w:t>
      </w:r>
      <w:r>
        <w:rPr>
          <w:spacing w:val="-2"/>
          <w:w w:val="105"/>
        </w:rPr>
        <w:t xml:space="preserve"> </w:t>
      </w:r>
      <w:r>
        <w:rPr>
          <w:w w:val="105"/>
        </w:rPr>
        <w:t>la</w:t>
      </w:r>
      <w:r>
        <w:rPr>
          <w:spacing w:val="-2"/>
          <w:w w:val="105"/>
        </w:rPr>
        <w:t xml:space="preserve"> </w:t>
      </w:r>
      <w:r>
        <w:rPr>
          <w:w w:val="105"/>
        </w:rPr>
        <w:t>Igualdad</w:t>
      </w:r>
      <w:r>
        <w:rPr>
          <w:spacing w:val="-2"/>
          <w:w w:val="105"/>
        </w:rPr>
        <w:t xml:space="preserve"> </w:t>
      </w:r>
      <w:r>
        <w:rPr>
          <w:w w:val="105"/>
        </w:rPr>
        <w:t>y</w:t>
      </w:r>
      <w:r>
        <w:rPr>
          <w:spacing w:val="-2"/>
          <w:w w:val="105"/>
        </w:rPr>
        <w:t xml:space="preserve"> </w:t>
      </w:r>
      <w:r>
        <w:rPr>
          <w:w w:val="105"/>
        </w:rPr>
        <w:t>Prevención</w:t>
      </w:r>
      <w:r>
        <w:rPr>
          <w:spacing w:val="-2"/>
          <w:w w:val="105"/>
        </w:rPr>
        <w:t xml:space="preserve"> </w:t>
      </w:r>
      <w:r>
        <w:rPr>
          <w:w w:val="105"/>
        </w:rPr>
        <w:t>de</w:t>
      </w:r>
      <w:r>
        <w:rPr>
          <w:spacing w:val="-2"/>
          <w:w w:val="105"/>
        </w:rPr>
        <w:t xml:space="preserve"> </w:t>
      </w:r>
      <w:r>
        <w:rPr>
          <w:w w:val="105"/>
        </w:rPr>
        <w:t>la</w:t>
      </w:r>
      <w:r>
        <w:rPr>
          <w:spacing w:val="-2"/>
          <w:w w:val="105"/>
        </w:rPr>
        <w:t xml:space="preserve"> </w:t>
      </w:r>
      <w:r>
        <w:rPr>
          <w:w w:val="105"/>
        </w:rPr>
        <w:t>Discriminación</w:t>
      </w:r>
      <w:r>
        <w:rPr>
          <w:spacing w:val="-2"/>
          <w:w w:val="105"/>
        </w:rPr>
        <w:t xml:space="preserve"> </w:t>
      </w:r>
      <w:r>
        <w:rPr>
          <w:w w:val="105"/>
        </w:rPr>
        <w:t>Injusta</w:t>
      </w:r>
      <w:r>
        <w:rPr>
          <w:spacing w:val="-2"/>
          <w:w w:val="105"/>
        </w:rPr>
        <w:t xml:space="preserve"> </w:t>
      </w:r>
      <w:r>
        <w:rPr>
          <w:w w:val="105"/>
        </w:rPr>
        <w:t>de</w:t>
      </w:r>
      <w:r>
        <w:rPr>
          <w:spacing w:val="-2"/>
          <w:w w:val="105"/>
        </w:rPr>
        <w:t xml:space="preserve"> </w:t>
      </w:r>
      <w:r>
        <w:rPr>
          <w:w w:val="105"/>
        </w:rPr>
        <w:t>Sudáfrica</w:t>
      </w:r>
      <w:r>
        <w:rPr>
          <w:spacing w:val="-2"/>
          <w:w w:val="105"/>
        </w:rPr>
        <w:t xml:space="preserve"> </w:t>
      </w:r>
      <w:r>
        <w:rPr>
          <w:w w:val="105"/>
        </w:rPr>
        <w:t>proporciona</w:t>
      </w:r>
      <w:r>
        <w:rPr>
          <w:spacing w:val="-2"/>
          <w:w w:val="105"/>
        </w:rPr>
        <w:t xml:space="preserve"> </w:t>
      </w:r>
      <w:r>
        <w:rPr>
          <w:w w:val="105"/>
        </w:rPr>
        <w:t>una</w:t>
      </w:r>
      <w:r>
        <w:rPr>
          <w:spacing w:val="-2"/>
          <w:w w:val="105"/>
        </w:rPr>
        <w:t xml:space="preserve"> </w:t>
      </w:r>
      <w:r>
        <w:rPr>
          <w:w w:val="105"/>
        </w:rPr>
        <w:t>prueba para identificar motivos adicionales de discriminación. Además de los motivos expresamente enumerados en la legislación,</w:t>
      </w:r>
      <w:r>
        <w:rPr>
          <w:spacing w:val="-1"/>
          <w:w w:val="105"/>
        </w:rPr>
        <w:t xml:space="preserve"> </w:t>
      </w:r>
      <w:r>
        <w:rPr>
          <w:w w:val="105"/>
        </w:rPr>
        <w:t>se</w:t>
      </w:r>
      <w:r>
        <w:rPr>
          <w:spacing w:val="-2"/>
          <w:w w:val="105"/>
        </w:rPr>
        <w:t xml:space="preserve"> </w:t>
      </w:r>
      <w:r>
        <w:rPr>
          <w:w w:val="105"/>
        </w:rPr>
        <w:t>considera</w:t>
      </w:r>
      <w:r>
        <w:rPr>
          <w:spacing w:val="-2"/>
          <w:w w:val="105"/>
        </w:rPr>
        <w:t xml:space="preserve"> </w:t>
      </w:r>
      <w:r>
        <w:rPr>
          <w:w w:val="105"/>
        </w:rPr>
        <w:t>que</w:t>
      </w:r>
      <w:r>
        <w:rPr>
          <w:spacing w:val="-2"/>
          <w:w w:val="105"/>
        </w:rPr>
        <w:t xml:space="preserve"> </w:t>
      </w:r>
      <w:r>
        <w:rPr>
          <w:w w:val="105"/>
        </w:rPr>
        <w:t>el</w:t>
      </w:r>
      <w:r>
        <w:rPr>
          <w:spacing w:val="-2"/>
          <w:w w:val="105"/>
        </w:rPr>
        <w:t xml:space="preserve"> </w:t>
      </w:r>
      <w:r>
        <w:rPr>
          <w:w w:val="105"/>
        </w:rPr>
        <w:t>término</w:t>
      </w:r>
      <w:r>
        <w:rPr>
          <w:spacing w:val="-2"/>
          <w:w w:val="105"/>
        </w:rPr>
        <w:t xml:space="preserve"> </w:t>
      </w:r>
      <w:r>
        <w:rPr>
          <w:w w:val="105"/>
        </w:rPr>
        <w:t>“motivos</w:t>
      </w:r>
      <w:r>
        <w:rPr>
          <w:spacing w:val="-2"/>
          <w:w w:val="105"/>
        </w:rPr>
        <w:t xml:space="preserve"> </w:t>
      </w:r>
      <w:r>
        <w:rPr>
          <w:w w:val="105"/>
        </w:rPr>
        <w:t>prohibidos”</w:t>
      </w:r>
      <w:r>
        <w:rPr>
          <w:spacing w:val="-2"/>
          <w:w w:val="105"/>
        </w:rPr>
        <w:t xml:space="preserve"> </w:t>
      </w:r>
      <w:r>
        <w:rPr>
          <w:w w:val="105"/>
        </w:rPr>
        <w:t>incluye</w:t>
      </w:r>
      <w:r>
        <w:rPr>
          <w:spacing w:val="-2"/>
          <w:w w:val="105"/>
        </w:rPr>
        <w:t xml:space="preserve"> </w:t>
      </w:r>
      <w:r>
        <w:rPr>
          <w:w w:val="105"/>
        </w:rPr>
        <w:t>“cualquier</w:t>
      </w:r>
      <w:r>
        <w:rPr>
          <w:spacing w:val="-2"/>
          <w:w w:val="105"/>
        </w:rPr>
        <w:t xml:space="preserve"> </w:t>
      </w:r>
      <w:r>
        <w:rPr>
          <w:w w:val="105"/>
        </w:rPr>
        <w:t>otro</w:t>
      </w:r>
      <w:r>
        <w:rPr>
          <w:spacing w:val="-2"/>
          <w:w w:val="105"/>
        </w:rPr>
        <w:t xml:space="preserve"> </w:t>
      </w:r>
      <w:r>
        <w:rPr>
          <w:w w:val="105"/>
        </w:rPr>
        <w:t>motivo</w:t>
      </w:r>
      <w:r>
        <w:rPr>
          <w:spacing w:val="-2"/>
          <w:w w:val="105"/>
        </w:rPr>
        <w:t xml:space="preserve"> </w:t>
      </w:r>
      <w:r>
        <w:rPr>
          <w:w w:val="105"/>
        </w:rPr>
        <w:t>en</w:t>
      </w:r>
      <w:r>
        <w:rPr>
          <w:spacing w:val="-2"/>
          <w:w w:val="105"/>
        </w:rPr>
        <w:t xml:space="preserve"> </w:t>
      </w:r>
      <w:r>
        <w:rPr>
          <w:w w:val="105"/>
        </w:rPr>
        <w:t>el</w:t>
      </w:r>
      <w:r>
        <w:rPr>
          <w:spacing w:val="-2"/>
          <w:w w:val="105"/>
        </w:rPr>
        <w:t xml:space="preserve"> </w:t>
      </w:r>
      <w:r>
        <w:rPr>
          <w:w w:val="105"/>
        </w:rPr>
        <w:t>que</w:t>
      </w:r>
      <w:r>
        <w:rPr>
          <w:spacing w:val="-2"/>
          <w:w w:val="105"/>
        </w:rPr>
        <w:t xml:space="preserve"> </w:t>
      </w:r>
      <w:r>
        <w:rPr>
          <w:w w:val="105"/>
        </w:rPr>
        <w:t>la</w:t>
      </w:r>
      <w:r>
        <w:rPr>
          <w:spacing w:val="-2"/>
          <w:w w:val="105"/>
        </w:rPr>
        <w:t xml:space="preserve"> </w:t>
      </w:r>
      <w:r>
        <w:rPr>
          <w:w w:val="105"/>
        </w:rPr>
        <w:t xml:space="preserve">discriminación </w:t>
      </w:r>
      <w:r>
        <w:t xml:space="preserve">basada en ese otro </w:t>
      </w:r>
      <w:proofErr w:type="gramStart"/>
      <w:r>
        <w:t>motivo[</w:t>
      </w:r>
      <w:proofErr w:type="gramEnd"/>
      <w:r>
        <w:t>:] (i) cause o perpetúe una desventaja sistémica; (</w:t>
      </w:r>
      <w:proofErr w:type="spellStart"/>
      <w:r>
        <w:t>ii</w:t>
      </w:r>
      <w:proofErr w:type="spellEnd"/>
      <w:r>
        <w:t>) socava la dignidad humana; o (</w:t>
      </w:r>
      <w:proofErr w:type="spellStart"/>
      <w:r>
        <w:t>iii</w:t>
      </w:r>
      <w:proofErr w:type="spellEnd"/>
      <w:r>
        <w:t xml:space="preserve">) afecta </w:t>
      </w:r>
      <w:r>
        <w:rPr>
          <w:w w:val="105"/>
        </w:rPr>
        <w:t>negativamente</w:t>
      </w:r>
      <w:r>
        <w:rPr>
          <w:spacing w:val="-1"/>
          <w:w w:val="105"/>
        </w:rPr>
        <w:t xml:space="preserve"> </w:t>
      </w:r>
      <w:r>
        <w:rPr>
          <w:w w:val="105"/>
        </w:rPr>
        <w:t>el</w:t>
      </w:r>
      <w:r>
        <w:rPr>
          <w:spacing w:val="-1"/>
          <w:w w:val="105"/>
        </w:rPr>
        <w:t xml:space="preserve"> </w:t>
      </w:r>
      <w:r>
        <w:rPr>
          <w:w w:val="105"/>
        </w:rPr>
        <w:t>disfrute</w:t>
      </w:r>
      <w:r>
        <w:rPr>
          <w:spacing w:val="-1"/>
          <w:w w:val="105"/>
        </w:rPr>
        <w:t xml:space="preserve"> </w:t>
      </w:r>
      <w:r>
        <w:rPr>
          <w:w w:val="105"/>
        </w:rPr>
        <w:t>igualitario</w:t>
      </w:r>
      <w:r>
        <w:rPr>
          <w:spacing w:val="-1"/>
          <w:w w:val="105"/>
        </w:rPr>
        <w:t xml:space="preserve"> </w:t>
      </w:r>
      <w:r>
        <w:rPr>
          <w:w w:val="105"/>
        </w:rPr>
        <w:t>de</w:t>
      </w:r>
      <w:r>
        <w:rPr>
          <w:spacing w:val="-1"/>
          <w:w w:val="105"/>
        </w:rPr>
        <w:t xml:space="preserve"> </w:t>
      </w:r>
      <w:r>
        <w:rPr>
          <w:w w:val="105"/>
        </w:rPr>
        <w:t>los</w:t>
      </w:r>
      <w:r>
        <w:rPr>
          <w:spacing w:val="-1"/>
          <w:w w:val="105"/>
        </w:rPr>
        <w:t xml:space="preserve"> </w:t>
      </w:r>
      <w:r>
        <w:rPr>
          <w:w w:val="105"/>
        </w:rPr>
        <w:t>derechos</w:t>
      </w:r>
      <w:r>
        <w:rPr>
          <w:spacing w:val="-1"/>
          <w:w w:val="105"/>
        </w:rPr>
        <w:t xml:space="preserve"> </w:t>
      </w:r>
      <w:r>
        <w:rPr>
          <w:w w:val="105"/>
        </w:rPr>
        <w:t>y</w:t>
      </w:r>
      <w:r>
        <w:rPr>
          <w:spacing w:val="-1"/>
          <w:w w:val="105"/>
        </w:rPr>
        <w:t xml:space="preserve"> </w:t>
      </w:r>
      <w:r>
        <w:rPr>
          <w:w w:val="105"/>
        </w:rPr>
        <w:t>libertades</w:t>
      </w:r>
      <w:r>
        <w:rPr>
          <w:spacing w:val="-1"/>
          <w:w w:val="105"/>
        </w:rPr>
        <w:t xml:space="preserve"> </w:t>
      </w:r>
      <w:r>
        <w:rPr>
          <w:w w:val="105"/>
        </w:rPr>
        <w:t>de</w:t>
      </w:r>
      <w:r>
        <w:rPr>
          <w:spacing w:val="-1"/>
          <w:w w:val="105"/>
        </w:rPr>
        <w:t xml:space="preserve"> </w:t>
      </w:r>
      <w:r>
        <w:rPr>
          <w:w w:val="105"/>
        </w:rPr>
        <w:t>una</w:t>
      </w:r>
      <w:r>
        <w:rPr>
          <w:spacing w:val="-1"/>
          <w:w w:val="105"/>
        </w:rPr>
        <w:t xml:space="preserve"> </w:t>
      </w:r>
      <w:r>
        <w:rPr>
          <w:w w:val="105"/>
        </w:rPr>
        <w:t>persona</w:t>
      </w:r>
      <w:r>
        <w:rPr>
          <w:spacing w:val="-1"/>
          <w:w w:val="105"/>
        </w:rPr>
        <w:t xml:space="preserve"> </w:t>
      </w:r>
      <w:r>
        <w:rPr>
          <w:w w:val="105"/>
        </w:rPr>
        <w:t>de</w:t>
      </w:r>
      <w:r>
        <w:rPr>
          <w:spacing w:val="-1"/>
          <w:w w:val="105"/>
        </w:rPr>
        <w:t xml:space="preserve"> </w:t>
      </w:r>
      <w:r>
        <w:rPr>
          <w:w w:val="105"/>
        </w:rPr>
        <w:t>una</w:t>
      </w:r>
      <w:r>
        <w:rPr>
          <w:spacing w:val="-1"/>
          <w:w w:val="105"/>
        </w:rPr>
        <w:t xml:space="preserve"> </w:t>
      </w:r>
      <w:r>
        <w:rPr>
          <w:w w:val="105"/>
        </w:rPr>
        <w:t>manera</w:t>
      </w:r>
      <w:r>
        <w:rPr>
          <w:spacing w:val="-1"/>
          <w:w w:val="105"/>
        </w:rPr>
        <w:t xml:space="preserve"> </w:t>
      </w:r>
      <w:r>
        <w:rPr>
          <w:w w:val="105"/>
        </w:rPr>
        <w:t>grave</w:t>
      </w:r>
      <w:r>
        <w:rPr>
          <w:spacing w:val="-1"/>
          <w:w w:val="105"/>
        </w:rPr>
        <w:t xml:space="preserve"> </w:t>
      </w:r>
      <w:r>
        <w:rPr>
          <w:w w:val="105"/>
        </w:rPr>
        <w:t>que</w:t>
      </w:r>
      <w:r>
        <w:rPr>
          <w:spacing w:val="-1"/>
          <w:w w:val="105"/>
        </w:rPr>
        <w:t xml:space="preserve"> </w:t>
      </w:r>
      <w:r>
        <w:rPr>
          <w:w w:val="105"/>
        </w:rPr>
        <w:t>es</w:t>
      </w:r>
    </w:p>
    <w:p w14:paraId="6F47918D" w14:textId="77777777" w:rsidR="0014798C" w:rsidRDefault="004E1F0B">
      <w:pPr>
        <w:pStyle w:val="Textoindependiente"/>
        <w:spacing w:line="326" w:lineRule="auto"/>
        <w:ind w:left="1334" w:right="1378"/>
      </w:pPr>
      <w:r>
        <w:rPr>
          <w:w w:val="105"/>
        </w:rPr>
        <w:t>comparable</w:t>
      </w:r>
      <w:r>
        <w:rPr>
          <w:spacing w:val="-10"/>
          <w:w w:val="105"/>
        </w:rPr>
        <w:t xml:space="preserve"> </w:t>
      </w:r>
      <w:r>
        <w:rPr>
          <w:w w:val="105"/>
        </w:rPr>
        <w:t>a</w:t>
      </w:r>
      <w:r>
        <w:rPr>
          <w:spacing w:val="-10"/>
          <w:w w:val="105"/>
        </w:rPr>
        <w:t xml:space="preserve"> </w:t>
      </w:r>
      <w:r>
        <w:rPr>
          <w:w w:val="105"/>
        </w:rPr>
        <w:t>la</w:t>
      </w:r>
      <w:r>
        <w:rPr>
          <w:spacing w:val="-10"/>
          <w:w w:val="105"/>
        </w:rPr>
        <w:t xml:space="preserve"> </w:t>
      </w:r>
      <w:r>
        <w:rPr>
          <w:w w:val="105"/>
        </w:rPr>
        <w:t>discriminación</w:t>
      </w:r>
      <w:r>
        <w:rPr>
          <w:spacing w:val="-10"/>
          <w:w w:val="105"/>
        </w:rPr>
        <w:t xml:space="preserve"> </w:t>
      </w:r>
      <w:r>
        <w:rPr>
          <w:w w:val="105"/>
        </w:rPr>
        <w:t>por</w:t>
      </w:r>
      <w:r>
        <w:rPr>
          <w:spacing w:val="-10"/>
          <w:w w:val="105"/>
        </w:rPr>
        <w:t xml:space="preserve"> </w:t>
      </w:r>
      <w:r>
        <w:rPr>
          <w:w w:val="105"/>
        </w:rPr>
        <w:t>motivos</w:t>
      </w:r>
      <w:r>
        <w:rPr>
          <w:spacing w:val="-10"/>
          <w:w w:val="105"/>
        </w:rPr>
        <w:t xml:space="preserve"> </w:t>
      </w:r>
      <w:r>
        <w:rPr>
          <w:w w:val="105"/>
        </w:rPr>
        <w:t>[enumerados</w:t>
      </w:r>
      <w:r>
        <w:rPr>
          <w:spacing w:val="-10"/>
          <w:w w:val="105"/>
        </w:rPr>
        <w:t xml:space="preserve"> </w:t>
      </w:r>
      <w:r>
        <w:rPr>
          <w:w w:val="105"/>
        </w:rPr>
        <w:t>explícitamente]”.139</w:t>
      </w:r>
      <w:r>
        <w:rPr>
          <w:spacing w:val="-10"/>
          <w:w w:val="105"/>
        </w:rPr>
        <w:t xml:space="preserve"> </w:t>
      </w:r>
      <w:r>
        <w:rPr>
          <w:w w:val="105"/>
        </w:rPr>
        <w:t>Como</w:t>
      </w:r>
      <w:r>
        <w:rPr>
          <w:spacing w:val="-10"/>
          <w:w w:val="105"/>
        </w:rPr>
        <w:t xml:space="preserve"> </w:t>
      </w:r>
      <w:r>
        <w:rPr>
          <w:w w:val="105"/>
        </w:rPr>
        <w:t>una</w:t>
      </w:r>
      <w:r>
        <w:rPr>
          <w:spacing w:val="-10"/>
          <w:w w:val="105"/>
        </w:rPr>
        <w:t xml:space="preserve"> </w:t>
      </w:r>
      <w:r>
        <w:rPr>
          <w:w w:val="105"/>
        </w:rPr>
        <w:t>de</w:t>
      </w:r>
      <w:r>
        <w:rPr>
          <w:spacing w:val="-10"/>
          <w:w w:val="105"/>
        </w:rPr>
        <w:t xml:space="preserve"> </w:t>
      </w:r>
      <w:r>
        <w:rPr>
          <w:w w:val="105"/>
        </w:rPr>
        <w:t>las</w:t>
      </w:r>
      <w:r>
        <w:rPr>
          <w:spacing w:val="-10"/>
          <w:w w:val="105"/>
        </w:rPr>
        <w:t xml:space="preserve"> </w:t>
      </w:r>
      <w:r>
        <w:rPr>
          <w:w w:val="105"/>
        </w:rPr>
        <w:t>primeras</w:t>
      </w:r>
      <w:r>
        <w:rPr>
          <w:spacing w:val="-10"/>
          <w:w w:val="105"/>
        </w:rPr>
        <w:t xml:space="preserve"> </w:t>
      </w:r>
      <w:r>
        <w:rPr>
          <w:w w:val="105"/>
        </w:rPr>
        <w:t>leyes</w:t>
      </w:r>
      <w:r>
        <w:rPr>
          <w:spacing w:val="-10"/>
          <w:w w:val="105"/>
        </w:rPr>
        <w:t xml:space="preserve"> </w:t>
      </w:r>
      <w:r>
        <w:rPr>
          <w:w w:val="105"/>
        </w:rPr>
        <w:t>integrales de</w:t>
      </w:r>
      <w:r>
        <w:rPr>
          <w:spacing w:val="-2"/>
          <w:w w:val="105"/>
        </w:rPr>
        <w:t xml:space="preserve"> </w:t>
      </w:r>
      <w:r>
        <w:rPr>
          <w:w w:val="105"/>
        </w:rPr>
        <w:t>igualdad,</w:t>
      </w:r>
      <w:r>
        <w:rPr>
          <w:spacing w:val="-1"/>
          <w:w w:val="105"/>
        </w:rPr>
        <w:t xml:space="preserve"> </w:t>
      </w:r>
      <w:r>
        <w:rPr>
          <w:w w:val="105"/>
        </w:rPr>
        <w:t>el</w:t>
      </w:r>
      <w:r>
        <w:rPr>
          <w:spacing w:val="-2"/>
          <w:w w:val="105"/>
        </w:rPr>
        <w:t xml:space="preserve"> </w:t>
      </w:r>
      <w:r>
        <w:rPr>
          <w:w w:val="105"/>
        </w:rPr>
        <w:t>modelo</w:t>
      </w:r>
      <w:r>
        <w:rPr>
          <w:spacing w:val="-2"/>
          <w:w w:val="105"/>
        </w:rPr>
        <w:t xml:space="preserve"> </w:t>
      </w:r>
      <w:r>
        <w:rPr>
          <w:w w:val="105"/>
        </w:rPr>
        <w:t>sudafricano</w:t>
      </w:r>
      <w:r>
        <w:rPr>
          <w:spacing w:val="-2"/>
          <w:w w:val="105"/>
        </w:rPr>
        <w:t xml:space="preserve"> </w:t>
      </w:r>
      <w:r>
        <w:rPr>
          <w:w w:val="105"/>
        </w:rPr>
        <w:t>ha</w:t>
      </w:r>
      <w:r>
        <w:rPr>
          <w:spacing w:val="-2"/>
          <w:w w:val="105"/>
        </w:rPr>
        <w:t xml:space="preserve"> </w:t>
      </w:r>
      <w:r>
        <w:rPr>
          <w:w w:val="105"/>
        </w:rPr>
        <w:t>demostrado</w:t>
      </w:r>
      <w:r>
        <w:rPr>
          <w:spacing w:val="-2"/>
          <w:w w:val="105"/>
        </w:rPr>
        <w:t xml:space="preserve"> </w:t>
      </w:r>
      <w:r>
        <w:rPr>
          <w:w w:val="105"/>
        </w:rPr>
        <w:t>ser</w:t>
      </w:r>
      <w:r>
        <w:rPr>
          <w:spacing w:val="-2"/>
          <w:w w:val="105"/>
        </w:rPr>
        <w:t xml:space="preserve"> </w:t>
      </w:r>
      <w:r>
        <w:rPr>
          <w:w w:val="105"/>
        </w:rPr>
        <w:t>influyente</w:t>
      </w:r>
      <w:r>
        <w:rPr>
          <w:spacing w:val="-2"/>
          <w:w w:val="105"/>
        </w:rPr>
        <w:t xml:space="preserve"> </w:t>
      </w:r>
      <w:r>
        <w:rPr>
          <w:w w:val="105"/>
        </w:rPr>
        <w:t>y</w:t>
      </w:r>
      <w:r>
        <w:rPr>
          <w:spacing w:val="-2"/>
          <w:w w:val="105"/>
        </w:rPr>
        <w:t xml:space="preserve"> </w:t>
      </w:r>
      <w:r>
        <w:rPr>
          <w:w w:val="105"/>
        </w:rPr>
        <w:t>ha</w:t>
      </w:r>
      <w:r>
        <w:rPr>
          <w:spacing w:val="-2"/>
          <w:w w:val="105"/>
        </w:rPr>
        <w:t xml:space="preserve"> </w:t>
      </w:r>
      <w:r>
        <w:rPr>
          <w:w w:val="105"/>
        </w:rPr>
        <w:t>informado</w:t>
      </w:r>
      <w:r>
        <w:rPr>
          <w:spacing w:val="-2"/>
          <w:w w:val="105"/>
        </w:rPr>
        <w:t xml:space="preserve"> </w:t>
      </w:r>
      <w:r>
        <w:rPr>
          <w:w w:val="105"/>
        </w:rPr>
        <w:t>el</w:t>
      </w:r>
      <w:r>
        <w:rPr>
          <w:spacing w:val="-2"/>
          <w:w w:val="105"/>
        </w:rPr>
        <w:t xml:space="preserve"> </w:t>
      </w:r>
      <w:r>
        <w:rPr>
          <w:w w:val="105"/>
        </w:rPr>
        <w:t>desarrollo</w:t>
      </w:r>
      <w:r>
        <w:rPr>
          <w:spacing w:val="-2"/>
          <w:w w:val="105"/>
        </w:rPr>
        <w:t xml:space="preserve"> </w:t>
      </w:r>
      <w:r>
        <w:rPr>
          <w:w w:val="105"/>
        </w:rPr>
        <w:t>de</w:t>
      </w:r>
      <w:r>
        <w:rPr>
          <w:spacing w:val="-2"/>
          <w:w w:val="105"/>
        </w:rPr>
        <w:t xml:space="preserve"> </w:t>
      </w:r>
      <w:r>
        <w:rPr>
          <w:w w:val="105"/>
        </w:rPr>
        <w:t>enfoques</w:t>
      </w:r>
      <w:r>
        <w:rPr>
          <w:spacing w:val="-2"/>
          <w:w w:val="105"/>
        </w:rPr>
        <w:t xml:space="preserve"> </w:t>
      </w:r>
      <w:r>
        <w:rPr>
          <w:w w:val="105"/>
        </w:rPr>
        <w:t>de</w:t>
      </w:r>
      <w:r>
        <w:rPr>
          <w:spacing w:val="-2"/>
          <w:w w:val="105"/>
        </w:rPr>
        <w:t xml:space="preserve"> </w:t>
      </w:r>
      <w:r>
        <w:rPr>
          <w:w w:val="105"/>
        </w:rPr>
        <w:t>mejores prácticas posteriores.140 A través de su consideración de comunicaciones individuales, comentarios generales y observaciones finales, los órganos creados en virtud de tratados de derechos humanos han identificado una amplia gama de características personales como formas de “otra condición”. Esto incluye, entre otras cosas, los motivos de orientación</w:t>
      </w:r>
      <w:r>
        <w:rPr>
          <w:spacing w:val="-1"/>
          <w:w w:val="105"/>
        </w:rPr>
        <w:t xml:space="preserve"> </w:t>
      </w:r>
      <w:r>
        <w:rPr>
          <w:w w:val="105"/>
        </w:rPr>
        <w:t>sexual,141</w:t>
      </w:r>
      <w:r>
        <w:rPr>
          <w:spacing w:val="-1"/>
          <w:w w:val="105"/>
        </w:rPr>
        <w:t xml:space="preserve"> </w:t>
      </w:r>
      <w:r>
        <w:rPr>
          <w:w w:val="105"/>
        </w:rPr>
        <w:t>identidad</w:t>
      </w:r>
      <w:r>
        <w:rPr>
          <w:spacing w:val="-1"/>
          <w:w w:val="105"/>
        </w:rPr>
        <w:t xml:space="preserve"> </w:t>
      </w:r>
      <w:r>
        <w:rPr>
          <w:w w:val="105"/>
        </w:rPr>
        <w:t>de</w:t>
      </w:r>
      <w:r>
        <w:rPr>
          <w:spacing w:val="-1"/>
          <w:w w:val="105"/>
        </w:rPr>
        <w:t xml:space="preserve"> </w:t>
      </w:r>
      <w:r>
        <w:rPr>
          <w:w w:val="105"/>
        </w:rPr>
        <w:t>género142</w:t>
      </w:r>
      <w:r>
        <w:rPr>
          <w:spacing w:val="-1"/>
          <w:w w:val="105"/>
        </w:rPr>
        <w:t xml:space="preserve"> </w:t>
      </w:r>
      <w:r>
        <w:rPr>
          <w:w w:val="105"/>
        </w:rPr>
        <w:t>y,</w:t>
      </w:r>
      <w:r>
        <w:rPr>
          <w:spacing w:val="-1"/>
          <w:w w:val="105"/>
        </w:rPr>
        <w:t xml:space="preserve"> </w:t>
      </w:r>
      <w:r>
        <w:rPr>
          <w:w w:val="105"/>
        </w:rPr>
        <w:t>en</w:t>
      </w:r>
      <w:r>
        <w:rPr>
          <w:spacing w:val="-1"/>
          <w:w w:val="105"/>
        </w:rPr>
        <w:t xml:space="preserve"> </w:t>
      </w:r>
      <w:r>
        <w:rPr>
          <w:w w:val="105"/>
        </w:rPr>
        <w:t>reconocimiento</w:t>
      </w:r>
      <w:r>
        <w:rPr>
          <w:spacing w:val="-1"/>
          <w:w w:val="105"/>
        </w:rPr>
        <w:t xml:space="preserve"> </w:t>
      </w:r>
      <w:r>
        <w:rPr>
          <w:w w:val="105"/>
        </w:rPr>
        <w:t>de</w:t>
      </w:r>
      <w:r>
        <w:rPr>
          <w:spacing w:val="-1"/>
          <w:w w:val="105"/>
        </w:rPr>
        <w:t xml:space="preserve"> </w:t>
      </w:r>
      <w:r>
        <w:rPr>
          <w:w w:val="105"/>
        </w:rPr>
        <w:t>los</w:t>
      </w:r>
      <w:r>
        <w:rPr>
          <w:spacing w:val="-1"/>
          <w:w w:val="105"/>
        </w:rPr>
        <w:t xml:space="preserve"> </w:t>
      </w:r>
      <w:r>
        <w:rPr>
          <w:w w:val="105"/>
        </w:rPr>
        <w:t>daños</w:t>
      </w:r>
      <w:r>
        <w:rPr>
          <w:spacing w:val="-1"/>
          <w:w w:val="105"/>
        </w:rPr>
        <w:t xml:space="preserve"> </w:t>
      </w:r>
      <w:r>
        <w:rPr>
          <w:w w:val="105"/>
        </w:rPr>
        <w:t>particulares</w:t>
      </w:r>
      <w:r>
        <w:rPr>
          <w:spacing w:val="-1"/>
          <w:w w:val="105"/>
        </w:rPr>
        <w:t xml:space="preserve"> </w:t>
      </w:r>
      <w:r>
        <w:rPr>
          <w:w w:val="105"/>
        </w:rPr>
        <w:t>que</w:t>
      </w:r>
      <w:r>
        <w:rPr>
          <w:spacing w:val="-1"/>
          <w:w w:val="105"/>
        </w:rPr>
        <w:t xml:space="preserve"> </w:t>
      </w:r>
      <w:r>
        <w:rPr>
          <w:w w:val="105"/>
        </w:rPr>
        <w:t>afectan</w:t>
      </w:r>
      <w:r>
        <w:rPr>
          <w:spacing w:val="-1"/>
          <w:w w:val="105"/>
        </w:rPr>
        <w:t xml:space="preserve"> </w:t>
      </w:r>
      <w:r>
        <w:rPr>
          <w:w w:val="105"/>
        </w:rPr>
        <w:t>a</w:t>
      </w:r>
      <w:r>
        <w:rPr>
          <w:spacing w:val="-1"/>
          <w:w w:val="105"/>
        </w:rPr>
        <w:t xml:space="preserve"> </w:t>
      </w:r>
      <w:r>
        <w:rPr>
          <w:w w:val="105"/>
        </w:rPr>
        <w:t>las personas intersexuales</w:t>
      </w:r>
      <w:proofErr w:type="gramStart"/>
      <w:r>
        <w:rPr>
          <w:w w:val="105"/>
        </w:rPr>
        <w:t>143 ,</w:t>
      </w:r>
      <w:proofErr w:type="gramEnd"/>
      <w:r>
        <w:rPr>
          <w:w w:val="105"/>
        </w:rPr>
        <w:t xml:space="preserve"> las características sexuales.144 Los avances en estas áreas se han captado en gran</w:t>
      </w:r>
    </w:p>
    <w:p w14:paraId="27A7D3E6" w14:textId="77777777" w:rsidR="0014798C" w:rsidRDefault="004E1F0B">
      <w:pPr>
        <w:pStyle w:val="Textoindependiente"/>
        <w:spacing w:line="181" w:lineRule="exact"/>
        <w:ind w:left="1333" w:right="-29"/>
      </w:pPr>
      <w:r>
        <w:rPr>
          <w:spacing w:val="-2"/>
          <w:w w:val="105"/>
        </w:rPr>
        <w:t>medida</w:t>
      </w:r>
      <w:r>
        <w:rPr>
          <w:spacing w:val="-3"/>
          <w:w w:val="105"/>
        </w:rPr>
        <w:t xml:space="preserve"> </w:t>
      </w:r>
      <w:r>
        <w:rPr>
          <w:spacing w:val="-2"/>
          <w:w w:val="105"/>
        </w:rPr>
        <w:t>a nivel regional,145 así</w:t>
      </w:r>
      <w:r>
        <w:rPr>
          <w:spacing w:val="-3"/>
          <w:w w:val="105"/>
        </w:rPr>
        <w:t xml:space="preserve"> </w:t>
      </w:r>
      <w:r>
        <w:rPr>
          <w:spacing w:val="-2"/>
          <w:w w:val="105"/>
        </w:rPr>
        <w:t>como a nivel nacional.</w:t>
      </w:r>
      <w:r>
        <w:rPr>
          <w:spacing w:val="-1"/>
          <w:w w:val="105"/>
        </w:rPr>
        <w:t xml:space="preserve"> </w:t>
      </w:r>
      <w:r>
        <w:rPr>
          <w:spacing w:val="-2"/>
          <w:w w:val="105"/>
        </w:rPr>
        <w:t>legislación</w:t>
      </w:r>
      <w:r>
        <w:rPr>
          <w:spacing w:val="-3"/>
          <w:w w:val="105"/>
        </w:rPr>
        <w:t xml:space="preserve"> </w:t>
      </w:r>
      <w:r>
        <w:rPr>
          <w:spacing w:val="-2"/>
          <w:w w:val="105"/>
        </w:rPr>
        <w:t>adoptada de conformidad con las</w:t>
      </w:r>
      <w:r>
        <w:rPr>
          <w:spacing w:val="-3"/>
          <w:w w:val="105"/>
        </w:rPr>
        <w:t xml:space="preserve"> </w:t>
      </w:r>
      <w:r>
        <w:rPr>
          <w:spacing w:val="-2"/>
          <w:w w:val="105"/>
        </w:rPr>
        <w:t>obligaciones de los Estados en</w:t>
      </w:r>
      <w:r>
        <w:rPr>
          <w:spacing w:val="-3"/>
          <w:w w:val="105"/>
        </w:rPr>
        <w:t xml:space="preserve"> </w:t>
      </w:r>
      <w:r>
        <w:rPr>
          <w:spacing w:val="-2"/>
          <w:w w:val="105"/>
        </w:rPr>
        <w:t xml:space="preserve">materia </w:t>
      </w:r>
      <w:r>
        <w:rPr>
          <w:spacing w:val="-10"/>
          <w:w w:val="105"/>
        </w:rPr>
        <w:t>d</w:t>
      </w:r>
    </w:p>
    <w:p w14:paraId="6C78D3D4" w14:textId="77777777" w:rsidR="0014798C" w:rsidRDefault="0014798C">
      <w:pPr>
        <w:pStyle w:val="Textoindependiente"/>
      </w:pPr>
    </w:p>
    <w:p w14:paraId="72634B79" w14:textId="77777777" w:rsidR="0014798C" w:rsidRDefault="0014798C">
      <w:pPr>
        <w:pStyle w:val="Textoindependiente"/>
        <w:spacing w:before="149"/>
      </w:pPr>
    </w:p>
    <w:p w14:paraId="66534AAE" w14:textId="77777777" w:rsidR="0014798C" w:rsidRDefault="004E1F0B">
      <w:pPr>
        <w:pStyle w:val="Textoindependiente"/>
        <w:ind w:left="1106"/>
      </w:pPr>
      <w:r>
        <w:rPr>
          <w:w w:val="105"/>
        </w:rPr>
        <w:t>El</w:t>
      </w:r>
      <w:r>
        <w:rPr>
          <w:spacing w:val="-11"/>
          <w:w w:val="105"/>
        </w:rPr>
        <w:t xml:space="preserve"> </w:t>
      </w:r>
      <w:r>
        <w:rPr>
          <w:w w:val="105"/>
        </w:rPr>
        <w:t>Comité</w:t>
      </w:r>
      <w:r>
        <w:rPr>
          <w:spacing w:val="-11"/>
          <w:w w:val="105"/>
        </w:rPr>
        <w:t xml:space="preserve"> </w:t>
      </w:r>
      <w:r>
        <w:rPr>
          <w:w w:val="105"/>
        </w:rPr>
        <w:t>de</w:t>
      </w:r>
      <w:r>
        <w:rPr>
          <w:spacing w:val="-10"/>
          <w:w w:val="105"/>
        </w:rPr>
        <w:t xml:space="preserve"> </w:t>
      </w:r>
      <w:r>
        <w:rPr>
          <w:w w:val="105"/>
        </w:rPr>
        <w:t>Derechos</w:t>
      </w:r>
      <w:r>
        <w:rPr>
          <w:spacing w:val="-11"/>
          <w:w w:val="105"/>
        </w:rPr>
        <w:t xml:space="preserve"> </w:t>
      </w:r>
      <w:r>
        <w:rPr>
          <w:w w:val="105"/>
        </w:rPr>
        <w:t>Económicos,</w:t>
      </w:r>
      <w:r>
        <w:rPr>
          <w:spacing w:val="-9"/>
          <w:w w:val="105"/>
        </w:rPr>
        <w:t xml:space="preserve"> </w:t>
      </w:r>
      <w:r>
        <w:rPr>
          <w:w w:val="105"/>
        </w:rPr>
        <w:t>Sociales</w:t>
      </w:r>
      <w:r>
        <w:rPr>
          <w:spacing w:val="-11"/>
          <w:w w:val="105"/>
        </w:rPr>
        <w:t xml:space="preserve"> </w:t>
      </w:r>
      <w:r>
        <w:rPr>
          <w:w w:val="105"/>
        </w:rPr>
        <w:t>y</w:t>
      </w:r>
      <w:r>
        <w:rPr>
          <w:spacing w:val="-10"/>
          <w:w w:val="105"/>
        </w:rPr>
        <w:t xml:space="preserve"> </w:t>
      </w:r>
      <w:r>
        <w:rPr>
          <w:w w:val="105"/>
        </w:rPr>
        <w:t>Culturales</w:t>
      </w:r>
      <w:r>
        <w:rPr>
          <w:spacing w:val="-11"/>
          <w:w w:val="105"/>
        </w:rPr>
        <w:t xml:space="preserve"> </w:t>
      </w:r>
      <w:r>
        <w:rPr>
          <w:w w:val="105"/>
        </w:rPr>
        <w:t>y</w:t>
      </w:r>
      <w:r>
        <w:rPr>
          <w:spacing w:val="-10"/>
          <w:w w:val="105"/>
        </w:rPr>
        <w:t xml:space="preserve"> </w:t>
      </w:r>
      <w:r>
        <w:rPr>
          <w:w w:val="105"/>
        </w:rPr>
        <w:t>el</w:t>
      </w:r>
      <w:r>
        <w:rPr>
          <w:spacing w:val="-11"/>
          <w:w w:val="105"/>
        </w:rPr>
        <w:t xml:space="preserve"> </w:t>
      </w:r>
      <w:r>
        <w:rPr>
          <w:w w:val="105"/>
        </w:rPr>
        <w:t>Comité</w:t>
      </w:r>
      <w:r>
        <w:rPr>
          <w:spacing w:val="-11"/>
          <w:w w:val="105"/>
        </w:rPr>
        <w:t xml:space="preserve"> </w:t>
      </w:r>
      <w:r>
        <w:rPr>
          <w:w w:val="105"/>
        </w:rPr>
        <w:t>de</w:t>
      </w:r>
      <w:r>
        <w:rPr>
          <w:spacing w:val="-10"/>
          <w:w w:val="105"/>
        </w:rPr>
        <w:t xml:space="preserve"> </w:t>
      </w:r>
      <w:r>
        <w:rPr>
          <w:w w:val="105"/>
        </w:rPr>
        <w:t>los</w:t>
      </w:r>
      <w:r>
        <w:rPr>
          <w:spacing w:val="-11"/>
          <w:w w:val="105"/>
        </w:rPr>
        <w:t xml:space="preserve"> </w:t>
      </w:r>
      <w:r>
        <w:rPr>
          <w:w w:val="105"/>
        </w:rPr>
        <w:t>Derechos</w:t>
      </w:r>
      <w:r>
        <w:rPr>
          <w:spacing w:val="-10"/>
          <w:w w:val="105"/>
        </w:rPr>
        <w:t xml:space="preserve"> </w:t>
      </w:r>
      <w:r>
        <w:rPr>
          <w:w w:val="105"/>
        </w:rPr>
        <w:t>de</w:t>
      </w:r>
      <w:r>
        <w:rPr>
          <w:spacing w:val="-11"/>
          <w:w w:val="105"/>
        </w:rPr>
        <w:t xml:space="preserve"> </w:t>
      </w:r>
      <w:r>
        <w:rPr>
          <w:w w:val="105"/>
        </w:rPr>
        <w:t>las</w:t>
      </w:r>
      <w:r>
        <w:rPr>
          <w:spacing w:val="-10"/>
          <w:w w:val="105"/>
        </w:rPr>
        <w:t xml:space="preserve"> </w:t>
      </w:r>
      <w:r>
        <w:rPr>
          <w:w w:val="105"/>
        </w:rPr>
        <w:t>Personas</w:t>
      </w:r>
      <w:r>
        <w:rPr>
          <w:spacing w:val="-11"/>
          <w:w w:val="105"/>
        </w:rPr>
        <w:t xml:space="preserve"> </w:t>
      </w:r>
      <w:r>
        <w:rPr>
          <w:spacing w:val="-5"/>
          <w:w w:val="105"/>
        </w:rPr>
        <w:t>con</w:t>
      </w:r>
    </w:p>
    <w:p w14:paraId="2464DA71" w14:textId="77777777" w:rsidR="0014798C" w:rsidRDefault="004E1F0B">
      <w:pPr>
        <w:pStyle w:val="Textoindependiente"/>
        <w:spacing w:before="66" w:line="326" w:lineRule="auto"/>
        <w:ind w:left="1111" w:right="1272" w:hanging="3"/>
      </w:pPr>
      <w:r>
        <w:rPr>
          <w:w w:val="105"/>
        </w:rPr>
        <w:t>Las</w:t>
      </w:r>
      <w:r>
        <w:rPr>
          <w:spacing w:val="-9"/>
          <w:w w:val="105"/>
        </w:rPr>
        <w:t xml:space="preserve"> </w:t>
      </w:r>
      <w:r>
        <w:rPr>
          <w:w w:val="105"/>
        </w:rPr>
        <w:t>personas</w:t>
      </w:r>
      <w:r>
        <w:rPr>
          <w:spacing w:val="-9"/>
          <w:w w:val="105"/>
        </w:rPr>
        <w:t xml:space="preserve"> </w:t>
      </w:r>
      <w:r>
        <w:rPr>
          <w:w w:val="105"/>
        </w:rPr>
        <w:t>con</w:t>
      </w:r>
      <w:r>
        <w:rPr>
          <w:spacing w:val="-9"/>
          <w:w w:val="105"/>
        </w:rPr>
        <w:t xml:space="preserve"> </w:t>
      </w:r>
      <w:r>
        <w:rPr>
          <w:w w:val="105"/>
        </w:rPr>
        <w:t>discapacidad</w:t>
      </w:r>
      <w:r>
        <w:rPr>
          <w:spacing w:val="-9"/>
          <w:w w:val="105"/>
        </w:rPr>
        <w:t xml:space="preserve"> </w:t>
      </w:r>
      <w:r>
        <w:rPr>
          <w:w w:val="105"/>
        </w:rPr>
        <w:t>han</w:t>
      </w:r>
      <w:r>
        <w:rPr>
          <w:spacing w:val="-9"/>
          <w:w w:val="105"/>
        </w:rPr>
        <w:t xml:space="preserve"> </w:t>
      </w:r>
      <w:r>
        <w:rPr>
          <w:w w:val="105"/>
        </w:rPr>
        <w:t>emitido</w:t>
      </w:r>
      <w:r>
        <w:rPr>
          <w:spacing w:val="-9"/>
          <w:w w:val="105"/>
        </w:rPr>
        <w:t xml:space="preserve"> </w:t>
      </w:r>
      <w:r>
        <w:rPr>
          <w:w w:val="105"/>
        </w:rPr>
        <w:t>comentarios</w:t>
      </w:r>
      <w:r>
        <w:rPr>
          <w:spacing w:val="-9"/>
          <w:w w:val="105"/>
        </w:rPr>
        <w:t xml:space="preserve"> </w:t>
      </w:r>
      <w:r>
        <w:rPr>
          <w:w w:val="105"/>
        </w:rPr>
        <w:t>generales</w:t>
      </w:r>
      <w:r>
        <w:rPr>
          <w:spacing w:val="-9"/>
          <w:w w:val="105"/>
        </w:rPr>
        <w:t xml:space="preserve"> </w:t>
      </w:r>
      <w:r>
        <w:rPr>
          <w:w w:val="105"/>
        </w:rPr>
        <w:t>sobre</w:t>
      </w:r>
      <w:r>
        <w:rPr>
          <w:spacing w:val="-9"/>
          <w:w w:val="105"/>
        </w:rPr>
        <w:t xml:space="preserve"> </w:t>
      </w:r>
      <w:r>
        <w:rPr>
          <w:w w:val="105"/>
        </w:rPr>
        <w:t>igualdad</w:t>
      </w:r>
      <w:r>
        <w:rPr>
          <w:spacing w:val="-9"/>
          <w:w w:val="105"/>
        </w:rPr>
        <w:t xml:space="preserve"> </w:t>
      </w:r>
      <w:r>
        <w:rPr>
          <w:w w:val="105"/>
        </w:rPr>
        <w:t>y</w:t>
      </w:r>
      <w:r>
        <w:rPr>
          <w:spacing w:val="-9"/>
          <w:w w:val="105"/>
        </w:rPr>
        <w:t xml:space="preserve"> </w:t>
      </w:r>
      <w:r>
        <w:rPr>
          <w:w w:val="105"/>
        </w:rPr>
        <w:t>no</w:t>
      </w:r>
      <w:r>
        <w:rPr>
          <w:spacing w:val="-9"/>
          <w:w w:val="105"/>
        </w:rPr>
        <w:t xml:space="preserve"> </w:t>
      </w:r>
      <w:r>
        <w:rPr>
          <w:w w:val="105"/>
        </w:rPr>
        <w:t>discriminación,</w:t>
      </w:r>
      <w:r>
        <w:rPr>
          <w:spacing w:val="-8"/>
          <w:w w:val="105"/>
        </w:rPr>
        <w:t xml:space="preserve"> </w:t>
      </w:r>
      <w:r>
        <w:rPr>
          <w:w w:val="105"/>
        </w:rPr>
        <w:t>que</w:t>
      </w:r>
      <w:r>
        <w:rPr>
          <w:spacing w:val="-9"/>
          <w:w w:val="105"/>
        </w:rPr>
        <w:t xml:space="preserve"> </w:t>
      </w:r>
      <w:r>
        <w:rPr>
          <w:w w:val="105"/>
        </w:rPr>
        <w:t>reflejan</w:t>
      </w:r>
      <w:r>
        <w:rPr>
          <w:spacing w:val="-9"/>
          <w:w w:val="105"/>
        </w:rPr>
        <w:t xml:space="preserve"> </w:t>
      </w:r>
      <w:r>
        <w:rPr>
          <w:w w:val="105"/>
        </w:rPr>
        <w:t xml:space="preserve">la </w:t>
      </w:r>
      <w:r>
        <w:rPr>
          <w:spacing w:val="-2"/>
          <w:w w:val="105"/>
        </w:rPr>
        <w:t>evolución a nivel internacional y proporcionan</w:t>
      </w:r>
      <w:r>
        <w:rPr>
          <w:spacing w:val="-1"/>
          <w:w w:val="105"/>
        </w:rPr>
        <w:t xml:space="preserve"> </w:t>
      </w:r>
      <w:r>
        <w:rPr>
          <w:spacing w:val="-2"/>
          <w:w w:val="105"/>
        </w:rPr>
        <w:t>una lista (no exhaustiva) de</w:t>
      </w:r>
      <w:r>
        <w:rPr>
          <w:spacing w:val="-1"/>
          <w:w w:val="105"/>
        </w:rPr>
        <w:t xml:space="preserve"> </w:t>
      </w:r>
      <w:r>
        <w:rPr>
          <w:spacing w:val="-2"/>
          <w:w w:val="105"/>
        </w:rPr>
        <w:t>motivos que han llegado a ser</w:t>
      </w:r>
      <w:r>
        <w:rPr>
          <w:spacing w:val="-1"/>
          <w:w w:val="105"/>
        </w:rPr>
        <w:t xml:space="preserve"> </w:t>
      </w:r>
      <w:r>
        <w:rPr>
          <w:spacing w:val="-2"/>
          <w:w w:val="105"/>
        </w:rPr>
        <w:t>reconocidos.</w:t>
      </w:r>
    </w:p>
    <w:p w14:paraId="4C1CE3BD" w14:textId="77777777" w:rsidR="0014798C" w:rsidRDefault="0014798C">
      <w:pPr>
        <w:pStyle w:val="Textoindependiente"/>
        <w:spacing w:before="204"/>
        <w:rPr>
          <w:sz w:val="20"/>
        </w:rPr>
      </w:pPr>
    </w:p>
    <w:p w14:paraId="0B599677" w14:textId="77777777" w:rsidR="0014798C" w:rsidRDefault="0014798C">
      <w:pPr>
        <w:rPr>
          <w:sz w:val="20"/>
        </w:rPr>
        <w:sectPr w:rsidR="0014798C" w:rsidSect="00F265E4">
          <w:pgSz w:w="11900" w:h="16820"/>
          <w:pgMar w:top="340" w:right="0" w:bottom="280" w:left="200" w:header="121" w:footer="0" w:gutter="0"/>
          <w:cols w:space="720"/>
        </w:sectPr>
      </w:pPr>
    </w:p>
    <w:p w14:paraId="06EE0DAE" w14:textId="77777777" w:rsidR="0014798C" w:rsidRDefault="0014798C">
      <w:pPr>
        <w:pStyle w:val="Textoindependiente"/>
        <w:spacing w:before="9"/>
        <w:rPr>
          <w:sz w:val="8"/>
        </w:rPr>
      </w:pPr>
    </w:p>
    <w:p w14:paraId="758F7365" w14:textId="77777777" w:rsidR="0014798C" w:rsidRDefault="004E1F0B">
      <w:pPr>
        <w:jc w:val="right"/>
        <w:rPr>
          <w:sz w:val="8"/>
        </w:rPr>
      </w:pPr>
      <w:r>
        <w:rPr>
          <w:spacing w:val="-5"/>
          <w:w w:val="105"/>
          <w:sz w:val="8"/>
        </w:rPr>
        <w:t>136</w:t>
      </w:r>
    </w:p>
    <w:p w14:paraId="1B4AE9D2" w14:textId="77777777" w:rsidR="0014798C" w:rsidRDefault="004E1F0B">
      <w:pPr>
        <w:spacing w:before="111"/>
        <w:ind w:left="75"/>
        <w:rPr>
          <w:sz w:val="12"/>
        </w:rPr>
      </w:pPr>
      <w:r>
        <w:br w:type="column"/>
      </w:r>
      <w:r>
        <w:rPr>
          <w:spacing w:val="-2"/>
          <w:w w:val="105"/>
          <w:sz w:val="12"/>
        </w:rPr>
        <w:t>Tribunal</w:t>
      </w:r>
      <w:r>
        <w:rPr>
          <w:spacing w:val="-1"/>
          <w:w w:val="105"/>
          <w:sz w:val="12"/>
        </w:rPr>
        <w:t xml:space="preserve"> </w:t>
      </w:r>
      <w:r>
        <w:rPr>
          <w:spacing w:val="-2"/>
          <w:w w:val="105"/>
          <w:sz w:val="12"/>
        </w:rPr>
        <w:t>Europeo</w:t>
      </w:r>
      <w:r>
        <w:rPr>
          <w:w w:val="105"/>
          <w:sz w:val="12"/>
        </w:rPr>
        <w:t xml:space="preserve"> </w:t>
      </w:r>
      <w:r>
        <w:rPr>
          <w:spacing w:val="-2"/>
          <w:w w:val="105"/>
          <w:sz w:val="12"/>
        </w:rPr>
        <w:t>de</w:t>
      </w:r>
      <w:r>
        <w:rPr>
          <w:w w:val="105"/>
          <w:sz w:val="12"/>
        </w:rPr>
        <w:t xml:space="preserve"> </w:t>
      </w:r>
      <w:r>
        <w:rPr>
          <w:spacing w:val="-2"/>
          <w:w w:val="105"/>
          <w:sz w:val="12"/>
        </w:rPr>
        <w:t>Derechos</w:t>
      </w:r>
      <w:r>
        <w:rPr>
          <w:w w:val="105"/>
          <w:sz w:val="12"/>
        </w:rPr>
        <w:t xml:space="preserve"> </w:t>
      </w:r>
      <w:r>
        <w:rPr>
          <w:spacing w:val="-2"/>
          <w:w w:val="105"/>
          <w:sz w:val="12"/>
        </w:rPr>
        <w:t>Humanos,</w:t>
      </w:r>
      <w:r>
        <w:rPr>
          <w:w w:val="105"/>
          <w:sz w:val="12"/>
        </w:rPr>
        <w:t xml:space="preserve"> </w:t>
      </w:r>
      <w:r>
        <w:rPr>
          <w:spacing w:val="-2"/>
          <w:w w:val="105"/>
          <w:sz w:val="12"/>
        </w:rPr>
        <w:t>Carson</w:t>
      </w:r>
      <w:r>
        <w:rPr>
          <w:spacing w:val="-1"/>
          <w:w w:val="105"/>
          <w:sz w:val="12"/>
        </w:rPr>
        <w:t xml:space="preserve"> </w:t>
      </w:r>
      <w:r>
        <w:rPr>
          <w:spacing w:val="-2"/>
          <w:w w:val="105"/>
          <w:sz w:val="12"/>
        </w:rPr>
        <w:t>y</w:t>
      </w:r>
      <w:r>
        <w:rPr>
          <w:w w:val="105"/>
          <w:sz w:val="12"/>
        </w:rPr>
        <w:t xml:space="preserve"> </w:t>
      </w:r>
      <w:r>
        <w:rPr>
          <w:spacing w:val="-2"/>
          <w:w w:val="105"/>
          <w:sz w:val="12"/>
        </w:rPr>
        <w:t>otros</w:t>
      </w:r>
      <w:r>
        <w:rPr>
          <w:spacing w:val="-1"/>
          <w:w w:val="105"/>
          <w:sz w:val="12"/>
        </w:rPr>
        <w:t xml:space="preserve"> </w:t>
      </w:r>
      <w:r>
        <w:rPr>
          <w:spacing w:val="-2"/>
          <w:w w:val="105"/>
          <w:sz w:val="12"/>
        </w:rPr>
        <w:t>contra</w:t>
      </w:r>
      <w:r>
        <w:rPr>
          <w:w w:val="105"/>
          <w:sz w:val="12"/>
        </w:rPr>
        <w:t xml:space="preserve"> </w:t>
      </w:r>
      <w:r>
        <w:rPr>
          <w:spacing w:val="-2"/>
          <w:w w:val="105"/>
          <w:sz w:val="12"/>
        </w:rPr>
        <w:t>el</w:t>
      </w:r>
      <w:r>
        <w:rPr>
          <w:w w:val="105"/>
          <w:sz w:val="12"/>
        </w:rPr>
        <w:t xml:space="preserve"> </w:t>
      </w:r>
      <w:r>
        <w:rPr>
          <w:spacing w:val="-2"/>
          <w:w w:val="105"/>
          <w:sz w:val="12"/>
        </w:rPr>
        <w:t>Reino</w:t>
      </w:r>
      <w:r>
        <w:rPr>
          <w:w w:val="105"/>
          <w:sz w:val="12"/>
        </w:rPr>
        <w:t xml:space="preserve"> </w:t>
      </w:r>
      <w:r>
        <w:rPr>
          <w:spacing w:val="-2"/>
          <w:w w:val="105"/>
          <w:sz w:val="12"/>
        </w:rPr>
        <w:t>Unido,</w:t>
      </w:r>
      <w:r>
        <w:rPr>
          <w:spacing w:val="-1"/>
          <w:w w:val="105"/>
          <w:sz w:val="12"/>
        </w:rPr>
        <w:t xml:space="preserve"> </w:t>
      </w:r>
      <w:r>
        <w:rPr>
          <w:spacing w:val="-2"/>
          <w:w w:val="105"/>
          <w:sz w:val="12"/>
        </w:rPr>
        <w:t>Solicitud</w:t>
      </w:r>
      <w:r>
        <w:rPr>
          <w:spacing w:val="-1"/>
          <w:w w:val="105"/>
          <w:sz w:val="12"/>
        </w:rPr>
        <w:t xml:space="preserve"> </w:t>
      </w:r>
      <w:r>
        <w:rPr>
          <w:spacing w:val="-2"/>
          <w:w w:val="105"/>
          <w:sz w:val="12"/>
        </w:rPr>
        <w:t>No.</w:t>
      </w:r>
      <w:r>
        <w:rPr>
          <w:w w:val="105"/>
          <w:sz w:val="12"/>
        </w:rPr>
        <w:t xml:space="preserve"> </w:t>
      </w:r>
      <w:r>
        <w:rPr>
          <w:spacing w:val="-2"/>
          <w:w w:val="105"/>
          <w:sz w:val="12"/>
        </w:rPr>
        <w:t>42184/05,</w:t>
      </w:r>
      <w:r>
        <w:rPr>
          <w:w w:val="105"/>
          <w:sz w:val="12"/>
        </w:rPr>
        <w:t xml:space="preserve"> </w:t>
      </w:r>
      <w:r>
        <w:rPr>
          <w:spacing w:val="-2"/>
          <w:w w:val="105"/>
          <w:sz w:val="12"/>
        </w:rPr>
        <w:t>Sentencia,</w:t>
      </w:r>
      <w:r>
        <w:rPr>
          <w:w w:val="105"/>
          <w:sz w:val="12"/>
        </w:rPr>
        <w:t xml:space="preserve"> </w:t>
      </w:r>
      <w:r>
        <w:rPr>
          <w:spacing w:val="-2"/>
          <w:w w:val="105"/>
          <w:sz w:val="12"/>
        </w:rPr>
        <w:t>16</w:t>
      </w:r>
      <w:r>
        <w:rPr>
          <w:w w:val="105"/>
          <w:sz w:val="12"/>
        </w:rPr>
        <w:t xml:space="preserve"> </w:t>
      </w:r>
      <w:r>
        <w:rPr>
          <w:spacing w:val="-2"/>
          <w:w w:val="105"/>
          <w:sz w:val="12"/>
        </w:rPr>
        <w:t>de</w:t>
      </w:r>
      <w:r>
        <w:rPr>
          <w:spacing w:val="-1"/>
          <w:w w:val="105"/>
          <w:sz w:val="12"/>
        </w:rPr>
        <w:t xml:space="preserve"> </w:t>
      </w:r>
      <w:r>
        <w:rPr>
          <w:spacing w:val="-2"/>
          <w:w w:val="105"/>
          <w:sz w:val="12"/>
        </w:rPr>
        <w:t>marzo</w:t>
      </w:r>
      <w:r>
        <w:rPr>
          <w:w w:val="105"/>
          <w:sz w:val="12"/>
        </w:rPr>
        <w:t xml:space="preserve"> </w:t>
      </w:r>
      <w:r>
        <w:rPr>
          <w:spacing w:val="-2"/>
          <w:w w:val="105"/>
          <w:sz w:val="12"/>
        </w:rPr>
        <w:t>de</w:t>
      </w:r>
      <w:r>
        <w:rPr>
          <w:w w:val="105"/>
          <w:sz w:val="12"/>
        </w:rPr>
        <w:t xml:space="preserve"> </w:t>
      </w:r>
      <w:r>
        <w:rPr>
          <w:spacing w:val="-2"/>
          <w:w w:val="105"/>
          <w:sz w:val="12"/>
        </w:rPr>
        <w:t>2010,</w:t>
      </w:r>
      <w:r>
        <w:rPr>
          <w:w w:val="105"/>
          <w:sz w:val="12"/>
        </w:rPr>
        <w:t xml:space="preserve"> </w:t>
      </w:r>
      <w:r>
        <w:rPr>
          <w:spacing w:val="-2"/>
          <w:w w:val="105"/>
          <w:sz w:val="12"/>
        </w:rPr>
        <w:t>párr.</w:t>
      </w:r>
      <w:r>
        <w:rPr>
          <w:w w:val="105"/>
          <w:sz w:val="12"/>
        </w:rPr>
        <w:t xml:space="preserve"> </w:t>
      </w:r>
      <w:r>
        <w:rPr>
          <w:spacing w:val="-5"/>
          <w:w w:val="105"/>
          <w:sz w:val="12"/>
        </w:rPr>
        <w:t>70.</w:t>
      </w:r>
    </w:p>
    <w:p w14:paraId="23F8E825" w14:textId="77777777" w:rsidR="0014798C" w:rsidRDefault="0014798C">
      <w:pPr>
        <w:rPr>
          <w:sz w:val="12"/>
        </w:rPr>
        <w:sectPr w:rsidR="0014798C" w:rsidSect="00F265E4">
          <w:type w:val="continuous"/>
          <w:pgSz w:w="11900" w:h="16820"/>
          <w:pgMar w:top="40" w:right="0" w:bottom="280" w:left="200" w:header="121" w:footer="0" w:gutter="0"/>
          <w:cols w:num="2" w:space="720" w:equalWidth="0">
            <w:col w:w="1253" w:space="40"/>
            <w:col w:w="10407"/>
          </w:cols>
        </w:sectPr>
      </w:pPr>
    </w:p>
    <w:p w14:paraId="1EEE9887" w14:textId="77777777" w:rsidR="0014798C" w:rsidRDefault="0014798C">
      <w:pPr>
        <w:pStyle w:val="Textoindependiente"/>
        <w:spacing w:before="6"/>
        <w:rPr>
          <w:sz w:val="14"/>
        </w:rPr>
      </w:pPr>
    </w:p>
    <w:p w14:paraId="425E38A7" w14:textId="77777777" w:rsidR="0014798C" w:rsidRDefault="0014798C">
      <w:pPr>
        <w:rPr>
          <w:sz w:val="14"/>
        </w:rPr>
        <w:sectPr w:rsidR="0014798C" w:rsidSect="00F265E4">
          <w:type w:val="continuous"/>
          <w:pgSz w:w="11900" w:h="16820"/>
          <w:pgMar w:top="40" w:right="0" w:bottom="280" w:left="200" w:header="121" w:footer="0" w:gutter="0"/>
          <w:cols w:space="720"/>
        </w:sectPr>
      </w:pPr>
    </w:p>
    <w:p w14:paraId="33B02EB1" w14:textId="77777777" w:rsidR="0014798C" w:rsidRDefault="0014798C">
      <w:pPr>
        <w:pStyle w:val="Textoindependiente"/>
        <w:spacing w:before="9"/>
        <w:rPr>
          <w:sz w:val="8"/>
        </w:rPr>
      </w:pPr>
    </w:p>
    <w:p w14:paraId="08FC15D8" w14:textId="77777777" w:rsidR="0014798C" w:rsidRDefault="004E1F0B">
      <w:pPr>
        <w:spacing w:before="1"/>
        <w:jc w:val="right"/>
        <w:rPr>
          <w:sz w:val="8"/>
        </w:rPr>
      </w:pPr>
      <w:r>
        <w:rPr>
          <w:spacing w:val="-5"/>
          <w:w w:val="105"/>
          <w:sz w:val="8"/>
        </w:rPr>
        <w:t>137</w:t>
      </w:r>
    </w:p>
    <w:p w14:paraId="49DEB544" w14:textId="77777777" w:rsidR="0014798C" w:rsidRDefault="004E1F0B">
      <w:pPr>
        <w:spacing w:before="112"/>
        <w:ind w:left="75"/>
        <w:rPr>
          <w:sz w:val="12"/>
        </w:rPr>
      </w:pPr>
      <w:r>
        <w:br w:type="column"/>
      </w:r>
      <w:r>
        <w:rPr>
          <w:spacing w:val="-2"/>
          <w:w w:val="105"/>
          <w:sz w:val="12"/>
        </w:rPr>
        <w:t>Tribunal</w:t>
      </w:r>
      <w:r>
        <w:rPr>
          <w:spacing w:val="-1"/>
          <w:w w:val="105"/>
          <w:sz w:val="12"/>
        </w:rPr>
        <w:t xml:space="preserve"> </w:t>
      </w:r>
      <w:r>
        <w:rPr>
          <w:spacing w:val="-2"/>
          <w:w w:val="105"/>
          <w:sz w:val="12"/>
        </w:rPr>
        <w:t>Europeo</w:t>
      </w:r>
      <w:r>
        <w:rPr>
          <w:w w:val="105"/>
          <w:sz w:val="12"/>
        </w:rPr>
        <w:t xml:space="preserve"> </w:t>
      </w:r>
      <w:r>
        <w:rPr>
          <w:spacing w:val="-2"/>
          <w:w w:val="105"/>
          <w:sz w:val="12"/>
        </w:rPr>
        <w:t>de</w:t>
      </w:r>
      <w:r>
        <w:rPr>
          <w:w w:val="105"/>
          <w:sz w:val="12"/>
        </w:rPr>
        <w:t xml:space="preserve"> </w:t>
      </w:r>
      <w:r>
        <w:rPr>
          <w:spacing w:val="-2"/>
          <w:w w:val="105"/>
          <w:sz w:val="12"/>
        </w:rPr>
        <w:t>Derechos</w:t>
      </w:r>
      <w:r>
        <w:rPr>
          <w:w w:val="105"/>
          <w:sz w:val="12"/>
        </w:rPr>
        <w:t xml:space="preserve"> </w:t>
      </w:r>
      <w:r>
        <w:rPr>
          <w:spacing w:val="-2"/>
          <w:w w:val="105"/>
          <w:sz w:val="12"/>
        </w:rPr>
        <w:t>Humanos,</w:t>
      </w:r>
      <w:r>
        <w:rPr>
          <w:w w:val="105"/>
          <w:sz w:val="12"/>
        </w:rPr>
        <w:t xml:space="preserve"> </w:t>
      </w:r>
      <w:r>
        <w:rPr>
          <w:spacing w:val="-2"/>
          <w:w w:val="105"/>
          <w:sz w:val="12"/>
        </w:rPr>
        <w:t>Clift</w:t>
      </w:r>
      <w:r>
        <w:rPr>
          <w:spacing w:val="-1"/>
          <w:w w:val="105"/>
          <w:sz w:val="12"/>
        </w:rPr>
        <w:t xml:space="preserve"> </w:t>
      </w:r>
      <w:r>
        <w:rPr>
          <w:spacing w:val="-2"/>
          <w:w w:val="105"/>
          <w:sz w:val="12"/>
        </w:rPr>
        <w:t>v.</w:t>
      </w:r>
      <w:r>
        <w:rPr>
          <w:w w:val="105"/>
          <w:sz w:val="12"/>
        </w:rPr>
        <w:t xml:space="preserve"> </w:t>
      </w:r>
      <w:proofErr w:type="spellStart"/>
      <w:r>
        <w:rPr>
          <w:spacing w:val="-2"/>
          <w:w w:val="105"/>
          <w:sz w:val="12"/>
        </w:rPr>
        <w:t>the</w:t>
      </w:r>
      <w:proofErr w:type="spellEnd"/>
      <w:r>
        <w:rPr>
          <w:w w:val="105"/>
          <w:sz w:val="12"/>
        </w:rPr>
        <w:t xml:space="preserve"> </w:t>
      </w:r>
      <w:proofErr w:type="spellStart"/>
      <w:r>
        <w:rPr>
          <w:spacing w:val="-2"/>
          <w:w w:val="105"/>
          <w:sz w:val="12"/>
        </w:rPr>
        <w:t>United</w:t>
      </w:r>
      <w:proofErr w:type="spellEnd"/>
      <w:r>
        <w:rPr>
          <w:w w:val="105"/>
          <w:sz w:val="12"/>
        </w:rPr>
        <w:t xml:space="preserve"> </w:t>
      </w:r>
      <w:proofErr w:type="spellStart"/>
      <w:r>
        <w:rPr>
          <w:spacing w:val="-2"/>
          <w:w w:val="105"/>
          <w:sz w:val="12"/>
        </w:rPr>
        <w:t>Kingdom</w:t>
      </w:r>
      <w:proofErr w:type="spellEnd"/>
      <w:r>
        <w:rPr>
          <w:spacing w:val="-2"/>
          <w:w w:val="105"/>
          <w:sz w:val="12"/>
        </w:rPr>
        <w:t>,</w:t>
      </w:r>
      <w:r>
        <w:rPr>
          <w:w w:val="105"/>
          <w:sz w:val="12"/>
        </w:rPr>
        <w:t xml:space="preserve"> </w:t>
      </w:r>
      <w:r>
        <w:rPr>
          <w:spacing w:val="-2"/>
          <w:w w:val="105"/>
          <w:sz w:val="12"/>
        </w:rPr>
        <w:t>Solicitud No.</w:t>
      </w:r>
      <w:r>
        <w:rPr>
          <w:w w:val="105"/>
          <w:sz w:val="12"/>
        </w:rPr>
        <w:t xml:space="preserve"> </w:t>
      </w:r>
      <w:r>
        <w:rPr>
          <w:spacing w:val="-2"/>
          <w:w w:val="105"/>
          <w:sz w:val="12"/>
        </w:rPr>
        <w:t>7205/07,</w:t>
      </w:r>
      <w:r>
        <w:rPr>
          <w:w w:val="105"/>
          <w:sz w:val="12"/>
        </w:rPr>
        <w:t xml:space="preserve"> </w:t>
      </w:r>
      <w:r>
        <w:rPr>
          <w:spacing w:val="-2"/>
          <w:w w:val="105"/>
          <w:sz w:val="12"/>
        </w:rPr>
        <w:t>Sentencia</w:t>
      </w:r>
      <w:r>
        <w:rPr>
          <w:spacing w:val="-1"/>
          <w:w w:val="105"/>
          <w:sz w:val="12"/>
        </w:rPr>
        <w:t xml:space="preserve"> </w:t>
      </w:r>
      <w:r>
        <w:rPr>
          <w:spacing w:val="-2"/>
          <w:w w:val="105"/>
          <w:sz w:val="12"/>
        </w:rPr>
        <w:t>de</w:t>
      </w:r>
      <w:r>
        <w:rPr>
          <w:w w:val="105"/>
          <w:sz w:val="12"/>
        </w:rPr>
        <w:t xml:space="preserve"> </w:t>
      </w:r>
      <w:r>
        <w:rPr>
          <w:spacing w:val="-2"/>
          <w:w w:val="105"/>
          <w:sz w:val="12"/>
        </w:rPr>
        <w:t>13</w:t>
      </w:r>
      <w:r>
        <w:rPr>
          <w:spacing w:val="-1"/>
          <w:w w:val="105"/>
          <w:sz w:val="12"/>
        </w:rPr>
        <w:t xml:space="preserve"> </w:t>
      </w:r>
      <w:r>
        <w:rPr>
          <w:spacing w:val="-2"/>
          <w:w w:val="105"/>
          <w:sz w:val="12"/>
        </w:rPr>
        <w:t>de</w:t>
      </w:r>
      <w:r>
        <w:rPr>
          <w:w w:val="105"/>
          <w:sz w:val="12"/>
        </w:rPr>
        <w:t xml:space="preserve"> </w:t>
      </w:r>
      <w:r>
        <w:rPr>
          <w:spacing w:val="-2"/>
          <w:w w:val="105"/>
          <w:sz w:val="12"/>
        </w:rPr>
        <w:t>julio</w:t>
      </w:r>
      <w:r>
        <w:rPr>
          <w:w w:val="105"/>
          <w:sz w:val="12"/>
        </w:rPr>
        <w:t xml:space="preserve"> </w:t>
      </w:r>
      <w:r>
        <w:rPr>
          <w:spacing w:val="-2"/>
          <w:w w:val="105"/>
          <w:sz w:val="12"/>
        </w:rPr>
        <w:t>de</w:t>
      </w:r>
      <w:r>
        <w:rPr>
          <w:w w:val="105"/>
          <w:sz w:val="12"/>
        </w:rPr>
        <w:t xml:space="preserve"> </w:t>
      </w:r>
      <w:r>
        <w:rPr>
          <w:spacing w:val="-2"/>
          <w:w w:val="105"/>
          <w:sz w:val="12"/>
        </w:rPr>
        <w:t>2010,</w:t>
      </w:r>
      <w:r>
        <w:rPr>
          <w:w w:val="105"/>
          <w:sz w:val="12"/>
        </w:rPr>
        <w:t xml:space="preserve"> </w:t>
      </w:r>
      <w:proofErr w:type="spellStart"/>
      <w:r>
        <w:rPr>
          <w:spacing w:val="-2"/>
          <w:w w:val="105"/>
          <w:sz w:val="12"/>
        </w:rPr>
        <w:t>párrs</w:t>
      </w:r>
      <w:proofErr w:type="spellEnd"/>
      <w:r>
        <w:rPr>
          <w:spacing w:val="-2"/>
          <w:w w:val="105"/>
          <w:sz w:val="12"/>
        </w:rPr>
        <w:t>.</w:t>
      </w:r>
      <w:r>
        <w:rPr>
          <w:w w:val="105"/>
          <w:sz w:val="12"/>
        </w:rPr>
        <w:t xml:space="preserve"> </w:t>
      </w:r>
      <w:r>
        <w:rPr>
          <w:spacing w:val="-2"/>
          <w:w w:val="105"/>
          <w:sz w:val="12"/>
        </w:rPr>
        <w:t>56–59.</w:t>
      </w:r>
    </w:p>
    <w:p w14:paraId="7FDCDB93" w14:textId="77777777" w:rsidR="0014798C" w:rsidRDefault="0014798C">
      <w:pPr>
        <w:rPr>
          <w:sz w:val="12"/>
        </w:rPr>
        <w:sectPr w:rsidR="0014798C" w:rsidSect="00F265E4">
          <w:type w:val="continuous"/>
          <w:pgSz w:w="11900" w:h="16820"/>
          <w:pgMar w:top="40" w:right="0" w:bottom="280" w:left="200" w:header="121" w:footer="0" w:gutter="0"/>
          <w:cols w:num="2" w:space="720" w:equalWidth="0">
            <w:col w:w="1253" w:space="40"/>
            <w:col w:w="10407"/>
          </w:cols>
        </w:sectPr>
      </w:pPr>
    </w:p>
    <w:p w14:paraId="56E0897E" w14:textId="77777777" w:rsidR="0014798C" w:rsidRDefault="004E1F0B">
      <w:pPr>
        <w:spacing w:before="98"/>
        <w:ind w:left="1111"/>
        <w:rPr>
          <w:sz w:val="12"/>
        </w:rPr>
      </w:pPr>
      <w:r>
        <w:rPr>
          <w:spacing w:val="-2"/>
          <w:w w:val="105"/>
          <w:sz w:val="12"/>
        </w:rPr>
        <w:t>138</w:t>
      </w:r>
      <w:r>
        <w:rPr>
          <w:spacing w:val="-1"/>
          <w:w w:val="105"/>
          <w:sz w:val="12"/>
        </w:rPr>
        <w:t xml:space="preserve"> </w:t>
      </w:r>
      <w:r>
        <w:rPr>
          <w:spacing w:val="-2"/>
          <w:w w:val="105"/>
          <w:sz w:val="12"/>
        </w:rPr>
        <w:t>Comisión</w:t>
      </w:r>
      <w:r>
        <w:rPr>
          <w:w w:val="105"/>
          <w:sz w:val="12"/>
        </w:rPr>
        <w:t xml:space="preserve"> </w:t>
      </w:r>
      <w:r>
        <w:rPr>
          <w:spacing w:val="-2"/>
          <w:w w:val="105"/>
          <w:sz w:val="12"/>
        </w:rPr>
        <w:t>Interamericana</w:t>
      </w:r>
      <w:r>
        <w:rPr>
          <w:spacing w:val="-1"/>
          <w:w w:val="105"/>
          <w:sz w:val="12"/>
        </w:rPr>
        <w:t xml:space="preserve"> </w:t>
      </w:r>
      <w:r>
        <w:rPr>
          <w:spacing w:val="-2"/>
          <w:w w:val="105"/>
          <w:sz w:val="12"/>
        </w:rPr>
        <w:t>de</w:t>
      </w:r>
      <w:r>
        <w:rPr>
          <w:w w:val="105"/>
          <w:sz w:val="12"/>
        </w:rPr>
        <w:t xml:space="preserve"> </w:t>
      </w:r>
      <w:r>
        <w:rPr>
          <w:spacing w:val="-2"/>
          <w:w w:val="105"/>
          <w:sz w:val="12"/>
        </w:rPr>
        <w:t>Derechos</w:t>
      </w:r>
      <w:r>
        <w:rPr>
          <w:spacing w:val="-1"/>
          <w:w w:val="105"/>
          <w:sz w:val="12"/>
        </w:rPr>
        <w:t xml:space="preserve"> </w:t>
      </w:r>
      <w:r>
        <w:rPr>
          <w:spacing w:val="-2"/>
          <w:w w:val="105"/>
          <w:sz w:val="12"/>
        </w:rPr>
        <w:t>Humanos,</w:t>
      </w:r>
      <w:r>
        <w:rPr>
          <w:w w:val="105"/>
          <w:sz w:val="12"/>
        </w:rPr>
        <w:t xml:space="preserve"> </w:t>
      </w:r>
      <w:r>
        <w:rPr>
          <w:spacing w:val="-2"/>
          <w:w w:val="105"/>
          <w:sz w:val="12"/>
        </w:rPr>
        <w:t>Duque</w:t>
      </w:r>
      <w:r>
        <w:rPr>
          <w:spacing w:val="-1"/>
          <w:w w:val="105"/>
          <w:sz w:val="12"/>
        </w:rPr>
        <w:t xml:space="preserve"> </w:t>
      </w:r>
      <w:r>
        <w:rPr>
          <w:spacing w:val="-2"/>
          <w:w w:val="105"/>
          <w:sz w:val="12"/>
        </w:rPr>
        <w:t>vs.</w:t>
      </w:r>
      <w:r>
        <w:rPr>
          <w:w w:val="105"/>
          <w:sz w:val="12"/>
        </w:rPr>
        <w:t xml:space="preserve"> </w:t>
      </w:r>
      <w:r>
        <w:rPr>
          <w:spacing w:val="-2"/>
          <w:w w:val="105"/>
          <w:sz w:val="12"/>
        </w:rPr>
        <w:t>Colombia,</w:t>
      </w:r>
      <w:r>
        <w:rPr>
          <w:w w:val="105"/>
          <w:sz w:val="12"/>
        </w:rPr>
        <w:t xml:space="preserve"> </w:t>
      </w:r>
      <w:r>
        <w:rPr>
          <w:spacing w:val="-2"/>
          <w:w w:val="105"/>
          <w:sz w:val="12"/>
        </w:rPr>
        <w:t>Caso</w:t>
      </w:r>
      <w:r>
        <w:rPr>
          <w:spacing w:val="-1"/>
          <w:w w:val="105"/>
          <w:sz w:val="12"/>
        </w:rPr>
        <w:t xml:space="preserve"> </w:t>
      </w:r>
      <w:r>
        <w:rPr>
          <w:spacing w:val="-2"/>
          <w:w w:val="105"/>
          <w:sz w:val="12"/>
        </w:rPr>
        <w:t>12.841,</w:t>
      </w:r>
      <w:r>
        <w:rPr>
          <w:w w:val="105"/>
          <w:sz w:val="12"/>
        </w:rPr>
        <w:t xml:space="preserve"> </w:t>
      </w:r>
      <w:r>
        <w:rPr>
          <w:spacing w:val="-2"/>
          <w:w w:val="105"/>
          <w:sz w:val="12"/>
        </w:rPr>
        <w:t>Informe No.</w:t>
      </w:r>
      <w:r>
        <w:rPr>
          <w:w w:val="105"/>
          <w:sz w:val="12"/>
        </w:rPr>
        <w:t xml:space="preserve"> </w:t>
      </w:r>
      <w:r>
        <w:rPr>
          <w:spacing w:val="-2"/>
          <w:w w:val="105"/>
          <w:sz w:val="12"/>
        </w:rPr>
        <w:t>5/14,</w:t>
      </w:r>
      <w:r>
        <w:rPr>
          <w:spacing w:val="-1"/>
          <w:w w:val="105"/>
          <w:sz w:val="12"/>
        </w:rPr>
        <w:t xml:space="preserve"> </w:t>
      </w:r>
      <w:r>
        <w:rPr>
          <w:spacing w:val="-2"/>
          <w:w w:val="105"/>
          <w:sz w:val="12"/>
        </w:rPr>
        <w:t>Fondo,</w:t>
      </w:r>
      <w:r>
        <w:rPr>
          <w:w w:val="105"/>
          <w:sz w:val="12"/>
        </w:rPr>
        <w:t xml:space="preserve"> </w:t>
      </w:r>
      <w:r>
        <w:rPr>
          <w:spacing w:val="-2"/>
          <w:w w:val="105"/>
          <w:sz w:val="12"/>
        </w:rPr>
        <w:t>2</w:t>
      </w:r>
      <w:r>
        <w:rPr>
          <w:spacing w:val="-1"/>
          <w:w w:val="105"/>
          <w:sz w:val="12"/>
        </w:rPr>
        <w:t xml:space="preserve"> </w:t>
      </w:r>
      <w:r>
        <w:rPr>
          <w:spacing w:val="-2"/>
          <w:w w:val="105"/>
          <w:sz w:val="12"/>
        </w:rPr>
        <w:t>de</w:t>
      </w:r>
      <w:r>
        <w:rPr>
          <w:w w:val="105"/>
          <w:sz w:val="12"/>
        </w:rPr>
        <w:t xml:space="preserve"> </w:t>
      </w:r>
      <w:r>
        <w:rPr>
          <w:spacing w:val="-2"/>
          <w:w w:val="105"/>
          <w:sz w:val="12"/>
        </w:rPr>
        <w:t>abril</w:t>
      </w:r>
      <w:r>
        <w:rPr>
          <w:w w:val="105"/>
          <w:sz w:val="12"/>
        </w:rPr>
        <w:t xml:space="preserve"> </w:t>
      </w:r>
      <w:r>
        <w:rPr>
          <w:spacing w:val="-2"/>
          <w:w w:val="105"/>
          <w:sz w:val="12"/>
        </w:rPr>
        <w:t>de</w:t>
      </w:r>
      <w:r>
        <w:rPr>
          <w:spacing w:val="-1"/>
          <w:w w:val="105"/>
          <w:sz w:val="12"/>
        </w:rPr>
        <w:t xml:space="preserve"> </w:t>
      </w:r>
      <w:r>
        <w:rPr>
          <w:spacing w:val="-2"/>
          <w:w w:val="105"/>
          <w:sz w:val="12"/>
        </w:rPr>
        <w:t>2014,</w:t>
      </w:r>
      <w:r>
        <w:rPr>
          <w:w w:val="105"/>
          <w:sz w:val="12"/>
        </w:rPr>
        <w:t xml:space="preserve"> </w:t>
      </w:r>
      <w:r>
        <w:rPr>
          <w:spacing w:val="-2"/>
          <w:w w:val="105"/>
          <w:sz w:val="12"/>
        </w:rPr>
        <w:t>párr.</w:t>
      </w:r>
      <w:r>
        <w:rPr>
          <w:spacing w:val="-1"/>
          <w:w w:val="105"/>
          <w:sz w:val="12"/>
        </w:rPr>
        <w:t xml:space="preserve"> </w:t>
      </w:r>
      <w:r>
        <w:rPr>
          <w:spacing w:val="-5"/>
          <w:w w:val="105"/>
          <w:sz w:val="12"/>
        </w:rPr>
        <w:t>64.</w:t>
      </w:r>
    </w:p>
    <w:p w14:paraId="7F07809C" w14:textId="77777777" w:rsidR="0014798C" w:rsidRDefault="0014798C">
      <w:pPr>
        <w:pStyle w:val="Textoindependiente"/>
        <w:spacing w:before="37"/>
        <w:rPr>
          <w:sz w:val="10"/>
        </w:rPr>
      </w:pPr>
    </w:p>
    <w:p w14:paraId="5DDDD8B5" w14:textId="77777777" w:rsidR="0014798C" w:rsidRDefault="004E1F0B">
      <w:pPr>
        <w:ind w:left="1111"/>
        <w:rPr>
          <w:sz w:val="10"/>
        </w:rPr>
      </w:pPr>
      <w:r>
        <w:rPr>
          <w:w w:val="105"/>
          <w:sz w:val="10"/>
        </w:rPr>
        <w:t>139</w:t>
      </w:r>
      <w:r>
        <w:rPr>
          <w:spacing w:val="-7"/>
          <w:w w:val="105"/>
          <w:sz w:val="10"/>
        </w:rPr>
        <w:t xml:space="preserve"> </w:t>
      </w:r>
      <w:r>
        <w:rPr>
          <w:w w:val="105"/>
          <w:sz w:val="10"/>
        </w:rPr>
        <w:t>Ley</w:t>
      </w:r>
      <w:r>
        <w:rPr>
          <w:spacing w:val="-7"/>
          <w:w w:val="105"/>
          <w:sz w:val="10"/>
        </w:rPr>
        <w:t xml:space="preserve"> </w:t>
      </w:r>
      <w:r>
        <w:rPr>
          <w:w w:val="105"/>
          <w:sz w:val="10"/>
        </w:rPr>
        <w:t>de</w:t>
      </w:r>
      <w:r>
        <w:rPr>
          <w:spacing w:val="-6"/>
          <w:w w:val="105"/>
          <w:sz w:val="10"/>
        </w:rPr>
        <w:t xml:space="preserve"> </w:t>
      </w:r>
      <w:r>
        <w:rPr>
          <w:w w:val="105"/>
          <w:sz w:val="10"/>
        </w:rPr>
        <w:t>Promoción</w:t>
      </w:r>
      <w:r>
        <w:rPr>
          <w:spacing w:val="-7"/>
          <w:w w:val="105"/>
          <w:sz w:val="10"/>
        </w:rPr>
        <w:t xml:space="preserve"> </w:t>
      </w:r>
      <w:r>
        <w:rPr>
          <w:w w:val="105"/>
          <w:sz w:val="10"/>
        </w:rPr>
        <w:t>de</w:t>
      </w:r>
      <w:r>
        <w:rPr>
          <w:spacing w:val="-7"/>
          <w:w w:val="105"/>
          <w:sz w:val="10"/>
        </w:rPr>
        <w:t xml:space="preserve"> </w:t>
      </w:r>
      <w:r>
        <w:rPr>
          <w:w w:val="105"/>
          <w:sz w:val="10"/>
        </w:rPr>
        <w:t>la</w:t>
      </w:r>
      <w:r>
        <w:rPr>
          <w:spacing w:val="-6"/>
          <w:w w:val="105"/>
          <w:sz w:val="10"/>
        </w:rPr>
        <w:t xml:space="preserve"> </w:t>
      </w:r>
      <w:r>
        <w:rPr>
          <w:w w:val="105"/>
          <w:sz w:val="10"/>
        </w:rPr>
        <w:t>Igualdad</w:t>
      </w:r>
      <w:r>
        <w:rPr>
          <w:spacing w:val="-7"/>
          <w:w w:val="105"/>
          <w:sz w:val="10"/>
        </w:rPr>
        <w:t xml:space="preserve"> </w:t>
      </w:r>
      <w:r>
        <w:rPr>
          <w:w w:val="105"/>
          <w:sz w:val="10"/>
        </w:rPr>
        <w:t>y</w:t>
      </w:r>
      <w:r>
        <w:rPr>
          <w:spacing w:val="-7"/>
          <w:w w:val="105"/>
          <w:sz w:val="10"/>
        </w:rPr>
        <w:t xml:space="preserve"> </w:t>
      </w:r>
      <w:r>
        <w:rPr>
          <w:w w:val="105"/>
          <w:sz w:val="10"/>
        </w:rPr>
        <w:t>Prevención</w:t>
      </w:r>
      <w:r>
        <w:rPr>
          <w:spacing w:val="-6"/>
          <w:w w:val="105"/>
          <w:sz w:val="10"/>
        </w:rPr>
        <w:t xml:space="preserve"> </w:t>
      </w:r>
      <w:r>
        <w:rPr>
          <w:w w:val="105"/>
          <w:sz w:val="10"/>
        </w:rPr>
        <w:t>de</w:t>
      </w:r>
      <w:r>
        <w:rPr>
          <w:spacing w:val="-7"/>
          <w:w w:val="105"/>
          <w:sz w:val="10"/>
        </w:rPr>
        <w:t xml:space="preserve"> </w:t>
      </w:r>
      <w:r>
        <w:rPr>
          <w:w w:val="105"/>
          <w:sz w:val="10"/>
        </w:rPr>
        <w:t>la</w:t>
      </w:r>
      <w:r>
        <w:rPr>
          <w:spacing w:val="-7"/>
          <w:w w:val="105"/>
          <w:sz w:val="10"/>
        </w:rPr>
        <w:t xml:space="preserve"> </w:t>
      </w:r>
      <w:r>
        <w:rPr>
          <w:w w:val="105"/>
          <w:sz w:val="10"/>
        </w:rPr>
        <w:t>Discriminación</w:t>
      </w:r>
      <w:r>
        <w:rPr>
          <w:spacing w:val="-6"/>
          <w:w w:val="105"/>
          <w:sz w:val="10"/>
        </w:rPr>
        <w:t xml:space="preserve"> </w:t>
      </w:r>
      <w:r>
        <w:rPr>
          <w:w w:val="105"/>
          <w:sz w:val="10"/>
        </w:rPr>
        <w:t>Injusta,</w:t>
      </w:r>
      <w:r>
        <w:rPr>
          <w:spacing w:val="-7"/>
          <w:w w:val="105"/>
          <w:sz w:val="10"/>
        </w:rPr>
        <w:t xml:space="preserve"> </w:t>
      </w:r>
      <w:r>
        <w:rPr>
          <w:w w:val="105"/>
          <w:sz w:val="10"/>
        </w:rPr>
        <w:t>2000,</w:t>
      </w:r>
      <w:r>
        <w:rPr>
          <w:spacing w:val="-7"/>
          <w:w w:val="105"/>
          <w:sz w:val="10"/>
        </w:rPr>
        <w:t xml:space="preserve"> </w:t>
      </w:r>
      <w:r>
        <w:rPr>
          <w:w w:val="105"/>
          <w:sz w:val="10"/>
        </w:rPr>
        <w:t>art.</w:t>
      </w:r>
      <w:r>
        <w:rPr>
          <w:spacing w:val="-6"/>
          <w:w w:val="105"/>
          <w:sz w:val="10"/>
        </w:rPr>
        <w:t xml:space="preserve"> </w:t>
      </w:r>
      <w:r>
        <w:rPr>
          <w:spacing w:val="-5"/>
          <w:w w:val="105"/>
          <w:sz w:val="10"/>
        </w:rPr>
        <w:t>1.</w:t>
      </w:r>
    </w:p>
    <w:p w14:paraId="22CF714C" w14:textId="77777777" w:rsidR="0014798C" w:rsidRDefault="004E1F0B">
      <w:pPr>
        <w:spacing w:before="113" w:line="374" w:lineRule="auto"/>
        <w:ind w:left="1366" w:right="2337" w:hanging="256"/>
        <w:rPr>
          <w:sz w:val="10"/>
        </w:rPr>
      </w:pPr>
      <w:r>
        <w:rPr>
          <w:w w:val="105"/>
          <w:sz w:val="10"/>
        </w:rPr>
        <w:t>140</w:t>
      </w:r>
      <w:r>
        <w:rPr>
          <w:spacing w:val="-7"/>
          <w:w w:val="105"/>
          <w:sz w:val="10"/>
        </w:rPr>
        <w:t xml:space="preserve"> </w:t>
      </w:r>
      <w:proofErr w:type="spellStart"/>
      <w:r>
        <w:rPr>
          <w:w w:val="105"/>
          <w:sz w:val="10"/>
        </w:rPr>
        <w:t>Equal</w:t>
      </w:r>
      <w:proofErr w:type="spellEnd"/>
      <w:r>
        <w:rPr>
          <w:spacing w:val="-7"/>
          <w:w w:val="105"/>
          <w:sz w:val="10"/>
        </w:rPr>
        <w:t xml:space="preserve"> </w:t>
      </w:r>
      <w:proofErr w:type="spellStart"/>
      <w:r>
        <w:rPr>
          <w:w w:val="105"/>
          <w:sz w:val="10"/>
        </w:rPr>
        <w:t>Rights</w:t>
      </w:r>
      <w:proofErr w:type="spellEnd"/>
      <w:r>
        <w:rPr>
          <w:spacing w:val="-8"/>
          <w:w w:val="105"/>
          <w:sz w:val="10"/>
        </w:rPr>
        <w:t xml:space="preserve"> </w:t>
      </w:r>
      <w:r>
        <w:rPr>
          <w:w w:val="105"/>
          <w:sz w:val="10"/>
        </w:rPr>
        <w:t>Trust,</w:t>
      </w:r>
      <w:r>
        <w:rPr>
          <w:spacing w:val="-6"/>
          <w:w w:val="105"/>
          <w:sz w:val="10"/>
        </w:rPr>
        <w:t xml:space="preserve"> </w:t>
      </w:r>
      <w:r>
        <w:rPr>
          <w:w w:val="105"/>
          <w:sz w:val="10"/>
        </w:rPr>
        <w:t>Declaración</w:t>
      </w:r>
      <w:r>
        <w:rPr>
          <w:spacing w:val="-7"/>
          <w:w w:val="105"/>
          <w:sz w:val="10"/>
        </w:rPr>
        <w:t xml:space="preserve"> </w:t>
      </w:r>
      <w:r>
        <w:rPr>
          <w:w w:val="105"/>
          <w:sz w:val="10"/>
        </w:rPr>
        <w:t>de</w:t>
      </w:r>
      <w:r>
        <w:rPr>
          <w:spacing w:val="-7"/>
          <w:w w:val="105"/>
          <w:sz w:val="10"/>
        </w:rPr>
        <w:t xml:space="preserve"> </w:t>
      </w:r>
      <w:r>
        <w:rPr>
          <w:w w:val="105"/>
          <w:sz w:val="10"/>
        </w:rPr>
        <w:t>Principios</w:t>
      </w:r>
      <w:r>
        <w:rPr>
          <w:spacing w:val="-8"/>
          <w:w w:val="105"/>
          <w:sz w:val="10"/>
        </w:rPr>
        <w:t xml:space="preserve"> </w:t>
      </w:r>
      <w:r>
        <w:rPr>
          <w:w w:val="105"/>
          <w:sz w:val="10"/>
        </w:rPr>
        <w:t>sobre</w:t>
      </w:r>
      <w:r>
        <w:rPr>
          <w:spacing w:val="-6"/>
          <w:w w:val="105"/>
          <w:sz w:val="10"/>
        </w:rPr>
        <w:t xml:space="preserve"> </w:t>
      </w:r>
      <w:r>
        <w:rPr>
          <w:w w:val="105"/>
          <w:sz w:val="10"/>
        </w:rPr>
        <w:t>Igualdad,</w:t>
      </w:r>
      <w:r>
        <w:rPr>
          <w:spacing w:val="-7"/>
          <w:w w:val="105"/>
          <w:sz w:val="10"/>
        </w:rPr>
        <w:t xml:space="preserve"> </w:t>
      </w:r>
      <w:r>
        <w:rPr>
          <w:w w:val="105"/>
          <w:sz w:val="10"/>
        </w:rPr>
        <w:t>principio</w:t>
      </w:r>
      <w:r>
        <w:rPr>
          <w:spacing w:val="-7"/>
          <w:w w:val="105"/>
          <w:sz w:val="10"/>
        </w:rPr>
        <w:t xml:space="preserve"> </w:t>
      </w:r>
      <w:r>
        <w:rPr>
          <w:w w:val="95"/>
          <w:sz w:val="10"/>
        </w:rPr>
        <w:t>5;</w:t>
      </w:r>
      <w:r>
        <w:rPr>
          <w:spacing w:val="-4"/>
          <w:w w:val="95"/>
          <w:sz w:val="10"/>
        </w:rPr>
        <w:t xml:space="preserve"> </w:t>
      </w:r>
      <w:r>
        <w:rPr>
          <w:w w:val="105"/>
          <w:sz w:val="10"/>
        </w:rPr>
        <w:t>y</w:t>
      </w:r>
      <w:r>
        <w:rPr>
          <w:spacing w:val="-7"/>
          <w:w w:val="105"/>
          <w:sz w:val="10"/>
        </w:rPr>
        <w:t xml:space="preserve"> </w:t>
      </w:r>
      <w:r>
        <w:rPr>
          <w:w w:val="105"/>
          <w:sz w:val="10"/>
        </w:rPr>
        <w:t>Asamblea</w:t>
      </w:r>
      <w:r>
        <w:rPr>
          <w:spacing w:val="-7"/>
          <w:w w:val="105"/>
          <w:sz w:val="10"/>
        </w:rPr>
        <w:t xml:space="preserve"> </w:t>
      </w:r>
      <w:r>
        <w:rPr>
          <w:w w:val="105"/>
          <w:sz w:val="10"/>
        </w:rPr>
        <w:t>Parlamentaria</w:t>
      </w:r>
      <w:r>
        <w:rPr>
          <w:spacing w:val="-8"/>
          <w:w w:val="105"/>
          <w:sz w:val="10"/>
        </w:rPr>
        <w:t xml:space="preserve"> </w:t>
      </w:r>
      <w:r>
        <w:rPr>
          <w:w w:val="105"/>
          <w:sz w:val="10"/>
        </w:rPr>
        <w:t>del</w:t>
      </w:r>
      <w:r>
        <w:rPr>
          <w:spacing w:val="-6"/>
          <w:w w:val="105"/>
          <w:sz w:val="10"/>
        </w:rPr>
        <w:t xml:space="preserve"> </w:t>
      </w:r>
      <w:r>
        <w:rPr>
          <w:w w:val="105"/>
          <w:sz w:val="10"/>
        </w:rPr>
        <w:t>Consejo</w:t>
      </w:r>
      <w:r>
        <w:rPr>
          <w:spacing w:val="-7"/>
          <w:w w:val="105"/>
          <w:sz w:val="10"/>
        </w:rPr>
        <w:t xml:space="preserve"> </w:t>
      </w:r>
      <w:r>
        <w:rPr>
          <w:w w:val="105"/>
          <w:sz w:val="10"/>
        </w:rPr>
        <w:t>de</w:t>
      </w:r>
      <w:r>
        <w:rPr>
          <w:spacing w:val="-7"/>
          <w:w w:val="105"/>
          <w:sz w:val="10"/>
        </w:rPr>
        <w:t xml:space="preserve"> </w:t>
      </w:r>
      <w:r>
        <w:rPr>
          <w:w w:val="105"/>
          <w:sz w:val="10"/>
        </w:rPr>
        <w:t>Europa,</w:t>
      </w:r>
      <w:r>
        <w:rPr>
          <w:spacing w:val="-7"/>
          <w:w w:val="105"/>
          <w:sz w:val="10"/>
        </w:rPr>
        <w:t xml:space="preserve"> </w:t>
      </w:r>
      <w:r>
        <w:rPr>
          <w:w w:val="105"/>
          <w:sz w:val="10"/>
        </w:rPr>
        <w:t>resolución</w:t>
      </w:r>
      <w:r>
        <w:rPr>
          <w:spacing w:val="-7"/>
          <w:w w:val="105"/>
          <w:sz w:val="10"/>
        </w:rPr>
        <w:t xml:space="preserve"> </w:t>
      </w:r>
      <w:r>
        <w:rPr>
          <w:w w:val="105"/>
          <w:sz w:val="10"/>
        </w:rPr>
        <w:t>1844</w:t>
      </w:r>
      <w:r>
        <w:rPr>
          <w:spacing w:val="-7"/>
          <w:w w:val="105"/>
          <w:sz w:val="10"/>
        </w:rPr>
        <w:t xml:space="preserve"> </w:t>
      </w:r>
      <w:r>
        <w:rPr>
          <w:w w:val="105"/>
          <w:sz w:val="10"/>
        </w:rPr>
        <w:t>(2011)</w:t>
      </w:r>
      <w:r>
        <w:rPr>
          <w:spacing w:val="-7"/>
          <w:w w:val="105"/>
          <w:sz w:val="10"/>
        </w:rPr>
        <w:t xml:space="preserve"> </w:t>
      </w:r>
      <w:r>
        <w:rPr>
          <w:w w:val="105"/>
          <w:sz w:val="10"/>
        </w:rPr>
        <w:t>sobre</w:t>
      </w:r>
      <w:r>
        <w:rPr>
          <w:spacing w:val="-7"/>
          <w:w w:val="105"/>
          <w:sz w:val="10"/>
        </w:rPr>
        <w:t xml:space="preserve"> </w:t>
      </w:r>
      <w:r>
        <w:rPr>
          <w:w w:val="105"/>
          <w:sz w:val="10"/>
        </w:rPr>
        <w:t>la</w:t>
      </w:r>
      <w:r>
        <w:rPr>
          <w:spacing w:val="-7"/>
          <w:w w:val="105"/>
          <w:sz w:val="10"/>
        </w:rPr>
        <w:t xml:space="preserve"> </w:t>
      </w:r>
      <w:r>
        <w:rPr>
          <w:w w:val="105"/>
          <w:sz w:val="10"/>
        </w:rPr>
        <w:t>Declaración</w:t>
      </w:r>
      <w:r>
        <w:rPr>
          <w:spacing w:val="-7"/>
          <w:w w:val="105"/>
          <w:sz w:val="10"/>
        </w:rPr>
        <w:t xml:space="preserve"> </w:t>
      </w:r>
      <w:r>
        <w:rPr>
          <w:w w:val="105"/>
          <w:sz w:val="10"/>
        </w:rPr>
        <w:t>de</w:t>
      </w:r>
      <w:r>
        <w:rPr>
          <w:spacing w:val="40"/>
          <w:w w:val="105"/>
          <w:sz w:val="10"/>
        </w:rPr>
        <w:t xml:space="preserve"> </w:t>
      </w:r>
      <w:r>
        <w:rPr>
          <w:w w:val="105"/>
          <w:sz w:val="10"/>
        </w:rPr>
        <w:t>Principios sobre la Igualdad y actividades del Consejo de Europa, párr. 10.</w:t>
      </w:r>
    </w:p>
    <w:p w14:paraId="0B3A2669" w14:textId="77777777" w:rsidR="0014798C" w:rsidRDefault="0014798C">
      <w:pPr>
        <w:spacing w:line="374" w:lineRule="auto"/>
        <w:rPr>
          <w:sz w:val="10"/>
        </w:rPr>
        <w:sectPr w:rsidR="0014798C" w:rsidSect="00F265E4">
          <w:type w:val="continuous"/>
          <w:pgSz w:w="11900" w:h="16820"/>
          <w:pgMar w:top="40" w:right="0" w:bottom="280" w:left="200" w:header="121" w:footer="0" w:gutter="0"/>
          <w:cols w:space="720"/>
        </w:sectPr>
      </w:pPr>
    </w:p>
    <w:p w14:paraId="50E04DA7" w14:textId="77777777" w:rsidR="0014798C" w:rsidRDefault="004E1F0B">
      <w:pPr>
        <w:spacing w:before="1"/>
        <w:jc w:val="right"/>
        <w:rPr>
          <w:sz w:val="8"/>
        </w:rPr>
      </w:pPr>
      <w:r>
        <w:rPr>
          <w:spacing w:val="-5"/>
          <w:w w:val="105"/>
          <w:sz w:val="8"/>
        </w:rPr>
        <w:t>141</w:t>
      </w:r>
    </w:p>
    <w:p w14:paraId="480FF2C2" w14:textId="77777777" w:rsidR="0014798C" w:rsidRDefault="0014798C">
      <w:pPr>
        <w:pStyle w:val="Textoindependiente"/>
        <w:rPr>
          <w:sz w:val="8"/>
        </w:rPr>
      </w:pPr>
    </w:p>
    <w:p w14:paraId="26E0D651" w14:textId="77777777" w:rsidR="0014798C" w:rsidRDefault="0014798C">
      <w:pPr>
        <w:pStyle w:val="Textoindependiente"/>
        <w:rPr>
          <w:sz w:val="8"/>
        </w:rPr>
      </w:pPr>
    </w:p>
    <w:p w14:paraId="1A8AB31A" w14:textId="77777777" w:rsidR="0014798C" w:rsidRDefault="0014798C">
      <w:pPr>
        <w:pStyle w:val="Textoindependiente"/>
        <w:rPr>
          <w:sz w:val="8"/>
        </w:rPr>
      </w:pPr>
    </w:p>
    <w:p w14:paraId="56059F78" w14:textId="77777777" w:rsidR="0014798C" w:rsidRDefault="0014798C">
      <w:pPr>
        <w:pStyle w:val="Textoindependiente"/>
        <w:rPr>
          <w:sz w:val="8"/>
        </w:rPr>
      </w:pPr>
    </w:p>
    <w:p w14:paraId="30C3B32F" w14:textId="77777777" w:rsidR="0014798C" w:rsidRDefault="0014798C">
      <w:pPr>
        <w:pStyle w:val="Textoindependiente"/>
        <w:rPr>
          <w:sz w:val="8"/>
        </w:rPr>
      </w:pPr>
    </w:p>
    <w:p w14:paraId="5EBDDDD3" w14:textId="77777777" w:rsidR="0014798C" w:rsidRDefault="0014798C">
      <w:pPr>
        <w:pStyle w:val="Textoindependiente"/>
        <w:rPr>
          <w:sz w:val="8"/>
        </w:rPr>
      </w:pPr>
    </w:p>
    <w:p w14:paraId="34F3D9FE" w14:textId="77777777" w:rsidR="0014798C" w:rsidRDefault="0014798C">
      <w:pPr>
        <w:pStyle w:val="Textoindependiente"/>
        <w:spacing w:before="40"/>
        <w:rPr>
          <w:sz w:val="8"/>
        </w:rPr>
      </w:pPr>
    </w:p>
    <w:p w14:paraId="09FEC629" w14:textId="77777777" w:rsidR="0014798C" w:rsidRDefault="004E1F0B">
      <w:pPr>
        <w:jc w:val="right"/>
        <w:rPr>
          <w:sz w:val="8"/>
        </w:rPr>
      </w:pPr>
      <w:r>
        <w:rPr>
          <w:spacing w:val="-5"/>
          <w:w w:val="105"/>
          <w:sz w:val="8"/>
        </w:rPr>
        <w:t>142</w:t>
      </w:r>
    </w:p>
    <w:p w14:paraId="0E04C10E" w14:textId="77777777" w:rsidR="0014798C" w:rsidRDefault="004E1F0B">
      <w:pPr>
        <w:spacing w:before="12" w:line="312" w:lineRule="auto"/>
        <w:ind w:left="74" w:right="2044" w:firstLine="4"/>
        <w:rPr>
          <w:sz w:val="12"/>
        </w:rPr>
      </w:pPr>
      <w:r>
        <w:br w:type="column"/>
      </w:r>
      <w:r>
        <w:rPr>
          <w:spacing w:val="-2"/>
          <w:w w:val="105"/>
          <w:sz w:val="12"/>
        </w:rPr>
        <w:t xml:space="preserve">Véase, por ejemplo, Comité de Derechos Económicos, Sociales y Culturales, observación general núm. 20 (2009), párr. </w:t>
      </w:r>
      <w:r>
        <w:rPr>
          <w:spacing w:val="-2"/>
          <w:sz w:val="12"/>
        </w:rPr>
        <w:t xml:space="preserve">32; </w:t>
      </w:r>
      <w:r>
        <w:rPr>
          <w:spacing w:val="-2"/>
          <w:w w:val="105"/>
          <w:sz w:val="12"/>
        </w:rPr>
        <w:t>CRC/C/BLR/CO/5-6,</w:t>
      </w:r>
      <w:r>
        <w:rPr>
          <w:spacing w:val="40"/>
          <w:w w:val="105"/>
          <w:sz w:val="12"/>
        </w:rPr>
        <w:t xml:space="preserve"> </w:t>
      </w:r>
      <w:r>
        <w:rPr>
          <w:spacing w:val="-2"/>
          <w:w w:val="105"/>
          <w:sz w:val="12"/>
        </w:rPr>
        <w:t xml:space="preserve">paraca. 15 </w:t>
      </w:r>
      <w:r>
        <w:rPr>
          <w:spacing w:val="-2"/>
          <w:sz w:val="12"/>
        </w:rPr>
        <w:t xml:space="preserve">(a); </w:t>
      </w:r>
      <w:r>
        <w:rPr>
          <w:spacing w:val="-2"/>
          <w:w w:val="105"/>
          <w:sz w:val="12"/>
        </w:rPr>
        <w:t xml:space="preserve">Comité para la Eliminación de la Discriminación contra la Mujer, recomendación general núm. 28 (2010), párr. </w:t>
      </w:r>
      <w:r>
        <w:rPr>
          <w:spacing w:val="-2"/>
          <w:sz w:val="12"/>
        </w:rPr>
        <w:t>18;</w:t>
      </w:r>
    </w:p>
    <w:p w14:paraId="676EE55D" w14:textId="77777777" w:rsidR="0014798C" w:rsidRDefault="004E1F0B">
      <w:pPr>
        <w:spacing w:before="1" w:line="312" w:lineRule="auto"/>
        <w:ind w:left="79" w:right="1278"/>
        <w:rPr>
          <w:sz w:val="12"/>
        </w:rPr>
      </w:pPr>
      <w:r w:rsidRPr="005C01C5">
        <w:rPr>
          <w:sz w:val="12"/>
          <w:lang w:val="en-US"/>
        </w:rPr>
        <w:t xml:space="preserve">CRPD/C/IND/CO/1, </w:t>
      </w:r>
      <w:proofErr w:type="spellStart"/>
      <w:r w:rsidRPr="005C01C5">
        <w:rPr>
          <w:sz w:val="12"/>
          <w:lang w:val="en-US"/>
        </w:rPr>
        <w:t>párr</w:t>
      </w:r>
      <w:proofErr w:type="spellEnd"/>
      <w:r w:rsidRPr="005C01C5">
        <w:rPr>
          <w:sz w:val="12"/>
          <w:lang w:val="en-US"/>
        </w:rPr>
        <w:t xml:space="preserve">. </w:t>
      </w:r>
      <w:r>
        <w:rPr>
          <w:sz w:val="12"/>
        </w:rPr>
        <w:t>19</w:t>
      </w:r>
      <w:proofErr w:type="gramStart"/>
      <w:r>
        <w:rPr>
          <w:sz w:val="12"/>
        </w:rPr>
        <w:t>b);</w:t>
      </w:r>
      <w:proofErr w:type="gramEnd"/>
      <w:r>
        <w:rPr>
          <w:sz w:val="12"/>
        </w:rPr>
        <w:t xml:space="preserve"> Comité contra la Tortura, observación general núm. 2 (2007), párr. 21; </w:t>
      </w:r>
      <w:r w:rsidRPr="005C01C5">
        <w:rPr>
          <w:sz w:val="12"/>
          <w:lang w:val="en-US"/>
        </w:rPr>
        <w:t xml:space="preserve">CERD/C/KGZ/CO/8-10, </w:t>
      </w:r>
      <w:proofErr w:type="spellStart"/>
      <w:r w:rsidRPr="005C01C5">
        <w:rPr>
          <w:sz w:val="12"/>
          <w:lang w:val="en-US"/>
        </w:rPr>
        <w:t>párr</w:t>
      </w:r>
      <w:proofErr w:type="spellEnd"/>
      <w:r w:rsidRPr="005C01C5">
        <w:rPr>
          <w:sz w:val="12"/>
          <w:lang w:val="en-US"/>
        </w:rPr>
        <w:t xml:space="preserve">. </w:t>
      </w:r>
      <w:proofErr w:type="spellStart"/>
      <w:r w:rsidRPr="005C01C5">
        <w:rPr>
          <w:sz w:val="12"/>
          <w:lang w:val="en-US"/>
        </w:rPr>
        <w:t>dieciséis</w:t>
      </w:r>
      <w:proofErr w:type="spellEnd"/>
      <w:r>
        <w:rPr>
          <w:sz w:val="12"/>
        </w:rPr>
        <w:t>;</w:t>
      </w:r>
      <w:r w:rsidRPr="005C01C5">
        <w:rPr>
          <w:sz w:val="12"/>
          <w:lang w:val="en-US"/>
        </w:rPr>
        <w:t xml:space="preserve"> CMW/C/LKA/CO/2,</w:t>
      </w:r>
      <w:r w:rsidRPr="005C01C5">
        <w:rPr>
          <w:spacing w:val="40"/>
          <w:sz w:val="12"/>
          <w:lang w:val="en-US"/>
        </w:rPr>
        <w:t xml:space="preserve"> </w:t>
      </w:r>
      <w:proofErr w:type="spellStart"/>
      <w:r w:rsidRPr="005C01C5">
        <w:rPr>
          <w:sz w:val="12"/>
          <w:lang w:val="en-US"/>
        </w:rPr>
        <w:t>párr</w:t>
      </w:r>
      <w:proofErr w:type="spellEnd"/>
      <w:r w:rsidRPr="005C01C5">
        <w:rPr>
          <w:sz w:val="12"/>
          <w:lang w:val="en-US"/>
        </w:rPr>
        <w:t xml:space="preserve">. </w:t>
      </w:r>
      <w:r>
        <w:rPr>
          <w:sz w:val="12"/>
        </w:rPr>
        <w:t>27</w:t>
      </w:r>
      <w:proofErr w:type="gramStart"/>
      <w:r>
        <w:rPr>
          <w:sz w:val="12"/>
        </w:rPr>
        <w:t>c);</w:t>
      </w:r>
      <w:proofErr w:type="gramEnd"/>
      <w:r>
        <w:rPr>
          <w:sz w:val="12"/>
        </w:rPr>
        <w:t xml:space="preserve"> y Comité de Derechos Humanos, Young c. Australia (CCPR/C/78/D/941/2000), párr. 10.4.</w:t>
      </w:r>
    </w:p>
    <w:p w14:paraId="2462123B" w14:textId="77777777" w:rsidR="0014798C" w:rsidRDefault="004E1F0B">
      <w:pPr>
        <w:spacing w:before="58" w:line="312" w:lineRule="auto"/>
        <w:ind w:left="74" w:right="1618" w:firstLine="4"/>
        <w:rPr>
          <w:sz w:val="12"/>
        </w:rPr>
      </w:pPr>
      <w:r>
        <w:rPr>
          <w:sz w:val="12"/>
        </w:rPr>
        <w:t xml:space="preserve">Véase, por ejemplo, E/C.12/UKR/CO/7, </w:t>
      </w:r>
      <w:proofErr w:type="spellStart"/>
      <w:r>
        <w:rPr>
          <w:sz w:val="12"/>
        </w:rPr>
        <w:t>párrs</w:t>
      </w:r>
      <w:proofErr w:type="spellEnd"/>
      <w:r>
        <w:rPr>
          <w:sz w:val="12"/>
        </w:rPr>
        <w:t xml:space="preserve">. </w:t>
      </w:r>
      <w:r w:rsidRPr="005C01C5">
        <w:rPr>
          <w:sz w:val="12"/>
          <w:lang w:val="en-US"/>
        </w:rPr>
        <w:t>10–11</w:t>
      </w:r>
      <w:r>
        <w:rPr>
          <w:sz w:val="12"/>
        </w:rPr>
        <w:t>;</w:t>
      </w:r>
      <w:r w:rsidRPr="005C01C5">
        <w:rPr>
          <w:sz w:val="12"/>
          <w:lang w:val="en-US"/>
        </w:rPr>
        <w:t xml:space="preserve"> CCPR/C/UZB/CO/5, </w:t>
      </w:r>
      <w:proofErr w:type="spellStart"/>
      <w:r w:rsidRPr="005C01C5">
        <w:rPr>
          <w:sz w:val="12"/>
          <w:lang w:val="en-US"/>
        </w:rPr>
        <w:t>párrs</w:t>
      </w:r>
      <w:proofErr w:type="spellEnd"/>
      <w:r w:rsidRPr="005C01C5">
        <w:rPr>
          <w:sz w:val="12"/>
          <w:lang w:val="en-US"/>
        </w:rPr>
        <w:t xml:space="preserve">. </w:t>
      </w:r>
      <w:r>
        <w:rPr>
          <w:sz w:val="12"/>
        </w:rPr>
        <w:t>10–11; Comité para la Eliminación de la Discriminación Racial,</w:t>
      </w:r>
      <w:r>
        <w:rPr>
          <w:spacing w:val="80"/>
          <w:sz w:val="12"/>
        </w:rPr>
        <w:t xml:space="preserve"> </w:t>
      </w:r>
      <w:r>
        <w:rPr>
          <w:sz w:val="12"/>
        </w:rPr>
        <w:t>recomendación</w:t>
      </w:r>
      <w:r>
        <w:rPr>
          <w:spacing w:val="-5"/>
          <w:sz w:val="12"/>
        </w:rPr>
        <w:t xml:space="preserve"> </w:t>
      </w:r>
      <w:r>
        <w:rPr>
          <w:sz w:val="12"/>
        </w:rPr>
        <w:t>general</w:t>
      </w:r>
      <w:r>
        <w:rPr>
          <w:spacing w:val="-5"/>
          <w:sz w:val="12"/>
        </w:rPr>
        <w:t xml:space="preserve"> </w:t>
      </w:r>
      <w:r>
        <w:rPr>
          <w:sz w:val="12"/>
        </w:rPr>
        <w:t>núm.</w:t>
      </w:r>
      <w:r>
        <w:rPr>
          <w:spacing w:val="-5"/>
          <w:sz w:val="12"/>
        </w:rPr>
        <w:t xml:space="preserve"> </w:t>
      </w:r>
      <w:r>
        <w:rPr>
          <w:sz w:val="12"/>
        </w:rPr>
        <w:t>36</w:t>
      </w:r>
      <w:r>
        <w:rPr>
          <w:spacing w:val="-5"/>
          <w:sz w:val="12"/>
        </w:rPr>
        <w:t xml:space="preserve"> </w:t>
      </w:r>
      <w:r>
        <w:rPr>
          <w:sz w:val="12"/>
        </w:rPr>
        <w:t>(2020),</w:t>
      </w:r>
      <w:r>
        <w:rPr>
          <w:spacing w:val="-5"/>
          <w:sz w:val="12"/>
        </w:rPr>
        <w:t xml:space="preserve"> </w:t>
      </w:r>
      <w:proofErr w:type="spellStart"/>
      <w:r>
        <w:rPr>
          <w:sz w:val="12"/>
        </w:rPr>
        <w:t>párrs</w:t>
      </w:r>
      <w:proofErr w:type="spellEnd"/>
      <w:r>
        <w:rPr>
          <w:sz w:val="12"/>
        </w:rPr>
        <w:t>.</w:t>
      </w:r>
      <w:r>
        <w:rPr>
          <w:spacing w:val="-5"/>
          <w:sz w:val="12"/>
        </w:rPr>
        <w:t xml:space="preserve"> </w:t>
      </w:r>
      <w:r>
        <w:rPr>
          <w:sz w:val="12"/>
        </w:rPr>
        <w:t>18</w:t>
      </w:r>
      <w:r>
        <w:rPr>
          <w:spacing w:val="-5"/>
          <w:sz w:val="12"/>
        </w:rPr>
        <w:t xml:space="preserve"> </w:t>
      </w:r>
      <w:r>
        <w:rPr>
          <w:sz w:val="12"/>
        </w:rPr>
        <w:t>y</w:t>
      </w:r>
      <w:r>
        <w:rPr>
          <w:spacing w:val="-5"/>
          <w:sz w:val="12"/>
        </w:rPr>
        <w:t xml:space="preserve"> </w:t>
      </w:r>
      <w:r>
        <w:rPr>
          <w:sz w:val="12"/>
        </w:rPr>
        <w:t>60;</w:t>
      </w:r>
      <w:r>
        <w:rPr>
          <w:spacing w:val="-5"/>
          <w:sz w:val="12"/>
        </w:rPr>
        <w:t xml:space="preserve"> </w:t>
      </w:r>
      <w:r>
        <w:rPr>
          <w:sz w:val="12"/>
        </w:rPr>
        <w:t>CEDAW/C/NZL/CO/8,</w:t>
      </w:r>
      <w:r>
        <w:rPr>
          <w:spacing w:val="-5"/>
          <w:sz w:val="12"/>
        </w:rPr>
        <w:t xml:space="preserve"> </w:t>
      </w:r>
      <w:r>
        <w:rPr>
          <w:sz w:val="12"/>
        </w:rPr>
        <w:t>párr.</w:t>
      </w:r>
      <w:r>
        <w:rPr>
          <w:spacing w:val="-5"/>
          <w:sz w:val="12"/>
        </w:rPr>
        <w:t xml:space="preserve"> </w:t>
      </w:r>
      <w:r>
        <w:rPr>
          <w:sz w:val="12"/>
        </w:rPr>
        <w:t>12</w:t>
      </w:r>
      <w:r>
        <w:rPr>
          <w:spacing w:val="-5"/>
          <w:sz w:val="12"/>
        </w:rPr>
        <w:t xml:space="preserve"> </w:t>
      </w:r>
      <w:r>
        <w:rPr>
          <w:sz w:val="12"/>
        </w:rPr>
        <w:t>(a);</w:t>
      </w:r>
      <w:r>
        <w:rPr>
          <w:spacing w:val="-5"/>
          <w:sz w:val="12"/>
        </w:rPr>
        <w:t xml:space="preserve"> </w:t>
      </w:r>
      <w:r>
        <w:rPr>
          <w:sz w:val="12"/>
        </w:rPr>
        <w:t>CRPD/C/MMR/CO/1,</w:t>
      </w:r>
      <w:r>
        <w:rPr>
          <w:spacing w:val="-5"/>
          <w:sz w:val="12"/>
        </w:rPr>
        <w:t xml:space="preserve"> </w:t>
      </w:r>
      <w:r>
        <w:rPr>
          <w:sz w:val="12"/>
        </w:rPr>
        <w:t>párr.</w:t>
      </w:r>
      <w:r>
        <w:rPr>
          <w:spacing w:val="-5"/>
          <w:sz w:val="12"/>
        </w:rPr>
        <w:t xml:space="preserve"> </w:t>
      </w:r>
      <w:r>
        <w:rPr>
          <w:sz w:val="12"/>
        </w:rPr>
        <w:t>12;</w:t>
      </w:r>
      <w:r>
        <w:rPr>
          <w:spacing w:val="-5"/>
          <w:sz w:val="12"/>
        </w:rPr>
        <w:t xml:space="preserve"> </w:t>
      </w:r>
      <w:r>
        <w:rPr>
          <w:sz w:val="12"/>
        </w:rPr>
        <w:t>CMW/C/LKA/CO/2,</w:t>
      </w:r>
      <w:r>
        <w:rPr>
          <w:spacing w:val="-5"/>
          <w:sz w:val="12"/>
        </w:rPr>
        <w:t xml:space="preserve"> </w:t>
      </w:r>
      <w:r>
        <w:rPr>
          <w:sz w:val="12"/>
        </w:rPr>
        <w:t>párr.</w:t>
      </w:r>
      <w:r>
        <w:rPr>
          <w:spacing w:val="-5"/>
          <w:sz w:val="12"/>
        </w:rPr>
        <w:t xml:space="preserve"> </w:t>
      </w:r>
      <w:r>
        <w:rPr>
          <w:sz w:val="12"/>
        </w:rPr>
        <w:t>27</w:t>
      </w:r>
      <w:proofErr w:type="gramStart"/>
      <w:r>
        <w:rPr>
          <w:sz w:val="12"/>
        </w:rPr>
        <w:t>c);</w:t>
      </w:r>
      <w:proofErr w:type="gramEnd"/>
      <w:r>
        <w:rPr>
          <w:spacing w:val="-5"/>
          <w:sz w:val="12"/>
        </w:rPr>
        <w:t xml:space="preserve"> </w:t>
      </w:r>
      <w:r>
        <w:rPr>
          <w:sz w:val="12"/>
        </w:rPr>
        <w:t>CRC/</w:t>
      </w:r>
      <w:r>
        <w:rPr>
          <w:spacing w:val="40"/>
          <w:sz w:val="12"/>
        </w:rPr>
        <w:t xml:space="preserve"> </w:t>
      </w:r>
      <w:r>
        <w:rPr>
          <w:sz w:val="12"/>
        </w:rPr>
        <w:t>C/LVA/CO/3-5, párr. 27</w:t>
      </w:r>
      <w:proofErr w:type="gramStart"/>
      <w:r>
        <w:rPr>
          <w:sz w:val="12"/>
        </w:rPr>
        <w:t>c);</w:t>
      </w:r>
      <w:proofErr w:type="gramEnd"/>
      <w:r>
        <w:rPr>
          <w:sz w:val="12"/>
        </w:rPr>
        <w:t xml:space="preserve"> y CAT/C/UZB/CO/5, párr. 64.</w:t>
      </w:r>
    </w:p>
    <w:p w14:paraId="6162150F" w14:textId="77777777" w:rsidR="0014798C" w:rsidRDefault="0014798C">
      <w:pPr>
        <w:spacing w:line="312" w:lineRule="auto"/>
        <w:rPr>
          <w:sz w:val="12"/>
        </w:rPr>
        <w:sectPr w:rsidR="0014798C" w:rsidSect="00F265E4">
          <w:type w:val="continuous"/>
          <w:pgSz w:w="11900" w:h="16820"/>
          <w:pgMar w:top="40" w:right="0" w:bottom="280" w:left="200" w:header="121" w:footer="0" w:gutter="0"/>
          <w:cols w:num="2" w:space="720" w:equalWidth="0">
            <w:col w:w="1253" w:space="40"/>
            <w:col w:w="10407"/>
          </w:cols>
        </w:sectPr>
      </w:pPr>
    </w:p>
    <w:p w14:paraId="0ACEC010" w14:textId="77777777" w:rsidR="0014798C" w:rsidRDefault="004E1F0B">
      <w:pPr>
        <w:spacing w:before="103" w:line="374" w:lineRule="auto"/>
        <w:ind w:left="1369" w:right="1463" w:hanging="259"/>
        <w:rPr>
          <w:sz w:val="10"/>
        </w:rPr>
      </w:pPr>
      <w:r>
        <w:rPr>
          <w:w w:val="105"/>
          <w:sz w:val="10"/>
        </w:rPr>
        <w:t>143</w:t>
      </w:r>
      <w:r>
        <w:rPr>
          <w:spacing w:val="-4"/>
          <w:w w:val="105"/>
          <w:sz w:val="10"/>
        </w:rPr>
        <w:t xml:space="preserve"> </w:t>
      </w:r>
      <w:r>
        <w:rPr>
          <w:w w:val="105"/>
          <w:sz w:val="10"/>
        </w:rPr>
        <w:t>Estados</w:t>
      </w:r>
      <w:r>
        <w:rPr>
          <w:spacing w:val="-5"/>
          <w:w w:val="105"/>
          <w:sz w:val="10"/>
        </w:rPr>
        <w:t xml:space="preserve"> </w:t>
      </w:r>
      <w:r>
        <w:rPr>
          <w:w w:val="105"/>
          <w:sz w:val="10"/>
        </w:rPr>
        <w:t>Miembros,</w:t>
      </w:r>
      <w:r>
        <w:rPr>
          <w:spacing w:val="-4"/>
          <w:w w:val="105"/>
          <w:sz w:val="10"/>
        </w:rPr>
        <w:t xml:space="preserve"> </w:t>
      </w:r>
      <w:r>
        <w:rPr>
          <w:w w:val="105"/>
          <w:sz w:val="10"/>
        </w:rPr>
        <w:t>entidades</w:t>
      </w:r>
      <w:r>
        <w:rPr>
          <w:spacing w:val="-5"/>
          <w:w w:val="105"/>
          <w:sz w:val="10"/>
        </w:rPr>
        <w:t xml:space="preserve"> </w:t>
      </w:r>
      <w:r>
        <w:rPr>
          <w:w w:val="105"/>
          <w:sz w:val="10"/>
        </w:rPr>
        <w:t>de</w:t>
      </w:r>
      <w:r>
        <w:rPr>
          <w:spacing w:val="-4"/>
          <w:w w:val="105"/>
          <w:sz w:val="10"/>
        </w:rPr>
        <w:t xml:space="preserve"> </w:t>
      </w:r>
      <w:r>
        <w:rPr>
          <w:w w:val="105"/>
          <w:sz w:val="10"/>
        </w:rPr>
        <w:t>las</w:t>
      </w:r>
      <w:r>
        <w:rPr>
          <w:spacing w:val="-4"/>
          <w:w w:val="105"/>
          <w:sz w:val="10"/>
        </w:rPr>
        <w:t xml:space="preserve"> </w:t>
      </w:r>
      <w:r>
        <w:rPr>
          <w:w w:val="105"/>
          <w:sz w:val="10"/>
        </w:rPr>
        <w:t>Naciones</w:t>
      </w:r>
      <w:r>
        <w:rPr>
          <w:spacing w:val="-4"/>
          <w:w w:val="105"/>
          <w:sz w:val="10"/>
        </w:rPr>
        <w:t xml:space="preserve"> </w:t>
      </w:r>
      <w:r>
        <w:rPr>
          <w:w w:val="105"/>
          <w:sz w:val="10"/>
        </w:rPr>
        <w:t>Unidas,</w:t>
      </w:r>
      <w:r>
        <w:rPr>
          <w:spacing w:val="-4"/>
          <w:w w:val="105"/>
          <w:sz w:val="10"/>
        </w:rPr>
        <w:t xml:space="preserve"> </w:t>
      </w:r>
      <w:r>
        <w:rPr>
          <w:w w:val="105"/>
          <w:sz w:val="10"/>
        </w:rPr>
        <w:t>mecanismos</w:t>
      </w:r>
      <w:r>
        <w:rPr>
          <w:spacing w:val="-4"/>
          <w:w w:val="105"/>
          <w:sz w:val="10"/>
        </w:rPr>
        <w:t xml:space="preserve"> </w:t>
      </w:r>
      <w:r>
        <w:rPr>
          <w:w w:val="105"/>
          <w:sz w:val="10"/>
        </w:rPr>
        <w:t>regionales</w:t>
      </w:r>
      <w:r>
        <w:rPr>
          <w:spacing w:val="-5"/>
          <w:w w:val="105"/>
          <w:sz w:val="10"/>
        </w:rPr>
        <w:t xml:space="preserve"> </w:t>
      </w:r>
      <w:r>
        <w:rPr>
          <w:w w:val="105"/>
          <w:sz w:val="10"/>
        </w:rPr>
        <w:t>y</w:t>
      </w:r>
      <w:r>
        <w:rPr>
          <w:spacing w:val="-4"/>
          <w:w w:val="105"/>
          <w:sz w:val="10"/>
        </w:rPr>
        <w:t xml:space="preserve"> </w:t>
      </w:r>
      <w:r>
        <w:rPr>
          <w:w w:val="105"/>
          <w:sz w:val="10"/>
        </w:rPr>
        <w:t>organizaciones</w:t>
      </w:r>
      <w:r>
        <w:rPr>
          <w:spacing w:val="-5"/>
          <w:w w:val="105"/>
          <w:sz w:val="10"/>
        </w:rPr>
        <w:t xml:space="preserve"> </w:t>
      </w:r>
      <w:r>
        <w:rPr>
          <w:w w:val="105"/>
          <w:sz w:val="10"/>
        </w:rPr>
        <w:t>de</w:t>
      </w:r>
      <w:r>
        <w:rPr>
          <w:spacing w:val="-4"/>
          <w:w w:val="105"/>
          <w:sz w:val="10"/>
        </w:rPr>
        <w:t xml:space="preserve"> </w:t>
      </w:r>
      <w:r>
        <w:rPr>
          <w:w w:val="105"/>
          <w:sz w:val="10"/>
        </w:rPr>
        <w:t>la</w:t>
      </w:r>
      <w:r>
        <w:rPr>
          <w:spacing w:val="-4"/>
          <w:w w:val="105"/>
          <w:sz w:val="10"/>
        </w:rPr>
        <w:t xml:space="preserve"> </w:t>
      </w:r>
      <w:r>
        <w:rPr>
          <w:w w:val="105"/>
          <w:sz w:val="10"/>
        </w:rPr>
        <w:t>sociedad</w:t>
      </w:r>
      <w:r>
        <w:rPr>
          <w:spacing w:val="-4"/>
          <w:w w:val="105"/>
          <w:sz w:val="10"/>
        </w:rPr>
        <w:t xml:space="preserve"> </w:t>
      </w:r>
      <w:r>
        <w:rPr>
          <w:w w:val="105"/>
          <w:sz w:val="10"/>
        </w:rPr>
        <w:t>civil</w:t>
      </w:r>
      <w:r>
        <w:rPr>
          <w:spacing w:val="-4"/>
          <w:w w:val="105"/>
          <w:sz w:val="10"/>
        </w:rPr>
        <w:t xml:space="preserve"> </w:t>
      </w:r>
      <w:r>
        <w:rPr>
          <w:w w:val="105"/>
          <w:sz w:val="10"/>
        </w:rPr>
        <w:t>utilizan</w:t>
      </w:r>
      <w:r>
        <w:rPr>
          <w:spacing w:val="-4"/>
          <w:w w:val="105"/>
          <w:sz w:val="10"/>
        </w:rPr>
        <w:t xml:space="preserve"> </w:t>
      </w:r>
      <w:r>
        <w:rPr>
          <w:w w:val="105"/>
          <w:sz w:val="10"/>
        </w:rPr>
        <w:t>diferentes</w:t>
      </w:r>
      <w:r>
        <w:rPr>
          <w:spacing w:val="-5"/>
          <w:w w:val="105"/>
          <w:sz w:val="10"/>
        </w:rPr>
        <w:t xml:space="preserve"> </w:t>
      </w:r>
      <w:r>
        <w:rPr>
          <w:w w:val="105"/>
          <w:sz w:val="10"/>
        </w:rPr>
        <w:t>términos</w:t>
      </w:r>
      <w:r>
        <w:rPr>
          <w:spacing w:val="-5"/>
          <w:w w:val="105"/>
          <w:sz w:val="10"/>
        </w:rPr>
        <w:t xml:space="preserve"> </w:t>
      </w:r>
      <w:r>
        <w:rPr>
          <w:w w:val="105"/>
          <w:sz w:val="10"/>
        </w:rPr>
        <w:t>para</w:t>
      </w:r>
      <w:r>
        <w:rPr>
          <w:spacing w:val="-4"/>
          <w:w w:val="105"/>
          <w:sz w:val="10"/>
        </w:rPr>
        <w:t xml:space="preserve"> </w:t>
      </w:r>
      <w:r>
        <w:rPr>
          <w:w w:val="105"/>
          <w:sz w:val="10"/>
        </w:rPr>
        <w:t>describir</w:t>
      </w:r>
      <w:r>
        <w:rPr>
          <w:spacing w:val="-4"/>
          <w:w w:val="105"/>
          <w:sz w:val="10"/>
        </w:rPr>
        <w:t xml:space="preserve"> </w:t>
      </w:r>
      <w:r>
        <w:rPr>
          <w:w w:val="105"/>
          <w:sz w:val="10"/>
        </w:rPr>
        <w:t>el</w:t>
      </w:r>
      <w:r>
        <w:rPr>
          <w:spacing w:val="-4"/>
          <w:w w:val="105"/>
          <w:sz w:val="10"/>
        </w:rPr>
        <w:t xml:space="preserve"> </w:t>
      </w:r>
      <w:r>
        <w:rPr>
          <w:w w:val="105"/>
          <w:sz w:val="10"/>
        </w:rPr>
        <w:t>motivo</w:t>
      </w:r>
      <w:r>
        <w:rPr>
          <w:spacing w:val="-4"/>
          <w:w w:val="105"/>
          <w:sz w:val="10"/>
        </w:rPr>
        <w:t xml:space="preserve"> </w:t>
      </w:r>
      <w:r>
        <w:rPr>
          <w:w w:val="105"/>
          <w:sz w:val="10"/>
        </w:rPr>
        <w:t>de</w:t>
      </w:r>
      <w:r>
        <w:rPr>
          <w:spacing w:val="-4"/>
          <w:w w:val="105"/>
          <w:sz w:val="10"/>
        </w:rPr>
        <w:t xml:space="preserve"> </w:t>
      </w:r>
      <w:r>
        <w:rPr>
          <w:w w:val="105"/>
          <w:sz w:val="10"/>
        </w:rPr>
        <w:t>discriminación</w:t>
      </w:r>
      <w:r>
        <w:rPr>
          <w:spacing w:val="-4"/>
          <w:w w:val="105"/>
          <w:sz w:val="10"/>
        </w:rPr>
        <w:t xml:space="preserve"> </w:t>
      </w:r>
      <w:r>
        <w:rPr>
          <w:w w:val="105"/>
          <w:sz w:val="10"/>
        </w:rPr>
        <w:t>por</w:t>
      </w:r>
      <w:r>
        <w:rPr>
          <w:spacing w:val="-4"/>
          <w:w w:val="105"/>
          <w:sz w:val="10"/>
        </w:rPr>
        <w:t xml:space="preserve"> </w:t>
      </w:r>
      <w:r>
        <w:rPr>
          <w:w w:val="105"/>
          <w:sz w:val="10"/>
        </w:rPr>
        <w:t>el</w:t>
      </w:r>
      <w:r>
        <w:rPr>
          <w:spacing w:val="40"/>
          <w:w w:val="105"/>
          <w:sz w:val="10"/>
        </w:rPr>
        <w:t xml:space="preserve"> </w:t>
      </w:r>
      <w:r>
        <w:rPr>
          <w:w w:val="105"/>
          <w:sz w:val="10"/>
        </w:rPr>
        <w:t>cual</w:t>
      </w:r>
      <w:r>
        <w:rPr>
          <w:spacing w:val="-3"/>
          <w:w w:val="105"/>
          <w:sz w:val="10"/>
        </w:rPr>
        <w:t xml:space="preserve"> </w:t>
      </w:r>
      <w:r>
        <w:rPr>
          <w:w w:val="105"/>
          <w:sz w:val="10"/>
        </w:rPr>
        <w:t>las</w:t>
      </w:r>
      <w:r>
        <w:rPr>
          <w:spacing w:val="-3"/>
          <w:w w:val="105"/>
          <w:sz w:val="10"/>
        </w:rPr>
        <w:t xml:space="preserve"> </w:t>
      </w:r>
      <w:r>
        <w:rPr>
          <w:w w:val="105"/>
          <w:sz w:val="10"/>
        </w:rPr>
        <w:t>personas</w:t>
      </w:r>
      <w:r>
        <w:rPr>
          <w:spacing w:val="-3"/>
          <w:w w:val="105"/>
          <w:sz w:val="10"/>
        </w:rPr>
        <w:t xml:space="preserve"> </w:t>
      </w:r>
      <w:r>
        <w:rPr>
          <w:w w:val="105"/>
          <w:sz w:val="10"/>
        </w:rPr>
        <w:t>intersex</w:t>
      </w:r>
      <w:r>
        <w:rPr>
          <w:spacing w:val="-4"/>
          <w:w w:val="105"/>
          <w:sz w:val="10"/>
        </w:rPr>
        <w:t xml:space="preserve"> </w:t>
      </w:r>
      <w:r>
        <w:rPr>
          <w:w w:val="105"/>
          <w:sz w:val="10"/>
        </w:rPr>
        <w:t>enfrentan</w:t>
      </w:r>
      <w:r>
        <w:rPr>
          <w:spacing w:val="-4"/>
          <w:w w:val="105"/>
          <w:sz w:val="10"/>
        </w:rPr>
        <w:t xml:space="preserve"> </w:t>
      </w:r>
      <w:r>
        <w:rPr>
          <w:w w:val="105"/>
          <w:sz w:val="10"/>
        </w:rPr>
        <w:t>violaciones</w:t>
      </w:r>
      <w:r>
        <w:rPr>
          <w:spacing w:val="-4"/>
          <w:w w:val="105"/>
          <w:sz w:val="10"/>
        </w:rPr>
        <w:t xml:space="preserve"> </w:t>
      </w:r>
      <w:r>
        <w:rPr>
          <w:w w:val="105"/>
          <w:sz w:val="10"/>
        </w:rPr>
        <w:t>de</w:t>
      </w:r>
      <w:r>
        <w:rPr>
          <w:spacing w:val="-3"/>
          <w:w w:val="105"/>
          <w:sz w:val="10"/>
        </w:rPr>
        <w:t xml:space="preserve"> </w:t>
      </w:r>
      <w:r>
        <w:rPr>
          <w:w w:val="105"/>
          <w:sz w:val="10"/>
        </w:rPr>
        <w:t>derechos</w:t>
      </w:r>
      <w:r>
        <w:rPr>
          <w:spacing w:val="-3"/>
          <w:w w:val="105"/>
          <w:sz w:val="10"/>
        </w:rPr>
        <w:t xml:space="preserve"> </w:t>
      </w:r>
      <w:r>
        <w:rPr>
          <w:w w:val="105"/>
          <w:sz w:val="10"/>
        </w:rPr>
        <w:t>humanos,</w:t>
      </w:r>
      <w:r>
        <w:rPr>
          <w:spacing w:val="-3"/>
          <w:w w:val="105"/>
          <w:sz w:val="10"/>
        </w:rPr>
        <w:t xml:space="preserve"> </w:t>
      </w:r>
      <w:r>
        <w:rPr>
          <w:w w:val="105"/>
          <w:sz w:val="10"/>
        </w:rPr>
        <w:t>incluidas</w:t>
      </w:r>
      <w:r>
        <w:rPr>
          <w:spacing w:val="-3"/>
          <w:w w:val="105"/>
          <w:sz w:val="10"/>
        </w:rPr>
        <w:t xml:space="preserve"> </w:t>
      </w:r>
      <w:r>
        <w:rPr>
          <w:w w:val="105"/>
          <w:sz w:val="10"/>
        </w:rPr>
        <w:t>“características</w:t>
      </w:r>
      <w:r>
        <w:rPr>
          <w:spacing w:val="-4"/>
          <w:w w:val="105"/>
          <w:sz w:val="10"/>
        </w:rPr>
        <w:t xml:space="preserve"> </w:t>
      </w:r>
      <w:r>
        <w:rPr>
          <w:w w:val="105"/>
          <w:sz w:val="10"/>
        </w:rPr>
        <w:t>sexuales”,</w:t>
      </w:r>
      <w:r>
        <w:rPr>
          <w:spacing w:val="-3"/>
          <w:w w:val="105"/>
          <w:sz w:val="10"/>
        </w:rPr>
        <w:t xml:space="preserve"> </w:t>
      </w:r>
      <w:r>
        <w:rPr>
          <w:w w:val="105"/>
          <w:sz w:val="10"/>
        </w:rPr>
        <w:t>“condición</w:t>
      </w:r>
      <w:r>
        <w:rPr>
          <w:spacing w:val="-3"/>
          <w:w w:val="105"/>
          <w:sz w:val="10"/>
        </w:rPr>
        <w:t xml:space="preserve"> </w:t>
      </w:r>
      <w:r>
        <w:rPr>
          <w:w w:val="105"/>
          <w:sz w:val="10"/>
        </w:rPr>
        <w:t>intersexual”</w:t>
      </w:r>
      <w:r>
        <w:rPr>
          <w:spacing w:val="-4"/>
          <w:w w:val="105"/>
          <w:sz w:val="10"/>
        </w:rPr>
        <w:t xml:space="preserve"> </w:t>
      </w:r>
      <w:r>
        <w:rPr>
          <w:w w:val="105"/>
          <w:sz w:val="10"/>
        </w:rPr>
        <w:t>y</w:t>
      </w:r>
      <w:r>
        <w:rPr>
          <w:spacing w:val="-3"/>
          <w:w w:val="105"/>
          <w:sz w:val="10"/>
        </w:rPr>
        <w:t xml:space="preserve"> </w:t>
      </w:r>
      <w:r>
        <w:rPr>
          <w:w w:val="105"/>
          <w:sz w:val="10"/>
        </w:rPr>
        <w:t>“diversidad</w:t>
      </w:r>
      <w:r>
        <w:rPr>
          <w:spacing w:val="-3"/>
          <w:w w:val="105"/>
          <w:sz w:val="10"/>
        </w:rPr>
        <w:t xml:space="preserve"> </w:t>
      </w:r>
      <w:r>
        <w:rPr>
          <w:w w:val="105"/>
          <w:sz w:val="10"/>
        </w:rPr>
        <w:t>corporal”</w:t>
      </w:r>
      <w:proofErr w:type="gramStart"/>
      <w:r>
        <w:rPr>
          <w:w w:val="105"/>
          <w:sz w:val="10"/>
        </w:rPr>
        <w:t>.</w:t>
      </w:r>
      <w:r>
        <w:rPr>
          <w:spacing w:val="-3"/>
          <w:w w:val="105"/>
          <w:sz w:val="10"/>
        </w:rPr>
        <w:t xml:space="preserve"> </w:t>
      </w:r>
      <w:r>
        <w:rPr>
          <w:w w:val="105"/>
          <w:sz w:val="10"/>
        </w:rPr>
        <w:t>.</w:t>
      </w:r>
      <w:proofErr w:type="gramEnd"/>
      <w:r>
        <w:rPr>
          <w:spacing w:val="-3"/>
          <w:w w:val="105"/>
          <w:sz w:val="10"/>
        </w:rPr>
        <w:t xml:space="preserve"> </w:t>
      </w:r>
      <w:r>
        <w:rPr>
          <w:w w:val="105"/>
          <w:sz w:val="10"/>
        </w:rPr>
        <w:t>En</w:t>
      </w:r>
      <w:r>
        <w:rPr>
          <w:spacing w:val="-3"/>
          <w:w w:val="105"/>
          <w:sz w:val="10"/>
        </w:rPr>
        <w:t xml:space="preserve"> </w:t>
      </w:r>
      <w:r>
        <w:rPr>
          <w:w w:val="105"/>
          <w:sz w:val="10"/>
        </w:rPr>
        <w:t>la</w:t>
      </w:r>
      <w:r>
        <w:rPr>
          <w:spacing w:val="-3"/>
          <w:w w:val="105"/>
          <w:sz w:val="10"/>
        </w:rPr>
        <w:t xml:space="preserve"> </w:t>
      </w:r>
      <w:r>
        <w:rPr>
          <w:w w:val="105"/>
          <w:sz w:val="10"/>
        </w:rPr>
        <w:t>presente</w:t>
      </w:r>
      <w:r>
        <w:rPr>
          <w:spacing w:val="-3"/>
          <w:w w:val="105"/>
          <w:sz w:val="10"/>
        </w:rPr>
        <w:t xml:space="preserve"> </w:t>
      </w:r>
      <w:r>
        <w:rPr>
          <w:w w:val="105"/>
          <w:sz w:val="10"/>
        </w:rPr>
        <w:t>guía,</w:t>
      </w:r>
      <w:r>
        <w:rPr>
          <w:spacing w:val="-3"/>
          <w:w w:val="105"/>
          <w:sz w:val="10"/>
        </w:rPr>
        <w:t xml:space="preserve"> </w:t>
      </w:r>
      <w:r>
        <w:rPr>
          <w:w w:val="105"/>
          <w:sz w:val="10"/>
        </w:rPr>
        <w:t>el</w:t>
      </w:r>
      <w:r>
        <w:rPr>
          <w:spacing w:val="-3"/>
          <w:w w:val="105"/>
          <w:sz w:val="10"/>
        </w:rPr>
        <w:t xml:space="preserve"> </w:t>
      </w:r>
      <w:r>
        <w:rPr>
          <w:w w:val="105"/>
          <w:sz w:val="10"/>
        </w:rPr>
        <w:t>término</w:t>
      </w:r>
      <w:r>
        <w:rPr>
          <w:spacing w:val="40"/>
          <w:w w:val="105"/>
          <w:sz w:val="10"/>
        </w:rPr>
        <w:t xml:space="preserve"> </w:t>
      </w:r>
      <w:r>
        <w:rPr>
          <w:w w:val="105"/>
          <w:sz w:val="10"/>
        </w:rPr>
        <w:t>utilizado generalmente es “características sexuales”.</w:t>
      </w:r>
    </w:p>
    <w:p w14:paraId="38AAD099" w14:textId="77777777" w:rsidR="0014798C" w:rsidRDefault="0014798C">
      <w:pPr>
        <w:spacing w:line="374" w:lineRule="auto"/>
        <w:rPr>
          <w:sz w:val="10"/>
        </w:rPr>
        <w:sectPr w:rsidR="0014798C" w:rsidSect="00F265E4">
          <w:type w:val="continuous"/>
          <w:pgSz w:w="11900" w:h="16820"/>
          <w:pgMar w:top="40" w:right="0" w:bottom="280" w:left="200" w:header="121" w:footer="0" w:gutter="0"/>
          <w:cols w:space="720"/>
        </w:sectPr>
      </w:pPr>
    </w:p>
    <w:p w14:paraId="0C114C8F" w14:textId="77777777" w:rsidR="0014798C" w:rsidRDefault="004E1F0B">
      <w:pPr>
        <w:spacing w:before="1"/>
        <w:jc w:val="right"/>
        <w:rPr>
          <w:sz w:val="8"/>
        </w:rPr>
      </w:pPr>
      <w:r>
        <w:rPr>
          <w:spacing w:val="-5"/>
          <w:w w:val="105"/>
          <w:sz w:val="8"/>
        </w:rPr>
        <w:t>144</w:t>
      </w:r>
    </w:p>
    <w:p w14:paraId="0EB2CEA9" w14:textId="77777777" w:rsidR="0014798C" w:rsidRPr="00537489" w:rsidRDefault="004E1F0B">
      <w:pPr>
        <w:spacing w:before="13"/>
        <w:ind w:left="78"/>
        <w:rPr>
          <w:sz w:val="12"/>
          <w:lang w:val="en-US"/>
        </w:rPr>
      </w:pPr>
      <w:r>
        <w:br w:type="column"/>
      </w:r>
      <w:r>
        <w:rPr>
          <w:sz w:val="12"/>
        </w:rPr>
        <w:t>Véase,</w:t>
      </w:r>
      <w:r>
        <w:rPr>
          <w:spacing w:val="-5"/>
          <w:sz w:val="12"/>
        </w:rPr>
        <w:t xml:space="preserve"> </w:t>
      </w:r>
      <w:r>
        <w:rPr>
          <w:sz w:val="12"/>
        </w:rPr>
        <w:t>por</w:t>
      </w:r>
      <w:r>
        <w:rPr>
          <w:spacing w:val="-5"/>
          <w:sz w:val="12"/>
        </w:rPr>
        <w:t xml:space="preserve"> </w:t>
      </w:r>
      <w:r>
        <w:rPr>
          <w:sz w:val="12"/>
        </w:rPr>
        <w:t>ejemplo,</w:t>
      </w:r>
      <w:r>
        <w:rPr>
          <w:spacing w:val="-4"/>
          <w:sz w:val="12"/>
        </w:rPr>
        <w:t xml:space="preserve"> </w:t>
      </w:r>
      <w:r>
        <w:rPr>
          <w:sz w:val="12"/>
        </w:rPr>
        <w:t>E/C.12/ECU/CO/4,</w:t>
      </w:r>
      <w:r>
        <w:rPr>
          <w:spacing w:val="-5"/>
          <w:sz w:val="12"/>
        </w:rPr>
        <w:t xml:space="preserve"> </w:t>
      </w:r>
      <w:proofErr w:type="spellStart"/>
      <w:r>
        <w:rPr>
          <w:sz w:val="12"/>
        </w:rPr>
        <w:t>párrs</w:t>
      </w:r>
      <w:proofErr w:type="spellEnd"/>
      <w:r>
        <w:rPr>
          <w:sz w:val="12"/>
        </w:rPr>
        <w:t>.</w:t>
      </w:r>
      <w:r>
        <w:rPr>
          <w:spacing w:val="-4"/>
          <w:sz w:val="12"/>
        </w:rPr>
        <w:t xml:space="preserve"> </w:t>
      </w:r>
      <w:r w:rsidRPr="00537489">
        <w:rPr>
          <w:sz w:val="12"/>
          <w:lang w:val="en-US"/>
        </w:rPr>
        <w:t>25–26</w:t>
      </w:r>
      <w:r>
        <w:rPr>
          <w:sz w:val="12"/>
        </w:rPr>
        <w:t>;</w:t>
      </w:r>
      <w:r w:rsidRPr="00537489">
        <w:rPr>
          <w:spacing w:val="-5"/>
          <w:sz w:val="12"/>
          <w:lang w:val="en-US"/>
        </w:rPr>
        <w:t xml:space="preserve"> </w:t>
      </w:r>
      <w:r w:rsidRPr="00537489">
        <w:rPr>
          <w:sz w:val="12"/>
          <w:lang w:val="en-US"/>
        </w:rPr>
        <w:t>CRC/C/LVA/CO/3-5,</w:t>
      </w:r>
      <w:r w:rsidRPr="00537489">
        <w:rPr>
          <w:spacing w:val="-4"/>
          <w:sz w:val="12"/>
          <w:lang w:val="en-US"/>
        </w:rPr>
        <w:t xml:space="preserve"> </w:t>
      </w:r>
      <w:proofErr w:type="spellStart"/>
      <w:r w:rsidRPr="00537489">
        <w:rPr>
          <w:sz w:val="12"/>
          <w:lang w:val="en-US"/>
        </w:rPr>
        <w:t>párr</w:t>
      </w:r>
      <w:proofErr w:type="spellEnd"/>
      <w:r w:rsidRPr="00537489">
        <w:rPr>
          <w:sz w:val="12"/>
          <w:lang w:val="en-US"/>
        </w:rPr>
        <w:t>.</w:t>
      </w:r>
      <w:r w:rsidRPr="00537489">
        <w:rPr>
          <w:spacing w:val="-5"/>
          <w:sz w:val="12"/>
          <w:lang w:val="en-US"/>
        </w:rPr>
        <w:t xml:space="preserve"> </w:t>
      </w:r>
      <w:r w:rsidRPr="00537489">
        <w:rPr>
          <w:sz w:val="12"/>
          <w:lang w:val="en-US"/>
        </w:rPr>
        <w:t>27</w:t>
      </w:r>
      <w:proofErr w:type="gramStart"/>
      <w:r w:rsidRPr="00537489">
        <w:rPr>
          <w:sz w:val="12"/>
          <w:lang w:val="en-US"/>
        </w:rPr>
        <w:t>c)</w:t>
      </w:r>
      <w:r>
        <w:rPr>
          <w:sz w:val="12"/>
        </w:rPr>
        <w:t>;</w:t>
      </w:r>
      <w:proofErr w:type="gramEnd"/>
      <w:r w:rsidRPr="00537489">
        <w:rPr>
          <w:spacing w:val="-5"/>
          <w:sz w:val="12"/>
          <w:lang w:val="en-US"/>
        </w:rPr>
        <w:t xml:space="preserve"> </w:t>
      </w:r>
      <w:r w:rsidRPr="00537489">
        <w:rPr>
          <w:sz w:val="12"/>
          <w:lang w:val="en-US"/>
        </w:rPr>
        <w:t>CEDAW/C/NZL/CO/8,</w:t>
      </w:r>
      <w:r w:rsidRPr="00537489">
        <w:rPr>
          <w:spacing w:val="-4"/>
          <w:sz w:val="12"/>
          <w:lang w:val="en-US"/>
        </w:rPr>
        <w:t xml:space="preserve"> </w:t>
      </w:r>
      <w:proofErr w:type="spellStart"/>
      <w:r w:rsidRPr="00537489">
        <w:rPr>
          <w:sz w:val="12"/>
          <w:lang w:val="en-US"/>
        </w:rPr>
        <w:t>párr</w:t>
      </w:r>
      <w:proofErr w:type="spellEnd"/>
      <w:r w:rsidRPr="00537489">
        <w:rPr>
          <w:sz w:val="12"/>
          <w:lang w:val="en-US"/>
        </w:rPr>
        <w:t>.</w:t>
      </w:r>
      <w:r w:rsidRPr="00537489">
        <w:rPr>
          <w:spacing w:val="-5"/>
          <w:sz w:val="12"/>
          <w:lang w:val="en-US"/>
        </w:rPr>
        <w:t xml:space="preserve"> </w:t>
      </w:r>
      <w:r w:rsidRPr="00537489">
        <w:rPr>
          <w:sz w:val="12"/>
          <w:lang w:val="en-US"/>
        </w:rPr>
        <w:t>12</w:t>
      </w:r>
      <w:r w:rsidRPr="00537489">
        <w:rPr>
          <w:spacing w:val="-4"/>
          <w:sz w:val="12"/>
          <w:lang w:val="en-US"/>
        </w:rPr>
        <w:t xml:space="preserve"> (a)</w:t>
      </w:r>
      <w:r>
        <w:rPr>
          <w:spacing w:val="-4"/>
          <w:sz w:val="12"/>
        </w:rPr>
        <w:t>;</w:t>
      </w:r>
    </w:p>
    <w:p w14:paraId="7CAEF285" w14:textId="77777777" w:rsidR="0014798C" w:rsidRDefault="004E1F0B">
      <w:pPr>
        <w:spacing w:before="41" w:line="312" w:lineRule="auto"/>
        <w:ind w:left="77" w:right="1156" w:firstLine="2"/>
        <w:rPr>
          <w:sz w:val="12"/>
        </w:rPr>
      </w:pPr>
      <w:r w:rsidRPr="00537489">
        <w:rPr>
          <w:sz w:val="12"/>
          <w:lang w:val="en-US"/>
        </w:rPr>
        <w:t>CRPD/C/IND/CO/1,</w:t>
      </w:r>
      <w:r w:rsidRPr="00537489">
        <w:rPr>
          <w:spacing w:val="-5"/>
          <w:sz w:val="12"/>
          <w:lang w:val="en-US"/>
        </w:rPr>
        <w:t xml:space="preserve"> </w:t>
      </w:r>
      <w:proofErr w:type="spellStart"/>
      <w:r w:rsidRPr="00537489">
        <w:rPr>
          <w:sz w:val="12"/>
          <w:lang w:val="en-US"/>
        </w:rPr>
        <w:t>párr</w:t>
      </w:r>
      <w:proofErr w:type="spellEnd"/>
      <w:r w:rsidRPr="00537489">
        <w:rPr>
          <w:sz w:val="12"/>
          <w:lang w:val="en-US"/>
        </w:rPr>
        <w:t>.</w:t>
      </w:r>
      <w:r w:rsidRPr="00537489">
        <w:rPr>
          <w:spacing w:val="-5"/>
          <w:sz w:val="12"/>
          <w:lang w:val="en-US"/>
        </w:rPr>
        <w:t xml:space="preserve"> </w:t>
      </w:r>
      <w:r w:rsidRPr="00537489">
        <w:rPr>
          <w:sz w:val="12"/>
          <w:lang w:val="en-US"/>
        </w:rPr>
        <w:t>19</w:t>
      </w:r>
      <w:proofErr w:type="gramStart"/>
      <w:r w:rsidRPr="00537489">
        <w:rPr>
          <w:sz w:val="12"/>
          <w:lang w:val="en-US"/>
        </w:rPr>
        <w:t>b)</w:t>
      </w:r>
      <w:r>
        <w:rPr>
          <w:sz w:val="12"/>
        </w:rPr>
        <w:t>;</w:t>
      </w:r>
      <w:proofErr w:type="gramEnd"/>
      <w:r w:rsidRPr="00537489">
        <w:rPr>
          <w:spacing w:val="-5"/>
          <w:sz w:val="12"/>
          <w:lang w:val="en-US"/>
        </w:rPr>
        <w:t xml:space="preserve"> </w:t>
      </w:r>
      <w:r w:rsidRPr="00537489">
        <w:rPr>
          <w:sz w:val="12"/>
          <w:lang w:val="en-US"/>
        </w:rPr>
        <w:t>CAT/C/BLR/CO/5,</w:t>
      </w:r>
      <w:r w:rsidRPr="00537489">
        <w:rPr>
          <w:spacing w:val="-5"/>
          <w:sz w:val="12"/>
          <w:lang w:val="en-US"/>
        </w:rPr>
        <w:t xml:space="preserve"> </w:t>
      </w:r>
      <w:proofErr w:type="spellStart"/>
      <w:r w:rsidRPr="00537489">
        <w:rPr>
          <w:sz w:val="12"/>
          <w:lang w:val="en-US"/>
        </w:rPr>
        <w:t>párr</w:t>
      </w:r>
      <w:proofErr w:type="spellEnd"/>
      <w:r w:rsidRPr="00537489">
        <w:rPr>
          <w:sz w:val="12"/>
          <w:lang w:val="en-US"/>
        </w:rPr>
        <w:t>.</w:t>
      </w:r>
      <w:r w:rsidRPr="00537489">
        <w:rPr>
          <w:spacing w:val="-5"/>
          <w:sz w:val="12"/>
          <w:lang w:val="en-US"/>
        </w:rPr>
        <w:t xml:space="preserve"> </w:t>
      </w:r>
      <w:r w:rsidRPr="00537489">
        <w:rPr>
          <w:sz w:val="12"/>
          <w:lang w:val="en-US"/>
        </w:rPr>
        <w:t>30</w:t>
      </w:r>
      <w:r w:rsidRPr="00537489">
        <w:rPr>
          <w:spacing w:val="-5"/>
          <w:sz w:val="12"/>
          <w:lang w:val="en-US"/>
        </w:rPr>
        <w:t xml:space="preserve"> </w:t>
      </w:r>
      <w:r w:rsidRPr="00537489">
        <w:rPr>
          <w:sz w:val="12"/>
          <w:lang w:val="en-US"/>
        </w:rPr>
        <w:t>(b)</w:t>
      </w:r>
      <w:r>
        <w:rPr>
          <w:sz w:val="12"/>
        </w:rPr>
        <w:t>;</w:t>
      </w:r>
      <w:r w:rsidRPr="00537489">
        <w:rPr>
          <w:spacing w:val="-5"/>
          <w:sz w:val="12"/>
          <w:lang w:val="en-US"/>
        </w:rPr>
        <w:t xml:space="preserve"> </w:t>
      </w:r>
      <w:r w:rsidRPr="00537489">
        <w:rPr>
          <w:sz w:val="12"/>
          <w:lang w:val="en-US"/>
        </w:rPr>
        <w:t>CERD/C/ARG/CO/21-23,</w:t>
      </w:r>
      <w:r w:rsidRPr="00537489">
        <w:rPr>
          <w:spacing w:val="-5"/>
          <w:sz w:val="12"/>
          <w:lang w:val="en-US"/>
        </w:rPr>
        <w:t xml:space="preserve"> </w:t>
      </w:r>
      <w:proofErr w:type="spellStart"/>
      <w:r w:rsidRPr="00537489">
        <w:rPr>
          <w:sz w:val="12"/>
          <w:lang w:val="en-US"/>
        </w:rPr>
        <w:t>párr</w:t>
      </w:r>
      <w:proofErr w:type="spellEnd"/>
      <w:r w:rsidRPr="00537489">
        <w:rPr>
          <w:sz w:val="12"/>
          <w:lang w:val="en-US"/>
        </w:rPr>
        <w:t>.</w:t>
      </w:r>
      <w:r w:rsidRPr="00537489">
        <w:rPr>
          <w:spacing w:val="-5"/>
          <w:sz w:val="12"/>
          <w:lang w:val="en-US"/>
        </w:rPr>
        <w:t xml:space="preserve"> </w:t>
      </w:r>
      <w:r>
        <w:rPr>
          <w:sz w:val="12"/>
        </w:rPr>
        <w:t>36;</w:t>
      </w:r>
      <w:r>
        <w:rPr>
          <w:spacing w:val="-5"/>
          <w:sz w:val="12"/>
        </w:rPr>
        <w:t xml:space="preserve"> </w:t>
      </w:r>
      <w:r>
        <w:rPr>
          <w:sz w:val="12"/>
        </w:rPr>
        <w:t>CMW/C/GTM/CO/2,</w:t>
      </w:r>
      <w:r>
        <w:rPr>
          <w:spacing w:val="-5"/>
          <w:sz w:val="12"/>
        </w:rPr>
        <w:t xml:space="preserve"> </w:t>
      </w:r>
      <w:proofErr w:type="spellStart"/>
      <w:r>
        <w:rPr>
          <w:sz w:val="12"/>
        </w:rPr>
        <w:t>párrs</w:t>
      </w:r>
      <w:proofErr w:type="spellEnd"/>
      <w:r>
        <w:rPr>
          <w:sz w:val="12"/>
        </w:rPr>
        <w:t>.</w:t>
      </w:r>
      <w:r>
        <w:rPr>
          <w:spacing w:val="-5"/>
          <w:sz w:val="12"/>
        </w:rPr>
        <w:t xml:space="preserve"> </w:t>
      </w:r>
      <w:r>
        <w:rPr>
          <w:sz w:val="12"/>
        </w:rPr>
        <w:t>26</w:t>
      </w:r>
      <w:r>
        <w:rPr>
          <w:spacing w:val="-5"/>
          <w:sz w:val="12"/>
        </w:rPr>
        <w:t xml:space="preserve"> </w:t>
      </w:r>
      <w:r>
        <w:rPr>
          <w:sz w:val="12"/>
        </w:rPr>
        <w:t>(a)</w:t>
      </w:r>
      <w:r>
        <w:rPr>
          <w:spacing w:val="-5"/>
          <w:sz w:val="12"/>
        </w:rPr>
        <w:t xml:space="preserve"> </w:t>
      </w:r>
      <w:r>
        <w:rPr>
          <w:sz w:val="12"/>
        </w:rPr>
        <w:t>y</w:t>
      </w:r>
      <w:r>
        <w:rPr>
          <w:spacing w:val="-5"/>
          <w:sz w:val="12"/>
        </w:rPr>
        <w:t xml:space="preserve"> </w:t>
      </w:r>
      <w:r>
        <w:rPr>
          <w:sz w:val="12"/>
        </w:rPr>
        <w:t>27</w:t>
      </w:r>
      <w:r>
        <w:rPr>
          <w:spacing w:val="-5"/>
          <w:sz w:val="12"/>
        </w:rPr>
        <w:t xml:space="preserve"> </w:t>
      </w:r>
      <w:r>
        <w:rPr>
          <w:sz w:val="12"/>
        </w:rPr>
        <w:t>(d);</w:t>
      </w:r>
      <w:r>
        <w:rPr>
          <w:spacing w:val="-5"/>
          <w:sz w:val="12"/>
        </w:rPr>
        <w:t xml:space="preserve"> </w:t>
      </w:r>
      <w:r>
        <w:rPr>
          <w:sz w:val="12"/>
        </w:rPr>
        <w:t>y</w:t>
      </w:r>
      <w:r>
        <w:rPr>
          <w:spacing w:val="-5"/>
          <w:sz w:val="12"/>
        </w:rPr>
        <w:t xml:space="preserve"> </w:t>
      </w:r>
      <w:r>
        <w:rPr>
          <w:sz w:val="12"/>
        </w:rPr>
        <w:t>CCPR/C/TUN/CO/6,</w:t>
      </w:r>
      <w:r>
        <w:rPr>
          <w:spacing w:val="40"/>
          <w:sz w:val="12"/>
        </w:rPr>
        <w:t xml:space="preserve"> </w:t>
      </w:r>
      <w:proofErr w:type="spellStart"/>
      <w:r>
        <w:rPr>
          <w:sz w:val="12"/>
        </w:rPr>
        <w:t>párrs</w:t>
      </w:r>
      <w:proofErr w:type="spellEnd"/>
      <w:r>
        <w:rPr>
          <w:sz w:val="12"/>
        </w:rPr>
        <w:t>.</w:t>
      </w:r>
      <w:r>
        <w:rPr>
          <w:spacing w:val="-5"/>
          <w:sz w:val="12"/>
        </w:rPr>
        <w:t xml:space="preserve"> </w:t>
      </w:r>
      <w:r>
        <w:rPr>
          <w:sz w:val="12"/>
        </w:rPr>
        <w:t>19–20.</w:t>
      </w:r>
    </w:p>
    <w:p w14:paraId="5E9AE34F" w14:textId="77777777" w:rsidR="0014798C" w:rsidRDefault="0014798C">
      <w:pPr>
        <w:spacing w:line="312" w:lineRule="auto"/>
        <w:rPr>
          <w:sz w:val="12"/>
        </w:rPr>
        <w:sectPr w:rsidR="0014798C" w:rsidSect="00F265E4">
          <w:type w:val="continuous"/>
          <w:pgSz w:w="11900" w:h="16820"/>
          <w:pgMar w:top="40" w:right="0" w:bottom="280" w:left="200" w:header="121" w:footer="0" w:gutter="0"/>
          <w:cols w:num="2" w:space="720" w:equalWidth="0">
            <w:col w:w="1253" w:space="40"/>
            <w:col w:w="10407"/>
          </w:cols>
        </w:sectPr>
      </w:pPr>
    </w:p>
    <w:p w14:paraId="770F2570" w14:textId="77777777" w:rsidR="0014798C" w:rsidRDefault="004E1F0B">
      <w:pPr>
        <w:spacing w:before="58" w:line="312" w:lineRule="auto"/>
        <w:ind w:left="1365" w:right="1502" w:hanging="255"/>
        <w:rPr>
          <w:sz w:val="12"/>
        </w:rPr>
      </w:pPr>
      <w:r>
        <w:rPr>
          <w:sz w:val="12"/>
        </w:rPr>
        <w:t>145</w:t>
      </w:r>
      <w:r>
        <w:rPr>
          <w:spacing w:val="13"/>
          <w:sz w:val="12"/>
        </w:rPr>
        <w:t xml:space="preserve"> </w:t>
      </w:r>
      <w:r>
        <w:rPr>
          <w:sz w:val="12"/>
        </w:rPr>
        <w:t>Por</w:t>
      </w:r>
      <w:r>
        <w:rPr>
          <w:spacing w:val="12"/>
          <w:sz w:val="12"/>
        </w:rPr>
        <w:t xml:space="preserve"> </w:t>
      </w:r>
      <w:r>
        <w:rPr>
          <w:sz w:val="12"/>
        </w:rPr>
        <w:t>ejemplo,</w:t>
      </w:r>
      <w:r>
        <w:rPr>
          <w:spacing w:val="13"/>
          <w:sz w:val="12"/>
        </w:rPr>
        <w:t xml:space="preserve"> </w:t>
      </w:r>
      <w:r>
        <w:rPr>
          <w:sz w:val="12"/>
        </w:rPr>
        <w:t>en</w:t>
      </w:r>
      <w:r>
        <w:rPr>
          <w:spacing w:val="13"/>
          <w:sz w:val="12"/>
        </w:rPr>
        <w:t xml:space="preserve"> </w:t>
      </w:r>
      <w:r>
        <w:rPr>
          <w:sz w:val="12"/>
        </w:rPr>
        <w:t>relación</w:t>
      </w:r>
      <w:r>
        <w:rPr>
          <w:spacing w:val="13"/>
          <w:sz w:val="12"/>
        </w:rPr>
        <w:t xml:space="preserve"> </w:t>
      </w:r>
      <w:r>
        <w:rPr>
          <w:sz w:val="12"/>
        </w:rPr>
        <w:t>con</w:t>
      </w:r>
      <w:r>
        <w:rPr>
          <w:spacing w:val="13"/>
          <w:sz w:val="12"/>
        </w:rPr>
        <w:t xml:space="preserve"> </w:t>
      </w:r>
      <w:r>
        <w:rPr>
          <w:sz w:val="12"/>
        </w:rPr>
        <w:t>el</w:t>
      </w:r>
      <w:r>
        <w:rPr>
          <w:spacing w:val="13"/>
          <w:sz w:val="12"/>
        </w:rPr>
        <w:t xml:space="preserve"> </w:t>
      </w:r>
      <w:r>
        <w:rPr>
          <w:sz w:val="12"/>
        </w:rPr>
        <w:t>motivo</w:t>
      </w:r>
      <w:r>
        <w:rPr>
          <w:spacing w:val="13"/>
          <w:sz w:val="12"/>
        </w:rPr>
        <w:t xml:space="preserve"> </w:t>
      </w:r>
      <w:r>
        <w:rPr>
          <w:sz w:val="12"/>
        </w:rPr>
        <w:t>de</w:t>
      </w:r>
      <w:r>
        <w:rPr>
          <w:spacing w:val="13"/>
          <w:sz w:val="12"/>
        </w:rPr>
        <w:t xml:space="preserve"> </w:t>
      </w:r>
      <w:r>
        <w:rPr>
          <w:sz w:val="12"/>
        </w:rPr>
        <w:t>la</w:t>
      </w:r>
      <w:r>
        <w:rPr>
          <w:spacing w:val="13"/>
          <w:sz w:val="12"/>
        </w:rPr>
        <w:t xml:space="preserve"> </w:t>
      </w:r>
      <w:r>
        <w:rPr>
          <w:sz w:val="12"/>
        </w:rPr>
        <w:t>orientación</w:t>
      </w:r>
      <w:r>
        <w:rPr>
          <w:spacing w:val="13"/>
          <w:sz w:val="12"/>
        </w:rPr>
        <w:t xml:space="preserve"> </w:t>
      </w:r>
      <w:r>
        <w:rPr>
          <w:sz w:val="12"/>
        </w:rPr>
        <w:t>sexual,</w:t>
      </w:r>
      <w:r>
        <w:rPr>
          <w:spacing w:val="13"/>
          <w:sz w:val="12"/>
        </w:rPr>
        <w:t xml:space="preserve"> </w:t>
      </w:r>
      <w:r>
        <w:rPr>
          <w:sz w:val="12"/>
        </w:rPr>
        <w:t>véase</w:t>
      </w:r>
      <w:r>
        <w:rPr>
          <w:spacing w:val="13"/>
          <w:sz w:val="12"/>
        </w:rPr>
        <w:t xml:space="preserve"> </w:t>
      </w:r>
      <w:r>
        <w:rPr>
          <w:sz w:val="12"/>
        </w:rPr>
        <w:t>Comisión</w:t>
      </w:r>
      <w:r>
        <w:rPr>
          <w:spacing w:val="13"/>
          <w:sz w:val="12"/>
        </w:rPr>
        <w:t xml:space="preserve"> </w:t>
      </w:r>
      <w:r>
        <w:rPr>
          <w:sz w:val="12"/>
        </w:rPr>
        <w:t>Africana</w:t>
      </w:r>
      <w:r>
        <w:rPr>
          <w:spacing w:val="12"/>
          <w:sz w:val="12"/>
        </w:rPr>
        <w:t xml:space="preserve"> </w:t>
      </w:r>
      <w:r>
        <w:rPr>
          <w:sz w:val="12"/>
        </w:rPr>
        <w:t>de</w:t>
      </w:r>
      <w:r>
        <w:rPr>
          <w:spacing w:val="13"/>
          <w:sz w:val="12"/>
        </w:rPr>
        <w:t xml:space="preserve"> </w:t>
      </w:r>
      <w:r>
        <w:rPr>
          <w:sz w:val="12"/>
        </w:rPr>
        <w:t>Derechos</w:t>
      </w:r>
      <w:r>
        <w:rPr>
          <w:spacing w:val="13"/>
          <w:sz w:val="12"/>
        </w:rPr>
        <w:t xml:space="preserve"> </w:t>
      </w:r>
      <w:r>
        <w:rPr>
          <w:sz w:val="12"/>
        </w:rPr>
        <w:t>Humanos</w:t>
      </w:r>
      <w:r>
        <w:rPr>
          <w:spacing w:val="13"/>
          <w:sz w:val="12"/>
        </w:rPr>
        <w:t xml:space="preserve"> </w:t>
      </w:r>
      <w:r>
        <w:rPr>
          <w:sz w:val="12"/>
        </w:rPr>
        <w:t>y</w:t>
      </w:r>
      <w:r>
        <w:rPr>
          <w:spacing w:val="13"/>
          <w:sz w:val="12"/>
        </w:rPr>
        <w:t xml:space="preserve"> </w:t>
      </w:r>
      <w:r>
        <w:rPr>
          <w:sz w:val="12"/>
        </w:rPr>
        <w:t>de</w:t>
      </w:r>
      <w:r>
        <w:rPr>
          <w:spacing w:val="13"/>
          <w:sz w:val="12"/>
        </w:rPr>
        <w:t xml:space="preserve"> </w:t>
      </w:r>
      <w:r>
        <w:rPr>
          <w:sz w:val="12"/>
        </w:rPr>
        <w:t>los</w:t>
      </w:r>
      <w:r>
        <w:rPr>
          <w:spacing w:val="13"/>
          <w:sz w:val="12"/>
        </w:rPr>
        <w:t xml:space="preserve"> </w:t>
      </w:r>
      <w:r>
        <w:rPr>
          <w:sz w:val="12"/>
        </w:rPr>
        <w:t>Pueblos,</w:t>
      </w:r>
      <w:r>
        <w:rPr>
          <w:spacing w:val="13"/>
          <w:sz w:val="12"/>
        </w:rPr>
        <w:t xml:space="preserve"> </w:t>
      </w:r>
      <w:proofErr w:type="spellStart"/>
      <w:r>
        <w:rPr>
          <w:sz w:val="12"/>
        </w:rPr>
        <w:t>Zimbabwe</w:t>
      </w:r>
      <w:proofErr w:type="spellEnd"/>
      <w:r>
        <w:rPr>
          <w:spacing w:val="13"/>
          <w:sz w:val="12"/>
        </w:rPr>
        <w:t xml:space="preserve"> </w:t>
      </w:r>
      <w:r>
        <w:rPr>
          <w:sz w:val="12"/>
        </w:rPr>
        <w:t>Human</w:t>
      </w:r>
      <w:r>
        <w:rPr>
          <w:spacing w:val="13"/>
          <w:sz w:val="12"/>
        </w:rPr>
        <w:t xml:space="preserve"> </w:t>
      </w:r>
      <w:proofErr w:type="spellStart"/>
      <w:r>
        <w:rPr>
          <w:sz w:val="12"/>
        </w:rPr>
        <w:t>Rights</w:t>
      </w:r>
      <w:proofErr w:type="spellEnd"/>
      <w:r>
        <w:rPr>
          <w:spacing w:val="40"/>
          <w:sz w:val="12"/>
        </w:rPr>
        <w:t xml:space="preserve"> </w:t>
      </w:r>
      <w:r>
        <w:rPr>
          <w:sz w:val="12"/>
        </w:rPr>
        <w:t>NGO</w:t>
      </w:r>
      <w:r>
        <w:rPr>
          <w:spacing w:val="10"/>
          <w:sz w:val="12"/>
        </w:rPr>
        <w:t xml:space="preserve"> </w:t>
      </w:r>
      <w:proofErr w:type="spellStart"/>
      <w:r>
        <w:rPr>
          <w:sz w:val="12"/>
        </w:rPr>
        <w:t>Forum</w:t>
      </w:r>
      <w:proofErr w:type="spellEnd"/>
      <w:r>
        <w:rPr>
          <w:spacing w:val="8"/>
          <w:sz w:val="12"/>
        </w:rPr>
        <w:t xml:space="preserve"> </w:t>
      </w:r>
      <w:r>
        <w:rPr>
          <w:sz w:val="12"/>
        </w:rPr>
        <w:t>v.</w:t>
      </w:r>
      <w:r>
        <w:rPr>
          <w:spacing w:val="10"/>
          <w:sz w:val="12"/>
        </w:rPr>
        <w:t xml:space="preserve"> </w:t>
      </w:r>
      <w:proofErr w:type="spellStart"/>
      <w:r>
        <w:rPr>
          <w:sz w:val="12"/>
        </w:rPr>
        <w:t>Zimbabwe</w:t>
      </w:r>
      <w:proofErr w:type="spellEnd"/>
      <w:r>
        <w:rPr>
          <w:sz w:val="12"/>
        </w:rPr>
        <w:t>,</w:t>
      </w:r>
      <w:r>
        <w:rPr>
          <w:spacing w:val="10"/>
          <w:sz w:val="12"/>
        </w:rPr>
        <w:t xml:space="preserve"> </w:t>
      </w:r>
      <w:r>
        <w:rPr>
          <w:sz w:val="12"/>
        </w:rPr>
        <w:t>comunicación</w:t>
      </w:r>
      <w:r>
        <w:rPr>
          <w:spacing w:val="10"/>
          <w:sz w:val="12"/>
        </w:rPr>
        <w:t xml:space="preserve"> </w:t>
      </w:r>
      <w:r>
        <w:rPr>
          <w:sz w:val="12"/>
        </w:rPr>
        <w:t>No.</w:t>
      </w:r>
      <w:r>
        <w:rPr>
          <w:spacing w:val="10"/>
          <w:sz w:val="12"/>
        </w:rPr>
        <w:t xml:space="preserve"> </w:t>
      </w:r>
      <w:r>
        <w:rPr>
          <w:sz w:val="12"/>
        </w:rPr>
        <w:t>245/02,</w:t>
      </w:r>
      <w:r>
        <w:rPr>
          <w:spacing w:val="10"/>
          <w:sz w:val="12"/>
        </w:rPr>
        <w:t xml:space="preserve"> </w:t>
      </w:r>
      <w:r>
        <w:rPr>
          <w:sz w:val="12"/>
        </w:rPr>
        <w:t>Decisión,</w:t>
      </w:r>
      <w:r>
        <w:rPr>
          <w:spacing w:val="10"/>
          <w:sz w:val="12"/>
        </w:rPr>
        <w:t xml:space="preserve"> </w:t>
      </w:r>
      <w:r>
        <w:rPr>
          <w:sz w:val="12"/>
        </w:rPr>
        <w:t>11-15</w:t>
      </w:r>
      <w:r>
        <w:rPr>
          <w:spacing w:val="10"/>
          <w:sz w:val="12"/>
        </w:rPr>
        <w:t xml:space="preserve"> </w:t>
      </w:r>
      <w:r>
        <w:rPr>
          <w:sz w:val="12"/>
        </w:rPr>
        <w:t>de</w:t>
      </w:r>
      <w:r>
        <w:rPr>
          <w:spacing w:val="10"/>
          <w:sz w:val="12"/>
        </w:rPr>
        <w:t xml:space="preserve"> </w:t>
      </w:r>
      <w:r>
        <w:rPr>
          <w:sz w:val="12"/>
        </w:rPr>
        <w:t>mayo</w:t>
      </w:r>
      <w:r>
        <w:rPr>
          <w:spacing w:val="10"/>
          <w:sz w:val="12"/>
        </w:rPr>
        <w:t xml:space="preserve"> </w:t>
      </w:r>
      <w:r>
        <w:rPr>
          <w:sz w:val="12"/>
        </w:rPr>
        <w:t>de</w:t>
      </w:r>
      <w:r>
        <w:rPr>
          <w:spacing w:val="10"/>
          <w:sz w:val="12"/>
        </w:rPr>
        <w:t xml:space="preserve"> </w:t>
      </w:r>
      <w:r>
        <w:rPr>
          <w:sz w:val="12"/>
        </w:rPr>
        <w:t>2006,</w:t>
      </w:r>
      <w:r>
        <w:rPr>
          <w:spacing w:val="10"/>
          <w:sz w:val="12"/>
        </w:rPr>
        <w:t xml:space="preserve"> </w:t>
      </w:r>
      <w:r>
        <w:rPr>
          <w:sz w:val="12"/>
        </w:rPr>
        <w:t>párr.</w:t>
      </w:r>
      <w:r>
        <w:rPr>
          <w:spacing w:val="10"/>
          <w:sz w:val="12"/>
        </w:rPr>
        <w:t xml:space="preserve"> </w:t>
      </w:r>
      <w:r>
        <w:rPr>
          <w:sz w:val="12"/>
        </w:rPr>
        <w:t>169;</w:t>
      </w:r>
      <w:r>
        <w:rPr>
          <w:spacing w:val="10"/>
          <w:sz w:val="12"/>
        </w:rPr>
        <w:t xml:space="preserve"> </w:t>
      </w:r>
      <w:r>
        <w:rPr>
          <w:sz w:val="12"/>
        </w:rPr>
        <w:t>Corte</w:t>
      </w:r>
      <w:r>
        <w:rPr>
          <w:spacing w:val="10"/>
          <w:sz w:val="12"/>
        </w:rPr>
        <w:t xml:space="preserve"> </w:t>
      </w:r>
      <w:r>
        <w:rPr>
          <w:sz w:val="12"/>
        </w:rPr>
        <w:t>Interamericana</w:t>
      </w:r>
      <w:r>
        <w:rPr>
          <w:spacing w:val="10"/>
          <w:sz w:val="12"/>
        </w:rPr>
        <w:t xml:space="preserve"> </w:t>
      </w:r>
      <w:r>
        <w:rPr>
          <w:sz w:val="12"/>
        </w:rPr>
        <w:t>de</w:t>
      </w:r>
      <w:r>
        <w:rPr>
          <w:spacing w:val="10"/>
          <w:sz w:val="12"/>
        </w:rPr>
        <w:t xml:space="preserve"> </w:t>
      </w:r>
      <w:r>
        <w:rPr>
          <w:sz w:val="12"/>
        </w:rPr>
        <w:t>Derechos</w:t>
      </w:r>
      <w:r>
        <w:rPr>
          <w:spacing w:val="10"/>
          <w:sz w:val="12"/>
        </w:rPr>
        <w:t xml:space="preserve"> </w:t>
      </w:r>
      <w:r>
        <w:rPr>
          <w:sz w:val="12"/>
        </w:rPr>
        <w:t>Humanos,</w:t>
      </w:r>
      <w:r>
        <w:rPr>
          <w:spacing w:val="10"/>
          <w:sz w:val="12"/>
        </w:rPr>
        <w:t xml:space="preserve"> </w:t>
      </w:r>
      <w:proofErr w:type="spellStart"/>
      <w:r>
        <w:rPr>
          <w:sz w:val="12"/>
        </w:rPr>
        <w:t>Atala</w:t>
      </w:r>
      <w:proofErr w:type="spellEnd"/>
      <w:r>
        <w:rPr>
          <w:spacing w:val="8"/>
          <w:sz w:val="12"/>
        </w:rPr>
        <w:t xml:space="preserve"> </w:t>
      </w:r>
      <w:r>
        <w:rPr>
          <w:sz w:val="12"/>
        </w:rPr>
        <w:t>Riffo</w:t>
      </w:r>
      <w:r>
        <w:rPr>
          <w:spacing w:val="8"/>
          <w:sz w:val="12"/>
        </w:rPr>
        <w:t xml:space="preserve"> </w:t>
      </w:r>
      <w:r>
        <w:rPr>
          <w:sz w:val="12"/>
        </w:rPr>
        <w:t>e</w:t>
      </w:r>
      <w:r>
        <w:rPr>
          <w:spacing w:val="40"/>
          <w:sz w:val="12"/>
        </w:rPr>
        <w:t xml:space="preserve"> </w:t>
      </w:r>
      <w:r>
        <w:rPr>
          <w:sz w:val="12"/>
        </w:rPr>
        <w:t>Hijas</w:t>
      </w:r>
      <w:r>
        <w:rPr>
          <w:spacing w:val="8"/>
          <w:sz w:val="12"/>
        </w:rPr>
        <w:t xml:space="preserve"> </w:t>
      </w:r>
      <w:r>
        <w:rPr>
          <w:sz w:val="12"/>
        </w:rPr>
        <w:t>vs.</w:t>
      </w:r>
      <w:r>
        <w:rPr>
          <w:spacing w:val="8"/>
          <w:sz w:val="12"/>
        </w:rPr>
        <w:t xml:space="preserve"> </w:t>
      </w:r>
      <w:r>
        <w:rPr>
          <w:sz w:val="12"/>
        </w:rPr>
        <w:t>Chile,</w:t>
      </w:r>
      <w:r>
        <w:rPr>
          <w:spacing w:val="8"/>
          <w:sz w:val="12"/>
        </w:rPr>
        <w:t xml:space="preserve"> </w:t>
      </w:r>
      <w:r>
        <w:rPr>
          <w:sz w:val="12"/>
        </w:rPr>
        <w:t>Caso,</w:t>
      </w:r>
      <w:r>
        <w:rPr>
          <w:spacing w:val="8"/>
          <w:sz w:val="12"/>
        </w:rPr>
        <w:t xml:space="preserve"> </w:t>
      </w:r>
      <w:r>
        <w:rPr>
          <w:sz w:val="12"/>
        </w:rPr>
        <w:t>Sentencia,</w:t>
      </w:r>
      <w:r>
        <w:rPr>
          <w:spacing w:val="8"/>
          <w:sz w:val="12"/>
        </w:rPr>
        <w:t xml:space="preserve"> </w:t>
      </w:r>
      <w:r>
        <w:rPr>
          <w:sz w:val="12"/>
        </w:rPr>
        <w:t>24</w:t>
      </w:r>
      <w:r>
        <w:rPr>
          <w:spacing w:val="8"/>
          <w:sz w:val="12"/>
        </w:rPr>
        <w:t xml:space="preserve"> </w:t>
      </w:r>
      <w:r>
        <w:rPr>
          <w:sz w:val="12"/>
        </w:rPr>
        <w:t>de</w:t>
      </w:r>
      <w:r>
        <w:rPr>
          <w:spacing w:val="8"/>
          <w:sz w:val="12"/>
        </w:rPr>
        <w:t xml:space="preserve"> </w:t>
      </w:r>
      <w:r>
        <w:rPr>
          <w:sz w:val="12"/>
        </w:rPr>
        <w:t>febrero</w:t>
      </w:r>
      <w:r>
        <w:rPr>
          <w:spacing w:val="8"/>
          <w:sz w:val="12"/>
        </w:rPr>
        <w:t xml:space="preserve"> </w:t>
      </w:r>
      <w:r>
        <w:rPr>
          <w:sz w:val="12"/>
        </w:rPr>
        <w:t>de</w:t>
      </w:r>
      <w:r>
        <w:rPr>
          <w:spacing w:val="8"/>
          <w:sz w:val="12"/>
        </w:rPr>
        <w:t xml:space="preserve"> </w:t>
      </w:r>
      <w:r>
        <w:rPr>
          <w:sz w:val="12"/>
        </w:rPr>
        <w:t>2012;</w:t>
      </w:r>
      <w:r>
        <w:rPr>
          <w:spacing w:val="8"/>
          <w:sz w:val="12"/>
        </w:rPr>
        <w:t xml:space="preserve"> </w:t>
      </w:r>
      <w:r>
        <w:rPr>
          <w:sz w:val="12"/>
        </w:rPr>
        <w:t>y</w:t>
      </w:r>
      <w:r>
        <w:rPr>
          <w:spacing w:val="8"/>
          <w:sz w:val="12"/>
        </w:rPr>
        <w:t xml:space="preserve"> </w:t>
      </w:r>
      <w:r>
        <w:rPr>
          <w:sz w:val="12"/>
        </w:rPr>
        <w:t>Tribunal</w:t>
      </w:r>
      <w:r>
        <w:rPr>
          <w:spacing w:val="8"/>
          <w:sz w:val="12"/>
        </w:rPr>
        <w:t xml:space="preserve"> </w:t>
      </w:r>
      <w:r>
        <w:rPr>
          <w:sz w:val="12"/>
        </w:rPr>
        <w:t>Europeo</w:t>
      </w:r>
      <w:r>
        <w:rPr>
          <w:spacing w:val="8"/>
          <w:sz w:val="12"/>
        </w:rPr>
        <w:t xml:space="preserve"> </w:t>
      </w:r>
      <w:r>
        <w:rPr>
          <w:sz w:val="12"/>
        </w:rPr>
        <w:t>de</w:t>
      </w:r>
      <w:r>
        <w:rPr>
          <w:spacing w:val="8"/>
          <w:sz w:val="12"/>
        </w:rPr>
        <w:t xml:space="preserve"> </w:t>
      </w:r>
      <w:r>
        <w:rPr>
          <w:sz w:val="12"/>
        </w:rPr>
        <w:t>Derechos</w:t>
      </w:r>
      <w:r>
        <w:rPr>
          <w:spacing w:val="8"/>
          <w:sz w:val="12"/>
        </w:rPr>
        <w:t xml:space="preserve"> </w:t>
      </w:r>
      <w:r>
        <w:rPr>
          <w:sz w:val="12"/>
        </w:rPr>
        <w:t>Humanos,</w:t>
      </w:r>
      <w:r>
        <w:rPr>
          <w:spacing w:val="8"/>
          <w:sz w:val="12"/>
        </w:rPr>
        <w:t xml:space="preserve"> </w:t>
      </w:r>
      <w:r>
        <w:rPr>
          <w:sz w:val="12"/>
        </w:rPr>
        <w:t>SL</w:t>
      </w:r>
      <w:r>
        <w:rPr>
          <w:spacing w:val="8"/>
          <w:sz w:val="12"/>
        </w:rPr>
        <w:t xml:space="preserve"> </w:t>
      </w:r>
      <w:r>
        <w:rPr>
          <w:sz w:val="12"/>
        </w:rPr>
        <w:t>c.</w:t>
      </w:r>
      <w:r>
        <w:rPr>
          <w:spacing w:val="8"/>
          <w:sz w:val="12"/>
        </w:rPr>
        <w:t xml:space="preserve"> </w:t>
      </w:r>
      <w:r>
        <w:rPr>
          <w:sz w:val="12"/>
        </w:rPr>
        <w:t>Austria,</w:t>
      </w:r>
      <w:r>
        <w:rPr>
          <w:spacing w:val="8"/>
          <w:sz w:val="12"/>
        </w:rPr>
        <w:t xml:space="preserve"> </w:t>
      </w:r>
      <w:r>
        <w:rPr>
          <w:sz w:val="12"/>
        </w:rPr>
        <w:t>solicitud</w:t>
      </w:r>
      <w:r>
        <w:rPr>
          <w:spacing w:val="8"/>
          <w:sz w:val="12"/>
        </w:rPr>
        <w:t xml:space="preserve"> </w:t>
      </w:r>
      <w:proofErr w:type="spellStart"/>
      <w:r>
        <w:rPr>
          <w:sz w:val="12"/>
        </w:rPr>
        <w:t>n.°</w:t>
      </w:r>
      <w:proofErr w:type="spellEnd"/>
      <w:r>
        <w:rPr>
          <w:spacing w:val="8"/>
          <w:sz w:val="12"/>
        </w:rPr>
        <w:t xml:space="preserve"> </w:t>
      </w:r>
      <w:r>
        <w:rPr>
          <w:sz w:val="12"/>
        </w:rPr>
        <w:t>45330/99,</w:t>
      </w:r>
      <w:r>
        <w:rPr>
          <w:spacing w:val="8"/>
          <w:sz w:val="12"/>
        </w:rPr>
        <w:t xml:space="preserve"> </w:t>
      </w:r>
      <w:r>
        <w:rPr>
          <w:sz w:val="12"/>
        </w:rPr>
        <w:t>2003,</w:t>
      </w:r>
      <w:r>
        <w:rPr>
          <w:spacing w:val="8"/>
          <w:sz w:val="12"/>
        </w:rPr>
        <w:t xml:space="preserve"> </w:t>
      </w:r>
      <w:r>
        <w:rPr>
          <w:sz w:val="12"/>
        </w:rPr>
        <w:t>párr.</w:t>
      </w:r>
      <w:r>
        <w:rPr>
          <w:spacing w:val="8"/>
          <w:sz w:val="12"/>
        </w:rPr>
        <w:t xml:space="preserve"> </w:t>
      </w:r>
      <w:r>
        <w:rPr>
          <w:sz w:val="12"/>
        </w:rPr>
        <w:t>37.</w:t>
      </w:r>
      <w:r>
        <w:rPr>
          <w:spacing w:val="8"/>
          <w:sz w:val="12"/>
        </w:rPr>
        <w:t xml:space="preserve"> </w:t>
      </w:r>
      <w:r>
        <w:rPr>
          <w:sz w:val="12"/>
        </w:rPr>
        <w:t>Para</w:t>
      </w:r>
      <w:r>
        <w:rPr>
          <w:spacing w:val="40"/>
          <w:sz w:val="12"/>
        </w:rPr>
        <w:t xml:space="preserve"> </w:t>
      </w:r>
      <w:r>
        <w:rPr>
          <w:sz w:val="12"/>
        </w:rPr>
        <w:t>un</w:t>
      </w:r>
      <w:r>
        <w:rPr>
          <w:spacing w:val="11"/>
          <w:sz w:val="12"/>
        </w:rPr>
        <w:t xml:space="preserve"> </w:t>
      </w:r>
      <w:r>
        <w:rPr>
          <w:sz w:val="12"/>
        </w:rPr>
        <w:t>análisis</w:t>
      </w:r>
      <w:r>
        <w:rPr>
          <w:spacing w:val="11"/>
          <w:sz w:val="12"/>
        </w:rPr>
        <w:t xml:space="preserve"> </w:t>
      </w:r>
      <w:r>
        <w:rPr>
          <w:sz w:val="12"/>
        </w:rPr>
        <w:t>más</w:t>
      </w:r>
      <w:r>
        <w:rPr>
          <w:spacing w:val="11"/>
          <w:sz w:val="12"/>
        </w:rPr>
        <w:t xml:space="preserve"> </w:t>
      </w:r>
      <w:r>
        <w:rPr>
          <w:sz w:val="12"/>
        </w:rPr>
        <w:t>detallado</w:t>
      </w:r>
      <w:r>
        <w:rPr>
          <w:spacing w:val="11"/>
          <w:sz w:val="12"/>
        </w:rPr>
        <w:t xml:space="preserve"> </w:t>
      </w:r>
      <w:r>
        <w:rPr>
          <w:sz w:val="12"/>
        </w:rPr>
        <w:t>sobre</w:t>
      </w:r>
      <w:r>
        <w:rPr>
          <w:spacing w:val="11"/>
          <w:sz w:val="12"/>
        </w:rPr>
        <w:t xml:space="preserve"> </w:t>
      </w:r>
      <w:r>
        <w:rPr>
          <w:sz w:val="12"/>
        </w:rPr>
        <w:t>este</w:t>
      </w:r>
      <w:r>
        <w:rPr>
          <w:spacing w:val="11"/>
          <w:sz w:val="12"/>
        </w:rPr>
        <w:t xml:space="preserve"> </w:t>
      </w:r>
      <w:r>
        <w:rPr>
          <w:sz w:val="12"/>
        </w:rPr>
        <w:t>punto,</w:t>
      </w:r>
      <w:r>
        <w:rPr>
          <w:spacing w:val="11"/>
          <w:sz w:val="12"/>
        </w:rPr>
        <w:t xml:space="preserve"> </w:t>
      </w:r>
      <w:r>
        <w:rPr>
          <w:sz w:val="12"/>
        </w:rPr>
        <w:t>véase</w:t>
      </w:r>
      <w:r>
        <w:rPr>
          <w:spacing w:val="11"/>
          <w:sz w:val="12"/>
        </w:rPr>
        <w:t xml:space="preserve"> </w:t>
      </w:r>
      <w:r>
        <w:rPr>
          <w:sz w:val="12"/>
        </w:rPr>
        <w:t>Comisión</w:t>
      </w:r>
      <w:r>
        <w:rPr>
          <w:spacing w:val="11"/>
          <w:sz w:val="12"/>
        </w:rPr>
        <w:t xml:space="preserve"> </w:t>
      </w:r>
      <w:r>
        <w:rPr>
          <w:sz w:val="12"/>
        </w:rPr>
        <w:t>Africana</w:t>
      </w:r>
      <w:r>
        <w:rPr>
          <w:spacing w:val="10"/>
          <w:sz w:val="12"/>
        </w:rPr>
        <w:t xml:space="preserve"> </w:t>
      </w:r>
      <w:r>
        <w:rPr>
          <w:sz w:val="12"/>
        </w:rPr>
        <w:t>de</w:t>
      </w:r>
      <w:r>
        <w:rPr>
          <w:spacing w:val="11"/>
          <w:sz w:val="12"/>
        </w:rPr>
        <w:t xml:space="preserve"> </w:t>
      </w:r>
      <w:r>
        <w:rPr>
          <w:sz w:val="12"/>
        </w:rPr>
        <w:t>Derechos</w:t>
      </w:r>
      <w:r>
        <w:rPr>
          <w:spacing w:val="11"/>
          <w:sz w:val="12"/>
        </w:rPr>
        <w:t xml:space="preserve"> </w:t>
      </w:r>
      <w:r>
        <w:rPr>
          <w:sz w:val="12"/>
        </w:rPr>
        <w:t>Humanos</w:t>
      </w:r>
      <w:r>
        <w:rPr>
          <w:spacing w:val="11"/>
          <w:sz w:val="12"/>
        </w:rPr>
        <w:t xml:space="preserve"> </w:t>
      </w:r>
      <w:r>
        <w:rPr>
          <w:sz w:val="12"/>
        </w:rPr>
        <w:t>y</w:t>
      </w:r>
      <w:r>
        <w:rPr>
          <w:spacing w:val="11"/>
          <w:sz w:val="12"/>
        </w:rPr>
        <w:t xml:space="preserve"> </w:t>
      </w:r>
      <w:r>
        <w:rPr>
          <w:sz w:val="12"/>
        </w:rPr>
        <w:t>de</w:t>
      </w:r>
      <w:r>
        <w:rPr>
          <w:spacing w:val="11"/>
          <w:sz w:val="12"/>
        </w:rPr>
        <w:t xml:space="preserve"> </w:t>
      </w:r>
      <w:r>
        <w:rPr>
          <w:sz w:val="12"/>
        </w:rPr>
        <w:t>los</w:t>
      </w:r>
      <w:r>
        <w:rPr>
          <w:spacing w:val="11"/>
          <w:sz w:val="12"/>
        </w:rPr>
        <w:t xml:space="preserve"> </w:t>
      </w:r>
      <w:r>
        <w:rPr>
          <w:sz w:val="12"/>
        </w:rPr>
        <w:t>Pueblos</w:t>
      </w:r>
      <w:r>
        <w:rPr>
          <w:spacing w:val="10"/>
          <w:sz w:val="12"/>
        </w:rPr>
        <w:t xml:space="preserve"> </w:t>
      </w:r>
      <w:r>
        <w:rPr>
          <w:sz w:val="12"/>
        </w:rPr>
        <w:t>y</w:t>
      </w:r>
      <w:r>
        <w:rPr>
          <w:spacing w:val="11"/>
          <w:sz w:val="12"/>
        </w:rPr>
        <w:t xml:space="preserve"> </w:t>
      </w:r>
      <w:r>
        <w:rPr>
          <w:sz w:val="12"/>
        </w:rPr>
        <w:t>otros,</w:t>
      </w:r>
      <w:r>
        <w:rPr>
          <w:spacing w:val="11"/>
          <w:sz w:val="12"/>
        </w:rPr>
        <w:t xml:space="preserve"> </w:t>
      </w:r>
      <w:proofErr w:type="spellStart"/>
      <w:r>
        <w:rPr>
          <w:sz w:val="12"/>
        </w:rPr>
        <w:t>Ending</w:t>
      </w:r>
      <w:proofErr w:type="spellEnd"/>
      <w:r>
        <w:rPr>
          <w:spacing w:val="11"/>
          <w:sz w:val="12"/>
        </w:rPr>
        <w:t xml:space="preserve"> </w:t>
      </w:r>
      <w:proofErr w:type="spellStart"/>
      <w:r>
        <w:rPr>
          <w:sz w:val="12"/>
        </w:rPr>
        <w:t>Violence</w:t>
      </w:r>
      <w:proofErr w:type="spellEnd"/>
      <w:r>
        <w:rPr>
          <w:spacing w:val="11"/>
          <w:sz w:val="12"/>
        </w:rPr>
        <w:t xml:space="preserve"> </w:t>
      </w:r>
      <w:r>
        <w:rPr>
          <w:sz w:val="12"/>
        </w:rPr>
        <w:t>and</w:t>
      </w:r>
      <w:r>
        <w:rPr>
          <w:spacing w:val="11"/>
          <w:sz w:val="12"/>
        </w:rPr>
        <w:t xml:space="preserve"> </w:t>
      </w:r>
      <w:proofErr w:type="spellStart"/>
      <w:r>
        <w:rPr>
          <w:sz w:val="12"/>
        </w:rPr>
        <w:t>Other</w:t>
      </w:r>
      <w:proofErr w:type="spellEnd"/>
      <w:r>
        <w:rPr>
          <w:spacing w:val="10"/>
          <w:sz w:val="12"/>
        </w:rPr>
        <w:t xml:space="preserve"> </w:t>
      </w:r>
      <w:r>
        <w:rPr>
          <w:sz w:val="12"/>
        </w:rPr>
        <w:t>Human</w:t>
      </w:r>
      <w:r>
        <w:rPr>
          <w:spacing w:val="11"/>
          <w:sz w:val="12"/>
        </w:rPr>
        <w:t xml:space="preserve"> </w:t>
      </w:r>
      <w:proofErr w:type="spellStart"/>
      <w:r>
        <w:rPr>
          <w:sz w:val="12"/>
        </w:rPr>
        <w:t>Rights</w:t>
      </w:r>
      <w:proofErr w:type="spellEnd"/>
    </w:p>
    <w:p w14:paraId="1B1C2E6E" w14:textId="77777777" w:rsidR="0014798C" w:rsidRDefault="004E1F0B">
      <w:pPr>
        <w:spacing w:before="2" w:line="312" w:lineRule="auto"/>
        <w:ind w:left="1367" w:right="1378" w:firstLine="2"/>
        <w:rPr>
          <w:sz w:val="12"/>
        </w:rPr>
      </w:pPr>
      <w:r w:rsidRPr="00537489">
        <w:rPr>
          <w:w w:val="105"/>
          <w:sz w:val="12"/>
          <w:lang w:val="en-US"/>
        </w:rPr>
        <w:t>Violations</w:t>
      </w:r>
      <w:r w:rsidRPr="00537489">
        <w:rPr>
          <w:spacing w:val="-9"/>
          <w:w w:val="105"/>
          <w:sz w:val="12"/>
          <w:lang w:val="en-US"/>
        </w:rPr>
        <w:t xml:space="preserve"> </w:t>
      </w:r>
      <w:r w:rsidRPr="00537489">
        <w:rPr>
          <w:w w:val="105"/>
          <w:sz w:val="12"/>
          <w:lang w:val="en-US"/>
        </w:rPr>
        <w:t>based</w:t>
      </w:r>
      <w:r w:rsidRPr="00537489">
        <w:rPr>
          <w:spacing w:val="-8"/>
          <w:w w:val="105"/>
          <w:sz w:val="12"/>
          <w:lang w:val="en-US"/>
        </w:rPr>
        <w:t xml:space="preserve"> </w:t>
      </w:r>
      <w:r w:rsidRPr="00537489">
        <w:rPr>
          <w:w w:val="105"/>
          <w:sz w:val="12"/>
          <w:lang w:val="en-US"/>
        </w:rPr>
        <w:t>on</w:t>
      </w:r>
      <w:r w:rsidRPr="00537489">
        <w:rPr>
          <w:spacing w:val="-8"/>
          <w:w w:val="105"/>
          <w:sz w:val="12"/>
          <w:lang w:val="en-US"/>
        </w:rPr>
        <w:t xml:space="preserve"> </w:t>
      </w:r>
      <w:r w:rsidRPr="00537489">
        <w:rPr>
          <w:w w:val="105"/>
          <w:sz w:val="12"/>
          <w:lang w:val="en-US"/>
        </w:rPr>
        <w:t>Sexual</w:t>
      </w:r>
      <w:r w:rsidRPr="00537489">
        <w:rPr>
          <w:spacing w:val="-8"/>
          <w:w w:val="105"/>
          <w:sz w:val="12"/>
          <w:lang w:val="en-US"/>
        </w:rPr>
        <w:t xml:space="preserve"> </w:t>
      </w:r>
      <w:r w:rsidRPr="00537489">
        <w:rPr>
          <w:w w:val="105"/>
          <w:sz w:val="12"/>
          <w:lang w:val="en-US"/>
        </w:rPr>
        <w:t>Orientation</w:t>
      </w:r>
      <w:r w:rsidRPr="00537489">
        <w:rPr>
          <w:spacing w:val="-9"/>
          <w:w w:val="105"/>
          <w:sz w:val="12"/>
          <w:lang w:val="en-US"/>
        </w:rPr>
        <w:t xml:space="preserve"> </w:t>
      </w:r>
      <w:r w:rsidRPr="00537489">
        <w:rPr>
          <w:w w:val="105"/>
          <w:sz w:val="12"/>
          <w:lang w:val="en-US"/>
        </w:rPr>
        <w:t>and</w:t>
      </w:r>
      <w:r w:rsidRPr="00537489">
        <w:rPr>
          <w:spacing w:val="-8"/>
          <w:w w:val="105"/>
          <w:sz w:val="12"/>
          <w:lang w:val="en-US"/>
        </w:rPr>
        <w:t xml:space="preserve"> </w:t>
      </w:r>
      <w:r w:rsidRPr="00537489">
        <w:rPr>
          <w:w w:val="105"/>
          <w:sz w:val="12"/>
          <w:lang w:val="en-US"/>
        </w:rPr>
        <w:t>Gender</w:t>
      </w:r>
      <w:r w:rsidRPr="00537489">
        <w:rPr>
          <w:spacing w:val="-9"/>
          <w:w w:val="105"/>
          <w:sz w:val="12"/>
          <w:lang w:val="en-US"/>
        </w:rPr>
        <w:t xml:space="preserve"> </w:t>
      </w:r>
      <w:r w:rsidRPr="00537489">
        <w:rPr>
          <w:w w:val="105"/>
          <w:sz w:val="12"/>
          <w:lang w:val="en-US"/>
        </w:rPr>
        <w:t>Identity:</w:t>
      </w:r>
      <w:r w:rsidRPr="00537489">
        <w:rPr>
          <w:spacing w:val="-8"/>
          <w:w w:val="105"/>
          <w:sz w:val="12"/>
          <w:lang w:val="en-US"/>
        </w:rPr>
        <w:t xml:space="preserve"> </w:t>
      </w:r>
      <w:r w:rsidRPr="00537489">
        <w:rPr>
          <w:w w:val="105"/>
          <w:sz w:val="12"/>
          <w:lang w:val="en-US"/>
        </w:rPr>
        <w:t>A</w:t>
      </w:r>
      <w:r w:rsidRPr="00537489">
        <w:rPr>
          <w:spacing w:val="-8"/>
          <w:w w:val="105"/>
          <w:sz w:val="12"/>
          <w:lang w:val="en-US"/>
        </w:rPr>
        <w:t xml:space="preserve"> </w:t>
      </w:r>
      <w:r w:rsidRPr="00537489">
        <w:rPr>
          <w:w w:val="105"/>
          <w:sz w:val="12"/>
          <w:lang w:val="en-US"/>
        </w:rPr>
        <w:t>Joint</w:t>
      </w:r>
      <w:r w:rsidRPr="00537489">
        <w:rPr>
          <w:spacing w:val="-8"/>
          <w:w w:val="105"/>
          <w:sz w:val="12"/>
          <w:lang w:val="en-US"/>
        </w:rPr>
        <w:t xml:space="preserve"> </w:t>
      </w:r>
      <w:r w:rsidRPr="00537489">
        <w:rPr>
          <w:w w:val="105"/>
          <w:sz w:val="12"/>
          <w:lang w:val="en-US"/>
        </w:rPr>
        <w:t>Dialogue</w:t>
      </w:r>
      <w:r w:rsidRPr="00537489">
        <w:rPr>
          <w:spacing w:val="-8"/>
          <w:w w:val="105"/>
          <w:sz w:val="12"/>
          <w:lang w:val="en-US"/>
        </w:rPr>
        <w:t xml:space="preserve"> </w:t>
      </w:r>
      <w:r w:rsidRPr="00537489">
        <w:rPr>
          <w:w w:val="105"/>
          <w:sz w:val="12"/>
          <w:lang w:val="en-US"/>
        </w:rPr>
        <w:t>of</w:t>
      </w:r>
      <w:r w:rsidRPr="00537489">
        <w:rPr>
          <w:spacing w:val="-8"/>
          <w:w w:val="105"/>
          <w:sz w:val="12"/>
          <w:lang w:val="en-US"/>
        </w:rPr>
        <w:t xml:space="preserve"> </w:t>
      </w:r>
      <w:r w:rsidRPr="00537489">
        <w:rPr>
          <w:w w:val="105"/>
          <w:sz w:val="12"/>
          <w:lang w:val="en-US"/>
        </w:rPr>
        <w:t>the</w:t>
      </w:r>
      <w:r w:rsidRPr="00537489">
        <w:rPr>
          <w:spacing w:val="-8"/>
          <w:w w:val="105"/>
          <w:sz w:val="12"/>
          <w:lang w:val="en-US"/>
        </w:rPr>
        <w:t xml:space="preserve"> </w:t>
      </w:r>
      <w:r w:rsidRPr="00537489">
        <w:rPr>
          <w:w w:val="105"/>
          <w:sz w:val="12"/>
          <w:lang w:val="en-US"/>
        </w:rPr>
        <w:t>African</w:t>
      </w:r>
      <w:r w:rsidRPr="00537489">
        <w:rPr>
          <w:spacing w:val="-9"/>
          <w:w w:val="105"/>
          <w:sz w:val="12"/>
          <w:lang w:val="en-US"/>
        </w:rPr>
        <w:t xml:space="preserve"> </w:t>
      </w:r>
      <w:r w:rsidRPr="00537489">
        <w:rPr>
          <w:w w:val="105"/>
          <w:sz w:val="12"/>
          <w:lang w:val="en-US"/>
        </w:rPr>
        <w:t>Commission</w:t>
      </w:r>
      <w:r w:rsidRPr="00537489">
        <w:rPr>
          <w:spacing w:val="-8"/>
          <w:w w:val="105"/>
          <w:sz w:val="12"/>
          <w:lang w:val="en-US"/>
        </w:rPr>
        <w:t xml:space="preserve"> </w:t>
      </w:r>
      <w:r w:rsidRPr="00537489">
        <w:rPr>
          <w:w w:val="105"/>
          <w:sz w:val="12"/>
          <w:lang w:val="en-US"/>
        </w:rPr>
        <w:t>on</w:t>
      </w:r>
      <w:r w:rsidRPr="00537489">
        <w:rPr>
          <w:spacing w:val="-8"/>
          <w:w w:val="105"/>
          <w:sz w:val="12"/>
          <w:lang w:val="en-US"/>
        </w:rPr>
        <w:t xml:space="preserve"> </w:t>
      </w:r>
      <w:r w:rsidRPr="00537489">
        <w:rPr>
          <w:w w:val="105"/>
          <w:sz w:val="12"/>
          <w:lang w:val="en-US"/>
        </w:rPr>
        <w:t>Human</w:t>
      </w:r>
      <w:r w:rsidRPr="00537489">
        <w:rPr>
          <w:spacing w:val="-8"/>
          <w:w w:val="105"/>
          <w:sz w:val="12"/>
          <w:lang w:val="en-US"/>
        </w:rPr>
        <w:t xml:space="preserve"> </w:t>
      </w:r>
      <w:r w:rsidRPr="00537489">
        <w:rPr>
          <w:w w:val="105"/>
          <w:sz w:val="12"/>
          <w:lang w:val="en-US"/>
        </w:rPr>
        <w:t>and</w:t>
      </w:r>
      <w:r w:rsidRPr="00537489">
        <w:rPr>
          <w:spacing w:val="-8"/>
          <w:w w:val="105"/>
          <w:sz w:val="12"/>
          <w:lang w:val="en-US"/>
        </w:rPr>
        <w:t xml:space="preserve"> </w:t>
      </w:r>
      <w:r w:rsidRPr="00537489">
        <w:rPr>
          <w:w w:val="105"/>
          <w:sz w:val="12"/>
          <w:lang w:val="en-US"/>
        </w:rPr>
        <w:t>Peoples'</w:t>
      </w:r>
      <w:r w:rsidRPr="00537489">
        <w:rPr>
          <w:spacing w:val="-8"/>
          <w:w w:val="105"/>
          <w:sz w:val="12"/>
          <w:lang w:val="en-US"/>
        </w:rPr>
        <w:t xml:space="preserve"> </w:t>
      </w:r>
      <w:r w:rsidRPr="00537489">
        <w:rPr>
          <w:w w:val="105"/>
          <w:sz w:val="12"/>
          <w:lang w:val="en-US"/>
        </w:rPr>
        <w:t>Rights,</w:t>
      </w:r>
      <w:r w:rsidRPr="00537489">
        <w:rPr>
          <w:spacing w:val="-8"/>
          <w:w w:val="105"/>
          <w:sz w:val="12"/>
          <w:lang w:val="en-US"/>
        </w:rPr>
        <w:t xml:space="preserve"> </w:t>
      </w:r>
      <w:r w:rsidRPr="00537489">
        <w:rPr>
          <w:w w:val="105"/>
          <w:sz w:val="12"/>
          <w:lang w:val="en-US"/>
        </w:rPr>
        <w:t>Comisión</w:t>
      </w:r>
      <w:r w:rsidRPr="00537489">
        <w:rPr>
          <w:spacing w:val="-8"/>
          <w:w w:val="105"/>
          <w:sz w:val="12"/>
          <w:lang w:val="en-US"/>
        </w:rPr>
        <w:t xml:space="preserve"> </w:t>
      </w:r>
      <w:r w:rsidRPr="00537489">
        <w:rPr>
          <w:w w:val="105"/>
          <w:sz w:val="12"/>
          <w:lang w:val="en-US"/>
        </w:rPr>
        <w:t>Interamericana</w:t>
      </w:r>
      <w:r w:rsidRPr="00537489">
        <w:rPr>
          <w:spacing w:val="40"/>
          <w:w w:val="105"/>
          <w:sz w:val="12"/>
          <w:lang w:val="en-US"/>
        </w:rPr>
        <w:t xml:space="preserve"> </w:t>
      </w:r>
      <w:r w:rsidRPr="00537489">
        <w:rPr>
          <w:w w:val="105"/>
          <w:sz w:val="12"/>
          <w:lang w:val="en-US"/>
        </w:rPr>
        <w:t>de</w:t>
      </w:r>
      <w:r w:rsidRPr="00537489">
        <w:rPr>
          <w:spacing w:val="-7"/>
          <w:w w:val="105"/>
          <w:sz w:val="12"/>
          <w:lang w:val="en-US"/>
        </w:rPr>
        <w:t xml:space="preserve"> </w:t>
      </w:r>
      <w:r w:rsidRPr="00537489">
        <w:rPr>
          <w:w w:val="105"/>
          <w:sz w:val="12"/>
          <w:lang w:val="en-US"/>
        </w:rPr>
        <w:t>Derechos</w:t>
      </w:r>
      <w:r w:rsidRPr="00537489">
        <w:rPr>
          <w:spacing w:val="-7"/>
          <w:w w:val="105"/>
          <w:sz w:val="12"/>
          <w:lang w:val="en-US"/>
        </w:rPr>
        <w:t xml:space="preserve"> </w:t>
      </w:r>
      <w:r w:rsidRPr="00537489">
        <w:rPr>
          <w:w w:val="105"/>
          <w:sz w:val="12"/>
          <w:lang w:val="en-US"/>
        </w:rPr>
        <w:t>Humanos</w:t>
      </w:r>
      <w:r w:rsidRPr="00537489">
        <w:rPr>
          <w:spacing w:val="-7"/>
          <w:w w:val="105"/>
          <w:sz w:val="12"/>
          <w:lang w:val="en-US"/>
        </w:rPr>
        <w:t xml:space="preserve"> </w:t>
      </w:r>
      <w:r w:rsidRPr="00537489">
        <w:rPr>
          <w:w w:val="105"/>
          <w:sz w:val="12"/>
          <w:lang w:val="en-US"/>
        </w:rPr>
        <w:t>y</w:t>
      </w:r>
      <w:r w:rsidRPr="00537489">
        <w:rPr>
          <w:spacing w:val="-7"/>
          <w:w w:val="105"/>
          <w:sz w:val="12"/>
          <w:lang w:val="en-US"/>
        </w:rPr>
        <w:t xml:space="preserve"> </w:t>
      </w:r>
      <w:proofErr w:type="spellStart"/>
      <w:r w:rsidRPr="00537489">
        <w:rPr>
          <w:w w:val="105"/>
          <w:sz w:val="12"/>
          <w:lang w:val="en-US"/>
        </w:rPr>
        <w:t>Naciones</w:t>
      </w:r>
      <w:proofErr w:type="spellEnd"/>
      <w:r w:rsidRPr="00537489">
        <w:rPr>
          <w:spacing w:val="-7"/>
          <w:w w:val="105"/>
          <w:sz w:val="12"/>
          <w:lang w:val="en-US"/>
        </w:rPr>
        <w:t xml:space="preserve"> </w:t>
      </w:r>
      <w:r w:rsidRPr="00537489">
        <w:rPr>
          <w:w w:val="105"/>
          <w:sz w:val="12"/>
          <w:lang w:val="en-US"/>
        </w:rPr>
        <w:t>Unidas</w:t>
      </w:r>
      <w:r w:rsidRPr="00537489">
        <w:rPr>
          <w:spacing w:val="-7"/>
          <w:w w:val="105"/>
          <w:sz w:val="12"/>
          <w:lang w:val="en-US"/>
        </w:rPr>
        <w:t xml:space="preserve"> </w:t>
      </w:r>
      <w:r w:rsidRPr="00537489">
        <w:rPr>
          <w:w w:val="105"/>
          <w:sz w:val="12"/>
          <w:lang w:val="en-US"/>
        </w:rPr>
        <w:t>(Pretoria,</w:t>
      </w:r>
      <w:r w:rsidRPr="00537489">
        <w:rPr>
          <w:spacing w:val="-7"/>
          <w:w w:val="105"/>
          <w:sz w:val="12"/>
          <w:lang w:val="en-US"/>
        </w:rPr>
        <w:t xml:space="preserve"> </w:t>
      </w:r>
      <w:r w:rsidRPr="00537489">
        <w:rPr>
          <w:w w:val="105"/>
          <w:sz w:val="12"/>
          <w:lang w:val="en-US"/>
        </w:rPr>
        <w:t>Pretoria</w:t>
      </w:r>
      <w:r w:rsidRPr="00537489">
        <w:rPr>
          <w:spacing w:val="-8"/>
          <w:w w:val="105"/>
          <w:sz w:val="12"/>
          <w:lang w:val="en-US"/>
        </w:rPr>
        <w:t xml:space="preserve"> </w:t>
      </w:r>
      <w:r w:rsidRPr="00537489">
        <w:rPr>
          <w:w w:val="105"/>
          <w:sz w:val="12"/>
          <w:lang w:val="en-US"/>
        </w:rPr>
        <w:t>University</w:t>
      </w:r>
      <w:r w:rsidRPr="00537489">
        <w:rPr>
          <w:spacing w:val="-8"/>
          <w:w w:val="105"/>
          <w:sz w:val="12"/>
          <w:lang w:val="en-US"/>
        </w:rPr>
        <w:t xml:space="preserve"> </w:t>
      </w:r>
      <w:r w:rsidRPr="00537489">
        <w:rPr>
          <w:w w:val="105"/>
          <w:sz w:val="12"/>
          <w:lang w:val="en-US"/>
        </w:rPr>
        <w:t>Law</w:t>
      </w:r>
      <w:r w:rsidRPr="00537489">
        <w:rPr>
          <w:spacing w:val="-7"/>
          <w:w w:val="105"/>
          <w:sz w:val="12"/>
          <w:lang w:val="en-US"/>
        </w:rPr>
        <w:t xml:space="preserve"> </w:t>
      </w:r>
      <w:r w:rsidRPr="00537489">
        <w:rPr>
          <w:w w:val="105"/>
          <w:sz w:val="12"/>
          <w:lang w:val="en-US"/>
        </w:rPr>
        <w:t>Press,</w:t>
      </w:r>
      <w:r w:rsidRPr="00537489">
        <w:rPr>
          <w:spacing w:val="-7"/>
          <w:w w:val="105"/>
          <w:sz w:val="12"/>
          <w:lang w:val="en-US"/>
        </w:rPr>
        <w:t xml:space="preserve"> </w:t>
      </w:r>
      <w:r w:rsidRPr="00537489">
        <w:rPr>
          <w:w w:val="105"/>
          <w:sz w:val="12"/>
          <w:lang w:val="en-US"/>
        </w:rPr>
        <w:t>2016).</w:t>
      </w:r>
      <w:r w:rsidRPr="00537489">
        <w:rPr>
          <w:spacing w:val="-7"/>
          <w:w w:val="105"/>
          <w:sz w:val="12"/>
          <w:lang w:val="en-US"/>
        </w:rPr>
        <w:t xml:space="preserve"> </w:t>
      </w:r>
      <w:r>
        <w:rPr>
          <w:w w:val="105"/>
          <w:sz w:val="12"/>
        </w:rPr>
        <w:t>Disponible</w:t>
      </w:r>
      <w:r>
        <w:rPr>
          <w:spacing w:val="-7"/>
          <w:w w:val="105"/>
          <w:sz w:val="12"/>
        </w:rPr>
        <w:t xml:space="preserve"> </w:t>
      </w:r>
      <w:r>
        <w:rPr>
          <w:w w:val="105"/>
          <w:sz w:val="12"/>
        </w:rPr>
        <w:t>en</w:t>
      </w:r>
      <w:r>
        <w:rPr>
          <w:spacing w:val="-7"/>
          <w:w w:val="105"/>
          <w:sz w:val="12"/>
        </w:rPr>
        <w:t xml:space="preserve"> </w:t>
      </w:r>
      <w:hyperlink r:id="rId100">
        <w:r>
          <w:rPr>
            <w:color w:val="0075BF"/>
            <w:w w:val="105"/>
            <w:sz w:val="12"/>
          </w:rPr>
          <w:t>www.ohchr.org/Documents/Issues/Discrimination/</w:t>
        </w:r>
      </w:hyperlink>
      <w:r>
        <w:rPr>
          <w:color w:val="0075BF"/>
          <w:spacing w:val="40"/>
          <w:w w:val="105"/>
          <w:sz w:val="12"/>
        </w:rPr>
        <w:t xml:space="preserve"> </w:t>
      </w:r>
      <w:proofErr w:type="spellStart"/>
      <w:r>
        <w:rPr>
          <w:color w:val="0075BF"/>
          <w:spacing w:val="-2"/>
          <w:w w:val="105"/>
          <w:sz w:val="12"/>
        </w:rPr>
        <w:t>Endingviolence_ACHPR_IACHR</w:t>
      </w:r>
      <w:proofErr w:type="spellEnd"/>
      <w:r>
        <w:rPr>
          <w:color w:val="0075BF"/>
          <w:spacing w:val="-2"/>
          <w:w w:val="105"/>
          <w:sz w:val="12"/>
        </w:rPr>
        <w:t>_</w:t>
      </w:r>
    </w:p>
    <w:p w14:paraId="232DE570" w14:textId="77777777" w:rsidR="0014798C" w:rsidRDefault="004E1F0B">
      <w:pPr>
        <w:spacing w:before="1"/>
        <w:ind w:left="1365"/>
        <w:rPr>
          <w:sz w:val="12"/>
        </w:rPr>
      </w:pPr>
      <w:r>
        <w:rPr>
          <w:color w:val="0075BF"/>
          <w:spacing w:val="-2"/>
          <w:w w:val="105"/>
          <w:sz w:val="12"/>
        </w:rPr>
        <w:t>UN_SOGI_dialogue_EN.pdf.</w:t>
      </w:r>
    </w:p>
    <w:p w14:paraId="32C7CB5C" w14:textId="77777777" w:rsidR="0014798C" w:rsidRDefault="0014798C">
      <w:pPr>
        <w:rPr>
          <w:sz w:val="12"/>
        </w:rPr>
        <w:sectPr w:rsidR="0014798C" w:rsidSect="00F265E4">
          <w:type w:val="continuous"/>
          <w:pgSz w:w="11900" w:h="16820"/>
          <w:pgMar w:top="40" w:right="0" w:bottom="280" w:left="200" w:header="121" w:footer="0" w:gutter="0"/>
          <w:cols w:space="720"/>
        </w:sectPr>
      </w:pPr>
    </w:p>
    <w:p w14:paraId="35D161D0" w14:textId="77777777" w:rsidR="0014798C" w:rsidRDefault="004E1F0B">
      <w:pPr>
        <w:spacing w:before="88"/>
        <w:jc w:val="right"/>
        <w:rPr>
          <w:sz w:val="8"/>
        </w:rPr>
      </w:pPr>
      <w:r>
        <w:rPr>
          <w:spacing w:val="-5"/>
          <w:w w:val="105"/>
          <w:sz w:val="8"/>
        </w:rPr>
        <w:t>146</w:t>
      </w:r>
    </w:p>
    <w:p w14:paraId="3CA236CA" w14:textId="77777777" w:rsidR="0014798C" w:rsidRDefault="004E1F0B">
      <w:pPr>
        <w:spacing w:before="98"/>
        <w:ind w:left="77"/>
        <w:rPr>
          <w:sz w:val="12"/>
        </w:rPr>
      </w:pPr>
      <w:r>
        <w:br w:type="column"/>
      </w:r>
      <w:r>
        <w:rPr>
          <w:spacing w:val="-2"/>
          <w:w w:val="105"/>
          <w:sz w:val="12"/>
        </w:rPr>
        <w:t>Véase,</w:t>
      </w:r>
      <w:r>
        <w:rPr>
          <w:spacing w:val="1"/>
          <w:w w:val="105"/>
          <w:sz w:val="12"/>
        </w:rPr>
        <w:t xml:space="preserve"> </w:t>
      </w:r>
      <w:r>
        <w:rPr>
          <w:spacing w:val="-2"/>
          <w:w w:val="105"/>
          <w:sz w:val="12"/>
        </w:rPr>
        <w:t>por</w:t>
      </w:r>
      <w:r>
        <w:rPr>
          <w:spacing w:val="1"/>
          <w:w w:val="105"/>
          <w:sz w:val="12"/>
        </w:rPr>
        <w:t xml:space="preserve"> </w:t>
      </w:r>
      <w:r>
        <w:rPr>
          <w:spacing w:val="-2"/>
          <w:w w:val="105"/>
          <w:sz w:val="12"/>
        </w:rPr>
        <w:t>ejemplo,</w:t>
      </w:r>
      <w:r>
        <w:rPr>
          <w:spacing w:val="1"/>
          <w:w w:val="105"/>
          <w:sz w:val="12"/>
        </w:rPr>
        <w:t xml:space="preserve"> </w:t>
      </w:r>
      <w:r>
        <w:rPr>
          <w:spacing w:val="-2"/>
          <w:w w:val="105"/>
          <w:sz w:val="12"/>
        </w:rPr>
        <w:t>Malta,</w:t>
      </w:r>
      <w:r>
        <w:rPr>
          <w:spacing w:val="1"/>
          <w:w w:val="105"/>
          <w:sz w:val="12"/>
        </w:rPr>
        <w:t xml:space="preserve"> </w:t>
      </w:r>
      <w:r>
        <w:rPr>
          <w:spacing w:val="-2"/>
          <w:w w:val="105"/>
          <w:sz w:val="12"/>
        </w:rPr>
        <w:t>Ley</w:t>
      </w:r>
      <w:r>
        <w:rPr>
          <w:spacing w:val="1"/>
          <w:w w:val="105"/>
          <w:sz w:val="12"/>
        </w:rPr>
        <w:t xml:space="preserve"> </w:t>
      </w:r>
      <w:r>
        <w:rPr>
          <w:spacing w:val="-2"/>
          <w:w w:val="105"/>
          <w:sz w:val="12"/>
        </w:rPr>
        <w:t>de</w:t>
      </w:r>
      <w:r>
        <w:rPr>
          <w:spacing w:val="1"/>
          <w:w w:val="105"/>
          <w:sz w:val="12"/>
        </w:rPr>
        <w:t xml:space="preserve"> </w:t>
      </w:r>
      <w:r>
        <w:rPr>
          <w:spacing w:val="-2"/>
          <w:w w:val="105"/>
          <w:sz w:val="12"/>
        </w:rPr>
        <w:t>identidad</w:t>
      </w:r>
      <w:r>
        <w:rPr>
          <w:spacing w:val="1"/>
          <w:w w:val="105"/>
          <w:sz w:val="12"/>
        </w:rPr>
        <w:t xml:space="preserve"> </w:t>
      </w:r>
      <w:r>
        <w:rPr>
          <w:spacing w:val="-2"/>
          <w:w w:val="105"/>
          <w:sz w:val="12"/>
        </w:rPr>
        <w:t>de</w:t>
      </w:r>
      <w:r>
        <w:rPr>
          <w:spacing w:val="1"/>
          <w:w w:val="105"/>
          <w:sz w:val="12"/>
        </w:rPr>
        <w:t xml:space="preserve"> </w:t>
      </w:r>
      <w:r>
        <w:rPr>
          <w:spacing w:val="-2"/>
          <w:w w:val="105"/>
          <w:sz w:val="12"/>
        </w:rPr>
        <w:t>género,</w:t>
      </w:r>
      <w:r>
        <w:rPr>
          <w:spacing w:val="1"/>
          <w:w w:val="105"/>
          <w:sz w:val="12"/>
        </w:rPr>
        <w:t xml:space="preserve"> </w:t>
      </w:r>
      <w:r>
        <w:rPr>
          <w:spacing w:val="-2"/>
          <w:w w:val="105"/>
          <w:sz w:val="12"/>
        </w:rPr>
        <w:t>expresión</w:t>
      </w:r>
      <w:r>
        <w:rPr>
          <w:spacing w:val="1"/>
          <w:w w:val="105"/>
          <w:sz w:val="12"/>
        </w:rPr>
        <w:t xml:space="preserve"> </w:t>
      </w:r>
      <w:r>
        <w:rPr>
          <w:spacing w:val="-2"/>
          <w:w w:val="105"/>
          <w:sz w:val="12"/>
        </w:rPr>
        <w:t>de</w:t>
      </w:r>
      <w:r>
        <w:rPr>
          <w:spacing w:val="1"/>
          <w:w w:val="105"/>
          <w:sz w:val="12"/>
        </w:rPr>
        <w:t xml:space="preserve"> </w:t>
      </w:r>
      <w:r>
        <w:rPr>
          <w:spacing w:val="-2"/>
          <w:w w:val="105"/>
          <w:sz w:val="12"/>
        </w:rPr>
        <w:t>género</w:t>
      </w:r>
      <w:r>
        <w:rPr>
          <w:spacing w:val="1"/>
          <w:w w:val="105"/>
          <w:sz w:val="12"/>
        </w:rPr>
        <w:t xml:space="preserve"> </w:t>
      </w:r>
      <w:r>
        <w:rPr>
          <w:spacing w:val="-2"/>
          <w:w w:val="105"/>
          <w:sz w:val="12"/>
        </w:rPr>
        <w:t>y</w:t>
      </w:r>
      <w:r>
        <w:rPr>
          <w:spacing w:val="1"/>
          <w:w w:val="105"/>
          <w:sz w:val="12"/>
        </w:rPr>
        <w:t xml:space="preserve"> </w:t>
      </w:r>
      <w:r>
        <w:rPr>
          <w:spacing w:val="-2"/>
          <w:w w:val="105"/>
          <w:sz w:val="12"/>
        </w:rPr>
        <w:t>características</w:t>
      </w:r>
      <w:r>
        <w:rPr>
          <w:w w:val="105"/>
          <w:sz w:val="12"/>
        </w:rPr>
        <w:t xml:space="preserve"> </w:t>
      </w:r>
      <w:r>
        <w:rPr>
          <w:spacing w:val="-2"/>
          <w:w w:val="105"/>
          <w:sz w:val="12"/>
        </w:rPr>
        <w:t>sexuales</w:t>
      </w:r>
      <w:r>
        <w:rPr>
          <w:spacing w:val="1"/>
          <w:w w:val="105"/>
          <w:sz w:val="12"/>
        </w:rPr>
        <w:t xml:space="preserve"> </w:t>
      </w:r>
      <w:r>
        <w:rPr>
          <w:spacing w:val="-2"/>
          <w:w w:val="105"/>
          <w:sz w:val="12"/>
        </w:rPr>
        <w:t>de</w:t>
      </w:r>
      <w:r>
        <w:rPr>
          <w:spacing w:val="1"/>
          <w:w w:val="105"/>
          <w:sz w:val="12"/>
        </w:rPr>
        <w:t xml:space="preserve"> </w:t>
      </w:r>
      <w:r>
        <w:rPr>
          <w:spacing w:val="-2"/>
          <w:w w:val="105"/>
          <w:sz w:val="12"/>
        </w:rPr>
        <w:t>2015.</w:t>
      </w:r>
    </w:p>
    <w:p w14:paraId="361CAF23" w14:textId="77777777" w:rsidR="0014798C" w:rsidRDefault="0014798C">
      <w:pPr>
        <w:rPr>
          <w:sz w:val="12"/>
        </w:rPr>
        <w:sectPr w:rsidR="0014798C" w:rsidSect="00F265E4">
          <w:type w:val="continuous"/>
          <w:pgSz w:w="11900" w:h="16820"/>
          <w:pgMar w:top="40" w:right="0" w:bottom="280" w:left="200" w:header="121" w:footer="0" w:gutter="0"/>
          <w:cols w:num="2" w:space="720" w:equalWidth="0">
            <w:col w:w="1253" w:space="40"/>
            <w:col w:w="10407"/>
          </w:cols>
        </w:sectPr>
      </w:pPr>
    </w:p>
    <w:p w14:paraId="05779DB2" w14:textId="77777777" w:rsidR="0014798C" w:rsidRDefault="0014798C">
      <w:pPr>
        <w:pStyle w:val="Textoindependiente"/>
        <w:rPr>
          <w:sz w:val="17"/>
        </w:rPr>
      </w:pPr>
    </w:p>
    <w:p w14:paraId="1B6E8FDD" w14:textId="77777777" w:rsidR="0014798C" w:rsidRDefault="004E1F0B">
      <w:pPr>
        <w:ind w:right="729"/>
        <w:jc w:val="right"/>
        <w:rPr>
          <w:sz w:val="17"/>
        </w:rPr>
      </w:pPr>
      <w:r>
        <w:rPr>
          <w:spacing w:val="-5"/>
          <w:sz w:val="17"/>
        </w:rPr>
        <w:t>21</w:t>
      </w:r>
    </w:p>
    <w:p w14:paraId="7B91DC5C" w14:textId="77777777" w:rsidR="0014798C" w:rsidRDefault="0014798C">
      <w:pPr>
        <w:jc w:val="right"/>
        <w:rPr>
          <w:sz w:val="17"/>
        </w:rPr>
        <w:sectPr w:rsidR="0014798C" w:rsidSect="00F265E4">
          <w:type w:val="continuous"/>
          <w:pgSz w:w="11900" w:h="16820"/>
          <w:pgMar w:top="40" w:right="0" w:bottom="280" w:left="200" w:header="121" w:footer="0" w:gutter="0"/>
          <w:cols w:space="720"/>
        </w:sectPr>
      </w:pPr>
    </w:p>
    <w:p w14:paraId="25BFB5C7" w14:textId="77777777" w:rsidR="0014798C" w:rsidRDefault="0014798C">
      <w:pPr>
        <w:pStyle w:val="Textoindependiente"/>
        <w:spacing w:before="85"/>
        <w:rPr>
          <w:sz w:val="12"/>
        </w:rPr>
      </w:pPr>
    </w:p>
    <w:p w14:paraId="46AD4C9D" w14:textId="77777777" w:rsidR="0014798C" w:rsidRDefault="004E1F0B">
      <w:pPr>
        <w:ind w:left="1111"/>
        <w:rPr>
          <w:sz w:val="12"/>
        </w:rPr>
      </w:pPr>
      <w:r>
        <w:rPr>
          <w:color w:val="00AC59"/>
          <w:sz w:val="12"/>
        </w:rPr>
        <w:t>PROTECCIÓN</w:t>
      </w:r>
      <w:r>
        <w:rPr>
          <w:color w:val="00AC59"/>
          <w:spacing w:val="6"/>
          <w:sz w:val="12"/>
        </w:rPr>
        <w:t xml:space="preserve"> </w:t>
      </w:r>
      <w:r>
        <w:rPr>
          <w:color w:val="00AC59"/>
          <w:sz w:val="12"/>
        </w:rPr>
        <w:t>DE</w:t>
      </w:r>
      <w:r>
        <w:rPr>
          <w:color w:val="00AC59"/>
          <w:spacing w:val="7"/>
          <w:sz w:val="12"/>
        </w:rPr>
        <w:t xml:space="preserve"> </w:t>
      </w:r>
      <w:r>
        <w:rPr>
          <w:color w:val="00AC59"/>
          <w:sz w:val="12"/>
        </w:rPr>
        <w:t>LOS</w:t>
      </w:r>
      <w:r>
        <w:rPr>
          <w:color w:val="00AC59"/>
          <w:spacing w:val="8"/>
          <w:sz w:val="12"/>
        </w:rPr>
        <w:t xml:space="preserve"> </w:t>
      </w:r>
      <w:r>
        <w:rPr>
          <w:color w:val="00AC59"/>
          <w:sz w:val="12"/>
        </w:rPr>
        <w:t>DERECHOS</w:t>
      </w:r>
      <w:r>
        <w:rPr>
          <w:color w:val="00AC59"/>
          <w:spacing w:val="8"/>
          <w:sz w:val="12"/>
        </w:rPr>
        <w:t xml:space="preserve"> </w:t>
      </w:r>
      <w:r>
        <w:rPr>
          <w:color w:val="00AC59"/>
          <w:sz w:val="12"/>
        </w:rPr>
        <w:t>DE</w:t>
      </w:r>
      <w:r>
        <w:rPr>
          <w:color w:val="00AC59"/>
          <w:spacing w:val="6"/>
          <w:sz w:val="12"/>
        </w:rPr>
        <w:t xml:space="preserve"> </w:t>
      </w:r>
      <w:r>
        <w:rPr>
          <w:color w:val="00AC59"/>
          <w:sz w:val="12"/>
        </w:rPr>
        <w:t>LAS</w:t>
      </w:r>
      <w:r>
        <w:rPr>
          <w:color w:val="00AC59"/>
          <w:spacing w:val="7"/>
          <w:sz w:val="12"/>
        </w:rPr>
        <w:t xml:space="preserve"> </w:t>
      </w:r>
      <w:r>
        <w:rPr>
          <w:color w:val="00AC59"/>
          <w:sz w:val="12"/>
        </w:rPr>
        <w:t>MINORÍAS:</w:t>
      </w:r>
      <w:r>
        <w:rPr>
          <w:color w:val="00AC59"/>
          <w:spacing w:val="8"/>
          <w:sz w:val="12"/>
        </w:rPr>
        <w:t xml:space="preserve"> </w:t>
      </w:r>
      <w:r>
        <w:rPr>
          <w:color w:val="00AC59"/>
          <w:sz w:val="12"/>
        </w:rPr>
        <w:t>una</w:t>
      </w:r>
      <w:r>
        <w:rPr>
          <w:color w:val="00AC59"/>
          <w:spacing w:val="7"/>
          <w:sz w:val="12"/>
        </w:rPr>
        <w:t xml:space="preserve"> </w:t>
      </w:r>
      <w:r>
        <w:rPr>
          <w:color w:val="00AC59"/>
          <w:sz w:val="12"/>
        </w:rPr>
        <w:t>guía</w:t>
      </w:r>
      <w:r>
        <w:rPr>
          <w:color w:val="00AC59"/>
          <w:spacing w:val="6"/>
          <w:sz w:val="12"/>
        </w:rPr>
        <w:t xml:space="preserve"> </w:t>
      </w:r>
      <w:r>
        <w:rPr>
          <w:color w:val="00AC59"/>
          <w:sz w:val="12"/>
        </w:rPr>
        <w:t>práctica</w:t>
      </w:r>
      <w:r>
        <w:rPr>
          <w:color w:val="00AC59"/>
          <w:spacing w:val="7"/>
          <w:sz w:val="12"/>
        </w:rPr>
        <w:t xml:space="preserve"> </w:t>
      </w:r>
      <w:r>
        <w:rPr>
          <w:color w:val="00AC59"/>
          <w:sz w:val="12"/>
        </w:rPr>
        <w:t>para</w:t>
      </w:r>
      <w:r>
        <w:rPr>
          <w:color w:val="00AC59"/>
          <w:spacing w:val="8"/>
          <w:sz w:val="12"/>
        </w:rPr>
        <w:t xml:space="preserve"> </w:t>
      </w:r>
      <w:r>
        <w:rPr>
          <w:color w:val="00AC59"/>
          <w:sz w:val="12"/>
        </w:rPr>
        <w:t>desarrollar</w:t>
      </w:r>
      <w:r>
        <w:rPr>
          <w:color w:val="00AC59"/>
          <w:spacing w:val="6"/>
          <w:sz w:val="12"/>
        </w:rPr>
        <w:t xml:space="preserve"> </w:t>
      </w:r>
      <w:r>
        <w:rPr>
          <w:color w:val="00AC59"/>
          <w:sz w:val="12"/>
        </w:rPr>
        <w:t>una</w:t>
      </w:r>
      <w:r>
        <w:rPr>
          <w:color w:val="00AC59"/>
          <w:spacing w:val="7"/>
          <w:sz w:val="12"/>
        </w:rPr>
        <w:t xml:space="preserve"> </w:t>
      </w:r>
      <w:r>
        <w:rPr>
          <w:color w:val="00AC59"/>
          <w:sz w:val="12"/>
        </w:rPr>
        <w:t>legislación</w:t>
      </w:r>
      <w:r>
        <w:rPr>
          <w:color w:val="00AC59"/>
          <w:spacing w:val="8"/>
          <w:sz w:val="12"/>
        </w:rPr>
        <w:t xml:space="preserve"> </w:t>
      </w:r>
      <w:r>
        <w:rPr>
          <w:color w:val="00AC59"/>
          <w:sz w:val="12"/>
        </w:rPr>
        <w:t>integral</w:t>
      </w:r>
      <w:r>
        <w:rPr>
          <w:color w:val="00AC59"/>
          <w:spacing w:val="7"/>
          <w:sz w:val="12"/>
        </w:rPr>
        <w:t xml:space="preserve"> </w:t>
      </w:r>
      <w:r>
        <w:rPr>
          <w:color w:val="00AC59"/>
          <w:sz w:val="12"/>
        </w:rPr>
        <w:t>contra</w:t>
      </w:r>
      <w:r>
        <w:rPr>
          <w:color w:val="00AC59"/>
          <w:spacing w:val="6"/>
          <w:sz w:val="12"/>
        </w:rPr>
        <w:t xml:space="preserve"> </w:t>
      </w:r>
      <w:r>
        <w:rPr>
          <w:color w:val="00AC59"/>
          <w:sz w:val="12"/>
        </w:rPr>
        <w:t>la</w:t>
      </w:r>
      <w:r>
        <w:rPr>
          <w:color w:val="00AC59"/>
          <w:spacing w:val="7"/>
          <w:sz w:val="12"/>
        </w:rPr>
        <w:t xml:space="preserve"> </w:t>
      </w:r>
      <w:r>
        <w:rPr>
          <w:color w:val="00AC59"/>
          <w:spacing w:val="-2"/>
          <w:sz w:val="12"/>
        </w:rPr>
        <w:t>discriminación</w:t>
      </w:r>
    </w:p>
    <w:p w14:paraId="0160FB28" w14:textId="77777777" w:rsidR="0014798C" w:rsidRDefault="0014798C">
      <w:pPr>
        <w:pStyle w:val="Textoindependiente"/>
      </w:pPr>
    </w:p>
    <w:p w14:paraId="008FD207" w14:textId="77777777" w:rsidR="0014798C" w:rsidRDefault="0014798C">
      <w:pPr>
        <w:pStyle w:val="Textoindependiente"/>
      </w:pPr>
    </w:p>
    <w:p w14:paraId="2878F544" w14:textId="77777777" w:rsidR="0014798C" w:rsidRDefault="0014798C">
      <w:pPr>
        <w:pStyle w:val="Textoindependiente"/>
      </w:pPr>
    </w:p>
    <w:p w14:paraId="436602D0" w14:textId="77777777" w:rsidR="0014798C" w:rsidRDefault="0014798C">
      <w:pPr>
        <w:pStyle w:val="Textoindependiente"/>
      </w:pPr>
    </w:p>
    <w:p w14:paraId="3B86AD3B" w14:textId="77777777" w:rsidR="0014798C" w:rsidRDefault="0014798C">
      <w:pPr>
        <w:pStyle w:val="Textoindependiente"/>
        <w:spacing w:before="51"/>
      </w:pPr>
    </w:p>
    <w:p w14:paraId="38B0937D" w14:textId="77777777" w:rsidR="0014798C" w:rsidRDefault="004E1F0B">
      <w:pPr>
        <w:pStyle w:val="Textoindependiente"/>
        <w:spacing w:line="326" w:lineRule="auto"/>
        <w:ind w:left="1108" w:right="1272" w:firstLine="1"/>
      </w:pPr>
      <w:r>
        <w:t>en</w:t>
      </w:r>
      <w:r>
        <w:rPr>
          <w:spacing w:val="-3"/>
        </w:rPr>
        <w:t xml:space="preserve"> </w:t>
      </w:r>
      <w:r>
        <w:t>el</w:t>
      </w:r>
      <w:r>
        <w:rPr>
          <w:spacing w:val="-3"/>
        </w:rPr>
        <w:t xml:space="preserve"> </w:t>
      </w:r>
      <w:r>
        <w:t>derecho</w:t>
      </w:r>
      <w:r>
        <w:rPr>
          <w:spacing w:val="-3"/>
        </w:rPr>
        <w:t xml:space="preserve"> </w:t>
      </w:r>
      <w:r>
        <w:t>internacional.</w:t>
      </w:r>
      <w:r>
        <w:rPr>
          <w:spacing w:val="-2"/>
        </w:rPr>
        <w:t xml:space="preserve"> </w:t>
      </w:r>
      <w:r>
        <w:t>Esta</w:t>
      </w:r>
      <w:r>
        <w:rPr>
          <w:spacing w:val="-3"/>
        </w:rPr>
        <w:t xml:space="preserve"> </w:t>
      </w:r>
      <w:r>
        <w:t>lista</w:t>
      </w:r>
      <w:r>
        <w:rPr>
          <w:spacing w:val="-3"/>
        </w:rPr>
        <w:t xml:space="preserve"> </w:t>
      </w:r>
      <w:r>
        <w:t>incluye</w:t>
      </w:r>
      <w:r>
        <w:rPr>
          <w:spacing w:val="-3"/>
        </w:rPr>
        <w:t xml:space="preserve"> </w:t>
      </w:r>
      <w:r>
        <w:t>–</w:t>
      </w:r>
      <w:r>
        <w:rPr>
          <w:spacing w:val="-3"/>
        </w:rPr>
        <w:t xml:space="preserve"> </w:t>
      </w:r>
      <w:r>
        <w:t>además</w:t>
      </w:r>
      <w:r>
        <w:rPr>
          <w:spacing w:val="-3"/>
        </w:rPr>
        <w:t xml:space="preserve"> </w:t>
      </w:r>
      <w:r>
        <w:t>de</w:t>
      </w:r>
      <w:r>
        <w:rPr>
          <w:spacing w:val="-3"/>
        </w:rPr>
        <w:t xml:space="preserve"> </w:t>
      </w:r>
      <w:r>
        <w:t>las</w:t>
      </w:r>
      <w:r>
        <w:rPr>
          <w:spacing w:val="-3"/>
        </w:rPr>
        <w:t xml:space="preserve"> </w:t>
      </w:r>
      <w:r>
        <w:t>características</w:t>
      </w:r>
      <w:r>
        <w:rPr>
          <w:spacing w:val="-3"/>
        </w:rPr>
        <w:t xml:space="preserve"> </w:t>
      </w:r>
      <w:r>
        <w:t>explícitamente</w:t>
      </w:r>
      <w:r>
        <w:rPr>
          <w:spacing w:val="-3"/>
        </w:rPr>
        <w:t xml:space="preserve"> </w:t>
      </w:r>
      <w:r>
        <w:t>enumeradas</w:t>
      </w:r>
      <w:r>
        <w:rPr>
          <w:spacing w:val="-3"/>
        </w:rPr>
        <w:t xml:space="preserve"> </w:t>
      </w:r>
      <w:r>
        <w:t>anteriormente</w:t>
      </w:r>
      <w:r>
        <w:rPr>
          <w:spacing w:val="-3"/>
        </w:rPr>
        <w:t xml:space="preserve"> </w:t>
      </w:r>
      <w:r>
        <w:t>–</w:t>
      </w:r>
      <w:r>
        <w:rPr>
          <w:spacing w:val="-3"/>
        </w:rPr>
        <w:t xml:space="preserve"> </w:t>
      </w:r>
      <w:r>
        <w:t xml:space="preserve">estatus familiar (o cuidador),147 identidad de género,148 estado de salud, lugar de residencia, orientación sexual,149 situación </w:t>
      </w:r>
      <w:proofErr w:type="gramStart"/>
      <w:r>
        <w:t>social ,</w:t>
      </w:r>
      <w:proofErr w:type="gramEnd"/>
      <w:r>
        <w:t xml:space="preserve"> estado civil, expresión de género,150 genética </w:t>
      </w:r>
      <w:proofErr w:type="spellStart"/>
      <w:r>
        <w:t>o</w:t>
      </w:r>
      <w:proofErr w:type="spellEnd"/>
      <w:r>
        <w:t xml:space="preserve"> otra predisposición a la enfermedad, origen indígena, condición de migrante, condición de minoría nacional, características sexuales151 y condición de refugiado o asilo.152 En el curso de la resolución de</w:t>
      </w:r>
    </w:p>
    <w:p w14:paraId="69170131" w14:textId="77777777" w:rsidR="0014798C" w:rsidRDefault="004E1F0B">
      <w:pPr>
        <w:pStyle w:val="Textoindependiente"/>
        <w:spacing w:line="182" w:lineRule="exact"/>
        <w:ind w:left="1111"/>
      </w:pPr>
      <w:r>
        <w:t>casos,</w:t>
      </w:r>
      <w:r>
        <w:rPr>
          <w:spacing w:val="-5"/>
        </w:rPr>
        <w:t xml:space="preserve"> </w:t>
      </w:r>
      <w:r>
        <w:t>los</w:t>
      </w:r>
      <w:r>
        <w:rPr>
          <w:spacing w:val="-4"/>
        </w:rPr>
        <w:t xml:space="preserve"> </w:t>
      </w:r>
      <w:r>
        <w:t>órganos</w:t>
      </w:r>
      <w:r>
        <w:rPr>
          <w:spacing w:val="-4"/>
        </w:rPr>
        <w:t xml:space="preserve"> </w:t>
      </w:r>
      <w:r>
        <w:t>creados</w:t>
      </w:r>
      <w:r>
        <w:rPr>
          <w:spacing w:val="-4"/>
        </w:rPr>
        <w:t xml:space="preserve"> </w:t>
      </w:r>
      <w:r>
        <w:t>en</w:t>
      </w:r>
      <w:r>
        <w:rPr>
          <w:spacing w:val="-4"/>
        </w:rPr>
        <w:t xml:space="preserve"> </w:t>
      </w:r>
      <w:r>
        <w:t>virtud</w:t>
      </w:r>
      <w:r>
        <w:rPr>
          <w:spacing w:val="-4"/>
        </w:rPr>
        <w:t xml:space="preserve"> </w:t>
      </w:r>
      <w:r>
        <w:t>de</w:t>
      </w:r>
      <w:r>
        <w:rPr>
          <w:spacing w:val="-3"/>
        </w:rPr>
        <w:t xml:space="preserve"> </w:t>
      </w:r>
      <w:r>
        <w:t>tratados</w:t>
      </w:r>
      <w:r>
        <w:rPr>
          <w:spacing w:val="-4"/>
        </w:rPr>
        <w:t xml:space="preserve"> </w:t>
      </w:r>
      <w:r>
        <w:t>han</w:t>
      </w:r>
      <w:r>
        <w:rPr>
          <w:spacing w:val="-4"/>
        </w:rPr>
        <w:t xml:space="preserve"> </w:t>
      </w:r>
      <w:r>
        <w:t>reconocido</w:t>
      </w:r>
      <w:r>
        <w:rPr>
          <w:spacing w:val="-4"/>
        </w:rPr>
        <w:t xml:space="preserve"> </w:t>
      </w:r>
      <w:r>
        <w:t>otros</w:t>
      </w:r>
      <w:r>
        <w:rPr>
          <w:spacing w:val="-4"/>
        </w:rPr>
        <w:t xml:space="preserve"> </w:t>
      </w:r>
      <w:r>
        <w:t>motivos,</w:t>
      </w:r>
      <w:r>
        <w:rPr>
          <w:spacing w:val="-3"/>
        </w:rPr>
        <w:t xml:space="preserve"> </w:t>
      </w:r>
      <w:r>
        <w:t>basados</w:t>
      </w:r>
      <w:r>
        <w:rPr>
          <w:spacing w:val="-3"/>
        </w:rPr>
        <w:t xml:space="preserve"> </w:t>
      </w:r>
      <w:r>
        <w:t>en</w:t>
      </w:r>
      <w:r>
        <w:rPr>
          <w:spacing w:val="-4"/>
        </w:rPr>
        <w:t xml:space="preserve"> </w:t>
      </w:r>
      <w:r>
        <w:t>la</w:t>
      </w:r>
      <w:r>
        <w:rPr>
          <w:spacing w:val="-4"/>
        </w:rPr>
        <w:t xml:space="preserve"> </w:t>
      </w:r>
      <w:r>
        <w:t>legislación</w:t>
      </w:r>
      <w:r>
        <w:rPr>
          <w:spacing w:val="-4"/>
        </w:rPr>
        <w:t xml:space="preserve"> </w:t>
      </w:r>
      <w:r>
        <w:t>nacional,</w:t>
      </w:r>
      <w:r>
        <w:rPr>
          <w:spacing w:val="-3"/>
        </w:rPr>
        <w:t xml:space="preserve"> </w:t>
      </w:r>
      <w:r>
        <w:t>como</w:t>
      </w:r>
      <w:r>
        <w:rPr>
          <w:spacing w:val="-4"/>
        </w:rPr>
        <w:t xml:space="preserve"> </w:t>
      </w:r>
      <w:r>
        <w:t>la</w:t>
      </w:r>
      <w:r>
        <w:rPr>
          <w:spacing w:val="-3"/>
        </w:rPr>
        <w:t xml:space="preserve"> </w:t>
      </w:r>
      <w:r>
        <w:rPr>
          <w:spacing w:val="-2"/>
        </w:rPr>
        <w:t>“ascendencia”.153</w:t>
      </w:r>
    </w:p>
    <w:p w14:paraId="3295AC63" w14:textId="77777777" w:rsidR="0014798C" w:rsidRDefault="0014798C">
      <w:pPr>
        <w:pStyle w:val="Textoindependiente"/>
        <w:spacing w:before="52"/>
      </w:pPr>
    </w:p>
    <w:p w14:paraId="330327E9" w14:textId="77777777" w:rsidR="0014798C" w:rsidRDefault="004E1F0B">
      <w:pPr>
        <w:pStyle w:val="Textoindependiente"/>
        <w:spacing w:line="326" w:lineRule="auto"/>
        <w:ind w:left="1106" w:right="1166" w:firstLine="6"/>
      </w:pPr>
      <w:r>
        <w:t>Algunos órganos creados en virtud de tratados han considerado en conjunto determinados motivos de discriminación. En su Observación</w:t>
      </w:r>
      <w:r>
        <w:rPr>
          <w:spacing w:val="-3"/>
        </w:rPr>
        <w:t xml:space="preserve"> </w:t>
      </w:r>
      <w:r>
        <w:t>general</w:t>
      </w:r>
      <w:r>
        <w:rPr>
          <w:spacing w:val="-3"/>
        </w:rPr>
        <w:t xml:space="preserve"> </w:t>
      </w:r>
      <w:proofErr w:type="spellStart"/>
      <w:r>
        <w:t>Nº</w:t>
      </w:r>
      <w:proofErr w:type="spellEnd"/>
      <w:r>
        <w:rPr>
          <w:spacing w:val="-3"/>
        </w:rPr>
        <w:t xml:space="preserve"> </w:t>
      </w:r>
      <w:r>
        <w:t>20</w:t>
      </w:r>
      <w:r>
        <w:rPr>
          <w:spacing w:val="-3"/>
        </w:rPr>
        <w:t xml:space="preserve"> </w:t>
      </w:r>
      <w:r>
        <w:t>(2009),</w:t>
      </w:r>
      <w:r>
        <w:rPr>
          <w:spacing w:val="-2"/>
        </w:rPr>
        <w:t xml:space="preserve"> </w:t>
      </w:r>
      <w:r>
        <w:t>por</w:t>
      </w:r>
      <w:r>
        <w:rPr>
          <w:spacing w:val="-3"/>
        </w:rPr>
        <w:t xml:space="preserve"> </w:t>
      </w:r>
      <w:r>
        <w:t>ejemplo,</w:t>
      </w:r>
      <w:r>
        <w:rPr>
          <w:spacing w:val="-2"/>
        </w:rPr>
        <w:t xml:space="preserve"> </w:t>
      </w:r>
      <w:r>
        <w:t>el</w:t>
      </w:r>
      <w:r>
        <w:rPr>
          <w:spacing w:val="-3"/>
        </w:rPr>
        <w:t xml:space="preserve"> </w:t>
      </w:r>
      <w:r>
        <w:t>Comité</w:t>
      </w:r>
      <w:r>
        <w:rPr>
          <w:spacing w:val="-3"/>
        </w:rPr>
        <w:t xml:space="preserve"> </w:t>
      </w:r>
      <w:r>
        <w:t>de</w:t>
      </w:r>
      <w:r>
        <w:rPr>
          <w:spacing w:val="-3"/>
        </w:rPr>
        <w:t xml:space="preserve"> </w:t>
      </w:r>
      <w:r>
        <w:t>Derechos</w:t>
      </w:r>
      <w:r>
        <w:rPr>
          <w:spacing w:val="-3"/>
        </w:rPr>
        <w:t xml:space="preserve"> </w:t>
      </w:r>
      <w:r>
        <w:t>Económicos,</w:t>
      </w:r>
      <w:r>
        <w:rPr>
          <w:spacing w:val="-2"/>
        </w:rPr>
        <w:t xml:space="preserve"> </w:t>
      </w:r>
      <w:r>
        <w:t>Sociales</w:t>
      </w:r>
      <w:r>
        <w:rPr>
          <w:spacing w:val="-3"/>
        </w:rPr>
        <w:t xml:space="preserve"> </w:t>
      </w:r>
      <w:r>
        <w:t>y</w:t>
      </w:r>
      <w:r>
        <w:rPr>
          <w:spacing w:val="-3"/>
        </w:rPr>
        <w:t xml:space="preserve"> </w:t>
      </w:r>
      <w:r>
        <w:t>Culturales</w:t>
      </w:r>
      <w:r>
        <w:rPr>
          <w:spacing w:val="-3"/>
        </w:rPr>
        <w:t xml:space="preserve"> </w:t>
      </w:r>
      <w:r>
        <w:t>analiza</w:t>
      </w:r>
      <w:r>
        <w:rPr>
          <w:spacing w:val="-3"/>
        </w:rPr>
        <w:t xml:space="preserve"> </w:t>
      </w:r>
      <w:r>
        <w:t>la</w:t>
      </w:r>
      <w:r>
        <w:rPr>
          <w:spacing w:val="-3"/>
        </w:rPr>
        <w:t xml:space="preserve"> </w:t>
      </w:r>
      <w:r>
        <w:t>discriminación por</w:t>
      </w:r>
      <w:r>
        <w:rPr>
          <w:spacing w:val="-7"/>
        </w:rPr>
        <w:t xml:space="preserve"> </w:t>
      </w:r>
      <w:r>
        <w:t>motivos</w:t>
      </w:r>
      <w:r>
        <w:rPr>
          <w:spacing w:val="-7"/>
        </w:rPr>
        <w:t xml:space="preserve"> </w:t>
      </w:r>
      <w:r>
        <w:t>de</w:t>
      </w:r>
      <w:r>
        <w:rPr>
          <w:spacing w:val="-7"/>
        </w:rPr>
        <w:t xml:space="preserve"> </w:t>
      </w:r>
      <w:r>
        <w:t>origen</w:t>
      </w:r>
      <w:r>
        <w:rPr>
          <w:spacing w:val="-7"/>
        </w:rPr>
        <w:t xml:space="preserve"> </w:t>
      </w:r>
      <w:r>
        <w:t>étnico</w:t>
      </w:r>
      <w:r>
        <w:rPr>
          <w:spacing w:val="-7"/>
        </w:rPr>
        <w:t xml:space="preserve"> </w:t>
      </w:r>
      <w:r>
        <w:t>como</w:t>
      </w:r>
      <w:r>
        <w:rPr>
          <w:spacing w:val="-7"/>
        </w:rPr>
        <w:t xml:space="preserve"> </w:t>
      </w:r>
      <w:r>
        <w:t>una</w:t>
      </w:r>
      <w:r>
        <w:rPr>
          <w:spacing w:val="-7"/>
        </w:rPr>
        <w:t xml:space="preserve"> </w:t>
      </w:r>
      <w:r>
        <w:t>forma</w:t>
      </w:r>
      <w:r>
        <w:rPr>
          <w:spacing w:val="-7"/>
        </w:rPr>
        <w:t xml:space="preserve"> </w:t>
      </w:r>
      <w:r>
        <w:t>de</w:t>
      </w:r>
      <w:r>
        <w:rPr>
          <w:spacing w:val="-7"/>
        </w:rPr>
        <w:t xml:space="preserve"> </w:t>
      </w:r>
      <w:r>
        <w:t>discriminación</w:t>
      </w:r>
      <w:r>
        <w:rPr>
          <w:spacing w:val="-7"/>
        </w:rPr>
        <w:t xml:space="preserve"> </w:t>
      </w:r>
      <w:r>
        <w:t>racial;</w:t>
      </w:r>
      <w:r>
        <w:rPr>
          <w:spacing w:val="-6"/>
        </w:rPr>
        <w:t xml:space="preserve"> </w:t>
      </w:r>
      <w:r>
        <w:t>la</w:t>
      </w:r>
      <w:r>
        <w:rPr>
          <w:spacing w:val="-7"/>
        </w:rPr>
        <w:t xml:space="preserve"> </w:t>
      </w:r>
      <w:r>
        <w:t>discriminación</w:t>
      </w:r>
      <w:r>
        <w:rPr>
          <w:spacing w:val="-7"/>
        </w:rPr>
        <w:t xml:space="preserve"> </w:t>
      </w:r>
      <w:r>
        <w:t>por</w:t>
      </w:r>
      <w:r>
        <w:rPr>
          <w:spacing w:val="-7"/>
        </w:rPr>
        <w:t xml:space="preserve"> </w:t>
      </w:r>
      <w:r>
        <w:t>motivos</w:t>
      </w:r>
      <w:r>
        <w:rPr>
          <w:spacing w:val="-7"/>
        </w:rPr>
        <w:t xml:space="preserve"> </w:t>
      </w:r>
      <w:r>
        <w:t>de</w:t>
      </w:r>
      <w:r>
        <w:rPr>
          <w:spacing w:val="-7"/>
        </w:rPr>
        <w:t xml:space="preserve"> </w:t>
      </w:r>
      <w:r>
        <w:t>género</w:t>
      </w:r>
      <w:r>
        <w:rPr>
          <w:spacing w:val="-7"/>
        </w:rPr>
        <w:t xml:space="preserve"> </w:t>
      </w:r>
      <w:r>
        <w:t>y</w:t>
      </w:r>
      <w:r>
        <w:rPr>
          <w:spacing w:val="-7"/>
        </w:rPr>
        <w:t xml:space="preserve"> </w:t>
      </w:r>
      <w:r>
        <w:t>el</w:t>
      </w:r>
      <w:r>
        <w:rPr>
          <w:spacing w:val="-7"/>
        </w:rPr>
        <w:t xml:space="preserve"> </w:t>
      </w:r>
      <w:r>
        <w:t>embarazo</w:t>
      </w:r>
      <w:r>
        <w:rPr>
          <w:spacing w:val="-7"/>
        </w:rPr>
        <w:t xml:space="preserve"> </w:t>
      </w:r>
      <w:r>
        <w:t>como aspectos</w:t>
      </w:r>
      <w:r>
        <w:rPr>
          <w:spacing w:val="-5"/>
        </w:rPr>
        <w:t xml:space="preserve"> </w:t>
      </w:r>
      <w:r>
        <w:t>de</w:t>
      </w:r>
      <w:r>
        <w:rPr>
          <w:spacing w:val="-5"/>
        </w:rPr>
        <w:t xml:space="preserve"> </w:t>
      </w:r>
      <w:r>
        <w:t>la</w:t>
      </w:r>
      <w:r>
        <w:rPr>
          <w:spacing w:val="-5"/>
        </w:rPr>
        <w:t xml:space="preserve"> </w:t>
      </w:r>
      <w:r>
        <w:t>discriminación</w:t>
      </w:r>
      <w:r>
        <w:rPr>
          <w:spacing w:val="-5"/>
        </w:rPr>
        <w:t xml:space="preserve"> </w:t>
      </w:r>
      <w:r>
        <w:t>por</w:t>
      </w:r>
      <w:r>
        <w:rPr>
          <w:spacing w:val="-5"/>
        </w:rPr>
        <w:t xml:space="preserve"> </w:t>
      </w:r>
      <w:r>
        <w:t>motivos</w:t>
      </w:r>
      <w:r>
        <w:rPr>
          <w:spacing w:val="-5"/>
        </w:rPr>
        <w:t xml:space="preserve"> </w:t>
      </w:r>
      <w:r>
        <w:t>de</w:t>
      </w:r>
      <w:r>
        <w:rPr>
          <w:spacing w:val="-5"/>
        </w:rPr>
        <w:t xml:space="preserve"> </w:t>
      </w:r>
      <w:r>
        <w:t>sexo;</w:t>
      </w:r>
      <w:r>
        <w:rPr>
          <w:spacing w:val="-5"/>
        </w:rPr>
        <w:t xml:space="preserve"> </w:t>
      </w:r>
      <w:r>
        <w:t>la</w:t>
      </w:r>
      <w:r>
        <w:rPr>
          <w:spacing w:val="-5"/>
        </w:rPr>
        <w:t xml:space="preserve"> </w:t>
      </w:r>
      <w:r>
        <w:t>afiliación</w:t>
      </w:r>
      <w:r>
        <w:rPr>
          <w:spacing w:val="-5"/>
        </w:rPr>
        <w:t xml:space="preserve"> </w:t>
      </w:r>
      <w:r>
        <w:t>a</w:t>
      </w:r>
      <w:r>
        <w:rPr>
          <w:spacing w:val="-5"/>
        </w:rPr>
        <w:t xml:space="preserve"> </w:t>
      </w:r>
      <w:r>
        <w:t>sindicatos</w:t>
      </w:r>
      <w:r>
        <w:rPr>
          <w:spacing w:val="-5"/>
        </w:rPr>
        <w:t xml:space="preserve"> </w:t>
      </w:r>
      <w:r>
        <w:t>y</w:t>
      </w:r>
      <w:r>
        <w:rPr>
          <w:spacing w:val="-5"/>
        </w:rPr>
        <w:t xml:space="preserve"> </w:t>
      </w:r>
      <w:r>
        <w:t>partidos</w:t>
      </w:r>
      <w:r>
        <w:rPr>
          <w:spacing w:val="-5"/>
        </w:rPr>
        <w:t xml:space="preserve"> </w:t>
      </w:r>
      <w:r>
        <w:t>políticos</w:t>
      </w:r>
      <w:r>
        <w:rPr>
          <w:spacing w:val="-5"/>
        </w:rPr>
        <w:t xml:space="preserve"> </w:t>
      </w:r>
      <w:r>
        <w:t>como</w:t>
      </w:r>
      <w:r>
        <w:rPr>
          <w:spacing w:val="-5"/>
        </w:rPr>
        <w:t xml:space="preserve"> </w:t>
      </w:r>
      <w:r>
        <w:t>forma</w:t>
      </w:r>
      <w:r>
        <w:rPr>
          <w:spacing w:val="-5"/>
        </w:rPr>
        <w:t xml:space="preserve"> </w:t>
      </w:r>
      <w:r>
        <w:t>de</w:t>
      </w:r>
      <w:r>
        <w:rPr>
          <w:spacing w:val="-5"/>
        </w:rPr>
        <w:t xml:space="preserve"> </w:t>
      </w:r>
      <w:r>
        <w:t>opinión</w:t>
      </w:r>
      <w:r>
        <w:rPr>
          <w:spacing w:val="-5"/>
        </w:rPr>
        <w:t xml:space="preserve"> </w:t>
      </w:r>
      <w:r>
        <w:t>política</w:t>
      </w:r>
      <w:r>
        <w:rPr>
          <w:spacing w:val="-5"/>
        </w:rPr>
        <w:t xml:space="preserve"> </w:t>
      </w:r>
      <w:r>
        <w:t>o</w:t>
      </w:r>
      <w:r>
        <w:rPr>
          <w:spacing w:val="-5"/>
        </w:rPr>
        <w:t xml:space="preserve"> </w:t>
      </w:r>
      <w:r>
        <w:t>de otro</w:t>
      </w:r>
      <w:r>
        <w:rPr>
          <w:spacing w:val="-12"/>
        </w:rPr>
        <w:t xml:space="preserve"> </w:t>
      </w:r>
      <w:r>
        <w:t>tipo;</w:t>
      </w:r>
      <w:r>
        <w:rPr>
          <w:spacing w:val="-11"/>
        </w:rPr>
        <w:t xml:space="preserve"> </w:t>
      </w:r>
      <w:r>
        <w:t>condición</w:t>
      </w:r>
      <w:r>
        <w:rPr>
          <w:spacing w:val="-11"/>
        </w:rPr>
        <w:t xml:space="preserve"> </w:t>
      </w:r>
      <w:r>
        <w:t>de</w:t>
      </w:r>
      <w:r>
        <w:rPr>
          <w:spacing w:val="-11"/>
        </w:rPr>
        <w:t xml:space="preserve"> </w:t>
      </w:r>
      <w:r>
        <w:t>refugiado,</w:t>
      </w:r>
      <w:r>
        <w:rPr>
          <w:spacing w:val="-11"/>
        </w:rPr>
        <w:t xml:space="preserve"> </w:t>
      </w:r>
      <w:r>
        <w:t>solicitante</w:t>
      </w:r>
      <w:r>
        <w:rPr>
          <w:spacing w:val="-11"/>
        </w:rPr>
        <w:t xml:space="preserve"> </w:t>
      </w:r>
      <w:r>
        <w:t>de</w:t>
      </w:r>
      <w:r>
        <w:rPr>
          <w:spacing w:val="-11"/>
        </w:rPr>
        <w:t xml:space="preserve"> </w:t>
      </w:r>
      <w:r>
        <w:t>asilo,</w:t>
      </w:r>
      <w:r>
        <w:rPr>
          <w:spacing w:val="-11"/>
        </w:rPr>
        <w:t xml:space="preserve"> </w:t>
      </w:r>
      <w:r>
        <w:t>migrante,</w:t>
      </w:r>
      <w:r>
        <w:rPr>
          <w:spacing w:val="-12"/>
        </w:rPr>
        <w:t xml:space="preserve"> </w:t>
      </w:r>
      <w:r>
        <w:t>trata</w:t>
      </w:r>
      <w:r>
        <w:rPr>
          <w:spacing w:val="-11"/>
        </w:rPr>
        <w:t xml:space="preserve"> </w:t>
      </w:r>
      <w:r>
        <w:t>y</w:t>
      </w:r>
      <w:r>
        <w:rPr>
          <w:spacing w:val="-11"/>
        </w:rPr>
        <w:t xml:space="preserve"> </w:t>
      </w:r>
      <w:r>
        <w:t>apatridia</w:t>
      </w:r>
      <w:r>
        <w:rPr>
          <w:spacing w:val="-11"/>
        </w:rPr>
        <w:t xml:space="preserve"> </w:t>
      </w:r>
      <w:r>
        <w:t>bajo</w:t>
      </w:r>
      <w:r>
        <w:rPr>
          <w:spacing w:val="-11"/>
        </w:rPr>
        <w:t xml:space="preserve"> </w:t>
      </w:r>
      <w:r>
        <w:t>el</w:t>
      </w:r>
      <w:r>
        <w:rPr>
          <w:spacing w:val="-11"/>
        </w:rPr>
        <w:t xml:space="preserve"> </w:t>
      </w:r>
      <w:r>
        <w:t>epígrafe</w:t>
      </w:r>
      <w:r>
        <w:rPr>
          <w:spacing w:val="-11"/>
        </w:rPr>
        <w:t xml:space="preserve"> </w:t>
      </w:r>
      <w:r>
        <w:t>de</w:t>
      </w:r>
      <w:r>
        <w:rPr>
          <w:spacing w:val="-11"/>
        </w:rPr>
        <w:t xml:space="preserve"> </w:t>
      </w:r>
      <w:r>
        <w:t>nacionalidad;</w:t>
      </w:r>
      <w:r>
        <w:rPr>
          <w:spacing w:val="-11"/>
        </w:rPr>
        <w:t xml:space="preserve"> </w:t>
      </w:r>
      <w:r>
        <w:t>y</w:t>
      </w:r>
      <w:r>
        <w:rPr>
          <w:spacing w:val="-12"/>
        </w:rPr>
        <w:t xml:space="preserve"> </w:t>
      </w:r>
      <w:r>
        <w:t>la</w:t>
      </w:r>
      <w:r>
        <w:rPr>
          <w:spacing w:val="-11"/>
        </w:rPr>
        <w:t xml:space="preserve"> </w:t>
      </w:r>
      <w:r>
        <w:t>discriminación basada en la ascendencia por motivos de nacimiento.154</w:t>
      </w:r>
    </w:p>
    <w:p w14:paraId="1B1ED63C" w14:textId="77777777" w:rsidR="0014798C" w:rsidRDefault="004E1F0B">
      <w:pPr>
        <w:pStyle w:val="Textoindependiente"/>
        <w:spacing w:before="167" w:line="326" w:lineRule="auto"/>
        <w:ind w:left="1107" w:right="1272" w:firstLine="2"/>
      </w:pPr>
      <w:r>
        <w:t>Los</w:t>
      </w:r>
      <w:r>
        <w:rPr>
          <w:spacing w:val="-3"/>
        </w:rPr>
        <w:t xml:space="preserve"> </w:t>
      </w:r>
      <w:r>
        <w:t>órganos</w:t>
      </w:r>
      <w:r>
        <w:rPr>
          <w:spacing w:val="-3"/>
        </w:rPr>
        <w:t xml:space="preserve"> </w:t>
      </w:r>
      <w:r>
        <w:t>creados</w:t>
      </w:r>
      <w:r>
        <w:rPr>
          <w:spacing w:val="-3"/>
        </w:rPr>
        <w:t xml:space="preserve"> </w:t>
      </w:r>
      <w:r>
        <w:t>en</w:t>
      </w:r>
      <w:r>
        <w:rPr>
          <w:spacing w:val="-3"/>
        </w:rPr>
        <w:t xml:space="preserve"> </w:t>
      </w:r>
      <w:r>
        <w:t>virtud</w:t>
      </w:r>
      <w:r>
        <w:rPr>
          <w:spacing w:val="-3"/>
        </w:rPr>
        <w:t xml:space="preserve"> </w:t>
      </w:r>
      <w:r>
        <w:t>de</w:t>
      </w:r>
      <w:r>
        <w:rPr>
          <w:spacing w:val="-3"/>
        </w:rPr>
        <w:t xml:space="preserve"> </w:t>
      </w:r>
      <w:r>
        <w:t>tratados</w:t>
      </w:r>
      <w:r>
        <w:rPr>
          <w:spacing w:val="-3"/>
        </w:rPr>
        <w:t xml:space="preserve"> </w:t>
      </w:r>
      <w:r>
        <w:t>también</w:t>
      </w:r>
      <w:r>
        <w:rPr>
          <w:spacing w:val="-3"/>
        </w:rPr>
        <w:t xml:space="preserve"> </w:t>
      </w:r>
      <w:r>
        <w:t>pueden</w:t>
      </w:r>
      <w:r>
        <w:rPr>
          <w:spacing w:val="-3"/>
        </w:rPr>
        <w:t xml:space="preserve"> </w:t>
      </w:r>
      <w:r>
        <w:t>utilizar</w:t>
      </w:r>
      <w:r>
        <w:rPr>
          <w:spacing w:val="-3"/>
        </w:rPr>
        <w:t xml:space="preserve"> </w:t>
      </w:r>
      <w:r>
        <w:t>un</w:t>
      </w:r>
      <w:r>
        <w:rPr>
          <w:spacing w:val="-3"/>
        </w:rPr>
        <w:t xml:space="preserve"> </w:t>
      </w:r>
      <w:r>
        <w:t>lenguaje</w:t>
      </w:r>
      <w:r>
        <w:rPr>
          <w:spacing w:val="-3"/>
        </w:rPr>
        <w:t xml:space="preserve"> </w:t>
      </w:r>
      <w:r>
        <w:t>diferente</w:t>
      </w:r>
      <w:r>
        <w:rPr>
          <w:spacing w:val="-3"/>
        </w:rPr>
        <w:t xml:space="preserve"> </w:t>
      </w:r>
      <w:r>
        <w:t>para</w:t>
      </w:r>
      <w:r>
        <w:rPr>
          <w:spacing w:val="-3"/>
        </w:rPr>
        <w:t xml:space="preserve"> </w:t>
      </w:r>
      <w:r>
        <w:t>describir</w:t>
      </w:r>
      <w:r>
        <w:rPr>
          <w:spacing w:val="-3"/>
        </w:rPr>
        <w:t xml:space="preserve"> </w:t>
      </w:r>
      <w:r>
        <w:t>conceptos</w:t>
      </w:r>
      <w:r>
        <w:rPr>
          <w:spacing w:val="-3"/>
        </w:rPr>
        <w:t xml:space="preserve"> </w:t>
      </w:r>
      <w:r>
        <w:t>relacionados,</w:t>
      </w:r>
      <w:r>
        <w:rPr>
          <w:spacing w:val="-1"/>
        </w:rPr>
        <w:t xml:space="preserve"> </w:t>
      </w:r>
      <w:r>
        <w:t>lo que a menudo significa un avance en la comprensión de la terminología más apropiada155 o de las diferentes facetas de los motivos</w:t>
      </w:r>
      <w:r>
        <w:rPr>
          <w:spacing w:val="-2"/>
        </w:rPr>
        <w:t xml:space="preserve"> </w:t>
      </w:r>
      <w:r>
        <w:t>relacionados. Así,</w:t>
      </w:r>
      <w:r>
        <w:rPr>
          <w:spacing w:val="-2"/>
        </w:rPr>
        <w:t xml:space="preserve"> </w:t>
      </w:r>
      <w:r>
        <w:t>por</w:t>
      </w:r>
      <w:r>
        <w:rPr>
          <w:spacing w:val="-2"/>
        </w:rPr>
        <w:t xml:space="preserve"> </w:t>
      </w:r>
      <w:r>
        <w:t>ejemplo,</w:t>
      </w:r>
      <w:r>
        <w:rPr>
          <w:spacing w:val="-1"/>
        </w:rPr>
        <w:t xml:space="preserve"> </w:t>
      </w:r>
      <w:r>
        <w:t>en</w:t>
      </w:r>
      <w:r>
        <w:rPr>
          <w:spacing w:val="-2"/>
        </w:rPr>
        <w:t xml:space="preserve"> </w:t>
      </w:r>
      <w:r>
        <w:t>su</w:t>
      </w:r>
      <w:r>
        <w:rPr>
          <w:spacing w:val="-2"/>
        </w:rPr>
        <w:t xml:space="preserve"> </w:t>
      </w:r>
      <w:r>
        <w:t>Observación</w:t>
      </w:r>
      <w:r>
        <w:rPr>
          <w:spacing w:val="-2"/>
        </w:rPr>
        <w:t xml:space="preserve"> </w:t>
      </w:r>
      <w:r>
        <w:t>general</w:t>
      </w:r>
      <w:r>
        <w:rPr>
          <w:spacing w:val="-2"/>
        </w:rPr>
        <w:t xml:space="preserve"> </w:t>
      </w:r>
      <w:r>
        <w:t>núm.</w:t>
      </w:r>
      <w:r>
        <w:rPr>
          <w:spacing w:val="-1"/>
        </w:rPr>
        <w:t xml:space="preserve"> </w:t>
      </w:r>
      <w:r>
        <w:t>6</w:t>
      </w:r>
      <w:r>
        <w:rPr>
          <w:spacing w:val="-2"/>
        </w:rPr>
        <w:t xml:space="preserve"> </w:t>
      </w:r>
      <w:r>
        <w:t>(2018),</w:t>
      </w:r>
      <w:r>
        <w:rPr>
          <w:spacing w:val="-1"/>
        </w:rPr>
        <w:t xml:space="preserve"> </w:t>
      </w:r>
      <w:r>
        <w:t>el</w:t>
      </w:r>
      <w:r>
        <w:rPr>
          <w:spacing w:val="-2"/>
        </w:rPr>
        <w:t xml:space="preserve"> </w:t>
      </w:r>
      <w:r>
        <w:t>Comité</w:t>
      </w:r>
      <w:r>
        <w:rPr>
          <w:spacing w:val="-2"/>
        </w:rPr>
        <w:t xml:space="preserve"> </w:t>
      </w:r>
      <w:r>
        <w:t>sobre</w:t>
      </w:r>
      <w:r>
        <w:rPr>
          <w:spacing w:val="-2"/>
        </w:rPr>
        <w:t xml:space="preserve"> </w:t>
      </w:r>
      <w:r>
        <w:t>los</w:t>
      </w:r>
      <w:r>
        <w:rPr>
          <w:spacing w:val="-2"/>
        </w:rPr>
        <w:t xml:space="preserve"> </w:t>
      </w:r>
      <w:r>
        <w:t>Derechos</w:t>
      </w:r>
      <w:r>
        <w:rPr>
          <w:spacing w:val="-2"/>
        </w:rPr>
        <w:t xml:space="preserve"> </w:t>
      </w:r>
      <w:r>
        <w:t>de</w:t>
      </w:r>
      <w:r>
        <w:rPr>
          <w:spacing w:val="-2"/>
        </w:rPr>
        <w:t xml:space="preserve"> </w:t>
      </w:r>
      <w:r>
        <w:t>las</w:t>
      </w:r>
      <w:r>
        <w:rPr>
          <w:spacing w:val="-2"/>
        </w:rPr>
        <w:t xml:space="preserve"> </w:t>
      </w:r>
      <w:r>
        <w:t>Personas con Discapacidad distingue los motivos de identidad de género y expresión de género,156 lo que refleja las mejores prácticas en esta área.157 Cabe señalar, sin embargo</w:t>
      </w:r>
      <w:proofErr w:type="gramStart"/>
      <w:r>
        <w:t>, ,</w:t>
      </w:r>
      <w:proofErr w:type="gramEnd"/>
      <w:r>
        <w:t xml:space="preserve"> que a menudo hay superposiciones e intersecciones entre características y que es importante que cualquier aclaración de términos no dé lugar a una ausencia de protección.</w:t>
      </w:r>
    </w:p>
    <w:p w14:paraId="090D854E" w14:textId="77777777" w:rsidR="0014798C" w:rsidRDefault="004E1F0B">
      <w:pPr>
        <w:pStyle w:val="Textoindependiente"/>
        <w:spacing w:before="167" w:line="326" w:lineRule="auto"/>
        <w:ind w:left="1107" w:right="1272" w:hanging="1"/>
      </w:pPr>
      <w:r>
        <w:t>Para cumplir con sus obligaciones de derecho internacional, al adoptar legislación integral contra la discriminación, los Estados deben</w:t>
      </w:r>
      <w:r>
        <w:rPr>
          <w:spacing w:val="-1"/>
        </w:rPr>
        <w:t xml:space="preserve"> </w:t>
      </w:r>
      <w:r>
        <w:t>garantizar</w:t>
      </w:r>
      <w:r>
        <w:rPr>
          <w:spacing w:val="-1"/>
        </w:rPr>
        <w:t xml:space="preserve"> </w:t>
      </w:r>
      <w:r>
        <w:t>que</w:t>
      </w:r>
      <w:r>
        <w:rPr>
          <w:spacing w:val="-1"/>
        </w:rPr>
        <w:t xml:space="preserve"> </w:t>
      </w:r>
      <w:r>
        <w:t>se</w:t>
      </w:r>
      <w:r>
        <w:rPr>
          <w:spacing w:val="-1"/>
        </w:rPr>
        <w:t xml:space="preserve"> </w:t>
      </w:r>
      <w:r>
        <w:t>respete, proteja</w:t>
      </w:r>
      <w:r>
        <w:rPr>
          <w:spacing w:val="-1"/>
        </w:rPr>
        <w:t xml:space="preserve"> </w:t>
      </w:r>
      <w:r>
        <w:t>y</w:t>
      </w:r>
      <w:r>
        <w:rPr>
          <w:spacing w:val="-1"/>
        </w:rPr>
        <w:t xml:space="preserve"> </w:t>
      </w:r>
      <w:r>
        <w:t>cumpla</w:t>
      </w:r>
      <w:r>
        <w:rPr>
          <w:spacing w:val="-1"/>
        </w:rPr>
        <w:t xml:space="preserve"> </w:t>
      </w:r>
      <w:r>
        <w:t>el</w:t>
      </w:r>
      <w:r>
        <w:rPr>
          <w:spacing w:val="-1"/>
        </w:rPr>
        <w:t xml:space="preserve"> </w:t>
      </w:r>
      <w:r>
        <w:t>derecho</w:t>
      </w:r>
      <w:r>
        <w:rPr>
          <w:spacing w:val="-1"/>
        </w:rPr>
        <w:t xml:space="preserve"> </w:t>
      </w:r>
      <w:r>
        <w:t>a</w:t>
      </w:r>
      <w:r>
        <w:rPr>
          <w:spacing w:val="-1"/>
        </w:rPr>
        <w:t xml:space="preserve"> </w:t>
      </w:r>
      <w:r>
        <w:t>la</w:t>
      </w:r>
      <w:r>
        <w:rPr>
          <w:spacing w:val="-1"/>
        </w:rPr>
        <w:t xml:space="preserve"> </w:t>
      </w:r>
      <w:r>
        <w:t>no</w:t>
      </w:r>
      <w:r>
        <w:rPr>
          <w:spacing w:val="-1"/>
        </w:rPr>
        <w:t xml:space="preserve"> </w:t>
      </w:r>
      <w:r>
        <w:t>discriminación.158</w:t>
      </w:r>
      <w:r>
        <w:rPr>
          <w:spacing w:val="-1"/>
        </w:rPr>
        <w:t xml:space="preserve"> </w:t>
      </w:r>
      <w:r>
        <w:t>Esto</w:t>
      </w:r>
      <w:r>
        <w:rPr>
          <w:spacing w:val="-1"/>
        </w:rPr>
        <w:t xml:space="preserve"> </w:t>
      </w:r>
      <w:r>
        <w:t>significa</w:t>
      </w:r>
      <w:r>
        <w:rPr>
          <w:spacing w:val="-1"/>
        </w:rPr>
        <w:t xml:space="preserve"> </w:t>
      </w:r>
      <w:r>
        <w:t>que</w:t>
      </w:r>
      <w:r>
        <w:rPr>
          <w:spacing w:val="-1"/>
        </w:rPr>
        <w:t xml:space="preserve"> </w:t>
      </w:r>
      <w:r>
        <w:t>todas</w:t>
      </w:r>
      <w:r>
        <w:rPr>
          <w:spacing w:val="-1"/>
        </w:rPr>
        <w:t xml:space="preserve"> </w:t>
      </w:r>
      <w:r>
        <w:t>las</w:t>
      </w:r>
      <w:r>
        <w:rPr>
          <w:spacing w:val="-1"/>
        </w:rPr>
        <w:t xml:space="preserve"> </w:t>
      </w:r>
      <w:r>
        <w:t>personas</w:t>
      </w:r>
      <w:r>
        <w:rPr>
          <w:spacing w:val="-1"/>
        </w:rPr>
        <w:t xml:space="preserve"> </w:t>
      </w:r>
      <w:r>
        <w:t>que estén expuestas a discriminación por uno o más de los motivos reconocidos en el derecho internacional se les proporcionan vías legales para hacer valer sus derechos y obtener reparación.159 Además, los legisladores nacionales deben tratar de enumerar cualquier</w:t>
      </w:r>
      <w:r>
        <w:rPr>
          <w:spacing w:val="-3"/>
        </w:rPr>
        <w:t xml:space="preserve"> </w:t>
      </w:r>
      <w:r>
        <w:t>característica</w:t>
      </w:r>
      <w:r>
        <w:rPr>
          <w:spacing w:val="-3"/>
        </w:rPr>
        <w:t xml:space="preserve"> </w:t>
      </w:r>
      <w:r>
        <w:t>adicional</w:t>
      </w:r>
      <w:r>
        <w:rPr>
          <w:spacing w:val="-3"/>
        </w:rPr>
        <w:t xml:space="preserve"> </w:t>
      </w:r>
      <w:r>
        <w:t>que</w:t>
      </w:r>
      <w:r>
        <w:rPr>
          <w:spacing w:val="-3"/>
        </w:rPr>
        <w:t xml:space="preserve"> </w:t>
      </w:r>
      <w:r>
        <w:t>requiera</w:t>
      </w:r>
      <w:r>
        <w:rPr>
          <w:spacing w:val="-3"/>
        </w:rPr>
        <w:t xml:space="preserve"> </w:t>
      </w:r>
      <w:r>
        <w:t>protección</w:t>
      </w:r>
      <w:r>
        <w:rPr>
          <w:spacing w:val="-3"/>
        </w:rPr>
        <w:t xml:space="preserve"> </w:t>
      </w:r>
      <w:r>
        <w:t>en</w:t>
      </w:r>
      <w:r>
        <w:rPr>
          <w:spacing w:val="-3"/>
        </w:rPr>
        <w:t xml:space="preserve"> </w:t>
      </w:r>
      <w:r>
        <w:t>su</w:t>
      </w:r>
      <w:r>
        <w:rPr>
          <w:spacing w:val="-3"/>
        </w:rPr>
        <w:t xml:space="preserve"> </w:t>
      </w:r>
      <w:r>
        <w:t>sociedad</w:t>
      </w:r>
      <w:r>
        <w:rPr>
          <w:spacing w:val="-3"/>
        </w:rPr>
        <w:t xml:space="preserve"> </w:t>
      </w:r>
      <w:r>
        <w:t>para</w:t>
      </w:r>
      <w:r>
        <w:rPr>
          <w:spacing w:val="-3"/>
        </w:rPr>
        <w:t xml:space="preserve"> </w:t>
      </w:r>
      <w:r>
        <w:t>garantizar</w:t>
      </w:r>
      <w:r>
        <w:rPr>
          <w:spacing w:val="-3"/>
        </w:rPr>
        <w:t xml:space="preserve"> </w:t>
      </w:r>
      <w:r>
        <w:t>que</w:t>
      </w:r>
      <w:r>
        <w:rPr>
          <w:spacing w:val="-3"/>
        </w:rPr>
        <w:t xml:space="preserve"> </w:t>
      </w:r>
      <w:r>
        <w:t>el</w:t>
      </w:r>
      <w:r>
        <w:rPr>
          <w:spacing w:val="-3"/>
        </w:rPr>
        <w:t xml:space="preserve"> </w:t>
      </w:r>
      <w:r>
        <w:t>derecho</w:t>
      </w:r>
      <w:r>
        <w:rPr>
          <w:spacing w:val="-3"/>
        </w:rPr>
        <w:t xml:space="preserve"> </w:t>
      </w:r>
      <w:r>
        <w:t>a</w:t>
      </w:r>
      <w:r>
        <w:rPr>
          <w:spacing w:val="-3"/>
        </w:rPr>
        <w:t xml:space="preserve"> </w:t>
      </w:r>
      <w:r>
        <w:t>la</w:t>
      </w:r>
      <w:r>
        <w:rPr>
          <w:spacing w:val="-3"/>
        </w:rPr>
        <w:t xml:space="preserve"> </w:t>
      </w:r>
      <w:r>
        <w:t>no</w:t>
      </w:r>
      <w:r>
        <w:rPr>
          <w:spacing w:val="-3"/>
        </w:rPr>
        <w:t xml:space="preserve"> </w:t>
      </w:r>
      <w:r>
        <w:t>discriminación</w:t>
      </w:r>
      <w:r>
        <w:rPr>
          <w:spacing w:val="-3"/>
        </w:rPr>
        <w:t xml:space="preserve"> </w:t>
      </w:r>
      <w:r>
        <w:t>sea realizable para todos.160 A este respecto, varios Estados han reconocido motivos de</w:t>
      </w:r>
    </w:p>
    <w:p w14:paraId="66BFBC14" w14:textId="77777777" w:rsidR="0014798C" w:rsidRDefault="0014798C">
      <w:pPr>
        <w:pStyle w:val="Textoindependiente"/>
        <w:rPr>
          <w:sz w:val="20"/>
        </w:rPr>
      </w:pPr>
    </w:p>
    <w:p w14:paraId="649F34B0" w14:textId="77777777" w:rsidR="0014798C" w:rsidRDefault="0014798C">
      <w:pPr>
        <w:pStyle w:val="Textoindependiente"/>
        <w:rPr>
          <w:sz w:val="20"/>
        </w:rPr>
      </w:pPr>
    </w:p>
    <w:p w14:paraId="4AB53395" w14:textId="77777777" w:rsidR="0014798C" w:rsidRDefault="0014798C">
      <w:pPr>
        <w:pStyle w:val="Textoindependiente"/>
        <w:rPr>
          <w:sz w:val="20"/>
        </w:rPr>
      </w:pPr>
    </w:p>
    <w:p w14:paraId="2488A755" w14:textId="77777777" w:rsidR="0014798C" w:rsidRDefault="004E1F0B">
      <w:pPr>
        <w:pStyle w:val="Textoindependiente"/>
        <w:spacing w:before="53"/>
        <w:rPr>
          <w:sz w:val="20"/>
        </w:rPr>
      </w:pPr>
      <w:r>
        <w:rPr>
          <w:noProof/>
        </w:rPr>
        <w:drawing>
          <wp:anchor distT="0" distB="0" distL="0" distR="0" simplePos="0" relativeHeight="251658522" behindDoc="1" locked="0" layoutInCell="1" allowOverlap="1" wp14:anchorId="30C125BA" wp14:editId="7CD10F0F">
            <wp:simplePos x="0" y="0"/>
            <wp:positionH relativeFrom="page">
              <wp:posOffset>826632</wp:posOffset>
            </wp:positionH>
            <wp:positionV relativeFrom="paragraph">
              <wp:posOffset>195272</wp:posOffset>
            </wp:positionV>
            <wp:extent cx="931001" cy="35813"/>
            <wp:effectExtent l="0" t="0" r="0" b="0"/>
            <wp:wrapTopAndBottom/>
            <wp:docPr id="94" name="Image 9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94" name="Image 94"/>
                    <pic:cNvPicPr/>
                  </pic:nvPicPr>
                  <pic:blipFill>
                    <a:blip r:embed="rId101" cstate="print"/>
                    <a:stretch>
                      <a:fillRect/>
                    </a:stretch>
                  </pic:blipFill>
                  <pic:spPr>
                    <a:xfrm>
                      <a:off x="0" y="0"/>
                      <a:ext cx="931001" cy="35813"/>
                    </a:xfrm>
                    <a:prstGeom prst="rect">
                      <a:avLst/>
                    </a:prstGeom>
                  </pic:spPr>
                </pic:pic>
              </a:graphicData>
            </a:graphic>
          </wp:anchor>
        </w:drawing>
      </w:r>
    </w:p>
    <w:p w14:paraId="2988374E" w14:textId="77777777" w:rsidR="0014798C" w:rsidRDefault="0014798C">
      <w:pPr>
        <w:pStyle w:val="Textoindependiente"/>
        <w:spacing w:before="67"/>
        <w:rPr>
          <w:sz w:val="11"/>
        </w:rPr>
      </w:pPr>
    </w:p>
    <w:p w14:paraId="69BE737D" w14:textId="77777777" w:rsidR="0014798C" w:rsidRDefault="004E1F0B">
      <w:pPr>
        <w:spacing w:line="340" w:lineRule="auto"/>
        <w:ind w:left="1366" w:right="1626" w:hanging="256"/>
        <w:rPr>
          <w:sz w:val="11"/>
        </w:rPr>
      </w:pPr>
      <w:r>
        <w:rPr>
          <w:w w:val="105"/>
          <w:sz w:val="11"/>
        </w:rPr>
        <w:t>147 En su Observación general núm. 6 (2018), el Comité sobre los Derechos de las Personas con Discapacidad utiliza el término “situación de carrera” en lugar de condición</w:t>
      </w:r>
      <w:r>
        <w:rPr>
          <w:spacing w:val="40"/>
          <w:w w:val="105"/>
          <w:sz w:val="11"/>
        </w:rPr>
        <w:t xml:space="preserve"> </w:t>
      </w:r>
      <w:r>
        <w:rPr>
          <w:w w:val="105"/>
          <w:sz w:val="11"/>
        </w:rPr>
        <w:t>de</w:t>
      </w:r>
      <w:r>
        <w:rPr>
          <w:spacing w:val="-1"/>
          <w:w w:val="105"/>
          <w:sz w:val="11"/>
        </w:rPr>
        <w:t xml:space="preserve"> </w:t>
      </w:r>
      <w:r>
        <w:rPr>
          <w:w w:val="105"/>
          <w:sz w:val="11"/>
        </w:rPr>
        <w:t>cuidador, aunque</w:t>
      </w:r>
      <w:r>
        <w:rPr>
          <w:spacing w:val="-1"/>
          <w:w w:val="105"/>
          <w:sz w:val="11"/>
        </w:rPr>
        <w:t xml:space="preserve"> </w:t>
      </w:r>
      <w:r>
        <w:rPr>
          <w:w w:val="105"/>
          <w:sz w:val="11"/>
        </w:rPr>
        <w:t>un</w:t>
      </w:r>
      <w:r>
        <w:rPr>
          <w:spacing w:val="-1"/>
          <w:w w:val="105"/>
          <w:sz w:val="11"/>
        </w:rPr>
        <w:t xml:space="preserve"> </w:t>
      </w:r>
      <w:r>
        <w:rPr>
          <w:w w:val="105"/>
          <w:sz w:val="11"/>
        </w:rPr>
        <w:t>examen</w:t>
      </w:r>
      <w:r>
        <w:rPr>
          <w:spacing w:val="-1"/>
          <w:w w:val="105"/>
          <w:sz w:val="11"/>
        </w:rPr>
        <w:t xml:space="preserve"> </w:t>
      </w:r>
      <w:r>
        <w:rPr>
          <w:w w:val="105"/>
          <w:sz w:val="11"/>
        </w:rPr>
        <w:t>del</w:t>
      </w:r>
      <w:r>
        <w:rPr>
          <w:spacing w:val="-1"/>
          <w:w w:val="105"/>
          <w:sz w:val="11"/>
        </w:rPr>
        <w:t xml:space="preserve"> </w:t>
      </w:r>
      <w:r>
        <w:rPr>
          <w:w w:val="105"/>
          <w:sz w:val="11"/>
        </w:rPr>
        <w:t>borrador</w:t>
      </w:r>
      <w:r>
        <w:rPr>
          <w:spacing w:val="-1"/>
          <w:w w:val="105"/>
          <w:sz w:val="11"/>
        </w:rPr>
        <w:t xml:space="preserve"> </w:t>
      </w:r>
      <w:r>
        <w:rPr>
          <w:w w:val="105"/>
          <w:sz w:val="11"/>
        </w:rPr>
        <w:t>anterior</w:t>
      </w:r>
      <w:r>
        <w:rPr>
          <w:spacing w:val="-1"/>
          <w:w w:val="105"/>
          <w:sz w:val="11"/>
        </w:rPr>
        <w:t xml:space="preserve"> </w:t>
      </w:r>
      <w:r>
        <w:rPr>
          <w:w w:val="105"/>
          <w:sz w:val="11"/>
        </w:rPr>
        <w:t>de</w:t>
      </w:r>
      <w:r>
        <w:rPr>
          <w:spacing w:val="-1"/>
          <w:w w:val="105"/>
          <w:sz w:val="11"/>
        </w:rPr>
        <w:t xml:space="preserve"> </w:t>
      </w:r>
      <w:r>
        <w:rPr>
          <w:w w:val="105"/>
          <w:sz w:val="11"/>
        </w:rPr>
        <w:t>la</w:t>
      </w:r>
      <w:r>
        <w:rPr>
          <w:spacing w:val="-1"/>
          <w:w w:val="105"/>
          <w:sz w:val="11"/>
        </w:rPr>
        <w:t xml:space="preserve"> </w:t>
      </w:r>
      <w:r>
        <w:rPr>
          <w:w w:val="105"/>
          <w:sz w:val="11"/>
        </w:rPr>
        <w:t>observación</w:t>
      </w:r>
      <w:r>
        <w:rPr>
          <w:spacing w:val="-1"/>
          <w:w w:val="105"/>
          <w:sz w:val="11"/>
        </w:rPr>
        <w:t xml:space="preserve"> </w:t>
      </w:r>
      <w:r>
        <w:rPr>
          <w:w w:val="105"/>
          <w:sz w:val="11"/>
        </w:rPr>
        <w:t>general</w:t>
      </w:r>
      <w:r>
        <w:rPr>
          <w:spacing w:val="-1"/>
          <w:w w:val="105"/>
          <w:sz w:val="11"/>
        </w:rPr>
        <w:t xml:space="preserve"> </w:t>
      </w:r>
      <w:r>
        <w:rPr>
          <w:w w:val="105"/>
          <w:sz w:val="11"/>
        </w:rPr>
        <w:t>(que</w:t>
      </w:r>
      <w:r>
        <w:rPr>
          <w:spacing w:val="-1"/>
          <w:w w:val="105"/>
          <w:sz w:val="11"/>
        </w:rPr>
        <w:t xml:space="preserve"> </w:t>
      </w:r>
      <w:r>
        <w:rPr>
          <w:w w:val="105"/>
          <w:sz w:val="11"/>
        </w:rPr>
        <w:t>utiliza</w:t>
      </w:r>
      <w:r>
        <w:rPr>
          <w:spacing w:val="-1"/>
          <w:w w:val="105"/>
          <w:sz w:val="11"/>
        </w:rPr>
        <w:t xml:space="preserve"> </w:t>
      </w:r>
      <w:r>
        <w:rPr>
          <w:w w:val="105"/>
          <w:sz w:val="11"/>
        </w:rPr>
        <w:t>el</w:t>
      </w:r>
      <w:r>
        <w:rPr>
          <w:spacing w:val="-1"/>
          <w:w w:val="105"/>
          <w:sz w:val="11"/>
        </w:rPr>
        <w:t xml:space="preserve"> </w:t>
      </w:r>
      <w:r>
        <w:rPr>
          <w:w w:val="105"/>
          <w:sz w:val="11"/>
        </w:rPr>
        <w:t>término</w:t>
      </w:r>
      <w:r>
        <w:rPr>
          <w:spacing w:val="-1"/>
          <w:w w:val="105"/>
          <w:sz w:val="11"/>
        </w:rPr>
        <w:t xml:space="preserve"> </w:t>
      </w:r>
      <w:proofErr w:type="gramStart"/>
      <w:r>
        <w:rPr>
          <w:w w:val="105"/>
          <w:sz w:val="11"/>
        </w:rPr>
        <w:t>“</w:t>
      </w:r>
      <w:r>
        <w:rPr>
          <w:spacing w:val="-1"/>
          <w:w w:val="105"/>
          <w:sz w:val="11"/>
        </w:rPr>
        <w:t xml:space="preserve"> </w:t>
      </w:r>
      <w:r>
        <w:rPr>
          <w:w w:val="105"/>
          <w:sz w:val="11"/>
        </w:rPr>
        <w:t>cuidador</w:t>
      </w:r>
      <w:proofErr w:type="gramEnd"/>
      <w:r>
        <w:rPr>
          <w:w w:val="105"/>
          <w:sz w:val="11"/>
        </w:rPr>
        <w:t>”)</w:t>
      </w:r>
      <w:r>
        <w:rPr>
          <w:spacing w:val="-1"/>
          <w:w w:val="105"/>
          <w:sz w:val="11"/>
        </w:rPr>
        <w:t xml:space="preserve"> </w:t>
      </w:r>
      <w:r>
        <w:rPr>
          <w:w w:val="105"/>
          <w:sz w:val="11"/>
        </w:rPr>
        <w:t>y</w:t>
      </w:r>
      <w:r>
        <w:rPr>
          <w:spacing w:val="-1"/>
          <w:w w:val="105"/>
          <w:sz w:val="11"/>
        </w:rPr>
        <w:t xml:space="preserve"> </w:t>
      </w:r>
      <w:r>
        <w:rPr>
          <w:w w:val="105"/>
          <w:sz w:val="11"/>
        </w:rPr>
        <w:t>la</w:t>
      </w:r>
      <w:r>
        <w:rPr>
          <w:spacing w:val="-1"/>
          <w:w w:val="105"/>
          <w:sz w:val="11"/>
        </w:rPr>
        <w:t xml:space="preserve"> </w:t>
      </w:r>
      <w:r>
        <w:rPr>
          <w:w w:val="105"/>
          <w:sz w:val="11"/>
        </w:rPr>
        <w:t>ubicación</w:t>
      </w:r>
      <w:r>
        <w:rPr>
          <w:spacing w:val="-1"/>
          <w:w w:val="105"/>
          <w:sz w:val="11"/>
        </w:rPr>
        <w:t xml:space="preserve"> </w:t>
      </w:r>
      <w:r>
        <w:rPr>
          <w:w w:val="105"/>
          <w:sz w:val="11"/>
        </w:rPr>
        <w:t>de</w:t>
      </w:r>
      <w:r>
        <w:rPr>
          <w:spacing w:val="-1"/>
          <w:w w:val="105"/>
          <w:sz w:val="11"/>
        </w:rPr>
        <w:t xml:space="preserve"> </w:t>
      </w:r>
      <w:r>
        <w:rPr>
          <w:w w:val="105"/>
          <w:sz w:val="11"/>
        </w:rPr>
        <w:t>la</w:t>
      </w:r>
      <w:r>
        <w:rPr>
          <w:spacing w:val="-1"/>
          <w:w w:val="105"/>
          <w:sz w:val="11"/>
        </w:rPr>
        <w:t xml:space="preserve"> </w:t>
      </w:r>
      <w:r>
        <w:rPr>
          <w:w w:val="105"/>
          <w:sz w:val="11"/>
        </w:rPr>
        <w:t>palabra</w:t>
      </w:r>
      <w:r>
        <w:rPr>
          <w:spacing w:val="-1"/>
          <w:w w:val="105"/>
          <w:sz w:val="11"/>
        </w:rPr>
        <w:t xml:space="preserve"> </w:t>
      </w:r>
      <w:r>
        <w:rPr>
          <w:w w:val="105"/>
          <w:sz w:val="11"/>
        </w:rPr>
        <w:t>“carrera”</w:t>
      </w:r>
      <w:r>
        <w:rPr>
          <w:spacing w:val="-1"/>
          <w:w w:val="105"/>
          <w:sz w:val="11"/>
        </w:rPr>
        <w:t xml:space="preserve"> </w:t>
      </w:r>
      <w:r>
        <w:rPr>
          <w:w w:val="105"/>
          <w:sz w:val="11"/>
        </w:rPr>
        <w:t>dentro</w:t>
      </w:r>
      <w:r>
        <w:rPr>
          <w:spacing w:val="-1"/>
          <w:w w:val="105"/>
          <w:sz w:val="11"/>
        </w:rPr>
        <w:t xml:space="preserve"> </w:t>
      </w:r>
      <w:r>
        <w:rPr>
          <w:w w:val="105"/>
          <w:sz w:val="11"/>
        </w:rPr>
        <w:t>de</w:t>
      </w:r>
      <w:r>
        <w:rPr>
          <w:spacing w:val="-1"/>
          <w:w w:val="105"/>
          <w:sz w:val="11"/>
        </w:rPr>
        <w:t xml:space="preserve"> </w:t>
      </w:r>
      <w:r>
        <w:rPr>
          <w:w w:val="105"/>
          <w:sz w:val="11"/>
        </w:rPr>
        <w:t>la</w:t>
      </w:r>
      <w:r>
        <w:rPr>
          <w:spacing w:val="-1"/>
          <w:w w:val="105"/>
          <w:sz w:val="11"/>
        </w:rPr>
        <w:t xml:space="preserve"> </w:t>
      </w:r>
      <w:r>
        <w:rPr>
          <w:w w:val="105"/>
          <w:sz w:val="11"/>
        </w:rPr>
        <w:t>frase</w:t>
      </w:r>
    </w:p>
    <w:p w14:paraId="4A617F8A" w14:textId="77777777" w:rsidR="0014798C" w:rsidRDefault="004E1F0B">
      <w:pPr>
        <w:spacing w:line="340" w:lineRule="auto"/>
        <w:ind w:left="1366" w:right="1272" w:hanging="1"/>
        <w:rPr>
          <w:sz w:val="11"/>
        </w:rPr>
      </w:pPr>
      <w:r>
        <w:rPr>
          <w:w w:val="105"/>
          <w:sz w:val="11"/>
        </w:rPr>
        <w:t>“situación</w:t>
      </w:r>
      <w:r>
        <w:rPr>
          <w:spacing w:val="-1"/>
          <w:w w:val="105"/>
          <w:sz w:val="11"/>
        </w:rPr>
        <w:t xml:space="preserve"> </w:t>
      </w:r>
      <w:r>
        <w:rPr>
          <w:w w:val="105"/>
          <w:sz w:val="11"/>
        </w:rPr>
        <w:t>familiar</w:t>
      </w:r>
      <w:r>
        <w:rPr>
          <w:spacing w:val="-1"/>
          <w:w w:val="105"/>
          <w:sz w:val="11"/>
        </w:rPr>
        <w:t xml:space="preserve"> </w:t>
      </w:r>
      <w:r>
        <w:rPr>
          <w:w w:val="105"/>
          <w:sz w:val="11"/>
        </w:rPr>
        <w:t>o</w:t>
      </w:r>
      <w:r>
        <w:rPr>
          <w:spacing w:val="-1"/>
          <w:w w:val="105"/>
          <w:sz w:val="11"/>
        </w:rPr>
        <w:t xml:space="preserve"> </w:t>
      </w:r>
      <w:r>
        <w:rPr>
          <w:w w:val="105"/>
          <w:sz w:val="11"/>
        </w:rPr>
        <w:t>profesional”</w:t>
      </w:r>
      <w:r>
        <w:rPr>
          <w:spacing w:val="-1"/>
          <w:w w:val="105"/>
          <w:sz w:val="11"/>
        </w:rPr>
        <w:t xml:space="preserve"> </w:t>
      </w:r>
      <w:r>
        <w:rPr>
          <w:w w:val="105"/>
          <w:sz w:val="11"/>
        </w:rPr>
        <w:t>indica</w:t>
      </w:r>
      <w:r>
        <w:rPr>
          <w:spacing w:val="-1"/>
          <w:w w:val="105"/>
          <w:sz w:val="11"/>
        </w:rPr>
        <w:t xml:space="preserve"> </w:t>
      </w:r>
      <w:r>
        <w:rPr>
          <w:w w:val="105"/>
          <w:sz w:val="11"/>
        </w:rPr>
        <w:t>que</w:t>
      </w:r>
      <w:r>
        <w:rPr>
          <w:spacing w:val="-1"/>
          <w:w w:val="105"/>
          <w:sz w:val="11"/>
        </w:rPr>
        <w:t xml:space="preserve"> </w:t>
      </w:r>
      <w:r>
        <w:rPr>
          <w:w w:val="105"/>
          <w:sz w:val="11"/>
        </w:rPr>
        <w:t>se</w:t>
      </w:r>
      <w:r>
        <w:rPr>
          <w:spacing w:val="-1"/>
          <w:w w:val="105"/>
          <w:sz w:val="11"/>
        </w:rPr>
        <w:t xml:space="preserve"> </w:t>
      </w:r>
      <w:r>
        <w:rPr>
          <w:w w:val="105"/>
          <w:sz w:val="11"/>
        </w:rPr>
        <w:t>trata</w:t>
      </w:r>
      <w:r>
        <w:rPr>
          <w:spacing w:val="-1"/>
          <w:w w:val="105"/>
          <w:sz w:val="11"/>
        </w:rPr>
        <w:t xml:space="preserve"> </w:t>
      </w:r>
      <w:r>
        <w:rPr>
          <w:w w:val="105"/>
          <w:sz w:val="11"/>
        </w:rPr>
        <w:t>de</w:t>
      </w:r>
      <w:r>
        <w:rPr>
          <w:spacing w:val="-1"/>
          <w:w w:val="105"/>
          <w:sz w:val="11"/>
        </w:rPr>
        <w:t xml:space="preserve"> </w:t>
      </w:r>
      <w:r>
        <w:rPr>
          <w:w w:val="105"/>
          <w:sz w:val="11"/>
        </w:rPr>
        <w:t>un</w:t>
      </w:r>
      <w:r>
        <w:rPr>
          <w:spacing w:val="-1"/>
          <w:w w:val="105"/>
          <w:sz w:val="11"/>
        </w:rPr>
        <w:t xml:space="preserve"> </w:t>
      </w:r>
      <w:r>
        <w:rPr>
          <w:w w:val="105"/>
          <w:sz w:val="11"/>
        </w:rPr>
        <w:t>error</w:t>
      </w:r>
      <w:r>
        <w:rPr>
          <w:spacing w:val="-1"/>
          <w:w w:val="105"/>
          <w:sz w:val="11"/>
        </w:rPr>
        <w:t xml:space="preserve"> </w:t>
      </w:r>
      <w:r>
        <w:rPr>
          <w:w w:val="105"/>
          <w:sz w:val="11"/>
        </w:rPr>
        <w:t>tipográfico. En</w:t>
      </w:r>
      <w:r>
        <w:rPr>
          <w:spacing w:val="-1"/>
          <w:w w:val="105"/>
          <w:sz w:val="11"/>
        </w:rPr>
        <w:t xml:space="preserve"> </w:t>
      </w:r>
      <w:r>
        <w:rPr>
          <w:w w:val="105"/>
          <w:sz w:val="11"/>
        </w:rPr>
        <w:t>la</w:t>
      </w:r>
      <w:r>
        <w:rPr>
          <w:spacing w:val="-1"/>
          <w:w w:val="105"/>
          <w:sz w:val="11"/>
        </w:rPr>
        <w:t xml:space="preserve"> </w:t>
      </w:r>
      <w:r>
        <w:rPr>
          <w:w w:val="105"/>
          <w:sz w:val="11"/>
        </w:rPr>
        <w:t>presente</w:t>
      </w:r>
      <w:r>
        <w:rPr>
          <w:spacing w:val="-1"/>
          <w:w w:val="105"/>
          <w:sz w:val="11"/>
        </w:rPr>
        <w:t xml:space="preserve"> </w:t>
      </w:r>
      <w:r>
        <w:rPr>
          <w:w w:val="105"/>
          <w:sz w:val="11"/>
        </w:rPr>
        <w:t>guía,</w:t>
      </w:r>
      <w:r>
        <w:rPr>
          <w:spacing w:val="-1"/>
          <w:w w:val="105"/>
          <w:sz w:val="11"/>
        </w:rPr>
        <w:t xml:space="preserve"> </w:t>
      </w:r>
      <w:r>
        <w:rPr>
          <w:w w:val="105"/>
          <w:sz w:val="11"/>
        </w:rPr>
        <w:t>se</w:t>
      </w:r>
      <w:r>
        <w:rPr>
          <w:spacing w:val="-1"/>
          <w:w w:val="105"/>
          <w:sz w:val="11"/>
        </w:rPr>
        <w:t xml:space="preserve"> </w:t>
      </w:r>
      <w:r>
        <w:rPr>
          <w:w w:val="105"/>
          <w:sz w:val="11"/>
        </w:rPr>
        <w:t>hace</w:t>
      </w:r>
      <w:r>
        <w:rPr>
          <w:spacing w:val="-1"/>
          <w:w w:val="105"/>
          <w:sz w:val="11"/>
        </w:rPr>
        <w:t xml:space="preserve"> </w:t>
      </w:r>
      <w:r>
        <w:rPr>
          <w:w w:val="105"/>
          <w:sz w:val="11"/>
        </w:rPr>
        <w:t>referencia</w:t>
      </w:r>
      <w:r>
        <w:rPr>
          <w:spacing w:val="-1"/>
          <w:w w:val="105"/>
          <w:sz w:val="11"/>
        </w:rPr>
        <w:t xml:space="preserve"> </w:t>
      </w:r>
      <w:r>
        <w:rPr>
          <w:w w:val="105"/>
          <w:sz w:val="11"/>
        </w:rPr>
        <w:t>al</w:t>
      </w:r>
      <w:r>
        <w:rPr>
          <w:spacing w:val="-1"/>
          <w:w w:val="105"/>
          <w:sz w:val="11"/>
        </w:rPr>
        <w:t xml:space="preserve"> </w:t>
      </w:r>
      <w:r>
        <w:rPr>
          <w:w w:val="105"/>
          <w:sz w:val="11"/>
        </w:rPr>
        <w:t>motivo</w:t>
      </w:r>
      <w:r>
        <w:rPr>
          <w:spacing w:val="-1"/>
          <w:w w:val="105"/>
          <w:sz w:val="11"/>
        </w:rPr>
        <w:t xml:space="preserve"> </w:t>
      </w:r>
      <w:r>
        <w:rPr>
          <w:w w:val="105"/>
          <w:sz w:val="11"/>
        </w:rPr>
        <w:t>de</w:t>
      </w:r>
      <w:r>
        <w:rPr>
          <w:spacing w:val="-1"/>
          <w:w w:val="105"/>
          <w:sz w:val="11"/>
        </w:rPr>
        <w:t xml:space="preserve"> </w:t>
      </w:r>
      <w:r>
        <w:rPr>
          <w:w w:val="105"/>
          <w:sz w:val="11"/>
        </w:rPr>
        <w:t>“situación</w:t>
      </w:r>
      <w:r>
        <w:rPr>
          <w:spacing w:val="-1"/>
          <w:w w:val="105"/>
          <w:sz w:val="11"/>
        </w:rPr>
        <w:t xml:space="preserve"> </w:t>
      </w:r>
      <w:r>
        <w:rPr>
          <w:w w:val="105"/>
          <w:sz w:val="11"/>
        </w:rPr>
        <w:t>familiar</w:t>
      </w:r>
      <w:r>
        <w:rPr>
          <w:spacing w:val="-1"/>
          <w:w w:val="105"/>
          <w:sz w:val="11"/>
        </w:rPr>
        <w:t xml:space="preserve"> </w:t>
      </w:r>
      <w:r>
        <w:rPr>
          <w:w w:val="105"/>
          <w:sz w:val="11"/>
        </w:rPr>
        <w:t>o</w:t>
      </w:r>
      <w:r>
        <w:rPr>
          <w:spacing w:val="-1"/>
          <w:w w:val="105"/>
          <w:sz w:val="11"/>
        </w:rPr>
        <w:t xml:space="preserve"> </w:t>
      </w:r>
      <w:r>
        <w:rPr>
          <w:w w:val="105"/>
          <w:sz w:val="11"/>
        </w:rPr>
        <w:t>de</w:t>
      </w:r>
      <w:r>
        <w:rPr>
          <w:spacing w:val="-1"/>
          <w:w w:val="105"/>
          <w:sz w:val="11"/>
        </w:rPr>
        <w:t xml:space="preserve"> </w:t>
      </w:r>
      <w:r>
        <w:rPr>
          <w:w w:val="105"/>
          <w:sz w:val="11"/>
        </w:rPr>
        <w:t>cuidador”</w:t>
      </w:r>
      <w:r>
        <w:rPr>
          <w:spacing w:val="-1"/>
          <w:w w:val="105"/>
          <w:sz w:val="11"/>
        </w:rPr>
        <w:t xml:space="preserve"> </w:t>
      </w:r>
      <w:r>
        <w:rPr>
          <w:w w:val="105"/>
          <w:sz w:val="11"/>
        </w:rPr>
        <w:t>en</w:t>
      </w:r>
      <w:r>
        <w:rPr>
          <w:spacing w:val="-1"/>
          <w:w w:val="105"/>
          <w:sz w:val="11"/>
        </w:rPr>
        <w:t xml:space="preserve"> </w:t>
      </w:r>
      <w:r>
        <w:rPr>
          <w:w w:val="105"/>
          <w:sz w:val="11"/>
        </w:rPr>
        <w:t>lugar</w:t>
      </w:r>
      <w:r>
        <w:rPr>
          <w:spacing w:val="-1"/>
          <w:w w:val="105"/>
          <w:sz w:val="11"/>
        </w:rPr>
        <w:t xml:space="preserve"> </w:t>
      </w:r>
      <w:r>
        <w:rPr>
          <w:w w:val="105"/>
          <w:sz w:val="11"/>
        </w:rPr>
        <w:t>de</w:t>
      </w:r>
      <w:r>
        <w:rPr>
          <w:spacing w:val="40"/>
          <w:w w:val="105"/>
          <w:sz w:val="11"/>
        </w:rPr>
        <w:t xml:space="preserve"> </w:t>
      </w:r>
      <w:r>
        <w:rPr>
          <w:w w:val="105"/>
          <w:sz w:val="11"/>
        </w:rPr>
        <w:t>“situación</w:t>
      </w:r>
      <w:r>
        <w:rPr>
          <w:spacing w:val="-9"/>
          <w:w w:val="105"/>
          <w:sz w:val="11"/>
        </w:rPr>
        <w:t xml:space="preserve"> </w:t>
      </w:r>
      <w:r>
        <w:rPr>
          <w:w w:val="105"/>
          <w:sz w:val="11"/>
        </w:rPr>
        <w:t>profesional”.</w:t>
      </w:r>
    </w:p>
    <w:p w14:paraId="1966B803" w14:textId="77777777" w:rsidR="0014798C" w:rsidRDefault="004E1F0B">
      <w:pPr>
        <w:spacing w:before="57"/>
        <w:ind w:left="1111"/>
        <w:rPr>
          <w:sz w:val="11"/>
        </w:rPr>
      </w:pPr>
      <w:r>
        <w:rPr>
          <w:sz w:val="11"/>
        </w:rPr>
        <w:t>148</w:t>
      </w:r>
      <w:r>
        <w:rPr>
          <w:spacing w:val="9"/>
          <w:sz w:val="11"/>
        </w:rPr>
        <w:t xml:space="preserve"> </w:t>
      </w:r>
      <w:r>
        <w:rPr>
          <w:sz w:val="11"/>
        </w:rPr>
        <w:t>Comité</w:t>
      </w:r>
      <w:r>
        <w:rPr>
          <w:spacing w:val="9"/>
          <w:sz w:val="11"/>
        </w:rPr>
        <w:t xml:space="preserve"> </w:t>
      </w:r>
      <w:r>
        <w:rPr>
          <w:sz w:val="11"/>
        </w:rPr>
        <w:t>de</w:t>
      </w:r>
      <w:r>
        <w:rPr>
          <w:spacing w:val="10"/>
          <w:sz w:val="11"/>
        </w:rPr>
        <w:t xml:space="preserve"> </w:t>
      </w:r>
      <w:r>
        <w:rPr>
          <w:sz w:val="11"/>
        </w:rPr>
        <w:t>Derechos</w:t>
      </w:r>
      <w:r>
        <w:rPr>
          <w:spacing w:val="9"/>
          <w:sz w:val="11"/>
        </w:rPr>
        <w:t xml:space="preserve"> </w:t>
      </w:r>
      <w:r>
        <w:rPr>
          <w:sz w:val="11"/>
        </w:rPr>
        <w:t>Económicos,</w:t>
      </w:r>
      <w:r>
        <w:rPr>
          <w:spacing w:val="11"/>
          <w:sz w:val="11"/>
        </w:rPr>
        <w:t xml:space="preserve"> </w:t>
      </w:r>
      <w:r>
        <w:rPr>
          <w:sz w:val="11"/>
        </w:rPr>
        <w:t>Sociales</w:t>
      </w:r>
      <w:r>
        <w:rPr>
          <w:spacing w:val="10"/>
          <w:sz w:val="11"/>
        </w:rPr>
        <w:t xml:space="preserve"> </w:t>
      </w:r>
      <w:r>
        <w:rPr>
          <w:sz w:val="11"/>
        </w:rPr>
        <w:t>y</w:t>
      </w:r>
      <w:r>
        <w:rPr>
          <w:spacing w:val="9"/>
          <w:sz w:val="11"/>
        </w:rPr>
        <w:t xml:space="preserve"> </w:t>
      </w:r>
      <w:r>
        <w:rPr>
          <w:sz w:val="11"/>
        </w:rPr>
        <w:t>Culturales,</w:t>
      </w:r>
      <w:r>
        <w:rPr>
          <w:spacing w:val="11"/>
          <w:sz w:val="11"/>
        </w:rPr>
        <w:t xml:space="preserve"> </w:t>
      </w:r>
      <w:r>
        <w:rPr>
          <w:sz w:val="11"/>
        </w:rPr>
        <w:t>observación</w:t>
      </w:r>
      <w:r>
        <w:rPr>
          <w:spacing w:val="9"/>
          <w:sz w:val="11"/>
        </w:rPr>
        <w:t xml:space="preserve"> </w:t>
      </w:r>
      <w:r>
        <w:rPr>
          <w:sz w:val="11"/>
        </w:rPr>
        <w:t>general</w:t>
      </w:r>
      <w:r>
        <w:rPr>
          <w:spacing w:val="10"/>
          <w:sz w:val="11"/>
        </w:rPr>
        <w:t xml:space="preserve"> </w:t>
      </w:r>
      <w:r>
        <w:rPr>
          <w:sz w:val="11"/>
        </w:rPr>
        <w:t>núm.</w:t>
      </w:r>
      <w:r>
        <w:rPr>
          <w:spacing w:val="9"/>
          <w:sz w:val="11"/>
        </w:rPr>
        <w:t xml:space="preserve"> </w:t>
      </w:r>
      <w:r>
        <w:rPr>
          <w:sz w:val="11"/>
        </w:rPr>
        <w:t>20</w:t>
      </w:r>
      <w:r>
        <w:rPr>
          <w:spacing w:val="10"/>
          <w:sz w:val="11"/>
        </w:rPr>
        <w:t xml:space="preserve"> </w:t>
      </w:r>
      <w:r>
        <w:rPr>
          <w:sz w:val="11"/>
        </w:rPr>
        <w:t>(2009),</w:t>
      </w:r>
      <w:r>
        <w:rPr>
          <w:spacing w:val="9"/>
          <w:sz w:val="11"/>
        </w:rPr>
        <w:t xml:space="preserve"> </w:t>
      </w:r>
      <w:r>
        <w:rPr>
          <w:sz w:val="11"/>
        </w:rPr>
        <w:t>párr.</w:t>
      </w:r>
      <w:r>
        <w:rPr>
          <w:spacing w:val="10"/>
          <w:sz w:val="11"/>
        </w:rPr>
        <w:t xml:space="preserve"> </w:t>
      </w:r>
      <w:r>
        <w:rPr>
          <w:sz w:val="11"/>
        </w:rPr>
        <w:t>32;</w:t>
      </w:r>
      <w:r>
        <w:rPr>
          <w:spacing w:val="9"/>
          <w:sz w:val="11"/>
        </w:rPr>
        <w:t xml:space="preserve"> </w:t>
      </w:r>
      <w:r>
        <w:rPr>
          <w:sz w:val="11"/>
        </w:rPr>
        <w:t>E/C.12/UKR/CO/7,</w:t>
      </w:r>
      <w:r>
        <w:rPr>
          <w:spacing w:val="10"/>
          <w:sz w:val="11"/>
        </w:rPr>
        <w:t xml:space="preserve"> </w:t>
      </w:r>
      <w:proofErr w:type="spellStart"/>
      <w:r>
        <w:rPr>
          <w:sz w:val="11"/>
        </w:rPr>
        <w:t>párrs</w:t>
      </w:r>
      <w:proofErr w:type="spellEnd"/>
      <w:r>
        <w:rPr>
          <w:sz w:val="11"/>
        </w:rPr>
        <w:t>.</w:t>
      </w:r>
      <w:r>
        <w:rPr>
          <w:spacing w:val="9"/>
          <w:sz w:val="11"/>
        </w:rPr>
        <w:t xml:space="preserve"> </w:t>
      </w:r>
      <w:r>
        <w:rPr>
          <w:spacing w:val="-2"/>
          <w:sz w:val="11"/>
        </w:rPr>
        <w:t>10–11;</w:t>
      </w:r>
    </w:p>
    <w:p w14:paraId="14AE0DA1" w14:textId="77777777" w:rsidR="0014798C" w:rsidRDefault="004E1F0B">
      <w:pPr>
        <w:spacing w:before="8" w:line="288" w:lineRule="auto"/>
        <w:ind w:left="1371" w:right="1272"/>
        <w:rPr>
          <w:sz w:val="13"/>
        </w:rPr>
      </w:pPr>
      <w:r>
        <w:rPr>
          <w:sz w:val="13"/>
        </w:rPr>
        <w:t xml:space="preserve">Comité sobre los Derechos de las Personas con Discapacidad, observación general núm. 3 (2016), párr. </w:t>
      </w:r>
      <w:r w:rsidRPr="00537489">
        <w:rPr>
          <w:w w:val="95"/>
          <w:sz w:val="13"/>
          <w:lang w:val="en-US"/>
        </w:rPr>
        <w:t>4</w:t>
      </w:r>
      <w:r>
        <w:rPr>
          <w:w w:val="95"/>
          <w:sz w:val="13"/>
        </w:rPr>
        <w:t>;</w:t>
      </w:r>
      <w:r w:rsidRPr="00537489">
        <w:rPr>
          <w:w w:val="95"/>
          <w:sz w:val="13"/>
          <w:lang w:val="en-US"/>
        </w:rPr>
        <w:t xml:space="preserve"> </w:t>
      </w:r>
      <w:r w:rsidRPr="00537489">
        <w:rPr>
          <w:sz w:val="13"/>
          <w:lang w:val="en-US"/>
        </w:rPr>
        <w:t xml:space="preserve">CRPD/C/MMR/CO/1, </w:t>
      </w:r>
      <w:proofErr w:type="spellStart"/>
      <w:r w:rsidRPr="00537489">
        <w:rPr>
          <w:sz w:val="13"/>
          <w:lang w:val="en-US"/>
        </w:rPr>
        <w:t>párr</w:t>
      </w:r>
      <w:proofErr w:type="spellEnd"/>
      <w:r w:rsidRPr="00537489">
        <w:rPr>
          <w:sz w:val="13"/>
          <w:lang w:val="en-US"/>
        </w:rPr>
        <w:t xml:space="preserve">. 12 </w:t>
      </w:r>
      <w:r w:rsidRPr="00537489">
        <w:rPr>
          <w:w w:val="95"/>
          <w:sz w:val="13"/>
          <w:lang w:val="en-US"/>
        </w:rPr>
        <w:t>(a)</w:t>
      </w:r>
      <w:r>
        <w:rPr>
          <w:w w:val="95"/>
          <w:sz w:val="13"/>
        </w:rPr>
        <w:t>;</w:t>
      </w:r>
      <w:r w:rsidRPr="00537489">
        <w:rPr>
          <w:w w:val="95"/>
          <w:sz w:val="13"/>
          <w:lang w:val="en-US"/>
        </w:rPr>
        <w:t xml:space="preserve"> </w:t>
      </w:r>
      <w:r w:rsidRPr="00537489">
        <w:rPr>
          <w:sz w:val="13"/>
          <w:lang w:val="en-US"/>
        </w:rPr>
        <w:t>y</w:t>
      </w:r>
      <w:r w:rsidRPr="00537489">
        <w:rPr>
          <w:spacing w:val="40"/>
          <w:sz w:val="13"/>
          <w:lang w:val="en-US"/>
        </w:rPr>
        <w:t xml:space="preserve"> </w:t>
      </w:r>
      <w:r w:rsidRPr="00537489">
        <w:rPr>
          <w:sz w:val="13"/>
          <w:lang w:val="en-US"/>
        </w:rPr>
        <w:t xml:space="preserve">CRPD/C/IND/CO/1, </w:t>
      </w:r>
      <w:proofErr w:type="spellStart"/>
      <w:r w:rsidRPr="00537489">
        <w:rPr>
          <w:sz w:val="13"/>
          <w:lang w:val="en-US"/>
        </w:rPr>
        <w:t>párr</w:t>
      </w:r>
      <w:proofErr w:type="spellEnd"/>
      <w:r w:rsidRPr="00537489">
        <w:rPr>
          <w:sz w:val="13"/>
          <w:lang w:val="en-US"/>
        </w:rPr>
        <w:t xml:space="preserve">. </w:t>
      </w:r>
      <w:r>
        <w:rPr>
          <w:sz w:val="13"/>
        </w:rPr>
        <w:t>19b).</w:t>
      </w:r>
    </w:p>
    <w:p w14:paraId="744D985A" w14:textId="77777777" w:rsidR="0014798C" w:rsidRDefault="004E1F0B">
      <w:pPr>
        <w:spacing w:before="103"/>
        <w:ind w:left="1111"/>
        <w:rPr>
          <w:sz w:val="11"/>
        </w:rPr>
      </w:pPr>
      <w:r>
        <w:rPr>
          <w:w w:val="105"/>
          <w:sz w:val="11"/>
        </w:rPr>
        <w:t>149</w:t>
      </w:r>
      <w:r>
        <w:rPr>
          <w:spacing w:val="-5"/>
          <w:w w:val="105"/>
          <w:sz w:val="11"/>
        </w:rPr>
        <w:t xml:space="preserve"> </w:t>
      </w:r>
      <w:r>
        <w:rPr>
          <w:w w:val="105"/>
          <w:sz w:val="11"/>
        </w:rPr>
        <w:t>Comité</w:t>
      </w:r>
      <w:r>
        <w:rPr>
          <w:spacing w:val="-4"/>
          <w:w w:val="105"/>
          <w:sz w:val="11"/>
        </w:rPr>
        <w:t xml:space="preserve"> </w:t>
      </w:r>
      <w:r>
        <w:rPr>
          <w:w w:val="105"/>
          <w:sz w:val="11"/>
        </w:rPr>
        <w:t>de</w:t>
      </w:r>
      <w:r>
        <w:rPr>
          <w:spacing w:val="-4"/>
          <w:w w:val="105"/>
          <w:sz w:val="11"/>
        </w:rPr>
        <w:t xml:space="preserve"> </w:t>
      </w:r>
      <w:r>
        <w:rPr>
          <w:w w:val="105"/>
          <w:sz w:val="11"/>
        </w:rPr>
        <w:t>Derechos</w:t>
      </w:r>
      <w:r>
        <w:rPr>
          <w:spacing w:val="-4"/>
          <w:w w:val="105"/>
          <w:sz w:val="11"/>
        </w:rPr>
        <w:t xml:space="preserve"> </w:t>
      </w:r>
      <w:r>
        <w:rPr>
          <w:w w:val="105"/>
          <w:sz w:val="11"/>
        </w:rPr>
        <w:t>Económicos,</w:t>
      </w:r>
      <w:r>
        <w:rPr>
          <w:spacing w:val="-3"/>
          <w:w w:val="105"/>
          <w:sz w:val="11"/>
        </w:rPr>
        <w:t xml:space="preserve"> </w:t>
      </w:r>
      <w:r>
        <w:rPr>
          <w:w w:val="105"/>
          <w:sz w:val="11"/>
        </w:rPr>
        <w:t>Sociales</w:t>
      </w:r>
      <w:r>
        <w:rPr>
          <w:spacing w:val="-4"/>
          <w:w w:val="105"/>
          <w:sz w:val="11"/>
        </w:rPr>
        <w:t xml:space="preserve"> </w:t>
      </w:r>
      <w:r>
        <w:rPr>
          <w:w w:val="105"/>
          <w:sz w:val="11"/>
        </w:rPr>
        <w:t>y</w:t>
      </w:r>
      <w:r>
        <w:rPr>
          <w:spacing w:val="-5"/>
          <w:w w:val="105"/>
          <w:sz w:val="11"/>
        </w:rPr>
        <w:t xml:space="preserve"> </w:t>
      </w:r>
      <w:r>
        <w:rPr>
          <w:w w:val="105"/>
          <w:sz w:val="11"/>
        </w:rPr>
        <w:t>Culturales,</w:t>
      </w:r>
      <w:r>
        <w:rPr>
          <w:spacing w:val="-3"/>
          <w:w w:val="105"/>
          <w:sz w:val="11"/>
        </w:rPr>
        <w:t xml:space="preserve"> </w:t>
      </w:r>
      <w:r>
        <w:rPr>
          <w:w w:val="105"/>
          <w:sz w:val="11"/>
        </w:rPr>
        <w:t>observación</w:t>
      </w:r>
      <w:r>
        <w:rPr>
          <w:spacing w:val="-4"/>
          <w:w w:val="105"/>
          <w:sz w:val="11"/>
        </w:rPr>
        <w:t xml:space="preserve"> </w:t>
      </w:r>
      <w:r>
        <w:rPr>
          <w:w w:val="105"/>
          <w:sz w:val="11"/>
        </w:rPr>
        <w:t>general</w:t>
      </w:r>
      <w:r>
        <w:rPr>
          <w:spacing w:val="-4"/>
          <w:w w:val="105"/>
          <w:sz w:val="11"/>
        </w:rPr>
        <w:t xml:space="preserve"> </w:t>
      </w:r>
      <w:r>
        <w:rPr>
          <w:w w:val="105"/>
          <w:sz w:val="11"/>
        </w:rPr>
        <w:t>núm.</w:t>
      </w:r>
      <w:r>
        <w:rPr>
          <w:spacing w:val="-4"/>
          <w:w w:val="105"/>
          <w:sz w:val="11"/>
        </w:rPr>
        <w:t xml:space="preserve"> </w:t>
      </w:r>
      <w:r>
        <w:rPr>
          <w:w w:val="105"/>
          <w:sz w:val="11"/>
        </w:rPr>
        <w:t>20</w:t>
      </w:r>
      <w:r>
        <w:rPr>
          <w:spacing w:val="-4"/>
          <w:w w:val="105"/>
          <w:sz w:val="11"/>
        </w:rPr>
        <w:t xml:space="preserve"> </w:t>
      </w:r>
      <w:r>
        <w:rPr>
          <w:w w:val="105"/>
          <w:sz w:val="11"/>
        </w:rPr>
        <w:t>(2009),</w:t>
      </w:r>
      <w:r>
        <w:rPr>
          <w:spacing w:val="-4"/>
          <w:w w:val="105"/>
          <w:sz w:val="11"/>
        </w:rPr>
        <w:t xml:space="preserve"> </w:t>
      </w:r>
      <w:r>
        <w:rPr>
          <w:w w:val="105"/>
          <w:sz w:val="11"/>
        </w:rPr>
        <w:t>párr.</w:t>
      </w:r>
      <w:r>
        <w:rPr>
          <w:spacing w:val="-5"/>
          <w:w w:val="105"/>
          <w:sz w:val="11"/>
        </w:rPr>
        <w:t xml:space="preserve"> </w:t>
      </w:r>
      <w:r>
        <w:rPr>
          <w:w w:val="105"/>
          <w:sz w:val="11"/>
        </w:rPr>
        <w:t>32.</w:t>
      </w:r>
      <w:r>
        <w:rPr>
          <w:spacing w:val="-4"/>
          <w:w w:val="105"/>
          <w:sz w:val="11"/>
        </w:rPr>
        <w:t xml:space="preserve"> </w:t>
      </w:r>
      <w:r>
        <w:rPr>
          <w:w w:val="105"/>
          <w:sz w:val="11"/>
        </w:rPr>
        <w:t>Véase</w:t>
      </w:r>
      <w:r>
        <w:rPr>
          <w:spacing w:val="-4"/>
          <w:w w:val="105"/>
          <w:sz w:val="11"/>
        </w:rPr>
        <w:t xml:space="preserve"> </w:t>
      </w:r>
      <w:r>
        <w:rPr>
          <w:w w:val="105"/>
          <w:sz w:val="11"/>
        </w:rPr>
        <w:t>también</w:t>
      </w:r>
      <w:r>
        <w:rPr>
          <w:spacing w:val="-4"/>
          <w:w w:val="105"/>
          <w:sz w:val="11"/>
        </w:rPr>
        <w:t xml:space="preserve"> </w:t>
      </w:r>
      <w:r>
        <w:rPr>
          <w:w w:val="105"/>
          <w:sz w:val="11"/>
        </w:rPr>
        <w:t>Comité</w:t>
      </w:r>
      <w:r>
        <w:rPr>
          <w:spacing w:val="-4"/>
          <w:w w:val="105"/>
          <w:sz w:val="11"/>
        </w:rPr>
        <w:t xml:space="preserve"> </w:t>
      </w:r>
      <w:r>
        <w:rPr>
          <w:w w:val="105"/>
          <w:sz w:val="11"/>
        </w:rPr>
        <w:t>de</w:t>
      </w:r>
      <w:r>
        <w:rPr>
          <w:spacing w:val="-4"/>
          <w:w w:val="105"/>
          <w:sz w:val="11"/>
        </w:rPr>
        <w:t xml:space="preserve"> </w:t>
      </w:r>
      <w:r>
        <w:rPr>
          <w:w w:val="105"/>
          <w:sz w:val="11"/>
        </w:rPr>
        <w:t>los</w:t>
      </w:r>
      <w:r>
        <w:rPr>
          <w:spacing w:val="-4"/>
          <w:w w:val="105"/>
          <w:sz w:val="11"/>
        </w:rPr>
        <w:t xml:space="preserve"> </w:t>
      </w:r>
      <w:r>
        <w:rPr>
          <w:w w:val="105"/>
          <w:sz w:val="11"/>
        </w:rPr>
        <w:t>Derechos</w:t>
      </w:r>
      <w:r>
        <w:rPr>
          <w:spacing w:val="-5"/>
          <w:w w:val="105"/>
          <w:sz w:val="11"/>
        </w:rPr>
        <w:t xml:space="preserve"> de</w:t>
      </w:r>
    </w:p>
    <w:p w14:paraId="5FDA9DBE" w14:textId="77777777" w:rsidR="0014798C" w:rsidRDefault="004E1F0B">
      <w:pPr>
        <w:spacing w:before="8"/>
        <w:ind w:left="1367"/>
        <w:rPr>
          <w:sz w:val="13"/>
        </w:rPr>
      </w:pPr>
      <w:r>
        <w:rPr>
          <w:sz w:val="13"/>
        </w:rPr>
        <w:t>Personas</w:t>
      </w:r>
      <w:r>
        <w:rPr>
          <w:spacing w:val="1"/>
          <w:sz w:val="13"/>
        </w:rPr>
        <w:t xml:space="preserve"> </w:t>
      </w:r>
      <w:r>
        <w:rPr>
          <w:sz w:val="13"/>
        </w:rPr>
        <w:t>con</w:t>
      </w:r>
      <w:r>
        <w:rPr>
          <w:spacing w:val="2"/>
          <w:sz w:val="13"/>
        </w:rPr>
        <w:t xml:space="preserve"> </w:t>
      </w:r>
      <w:r>
        <w:rPr>
          <w:sz w:val="13"/>
        </w:rPr>
        <w:t>Discapacidad,</w:t>
      </w:r>
      <w:r>
        <w:rPr>
          <w:spacing w:val="4"/>
          <w:sz w:val="13"/>
        </w:rPr>
        <w:t xml:space="preserve"> </w:t>
      </w:r>
      <w:r>
        <w:rPr>
          <w:sz w:val="13"/>
        </w:rPr>
        <w:t>observación</w:t>
      </w:r>
      <w:r>
        <w:rPr>
          <w:spacing w:val="1"/>
          <w:sz w:val="13"/>
        </w:rPr>
        <w:t xml:space="preserve"> </w:t>
      </w:r>
      <w:r>
        <w:rPr>
          <w:sz w:val="13"/>
        </w:rPr>
        <w:t>general</w:t>
      </w:r>
      <w:r>
        <w:rPr>
          <w:spacing w:val="2"/>
          <w:sz w:val="13"/>
        </w:rPr>
        <w:t xml:space="preserve"> </w:t>
      </w:r>
      <w:r>
        <w:rPr>
          <w:sz w:val="13"/>
        </w:rPr>
        <w:t>núm.</w:t>
      </w:r>
      <w:r>
        <w:rPr>
          <w:spacing w:val="2"/>
          <w:sz w:val="13"/>
        </w:rPr>
        <w:t xml:space="preserve"> </w:t>
      </w:r>
      <w:r>
        <w:rPr>
          <w:sz w:val="13"/>
        </w:rPr>
        <w:t>6</w:t>
      </w:r>
      <w:r>
        <w:rPr>
          <w:spacing w:val="2"/>
          <w:sz w:val="13"/>
        </w:rPr>
        <w:t xml:space="preserve"> </w:t>
      </w:r>
      <w:r>
        <w:rPr>
          <w:sz w:val="13"/>
        </w:rPr>
        <w:t>(2018),</w:t>
      </w:r>
      <w:r>
        <w:rPr>
          <w:spacing w:val="2"/>
          <w:sz w:val="13"/>
        </w:rPr>
        <w:t xml:space="preserve"> </w:t>
      </w:r>
      <w:proofErr w:type="spellStart"/>
      <w:r>
        <w:rPr>
          <w:sz w:val="13"/>
        </w:rPr>
        <w:t>párrs</w:t>
      </w:r>
      <w:proofErr w:type="spellEnd"/>
      <w:r>
        <w:rPr>
          <w:sz w:val="13"/>
        </w:rPr>
        <w:t>.</w:t>
      </w:r>
      <w:r>
        <w:rPr>
          <w:spacing w:val="2"/>
          <w:sz w:val="13"/>
        </w:rPr>
        <w:t xml:space="preserve"> </w:t>
      </w:r>
      <w:r>
        <w:rPr>
          <w:sz w:val="13"/>
        </w:rPr>
        <w:t>21</w:t>
      </w:r>
      <w:r>
        <w:rPr>
          <w:spacing w:val="2"/>
          <w:sz w:val="13"/>
        </w:rPr>
        <w:t xml:space="preserve"> </w:t>
      </w:r>
      <w:r>
        <w:rPr>
          <w:sz w:val="13"/>
        </w:rPr>
        <w:t>y</w:t>
      </w:r>
      <w:r>
        <w:rPr>
          <w:spacing w:val="2"/>
          <w:sz w:val="13"/>
        </w:rPr>
        <w:t xml:space="preserve"> </w:t>
      </w:r>
      <w:r>
        <w:rPr>
          <w:sz w:val="13"/>
        </w:rPr>
        <w:t>33;</w:t>
      </w:r>
      <w:r>
        <w:rPr>
          <w:spacing w:val="2"/>
          <w:sz w:val="13"/>
        </w:rPr>
        <w:t xml:space="preserve"> </w:t>
      </w:r>
      <w:r>
        <w:rPr>
          <w:sz w:val="13"/>
        </w:rPr>
        <w:t>y</w:t>
      </w:r>
      <w:r>
        <w:rPr>
          <w:spacing w:val="2"/>
          <w:sz w:val="13"/>
        </w:rPr>
        <w:t xml:space="preserve"> </w:t>
      </w:r>
      <w:r>
        <w:rPr>
          <w:sz w:val="13"/>
        </w:rPr>
        <w:t>CRPD/C/IND/CO/1,</w:t>
      </w:r>
      <w:r>
        <w:rPr>
          <w:spacing w:val="2"/>
          <w:sz w:val="13"/>
        </w:rPr>
        <w:t xml:space="preserve"> </w:t>
      </w:r>
      <w:r>
        <w:rPr>
          <w:sz w:val="13"/>
        </w:rPr>
        <w:t>párr.</w:t>
      </w:r>
      <w:r>
        <w:rPr>
          <w:spacing w:val="2"/>
          <w:sz w:val="13"/>
        </w:rPr>
        <w:t xml:space="preserve"> </w:t>
      </w:r>
      <w:r>
        <w:rPr>
          <w:spacing w:val="-2"/>
          <w:sz w:val="13"/>
        </w:rPr>
        <w:t>19b).</w:t>
      </w:r>
    </w:p>
    <w:p w14:paraId="60E27556" w14:textId="77777777" w:rsidR="0014798C" w:rsidRDefault="0014798C">
      <w:pPr>
        <w:rPr>
          <w:sz w:val="13"/>
        </w:rPr>
        <w:sectPr w:rsidR="0014798C" w:rsidSect="00F265E4">
          <w:pgSz w:w="11900" w:h="16820"/>
          <w:pgMar w:top="340" w:right="0" w:bottom="280" w:left="200" w:header="121" w:footer="0" w:gutter="0"/>
          <w:cols w:space="720"/>
        </w:sectPr>
      </w:pPr>
    </w:p>
    <w:p w14:paraId="6ABC52FC" w14:textId="77777777" w:rsidR="0014798C" w:rsidRDefault="004E1F0B">
      <w:pPr>
        <w:spacing w:before="78"/>
        <w:jc w:val="right"/>
        <w:rPr>
          <w:sz w:val="8"/>
        </w:rPr>
      </w:pPr>
      <w:r>
        <w:rPr>
          <w:spacing w:val="-5"/>
          <w:w w:val="105"/>
          <w:sz w:val="8"/>
        </w:rPr>
        <w:t>150</w:t>
      </w:r>
    </w:p>
    <w:p w14:paraId="55C87938" w14:textId="77777777" w:rsidR="0014798C" w:rsidRDefault="0014798C">
      <w:pPr>
        <w:pStyle w:val="Textoindependiente"/>
        <w:rPr>
          <w:sz w:val="8"/>
        </w:rPr>
      </w:pPr>
    </w:p>
    <w:p w14:paraId="06DF33DC" w14:textId="77777777" w:rsidR="0014798C" w:rsidRDefault="0014798C">
      <w:pPr>
        <w:pStyle w:val="Textoindependiente"/>
        <w:rPr>
          <w:sz w:val="8"/>
        </w:rPr>
      </w:pPr>
    </w:p>
    <w:p w14:paraId="3BD54295" w14:textId="77777777" w:rsidR="0014798C" w:rsidRDefault="0014798C">
      <w:pPr>
        <w:pStyle w:val="Textoindependiente"/>
        <w:spacing w:before="48"/>
        <w:rPr>
          <w:sz w:val="8"/>
        </w:rPr>
      </w:pPr>
    </w:p>
    <w:p w14:paraId="7F6828CA" w14:textId="77777777" w:rsidR="0014798C" w:rsidRDefault="004E1F0B">
      <w:pPr>
        <w:jc w:val="right"/>
        <w:rPr>
          <w:sz w:val="8"/>
        </w:rPr>
      </w:pPr>
      <w:r>
        <w:rPr>
          <w:spacing w:val="-5"/>
          <w:w w:val="105"/>
          <w:sz w:val="8"/>
        </w:rPr>
        <w:t>151</w:t>
      </w:r>
    </w:p>
    <w:p w14:paraId="59F1C557" w14:textId="77777777" w:rsidR="0014798C" w:rsidRDefault="004E1F0B">
      <w:pPr>
        <w:spacing w:before="87" w:line="288" w:lineRule="auto"/>
        <w:ind w:left="76" w:right="1413"/>
        <w:rPr>
          <w:sz w:val="13"/>
        </w:rPr>
      </w:pPr>
      <w:r>
        <w:br w:type="column"/>
      </w:r>
      <w:r>
        <w:rPr>
          <w:w w:val="105"/>
          <w:sz w:val="13"/>
        </w:rPr>
        <w:t>Véase,</w:t>
      </w:r>
      <w:r>
        <w:rPr>
          <w:spacing w:val="-10"/>
          <w:w w:val="105"/>
          <w:sz w:val="13"/>
        </w:rPr>
        <w:t xml:space="preserve"> </w:t>
      </w:r>
      <w:r>
        <w:rPr>
          <w:w w:val="105"/>
          <w:sz w:val="13"/>
        </w:rPr>
        <w:t>por</w:t>
      </w:r>
      <w:r>
        <w:rPr>
          <w:spacing w:val="-9"/>
          <w:w w:val="105"/>
          <w:sz w:val="13"/>
        </w:rPr>
        <w:t xml:space="preserve"> </w:t>
      </w:r>
      <w:r>
        <w:rPr>
          <w:w w:val="105"/>
          <w:sz w:val="13"/>
        </w:rPr>
        <w:t>ejemplo,</w:t>
      </w:r>
      <w:r>
        <w:rPr>
          <w:spacing w:val="-10"/>
          <w:w w:val="105"/>
          <w:sz w:val="13"/>
        </w:rPr>
        <w:t xml:space="preserve"> </w:t>
      </w:r>
      <w:r>
        <w:rPr>
          <w:w w:val="105"/>
          <w:sz w:val="13"/>
        </w:rPr>
        <w:t>Comité</w:t>
      </w:r>
      <w:r>
        <w:rPr>
          <w:spacing w:val="-9"/>
          <w:w w:val="105"/>
          <w:sz w:val="13"/>
        </w:rPr>
        <w:t xml:space="preserve"> </w:t>
      </w:r>
      <w:r>
        <w:rPr>
          <w:w w:val="105"/>
          <w:sz w:val="13"/>
        </w:rPr>
        <w:t>de</w:t>
      </w:r>
      <w:r>
        <w:rPr>
          <w:spacing w:val="-10"/>
          <w:w w:val="105"/>
          <w:sz w:val="13"/>
        </w:rPr>
        <w:t xml:space="preserve"> </w:t>
      </w:r>
      <w:r>
        <w:rPr>
          <w:w w:val="105"/>
          <w:sz w:val="13"/>
        </w:rPr>
        <w:t>Derechos</w:t>
      </w:r>
      <w:r>
        <w:rPr>
          <w:spacing w:val="-9"/>
          <w:w w:val="105"/>
          <w:sz w:val="13"/>
        </w:rPr>
        <w:t xml:space="preserve"> </w:t>
      </w:r>
      <w:r>
        <w:rPr>
          <w:w w:val="105"/>
          <w:sz w:val="13"/>
        </w:rPr>
        <w:t>Económicos,</w:t>
      </w:r>
      <w:r>
        <w:rPr>
          <w:spacing w:val="-10"/>
          <w:w w:val="105"/>
          <w:sz w:val="13"/>
        </w:rPr>
        <w:t xml:space="preserve"> </w:t>
      </w:r>
      <w:r>
        <w:rPr>
          <w:w w:val="105"/>
          <w:sz w:val="13"/>
        </w:rPr>
        <w:t>Sociales</w:t>
      </w:r>
      <w:r>
        <w:rPr>
          <w:spacing w:val="-9"/>
          <w:w w:val="105"/>
          <w:sz w:val="13"/>
        </w:rPr>
        <w:t xml:space="preserve"> </w:t>
      </w:r>
      <w:r>
        <w:rPr>
          <w:w w:val="105"/>
          <w:sz w:val="13"/>
        </w:rPr>
        <w:t>y</w:t>
      </w:r>
      <w:r>
        <w:rPr>
          <w:spacing w:val="-10"/>
          <w:w w:val="105"/>
          <w:sz w:val="13"/>
        </w:rPr>
        <w:t xml:space="preserve"> </w:t>
      </w:r>
      <w:r>
        <w:rPr>
          <w:w w:val="105"/>
          <w:sz w:val="13"/>
        </w:rPr>
        <w:t>Culturales,</w:t>
      </w:r>
      <w:r>
        <w:rPr>
          <w:spacing w:val="-9"/>
          <w:w w:val="105"/>
          <w:sz w:val="13"/>
        </w:rPr>
        <w:t xml:space="preserve"> </w:t>
      </w:r>
      <w:r>
        <w:rPr>
          <w:w w:val="105"/>
          <w:sz w:val="13"/>
        </w:rPr>
        <w:t>observación</w:t>
      </w:r>
      <w:r>
        <w:rPr>
          <w:spacing w:val="-10"/>
          <w:w w:val="105"/>
          <w:sz w:val="13"/>
        </w:rPr>
        <w:t xml:space="preserve"> </w:t>
      </w:r>
      <w:r>
        <w:rPr>
          <w:w w:val="105"/>
          <w:sz w:val="13"/>
        </w:rPr>
        <w:t>general</w:t>
      </w:r>
      <w:r>
        <w:rPr>
          <w:spacing w:val="-9"/>
          <w:w w:val="105"/>
          <w:sz w:val="13"/>
        </w:rPr>
        <w:t xml:space="preserve"> </w:t>
      </w:r>
      <w:r>
        <w:rPr>
          <w:w w:val="105"/>
          <w:sz w:val="13"/>
        </w:rPr>
        <w:t>núm.</w:t>
      </w:r>
      <w:r>
        <w:rPr>
          <w:spacing w:val="-10"/>
          <w:w w:val="105"/>
          <w:sz w:val="13"/>
        </w:rPr>
        <w:t xml:space="preserve"> </w:t>
      </w:r>
      <w:r>
        <w:rPr>
          <w:w w:val="105"/>
          <w:sz w:val="13"/>
        </w:rPr>
        <w:t>22</w:t>
      </w:r>
      <w:r>
        <w:rPr>
          <w:spacing w:val="-9"/>
          <w:w w:val="105"/>
          <w:sz w:val="13"/>
        </w:rPr>
        <w:t xml:space="preserve"> </w:t>
      </w:r>
      <w:r>
        <w:rPr>
          <w:w w:val="105"/>
          <w:sz w:val="13"/>
        </w:rPr>
        <w:t>(2016),</w:t>
      </w:r>
      <w:r>
        <w:rPr>
          <w:spacing w:val="-10"/>
          <w:w w:val="105"/>
          <w:sz w:val="13"/>
        </w:rPr>
        <w:t xml:space="preserve"> </w:t>
      </w:r>
      <w:proofErr w:type="spellStart"/>
      <w:r>
        <w:rPr>
          <w:w w:val="105"/>
          <w:sz w:val="13"/>
        </w:rPr>
        <w:t>párrs</w:t>
      </w:r>
      <w:proofErr w:type="spellEnd"/>
      <w:r>
        <w:rPr>
          <w:w w:val="105"/>
          <w:sz w:val="13"/>
        </w:rPr>
        <w:t>.</w:t>
      </w:r>
      <w:r>
        <w:rPr>
          <w:spacing w:val="-9"/>
          <w:w w:val="105"/>
          <w:sz w:val="13"/>
        </w:rPr>
        <w:t xml:space="preserve"> </w:t>
      </w:r>
      <w:r>
        <w:rPr>
          <w:w w:val="105"/>
          <w:sz w:val="13"/>
        </w:rPr>
        <w:t>23</w:t>
      </w:r>
      <w:r>
        <w:rPr>
          <w:spacing w:val="-10"/>
          <w:w w:val="105"/>
          <w:sz w:val="13"/>
        </w:rPr>
        <w:t xml:space="preserve"> </w:t>
      </w:r>
      <w:r>
        <w:rPr>
          <w:w w:val="105"/>
          <w:sz w:val="13"/>
        </w:rPr>
        <w:t>y</w:t>
      </w:r>
      <w:r>
        <w:rPr>
          <w:spacing w:val="-9"/>
          <w:w w:val="105"/>
          <w:sz w:val="13"/>
        </w:rPr>
        <w:t xml:space="preserve"> </w:t>
      </w:r>
      <w:r>
        <w:rPr>
          <w:sz w:val="13"/>
        </w:rPr>
        <w:t>40;</w:t>
      </w:r>
      <w:r>
        <w:rPr>
          <w:spacing w:val="-9"/>
          <w:sz w:val="13"/>
        </w:rPr>
        <w:t xml:space="preserve"> </w:t>
      </w:r>
      <w:r>
        <w:rPr>
          <w:w w:val="105"/>
          <w:sz w:val="13"/>
        </w:rPr>
        <w:t>y</w:t>
      </w:r>
      <w:r>
        <w:rPr>
          <w:spacing w:val="-10"/>
          <w:w w:val="105"/>
          <w:sz w:val="13"/>
        </w:rPr>
        <w:t xml:space="preserve"> </w:t>
      </w:r>
      <w:r>
        <w:rPr>
          <w:w w:val="105"/>
          <w:sz w:val="13"/>
        </w:rPr>
        <w:t>Comité</w:t>
      </w:r>
      <w:r>
        <w:rPr>
          <w:spacing w:val="-9"/>
          <w:w w:val="105"/>
          <w:sz w:val="13"/>
        </w:rPr>
        <w:t xml:space="preserve"> </w:t>
      </w:r>
      <w:r>
        <w:rPr>
          <w:w w:val="105"/>
          <w:sz w:val="13"/>
        </w:rPr>
        <w:t>sobre</w:t>
      </w:r>
      <w:r>
        <w:rPr>
          <w:spacing w:val="-10"/>
          <w:w w:val="105"/>
          <w:sz w:val="13"/>
        </w:rPr>
        <w:t xml:space="preserve"> </w:t>
      </w:r>
      <w:r>
        <w:rPr>
          <w:w w:val="105"/>
          <w:sz w:val="13"/>
        </w:rPr>
        <w:t>los</w:t>
      </w:r>
      <w:r>
        <w:rPr>
          <w:spacing w:val="40"/>
          <w:w w:val="105"/>
          <w:sz w:val="13"/>
        </w:rPr>
        <w:t xml:space="preserve"> </w:t>
      </w:r>
      <w:r>
        <w:rPr>
          <w:w w:val="105"/>
          <w:sz w:val="13"/>
        </w:rPr>
        <w:t>Derechos</w:t>
      </w:r>
      <w:r>
        <w:rPr>
          <w:spacing w:val="-1"/>
          <w:w w:val="105"/>
          <w:sz w:val="13"/>
        </w:rPr>
        <w:t xml:space="preserve"> </w:t>
      </w:r>
      <w:r>
        <w:rPr>
          <w:w w:val="105"/>
          <w:sz w:val="13"/>
        </w:rPr>
        <w:t>de</w:t>
      </w:r>
      <w:r>
        <w:rPr>
          <w:spacing w:val="-1"/>
          <w:w w:val="105"/>
          <w:sz w:val="13"/>
        </w:rPr>
        <w:t xml:space="preserve"> </w:t>
      </w:r>
      <w:r>
        <w:rPr>
          <w:w w:val="105"/>
          <w:sz w:val="13"/>
        </w:rPr>
        <w:t>las</w:t>
      </w:r>
      <w:r>
        <w:rPr>
          <w:spacing w:val="-1"/>
          <w:w w:val="105"/>
          <w:sz w:val="13"/>
        </w:rPr>
        <w:t xml:space="preserve"> </w:t>
      </w:r>
      <w:r>
        <w:rPr>
          <w:w w:val="105"/>
          <w:sz w:val="13"/>
        </w:rPr>
        <w:t>Personas</w:t>
      </w:r>
      <w:r>
        <w:rPr>
          <w:spacing w:val="-1"/>
          <w:w w:val="105"/>
          <w:sz w:val="13"/>
        </w:rPr>
        <w:t xml:space="preserve"> </w:t>
      </w:r>
      <w:r>
        <w:rPr>
          <w:w w:val="105"/>
          <w:sz w:val="13"/>
        </w:rPr>
        <w:t>con</w:t>
      </w:r>
      <w:r>
        <w:rPr>
          <w:spacing w:val="-1"/>
          <w:w w:val="105"/>
          <w:sz w:val="13"/>
        </w:rPr>
        <w:t xml:space="preserve"> </w:t>
      </w:r>
      <w:r>
        <w:rPr>
          <w:w w:val="105"/>
          <w:sz w:val="13"/>
        </w:rPr>
        <w:t>Discapacidad, observación</w:t>
      </w:r>
      <w:r>
        <w:rPr>
          <w:spacing w:val="-1"/>
          <w:w w:val="105"/>
          <w:sz w:val="13"/>
        </w:rPr>
        <w:t xml:space="preserve"> </w:t>
      </w:r>
      <w:r>
        <w:rPr>
          <w:w w:val="105"/>
          <w:sz w:val="13"/>
        </w:rPr>
        <w:t>general</w:t>
      </w:r>
      <w:r>
        <w:rPr>
          <w:spacing w:val="-1"/>
          <w:w w:val="105"/>
          <w:sz w:val="13"/>
        </w:rPr>
        <w:t xml:space="preserve"> </w:t>
      </w:r>
      <w:r>
        <w:rPr>
          <w:w w:val="105"/>
          <w:sz w:val="13"/>
        </w:rPr>
        <w:t>núm.</w:t>
      </w:r>
      <w:r>
        <w:rPr>
          <w:spacing w:val="-1"/>
          <w:w w:val="105"/>
          <w:sz w:val="13"/>
        </w:rPr>
        <w:t xml:space="preserve"> </w:t>
      </w:r>
      <w:r>
        <w:rPr>
          <w:w w:val="105"/>
          <w:sz w:val="13"/>
        </w:rPr>
        <w:t>6</w:t>
      </w:r>
      <w:r>
        <w:rPr>
          <w:spacing w:val="-1"/>
          <w:w w:val="105"/>
          <w:sz w:val="13"/>
        </w:rPr>
        <w:t xml:space="preserve"> </w:t>
      </w:r>
      <w:r>
        <w:rPr>
          <w:w w:val="105"/>
          <w:sz w:val="13"/>
        </w:rPr>
        <w:t>(2018),</w:t>
      </w:r>
      <w:r>
        <w:rPr>
          <w:spacing w:val="-1"/>
          <w:w w:val="105"/>
          <w:sz w:val="13"/>
        </w:rPr>
        <w:t xml:space="preserve"> </w:t>
      </w:r>
      <w:r>
        <w:rPr>
          <w:w w:val="105"/>
          <w:sz w:val="13"/>
        </w:rPr>
        <w:t>párr.</w:t>
      </w:r>
      <w:r>
        <w:rPr>
          <w:spacing w:val="-1"/>
          <w:w w:val="105"/>
          <w:sz w:val="13"/>
        </w:rPr>
        <w:t xml:space="preserve"> </w:t>
      </w:r>
      <w:r>
        <w:rPr>
          <w:w w:val="105"/>
          <w:sz w:val="13"/>
        </w:rPr>
        <w:t>21.</w:t>
      </w:r>
    </w:p>
    <w:p w14:paraId="2B2C9377" w14:textId="77777777" w:rsidR="0014798C" w:rsidRDefault="004E1F0B">
      <w:pPr>
        <w:spacing w:before="57" w:line="288" w:lineRule="auto"/>
        <w:ind w:left="75" w:right="1602" w:firstLine="2"/>
        <w:rPr>
          <w:sz w:val="13"/>
        </w:rPr>
      </w:pPr>
      <w:r>
        <w:rPr>
          <w:sz w:val="13"/>
        </w:rPr>
        <w:t xml:space="preserve">Véase, por ejemplo, Comité de Derechos Económicos, Sociales y Culturales, observación general núm. 22 (2016), </w:t>
      </w:r>
      <w:proofErr w:type="spellStart"/>
      <w:r>
        <w:rPr>
          <w:sz w:val="13"/>
        </w:rPr>
        <w:t>párrs</w:t>
      </w:r>
      <w:proofErr w:type="spellEnd"/>
      <w:r>
        <w:rPr>
          <w:sz w:val="13"/>
        </w:rPr>
        <w:t>. 2, 23 y 30;</w:t>
      </w:r>
      <w:r>
        <w:rPr>
          <w:spacing w:val="40"/>
          <w:sz w:val="13"/>
        </w:rPr>
        <w:t xml:space="preserve"> </w:t>
      </w:r>
      <w:r>
        <w:rPr>
          <w:sz w:val="13"/>
        </w:rPr>
        <w:t xml:space="preserve">E/C.12/NLD/CO/6, </w:t>
      </w:r>
      <w:proofErr w:type="spellStart"/>
      <w:r>
        <w:rPr>
          <w:sz w:val="13"/>
        </w:rPr>
        <w:t>párrs</w:t>
      </w:r>
      <w:proofErr w:type="spellEnd"/>
      <w:r>
        <w:rPr>
          <w:sz w:val="13"/>
        </w:rPr>
        <w:t>. 18–19; CRPD/C/IND/CO/1, párr. 19</w:t>
      </w:r>
      <w:proofErr w:type="gramStart"/>
      <w:r>
        <w:rPr>
          <w:sz w:val="13"/>
        </w:rPr>
        <w:t>b);</w:t>
      </w:r>
      <w:proofErr w:type="gramEnd"/>
      <w:r>
        <w:rPr>
          <w:sz w:val="13"/>
        </w:rPr>
        <w:t xml:space="preserve"> y la discusión sobre las características sexuales, arriba.</w:t>
      </w:r>
    </w:p>
    <w:p w14:paraId="6822158B" w14:textId="77777777" w:rsidR="0014798C" w:rsidRDefault="0014798C">
      <w:pPr>
        <w:spacing w:line="288" w:lineRule="auto"/>
        <w:rPr>
          <w:sz w:val="13"/>
        </w:rPr>
        <w:sectPr w:rsidR="0014798C" w:rsidSect="00F265E4">
          <w:type w:val="continuous"/>
          <w:pgSz w:w="11900" w:h="16820"/>
          <w:pgMar w:top="40" w:right="0" w:bottom="280" w:left="200" w:header="121" w:footer="0" w:gutter="0"/>
          <w:cols w:num="2" w:space="720" w:equalWidth="0">
            <w:col w:w="1253" w:space="40"/>
            <w:col w:w="10407"/>
          </w:cols>
        </w:sectPr>
      </w:pPr>
    </w:p>
    <w:p w14:paraId="7EA1631D" w14:textId="77777777" w:rsidR="0014798C" w:rsidRDefault="004E1F0B">
      <w:pPr>
        <w:spacing w:before="103" w:line="340" w:lineRule="auto"/>
        <w:ind w:left="1367" w:right="2004" w:hanging="256"/>
        <w:rPr>
          <w:sz w:val="11"/>
        </w:rPr>
      </w:pPr>
      <w:r>
        <w:rPr>
          <w:w w:val="105"/>
          <w:sz w:val="11"/>
        </w:rPr>
        <w:t>152</w:t>
      </w:r>
      <w:r>
        <w:rPr>
          <w:spacing w:val="-5"/>
          <w:w w:val="105"/>
          <w:sz w:val="11"/>
        </w:rPr>
        <w:t xml:space="preserve"> </w:t>
      </w:r>
      <w:r>
        <w:rPr>
          <w:w w:val="105"/>
          <w:sz w:val="11"/>
        </w:rPr>
        <w:t>Comité</w:t>
      </w:r>
      <w:r>
        <w:rPr>
          <w:spacing w:val="-5"/>
          <w:w w:val="105"/>
          <w:sz w:val="11"/>
        </w:rPr>
        <w:t xml:space="preserve"> </w:t>
      </w:r>
      <w:r>
        <w:rPr>
          <w:w w:val="105"/>
          <w:sz w:val="11"/>
        </w:rPr>
        <w:t>de</w:t>
      </w:r>
      <w:r>
        <w:rPr>
          <w:spacing w:val="-5"/>
          <w:w w:val="105"/>
          <w:sz w:val="11"/>
        </w:rPr>
        <w:t xml:space="preserve"> </w:t>
      </w:r>
      <w:r>
        <w:rPr>
          <w:w w:val="105"/>
          <w:sz w:val="11"/>
        </w:rPr>
        <w:t>Derechos</w:t>
      </w:r>
      <w:r>
        <w:rPr>
          <w:spacing w:val="-5"/>
          <w:w w:val="105"/>
          <w:sz w:val="11"/>
        </w:rPr>
        <w:t xml:space="preserve"> </w:t>
      </w:r>
      <w:r>
        <w:rPr>
          <w:w w:val="105"/>
          <w:sz w:val="11"/>
        </w:rPr>
        <w:t>Económicos,</w:t>
      </w:r>
      <w:r>
        <w:rPr>
          <w:spacing w:val="-4"/>
          <w:w w:val="105"/>
          <w:sz w:val="11"/>
        </w:rPr>
        <w:t xml:space="preserve"> </w:t>
      </w:r>
      <w:r>
        <w:rPr>
          <w:w w:val="105"/>
          <w:sz w:val="11"/>
        </w:rPr>
        <w:t>Sociales</w:t>
      </w:r>
      <w:r>
        <w:rPr>
          <w:spacing w:val="-5"/>
          <w:w w:val="105"/>
          <w:sz w:val="11"/>
        </w:rPr>
        <w:t xml:space="preserve"> </w:t>
      </w:r>
      <w:r>
        <w:rPr>
          <w:w w:val="105"/>
          <w:sz w:val="11"/>
        </w:rPr>
        <w:t>y</w:t>
      </w:r>
      <w:r>
        <w:rPr>
          <w:spacing w:val="-5"/>
          <w:w w:val="105"/>
          <w:sz w:val="11"/>
        </w:rPr>
        <w:t xml:space="preserve"> </w:t>
      </w:r>
      <w:r>
        <w:rPr>
          <w:w w:val="105"/>
          <w:sz w:val="11"/>
        </w:rPr>
        <w:t>Culturales,</w:t>
      </w:r>
      <w:r>
        <w:rPr>
          <w:spacing w:val="-4"/>
          <w:w w:val="105"/>
          <w:sz w:val="11"/>
        </w:rPr>
        <w:t xml:space="preserve"> </w:t>
      </w:r>
      <w:r>
        <w:rPr>
          <w:w w:val="105"/>
          <w:sz w:val="11"/>
        </w:rPr>
        <w:t>observación</w:t>
      </w:r>
      <w:r>
        <w:rPr>
          <w:spacing w:val="-5"/>
          <w:w w:val="105"/>
          <w:sz w:val="11"/>
        </w:rPr>
        <w:t xml:space="preserve"> </w:t>
      </w:r>
      <w:r>
        <w:rPr>
          <w:w w:val="105"/>
          <w:sz w:val="11"/>
        </w:rPr>
        <w:t>general</w:t>
      </w:r>
      <w:r>
        <w:rPr>
          <w:spacing w:val="-5"/>
          <w:w w:val="105"/>
          <w:sz w:val="11"/>
        </w:rPr>
        <w:t xml:space="preserve"> </w:t>
      </w:r>
      <w:r>
        <w:rPr>
          <w:w w:val="105"/>
          <w:sz w:val="11"/>
        </w:rPr>
        <w:t>núm.</w:t>
      </w:r>
      <w:r>
        <w:rPr>
          <w:spacing w:val="-5"/>
          <w:w w:val="105"/>
          <w:sz w:val="11"/>
        </w:rPr>
        <w:t xml:space="preserve"> </w:t>
      </w:r>
      <w:r>
        <w:rPr>
          <w:w w:val="105"/>
          <w:sz w:val="11"/>
        </w:rPr>
        <w:t>20</w:t>
      </w:r>
      <w:r>
        <w:rPr>
          <w:spacing w:val="-5"/>
          <w:w w:val="105"/>
          <w:sz w:val="11"/>
        </w:rPr>
        <w:t xml:space="preserve"> </w:t>
      </w:r>
      <w:r>
        <w:rPr>
          <w:w w:val="105"/>
          <w:sz w:val="11"/>
        </w:rPr>
        <w:t>(2009),</w:t>
      </w:r>
      <w:r>
        <w:rPr>
          <w:spacing w:val="-5"/>
          <w:w w:val="105"/>
          <w:sz w:val="11"/>
        </w:rPr>
        <w:t xml:space="preserve"> </w:t>
      </w:r>
      <w:proofErr w:type="spellStart"/>
      <w:r>
        <w:rPr>
          <w:w w:val="105"/>
          <w:sz w:val="11"/>
        </w:rPr>
        <w:t>párrs</w:t>
      </w:r>
      <w:proofErr w:type="spellEnd"/>
      <w:r>
        <w:rPr>
          <w:w w:val="105"/>
          <w:sz w:val="11"/>
        </w:rPr>
        <w:t>.</w:t>
      </w:r>
      <w:r>
        <w:rPr>
          <w:spacing w:val="-5"/>
          <w:w w:val="105"/>
          <w:sz w:val="11"/>
        </w:rPr>
        <w:t xml:space="preserve"> </w:t>
      </w:r>
      <w:r>
        <w:rPr>
          <w:w w:val="105"/>
          <w:sz w:val="11"/>
        </w:rPr>
        <w:t>18–35;</w:t>
      </w:r>
      <w:r>
        <w:rPr>
          <w:spacing w:val="-5"/>
          <w:w w:val="105"/>
          <w:sz w:val="11"/>
        </w:rPr>
        <w:t xml:space="preserve"> </w:t>
      </w:r>
      <w:r>
        <w:rPr>
          <w:w w:val="105"/>
          <w:sz w:val="11"/>
        </w:rPr>
        <w:t>y</w:t>
      </w:r>
      <w:r>
        <w:rPr>
          <w:spacing w:val="-5"/>
          <w:w w:val="105"/>
          <w:sz w:val="11"/>
        </w:rPr>
        <w:t xml:space="preserve"> </w:t>
      </w:r>
      <w:r>
        <w:rPr>
          <w:w w:val="105"/>
          <w:sz w:val="11"/>
        </w:rPr>
        <w:t>Comité</w:t>
      </w:r>
      <w:r>
        <w:rPr>
          <w:spacing w:val="-5"/>
          <w:w w:val="105"/>
          <w:sz w:val="11"/>
        </w:rPr>
        <w:t xml:space="preserve"> </w:t>
      </w:r>
      <w:r>
        <w:rPr>
          <w:w w:val="105"/>
          <w:sz w:val="11"/>
        </w:rPr>
        <w:t>sobre</w:t>
      </w:r>
      <w:r>
        <w:rPr>
          <w:spacing w:val="-5"/>
          <w:w w:val="105"/>
          <w:sz w:val="11"/>
        </w:rPr>
        <w:t xml:space="preserve"> </w:t>
      </w:r>
      <w:r>
        <w:rPr>
          <w:w w:val="105"/>
          <w:sz w:val="11"/>
        </w:rPr>
        <w:t>los</w:t>
      </w:r>
      <w:r>
        <w:rPr>
          <w:spacing w:val="-5"/>
          <w:w w:val="105"/>
          <w:sz w:val="11"/>
        </w:rPr>
        <w:t xml:space="preserve"> </w:t>
      </w:r>
      <w:r>
        <w:rPr>
          <w:w w:val="105"/>
          <w:sz w:val="11"/>
        </w:rPr>
        <w:t>Derechos</w:t>
      </w:r>
      <w:r>
        <w:rPr>
          <w:spacing w:val="-5"/>
          <w:w w:val="105"/>
          <w:sz w:val="11"/>
        </w:rPr>
        <w:t xml:space="preserve"> </w:t>
      </w:r>
      <w:r>
        <w:rPr>
          <w:w w:val="105"/>
          <w:sz w:val="11"/>
        </w:rPr>
        <w:t>de</w:t>
      </w:r>
      <w:r>
        <w:rPr>
          <w:spacing w:val="-5"/>
          <w:w w:val="105"/>
          <w:sz w:val="11"/>
        </w:rPr>
        <w:t xml:space="preserve"> </w:t>
      </w:r>
      <w:r>
        <w:rPr>
          <w:w w:val="105"/>
          <w:sz w:val="11"/>
        </w:rPr>
        <w:t>las</w:t>
      </w:r>
      <w:r>
        <w:rPr>
          <w:spacing w:val="-5"/>
          <w:w w:val="105"/>
          <w:sz w:val="11"/>
        </w:rPr>
        <w:t xml:space="preserve"> </w:t>
      </w:r>
      <w:r>
        <w:rPr>
          <w:w w:val="105"/>
          <w:sz w:val="11"/>
        </w:rPr>
        <w:t>Personas</w:t>
      </w:r>
      <w:r>
        <w:rPr>
          <w:spacing w:val="-5"/>
          <w:w w:val="105"/>
          <w:sz w:val="11"/>
        </w:rPr>
        <w:t xml:space="preserve"> </w:t>
      </w:r>
      <w:r>
        <w:rPr>
          <w:w w:val="105"/>
          <w:sz w:val="11"/>
        </w:rPr>
        <w:t>con</w:t>
      </w:r>
      <w:r>
        <w:rPr>
          <w:spacing w:val="40"/>
          <w:w w:val="105"/>
          <w:sz w:val="11"/>
        </w:rPr>
        <w:t xml:space="preserve"> </w:t>
      </w:r>
      <w:r>
        <w:rPr>
          <w:w w:val="105"/>
          <w:sz w:val="11"/>
        </w:rPr>
        <w:t>Discapacidad, observación general núm. 6 (2018), párr. 21.</w:t>
      </w:r>
    </w:p>
    <w:p w14:paraId="106445C6" w14:textId="77777777" w:rsidR="0014798C" w:rsidRDefault="004E1F0B">
      <w:pPr>
        <w:spacing w:before="12" w:line="288" w:lineRule="auto"/>
        <w:ind w:left="1370" w:right="1590" w:hanging="259"/>
        <w:rPr>
          <w:sz w:val="13"/>
        </w:rPr>
      </w:pPr>
      <w:r>
        <w:rPr>
          <w:w w:val="105"/>
          <w:sz w:val="13"/>
        </w:rPr>
        <w:t>153</w:t>
      </w:r>
      <w:r>
        <w:rPr>
          <w:spacing w:val="-8"/>
          <w:w w:val="105"/>
          <w:sz w:val="13"/>
        </w:rPr>
        <w:t xml:space="preserve"> </w:t>
      </w:r>
      <w:r>
        <w:rPr>
          <w:w w:val="105"/>
          <w:sz w:val="13"/>
        </w:rPr>
        <w:t>Comité</w:t>
      </w:r>
      <w:r>
        <w:rPr>
          <w:spacing w:val="-8"/>
          <w:w w:val="105"/>
          <w:sz w:val="13"/>
        </w:rPr>
        <w:t xml:space="preserve"> </w:t>
      </w:r>
      <w:r>
        <w:rPr>
          <w:w w:val="105"/>
          <w:sz w:val="13"/>
        </w:rPr>
        <w:t>de</w:t>
      </w:r>
      <w:r>
        <w:rPr>
          <w:spacing w:val="-8"/>
          <w:w w:val="105"/>
          <w:sz w:val="13"/>
        </w:rPr>
        <w:t xml:space="preserve"> </w:t>
      </w:r>
      <w:r>
        <w:rPr>
          <w:w w:val="105"/>
          <w:sz w:val="13"/>
        </w:rPr>
        <w:t>Derechos</w:t>
      </w:r>
      <w:r>
        <w:rPr>
          <w:spacing w:val="-8"/>
          <w:w w:val="105"/>
          <w:sz w:val="13"/>
        </w:rPr>
        <w:t xml:space="preserve"> </w:t>
      </w:r>
      <w:r>
        <w:rPr>
          <w:w w:val="105"/>
          <w:sz w:val="13"/>
        </w:rPr>
        <w:t>Humanos,</w:t>
      </w:r>
      <w:r>
        <w:rPr>
          <w:spacing w:val="-8"/>
          <w:w w:val="105"/>
          <w:sz w:val="13"/>
        </w:rPr>
        <w:t xml:space="preserve"> </w:t>
      </w:r>
      <w:r>
        <w:rPr>
          <w:w w:val="105"/>
          <w:sz w:val="13"/>
        </w:rPr>
        <w:t>Ross</w:t>
      </w:r>
      <w:r>
        <w:rPr>
          <w:spacing w:val="-8"/>
          <w:w w:val="105"/>
          <w:sz w:val="13"/>
        </w:rPr>
        <w:t xml:space="preserve"> </w:t>
      </w:r>
      <w:r>
        <w:rPr>
          <w:w w:val="105"/>
          <w:sz w:val="13"/>
        </w:rPr>
        <w:t>c.</w:t>
      </w:r>
      <w:r>
        <w:rPr>
          <w:spacing w:val="-8"/>
          <w:w w:val="105"/>
          <w:sz w:val="13"/>
        </w:rPr>
        <w:t xml:space="preserve"> </w:t>
      </w:r>
      <w:r>
        <w:rPr>
          <w:w w:val="105"/>
          <w:sz w:val="13"/>
        </w:rPr>
        <w:t>Canadá</w:t>
      </w:r>
      <w:r>
        <w:rPr>
          <w:spacing w:val="-8"/>
          <w:w w:val="105"/>
          <w:sz w:val="13"/>
        </w:rPr>
        <w:t xml:space="preserve"> </w:t>
      </w:r>
      <w:r>
        <w:rPr>
          <w:w w:val="105"/>
          <w:sz w:val="13"/>
        </w:rPr>
        <w:t>(CCPR/C/70/D/736/1997),</w:t>
      </w:r>
      <w:r>
        <w:rPr>
          <w:spacing w:val="-8"/>
          <w:w w:val="105"/>
          <w:sz w:val="13"/>
        </w:rPr>
        <w:t xml:space="preserve"> </w:t>
      </w:r>
      <w:r>
        <w:rPr>
          <w:w w:val="105"/>
          <w:sz w:val="13"/>
        </w:rPr>
        <w:t>fundamento</w:t>
      </w:r>
      <w:r>
        <w:rPr>
          <w:spacing w:val="-8"/>
          <w:w w:val="105"/>
          <w:sz w:val="13"/>
        </w:rPr>
        <w:t xml:space="preserve"> </w:t>
      </w:r>
      <w:r>
        <w:rPr>
          <w:w w:val="105"/>
          <w:sz w:val="13"/>
        </w:rPr>
        <w:t>basado</w:t>
      </w:r>
      <w:r>
        <w:rPr>
          <w:spacing w:val="-8"/>
          <w:w w:val="105"/>
          <w:sz w:val="13"/>
        </w:rPr>
        <w:t xml:space="preserve"> </w:t>
      </w:r>
      <w:r>
        <w:rPr>
          <w:w w:val="105"/>
          <w:sz w:val="13"/>
        </w:rPr>
        <w:t>en</w:t>
      </w:r>
      <w:r>
        <w:rPr>
          <w:spacing w:val="-8"/>
          <w:w w:val="105"/>
          <w:sz w:val="13"/>
        </w:rPr>
        <w:t xml:space="preserve"> </w:t>
      </w:r>
      <w:r>
        <w:rPr>
          <w:w w:val="105"/>
          <w:sz w:val="13"/>
        </w:rPr>
        <w:t>el</w:t>
      </w:r>
      <w:r>
        <w:rPr>
          <w:spacing w:val="-8"/>
          <w:w w:val="105"/>
          <w:sz w:val="13"/>
        </w:rPr>
        <w:t xml:space="preserve"> </w:t>
      </w:r>
      <w:r>
        <w:rPr>
          <w:w w:val="105"/>
          <w:sz w:val="13"/>
        </w:rPr>
        <w:t>estatuto</w:t>
      </w:r>
      <w:r>
        <w:rPr>
          <w:spacing w:val="-9"/>
          <w:w w:val="105"/>
          <w:sz w:val="13"/>
        </w:rPr>
        <w:t xml:space="preserve"> </w:t>
      </w:r>
      <w:r>
        <w:rPr>
          <w:w w:val="105"/>
          <w:sz w:val="13"/>
        </w:rPr>
        <w:t>de</w:t>
      </w:r>
      <w:r>
        <w:rPr>
          <w:spacing w:val="-8"/>
          <w:w w:val="105"/>
          <w:sz w:val="13"/>
        </w:rPr>
        <w:t xml:space="preserve"> </w:t>
      </w:r>
      <w:r>
        <w:rPr>
          <w:w w:val="105"/>
          <w:sz w:val="13"/>
        </w:rPr>
        <w:t>New</w:t>
      </w:r>
      <w:r>
        <w:rPr>
          <w:spacing w:val="-8"/>
          <w:w w:val="105"/>
          <w:sz w:val="13"/>
        </w:rPr>
        <w:t xml:space="preserve"> </w:t>
      </w:r>
      <w:r>
        <w:rPr>
          <w:w w:val="105"/>
          <w:sz w:val="13"/>
        </w:rPr>
        <w:t>Brunswick</w:t>
      </w:r>
      <w:r>
        <w:rPr>
          <w:spacing w:val="-8"/>
          <w:w w:val="105"/>
          <w:sz w:val="13"/>
        </w:rPr>
        <w:t xml:space="preserve"> </w:t>
      </w:r>
      <w:r>
        <w:rPr>
          <w:w w:val="105"/>
          <w:sz w:val="13"/>
        </w:rPr>
        <w:t>y</w:t>
      </w:r>
      <w:r>
        <w:rPr>
          <w:spacing w:val="-8"/>
          <w:w w:val="105"/>
          <w:sz w:val="13"/>
        </w:rPr>
        <w:t xml:space="preserve"> </w:t>
      </w:r>
      <w:r>
        <w:rPr>
          <w:w w:val="105"/>
          <w:sz w:val="13"/>
        </w:rPr>
        <w:t>resuelto</w:t>
      </w:r>
      <w:r>
        <w:rPr>
          <w:spacing w:val="-8"/>
          <w:w w:val="105"/>
          <w:sz w:val="13"/>
        </w:rPr>
        <w:t xml:space="preserve"> </w:t>
      </w:r>
      <w:r>
        <w:rPr>
          <w:w w:val="105"/>
          <w:sz w:val="13"/>
        </w:rPr>
        <w:t>en</w:t>
      </w:r>
      <w:r>
        <w:rPr>
          <w:spacing w:val="-8"/>
          <w:w w:val="105"/>
          <w:sz w:val="13"/>
        </w:rPr>
        <w:t xml:space="preserve"> </w:t>
      </w:r>
      <w:r>
        <w:rPr>
          <w:w w:val="105"/>
          <w:sz w:val="13"/>
        </w:rPr>
        <w:t>el</w:t>
      </w:r>
      <w:r>
        <w:rPr>
          <w:spacing w:val="40"/>
          <w:w w:val="105"/>
          <w:sz w:val="13"/>
        </w:rPr>
        <w:t xml:space="preserve"> </w:t>
      </w:r>
      <w:r>
        <w:rPr>
          <w:w w:val="105"/>
          <w:sz w:val="13"/>
        </w:rPr>
        <w:t>Corte Suprema de Canadá.</w:t>
      </w:r>
    </w:p>
    <w:p w14:paraId="71D588AE" w14:textId="77777777" w:rsidR="0014798C" w:rsidRPr="00537489" w:rsidRDefault="004E1F0B">
      <w:pPr>
        <w:spacing w:before="103"/>
        <w:ind w:left="1111"/>
        <w:rPr>
          <w:sz w:val="11"/>
          <w:lang w:val="en-US"/>
        </w:rPr>
      </w:pPr>
      <w:r>
        <w:rPr>
          <w:w w:val="105"/>
          <w:sz w:val="11"/>
        </w:rPr>
        <w:t>154</w:t>
      </w:r>
      <w:r>
        <w:rPr>
          <w:spacing w:val="-5"/>
          <w:w w:val="105"/>
          <w:sz w:val="11"/>
        </w:rPr>
        <w:t xml:space="preserve"> </w:t>
      </w:r>
      <w:r>
        <w:rPr>
          <w:w w:val="105"/>
          <w:sz w:val="11"/>
        </w:rPr>
        <w:t>Comité</w:t>
      </w:r>
      <w:r>
        <w:rPr>
          <w:spacing w:val="-4"/>
          <w:w w:val="105"/>
          <w:sz w:val="11"/>
        </w:rPr>
        <w:t xml:space="preserve"> </w:t>
      </w:r>
      <w:r>
        <w:rPr>
          <w:w w:val="105"/>
          <w:sz w:val="11"/>
        </w:rPr>
        <w:t>de</w:t>
      </w:r>
      <w:r>
        <w:rPr>
          <w:spacing w:val="-4"/>
          <w:w w:val="105"/>
          <w:sz w:val="11"/>
        </w:rPr>
        <w:t xml:space="preserve"> </w:t>
      </w:r>
      <w:r>
        <w:rPr>
          <w:w w:val="105"/>
          <w:sz w:val="11"/>
        </w:rPr>
        <w:t>Derechos</w:t>
      </w:r>
      <w:r>
        <w:rPr>
          <w:spacing w:val="-4"/>
          <w:w w:val="105"/>
          <w:sz w:val="11"/>
        </w:rPr>
        <w:t xml:space="preserve"> </w:t>
      </w:r>
      <w:r>
        <w:rPr>
          <w:w w:val="105"/>
          <w:sz w:val="11"/>
        </w:rPr>
        <w:t>Económicos,</w:t>
      </w:r>
      <w:r>
        <w:rPr>
          <w:spacing w:val="-3"/>
          <w:w w:val="105"/>
          <w:sz w:val="11"/>
        </w:rPr>
        <w:t xml:space="preserve"> </w:t>
      </w:r>
      <w:r>
        <w:rPr>
          <w:w w:val="105"/>
          <w:sz w:val="11"/>
        </w:rPr>
        <w:t>Sociales</w:t>
      </w:r>
      <w:r>
        <w:rPr>
          <w:spacing w:val="-4"/>
          <w:w w:val="105"/>
          <w:sz w:val="11"/>
        </w:rPr>
        <w:t xml:space="preserve"> </w:t>
      </w:r>
      <w:r>
        <w:rPr>
          <w:w w:val="105"/>
          <w:sz w:val="11"/>
        </w:rPr>
        <w:t>y</w:t>
      </w:r>
      <w:r>
        <w:rPr>
          <w:spacing w:val="-5"/>
          <w:w w:val="105"/>
          <w:sz w:val="11"/>
        </w:rPr>
        <w:t xml:space="preserve"> </w:t>
      </w:r>
      <w:r>
        <w:rPr>
          <w:w w:val="105"/>
          <w:sz w:val="11"/>
        </w:rPr>
        <w:t>Culturales,</w:t>
      </w:r>
      <w:r>
        <w:rPr>
          <w:spacing w:val="-3"/>
          <w:w w:val="105"/>
          <w:sz w:val="11"/>
        </w:rPr>
        <w:t xml:space="preserve"> </w:t>
      </w:r>
      <w:r>
        <w:rPr>
          <w:w w:val="105"/>
          <w:sz w:val="11"/>
        </w:rPr>
        <w:t>observación</w:t>
      </w:r>
      <w:r>
        <w:rPr>
          <w:spacing w:val="-4"/>
          <w:w w:val="105"/>
          <w:sz w:val="11"/>
        </w:rPr>
        <w:t xml:space="preserve"> </w:t>
      </w:r>
      <w:r>
        <w:rPr>
          <w:w w:val="105"/>
          <w:sz w:val="11"/>
        </w:rPr>
        <w:t>general</w:t>
      </w:r>
      <w:r>
        <w:rPr>
          <w:spacing w:val="-4"/>
          <w:w w:val="105"/>
          <w:sz w:val="11"/>
        </w:rPr>
        <w:t xml:space="preserve"> </w:t>
      </w:r>
      <w:r>
        <w:rPr>
          <w:w w:val="105"/>
          <w:sz w:val="11"/>
        </w:rPr>
        <w:t>núm.</w:t>
      </w:r>
      <w:r>
        <w:rPr>
          <w:spacing w:val="-4"/>
          <w:w w:val="105"/>
          <w:sz w:val="11"/>
        </w:rPr>
        <w:t xml:space="preserve"> </w:t>
      </w:r>
      <w:r>
        <w:rPr>
          <w:w w:val="105"/>
          <w:sz w:val="11"/>
        </w:rPr>
        <w:t>20</w:t>
      </w:r>
      <w:r>
        <w:rPr>
          <w:spacing w:val="-4"/>
          <w:w w:val="105"/>
          <w:sz w:val="11"/>
        </w:rPr>
        <w:t xml:space="preserve"> </w:t>
      </w:r>
      <w:r>
        <w:rPr>
          <w:w w:val="105"/>
          <w:sz w:val="11"/>
        </w:rPr>
        <w:t>(2009),</w:t>
      </w:r>
      <w:r>
        <w:rPr>
          <w:spacing w:val="-5"/>
          <w:w w:val="105"/>
          <w:sz w:val="11"/>
        </w:rPr>
        <w:t xml:space="preserve"> </w:t>
      </w:r>
      <w:proofErr w:type="spellStart"/>
      <w:r>
        <w:rPr>
          <w:w w:val="105"/>
          <w:sz w:val="11"/>
        </w:rPr>
        <w:t>párrs</w:t>
      </w:r>
      <w:proofErr w:type="spellEnd"/>
      <w:r>
        <w:rPr>
          <w:w w:val="105"/>
          <w:sz w:val="11"/>
        </w:rPr>
        <w:t>.</w:t>
      </w:r>
      <w:r>
        <w:rPr>
          <w:spacing w:val="-4"/>
          <w:w w:val="105"/>
          <w:sz w:val="11"/>
        </w:rPr>
        <w:t xml:space="preserve"> </w:t>
      </w:r>
      <w:r w:rsidRPr="00537489">
        <w:rPr>
          <w:w w:val="105"/>
          <w:sz w:val="11"/>
          <w:lang w:val="en-US"/>
        </w:rPr>
        <w:t>19–20,</w:t>
      </w:r>
      <w:r w:rsidRPr="00537489">
        <w:rPr>
          <w:spacing w:val="-4"/>
          <w:w w:val="105"/>
          <w:sz w:val="11"/>
          <w:lang w:val="en-US"/>
        </w:rPr>
        <w:t xml:space="preserve"> </w:t>
      </w:r>
      <w:r w:rsidRPr="00537489">
        <w:rPr>
          <w:w w:val="105"/>
          <w:sz w:val="11"/>
          <w:lang w:val="en-US"/>
        </w:rPr>
        <w:t>23,</w:t>
      </w:r>
      <w:r w:rsidRPr="00537489">
        <w:rPr>
          <w:spacing w:val="-4"/>
          <w:w w:val="105"/>
          <w:sz w:val="11"/>
          <w:lang w:val="en-US"/>
        </w:rPr>
        <w:t xml:space="preserve"> </w:t>
      </w:r>
      <w:r w:rsidRPr="00537489">
        <w:rPr>
          <w:w w:val="105"/>
          <w:sz w:val="11"/>
          <w:lang w:val="en-US"/>
        </w:rPr>
        <w:t>26,</w:t>
      </w:r>
      <w:r w:rsidRPr="00537489">
        <w:rPr>
          <w:spacing w:val="-4"/>
          <w:w w:val="105"/>
          <w:sz w:val="11"/>
          <w:lang w:val="en-US"/>
        </w:rPr>
        <w:t xml:space="preserve"> </w:t>
      </w:r>
      <w:r w:rsidRPr="00537489">
        <w:rPr>
          <w:w w:val="105"/>
          <w:sz w:val="11"/>
          <w:lang w:val="en-US"/>
        </w:rPr>
        <w:t>30</w:t>
      </w:r>
      <w:r w:rsidRPr="00537489">
        <w:rPr>
          <w:spacing w:val="-4"/>
          <w:w w:val="105"/>
          <w:sz w:val="11"/>
          <w:lang w:val="en-US"/>
        </w:rPr>
        <w:t xml:space="preserve"> </w:t>
      </w:r>
      <w:r w:rsidRPr="00537489">
        <w:rPr>
          <w:w w:val="105"/>
          <w:sz w:val="11"/>
          <w:lang w:val="en-US"/>
        </w:rPr>
        <w:t>y</w:t>
      </w:r>
      <w:r w:rsidRPr="00537489">
        <w:rPr>
          <w:spacing w:val="-5"/>
          <w:w w:val="105"/>
          <w:sz w:val="11"/>
          <w:lang w:val="en-US"/>
        </w:rPr>
        <w:t xml:space="preserve"> 32.</w:t>
      </w:r>
    </w:p>
    <w:p w14:paraId="27E96D8E" w14:textId="77777777" w:rsidR="0014798C" w:rsidRPr="00537489" w:rsidRDefault="0014798C">
      <w:pPr>
        <w:rPr>
          <w:sz w:val="11"/>
          <w:lang w:val="en-US"/>
        </w:rPr>
        <w:sectPr w:rsidR="0014798C" w:rsidRPr="00537489" w:rsidSect="00F265E4">
          <w:type w:val="continuous"/>
          <w:pgSz w:w="11900" w:h="16820"/>
          <w:pgMar w:top="40" w:right="0" w:bottom="280" w:left="200" w:header="121" w:footer="0" w:gutter="0"/>
          <w:cols w:space="720"/>
        </w:sectPr>
      </w:pPr>
    </w:p>
    <w:p w14:paraId="411C9B41" w14:textId="77777777" w:rsidR="0014798C" w:rsidRPr="00537489" w:rsidRDefault="004E1F0B">
      <w:pPr>
        <w:spacing w:before="55"/>
        <w:jc w:val="right"/>
        <w:rPr>
          <w:sz w:val="8"/>
          <w:lang w:val="en-US"/>
        </w:rPr>
      </w:pPr>
      <w:r w:rsidRPr="00537489">
        <w:rPr>
          <w:spacing w:val="-5"/>
          <w:w w:val="105"/>
          <w:sz w:val="8"/>
          <w:lang w:val="en-US"/>
        </w:rPr>
        <w:t>155</w:t>
      </w:r>
    </w:p>
    <w:p w14:paraId="017CEF13" w14:textId="77777777" w:rsidR="0014798C" w:rsidRDefault="004E1F0B">
      <w:pPr>
        <w:spacing w:before="64" w:line="288" w:lineRule="auto"/>
        <w:ind w:left="80" w:right="1602" w:hanging="3"/>
        <w:rPr>
          <w:sz w:val="13"/>
        </w:rPr>
      </w:pPr>
      <w:r w:rsidRPr="00537489">
        <w:rPr>
          <w:lang w:val="en-US"/>
        </w:rPr>
        <w:br w:type="column"/>
      </w:r>
      <w:proofErr w:type="spellStart"/>
      <w:r w:rsidRPr="00537489">
        <w:rPr>
          <w:w w:val="105"/>
          <w:sz w:val="13"/>
          <w:lang w:val="en-US"/>
        </w:rPr>
        <w:t>Véase</w:t>
      </w:r>
      <w:proofErr w:type="spellEnd"/>
      <w:r w:rsidRPr="00537489">
        <w:rPr>
          <w:w w:val="105"/>
          <w:sz w:val="13"/>
          <w:lang w:val="en-US"/>
        </w:rPr>
        <w:t>,</w:t>
      </w:r>
      <w:r w:rsidRPr="00537489">
        <w:rPr>
          <w:spacing w:val="-8"/>
          <w:w w:val="105"/>
          <w:sz w:val="13"/>
          <w:lang w:val="en-US"/>
        </w:rPr>
        <w:t xml:space="preserve"> </w:t>
      </w:r>
      <w:r w:rsidRPr="00537489">
        <w:rPr>
          <w:w w:val="105"/>
          <w:sz w:val="13"/>
          <w:lang w:val="en-US"/>
        </w:rPr>
        <w:t>por</w:t>
      </w:r>
      <w:r w:rsidRPr="00537489">
        <w:rPr>
          <w:spacing w:val="-8"/>
          <w:w w:val="105"/>
          <w:sz w:val="13"/>
          <w:lang w:val="en-US"/>
        </w:rPr>
        <w:t xml:space="preserve"> </w:t>
      </w:r>
      <w:proofErr w:type="spellStart"/>
      <w:r w:rsidRPr="00537489">
        <w:rPr>
          <w:w w:val="105"/>
          <w:sz w:val="13"/>
          <w:lang w:val="en-US"/>
        </w:rPr>
        <w:t>ejemplo</w:t>
      </w:r>
      <w:proofErr w:type="spellEnd"/>
      <w:r w:rsidRPr="00537489">
        <w:rPr>
          <w:w w:val="105"/>
          <w:sz w:val="13"/>
          <w:lang w:val="en-US"/>
        </w:rPr>
        <w:t>,</w:t>
      </w:r>
      <w:r w:rsidRPr="00537489">
        <w:rPr>
          <w:spacing w:val="-8"/>
          <w:w w:val="105"/>
          <w:sz w:val="13"/>
          <w:lang w:val="en-US"/>
        </w:rPr>
        <w:t xml:space="preserve"> </w:t>
      </w:r>
      <w:r w:rsidRPr="00537489">
        <w:rPr>
          <w:w w:val="105"/>
          <w:sz w:val="13"/>
          <w:lang w:val="en-US"/>
        </w:rPr>
        <w:t>el</w:t>
      </w:r>
      <w:r w:rsidRPr="00537489">
        <w:rPr>
          <w:spacing w:val="-8"/>
          <w:w w:val="105"/>
          <w:sz w:val="13"/>
          <w:lang w:val="en-US"/>
        </w:rPr>
        <w:t xml:space="preserve"> </w:t>
      </w:r>
      <w:proofErr w:type="spellStart"/>
      <w:r w:rsidRPr="00537489">
        <w:rPr>
          <w:w w:val="105"/>
          <w:sz w:val="13"/>
          <w:lang w:val="en-US"/>
        </w:rPr>
        <w:t>análisis</w:t>
      </w:r>
      <w:proofErr w:type="spellEnd"/>
      <w:r w:rsidRPr="00537489">
        <w:rPr>
          <w:spacing w:val="-8"/>
          <w:w w:val="105"/>
          <w:sz w:val="13"/>
          <w:lang w:val="en-US"/>
        </w:rPr>
        <w:t xml:space="preserve"> </w:t>
      </w:r>
      <w:r w:rsidRPr="00537489">
        <w:rPr>
          <w:w w:val="105"/>
          <w:sz w:val="13"/>
          <w:lang w:val="en-US"/>
        </w:rPr>
        <w:t>del</w:t>
      </w:r>
      <w:r w:rsidRPr="00537489">
        <w:rPr>
          <w:spacing w:val="-8"/>
          <w:w w:val="105"/>
          <w:sz w:val="13"/>
          <w:lang w:val="en-US"/>
        </w:rPr>
        <w:t xml:space="preserve"> </w:t>
      </w:r>
      <w:proofErr w:type="spellStart"/>
      <w:r w:rsidRPr="00537489">
        <w:rPr>
          <w:w w:val="105"/>
          <w:sz w:val="13"/>
          <w:lang w:val="en-US"/>
        </w:rPr>
        <w:t>término</w:t>
      </w:r>
      <w:proofErr w:type="spellEnd"/>
      <w:r w:rsidRPr="00537489">
        <w:rPr>
          <w:spacing w:val="-8"/>
          <w:w w:val="105"/>
          <w:sz w:val="13"/>
          <w:lang w:val="en-US"/>
        </w:rPr>
        <w:t xml:space="preserve"> </w:t>
      </w:r>
      <w:r w:rsidRPr="00537489">
        <w:rPr>
          <w:w w:val="105"/>
          <w:sz w:val="13"/>
          <w:lang w:val="en-US"/>
        </w:rPr>
        <w:t>“</w:t>
      </w:r>
      <w:proofErr w:type="spellStart"/>
      <w:r w:rsidRPr="00537489">
        <w:rPr>
          <w:w w:val="105"/>
          <w:sz w:val="13"/>
          <w:lang w:val="en-US"/>
        </w:rPr>
        <w:t>desventaja</w:t>
      </w:r>
      <w:proofErr w:type="spellEnd"/>
      <w:r w:rsidRPr="00537489">
        <w:rPr>
          <w:spacing w:val="-8"/>
          <w:w w:val="105"/>
          <w:sz w:val="13"/>
          <w:lang w:val="en-US"/>
        </w:rPr>
        <w:t xml:space="preserve"> </w:t>
      </w:r>
      <w:proofErr w:type="spellStart"/>
      <w:r w:rsidRPr="00537489">
        <w:rPr>
          <w:w w:val="105"/>
          <w:sz w:val="13"/>
          <w:lang w:val="en-US"/>
        </w:rPr>
        <w:t>socioeconómica</w:t>
      </w:r>
      <w:proofErr w:type="spellEnd"/>
      <w:r w:rsidRPr="00537489">
        <w:rPr>
          <w:w w:val="105"/>
          <w:sz w:val="13"/>
          <w:lang w:val="en-US"/>
        </w:rPr>
        <w:t>”</w:t>
      </w:r>
      <w:r w:rsidRPr="00537489">
        <w:rPr>
          <w:spacing w:val="-8"/>
          <w:w w:val="105"/>
          <w:sz w:val="13"/>
          <w:lang w:val="en-US"/>
        </w:rPr>
        <w:t xml:space="preserve"> </w:t>
      </w:r>
      <w:r w:rsidRPr="00537489">
        <w:rPr>
          <w:w w:val="105"/>
          <w:sz w:val="13"/>
          <w:lang w:val="en-US"/>
        </w:rPr>
        <w:t>en</w:t>
      </w:r>
      <w:r w:rsidRPr="00537489">
        <w:rPr>
          <w:spacing w:val="-8"/>
          <w:w w:val="105"/>
          <w:sz w:val="13"/>
          <w:lang w:val="en-US"/>
        </w:rPr>
        <w:t xml:space="preserve"> </w:t>
      </w:r>
      <w:r w:rsidRPr="00537489">
        <w:rPr>
          <w:w w:val="105"/>
          <w:sz w:val="13"/>
          <w:lang w:val="en-US"/>
        </w:rPr>
        <w:t>Equal</w:t>
      </w:r>
      <w:r w:rsidRPr="00537489">
        <w:rPr>
          <w:spacing w:val="-8"/>
          <w:w w:val="105"/>
          <w:sz w:val="13"/>
          <w:lang w:val="en-US"/>
        </w:rPr>
        <w:t xml:space="preserve"> </w:t>
      </w:r>
      <w:r w:rsidRPr="00537489">
        <w:rPr>
          <w:w w:val="105"/>
          <w:sz w:val="13"/>
          <w:lang w:val="en-US"/>
        </w:rPr>
        <w:t>Rights</w:t>
      </w:r>
      <w:r w:rsidRPr="00537489">
        <w:rPr>
          <w:spacing w:val="-8"/>
          <w:w w:val="105"/>
          <w:sz w:val="13"/>
          <w:lang w:val="en-US"/>
        </w:rPr>
        <w:t xml:space="preserve"> </w:t>
      </w:r>
      <w:r w:rsidRPr="00537489">
        <w:rPr>
          <w:w w:val="105"/>
          <w:sz w:val="13"/>
          <w:lang w:val="en-US"/>
        </w:rPr>
        <w:t>Trust,</w:t>
      </w:r>
      <w:r w:rsidRPr="00537489">
        <w:rPr>
          <w:spacing w:val="-8"/>
          <w:w w:val="105"/>
          <w:sz w:val="13"/>
          <w:lang w:val="en-US"/>
        </w:rPr>
        <w:t xml:space="preserve"> </w:t>
      </w:r>
      <w:r w:rsidRPr="00537489">
        <w:rPr>
          <w:w w:val="105"/>
          <w:sz w:val="13"/>
          <w:lang w:val="en-US"/>
        </w:rPr>
        <w:t>Learning</w:t>
      </w:r>
      <w:r w:rsidRPr="00537489">
        <w:rPr>
          <w:spacing w:val="-8"/>
          <w:w w:val="105"/>
          <w:sz w:val="13"/>
          <w:lang w:val="en-US"/>
        </w:rPr>
        <w:t xml:space="preserve"> </w:t>
      </w:r>
      <w:proofErr w:type="spellStart"/>
      <w:r w:rsidRPr="00537489">
        <w:rPr>
          <w:w w:val="105"/>
          <w:sz w:val="13"/>
          <w:lang w:val="en-US"/>
        </w:rPr>
        <w:t>InEquality</w:t>
      </w:r>
      <w:proofErr w:type="spellEnd"/>
      <w:r w:rsidRPr="00537489">
        <w:rPr>
          <w:w w:val="105"/>
          <w:sz w:val="13"/>
          <w:lang w:val="en-US"/>
        </w:rPr>
        <w:t>:</w:t>
      </w:r>
      <w:r w:rsidRPr="00537489">
        <w:rPr>
          <w:spacing w:val="-8"/>
          <w:w w:val="105"/>
          <w:sz w:val="13"/>
          <w:lang w:val="en-US"/>
        </w:rPr>
        <w:t xml:space="preserve"> </w:t>
      </w:r>
      <w:r w:rsidRPr="00537489">
        <w:rPr>
          <w:w w:val="105"/>
          <w:sz w:val="13"/>
          <w:lang w:val="en-US"/>
        </w:rPr>
        <w:t>Using</w:t>
      </w:r>
      <w:r w:rsidRPr="00537489">
        <w:rPr>
          <w:spacing w:val="-8"/>
          <w:w w:val="105"/>
          <w:sz w:val="13"/>
          <w:lang w:val="en-US"/>
        </w:rPr>
        <w:t xml:space="preserve"> </w:t>
      </w:r>
      <w:r w:rsidRPr="00537489">
        <w:rPr>
          <w:w w:val="105"/>
          <w:sz w:val="13"/>
          <w:lang w:val="en-US"/>
        </w:rPr>
        <w:t>Equality</w:t>
      </w:r>
      <w:r w:rsidRPr="00537489">
        <w:rPr>
          <w:spacing w:val="-9"/>
          <w:w w:val="105"/>
          <w:sz w:val="13"/>
          <w:lang w:val="en-US"/>
        </w:rPr>
        <w:t xml:space="preserve"> </w:t>
      </w:r>
      <w:r w:rsidRPr="00537489">
        <w:rPr>
          <w:w w:val="105"/>
          <w:sz w:val="13"/>
          <w:lang w:val="en-US"/>
        </w:rPr>
        <w:t>Law</w:t>
      </w:r>
      <w:r w:rsidRPr="00537489">
        <w:rPr>
          <w:spacing w:val="-8"/>
          <w:w w:val="105"/>
          <w:sz w:val="13"/>
          <w:lang w:val="en-US"/>
        </w:rPr>
        <w:t xml:space="preserve"> </w:t>
      </w:r>
      <w:r w:rsidRPr="00537489">
        <w:rPr>
          <w:w w:val="105"/>
          <w:sz w:val="13"/>
          <w:lang w:val="en-US"/>
        </w:rPr>
        <w:t>to</w:t>
      </w:r>
      <w:r w:rsidRPr="00537489">
        <w:rPr>
          <w:spacing w:val="-8"/>
          <w:w w:val="105"/>
          <w:sz w:val="13"/>
          <w:lang w:val="en-US"/>
        </w:rPr>
        <w:t xml:space="preserve"> </w:t>
      </w:r>
      <w:r w:rsidRPr="00537489">
        <w:rPr>
          <w:w w:val="105"/>
          <w:sz w:val="13"/>
          <w:lang w:val="en-US"/>
        </w:rPr>
        <w:t>Tackle</w:t>
      </w:r>
      <w:r w:rsidRPr="00537489">
        <w:rPr>
          <w:spacing w:val="40"/>
          <w:w w:val="105"/>
          <w:sz w:val="13"/>
          <w:lang w:val="en-US"/>
        </w:rPr>
        <w:t xml:space="preserve"> </w:t>
      </w:r>
      <w:r w:rsidRPr="00537489">
        <w:rPr>
          <w:w w:val="105"/>
          <w:sz w:val="13"/>
          <w:lang w:val="en-US"/>
        </w:rPr>
        <w:t>Barriers</w:t>
      </w:r>
      <w:r w:rsidRPr="00537489">
        <w:rPr>
          <w:spacing w:val="-1"/>
          <w:w w:val="105"/>
          <w:sz w:val="13"/>
          <w:lang w:val="en-US"/>
        </w:rPr>
        <w:t xml:space="preserve"> </w:t>
      </w:r>
      <w:r w:rsidRPr="00537489">
        <w:rPr>
          <w:w w:val="105"/>
          <w:sz w:val="13"/>
          <w:lang w:val="en-US"/>
        </w:rPr>
        <w:t>to</w:t>
      </w:r>
      <w:r w:rsidRPr="00537489">
        <w:rPr>
          <w:spacing w:val="-1"/>
          <w:w w:val="105"/>
          <w:sz w:val="13"/>
          <w:lang w:val="en-US"/>
        </w:rPr>
        <w:t xml:space="preserve"> </w:t>
      </w:r>
      <w:r w:rsidRPr="00537489">
        <w:rPr>
          <w:w w:val="105"/>
          <w:sz w:val="13"/>
          <w:lang w:val="en-US"/>
        </w:rPr>
        <w:t>Primary</w:t>
      </w:r>
      <w:r w:rsidRPr="00537489">
        <w:rPr>
          <w:spacing w:val="-1"/>
          <w:w w:val="105"/>
          <w:sz w:val="13"/>
          <w:lang w:val="en-US"/>
        </w:rPr>
        <w:t xml:space="preserve"> </w:t>
      </w:r>
      <w:r w:rsidRPr="00537489">
        <w:rPr>
          <w:w w:val="105"/>
          <w:sz w:val="13"/>
          <w:lang w:val="en-US"/>
        </w:rPr>
        <w:t>Education</w:t>
      </w:r>
      <w:r w:rsidRPr="00537489">
        <w:rPr>
          <w:spacing w:val="-1"/>
          <w:w w:val="105"/>
          <w:sz w:val="13"/>
          <w:lang w:val="en-US"/>
        </w:rPr>
        <w:t xml:space="preserve"> </w:t>
      </w:r>
      <w:r w:rsidRPr="00537489">
        <w:rPr>
          <w:w w:val="105"/>
          <w:sz w:val="13"/>
          <w:lang w:val="en-US"/>
        </w:rPr>
        <w:t>for</w:t>
      </w:r>
      <w:r w:rsidRPr="00537489">
        <w:rPr>
          <w:spacing w:val="-1"/>
          <w:w w:val="105"/>
          <w:sz w:val="13"/>
          <w:lang w:val="en-US"/>
        </w:rPr>
        <w:t xml:space="preserve"> </w:t>
      </w:r>
      <w:r w:rsidRPr="00537489">
        <w:rPr>
          <w:w w:val="105"/>
          <w:sz w:val="13"/>
          <w:lang w:val="en-US"/>
        </w:rPr>
        <w:t>Out-of-School</w:t>
      </w:r>
      <w:r w:rsidRPr="00537489">
        <w:rPr>
          <w:spacing w:val="-1"/>
          <w:w w:val="105"/>
          <w:sz w:val="13"/>
          <w:lang w:val="en-US"/>
        </w:rPr>
        <w:t xml:space="preserve"> </w:t>
      </w:r>
      <w:r w:rsidRPr="00537489">
        <w:rPr>
          <w:w w:val="105"/>
          <w:sz w:val="13"/>
          <w:lang w:val="en-US"/>
        </w:rPr>
        <w:t>Children</w:t>
      </w:r>
      <w:r w:rsidRPr="00537489">
        <w:rPr>
          <w:spacing w:val="-1"/>
          <w:w w:val="105"/>
          <w:sz w:val="13"/>
          <w:lang w:val="en-US"/>
        </w:rPr>
        <w:t xml:space="preserve"> </w:t>
      </w:r>
      <w:r w:rsidRPr="00537489">
        <w:rPr>
          <w:w w:val="105"/>
          <w:sz w:val="13"/>
          <w:lang w:val="en-US"/>
        </w:rPr>
        <w:t>(Londres,</w:t>
      </w:r>
      <w:r w:rsidRPr="00537489">
        <w:rPr>
          <w:spacing w:val="-1"/>
          <w:w w:val="105"/>
          <w:sz w:val="13"/>
          <w:lang w:val="en-US"/>
        </w:rPr>
        <w:t xml:space="preserve"> </w:t>
      </w:r>
      <w:r w:rsidRPr="00537489">
        <w:rPr>
          <w:w w:val="105"/>
          <w:sz w:val="13"/>
          <w:lang w:val="en-US"/>
        </w:rPr>
        <w:t>2017),</w:t>
      </w:r>
      <w:r w:rsidRPr="00537489">
        <w:rPr>
          <w:spacing w:val="-1"/>
          <w:w w:val="105"/>
          <w:sz w:val="13"/>
          <w:lang w:val="en-US"/>
        </w:rPr>
        <w:t xml:space="preserve"> </w:t>
      </w:r>
      <w:proofErr w:type="spellStart"/>
      <w:r w:rsidRPr="00537489">
        <w:rPr>
          <w:w w:val="105"/>
          <w:sz w:val="13"/>
          <w:lang w:val="en-US"/>
        </w:rPr>
        <w:t>págs</w:t>
      </w:r>
      <w:proofErr w:type="spellEnd"/>
      <w:r w:rsidRPr="00537489">
        <w:rPr>
          <w:w w:val="105"/>
          <w:sz w:val="13"/>
          <w:lang w:val="en-US"/>
        </w:rPr>
        <w:t>.</w:t>
      </w:r>
      <w:r w:rsidRPr="00537489">
        <w:rPr>
          <w:spacing w:val="-1"/>
          <w:w w:val="105"/>
          <w:sz w:val="13"/>
          <w:lang w:val="en-US"/>
        </w:rPr>
        <w:t xml:space="preserve"> </w:t>
      </w:r>
      <w:r>
        <w:rPr>
          <w:w w:val="105"/>
          <w:sz w:val="13"/>
        </w:rPr>
        <w:t>32-35.</w:t>
      </w:r>
    </w:p>
    <w:p w14:paraId="30EC52F1" w14:textId="77777777" w:rsidR="0014798C" w:rsidRDefault="0014798C">
      <w:pPr>
        <w:spacing w:line="288" w:lineRule="auto"/>
        <w:rPr>
          <w:sz w:val="13"/>
        </w:rPr>
        <w:sectPr w:rsidR="0014798C" w:rsidSect="00F265E4">
          <w:type w:val="continuous"/>
          <w:pgSz w:w="11900" w:h="16820"/>
          <w:pgMar w:top="40" w:right="0" w:bottom="280" w:left="200" w:header="121" w:footer="0" w:gutter="0"/>
          <w:cols w:num="2" w:space="720" w:equalWidth="0">
            <w:col w:w="1253" w:space="40"/>
            <w:col w:w="10407"/>
          </w:cols>
        </w:sectPr>
      </w:pPr>
    </w:p>
    <w:p w14:paraId="7536B360" w14:textId="77777777" w:rsidR="0014798C" w:rsidRDefault="004E1F0B">
      <w:pPr>
        <w:spacing w:before="103" w:line="340" w:lineRule="auto"/>
        <w:ind w:left="1366" w:right="1539" w:hanging="255"/>
        <w:rPr>
          <w:sz w:val="11"/>
        </w:rPr>
      </w:pPr>
      <w:r>
        <w:rPr>
          <w:w w:val="105"/>
          <w:sz w:val="11"/>
        </w:rPr>
        <w:t>156</w:t>
      </w:r>
      <w:r>
        <w:rPr>
          <w:spacing w:val="-1"/>
          <w:w w:val="105"/>
          <w:sz w:val="11"/>
        </w:rPr>
        <w:t xml:space="preserve"> </w:t>
      </w:r>
      <w:r>
        <w:rPr>
          <w:w w:val="105"/>
          <w:sz w:val="11"/>
        </w:rPr>
        <w:t>La</w:t>
      </w:r>
      <w:r>
        <w:rPr>
          <w:spacing w:val="-1"/>
          <w:w w:val="105"/>
          <w:sz w:val="11"/>
        </w:rPr>
        <w:t xml:space="preserve"> </w:t>
      </w:r>
      <w:r>
        <w:rPr>
          <w:w w:val="105"/>
          <w:sz w:val="11"/>
        </w:rPr>
        <w:t>“identidad</w:t>
      </w:r>
      <w:r>
        <w:rPr>
          <w:spacing w:val="-1"/>
          <w:w w:val="105"/>
          <w:sz w:val="11"/>
        </w:rPr>
        <w:t xml:space="preserve"> </w:t>
      </w:r>
      <w:r>
        <w:rPr>
          <w:w w:val="105"/>
          <w:sz w:val="11"/>
        </w:rPr>
        <w:t>de</w:t>
      </w:r>
      <w:r>
        <w:rPr>
          <w:spacing w:val="-1"/>
          <w:w w:val="105"/>
          <w:sz w:val="11"/>
        </w:rPr>
        <w:t xml:space="preserve"> </w:t>
      </w:r>
      <w:r>
        <w:rPr>
          <w:w w:val="105"/>
          <w:sz w:val="11"/>
        </w:rPr>
        <w:t>género”</w:t>
      </w:r>
      <w:r>
        <w:rPr>
          <w:spacing w:val="-1"/>
          <w:w w:val="105"/>
          <w:sz w:val="11"/>
        </w:rPr>
        <w:t xml:space="preserve"> </w:t>
      </w:r>
      <w:r>
        <w:rPr>
          <w:w w:val="105"/>
          <w:sz w:val="11"/>
        </w:rPr>
        <w:t>se</w:t>
      </w:r>
      <w:r>
        <w:rPr>
          <w:spacing w:val="-1"/>
          <w:w w:val="105"/>
          <w:sz w:val="11"/>
        </w:rPr>
        <w:t xml:space="preserve"> </w:t>
      </w:r>
      <w:r>
        <w:rPr>
          <w:w w:val="105"/>
          <w:sz w:val="11"/>
        </w:rPr>
        <w:t>define</w:t>
      </w:r>
      <w:r>
        <w:rPr>
          <w:spacing w:val="-1"/>
          <w:w w:val="105"/>
          <w:sz w:val="11"/>
        </w:rPr>
        <w:t xml:space="preserve"> </w:t>
      </w:r>
      <w:r>
        <w:rPr>
          <w:w w:val="105"/>
          <w:sz w:val="11"/>
        </w:rPr>
        <w:t>en</w:t>
      </w:r>
      <w:r>
        <w:rPr>
          <w:spacing w:val="-1"/>
          <w:w w:val="105"/>
          <w:sz w:val="11"/>
        </w:rPr>
        <w:t xml:space="preserve"> </w:t>
      </w:r>
      <w:r>
        <w:rPr>
          <w:w w:val="105"/>
          <w:sz w:val="11"/>
        </w:rPr>
        <w:t>los</w:t>
      </w:r>
      <w:r>
        <w:rPr>
          <w:spacing w:val="-1"/>
          <w:w w:val="105"/>
          <w:sz w:val="11"/>
        </w:rPr>
        <w:t xml:space="preserve"> </w:t>
      </w:r>
      <w:r>
        <w:rPr>
          <w:w w:val="105"/>
          <w:sz w:val="11"/>
        </w:rPr>
        <w:t>Principios</w:t>
      </w:r>
      <w:r>
        <w:rPr>
          <w:spacing w:val="-1"/>
          <w:w w:val="105"/>
          <w:sz w:val="11"/>
        </w:rPr>
        <w:t xml:space="preserve"> </w:t>
      </w:r>
      <w:r>
        <w:rPr>
          <w:w w:val="105"/>
          <w:sz w:val="11"/>
        </w:rPr>
        <w:t>de</w:t>
      </w:r>
      <w:r>
        <w:rPr>
          <w:spacing w:val="-1"/>
          <w:w w:val="105"/>
          <w:sz w:val="11"/>
        </w:rPr>
        <w:t xml:space="preserve"> </w:t>
      </w:r>
      <w:r>
        <w:rPr>
          <w:w w:val="105"/>
          <w:sz w:val="11"/>
        </w:rPr>
        <w:t>Yogyakarta</w:t>
      </w:r>
      <w:r>
        <w:rPr>
          <w:spacing w:val="-1"/>
          <w:w w:val="105"/>
          <w:sz w:val="11"/>
        </w:rPr>
        <w:t xml:space="preserve"> </w:t>
      </w:r>
      <w:r>
        <w:rPr>
          <w:w w:val="105"/>
          <w:sz w:val="11"/>
        </w:rPr>
        <w:t>como</w:t>
      </w:r>
      <w:r>
        <w:rPr>
          <w:spacing w:val="-1"/>
          <w:w w:val="105"/>
          <w:sz w:val="11"/>
        </w:rPr>
        <w:t xml:space="preserve"> </w:t>
      </w:r>
      <w:r>
        <w:rPr>
          <w:w w:val="105"/>
          <w:sz w:val="11"/>
        </w:rPr>
        <w:t>“la</w:t>
      </w:r>
      <w:r>
        <w:rPr>
          <w:spacing w:val="-1"/>
          <w:w w:val="105"/>
          <w:sz w:val="11"/>
        </w:rPr>
        <w:t xml:space="preserve"> </w:t>
      </w:r>
      <w:r>
        <w:rPr>
          <w:w w:val="105"/>
          <w:sz w:val="11"/>
        </w:rPr>
        <w:t>experiencia</w:t>
      </w:r>
      <w:r>
        <w:rPr>
          <w:spacing w:val="-1"/>
          <w:w w:val="105"/>
          <w:sz w:val="11"/>
        </w:rPr>
        <w:t xml:space="preserve"> </w:t>
      </w:r>
      <w:r>
        <w:rPr>
          <w:w w:val="105"/>
          <w:sz w:val="11"/>
        </w:rPr>
        <w:t>de</w:t>
      </w:r>
      <w:r>
        <w:rPr>
          <w:spacing w:val="-1"/>
          <w:w w:val="105"/>
          <w:sz w:val="11"/>
        </w:rPr>
        <w:t xml:space="preserve"> </w:t>
      </w:r>
      <w:r>
        <w:rPr>
          <w:w w:val="105"/>
          <w:sz w:val="11"/>
        </w:rPr>
        <w:t>género</w:t>
      </w:r>
      <w:r>
        <w:rPr>
          <w:spacing w:val="-1"/>
          <w:w w:val="105"/>
          <w:sz w:val="11"/>
        </w:rPr>
        <w:t xml:space="preserve"> </w:t>
      </w:r>
      <w:r>
        <w:rPr>
          <w:w w:val="105"/>
          <w:sz w:val="11"/>
        </w:rPr>
        <w:t>interna</w:t>
      </w:r>
      <w:r>
        <w:rPr>
          <w:spacing w:val="-1"/>
          <w:w w:val="105"/>
          <w:sz w:val="11"/>
        </w:rPr>
        <w:t xml:space="preserve"> </w:t>
      </w:r>
      <w:r>
        <w:rPr>
          <w:w w:val="105"/>
          <w:sz w:val="11"/>
        </w:rPr>
        <w:t>e</w:t>
      </w:r>
      <w:r>
        <w:rPr>
          <w:spacing w:val="-1"/>
          <w:w w:val="105"/>
          <w:sz w:val="11"/>
        </w:rPr>
        <w:t xml:space="preserve"> </w:t>
      </w:r>
      <w:r>
        <w:rPr>
          <w:w w:val="105"/>
          <w:sz w:val="11"/>
        </w:rPr>
        <w:t>individual</w:t>
      </w:r>
      <w:r>
        <w:rPr>
          <w:spacing w:val="-1"/>
          <w:w w:val="105"/>
          <w:sz w:val="11"/>
        </w:rPr>
        <w:t xml:space="preserve"> </w:t>
      </w:r>
      <w:r>
        <w:rPr>
          <w:w w:val="105"/>
          <w:sz w:val="11"/>
        </w:rPr>
        <w:t>profundamente</w:t>
      </w:r>
      <w:r>
        <w:rPr>
          <w:spacing w:val="-1"/>
          <w:w w:val="105"/>
          <w:sz w:val="11"/>
        </w:rPr>
        <w:t xml:space="preserve"> </w:t>
      </w:r>
      <w:r>
        <w:rPr>
          <w:w w:val="105"/>
          <w:sz w:val="11"/>
        </w:rPr>
        <w:t>sentida</w:t>
      </w:r>
      <w:r>
        <w:rPr>
          <w:spacing w:val="-1"/>
          <w:w w:val="105"/>
          <w:sz w:val="11"/>
        </w:rPr>
        <w:t xml:space="preserve"> </w:t>
      </w:r>
      <w:r>
        <w:rPr>
          <w:w w:val="105"/>
          <w:sz w:val="11"/>
        </w:rPr>
        <w:t>por</w:t>
      </w:r>
      <w:r>
        <w:rPr>
          <w:spacing w:val="-1"/>
          <w:w w:val="105"/>
          <w:sz w:val="11"/>
        </w:rPr>
        <w:t xml:space="preserve"> </w:t>
      </w:r>
      <w:r>
        <w:rPr>
          <w:w w:val="105"/>
          <w:sz w:val="11"/>
        </w:rPr>
        <w:t>cada</w:t>
      </w:r>
      <w:r>
        <w:rPr>
          <w:spacing w:val="-1"/>
          <w:w w:val="105"/>
          <w:sz w:val="11"/>
        </w:rPr>
        <w:t xml:space="preserve"> </w:t>
      </w:r>
      <w:r>
        <w:rPr>
          <w:w w:val="105"/>
          <w:sz w:val="11"/>
        </w:rPr>
        <w:t>persona, que</w:t>
      </w:r>
      <w:r>
        <w:rPr>
          <w:spacing w:val="-1"/>
          <w:w w:val="105"/>
          <w:sz w:val="11"/>
        </w:rPr>
        <w:t xml:space="preserve"> </w:t>
      </w:r>
      <w:r>
        <w:rPr>
          <w:w w:val="105"/>
          <w:sz w:val="11"/>
        </w:rPr>
        <w:t>puede</w:t>
      </w:r>
      <w:r>
        <w:rPr>
          <w:spacing w:val="40"/>
          <w:w w:val="105"/>
          <w:sz w:val="11"/>
        </w:rPr>
        <w:t xml:space="preserve"> </w:t>
      </w:r>
      <w:r>
        <w:rPr>
          <w:w w:val="105"/>
          <w:sz w:val="11"/>
        </w:rPr>
        <w:t>corresponderse o no con el sexo asignado al nacer”. Los Principios de Yogyakarta (más 10) definen la “expresión de género” como “la presentación que cada persona</w:t>
      </w:r>
      <w:r>
        <w:rPr>
          <w:spacing w:val="40"/>
          <w:w w:val="105"/>
          <w:sz w:val="11"/>
        </w:rPr>
        <w:t xml:space="preserve"> </w:t>
      </w:r>
      <w:r>
        <w:rPr>
          <w:w w:val="105"/>
          <w:sz w:val="11"/>
        </w:rPr>
        <w:t>hace de su género a través de la apariencia física... y los gestos, el habla, los patrones de comportamiento, los nombres y las referencias personales”. Si bien</w:t>
      </w:r>
      <w:r>
        <w:rPr>
          <w:spacing w:val="40"/>
          <w:w w:val="105"/>
          <w:sz w:val="11"/>
        </w:rPr>
        <w:t xml:space="preserve"> </w:t>
      </w:r>
      <w:r>
        <w:rPr>
          <w:w w:val="105"/>
          <w:sz w:val="11"/>
        </w:rPr>
        <w:t>históricamente</w:t>
      </w:r>
      <w:r>
        <w:rPr>
          <w:spacing w:val="-1"/>
          <w:w w:val="105"/>
          <w:sz w:val="11"/>
        </w:rPr>
        <w:t xml:space="preserve"> </w:t>
      </w:r>
      <w:r>
        <w:rPr>
          <w:w w:val="105"/>
          <w:sz w:val="11"/>
        </w:rPr>
        <w:t>se</w:t>
      </w:r>
      <w:r>
        <w:rPr>
          <w:spacing w:val="-1"/>
          <w:w w:val="105"/>
          <w:sz w:val="11"/>
        </w:rPr>
        <w:t xml:space="preserve"> </w:t>
      </w:r>
      <w:r>
        <w:rPr>
          <w:w w:val="105"/>
          <w:sz w:val="11"/>
        </w:rPr>
        <w:t>discuten</w:t>
      </w:r>
      <w:r>
        <w:rPr>
          <w:spacing w:val="-1"/>
          <w:w w:val="105"/>
          <w:sz w:val="11"/>
        </w:rPr>
        <w:t xml:space="preserve"> </w:t>
      </w:r>
      <w:r>
        <w:rPr>
          <w:w w:val="105"/>
          <w:sz w:val="11"/>
        </w:rPr>
        <w:t>juntos,</w:t>
      </w:r>
      <w:r>
        <w:rPr>
          <w:spacing w:val="-1"/>
          <w:w w:val="105"/>
          <w:sz w:val="11"/>
        </w:rPr>
        <w:t xml:space="preserve"> </w:t>
      </w:r>
      <w:r>
        <w:rPr>
          <w:w w:val="105"/>
          <w:sz w:val="11"/>
        </w:rPr>
        <w:t>la</w:t>
      </w:r>
      <w:r>
        <w:rPr>
          <w:spacing w:val="-1"/>
          <w:w w:val="105"/>
          <w:sz w:val="11"/>
        </w:rPr>
        <w:t xml:space="preserve"> </w:t>
      </w:r>
      <w:r>
        <w:rPr>
          <w:w w:val="105"/>
          <w:sz w:val="11"/>
        </w:rPr>
        <w:t>expresión</w:t>
      </w:r>
      <w:r>
        <w:rPr>
          <w:spacing w:val="-1"/>
          <w:w w:val="105"/>
          <w:sz w:val="11"/>
        </w:rPr>
        <w:t xml:space="preserve"> </w:t>
      </w:r>
      <w:r>
        <w:rPr>
          <w:w w:val="105"/>
          <w:sz w:val="11"/>
        </w:rPr>
        <w:t>de</w:t>
      </w:r>
      <w:r>
        <w:rPr>
          <w:spacing w:val="-1"/>
          <w:w w:val="105"/>
          <w:sz w:val="11"/>
        </w:rPr>
        <w:t xml:space="preserve"> </w:t>
      </w:r>
      <w:r>
        <w:rPr>
          <w:w w:val="105"/>
          <w:sz w:val="11"/>
        </w:rPr>
        <w:t>género</w:t>
      </w:r>
      <w:r>
        <w:rPr>
          <w:spacing w:val="-1"/>
          <w:w w:val="105"/>
          <w:sz w:val="11"/>
        </w:rPr>
        <w:t xml:space="preserve"> </w:t>
      </w:r>
      <w:r>
        <w:rPr>
          <w:w w:val="105"/>
          <w:sz w:val="11"/>
        </w:rPr>
        <w:t>de</w:t>
      </w:r>
      <w:r>
        <w:rPr>
          <w:spacing w:val="-1"/>
          <w:w w:val="105"/>
          <w:sz w:val="11"/>
        </w:rPr>
        <w:t xml:space="preserve"> </w:t>
      </w:r>
      <w:r>
        <w:rPr>
          <w:w w:val="105"/>
          <w:sz w:val="11"/>
        </w:rPr>
        <w:t>un</w:t>
      </w:r>
      <w:r>
        <w:rPr>
          <w:spacing w:val="-1"/>
          <w:w w:val="105"/>
          <w:sz w:val="11"/>
        </w:rPr>
        <w:t xml:space="preserve"> </w:t>
      </w:r>
      <w:r>
        <w:rPr>
          <w:w w:val="105"/>
          <w:sz w:val="11"/>
        </w:rPr>
        <w:t>individuo</w:t>
      </w:r>
      <w:r>
        <w:rPr>
          <w:spacing w:val="-1"/>
          <w:w w:val="105"/>
          <w:sz w:val="11"/>
        </w:rPr>
        <w:t xml:space="preserve"> </w:t>
      </w:r>
      <w:r>
        <w:rPr>
          <w:w w:val="105"/>
          <w:sz w:val="11"/>
        </w:rPr>
        <w:t>“puede</w:t>
      </w:r>
      <w:r>
        <w:rPr>
          <w:spacing w:val="-1"/>
          <w:w w:val="105"/>
          <w:sz w:val="11"/>
        </w:rPr>
        <w:t xml:space="preserve"> </w:t>
      </w:r>
      <w:r>
        <w:rPr>
          <w:w w:val="105"/>
          <w:sz w:val="11"/>
        </w:rPr>
        <w:t>ajustarse</w:t>
      </w:r>
      <w:r>
        <w:rPr>
          <w:spacing w:val="-1"/>
          <w:w w:val="105"/>
          <w:sz w:val="11"/>
        </w:rPr>
        <w:t xml:space="preserve"> </w:t>
      </w:r>
      <w:r>
        <w:rPr>
          <w:w w:val="105"/>
          <w:sz w:val="11"/>
        </w:rPr>
        <w:t>o</w:t>
      </w:r>
      <w:r>
        <w:rPr>
          <w:spacing w:val="-1"/>
          <w:w w:val="105"/>
          <w:sz w:val="11"/>
        </w:rPr>
        <w:t xml:space="preserve"> </w:t>
      </w:r>
      <w:r>
        <w:rPr>
          <w:w w:val="105"/>
          <w:sz w:val="11"/>
        </w:rPr>
        <w:t>no</w:t>
      </w:r>
      <w:r>
        <w:rPr>
          <w:spacing w:val="-1"/>
          <w:w w:val="105"/>
          <w:sz w:val="11"/>
        </w:rPr>
        <w:t xml:space="preserve"> </w:t>
      </w:r>
      <w:r>
        <w:rPr>
          <w:w w:val="105"/>
          <w:sz w:val="11"/>
        </w:rPr>
        <w:t>a</w:t>
      </w:r>
      <w:r>
        <w:rPr>
          <w:spacing w:val="-1"/>
          <w:w w:val="105"/>
          <w:sz w:val="11"/>
        </w:rPr>
        <w:t xml:space="preserve"> </w:t>
      </w:r>
      <w:r>
        <w:rPr>
          <w:w w:val="105"/>
          <w:sz w:val="11"/>
        </w:rPr>
        <w:t>la</w:t>
      </w:r>
      <w:r>
        <w:rPr>
          <w:spacing w:val="-1"/>
          <w:w w:val="105"/>
          <w:sz w:val="11"/>
        </w:rPr>
        <w:t xml:space="preserve"> </w:t>
      </w:r>
      <w:r>
        <w:rPr>
          <w:w w:val="105"/>
          <w:sz w:val="11"/>
        </w:rPr>
        <w:t>identidad</w:t>
      </w:r>
      <w:r>
        <w:rPr>
          <w:spacing w:val="-1"/>
          <w:w w:val="105"/>
          <w:sz w:val="11"/>
        </w:rPr>
        <w:t xml:space="preserve"> </w:t>
      </w:r>
      <w:r>
        <w:rPr>
          <w:w w:val="105"/>
          <w:sz w:val="11"/>
        </w:rPr>
        <w:t>de</w:t>
      </w:r>
      <w:r>
        <w:rPr>
          <w:spacing w:val="-1"/>
          <w:w w:val="105"/>
          <w:sz w:val="11"/>
        </w:rPr>
        <w:t xml:space="preserve"> </w:t>
      </w:r>
      <w:r>
        <w:rPr>
          <w:w w:val="105"/>
          <w:sz w:val="11"/>
        </w:rPr>
        <w:t>género</w:t>
      </w:r>
      <w:r>
        <w:rPr>
          <w:spacing w:val="-1"/>
          <w:w w:val="105"/>
          <w:sz w:val="11"/>
        </w:rPr>
        <w:t xml:space="preserve"> </w:t>
      </w:r>
      <w:r>
        <w:rPr>
          <w:w w:val="105"/>
          <w:sz w:val="11"/>
        </w:rPr>
        <w:t>de</w:t>
      </w:r>
      <w:r>
        <w:rPr>
          <w:spacing w:val="-1"/>
          <w:w w:val="105"/>
          <w:sz w:val="11"/>
        </w:rPr>
        <w:t xml:space="preserve"> </w:t>
      </w:r>
      <w:r>
        <w:rPr>
          <w:w w:val="105"/>
          <w:sz w:val="11"/>
        </w:rPr>
        <w:t>una</w:t>
      </w:r>
      <w:r>
        <w:rPr>
          <w:spacing w:val="-1"/>
          <w:w w:val="105"/>
          <w:sz w:val="11"/>
        </w:rPr>
        <w:t xml:space="preserve"> </w:t>
      </w:r>
      <w:r>
        <w:rPr>
          <w:w w:val="105"/>
          <w:sz w:val="11"/>
        </w:rPr>
        <w:t>persona”.</w:t>
      </w:r>
    </w:p>
    <w:p w14:paraId="4E8C6EAF" w14:textId="77777777" w:rsidR="0014798C" w:rsidRDefault="0014798C">
      <w:pPr>
        <w:pStyle w:val="Textoindependiente"/>
        <w:spacing w:before="111"/>
        <w:rPr>
          <w:sz w:val="11"/>
        </w:rPr>
      </w:pPr>
    </w:p>
    <w:p w14:paraId="7C7F1B18" w14:textId="77777777" w:rsidR="0014798C" w:rsidRDefault="004E1F0B">
      <w:pPr>
        <w:ind w:left="1111"/>
        <w:rPr>
          <w:sz w:val="11"/>
        </w:rPr>
      </w:pPr>
      <w:r>
        <w:rPr>
          <w:sz w:val="11"/>
        </w:rPr>
        <w:t>157</w:t>
      </w:r>
      <w:r>
        <w:rPr>
          <w:spacing w:val="7"/>
          <w:sz w:val="11"/>
        </w:rPr>
        <w:t xml:space="preserve"> </w:t>
      </w:r>
      <w:r>
        <w:rPr>
          <w:sz w:val="11"/>
        </w:rPr>
        <w:t>Comité</w:t>
      </w:r>
      <w:r>
        <w:rPr>
          <w:spacing w:val="7"/>
          <w:sz w:val="11"/>
        </w:rPr>
        <w:t xml:space="preserve"> </w:t>
      </w:r>
      <w:r>
        <w:rPr>
          <w:sz w:val="11"/>
        </w:rPr>
        <w:t>sobre</w:t>
      </w:r>
      <w:r>
        <w:rPr>
          <w:spacing w:val="8"/>
          <w:sz w:val="11"/>
        </w:rPr>
        <w:t xml:space="preserve"> </w:t>
      </w:r>
      <w:r>
        <w:rPr>
          <w:sz w:val="11"/>
        </w:rPr>
        <w:t>los</w:t>
      </w:r>
      <w:r>
        <w:rPr>
          <w:spacing w:val="7"/>
          <w:sz w:val="11"/>
        </w:rPr>
        <w:t xml:space="preserve"> </w:t>
      </w:r>
      <w:r>
        <w:rPr>
          <w:sz w:val="11"/>
        </w:rPr>
        <w:t>Derechos</w:t>
      </w:r>
      <w:r>
        <w:rPr>
          <w:spacing w:val="8"/>
          <w:sz w:val="11"/>
        </w:rPr>
        <w:t xml:space="preserve"> </w:t>
      </w:r>
      <w:r>
        <w:rPr>
          <w:sz w:val="11"/>
        </w:rPr>
        <w:t>de</w:t>
      </w:r>
      <w:r>
        <w:rPr>
          <w:spacing w:val="7"/>
          <w:sz w:val="11"/>
        </w:rPr>
        <w:t xml:space="preserve"> </w:t>
      </w:r>
      <w:r>
        <w:rPr>
          <w:sz w:val="11"/>
        </w:rPr>
        <w:t>las</w:t>
      </w:r>
      <w:r>
        <w:rPr>
          <w:spacing w:val="8"/>
          <w:sz w:val="11"/>
        </w:rPr>
        <w:t xml:space="preserve"> </w:t>
      </w:r>
      <w:r>
        <w:rPr>
          <w:sz w:val="11"/>
        </w:rPr>
        <w:t>Personas</w:t>
      </w:r>
      <w:r>
        <w:rPr>
          <w:spacing w:val="7"/>
          <w:sz w:val="11"/>
        </w:rPr>
        <w:t xml:space="preserve"> </w:t>
      </w:r>
      <w:r>
        <w:rPr>
          <w:sz w:val="11"/>
        </w:rPr>
        <w:t>con</w:t>
      </w:r>
      <w:r>
        <w:rPr>
          <w:spacing w:val="8"/>
          <w:sz w:val="11"/>
        </w:rPr>
        <w:t xml:space="preserve"> </w:t>
      </w:r>
      <w:r>
        <w:rPr>
          <w:sz w:val="11"/>
        </w:rPr>
        <w:t>Discapacidad,</w:t>
      </w:r>
      <w:r>
        <w:rPr>
          <w:spacing w:val="9"/>
          <w:sz w:val="11"/>
        </w:rPr>
        <w:t xml:space="preserve"> </w:t>
      </w:r>
      <w:r>
        <w:rPr>
          <w:sz w:val="11"/>
        </w:rPr>
        <w:t>observación</w:t>
      </w:r>
      <w:r>
        <w:rPr>
          <w:spacing w:val="7"/>
          <w:sz w:val="11"/>
        </w:rPr>
        <w:t xml:space="preserve"> </w:t>
      </w:r>
      <w:r>
        <w:rPr>
          <w:sz w:val="11"/>
        </w:rPr>
        <w:t>general</w:t>
      </w:r>
      <w:r>
        <w:rPr>
          <w:spacing w:val="7"/>
          <w:sz w:val="11"/>
        </w:rPr>
        <w:t xml:space="preserve"> </w:t>
      </w:r>
      <w:r>
        <w:rPr>
          <w:sz w:val="11"/>
        </w:rPr>
        <w:t>núm.</w:t>
      </w:r>
      <w:r>
        <w:rPr>
          <w:spacing w:val="8"/>
          <w:sz w:val="11"/>
        </w:rPr>
        <w:t xml:space="preserve"> </w:t>
      </w:r>
      <w:r>
        <w:rPr>
          <w:sz w:val="11"/>
        </w:rPr>
        <w:t>6</w:t>
      </w:r>
      <w:r>
        <w:rPr>
          <w:spacing w:val="7"/>
          <w:sz w:val="11"/>
        </w:rPr>
        <w:t xml:space="preserve"> </w:t>
      </w:r>
      <w:r>
        <w:rPr>
          <w:sz w:val="11"/>
        </w:rPr>
        <w:t>(2018),</w:t>
      </w:r>
      <w:r>
        <w:rPr>
          <w:spacing w:val="8"/>
          <w:sz w:val="11"/>
        </w:rPr>
        <w:t xml:space="preserve"> </w:t>
      </w:r>
      <w:proofErr w:type="spellStart"/>
      <w:r>
        <w:rPr>
          <w:sz w:val="11"/>
        </w:rPr>
        <w:t>párrs</w:t>
      </w:r>
      <w:proofErr w:type="spellEnd"/>
      <w:r>
        <w:rPr>
          <w:sz w:val="11"/>
        </w:rPr>
        <w:t>.</w:t>
      </w:r>
      <w:r>
        <w:rPr>
          <w:spacing w:val="7"/>
          <w:sz w:val="11"/>
        </w:rPr>
        <w:t xml:space="preserve"> </w:t>
      </w:r>
      <w:r>
        <w:rPr>
          <w:sz w:val="11"/>
        </w:rPr>
        <w:t>21</w:t>
      </w:r>
      <w:r>
        <w:rPr>
          <w:spacing w:val="8"/>
          <w:sz w:val="11"/>
        </w:rPr>
        <w:t xml:space="preserve"> </w:t>
      </w:r>
      <w:r>
        <w:rPr>
          <w:sz w:val="11"/>
        </w:rPr>
        <w:t>y</w:t>
      </w:r>
      <w:r>
        <w:rPr>
          <w:spacing w:val="7"/>
          <w:sz w:val="11"/>
        </w:rPr>
        <w:t xml:space="preserve"> </w:t>
      </w:r>
      <w:r>
        <w:rPr>
          <w:sz w:val="11"/>
        </w:rPr>
        <w:t>34;</w:t>
      </w:r>
      <w:r>
        <w:rPr>
          <w:spacing w:val="8"/>
          <w:sz w:val="11"/>
        </w:rPr>
        <w:t xml:space="preserve"> </w:t>
      </w:r>
      <w:r>
        <w:rPr>
          <w:spacing w:val="-2"/>
          <w:sz w:val="11"/>
        </w:rPr>
        <w:t>CEDAW/C/NZL/CO/8,</w:t>
      </w:r>
    </w:p>
    <w:p w14:paraId="333F5AA9" w14:textId="77777777" w:rsidR="0014798C" w:rsidRDefault="004E1F0B">
      <w:pPr>
        <w:spacing w:before="8" w:line="288" w:lineRule="auto"/>
        <w:ind w:left="1375" w:right="2004" w:hanging="10"/>
        <w:rPr>
          <w:sz w:val="13"/>
        </w:rPr>
      </w:pPr>
      <w:r>
        <w:rPr>
          <w:sz w:val="13"/>
        </w:rPr>
        <w:t xml:space="preserve">paraca. 11(a) y </w:t>
      </w:r>
      <w:r>
        <w:rPr>
          <w:w w:val="95"/>
          <w:sz w:val="13"/>
        </w:rPr>
        <w:t xml:space="preserve">12(a); </w:t>
      </w:r>
      <w:r>
        <w:rPr>
          <w:sz w:val="13"/>
        </w:rPr>
        <w:t xml:space="preserve">CCPR/C/SLV/CO/7, párr. </w:t>
      </w:r>
      <w:r>
        <w:rPr>
          <w:w w:val="95"/>
          <w:sz w:val="13"/>
        </w:rPr>
        <w:t xml:space="preserve">9; </w:t>
      </w:r>
      <w:r>
        <w:rPr>
          <w:sz w:val="13"/>
        </w:rPr>
        <w:t>Comité de Derechos Económicos, Sociales y Culturales, observación general núm. 22</w:t>
      </w:r>
      <w:r>
        <w:rPr>
          <w:spacing w:val="40"/>
          <w:sz w:val="13"/>
        </w:rPr>
        <w:t xml:space="preserve"> </w:t>
      </w:r>
      <w:r>
        <w:rPr>
          <w:sz w:val="13"/>
        </w:rPr>
        <w:t xml:space="preserve">(2016), </w:t>
      </w:r>
      <w:proofErr w:type="spellStart"/>
      <w:r>
        <w:rPr>
          <w:sz w:val="13"/>
        </w:rPr>
        <w:t>párrs</w:t>
      </w:r>
      <w:proofErr w:type="spellEnd"/>
      <w:r>
        <w:rPr>
          <w:sz w:val="13"/>
        </w:rPr>
        <w:t xml:space="preserve">. 23 y </w:t>
      </w:r>
      <w:r>
        <w:rPr>
          <w:w w:val="95"/>
          <w:sz w:val="13"/>
        </w:rPr>
        <w:t xml:space="preserve">40; </w:t>
      </w:r>
      <w:r>
        <w:rPr>
          <w:sz w:val="13"/>
        </w:rPr>
        <w:t>y CRC/C/SWE/CO/5, párr. 15.</w:t>
      </w:r>
    </w:p>
    <w:p w14:paraId="2085D173" w14:textId="77777777" w:rsidR="0014798C" w:rsidRDefault="004E1F0B">
      <w:pPr>
        <w:spacing w:before="103"/>
        <w:ind w:left="1111"/>
        <w:rPr>
          <w:sz w:val="11"/>
        </w:rPr>
      </w:pPr>
      <w:r>
        <w:rPr>
          <w:w w:val="105"/>
          <w:sz w:val="11"/>
        </w:rPr>
        <w:t>158</w:t>
      </w:r>
      <w:r>
        <w:rPr>
          <w:spacing w:val="-4"/>
          <w:w w:val="105"/>
          <w:sz w:val="11"/>
        </w:rPr>
        <w:t xml:space="preserve"> </w:t>
      </w:r>
      <w:r>
        <w:rPr>
          <w:w w:val="105"/>
          <w:sz w:val="11"/>
        </w:rPr>
        <w:t>Véase</w:t>
      </w:r>
      <w:r>
        <w:rPr>
          <w:spacing w:val="-3"/>
          <w:w w:val="105"/>
          <w:sz w:val="11"/>
        </w:rPr>
        <w:t xml:space="preserve"> </w:t>
      </w:r>
      <w:r>
        <w:rPr>
          <w:w w:val="105"/>
          <w:sz w:val="11"/>
        </w:rPr>
        <w:t>la</w:t>
      </w:r>
      <w:r>
        <w:rPr>
          <w:spacing w:val="-4"/>
          <w:w w:val="105"/>
          <w:sz w:val="11"/>
        </w:rPr>
        <w:t xml:space="preserve"> </w:t>
      </w:r>
      <w:r>
        <w:rPr>
          <w:w w:val="105"/>
          <w:sz w:val="11"/>
        </w:rPr>
        <w:t>sección</w:t>
      </w:r>
      <w:r>
        <w:rPr>
          <w:spacing w:val="-3"/>
          <w:w w:val="105"/>
          <w:sz w:val="11"/>
        </w:rPr>
        <w:t xml:space="preserve"> </w:t>
      </w:r>
      <w:r>
        <w:rPr>
          <w:w w:val="105"/>
          <w:sz w:val="11"/>
        </w:rPr>
        <w:t>IB</w:t>
      </w:r>
      <w:r>
        <w:rPr>
          <w:spacing w:val="-4"/>
          <w:w w:val="105"/>
          <w:sz w:val="11"/>
        </w:rPr>
        <w:t xml:space="preserve"> </w:t>
      </w:r>
      <w:r>
        <w:rPr>
          <w:w w:val="105"/>
          <w:sz w:val="11"/>
        </w:rPr>
        <w:t>de</w:t>
      </w:r>
      <w:r>
        <w:rPr>
          <w:spacing w:val="-3"/>
          <w:w w:val="105"/>
          <w:sz w:val="11"/>
        </w:rPr>
        <w:t xml:space="preserve"> </w:t>
      </w:r>
      <w:r>
        <w:rPr>
          <w:w w:val="105"/>
          <w:sz w:val="11"/>
        </w:rPr>
        <w:t>la</w:t>
      </w:r>
      <w:r>
        <w:rPr>
          <w:spacing w:val="-4"/>
          <w:w w:val="105"/>
          <w:sz w:val="11"/>
        </w:rPr>
        <w:t xml:space="preserve"> </w:t>
      </w:r>
      <w:r>
        <w:rPr>
          <w:w w:val="105"/>
          <w:sz w:val="11"/>
        </w:rPr>
        <w:t>primera</w:t>
      </w:r>
      <w:r>
        <w:rPr>
          <w:spacing w:val="-3"/>
          <w:w w:val="105"/>
          <w:sz w:val="11"/>
        </w:rPr>
        <w:t xml:space="preserve"> </w:t>
      </w:r>
      <w:r>
        <w:rPr>
          <w:w w:val="105"/>
          <w:sz w:val="11"/>
        </w:rPr>
        <w:t>parte</w:t>
      </w:r>
      <w:r>
        <w:rPr>
          <w:spacing w:val="-3"/>
          <w:w w:val="105"/>
          <w:sz w:val="11"/>
        </w:rPr>
        <w:t xml:space="preserve"> </w:t>
      </w:r>
      <w:r>
        <w:rPr>
          <w:w w:val="105"/>
          <w:sz w:val="11"/>
        </w:rPr>
        <w:t>de</w:t>
      </w:r>
      <w:r>
        <w:rPr>
          <w:spacing w:val="-4"/>
          <w:w w:val="105"/>
          <w:sz w:val="11"/>
        </w:rPr>
        <w:t xml:space="preserve"> </w:t>
      </w:r>
      <w:r>
        <w:rPr>
          <w:w w:val="105"/>
          <w:sz w:val="11"/>
        </w:rPr>
        <w:t>la</w:t>
      </w:r>
      <w:r>
        <w:rPr>
          <w:spacing w:val="-3"/>
          <w:w w:val="105"/>
          <w:sz w:val="11"/>
        </w:rPr>
        <w:t xml:space="preserve"> </w:t>
      </w:r>
      <w:r>
        <w:rPr>
          <w:w w:val="105"/>
          <w:sz w:val="11"/>
        </w:rPr>
        <w:t>presente</w:t>
      </w:r>
      <w:r>
        <w:rPr>
          <w:spacing w:val="-4"/>
          <w:w w:val="105"/>
          <w:sz w:val="11"/>
        </w:rPr>
        <w:t xml:space="preserve"> </w:t>
      </w:r>
      <w:r>
        <w:rPr>
          <w:spacing w:val="-2"/>
          <w:w w:val="105"/>
          <w:sz w:val="11"/>
        </w:rPr>
        <w:t>guía.</w:t>
      </w:r>
    </w:p>
    <w:p w14:paraId="48C0EA44" w14:textId="77777777" w:rsidR="0014798C" w:rsidRDefault="004E1F0B">
      <w:pPr>
        <w:spacing w:before="110"/>
        <w:ind w:left="1111"/>
        <w:rPr>
          <w:sz w:val="11"/>
        </w:rPr>
      </w:pPr>
      <w:r>
        <w:rPr>
          <w:w w:val="105"/>
          <w:sz w:val="11"/>
        </w:rPr>
        <w:t>159</w:t>
      </w:r>
      <w:r>
        <w:rPr>
          <w:spacing w:val="-4"/>
          <w:w w:val="105"/>
          <w:sz w:val="11"/>
        </w:rPr>
        <w:t xml:space="preserve"> </w:t>
      </w:r>
      <w:r>
        <w:rPr>
          <w:w w:val="105"/>
          <w:sz w:val="11"/>
        </w:rPr>
        <w:t>Véase</w:t>
      </w:r>
      <w:r>
        <w:rPr>
          <w:spacing w:val="-3"/>
          <w:w w:val="105"/>
          <w:sz w:val="11"/>
        </w:rPr>
        <w:t xml:space="preserve"> </w:t>
      </w:r>
      <w:r>
        <w:rPr>
          <w:w w:val="105"/>
          <w:sz w:val="11"/>
        </w:rPr>
        <w:t>además</w:t>
      </w:r>
      <w:r>
        <w:rPr>
          <w:spacing w:val="-3"/>
          <w:w w:val="105"/>
          <w:sz w:val="11"/>
        </w:rPr>
        <w:t xml:space="preserve"> </w:t>
      </w:r>
      <w:r>
        <w:rPr>
          <w:w w:val="105"/>
          <w:sz w:val="11"/>
        </w:rPr>
        <w:t>el</w:t>
      </w:r>
      <w:r>
        <w:rPr>
          <w:spacing w:val="-4"/>
          <w:w w:val="105"/>
          <w:sz w:val="11"/>
        </w:rPr>
        <w:t xml:space="preserve"> </w:t>
      </w:r>
      <w:r>
        <w:rPr>
          <w:w w:val="105"/>
          <w:sz w:val="11"/>
        </w:rPr>
        <w:t>capítulo</w:t>
      </w:r>
      <w:r>
        <w:rPr>
          <w:spacing w:val="-3"/>
          <w:w w:val="105"/>
          <w:sz w:val="11"/>
        </w:rPr>
        <w:t xml:space="preserve"> </w:t>
      </w:r>
      <w:r>
        <w:rPr>
          <w:w w:val="105"/>
          <w:sz w:val="11"/>
        </w:rPr>
        <w:t>II</w:t>
      </w:r>
      <w:r>
        <w:rPr>
          <w:spacing w:val="-3"/>
          <w:w w:val="105"/>
          <w:sz w:val="11"/>
        </w:rPr>
        <w:t xml:space="preserve"> </w:t>
      </w:r>
      <w:r>
        <w:rPr>
          <w:w w:val="105"/>
          <w:sz w:val="11"/>
        </w:rPr>
        <w:t>de</w:t>
      </w:r>
      <w:r>
        <w:rPr>
          <w:spacing w:val="-4"/>
          <w:w w:val="105"/>
          <w:sz w:val="11"/>
        </w:rPr>
        <w:t xml:space="preserve"> </w:t>
      </w:r>
      <w:r>
        <w:rPr>
          <w:w w:val="105"/>
          <w:sz w:val="11"/>
        </w:rPr>
        <w:t>la</w:t>
      </w:r>
      <w:r>
        <w:rPr>
          <w:spacing w:val="-3"/>
          <w:w w:val="105"/>
          <w:sz w:val="11"/>
        </w:rPr>
        <w:t xml:space="preserve"> </w:t>
      </w:r>
      <w:r>
        <w:rPr>
          <w:w w:val="105"/>
          <w:sz w:val="11"/>
        </w:rPr>
        <w:t>segunda</w:t>
      </w:r>
      <w:r>
        <w:rPr>
          <w:spacing w:val="-3"/>
          <w:w w:val="105"/>
          <w:sz w:val="11"/>
        </w:rPr>
        <w:t xml:space="preserve"> </w:t>
      </w:r>
      <w:r>
        <w:rPr>
          <w:w w:val="105"/>
          <w:sz w:val="11"/>
        </w:rPr>
        <w:t>parte</w:t>
      </w:r>
      <w:r>
        <w:rPr>
          <w:spacing w:val="-3"/>
          <w:w w:val="105"/>
          <w:sz w:val="11"/>
        </w:rPr>
        <w:t xml:space="preserve"> </w:t>
      </w:r>
      <w:r>
        <w:rPr>
          <w:w w:val="105"/>
          <w:sz w:val="11"/>
        </w:rPr>
        <w:t>de</w:t>
      </w:r>
      <w:r>
        <w:rPr>
          <w:spacing w:val="-4"/>
          <w:w w:val="105"/>
          <w:sz w:val="11"/>
        </w:rPr>
        <w:t xml:space="preserve"> </w:t>
      </w:r>
      <w:r>
        <w:rPr>
          <w:w w:val="105"/>
          <w:sz w:val="11"/>
        </w:rPr>
        <w:t>la</w:t>
      </w:r>
      <w:r>
        <w:rPr>
          <w:spacing w:val="-3"/>
          <w:w w:val="105"/>
          <w:sz w:val="11"/>
        </w:rPr>
        <w:t xml:space="preserve"> </w:t>
      </w:r>
      <w:r>
        <w:rPr>
          <w:w w:val="105"/>
          <w:sz w:val="11"/>
        </w:rPr>
        <w:t>presente</w:t>
      </w:r>
      <w:r>
        <w:rPr>
          <w:spacing w:val="-3"/>
          <w:w w:val="105"/>
          <w:sz w:val="11"/>
        </w:rPr>
        <w:t xml:space="preserve"> </w:t>
      </w:r>
      <w:r>
        <w:rPr>
          <w:spacing w:val="-2"/>
          <w:w w:val="105"/>
          <w:sz w:val="11"/>
        </w:rPr>
        <w:t>guía.</w:t>
      </w:r>
    </w:p>
    <w:p w14:paraId="2BE8031A" w14:textId="77777777" w:rsidR="0014798C" w:rsidRDefault="004E1F0B">
      <w:pPr>
        <w:spacing w:before="110"/>
        <w:ind w:left="1111"/>
        <w:rPr>
          <w:sz w:val="11"/>
        </w:rPr>
      </w:pPr>
      <w:r>
        <w:rPr>
          <w:w w:val="105"/>
          <w:sz w:val="11"/>
        </w:rPr>
        <w:t>160</w:t>
      </w:r>
      <w:r>
        <w:rPr>
          <w:spacing w:val="-5"/>
          <w:w w:val="105"/>
          <w:sz w:val="11"/>
        </w:rPr>
        <w:t xml:space="preserve"> </w:t>
      </w:r>
      <w:r>
        <w:rPr>
          <w:w w:val="105"/>
          <w:sz w:val="11"/>
        </w:rPr>
        <w:t>Comité</w:t>
      </w:r>
      <w:r>
        <w:rPr>
          <w:spacing w:val="-5"/>
          <w:w w:val="105"/>
          <w:sz w:val="11"/>
        </w:rPr>
        <w:t xml:space="preserve"> </w:t>
      </w:r>
      <w:r>
        <w:rPr>
          <w:w w:val="105"/>
          <w:sz w:val="11"/>
        </w:rPr>
        <w:t>de</w:t>
      </w:r>
      <w:r>
        <w:rPr>
          <w:spacing w:val="-4"/>
          <w:w w:val="105"/>
          <w:sz w:val="11"/>
        </w:rPr>
        <w:t xml:space="preserve"> </w:t>
      </w:r>
      <w:r>
        <w:rPr>
          <w:w w:val="105"/>
          <w:sz w:val="11"/>
        </w:rPr>
        <w:t>Derechos</w:t>
      </w:r>
      <w:r>
        <w:rPr>
          <w:spacing w:val="-5"/>
          <w:w w:val="105"/>
          <w:sz w:val="11"/>
        </w:rPr>
        <w:t xml:space="preserve"> </w:t>
      </w:r>
      <w:r>
        <w:rPr>
          <w:w w:val="105"/>
          <w:sz w:val="11"/>
        </w:rPr>
        <w:t>Económicos,</w:t>
      </w:r>
      <w:r>
        <w:rPr>
          <w:spacing w:val="-4"/>
          <w:w w:val="105"/>
          <w:sz w:val="11"/>
        </w:rPr>
        <w:t xml:space="preserve"> </w:t>
      </w:r>
      <w:r>
        <w:rPr>
          <w:w w:val="105"/>
          <w:sz w:val="11"/>
        </w:rPr>
        <w:t>Sociales</w:t>
      </w:r>
      <w:r>
        <w:rPr>
          <w:spacing w:val="-5"/>
          <w:w w:val="105"/>
          <w:sz w:val="11"/>
        </w:rPr>
        <w:t xml:space="preserve"> </w:t>
      </w:r>
      <w:r>
        <w:rPr>
          <w:w w:val="105"/>
          <w:sz w:val="11"/>
        </w:rPr>
        <w:t>y</w:t>
      </w:r>
      <w:r>
        <w:rPr>
          <w:spacing w:val="-4"/>
          <w:w w:val="105"/>
          <w:sz w:val="11"/>
        </w:rPr>
        <w:t xml:space="preserve"> </w:t>
      </w:r>
      <w:r>
        <w:rPr>
          <w:w w:val="105"/>
          <w:sz w:val="11"/>
        </w:rPr>
        <w:t>Culturales,</w:t>
      </w:r>
      <w:r>
        <w:rPr>
          <w:spacing w:val="-4"/>
          <w:w w:val="105"/>
          <w:sz w:val="11"/>
        </w:rPr>
        <w:t xml:space="preserve"> </w:t>
      </w:r>
      <w:r>
        <w:rPr>
          <w:w w:val="105"/>
          <w:sz w:val="11"/>
        </w:rPr>
        <w:t>observación</w:t>
      </w:r>
      <w:r>
        <w:rPr>
          <w:spacing w:val="-5"/>
          <w:w w:val="105"/>
          <w:sz w:val="11"/>
        </w:rPr>
        <w:t xml:space="preserve"> </w:t>
      </w:r>
      <w:r>
        <w:rPr>
          <w:w w:val="105"/>
          <w:sz w:val="11"/>
        </w:rPr>
        <w:t>general</w:t>
      </w:r>
      <w:r>
        <w:rPr>
          <w:spacing w:val="-4"/>
          <w:w w:val="105"/>
          <w:sz w:val="11"/>
        </w:rPr>
        <w:t xml:space="preserve"> </w:t>
      </w:r>
      <w:r>
        <w:rPr>
          <w:w w:val="105"/>
          <w:sz w:val="11"/>
        </w:rPr>
        <w:t>núm.</w:t>
      </w:r>
      <w:r>
        <w:rPr>
          <w:spacing w:val="-5"/>
          <w:w w:val="105"/>
          <w:sz w:val="11"/>
        </w:rPr>
        <w:t xml:space="preserve"> </w:t>
      </w:r>
      <w:r>
        <w:rPr>
          <w:w w:val="105"/>
          <w:sz w:val="11"/>
        </w:rPr>
        <w:t>20</w:t>
      </w:r>
      <w:r>
        <w:rPr>
          <w:spacing w:val="-5"/>
          <w:w w:val="105"/>
          <w:sz w:val="11"/>
        </w:rPr>
        <w:t xml:space="preserve"> </w:t>
      </w:r>
      <w:r>
        <w:rPr>
          <w:w w:val="105"/>
          <w:sz w:val="11"/>
        </w:rPr>
        <w:t>(2009),</w:t>
      </w:r>
      <w:r>
        <w:rPr>
          <w:spacing w:val="-4"/>
          <w:w w:val="105"/>
          <w:sz w:val="11"/>
        </w:rPr>
        <w:t xml:space="preserve"> </w:t>
      </w:r>
      <w:r>
        <w:rPr>
          <w:w w:val="105"/>
          <w:sz w:val="11"/>
        </w:rPr>
        <w:t>párr.</w:t>
      </w:r>
      <w:r>
        <w:rPr>
          <w:spacing w:val="-5"/>
          <w:w w:val="105"/>
          <w:sz w:val="11"/>
        </w:rPr>
        <w:t xml:space="preserve"> 27.</w:t>
      </w:r>
    </w:p>
    <w:p w14:paraId="7ECBD276" w14:textId="77777777" w:rsidR="0014798C" w:rsidRDefault="0014798C">
      <w:pPr>
        <w:pStyle w:val="Textoindependiente"/>
        <w:rPr>
          <w:sz w:val="19"/>
        </w:rPr>
      </w:pPr>
    </w:p>
    <w:p w14:paraId="6C55E6C9" w14:textId="77777777" w:rsidR="0014798C" w:rsidRDefault="0014798C">
      <w:pPr>
        <w:pStyle w:val="Textoindependiente"/>
        <w:spacing w:before="176"/>
        <w:rPr>
          <w:sz w:val="19"/>
        </w:rPr>
      </w:pPr>
    </w:p>
    <w:p w14:paraId="368398D8" w14:textId="77777777" w:rsidR="0014798C" w:rsidRDefault="004E1F0B">
      <w:pPr>
        <w:spacing w:before="1"/>
        <w:ind w:left="551"/>
        <w:rPr>
          <w:sz w:val="19"/>
        </w:rPr>
      </w:pPr>
      <w:r>
        <w:rPr>
          <w:spacing w:val="-5"/>
          <w:sz w:val="19"/>
        </w:rPr>
        <w:t>22</w:t>
      </w:r>
    </w:p>
    <w:p w14:paraId="718B58A1" w14:textId="77777777" w:rsidR="0014798C" w:rsidRDefault="0014798C">
      <w:pPr>
        <w:rPr>
          <w:sz w:val="19"/>
        </w:rPr>
        <w:sectPr w:rsidR="0014798C" w:rsidSect="00F265E4">
          <w:type w:val="continuous"/>
          <w:pgSz w:w="11900" w:h="16820"/>
          <w:pgMar w:top="40" w:right="0" w:bottom="280" w:left="200" w:header="121" w:footer="0" w:gutter="0"/>
          <w:cols w:space="720"/>
        </w:sectPr>
      </w:pPr>
    </w:p>
    <w:p w14:paraId="09D4013E" w14:textId="77777777" w:rsidR="0014798C" w:rsidRDefault="0014798C">
      <w:pPr>
        <w:pStyle w:val="Textoindependiente"/>
        <w:spacing w:before="51"/>
        <w:rPr>
          <w:sz w:val="14"/>
        </w:rPr>
      </w:pPr>
    </w:p>
    <w:p w14:paraId="2540589A" w14:textId="77777777" w:rsidR="0014798C" w:rsidRDefault="004E1F0B">
      <w:pPr>
        <w:ind w:left="1111"/>
        <w:rPr>
          <w:sz w:val="14"/>
        </w:rPr>
      </w:pPr>
      <w:r>
        <w:rPr>
          <w:color w:val="00AC59"/>
          <w:sz w:val="14"/>
        </w:rPr>
        <w:t>SEGUNDA</w:t>
      </w:r>
      <w:r>
        <w:rPr>
          <w:color w:val="00AC59"/>
          <w:spacing w:val="-5"/>
          <w:sz w:val="14"/>
        </w:rPr>
        <w:t xml:space="preserve"> </w:t>
      </w:r>
      <w:r>
        <w:rPr>
          <w:color w:val="00AC59"/>
          <w:sz w:val="14"/>
        </w:rPr>
        <w:t>PARTE:</w:t>
      </w:r>
      <w:r>
        <w:rPr>
          <w:color w:val="00AC59"/>
          <w:spacing w:val="-5"/>
          <w:sz w:val="14"/>
        </w:rPr>
        <w:t xml:space="preserve"> </w:t>
      </w:r>
      <w:r>
        <w:rPr>
          <w:color w:val="00AC59"/>
          <w:sz w:val="14"/>
        </w:rPr>
        <w:t>CONTENIDO</w:t>
      </w:r>
      <w:r>
        <w:rPr>
          <w:color w:val="00AC59"/>
          <w:spacing w:val="-4"/>
          <w:sz w:val="14"/>
        </w:rPr>
        <w:t xml:space="preserve"> </w:t>
      </w:r>
      <w:r>
        <w:rPr>
          <w:color w:val="00AC59"/>
          <w:sz w:val="14"/>
        </w:rPr>
        <w:t>DE</w:t>
      </w:r>
      <w:r>
        <w:rPr>
          <w:color w:val="00AC59"/>
          <w:spacing w:val="-5"/>
          <w:sz w:val="14"/>
        </w:rPr>
        <w:t xml:space="preserve"> </w:t>
      </w:r>
      <w:r>
        <w:rPr>
          <w:color w:val="00AC59"/>
          <w:sz w:val="14"/>
        </w:rPr>
        <w:t>LA</w:t>
      </w:r>
      <w:r>
        <w:rPr>
          <w:color w:val="00AC59"/>
          <w:spacing w:val="-4"/>
          <w:sz w:val="14"/>
        </w:rPr>
        <w:t xml:space="preserve"> </w:t>
      </w:r>
      <w:r>
        <w:rPr>
          <w:color w:val="00AC59"/>
          <w:sz w:val="14"/>
        </w:rPr>
        <w:t>LEY</w:t>
      </w:r>
      <w:r>
        <w:rPr>
          <w:color w:val="00AC59"/>
          <w:spacing w:val="-4"/>
          <w:sz w:val="14"/>
        </w:rPr>
        <w:t xml:space="preserve"> </w:t>
      </w:r>
      <w:r>
        <w:rPr>
          <w:color w:val="00AC59"/>
          <w:sz w:val="14"/>
        </w:rPr>
        <w:t>INTEGRAL</w:t>
      </w:r>
      <w:r>
        <w:rPr>
          <w:color w:val="00AC59"/>
          <w:spacing w:val="-5"/>
          <w:sz w:val="14"/>
        </w:rPr>
        <w:t xml:space="preserve"> </w:t>
      </w:r>
      <w:r>
        <w:rPr>
          <w:color w:val="00AC59"/>
          <w:spacing w:val="-2"/>
          <w:sz w:val="14"/>
        </w:rPr>
        <w:t>ANTIDISCRIMINACIÓN</w:t>
      </w:r>
    </w:p>
    <w:p w14:paraId="3093E4D0" w14:textId="77777777" w:rsidR="0014798C" w:rsidRDefault="0014798C">
      <w:pPr>
        <w:pStyle w:val="Textoindependiente"/>
        <w:rPr>
          <w:sz w:val="14"/>
        </w:rPr>
      </w:pPr>
    </w:p>
    <w:p w14:paraId="34BDC360" w14:textId="77777777" w:rsidR="0014798C" w:rsidRDefault="0014798C">
      <w:pPr>
        <w:pStyle w:val="Textoindependiente"/>
        <w:rPr>
          <w:sz w:val="14"/>
        </w:rPr>
      </w:pPr>
    </w:p>
    <w:p w14:paraId="6EFCFC1C" w14:textId="77777777" w:rsidR="0014798C" w:rsidRDefault="0014798C">
      <w:pPr>
        <w:pStyle w:val="Textoindependiente"/>
        <w:rPr>
          <w:sz w:val="14"/>
        </w:rPr>
      </w:pPr>
    </w:p>
    <w:p w14:paraId="7A60ADE3" w14:textId="77777777" w:rsidR="0014798C" w:rsidRDefault="0014798C">
      <w:pPr>
        <w:pStyle w:val="Textoindependiente"/>
        <w:rPr>
          <w:sz w:val="14"/>
        </w:rPr>
      </w:pPr>
    </w:p>
    <w:p w14:paraId="69FBD712" w14:textId="77777777" w:rsidR="0014798C" w:rsidRDefault="0014798C">
      <w:pPr>
        <w:pStyle w:val="Textoindependiente"/>
        <w:rPr>
          <w:sz w:val="14"/>
        </w:rPr>
      </w:pPr>
    </w:p>
    <w:p w14:paraId="7D76C63F" w14:textId="77777777" w:rsidR="0014798C" w:rsidRDefault="0014798C">
      <w:pPr>
        <w:pStyle w:val="Textoindependiente"/>
        <w:spacing w:before="23"/>
        <w:rPr>
          <w:sz w:val="14"/>
        </w:rPr>
      </w:pPr>
    </w:p>
    <w:p w14:paraId="50A050A1" w14:textId="77777777" w:rsidR="0014798C" w:rsidRDefault="004E1F0B">
      <w:pPr>
        <w:spacing w:line="372" w:lineRule="auto"/>
        <w:ind w:left="1109" w:right="1272" w:firstLine="2"/>
        <w:rPr>
          <w:sz w:val="14"/>
        </w:rPr>
      </w:pPr>
      <w:r>
        <w:rPr>
          <w:sz w:val="14"/>
        </w:rPr>
        <w:t>discriminación no mencionada explícitamente anteriormente –que va desde la “casta” hasta el “estatus relacionado con el VIH/SIDA”- en sus marcos</w:t>
      </w:r>
      <w:r>
        <w:rPr>
          <w:spacing w:val="40"/>
          <w:sz w:val="14"/>
        </w:rPr>
        <w:t xml:space="preserve"> </w:t>
      </w:r>
      <w:r>
        <w:rPr>
          <w:sz w:val="14"/>
        </w:rPr>
        <w:t>legales</w:t>
      </w:r>
      <w:r>
        <w:rPr>
          <w:spacing w:val="-2"/>
          <w:sz w:val="14"/>
        </w:rPr>
        <w:t xml:space="preserve"> </w:t>
      </w:r>
      <w:r>
        <w:rPr>
          <w:sz w:val="14"/>
        </w:rPr>
        <w:t>nacionales.161</w:t>
      </w:r>
    </w:p>
    <w:p w14:paraId="31420023" w14:textId="77777777" w:rsidR="0014798C" w:rsidRDefault="004E1F0B">
      <w:pPr>
        <w:spacing w:before="196"/>
        <w:ind w:left="1117"/>
        <w:rPr>
          <w:sz w:val="19"/>
        </w:rPr>
      </w:pPr>
      <w:r>
        <w:rPr>
          <w:sz w:val="19"/>
        </w:rPr>
        <w:t>Motivos</w:t>
      </w:r>
      <w:r>
        <w:rPr>
          <w:spacing w:val="15"/>
          <w:sz w:val="19"/>
        </w:rPr>
        <w:t xml:space="preserve"> </w:t>
      </w:r>
      <w:r>
        <w:rPr>
          <w:sz w:val="19"/>
        </w:rPr>
        <w:t>de</w:t>
      </w:r>
      <w:r>
        <w:rPr>
          <w:spacing w:val="16"/>
          <w:sz w:val="19"/>
        </w:rPr>
        <w:t xml:space="preserve"> </w:t>
      </w:r>
      <w:r>
        <w:rPr>
          <w:sz w:val="19"/>
        </w:rPr>
        <w:t>discriminación</w:t>
      </w:r>
      <w:r>
        <w:rPr>
          <w:spacing w:val="15"/>
          <w:sz w:val="19"/>
        </w:rPr>
        <w:t xml:space="preserve"> </w:t>
      </w:r>
      <w:r>
        <w:rPr>
          <w:sz w:val="19"/>
        </w:rPr>
        <w:t>reconocidos</w:t>
      </w:r>
      <w:r>
        <w:rPr>
          <w:spacing w:val="16"/>
          <w:sz w:val="19"/>
        </w:rPr>
        <w:t xml:space="preserve"> </w:t>
      </w:r>
      <w:r>
        <w:rPr>
          <w:sz w:val="19"/>
        </w:rPr>
        <w:t>en</w:t>
      </w:r>
      <w:r>
        <w:rPr>
          <w:spacing w:val="16"/>
          <w:sz w:val="19"/>
        </w:rPr>
        <w:t xml:space="preserve"> </w:t>
      </w:r>
      <w:r>
        <w:rPr>
          <w:sz w:val="19"/>
        </w:rPr>
        <w:t>el</w:t>
      </w:r>
      <w:r>
        <w:rPr>
          <w:spacing w:val="15"/>
          <w:sz w:val="19"/>
        </w:rPr>
        <w:t xml:space="preserve"> </w:t>
      </w:r>
      <w:r>
        <w:rPr>
          <w:sz w:val="19"/>
        </w:rPr>
        <w:t>derecho</w:t>
      </w:r>
      <w:r>
        <w:rPr>
          <w:spacing w:val="16"/>
          <w:sz w:val="19"/>
        </w:rPr>
        <w:t xml:space="preserve"> </w:t>
      </w:r>
      <w:r>
        <w:rPr>
          <w:spacing w:val="-2"/>
          <w:sz w:val="19"/>
        </w:rPr>
        <w:t>internacional</w:t>
      </w:r>
    </w:p>
    <w:p w14:paraId="4C0C1BC6" w14:textId="77777777" w:rsidR="0014798C" w:rsidRDefault="0014798C">
      <w:pPr>
        <w:pStyle w:val="Textoindependiente"/>
        <w:spacing w:before="15"/>
        <w:rPr>
          <w:sz w:val="14"/>
        </w:rPr>
      </w:pPr>
    </w:p>
    <w:p w14:paraId="07926BB3" w14:textId="77777777" w:rsidR="0014798C" w:rsidRDefault="004E1F0B">
      <w:pPr>
        <w:spacing w:line="372" w:lineRule="auto"/>
        <w:ind w:left="1107" w:right="1335" w:hanging="1"/>
        <w:rPr>
          <w:sz w:val="14"/>
        </w:rPr>
      </w:pPr>
      <w:r>
        <w:rPr>
          <w:noProof/>
        </w:rPr>
        <w:drawing>
          <wp:anchor distT="0" distB="0" distL="0" distR="0" simplePos="0" relativeHeight="251658375" behindDoc="1" locked="0" layoutInCell="1" allowOverlap="1" wp14:anchorId="7B3B9F04" wp14:editId="3950644D">
            <wp:simplePos x="0" y="0"/>
            <wp:positionH relativeFrom="page">
              <wp:posOffset>790692</wp:posOffset>
            </wp:positionH>
            <wp:positionV relativeFrom="paragraph">
              <wp:posOffset>368309</wp:posOffset>
            </wp:positionV>
            <wp:extent cx="6765807" cy="6115453"/>
            <wp:effectExtent l="0" t="0" r="0" b="0"/>
            <wp:wrapNone/>
            <wp:docPr id="95" name="Image 9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95" name="Image 95"/>
                    <pic:cNvPicPr/>
                  </pic:nvPicPr>
                  <pic:blipFill>
                    <a:blip r:embed="rId102" cstate="print"/>
                    <a:stretch>
                      <a:fillRect/>
                    </a:stretch>
                  </pic:blipFill>
                  <pic:spPr>
                    <a:xfrm>
                      <a:off x="0" y="0"/>
                      <a:ext cx="6765807" cy="6115453"/>
                    </a:xfrm>
                    <a:prstGeom prst="rect">
                      <a:avLst/>
                    </a:prstGeom>
                  </pic:spPr>
                </pic:pic>
              </a:graphicData>
            </a:graphic>
          </wp:anchor>
        </w:drawing>
      </w:r>
      <w:r>
        <w:rPr>
          <w:noProof/>
        </w:rPr>
        <mc:AlternateContent>
          <mc:Choice Requires="wps">
            <w:drawing>
              <wp:anchor distT="0" distB="0" distL="0" distR="0" simplePos="0" relativeHeight="251658252" behindDoc="0" locked="0" layoutInCell="1" allowOverlap="1" wp14:anchorId="5C249D96" wp14:editId="03BE6581">
                <wp:simplePos x="0" y="0"/>
                <wp:positionH relativeFrom="page">
                  <wp:posOffset>7313138</wp:posOffset>
                </wp:positionH>
                <wp:positionV relativeFrom="paragraph">
                  <wp:posOffset>983633</wp:posOffset>
                </wp:positionV>
                <wp:extent cx="83820" cy="281940"/>
                <wp:effectExtent l="0" t="0" r="0" b="0"/>
                <wp:wrapNone/>
                <wp:docPr id="96" name="Textbox 9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83820" cy="281940"/>
                        </a:xfrm>
                        <a:prstGeom prst="rect">
                          <a:avLst/>
                        </a:prstGeom>
                      </wps:spPr>
                      <wps:txbx>
                        <w:txbxContent>
                          <w:p w14:paraId="2D9BEA0D" w14:textId="77777777" w:rsidR="0014798C" w:rsidRDefault="004E1F0B">
                            <w:pPr>
                              <w:spacing w:before="19"/>
                              <w:ind w:left="20"/>
                              <w:rPr>
                                <w:sz w:val="8"/>
                              </w:rPr>
                            </w:pPr>
                            <w:r>
                              <w:rPr>
                                <w:color w:val="FFFFFF"/>
                                <w:spacing w:val="-24"/>
                                <w:sz w:val="8"/>
                              </w:rPr>
                              <w:t>I–P</w:t>
                            </w:r>
                            <w:r>
                              <w:rPr>
                                <w:spacing w:val="-24"/>
                                <w:sz w:val="8"/>
                              </w:rPr>
                              <w:t>S</w:t>
                            </w:r>
                            <w:r>
                              <w:rPr>
                                <w:color w:val="FFFFFF"/>
                                <w:spacing w:val="-24"/>
                                <w:sz w:val="8"/>
                              </w:rPr>
                              <w:t>A</w:t>
                            </w:r>
                            <w:r>
                              <w:rPr>
                                <w:spacing w:val="-24"/>
                                <w:sz w:val="8"/>
                              </w:rPr>
                              <w:t>E</w:t>
                            </w:r>
                            <w:r>
                              <w:rPr>
                                <w:color w:val="FFFFFF"/>
                                <w:spacing w:val="-24"/>
                                <w:sz w:val="8"/>
                              </w:rPr>
                              <w:t>R</w:t>
                            </w:r>
                            <w:r>
                              <w:rPr>
                                <w:spacing w:val="-24"/>
                                <w:sz w:val="8"/>
                              </w:rPr>
                              <w:t>G</w:t>
                            </w:r>
                            <w:r>
                              <w:rPr>
                                <w:color w:val="FFFFFF"/>
                                <w:spacing w:val="-24"/>
                                <w:sz w:val="8"/>
                              </w:rPr>
                              <w:t>T</w:t>
                            </w:r>
                            <w:r>
                              <w:rPr>
                                <w:spacing w:val="-24"/>
                                <w:sz w:val="8"/>
                              </w:rPr>
                              <w:t>U</w:t>
                            </w:r>
                            <w:r>
                              <w:rPr>
                                <w:color w:val="FFFFFF"/>
                                <w:spacing w:val="-24"/>
                                <w:sz w:val="8"/>
                              </w:rPr>
                              <w:t>E</w:t>
                            </w:r>
                            <w:r>
                              <w:rPr>
                                <w:spacing w:val="-24"/>
                                <w:sz w:val="8"/>
                              </w:rPr>
                              <w:t>NDA</w:t>
                            </w:r>
                          </w:p>
                        </w:txbxContent>
                      </wps:txbx>
                      <wps:bodyPr vert="vert270" wrap="square" lIns="0" tIns="0" rIns="0" bIns="0" rtlCol="0">
                        <a:noAutofit/>
                      </wps:bodyPr>
                    </wps:wsp>
                  </a:graphicData>
                </a:graphic>
              </wp:anchor>
            </w:drawing>
          </mc:Choice>
          <mc:Fallback>
            <w:pict>
              <v:shape w14:anchorId="5C249D96" id="Textbox 96" o:spid="_x0000_s1063" type="#_x0000_t202" style="position:absolute;left:0;text-align:left;margin-left:575.85pt;margin-top:77.45pt;width:6.6pt;height:22.2pt;z-index:251658252;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" filled="f" stroked="f">
                <v:textbox style="layout-flow:vertical;mso-layout-flow-alt:bottom-to-top" inset="0,0,0,0">
                  <w:txbxContent>
                    <w:p w14:paraId="2D9BEA0D" w14:textId="77777777" w:rsidR="0014798C" w:rsidRDefault="004E1F0B">
                      <w:pPr>
                        <w:spacing w:before="19"/>
                        <w:ind w:left="20"/>
                        <w:rPr>
                          <w:sz w:val="8"/>
                        </w:rPr>
                      </w:pPr>
                      <w:r>
                        <w:rPr>
                          <w:color w:val="FFFFFF"/>
                          <w:spacing w:val="-24"/>
                          <w:sz w:val="8"/>
                        </w:rPr>
                        <w:t>I–P</w:t>
                      </w:r>
                      <w:r>
                        <w:rPr>
                          <w:spacing w:val="-24"/>
                          <w:sz w:val="8"/>
                        </w:rPr>
                        <w:t>S</w:t>
                      </w:r>
                      <w:r>
                        <w:rPr>
                          <w:color w:val="FFFFFF"/>
                          <w:spacing w:val="-24"/>
                          <w:sz w:val="8"/>
                        </w:rPr>
                        <w:t>A</w:t>
                      </w:r>
                      <w:r>
                        <w:rPr>
                          <w:spacing w:val="-24"/>
                          <w:sz w:val="8"/>
                        </w:rPr>
                        <w:t>E</w:t>
                      </w:r>
                      <w:r>
                        <w:rPr>
                          <w:color w:val="FFFFFF"/>
                          <w:spacing w:val="-24"/>
                          <w:sz w:val="8"/>
                        </w:rPr>
                        <w:t>R</w:t>
                      </w:r>
                      <w:r>
                        <w:rPr>
                          <w:spacing w:val="-24"/>
                          <w:sz w:val="8"/>
                        </w:rPr>
                        <w:t>G</w:t>
                      </w:r>
                      <w:r>
                        <w:rPr>
                          <w:color w:val="FFFFFF"/>
                          <w:spacing w:val="-24"/>
                          <w:sz w:val="8"/>
                        </w:rPr>
                        <w:t>T</w:t>
                      </w:r>
                      <w:r>
                        <w:rPr>
                          <w:spacing w:val="-24"/>
                          <w:sz w:val="8"/>
                        </w:rPr>
                        <w:t>U</w:t>
                      </w:r>
                      <w:r>
                        <w:rPr>
                          <w:color w:val="FFFFFF"/>
                          <w:spacing w:val="-24"/>
                          <w:sz w:val="8"/>
                        </w:rPr>
                        <w:t>E</w:t>
                      </w:r>
                      <w:r>
                        <w:rPr>
                          <w:spacing w:val="-24"/>
                          <w:sz w:val="8"/>
                        </w:rPr>
                        <w:t>NDA</w:t>
                      </w:r>
                    </w:p>
                  </w:txbxContent>
                </v:textbox>
                <w10:wrap anchorx="page"/>
              </v:shape>
            </w:pict>
          </mc:Fallback>
        </mc:AlternateContent>
      </w:r>
      <w:r>
        <w:rPr>
          <w:sz w:val="14"/>
        </w:rPr>
        <w:t>El cuadro siguiente enumera todos los motivos que han sido reconocidos explícitamente como motivos de discriminación según el derecho</w:t>
      </w:r>
      <w:r>
        <w:rPr>
          <w:spacing w:val="40"/>
          <w:sz w:val="14"/>
        </w:rPr>
        <w:t xml:space="preserve"> </w:t>
      </w:r>
      <w:r>
        <w:rPr>
          <w:sz w:val="14"/>
        </w:rPr>
        <w:t xml:space="preserve">internacional, ya sea mediante su inclusión en uno o más de los instrumentos o la interpretación de </w:t>
      </w:r>
      <w:proofErr w:type="gramStart"/>
      <w:r>
        <w:rPr>
          <w:sz w:val="14"/>
        </w:rPr>
        <w:t>los mismos</w:t>
      </w:r>
      <w:proofErr w:type="gramEnd"/>
      <w:r>
        <w:rPr>
          <w:sz w:val="14"/>
        </w:rPr>
        <w:t xml:space="preserve"> por parte de los órganos de tratados</w:t>
      </w:r>
      <w:r>
        <w:rPr>
          <w:spacing w:val="40"/>
          <w:sz w:val="14"/>
        </w:rPr>
        <w:t xml:space="preserve"> </w:t>
      </w:r>
      <w:r>
        <w:rPr>
          <w:sz w:val="14"/>
        </w:rPr>
        <w:t>competentes. Incluye aquellas características que están explícitamente incluidas en el texto de las disposiciones de no discriminación de los</w:t>
      </w:r>
      <w:r>
        <w:rPr>
          <w:spacing w:val="40"/>
          <w:sz w:val="14"/>
        </w:rPr>
        <w:t xml:space="preserve"> </w:t>
      </w:r>
      <w:r>
        <w:rPr>
          <w:sz w:val="14"/>
        </w:rPr>
        <w:t>principales tratados internacionales de derechos humanos, así como las mencionadas en la observación general núm. 20 (2009) del Comité de</w:t>
      </w:r>
      <w:r>
        <w:rPr>
          <w:spacing w:val="40"/>
          <w:sz w:val="14"/>
        </w:rPr>
        <w:t xml:space="preserve"> </w:t>
      </w:r>
      <w:r>
        <w:rPr>
          <w:sz w:val="14"/>
        </w:rPr>
        <w:t>Derechos Económicos, Sociales y Culturales y Observación general N° 6 (2018) del Comité sobre los Derechos de las Personas con Discapacidad.</w:t>
      </w:r>
      <w:r>
        <w:rPr>
          <w:spacing w:val="40"/>
          <w:sz w:val="14"/>
        </w:rPr>
        <w:t xml:space="preserve"> </w:t>
      </w:r>
      <w:r>
        <w:rPr>
          <w:sz w:val="14"/>
        </w:rPr>
        <w:t>En conjunto, estos comentarios generales capturan muchos de los avances en el reconocimiento de fundamentos en el derecho internacional; sin</w:t>
      </w:r>
      <w:r>
        <w:rPr>
          <w:spacing w:val="40"/>
          <w:sz w:val="14"/>
        </w:rPr>
        <w:t xml:space="preserve"> </w:t>
      </w:r>
      <w:r>
        <w:rPr>
          <w:sz w:val="14"/>
        </w:rPr>
        <w:t>embargo, no reflejan plenamente las normas internacionales ni algunos motivos de discriminación, como el albinismo162 o la condición de defensor</w:t>
      </w:r>
      <w:r>
        <w:rPr>
          <w:spacing w:val="40"/>
          <w:sz w:val="14"/>
        </w:rPr>
        <w:t xml:space="preserve"> </w:t>
      </w:r>
      <w:r>
        <w:rPr>
          <w:sz w:val="14"/>
        </w:rPr>
        <w:t>de los derechos humanos163.</w:t>
      </w:r>
    </w:p>
    <w:p w14:paraId="173A73AB" w14:textId="77777777" w:rsidR="0014798C" w:rsidRDefault="004E1F0B">
      <w:pPr>
        <w:spacing w:before="1" w:line="372" w:lineRule="auto"/>
        <w:ind w:left="1107" w:right="1385" w:hanging="4"/>
        <w:rPr>
          <w:sz w:val="14"/>
        </w:rPr>
      </w:pPr>
      <w:r>
        <w:rPr>
          <w:sz w:val="14"/>
        </w:rPr>
        <w:t>– se omiten, a pesar del claro reconocimiento de su estatus de protección. A este respecto, cabe destacar que el recuadro no pretende ofrecer un</w:t>
      </w:r>
      <w:r>
        <w:rPr>
          <w:spacing w:val="40"/>
          <w:sz w:val="14"/>
        </w:rPr>
        <w:t xml:space="preserve"> </w:t>
      </w:r>
      <w:r>
        <w:rPr>
          <w:sz w:val="14"/>
        </w:rPr>
        <w:t>panorama completo de todos los motivos de discriminación reconocidos en el derecho internacional.</w:t>
      </w:r>
      <w:r>
        <w:rPr>
          <w:spacing w:val="7"/>
          <w:sz w:val="14"/>
        </w:rPr>
        <w:t xml:space="preserve"> </w:t>
      </w:r>
      <w:r>
        <w:rPr>
          <w:sz w:val="14"/>
        </w:rPr>
        <w:t>El hecho de que una característica particular</w:t>
      </w:r>
      <w:r>
        <w:rPr>
          <w:spacing w:val="80"/>
          <w:sz w:val="14"/>
        </w:rPr>
        <w:t xml:space="preserve"> </w:t>
      </w:r>
      <w:r>
        <w:rPr>
          <w:sz w:val="14"/>
        </w:rPr>
        <w:t>no esté enumerada explícitamente en las disposiciones de no discriminación de un tratado no debe interpretarse como una falta de protección164 y</w:t>
      </w:r>
    </w:p>
    <w:p w14:paraId="38741F18" w14:textId="77777777" w:rsidR="0014798C" w:rsidRDefault="004E1F0B">
      <w:pPr>
        <w:spacing w:before="1" w:line="372" w:lineRule="auto"/>
        <w:ind w:left="1111" w:right="1272" w:hanging="5"/>
        <w:rPr>
          <w:sz w:val="14"/>
        </w:rPr>
      </w:pPr>
      <w:r>
        <w:rPr>
          <w:sz w:val="14"/>
        </w:rPr>
        <w:t>es importante que las disposiciones sobre “otras condiciones” se interpreten de manera amplia para garantizar que el derecho a no ser discriminado.</w:t>
      </w:r>
      <w:r>
        <w:rPr>
          <w:spacing w:val="40"/>
          <w:sz w:val="14"/>
        </w:rPr>
        <w:t xml:space="preserve"> </w:t>
      </w:r>
      <w:r>
        <w:rPr>
          <w:sz w:val="14"/>
        </w:rPr>
        <w:t>la discriminación se permite a todos.</w:t>
      </w:r>
    </w:p>
    <w:p w14:paraId="59D9A97E" w14:textId="77777777" w:rsidR="0014798C" w:rsidRDefault="0014798C">
      <w:pPr>
        <w:pStyle w:val="Textoindependiente"/>
        <w:rPr>
          <w:sz w:val="14"/>
        </w:rPr>
      </w:pPr>
    </w:p>
    <w:p w14:paraId="0E483572" w14:textId="77777777" w:rsidR="0014798C" w:rsidRDefault="0014798C">
      <w:pPr>
        <w:pStyle w:val="Textoindependiente"/>
        <w:spacing w:before="147"/>
        <w:rPr>
          <w:sz w:val="14"/>
        </w:rPr>
      </w:pPr>
    </w:p>
    <w:p w14:paraId="033714C2" w14:textId="77777777" w:rsidR="0014798C" w:rsidRDefault="004E1F0B">
      <w:pPr>
        <w:spacing w:before="1"/>
        <w:ind w:left="1335"/>
        <w:rPr>
          <w:sz w:val="14"/>
        </w:rPr>
      </w:pPr>
      <w:r>
        <w:rPr>
          <w:sz w:val="14"/>
        </w:rPr>
        <w:t>MOTIVOS</w:t>
      </w:r>
      <w:r>
        <w:rPr>
          <w:spacing w:val="-6"/>
          <w:sz w:val="14"/>
        </w:rPr>
        <w:t xml:space="preserve"> </w:t>
      </w:r>
      <w:r>
        <w:rPr>
          <w:sz w:val="14"/>
        </w:rPr>
        <w:t>DE</w:t>
      </w:r>
      <w:r>
        <w:rPr>
          <w:spacing w:val="-6"/>
          <w:sz w:val="14"/>
        </w:rPr>
        <w:t xml:space="preserve"> </w:t>
      </w:r>
      <w:r>
        <w:rPr>
          <w:sz w:val="14"/>
        </w:rPr>
        <w:t>DISCRIMINACIÓN</w:t>
      </w:r>
      <w:r>
        <w:rPr>
          <w:spacing w:val="-6"/>
          <w:sz w:val="14"/>
        </w:rPr>
        <w:t xml:space="preserve"> </w:t>
      </w:r>
      <w:r>
        <w:rPr>
          <w:sz w:val="14"/>
        </w:rPr>
        <w:t>RECONOCIDOS</w:t>
      </w:r>
      <w:r>
        <w:rPr>
          <w:spacing w:val="-6"/>
          <w:sz w:val="14"/>
        </w:rPr>
        <w:t xml:space="preserve"> </w:t>
      </w:r>
      <w:r>
        <w:rPr>
          <w:sz w:val="14"/>
        </w:rPr>
        <w:t>POR</w:t>
      </w:r>
      <w:r>
        <w:rPr>
          <w:spacing w:val="-6"/>
          <w:sz w:val="14"/>
        </w:rPr>
        <w:t xml:space="preserve"> </w:t>
      </w:r>
      <w:r>
        <w:rPr>
          <w:sz w:val="14"/>
        </w:rPr>
        <w:t>EL</w:t>
      </w:r>
      <w:r>
        <w:rPr>
          <w:spacing w:val="-6"/>
          <w:sz w:val="14"/>
        </w:rPr>
        <w:t xml:space="preserve"> </w:t>
      </w:r>
      <w:r>
        <w:rPr>
          <w:sz w:val="14"/>
        </w:rPr>
        <w:t>DERECHO</w:t>
      </w:r>
      <w:r>
        <w:rPr>
          <w:spacing w:val="-5"/>
          <w:sz w:val="14"/>
        </w:rPr>
        <w:t xml:space="preserve"> </w:t>
      </w:r>
      <w:r>
        <w:rPr>
          <w:spacing w:val="-2"/>
          <w:sz w:val="14"/>
        </w:rPr>
        <w:t>INTERNACIONAL</w:t>
      </w:r>
    </w:p>
    <w:p w14:paraId="73240EBF" w14:textId="77777777" w:rsidR="0014798C" w:rsidRDefault="0014798C">
      <w:pPr>
        <w:pStyle w:val="Textoindependiente"/>
        <w:spacing w:before="6"/>
        <w:rPr>
          <w:sz w:val="17"/>
        </w:rPr>
      </w:pPr>
    </w:p>
    <w:p w14:paraId="49569F0A" w14:textId="77777777" w:rsidR="0014798C" w:rsidRDefault="0014798C">
      <w:pPr>
        <w:rPr>
          <w:sz w:val="17"/>
        </w:rPr>
        <w:sectPr w:rsidR="0014798C" w:rsidSect="00F265E4">
          <w:pgSz w:w="11900" w:h="16820"/>
          <w:pgMar w:top="340" w:right="0" w:bottom="280" w:left="200" w:header="121" w:footer="0" w:gutter="0"/>
          <w:cols w:space="720"/>
        </w:sectPr>
      </w:pPr>
    </w:p>
    <w:p w14:paraId="1B201189" w14:textId="77777777" w:rsidR="0014798C" w:rsidRDefault="004E1F0B">
      <w:pPr>
        <w:spacing w:before="97"/>
        <w:ind w:left="1332"/>
        <w:rPr>
          <w:sz w:val="14"/>
        </w:rPr>
      </w:pPr>
      <w:r>
        <w:rPr>
          <w:spacing w:val="-4"/>
          <w:sz w:val="14"/>
        </w:rPr>
        <w:t>Edad</w:t>
      </w:r>
    </w:p>
    <w:p w14:paraId="384D7283" w14:textId="77777777" w:rsidR="0014798C" w:rsidRDefault="004E1F0B">
      <w:pPr>
        <w:spacing w:before="150"/>
        <w:ind w:left="1333"/>
        <w:rPr>
          <w:sz w:val="9"/>
        </w:rPr>
      </w:pPr>
      <w:r>
        <w:rPr>
          <w:spacing w:val="-2"/>
          <w:sz w:val="9"/>
        </w:rPr>
        <w:t>Nacimiento</w:t>
      </w:r>
    </w:p>
    <w:p w14:paraId="0E2ED8D8" w14:textId="77777777" w:rsidR="0014798C" w:rsidRDefault="0014798C">
      <w:pPr>
        <w:pStyle w:val="Textoindependiente"/>
        <w:spacing w:before="95"/>
        <w:rPr>
          <w:sz w:val="9"/>
        </w:rPr>
      </w:pPr>
    </w:p>
    <w:p w14:paraId="3641945C" w14:textId="77777777" w:rsidR="0014798C" w:rsidRDefault="004E1F0B">
      <w:pPr>
        <w:spacing w:line="393" w:lineRule="auto"/>
        <w:ind w:left="1338"/>
        <w:rPr>
          <w:sz w:val="14"/>
        </w:rPr>
      </w:pPr>
      <w:r>
        <w:rPr>
          <w:sz w:val="14"/>
        </w:rPr>
        <w:t>Estado</w:t>
      </w:r>
      <w:r>
        <w:rPr>
          <w:spacing w:val="-5"/>
          <w:sz w:val="14"/>
        </w:rPr>
        <w:t xml:space="preserve"> </w:t>
      </w:r>
      <w:r>
        <w:rPr>
          <w:sz w:val="14"/>
        </w:rPr>
        <w:t>civil,</w:t>
      </w:r>
      <w:r>
        <w:rPr>
          <w:spacing w:val="-5"/>
          <w:sz w:val="14"/>
        </w:rPr>
        <w:t xml:space="preserve"> </w:t>
      </w:r>
      <w:r>
        <w:rPr>
          <w:sz w:val="14"/>
        </w:rPr>
        <w:t>familiar</w:t>
      </w:r>
      <w:r>
        <w:rPr>
          <w:spacing w:val="-5"/>
          <w:sz w:val="14"/>
        </w:rPr>
        <w:t xml:space="preserve"> </w:t>
      </w:r>
      <w:r>
        <w:rPr>
          <w:sz w:val="14"/>
        </w:rPr>
        <w:t>o</w:t>
      </w:r>
      <w:r>
        <w:rPr>
          <w:spacing w:val="-5"/>
          <w:sz w:val="14"/>
        </w:rPr>
        <w:t xml:space="preserve"> </w:t>
      </w:r>
      <w:r>
        <w:rPr>
          <w:sz w:val="14"/>
        </w:rPr>
        <w:t>de</w:t>
      </w:r>
      <w:r>
        <w:rPr>
          <w:spacing w:val="-5"/>
          <w:sz w:val="14"/>
        </w:rPr>
        <w:t xml:space="preserve"> </w:t>
      </w:r>
      <w:r>
        <w:rPr>
          <w:sz w:val="14"/>
        </w:rPr>
        <w:t>cuidador</w:t>
      </w:r>
      <w:r>
        <w:rPr>
          <w:spacing w:val="40"/>
          <w:sz w:val="14"/>
        </w:rPr>
        <w:t xml:space="preserve"> </w:t>
      </w:r>
      <w:r>
        <w:rPr>
          <w:spacing w:val="-2"/>
          <w:sz w:val="14"/>
        </w:rPr>
        <w:t>Color</w:t>
      </w:r>
    </w:p>
    <w:p w14:paraId="0CE5689D" w14:textId="77777777" w:rsidR="0014798C" w:rsidRDefault="004E1F0B">
      <w:pPr>
        <w:spacing w:before="84"/>
        <w:ind w:left="1333"/>
        <w:rPr>
          <w:sz w:val="14"/>
        </w:rPr>
      </w:pPr>
      <w:r>
        <w:rPr>
          <w:sz w:val="14"/>
        </w:rPr>
        <w:t>Ascendencia,</w:t>
      </w:r>
      <w:r>
        <w:rPr>
          <w:spacing w:val="-6"/>
          <w:sz w:val="14"/>
        </w:rPr>
        <w:t xml:space="preserve"> </w:t>
      </w:r>
      <w:r>
        <w:rPr>
          <w:sz w:val="14"/>
        </w:rPr>
        <w:t>incluida</w:t>
      </w:r>
      <w:r>
        <w:rPr>
          <w:spacing w:val="-6"/>
          <w:sz w:val="14"/>
        </w:rPr>
        <w:t xml:space="preserve"> </w:t>
      </w:r>
      <w:r>
        <w:rPr>
          <w:sz w:val="14"/>
        </w:rPr>
        <w:t>la</w:t>
      </w:r>
      <w:r>
        <w:rPr>
          <w:spacing w:val="-6"/>
          <w:sz w:val="14"/>
        </w:rPr>
        <w:t xml:space="preserve"> </w:t>
      </w:r>
      <w:r>
        <w:rPr>
          <w:spacing w:val="-2"/>
          <w:sz w:val="14"/>
        </w:rPr>
        <w:t>casta</w:t>
      </w:r>
    </w:p>
    <w:p w14:paraId="57EB04AF" w14:textId="77777777" w:rsidR="0014798C" w:rsidRDefault="004E1F0B">
      <w:pPr>
        <w:spacing w:before="146" w:line="393" w:lineRule="auto"/>
        <w:ind w:left="1333" w:right="923"/>
        <w:rPr>
          <w:sz w:val="14"/>
        </w:rPr>
      </w:pPr>
      <w:r>
        <w:rPr>
          <w:spacing w:val="-2"/>
          <w:sz w:val="14"/>
        </w:rPr>
        <w:t>Discapacidad</w:t>
      </w:r>
      <w:r>
        <w:rPr>
          <w:spacing w:val="40"/>
          <w:sz w:val="14"/>
        </w:rPr>
        <w:t xml:space="preserve"> </w:t>
      </w:r>
      <w:r>
        <w:rPr>
          <w:sz w:val="14"/>
        </w:rPr>
        <w:t>Estatus</w:t>
      </w:r>
      <w:r>
        <w:rPr>
          <w:spacing w:val="-10"/>
          <w:sz w:val="14"/>
        </w:rPr>
        <w:t xml:space="preserve"> </w:t>
      </w:r>
      <w:proofErr w:type="spellStart"/>
      <w:r>
        <w:rPr>
          <w:sz w:val="14"/>
        </w:rPr>
        <w:t>economico</w:t>
      </w:r>
      <w:proofErr w:type="spellEnd"/>
    </w:p>
    <w:p w14:paraId="6E1F8982" w14:textId="77777777" w:rsidR="0014798C" w:rsidRDefault="004E1F0B">
      <w:pPr>
        <w:spacing w:before="84"/>
        <w:ind w:left="1333"/>
        <w:rPr>
          <w:sz w:val="14"/>
        </w:rPr>
      </w:pPr>
      <w:r>
        <w:rPr>
          <w:spacing w:val="-2"/>
          <w:sz w:val="14"/>
        </w:rPr>
        <w:t>Etnicidad</w:t>
      </w:r>
    </w:p>
    <w:p w14:paraId="4AEB3B8F" w14:textId="77777777" w:rsidR="0014798C" w:rsidRDefault="004E1F0B">
      <w:pPr>
        <w:spacing w:before="97" w:line="456" w:lineRule="auto"/>
        <w:ind w:left="1332" w:right="4408"/>
        <w:jc w:val="both"/>
        <w:rPr>
          <w:sz w:val="14"/>
        </w:rPr>
      </w:pPr>
      <w:r>
        <w:br w:type="column"/>
      </w:r>
      <w:r>
        <w:rPr>
          <w:sz w:val="14"/>
        </w:rPr>
        <w:t>estatus</w:t>
      </w:r>
      <w:r>
        <w:rPr>
          <w:spacing w:val="-4"/>
          <w:sz w:val="14"/>
        </w:rPr>
        <w:t xml:space="preserve"> </w:t>
      </w:r>
      <w:r>
        <w:rPr>
          <w:sz w:val="14"/>
        </w:rPr>
        <w:t>migratorio</w:t>
      </w:r>
      <w:r>
        <w:rPr>
          <w:spacing w:val="40"/>
          <w:sz w:val="14"/>
        </w:rPr>
        <w:t xml:space="preserve"> </w:t>
      </w:r>
      <w:r>
        <w:rPr>
          <w:sz w:val="14"/>
        </w:rPr>
        <w:t>Estado</w:t>
      </w:r>
      <w:r>
        <w:rPr>
          <w:spacing w:val="-10"/>
          <w:sz w:val="14"/>
        </w:rPr>
        <w:t xml:space="preserve"> </w:t>
      </w:r>
      <w:r>
        <w:rPr>
          <w:sz w:val="14"/>
        </w:rPr>
        <w:t>de</w:t>
      </w:r>
      <w:r>
        <w:rPr>
          <w:spacing w:val="-10"/>
          <w:sz w:val="14"/>
        </w:rPr>
        <w:t xml:space="preserve"> </w:t>
      </w:r>
      <w:r>
        <w:rPr>
          <w:sz w:val="14"/>
        </w:rPr>
        <w:t>minoría</w:t>
      </w:r>
      <w:r>
        <w:rPr>
          <w:spacing w:val="40"/>
          <w:sz w:val="14"/>
        </w:rPr>
        <w:t xml:space="preserve"> </w:t>
      </w:r>
      <w:r>
        <w:rPr>
          <w:sz w:val="14"/>
        </w:rPr>
        <w:t>origen</w:t>
      </w:r>
      <w:r>
        <w:rPr>
          <w:spacing w:val="-2"/>
          <w:sz w:val="14"/>
        </w:rPr>
        <w:t xml:space="preserve"> </w:t>
      </w:r>
      <w:r>
        <w:rPr>
          <w:sz w:val="14"/>
        </w:rPr>
        <w:t>nacional</w:t>
      </w:r>
    </w:p>
    <w:p w14:paraId="3D58B630" w14:textId="77777777" w:rsidR="0014798C" w:rsidRDefault="004E1F0B">
      <w:pPr>
        <w:spacing w:before="1"/>
        <w:ind w:left="1332"/>
        <w:rPr>
          <w:sz w:val="14"/>
        </w:rPr>
      </w:pPr>
      <w:r>
        <w:rPr>
          <w:spacing w:val="-2"/>
          <w:sz w:val="14"/>
        </w:rPr>
        <w:t>Nacionalidad</w:t>
      </w:r>
    </w:p>
    <w:p w14:paraId="0F523618" w14:textId="77777777" w:rsidR="0014798C" w:rsidRDefault="004E1F0B">
      <w:pPr>
        <w:spacing w:before="84" w:line="468" w:lineRule="auto"/>
        <w:ind w:left="1334" w:right="3716" w:hanging="1"/>
        <w:rPr>
          <w:sz w:val="14"/>
        </w:rPr>
      </w:pPr>
      <w:r>
        <w:rPr>
          <w:sz w:val="16"/>
        </w:rPr>
        <w:t xml:space="preserve">Lugar de residencia </w:t>
      </w:r>
      <w:r>
        <w:rPr>
          <w:sz w:val="14"/>
        </w:rPr>
        <w:t>Opinión</w:t>
      </w:r>
      <w:r>
        <w:rPr>
          <w:spacing w:val="-5"/>
          <w:sz w:val="14"/>
        </w:rPr>
        <w:t xml:space="preserve"> </w:t>
      </w:r>
      <w:r>
        <w:rPr>
          <w:sz w:val="14"/>
        </w:rPr>
        <w:t>política</w:t>
      </w:r>
      <w:r>
        <w:rPr>
          <w:spacing w:val="-5"/>
          <w:sz w:val="14"/>
        </w:rPr>
        <w:t xml:space="preserve"> </w:t>
      </w:r>
      <w:r>
        <w:rPr>
          <w:sz w:val="14"/>
        </w:rPr>
        <w:t>o</w:t>
      </w:r>
      <w:r>
        <w:rPr>
          <w:spacing w:val="-5"/>
          <w:sz w:val="14"/>
        </w:rPr>
        <w:t xml:space="preserve"> </w:t>
      </w:r>
      <w:r>
        <w:rPr>
          <w:sz w:val="14"/>
        </w:rPr>
        <w:t>de</w:t>
      </w:r>
      <w:r>
        <w:rPr>
          <w:spacing w:val="-5"/>
          <w:sz w:val="14"/>
        </w:rPr>
        <w:t xml:space="preserve"> </w:t>
      </w:r>
      <w:r>
        <w:rPr>
          <w:sz w:val="14"/>
        </w:rPr>
        <w:t>otro</w:t>
      </w:r>
      <w:r>
        <w:rPr>
          <w:spacing w:val="-5"/>
          <w:sz w:val="14"/>
        </w:rPr>
        <w:t xml:space="preserve"> </w:t>
      </w:r>
      <w:r>
        <w:rPr>
          <w:sz w:val="14"/>
        </w:rPr>
        <w:t>tipo</w:t>
      </w:r>
      <w:r>
        <w:rPr>
          <w:spacing w:val="40"/>
          <w:sz w:val="14"/>
        </w:rPr>
        <w:t xml:space="preserve"> </w:t>
      </w:r>
      <w:r>
        <w:rPr>
          <w:sz w:val="14"/>
        </w:rPr>
        <w:t>El</w:t>
      </w:r>
      <w:r>
        <w:rPr>
          <w:spacing w:val="-2"/>
          <w:sz w:val="14"/>
        </w:rPr>
        <w:t xml:space="preserve"> </w:t>
      </w:r>
      <w:r>
        <w:rPr>
          <w:sz w:val="14"/>
        </w:rPr>
        <w:t>embarazo</w:t>
      </w:r>
    </w:p>
    <w:p w14:paraId="5FF1E459" w14:textId="77777777" w:rsidR="0014798C" w:rsidRDefault="004E1F0B">
      <w:pPr>
        <w:spacing w:line="155" w:lineRule="exact"/>
        <w:ind w:left="1334"/>
        <w:rPr>
          <w:sz w:val="14"/>
        </w:rPr>
      </w:pPr>
      <w:r>
        <w:rPr>
          <w:spacing w:val="-2"/>
          <w:sz w:val="14"/>
        </w:rPr>
        <w:t>Propiedad</w:t>
      </w:r>
    </w:p>
    <w:p w14:paraId="5DD21BEC" w14:textId="77777777" w:rsidR="0014798C" w:rsidRDefault="0014798C">
      <w:pPr>
        <w:spacing w:line="155" w:lineRule="exact"/>
        <w:rPr>
          <w:sz w:val="14"/>
        </w:rPr>
        <w:sectPr w:rsidR="0014798C" w:rsidSect="00F265E4">
          <w:type w:val="continuous"/>
          <w:pgSz w:w="11900" w:h="16820"/>
          <w:pgMar w:top="40" w:right="0" w:bottom="280" w:left="200" w:header="121" w:footer="0" w:gutter="0"/>
          <w:cols w:num="2" w:space="720" w:equalWidth="0">
            <w:col w:w="3520" w:space="1291"/>
            <w:col w:w="6889"/>
          </w:cols>
        </w:sectPr>
      </w:pPr>
    </w:p>
    <w:p w14:paraId="608614A9" w14:textId="77777777" w:rsidR="0014798C" w:rsidRDefault="004E1F0B">
      <w:pPr>
        <w:tabs>
          <w:tab w:val="left" w:pos="6145"/>
        </w:tabs>
        <w:spacing w:before="124"/>
        <w:ind w:left="1338"/>
        <w:rPr>
          <w:sz w:val="12"/>
        </w:rPr>
      </w:pPr>
      <w:r>
        <w:rPr>
          <w:sz w:val="14"/>
        </w:rPr>
        <w:t>Expresión</w:t>
      </w:r>
      <w:r>
        <w:rPr>
          <w:spacing w:val="-5"/>
          <w:sz w:val="14"/>
        </w:rPr>
        <w:t xml:space="preserve"> </w:t>
      </w:r>
      <w:r>
        <w:rPr>
          <w:sz w:val="14"/>
        </w:rPr>
        <w:t>de</w:t>
      </w:r>
      <w:r>
        <w:rPr>
          <w:spacing w:val="-4"/>
          <w:sz w:val="14"/>
        </w:rPr>
        <w:t xml:space="preserve"> </w:t>
      </w:r>
      <w:r>
        <w:rPr>
          <w:spacing w:val="-2"/>
          <w:sz w:val="14"/>
        </w:rPr>
        <w:t>género</w:t>
      </w:r>
      <w:r>
        <w:rPr>
          <w:sz w:val="14"/>
        </w:rPr>
        <w:tab/>
      </w:r>
      <w:r>
        <w:rPr>
          <w:spacing w:val="-2"/>
          <w:position w:val="4"/>
          <w:sz w:val="12"/>
        </w:rPr>
        <w:t>Carrera</w:t>
      </w:r>
    </w:p>
    <w:p w14:paraId="12D36EC4" w14:textId="77777777" w:rsidR="0014798C" w:rsidRDefault="0014798C">
      <w:pPr>
        <w:rPr>
          <w:sz w:val="12"/>
        </w:rPr>
        <w:sectPr w:rsidR="0014798C" w:rsidSect="00F265E4">
          <w:type w:val="continuous"/>
          <w:pgSz w:w="11900" w:h="16820"/>
          <w:pgMar w:top="40" w:right="0" w:bottom="280" w:left="200" w:header="121" w:footer="0" w:gutter="0"/>
          <w:cols w:space="720"/>
        </w:sectPr>
      </w:pPr>
    </w:p>
    <w:p w14:paraId="544D00BC" w14:textId="77777777" w:rsidR="0014798C" w:rsidRDefault="004E1F0B">
      <w:pPr>
        <w:spacing w:before="145"/>
        <w:ind w:left="1338"/>
        <w:rPr>
          <w:sz w:val="14"/>
        </w:rPr>
      </w:pPr>
      <w:r>
        <w:rPr>
          <w:sz w:val="14"/>
        </w:rPr>
        <w:t>Identidad</w:t>
      </w:r>
      <w:r>
        <w:rPr>
          <w:spacing w:val="-5"/>
          <w:sz w:val="14"/>
        </w:rPr>
        <w:t xml:space="preserve"> </w:t>
      </w:r>
      <w:r>
        <w:rPr>
          <w:sz w:val="14"/>
        </w:rPr>
        <w:t>de</w:t>
      </w:r>
      <w:r>
        <w:rPr>
          <w:spacing w:val="-4"/>
          <w:sz w:val="14"/>
        </w:rPr>
        <w:t xml:space="preserve"> </w:t>
      </w:r>
      <w:r>
        <w:rPr>
          <w:spacing w:val="-2"/>
          <w:sz w:val="14"/>
        </w:rPr>
        <w:t>género</w:t>
      </w:r>
    </w:p>
    <w:p w14:paraId="29221A98" w14:textId="77777777" w:rsidR="0014798C" w:rsidRDefault="004E1F0B">
      <w:pPr>
        <w:spacing w:before="146"/>
        <w:ind w:left="1338"/>
        <w:rPr>
          <w:sz w:val="14"/>
        </w:rPr>
      </w:pPr>
      <w:r>
        <w:rPr>
          <w:sz w:val="14"/>
        </w:rPr>
        <w:t>Predisposición</w:t>
      </w:r>
      <w:r>
        <w:rPr>
          <w:spacing w:val="-4"/>
          <w:sz w:val="14"/>
        </w:rPr>
        <w:t xml:space="preserve"> </w:t>
      </w:r>
      <w:r>
        <w:rPr>
          <w:sz w:val="14"/>
        </w:rPr>
        <w:t>genética</w:t>
      </w:r>
      <w:r>
        <w:rPr>
          <w:spacing w:val="-3"/>
          <w:sz w:val="14"/>
        </w:rPr>
        <w:t xml:space="preserve"> </w:t>
      </w:r>
      <w:r>
        <w:rPr>
          <w:sz w:val="14"/>
        </w:rPr>
        <w:t>o</w:t>
      </w:r>
      <w:r>
        <w:rPr>
          <w:spacing w:val="-4"/>
          <w:sz w:val="14"/>
        </w:rPr>
        <w:t xml:space="preserve"> </w:t>
      </w:r>
      <w:r>
        <w:rPr>
          <w:sz w:val="14"/>
        </w:rPr>
        <w:t>de</w:t>
      </w:r>
      <w:r>
        <w:rPr>
          <w:spacing w:val="-3"/>
          <w:sz w:val="14"/>
        </w:rPr>
        <w:t xml:space="preserve"> </w:t>
      </w:r>
      <w:r>
        <w:rPr>
          <w:sz w:val="14"/>
        </w:rPr>
        <w:t>otro</w:t>
      </w:r>
      <w:r>
        <w:rPr>
          <w:spacing w:val="-4"/>
          <w:sz w:val="14"/>
        </w:rPr>
        <w:t xml:space="preserve"> </w:t>
      </w:r>
      <w:r>
        <w:rPr>
          <w:sz w:val="14"/>
        </w:rPr>
        <w:t>tipo</w:t>
      </w:r>
      <w:r>
        <w:rPr>
          <w:spacing w:val="-3"/>
          <w:sz w:val="14"/>
        </w:rPr>
        <w:t xml:space="preserve"> </w:t>
      </w:r>
      <w:r>
        <w:rPr>
          <w:sz w:val="14"/>
        </w:rPr>
        <w:t>a</w:t>
      </w:r>
      <w:r>
        <w:rPr>
          <w:spacing w:val="-4"/>
          <w:sz w:val="14"/>
        </w:rPr>
        <w:t xml:space="preserve"> </w:t>
      </w:r>
      <w:r>
        <w:rPr>
          <w:sz w:val="14"/>
        </w:rPr>
        <w:t>la</w:t>
      </w:r>
      <w:r>
        <w:rPr>
          <w:spacing w:val="-3"/>
          <w:sz w:val="14"/>
        </w:rPr>
        <w:t xml:space="preserve"> </w:t>
      </w:r>
      <w:r>
        <w:rPr>
          <w:spacing w:val="-2"/>
          <w:sz w:val="14"/>
        </w:rPr>
        <w:t>enfermedad.</w:t>
      </w:r>
    </w:p>
    <w:p w14:paraId="1C62FB15" w14:textId="77777777" w:rsidR="0014798C" w:rsidRDefault="004E1F0B">
      <w:pPr>
        <w:spacing w:before="102"/>
        <w:ind w:left="1333"/>
        <w:rPr>
          <w:sz w:val="14"/>
        </w:rPr>
      </w:pPr>
      <w:r>
        <w:rPr>
          <w:sz w:val="14"/>
        </w:rPr>
        <w:t>Estado</w:t>
      </w:r>
      <w:r>
        <w:rPr>
          <w:spacing w:val="-3"/>
          <w:sz w:val="14"/>
        </w:rPr>
        <w:t xml:space="preserve"> </w:t>
      </w:r>
      <w:r>
        <w:rPr>
          <w:sz w:val="14"/>
        </w:rPr>
        <w:t>de</w:t>
      </w:r>
      <w:r>
        <w:rPr>
          <w:spacing w:val="-3"/>
          <w:sz w:val="14"/>
        </w:rPr>
        <w:t xml:space="preserve"> </w:t>
      </w:r>
      <w:r>
        <w:rPr>
          <w:spacing w:val="-2"/>
          <w:sz w:val="14"/>
        </w:rPr>
        <w:t>salud</w:t>
      </w:r>
    </w:p>
    <w:p w14:paraId="1C472182" w14:textId="77777777" w:rsidR="0014798C" w:rsidRDefault="004E1F0B">
      <w:pPr>
        <w:spacing w:before="49" w:line="300" w:lineRule="atLeast"/>
        <w:ind w:left="1334" w:right="2114" w:hanging="2"/>
        <w:rPr>
          <w:sz w:val="14"/>
        </w:rPr>
      </w:pPr>
      <w:r>
        <w:rPr>
          <w:sz w:val="14"/>
        </w:rPr>
        <w:t>origen</w:t>
      </w:r>
      <w:r>
        <w:rPr>
          <w:spacing w:val="-10"/>
          <w:sz w:val="14"/>
        </w:rPr>
        <w:t xml:space="preserve"> </w:t>
      </w:r>
      <w:r>
        <w:rPr>
          <w:sz w:val="14"/>
        </w:rPr>
        <w:t>indígena</w:t>
      </w:r>
      <w:r>
        <w:rPr>
          <w:spacing w:val="40"/>
          <w:sz w:val="14"/>
        </w:rPr>
        <w:t xml:space="preserve"> </w:t>
      </w:r>
      <w:r>
        <w:rPr>
          <w:spacing w:val="-2"/>
          <w:sz w:val="14"/>
        </w:rPr>
        <w:t>Idioma</w:t>
      </w:r>
    </w:p>
    <w:p w14:paraId="6FDD39A3" w14:textId="77777777" w:rsidR="0014798C" w:rsidRDefault="004E1F0B">
      <w:pPr>
        <w:spacing w:before="109"/>
        <w:ind w:left="1333"/>
        <w:rPr>
          <w:sz w:val="14"/>
        </w:rPr>
      </w:pPr>
      <w:r>
        <w:rPr>
          <w:sz w:val="14"/>
        </w:rPr>
        <w:t>Estado</w:t>
      </w:r>
      <w:r>
        <w:rPr>
          <w:spacing w:val="-5"/>
          <w:sz w:val="14"/>
        </w:rPr>
        <w:t xml:space="preserve"> </w:t>
      </w:r>
      <w:r>
        <w:rPr>
          <w:spacing w:val="-2"/>
          <w:sz w:val="14"/>
        </w:rPr>
        <w:t>civil</w:t>
      </w:r>
    </w:p>
    <w:p w14:paraId="14F91203" w14:textId="77777777" w:rsidR="0014798C" w:rsidRDefault="0014798C">
      <w:pPr>
        <w:pStyle w:val="Textoindependiente"/>
        <w:spacing w:before="27"/>
        <w:rPr>
          <w:sz w:val="14"/>
        </w:rPr>
      </w:pPr>
    </w:p>
    <w:p w14:paraId="3234B0DE" w14:textId="77777777" w:rsidR="0014798C" w:rsidRDefault="004E1F0B">
      <w:pPr>
        <w:ind w:left="1333"/>
        <w:rPr>
          <w:sz w:val="14"/>
        </w:rPr>
      </w:pPr>
      <w:r>
        <w:rPr>
          <w:sz w:val="14"/>
        </w:rPr>
        <w:t>Estado</w:t>
      </w:r>
      <w:r>
        <w:rPr>
          <w:spacing w:val="-4"/>
          <w:sz w:val="14"/>
        </w:rPr>
        <w:t xml:space="preserve"> </w:t>
      </w:r>
      <w:r>
        <w:rPr>
          <w:sz w:val="14"/>
        </w:rPr>
        <w:t>de</w:t>
      </w:r>
      <w:r>
        <w:rPr>
          <w:spacing w:val="-4"/>
          <w:sz w:val="14"/>
        </w:rPr>
        <w:t xml:space="preserve"> </w:t>
      </w:r>
      <w:r>
        <w:rPr>
          <w:sz w:val="14"/>
        </w:rPr>
        <w:t>maternidad</w:t>
      </w:r>
      <w:r>
        <w:rPr>
          <w:spacing w:val="-4"/>
          <w:sz w:val="14"/>
        </w:rPr>
        <w:t xml:space="preserve"> </w:t>
      </w:r>
      <w:r>
        <w:rPr>
          <w:sz w:val="14"/>
        </w:rPr>
        <w:t>o</w:t>
      </w:r>
      <w:r>
        <w:rPr>
          <w:spacing w:val="-3"/>
          <w:sz w:val="14"/>
        </w:rPr>
        <w:t xml:space="preserve"> </w:t>
      </w:r>
      <w:r>
        <w:rPr>
          <w:spacing w:val="-2"/>
          <w:sz w:val="14"/>
        </w:rPr>
        <w:t>paternidad</w:t>
      </w:r>
    </w:p>
    <w:p w14:paraId="2A71FBD5" w14:textId="77777777" w:rsidR="0014798C" w:rsidRDefault="004E1F0B">
      <w:pPr>
        <w:spacing w:before="145" w:line="456" w:lineRule="auto"/>
        <w:ind w:left="1316" w:right="3734"/>
        <w:rPr>
          <w:sz w:val="14"/>
        </w:rPr>
      </w:pPr>
      <w:r>
        <w:br w:type="column"/>
      </w:r>
      <w:r>
        <w:rPr>
          <w:sz w:val="14"/>
        </w:rPr>
        <w:t>Estatus</w:t>
      </w:r>
      <w:r>
        <w:rPr>
          <w:spacing w:val="-7"/>
          <w:sz w:val="14"/>
        </w:rPr>
        <w:t xml:space="preserve"> </w:t>
      </w:r>
      <w:r>
        <w:rPr>
          <w:sz w:val="14"/>
        </w:rPr>
        <w:t>de</w:t>
      </w:r>
      <w:r>
        <w:rPr>
          <w:spacing w:val="-6"/>
          <w:sz w:val="14"/>
        </w:rPr>
        <w:t xml:space="preserve"> </w:t>
      </w:r>
      <w:r>
        <w:rPr>
          <w:sz w:val="14"/>
        </w:rPr>
        <w:t>refugiado</w:t>
      </w:r>
      <w:r>
        <w:rPr>
          <w:spacing w:val="-6"/>
          <w:sz w:val="14"/>
        </w:rPr>
        <w:t xml:space="preserve"> </w:t>
      </w:r>
      <w:r>
        <w:rPr>
          <w:sz w:val="14"/>
        </w:rPr>
        <w:t>o</w:t>
      </w:r>
      <w:r>
        <w:rPr>
          <w:spacing w:val="-6"/>
          <w:sz w:val="14"/>
        </w:rPr>
        <w:t xml:space="preserve"> </w:t>
      </w:r>
      <w:r>
        <w:rPr>
          <w:sz w:val="14"/>
        </w:rPr>
        <w:t>asilo</w:t>
      </w:r>
      <w:r>
        <w:rPr>
          <w:spacing w:val="40"/>
          <w:sz w:val="14"/>
        </w:rPr>
        <w:t xml:space="preserve"> </w:t>
      </w:r>
      <w:r>
        <w:rPr>
          <w:sz w:val="14"/>
        </w:rPr>
        <w:t>Religión o creencia</w:t>
      </w:r>
    </w:p>
    <w:p w14:paraId="71D6E348" w14:textId="77777777" w:rsidR="0014798C" w:rsidRDefault="004E1F0B">
      <w:pPr>
        <w:spacing w:before="1" w:line="393" w:lineRule="auto"/>
        <w:ind w:left="1319" w:right="3734"/>
        <w:rPr>
          <w:sz w:val="14"/>
        </w:rPr>
      </w:pPr>
      <w:r>
        <w:rPr>
          <w:sz w:val="14"/>
        </w:rPr>
        <w:t>Sexo y género</w:t>
      </w:r>
      <w:r>
        <w:rPr>
          <w:spacing w:val="40"/>
          <w:sz w:val="14"/>
        </w:rPr>
        <w:t xml:space="preserve"> </w:t>
      </w:r>
      <w:r>
        <w:rPr>
          <w:sz w:val="14"/>
        </w:rPr>
        <w:t>Características</w:t>
      </w:r>
      <w:r>
        <w:rPr>
          <w:spacing w:val="-10"/>
          <w:sz w:val="14"/>
        </w:rPr>
        <w:t xml:space="preserve"> </w:t>
      </w:r>
      <w:r>
        <w:rPr>
          <w:sz w:val="14"/>
        </w:rPr>
        <w:t>sexuales</w:t>
      </w:r>
    </w:p>
    <w:p w14:paraId="5BDA373E" w14:textId="77777777" w:rsidR="0014798C" w:rsidRDefault="004E1F0B">
      <w:pPr>
        <w:spacing w:before="42"/>
        <w:ind w:left="1319"/>
        <w:rPr>
          <w:sz w:val="14"/>
        </w:rPr>
      </w:pPr>
      <w:r>
        <w:rPr>
          <w:spacing w:val="-2"/>
          <w:sz w:val="14"/>
        </w:rPr>
        <w:t>orientación</w:t>
      </w:r>
      <w:r>
        <w:rPr>
          <w:spacing w:val="12"/>
          <w:sz w:val="14"/>
        </w:rPr>
        <w:t xml:space="preserve"> </w:t>
      </w:r>
      <w:r>
        <w:rPr>
          <w:spacing w:val="-2"/>
          <w:sz w:val="14"/>
        </w:rPr>
        <w:t>sexual</w:t>
      </w:r>
    </w:p>
    <w:p w14:paraId="5D86298D" w14:textId="77777777" w:rsidR="0014798C" w:rsidRDefault="0014798C">
      <w:pPr>
        <w:pStyle w:val="Textoindependiente"/>
        <w:spacing w:before="27"/>
        <w:rPr>
          <w:sz w:val="14"/>
        </w:rPr>
      </w:pPr>
    </w:p>
    <w:p w14:paraId="7EF4F2DD" w14:textId="77777777" w:rsidR="0014798C" w:rsidRDefault="004E1F0B">
      <w:pPr>
        <w:spacing w:line="393" w:lineRule="auto"/>
        <w:ind w:left="1319" w:right="4211"/>
        <w:rPr>
          <w:sz w:val="14"/>
        </w:rPr>
      </w:pPr>
      <w:r>
        <w:rPr>
          <w:sz w:val="14"/>
        </w:rPr>
        <w:t>origen</w:t>
      </w:r>
      <w:r>
        <w:rPr>
          <w:spacing w:val="-2"/>
          <w:sz w:val="14"/>
        </w:rPr>
        <w:t xml:space="preserve"> </w:t>
      </w:r>
      <w:r>
        <w:rPr>
          <w:sz w:val="14"/>
        </w:rPr>
        <w:t>social</w:t>
      </w:r>
      <w:r>
        <w:rPr>
          <w:spacing w:val="40"/>
          <w:sz w:val="14"/>
        </w:rPr>
        <w:t xml:space="preserve"> </w:t>
      </w:r>
      <w:r>
        <w:rPr>
          <w:sz w:val="14"/>
        </w:rPr>
        <w:t>Situación</w:t>
      </w:r>
      <w:r>
        <w:rPr>
          <w:spacing w:val="-10"/>
          <w:sz w:val="14"/>
        </w:rPr>
        <w:t xml:space="preserve"> </w:t>
      </w:r>
      <w:r>
        <w:rPr>
          <w:sz w:val="14"/>
        </w:rPr>
        <w:t>social</w:t>
      </w:r>
    </w:p>
    <w:p w14:paraId="16161707" w14:textId="77777777" w:rsidR="0014798C" w:rsidRDefault="0014798C">
      <w:pPr>
        <w:spacing w:line="393" w:lineRule="auto"/>
        <w:rPr>
          <w:sz w:val="14"/>
        </w:rPr>
        <w:sectPr w:rsidR="0014798C" w:rsidSect="00F265E4">
          <w:type w:val="continuous"/>
          <w:pgSz w:w="11900" w:h="16820"/>
          <w:pgMar w:top="40" w:right="0" w:bottom="280" w:left="200" w:header="121" w:footer="0" w:gutter="0"/>
          <w:cols w:num="2" w:space="720" w:equalWidth="0">
            <w:col w:w="4790" w:space="40"/>
            <w:col w:w="6870"/>
          </w:cols>
        </w:sectPr>
      </w:pPr>
    </w:p>
    <w:p w14:paraId="687E1C11" w14:textId="77777777" w:rsidR="0014798C" w:rsidRDefault="0014798C">
      <w:pPr>
        <w:pStyle w:val="Textoindependiente"/>
        <w:spacing w:before="37"/>
        <w:rPr>
          <w:sz w:val="14"/>
        </w:rPr>
      </w:pPr>
    </w:p>
    <w:p w14:paraId="49079EAD" w14:textId="77777777" w:rsidR="0014798C" w:rsidRDefault="004E1F0B">
      <w:pPr>
        <w:spacing w:line="372" w:lineRule="auto"/>
        <w:ind w:left="1330" w:right="1725" w:firstLine="2"/>
        <w:rPr>
          <w:sz w:val="14"/>
        </w:rPr>
      </w:pPr>
      <w:r>
        <w:rPr>
          <w:sz w:val="14"/>
        </w:rPr>
        <w:t>Además, según el derecho internacional, los Estados deben mantener una lista “abierta” de motivos, incluso prohibiendo la discriminación</w:t>
      </w:r>
      <w:r>
        <w:rPr>
          <w:spacing w:val="40"/>
          <w:sz w:val="14"/>
        </w:rPr>
        <w:t xml:space="preserve"> </w:t>
      </w:r>
      <w:r>
        <w:rPr>
          <w:sz w:val="14"/>
        </w:rPr>
        <w:t>por motivos de “otra condición”.</w:t>
      </w:r>
    </w:p>
    <w:p w14:paraId="641327F2" w14:textId="77777777" w:rsidR="0014798C" w:rsidRDefault="0014798C">
      <w:pPr>
        <w:rPr>
          <w:sz w:val="20"/>
        </w:rPr>
        <w:sectPr w:rsidR="0014798C" w:rsidSect="00F265E4">
          <w:type w:val="continuous"/>
          <w:pgSz w:w="11900" w:h="16820"/>
          <w:pgMar w:top="40" w:right="0" w:bottom="280" w:left="200" w:header="121" w:footer="0" w:gutter="0"/>
          <w:cols w:space="720"/>
        </w:sectPr>
      </w:pPr>
    </w:p>
    <w:p w14:paraId="4DF04D53" w14:textId="77777777" w:rsidR="0014798C" w:rsidRDefault="0014798C">
      <w:pPr>
        <w:pStyle w:val="Textoindependiente"/>
        <w:spacing w:before="9"/>
        <w:rPr>
          <w:sz w:val="8"/>
        </w:rPr>
      </w:pPr>
    </w:p>
    <w:p w14:paraId="16D33DE6" w14:textId="77777777" w:rsidR="0014798C" w:rsidRDefault="004E1F0B">
      <w:pPr>
        <w:spacing w:before="1"/>
        <w:jc w:val="right"/>
        <w:rPr>
          <w:sz w:val="8"/>
        </w:rPr>
      </w:pPr>
      <w:r>
        <w:rPr>
          <w:spacing w:val="-5"/>
          <w:w w:val="105"/>
          <w:sz w:val="8"/>
        </w:rPr>
        <w:t>161</w:t>
      </w:r>
    </w:p>
    <w:p w14:paraId="40FA64BD" w14:textId="77777777" w:rsidR="0014798C" w:rsidRDefault="0014798C">
      <w:pPr>
        <w:pStyle w:val="Textoindependiente"/>
        <w:rPr>
          <w:sz w:val="8"/>
        </w:rPr>
      </w:pPr>
    </w:p>
    <w:p w14:paraId="60F78BBD" w14:textId="77777777" w:rsidR="0014798C" w:rsidRDefault="0014798C">
      <w:pPr>
        <w:pStyle w:val="Textoindependiente"/>
        <w:rPr>
          <w:sz w:val="8"/>
        </w:rPr>
      </w:pPr>
    </w:p>
    <w:p w14:paraId="13B8ACC7" w14:textId="77777777" w:rsidR="0014798C" w:rsidRDefault="0014798C">
      <w:pPr>
        <w:pStyle w:val="Textoindependiente"/>
        <w:rPr>
          <w:sz w:val="8"/>
        </w:rPr>
      </w:pPr>
    </w:p>
    <w:p w14:paraId="2EC8FCFA" w14:textId="77777777" w:rsidR="0014798C" w:rsidRDefault="0014798C">
      <w:pPr>
        <w:pStyle w:val="Textoindependiente"/>
        <w:rPr>
          <w:sz w:val="8"/>
        </w:rPr>
      </w:pPr>
    </w:p>
    <w:p w14:paraId="6F9DBC83" w14:textId="77777777" w:rsidR="0014798C" w:rsidRDefault="0014798C">
      <w:pPr>
        <w:pStyle w:val="Textoindependiente"/>
        <w:rPr>
          <w:sz w:val="8"/>
        </w:rPr>
      </w:pPr>
    </w:p>
    <w:p w14:paraId="1155E88D" w14:textId="77777777" w:rsidR="0014798C" w:rsidRDefault="0014798C">
      <w:pPr>
        <w:pStyle w:val="Textoindependiente"/>
        <w:rPr>
          <w:sz w:val="8"/>
        </w:rPr>
      </w:pPr>
    </w:p>
    <w:p w14:paraId="27C71F8C" w14:textId="77777777" w:rsidR="0014798C" w:rsidRDefault="0014798C">
      <w:pPr>
        <w:pStyle w:val="Textoindependiente"/>
        <w:spacing w:before="39"/>
        <w:rPr>
          <w:sz w:val="8"/>
        </w:rPr>
      </w:pPr>
    </w:p>
    <w:p w14:paraId="1D120BCA" w14:textId="77777777" w:rsidR="0014798C" w:rsidRDefault="004E1F0B">
      <w:pPr>
        <w:spacing w:before="1"/>
        <w:jc w:val="right"/>
        <w:rPr>
          <w:sz w:val="8"/>
        </w:rPr>
      </w:pPr>
      <w:r>
        <w:rPr>
          <w:spacing w:val="-5"/>
          <w:w w:val="105"/>
          <w:sz w:val="8"/>
        </w:rPr>
        <w:t>162</w:t>
      </w:r>
    </w:p>
    <w:p w14:paraId="585AF443" w14:textId="77777777" w:rsidR="0014798C" w:rsidRDefault="004E1F0B">
      <w:pPr>
        <w:spacing w:before="111" w:line="312" w:lineRule="auto"/>
        <w:ind w:left="72" w:right="1602" w:firstLine="4"/>
        <w:rPr>
          <w:sz w:val="12"/>
        </w:rPr>
      </w:pPr>
      <w:r>
        <w:br w:type="column"/>
      </w:r>
      <w:r>
        <w:rPr>
          <w:sz w:val="12"/>
        </w:rPr>
        <w:t>Véase, por ejemplo, Constitución de la India, art. 15 (1), respecto de la discriminación basada en castas; y Constitución de Burundi, art. 22, respecto del estado</w:t>
      </w:r>
      <w:r>
        <w:rPr>
          <w:spacing w:val="40"/>
          <w:sz w:val="12"/>
        </w:rPr>
        <w:t xml:space="preserve"> </w:t>
      </w:r>
      <w:r>
        <w:rPr>
          <w:sz w:val="12"/>
        </w:rPr>
        <w:t>serológico</w:t>
      </w:r>
      <w:r>
        <w:rPr>
          <w:spacing w:val="9"/>
          <w:sz w:val="12"/>
        </w:rPr>
        <w:t xml:space="preserve"> </w:t>
      </w:r>
      <w:r>
        <w:rPr>
          <w:sz w:val="12"/>
        </w:rPr>
        <w:t>respecto</w:t>
      </w:r>
      <w:r>
        <w:rPr>
          <w:spacing w:val="9"/>
          <w:sz w:val="12"/>
        </w:rPr>
        <w:t xml:space="preserve"> </w:t>
      </w:r>
      <w:r>
        <w:rPr>
          <w:sz w:val="12"/>
        </w:rPr>
        <w:t>del</w:t>
      </w:r>
      <w:r>
        <w:rPr>
          <w:spacing w:val="9"/>
          <w:sz w:val="12"/>
        </w:rPr>
        <w:t xml:space="preserve"> </w:t>
      </w:r>
      <w:r>
        <w:rPr>
          <w:sz w:val="12"/>
        </w:rPr>
        <w:t>VIH/SIDA.</w:t>
      </w:r>
      <w:r>
        <w:rPr>
          <w:spacing w:val="9"/>
          <w:sz w:val="12"/>
        </w:rPr>
        <w:t xml:space="preserve"> </w:t>
      </w:r>
      <w:r>
        <w:rPr>
          <w:sz w:val="12"/>
        </w:rPr>
        <w:t>Cada</w:t>
      </w:r>
      <w:r>
        <w:rPr>
          <w:spacing w:val="9"/>
          <w:sz w:val="12"/>
        </w:rPr>
        <w:t xml:space="preserve"> </w:t>
      </w:r>
      <w:r>
        <w:rPr>
          <w:sz w:val="12"/>
        </w:rPr>
        <w:t>uno</w:t>
      </w:r>
      <w:r>
        <w:rPr>
          <w:spacing w:val="9"/>
          <w:sz w:val="12"/>
        </w:rPr>
        <w:t xml:space="preserve"> </w:t>
      </w:r>
      <w:r>
        <w:rPr>
          <w:sz w:val="12"/>
        </w:rPr>
        <w:t>de</w:t>
      </w:r>
      <w:r>
        <w:rPr>
          <w:spacing w:val="9"/>
          <w:sz w:val="12"/>
        </w:rPr>
        <w:t xml:space="preserve"> </w:t>
      </w:r>
      <w:r>
        <w:rPr>
          <w:sz w:val="12"/>
        </w:rPr>
        <w:t>estos</w:t>
      </w:r>
      <w:r>
        <w:rPr>
          <w:spacing w:val="9"/>
          <w:sz w:val="12"/>
        </w:rPr>
        <w:t xml:space="preserve"> </w:t>
      </w:r>
      <w:r>
        <w:rPr>
          <w:sz w:val="12"/>
        </w:rPr>
        <w:t>motivos</w:t>
      </w:r>
      <w:r>
        <w:rPr>
          <w:spacing w:val="9"/>
          <w:sz w:val="12"/>
        </w:rPr>
        <w:t xml:space="preserve"> </w:t>
      </w:r>
      <w:r>
        <w:rPr>
          <w:sz w:val="12"/>
        </w:rPr>
        <w:t>también</w:t>
      </w:r>
      <w:r>
        <w:rPr>
          <w:spacing w:val="9"/>
          <w:sz w:val="12"/>
        </w:rPr>
        <w:t xml:space="preserve"> </w:t>
      </w:r>
      <w:r>
        <w:rPr>
          <w:sz w:val="12"/>
        </w:rPr>
        <w:t>ha</w:t>
      </w:r>
      <w:r>
        <w:rPr>
          <w:spacing w:val="9"/>
          <w:sz w:val="12"/>
        </w:rPr>
        <w:t xml:space="preserve"> </w:t>
      </w:r>
      <w:r>
        <w:rPr>
          <w:sz w:val="12"/>
        </w:rPr>
        <w:t>sido</w:t>
      </w:r>
      <w:r>
        <w:rPr>
          <w:spacing w:val="9"/>
          <w:sz w:val="12"/>
        </w:rPr>
        <w:t xml:space="preserve"> </w:t>
      </w:r>
      <w:r>
        <w:rPr>
          <w:sz w:val="12"/>
        </w:rPr>
        <w:t>reconocido</w:t>
      </w:r>
      <w:r>
        <w:rPr>
          <w:spacing w:val="9"/>
          <w:sz w:val="12"/>
        </w:rPr>
        <w:t xml:space="preserve"> </w:t>
      </w:r>
      <w:r>
        <w:rPr>
          <w:sz w:val="12"/>
        </w:rPr>
        <w:t>en</w:t>
      </w:r>
      <w:r>
        <w:rPr>
          <w:spacing w:val="9"/>
          <w:sz w:val="12"/>
        </w:rPr>
        <w:t xml:space="preserve"> </w:t>
      </w:r>
      <w:r>
        <w:rPr>
          <w:sz w:val="12"/>
        </w:rPr>
        <w:t>el</w:t>
      </w:r>
      <w:r>
        <w:rPr>
          <w:spacing w:val="9"/>
          <w:sz w:val="12"/>
        </w:rPr>
        <w:t xml:space="preserve"> </w:t>
      </w:r>
      <w:r>
        <w:rPr>
          <w:sz w:val="12"/>
        </w:rPr>
        <w:t>derecho</w:t>
      </w:r>
      <w:r>
        <w:rPr>
          <w:spacing w:val="9"/>
          <w:sz w:val="12"/>
        </w:rPr>
        <w:t xml:space="preserve"> </w:t>
      </w:r>
      <w:r>
        <w:rPr>
          <w:sz w:val="12"/>
        </w:rPr>
        <w:t>internacional,</w:t>
      </w:r>
      <w:r>
        <w:rPr>
          <w:spacing w:val="11"/>
          <w:sz w:val="12"/>
        </w:rPr>
        <w:t xml:space="preserve"> </w:t>
      </w:r>
      <w:r>
        <w:rPr>
          <w:sz w:val="12"/>
        </w:rPr>
        <w:t>aunque</w:t>
      </w:r>
      <w:r>
        <w:rPr>
          <w:spacing w:val="9"/>
          <w:sz w:val="12"/>
        </w:rPr>
        <w:t xml:space="preserve"> </w:t>
      </w:r>
      <w:r>
        <w:rPr>
          <w:sz w:val="12"/>
        </w:rPr>
        <w:t>a</w:t>
      </w:r>
      <w:r>
        <w:rPr>
          <w:spacing w:val="9"/>
          <w:sz w:val="12"/>
        </w:rPr>
        <w:t xml:space="preserve"> </w:t>
      </w:r>
      <w:r>
        <w:rPr>
          <w:sz w:val="12"/>
        </w:rPr>
        <w:t>menudo</w:t>
      </w:r>
      <w:r>
        <w:rPr>
          <w:spacing w:val="9"/>
          <w:sz w:val="12"/>
        </w:rPr>
        <w:t xml:space="preserve"> </w:t>
      </w:r>
      <w:r>
        <w:rPr>
          <w:sz w:val="12"/>
        </w:rPr>
        <w:t>se</w:t>
      </w:r>
      <w:r>
        <w:rPr>
          <w:spacing w:val="9"/>
          <w:sz w:val="12"/>
        </w:rPr>
        <w:t xml:space="preserve"> </w:t>
      </w:r>
      <w:r>
        <w:rPr>
          <w:sz w:val="12"/>
        </w:rPr>
        <w:t>consideran</w:t>
      </w:r>
      <w:r>
        <w:rPr>
          <w:spacing w:val="9"/>
          <w:sz w:val="12"/>
        </w:rPr>
        <w:t xml:space="preserve"> </w:t>
      </w:r>
      <w:r>
        <w:rPr>
          <w:sz w:val="12"/>
        </w:rPr>
        <w:t>bajo</w:t>
      </w:r>
      <w:r>
        <w:rPr>
          <w:spacing w:val="40"/>
          <w:sz w:val="12"/>
        </w:rPr>
        <w:t xml:space="preserve"> </w:t>
      </w:r>
      <w:r>
        <w:rPr>
          <w:sz w:val="12"/>
        </w:rPr>
        <w:t>otros títulos como “ascendencia” o “estado de salud”. Véase, por ejemplo, Comité de Derechos Económicos, Sociales y Culturales, observación general núm. 20</w:t>
      </w:r>
      <w:r>
        <w:rPr>
          <w:spacing w:val="40"/>
          <w:sz w:val="12"/>
        </w:rPr>
        <w:t xml:space="preserve"> </w:t>
      </w:r>
      <w:r>
        <w:rPr>
          <w:sz w:val="12"/>
        </w:rPr>
        <w:t xml:space="preserve">(2009), </w:t>
      </w:r>
      <w:proofErr w:type="spellStart"/>
      <w:r>
        <w:rPr>
          <w:sz w:val="12"/>
        </w:rPr>
        <w:t>párrs</w:t>
      </w:r>
      <w:proofErr w:type="spellEnd"/>
      <w:r>
        <w:rPr>
          <w:sz w:val="12"/>
        </w:rPr>
        <w:t>. 26 y 33.</w:t>
      </w:r>
    </w:p>
    <w:p w14:paraId="34598ACD" w14:textId="77777777" w:rsidR="0014798C" w:rsidRDefault="004E1F0B">
      <w:pPr>
        <w:spacing w:before="58" w:line="312" w:lineRule="auto"/>
        <w:ind w:left="79" w:right="2414" w:hanging="5"/>
        <w:rPr>
          <w:sz w:val="12"/>
        </w:rPr>
      </w:pPr>
      <w:r>
        <w:rPr>
          <w:sz w:val="12"/>
        </w:rPr>
        <w:t xml:space="preserve">Sin embargo, este motivo a veces se considera bajo otros títulos, como el color o la discapacidad. </w:t>
      </w:r>
      <w:proofErr w:type="spellStart"/>
      <w:r w:rsidRPr="00537489">
        <w:rPr>
          <w:sz w:val="12"/>
          <w:lang w:val="en-US"/>
        </w:rPr>
        <w:t>Véase</w:t>
      </w:r>
      <w:proofErr w:type="spellEnd"/>
      <w:r w:rsidRPr="00537489">
        <w:rPr>
          <w:sz w:val="12"/>
          <w:lang w:val="en-US"/>
        </w:rPr>
        <w:t xml:space="preserve"> E/C.12/GIN/CO/1, </w:t>
      </w:r>
      <w:proofErr w:type="spellStart"/>
      <w:r w:rsidRPr="00537489">
        <w:rPr>
          <w:sz w:val="12"/>
          <w:lang w:val="en-US"/>
        </w:rPr>
        <w:t>párr</w:t>
      </w:r>
      <w:proofErr w:type="spellEnd"/>
      <w:r w:rsidRPr="00537489">
        <w:rPr>
          <w:sz w:val="12"/>
          <w:lang w:val="en-US"/>
        </w:rPr>
        <w:t>. 18</w:t>
      </w:r>
      <w:r>
        <w:rPr>
          <w:sz w:val="12"/>
        </w:rPr>
        <w:t>;</w:t>
      </w:r>
      <w:r w:rsidRPr="00537489">
        <w:rPr>
          <w:spacing w:val="40"/>
          <w:sz w:val="12"/>
          <w:lang w:val="en-US"/>
        </w:rPr>
        <w:t xml:space="preserve"> </w:t>
      </w:r>
      <w:r w:rsidRPr="00537489">
        <w:rPr>
          <w:sz w:val="12"/>
          <w:lang w:val="en-US"/>
        </w:rPr>
        <w:t>CCPR/C/AGO/CO/2,</w:t>
      </w:r>
      <w:r w:rsidRPr="00537489">
        <w:rPr>
          <w:spacing w:val="-9"/>
          <w:sz w:val="12"/>
          <w:lang w:val="en-US"/>
        </w:rPr>
        <w:t xml:space="preserve"> </w:t>
      </w:r>
      <w:proofErr w:type="spellStart"/>
      <w:r w:rsidRPr="00537489">
        <w:rPr>
          <w:sz w:val="12"/>
          <w:lang w:val="en-US"/>
        </w:rPr>
        <w:t>párrs</w:t>
      </w:r>
      <w:proofErr w:type="spellEnd"/>
      <w:r w:rsidRPr="00537489">
        <w:rPr>
          <w:sz w:val="12"/>
          <w:lang w:val="en-US"/>
        </w:rPr>
        <w:t>.</w:t>
      </w:r>
      <w:r w:rsidRPr="00537489">
        <w:rPr>
          <w:spacing w:val="-7"/>
          <w:sz w:val="12"/>
          <w:lang w:val="en-US"/>
        </w:rPr>
        <w:t xml:space="preserve"> </w:t>
      </w:r>
      <w:r w:rsidRPr="00537489">
        <w:rPr>
          <w:sz w:val="12"/>
          <w:lang w:val="en-US"/>
        </w:rPr>
        <w:t>13–14</w:t>
      </w:r>
      <w:r>
        <w:rPr>
          <w:sz w:val="12"/>
        </w:rPr>
        <w:t>;</w:t>
      </w:r>
      <w:r w:rsidRPr="00537489">
        <w:rPr>
          <w:spacing w:val="-9"/>
          <w:sz w:val="12"/>
          <w:lang w:val="en-US"/>
        </w:rPr>
        <w:t xml:space="preserve"> </w:t>
      </w:r>
      <w:r w:rsidRPr="00537489">
        <w:rPr>
          <w:sz w:val="12"/>
          <w:lang w:val="en-US"/>
        </w:rPr>
        <w:t>CEDAW/C/ETH/CO/8,</w:t>
      </w:r>
      <w:r w:rsidRPr="00537489">
        <w:rPr>
          <w:spacing w:val="-8"/>
          <w:sz w:val="12"/>
          <w:lang w:val="en-US"/>
        </w:rPr>
        <w:t xml:space="preserve"> </w:t>
      </w:r>
      <w:proofErr w:type="spellStart"/>
      <w:r w:rsidRPr="00537489">
        <w:rPr>
          <w:sz w:val="12"/>
          <w:lang w:val="en-US"/>
        </w:rPr>
        <w:t>párr</w:t>
      </w:r>
      <w:proofErr w:type="spellEnd"/>
      <w:r w:rsidRPr="00537489">
        <w:rPr>
          <w:sz w:val="12"/>
          <w:lang w:val="en-US"/>
        </w:rPr>
        <w:t>.</w:t>
      </w:r>
      <w:r w:rsidRPr="00537489">
        <w:rPr>
          <w:spacing w:val="-7"/>
          <w:sz w:val="12"/>
          <w:lang w:val="en-US"/>
        </w:rPr>
        <w:t xml:space="preserve"> </w:t>
      </w:r>
      <w:r w:rsidRPr="00537489">
        <w:rPr>
          <w:sz w:val="12"/>
          <w:lang w:val="en-US"/>
        </w:rPr>
        <w:t>21</w:t>
      </w:r>
      <w:r>
        <w:rPr>
          <w:sz w:val="12"/>
        </w:rPr>
        <w:t>;</w:t>
      </w:r>
      <w:r w:rsidRPr="00537489">
        <w:rPr>
          <w:spacing w:val="-9"/>
          <w:sz w:val="12"/>
          <w:lang w:val="en-US"/>
        </w:rPr>
        <w:t xml:space="preserve"> </w:t>
      </w:r>
      <w:r w:rsidRPr="00537489">
        <w:rPr>
          <w:sz w:val="12"/>
          <w:lang w:val="en-US"/>
        </w:rPr>
        <w:t>CERD/C/ZMB/CO/17-19,</w:t>
      </w:r>
      <w:r w:rsidRPr="00537489">
        <w:rPr>
          <w:spacing w:val="-7"/>
          <w:sz w:val="12"/>
          <w:lang w:val="en-US"/>
        </w:rPr>
        <w:t xml:space="preserve"> </w:t>
      </w:r>
      <w:proofErr w:type="spellStart"/>
      <w:r w:rsidRPr="00537489">
        <w:rPr>
          <w:sz w:val="12"/>
          <w:lang w:val="en-US"/>
        </w:rPr>
        <w:t>párrs</w:t>
      </w:r>
      <w:proofErr w:type="spellEnd"/>
      <w:r w:rsidRPr="00537489">
        <w:rPr>
          <w:sz w:val="12"/>
          <w:lang w:val="en-US"/>
        </w:rPr>
        <w:t>.</w:t>
      </w:r>
      <w:r w:rsidRPr="00537489">
        <w:rPr>
          <w:spacing w:val="-8"/>
          <w:sz w:val="12"/>
          <w:lang w:val="en-US"/>
        </w:rPr>
        <w:t xml:space="preserve"> </w:t>
      </w:r>
      <w:r>
        <w:rPr>
          <w:sz w:val="12"/>
        </w:rPr>
        <w:t>29–30;</w:t>
      </w:r>
      <w:r>
        <w:rPr>
          <w:spacing w:val="-8"/>
          <w:sz w:val="12"/>
        </w:rPr>
        <w:t xml:space="preserve"> </w:t>
      </w:r>
      <w:r>
        <w:rPr>
          <w:sz w:val="12"/>
        </w:rPr>
        <w:t>y</w:t>
      </w:r>
      <w:r>
        <w:rPr>
          <w:spacing w:val="-9"/>
          <w:sz w:val="12"/>
        </w:rPr>
        <w:t xml:space="preserve"> </w:t>
      </w:r>
      <w:r>
        <w:rPr>
          <w:sz w:val="12"/>
        </w:rPr>
        <w:t>CRPD/C/SEN/CO/1,</w:t>
      </w:r>
      <w:r>
        <w:rPr>
          <w:spacing w:val="-8"/>
          <w:sz w:val="12"/>
        </w:rPr>
        <w:t xml:space="preserve"> </w:t>
      </w:r>
      <w:proofErr w:type="spellStart"/>
      <w:r>
        <w:rPr>
          <w:sz w:val="12"/>
        </w:rPr>
        <w:t>párrs</w:t>
      </w:r>
      <w:proofErr w:type="spellEnd"/>
      <w:r>
        <w:rPr>
          <w:sz w:val="12"/>
        </w:rPr>
        <w:t>.</w:t>
      </w:r>
      <w:r>
        <w:rPr>
          <w:spacing w:val="-7"/>
          <w:sz w:val="12"/>
        </w:rPr>
        <w:t xml:space="preserve"> </w:t>
      </w:r>
      <w:r>
        <w:rPr>
          <w:sz w:val="12"/>
        </w:rPr>
        <w:t>7–8.</w:t>
      </w:r>
    </w:p>
    <w:p w14:paraId="6A2EB9DB" w14:textId="77777777" w:rsidR="0014798C" w:rsidRDefault="0014798C">
      <w:pPr>
        <w:spacing w:line="312" w:lineRule="auto"/>
        <w:rPr>
          <w:sz w:val="12"/>
        </w:rPr>
        <w:sectPr w:rsidR="0014798C" w:rsidSect="00F265E4">
          <w:type w:val="continuous"/>
          <w:pgSz w:w="11900" w:h="16820"/>
          <w:pgMar w:top="40" w:right="0" w:bottom="280" w:left="200" w:header="121" w:footer="0" w:gutter="0"/>
          <w:cols w:num="2" w:space="720" w:equalWidth="0">
            <w:col w:w="1253" w:space="40"/>
            <w:col w:w="10407"/>
          </w:cols>
        </w:sectPr>
      </w:pPr>
    </w:p>
    <w:p w14:paraId="1D9CE92B" w14:textId="77777777" w:rsidR="0014798C" w:rsidRDefault="0014798C">
      <w:pPr>
        <w:pStyle w:val="Textoindependiente"/>
        <w:rPr>
          <w:sz w:val="10"/>
        </w:rPr>
      </w:pPr>
    </w:p>
    <w:p w14:paraId="27A9CB99" w14:textId="77777777" w:rsidR="0014798C" w:rsidRDefault="0014798C">
      <w:pPr>
        <w:pStyle w:val="Textoindependiente"/>
        <w:spacing w:before="26"/>
        <w:rPr>
          <w:sz w:val="10"/>
        </w:rPr>
      </w:pPr>
    </w:p>
    <w:p w14:paraId="37F4702B" w14:textId="77777777" w:rsidR="0014798C" w:rsidRDefault="004E1F0B">
      <w:pPr>
        <w:pStyle w:val="Prrafodelista"/>
        <w:numPr>
          <w:ilvl w:val="0"/>
          <w:numId w:val="83"/>
        </w:numPr>
        <w:tabs>
          <w:tab w:val="left" w:pos="1305"/>
        </w:tabs>
        <w:ind w:left="1305" w:hanging="194"/>
        <w:rPr>
          <w:sz w:val="10"/>
        </w:rPr>
      </w:pPr>
      <w:r>
        <w:rPr>
          <w:sz w:val="10"/>
        </w:rPr>
        <w:t>Véase</w:t>
      </w:r>
      <w:r>
        <w:rPr>
          <w:spacing w:val="-3"/>
          <w:sz w:val="10"/>
        </w:rPr>
        <w:t xml:space="preserve"> </w:t>
      </w:r>
      <w:r>
        <w:rPr>
          <w:sz w:val="10"/>
        </w:rPr>
        <w:t>ACNUDH,</w:t>
      </w:r>
      <w:r>
        <w:rPr>
          <w:spacing w:val="-2"/>
          <w:sz w:val="10"/>
        </w:rPr>
        <w:t xml:space="preserve"> </w:t>
      </w:r>
      <w:r>
        <w:rPr>
          <w:sz w:val="10"/>
        </w:rPr>
        <w:t>“20º</w:t>
      </w:r>
      <w:r>
        <w:rPr>
          <w:spacing w:val="-3"/>
          <w:sz w:val="10"/>
        </w:rPr>
        <w:t xml:space="preserve"> </w:t>
      </w:r>
      <w:r>
        <w:rPr>
          <w:sz w:val="10"/>
        </w:rPr>
        <w:t>aniversario</w:t>
      </w:r>
      <w:r>
        <w:rPr>
          <w:spacing w:val="-2"/>
          <w:sz w:val="10"/>
        </w:rPr>
        <w:t xml:space="preserve"> </w:t>
      </w:r>
      <w:r>
        <w:rPr>
          <w:sz w:val="10"/>
        </w:rPr>
        <w:t>de</w:t>
      </w:r>
      <w:r>
        <w:rPr>
          <w:spacing w:val="-3"/>
          <w:sz w:val="10"/>
        </w:rPr>
        <w:t xml:space="preserve"> </w:t>
      </w:r>
      <w:r>
        <w:rPr>
          <w:sz w:val="10"/>
        </w:rPr>
        <w:t>la</w:t>
      </w:r>
      <w:r>
        <w:rPr>
          <w:spacing w:val="-2"/>
          <w:sz w:val="10"/>
        </w:rPr>
        <w:t xml:space="preserve"> </w:t>
      </w:r>
      <w:r>
        <w:rPr>
          <w:sz w:val="10"/>
        </w:rPr>
        <w:t>Declaración</w:t>
      </w:r>
      <w:r>
        <w:rPr>
          <w:spacing w:val="-3"/>
          <w:sz w:val="10"/>
        </w:rPr>
        <w:t xml:space="preserve"> </w:t>
      </w:r>
      <w:r>
        <w:rPr>
          <w:sz w:val="10"/>
        </w:rPr>
        <w:t>de</w:t>
      </w:r>
      <w:r>
        <w:rPr>
          <w:spacing w:val="-2"/>
          <w:sz w:val="10"/>
        </w:rPr>
        <w:t xml:space="preserve"> </w:t>
      </w:r>
      <w:r>
        <w:rPr>
          <w:sz w:val="10"/>
        </w:rPr>
        <w:t>las</w:t>
      </w:r>
      <w:r>
        <w:rPr>
          <w:spacing w:val="-3"/>
          <w:sz w:val="10"/>
        </w:rPr>
        <w:t xml:space="preserve"> </w:t>
      </w:r>
      <w:r>
        <w:rPr>
          <w:sz w:val="10"/>
        </w:rPr>
        <w:t>Naciones</w:t>
      </w:r>
      <w:r>
        <w:rPr>
          <w:spacing w:val="-2"/>
          <w:sz w:val="10"/>
        </w:rPr>
        <w:t xml:space="preserve"> </w:t>
      </w:r>
      <w:r>
        <w:rPr>
          <w:sz w:val="10"/>
        </w:rPr>
        <w:t>Unidas</w:t>
      </w:r>
      <w:r>
        <w:rPr>
          <w:spacing w:val="-3"/>
          <w:sz w:val="10"/>
        </w:rPr>
        <w:t xml:space="preserve"> </w:t>
      </w:r>
      <w:r>
        <w:rPr>
          <w:sz w:val="10"/>
        </w:rPr>
        <w:t>sobre</w:t>
      </w:r>
      <w:r>
        <w:rPr>
          <w:spacing w:val="-2"/>
          <w:sz w:val="10"/>
        </w:rPr>
        <w:t xml:space="preserve"> </w:t>
      </w:r>
      <w:r>
        <w:rPr>
          <w:sz w:val="10"/>
        </w:rPr>
        <w:t>los</w:t>
      </w:r>
      <w:r>
        <w:rPr>
          <w:spacing w:val="-3"/>
          <w:sz w:val="10"/>
        </w:rPr>
        <w:t xml:space="preserve"> </w:t>
      </w:r>
      <w:r>
        <w:rPr>
          <w:sz w:val="10"/>
        </w:rPr>
        <w:t>Defensores</w:t>
      </w:r>
      <w:r>
        <w:rPr>
          <w:spacing w:val="-2"/>
          <w:sz w:val="10"/>
        </w:rPr>
        <w:t xml:space="preserve"> </w:t>
      </w:r>
      <w:r>
        <w:rPr>
          <w:sz w:val="10"/>
        </w:rPr>
        <w:t>de</w:t>
      </w:r>
      <w:r>
        <w:rPr>
          <w:spacing w:val="-3"/>
          <w:sz w:val="10"/>
        </w:rPr>
        <w:t xml:space="preserve"> </w:t>
      </w:r>
      <w:r>
        <w:rPr>
          <w:sz w:val="10"/>
        </w:rPr>
        <w:t>los</w:t>
      </w:r>
      <w:r>
        <w:rPr>
          <w:spacing w:val="-2"/>
          <w:sz w:val="10"/>
        </w:rPr>
        <w:t xml:space="preserve"> </w:t>
      </w:r>
      <w:r>
        <w:rPr>
          <w:sz w:val="10"/>
        </w:rPr>
        <w:t>Derechos</w:t>
      </w:r>
      <w:r>
        <w:rPr>
          <w:spacing w:val="-3"/>
          <w:sz w:val="10"/>
        </w:rPr>
        <w:t xml:space="preserve"> </w:t>
      </w:r>
      <w:r>
        <w:rPr>
          <w:sz w:val="10"/>
        </w:rPr>
        <w:t>Humanos”,</w:t>
      </w:r>
      <w:r>
        <w:rPr>
          <w:spacing w:val="-2"/>
          <w:sz w:val="10"/>
        </w:rPr>
        <w:t xml:space="preserve"> </w:t>
      </w:r>
      <w:r>
        <w:rPr>
          <w:sz w:val="10"/>
        </w:rPr>
        <w:t>30</w:t>
      </w:r>
      <w:r>
        <w:rPr>
          <w:spacing w:val="-3"/>
          <w:sz w:val="10"/>
        </w:rPr>
        <w:t xml:space="preserve"> </w:t>
      </w:r>
      <w:r>
        <w:rPr>
          <w:sz w:val="10"/>
        </w:rPr>
        <w:t>de</w:t>
      </w:r>
      <w:r>
        <w:rPr>
          <w:spacing w:val="-2"/>
          <w:sz w:val="10"/>
        </w:rPr>
        <w:t xml:space="preserve"> </w:t>
      </w:r>
      <w:r>
        <w:rPr>
          <w:sz w:val="10"/>
        </w:rPr>
        <w:t>mayo</w:t>
      </w:r>
      <w:r>
        <w:rPr>
          <w:spacing w:val="-3"/>
          <w:sz w:val="10"/>
        </w:rPr>
        <w:t xml:space="preserve"> </w:t>
      </w:r>
      <w:r>
        <w:rPr>
          <w:sz w:val="10"/>
        </w:rPr>
        <w:t>de</w:t>
      </w:r>
      <w:r>
        <w:rPr>
          <w:spacing w:val="-2"/>
          <w:sz w:val="10"/>
        </w:rPr>
        <w:t xml:space="preserve"> 2018.</w:t>
      </w:r>
    </w:p>
    <w:p w14:paraId="377FF551" w14:textId="77777777" w:rsidR="0014798C" w:rsidRDefault="004E1F0B">
      <w:pPr>
        <w:pStyle w:val="Prrafodelista"/>
        <w:numPr>
          <w:ilvl w:val="0"/>
          <w:numId w:val="83"/>
        </w:numPr>
        <w:tabs>
          <w:tab w:val="left" w:pos="1347"/>
          <w:tab w:val="left" w:pos="1366"/>
        </w:tabs>
        <w:spacing w:before="103" w:line="312" w:lineRule="auto"/>
        <w:ind w:left="1366" w:right="1643" w:hanging="256"/>
        <w:rPr>
          <w:sz w:val="12"/>
        </w:rPr>
      </w:pPr>
      <w:r>
        <w:rPr>
          <w:sz w:val="12"/>
        </w:rPr>
        <w:t>De</w:t>
      </w:r>
      <w:r>
        <w:rPr>
          <w:spacing w:val="10"/>
          <w:sz w:val="12"/>
        </w:rPr>
        <w:t xml:space="preserve"> </w:t>
      </w:r>
      <w:r>
        <w:rPr>
          <w:sz w:val="12"/>
        </w:rPr>
        <w:t>hecho,</w:t>
      </w:r>
      <w:r>
        <w:rPr>
          <w:spacing w:val="12"/>
          <w:sz w:val="12"/>
        </w:rPr>
        <w:t xml:space="preserve"> </w:t>
      </w:r>
      <w:r>
        <w:rPr>
          <w:sz w:val="12"/>
        </w:rPr>
        <w:t>como</w:t>
      </w:r>
      <w:r>
        <w:rPr>
          <w:spacing w:val="10"/>
          <w:sz w:val="12"/>
        </w:rPr>
        <w:t xml:space="preserve"> </w:t>
      </w:r>
      <w:r>
        <w:rPr>
          <w:sz w:val="12"/>
        </w:rPr>
        <w:t>se</w:t>
      </w:r>
      <w:r>
        <w:rPr>
          <w:spacing w:val="10"/>
          <w:sz w:val="12"/>
        </w:rPr>
        <w:t xml:space="preserve"> </w:t>
      </w:r>
      <w:r>
        <w:rPr>
          <w:sz w:val="12"/>
        </w:rPr>
        <w:t>señaló</w:t>
      </w:r>
      <w:r>
        <w:rPr>
          <w:spacing w:val="10"/>
          <w:sz w:val="12"/>
        </w:rPr>
        <w:t xml:space="preserve"> </w:t>
      </w:r>
      <w:r>
        <w:rPr>
          <w:sz w:val="12"/>
        </w:rPr>
        <w:t>anteriormente,</w:t>
      </w:r>
      <w:r>
        <w:rPr>
          <w:spacing w:val="12"/>
          <w:sz w:val="12"/>
        </w:rPr>
        <w:t xml:space="preserve"> </w:t>
      </w:r>
      <w:r>
        <w:rPr>
          <w:sz w:val="12"/>
        </w:rPr>
        <w:t>en</w:t>
      </w:r>
      <w:r>
        <w:rPr>
          <w:spacing w:val="10"/>
          <w:sz w:val="12"/>
        </w:rPr>
        <w:t xml:space="preserve"> </w:t>
      </w:r>
      <w:r>
        <w:rPr>
          <w:sz w:val="12"/>
        </w:rPr>
        <w:t>la</w:t>
      </w:r>
      <w:r>
        <w:rPr>
          <w:spacing w:val="10"/>
          <w:sz w:val="12"/>
        </w:rPr>
        <w:t xml:space="preserve"> </w:t>
      </w:r>
      <w:r>
        <w:rPr>
          <w:sz w:val="12"/>
        </w:rPr>
        <w:t>Observación</w:t>
      </w:r>
      <w:r>
        <w:rPr>
          <w:spacing w:val="10"/>
          <w:sz w:val="12"/>
        </w:rPr>
        <w:t xml:space="preserve"> </w:t>
      </w:r>
      <w:r>
        <w:rPr>
          <w:sz w:val="12"/>
        </w:rPr>
        <w:t>general</w:t>
      </w:r>
      <w:r>
        <w:rPr>
          <w:spacing w:val="10"/>
          <w:sz w:val="12"/>
        </w:rPr>
        <w:t xml:space="preserve"> </w:t>
      </w:r>
      <w:r>
        <w:rPr>
          <w:sz w:val="12"/>
        </w:rPr>
        <w:t>núm.</w:t>
      </w:r>
      <w:r>
        <w:rPr>
          <w:spacing w:val="12"/>
          <w:sz w:val="12"/>
        </w:rPr>
        <w:t xml:space="preserve"> </w:t>
      </w:r>
      <w:r>
        <w:rPr>
          <w:sz w:val="12"/>
        </w:rPr>
        <w:t>20</w:t>
      </w:r>
      <w:r>
        <w:rPr>
          <w:spacing w:val="10"/>
          <w:sz w:val="12"/>
        </w:rPr>
        <w:t xml:space="preserve"> </w:t>
      </w:r>
      <w:r>
        <w:rPr>
          <w:sz w:val="12"/>
        </w:rPr>
        <w:t>(2009)</w:t>
      </w:r>
      <w:r>
        <w:rPr>
          <w:spacing w:val="10"/>
          <w:sz w:val="12"/>
        </w:rPr>
        <w:t xml:space="preserve"> </w:t>
      </w:r>
      <w:r>
        <w:rPr>
          <w:sz w:val="12"/>
        </w:rPr>
        <w:t>del</w:t>
      </w:r>
      <w:r>
        <w:rPr>
          <w:spacing w:val="10"/>
          <w:sz w:val="12"/>
        </w:rPr>
        <w:t xml:space="preserve"> </w:t>
      </w:r>
      <w:r>
        <w:rPr>
          <w:sz w:val="12"/>
        </w:rPr>
        <w:t>Comité</w:t>
      </w:r>
      <w:r>
        <w:rPr>
          <w:spacing w:val="10"/>
          <w:sz w:val="12"/>
        </w:rPr>
        <w:t xml:space="preserve"> </w:t>
      </w:r>
      <w:r>
        <w:rPr>
          <w:sz w:val="12"/>
        </w:rPr>
        <w:t>de</w:t>
      </w:r>
      <w:r>
        <w:rPr>
          <w:spacing w:val="10"/>
          <w:sz w:val="12"/>
        </w:rPr>
        <w:t xml:space="preserve"> </w:t>
      </w:r>
      <w:r>
        <w:rPr>
          <w:sz w:val="12"/>
        </w:rPr>
        <w:t>Derechos</w:t>
      </w:r>
      <w:r>
        <w:rPr>
          <w:spacing w:val="10"/>
          <w:sz w:val="12"/>
        </w:rPr>
        <w:t xml:space="preserve"> </w:t>
      </w:r>
      <w:r>
        <w:rPr>
          <w:sz w:val="12"/>
        </w:rPr>
        <w:t>Económicos,</w:t>
      </w:r>
      <w:r>
        <w:rPr>
          <w:spacing w:val="12"/>
          <w:sz w:val="12"/>
        </w:rPr>
        <w:t xml:space="preserve"> </w:t>
      </w:r>
      <w:r>
        <w:rPr>
          <w:sz w:val="12"/>
        </w:rPr>
        <w:t>Sociales</w:t>
      </w:r>
      <w:r>
        <w:rPr>
          <w:spacing w:val="10"/>
          <w:sz w:val="12"/>
        </w:rPr>
        <w:t xml:space="preserve"> </w:t>
      </w:r>
      <w:r>
        <w:rPr>
          <w:sz w:val="12"/>
        </w:rPr>
        <w:t>y</w:t>
      </w:r>
      <w:r>
        <w:rPr>
          <w:spacing w:val="10"/>
          <w:sz w:val="12"/>
        </w:rPr>
        <w:t xml:space="preserve"> </w:t>
      </w:r>
      <w:r>
        <w:rPr>
          <w:sz w:val="12"/>
        </w:rPr>
        <w:t>Culturales,</w:t>
      </w:r>
      <w:r>
        <w:rPr>
          <w:spacing w:val="12"/>
          <w:sz w:val="12"/>
        </w:rPr>
        <w:t xml:space="preserve"> </w:t>
      </w:r>
      <w:r>
        <w:rPr>
          <w:sz w:val="12"/>
        </w:rPr>
        <w:t>varios</w:t>
      </w:r>
      <w:r>
        <w:rPr>
          <w:spacing w:val="40"/>
          <w:sz w:val="12"/>
        </w:rPr>
        <w:t xml:space="preserve"> </w:t>
      </w:r>
      <w:r>
        <w:rPr>
          <w:sz w:val="12"/>
        </w:rPr>
        <w:t>motivos reconocidos por otros órganos creados en virtud de tratados se han incluido en epígrafes únicos. El motivo del “nacimiento”, por ejemplo, abarca</w:t>
      </w:r>
      <w:r>
        <w:rPr>
          <w:spacing w:val="40"/>
          <w:sz w:val="12"/>
        </w:rPr>
        <w:t xml:space="preserve"> </w:t>
      </w:r>
      <w:r>
        <w:rPr>
          <w:sz w:val="12"/>
        </w:rPr>
        <w:t>discriminación basada en la ascendencia y discriminación basada en castas. La apatridia se considera una forma de discriminación basada en la nacionalidad.</w:t>
      </w:r>
      <w:r>
        <w:rPr>
          <w:spacing w:val="40"/>
          <w:sz w:val="12"/>
        </w:rPr>
        <w:t xml:space="preserve"> </w:t>
      </w:r>
      <w:r>
        <w:rPr>
          <w:sz w:val="12"/>
        </w:rPr>
        <w:t xml:space="preserve">Véase Comité de Derechos Económicos, Sociales y Culturales, observación general núm. 20 (2009), </w:t>
      </w:r>
      <w:proofErr w:type="spellStart"/>
      <w:r>
        <w:rPr>
          <w:sz w:val="12"/>
        </w:rPr>
        <w:t>párrs</w:t>
      </w:r>
      <w:proofErr w:type="spellEnd"/>
      <w:r>
        <w:rPr>
          <w:sz w:val="12"/>
        </w:rPr>
        <w:t>. 26 y 30.</w:t>
      </w:r>
    </w:p>
    <w:p w14:paraId="42F2FA25" w14:textId="77777777" w:rsidR="0014798C" w:rsidRDefault="0014798C">
      <w:pPr>
        <w:pStyle w:val="Textoindependiente"/>
        <w:rPr>
          <w:sz w:val="18"/>
        </w:rPr>
      </w:pPr>
    </w:p>
    <w:p w14:paraId="23F1A448" w14:textId="77777777" w:rsidR="0014798C" w:rsidRDefault="004E1F0B">
      <w:pPr>
        <w:spacing w:before="1"/>
        <w:ind w:right="725"/>
        <w:jc w:val="right"/>
        <w:rPr>
          <w:sz w:val="18"/>
        </w:rPr>
      </w:pPr>
      <w:r>
        <w:rPr>
          <w:spacing w:val="-5"/>
          <w:sz w:val="18"/>
        </w:rPr>
        <w:t>23</w:t>
      </w:r>
    </w:p>
    <w:p w14:paraId="083817EE" w14:textId="77777777" w:rsidR="0014798C" w:rsidRDefault="0014798C">
      <w:pPr>
        <w:jc w:val="right"/>
        <w:rPr>
          <w:sz w:val="18"/>
        </w:rPr>
        <w:sectPr w:rsidR="0014798C" w:rsidSect="00F265E4">
          <w:type w:val="continuous"/>
          <w:pgSz w:w="11900" w:h="16820"/>
          <w:pgMar w:top="40" w:right="0" w:bottom="280" w:left="200" w:header="121" w:footer="0" w:gutter="0"/>
          <w:cols w:space="720"/>
        </w:sectPr>
      </w:pPr>
    </w:p>
    <w:p w14:paraId="6AFABAA8" w14:textId="77777777" w:rsidR="0014798C" w:rsidRDefault="0014798C">
      <w:pPr>
        <w:pStyle w:val="Textoindependiente"/>
        <w:spacing w:before="85"/>
        <w:rPr>
          <w:sz w:val="12"/>
        </w:rPr>
      </w:pPr>
    </w:p>
    <w:p w14:paraId="2FD7BDE3" w14:textId="77777777" w:rsidR="0014798C" w:rsidRDefault="004E1F0B">
      <w:pPr>
        <w:ind w:left="1111"/>
        <w:rPr>
          <w:sz w:val="12"/>
        </w:rPr>
      </w:pPr>
      <w:r>
        <w:rPr>
          <w:color w:val="00AC59"/>
          <w:sz w:val="12"/>
        </w:rPr>
        <w:t>PROTECCIÓN</w:t>
      </w:r>
      <w:r>
        <w:rPr>
          <w:color w:val="00AC59"/>
          <w:spacing w:val="6"/>
          <w:sz w:val="12"/>
        </w:rPr>
        <w:t xml:space="preserve"> </w:t>
      </w:r>
      <w:r>
        <w:rPr>
          <w:color w:val="00AC59"/>
          <w:sz w:val="12"/>
        </w:rPr>
        <w:t>DE</w:t>
      </w:r>
      <w:r>
        <w:rPr>
          <w:color w:val="00AC59"/>
          <w:spacing w:val="7"/>
          <w:sz w:val="12"/>
        </w:rPr>
        <w:t xml:space="preserve"> </w:t>
      </w:r>
      <w:r>
        <w:rPr>
          <w:color w:val="00AC59"/>
          <w:sz w:val="12"/>
        </w:rPr>
        <w:t>LOS</w:t>
      </w:r>
      <w:r>
        <w:rPr>
          <w:color w:val="00AC59"/>
          <w:spacing w:val="8"/>
          <w:sz w:val="12"/>
        </w:rPr>
        <w:t xml:space="preserve"> </w:t>
      </w:r>
      <w:r>
        <w:rPr>
          <w:color w:val="00AC59"/>
          <w:sz w:val="12"/>
        </w:rPr>
        <w:t>DERECHOS</w:t>
      </w:r>
      <w:r>
        <w:rPr>
          <w:color w:val="00AC59"/>
          <w:spacing w:val="8"/>
          <w:sz w:val="12"/>
        </w:rPr>
        <w:t xml:space="preserve"> </w:t>
      </w:r>
      <w:r>
        <w:rPr>
          <w:color w:val="00AC59"/>
          <w:sz w:val="12"/>
        </w:rPr>
        <w:t>DE</w:t>
      </w:r>
      <w:r>
        <w:rPr>
          <w:color w:val="00AC59"/>
          <w:spacing w:val="6"/>
          <w:sz w:val="12"/>
        </w:rPr>
        <w:t xml:space="preserve"> </w:t>
      </w:r>
      <w:r>
        <w:rPr>
          <w:color w:val="00AC59"/>
          <w:sz w:val="12"/>
        </w:rPr>
        <w:t>LAS</w:t>
      </w:r>
      <w:r>
        <w:rPr>
          <w:color w:val="00AC59"/>
          <w:spacing w:val="7"/>
          <w:sz w:val="12"/>
        </w:rPr>
        <w:t xml:space="preserve"> </w:t>
      </w:r>
      <w:r>
        <w:rPr>
          <w:color w:val="00AC59"/>
          <w:sz w:val="12"/>
        </w:rPr>
        <w:t>MINORÍAS:</w:t>
      </w:r>
      <w:r>
        <w:rPr>
          <w:color w:val="00AC59"/>
          <w:spacing w:val="8"/>
          <w:sz w:val="12"/>
        </w:rPr>
        <w:t xml:space="preserve"> </w:t>
      </w:r>
      <w:r>
        <w:rPr>
          <w:color w:val="00AC59"/>
          <w:sz w:val="12"/>
        </w:rPr>
        <w:t>una</w:t>
      </w:r>
      <w:r>
        <w:rPr>
          <w:color w:val="00AC59"/>
          <w:spacing w:val="7"/>
          <w:sz w:val="12"/>
        </w:rPr>
        <w:t xml:space="preserve"> </w:t>
      </w:r>
      <w:r>
        <w:rPr>
          <w:color w:val="00AC59"/>
          <w:sz w:val="12"/>
        </w:rPr>
        <w:t>guía</w:t>
      </w:r>
      <w:r>
        <w:rPr>
          <w:color w:val="00AC59"/>
          <w:spacing w:val="6"/>
          <w:sz w:val="12"/>
        </w:rPr>
        <w:t xml:space="preserve"> </w:t>
      </w:r>
      <w:r>
        <w:rPr>
          <w:color w:val="00AC59"/>
          <w:sz w:val="12"/>
        </w:rPr>
        <w:t>práctica</w:t>
      </w:r>
      <w:r>
        <w:rPr>
          <w:color w:val="00AC59"/>
          <w:spacing w:val="7"/>
          <w:sz w:val="12"/>
        </w:rPr>
        <w:t xml:space="preserve"> </w:t>
      </w:r>
      <w:r>
        <w:rPr>
          <w:color w:val="00AC59"/>
          <w:sz w:val="12"/>
        </w:rPr>
        <w:t>para</w:t>
      </w:r>
      <w:r>
        <w:rPr>
          <w:color w:val="00AC59"/>
          <w:spacing w:val="8"/>
          <w:sz w:val="12"/>
        </w:rPr>
        <w:t xml:space="preserve"> </w:t>
      </w:r>
      <w:r>
        <w:rPr>
          <w:color w:val="00AC59"/>
          <w:sz w:val="12"/>
        </w:rPr>
        <w:t>desarrollar</w:t>
      </w:r>
      <w:r>
        <w:rPr>
          <w:color w:val="00AC59"/>
          <w:spacing w:val="6"/>
          <w:sz w:val="12"/>
        </w:rPr>
        <w:t xml:space="preserve"> </w:t>
      </w:r>
      <w:r>
        <w:rPr>
          <w:color w:val="00AC59"/>
          <w:sz w:val="12"/>
        </w:rPr>
        <w:t>una</w:t>
      </w:r>
      <w:r>
        <w:rPr>
          <w:color w:val="00AC59"/>
          <w:spacing w:val="7"/>
          <w:sz w:val="12"/>
        </w:rPr>
        <w:t xml:space="preserve"> </w:t>
      </w:r>
      <w:r>
        <w:rPr>
          <w:color w:val="00AC59"/>
          <w:sz w:val="12"/>
        </w:rPr>
        <w:t>legislación</w:t>
      </w:r>
      <w:r>
        <w:rPr>
          <w:color w:val="00AC59"/>
          <w:spacing w:val="8"/>
          <w:sz w:val="12"/>
        </w:rPr>
        <w:t xml:space="preserve"> </w:t>
      </w:r>
      <w:r>
        <w:rPr>
          <w:color w:val="00AC59"/>
          <w:sz w:val="12"/>
        </w:rPr>
        <w:t>integral</w:t>
      </w:r>
      <w:r>
        <w:rPr>
          <w:color w:val="00AC59"/>
          <w:spacing w:val="7"/>
          <w:sz w:val="12"/>
        </w:rPr>
        <w:t xml:space="preserve"> </w:t>
      </w:r>
      <w:r>
        <w:rPr>
          <w:color w:val="00AC59"/>
          <w:sz w:val="12"/>
        </w:rPr>
        <w:t>contra</w:t>
      </w:r>
      <w:r>
        <w:rPr>
          <w:color w:val="00AC59"/>
          <w:spacing w:val="6"/>
          <w:sz w:val="12"/>
        </w:rPr>
        <w:t xml:space="preserve"> </w:t>
      </w:r>
      <w:r>
        <w:rPr>
          <w:color w:val="00AC59"/>
          <w:sz w:val="12"/>
        </w:rPr>
        <w:t>la</w:t>
      </w:r>
      <w:r>
        <w:rPr>
          <w:color w:val="00AC59"/>
          <w:spacing w:val="7"/>
          <w:sz w:val="12"/>
        </w:rPr>
        <w:t xml:space="preserve"> </w:t>
      </w:r>
      <w:r>
        <w:rPr>
          <w:color w:val="00AC59"/>
          <w:spacing w:val="-2"/>
          <w:sz w:val="12"/>
        </w:rPr>
        <w:t>discriminación</w:t>
      </w:r>
    </w:p>
    <w:p w14:paraId="029C74E0" w14:textId="77777777" w:rsidR="0014798C" w:rsidRDefault="0014798C">
      <w:pPr>
        <w:pStyle w:val="Textoindependiente"/>
        <w:rPr>
          <w:sz w:val="15"/>
        </w:rPr>
      </w:pPr>
    </w:p>
    <w:p w14:paraId="473C6CD2" w14:textId="77777777" w:rsidR="0014798C" w:rsidRDefault="0014798C">
      <w:pPr>
        <w:pStyle w:val="Textoindependiente"/>
        <w:rPr>
          <w:sz w:val="15"/>
        </w:rPr>
      </w:pPr>
    </w:p>
    <w:p w14:paraId="74279E03" w14:textId="77777777" w:rsidR="0014798C" w:rsidRDefault="0014798C">
      <w:pPr>
        <w:pStyle w:val="Textoindependiente"/>
        <w:rPr>
          <w:sz w:val="15"/>
        </w:rPr>
      </w:pPr>
    </w:p>
    <w:p w14:paraId="2CD61189" w14:textId="77777777" w:rsidR="0014798C" w:rsidRDefault="0014798C">
      <w:pPr>
        <w:pStyle w:val="Textoindependiente"/>
        <w:rPr>
          <w:sz w:val="15"/>
        </w:rPr>
      </w:pPr>
    </w:p>
    <w:p w14:paraId="2B6B9102" w14:textId="77777777" w:rsidR="0014798C" w:rsidRDefault="0014798C">
      <w:pPr>
        <w:pStyle w:val="Textoindependiente"/>
        <w:rPr>
          <w:sz w:val="15"/>
        </w:rPr>
      </w:pPr>
    </w:p>
    <w:p w14:paraId="58A6C434" w14:textId="77777777" w:rsidR="0014798C" w:rsidRDefault="0014798C">
      <w:pPr>
        <w:pStyle w:val="Textoindependiente"/>
        <w:rPr>
          <w:sz w:val="15"/>
        </w:rPr>
      </w:pPr>
    </w:p>
    <w:p w14:paraId="10C1EDDD" w14:textId="77777777" w:rsidR="0014798C" w:rsidRDefault="0014798C">
      <w:pPr>
        <w:pStyle w:val="Textoindependiente"/>
        <w:spacing w:before="162"/>
        <w:rPr>
          <w:sz w:val="15"/>
        </w:rPr>
      </w:pPr>
    </w:p>
    <w:p w14:paraId="7ACEEB22" w14:textId="77777777" w:rsidR="0014798C" w:rsidRDefault="004E1F0B">
      <w:pPr>
        <w:ind w:left="1342"/>
        <w:rPr>
          <w:sz w:val="15"/>
        </w:rPr>
      </w:pPr>
      <w:r>
        <w:rPr>
          <w:noProof/>
        </w:rPr>
        <w:drawing>
          <wp:anchor distT="0" distB="0" distL="0" distR="0" simplePos="0" relativeHeight="251658376" behindDoc="1" locked="0" layoutInCell="1" allowOverlap="1" wp14:anchorId="3A48A974" wp14:editId="1099ABB3">
            <wp:simplePos x="0" y="0"/>
            <wp:positionH relativeFrom="page">
              <wp:posOffset>795184</wp:posOffset>
            </wp:positionH>
            <wp:positionV relativeFrom="paragraph">
              <wp:posOffset>-179222</wp:posOffset>
            </wp:positionV>
            <wp:extent cx="5961638" cy="6758002"/>
            <wp:effectExtent l="0" t="0" r="0" b="0"/>
            <wp:wrapNone/>
            <wp:docPr id="97" name="Image 9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97" name="Image 97"/>
                    <pic:cNvPicPr/>
                  </pic:nvPicPr>
                  <pic:blipFill>
                    <a:blip r:embed="rId103" cstate="print"/>
                    <a:stretch>
                      <a:fillRect/>
                    </a:stretch>
                  </pic:blipFill>
                  <pic:spPr>
                    <a:xfrm>
                      <a:off x="0" y="0"/>
                      <a:ext cx="5961638" cy="6758002"/>
                    </a:xfrm>
                    <a:prstGeom prst="rect">
                      <a:avLst/>
                    </a:prstGeom>
                  </pic:spPr>
                </pic:pic>
              </a:graphicData>
            </a:graphic>
          </wp:anchor>
        </w:drawing>
      </w:r>
      <w:r>
        <w:rPr>
          <w:spacing w:val="-2"/>
          <w:w w:val="105"/>
          <w:sz w:val="15"/>
        </w:rPr>
        <w:t>DISCRIMINACIÓN</w:t>
      </w:r>
      <w:r>
        <w:rPr>
          <w:spacing w:val="-1"/>
          <w:w w:val="105"/>
          <w:sz w:val="15"/>
        </w:rPr>
        <w:t xml:space="preserve"> </w:t>
      </w:r>
      <w:r>
        <w:rPr>
          <w:spacing w:val="-2"/>
          <w:w w:val="105"/>
          <w:sz w:val="15"/>
        </w:rPr>
        <w:t>CONTRA</w:t>
      </w:r>
      <w:r>
        <w:rPr>
          <w:w w:val="105"/>
          <w:sz w:val="15"/>
        </w:rPr>
        <w:t xml:space="preserve"> </w:t>
      </w:r>
      <w:r>
        <w:rPr>
          <w:spacing w:val="-2"/>
          <w:w w:val="105"/>
          <w:sz w:val="15"/>
        </w:rPr>
        <w:t>LOS</w:t>
      </w:r>
      <w:r>
        <w:rPr>
          <w:w w:val="105"/>
          <w:sz w:val="15"/>
        </w:rPr>
        <w:t xml:space="preserve"> </w:t>
      </w:r>
      <w:r>
        <w:rPr>
          <w:spacing w:val="-2"/>
          <w:w w:val="105"/>
          <w:sz w:val="15"/>
        </w:rPr>
        <w:t>NO</w:t>
      </w:r>
      <w:r>
        <w:rPr>
          <w:w w:val="105"/>
          <w:sz w:val="15"/>
        </w:rPr>
        <w:t xml:space="preserve"> </w:t>
      </w:r>
      <w:r>
        <w:rPr>
          <w:spacing w:val="-2"/>
          <w:w w:val="105"/>
          <w:sz w:val="15"/>
        </w:rPr>
        <w:t>CIUDADANOS</w:t>
      </w:r>
    </w:p>
    <w:p w14:paraId="6F1F6BDD" w14:textId="77777777" w:rsidR="0014798C" w:rsidRDefault="0014798C">
      <w:pPr>
        <w:pStyle w:val="Textoindependiente"/>
        <w:spacing w:before="59"/>
        <w:rPr>
          <w:sz w:val="15"/>
        </w:rPr>
      </w:pPr>
    </w:p>
    <w:p w14:paraId="2379E882" w14:textId="77777777" w:rsidR="0014798C" w:rsidRDefault="004E1F0B">
      <w:pPr>
        <w:spacing w:line="348" w:lineRule="auto"/>
        <w:ind w:left="1334" w:right="1272" w:hanging="2"/>
        <w:rPr>
          <w:sz w:val="15"/>
        </w:rPr>
      </w:pPr>
      <w:r>
        <w:rPr>
          <w:w w:val="105"/>
          <w:sz w:val="15"/>
        </w:rPr>
        <w:t>Los tratados internacionales de derechos humanos garantizan derechos a “todos”, independientemente de su ciudadanía, de conformidad</w:t>
      </w:r>
      <w:r>
        <w:rPr>
          <w:spacing w:val="-5"/>
          <w:w w:val="105"/>
          <w:sz w:val="15"/>
        </w:rPr>
        <w:t xml:space="preserve"> </w:t>
      </w:r>
      <w:r>
        <w:rPr>
          <w:w w:val="105"/>
          <w:sz w:val="15"/>
        </w:rPr>
        <w:t>con</w:t>
      </w:r>
      <w:r>
        <w:rPr>
          <w:spacing w:val="-5"/>
          <w:w w:val="105"/>
          <w:sz w:val="15"/>
        </w:rPr>
        <w:t xml:space="preserve"> </w:t>
      </w:r>
      <w:r>
        <w:rPr>
          <w:w w:val="105"/>
          <w:sz w:val="15"/>
        </w:rPr>
        <w:t>el</w:t>
      </w:r>
      <w:r>
        <w:rPr>
          <w:spacing w:val="-5"/>
          <w:w w:val="105"/>
          <w:sz w:val="15"/>
        </w:rPr>
        <w:t xml:space="preserve"> </w:t>
      </w:r>
      <w:r>
        <w:rPr>
          <w:w w:val="105"/>
          <w:sz w:val="15"/>
        </w:rPr>
        <w:t>compromiso</w:t>
      </w:r>
      <w:r>
        <w:rPr>
          <w:spacing w:val="-5"/>
          <w:w w:val="105"/>
          <w:sz w:val="15"/>
        </w:rPr>
        <w:t xml:space="preserve"> </w:t>
      </w:r>
      <w:r>
        <w:rPr>
          <w:w w:val="105"/>
          <w:sz w:val="15"/>
        </w:rPr>
        <w:t>global</w:t>
      </w:r>
      <w:r>
        <w:rPr>
          <w:spacing w:val="-5"/>
          <w:w w:val="105"/>
          <w:sz w:val="15"/>
        </w:rPr>
        <w:t xml:space="preserve"> </w:t>
      </w:r>
      <w:r>
        <w:rPr>
          <w:w w:val="105"/>
          <w:sz w:val="15"/>
        </w:rPr>
        <w:t>de</w:t>
      </w:r>
      <w:r>
        <w:rPr>
          <w:spacing w:val="-5"/>
          <w:w w:val="105"/>
          <w:sz w:val="15"/>
        </w:rPr>
        <w:t xml:space="preserve"> </w:t>
      </w:r>
      <w:r>
        <w:rPr>
          <w:w w:val="105"/>
          <w:sz w:val="15"/>
        </w:rPr>
        <w:t>que</w:t>
      </w:r>
      <w:r>
        <w:rPr>
          <w:spacing w:val="-5"/>
          <w:w w:val="105"/>
          <w:sz w:val="15"/>
        </w:rPr>
        <w:t xml:space="preserve"> </w:t>
      </w:r>
      <w:r>
        <w:rPr>
          <w:w w:val="105"/>
          <w:sz w:val="15"/>
        </w:rPr>
        <w:t>todas</w:t>
      </w:r>
      <w:r>
        <w:rPr>
          <w:spacing w:val="-5"/>
          <w:w w:val="105"/>
          <w:sz w:val="15"/>
        </w:rPr>
        <w:t xml:space="preserve"> </w:t>
      </w:r>
      <w:r>
        <w:rPr>
          <w:w w:val="105"/>
          <w:sz w:val="15"/>
        </w:rPr>
        <w:t>las</w:t>
      </w:r>
      <w:r>
        <w:rPr>
          <w:spacing w:val="-5"/>
          <w:w w:val="105"/>
          <w:sz w:val="15"/>
        </w:rPr>
        <w:t xml:space="preserve"> </w:t>
      </w:r>
      <w:r>
        <w:rPr>
          <w:w w:val="105"/>
          <w:sz w:val="15"/>
        </w:rPr>
        <w:t>personas</w:t>
      </w:r>
      <w:r>
        <w:rPr>
          <w:spacing w:val="-5"/>
          <w:w w:val="105"/>
          <w:sz w:val="15"/>
        </w:rPr>
        <w:t xml:space="preserve"> </w:t>
      </w:r>
      <w:r>
        <w:rPr>
          <w:w w:val="105"/>
          <w:sz w:val="15"/>
        </w:rPr>
        <w:t>nacen</w:t>
      </w:r>
      <w:r>
        <w:rPr>
          <w:spacing w:val="-5"/>
          <w:w w:val="105"/>
          <w:sz w:val="15"/>
        </w:rPr>
        <w:t xml:space="preserve"> </w:t>
      </w:r>
      <w:r>
        <w:rPr>
          <w:w w:val="105"/>
          <w:sz w:val="15"/>
        </w:rPr>
        <w:t>iguales</w:t>
      </w:r>
      <w:r>
        <w:rPr>
          <w:spacing w:val="-5"/>
          <w:w w:val="105"/>
          <w:sz w:val="15"/>
        </w:rPr>
        <w:t xml:space="preserve"> </w:t>
      </w:r>
      <w:r>
        <w:rPr>
          <w:w w:val="105"/>
          <w:sz w:val="15"/>
        </w:rPr>
        <w:t>en</w:t>
      </w:r>
      <w:r>
        <w:rPr>
          <w:spacing w:val="-5"/>
          <w:w w:val="105"/>
          <w:sz w:val="15"/>
        </w:rPr>
        <w:t xml:space="preserve"> </w:t>
      </w:r>
      <w:r>
        <w:rPr>
          <w:w w:val="105"/>
          <w:sz w:val="15"/>
        </w:rPr>
        <w:t>dignidad</w:t>
      </w:r>
      <w:r>
        <w:rPr>
          <w:spacing w:val="-5"/>
          <w:w w:val="105"/>
          <w:sz w:val="15"/>
        </w:rPr>
        <w:t xml:space="preserve"> </w:t>
      </w:r>
      <w:r>
        <w:rPr>
          <w:w w:val="105"/>
          <w:sz w:val="15"/>
        </w:rPr>
        <w:t>y</w:t>
      </w:r>
      <w:r>
        <w:rPr>
          <w:spacing w:val="-5"/>
          <w:w w:val="105"/>
          <w:sz w:val="15"/>
        </w:rPr>
        <w:t xml:space="preserve"> </w:t>
      </w:r>
      <w:r>
        <w:rPr>
          <w:w w:val="105"/>
          <w:sz w:val="15"/>
        </w:rPr>
        <w:t>derechos.</w:t>
      </w:r>
      <w:r>
        <w:rPr>
          <w:spacing w:val="-5"/>
          <w:w w:val="105"/>
          <w:sz w:val="15"/>
        </w:rPr>
        <w:t xml:space="preserve"> </w:t>
      </w:r>
      <w:r>
        <w:rPr>
          <w:w w:val="105"/>
          <w:sz w:val="15"/>
        </w:rPr>
        <w:t>El</w:t>
      </w:r>
      <w:r>
        <w:rPr>
          <w:spacing w:val="-5"/>
          <w:w w:val="105"/>
          <w:sz w:val="15"/>
        </w:rPr>
        <w:t xml:space="preserve"> </w:t>
      </w:r>
      <w:r>
        <w:rPr>
          <w:w w:val="105"/>
          <w:sz w:val="15"/>
        </w:rPr>
        <w:t>Comité</w:t>
      </w:r>
      <w:r>
        <w:rPr>
          <w:spacing w:val="-5"/>
          <w:w w:val="105"/>
          <w:sz w:val="15"/>
        </w:rPr>
        <w:t xml:space="preserve"> </w:t>
      </w:r>
      <w:r>
        <w:rPr>
          <w:w w:val="105"/>
          <w:sz w:val="15"/>
        </w:rPr>
        <w:t>de</w:t>
      </w:r>
      <w:r>
        <w:rPr>
          <w:spacing w:val="-5"/>
          <w:w w:val="105"/>
          <w:sz w:val="15"/>
        </w:rPr>
        <w:t xml:space="preserve"> </w:t>
      </w:r>
      <w:r>
        <w:rPr>
          <w:w w:val="105"/>
          <w:sz w:val="15"/>
        </w:rPr>
        <w:t>Derechos Humanos ha señalado que todos los derechos del Pacto Internacional de Derechos Civiles y Políticos deben garantizarse sin discriminación entre ciudadanos y no ciudadanos y ha subrayado que los no ciudadanos se benefician de las disposiciones del artículo 2 del Pacto.165 Al examinar varias quejas individuales, el Comité ha sostenido además que la prohibición de discriminación</w:t>
      </w:r>
      <w:r>
        <w:rPr>
          <w:spacing w:val="-2"/>
          <w:w w:val="105"/>
          <w:sz w:val="15"/>
        </w:rPr>
        <w:t xml:space="preserve"> </w:t>
      </w:r>
      <w:r>
        <w:rPr>
          <w:w w:val="105"/>
          <w:sz w:val="15"/>
        </w:rPr>
        <w:t>contenida</w:t>
      </w:r>
      <w:r>
        <w:rPr>
          <w:spacing w:val="-2"/>
          <w:w w:val="105"/>
          <w:sz w:val="15"/>
        </w:rPr>
        <w:t xml:space="preserve"> </w:t>
      </w:r>
      <w:r>
        <w:rPr>
          <w:w w:val="105"/>
          <w:sz w:val="15"/>
        </w:rPr>
        <w:t>en</w:t>
      </w:r>
      <w:r>
        <w:rPr>
          <w:spacing w:val="-2"/>
          <w:w w:val="105"/>
          <w:sz w:val="15"/>
        </w:rPr>
        <w:t xml:space="preserve"> </w:t>
      </w:r>
      <w:r>
        <w:rPr>
          <w:w w:val="105"/>
          <w:sz w:val="15"/>
        </w:rPr>
        <w:t>el</w:t>
      </w:r>
      <w:r>
        <w:rPr>
          <w:spacing w:val="-2"/>
          <w:w w:val="105"/>
          <w:sz w:val="15"/>
        </w:rPr>
        <w:t xml:space="preserve"> </w:t>
      </w:r>
      <w:r>
        <w:rPr>
          <w:w w:val="105"/>
          <w:sz w:val="15"/>
        </w:rPr>
        <w:t>artículo</w:t>
      </w:r>
      <w:r>
        <w:rPr>
          <w:spacing w:val="-2"/>
          <w:w w:val="105"/>
          <w:sz w:val="15"/>
        </w:rPr>
        <w:t xml:space="preserve"> </w:t>
      </w:r>
      <w:r>
        <w:rPr>
          <w:w w:val="105"/>
          <w:sz w:val="15"/>
        </w:rPr>
        <w:t>26</w:t>
      </w:r>
      <w:r>
        <w:rPr>
          <w:spacing w:val="-2"/>
          <w:w w:val="105"/>
          <w:sz w:val="15"/>
        </w:rPr>
        <w:t xml:space="preserve"> </w:t>
      </w:r>
      <w:r>
        <w:rPr>
          <w:w w:val="105"/>
          <w:sz w:val="15"/>
        </w:rPr>
        <w:t>del</w:t>
      </w:r>
      <w:r>
        <w:rPr>
          <w:spacing w:val="-2"/>
          <w:w w:val="105"/>
          <w:sz w:val="15"/>
        </w:rPr>
        <w:t xml:space="preserve"> </w:t>
      </w:r>
      <w:r>
        <w:rPr>
          <w:w w:val="105"/>
          <w:sz w:val="15"/>
        </w:rPr>
        <w:t>Pacto</w:t>
      </w:r>
      <w:r>
        <w:rPr>
          <w:spacing w:val="-2"/>
          <w:w w:val="105"/>
          <w:sz w:val="15"/>
        </w:rPr>
        <w:t xml:space="preserve"> </w:t>
      </w:r>
      <w:r>
        <w:rPr>
          <w:w w:val="105"/>
          <w:sz w:val="15"/>
        </w:rPr>
        <w:t>incluye</w:t>
      </w:r>
      <w:r>
        <w:rPr>
          <w:spacing w:val="-2"/>
          <w:w w:val="105"/>
          <w:sz w:val="15"/>
        </w:rPr>
        <w:t xml:space="preserve"> </w:t>
      </w:r>
      <w:r>
        <w:rPr>
          <w:w w:val="105"/>
          <w:sz w:val="15"/>
        </w:rPr>
        <w:t>la</w:t>
      </w:r>
      <w:r>
        <w:rPr>
          <w:spacing w:val="-2"/>
          <w:w w:val="105"/>
          <w:sz w:val="15"/>
        </w:rPr>
        <w:t xml:space="preserve"> </w:t>
      </w:r>
      <w:r>
        <w:rPr>
          <w:w w:val="105"/>
          <w:sz w:val="15"/>
        </w:rPr>
        <w:t>diferenciación</w:t>
      </w:r>
      <w:r>
        <w:rPr>
          <w:spacing w:val="-2"/>
          <w:w w:val="105"/>
          <w:sz w:val="15"/>
        </w:rPr>
        <w:t xml:space="preserve"> </w:t>
      </w:r>
      <w:r>
        <w:rPr>
          <w:w w:val="105"/>
          <w:sz w:val="15"/>
        </w:rPr>
        <w:t>entre</w:t>
      </w:r>
      <w:r>
        <w:rPr>
          <w:spacing w:val="-2"/>
          <w:w w:val="105"/>
          <w:sz w:val="15"/>
        </w:rPr>
        <w:t xml:space="preserve"> </w:t>
      </w:r>
      <w:r>
        <w:rPr>
          <w:w w:val="105"/>
          <w:sz w:val="15"/>
        </w:rPr>
        <w:t>nacionales</w:t>
      </w:r>
      <w:r>
        <w:rPr>
          <w:spacing w:val="-2"/>
          <w:w w:val="105"/>
          <w:sz w:val="15"/>
        </w:rPr>
        <w:t xml:space="preserve"> </w:t>
      </w:r>
      <w:r>
        <w:rPr>
          <w:w w:val="105"/>
          <w:sz w:val="15"/>
        </w:rPr>
        <w:t>y</w:t>
      </w:r>
      <w:r>
        <w:rPr>
          <w:spacing w:val="-2"/>
          <w:w w:val="105"/>
          <w:sz w:val="15"/>
        </w:rPr>
        <w:t xml:space="preserve"> </w:t>
      </w:r>
      <w:r>
        <w:rPr>
          <w:w w:val="105"/>
          <w:sz w:val="15"/>
        </w:rPr>
        <w:t>no</w:t>
      </w:r>
      <w:r>
        <w:rPr>
          <w:spacing w:val="-2"/>
          <w:w w:val="105"/>
          <w:sz w:val="15"/>
        </w:rPr>
        <w:t xml:space="preserve"> </w:t>
      </w:r>
      <w:r>
        <w:rPr>
          <w:w w:val="105"/>
          <w:sz w:val="15"/>
        </w:rPr>
        <w:t>nacionales.166</w:t>
      </w:r>
      <w:r>
        <w:rPr>
          <w:spacing w:val="-2"/>
          <w:w w:val="105"/>
          <w:sz w:val="15"/>
        </w:rPr>
        <w:t xml:space="preserve"> </w:t>
      </w:r>
      <w:r>
        <w:rPr>
          <w:w w:val="105"/>
          <w:sz w:val="15"/>
        </w:rPr>
        <w:t>De</w:t>
      </w:r>
      <w:r>
        <w:rPr>
          <w:spacing w:val="-2"/>
          <w:w w:val="105"/>
          <w:sz w:val="15"/>
        </w:rPr>
        <w:t xml:space="preserve"> </w:t>
      </w:r>
      <w:r>
        <w:rPr>
          <w:w w:val="105"/>
          <w:sz w:val="15"/>
        </w:rPr>
        <w:t>manera similar, el</w:t>
      </w:r>
      <w:r>
        <w:rPr>
          <w:spacing w:val="-1"/>
          <w:w w:val="105"/>
          <w:sz w:val="15"/>
        </w:rPr>
        <w:t xml:space="preserve"> </w:t>
      </w:r>
      <w:r>
        <w:rPr>
          <w:w w:val="105"/>
          <w:sz w:val="15"/>
        </w:rPr>
        <w:t>Comité</w:t>
      </w:r>
      <w:r>
        <w:rPr>
          <w:spacing w:val="-1"/>
          <w:w w:val="105"/>
          <w:sz w:val="15"/>
        </w:rPr>
        <w:t xml:space="preserve"> </w:t>
      </w:r>
      <w:r>
        <w:rPr>
          <w:w w:val="105"/>
          <w:sz w:val="15"/>
        </w:rPr>
        <w:t>de</w:t>
      </w:r>
      <w:r>
        <w:rPr>
          <w:spacing w:val="-1"/>
          <w:w w:val="105"/>
          <w:sz w:val="15"/>
        </w:rPr>
        <w:t xml:space="preserve"> </w:t>
      </w:r>
      <w:r>
        <w:rPr>
          <w:w w:val="105"/>
          <w:sz w:val="15"/>
        </w:rPr>
        <w:t>Derechos</w:t>
      </w:r>
      <w:r>
        <w:rPr>
          <w:spacing w:val="-1"/>
          <w:w w:val="105"/>
          <w:sz w:val="15"/>
        </w:rPr>
        <w:t xml:space="preserve"> </w:t>
      </w:r>
      <w:r>
        <w:rPr>
          <w:w w:val="105"/>
          <w:sz w:val="15"/>
        </w:rPr>
        <w:t>Económicos, Sociales</w:t>
      </w:r>
      <w:r>
        <w:rPr>
          <w:spacing w:val="-1"/>
          <w:w w:val="105"/>
          <w:sz w:val="15"/>
        </w:rPr>
        <w:t xml:space="preserve"> </w:t>
      </w:r>
      <w:r>
        <w:rPr>
          <w:w w:val="105"/>
          <w:sz w:val="15"/>
        </w:rPr>
        <w:t>y</w:t>
      </w:r>
      <w:r>
        <w:rPr>
          <w:spacing w:val="-1"/>
          <w:w w:val="105"/>
          <w:sz w:val="15"/>
        </w:rPr>
        <w:t xml:space="preserve"> </w:t>
      </w:r>
      <w:r>
        <w:rPr>
          <w:w w:val="105"/>
          <w:sz w:val="15"/>
        </w:rPr>
        <w:t>Culturales</w:t>
      </w:r>
      <w:r>
        <w:rPr>
          <w:spacing w:val="-1"/>
          <w:w w:val="105"/>
          <w:sz w:val="15"/>
        </w:rPr>
        <w:t xml:space="preserve"> </w:t>
      </w:r>
      <w:r>
        <w:rPr>
          <w:w w:val="105"/>
          <w:sz w:val="15"/>
        </w:rPr>
        <w:t>ha</w:t>
      </w:r>
      <w:r>
        <w:rPr>
          <w:spacing w:val="-1"/>
          <w:w w:val="105"/>
          <w:sz w:val="15"/>
        </w:rPr>
        <w:t xml:space="preserve"> </w:t>
      </w:r>
      <w:r>
        <w:rPr>
          <w:w w:val="105"/>
          <w:sz w:val="15"/>
        </w:rPr>
        <w:t>declarado</w:t>
      </w:r>
      <w:r>
        <w:rPr>
          <w:spacing w:val="-1"/>
          <w:w w:val="105"/>
          <w:sz w:val="15"/>
        </w:rPr>
        <w:t xml:space="preserve"> </w:t>
      </w:r>
      <w:r>
        <w:rPr>
          <w:w w:val="105"/>
          <w:sz w:val="15"/>
        </w:rPr>
        <w:t>que</w:t>
      </w:r>
      <w:r>
        <w:rPr>
          <w:spacing w:val="-1"/>
          <w:w w:val="105"/>
          <w:sz w:val="15"/>
        </w:rPr>
        <w:t xml:space="preserve"> </w:t>
      </w:r>
      <w:r>
        <w:rPr>
          <w:w w:val="105"/>
          <w:sz w:val="15"/>
        </w:rPr>
        <w:t>la</w:t>
      </w:r>
      <w:r>
        <w:rPr>
          <w:spacing w:val="-1"/>
          <w:w w:val="105"/>
          <w:sz w:val="15"/>
        </w:rPr>
        <w:t xml:space="preserve"> </w:t>
      </w:r>
      <w:r>
        <w:rPr>
          <w:w w:val="105"/>
          <w:sz w:val="15"/>
        </w:rPr>
        <w:t>nacionalidad</w:t>
      </w:r>
      <w:r>
        <w:rPr>
          <w:spacing w:val="-1"/>
          <w:w w:val="105"/>
          <w:sz w:val="15"/>
        </w:rPr>
        <w:t xml:space="preserve"> </w:t>
      </w:r>
      <w:r>
        <w:rPr>
          <w:w w:val="105"/>
          <w:sz w:val="15"/>
        </w:rPr>
        <w:t>es</w:t>
      </w:r>
      <w:r>
        <w:rPr>
          <w:spacing w:val="-1"/>
          <w:w w:val="105"/>
          <w:sz w:val="15"/>
        </w:rPr>
        <w:t xml:space="preserve"> </w:t>
      </w:r>
      <w:r>
        <w:rPr>
          <w:w w:val="105"/>
          <w:sz w:val="15"/>
        </w:rPr>
        <w:t>un</w:t>
      </w:r>
      <w:r>
        <w:rPr>
          <w:spacing w:val="-1"/>
          <w:w w:val="105"/>
          <w:sz w:val="15"/>
        </w:rPr>
        <w:t xml:space="preserve"> </w:t>
      </w:r>
      <w:r>
        <w:rPr>
          <w:w w:val="105"/>
          <w:sz w:val="15"/>
        </w:rPr>
        <w:t>terreno</w:t>
      </w:r>
      <w:r>
        <w:rPr>
          <w:spacing w:val="-1"/>
          <w:w w:val="105"/>
          <w:sz w:val="15"/>
        </w:rPr>
        <w:t xml:space="preserve"> </w:t>
      </w:r>
      <w:r>
        <w:rPr>
          <w:w w:val="105"/>
          <w:sz w:val="15"/>
        </w:rPr>
        <w:t>protegido comprendido</w:t>
      </w:r>
      <w:r>
        <w:rPr>
          <w:spacing w:val="-6"/>
          <w:w w:val="105"/>
          <w:sz w:val="15"/>
        </w:rPr>
        <w:t xml:space="preserve"> </w:t>
      </w:r>
      <w:r>
        <w:rPr>
          <w:w w:val="105"/>
          <w:sz w:val="15"/>
        </w:rPr>
        <w:t>dentro</w:t>
      </w:r>
      <w:r>
        <w:rPr>
          <w:spacing w:val="-6"/>
          <w:w w:val="105"/>
          <w:sz w:val="15"/>
        </w:rPr>
        <w:t xml:space="preserve"> </w:t>
      </w:r>
      <w:r>
        <w:rPr>
          <w:w w:val="105"/>
          <w:sz w:val="15"/>
        </w:rPr>
        <w:t>de</w:t>
      </w:r>
      <w:r>
        <w:rPr>
          <w:spacing w:val="-6"/>
          <w:w w:val="105"/>
          <w:sz w:val="15"/>
        </w:rPr>
        <w:t xml:space="preserve"> </w:t>
      </w:r>
      <w:r>
        <w:rPr>
          <w:w w:val="105"/>
          <w:sz w:val="15"/>
        </w:rPr>
        <w:t>“otro</w:t>
      </w:r>
      <w:r>
        <w:rPr>
          <w:spacing w:val="-6"/>
          <w:w w:val="105"/>
          <w:sz w:val="15"/>
        </w:rPr>
        <w:t xml:space="preserve"> </w:t>
      </w:r>
      <w:r>
        <w:rPr>
          <w:w w:val="105"/>
          <w:sz w:val="15"/>
        </w:rPr>
        <w:t>estatus”</w:t>
      </w:r>
      <w:r>
        <w:rPr>
          <w:spacing w:val="-6"/>
          <w:w w:val="105"/>
          <w:sz w:val="15"/>
        </w:rPr>
        <w:t xml:space="preserve"> </w:t>
      </w:r>
      <w:r>
        <w:rPr>
          <w:w w:val="105"/>
          <w:sz w:val="15"/>
        </w:rPr>
        <w:t>en</w:t>
      </w:r>
      <w:r>
        <w:rPr>
          <w:spacing w:val="-6"/>
          <w:w w:val="105"/>
          <w:sz w:val="15"/>
        </w:rPr>
        <w:t xml:space="preserve"> </w:t>
      </w:r>
      <w:r>
        <w:rPr>
          <w:w w:val="105"/>
          <w:sz w:val="15"/>
        </w:rPr>
        <w:t>el</w:t>
      </w:r>
      <w:r>
        <w:rPr>
          <w:spacing w:val="-6"/>
          <w:w w:val="105"/>
          <w:sz w:val="15"/>
        </w:rPr>
        <w:t xml:space="preserve"> </w:t>
      </w:r>
      <w:r>
        <w:rPr>
          <w:w w:val="105"/>
          <w:sz w:val="15"/>
        </w:rPr>
        <w:t>artículo</w:t>
      </w:r>
      <w:r>
        <w:rPr>
          <w:spacing w:val="-6"/>
          <w:w w:val="105"/>
          <w:sz w:val="15"/>
        </w:rPr>
        <w:t xml:space="preserve"> </w:t>
      </w:r>
      <w:r>
        <w:rPr>
          <w:w w:val="105"/>
          <w:sz w:val="15"/>
        </w:rPr>
        <w:t>2</w:t>
      </w:r>
      <w:r>
        <w:rPr>
          <w:spacing w:val="-6"/>
          <w:w w:val="105"/>
          <w:sz w:val="15"/>
        </w:rPr>
        <w:t xml:space="preserve"> </w:t>
      </w:r>
      <w:r>
        <w:rPr>
          <w:w w:val="105"/>
          <w:sz w:val="15"/>
        </w:rPr>
        <w:t>(2)</w:t>
      </w:r>
      <w:r>
        <w:rPr>
          <w:spacing w:val="-6"/>
          <w:w w:val="105"/>
          <w:sz w:val="15"/>
        </w:rPr>
        <w:t xml:space="preserve"> </w:t>
      </w:r>
      <w:r>
        <w:rPr>
          <w:w w:val="105"/>
          <w:sz w:val="15"/>
        </w:rPr>
        <w:t>del</w:t>
      </w:r>
      <w:r>
        <w:rPr>
          <w:spacing w:val="-6"/>
          <w:w w:val="105"/>
          <w:sz w:val="15"/>
        </w:rPr>
        <w:t xml:space="preserve"> </w:t>
      </w:r>
      <w:r>
        <w:rPr>
          <w:w w:val="105"/>
          <w:sz w:val="15"/>
        </w:rPr>
        <w:t>Pacto</w:t>
      </w:r>
      <w:r>
        <w:rPr>
          <w:spacing w:val="-6"/>
          <w:w w:val="105"/>
          <w:sz w:val="15"/>
        </w:rPr>
        <w:t xml:space="preserve"> </w:t>
      </w:r>
      <w:r>
        <w:rPr>
          <w:w w:val="105"/>
          <w:sz w:val="15"/>
        </w:rPr>
        <w:t>Internacional</w:t>
      </w:r>
      <w:r>
        <w:rPr>
          <w:spacing w:val="-6"/>
          <w:w w:val="105"/>
          <w:sz w:val="15"/>
        </w:rPr>
        <w:t xml:space="preserve"> </w:t>
      </w:r>
      <w:r>
        <w:rPr>
          <w:w w:val="105"/>
          <w:sz w:val="15"/>
        </w:rPr>
        <w:t>de</w:t>
      </w:r>
      <w:r>
        <w:rPr>
          <w:spacing w:val="-6"/>
          <w:w w:val="105"/>
          <w:sz w:val="15"/>
        </w:rPr>
        <w:t xml:space="preserve"> </w:t>
      </w:r>
      <w:r>
        <w:rPr>
          <w:w w:val="105"/>
          <w:sz w:val="15"/>
        </w:rPr>
        <w:t>Derechos</w:t>
      </w:r>
      <w:r>
        <w:rPr>
          <w:spacing w:val="-6"/>
          <w:w w:val="105"/>
          <w:sz w:val="15"/>
        </w:rPr>
        <w:t xml:space="preserve"> </w:t>
      </w:r>
      <w:r>
        <w:rPr>
          <w:w w:val="105"/>
          <w:sz w:val="15"/>
        </w:rPr>
        <w:t>Económicos,</w:t>
      </w:r>
      <w:r>
        <w:rPr>
          <w:spacing w:val="-5"/>
          <w:w w:val="105"/>
          <w:sz w:val="15"/>
        </w:rPr>
        <w:t xml:space="preserve"> </w:t>
      </w:r>
      <w:r>
        <w:rPr>
          <w:w w:val="105"/>
          <w:sz w:val="15"/>
        </w:rPr>
        <w:t>Sociales</w:t>
      </w:r>
      <w:r>
        <w:rPr>
          <w:spacing w:val="-6"/>
          <w:w w:val="105"/>
          <w:sz w:val="15"/>
        </w:rPr>
        <w:t xml:space="preserve"> </w:t>
      </w:r>
      <w:r>
        <w:rPr>
          <w:w w:val="105"/>
          <w:sz w:val="15"/>
        </w:rPr>
        <w:t>y</w:t>
      </w:r>
      <w:r>
        <w:rPr>
          <w:spacing w:val="-6"/>
          <w:w w:val="105"/>
          <w:sz w:val="15"/>
        </w:rPr>
        <w:t xml:space="preserve"> </w:t>
      </w:r>
      <w:r>
        <w:rPr>
          <w:w w:val="105"/>
          <w:sz w:val="15"/>
        </w:rPr>
        <w:t xml:space="preserve">Culturales. También ha enfatizado que los derechos protegidos por el Pacto “se aplican a </w:t>
      </w:r>
      <w:proofErr w:type="gramStart"/>
      <w:r>
        <w:rPr>
          <w:w w:val="105"/>
          <w:sz w:val="15"/>
        </w:rPr>
        <w:t>todos ,</w:t>
      </w:r>
      <w:proofErr w:type="gramEnd"/>
      <w:r>
        <w:rPr>
          <w:w w:val="105"/>
          <w:sz w:val="15"/>
        </w:rPr>
        <w:t xml:space="preserve"> incluidos los no nacionales, como los refugiados, los solicitantes de asilo, los apátridas, los trabajadores migratorios y las víctimas de la trata internacional, independientemente de su estatus legal y su documentación”.167</w:t>
      </w:r>
    </w:p>
    <w:p w14:paraId="16D99A5F" w14:textId="77777777" w:rsidR="0014798C" w:rsidRDefault="0014798C">
      <w:pPr>
        <w:pStyle w:val="Textoindependiente"/>
        <w:rPr>
          <w:sz w:val="15"/>
        </w:rPr>
      </w:pPr>
    </w:p>
    <w:p w14:paraId="3503EB81" w14:textId="77777777" w:rsidR="0014798C" w:rsidRDefault="0014798C">
      <w:pPr>
        <w:pStyle w:val="Textoindependiente"/>
        <w:spacing w:before="14"/>
        <w:rPr>
          <w:sz w:val="15"/>
        </w:rPr>
      </w:pPr>
    </w:p>
    <w:p w14:paraId="726E8828" w14:textId="77777777" w:rsidR="0014798C" w:rsidRDefault="004E1F0B">
      <w:pPr>
        <w:spacing w:line="348" w:lineRule="auto"/>
        <w:ind w:left="1332" w:right="1463"/>
        <w:rPr>
          <w:sz w:val="15"/>
        </w:rPr>
      </w:pPr>
      <w:r>
        <w:rPr>
          <w:w w:val="105"/>
          <w:sz w:val="15"/>
        </w:rPr>
        <w:t>El</w:t>
      </w:r>
      <w:r>
        <w:rPr>
          <w:spacing w:val="-2"/>
          <w:w w:val="105"/>
          <w:sz w:val="15"/>
        </w:rPr>
        <w:t xml:space="preserve"> </w:t>
      </w:r>
      <w:r>
        <w:rPr>
          <w:w w:val="105"/>
          <w:sz w:val="15"/>
        </w:rPr>
        <w:t>Comité</w:t>
      </w:r>
      <w:r>
        <w:rPr>
          <w:spacing w:val="-2"/>
          <w:w w:val="105"/>
          <w:sz w:val="15"/>
        </w:rPr>
        <w:t xml:space="preserve"> </w:t>
      </w:r>
      <w:r>
        <w:rPr>
          <w:w w:val="105"/>
          <w:sz w:val="15"/>
        </w:rPr>
        <w:t>para</w:t>
      </w:r>
      <w:r>
        <w:rPr>
          <w:spacing w:val="-2"/>
          <w:w w:val="105"/>
          <w:sz w:val="15"/>
        </w:rPr>
        <w:t xml:space="preserve"> </w:t>
      </w:r>
      <w:r>
        <w:rPr>
          <w:w w:val="105"/>
          <w:sz w:val="15"/>
        </w:rPr>
        <w:t>la</w:t>
      </w:r>
      <w:r>
        <w:rPr>
          <w:spacing w:val="-2"/>
          <w:w w:val="105"/>
          <w:sz w:val="15"/>
        </w:rPr>
        <w:t xml:space="preserve"> </w:t>
      </w:r>
      <w:r>
        <w:rPr>
          <w:w w:val="105"/>
          <w:sz w:val="15"/>
        </w:rPr>
        <w:t>Eliminación</w:t>
      </w:r>
      <w:r>
        <w:rPr>
          <w:spacing w:val="-2"/>
          <w:w w:val="105"/>
          <w:sz w:val="15"/>
        </w:rPr>
        <w:t xml:space="preserve"> </w:t>
      </w:r>
      <w:r>
        <w:rPr>
          <w:w w:val="105"/>
          <w:sz w:val="15"/>
        </w:rPr>
        <w:t>de</w:t>
      </w:r>
      <w:r>
        <w:rPr>
          <w:spacing w:val="-2"/>
          <w:w w:val="105"/>
          <w:sz w:val="15"/>
        </w:rPr>
        <w:t xml:space="preserve"> </w:t>
      </w:r>
      <w:r>
        <w:rPr>
          <w:w w:val="105"/>
          <w:sz w:val="15"/>
        </w:rPr>
        <w:t>la</w:t>
      </w:r>
      <w:r>
        <w:rPr>
          <w:spacing w:val="-2"/>
          <w:w w:val="105"/>
          <w:sz w:val="15"/>
        </w:rPr>
        <w:t xml:space="preserve"> </w:t>
      </w:r>
      <w:r>
        <w:rPr>
          <w:w w:val="105"/>
          <w:sz w:val="15"/>
        </w:rPr>
        <w:t>Discriminación</w:t>
      </w:r>
      <w:r>
        <w:rPr>
          <w:spacing w:val="-2"/>
          <w:w w:val="105"/>
          <w:sz w:val="15"/>
        </w:rPr>
        <w:t xml:space="preserve"> </w:t>
      </w:r>
      <w:r>
        <w:rPr>
          <w:w w:val="105"/>
          <w:sz w:val="15"/>
        </w:rPr>
        <w:t>Racial</w:t>
      </w:r>
      <w:r>
        <w:rPr>
          <w:spacing w:val="-2"/>
          <w:w w:val="105"/>
          <w:sz w:val="15"/>
        </w:rPr>
        <w:t xml:space="preserve"> </w:t>
      </w:r>
      <w:r>
        <w:rPr>
          <w:w w:val="105"/>
          <w:sz w:val="15"/>
        </w:rPr>
        <w:t>ha</w:t>
      </w:r>
      <w:r>
        <w:rPr>
          <w:spacing w:val="-2"/>
          <w:w w:val="105"/>
          <w:sz w:val="15"/>
        </w:rPr>
        <w:t xml:space="preserve"> </w:t>
      </w:r>
      <w:r>
        <w:rPr>
          <w:w w:val="105"/>
          <w:sz w:val="15"/>
        </w:rPr>
        <w:t>explorado</w:t>
      </w:r>
      <w:r>
        <w:rPr>
          <w:spacing w:val="-2"/>
          <w:w w:val="105"/>
          <w:sz w:val="15"/>
        </w:rPr>
        <w:t xml:space="preserve"> </w:t>
      </w:r>
      <w:r>
        <w:rPr>
          <w:w w:val="105"/>
          <w:sz w:val="15"/>
        </w:rPr>
        <w:t>en</w:t>
      </w:r>
      <w:r>
        <w:rPr>
          <w:spacing w:val="-2"/>
          <w:w w:val="105"/>
          <w:sz w:val="15"/>
        </w:rPr>
        <w:t xml:space="preserve"> </w:t>
      </w:r>
      <w:r>
        <w:rPr>
          <w:w w:val="105"/>
          <w:sz w:val="15"/>
        </w:rPr>
        <w:t>detalle</w:t>
      </w:r>
      <w:r>
        <w:rPr>
          <w:spacing w:val="-2"/>
          <w:w w:val="105"/>
          <w:sz w:val="15"/>
        </w:rPr>
        <w:t xml:space="preserve"> </w:t>
      </w:r>
      <w:r>
        <w:rPr>
          <w:w w:val="105"/>
          <w:sz w:val="15"/>
        </w:rPr>
        <w:t>las</w:t>
      </w:r>
      <w:r>
        <w:rPr>
          <w:spacing w:val="-2"/>
          <w:w w:val="105"/>
          <w:sz w:val="15"/>
        </w:rPr>
        <w:t xml:space="preserve"> </w:t>
      </w:r>
      <w:r>
        <w:rPr>
          <w:w w:val="105"/>
          <w:sz w:val="15"/>
        </w:rPr>
        <w:t>medidas</w:t>
      </w:r>
      <w:r>
        <w:rPr>
          <w:spacing w:val="-2"/>
          <w:w w:val="105"/>
          <w:sz w:val="15"/>
        </w:rPr>
        <w:t xml:space="preserve"> </w:t>
      </w:r>
      <w:r>
        <w:rPr>
          <w:w w:val="105"/>
          <w:sz w:val="15"/>
        </w:rPr>
        <w:t>requeridas</w:t>
      </w:r>
      <w:r>
        <w:rPr>
          <w:spacing w:val="-2"/>
          <w:w w:val="105"/>
          <w:sz w:val="15"/>
        </w:rPr>
        <w:t xml:space="preserve"> </w:t>
      </w:r>
      <w:r>
        <w:rPr>
          <w:w w:val="105"/>
          <w:sz w:val="15"/>
        </w:rPr>
        <w:t>por</w:t>
      </w:r>
      <w:r>
        <w:rPr>
          <w:spacing w:val="-2"/>
          <w:w w:val="105"/>
          <w:sz w:val="15"/>
        </w:rPr>
        <w:t xml:space="preserve"> </w:t>
      </w:r>
      <w:r>
        <w:rPr>
          <w:w w:val="105"/>
          <w:sz w:val="15"/>
        </w:rPr>
        <w:t>los</w:t>
      </w:r>
      <w:r>
        <w:rPr>
          <w:spacing w:val="-2"/>
          <w:w w:val="105"/>
          <w:sz w:val="15"/>
        </w:rPr>
        <w:t xml:space="preserve"> </w:t>
      </w:r>
      <w:r>
        <w:rPr>
          <w:w w:val="105"/>
          <w:sz w:val="15"/>
        </w:rPr>
        <w:t>Estados</w:t>
      </w:r>
      <w:r>
        <w:rPr>
          <w:spacing w:val="-2"/>
          <w:w w:val="105"/>
          <w:sz w:val="15"/>
        </w:rPr>
        <w:t xml:space="preserve"> </w:t>
      </w:r>
      <w:r>
        <w:rPr>
          <w:w w:val="105"/>
          <w:sz w:val="15"/>
        </w:rPr>
        <w:t xml:space="preserve">para garantizar que los no ciudadanos no sean sometidos a ninguna forma de discriminación. Entre ellos se incluyen los principios generales de que: a) las “disposiciones jurídicas de los </w:t>
      </w:r>
      <w:proofErr w:type="gramStart"/>
      <w:r>
        <w:rPr>
          <w:w w:val="105"/>
          <w:sz w:val="15"/>
        </w:rPr>
        <w:t>Estados partes</w:t>
      </w:r>
      <w:proofErr w:type="gramEnd"/>
      <w:r>
        <w:rPr>
          <w:w w:val="105"/>
          <w:sz w:val="15"/>
        </w:rPr>
        <w:t xml:space="preserve"> no deben discriminar a ninguna nacionalidad en </w:t>
      </w:r>
      <w:proofErr w:type="gramStart"/>
      <w:r>
        <w:rPr>
          <w:w w:val="105"/>
          <w:sz w:val="15"/>
        </w:rPr>
        <w:t>particular”;</w:t>
      </w:r>
      <w:proofErr w:type="gramEnd"/>
      <w:r>
        <w:rPr>
          <w:spacing w:val="-8"/>
          <w:w w:val="105"/>
          <w:sz w:val="15"/>
        </w:rPr>
        <w:t xml:space="preserve"> </w:t>
      </w:r>
      <w:r>
        <w:rPr>
          <w:w w:val="105"/>
          <w:sz w:val="15"/>
        </w:rPr>
        <w:t>(b)</w:t>
      </w:r>
      <w:r>
        <w:rPr>
          <w:spacing w:val="-9"/>
          <w:w w:val="105"/>
          <w:sz w:val="15"/>
        </w:rPr>
        <w:t xml:space="preserve"> </w:t>
      </w:r>
      <w:r>
        <w:rPr>
          <w:w w:val="105"/>
          <w:sz w:val="15"/>
        </w:rPr>
        <w:t>el</w:t>
      </w:r>
      <w:r>
        <w:rPr>
          <w:spacing w:val="-9"/>
          <w:w w:val="105"/>
          <w:sz w:val="15"/>
        </w:rPr>
        <w:t xml:space="preserve"> </w:t>
      </w:r>
      <w:r>
        <w:rPr>
          <w:w w:val="105"/>
          <w:sz w:val="15"/>
        </w:rPr>
        <w:t>derecho</w:t>
      </w:r>
      <w:r>
        <w:rPr>
          <w:spacing w:val="-9"/>
          <w:w w:val="105"/>
          <w:sz w:val="15"/>
        </w:rPr>
        <w:t xml:space="preserve"> </w:t>
      </w:r>
      <w:r>
        <w:rPr>
          <w:w w:val="105"/>
          <w:sz w:val="15"/>
        </w:rPr>
        <w:t>internacional</w:t>
      </w:r>
      <w:r>
        <w:rPr>
          <w:spacing w:val="-9"/>
          <w:w w:val="105"/>
          <w:sz w:val="15"/>
        </w:rPr>
        <w:t xml:space="preserve"> </w:t>
      </w:r>
      <w:r>
        <w:rPr>
          <w:w w:val="105"/>
          <w:sz w:val="15"/>
        </w:rPr>
        <w:t>“debe</w:t>
      </w:r>
      <w:r>
        <w:rPr>
          <w:spacing w:val="-9"/>
          <w:w w:val="105"/>
          <w:sz w:val="15"/>
        </w:rPr>
        <w:t xml:space="preserve"> </w:t>
      </w:r>
      <w:r>
        <w:rPr>
          <w:w w:val="105"/>
          <w:sz w:val="15"/>
        </w:rPr>
        <w:t>interpretarse</w:t>
      </w:r>
      <w:r>
        <w:rPr>
          <w:spacing w:val="-9"/>
          <w:w w:val="105"/>
          <w:sz w:val="15"/>
        </w:rPr>
        <w:t xml:space="preserve"> </w:t>
      </w:r>
      <w:r>
        <w:rPr>
          <w:w w:val="105"/>
          <w:sz w:val="15"/>
        </w:rPr>
        <w:t>de</w:t>
      </w:r>
      <w:r>
        <w:rPr>
          <w:spacing w:val="-9"/>
          <w:w w:val="105"/>
          <w:sz w:val="15"/>
        </w:rPr>
        <w:t xml:space="preserve"> </w:t>
      </w:r>
      <w:r>
        <w:rPr>
          <w:w w:val="105"/>
          <w:sz w:val="15"/>
        </w:rPr>
        <w:t>manera</w:t>
      </w:r>
      <w:r>
        <w:rPr>
          <w:spacing w:val="-9"/>
          <w:w w:val="105"/>
          <w:sz w:val="15"/>
        </w:rPr>
        <w:t xml:space="preserve"> </w:t>
      </w:r>
      <w:r>
        <w:rPr>
          <w:w w:val="105"/>
          <w:sz w:val="15"/>
        </w:rPr>
        <w:t>que</w:t>
      </w:r>
      <w:r>
        <w:rPr>
          <w:spacing w:val="-9"/>
          <w:w w:val="105"/>
          <w:sz w:val="15"/>
        </w:rPr>
        <w:t xml:space="preserve"> </w:t>
      </w:r>
      <w:r>
        <w:rPr>
          <w:w w:val="105"/>
          <w:sz w:val="15"/>
        </w:rPr>
        <w:t>no</w:t>
      </w:r>
      <w:r>
        <w:rPr>
          <w:spacing w:val="-9"/>
          <w:w w:val="105"/>
          <w:sz w:val="15"/>
        </w:rPr>
        <w:t xml:space="preserve"> </w:t>
      </w:r>
      <w:r>
        <w:rPr>
          <w:w w:val="105"/>
          <w:sz w:val="15"/>
        </w:rPr>
        <w:t>se</w:t>
      </w:r>
      <w:r>
        <w:rPr>
          <w:spacing w:val="-9"/>
          <w:w w:val="105"/>
          <w:sz w:val="15"/>
        </w:rPr>
        <w:t xml:space="preserve"> </w:t>
      </w:r>
      <w:r>
        <w:rPr>
          <w:w w:val="105"/>
          <w:sz w:val="15"/>
        </w:rPr>
        <w:t>menoscabe</w:t>
      </w:r>
      <w:r>
        <w:rPr>
          <w:spacing w:val="-9"/>
          <w:w w:val="105"/>
          <w:sz w:val="15"/>
        </w:rPr>
        <w:t xml:space="preserve"> </w:t>
      </w:r>
      <w:r>
        <w:rPr>
          <w:w w:val="105"/>
          <w:sz w:val="15"/>
        </w:rPr>
        <w:t>la</w:t>
      </w:r>
      <w:r>
        <w:rPr>
          <w:spacing w:val="-9"/>
          <w:w w:val="105"/>
          <w:sz w:val="15"/>
        </w:rPr>
        <w:t xml:space="preserve"> </w:t>
      </w:r>
      <w:r>
        <w:rPr>
          <w:w w:val="105"/>
          <w:sz w:val="15"/>
        </w:rPr>
        <w:t>prohibición</w:t>
      </w:r>
      <w:r>
        <w:rPr>
          <w:spacing w:val="-9"/>
          <w:w w:val="105"/>
          <w:sz w:val="15"/>
        </w:rPr>
        <w:t xml:space="preserve"> </w:t>
      </w:r>
      <w:r>
        <w:rPr>
          <w:w w:val="105"/>
          <w:sz w:val="15"/>
        </w:rPr>
        <w:t>básica</w:t>
      </w:r>
      <w:r>
        <w:rPr>
          <w:spacing w:val="-9"/>
          <w:w w:val="105"/>
          <w:sz w:val="15"/>
        </w:rPr>
        <w:t xml:space="preserve"> </w:t>
      </w:r>
      <w:r>
        <w:rPr>
          <w:w w:val="105"/>
          <w:sz w:val="15"/>
        </w:rPr>
        <w:t xml:space="preserve">de </w:t>
      </w:r>
      <w:proofErr w:type="gramStart"/>
      <w:r>
        <w:rPr>
          <w:w w:val="105"/>
          <w:sz w:val="15"/>
        </w:rPr>
        <w:t>discriminación”;</w:t>
      </w:r>
      <w:proofErr w:type="gramEnd"/>
      <w:r>
        <w:rPr>
          <w:spacing w:val="-10"/>
          <w:w w:val="105"/>
          <w:sz w:val="15"/>
        </w:rPr>
        <w:t xml:space="preserve"> </w:t>
      </w:r>
      <w:r>
        <w:rPr>
          <w:w w:val="105"/>
          <w:sz w:val="15"/>
        </w:rPr>
        <w:t>(c)</w:t>
      </w:r>
      <w:r>
        <w:rPr>
          <w:spacing w:val="-11"/>
          <w:w w:val="105"/>
          <w:sz w:val="15"/>
        </w:rPr>
        <w:t xml:space="preserve"> </w:t>
      </w:r>
      <w:r>
        <w:rPr>
          <w:w w:val="105"/>
          <w:sz w:val="15"/>
        </w:rPr>
        <w:t>Los</w:t>
      </w:r>
      <w:r>
        <w:rPr>
          <w:spacing w:val="-11"/>
          <w:w w:val="105"/>
          <w:sz w:val="15"/>
        </w:rPr>
        <w:t xml:space="preserve"> </w:t>
      </w:r>
      <w:r>
        <w:rPr>
          <w:w w:val="105"/>
          <w:sz w:val="15"/>
        </w:rPr>
        <w:t>Estados</w:t>
      </w:r>
      <w:r>
        <w:rPr>
          <w:spacing w:val="-10"/>
          <w:w w:val="105"/>
          <w:sz w:val="15"/>
        </w:rPr>
        <w:t xml:space="preserve"> </w:t>
      </w:r>
      <w:r>
        <w:rPr>
          <w:w w:val="105"/>
          <w:sz w:val="15"/>
        </w:rPr>
        <w:t>tienen</w:t>
      </w:r>
      <w:r>
        <w:rPr>
          <w:spacing w:val="-11"/>
          <w:w w:val="105"/>
          <w:sz w:val="15"/>
        </w:rPr>
        <w:t xml:space="preserve"> </w:t>
      </w:r>
      <w:r>
        <w:rPr>
          <w:w w:val="105"/>
          <w:sz w:val="15"/>
        </w:rPr>
        <w:t>obligaciones</w:t>
      </w:r>
      <w:r>
        <w:rPr>
          <w:spacing w:val="-11"/>
          <w:w w:val="105"/>
          <w:sz w:val="15"/>
        </w:rPr>
        <w:t xml:space="preserve"> </w:t>
      </w:r>
      <w:r>
        <w:rPr>
          <w:w w:val="105"/>
          <w:sz w:val="15"/>
        </w:rPr>
        <w:t>positivas</w:t>
      </w:r>
      <w:r>
        <w:rPr>
          <w:spacing w:val="-11"/>
          <w:w w:val="105"/>
          <w:sz w:val="15"/>
        </w:rPr>
        <w:t xml:space="preserve"> </w:t>
      </w:r>
      <w:r>
        <w:rPr>
          <w:w w:val="105"/>
          <w:sz w:val="15"/>
        </w:rPr>
        <w:t>de</w:t>
      </w:r>
      <w:r>
        <w:rPr>
          <w:spacing w:val="-11"/>
          <w:w w:val="105"/>
          <w:sz w:val="15"/>
        </w:rPr>
        <w:t xml:space="preserve"> </w:t>
      </w:r>
      <w:r>
        <w:rPr>
          <w:w w:val="105"/>
          <w:sz w:val="15"/>
        </w:rPr>
        <w:t>“prohibir</w:t>
      </w:r>
      <w:r>
        <w:rPr>
          <w:spacing w:val="-11"/>
          <w:w w:val="105"/>
          <w:sz w:val="15"/>
        </w:rPr>
        <w:t xml:space="preserve"> </w:t>
      </w:r>
      <w:r>
        <w:rPr>
          <w:w w:val="105"/>
          <w:sz w:val="15"/>
        </w:rPr>
        <w:t>y</w:t>
      </w:r>
      <w:r>
        <w:rPr>
          <w:spacing w:val="-11"/>
          <w:w w:val="105"/>
          <w:sz w:val="15"/>
        </w:rPr>
        <w:t xml:space="preserve"> </w:t>
      </w:r>
      <w:r>
        <w:rPr>
          <w:w w:val="105"/>
          <w:sz w:val="15"/>
        </w:rPr>
        <w:t>eliminar</w:t>
      </w:r>
      <w:r>
        <w:rPr>
          <w:spacing w:val="-11"/>
          <w:w w:val="105"/>
          <w:sz w:val="15"/>
        </w:rPr>
        <w:t xml:space="preserve"> </w:t>
      </w:r>
      <w:r>
        <w:rPr>
          <w:w w:val="105"/>
          <w:sz w:val="15"/>
        </w:rPr>
        <w:t>la</w:t>
      </w:r>
      <w:r>
        <w:rPr>
          <w:spacing w:val="-11"/>
          <w:w w:val="105"/>
          <w:sz w:val="15"/>
        </w:rPr>
        <w:t xml:space="preserve"> </w:t>
      </w:r>
      <w:r>
        <w:rPr>
          <w:w w:val="105"/>
          <w:sz w:val="15"/>
        </w:rPr>
        <w:t>discriminación</w:t>
      </w:r>
      <w:r>
        <w:rPr>
          <w:spacing w:val="-11"/>
          <w:w w:val="105"/>
          <w:sz w:val="15"/>
        </w:rPr>
        <w:t xml:space="preserve"> </w:t>
      </w:r>
      <w:r>
        <w:rPr>
          <w:w w:val="105"/>
          <w:sz w:val="15"/>
        </w:rPr>
        <w:t>racial</w:t>
      </w:r>
      <w:r>
        <w:rPr>
          <w:spacing w:val="-11"/>
          <w:w w:val="105"/>
          <w:sz w:val="15"/>
        </w:rPr>
        <w:t xml:space="preserve"> </w:t>
      </w:r>
      <w:r>
        <w:rPr>
          <w:w w:val="105"/>
          <w:sz w:val="15"/>
        </w:rPr>
        <w:t>en</w:t>
      </w:r>
      <w:r>
        <w:rPr>
          <w:spacing w:val="-10"/>
          <w:w w:val="105"/>
          <w:sz w:val="15"/>
        </w:rPr>
        <w:t xml:space="preserve"> </w:t>
      </w:r>
      <w:r>
        <w:rPr>
          <w:w w:val="105"/>
          <w:sz w:val="15"/>
        </w:rPr>
        <w:t>el</w:t>
      </w:r>
      <w:r>
        <w:rPr>
          <w:spacing w:val="-11"/>
          <w:w w:val="105"/>
          <w:sz w:val="15"/>
        </w:rPr>
        <w:t xml:space="preserve"> </w:t>
      </w:r>
      <w:r>
        <w:rPr>
          <w:w w:val="105"/>
          <w:sz w:val="15"/>
        </w:rPr>
        <w:t>disfrute</w:t>
      </w:r>
      <w:r>
        <w:rPr>
          <w:spacing w:val="-11"/>
          <w:w w:val="105"/>
          <w:sz w:val="15"/>
        </w:rPr>
        <w:t xml:space="preserve"> </w:t>
      </w:r>
      <w:r>
        <w:rPr>
          <w:w w:val="105"/>
          <w:sz w:val="15"/>
        </w:rPr>
        <w:t>de</w:t>
      </w:r>
      <w:r>
        <w:rPr>
          <w:spacing w:val="-11"/>
          <w:w w:val="105"/>
          <w:sz w:val="15"/>
        </w:rPr>
        <w:t xml:space="preserve"> </w:t>
      </w:r>
      <w:r>
        <w:rPr>
          <w:w w:val="105"/>
          <w:sz w:val="15"/>
        </w:rPr>
        <w:t xml:space="preserve">los derechos civiles, políticos, económicos, sociales y culturales. … Los </w:t>
      </w:r>
      <w:proofErr w:type="gramStart"/>
      <w:r>
        <w:rPr>
          <w:w w:val="105"/>
          <w:sz w:val="15"/>
        </w:rPr>
        <w:t>Estados partes</w:t>
      </w:r>
      <w:proofErr w:type="gramEnd"/>
      <w:r>
        <w:rPr>
          <w:w w:val="105"/>
          <w:sz w:val="15"/>
        </w:rPr>
        <w:t xml:space="preserve"> tienen la obligación de garantizar la igualdad entre ciudadanos y no ciudadanos en el disfrute de estos derechos en la medida reconocida por el derecho </w:t>
      </w:r>
      <w:proofErr w:type="gramStart"/>
      <w:r>
        <w:rPr>
          <w:spacing w:val="-2"/>
          <w:w w:val="105"/>
          <w:sz w:val="15"/>
        </w:rPr>
        <w:t>internacional”;</w:t>
      </w:r>
      <w:proofErr w:type="gramEnd"/>
      <w:r>
        <w:rPr>
          <w:spacing w:val="-2"/>
          <w:w w:val="105"/>
          <w:sz w:val="15"/>
        </w:rPr>
        <w:t xml:space="preserve"> y (d) cualquier “trato diferenciado basado en la ciudadanía o el estatus migratorio constituirá discriminación si los </w:t>
      </w:r>
      <w:r>
        <w:rPr>
          <w:w w:val="105"/>
          <w:sz w:val="15"/>
        </w:rPr>
        <w:t>criterios</w:t>
      </w:r>
      <w:r>
        <w:rPr>
          <w:spacing w:val="-1"/>
          <w:w w:val="105"/>
          <w:sz w:val="15"/>
        </w:rPr>
        <w:t xml:space="preserve"> </w:t>
      </w:r>
      <w:r>
        <w:rPr>
          <w:w w:val="105"/>
          <w:sz w:val="15"/>
        </w:rPr>
        <w:t>para</w:t>
      </w:r>
      <w:r>
        <w:rPr>
          <w:spacing w:val="-1"/>
          <w:w w:val="105"/>
          <w:sz w:val="15"/>
        </w:rPr>
        <w:t xml:space="preserve"> </w:t>
      </w:r>
      <w:r>
        <w:rPr>
          <w:w w:val="105"/>
          <w:sz w:val="15"/>
        </w:rPr>
        <w:t>tal</w:t>
      </w:r>
      <w:r>
        <w:rPr>
          <w:spacing w:val="-1"/>
          <w:w w:val="105"/>
          <w:sz w:val="15"/>
        </w:rPr>
        <w:t xml:space="preserve"> </w:t>
      </w:r>
      <w:r>
        <w:rPr>
          <w:w w:val="105"/>
          <w:sz w:val="15"/>
        </w:rPr>
        <w:t>diferenciación... no</w:t>
      </w:r>
      <w:r>
        <w:rPr>
          <w:spacing w:val="-1"/>
          <w:w w:val="105"/>
          <w:sz w:val="15"/>
        </w:rPr>
        <w:t xml:space="preserve"> </w:t>
      </w:r>
      <w:r>
        <w:rPr>
          <w:w w:val="105"/>
          <w:sz w:val="15"/>
        </w:rPr>
        <w:t>se</w:t>
      </w:r>
      <w:r>
        <w:rPr>
          <w:spacing w:val="-1"/>
          <w:w w:val="105"/>
          <w:sz w:val="15"/>
        </w:rPr>
        <w:t xml:space="preserve"> </w:t>
      </w:r>
      <w:r>
        <w:rPr>
          <w:w w:val="105"/>
          <w:sz w:val="15"/>
        </w:rPr>
        <w:t>aplican</w:t>
      </w:r>
      <w:r>
        <w:rPr>
          <w:spacing w:val="-1"/>
          <w:w w:val="105"/>
          <w:sz w:val="15"/>
        </w:rPr>
        <w:t xml:space="preserve"> </w:t>
      </w:r>
      <w:r>
        <w:rPr>
          <w:w w:val="105"/>
          <w:sz w:val="15"/>
        </w:rPr>
        <w:t>conforme</w:t>
      </w:r>
      <w:r>
        <w:rPr>
          <w:spacing w:val="-1"/>
          <w:w w:val="105"/>
          <w:sz w:val="15"/>
        </w:rPr>
        <w:t xml:space="preserve"> </w:t>
      </w:r>
      <w:r>
        <w:rPr>
          <w:w w:val="105"/>
          <w:sz w:val="15"/>
        </w:rPr>
        <w:t>a</w:t>
      </w:r>
      <w:r>
        <w:rPr>
          <w:spacing w:val="-1"/>
          <w:w w:val="105"/>
          <w:sz w:val="15"/>
        </w:rPr>
        <w:t xml:space="preserve"> </w:t>
      </w:r>
      <w:r>
        <w:rPr>
          <w:w w:val="105"/>
          <w:sz w:val="15"/>
        </w:rPr>
        <w:t>un</w:t>
      </w:r>
      <w:r>
        <w:rPr>
          <w:spacing w:val="-1"/>
          <w:w w:val="105"/>
          <w:sz w:val="15"/>
        </w:rPr>
        <w:t xml:space="preserve"> </w:t>
      </w:r>
      <w:r>
        <w:rPr>
          <w:w w:val="105"/>
          <w:sz w:val="15"/>
        </w:rPr>
        <w:t>objetivo</w:t>
      </w:r>
      <w:r>
        <w:rPr>
          <w:spacing w:val="-1"/>
          <w:w w:val="105"/>
          <w:sz w:val="15"/>
        </w:rPr>
        <w:t xml:space="preserve"> </w:t>
      </w:r>
      <w:r>
        <w:rPr>
          <w:w w:val="105"/>
          <w:sz w:val="15"/>
        </w:rPr>
        <w:t>legítimo</w:t>
      </w:r>
      <w:r>
        <w:rPr>
          <w:spacing w:val="-1"/>
          <w:w w:val="105"/>
          <w:sz w:val="15"/>
        </w:rPr>
        <w:t xml:space="preserve"> </w:t>
      </w:r>
      <w:r>
        <w:rPr>
          <w:w w:val="105"/>
          <w:sz w:val="15"/>
        </w:rPr>
        <w:t>y</w:t>
      </w:r>
      <w:r>
        <w:rPr>
          <w:spacing w:val="-1"/>
          <w:w w:val="105"/>
          <w:sz w:val="15"/>
        </w:rPr>
        <w:t xml:space="preserve"> </w:t>
      </w:r>
      <w:r>
        <w:rPr>
          <w:w w:val="105"/>
          <w:sz w:val="15"/>
        </w:rPr>
        <w:t>no</w:t>
      </w:r>
      <w:r>
        <w:rPr>
          <w:spacing w:val="-1"/>
          <w:w w:val="105"/>
          <w:sz w:val="15"/>
        </w:rPr>
        <w:t xml:space="preserve"> </w:t>
      </w:r>
      <w:r>
        <w:rPr>
          <w:w w:val="105"/>
          <w:sz w:val="15"/>
        </w:rPr>
        <w:t>son</w:t>
      </w:r>
      <w:r>
        <w:rPr>
          <w:spacing w:val="-1"/>
          <w:w w:val="105"/>
          <w:sz w:val="15"/>
        </w:rPr>
        <w:t xml:space="preserve"> </w:t>
      </w:r>
      <w:r>
        <w:rPr>
          <w:w w:val="105"/>
          <w:sz w:val="15"/>
        </w:rPr>
        <w:t>proporcionales</w:t>
      </w:r>
      <w:r>
        <w:rPr>
          <w:spacing w:val="-1"/>
          <w:w w:val="105"/>
          <w:sz w:val="15"/>
        </w:rPr>
        <w:t xml:space="preserve"> </w:t>
      </w:r>
      <w:r>
        <w:rPr>
          <w:w w:val="105"/>
          <w:sz w:val="15"/>
        </w:rPr>
        <w:t>al</w:t>
      </w:r>
      <w:r>
        <w:rPr>
          <w:spacing w:val="-1"/>
          <w:w w:val="105"/>
          <w:sz w:val="15"/>
        </w:rPr>
        <w:t xml:space="preserve"> </w:t>
      </w:r>
      <w:r>
        <w:rPr>
          <w:w w:val="105"/>
          <w:sz w:val="15"/>
        </w:rPr>
        <w:t>logro</w:t>
      </w:r>
      <w:r>
        <w:rPr>
          <w:spacing w:val="-1"/>
          <w:w w:val="105"/>
          <w:sz w:val="15"/>
        </w:rPr>
        <w:t xml:space="preserve"> </w:t>
      </w:r>
      <w:r>
        <w:rPr>
          <w:w w:val="105"/>
          <w:sz w:val="15"/>
        </w:rPr>
        <w:t>de</w:t>
      </w:r>
      <w:r>
        <w:rPr>
          <w:spacing w:val="-1"/>
          <w:w w:val="105"/>
          <w:sz w:val="15"/>
        </w:rPr>
        <w:t xml:space="preserve"> </w:t>
      </w:r>
      <w:r>
        <w:rPr>
          <w:w w:val="105"/>
          <w:sz w:val="15"/>
        </w:rPr>
        <w:t xml:space="preserve">ese </w:t>
      </w:r>
      <w:r>
        <w:rPr>
          <w:spacing w:val="-2"/>
          <w:w w:val="105"/>
          <w:sz w:val="15"/>
        </w:rPr>
        <w:t>objetivo”.168</w:t>
      </w:r>
    </w:p>
    <w:p w14:paraId="156A4DA3" w14:textId="77777777" w:rsidR="0014798C" w:rsidRDefault="004E1F0B">
      <w:pPr>
        <w:spacing w:before="110" w:line="348" w:lineRule="auto"/>
        <w:ind w:left="1329" w:right="1335" w:firstLine="2"/>
        <w:rPr>
          <w:sz w:val="15"/>
        </w:rPr>
      </w:pPr>
      <w:r>
        <w:rPr>
          <w:w w:val="105"/>
          <w:sz w:val="15"/>
        </w:rPr>
        <w:t>Tribunales como el Tribunal Europeo de Derechos Humanos han considerado que los Estados violan la prohibición de la discriminación en casos relacionados, por ejemplo, con la exclusión de ciudadanos extranjeros de las prestaciones por desempleo</w:t>
      </w:r>
      <w:r>
        <w:rPr>
          <w:spacing w:val="-6"/>
          <w:w w:val="105"/>
          <w:sz w:val="15"/>
        </w:rPr>
        <w:t xml:space="preserve"> </w:t>
      </w:r>
      <w:r>
        <w:rPr>
          <w:w w:val="105"/>
          <w:sz w:val="15"/>
        </w:rPr>
        <w:t>o</w:t>
      </w:r>
      <w:r>
        <w:rPr>
          <w:spacing w:val="-6"/>
          <w:w w:val="105"/>
          <w:sz w:val="15"/>
        </w:rPr>
        <w:t xml:space="preserve"> </w:t>
      </w:r>
      <w:r>
        <w:rPr>
          <w:w w:val="105"/>
          <w:sz w:val="15"/>
        </w:rPr>
        <w:t>con</w:t>
      </w:r>
      <w:r>
        <w:rPr>
          <w:spacing w:val="-6"/>
          <w:w w:val="105"/>
          <w:sz w:val="15"/>
        </w:rPr>
        <w:t xml:space="preserve"> </w:t>
      </w:r>
      <w:r>
        <w:rPr>
          <w:w w:val="105"/>
          <w:sz w:val="15"/>
        </w:rPr>
        <w:t>la</w:t>
      </w:r>
      <w:r>
        <w:rPr>
          <w:spacing w:val="-6"/>
          <w:w w:val="105"/>
          <w:sz w:val="15"/>
        </w:rPr>
        <w:t xml:space="preserve"> </w:t>
      </w:r>
      <w:r>
        <w:rPr>
          <w:w w:val="105"/>
          <w:sz w:val="15"/>
        </w:rPr>
        <w:t>exigencia</w:t>
      </w:r>
      <w:r>
        <w:rPr>
          <w:spacing w:val="-6"/>
          <w:w w:val="105"/>
          <w:sz w:val="15"/>
        </w:rPr>
        <w:t xml:space="preserve"> </w:t>
      </w:r>
      <w:r>
        <w:rPr>
          <w:w w:val="105"/>
          <w:sz w:val="15"/>
        </w:rPr>
        <w:t>de</w:t>
      </w:r>
      <w:r>
        <w:rPr>
          <w:spacing w:val="-6"/>
          <w:w w:val="105"/>
          <w:sz w:val="15"/>
        </w:rPr>
        <w:t xml:space="preserve"> </w:t>
      </w:r>
      <w:r>
        <w:rPr>
          <w:w w:val="105"/>
          <w:sz w:val="15"/>
        </w:rPr>
        <w:t>que</w:t>
      </w:r>
      <w:r>
        <w:rPr>
          <w:spacing w:val="-6"/>
          <w:w w:val="105"/>
          <w:sz w:val="15"/>
        </w:rPr>
        <w:t xml:space="preserve"> </w:t>
      </w:r>
      <w:r>
        <w:rPr>
          <w:w w:val="105"/>
          <w:sz w:val="15"/>
        </w:rPr>
        <w:t>los</w:t>
      </w:r>
      <w:r>
        <w:rPr>
          <w:spacing w:val="-6"/>
          <w:w w:val="105"/>
          <w:sz w:val="15"/>
        </w:rPr>
        <w:t xml:space="preserve"> </w:t>
      </w:r>
      <w:r>
        <w:rPr>
          <w:w w:val="105"/>
          <w:sz w:val="15"/>
        </w:rPr>
        <w:t>no</w:t>
      </w:r>
      <w:r>
        <w:rPr>
          <w:spacing w:val="-6"/>
          <w:w w:val="105"/>
          <w:sz w:val="15"/>
        </w:rPr>
        <w:t xml:space="preserve"> </w:t>
      </w:r>
      <w:r>
        <w:rPr>
          <w:w w:val="105"/>
          <w:sz w:val="15"/>
        </w:rPr>
        <w:t>nacionales</w:t>
      </w:r>
      <w:r>
        <w:rPr>
          <w:spacing w:val="-6"/>
          <w:w w:val="105"/>
          <w:sz w:val="15"/>
        </w:rPr>
        <w:t xml:space="preserve"> </w:t>
      </w:r>
      <w:r>
        <w:rPr>
          <w:w w:val="105"/>
          <w:sz w:val="15"/>
        </w:rPr>
        <w:t>sin</w:t>
      </w:r>
      <w:r>
        <w:rPr>
          <w:spacing w:val="-6"/>
          <w:w w:val="105"/>
          <w:sz w:val="15"/>
        </w:rPr>
        <w:t xml:space="preserve"> </w:t>
      </w:r>
      <w:r>
        <w:rPr>
          <w:w w:val="105"/>
          <w:sz w:val="15"/>
        </w:rPr>
        <w:t>residencia</w:t>
      </w:r>
      <w:r>
        <w:rPr>
          <w:spacing w:val="-6"/>
          <w:w w:val="105"/>
          <w:sz w:val="15"/>
        </w:rPr>
        <w:t xml:space="preserve"> </w:t>
      </w:r>
      <w:r>
        <w:rPr>
          <w:w w:val="105"/>
          <w:sz w:val="15"/>
        </w:rPr>
        <w:t>permanente</w:t>
      </w:r>
      <w:r>
        <w:rPr>
          <w:spacing w:val="-6"/>
          <w:w w:val="105"/>
          <w:sz w:val="15"/>
        </w:rPr>
        <w:t xml:space="preserve"> </w:t>
      </w:r>
      <w:r>
        <w:rPr>
          <w:w w:val="105"/>
          <w:sz w:val="15"/>
        </w:rPr>
        <w:t>paguen</w:t>
      </w:r>
      <w:r>
        <w:rPr>
          <w:spacing w:val="-6"/>
          <w:w w:val="105"/>
          <w:sz w:val="15"/>
        </w:rPr>
        <w:t xml:space="preserve"> </w:t>
      </w:r>
      <w:r>
        <w:rPr>
          <w:w w:val="105"/>
          <w:sz w:val="15"/>
        </w:rPr>
        <w:t>las</w:t>
      </w:r>
      <w:r>
        <w:rPr>
          <w:spacing w:val="-6"/>
          <w:w w:val="105"/>
          <w:sz w:val="15"/>
        </w:rPr>
        <w:t xml:space="preserve"> </w:t>
      </w:r>
      <w:r>
        <w:rPr>
          <w:w w:val="105"/>
          <w:sz w:val="15"/>
        </w:rPr>
        <w:t>tasas</w:t>
      </w:r>
      <w:r>
        <w:rPr>
          <w:spacing w:val="-6"/>
          <w:w w:val="105"/>
          <w:sz w:val="15"/>
        </w:rPr>
        <w:t xml:space="preserve"> </w:t>
      </w:r>
      <w:r>
        <w:rPr>
          <w:w w:val="105"/>
          <w:sz w:val="15"/>
        </w:rPr>
        <w:t>de</w:t>
      </w:r>
      <w:r>
        <w:rPr>
          <w:spacing w:val="-6"/>
          <w:w w:val="105"/>
          <w:sz w:val="15"/>
        </w:rPr>
        <w:t xml:space="preserve"> </w:t>
      </w:r>
      <w:r>
        <w:rPr>
          <w:w w:val="105"/>
          <w:sz w:val="15"/>
        </w:rPr>
        <w:t>la</w:t>
      </w:r>
      <w:r>
        <w:rPr>
          <w:spacing w:val="-6"/>
          <w:w w:val="105"/>
          <w:sz w:val="15"/>
        </w:rPr>
        <w:t xml:space="preserve"> </w:t>
      </w:r>
      <w:r>
        <w:rPr>
          <w:w w:val="105"/>
          <w:sz w:val="15"/>
        </w:rPr>
        <w:t>escuela</w:t>
      </w:r>
      <w:r>
        <w:rPr>
          <w:spacing w:val="-6"/>
          <w:w w:val="105"/>
          <w:sz w:val="15"/>
        </w:rPr>
        <w:t xml:space="preserve"> </w:t>
      </w:r>
      <w:r>
        <w:rPr>
          <w:w w:val="105"/>
          <w:sz w:val="15"/>
        </w:rPr>
        <w:t>secundaria.169</w:t>
      </w:r>
    </w:p>
    <w:p w14:paraId="2A31174B" w14:textId="77777777" w:rsidR="0014798C" w:rsidRDefault="004E1F0B">
      <w:pPr>
        <w:spacing w:line="348" w:lineRule="auto"/>
        <w:ind w:left="1332" w:right="629" w:firstLine="5"/>
        <w:rPr>
          <w:sz w:val="15"/>
        </w:rPr>
      </w:pPr>
      <w:r>
        <w:rPr>
          <w:w w:val="105"/>
          <w:sz w:val="15"/>
        </w:rPr>
        <w:t>La</w:t>
      </w:r>
      <w:r>
        <w:rPr>
          <w:spacing w:val="-6"/>
          <w:w w:val="105"/>
          <w:sz w:val="15"/>
        </w:rPr>
        <w:t xml:space="preserve"> </w:t>
      </w:r>
      <w:r>
        <w:rPr>
          <w:w w:val="105"/>
          <w:sz w:val="15"/>
        </w:rPr>
        <w:t>Corte</w:t>
      </w:r>
      <w:r>
        <w:rPr>
          <w:spacing w:val="-6"/>
          <w:w w:val="105"/>
          <w:sz w:val="15"/>
        </w:rPr>
        <w:t xml:space="preserve"> </w:t>
      </w:r>
      <w:r>
        <w:rPr>
          <w:w w:val="105"/>
          <w:sz w:val="15"/>
        </w:rPr>
        <w:t>también</w:t>
      </w:r>
      <w:r>
        <w:rPr>
          <w:spacing w:val="-6"/>
          <w:w w:val="105"/>
          <w:sz w:val="15"/>
        </w:rPr>
        <w:t xml:space="preserve"> </w:t>
      </w:r>
      <w:r>
        <w:rPr>
          <w:w w:val="105"/>
          <w:sz w:val="15"/>
        </w:rPr>
        <w:t>ha</w:t>
      </w:r>
      <w:r>
        <w:rPr>
          <w:spacing w:val="-6"/>
          <w:w w:val="105"/>
          <w:sz w:val="15"/>
        </w:rPr>
        <w:t xml:space="preserve"> </w:t>
      </w:r>
      <w:r>
        <w:rPr>
          <w:w w:val="105"/>
          <w:sz w:val="15"/>
        </w:rPr>
        <w:t>dictaminado</w:t>
      </w:r>
      <w:r>
        <w:rPr>
          <w:spacing w:val="-6"/>
          <w:w w:val="105"/>
          <w:sz w:val="15"/>
        </w:rPr>
        <w:t xml:space="preserve"> </w:t>
      </w:r>
      <w:r>
        <w:rPr>
          <w:w w:val="105"/>
          <w:sz w:val="15"/>
        </w:rPr>
        <w:t>que</w:t>
      </w:r>
      <w:r>
        <w:rPr>
          <w:spacing w:val="-6"/>
          <w:w w:val="105"/>
          <w:sz w:val="15"/>
        </w:rPr>
        <w:t xml:space="preserve"> </w:t>
      </w:r>
      <w:r>
        <w:rPr>
          <w:w w:val="105"/>
          <w:sz w:val="15"/>
        </w:rPr>
        <w:t>los</w:t>
      </w:r>
      <w:r>
        <w:rPr>
          <w:spacing w:val="-6"/>
          <w:w w:val="105"/>
          <w:sz w:val="15"/>
        </w:rPr>
        <w:t xml:space="preserve"> </w:t>
      </w:r>
      <w:r>
        <w:rPr>
          <w:w w:val="105"/>
          <w:sz w:val="15"/>
        </w:rPr>
        <w:t>Estados</w:t>
      </w:r>
      <w:r>
        <w:rPr>
          <w:spacing w:val="-6"/>
          <w:w w:val="105"/>
          <w:sz w:val="15"/>
        </w:rPr>
        <w:t xml:space="preserve"> </w:t>
      </w:r>
      <w:r>
        <w:rPr>
          <w:w w:val="105"/>
          <w:sz w:val="15"/>
        </w:rPr>
        <w:t>violan</w:t>
      </w:r>
      <w:r>
        <w:rPr>
          <w:spacing w:val="-6"/>
          <w:w w:val="105"/>
          <w:sz w:val="15"/>
        </w:rPr>
        <w:t xml:space="preserve"> </w:t>
      </w:r>
      <w:r>
        <w:rPr>
          <w:w w:val="105"/>
          <w:sz w:val="15"/>
        </w:rPr>
        <w:t>la</w:t>
      </w:r>
      <w:r>
        <w:rPr>
          <w:spacing w:val="-6"/>
          <w:w w:val="105"/>
          <w:sz w:val="15"/>
        </w:rPr>
        <w:t xml:space="preserve"> </w:t>
      </w:r>
      <w:r>
        <w:rPr>
          <w:w w:val="105"/>
          <w:sz w:val="15"/>
        </w:rPr>
        <w:t>prohibición</w:t>
      </w:r>
      <w:r>
        <w:rPr>
          <w:spacing w:val="-6"/>
          <w:w w:val="105"/>
          <w:sz w:val="15"/>
        </w:rPr>
        <w:t xml:space="preserve"> </w:t>
      </w:r>
      <w:r>
        <w:rPr>
          <w:w w:val="105"/>
          <w:sz w:val="15"/>
        </w:rPr>
        <w:t>de</w:t>
      </w:r>
      <w:r>
        <w:rPr>
          <w:spacing w:val="-6"/>
          <w:w w:val="105"/>
          <w:sz w:val="15"/>
        </w:rPr>
        <w:t xml:space="preserve"> </w:t>
      </w:r>
      <w:r>
        <w:rPr>
          <w:w w:val="105"/>
          <w:sz w:val="15"/>
        </w:rPr>
        <w:t>la</w:t>
      </w:r>
      <w:r>
        <w:rPr>
          <w:spacing w:val="-6"/>
          <w:w w:val="105"/>
          <w:sz w:val="15"/>
        </w:rPr>
        <w:t xml:space="preserve"> </w:t>
      </w:r>
      <w:r>
        <w:rPr>
          <w:w w:val="105"/>
          <w:sz w:val="15"/>
        </w:rPr>
        <w:t>discriminación</w:t>
      </w:r>
      <w:r>
        <w:rPr>
          <w:spacing w:val="-6"/>
          <w:w w:val="105"/>
          <w:sz w:val="15"/>
        </w:rPr>
        <w:t xml:space="preserve"> </w:t>
      </w:r>
      <w:r>
        <w:rPr>
          <w:w w:val="105"/>
          <w:sz w:val="15"/>
        </w:rPr>
        <w:t>racial</w:t>
      </w:r>
      <w:r>
        <w:rPr>
          <w:spacing w:val="-6"/>
          <w:w w:val="105"/>
          <w:sz w:val="15"/>
        </w:rPr>
        <w:t xml:space="preserve"> </w:t>
      </w:r>
      <w:r>
        <w:rPr>
          <w:w w:val="105"/>
          <w:sz w:val="15"/>
        </w:rPr>
        <w:t>en</w:t>
      </w:r>
      <w:r>
        <w:rPr>
          <w:spacing w:val="-6"/>
          <w:w w:val="105"/>
          <w:sz w:val="15"/>
        </w:rPr>
        <w:t xml:space="preserve"> </w:t>
      </w:r>
      <w:r>
        <w:rPr>
          <w:w w:val="105"/>
          <w:sz w:val="15"/>
        </w:rPr>
        <w:t>los</w:t>
      </w:r>
      <w:r>
        <w:rPr>
          <w:spacing w:val="-6"/>
          <w:w w:val="105"/>
          <w:sz w:val="15"/>
        </w:rPr>
        <w:t xml:space="preserve"> </w:t>
      </w:r>
      <w:r>
        <w:rPr>
          <w:w w:val="105"/>
          <w:sz w:val="15"/>
        </w:rPr>
        <w:t>procedimientos</w:t>
      </w:r>
      <w:r>
        <w:rPr>
          <w:spacing w:val="-6"/>
          <w:w w:val="105"/>
          <w:sz w:val="15"/>
        </w:rPr>
        <w:t xml:space="preserve"> </w:t>
      </w:r>
      <w:r>
        <w:rPr>
          <w:w w:val="105"/>
          <w:sz w:val="15"/>
        </w:rPr>
        <w:t>de</w:t>
      </w:r>
      <w:r>
        <w:rPr>
          <w:spacing w:val="-6"/>
          <w:w w:val="105"/>
          <w:sz w:val="15"/>
        </w:rPr>
        <w:t xml:space="preserve"> </w:t>
      </w:r>
      <w:r>
        <w:rPr>
          <w:w w:val="105"/>
          <w:sz w:val="15"/>
        </w:rPr>
        <w:t>ciudadanía.170 En casos relacionados con la expulsión colectiva de extranjeros, la Corte ha exigido a los Estados un estándar de prueba aún</w:t>
      </w:r>
    </w:p>
    <w:p w14:paraId="3857711D" w14:textId="77777777" w:rsidR="0014798C" w:rsidRDefault="004E1F0B">
      <w:pPr>
        <w:spacing w:line="172" w:lineRule="exact"/>
        <w:ind w:left="1339"/>
        <w:rPr>
          <w:sz w:val="15"/>
        </w:rPr>
      </w:pPr>
      <w:r>
        <w:rPr>
          <w:w w:val="105"/>
          <w:sz w:val="15"/>
        </w:rPr>
        <w:t>más</w:t>
      </w:r>
      <w:r>
        <w:rPr>
          <w:spacing w:val="-6"/>
          <w:w w:val="105"/>
          <w:sz w:val="15"/>
        </w:rPr>
        <w:t xml:space="preserve"> </w:t>
      </w:r>
      <w:r>
        <w:rPr>
          <w:w w:val="105"/>
          <w:sz w:val="15"/>
        </w:rPr>
        <w:t>estricto</w:t>
      </w:r>
      <w:r>
        <w:rPr>
          <w:spacing w:val="-6"/>
          <w:w w:val="105"/>
          <w:sz w:val="15"/>
        </w:rPr>
        <w:t xml:space="preserve"> </w:t>
      </w:r>
      <w:r>
        <w:rPr>
          <w:w w:val="105"/>
          <w:sz w:val="15"/>
        </w:rPr>
        <w:t>que</w:t>
      </w:r>
      <w:r>
        <w:rPr>
          <w:spacing w:val="-5"/>
          <w:w w:val="105"/>
          <w:sz w:val="15"/>
        </w:rPr>
        <w:t xml:space="preserve"> </w:t>
      </w:r>
      <w:r>
        <w:rPr>
          <w:w w:val="105"/>
          <w:sz w:val="15"/>
        </w:rPr>
        <w:t>en</w:t>
      </w:r>
      <w:r>
        <w:rPr>
          <w:spacing w:val="-6"/>
          <w:w w:val="105"/>
          <w:sz w:val="15"/>
        </w:rPr>
        <w:t xml:space="preserve"> </w:t>
      </w:r>
      <w:r>
        <w:rPr>
          <w:w w:val="105"/>
          <w:sz w:val="15"/>
        </w:rPr>
        <w:t>otros</w:t>
      </w:r>
      <w:r>
        <w:rPr>
          <w:spacing w:val="-6"/>
          <w:w w:val="105"/>
          <w:sz w:val="15"/>
        </w:rPr>
        <w:t xml:space="preserve"> </w:t>
      </w:r>
      <w:r>
        <w:rPr>
          <w:w w:val="105"/>
          <w:sz w:val="15"/>
        </w:rPr>
        <w:t>casos</w:t>
      </w:r>
      <w:r>
        <w:rPr>
          <w:spacing w:val="-5"/>
          <w:w w:val="105"/>
          <w:sz w:val="15"/>
        </w:rPr>
        <w:t xml:space="preserve"> </w:t>
      </w:r>
      <w:r>
        <w:rPr>
          <w:w w:val="105"/>
          <w:sz w:val="15"/>
        </w:rPr>
        <w:t>de</w:t>
      </w:r>
      <w:r>
        <w:rPr>
          <w:spacing w:val="-6"/>
          <w:w w:val="105"/>
          <w:sz w:val="15"/>
        </w:rPr>
        <w:t xml:space="preserve"> </w:t>
      </w:r>
      <w:r>
        <w:rPr>
          <w:spacing w:val="-2"/>
          <w:w w:val="105"/>
          <w:sz w:val="15"/>
        </w:rPr>
        <w:t>discriminación.171</w:t>
      </w:r>
    </w:p>
    <w:p w14:paraId="0D9B2959" w14:textId="77777777" w:rsidR="0014798C" w:rsidRDefault="0014798C">
      <w:pPr>
        <w:pStyle w:val="Textoindependiente"/>
        <w:spacing w:before="5"/>
        <w:rPr>
          <w:sz w:val="15"/>
        </w:rPr>
      </w:pPr>
    </w:p>
    <w:p w14:paraId="148DFD92" w14:textId="77777777" w:rsidR="0014798C" w:rsidRDefault="004E1F0B">
      <w:pPr>
        <w:spacing w:line="350" w:lineRule="auto"/>
        <w:ind w:left="1332" w:right="1463"/>
        <w:rPr>
          <w:sz w:val="15"/>
        </w:rPr>
      </w:pPr>
      <w:r>
        <w:rPr>
          <w:w w:val="105"/>
          <w:sz w:val="15"/>
        </w:rPr>
        <w:t>De lo anterior se desprende que en la mayoría –si no en todos– los ámbitos de la vida económica, social y cultural, la discriminación</w:t>
      </w:r>
      <w:r>
        <w:rPr>
          <w:spacing w:val="-1"/>
          <w:w w:val="105"/>
          <w:sz w:val="15"/>
        </w:rPr>
        <w:t xml:space="preserve"> </w:t>
      </w:r>
      <w:r>
        <w:rPr>
          <w:w w:val="105"/>
          <w:sz w:val="15"/>
        </w:rPr>
        <w:t>por</w:t>
      </w:r>
      <w:r>
        <w:rPr>
          <w:spacing w:val="-1"/>
          <w:w w:val="105"/>
          <w:sz w:val="15"/>
        </w:rPr>
        <w:t xml:space="preserve"> </w:t>
      </w:r>
      <w:r>
        <w:rPr>
          <w:w w:val="105"/>
          <w:sz w:val="15"/>
        </w:rPr>
        <w:t>motivos</w:t>
      </w:r>
      <w:r>
        <w:rPr>
          <w:spacing w:val="-1"/>
          <w:w w:val="105"/>
          <w:sz w:val="15"/>
        </w:rPr>
        <w:t xml:space="preserve"> </w:t>
      </w:r>
      <w:r>
        <w:rPr>
          <w:w w:val="105"/>
          <w:sz w:val="15"/>
        </w:rPr>
        <w:t>de</w:t>
      </w:r>
      <w:r>
        <w:rPr>
          <w:spacing w:val="-1"/>
          <w:w w:val="105"/>
          <w:sz w:val="15"/>
        </w:rPr>
        <w:t xml:space="preserve"> </w:t>
      </w:r>
      <w:r>
        <w:rPr>
          <w:w w:val="105"/>
          <w:sz w:val="15"/>
        </w:rPr>
        <w:t>nacionalidad</w:t>
      </w:r>
      <w:r>
        <w:rPr>
          <w:spacing w:val="-1"/>
          <w:w w:val="105"/>
          <w:sz w:val="15"/>
        </w:rPr>
        <w:t xml:space="preserve"> </w:t>
      </w:r>
      <w:r>
        <w:rPr>
          <w:w w:val="105"/>
          <w:sz w:val="15"/>
        </w:rPr>
        <w:t>está</w:t>
      </w:r>
      <w:r>
        <w:rPr>
          <w:spacing w:val="-1"/>
          <w:w w:val="105"/>
          <w:sz w:val="15"/>
        </w:rPr>
        <w:t xml:space="preserve"> </w:t>
      </w:r>
      <w:r>
        <w:rPr>
          <w:w w:val="105"/>
          <w:sz w:val="15"/>
        </w:rPr>
        <w:t>prohibida</w:t>
      </w:r>
      <w:r>
        <w:rPr>
          <w:spacing w:val="-1"/>
          <w:w w:val="105"/>
          <w:sz w:val="15"/>
        </w:rPr>
        <w:t xml:space="preserve"> </w:t>
      </w:r>
      <w:r>
        <w:rPr>
          <w:w w:val="105"/>
          <w:sz w:val="15"/>
        </w:rPr>
        <w:t>del</w:t>
      </w:r>
      <w:r>
        <w:rPr>
          <w:spacing w:val="-1"/>
          <w:w w:val="105"/>
          <w:sz w:val="15"/>
        </w:rPr>
        <w:t xml:space="preserve"> </w:t>
      </w:r>
      <w:r>
        <w:rPr>
          <w:w w:val="105"/>
          <w:sz w:val="15"/>
        </w:rPr>
        <w:t>mismo</w:t>
      </w:r>
      <w:r>
        <w:rPr>
          <w:spacing w:val="-1"/>
          <w:w w:val="105"/>
          <w:sz w:val="15"/>
        </w:rPr>
        <w:t xml:space="preserve"> </w:t>
      </w:r>
      <w:r>
        <w:rPr>
          <w:w w:val="105"/>
          <w:sz w:val="15"/>
        </w:rPr>
        <w:t>modo</w:t>
      </w:r>
      <w:r>
        <w:rPr>
          <w:spacing w:val="-1"/>
          <w:w w:val="105"/>
          <w:sz w:val="15"/>
        </w:rPr>
        <w:t xml:space="preserve"> </w:t>
      </w:r>
      <w:r>
        <w:rPr>
          <w:w w:val="105"/>
          <w:sz w:val="15"/>
        </w:rPr>
        <w:t>que</w:t>
      </w:r>
      <w:r>
        <w:rPr>
          <w:spacing w:val="-1"/>
          <w:w w:val="105"/>
          <w:sz w:val="15"/>
        </w:rPr>
        <w:t xml:space="preserve"> </w:t>
      </w:r>
      <w:r>
        <w:rPr>
          <w:w w:val="105"/>
          <w:sz w:val="15"/>
        </w:rPr>
        <w:t>cualquier</w:t>
      </w:r>
      <w:r>
        <w:rPr>
          <w:spacing w:val="-1"/>
          <w:w w:val="105"/>
          <w:sz w:val="15"/>
        </w:rPr>
        <w:t xml:space="preserve"> </w:t>
      </w:r>
      <w:r>
        <w:rPr>
          <w:w w:val="105"/>
          <w:sz w:val="15"/>
        </w:rPr>
        <w:t>otro</w:t>
      </w:r>
      <w:r>
        <w:rPr>
          <w:spacing w:val="-1"/>
          <w:w w:val="105"/>
          <w:sz w:val="15"/>
        </w:rPr>
        <w:t xml:space="preserve"> </w:t>
      </w:r>
      <w:r>
        <w:rPr>
          <w:w w:val="105"/>
          <w:sz w:val="15"/>
        </w:rPr>
        <w:t>motivo</w:t>
      </w:r>
      <w:r>
        <w:rPr>
          <w:spacing w:val="-1"/>
          <w:w w:val="105"/>
          <w:sz w:val="15"/>
        </w:rPr>
        <w:t xml:space="preserve"> </w:t>
      </w:r>
      <w:r>
        <w:rPr>
          <w:w w:val="105"/>
          <w:sz w:val="15"/>
        </w:rPr>
        <w:t>de</w:t>
      </w:r>
      <w:r>
        <w:rPr>
          <w:spacing w:val="-1"/>
          <w:w w:val="105"/>
          <w:sz w:val="15"/>
        </w:rPr>
        <w:t xml:space="preserve"> </w:t>
      </w:r>
      <w:r>
        <w:rPr>
          <w:w w:val="105"/>
          <w:sz w:val="15"/>
        </w:rPr>
        <w:t>discriminación. El cumplimiento</w:t>
      </w:r>
      <w:r>
        <w:rPr>
          <w:spacing w:val="-7"/>
          <w:w w:val="105"/>
          <w:sz w:val="15"/>
        </w:rPr>
        <w:t xml:space="preserve"> </w:t>
      </w:r>
      <w:r>
        <w:rPr>
          <w:w w:val="105"/>
          <w:sz w:val="15"/>
        </w:rPr>
        <w:t>del</w:t>
      </w:r>
      <w:r>
        <w:rPr>
          <w:spacing w:val="-7"/>
          <w:w w:val="105"/>
          <w:sz w:val="15"/>
        </w:rPr>
        <w:t xml:space="preserve"> </w:t>
      </w:r>
      <w:r>
        <w:rPr>
          <w:w w:val="105"/>
          <w:sz w:val="15"/>
        </w:rPr>
        <w:t>derecho</w:t>
      </w:r>
      <w:r>
        <w:rPr>
          <w:spacing w:val="-7"/>
          <w:w w:val="105"/>
          <w:sz w:val="15"/>
        </w:rPr>
        <w:t xml:space="preserve"> </w:t>
      </w:r>
      <w:r>
        <w:rPr>
          <w:w w:val="105"/>
          <w:sz w:val="15"/>
        </w:rPr>
        <w:t>internacional</w:t>
      </w:r>
      <w:r>
        <w:rPr>
          <w:spacing w:val="-7"/>
          <w:w w:val="105"/>
          <w:sz w:val="15"/>
        </w:rPr>
        <w:t xml:space="preserve"> </w:t>
      </w:r>
      <w:r>
        <w:rPr>
          <w:w w:val="105"/>
          <w:sz w:val="15"/>
        </w:rPr>
        <w:t>de</w:t>
      </w:r>
      <w:r>
        <w:rPr>
          <w:spacing w:val="-7"/>
          <w:w w:val="105"/>
          <w:sz w:val="15"/>
        </w:rPr>
        <w:t xml:space="preserve"> </w:t>
      </w:r>
      <w:r>
        <w:rPr>
          <w:w w:val="105"/>
          <w:sz w:val="15"/>
        </w:rPr>
        <w:t>los</w:t>
      </w:r>
      <w:r>
        <w:rPr>
          <w:spacing w:val="-7"/>
          <w:w w:val="105"/>
          <w:sz w:val="15"/>
        </w:rPr>
        <w:t xml:space="preserve"> </w:t>
      </w:r>
      <w:r>
        <w:rPr>
          <w:w w:val="105"/>
          <w:sz w:val="15"/>
        </w:rPr>
        <w:t>derechos</w:t>
      </w:r>
      <w:r>
        <w:rPr>
          <w:spacing w:val="-7"/>
          <w:w w:val="105"/>
          <w:sz w:val="15"/>
        </w:rPr>
        <w:t xml:space="preserve"> </w:t>
      </w:r>
      <w:r>
        <w:rPr>
          <w:w w:val="105"/>
          <w:sz w:val="15"/>
        </w:rPr>
        <w:t>humanos</w:t>
      </w:r>
      <w:r>
        <w:rPr>
          <w:spacing w:val="-7"/>
          <w:w w:val="105"/>
          <w:sz w:val="15"/>
        </w:rPr>
        <w:t xml:space="preserve"> </w:t>
      </w:r>
      <w:r>
        <w:rPr>
          <w:w w:val="105"/>
          <w:sz w:val="15"/>
        </w:rPr>
        <w:t>exige</w:t>
      </w:r>
      <w:r>
        <w:rPr>
          <w:spacing w:val="-7"/>
          <w:w w:val="105"/>
          <w:sz w:val="15"/>
        </w:rPr>
        <w:t xml:space="preserve"> </w:t>
      </w:r>
      <w:r>
        <w:rPr>
          <w:w w:val="105"/>
          <w:sz w:val="15"/>
        </w:rPr>
        <w:t>que,</w:t>
      </w:r>
      <w:r>
        <w:rPr>
          <w:spacing w:val="-7"/>
          <w:w w:val="105"/>
          <w:sz w:val="15"/>
        </w:rPr>
        <w:t xml:space="preserve"> </w:t>
      </w:r>
      <w:r>
        <w:rPr>
          <w:w w:val="105"/>
          <w:sz w:val="15"/>
        </w:rPr>
        <w:t>en</w:t>
      </w:r>
      <w:r>
        <w:rPr>
          <w:spacing w:val="-7"/>
          <w:w w:val="105"/>
          <w:sz w:val="15"/>
        </w:rPr>
        <w:t xml:space="preserve"> </w:t>
      </w:r>
      <w:r>
        <w:rPr>
          <w:w w:val="105"/>
          <w:sz w:val="15"/>
        </w:rPr>
        <w:t>situaciones</w:t>
      </w:r>
      <w:r>
        <w:rPr>
          <w:spacing w:val="-7"/>
          <w:w w:val="105"/>
          <w:sz w:val="15"/>
        </w:rPr>
        <w:t xml:space="preserve"> </w:t>
      </w:r>
      <w:r>
        <w:rPr>
          <w:w w:val="105"/>
          <w:sz w:val="15"/>
        </w:rPr>
        <w:t>en</w:t>
      </w:r>
      <w:r>
        <w:rPr>
          <w:spacing w:val="-7"/>
          <w:w w:val="105"/>
          <w:sz w:val="15"/>
        </w:rPr>
        <w:t xml:space="preserve"> </w:t>
      </w:r>
      <w:r>
        <w:rPr>
          <w:w w:val="105"/>
          <w:sz w:val="15"/>
        </w:rPr>
        <w:t>las</w:t>
      </w:r>
      <w:r>
        <w:rPr>
          <w:spacing w:val="-7"/>
          <w:w w:val="105"/>
          <w:sz w:val="15"/>
        </w:rPr>
        <w:t xml:space="preserve"> </w:t>
      </w:r>
      <w:r>
        <w:rPr>
          <w:w w:val="105"/>
          <w:sz w:val="15"/>
        </w:rPr>
        <w:t>que</w:t>
      </w:r>
      <w:r>
        <w:rPr>
          <w:spacing w:val="-7"/>
          <w:w w:val="105"/>
          <w:sz w:val="15"/>
        </w:rPr>
        <w:t xml:space="preserve"> </w:t>
      </w:r>
      <w:r>
        <w:rPr>
          <w:w w:val="105"/>
          <w:sz w:val="15"/>
        </w:rPr>
        <w:t>se</w:t>
      </w:r>
      <w:r>
        <w:rPr>
          <w:spacing w:val="-7"/>
          <w:w w:val="105"/>
          <w:sz w:val="15"/>
        </w:rPr>
        <w:t xml:space="preserve"> </w:t>
      </w:r>
      <w:r>
        <w:rPr>
          <w:w w:val="105"/>
          <w:sz w:val="15"/>
        </w:rPr>
        <w:t>incluyan</w:t>
      </w:r>
      <w:r>
        <w:rPr>
          <w:spacing w:val="-7"/>
          <w:w w:val="105"/>
          <w:sz w:val="15"/>
        </w:rPr>
        <w:t xml:space="preserve"> </w:t>
      </w:r>
      <w:r>
        <w:rPr>
          <w:w w:val="105"/>
          <w:sz w:val="15"/>
        </w:rPr>
        <w:t>excepciones relacionadas</w:t>
      </w:r>
      <w:r>
        <w:rPr>
          <w:spacing w:val="-1"/>
          <w:w w:val="105"/>
          <w:sz w:val="15"/>
        </w:rPr>
        <w:t xml:space="preserve"> </w:t>
      </w:r>
      <w:r>
        <w:rPr>
          <w:w w:val="105"/>
          <w:sz w:val="15"/>
        </w:rPr>
        <w:t>con</w:t>
      </w:r>
      <w:r>
        <w:rPr>
          <w:spacing w:val="-1"/>
          <w:w w:val="105"/>
          <w:sz w:val="15"/>
        </w:rPr>
        <w:t xml:space="preserve"> </w:t>
      </w:r>
      <w:r>
        <w:rPr>
          <w:w w:val="105"/>
          <w:sz w:val="15"/>
        </w:rPr>
        <w:t>la</w:t>
      </w:r>
      <w:r>
        <w:rPr>
          <w:spacing w:val="-1"/>
          <w:w w:val="105"/>
          <w:sz w:val="15"/>
        </w:rPr>
        <w:t xml:space="preserve"> </w:t>
      </w:r>
      <w:r>
        <w:rPr>
          <w:w w:val="105"/>
          <w:sz w:val="15"/>
        </w:rPr>
        <w:t>nacionalidad</w:t>
      </w:r>
      <w:r>
        <w:rPr>
          <w:spacing w:val="-1"/>
          <w:w w:val="105"/>
          <w:sz w:val="15"/>
        </w:rPr>
        <w:t xml:space="preserve"> </w:t>
      </w:r>
      <w:r>
        <w:rPr>
          <w:w w:val="105"/>
          <w:sz w:val="15"/>
        </w:rPr>
        <w:t>en</w:t>
      </w:r>
      <w:r>
        <w:rPr>
          <w:spacing w:val="-1"/>
          <w:w w:val="105"/>
          <w:sz w:val="15"/>
        </w:rPr>
        <w:t xml:space="preserve"> </w:t>
      </w:r>
      <w:r>
        <w:rPr>
          <w:w w:val="105"/>
          <w:sz w:val="15"/>
        </w:rPr>
        <w:t>la</w:t>
      </w:r>
      <w:r>
        <w:rPr>
          <w:spacing w:val="-1"/>
          <w:w w:val="105"/>
          <w:sz w:val="15"/>
        </w:rPr>
        <w:t xml:space="preserve"> </w:t>
      </w:r>
      <w:r>
        <w:rPr>
          <w:w w:val="105"/>
          <w:sz w:val="15"/>
        </w:rPr>
        <w:t>legislación</w:t>
      </w:r>
      <w:r>
        <w:rPr>
          <w:spacing w:val="-1"/>
          <w:w w:val="105"/>
          <w:sz w:val="15"/>
        </w:rPr>
        <w:t xml:space="preserve"> </w:t>
      </w:r>
      <w:r>
        <w:rPr>
          <w:w w:val="105"/>
          <w:sz w:val="15"/>
        </w:rPr>
        <w:t>nacional, éstas</w:t>
      </w:r>
      <w:r>
        <w:rPr>
          <w:spacing w:val="-1"/>
          <w:w w:val="105"/>
          <w:sz w:val="15"/>
        </w:rPr>
        <w:t xml:space="preserve"> </w:t>
      </w:r>
      <w:r>
        <w:rPr>
          <w:w w:val="105"/>
          <w:sz w:val="15"/>
        </w:rPr>
        <w:t>se</w:t>
      </w:r>
      <w:r>
        <w:rPr>
          <w:spacing w:val="-1"/>
          <w:w w:val="105"/>
          <w:sz w:val="15"/>
        </w:rPr>
        <w:t xml:space="preserve"> </w:t>
      </w:r>
      <w:r>
        <w:rPr>
          <w:w w:val="105"/>
          <w:sz w:val="15"/>
        </w:rPr>
        <w:t>definan</w:t>
      </w:r>
      <w:r>
        <w:rPr>
          <w:spacing w:val="-1"/>
          <w:w w:val="105"/>
          <w:sz w:val="15"/>
        </w:rPr>
        <w:t xml:space="preserve"> </w:t>
      </w:r>
      <w:r>
        <w:rPr>
          <w:w w:val="105"/>
          <w:sz w:val="15"/>
        </w:rPr>
        <w:t>de</w:t>
      </w:r>
      <w:r>
        <w:rPr>
          <w:spacing w:val="-1"/>
          <w:w w:val="105"/>
          <w:sz w:val="15"/>
        </w:rPr>
        <w:t xml:space="preserve"> </w:t>
      </w:r>
      <w:r>
        <w:rPr>
          <w:w w:val="105"/>
          <w:sz w:val="15"/>
        </w:rPr>
        <w:t>manera</w:t>
      </w:r>
      <w:r>
        <w:rPr>
          <w:spacing w:val="-1"/>
          <w:w w:val="105"/>
          <w:sz w:val="15"/>
        </w:rPr>
        <w:t xml:space="preserve"> </w:t>
      </w:r>
      <w:r>
        <w:rPr>
          <w:w w:val="105"/>
          <w:sz w:val="15"/>
        </w:rPr>
        <w:t>estricta. Además, de</w:t>
      </w:r>
      <w:r>
        <w:rPr>
          <w:spacing w:val="-1"/>
          <w:w w:val="105"/>
          <w:sz w:val="15"/>
        </w:rPr>
        <w:t xml:space="preserve"> </w:t>
      </w:r>
      <w:r>
        <w:rPr>
          <w:w w:val="105"/>
          <w:sz w:val="15"/>
        </w:rPr>
        <w:t>la</w:t>
      </w:r>
      <w:r>
        <w:rPr>
          <w:spacing w:val="-1"/>
          <w:w w:val="105"/>
          <w:sz w:val="15"/>
        </w:rPr>
        <w:t xml:space="preserve"> </w:t>
      </w:r>
      <w:r>
        <w:rPr>
          <w:w w:val="105"/>
          <w:sz w:val="15"/>
        </w:rPr>
        <w:t>prohibición general</w:t>
      </w:r>
      <w:r>
        <w:rPr>
          <w:spacing w:val="-1"/>
          <w:w w:val="105"/>
          <w:sz w:val="15"/>
        </w:rPr>
        <w:t xml:space="preserve"> </w:t>
      </w:r>
      <w:r>
        <w:rPr>
          <w:w w:val="105"/>
          <w:sz w:val="15"/>
        </w:rPr>
        <w:t>de</w:t>
      </w:r>
      <w:r>
        <w:rPr>
          <w:spacing w:val="-1"/>
          <w:w w:val="105"/>
          <w:sz w:val="15"/>
        </w:rPr>
        <w:t xml:space="preserve"> </w:t>
      </w:r>
      <w:r>
        <w:rPr>
          <w:w w:val="105"/>
          <w:sz w:val="15"/>
        </w:rPr>
        <w:t>la</w:t>
      </w:r>
      <w:r>
        <w:rPr>
          <w:spacing w:val="-1"/>
          <w:w w:val="105"/>
          <w:sz w:val="15"/>
        </w:rPr>
        <w:t xml:space="preserve"> </w:t>
      </w:r>
      <w:r>
        <w:rPr>
          <w:w w:val="105"/>
          <w:sz w:val="15"/>
        </w:rPr>
        <w:t>discriminación</w:t>
      </w:r>
      <w:r>
        <w:rPr>
          <w:spacing w:val="-1"/>
          <w:w w:val="105"/>
          <w:sz w:val="15"/>
        </w:rPr>
        <w:t xml:space="preserve"> </w:t>
      </w:r>
      <w:r>
        <w:rPr>
          <w:w w:val="105"/>
          <w:sz w:val="15"/>
        </w:rPr>
        <w:t>se</w:t>
      </w:r>
      <w:r>
        <w:rPr>
          <w:spacing w:val="-1"/>
          <w:w w:val="105"/>
          <w:sz w:val="15"/>
        </w:rPr>
        <w:t xml:space="preserve"> </w:t>
      </w:r>
      <w:r>
        <w:rPr>
          <w:w w:val="105"/>
          <w:sz w:val="15"/>
        </w:rPr>
        <w:t>desprende</w:t>
      </w:r>
      <w:r>
        <w:rPr>
          <w:spacing w:val="-1"/>
          <w:w w:val="105"/>
          <w:sz w:val="15"/>
        </w:rPr>
        <w:t xml:space="preserve"> </w:t>
      </w:r>
      <w:r>
        <w:rPr>
          <w:w w:val="105"/>
          <w:sz w:val="15"/>
        </w:rPr>
        <w:t>que</w:t>
      </w:r>
      <w:r>
        <w:rPr>
          <w:spacing w:val="-1"/>
          <w:w w:val="105"/>
          <w:sz w:val="15"/>
        </w:rPr>
        <w:t xml:space="preserve"> </w:t>
      </w:r>
      <w:r>
        <w:rPr>
          <w:w w:val="105"/>
          <w:sz w:val="15"/>
        </w:rPr>
        <w:t>los</w:t>
      </w:r>
      <w:r>
        <w:rPr>
          <w:spacing w:val="-1"/>
          <w:w w:val="105"/>
          <w:sz w:val="15"/>
        </w:rPr>
        <w:t xml:space="preserve"> </w:t>
      </w:r>
      <w:r>
        <w:rPr>
          <w:w w:val="105"/>
          <w:sz w:val="15"/>
        </w:rPr>
        <w:t>no</w:t>
      </w:r>
      <w:r>
        <w:rPr>
          <w:spacing w:val="-1"/>
          <w:w w:val="105"/>
          <w:sz w:val="15"/>
        </w:rPr>
        <w:t xml:space="preserve"> </w:t>
      </w:r>
      <w:r>
        <w:rPr>
          <w:w w:val="105"/>
          <w:sz w:val="15"/>
        </w:rPr>
        <w:t>nacionales</w:t>
      </w:r>
      <w:r>
        <w:rPr>
          <w:spacing w:val="-1"/>
          <w:w w:val="105"/>
          <w:sz w:val="15"/>
        </w:rPr>
        <w:t xml:space="preserve"> </w:t>
      </w:r>
      <w:r>
        <w:rPr>
          <w:w w:val="105"/>
          <w:sz w:val="15"/>
        </w:rPr>
        <w:t>también</w:t>
      </w:r>
      <w:r>
        <w:rPr>
          <w:spacing w:val="-1"/>
          <w:w w:val="105"/>
          <w:sz w:val="15"/>
        </w:rPr>
        <w:t xml:space="preserve"> </w:t>
      </w:r>
      <w:r>
        <w:rPr>
          <w:w w:val="105"/>
          <w:sz w:val="15"/>
        </w:rPr>
        <w:t>deben</w:t>
      </w:r>
      <w:r>
        <w:rPr>
          <w:spacing w:val="-1"/>
          <w:w w:val="105"/>
          <w:sz w:val="15"/>
        </w:rPr>
        <w:t xml:space="preserve"> </w:t>
      </w:r>
      <w:r>
        <w:rPr>
          <w:w w:val="105"/>
          <w:sz w:val="15"/>
        </w:rPr>
        <w:t>recibir</w:t>
      </w:r>
      <w:r>
        <w:rPr>
          <w:spacing w:val="-1"/>
          <w:w w:val="105"/>
          <w:sz w:val="15"/>
        </w:rPr>
        <w:t xml:space="preserve"> </w:t>
      </w:r>
      <w:r>
        <w:rPr>
          <w:w w:val="105"/>
          <w:sz w:val="15"/>
        </w:rPr>
        <w:t>protección</w:t>
      </w:r>
      <w:r>
        <w:rPr>
          <w:spacing w:val="-1"/>
          <w:w w:val="105"/>
          <w:sz w:val="15"/>
        </w:rPr>
        <w:t xml:space="preserve"> </w:t>
      </w:r>
      <w:r>
        <w:rPr>
          <w:w w:val="105"/>
          <w:sz w:val="15"/>
        </w:rPr>
        <w:t>contra</w:t>
      </w:r>
      <w:r>
        <w:rPr>
          <w:spacing w:val="-1"/>
          <w:w w:val="105"/>
          <w:sz w:val="15"/>
        </w:rPr>
        <w:t xml:space="preserve"> </w:t>
      </w:r>
      <w:r>
        <w:rPr>
          <w:w w:val="105"/>
          <w:sz w:val="15"/>
        </w:rPr>
        <w:t>la</w:t>
      </w:r>
      <w:r>
        <w:rPr>
          <w:spacing w:val="-1"/>
          <w:w w:val="105"/>
          <w:sz w:val="15"/>
        </w:rPr>
        <w:t xml:space="preserve"> </w:t>
      </w:r>
      <w:r>
        <w:rPr>
          <w:w w:val="105"/>
          <w:sz w:val="15"/>
        </w:rPr>
        <w:t>discriminación</w:t>
      </w:r>
      <w:r>
        <w:rPr>
          <w:spacing w:val="-1"/>
          <w:w w:val="105"/>
          <w:sz w:val="15"/>
        </w:rPr>
        <w:t xml:space="preserve"> </w:t>
      </w:r>
      <w:r>
        <w:rPr>
          <w:w w:val="105"/>
          <w:sz w:val="15"/>
        </w:rPr>
        <w:t>en áreas</w:t>
      </w:r>
      <w:r>
        <w:rPr>
          <w:spacing w:val="-1"/>
          <w:w w:val="105"/>
          <w:sz w:val="15"/>
        </w:rPr>
        <w:t xml:space="preserve"> </w:t>
      </w:r>
      <w:r>
        <w:rPr>
          <w:w w:val="105"/>
          <w:sz w:val="15"/>
        </w:rPr>
        <w:t>como</w:t>
      </w:r>
      <w:r>
        <w:rPr>
          <w:spacing w:val="-1"/>
          <w:w w:val="105"/>
          <w:sz w:val="15"/>
        </w:rPr>
        <w:t xml:space="preserve"> </w:t>
      </w:r>
      <w:r>
        <w:rPr>
          <w:w w:val="105"/>
          <w:sz w:val="15"/>
        </w:rPr>
        <w:t>la</w:t>
      </w:r>
      <w:r>
        <w:rPr>
          <w:spacing w:val="-1"/>
          <w:w w:val="105"/>
          <w:sz w:val="15"/>
        </w:rPr>
        <w:t xml:space="preserve"> </w:t>
      </w:r>
      <w:r>
        <w:rPr>
          <w:w w:val="105"/>
          <w:sz w:val="15"/>
        </w:rPr>
        <w:t>inmigración, la</w:t>
      </w:r>
      <w:r>
        <w:rPr>
          <w:spacing w:val="-1"/>
          <w:w w:val="105"/>
          <w:sz w:val="15"/>
        </w:rPr>
        <w:t xml:space="preserve"> </w:t>
      </w:r>
      <w:r>
        <w:rPr>
          <w:w w:val="105"/>
          <w:sz w:val="15"/>
        </w:rPr>
        <w:t>deportación, la</w:t>
      </w:r>
      <w:r>
        <w:rPr>
          <w:spacing w:val="-1"/>
          <w:w w:val="105"/>
          <w:sz w:val="15"/>
        </w:rPr>
        <w:t xml:space="preserve"> </w:t>
      </w:r>
      <w:r>
        <w:rPr>
          <w:w w:val="105"/>
          <w:sz w:val="15"/>
        </w:rPr>
        <w:t>ciudadanía</w:t>
      </w:r>
      <w:r>
        <w:rPr>
          <w:spacing w:val="-1"/>
          <w:w w:val="105"/>
          <w:sz w:val="15"/>
        </w:rPr>
        <w:t xml:space="preserve"> </w:t>
      </w:r>
      <w:r>
        <w:rPr>
          <w:w w:val="105"/>
          <w:sz w:val="15"/>
        </w:rPr>
        <w:t>y</w:t>
      </w:r>
      <w:r>
        <w:rPr>
          <w:spacing w:val="-1"/>
          <w:w w:val="105"/>
          <w:sz w:val="15"/>
        </w:rPr>
        <w:t xml:space="preserve"> </w:t>
      </w:r>
      <w:r>
        <w:rPr>
          <w:w w:val="105"/>
          <w:sz w:val="15"/>
        </w:rPr>
        <w:t>otros</w:t>
      </w:r>
      <w:r>
        <w:rPr>
          <w:spacing w:val="-1"/>
          <w:w w:val="105"/>
          <w:sz w:val="15"/>
        </w:rPr>
        <w:t xml:space="preserve"> </w:t>
      </w:r>
      <w:r>
        <w:rPr>
          <w:w w:val="105"/>
          <w:sz w:val="15"/>
        </w:rPr>
        <w:t>aspectos</w:t>
      </w:r>
      <w:r>
        <w:rPr>
          <w:spacing w:val="-1"/>
          <w:w w:val="105"/>
          <w:sz w:val="15"/>
        </w:rPr>
        <w:t xml:space="preserve"> </w:t>
      </w:r>
      <w:r>
        <w:rPr>
          <w:w w:val="105"/>
          <w:sz w:val="15"/>
        </w:rPr>
        <w:t>del</w:t>
      </w:r>
      <w:r>
        <w:rPr>
          <w:spacing w:val="-1"/>
          <w:w w:val="105"/>
          <w:sz w:val="15"/>
        </w:rPr>
        <w:t xml:space="preserve"> </w:t>
      </w:r>
      <w:r>
        <w:rPr>
          <w:w w:val="105"/>
          <w:sz w:val="15"/>
        </w:rPr>
        <w:t>control</w:t>
      </w:r>
      <w:r>
        <w:rPr>
          <w:spacing w:val="-1"/>
          <w:w w:val="105"/>
          <w:sz w:val="15"/>
        </w:rPr>
        <w:t xml:space="preserve"> </w:t>
      </w:r>
      <w:r>
        <w:rPr>
          <w:w w:val="105"/>
          <w:sz w:val="15"/>
        </w:rPr>
        <w:t>fronterizo</w:t>
      </w:r>
      <w:r>
        <w:rPr>
          <w:spacing w:val="-1"/>
          <w:w w:val="105"/>
          <w:sz w:val="15"/>
        </w:rPr>
        <w:t xml:space="preserve"> </w:t>
      </w:r>
      <w:r>
        <w:rPr>
          <w:w w:val="105"/>
          <w:sz w:val="15"/>
        </w:rPr>
        <w:t>sobre</w:t>
      </w:r>
      <w:r>
        <w:rPr>
          <w:spacing w:val="-1"/>
          <w:w w:val="105"/>
          <w:sz w:val="15"/>
        </w:rPr>
        <w:t xml:space="preserve"> </w:t>
      </w:r>
      <w:r>
        <w:rPr>
          <w:w w:val="105"/>
          <w:sz w:val="15"/>
        </w:rPr>
        <w:t>la</w:t>
      </w:r>
      <w:r>
        <w:rPr>
          <w:spacing w:val="-1"/>
          <w:w w:val="105"/>
          <w:sz w:val="15"/>
        </w:rPr>
        <w:t xml:space="preserve"> </w:t>
      </w:r>
      <w:r>
        <w:rPr>
          <w:w w:val="105"/>
          <w:sz w:val="15"/>
        </w:rPr>
        <w:t>base</w:t>
      </w:r>
      <w:r>
        <w:rPr>
          <w:spacing w:val="-1"/>
          <w:w w:val="105"/>
          <w:sz w:val="15"/>
        </w:rPr>
        <w:t xml:space="preserve"> </w:t>
      </w:r>
      <w:r>
        <w:rPr>
          <w:w w:val="105"/>
          <w:sz w:val="15"/>
        </w:rPr>
        <w:t>de</w:t>
      </w:r>
      <w:r>
        <w:rPr>
          <w:spacing w:val="-1"/>
          <w:w w:val="105"/>
          <w:sz w:val="15"/>
        </w:rPr>
        <w:t xml:space="preserve"> </w:t>
      </w:r>
      <w:r>
        <w:rPr>
          <w:w w:val="105"/>
          <w:sz w:val="15"/>
        </w:rPr>
        <w:t>todas</w:t>
      </w:r>
      <w:r>
        <w:rPr>
          <w:spacing w:val="-1"/>
          <w:w w:val="105"/>
          <w:sz w:val="15"/>
        </w:rPr>
        <w:t xml:space="preserve"> </w:t>
      </w:r>
      <w:r>
        <w:rPr>
          <w:w w:val="105"/>
          <w:sz w:val="15"/>
        </w:rPr>
        <w:t>las demás</w:t>
      </w:r>
      <w:r>
        <w:rPr>
          <w:spacing w:val="-1"/>
          <w:w w:val="105"/>
          <w:sz w:val="15"/>
        </w:rPr>
        <w:t xml:space="preserve"> </w:t>
      </w:r>
      <w:r>
        <w:rPr>
          <w:w w:val="105"/>
          <w:sz w:val="15"/>
        </w:rPr>
        <w:t>características</w:t>
      </w:r>
      <w:r>
        <w:rPr>
          <w:spacing w:val="-1"/>
          <w:w w:val="105"/>
          <w:sz w:val="15"/>
        </w:rPr>
        <w:t xml:space="preserve"> </w:t>
      </w:r>
      <w:r>
        <w:rPr>
          <w:w w:val="105"/>
          <w:sz w:val="15"/>
        </w:rPr>
        <w:t>protegidas, incluidas</w:t>
      </w:r>
      <w:r>
        <w:rPr>
          <w:spacing w:val="-1"/>
          <w:w w:val="105"/>
          <w:sz w:val="15"/>
        </w:rPr>
        <w:t xml:space="preserve"> </w:t>
      </w:r>
      <w:r>
        <w:rPr>
          <w:w w:val="105"/>
          <w:sz w:val="15"/>
        </w:rPr>
        <w:t>(pero</w:t>
      </w:r>
      <w:r>
        <w:rPr>
          <w:spacing w:val="-1"/>
          <w:w w:val="105"/>
          <w:sz w:val="15"/>
        </w:rPr>
        <w:t xml:space="preserve"> </w:t>
      </w:r>
      <w:r>
        <w:rPr>
          <w:w w:val="105"/>
          <w:sz w:val="15"/>
        </w:rPr>
        <w:t>no</w:t>
      </w:r>
      <w:r>
        <w:rPr>
          <w:spacing w:val="-1"/>
          <w:w w:val="105"/>
          <w:sz w:val="15"/>
        </w:rPr>
        <w:t xml:space="preserve"> </w:t>
      </w:r>
      <w:r>
        <w:rPr>
          <w:w w:val="105"/>
          <w:sz w:val="15"/>
        </w:rPr>
        <w:t>limitadas</w:t>
      </w:r>
      <w:r>
        <w:rPr>
          <w:spacing w:val="-1"/>
          <w:w w:val="105"/>
          <w:sz w:val="15"/>
        </w:rPr>
        <w:t xml:space="preserve"> </w:t>
      </w:r>
      <w:r>
        <w:rPr>
          <w:w w:val="105"/>
          <w:sz w:val="15"/>
        </w:rPr>
        <w:t>a)</w:t>
      </w:r>
      <w:r>
        <w:rPr>
          <w:spacing w:val="-1"/>
          <w:w w:val="105"/>
          <w:sz w:val="15"/>
        </w:rPr>
        <w:t xml:space="preserve"> </w:t>
      </w:r>
      <w:r>
        <w:rPr>
          <w:w w:val="105"/>
          <w:sz w:val="15"/>
        </w:rPr>
        <w:t>)</w:t>
      </w:r>
      <w:r>
        <w:rPr>
          <w:spacing w:val="-1"/>
          <w:w w:val="105"/>
          <w:sz w:val="15"/>
        </w:rPr>
        <w:t xml:space="preserve"> </w:t>
      </w:r>
      <w:r>
        <w:rPr>
          <w:w w:val="105"/>
          <w:sz w:val="15"/>
        </w:rPr>
        <w:t>sexo, orientación</w:t>
      </w:r>
      <w:r>
        <w:rPr>
          <w:spacing w:val="-1"/>
          <w:w w:val="105"/>
          <w:sz w:val="15"/>
        </w:rPr>
        <w:t xml:space="preserve"> </w:t>
      </w:r>
      <w:r>
        <w:rPr>
          <w:w w:val="105"/>
          <w:sz w:val="15"/>
        </w:rPr>
        <w:t>sexual, identidad</w:t>
      </w:r>
      <w:r>
        <w:rPr>
          <w:spacing w:val="-1"/>
          <w:w w:val="105"/>
          <w:sz w:val="15"/>
        </w:rPr>
        <w:t xml:space="preserve"> </w:t>
      </w:r>
      <w:r>
        <w:rPr>
          <w:w w:val="105"/>
          <w:sz w:val="15"/>
        </w:rPr>
        <w:t>de</w:t>
      </w:r>
      <w:r>
        <w:rPr>
          <w:spacing w:val="-1"/>
          <w:w w:val="105"/>
          <w:sz w:val="15"/>
        </w:rPr>
        <w:t xml:space="preserve"> </w:t>
      </w:r>
      <w:r>
        <w:rPr>
          <w:w w:val="105"/>
          <w:sz w:val="15"/>
        </w:rPr>
        <w:t>género, discapacidad o,</w:t>
      </w:r>
      <w:r>
        <w:rPr>
          <w:spacing w:val="-2"/>
          <w:w w:val="105"/>
          <w:sz w:val="15"/>
        </w:rPr>
        <w:t xml:space="preserve"> </w:t>
      </w:r>
      <w:r>
        <w:rPr>
          <w:w w:val="105"/>
          <w:sz w:val="15"/>
        </w:rPr>
        <w:t>como</w:t>
      </w:r>
      <w:r>
        <w:rPr>
          <w:spacing w:val="-2"/>
          <w:w w:val="105"/>
          <w:sz w:val="15"/>
        </w:rPr>
        <w:t xml:space="preserve"> </w:t>
      </w:r>
      <w:r>
        <w:rPr>
          <w:w w:val="105"/>
          <w:sz w:val="15"/>
        </w:rPr>
        <w:t>señaló</w:t>
      </w:r>
      <w:r>
        <w:rPr>
          <w:spacing w:val="-2"/>
          <w:w w:val="105"/>
          <w:sz w:val="15"/>
        </w:rPr>
        <w:t xml:space="preserve"> </w:t>
      </w:r>
      <w:r>
        <w:rPr>
          <w:w w:val="105"/>
          <w:sz w:val="15"/>
        </w:rPr>
        <w:t>el</w:t>
      </w:r>
      <w:r>
        <w:rPr>
          <w:spacing w:val="-2"/>
          <w:w w:val="105"/>
          <w:sz w:val="15"/>
        </w:rPr>
        <w:t xml:space="preserve"> </w:t>
      </w:r>
      <w:r>
        <w:rPr>
          <w:w w:val="105"/>
          <w:sz w:val="15"/>
        </w:rPr>
        <w:t>Comité</w:t>
      </w:r>
      <w:r>
        <w:rPr>
          <w:spacing w:val="-2"/>
          <w:w w:val="105"/>
          <w:sz w:val="15"/>
        </w:rPr>
        <w:t xml:space="preserve"> </w:t>
      </w:r>
      <w:r>
        <w:rPr>
          <w:w w:val="105"/>
          <w:sz w:val="15"/>
        </w:rPr>
        <w:t>para</w:t>
      </w:r>
      <w:r>
        <w:rPr>
          <w:spacing w:val="-2"/>
          <w:w w:val="105"/>
          <w:sz w:val="15"/>
        </w:rPr>
        <w:t xml:space="preserve"> </w:t>
      </w:r>
      <w:r>
        <w:rPr>
          <w:w w:val="105"/>
          <w:sz w:val="15"/>
        </w:rPr>
        <w:t>la</w:t>
      </w:r>
      <w:r>
        <w:rPr>
          <w:spacing w:val="-2"/>
          <w:w w:val="105"/>
          <w:sz w:val="15"/>
        </w:rPr>
        <w:t xml:space="preserve"> </w:t>
      </w:r>
      <w:r>
        <w:rPr>
          <w:w w:val="105"/>
          <w:sz w:val="15"/>
        </w:rPr>
        <w:t>Eliminación</w:t>
      </w:r>
      <w:r>
        <w:rPr>
          <w:spacing w:val="-2"/>
          <w:w w:val="105"/>
          <w:sz w:val="15"/>
        </w:rPr>
        <w:t xml:space="preserve"> </w:t>
      </w:r>
      <w:r>
        <w:rPr>
          <w:w w:val="105"/>
          <w:sz w:val="15"/>
        </w:rPr>
        <w:t>de</w:t>
      </w:r>
      <w:r>
        <w:rPr>
          <w:spacing w:val="-2"/>
          <w:w w:val="105"/>
          <w:sz w:val="15"/>
        </w:rPr>
        <w:t xml:space="preserve"> </w:t>
      </w:r>
      <w:r>
        <w:rPr>
          <w:w w:val="105"/>
          <w:sz w:val="15"/>
        </w:rPr>
        <w:t>la</w:t>
      </w:r>
      <w:r>
        <w:rPr>
          <w:spacing w:val="-2"/>
          <w:w w:val="105"/>
          <w:sz w:val="15"/>
        </w:rPr>
        <w:t xml:space="preserve"> </w:t>
      </w:r>
      <w:r>
        <w:rPr>
          <w:w w:val="105"/>
          <w:sz w:val="15"/>
        </w:rPr>
        <w:t>Discriminación</w:t>
      </w:r>
      <w:r>
        <w:rPr>
          <w:spacing w:val="-2"/>
          <w:w w:val="105"/>
          <w:sz w:val="15"/>
        </w:rPr>
        <w:t xml:space="preserve"> </w:t>
      </w:r>
      <w:r>
        <w:rPr>
          <w:w w:val="105"/>
          <w:sz w:val="15"/>
        </w:rPr>
        <w:t>Racial</w:t>
      </w:r>
      <w:r>
        <w:rPr>
          <w:spacing w:val="-2"/>
          <w:w w:val="105"/>
          <w:sz w:val="15"/>
        </w:rPr>
        <w:t xml:space="preserve"> </w:t>
      </w:r>
      <w:r>
        <w:rPr>
          <w:w w:val="105"/>
          <w:sz w:val="15"/>
        </w:rPr>
        <w:t>en</w:t>
      </w:r>
      <w:r>
        <w:rPr>
          <w:spacing w:val="-2"/>
          <w:w w:val="105"/>
          <w:sz w:val="15"/>
        </w:rPr>
        <w:t xml:space="preserve"> </w:t>
      </w:r>
      <w:r>
        <w:rPr>
          <w:w w:val="105"/>
          <w:sz w:val="15"/>
        </w:rPr>
        <w:t>su</w:t>
      </w:r>
      <w:r>
        <w:rPr>
          <w:spacing w:val="-2"/>
          <w:w w:val="105"/>
          <w:sz w:val="15"/>
        </w:rPr>
        <w:t xml:space="preserve"> </w:t>
      </w:r>
      <w:r>
        <w:rPr>
          <w:w w:val="105"/>
          <w:sz w:val="15"/>
        </w:rPr>
        <w:t>recomendación</w:t>
      </w:r>
      <w:r>
        <w:rPr>
          <w:spacing w:val="-2"/>
          <w:w w:val="105"/>
          <w:sz w:val="15"/>
        </w:rPr>
        <w:t xml:space="preserve"> </w:t>
      </w:r>
      <w:r>
        <w:rPr>
          <w:w w:val="105"/>
          <w:sz w:val="15"/>
        </w:rPr>
        <w:t>general</w:t>
      </w:r>
      <w:r>
        <w:rPr>
          <w:spacing w:val="-2"/>
          <w:w w:val="105"/>
          <w:sz w:val="15"/>
        </w:rPr>
        <w:t xml:space="preserve"> </w:t>
      </w:r>
      <w:r>
        <w:rPr>
          <w:w w:val="105"/>
          <w:sz w:val="15"/>
        </w:rPr>
        <w:t>núm.</w:t>
      </w:r>
      <w:r>
        <w:rPr>
          <w:spacing w:val="-2"/>
          <w:w w:val="105"/>
          <w:sz w:val="15"/>
        </w:rPr>
        <w:t xml:space="preserve"> </w:t>
      </w:r>
      <w:r>
        <w:rPr>
          <w:w w:val="105"/>
          <w:sz w:val="15"/>
        </w:rPr>
        <w:t>30</w:t>
      </w:r>
      <w:r>
        <w:rPr>
          <w:spacing w:val="-2"/>
          <w:w w:val="105"/>
          <w:sz w:val="15"/>
        </w:rPr>
        <w:t xml:space="preserve"> </w:t>
      </w:r>
      <w:r>
        <w:rPr>
          <w:w w:val="105"/>
          <w:sz w:val="15"/>
        </w:rPr>
        <w:t>(2004),</w:t>
      </w:r>
      <w:r>
        <w:rPr>
          <w:spacing w:val="-1"/>
          <w:w w:val="105"/>
          <w:sz w:val="15"/>
        </w:rPr>
        <w:t xml:space="preserve"> </w:t>
      </w:r>
      <w:r>
        <w:rPr>
          <w:w w:val="105"/>
          <w:sz w:val="15"/>
        </w:rPr>
        <w:t>raza, color, ascendencia, origen nacional o étnico.172</w:t>
      </w:r>
    </w:p>
    <w:p w14:paraId="26459365" w14:textId="77777777" w:rsidR="0014798C" w:rsidRDefault="0014798C">
      <w:pPr>
        <w:pStyle w:val="Textoindependiente"/>
        <w:rPr>
          <w:sz w:val="11"/>
        </w:rPr>
      </w:pPr>
    </w:p>
    <w:p w14:paraId="56345CDC" w14:textId="77777777" w:rsidR="0014798C" w:rsidRDefault="0014798C">
      <w:pPr>
        <w:pStyle w:val="Textoindependiente"/>
        <w:rPr>
          <w:sz w:val="11"/>
        </w:rPr>
      </w:pPr>
    </w:p>
    <w:p w14:paraId="31DB5597" w14:textId="77777777" w:rsidR="0014798C" w:rsidRDefault="0014798C">
      <w:pPr>
        <w:pStyle w:val="Textoindependiente"/>
        <w:rPr>
          <w:sz w:val="11"/>
        </w:rPr>
      </w:pPr>
    </w:p>
    <w:p w14:paraId="466F4A63" w14:textId="77777777" w:rsidR="0014798C" w:rsidRDefault="0014798C">
      <w:pPr>
        <w:pStyle w:val="Textoindependiente"/>
        <w:spacing w:before="3"/>
        <w:rPr>
          <w:sz w:val="11"/>
        </w:rPr>
      </w:pPr>
    </w:p>
    <w:p w14:paraId="36858B36" w14:textId="77777777" w:rsidR="0014798C" w:rsidRDefault="004E1F0B">
      <w:pPr>
        <w:pStyle w:val="Prrafodelista"/>
        <w:numPr>
          <w:ilvl w:val="0"/>
          <w:numId w:val="83"/>
        </w:numPr>
        <w:tabs>
          <w:tab w:val="left" w:pos="1332"/>
        </w:tabs>
        <w:ind w:left="1332" w:hanging="221"/>
        <w:rPr>
          <w:sz w:val="11"/>
        </w:rPr>
      </w:pPr>
      <w:r>
        <w:rPr>
          <w:spacing w:val="-2"/>
          <w:w w:val="105"/>
          <w:sz w:val="11"/>
        </w:rPr>
        <w:t>Comité</w:t>
      </w:r>
      <w:r>
        <w:rPr>
          <w:spacing w:val="3"/>
          <w:w w:val="105"/>
          <w:sz w:val="11"/>
        </w:rPr>
        <w:t xml:space="preserve"> </w:t>
      </w:r>
      <w:r>
        <w:rPr>
          <w:spacing w:val="-2"/>
          <w:w w:val="105"/>
          <w:sz w:val="11"/>
        </w:rPr>
        <w:t>de</w:t>
      </w:r>
      <w:r>
        <w:rPr>
          <w:spacing w:val="4"/>
          <w:w w:val="105"/>
          <w:sz w:val="11"/>
        </w:rPr>
        <w:t xml:space="preserve"> </w:t>
      </w:r>
      <w:r>
        <w:rPr>
          <w:spacing w:val="-2"/>
          <w:w w:val="105"/>
          <w:sz w:val="11"/>
        </w:rPr>
        <w:t>Derechos</w:t>
      </w:r>
      <w:r>
        <w:rPr>
          <w:spacing w:val="4"/>
          <w:w w:val="105"/>
          <w:sz w:val="11"/>
        </w:rPr>
        <w:t xml:space="preserve"> </w:t>
      </w:r>
      <w:r>
        <w:rPr>
          <w:spacing w:val="-2"/>
          <w:w w:val="105"/>
          <w:sz w:val="11"/>
        </w:rPr>
        <w:t>Humanos,</w:t>
      </w:r>
      <w:r>
        <w:rPr>
          <w:spacing w:val="4"/>
          <w:w w:val="105"/>
          <w:sz w:val="11"/>
        </w:rPr>
        <w:t xml:space="preserve"> </w:t>
      </w:r>
      <w:r>
        <w:rPr>
          <w:spacing w:val="-2"/>
          <w:w w:val="105"/>
          <w:sz w:val="11"/>
        </w:rPr>
        <w:t>observación</w:t>
      </w:r>
      <w:r>
        <w:rPr>
          <w:spacing w:val="4"/>
          <w:w w:val="105"/>
          <w:sz w:val="11"/>
        </w:rPr>
        <w:t xml:space="preserve"> </w:t>
      </w:r>
      <w:r>
        <w:rPr>
          <w:spacing w:val="-2"/>
          <w:w w:val="105"/>
          <w:sz w:val="11"/>
        </w:rPr>
        <w:t>general</w:t>
      </w:r>
      <w:r>
        <w:rPr>
          <w:spacing w:val="3"/>
          <w:w w:val="105"/>
          <w:sz w:val="11"/>
        </w:rPr>
        <w:t xml:space="preserve"> </w:t>
      </w:r>
      <w:r>
        <w:rPr>
          <w:spacing w:val="-2"/>
          <w:w w:val="105"/>
          <w:sz w:val="11"/>
        </w:rPr>
        <w:t>núm.</w:t>
      </w:r>
      <w:r>
        <w:rPr>
          <w:spacing w:val="4"/>
          <w:w w:val="105"/>
          <w:sz w:val="11"/>
        </w:rPr>
        <w:t xml:space="preserve"> </w:t>
      </w:r>
      <w:r>
        <w:rPr>
          <w:spacing w:val="-2"/>
          <w:w w:val="105"/>
          <w:sz w:val="11"/>
        </w:rPr>
        <w:t>15</w:t>
      </w:r>
      <w:r>
        <w:rPr>
          <w:spacing w:val="4"/>
          <w:w w:val="105"/>
          <w:sz w:val="11"/>
        </w:rPr>
        <w:t xml:space="preserve"> </w:t>
      </w:r>
      <w:r>
        <w:rPr>
          <w:spacing w:val="-2"/>
          <w:w w:val="105"/>
          <w:sz w:val="11"/>
        </w:rPr>
        <w:t>(1986),</w:t>
      </w:r>
      <w:r>
        <w:rPr>
          <w:spacing w:val="4"/>
          <w:w w:val="105"/>
          <w:sz w:val="11"/>
        </w:rPr>
        <w:t xml:space="preserve"> </w:t>
      </w:r>
      <w:r>
        <w:rPr>
          <w:spacing w:val="-2"/>
          <w:w w:val="105"/>
          <w:sz w:val="11"/>
        </w:rPr>
        <w:t>párr.</w:t>
      </w:r>
      <w:r>
        <w:rPr>
          <w:spacing w:val="4"/>
          <w:w w:val="105"/>
          <w:sz w:val="11"/>
        </w:rPr>
        <w:t xml:space="preserve"> </w:t>
      </w:r>
      <w:r>
        <w:rPr>
          <w:spacing w:val="-5"/>
          <w:w w:val="105"/>
          <w:sz w:val="11"/>
        </w:rPr>
        <w:t>2.</w:t>
      </w:r>
    </w:p>
    <w:p w14:paraId="3C3A68E4" w14:textId="77777777" w:rsidR="0014798C" w:rsidRDefault="0014798C">
      <w:pPr>
        <w:rPr>
          <w:sz w:val="11"/>
        </w:rPr>
        <w:sectPr w:rsidR="0014798C" w:rsidSect="00F265E4">
          <w:pgSz w:w="11900" w:h="16820"/>
          <w:pgMar w:top="340" w:right="0" w:bottom="280" w:left="200" w:header="121" w:footer="0" w:gutter="0"/>
          <w:cols w:space="720"/>
        </w:sectPr>
      </w:pPr>
    </w:p>
    <w:p w14:paraId="27D6B73D" w14:textId="77777777" w:rsidR="0014798C" w:rsidRDefault="004E1F0B">
      <w:pPr>
        <w:spacing w:before="55"/>
        <w:jc w:val="right"/>
        <w:rPr>
          <w:sz w:val="8"/>
        </w:rPr>
      </w:pPr>
      <w:r>
        <w:rPr>
          <w:spacing w:val="-5"/>
          <w:w w:val="105"/>
          <w:sz w:val="8"/>
        </w:rPr>
        <w:t>166</w:t>
      </w:r>
    </w:p>
    <w:p w14:paraId="734072C7" w14:textId="77777777" w:rsidR="0014798C" w:rsidRDefault="004E1F0B">
      <w:pPr>
        <w:spacing w:before="82" w:line="280" w:lineRule="auto"/>
        <w:ind w:left="74" w:right="2414" w:firstLine="3"/>
        <w:rPr>
          <w:sz w:val="13"/>
        </w:rPr>
      </w:pPr>
      <w:r>
        <w:br w:type="column"/>
      </w:r>
      <w:r>
        <w:rPr>
          <w:w w:val="105"/>
          <w:sz w:val="13"/>
        </w:rPr>
        <w:t>Véase,</w:t>
      </w:r>
      <w:r>
        <w:rPr>
          <w:spacing w:val="-10"/>
          <w:w w:val="105"/>
          <w:sz w:val="13"/>
        </w:rPr>
        <w:t xml:space="preserve"> </w:t>
      </w:r>
      <w:r>
        <w:rPr>
          <w:w w:val="105"/>
          <w:sz w:val="13"/>
        </w:rPr>
        <w:t>por</w:t>
      </w:r>
      <w:r>
        <w:rPr>
          <w:spacing w:val="-9"/>
          <w:w w:val="105"/>
          <w:sz w:val="13"/>
        </w:rPr>
        <w:t xml:space="preserve"> </w:t>
      </w:r>
      <w:r>
        <w:rPr>
          <w:w w:val="105"/>
          <w:sz w:val="13"/>
        </w:rPr>
        <w:t>ejemplo,</w:t>
      </w:r>
      <w:r>
        <w:rPr>
          <w:spacing w:val="-10"/>
          <w:w w:val="105"/>
          <w:sz w:val="13"/>
        </w:rPr>
        <w:t xml:space="preserve"> </w:t>
      </w:r>
      <w:r>
        <w:rPr>
          <w:w w:val="105"/>
          <w:sz w:val="13"/>
        </w:rPr>
        <w:t>Comité</w:t>
      </w:r>
      <w:r>
        <w:rPr>
          <w:spacing w:val="-9"/>
          <w:w w:val="105"/>
          <w:sz w:val="13"/>
        </w:rPr>
        <w:t xml:space="preserve"> </w:t>
      </w:r>
      <w:r>
        <w:rPr>
          <w:w w:val="105"/>
          <w:sz w:val="13"/>
        </w:rPr>
        <w:t>de</w:t>
      </w:r>
      <w:r>
        <w:rPr>
          <w:spacing w:val="-10"/>
          <w:w w:val="105"/>
          <w:sz w:val="13"/>
        </w:rPr>
        <w:t xml:space="preserve"> </w:t>
      </w:r>
      <w:r>
        <w:rPr>
          <w:w w:val="105"/>
          <w:sz w:val="13"/>
        </w:rPr>
        <w:t>Derechos</w:t>
      </w:r>
      <w:r>
        <w:rPr>
          <w:spacing w:val="-9"/>
          <w:w w:val="105"/>
          <w:sz w:val="13"/>
        </w:rPr>
        <w:t xml:space="preserve"> </w:t>
      </w:r>
      <w:r>
        <w:rPr>
          <w:w w:val="105"/>
          <w:sz w:val="13"/>
        </w:rPr>
        <w:t>Humanos,</w:t>
      </w:r>
      <w:r>
        <w:rPr>
          <w:spacing w:val="-10"/>
          <w:w w:val="105"/>
          <w:sz w:val="13"/>
        </w:rPr>
        <w:t xml:space="preserve"> </w:t>
      </w:r>
      <w:proofErr w:type="spellStart"/>
      <w:r>
        <w:rPr>
          <w:w w:val="105"/>
          <w:sz w:val="13"/>
        </w:rPr>
        <w:t>Gueye</w:t>
      </w:r>
      <w:proofErr w:type="spellEnd"/>
      <w:r>
        <w:rPr>
          <w:spacing w:val="-9"/>
          <w:w w:val="105"/>
          <w:sz w:val="13"/>
        </w:rPr>
        <w:t xml:space="preserve"> </w:t>
      </w:r>
      <w:r>
        <w:rPr>
          <w:w w:val="105"/>
          <w:sz w:val="13"/>
        </w:rPr>
        <w:t>et</w:t>
      </w:r>
      <w:r>
        <w:rPr>
          <w:spacing w:val="-10"/>
          <w:w w:val="105"/>
          <w:sz w:val="13"/>
        </w:rPr>
        <w:t xml:space="preserve"> </w:t>
      </w:r>
      <w:r>
        <w:rPr>
          <w:w w:val="105"/>
          <w:sz w:val="13"/>
        </w:rPr>
        <w:t>al.</w:t>
      </w:r>
      <w:r>
        <w:rPr>
          <w:spacing w:val="-9"/>
          <w:w w:val="105"/>
          <w:sz w:val="13"/>
        </w:rPr>
        <w:t xml:space="preserve"> </w:t>
      </w:r>
      <w:r>
        <w:rPr>
          <w:w w:val="105"/>
          <w:sz w:val="13"/>
        </w:rPr>
        <w:t>Francia,</w:t>
      </w:r>
      <w:r>
        <w:rPr>
          <w:spacing w:val="-10"/>
          <w:w w:val="105"/>
          <w:sz w:val="13"/>
        </w:rPr>
        <w:t xml:space="preserve"> </w:t>
      </w:r>
      <w:r>
        <w:rPr>
          <w:w w:val="105"/>
          <w:sz w:val="13"/>
        </w:rPr>
        <w:t>comunicación</w:t>
      </w:r>
      <w:r>
        <w:rPr>
          <w:spacing w:val="-9"/>
          <w:w w:val="105"/>
          <w:sz w:val="13"/>
        </w:rPr>
        <w:t xml:space="preserve"> </w:t>
      </w:r>
      <w:r>
        <w:rPr>
          <w:w w:val="105"/>
          <w:sz w:val="13"/>
        </w:rPr>
        <w:t>No.</w:t>
      </w:r>
      <w:r>
        <w:rPr>
          <w:spacing w:val="-10"/>
          <w:w w:val="105"/>
          <w:sz w:val="13"/>
        </w:rPr>
        <w:t xml:space="preserve"> </w:t>
      </w:r>
      <w:r>
        <w:rPr>
          <w:w w:val="105"/>
          <w:sz w:val="13"/>
        </w:rPr>
        <w:t>1966/1983;</w:t>
      </w:r>
      <w:r>
        <w:rPr>
          <w:spacing w:val="-9"/>
          <w:w w:val="105"/>
          <w:sz w:val="13"/>
        </w:rPr>
        <w:t xml:space="preserve"> </w:t>
      </w:r>
      <w:r>
        <w:rPr>
          <w:w w:val="105"/>
          <w:sz w:val="13"/>
        </w:rPr>
        <w:t>Adam</w:t>
      </w:r>
      <w:r>
        <w:rPr>
          <w:spacing w:val="-10"/>
          <w:w w:val="105"/>
          <w:sz w:val="13"/>
        </w:rPr>
        <w:t xml:space="preserve"> </w:t>
      </w:r>
      <w:r>
        <w:rPr>
          <w:w w:val="105"/>
          <w:sz w:val="13"/>
        </w:rPr>
        <w:t>c.</w:t>
      </w:r>
      <w:r>
        <w:rPr>
          <w:spacing w:val="-9"/>
          <w:w w:val="105"/>
          <w:sz w:val="13"/>
        </w:rPr>
        <w:t xml:space="preserve"> </w:t>
      </w:r>
      <w:r>
        <w:rPr>
          <w:w w:val="105"/>
          <w:sz w:val="13"/>
        </w:rPr>
        <w:t>República</w:t>
      </w:r>
      <w:r>
        <w:rPr>
          <w:spacing w:val="-10"/>
          <w:w w:val="105"/>
          <w:sz w:val="13"/>
        </w:rPr>
        <w:t xml:space="preserve"> </w:t>
      </w:r>
      <w:r>
        <w:rPr>
          <w:w w:val="105"/>
          <w:sz w:val="13"/>
        </w:rPr>
        <w:t>Checa,</w:t>
      </w:r>
      <w:r>
        <w:rPr>
          <w:spacing w:val="40"/>
          <w:w w:val="105"/>
          <w:sz w:val="13"/>
        </w:rPr>
        <w:t xml:space="preserve"> </w:t>
      </w:r>
      <w:r>
        <w:rPr>
          <w:w w:val="105"/>
          <w:sz w:val="13"/>
        </w:rPr>
        <w:t>comunicación</w:t>
      </w:r>
      <w:r>
        <w:rPr>
          <w:spacing w:val="-9"/>
          <w:w w:val="105"/>
          <w:sz w:val="13"/>
        </w:rPr>
        <w:t xml:space="preserve"> </w:t>
      </w:r>
      <w:proofErr w:type="spellStart"/>
      <w:r>
        <w:rPr>
          <w:w w:val="105"/>
          <w:sz w:val="13"/>
        </w:rPr>
        <w:t>Nº</w:t>
      </w:r>
      <w:proofErr w:type="spellEnd"/>
      <w:r>
        <w:rPr>
          <w:spacing w:val="-9"/>
          <w:w w:val="105"/>
          <w:sz w:val="13"/>
        </w:rPr>
        <w:t xml:space="preserve"> </w:t>
      </w:r>
      <w:r>
        <w:rPr>
          <w:w w:val="105"/>
          <w:sz w:val="13"/>
        </w:rPr>
        <w:t>586/1994;</w:t>
      </w:r>
      <w:r>
        <w:rPr>
          <w:spacing w:val="-9"/>
          <w:w w:val="105"/>
          <w:sz w:val="13"/>
        </w:rPr>
        <w:t xml:space="preserve"> </w:t>
      </w:r>
      <w:r>
        <w:rPr>
          <w:w w:val="105"/>
          <w:sz w:val="13"/>
        </w:rPr>
        <w:t>y</w:t>
      </w:r>
      <w:r>
        <w:rPr>
          <w:spacing w:val="-9"/>
          <w:w w:val="105"/>
          <w:sz w:val="13"/>
        </w:rPr>
        <w:t xml:space="preserve"> </w:t>
      </w:r>
      <w:proofErr w:type="spellStart"/>
      <w:r>
        <w:rPr>
          <w:w w:val="105"/>
          <w:sz w:val="13"/>
        </w:rPr>
        <w:t>Karakurt</w:t>
      </w:r>
      <w:proofErr w:type="spellEnd"/>
      <w:r>
        <w:rPr>
          <w:spacing w:val="-9"/>
          <w:w w:val="105"/>
          <w:sz w:val="13"/>
        </w:rPr>
        <w:t xml:space="preserve"> </w:t>
      </w:r>
      <w:r>
        <w:rPr>
          <w:w w:val="105"/>
          <w:sz w:val="13"/>
        </w:rPr>
        <w:t>c.</w:t>
      </w:r>
      <w:r>
        <w:rPr>
          <w:spacing w:val="-9"/>
          <w:w w:val="105"/>
          <w:sz w:val="13"/>
        </w:rPr>
        <w:t xml:space="preserve"> </w:t>
      </w:r>
      <w:r>
        <w:rPr>
          <w:w w:val="105"/>
          <w:sz w:val="13"/>
        </w:rPr>
        <w:t>Austria,</w:t>
      </w:r>
      <w:r>
        <w:rPr>
          <w:spacing w:val="-9"/>
          <w:w w:val="105"/>
          <w:sz w:val="13"/>
        </w:rPr>
        <w:t xml:space="preserve"> </w:t>
      </w:r>
      <w:r>
        <w:rPr>
          <w:w w:val="105"/>
          <w:sz w:val="13"/>
        </w:rPr>
        <w:t>comunicación</w:t>
      </w:r>
      <w:r>
        <w:rPr>
          <w:spacing w:val="-9"/>
          <w:w w:val="105"/>
          <w:sz w:val="13"/>
        </w:rPr>
        <w:t xml:space="preserve"> </w:t>
      </w:r>
      <w:r>
        <w:rPr>
          <w:w w:val="105"/>
          <w:sz w:val="13"/>
        </w:rPr>
        <w:t>No.</w:t>
      </w:r>
      <w:r>
        <w:rPr>
          <w:spacing w:val="-9"/>
          <w:w w:val="105"/>
          <w:sz w:val="13"/>
        </w:rPr>
        <w:t xml:space="preserve"> </w:t>
      </w:r>
      <w:r>
        <w:rPr>
          <w:w w:val="105"/>
          <w:sz w:val="13"/>
        </w:rPr>
        <w:t>965/2000.</w:t>
      </w:r>
    </w:p>
    <w:p w14:paraId="0A803169" w14:textId="77777777" w:rsidR="0014798C" w:rsidRDefault="0014798C">
      <w:pPr>
        <w:spacing w:line="280" w:lineRule="auto"/>
        <w:rPr>
          <w:sz w:val="13"/>
        </w:rPr>
        <w:sectPr w:rsidR="0014798C" w:rsidSect="00F265E4">
          <w:type w:val="continuous"/>
          <w:pgSz w:w="11900" w:h="16820"/>
          <w:pgMar w:top="40" w:right="0" w:bottom="280" w:left="200" w:header="121" w:footer="0" w:gutter="0"/>
          <w:cols w:num="2" w:space="720" w:equalWidth="0">
            <w:col w:w="1253" w:space="40"/>
            <w:col w:w="10407"/>
          </w:cols>
        </w:sectPr>
      </w:pPr>
    </w:p>
    <w:p w14:paraId="72F43905" w14:textId="77777777" w:rsidR="0014798C" w:rsidRDefault="004E1F0B">
      <w:pPr>
        <w:spacing w:before="94"/>
        <w:ind w:left="1111"/>
        <w:rPr>
          <w:sz w:val="11"/>
        </w:rPr>
      </w:pPr>
      <w:r>
        <w:rPr>
          <w:w w:val="105"/>
          <w:sz w:val="11"/>
        </w:rPr>
        <w:t>167</w:t>
      </w:r>
      <w:r>
        <w:rPr>
          <w:spacing w:val="-8"/>
          <w:w w:val="105"/>
          <w:sz w:val="11"/>
        </w:rPr>
        <w:t xml:space="preserve"> </w:t>
      </w:r>
      <w:r>
        <w:rPr>
          <w:w w:val="105"/>
          <w:sz w:val="11"/>
        </w:rPr>
        <w:t>Comité</w:t>
      </w:r>
      <w:r>
        <w:rPr>
          <w:spacing w:val="-8"/>
          <w:w w:val="105"/>
          <w:sz w:val="11"/>
        </w:rPr>
        <w:t xml:space="preserve"> </w:t>
      </w:r>
      <w:r>
        <w:rPr>
          <w:w w:val="105"/>
          <w:sz w:val="11"/>
        </w:rPr>
        <w:t>de</w:t>
      </w:r>
      <w:r>
        <w:rPr>
          <w:spacing w:val="-8"/>
          <w:w w:val="105"/>
          <w:sz w:val="11"/>
        </w:rPr>
        <w:t xml:space="preserve"> </w:t>
      </w:r>
      <w:r>
        <w:rPr>
          <w:w w:val="105"/>
          <w:sz w:val="11"/>
        </w:rPr>
        <w:t>Derechos</w:t>
      </w:r>
      <w:r>
        <w:rPr>
          <w:spacing w:val="-8"/>
          <w:w w:val="105"/>
          <w:sz w:val="11"/>
        </w:rPr>
        <w:t xml:space="preserve"> </w:t>
      </w:r>
      <w:r>
        <w:rPr>
          <w:w w:val="105"/>
          <w:sz w:val="11"/>
        </w:rPr>
        <w:t>Económicos,</w:t>
      </w:r>
      <w:r>
        <w:rPr>
          <w:spacing w:val="-8"/>
          <w:w w:val="105"/>
          <w:sz w:val="11"/>
        </w:rPr>
        <w:t xml:space="preserve"> </w:t>
      </w:r>
      <w:r>
        <w:rPr>
          <w:w w:val="105"/>
          <w:sz w:val="11"/>
        </w:rPr>
        <w:t>Sociales</w:t>
      </w:r>
      <w:r>
        <w:rPr>
          <w:spacing w:val="-7"/>
          <w:w w:val="105"/>
          <w:sz w:val="11"/>
        </w:rPr>
        <w:t xml:space="preserve"> </w:t>
      </w:r>
      <w:r>
        <w:rPr>
          <w:w w:val="105"/>
          <w:sz w:val="11"/>
        </w:rPr>
        <w:t>y</w:t>
      </w:r>
      <w:r>
        <w:rPr>
          <w:spacing w:val="-8"/>
          <w:w w:val="105"/>
          <w:sz w:val="11"/>
        </w:rPr>
        <w:t xml:space="preserve"> </w:t>
      </w:r>
      <w:r>
        <w:rPr>
          <w:w w:val="105"/>
          <w:sz w:val="11"/>
        </w:rPr>
        <w:t>Culturales,</w:t>
      </w:r>
      <w:r>
        <w:rPr>
          <w:spacing w:val="-8"/>
          <w:w w:val="105"/>
          <w:sz w:val="11"/>
        </w:rPr>
        <w:t xml:space="preserve"> </w:t>
      </w:r>
      <w:r>
        <w:rPr>
          <w:w w:val="105"/>
          <w:sz w:val="11"/>
        </w:rPr>
        <w:t>observación</w:t>
      </w:r>
      <w:r>
        <w:rPr>
          <w:spacing w:val="-8"/>
          <w:w w:val="105"/>
          <w:sz w:val="11"/>
        </w:rPr>
        <w:t xml:space="preserve"> </w:t>
      </w:r>
      <w:r>
        <w:rPr>
          <w:w w:val="105"/>
          <w:sz w:val="11"/>
        </w:rPr>
        <w:t>general</w:t>
      </w:r>
      <w:r>
        <w:rPr>
          <w:spacing w:val="-8"/>
          <w:w w:val="105"/>
          <w:sz w:val="11"/>
        </w:rPr>
        <w:t xml:space="preserve"> </w:t>
      </w:r>
      <w:r>
        <w:rPr>
          <w:w w:val="105"/>
          <w:sz w:val="11"/>
        </w:rPr>
        <w:t>núm.</w:t>
      </w:r>
      <w:r>
        <w:rPr>
          <w:spacing w:val="-8"/>
          <w:w w:val="105"/>
          <w:sz w:val="11"/>
        </w:rPr>
        <w:t xml:space="preserve"> </w:t>
      </w:r>
      <w:r>
        <w:rPr>
          <w:w w:val="105"/>
          <w:sz w:val="11"/>
        </w:rPr>
        <w:t>20</w:t>
      </w:r>
      <w:r>
        <w:rPr>
          <w:spacing w:val="-7"/>
          <w:w w:val="105"/>
          <w:sz w:val="11"/>
        </w:rPr>
        <w:t xml:space="preserve"> </w:t>
      </w:r>
      <w:r>
        <w:rPr>
          <w:w w:val="105"/>
          <w:sz w:val="11"/>
        </w:rPr>
        <w:t>(2009),</w:t>
      </w:r>
      <w:r>
        <w:rPr>
          <w:spacing w:val="-8"/>
          <w:w w:val="105"/>
          <w:sz w:val="11"/>
        </w:rPr>
        <w:t xml:space="preserve"> </w:t>
      </w:r>
      <w:r>
        <w:rPr>
          <w:w w:val="105"/>
          <w:sz w:val="11"/>
        </w:rPr>
        <w:t>párr.</w:t>
      </w:r>
      <w:r>
        <w:rPr>
          <w:spacing w:val="-8"/>
          <w:w w:val="105"/>
          <w:sz w:val="11"/>
        </w:rPr>
        <w:t xml:space="preserve"> </w:t>
      </w:r>
      <w:r>
        <w:rPr>
          <w:spacing w:val="-5"/>
          <w:w w:val="105"/>
          <w:sz w:val="11"/>
        </w:rPr>
        <w:t>30.</w:t>
      </w:r>
    </w:p>
    <w:p w14:paraId="1E3C77A5" w14:textId="77777777" w:rsidR="0014798C" w:rsidRDefault="004E1F0B">
      <w:pPr>
        <w:spacing w:before="110"/>
        <w:ind w:left="1111"/>
        <w:rPr>
          <w:sz w:val="11"/>
        </w:rPr>
      </w:pPr>
      <w:r>
        <w:rPr>
          <w:spacing w:val="-2"/>
          <w:w w:val="105"/>
          <w:sz w:val="11"/>
        </w:rPr>
        <w:t>168</w:t>
      </w:r>
      <w:r>
        <w:rPr>
          <w:spacing w:val="3"/>
          <w:w w:val="105"/>
          <w:sz w:val="11"/>
        </w:rPr>
        <w:t xml:space="preserve"> </w:t>
      </w:r>
      <w:r>
        <w:rPr>
          <w:spacing w:val="-2"/>
          <w:w w:val="105"/>
          <w:sz w:val="11"/>
        </w:rPr>
        <w:t>Comité</w:t>
      </w:r>
      <w:r>
        <w:rPr>
          <w:spacing w:val="3"/>
          <w:w w:val="105"/>
          <w:sz w:val="11"/>
        </w:rPr>
        <w:t xml:space="preserve"> </w:t>
      </w:r>
      <w:r>
        <w:rPr>
          <w:spacing w:val="-2"/>
          <w:w w:val="105"/>
          <w:sz w:val="11"/>
        </w:rPr>
        <w:t>para</w:t>
      </w:r>
      <w:r>
        <w:rPr>
          <w:spacing w:val="3"/>
          <w:w w:val="105"/>
          <w:sz w:val="11"/>
        </w:rPr>
        <w:t xml:space="preserve"> </w:t>
      </w:r>
      <w:r>
        <w:rPr>
          <w:spacing w:val="-2"/>
          <w:w w:val="105"/>
          <w:sz w:val="11"/>
        </w:rPr>
        <w:t>la</w:t>
      </w:r>
      <w:r>
        <w:rPr>
          <w:spacing w:val="4"/>
          <w:w w:val="105"/>
          <w:sz w:val="11"/>
        </w:rPr>
        <w:t xml:space="preserve"> </w:t>
      </w:r>
      <w:r>
        <w:rPr>
          <w:spacing w:val="-2"/>
          <w:w w:val="105"/>
          <w:sz w:val="11"/>
        </w:rPr>
        <w:t>Eliminación</w:t>
      </w:r>
      <w:r>
        <w:rPr>
          <w:spacing w:val="3"/>
          <w:w w:val="105"/>
          <w:sz w:val="11"/>
        </w:rPr>
        <w:t xml:space="preserve"> </w:t>
      </w:r>
      <w:r>
        <w:rPr>
          <w:spacing w:val="-2"/>
          <w:w w:val="105"/>
          <w:sz w:val="11"/>
        </w:rPr>
        <w:t>de</w:t>
      </w:r>
      <w:r>
        <w:rPr>
          <w:spacing w:val="3"/>
          <w:w w:val="105"/>
          <w:sz w:val="11"/>
        </w:rPr>
        <w:t xml:space="preserve"> </w:t>
      </w:r>
      <w:r>
        <w:rPr>
          <w:spacing w:val="-2"/>
          <w:w w:val="105"/>
          <w:sz w:val="11"/>
        </w:rPr>
        <w:t>la</w:t>
      </w:r>
      <w:r>
        <w:rPr>
          <w:spacing w:val="4"/>
          <w:w w:val="105"/>
          <w:sz w:val="11"/>
        </w:rPr>
        <w:t xml:space="preserve"> </w:t>
      </w:r>
      <w:r>
        <w:rPr>
          <w:spacing w:val="-2"/>
          <w:w w:val="105"/>
          <w:sz w:val="11"/>
        </w:rPr>
        <w:t>Discriminación</w:t>
      </w:r>
      <w:r>
        <w:rPr>
          <w:spacing w:val="3"/>
          <w:w w:val="105"/>
          <w:sz w:val="11"/>
        </w:rPr>
        <w:t xml:space="preserve"> </w:t>
      </w:r>
      <w:r>
        <w:rPr>
          <w:spacing w:val="-2"/>
          <w:w w:val="105"/>
          <w:sz w:val="11"/>
        </w:rPr>
        <w:t>Racial,</w:t>
      </w:r>
      <w:r>
        <w:rPr>
          <w:spacing w:val="3"/>
          <w:w w:val="105"/>
          <w:sz w:val="11"/>
        </w:rPr>
        <w:t xml:space="preserve"> </w:t>
      </w:r>
      <w:r>
        <w:rPr>
          <w:spacing w:val="-2"/>
          <w:w w:val="105"/>
          <w:sz w:val="11"/>
        </w:rPr>
        <w:t>recomendación</w:t>
      </w:r>
      <w:r>
        <w:rPr>
          <w:spacing w:val="3"/>
          <w:w w:val="105"/>
          <w:sz w:val="11"/>
        </w:rPr>
        <w:t xml:space="preserve"> </w:t>
      </w:r>
      <w:r>
        <w:rPr>
          <w:spacing w:val="-2"/>
          <w:w w:val="105"/>
          <w:sz w:val="11"/>
        </w:rPr>
        <w:t>general</w:t>
      </w:r>
      <w:r>
        <w:rPr>
          <w:spacing w:val="4"/>
          <w:w w:val="105"/>
          <w:sz w:val="11"/>
        </w:rPr>
        <w:t xml:space="preserve"> </w:t>
      </w:r>
      <w:r>
        <w:rPr>
          <w:spacing w:val="-2"/>
          <w:w w:val="105"/>
          <w:sz w:val="11"/>
        </w:rPr>
        <w:t>núm.</w:t>
      </w:r>
      <w:r>
        <w:rPr>
          <w:spacing w:val="3"/>
          <w:w w:val="105"/>
          <w:sz w:val="11"/>
        </w:rPr>
        <w:t xml:space="preserve"> </w:t>
      </w:r>
      <w:r>
        <w:rPr>
          <w:spacing w:val="-2"/>
          <w:w w:val="105"/>
          <w:sz w:val="11"/>
        </w:rPr>
        <w:t>30</w:t>
      </w:r>
      <w:r>
        <w:rPr>
          <w:spacing w:val="3"/>
          <w:w w:val="105"/>
          <w:sz w:val="11"/>
        </w:rPr>
        <w:t xml:space="preserve"> </w:t>
      </w:r>
      <w:r>
        <w:rPr>
          <w:spacing w:val="-2"/>
          <w:w w:val="105"/>
          <w:sz w:val="11"/>
        </w:rPr>
        <w:t>(2004),</w:t>
      </w:r>
      <w:r>
        <w:rPr>
          <w:spacing w:val="4"/>
          <w:w w:val="105"/>
          <w:sz w:val="11"/>
        </w:rPr>
        <w:t xml:space="preserve"> </w:t>
      </w:r>
      <w:proofErr w:type="spellStart"/>
      <w:r>
        <w:rPr>
          <w:spacing w:val="-2"/>
          <w:w w:val="105"/>
          <w:sz w:val="11"/>
        </w:rPr>
        <w:t>párrs</w:t>
      </w:r>
      <w:proofErr w:type="spellEnd"/>
      <w:r>
        <w:rPr>
          <w:spacing w:val="-2"/>
          <w:w w:val="105"/>
          <w:sz w:val="11"/>
        </w:rPr>
        <w:t>.</w:t>
      </w:r>
      <w:r>
        <w:rPr>
          <w:spacing w:val="3"/>
          <w:w w:val="105"/>
          <w:sz w:val="11"/>
        </w:rPr>
        <w:t xml:space="preserve"> </w:t>
      </w:r>
      <w:r>
        <w:rPr>
          <w:spacing w:val="-4"/>
          <w:w w:val="105"/>
          <w:sz w:val="11"/>
        </w:rPr>
        <w:t>1–4.</w:t>
      </w:r>
    </w:p>
    <w:p w14:paraId="10C6AE1D" w14:textId="77777777" w:rsidR="0014798C" w:rsidRDefault="0014798C">
      <w:pPr>
        <w:rPr>
          <w:sz w:val="11"/>
        </w:rPr>
        <w:sectPr w:rsidR="0014798C" w:rsidSect="00F265E4">
          <w:type w:val="continuous"/>
          <w:pgSz w:w="11900" w:h="16820"/>
          <w:pgMar w:top="40" w:right="0" w:bottom="280" w:left="200" w:header="121" w:footer="0" w:gutter="0"/>
          <w:cols w:space="720"/>
        </w:sectPr>
      </w:pPr>
    </w:p>
    <w:p w14:paraId="311258B7" w14:textId="77777777" w:rsidR="0014798C" w:rsidRDefault="004E1F0B">
      <w:pPr>
        <w:spacing w:before="56"/>
        <w:jc w:val="right"/>
        <w:rPr>
          <w:sz w:val="8"/>
        </w:rPr>
      </w:pPr>
      <w:r>
        <w:rPr>
          <w:spacing w:val="-5"/>
          <w:w w:val="105"/>
          <w:sz w:val="8"/>
        </w:rPr>
        <w:t>169</w:t>
      </w:r>
    </w:p>
    <w:p w14:paraId="27E23794" w14:textId="77777777" w:rsidR="0014798C" w:rsidRDefault="0014798C">
      <w:pPr>
        <w:pStyle w:val="Textoindependiente"/>
        <w:rPr>
          <w:sz w:val="8"/>
        </w:rPr>
      </w:pPr>
    </w:p>
    <w:p w14:paraId="2C7AED1A" w14:textId="77777777" w:rsidR="0014798C" w:rsidRDefault="0014798C">
      <w:pPr>
        <w:pStyle w:val="Textoindependiente"/>
        <w:rPr>
          <w:sz w:val="8"/>
        </w:rPr>
      </w:pPr>
    </w:p>
    <w:p w14:paraId="02E6CB1A" w14:textId="77777777" w:rsidR="0014798C" w:rsidRDefault="0014798C">
      <w:pPr>
        <w:pStyle w:val="Textoindependiente"/>
        <w:spacing w:before="48"/>
        <w:rPr>
          <w:sz w:val="8"/>
        </w:rPr>
      </w:pPr>
    </w:p>
    <w:p w14:paraId="6B0A50F3" w14:textId="77777777" w:rsidR="0014798C" w:rsidRDefault="004E1F0B">
      <w:pPr>
        <w:jc w:val="right"/>
        <w:rPr>
          <w:sz w:val="8"/>
        </w:rPr>
      </w:pPr>
      <w:r>
        <w:rPr>
          <w:spacing w:val="-5"/>
          <w:w w:val="105"/>
          <w:sz w:val="8"/>
        </w:rPr>
        <w:t>170</w:t>
      </w:r>
    </w:p>
    <w:p w14:paraId="05D07671" w14:textId="77777777" w:rsidR="0014798C" w:rsidRDefault="004E1F0B">
      <w:pPr>
        <w:spacing w:before="83" w:line="288" w:lineRule="auto"/>
        <w:ind w:left="73" w:right="1644" w:firstLine="1"/>
        <w:rPr>
          <w:sz w:val="13"/>
        </w:rPr>
      </w:pPr>
      <w:r>
        <w:br w:type="column"/>
      </w:r>
      <w:r>
        <w:rPr>
          <w:sz w:val="13"/>
        </w:rPr>
        <w:t xml:space="preserve">Tribunal Europeo de Derechos Humanos, </w:t>
      </w:r>
      <w:proofErr w:type="spellStart"/>
      <w:r>
        <w:rPr>
          <w:sz w:val="13"/>
        </w:rPr>
        <w:t>Gaygusuz</w:t>
      </w:r>
      <w:proofErr w:type="spellEnd"/>
      <w:r>
        <w:rPr>
          <w:sz w:val="13"/>
        </w:rPr>
        <w:t xml:space="preserve"> c. Austria, solicitud núm. 17371/90, sentencia de 16 de septiembre de 1996; y </w:t>
      </w:r>
      <w:proofErr w:type="spellStart"/>
      <w:r>
        <w:rPr>
          <w:sz w:val="13"/>
        </w:rPr>
        <w:t>Ponomaryovi</w:t>
      </w:r>
      <w:proofErr w:type="spellEnd"/>
      <w:r>
        <w:rPr>
          <w:sz w:val="13"/>
        </w:rPr>
        <w:t xml:space="preserve"> v.</w:t>
      </w:r>
      <w:r>
        <w:rPr>
          <w:spacing w:val="40"/>
          <w:sz w:val="13"/>
        </w:rPr>
        <w:t xml:space="preserve"> </w:t>
      </w:r>
      <w:r>
        <w:rPr>
          <w:sz w:val="13"/>
        </w:rPr>
        <w:t>Bulgaria, Solicitud No. 5335/05, Sentencia, 21 de junio de 2011.</w:t>
      </w:r>
    </w:p>
    <w:p w14:paraId="295C7058" w14:textId="77777777" w:rsidR="0014798C" w:rsidRDefault="004E1F0B">
      <w:pPr>
        <w:spacing w:before="57" w:line="288" w:lineRule="auto"/>
        <w:ind w:left="76" w:right="1278" w:hanging="2"/>
        <w:rPr>
          <w:sz w:val="13"/>
        </w:rPr>
      </w:pPr>
      <w:r>
        <w:rPr>
          <w:w w:val="105"/>
          <w:sz w:val="13"/>
        </w:rPr>
        <w:t>Tribunal</w:t>
      </w:r>
      <w:r>
        <w:rPr>
          <w:spacing w:val="-3"/>
          <w:w w:val="105"/>
          <w:sz w:val="13"/>
        </w:rPr>
        <w:t xml:space="preserve"> </w:t>
      </w:r>
      <w:r>
        <w:rPr>
          <w:w w:val="105"/>
          <w:sz w:val="13"/>
        </w:rPr>
        <w:t>Europeo</w:t>
      </w:r>
      <w:r>
        <w:rPr>
          <w:spacing w:val="-3"/>
          <w:w w:val="105"/>
          <w:sz w:val="13"/>
        </w:rPr>
        <w:t xml:space="preserve"> </w:t>
      </w:r>
      <w:r>
        <w:rPr>
          <w:w w:val="105"/>
          <w:sz w:val="13"/>
        </w:rPr>
        <w:t>de</w:t>
      </w:r>
      <w:r>
        <w:rPr>
          <w:spacing w:val="-3"/>
          <w:w w:val="105"/>
          <w:sz w:val="13"/>
        </w:rPr>
        <w:t xml:space="preserve"> </w:t>
      </w:r>
      <w:r>
        <w:rPr>
          <w:w w:val="105"/>
          <w:sz w:val="13"/>
        </w:rPr>
        <w:t>Derechos</w:t>
      </w:r>
      <w:r>
        <w:rPr>
          <w:spacing w:val="-3"/>
          <w:w w:val="105"/>
          <w:sz w:val="13"/>
        </w:rPr>
        <w:t xml:space="preserve"> </w:t>
      </w:r>
      <w:r>
        <w:rPr>
          <w:w w:val="105"/>
          <w:sz w:val="13"/>
        </w:rPr>
        <w:t>Humanos,</w:t>
      </w:r>
      <w:r>
        <w:rPr>
          <w:spacing w:val="-2"/>
          <w:w w:val="105"/>
          <w:sz w:val="13"/>
        </w:rPr>
        <w:t xml:space="preserve"> </w:t>
      </w:r>
      <w:r>
        <w:rPr>
          <w:w w:val="105"/>
          <w:sz w:val="13"/>
        </w:rPr>
        <w:t>Biao</w:t>
      </w:r>
      <w:r>
        <w:rPr>
          <w:spacing w:val="-3"/>
          <w:w w:val="105"/>
          <w:sz w:val="13"/>
        </w:rPr>
        <w:t xml:space="preserve"> </w:t>
      </w:r>
      <w:r>
        <w:rPr>
          <w:w w:val="105"/>
          <w:sz w:val="13"/>
        </w:rPr>
        <w:t>c.</w:t>
      </w:r>
      <w:r>
        <w:rPr>
          <w:spacing w:val="-3"/>
          <w:w w:val="105"/>
          <w:sz w:val="13"/>
        </w:rPr>
        <w:t xml:space="preserve"> </w:t>
      </w:r>
      <w:r>
        <w:rPr>
          <w:w w:val="105"/>
          <w:sz w:val="13"/>
        </w:rPr>
        <w:t>Dinamarca,</w:t>
      </w:r>
      <w:r>
        <w:rPr>
          <w:spacing w:val="-2"/>
          <w:w w:val="105"/>
          <w:sz w:val="13"/>
        </w:rPr>
        <w:t xml:space="preserve"> </w:t>
      </w:r>
      <w:r>
        <w:rPr>
          <w:w w:val="105"/>
          <w:sz w:val="13"/>
        </w:rPr>
        <w:t>solicitud</w:t>
      </w:r>
      <w:r>
        <w:rPr>
          <w:spacing w:val="-3"/>
          <w:w w:val="105"/>
          <w:sz w:val="13"/>
        </w:rPr>
        <w:t xml:space="preserve"> </w:t>
      </w:r>
      <w:r>
        <w:rPr>
          <w:w w:val="105"/>
          <w:sz w:val="13"/>
        </w:rPr>
        <w:t>n.º</w:t>
      </w:r>
      <w:r>
        <w:rPr>
          <w:spacing w:val="-3"/>
          <w:w w:val="105"/>
          <w:sz w:val="13"/>
        </w:rPr>
        <w:t xml:space="preserve"> </w:t>
      </w:r>
      <w:r>
        <w:rPr>
          <w:w w:val="105"/>
          <w:sz w:val="13"/>
        </w:rPr>
        <w:t>38590/10,</w:t>
      </w:r>
      <w:r>
        <w:rPr>
          <w:spacing w:val="-2"/>
          <w:w w:val="105"/>
          <w:sz w:val="13"/>
        </w:rPr>
        <w:t xml:space="preserve"> </w:t>
      </w:r>
      <w:r>
        <w:rPr>
          <w:w w:val="105"/>
          <w:sz w:val="13"/>
        </w:rPr>
        <w:t>sentencia,</w:t>
      </w:r>
      <w:r>
        <w:rPr>
          <w:spacing w:val="-2"/>
          <w:w w:val="105"/>
          <w:sz w:val="13"/>
        </w:rPr>
        <w:t xml:space="preserve"> </w:t>
      </w:r>
      <w:r>
        <w:rPr>
          <w:w w:val="105"/>
          <w:sz w:val="13"/>
        </w:rPr>
        <w:t>24</w:t>
      </w:r>
      <w:r>
        <w:rPr>
          <w:spacing w:val="-3"/>
          <w:w w:val="105"/>
          <w:sz w:val="13"/>
        </w:rPr>
        <w:t xml:space="preserve"> </w:t>
      </w:r>
      <w:r>
        <w:rPr>
          <w:w w:val="105"/>
          <w:sz w:val="13"/>
        </w:rPr>
        <w:t>de</w:t>
      </w:r>
      <w:r>
        <w:rPr>
          <w:spacing w:val="-3"/>
          <w:w w:val="105"/>
          <w:sz w:val="13"/>
        </w:rPr>
        <w:t xml:space="preserve"> </w:t>
      </w:r>
      <w:r>
        <w:rPr>
          <w:w w:val="105"/>
          <w:sz w:val="13"/>
        </w:rPr>
        <w:t>mayo</w:t>
      </w:r>
      <w:r>
        <w:rPr>
          <w:spacing w:val="-3"/>
          <w:w w:val="105"/>
          <w:sz w:val="13"/>
        </w:rPr>
        <w:t xml:space="preserve"> </w:t>
      </w:r>
      <w:r>
        <w:rPr>
          <w:w w:val="105"/>
          <w:sz w:val="13"/>
        </w:rPr>
        <w:t>de</w:t>
      </w:r>
      <w:r>
        <w:rPr>
          <w:spacing w:val="-3"/>
          <w:w w:val="105"/>
          <w:sz w:val="13"/>
        </w:rPr>
        <w:t xml:space="preserve"> </w:t>
      </w:r>
      <w:r>
        <w:rPr>
          <w:w w:val="105"/>
          <w:sz w:val="13"/>
        </w:rPr>
        <w:t>2016.</w:t>
      </w:r>
      <w:r>
        <w:rPr>
          <w:spacing w:val="-3"/>
          <w:w w:val="105"/>
          <w:sz w:val="13"/>
        </w:rPr>
        <w:t xml:space="preserve"> </w:t>
      </w:r>
      <w:r>
        <w:rPr>
          <w:w w:val="105"/>
          <w:sz w:val="13"/>
        </w:rPr>
        <w:t>Véase</w:t>
      </w:r>
      <w:r>
        <w:rPr>
          <w:spacing w:val="-3"/>
          <w:w w:val="105"/>
          <w:sz w:val="13"/>
        </w:rPr>
        <w:t xml:space="preserve"> </w:t>
      </w:r>
      <w:r>
        <w:rPr>
          <w:w w:val="105"/>
          <w:sz w:val="13"/>
        </w:rPr>
        <w:t>también</w:t>
      </w:r>
      <w:r>
        <w:rPr>
          <w:spacing w:val="-3"/>
          <w:w w:val="105"/>
          <w:sz w:val="13"/>
        </w:rPr>
        <w:t xml:space="preserve"> </w:t>
      </w:r>
      <w:r>
        <w:rPr>
          <w:w w:val="105"/>
          <w:sz w:val="13"/>
        </w:rPr>
        <w:t>Comisión</w:t>
      </w:r>
      <w:r>
        <w:rPr>
          <w:spacing w:val="40"/>
          <w:w w:val="105"/>
          <w:sz w:val="13"/>
        </w:rPr>
        <w:t xml:space="preserve"> </w:t>
      </w:r>
      <w:r>
        <w:rPr>
          <w:w w:val="105"/>
          <w:sz w:val="13"/>
        </w:rPr>
        <w:t>Europea</w:t>
      </w:r>
      <w:r>
        <w:rPr>
          <w:spacing w:val="-5"/>
          <w:w w:val="105"/>
          <w:sz w:val="13"/>
        </w:rPr>
        <w:t xml:space="preserve"> </w:t>
      </w:r>
      <w:r>
        <w:rPr>
          <w:w w:val="105"/>
          <w:sz w:val="13"/>
        </w:rPr>
        <w:t>de</w:t>
      </w:r>
      <w:r>
        <w:rPr>
          <w:spacing w:val="-5"/>
          <w:w w:val="105"/>
          <w:sz w:val="13"/>
        </w:rPr>
        <w:t xml:space="preserve"> </w:t>
      </w:r>
      <w:r>
        <w:rPr>
          <w:w w:val="105"/>
          <w:sz w:val="13"/>
        </w:rPr>
        <w:t>Derechos</w:t>
      </w:r>
      <w:r>
        <w:rPr>
          <w:spacing w:val="-5"/>
          <w:w w:val="105"/>
          <w:sz w:val="13"/>
        </w:rPr>
        <w:t xml:space="preserve"> </w:t>
      </w:r>
      <w:r>
        <w:rPr>
          <w:w w:val="105"/>
          <w:sz w:val="13"/>
        </w:rPr>
        <w:t>Humanos,</w:t>
      </w:r>
      <w:r>
        <w:rPr>
          <w:spacing w:val="-4"/>
          <w:w w:val="105"/>
          <w:sz w:val="13"/>
        </w:rPr>
        <w:t xml:space="preserve"> </w:t>
      </w:r>
      <w:r>
        <w:rPr>
          <w:w w:val="105"/>
          <w:sz w:val="13"/>
        </w:rPr>
        <w:t>East</w:t>
      </w:r>
      <w:r>
        <w:rPr>
          <w:spacing w:val="-5"/>
          <w:w w:val="105"/>
          <w:sz w:val="13"/>
        </w:rPr>
        <w:t xml:space="preserve"> </w:t>
      </w:r>
      <w:proofErr w:type="spellStart"/>
      <w:r>
        <w:rPr>
          <w:w w:val="105"/>
          <w:sz w:val="13"/>
        </w:rPr>
        <w:t>African</w:t>
      </w:r>
      <w:proofErr w:type="spellEnd"/>
      <w:r>
        <w:rPr>
          <w:spacing w:val="-5"/>
          <w:w w:val="105"/>
          <w:sz w:val="13"/>
        </w:rPr>
        <w:t xml:space="preserve"> </w:t>
      </w:r>
      <w:proofErr w:type="spellStart"/>
      <w:r>
        <w:rPr>
          <w:w w:val="105"/>
          <w:sz w:val="13"/>
        </w:rPr>
        <w:t>Asians</w:t>
      </w:r>
      <w:proofErr w:type="spellEnd"/>
      <w:r>
        <w:rPr>
          <w:spacing w:val="-5"/>
          <w:w w:val="105"/>
          <w:sz w:val="13"/>
        </w:rPr>
        <w:t xml:space="preserve"> </w:t>
      </w:r>
      <w:r>
        <w:rPr>
          <w:w w:val="105"/>
          <w:sz w:val="13"/>
        </w:rPr>
        <w:t>c.</w:t>
      </w:r>
      <w:r>
        <w:rPr>
          <w:spacing w:val="-5"/>
          <w:w w:val="105"/>
          <w:sz w:val="13"/>
        </w:rPr>
        <w:t xml:space="preserve"> </w:t>
      </w:r>
      <w:r>
        <w:rPr>
          <w:w w:val="105"/>
          <w:sz w:val="13"/>
        </w:rPr>
        <w:t>el</w:t>
      </w:r>
      <w:r>
        <w:rPr>
          <w:spacing w:val="-5"/>
          <w:w w:val="105"/>
          <w:sz w:val="13"/>
        </w:rPr>
        <w:t xml:space="preserve"> </w:t>
      </w:r>
      <w:r>
        <w:rPr>
          <w:w w:val="105"/>
          <w:sz w:val="13"/>
        </w:rPr>
        <w:t>Reino</w:t>
      </w:r>
      <w:r>
        <w:rPr>
          <w:spacing w:val="-5"/>
          <w:w w:val="105"/>
          <w:sz w:val="13"/>
        </w:rPr>
        <w:t xml:space="preserve"> </w:t>
      </w:r>
      <w:r>
        <w:rPr>
          <w:w w:val="105"/>
          <w:sz w:val="13"/>
        </w:rPr>
        <w:t>Unido,</w:t>
      </w:r>
      <w:r>
        <w:rPr>
          <w:spacing w:val="-5"/>
          <w:w w:val="105"/>
          <w:sz w:val="13"/>
        </w:rPr>
        <w:t xml:space="preserve"> </w:t>
      </w:r>
      <w:r>
        <w:rPr>
          <w:w w:val="105"/>
          <w:sz w:val="13"/>
        </w:rPr>
        <w:t>solicitudes</w:t>
      </w:r>
      <w:r>
        <w:rPr>
          <w:spacing w:val="-5"/>
          <w:w w:val="105"/>
          <w:sz w:val="13"/>
        </w:rPr>
        <w:t xml:space="preserve"> </w:t>
      </w:r>
      <w:r>
        <w:rPr>
          <w:w w:val="105"/>
          <w:sz w:val="13"/>
        </w:rPr>
        <w:t>n.º</w:t>
      </w:r>
      <w:r>
        <w:rPr>
          <w:spacing w:val="-5"/>
          <w:w w:val="105"/>
          <w:sz w:val="13"/>
        </w:rPr>
        <w:t xml:space="preserve"> </w:t>
      </w:r>
      <w:r>
        <w:rPr>
          <w:w w:val="105"/>
          <w:sz w:val="13"/>
        </w:rPr>
        <w:t>4403/70-4419/</w:t>
      </w:r>
      <w:r>
        <w:rPr>
          <w:spacing w:val="-4"/>
          <w:w w:val="105"/>
          <w:sz w:val="13"/>
        </w:rPr>
        <w:t xml:space="preserve"> </w:t>
      </w:r>
      <w:r>
        <w:rPr>
          <w:w w:val="105"/>
          <w:sz w:val="13"/>
        </w:rPr>
        <w:t>70</w:t>
      </w:r>
      <w:r>
        <w:rPr>
          <w:spacing w:val="-5"/>
          <w:w w:val="105"/>
          <w:sz w:val="13"/>
        </w:rPr>
        <w:t xml:space="preserve"> </w:t>
      </w:r>
      <w:r>
        <w:rPr>
          <w:w w:val="105"/>
          <w:sz w:val="13"/>
        </w:rPr>
        <w:t>y</w:t>
      </w:r>
      <w:r>
        <w:rPr>
          <w:spacing w:val="-5"/>
          <w:w w:val="105"/>
          <w:sz w:val="13"/>
        </w:rPr>
        <w:t xml:space="preserve"> </w:t>
      </w:r>
      <w:r>
        <w:rPr>
          <w:w w:val="105"/>
          <w:sz w:val="13"/>
        </w:rPr>
        <w:t>otros,</w:t>
      </w:r>
      <w:r>
        <w:rPr>
          <w:spacing w:val="-5"/>
          <w:w w:val="105"/>
          <w:sz w:val="13"/>
        </w:rPr>
        <w:t xml:space="preserve"> </w:t>
      </w:r>
      <w:r>
        <w:rPr>
          <w:w w:val="105"/>
          <w:sz w:val="13"/>
        </w:rPr>
        <w:t>Informe,</w:t>
      </w:r>
      <w:r>
        <w:rPr>
          <w:spacing w:val="-5"/>
          <w:w w:val="105"/>
          <w:sz w:val="13"/>
        </w:rPr>
        <w:t xml:space="preserve"> </w:t>
      </w:r>
      <w:r>
        <w:rPr>
          <w:w w:val="105"/>
          <w:sz w:val="13"/>
        </w:rPr>
        <w:t>14</w:t>
      </w:r>
      <w:r>
        <w:rPr>
          <w:spacing w:val="-5"/>
          <w:w w:val="105"/>
          <w:sz w:val="13"/>
        </w:rPr>
        <w:t xml:space="preserve"> </w:t>
      </w:r>
      <w:r>
        <w:rPr>
          <w:w w:val="105"/>
          <w:sz w:val="13"/>
        </w:rPr>
        <w:t>de</w:t>
      </w:r>
      <w:r>
        <w:rPr>
          <w:spacing w:val="-5"/>
          <w:w w:val="105"/>
          <w:sz w:val="13"/>
        </w:rPr>
        <w:t xml:space="preserve"> </w:t>
      </w:r>
      <w:r>
        <w:rPr>
          <w:w w:val="105"/>
          <w:sz w:val="13"/>
        </w:rPr>
        <w:t>diciembre</w:t>
      </w:r>
      <w:r>
        <w:rPr>
          <w:spacing w:val="-5"/>
          <w:w w:val="105"/>
          <w:sz w:val="13"/>
        </w:rPr>
        <w:t xml:space="preserve"> </w:t>
      </w:r>
      <w:r>
        <w:rPr>
          <w:w w:val="105"/>
          <w:sz w:val="13"/>
        </w:rPr>
        <w:t>de</w:t>
      </w:r>
      <w:r>
        <w:rPr>
          <w:spacing w:val="-5"/>
          <w:w w:val="105"/>
          <w:sz w:val="13"/>
        </w:rPr>
        <w:t xml:space="preserve"> </w:t>
      </w:r>
      <w:r>
        <w:rPr>
          <w:w w:val="105"/>
          <w:sz w:val="13"/>
        </w:rPr>
        <w:t>1973.</w:t>
      </w:r>
    </w:p>
    <w:p w14:paraId="5A4EA8A6" w14:textId="77777777" w:rsidR="0014798C" w:rsidRDefault="0014798C">
      <w:pPr>
        <w:spacing w:line="288" w:lineRule="auto"/>
        <w:rPr>
          <w:sz w:val="13"/>
        </w:rPr>
        <w:sectPr w:rsidR="0014798C" w:rsidSect="00F265E4">
          <w:type w:val="continuous"/>
          <w:pgSz w:w="11900" w:h="16820"/>
          <w:pgMar w:top="40" w:right="0" w:bottom="280" w:left="200" w:header="121" w:footer="0" w:gutter="0"/>
          <w:cols w:num="2" w:space="720" w:equalWidth="0">
            <w:col w:w="1253" w:space="40"/>
            <w:col w:w="10407"/>
          </w:cols>
        </w:sectPr>
      </w:pPr>
    </w:p>
    <w:p w14:paraId="16A8C97D" w14:textId="77777777" w:rsidR="0014798C" w:rsidRDefault="004E1F0B">
      <w:pPr>
        <w:spacing w:before="85"/>
        <w:ind w:left="1111"/>
        <w:rPr>
          <w:sz w:val="11"/>
        </w:rPr>
      </w:pPr>
      <w:r>
        <w:rPr>
          <w:w w:val="105"/>
          <w:sz w:val="11"/>
        </w:rPr>
        <w:t>171</w:t>
      </w:r>
      <w:r>
        <w:rPr>
          <w:spacing w:val="-7"/>
          <w:w w:val="105"/>
          <w:sz w:val="11"/>
        </w:rPr>
        <w:t xml:space="preserve"> </w:t>
      </w:r>
      <w:r>
        <w:rPr>
          <w:w w:val="105"/>
          <w:sz w:val="11"/>
        </w:rPr>
        <w:t>“La</w:t>
      </w:r>
      <w:r>
        <w:rPr>
          <w:spacing w:val="-6"/>
          <w:w w:val="105"/>
          <w:sz w:val="11"/>
        </w:rPr>
        <w:t xml:space="preserve"> </w:t>
      </w:r>
      <w:r>
        <w:rPr>
          <w:w w:val="105"/>
          <w:sz w:val="11"/>
        </w:rPr>
        <w:t>Corte</w:t>
      </w:r>
      <w:r>
        <w:rPr>
          <w:spacing w:val="-7"/>
          <w:w w:val="105"/>
          <w:sz w:val="11"/>
        </w:rPr>
        <w:t xml:space="preserve"> </w:t>
      </w:r>
      <w:r>
        <w:rPr>
          <w:w w:val="105"/>
          <w:sz w:val="11"/>
        </w:rPr>
        <w:t>considera</w:t>
      </w:r>
      <w:r>
        <w:rPr>
          <w:spacing w:val="-6"/>
          <w:w w:val="105"/>
          <w:sz w:val="11"/>
        </w:rPr>
        <w:t xml:space="preserve"> </w:t>
      </w:r>
      <w:r>
        <w:rPr>
          <w:w w:val="105"/>
          <w:sz w:val="11"/>
        </w:rPr>
        <w:t>que</w:t>
      </w:r>
      <w:r>
        <w:rPr>
          <w:spacing w:val="-7"/>
          <w:w w:val="105"/>
          <w:sz w:val="11"/>
        </w:rPr>
        <w:t xml:space="preserve"> </w:t>
      </w:r>
      <w:r>
        <w:rPr>
          <w:w w:val="105"/>
          <w:sz w:val="11"/>
        </w:rPr>
        <w:t>el</w:t>
      </w:r>
      <w:r>
        <w:rPr>
          <w:spacing w:val="-6"/>
          <w:w w:val="105"/>
          <w:sz w:val="11"/>
        </w:rPr>
        <w:t xml:space="preserve"> </w:t>
      </w:r>
      <w:r>
        <w:rPr>
          <w:w w:val="105"/>
          <w:sz w:val="11"/>
        </w:rPr>
        <w:t>procedimiento</w:t>
      </w:r>
      <w:r>
        <w:rPr>
          <w:spacing w:val="-6"/>
          <w:w w:val="105"/>
          <w:sz w:val="11"/>
        </w:rPr>
        <w:t xml:space="preserve"> </w:t>
      </w:r>
      <w:r>
        <w:rPr>
          <w:w w:val="105"/>
          <w:sz w:val="11"/>
        </w:rPr>
        <w:t>seguido</w:t>
      </w:r>
      <w:r>
        <w:rPr>
          <w:spacing w:val="-7"/>
          <w:w w:val="105"/>
          <w:sz w:val="11"/>
        </w:rPr>
        <w:t xml:space="preserve"> </w:t>
      </w:r>
      <w:r>
        <w:rPr>
          <w:w w:val="105"/>
          <w:sz w:val="11"/>
        </w:rPr>
        <w:t>no</w:t>
      </w:r>
      <w:r>
        <w:rPr>
          <w:spacing w:val="-6"/>
          <w:w w:val="105"/>
          <w:sz w:val="11"/>
        </w:rPr>
        <w:t xml:space="preserve"> </w:t>
      </w:r>
      <w:r>
        <w:rPr>
          <w:w w:val="105"/>
          <w:sz w:val="11"/>
        </w:rPr>
        <w:t>le</w:t>
      </w:r>
      <w:r>
        <w:rPr>
          <w:spacing w:val="-7"/>
          <w:w w:val="105"/>
          <w:sz w:val="11"/>
        </w:rPr>
        <w:t xml:space="preserve"> </w:t>
      </w:r>
      <w:r>
        <w:rPr>
          <w:w w:val="105"/>
          <w:sz w:val="11"/>
        </w:rPr>
        <w:t>permite</w:t>
      </w:r>
      <w:r>
        <w:rPr>
          <w:spacing w:val="-6"/>
          <w:w w:val="105"/>
          <w:sz w:val="11"/>
        </w:rPr>
        <w:t xml:space="preserve"> </w:t>
      </w:r>
      <w:r>
        <w:rPr>
          <w:w w:val="105"/>
          <w:sz w:val="11"/>
        </w:rPr>
        <w:t>eliminar</w:t>
      </w:r>
      <w:r>
        <w:rPr>
          <w:spacing w:val="-6"/>
          <w:w w:val="105"/>
          <w:sz w:val="11"/>
        </w:rPr>
        <w:t xml:space="preserve"> </w:t>
      </w:r>
      <w:r>
        <w:rPr>
          <w:w w:val="105"/>
          <w:sz w:val="11"/>
        </w:rPr>
        <w:t>toda</w:t>
      </w:r>
      <w:r>
        <w:rPr>
          <w:spacing w:val="-7"/>
          <w:w w:val="105"/>
          <w:sz w:val="11"/>
        </w:rPr>
        <w:t xml:space="preserve"> </w:t>
      </w:r>
      <w:r>
        <w:rPr>
          <w:w w:val="105"/>
          <w:sz w:val="11"/>
        </w:rPr>
        <w:t>duda</w:t>
      </w:r>
      <w:r>
        <w:rPr>
          <w:spacing w:val="-6"/>
          <w:w w:val="105"/>
          <w:sz w:val="11"/>
        </w:rPr>
        <w:t xml:space="preserve"> </w:t>
      </w:r>
      <w:r>
        <w:rPr>
          <w:w w:val="105"/>
          <w:sz w:val="11"/>
        </w:rPr>
        <w:t>de</w:t>
      </w:r>
      <w:r>
        <w:rPr>
          <w:spacing w:val="-7"/>
          <w:w w:val="105"/>
          <w:sz w:val="11"/>
        </w:rPr>
        <w:t xml:space="preserve"> </w:t>
      </w:r>
      <w:r>
        <w:rPr>
          <w:w w:val="105"/>
          <w:sz w:val="11"/>
        </w:rPr>
        <w:t>que</w:t>
      </w:r>
      <w:r>
        <w:rPr>
          <w:spacing w:val="-6"/>
          <w:w w:val="105"/>
          <w:sz w:val="11"/>
        </w:rPr>
        <w:t xml:space="preserve"> </w:t>
      </w:r>
      <w:r>
        <w:rPr>
          <w:w w:val="105"/>
          <w:sz w:val="11"/>
        </w:rPr>
        <w:t>la</w:t>
      </w:r>
      <w:r>
        <w:rPr>
          <w:spacing w:val="-6"/>
          <w:w w:val="105"/>
          <w:sz w:val="11"/>
        </w:rPr>
        <w:t xml:space="preserve"> </w:t>
      </w:r>
      <w:r>
        <w:rPr>
          <w:w w:val="105"/>
          <w:sz w:val="11"/>
        </w:rPr>
        <w:t>expulsión</w:t>
      </w:r>
      <w:r>
        <w:rPr>
          <w:spacing w:val="-7"/>
          <w:w w:val="105"/>
          <w:sz w:val="11"/>
        </w:rPr>
        <w:t xml:space="preserve"> </w:t>
      </w:r>
      <w:r>
        <w:rPr>
          <w:w w:val="105"/>
          <w:sz w:val="11"/>
        </w:rPr>
        <w:t>pudo</w:t>
      </w:r>
      <w:r>
        <w:rPr>
          <w:spacing w:val="-6"/>
          <w:w w:val="105"/>
          <w:sz w:val="11"/>
        </w:rPr>
        <w:t xml:space="preserve"> </w:t>
      </w:r>
      <w:r>
        <w:rPr>
          <w:w w:val="105"/>
          <w:sz w:val="11"/>
        </w:rPr>
        <w:t>haber</w:t>
      </w:r>
      <w:r>
        <w:rPr>
          <w:spacing w:val="-7"/>
          <w:w w:val="105"/>
          <w:sz w:val="11"/>
        </w:rPr>
        <w:t xml:space="preserve"> </w:t>
      </w:r>
      <w:r>
        <w:rPr>
          <w:w w:val="105"/>
          <w:sz w:val="11"/>
        </w:rPr>
        <w:t>sido</w:t>
      </w:r>
      <w:r>
        <w:rPr>
          <w:spacing w:val="-6"/>
          <w:w w:val="105"/>
          <w:sz w:val="11"/>
        </w:rPr>
        <w:t xml:space="preserve"> </w:t>
      </w:r>
      <w:r>
        <w:rPr>
          <w:spacing w:val="-2"/>
          <w:w w:val="105"/>
          <w:sz w:val="11"/>
        </w:rPr>
        <w:t>colectiva”.</w:t>
      </w:r>
    </w:p>
    <w:p w14:paraId="64468A70" w14:textId="77777777" w:rsidR="0014798C" w:rsidRDefault="004E1F0B">
      <w:pPr>
        <w:spacing w:before="26"/>
        <w:ind w:left="1368"/>
        <w:rPr>
          <w:sz w:val="13"/>
        </w:rPr>
      </w:pPr>
      <w:r>
        <w:rPr>
          <w:spacing w:val="-2"/>
          <w:w w:val="105"/>
          <w:sz w:val="13"/>
        </w:rPr>
        <w:t>Tribunal</w:t>
      </w:r>
      <w:r>
        <w:rPr>
          <w:spacing w:val="-1"/>
          <w:w w:val="105"/>
          <w:sz w:val="13"/>
        </w:rPr>
        <w:t xml:space="preserve"> </w:t>
      </w:r>
      <w:r>
        <w:rPr>
          <w:spacing w:val="-2"/>
          <w:w w:val="105"/>
          <w:sz w:val="13"/>
        </w:rPr>
        <w:t>Europeo</w:t>
      </w:r>
      <w:r>
        <w:rPr>
          <w:w w:val="105"/>
          <w:sz w:val="13"/>
        </w:rPr>
        <w:t xml:space="preserve"> </w:t>
      </w:r>
      <w:r>
        <w:rPr>
          <w:spacing w:val="-2"/>
          <w:w w:val="105"/>
          <w:sz w:val="13"/>
        </w:rPr>
        <w:t>de</w:t>
      </w:r>
      <w:r>
        <w:rPr>
          <w:w w:val="105"/>
          <w:sz w:val="13"/>
        </w:rPr>
        <w:t xml:space="preserve"> </w:t>
      </w:r>
      <w:r>
        <w:rPr>
          <w:spacing w:val="-2"/>
          <w:w w:val="105"/>
          <w:sz w:val="13"/>
        </w:rPr>
        <w:t>Derechos</w:t>
      </w:r>
      <w:r>
        <w:rPr>
          <w:w w:val="105"/>
          <w:sz w:val="13"/>
        </w:rPr>
        <w:t xml:space="preserve"> </w:t>
      </w:r>
      <w:r>
        <w:rPr>
          <w:spacing w:val="-2"/>
          <w:w w:val="105"/>
          <w:sz w:val="13"/>
        </w:rPr>
        <w:t>Humanos,</w:t>
      </w:r>
      <w:r>
        <w:rPr>
          <w:spacing w:val="1"/>
          <w:w w:val="105"/>
          <w:sz w:val="13"/>
        </w:rPr>
        <w:t xml:space="preserve"> </w:t>
      </w:r>
      <w:proofErr w:type="spellStart"/>
      <w:r>
        <w:rPr>
          <w:spacing w:val="-2"/>
          <w:w w:val="105"/>
          <w:sz w:val="13"/>
        </w:rPr>
        <w:t>Čonka</w:t>
      </w:r>
      <w:proofErr w:type="spellEnd"/>
      <w:r>
        <w:rPr>
          <w:w w:val="105"/>
          <w:sz w:val="13"/>
        </w:rPr>
        <w:t xml:space="preserve"> </w:t>
      </w:r>
      <w:r>
        <w:rPr>
          <w:spacing w:val="-2"/>
          <w:w w:val="105"/>
          <w:sz w:val="13"/>
        </w:rPr>
        <w:t>c.</w:t>
      </w:r>
      <w:r>
        <w:rPr>
          <w:w w:val="105"/>
          <w:sz w:val="13"/>
        </w:rPr>
        <w:t xml:space="preserve"> </w:t>
      </w:r>
      <w:r>
        <w:rPr>
          <w:spacing w:val="-2"/>
          <w:w w:val="105"/>
          <w:sz w:val="13"/>
        </w:rPr>
        <w:t>Bélgica,</w:t>
      </w:r>
      <w:r>
        <w:rPr>
          <w:w w:val="105"/>
          <w:sz w:val="13"/>
        </w:rPr>
        <w:t xml:space="preserve"> </w:t>
      </w:r>
      <w:r>
        <w:rPr>
          <w:spacing w:val="-2"/>
          <w:w w:val="105"/>
          <w:sz w:val="13"/>
        </w:rPr>
        <w:t>solicitud</w:t>
      </w:r>
      <w:r>
        <w:rPr>
          <w:w w:val="105"/>
          <w:sz w:val="13"/>
        </w:rPr>
        <w:t xml:space="preserve"> </w:t>
      </w:r>
      <w:proofErr w:type="spellStart"/>
      <w:r>
        <w:rPr>
          <w:spacing w:val="-2"/>
          <w:w w:val="105"/>
          <w:sz w:val="13"/>
        </w:rPr>
        <w:t>n.°</w:t>
      </w:r>
      <w:proofErr w:type="spellEnd"/>
      <w:r>
        <w:rPr>
          <w:w w:val="105"/>
          <w:sz w:val="13"/>
        </w:rPr>
        <w:t xml:space="preserve"> </w:t>
      </w:r>
      <w:r>
        <w:rPr>
          <w:spacing w:val="-2"/>
          <w:w w:val="105"/>
          <w:sz w:val="13"/>
        </w:rPr>
        <w:t>51564/99,</w:t>
      </w:r>
      <w:r>
        <w:rPr>
          <w:spacing w:val="1"/>
          <w:w w:val="105"/>
          <w:sz w:val="13"/>
        </w:rPr>
        <w:t xml:space="preserve"> </w:t>
      </w:r>
      <w:r>
        <w:rPr>
          <w:spacing w:val="-2"/>
          <w:w w:val="105"/>
          <w:sz w:val="13"/>
        </w:rPr>
        <w:t>sentencia</w:t>
      </w:r>
      <w:r>
        <w:rPr>
          <w:w w:val="105"/>
          <w:sz w:val="13"/>
        </w:rPr>
        <w:t xml:space="preserve"> </w:t>
      </w:r>
      <w:r>
        <w:rPr>
          <w:spacing w:val="-2"/>
          <w:w w:val="105"/>
          <w:sz w:val="13"/>
        </w:rPr>
        <w:t>de</w:t>
      </w:r>
      <w:r>
        <w:rPr>
          <w:w w:val="105"/>
          <w:sz w:val="13"/>
        </w:rPr>
        <w:t xml:space="preserve"> </w:t>
      </w:r>
      <w:r>
        <w:rPr>
          <w:spacing w:val="-2"/>
          <w:w w:val="105"/>
          <w:sz w:val="13"/>
        </w:rPr>
        <w:t>5</w:t>
      </w:r>
      <w:r>
        <w:rPr>
          <w:w w:val="105"/>
          <w:sz w:val="13"/>
        </w:rPr>
        <w:t xml:space="preserve"> </w:t>
      </w:r>
      <w:r>
        <w:rPr>
          <w:spacing w:val="-2"/>
          <w:w w:val="105"/>
          <w:sz w:val="13"/>
        </w:rPr>
        <w:t>de</w:t>
      </w:r>
      <w:r>
        <w:rPr>
          <w:w w:val="105"/>
          <w:sz w:val="13"/>
        </w:rPr>
        <w:t xml:space="preserve"> </w:t>
      </w:r>
      <w:r>
        <w:rPr>
          <w:spacing w:val="-2"/>
          <w:w w:val="105"/>
          <w:sz w:val="13"/>
        </w:rPr>
        <w:t>febrero</w:t>
      </w:r>
      <w:r>
        <w:rPr>
          <w:w w:val="105"/>
          <w:sz w:val="13"/>
        </w:rPr>
        <w:t xml:space="preserve"> </w:t>
      </w:r>
      <w:r>
        <w:rPr>
          <w:spacing w:val="-2"/>
          <w:w w:val="105"/>
          <w:sz w:val="13"/>
        </w:rPr>
        <w:t>de</w:t>
      </w:r>
      <w:r>
        <w:rPr>
          <w:w w:val="105"/>
          <w:sz w:val="13"/>
        </w:rPr>
        <w:t xml:space="preserve"> </w:t>
      </w:r>
      <w:r>
        <w:rPr>
          <w:spacing w:val="-2"/>
          <w:w w:val="105"/>
          <w:sz w:val="13"/>
        </w:rPr>
        <w:t>2002,</w:t>
      </w:r>
      <w:r>
        <w:rPr>
          <w:w w:val="105"/>
          <w:sz w:val="13"/>
        </w:rPr>
        <w:t xml:space="preserve"> </w:t>
      </w:r>
      <w:r>
        <w:rPr>
          <w:spacing w:val="-2"/>
          <w:w w:val="105"/>
          <w:sz w:val="13"/>
        </w:rPr>
        <w:t>párr.</w:t>
      </w:r>
      <w:r>
        <w:rPr>
          <w:w w:val="105"/>
          <w:sz w:val="13"/>
        </w:rPr>
        <w:t xml:space="preserve"> </w:t>
      </w:r>
      <w:r>
        <w:rPr>
          <w:spacing w:val="-5"/>
          <w:w w:val="105"/>
          <w:sz w:val="13"/>
        </w:rPr>
        <w:t>61.</w:t>
      </w:r>
    </w:p>
    <w:p w14:paraId="0139D637" w14:textId="77777777" w:rsidR="0014798C" w:rsidRDefault="0014798C">
      <w:pPr>
        <w:rPr>
          <w:sz w:val="13"/>
        </w:rPr>
        <w:sectPr w:rsidR="0014798C" w:rsidSect="00F265E4">
          <w:type w:val="continuous"/>
          <w:pgSz w:w="11900" w:h="16820"/>
          <w:pgMar w:top="40" w:right="0" w:bottom="280" w:left="200" w:header="121" w:footer="0" w:gutter="0"/>
          <w:cols w:space="720"/>
        </w:sectPr>
      </w:pPr>
    </w:p>
    <w:p w14:paraId="22DBA232" w14:textId="77777777" w:rsidR="0014798C" w:rsidRDefault="004E1F0B">
      <w:pPr>
        <w:spacing w:before="60"/>
        <w:jc w:val="right"/>
        <w:rPr>
          <w:sz w:val="8"/>
        </w:rPr>
      </w:pPr>
      <w:r>
        <w:rPr>
          <w:spacing w:val="-5"/>
          <w:w w:val="105"/>
          <w:sz w:val="8"/>
        </w:rPr>
        <w:t>172</w:t>
      </w:r>
    </w:p>
    <w:p w14:paraId="5EEA2411" w14:textId="77777777" w:rsidR="0014798C" w:rsidRDefault="004E1F0B">
      <w:pPr>
        <w:spacing w:before="87"/>
        <w:ind w:left="75"/>
        <w:rPr>
          <w:sz w:val="13"/>
        </w:rPr>
      </w:pPr>
      <w:r>
        <w:br w:type="column"/>
      </w:r>
      <w:r>
        <w:rPr>
          <w:w w:val="105"/>
          <w:sz w:val="13"/>
        </w:rPr>
        <w:t>Véase,</w:t>
      </w:r>
      <w:r>
        <w:rPr>
          <w:spacing w:val="-10"/>
          <w:w w:val="105"/>
          <w:sz w:val="13"/>
        </w:rPr>
        <w:t xml:space="preserve"> </w:t>
      </w:r>
      <w:r>
        <w:rPr>
          <w:w w:val="105"/>
          <w:sz w:val="13"/>
        </w:rPr>
        <w:t>en</w:t>
      </w:r>
      <w:r>
        <w:rPr>
          <w:spacing w:val="-9"/>
          <w:w w:val="105"/>
          <w:sz w:val="13"/>
        </w:rPr>
        <w:t xml:space="preserve"> </w:t>
      </w:r>
      <w:r>
        <w:rPr>
          <w:w w:val="105"/>
          <w:sz w:val="13"/>
        </w:rPr>
        <w:t>el</w:t>
      </w:r>
      <w:r>
        <w:rPr>
          <w:spacing w:val="-9"/>
          <w:w w:val="105"/>
          <w:sz w:val="13"/>
        </w:rPr>
        <w:t xml:space="preserve"> </w:t>
      </w:r>
      <w:r>
        <w:rPr>
          <w:w w:val="105"/>
          <w:sz w:val="13"/>
        </w:rPr>
        <w:t>contexto</w:t>
      </w:r>
      <w:r>
        <w:rPr>
          <w:spacing w:val="-9"/>
          <w:w w:val="105"/>
          <w:sz w:val="13"/>
        </w:rPr>
        <w:t xml:space="preserve"> </w:t>
      </w:r>
      <w:r>
        <w:rPr>
          <w:w w:val="105"/>
          <w:sz w:val="13"/>
        </w:rPr>
        <w:t>de</w:t>
      </w:r>
      <w:r>
        <w:rPr>
          <w:spacing w:val="-9"/>
          <w:w w:val="105"/>
          <w:sz w:val="13"/>
        </w:rPr>
        <w:t xml:space="preserve"> </w:t>
      </w:r>
      <w:r>
        <w:rPr>
          <w:w w:val="105"/>
          <w:sz w:val="13"/>
        </w:rPr>
        <w:t>la</w:t>
      </w:r>
      <w:r>
        <w:rPr>
          <w:spacing w:val="-9"/>
          <w:w w:val="105"/>
          <w:sz w:val="13"/>
        </w:rPr>
        <w:t xml:space="preserve"> </w:t>
      </w:r>
      <w:r>
        <w:rPr>
          <w:w w:val="105"/>
          <w:sz w:val="13"/>
        </w:rPr>
        <w:t>inmigración,</w:t>
      </w:r>
      <w:r>
        <w:rPr>
          <w:spacing w:val="-8"/>
          <w:w w:val="105"/>
          <w:sz w:val="13"/>
        </w:rPr>
        <w:t xml:space="preserve"> </w:t>
      </w:r>
      <w:r>
        <w:rPr>
          <w:w w:val="105"/>
          <w:sz w:val="13"/>
        </w:rPr>
        <w:t>Comité</w:t>
      </w:r>
      <w:r>
        <w:rPr>
          <w:spacing w:val="-9"/>
          <w:w w:val="105"/>
          <w:sz w:val="13"/>
        </w:rPr>
        <w:t xml:space="preserve"> </w:t>
      </w:r>
      <w:r>
        <w:rPr>
          <w:w w:val="105"/>
          <w:sz w:val="13"/>
        </w:rPr>
        <w:t>para</w:t>
      </w:r>
      <w:r>
        <w:rPr>
          <w:spacing w:val="-9"/>
          <w:w w:val="105"/>
          <w:sz w:val="13"/>
        </w:rPr>
        <w:t xml:space="preserve"> </w:t>
      </w:r>
      <w:r>
        <w:rPr>
          <w:w w:val="105"/>
          <w:sz w:val="13"/>
        </w:rPr>
        <w:t>la</w:t>
      </w:r>
      <w:r>
        <w:rPr>
          <w:spacing w:val="-9"/>
          <w:w w:val="105"/>
          <w:sz w:val="13"/>
        </w:rPr>
        <w:t xml:space="preserve"> </w:t>
      </w:r>
      <w:r>
        <w:rPr>
          <w:w w:val="105"/>
          <w:sz w:val="13"/>
        </w:rPr>
        <w:t>Eliminación</w:t>
      </w:r>
      <w:r>
        <w:rPr>
          <w:spacing w:val="-9"/>
          <w:w w:val="105"/>
          <w:sz w:val="13"/>
        </w:rPr>
        <w:t xml:space="preserve"> </w:t>
      </w:r>
      <w:r>
        <w:rPr>
          <w:w w:val="105"/>
          <w:sz w:val="13"/>
        </w:rPr>
        <w:t>de</w:t>
      </w:r>
      <w:r>
        <w:rPr>
          <w:spacing w:val="-9"/>
          <w:w w:val="105"/>
          <w:sz w:val="13"/>
        </w:rPr>
        <w:t xml:space="preserve"> </w:t>
      </w:r>
      <w:r>
        <w:rPr>
          <w:w w:val="105"/>
          <w:sz w:val="13"/>
        </w:rPr>
        <w:t>la</w:t>
      </w:r>
      <w:r>
        <w:rPr>
          <w:spacing w:val="-9"/>
          <w:w w:val="105"/>
          <w:sz w:val="13"/>
        </w:rPr>
        <w:t xml:space="preserve"> </w:t>
      </w:r>
      <w:r>
        <w:rPr>
          <w:w w:val="105"/>
          <w:sz w:val="13"/>
        </w:rPr>
        <w:t>Discriminación</w:t>
      </w:r>
      <w:r>
        <w:rPr>
          <w:spacing w:val="-10"/>
          <w:w w:val="105"/>
          <w:sz w:val="13"/>
        </w:rPr>
        <w:t xml:space="preserve"> </w:t>
      </w:r>
      <w:r>
        <w:rPr>
          <w:w w:val="105"/>
          <w:sz w:val="13"/>
        </w:rPr>
        <w:t>Racial,</w:t>
      </w:r>
      <w:r>
        <w:rPr>
          <w:spacing w:val="-9"/>
          <w:w w:val="105"/>
          <w:sz w:val="13"/>
        </w:rPr>
        <w:t xml:space="preserve"> </w:t>
      </w:r>
      <w:r>
        <w:rPr>
          <w:w w:val="105"/>
          <w:sz w:val="13"/>
        </w:rPr>
        <w:t>recomendación</w:t>
      </w:r>
      <w:r>
        <w:rPr>
          <w:spacing w:val="-9"/>
          <w:w w:val="105"/>
          <w:sz w:val="13"/>
        </w:rPr>
        <w:t xml:space="preserve"> </w:t>
      </w:r>
      <w:r>
        <w:rPr>
          <w:w w:val="105"/>
          <w:sz w:val="13"/>
        </w:rPr>
        <w:t>general</w:t>
      </w:r>
      <w:r>
        <w:rPr>
          <w:spacing w:val="-9"/>
          <w:w w:val="105"/>
          <w:sz w:val="13"/>
        </w:rPr>
        <w:t xml:space="preserve"> </w:t>
      </w:r>
      <w:r>
        <w:rPr>
          <w:w w:val="105"/>
          <w:sz w:val="13"/>
        </w:rPr>
        <w:t>núm.</w:t>
      </w:r>
      <w:r>
        <w:rPr>
          <w:spacing w:val="-9"/>
          <w:w w:val="105"/>
          <w:sz w:val="13"/>
        </w:rPr>
        <w:t xml:space="preserve"> </w:t>
      </w:r>
      <w:r>
        <w:rPr>
          <w:w w:val="105"/>
          <w:sz w:val="13"/>
        </w:rPr>
        <w:t>30</w:t>
      </w:r>
      <w:r>
        <w:rPr>
          <w:spacing w:val="-9"/>
          <w:w w:val="105"/>
          <w:sz w:val="13"/>
        </w:rPr>
        <w:t xml:space="preserve"> </w:t>
      </w:r>
      <w:r>
        <w:rPr>
          <w:w w:val="105"/>
          <w:sz w:val="13"/>
        </w:rPr>
        <w:t>(2004),</w:t>
      </w:r>
      <w:r>
        <w:rPr>
          <w:spacing w:val="-9"/>
          <w:w w:val="105"/>
          <w:sz w:val="13"/>
        </w:rPr>
        <w:t xml:space="preserve"> </w:t>
      </w:r>
      <w:r>
        <w:rPr>
          <w:w w:val="105"/>
          <w:sz w:val="13"/>
        </w:rPr>
        <w:t>párr.</w:t>
      </w:r>
      <w:r>
        <w:rPr>
          <w:spacing w:val="-9"/>
          <w:w w:val="105"/>
          <w:sz w:val="13"/>
        </w:rPr>
        <w:t xml:space="preserve"> </w:t>
      </w:r>
      <w:r>
        <w:rPr>
          <w:spacing w:val="-5"/>
          <w:w w:val="105"/>
          <w:sz w:val="13"/>
        </w:rPr>
        <w:t>9.</w:t>
      </w:r>
    </w:p>
    <w:p w14:paraId="57768597" w14:textId="77777777" w:rsidR="0014798C" w:rsidRDefault="0014798C">
      <w:pPr>
        <w:rPr>
          <w:sz w:val="13"/>
        </w:rPr>
        <w:sectPr w:rsidR="0014798C" w:rsidSect="00F265E4">
          <w:type w:val="continuous"/>
          <w:pgSz w:w="11900" w:h="16820"/>
          <w:pgMar w:top="40" w:right="0" w:bottom="280" w:left="200" w:header="121" w:footer="0" w:gutter="0"/>
          <w:cols w:num="2" w:space="720" w:equalWidth="0">
            <w:col w:w="1255" w:space="40"/>
            <w:col w:w="10405"/>
          </w:cols>
        </w:sectPr>
      </w:pPr>
    </w:p>
    <w:p w14:paraId="78EFD91A" w14:textId="77777777" w:rsidR="0014798C" w:rsidRDefault="0014798C">
      <w:pPr>
        <w:pStyle w:val="Textoindependiente"/>
        <w:rPr>
          <w:sz w:val="19"/>
        </w:rPr>
      </w:pPr>
    </w:p>
    <w:p w14:paraId="2468C630" w14:textId="77777777" w:rsidR="0014798C" w:rsidRDefault="0014798C">
      <w:pPr>
        <w:pStyle w:val="Textoindependiente"/>
        <w:spacing w:before="198"/>
        <w:rPr>
          <w:sz w:val="19"/>
        </w:rPr>
      </w:pPr>
    </w:p>
    <w:p w14:paraId="6287F022" w14:textId="77777777" w:rsidR="0014798C" w:rsidRDefault="004E1F0B">
      <w:pPr>
        <w:ind w:left="551"/>
        <w:rPr>
          <w:sz w:val="19"/>
        </w:rPr>
      </w:pPr>
      <w:r>
        <w:rPr>
          <w:spacing w:val="-5"/>
          <w:w w:val="105"/>
          <w:sz w:val="19"/>
        </w:rPr>
        <w:t>24</w:t>
      </w:r>
    </w:p>
    <w:p w14:paraId="14143A3F" w14:textId="77777777" w:rsidR="0014798C" w:rsidRDefault="0014798C">
      <w:pPr>
        <w:rPr>
          <w:sz w:val="19"/>
        </w:rPr>
        <w:sectPr w:rsidR="0014798C" w:rsidSect="00F265E4">
          <w:type w:val="continuous"/>
          <w:pgSz w:w="11900" w:h="16820"/>
          <w:pgMar w:top="40" w:right="0" w:bottom="280" w:left="200" w:header="121" w:footer="0" w:gutter="0"/>
          <w:cols w:space="720"/>
        </w:sectPr>
      </w:pPr>
    </w:p>
    <w:p w14:paraId="670B39F5" w14:textId="77777777" w:rsidR="0014798C" w:rsidRDefault="0014798C">
      <w:pPr>
        <w:pStyle w:val="Textoindependiente"/>
        <w:spacing w:before="51"/>
        <w:rPr>
          <w:sz w:val="14"/>
        </w:rPr>
      </w:pPr>
    </w:p>
    <w:p w14:paraId="34BB5940" w14:textId="77777777" w:rsidR="0014798C" w:rsidRDefault="004E1F0B">
      <w:pPr>
        <w:ind w:left="1111"/>
        <w:rPr>
          <w:sz w:val="14"/>
        </w:rPr>
      </w:pPr>
      <w:r>
        <w:rPr>
          <w:color w:val="00AC59"/>
          <w:sz w:val="14"/>
        </w:rPr>
        <w:t>SEGUNDA</w:t>
      </w:r>
      <w:r>
        <w:rPr>
          <w:color w:val="00AC59"/>
          <w:spacing w:val="-5"/>
          <w:sz w:val="14"/>
        </w:rPr>
        <w:t xml:space="preserve"> </w:t>
      </w:r>
      <w:r>
        <w:rPr>
          <w:color w:val="00AC59"/>
          <w:sz w:val="14"/>
        </w:rPr>
        <w:t>PARTE:</w:t>
      </w:r>
      <w:r>
        <w:rPr>
          <w:color w:val="00AC59"/>
          <w:spacing w:val="-5"/>
          <w:sz w:val="14"/>
        </w:rPr>
        <w:t xml:space="preserve"> </w:t>
      </w:r>
      <w:r>
        <w:rPr>
          <w:color w:val="00AC59"/>
          <w:sz w:val="14"/>
        </w:rPr>
        <w:t>CONTENIDO</w:t>
      </w:r>
      <w:r>
        <w:rPr>
          <w:color w:val="00AC59"/>
          <w:spacing w:val="-4"/>
          <w:sz w:val="14"/>
        </w:rPr>
        <w:t xml:space="preserve"> </w:t>
      </w:r>
      <w:r>
        <w:rPr>
          <w:color w:val="00AC59"/>
          <w:sz w:val="14"/>
        </w:rPr>
        <w:t>DE</w:t>
      </w:r>
      <w:r>
        <w:rPr>
          <w:color w:val="00AC59"/>
          <w:spacing w:val="-5"/>
          <w:sz w:val="14"/>
        </w:rPr>
        <w:t xml:space="preserve"> </w:t>
      </w:r>
      <w:r>
        <w:rPr>
          <w:color w:val="00AC59"/>
          <w:sz w:val="14"/>
        </w:rPr>
        <w:t>LA</w:t>
      </w:r>
      <w:r>
        <w:rPr>
          <w:color w:val="00AC59"/>
          <w:spacing w:val="-4"/>
          <w:sz w:val="14"/>
        </w:rPr>
        <w:t xml:space="preserve"> </w:t>
      </w:r>
      <w:r>
        <w:rPr>
          <w:color w:val="00AC59"/>
          <w:sz w:val="14"/>
        </w:rPr>
        <w:t>LEY</w:t>
      </w:r>
      <w:r>
        <w:rPr>
          <w:color w:val="00AC59"/>
          <w:spacing w:val="-4"/>
          <w:sz w:val="14"/>
        </w:rPr>
        <w:t xml:space="preserve"> </w:t>
      </w:r>
      <w:r>
        <w:rPr>
          <w:color w:val="00AC59"/>
          <w:sz w:val="14"/>
        </w:rPr>
        <w:t>INTEGRAL</w:t>
      </w:r>
      <w:r>
        <w:rPr>
          <w:color w:val="00AC59"/>
          <w:spacing w:val="-5"/>
          <w:sz w:val="14"/>
        </w:rPr>
        <w:t xml:space="preserve"> </w:t>
      </w:r>
      <w:r>
        <w:rPr>
          <w:color w:val="00AC59"/>
          <w:spacing w:val="-2"/>
          <w:sz w:val="14"/>
        </w:rPr>
        <w:t>ANTIDISCRIMINACIÓN</w:t>
      </w:r>
    </w:p>
    <w:p w14:paraId="125BBFA6" w14:textId="77777777" w:rsidR="0014798C" w:rsidRDefault="0014798C">
      <w:pPr>
        <w:pStyle w:val="Textoindependiente"/>
        <w:rPr>
          <w:sz w:val="20"/>
        </w:rPr>
      </w:pPr>
    </w:p>
    <w:p w14:paraId="64D3FD26" w14:textId="77777777" w:rsidR="0014798C" w:rsidRDefault="0014798C">
      <w:pPr>
        <w:pStyle w:val="Textoindependiente"/>
        <w:rPr>
          <w:sz w:val="20"/>
        </w:rPr>
      </w:pPr>
    </w:p>
    <w:p w14:paraId="33A37D56" w14:textId="77777777" w:rsidR="0014798C" w:rsidRDefault="0014798C">
      <w:pPr>
        <w:pStyle w:val="Textoindependiente"/>
        <w:rPr>
          <w:sz w:val="20"/>
        </w:rPr>
      </w:pPr>
    </w:p>
    <w:p w14:paraId="220C209D" w14:textId="77777777" w:rsidR="0014798C" w:rsidRDefault="0014798C">
      <w:pPr>
        <w:pStyle w:val="Textoindependiente"/>
        <w:spacing w:before="44"/>
        <w:rPr>
          <w:sz w:val="20"/>
        </w:rPr>
      </w:pPr>
    </w:p>
    <w:p w14:paraId="464BEEBE" w14:textId="77777777" w:rsidR="0014798C" w:rsidRDefault="004E1F0B">
      <w:pPr>
        <w:numPr>
          <w:ilvl w:val="1"/>
          <w:numId w:val="85"/>
        </w:numPr>
        <w:tabs>
          <w:tab w:val="left" w:pos="1347"/>
        </w:tabs>
        <w:ind w:left="1347" w:hanging="232"/>
        <w:rPr>
          <w:sz w:val="20"/>
        </w:rPr>
      </w:pPr>
      <w:r>
        <w:rPr>
          <w:sz w:val="20"/>
        </w:rPr>
        <w:t>Discriminación</w:t>
      </w:r>
      <w:r>
        <w:rPr>
          <w:spacing w:val="-11"/>
          <w:sz w:val="20"/>
        </w:rPr>
        <w:t xml:space="preserve"> </w:t>
      </w:r>
      <w:r>
        <w:rPr>
          <w:sz w:val="20"/>
        </w:rPr>
        <w:t>basada</w:t>
      </w:r>
      <w:r>
        <w:rPr>
          <w:spacing w:val="-10"/>
          <w:sz w:val="20"/>
        </w:rPr>
        <w:t xml:space="preserve"> </w:t>
      </w:r>
      <w:r>
        <w:rPr>
          <w:sz w:val="20"/>
        </w:rPr>
        <w:t>en</w:t>
      </w:r>
      <w:r>
        <w:rPr>
          <w:spacing w:val="-10"/>
          <w:sz w:val="20"/>
        </w:rPr>
        <w:t xml:space="preserve"> </w:t>
      </w:r>
      <w:r>
        <w:rPr>
          <w:sz w:val="20"/>
        </w:rPr>
        <w:t>la</w:t>
      </w:r>
      <w:r>
        <w:rPr>
          <w:spacing w:val="-11"/>
          <w:sz w:val="20"/>
        </w:rPr>
        <w:t xml:space="preserve"> </w:t>
      </w:r>
      <w:r>
        <w:rPr>
          <w:sz w:val="20"/>
        </w:rPr>
        <w:t>asociación</w:t>
      </w:r>
      <w:r>
        <w:rPr>
          <w:spacing w:val="-10"/>
          <w:sz w:val="20"/>
        </w:rPr>
        <w:t xml:space="preserve"> </w:t>
      </w:r>
      <w:r>
        <w:rPr>
          <w:sz w:val="20"/>
        </w:rPr>
        <w:t>y</w:t>
      </w:r>
      <w:r>
        <w:rPr>
          <w:spacing w:val="-11"/>
          <w:sz w:val="20"/>
        </w:rPr>
        <w:t xml:space="preserve"> </w:t>
      </w:r>
      <w:r>
        <w:rPr>
          <w:sz w:val="20"/>
        </w:rPr>
        <w:t>la</w:t>
      </w:r>
      <w:r>
        <w:rPr>
          <w:spacing w:val="-10"/>
          <w:sz w:val="20"/>
        </w:rPr>
        <w:t xml:space="preserve"> </w:t>
      </w:r>
      <w:r>
        <w:rPr>
          <w:spacing w:val="-2"/>
          <w:sz w:val="20"/>
        </w:rPr>
        <w:t>percepción</w:t>
      </w:r>
    </w:p>
    <w:p w14:paraId="6A12C257" w14:textId="77777777" w:rsidR="0014798C" w:rsidRDefault="0014798C">
      <w:pPr>
        <w:pStyle w:val="Textoindependiente"/>
        <w:rPr>
          <w:sz w:val="15"/>
        </w:rPr>
      </w:pPr>
    </w:p>
    <w:p w14:paraId="6CB68335" w14:textId="77777777" w:rsidR="0014798C" w:rsidRDefault="0014798C">
      <w:pPr>
        <w:pStyle w:val="Textoindependiente"/>
        <w:spacing w:before="20"/>
        <w:rPr>
          <w:sz w:val="15"/>
        </w:rPr>
      </w:pPr>
    </w:p>
    <w:p w14:paraId="30D46EE8" w14:textId="77777777" w:rsidR="0014798C" w:rsidRDefault="004E1F0B">
      <w:pPr>
        <w:ind w:left="1335"/>
        <w:rPr>
          <w:sz w:val="15"/>
        </w:rPr>
      </w:pPr>
      <w:r>
        <w:rPr>
          <w:noProof/>
        </w:rPr>
        <w:drawing>
          <wp:anchor distT="0" distB="0" distL="0" distR="0" simplePos="0" relativeHeight="251658377" behindDoc="1" locked="0" layoutInCell="1" allowOverlap="1" wp14:anchorId="725C9C5C" wp14:editId="65E76750">
            <wp:simplePos x="0" y="0"/>
            <wp:positionH relativeFrom="page">
              <wp:posOffset>790692</wp:posOffset>
            </wp:positionH>
            <wp:positionV relativeFrom="paragraph">
              <wp:posOffset>-164487</wp:posOffset>
            </wp:positionV>
            <wp:extent cx="6765807" cy="7301698"/>
            <wp:effectExtent l="0" t="0" r="0" b="0"/>
            <wp:wrapNone/>
            <wp:docPr id="98" name="Image 9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98" name="Image 98"/>
                    <pic:cNvPicPr/>
                  </pic:nvPicPr>
                  <pic:blipFill>
                    <a:blip r:embed="rId104" cstate="print"/>
                    <a:stretch>
                      <a:fillRect/>
                    </a:stretch>
                  </pic:blipFill>
                  <pic:spPr>
                    <a:xfrm>
                      <a:off x="0" y="0"/>
                      <a:ext cx="6765807" cy="7301698"/>
                    </a:xfrm>
                    <a:prstGeom prst="rect">
                      <a:avLst/>
                    </a:prstGeom>
                  </pic:spPr>
                </pic:pic>
              </a:graphicData>
            </a:graphic>
          </wp:anchor>
        </w:drawing>
      </w:r>
      <w:r>
        <w:rPr>
          <w:color w:val="FFFFFF"/>
          <w:spacing w:val="-2"/>
          <w:w w:val="105"/>
          <w:sz w:val="15"/>
        </w:rPr>
        <w:t>RESUMEN</w:t>
      </w:r>
    </w:p>
    <w:p w14:paraId="60AF8E6D" w14:textId="77777777" w:rsidR="0014798C" w:rsidRDefault="0014798C">
      <w:pPr>
        <w:pStyle w:val="Textoindependiente"/>
        <w:rPr>
          <w:sz w:val="15"/>
        </w:rPr>
      </w:pPr>
    </w:p>
    <w:p w14:paraId="49F7C4C3" w14:textId="77777777" w:rsidR="0014798C" w:rsidRDefault="0014798C">
      <w:pPr>
        <w:pStyle w:val="Textoindependiente"/>
        <w:rPr>
          <w:sz w:val="15"/>
        </w:rPr>
      </w:pPr>
    </w:p>
    <w:p w14:paraId="41444C86" w14:textId="77777777" w:rsidR="0014798C" w:rsidRDefault="004E1F0B">
      <w:pPr>
        <w:pStyle w:val="Prrafodelista"/>
        <w:numPr>
          <w:ilvl w:val="2"/>
          <w:numId w:val="85"/>
        </w:numPr>
        <w:tabs>
          <w:tab w:val="left" w:pos="1453"/>
          <w:tab w:val="left" w:pos="1565"/>
        </w:tabs>
        <w:spacing w:line="331" w:lineRule="auto"/>
        <w:ind w:right="1694" w:hanging="208"/>
        <w:rPr>
          <w:color w:val="0075BF"/>
          <w:sz w:val="15"/>
        </w:rPr>
      </w:pPr>
      <w:r>
        <w:rPr>
          <w:w w:val="105"/>
          <w:sz w:val="15"/>
        </w:rPr>
        <w:t>La</w:t>
      </w:r>
      <w:r>
        <w:rPr>
          <w:spacing w:val="-11"/>
          <w:w w:val="105"/>
          <w:sz w:val="15"/>
        </w:rPr>
        <w:t xml:space="preserve"> </w:t>
      </w:r>
      <w:r>
        <w:rPr>
          <w:w w:val="105"/>
          <w:sz w:val="15"/>
        </w:rPr>
        <w:t>legislación</w:t>
      </w:r>
      <w:r>
        <w:rPr>
          <w:spacing w:val="-11"/>
          <w:w w:val="105"/>
          <w:sz w:val="15"/>
        </w:rPr>
        <w:t xml:space="preserve"> </w:t>
      </w:r>
      <w:r>
        <w:rPr>
          <w:w w:val="105"/>
          <w:sz w:val="15"/>
        </w:rPr>
        <w:t>contra</w:t>
      </w:r>
      <w:r>
        <w:rPr>
          <w:spacing w:val="-11"/>
          <w:w w:val="105"/>
          <w:sz w:val="15"/>
        </w:rPr>
        <w:t xml:space="preserve"> </w:t>
      </w:r>
      <w:r>
        <w:rPr>
          <w:w w:val="105"/>
          <w:sz w:val="15"/>
        </w:rPr>
        <w:t>la</w:t>
      </w:r>
      <w:r>
        <w:rPr>
          <w:spacing w:val="-11"/>
          <w:w w:val="105"/>
          <w:sz w:val="15"/>
        </w:rPr>
        <w:t xml:space="preserve"> </w:t>
      </w:r>
      <w:r>
        <w:rPr>
          <w:w w:val="105"/>
          <w:sz w:val="15"/>
        </w:rPr>
        <w:t>discriminación</w:t>
      </w:r>
      <w:r>
        <w:rPr>
          <w:spacing w:val="-11"/>
          <w:w w:val="105"/>
          <w:sz w:val="15"/>
        </w:rPr>
        <w:t xml:space="preserve"> </w:t>
      </w:r>
      <w:r>
        <w:rPr>
          <w:w w:val="105"/>
          <w:sz w:val="15"/>
        </w:rPr>
        <w:t>debería</w:t>
      </w:r>
      <w:r>
        <w:rPr>
          <w:spacing w:val="-11"/>
          <w:w w:val="105"/>
          <w:sz w:val="15"/>
        </w:rPr>
        <w:t xml:space="preserve"> </w:t>
      </w:r>
      <w:r>
        <w:rPr>
          <w:w w:val="105"/>
          <w:sz w:val="15"/>
        </w:rPr>
        <w:t>prohibir</w:t>
      </w:r>
      <w:r>
        <w:rPr>
          <w:spacing w:val="-11"/>
          <w:w w:val="105"/>
          <w:sz w:val="15"/>
        </w:rPr>
        <w:t xml:space="preserve"> </w:t>
      </w:r>
      <w:r>
        <w:rPr>
          <w:w w:val="105"/>
          <w:sz w:val="15"/>
        </w:rPr>
        <w:t>la</w:t>
      </w:r>
      <w:r>
        <w:rPr>
          <w:spacing w:val="-11"/>
          <w:w w:val="105"/>
          <w:sz w:val="15"/>
        </w:rPr>
        <w:t xml:space="preserve"> </w:t>
      </w:r>
      <w:r>
        <w:rPr>
          <w:w w:val="105"/>
          <w:sz w:val="15"/>
        </w:rPr>
        <w:t>discriminación</w:t>
      </w:r>
      <w:r>
        <w:rPr>
          <w:spacing w:val="-11"/>
          <w:w w:val="105"/>
          <w:sz w:val="15"/>
        </w:rPr>
        <w:t xml:space="preserve"> </w:t>
      </w:r>
      <w:r>
        <w:rPr>
          <w:w w:val="105"/>
          <w:sz w:val="15"/>
        </w:rPr>
        <w:t>basada</w:t>
      </w:r>
      <w:r>
        <w:rPr>
          <w:spacing w:val="-11"/>
          <w:w w:val="105"/>
          <w:sz w:val="15"/>
        </w:rPr>
        <w:t xml:space="preserve"> </w:t>
      </w:r>
      <w:r>
        <w:rPr>
          <w:w w:val="105"/>
          <w:sz w:val="15"/>
        </w:rPr>
        <w:t>en</w:t>
      </w:r>
      <w:r>
        <w:rPr>
          <w:spacing w:val="-11"/>
          <w:w w:val="105"/>
          <w:sz w:val="15"/>
        </w:rPr>
        <w:t xml:space="preserve"> </w:t>
      </w:r>
      <w:r>
        <w:rPr>
          <w:w w:val="105"/>
          <w:sz w:val="15"/>
        </w:rPr>
        <w:t>la</w:t>
      </w:r>
      <w:r>
        <w:rPr>
          <w:spacing w:val="-11"/>
          <w:w w:val="105"/>
          <w:sz w:val="15"/>
        </w:rPr>
        <w:t xml:space="preserve"> </w:t>
      </w:r>
      <w:r>
        <w:rPr>
          <w:w w:val="105"/>
          <w:sz w:val="15"/>
        </w:rPr>
        <w:t>percepción</w:t>
      </w:r>
      <w:r>
        <w:rPr>
          <w:spacing w:val="-10"/>
          <w:w w:val="105"/>
          <w:sz w:val="15"/>
        </w:rPr>
        <w:t xml:space="preserve"> </w:t>
      </w:r>
      <w:r>
        <w:rPr>
          <w:w w:val="105"/>
          <w:sz w:val="15"/>
        </w:rPr>
        <w:t>y</w:t>
      </w:r>
      <w:r>
        <w:rPr>
          <w:spacing w:val="-11"/>
          <w:w w:val="105"/>
          <w:sz w:val="15"/>
        </w:rPr>
        <w:t xml:space="preserve"> </w:t>
      </w:r>
      <w:r>
        <w:rPr>
          <w:w w:val="105"/>
          <w:sz w:val="15"/>
        </w:rPr>
        <w:t>la</w:t>
      </w:r>
      <w:r>
        <w:rPr>
          <w:spacing w:val="-11"/>
          <w:w w:val="105"/>
          <w:sz w:val="15"/>
        </w:rPr>
        <w:t xml:space="preserve"> </w:t>
      </w:r>
      <w:r>
        <w:rPr>
          <w:w w:val="105"/>
          <w:sz w:val="15"/>
        </w:rPr>
        <w:t>asociación,</w:t>
      </w:r>
      <w:r>
        <w:rPr>
          <w:spacing w:val="-10"/>
          <w:w w:val="105"/>
          <w:sz w:val="15"/>
        </w:rPr>
        <w:t xml:space="preserve"> </w:t>
      </w:r>
      <w:r>
        <w:rPr>
          <w:w w:val="105"/>
          <w:sz w:val="15"/>
        </w:rPr>
        <w:t>definida</w:t>
      </w:r>
      <w:r>
        <w:rPr>
          <w:spacing w:val="-11"/>
          <w:w w:val="105"/>
          <w:sz w:val="15"/>
        </w:rPr>
        <w:t xml:space="preserve"> </w:t>
      </w:r>
      <w:r>
        <w:rPr>
          <w:w w:val="105"/>
          <w:sz w:val="15"/>
        </w:rPr>
        <w:t>de la siguiente manera:</w:t>
      </w:r>
    </w:p>
    <w:p w14:paraId="743888CB" w14:textId="77777777" w:rsidR="0014798C" w:rsidRDefault="004E1F0B">
      <w:pPr>
        <w:pStyle w:val="Prrafodelista"/>
        <w:numPr>
          <w:ilvl w:val="3"/>
          <w:numId w:val="85"/>
        </w:numPr>
        <w:tabs>
          <w:tab w:val="left" w:pos="1697"/>
          <w:tab w:val="left" w:pos="1785"/>
        </w:tabs>
        <w:spacing w:before="137" w:line="348" w:lineRule="auto"/>
        <w:ind w:left="1785" w:right="1786" w:hanging="216"/>
        <w:rPr>
          <w:sz w:val="15"/>
        </w:rPr>
      </w:pPr>
      <w:r>
        <w:rPr>
          <w:w w:val="105"/>
          <w:sz w:val="15"/>
        </w:rPr>
        <w:t>La</w:t>
      </w:r>
      <w:r>
        <w:rPr>
          <w:spacing w:val="-11"/>
          <w:w w:val="105"/>
          <w:sz w:val="15"/>
        </w:rPr>
        <w:t xml:space="preserve"> </w:t>
      </w:r>
      <w:r>
        <w:rPr>
          <w:w w:val="105"/>
          <w:sz w:val="15"/>
        </w:rPr>
        <w:t>discriminación</w:t>
      </w:r>
      <w:r>
        <w:rPr>
          <w:spacing w:val="-11"/>
          <w:w w:val="105"/>
          <w:sz w:val="15"/>
        </w:rPr>
        <w:t xml:space="preserve"> </w:t>
      </w:r>
      <w:r>
        <w:rPr>
          <w:w w:val="105"/>
          <w:sz w:val="15"/>
        </w:rPr>
        <w:t>basada</w:t>
      </w:r>
      <w:r>
        <w:rPr>
          <w:spacing w:val="-11"/>
          <w:w w:val="105"/>
          <w:sz w:val="15"/>
        </w:rPr>
        <w:t xml:space="preserve"> </w:t>
      </w:r>
      <w:r>
        <w:rPr>
          <w:w w:val="105"/>
          <w:sz w:val="15"/>
        </w:rPr>
        <w:t>en</w:t>
      </w:r>
      <w:r>
        <w:rPr>
          <w:spacing w:val="-11"/>
          <w:w w:val="105"/>
          <w:sz w:val="15"/>
        </w:rPr>
        <w:t xml:space="preserve"> </w:t>
      </w:r>
      <w:r>
        <w:rPr>
          <w:w w:val="105"/>
          <w:sz w:val="15"/>
        </w:rPr>
        <w:t>la</w:t>
      </w:r>
      <w:r>
        <w:rPr>
          <w:spacing w:val="-11"/>
          <w:w w:val="105"/>
          <w:sz w:val="15"/>
        </w:rPr>
        <w:t xml:space="preserve"> </w:t>
      </w:r>
      <w:r>
        <w:rPr>
          <w:w w:val="105"/>
          <w:sz w:val="15"/>
        </w:rPr>
        <w:t>percepción</w:t>
      </w:r>
      <w:r>
        <w:rPr>
          <w:spacing w:val="-11"/>
          <w:w w:val="105"/>
          <w:sz w:val="15"/>
        </w:rPr>
        <w:t xml:space="preserve"> </w:t>
      </w:r>
      <w:r>
        <w:rPr>
          <w:w w:val="105"/>
          <w:sz w:val="15"/>
        </w:rPr>
        <w:t>se</w:t>
      </w:r>
      <w:r>
        <w:rPr>
          <w:spacing w:val="-10"/>
          <w:w w:val="105"/>
          <w:sz w:val="15"/>
        </w:rPr>
        <w:t xml:space="preserve"> </w:t>
      </w:r>
      <w:r>
        <w:rPr>
          <w:w w:val="105"/>
          <w:sz w:val="15"/>
        </w:rPr>
        <w:t>produce</w:t>
      </w:r>
      <w:r>
        <w:rPr>
          <w:spacing w:val="-11"/>
          <w:w w:val="105"/>
          <w:sz w:val="15"/>
        </w:rPr>
        <w:t xml:space="preserve"> </w:t>
      </w:r>
      <w:r>
        <w:rPr>
          <w:w w:val="105"/>
          <w:sz w:val="15"/>
        </w:rPr>
        <w:t>cuando</w:t>
      </w:r>
      <w:r>
        <w:rPr>
          <w:spacing w:val="-11"/>
          <w:w w:val="105"/>
          <w:sz w:val="15"/>
        </w:rPr>
        <w:t xml:space="preserve"> </w:t>
      </w:r>
      <w:r>
        <w:rPr>
          <w:w w:val="105"/>
          <w:sz w:val="15"/>
        </w:rPr>
        <w:t>las</w:t>
      </w:r>
      <w:r>
        <w:rPr>
          <w:spacing w:val="-11"/>
          <w:w w:val="105"/>
          <w:sz w:val="15"/>
        </w:rPr>
        <w:t xml:space="preserve"> </w:t>
      </w:r>
      <w:r>
        <w:rPr>
          <w:w w:val="105"/>
          <w:sz w:val="15"/>
        </w:rPr>
        <w:t>personas</w:t>
      </w:r>
      <w:r>
        <w:rPr>
          <w:spacing w:val="-11"/>
          <w:w w:val="105"/>
          <w:sz w:val="15"/>
        </w:rPr>
        <w:t xml:space="preserve"> </w:t>
      </w:r>
      <w:r>
        <w:rPr>
          <w:w w:val="105"/>
          <w:sz w:val="15"/>
        </w:rPr>
        <w:t>se</w:t>
      </w:r>
      <w:r>
        <w:rPr>
          <w:spacing w:val="-11"/>
          <w:w w:val="105"/>
          <w:sz w:val="15"/>
        </w:rPr>
        <w:t xml:space="preserve"> </w:t>
      </w:r>
      <w:r>
        <w:rPr>
          <w:w w:val="105"/>
          <w:sz w:val="15"/>
        </w:rPr>
        <w:t>encuentran</w:t>
      </w:r>
      <w:r>
        <w:rPr>
          <w:spacing w:val="-11"/>
          <w:w w:val="105"/>
          <w:sz w:val="15"/>
        </w:rPr>
        <w:t xml:space="preserve"> </w:t>
      </w:r>
      <w:r>
        <w:rPr>
          <w:w w:val="105"/>
          <w:sz w:val="15"/>
        </w:rPr>
        <w:t>en</w:t>
      </w:r>
      <w:r>
        <w:rPr>
          <w:spacing w:val="-10"/>
          <w:w w:val="105"/>
          <w:sz w:val="15"/>
        </w:rPr>
        <w:t xml:space="preserve"> </w:t>
      </w:r>
      <w:r>
        <w:rPr>
          <w:w w:val="105"/>
          <w:sz w:val="15"/>
        </w:rPr>
        <w:t>desventaja</w:t>
      </w:r>
      <w:r>
        <w:rPr>
          <w:spacing w:val="-11"/>
          <w:w w:val="105"/>
          <w:sz w:val="15"/>
        </w:rPr>
        <w:t xml:space="preserve"> </w:t>
      </w:r>
      <w:r>
        <w:rPr>
          <w:w w:val="105"/>
          <w:sz w:val="15"/>
        </w:rPr>
        <w:t>sobre</w:t>
      </w:r>
      <w:r>
        <w:rPr>
          <w:spacing w:val="-11"/>
          <w:w w:val="105"/>
          <w:sz w:val="15"/>
        </w:rPr>
        <w:t xml:space="preserve"> </w:t>
      </w:r>
      <w:r>
        <w:rPr>
          <w:w w:val="105"/>
          <w:sz w:val="15"/>
        </w:rPr>
        <w:t>la</w:t>
      </w:r>
      <w:r>
        <w:rPr>
          <w:spacing w:val="-11"/>
          <w:w w:val="105"/>
          <w:sz w:val="15"/>
        </w:rPr>
        <w:t xml:space="preserve"> </w:t>
      </w:r>
      <w:r>
        <w:rPr>
          <w:w w:val="105"/>
          <w:sz w:val="15"/>
        </w:rPr>
        <w:t>base de</w:t>
      </w:r>
      <w:r>
        <w:rPr>
          <w:spacing w:val="-2"/>
          <w:w w:val="105"/>
          <w:sz w:val="15"/>
        </w:rPr>
        <w:t xml:space="preserve"> </w:t>
      </w:r>
      <w:r>
        <w:rPr>
          <w:w w:val="105"/>
          <w:sz w:val="15"/>
        </w:rPr>
        <w:t>la</w:t>
      </w:r>
      <w:r>
        <w:rPr>
          <w:spacing w:val="-2"/>
          <w:w w:val="105"/>
          <w:sz w:val="15"/>
        </w:rPr>
        <w:t xml:space="preserve"> </w:t>
      </w:r>
      <w:r>
        <w:rPr>
          <w:w w:val="105"/>
          <w:sz w:val="15"/>
        </w:rPr>
        <w:t>percepción</w:t>
      </w:r>
      <w:r>
        <w:rPr>
          <w:spacing w:val="-2"/>
          <w:w w:val="105"/>
          <w:sz w:val="15"/>
        </w:rPr>
        <w:t xml:space="preserve"> </w:t>
      </w:r>
      <w:r>
        <w:rPr>
          <w:w w:val="105"/>
          <w:sz w:val="15"/>
        </w:rPr>
        <w:t>(sea</w:t>
      </w:r>
      <w:r>
        <w:rPr>
          <w:spacing w:val="-2"/>
          <w:w w:val="105"/>
          <w:sz w:val="15"/>
        </w:rPr>
        <w:t xml:space="preserve"> </w:t>
      </w:r>
      <w:r>
        <w:rPr>
          <w:w w:val="105"/>
          <w:sz w:val="15"/>
        </w:rPr>
        <w:t>exacta</w:t>
      </w:r>
      <w:r>
        <w:rPr>
          <w:spacing w:val="-2"/>
          <w:w w:val="105"/>
          <w:sz w:val="15"/>
        </w:rPr>
        <w:t xml:space="preserve"> </w:t>
      </w:r>
      <w:r>
        <w:rPr>
          <w:w w:val="105"/>
          <w:sz w:val="15"/>
        </w:rPr>
        <w:t>o</w:t>
      </w:r>
      <w:r>
        <w:rPr>
          <w:spacing w:val="-2"/>
          <w:w w:val="105"/>
          <w:sz w:val="15"/>
        </w:rPr>
        <w:t xml:space="preserve"> </w:t>
      </w:r>
      <w:r>
        <w:rPr>
          <w:w w:val="105"/>
          <w:sz w:val="15"/>
        </w:rPr>
        <w:t>no)</w:t>
      </w:r>
      <w:r>
        <w:rPr>
          <w:spacing w:val="-2"/>
          <w:w w:val="105"/>
          <w:sz w:val="15"/>
        </w:rPr>
        <w:t xml:space="preserve"> </w:t>
      </w:r>
      <w:r>
        <w:rPr>
          <w:w w:val="105"/>
          <w:sz w:val="15"/>
        </w:rPr>
        <w:t>de</w:t>
      </w:r>
      <w:r>
        <w:rPr>
          <w:spacing w:val="-2"/>
          <w:w w:val="105"/>
          <w:sz w:val="15"/>
        </w:rPr>
        <w:t xml:space="preserve"> </w:t>
      </w:r>
      <w:r>
        <w:rPr>
          <w:w w:val="105"/>
          <w:sz w:val="15"/>
        </w:rPr>
        <w:t>que</w:t>
      </w:r>
      <w:r>
        <w:rPr>
          <w:spacing w:val="-2"/>
          <w:w w:val="105"/>
          <w:sz w:val="15"/>
        </w:rPr>
        <w:t xml:space="preserve"> </w:t>
      </w:r>
      <w:r>
        <w:rPr>
          <w:w w:val="105"/>
          <w:sz w:val="15"/>
        </w:rPr>
        <w:t>poseen</w:t>
      </w:r>
      <w:r>
        <w:rPr>
          <w:spacing w:val="-2"/>
          <w:w w:val="105"/>
          <w:sz w:val="15"/>
        </w:rPr>
        <w:t xml:space="preserve"> </w:t>
      </w:r>
      <w:r>
        <w:rPr>
          <w:w w:val="105"/>
          <w:sz w:val="15"/>
        </w:rPr>
        <w:t>una</w:t>
      </w:r>
      <w:r>
        <w:rPr>
          <w:spacing w:val="-2"/>
          <w:w w:val="105"/>
          <w:sz w:val="15"/>
        </w:rPr>
        <w:t xml:space="preserve"> </w:t>
      </w:r>
      <w:r>
        <w:rPr>
          <w:w w:val="105"/>
          <w:sz w:val="15"/>
        </w:rPr>
        <w:t>característica</w:t>
      </w:r>
      <w:r>
        <w:rPr>
          <w:spacing w:val="-2"/>
          <w:w w:val="105"/>
          <w:sz w:val="15"/>
        </w:rPr>
        <w:t xml:space="preserve"> </w:t>
      </w:r>
      <w:r>
        <w:rPr>
          <w:w w:val="105"/>
          <w:sz w:val="15"/>
        </w:rPr>
        <w:t>protegida.</w:t>
      </w:r>
    </w:p>
    <w:p w14:paraId="37E4C4F7" w14:textId="77777777" w:rsidR="0014798C" w:rsidRDefault="004E1F0B">
      <w:pPr>
        <w:pStyle w:val="Prrafodelista"/>
        <w:numPr>
          <w:ilvl w:val="3"/>
          <w:numId w:val="85"/>
        </w:numPr>
        <w:tabs>
          <w:tab w:val="left" w:pos="1697"/>
          <w:tab w:val="left" w:pos="1792"/>
        </w:tabs>
        <w:spacing w:before="113" w:line="348" w:lineRule="auto"/>
        <w:ind w:left="1792" w:right="1519" w:hanging="223"/>
        <w:rPr>
          <w:sz w:val="15"/>
        </w:rPr>
      </w:pPr>
      <w:r>
        <w:rPr>
          <w:noProof/>
        </w:rPr>
        <mc:AlternateContent>
          <mc:Choice Requires="wps">
            <w:drawing>
              <wp:anchor distT="0" distB="0" distL="0" distR="0" simplePos="0" relativeHeight="251658253" behindDoc="0" locked="0" layoutInCell="1" allowOverlap="1" wp14:anchorId="7973457F" wp14:editId="563E0662">
                <wp:simplePos x="0" y="0"/>
                <wp:positionH relativeFrom="page">
                  <wp:posOffset>7313138</wp:posOffset>
                </wp:positionH>
                <wp:positionV relativeFrom="paragraph">
                  <wp:posOffset>278051</wp:posOffset>
                </wp:positionV>
                <wp:extent cx="83820" cy="281940"/>
                <wp:effectExtent l="0" t="0" r="0" b="0"/>
                <wp:wrapNone/>
                <wp:docPr id="99" name="Textbox 9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83820" cy="281940"/>
                        </a:xfrm>
                        <a:prstGeom prst="rect">
                          <a:avLst/>
                        </a:prstGeom>
                      </wps:spPr>
                      <wps:txbx>
                        <w:txbxContent>
                          <w:p w14:paraId="1E768FD9" w14:textId="77777777" w:rsidR="0014798C" w:rsidRDefault="004E1F0B">
                            <w:pPr>
                              <w:spacing w:before="19"/>
                              <w:ind w:left="20"/>
                              <w:rPr>
                                <w:sz w:val="8"/>
                              </w:rPr>
                            </w:pPr>
                            <w:r>
                              <w:rPr>
                                <w:color w:val="FFFFFF"/>
                                <w:spacing w:val="-24"/>
                                <w:sz w:val="8"/>
                              </w:rPr>
                              <w:t>I–P</w:t>
                            </w:r>
                            <w:r>
                              <w:rPr>
                                <w:spacing w:val="-24"/>
                                <w:sz w:val="8"/>
                              </w:rPr>
                              <w:t>S</w:t>
                            </w:r>
                            <w:r>
                              <w:rPr>
                                <w:color w:val="FFFFFF"/>
                                <w:spacing w:val="-24"/>
                                <w:sz w:val="8"/>
                              </w:rPr>
                              <w:t>A</w:t>
                            </w:r>
                            <w:r>
                              <w:rPr>
                                <w:spacing w:val="-24"/>
                                <w:sz w:val="8"/>
                              </w:rPr>
                              <w:t>E</w:t>
                            </w:r>
                            <w:r>
                              <w:rPr>
                                <w:color w:val="FFFFFF"/>
                                <w:spacing w:val="-24"/>
                                <w:sz w:val="8"/>
                              </w:rPr>
                              <w:t>R</w:t>
                            </w:r>
                            <w:r>
                              <w:rPr>
                                <w:spacing w:val="-24"/>
                                <w:sz w:val="8"/>
                              </w:rPr>
                              <w:t>G</w:t>
                            </w:r>
                            <w:r>
                              <w:rPr>
                                <w:color w:val="FFFFFF"/>
                                <w:spacing w:val="-24"/>
                                <w:sz w:val="8"/>
                              </w:rPr>
                              <w:t>T</w:t>
                            </w:r>
                            <w:r>
                              <w:rPr>
                                <w:spacing w:val="-24"/>
                                <w:sz w:val="8"/>
                              </w:rPr>
                              <w:t>U</w:t>
                            </w:r>
                            <w:r>
                              <w:rPr>
                                <w:color w:val="FFFFFF"/>
                                <w:spacing w:val="-24"/>
                                <w:sz w:val="8"/>
                              </w:rPr>
                              <w:t>E</w:t>
                            </w:r>
                            <w:r>
                              <w:rPr>
                                <w:spacing w:val="-24"/>
                                <w:sz w:val="8"/>
                              </w:rPr>
                              <w:t>NDA</w:t>
                            </w:r>
                          </w:p>
                        </w:txbxContent>
                      </wps:txbx>
                      <wps:bodyPr vert="vert270" wrap="square" lIns="0" tIns="0" rIns="0" bIns="0" rtlCol="0">
                        <a:noAutofit/>
                      </wps:bodyPr>
                    </wps:wsp>
                  </a:graphicData>
                </a:graphic>
              </wp:anchor>
            </w:drawing>
          </mc:Choice>
          <mc:Fallback>
            <w:pict>
              <v:shape w14:anchorId="7973457F" id="Textbox 99" o:spid="_x0000_s1064" type="#_x0000_t202" style="position:absolute;left:0;text-align:left;margin-left:575.85pt;margin-top:21.9pt;width:6.6pt;height:22.2pt;z-index:251658253;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" filled="f" stroked="f">
                <v:textbox style="layout-flow:vertical;mso-layout-flow-alt:bottom-to-top" inset="0,0,0,0">
                  <w:txbxContent>
                    <w:p w14:paraId="1E768FD9" w14:textId="77777777" w:rsidR="0014798C" w:rsidRDefault="004E1F0B">
                      <w:pPr>
                        <w:spacing w:before="19"/>
                        <w:ind w:left="20"/>
                        <w:rPr>
                          <w:sz w:val="8"/>
                        </w:rPr>
                      </w:pPr>
                      <w:r>
                        <w:rPr>
                          <w:color w:val="FFFFFF"/>
                          <w:spacing w:val="-24"/>
                          <w:sz w:val="8"/>
                        </w:rPr>
                        <w:t>I–P</w:t>
                      </w:r>
                      <w:r>
                        <w:rPr>
                          <w:spacing w:val="-24"/>
                          <w:sz w:val="8"/>
                        </w:rPr>
                        <w:t>S</w:t>
                      </w:r>
                      <w:r>
                        <w:rPr>
                          <w:color w:val="FFFFFF"/>
                          <w:spacing w:val="-24"/>
                          <w:sz w:val="8"/>
                        </w:rPr>
                        <w:t>A</w:t>
                      </w:r>
                      <w:r>
                        <w:rPr>
                          <w:spacing w:val="-24"/>
                          <w:sz w:val="8"/>
                        </w:rPr>
                        <w:t>E</w:t>
                      </w:r>
                      <w:r>
                        <w:rPr>
                          <w:color w:val="FFFFFF"/>
                          <w:spacing w:val="-24"/>
                          <w:sz w:val="8"/>
                        </w:rPr>
                        <w:t>R</w:t>
                      </w:r>
                      <w:r>
                        <w:rPr>
                          <w:spacing w:val="-24"/>
                          <w:sz w:val="8"/>
                        </w:rPr>
                        <w:t>G</w:t>
                      </w:r>
                      <w:r>
                        <w:rPr>
                          <w:color w:val="FFFFFF"/>
                          <w:spacing w:val="-24"/>
                          <w:sz w:val="8"/>
                        </w:rPr>
                        <w:t>T</w:t>
                      </w:r>
                      <w:r>
                        <w:rPr>
                          <w:spacing w:val="-24"/>
                          <w:sz w:val="8"/>
                        </w:rPr>
                        <w:t>U</w:t>
                      </w:r>
                      <w:r>
                        <w:rPr>
                          <w:color w:val="FFFFFF"/>
                          <w:spacing w:val="-24"/>
                          <w:sz w:val="8"/>
                        </w:rPr>
                        <w:t>E</w:t>
                      </w:r>
                      <w:r>
                        <w:rPr>
                          <w:spacing w:val="-24"/>
                          <w:sz w:val="8"/>
                        </w:rPr>
                        <w:t>NDA</w:t>
                      </w:r>
                    </w:p>
                  </w:txbxContent>
                </v:textbox>
                <w10:wrap anchorx="page"/>
              </v:shape>
            </w:pict>
          </mc:Fallback>
        </mc:AlternateContent>
      </w:r>
      <w:r>
        <w:rPr>
          <w:w w:val="105"/>
          <w:sz w:val="15"/>
        </w:rPr>
        <w:t>La</w:t>
      </w:r>
      <w:r>
        <w:rPr>
          <w:spacing w:val="-11"/>
          <w:w w:val="105"/>
          <w:sz w:val="15"/>
        </w:rPr>
        <w:t xml:space="preserve"> </w:t>
      </w:r>
      <w:r>
        <w:rPr>
          <w:w w:val="105"/>
          <w:sz w:val="15"/>
        </w:rPr>
        <w:t>discriminación</w:t>
      </w:r>
      <w:r>
        <w:rPr>
          <w:spacing w:val="-10"/>
          <w:w w:val="105"/>
          <w:sz w:val="15"/>
        </w:rPr>
        <w:t xml:space="preserve"> </w:t>
      </w:r>
      <w:r>
        <w:rPr>
          <w:w w:val="105"/>
          <w:sz w:val="15"/>
        </w:rPr>
        <w:t>basada</w:t>
      </w:r>
      <w:r>
        <w:rPr>
          <w:spacing w:val="-11"/>
          <w:w w:val="105"/>
          <w:sz w:val="15"/>
        </w:rPr>
        <w:t xml:space="preserve"> </w:t>
      </w:r>
      <w:r>
        <w:rPr>
          <w:w w:val="105"/>
          <w:sz w:val="15"/>
        </w:rPr>
        <w:t>en</w:t>
      </w:r>
      <w:r>
        <w:rPr>
          <w:spacing w:val="-10"/>
          <w:w w:val="105"/>
          <w:sz w:val="15"/>
        </w:rPr>
        <w:t xml:space="preserve"> </w:t>
      </w:r>
      <w:r>
        <w:rPr>
          <w:w w:val="105"/>
          <w:sz w:val="15"/>
        </w:rPr>
        <w:t>la</w:t>
      </w:r>
      <w:r>
        <w:rPr>
          <w:spacing w:val="-11"/>
          <w:w w:val="105"/>
          <w:sz w:val="15"/>
        </w:rPr>
        <w:t xml:space="preserve"> </w:t>
      </w:r>
      <w:r>
        <w:rPr>
          <w:w w:val="105"/>
          <w:sz w:val="15"/>
        </w:rPr>
        <w:t>asociación</w:t>
      </w:r>
      <w:r>
        <w:rPr>
          <w:spacing w:val="-10"/>
          <w:w w:val="105"/>
          <w:sz w:val="15"/>
        </w:rPr>
        <w:t xml:space="preserve"> </w:t>
      </w:r>
      <w:r>
        <w:rPr>
          <w:w w:val="105"/>
          <w:sz w:val="15"/>
        </w:rPr>
        <w:t>se</w:t>
      </w:r>
      <w:r>
        <w:rPr>
          <w:spacing w:val="-11"/>
          <w:w w:val="105"/>
          <w:sz w:val="15"/>
        </w:rPr>
        <w:t xml:space="preserve"> </w:t>
      </w:r>
      <w:r>
        <w:rPr>
          <w:w w:val="105"/>
          <w:sz w:val="15"/>
        </w:rPr>
        <w:t>produce</w:t>
      </w:r>
      <w:r>
        <w:rPr>
          <w:spacing w:val="-10"/>
          <w:w w:val="105"/>
          <w:sz w:val="15"/>
        </w:rPr>
        <w:t xml:space="preserve"> </w:t>
      </w:r>
      <w:r>
        <w:rPr>
          <w:w w:val="105"/>
          <w:sz w:val="15"/>
        </w:rPr>
        <w:t>cuando</w:t>
      </w:r>
      <w:r>
        <w:rPr>
          <w:spacing w:val="-11"/>
          <w:w w:val="105"/>
          <w:sz w:val="15"/>
        </w:rPr>
        <w:t xml:space="preserve"> </w:t>
      </w:r>
      <w:r>
        <w:rPr>
          <w:w w:val="105"/>
          <w:sz w:val="15"/>
        </w:rPr>
        <w:t>las</w:t>
      </w:r>
      <w:r>
        <w:rPr>
          <w:spacing w:val="-10"/>
          <w:w w:val="105"/>
          <w:sz w:val="15"/>
        </w:rPr>
        <w:t xml:space="preserve"> </w:t>
      </w:r>
      <w:r>
        <w:rPr>
          <w:w w:val="105"/>
          <w:sz w:val="15"/>
        </w:rPr>
        <w:t>personas</w:t>
      </w:r>
      <w:r>
        <w:rPr>
          <w:spacing w:val="-11"/>
          <w:w w:val="105"/>
          <w:sz w:val="15"/>
        </w:rPr>
        <w:t xml:space="preserve"> </w:t>
      </w:r>
      <w:r>
        <w:rPr>
          <w:w w:val="105"/>
          <w:sz w:val="15"/>
        </w:rPr>
        <w:t>se</w:t>
      </w:r>
      <w:r>
        <w:rPr>
          <w:spacing w:val="-10"/>
          <w:w w:val="105"/>
          <w:sz w:val="15"/>
        </w:rPr>
        <w:t xml:space="preserve"> </w:t>
      </w:r>
      <w:r>
        <w:rPr>
          <w:w w:val="105"/>
          <w:sz w:val="15"/>
        </w:rPr>
        <w:t>encuentran</w:t>
      </w:r>
      <w:r>
        <w:rPr>
          <w:spacing w:val="-11"/>
          <w:w w:val="105"/>
          <w:sz w:val="15"/>
        </w:rPr>
        <w:t xml:space="preserve"> </w:t>
      </w:r>
      <w:r>
        <w:rPr>
          <w:w w:val="105"/>
          <w:sz w:val="15"/>
        </w:rPr>
        <w:t>en</w:t>
      </w:r>
      <w:r>
        <w:rPr>
          <w:spacing w:val="-10"/>
          <w:w w:val="105"/>
          <w:sz w:val="15"/>
        </w:rPr>
        <w:t xml:space="preserve"> </w:t>
      </w:r>
      <w:r>
        <w:rPr>
          <w:w w:val="105"/>
          <w:sz w:val="15"/>
        </w:rPr>
        <w:t>desventaja</w:t>
      </w:r>
      <w:r>
        <w:rPr>
          <w:spacing w:val="-11"/>
          <w:w w:val="105"/>
          <w:sz w:val="15"/>
        </w:rPr>
        <w:t xml:space="preserve"> </w:t>
      </w:r>
      <w:r>
        <w:rPr>
          <w:w w:val="105"/>
          <w:sz w:val="15"/>
        </w:rPr>
        <w:t>por</w:t>
      </w:r>
      <w:r>
        <w:rPr>
          <w:spacing w:val="-10"/>
          <w:w w:val="105"/>
          <w:sz w:val="15"/>
        </w:rPr>
        <w:t xml:space="preserve"> </w:t>
      </w:r>
      <w:r>
        <w:rPr>
          <w:w w:val="105"/>
          <w:sz w:val="15"/>
        </w:rPr>
        <w:t>motivos</w:t>
      </w:r>
      <w:r>
        <w:rPr>
          <w:spacing w:val="-11"/>
          <w:w w:val="105"/>
          <w:sz w:val="15"/>
        </w:rPr>
        <w:t xml:space="preserve"> </w:t>
      </w:r>
      <w:r>
        <w:rPr>
          <w:w w:val="105"/>
          <w:sz w:val="15"/>
        </w:rPr>
        <w:t>de</w:t>
      </w:r>
      <w:r>
        <w:rPr>
          <w:spacing w:val="-10"/>
          <w:w w:val="105"/>
          <w:sz w:val="15"/>
        </w:rPr>
        <w:t xml:space="preserve"> </w:t>
      </w:r>
      <w:r>
        <w:rPr>
          <w:w w:val="105"/>
          <w:sz w:val="15"/>
        </w:rPr>
        <w:t>su asociación</w:t>
      </w:r>
      <w:r>
        <w:rPr>
          <w:spacing w:val="-2"/>
          <w:w w:val="105"/>
          <w:sz w:val="15"/>
        </w:rPr>
        <w:t xml:space="preserve"> </w:t>
      </w:r>
      <w:r>
        <w:rPr>
          <w:w w:val="105"/>
          <w:sz w:val="15"/>
        </w:rPr>
        <w:t>con</w:t>
      </w:r>
      <w:r>
        <w:rPr>
          <w:spacing w:val="-2"/>
          <w:w w:val="105"/>
          <w:sz w:val="15"/>
        </w:rPr>
        <w:t xml:space="preserve"> </w:t>
      </w:r>
      <w:r>
        <w:rPr>
          <w:w w:val="105"/>
          <w:sz w:val="15"/>
        </w:rPr>
        <w:t>otra</w:t>
      </w:r>
      <w:r>
        <w:rPr>
          <w:spacing w:val="-2"/>
          <w:w w:val="105"/>
          <w:sz w:val="15"/>
        </w:rPr>
        <w:t xml:space="preserve"> </w:t>
      </w:r>
      <w:r>
        <w:rPr>
          <w:w w:val="105"/>
          <w:sz w:val="15"/>
        </w:rPr>
        <w:t>persona</w:t>
      </w:r>
      <w:r>
        <w:rPr>
          <w:spacing w:val="-2"/>
          <w:w w:val="105"/>
          <w:sz w:val="15"/>
        </w:rPr>
        <w:t xml:space="preserve"> </w:t>
      </w:r>
      <w:r>
        <w:rPr>
          <w:w w:val="105"/>
          <w:sz w:val="15"/>
        </w:rPr>
        <w:t>o</w:t>
      </w:r>
      <w:r>
        <w:rPr>
          <w:spacing w:val="-2"/>
          <w:w w:val="105"/>
          <w:sz w:val="15"/>
        </w:rPr>
        <w:t xml:space="preserve"> </w:t>
      </w:r>
      <w:r>
        <w:rPr>
          <w:w w:val="105"/>
          <w:sz w:val="15"/>
        </w:rPr>
        <w:t>personas</w:t>
      </w:r>
      <w:r>
        <w:rPr>
          <w:spacing w:val="-2"/>
          <w:w w:val="105"/>
          <w:sz w:val="15"/>
        </w:rPr>
        <w:t xml:space="preserve"> </w:t>
      </w:r>
      <w:r>
        <w:rPr>
          <w:w w:val="105"/>
          <w:sz w:val="15"/>
        </w:rPr>
        <w:t>que</w:t>
      </w:r>
      <w:r>
        <w:rPr>
          <w:spacing w:val="-2"/>
          <w:w w:val="105"/>
          <w:sz w:val="15"/>
        </w:rPr>
        <w:t xml:space="preserve"> </w:t>
      </w:r>
      <w:r>
        <w:rPr>
          <w:w w:val="105"/>
          <w:sz w:val="15"/>
        </w:rPr>
        <w:t>poseen</w:t>
      </w:r>
      <w:r>
        <w:rPr>
          <w:spacing w:val="-2"/>
          <w:w w:val="105"/>
          <w:sz w:val="15"/>
        </w:rPr>
        <w:t xml:space="preserve"> </w:t>
      </w:r>
      <w:r>
        <w:rPr>
          <w:w w:val="105"/>
          <w:sz w:val="15"/>
        </w:rPr>
        <w:t>una</w:t>
      </w:r>
      <w:r>
        <w:rPr>
          <w:spacing w:val="-2"/>
          <w:w w:val="105"/>
          <w:sz w:val="15"/>
        </w:rPr>
        <w:t xml:space="preserve"> </w:t>
      </w:r>
      <w:r>
        <w:rPr>
          <w:w w:val="105"/>
          <w:sz w:val="15"/>
        </w:rPr>
        <w:t>característica</w:t>
      </w:r>
      <w:r>
        <w:rPr>
          <w:spacing w:val="-2"/>
          <w:w w:val="105"/>
          <w:sz w:val="15"/>
        </w:rPr>
        <w:t xml:space="preserve"> </w:t>
      </w:r>
      <w:r>
        <w:rPr>
          <w:w w:val="105"/>
          <w:sz w:val="15"/>
        </w:rPr>
        <w:t>protegida.</w:t>
      </w:r>
    </w:p>
    <w:p w14:paraId="5E64FCE3" w14:textId="77777777" w:rsidR="0014798C" w:rsidRDefault="0014798C">
      <w:pPr>
        <w:pStyle w:val="Textoindependiente"/>
        <w:rPr>
          <w:sz w:val="15"/>
        </w:rPr>
      </w:pPr>
    </w:p>
    <w:p w14:paraId="63468367" w14:textId="77777777" w:rsidR="0014798C" w:rsidRDefault="0014798C">
      <w:pPr>
        <w:pStyle w:val="Textoindependiente"/>
        <w:spacing w:before="163"/>
        <w:rPr>
          <w:sz w:val="15"/>
        </w:rPr>
      </w:pPr>
    </w:p>
    <w:p w14:paraId="232BF8B0" w14:textId="77777777" w:rsidR="0014798C" w:rsidRDefault="004E1F0B">
      <w:pPr>
        <w:spacing w:before="1" w:line="348" w:lineRule="auto"/>
        <w:ind w:left="1107" w:right="1378" w:firstLine="2"/>
        <w:rPr>
          <w:sz w:val="15"/>
        </w:rPr>
      </w:pPr>
      <w:r>
        <w:rPr>
          <w:w w:val="105"/>
          <w:sz w:val="15"/>
        </w:rPr>
        <w:t>La</w:t>
      </w:r>
      <w:r>
        <w:rPr>
          <w:spacing w:val="-10"/>
          <w:w w:val="105"/>
          <w:sz w:val="15"/>
        </w:rPr>
        <w:t xml:space="preserve"> </w:t>
      </w:r>
      <w:r>
        <w:rPr>
          <w:w w:val="105"/>
          <w:sz w:val="15"/>
        </w:rPr>
        <w:t>discriminación</w:t>
      </w:r>
      <w:r>
        <w:rPr>
          <w:spacing w:val="-11"/>
          <w:w w:val="105"/>
          <w:sz w:val="15"/>
        </w:rPr>
        <w:t xml:space="preserve"> </w:t>
      </w:r>
      <w:r>
        <w:rPr>
          <w:w w:val="105"/>
          <w:sz w:val="15"/>
        </w:rPr>
        <w:t>no</w:t>
      </w:r>
      <w:r>
        <w:rPr>
          <w:spacing w:val="-10"/>
          <w:w w:val="105"/>
          <w:sz w:val="15"/>
        </w:rPr>
        <w:t xml:space="preserve"> </w:t>
      </w:r>
      <w:r>
        <w:rPr>
          <w:w w:val="105"/>
          <w:sz w:val="15"/>
        </w:rPr>
        <w:t>ocurre</w:t>
      </w:r>
      <w:r>
        <w:rPr>
          <w:spacing w:val="-10"/>
          <w:w w:val="105"/>
          <w:sz w:val="15"/>
        </w:rPr>
        <w:t xml:space="preserve"> </w:t>
      </w:r>
      <w:r>
        <w:rPr>
          <w:w w:val="105"/>
          <w:sz w:val="15"/>
        </w:rPr>
        <w:t>sólo</w:t>
      </w:r>
      <w:r>
        <w:rPr>
          <w:spacing w:val="-11"/>
          <w:w w:val="105"/>
          <w:sz w:val="15"/>
        </w:rPr>
        <w:t xml:space="preserve"> </w:t>
      </w:r>
      <w:r>
        <w:rPr>
          <w:w w:val="105"/>
          <w:sz w:val="15"/>
        </w:rPr>
        <w:t>contra</w:t>
      </w:r>
      <w:r>
        <w:rPr>
          <w:spacing w:val="-10"/>
          <w:w w:val="105"/>
          <w:sz w:val="15"/>
        </w:rPr>
        <w:t xml:space="preserve"> </w:t>
      </w:r>
      <w:r>
        <w:rPr>
          <w:w w:val="105"/>
          <w:sz w:val="15"/>
        </w:rPr>
        <w:t>personas</w:t>
      </w:r>
      <w:r>
        <w:rPr>
          <w:spacing w:val="-10"/>
          <w:w w:val="105"/>
          <w:sz w:val="15"/>
        </w:rPr>
        <w:t xml:space="preserve"> </w:t>
      </w:r>
      <w:r>
        <w:rPr>
          <w:w w:val="105"/>
          <w:sz w:val="15"/>
        </w:rPr>
        <w:t>que</w:t>
      </w:r>
      <w:r>
        <w:rPr>
          <w:spacing w:val="-11"/>
          <w:w w:val="105"/>
          <w:sz w:val="15"/>
        </w:rPr>
        <w:t xml:space="preserve"> </w:t>
      </w:r>
      <w:r>
        <w:rPr>
          <w:w w:val="105"/>
          <w:sz w:val="15"/>
        </w:rPr>
        <w:t>poseen</w:t>
      </w:r>
      <w:r>
        <w:rPr>
          <w:spacing w:val="-10"/>
          <w:w w:val="105"/>
          <w:sz w:val="15"/>
        </w:rPr>
        <w:t xml:space="preserve"> </w:t>
      </w:r>
      <w:r>
        <w:rPr>
          <w:w w:val="105"/>
          <w:sz w:val="15"/>
        </w:rPr>
        <w:t>una</w:t>
      </w:r>
      <w:r>
        <w:rPr>
          <w:spacing w:val="-10"/>
          <w:w w:val="105"/>
          <w:sz w:val="15"/>
        </w:rPr>
        <w:t xml:space="preserve"> </w:t>
      </w:r>
      <w:r>
        <w:rPr>
          <w:w w:val="105"/>
          <w:sz w:val="15"/>
        </w:rPr>
        <w:t>característica,</w:t>
      </w:r>
      <w:r>
        <w:rPr>
          <w:spacing w:val="-10"/>
          <w:w w:val="105"/>
          <w:sz w:val="15"/>
        </w:rPr>
        <w:t xml:space="preserve"> </w:t>
      </w:r>
      <w:r>
        <w:rPr>
          <w:w w:val="105"/>
          <w:sz w:val="15"/>
        </w:rPr>
        <w:t>estatus</w:t>
      </w:r>
      <w:r>
        <w:rPr>
          <w:spacing w:val="-11"/>
          <w:w w:val="105"/>
          <w:sz w:val="15"/>
        </w:rPr>
        <w:t xml:space="preserve"> </w:t>
      </w:r>
      <w:r>
        <w:rPr>
          <w:w w:val="105"/>
          <w:sz w:val="15"/>
        </w:rPr>
        <w:t>o</w:t>
      </w:r>
      <w:r>
        <w:rPr>
          <w:spacing w:val="-10"/>
          <w:w w:val="105"/>
          <w:sz w:val="15"/>
        </w:rPr>
        <w:t xml:space="preserve"> </w:t>
      </w:r>
      <w:r>
        <w:rPr>
          <w:w w:val="105"/>
          <w:sz w:val="15"/>
        </w:rPr>
        <w:t>identidad</w:t>
      </w:r>
      <w:r>
        <w:rPr>
          <w:spacing w:val="-10"/>
          <w:w w:val="105"/>
          <w:sz w:val="15"/>
        </w:rPr>
        <w:t xml:space="preserve"> </w:t>
      </w:r>
      <w:r>
        <w:rPr>
          <w:w w:val="105"/>
          <w:sz w:val="15"/>
        </w:rPr>
        <w:t>particular.</w:t>
      </w:r>
      <w:r>
        <w:rPr>
          <w:spacing w:val="-10"/>
          <w:w w:val="105"/>
          <w:sz w:val="15"/>
        </w:rPr>
        <w:t xml:space="preserve"> </w:t>
      </w:r>
      <w:r>
        <w:rPr>
          <w:w w:val="105"/>
          <w:sz w:val="15"/>
        </w:rPr>
        <w:t>Las</w:t>
      </w:r>
      <w:r>
        <w:rPr>
          <w:spacing w:val="-10"/>
          <w:w w:val="105"/>
          <w:sz w:val="15"/>
        </w:rPr>
        <w:t xml:space="preserve"> </w:t>
      </w:r>
      <w:r>
        <w:rPr>
          <w:w w:val="105"/>
          <w:sz w:val="15"/>
        </w:rPr>
        <w:t>personas</w:t>
      </w:r>
      <w:r>
        <w:rPr>
          <w:spacing w:val="-11"/>
          <w:w w:val="105"/>
          <w:sz w:val="15"/>
        </w:rPr>
        <w:t xml:space="preserve"> </w:t>
      </w:r>
      <w:r>
        <w:rPr>
          <w:w w:val="105"/>
          <w:sz w:val="15"/>
        </w:rPr>
        <w:t>también pueden</w:t>
      </w:r>
      <w:r>
        <w:rPr>
          <w:spacing w:val="-9"/>
          <w:w w:val="105"/>
          <w:sz w:val="15"/>
        </w:rPr>
        <w:t xml:space="preserve"> </w:t>
      </w:r>
      <w:r>
        <w:rPr>
          <w:w w:val="105"/>
          <w:sz w:val="15"/>
        </w:rPr>
        <w:t>experimentar</w:t>
      </w:r>
      <w:r>
        <w:rPr>
          <w:spacing w:val="-10"/>
          <w:w w:val="105"/>
          <w:sz w:val="15"/>
        </w:rPr>
        <w:t xml:space="preserve"> </w:t>
      </w:r>
      <w:r>
        <w:rPr>
          <w:w w:val="105"/>
          <w:sz w:val="15"/>
        </w:rPr>
        <w:t>discriminación</w:t>
      </w:r>
      <w:r>
        <w:rPr>
          <w:spacing w:val="-9"/>
          <w:w w:val="105"/>
          <w:sz w:val="15"/>
        </w:rPr>
        <w:t xml:space="preserve"> </w:t>
      </w:r>
      <w:r>
        <w:rPr>
          <w:w w:val="105"/>
          <w:sz w:val="15"/>
        </w:rPr>
        <w:t>debido</w:t>
      </w:r>
      <w:r>
        <w:rPr>
          <w:spacing w:val="-9"/>
          <w:w w:val="105"/>
          <w:sz w:val="15"/>
        </w:rPr>
        <w:t xml:space="preserve"> </w:t>
      </w:r>
      <w:r>
        <w:rPr>
          <w:w w:val="105"/>
          <w:sz w:val="15"/>
        </w:rPr>
        <w:t>a</w:t>
      </w:r>
      <w:r>
        <w:rPr>
          <w:spacing w:val="-9"/>
          <w:w w:val="105"/>
          <w:sz w:val="15"/>
        </w:rPr>
        <w:t xml:space="preserve"> </w:t>
      </w:r>
      <w:r>
        <w:rPr>
          <w:w w:val="105"/>
          <w:sz w:val="15"/>
        </w:rPr>
        <w:t>la</w:t>
      </w:r>
      <w:r>
        <w:rPr>
          <w:spacing w:val="-9"/>
          <w:w w:val="105"/>
          <w:sz w:val="15"/>
        </w:rPr>
        <w:t xml:space="preserve"> </w:t>
      </w:r>
      <w:r>
        <w:rPr>
          <w:w w:val="105"/>
          <w:sz w:val="15"/>
        </w:rPr>
        <w:t>percepción</w:t>
      </w:r>
      <w:r>
        <w:rPr>
          <w:spacing w:val="-9"/>
          <w:w w:val="105"/>
          <w:sz w:val="15"/>
        </w:rPr>
        <w:t xml:space="preserve"> </w:t>
      </w:r>
      <w:r>
        <w:rPr>
          <w:w w:val="105"/>
          <w:sz w:val="15"/>
        </w:rPr>
        <w:t>de</w:t>
      </w:r>
      <w:r>
        <w:rPr>
          <w:spacing w:val="-9"/>
          <w:w w:val="105"/>
          <w:sz w:val="15"/>
        </w:rPr>
        <w:t xml:space="preserve"> </w:t>
      </w:r>
      <w:r>
        <w:rPr>
          <w:w w:val="105"/>
          <w:sz w:val="15"/>
        </w:rPr>
        <w:t>que</w:t>
      </w:r>
      <w:r>
        <w:rPr>
          <w:spacing w:val="-9"/>
          <w:w w:val="105"/>
          <w:sz w:val="15"/>
        </w:rPr>
        <w:t xml:space="preserve"> </w:t>
      </w:r>
      <w:r>
        <w:rPr>
          <w:w w:val="105"/>
          <w:sz w:val="15"/>
        </w:rPr>
        <w:t>pertenecen</w:t>
      </w:r>
      <w:r>
        <w:rPr>
          <w:spacing w:val="-9"/>
          <w:w w:val="105"/>
          <w:sz w:val="15"/>
        </w:rPr>
        <w:t xml:space="preserve"> </w:t>
      </w:r>
      <w:r>
        <w:rPr>
          <w:w w:val="105"/>
          <w:sz w:val="15"/>
        </w:rPr>
        <w:t>a</w:t>
      </w:r>
      <w:r>
        <w:rPr>
          <w:spacing w:val="-9"/>
          <w:w w:val="105"/>
          <w:sz w:val="15"/>
        </w:rPr>
        <w:t xml:space="preserve"> </w:t>
      </w:r>
      <w:r>
        <w:rPr>
          <w:w w:val="105"/>
          <w:sz w:val="15"/>
        </w:rPr>
        <w:t>un</w:t>
      </w:r>
      <w:r>
        <w:rPr>
          <w:spacing w:val="-9"/>
          <w:w w:val="105"/>
          <w:sz w:val="15"/>
        </w:rPr>
        <w:t xml:space="preserve"> </w:t>
      </w:r>
      <w:r>
        <w:rPr>
          <w:w w:val="105"/>
          <w:sz w:val="15"/>
        </w:rPr>
        <w:t>grupo</w:t>
      </w:r>
      <w:r>
        <w:rPr>
          <w:spacing w:val="-9"/>
          <w:w w:val="105"/>
          <w:sz w:val="15"/>
        </w:rPr>
        <w:t xml:space="preserve"> </w:t>
      </w:r>
      <w:r>
        <w:rPr>
          <w:w w:val="105"/>
          <w:sz w:val="15"/>
        </w:rPr>
        <w:t>que</w:t>
      </w:r>
      <w:r>
        <w:rPr>
          <w:spacing w:val="-9"/>
          <w:w w:val="105"/>
          <w:sz w:val="15"/>
        </w:rPr>
        <w:t xml:space="preserve"> </w:t>
      </w:r>
      <w:r>
        <w:rPr>
          <w:w w:val="105"/>
          <w:sz w:val="15"/>
        </w:rPr>
        <w:t>comparte</w:t>
      </w:r>
      <w:r>
        <w:rPr>
          <w:spacing w:val="-9"/>
          <w:w w:val="105"/>
          <w:sz w:val="15"/>
        </w:rPr>
        <w:t xml:space="preserve"> </w:t>
      </w:r>
      <w:r>
        <w:rPr>
          <w:w w:val="105"/>
          <w:sz w:val="15"/>
        </w:rPr>
        <w:t>una</w:t>
      </w:r>
      <w:r>
        <w:rPr>
          <w:spacing w:val="-9"/>
          <w:w w:val="105"/>
          <w:sz w:val="15"/>
        </w:rPr>
        <w:t xml:space="preserve"> </w:t>
      </w:r>
      <w:r>
        <w:rPr>
          <w:w w:val="105"/>
          <w:sz w:val="15"/>
        </w:rPr>
        <w:t>característica</w:t>
      </w:r>
      <w:r>
        <w:rPr>
          <w:spacing w:val="-9"/>
          <w:w w:val="105"/>
          <w:sz w:val="15"/>
        </w:rPr>
        <w:t xml:space="preserve"> </w:t>
      </w:r>
      <w:r>
        <w:rPr>
          <w:w w:val="105"/>
          <w:sz w:val="15"/>
        </w:rPr>
        <w:t>protegida o</w:t>
      </w:r>
      <w:r>
        <w:rPr>
          <w:spacing w:val="-6"/>
          <w:w w:val="105"/>
          <w:sz w:val="15"/>
        </w:rPr>
        <w:t xml:space="preserve"> </w:t>
      </w:r>
      <w:r>
        <w:rPr>
          <w:w w:val="105"/>
          <w:sz w:val="15"/>
        </w:rPr>
        <w:t>debido</w:t>
      </w:r>
      <w:r>
        <w:rPr>
          <w:spacing w:val="-6"/>
          <w:w w:val="105"/>
          <w:sz w:val="15"/>
        </w:rPr>
        <w:t xml:space="preserve"> </w:t>
      </w:r>
      <w:r>
        <w:rPr>
          <w:w w:val="105"/>
          <w:sz w:val="15"/>
        </w:rPr>
        <w:t>a</w:t>
      </w:r>
      <w:r>
        <w:rPr>
          <w:spacing w:val="-6"/>
          <w:w w:val="105"/>
          <w:sz w:val="15"/>
        </w:rPr>
        <w:t xml:space="preserve"> </w:t>
      </w:r>
      <w:r>
        <w:rPr>
          <w:w w:val="105"/>
          <w:sz w:val="15"/>
        </w:rPr>
        <w:t>su</w:t>
      </w:r>
      <w:r>
        <w:rPr>
          <w:spacing w:val="-6"/>
          <w:w w:val="105"/>
          <w:sz w:val="15"/>
        </w:rPr>
        <w:t xml:space="preserve"> </w:t>
      </w:r>
      <w:r>
        <w:rPr>
          <w:w w:val="105"/>
          <w:sz w:val="15"/>
        </w:rPr>
        <w:t>asociación</w:t>
      </w:r>
      <w:r>
        <w:rPr>
          <w:spacing w:val="-6"/>
          <w:w w:val="105"/>
          <w:sz w:val="15"/>
        </w:rPr>
        <w:t xml:space="preserve"> </w:t>
      </w:r>
      <w:r>
        <w:rPr>
          <w:w w:val="105"/>
          <w:sz w:val="15"/>
        </w:rPr>
        <w:t>con</w:t>
      </w:r>
      <w:r>
        <w:rPr>
          <w:spacing w:val="-6"/>
          <w:w w:val="105"/>
          <w:sz w:val="15"/>
        </w:rPr>
        <w:t xml:space="preserve"> </w:t>
      </w:r>
      <w:r>
        <w:rPr>
          <w:w w:val="105"/>
          <w:sz w:val="15"/>
        </w:rPr>
        <w:t>una</w:t>
      </w:r>
      <w:r>
        <w:rPr>
          <w:spacing w:val="-6"/>
          <w:w w:val="105"/>
          <w:sz w:val="15"/>
        </w:rPr>
        <w:t xml:space="preserve"> </w:t>
      </w:r>
      <w:r>
        <w:rPr>
          <w:w w:val="105"/>
          <w:sz w:val="15"/>
        </w:rPr>
        <w:t>persona</w:t>
      </w:r>
      <w:r>
        <w:rPr>
          <w:spacing w:val="-6"/>
          <w:w w:val="105"/>
          <w:sz w:val="15"/>
        </w:rPr>
        <w:t xml:space="preserve"> </w:t>
      </w:r>
      <w:r>
        <w:rPr>
          <w:w w:val="105"/>
          <w:sz w:val="15"/>
        </w:rPr>
        <w:t>o</w:t>
      </w:r>
      <w:r>
        <w:rPr>
          <w:spacing w:val="-6"/>
          <w:w w:val="105"/>
          <w:sz w:val="15"/>
        </w:rPr>
        <w:t xml:space="preserve"> </w:t>
      </w:r>
      <w:r>
        <w:rPr>
          <w:w w:val="105"/>
          <w:sz w:val="15"/>
        </w:rPr>
        <w:t>grupo</w:t>
      </w:r>
      <w:r>
        <w:rPr>
          <w:spacing w:val="-6"/>
          <w:w w:val="105"/>
          <w:sz w:val="15"/>
        </w:rPr>
        <w:t xml:space="preserve"> </w:t>
      </w:r>
      <w:r>
        <w:rPr>
          <w:w w:val="105"/>
          <w:sz w:val="15"/>
        </w:rPr>
        <w:t>que</w:t>
      </w:r>
      <w:r>
        <w:rPr>
          <w:spacing w:val="-6"/>
          <w:w w:val="105"/>
          <w:sz w:val="15"/>
        </w:rPr>
        <w:t xml:space="preserve"> </w:t>
      </w:r>
      <w:r>
        <w:rPr>
          <w:w w:val="105"/>
          <w:sz w:val="15"/>
        </w:rPr>
        <w:t>posee</w:t>
      </w:r>
      <w:r>
        <w:rPr>
          <w:spacing w:val="-6"/>
          <w:w w:val="105"/>
          <w:sz w:val="15"/>
        </w:rPr>
        <w:t xml:space="preserve"> </w:t>
      </w:r>
      <w:r>
        <w:rPr>
          <w:w w:val="105"/>
          <w:sz w:val="15"/>
        </w:rPr>
        <w:t>dicha</w:t>
      </w:r>
      <w:r>
        <w:rPr>
          <w:spacing w:val="-6"/>
          <w:w w:val="105"/>
          <w:sz w:val="15"/>
        </w:rPr>
        <w:t xml:space="preserve"> </w:t>
      </w:r>
      <w:r>
        <w:rPr>
          <w:w w:val="105"/>
          <w:sz w:val="15"/>
        </w:rPr>
        <w:t>característica.</w:t>
      </w:r>
      <w:r>
        <w:rPr>
          <w:spacing w:val="-5"/>
          <w:w w:val="105"/>
          <w:sz w:val="15"/>
        </w:rPr>
        <w:t xml:space="preserve"> </w:t>
      </w:r>
      <w:r>
        <w:rPr>
          <w:w w:val="105"/>
          <w:sz w:val="15"/>
        </w:rPr>
        <w:t>La</w:t>
      </w:r>
      <w:r>
        <w:rPr>
          <w:spacing w:val="-6"/>
          <w:w w:val="105"/>
          <w:sz w:val="15"/>
        </w:rPr>
        <w:t xml:space="preserve"> </w:t>
      </w:r>
      <w:r>
        <w:rPr>
          <w:w w:val="105"/>
          <w:sz w:val="15"/>
        </w:rPr>
        <w:t>discriminación</w:t>
      </w:r>
      <w:r>
        <w:rPr>
          <w:spacing w:val="-6"/>
          <w:w w:val="105"/>
          <w:sz w:val="15"/>
        </w:rPr>
        <w:t xml:space="preserve"> </w:t>
      </w:r>
      <w:r>
        <w:rPr>
          <w:w w:val="105"/>
          <w:sz w:val="15"/>
        </w:rPr>
        <w:t>basada</w:t>
      </w:r>
      <w:r>
        <w:rPr>
          <w:spacing w:val="-6"/>
          <w:w w:val="105"/>
          <w:sz w:val="15"/>
        </w:rPr>
        <w:t xml:space="preserve"> </w:t>
      </w:r>
      <w:r>
        <w:rPr>
          <w:w w:val="105"/>
          <w:sz w:val="15"/>
        </w:rPr>
        <w:t>en</w:t>
      </w:r>
      <w:r>
        <w:rPr>
          <w:spacing w:val="-6"/>
          <w:w w:val="105"/>
          <w:sz w:val="15"/>
        </w:rPr>
        <w:t xml:space="preserve"> </w:t>
      </w:r>
      <w:r>
        <w:rPr>
          <w:w w:val="105"/>
          <w:sz w:val="15"/>
        </w:rPr>
        <w:t>la</w:t>
      </w:r>
      <w:r>
        <w:rPr>
          <w:spacing w:val="-6"/>
          <w:w w:val="105"/>
          <w:sz w:val="15"/>
        </w:rPr>
        <w:t xml:space="preserve"> </w:t>
      </w:r>
      <w:r>
        <w:rPr>
          <w:w w:val="105"/>
          <w:sz w:val="15"/>
        </w:rPr>
        <w:t>percepción</w:t>
      </w:r>
      <w:r>
        <w:rPr>
          <w:spacing w:val="-6"/>
          <w:w w:val="105"/>
          <w:sz w:val="15"/>
        </w:rPr>
        <w:t xml:space="preserve"> </w:t>
      </w:r>
      <w:r>
        <w:rPr>
          <w:w w:val="105"/>
          <w:sz w:val="15"/>
        </w:rPr>
        <w:t>se produce</w:t>
      </w:r>
      <w:r>
        <w:rPr>
          <w:spacing w:val="-5"/>
          <w:w w:val="105"/>
          <w:sz w:val="15"/>
        </w:rPr>
        <w:t xml:space="preserve"> </w:t>
      </w:r>
      <w:r>
        <w:rPr>
          <w:w w:val="105"/>
          <w:sz w:val="15"/>
        </w:rPr>
        <w:t>cuando</w:t>
      </w:r>
      <w:r>
        <w:rPr>
          <w:spacing w:val="-5"/>
          <w:w w:val="105"/>
          <w:sz w:val="15"/>
        </w:rPr>
        <w:t xml:space="preserve"> </w:t>
      </w:r>
      <w:r>
        <w:rPr>
          <w:w w:val="105"/>
          <w:sz w:val="15"/>
        </w:rPr>
        <w:t>las</w:t>
      </w:r>
      <w:r>
        <w:rPr>
          <w:spacing w:val="-5"/>
          <w:w w:val="105"/>
          <w:sz w:val="15"/>
        </w:rPr>
        <w:t xml:space="preserve"> </w:t>
      </w:r>
      <w:r>
        <w:rPr>
          <w:w w:val="105"/>
          <w:sz w:val="15"/>
        </w:rPr>
        <w:t>personas</w:t>
      </w:r>
      <w:r>
        <w:rPr>
          <w:spacing w:val="-5"/>
          <w:w w:val="105"/>
          <w:sz w:val="15"/>
        </w:rPr>
        <w:t xml:space="preserve"> </w:t>
      </w:r>
      <w:r>
        <w:rPr>
          <w:w w:val="105"/>
          <w:sz w:val="15"/>
        </w:rPr>
        <w:t>se</w:t>
      </w:r>
      <w:r>
        <w:rPr>
          <w:spacing w:val="-5"/>
          <w:w w:val="105"/>
          <w:sz w:val="15"/>
        </w:rPr>
        <w:t xml:space="preserve"> </w:t>
      </w:r>
      <w:r>
        <w:rPr>
          <w:w w:val="105"/>
          <w:sz w:val="15"/>
        </w:rPr>
        <w:t>encuentran</w:t>
      </w:r>
      <w:r>
        <w:rPr>
          <w:spacing w:val="-5"/>
          <w:w w:val="105"/>
          <w:sz w:val="15"/>
        </w:rPr>
        <w:t xml:space="preserve"> </w:t>
      </w:r>
      <w:r>
        <w:rPr>
          <w:w w:val="105"/>
          <w:sz w:val="15"/>
        </w:rPr>
        <w:t>en</w:t>
      </w:r>
      <w:r>
        <w:rPr>
          <w:spacing w:val="-5"/>
          <w:w w:val="105"/>
          <w:sz w:val="15"/>
        </w:rPr>
        <w:t xml:space="preserve"> </w:t>
      </w:r>
      <w:r>
        <w:rPr>
          <w:w w:val="105"/>
          <w:sz w:val="15"/>
        </w:rPr>
        <w:t>desventaja</w:t>
      </w:r>
      <w:r>
        <w:rPr>
          <w:spacing w:val="-5"/>
          <w:w w:val="105"/>
          <w:sz w:val="15"/>
        </w:rPr>
        <w:t xml:space="preserve"> </w:t>
      </w:r>
      <w:r>
        <w:rPr>
          <w:w w:val="105"/>
          <w:sz w:val="15"/>
        </w:rPr>
        <w:t>por</w:t>
      </w:r>
      <w:r>
        <w:rPr>
          <w:spacing w:val="-5"/>
          <w:w w:val="105"/>
          <w:sz w:val="15"/>
        </w:rPr>
        <w:t xml:space="preserve"> </w:t>
      </w:r>
      <w:r>
        <w:rPr>
          <w:w w:val="105"/>
          <w:sz w:val="15"/>
        </w:rPr>
        <w:t>la</w:t>
      </w:r>
      <w:r>
        <w:rPr>
          <w:spacing w:val="-5"/>
          <w:w w:val="105"/>
          <w:sz w:val="15"/>
        </w:rPr>
        <w:t xml:space="preserve"> </w:t>
      </w:r>
      <w:r>
        <w:rPr>
          <w:w w:val="105"/>
          <w:sz w:val="15"/>
        </w:rPr>
        <w:t>percepción</w:t>
      </w:r>
      <w:r>
        <w:rPr>
          <w:spacing w:val="-5"/>
          <w:w w:val="105"/>
          <w:sz w:val="15"/>
        </w:rPr>
        <w:t xml:space="preserve"> </w:t>
      </w:r>
      <w:r>
        <w:rPr>
          <w:w w:val="105"/>
          <w:sz w:val="15"/>
        </w:rPr>
        <w:t>(sea</w:t>
      </w:r>
      <w:r>
        <w:rPr>
          <w:spacing w:val="-5"/>
          <w:w w:val="105"/>
          <w:sz w:val="15"/>
        </w:rPr>
        <w:t xml:space="preserve"> </w:t>
      </w:r>
      <w:r>
        <w:rPr>
          <w:w w:val="105"/>
          <w:sz w:val="15"/>
        </w:rPr>
        <w:t>exacta</w:t>
      </w:r>
      <w:r>
        <w:rPr>
          <w:spacing w:val="-5"/>
          <w:w w:val="105"/>
          <w:sz w:val="15"/>
        </w:rPr>
        <w:t xml:space="preserve"> </w:t>
      </w:r>
      <w:r>
        <w:rPr>
          <w:w w:val="105"/>
          <w:sz w:val="15"/>
        </w:rPr>
        <w:t>o</w:t>
      </w:r>
      <w:r>
        <w:rPr>
          <w:spacing w:val="-5"/>
          <w:w w:val="105"/>
          <w:sz w:val="15"/>
        </w:rPr>
        <w:t xml:space="preserve"> </w:t>
      </w:r>
      <w:r>
        <w:rPr>
          <w:w w:val="105"/>
          <w:sz w:val="15"/>
        </w:rPr>
        <w:t>no)</w:t>
      </w:r>
      <w:r>
        <w:rPr>
          <w:spacing w:val="-5"/>
          <w:w w:val="105"/>
          <w:sz w:val="15"/>
        </w:rPr>
        <w:t xml:space="preserve"> </w:t>
      </w:r>
      <w:r>
        <w:rPr>
          <w:w w:val="105"/>
          <w:sz w:val="15"/>
        </w:rPr>
        <w:t>de</w:t>
      </w:r>
      <w:r>
        <w:rPr>
          <w:spacing w:val="-5"/>
          <w:w w:val="105"/>
          <w:sz w:val="15"/>
        </w:rPr>
        <w:t xml:space="preserve"> </w:t>
      </w:r>
      <w:r>
        <w:rPr>
          <w:w w:val="105"/>
          <w:sz w:val="15"/>
        </w:rPr>
        <w:t>que</w:t>
      </w:r>
      <w:r>
        <w:rPr>
          <w:spacing w:val="-5"/>
          <w:w w:val="105"/>
          <w:sz w:val="15"/>
        </w:rPr>
        <w:t xml:space="preserve"> </w:t>
      </w:r>
      <w:r>
        <w:rPr>
          <w:w w:val="105"/>
          <w:sz w:val="15"/>
        </w:rPr>
        <w:t>poseen</w:t>
      </w:r>
      <w:r>
        <w:rPr>
          <w:spacing w:val="-5"/>
          <w:w w:val="105"/>
          <w:sz w:val="15"/>
        </w:rPr>
        <w:t xml:space="preserve"> </w:t>
      </w:r>
      <w:r>
        <w:rPr>
          <w:w w:val="105"/>
          <w:sz w:val="15"/>
        </w:rPr>
        <w:t>una</w:t>
      </w:r>
      <w:r>
        <w:rPr>
          <w:spacing w:val="-5"/>
          <w:w w:val="105"/>
          <w:sz w:val="15"/>
        </w:rPr>
        <w:t xml:space="preserve"> </w:t>
      </w:r>
      <w:r>
        <w:rPr>
          <w:w w:val="105"/>
          <w:sz w:val="15"/>
        </w:rPr>
        <w:t>característica protegida.</w:t>
      </w:r>
      <w:r>
        <w:rPr>
          <w:spacing w:val="-11"/>
          <w:w w:val="105"/>
          <w:sz w:val="15"/>
        </w:rPr>
        <w:t xml:space="preserve"> </w:t>
      </w:r>
      <w:r>
        <w:rPr>
          <w:w w:val="105"/>
          <w:sz w:val="15"/>
        </w:rPr>
        <w:t>La</w:t>
      </w:r>
      <w:r>
        <w:rPr>
          <w:spacing w:val="-11"/>
          <w:w w:val="105"/>
          <w:sz w:val="15"/>
        </w:rPr>
        <w:t xml:space="preserve"> </w:t>
      </w:r>
      <w:r>
        <w:rPr>
          <w:w w:val="105"/>
          <w:sz w:val="15"/>
        </w:rPr>
        <w:t>discriminación</w:t>
      </w:r>
      <w:r>
        <w:rPr>
          <w:spacing w:val="-11"/>
          <w:w w:val="105"/>
          <w:sz w:val="15"/>
        </w:rPr>
        <w:t xml:space="preserve"> </w:t>
      </w:r>
      <w:r>
        <w:rPr>
          <w:w w:val="105"/>
          <w:sz w:val="15"/>
        </w:rPr>
        <w:t>basada</w:t>
      </w:r>
      <w:r>
        <w:rPr>
          <w:spacing w:val="-11"/>
          <w:w w:val="105"/>
          <w:sz w:val="15"/>
        </w:rPr>
        <w:t xml:space="preserve"> </w:t>
      </w:r>
      <w:r>
        <w:rPr>
          <w:w w:val="105"/>
          <w:sz w:val="15"/>
        </w:rPr>
        <w:t>en</w:t>
      </w:r>
      <w:r>
        <w:rPr>
          <w:spacing w:val="-11"/>
          <w:w w:val="105"/>
          <w:sz w:val="15"/>
        </w:rPr>
        <w:t xml:space="preserve"> </w:t>
      </w:r>
      <w:r>
        <w:rPr>
          <w:w w:val="105"/>
          <w:sz w:val="15"/>
        </w:rPr>
        <w:t>la</w:t>
      </w:r>
      <w:r>
        <w:rPr>
          <w:spacing w:val="-11"/>
          <w:w w:val="105"/>
          <w:sz w:val="15"/>
        </w:rPr>
        <w:t xml:space="preserve"> </w:t>
      </w:r>
      <w:r>
        <w:rPr>
          <w:w w:val="105"/>
          <w:sz w:val="15"/>
        </w:rPr>
        <w:t>asociación</w:t>
      </w:r>
      <w:r>
        <w:rPr>
          <w:spacing w:val="-11"/>
          <w:w w:val="105"/>
          <w:sz w:val="15"/>
        </w:rPr>
        <w:t xml:space="preserve"> </w:t>
      </w:r>
      <w:r>
        <w:rPr>
          <w:w w:val="105"/>
          <w:sz w:val="15"/>
        </w:rPr>
        <w:t>se</w:t>
      </w:r>
      <w:r>
        <w:rPr>
          <w:spacing w:val="-11"/>
          <w:w w:val="105"/>
          <w:sz w:val="15"/>
        </w:rPr>
        <w:t xml:space="preserve"> </w:t>
      </w:r>
      <w:r>
        <w:rPr>
          <w:w w:val="105"/>
          <w:sz w:val="15"/>
        </w:rPr>
        <w:t>produce</w:t>
      </w:r>
      <w:r>
        <w:rPr>
          <w:spacing w:val="-11"/>
          <w:w w:val="105"/>
          <w:sz w:val="15"/>
        </w:rPr>
        <w:t xml:space="preserve"> </w:t>
      </w:r>
      <w:r>
        <w:rPr>
          <w:w w:val="105"/>
          <w:sz w:val="15"/>
        </w:rPr>
        <w:t>cuando</w:t>
      </w:r>
      <w:r>
        <w:rPr>
          <w:spacing w:val="-11"/>
          <w:w w:val="105"/>
          <w:sz w:val="15"/>
        </w:rPr>
        <w:t xml:space="preserve"> </w:t>
      </w:r>
      <w:r>
        <w:rPr>
          <w:w w:val="105"/>
          <w:sz w:val="15"/>
        </w:rPr>
        <w:t>las</w:t>
      </w:r>
      <w:r>
        <w:rPr>
          <w:spacing w:val="-11"/>
          <w:w w:val="105"/>
          <w:sz w:val="15"/>
        </w:rPr>
        <w:t xml:space="preserve"> </w:t>
      </w:r>
      <w:r>
        <w:rPr>
          <w:w w:val="105"/>
          <w:sz w:val="15"/>
        </w:rPr>
        <w:t>personas</w:t>
      </w:r>
      <w:r>
        <w:rPr>
          <w:spacing w:val="-11"/>
          <w:w w:val="105"/>
          <w:sz w:val="15"/>
        </w:rPr>
        <w:t xml:space="preserve"> </w:t>
      </w:r>
      <w:r>
        <w:rPr>
          <w:w w:val="105"/>
          <w:sz w:val="15"/>
        </w:rPr>
        <w:t>se</w:t>
      </w:r>
      <w:r>
        <w:rPr>
          <w:spacing w:val="-11"/>
          <w:w w:val="105"/>
          <w:sz w:val="15"/>
        </w:rPr>
        <w:t xml:space="preserve"> </w:t>
      </w:r>
      <w:r>
        <w:rPr>
          <w:w w:val="105"/>
          <w:sz w:val="15"/>
        </w:rPr>
        <w:t>encuentran</w:t>
      </w:r>
      <w:r>
        <w:rPr>
          <w:spacing w:val="-10"/>
          <w:w w:val="105"/>
          <w:sz w:val="15"/>
        </w:rPr>
        <w:t xml:space="preserve"> </w:t>
      </w:r>
      <w:r>
        <w:rPr>
          <w:w w:val="105"/>
          <w:sz w:val="15"/>
        </w:rPr>
        <w:t>en</w:t>
      </w:r>
      <w:r>
        <w:rPr>
          <w:spacing w:val="-11"/>
          <w:w w:val="105"/>
          <w:sz w:val="15"/>
        </w:rPr>
        <w:t xml:space="preserve"> </w:t>
      </w:r>
      <w:r>
        <w:rPr>
          <w:w w:val="105"/>
          <w:sz w:val="15"/>
        </w:rPr>
        <w:t>desventaja</w:t>
      </w:r>
      <w:r>
        <w:rPr>
          <w:spacing w:val="-11"/>
          <w:w w:val="105"/>
          <w:sz w:val="15"/>
        </w:rPr>
        <w:t xml:space="preserve"> </w:t>
      </w:r>
      <w:r>
        <w:rPr>
          <w:w w:val="105"/>
          <w:sz w:val="15"/>
        </w:rPr>
        <w:t>por</w:t>
      </w:r>
      <w:r>
        <w:rPr>
          <w:spacing w:val="-11"/>
          <w:w w:val="105"/>
          <w:sz w:val="15"/>
        </w:rPr>
        <w:t xml:space="preserve"> </w:t>
      </w:r>
      <w:r>
        <w:rPr>
          <w:w w:val="105"/>
          <w:sz w:val="15"/>
        </w:rPr>
        <w:t>su</w:t>
      </w:r>
      <w:r>
        <w:rPr>
          <w:spacing w:val="-11"/>
          <w:w w:val="105"/>
          <w:sz w:val="15"/>
        </w:rPr>
        <w:t xml:space="preserve"> </w:t>
      </w:r>
      <w:r>
        <w:rPr>
          <w:w w:val="105"/>
          <w:sz w:val="15"/>
        </w:rPr>
        <w:t>asociación con otra persona o personas que poseen una característica protegida.</w:t>
      </w:r>
    </w:p>
    <w:p w14:paraId="68F02B7C" w14:textId="77777777" w:rsidR="0014798C" w:rsidRDefault="0014798C">
      <w:pPr>
        <w:pStyle w:val="Textoindependiente"/>
        <w:rPr>
          <w:sz w:val="15"/>
        </w:rPr>
      </w:pPr>
    </w:p>
    <w:p w14:paraId="60C1330C" w14:textId="77777777" w:rsidR="0014798C" w:rsidRDefault="0014798C">
      <w:pPr>
        <w:pStyle w:val="Textoindependiente"/>
        <w:rPr>
          <w:sz w:val="15"/>
        </w:rPr>
      </w:pPr>
    </w:p>
    <w:p w14:paraId="6ED04EFD" w14:textId="77777777" w:rsidR="0014798C" w:rsidRDefault="0014798C">
      <w:pPr>
        <w:pStyle w:val="Textoindependiente"/>
        <w:rPr>
          <w:sz w:val="15"/>
        </w:rPr>
      </w:pPr>
    </w:p>
    <w:p w14:paraId="487334DF" w14:textId="77777777" w:rsidR="0014798C" w:rsidRDefault="0014798C">
      <w:pPr>
        <w:pStyle w:val="Textoindependiente"/>
        <w:spacing w:before="49"/>
        <w:rPr>
          <w:sz w:val="15"/>
        </w:rPr>
      </w:pPr>
    </w:p>
    <w:p w14:paraId="06C03DAF" w14:textId="77777777" w:rsidR="0014798C" w:rsidRDefault="004E1F0B">
      <w:pPr>
        <w:ind w:left="1342"/>
        <w:rPr>
          <w:sz w:val="15"/>
        </w:rPr>
      </w:pPr>
      <w:r>
        <w:rPr>
          <w:sz w:val="15"/>
        </w:rPr>
        <w:t>KOSOVO:</w:t>
      </w:r>
      <w:r>
        <w:rPr>
          <w:spacing w:val="13"/>
          <w:sz w:val="15"/>
        </w:rPr>
        <w:t xml:space="preserve"> </w:t>
      </w:r>
      <w:r>
        <w:rPr>
          <w:sz w:val="15"/>
        </w:rPr>
        <w:t>173</w:t>
      </w:r>
      <w:r>
        <w:rPr>
          <w:spacing w:val="13"/>
          <w:sz w:val="15"/>
        </w:rPr>
        <w:t xml:space="preserve"> </w:t>
      </w:r>
      <w:r>
        <w:rPr>
          <w:sz w:val="15"/>
        </w:rPr>
        <w:t>LEY</w:t>
      </w:r>
      <w:r>
        <w:rPr>
          <w:spacing w:val="13"/>
          <w:sz w:val="15"/>
        </w:rPr>
        <w:t xml:space="preserve"> </w:t>
      </w:r>
      <w:r>
        <w:rPr>
          <w:sz w:val="15"/>
        </w:rPr>
        <w:t>DE</w:t>
      </w:r>
      <w:r>
        <w:rPr>
          <w:spacing w:val="13"/>
          <w:sz w:val="15"/>
        </w:rPr>
        <w:t xml:space="preserve"> </w:t>
      </w:r>
      <w:r>
        <w:rPr>
          <w:sz w:val="15"/>
        </w:rPr>
        <w:t>PROTECCIÓN</w:t>
      </w:r>
      <w:r>
        <w:rPr>
          <w:spacing w:val="12"/>
          <w:sz w:val="15"/>
        </w:rPr>
        <w:t xml:space="preserve"> </w:t>
      </w:r>
      <w:r>
        <w:rPr>
          <w:sz w:val="15"/>
        </w:rPr>
        <w:t>CONTRA</w:t>
      </w:r>
      <w:r>
        <w:rPr>
          <w:spacing w:val="13"/>
          <w:sz w:val="15"/>
        </w:rPr>
        <w:t xml:space="preserve"> </w:t>
      </w:r>
      <w:r>
        <w:rPr>
          <w:sz w:val="15"/>
        </w:rPr>
        <w:t>LA</w:t>
      </w:r>
      <w:r>
        <w:rPr>
          <w:spacing w:val="13"/>
          <w:sz w:val="15"/>
        </w:rPr>
        <w:t xml:space="preserve"> </w:t>
      </w:r>
      <w:r>
        <w:rPr>
          <w:sz w:val="15"/>
        </w:rPr>
        <w:t>DISCRIMINACIÓN,</w:t>
      </w:r>
      <w:r>
        <w:rPr>
          <w:spacing w:val="13"/>
          <w:sz w:val="15"/>
        </w:rPr>
        <w:t xml:space="preserve"> </w:t>
      </w:r>
      <w:r>
        <w:rPr>
          <w:spacing w:val="-4"/>
          <w:sz w:val="15"/>
        </w:rPr>
        <w:t>2015</w:t>
      </w:r>
    </w:p>
    <w:p w14:paraId="180B20EB" w14:textId="77777777" w:rsidR="0014798C" w:rsidRDefault="004E1F0B">
      <w:pPr>
        <w:spacing w:before="106"/>
        <w:ind w:left="1317"/>
        <w:rPr>
          <w:sz w:val="20"/>
        </w:rPr>
      </w:pPr>
      <w:r>
        <w:rPr>
          <w:spacing w:val="-2"/>
          <w:sz w:val="20"/>
        </w:rPr>
        <w:t>Artículo</w:t>
      </w:r>
      <w:r>
        <w:rPr>
          <w:spacing w:val="1"/>
          <w:sz w:val="20"/>
        </w:rPr>
        <w:t xml:space="preserve"> </w:t>
      </w:r>
      <w:r>
        <w:rPr>
          <w:spacing w:val="-10"/>
          <w:sz w:val="20"/>
        </w:rPr>
        <w:t>4</w:t>
      </w:r>
    </w:p>
    <w:p w14:paraId="7DFA8FA4" w14:textId="77777777" w:rsidR="0014798C" w:rsidRDefault="0014798C">
      <w:pPr>
        <w:pStyle w:val="Textoindependiente"/>
        <w:spacing w:before="63"/>
        <w:rPr>
          <w:sz w:val="15"/>
        </w:rPr>
      </w:pPr>
    </w:p>
    <w:p w14:paraId="1065703B" w14:textId="77777777" w:rsidR="0014798C" w:rsidRDefault="004E1F0B">
      <w:pPr>
        <w:spacing w:line="348" w:lineRule="auto"/>
        <w:ind w:left="1346" w:right="1590"/>
        <w:rPr>
          <w:sz w:val="15"/>
        </w:rPr>
      </w:pPr>
      <w:r>
        <w:rPr>
          <w:w w:val="105"/>
          <w:sz w:val="15"/>
        </w:rPr>
        <w:t>1.7.</w:t>
      </w:r>
      <w:r>
        <w:rPr>
          <w:spacing w:val="-10"/>
          <w:w w:val="105"/>
          <w:sz w:val="15"/>
        </w:rPr>
        <w:t xml:space="preserve"> </w:t>
      </w:r>
      <w:r>
        <w:rPr>
          <w:w w:val="105"/>
          <w:sz w:val="15"/>
        </w:rPr>
        <w:t>Discriminación</w:t>
      </w:r>
      <w:r>
        <w:rPr>
          <w:spacing w:val="-10"/>
          <w:w w:val="105"/>
          <w:sz w:val="15"/>
        </w:rPr>
        <w:t xml:space="preserve"> </w:t>
      </w:r>
      <w:r>
        <w:rPr>
          <w:w w:val="105"/>
          <w:sz w:val="15"/>
        </w:rPr>
        <w:t>por</w:t>
      </w:r>
      <w:r>
        <w:rPr>
          <w:spacing w:val="-10"/>
          <w:w w:val="105"/>
          <w:sz w:val="15"/>
        </w:rPr>
        <w:t xml:space="preserve"> </w:t>
      </w:r>
      <w:r>
        <w:rPr>
          <w:w w:val="105"/>
          <w:sz w:val="15"/>
        </w:rPr>
        <w:t>asociación</w:t>
      </w:r>
      <w:r>
        <w:rPr>
          <w:spacing w:val="-10"/>
          <w:w w:val="105"/>
          <w:sz w:val="15"/>
        </w:rPr>
        <w:t xml:space="preserve"> </w:t>
      </w:r>
      <w:r>
        <w:rPr>
          <w:w w:val="105"/>
          <w:sz w:val="15"/>
        </w:rPr>
        <w:t>–</w:t>
      </w:r>
      <w:r>
        <w:rPr>
          <w:spacing w:val="-10"/>
          <w:w w:val="105"/>
          <w:sz w:val="15"/>
        </w:rPr>
        <w:t xml:space="preserve"> </w:t>
      </w:r>
      <w:r>
        <w:rPr>
          <w:w w:val="105"/>
          <w:sz w:val="15"/>
        </w:rPr>
        <w:t>se</w:t>
      </w:r>
      <w:r>
        <w:rPr>
          <w:spacing w:val="-10"/>
          <w:w w:val="105"/>
          <w:sz w:val="15"/>
        </w:rPr>
        <w:t xml:space="preserve"> </w:t>
      </w:r>
      <w:r>
        <w:rPr>
          <w:w w:val="105"/>
          <w:sz w:val="15"/>
        </w:rPr>
        <w:t>considera</w:t>
      </w:r>
      <w:r>
        <w:rPr>
          <w:spacing w:val="-10"/>
          <w:w w:val="105"/>
          <w:sz w:val="15"/>
        </w:rPr>
        <w:t xml:space="preserve"> </w:t>
      </w:r>
      <w:r>
        <w:rPr>
          <w:w w:val="105"/>
          <w:sz w:val="15"/>
        </w:rPr>
        <w:t>discriminación</w:t>
      </w:r>
      <w:r>
        <w:rPr>
          <w:spacing w:val="-10"/>
          <w:w w:val="105"/>
          <w:sz w:val="15"/>
        </w:rPr>
        <w:t xml:space="preserve"> </w:t>
      </w:r>
      <w:r>
        <w:rPr>
          <w:w w:val="105"/>
          <w:sz w:val="15"/>
        </w:rPr>
        <w:t>por</w:t>
      </w:r>
      <w:r>
        <w:rPr>
          <w:spacing w:val="-10"/>
          <w:w w:val="105"/>
          <w:sz w:val="15"/>
        </w:rPr>
        <w:t xml:space="preserve"> </w:t>
      </w:r>
      <w:r>
        <w:rPr>
          <w:w w:val="105"/>
          <w:sz w:val="15"/>
        </w:rPr>
        <w:t>las</w:t>
      </w:r>
      <w:r>
        <w:rPr>
          <w:spacing w:val="-10"/>
          <w:w w:val="105"/>
          <w:sz w:val="15"/>
        </w:rPr>
        <w:t xml:space="preserve"> </w:t>
      </w:r>
      <w:r>
        <w:rPr>
          <w:w w:val="105"/>
          <w:sz w:val="15"/>
        </w:rPr>
        <w:t>causales</w:t>
      </w:r>
      <w:r>
        <w:rPr>
          <w:spacing w:val="-10"/>
          <w:w w:val="105"/>
          <w:sz w:val="15"/>
        </w:rPr>
        <w:t xml:space="preserve"> </w:t>
      </w:r>
      <w:r>
        <w:rPr>
          <w:w w:val="105"/>
          <w:sz w:val="15"/>
        </w:rPr>
        <w:t>previstas</w:t>
      </w:r>
      <w:r>
        <w:rPr>
          <w:spacing w:val="-10"/>
          <w:w w:val="105"/>
          <w:sz w:val="15"/>
        </w:rPr>
        <w:t xml:space="preserve"> </w:t>
      </w:r>
      <w:r>
        <w:rPr>
          <w:w w:val="105"/>
          <w:sz w:val="15"/>
        </w:rPr>
        <w:t>en</w:t>
      </w:r>
      <w:r>
        <w:rPr>
          <w:spacing w:val="-10"/>
          <w:w w:val="105"/>
          <w:sz w:val="15"/>
        </w:rPr>
        <w:t xml:space="preserve"> </w:t>
      </w:r>
      <w:r>
        <w:rPr>
          <w:w w:val="105"/>
          <w:sz w:val="15"/>
        </w:rPr>
        <w:t>el</w:t>
      </w:r>
      <w:r>
        <w:rPr>
          <w:spacing w:val="-10"/>
          <w:w w:val="105"/>
          <w:sz w:val="15"/>
        </w:rPr>
        <w:t xml:space="preserve"> </w:t>
      </w:r>
      <w:r>
        <w:rPr>
          <w:w w:val="105"/>
          <w:sz w:val="15"/>
        </w:rPr>
        <w:t>artículo</w:t>
      </w:r>
      <w:r>
        <w:rPr>
          <w:spacing w:val="-10"/>
          <w:w w:val="105"/>
          <w:sz w:val="15"/>
        </w:rPr>
        <w:t xml:space="preserve"> </w:t>
      </w:r>
      <w:r>
        <w:rPr>
          <w:w w:val="105"/>
          <w:sz w:val="15"/>
        </w:rPr>
        <w:t>1</w:t>
      </w:r>
      <w:r>
        <w:rPr>
          <w:spacing w:val="-10"/>
          <w:w w:val="105"/>
          <w:sz w:val="15"/>
        </w:rPr>
        <w:t xml:space="preserve"> </w:t>
      </w:r>
      <w:r>
        <w:rPr>
          <w:w w:val="105"/>
          <w:sz w:val="15"/>
        </w:rPr>
        <w:t>de</w:t>
      </w:r>
      <w:r>
        <w:rPr>
          <w:spacing w:val="-10"/>
          <w:w w:val="105"/>
          <w:sz w:val="15"/>
        </w:rPr>
        <w:t xml:space="preserve"> </w:t>
      </w:r>
      <w:r>
        <w:rPr>
          <w:w w:val="105"/>
          <w:sz w:val="15"/>
        </w:rPr>
        <w:t>esta</w:t>
      </w:r>
      <w:r>
        <w:rPr>
          <w:spacing w:val="-10"/>
          <w:w w:val="105"/>
          <w:sz w:val="15"/>
        </w:rPr>
        <w:t xml:space="preserve"> </w:t>
      </w:r>
      <w:r>
        <w:rPr>
          <w:w w:val="105"/>
          <w:sz w:val="15"/>
        </w:rPr>
        <w:t>Ley,</w:t>
      </w:r>
      <w:r>
        <w:rPr>
          <w:spacing w:val="-10"/>
          <w:w w:val="105"/>
          <w:sz w:val="15"/>
        </w:rPr>
        <w:t xml:space="preserve"> </w:t>
      </w:r>
      <w:r>
        <w:rPr>
          <w:w w:val="105"/>
          <w:sz w:val="15"/>
        </w:rPr>
        <w:t>dirigida a</w:t>
      </w:r>
      <w:r>
        <w:rPr>
          <w:spacing w:val="-10"/>
          <w:w w:val="105"/>
          <w:sz w:val="15"/>
        </w:rPr>
        <w:t xml:space="preserve"> </w:t>
      </w:r>
      <w:r>
        <w:rPr>
          <w:w w:val="105"/>
          <w:sz w:val="15"/>
        </w:rPr>
        <w:t>personas</w:t>
      </w:r>
      <w:r>
        <w:rPr>
          <w:spacing w:val="-10"/>
          <w:w w:val="105"/>
          <w:sz w:val="15"/>
        </w:rPr>
        <w:t xml:space="preserve"> </w:t>
      </w:r>
      <w:r>
        <w:rPr>
          <w:w w:val="105"/>
          <w:sz w:val="15"/>
        </w:rPr>
        <w:t>que</w:t>
      </w:r>
      <w:r>
        <w:rPr>
          <w:spacing w:val="-10"/>
          <w:w w:val="105"/>
          <w:sz w:val="15"/>
        </w:rPr>
        <w:t xml:space="preserve"> </w:t>
      </w:r>
      <w:r>
        <w:rPr>
          <w:w w:val="105"/>
          <w:sz w:val="15"/>
        </w:rPr>
        <w:t>no</w:t>
      </w:r>
      <w:r>
        <w:rPr>
          <w:spacing w:val="-10"/>
          <w:w w:val="105"/>
          <w:sz w:val="15"/>
        </w:rPr>
        <w:t xml:space="preserve"> </w:t>
      </w:r>
      <w:r>
        <w:rPr>
          <w:w w:val="105"/>
          <w:sz w:val="15"/>
        </w:rPr>
        <w:t>pertenecen</w:t>
      </w:r>
      <w:r>
        <w:rPr>
          <w:spacing w:val="-10"/>
          <w:w w:val="105"/>
          <w:sz w:val="15"/>
        </w:rPr>
        <w:t xml:space="preserve"> </w:t>
      </w:r>
      <w:r>
        <w:rPr>
          <w:w w:val="105"/>
          <w:sz w:val="15"/>
        </w:rPr>
        <w:t>a</w:t>
      </w:r>
      <w:r>
        <w:rPr>
          <w:spacing w:val="-10"/>
          <w:w w:val="105"/>
          <w:sz w:val="15"/>
        </w:rPr>
        <w:t xml:space="preserve"> </w:t>
      </w:r>
      <w:r>
        <w:rPr>
          <w:w w:val="105"/>
          <w:sz w:val="15"/>
        </w:rPr>
        <w:t>un</w:t>
      </w:r>
      <w:r>
        <w:rPr>
          <w:spacing w:val="-10"/>
          <w:w w:val="105"/>
          <w:sz w:val="15"/>
        </w:rPr>
        <w:t xml:space="preserve"> </w:t>
      </w:r>
      <w:r>
        <w:rPr>
          <w:w w:val="105"/>
          <w:sz w:val="15"/>
        </w:rPr>
        <w:t>grupo</w:t>
      </w:r>
      <w:r>
        <w:rPr>
          <w:spacing w:val="-10"/>
          <w:w w:val="105"/>
          <w:sz w:val="15"/>
        </w:rPr>
        <w:t xml:space="preserve"> </w:t>
      </w:r>
      <w:r>
        <w:rPr>
          <w:w w:val="105"/>
          <w:sz w:val="15"/>
        </w:rPr>
        <w:t>determinado</w:t>
      </w:r>
      <w:r>
        <w:rPr>
          <w:spacing w:val="-10"/>
          <w:w w:val="105"/>
          <w:sz w:val="15"/>
        </w:rPr>
        <w:t xml:space="preserve"> </w:t>
      </w:r>
      <w:r>
        <w:rPr>
          <w:w w:val="105"/>
          <w:sz w:val="15"/>
        </w:rPr>
        <w:t>sino</w:t>
      </w:r>
      <w:r>
        <w:rPr>
          <w:spacing w:val="-10"/>
          <w:w w:val="105"/>
          <w:sz w:val="15"/>
        </w:rPr>
        <w:t xml:space="preserve"> </w:t>
      </w:r>
      <w:r>
        <w:rPr>
          <w:w w:val="105"/>
          <w:sz w:val="15"/>
        </w:rPr>
        <w:t>que</w:t>
      </w:r>
      <w:r>
        <w:rPr>
          <w:spacing w:val="-10"/>
          <w:w w:val="105"/>
          <w:sz w:val="15"/>
        </w:rPr>
        <w:t xml:space="preserve"> </w:t>
      </w:r>
      <w:r>
        <w:rPr>
          <w:w w:val="105"/>
          <w:sz w:val="15"/>
        </w:rPr>
        <w:t>son</w:t>
      </w:r>
      <w:r>
        <w:rPr>
          <w:spacing w:val="-10"/>
          <w:w w:val="105"/>
          <w:sz w:val="15"/>
        </w:rPr>
        <w:t xml:space="preserve"> </w:t>
      </w:r>
      <w:r>
        <w:rPr>
          <w:w w:val="105"/>
          <w:sz w:val="15"/>
        </w:rPr>
        <w:t>terceros</w:t>
      </w:r>
      <w:r>
        <w:rPr>
          <w:spacing w:val="-10"/>
          <w:w w:val="105"/>
          <w:sz w:val="15"/>
        </w:rPr>
        <w:t xml:space="preserve"> </w:t>
      </w:r>
      <w:r>
        <w:rPr>
          <w:w w:val="105"/>
          <w:sz w:val="15"/>
        </w:rPr>
        <w:t>que</w:t>
      </w:r>
      <w:r>
        <w:rPr>
          <w:spacing w:val="-10"/>
          <w:w w:val="105"/>
          <w:sz w:val="15"/>
        </w:rPr>
        <w:t xml:space="preserve"> </w:t>
      </w:r>
      <w:r>
        <w:rPr>
          <w:w w:val="105"/>
          <w:sz w:val="15"/>
        </w:rPr>
        <w:t>están</w:t>
      </w:r>
      <w:r>
        <w:rPr>
          <w:spacing w:val="-10"/>
          <w:w w:val="105"/>
          <w:sz w:val="15"/>
        </w:rPr>
        <w:t xml:space="preserve"> </w:t>
      </w:r>
      <w:r>
        <w:rPr>
          <w:w w:val="105"/>
          <w:sz w:val="15"/>
        </w:rPr>
        <w:t>asociados</w:t>
      </w:r>
      <w:r>
        <w:rPr>
          <w:spacing w:val="-10"/>
          <w:w w:val="105"/>
          <w:sz w:val="15"/>
        </w:rPr>
        <w:t xml:space="preserve"> </w:t>
      </w:r>
      <w:r>
        <w:rPr>
          <w:w w:val="105"/>
          <w:sz w:val="15"/>
        </w:rPr>
        <w:t>a</w:t>
      </w:r>
      <w:r>
        <w:rPr>
          <w:spacing w:val="-10"/>
          <w:w w:val="105"/>
          <w:sz w:val="15"/>
        </w:rPr>
        <w:t xml:space="preserve"> </w:t>
      </w:r>
      <w:r>
        <w:rPr>
          <w:w w:val="105"/>
          <w:sz w:val="15"/>
        </w:rPr>
        <w:t>esos</w:t>
      </w:r>
      <w:r>
        <w:rPr>
          <w:spacing w:val="-10"/>
          <w:w w:val="105"/>
          <w:sz w:val="15"/>
        </w:rPr>
        <w:t xml:space="preserve"> </w:t>
      </w:r>
      <w:r>
        <w:rPr>
          <w:w w:val="105"/>
          <w:sz w:val="15"/>
        </w:rPr>
        <w:t>grupos;</w:t>
      </w:r>
    </w:p>
    <w:p w14:paraId="1E8F3F68" w14:textId="77777777" w:rsidR="0014798C" w:rsidRDefault="0014798C">
      <w:pPr>
        <w:pStyle w:val="Textoindependiente"/>
        <w:spacing w:before="147"/>
        <w:rPr>
          <w:sz w:val="15"/>
        </w:rPr>
      </w:pPr>
    </w:p>
    <w:p w14:paraId="7880468E" w14:textId="77777777" w:rsidR="0014798C" w:rsidRDefault="004E1F0B">
      <w:pPr>
        <w:ind w:left="1347"/>
        <w:rPr>
          <w:sz w:val="15"/>
        </w:rPr>
      </w:pPr>
      <w:r>
        <w:rPr>
          <w:spacing w:val="-10"/>
          <w:w w:val="105"/>
          <w:sz w:val="15"/>
        </w:rPr>
        <w:t>…</w:t>
      </w:r>
    </w:p>
    <w:p w14:paraId="6C1FA441" w14:textId="77777777" w:rsidR="0014798C" w:rsidRDefault="0014798C">
      <w:pPr>
        <w:pStyle w:val="Textoindependiente"/>
        <w:spacing w:before="61"/>
        <w:rPr>
          <w:sz w:val="15"/>
        </w:rPr>
      </w:pPr>
    </w:p>
    <w:p w14:paraId="14ED3665" w14:textId="77777777" w:rsidR="0014798C" w:rsidRDefault="004E1F0B">
      <w:pPr>
        <w:spacing w:line="348" w:lineRule="auto"/>
        <w:ind w:left="1332" w:right="1553" w:firstLine="13"/>
        <w:rPr>
          <w:sz w:val="15"/>
        </w:rPr>
      </w:pPr>
      <w:r>
        <w:rPr>
          <w:w w:val="105"/>
          <w:sz w:val="15"/>
        </w:rPr>
        <w:t>1.9.</w:t>
      </w:r>
      <w:r>
        <w:rPr>
          <w:spacing w:val="-5"/>
          <w:w w:val="105"/>
          <w:sz w:val="15"/>
        </w:rPr>
        <w:t xml:space="preserve"> </w:t>
      </w:r>
      <w:r>
        <w:rPr>
          <w:w w:val="105"/>
          <w:sz w:val="15"/>
        </w:rPr>
        <w:t>Discriminación</w:t>
      </w:r>
      <w:r>
        <w:rPr>
          <w:spacing w:val="-5"/>
          <w:w w:val="105"/>
          <w:sz w:val="15"/>
        </w:rPr>
        <w:t xml:space="preserve"> </w:t>
      </w:r>
      <w:r>
        <w:rPr>
          <w:w w:val="105"/>
          <w:sz w:val="15"/>
        </w:rPr>
        <w:t>basada</w:t>
      </w:r>
      <w:r>
        <w:rPr>
          <w:spacing w:val="-5"/>
          <w:w w:val="105"/>
          <w:sz w:val="15"/>
        </w:rPr>
        <w:t xml:space="preserve"> </w:t>
      </w:r>
      <w:r>
        <w:rPr>
          <w:w w:val="105"/>
          <w:sz w:val="15"/>
        </w:rPr>
        <w:t>en</w:t>
      </w:r>
      <w:r>
        <w:rPr>
          <w:spacing w:val="-5"/>
          <w:w w:val="105"/>
          <w:sz w:val="15"/>
        </w:rPr>
        <w:t xml:space="preserve"> </w:t>
      </w:r>
      <w:r>
        <w:rPr>
          <w:w w:val="105"/>
          <w:sz w:val="15"/>
        </w:rPr>
        <w:t>la</w:t>
      </w:r>
      <w:r>
        <w:rPr>
          <w:spacing w:val="-5"/>
          <w:w w:val="105"/>
          <w:sz w:val="15"/>
        </w:rPr>
        <w:t xml:space="preserve"> </w:t>
      </w:r>
      <w:r>
        <w:rPr>
          <w:w w:val="105"/>
          <w:sz w:val="15"/>
        </w:rPr>
        <w:t>percepción:</w:t>
      </w:r>
      <w:r>
        <w:rPr>
          <w:spacing w:val="-4"/>
          <w:w w:val="105"/>
          <w:sz w:val="15"/>
        </w:rPr>
        <w:t xml:space="preserve"> </w:t>
      </w:r>
      <w:r>
        <w:rPr>
          <w:w w:val="105"/>
          <w:sz w:val="15"/>
        </w:rPr>
        <w:t>se</w:t>
      </w:r>
      <w:r>
        <w:rPr>
          <w:spacing w:val="-5"/>
          <w:w w:val="105"/>
          <w:sz w:val="15"/>
        </w:rPr>
        <w:t xml:space="preserve"> </w:t>
      </w:r>
      <w:r>
        <w:rPr>
          <w:w w:val="105"/>
          <w:sz w:val="15"/>
        </w:rPr>
        <w:t>considera</w:t>
      </w:r>
      <w:r>
        <w:rPr>
          <w:spacing w:val="-5"/>
          <w:w w:val="105"/>
          <w:sz w:val="15"/>
        </w:rPr>
        <w:t xml:space="preserve"> </w:t>
      </w:r>
      <w:r>
        <w:rPr>
          <w:w w:val="105"/>
          <w:sz w:val="15"/>
        </w:rPr>
        <w:t>discriminación</w:t>
      </w:r>
      <w:r>
        <w:rPr>
          <w:spacing w:val="-5"/>
          <w:w w:val="105"/>
          <w:sz w:val="15"/>
        </w:rPr>
        <w:t xml:space="preserve"> </w:t>
      </w:r>
      <w:r>
        <w:rPr>
          <w:w w:val="105"/>
          <w:sz w:val="15"/>
        </w:rPr>
        <w:t>por</w:t>
      </w:r>
      <w:r>
        <w:rPr>
          <w:spacing w:val="-5"/>
          <w:w w:val="105"/>
          <w:sz w:val="15"/>
        </w:rPr>
        <w:t xml:space="preserve"> </w:t>
      </w:r>
      <w:r>
        <w:rPr>
          <w:w w:val="105"/>
          <w:sz w:val="15"/>
        </w:rPr>
        <w:t>los</w:t>
      </w:r>
      <w:r>
        <w:rPr>
          <w:spacing w:val="-5"/>
          <w:w w:val="105"/>
          <w:sz w:val="15"/>
        </w:rPr>
        <w:t xml:space="preserve"> </w:t>
      </w:r>
      <w:r>
        <w:rPr>
          <w:w w:val="105"/>
          <w:sz w:val="15"/>
        </w:rPr>
        <w:t>motivos</w:t>
      </w:r>
      <w:r>
        <w:rPr>
          <w:spacing w:val="-5"/>
          <w:w w:val="105"/>
          <w:sz w:val="15"/>
        </w:rPr>
        <w:t xml:space="preserve"> </w:t>
      </w:r>
      <w:r>
        <w:rPr>
          <w:w w:val="105"/>
          <w:sz w:val="15"/>
        </w:rPr>
        <w:t>establecidos</w:t>
      </w:r>
      <w:r>
        <w:rPr>
          <w:spacing w:val="-6"/>
          <w:w w:val="105"/>
          <w:sz w:val="15"/>
        </w:rPr>
        <w:t xml:space="preserve"> </w:t>
      </w:r>
      <w:r>
        <w:rPr>
          <w:w w:val="105"/>
          <w:sz w:val="15"/>
        </w:rPr>
        <w:t>en</w:t>
      </w:r>
      <w:r>
        <w:rPr>
          <w:spacing w:val="-5"/>
          <w:w w:val="105"/>
          <w:sz w:val="15"/>
        </w:rPr>
        <w:t xml:space="preserve"> </w:t>
      </w:r>
      <w:r>
        <w:rPr>
          <w:w w:val="105"/>
          <w:sz w:val="15"/>
        </w:rPr>
        <w:t>el</w:t>
      </w:r>
      <w:r>
        <w:rPr>
          <w:spacing w:val="-5"/>
          <w:w w:val="105"/>
          <w:sz w:val="15"/>
        </w:rPr>
        <w:t xml:space="preserve"> </w:t>
      </w:r>
      <w:r>
        <w:rPr>
          <w:w w:val="105"/>
          <w:sz w:val="15"/>
        </w:rPr>
        <w:t>artículo</w:t>
      </w:r>
      <w:r>
        <w:rPr>
          <w:spacing w:val="-5"/>
          <w:w w:val="105"/>
          <w:sz w:val="15"/>
        </w:rPr>
        <w:t xml:space="preserve"> </w:t>
      </w:r>
      <w:r>
        <w:rPr>
          <w:w w:val="105"/>
          <w:sz w:val="15"/>
        </w:rPr>
        <w:t>1</w:t>
      </w:r>
      <w:r>
        <w:rPr>
          <w:spacing w:val="-5"/>
          <w:w w:val="105"/>
          <w:sz w:val="15"/>
        </w:rPr>
        <w:t xml:space="preserve"> </w:t>
      </w:r>
      <w:r>
        <w:rPr>
          <w:w w:val="105"/>
          <w:sz w:val="15"/>
        </w:rPr>
        <w:t>de</w:t>
      </w:r>
      <w:r>
        <w:rPr>
          <w:spacing w:val="-5"/>
          <w:w w:val="105"/>
          <w:sz w:val="15"/>
        </w:rPr>
        <w:t xml:space="preserve"> </w:t>
      </w:r>
      <w:r>
        <w:rPr>
          <w:w w:val="105"/>
          <w:sz w:val="15"/>
        </w:rPr>
        <w:t>esta ley,</w:t>
      </w:r>
      <w:r>
        <w:rPr>
          <w:spacing w:val="-9"/>
          <w:w w:val="105"/>
          <w:sz w:val="15"/>
        </w:rPr>
        <w:t xml:space="preserve"> </w:t>
      </w:r>
      <w:r>
        <w:rPr>
          <w:w w:val="105"/>
          <w:sz w:val="15"/>
        </w:rPr>
        <w:t>dirigida</w:t>
      </w:r>
      <w:r>
        <w:rPr>
          <w:spacing w:val="-9"/>
          <w:w w:val="105"/>
          <w:sz w:val="15"/>
        </w:rPr>
        <w:t xml:space="preserve"> </w:t>
      </w:r>
      <w:r>
        <w:rPr>
          <w:w w:val="105"/>
          <w:sz w:val="15"/>
        </w:rPr>
        <w:t>a</w:t>
      </w:r>
      <w:r>
        <w:rPr>
          <w:spacing w:val="-9"/>
          <w:w w:val="105"/>
          <w:sz w:val="15"/>
        </w:rPr>
        <w:t xml:space="preserve"> </w:t>
      </w:r>
      <w:r>
        <w:rPr>
          <w:w w:val="105"/>
          <w:sz w:val="15"/>
        </w:rPr>
        <w:t>personas</w:t>
      </w:r>
      <w:r>
        <w:rPr>
          <w:spacing w:val="-9"/>
          <w:w w:val="105"/>
          <w:sz w:val="15"/>
        </w:rPr>
        <w:t xml:space="preserve"> </w:t>
      </w:r>
      <w:r>
        <w:rPr>
          <w:w w:val="105"/>
          <w:sz w:val="15"/>
        </w:rPr>
        <w:t>que</w:t>
      </w:r>
      <w:r>
        <w:rPr>
          <w:spacing w:val="-9"/>
          <w:w w:val="105"/>
          <w:sz w:val="15"/>
        </w:rPr>
        <w:t xml:space="preserve"> </w:t>
      </w:r>
      <w:r>
        <w:rPr>
          <w:w w:val="105"/>
          <w:sz w:val="15"/>
        </w:rPr>
        <w:t>no</w:t>
      </w:r>
      <w:r>
        <w:rPr>
          <w:spacing w:val="-9"/>
          <w:w w:val="105"/>
          <w:sz w:val="15"/>
        </w:rPr>
        <w:t xml:space="preserve"> </w:t>
      </w:r>
      <w:r>
        <w:rPr>
          <w:w w:val="105"/>
          <w:sz w:val="15"/>
        </w:rPr>
        <w:t>pertenecen</w:t>
      </w:r>
      <w:r>
        <w:rPr>
          <w:spacing w:val="-9"/>
          <w:w w:val="105"/>
          <w:sz w:val="15"/>
        </w:rPr>
        <w:t xml:space="preserve"> </w:t>
      </w:r>
      <w:r>
        <w:rPr>
          <w:w w:val="105"/>
          <w:sz w:val="15"/>
        </w:rPr>
        <w:t>a</w:t>
      </w:r>
      <w:r>
        <w:rPr>
          <w:spacing w:val="-9"/>
          <w:w w:val="105"/>
          <w:sz w:val="15"/>
        </w:rPr>
        <w:t xml:space="preserve"> </w:t>
      </w:r>
      <w:r>
        <w:rPr>
          <w:w w:val="105"/>
          <w:sz w:val="15"/>
        </w:rPr>
        <w:t>un</w:t>
      </w:r>
      <w:r>
        <w:rPr>
          <w:spacing w:val="-9"/>
          <w:w w:val="105"/>
          <w:sz w:val="15"/>
        </w:rPr>
        <w:t xml:space="preserve"> </w:t>
      </w:r>
      <w:r>
        <w:rPr>
          <w:w w:val="105"/>
          <w:sz w:val="15"/>
        </w:rPr>
        <w:t>grupo</w:t>
      </w:r>
      <w:r>
        <w:rPr>
          <w:spacing w:val="-9"/>
          <w:w w:val="105"/>
          <w:sz w:val="15"/>
        </w:rPr>
        <w:t xml:space="preserve"> </w:t>
      </w:r>
      <w:r>
        <w:rPr>
          <w:w w:val="105"/>
          <w:sz w:val="15"/>
        </w:rPr>
        <w:t>en</w:t>
      </w:r>
      <w:r>
        <w:rPr>
          <w:spacing w:val="-9"/>
          <w:w w:val="105"/>
          <w:sz w:val="15"/>
        </w:rPr>
        <w:t xml:space="preserve"> </w:t>
      </w:r>
      <w:r>
        <w:rPr>
          <w:w w:val="105"/>
          <w:sz w:val="15"/>
        </w:rPr>
        <w:t>particular</w:t>
      </w:r>
      <w:r>
        <w:rPr>
          <w:spacing w:val="-10"/>
          <w:w w:val="105"/>
          <w:sz w:val="15"/>
        </w:rPr>
        <w:t xml:space="preserve"> </w:t>
      </w:r>
      <w:r>
        <w:rPr>
          <w:w w:val="105"/>
          <w:sz w:val="15"/>
        </w:rPr>
        <w:t>pero</w:t>
      </w:r>
      <w:r>
        <w:rPr>
          <w:spacing w:val="-9"/>
          <w:w w:val="105"/>
          <w:sz w:val="15"/>
        </w:rPr>
        <w:t xml:space="preserve"> </w:t>
      </w:r>
      <w:r>
        <w:rPr>
          <w:w w:val="105"/>
          <w:sz w:val="15"/>
        </w:rPr>
        <w:t>que</w:t>
      </w:r>
      <w:r>
        <w:rPr>
          <w:spacing w:val="-9"/>
          <w:w w:val="105"/>
          <w:sz w:val="15"/>
        </w:rPr>
        <w:t xml:space="preserve"> </w:t>
      </w:r>
      <w:r>
        <w:rPr>
          <w:w w:val="105"/>
          <w:sz w:val="15"/>
        </w:rPr>
        <w:t>son</w:t>
      </w:r>
      <w:r>
        <w:rPr>
          <w:spacing w:val="-9"/>
          <w:w w:val="105"/>
          <w:sz w:val="15"/>
        </w:rPr>
        <w:t xml:space="preserve"> </w:t>
      </w:r>
      <w:r>
        <w:rPr>
          <w:w w:val="105"/>
          <w:sz w:val="15"/>
        </w:rPr>
        <w:t>terceros</w:t>
      </w:r>
      <w:r>
        <w:rPr>
          <w:spacing w:val="-9"/>
          <w:w w:val="105"/>
          <w:sz w:val="15"/>
        </w:rPr>
        <w:t xml:space="preserve"> </w:t>
      </w:r>
      <w:r>
        <w:rPr>
          <w:w w:val="105"/>
          <w:sz w:val="15"/>
        </w:rPr>
        <w:t>que</w:t>
      </w:r>
      <w:r>
        <w:rPr>
          <w:spacing w:val="-9"/>
          <w:w w:val="105"/>
          <w:sz w:val="15"/>
        </w:rPr>
        <w:t xml:space="preserve"> </w:t>
      </w:r>
      <w:r>
        <w:rPr>
          <w:w w:val="105"/>
          <w:sz w:val="15"/>
        </w:rPr>
        <w:t>se</w:t>
      </w:r>
      <w:r>
        <w:rPr>
          <w:spacing w:val="-9"/>
          <w:w w:val="105"/>
          <w:sz w:val="15"/>
        </w:rPr>
        <w:t xml:space="preserve"> </w:t>
      </w:r>
      <w:r>
        <w:rPr>
          <w:w w:val="105"/>
          <w:sz w:val="15"/>
        </w:rPr>
        <w:t>perciben</w:t>
      </w:r>
      <w:r>
        <w:rPr>
          <w:spacing w:val="-9"/>
          <w:w w:val="105"/>
          <w:sz w:val="15"/>
        </w:rPr>
        <w:t xml:space="preserve"> </w:t>
      </w:r>
      <w:r>
        <w:rPr>
          <w:w w:val="105"/>
          <w:sz w:val="15"/>
        </w:rPr>
        <w:t>como</w:t>
      </w:r>
      <w:r>
        <w:rPr>
          <w:spacing w:val="-9"/>
          <w:w w:val="105"/>
          <w:sz w:val="15"/>
        </w:rPr>
        <w:t xml:space="preserve"> </w:t>
      </w:r>
      <w:r>
        <w:rPr>
          <w:w w:val="105"/>
          <w:sz w:val="15"/>
        </w:rPr>
        <w:t>pertenecientes a esos grupos.</w:t>
      </w:r>
    </w:p>
    <w:p w14:paraId="6B4C8001" w14:textId="77777777" w:rsidR="0014798C" w:rsidRDefault="0014798C">
      <w:pPr>
        <w:pStyle w:val="Textoindependiente"/>
        <w:rPr>
          <w:sz w:val="15"/>
        </w:rPr>
      </w:pPr>
    </w:p>
    <w:p w14:paraId="70D792DB" w14:textId="77777777" w:rsidR="0014798C" w:rsidRDefault="0014798C">
      <w:pPr>
        <w:pStyle w:val="Textoindependiente"/>
        <w:spacing w:before="97"/>
        <w:rPr>
          <w:sz w:val="15"/>
        </w:rPr>
      </w:pPr>
    </w:p>
    <w:p w14:paraId="1929DC5D" w14:textId="77777777" w:rsidR="0014798C" w:rsidRDefault="004E1F0B">
      <w:pPr>
        <w:pStyle w:val="Textoindependiente"/>
        <w:spacing w:line="326" w:lineRule="auto"/>
        <w:ind w:left="1107" w:right="1260" w:hanging="1"/>
      </w:pPr>
      <w:r>
        <w:t>El Comité de Derechos Económicos, Sociales y Culturales ha señalado que la pertenencia a un grupo protegido incluye “la asociación con un grupo caracterizado por uno de los motivos prohibidos” y la “percepción por parte de otros de que un individuo</w:t>
      </w:r>
      <w:r>
        <w:rPr>
          <w:spacing w:val="80"/>
        </w:rPr>
        <w:t xml:space="preserve"> </w:t>
      </w:r>
      <w:r>
        <w:t>es</w:t>
      </w:r>
      <w:r>
        <w:rPr>
          <w:spacing w:val="12"/>
        </w:rPr>
        <w:t xml:space="preserve"> </w:t>
      </w:r>
      <w:r>
        <w:t>parte</w:t>
      </w:r>
      <w:r>
        <w:rPr>
          <w:spacing w:val="11"/>
        </w:rPr>
        <w:t xml:space="preserve"> </w:t>
      </w:r>
      <w:r>
        <w:t>de</w:t>
      </w:r>
      <w:r>
        <w:rPr>
          <w:spacing w:val="12"/>
        </w:rPr>
        <w:t xml:space="preserve"> </w:t>
      </w:r>
      <w:r>
        <w:t>dicho</w:t>
      </w:r>
      <w:r>
        <w:rPr>
          <w:spacing w:val="11"/>
        </w:rPr>
        <w:t xml:space="preserve"> </w:t>
      </w:r>
      <w:r>
        <w:t>grupo”.174</w:t>
      </w:r>
      <w:r>
        <w:rPr>
          <w:spacing w:val="12"/>
        </w:rPr>
        <w:t xml:space="preserve"> </w:t>
      </w:r>
      <w:r>
        <w:t>De</w:t>
      </w:r>
      <w:r>
        <w:rPr>
          <w:spacing w:val="11"/>
        </w:rPr>
        <w:t xml:space="preserve"> </w:t>
      </w:r>
      <w:r>
        <w:t>manera</w:t>
      </w:r>
      <w:r>
        <w:rPr>
          <w:spacing w:val="12"/>
        </w:rPr>
        <w:t xml:space="preserve"> </w:t>
      </w:r>
      <w:r>
        <w:t>similar,</w:t>
      </w:r>
      <w:r>
        <w:rPr>
          <w:spacing w:val="13"/>
        </w:rPr>
        <w:t xml:space="preserve"> </w:t>
      </w:r>
      <w:r>
        <w:t>En</w:t>
      </w:r>
      <w:r>
        <w:rPr>
          <w:spacing w:val="12"/>
        </w:rPr>
        <w:t xml:space="preserve"> </w:t>
      </w:r>
      <w:r>
        <w:t>su</w:t>
      </w:r>
      <w:r>
        <w:rPr>
          <w:spacing w:val="11"/>
        </w:rPr>
        <w:t xml:space="preserve"> </w:t>
      </w:r>
      <w:r>
        <w:t>interpretación</w:t>
      </w:r>
      <w:r>
        <w:rPr>
          <w:spacing w:val="12"/>
        </w:rPr>
        <w:t xml:space="preserve"> </w:t>
      </w:r>
      <w:r>
        <w:t>de</w:t>
      </w:r>
      <w:r>
        <w:rPr>
          <w:spacing w:val="11"/>
        </w:rPr>
        <w:t xml:space="preserve"> </w:t>
      </w:r>
      <w:r>
        <w:t>la</w:t>
      </w:r>
      <w:r>
        <w:rPr>
          <w:spacing w:val="12"/>
        </w:rPr>
        <w:t xml:space="preserve"> </w:t>
      </w:r>
      <w:r>
        <w:t>convención</w:t>
      </w:r>
      <w:r>
        <w:rPr>
          <w:spacing w:val="11"/>
        </w:rPr>
        <w:t xml:space="preserve"> </w:t>
      </w:r>
      <w:r>
        <w:t>pertinente,</w:t>
      </w:r>
      <w:r>
        <w:rPr>
          <w:spacing w:val="13"/>
        </w:rPr>
        <w:t xml:space="preserve"> </w:t>
      </w:r>
      <w:r>
        <w:t>el</w:t>
      </w:r>
      <w:r>
        <w:rPr>
          <w:spacing w:val="12"/>
        </w:rPr>
        <w:t xml:space="preserve"> </w:t>
      </w:r>
      <w:r>
        <w:t>Comité</w:t>
      </w:r>
      <w:r>
        <w:rPr>
          <w:spacing w:val="11"/>
        </w:rPr>
        <w:t xml:space="preserve"> </w:t>
      </w:r>
      <w:r>
        <w:t>sobre</w:t>
      </w:r>
      <w:r>
        <w:rPr>
          <w:spacing w:val="12"/>
        </w:rPr>
        <w:t xml:space="preserve"> </w:t>
      </w:r>
      <w:r>
        <w:t>los</w:t>
      </w:r>
      <w:r>
        <w:rPr>
          <w:spacing w:val="11"/>
        </w:rPr>
        <w:t xml:space="preserve"> </w:t>
      </w:r>
      <w:r>
        <w:t>Derechos de</w:t>
      </w:r>
      <w:r>
        <w:rPr>
          <w:spacing w:val="14"/>
        </w:rPr>
        <w:t xml:space="preserve"> </w:t>
      </w:r>
      <w:r>
        <w:t>las</w:t>
      </w:r>
      <w:r>
        <w:rPr>
          <w:spacing w:val="14"/>
        </w:rPr>
        <w:t xml:space="preserve"> </w:t>
      </w:r>
      <w:r>
        <w:t>Personas</w:t>
      </w:r>
      <w:r>
        <w:rPr>
          <w:spacing w:val="14"/>
        </w:rPr>
        <w:t xml:space="preserve"> </w:t>
      </w:r>
      <w:r>
        <w:t>con</w:t>
      </w:r>
      <w:r>
        <w:rPr>
          <w:spacing w:val="14"/>
        </w:rPr>
        <w:t xml:space="preserve"> </w:t>
      </w:r>
      <w:r>
        <w:t>Discapacidad</w:t>
      </w:r>
      <w:r>
        <w:rPr>
          <w:spacing w:val="14"/>
        </w:rPr>
        <w:t xml:space="preserve"> </w:t>
      </w:r>
      <w:r>
        <w:t>ha</w:t>
      </w:r>
      <w:r>
        <w:rPr>
          <w:spacing w:val="14"/>
        </w:rPr>
        <w:t xml:space="preserve"> </w:t>
      </w:r>
      <w:r>
        <w:t>señalado</w:t>
      </w:r>
      <w:r>
        <w:rPr>
          <w:spacing w:val="14"/>
        </w:rPr>
        <w:t xml:space="preserve"> </w:t>
      </w:r>
      <w:r>
        <w:t>que</w:t>
      </w:r>
      <w:r>
        <w:rPr>
          <w:spacing w:val="14"/>
        </w:rPr>
        <w:t xml:space="preserve"> </w:t>
      </w:r>
      <w:r>
        <w:t>la</w:t>
      </w:r>
      <w:r>
        <w:rPr>
          <w:spacing w:val="14"/>
        </w:rPr>
        <w:t xml:space="preserve"> </w:t>
      </w:r>
      <w:r>
        <w:t>prohibición</w:t>
      </w:r>
      <w:r>
        <w:rPr>
          <w:spacing w:val="14"/>
        </w:rPr>
        <w:t xml:space="preserve"> </w:t>
      </w:r>
      <w:r>
        <w:t>de</w:t>
      </w:r>
      <w:r>
        <w:rPr>
          <w:spacing w:val="14"/>
        </w:rPr>
        <w:t xml:space="preserve"> </w:t>
      </w:r>
      <w:r>
        <w:t>discriminación</w:t>
      </w:r>
      <w:r>
        <w:rPr>
          <w:spacing w:val="16"/>
        </w:rPr>
        <w:t xml:space="preserve"> </w:t>
      </w:r>
      <w:r>
        <w:t>se</w:t>
      </w:r>
      <w:r>
        <w:rPr>
          <w:spacing w:val="14"/>
        </w:rPr>
        <w:t xml:space="preserve"> </w:t>
      </w:r>
      <w:r>
        <w:t>extiende</w:t>
      </w:r>
      <w:r>
        <w:rPr>
          <w:spacing w:val="14"/>
        </w:rPr>
        <w:t xml:space="preserve"> </w:t>
      </w:r>
      <w:r>
        <w:t>a</w:t>
      </w:r>
      <w:r>
        <w:rPr>
          <w:spacing w:val="14"/>
        </w:rPr>
        <w:t xml:space="preserve"> </w:t>
      </w:r>
      <w:r>
        <w:t>quienes</w:t>
      </w:r>
      <w:r>
        <w:rPr>
          <w:spacing w:val="14"/>
        </w:rPr>
        <w:t xml:space="preserve"> </w:t>
      </w:r>
      <w:r>
        <w:t>“se</w:t>
      </w:r>
      <w:r>
        <w:rPr>
          <w:spacing w:val="14"/>
        </w:rPr>
        <w:t xml:space="preserve"> </w:t>
      </w:r>
      <w:r>
        <w:t>presume</w:t>
      </w:r>
      <w:r>
        <w:rPr>
          <w:spacing w:val="14"/>
        </w:rPr>
        <w:t xml:space="preserve"> </w:t>
      </w:r>
      <w:r>
        <w:t>que tienen</w:t>
      </w:r>
      <w:r>
        <w:rPr>
          <w:spacing w:val="15"/>
        </w:rPr>
        <w:t xml:space="preserve"> </w:t>
      </w:r>
      <w:r>
        <w:t>una</w:t>
      </w:r>
      <w:r>
        <w:rPr>
          <w:spacing w:val="15"/>
        </w:rPr>
        <w:t xml:space="preserve"> </w:t>
      </w:r>
      <w:r>
        <w:t>discapacidad,</w:t>
      </w:r>
      <w:r>
        <w:rPr>
          <w:spacing w:val="18"/>
        </w:rPr>
        <w:t xml:space="preserve"> </w:t>
      </w:r>
      <w:r>
        <w:t>así</w:t>
      </w:r>
      <w:r>
        <w:rPr>
          <w:spacing w:val="17"/>
        </w:rPr>
        <w:t xml:space="preserve"> </w:t>
      </w:r>
      <w:r>
        <w:t>como</w:t>
      </w:r>
      <w:r>
        <w:rPr>
          <w:spacing w:val="15"/>
        </w:rPr>
        <w:t xml:space="preserve"> </w:t>
      </w:r>
      <w:r>
        <w:t>a</w:t>
      </w:r>
      <w:r>
        <w:rPr>
          <w:spacing w:val="15"/>
        </w:rPr>
        <w:t xml:space="preserve"> </w:t>
      </w:r>
      <w:r>
        <w:t>quienes</w:t>
      </w:r>
      <w:r>
        <w:rPr>
          <w:spacing w:val="15"/>
        </w:rPr>
        <w:t xml:space="preserve"> </w:t>
      </w:r>
      <w:r>
        <w:t>están</w:t>
      </w:r>
      <w:r>
        <w:rPr>
          <w:spacing w:val="15"/>
        </w:rPr>
        <w:t xml:space="preserve"> </w:t>
      </w:r>
      <w:r>
        <w:t>asociados</w:t>
      </w:r>
      <w:r>
        <w:rPr>
          <w:spacing w:val="15"/>
        </w:rPr>
        <w:t xml:space="preserve"> </w:t>
      </w:r>
      <w:r>
        <w:t>con</w:t>
      </w:r>
      <w:r>
        <w:rPr>
          <w:spacing w:val="15"/>
        </w:rPr>
        <w:t xml:space="preserve"> </w:t>
      </w:r>
      <w:r>
        <w:t>una</w:t>
      </w:r>
      <w:r>
        <w:rPr>
          <w:spacing w:val="15"/>
        </w:rPr>
        <w:t xml:space="preserve"> </w:t>
      </w:r>
      <w:r>
        <w:t>persona</w:t>
      </w:r>
      <w:r>
        <w:rPr>
          <w:spacing w:val="15"/>
        </w:rPr>
        <w:t xml:space="preserve"> </w:t>
      </w:r>
      <w:r>
        <w:t>con</w:t>
      </w:r>
      <w:r>
        <w:rPr>
          <w:spacing w:val="15"/>
        </w:rPr>
        <w:t xml:space="preserve"> </w:t>
      </w:r>
      <w:r>
        <w:t>discapacidad”.</w:t>
      </w:r>
      <w:r>
        <w:rPr>
          <w:spacing w:val="18"/>
        </w:rPr>
        <w:t xml:space="preserve"> </w:t>
      </w:r>
      <w:r>
        <w:t>.175</w:t>
      </w:r>
      <w:r>
        <w:rPr>
          <w:spacing w:val="15"/>
        </w:rPr>
        <w:t xml:space="preserve"> </w:t>
      </w:r>
      <w:r>
        <w:t>Otros</w:t>
      </w:r>
      <w:r>
        <w:rPr>
          <w:spacing w:val="15"/>
        </w:rPr>
        <w:t xml:space="preserve"> </w:t>
      </w:r>
      <w:r>
        <w:t>órganos</w:t>
      </w:r>
      <w:r>
        <w:rPr>
          <w:spacing w:val="15"/>
        </w:rPr>
        <w:t xml:space="preserve"> </w:t>
      </w:r>
      <w:r>
        <w:t>creados en virtud de tratados también han abordado la discriminación basada en la percepción en sus observaciones finales.176</w:t>
      </w:r>
    </w:p>
    <w:p w14:paraId="75F7988D" w14:textId="77777777" w:rsidR="0014798C" w:rsidRDefault="0014798C">
      <w:pPr>
        <w:pStyle w:val="Textoindependiente"/>
      </w:pPr>
    </w:p>
    <w:p w14:paraId="36A43EFA" w14:textId="77777777" w:rsidR="0014798C" w:rsidRDefault="0014798C">
      <w:pPr>
        <w:pStyle w:val="Textoindependiente"/>
        <w:spacing w:before="58"/>
      </w:pPr>
    </w:p>
    <w:p w14:paraId="5610CA12" w14:textId="77777777" w:rsidR="0014798C" w:rsidRDefault="004E1F0B">
      <w:pPr>
        <w:spacing w:line="348" w:lineRule="auto"/>
        <w:ind w:left="1108" w:right="1272" w:firstLine="6"/>
        <w:rPr>
          <w:sz w:val="15"/>
        </w:rPr>
      </w:pPr>
      <w:r>
        <w:rPr>
          <w:w w:val="105"/>
          <w:sz w:val="15"/>
        </w:rPr>
        <w:t>Los</w:t>
      </w:r>
      <w:r>
        <w:rPr>
          <w:spacing w:val="-10"/>
          <w:w w:val="105"/>
          <w:sz w:val="15"/>
        </w:rPr>
        <w:t xml:space="preserve"> </w:t>
      </w:r>
      <w:r>
        <w:rPr>
          <w:w w:val="105"/>
          <w:sz w:val="15"/>
        </w:rPr>
        <w:t>casos</w:t>
      </w:r>
      <w:r>
        <w:rPr>
          <w:spacing w:val="-10"/>
          <w:w w:val="105"/>
          <w:sz w:val="15"/>
        </w:rPr>
        <w:t xml:space="preserve"> </w:t>
      </w:r>
      <w:r>
        <w:rPr>
          <w:w w:val="105"/>
          <w:sz w:val="15"/>
        </w:rPr>
        <w:t>tramitados</w:t>
      </w:r>
      <w:r>
        <w:rPr>
          <w:spacing w:val="-11"/>
          <w:w w:val="105"/>
          <w:sz w:val="15"/>
        </w:rPr>
        <w:t xml:space="preserve"> </w:t>
      </w:r>
      <w:r>
        <w:rPr>
          <w:w w:val="105"/>
          <w:sz w:val="15"/>
        </w:rPr>
        <w:t>por</w:t>
      </w:r>
      <w:r>
        <w:rPr>
          <w:spacing w:val="-10"/>
          <w:w w:val="105"/>
          <w:sz w:val="15"/>
        </w:rPr>
        <w:t xml:space="preserve"> </w:t>
      </w:r>
      <w:r>
        <w:rPr>
          <w:w w:val="105"/>
          <w:sz w:val="15"/>
        </w:rPr>
        <w:t>tribunales</w:t>
      </w:r>
      <w:r>
        <w:rPr>
          <w:spacing w:val="-11"/>
          <w:w w:val="105"/>
          <w:sz w:val="15"/>
        </w:rPr>
        <w:t xml:space="preserve"> </w:t>
      </w:r>
      <w:r>
        <w:rPr>
          <w:w w:val="105"/>
          <w:sz w:val="15"/>
        </w:rPr>
        <w:t>a</w:t>
      </w:r>
      <w:r>
        <w:rPr>
          <w:spacing w:val="-10"/>
          <w:w w:val="105"/>
          <w:sz w:val="15"/>
        </w:rPr>
        <w:t xml:space="preserve"> </w:t>
      </w:r>
      <w:r>
        <w:rPr>
          <w:w w:val="105"/>
          <w:sz w:val="15"/>
        </w:rPr>
        <w:t>nivel</w:t>
      </w:r>
      <w:r>
        <w:rPr>
          <w:spacing w:val="-10"/>
          <w:w w:val="105"/>
          <w:sz w:val="15"/>
        </w:rPr>
        <w:t xml:space="preserve"> </w:t>
      </w:r>
      <w:r>
        <w:rPr>
          <w:w w:val="105"/>
          <w:sz w:val="15"/>
        </w:rPr>
        <w:t>regional</w:t>
      </w:r>
      <w:r>
        <w:rPr>
          <w:spacing w:val="-10"/>
          <w:w w:val="105"/>
          <w:sz w:val="15"/>
        </w:rPr>
        <w:t xml:space="preserve"> </w:t>
      </w:r>
      <w:r>
        <w:rPr>
          <w:w w:val="105"/>
          <w:sz w:val="15"/>
        </w:rPr>
        <w:t>han</w:t>
      </w:r>
      <w:r>
        <w:rPr>
          <w:spacing w:val="-10"/>
          <w:w w:val="105"/>
          <w:sz w:val="15"/>
        </w:rPr>
        <w:t xml:space="preserve"> </w:t>
      </w:r>
      <w:r>
        <w:rPr>
          <w:w w:val="105"/>
          <w:sz w:val="15"/>
        </w:rPr>
        <w:t>requerido</w:t>
      </w:r>
      <w:r>
        <w:rPr>
          <w:spacing w:val="-10"/>
          <w:w w:val="105"/>
          <w:sz w:val="15"/>
        </w:rPr>
        <w:t xml:space="preserve"> </w:t>
      </w:r>
      <w:r>
        <w:rPr>
          <w:w w:val="105"/>
          <w:sz w:val="15"/>
        </w:rPr>
        <w:t>que</w:t>
      </w:r>
      <w:r>
        <w:rPr>
          <w:spacing w:val="-10"/>
          <w:w w:val="105"/>
          <w:sz w:val="15"/>
        </w:rPr>
        <w:t xml:space="preserve"> </w:t>
      </w:r>
      <w:r>
        <w:rPr>
          <w:w w:val="105"/>
          <w:sz w:val="15"/>
        </w:rPr>
        <w:t>estos</w:t>
      </w:r>
      <w:r>
        <w:rPr>
          <w:spacing w:val="-10"/>
          <w:w w:val="105"/>
          <w:sz w:val="15"/>
        </w:rPr>
        <w:t xml:space="preserve"> </w:t>
      </w:r>
      <w:r>
        <w:rPr>
          <w:w w:val="105"/>
          <w:sz w:val="15"/>
        </w:rPr>
        <w:t>órganos</w:t>
      </w:r>
      <w:r>
        <w:rPr>
          <w:spacing w:val="-10"/>
          <w:w w:val="105"/>
          <w:sz w:val="15"/>
        </w:rPr>
        <w:t xml:space="preserve"> </w:t>
      </w:r>
      <w:r>
        <w:rPr>
          <w:w w:val="105"/>
          <w:sz w:val="15"/>
        </w:rPr>
        <w:t>se</w:t>
      </w:r>
      <w:r>
        <w:rPr>
          <w:spacing w:val="-10"/>
          <w:w w:val="105"/>
          <w:sz w:val="15"/>
        </w:rPr>
        <w:t xml:space="preserve"> </w:t>
      </w:r>
      <w:r>
        <w:rPr>
          <w:w w:val="105"/>
          <w:sz w:val="15"/>
        </w:rPr>
        <w:t>ocupen</w:t>
      </w:r>
      <w:r>
        <w:rPr>
          <w:spacing w:val="-10"/>
          <w:w w:val="105"/>
          <w:sz w:val="15"/>
        </w:rPr>
        <w:t xml:space="preserve"> </w:t>
      </w:r>
      <w:r>
        <w:rPr>
          <w:w w:val="105"/>
          <w:sz w:val="15"/>
        </w:rPr>
        <w:t>de</w:t>
      </w:r>
      <w:r>
        <w:rPr>
          <w:spacing w:val="-10"/>
          <w:w w:val="105"/>
          <w:sz w:val="15"/>
        </w:rPr>
        <w:t xml:space="preserve"> </w:t>
      </w:r>
      <w:r>
        <w:rPr>
          <w:w w:val="105"/>
          <w:sz w:val="15"/>
        </w:rPr>
        <w:t>los</w:t>
      </w:r>
      <w:r>
        <w:rPr>
          <w:spacing w:val="-10"/>
          <w:w w:val="105"/>
          <w:sz w:val="15"/>
        </w:rPr>
        <w:t xml:space="preserve"> </w:t>
      </w:r>
      <w:r>
        <w:rPr>
          <w:w w:val="105"/>
          <w:sz w:val="15"/>
        </w:rPr>
        <w:t>problemas</w:t>
      </w:r>
      <w:r>
        <w:rPr>
          <w:spacing w:val="-10"/>
          <w:w w:val="105"/>
          <w:sz w:val="15"/>
        </w:rPr>
        <w:t xml:space="preserve"> </w:t>
      </w:r>
      <w:r>
        <w:rPr>
          <w:w w:val="105"/>
          <w:sz w:val="15"/>
        </w:rPr>
        <w:t>de</w:t>
      </w:r>
      <w:r>
        <w:rPr>
          <w:spacing w:val="-10"/>
          <w:w w:val="105"/>
          <w:sz w:val="15"/>
        </w:rPr>
        <w:t xml:space="preserve"> </w:t>
      </w:r>
      <w:r>
        <w:rPr>
          <w:w w:val="105"/>
          <w:sz w:val="15"/>
        </w:rPr>
        <w:t>la</w:t>
      </w:r>
      <w:r>
        <w:rPr>
          <w:spacing w:val="-10"/>
          <w:w w:val="105"/>
          <w:sz w:val="15"/>
        </w:rPr>
        <w:t xml:space="preserve"> </w:t>
      </w:r>
      <w:r>
        <w:rPr>
          <w:w w:val="105"/>
          <w:sz w:val="15"/>
        </w:rPr>
        <w:t>discriminación basada</w:t>
      </w:r>
      <w:r>
        <w:rPr>
          <w:spacing w:val="-6"/>
          <w:w w:val="105"/>
          <w:sz w:val="15"/>
        </w:rPr>
        <w:t xml:space="preserve"> </w:t>
      </w:r>
      <w:r>
        <w:rPr>
          <w:w w:val="105"/>
          <w:sz w:val="15"/>
        </w:rPr>
        <w:t>en</w:t>
      </w:r>
      <w:r>
        <w:rPr>
          <w:spacing w:val="-6"/>
          <w:w w:val="105"/>
          <w:sz w:val="15"/>
        </w:rPr>
        <w:t xml:space="preserve"> </w:t>
      </w:r>
      <w:r>
        <w:rPr>
          <w:w w:val="105"/>
          <w:sz w:val="15"/>
        </w:rPr>
        <w:t>la</w:t>
      </w:r>
      <w:r>
        <w:rPr>
          <w:spacing w:val="-6"/>
          <w:w w:val="105"/>
          <w:sz w:val="15"/>
        </w:rPr>
        <w:t xml:space="preserve"> </w:t>
      </w:r>
      <w:r>
        <w:rPr>
          <w:w w:val="105"/>
          <w:sz w:val="15"/>
        </w:rPr>
        <w:t>percepción</w:t>
      </w:r>
      <w:r>
        <w:rPr>
          <w:spacing w:val="-6"/>
          <w:w w:val="105"/>
          <w:sz w:val="15"/>
        </w:rPr>
        <w:t xml:space="preserve"> </w:t>
      </w:r>
      <w:r>
        <w:rPr>
          <w:w w:val="105"/>
          <w:sz w:val="15"/>
        </w:rPr>
        <w:t>y</w:t>
      </w:r>
      <w:r>
        <w:rPr>
          <w:spacing w:val="-6"/>
          <w:w w:val="105"/>
          <w:sz w:val="15"/>
        </w:rPr>
        <w:t xml:space="preserve"> </w:t>
      </w:r>
      <w:r>
        <w:rPr>
          <w:w w:val="105"/>
          <w:sz w:val="15"/>
        </w:rPr>
        <w:t>la</w:t>
      </w:r>
      <w:r>
        <w:rPr>
          <w:spacing w:val="-6"/>
          <w:w w:val="105"/>
          <w:sz w:val="15"/>
        </w:rPr>
        <w:t xml:space="preserve"> </w:t>
      </w:r>
      <w:r>
        <w:rPr>
          <w:w w:val="105"/>
          <w:sz w:val="15"/>
        </w:rPr>
        <w:t>discriminación</w:t>
      </w:r>
      <w:r>
        <w:rPr>
          <w:spacing w:val="-6"/>
          <w:w w:val="105"/>
          <w:sz w:val="15"/>
        </w:rPr>
        <w:t xml:space="preserve"> </w:t>
      </w:r>
      <w:r>
        <w:rPr>
          <w:w w:val="105"/>
          <w:sz w:val="15"/>
        </w:rPr>
        <w:t>por</w:t>
      </w:r>
      <w:r>
        <w:rPr>
          <w:spacing w:val="-6"/>
          <w:w w:val="105"/>
          <w:sz w:val="15"/>
        </w:rPr>
        <w:t xml:space="preserve"> </w:t>
      </w:r>
      <w:r>
        <w:rPr>
          <w:w w:val="105"/>
          <w:sz w:val="15"/>
        </w:rPr>
        <w:t>asociación,</w:t>
      </w:r>
      <w:r>
        <w:rPr>
          <w:spacing w:val="-5"/>
          <w:w w:val="105"/>
          <w:sz w:val="15"/>
        </w:rPr>
        <w:t xml:space="preserve"> </w:t>
      </w:r>
      <w:r>
        <w:rPr>
          <w:w w:val="105"/>
          <w:sz w:val="15"/>
        </w:rPr>
        <w:t>permitiéndoles</w:t>
      </w:r>
      <w:r>
        <w:rPr>
          <w:spacing w:val="-6"/>
          <w:w w:val="105"/>
          <w:sz w:val="15"/>
        </w:rPr>
        <w:t xml:space="preserve"> </w:t>
      </w:r>
      <w:r>
        <w:rPr>
          <w:w w:val="105"/>
          <w:sz w:val="15"/>
        </w:rPr>
        <w:t>profundizar</w:t>
      </w:r>
      <w:r>
        <w:rPr>
          <w:spacing w:val="-6"/>
          <w:w w:val="105"/>
          <w:sz w:val="15"/>
        </w:rPr>
        <w:t xml:space="preserve"> </w:t>
      </w:r>
      <w:r>
        <w:rPr>
          <w:w w:val="105"/>
          <w:sz w:val="15"/>
        </w:rPr>
        <w:t>en</w:t>
      </w:r>
      <w:r>
        <w:rPr>
          <w:spacing w:val="-6"/>
          <w:w w:val="105"/>
          <w:sz w:val="15"/>
        </w:rPr>
        <w:t xml:space="preserve"> </w:t>
      </w:r>
      <w:r>
        <w:rPr>
          <w:w w:val="105"/>
          <w:sz w:val="15"/>
        </w:rPr>
        <w:t>la</w:t>
      </w:r>
      <w:r>
        <w:rPr>
          <w:spacing w:val="-6"/>
          <w:w w:val="105"/>
          <w:sz w:val="15"/>
        </w:rPr>
        <w:t xml:space="preserve"> </w:t>
      </w:r>
      <w:r>
        <w:rPr>
          <w:w w:val="105"/>
          <w:sz w:val="15"/>
        </w:rPr>
        <w:t>naturaleza</w:t>
      </w:r>
      <w:r>
        <w:rPr>
          <w:spacing w:val="-6"/>
          <w:w w:val="105"/>
          <w:sz w:val="15"/>
        </w:rPr>
        <w:t xml:space="preserve"> </w:t>
      </w:r>
      <w:r>
        <w:rPr>
          <w:w w:val="105"/>
          <w:sz w:val="15"/>
        </w:rPr>
        <w:t>de</w:t>
      </w:r>
      <w:r>
        <w:rPr>
          <w:spacing w:val="-6"/>
          <w:w w:val="105"/>
          <w:sz w:val="15"/>
        </w:rPr>
        <w:t xml:space="preserve"> </w:t>
      </w:r>
      <w:r>
        <w:rPr>
          <w:w w:val="105"/>
          <w:sz w:val="15"/>
        </w:rPr>
        <w:t>la</w:t>
      </w:r>
      <w:r>
        <w:rPr>
          <w:spacing w:val="-6"/>
          <w:w w:val="105"/>
          <w:sz w:val="15"/>
        </w:rPr>
        <w:t xml:space="preserve"> </w:t>
      </w:r>
      <w:r>
        <w:rPr>
          <w:w w:val="105"/>
          <w:sz w:val="15"/>
        </w:rPr>
        <w:t>protección.</w:t>
      </w:r>
      <w:r>
        <w:rPr>
          <w:spacing w:val="-5"/>
          <w:w w:val="105"/>
          <w:sz w:val="15"/>
        </w:rPr>
        <w:t xml:space="preserve"> </w:t>
      </w:r>
      <w:r>
        <w:rPr>
          <w:w w:val="105"/>
          <w:sz w:val="15"/>
        </w:rPr>
        <w:t>La</w:t>
      </w:r>
      <w:r>
        <w:rPr>
          <w:spacing w:val="-6"/>
          <w:w w:val="105"/>
          <w:sz w:val="15"/>
        </w:rPr>
        <w:t xml:space="preserve"> </w:t>
      </w:r>
      <w:r>
        <w:rPr>
          <w:w w:val="105"/>
          <w:sz w:val="15"/>
        </w:rPr>
        <w:t>Corte Interamericana</w:t>
      </w:r>
      <w:r>
        <w:rPr>
          <w:spacing w:val="-2"/>
          <w:w w:val="105"/>
          <w:sz w:val="15"/>
        </w:rPr>
        <w:t xml:space="preserve"> </w:t>
      </w:r>
      <w:r>
        <w:rPr>
          <w:w w:val="105"/>
          <w:sz w:val="15"/>
        </w:rPr>
        <w:t>de</w:t>
      </w:r>
      <w:r>
        <w:rPr>
          <w:spacing w:val="-2"/>
          <w:w w:val="105"/>
          <w:sz w:val="15"/>
        </w:rPr>
        <w:t xml:space="preserve"> </w:t>
      </w:r>
      <w:r>
        <w:rPr>
          <w:w w:val="105"/>
          <w:sz w:val="15"/>
        </w:rPr>
        <w:t>Derechos</w:t>
      </w:r>
      <w:r>
        <w:rPr>
          <w:spacing w:val="-2"/>
          <w:w w:val="105"/>
          <w:sz w:val="15"/>
        </w:rPr>
        <w:t xml:space="preserve"> </w:t>
      </w:r>
      <w:r>
        <w:rPr>
          <w:w w:val="105"/>
          <w:sz w:val="15"/>
        </w:rPr>
        <w:t>Humanos</w:t>
      </w:r>
      <w:r>
        <w:rPr>
          <w:spacing w:val="-2"/>
          <w:w w:val="105"/>
          <w:sz w:val="15"/>
        </w:rPr>
        <w:t xml:space="preserve"> </w:t>
      </w:r>
      <w:r>
        <w:rPr>
          <w:w w:val="105"/>
          <w:sz w:val="15"/>
        </w:rPr>
        <w:t>ha</w:t>
      </w:r>
      <w:r>
        <w:rPr>
          <w:spacing w:val="-2"/>
          <w:w w:val="105"/>
          <w:sz w:val="15"/>
        </w:rPr>
        <w:t xml:space="preserve"> </w:t>
      </w:r>
      <w:r>
        <w:rPr>
          <w:w w:val="105"/>
          <w:sz w:val="15"/>
        </w:rPr>
        <w:t>sostenido</w:t>
      </w:r>
      <w:r>
        <w:rPr>
          <w:spacing w:val="-2"/>
          <w:w w:val="105"/>
          <w:sz w:val="15"/>
        </w:rPr>
        <w:t xml:space="preserve"> </w:t>
      </w:r>
      <w:r>
        <w:rPr>
          <w:w w:val="105"/>
          <w:sz w:val="15"/>
        </w:rPr>
        <w:t>que</w:t>
      </w:r>
      <w:r>
        <w:rPr>
          <w:spacing w:val="-2"/>
          <w:w w:val="105"/>
          <w:sz w:val="15"/>
        </w:rPr>
        <w:t xml:space="preserve"> </w:t>
      </w:r>
      <w:r>
        <w:rPr>
          <w:w w:val="105"/>
          <w:sz w:val="15"/>
        </w:rPr>
        <w:t>la</w:t>
      </w:r>
      <w:r>
        <w:rPr>
          <w:spacing w:val="-2"/>
          <w:w w:val="105"/>
          <w:sz w:val="15"/>
        </w:rPr>
        <w:t xml:space="preserve"> </w:t>
      </w:r>
      <w:r>
        <w:rPr>
          <w:w w:val="105"/>
          <w:sz w:val="15"/>
        </w:rPr>
        <w:t>Convención</w:t>
      </w:r>
      <w:r>
        <w:rPr>
          <w:spacing w:val="-2"/>
          <w:w w:val="105"/>
          <w:sz w:val="15"/>
        </w:rPr>
        <w:t xml:space="preserve"> </w:t>
      </w:r>
      <w:r>
        <w:rPr>
          <w:w w:val="105"/>
          <w:sz w:val="15"/>
        </w:rPr>
        <w:t>Americana</w:t>
      </w:r>
    </w:p>
    <w:p w14:paraId="5D24F8CB" w14:textId="77777777" w:rsidR="0014798C" w:rsidRDefault="0014798C">
      <w:pPr>
        <w:pStyle w:val="Textoindependiente"/>
        <w:rPr>
          <w:sz w:val="11"/>
        </w:rPr>
      </w:pPr>
    </w:p>
    <w:p w14:paraId="6E695EEE" w14:textId="77777777" w:rsidR="0014798C" w:rsidRDefault="0014798C">
      <w:pPr>
        <w:pStyle w:val="Textoindependiente"/>
        <w:rPr>
          <w:sz w:val="11"/>
        </w:rPr>
      </w:pPr>
    </w:p>
    <w:p w14:paraId="5B6BD2D6" w14:textId="77777777" w:rsidR="0014798C" w:rsidRDefault="0014798C">
      <w:pPr>
        <w:pStyle w:val="Textoindependiente"/>
        <w:rPr>
          <w:sz w:val="11"/>
        </w:rPr>
      </w:pPr>
    </w:p>
    <w:p w14:paraId="528437AE" w14:textId="77777777" w:rsidR="0014798C" w:rsidRDefault="0014798C">
      <w:pPr>
        <w:pStyle w:val="Textoindependiente"/>
        <w:spacing w:before="64"/>
        <w:rPr>
          <w:sz w:val="11"/>
        </w:rPr>
      </w:pPr>
    </w:p>
    <w:p w14:paraId="3558E32E" w14:textId="77777777" w:rsidR="0014798C" w:rsidRDefault="004E1F0B">
      <w:pPr>
        <w:pStyle w:val="Prrafodelista"/>
        <w:numPr>
          <w:ilvl w:val="0"/>
          <w:numId w:val="82"/>
        </w:numPr>
        <w:tabs>
          <w:tab w:val="left" w:pos="1336"/>
        </w:tabs>
        <w:ind w:left="1336" w:hanging="225"/>
        <w:rPr>
          <w:sz w:val="11"/>
        </w:rPr>
      </w:pPr>
      <w:r>
        <w:rPr>
          <w:w w:val="105"/>
          <w:sz w:val="11"/>
        </w:rPr>
        <w:t>Se</w:t>
      </w:r>
      <w:r>
        <w:rPr>
          <w:spacing w:val="-1"/>
          <w:w w:val="105"/>
          <w:sz w:val="11"/>
        </w:rPr>
        <w:t xml:space="preserve"> </w:t>
      </w:r>
      <w:r>
        <w:rPr>
          <w:w w:val="105"/>
          <w:sz w:val="11"/>
        </w:rPr>
        <w:t>entenderá</w:t>
      </w:r>
      <w:r>
        <w:rPr>
          <w:spacing w:val="-1"/>
          <w:w w:val="105"/>
          <w:sz w:val="11"/>
        </w:rPr>
        <w:t xml:space="preserve"> </w:t>
      </w:r>
      <w:r>
        <w:rPr>
          <w:w w:val="105"/>
          <w:sz w:val="11"/>
        </w:rPr>
        <w:t>que</w:t>
      </w:r>
      <w:r>
        <w:rPr>
          <w:spacing w:val="-1"/>
          <w:w w:val="105"/>
          <w:sz w:val="11"/>
        </w:rPr>
        <w:t xml:space="preserve"> </w:t>
      </w:r>
      <w:r>
        <w:rPr>
          <w:w w:val="105"/>
          <w:sz w:val="11"/>
        </w:rPr>
        <w:t>las referencias</w:t>
      </w:r>
      <w:r>
        <w:rPr>
          <w:spacing w:val="-1"/>
          <w:w w:val="105"/>
          <w:sz w:val="11"/>
        </w:rPr>
        <w:t xml:space="preserve"> </w:t>
      </w:r>
      <w:r>
        <w:rPr>
          <w:w w:val="105"/>
          <w:sz w:val="11"/>
        </w:rPr>
        <w:t>a</w:t>
      </w:r>
      <w:r>
        <w:rPr>
          <w:spacing w:val="-1"/>
          <w:w w:val="105"/>
          <w:sz w:val="11"/>
        </w:rPr>
        <w:t xml:space="preserve"> </w:t>
      </w:r>
      <w:r>
        <w:rPr>
          <w:w w:val="105"/>
          <w:sz w:val="11"/>
        </w:rPr>
        <w:t>Kosovo</w:t>
      </w:r>
      <w:r>
        <w:rPr>
          <w:spacing w:val="-1"/>
          <w:w w:val="105"/>
          <w:sz w:val="11"/>
        </w:rPr>
        <w:t xml:space="preserve"> </w:t>
      </w:r>
      <w:r>
        <w:rPr>
          <w:w w:val="105"/>
          <w:sz w:val="11"/>
        </w:rPr>
        <w:t>se hacen</w:t>
      </w:r>
      <w:r>
        <w:rPr>
          <w:spacing w:val="-1"/>
          <w:w w:val="105"/>
          <w:sz w:val="11"/>
        </w:rPr>
        <w:t xml:space="preserve"> </w:t>
      </w:r>
      <w:r>
        <w:rPr>
          <w:w w:val="105"/>
          <w:sz w:val="11"/>
        </w:rPr>
        <w:t>en</w:t>
      </w:r>
      <w:r>
        <w:rPr>
          <w:spacing w:val="-1"/>
          <w:w w:val="105"/>
          <w:sz w:val="11"/>
        </w:rPr>
        <w:t xml:space="preserve"> </w:t>
      </w:r>
      <w:r>
        <w:rPr>
          <w:w w:val="105"/>
          <w:sz w:val="11"/>
        </w:rPr>
        <w:t>el contexto</w:t>
      </w:r>
      <w:r>
        <w:rPr>
          <w:spacing w:val="-1"/>
          <w:w w:val="105"/>
          <w:sz w:val="11"/>
        </w:rPr>
        <w:t xml:space="preserve"> </w:t>
      </w:r>
      <w:r>
        <w:rPr>
          <w:w w:val="105"/>
          <w:sz w:val="11"/>
        </w:rPr>
        <w:t>de</w:t>
      </w:r>
      <w:r>
        <w:rPr>
          <w:spacing w:val="-1"/>
          <w:w w:val="105"/>
          <w:sz w:val="11"/>
        </w:rPr>
        <w:t xml:space="preserve"> </w:t>
      </w:r>
      <w:r>
        <w:rPr>
          <w:w w:val="105"/>
          <w:sz w:val="11"/>
        </w:rPr>
        <w:t>la</w:t>
      </w:r>
      <w:r>
        <w:rPr>
          <w:spacing w:val="-1"/>
          <w:w w:val="105"/>
          <w:sz w:val="11"/>
        </w:rPr>
        <w:t xml:space="preserve"> </w:t>
      </w:r>
      <w:r>
        <w:rPr>
          <w:w w:val="105"/>
          <w:sz w:val="11"/>
        </w:rPr>
        <w:t>resolución 1244</w:t>
      </w:r>
      <w:r>
        <w:rPr>
          <w:spacing w:val="-1"/>
          <w:w w:val="105"/>
          <w:sz w:val="11"/>
        </w:rPr>
        <w:t xml:space="preserve"> </w:t>
      </w:r>
      <w:r>
        <w:rPr>
          <w:w w:val="105"/>
          <w:sz w:val="11"/>
        </w:rPr>
        <w:t>(1999)</w:t>
      </w:r>
      <w:r>
        <w:rPr>
          <w:spacing w:val="-1"/>
          <w:w w:val="105"/>
          <w:sz w:val="11"/>
        </w:rPr>
        <w:t xml:space="preserve"> </w:t>
      </w:r>
      <w:r>
        <w:rPr>
          <w:w w:val="105"/>
          <w:sz w:val="11"/>
        </w:rPr>
        <w:t>del Consejo</w:t>
      </w:r>
      <w:r>
        <w:rPr>
          <w:spacing w:val="-1"/>
          <w:w w:val="105"/>
          <w:sz w:val="11"/>
        </w:rPr>
        <w:t xml:space="preserve"> </w:t>
      </w:r>
      <w:r>
        <w:rPr>
          <w:w w:val="105"/>
          <w:sz w:val="11"/>
        </w:rPr>
        <w:t>de</w:t>
      </w:r>
      <w:r>
        <w:rPr>
          <w:spacing w:val="-1"/>
          <w:w w:val="105"/>
          <w:sz w:val="11"/>
        </w:rPr>
        <w:t xml:space="preserve"> </w:t>
      </w:r>
      <w:r>
        <w:rPr>
          <w:spacing w:val="-2"/>
          <w:w w:val="105"/>
          <w:sz w:val="11"/>
        </w:rPr>
        <w:t>Seguridad.</w:t>
      </w:r>
    </w:p>
    <w:p w14:paraId="2E1034CD" w14:textId="77777777" w:rsidR="0014798C" w:rsidRDefault="004E1F0B">
      <w:pPr>
        <w:pStyle w:val="Prrafodelista"/>
        <w:numPr>
          <w:ilvl w:val="0"/>
          <w:numId w:val="82"/>
        </w:numPr>
        <w:tabs>
          <w:tab w:val="left" w:pos="1336"/>
        </w:tabs>
        <w:spacing w:before="110"/>
        <w:ind w:left="1336" w:hanging="225"/>
        <w:rPr>
          <w:sz w:val="11"/>
        </w:rPr>
      </w:pPr>
      <w:r>
        <w:rPr>
          <w:w w:val="105"/>
          <w:sz w:val="11"/>
        </w:rPr>
        <w:t>Comité</w:t>
      </w:r>
      <w:r>
        <w:rPr>
          <w:spacing w:val="-2"/>
          <w:w w:val="105"/>
          <w:sz w:val="11"/>
        </w:rPr>
        <w:t xml:space="preserve"> </w:t>
      </w:r>
      <w:r>
        <w:rPr>
          <w:w w:val="105"/>
          <w:sz w:val="11"/>
        </w:rPr>
        <w:t>de</w:t>
      </w:r>
      <w:r>
        <w:rPr>
          <w:spacing w:val="-1"/>
          <w:w w:val="105"/>
          <w:sz w:val="11"/>
        </w:rPr>
        <w:t xml:space="preserve"> </w:t>
      </w:r>
      <w:r>
        <w:rPr>
          <w:w w:val="105"/>
          <w:sz w:val="11"/>
        </w:rPr>
        <w:t>Derechos</w:t>
      </w:r>
      <w:r>
        <w:rPr>
          <w:spacing w:val="-2"/>
          <w:w w:val="105"/>
          <w:sz w:val="11"/>
        </w:rPr>
        <w:t xml:space="preserve"> </w:t>
      </w:r>
      <w:r>
        <w:rPr>
          <w:w w:val="105"/>
          <w:sz w:val="11"/>
        </w:rPr>
        <w:t>Económicos, Sociales</w:t>
      </w:r>
      <w:r>
        <w:rPr>
          <w:spacing w:val="-1"/>
          <w:w w:val="105"/>
          <w:sz w:val="11"/>
        </w:rPr>
        <w:t xml:space="preserve"> </w:t>
      </w:r>
      <w:r>
        <w:rPr>
          <w:w w:val="105"/>
          <w:sz w:val="11"/>
        </w:rPr>
        <w:t>y</w:t>
      </w:r>
      <w:r>
        <w:rPr>
          <w:spacing w:val="-2"/>
          <w:w w:val="105"/>
          <w:sz w:val="11"/>
        </w:rPr>
        <w:t xml:space="preserve"> </w:t>
      </w:r>
      <w:r>
        <w:rPr>
          <w:w w:val="105"/>
          <w:sz w:val="11"/>
        </w:rPr>
        <w:t>Culturales, observación</w:t>
      </w:r>
      <w:r>
        <w:rPr>
          <w:spacing w:val="-2"/>
          <w:w w:val="105"/>
          <w:sz w:val="11"/>
        </w:rPr>
        <w:t xml:space="preserve"> </w:t>
      </w:r>
      <w:r>
        <w:rPr>
          <w:w w:val="105"/>
          <w:sz w:val="11"/>
        </w:rPr>
        <w:t>general</w:t>
      </w:r>
      <w:r>
        <w:rPr>
          <w:spacing w:val="-1"/>
          <w:w w:val="105"/>
          <w:sz w:val="11"/>
        </w:rPr>
        <w:t xml:space="preserve"> </w:t>
      </w:r>
      <w:r>
        <w:rPr>
          <w:w w:val="105"/>
          <w:sz w:val="11"/>
        </w:rPr>
        <w:t>núm. 20</w:t>
      </w:r>
      <w:r>
        <w:rPr>
          <w:spacing w:val="-2"/>
          <w:w w:val="105"/>
          <w:sz w:val="11"/>
        </w:rPr>
        <w:t xml:space="preserve"> </w:t>
      </w:r>
      <w:r>
        <w:rPr>
          <w:w w:val="105"/>
          <w:sz w:val="11"/>
        </w:rPr>
        <w:t>(2009), párr.</w:t>
      </w:r>
      <w:r>
        <w:rPr>
          <w:spacing w:val="-1"/>
          <w:w w:val="105"/>
          <w:sz w:val="11"/>
        </w:rPr>
        <w:t xml:space="preserve"> </w:t>
      </w:r>
      <w:r>
        <w:rPr>
          <w:spacing w:val="-2"/>
          <w:w w:val="105"/>
          <w:sz w:val="11"/>
        </w:rPr>
        <w:t>dieciséis.</w:t>
      </w:r>
    </w:p>
    <w:p w14:paraId="3EC67530" w14:textId="77777777" w:rsidR="0014798C" w:rsidRDefault="004E1F0B">
      <w:pPr>
        <w:pStyle w:val="Prrafodelista"/>
        <w:numPr>
          <w:ilvl w:val="0"/>
          <w:numId w:val="82"/>
        </w:numPr>
        <w:tabs>
          <w:tab w:val="left" w:pos="1336"/>
        </w:tabs>
        <w:spacing w:before="110"/>
        <w:ind w:left="1336" w:hanging="225"/>
        <w:rPr>
          <w:sz w:val="11"/>
        </w:rPr>
      </w:pPr>
      <w:r>
        <w:rPr>
          <w:w w:val="105"/>
          <w:sz w:val="11"/>
        </w:rPr>
        <w:t>Comité</w:t>
      </w:r>
      <w:r>
        <w:rPr>
          <w:spacing w:val="-1"/>
          <w:w w:val="105"/>
          <w:sz w:val="11"/>
        </w:rPr>
        <w:t xml:space="preserve"> </w:t>
      </w:r>
      <w:r>
        <w:rPr>
          <w:w w:val="105"/>
          <w:sz w:val="11"/>
        </w:rPr>
        <w:t>sobre los</w:t>
      </w:r>
      <w:r>
        <w:rPr>
          <w:spacing w:val="-1"/>
          <w:w w:val="105"/>
          <w:sz w:val="11"/>
        </w:rPr>
        <w:t xml:space="preserve"> </w:t>
      </w:r>
      <w:r>
        <w:rPr>
          <w:w w:val="105"/>
          <w:sz w:val="11"/>
        </w:rPr>
        <w:t>Derechos de</w:t>
      </w:r>
      <w:r>
        <w:rPr>
          <w:spacing w:val="-1"/>
          <w:w w:val="105"/>
          <w:sz w:val="11"/>
        </w:rPr>
        <w:t xml:space="preserve"> </w:t>
      </w:r>
      <w:r>
        <w:rPr>
          <w:w w:val="105"/>
          <w:sz w:val="11"/>
        </w:rPr>
        <w:t>las Personas</w:t>
      </w:r>
      <w:r>
        <w:rPr>
          <w:spacing w:val="-1"/>
          <w:w w:val="105"/>
          <w:sz w:val="11"/>
        </w:rPr>
        <w:t xml:space="preserve"> </w:t>
      </w:r>
      <w:r>
        <w:rPr>
          <w:w w:val="105"/>
          <w:sz w:val="11"/>
        </w:rPr>
        <w:t>con Discapacidad, observación general</w:t>
      </w:r>
      <w:r>
        <w:rPr>
          <w:spacing w:val="-1"/>
          <w:w w:val="105"/>
          <w:sz w:val="11"/>
        </w:rPr>
        <w:t xml:space="preserve"> </w:t>
      </w:r>
      <w:r>
        <w:rPr>
          <w:w w:val="105"/>
          <w:sz w:val="11"/>
        </w:rPr>
        <w:t>núm.</w:t>
      </w:r>
      <w:r>
        <w:rPr>
          <w:spacing w:val="1"/>
          <w:w w:val="105"/>
          <w:sz w:val="11"/>
        </w:rPr>
        <w:t xml:space="preserve"> </w:t>
      </w:r>
      <w:r>
        <w:rPr>
          <w:w w:val="105"/>
          <w:sz w:val="11"/>
        </w:rPr>
        <w:t>6</w:t>
      </w:r>
      <w:r>
        <w:rPr>
          <w:spacing w:val="-1"/>
          <w:w w:val="105"/>
          <w:sz w:val="11"/>
        </w:rPr>
        <w:t xml:space="preserve"> </w:t>
      </w:r>
      <w:r>
        <w:rPr>
          <w:w w:val="105"/>
          <w:sz w:val="11"/>
        </w:rPr>
        <w:t>(2018),</w:t>
      </w:r>
      <w:r>
        <w:rPr>
          <w:spacing w:val="1"/>
          <w:w w:val="105"/>
          <w:sz w:val="11"/>
        </w:rPr>
        <w:t xml:space="preserve"> </w:t>
      </w:r>
      <w:r>
        <w:rPr>
          <w:w w:val="105"/>
          <w:sz w:val="11"/>
        </w:rPr>
        <w:t>párr. 20. A</w:t>
      </w:r>
      <w:r>
        <w:rPr>
          <w:spacing w:val="-1"/>
          <w:w w:val="105"/>
          <w:sz w:val="11"/>
        </w:rPr>
        <w:t xml:space="preserve"> </w:t>
      </w:r>
      <w:r>
        <w:rPr>
          <w:w w:val="105"/>
          <w:sz w:val="11"/>
        </w:rPr>
        <w:t>través de</w:t>
      </w:r>
      <w:r>
        <w:rPr>
          <w:spacing w:val="-1"/>
          <w:w w:val="105"/>
          <w:sz w:val="11"/>
        </w:rPr>
        <w:t xml:space="preserve"> </w:t>
      </w:r>
      <w:r>
        <w:rPr>
          <w:w w:val="105"/>
          <w:sz w:val="11"/>
        </w:rPr>
        <w:t>sus comentarios</w:t>
      </w:r>
      <w:r>
        <w:rPr>
          <w:spacing w:val="-1"/>
          <w:w w:val="105"/>
          <w:sz w:val="11"/>
        </w:rPr>
        <w:t xml:space="preserve"> </w:t>
      </w:r>
      <w:r>
        <w:rPr>
          <w:w w:val="105"/>
          <w:sz w:val="11"/>
        </w:rPr>
        <w:t>generales,</w:t>
      </w:r>
      <w:r>
        <w:rPr>
          <w:spacing w:val="1"/>
          <w:w w:val="105"/>
          <w:sz w:val="11"/>
        </w:rPr>
        <w:t xml:space="preserve"> </w:t>
      </w:r>
      <w:r>
        <w:rPr>
          <w:spacing w:val="-5"/>
          <w:w w:val="105"/>
          <w:sz w:val="11"/>
        </w:rPr>
        <w:t>el</w:t>
      </w:r>
    </w:p>
    <w:p w14:paraId="5E8A8EAC" w14:textId="77777777" w:rsidR="0014798C" w:rsidRDefault="004E1F0B">
      <w:pPr>
        <w:spacing w:before="32" w:line="288" w:lineRule="auto"/>
        <w:ind w:left="1368" w:right="1626" w:firstLine="3"/>
        <w:rPr>
          <w:sz w:val="13"/>
        </w:rPr>
      </w:pPr>
      <w:r>
        <w:rPr>
          <w:sz w:val="13"/>
        </w:rPr>
        <w:t>El</w:t>
      </w:r>
      <w:r>
        <w:rPr>
          <w:spacing w:val="-3"/>
          <w:sz w:val="13"/>
        </w:rPr>
        <w:t xml:space="preserve"> </w:t>
      </w:r>
      <w:r>
        <w:rPr>
          <w:sz w:val="13"/>
        </w:rPr>
        <w:t>Comité</w:t>
      </w:r>
      <w:r>
        <w:rPr>
          <w:spacing w:val="-3"/>
          <w:sz w:val="13"/>
        </w:rPr>
        <w:t xml:space="preserve"> </w:t>
      </w:r>
      <w:r>
        <w:rPr>
          <w:sz w:val="13"/>
        </w:rPr>
        <w:t>ha</w:t>
      </w:r>
      <w:r>
        <w:rPr>
          <w:spacing w:val="-3"/>
          <w:sz w:val="13"/>
        </w:rPr>
        <w:t xml:space="preserve"> </w:t>
      </w:r>
      <w:r>
        <w:rPr>
          <w:sz w:val="13"/>
        </w:rPr>
        <w:t>abordado</w:t>
      </w:r>
      <w:r>
        <w:rPr>
          <w:spacing w:val="-3"/>
          <w:sz w:val="13"/>
        </w:rPr>
        <w:t xml:space="preserve"> </w:t>
      </w:r>
      <w:r>
        <w:rPr>
          <w:sz w:val="13"/>
        </w:rPr>
        <w:t>el</w:t>
      </w:r>
      <w:r>
        <w:rPr>
          <w:spacing w:val="-3"/>
          <w:sz w:val="13"/>
        </w:rPr>
        <w:t xml:space="preserve"> </w:t>
      </w:r>
      <w:r>
        <w:rPr>
          <w:sz w:val="13"/>
        </w:rPr>
        <w:t>tratamiento</w:t>
      </w:r>
      <w:r>
        <w:rPr>
          <w:spacing w:val="-3"/>
          <w:sz w:val="13"/>
        </w:rPr>
        <w:t xml:space="preserve"> </w:t>
      </w:r>
      <w:r>
        <w:rPr>
          <w:sz w:val="13"/>
        </w:rPr>
        <w:t>de</w:t>
      </w:r>
      <w:r>
        <w:rPr>
          <w:spacing w:val="-3"/>
          <w:sz w:val="13"/>
        </w:rPr>
        <w:t xml:space="preserve"> </w:t>
      </w:r>
      <w:r>
        <w:rPr>
          <w:sz w:val="13"/>
        </w:rPr>
        <w:t>las</w:t>
      </w:r>
      <w:r>
        <w:rPr>
          <w:spacing w:val="-3"/>
          <w:sz w:val="13"/>
        </w:rPr>
        <w:t xml:space="preserve"> </w:t>
      </w:r>
      <w:r>
        <w:rPr>
          <w:sz w:val="13"/>
        </w:rPr>
        <w:t>personas</w:t>
      </w:r>
      <w:r>
        <w:rPr>
          <w:spacing w:val="-3"/>
          <w:sz w:val="13"/>
        </w:rPr>
        <w:t xml:space="preserve"> </w:t>
      </w:r>
      <w:r>
        <w:rPr>
          <w:sz w:val="13"/>
        </w:rPr>
        <w:t>con</w:t>
      </w:r>
      <w:r>
        <w:rPr>
          <w:spacing w:val="-3"/>
          <w:sz w:val="13"/>
        </w:rPr>
        <w:t xml:space="preserve"> </w:t>
      </w:r>
      <w:r>
        <w:rPr>
          <w:sz w:val="13"/>
        </w:rPr>
        <w:t>discapacidad</w:t>
      </w:r>
      <w:r>
        <w:rPr>
          <w:spacing w:val="-3"/>
          <w:sz w:val="13"/>
        </w:rPr>
        <w:t xml:space="preserve"> </w:t>
      </w:r>
      <w:r>
        <w:rPr>
          <w:sz w:val="13"/>
        </w:rPr>
        <w:t>basándose</w:t>
      </w:r>
      <w:r>
        <w:rPr>
          <w:spacing w:val="-3"/>
          <w:sz w:val="13"/>
        </w:rPr>
        <w:t xml:space="preserve"> </w:t>
      </w:r>
      <w:r>
        <w:rPr>
          <w:sz w:val="13"/>
        </w:rPr>
        <w:t>en</w:t>
      </w:r>
      <w:r>
        <w:rPr>
          <w:spacing w:val="-3"/>
          <w:sz w:val="13"/>
        </w:rPr>
        <w:t xml:space="preserve"> </w:t>
      </w:r>
      <w:r>
        <w:rPr>
          <w:sz w:val="13"/>
        </w:rPr>
        <w:t>su</w:t>
      </w:r>
      <w:r>
        <w:rPr>
          <w:spacing w:val="-3"/>
          <w:sz w:val="13"/>
        </w:rPr>
        <w:t xml:space="preserve"> </w:t>
      </w:r>
      <w:r>
        <w:rPr>
          <w:sz w:val="13"/>
        </w:rPr>
        <w:t>“deficiencia</w:t>
      </w:r>
      <w:r>
        <w:rPr>
          <w:spacing w:val="-3"/>
          <w:sz w:val="13"/>
        </w:rPr>
        <w:t xml:space="preserve"> </w:t>
      </w:r>
      <w:r>
        <w:rPr>
          <w:sz w:val="13"/>
        </w:rPr>
        <w:t>real</w:t>
      </w:r>
      <w:r>
        <w:rPr>
          <w:spacing w:val="-3"/>
          <w:sz w:val="13"/>
        </w:rPr>
        <w:t xml:space="preserve"> </w:t>
      </w:r>
      <w:r>
        <w:rPr>
          <w:sz w:val="13"/>
        </w:rPr>
        <w:t>o</w:t>
      </w:r>
      <w:r>
        <w:rPr>
          <w:spacing w:val="-3"/>
          <w:sz w:val="13"/>
        </w:rPr>
        <w:t xml:space="preserve"> </w:t>
      </w:r>
      <w:r>
        <w:rPr>
          <w:sz w:val="13"/>
        </w:rPr>
        <w:t>percibida”</w:t>
      </w:r>
      <w:r>
        <w:rPr>
          <w:spacing w:val="-3"/>
          <w:sz w:val="13"/>
        </w:rPr>
        <w:t xml:space="preserve"> </w:t>
      </w:r>
      <w:r>
        <w:rPr>
          <w:sz w:val="13"/>
        </w:rPr>
        <w:t>en</w:t>
      </w:r>
      <w:r>
        <w:rPr>
          <w:spacing w:val="-3"/>
          <w:sz w:val="13"/>
        </w:rPr>
        <w:t xml:space="preserve"> </w:t>
      </w:r>
      <w:r>
        <w:rPr>
          <w:sz w:val="13"/>
        </w:rPr>
        <w:t>muchas</w:t>
      </w:r>
      <w:r>
        <w:rPr>
          <w:spacing w:val="-3"/>
          <w:sz w:val="13"/>
        </w:rPr>
        <w:t xml:space="preserve"> </w:t>
      </w:r>
      <w:r>
        <w:rPr>
          <w:sz w:val="13"/>
        </w:rPr>
        <w:t>áreas</w:t>
      </w:r>
      <w:r>
        <w:rPr>
          <w:spacing w:val="-3"/>
          <w:sz w:val="13"/>
        </w:rPr>
        <w:t xml:space="preserve"> </w:t>
      </w:r>
      <w:r>
        <w:rPr>
          <w:sz w:val="13"/>
        </w:rPr>
        <w:t>de</w:t>
      </w:r>
      <w:r>
        <w:rPr>
          <w:spacing w:val="-3"/>
          <w:sz w:val="13"/>
        </w:rPr>
        <w:t xml:space="preserve"> </w:t>
      </w:r>
      <w:r>
        <w:rPr>
          <w:sz w:val="13"/>
        </w:rPr>
        <w:t>la</w:t>
      </w:r>
      <w:r>
        <w:rPr>
          <w:spacing w:val="-3"/>
          <w:sz w:val="13"/>
        </w:rPr>
        <w:t xml:space="preserve"> </w:t>
      </w:r>
      <w:r>
        <w:rPr>
          <w:sz w:val="13"/>
        </w:rPr>
        <w:t>vida,</w:t>
      </w:r>
      <w:r>
        <w:rPr>
          <w:spacing w:val="40"/>
          <w:sz w:val="13"/>
        </w:rPr>
        <w:t xml:space="preserve"> </w:t>
      </w:r>
      <w:r>
        <w:rPr>
          <w:sz w:val="13"/>
        </w:rPr>
        <w:t>incluso</w:t>
      </w:r>
      <w:r>
        <w:rPr>
          <w:spacing w:val="-1"/>
          <w:sz w:val="13"/>
        </w:rPr>
        <w:t xml:space="preserve"> </w:t>
      </w:r>
      <w:r>
        <w:rPr>
          <w:sz w:val="13"/>
        </w:rPr>
        <w:t>con</w:t>
      </w:r>
      <w:r>
        <w:rPr>
          <w:spacing w:val="-1"/>
          <w:sz w:val="13"/>
        </w:rPr>
        <w:t xml:space="preserve"> </w:t>
      </w:r>
      <w:r>
        <w:rPr>
          <w:sz w:val="13"/>
        </w:rPr>
        <w:t>respecto</w:t>
      </w:r>
      <w:r>
        <w:rPr>
          <w:spacing w:val="-1"/>
          <w:sz w:val="13"/>
        </w:rPr>
        <w:t xml:space="preserve"> </w:t>
      </w:r>
      <w:r>
        <w:rPr>
          <w:sz w:val="13"/>
        </w:rPr>
        <w:t>a</w:t>
      </w:r>
      <w:r>
        <w:rPr>
          <w:spacing w:val="-1"/>
          <w:sz w:val="13"/>
        </w:rPr>
        <w:t xml:space="preserve"> </w:t>
      </w:r>
      <w:r>
        <w:rPr>
          <w:sz w:val="13"/>
        </w:rPr>
        <w:t>la</w:t>
      </w:r>
      <w:r>
        <w:rPr>
          <w:spacing w:val="-1"/>
          <w:sz w:val="13"/>
        </w:rPr>
        <w:t xml:space="preserve"> </w:t>
      </w:r>
      <w:r>
        <w:rPr>
          <w:sz w:val="13"/>
        </w:rPr>
        <w:t>igualdad</w:t>
      </w:r>
      <w:r>
        <w:rPr>
          <w:spacing w:val="-1"/>
          <w:sz w:val="13"/>
        </w:rPr>
        <w:t xml:space="preserve"> </w:t>
      </w:r>
      <w:r>
        <w:rPr>
          <w:sz w:val="13"/>
        </w:rPr>
        <w:t>de</w:t>
      </w:r>
      <w:r>
        <w:rPr>
          <w:spacing w:val="-1"/>
          <w:sz w:val="13"/>
        </w:rPr>
        <w:t xml:space="preserve"> </w:t>
      </w:r>
      <w:r>
        <w:rPr>
          <w:sz w:val="13"/>
        </w:rPr>
        <w:t>capacidad</w:t>
      </w:r>
      <w:r>
        <w:rPr>
          <w:spacing w:val="-1"/>
          <w:sz w:val="13"/>
        </w:rPr>
        <w:t xml:space="preserve"> </w:t>
      </w:r>
      <w:r>
        <w:rPr>
          <w:sz w:val="13"/>
        </w:rPr>
        <w:t>jurídica, la</w:t>
      </w:r>
      <w:r>
        <w:rPr>
          <w:spacing w:val="-1"/>
          <w:sz w:val="13"/>
        </w:rPr>
        <w:t xml:space="preserve"> </w:t>
      </w:r>
      <w:r>
        <w:rPr>
          <w:sz w:val="13"/>
        </w:rPr>
        <w:t>privación</w:t>
      </w:r>
      <w:r>
        <w:rPr>
          <w:spacing w:val="-1"/>
          <w:sz w:val="13"/>
        </w:rPr>
        <w:t xml:space="preserve"> </w:t>
      </w:r>
      <w:r>
        <w:rPr>
          <w:sz w:val="13"/>
        </w:rPr>
        <w:t>de</w:t>
      </w:r>
      <w:r>
        <w:rPr>
          <w:spacing w:val="-1"/>
          <w:sz w:val="13"/>
        </w:rPr>
        <w:t xml:space="preserve"> </w:t>
      </w:r>
      <w:r>
        <w:rPr>
          <w:sz w:val="13"/>
        </w:rPr>
        <w:t>libertad</w:t>
      </w:r>
      <w:r>
        <w:rPr>
          <w:spacing w:val="-1"/>
          <w:sz w:val="13"/>
        </w:rPr>
        <w:t xml:space="preserve"> </w:t>
      </w:r>
      <w:r>
        <w:rPr>
          <w:sz w:val="13"/>
        </w:rPr>
        <w:t>y</w:t>
      </w:r>
      <w:r>
        <w:rPr>
          <w:spacing w:val="-1"/>
          <w:sz w:val="13"/>
        </w:rPr>
        <w:t xml:space="preserve"> </w:t>
      </w:r>
      <w:r>
        <w:rPr>
          <w:sz w:val="13"/>
        </w:rPr>
        <w:t>la</w:t>
      </w:r>
      <w:r>
        <w:rPr>
          <w:spacing w:val="-1"/>
          <w:sz w:val="13"/>
        </w:rPr>
        <w:t xml:space="preserve"> </w:t>
      </w:r>
      <w:r>
        <w:rPr>
          <w:sz w:val="13"/>
        </w:rPr>
        <w:t>educación</w:t>
      </w:r>
      <w:r>
        <w:rPr>
          <w:spacing w:val="-1"/>
          <w:sz w:val="13"/>
        </w:rPr>
        <w:t xml:space="preserve"> </w:t>
      </w:r>
      <w:r>
        <w:rPr>
          <w:sz w:val="13"/>
        </w:rPr>
        <w:t>inclusiva. Véase</w:t>
      </w:r>
      <w:r>
        <w:rPr>
          <w:spacing w:val="-1"/>
          <w:sz w:val="13"/>
        </w:rPr>
        <w:t xml:space="preserve"> </w:t>
      </w:r>
      <w:r>
        <w:rPr>
          <w:sz w:val="13"/>
        </w:rPr>
        <w:t>Comité</w:t>
      </w:r>
      <w:r>
        <w:rPr>
          <w:spacing w:val="-1"/>
          <w:sz w:val="13"/>
        </w:rPr>
        <w:t xml:space="preserve"> </w:t>
      </w:r>
      <w:r>
        <w:rPr>
          <w:sz w:val="13"/>
        </w:rPr>
        <w:t>sobre</w:t>
      </w:r>
      <w:r>
        <w:rPr>
          <w:spacing w:val="-1"/>
          <w:sz w:val="13"/>
        </w:rPr>
        <w:t xml:space="preserve"> </w:t>
      </w:r>
      <w:r>
        <w:rPr>
          <w:sz w:val="13"/>
        </w:rPr>
        <w:t>los</w:t>
      </w:r>
      <w:r>
        <w:rPr>
          <w:spacing w:val="-1"/>
          <w:sz w:val="13"/>
        </w:rPr>
        <w:t xml:space="preserve"> </w:t>
      </w:r>
      <w:r>
        <w:rPr>
          <w:sz w:val="13"/>
        </w:rPr>
        <w:t>Derechos</w:t>
      </w:r>
      <w:r>
        <w:rPr>
          <w:spacing w:val="-1"/>
          <w:sz w:val="13"/>
        </w:rPr>
        <w:t xml:space="preserve"> </w:t>
      </w:r>
      <w:r>
        <w:rPr>
          <w:sz w:val="13"/>
        </w:rPr>
        <w:t>de</w:t>
      </w:r>
      <w:r>
        <w:rPr>
          <w:spacing w:val="-1"/>
          <w:sz w:val="13"/>
        </w:rPr>
        <w:t xml:space="preserve"> </w:t>
      </w:r>
      <w:r>
        <w:rPr>
          <w:sz w:val="13"/>
        </w:rPr>
        <w:t>las</w:t>
      </w:r>
    </w:p>
    <w:p w14:paraId="04904D55" w14:textId="77777777" w:rsidR="0014798C" w:rsidRDefault="004E1F0B">
      <w:pPr>
        <w:spacing w:before="1"/>
        <w:ind w:left="1367"/>
        <w:rPr>
          <w:sz w:val="13"/>
        </w:rPr>
      </w:pPr>
      <w:r>
        <w:rPr>
          <w:spacing w:val="-2"/>
          <w:sz w:val="13"/>
        </w:rPr>
        <w:t>Personas</w:t>
      </w:r>
      <w:r>
        <w:rPr>
          <w:spacing w:val="-3"/>
          <w:sz w:val="13"/>
        </w:rPr>
        <w:t xml:space="preserve"> </w:t>
      </w:r>
      <w:r>
        <w:rPr>
          <w:spacing w:val="-2"/>
          <w:sz w:val="13"/>
        </w:rPr>
        <w:t>con Discapacidad,</w:t>
      </w:r>
      <w:r>
        <w:rPr>
          <w:spacing w:val="-1"/>
          <w:sz w:val="13"/>
        </w:rPr>
        <w:t xml:space="preserve"> </w:t>
      </w:r>
      <w:r>
        <w:rPr>
          <w:spacing w:val="-2"/>
          <w:sz w:val="13"/>
        </w:rPr>
        <w:t>observación general núm.</w:t>
      </w:r>
      <w:r>
        <w:rPr>
          <w:spacing w:val="-1"/>
          <w:sz w:val="13"/>
        </w:rPr>
        <w:t xml:space="preserve"> </w:t>
      </w:r>
      <w:r>
        <w:rPr>
          <w:spacing w:val="-2"/>
          <w:sz w:val="13"/>
        </w:rPr>
        <w:t>1 (2014),</w:t>
      </w:r>
      <w:r>
        <w:rPr>
          <w:spacing w:val="-1"/>
          <w:sz w:val="13"/>
        </w:rPr>
        <w:t xml:space="preserve"> </w:t>
      </w:r>
      <w:r>
        <w:rPr>
          <w:spacing w:val="-2"/>
          <w:sz w:val="13"/>
        </w:rPr>
        <w:t>párr.</w:t>
      </w:r>
      <w:r>
        <w:rPr>
          <w:spacing w:val="-1"/>
          <w:sz w:val="13"/>
        </w:rPr>
        <w:t xml:space="preserve"> </w:t>
      </w:r>
      <w:r>
        <w:rPr>
          <w:spacing w:val="-2"/>
          <w:sz w:val="13"/>
        </w:rPr>
        <w:t>13; Observación general núm.</w:t>
      </w:r>
      <w:r>
        <w:rPr>
          <w:spacing w:val="-1"/>
          <w:sz w:val="13"/>
        </w:rPr>
        <w:t xml:space="preserve"> </w:t>
      </w:r>
      <w:r>
        <w:rPr>
          <w:spacing w:val="-2"/>
          <w:sz w:val="13"/>
        </w:rPr>
        <w:t>3 (2016),</w:t>
      </w:r>
      <w:r>
        <w:rPr>
          <w:spacing w:val="-1"/>
          <w:sz w:val="13"/>
        </w:rPr>
        <w:t xml:space="preserve"> </w:t>
      </w:r>
      <w:r>
        <w:rPr>
          <w:spacing w:val="-2"/>
          <w:sz w:val="13"/>
        </w:rPr>
        <w:t>párr.</w:t>
      </w:r>
      <w:r>
        <w:rPr>
          <w:spacing w:val="-1"/>
          <w:sz w:val="13"/>
        </w:rPr>
        <w:t xml:space="preserve"> </w:t>
      </w:r>
      <w:r>
        <w:rPr>
          <w:spacing w:val="-2"/>
          <w:sz w:val="13"/>
        </w:rPr>
        <w:t>52; y observación general núm. 4 (2016),</w:t>
      </w:r>
      <w:r>
        <w:rPr>
          <w:spacing w:val="-1"/>
          <w:sz w:val="13"/>
        </w:rPr>
        <w:t xml:space="preserve"> </w:t>
      </w:r>
      <w:r>
        <w:rPr>
          <w:spacing w:val="-2"/>
          <w:sz w:val="13"/>
        </w:rPr>
        <w:t>párr.</w:t>
      </w:r>
      <w:r>
        <w:rPr>
          <w:spacing w:val="-1"/>
          <w:sz w:val="13"/>
        </w:rPr>
        <w:t xml:space="preserve"> </w:t>
      </w:r>
      <w:r>
        <w:rPr>
          <w:spacing w:val="-5"/>
          <w:sz w:val="13"/>
        </w:rPr>
        <w:t>6.</w:t>
      </w:r>
    </w:p>
    <w:p w14:paraId="2EF3581F" w14:textId="77777777" w:rsidR="0014798C" w:rsidRDefault="0014798C">
      <w:pPr>
        <w:rPr>
          <w:sz w:val="13"/>
        </w:rPr>
        <w:sectPr w:rsidR="0014798C" w:rsidSect="00F265E4">
          <w:pgSz w:w="11900" w:h="16820"/>
          <w:pgMar w:top="340" w:right="0" w:bottom="280" w:left="200" w:header="121" w:footer="0" w:gutter="0"/>
          <w:cols w:space="720"/>
        </w:sectPr>
      </w:pPr>
    </w:p>
    <w:p w14:paraId="4888777A" w14:textId="77777777" w:rsidR="0014798C" w:rsidRDefault="004E1F0B">
      <w:pPr>
        <w:spacing w:before="53"/>
        <w:jc w:val="right"/>
        <w:rPr>
          <w:sz w:val="8"/>
        </w:rPr>
      </w:pPr>
      <w:r>
        <w:rPr>
          <w:spacing w:val="-5"/>
          <w:w w:val="105"/>
          <w:sz w:val="8"/>
        </w:rPr>
        <w:t>176</w:t>
      </w:r>
    </w:p>
    <w:p w14:paraId="365C5179" w14:textId="77777777" w:rsidR="0014798C" w:rsidRPr="00537489" w:rsidRDefault="004E1F0B">
      <w:pPr>
        <w:spacing w:before="87"/>
        <w:ind w:left="77"/>
        <w:rPr>
          <w:sz w:val="13"/>
          <w:lang w:val="en-US"/>
        </w:rPr>
      </w:pPr>
      <w:r>
        <w:br w:type="column"/>
      </w:r>
      <w:r>
        <w:rPr>
          <w:spacing w:val="-2"/>
          <w:sz w:val="13"/>
        </w:rPr>
        <w:t>Véase,</w:t>
      </w:r>
      <w:r>
        <w:rPr>
          <w:spacing w:val="1"/>
          <w:sz w:val="13"/>
        </w:rPr>
        <w:t xml:space="preserve"> </w:t>
      </w:r>
      <w:r>
        <w:rPr>
          <w:spacing w:val="-2"/>
          <w:sz w:val="13"/>
        </w:rPr>
        <w:t>por</w:t>
      </w:r>
      <w:r>
        <w:rPr>
          <w:spacing w:val="1"/>
          <w:sz w:val="13"/>
        </w:rPr>
        <w:t xml:space="preserve"> </w:t>
      </w:r>
      <w:r>
        <w:rPr>
          <w:spacing w:val="-2"/>
          <w:sz w:val="13"/>
        </w:rPr>
        <w:t>ejemplo,</w:t>
      </w:r>
      <w:r>
        <w:rPr>
          <w:spacing w:val="2"/>
          <w:sz w:val="13"/>
        </w:rPr>
        <w:t xml:space="preserve"> </w:t>
      </w:r>
      <w:r>
        <w:rPr>
          <w:spacing w:val="-2"/>
          <w:sz w:val="13"/>
        </w:rPr>
        <w:t>respecto</w:t>
      </w:r>
      <w:r>
        <w:rPr>
          <w:spacing w:val="1"/>
          <w:sz w:val="13"/>
        </w:rPr>
        <w:t xml:space="preserve"> </w:t>
      </w:r>
      <w:r>
        <w:rPr>
          <w:spacing w:val="-2"/>
          <w:sz w:val="13"/>
        </w:rPr>
        <w:t>de</w:t>
      </w:r>
      <w:r>
        <w:rPr>
          <w:sz w:val="13"/>
        </w:rPr>
        <w:t xml:space="preserve"> </w:t>
      </w:r>
      <w:r>
        <w:rPr>
          <w:spacing w:val="-2"/>
          <w:sz w:val="13"/>
        </w:rPr>
        <w:t>la</w:t>
      </w:r>
      <w:r>
        <w:rPr>
          <w:spacing w:val="1"/>
          <w:sz w:val="13"/>
        </w:rPr>
        <w:t xml:space="preserve"> </w:t>
      </w:r>
      <w:r>
        <w:rPr>
          <w:spacing w:val="-2"/>
          <w:sz w:val="13"/>
        </w:rPr>
        <w:t>orientación</w:t>
      </w:r>
      <w:r>
        <w:rPr>
          <w:spacing w:val="1"/>
          <w:sz w:val="13"/>
        </w:rPr>
        <w:t xml:space="preserve"> </w:t>
      </w:r>
      <w:r>
        <w:rPr>
          <w:spacing w:val="-2"/>
          <w:sz w:val="13"/>
        </w:rPr>
        <w:t>sexual:</w:t>
      </w:r>
      <w:r>
        <w:rPr>
          <w:spacing w:val="2"/>
          <w:sz w:val="13"/>
        </w:rPr>
        <w:t xml:space="preserve"> </w:t>
      </w:r>
      <w:r>
        <w:rPr>
          <w:spacing w:val="-2"/>
          <w:sz w:val="13"/>
        </w:rPr>
        <w:t>CCPR/C/ZAF/CO/1,</w:t>
      </w:r>
      <w:r>
        <w:rPr>
          <w:sz w:val="13"/>
        </w:rPr>
        <w:t xml:space="preserve"> </w:t>
      </w:r>
      <w:proofErr w:type="spellStart"/>
      <w:r>
        <w:rPr>
          <w:spacing w:val="-2"/>
          <w:sz w:val="13"/>
        </w:rPr>
        <w:t>párrs</w:t>
      </w:r>
      <w:proofErr w:type="spellEnd"/>
      <w:r>
        <w:rPr>
          <w:spacing w:val="-2"/>
          <w:sz w:val="13"/>
        </w:rPr>
        <w:t>.</w:t>
      </w:r>
      <w:r>
        <w:rPr>
          <w:spacing w:val="2"/>
          <w:sz w:val="13"/>
        </w:rPr>
        <w:t xml:space="preserve"> </w:t>
      </w:r>
      <w:r w:rsidRPr="00537489">
        <w:rPr>
          <w:spacing w:val="-2"/>
          <w:sz w:val="13"/>
          <w:lang w:val="en-US"/>
        </w:rPr>
        <w:t>20–21</w:t>
      </w:r>
      <w:r>
        <w:rPr>
          <w:spacing w:val="-2"/>
          <w:sz w:val="13"/>
        </w:rPr>
        <w:t>;</w:t>
      </w:r>
      <w:r w:rsidRPr="00537489">
        <w:rPr>
          <w:spacing w:val="1"/>
          <w:sz w:val="13"/>
          <w:lang w:val="en-US"/>
        </w:rPr>
        <w:t xml:space="preserve"> </w:t>
      </w:r>
      <w:r w:rsidRPr="00537489">
        <w:rPr>
          <w:spacing w:val="-2"/>
          <w:sz w:val="13"/>
          <w:lang w:val="en-US"/>
        </w:rPr>
        <w:t>CCPR/C/SEN/CO/5,</w:t>
      </w:r>
      <w:r w:rsidRPr="00537489">
        <w:rPr>
          <w:spacing w:val="1"/>
          <w:sz w:val="13"/>
          <w:lang w:val="en-US"/>
        </w:rPr>
        <w:t xml:space="preserve"> </w:t>
      </w:r>
      <w:proofErr w:type="spellStart"/>
      <w:r w:rsidRPr="00537489">
        <w:rPr>
          <w:spacing w:val="-2"/>
          <w:sz w:val="13"/>
          <w:lang w:val="en-US"/>
        </w:rPr>
        <w:t>párr</w:t>
      </w:r>
      <w:proofErr w:type="spellEnd"/>
      <w:r w:rsidRPr="00537489">
        <w:rPr>
          <w:spacing w:val="-2"/>
          <w:sz w:val="13"/>
          <w:lang w:val="en-US"/>
        </w:rPr>
        <w:t>.</w:t>
      </w:r>
      <w:r w:rsidRPr="00537489">
        <w:rPr>
          <w:spacing w:val="1"/>
          <w:sz w:val="13"/>
          <w:lang w:val="en-US"/>
        </w:rPr>
        <w:t xml:space="preserve"> </w:t>
      </w:r>
      <w:r w:rsidRPr="00537489">
        <w:rPr>
          <w:spacing w:val="-2"/>
          <w:sz w:val="13"/>
          <w:lang w:val="en-US"/>
        </w:rPr>
        <w:t>15</w:t>
      </w:r>
      <w:proofErr w:type="gramStart"/>
      <w:r w:rsidRPr="00537489">
        <w:rPr>
          <w:spacing w:val="-2"/>
          <w:sz w:val="13"/>
          <w:lang w:val="en-US"/>
        </w:rPr>
        <w:t>c)</w:t>
      </w:r>
      <w:r>
        <w:rPr>
          <w:spacing w:val="-2"/>
          <w:sz w:val="13"/>
        </w:rPr>
        <w:t>;</w:t>
      </w:r>
      <w:proofErr w:type="gramEnd"/>
    </w:p>
    <w:p w14:paraId="0EAE53BF" w14:textId="77777777" w:rsidR="0014798C" w:rsidRDefault="004E1F0B">
      <w:pPr>
        <w:spacing w:before="30" w:line="288" w:lineRule="auto"/>
        <w:ind w:left="79" w:right="1602"/>
        <w:rPr>
          <w:sz w:val="13"/>
        </w:rPr>
      </w:pPr>
      <w:r w:rsidRPr="00537489">
        <w:rPr>
          <w:spacing w:val="-2"/>
          <w:sz w:val="13"/>
          <w:lang w:val="en-US"/>
        </w:rPr>
        <w:t xml:space="preserve">CCPR/C/MAR/CO/6, </w:t>
      </w:r>
      <w:proofErr w:type="spellStart"/>
      <w:r w:rsidRPr="00537489">
        <w:rPr>
          <w:spacing w:val="-2"/>
          <w:sz w:val="13"/>
          <w:lang w:val="en-US"/>
        </w:rPr>
        <w:t>párr</w:t>
      </w:r>
      <w:proofErr w:type="spellEnd"/>
      <w:r w:rsidRPr="00537489">
        <w:rPr>
          <w:spacing w:val="-2"/>
          <w:sz w:val="13"/>
          <w:lang w:val="en-US"/>
        </w:rPr>
        <w:t>. 12</w:t>
      </w:r>
      <w:r>
        <w:rPr>
          <w:spacing w:val="-2"/>
          <w:sz w:val="13"/>
        </w:rPr>
        <w:t>;</w:t>
      </w:r>
      <w:r w:rsidRPr="00537489">
        <w:rPr>
          <w:spacing w:val="-2"/>
          <w:sz w:val="13"/>
          <w:lang w:val="en-US"/>
        </w:rPr>
        <w:t xml:space="preserve"> CRC/C/IRN/CO/3-4, </w:t>
      </w:r>
      <w:proofErr w:type="spellStart"/>
      <w:r w:rsidRPr="00537489">
        <w:rPr>
          <w:spacing w:val="-2"/>
          <w:sz w:val="13"/>
          <w:lang w:val="en-US"/>
        </w:rPr>
        <w:t>párr</w:t>
      </w:r>
      <w:proofErr w:type="spellEnd"/>
      <w:r w:rsidRPr="00537489">
        <w:rPr>
          <w:spacing w:val="-2"/>
          <w:sz w:val="13"/>
          <w:lang w:val="en-US"/>
        </w:rPr>
        <w:t>. 31</w:t>
      </w:r>
      <w:r>
        <w:rPr>
          <w:spacing w:val="-2"/>
          <w:sz w:val="13"/>
        </w:rPr>
        <w:t>;</w:t>
      </w:r>
      <w:r w:rsidRPr="00537489">
        <w:rPr>
          <w:spacing w:val="-2"/>
          <w:sz w:val="13"/>
          <w:lang w:val="en-US"/>
        </w:rPr>
        <w:t xml:space="preserve"> y CAT/C/SEN/CO/4, </w:t>
      </w:r>
      <w:proofErr w:type="spellStart"/>
      <w:r w:rsidRPr="00537489">
        <w:rPr>
          <w:spacing w:val="-2"/>
          <w:sz w:val="13"/>
          <w:lang w:val="en-US"/>
        </w:rPr>
        <w:t>párr</w:t>
      </w:r>
      <w:proofErr w:type="spellEnd"/>
      <w:r w:rsidRPr="00537489">
        <w:rPr>
          <w:spacing w:val="-2"/>
          <w:sz w:val="13"/>
          <w:lang w:val="en-US"/>
        </w:rPr>
        <w:t xml:space="preserve">. </w:t>
      </w:r>
      <w:r>
        <w:rPr>
          <w:spacing w:val="-2"/>
          <w:sz w:val="13"/>
        </w:rPr>
        <w:t>36 b). Véase también respecto del estado de salud: CMW/C/LKA/</w:t>
      </w:r>
      <w:r>
        <w:rPr>
          <w:spacing w:val="40"/>
          <w:sz w:val="13"/>
        </w:rPr>
        <w:t xml:space="preserve"> </w:t>
      </w:r>
      <w:r>
        <w:rPr>
          <w:sz w:val="13"/>
        </w:rPr>
        <w:t>CO/2, párr. 27c).</w:t>
      </w:r>
    </w:p>
    <w:p w14:paraId="50CF701F" w14:textId="77777777" w:rsidR="0014798C" w:rsidRDefault="0014798C">
      <w:pPr>
        <w:spacing w:line="288" w:lineRule="auto"/>
        <w:rPr>
          <w:sz w:val="13"/>
        </w:rPr>
        <w:sectPr w:rsidR="0014798C" w:rsidSect="00F265E4">
          <w:type w:val="continuous"/>
          <w:pgSz w:w="11900" w:h="16820"/>
          <w:pgMar w:top="40" w:right="0" w:bottom="280" w:left="200" w:header="121" w:footer="0" w:gutter="0"/>
          <w:cols w:num="2" w:space="720" w:equalWidth="0">
            <w:col w:w="1253" w:space="40"/>
            <w:col w:w="10407"/>
          </w:cols>
        </w:sectPr>
      </w:pPr>
    </w:p>
    <w:p w14:paraId="410D35C5" w14:textId="77777777" w:rsidR="0014798C" w:rsidRDefault="0014798C">
      <w:pPr>
        <w:pStyle w:val="Textoindependiente"/>
        <w:rPr>
          <w:sz w:val="19"/>
        </w:rPr>
      </w:pPr>
    </w:p>
    <w:p w14:paraId="32D49E9C" w14:textId="77777777" w:rsidR="0014798C" w:rsidRDefault="0014798C">
      <w:pPr>
        <w:pStyle w:val="Textoindependiente"/>
        <w:spacing w:before="170"/>
        <w:rPr>
          <w:sz w:val="19"/>
        </w:rPr>
      </w:pPr>
    </w:p>
    <w:p w14:paraId="21D58A8F" w14:textId="77777777" w:rsidR="0014798C" w:rsidRDefault="004E1F0B">
      <w:pPr>
        <w:ind w:right="723"/>
        <w:jc w:val="right"/>
        <w:rPr>
          <w:sz w:val="19"/>
        </w:rPr>
      </w:pPr>
      <w:r>
        <w:rPr>
          <w:spacing w:val="-5"/>
          <w:sz w:val="19"/>
        </w:rPr>
        <w:t>25</w:t>
      </w:r>
    </w:p>
    <w:p w14:paraId="18315928" w14:textId="77777777" w:rsidR="0014798C" w:rsidRDefault="0014798C">
      <w:pPr>
        <w:jc w:val="right"/>
        <w:rPr>
          <w:sz w:val="19"/>
        </w:rPr>
        <w:sectPr w:rsidR="0014798C" w:rsidSect="00F265E4">
          <w:type w:val="continuous"/>
          <w:pgSz w:w="11900" w:h="16820"/>
          <w:pgMar w:top="40" w:right="0" w:bottom="280" w:left="200" w:header="121" w:footer="0" w:gutter="0"/>
          <w:cols w:space="720"/>
        </w:sectPr>
      </w:pPr>
    </w:p>
    <w:p w14:paraId="383618C4" w14:textId="77777777" w:rsidR="0014798C" w:rsidRDefault="0014798C">
      <w:pPr>
        <w:pStyle w:val="Textoindependiente"/>
        <w:spacing w:before="85"/>
        <w:rPr>
          <w:sz w:val="12"/>
        </w:rPr>
      </w:pPr>
    </w:p>
    <w:p w14:paraId="0E60EAC0" w14:textId="77777777" w:rsidR="0014798C" w:rsidRDefault="004E1F0B">
      <w:pPr>
        <w:ind w:left="1111"/>
        <w:rPr>
          <w:sz w:val="12"/>
        </w:rPr>
      </w:pPr>
      <w:r>
        <w:rPr>
          <w:color w:val="00AC59"/>
          <w:sz w:val="12"/>
        </w:rPr>
        <w:t>PROTECCIÓN</w:t>
      </w:r>
      <w:r>
        <w:rPr>
          <w:color w:val="00AC59"/>
          <w:spacing w:val="6"/>
          <w:sz w:val="12"/>
        </w:rPr>
        <w:t xml:space="preserve"> </w:t>
      </w:r>
      <w:r>
        <w:rPr>
          <w:color w:val="00AC59"/>
          <w:sz w:val="12"/>
        </w:rPr>
        <w:t>DE</w:t>
      </w:r>
      <w:r>
        <w:rPr>
          <w:color w:val="00AC59"/>
          <w:spacing w:val="7"/>
          <w:sz w:val="12"/>
        </w:rPr>
        <w:t xml:space="preserve"> </w:t>
      </w:r>
      <w:r>
        <w:rPr>
          <w:color w:val="00AC59"/>
          <w:sz w:val="12"/>
        </w:rPr>
        <w:t>LOS</w:t>
      </w:r>
      <w:r>
        <w:rPr>
          <w:color w:val="00AC59"/>
          <w:spacing w:val="8"/>
          <w:sz w:val="12"/>
        </w:rPr>
        <w:t xml:space="preserve"> </w:t>
      </w:r>
      <w:r>
        <w:rPr>
          <w:color w:val="00AC59"/>
          <w:sz w:val="12"/>
        </w:rPr>
        <w:t>DERECHOS</w:t>
      </w:r>
      <w:r>
        <w:rPr>
          <w:color w:val="00AC59"/>
          <w:spacing w:val="8"/>
          <w:sz w:val="12"/>
        </w:rPr>
        <w:t xml:space="preserve"> </w:t>
      </w:r>
      <w:r>
        <w:rPr>
          <w:color w:val="00AC59"/>
          <w:sz w:val="12"/>
        </w:rPr>
        <w:t>DE</w:t>
      </w:r>
      <w:r>
        <w:rPr>
          <w:color w:val="00AC59"/>
          <w:spacing w:val="6"/>
          <w:sz w:val="12"/>
        </w:rPr>
        <w:t xml:space="preserve"> </w:t>
      </w:r>
      <w:r>
        <w:rPr>
          <w:color w:val="00AC59"/>
          <w:sz w:val="12"/>
        </w:rPr>
        <w:t>LAS</w:t>
      </w:r>
      <w:r>
        <w:rPr>
          <w:color w:val="00AC59"/>
          <w:spacing w:val="7"/>
          <w:sz w:val="12"/>
        </w:rPr>
        <w:t xml:space="preserve"> </w:t>
      </w:r>
      <w:r>
        <w:rPr>
          <w:color w:val="00AC59"/>
          <w:sz w:val="12"/>
        </w:rPr>
        <w:t>MINORÍAS:</w:t>
      </w:r>
      <w:r>
        <w:rPr>
          <w:color w:val="00AC59"/>
          <w:spacing w:val="8"/>
          <w:sz w:val="12"/>
        </w:rPr>
        <w:t xml:space="preserve"> </w:t>
      </w:r>
      <w:r>
        <w:rPr>
          <w:color w:val="00AC59"/>
          <w:sz w:val="12"/>
        </w:rPr>
        <w:t>una</w:t>
      </w:r>
      <w:r>
        <w:rPr>
          <w:color w:val="00AC59"/>
          <w:spacing w:val="7"/>
          <w:sz w:val="12"/>
        </w:rPr>
        <w:t xml:space="preserve"> </w:t>
      </w:r>
      <w:r>
        <w:rPr>
          <w:color w:val="00AC59"/>
          <w:sz w:val="12"/>
        </w:rPr>
        <w:t>guía</w:t>
      </w:r>
      <w:r>
        <w:rPr>
          <w:color w:val="00AC59"/>
          <w:spacing w:val="6"/>
          <w:sz w:val="12"/>
        </w:rPr>
        <w:t xml:space="preserve"> </w:t>
      </w:r>
      <w:r>
        <w:rPr>
          <w:color w:val="00AC59"/>
          <w:sz w:val="12"/>
        </w:rPr>
        <w:t>práctica</w:t>
      </w:r>
      <w:r>
        <w:rPr>
          <w:color w:val="00AC59"/>
          <w:spacing w:val="7"/>
          <w:sz w:val="12"/>
        </w:rPr>
        <w:t xml:space="preserve"> </w:t>
      </w:r>
      <w:r>
        <w:rPr>
          <w:color w:val="00AC59"/>
          <w:sz w:val="12"/>
        </w:rPr>
        <w:t>para</w:t>
      </w:r>
      <w:r>
        <w:rPr>
          <w:color w:val="00AC59"/>
          <w:spacing w:val="8"/>
          <w:sz w:val="12"/>
        </w:rPr>
        <w:t xml:space="preserve"> </w:t>
      </w:r>
      <w:r>
        <w:rPr>
          <w:color w:val="00AC59"/>
          <w:sz w:val="12"/>
        </w:rPr>
        <w:t>desarrollar</w:t>
      </w:r>
      <w:r>
        <w:rPr>
          <w:color w:val="00AC59"/>
          <w:spacing w:val="6"/>
          <w:sz w:val="12"/>
        </w:rPr>
        <w:t xml:space="preserve"> </w:t>
      </w:r>
      <w:r>
        <w:rPr>
          <w:color w:val="00AC59"/>
          <w:sz w:val="12"/>
        </w:rPr>
        <w:t>una</w:t>
      </w:r>
      <w:r>
        <w:rPr>
          <w:color w:val="00AC59"/>
          <w:spacing w:val="7"/>
          <w:sz w:val="12"/>
        </w:rPr>
        <w:t xml:space="preserve"> </w:t>
      </w:r>
      <w:r>
        <w:rPr>
          <w:color w:val="00AC59"/>
          <w:sz w:val="12"/>
        </w:rPr>
        <w:t>legislación</w:t>
      </w:r>
      <w:r>
        <w:rPr>
          <w:color w:val="00AC59"/>
          <w:spacing w:val="8"/>
          <w:sz w:val="12"/>
        </w:rPr>
        <w:t xml:space="preserve"> </w:t>
      </w:r>
      <w:r>
        <w:rPr>
          <w:color w:val="00AC59"/>
          <w:sz w:val="12"/>
        </w:rPr>
        <w:t>integral</w:t>
      </w:r>
      <w:r>
        <w:rPr>
          <w:color w:val="00AC59"/>
          <w:spacing w:val="7"/>
          <w:sz w:val="12"/>
        </w:rPr>
        <w:t xml:space="preserve"> </w:t>
      </w:r>
      <w:r>
        <w:rPr>
          <w:color w:val="00AC59"/>
          <w:sz w:val="12"/>
        </w:rPr>
        <w:t>contra</w:t>
      </w:r>
      <w:r>
        <w:rPr>
          <w:color w:val="00AC59"/>
          <w:spacing w:val="6"/>
          <w:sz w:val="12"/>
        </w:rPr>
        <w:t xml:space="preserve"> </w:t>
      </w:r>
      <w:r>
        <w:rPr>
          <w:color w:val="00AC59"/>
          <w:sz w:val="12"/>
        </w:rPr>
        <w:t>la</w:t>
      </w:r>
      <w:r>
        <w:rPr>
          <w:color w:val="00AC59"/>
          <w:spacing w:val="7"/>
          <w:sz w:val="12"/>
        </w:rPr>
        <w:t xml:space="preserve"> </w:t>
      </w:r>
      <w:r>
        <w:rPr>
          <w:color w:val="00AC59"/>
          <w:spacing w:val="-2"/>
          <w:sz w:val="12"/>
        </w:rPr>
        <w:t>discriminación</w:t>
      </w:r>
    </w:p>
    <w:p w14:paraId="371A8F88" w14:textId="77777777" w:rsidR="0014798C" w:rsidRDefault="0014798C">
      <w:pPr>
        <w:pStyle w:val="Textoindependiente"/>
        <w:rPr>
          <w:sz w:val="17"/>
        </w:rPr>
      </w:pPr>
    </w:p>
    <w:p w14:paraId="11012EB3" w14:textId="77777777" w:rsidR="0014798C" w:rsidRDefault="0014798C">
      <w:pPr>
        <w:pStyle w:val="Textoindependiente"/>
        <w:rPr>
          <w:sz w:val="17"/>
        </w:rPr>
      </w:pPr>
    </w:p>
    <w:p w14:paraId="756937C8" w14:textId="77777777" w:rsidR="0014798C" w:rsidRDefault="0014798C">
      <w:pPr>
        <w:pStyle w:val="Textoindependiente"/>
        <w:rPr>
          <w:sz w:val="17"/>
        </w:rPr>
      </w:pPr>
    </w:p>
    <w:p w14:paraId="608DDAAE" w14:textId="77777777" w:rsidR="0014798C" w:rsidRDefault="0014798C">
      <w:pPr>
        <w:pStyle w:val="Textoindependiente"/>
        <w:spacing w:before="182"/>
        <w:rPr>
          <w:sz w:val="17"/>
        </w:rPr>
      </w:pPr>
    </w:p>
    <w:p w14:paraId="3D0B3C1F" w14:textId="77777777" w:rsidR="0014798C" w:rsidRDefault="004E1F0B">
      <w:pPr>
        <w:spacing w:line="307" w:lineRule="auto"/>
        <w:ind w:left="1107" w:right="1378" w:firstLine="4"/>
        <w:rPr>
          <w:sz w:val="17"/>
        </w:rPr>
      </w:pPr>
      <w:r>
        <w:rPr>
          <w:sz w:val="17"/>
        </w:rPr>
        <w:t>de</w:t>
      </w:r>
      <w:r>
        <w:rPr>
          <w:spacing w:val="-6"/>
          <w:sz w:val="17"/>
        </w:rPr>
        <w:t xml:space="preserve"> </w:t>
      </w:r>
      <w:r>
        <w:rPr>
          <w:sz w:val="17"/>
        </w:rPr>
        <w:t>Derechos</w:t>
      </w:r>
      <w:r>
        <w:rPr>
          <w:spacing w:val="-6"/>
          <w:sz w:val="17"/>
        </w:rPr>
        <w:t xml:space="preserve"> </w:t>
      </w:r>
      <w:r>
        <w:rPr>
          <w:sz w:val="17"/>
        </w:rPr>
        <w:t>Humanos</w:t>
      </w:r>
      <w:r>
        <w:rPr>
          <w:spacing w:val="-6"/>
          <w:sz w:val="17"/>
        </w:rPr>
        <w:t xml:space="preserve"> </w:t>
      </w:r>
      <w:r>
        <w:rPr>
          <w:sz w:val="17"/>
        </w:rPr>
        <w:t>prohíbe</w:t>
      </w:r>
      <w:r>
        <w:rPr>
          <w:spacing w:val="-6"/>
          <w:sz w:val="17"/>
        </w:rPr>
        <w:t xml:space="preserve"> </w:t>
      </w:r>
      <w:r>
        <w:rPr>
          <w:sz w:val="17"/>
        </w:rPr>
        <w:t>la</w:t>
      </w:r>
      <w:r>
        <w:rPr>
          <w:spacing w:val="-6"/>
          <w:sz w:val="17"/>
        </w:rPr>
        <w:t xml:space="preserve"> </w:t>
      </w:r>
      <w:r>
        <w:rPr>
          <w:sz w:val="17"/>
        </w:rPr>
        <w:t>discriminación</w:t>
      </w:r>
      <w:r>
        <w:rPr>
          <w:spacing w:val="-6"/>
          <w:sz w:val="17"/>
        </w:rPr>
        <w:t xml:space="preserve"> </w:t>
      </w:r>
      <w:r>
        <w:rPr>
          <w:sz w:val="17"/>
        </w:rPr>
        <w:t>que</w:t>
      </w:r>
      <w:r>
        <w:rPr>
          <w:spacing w:val="-6"/>
          <w:sz w:val="17"/>
        </w:rPr>
        <w:t xml:space="preserve"> </w:t>
      </w:r>
      <w:r>
        <w:rPr>
          <w:sz w:val="17"/>
        </w:rPr>
        <w:t>surge</w:t>
      </w:r>
      <w:r>
        <w:rPr>
          <w:spacing w:val="-6"/>
          <w:sz w:val="17"/>
        </w:rPr>
        <w:t xml:space="preserve"> </w:t>
      </w:r>
      <w:r>
        <w:rPr>
          <w:sz w:val="17"/>
        </w:rPr>
        <w:t>sobre</w:t>
      </w:r>
      <w:r>
        <w:rPr>
          <w:spacing w:val="-6"/>
          <w:sz w:val="17"/>
        </w:rPr>
        <w:t xml:space="preserve"> </w:t>
      </w:r>
      <w:r>
        <w:rPr>
          <w:sz w:val="17"/>
        </w:rPr>
        <w:t>la</w:t>
      </w:r>
      <w:r>
        <w:rPr>
          <w:spacing w:val="-6"/>
          <w:sz w:val="17"/>
        </w:rPr>
        <w:t xml:space="preserve"> </w:t>
      </w:r>
      <w:r>
        <w:rPr>
          <w:sz w:val="17"/>
        </w:rPr>
        <w:t>base</w:t>
      </w:r>
      <w:r>
        <w:rPr>
          <w:spacing w:val="-6"/>
          <w:sz w:val="17"/>
        </w:rPr>
        <w:t xml:space="preserve"> </w:t>
      </w:r>
      <w:r>
        <w:rPr>
          <w:sz w:val="17"/>
        </w:rPr>
        <w:t>de</w:t>
      </w:r>
      <w:r>
        <w:rPr>
          <w:spacing w:val="-6"/>
          <w:sz w:val="17"/>
        </w:rPr>
        <w:t xml:space="preserve"> </w:t>
      </w:r>
      <w:r>
        <w:rPr>
          <w:sz w:val="17"/>
        </w:rPr>
        <w:t>la</w:t>
      </w:r>
      <w:r>
        <w:rPr>
          <w:spacing w:val="-6"/>
          <w:sz w:val="17"/>
        </w:rPr>
        <w:t xml:space="preserve"> </w:t>
      </w:r>
      <w:r>
        <w:rPr>
          <w:sz w:val="17"/>
        </w:rPr>
        <w:t>“percepción</w:t>
      </w:r>
      <w:r>
        <w:rPr>
          <w:spacing w:val="-6"/>
          <w:sz w:val="17"/>
        </w:rPr>
        <w:t xml:space="preserve"> </w:t>
      </w:r>
      <w:r>
        <w:rPr>
          <w:sz w:val="17"/>
        </w:rPr>
        <w:t>que</w:t>
      </w:r>
      <w:r>
        <w:rPr>
          <w:spacing w:val="-6"/>
          <w:sz w:val="17"/>
        </w:rPr>
        <w:t xml:space="preserve"> </w:t>
      </w:r>
      <w:r>
        <w:rPr>
          <w:sz w:val="17"/>
        </w:rPr>
        <w:t>otros</w:t>
      </w:r>
      <w:r>
        <w:rPr>
          <w:spacing w:val="-6"/>
          <w:sz w:val="17"/>
        </w:rPr>
        <w:t xml:space="preserve"> </w:t>
      </w:r>
      <w:r>
        <w:rPr>
          <w:sz w:val="17"/>
        </w:rPr>
        <w:t>tienen</w:t>
      </w:r>
      <w:r>
        <w:rPr>
          <w:spacing w:val="-6"/>
          <w:sz w:val="17"/>
        </w:rPr>
        <w:t xml:space="preserve"> </w:t>
      </w:r>
      <w:r>
        <w:rPr>
          <w:sz w:val="17"/>
        </w:rPr>
        <w:t>de</w:t>
      </w:r>
      <w:r>
        <w:rPr>
          <w:spacing w:val="-6"/>
          <w:sz w:val="17"/>
        </w:rPr>
        <w:t xml:space="preserve"> </w:t>
      </w:r>
      <w:r>
        <w:rPr>
          <w:sz w:val="17"/>
        </w:rPr>
        <w:t>la</w:t>
      </w:r>
      <w:r>
        <w:rPr>
          <w:spacing w:val="-6"/>
          <w:sz w:val="17"/>
        </w:rPr>
        <w:t xml:space="preserve"> </w:t>
      </w:r>
      <w:r>
        <w:rPr>
          <w:sz w:val="17"/>
        </w:rPr>
        <w:t>relación [de un individuo] con un sector o grupo social, independientemente de si esto corresponde a la realidad o a la autoidentificación</w:t>
      </w:r>
      <w:r>
        <w:rPr>
          <w:spacing w:val="-5"/>
          <w:sz w:val="17"/>
        </w:rPr>
        <w:t xml:space="preserve"> </w:t>
      </w:r>
      <w:r>
        <w:rPr>
          <w:sz w:val="17"/>
        </w:rPr>
        <w:t>de</w:t>
      </w:r>
      <w:r>
        <w:rPr>
          <w:spacing w:val="-5"/>
          <w:sz w:val="17"/>
        </w:rPr>
        <w:t xml:space="preserve"> </w:t>
      </w:r>
      <w:r>
        <w:rPr>
          <w:sz w:val="17"/>
        </w:rPr>
        <w:t>la</w:t>
      </w:r>
      <w:r>
        <w:rPr>
          <w:spacing w:val="-5"/>
          <w:sz w:val="17"/>
        </w:rPr>
        <w:t xml:space="preserve"> </w:t>
      </w:r>
      <w:r>
        <w:rPr>
          <w:sz w:val="17"/>
        </w:rPr>
        <w:t>víctima”</w:t>
      </w:r>
      <w:proofErr w:type="gramStart"/>
      <w:r>
        <w:rPr>
          <w:sz w:val="17"/>
        </w:rPr>
        <w:t>177</w:t>
      </w:r>
      <w:r>
        <w:rPr>
          <w:spacing w:val="-5"/>
          <w:sz w:val="17"/>
        </w:rPr>
        <w:t xml:space="preserve"> </w:t>
      </w:r>
      <w:r>
        <w:rPr>
          <w:sz w:val="17"/>
        </w:rPr>
        <w:t>.</w:t>
      </w:r>
      <w:proofErr w:type="gramEnd"/>
      <w:r>
        <w:rPr>
          <w:spacing w:val="-5"/>
          <w:sz w:val="17"/>
        </w:rPr>
        <w:t xml:space="preserve"> </w:t>
      </w:r>
      <w:r>
        <w:rPr>
          <w:sz w:val="17"/>
        </w:rPr>
        <w:t>la</w:t>
      </w:r>
      <w:r>
        <w:rPr>
          <w:spacing w:val="-5"/>
          <w:sz w:val="17"/>
        </w:rPr>
        <w:t xml:space="preserve"> </w:t>
      </w:r>
      <w:r>
        <w:rPr>
          <w:sz w:val="17"/>
        </w:rPr>
        <w:t>discriminación,</w:t>
      </w:r>
      <w:r>
        <w:rPr>
          <w:spacing w:val="-3"/>
          <w:sz w:val="17"/>
        </w:rPr>
        <w:t xml:space="preserve"> </w:t>
      </w:r>
      <w:r>
        <w:rPr>
          <w:sz w:val="17"/>
        </w:rPr>
        <w:t>según</w:t>
      </w:r>
      <w:r>
        <w:rPr>
          <w:spacing w:val="-5"/>
          <w:sz w:val="17"/>
        </w:rPr>
        <w:t xml:space="preserve"> </w:t>
      </w:r>
      <w:r>
        <w:rPr>
          <w:sz w:val="17"/>
        </w:rPr>
        <w:t>la</w:t>
      </w:r>
      <w:r>
        <w:rPr>
          <w:spacing w:val="-5"/>
          <w:sz w:val="17"/>
        </w:rPr>
        <w:t xml:space="preserve"> </w:t>
      </w:r>
      <w:r>
        <w:rPr>
          <w:sz w:val="17"/>
        </w:rPr>
        <w:t>Corte,</w:t>
      </w:r>
      <w:r>
        <w:rPr>
          <w:spacing w:val="-5"/>
          <w:sz w:val="17"/>
        </w:rPr>
        <w:t xml:space="preserve"> </w:t>
      </w:r>
      <w:r>
        <w:rPr>
          <w:sz w:val="17"/>
        </w:rPr>
        <w:t>tiene</w:t>
      </w:r>
      <w:r>
        <w:rPr>
          <w:spacing w:val="-5"/>
          <w:sz w:val="17"/>
        </w:rPr>
        <w:t xml:space="preserve"> </w:t>
      </w:r>
      <w:r>
        <w:rPr>
          <w:sz w:val="17"/>
        </w:rPr>
        <w:t>por</w:t>
      </w:r>
      <w:r>
        <w:rPr>
          <w:spacing w:val="-5"/>
          <w:sz w:val="17"/>
        </w:rPr>
        <w:t xml:space="preserve"> </w:t>
      </w:r>
      <w:r>
        <w:rPr>
          <w:sz w:val="17"/>
        </w:rPr>
        <w:t>objeto</w:t>
      </w:r>
      <w:r>
        <w:rPr>
          <w:spacing w:val="-5"/>
          <w:sz w:val="17"/>
        </w:rPr>
        <w:t xml:space="preserve"> </w:t>
      </w:r>
      <w:r>
        <w:rPr>
          <w:sz w:val="17"/>
        </w:rPr>
        <w:t>o</w:t>
      </w:r>
      <w:r>
        <w:rPr>
          <w:spacing w:val="-5"/>
          <w:sz w:val="17"/>
        </w:rPr>
        <w:t xml:space="preserve"> </w:t>
      </w:r>
      <w:r>
        <w:rPr>
          <w:sz w:val="17"/>
        </w:rPr>
        <w:t>efecto</w:t>
      </w:r>
      <w:r>
        <w:rPr>
          <w:spacing w:val="-5"/>
          <w:sz w:val="17"/>
        </w:rPr>
        <w:t xml:space="preserve"> </w:t>
      </w:r>
      <w:r>
        <w:rPr>
          <w:sz w:val="17"/>
        </w:rPr>
        <w:t>reducir</w:t>
      </w:r>
      <w:r>
        <w:rPr>
          <w:spacing w:val="-5"/>
          <w:sz w:val="17"/>
        </w:rPr>
        <w:t xml:space="preserve"> </w:t>
      </w:r>
      <w:r>
        <w:rPr>
          <w:sz w:val="17"/>
        </w:rPr>
        <w:t>a</w:t>
      </w:r>
      <w:r>
        <w:rPr>
          <w:spacing w:val="-5"/>
          <w:sz w:val="17"/>
        </w:rPr>
        <w:t xml:space="preserve"> </w:t>
      </w:r>
      <w:r>
        <w:rPr>
          <w:sz w:val="17"/>
        </w:rPr>
        <w:t>los</w:t>
      </w:r>
      <w:r>
        <w:rPr>
          <w:spacing w:val="-5"/>
          <w:sz w:val="17"/>
        </w:rPr>
        <w:t xml:space="preserve"> </w:t>
      </w:r>
      <w:r>
        <w:rPr>
          <w:sz w:val="17"/>
        </w:rPr>
        <w:t>individuos:</w:t>
      </w:r>
      <w:r>
        <w:rPr>
          <w:spacing w:val="-4"/>
          <w:sz w:val="17"/>
        </w:rPr>
        <w:t xml:space="preserve"> </w:t>
      </w:r>
      <w:r>
        <w:rPr>
          <w:sz w:val="17"/>
        </w:rPr>
        <w:t>“a la única característica que [les] atribuye, sin tomar en consideración otras condiciones personales. Esta reducción de la identidad</w:t>
      </w:r>
      <w:r>
        <w:rPr>
          <w:spacing w:val="-4"/>
          <w:sz w:val="17"/>
        </w:rPr>
        <w:t xml:space="preserve"> </w:t>
      </w:r>
      <w:r>
        <w:rPr>
          <w:sz w:val="17"/>
        </w:rPr>
        <w:t>resulta</w:t>
      </w:r>
      <w:r>
        <w:rPr>
          <w:spacing w:val="-4"/>
          <w:sz w:val="17"/>
        </w:rPr>
        <w:t xml:space="preserve"> </w:t>
      </w:r>
      <w:r>
        <w:rPr>
          <w:sz w:val="17"/>
        </w:rPr>
        <w:t>en</w:t>
      </w:r>
      <w:r>
        <w:rPr>
          <w:spacing w:val="-4"/>
          <w:sz w:val="17"/>
        </w:rPr>
        <w:t xml:space="preserve"> </w:t>
      </w:r>
      <w:r>
        <w:rPr>
          <w:sz w:val="17"/>
        </w:rPr>
        <w:t>un</w:t>
      </w:r>
      <w:r>
        <w:rPr>
          <w:spacing w:val="-4"/>
          <w:sz w:val="17"/>
        </w:rPr>
        <w:t xml:space="preserve"> </w:t>
      </w:r>
      <w:r>
        <w:rPr>
          <w:sz w:val="17"/>
        </w:rPr>
        <w:t>trato</w:t>
      </w:r>
      <w:r>
        <w:rPr>
          <w:spacing w:val="-4"/>
          <w:sz w:val="17"/>
        </w:rPr>
        <w:t xml:space="preserve"> </w:t>
      </w:r>
      <w:r>
        <w:rPr>
          <w:sz w:val="17"/>
        </w:rPr>
        <w:t>diferenciado</w:t>
      </w:r>
      <w:r>
        <w:rPr>
          <w:spacing w:val="-4"/>
          <w:sz w:val="17"/>
        </w:rPr>
        <w:t xml:space="preserve"> </w:t>
      </w:r>
      <w:r>
        <w:rPr>
          <w:sz w:val="17"/>
        </w:rPr>
        <w:t>y</w:t>
      </w:r>
      <w:r>
        <w:rPr>
          <w:spacing w:val="-4"/>
          <w:sz w:val="17"/>
        </w:rPr>
        <w:t xml:space="preserve"> </w:t>
      </w:r>
      <w:r>
        <w:rPr>
          <w:sz w:val="17"/>
        </w:rPr>
        <w:t>por</w:t>
      </w:r>
      <w:r>
        <w:rPr>
          <w:spacing w:val="-4"/>
          <w:sz w:val="17"/>
        </w:rPr>
        <w:t xml:space="preserve"> </w:t>
      </w:r>
      <w:r>
        <w:rPr>
          <w:sz w:val="17"/>
        </w:rPr>
        <w:t>ende,</w:t>
      </w:r>
      <w:r>
        <w:rPr>
          <w:spacing w:val="-4"/>
          <w:sz w:val="17"/>
        </w:rPr>
        <w:t xml:space="preserve"> </w:t>
      </w:r>
      <w:r>
        <w:rPr>
          <w:sz w:val="17"/>
        </w:rPr>
        <w:t>en</w:t>
      </w:r>
      <w:r>
        <w:rPr>
          <w:spacing w:val="-4"/>
          <w:sz w:val="17"/>
        </w:rPr>
        <w:t xml:space="preserve"> </w:t>
      </w:r>
      <w:r>
        <w:rPr>
          <w:sz w:val="17"/>
        </w:rPr>
        <w:t>la</w:t>
      </w:r>
      <w:r>
        <w:rPr>
          <w:spacing w:val="-4"/>
          <w:sz w:val="17"/>
        </w:rPr>
        <w:t xml:space="preserve"> </w:t>
      </w:r>
      <w:r>
        <w:rPr>
          <w:sz w:val="17"/>
        </w:rPr>
        <w:t>violación</w:t>
      </w:r>
      <w:r>
        <w:rPr>
          <w:spacing w:val="-4"/>
          <w:sz w:val="17"/>
        </w:rPr>
        <w:t xml:space="preserve"> </w:t>
      </w:r>
      <w:r>
        <w:rPr>
          <w:sz w:val="17"/>
        </w:rPr>
        <w:t>de</w:t>
      </w:r>
      <w:r>
        <w:rPr>
          <w:spacing w:val="-4"/>
          <w:sz w:val="17"/>
        </w:rPr>
        <w:t xml:space="preserve"> </w:t>
      </w:r>
      <w:r>
        <w:rPr>
          <w:sz w:val="17"/>
        </w:rPr>
        <w:t>los</w:t>
      </w:r>
      <w:r>
        <w:rPr>
          <w:spacing w:val="-4"/>
          <w:sz w:val="17"/>
        </w:rPr>
        <w:t xml:space="preserve"> </w:t>
      </w:r>
      <w:r>
        <w:rPr>
          <w:sz w:val="17"/>
        </w:rPr>
        <w:t>derechos</w:t>
      </w:r>
      <w:r>
        <w:rPr>
          <w:spacing w:val="-4"/>
          <w:sz w:val="17"/>
        </w:rPr>
        <w:t xml:space="preserve"> </w:t>
      </w:r>
      <w:r>
        <w:rPr>
          <w:sz w:val="17"/>
        </w:rPr>
        <w:t>de</w:t>
      </w:r>
      <w:r>
        <w:rPr>
          <w:spacing w:val="-4"/>
          <w:sz w:val="17"/>
        </w:rPr>
        <w:t xml:space="preserve"> </w:t>
      </w:r>
      <w:r>
        <w:rPr>
          <w:sz w:val="17"/>
        </w:rPr>
        <w:t>la</w:t>
      </w:r>
      <w:r>
        <w:rPr>
          <w:spacing w:val="-4"/>
          <w:sz w:val="17"/>
        </w:rPr>
        <w:t xml:space="preserve"> </w:t>
      </w:r>
      <w:r>
        <w:rPr>
          <w:sz w:val="17"/>
        </w:rPr>
        <w:t>víctima.”178</w:t>
      </w:r>
      <w:r>
        <w:rPr>
          <w:spacing w:val="-4"/>
          <w:sz w:val="17"/>
        </w:rPr>
        <w:t xml:space="preserve"> </w:t>
      </w:r>
      <w:r>
        <w:rPr>
          <w:sz w:val="17"/>
        </w:rPr>
        <w:t>La</w:t>
      </w:r>
      <w:r>
        <w:rPr>
          <w:spacing w:val="-4"/>
          <w:sz w:val="17"/>
        </w:rPr>
        <w:t xml:space="preserve"> </w:t>
      </w:r>
      <w:r>
        <w:rPr>
          <w:sz w:val="17"/>
        </w:rPr>
        <w:t>Corte</w:t>
      </w:r>
      <w:r>
        <w:rPr>
          <w:spacing w:val="-4"/>
          <w:sz w:val="17"/>
        </w:rPr>
        <w:t xml:space="preserve"> </w:t>
      </w:r>
      <w:r>
        <w:rPr>
          <w:sz w:val="17"/>
        </w:rPr>
        <w:t>ha</w:t>
      </w:r>
      <w:r>
        <w:rPr>
          <w:spacing w:val="-4"/>
          <w:sz w:val="17"/>
        </w:rPr>
        <w:t xml:space="preserve"> </w:t>
      </w:r>
      <w:r>
        <w:rPr>
          <w:sz w:val="17"/>
        </w:rPr>
        <w:t xml:space="preserve">citado </w:t>
      </w:r>
      <w:proofErr w:type="gramStart"/>
      <w:r>
        <w:rPr>
          <w:sz w:val="17"/>
        </w:rPr>
        <w:t>anteriormente al</w:t>
      </w:r>
      <w:proofErr w:type="gramEnd"/>
      <w:r>
        <w:rPr>
          <w:sz w:val="17"/>
        </w:rPr>
        <w:t xml:space="preserve"> Comité de Derechos Económicos, Sociales y Culturales en cuanto a la prohibición de la discriminación basada</w:t>
      </w:r>
      <w:r>
        <w:rPr>
          <w:spacing w:val="-1"/>
          <w:sz w:val="17"/>
        </w:rPr>
        <w:t xml:space="preserve"> </w:t>
      </w:r>
      <w:r>
        <w:rPr>
          <w:sz w:val="17"/>
        </w:rPr>
        <w:t>en</w:t>
      </w:r>
      <w:r>
        <w:rPr>
          <w:spacing w:val="-1"/>
          <w:sz w:val="17"/>
        </w:rPr>
        <w:t xml:space="preserve"> </w:t>
      </w:r>
      <w:r>
        <w:rPr>
          <w:sz w:val="17"/>
        </w:rPr>
        <w:t>la</w:t>
      </w:r>
      <w:r>
        <w:rPr>
          <w:spacing w:val="-1"/>
          <w:sz w:val="17"/>
        </w:rPr>
        <w:t xml:space="preserve"> </w:t>
      </w:r>
      <w:r>
        <w:rPr>
          <w:sz w:val="17"/>
        </w:rPr>
        <w:t>percepción</w:t>
      </w:r>
      <w:r>
        <w:rPr>
          <w:spacing w:val="-1"/>
          <w:sz w:val="17"/>
        </w:rPr>
        <w:t xml:space="preserve"> </w:t>
      </w:r>
      <w:r>
        <w:rPr>
          <w:sz w:val="17"/>
        </w:rPr>
        <w:t>y</w:t>
      </w:r>
      <w:r>
        <w:rPr>
          <w:spacing w:val="-1"/>
          <w:sz w:val="17"/>
        </w:rPr>
        <w:t xml:space="preserve"> </w:t>
      </w:r>
      <w:r>
        <w:rPr>
          <w:sz w:val="17"/>
        </w:rPr>
        <w:t>la</w:t>
      </w:r>
      <w:r>
        <w:rPr>
          <w:spacing w:val="-1"/>
          <w:sz w:val="17"/>
        </w:rPr>
        <w:t xml:space="preserve"> </w:t>
      </w:r>
      <w:r>
        <w:rPr>
          <w:sz w:val="17"/>
        </w:rPr>
        <w:t>asociación</w:t>
      </w:r>
      <w:r>
        <w:rPr>
          <w:spacing w:val="-1"/>
          <w:sz w:val="17"/>
        </w:rPr>
        <w:t xml:space="preserve"> </w:t>
      </w:r>
      <w:r>
        <w:rPr>
          <w:sz w:val="17"/>
        </w:rPr>
        <w:t>con</w:t>
      </w:r>
      <w:r>
        <w:rPr>
          <w:spacing w:val="-1"/>
          <w:sz w:val="17"/>
        </w:rPr>
        <w:t xml:space="preserve"> </w:t>
      </w:r>
      <w:r>
        <w:rPr>
          <w:sz w:val="17"/>
        </w:rPr>
        <w:t>la</w:t>
      </w:r>
      <w:r>
        <w:rPr>
          <w:spacing w:val="-1"/>
          <w:sz w:val="17"/>
        </w:rPr>
        <w:t xml:space="preserve"> </w:t>
      </w:r>
      <w:r>
        <w:rPr>
          <w:sz w:val="17"/>
        </w:rPr>
        <w:t>aprobación179</w:t>
      </w:r>
      <w:r>
        <w:rPr>
          <w:spacing w:val="-1"/>
          <w:sz w:val="17"/>
        </w:rPr>
        <w:t xml:space="preserve"> </w:t>
      </w:r>
      <w:r>
        <w:rPr>
          <w:sz w:val="17"/>
        </w:rPr>
        <w:t>e</w:t>
      </w:r>
      <w:r>
        <w:rPr>
          <w:spacing w:val="-1"/>
          <w:sz w:val="17"/>
        </w:rPr>
        <w:t xml:space="preserve"> </w:t>
      </w:r>
      <w:r>
        <w:rPr>
          <w:sz w:val="17"/>
        </w:rPr>
        <w:t>implícitamente</w:t>
      </w:r>
      <w:r>
        <w:rPr>
          <w:spacing w:val="-1"/>
          <w:sz w:val="17"/>
        </w:rPr>
        <w:t xml:space="preserve"> </w:t>
      </w:r>
      <w:r>
        <w:rPr>
          <w:sz w:val="17"/>
        </w:rPr>
        <w:t>ha</w:t>
      </w:r>
      <w:r>
        <w:rPr>
          <w:spacing w:val="-1"/>
          <w:sz w:val="17"/>
        </w:rPr>
        <w:t xml:space="preserve"> </w:t>
      </w:r>
      <w:r>
        <w:rPr>
          <w:sz w:val="17"/>
        </w:rPr>
        <w:t>reconocido</w:t>
      </w:r>
      <w:r>
        <w:rPr>
          <w:spacing w:val="-1"/>
          <w:sz w:val="17"/>
        </w:rPr>
        <w:t xml:space="preserve"> </w:t>
      </w:r>
      <w:r>
        <w:rPr>
          <w:sz w:val="17"/>
        </w:rPr>
        <w:t>que</w:t>
      </w:r>
      <w:r>
        <w:rPr>
          <w:spacing w:val="-1"/>
          <w:sz w:val="17"/>
        </w:rPr>
        <w:t xml:space="preserve"> </w:t>
      </w:r>
      <w:r>
        <w:rPr>
          <w:sz w:val="17"/>
        </w:rPr>
        <w:t>está</w:t>
      </w:r>
      <w:r>
        <w:rPr>
          <w:spacing w:val="-1"/>
          <w:sz w:val="17"/>
        </w:rPr>
        <w:t xml:space="preserve"> </w:t>
      </w:r>
      <w:r>
        <w:rPr>
          <w:sz w:val="17"/>
        </w:rPr>
        <w:t>prohibida</w:t>
      </w:r>
      <w:r>
        <w:rPr>
          <w:spacing w:val="-1"/>
          <w:sz w:val="17"/>
        </w:rPr>
        <w:t xml:space="preserve"> </w:t>
      </w:r>
      <w:r>
        <w:rPr>
          <w:sz w:val="17"/>
        </w:rPr>
        <w:t>la discriminación basada en la asociación de un individuo con una persona perteneciente a un grupo protegido.180</w:t>
      </w:r>
    </w:p>
    <w:p w14:paraId="730E5537" w14:textId="77777777" w:rsidR="0014798C" w:rsidRDefault="0014798C">
      <w:pPr>
        <w:pStyle w:val="Textoindependiente"/>
        <w:rPr>
          <w:sz w:val="17"/>
        </w:rPr>
      </w:pPr>
    </w:p>
    <w:p w14:paraId="07E804A9" w14:textId="77777777" w:rsidR="0014798C" w:rsidRDefault="0014798C">
      <w:pPr>
        <w:pStyle w:val="Textoindependiente"/>
        <w:spacing w:before="25"/>
        <w:rPr>
          <w:sz w:val="17"/>
        </w:rPr>
      </w:pPr>
    </w:p>
    <w:p w14:paraId="6B078D9A" w14:textId="77777777" w:rsidR="0014798C" w:rsidRDefault="004E1F0B">
      <w:pPr>
        <w:spacing w:line="307" w:lineRule="auto"/>
        <w:ind w:left="1107" w:right="1335" w:firstLine="1"/>
        <w:rPr>
          <w:sz w:val="17"/>
        </w:rPr>
      </w:pPr>
      <w:r>
        <w:rPr>
          <w:sz w:val="17"/>
        </w:rPr>
        <w:t>En</w:t>
      </w:r>
      <w:r>
        <w:rPr>
          <w:spacing w:val="-7"/>
          <w:sz w:val="17"/>
        </w:rPr>
        <w:t xml:space="preserve"> </w:t>
      </w:r>
      <w:r>
        <w:rPr>
          <w:sz w:val="17"/>
        </w:rPr>
        <w:t>la</w:t>
      </w:r>
      <w:r>
        <w:rPr>
          <w:spacing w:val="-7"/>
          <w:sz w:val="17"/>
        </w:rPr>
        <w:t xml:space="preserve"> </w:t>
      </w:r>
      <w:r>
        <w:rPr>
          <w:sz w:val="17"/>
        </w:rPr>
        <w:t>Unión</w:t>
      </w:r>
      <w:r>
        <w:rPr>
          <w:spacing w:val="-7"/>
          <w:sz w:val="17"/>
        </w:rPr>
        <w:t xml:space="preserve"> </w:t>
      </w:r>
      <w:r>
        <w:rPr>
          <w:sz w:val="17"/>
        </w:rPr>
        <w:t>Europea,</w:t>
      </w:r>
      <w:r>
        <w:rPr>
          <w:spacing w:val="-6"/>
          <w:sz w:val="17"/>
        </w:rPr>
        <w:t xml:space="preserve"> </w:t>
      </w:r>
      <w:r>
        <w:rPr>
          <w:sz w:val="17"/>
        </w:rPr>
        <w:t>la</w:t>
      </w:r>
      <w:r>
        <w:rPr>
          <w:spacing w:val="-7"/>
          <w:sz w:val="17"/>
        </w:rPr>
        <w:t xml:space="preserve"> </w:t>
      </w:r>
      <w:r>
        <w:rPr>
          <w:sz w:val="17"/>
        </w:rPr>
        <w:t>comprensión</w:t>
      </w:r>
      <w:r>
        <w:rPr>
          <w:spacing w:val="-7"/>
          <w:sz w:val="17"/>
        </w:rPr>
        <w:t xml:space="preserve"> </w:t>
      </w:r>
      <w:r>
        <w:rPr>
          <w:sz w:val="17"/>
        </w:rPr>
        <w:t>de</w:t>
      </w:r>
      <w:r>
        <w:rPr>
          <w:spacing w:val="-7"/>
          <w:sz w:val="17"/>
        </w:rPr>
        <w:t xml:space="preserve"> </w:t>
      </w:r>
      <w:r>
        <w:rPr>
          <w:sz w:val="17"/>
        </w:rPr>
        <w:t>estos</w:t>
      </w:r>
      <w:r>
        <w:rPr>
          <w:spacing w:val="-7"/>
          <w:sz w:val="17"/>
        </w:rPr>
        <w:t xml:space="preserve"> </w:t>
      </w:r>
      <w:r>
        <w:rPr>
          <w:sz w:val="17"/>
        </w:rPr>
        <w:t>conceptos</w:t>
      </w:r>
      <w:r>
        <w:rPr>
          <w:spacing w:val="-7"/>
          <w:sz w:val="17"/>
        </w:rPr>
        <w:t xml:space="preserve"> </w:t>
      </w:r>
      <w:r>
        <w:rPr>
          <w:sz w:val="17"/>
        </w:rPr>
        <w:t>se</w:t>
      </w:r>
      <w:r>
        <w:rPr>
          <w:spacing w:val="-7"/>
          <w:sz w:val="17"/>
        </w:rPr>
        <w:t xml:space="preserve"> </w:t>
      </w:r>
      <w:r>
        <w:rPr>
          <w:sz w:val="17"/>
        </w:rPr>
        <w:t>ha</w:t>
      </w:r>
      <w:r>
        <w:rPr>
          <w:spacing w:val="-7"/>
          <w:sz w:val="17"/>
        </w:rPr>
        <w:t xml:space="preserve"> </w:t>
      </w:r>
      <w:r>
        <w:rPr>
          <w:sz w:val="17"/>
        </w:rPr>
        <w:t>desarrollado</w:t>
      </w:r>
      <w:r>
        <w:rPr>
          <w:spacing w:val="-7"/>
          <w:sz w:val="17"/>
        </w:rPr>
        <w:t xml:space="preserve"> </w:t>
      </w:r>
      <w:r>
        <w:rPr>
          <w:sz w:val="17"/>
        </w:rPr>
        <w:t>a</w:t>
      </w:r>
      <w:r>
        <w:rPr>
          <w:spacing w:val="-7"/>
          <w:sz w:val="17"/>
        </w:rPr>
        <w:t xml:space="preserve"> </w:t>
      </w:r>
      <w:r>
        <w:rPr>
          <w:sz w:val="17"/>
        </w:rPr>
        <w:t>través</w:t>
      </w:r>
      <w:r>
        <w:rPr>
          <w:spacing w:val="-7"/>
          <w:sz w:val="17"/>
        </w:rPr>
        <w:t xml:space="preserve"> </w:t>
      </w:r>
      <w:r>
        <w:rPr>
          <w:sz w:val="17"/>
        </w:rPr>
        <w:t>de</w:t>
      </w:r>
      <w:r>
        <w:rPr>
          <w:spacing w:val="-7"/>
          <w:sz w:val="17"/>
        </w:rPr>
        <w:t xml:space="preserve"> </w:t>
      </w:r>
      <w:r>
        <w:rPr>
          <w:sz w:val="17"/>
        </w:rPr>
        <w:t>los</w:t>
      </w:r>
      <w:r>
        <w:rPr>
          <w:spacing w:val="-7"/>
          <w:sz w:val="17"/>
        </w:rPr>
        <w:t xml:space="preserve"> </w:t>
      </w:r>
      <w:r>
        <w:rPr>
          <w:sz w:val="17"/>
        </w:rPr>
        <w:t>casos</w:t>
      </w:r>
      <w:r>
        <w:rPr>
          <w:spacing w:val="-7"/>
          <w:sz w:val="17"/>
        </w:rPr>
        <w:t xml:space="preserve"> </w:t>
      </w:r>
      <w:r>
        <w:rPr>
          <w:sz w:val="17"/>
        </w:rPr>
        <w:t>Coleman</w:t>
      </w:r>
      <w:r>
        <w:rPr>
          <w:spacing w:val="-7"/>
          <w:sz w:val="17"/>
        </w:rPr>
        <w:t xml:space="preserve"> </w:t>
      </w:r>
      <w:r>
        <w:rPr>
          <w:sz w:val="17"/>
        </w:rPr>
        <w:t>contra</w:t>
      </w:r>
      <w:r>
        <w:rPr>
          <w:spacing w:val="-7"/>
          <w:sz w:val="17"/>
        </w:rPr>
        <w:t xml:space="preserve"> </w:t>
      </w:r>
      <w:proofErr w:type="spellStart"/>
      <w:r>
        <w:rPr>
          <w:sz w:val="17"/>
        </w:rPr>
        <w:t>Attridge</w:t>
      </w:r>
      <w:proofErr w:type="spellEnd"/>
      <w:r>
        <w:rPr>
          <w:sz w:val="17"/>
        </w:rPr>
        <w:t xml:space="preserve"> </w:t>
      </w:r>
      <w:proofErr w:type="spellStart"/>
      <w:r>
        <w:rPr>
          <w:sz w:val="17"/>
        </w:rPr>
        <w:t>Law</w:t>
      </w:r>
      <w:proofErr w:type="spellEnd"/>
      <w:r>
        <w:rPr>
          <w:sz w:val="17"/>
        </w:rPr>
        <w:t xml:space="preserve"> y CHEZ </w:t>
      </w:r>
      <w:proofErr w:type="spellStart"/>
      <w:r>
        <w:rPr>
          <w:sz w:val="17"/>
        </w:rPr>
        <w:t>Razpredelenie</w:t>
      </w:r>
      <w:proofErr w:type="spellEnd"/>
      <w:r>
        <w:rPr>
          <w:sz w:val="17"/>
        </w:rPr>
        <w:t xml:space="preserve"> Bulgaria AD contra </w:t>
      </w:r>
      <w:proofErr w:type="spellStart"/>
      <w:r>
        <w:rPr>
          <w:sz w:val="17"/>
        </w:rPr>
        <w:t>Komisia</w:t>
      </w:r>
      <w:proofErr w:type="spellEnd"/>
      <w:r>
        <w:rPr>
          <w:sz w:val="17"/>
        </w:rPr>
        <w:t xml:space="preserve"> </w:t>
      </w:r>
      <w:proofErr w:type="spellStart"/>
      <w:r>
        <w:rPr>
          <w:sz w:val="17"/>
        </w:rPr>
        <w:t>za</w:t>
      </w:r>
      <w:proofErr w:type="spellEnd"/>
      <w:r>
        <w:rPr>
          <w:sz w:val="17"/>
        </w:rPr>
        <w:t xml:space="preserve"> </w:t>
      </w:r>
      <w:proofErr w:type="spellStart"/>
      <w:r>
        <w:rPr>
          <w:sz w:val="17"/>
        </w:rPr>
        <w:t>zashtita</w:t>
      </w:r>
      <w:proofErr w:type="spellEnd"/>
      <w:r>
        <w:rPr>
          <w:sz w:val="17"/>
        </w:rPr>
        <w:t xml:space="preserve"> </w:t>
      </w:r>
      <w:proofErr w:type="spellStart"/>
      <w:r>
        <w:rPr>
          <w:sz w:val="17"/>
        </w:rPr>
        <w:t>ot</w:t>
      </w:r>
      <w:proofErr w:type="spellEnd"/>
      <w:r>
        <w:rPr>
          <w:sz w:val="17"/>
        </w:rPr>
        <w:t xml:space="preserve"> </w:t>
      </w:r>
      <w:proofErr w:type="spellStart"/>
      <w:r>
        <w:rPr>
          <w:sz w:val="17"/>
        </w:rPr>
        <w:t>diskriminatsia</w:t>
      </w:r>
      <w:proofErr w:type="spellEnd"/>
      <w:r>
        <w:rPr>
          <w:sz w:val="17"/>
        </w:rPr>
        <w:t>. En el primer caso, el Tribunal de Justicia</w:t>
      </w:r>
      <w:r>
        <w:rPr>
          <w:spacing w:val="-1"/>
          <w:sz w:val="17"/>
        </w:rPr>
        <w:t xml:space="preserve"> </w:t>
      </w:r>
      <w:r>
        <w:rPr>
          <w:sz w:val="17"/>
        </w:rPr>
        <w:t>de</w:t>
      </w:r>
      <w:r>
        <w:rPr>
          <w:spacing w:val="-1"/>
          <w:sz w:val="17"/>
        </w:rPr>
        <w:t xml:space="preserve"> </w:t>
      </w:r>
      <w:r>
        <w:rPr>
          <w:sz w:val="17"/>
        </w:rPr>
        <w:t>la</w:t>
      </w:r>
      <w:r>
        <w:rPr>
          <w:spacing w:val="-1"/>
          <w:sz w:val="17"/>
        </w:rPr>
        <w:t xml:space="preserve"> </w:t>
      </w:r>
      <w:r>
        <w:rPr>
          <w:sz w:val="17"/>
        </w:rPr>
        <w:t>Unión</w:t>
      </w:r>
      <w:r>
        <w:rPr>
          <w:spacing w:val="-1"/>
          <w:sz w:val="17"/>
        </w:rPr>
        <w:t xml:space="preserve"> </w:t>
      </w:r>
      <w:r>
        <w:rPr>
          <w:sz w:val="17"/>
        </w:rPr>
        <w:t>Europea</w:t>
      </w:r>
      <w:r>
        <w:rPr>
          <w:spacing w:val="-1"/>
          <w:sz w:val="17"/>
        </w:rPr>
        <w:t xml:space="preserve"> </w:t>
      </w:r>
      <w:r>
        <w:rPr>
          <w:sz w:val="17"/>
        </w:rPr>
        <w:t>concluyó</w:t>
      </w:r>
      <w:r>
        <w:rPr>
          <w:spacing w:val="-1"/>
          <w:sz w:val="17"/>
        </w:rPr>
        <w:t xml:space="preserve"> </w:t>
      </w:r>
      <w:r>
        <w:rPr>
          <w:sz w:val="17"/>
        </w:rPr>
        <w:t>que</w:t>
      </w:r>
      <w:r>
        <w:rPr>
          <w:spacing w:val="-1"/>
          <w:sz w:val="17"/>
        </w:rPr>
        <w:t xml:space="preserve"> </w:t>
      </w:r>
      <w:r>
        <w:rPr>
          <w:sz w:val="17"/>
        </w:rPr>
        <w:t>una</w:t>
      </w:r>
      <w:r>
        <w:rPr>
          <w:spacing w:val="-1"/>
          <w:sz w:val="17"/>
        </w:rPr>
        <w:t xml:space="preserve"> </w:t>
      </w:r>
      <w:r>
        <w:rPr>
          <w:sz w:val="17"/>
        </w:rPr>
        <w:t>mujer</w:t>
      </w:r>
      <w:r>
        <w:rPr>
          <w:spacing w:val="-1"/>
          <w:sz w:val="17"/>
        </w:rPr>
        <w:t xml:space="preserve"> </w:t>
      </w:r>
      <w:r>
        <w:rPr>
          <w:sz w:val="17"/>
        </w:rPr>
        <w:t>que</w:t>
      </w:r>
      <w:r>
        <w:rPr>
          <w:spacing w:val="-1"/>
          <w:sz w:val="17"/>
        </w:rPr>
        <w:t xml:space="preserve"> </w:t>
      </w:r>
      <w:r>
        <w:rPr>
          <w:sz w:val="17"/>
        </w:rPr>
        <w:t>había</w:t>
      </w:r>
      <w:r>
        <w:rPr>
          <w:spacing w:val="-1"/>
          <w:sz w:val="17"/>
        </w:rPr>
        <w:t xml:space="preserve"> </w:t>
      </w:r>
      <w:r>
        <w:rPr>
          <w:sz w:val="17"/>
        </w:rPr>
        <w:t>sido</w:t>
      </w:r>
      <w:r>
        <w:rPr>
          <w:spacing w:val="-1"/>
          <w:sz w:val="17"/>
        </w:rPr>
        <w:t xml:space="preserve"> </w:t>
      </w:r>
      <w:r>
        <w:rPr>
          <w:sz w:val="17"/>
        </w:rPr>
        <w:t>tratada</w:t>
      </w:r>
      <w:r>
        <w:rPr>
          <w:spacing w:val="-1"/>
          <w:sz w:val="17"/>
        </w:rPr>
        <w:t xml:space="preserve"> </w:t>
      </w:r>
      <w:r>
        <w:rPr>
          <w:sz w:val="17"/>
        </w:rPr>
        <w:t>desfavorablemente</w:t>
      </w:r>
      <w:r>
        <w:rPr>
          <w:spacing w:val="-1"/>
          <w:sz w:val="17"/>
        </w:rPr>
        <w:t xml:space="preserve"> </w:t>
      </w:r>
      <w:r>
        <w:rPr>
          <w:sz w:val="17"/>
        </w:rPr>
        <w:t>debido</w:t>
      </w:r>
      <w:r>
        <w:rPr>
          <w:spacing w:val="-1"/>
          <w:sz w:val="17"/>
        </w:rPr>
        <w:t xml:space="preserve"> </w:t>
      </w:r>
      <w:r>
        <w:rPr>
          <w:sz w:val="17"/>
        </w:rPr>
        <w:t>a</w:t>
      </w:r>
      <w:r>
        <w:rPr>
          <w:spacing w:val="-1"/>
          <w:sz w:val="17"/>
        </w:rPr>
        <w:t xml:space="preserve"> </w:t>
      </w:r>
      <w:r>
        <w:rPr>
          <w:sz w:val="17"/>
        </w:rPr>
        <w:t>la</w:t>
      </w:r>
      <w:r>
        <w:rPr>
          <w:spacing w:val="-1"/>
          <w:sz w:val="17"/>
        </w:rPr>
        <w:t xml:space="preserve"> </w:t>
      </w:r>
      <w:r>
        <w:rPr>
          <w:sz w:val="17"/>
        </w:rPr>
        <w:t>discapacidad de</w:t>
      </w:r>
      <w:r>
        <w:rPr>
          <w:spacing w:val="-1"/>
          <w:sz w:val="17"/>
        </w:rPr>
        <w:t xml:space="preserve"> </w:t>
      </w:r>
      <w:r>
        <w:rPr>
          <w:sz w:val="17"/>
        </w:rPr>
        <w:t>su</w:t>
      </w:r>
      <w:r>
        <w:rPr>
          <w:spacing w:val="-1"/>
          <w:sz w:val="17"/>
        </w:rPr>
        <w:t xml:space="preserve"> </w:t>
      </w:r>
      <w:r>
        <w:rPr>
          <w:sz w:val="17"/>
        </w:rPr>
        <w:t>hijo</w:t>
      </w:r>
      <w:r>
        <w:rPr>
          <w:spacing w:val="-1"/>
          <w:sz w:val="17"/>
        </w:rPr>
        <w:t xml:space="preserve"> </w:t>
      </w:r>
      <w:r>
        <w:rPr>
          <w:sz w:val="17"/>
        </w:rPr>
        <w:t>había</w:t>
      </w:r>
      <w:r>
        <w:rPr>
          <w:spacing w:val="-1"/>
          <w:sz w:val="17"/>
        </w:rPr>
        <w:t xml:space="preserve"> </w:t>
      </w:r>
      <w:r>
        <w:rPr>
          <w:sz w:val="17"/>
        </w:rPr>
        <w:t>sido</w:t>
      </w:r>
      <w:r>
        <w:rPr>
          <w:spacing w:val="-1"/>
          <w:sz w:val="17"/>
        </w:rPr>
        <w:t xml:space="preserve"> </w:t>
      </w:r>
      <w:r>
        <w:rPr>
          <w:sz w:val="17"/>
        </w:rPr>
        <w:t>objeto</w:t>
      </w:r>
      <w:r>
        <w:rPr>
          <w:spacing w:val="-1"/>
          <w:sz w:val="17"/>
        </w:rPr>
        <w:t xml:space="preserve"> </w:t>
      </w:r>
      <w:r>
        <w:rPr>
          <w:sz w:val="17"/>
        </w:rPr>
        <w:t>de</w:t>
      </w:r>
      <w:r>
        <w:rPr>
          <w:spacing w:val="-1"/>
          <w:sz w:val="17"/>
        </w:rPr>
        <w:t xml:space="preserve"> </w:t>
      </w:r>
      <w:r>
        <w:rPr>
          <w:sz w:val="17"/>
        </w:rPr>
        <w:t>discriminación. Según</w:t>
      </w:r>
      <w:r>
        <w:rPr>
          <w:spacing w:val="-1"/>
          <w:sz w:val="17"/>
        </w:rPr>
        <w:t xml:space="preserve"> </w:t>
      </w:r>
      <w:r>
        <w:rPr>
          <w:sz w:val="17"/>
        </w:rPr>
        <w:t>el</w:t>
      </w:r>
      <w:r>
        <w:rPr>
          <w:spacing w:val="-1"/>
          <w:sz w:val="17"/>
        </w:rPr>
        <w:t xml:space="preserve"> </w:t>
      </w:r>
      <w:r>
        <w:rPr>
          <w:sz w:val="17"/>
        </w:rPr>
        <w:t>Tribunal, limitar</w:t>
      </w:r>
      <w:r>
        <w:rPr>
          <w:spacing w:val="-1"/>
          <w:sz w:val="17"/>
        </w:rPr>
        <w:t xml:space="preserve"> </w:t>
      </w:r>
      <w:r>
        <w:rPr>
          <w:sz w:val="17"/>
        </w:rPr>
        <w:t>la</w:t>
      </w:r>
      <w:r>
        <w:rPr>
          <w:spacing w:val="-1"/>
          <w:sz w:val="17"/>
        </w:rPr>
        <w:t xml:space="preserve"> </w:t>
      </w:r>
      <w:r>
        <w:rPr>
          <w:sz w:val="17"/>
        </w:rPr>
        <w:t>aplicación</w:t>
      </w:r>
      <w:r>
        <w:rPr>
          <w:spacing w:val="-1"/>
          <w:sz w:val="17"/>
        </w:rPr>
        <w:t xml:space="preserve"> </w:t>
      </w:r>
      <w:r>
        <w:rPr>
          <w:sz w:val="17"/>
        </w:rPr>
        <w:t>de</w:t>
      </w:r>
      <w:r>
        <w:rPr>
          <w:spacing w:val="-1"/>
          <w:sz w:val="17"/>
        </w:rPr>
        <w:t xml:space="preserve"> </w:t>
      </w:r>
      <w:r>
        <w:rPr>
          <w:sz w:val="17"/>
        </w:rPr>
        <w:t>la</w:t>
      </w:r>
      <w:r>
        <w:rPr>
          <w:spacing w:val="-1"/>
          <w:sz w:val="17"/>
        </w:rPr>
        <w:t xml:space="preserve"> </w:t>
      </w:r>
      <w:r>
        <w:rPr>
          <w:sz w:val="17"/>
        </w:rPr>
        <w:t>Directiva</w:t>
      </w:r>
      <w:r>
        <w:rPr>
          <w:spacing w:val="-1"/>
          <w:sz w:val="17"/>
        </w:rPr>
        <w:t xml:space="preserve"> </w:t>
      </w:r>
      <w:r>
        <w:rPr>
          <w:sz w:val="17"/>
        </w:rPr>
        <w:t>sobre</w:t>
      </w:r>
      <w:r>
        <w:rPr>
          <w:spacing w:val="-1"/>
          <w:sz w:val="17"/>
        </w:rPr>
        <w:t xml:space="preserve"> </w:t>
      </w:r>
      <w:r>
        <w:rPr>
          <w:sz w:val="17"/>
        </w:rPr>
        <w:t>igualdad</w:t>
      </w:r>
      <w:r>
        <w:rPr>
          <w:spacing w:val="-1"/>
          <w:sz w:val="17"/>
        </w:rPr>
        <w:t xml:space="preserve"> </w:t>
      </w:r>
      <w:r>
        <w:rPr>
          <w:sz w:val="17"/>
        </w:rPr>
        <w:t>en</w:t>
      </w:r>
      <w:r>
        <w:rPr>
          <w:spacing w:val="-1"/>
          <w:sz w:val="17"/>
        </w:rPr>
        <w:t xml:space="preserve"> </w:t>
      </w:r>
      <w:r>
        <w:rPr>
          <w:sz w:val="17"/>
        </w:rPr>
        <w:t>el empleo a personas que poseen una característica protegida (en este caso, la discapacidad) sería “privar a la Directiva de un</w:t>
      </w:r>
      <w:r>
        <w:rPr>
          <w:spacing w:val="-1"/>
          <w:sz w:val="17"/>
        </w:rPr>
        <w:t xml:space="preserve"> </w:t>
      </w:r>
      <w:r>
        <w:rPr>
          <w:sz w:val="17"/>
        </w:rPr>
        <w:t>elemento</w:t>
      </w:r>
      <w:r>
        <w:rPr>
          <w:spacing w:val="-1"/>
          <w:sz w:val="17"/>
        </w:rPr>
        <w:t xml:space="preserve"> </w:t>
      </w:r>
      <w:r>
        <w:rPr>
          <w:sz w:val="17"/>
        </w:rPr>
        <w:t>importante</w:t>
      </w:r>
      <w:r>
        <w:rPr>
          <w:spacing w:val="-1"/>
          <w:sz w:val="17"/>
        </w:rPr>
        <w:t xml:space="preserve"> </w:t>
      </w:r>
      <w:r>
        <w:rPr>
          <w:sz w:val="17"/>
        </w:rPr>
        <w:t>de</w:t>
      </w:r>
      <w:r>
        <w:rPr>
          <w:spacing w:val="-1"/>
          <w:sz w:val="17"/>
        </w:rPr>
        <w:t xml:space="preserve"> </w:t>
      </w:r>
      <w:r>
        <w:rPr>
          <w:sz w:val="17"/>
        </w:rPr>
        <w:t>su</w:t>
      </w:r>
      <w:r>
        <w:rPr>
          <w:spacing w:val="-1"/>
          <w:sz w:val="17"/>
        </w:rPr>
        <w:t xml:space="preserve"> </w:t>
      </w:r>
      <w:r>
        <w:rPr>
          <w:sz w:val="17"/>
        </w:rPr>
        <w:t>eficacia”.181</w:t>
      </w:r>
      <w:r>
        <w:rPr>
          <w:spacing w:val="-1"/>
          <w:sz w:val="17"/>
        </w:rPr>
        <w:t xml:space="preserve"> </w:t>
      </w:r>
      <w:r>
        <w:rPr>
          <w:sz w:val="17"/>
        </w:rPr>
        <w:t>Aplicando</w:t>
      </w:r>
      <w:r>
        <w:rPr>
          <w:spacing w:val="-1"/>
          <w:sz w:val="17"/>
        </w:rPr>
        <w:t xml:space="preserve"> </w:t>
      </w:r>
      <w:r>
        <w:rPr>
          <w:sz w:val="17"/>
        </w:rPr>
        <w:t>este</w:t>
      </w:r>
      <w:r>
        <w:rPr>
          <w:spacing w:val="-1"/>
          <w:sz w:val="17"/>
        </w:rPr>
        <w:t xml:space="preserve"> </w:t>
      </w:r>
      <w:r>
        <w:rPr>
          <w:sz w:val="17"/>
        </w:rPr>
        <w:t>razonamiento, en</w:t>
      </w:r>
      <w:r>
        <w:rPr>
          <w:spacing w:val="-1"/>
          <w:sz w:val="17"/>
        </w:rPr>
        <w:t xml:space="preserve"> </w:t>
      </w:r>
      <w:r>
        <w:rPr>
          <w:sz w:val="17"/>
        </w:rPr>
        <w:t>CHEZ,</w:t>
      </w:r>
      <w:r>
        <w:rPr>
          <w:spacing w:val="-1"/>
          <w:sz w:val="17"/>
        </w:rPr>
        <w:t xml:space="preserve"> </w:t>
      </w:r>
      <w:r>
        <w:rPr>
          <w:sz w:val="17"/>
        </w:rPr>
        <w:t>el</w:t>
      </w:r>
      <w:r>
        <w:rPr>
          <w:spacing w:val="-1"/>
          <w:sz w:val="17"/>
        </w:rPr>
        <w:t xml:space="preserve"> </w:t>
      </w:r>
      <w:r>
        <w:rPr>
          <w:sz w:val="17"/>
        </w:rPr>
        <w:t>Tribunal</w:t>
      </w:r>
      <w:r>
        <w:rPr>
          <w:spacing w:val="-1"/>
          <w:sz w:val="17"/>
        </w:rPr>
        <w:t xml:space="preserve"> </w:t>
      </w:r>
      <w:r>
        <w:rPr>
          <w:sz w:val="17"/>
        </w:rPr>
        <w:t>concluyó</w:t>
      </w:r>
      <w:r>
        <w:rPr>
          <w:spacing w:val="-1"/>
          <w:sz w:val="17"/>
        </w:rPr>
        <w:t xml:space="preserve"> </w:t>
      </w:r>
      <w:r>
        <w:rPr>
          <w:sz w:val="17"/>
        </w:rPr>
        <w:t>que</w:t>
      </w:r>
      <w:r>
        <w:rPr>
          <w:spacing w:val="-1"/>
          <w:sz w:val="17"/>
        </w:rPr>
        <w:t xml:space="preserve"> </w:t>
      </w:r>
      <w:r>
        <w:rPr>
          <w:sz w:val="17"/>
        </w:rPr>
        <w:t>la</w:t>
      </w:r>
      <w:r>
        <w:rPr>
          <w:spacing w:val="-1"/>
          <w:sz w:val="17"/>
        </w:rPr>
        <w:t xml:space="preserve"> </w:t>
      </w:r>
      <w:r>
        <w:rPr>
          <w:sz w:val="17"/>
        </w:rPr>
        <w:t>directiva sobre igualdad racial se extendía a “las personas que, aunque no sean miembros de la raza o grupo étnico en cuestión, sufren sin embargo un trato menos favorable o una desventaja particular por uno de esos motivos”.</w:t>
      </w:r>
    </w:p>
    <w:p w14:paraId="1BD02E5B" w14:textId="77777777" w:rsidR="0014798C" w:rsidRDefault="004E1F0B">
      <w:pPr>
        <w:spacing w:line="307" w:lineRule="auto"/>
        <w:ind w:left="1109" w:right="1185" w:hanging="4"/>
        <w:rPr>
          <w:sz w:val="17"/>
        </w:rPr>
      </w:pPr>
      <w:r>
        <w:rPr>
          <w:sz w:val="17"/>
        </w:rPr>
        <w:t>El</w:t>
      </w:r>
      <w:r>
        <w:rPr>
          <w:spacing w:val="-6"/>
          <w:sz w:val="17"/>
        </w:rPr>
        <w:t xml:space="preserve"> </w:t>
      </w:r>
      <w:r>
        <w:rPr>
          <w:sz w:val="17"/>
        </w:rPr>
        <w:t>caso</w:t>
      </w:r>
      <w:r>
        <w:rPr>
          <w:spacing w:val="-6"/>
          <w:sz w:val="17"/>
        </w:rPr>
        <w:t xml:space="preserve"> </w:t>
      </w:r>
      <w:r>
        <w:rPr>
          <w:sz w:val="17"/>
        </w:rPr>
        <w:t>se</w:t>
      </w:r>
      <w:r>
        <w:rPr>
          <w:spacing w:val="-6"/>
          <w:sz w:val="17"/>
        </w:rPr>
        <w:t xml:space="preserve"> </w:t>
      </w:r>
      <w:r>
        <w:rPr>
          <w:sz w:val="17"/>
        </w:rPr>
        <w:t>refería</w:t>
      </w:r>
      <w:r>
        <w:rPr>
          <w:spacing w:val="-6"/>
          <w:sz w:val="17"/>
        </w:rPr>
        <w:t xml:space="preserve"> </w:t>
      </w:r>
      <w:r>
        <w:rPr>
          <w:sz w:val="17"/>
        </w:rPr>
        <w:t>a</w:t>
      </w:r>
      <w:r>
        <w:rPr>
          <w:spacing w:val="-6"/>
          <w:sz w:val="17"/>
        </w:rPr>
        <w:t xml:space="preserve"> </w:t>
      </w:r>
      <w:proofErr w:type="spellStart"/>
      <w:r>
        <w:rPr>
          <w:sz w:val="17"/>
        </w:rPr>
        <w:t>Anelia</w:t>
      </w:r>
      <w:proofErr w:type="spellEnd"/>
      <w:r>
        <w:rPr>
          <w:spacing w:val="-6"/>
          <w:sz w:val="17"/>
        </w:rPr>
        <w:t xml:space="preserve"> </w:t>
      </w:r>
      <w:proofErr w:type="spellStart"/>
      <w:r>
        <w:rPr>
          <w:sz w:val="17"/>
        </w:rPr>
        <w:t>Nikolova</w:t>
      </w:r>
      <w:proofErr w:type="spellEnd"/>
      <w:r>
        <w:rPr>
          <w:sz w:val="17"/>
        </w:rPr>
        <w:t>,</w:t>
      </w:r>
      <w:r>
        <w:rPr>
          <w:spacing w:val="-5"/>
          <w:sz w:val="17"/>
        </w:rPr>
        <w:t xml:space="preserve"> </w:t>
      </w:r>
      <w:r>
        <w:rPr>
          <w:sz w:val="17"/>
        </w:rPr>
        <w:t>una</w:t>
      </w:r>
      <w:r>
        <w:rPr>
          <w:spacing w:val="-6"/>
          <w:sz w:val="17"/>
        </w:rPr>
        <w:t xml:space="preserve"> </w:t>
      </w:r>
      <w:r>
        <w:rPr>
          <w:sz w:val="17"/>
        </w:rPr>
        <w:t>mujer</w:t>
      </w:r>
      <w:r>
        <w:rPr>
          <w:spacing w:val="-6"/>
          <w:sz w:val="17"/>
        </w:rPr>
        <w:t xml:space="preserve"> </w:t>
      </w:r>
      <w:r>
        <w:rPr>
          <w:sz w:val="17"/>
        </w:rPr>
        <w:t>no</w:t>
      </w:r>
      <w:r>
        <w:rPr>
          <w:spacing w:val="-6"/>
          <w:sz w:val="17"/>
        </w:rPr>
        <w:t xml:space="preserve"> </w:t>
      </w:r>
      <w:r>
        <w:rPr>
          <w:sz w:val="17"/>
        </w:rPr>
        <w:t>romaní</w:t>
      </w:r>
      <w:r>
        <w:rPr>
          <w:spacing w:val="-6"/>
          <w:sz w:val="17"/>
        </w:rPr>
        <w:t xml:space="preserve"> </w:t>
      </w:r>
      <w:r>
        <w:rPr>
          <w:sz w:val="17"/>
        </w:rPr>
        <w:t>que</w:t>
      </w:r>
      <w:r>
        <w:rPr>
          <w:spacing w:val="-6"/>
          <w:sz w:val="17"/>
        </w:rPr>
        <w:t xml:space="preserve"> </w:t>
      </w:r>
      <w:r>
        <w:rPr>
          <w:sz w:val="17"/>
        </w:rPr>
        <w:t>tenía</w:t>
      </w:r>
      <w:r>
        <w:rPr>
          <w:spacing w:val="-6"/>
          <w:sz w:val="17"/>
        </w:rPr>
        <w:t xml:space="preserve"> </w:t>
      </w:r>
      <w:r>
        <w:rPr>
          <w:sz w:val="17"/>
        </w:rPr>
        <w:t>un</w:t>
      </w:r>
      <w:r>
        <w:rPr>
          <w:spacing w:val="-6"/>
          <w:sz w:val="17"/>
        </w:rPr>
        <w:t xml:space="preserve"> </w:t>
      </w:r>
      <w:r>
        <w:rPr>
          <w:sz w:val="17"/>
        </w:rPr>
        <w:t>negocio</w:t>
      </w:r>
      <w:r>
        <w:rPr>
          <w:spacing w:val="-6"/>
          <w:sz w:val="17"/>
        </w:rPr>
        <w:t xml:space="preserve"> </w:t>
      </w:r>
      <w:r>
        <w:rPr>
          <w:sz w:val="17"/>
        </w:rPr>
        <w:t>en</w:t>
      </w:r>
      <w:r>
        <w:rPr>
          <w:spacing w:val="-6"/>
          <w:sz w:val="17"/>
        </w:rPr>
        <w:t xml:space="preserve"> </w:t>
      </w:r>
      <w:r>
        <w:rPr>
          <w:sz w:val="17"/>
        </w:rPr>
        <w:t>un</w:t>
      </w:r>
      <w:r>
        <w:rPr>
          <w:spacing w:val="-6"/>
          <w:sz w:val="17"/>
        </w:rPr>
        <w:t xml:space="preserve"> </w:t>
      </w:r>
      <w:r>
        <w:rPr>
          <w:sz w:val="17"/>
        </w:rPr>
        <w:t>barrio</w:t>
      </w:r>
      <w:r>
        <w:rPr>
          <w:spacing w:val="-6"/>
          <w:sz w:val="17"/>
        </w:rPr>
        <w:t xml:space="preserve"> </w:t>
      </w:r>
      <w:r>
        <w:rPr>
          <w:sz w:val="17"/>
        </w:rPr>
        <w:t>romaní,</w:t>
      </w:r>
      <w:r>
        <w:rPr>
          <w:spacing w:val="-6"/>
          <w:sz w:val="17"/>
        </w:rPr>
        <w:t xml:space="preserve"> </w:t>
      </w:r>
      <w:r>
        <w:rPr>
          <w:sz w:val="17"/>
        </w:rPr>
        <w:t>en</w:t>
      </w:r>
      <w:r>
        <w:rPr>
          <w:spacing w:val="-6"/>
          <w:sz w:val="17"/>
        </w:rPr>
        <w:t xml:space="preserve"> </w:t>
      </w:r>
      <w:r>
        <w:rPr>
          <w:sz w:val="17"/>
        </w:rPr>
        <w:t>el</w:t>
      </w:r>
      <w:r>
        <w:rPr>
          <w:spacing w:val="-6"/>
          <w:sz w:val="17"/>
        </w:rPr>
        <w:t xml:space="preserve"> </w:t>
      </w:r>
      <w:r>
        <w:rPr>
          <w:sz w:val="17"/>
        </w:rPr>
        <w:t>que</w:t>
      </w:r>
      <w:r>
        <w:rPr>
          <w:spacing w:val="-6"/>
          <w:sz w:val="17"/>
        </w:rPr>
        <w:t xml:space="preserve"> </w:t>
      </w:r>
      <w:r>
        <w:rPr>
          <w:sz w:val="17"/>
        </w:rPr>
        <w:t>los</w:t>
      </w:r>
      <w:r>
        <w:rPr>
          <w:spacing w:val="-6"/>
          <w:sz w:val="17"/>
        </w:rPr>
        <w:t xml:space="preserve"> </w:t>
      </w:r>
      <w:r>
        <w:rPr>
          <w:sz w:val="17"/>
        </w:rPr>
        <w:t>contadores eléctricos eran diferentes a los de los barrios predominantemente no romaníes. En su fallo en el caso, el Tribunal sostuvo que el demandante debe demostrar que se había producido discriminación con respecto a un motivo establecido en la directiva;</w:t>
      </w:r>
      <w:r>
        <w:rPr>
          <w:spacing w:val="-8"/>
          <w:sz w:val="17"/>
        </w:rPr>
        <w:t xml:space="preserve"> </w:t>
      </w:r>
      <w:r>
        <w:rPr>
          <w:sz w:val="17"/>
        </w:rPr>
        <w:t>no</w:t>
      </w:r>
      <w:r>
        <w:rPr>
          <w:spacing w:val="-9"/>
          <w:sz w:val="17"/>
        </w:rPr>
        <w:t xml:space="preserve"> </w:t>
      </w:r>
      <w:r>
        <w:rPr>
          <w:sz w:val="17"/>
        </w:rPr>
        <w:t>era</w:t>
      </w:r>
      <w:r>
        <w:rPr>
          <w:spacing w:val="-9"/>
          <w:sz w:val="17"/>
        </w:rPr>
        <w:t xml:space="preserve"> </w:t>
      </w:r>
      <w:r>
        <w:rPr>
          <w:sz w:val="17"/>
        </w:rPr>
        <w:t>necesaria</w:t>
      </w:r>
      <w:r>
        <w:rPr>
          <w:spacing w:val="-9"/>
          <w:sz w:val="17"/>
        </w:rPr>
        <w:t xml:space="preserve"> </w:t>
      </w:r>
      <w:r>
        <w:rPr>
          <w:sz w:val="17"/>
        </w:rPr>
        <w:t>la</w:t>
      </w:r>
      <w:r>
        <w:rPr>
          <w:spacing w:val="-9"/>
          <w:sz w:val="17"/>
        </w:rPr>
        <w:t xml:space="preserve"> </w:t>
      </w:r>
      <w:r>
        <w:rPr>
          <w:sz w:val="17"/>
        </w:rPr>
        <w:t>pertenencia</w:t>
      </w:r>
      <w:r>
        <w:rPr>
          <w:spacing w:val="-9"/>
          <w:sz w:val="17"/>
        </w:rPr>
        <w:t xml:space="preserve"> </w:t>
      </w:r>
      <w:r>
        <w:rPr>
          <w:sz w:val="17"/>
        </w:rPr>
        <w:t>a</w:t>
      </w:r>
      <w:r>
        <w:rPr>
          <w:spacing w:val="-9"/>
          <w:sz w:val="17"/>
        </w:rPr>
        <w:t xml:space="preserve"> </w:t>
      </w:r>
      <w:r>
        <w:rPr>
          <w:sz w:val="17"/>
        </w:rPr>
        <w:t>un</w:t>
      </w:r>
      <w:r>
        <w:rPr>
          <w:spacing w:val="-9"/>
          <w:sz w:val="17"/>
        </w:rPr>
        <w:t xml:space="preserve"> </w:t>
      </w:r>
      <w:r>
        <w:rPr>
          <w:sz w:val="17"/>
        </w:rPr>
        <w:t>grupo</w:t>
      </w:r>
      <w:r>
        <w:rPr>
          <w:spacing w:val="-9"/>
          <w:sz w:val="17"/>
        </w:rPr>
        <w:t xml:space="preserve"> </w:t>
      </w:r>
      <w:r>
        <w:rPr>
          <w:sz w:val="17"/>
        </w:rPr>
        <w:t>determinado.182</w:t>
      </w:r>
      <w:r>
        <w:rPr>
          <w:spacing w:val="-9"/>
          <w:sz w:val="17"/>
        </w:rPr>
        <w:t xml:space="preserve"> </w:t>
      </w:r>
      <w:r>
        <w:rPr>
          <w:sz w:val="17"/>
        </w:rPr>
        <w:t>En</w:t>
      </w:r>
      <w:r>
        <w:rPr>
          <w:spacing w:val="-9"/>
          <w:sz w:val="17"/>
        </w:rPr>
        <w:t xml:space="preserve"> </w:t>
      </w:r>
      <w:r>
        <w:rPr>
          <w:sz w:val="17"/>
        </w:rPr>
        <w:t>consecuencia,</w:t>
      </w:r>
      <w:r>
        <w:rPr>
          <w:spacing w:val="-8"/>
          <w:sz w:val="17"/>
        </w:rPr>
        <w:t xml:space="preserve"> </w:t>
      </w:r>
      <w:r>
        <w:rPr>
          <w:sz w:val="17"/>
        </w:rPr>
        <w:t>la</w:t>
      </w:r>
      <w:r>
        <w:rPr>
          <w:spacing w:val="-9"/>
          <w:sz w:val="17"/>
        </w:rPr>
        <w:t xml:space="preserve"> </w:t>
      </w:r>
      <w:r>
        <w:rPr>
          <w:sz w:val="17"/>
        </w:rPr>
        <w:t>señora</w:t>
      </w:r>
      <w:r>
        <w:rPr>
          <w:spacing w:val="-9"/>
          <w:sz w:val="17"/>
        </w:rPr>
        <w:t xml:space="preserve"> </w:t>
      </w:r>
      <w:proofErr w:type="spellStart"/>
      <w:r>
        <w:rPr>
          <w:sz w:val="17"/>
        </w:rPr>
        <w:t>Nikolova</w:t>
      </w:r>
      <w:proofErr w:type="spellEnd"/>
      <w:r>
        <w:rPr>
          <w:spacing w:val="-9"/>
          <w:sz w:val="17"/>
        </w:rPr>
        <w:t xml:space="preserve"> </w:t>
      </w:r>
      <w:r>
        <w:rPr>
          <w:sz w:val="17"/>
        </w:rPr>
        <w:t>había</w:t>
      </w:r>
      <w:r>
        <w:rPr>
          <w:spacing w:val="-9"/>
          <w:sz w:val="17"/>
        </w:rPr>
        <w:t xml:space="preserve"> </w:t>
      </w:r>
      <w:r>
        <w:rPr>
          <w:sz w:val="17"/>
        </w:rPr>
        <w:t>sufrido discriminación</w:t>
      </w:r>
      <w:r>
        <w:rPr>
          <w:spacing w:val="-1"/>
          <w:sz w:val="17"/>
        </w:rPr>
        <w:t xml:space="preserve"> </w:t>
      </w:r>
      <w:r>
        <w:rPr>
          <w:sz w:val="17"/>
        </w:rPr>
        <w:t>por</w:t>
      </w:r>
      <w:r>
        <w:rPr>
          <w:spacing w:val="-1"/>
          <w:sz w:val="17"/>
        </w:rPr>
        <w:t xml:space="preserve"> </w:t>
      </w:r>
      <w:r>
        <w:rPr>
          <w:sz w:val="17"/>
        </w:rPr>
        <w:t>motivos</w:t>
      </w:r>
      <w:r>
        <w:rPr>
          <w:spacing w:val="-1"/>
          <w:sz w:val="17"/>
        </w:rPr>
        <w:t xml:space="preserve"> </w:t>
      </w:r>
      <w:r>
        <w:rPr>
          <w:sz w:val="17"/>
        </w:rPr>
        <w:t>de</w:t>
      </w:r>
      <w:r>
        <w:rPr>
          <w:spacing w:val="-1"/>
          <w:sz w:val="17"/>
        </w:rPr>
        <w:t xml:space="preserve"> </w:t>
      </w:r>
      <w:r>
        <w:rPr>
          <w:sz w:val="17"/>
        </w:rPr>
        <w:t>origen</w:t>
      </w:r>
      <w:r>
        <w:rPr>
          <w:spacing w:val="-1"/>
          <w:sz w:val="17"/>
        </w:rPr>
        <w:t xml:space="preserve"> </w:t>
      </w:r>
      <w:r>
        <w:rPr>
          <w:sz w:val="17"/>
        </w:rPr>
        <w:t>racial</w:t>
      </w:r>
      <w:r>
        <w:rPr>
          <w:spacing w:val="-1"/>
          <w:sz w:val="17"/>
        </w:rPr>
        <w:t xml:space="preserve"> </w:t>
      </w:r>
      <w:r>
        <w:rPr>
          <w:sz w:val="17"/>
        </w:rPr>
        <w:t>o</w:t>
      </w:r>
      <w:r>
        <w:rPr>
          <w:spacing w:val="-1"/>
          <w:sz w:val="17"/>
        </w:rPr>
        <w:t xml:space="preserve"> </w:t>
      </w:r>
      <w:r>
        <w:rPr>
          <w:sz w:val="17"/>
        </w:rPr>
        <w:t>étnico,</w:t>
      </w:r>
      <w:r>
        <w:rPr>
          <w:spacing w:val="-1"/>
          <w:sz w:val="17"/>
        </w:rPr>
        <w:t xml:space="preserve"> </w:t>
      </w:r>
      <w:r>
        <w:rPr>
          <w:sz w:val="17"/>
        </w:rPr>
        <w:t>independientemente</w:t>
      </w:r>
      <w:r>
        <w:rPr>
          <w:spacing w:val="-1"/>
          <w:sz w:val="17"/>
        </w:rPr>
        <w:t xml:space="preserve"> </w:t>
      </w:r>
      <w:r>
        <w:rPr>
          <w:sz w:val="17"/>
        </w:rPr>
        <w:t>de</w:t>
      </w:r>
      <w:r>
        <w:rPr>
          <w:spacing w:val="-1"/>
          <w:sz w:val="17"/>
        </w:rPr>
        <w:t xml:space="preserve"> </w:t>
      </w:r>
      <w:r>
        <w:rPr>
          <w:sz w:val="17"/>
        </w:rPr>
        <w:t>que</w:t>
      </w:r>
      <w:r>
        <w:rPr>
          <w:spacing w:val="-1"/>
          <w:sz w:val="17"/>
        </w:rPr>
        <w:t xml:space="preserve"> </w:t>
      </w:r>
      <w:r>
        <w:rPr>
          <w:sz w:val="17"/>
        </w:rPr>
        <w:t>no</w:t>
      </w:r>
      <w:r>
        <w:rPr>
          <w:spacing w:val="-1"/>
          <w:sz w:val="17"/>
        </w:rPr>
        <w:t xml:space="preserve"> </w:t>
      </w:r>
      <w:r>
        <w:rPr>
          <w:sz w:val="17"/>
        </w:rPr>
        <w:t>pertenecía</w:t>
      </w:r>
      <w:r>
        <w:rPr>
          <w:spacing w:val="-1"/>
          <w:sz w:val="17"/>
        </w:rPr>
        <w:t xml:space="preserve"> </w:t>
      </w:r>
      <w:r>
        <w:rPr>
          <w:sz w:val="17"/>
        </w:rPr>
        <w:t>al</w:t>
      </w:r>
      <w:r>
        <w:rPr>
          <w:spacing w:val="-1"/>
          <w:sz w:val="17"/>
        </w:rPr>
        <w:t xml:space="preserve"> </w:t>
      </w:r>
      <w:r>
        <w:rPr>
          <w:sz w:val="17"/>
        </w:rPr>
        <w:t>grupo</w:t>
      </w:r>
      <w:r>
        <w:rPr>
          <w:spacing w:val="-1"/>
          <w:sz w:val="17"/>
        </w:rPr>
        <w:t xml:space="preserve"> </w:t>
      </w:r>
      <w:r>
        <w:rPr>
          <w:sz w:val="17"/>
        </w:rPr>
        <w:t>en</w:t>
      </w:r>
      <w:r>
        <w:rPr>
          <w:spacing w:val="-1"/>
          <w:sz w:val="17"/>
        </w:rPr>
        <w:t xml:space="preserve"> </w:t>
      </w:r>
      <w:r>
        <w:rPr>
          <w:sz w:val="17"/>
        </w:rPr>
        <w:t>cuestión. Este enfoque se ha aplicado de manera similar a nivel nacional.183</w:t>
      </w:r>
    </w:p>
    <w:p w14:paraId="1C8F11A2" w14:textId="77777777" w:rsidR="0014798C" w:rsidRDefault="004E1F0B">
      <w:pPr>
        <w:spacing w:before="163" w:line="307" w:lineRule="auto"/>
        <w:ind w:left="1108" w:right="1301" w:hanging="3"/>
        <w:rPr>
          <w:sz w:val="17"/>
        </w:rPr>
      </w:pPr>
      <w:r>
        <w:rPr>
          <w:sz w:val="17"/>
        </w:rPr>
        <w:t>En</w:t>
      </w:r>
      <w:r>
        <w:rPr>
          <w:spacing w:val="-8"/>
          <w:sz w:val="17"/>
        </w:rPr>
        <w:t xml:space="preserve"> </w:t>
      </w:r>
      <w:r>
        <w:rPr>
          <w:sz w:val="17"/>
        </w:rPr>
        <w:t>distintos</w:t>
      </w:r>
      <w:r>
        <w:rPr>
          <w:spacing w:val="-8"/>
          <w:sz w:val="17"/>
        </w:rPr>
        <w:t xml:space="preserve"> </w:t>
      </w:r>
      <w:r>
        <w:rPr>
          <w:sz w:val="17"/>
        </w:rPr>
        <w:t>grados,</w:t>
      </w:r>
      <w:r>
        <w:rPr>
          <w:spacing w:val="-7"/>
          <w:sz w:val="17"/>
        </w:rPr>
        <w:t xml:space="preserve"> </w:t>
      </w:r>
      <w:r>
        <w:rPr>
          <w:sz w:val="17"/>
        </w:rPr>
        <w:t>tanto</w:t>
      </w:r>
      <w:r>
        <w:rPr>
          <w:spacing w:val="-8"/>
          <w:sz w:val="17"/>
        </w:rPr>
        <w:t xml:space="preserve"> </w:t>
      </w:r>
      <w:r>
        <w:rPr>
          <w:sz w:val="17"/>
        </w:rPr>
        <w:t>el</w:t>
      </w:r>
      <w:r>
        <w:rPr>
          <w:spacing w:val="-8"/>
          <w:sz w:val="17"/>
        </w:rPr>
        <w:t xml:space="preserve"> </w:t>
      </w:r>
      <w:r>
        <w:rPr>
          <w:sz w:val="17"/>
        </w:rPr>
        <w:t>Tribunal</w:t>
      </w:r>
      <w:r>
        <w:rPr>
          <w:spacing w:val="-8"/>
          <w:sz w:val="17"/>
        </w:rPr>
        <w:t xml:space="preserve"> </w:t>
      </w:r>
      <w:r>
        <w:rPr>
          <w:sz w:val="17"/>
        </w:rPr>
        <w:t>Europeo</w:t>
      </w:r>
      <w:r>
        <w:rPr>
          <w:spacing w:val="-8"/>
          <w:sz w:val="17"/>
        </w:rPr>
        <w:t xml:space="preserve"> </w:t>
      </w:r>
      <w:r>
        <w:rPr>
          <w:sz w:val="17"/>
        </w:rPr>
        <w:t>de</w:t>
      </w:r>
      <w:r>
        <w:rPr>
          <w:spacing w:val="-8"/>
          <w:sz w:val="17"/>
        </w:rPr>
        <w:t xml:space="preserve"> </w:t>
      </w:r>
      <w:r>
        <w:rPr>
          <w:sz w:val="17"/>
        </w:rPr>
        <w:t>Derechos</w:t>
      </w:r>
      <w:r>
        <w:rPr>
          <w:spacing w:val="-8"/>
          <w:sz w:val="17"/>
        </w:rPr>
        <w:t xml:space="preserve"> </w:t>
      </w:r>
      <w:r>
        <w:rPr>
          <w:sz w:val="17"/>
        </w:rPr>
        <w:t>Humanos184</w:t>
      </w:r>
      <w:r>
        <w:rPr>
          <w:spacing w:val="-8"/>
          <w:sz w:val="17"/>
        </w:rPr>
        <w:t xml:space="preserve"> </w:t>
      </w:r>
      <w:r>
        <w:rPr>
          <w:sz w:val="17"/>
        </w:rPr>
        <w:t>como</w:t>
      </w:r>
      <w:r>
        <w:rPr>
          <w:spacing w:val="-8"/>
          <w:sz w:val="17"/>
        </w:rPr>
        <w:t xml:space="preserve"> </w:t>
      </w:r>
      <w:r>
        <w:rPr>
          <w:sz w:val="17"/>
        </w:rPr>
        <w:t>la</w:t>
      </w:r>
      <w:r>
        <w:rPr>
          <w:spacing w:val="-8"/>
          <w:sz w:val="17"/>
        </w:rPr>
        <w:t xml:space="preserve"> </w:t>
      </w:r>
      <w:r>
        <w:rPr>
          <w:sz w:val="17"/>
        </w:rPr>
        <w:t>Comisión</w:t>
      </w:r>
      <w:r>
        <w:rPr>
          <w:spacing w:val="-8"/>
          <w:sz w:val="17"/>
        </w:rPr>
        <w:t xml:space="preserve"> </w:t>
      </w:r>
      <w:r>
        <w:rPr>
          <w:sz w:val="17"/>
        </w:rPr>
        <w:t>Africana</w:t>
      </w:r>
      <w:r>
        <w:rPr>
          <w:spacing w:val="-8"/>
          <w:sz w:val="17"/>
        </w:rPr>
        <w:t xml:space="preserve"> </w:t>
      </w:r>
      <w:r>
        <w:rPr>
          <w:sz w:val="17"/>
        </w:rPr>
        <w:t>de</w:t>
      </w:r>
      <w:r>
        <w:rPr>
          <w:spacing w:val="-8"/>
          <w:sz w:val="17"/>
        </w:rPr>
        <w:t xml:space="preserve"> </w:t>
      </w:r>
      <w:r>
        <w:rPr>
          <w:sz w:val="17"/>
        </w:rPr>
        <w:t>Derechos</w:t>
      </w:r>
      <w:r>
        <w:rPr>
          <w:spacing w:val="-8"/>
          <w:sz w:val="17"/>
        </w:rPr>
        <w:t xml:space="preserve"> </w:t>
      </w:r>
      <w:r>
        <w:rPr>
          <w:sz w:val="17"/>
        </w:rPr>
        <w:t>Humanos y</w:t>
      </w:r>
      <w:r>
        <w:rPr>
          <w:spacing w:val="-4"/>
          <w:sz w:val="17"/>
        </w:rPr>
        <w:t xml:space="preserve"> </w:t>
      </w:r>
      <w:r>
        <w:rPr>
          <w:sz w:val="17"/>
        </w:rPr>
        <w:t>de</w:t>
      </w:r>
      <w:r>
        <w:rPr>
          <w:spacing w:val="-4"/>
          <w:sz w:val="17"/>
        </w:rPr>
        <w:t xml:space="preserve"> </w:t>
      </w:r>
      <w:r>
        <w:rPr>
          <w:sz w:val="17"/>
        </w:rPr>
        <w:t>los</w:t>
      </w:r>
      <w:r>
        <w:rPr>
          <w:spacing w:val="-4"/>
          <w:sz w:val="17"/>
        </w:rPr>
        <w:t xml:space="preserve"> </w:t>
      </w:r>
      <w:r>
        <w:rPr>
          <w:sz w:val="17"/>
        </w:rPr>
        <w:t>Pueblos</w:t>
      </w:r>
      <w:r>
        <w:rPr>
          <w:spacing w:val="-4"/>
          <w:sz w:val="17"/>
        </w:rPr>
        <w:t xml:space="preserve"> </w:t>
      </w:r>
      <w:r>
        <w:rPr>
          <w:sz w:val="17"/>
        </w:rPr>
        <w:t>han</w:t>
      </w:r>
      <w:r>
        <w:rPr>
          <w:spacing w:val="-4"/>
          <w:sz w:val="17"/>
        </w:rPr>
        <w:t xml:space="preserve"> </w:t>
      </w:r>
      <w:r>
        <w:rPr>
          <w:sz w:val="17"/>
        </w:rPr>
        <w:t>reconocido</w:t>
      </w:r>
      <w:r>
        <w:rPr>
          <w:spacing w:val="-4"/>
          <w:sz w:val="17"/>
        </w:rPr>
        <w:t xml:space="preserve"> </w:t>
      </w:r>
      <w:r>
        <w:rPr>
          <w:sz w:val="17"/>
        </w:rPr>
        <w:t>como</w:t>
      </w:r>
      <w:r>
        <w:rPr>
          <w:spacing w:val="-4"/>
          <w:sz w:val="17"/>
        </w:rPr>
        <w:t xml:space="preserve"> </w:t>
      </w:r>
      <w:r>
        <w:rPr>
          <w:sz w:val="17"/>
        </w:rPr>
        <w:t>prohibidos</w:t>
      </w:r>
      <w:r>
        <w:rPr>
          <w:spacing w:val="-4"/>
          <w:sz w:val="17"/>
        </w:rPr>
        <w:t xml:space="preserve"> </w:t>
      </w:r>
      <w:r>
        <w:rPr>
          <w:sz w:val="17"/>
        </w:rPr>
        <w:t>los</w:t>
      </w:r>
      <w:r>
        <w:rPr>
          <w:spacing w:val="-4"/>
          <w:sz w:val="17"/>
        </w:rPr>
        <w:t xml:space="preserve"> </w:t>
      </w:r>
      <w:r>
        <w:rPr>
          <w:sz w:val="17"/>
        </w:rPr>
        <w:t>actos</w:t>
      </w:r>
      <w:r>
        <w:rPr>
          <w:spacing w:val="-4"/>
          <w:sz w:val="17"/>
        </w:rPr>
        <w:t xml:space="preserve"> </w:t>
      </w:r>
      <w:r>
        <w:rPr>
          <w:sz w:val="17"/>
        </w:rPr>
        <w:t>de</w:t>
      </w:r>
      <w:r>
        <w:rPr>
          <w:spacing w:val="-4"/>
          <w:sz w:val="17"/>
        </w:rPr>
        <w:t xml:space="preserve"> </w:t>
      </w:r>
      <w:r>
        <w:rPr>
          <w:sz w:val="17"/>
        </w:rPr>
        <w:t>discriminación</w:t>
      </w:r>
      <w:r>
        <w:rPr>
          <w:spacing w:val="-4"/>
          <w:sz w:val="17"/>
        </w:rPr>
        <w:t xml:space="preserve"> </w:t>
      </w:r>
      <w:r>
        <w:rPr>
          <w:sz w:val="17"/>
        </w:rPr>
        <w:t>basados</w:t>
      </w:r>
      <w:r>
        <w:rPr>
          <w:spacing w:val="-4"/>
          <w:sz w:val="17"/>
        </w:rPr>
        <w:t xml:space="preserve"> </w:t>
      </w:r>
      <w:r>
        <w:rPr>
          <w:sz w:val="17"/>
        </w:rPr>
        <w:t>en</w:t>
      </w:r>
      <w:r>
        <w:rPr>
          <w:spacing w:val="-4"/>
          <w:sz w:val="17"/>
        </w:rPr>
        <w:t xml:space="preserve"> </w:t>
      </w:r>
      <w:r>
        <w:rPr>
          <w:sz w:val="17"/>
        </w:rPr>
        <w:t>la</w:t>
      </w:r>
      <w:r>
        <w:rPr>
          <w:spacing w:val="-4"/>
          <w:sz w:val="17"/>
        </w:rPr>
        <w:t xml:space="preserve"> </w:t>
      </w:r>
      <w:r>
        <w:rPr>
          <w:sz w:val="17"/>
        </w:rPr>
        <w:t>percepción</w:t>
      </w:r>
      <w:r>
        <w:rPr>
          <w:spacing w:val="-4"/>
          <w:sz w:val="17"/>
        </w:rPr>
        <w:t xml:space="preserve"> </w:t>
      </w:r>
      <w:r>
        <w:rPr>
          <w:sz w:val="17"/>
        </w:rPr>
        <w:t>o</w:t>
      </w:r>
      <w:r>
        <w:rPr>
          <w:spacing w:val="-4"/>
          <w:sz w:val="17"/>
        </w:rPr>
        <w:t xml:space="preserve"> </w:t>
      </w:r>
      <w:r>
        <w:rPr>
          <w:sz w:val="17"/>
        </w:rPr>
        <w:t>la</w:t>
      </w:r>
      <w:r>
        <w:rPr>
          <w:spacing w:val="-4"/>
          <w:sz w:val="17"/>
        </w:rPr>
        <w:t xml:space="preserve"> </w:t>
      </w:r>
      <w:r>
        <w:rPr>
          <w:sz w:val="17"/>
        </w:rPr>
        <w:t>asociación.185</w:t>
      </w:r>
    </w:p>
    <w:p w14:paraId="37A42CA6" w14:textId="77777777" w:rsidR="0014798C" w:rsidRDefault="0014798C">
      <w:pPr>
        <w:pStyle w:val="Textoindependiente"/>
        <w:rPr>
          <w:sz w:val="20"/>
        </w:rPr>
      </w:pPr>
    </w:p>
    <w:p w14:paraId="3051AA02" w14:textId="77777777" w:rsidR="0014798C" w:rsidRDefault="0014798C">
      <w:pPr>
        <w:pStyle w:val="Textoindependiente"/>
        <w:rPr>
          <w:sz w:val="20"/>
        </w:rPr>
      </w:pPr>
    </w:p>
    <w:p w14:paraId="47F3D010" w14:textId="77777777" w:rsidR="0014798C" w:rsidRDefault="0014798C">
      <w:pPr>
        <w:pStyle w:val="Textoindependiente"/>
        <w:rPr>
          <w:sz w:val="20"/>
        </w:rPr>
      </w:pPr>
    </w:p>
    <w:p w14:paraId="6F81DEA2" w14:textId="77777777" w:rsidR="0014798C" w:rsidRDefault="0014798C">
      <w:pPr>
        <w:pStyle w:val="Textoindependiente"/>
        <w:rPr>
          <w:sz w:val="20"/>
        </w:rPr>
      </w:pPr>
    </w:p>
    <w:p w14:paraId="6446F179" w14:textId="77777777" w:rsidR="0014798C" w:rsidRDefault="0014798C">
      <w:pPr>
        <w:pStyle w:val="Textoindependiente"/>
        <w:rPr>
          <w:sz w:val="20"/>
        </w:rPr>
      </w:pPr>
    </w:p>
    <w:p w14:paraId="10AA9C48" w14:textId="77777777" w:rsidR="0014798C" w:rsidRDefault="0014798C">
      <w:pPr>
        <w:pStyle w:val="Textoindependiente"/>
        <w:rPr>
          <w:sz w:val="20"/>
        </w:rPr>
      </w:pPr>
    </w:p>
    <w:p w14:paraId="7C3A2A27" w14:textId="77777777" w:rsidR="0014798C" w:rsidRDefault="0014798C">
      <w:pPr>
        <w:pStyle w:val="Textoindependiente"/>
        <w:rPr>
          <w:sz w:val="20"/>
        </w:rPr>
      </w:pPr>
    </w:p>
    <w:p w14:paraId="5E701C9E" w14:textId="77777777" w:rsidR="0014798C" w:rsidRDefault="0014798C">
      <w:pPr>
        <w:pStyle w:val="Textoindependiente"/>
        <w:rPr>
          <w:sz w:val="20"/>
        </w:rPr>
      </w:pPr>
    </w:p>
    <w:p w14:paraId="0E06BC62" w14:textId="77777777" w:rsidR="0014798C" w:rsidRDefault="0014798C">
      <w:pPr>
        <w:pStyle w:val="Textoindependiente"/>
        <w:rPr>
          <w:sz w:val="20"/>
        </w:rPr>
      </w:pPr>
    </w:p>
    <w:p w14:paraId="3375AD0E" w14:textId="77777777" w:rsidR="0014798C" w:rsidRDefault="0014798C">
      <w:pPr>
        <w:pStyle w:val="Textoindependiente"/>
        <w:rPr>
          <w:sz w:val="20"/>
        </w:rPr>
      </w:pPr>
    </w:p>
    <w:p w14:paraId="447CC76E" w14:textId="77777777" w:rsidR="0014798C" w:rsidRDefault="004E1F0B">
      <w:pPr>
        <w:pStyle w:val="Textoindependiente"/>
        <w:spacing w:before="217"/>
        <w:rPr>
          <w:sz w:val="20"/>
        </w:rPr>
      </w:pPr>
      <w:r>
        <w:rPr>
          <w:noProof/>
        </w:rPr>
        <w:drawing>
          <wp:anchor distT="0" distB="0" distL="0" distR="0" simplePos="0" relativeHeight="251658523" behindDoc="1" locked="0" layoutInCell="1" allowOverlap="1" wp14:anchorId="2487B126" wp14:editId="04A3C697">
            <wp:simplePos x="0" y="0"/>
            <wp:positionH relativeFrom="page">
              <wp:posOffset>826632</wp:posOffset>
            </wp:positionH>
            <wp:positionV relativeFrom="paragraph">
              <wp:posOffset>299601</wp:posOffset>
            </wp:positionV>
            <wp:extent cx="931001" cy="35813"/>
            <wp:effectExtent l="0" t="0" r="0" b="0"/>
            <wp:wrapTopAndBottom/>
            <wp:docPr id="100" name="Image 10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00" name="Image 100"/>
                    <pic:cNvPicPr/>
                  </pic:nvPicPr>
                  <pic:blipFill>
                    <a:blip r:embed="rId105" cstate="print"/>
                    <a:stretch>
                      <a:fillRect/>
                    </a:stretch>
                  </pic:blipFill>
                  <pic:spPr>
                    <a:xfrm>
                      <a:off x="0" y="0"/>
                      <a:ext cx="931001" cy="35813"/>
                    </a:xfrm>
                    <a:prstGeom prst="rect">
                      <a:avLst/>
                    </a:prstGeom>
                  </pic:spPr>
                </pic:pic>
              </a:graphicData>
            </a:graphic>
          </wp:anchor>
        </w:drawing>
      </w:r>
    </w:p>
    <w:p w14:paraId="01FB9C88" w14:textId="77777777" w:rsidR="0014798C" w:rsidRDefault="0014798C">
      <w:pPr>
        <w:pStyle w:val="Textoindependiente"/>
        <w:spacing w:before="10"/>
        <w:rPr>
          <w:sz w:val="12"/>
        </w:rPr>
      </w:pPr>
    </w:p>
    <w:p w14:paraId="2CB0D184" w14:textId="77777777" w:rsidR="0014798C" w:rsidRDefault="004E1F0B">
      <w:pPr>
        <w:pStyle w:val="Prrafodelista"/>
        <w:numPr>
          <w:ilvl w:val="0"/>
          <w:numId w:val="81"/>
        </w:numPr>
        <w:tabs>
          <w:tab w:val="left" w:pos="241"/>
        </w:tabs>
        <w:ind w:left="241" w:right="1868" w:hanging="241"/>
        <w:jc w:val="right"/>
        <w:rPr>
          <w:sz w:val="12"/>
        </w:rPr>
      </w:pPr>
      <w:r>
        <w:rPr>
          <w:spacing w:val="-2"/>
          <w:w w:val="105"/>
          <w:sz w:val="12"/>
        </w:rPr>
        <w:t>Corte</w:t>
      </w:r>
      <w:r>
        <w:rPr>
          <w:spacing w:val="3"/>
          <w:w w:val="105"/>
          <w:sz w:val="12"/>
        </w:rPr>
        <w:t xml:space="preserve"> </w:t>
      </w:r>
      <w:r>
        <w:rPr>
          <w:spacing w:val="-2"/>
          <w:w w:val="105"/>
          <w:sz w:val="12"/>
        </w:rPr>
        <w:t>Interamericana</w:t>
      </w:r>
      <w:r>
        <w:rPr>
          <w:spacing w:val="3"/>
          <w:w w:val="105"/>
          <w:sz w:val="12"/>
        </w:rPr>
        <w:t xml:space="preserve"> </w:t>
      </w:r>
      <w:r>
        <w:rPr>
          <w:spacing w:val="-2"/>
          <w:w w:val="105"/>
          <w:sz w:val="12"/>
        </w:rPr>
        <w:t>de</w:t>
      </w:r>
      <w:r>
        <w:rPr>
          <w:spacing w:val="3"/>
          <w:w w:val="105"/>
          <w:sz w:val="12"/>
        </w:rPr>
        <w:t xml:space="preserve"> </w:t>
      </w:r>
      <w:r>
        <w:rPr>
          <w:spacing w:val="-2"/>
          <w:w w:val="105"/>
          <w:sz w:val="12"/>
        </w:rPr>
        <w:t>Derechos</w:t>
      </w:r>
      <w:r>
        <w:rPr>
          <w:spacing w:val="4"/>
          <w:w w:val="105"/>
          <w:sz w:val="12"/>
        </w:rPr>
        <w:t xml:space="preserve"> </w:t>
      </w:r>
      <w:r>
        <w:rPr>
          <w:spacing w:val="-2"/>
          <w:w w:val="105"/>
          <w:sz w:val="12"/>
        </w:rPr>
        <w:t>Humanos,</w:t>
      </w:r>
      <w:r>
        <w:rPr>
          <w:spacing w:val="3"/>
          <w:w w:val="105"/>
          <w:sz w:val="12"/>
        </w:rPr>
        <w:t xml:space="preserve"> </w:t>
      </w:r>
      <w:r>
        <w:rPr>
          <w:spacing w:val="-2"/>
          <w:w w:val="105"/>
          <w:sz w:val="12"/>
        </w:rPr>
        <w:t>Opinión</w:t>
      </w:r>
      <w:r>
        <w:rPr>
          <w:spacing w:val="3"/>
          <w:w w:val="105"/>
          <w:sz w:val="12"/>
        </w:rPr>
        <w:t xml:space="preserve"> </w:t>
      </w:r>
      <w:r>
        <w:rPr>
          <w:spacing w:val="-2"/>
          <w:w w:val="105"/>
          <w:sz w:val="12"/>
        </w:rPr>
        <w:t>Consultiva</w:t>
      </w:r>
      <w:r>
        <w:rPr>
          <w:spacing w:val="3"/>
          <w:w w:val="105"/>
          <w:sz w:val="12"/>
        </w:rPr>
        <w:t xml:space="preserve"> </w:t>
      </w:r>
      <w:r>
        <w:rPr>
          <w:spacing w:val="-2"/>
          <w:w w:val="105"/>
          <w:sz w:val="12"/>
        </w:rPr>
        <w:t>OC-24/17,</w:t>
      </w:r>
      <w:r>
        <w:rPr>
          <w:spacing w:val="4"/>
          <w:w w:val="105"/>
          <w:sz w:val="12"/>
        </w:rPr>
        <w:t xml:space="preserve"> </w:t>
      </w:r>
      <w:r>
        <w:rPr>
          <w:spacing w:val="-2"/>
          <w:w w:val="105"/>
          <w:sz w:val="12"/>
        </w:rPr>
        <w:t>24</w:t>
      </w:r>
      <w:r>
        <w:rPr>
          <w:spacing w:val="3"/>
          <w:w w:val="105"/>
          <w:sz w:val="12"/>
        </w:rPr>
        <w:t xml:space="preserve"> </w:t>
      </w:r>
      <w:r>
        <w:rPr>
          <w:spacing w:val="-2"/>
          <w:w w:val="105"/>
          <w:sz w:val="12"/>
        </w:rPr>
        <w:t>de</w:t>
      </w:r>
      <w:r>
        <w:rPr>
          <w:spacing w:val="3"/>
          <w:w w:val="105"/>
          <w:sz w:val="12"/>
        </w:rPr>
        <w:t xml:space="preserve"> </w:t>
      </w:r>
      <w:r>
        <w:rPr>
          <w:spacing w:val="-2"/>
          <w:w w:val="105"/>
          <w:sz w:val="12"/>
        </w:rPr>
        <w:t>noviembre</w:t>
      </w:r>
      <w:r>
        <w:rPr>
          <w:spacing w:val="3"/>
          <w:w w:val="105"/>
          <w:sz w:val="12"/>
        </w:rPr>
        <w:t xml:space="preserve"> </w:t>
      </w:r>
      <w:r>
        <w:rPr>
          <w:spacing w:val="-2"/>
          <w:w w:val="105"/>
          <w:sz w:val="12"/>
        </w:rPr>
        <w:t>de</w:t>
      </w:r>
      <w:r>
        <w:rPr>
          <w:spacing w:val="4"/>
          <w:w w:val="105"/>
          <w:sz w:val="12"/>
        </w:rPr>
        <w:t xml:space="preserve"> </w:t>
      </w:r>
      <w:r>
        <w:rPr>
          <w:spacing w:val="-2"/>
          <w:w w:val="105"/>
          <w:sz w:val="12"/>
        </w:rPr>
        <w:t>2017,</w:t>
      </w:r>
      <w:r>
        <w:rPr>
          <w:spacing w:val="3"/>
          <w:w w:val="105"/>
          <w:sz w:val="12"/>
        </w:rPr>
        <w:t xml:space="preserve"> </w:t>
      </w:r>
      <w:r>
        <w:rPr>
          <w:spacing w:val="-2"/>
          <w:w w:val="105"/>
          <w:sz w:val="12"/>
        </w:rPr>
        <w:t>párr.</w:t>
      </w:r>
      <w:r>
        <w:rPr>
          <w:spacing w:val="3"/>
          <w:w w:val="105"/>
          <w:sz w:val="12"/>
        </w:rPr>
        <w:t xml:space="preserve"> </w:t>
      </w:r>
      <w:r>
        <w:rPr>
          <w:spacing w:val="-2"/>
          <w:w w:val="105"/>
          <w:sz w:val="12"/>
        </w:rPr>
        <w:t>79.</w:t>
      </w:r>
      <w:r>
        <w:rPr>
          <w:spacing w:val="3"/>
          <w:w w:val="105"/>
          <w:sz w:val="12"/>
        </w:rPr>
        <w:t xml:space="preserve"> </w:t>
      </w:r>
      <w:r>
        <w:rPr>
          <w:spacing w:val="-2"/>
          <w:w w:val="105"/>
          <w:sz w:val="12"/>
        </w:rPr>
        <w:t>Véase</w:t>
      </w:r>
      <w:r>
        <w:rPr>
          <w:spacing w:val="4"/>
          <w:w w:val="105"/>
          <w:sz w:val="12"/>
        </w:rPr>
        <w:t xml:space="preserve"> </w:t>
      </w:r>
      <w:r>
        <w:rPr>
          <w:spacing w:val="-2"/>
          <w:w w:val="105"/>
          <w:sz w:val="12"/>
        </w:rPr>
        <w:t>también</w:t>
      </w:r>
      <w:r>
        <w:rPr>
          <w:spacing w:val="3"/>
          <w:w w:val="105"/>
          <w:sz w:val="12"/>
        </w:rPr>
        <w:t xml:space="preserve"> </w:t>
      </w:r>
      <w:r>
        <w:rPr>
          <w:spacing w:val="-2"/>
          <w:w w:val="105"/>
          <w:sz w:val="12"/>
        </w:rPr>
        <w:t>Corte</w:t>
      </w:r>
      <w:r>
        <w:rPr>
          <w:spacing w:val="3"/>
          <w:w w:val="105"/>
          <w:sz w:val="12"/>
        </w:rPr>
        <w:t xml:space="preserve"> </w:t>
      </w:r>
      <w:r>
        <w:rPr>
          <w:spacing w:val="-2"/>
          <w:w w:val="105"/>
          <w:sz w:val="12"/>
        </w:rPr>
        <w:t>Interamericana</w:t>
      </w:r>
      <w:r>
        <w:rPr>
          <w:spacing w:val="3"/>
          <w:w w:val="105"/>
          <w:sz w:val="12"/>
        </w:rPr>
        <w:t xml:space="preserve"> </w:t>
      </w:r>
      <w:r>
        <w:rPr>
          <w:spacing w:val="-5"/>
          <w:w w:val="105"/>
          <w:sz w:val="12"/>
        </w:rPr>
        <w:t>de</w:t>
      </w:r>
    </w:p>
    <w:p w14:paraId="16629311" w14:textId="77777777" w:rsidR="0014798C" w:rsidRDefault="004E1F0B">
      <w:pPr>
        <w:spacing w:before="42"/>
        <w:ind w:right="1821"/>
        <w:jc w:val="right"/>
        <w:rPr>
          <w:sz w:val="12"/>
        </w:rPr>
      </w:pPr>
      <w:r>
        <w:rPr>
          <w:spacing w:val="-2"/>
          <w:sz w:val="12"/>
        </w:rPr>
        <w:t>Derechos</w:t>
      </w:r>
      <w:r>
        <w:rPr>
          <w:spacing w:val="-4"/>
          <w:sz w:val="12"/>
        </w:rPr>
        <w:t xml:space="preserve"> </w:t>
      </w:r>
      <w:r>
        <w:rPr>
          <w:spacing w:val="-2"/>
          <w:sz w:val="12"/>
        </w:rPr>
        <w:t>Humanos,</w:t>
      </w:r>
      <w:r>
        <w:rPr>
          <w:spacing w:val="-4"/>
          <w:sz w:val="12"/>
        </w:rPr>
        <w:t xml:space="preserve"> </w:t>
      </w:r>
      <w:r>
        <w:rPr>
          <w:spacing w:val="-2"/>
          <w:sz w:val="12"/>
        </w:rPr>
        <w:t>Perozo</w:t>
      </w:r>
      <w:r>
        <w:rPr>
          <w:spacing w:val="-4"/>
          <w:sz w:val="12"/>
        </w:rPr>
        <w:t xml:space="preserve"> </w:t>
      </w:r>
      <w:r>
        <w:rPr>
          <w:spacing w:val="-2"/>
          <w:sz w:val="12"/>
        </w:rPr>
        <w:t>et</w:t>
      </w:r>
      <w:r>
        <w:rPr>
          <w:spacing w:val="-3"/>
          <w:sz w:val="12"/>
        </w:rPr>
        <w:t xml:space="preserve"> </w:t>
      </w:r>
      <w:r>
        <w:rPr>
          <w:spacing w:val="-2"/>
          <w:sz w:val="12"/>
        </w:rPr>
        <w:t>al.</w:t>
      </w:r>
      <w:r>
        <w:rPr>
          <w:spacing w:val="-4"/>
          <w:sz w:val="12"/>
        </w:rPr>
        <w:t xml:space="preserve"> </w:t>
      </w:r>
      <w:r>
        <w:rPr>
          <w:spacing w:val="-2"/>
          <w:sz w:val="12"/>
        </w:rPr>
        <w:t>Venezuela,</w:t>
      </w:r>
      <w:r>
        <w:rPr>
          <w:spacing w:val="-4"/>
          <w:sz w:val="12"/>
        </w:rPr>
        <w:t xml:space="preserve"> </w:t>
      </w:r>
      <w:r>
        <w:rPr>
          <w:spacing w:val="-2"/>
          <w:sz w:val="12"/>
        </w:rPr>
        <w:t>Sentencia</w:t>
      </w:r>
      <w:r>
        <w:rPr>
          <w:spacing w:val="-3"/>
          <w:sz w:val="12"/>
        </w:rPr>
        <w:t xml:space="preserve"> </w:t>
      </w:r>
      <w:r>
        <w:rPr>
          <w:spacing w:val="-2"/>
          <w:sz w:val="12"/>
        </w:rPr>
        <w:t>de</w:t>
      </w:r>
      <w:r>
        <w:rPr>
          <w:spacing w:val="-4"/>
          <w:sz w:val="12"/>
        </w:rPr>
        <w:t xml:space="preserve"> </w:t>
      </w:r>
      <w:r>
        <w:rPr>
          <w:spacing w:val="-2"/>
          <w:sz w:val="12"/>
        </w:rPr>
        <w:t>28</w:t>
      </w:r>
      <w:r>
        <w:rPr>
          <w:spacing w:val="-4"/>
          <w:sz w:val="12"/>
        </w:rPr>
        <w:t xml:space="preserve"> </w:t>
      </w:r>
      <w:r>
        <w:rPr>
          <w:spacing w:val="-2"/>
          <w:sz w:val="12"/>
        </w:rPr>
        <w:t>de</w:t>
      </w:r>
      <w:r>
        <w:rPr>
          <w:spacing w:val="-3"/>
          <w:sz w:val="12"/>
        </w:rPr>
        <w:t xml:space="preserve"> </w:t>
      </w:r>
      <w:r>
        <w:rPr>
          <w:spacing w:val="-2"/>
          <w:sz w:val="12"/>
        </w:rPr>
        <w:t>enero</w:t>
      </w:r>
      <w:r>
        <w:rPr>
          <w:spacing w:val="-4"/>
          <w:sz w:val="12"/>
        </w:rPr>
        <w:t xml:space="preserve"> </w:t>
      </w:r>
      <w:r>
        <w:rPr>
          <w:spacing w:val="-2"/>
          <w:sz w:val="12"/>
        </w:rPr>
        <w:t>de</w:t>
      </w:r>
      <w:r>
        <w:rPr>
          <w:spacing w:val="-4"/>
          <w:sz w:val="12"/>
        </w:rPr>
        <w:t xml:space="preserve"> </w:t>
      </w:r>
      <w:r>
        <w:rPr>
          <w:spacing w:val="-2"/>
          <w:sz w:val="12"/>
        </w:rPr>
        <w:t>2009,</w:t>
      </w:r>
      <w:r>
        <w:rPr>
          <w:spacing w:val="-3"/>
          <w:sz w:val="12"/>
        </w:rPr>
        <w:t xml:space="preserve"> </w:t>
      </w:r>
      <w:r>
        <w:rPr>
          <w:spacing w:val="-2"/>
          <w:sz w:val="12"/>
        </w:rPr>
        <w:t>párr.</w:t>
      </w:r>
      <w:r>
        <w:rPr>
          <w:spacing w:val="-4"/>
          <w:sz w:val="12"/>
        </w:rPr>
        <w:t xml:space="preserve"> </w:t>
      </w:r>
      <w:r>
        <w:rPr>
          <w:spacing w:val="-2"/>
          <w:sz w:val="12"/>
        </w:rPr>
        <w:t>380;</w:t>
      </w:r>
      <w:r>
        <w:rPr>
          <w:spacing w:val="-4"/>
          <w:sz w:val="12"/>
        </w:rPr>
        <w:t xml:space="preserve"> </w:t>
      </w:r>
      <w:r>
        <w:rPr>
          <w:spacing w:val="-2"/>
          <w:sz w:val="12"/>
        </w:rPr>
        <w:t>y</w:t>
      </w:r>
      <w:r>
        <w:rPr>
          <w:spacing w:val="-3"/>
          <w:sz w:val="12"/>
        </w:rPr>
        <w:t xml:space="preserve"> </w:t>
      </w:r>
      <w:r>
        <w:rPr>
          <w:spacing w:val="-2"/>
          <w:sz w:val="12"/>
        </w:rPr>
        <w:t>Ríos</w:t>
      </w:r>
      <w:r>
        <w:rPr>
          <w:spacing w:val="-4"/>
          <w:sz w:val="12"/>
        </w:rPr>
        <w:t xml:space="preserve"> </w:t>
      </w:r>
      <w:r>
        <w:rPr>
          <w:spacing w:val="-2"/>
          <w:sz w:val="12"/>
        </w:rPr>
        <w:t>et</w:t>
      </w:r>
      <w:r>
        <w:rPr>
          <w:spacing w:val="-4"/>
          <w:sz w:val="12"/>
        </w:rPr>
        <w:t xml:space="preserve"> </w:t>
      </w:r>
      <w:r>
        <w:rPr>
          <w:spacing w:val="-2"/>
          <w:sz w:val="12"/>
        </w:rPr>
        <w:t>al.</w:t>
      </w:r>
      <w:r>
        <w:rPr>
          <w:spacing w:val="-3"/>
          <w:sz w:val="12"/>
        </w:rPr>
        <w:t xml:space="preserve"> </w:t>
      </w:r>
      <w:r>
        <w:rPr>
          <w:spacing w:val="-2"/>
          <w:sz w:val="12"/>
        </w:rPr>
        <w:t>Venezuela,</w:t>
      </w:r>
      <w:r>
        <w:rPr>
          <w:spacing w:val="-4"/>
          <w:sz w:val="12"/>
        </w:rPr>
        <w:t xml:space="preserve"> </w:t>
      </w:r>
      <w:r>
        <w:rPr>
          <w:spacing w:val="-2"/>
          <w:sz w:val="12"/>
        </w:rPr>
        <w:t>Sentencia</w:t>
      </w:r>
      <w:r>
        <w:rPr>
          <w:spacing w:val="-4"/>
          <w:sz w:val="12"/>
        </w:rPr>
        <w:t xml:space="preserve"> </w:t>
      </w:r>
      <w:r>
        <w:rPr>
          <w:spacing w:val="-2"/>
          <w:sz w:val="12"/>
        </w:rPr>
        <w:t>de</w:t>
      </w:r>
      <w:r>
        <w:rPr>
          <w:spacing w:val="-3"/>
          <w:sz w:val="12"/>
        </w:rPr>
        <w:t xml:space="preserve"> </w:t>
      </w:r>
      <w:r>
        <w:rPr>
          <w:spacing w:val="-2"/>
          <w:sz w:val="12"/>
        </w:rPr>
        <w:t>28</w:t>
      </w:r>
      <w:r>
        <w:rPr>
          <w:spacing w:val="-4"/>
          <w:sz w:val="12"/>
        </w:rPr>
        <w:t xml:space="preserve"> </w:t>
      </w:r>
      <w:r>
        <w:rPr>
          <w:spacing w:val="-2"/>
          <w:sz w:val="12"/>
        </w:rPr>
        <w:t>de</w:t>
      </w:r>
      <w:r>
        <w:rPr>
          <w:spacing w:val="-4"/>
          <w:sz w:val="12"/>
        </w:rPr>
        <w:t xml:space="preserve"> </w:t>
      </w:r>
      <w:r>
        <w:rPr>
          <w:spacing w:val="-2"/>
          <w:sz w:val="12"/>
        </w:rPr>
        <w:t>enero</w:t>
      </w:r>
      <w:r>
        <w:rPr>
          <w:spacing w:val="-3"/>
          <w:sz w:val="12"/>
        </w:rPr>
        <w:t xml:space="preserve"> </w:t>
      </w:r>
      <w:r>
        <w:rPr>
          <w:spacing w:val="-2"/>
          <w:sz w:val="12"/>
        </w:rPr>
        <w:t>de</w:t>
      </w:r>
      <w:r>
        <w:rPr>
          <w:spacing w:val="-4"/>
          <w:sz w:val="12"/>
        </w:rPr>
        <w:t xml:space="preserve"> </w:t>
      </w:r>
      <w:r>
        <w:rPr>
          <w:spacing w:val="-2"/>
          <w:sz w:val="12"/>
        </w:rPr>
        <w:t>2009,</w:t>
      </w:r>
      <w:r>
        <w:rPr>
          <w:spacing w:val="-4"/>
          <w:sz w:val="12"/>
        </w:rPr>
        <w:t xml:space="preserve"> </w:t>
      </w:r>
      <w:r>
        <w:rPr>
          <w:spacing w:val="-2"/>
          <w:sz w:val="12"/>
        </w:rPr>
        <w:t>párr.</w:t>
      </w:r>
      <w:r>
        <w:rPr>
          <w:spacing w:val="-3"/>
          <w:sz w:val="12"/>
        </w:rPr>
        <w:t xml:space="preserve"> </w:t>
      </w:r>
      <w:r>
        <w:rPr>
          <w:spacing w:val="-4"/>
          <w:sz w:val="12"/>
        </w:rPr>
        <w:t>349.</w:t>
      </w:r>
    </w:p>
    <w:p w14:paraId="5EB0C30C" w14:textId="77777777" w:rsidR="0014798C" w:rsidRDefault="0014798C">
      <w:pPr>
        <w:pStyle w:val="Textoindependiente"/>
        <w:rPr>
          <w:sz w:val="12"/>
        </w:rPr>
      </w:pPr>
    </w:p>
    <w:p w14:paraId="3E379553" w14:textId="77777777" w:rsidR="0014798C" w:rsidRDefault="0014798C">
      <w:pPr>
        <w:pStyle w:val="Textoindependiente"/>
        <w:spacing w:before="2"/>
        <w:rPr>
          <w:sz w:val="12"/>
        </w:rPr>
      </w:pPr>
    </w:p>
    <w:p w14:paraId="7568758E" w14:textId="77777777" w:rsidR="0014798C" w:rsidRDefault="004E1F0B">
      <w:pPr>
        <w:pStyle w:val="Prrafodelista"/>
        <w:numPr>
          <w:ilvl w:val="0"/>
          <w:numId w:val="81"/>
        </w:numPr>
        <w:tabs>
          <w:tab w:val="left" w:pos="1338"/>
        </w:tabs>
        <w:ind w:left="1338" w:hanging="227"/>
        <w:rPr>
          <w:sz w:val="12"/>
        </w:rPr>
      </w:pPr>
      <w:r>
        <w:rPr>
          <w:spacing w:val="-2"/>
          <w:sz w:val="12"/>
        </w:rPr>
        <w:t>Corte</w:t>
      </w:r>
      <w:r>
        <w:rPr>
          <w:spacing w:val="-1"/>
          <w:sz w:val="12"/>
        </w:rPr>
        <w:t xml:space="preserve"> </w:t>
      </w:r>
      <w:r>
        <w:rPr>
          <w:spacing w:val="-2"/>
          <w:sz w:val="12"/>
        </w:rPr>
        <w:t>Interamericana</w:t>
      </w:r>
      <w:r>
        <w:rPr>
          <w:sz w:val="12"/>
        </w:rPr>
        <w:t xml:space="preserve"> </w:t>
      </w:r>
      <w:r>
        <w:rPr>
          <w:spacing w:val="-2"/>
          <w:sz w:val="12"/>
        </w:rPr>
        <w:t>de</w:t>
      </w:r>
      <w:r>
        <w:rPr>
          <w:spacing w:val="-1"/>
          <w:sz w:val="12"/>
        </w:rPr>
        <w:t xml:space="preserve"> </w:t>
      </w:r>
      <w:r>
        <w:rPr>
          <w:spacing w:val="-2"/>
          <w:sz w:val="12"/>
        </w:rPr>
        <w:t>Derechos</w:t>
      </w:r>
      <w:r>
        <w:rPr>
          <w:sz w:val="12"/>
        </w:rPr>
        <w:t xml:space="preserve"> </w:t>
      </w:r>
      <w:r>
        <w:rPr>
          <w:spacing w:val="-2"/>
          <w:sz w:val="12"/>
        </w:rPr>
        <w:t>Humanos,</w:t>
      </w:r>
      <w:r>
        <w:rPr>
          <w:sz w:val="12"/>
        </w:rPr>
        <w:t xml:space="preserve"> </w:t>
      </w:r>
      <w:r>
        <w:rPr>
          <w:spacing w:val="-2"/>
          <w:sz w:val="12"/>
        </w:rPr>
        <w:t>Flor</w:t>
      </w:r>
      <w:r>
        <w:rPr>
          <w:spacing w:val="-1"/>
          <w:sz w:val="12"/>
        </w:rPr>
        <w:t xml:space="preserve"> </w:t>
      </w:r>
      <w:r>
        <w:rPr>
          <w:spacing w:val="-2"/>
          <w:sz w:val="12"/>
        </w:rPr>
        <w:t>Freire</w:t>
      </w:r>
      <w:r>
        <w:rPr>
          <w:sz w:val="12"/>
        </w:rPr>
        <w:t xml:space="preserve"> </w:t>
      </w:r>
      <w:r>
        <w:rPr>
          <w:spacing w:val="-2"/>
          <w:sz w:val="12"/>
        </w:rPr>
        <w:t>vs.</w:t>
      </w:r>
      <w:r>
        <w:rPr>
          <w:spacing w:val="-1"/>
          <w:sz w:val="12"/>
        </w:rPr>
        <w:t xml:space="preserve"> </w:t>
      </w:r>
      <w:r>
        <w:rPr>
          <w:spacing w:val="-2"/>
          <w:sz w:val="12"/>
        </w:rPr>
        <w:t>Ecuador,</w:t>
      </w:r>
      <w:r>
        <w:rPr>
          <w:sz w:val="12"/>
        </w:rPr>
        <w:t xml:space="preserve"> </w:t>
      </w:r>
      <w:r>
        <w:rPr>
          <w:spacing w:val="-2"/>
          <w:sz w:val="12"/>
        </w:rPr>
        <w:t>Sentencia,</w:t>
      </w:r>
      <w:r>
        <w:rPr>
          <w:sz w:val="12"/>
        </w:rPr>
        <w:t xml:space="preserve"> </w:t>
      </w:r>
      <w:r>
        <w:rPr>
          <w:spacing w:val="-2"/>
          <w:sz w:val="12"/>
        </w:rPr>
        <w:t>31</w:t>
      </w:r>
      <w:r>
        <w:rPr>
          <w:spacing w:val="-1"/>
          <w:sz w:val="12"/>
        </w:rPr>
        <w:t xml:space="preserve"> </w:t>
      </w:r>
      <w:r>
        <w:rPr>
          <w:spacing w:val="-2"/>
          <w:sz w:val="12"/>
        </w:rPr>
        <w:t>de</w:t>
      </w:r>
      <w:r>
        <w:rPr>
          <w:sz w:val="12"/>
        </w:rPr>
        <w:t xml:space="preserve"> </w:t>
      </w:r>
      <w:r>
        <w:rPr>
          <w:spacing w:val="-2"/>
          <w:sz w:val="12"/>
        </w:rPr>
        <w:t>agosto</w:t>
      </w:r>
      <w:r>
        <w:rPr>
          <w:spacing w:val="-1"/>
          <w:sz w:val="12"/>
        </w:rPr>
        <w:t xml:space="preserve"> </w:t>
      </w:r>
      <w:r>
        <w:rPr>
          <w:spacing w:val="-2"/>
          <w:sz w:val="12"/>
        </w:rPr>
        <w:t>de</w:t>
      </w:r>
      <w:r>
        <w:rPr>
          <w:sz w:val="12"/>
        </w:rPr>
        <w:t xml:space="preserve"> </w:t>
      </w:r>
      <w:r>
        <w:rPr>
          <w:spacing w:val="-2"/>
          <w:sz w:val="12"/>
        </w:rPr>
        <w:t>2016,</w:t>
      </w:r>
      <w:r>
        <w:rPr>
          <w:sz w:val="12"/>
        </w:rPr>
        <w:t xml:space="preserve"> </w:t>
      </w:r>
      <w:r>
        <w:rPr>
          <w:spacing w:val="-2"/>
          <w:sz w:val="12"/>
        </w:rPr>
        <w:t>párr.</w:t>
      </w:r>
      <w:r>
        <w:rPr>
          <w:spacing w:val="-1"/>
          <w:sz w:val="12"/>
        </w:rPr>
        <w:t xml:space="preserve"> </w:t>
      </w:r>
      <w:r>
        <w:rPr>
          <w:spacing w:val="-4"/>
          <w:sz w:val="12"/>
        </w:rPr>
        <w:t>120.</w:t>
      </w:r>
    </w:p>
    <w:p w14:paraId="4372B1B6" w14:textId="77777777" w:rsidR="0014798C" w:rsidRDefault="004E1F0B">
      <w:pPr>
        <w:pStyle w:val="Prrafodelista"/>
        <w:numPr>
          <w:ilvl w:val="0"/>
          <w:numId w:val="81"/>
        </w:numPr>
        <w:tabs>
          <w:tab w:val="left" w:pos="1352"/>
        </w:tabs>
        <w:spacing w:before="98"/>
        <w:ind w:left="1352" w:hanging="241"/>
        <w:rPr>
          <w:sz w:val="12"/>
        </w:rPr>
      </w:pPr>
      <w:proofErr w:type="spellStart"/>
      <w:r>
        <w:rPr>
          <w:w w:val="105"/>
          <w:sz w:val="12"/>
        </w:rPr>
        <w:t>Ibíd</w:t>
      </w:r>
      <w:proofErr w:type="spellEnd"/>
      <w:r>
        <w:rPr>
          <w:w w:val="105"/>
          <w:sz w:val="12"/>
        </w:rPr>
        <w:t>.,</w:t>
      </w:r>
      <w:r>
        <w:rPr>
          <w:spacing w:val="-8"/>
          <w:w w:val="105"/>
          <w:sz w:val="12"/>
        </w:rPr>
        <w:t xml:space="preserve"> </w:t>
      </w:r>
      <w:r>
        <w:rPr>
          <w:w w:val="105"/>
          <w:sz w:val="12"/>
        </w:rPr>
        <w:t>párr.</w:t>
      </w:r>
      <w:r>
        <w:rPr>
          <w:spacing w:val="-8"/>
          <w:w w:val="105"/>
          <w:sz w:val="12"/>
        </w:rPr>
        <w:t xml:space="preserve"> </w:t>
      </w:r>
      <w:r>
        <w:rPr>
          <w:spacing w:val="-4"/>
          <w:w w:val="105"/>
          <w:sz w:val="12"/>
        </w:rPr>
        <w:t>121.</w:t>
      </w:r>
    </w:p>
    <w:p w14:paraId="221866F7" w14:textId="77777777" w:rsidR="0014798C" w:rsidRDefault="004E1F0B">
      <w:pPr>
        <w:pStyle w:val="Prrafodelista"/>
        <w:numPr>
          <w:ilvl w:val="0"/>
          <w:numId w:val="81"/>
        </w:numPr>
        <w:tabs>
          <w:tab w:val="left" w:pos="1338"/>
        </w:tabs>
        <w:spacing w:before="99"/>
        <w:ind w:left="1338" w:hanging="227"/>
        <w:rPr>
          <w:sz w:val="12"/>
        </w:rPr>
      </w:pPr>
      <w:r>
        <w:rPr>
          <w:spacing w:val="-2"/>
          <w:sz w:val="12"/>
        </w:rPr>
        <w:t>Corte</w:t>
      </w:r>
      <w:r>
        <w:rPr>
          <w:spacing w:val="-1"/>
          <w:sz w:val="12"/>
        </w:rPr>
        <w:t xml:space="preserve"> </w:t>
      </w:r>
      <w:r>
        <w:rPr>
          <w:spacing w:val="-2"/>
          <w:sz w:val="12"/>
        </w:rPr>
        <w:t>Interamericana</w:t>
      </w:r>
      <w:r>
        <w:rPr>
          <w:sz w:val="12"/>
        </w:rPr>
        <w:t xml:space="preserve"> </w:t>
      </w:r>
      <w:r>
        <w:rPr>
          <w:spacing w:val="-2"/>
          <w:sz w:val="12"/>
        </w:rPr>
        <w:t>de</w:t>
      </w:r>
      <w:r>
        <w:rPr>
          <w:sz w:val="12"/>
        </w:rPr>
        <w:t xml:space="preserve"> </w:t>
      </w:r>
      <w:r>
        <w:rPr>
          <w:spacing w:val="-2"/>
          <w:sz w:val="12"/>
        </w:rPr>
        <w:t>Derechos</w:t>
      </w:r>
      <w:r>
        <w:rPr>
          <w:sz w:val="12"/>
        </w:rPr>
        <w:t xml:space="preserve"> </w:t>
      </w:r>
      <w:r>
        <w:rPr>
          <w:spacing w:val="-2"/>
          <w:sz w:val="12"/>
        </w:rPr>
        <w:t>Humanos,</w:t>
      </w:r>
      <w:r>
        <w:rPr>
          <w:sz w:val="12"/>
        </w:rPr>
        <w:t xml:space="preserve"> </w:t>
      </w:r>
      <w:r>
        <w:rPr>
          <w:spacing w:val="-2"/>
          <w:sz w:val="12"/>
        </w:rPr>
        <w:t>Gonzales</w:t>
      </w:r>
      <w:r>
        <w:rPr>
          <w:sz w:val="12"/>
        </w:rPr>
        <w:t xml:space="preserve"> </w:t>
      </w:r>
      <w:proofErr w:type="spellStart"/>
      <w:r>
        <w:rPr>
          <w:spacing w:val="-2"/>
          <w:sz w:val="12"/>
        </w:rPr>
        <w:t>Lluy</w:t>
      </w:r>
      <w:proofErr w:type="spellEnd"/>
      <w:r>
        <w:rPr>
          <w:sz w:val="12"/>
        </w:rPr>
        <w:t xml:space="preserve"> </w:t>
      </w:r>
      <w:r>
        <w:rPr>
          <w:spacing w:val="-2"/>
          <w:sz w:val="12"/>
        </w:rPr>
        <w:t>et</w:t>
      </w:r>
      <w:r>
        <w:rPr>
          <w:spacing w:val="-1"/>
          <w:sz w:val="12"/>
        </w:rPr>
        <w:t xml:space="preserve"> </w:t>
      </w:r>
      <w:r>
        <w:rPr>
          <w:spacing w:val="-2"/>
          <w:sz w:val="12"/>
        </w:rPr>
        <w:t>al.</w:t>
      </w:r>
      <w:r>
        <w:rPr>
          <w:sz w:val="12"/>
        </w:rPr>
        <w:t xml:space="preserve"> </w:t>
      </w:r>
      <w:r>
        <w:rPr>
          <w:spacing w:val="-2"/>
          <w:sz w:val="12"/>
        </w:rPr>
        <w:t>Ecuador,</w:t>
      </w:r>
      <w:r>
        <w:rPr>
          <w:sz w:val="12"/>
        </w:rPr>
        <w:t xml:space="preserve"> </w:t>
      </w:r>
      <w:r>
        <w:rPr>
          <w:spacing w:val="-2"/>
          <w:sz w:val="12"/>
        </w:rPr>
        <w:t>Sentencia</w:t>
      </w:r>
      <w:r>
        <w:rPr>
          <w:sz w:val="12"/>
        </w:rPr>
        <w:t xml:space="preserve"> </w:t>
      </w:r>
      <w:r>
        <w:rPr>
          <w:spacing w:val="-2"/>
          <w:sz w:val="12"/>
        </w:rPr>
        <w:t>de</w:t>
      </w:r>
      <w:r>
        <w:rPr>
          <w:sz w:val="12"/>
        </w:rPr>
        <w:t xml:space="preserve"> </w:t>
      </w:r>
      <w:r>
        <w:rPr>
          <w:spacing w:val="-2"/>
          <w:sz w:val="12"/>
        </w:rPr>
        <w:t>1</w:t>
      </w:r>
      <w:r>
        <w:rPr>
          <w:sz w:val="12"/>
        </w:rPr>
        <w:t xml:space="preserve"> </w:t>
      </w:r>
      <w:r>
        <w:rPr>
          <w:spacing w:val="-2"/>
          <w:sz w:val="12"/>
        </w:rPr>
        <w:t>de</w:t>
      </w:r>
      <w:r>
        <w:rPr>
          <w:sz w:val="12"/>
        </w:rPr>
        <w:t xml:space="preserve"> </w:t>
      </w:r>
      <w:r>
        <w:rPr>
          <w:spacing w:val="-2"/>
          <w:sz w:val="12"/>
        </w:rPr>
        <w:t>septiembre</w:t>
      </w:r>
      <w:r>
        <w:rPr>
          <w:spacing w:val="-1"/>
          <w:sz w:val="12"/>
        </w:rPr>
        <w:t xml:space="preserve"> </w:t>
      </w:r>
      <w:r>
        <w:rPr>
          <w:spacing w:val="-2"/>
          <w:sz w:val="12"/>
        </w:rPr>
        <w:t>de</w:t>
      </w:r>
      <w:r>
        <w:rPr>
          <w:sz w:val="12"/>
        </w:rPr>
        <w:t xml:space="preserve"> </w:t>
      </w:r>
      <w:r>
        <w:rPr>
          <w:spacing w:val="-2"/>
          <w:sz w:val="12"/>
        </w:rPr>
        <w:t>2015,</w:t>
      </w:r>
      <w:r>
        <w:rPr>
          <w:sz w:val="12"/>
        </w:rPr>
        <w:t xml:space="preserve"> </w:t>
      </w:r>
      <w:proofErr w:type="spellStart"/>
      <w:r>
        <w:rPr>
          <w:spacing w:val="-2"/>
          <w:sz w:val="12"/>
        </w:rPr>
        <w:t>párrs</w:t>
      </w:r>
      <w:proofErr w:type="spellEnd"/>
      <w:r>
        <w:rPr>
          <w:spacing w:val="-2"/>
          <w:sz w:val="12"/>
        </w:rPr>
        <w:t>.</w:t>
      </w:r>
      <w:r>
        <w:rPr>
          <w:sz w:val="12"/>
        </w:rPr>
        <w:t xml:space="preserve"> </w:t>
      </w:r>
      <w:r>
        <w:rPr>
          <w:spacing w:val="-2"/>
          <w:sz w:val="12"/>
        </w:rPr>
        <w:t>214–216.</w:t>
      </w:r>
    </w:p>
    <w:p w14:paraId="1D32CF06" w14:textId="77777777" w:rsidR="0014798C" w:rsidRDefault="004E1F0B">
      <w:pPr>
        <w:pStyle w:val="Prrafodelista"/>
        <w:numPr>
          <w:ilvl w:val="0"/>
          <w:numId w:val="81"/>
        </w:numPr>
        <w:tabs>
          <w:tab w:val="left" w:pos="1338"/>
        </w:tabs>
        <w:spacing w:before="99"/>
        <w:ind w:left="1338" w:hanging="227"/>
        <w:rPr>
          <w:sz w:val="12"/>
        </w:rPr>
      </w:pPr>
      <w:r>
        <w:rPr>
          <w:spacing w:val="-2"/>
          <w:sz w:val="12"/>
        </w:rPr>
        <w:t>Tribunal</w:t>
      </w:r>
      <w:r>
        <w:rPr>
          <w:spacing w:val="-1"/>
          <w:sz w:val="12"/>
        </w:rPr>
        <w:t xml:space="preserve"> </w:t>
      </w:r>
      <w:r>
        <w:rPr>
          <w:spacing w:val="-2"/>
          <w:sz w:val="12"/>
        </w:rPr>
        <w:t>de</w:t>
      </w:r>
      <w:r>
        <w:rPr>
          <w:spacing w:val="-1"/>
          <w:sz w:val="12"/>
        </w:rPr>
        <w:t xml:space="preserve"> </w:t>
      </w:r>
      <w:r>
        <w:rPr>
          <w:spacing w:val="-2"/>
          <w:sz w:val="12"/>
        </w:rPr>
        <w:t>Justicia</w:t>
      </w:r>
      <w:r>
        <w:rPr>
          <w:spacing w:val="-1"/>
          <w:sz w:val="12"/>
        </w:rPr>
        <w:t xml:space="preserve"> </w:t>
      </w:r>
      <w:r>
        <w:rPr>
          <w:spacing w:val="-2"/>
          <w:sz w:val="12"/>
        </w:rPr>
        <w:t>de</w:t>
      </w:r>
      <w:r>
        <w:rPr>
          <w:spacing w:val="-1"/>
          <w:sz w:val="12"/>
        </w:rPr>
        <w:t xml:space="preserve"> </w:t>
      </w:r>
      <w:r>
        <w:rPr>
          <w:spacing w:val="-2"/>
          <w:sz w:val="12"/>
        </w:rPr>
        <w:t>la</w:t>
      </w:r>
      <w:r>
        <w:rPr>
          <w:sz w:val="12"/>
        </w:rPr>
        <w:t xml:space="preserve"> </w:t>
      </w:r>
      <w:r>
        <w:rPr>
          <w:spacing w:val="-2"/>
          <w:sz w:val="12"/>
        </w:rPr>
        <w:t>Unión</w:t>
      </w:r>
      <w:r>
        <w:rPr>
          <w:spacing w:val="-1"/>
          <w:sz w:val="12"/>
        </w:rPr>
        <w:t xml:space="preserve"> </w:t>
      </w:r>
      <w:r>
        <w:rPr>
          <w:spacing w:val="-2"/>
          <w:sz w:val="12"/>
        </w:rPr>
        <w:t>Europea,</w:t>
      </w:r>
      <w:r>
        <w:rPr>
          <w:spacing w:val="-1"/>
          <w:sz w:val="12"/>
        </w:rPr>
        <w:t xml:space="preserve"> </w:t>
      </w:r>
      <w:r>
        <w:rPr>
          <w:spacing w:val="-2"/>
          <w:sz w:val="12"/>
        </w:rPr>
        <w:t>Coleman</w:t>
      </w:r>
      <w:r>
        <w:rPr>
          <w:spacing w:val="-1"/>
          <w:sz w:val="12"/>
        </w:rPr>
        <w:t xml:space="preserve"> </w:t>
      </w:r>
      <w:r>
        <w:rPr>
          <w:spacing w:val="-2"/>
          <w:sz w:val="12"/>
        </w:rPr>
        <w:t>v.</w:t>
      </w:r>
      <w:r>
        <w:rPr>
          <w:spacing w:val="-1"/>
          <w:sz w:val="12"/>
        </w:rPr>
        <w:t xml:space="preserve"> </w:t>
      </w:r>
      <w:proofErr w:type="spellStart"/>
      <w:r>
        <w:rPr>
          <w:spacing w:val="-2"/>
          <w:sz w:val="12"/>
        </w:rPr>
        <w:t>Attridge</w:t>
      </w:r>
      <w:proofErr w:type="spellEnd"/>
      <w:r>
        <w:rPr>
          <w:sz w:val="12"/>
        </w:rPr>
        <w:t xml:space="preserve"> </w:t>
      </w:r>
      <w:proofErr w:type="spellStart"/>
      <w:r>
        <w:rPr>
          <w:spacing w:val="-2"/>
          <w:sz w:val="12"/>
        </w:rPr>
        <w:t>Law</w:t>
      </w:r>
      <w:proofErr w:type="spellEnd"/>
      <w:r>
        <w:rPr>
          <w:spacing w:val="-2"/>
          <w:sz w:val="12"/>
        </w:rPr>
        <w:t>,</w:t>
      </w:r>
      <w:r>
        <w:rPr>
          <w:spacing w:val="-1"/>
          <w:sz w:val="12"/>
        </w:rPr>
        <w:t xml:space="preserve"> </w:t>
      </w:r>
      <w:r>
        <w:rPr>
          <w:spacing w:val="-2"/>
          <w:sz w:val="12"/>
        </w:rPr>
        <w:t>Caso</w:t>
      </w:r>
      <w:r>
        <w:rPr>
          <w:spacing w:val="-1"/>
          <w:sz w:val="12"/>
        </w:rPr>
        <w:t xml:space="preserve"> </w:t>
      </w:r>
      <w:r>
        <w:rPr>
          <w:spacing w:val="-2"/>
          <w:sz w:val="12"/>
        </w:rPr>
        <w:t>C-303/06,</w:t>
      </w:r>
      <w:r>
        <w:rPr>
          <w:spacing w:val="-1"/>
          <w:sz w:val="12"/>
        </w:rPr>
        <w:t xml:space="preserve"> </w:t>
      </w:r>
      <w:r>
        <w:rPr>
          <w:spacing w:val="-2"/>
          <w:sz w:val="12"/>
        </w:rPr>
        <w:t>Sentencia</w:t>
      </w:r>
      <w:r>
        <w:rPr>
          <w:sz w:val="12"/>
        </w:rPr>
        <w:t xml:space="preserve"> </w:t>
      </w:r>
      <w:r>
        <w:rPr>
          <w:spacing w:val="-2"/>
          <w:sz w:val="12"/>
        </w:rPr>
        <w:t>de</w:t>
      </w:r>
      <w:r>
        <w:rPr>
          <w:spacing w:val="-1"/>
          <w:sz w:val="12"/>
        </w:rPr>
        <w:t xml:space="preserve"> </w:t>
      </w:r>
      <w:r>
        <w:rPr>
          <w:spacing w:val="-2"/>
          <w:sz w:val="12"/>
        </w:rPr>
        <w:t>17</w:t>
      </w:r>
      <w:r>
        <w:rPr>
          <w:spacing w:val="-1"/>
          <w:sz w:val="12"/>
        </w:rPr>
        <w:t xml:space="preserve"> </w:t>
      </w:r>
      <w:r>
        <w:rPr>
          <w:spacing w:val="-2"/>
          <w:sz w:val="12"/>
        </w:rPr>
        <w:t>de</w:t>
      </w:r>
      <w:r>
        <w:rPr>
          <w:spacing w:val="-1"/>
          <w:sz w:val="12"/>
        </w:rPr>
        <w:t xml:space="preserve"> </w:t>
      </w:r>
      <w:r>
        <w:rPr>
          <w:spacing w:val="-2"/>
          <w:sz w:val="12"/>
        </w:rPr>
        <w:t>julio</w:t>
      </w:r>
      <w:r>
        <w:rPr>
          <w:spacing w:val="-1"/>
          <w:sz w:val="12"/>
        </w:rPr>
        <w:t xml:space="preserve"> </w:t>
      </w:r>
      <w:r>
        <w:rPr>
          <w:spacing w:val="-2"/>
          <w:sz w:val="12"/>
        </w:rPr>
        <w:t>de</w:t>
      </w:r>
      <w:r>
        <w:rPr>
          <w:sz w:val="12"/>
        </w:rPr>
        <w:t xml:space="preserve"> </w:t>
      </w:r>
      <w:r>
        <w:rPr>
          <w:spacing w:val="-2"/>
          <w:sz w:val="12"/>
        </w:rPr>
        <w:t>2008,</w:t>
      </w:r>
      <w:r>
        <w:rPr>
          <w:spacing w:val="-1"/>
          <w:sz w:val="12"/>
        </w:rPr>
        <w:t xml:space="preserve"> </w:t>
      </w:r>
      <w:r>
        <w:rPr>
          <w:spacing w:val="-2"/>
          <w:sz w:val="12"/>
        </w:rPr>
        <w:t>párr.</w:t>
      </w:r>
      <w:r>
        <w:rPr>
          <w:spacing w:val="-1"/>
          <w:sz w:val="12"/>
        </w:rPr>
        <w:t xml:space="preserve"> </w:t>
      </w:r>
      <w:r>
        <w:rPr>
          <w:spacing w:val="-5"/>
          <w:sz w:val="12"/>
        </w:rPr>
        <w:t>51.</w:t>
      </w:r>
    </w:p>
    <w:p w14:paraId="413CE2FC" w14:textId="77777777" w:rsidR="0014798C" w:rsidRDefault="004E1F0B">
      <w:pPr>
        <w:pStyle w:val="Prrafodelista"/>
        <w:numPr>
          <w:ilvl w:val="0"/>
          <w:numId w:val="81"/>
        </w:numPr>
        <w:tabs>
          <w:tab w:val="left" w:pos="1337"/>
          <w:tab w:val="left" w:pos="1358"/>
        </w:tabs>
        <w:spacing w:before="98" w:line="312" w:lineRule="auto"/>
        <w:ind w:left="1358" w:right="3503" w:hanging="248"/>
        <w:rPr>
          <w:sz w:val="12"/>
        </w:rPr>
      </w:pPr>
      <w:r>
        <w:rPr>
          <w:sz w:val="12"/>
        </w:rPr>
        <w:t>Tribunal</w:t>
      </w:r>
      <w:r>
        <w:rPr>
          <w:spacing w:val="-9"/>
          <w:sz w:val="12"/>
        </w:rPr>
        <w:t xml:space="preserve"> </w:t>
      </w:r>
      <w:r>
        <w:rPr>
          <w:sz w:val="12"/>
        </w:rPr>
        <w:t>de</w:t>
      </w:r>
      <w:r>
        <w:rPr>
          <w:spacing w:val="-8"/>
          <w:sz w:val="12"/>
        </w:rPr>
        <w:t xml:space="preserve"> </w:t>
      </w:r>
      <w:r>
        <w:rPr>
          <w:sz w:val="12"/>
        </w:rPr>
        <w:t>Justicia</w:t>
      </w:r>
      <w:r>
        <w:rPr>
          <w:spacing w:val="-8"/>
          <w:sz w:val="12"/>
        </w:rPr>
        <w:t xml:space="preserve"> </w:t>
      </w:r>
      <w:r>
        <w:rPr>
          <w:sz w:val="12"/>
        </w:rPr>
        <w:t>de</w:t>
      </w:r>
      <w:r>
        <w:rPr>
          <w:spacing w:val="-9"/>
          <w:sz w:val="12"/>
        </w:rPr>
        <w:t xml:space="preserve"> </w:t>
      </w:r>
      <w:r>
        <w:rPr>
          <w:sz w:val="12"/>
        </w:rPr>
        <w:t>la</w:t>
      </w:r>
      <w:r>
        <w:rPr>
          <w:spacing w:val="-8"/>
          <w:sz w:val="12"/>
        </w:rPr>
        <w:t xml:space="preserve"> </w:t>
      </w:r>
      <w:r>
        <w:rPr>
          <w:sz w:val="12"/>
        </w:rPr>
        <w:t>Unión</w:t>
      </w:r>
      <w:r>
        <w:rPr>
          <w:spacing w:val="-8"/>
          <w:sz w:val="12"/>
        </w:rPr>
        <w:t xml:space="preserve"> </w:t>
      </w:r>
      <w:r>
        <w:rPr>
          <w:sz w:val="12"/>
        </w:rPr>
        <w:t>Europea,</w:t>
      </w:r>
      <w:r>
        <w:rPr>
          <w:spacing w:val="-9"/>
          <w:sz w:val="12"/>
        </w:rPr>
        <w:t xml:space="preserve"> </w:t>
      </w:r>
      <w:r>
        <w:rPr>
          <w:sz w:val="12"/>
        </w:rPr>
        <w:t>CHEZ</w:t>
      </w:r>
      <w:r>
        <w:rPr>
          <w:spacing w:val="-8"/>
          <w:sz w:val="12"/>
        </w:rPr>
        <w:t xml:space="preserve"> </w:t>
      </w:r>
      <w:proofErr w:type="spellStart"/>
      <w:r>
        <w:rPr>
          <w:sz w:val="12"/>
        </w:rPr>
        <w:t>Razpredelenie</w:t>
      </w:r>
      <w:proofErr w:type="spellEnd"/>
      <w:r>
        <w:rPr>
          <w:spacing w:val="-8"/>
          <w:sz w:val="12"/>
        </w:rPr>
        <w:t xml:space="preserve"> </w:t>
      </w:r>
      <w:r>
        <w:rPr>
          <w:sz w:val="12"/>
        </w:rPr>
        <w:t>Bulgaria</w:t>
      </w:r>
      <w:r>
        <w:rPr>
          <w:spacing w:val="-9"/>
          <w:sz w:val="12"/>
        </w:rPr>
        <w:t xml:space="preserve"> </w:t>
      </w:r>
      <w:r>
        <w:rPr>
          <w:sz w:val="12"/>
        </w:rPr>
        <w:t>AD</w:t>
      </w:r>
      <w:r>
        <w:rPr>
          <w:spacing w:val="-8"/>
          <w:sz w:val="12"/>
        </w:rPr>
        <w:t xml:space="preserve"> </w:t>
      </w:r>
      <w:r>
        <w:rPr>
          <w:sz w:val="12"/>
        </w:rPr>
        <w:t>c.</w:t>
      </w:r>
      <w:r>
        <w:rPr>
          <w:spacing w:val="-8"/>
          <w:sz w:val="12"/>
        </w:rPr>
        <w:t xml:space="preserve"> </w:t>
      </w:r>
      <w:proofErr w:type="spellStart"/>
      <w:r>
        <w:rPr>
          <w:sz w:val="12"/>
        </w:rPr>
        <w:t>Komisia</w:t>
      </w:r>
      <w:proofErr w:type="spellEnd"/>
      <w:r>
        <w:rPr>
          <w:spacing w:val="-9"/>
          <w:sz w:val="12"/>
        </w:rPr>
        <w:t xml:space="preserve"> </w:t>
      </w:r>
      <w:proofErr w:type="spellStart"/>
      <w:r>
        <w:rPr>
          <w:sz w:val="12"/>
        </w:rPr>
        <w:t>za</w:t>
      </w:r>
      <w:proofErr w:type="spellEnd"/>
      <w:r>
        <w:rPr>
          <w:spacing w:val="-8"/>
          <w:sz w:val="12"/>
        </w:rPr>
        <w:t xml:space="preserve"> </w:t>
      </w:r>
      <w:proofErr w:type="spellStart"/>
      <w:r>
        <w:rPr>
          <w:sz w:val="12"/>
        </w:rPr>
        <w:t>zashtita</w:t>
      </w:r>
      <w:proofErr w:type="spellEnd"/>
      <w:r>
        <w:rPr>
          <w:spacing w:val="-8"/>
          <w:sz w:val="12"/>
        </w:rPr>
        <w:t xml:space="preserve"> </w:t>
      </w:r>
      <w:proofErr w:type="spellStart"/>
      <w:r>
        <w:rPr>
          <w:sz w:val="12"/>
        </w:rPr>
        <w:t>ot</w:t>
      </w:r>
      <w:proofErr w:type="spellEnd"/>
      <w:r>
        <w:rPr>
          <w:spacing w:val="-9"/>
          <w:sz w:val="12"/>
        </w:rPr>
        <w:t xml:space="preserve"> </w:t>
      </w:r>
      <w:proofErr w:type="spellStart"/>
      <w:r>
        <w:rPr>
          <w:sz w:val="12"/>
        </w:rPr>
        <w:t>diskriminatsia</w:t>
      </w:r>
      <w:proofErr w:type="spellEnd"/>
      <w:r>
        <w:rPr>
          <w:sz w:val="12"/>
        </w:rPr>
        <w:t>,</w:t>
      </w:r>
      <w:r>
        <w:rPr>
          <w:spacing w:val="-7"/>
          <w:sz w:val="12"/>
        </w:rPr>
        <w:t xml:space="preserve"> </w:t>
      </w:r>
      <w:r>
        <w:rPr>
          <w:sz w:val="12"/>
        </w:rPr>
        <w:t>Caso</w:t>
      </w:r>
      <w:r>
        <w:rPr>
          <w:spacing w:val="-8"/>
          <w:sz w:val="12"/>
        </w:rPr>
        <w:t xml:space="preserve"> </w:t>
      </w:r>
      <w:r>
        <w:rPr>
          <w:sz w:val="12"/>
        </w:rPr>
        <w:t>C-83/14,</w:t>
      </w:r>
      <w:r>
        <w:rPr>
          <w:spacing w:val="40"/>
          <w:sz w:val="12"/>
        </w:rPr>
        <w:t xml:space="preserve"> </w:t>
      </w:r>
      <w:r>
        <w:rPr>
          <w:sz w:val="12"/>
        </w:rPr>
        <w:t>Sentencia de 16 de julio de 2015, párr. 56.</w:t>
      </w:r>
    </w:p>
    <w:p w14:paraId="57DCB42A" w14:textId="77777777" w:rsidR="0014798C" w:rsidRDefault="0014798C">
      <w:pPr>
        <w:spacing w:line="312" w:lineRule="auto"/>
        <w:rPr>
          <w:sz w:val="12"/>
        </w:rPr>
        <w:sectPr w:rsidR="0014798C" w:rsidSect="00F265E4">
          <w:pgSz w:w="11900" w:h="16820"/>
          <w:pgMar w:top="340" w:right="0" w:bottom="280" w:left="200" w:header="121" w:footer="0" w:gutter="0"/>
          <w:cols w:space="720"/>
        </w:sectPr>
      </w:pPr>
    </w:p>
    <w:p w14:paraId="48F88833" w14:textId="77777777" w:rsidR="0014798C" w:rsidRDefault="004E1F0B">
      <w:pPr>
        <w:spacing w:before="12"/>
        <w:jc w:val="right"/>
        <w:rPr>
          <w:sz w:val="8"/>
        </w:rPr>
      </w:pPr>
      <w:r>
        <w:rPr>
          <w:spacing w:val="-5"/>
          <w:w w:val="105"/>
          <w:sz w:val="8"/>
        </w:rPr>
        <w:t>183</w:t>
      </w:r>
    </w:p>
    <w:p w14:paraId="018DD74F" w14:textId="77777777" w:rsidR="0014798C" w:rsidRDefault="004E1F0B">
      <w:pPr>
        <w:spacing w:before="57"/>
        <w:ind w:left="77"/>
        <w:rPr>
          <w:sz w:val="12"/>
        </w:rPr>
      </w:pPr>
      <w:r>
        <w:br w:type="column"/>
      </w:r>
      <w:r>
        <w:rPr>
          <w:spacing w:val="-2"/>
          <w:sz w:val="12"/>
        </w:rPr>
        <w:t>Véase,</w:t>
      </w:r>
      <w:r>
        <w:rPr>
          <w:spacing w:val="-1"/>
          <w:sz w:val="12"/>
        </w:rPr>
        <w:t xml:space="preserve"> </w:t>
      </w:r>
      <w:r>
        <w:rPr>
          <w:spacing w:val="-2"/>
          <w:sz w:val="12"/>
        </w:rPr>
        <w:t>por</w:t>
      </w:r>
      <w:r>
        <w:rPr>
          <w:spacing w:val="-1"/>
          <w:sz w:val="12"/>
        </w:rPr>
        <w:t xml:space="preserve"> </w:t>
      </w:r>
      <w:r>
        <w:rPr>
          <w:spacing w:val="-2"/>
          <w:sz w:val="12"/>
        </w:rPr>
        <w:t>ejemplo,</w:t>
      </w:r>
      <w:r>
        <w:rPr>
          <w:sz w:val="12"/>
        </w:rPr>
        <w:t xml:space="preserve"> </w:t>
      </w:r>
      <w:r>
        <w:rPr>
          <w:spacing w:val="-2"/>
          <w:sz w:val="12"/>
        </w:rPr>
        <w:t>Hungría,</w:t>
      </w:r>
      <w:r>
        <w:rPr>
          <w:spacing w:val="-1"/>
          <w:sz w:val="12"/>
        </w:rPr>
        <w:t xml:space="preserve"> </w:t>
      </w:r>
      <w:r>
        <w:rPr>
          <w:spacing w:val="-2"/>
          <w:sz w:val="12"/>
        </w:rPr>
        <w:t>Código</w:t>
      </w:r>
      <w:r>
        <w:rPr>
          <w:spacing w:val="-1"/>
          <w:sz w:val="12"/>
        </w:rPr>
        <w:t xml:space="preserve"> </w:t>
      </w:r>
      <w:r>
        <w:rPr>
          <w:spacing w:val="-2"/>
          <w:sz w:val="12"/>
        </w:rPr>
        <w:t>Penal,</w:t>
      </w:r>
      <w:r>
        <w:rPr>
          <w:sz w:val="12"/>
        </w:rPr>
        <w:t xml:space="preserve"> </w:t>
      </w:r>
      <w:r>
        <w:rPr>
          <w:spacing w:val="-2"/>
          <w:sz w:val="12"/>
        </w:rPr>
        <w:t>2012,</w:t>
      </w:r>
      <w:r>
        <w:rPr>
          <w:spacing w:val="-1"/>
          <w:sz w:val="12"/>
        </w:rPr>
        <w:t xml:space="preserve"> </w:t>
      </w:r>
      <w:r>
        <w:rPr>
          <w:spacing w:val="-2"/>
          <w:sz w:val="12"/>
        </w:rPr>
        <w:t>art.</w:t>
      </w:r>
      <w:r>
        <w:rPr>
          <w:spacing w:val="-1"/>
          <w:sz w:val="12"/>
        </w:rPr>
        <w:t xml:space="preserve"> </w:t>
      </w:r>
      <w:r>
        <w:rPr>
          <w:spacing w:val="-4"/>
          <w:sz w:val="12"/>
        </w:rPr>
        <w:t>216.</w:t>
      </w:r>
    </w:p>
    <w:p w14:paraId="3989AFD1" w14:textId="77777777" w:rsidR="0014798C" w:rsidRDefault="0014798C">
      <w:pPr>
        <w:rPr>
          <w:sz w:val="12"/>
        </w:rPr>
        <w:sectPr w:rsidR="0014798C" w:rsidSect="00F265E4">
          <w:type w:val="continuous"/>
          <w:pgSz w:w="11900" w:h="16820"/>
          <w:pgMar w:top="40" w:right="0" w:bottom="280" w:left="200" w:header="121" w:footer="0" w:gutter="0"/>
          <w:cols w:num="2" w:space="720" w:equalWidth="0">
            <w:col w:w="1253" w:space="40"/>
            <w:col w:w="10407"/>
          </w:cols>
        </w:sectPr>
      </w:pPr>
    </w:p>
    <w:p w14:paraId="722AAEA7" w14:textId="77777777" w:rsidR="0014798C" w:rsidRDefault="004E1F0B">
      <w:pPr>
        <w:spacing w:before="99" w:line="312" w:lineRule="auto"/>
        <w:ind w:left="1366" w:right="1626" w:hanging="256"/>
        <w:rPr>
          <w:sz w:val="12"/>
        </w:rPr>
      </w:pPr>
      <w:r>
        <w:rPr>
          <w:sz w:val="12"/>
        </w:rPr>
        <w:t>184</w:t>
      </w:r>
      <w:r>
        <w:rPr>
          <w:spacing w:val="-6"/>
          <w:sz w:val="12"/>
        </w:rPr>
        <w:t xml:space="preserve"> </w:t>
      </w:r>
      <w:r>
        <w:rPr>
          <w:sz w:val="12"/>
        </w:rPr>
        <w:t>En</w:t>
      </w:r>
      <w:r>
        <w:rPr>
          <w:spacing w:val="-6"/>
          <w:sz w:val="12"/>
        </w:rPr>
        <w:t xml:space="preserve"> </w:t>
      </w:r>
      <w:proofErr w:type="spellStart"/>
      <w:r>
        <w:rPr>
          <w:sz w:val="12"/>
        </w:rPr>
        <w:t>Guberina</w:t>
      </w:r>
      <w:proofErr w:type="spellEnd"/>
      <w:r>
        <w:rPr>
          <w:spacing w:val="-6"/>
          <w:sz w:val="12"/>
        </w:rPr>
        <w:t xml:space="preserve"> </w:t>
      </w:r>
      <w:r>
        <w:rPr>
          <w:sz w:val="12"/>
        </w:rPr>
        <w:t>c.</w:t>
      </w:r>
      <w:r>
        <w:rPr>
          <w:spacing w:val="-6"/>
          <w:sz w:val="12"/>
        </w:rPr>
        <w:t xml:space="preserve"> </w:t>
      </w:r>
      <w:r>
        <w:rPr>
          <w:sz w:val="12"/>
        </w:rPr>
        <w:t>Croacia,</w:t>
      </w:r>
      <w:r>
        <w:rPr>
          <w:spacing w:val="-6"/>
          <w:sz w:val="12"/>
        </w:rPr>
        <w:t xml:space="preserve"> </w:t>
      </w:r>
      <w:r>
        <w:rPr>
          <w:sz w:val="12"/>
        </w:rPr>
        <w:t>la</w:t>
      </w:r>
      <w:r>
        <w:rPr>
          <w:spacing w:val="-7"/>
          <w:sz w:val="12"/>
        </w:rPr>
        <w:t xml:space="preserve"> </w:t>
      </w:r>
      <w:r>
        <w:rPr>
          <w:sz w:val="12"/>
        </w:rPr>
        <w:t>Corte</w:t>
      </w:r>
      <w:r>
        <w:rPr>
          <w:spacing w:val="-6"/>
          <w:sz w:val="12"/>
        </w:rPr>
        <w:t xml:space="preserve"> </w:t>
      </w:r>
      <w:r>
        <w:rPr>
          <w:sz w:val="12"/>
        </w:rPr>
        <w:t>declaró</w:t>
      </w:r>
      <w:r>
        <w:rPr>
          <w:spacing w:val="-6"/>
          <w:sz w:val="12"/>
        </w:rPr>
        <w:t xml:space="preserve"> </w:t>
      </w:r>
      <w:r>
        <w:rPr>
          <w:sz w:val="12"/>
        </w:rPr>
        <w:t>claramente</w:t>
      </w:r>
      <w:r>
        <w:rPr>
          <w:spacing w:val="-6"/>
          <w:sz w:val="12"/>
        </w:rPr>
        <w:t xml:space="preserve"> </w:t>
      </w:r>
      <w:r>
        <w:rPr>
          <w:sz w:val="12"/>
        </w:rPr>
        <w:t>que</w:t>
      </w:r>
      <w:r>
        <w:rPr>
          <w:spacing w:val="-6"/>
          <w:sz w:val="12"/>
        </w:rPr>
        <w:t xml:space="preserve"> </w:t>
      </w:r>
      <w:r>
        <w:rPr>
          <w:sz w:val="12"/>
        </w:rPr>
        <w:t>la</w:t>
      </w:r>
      <w:r>
        <w:rPr>
          <w:spacing w:val="-6"/>
          <w:sz w:val="12"/>
        </w:rPr>
        <w:t xml:space="preserve"> </w:t>
      </w:r>
      <w:r>
        <w:rPr>
          <w:sz w:val="12"/>
        </w:rPr>
        <w:t>prohibición</w:t>
      </w:r>
      <w:r>
        <w:rPr>
          <w:spacing w:val="-7"/>
          <w:sz w:val="12"/>
        </w:rPr>
        <w:t xml:space="preserve"> </w:t>
      </w:r>
      <w:r>
        <w:rPr>
          <w:sz w:val="12"/>
        </w:rPr>
        <w:t>de</w:t>
      </w:r>
      <w:r>
        <w:rPr>
          <w:spacing w:val="-6"/>
          <w:sz w:val="12"/>
        </w:rPr>
        <w:t xml:space="preserve"> </w:t>
      </w:r>
      <w:r>
        <w:rPr>
          <w:sz w:val="12"/>
        </w:rPr>
        <w:t>discriminación</w:t>
      </w:r>
      <w:r>
        <w:rPr>
          <w:spacing w:val="-6"/>
          <w:sz w:val="12"/>
        </w:rPr>
        <w:t xml:space="preserve"> </w:t>
      </w:r>
      <w:r>
        <w:rPr>
          <w:sz w:val="12"/>
        </w:rPr>
        <w:t>prevista</w:t>
      </w:r>
      <w:r>
        <w:rPr>
          <w:spacing w:val="-6"/>
          <w:sz w:val="12"/>
        </w:rPr>
        <w:t xml:space="preserve"> </w:t>
      </w:r>
      <w:r>
        <w:rPr>
          <w:sz w:val="12"/>
        </w:rPr>
        <w:t>en</w:t>
      </w:r>
      <w:r>
        <w:rPr>
          <w:spacing w:val="-6"/>
          <w:sz w:val="12"/>
        </w:rPr>
        <w:t xml:space="preserve"> </w:t>
      </w:r>
      <w:r>
        <w:rPr>
          <w:sz w:val="12"/>
        </w:rPr>
        <w:t>el</w:t>
      </w:r>
      <w:r>
        <w:rPr>
          <w:spacing w:val="-6"/>
          <w:sz w:val="12"/>
        </w:rPr>
        <w:t xml:space="preserve"> </w:t>
      </w:r>
      <w:r>
        <w:rPr>
          <w:sz w:val="12"/>
        </w:rPr>
        <w:t>artículo</w:t>
      </w:r>
      <w:r>
        <w:rPr>
          <w:spacing w:val="-7"/>
          <w:sz w:val="12"/>
        </w:rPr>
        <w:t xml:space="preserve"> </w:t>
      </w:r>
      <w:r>
        <w:rPr>
          <w:sz w:val="12"/>
        </w:rPr>
        <w:t>14</w:t>
      </w:r>
      <w:r>
        <w:rPr>
          <w:spacing w:val="-6"/>
          <w:sz w:val="12"/>
        </w:rPr>
        <w:t xml:space="preserve"> </w:t>
      </w:r>
      <w:r>
        <w:rPr>
          <w:sz w:val="12"/>
        </w:rPr>
        <w:t>del</w:t>
      </w:r>
      <w:r>
        <w:rPr>
          <w:spacing w:val="-6"/>
          <w:sz w:val="12"/>
        </w:rPr>
        <w:t xml:space="preserve"> </w:t>
      </w:r>
      <w:r>
        <w:rPr>
          <w:sz w:val="12"/>
        </w:rPr>
        <w:t>Convenio</w:t>
      </w:r>
      <w:r>
        <w:rPr>
          <w:spacing w:val="-6"/>
          <w:sz w:val="12"/>
        </w:rPr>
        <w:t xml:space="preserve"> </w:t>
      </w:r>
      <w:r>
        <w:rPr>
          <w:sz w:val="12"/>
        </w:rPr>
        <w:t>Europeo</w:t>
      </w:r>
      <w:r>
        <w:rPr>
          <w:spacing w:val="-6"/>
          <w:sz w:val="12"/>
        </w:rPr>
        <w:t xml:space="preserve"> </w:t>
      </w:r>
      <w:r>
        <w:rPr>
          <w:sz w:val="12"/>
        </w:rPr>
        <w:t>de</w:t>
      </w:r>
      <w:r>
        <w:rPr>
          <w:spacing w:val="-6"/>
          <w:sz w:val="12"/>
        </w:rPr>
        <w:t xml:space="preserve"> </w:t>
      </w:r>
      <w:r>
        <w:rPr>
          <w:sz w:val="12"/>
        </w:rPr>
        <w:t>Derechos</w:t>
      </w:r>
      <w:r>
        <w:rPr>
          <w:spacing w:val="-7"/>
          <w:sz w:val="12"/>
        </w:rPr>
        <w:t xml:space="preserve"> </w:t>
      </w:r>
      <w:r>
        <w:rPr>
          <w:sz w:val="12"/>
        </w:rPr>
        <w:t>Humanos</w:t>
      </w:r>
      <w:r>
        <w:rPr>
          <w:spacing w:val="40"/>
          <w:sz w:val="12"/>
        </w:rPr>
        <w:t xml:space="preserve"> </w:t>
      </w:r>
      <w:r>
        <w:rPr>
          <w:sz w:val="12"/>
        </w:rPr>
        <w:t>“abarca</w:t>
      </w:r>
      <w:r>
        <w:rPr>
          <w:spacing w:val="-5"/>
          <w:sz w:val="12"/>
        </w:rPr>
        <w:t xml:space="preserve"> </w:t>
      </w:r>
      <w:r>
        <w:rPr>
          <w:sz w:val="12"/>
        </w:rPr>
        <w:t>casos</w:t>
      </w:r>
      <w:r>
        <w:rPr>
          <w:spacing w:val="-5"/>
          <w:sz w:val="12"/>
        </w:rPr>
        <w:t xml:space="preserve"> </w:t>
      </w:r>
      <w:r>
        <w:rPr>
          <w:sz w:val="12"/>
        </w:rPr>
        <w:t>en</w:t>
      </w:r>
      <w:r>
        <w:rPr>
          <w:spacing w:val="-5"/>
          <w:sz w:val="12"/>
        </w:rPr>
        <w:t xml:space="preserve"> </w:t>
      </w:r>
      <w:r>
        <w:rPr>
          <w:sz w:val="12"/>
        </w:rPr>
        <w:t>los</w:t>
      </w:r>
      <w:r>
        <w:rPr>
          <w:spacing w:val="-5"/>
          <w:sz w:val="12"/>
        </w:rPr>
        <w:t xml:space="preserve"> </w:t>
      </w:r>
      <w:r>
        <w:rPr>
          <w:sz w:val="12"/>
        </w:rPr>
        <w:t>que</w:t>
      </w:r>
      <w:r>
        <w:rPr>
          <w:spacing w:val="-5"/>
          <w:sz w:val="12"/>
        </w:rPr>
        <w:t xml:space="preserve"> </w:t>
      </w:r>
      <w:r>
        <w:rPr>
          <w:sz w:val="12"/>
        </w:rPr>
        <w:t>un</w:t>
      </w:r>
      <w:r>
        <w:rPr>
          <w:spacing w:val="-5"/>
          <w:sz w:val="12"/>
        </w:rPr>
        <w:t xml:space="preserve"> </w:t>
      </w:r>
      <w:r>
        <w:rPr>
          <w:sz w:val="12"/>
        </w:rPr>
        <w:t>individuo</w:t>
      </w:r>
      <w:r>
        <w:rPr>
          <w:spacing w:val="-5"/>
          <w:sz w:val="12"/>
        </w:rPr>
        <w:t xml:space="preserve"> </w:t>
      </w:r>
      <w:r>
        <w:rPr>
          <w:sz w:val="12"/>
        </w:rPr>
        <w:t>recibe</w:t>
      </w:r>
      <w:r>
        <w:rPr>
          <w:spacing w:val="-5"/>
          <w:sz w:val="12"/>
        </w:rPr>
        <w:t xml:space="preserve"> </w:t>
      </w:r>
      <w:r>
        <w:rPr>
          <w:sz w:val="12"/>
        </w:rPr>
        <w:t>un</w:t>
      </w:r>
      <w:r>
        <w:rPr>
          <w:spacing w:val="-5"/>
          <w:sz w:val="12"/>
        </w:rPr>
        <w:t xml:space="preserve"> </w:t>
      </w:r>
      <w:r>
        <w:rPr>
          <w:sz w:val="12"/>
        </w:rPr>
        <w:t>trato</w:t>
      </w:r>
      <w:r>
        <w:rPr>
          <w:spacing w:val="-5"/>
          <w:sz w:val="12"/>
        </w:rPr>
        <w:t xml:space="preserve"> </w:t>
      </w:r>
      <w:r>
        <w:rPr>
          <w:sz w:val="12"/>
        </w:rPr>
        <w:t>menos</w:t>
      </w:r>
      <w:r>
        <w:rPr>
          <w:spacing w:val="-5"/>
          <w:sz w:val="12"/>
        </w:rPr>
        <w:t xml:space="preserve"> </w:t>
      </w:r>
      <w:r>
        <w:rPr>
          <w:sz w:val="12"/>
        </w:rPr>
        <w:t>favorable</w:t>
      </w:r>
      <w:r>
        <w:rPr>
          <w:spacing w:val="-5"/>
          <w:sz w:val="12"/>
        </w:rPr>
        <w:t xml:space="preserve"> </w:t>
      </w:r>
      <w:r>
        <w:rPr>
          <w:sz w:val="12"/>
        </w:rPr>
        <w:t>sobre</w:t>
      </w:r>
      <w:r>
        <w:rPr>
          <w:spacing w:val="-5"/>
          <w:sz w:val="12"/>
        </w:rPr>
        <w:t xml:space="preserve"> </w:t>
      </w:r>
      <w:r>
        <w:rPr>
          <w:sz w:val="12"/>
        </w:rPr>
        <w:t>la</w:t>
      </w:r>
      <w:r>
        <w:rPr>
          <w:spacing w:val="-5"/>
          <w:sz w:val="12"/>
        </w:rPr>
        <w:t xml:space="preserve"> </w:t>
      </w:r>
      <w:r>
        <w:rPr>
          <w:sz w:val="12"/>
        </w:rPr>
        <w:t>base</w:t>
      </w:r>
      <w:r>
        <w:rPr>
          <w:spacing w:val="-5"/>
          <w:sz w:val="12"/>
        </w:rPr>
        <w:t xml:space="preserve"> </w:t>
      </w:r>
      <w:r>
        <w:rPr>
          <w:sz w:val="12"/>
        </w:rPr>
        <w:t>del</w:t>
      </w:r>
      <w:r>
        <w:rPr>
          <w:spacing w:val="-5"/>
          <w:sz w:val="12"/>
        </w:rPr>
        <w:t xml:space="preserve"> </w:t>
      </w:r>
      <w:r>
        <w:rPr>
          <w:sz w:val="12"/>
        </w:rPr>
        <w:t>estatus</w:t>
      </w:r>
      <w:r>
        <w:rPr>
          <w:spacing w:val="-5"/>
          <w:sz w:val="12"/>
        </w:rPr>
        <w:t xml:space="preserve"> </w:t>
      </w:r>
      <w:r>
        <w:rPr>
          <w:sz w:val="12"/>
        </w:rPr>
        <w:t>de</w:t>
      </w:r>
      <w:r>
        <w:rPr>
          <w:spacing w:val="-5"/>
          <w:sz w:val="12"/>
        </w:rPr>
        <w:t xml:space="preserve"> </w:t>
      </w:r>
      <w:r>
        <w:rPr>
          <w:sz w:val="12"/>
        </w:rPr>
        <w:t>otra</w:t>
      </w:r>
      <w:r>
        <w:rPr>
          <w:spacing w:val="-5"/>
          <w:sz w:val="12"/>
        </w:rPr>
        <w:t xml:space="preserve"> </w:t>
      </w:r>
      <w:r>
        <w:rPr>
          <w:sz w:val="12"/>
        </w:rPr>
        <w:t>persona</w:t>
      </w:r>
      <w:r>
        <w:rPr>
          <w:spacing w:val="-5"/>
          <w:sz w:val="12"/>
        </w:rPr>
        <w:t xml:space="preserve"> </w:t>
      </w:r>
      <w:r>
        <w:rPr>
          <w:sz w:val="12"/>
        </w:rPr>
        <w:t>o</w:t>
      </w:r>
      <w:r>
        <w:rPr>
          <w:spacing w:val="-5"/>
          <w:sz w:val="12"/>
        </w:rPr>
        <w:t xml:space="preserve"> </w:t>
      </w:r>
      <w:r>
        <w:rPr>
          <w:sz w:val="12"/>
        </w:rPr>
        <w:t>de</w:t>
      </w:r>
      <w:r>
        <w:rPr>
          <w:spacing w:val="-5"/>
          <w:sz w:val="12"/>
        </w:rPr>
        <w:t xml:space="preserve"> </w:t>
      </w:r>
      <w:r>
        <w:rPr>
          <w:sz w:val="12"/>
        </w:rPr>
        <w:t>sus</w:t>
      </w:r>
      <w:r>
        <w:rPr>
          <w:spacing w:val="-5"/>
          <w:sz w:val="12"/>
        </w:rPr>
        <w:t xml:space="preserve"> </w:t>
      </w:r>
      <w:r>
        <w:rPr>
          <w:sz w:val="12"/>
        </w:rPr>
        <w:t>características</w:t>
      </w:r>
      <w:r>
        <w:rPr>
          <w:spacing w:val="-5"/>
          <w:sz w:val="12"/>
        </w:rPr>
        <w:t xml:space="preserve"> </w:t>
      </w:r>
      <w:r>
        <w:rPr>
          <w:sz w:val="12"/>
        </w:rPr>
        <w:t>protegidas”.</w:t>
      </w:r>
      <w:r>
        <w:rPr>
          <w:spacing w:val="-4"/>
          <w:sz w:val="12"/>
        </w:rPr>
        <w:t xml:space="preserve"> </w:t>
      </w:r>
      <w:r>
        <w:rPr>
          <w:sz w:val="12"/>
        </w:rPr>
        <w:t>El</w:t>
      </w:r>
      <w:r>
        <w:rPr>
          <w:spacing w:val="-5"/>
          <w:sz w:val="12"/>
        </w:rPr>
        <w:t xml:space="preserve"> </w:t>
      </w:r>
      <w:r>
        <w:rPr>
          <w:sz w:val="12"/>
        </w:rPr>
        <w:t>Tribunal</w:t>
      </w:r>
      <w:r>
        <w:rPr>
          <w:spacing w:val="40"/>
          <w:sz w:val="12"/>
        </w:rPr>
        <w:t xml:space="preserve"> </w:t>
      </w:r>
      <w:r>
        <w:rPr>
          <w:sz w:val="12"/>
        </w:rPr>
        <w:t>también</w:t>
      </w:r>
      <w:r>
        <w:rPr>
          <w:spacing w:val="-9"/>
          <w:sz w:val="12"/>
        </w:rPr>
        <w:t xml:space="preserve"> </w:t>
      </w:r>
      <w:r>
        <w:rPr>
          <w:sz w:val="12"/>
        </w:rPr>
        <w:t>ha</w:t>
      </w:r>
      <w:r>
        <w:rPr>
          <w:spacing w:val="-8"/>
          <w:sz w:val="12"/>
        </w:rPr>
        <w:t xml:space="preserve"> </w:t>
      </w:r>
      <w:r>
        <w:rPr>
          <w:sz w:val="12"/>
        </w:rPr>
        <w:t>identificado</w:t>
      </w:r>
      <w:r>
        <w:rPr>
          <w:spacing w:val="-8"/>
          <w:sz w:val="12"/>
        </w:rPr>
        <w:t xml:space="preserve"> </w:t>
      </w:r>
      <w:r>
        <w:rPr>
          <w:sz w:val="12"/>
        </w:rPr>
        <w:t>la</w:t>
      </w:r>
      <w:r>
        <w:rPr>
          <w:spacing w:val="-9"/>
          <w:sz w:val="12"/>
        </w:rPr>
        <w:t xml:space="preserve"> </w:t>
      </w:r>
      <w:r>
        <w:rPr>
          <w:sz w:val="12"/>
        </w:rPr>
        <w:t>“discriminación</w:t>
      </w:r>
      <w:r>
        <w:rPr>
          <w:spacing w:val="-8"/>
          <w:sz w:val="12"/>
        </w:rPr>
        <w:t xml:space="preserve"> </w:t>
      </w:r>
      <w:r>
        <w:rPr>
          <w:sz w:val="12"/>
        </w:rPr>
        <w:t>por</w:t>
      </w:r>
      <w:r>
        <w:rPr>
          <w:spacing w:val="-8"/>
          <w:sz w:val="12"/>
        </w:rPr>
        <w:t xml:space="preserve"> </w:t>
      </w:r>
      <w:r>
        <w:rPr>
          <w:sz w:val="12"/>
        </w:rPr>
        <w:t>motivo</w:t>
      </w:r>
      <w:r>
        <w:rPr>
          <w:spacing w:val="-9"/>
          <w:sz w:val="12"/>
        </w:rPr>
        <w:t xml:space="preserve"> </w:t>
      </w:r>
      <w:r>
        <w:rPr>
          <w:sz w:val="12"/>
        </w:rPr>
        <w:t>del</w:t>
      </w:r>
      <w:r>
        <w:rPr>
          <w:spacing w:val="-8"/>
          <w:sz w:val="12"/>
        </w:rPr>
        <w:t xml:space="preserve"> </w:t>
      </w:r>
      <w:r>
        <w:rPr>
          <w:sz w:val="12"/>
        </w:rPr>
        <w:t>origen</w:t>
      </w:r>
      <w:r>
        <w:rPr>
          <w:spacing w:val="-8"/>
          <w:sz w:val="12"/>
        </w:rPr>
        <w:t xml:space="preserve"> </w:t>
      </w:r>
      <w:r>
        <w:rPr>
          <w:sz w:val="12"/>
        </w:rPr>
        <w:t>étnico</w:t>
      </w:r>
      <w:r>
        <w:rPr>
          <w:spacing w:val="-9"/>
          <w:sz w:val="12"/>
        </w:rPr>
        <w:t xml:space="preserve"> </w:t>
      </w:r>
      <w:r>
        <w:rPr>
          <w:sz w:val="12"/>
        </w:rPr>
        <w:t>real</w:t>
      </w:r>
      <w:r>
        <w:rPr>
          <w:spacing w:val="-8"/>
          <w:sz w:val="12"/>
        </w:rPr>
        <w:t xml:space="preserve"> </w:t>
      </w:r>
      <w:r>
        <w:rPr>
          <w:sz w:val="12"/>
        </w:rPr>
        <w:t>o</w:t>
      </w:r>
      <w:r>
        <w:rPr>
          <w:spacing w:val="-8"/>
          <w:sz w:val="12"/>
        </w:rPr>
        <w:t xml:space="preserve"> </w:t>
      </w:r>
      <w:r>
        <w:rPr>
          <w:sz w:val="12"/>
        </w:rPr>
        <w:t>percibido”</w:t>
      </w:r>
      <w:r>
        <w:rPr>
          <w:spacing w:val="-9"/>
          <w:sz w:val="12"/>
        </w:rPr>
        <w:t xml:space="preserve"> </w:t>
      </w:r>
      <w:r>
        <w:rPr>
          <w:sz w:val="12"/>
        </w:rPr>
        <w:t>como</w:t>
      </w:r>
      <w:r>
        <w:rPr>
          <w:spacing w:val="-8"/>
          <w:sz w:val="12"/>
        </w:rPr>
        <w:t xml:space="preserve"> </w:t>
      </w:r>
      <w:r>
        <w:rPr>
          <w:sz w:val="12"/>
        </w:rPr>
        <w:t>una</w:t>
      </w:r>
      <w:r>
        <w:rPr>
          <w:spacing w:val="-8"/>
          <w:sz w:val="12"/>
        </w:rPr>
        <w:t xml:space="preserve"> </w:t>
      </w:r>
      <w:r>
        <w:rPr>
          <w:sz w:val="12"/>
        </w:rPr>
        <w:t>forma</w:t>
      </w:r>
      <w:r>
        <w:rPr>
          <w:spacing w:val="-9"/>
          <w:sz w:val="12"/>
        </w:rPr>
        <w:t xml:space="preserve"> </w:t>
      </w:r>
      <w:r>
        <w:rPr>
          <w:sz w:val="12"/>
        </w:rPr>
        <w:t>de</w:t>
      </w:r>
      <w:r>
        <w:rPr>
          <w:spacing w:val="-8"/>
          <w:sz w:val="12"/>
        </w:rPr>
        <w:t xml:space="preserve"> </w:t>
      </w:r>
      <w:r>
        <w:rPr>
          <w:sz w:val="12"/>
        </w:rPr>
        <w:t>discriminación</w:t>
      </w:r>
      <w:r>
        <w:rPr>
          <w:spacing w:val="-8"/>
          <w:sz w:val="12"/>
        </w:rPr>
        <w:t xml:space="preserve"> </w:t>
      </w:r>
      <w:r>
        <w:rPr>
          <w:sz w:val="12"/>
        </w:rPr>
        <w:t>racial.</w:t>
      </w:r>
      <w:r>
        <w:rPr>
          <w:spacing w:val="-9"/>
          <w:sz w:val="12"/>
        </w:rPr>
        <w:t xml:space="preserve"> </w:t>
      </w:r>
      <w:r>
        <w:rPr>
          <w:sz w:val="12"/>
        </w:rPr>
        <w:t>Véase,</w:t>
      </w:r>
      <w:r>
        <w:rPr>
          <w:spacing w:val="-8"/>
          <w:sz w:val="12"/>
        </w:rPr>
        <w:t xml:space="preserve"> </w:t>
      </w:r>
      <w:r>
        <w:rPr>
          <w:sz w:val="12"/>
        </w:rPr>
        <w:t>respectivamente,</w:t>
      </w:r>
      <w:r>
        <w:rPr>
          <w:spacing w:val="-8"/>
          <w:sz w:val="12"/>
        </w:rPr>
        <w:t xml:space="preserve"> </w:t>
      </w:r>
      <w:r>
        <w:rPr>
          <w:sz w:val="12"/>
        </w:rPr>
        <w:t>Tribunal</w:t>
      </w:r>
      <w:r>
        <w:rPr>
          <w:spacing w:val="40"/>
          <w:sz w:val="12"/>
        </w:rPr>
        <w:t xml:space="preserve"> </w:t>
      </w:r>
      <w:r>
        <w:rPr>
          <w:sz w:val="12"/>
        </w:rPr>
        <w:t>Europeo</w:t>
      </w:r>
      <w:r>
        <w:rPr>
          <w:spacing w:val="-9"/>
          <w:sz w:val="12"/>
        </w:rPr>
        <w:t xml:space="preserve"> </w:t>
      </w:r>
      <w:r>
        <w:rPr>
          <w:sz w:val="12"/>
        </w:rPr>
        <w:t>de</w:t>
      </w:r>
      <w:r>
        <w:rPr>
          <w:spacing w:val="-8"/>
          <w:sz w:val="12"/>
        </w:rPr>
        <w:t xml:space="preserve"> </w:t>
      </w:r>
      <w:r>
        <w:rPr>
          <w:sz w:val="12"/>
        </w:rPr>
        <w:t>Derechos</w:t>
      </w:r>
      <w:r>
        <w:rPr>
          <w:spacing w:val="-8"/>
          <w:sz w:val="12"/>
        </w:rPr>
        <w:t xml:space="preserve"> </w:t>
      </w:r>
      <w:r>
        <w:rPr>
          <w:sz w:val="12"/>
        </w:rPr>
        <w:t>Humanos,</w:t>
      </w:r>
      <w:r>
        <w:rPr>
          <w:spacing w:val="-9"/>
          <w:sz w:val="12"/>
        </w:rPr>
        <w:t xml:space="preserve"> </w:t>
      </w:r>
      <w:proofErr w:type="spellStart"/>
      <w:r>
        <w:rPr>
          <w:sz w:val="12"/>
        </w:rPr>
        <w:t>Guberina</w:t>
      </w:r>
      <w:proofErr w:type="spellEnd"/>
      <w:r>
        <w:rPr>
          <w:spacing w:val="-8"/>
          <w:sz w:val="12"/>
        </w:rPr>
        <w:t xml:space="preserve"> </w:t>
      </w:r>
      <w:r>
        <w:rPr>
          <w:sz w:val="12"/>
        </w:rPr>
        <w:t>c.</w:t>
      </w:r>
      <w:r>
        <w:rPr>
          <w:spacing w:val="-8"/>
          <w:sz w:val="12"/>
        </w:rPr>
        <w:t xml:space="preserve"> </w:t>
      </w:r>
      <w:r>
        <w:rPr>
          <w:sz w:val="12"/>
        </w:rPr>
        <w:t>Croacia,</w:t>
      </w:r>
      <w:r>
        <w:rPr>
          <w:spacing w:val="-9"/>
          <w:sz w:val="12"/>
        </w:rPr>
        <w:t xml:space="preserve"> </w:t>
      </w:r>
      <w:r>
        <w:rPr>
          <w:sz w:val="12"/>
        </w:rPr>
        <w:t>solicitud</w:t>
      </w:r>
      <w:r>
        <w:rPr>
          <w:spacing w:val="-8"/>
          <w:sz w:val="12"/>
        </w:rPr>
        <w:t xml:space="preserve"> </w:t>
      </w:r>
      <w:r>
        <w:rPr>
          <w:sz w:val="12"/>
        </w:rPr>
        <w:t>n.º</w:t>
      </w:r>
      <w:r>
        <w:rPr>
          <w:spacing w:val="-9"/>
          <w:sz w:val="12"/>
        </w:rPr>
        <w:t xml:space="preserve"> </w:t>
      </w:r>
      <w:r>
        <w:rPr>
          <w:sz w:val="12"/>
        </w:rPr>
        <w:t>23682/13,</w:t>
      </w:r>
      <w:r>
        <w:rPr>
          <w:spacing w:val="-8"/>
          <w:sz w:val="12"/>
        </w:rPr>
        <w:t xml:space="preserve"> </w:t>
      </w:r>
      <w:r>
        <w:rPr>
          <w:sz w:val="12"/>
        </w:rPr>
        <w:t>sentencia</w:t>
      </w:r>
      <w:r>
        <w:rPr>
          <w:spacing w:val="-8"/>
          <w:sz w:val="12"/>
        </w:rPr>
        <w:t xml:space="preserve"> </w:t>
      </w:r>
      <w:r>
        <w:rPr>
          <w:sz w:val="12"/>
        </w:rPr>
        <w:t>de</w:t>
      </w:r>
      <w:r>
        <w:rPr>
          <w:spacing w:val="-9"/>
          <w:sz w:val="12"/>
        </w:rPr>
        <w:t xml:space="preserve"> </w:t>
      </w:r>
      <w:r>
        <w:rPr>
          <w:sz w:val="12"/>
        </w:rPr>
        <w:t>22</w:t>
      </w:r>
      <w:r>
        <w:rPr>
          <w:spacing w:val="-8"/>
          <w:sz w:val="12"/>
        </w:rPr>
        <w:t xml:space="preserve"> </w:t>
      </w:r>
      <w:r>
        <w:rPr>
          <w:sz w:val="12"/>
        </w:rPr>
        <w:t>de</w:t>
      </w:r>
      <w:r>
        <w:rPr>
          <w:spacing w:val="-8"/>
          <w:sz w:val="12"/>
        </w:rPr>
        <w:t xml:space="preserve"> </w:t>
      </w:r>
      <w:r>
        <w:rPr>
          <w:sz w:val="12"/>
        </w:rPr>
        <w:t>marzo</w:t>
      </w:r>
      <w:r>
        <w:rPr>
          <w:spacing w:val="-9"/>
          <w:sz w:val="12"/>
        </w:rPr>
        <w:t xml:space="preserve"> </w:t>
      </w:r>
      <w:r>
        <w:rPr>
          <w:sz w:val="12"/>
        </w:rPr>
        <w:t>de</w:t>
      </w:r>
      <w:r>
        <w:rPr>
          <w:spacing w:val="-8"/>
          <w:sz w:val="12"/>
        </w:rPr>
        <w:t xml:space="preserve"> </w:t>
      </w:r>
      <w:r>
        <w:rPr>
          <w:sz w:val="12"/>
        </w:rPr>
        <w:t>2016,</w:t>
      </w:r>
      <w:r>
        <w:rPr>
          <w:spacing w:val="-8"/>
          <w:sz w:val="12"/>
        </w:rPr>
        <w:t xml:space="preserve"> </w:t>
      </w:r>
      <w:r>
        <w:rPr>
          <w:sz w:val="12"/>
        </w:rPr>
        <w:t>párr.</w:t>
      </w:r>
      <w:r>
        <w:rPr>
          <w:spacing w:val="-9"/>
          <w:sz w:val="12"/>
        </w:rPr>
        <w:t xml:space="preserve"> </w:t>
      </w:r>
      <w:r>
        <w:rPr>
          <w:sz w:val="12"/>
        </w:rPr>
        <w:t>78;</w:t>
      </w:r>
      <w:r>
        <w:rPr>
          <w:spacing w:val="-8"/>
          <w:sz w:val="12"/>
        </w:rPr>
        <w:t xml:space="preserve"> </w:t>
      </w:r>
      <w:r>
        <w:rPr>
          <w:sz w:val="12"/>
        </w:rPr>
        <w:t>y</w:t>
      </w:r>
      <w:r>
        <w:rPr>
          <w:spacing w:val="-8"/>
          <w:sz w:val="12"/>
        </w:rPr>
        <w:t xml:space="preserve"> </w:t>
      </w:r>
      <w:proofErr w:type="spellStart"/>
      <w:r>
        <w:rPr>
          <w:sz w:val="12"/>
        </w:rPr>
        <w:t>Timishev</w:t>
      </w:r>
      <w:proofErr w:type="spellEnd"/>
      <w:r>
        <w:rPr>
          <w:spacing w:val="-9"/>
          <w:sz w:val="12"/>
        </w:rPr>
        <w:t xml:space="preserve"> </w:t>
      </w:r>
      <w:r>
        <w:rPr>
          <w:sz w:val="12"/>
        </w:rPr>
        <w:t>c.</w:t>
      </w:r>
      <w:r>
        <w:rPr>
          <w:spacing w:val="-8"/>
          <w:sz w:val="12"/>
        </w:rPr>
        <w:t xml:space="preserve"> </w:t>
      </w:r>
      <w:r>
        <w:rPr>
          <w:sz w:val="12"/>
        </w:rPr>
        <w:t>Rusia,</w:t>
      </w:r>
      <w:r>
        <w:rPr>
          <w:spacing w:val="-8"/>
          <w:sz w:val="12"/>
        </w:rPr>
        <w:t xml:space="preserve"> </w:t>
      </w:r>
      <w:r>
        <w:rPr>
          <w:sz w:val="12"/>
        </w:rPr>
        <w:t>solicitudes</w:t>
      </w:r>
    </w:p>
    <w:p w14:paraId="6A7B3E24" w14:textId="77777777" w:rsidR="0014798C" w:rsidRDefault="004E1F0B">
      <w:pPr>
        <w:spacing w:before="2"/>
        <w:ind w:left="1366"/>
        <w:rPr>
          <w:sz w:val="12"/>
        </w:rPr>
      </w:pPr>
      <w:proofErr w:type="spellStart"/>
      <w:r>
        <w:rPr>
          <w:spacing w:val="-2"/>
          <w:sz w:val="12"/>
        </w:rPr>
        <w:t>núms</w:t>
      </w:r>
      <w:proofErr w:type="spellEnd"/>
      <w:r>
        <w:rPr>
          <w:spacing w:val="-2"/>
          <w:sz w:val="12"/>
        </w:rPr>
        <w:t>.</w:t>
      </w:r>
      <w:r>
        <w:rPr>
          <w:spacing w:val="-1"/>
          <w:sz w:val="12"/>
        </w:rPr>
        <w:t xml:space="preserve"> </w:t>
      </w:r>
      <w:r>
        <w:rPr>
          <w:spacing w:val="-2"/>
          <w:sz w:val="12"/>
        </w:rPr>
        <w:t>55762/00</w:t>
      </w:r>
      <w:r>
        <w:rPr>
          <w:spacing w:val="-1"/>
          <w:sz w:val="12"/>
        </w:rPr>
        <w:t xml:space="preserve"> </w:t>
      </w:r>
      <w:r>
        <w:rPr>
          <w:spacing w:val="-2"/>
          <w:sz w:val="12"/>
        </w:rPr>
        <w:t>y</w:t>
      </w:r>
      <w:r>
        <w:rPr>
          <w:spacing w:val="-1"/>
          <w:sz w:val="12"/>
        </w:rPr>
        <w:t xml:space="preserve"> </w:t>
      </w:r>
      <w:r>
        <w:rPr>
          <w:spacing w:val="-2"/>
          <w:sz w:val="12"/>
        </w:rPr>
        <w:t>55974/00,</w:t>
      </w:r>
      <w:r>
        <w:rPr>
          <w:spacing w:val="-1"/>
          <w:sz w:val="12"/>
        </w:rPr>
        <w:t xml:space="preserve"> </w:t>
      </w:r>
      <w:r>
        <w:rPr>
          <w:spacing w:val="-2"/>
          <w:sz w:val="12"/>
        </w:rPr>
        <w:t>sentencia</w:t>
      </w:r>
      <w:r>
        <w:rPr>
          <w:spacing w:val="-1"/>
          <w:sz w:val="12"/>
        </w:rPr>
        <w:t xml:space="preserve"> </w:t>
      </w:r>
      <w:r>
        <w:rPr>
          <w:spacing w:val="-2"/>
          <w:sz w:val="12"/>
        </w:rPr>
        <w:t>de</w:t>
      </w:r>
      <w:r>
        <w:rPr>
          <w:spacing w:val="-1"/>
          <w:sz w:val="12"/>
        </w:rPr>
        <w:t xml:space="preserve"> </w:t>
      </w:r>
      <w:r>
        <w:rPr>
          <w:spacing w:val="-2"/>
          <w:sz w:val="12"/>
        </w:rPr>
        <w:t>13</w:t>
      </w:r>
      <w:r>
        <w:rPr>
          <w:spacing w:val="-1"/>
          <w:sz w:val="12"/>
        </w:rPr>
        <w:t xml:space="preserve"> </w:t>
      </w:r>
      <w:r>
        <w:rPr>
          <w:spacing w:val="-2"/>
          <w:sz w:val="12"/>
        </w:rPr>
        <w:t>de</w:t>
      </w:r>
      <w:r>
        <w:rPr>
          <w:spacing w:val="-1"/>
          <w:sz w:val="12"/>
        </w:rPr>
        <w:t xml:space="preserve"> </w:t>
      </w:r>
      <w:r>
        <w:rPr>
          <w:spacing w:val="-2"/>
          <w:sz w:val="12"/>
        </w:rPr>
        <w:t>diciembre</w:t>
      </w:r>
      <w:r>
        <w:rPr>
          <w:spacing w:val="-1"/>
          <w:sz w:val="12"/>
        </w:rPr>
        <w:t xml:space="preserve"> </w:t>
      </w:r>
      <w:r>
        <w:rPr>
          <w:spacing w:val="-2"/>
          <w:sz w:val="12"/>
        </w:rPr>
        <w:t>de</w:t>
      </w:r>
      <w:r>
        <w:rPr>
          <w:spacing w:val="-1"/>
          <w:sz w:val="12"/>
        </w:rPr>
        <w:t xml:space="preserve"> </w:t>
      </w:r>
      <w:r>
        <w:rPr>
          <w:spacing w:val="-2"/>
          <w:sz w:val="12"/>
        </w:rPr>
        <w:t>2005,</w:t>
      </w:r>
      <w:r>
        <w:rPr>
          <w:spacing w:val="-1"/>
          <w:sz w:val="12"/>
        </w:rPr>
        <w:t xml:space="preserve"> </w:t>
      </w:r>
      <w:r>
        <w:rPr>
          <w:spacing w:val="-2"/>
          <w:sz w:val="12"/>
        </w:rPr>
        <w:t>párr.</w:t>
      </w:r>
      <w:r>
        <w:rPr>
          <w:spacing w:val="-1"/>
          <w:sz w:val="12"/>
        </w:rPr>
        <w:t xml:space="preserve"> </w:t>
      </w:r>
      <w:r>
        <w:rPr>
          <w:spacing w:val="-5"/>
          <w:sz w:val="12"/>
        </w:rPr>
        <w:t>56.</w:t>
      </w:r>
    </w:p>
    <w:p w14:paraId="150BE67D" w14:textId="77777777" w:rsidR="0014798C" w:rsidRDefault="004E1F0B">
      <w:pPr>
        <w:spacing w:before="98"/>
        <w:ind w:left="1111"/>
        <w:rPr>
          <w:sz w:val="12"/>
        </w:rPr>
      </w:pPr>
      <w:r>
        <w:rPr>
          <w:w w:val="105"/>
          <w:sz w:val="12"/>
        </w:rPr>
        <w:t>185</w:t>
      </w:r>
      <w:r>
        <w:rPr>
          <w:spacing w:val="-7"/>
          <w:w w:val="105"/>
          <w:sz w:val="12"/>
        </w:rPr>
        <w:t xml:space="preserve"> </w:t>
      </w:r>
      <w:r>
        <w:rPr>
          <w:w w:val="105"/>
          <w:sz w:val="12"/>
        </w:rPr>
        <w:t>Por</w:t>
      </w:r>
      <w:r>
        <w:rPr>
          <w:spacing w:val="-7"/>
          <w:w w:val="105"/>
          <w:sz w:val="12"/>
        </w:rPr>
        <w:t xml:space="preserve"> </w:t>
      </w:r>
      <w:r>
        <w:rPr>
          <w:w w:val="105"/>
          <w:sz w:val="12"/>
        </w:rPr>
        <w:t>ejemplo,</w:t>
      </w:r>
      <w:r>
        <w:rPr>
          <w:spacing w:val="-7"/>
          <w:w w:val="105"/>
          <w:sz w:val="12"/>
        </w:rPr>
        <w:t xml:space="preserve"> </w:t>
      </w:r>
      <w:r>
        <w:rPr>
          <w:w w:val="105"/>
          <w:sz w:val="12"/>
        </w:rPr>
        <w:t>en</w:t>
      </w:r>
      <w:r>
        <w:rPr>
          <w:spacing w:val="-7"/>
          <w:w w:val="105"/>
          <w:sz w:val="12"/>
        </w:rPr>
        <w:t xml:space="preserve"> </w:t>
      </w:r>
      <w:r>
        <w:rPr>
          <w:w w:val="105"/>
          <w:sz w:val="12"/>
        </w:rPr>
        <w:t>una</w:t>
      </w:r>
      <w:r>
        <w:rPr>
          <w:spacing w:val="-7"/>
          <w:w w:val="105"/>
          <w:sz w:val="12"/>
        </w:rPr>
        <w:t xml:space="preserve"> </w:t>
      </w:r>
      <w:r>
        <w:rPr>
          <w:w w:val="105"/>
          <w:sz w:val="12"/>
        </w:rPr>
        <w:t>resolución</w:t>
      </w:r>
      <w:r>
        <w:rPr>
          <w:spacing w:val="-7"/>
          <w:w w:val="105"/>
          <w:sz w:val="12"/>
        </w:rPr>
        <w:t xml:space="preserve"> </w:t>
      </w:r>
      <w:r>
        <w:rPr>
          <w:w w:val="105"/>
          <w:sz w:val="12"/>
        </w:rPr>
        <w:t>adoptada</w:t>
      </w:r>
      <w:r>
        <w:rPr>
          <w:spacing w:val="-7"/>
          <w:w w:val="105"/>
          <w:sz w:val="12"/>
        </w:rPr>
        <w:t xml:space="preserve"> </w:t>
      </w:r>
      <w:r>
        <w:rPr>
          <w:w w:val="105"/>
          <w:sz w:val="12"/>
        </w:rPr>
        <w:t>en</w:t>
      </w:r>
      <w:r>
        <w:rPr>
          <w:spacing w:val="-7"/>
          <w:w w:val="105"/>
          <w:sz w:val="12"/>
        </w:rPr>
        <w:t xml:space="preserve"> </w:t>
      </w:r>
      <w:r>
        <w:rPr>
          <w:w w:val="105"/>
          <w:sz w:val="12"/>
        </w:rPr>
        <w:t>2014,</w:t>
      </w:r>
      <w:r>
        <w:rPr>
          <w:spacing w:val="-7"/>
          <w:w w:val="105"/>
          <w:sz w:val="12"/>
        </w:rPr>
        <w:t xml:space="preserve"> </w:t>
      </w:r>
      <w:r>
        <w:rPr>
          <w:w w:val="105"/>
          <w:sz w:val="12"/>
        </w:rPr>
        <w:t>la</w:t>
      </w:r>
      <w:r>
        <w:rPr>
          <w:spacing w:val="-6"/>
          <w:w w:val="105"/>
          <w:sz w:val="12"/>
        </w:rPr>
        <w:t xml:space="preserve"> </w:t>
      </w:r>
      <w:r>
        <w:rPr>
          <w:w w:val="105"/>
          <w:sz w:val="12"/>
        </w:rPr>
        <w:t>Comisión</w:t>
      </w:r>
      <w:r>
        <w:rPr>
          <w:spacing w:val="-7"/>
          <w:w w:val="105"/>
          <w:sz w:val="12"/>
        </w:rPr>
        <w:t xml:space="preserve"> </w:t>
      </w:r>
      <w:r>
        <w:rPr>
          <w:w w:val="105"/>
          <w:sz w:val="12"/>
        </w:rPr>
        <w:t>Africana</w:t>
      </w:r>
      <w:r>
        <w:rPr>
          <w:spacing w:val="-7"/>
          <w:w w:val="105"/>
          <w:sz w:val="12"/>
        </w:rPr>
        <w:t xml:space="preserve"> </w:t>
      </w:r>
      <w:r>
        <w:rPr>
          <w:w w:val="105"/>
          <w:sz w:val="12"/>
        </w:rPr>
        <w:t>de</w:t>
      </w:r>
      <w:r>
        <w:rPr>
          <w:spacing w:val="-7"/>
          <w:w w:val="105"/>
          <w:sz w:val="12"/>
        </w:rPr>
        <w:t xml:space="preserve"> </w:t>
      </w:r>
      <w:r>
        <w:rPr>
          <w:w w:val="105"/>
          <w:sz w:val="12"/>
        </w:rPr>
        <w:t>Derechos</w:t>
      </w:r>
      <w:r>
        <w:rPr>
          <w:spacing w:val="-7"/>
          <w:w w:val="105"/>
          <w:sz w:val="12"/>
        </w:rPr>
        <w:t xml:space="preserve"> </w:t>
      </w:r>
      <w:r>
        <w:rPr>
          <w:w w:val="105"/>
          <w:sz w:val="12"/>
        </w:rPr>
        <w:t>Humanos</w:t>
      </w:r>
      <w:r>
        <w:rPr>
          <w:spacing w:val="-7"/>
          <w:w w:val="105"/>
          <w:sz w:val="12"/>
        </w:rPr>
        <w:t xml:space="preserve"> </w:t>
      </w:r>
      <w:r>
        <w:rPr>
          <w:w w:val="105"/>
          <w:sz w:val="12"/>
        </w:rPr>
        <w:t>y</w:t>
      </w:r>
      <w:r>
        <w:rPr>
          <w:spacing w:val="-7"/>
          <w:w w:val="105"/>
          <w:sz w:val="12"/>
        </w:rPr>
        <w:t xml:space="preserve"> </w:t>
      </w:r>
      <w:r>
        <w:rPr>
          <w:w w:val="105"/>
          <w:sz w:val="12"/>
        </w:rPr>
        <w:t>de</w:t>
      </w:r>
      <w:r>
        <w:rPr>
          <w:spacing w:val="-7"/>
          <w:w w:val="105"/>
          <w:sz w:val="12"/>
        </w:rPr>
        <w:t xml:space="preserve"> </w:t>
      </w:r>
      <w:r>
        <w:rPr>
          <w:w w:val="105"/>
          <w:sz w:val="12"/>
        </w:rPr>
        <w:t>los</w:t>
      </w:r>
      <w:r>
        <w:rPr>
          <w:spacing w:val="-7"/>
          <w:w w:val="105"/>
          <w:sz w:val="12"/>
        </w:rPr>
        <w:t xml:space="preserve"> </w:t>
      </w:r>
      <w:r>
        <w:rPr>
          <w:w w:val="105"/>
          <w:sz w:val="12"/>
        </w:rPr>
        <w:t>Pueblos</w:t>
      </w:r>
      <w:r>
        <w:rPr>
          <w:spacing w:val="-7"/>
          <w:w w:val="105"/>
          <w:sz w:val="12"/>
        </w:rPr>
        <w:t xml:space="preserve"> </w:t>
      </w:r>
      <w:r>
        <w:rPr>
          <w:w w:val="105"/>
          <w:sz w:val="12"/>
        </w:rPr>
        <w:t>expresó</w:t>
      </w:r>
      <w:r>
        <w:rPr>
          <w:spacing w:val="-6"/>
          <w:w w:val="105"/>
          <w:sz w:val="12"/>
        </w:rPr>
        <w:t xml:space="preserve"> </w:t>
      </w:r>
      <w:r>
        <w:rPr>
          <w:w w:val="105"/>
          <w:sz w:val="12"/>
        </w:rPr>
        <w:t>su</w:t>
      </w:r>
      <w:r>
        <w:rPr>
          <w:spacing w:val="-7"/>
          <w:w w:val="105"/>
          <w:sz w:val="12"/>
        </w:rPr>
        <w:t xml:space="preserve"> </w:t>
      </w:r>
      <w:r>
        <w:rPr>
          <w:w w:val="105"/>
          <w:sz w:val="12"/>
        </w:rPr>
        <w:t>preocupación</w:t>
      </w:r>
      <w:r>
        <w:rPr>
          <w:spacing w:val="-7"/>
          <w:w w:val="105"/>
          <w:sz w:val="12"/>
        </w:rPr>
        <w:t xml:space="preserve"> </w:t>
      </w:r>
      <w:r>
        <w:rPr>
          <w:spacing w:val="-5"/>
          <w:w w:val="105"/>
          <w:sz w:val="12"/>
        </w:rPr>
        <w:t>por</w:t>
      </w:r>
    </w:p>
    <w:p w14:paraId="0496031C" w14:textId="77777777" w:rsidR="0014798C" w:rsidRDefault="004E1F0B">
      <w:pPr>
        <w:spacing w:before="42" w:line="312" w:lineRule="auto"/>
        <w:ind w:left="1366" w:right="1272"/>
        <w:rPr>
          <w:sz w:val="12"/>
        </w:rPr>
      </w:pPr>
      <w:r>
        <w:rPr>
          <w:sz w:val="12"/>
        </w:rPr>
        <w:t>violencia</w:t>
      </w:r>
      <w:r>
        <w:rPr>
          <w:spacing w:val="-7"/>
          <w:sz w:val="12"/>
        </w:rPr>
        <w:t xml:space="preserve"> </w:t>
      </w:r>
      <w:r>
        <w:rPr>
          <w:sz w:val="12"/>
        </w:rPr>
        <w:t>y</w:t>
      </w:r>
      <w:r>
        <w:rPr>
          <w:spacing w:val="-7"/>
          <w:sz w:val="12"/>
        </w:rPr>
        <w:t xml:space="preserve"> </w:t>
      </w:r>
      <w:r>
        <w:rPr>
          <w:sz w:val="12"/>
        </w:rPr>
        <w:t>discriminación</w:t>
      </w:r>
      <w:r>
        <w:rPr>
          <w:spacing w:val="-7"/>
          <w:sz w:val="12"/>
        </w:rPr>
        <w:t xml:space="preserve"> </w:t>
      </w:r>
      <w:r>
        <w:rPr>
          <w:sz w:val="12"/>
        </w:rPr>
        <w:t>contra</w:t>
      </w:r>
      <w:r>
        <w:rPr>
          <w:spacing w:val="-7"/>
          <w:sz w:val="12"/>
        </w:rPr>
        <w:t xml:space="preserve"> </w:t>
      </w:r>
      <w:r>
        <w:rPr>
          <w:sz w:val="12"/>
        </w:rPr>
        <w:t>personas</w:t>
      </w:r>
      <w:r>
        <w:rPr>
          <w:spacing w:val="-7"/>
          <w:sz w:val="12"/>
        </w:rPr>
        <w:t xml:space="preserve"> </w:t>
      </w:r>
      <w:r>
        <w:rPr>
          <w:sz w:val="12"/>
        </w:rPr>
        <w:t>debido</w:t>
      </w:r>
      <w:r>
        <w:rPr>
          <w:spacing w:val="-7"/>
          <w:sz w:val="12"/>
        </w:rPr>
        <w:t xml:space="preserve"> </w:t>
      </w:r>
      <w:r>
        <w:rPr>
          <w:sz w:val="12"/>
        </w:rPr>
        <w:t>a</w:t>
      </w:r>
      <w:r>
        <w:rPr>
          <w:spacing w:val="-7"/>
          <w:sz w:val="12"/>
        </w:rPr>
        <w:t xml:space="preserve"> </w:t>
      </w:r>
      <w:r>
        <w:rPr>
          <w:sz w:val="12"/>
        </w:rPr>
        <w:t>su</w:t>
      </w:r>
      <w:r>
        <w:rPr>
          <w:spacing w:val="-7"/>
          <w:sz w:val="12"/>
        </w:rPr>
        <w:t xml:space="preserve"> </w:t>
      </w:r>
      <w:r>
        <w:rPr>
          <w:sz w:val="12"/>
        </w:rPr>
        <w:t>“orientación</w:t>
      </w:r>
      <w:r>
        <w:rPr>
          <w:spacing w:val="-7"/>
          <w:sz w:val="12"/>
        </w:rPr>
        <w:t xml:space="preserve"> </w:t>
      </w:r>
      <w:r>
        <w:rPr>
          <w:sz w:val="12"/>
        </w:rPr>
        <w:t>sexual</w:t>
      </w:r>
      <w:r>
        <w:rPr>
          <w:spacing w:val="-7"/>
          <w:sz w:val="12"/>
        </w:rPr>
        <w:t xml:space="preserve"> </w:t>
      </w:r>
      <w:r>
        <w:rPr>
          <w:sz w:val="12"/>
        </w:rPr>
        <w:t>o</w:t>
      </w:r>
      <w:r>
        <w:rPr>
          <w:spacing w:val="-7"/>
          <w:sz w:val="12"/>
        </w:rPr>
        <w:t xml:space="preserve"> </w:t>
      </w:r>
      <w:r>
        <w:rPr>
          <w:sz w:val="12"/>
        </w:rPr>
        <w:t>identidad</w:t>
      </w:r>
      <w:r>
        <w:rPr>
          <w:spacing w:val="-7"/>
          <w:sz w:val="12"/>
        </w:rPr>
        <w:t xml:space="preserve"> </w:t>
      </w:r>
      <w:r>
        <w:rPr>
          <w:sz w:val="12"/>
        </w:rPr>
        <w:t>de</w:t>
      </w:r>
      <w:r>
        <w:rPr>
          <w:spacing w:val="-7"/>
          <w:sz w:val="12"/>
        </w:rPr>
        <w:t xml:space="preserve"> </w:t>
      </w:r>
      <w:r>
        <w:rPr>
          <w:sz w:val="12"/>
        </w:rPr>
        <w:t>género</w:t>
      </w:r>
      <w:r>
        <w:rPr>
          <w:spacing w:val="-7"/>
          <w:sz w:val="12"/>
        </w:rPr>
        <w:t xml:space="preserve"> </w:t>
      </w:r>
      <w:r>
        <w:rPr>
          <w:sz w:val="12"/>
        </w:rPr>
        <w:t>real</w:t>
      </w:r>
      <w:r>
        <w:rPr>
          <w:spacing w:val="-7"/>
          <w:sz w:val="12"/>
        </w:rPr>
        <w:t xml:space="preserve"> </w:t>
      </w:r>
      <w:r>
        <w:rPr>
          <w:sz w:val="12"/>
        </w:rPr>
        <w:t>o</w:t>
      </w:r>
      <w:r>
        <w:rPr>
          <w:spacing w:val="-7"/>
          <w:sz w:val="12"/>
        </w:rPr>
        <w:t xml:space="preserve"> </w:t>
      </w:r>
      <w:r>
        <w:rPr>
          <w:sz w:val="12"/>
        </w:rPr>
        <w:t>supuesta”.</w:t>
      </w:r>
      <w:r>
        <w:rPr>
          <w:spacing w:val="-7"/>
          <w:sz w:val="12"/>
        </w:rPr>
        <w:t xml:space="preserve"> </w:t>
      </w:r>
      <w:r>
        <w:rPr>
          <w:sz w:val="12"/>
        </w:rPr>
        <w:t>En</w:t>
      </w:r>
      <w:r>
        <w:rPr>
          <w:spacing w:val="-7"/>
          <w:sz w:val="12"/>
        </w:rPr>
        <w:t xml:space="preserve"> </w:t>
      </w:r>
      <w:r>
        <w:rPr>
          <w:sz w:val="12"/>
        </w:rPr>
        <w:t>virtud</w:t>
      </w:r>
      <w:r>
        <w:rPr>
          <w:spacing w:val="-7"/>
          <w:sz w:val="12"/>
        </w:rPr>
        <w:t xml:space="preserve"> </w:t>
      </w:r>
      <w:r>
        <w:rPr>
          <w:sz w:val="12"/>
        </w:rPr>
        <w:t>del</w:t>
      </w:r>
      <w:r>
        <w:rPr>
          <w:spacing w:val="-7"/>
          <w:sz w:val="12"/>
        </w:rPr>
        <w:t xml:space="preserve"> </w:t>
      </w:r>
      <w:r>
        <w:rPr>
          <w:sz w:val="12"/>
        </w:rPr>
        <w:t>Protocolo</w:t>
      </w:r>
      <w:r>
        <w:rPr>
          <w:spacing w:val="-7"/>
          <w:sz w:val="12"/>
        </w:rPr>
        <w:t xml:space="preserve"> </w:t>
      </w:r>
      <w:r>
        <w:rPr>
          <w:sz w:val="12"/>
        </w:rPr>
        <w:t>de</w:t>
      </w:r>
      <w:r>
        <w:rPr>
          <w:spacing w:val="-7"/>
          <w:sz w:val="12"/>
        </w:rPr>
        <w:t xml:space="preserve"> </w:t>
      </w:r>
      <w:r>
        <w:rPr>
          <w:sz w:val="12"/>
        </w:rPr>
        <w:t>la</w:t>
      </w:r>
      <w:r>
        <w:rPr>
          <w:spacing w:val="-7"/>
          <w:sz w:val="12"/>
        </w:rPr>
        <w:t xml:space="preserve"> </w:t>
      </w:r>
      <w:r>
        <w:rPr>
          <w:sz w:val="12"/>
        </w:rPr>
        <w:t>Carta</w:t>
      </w:r>
      <w:r>
        <w:rPr>
          <w:spacing w:val="-7"/>
          <w:sz w:val="12"/>
        </w:rPr>
        <w:t xml:space="preserve"> </w:t>
      </w:r>
      <w:r>
        <w:rPr>
          <w:sz w:val="12"/>
        </w:rPr>
        <w:t>Africana</w:t>
      </w:r>
      <w:r>
        <w:rPr>
          <w:spacing w:val="-7"/>
          <w:sz w:val="12"/>
        </w:rPr>
        <w:t xml:space="preserve"> </w:t>
      </w:r>
      <w:r>
        <w:rPr>
          <w:sz w:val="12"/>
        </w:rPr>
        <w:t>de</w:t>
      </w:r>
      <w:r>
        <w:rPr>
          <w:spacing w:val="-7"/>
          <w:sz w:val="12"/>
        </w:rPr>
        <w:t xml:space="preserve"> </w:t>
      </w:r>
      <w:r>
        <w:rPr>
          <w:sz w:val="12"/>
        </w:rPr>
        <w:t>Derechos</w:t>
      </w:r>
      <w:r>
        <w:rPr>
          <w:spacing w:val="40"/>
          <w:sz w:val="12"/>
        </w:rPr>
        <w:t xml:space="preserve"> </w:t>
      </w:r>
      <w:r>
        <w:rPr>
          <w:sz w:val="12"/>
        </w:rPr>
        <w:t>Humanos</w:t>
      </w:r>
      <w:r>
        <w:rPr>
          <w:spacing w:val="-5"/>
          <w:sz w:val="12"/>
        </w:rPr>
        <w:t xml:space="preserve"> </w:t>
      </w:r>
      <w:r>
        <w:rPr>
          <w:sz w:val="12"/>
        </w:rPr>
        <w:t>y</w:t>
      </w:r>
      <w:r>
        <w:rPr>
          <w:spacing w:val="-5"/>
          <w:sz w:val="12"/>
        </w:rPr>
        <w:t xml:space="preserve"> </w:t>
      </w:r>
      <w:r>
        <w:rPr>
          <w:sz w:val="12"/>
        </w:rPr>
        <w:t>de</w:t>
      </w:r>
      <w:r>
        <w:rPr>
          <w:spacing w:val="-5"/>
          <w:sz w:val="12"/>
        </w:rPr>
        <w:t xml:space="preserve"> </w:t>
      </w:r>
      <w:r>
        <w:rPr>
          <w:sz w:val="12"/>
        </w:rPr>
        <w:t>los</w:t>
      </w:r>
      <w:r>
        <w:rPr>
          <w:spacing w:val="-5"/>
          <w:sz w:val="12"/>
        </w:rPr>
        <w:t xml:space="preserve"> </w:t>
      </w:r>
      <w:r>
        <w:rPr>
          <w:sz w:val="12"/>
        </w:rPr>
        <w:t>Pueblos</w:t>
      </w:r>
      <w:r>
        <w:rPr>
          <w:spacing w:val="-5"/>
          <w:sz w:val="12"/>
        </w:rPr>
        <w:t xml:space="preserve"> </w:t>
      </w:r>
      <w:r>
        <w:rPr>
          <w:sz w:val="12"/>
        </w:rPr>
        <w:t>relativo</w:t>
      </w:r>
      <w:r>
        <w:rPr>
          <w:spacing w:val="-5"/>
          <w:sz w:val="12"/>
        </w:rPr>
        <w:t xml:space="preserve"> </w:t>
      </w:r>
      <w:r>
        <w:rPr>
          <w:sz w:val="12"/>
        </w:rPr>
        <w:t>a</w:t>
      </w:r>
      <w:r>
        <w:rPr>
          <w:spacing w:val="-5"/>
          <w:sz w:val="12"/>
        </w:rPr>
        <w:t xml:space="preserve"> </w:t>
      </w:r>
      <w:r>
        <w:rPr>
          <w:sz w:val="12"/>
        </w:rPr>
        <w:t>los</w:t>
      </w:r>
      <w:r>
        <w:rPr>
          <w:spacing w:val="-5"/>
          <w:sz w:val="12"/>
        </w:rPr>
        <w:t xml:space="preserve"> </w:t>
      </w:r>
      <w:r>
        <w:rPr>
          <w:sz w:val="12"/>
        </w:rPr>
        <w:t>derechos</w:t>
      </w:r>
      <w:r>
        <w:rPr>
          <w:spacing w:val="-5"/>
          <w:sz w:val="12"/>
        </w:rPr>
        <w:t xml:space="preserve"> </w:t>
      </w:r>
      <w:r>
        <w:rPr>
          <w:sz w:val="12"/>
        </w:rPr>
        <w:t>de</w:t>
      </w:r>
      <w:r>
        <w:rPr>
          <w:spacing w:val="-5"/>
          <w:sz w:val="12"/>
        </w:rPr>
        <w:t xml:space="preserve"> </w:t>
      </w:r>
      <w:r>
        <w:rPr>
          <w:sz w:val="12"/>
        </w:rPr>
        <w:t>las</w:t>
      </w:r>
      <w:r>
        <w:rPr>
          <w:spacing w:val="-5"/>
          <w:sz w:val="12"/>
        </w:rPr>
        <w:t xml:space="preserve"> </w:t>
      </w:r>
      <w:r>
        <w:rPr>
          <w:sz w:val="12"/>
        </w:rPr>
        <w:t>personas</w:t>
      </w:r>
      <w:r>
        <w:rPr>
          <w:spacing w:val="-5"/>
          <w:sz w:val="12"/>
        </w:rPr>
        <w:t xml:space="preserve"> </w:t>
      </w:r>
      <w:r>
        <w:rPr>
          <w:sz w:val="12"/>
        </w:rPr>
        <w:t>con</w:t>
      </w:r>
      <w:r>
        <w:rPr>
          <w:spacing w:val="-5"/>
          <w:sz w:val="12"/>
        </w:rPr>
        <w:t xml:space="preserve"> </w:t>
      </w:r>
      <w:r>
        <w:rPr>
          <w:sz w:val="12"/>
        </w:rPr>
        <w:t>discapacidad</w:t>
      </w:r>
      <w:r>
        <w:rPr>
          <w:spacing w:val="-5"/>
          <w:sz w:val="12"/>
        </w:rPr>
        <w:t xml:space="preserve"> </w:t>
      </w:r>
      <w:r>
        <w:rPr>
          <w:sz w:val="12"/>
        </w:rPr>
        <w:t>en</w:t>
      </w:r>
      <w:r>
        <w:rPr>
          <w:spacing w:val="-5"/>
          <w:sz w:val="12"/>
        </w:rPr>
        <w:t xml:space="preserve"> </w:t>
      </w:r>
      <w:r>
        <w:rPr>
          <w:sz w:val="12"/>
        </w:rPr>
        <w:t>África,</w:t>
      </w:r>
      <w:r>
        <w:rPr>
          <w:spacing w:val="-5"/>
          <w:sz w:val="12"/>
        </w:rPr>
        <w:t xml:space="preserve"> </w:t>
      </w:r>
      <w:r>
        <w:rPr>
          <w:sz w:val="12"/>
        </w:rPr>
        <w:t>está</w:t>
      </w:r>
      <w:r>
        <w:rPr>
          <w:spacing w:val="-5"/>
          <w:sz w:val="12"/>
        </w:rPr>
        <w:t xml:space="preserve"> </w:t>
      </w:r>
      <w:r>
        <w:rPr>
          <w:sz w:val="12"/>
        </w:rPr>
        <w:t>prohibida</w:t>
      </w:r>
      <w:r>
        <w:rPr>
          <w:spacing w:val="-5"/>
          <w:sz w:val="12"/>
        </w:rPr>
        <w:t xml:space="preserve"> </w:t>
      </w:r>
      <w:r>
        <w:rPr>
          <w:sz w:val="12"/>
        </w:rPr>
        <w:t>la</w:t>
      </w:r>
      <w:r>
        <w:rPr>
          <w:spacing w:val="-5"/>
          <w:sz w:val="12"/>
        </w:rPr>
        <w:t xml:space="preserve"> </w:t>
      </w:r>
      <w:r>
        <w:rPr>
          <w:sz w:val="12"/>
        </w:rPr>
        <w:t>discriminación</w:t>
      </w:r>
      <w:r>
        <w:rPr>
          <w:spacing w:val="-5"/>
          <w:sz w:val="12"/>
        </w:rPr>
        <w:t xml:space="preserve"> </w:t>
      </w:r>
      <w:r>
        <w:rPr>
          <w:sz w:val="12"/>
        </w:rPr>
        <w:t>por</w:t>
      </w:r>
      <w:r>
        <w:rPr>
          <w:spacing w:val="-5"/>
          <w:sz w:val="12"/>
        </w:rPr>
        <w:t xml:space="preserve"> </w:t>
      </w:r>
      <w:r>
        <w:rPr>
          <w:sz w:val="12"/>
        </w:rPr>
        <w:t>asociación</w:t>
      </w:r>
      <w:r>
        <w:rPr>
          <w:spacing w:val="-5"/>
          <w:sz w:val="12"/>
        </w:rPr>
        <w:t xml:space="preserve"> </w:t>
      </w:r>
      <w:r>
        <w:rPr>
          <w:sz w:val="12"/>
        </w:rPr>
        <w:t>con</w:t>
      </w:r>
      <w:r>
        <w:rPr>
          <w:spacing w:val="-5"/>
          <w:sz w:val="12"/>
        </w:rPr>
        <w:t xml:space="preserve"> </w:t>
      </w:r>
      <w:r>
        <w:rPr>
          <w:sz w:val="12"/>
        </w:rPr>
        <w:t>una</w:t>
      </w:r>
      <w:r>
        <w:rPr>
          <w:spacing w:val="-5"/>
          <w:sz w:val="12"/>
        </w:rPr>
        <w:t xml:space="preserve"> </w:t>
      </w:r>
      <w:r>
        <w:rPr>
          <w:sz w:val="12"/>
        </w:rPr>
        <w:t>persona</w:t>
      </w:r>
      <w:r>
        <w:rPr>
          <w:spacing w:val="-5"/>
          <w:sz w:val="12"/>
        </w:rPr>
        <w:t xml:space="preserve"> </w:t>
      </w:r>
      <w:r>
        <w:rPr>
          <w:sz w:val="12"/>
        </w:rPr>
        <w:t>con</w:t>
      </w:r>
      <w:r>
        <w:rPr>
          <w:spacing w:val="40"/>
          <w:sz w:val="12"/>
        </w:rPr>
        <w:t xml:space="preserve"> </w:t>
      </w:r>
      <w:r>
        <w:rPr>
          <w:sz w:val="12"/>
        </w:rPr>
        <w:t>discapacidad</w:t>
      </w:r>
      <w:r>
        <w:rPr>
          <w:spacing w:val="-6"/>
          <w:sz w:val="12"/>
        </w:rPr>
        <w:t xml:space="preserve"> </w:t>
      </w:r>
      <w:r>
        <w:rPr>
          <w:sz w:val="12"/>
        </w:rPr>
        <w:t>(art.</w:t>
      </w:r>
      <w:r>
        <w:rPr>
          <w:spacing w:val="-6"/>
          <w:sz w:val="12"/>
        </w:rPr>
        <w:t xml:space="preserve"> </w:t>
      </w:r>
      <w:r>
        <w:rPr>
          <w:sz w:val="12"/>
        </w:rPr>
        <w:t>5</w:t>
      </w:r>
      <w:r>
        <w:rPr>
          <w:spacing w:val="-6"/>
          <w:sz w:val="12"/>
        </w:rPr>
        <w:t xml:space="preserve"> </w:t>
      </w:r>
      <w:r>
        <w:rPr>
          <w:sz w:val="12"/>
        </w:rPr>
        <w:t>(2)</w:t>
      </w:r>
      <w:r>
        <w:rPr>
          <w:spacing w:val="-6"/>
          <w:sz w:val="12"/>
        </w:rPr>
        <w:t xml:space="preserve"> </w:t>
      </w:r>
      <w:r>
        <w:rPr>
          <w:sz w:val="12"/>
        </w:rPr>
        <w:t>(c)).</w:t>
      </w:r>
      <w:r>
        <w:rPr>
          <w:spacing w:val="-6"/>
          <w:sz w:val="12"/>
        </w:rPr>
        <w:t xml:space="preserve"> </w:t>
      </w:r>
      <w:r>
        <w:rPr>
          <w:sz w:val="12"/>
        </w:rPr>
        <w:t>Véase</w:t>
      </w:r>
      <w:r>
        <w:rPr>
          <w:spacing w:val="-6"/>
          <w:sz w:val="12"/>
        </w:rPr>
        <w:t xml:space="preserve"> </w:t>
      </w:r>
      <w:r>
        <w:rPr>
          <w:sz w:val="12"/>
        </w:rPr>
        <w:t>Comisión</w:t>
      </w:r>
      <w:r>
        <w:rPr>
          <w:spacing w:val="-6"/>
          <w:sz w:val="12"/>
        </w:rPr>
        <w:t xml:space="preserve"> </w:t>
      </w:r>
      <w:r>
        <w:rPr>
          <w:sz w:val="12"/>
        </w:rPr>
        <w:t>Africana</w:t>
      </w:r>
      <w:r>
        <w:rPr>
          <w:spacing w:val="-6"/>
          <w:sz w:val="12"/>
        </w:rPr>
        <w:t xml:space="preserve"> </w:t>
      </w:r>
      <w:r>
        <w:rPr>
          <w:sz w:val="12"/>
        </w:rPr>
        <w:t>de</w:t>
      </w:r>
      <w:r>
        <w:rPr>
          <w:spacing w:val="-6"/>
          <w:sz w:val="12"/>
        </w:rPr>
        <w:t xml:space="preserve"> </w:t>
      </w:r>
      <w:r>
        <w:rPr>
          <w:sz w:val="12"/>
        </w:rPr>
        <w:t>Derechos</w:t>
      </w:r>
      <w:r>
        <w:rPr>
          <w:spacing w:val="-6"/>
          <w:sz w:val="12"/>
        </w:rPr>
        <w:t xml:space="preserve"> </w:t>
      </w:r>
      <w:r>
        <w:rPr>
          <w:sz w:val="12"/>
        </w:rPr>
        <w:t>Humanos</w:t>
      </w:r>
      <w:r>
        <w:rPr>
          <w:spacing w:val="-6"/>
          <w:sz w:val="12"/>
        </w:rPr>
        <w:t xml:space="preserve"> </w:t>
      </w:r>
      <w:r>
        <w:rPr>
          <w:sz w:val="12"/>
        </w:rPr>
        <w:t>y</w:t>
      </w:r>
      <w:r>
        <w:rPr>
          <w:spacing w:val="-6"/>
          <w:sz w:val="12"/>
        </w:rPr>
        <w:t xml:space="preserve"> </w:t>
      </w:r>
      <w:r>
        <w:rPr>
          <w:sz w:val="12"/>
        </w:rPr>
        <w:t>de</w:t>
      </w:r>
      <w:r>
        <w:rPr>
          <w:spacing w:val="-6"/>
          <w:sz w:val="12"/>
        </w:rPr>
        <w:t xml:space="preserve"> </w:t>
      </w:r>
      <w:r>
        <w:rPr>
          <w:sz w:val="12"/>
        </w:rPr>
        <w:t>los</w:t>
      </w:r>
      <w:r>
        <w:rPr>
          <w:spacing w:val="-6"/>
          <w:sz w:val="12"/>
        </w:rPr>
        <w:t xml:space="preserve"> </w:t>
      </w:r>
      <w:r>
        <w:rPr>
          <w:sz w:val="12"/>
        </w:rPr>
        <w:t>Pueblos,</w:t>
      </w:r>
      <w:r>
        <w:rPr>
          <w:spacing w:val="-6"/>
          <w:sz w:val="12"/>
        </w:rPr>
        <w:t xml:space="preserve"> </w:t>
      </w:r>
      <w:r>
        <w:rPr>
          <w:sz w:val="12"/>
        </w:rPr>
        <w:t>resolución</w:t>
      </w:r>
      <w:r>
        <w:rPr>
          <w:spacing w:val="-6"/>
          <w:sz w:val="12"/>
        </w:rPr>
        <w:t xml:space="preserve"> </w:t>
      </w:r>
      <w:r>
        <w:rPr>
          <w:sz w:val="12"/>
        </w:rPr>
        <w:t>sobre</w:t>
      </w:r>
      <w:r>
        <w:rPr>
          <w:spacing w:val="-6"/>
          <w:sz w:val="12"/>
        </w:rPr>
        <w:t xml:space="preserve"> </w:t>
      </w:r>
      <w:r>
        <w:rPr>
          <w:sz w:val="12"/>
        </w:rPr>
        <w:t>la</w:t>
      </w:r>
      <w:r>
        <w:rPr>
          <w:spacing w:val="-6"/>
          <w:sz w:val="12"/>
        </w:rPr>
        <w:t xml:space="preserve"> </w:t>
      </w:r>
      <w:r>
        <w:rPr>
          <w:sz w:val="12"/>
        </w:rPr>
        <w:t>protección</w:t>
      </w:r>
      <w:r>
        <w:rPr>
          <w:spacing w:val="-6"/>
          <w:sz w:val="12"/>
        </w:rPr>
        <w:t xml:space="preserve"> </w:t>
      </w:r>
      <w:r>
        <w:rPr>
          <w:sz w:val="12"/>
        </w:rPr>
        <w:t>contra</w:t>
      </w:r>
      <w:r>
        <w:rPr>
          <w:spacing w:val="-6"/>
          <w:sz w:val="12"/>
        </w:rPr>
        <w:t xml:space="preserve"> </w:t>
      </w:r>
      <w:r>
        <w:rPr>
          <w:sz w:val="12"/>
        </w:rPr>
        <w:t>la</w:t>
      </w:r>
      <w:r>
        <w:rPr>
          <w:spacing w:val="-6"/>
          <w:sz w:val="12"/>
        </w:rPr>
        <w:t xml:space="preserve"> </w:t>
      </w:r>
      <w:r>
        <w:rPr>
          <w:sz w:val="12"/>
        </w:rPr>
        <w:t>violencia</w:t>
      </w:r>
      <w:r>
        <w:rPr>
          <w:spacing w:val="-6"/>
          <w:sz w:val="12"/>
        </w:rPr>
        <w:t xml:space="preserve"> </w:t>
      </w:r>
      <w:r>
        <w:rPr>
          <w:sz w:val="12"/>
        </w:rPr>
        <w:t>y</w:t>
      </w:r>
      <w:r>
        <w:rPr>
          <w:spacing w:val="-6"/>
          <w:sz w:val="12"/>
        </w:rPr>
        <w:t xml:space="preserve"> </w:t>
      </w:r>
      <w:r>
        <w:rPr>
          <w:sz w:val="12"/>
        </w:rPr>
        <w:t>otras</w:t>
      </w:r>
      <w:r>
        <w:rPr>
          <w:spacing w:val="-6"/>
          <w:sz w:val="12"/>
        </w:rPr>
        <w:t xml:space="preserve"> </w:t>
      </w:r>
      <w:r>
        <w:rPr>
          <w:sz w:val="12"/>
        </w:rPr>
        <w:t>violaciones</w:t>
      </w:r>
      <w:r>
        <w:rPr>
          <w:spacing w:val="-6"/>
          <w:sz w:val="12"/>
        </w:rPr>
        <w:t xml:space="preserve"> </w:t>
      </w:r>
      <w:r>
        <w:rPr>
          <w:sz w:val="12"/>
        </w:rPr>
        <w:t>de</w:t>
      </w:r>
      <w:r>
        <w:rPr>
          <w:spacing w:val="40"/>
          <w:sz w:val="12"/>
        </w:rPr>
        <w:t xml:space="preserve"> </w:t>
      </w:r>
      <w:r>
        <w:rPr>
          <w:sz w:val="12"/>
        </w:rPr>
        <w:t>derechos</w:t>
      </w:r>
      <w:r>
        <w:rPr>
          <w:spacing w:val="-6"/>
          <w:sz w:val="12"/>
        </w:rPr>
        <w:t xml:space="preserve"> </w:t>
      </w:r>
      <w:r>
        <w:rPr>
          <w:sz w:val="12"/>
        </w:rPr>
        <w:t>humanos</w:t>
      </w:r>
      <w:r>
        <w:rPr>
          <w:spacing w:val="-6"/>
          <w:sz w:val="12"/>
        </w:rPr>
        <w:t xml:space="preserve"> </w:t>
      </w:r>
      <w:r>
        <w:rPr>
          <w:sz w:val="12"/>
        </w:rPr>
        <w:t>contra</w:t>
      </w:r>
      <w:r>
        <w:rPr>
          <w:spacing w:val="-6"/>
          <w:sz w:val="12"/>
        </w:rPr>
        <w:t xml:space="preserve"> </w:t>
      </w:r>
      <w:r>
        <w:rPr>
          <w:sz w:val="12"/>
        </w:rPr>
        <w:t>las</w:t>
      </w:r>
      <w:r>
        <w:rPr>
          <w:spacing w:val="-6"/>
          <w:sz w:val="12"/>
        </w:rPr>
        <w:t xml:space="preserve"> </w:t>
      </w:r>
      <w:r>
        <w:rPr>
          <w:sz w:val="12"/>
        </w:rPr>
        <w:t>personas</w:t>
      </w:r>
      <w:r>
        <w:rPr>
          <w:spacing w:val="-6"/>
          <w:sz w:val="12"/>
        </w:rPr>
        <w:t xml:space="preserve"> </w:t>
      </w:r>
      <w:r>
        <w:rPr>
          <w:sz w:val="12"/>
        </w:rPr>
        <w:t>por</w:t>
      </w:r>
      <w:r>
        <w:rPr>
          <w:spacing w:val="-6"/>
          <w:sz w:val="12"/>
        </w:rPr>
        <w:t xml:space="preserve"> </w:t>
      </w:r>
      <w:r>
        <w:rPr>
          <w:sz w:val="12"/>
        </w:rPr>
        <w:t>su</w:t>
      </w:r>
      <w:r>
        <w:rPr>
          <w:spacing w:val="-6"/>
          <w:sz w:val="12"/>
        </w:rPr>
        <w:t xml:space="preserve"> </w:t>
      </w:r>
      <w:r>
        <w:rPr>
          <w:sz w:val="12"/>
        </w:rPr>
        <w:t>orientación</w:t>
      </w:r>
      <w:r>
        <w:rPr>
          <w:spacing w:val="-6"/>
          <w:sz w:val="12"/>
        </w:rPr>
        <w:t xml:space="preserve"> </w:t>
      </w:r>
      <w:r>
        <w:rPr>
          <w:sz w:val="12"/>
        </w:rPr>
        <w:t>sexual</w:t>
      </w:r>
      <w:r>
        <w:rPr>
          <w:spacing w:val="-6"/>
          <w:sz w:val="12"/>
        </w:rPr>
        <w:t xml:space="preserve"> </w:t>
      </w:r>
      <w:r>
        <w:rPr>
          <w:sz w:val="12"/>
        </w:rPr>
        <w:t>o</w:t>
      </w:r>
      <w:r>
        <w:rPr>
          <w:spacing w:val="-6"/>
          <w:sz w:val="12"/>
        </w:rPr>
        <w:t xml:space="preserve"> </w:t>
      </w:r>
      <w:r>
        <w:rPr>
          <w:sz w:val="12"/>
        </w:rPr>
        <w:t>identidad</w:t>
      </w:r>
      <w:r>
        <w:rPr>
          <w:spacing w:val="-6"/>
          <w:sz w:val="12"/>
        </w:rPr>
        <w:t xml:space="preserve"> </w:t>
      </w:r>
      <w:r>
        <w:rPr>
          <w:sz w:val="12"/>
        </w:rPr>
        <w:t>de</w:t>
      </w:r>
      <w:r>
        <w:rPr>
          <w:spacing w:val="-6"/>
          <w:sz w:val="12"/>
        </w:rPr>
        <w:t xml:space="preserve"> </w:t>
      </w:r>
      <w:r>
        <w:rPr>
          <w:sz w:val="12"/>
        </w:rPr>
        <w:t>género</w:t>
      </w:r>
      <w:r>
        <w:rPr>
          <w:spacing w:val="-6"/>
          <w:sz w:val="12"/>
        </w:rPr>
        <w:t xml:space="preserve"> </w:t>
      </w:r>
      <w:r>
        <w:rPr>
          <w:sz w:val="12"/>
        </w:rPr>
        <w:t>real</w:t>
      </w:r>
      <w:r>
        <w:rPr>
          <w:spacing w:val="-6"/>
          <w:sz w:val="12"/>
        </w:rPr>
        <w:t xml:space="preserve"> </w:t>
      </w:r>
      <w:r>
        <w:rPr>
          <w:sz w:val="12"/>
        </w:rPr>
        <w:t>o</w:t>
      </w:r>
      <w:r>
        <w:rPr>
          <w:spacing w:val="-6"/>
          <w:sz w:val="12"/>
        </w:rPr>
        <w:t xml:space="preserve"> </w:t>
      </w:r>
      <w:r>
        <w:rPr>
          <w:sz w:val="12"/>
        </w:rPr>
        <w:t>supuesta</w:t>
      </w:r>
      <w:r>
        <w:rPr>
          <w:spacing w:val="-6"/>
          <w:sz w:val="12"/>
        </w:rPr>
        <w:t xml:space="preserve"> </w:t>
      </w:r>
      <w:r>
        <w:rPr>
          <w:sz w:val="12"/>
        </w:rPr>
        <w:t>(CADHP/Res.275(LV)2014).</w:t>
      </w:r>
    </w:p>
    <w:p w14:paraId="0A01F768" w14:textId="77777777" w:rsidR="0014798C" w:rsidRDefault="0014798C">
      <w:pPr>
        <w:pStyle w:val="Textoindependiente"/>
        <w:rPr>
          <w:sz w:val="19"/>
        </w:rPr>
      </w:pPr>
    </w:p>
    <w:p w14:paraId="087D0708" w14:textId="77777777" w:rsidR="0014798C" w:rsidRDefault="0014798C">
      <w:pPr>
        <w:pStyle w:val="Textoindependiente"/>
        <w:rPr>
          <w:sz w:val="19"/>
        </w:rPr>
      </w:pPr>
    </w:p>
    <w:p w14:paraId="3F8384DD" w14:textId="77777777" w:rsidR="0014798C" w:rsidRDefault="0014798C">
      <w:pPr>
        <w:pStyle w:val="Textoindependiente"/>
        <w:spacing w:before="118"/>
        <w:rPr>
          <w:sz w:val="19"/>
        </w:rPr>
      </w:pPr>
    </w:p>
    <w:p w14:paraId="338CECA6" w14:textId="77777777" w:rsidR="0014798C" w:rsidRDefault="004E1F0B">
      <w:pPr>
        <w:spacing w:before="1"/>
        <w:ind w:left="556"/>
        <w:rPr>
          <w:sz w:val="19"/>
        </w:rPr>
      </w:pPr>
      <w:r>
        <w:rPr>
          <w:spacing w:val="-5"/>
          <w:sz w:val="19"/>
        </w:rPr>
        <w:t>26</w:t>
      </w:r>
    </w:p>
    <w:p w14:paraId="405F7864" w14:textId="77777777" w:rsidR="0014798C" w:rsidRDefault="0014798C">
      <w:pPr>
        <w:rPr>
          <w:sz w:val="19"/>
        </w:rPr>
        <w:sectPr w:rsidR="0014798C" w:rsidSect="00F265E4">
          <w:type w:val="continuous"/>
          <w:pgSz w:w="11900" w:h="16820"/>
          <w:pgMar w:top="40" w:right="0" w:bottom="280" w:left="200" w:header="121" w:footer="0" w:gutter="0"/>
          <w:cols w:space="720"/>
        </w:sectPr>
      </w:pPr>
    </w:p>
    <w:p w14:paraId="299A773C" w14:textId="77777777" w:rsidR="0014798C" w:rsidRDefault="0014798C">
      <w:pPr>
        <w:pStyle w:val="Textoindependiente"/>
        <w:spacing w:before="51"/>
        <w:rPr>
          <w:sz w:val="14"/>
        </w:rPr>
      </w:pPr>
    </w:p>
    <w:p w14:paraId="25DD09A5" w14:textId="77777777" w:rsidR="0014798C" w:rsidRDefault="004E1F0B">
      <w:pPr>
        <w:ind w:left="1111"/>
        <w:rPr>
          <w:sz w:val="14"/>
        </w:rPr>
      </w:pPr>
      <w:r>
        <w:rPr>
          <w:color w:val="00AC59"/>
          <w:sz w:val="14"/>
        </w:rPr>
        <w:t>SEGUNDA</w:t>
      </w:r>
      <w:r>
        <w:rPr>
          <w:color w:val="00AC59"/>
          <w:spacing w:val="-5"/>
          <w:sz w:val="14"/>
        </w:rPr>
        <w:t xml:space="preserve"> </w:t>
      </w:r>
      <w:r>
        <w:rPr>
          <w:color w:val="00AC59"/>
          <w:sz w:val="14"/>
        </w:rPr>
        <w:t>PARTE:</w:t>
      </w:r>
      <w:r>
        <w:rPr>
          <w:color w:val="00AC59"/>
          <w:spacing w:val="-5"/>
          <w:sz w:val="14"/>
        </w:rPr>
        <w:t xml:space="preserve"> </w:t>
      </w:r>
      <w:r>
        <w:rPr>
          <w:color w:val="00AC59"/>
          <w:sz w:val="14"/>
        </w:rPr>
        <w:t>CONTENIDO</w:t>
      </w:r>
      <w:r>
        <w:rPr>
          <w:color w:val="00AC59"/>
          <w:spacing w:val="-4"/>
          <w:sz w:val="14"/>
        </w:rPr>
        <w:t xml:space="preserve"> </w:t>
      </w:r>
      <w:r>
        <w:rPr>
          <w:color w:val="00AC59"/>
          <w:sz w:val="14"/>
        </w:rPr>
        <w:t>DE</w:t>
      </w:r>
      <w:r>
        <w:rPr>
          <w:color w:val="00AC59"/>
          <w:spacing w:val="-5"/>
          <w:sz w:val="14"/>
        </w:rPr>
        <w:t xml:space="preserve"> </w:t>
      </w:r>
      <w:r>
        <w:rPr>
          <w:color w:val="00AC59"/>
          <w:sz w:val="14"/>
        </w:rPr>
        <w:t>LA</w:t>
      </w:r>
      <w:r>
        <w:rPr>
          <w:color w:val="00AC59"/>
          <w:spacing w:val="-4"/>
          <w:sz w:val="14"/>
        </w:rPr>
        <w:t xml:space="preserve"> </w:t>
      </w:r>
      <w:r>
        <w:rPr>
          <w:color w:val="00AC59"/>
          <w:sz w:val="14"/>
        </w:rPr>
        <w:t>LEY</w:t>
      </w:r>
      <w:r>
        <w:rPr>
          <w:color w:val="00AC59"/>
          <w:spacing w:val="-4"/>
          <w:sz w:val="14"/>
        </w:rPr>
        <w:t xml:space="preserve"> </w:t>
      </w:r>
      <w:r>
        <w:rPr>
          <w:color w:val="00AC59"/>
          <w:sz w:val="14"/>
        </w:rPr>
        <w:t>INTEGRAL</w:t>
      </w:r>
      <w:r>
        <w:rPr>
          <w:color w:val="00AC59"/>
          <w:spacing w:val="-5"/>
          <w:sz w:val="14"/>
        </w:rPr>
        <w:t xml:space="preserve"> </w:t>
      </w:r>
      <w:r>
        <w:rPr>
          <w:color w:val="00AC59"/>
          <w:spacing w:val="-2"/>
          <w:sz w:val="14"/>
        </w:rPr>
        <w:t>ANTIDISCRIMINACIÓN</w:t>
      </w:r>
    </w:p>
    <w:p w14:paraId="2BC7D868" w14:textId="77777777" w:rsidR="0014798C" w:rsidRDefault="0014798C">
      <w:pPr>
        <w:pStyle w:val="Textoindependiente"/>
        <w:rPr>
          <w:sz w:val="21"/>
        </w:rPr>
      </w:pPr>
    </w:p>
    <w:p w14:paraId="2CC5E2FA" w14:textId="77777777" w:rsidR="0014798C" w:rsidRDefault="0014798C">
      <w:pPr>
        <w:pStyle w:val="Textoindependiente"/>
        <w:rPr>
          <w:sz w:val="21"/>
        </w:rPr>
      </w:pPr>
    </w:p>
    <w:p w14:paraId="3EA15874" w14:textId="77777777" w:rsidR="0014798C" w:rsidRDefault="0014798C">
      <w:pPr>
        <w:pStyle w:val="Textoindependiente"/>
        <w:spacing w:before="218"/>
        <w:rPr>
          <w:sz w:val="21"/>
        </w:rPr>
      </w:pPr>
    </w:p>
    <w:p w14:paraId="4ECB267E" w14:textId="77777777" w:rsidR="0014798C" w:rsidRDefault="004E1F0B">
      <w:pPr>
        <w:numPr>
          <w:ilvl w:val="1"/>
          <w:numId w:val="85"/>
        </w:numPr>
        <w:tabs>
          <w:tab w:val="left" w:pos="1350"/>
        </w:tabs>
        <w:ind w:left="1350" w:hanging="235"/>
        <w:rPr>
          <w:sz w:val="21"/>
        </w:rPr>
      </w:pPr>
      <w:r>
        <w:rPr>
          <w:sz w:val="21"/>
        </w:rPr>
        <w:t>Interseccionalidad y discriminación</w:t>
      </w:r>
      <w:r>
        <w:rPr>
          <w:spacing w:val="1"/>
          <w:sz w:val="21"/>
        </w:rPr>
        <w:t xml:space="preserve"> </w:t>
      </w:r>
      <w:r>
        <w:rPr>
          <w:spacing w:val="-2"/>
          <w:sz w:val="21"/>
        </w:rPr>
        <w:t>múltiple</w:t>
      </w:r>
    </w:p>
    <w:p w14:paraId="62908D22" w14:textId="77777777" w:rsidR="0014798C" w:rsidRDefault="0014798C">
      <w:pPr>
        <w:pStyle w:val="Textoindependiente"/>
        <w:spacing w:before="173"/>
      </w:pPr>
    </w:p>
    <w:p w14:paraId="5E8337A1" w14:textId="77777777" w:rsidR="0014798C" w:rsidRDefault="004E1F0B">
      <w:pPr>
        <w:pStyle w:val="Textoindependiente"/>
        <w:ind w:left="1335"/>
      </w:pPr>
      <w:r>
        <w:rPr>
          <w:noProof/>
        </w:rPr>
        <w:drawing>
          <wp:anchor distT="0" distB="0" distL="0" distR="0" simplePos="0" relativeHeight="251658378" behindDoc="1" locked="0" layoutInCell="1" allowOverlap="1" wp14:anchorId="1A0642C9" wp14:editId="7D3CC7C5">
            <wp:simplePos x="0" y="0"/>
            <wp:positionH relativeFrom="page">
              <wp:posOffset>786199</wp:posOffset>
            </wp:positionH>
            <wp:positionV relativeFrom="paragraph">
              <wp:posOffset>-153075</wp:posOffset>
            </wp:positionV>
            <wp:extent cx="6770300" cy="6798443"/>
            <wp:effectExtent l="0" t="0" r="0" b="0"/>
            <wp:wrapNone/>
            <wp:docPr id="101" name="Image 10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01" name="Image 101"/>
                    <pic:cNvPicPr/>
                  </pic:nvPicPr>
                  <pic:blipFill>
                    <a:blip r:embed="rId106" cstate="print"/>
                    <a:stretch>
                      <a:fillRect/>
                    </a:stretch>
                  </pic:blipFill>
                  <pic:spPr>
                    <a:xfrm>
                      <a:off x="0" y="0"/>
                      <a:ext cx="6770300" cy="6798443"/>
                    </a:xfrm>
                    <a:prstGeom prst="rect">
                      <a:avLst/>
                    </a:prstGeom>
                  </pic:spPr>
                </pic:pic>
              </a:graphicData>
            </a:graphic>
          </wp:anchor>
        </w:drawing>
      </w:r>
      <w:r>
        <w:rPr>
          <w:color w:val="FFFFFF"/>
          <w:spacing w:val="-2"/>
          <w:w w:val="105"/>
        </w:rPr>
        <w:t>RESUMEN</w:t>
      </w:r>
    </w:p>
    <w:p w14:paraId="6AF9F301" w14:textId="77777777" w:rsidR="0014798C" w:rsidRDefault="0014798C">
      <w:pPr>
        <w:pStyle w:val="Textoindependiente"/>
        <w:spacing w:before="150"/>
      </w:pPr>
    </w:p>
    <w:p w14:paraId="11EC4D33" w14:textId="77777777" w:rsidR="0014798C" w:rsidRDefault="004E1F0B">
      <w:pPr>
        <w:pStyle w:val="Prrafodelista"/>
        <w:numPr>
          <w:ilvl w:val="2"/>
          <w:numId w:val="85"/>
        </w:numPr>
        <w:tabs>
          <w:tab w:val="left" w:pos="1459"/>
        </w:tabs>
        <w:ind w:left="1459" w:hanging="101"/>
        <w:rPr>
          <w:color w:val="0075BF"/>
          <w:sz w:val="16"/>
        </w:rPr>
      </w:pPr>
      <w:r>
        <w:rPr>
          <w:sz w:val="16"/>
        </w:rPr>
        <w:t>La</w:t>
      </w:r>
      <w:r>
        <w:rPr>
          <w:spacing w:val="4"/>
          <w:sz w:val="16"/>
        </w:rPr>
        <w:t xml:space="preserve"> </w:t>
      </w:r>
      <w:r>
        <w:rPr>
          <w:sz w:val="16"/>
        </w:rPr>
        <w:t>legislación</w:t>
      </w:r>
      <w:r>
        <w:rPr>
          <w:spacing w:val="5"/>
          <w:sz w:val="16"/>
        </w:rPr>
        <w:t xml:space="preserve"> </w:t>
      </w:r>
      <w:r>
        <w:rPr>
          <w:sz w:val="16"/>
        </w:rPr>
        <w:t>contra</w:t>
      </w:r>
      <w:r>
        <w:rPr>
          <w:spacing w:val="5"/>
          <w:sz w:val="16"/>
        </w:rPr>
        <w:t xml:space="preserve"> </w:t>
      </w:r>
      <w:r>
        <w:rPr>
          <w:sz w:val="16"/>
        </w:rPr>
        <w:t>la</w:t>
      </w:r>
      <w:r>
        <w:rPr>
          <w:spacing w:val="4"/>
          <w:sz w:val="16"/>
        </w:rPr>
        <w:t xml:space="preserve"> </w:t>
      </w:r>
      <w:r>
        <w:rPr>
          <w:sz w:val="16"/>
        </w:rPr>
        <w:t>discriminación</w:t>
      </w:r>
      <w:r>
        <w:rPr>
          <w:spacing w:val="6"/>
          <w:sz w:val="16"/>
        </w:rPr>
        <w:t xml:space="preserve"> </w:t>
      </w:r>
      <w:r>
        <w:rPr>
          <w:sz w:val="16"/>
        </w:rPr>
        <w:t>debería</w:t>
      </w:r>
      <w:r>
        <w:rPr>
          <w:spacing w:val="5"/>
          <w:sz w:val="16"/>
        </w:rPr>
        <w:t xml:space="preserve"> </w:t>
      </w:r>
      <w:r>
        <w:rPr>
          <w:sz w:val="16"/>
        </w:rPr>
        <w:t>prohibir</w:t>
      </w:r>
      <w:r>
        <w:rPr>
          <w:spacing w:val="5"/>
          <w:sz w:val="16"/>
        </w:rPr>
        <w:t xml:space="preserve"> </w:t>
      </w:r>
      <w:r>
        <w:rPr>
          <w:sz w:val="16"/>
        </w:rPr>
        <w:t>la</w:t>
      </w:r>
      <w:r>
        <w:rPr>
          <w:spacing w:val="4"/>
          <w:sz w:val="16"/>
        </w:rPr>
        <w:t xml:space="preserve"> </w:t>
      </w:r>
      <w:r>
        <w:rPr>
          <w:sz w:val="16"/>
        </w:rPr>
        <w:t>discriminación</w:t>
      </w:r>
      <w:r>
        <w:rPr>
          <w:spacing w:val="6"/>
          <w:sz w:val="16"/>
        </w:rPr>
        <w:t xml:space="preserve"> </w:t>
      </w:r>
      <w:r>
        <w:rPr>
          <w:sz w:val="16"/>
        </w:rPr>
        <w:t>múltiple</w:t>
      </w:r>
      <w:r>
        <w:rPr>
          <w:spacing w:val="5"/>
          <w:sz w:val="16"/>
        </w:rPr>
        <w:t xml:space="preserve"> </w:t>
      </w:r>
      <w:r>
        <w:rPr>
          <w:sz w:val="16"/>
        </w:rPr>
        <w:t>reconociendo</w:t>
      </w:r>
      <w:r>
        <w:rPr>
          <w:spacing w:val="6"/>
          <w:sz w:val="16"/>
        </w:rPr>
        <w:t xml:space="preserve"> </w:t>
      </w:r>
      <w:r>
        <w:rPr>
          <w:sz w:val="16"/>
        </w:rPr>
        <w:t>que</w:t>
      </w:r>
      <w:r>
        <w:rPr>
          <w:spacing w:val="4"/>
          <w:sz w:val="16"/>
        </w:rPr>
        <w:t xml:space="preserve"> </w:t>
      </w:r>
      <w:r>
        <w:rPr>
          <w:sz w:val="16"/>
        </w:rPr>
        <w:t>la</w:t>
      </w:r>
      <w:r>
        <w:rPr>
          <w:spacing w:val="5"/>
          <w:sz w:val="16"/>
        </w:rPr>
        <w:t xml:space="preserve"> </w:t>
      </w:r>
      <w:r>
        <w:rPr>
          <w:spacing w:val="-2"/>
          <w:sz w:val="16"/>
        </w:rPr>
        <w:t>discriminación</w:t>
      </w:r>
    </w:p>
    <w:p w14:paraId="315A5D4B" w14:textId="77777777" w:rsidR="0014798C" w:rsidRDefault="004E1F0B">
      <w:pPr>
        <w:pStyle w:val="Textoindependiente"/>
        <w:spacing w:before="66" w:line="271" w:lineRule="auto"/>
        <w:ind w:left="1564" w:right="2004"/>
      </w:pPr>
      <w:r>
        <w:t>puede ocurrir sobre la base de más de un motivo protegido. La discriminación múltiple puede ser de naturaleza “acumulativa” o “interseccional”:</w:t>
      </w:r>
    </w:p>
    <w:p w14:paraId="72B9CFD3" w14:textId="77777777" w:rsidR="0014798C" w:rsidRDefault="0014798C">
      <w:pPr>
        <w:pStyle w:val="Textoindependiente"/>
        <w:spacing w:before="12"/>
      </w:pPr>
    </w:p>
    <w:p w14:paraId="5D66B9BA" w14:textId="77777777" w:rsidR="0014798C" w:rsidRDefault="004E1F0B">
      <w:pPr>
        <w:pStyle w:val="Prrafodelista"/>
        <w:numPr>
          <w:ilvl w:val="3"/>
          <w:numId w:val="85"/>
        </w:numPr>
        <w:tabs>
          <w:tab w:val="left" w:pos="1707"/>
          <w:tab w:val="left" w:pos="1788"/>
        </w:tabs>
        <w:spacing w:before="1" w:line="326" w:lineRule="auto"/>
        <w:ind w:right="2038" w:hanging="219"/>
        <w:rPr>
          <w:sz w:val="16"/>
        </w:rPr>
      </w:pPr>
      <w:r>
        <w:rPr>
          <w:w w:val="105"/>
          <w:sz w:val="16"/>
        </w:rPr>
        <w:t>La</w:t>
      </w:r>
      <w:r>
        <w:rPr>
          <w:spacing w:val="-8"/>
          <w:w w:val="105"/>
          <w:sz w:val="16"/>
        </w:rPr>
        <w:t xml:space="preserve"> </w:t>
      </w:r>
      <w:r>
        <w:rPr>
          <w:w w:val="105"/>
          <w:sz w:val="16"/>
        </w:rPr>
        <w:t>discriminación</w:t>
      </w:r>
      <w:r>
        <w:rPr>
          <w:spacing w:val="-8"/>
          <w:w w:val="105"/>
          <w:sz w:val="16"/>
        </w:rPr>
        <w:t xml:space="preserve"> </w:t>
      </w:r>
      <w:r>
        <w:rPr>
          <w:w w:val="105"/>
          <w:sz w:val="16"/>
        </w:rPr>
        <w:t>acumulativa</w:t>
      </w:r>
      <w:r>
        <w:rPr>
          <w:spacing w:val="-8"/>
          <w:w w:val="105"/>
          <w:sz w:val="16"/>
        </w:rPr>
        <w:t xml:space="preserve"> </w:t>
      </w:r>
      <w:r>
        <w:rPr>
          <w:w w:val="105"/>
          <w:sz w:val="16"/>
        </w:rPr>
        <w:t>tiene</w:t>
      </w:r>
      <w:r>
        <w:rPr>
          <w:spacing w:val="-8"/>
          <w:w w:val="105"/>
          <w:sz w:val="16"/>
        </w:rPr>
        <w:t xml:space="preserve"> </w:t>
      </w:r>
      <w:r>
        <w:rPr>
          <w:w w:val="105"/>
          <w:sz w:val="16"/>
        </w:rPr>
        <w:t>lugar</w:t>
      </w:r>
      <w:r>
        <w:rPr>
          <w:spacing w:val="-8"/>
          <w:w w:val="105"/>
          <w:sz w:val="16"/>
        </w:rPr>
        <w:t xml:space="preserve"> </w:t>
      </w:r>
      <w:r>
        <w:rPr>
          <w:w w:val="105"/>
          <w:sz w:val="16"/>
        </w:rPr>
        <w:t>cuando</w:t>
      </w:r>
      <w:r>
        <w:rPr>
          <w:spacing w:val="-8"/>
          <w:w w:val="105"/>
          <w:sz w:val="16"/>
        </w:rPr>
        <w:t xml:space="preserve"> </w:t>
      </w:r>
      <w:r>
        <w:rPr>
          <w:w w:val="105"/>
          <w:sz w:val="16"/>
        </w:rPr>
        <w:t>la</w:t>
      </w:r>
      <w:r>
        <w:rPr>
          <w:spacing w:val="-8"/>
          <w:w w:val="105"/>
          <w:sz w:val="16"/>
        </w:rPr>
        <w:t xml:space="preserve"> </w:t>
      </w:r>
      <w:r>
        <w:rPr>
          <w:w w:val="105"/>
          <w:sz w:val="16"/>
        </w:rPr>
        <w:t>discriminación</w:t>
      </w:r>
      <w:r>
        <w:rPr>
          <w:spacing w:val="-8"/>
          <w:w w:val="105"/>
          <w:sz w:val="16"/>
        </w:rPr>
        <w:t xml:space="preserve"> </w:t>
      </w:r>
      <w:r>
        <w:rPr>
          <w:w w:val="105"/>
          <w:sz w:val="16"/>
        </w:rPr>
        <w:t>se</w:t>
      </w:r>
      <w:r>
        <w:rPr>
          <w:spacing w:val="-8"/>
          <w:w w:val="105"/>
          <w:sz w:val="16"/>
        </w:rPr>
        <w:t xml:space="preserve"> </w:t>
      </w:r>
      <w:r>
        <w:rPr>
          <w:w w:val="105"/>
          <w:sz w:val="16"/>
        </w:rPr>
        <w:t>produce</w:t>
      </w:r>
      <w:r>
        <w:rPr>
          <w:spacing w:val="-8"/>
          <w:w w:val="105"/>
          <w:sz w:val="16"/>
        </w:rPr>
        <w:t xml:space="preserve"> </w:t>
      </w:r>
      <w:r>
        <w:rPr>
          <w:w w:val="105"/>
          <w:sz w:val="16"/>
        </w:rPr>
        <w:t>entre</w:t>
      </w:r>
      <w:r>
        <w:rPr>
          <w:spacing w:val="-8"/>
          <w:w w:val="105"/>
          <w:sz w:val="16"/>
        </w:rPr>
        <w:t xml:space="preserve"> </w:t>
      </w:r>
      <w:r>
        <w:rPr>
          <w:w w:val="105"/>
          <w:sz w:val="16"/>
        </w:rPr>
        <w:t>dos</w:t>
      </w:r>
      <w:r>
        <w:rPr>
          <w:spacing w:val="-8"/>
          <w:w w:val="105"/>
          <w:sz w:val="16"/>
        </w:rPr>
        <w:t xml:space="preserve"> </w:t>
      </w:r>
      <w:r>
        <w:rPr>
          <w:w w:val="105"/>
          <w:sz w:val="16"/>
        </w:rPr>
        <w:t>o</w:t>
      </w:r>
      <w:r>
        <w:rPr>
          <w:spacing w:val="-8"/>
          <w:w w:val="105"/>
          <w:sz w:val="16"/>
        </w:rPr>
        <w:t xml:space="preserve"> </w:t>
      </w:r>
      <w:r>
        <w:rPr>
          <w:w w:val="105"/>
          <w:sz w:val="16"/>
        </w:rPr>
        <w:t>más,</w:t>
      </w:r>
      <w:r>
        <w:rPr>
          <w:spacing w:val="-7"/>
          <w:w w:val="105"/>
          <w:sz w:val="16"/>
        </w:rPr>
        <w:t xml:space="preserve"> </w:t>
      </w:r>
      <w:r>
        <w:rPr>
          <w:w w:val="105"/>
          <w:sz w:val="16"/>
        </w:rPr>
        <w:t xml:space="preserve">separados, </w:t>
      </w:r>
      <w:r>
        <w:rPr>
          <w:spacing w:val="-2"/>
          <w:w w:val="105"/>
          <w:sz w:val="16"/>
        </w:rPr>
        <w:t>jardines.</w:t>
      </w:r>
    </w:p>
    <w:p w14:paraId="48EFF9F3" w14:textId="77777777" w:rsidR="0014798C" w:rsidRDefault="004E1F0B">
      <w:pPr>
        <w:pStyle w:val="Prrafodelista"/>
        <w:numPr>
          <w:ilvl w:val="3"/>
          <w:numId w:val="85"/>
        </w:numPr>
        <w:tabs>
          <w:tab w:val="left" w:pos="1707"/>
          <w:tab w:val="left" w:pos="1788"/>
        </w:tabs>
        <w:spacing w:before="112" w:line="326" w:lineRule="auto"/>
        <w:ind w:right="1916" w:hanging="219"/>
        <w:rPr>
          <w:sz w:val="16"/>
        </w:rPr>
      </w:pPr>
      <w:r>
        <w:rPr>
          <w:noProof/>
        </w:rPr>
        <mc:AlternateContent>
          <mc:Choice Requires="wps">
            <w:drawing>
              <wp:anchor distT="0" distB="0" distL="0" distR="0" simplePos="0" relativeHeight="251658254" behindDoc="0" locked="0" layoutInCell="1" allowOverlap="1" wp14:anchorId="1FC8DDF5" wp14:editId="77F7D08C">
                <wp:simplePos x="0" y="0"/>
                <wp:positionH relativeFrom="page">
                  <wp:posOffset>7313138</wp:posOffset>
                </wp:positionH>
                <wp:positionV relativeFrom="paragraph">
                  <wp:posOffset>130423</wp:posOffset>
                </wp:positionV>
                <wp:extent cx="83820" cy="281940"/>
                <wp:effectExtent l="0" t="0" r="0" b="0"/>
                <wp:wrapNone/>
                <wp:docPr id="102" name="Textbox 10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83820" cy="281940"/>
                        </a:xfrm>
                        <a:prstGeom prst="rect">
                          <a:avLst/>
                        </a:prstGeom>
                      </wps:spPr>
                      <wps:txbx>
                        <w:txbxContent>
                          <w:p w14:paraId="54DE231A" w14:textId="77777777" w:rsidR="0014798C" w:rsidRDefault="004E1F0B">
                            <w:pPr>
                              <w:spacing w:before="19"/>
                              <w:ind w:left="20"/>
                              <w:rPr>
                                <w:sz w:val="8"/>
                              </w:rPr>
                            </w:pPr>
                            <w:r>
                              <w:rPr>
                                <w:color w:val="FFFFFF"/>
                                <w:spacing w:val="-24"/>
                                <w:sz w:val="8"/>
                              </w:rPr>
                              <w:t>I–P</w:t>
                            </w:r>
                            <w:r>
                              <w:rPr>
                                <w:spacing w:val="-24"/>
                                <w:sz w:val="8"/>
                              </w:rPr>
                              <w:t>S</w:t>
                            </w:r>
                            <w:r>
                              <w:rPr>
                                <w:color w:val="FFFFFF"/>
                                <w:spacing w:val="-24"/>
                                <w:sz w:val="8"/>
                              </w:rPr>
                              <w:t>A</w:t>
                            </w:r>
                            <w:r>
                              <w:rPr>
                                <w:spacing w:val="-24"/>
                                <w:sz w:val="8"/>
                              </w:rPr>
                              <w:t>E</w:t>
                            </w:r>
                            <w:r>
                              <w:rPr>
                                <w:color w:val="FFFFFF"/>
                                <w:spacing w:val="-24"/>
                                <w:sz w:val="8"/>
                              </w:rPr>
                              <w:t>R</w:t>
                            </w:r>
                            <w:r>
                              <w:rPr>
                                <w:spacing w:val="-24"/>
                                <w:sz w:val="8"/>
                              </w:rPr>
                              <w:t>G</w:t>
                            </w:r>
                            <w:r>
                              <w:rPr>
                                <w:color w:val="FFFFFF"/>
                                <w:spacing w:val="-24"/>
                                <w:sz w:val="8"/>
                              </w:rPr>
                              <w:t>T</w:t>
                            </w:r>
                            <w:r>
                              <w:rPr>
                                <w:spacing w:val="-24"/>
                                <w:sz w:val="8"/>
                              </w:rPr>
                              <w:t>U</w:t>
                            </w:r>
                            <w:r>
                              <w:rPr>
                                <w:color w:val="FFFFFF"/>
                                <w:spacing w:val="-24"/>
                                <w:sz w:val="8"/>
                              </w:rPr>
                              <w:t>E</w:t>
                            </w:r>
                            <w:r>
                              <w:rPr>
                                <w:spacing w:val="-24"/>
                                <w:sz w:val="8"/>
                              </w:rPr>
                              <w:t>NDA</w:t>
                            </w:r>
                          </w:p>
                        </w:txbxContent>
                      </wps:txbx>
                      <wps:bodyPr vert="vert270" wrap="square" lIns="0" tIns="0" rIns="0" bIns="0" rtlCol="0">
                        <a:noAutofit/>
                      </wps:bodyPr>
                    </wps:wsp>
                  </a:graphicData>
                </a:graphic>
              </wp:anchor>
            </w:drawing>
          </mc:Choice>
          <mc:Fallback>
            <w:pict>
              <v:shape w14:anchorId="1FC8DDF5" id="Textbox 102" o:spid="_x0000_s1065" type="#_x0000_t202" style="position:absolute;left:0;text-align:left;margin-left:575.85pt;margin-top:10.25pt;width:6.6pt;height:22.2pt;z-index:251658254;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" filled="f" stroked="f">
                <v:textbox style="layout-flow:vertical;mso-layout-flow-alt:bottom-to-top" inset="0,0,0,0">
                  <w:txbxContent>
                    <w:p w14:paraId="54DE231A" w14:textId="77777777" w:rsidR="0014798C" w:rsidRDefault="004E1F0B">
                      <w:pPr>
                        <w:spacing w:before="19"/>
                        <w:ind w:left="20"/>
                        <w:rPr>
                          <w:sz w:val="8"/>
                        </w:rPr>
                      </w:pPr>
                      <w:r>
                        <w:rPr>
                          <w:color w:val="FFFFFF"/>
                          <w:spacing w:val="-24"/>
                          <w:sz w:val="8"/>
                        </w:rPr>
                        <w:t>I–P</w:t>
                      </w:r>
                      <w:r>
                        <w:rPr>
                          <w:spacing w:val="-24"/>
                          <w:sz w:val="8"/>
                        </w:rPr>
                        <w:t>S</w:t>
                      </w:r>
                      <w:r>
                        <w:rPr>
                          <w:color w:val="FFFFFF"/>
                          <w:spacing w:val="-24"/>
                          <w:sz w:val="8"/>
                        </w:rPr>
                        <w:t>A</w:t>
                      </w:r>
                      <w:r>
                        <w:rPr>
                          <w:spacing w:val="-24"/>
                          <w:sz w:val="8"/>
                        </w:rPr>
                        <w:t>E</w:t>
                      </w:r>
                      <w:r>
                        <w:rPr>
                          <w:color w:val="FFFFFF"/>
                          <w:spacing w:val="-24"/>
                          <w:sz w:val="8"/>
                        </w:rPr>
                        <w:t>R</w:t>
                      </w:r>
                      <w:r>
                        <w:rPr>
                          <w:spacing w:val="-24"/>
                          <w:sz w:val="8"/>
                        </w:rPr>
                        <w:t>G</w:t>
                      </w:r>
                      <w:r>
                        <w:rPr>
                          <w:color w:val="FFFFFF"/>
                          <w:spacing w:val="-24"/>
                          <w:sz w:val="8"/>
                        </w:rPr>
                        <w:t>T</w:t>
                      </w:r>
                      <w:r>
                        <w:rPr>
                          <w:spacing w:val="-24"/>
                          <w:sz w:val="8"/>
                        </w:rPr>
                        <w:t>U</w:t>
                      </w:r>
                      <w:r>
                        <w:rPr>
                          <w:color w:val="FFFFFF"/>
                          <w:spacing w:val="-24"/>
                          <w:sz w:val="8"/>
                        </w:rPr>
                        <w:t>E</w:t>
                      </w:r>
                      <w:r>
                        <w:rPr>
                          <w:spacing w:val="-24"/>
                          <w:sz w:val="8"/>
                        </w:rPr>
                        <w:t>NDA</w:t>
                      </w:r>
                    </w:p>
                  </w:txbxContent>
                </v:textbox>
                <w10:wrap anchorx="page"/>
              </v:shape>
            </w:pict>
          </mc:Fallback>
        </mc:AlternateContent>
      </w:r>
      <w:r>
        <w:rPr>
          <w:w w:val="105"/>
          <w:sz w:val="16"/>
        </w:rPr>
        <w:t>La</w:t>
      </w:r>
      <w:r>
        <w:rPr>
          <w:spacing w:val="-7"/>
          <w:w w:val="105"/>
          <w:sz w:val="16"/>
        </w:rPr>
        <w:t xml:space="preserve"> </w:t>
      </w:r>
      <w:r>
        <w:rPr>
          <w:w w:val="105"/>
          <w:sz w:val="16"/>
        </w:rPr>
        <w:t>discriminación</w:t>
      </w:r>
      <w:r>
        <w:rPr>
          <w:spacing w:val="-7"/>
          <w:w w:val="105"/>
          <w:sz w:val="16"/>
        </w:rPr>
        <w:t xml:space="preserve"> </w:t>
      </w:r>
      <w:r>
        <w:rPr>
          <w:w w:val="105"/>
          <w:sz w:val="16"/>
        </w:rPr>
        <w:t>interseccional</w:t>
      </w:r>
      <w:r>
        <w:rPr>
          <w:spacing w:val="-7"/>
          <w:w w:val="105"/>
          <w:sz w:val="16"/>
        </w:rPr>
        <w:t xml:space="preserve"> </w:t>
      </w:r>
      <w:r>
        <w:rPr>
          <w:w w:val="105"/>
          <w:sz w:val="16"/>
        </w:rPr>
        <w:t>tiene</w:t>
      </w:r>
      <w:r>
        <w:rPr>
          <w:spacing w:val="-7"/>
          <w:w w:val="105"/>
          <w:sz w:val="16"/>
        </w:rPr>
        <w:t xml:space="preserve"> </w:t>
      </w:r>
      <w:r>
        <w:rPr>
          <w:w w:val="105"/>
          <w:sz w:val="16"/>
        </w:rPr>
        <w:t>lugar</w:t>
      </w:r>
      <w:r>
        <w:rPr>
          <w:spacing w:val="-7"/>
          <w:w w:val="105"/>
          <w:sz w:val="16"/>
        </w:rPr>
        <w:t xml:space="preserve"> </w:t>
      </w:r>
      <w:r>
        <w:rPr>
          <w:w w:val="105"/>
          <w:sz w:val="16"/>
        </w:rPr>
        <w:t>cuando</w:t>
      </w:r>
      <w:r>
        <w:rPr>
          <w:spacing w:val="-7"/>
          <w:w w:val="105"/>
          <w:sz w:val="16"/>
        </w:rPr>
        <w:t xml:space="preserve"> </w:t>
      </w:r>
      <w:r>
        <w:rPr>
          <w:w w:val="105"/>
          <w:sz w:val="16"/>
        </w:rPr>
        <w:t>la</w:t>
      </w:r>
      <w:r>
        <w:rPr>
          <w:spacing w:val="-7"/>
          <w:w w:val="105"/>
          <w:sz w:val="16"/>
        </w:rPr>
        <w:t xml:space="preserve"> </w:t>
      </w:r>
      <w:r>
        <w:rPr>
          <w:w w:val="105"/>
          <w:sz w:val="16"/>
        </w:rPr>
        <w:t>discriminación</w:t>
      </w:r>
      <w:r>
        <w:rPr>
          <w:spacing w:val="-7"/>
          <w:w w:val="105"/>
          <w:sz w:val="16"/>
        </w:rPr>
        <w:t xml:space="preserve"> </w:t>
      </w:r>
      <w:r>
        <w:rPr>
          <w:w w:val="105"/>
          <w:sz w:val="16"/>
        </w:rPr>
        <w:t>se</w:t>
      </w:r>
      <w:r>
        <w:rPr>
          <w:spacing w:val="-7"/>
          <w:w w:val="105"/>
          <w:sz w:val="16"/>
        </w:rPr>
        <w:t xml:space="preserve"> </w:t>
      </w:r>
      <w:r>
        <w:rPr>
          <w:w w:val="105"/>
          <w:sz w:val="16"/>
        </w:rPr>
        <w:t>basa</w:t>
      </w:r>
      <w:r>
        <w:rPr>
          <w:spacing w:val="-7"/>
          <w:w w:val="105"/>
          <w:sz w:val="16"/>
        </w:rPr>
        <w:t xml:space="preserve"> </w:t>
      </w:r>
      <w:r>
        <w:rPr>
          <w:w w:val="105"/>
          <w:sz w:val="16"/>
        </w:rPr>
        <w:t>en</w:t>
      </w:r>
      <w:r>
        <w:rPr>
          <w:spacing w:val="-7"/>
          <w:w w:val="105"/>
          <w:sz w:val="16"/>
        </w:rPr>
        <w:t xml:space="preserve"> </w:t>
      </w:r>
      <w:r>
        <w:rPr>
          <w:w w:val="105"/>
          <w:sz w:val="16"/>
        </w:rPr>
        <w:t>una</w:t>
      </w:r>
      <w:r>
        <w:rPr>
          <w:spacing w:val="-7"/>
          <w:w w:val="105"/>
          <w:sz w:val="16"/>
        </w:rPr>
        <w:t xml:space="preserve"> </w:t>
      </w:r>
      <w:r>
        <w:rPr>
          <w:w w:val="105"/>
          <w:sz w:val="16"/>
        </w:rPr>
        <w:t>combinación</w:t>
      </w:r>
      <w:r>
        <w:rPr>
          <w:spacing w:val="-7"/>
          <w:w w:val="105"/>
          <w:sz w:val="16"/>
        </w:rPr>
        <w:t xml:space="preserve"> </w:t>
      </w:r>
      <w:r>
        <w:rPr>
          <w:w w:val="105"/>
          <w:sz w:val="16"/>
        </w:rPr>
        <w:t>de</w:t>
      </w:r>
      <w:r>
        <w:rPr>
          <w:spacing w:val="-7"/>
          <w:w w:val="105"/>
          <w:sz w:val="16"/>
        </w:rPr>
        <w:t xml:space="preserve"> </w:t>
      </w:r>
      <w:r>
        <w:rPr>
          <w:w w:val="105"/>
          <w:sz w:val="16"/>
        </w:rPr>
        <w:t>motivos que interactúan entre sí de manera que produce una discriminación distinta y específica.</w:t>
      </w:r>
    </w:p>
    <w:p w14:paraId="3954AFE7" w14:textId="77777777" w:rsidR="0014798C" w:rsidRDefault="004E1F0B">
      <w:pPr>
        <w:pStyle w:val="Prrafodelista"/>
        <w:numPr>
          <w:ilvl w:val="2"/>
          <w:numId w:val="85"/>
        </w:numPr>
        <w:tabs>
          <w:tab w:val="left" w:pos="1460"/>
          <w:tab w:val="left" w:pos="1565"/>
        </w:tabs>
        <w:spacing w:before="112" w:line="326" w:lineRule="auto"/>
        <w:ind w:right="2886" w:hanging="208"/>
        <w:rPr>
          <w:color w:val="0075BF"/>
          <w:sz w:val="16"/>
        </w:rPr>
      </w:pPr>
      <w:r>
        <w:rPr>
          <w:w w:val="105"/>
          <w:sz w:val="16"/>
        </w:rPr>
        <w:t>Para</w:t>
      </w:r>
      <w:r>
        <w:rPr>
          <w:spacing w:val="-8"/>
          <w:w w:val="105"/>
          <w:sz w:val="16"/>
        </w:rPr>
        <w:t xml:space="preserve"> </w:t>
      </w:r>
      <w:r>
        <w:rPr>
          <w:w w:val="105"/>
          <w:sz w:val="16"/>
        </w:rPr>
        <w:t>garantizar</w:t>
      </w:r>
      <w:r>
        <w:rPr>
          <w:spacing w:val="-8"/>
          <w:w w:val="105"/>
          <w:sz w:val="16"/>
        </w:rPr>
        <w:t xml:space="preserve"> </w:t>
      </w:r>
      <w:r>
        <w:rPr>
          <w:w w:val="105"/>
          <w:sz w:val="16"/>
        </w:rPr>
        <w:t>una</w:t>
      </w:r>
      <w:r>
        <w:rPr>
          <w:spacing w:val="-8"/>
          <w:w w:val="105"/>
          <w:sz w:val="16"/>
        </w:rPr>
        <w:t xml:space="preserve"> </w:t>
      </w:r>
      <w:r>
        <w:rPr>
          <w:w w:val="105"/>
          <w:sz w:val="16"/>
        </w:rPr>
        <w:t>protección</w:t>
      </w:r>
      <w:r>
        <w:rPr>
          <w:spacing w:val="-8"/>
          <w:w w:val="105"/>
          <w:sz w:val="16"/>
        </w:rPr>
        <w:t xml:space="preserve"> </w:t>
      </w:r>
      <w:r>
        <w:rPr>
          <w:w w:val="105"/>
          <w:sz w:val="16"/>
        </w:rPr>
        <w:t>integral,</w:t>
      </w:r>
      <w:r>
        <w:rPr>
          <w:spacing w:val="-7"/>
          <w:w w:val="105"/>
          <w:sz w:val="16"/>
        </w:rPr>
        <w:t xml:space="preserve"> </w:t>
      </w:r>
      <w:r>
        <w:rPr>
          <w:w w:val="105"/>
          <w:sz w:val="16"/>
        </w:rPr>
        <w:t>la</w:t>
      </w:r>
      <w:r>
        <w:rPr>
          <w:spacing w:val="-8"/>
          <w:w w:val="105"/>
          <w:sz w:val="16"/>
        </w:rPr>
        <w:t xml:space="preserve"> </w:t>
      </w:r>
      <w:r>
        <w:rPr>
          <w:w w:val="105"/>
          <w:sz w:val="16"/>
        </w:rPr>
        <w:t>legislación</w:t>
      </w:r>
      <w:r>
        <w:rPr>
          <w:spacing w:val="-8"/>
          <w:w w:val="105"/>
          <w:sz w:val="16"/>
        </w:rPr>
        <w:t xml:space="preserve"> </w:t>
      </w:r>
      <w:r>
        <w:rPr>
          <w:w w:val="105"/>
          <w:sz w:val="16"/>
        </w:rPr>
        <w:t>contra</w:t>
      </w:r>
      <w:r>
        <w:rPr>
          <w:spacing w:val="-8"/>
          <w:w w:val="105"/>
          <w:sz w:val="16"/>
        </w:rPr>
        <w:t xml:space="preserve"> </w:t>
      </w:r>
      <w:r>
        <w:rPr>
          <w:w w:val="105"/>
          <w:sz w:val="16"/>
        </w:rPr>
        <w:t>la</w:t>
      </w:r>
      <w:r>
        <w:rPr>
          <w:spacing w:val="-8"/>
          <w:w w:val="105"/>
          <w:sz w:val="16"/>
        </w:rPr>
        <w:t xml:space="preserve"> </w:t>
      </w:r>
      <w:r>
        <w:rPr>
          <w:w w:val="105"/>
          <w:sz w:val="16"/>
        </w:rPr>
        <w:t>discriminación</w:t>
      </w:r>
      <w:r>
        <w:rPr>
          <w:spacing w:val="-8"/>
          <w:w w:val="105"/>
          <w:sz w:val="16"/>
        </w:rPr>
        <w:t xml:space="preserve"> </w:t>
      </w:r>
      <w:r>
        <w:rPr>
          <w:w w:val="105"/>
          <w:sz w:val="16"/>
        </w:rPr>
        <w:t>debería</w:t>
      </w:r>
      <w:r>
        <w:rPr>
          <w:spacing w:val="-8"/>
          <w:w w:val="105"/>
          <w:sz w:val="16"/>
        </w:rPr>
        <w:t xml:space="preserve"> </w:t>
      </w:r>
      <w:r>
        <w:rPr>
          <w:w w:val="105"/>
          <w:sz w:val="16"/>
        </w:rPr>
        <w:t>asegurar</w:t>
      </w:r>
      <w:r>
        <w:rPr>
          <w:spacing w:val="-8"/>
          <w:w w:val="105"/>
          <w:sz w:val="16"/>
        </w:rPr>
        <w:t xml:space="preserve"> </w:t>
      </w:r>
      <w:r>
        <w:rPr>
          <w:w w:val="105"/>
          <w:sz w:val="16"/>
        </w:rPr>
        <w:t>que y la discriminación interseccional están explícitamente prohibidas.</w:t>
      </w:r>
    </w:p>
    <w:p w14:paraId="00ECF57B" w14:textId="77777777" w:rsidR="0014798C" w:rsidRDefault="0014798C">
      <w:pPr>
        <w:pStyle w:val="Textoindependiente"/>
      </w:pPr>
    </w:p>
    <w:p w14:paraId="1D922AE1" w14:textId="77777777" w:rsidR="0014798C" w:rsidRDefault="0014798C">
      <w:pPr>
        <w:pStyle w:val="Textoindependiente"/>
        <w:spacing w:before="141"/>
      </w:pPr>
    </w:p>
    <w:p w14:paraId="0B83C040" w14:textId="77777777" w:rsidR="0014798C" w:rsidRDefault="004E1F0B">
      <w:pPr>
        <w:pStyle w:val="Textoindependiente"/>
        <w:spacing w:line="326" w:lineRule="auto"/>
        <w:ind w:left="1107" w:right="1272" w:firstLine="1"/>
      </w:pPr>
      <w:r>
        <w:rPr>
          <w:w w:val="105"/>
        </w:rPr>
        <w:t>En</w:t>
      </w:r>
      <w:r>
        <w:rPr>
          <w:spacing w:val="-4"/>
          <w:w w:val="105"/>
        </w:rPr>
        <w:t xml:space="preserve"> </w:t>
      </w:r>
      <w:r>
        <w:rPr>
          <w:w w:val="105"/>
        </w:rPr>
        <w:t>las</w:t>
      </w:r>
      <w:r>
        <w:rPr>
          <w:spacing w:val="-4"/>
          <w:w w:val="105"/>
        </w:rPr>
        <w:t xml:space="preserve"> </w:t>
      </w:r>
      <w:r>
        <w:rPr>
          <w:w w:val="105"/>
        </w:rPr>
        <w:t>últimas</w:t>
      </w:r>
      <w:r>
        <w:rPr>
          <w:spacing w:val="-4"/>
          <w:w w:val="105"/>
        </w:rPr>
        <w:t xml:space="preserve"> </w:t>
      </w:r>
      <w:r>
        <w:rPr>
          <w:w w:val="105"/>
        </w:rPr>
        <w:t>décadas,</w:t>
      </w:r>
      <w:r>
        <w:rPr>
          <w:spacing w:val="-3"/>
          <w:w w:val="105"/>
        </w:rPr>
        <w:t xml:space="preserve"> </w:t>
      </w:r>
      <w:r>
        <w:rPr>
          <w:w w:val="105"/>
        </w:rPr>
        <w:t>se</w:t>
      </w:r>
      <w:r>
        <w:rPr>
          <w:spacing w:val="-4"/>
          <w:w w:val="105"/>
        </w:rPr>
        <w:t xml:space="preserve"> </w:t>
      </w:r>
      <w:r>
        <w:rPr>
          <w:w w:val="105"/>
        </w:rPr>
        <w:t>ha</w:t>
      </w:r>
      <w:r>
        <w:rPr>
          <w:spacing w:val="-4"/>
          <w:w w:val="105"/>
        </w:rPr>
        <w:t xml:space="preserve"> </w:t>
      </w:r>
      <w:r>
        <w:rPr>
          <w:w w:val="105"/>
        </w:rPr>
        <w:t>reconocido</w:t>
      </w:r>
      <w:r>
        <w:rPr>
          <w:spacing w:val="-4"/>
          <w:w w:val="105"/>
        </w:rPr>
        <w:t xml:space="preserve"> </w:t>
      </w:r>
      <w:r>
        <w:rPr>
          <w:w w:val="105"/>
        </w:rPr>
        <w:t>cada</w:t>
      </w:r>
      <w:r>
        <w:rPr>
          <w:spacing w:val="-4"/>
          <w:w w:val="105"/>
        </w:rPr>
        <w:t xml:space="preserve"> </w:t>
      </w:r>
      <w:r>
        <w:rPr>
          <w:w w:val="105"/>
        </w:rPr>
        <w:t>vez</w:t>
      </w:r>
      <w:r>
        <w:rPr>
          <w:spacing w:val="-4"/>
          <w:w w:val="105"/>
        </w:rPr>
        <w:t xml:space="preserve"> </w:t>
      </w:r>
      <w:r>
        <w:rPr>
          <w:w w:val="105"/>
        </w:rPr>
        <w:t>más</w:t>
      </w:r>
      <w:r>
        <w:rPr>
          <w:spacing w:val="-4"/>
          <w:w w:val="105"/>
        </w:rPr>
        <w:t xml:space="preserve"> </w:t>
      </w:r>
      <w:r>
        <w:rPr>
          <w:w w:val="105"/>
        </w:rPr>
        <w:t>que</w:t>
      </w:r>
      <w:r>
        <w:rPr>
          <w:spacing w:val="-4"/>
          <w:w w:val="105"/>
        </w:rPr>
        <w:t xml:space="preserve"> </w:t>
      </w:r>
      <w:r>
        <w:rPr>
          <w:w w:val="105"/>
        </w:rPr>
        <w:t>la</w:t>
      </w:r>
      <w:r>
        <w:rPr>
          <w:spacing w:val="-4"/>
          <w:w w:val="105"/>
        </w:rPr>
        <w:t xml:space="preserve"> </w:t>
      </w:r>
      <w:r>
        <w:rPr>
          <w:w w:val="105"/>
        </w:rPr>
        <w:t>discriminación</w:t>
      </w:r>
      <w:r>
        <w:rPr>
          <w:spacing w:val="-4"/>
          <w:w w:val="105"/>
        </w:rPr>
        <w:t xml:space="preserve"> </w:t>
      </w:r>
      <w:r>
        <w:rPr>
          <w:w w:val="105"/>
        </w:rPr>
        <w:t>puede</w:t>
      </w:r>
      <w:r>
        <w:rPr>
          <w:spacing w:val="-4"/>
          <w:w w:val="105"/>
        </w:rPr>
        <w:t xml:space="preserve"> </w:t>
      </w:r>
      <w:r>
        <w:rPr>
          <w:w w:val="105"/>
        </w:rPr>
        <w:t>ocurrir</w:t>
      </w:r>
      <w:r>
        <w:rPr>
          <w:spacing w:val="-4"/>
          <w:w w:val="105"/>
        </w:rPr>
        <w:t xml:space="preserve"> </w:t>
      </w:r>
      <w:r>
        <w:rPr>
          <w:w w:val="105"/>
        </w:rPr>
        <w:t>(y</w:t>
      </w:r>
      <w:r>
        <w:rPr>
          <w:spacing w:val="-4"/>
          <w:w w:val="105"/>
        </w:rPr>
        <w:t xml:space="preserve"> </w:t>
      </w:r>
      <w:r>
        <w:rPr>
          <w:w w:val="105"/>
        </w:rPr>
        <w:t>con</w:t>
      </w:r>
      <w:r>
        <w:rPr>
          <w:spacing w:val="-4"/>
          <w:w w:val="105"/>
        </w:rPr>
        <w:t xml:space="preserve"> </w:t>
      </w:r>
      <w:r>
        <w:rPr>
          <w:w w:val="105"/>
        </w:rPr>
        <w:t>frecuencia</w:t>
      </w:r>
      <w:r>
        <w:rPr>
          <w:spacing w:val="-4"/>
          <w:w w:val="105"/>
        </w:rPr>
        <w:t xml:space="preserve"> </w:t>
      </w:r>
      <w:r>
        <w:rPr>
          <w:w w:val="105"/>
        </w:rPr>
        <w:t>ocurre)</w:t>
      </w:r>
      <w:r>
        <w:rPr>
          <w:spacing w:val="-4"/>
          <w:w w:val="105"/>
        </w:rPr>
        <w:t xml:space="preserve"> </w:t>
      </w:r>
      <w:r>
        <w:rPr>
          <w:w w:val="105"/>
        </w:rPr>
        <w:t>por múltiples</w:t>
      </w:r>
      <w:r>
        <w:rPr>
          <w:spacing w:val="-7"/>
          <w:w w:val="105"/>
        </w:rPr>
        <w:t xml:space="preserve"> </w:t>
      </w:r>
      <w:r>
        <w:rPr>
          <w:w w:val="105"/>
        </w:rPr>
        <w:t>motivos,</w:t>
      </w:r>
      <w:r>
        <w:rPr>
          <w:spacing w:val="-6"/>
          <w:w w:val="105"/>
        </w:rPr>
        <w:t xml:space="preserve"> </w:t>
      </w:r>
      <w:r>
        <w:rPr>
          <w:w w:val="105"/>
        </w:rPr>
        <w:t>que</w:t>
      </w:r>
      <w:r>
        <w:rPr>
          <w:spacing w:val="-7"/>
          <w:w w:val="105"/>
        </w:rPr>
        <w:t xml:space="preserve"> </w:t>
      </w:r>
      <w:r>
        <w:rPr>
          <w:w w:val="105"/>
        </w:rPr>
        <w:t>a</w:t>
      </w:r>
      <w:r>
        <w:rPr>
          <w:spacing w:val="-7"/>
          <w:w w:val="105"/>
        </w:rPr>
        <w:t xml:space="preserve"> </w:t>
      </w:r>
      <w:r>
        <w:rPr>
          <w:w w:val="105"/>
        </w:rPr>
        <w:t>menudo</w:t>
      </w:r>
      <w:r>
        <w:rPr>
          <w:spacing w:val="-7"/>
          <w:w w:val="105"/>
        </w:rPr>
        <w:t xml:space="preserve"> </w:t>
      </w:r>
      <w:r>
        <w:rPr>
          <w:w w:val="105"/>
        </w:rPr>
        <w:t>interactúan</w:t>
      </w:r>
      <w:r>
        <w:rPr>
          <w:spacing w:val="-7"/>
          <w:w w:val="105"/>
        </w:rPr>
        <w:t xml:space="preserve"> </w:t>
      </w:r>
      <w:r>
        <w:rPr>
          <w:w w:val="105"/>
        </w:rPr>
        <w:t>entre</w:t>
      </w:r>
      <w:r>
        <w:rPr>
          <w:spacing w:val="-7"/>
          <w:w w:val="105"/>
        </w:rPr>
        <w:t xml:space="preserve"> </w:t>
      </w:r>
      <w:r>
        <w:rPr>
          <w:w w:val="105"/>
        </w:rPr>
        <w:t>sí</w:t>
      </w:r>
      <w:r>
        <w:rPr>
          <w:spacing w:val="-7"/>
          <w:w w:val="105"/>
        </w:rPr>
        <w:t xml:space="preserve"> </w:t>
      </w:r>
      <w:r>
        <w:rPr>
          <w:w w:val="105"/>
        </w:rPr>
        <w:t>de</w:t>
      </w:r>
      <w:r>
        <w:rPr>
          <w:spacing w:val="-7"/>
          <w:w w:val="105"/>
        </w:rPr>
        <w:t xml:space="preserve"> </w:t>
      </w:r>
      <w:r>
        <w:rPr>
          <w:w w:val="105"/>
        </w:rPr>
        <w:t>manera</w:t>
      </w:r>
      <w:r>
        <w:rPr>
          <w:spacing w:val="-7"/>
          <w:w w:val="105"/>
        </w:rPr>
        <w:t xml:space="preserve"> </w:t>
      </w:r>
      <w:r>
        <w:rPr>
          <w:w w:val="105"/>
        </w:rPr>
        <w:t>compleja.</w:t>
      </w:r>
      <w:r>
        <w:rPr>
          <w:spacing w:val="-6"/>
          <w:w w:val="105"/>
        </w:rPr>
        <w:t xml:space="preserve"> </w:t>
      </w:r>
      <w:r>
        <w:rPr>
          <w:w w:val="105"/>
        </w:rPr>
        <w:t>Como</w:t>
      </w:r>
      <w:r>
        <w:rPr>
          <w:spacing w:val="-7"/>
          <w:w w:val="105"/>
        </w:rPr>
        <w:t xml:space="preserve"> </w:t>
      </w:r>
      <w:r>
        <w:rPr>
          <w:w w:val="105"/>
        </w:rPr>
        <w:t>resultado,</w:t>
      </w:r>
      <w:r>
        <w:rPr>
          <w:spacing w:val="-6"/>
          <w:w w:val="105"/>
        </w:rPr>
        <w:t xml:space="preserve"> </w:t>
      </w:r>
      <w:r>
        <w:rPr>
          <w:w w:val="105"/>
        </w:rPr>
        <w:t>ha</w:t>
      </w:r>
      <w:r>
        <w:rPr>
          <w:spacing w:val="-7"/>
          <w:w w:val="105"/>
        </w:rPr>
        <w:t xml:space="preserve"> </w:t>
      </w:r>
      <w:r>
        <w:rPr>
          <w:w w:val="105"/>
        </w:rPr>
        <w:t>surgido</w:t>
      </w:r>
      <w:r>
        <w:rPr>
          <w:spacing w:val="-7"/>
          <w:w w:val="105"/>
        </w:rPr>
        <w:t xml:space="preserve"> </w:t>
      </w:r>
      <w:r>
        <w:rPr>
          <w:w w:val="105"/>
        </w:rPr>
        <w:t>un</w:t>
      </w:r>
      <w:r>
        <w:rPr>
          <w:spacing w:val="-7"/>
          <w:w w:val="105"/>
        </w:rPr>
        <w:t xml:space="preserve"> </w:t>
      </w:r>
      <w:r>
        <w:rPr>
          <w:w w:val="105"/>
        </w:rPr>
        <w:t>claro</w:t>
      </w:r>
      <w:r>
        <w:rPr>
          <w:spacing w:val="-7"/>
          <w:w w:val="105"/>
        </w:rPr>
        <w:t xml:space="preserve"> </w:t>
      </w:r>
      <w:r>
        <w:rPr>
          <w:w w:val="105"/>
        </w:rPr>
        <w:t>consenso entre los órganos creados en virtud de tratados de derechos humanos de las Naciones Unidas en el sentido de que la protección</w:t>
      </w:r>
      <w:r>
        <w:rPr>
          <w:spacing w:val="-2"/>
          <w:w w:val="105"/>
        </w:rPr>
        <w:t xml:space="preserve"> </w:t>
      </w:r>
      <w:r>
        <w:rPr>
          <w:w w:val="105"/>
        </w:rPr>
        <w:t>efectiva</w:t>
      </w:r>
      <w:r>
        <w:rPr>
          <w:spacing w:val="-2"/>
          <w:w w:val="105"/>
        </w:rPr>
        <w:t xml:space="preserve"> </w:t>
      </w:r>
      <w:r>
        <w:rPr>
          <w:w w:val="105"/>
        </w:rPr>
        <w:t>del</w:t>
      </w:r>
      <w:r>
        <w:rPr>
          <w:spacing w:val="-2"/>
          <w:w w:val="105"/>
        </w:rPr>
        <w:t xml:space="preserve"> </w:t>
      </w:r>
      <w:r>
        <w:rPr>
          <w:w w:val="105"/>
        </w:rPr>
        <w:t>derecho</w:t>
      </w:r>
      <w:r>
        <w:rPr>
          <w:spacing w:val="-2"/>
          <w:w w:val="105"/>
        </w:rPr>
        <w:t xml:space="preserve"> </w:t>
      </w:r>
      <w:r>
        <w:rPr>
          <w:w w:val="105"/>
        </w:rPr>
        <w:t>a</w:t>
      </w:r>
      <w:r>
        <w:rPr>
          <w:spacing w:val="-2"/>
          <w:w w:val="105"/>
        </w:rPr>
        <w:t xml:space="preserve"> </w:t>
      </w:r>
      <w:r>
        <w:rPr>
          <w:w w:val="105"/>
        </w:rPr>
        <w:t>la</w:t>
      </w:r>
      <w:r>
        <w:rPr>
          <w:spacing w:val="-2"/>
          <w:w w:val="105"/>
        </w:rPr>
        <w:t xml:space="preserve"> </w:t>
      </w:r>
      <w:r>
        <w:rPr>
          <w:w w:val="105"/>
        </w:rPr>
        <w:t>no</w:t>
      </w:r>
      <w:r>
        <w:rPr>
          <w:spacing w:val="-2"/>
          <w:w w:val="105"/>
        </w:rPr>
        <w:t xml:space="preserve"> </w:t>
      </w:r>
      <w:r>
        <w:rPr>
          <w:w w:val="105"/>
        </w:rPr>
        <w:t>discriminación</w:t>
      </w:r>
      <w:r>
        <w:rPr>
          <w:spacing w:val="-2"/>
          <w:w w:val="105"/>
        </w:rPr>
        <w:t xml:space="preserve"> </w:t>
      </w:r>
      <w:r>
        <w:rPr>
          <w:w w:val="105"/>
        </w:rPr>
        <w:t>requiere</w:t>
      </w:r>
      <w:r>
        <w:rPr>
          <w:spacing w:val="-2"/>
          <w:w w:val="105"/>
        </w:rPr>
        <w:t xml:space="preserve"> </w:t>
      </w:r>
      <w:r>
        <w:rPr>
          <w:w w:val="105"/>
        </w:rPr>
        <w:t>la</w:t>
      </w:r>
      <w:r>
        <w:rPr>
          <w:spacing w:val="-2"/>
          <w:w w:val="105"/>
        </w:rPr>
        <w:t xml:space="preserve"> </w:t>
      </w:r>
      <w:r>
        <w:rPr>
          <w:w w:val="105"/>
        </w:rPr>
        <w:t>prohibición</w:t>
      </w:r>
      <w:r>
        <w:rPr>
          <w:spacing w:val="-2"/>
          <w:w w:val="105"/>
        </w:rPr>
        <w:t xml:space="preserve"> </w:t>
      </w:r>
      <w:r>
        <w:rPr>
          <w:w w:val="105"/>
        </w:rPr>
        <w:t>de</w:t>
      </w:r>
      <w:r>
        <w:rPr>
          <w:spacing w:val="-2"/>
          <w:w w:val="105"/>
        </w:rPr>
        <w:t xml:space="preserve"> </w:t>
      </w:r>
      <w:r>
        <w:rPr>
          <w:w w:val="105"/>
        </w:rPr>
        <w:t>la</w:t>
      </w:r>
      <w:r>
        <w:rPr>
          <w:spacing w:val="-2"/>
          <w:w w:val="105"/>
        </w:rPr>
        <w:t xml:space="preserve"> </w:t>
      </w:r>
      <w:r>
        <w:rPr>
          <w:w w:val="105"/>
        </w:rPr>
        <w:t>discriminación</w:t>
      </w:r>
      <w:r>
        <w:rPr>
          <w:spacing w:val="-2"/>
          <w:w w:val="105"/>
        </w:rPr>
        <w:t xml:space="preserve"> </w:t>
      </w:r>
      <w:r>
        <w:rPr>
          <w:w w:val="105"/>
        </w:rPr>
        <w:t>múltiple,</w:t>
      </w:r>
      <w:r>
        <w:rPr>
          <w:spacing w:val="-1"/>
          <w:w w:val="105"/>
        </w:rPr>
        <w:t xml:space="preserve"> </w:t>
      </w:r>
      <w:r>
        <w:rPr>
          <w:w w:val="105"/>
        </w:rPr>
        <w:t>es</w:t>
      </w:r>
      <w:r>
        <w:rPr>
          <w:spacing w:val="-2"/>
          <w:w w:val="105"/>
        </w:rPr>
        <w:t xml:space="preserve"> </w:t>
      </w:r>
      <w:r>
        <w:rPr>
          <w:w w:val="105"/>
        </w:rPr>
        <w:t>decir,</w:t>
      </w:r>
      <w:r>
        <w:rPr>
          <w:spacing w:val="-1"/>
          <w:w w:val="105"/>
        </w:rPr>
        <w:t xml:space="preserve"> </w:t>
      </w:r>
      <w:r>
        <w:rPr>
          <w:w w:val="105"/>
        </w:rPr>
        <w:t>la</w:t>
      </w:r>
    </w:p>
    <w:p w14:paraId="5873134E" w14:textId="77777777" w:rsidR="0014798C" w:rsidRDefault="004E1F0B">
      <w:pPr>
        <w:pStyle w:val="Textoindependiente"/>
        <w:spacing w:line="182" w:lineRule="exact"/>
        <w:ind w:left="1111"/>
      </w:pPr>
      <w:r>
        <w:rPr>
          <w:w w:val="105"/>
        </w:rPr>
        <w:t>discriminación</w:t>
      </w:r>
      <w:r>
        <w:rPr>
          <w:spacing w:val="-10"/>
          <w:w w:val="105"/>
        </w:rPr>
        <w:t xml:space="preserve"> </w:t>
      </w:r>
      <w:r>
        <w:rPr>
          <w:w w:val="105"/>
        </w:rPr>
        <w:t>por</w:t>
      </w:r>
      <w:r>
        <w:rPr>
          <w:spacing w:val="-10"/>
          <w:w w:val="105"/>
        </w:rPr>
        <w:t xml:space="preserve"> </w:t>
      </w:r>
      <w:r>
        <w:rPr>
          <w:w w:val="105"/>
        </w:rPr>
        <w:t>más</w:t>
      </w:r>
      <w:r>
        <w:rPr>
          <w:spacing w:val="-10"/>
          <w:w w:val="105"/>
        </w:rPr>
        <w:t xml:space="preserve"> </w:t>
      </w:r>
      <w:r>
        <w:rPr>
          <w:w w:val="105"/>
        </w:rPr>
        <w:t>de</w:t>
      </w:r>
      <w:r>
        <w:rPr>
          <w:spacing w:val="-10"/>
          <w:w w:val="105"/>
        </w:rPr>
        <w:t xml:space="preserve"> </w:t>
      </w:r>
      <w:r>
        <w:rPr>
          <w:w w:val="105"/>
        </w:rPr>
        <w:t>un</w:t>
      </w:r>
      <w:r>
        <w:rPr>
          <w:spacing w:val="-9"/>
          <w:w w:val="105"/>
        </w:rPr>
        <w:t xml:space="preserve"> </w:t>
      </w:r>
      <w:r>
        <w:rPr>
          <w:w w:val="105"/>
        </w:rPr>
        <w:t>motivo.</w:t>
      </w:r>
      <w:r>
        <w:rPr>
          <w:spacing w:val="-9"/>
          <w:w w:val="105"/>
        </w:rPr>
        <w:t xml:space="preserve"> </w:t>
      </w:r>
      <w:r>
        <w:rPr>
          <w:w w:val="105"/>
        </w:rPr>
        <w:t>El</w:t>
      </w:r>
      <w:r>
        <w:rPr>
          <w:spacing w:val="-10"/>
          <w:w w:val="105"/>
        </w:rPr>
        <w:t xml:space="preserve"> </w:t>
      </w:r>
      <w:r>
        <w:rPr>
          <w:w w:val="105"/>
        </w:rPr>
        <w:t>término</w:t>
      </w:r>
      <w:r>
        <w:rPr>
          <w:spacing w:val="-10"/>
          <w:w w:val="105"/>
        </w:rPr>
        <w:t xml:space="preserve"> </w:t>
      </w:r>
      <w:r>
        <w:rPr>
          <w:w w:val="105"/>
        </w:rPr>
        <w:t>“discriminación</w:t>
      </w:r>
      <w:r>
        <w:rPr>
          <w:spacing w:val="-10"/>
          <w:w w:val="105"/>
        </w:rPr>
        <w:t xml:space="preserve"> </w:t>
      </w:r>
      <w:r>
        <w:rPr>
          <w:w w:val="105"/>
        </w:rPr>
        <w:t>múltiple”</w:t>
      </w:r>
      <w:r>
        <w:rPr>
          <w:spacing w:val="-10"/>
          <w:w w:val="105"/>
        </w:rPr>
        <w:t xml:space="preserve"> </w:t>
      </w:r>
      <w:r>
        <w:rPr>
          <w:w w:val="105"/>
        </w:rPr>
        <w:t>puede</w:t>
      </w:r>
      <w:r>
        <w:rPr>
          <w:spacing w:val="-9"/>
          <w:w w:val="105"/>
        </w:rPr>
        <w:t xml:space="preserve"> </w:t>
      </w:r>
      <w:r>
        <w:rPr>
          <w:w w:val="105"/>
        </w:rPr>
        <w:t>entenderse</w:t>
      </w:r>
      <w:r>
        <w:rPr>
          <w:spacing w:val="-10"/>
          <w:w w:val="105"/>
        </w:rPr>
        <w:t xml:space="preserve"> </w:t>
      </w:r>
      <w:r>
        <w:rPr>
          <w:w w:val="105"/>
        </w:rPr>
        <w:t>como</w:t>
      </w:r>
      <w:r>
        <w:rPr>
          <w:spacing w:val="-10"/>
          <w:w w:val="105"/>
        </w:rPr>
        <w:t xml:space="preserve"> </w:t>
      </w:r>
      <w:r>
        <w:rPr>
          <w:w w:val="105"/>
        </w:rPr>
        <w:t>referido</w:t>
      </w:r>
      <w:r>
        <w:rPr>
          <w:spacing w:val="-10"/>
          <w:w w:val="105"/>
        </w:rPr>
        <w:t xml:space="preserve"> </w:t>
      </w:r>
      <w:r>
        <w:rPr>
          <w:w w:val="105"/>
        </w:rPr>
        <w:t>a</w:t>
      </w:r>
      <w:r>
        <w:rPr>
          <w:spacing w:val="-10"/>
          <w:w w:val="105"/>
        </w:rPr>
        <w:t xml:space="preserve"> </w:t>
      </w:r>
      <w:r>
        <w:rPr>
          <w:w w:val="105"/>
        </w:rPr>
        <w:t>dos</w:t>
      </w:r>
      <w:r>
        <w:rPr>
          <w:spacing w:val="-9"/>
          <w:w w:val="105"/>
        </w:rPr>
        <w:t xml:space="preserve"> </w:t>
      </w:r>
      <w:r>
        <w:rPr>
          <w:w w:val="105"/>
        </w:rPr>
        <w:t>fenómenos</w:t>
      </w:r>
      <w:r>
        <w:rPr>
          <w:spacing w:val="-10"/>
          <w:w w:val="105"/>
        </w:rPr>
        <w:t xml:space="preserve"> </w:t>
      </w:r>
      <w:r>
        <w:rPr>
          <w:spacing w:val="-2"/>
          <w:w w:val="105"/>
        </w:rPr>
        <w:t>distintos:</w:t>
      </w:r>
    </w:p>
    <w:p w14:paraId="51B8746F" w14:textId="77777777" w:rsidR="0014798C" w:rsidRDefault="004E1F0B">
      <w:pPr>
        <w:pStyle w:val="Prrafodelista"/>
        <w:numPr>
          <w:ilvl w:val="0"/>
          <w:numId w:val="80"/>
        </w:numPr>
        <w:tabs>
          <w:tab w:val="left" w:pos="1220"/>
          <w:tab w:val="left" w:pos="1351"/>
        </w:tabs>
        <w:spacing w:before="179" w:line="326" w:lineRule="auto"/>
        <w:ind w:right="1763" w:hanging="234"/>
        <w:rPr>
          <w:sz w:val="16"/>
        </w:rPr>
      </w:pPr>
      <w:r>
        <w:rPr>
          <w:w w:val="105"/>
          <w:sz w:val="16"/>
        </w:rPr>
        <w:t>La</w:t>
      </w:r>
      <w:r>
        <w:rPr>
          <w:spacing w:val="-8"/>
          <w:w w:val="105"/>
          <w:sz w:val="16"/>
        </w:rPr>
        <w:t xml:space="preserve"> </w:t>
      </w:r>
      <w:r>
        <w:rPr>
          <w:w w:val="105"/>
          <w:sz w:val="16"/>
        </w:rPr>
        <w:t>discriminación</w:t>
      </w:r>
      <w:r>
        <w:rPr>
          <w:spacing w:val="-8"/>
          <w:w w:val="105"/>
          <w:sz w:val="16"/>
        </w:rPr>
        <w:t xml:space="preserve"> </w:t>
      </w:r>
      <w:r>
        <w:rPr>
          <w:w w:val="105"/>
          <w:sz w:val="16"/>
        </w:rPr>
        <w:t>“acumulativa”</w:t>
      </w:r>
      <w:r>
        <w:rPr>
          <w:spacing w:val="-8"/>
          <w:w w:val="105"/>
          <w:sz w:val="16"/>
        </w:rPr>
        <w:t xml:space="preserve"> </w:t>
      </w:r>
      <w:r>
        <w:rPr>
          <w:w w:val="105"/>
          <w:sz w:val="16"/>
        </w:rPr>
        <w:t>ocurre</w:t>
      </w:r>
      <w:r>
        <w:rPr>
          <w:spacing w:val="-8"/>
          <w:w w:val="105"/>
          <w:sz w:val="16"/>
        </w:rPr>
        <w:t xml:space="preserve"> </w:t>
      </w:r>
      <w:r>
        <w:rPr>
          <w:w w:val="105"/>
          <w:sz w:val="16"/>
        </w:rPr>
        <w:t>cuando</w:t>
      </w:r>
      <w:r>
        <w:rPr>
          <w:spacing w:val="-8"/>
          <w:w w:val="105"/>
          <w:sz w:val="16"/>
        </w:rPr>
        <w:t xml:space="preserve"> </w:t>
      </w:r>
      <w:r>
        <w:rPr>
          <w:w w:val="105"/>
          <w:sz w:val="16"/>
        </w:rPr>
        <w:t>un</w:t>
      </w:r>
      <w:r>
        <w:rPr>
          <w:spacing w:val="-8"/>
          <w:w w:val="105"/>
          <w:sz w:val="16"/>
        </w:rPr>
        <w:t xml:space="preserve"> </w:t>
      </w:r>
      <w:r>
        <w:rPr>
          <w:w w:val="105"/>
          <w:sz w:val="16"/>
        </w:rPr>
        <w:t>individuo</w:t>
      </w:r>
      <w:r>
        <w:rPr>
          <w:spacing w:val="-8"/>
          <w:w w:val="105"/>
          <w:sz w:val="16"/>
        </w:rPr>
        <w:t xml:space="preserve"> </w:t>
      </w:r>
      <w:r>
        <w:rPr>
          <w:w w:val="105"/>
          <w:sz w:val="16"/>
        </w:rPr>
        <w:t>experimenta</w:t>
      </w:r>
      <w:r>
        <w:rPr>
          <w:spacing w:val="-8"/>
          <w:w w:val="105"/>
          <w:sz w:val="16"/>
        </w:rPr>
        <w:t xml:space="preserve"> </w:t>
      </w:r>
      <w:r>
        <w:rPr>
          <w:w w:val="105"/>
          <w:sz w:val="16"/>
        </w:rPr>
        <w:t>discriminación</w:t>
      </w:r>
      <w:r>
        <w:rPr>
          <w:spacing w:val="-8"/>
          <w:w w:val="105"/>
          <w:sz w:val="16"/>
        </w:rPr>
        <w:t xml:space="preserve"> </w:t>
      </w:r>
      <w:r>
        <w:rPr>
          <w:w w:val="105"/>
          <w:sz w:val="16"/>
        </w:rPr>
        <w:t>basada</w:t>
      </w:r>
      <w:r>
        <w:rPr>
          <w:spacing w:val="-8"/>
          <w:w w:val="105"/>
          <w:sz w:val="16"/>
        </w:rPr>
        <w:t xml:space="preserve"> </w:t>
      </w:r>
      <w:r>
        <w:rPr>
          <w:w w:val="105"/>
          <w:sz w:val="16"/>
        </w:rPr>
        <w:t>en</w:t>
      </w:r>
      <w:r>
        <w:rPr>
          <w:spacing w:val="-8"/>
          <w:w w:val="105"/>
          <w:sz w:val="16"/>
        </w:rPr>
        <w:t xml:space="preserve"> </w:t>
      </w:r>
      <w:r>
        <w:rPr>
          <w:w w:val="105"/>
          <w:sz w:val="16"/>
        </w:rPr>
        <w:t>dos</w:t>
      </w:r>
      <w:r>
        <w:rPr>
          <w:spacing w:val="-8"/>
          <w:w w:val="105"/>
          <w:sz w:val="16"/>
        </w:rPr>
        <w:t xml:space="preserve"> </w:t>
      </w:r>
      <w:r>
        <w:rPr>
          <w:w w:val="105"/>
          <w:sz w:val="16"/>
        </w:rPr>
        <w:t>o</w:t>
      </w:r>
      <w:r>
        <w:rPr>
          <w:spacing w:val="-8"/>
          <w:w w:val="105"/>
          <w:sz w:val="16"/>
        </w:rPr>
        <w:t xml:space="preserve"> </w:t>
      </w:r>
      <w:r>
        <w:rPr>
          <w:w w:val="105"/>
          <w:sz w:val="16"/>
        </w:rPr>
        <w:t>más</w:t>
      </w:r>
      <w:r>
        <w:rPr>
          <w:spacing w:val="-8"/>
          <w:w w:val="105"/>
          <w:sz w:val="16"/>
        </w:rPr>
        <w:t xml:space="preserve"> </w:t>
      </w:r>
      <w:r>
        <w:rPr>
          <w:w w:val="105"/>
          <w:sz w:val="16"/>
        </w:rPr>
        <w:t>motivos separados.</w:t>
      </w:r>
      <w:r>
        <w:rPr>
          <w:spacing w:val="-5"/>
          <w:w w:val="105"/>
          <w:sz w:val="16"/>
        </w:rPr>
        <w:t xml:space="preserve"> </w:t>
      </w:r>
      <w:r>
        <w:rPr>
          <w:w w:val="105"/>
          <w:sz w:val="16"/>
        </w:rPr>
        <w:t>Si</w:t>
      </w:r>
      <w:r>
        <w:rPr>
          <w:spacing w:val="-6"/>
          <w:w w:val="105"/>
          <w:sz w:val="16"/>
        </w:rPr>
        <w:t xml:space="preserve"> </w:t>
      </w:r>
      <w:r>
        <w:rPr>
          <w:w w:val="105"/>
          <w:sz w:val="16"/>
        </w:rPr>
        <w:t>bien</w:t>
      </w:r>
      <w:r>
        <w:rPr>
          <w:spacing w:val="-6"/>
          <w:w w:val="105"/>
          <w:sz w:val="16"/>
        </w:rPr>
        <w:t xml:space="preserve"> </w:t>
      </w:r>
      <w:r>
        <w:rPr>
          <w:w w:val="105"/>
          <w:sz w:val="16"/>
        </w:rPr>
        <w:t>esto</w:t>
      </w:r>
      <w:r>
        <w:rPr>
          <w:spacing w:val="-6"/>
          <w:w w:val="105"/>
          <w:sz w:val="16"/>
        </w:rPr>
        <w:t xml:space="preserve"> </w:t>
      </w:r>
      <w:r>
        <w:rPr>
          <w:w w:val="105"/>
          <w:sz w:val="16"/>
        </w:rPr>
        <w:t>puede</w:t>
      </w:r>
      <w:r>
        <w:rPr>
          <w:spacing w:val="-6"/>
          <w:w w:val="105"/>
          <w:sz w:val="16"/>
        </w:rPr>
        <w:t xml:space="preserve"> </w:t>
      </w:r>
      <w:r>
        <w:rPr>
          <w:w w:val="105"/>
          <w:sz w:val="16"/>
        </w:rPr>
        <w:t>resultar,</w:t>
      </w:r>
      <w:r>
        <w:rPr>
          <w:spacing w:val="-5"/>
          <w:w w:val="105"/>
          <w:sz w:val="16"/>
        </w:rPr>
        <w:t xml:space="preserve"> </w:t>
      </w:r>
      <w:r>
        <w:rPr>
          <w:w w:val="105"/>
          <w:sz w:val="16"/>
        </w:rPr>
        <w:t>y</w:t>
      </w:r>
      <w:r>
        <w:rPr>
          <w:spacing w:val="-6"/>
          <w:w w:val="105"/>
          <w:sz w:val="16"/>
        </w:rPr>
        <w:t xml:space="preserve"> </w:t>
      </w:r>
      <w:r>
        <w:rPr>
          <w:w w:val="105"/>
          <w:sz w:val="16"/>
        </w:rPr>
        <w:t>de</w:t>
      </w:r>
      <w:r>
        <w:rPr>
          <w:spacing w:val="-6"/>
          <w:w w:val="105"/>
          <w:sz w:val="16"/>
        </w:rPr>
        <w:t xml:space="preserve"> </w:t>
      </w:r>
      <w:r>
        <w:rPr>
          <w:w w:val="105"/>
          <w:sz w:val="16"/>
        </w:rPr>
        <w:t>hecho</w:t>
      </w:r>
      <w:r>
        <w:rPr>
          <w:spacing w:val="-6"/>
          <w:w w:val="105"/>
          <w:sz w:val="16"/>
        </w:rPr>
        <w:t xml:space="preserve"> </w:t>
      </w:r>
      <w:r>
        <w:rPr>
          <w:w w:val="105"/>
          <w:sz w:val="16"/>
        </w:rPr>
        <w:t>resulta,</w:t>
      </w:r>
      <w:r>
        <w:rPr>
          <w:spacing w:val="-5"/>
          <w:w w:val="105"/>
          <w:sz w:val="16"/>
        </w:rPr>
        <w:t xml:space="preserve"> </w:t>
      </w:r>
      <w:r>
        <w:rPr>
          <w:w w:val="105"/>
          <w:sz w:val="16"/>
        </w:rPr>
        <w:t>en</w:t>
      </w:r>
      <w:r>
        <w:rPr>
          <w:spacing w:val="-6"/>
          <w:w w:val="105"/>
          <w:sz w:val="16"/>
        </w:rPr>
        <w:t xml:space="preserve"> </w:t>
      </w:r>
      <w:r>
        <w:rPr>
          <w:w w:val="105"/>
          <w:sz w:val="16"/>
        </w:rPr>
        <w:t>una</w:t>
      </w:r>
      <w:r>
        <w:rPr>
          <w:spacing w:val="-6"/>
          <w:w w:val="105"/>
          <w:sz w:val="16"/>
        </w:rPr>
        <w:t xml:space="preserve"> </w:t>
      </w:r>
      <w:r>
        <w:rPr>
          <w:w w:val="105"/>
          <w:sz w:val="16"/>
        </w:rPr>
        <w:t>desventaja</w:t>
      </w:r>
      <w:r>
        <w:rPr>
          <w:spacing w:val="-6"/>
          <w:w w:val="105"/>
          <w:sz w:val="16"/>
        </w:rPr>
        <w:t xml:space="preserve"> </w:t>
      </w:r>
      <w:r>
        <w:rPr>
          <w:w w:val="105"/>
          <w:sz w:val="16"/>
        </w:rPr>
        <w:t>compuesta,</w:t>
      </w:r>
      <w:r>
        <w:rPr>
          <w:spacing w:val="-5"/>
          <w:w w:val="105"/>
          <w:sz w:val="16"/>
        </w:rPr>
        <w:t xml:space="preserve"> </w:t>
      </w:r>
      <w:r>
        <w:rPr>
          <w:w w:val="105"/>
          <w:sz w:val="16"/>
        </w:rPr>
        <w:t>las</w:t>
      </w:r>
      <w:r>
        <w:rPr>
          <w:spacing w:val="-6"/>
          <w:w w:val="105"/>
          <w:sz w:val="16"/>
        </w:rPr>
        <w:t xml:space="preserve"> </w:t>
      </w:r>
      <w:r>
        <w:rPr>
          <w:w w:val="105"/>
          <w:sz w:val="16"/>
        </w:rPr>
        <w:t>leyes</w:t>
      </w:r>
      <w:r>
        <w:rPr>
          <w:spacing w:val="-6"/>
          <w:w w:val="105"/>
          <w:sz w:val="16"/>
        </w:rPr>
        <w:t xml:space="preserve"> </w:t>
      </w:r>
      <w:r>
        <w:rPr>
          <w:w w:val="105"/>
          <w:sz w:val="16"/>
        </w:rPr>
        <w:t>que</w:t>
      </w:r>
      <w:r>
        <w:rPr>
          <w:spacing w:val="-6"/>
          <w:w w:val="105"/>
          <w:sz w:val="16"/>
        </w:rPr>
        <w:t xml:space="preserve"> </w:t>
      </w:r>
      <w:r>
        <w:rPr>
          <w:w w:val="105"/>
          <w:sz w:val="16"/>
        </w:rPr>
        <w:t>prohíben</w:t>
      </w:r>
      <w:r>
        <w:rPr>
          <w:spacing w:val="-6"/>
          <w:w w:val="105"/>
          <w:sz w:val="16"/>
        </w:rPr>
        <w:t xml:space="preserve"> </w:t>
      </w:r>
      <w:r>
        <w:rPr>
          <w:w w:val="105"/>
          <w:sz w:val="16"/>
        </w:rPr>
        <w:t>la</w:t>
      </w:r>
    </w:p>
    <w:p w14:paraId="2C57A76F" w14:textId="77777777" w:rsidR="0014798C" w:rsidRDefault="004E1F0B">
      <w:pPr>
        <w:pStyle w:val="Textoindependiente"/>
        <w:spacing w:line="183" w:lineRule="exact"/>
        <w:ind w:left="1351"/>
      </w:pPr>
      <w:r>
        <w:rPr>
          <w:w w:val="105"/>
        </w:rPr>
        <w:t>discriminación</w:t>
      </w:r>
      <w:r>
        <w:rPr>
          <w:spacing w:val="-9"/>
          <w:w w:val="105"/>
        </w:rPr>
        <w:t xml:space="preserve"> </w:t>
      </w:r>
      <w:r>
        <w:rPr>
          <w:w w:val="105"/>
        </w:rPr>
        <w:t>por</w:t>
      </w:r>
      <w:r>
        <w:rPr>
          <w:spacing w:val="-9"/>
          <w:w w:val="105"/>
        </w:rPr>
        <w:t xml:space="preserve"> </w:t>
      </w:r>
      <w:r>
        <w:rPr>
          <w:w w:val="105"/>
        </w:rPr>
        <w:t>motivos</w:t>
      </w:r>
      <w:r>
        <w:rPr>
          <w:spacing w:val="-9"/>
          <w:w w:val="105"/>
        </w:rPr>
        <w:t xml:space="preserve"> </w:t>
      </w:r>
      <w:r>
        <w:rPr>
          <w:w w:val="105"/>
        </w:rPr>
        <w:t>únicos</w:t>
      </w:r>
      <w:r>
        <w:rPr>
          <w:spacing w:val="-8"/>
          <w:w w:val="105"/>
        </w:rPr>
        <w:t xml:space="preserve"> </w:t>
      </w:r>
      <w:r>
        <w:rPr>
          <w:w w:val="105"/>
        </w:rPr>
        <w:t>pueden</w:t>
      </w:r>
      <w:r>
        <w:rPr>
          <w:spacing w:val="-9"/>
          <w:w w:val="105"/>
        </w:rPr>
        <w:t xml:space="preserve"> </w:t>
      </w:r>
      <w:r>
        <w:rPr>
          <w:w w:val="105"/>
        </w:rPr>
        <w:t>proporcionar</w:t>
      </w:r>
      <w:r>
        <w:rPr>
          <w:spacing w:val="-9"/>
          <w:w w:val="105"/>
        </w:rPr>
        <w:t xml:space="preserve"> </w:t>
      </w:r>
      <w:r>
        <w:rPr>
          <w:w w:val="105"/>
        </w:rPr>
        <w:t>un</w:t>
      </w:r>
      <w:r>
        <w:rPr>
          <w:spacing w:val="-8"/>
          <w:w w:val="105"/>
        </w:rPr>
        <w:t xml:space="preserve"> </w:t>
      </w:r>
      <w:r>
        <w:rPr>
          <w:w w:val="105"/>
        </w:rPr>
        <w:t>medio</w:t>
      </w:r>
      <w:r>
        <w:rPr>
          <w:spacing w:val="-9"/>
          <w:w w:val="105"/>
        </w:rPr>
        <w:t xml:space="preserve"> </w:t>
      </w:r>
      <w:r>
        <w:rPr>
          <w:w w:val="105"/>
        </w:rPr>
        <w:t>para</w:t>
      </w:r>
      <w:r>
        <w:rPr>
          <w:spacing w:val="-9"/>
          <w:w w:val="105"/>
        </w:rPr>
        <w:t xml:space="preserve"> </w:t>
      </w:r>
      <w:r>
        <w:rPr>
          <w:w w:val="105"/>
        </w:rPr>
        <w:t>cuestionar</w:t>
      </w:r>
      <w:r>
        <w:rPr>
          <w:spacing w:val="-9"/>
          <w:w w:val="105"/>
        </w:rPr>
        <w:t xml:space="preserve"> </w:t>
      </w:r>
      <w:r>
        <w:rPr>
          <w:w w:val="105"/>
        </w:rPr>
        <w:t>estos</w:t>
      </w:r>
      <w:r>
        <w:rPr>
          <w:spacing w:val="-8"/>
          <w:w w:val="105"/>
        </w:rPr>
        <w:t xml:space="preserve"> </w:t>
      </w:r>
      <w:r>
        <w:rPr>
          <w:w w:val="105"/>
        </w:rPr>
        <w:t>actos</w:t>
      </w:r>
      <w:r>
        <w:rPr>
          <w:spacing w:val="-9"/>
          <w:w w:val="105"/>
        </w:rPr>
        <w:t xml:space="preserve"> </w:t>
      </w:r>
      <w:r>
        <w:rPr>
          <w:w w:val="105"/>
        </w:rPr>
        <w:t>de</w:t>
      </w:r>
      <w:r>
        <w:rPr>
          <w:spacing w:val="-9"/>
          <w:w w:val="105"/>
        </w:rPr>
        <w:t xml:space="preserve"> </w:t>
      </w:r>
      <w:r>
        <w:rPr>
          <w:w w:val="105"/>
        </w:rPr>
        <w:t>discriminación</w:t>
      </w:r>
      <w:r>
        <w:rPr>
          <w:spacing w:val="-8"/>
          <w:w w:val="105"/>
        </w:rPr>
        <w:t xml:space="preserve"> </w:t>
      </w:r>
      <w:r>
        <w:rPr>
          <w:w w:val="105"/>
        </w:rPr>
        <w:t>distintos</w:t>
      </w:r>
      <w:r>
        <w:rPr>
          <w:spacing w:val="-9"/>
          <w:w w:val="105"/>
        </w:rPr>
        <w:t xml:space="preserve"> </w:t>
      </w:r>
      <w:r>
        <w:rPr>
          <w:w w:val="105"/>
        </w:rPr>
        <w:t>y</w:t>
      </w:r>
      <w:r>
        <w:rPr>
          <w:spacing w:val="-9"/>
          <w:w w:val="105"/>
        </w:rPr>
        <w:t xml:space="preserve"> </w:t>
      </w:r>
      <w:r>
        <w:rPr>
          <w:spacing w:val="-2"/>
          <w:w w:val="105"/>
        </w:rPr>
        <w:t>separados.</w:t>
      </w:r>
    </w:p>
    <w:p w14:paraId="39BF1063" w14:textId="77777777" w:rsidR="0014798C" w:rsidRDefault="004E1F0B">
      <w:pPr>
        <w:pStyle w:val="Prrafodelista"/>
        <w:numPr>
          <w:ilvl w:val="0"/>
          <w:numId w:val="80"/>
        </w:numPr>
        <w:tabs>
          <w:tab w:val="left" w:pos="1221"/>
          <w:tab w:val="left" w:pos="1347"/>
        </w:tabs>
        <w:spacing w:before="179" w:line="326" w:lineRule="auto"/>
        <w:ind w:left="1347" w:right="1303" w:hanging="229"/>
        <w:rPr>
          <w:sz w:val="16"/>
        </w:rPr>
      </w:pPr>
      <w:r>
        <w:rPr>
          <w:w w:val="105"/>
          <w:sz w:val="16"/>
        </w:rPr>
        <w:t>La</w:t>
      </w:r>
      <w:r>
        <w:rPr>
          <w:spacing w:val="-1"/>
          <w:w w:val="105"/>
          <w:sz w:val="16"/>
        </w:rPr>
        <w:t xml:space="preserve"> </w:t>
      </w:r>
      <w:r>
        <w:rPr>
          <w:w w:val="105"/>
          <w:sz w:val="16"/>
        </w:rPr>
        <w:t>discriminación</w:t>
      </w:r>
      <w:r>
        <w:rPr>
          <w:spacing w:val="-1"/>
          <w:w w:val="105"/>
          <w:sz w:val="16"/>
        </w:rPr>
        <w:t xml:space="preserve"> </w:t>
      </w:r>
      <w:r>
        <w:rPr>
          <w:w w:val="105"/>
          <w:sz w:val="16"/>
        </w:rPr>
        <w:t>“interseccional”</w:t>
      </w:r>
      <w:r>
        <w:rPr>
          <w:spacing w:val="-1"/>
          <w:w w:val="105"/>
          <w:sz w:val="16"/>
        </w:rPr>
        <w:t xml:space="preserve"> </w:t>
      </w:r>
      <w:r>
        <w:rPr>
          <w:w w:val="105"/>
          <w:sz w:val="16"/>
        </w:rPr>
        <w:t>ocurre</w:t>
      </w:r>
      <w:r>
        <w:rPr>
          <w:spacing w:val="-1"/>
          <w:w w:val="105"/>
          <w:sz w:val="16"/>
        </w:rPr>
        <w:t xml:space="preserve"> </w:t>
      </w:r>
      <w:r>
        <w:rPr>
          <w:w w:val="105"/>
          <w:sz w:val="16"/>
        </w:rPr>
        <w:t>cuando</w:t>
      </w:r>
      <w:r>
        <w:rPr>
          <w:spacing w:val="-1"/>
          <w:w w:val="105"/>
          <w:sz w:val="16"/>
        </w:rPr>
        <w:t xml:space="preserve"> </w:t>
      </w:r>
      <w:r>
        <w:rPr>
          <w:w w:val="105"/>
          <w:sz w:val="16"/>
        </w:rPr>
        <w:t>un</w:t>
      </w:r>
      <w:r>
        <w:rPr>
          <w:spacing w:val="-1"/>
          <w:w w:val="105"/>
          <w:sz w:val="16"/>
        </w:rPr>
        <w:t xml:space="preserve"> </w:t>
      </w:r>
      <w:r>
        <w:rPr>
          <w:w w:val="105"/>
          <w:sz w:val="16"/>
        </w:rPr>
        <w:t>individuo</w:t>
      </w:r>
      <w:r>
        <w:rPr>
          <w:spacing w:val="-1"/>
          <w:w w:val="105"/>
          <w:sz w:val="16"/>
        </w:rPr>
        <w:t xml:space="preserve"> </w:t>
      </w:r>
      <w:r>
        <w:rPr>
          <w:w w:val="105"/>
          <w:sz w:val="16"/>
        </w:rPr>
        <w:t>experimenta</w:t>
      </w:r>
      <w:r>
        <w:rPr>
          <w:spacing w:val="-1"/>
          <w:w w:val="105"/>
          <w:sz w:val="16"/>
        </w:rPr>
        <w:t xml:space="preserve"> </w:t>
      </w:r>
      <w:r>
        <w:rPr>
          <w:w w:val="105"/>
          <w:sz w:val="16"/>
        </w:rPr>
        <w:t>discriminación</w:t>
      </w:r>
      <w:r>
        <w:rPr>
          <w:spacing w:val="-1"/>
          <w:w w:val="105"/>
          <w:sz w:val="16"/>
        </w:rPr>
        <w:t xml:space="preserve"> </w:t>
      </w:r>
      <w:r>
        <w:rPr>
          <w:w w:val="105"/>
          <w:sz w:val="16"/>
        </w:rPr>
        <w:t>basada</w:t>
      </w:r>
      <w:r>
        <w:rPr>
          <w:spacing w:val="-1"/>
          <w:w w:val="105"/>
          <w:sz w:val="16"/>
        </w:rPr>
        <w:t xml:space="preserve"> </w:t>
      </w:r>
      <w:r>
        <w:rPr>
          <w:w w:val="105"/>
          <w:sz w:val="16"/>
        </w:rPr>
        <w:t>en</w:t>
      </w:r>
      <w:r>
        <w:rPr>
          <w:spacing w:val="-1"/>
          <w:w w:val="105"/>
          <w:sz w:val="16"/>
        </w:rPr>
        <w:t xml:space="preserve"> </w:t>
      </w:r>
      <w:r>
        <w:rPr>
          <w:w w:val="105"/>
          <w:sz w:val="16"/>
        </w:rPr>
        <w:t>una</w:t>
      </w:r>
      <w:r>
        <w:rPr>
          <w:spacing w:val="-1"/>
          <w:w w:val="105"/>
          <w:sz w:val="16"/>
        </w:rPr>
        <w:t xml:space="preserve"> </w:t>
      </w:r>
      <w:r>
        <w:rPr>
          <w:w w:val="105"/>
          <w:sz w:val="16"/>
        </w:rPr>
        <w:t>combinación</w:t>
      </w:r>
      <w:r>
        <w:rPr>
          <w:spacing w:val="-1"/>
          <w:w w:val="105"/>
          <w:sz w:val="16"/>
        </w:rPr>
        <w:t xml:space="preserve"> </w:t>
      </w:r>
      <w:r>
        <w:rPr>
          <w:w w:val="105"/>
          <w:sz w:val="16"/>
        </w:rPr>
        <w:t>de motivos</w:t>
      </w:r>
      <w:r>
        <w:rPr>
          <w:spacing w:val="-6"/>
          <w:w w:val="105"/>
          <w:sz w:val="16"/>
        </w:rPr>
        <w:t xml:space="preserve"> </w:t>
      </w:r>
      <w:r>
        <w:rPr>
          <w:w w:val="105"/>
          <w:sz w:val="16"/>
        </w:rPr>
        <w:t>que</w:t>
      </w:r>
      <w:r>
        <w:rPr>
          <w:spacing w:val="-6"/>
          <w:w w:val="105"/>
          <w:sz w:val="16"/>
        </w:rPr>
        <w:t xml:space="preserve"> </w:t>
      </w:r>
      <w:r>
        <w:rPr>
          <w:w w:val="105"/>
          <w:sz w:val="16"/>
        </w:rPr>
        <w:t>interactúan</w:t>
      </w:r>
      <w:r>
        <w:rPr>
          <w:spacing w:val="-6"/>
          <w:w w:val="105"/>
          <w:sz w:val="16"/>
        </w:rPr>
        <w:t xml:space="preserve"> </w:t>
      </w:r>
      <w:r>
        <w:rPr>
          <w:w w:val="105"/>
          <w:sz w:val="16"/>
        </w:rPr>
        <w:t>entre</w:t>
      </w:r>
      <w:r>
        <w:rPr>
          <w:spacing w:val="-6"/>
          <w:w w:val="105"/>
          <w:sz w:val="16"/>
        </w:rPr>
        <w:t xml:space="preserve"> </w:t>
      </w:r>
      <w:r>
        <w:rPr>
          <w:w w:val="105"/>
          <w:sz w:val="16"/>
        </w:rPr>
        <w:t>sí</w:t>
      </w:r>
      <w:r>
        <w:rPr>
          <w:spacing w:val="-6"/>
          <w:w w:val="105"/>
          <w:sz w:val="16"/>
        </w:rPr>
        <w:t xml:space="preserve"> </w:t>
      </w:r>
      <w:r>
        <w:rPr>
          <w:w w:val="105"/>
          <w:sz w:val="16"/>
        </w:rPr>
        <w:t>de</w:t>
      </w:r>
      <w:r>
        <w:rPr>
          <w:spacing w:val="-6"/>
          <w:w w:val="105"/>
          <w:sz w:val="16"/>
        </w:rPr>
        <w:t xml:space="preserve"> </w:t>
      </w:r>
      <w:r>
        <w:rPr>
          <w:w w:val="105"/>
          <w:sz w:val="16"/>
        </w:rPr>
        <w:t>una</w:t>
      </w:r>
      <w:r>
        <w:rPr>
          <w:spacing w:val="-6"/>
          <w:w w:val="105"/>
          <w:sz w:val="16"/>
        </w:rPr>
        <w:t xml:space="preserve"> </w:t>
      </w:r>
      <w:r>
        <w:rPr>
          <w:w w:val="105"/>
          <w:sz w:val="16"/>
        </w:rPr>
        <w:t>manera</w:t>
      </w:r>
      <w:r>
        <w:rPr>
          <w:spacing w:val="-6"/>
          <w:w w:val="105"/>
          <w:sz w:val="16"/>
        </w:rPr>
        <w:t xml:space="preserve"> </w:t>
      </w:r>
      <w:r>
        <w:rPr>
          <w:w w:val="105"/>
          <w:sz w:val="16"/>
        </w:rPr>
        <w:t>que</w:t>
      </w:r>
      <w:r>
        <w:rPr>
          <w:spacing w:val="-6"/>
          <w:w w:val="105"/>
          <w:sz w:val="16"/>
        </w:rPr>
        <w:t xml:space="preserve"> </w:t>
      </w:r>
      <w:r>
        <w:rPr>
          <w:w w:val="105"/>
          <w:sz w:val="16"/>
        </w:rPr>
        <w:t>resulta</w:t>
      </w:r>
      <w:r>
        <w:rPr>
          <w:spacing w:val="-6"/>
          <w:w w:val="105"/>
          <w:sz w:val="16"/>
        </w:rPr>
        <w:t xml:space="preserve"> </w:t>
      </w:r>
      <w:r>
        <w:rPr>
          <w:w w:val="105"/>
          <w:sz w:val="16"/>
        </w:rPr>
        <w:t>en</w:t>
      </w:r>
      <w:r>
        <w:rPr>
          <w:spacing w:val="-6"/>
          <w:w w:val="105"/>
          <w:sz w:val="16"/>
        </w:rPr>
        <w:t xml:space="preserve"> </w:t>
      </w:r>
      <w:r>
        <w:rPr>
          <w:w w:val="105"/>
          <w:sz w:val="16"/>
        </w:rPr>
        <w:t>un</w:t>
      </w:r>
      <w:r>
        <w:rPr>
          <w:spacing w:val="-6"/>
          <w:w w:val="105"/>
          <w:sz w:val="16"/>
        </w:rPr>
        <w:t xml:space="preserve"> </w:t>
      </w:r>
      <w:r>
        <w:rPr>
          <w:w w:val="105"/>
          <w:sz w:val="16"/>
        </w:rPr>
        <w:t>daño</w:t>
      </w:r>
      <w:r>
        <w:rPr>
          <w:spacing w:val="-6"/>
          <w:w w:val="105"/>
          <w:sz w:val="16"/>
        </w:rPr>
        <w:t xml:space="preserve"> </w:t>
      </w:r>
      <w:r>
        <w:rPr>
          <w:w w:val="105"/>
          <w:sz w:val="16"/>
        </w:rPr>
        <w:t>particular.</w:t>
      </w:r>
      <w:r>
        <w:rPr>
          <w:spacing w:val="-5"/>
          <w:w w:val="105"/>
          <w:sz w:val="16"/>
        </w:rPr>
        <w:t xml:space="preserve"> </w:t>
      </w:r>
      <w:r>
        <w:rPr>
          <w:w w:val="105"/>
          <w:sz w:val="16"/>
        </w:rPr>
        <w:t>Un</w:t>
      </w:r>
      <w:r>
        <w:rPr>
          <w:spacing w:val="-6"/>
          <w:w w:val="105"/>
          <w:sz w:val="16"/>
        </w:rPr>
        <w:t xml:space="preserve"> </w:t>
      </w:r>
      <w:r>
        <w:rPr>
          <w:w w:val="105"/>
          <w:sz w:val="16"/>
        </w:rPr>
        <w:t>caso</w:t>
      </w:r>
      <w:r>
        <w:rPr>
          <w:spacing w:val="-6"/>
          <w:w w:val="105"/>
          <w:sz w:val="16"/>
        </w:rPr>
        <w:t xml:space="preserve"> </w:t>
      </w:r>
      <w:r>
        <w:rPr>
          <w:w w:val="105"/>
          <w:sz w:val="16"/>
        </w:rPr>
        <w:t>así</w:t>
      </w:r>
      <w:r>
        <w:rPr>
          <w:spacing w:val="-6"/>
          <w:w w:val="105"/>
          <w:sz w:val="16"/>
        </w:rPr>
        <w:t xml:space="preserve"> </w:t>
      </w:r>
      <w:r>
        <w:rPr>
          <w:w w:val="105"/>
          <w:sz w:val="16"/>
        </w:rPr>
        <w:t>podría</w:t>
      </w:r>
      <w:r>
        <w:rPr>
          <w:spacing w:val="-6"/>
          <w:w w:val="105"/>
          <w:sz w:val="16"/>
        </w:rPr>
        <w:t xml:space="preserve"> </w:t>
      </w:r>
      <w:r>
        <w:rPr>
          <w:w w:val="105"/>
          <w:sz w:val="16"/>
        </w:rPr>
        <w:t>ocurrir,</w:t>
      </w:r>
      <w:r>
        <w:rPr>
          <w:spacing w:val="-5"/>
          <w:w w:val="105"/>
          <w:sz w:val="16"/>
        </w:rPr>
        <w:t xml:space="preserve"> </w:t>
      </w:r>
      <w:r>
        <w:rPr>
          <w:w w:val="105"/>
          <w:sz w:val="16"/>
        </w:rPr>
        <w:t>por</w:t>
      </w:r>
      <w:r>
        <w:rPr>
          <w:spacing w:val="-6"/>
          <w:w w:val="105"/>
          <w:sz w:val="16"/>
        </w:rPr>
        <w:t xml:space="preserve"> </w:t>
      </w:r>
      <w:r>
        <w:rPr>
          <w:w w:val="105"/>
          <w:sz w:val="16"/>
        </w:rPr>
        <w:t>ejemplo, en una situación en la que una estación de televisión adopta la política de despedir a las presentadoras una vez que cumplen</w:t>
      </w:r>
      <w:r>
        <w:rPr>
          <w:spacing w:val="-7"/>
          <w:w w:val="105"/>
          <w:sz w:val="16"/>
        </w:rPr>
        <w:t xml:space="preserve"> </w:t>
      </w:r>
      <w:r>
        <w:rPr>
          <w:w w:val="105"/>
          <w:sz w:val="16"/>
        </w:rPr>
        <w:t>45</w:t>
      </w:r>
      <w:r>
        <w:rPr>
          <w:spacing w:val="-7"/>
          <w:w w:val="105"/>
          <w:sz w:val="16"/>
        </w:rPr>
        <w:t xml:space="preserve"> </w:t>
      </w:r>
      <w:r>
        <w:rPr>
          <w:w w:val="105"/>
          <w:sz w:val="16"/>
        </w:rPr>
        <w:t>años.</w:t>
      </w:r>
      <w:r>
        <w:rPr>
          <w:spacing w:val="-6"/>
          <w:w w:val="105"/>
          <w:sz w:val="16"/>
        </w:rPr>
        <w:t xml:space="preserve"> </w:t>
      </w:r>
      <w:r>
        <w:rPr>
          <w:w w:val="105"/>
          <w:sz w:val="16"/>
        </w:rPr>
        <w:t>Los</w:t>
      </w:r>
      <w:r>
        <w:rPr>
          <w:spacing w:val="-7"/>
          <w:w w:val="105"/>
          <w:sz w:val="16"/>
        </w:rPr>
        <w:t xml:space="preserve"> </w:t>
      </w:r>
      <w:r>
        <w:rPr>
          <w:w w:val="105"/>
          <w:sz w:val="16"/>
        </w:rPr>
        <w:t>hombres</w:t>
      </w:r>
      <w:r>
        <w:rPr>
          <w:spacing w:val="-7"/>
          <w:w w:val="105"/>
          <w:sz w:val="16"/>
        </w:rPr>
        <w:t xml:space="preserve"> </w:t>
      </w:r>
      <w:r>
        <w:rPr>
          <w:w w:val="105"/>
          <w:sz w:val="16"/>
        </w:rPr>
        <w:t>del</w:t>
      </w:r>
      <w:r>
        <w:rPr>
          <w:spacing w:val="-7"/>
          <w:w w:val="105"/>
          <w:sz w:val="16"/>
        </w:rPr>
        <w:t xml:space="preserve"> </w:t>
      </w:r>
      <w:r>
        <w:rPr>
          <w:w w:val="105"/>
          <w:sz w:val="16"/>
        </w:rPr>
        <w:t>mismo</w:t>
      </w:r>
      <w:r>
        <w:rPr>
          <w:spacing w:val="-7"/>
          <w:w w:val="105"/>
          <w:sz w:val="16"/>
        </w:rPr>
        <w:t xml:space="preserve"> </w:t>
      </w:r>
      <w:r>
        <w:rPr>
          <w:w w:val="105"/>
          <w:sz w:val="16"/>
        </w:rPr>
        <w:t>grupo</w:t>
      </w:r>
      <w:r>
        <w:rPr>
          <w:spacing w:val="-7"/>
          <w:w w:val="105"/>
          <w:sz w:val="16"/>
        </w:rPr>
        <w:t xml:space="preserve"> </w:t>
      </w:r>
      <w:r>
        <w:rPr>
          <w:w w:val="105"/>
          <w:sz w:val="16"/>
        </w:rPr>
        <w:t>de</w:t>
      </w:r>
      <w:r>
        <w:rPr>
          <w:spacing w:val="-7"/>
          <w:w w:val="105"/>
          <w:sz w:val="16"/>
        </w:rPr>
        <w:t xml:space="preserve"> </w:t>
      </w:r>
      <w:r>
        <w:rPr>
          <w:w w:val="105"/>
          <w:sz w:val="16"/>
        </w:rPr>
        <w:t>edad</w:t>
      </w:r>
      <w:r>
        <w:rPr>
          <w:spacing w:val="-7"/>
          <w:w w:val="105"/>
          <w:sz w:val="16"/>
        </w:rPr>
        <w:t xml:space="preserve"> </w:t>
      </w:r>
      <w:r>
        <w:rPr>
          <w:w w:val="105"/>
          <w:sz w:val="16"/>
        </w:rPr>
        <w:t>no</w:t>
      </w:r>
      <w:r>
        <w:rPr>
          <w:spacing w:val="-7"/>
          <w:w w:val="105"/>
          <w:sz w:val="16"/>
        </w:rPr>
        <w:t xml:space="preserve"> </w:t>
      </w:r>
      <w:r>
        <w:rPr>
          <w:w w:val="105"/>
          <w:sz w:val="16"/>
        </w:rPr>
        <w:t>se</w:t>
      </w:r>
      <w:r>
        <w:rPr>
          <w:spacing w:val="-7"/>
          <w:w w:val="105"/>
          <w:sz w:val="16"/>
        </w:rPr>
        <w:t xml:space="preserve"> </w:t>
      </w:r>
      <w:r>
        <w:rPr>
          <w:w w:val="105"/>
          <w:sz w:val="16"/>
        </w:rPr>
        <w:t>ven</w:t>
      </w:r>
      <w:r>
        <w:rPr>
          <w:spacing w:val="-7"/>
          <w:w w:val="105"/>
          <w:sz w:val="16"/>
        </w:rPr>
        <w:t xml:space="preserve"> </w:t>
      </w:r>
      <w:r>
        <w:rPr>
          <w:w w:val="105"/>
          <w:sz w:val="16"/>
        </w:rPr>
        <w:t>afectados</w:t>
      </w:r>
      <w:r>
        <w:rPr>
          <w:spacing w:val="-7"/>
          <w:w w:val="105"/>
          <w:sz w:val="16"/>
        </w:rPr>
        <w:t xml:space="preserve"> </w:t>
      </w:r>
      <w:r>
        <w:rPr>
          <w:w w:val="105"/>
          <w:sz w:val="16"/>
        </w:rPr>
        <w:t>por</w:t>
      </w:r>
      <w:r>
        <w:rPr>
          <w:spacing w:val="-7"/>
          <w:w w:val="105"/>
          <w:sz w:val="16"/>
        </w:rPr>
        <w:t xml:space="preserve"> </w:t>
      </w:r>
      <w:r>
        <w:rPr>
          <w:w w:val="105"/>
          <w:sz w:val="16"/>
        </w:rPr>
        <w:t>la</w:t>
      </w:r>
      <w:r>
        <w:rPr>
          <w:spacing w:val="-7"/>
          <w:w w:val="105"/>
          <w:sz w:val="16"/>
        </w:rPr>
        <w:t xml:space="preserve"> </w:t>
      </w:r>
      <w:r>
        <w:rPr>
          <w:w w:val="105"/>
          <w:sz w:val="16"/>
        </w:rPr>
        <w:t>política;</w:t>
      </w:r>
      <w:r>
        <w:rPr>
          <w:spacing w:val="-6"/>
          <w:w w:val="105"/>
          <w:sz w:val="16"/>
        </w:rPr>
        <w:t xml:space="preserve"> </w:t>
      </w:r>
      <w:r>
        <w:rPr>
          <w:w w:val="105"/>
          <w:sz w:val="16"/>
        </w:rPr>
        <w:t>tampoco</w:t>
      </w:r>
      <w:r>
        <w:rPr>
          <w:spacing w:val="-7"/>
          <w:w w:val="105"/>
          <w:sz w:val="16"/>
        </w:rPr>
        <w:t xml:space="preserve"> </w:t>
      </w:r>
      <w:r>
        <w:rPr>
          <w:w w:val="105"/>
          <w:sz w:val="16"/>
        </w:rPr>
        <w:t>lo</w:t>
      </w:r>
      <w:r>
        <w:rPr>
          <w:spacing w:val="-7"/>
          <w:w w:val="105"/>
          <w:sz w:val="16"/>
        </w:rPr>
        <w:t xml:space="preserve"> </w:t>
      </w:r>
      <w:r>
        <w:rPr>
          <w:w w:val="105"/>
          <w:sz w:val="16"/>
        </w:rPr>
        <w:t>son</w:t>
      </w:r>
      <w:r>
        <w:rPr>
          <w:spacing w:val="-7"/>
          <w:w w:val="105"/>
          <w:sz w:val="16"/>
        </w:rPr>
        <w:t xml:space="preserve"> </w:t>
      </w:r>
      <w:r>
        <w:rPr>
          <w:w w:val="105"/>
          <w:sz w:val="16"/>
        </w:rPr>
        <w:t>las</w:t>
      </w:r>
      <w:r>
        <w:rPr>
          <w:spacing w:val="-7"/>
          <w:w w:val="105"/>
          <w:sz w:val="16"/>
        </w:rPr>
        <w:t xml:space="preserve"> </w:t>
      </w:r>
      <w:r>
        <w:rPr>
          <w:w w:val="105"/>
          <w:sz w:val="16"/>
        </w:rPr>
        <w:t>mujeres más</w:t>
      </w:r>
      <w:r>
        <w:rPr>
          <w:spacing w:val="-3"/>
          <w:w w:val="105"/>
          <w:sz w:val="16"/>
        </w:rPr>
        <w:t xml:space="preserve"> </w:t>
      </w:r>
      <w:r>
        <w:rPr>
          <w:w w:val="105"/>
          <w:sz w:val="16"/>
        </w:rPr>
        <w:t>jóvenes.</w:t>
      </w:r>
      <w:r>
        <w:rPr>
          <w:spacing w:val="-2"/>
          <w:w w:val="105"/>
          <w:sz w:val="16"/>
        </w:rPr>
        <w:t xml:space="preserve"> </w:t>
      </w:r>
      <w:r>
        <w:rPr>
          <w:w w:val="105"/>
          <w:sz w:val="16"/>
        </w:rPr>
        <w:t>En</w:t>
      </w:r>
      <w:r>
        <w:rPr>
          <w:spacing w:val="-3"/>
          <w:w w:val="105"/>
          <w:sz w:val="16"/>
        </w:rPr>
        <w:t xml:space="preserve"> </w:t>
      </w:r>
      <w:r>
        <w:rPr>
          <w:w w:val="105"/>
          <w:sz w:val="16"/>
        </w:rPr>
        <w:t>este</w:t>
      </w:r>
      <w:r>
        <w:rPr>
          <w:spacing w:val="-3"/>
          <w:w w:val="105"/>
          <w:sz w:val="16"/>
        </w:rPr>
        <w:t xml:space="preserve"> </w:t>
      </w:r>
      <w:r>
        <w:rPr>
          <w:w w:val="105"/>
          <w:sz w:val="16"/>
        </w:rPr>
        <w:t>caso,</w:t>
      </w:r>
      <w:r>
        <w:rPr>
          <w:spacing w:val="-2"/>
          <w:w w:val="105"/>
          <w:sz w:val="16"/>
        </w:rPr>
        <w:t xml:space="preserve"> </w:t>
      </w:r>
      <w:r>
        <w:rPr>
          <w:w w:val="105"/>
          <w:sz w:val="16"/>
        </w:rPr>
        <w:t>la</w:t>
      </w:r>
      <w:r>
        <w:rPr>
          <w:spacing w:val="-3"/>
          <w:w w:val="105"/>
          <w:sz w:val="16"/>
        </w:rPr>
        <w:t xml:space="preserve"> </w:t>
      </w:r>
      <w:r>
        <w:rPr>
          <w:w w:val="105"/>
          <w:sz w:val="16"/>
        </w:rPr>
        <w:t>discriminación</w:t>
      </w:r>
      <w:r>
        <w:rPr>
          <w:spacing w:val="-3"/>
          <w:w w:val="105"/>
          <w:sz w:val="16"/>
        </w:rPr>
        <w:t xml:space="preserve"> </w:t>
      </w:r>
      <w:r>
        <w:rPr>
          <w:w w:val="105"/>
          <w:sz w:val="16"/>
        </w:rPr>
        <w:t>experimentada</w:t>
      </w:r>
      <w:r>
        <w:rPr>
          <w:spacing w:val="-3"/>
          <w:w w:val="105"/>
          <w:sz w:val="16"/>
        </w:rPr>
        <w:t xml:space="preserve"> </w:t>
      </w:r>
      <w:r>
        <w:rPr>
          <w:w w:val="105"/>
          <w:sz w:val="16"/>
        </w:rPr>
        <w:t>surge</w:t>
      </w:r>
      <w:r>
        <w:rPr>
          <w:spacing w:val="-3"/>
          <w:w w:val="105"/>
          <w:sz w:val="16"/>
        </w:rPr>
        <w:t xml:space="preserve"> </w:t>
      </w:r>
      <w:r>
        <w:rPr>
          <w:w w:val="105"/>
          <w:sz w:val="16"/>
        </w:rPr>
        <w:t>no</w:t>
      </w:r>
      <w:r>
        <w:rPr>
          <w:spacing w:val="-3"/>
          <w:w w:val="105"/>
          <w:sz w:val="16"/>
        </w:rPr>
        <w:t xml:space="preserve"> </w:t>
      </w:r>
      <w:r>
        <w:rPr>
          <w:w w:val="105"/>
          <w:sz w:val="16"/>
        </w:rPr>
        <w:t>sólo</w:t>
      </w:r>
      <w:r>
        <w:rPr>
          <w:spacing w:val="-3"/>
          <w:w w:val="105"/>
          <w:sz w:val="16"/>
        </w:rPr>
        <w:t xml:space="preserve"> </w:t>
      </w:r>
      <w:r>
        <w:rPr>
          <w:w w:val="105"/>
          <w:sz w:val="16"/>
        </w:rPr>
        <w:t>por</w:t>
      </w:r>
      <w:r>
        <w:rPr>
          <w:spacing w:val="-3"/>
          <w:w w:val="105"/>
          <w:sz w:val="16"/>
        </w:rPr>
        <w:t xml:space="preserve"> </w:t>
      </w:r>
      <w:r>
        <w:rPr>
          <w:w w:val="105"/>
          <w:sz w:val="16"/>
        </w:rPr>
        <w:t>la</w:t>
      </w:r>
      <w:r>
        <w:rPr>
          <w:spacing w:val="-3"/>
          <w:w w:val="105"/>
          <w:sz w:val="16"/>
        </w:rPr>
        <w:t xml:space="preserve"> </w:t>
      </w:r>
      <w:r>
        <w:rPr>
          <w:w w:val="105"/>
          <w:sz w:val="16"/>
        </w:rPr>
        <w:t>edad</w:t>
      </w:r>
      <w:r>
        <w:rPr>
          <w:spacing w:val="-3"/>
          <w:w w:val="105"/>
          <w:sz w:val="16"/>
        </w:rPr>
        <w:t xml:space="preserve"> </w:t>
      </w:r>
      <w:r>
        <w:rPr>
          <w:w w:val="105"/>
          <w:sz w:val="16"/>
        </w:rPr>
        <w:t>o</w:t>
      </w:r>
      <w:r>
        <w:rPr>
          <w:spacing w:val="-3"/>
          <w:w w:val="105"/>
          <w:sz w:val="16"/>
        </w:rPr>
        <w:t xml:space="preserve"> </w:t>
      </w:r>
      <w:r>
        <w:rPr>
          <w:w w:val="105"/>
          <w:sz w:val="16"/>
        </w:rPr>
        <w:t>el</w:t>
      </w:r>
      <w:r>
        <w:rPr>
          <w:spacing w:val="-3"/>
          <w:w w:val="105"/>
          <w:sz w:val="16"/>
        </w:rPr>
        <w:t xml:space="preserve"> </w:t>
      </w:r>
      <w:r>
        <w:rPr>
          <w:w w:val="105"/>
          <w:sz w:val="16"/>
        </w:rPr>
        <w:t>género,</w:t>
      </w:r>
      <w:r>
        <w:rPr>
          <w:spacing w:val="-2"/>
          <w:w w:val="105"/>
          <w:sz w:val="16"/>
        </w:rPr>
        <w:t xml:space="preserve"> </w:t>
      </w:r>
      <w:r>
        <w:rPr>
          <w:w w:val="105"/>
          <w:sz w:val="16"/>
        </w:rPr>
        <w:t>sino</w:t>
      </w:r>
      <w:r>
        <w:rPr>
          <w:spacing w:val="-3"/>
          <w:w w:val="105"/>
          <w:sz w:val="16"/>
        </w:rPr>
        <w:t xml:space="preserve"> </w:t>
      </w:r>
      <w:r>
        <w:rPr>
          <w:w w:val="105"/>
          <w:sz w:val="16"/>
        </w:rPr>
        <w:t>por</w:t>
      </w:r>
      <w:r>
        <w:rPr>
          <w:spacing w:val="-3"/>
          <w:w w:val="105"/>
          <w:sz w:val="16"/>
        </w:rPr>
        <w:t xml:space="preserve"> </w:t>
      </w:r>
      <w:r>
        <w:rPr>
          <w:w w:val="105"/>
          <w:sz w:val="16"/>
        </w:rPr>
        <w:t>la</w:t>
      </w:r>
      <w:r>
        <w:rPr>
          <w:spacing w:val="-3"/>
          <w:w w:val="105"/>
          <w:sz w:val="16"/>
        </w:rPr>
        <w:t xml:space="preserve"> </w:t>
      </w:r>
      <w:r>
        <w:rPr>
          <w:w w:val="105"/>
          <w:sz w:val="16"/>
        </w:rPr>
        <w:t xml:space="preserve">interacción o fusión de estos motivos. En tales casos, las personas que posean sólo </w:t>
      </w:r>
      <w:proofErr w:type="gramStart"/>
      <w:r>
        <w:rPr>
          <w:w w:val="105"/>
          <w:sz w:val="16"/>
        </w:rPr>
        <w:t>una de las características en cuestión no experimentarían</w:t>
      </w:r>
      <w:proofErr w:type="gramEnd"/>
      <w:r>
        <w:rPr>
          <w:spacing w:val="-11"/>
          <w:w w:val="105"/>
          <w:sz w:val="16"/>
        </w:rPr>
        <w:t xml:space="preserve"> </w:t>
      </w:r>
      <w:r>
        <w:rPr>
          <w:w w:val="105"/>
          <w:sz w:val="16"/>
        </w:rPr>
        <w:t>discriminación;</w:t>
      </w:r>
      <w:r>
        <w:rPr>
          <w:spacing w:val="-10"/>
          <w:w w:val="105"/>
          <w:sz w:val="16"/>
        </w:rPr>
        <w:t xml:space="preserve"> </w:t>
      </w:r>
      <w:r>
        <w:rPr>
          <w:w w:val="105"/>
          <w:sz w:val="16"/>
        </w:rPr>
        <w:t>el</w:t>
      </w:r>
      <w:r>
        <w:rPr>
          <w:spacing w:val="-11"/>
          <w:w w:val="105"/>
          <w:sz w:val="16"/>
        </w:rPr>
        <w:t xml:space="preserve"> </w:t>
      </w:r>
      <w:r>
        <w:rPr>
          <w:w w:val="105"/>
          <w:sz w:val="16"/>
        </w:rPr>
        <w:t>daño</w:t>
      </w:r>
      <w:r>
        <w:rPr>
          <w:spacing w:val="-11"/>
          <w:w w:val="105"/>
          <w:sz w:val="16"/>
        </w:rPr>
        <w:t xml:space="preserve"> </w:t>
      </w:r>
      <w:r>
        <w:rPr>
          <w:w w:val="105"/>
          <w:sz w:val="16"/>
        </w:rPr>
        <w:t>se</w:t>
      </w:r>
      <w:r>
        <w:rPr>
          <w:spacing w:val="-11"/>
          <w:w w:val="105"/>
          <w:sz w:val="16"/>
        </w:rPr>
        <w:t xml:space="preserve"> </w:t>
      </w:r>
      <w:r>
        <w:rPr>
          <w:w w:val="105"/>
          <w:sz w:val="16"/>
        </w:rPr>
        <w:t>produce</w:t>
      </w:r>
      <w:r>
        <w:rPr>
          <w:spacing w:val="-11"/>
          <w:w w:val="105"/>
          <w:sz w:val="16"/>
        </w:rPr>
        <w:t xml:space="preserve"> </w:t>
      </w:r>
      <w:r>
        <w:rPr>
          <w:w w:val="105"/>
          <w:sz w:val="16"/>
        </w:rPr>
        <w:t>únicamente</w:t>
      </w:r>
      <w:r>
        <w:rPr>
          <w:spacing w:val="-11"/>
          <w:w w:val="105"/>
          <w:sz w:val="16"/>
        </w:rPr>
        <w:t xml:space="preserve"> </w:t>
      </w:r>
      <w:r>
        <w:rPr>
          <w:w w:val="105"/>
          <w:sz w:val="16"/>
        </w:rPr>
        <w:t>debido</w:t>
      </w:r>
      <w:r>
        <w:rPr>
          <w:spacing w:val="-11"/>
          <w:w w:val="105"/>
          <w:sz w:val="16"/>
        </w:rPr>
        <w:t xml:space="preserve"> </w:t>
      </w:r>
      <w:r>
        <w:rPr>
          <w:w w:val="105"/>
          <w:sz w:val="16"/>
        </w:rPr>
        <w:t>al</w:t>
      </w:r>
      <w:r>
        <w:rPr>
          <w:spacing w:val="-11"/>
          <w:w w:val="105"/>
          <w:sz w:val="16"/>
        </w:rPr>
        <w:t xml:space="preserve"> </w:t>
      </w:r>
      <w:r>
        <w:rPr>
          <w:w w:val="105"/>
          <w:sz w:val="16"/>
        </w:rPr>
        <w:t>impacto</w:t>
      </w:r>
      <w:r>
        <w:rPr>
          <w:spacing w:val="-11"/>
          <w:w w:val="105"/>
          <w:sz w:val="16"/>
        </w:rPr>
        <w:t xml:space="preserve"> </w:t>
      </w:r>
      <w:r>
        <w:rPr>
          <w:w w:val="105"/>
          <w:sz w:val="16"/>
        </w:rPr>
        <w:t>interseccional</w:t>
      </w:r>
      <w:r>
        <w:rPr>
          <w:spacing w:val="-11"/>
          <w:w w:val="105"/>
          <w:sz w:val="16"/>
        </w:rPr>
        <w:t xml:space="preserve"> </w:t>
      </w:r>
      <w:r>
        <w:rPr>
          <w:w w:val="105"/>
          <w:sz w:val="16"/>
        </w:rPr>
        <w:t>combinado.</w:t>
      </w:r>
      <w:r>
        <w:rPr>
          <w:spacing w:val="-11"/>
          <w:w w:val="105"/>
          <w:sz w:val="16"/>
        </w:rPr>
        <w:t xml:space="preserve"> </w:t>
      </w:r>
      <w:r>
        <w:rPr>
          <w:w w:val="105"/>
          <w:sz w:val="16"/>
        </w:rPr>
        <w:t>Como</w:t>
      </w:r>
      <w:r>
        <w:rPr>
          <w:spacing w:val="-11"/>
          <w:w w:val="105"/>
          <w:sz w:val="16"/>
        </w:rPr>
        <w:t xml:space="preserve"> </w:t>
      </w:r>
      <w:r>
        <w:rPr>
          <w:w w:val="105"/>
          <w:sz w:val="16"/>
        </w:rPr>
        <w:t>tal, cuando las leyes no reconocen la discriminación interseccional, puede haber una brecha en la protección.</w:t>
      </w:r>
    </w:p>
    <w:p w14:paraId="71E46F3E" w14:textId="77777777" w:rsidR="0014798C" w:rsidRDefault="0014798C">
      <w:pPr>
        <w:pStyle w:val="Textoindependiente"/>
      </w:pPr>
    </w:p>
    <w:p w14:paraId="638C9016" w14:textId="77777777" w:rsidR="0014798C" w:rsidRDefault="0014798C">
      <w:pPr>
        <w:pStyle w:val="Textoindependiente"/>
        <w:spacing w:before="48"/>
      </w:pPr>
    </w:p>
    <w:p w14:paraId="228091DB" w14:textId="77777777" w:rsidR="0014798C" w:rsidRDefault="004E1F0B">
      <w:pPr>
        <w:pStyle w:val="Textoindependiente"/>
        <w:spacing w:line="326" w:lineRule="auto"/>
        <w:ind w:left="1108" w:right="1272" w:hanging="2"/>
      </w:pPr>
      <w:r>
        <w:rPr>
          <w:w w:val="105"/>
        </w:rPr>
        <w:t>El Comité de Derechos Económicos, Sociales y Culturales ha aclarado que la prohibición de discriminación prevista en el artículo</w:t>
      </w:r>
      <w:r>
        <w:rPr>
          <w:spacing w:val="-1"/>
          <w:w w:val="105"/>
        </w:rPr>
        <w:t xml:space="preserve"> </w:t>
      </w:r>
      <w:r>
        <w:rPr>
          <w:w w:val="105"/>
        </w:rPr>
        <w:t>2</w:t>
      </w:r>
      <w:r>
        <w:rPr>
          <w:spacing w:val="-1"/>
          <w:w w:val="105"/>
        </w:rPr>
        <w:t xml:space="preserve"> </w:t>
      </w:r>
      <w:r>
        <w:rPr>
          <w:w w:val="105"/>
        </w:rPr>
        <w:t>(2)</w:t>
      </w:r>
      <w:r>
        <w:rPr>
          <w:spacing w:val="-1"/>
          <w:w w:val="105"/>
        </w:rPr>
        <w:t xml:space="preserve"> </w:t>
      </w:r>
      <w:r>
        <w:rPr>
          <w:w w:val="105"/>
        </w:rPr>
        <w:t>del</w:t>
      </w:r>
      <w:r>
        <w:rPr>
          <w:spacing w:val="-1"/>
          <w:w w:val="105"/>
        </w:rPr>
        <w:t xml:space="preserve"> </w:t>
      </w:r>
      <w:r>
        <w:rPr>
          <w:w w:val="105"/>
        </w:rPr>
        <w:t>Pacto</w:t>
      </w:r>
      <w:r>
        <w:rPr>
          <w:spacing w:val="-1"/>
          <w:w w:val="105"/>
        </w:rPr>
        <w:t xml:space="preserve"> </w:t>
      </w:r>
      <w:r>
        <w:rPr>
          <w:w w:val="105"/>
        </w:rPr>
        <w:t>incluye</w:t>
      </w:r>
      <w:r>
        <w:rPr>
          <w:spacing w:val="-1"/>
          <w:w w:val="105"/>
        </w:rPr>
        <w:t xml:space="preserve"> </w:t>
      </w:r>
      <w:r>
        <w:rPr>
          <w:w w:val="105"/>
        </w:rPr>
        <w:t>tanto</w:t>
      </w:r>
      <w:r>
        <w:rPr>
          <w:spacing w:val="-1"/>
          <w:w w:val="105"/>
        </w:rPr>
        <w:t xml:space="preserve"> </w:t>
      </w:r>
      <w:r>
        <w:rPr>
          <w:w w:val="105"/>
        </w:rPr>
        <w:t>la</w:t>
      </w:r>
      <w:r>
        <w:rPr>
          <w:spacing w:val="-1"/>
          <w:w w:val="105"/>
        </w:rPr>
        <w:t xml:space="preserve"> </w:t>
      </w:r>
      <w:r>
        <w:rPr>
          <w:w w:val="105"/>
        </w:rPr>
        <w:t>discriminación</w:t>
      </w:r>
      <w:r>
        <w:rPr>
          <w:spacing w:val="-1"/>
          <w:w w:val="105"/>
        </w:rPr>
        <w:t xml:space="preserve"> </w:t>
      </w:r>
      <w:r>
        <w:rPr>
          <w:w w:val="105"/>
        </w:rPr>
        <w:t>acumulativa</w:t>
      </w:r>
      <w:r>
        <w:rPr>
          <w:spacing w:val="-1"/>
          <w:w w:val="105"/>
        </w:rPr>
        <w:t xml:space="preserve"> </w:t>
      </w:r>
      <w:r>
        <w:rPr>
          <w:w w:val="105"/>
        </w:rPr>
        <w:t>como</w:t>
      </w:r>
      <w:r>
        <w:rPr>
          <w:spacing w:val="-1"/>
          <w:w w:val="105"/>
        </w:rPr>
        <w:t xml:space="preserve"> </w:t>
      </w:r>
      <w:r>
        <w:rPr>
          <w:w w:val="105"/>
        </w:rPr>
        <w:t>la</w:t>
      </w:r>
      <w:r>
        <w:rPr>
          <w:spacing w:val="-1"/>
          <w:w w:val="105"/>
        </w:rPr>
        <w:t xml:space="preserve"> </w:t>
      </w:r>
      <w:r>
        <w:rPr>
          <w:w w:val="105"/>
        </w:rPr>
        <w:t>interseccional.186</w:t>
      </w:r>
      <w:r>
        <w:rPr>
          <w:spacing w:val="-1"/>
          <w:w w:val="105"/>
        </w:rPr>
        <w:t xml:space="preserve"> </w:t>
      </w:r>
      <w:r>
        <w:rPr>
          <w:w w:val="105"/>
        </w:rPr>
        <w:t>El</w:t>
      </w:r>
      <w:r>
        <w:rPr>
          <w:spacing w:val="-1"/>
          <w:w w:val="105"/>
        </w:rPr>
        <w:t xml:space="preserve"> </w:t>
      </w:r>
      <w:r>
        <w:rPr>
          <w:w w:val="105"/>
        </w:rPr>
        <w:t>Comité</w:t>
      </w:r>
      <w:r>
        <w:rPr>
          <w:spacing w:val="-1"/>
          <w:w w:val="105"/>
        </w:rPr>
        <w:t xml:space="preserve"> </w:t>
      </w:r>
      <w:r>
        <w:rPr>
          <w:w w:val="105"/>
        </w:rPr>
        <w:t>de</w:t>
      </w:r>
      <w:r>
        <w:rPr>
          <w:spacing w:val="-1"/>
          <w:w w:val="105"/>
        </w:rPr>
        <w:t xml:space="preserve"> </w:t>
      </w:r>
      <w:r>
        <w:rPr>
          <w:w w:val="105"/>
        </w:rPr>
        <w:t>Derechos Humanos ha aplicado cada vez más el concepto de discriminación múltiple o interseccional a su evaluación. de las obligaciones de los Estados en virtud del Pacto187 y ha recomendado que los Estados prohíban todas las formas de discriminación</w:t>
      </w:r>
      <w:r>
        <w:rPr>
          <w:spacing w:val="-8"/>
          <w:w w:val="105"/>
        </w:rPr>
        <w:t xml:space="preserve"> </w:t>
      </w:r>
      <w:r>
        <w:rPr>
          <w:w w:val="105"/>
        </w:rPr>
        <w:t>múltiple</w:t>
      </w:r>
      <w:r>
        <w:rPr>
          <w:spacing w:val="-8"/>
          <w:w w:val="105"/>
        </w:rPr>
        <w:t xml:space="preserve"> </w:t>
      </w:r>
      <w:r>
        <w:rPr>
          <w:w w:val="105"/>
        </w:rPr>
        <w:t>e</w:t>
      </w:r>
      <w:r>
        <w:rPr>
          <w:spacing w:val="-8"/>
          <w:w w:val="105"/>
        </w:rPr>
        <w:t xml:space="preserve"> </w:t>
      </w:r>
      <w:r>
        <w:rPr>
          <w:w w:val="105"/>
        </w:rPr>
        <w:t>interseccional</w:t>
      </w:r>
      <w:r>
        <w:rPr>
          <w:spacing w:val="-8"/>
          <w:w w:val="105"/>
        </w:rPr>
        <w:t xml:space="preserve"> </w:t>
      </w:r>
      <w:r>
        <w:rPr>
          <w:w w:val="105"/>
        </w:rPr>
        <w:t>mediante</w:t>
      </w:r>
      <w:r>
        <w:rPr>
          <w:spacing w:val="-8"/>
          <w:w w:val="105"/>
        </w:rPr>
        <w:t xml:space="preserve"> </w:t>
      </w:r>
      <w:r>
        <w:rPr>
          <w:w w:val="105"/>
        </w:rPr>
        <w:t>la</w:t>
      </w:r>
      <w:r>
        <w:rPr>
          <w:spacing w:val="-8"/>
          <w:w w:val="105"/>
        </w:rPr>
        <w:t xml:space="preserve"> </w:t>
      </w:r>
      <w:r>
        <w:rPr>
          <w:w w:val="105"/>
        </w:rPr>
        <w:t>adopción</w:t>
      </w:r>
      <w:r>
        <w:rPr>
          <w:spacing w:val="-8"/>
          <w:w w:val="105"/>
        </w:rPr>
        <w:t xml:space="preserve"> </w:t>
      </w:r>
      <w:r>
        <w:rPr>
          <w:w w:val="105"/>
        </w:rPr>
        <w:t>de</w:t>
      </w:r>
      <w:r>
        <w:rPr>
          <w:spacing w:val="-8"/>
          <w:w w:val="105"/>
        </w:rPr>
        <w:t xml:space="preserve"> </w:t>
      </w:r>
      <w:r>
        <w:rPr>
          <w:w w:val="105"/>
        </w:rPr>
        <w:t>leyes</w:t>
      </w:r>
      <w:r>
        <w:rPr>
          <w:spacing w:val="-8"/>
          <w:w w:val="105"/>
        </w:rPr>
        <w:t xml:space="preserve"> </w:t>
      </w:r>
      <w:r>
        <w:rPr>
          <w:w w:val="105"/>
        </w:rPr>
        <w:t>integrales</w:t>
      </w:r>
      <w:r>
        <w:rPr>
          <w:spacing w:val="-8"/>
          <w:w w:val="105"/>
        </w:rPr>
        <w:t xml:space="preserve"> </w:t>
      </w:r>
      <w:r>
        <w:rPr>
          <w:w w:val="105"/>
        </w:rPr>
        <w:t>de</w:t>
      </w:r>
      <w:r>
        <w:rPr>
          <w:spacing w:val="-8"/>
          <w:w w:val="105"/>
        </w:rPr>
        <w:t xml:space="preserve"> </w:t>
      </w:r>
      <w:r>
        <w:rPr>
          <w:w w:val="105"/>
        </w:rPr>
        <w:t>igualdad.188</w:t>
      </w:r>
      <w:r>
        <w:rPr>
          <w:spacing w:val="-8"/>
          <w:w w:val="105"/>
        </w:rPr>
        <w:t xml:space="preserve"> </w:t>
      </w:r>
      <w:r>
        <w:rPr>
          <w:w w:val="105"/>
        </w:rPr>
        <w:t>Estas</w:t>
      </w:r>
      <w:r>
        <w:rPr>
          <w:spacing w:val="-8"/>
          <w:w w:val="105"/>
        </w:rPr>
        <w:t xml:space="preserve"> </w:t>
      </w:r>
      <w:r>
        <w:rPr>
          <w:w w:val="105"/>
        </w:rPr>
        <w:t>recomendaciones</w:t>
      </w:r>
      <w:r>
        <w:rPr>
          <w:spacing w:val="-8"/>
          <w:w w:val="105"/>
        </w:rPr>
        <w:t xml:space="preserve"> </w:t>
      </w:r>
      <w:r>
        <w:rPr>
          <w:w w:val="105"/>
        </w:rPr>
        <w:t>se reflejan en la práctica del Comité para la Eliminación de la Discriminación Racial189.</w:t>
      </w:r>
    </w:p>
    <w:p w14:paraId="39684DAF" w14:textId="77777777" w:rsidR="0014798C" w:rsidRDefault="004E1F0B">
      <w:pPr>
        <w:pStyle w:val="Textoindependiente"/>
        <w:spacing w:line="181" w:lineRule="exact"/>
        <w:ind w:left="1107"/>
      </w:pPr>
      <w:r>
        <w:rPr>
          <w:w w:val="105"/>
        </w:rPr>
        <w:t>el</w:t>
      </w:r>
      <w:r>
        <w:rPr>
          <w:spacing w:val="-8"/>
          <w:w w:val="105"/>
        </w:rPr>
        <w:t xml:space="preserve"> </w:t>
      </w:r>
      <w:r>
        <w:rPr>
          <w:w w:val="105"/>
        </w:rPr>
        <w:t>Comité</w:t>
      </w:r>
      <w:r>
        <w:rPr>
          <w:spacing w:val="-8"/>
          <w:w w:val="105"/>
        </w:rPr>
        <w:t xml:space="preserve"> </w:t>
      </w:r>
      <w:r>
        <w:rPr>
          <w:w w:val="105"/>
        </w:rPr>
        <w:t>para</w:t>
      </w:r>
      <w:r>
        <w:rPr>
          <w:spacing w:val="-8"/>
          <w:w w:val="105"/>
        </w:rPr>
        <w:t xml:space="preserve"> </w:t>
      </w:r>
      <w:r>
        <w:rPr>
          <w:w w:val="105"/>
        </w:rPr>
        <w:t>la</w:t>
      </w:r>
      <w:r>
        <w:rPr>
          <w:spacing w:val="-7"/>
          <w:w w:val="105"/>
        </w:rPr>
        <w:t xml:space="preserve"> </w:t>
      </w:r>
      <w:r>
        <w:rPr>
          <w:w w:val="105"/>
        </w:rPr>
        <w:t>Eliminación</w:t>
      </w:r>
      <w:r>
        <w:rPr>
          <w:spacing w:val="-8"/>
          <w:w w:val="105"/>
        </w:rPr>
        <w:t xml:space="preserve"> </w:t>
      </w:r>
      <w:r>
        <w:rPr>
          <w:w w:val="105"/>
        </w:rPr>
        <w:t>de</w:t>
      </w:r>
      <w:r>
        <w:rPr>
          <w:spacing w:val="-8"/>
          <w:w w:val="105"/>
        </w:rPr>
        <w:t xml:space="preserve"> </w:t>
      </w:r>
      <w:r>
        <w:rPr>
          <w:w w:val="105"/>
        </w:rPr>
        <w:t>la</w:t>
      </w:r>
      <w:r>
        <w:rPr>
          <w:spacing w:val="-7"/>
          <w:w w:val="105"/>
        </w:rPr>
        <w:t xml:space="preserve"> </w:t>
      </w:r>
      <w:r>
        <w:rPr>
          <w:w w:val="105"/>
        </w:rPr>
        <w:t>Discriminación</w:t>
      </w:r>
      <w:r>
        <w:rPr>
          <w:spacing w:val="-8"/>
          <w:w w:val="105"/>
        </w:rPr>
        <w:t xml:space="preserve"> </w:t>
      </w:r>
      <w:r>
        <w:rPr>
          <w:w w:val="105"/>
        </w:rPr>
        <w:t>contra</w:t>
      </w:r>
      <w:r>
        <w:rPr>
          <w:spacing w:val="-8"/>
          <w:w w:val="105"/>
        </w:rPr>
        <w:t xml:space="preserve"> </w:t>
      </w:r>
      <w:r>
        <w:rPr>
          <w:w w:val="105"/>
        </w:rPr>
        <w:t>la</w:t>
      </w:r>
      <w:r>
        <w:rPr>
          <w:spacing w:val="-7"/>
          <w:w w:val="105"/>
        </w:rPr>
        <w:t xml:space="preserve"> </w:t>
      </w:r>
      <w:r>
        <w:rPr>
          <w:w w:val="105"/>
        </w:rPr>
        <w:t>Mujer190</w:t>
      </w:r>
      <w:r>
        <w:rPr>
          <w:spacing w:val="-8"/>
          <w:w w:val="105"/>
        </w:rPr>
        <w:t xml:space="preserve"> </w:t>
      </w:r>
      <w:r>
        <w:rPr>
          <w:w w:val="105"/>
        </w:rPr>
        <w:t>y</w:t>
      </w:r>
      <w:r>
        <w:rPr>
          <w:spacing w:val="-8"/>
          <w:w w:val="105"/>
        </w:rPr>
        <w:t xml:space="preserve"> </w:t>
      </w:r>
      <w:r>
        <w:rPr>
          <w:w w:val="105"/>
        </w:rPr>
        <w:t>el</w:t>
      </w:r>
      <w:r>
        <w:rPr>
          <w:spacing w:val="-7"/>
          <w:w w:val="105"/>
        </w:rPr>
        <w:t xml:space="preserve"> </w:t>
      </w:r>
      <w:r>
        <w:rPr>
          <w:w w:val="105"/>
        </w:rPr>
        <w:t>Comité</w:t>
      </w:r>
      <w:r>
        <w:rPr>
          <w:spacing w:val="-8"/>
          <w:w w:val="105"/>
        </w:rPr>
        <w:t xml:space="preserve"> </w:t>
      </w:r>
      <w:r>
        <w:rPr>
          <w:w w:val="105"/>
        </w:rPr>
        <w:t>de</w:t>
      </w:r>
      <w:r>
        <w:rPr>
          <w:spacing w:val="-8"/>
          <w:w w:val="105"/>
        </w:rPr>
        <w:t xml:space="preserve"> </w:t>
      </w:r>
      <w:r>
        <w:rPr>
          <w:w w:val="105"/>
        </w:rPr>
        <w:t>los</w:t>
      </w:r>
      <w:r>
        <w:rPr>
          <w:spacing w:val="-7"/>
          <w:w w:val="105"/>
        </w:rPr>
        <w:t xml:space="preserve"> </w:t>
      </w:r>
      <w:r>
        <w:rPr>
          <w:w w:val="105"/>
        </w:rPr>
        <w:t>Derechos</w:t>
      </w:r>
      <w:r>
        <w:rPr>
          <w:spacing w:val="-8"/>
          <w:w w:val="105"/>
        </w:rPr>
        <w:t xml:space="preserve"> </w:t>
      </w:r>
      <w:r>
        <w:rPr>
          <w:w w:val="105"/>
        </w:rPr>
        <w:t>de</w:t>
      </w:r>
      <w:r>
        <w:rPr>
          <w:spacing w:val="-8"/>
          <w:w w:val="105"/>
        </w:rPr>
        <w:t xml:space="preserve"> </w:t>
      </w:r>
      <w:r>
        <w:rPr>
          <w:w w:val="105"/>
        </w:rPr>
        <w:t>la</w:t>
      </w:r>
      <w:r>
        <w:rPr>
          <w:spacing w:val="-7"/>
          <w:w w:val="105"/>
        </w:rPr>
        <w:t xml:space="preserve"> </w:t>
      </w:r>
      <w:r>
        <w:rPr>
          <w:spacing w:val="-2"/>
          <w:w w:val="105"/>
        </w:rPr>
        <w:t>Mujer</w:t>
      </w:r>
    </w:p>
    <w:p w14:paraId="71790538" w14:textId="77777777" w:rsidR="0014798C" w:rsidRDefault="0014798C">
      <w:pPr>
        <w:pStyle w:val="Textoindependiente"/>
        <w:rPr>
          <w:sz w:val="11"/>
        </w:rPr>
      </w:pPr>
    </w:p>
    <w:p w14:paraId="4ACA1C98" w14:textId="77777777" w:rsidR="0014798C" w:rsidRDefault="0014798C">
      <w:pPr>
        <w:pStyle w:val="Textoindependiente"/>
        <w:rPr>
          <w:sz w:val="11"/>
        </w:rPr>
      </w:pPr>
    </w:p>
    <w:p w14:paraId="46B7D8BF" w14:textId="77777777" w:rsidR="0014798C" w:rsidRDefault="0014798C">
      <w:pPr>
        <w:pStyle w:val="Textoindependiente"/>
        <w:rPr>
          <w:sz w:val="11"/>
        </w:rPr>
      </w:pPr>
    </w:p>
    <w:p w14:paraId="1602F5F3" w14:textId="77777777" w:rsidR="0014798C" w:rsidRDefault="0014798C">
      <w:pPr>
        <w:pStyle w:val="Textoindependiente"/>
        <w:rPr>
          <w:sz w:val="11"/>
        </w:rPr>
      </w:pPr>
    </w:p>
    <w:p w14:paraId="0AA22799" w14:textId="77777777" w:rsidR="0014798C" w:rsidRDefault="0014798C">
      <w:pPr>
        <w:pStyle w:val="Textoindependiente"/>
        <w:spacing w:before="76"/>
        <w:rPr>
          <w:sz w:val="11"/>
        </w:rPr>
      </w:pPr>
    </w:p>
    <w:p w14:paraId="09D5D487" w14:textId="77777777" w:rsidR="0014798C" w:rsidRDefault="004E1F0B">
      <w:pPr>
        <w:spacing w:before="1"/>
        <w:ind w:left="1111"/>
        <w:rPr>
          <w:sz w:val="11"/>
        </w:rPr>
      </w:pPr>
      <w:r>
        <w:rPr>
          <w:w w:val="105"/>
          <w:sz w:val="11"/>
        </w:rPr>
        <w:t>186</w:t>
      </w:r>
      <w:r>
        <w:rPr>
          <w:spacing w:val="-5"/>
          <w:w w:val="105"/>
          <w:sz w:val="11"/>
        </w:rPr>
        <w:t xml:space="preserve"> </w:t>
      </w:r>
      <w:r>
        <w:rPr>
          <w:w w:val="105"/>
          <w:sz w:val="11"/>
        </w:rPr>
        <w:t>Comité</w:t>
      </w:r>
      <w:r>
        <w:rPr>
          <w:spacing w:val="-4"/>
          <w:w w:val="105"/>
          <w:sz w:val="11"/>
        </w:rPr>
        <w:t xml:space="preserve"> </w:t>
      </w:r>
      <w:r>
        <w:rPr>
          <w:w w:val="105"/>
          <w:sz w:val="11"/>
        </w:rPr>
        <w:t>de</w:t>
      </w:r>
      <w:r>
        <w:rPr>
          <w:spacing w:val="-4"/>
          <w:w w:val="105"/>
          <w:sz w:val="11"/>
        </w:rPr>
        <w:t xml:space="preserve"> </w:t>
      </w:r>
      <w:r>
        <w:rPr>
          <w:w w:val="105"/>
          <w:sz w:val="11"/>
        </w:rPr>
        <w:t>Derechos</w:t>
      </w:r>
      <w:r>
        <w:rPr>
          <w:spacing w:val="-5"/>
          <w:w w:val="105"/>
          <w:sz w:val="11"/>
        </w:rPr>
        <w:t xml:space="preserve"> </w:t>
      </w:r>
      <w:r>
        <w:rPr>
          <w:w w:val="105"/>
          <w:sz w:val="11"/>
        </w:rPr>
        <w:t>Económicos,</w:t>
      </w:r>
      <w:r>
        <w:rPr>
          <w:spacing w:val="-3"/>
          <w:w w:val="105"/>
          <w:sz w:val="11"/>
        </w:rPr>
        <w:t xml:space="preserve"> </w:t>
      </w:r>
      <w:r>
        <w:rPr>
          <w:w w:val="105"/>
          <w:sz w:val="11"/>
        </w:rPr>
        <w:t>Sociales</w:t>
      </w:r>
      <w:r>
        <w:rPr>
          <w:spacing w:val="-4"/>
          <w:w w:val="105"/>
          <w:sz w:val="11"/>
        </w:rPr>
        <w:t xml:space="preserve"> </w:t>
      </w:r>
      <w:r>
        <w:rPr>
          <w:w w:val="105"/>
          <w:sz w:val="11"/>
        </w:rPr>
        <w:t>y</w:t>
      </w:r>
      <w:r>
        <w:rPr>
          <w:spacing w:val="-4"/>
          <w:w w:val="105"/>
          <w:sz w:val="11"/>
        </w:rPr>
        <w:t xml:space="preserve"> </w:t>
      </w:r>
      <w:r>
        <w:rPr>
          <w:w w:val="105"/>
          <w:sz w:val="11"/>
        </w:rPr>
        <w:t>Culturales,</w:t>
      </w:r>
      <w:r>
        <w:rPr>
          <w:spacing w:val="-4"/>
          <w:w w:val="105"/>
          <w:sz w:val="11"/>
        </w:rPr>
        <w:t xml:space="preserve"> </w:t>
      </w:r>
      <w:r>
        <w:rPr>
          <w:w w:val="105"/>
          <w:sz w:val="11"/>
        </w:rPr>
        <w:t>observación</w:t>
      </w:r>
      <w:r>
        <w:rPr>
          <w:spacing w:val="-4"/>
          <w:w w:val="105"/>
          <w:sz w:val="11"/>
        </w:rPr>
        <w:t xml:space="preserve"> </w:t>
      </w:r>
      <w:r>
        <w:rPr>
          <w:w w:val="105"/>
          <w:sz w:val="11"/>
        </w:rPr>
        <w:t>general</w:t>
      </w:r>
      <w:r>
        <w:rPr>
          <w:spacing w:val="-4"/>
          <w:w w:val="105"/>
          <w:sz w:val="11"/>
        </w:rPr>
        <w:t xml:space="preserve"> </w:t>
      </w:r>
      <w:r>
        <w:rPr>
          <w:w w:val="105"/>
          <w:sz w:val="11"/>
        </w:rPr>
        <w:t>núm.</w:t>
      </w:r>
      <w:r>
        <w:rPr>
          <w:spacing w:val="-5"/>
          <w:w w:val="105"/>
          <w:sz w:val="11"/>
        </w:rPr>
        <w:t xml:space="preserve"> </w:t>
      </w:r>
      <w:r>
        <w:rPr>
          <w:w w:val="105"/>
          <w:sz w:val="11"/>
        </w:rPr>
        <w:t>20</w:t>
      </w:r>
      <w:r>
        <w:rPr>
          <w:spacing w:val="-4"/>
          <w:w w:val="105"/>
          <w:sz w:val="11"/>
        </w:rPr>
        <w:t xml:space="preserve"> </w:t>
      </w:r>
      <w:r>
        <w:rPr>
          <w:w w:val="105"/>
          <w:sz w:val="11"/>
        </w:rPr>
        <w:t>(2009),</w:t>
      </w:r>
      <w:r>
        <w:rPr>
          <w:spacing w:val="-4"/>
          <w:w w:val="105"/>
          <w:sz w:val="11"/>
        </w:rPr>
        <w:t xml:space="preserve"> </w:t>
      </w:r>
      <w:proofErr w:type="spellStart"/>
      <w:r>
        <w:rPr>
          <w:w w:val="105"/>
          <w:sz w:val="11"/>
        </w:rPr>
        <w:t>párrs</w:t>
      </w:r>
      <w:proofErr w:type="spellEnd"/>
      <w:r>
        <w:rPr>
          <w:w w:val="105"/>
          <w:sz w:val="11"/>
        </w:rPr>
        <w:t>.</w:t>
      </w:r>
      <w:r>
        <w:rPr>
          <w:spacing w:val="-4"/>
          <w:w w:val="105"/>
          <w:sz w:val="11"/>
        </w:rPr>
        <w:t xml:space="preserve"> </w:t>
      </w:r>
      <w:r>
        <w:rPr>
          <w:w w:val="105"/>
          <w:sz w:val="11"/>
        </w:rPr>
        <w:t>17</w:t>
      </w:r>
      <w:r>
        <w:rPr>
          <w:spacing w:val="-5"/>
          <w:w w:val="105"/>
          <w:sz w:val="11"/>
        </w:rPr>
        <w:t xml:space="preserve"> </w:t>
      </w:r>
      <w:r>
        <w:rPr>
          <w:w w:val="105"/>
          <w:sz w:val="11"/>
        </w:rPr>
        <w:t>y</w:t>
      </w:r>
      <w:r>
        <w:rPr>
          <w:spacing w:val="-4"/>
          <w:w w:val="105"/>
          <w:sz w:val="11"/>
        </w:rPr>
        <w:t xml:space="preserve"> </w:t>
      </w:r>
      <w:r>
        <w:rPr>
          <w:spacing w:val="-5"/>
          <w:w w:val="105"/>
          <w:sz w:val="11"/>
        </w:rPr>
        <w:t>27.</w:t>
      </w:r>
    </w:p>
    <w:p w14:paraId="6B46FE81" w14:textId="77777777" w:rsidR="0014798C" w:rsidRDefault="0014798C">
      <w:pPr>
        <w:rPr>
          <w:sz w:val="11"/>
        </w:rPr>
        <w:sectPr w:rsidR="0014798C" w:rsidSect="00F265E4">
          <w:pgSz w:w="11900" w:h="16820"/>
          <w:pgMar w:top="340" w:right="0" w:bottom="280" w:left="200" w:header="121" w:footer="0" w:gutter="0"/>
          <w:cols w:space="720"/>
        </w:sectPr>
      </w:pPr>
    </w:p>
    <w:p w14:paraId="1D9E954C" w14:textId="77777777" w:rsidR="0014798C" w:rsidRDefault="004E1F0B">
      <w:pPr>
        <w:spacing w:before="55"/>
        <w:jc w:val="right"/>
        <w:rPr>
          <w:sz w:val="8"/>
        </w:rPr>
      </w:pPr>
      <w:r>
        <w:rPr>
          <w:spacing w:val="-5"/>
          <w:w w:val="105"/>
          <w:sz w:val="8"/>
        </w:rPr>
        <w:t>187</w:t>
      </w:r>
    </w:p>
    <w:p w14:paraId="67D256F4" w14:textId="77777777" w:rsidR="0014798C" w:rsidRDefault="0014798C">
      <w:pPr>
        <w:pStyle w:val="Textoindependiente"/>
        <w:spacing w:before="52"/>
        <w:rPr>
          <w:sz w:val="8"/>
        </w:rPr>
      </w:pPr>
    </w:p>
    <w:p w14:paraId="0B5EC063" w14:textId="77777777" w:rsidR="0014798C" w:rsidRDefault="004E1F0B">
      <w:pPr>
        <w:jc w:val="right"/>
        <w:rPr>
          <w:sz w:val="8"/>
        </w:rPr>
      </w:pPr>
      <w:r>
        <w:rPr>
          <w:spacing w:val="-5"/>
          <w:w w:val="105"/>
          <w:sz w:val="8"/>
        </w:rPr>
        <w:t>188</w:t>
      </w:r>
    </w:p>
    <w:p w14:paraId="4D073F1A" w14:textId="77777777" w:rsidR="0014798C" w:rsidRDefault="004E1F0B">
      <w:pPr>
        <w:spacing w:before="87"/>
        <w:ind w:left="77"/>
        <w:rPr>
          <w:sz w:val="13"/>
        </w:rPr>
      </w:pPr>
      <w:r>
        <w:br w:type="column"/>
      </w:r>
      <w:r>
        <w:rPr>
          <w:sz w:val="13"/>
        </w:rPr>
        <w:t>Véanse,</w:t>
      </w:r>
      <w:r>
        <w:rPr>
          <w:spacing w:val="-7"/>
          <w:sz w:val="13"/>
        </w:rPr>
        <w:t xml:space="preserve"> </w:t>
      </w:r>
      <w:r>
        <w:rPr>
          <w:sz w:val="13"/>
        </w:rPr>
        <w:t>por</w:t>
      </w:r>
      <w:r>
        <w:rPr>
          <w:spacing w:val="-6"/>
          <w:sz w:val="13"/>
        </w:rPr>
        <w:t xml:space="preserve"> </w:t>
      </w:r>
      <w:r>
        <w:rPr>
          <w:sz w:val="13"/>
        </w:rPr>
        <w:t>ejemplo,</w:t>
      </w:r>
      <w:r>
        <w:rPr>
          <w:spacing w:val="-7"/>
          <w:sz w:val="13"/>
        </w:rPr>
        <w:t xml:space="preserve"> </w:t>
      </w:r>
      <w:r>
        <w:rPr>
          <w:sz w:val="13"/>
        </w:rPr>
        <w:t>CCPR/C/MRT/CO/2,</w:t>
      </w:r>
      <w:r>
        <w:rPr>
          <w:spacing w:val="-6"/>
          <w:sz w:val="13"/>
        </w:rPr>
        <w:t xml:space="preserve"> </w:t>
      </w:r>
      <w:proofErr w:type="spellStart"/>
      <w:r>
        <w:rPr>
          <w:sz w:val="13"/>
        </w:rPr>
        <w:t>párrs</w:t>
      </w:r>
      <w:proofErr w:type="spellEnd"/>
      <w:r>
        <w:rPr>
          <w:sz w:val="13"/>
        </w:rPr>
        <w:t>.</w:t>
      </w:r>
      <w:r>
        <w:rPr>
          <w:spacing w:val="-6"/>
          <w:sz w:val="13"/>
        </w:rPr>
        <w:t xml:space="preserve"> </w:t>
      </w:r>
      <w:r>
        <w:rPr>
          <w:sz w:val="13"/>
        </w:rPr>
        <w:t>14-</w:t>
      </w:r>
      <w:r>
        <w:rPr>
          <w:spacing w:val="-5"/>
          <w:sz w:val="13"/>
        </w:rPr>
        <w:t>17.</w:t>
      </w:r>
    </w:p>
    <w:p w14:paraId="2A0C9792" w14:textId="77777777" w:rsidR="0014798C" w:rsidRDefault="004E1F0B">
      <w:pPr>
        <w:spacing w:before="87"/>
        <w:ind w:left="77"/>
        <w:rPr>
          <w:sz w:val="13"/>
        </w:rPr>
      </w:pPr>
      <w:r>
        <w:rPr>
          <w:spacing w:val="-2"/>
          <w:sz w:val="13"/>
        </w:rPr>
        <w:t>Véase, por</w:t>
      </w:r>
      <w:r>
        <w:rPr>
          <w:spacing w:val="-1"/>
          <w:sz w:val="13"/>
        </w:rPr>
        <w:t xml:space="preserve"> </w:t>
      </w:r>
      <w:r>
        <w:rPr>
          <w:spacing w:val="-2"/>
          <w:sz w:val="13"/>
        </w:rPr>
        <w:t>ejemplo, CCPR/C/ITA/CO/6,</w:t>
      </w:r>
      <w:r>
        <w:rPr>
          <w:spacing w:val="-1"/>
          <w:sz w:val="13"/>
        </w:rPr>
        <w:t xml:space="preserve"> </w:t>
      </w:r>
      <w:r>
        <w:rPr>
          <w:spacing w:val="-2"/>
          <w:sz w:val="13"/>
        </w:rPr>
        <w:t>párr.</w:t>
      </w:r>
      <w:r>
        <w:rPr>
          <w:spacing w:val="-1"/>
          <w:sz w:val="13"/>
        </w:rPr>
        <w:t xml:space="preserve"> </w:t>
      </w:r>
      <w:r>
        <w:rPr>
          <w:spacing w:val="-2"/>
          <w:sz w:val="13"/>
        </w:rPr>
        <w:t>9; y</w:t>
      </w:r>
      <w:r>
        <w:rPr>
          <w:spacing w:val="-1"/>
          <w:sz w:val="13"/>
        </w:rPr>
        <w:t xml:space="preserve"> </w:t>
      </w:r>
      <w:r>
        <w:rPr>
          <w:spacing w:val="-2"/>
          <w:sz w:val="13"/>
        </w:rPr>
        <w:t>CCPR/C/AUS/CO/6,</w:t>
      </w:r>
      <w:r>
        <w:rPr>
          <w:spacing w:val="-1"/>
          <w:sz w:val="13"/>
        </w:rPr>
        <w:t xml:space="preserve"> </w:t>
      </w:r>
      <w:r>
        <w:rPr>
          <w:spacing w:val="-2"/>
          <w:sz w:val="13"/>
        </w:rPr>
        <w:t xml:space="preserve">párr. </w:t>
      </w:r>
      <w:r>
        <w:rPr>
          <w:spacing w:val="-5"/>
          <w:sz w:val="13"/>
        </w:rPr>
        <w:t>18.</w:t>
      </w:r>
    </w:p>
    <w:p w14:paraId="401F8EAF" w14:textId="77777777" w:rsidR="0014798C" w:rsidRDefault="0014798C">
      <w:pPr>
        <w:rPr>
          <w:sz w:val="13"/>
        </w:rPr>
        <w:sectPr w:rsidR="0014798C" w:rsidSect="00F265E4">
          <w:type w:val="continuous"/>
          <w:pgSz w:w="11900" w:h="16820"/>
          <w:pgMar w:top="40" w:right="0" w:bottom="280" w:left="200" w:header="121" w:footer="0" w:gutter="0"/>
          <w:cols w:num="2" w:space="720" w:equalWidth="0">
            <w:col w:w="1253" w:space="40"/>
            <w:col w:w="10407"/>
          </w:cols>
        </w:sectPr>
      </w:pPr>
    </w:p>
    <w:p w14:paraId="15B1B6D4" w14:textId="77777777" w:rsidR="0014798C" w:rsidRDefault="004E1F0B">
      <w:pPr>
        <w:spacing w:before="109"/>
        <w:ind w:left="1111"/>
        <w:rPr>
          <w:sz w:val="11"/>
        </w:rPr>
      </w:pPr>
      <w:r>
        <w:rPr>
          <w:w w:val="105"/>
          <w:sz w:val="11"/>
        </w:rPr>
        <w:t>189</w:t>
      </w:r>
      <w:r>
        <w:rPr>
          <w:spacing w:val="-5"/>
          <w:w w:val="105"/>
          <w:sz w:val="11"/>
        </w:rPr>
        <w:t xml:space="preserve"> </w:t>
      </w:r>
      <w:r>
        <w:rPr>
          <w:w w:val="105"/>
          <w:sz w:val="11"/>
        </w:rPr>
        <w:t>El</w:t>
      </w:r>
      <w:r>
        <w:rPr>
          <w:spacing w:val="-4"/>
          <w:w w:val="105"/>
          <w:sz w:val="11"/>
        </w:rPr>
        <w:t xml:space="preserve"> </w:t>
      </w:r>
      <w:r>
        <w:rPr>
          <w:w w:val="105"/>
          <w:sz w:val="11"/>
        </w:rPr>
        <w:t>Comité</w:t>
      </w:r>
      <w:r>
        <w:rPr>
          <w:spacing w:val="-4"/>
          <w:w w:val="105"/>
          <w:sz w:val="11"/>
        </w:rPr>
        <w:t xml:space="preserve"> </w:t>
      </w:r>
      <w:r>
        <w:rPr>
          <w:w w:val="105"/>
          <w:sz w:val="11"/>
        </w:rPr>
        <w:t>para</w:t>
      </w:r>
      <w:r>
        <w:rPr>
          <w:spacing w:val="-4"/>
          <w:w w:val="105"/>
          <w:sz w:val="11"/>
        </w:rPr>
        <w:t xml:space="preserve"> </w:t>
      </w:r>
      <w:r>
        <w:rPr>
          <w:w w:val="105"/>
          <w:sz w:val="11"/>
        </w:rPr>
        <w:t>la</w:t>
      </w:r>
      <w:r>
        <w:rPr>
          <w:spacing w:val="-4"/>
          <w:w w:val="105"/>
          <w:sz w:val="11"/>
        </w:rPr>
        <w:t xml:space="preserve"> </w:t>
      </w:r>
      <w:r>
        <w:rPr>
          <w:w w:val="105"/>
          <w:sz w:val="11"/>
        </w:rPr>
        <w:t>Eliminación</w:t>
      </w:r>
      <w:r>
        <w:rPr>
          <w:spacing w:val="-4"/>
          <w:w w:val="105"/>
          <w:sz w:val="11"/>
        </w:rPr>
        <w:t xml:space="preserve"> </w:t>
      </w:r>
      <w:r>
        <w:rPr>
          <w:w w:val="105"/>
          <w:sz w:val="11"/>
        </w:rPr>
        <w:t>de</w:t>
      </w:r>
      <w:r>
        <w:rPr>
          <w:spacing w:val="-4"/>
          <w:w w:val="105"/>
          <w:sz w:val="11"/>
        </w:rPr>
        <w:t xml:space="preserve"> </w:t>
      </w:r>
      <w:r>
        <w:rPr>
          <w:w w:val="105"/>
          <w:sz w:val="11"/>
        </w:rPr>
        <w:t>la</w:t>
      </w:r>
      <w:r>
        <w:rPr>
          <w:spacing w:val="-4"/>
          <w:w w:val="105"/>
          <w:sz w:val="11"/>
        </w:rPr>
        <w:t xml:space="preserve"> </w:t>
      </w:r>
      <w:r>
        <w:rPr>
          <w:w w:val="105"/>
          <w:sz w:val="11"/>
        </w:rPr>
        <w:t>Discriminación</w:t>
      </w:r>
      <w:r>
        <w:rPr>
          <w:spacing w:val="-4"/>
          <w:w w:val="105"/>
          <w:sz w:val="11"/>
        </w:rPr>
        <w:t xml:space="preserve"> </w:t>
      </w:r>
      <w:r>
        <w:rPr>
          <w:w w:val="105"/>
          <w:sz w:val="11"/>
        </w:rPr>
        <w:t>Racial</w:t>
      </w:r>
      <w:r>
        <w:rPr>
          <w:spacing w:val="-4"/>
          <w:w w:val="105"/>
          <w:sz w:val="11"/>
        </w:rPr>
        <w:t xml:space="preserve"> </w:t>
      </w:r>
      <w:r>
        <w:rPr>
          <w:w w:val="105"/>
          <w:sz w:val="11"/>
        </w:rPr>
        <w:t>ha</w:t>
      </w:r>
      <w:r>
        <w:rPr>
          <w:spacing w:val="-4"/>
          <w:w w:val="105"/>
          <w:sz w:val="11"/>
        </w:rPr>
        <w:t xml:space="preserve"> </w:t>
      </w:r>
      <w:r>
        <w:rPr>
          <w:w w:val="105"/>
          <w:sz w:val="11"/>
        </w:rPr>
        <w:t>establecido</w:t>
      </w:r>
      <w:r>
        <w:rPr>
          <w:spacing w:val="-4"/>
          <w:w w:val="105"/>
          <w:sz w:val="11"/>
        </w:rPr>
        <w:t xml:space="preserve"> </w:t>
      </w:r>
      <w:r>
        <w:rPr>
          <w:w w:val="105"/>
          <w:sz w:val="11"/>
        </w:rPr>
        <w:t>que:</w:t>
      </w:r>
      <w:r>
        <w:rPr>
          <w:spacing w:val="-4"/>
          <w:w w:val="105"/>
          <w:sz w:val="11"/>
        </w:rPr>
        <w:t xml:space="preserve"> </w:t>
      </w:r>
      <w:r>
        <w:rPr>
          <w:w w:val="105"/>
          <w:sz w:val="11"/>
        </w:rPr>
        <w:t>“El</w:t>
      </w:r>
      <w:r>
        <w:rPr>
          <w:spacing w:val="-4"/>
          <w:w w:val="105"/>
          <w:sz w:val="11"/>
        </w:rPr>
        <w:t xml:space="preserve"> </w:t>
      </w:r>
      <w:r>
        <w:rPr>
          <w:w w:val="105"/>
          <w:sz w:val="11"/>
        </w:rPr>
        <w:t>principio</w:t>
      </w:r>
      <w:r>
        <w:rPr>
          <w:spacing w:val="-5"/>
          <w:w w:val="105"/>
          <w:sz w:val="11"/>
        </w:rPr>
        <w:t xml:space="preserve"> </w:t>
      </w:r>
      <w:r>
        <w:rPr>
          <w:w w:val="105"/>
          <w:sz w:val="11"/>
        </w:rPr>
        <w:t>del</w:t>
      </w:r>
      <w:r>
        <w:rPr>
          <w:spacing w:val="-4"/>
          <w:w w:val="105"/>
          <w:sz w:val="11"/>
        </w:rPr>
        <w:t xml:space="preserve"> </w:t>
      </w:r>
      <w:r>
        <w:rPr>
          <w:w w:val="105"/>
          <w:sz w:val="11"/>
        </w:rPr>
        <w:t>disfrute</w:t>
      </w:r>
      <w:r>
        <w:rPr>
          <w:spacing w:val="-4"/>
          <w:w w:val="105"/>
          <w:sz w:val="11"/>
        </w:rPr>
        <w:t xml:space="preserve"> </w:t>
      </w:r>
      <w:r>
        <w:rPr>
          <w:w w:val="105"/>
          <w:sz w:val="11"/>
        </w:rPr>
        <w:t>de</w:t>
      </w:r>
      <w:r>
        <w:rPr>
          <w:spacing w:val="-4"/>
          <w:w w:val="105"/>
          <w:sz w:val="11"/>
        </w:rPr>
        <w:t xml:space="preserve"> </w:t>
      </w:r>
      <w:r>
        <w:rPr>
          <w:w w:val="105"/>
          <w:sz w:val="11"/>
        </w:rPr>
        <w:t>los</w:t>
      </w:r>
      <w:r>
        <w:rPr>
          <w:spacing w:val="-4"/>
          <w:w w:val="105"/>
          <w:sz w:val="11"/>
        </w:rPr>
        <w:t xml:space="preserve"> </w:t>
      </w:r>
      <w:r>
        <w:rPr>
          <w:w w:val="105"/>
          <w:sz w:val="11"/>
        </w:rPr>
        <w:t>derechos</w:t>
      </w:r>
      <w:r>
        <w:rPr>
          <w:spacing w:val="-4"/>
          <w:w w:val="105"/>
          <w:sz w:val="11"/>
        </w:rPr>
        <w:t xml:space="preserve"> </w:t>
      </w:r>
      <w:r>
        <w:rPr>
          <w:w w:val="105"/>
          <w:sz w:val="11"/>
        </w:rPr>
        <w:t>humanos</w:t>
      </w:r>
      <w:r>
        <w:rPr>
          <w:spacing w:val="-4"/>
          <w:w w:val="105"/>
          <w:sz w:val="11"/>
        </w:rPr>
        <w:t xml:space="preserve"> </w:t>
      </w:r>
      <w:r>
        <w:rPr>
          <w:w w:val="105"/>
          <w:sz w:val="11"/>
        </w:rPr>
        <w:t>en</w:t>
      </w:r>
      <w:r>
        <w:rPr>
          <w:spacing w:val="-4"/>
          <w:w w:val="105"/>
          <w:sz w:val="11"/>
        </w:rPr>
        <w:t xml:space="preserve"> </w:t>
      </w:r>
      <w:r>
        <w:rPr>
          <w:w w:val="105"/>
          <w:sz w:val="11"/>
        </w:rPr>
        <w:t>igualdad</w:t>
      </w:r>
      <w:r>
        <w:rPr>
          <w:spacing w:val="-4"/>
          <w:w w:val="105"/>
          <w:sz w:val="11"/>
        </w:rPr>
        <w:t xml:space="preserve"> </w:t>
      </w:r>
      <w:r>
        <w:rPr>
          <w:w w:val="105"/>
          <w:sz w:val="11"/>
        </w:rPr>
        <w:t>de</w:t>
      </w:r>
      <w:r>
        <w:rPr>
          <w:spacing w:val="-4"/>
          <w:w w:val="105"/>
          <w:sz w:val="11"/>
        </w:rPr>
        <w:t xml:space="preserve"> </w:t>
      </w:r>
      <w:r>
        <w:rPr>
          <w:spacing w:val="-2"/>
          <w:w w:val="105"/>
          <w:sz w:val="11"/>
        </w:rPr>
        <w:t>condiciones</w:t>
      </w:r>
    </w:p>
    <w:p w14:paraId="5DBFA207" w14:textId="77777777" w:rsidR="0014798C" w:rsidRDefault="004E1F0B">
      <w:pPr>
        <w:spacing w:before="31" w:line="288" w:lineRule="auto"/>
        <w:ind w:left="1366" w:right="1463" w:firstLine="1"/>
        <w:rPr>
          <w:sz w:val="13"/>
        </w:rPr>
      </w:pPr>
      <w:r>
        <w:rPr>
          <w:sz w:val="13"/>
        </w:rPr>
        <w:t>La igualdad de condiciones es parte integral de la prohibición de la discriminación por motivos de raza, color, ascendencia y origen nacional o étnico</w:t>
      </w:r>
      <w:r>
        <w:rPr>
          <w:spacing w:val="40"/>
          <w:sz w:val="13"/>
        </w:rPr>
        <w:t xml:space="preserve"> </w:t>
      </w:r>
      <w:r>
        <w:rPr>
          <w:sz w:val="13"/>
        </w:rPr>
        <w:t>contenida en la Convención. Los "motivos" de discriminación se amplían en la práctica con la noción de "interseccionalidad", según la cual el Comité</w:t>
      </w:r>
      <w:r>
        <w:rPr>
          <w:spacing w:val="40"/>
          <w:sz w:val="13"/>
        </w:rPr>
        <w:t xml:space="preserve"> </w:t>
      </w:r>
      <w:r>
        <w:rPr>
          <w:sz w:val="13"/>
        </w:rPr>
        <w:t>aborda situaciones de discriminación doble o múltiple”. Véase Comité para la Eliminación de la Discriminación Racial, recomendación general núm. 32</w:t>
      </w:r>
      <w:r>
        <w:rPr>
          <w:spacing w:val="40"/>
          <w:sz w:val="13"/>
        </w:rPr>
        <w:t xml:space="preserve"> </w:t>
      </w:r>
      <w:r>
        <w:rPr>
          <w:sz w:val="13"/>
        </w:rPr>
        <w:t>(2009), párr. 7.</w:t>
      </w:r>
    </w:p>
    <w:p w14:paraId="1BB7DD88" w14:textId="77777777" w:rsidR="0014798C" w:rsidRDefault="004E1F0B">
      <w:pPr>
        <w:spacing w:before="81" w:line="340" w:lineRule="auto"/>
        <w:ind w:left="1368" w:right="1671" w:hanging="257"/>
        <w:jc w:val="both"/>
        <w:rPr>
          <w:sz w:val="11"/>
        </w:rPr>
      </w:pPr>
      <w:r>
        <w:rPr>
          <w:w w:val="105"/>
          <w:sz w:val="11"/>
        </w:rPr>
        <w:t>190</w:t>
      </w:r>
      <w:r>
        <w:rPr>
          <w:spacing w:val="-1"/>
          <w:w w:val="105"/>
          <w:sz w:val="11"/>
        </w:rPr>
        <w:t xml:space="preserve"> </w:t>
      </w:r>
      <w:r>
        <w:rPr>
          <w:w w:val="105"/>
          <w:sz w:val="11"/>
        </w:rPr>
        <w:t>El</w:t>
      </w:r>
      <w:r>
        <w:rPr>
          <w:spacing w:val="-1"/>
          <w:w w:val="105"/>
          <w:sz w:val="11"/>
        </w:rPr>
        <w:t xml:space="preserve"> </w:t>
      </w:r>
      <w:r>
        <w:rPr>
          <w:w w:val="105"/>
          <w:sz w:val="11"/>
        </w:rPr>
        <w:t>Comité</w:t>
      </w:r>
      <w:r>
        <w:rPr>
          <w:spacing w:val="-1"/>
          <w:w w:val="105"/>
          <w:sz w:val="11"/>
        </w:rPr>
        <w:t xml:space="preserve"> </w:t>
      </w:r>
      <w:r>
        <w:rPr>
          <w:w w:val="105"/>
          <w:sz w:val="11"/>
        </w:rPr>
        <w:t>para</w:t>
      </w:r>
      <w:r>
        <w:rPr>
          <w:spacing w:val="-1"/>
          <w:w w:val="105"/>
          <w:sz w:val="11"/>
        </w:rPr>
        <w:t xml:space="preserve"> </w:t>
      </w:r>
      <w:r>
        <w:rPr>
          <w:w w:val="105"/>
          <w:sz w:val="11"/>
        </w:rPr>
        <w:t>la</w:t>
      </w:r>
      <w:r>
        <w:rPr>
          <w:spacing w:val="-1"/>
          <w:w w:val="105"/>
          <w:sz w:val="11"/>
        </w:rPr>
        <w:t xml:space="preserve"> </w:t>
      </w:r>
      <w:r>
        <w:rPr>
          <w:w w:val="105"/>
          <w:sz w:val="11"/>
        </w:rPr>
        <w:t>Eliminación</w:t>
      </w:r>
      <w:r>
        <w:rPr>
          <w:spacing w:val="-1"/>
          <w:w w:val="105"/>
          <w:sz w:val="11"/>
        </w:rPr>
        <w:t xml:space="preserve"> </w:t>
      </w:r>
      <w:r>
        <w:rPr>
          <w:w w:val="105"/>
          <w:sz w:val="11"/>
        </w:rPr>
        <w:t>de</w:t>
      </w:r>
      <w:r>
        <w:rPr>
          <w:spacing w:val="-1"/>
          <w:w w:val="105"/>
          <w:sz w:val="11"/>
        </w:rPr>
        <w:t xml:space="preserve"> </w:t>
      </w:r>
      <w:r>
        <w:rPr>
          <w:w w:val="105"/>
          <w:sz w:val="11"/>
        </w:rPr>
        <w:t>la</w:t>
      </w:r>
      <w:r>
        <w:rPr>
          <w:spacing w:val="-1"/>
          <w:w w:val="105"/>
          <w:sz w:val="11"/>
        </w:rPr>
        <w:t xml:space="preserve"> </w:t>
      </w:r>
      <w:r>
        <w:rPr>
          <w:w w:val="105"/>
          <w:sz w:val="11"/>
        </w:rPr>
        <w:t>Discriminación</w:t>
      </w:r>
      <w:r>
        <w:rPr>
          <w:spacing w:val="-1"/>
          <w:w w:val="105"/>
          <w:sz w:val="11"/>
        </w:rPr>
        <w:t xml:space="preserve"> </w:t>
      </w:r>
      <w:r>
        <w:rPr>
          <w:w w:val="105"/>
          <w:sz w:val="11"/>
        </w:rPr>
        <w:t>contra</w:t>
      </w:r>
      <w:r>
        <w:rPr>
          <w:spacing w:val="-1"/>
          <w:w w:val="105"/>
          <w:sz w:val="11"/>
        </w:rPr>
        <w:t xml:space="preserve"> </w:t>
      </w:r>
      <w:r>
        <w:rPr>
          <w:w w:val="105"/>
          <w:sz w:val="11"/>
        </w:rPr>
        <w:t>la</w:t>
      </w:r>
      <w:r>
        <w:rPr>
          <w:spacing w:val="-1"/>
          <w:w w:val="105"/>
          <w:sz w:val="11"/>
        </w:rPr>
        <w:t xml:space="preserve"> </w:t>
      </w:r>
      <w:r>
        <w:rPr>
          <w:w w:val="105"/>
          <w:sz w:val="11"/>
        </w:rPr>
        <w:t>Mujer</w:t>
      </w:r>
      <w:r>
        <w:rPr>
          <w:spacing w:val="-1"/>
          <w:w w:val="105"/>
          <w:sz w:val="11"/>
        </w:rPr>
        <w:t xml:space="preserve"> </w:t>
      </w:r>
      <w:r>
        <w:rPr>
          <w:w w:val="105"/>
          <w:sz w:val="11"/>
        </w:rPr>
        <w:t>ha</w:t>
      </w:r>
      <w:r>
        <w:rPr>
          <w:spacing w:val="-1"/>
          <w:w w:val="105"/>
          <w:sz w:val="11"/>
        </w:rPr>
        <w:t xml:space="preserve"> </w:t>
      </w:r>
      <w:r>
        <w:rPr>
          <w:w w:val="105"/>
          <w:sz w:val="11"/>
        </w:rPr>
        <w:t>señalado</w:t>
      </w:r>
      <w:r>
        <w:rPr>
          <w:spacing w:val="-1"/>
          <w:w w:val="105"/>
          <w:sz w:val="11"/>
        </w:rPr>
        <w:t xml:space="preserve"> </w:t>
      </w:r>
      <w:r>
        <w:rPr>
          <w:w w:val="105"/>
          <w:sz w:val="11"/>
        </w:rPr>
        <w:t>que</w:t>
      </w:r>
      <w:r>
        <w:rPr>
          <w:spacing w:val="-1"/>
          <w:w w:val="105"/>
          <w:sz w:val="11"/>
        </w:rPr>
        <w:t xml:space="preserve"> </w:t>
      </w:r>
      <w:r>
        <w:rPr>
          <w:w w:val="105"/>
          <w:sz w:val="11"/>
        </w:rPr>
        <w:t>“la</w:t>
      </w:r>
      <w:r>
        <w:rPr>
          <w:spacing w:val="-1"/>
          <w:w w:val="105"/>
          <w:sz w:val="11"/>
        </w:rPr>
        <w:t xml:space="preserve"> </w:t>
      </w:r>
      <w:r>
        <w:rPr>
          <w:w w:val="105"/>
          <w:sz w:val="11"/>
        </w:rPr>
        <w:t>discriminación</w:t>
      </w:r>
      <w:r>
        <w:rPr>
          <w:spacing w:val="-1"/>
          <w:w w:val="105"/>
          <w:sz w:val="11"/>
        </w:rPr>
        <w:t xml:space="preserve"> </w:t>
      </w:r>
      <w:r>
        <w:rPr>
          <w:w w:val="105"/>
          <w:sz w:val="11"/>
        </w:rPr>
        <w:t>de</w:t>
      </w:r>
      <w:r>
        <w:rPr>
          <w:spacing w:val="-1"/>
          <w:w w:val="105"/>
          <w:sz w:val="11"/>
        </w:rPr>
        <w:t xml:space="preserve"> </w:t>
      </w:r>
      <w:r>
        <w:rPr>
          <w:w w:val="105"/>
          <w:sz w:val="11"/>
        </w:rPr>
        <w:t>las</w:t>
      </w:r>
      <w:r>
        <w:rPr>
          <w:spacing w:val="-1"/>
          <w:w w:val="105"/>
          <w:sz w:val="11"/>
        </w:rPr>
        <w:t xml:space="preserve"> </w:t>
      </w:r>
      <w:r>
        <w:rPr>
          <w:w w:val="105"/>
          <w:sz w:val="11"/>
        </w:rPr>
        <w:t>mujeres</w:t>
      </w:r>
      <w:r>
        <w:rPr>
          <w:spacing w:val="-1"/>
          <w:w w:val="105"/>
          <w:sz w:val="11"/>
        </w:rPr>
        <w:t xml:space="preserve"> </w:t>
      </w:r>
      <w:r>
        <w:rPr>
          <w:w w:val="105"/>
          <w:sz w:val="11"/>
        </w:rPr>
        <w:t>por</w:t>
      </w:r>
      <w:r>
        <w:rPr>
          <w:spacing w:val="-1"/>
          <w:w w:val="105"/>
          <w:sz w:val="11"/>
        </w:rPr>
        <w:t xml:space="preserve"> </w:t>
      </w:r>
      <w:r>
        <w:rPr>
          <w:w w:val="105"/>
          <w:sz w:val="11"/>
        </w:rPr>
        <w:t>motivos</w:t>
      </w:r>
      <w:r>
        <w:rPr>
          <w:spacing w:val="-1"/>
          <w:w w:val="105"/>
          <w:sz w:val="11"/>
        </w:rPr>
        <w:t xml:space="preserve"> </w:t>
      </w:r>
      <w:r>
        <w:rPr>
          <w:w w:val="105"/>
          <w:sz w:val="11"/>
        </w:rPr>
        <w:t>de</w:t>
      </w:r>
      <w:r>
        <w:rPr>
          <w:spacing w:val="-1"/>
          <w:w w:val="105"/>
          <w:sz w:val="11"/>
        </w:rPr>
        <w:t xml:space="preserve"> </w:t>
      </w:r>
      <w:r>
        <w:rPr>
          <w:w w:val="105"/>
          <w:sz w:val="11"/>
        </w:rPr>
        <w:t>sexo</w:t>
      </w:r>
      <w:r>
        <w:rPr>
          <w:spacing w:val="-1"/>
          <w:w w:val="105"/>
          <w:sz w:val="11"/>
        </w:rPr>
        <w:t xml:space="preserve"> </w:t>
      </w:r>
      <w:r>
        <w:rPr>
          <w:w w:val="105"/>
          <w:sz w:val="11"/>
        </w:rPr>
        <w:t>y</w:t>
      </w:r>
      <w:r>
        <w:rPr>
          <w:spacing w:val="-1"/>
          <w:w w:val="105"/>
          <w:sz w:val="11"/>
        </w:rPr>
        <w:t xml:space="preserve"> </w:t>
      </w:r>
      <w:r>
        <w:rPr>
          <w:w w:val="105"/>
          <w:sz w:val="11"/>
        </w:rPr>
        <w:t>género</w:t>
      </w:r>
      <w:r>
        <w:rPr>
          <w:spacing w:val="-1"/>
          <w:w w:val="105"/>
          <w:sz w:val="11"/>
        </w:rPr>
        <w:t xml:space="preserve"> </w:t>
      </w:r>
      <w:r>
        <w:rPr>
          <w:w w:val="105"/>
          <w:sz w:val="11"/>
        </w:rPr>
        <w:t>está</w:t>
      </w:r>
      <w:r>
        <w:rPr>
          <w:spacing w:val="-1"/>
          <w:w w:val="105"/>
          <w:sz w:val="11"/>
        </w:rPr>
        <w:t xml:space="preserve"> </w:t>
      </w:r>
      <w:r>
        <w:rPr>
          <w:w w:val="105"/>
          <w:sz w:val="11"/>
        </w:rPr>
        <w:t>indisolublemente</w:t>
      </w:r>
      <w:r>
        <w:rPr>
          <w:spacing w:val="40"/>
          <w:w w:val="105"/>
          <w:sz w:val="11"/>
        </w:rPr>
        <w:t xml:space="preserve"> </w:t>
      </w:r>
      <w:r>
        <w:rPr>
          <w:w w:val="105"/>
          <w:sz w:val="11"/>
        </w:rPr>
        <w:t>ligada</w:t>
      </w:r>
      <w:r>
        <w:rPr>
          <w:spacing w:val="-1"/>
          <w:w w:val="105"/>
          <w:sz w:val="11"/>
        </w:rPr>
        <w:t xml:space="preserve"> </w:t>
      </w:r>
      <w:r>
        <w:rPr>
          <w:w w:val="105"/>
          <w:sz w:val="11"/>
        </w:rPr>
        <w:t>a</w:t>
      </w:r>
      <w:r>
        <w:rPr>
          <w:spacing w:val="-1"/>
          <w:w w:val="105"/>
          <w:sz w:val="11"/>
        </w:rPr>
        <w:t xml:space="preserve"> </w:t>
      </w:r>
      <w:r>
        <w:rPr>
          <w:w w:val="105"/>
          <w:sz w:val="11"/>
        </w:rPr>
        <w:t>otros</w:t>
      </w:r>
      <w:r>
        <w:rPr>
          <w:spacing w:val="-1"/>
          <w:w w:val="105"/>
          <w:sz w:val="11"/>
        </w:rPr>
        <w:t xml:space="preserve"> </w:t>
      </w:r>
      <w:r>
        <w:rPr>
          <w:w w:val="105"/>
          <w:sz w:val="11"/>
        </w:rPr>
        <w:t>factores”</w:t>
      </w:r>
      <w:r>
        <w:rPr>
          <w:spacing w:val="-1"/>
          <w:w w:val="105"/>
          <w:sz w:val="11"/>
        </w:rPr>
        <w:t xml:space="preserve"> </w:t>
      </w:r>
      <w:r>
        <w:rPr>
          <w:w w:val="105"/>
          <w:sz w:val="11"/>
        </w:rPr>
        <w:t>y</w:t>
      </w:r>
      <w:r>
        <w:rPr>
          <w:spacing w:val="-1"/>
          <w:w w:val="105"/>
          <w:sz w:val="11"/>
        </w:rPr>
        <w:t xml:space="preserve"> </w:t>
      </w:r>
      <w:r>
        <w:rPr>
          <w:w w:val="105"/>
          <w:sz w:val="11"/>
        </w:rPr>
        <w:t>que</w:t>
      </w:r>
      <w:r>
        <w:rPr>
          <w:spacing w:val="-1"/>
          <w:w w:val="105"/>
          <w:sz w:val="11"/>
        </w:rPr>
        <w:t xml:space="preserve"> </w:t>
      </w:r>
      <w:r>
        <w:rPr>
          <w:w w:val="105"/>
          <w:sz w:val="11"/>
        </w:rPr>
        <w:t>el</w:t>
      </w:r>
      <w:r>
        <w:rPr>
          <w:spacing w:val="-1"/>
          <w:w w:val="105"/>
          <w:sz w:val="11"/>
        </w:rPr>
        <w:t xml:space="preserve"> </w:t>
      </w:r>
      <w:r>
        <w:rPr>
          <w:w w:val="105"/>
          <w:sz w:val="11"/>
        </w:rPr>
        <w:t>concepto</w:t>
      </w:r>
      <w:r>
        <w:rPr>
          <w:spacing w:val="-1"/>
          <w:w w:val="105"/>
          <w:sz w:val="11"/>
        </w:rPr>
        <w:t xml:space="preserve"> </w:t>
      </w:r>
      <w:r>
        <w:rPr>
          <w:w w:val="105"/>
          <w:sz w:val="11"/>
        </w:rPr>
        <w:t>de</w:t>
      </w:r>
      <w:r>
        <w:rPr>
          <w:spacing w:val="-1"/>
          <w:w w:val="105"/>
          <w:sz w:val="11"/>
        </w:rPr>
        <w:t xml:space="preserve"> </w:t>
      </w:r>
      <w:r>
        <w:rPr>
          <w:w w:val="105"/>
          <w:sz w:val="11"/>
        </w:rPr>
        <w:t>interseccionalidad</w:t>
      </w:r>
      <w:r>
        <w:rPr>
          <w:spacing w:val="-1"/>
          <w:w w:val="105"/>
          <w:sz w:val="11"/>
        </w:rPr>
        <w:t xml:space="preserve"> </w:t>
      </w:r>
      <w:r>
        <w:rPr>
          <w:w w:val="105"/>
          <w:sz w:val="11"/>
        </w:rPr>
        <w:t>es</w:t>
      </w:r>
      <w:r>
        <w:rPr>
          <w:spacing w:val="-1"/>
          <w:w w:val="105"/>
          <w:sz w:val="11"/>
        </w:rPr>
        <w:t xml:space="preserve"> </w:t>
      </w:r>
      <w:r>
        <w:rPr>
          <w:w w:val="105"/>
          <w:sz w:val="11"/>
        </w:rPr>
        <w:t>esencial</w:t>
      </w:r>
      <w:r>
        <w:rPr>
          <w:spacing w:val="-1"/>
          <w:w w:val="105"/>
          <w:sz w:val="11"/>
        </w:rPr>
        <w:t xml:space="preserve"> </w:t>
      </w:r>
      <w:r>
        <w:rPr>
          <w:w w:val="105"/>
          <w:sz w:val="11"/>
        </w:rPr>
        <w:t>para</w:t>
      </w:r>
      <w:r>
        <w:rPr>
          <w:spacing w:val="-1"/>
          <w:w w:val="105"/>
          <w:sz w:val="11"/>
        </w:rPr>
        <w:t xml:space="preserve"> </w:t>
      </w:r>
      <w:r>
        <w:rPr>
          <w:w w:val="105"/>
          <w:sz w:val="11"/>
        </w:rPr>
        <w:t>“comprender</w:t>
      </w:r>
      <w:r>
        <w:rPr>
          <w:spacing w:val="-1"/>
          <w:w w:val="105"/>
          <w:sz w:val="11"/>
        </w:rPr>
        <w:t xml:space="preserve"> </w:t>
      </w:r>
      <w:r>
        <w:rPr>
          <w:w w:val="105"/>
          <w:sz w:val="11"/>
        </w:rPr>
        <w:t>el</w:t>
      </w:r>
      <w:r>
        <w:rPr>
          <w:spacing w:val="-1"/>
          <w:w w:val="105"/>
          <w:sz w:val="11"/>
        </w:rPr>
        <w:t xml:space="preserve"> </w:t>
      </w:r>
      <w:r>
        <w:rPr>
          <w:w w:val="105"/>
          <w:sz w:val="11"/>
        </w:rPr>
        <w:t>alcance</w:t>
      </w:r>
      <w:r>
        <w:rPr>
          <w:spacing w:val="-1"/>
          <w:w w:val="105"/>
          <w:sz w:val="11"/>
        </w:rPr>
        <w:t xml:space="preserve"> </w:t>
      </w:r>
      <w:r>
        <w:rPr>
          <w:w w:val="105"/>
          <w:sz w:val="11"/>
        </w:rPr>
        <w:t>de</w:t>
      </w:r>
      <w:r>
        <w:rPr>
          <w:spacing w:val="-1"/>
          <w:w w:val="105"/>
          <w:sz w:val="11"/>
        </w:rPr>
        <w:t xml:space="preserve"> </w:t>
      </w:r>
      <w:r>
        <w:rPr>
          <w:w w:val="105"/>
          <w:sz w:val="11"/>
        </w:rPr>
        <w:t>las</w:t>
      </w:r>
      <w:r>
        <w:rPr>
          <w:spacing w:val="-1"/>
          <w:w w:val="105"/>
          <w:sz w:val="11"/>
        </w:rPr>
        <w:t xml:space="preserve"> </w:t>
      </w:r>
      <w:r>
        <w:rPr>
          <w:w w:val="105"/>
          <w:sz w:val="11"/>
        </w:rPr>
        <w:t>obligaciones</w:t>
      </w:r>
      <w:r>
        <w:rPr>
          <w:spacing w:val="-1"/>
          <w:w w:val="105"/>
          <w:sz w:val="11"/>
        </w:rPr>
        <w:t xml:space="preserve"> </w:t>
      </w:r>
      <w:r>
        <w:rPr>
          <w:w w:val="105"/>
          <w:sz w:val="11"/>
        </w:rPr>
        <w:t>generales</w:t>
      </w:r>
      <w:r>
        <w:rPr>
          <w:spacing w:val="-1"/>
          <w:w w:val="105"/>
          <w:sz w:val="11"/>
        </w:rPr>
        <w:t xml:space="preserve"> </w:t>
      </w:r>
      <w:r>
        <w:rPr>
          <w:w w:val="105"/>
          <w:sz w:val="11"/>
        </w:rPr>
        <w:t>de</w:t>
      </w:r>
      <w:r>
        <w:rPr>
          <w:spacing w:val="-1"/>
          <w:w w:val="105"/>
          <w:sz w:val="11"/>
        </w:rPr>
        <w:t xml:space="preserve"> </w:t>
      </w:r>
      <w:r>
        <w:rPr>
          <w:w w:val="105"/>
          <w:sz w:val="11"/>
        </w:rPr>
        <w:t>los</w:t>
      </w:r>
      <w:r>
        <w:rPr>
          <w:spacing w:val="-1"/>
          <w:w w:val="105"/>
          <w:sz w:val="11"/>
        </w:rPr>
        <w:t xml:space="preserve"> </w:t>
      </w:r>
      <w:proofErr w:type="gramStart"/>
      <w:r>
        <w:rPr>
          <w:w w:val="105"/>
          <w:sz w:val="11"/>
        </w:rPr>
        <w:t>Estados</w:t>
      </w:r>
      <w:r>
        <w:rPr>
          <w:spacing w:val="-1"/>
          <w:w w:val="105"/>
          <w:sz w:val="11"/>
        </w:rPr>
        <w:t xml:space="preserve"> </w:t>
      </w:r>
      <w:r>
        <w:rPr>
          <w:w w:val="105"/>
          <w:sz w:val="11"/>
        </w:rPr>
        <w:t>partes</w:t>
      </w:r>
      <w:proofErr w:type="gramEnd"/>
      <w:r>
        <w:rPr>
          <w:spacing w:val="-1"/>
          <w:w w:val="105"/>
          <w:sz w:val="11"/>
        </w:rPr>
        <w:t xml:space="preserve"> </w:t>
      </w:r>
      <w:r>
        <w:rPr>
          <w:w w:val="105"/>
          <w:sz w:val="11"/>
        </w:rPr>
        <w:t>contenidas</w:t>
      </w:r>
      <w:r>
        <w:rPr>
          <w:spacing w:val="40"/>
          <w:w w:val="105"/>
          <w:sz w:val="11"/>
        </w:rPr>
        <w:t xml:space="preserve"> </w:t>
      </w:r>
      <w:r>
        <w:rPr>
          <w:w w:val="105"/>
          <w:sz w:val="11"/>
        </w:rPr>
        <w:t>en</w:t>
      </w:r>
      <w:r>
        <w:rPr>
          <w:spacing w:val="-1"/>
          <w:w w:val="105"/>
          <w:sz w:val="11"/>
        </w:rPr>
        <w:t xml:space="preserve"> </w:t>
      </w:r>
      <w:proofErr w:type="spellStart"/>
      <w:r>
        <w:rPr>
          <w:w w:val="105"/>
          <w:sz w:val="11"/>
        </w:rPr>
        <w:t>en</w:t>
      </w:r>
      <w:proofErr w:type="spellEnd"/>
      <w:r>
        <w:rPr>
          <w:spacing w:val="-1"/>
          <w:w w:val="105"/>
          <w:sz w:val="11"/>
        </w:rPr>
        <w:t xml:space="preserve"> </w:t>
      </w:r>
      <w:r>
        <w:rPr>
          <w:w w:val="105"/>
          <w:sz w:val="11"/>
        </w:rPr>
        <w:t>el</w:t>
      </w:r>
      <w:r>
        <w:rPr>
          <w:spacing w:val="-1"/>
          <w:w w:val="105"/>
          <w:sz w:val="11"/>
        </w:rPr>
        <w:t xml:space="preserve"> </w:t>
      </w:r>
      <w:r>
        <w:rPr>
          <w:w w:val="105"/>
          <w:sz w:val="11"/>
        </w:rPr>
        <w:t>artículo</w:t>
      </w:r>
      <w:r>
        <w:rPr>
          <w:spacing w:val="-1"/>
          <w:w w:val="105"/>
          <w:sz w:val="11"/>
        </w:rPr>
        <w:t xml:space="preserve"> </w:t>
      </w:r>
      <w:r>
        <w:rPr>
          <w:w w:val="105"/>
          <w:sz w:val="11"/>
        </w:rPr>
        <w:t>2”</w:t>
      </w:r>
      <w:r>
        <w:rPr>
          <w:spacing w:val="-1"/>
          <w:w w:val="105"/>
          <w:sz w:val="11"/>
        </w:rPr>
        <w:t xml:space="preserve"> </w:t>
      </w:r>
      <w:r>
        <w:rPr>
          <w:w w:val="105"/>
          <w:sz w:val="11"/>
        </w:rPr>
        <w:t>de</w:t>
      </w:r>
      <w:r>
        <w:rPr>
          <w:spacing w:val="-1"/>
          <w:w w:val="105"/>
          <w:sz w:val="11"/>
        </w:rPr>
        <w:t xml:space="preserve"> </w:t>
      </w:r>
      <w:r>
        <w:rPr>
          <w:w w:val="105"/>
          <w:sz w:val="11"/>
        </w:rPr>
        <w:t>la</w:t>
      </w:r>
      <w:r>
        <w:rPr>
          <w:spacing w:val="-1"/>
          <w:w w:val="105"/>
          <w:sz w:val="11"/>
        </w:rPr>
        <w:t xml:space="preserve"> </w:t>
      </w:r>
      <w:r>
        <w:rPr>
          <w:w w:val="105"/>
          <w:sz w:val="11"/>
        </w:rPr>
        <w:t>Convención. Véase</w:t>
      </w:r>
      <w:r>
        <w:rPr>
          <w:spacing w:val="-1"/>
          <w:w w:val="105"/>
          <w:sz w:val="11"/>
        </w:rPr>
        <w:t xml:space="preserve"> </w:t>
      </w:r>
      <w:r>
        <w:rPr>
          <w:w w:val="105"/>
          <w:sz w:val="11"/>
        </w:rPr>
        <w:t>Comité</w:t>
      </w:r>
      <w:r>
        <w:rPr>
          <w:spacing w:val="-1"/>
          <w:w w:val="105"/>
          <w:sz w:val="11"/>
        </w:rPr>
        <w:t xml:space="preserve"> </w:t>
      </w:r>
      <w:r>
        <w:rPr>
          <w:w w:val="105"/>
          <w:sz w:val="11"/>
        </w:rPr>
        <w:t>para</w:t>
      </w:r>
      <w:r>
        <w:rPr>
          <w:spacing w:val="-1"/>
          <w:w w:val="105"/>
          <w:sz w:val="11"/>
        </w:rPr>
        <w:t xml:space="preserve"> </w:t>
      </w:r>
      <w:r>
        <w:rPr>
          <w:w w:val="105"/>
          <w:sz w:val="11"/>
        </w:rPr>
        <w:t>la</w:t>
      </w:r>
      <w:r>
        <w:rPr>
          <w:spacing w:val="-1"/>
          <w:w w:val="105"/>
          <w:sz w:val="11"/>
        </w:rPr>
        <w:t xml:space="preserve"> </w:t>
      </w:r>
      <w:r>
        <w:rPr>
          <w:w w:val="105"/>
          <w:sz w:val="11"/>
        </w:rPr>
        <w:t>Eliminación</w:t>
      </w:r>
      <w:r>
        <w:rPr>
          <w:spacing w:val="-1"/>
          <w:w w:val="105"/>
          <w:sz w:val="11"/>
        </w:rPr>
        <w:t xml:space="preserve"> </w:t>
      </w:r>
      <w:r>
        <w:rPr>
          <w:w w:val="105"/>
          <w:sz w:val="11"/>
        </w:rPr>
        <w:t>de</w:t>
      </w:r>
      <w:r>
        <w:rPr>
          <w:spacing w:val="-1"/>
          <w:w w:val="105"/>
          <w:sz w:val="11"/>
        </w:rPr>
        <w:t xml:space="preserve"> </w:t>
      </w:r>
      <w:r>
        <w:rPr>
          <w:w w:val="105"/>
          <w:sz w:val="11"/>
        </w:rPr>
        <w:t>la</w:t>
      </w:r>
      <w:r>
        <w:rPr>
          <w:spacing w:val="-1"/>
          <w:w w:val="105"/>
          <w:sz w:val="11"/>
        </w:rPr>
        <w:t xml:space="preserve"> </w:t>
      </w:r>
      <w:r>
        <w:rPr>
          <w:w w:val="105"/>
          <w:sz w:val="11"/>
        </w:rPr>
        <w:t>Discriminación</w:t>
      </w:r>
      <w:r>
        <w:rPr>
          <w:spacing w:val="-1"/>
          <w:w w:val="105"/>
          <w:sz w:val="11"/>
        </w:rPr>
        <w:t xml:space="preserve"> </w:t>
      </w:r>
      <w:r>
        <w:rPr>
          <w:w w:val="105"/>
          <w:sz w:val="11"/>
        </w:rPr>
        <w:t>contra</w:t>
      </w:r>
      <w:r>
        <w:rPr>
          <w:spacing w:val="-1"/>
          <w:w w:val="105"/>
          <w:sz w:val="11"/>
        </w:rPr>
        <w:t xml:space="preserve"> </w:t>
      </w:r>
      <w:r>
        <w:rPr>
          <w:w w:val="105"/>
          <w:sz w:val="11"/>
        </w:rPr>
        <w:t>la</w:t>
      </w:r>
      <w:r>
        <w:rPr>
          <w:spacing w:val="-1"/>
          <w:w w:val="105"/>
          <w:sz w:val="11"/>
        </w:rPr>
        <w:t xml:space="preserve"> </w:t>
      </w:r>
      <w:r>
        <w:rPr>
          <w:w w:val="105"/>
          <w:sz w:val="11"/>
        </w:rPr>
        <w:t>Mujer,</w:t>
      </w:r>
      <w:r>
        <w:rPr>
          <w:spacing w:val="-1"/>
          <w:w w:val="105"/>
          <w:sz w:val="11"/>
        </w:rPr>
        <w:t xml:space="preserve"> </w:t>
      </w:r>
      <w:r>
        <w:rPr>
          <w:w w:val="105"/>
          <w:sz w:val="11"/>
        </w:rPr>
        <w:t>recomendación</w:t>
      </w:r>
      <w:r>
        <w:rPr>
          <w:spacing w:val="-1"/>
          <w:w w:val="105"/>
          <w:sz w:val="11"/>
        </w:rPr>
        <w:t xml:space="preserve"> </w:t>
      </w:r>
      <w:r>
        <w:rPr>
          <w:w w:val="105"/>
          <w:sz w:val="11"/>
        </w:rPr>
        <w:t>general</w:t>
      </w:r>
      <w:r>
        <w:rPr>
          <w:spacing w:val="-1"/>
          <w:w w:val="105"/>
          <w:sz w:val="11"/>
        </w:rPr>
        <w:t xml:space="preserve"> </w:t>
      </w:r>
      <w:r>
        <w:rPr>
          <w:w w:val="105"/>
          <w:sz w:val="11"/>
        </w:rPr>
        <w:t>núm.</w:t>
      </w:r>
      <w:r>
        <w:rPr>
          <w:spacing w:val="-1"/>
          <w:w w:val="105"/>
          <w:sz w:val="11"/>
        </w:rPr>
        <w:t xml:space="preserve"> </w:t>
      </w:r>
      <w:r>
        <w:rPr>
          <w:w w:val="105"/>
          <w:sz w:val="11"/>
        </w:rPr>
        <w:t>28</w:t>
      </w:r>
      <w:r>
        <w:rPr>
          <w:spacing w:val="-1"/>
          <w:w w:val="105"/>
          <w:sz w:val="11"/>
        </w:rPr>
        <w:t xml:space="preserve"> </w:t>
      </w:r>
      <w:r>
        <w:rPr>
          <w:w w:val="105"/>
          <w:sz w:val="11"/>
        </w:rPr>
        <w:t>(2010),</w:t>
      </w:r>
      <w:r>
        <w:rPr>
          <w:spacing w:val="-1"/>
          <w:w w:val="105"/>
          <w:sz w:val="11"/>
        </w:rPr>
        <w:t xml:space="preserve"> </w:t>
      </w:r>
      <w:r>
        <w:rPr>
          <w:w w:val="105"/>
          <w:sz w:val="11"/>
        </w:rPr>
        <w:t>párr.</w:t>
      </w:r>
      <w:r>
        <w:rPr>
          <w:spacing w:val="-1"/>
          <w:w w:val="105"/>
          <w:sz w:val="11"/>
        </w:rPr>
        <w:t xml:space="preserve"> </w:t>
      </w:r>
      <w:r>
        <w:rPr>
          <w:w w:val="105"/>
          <w:sz w:val="11"/>
        </w:rPr>
        <w:t>18.</w:t>
      </w:r>
    </w:p>
    <w:p w14:paraId="77BA6EF6" w14:textId="77777777" w:rsidR="0014798C" w:rsidRDefault="004E1F0B">
      <w:pPr>
        <w:spacing w:before="1"/>
        <w:ind w:left="1363"/>
        <w:jc w:val="both"/>
        <w:rPr>
          <w:sz w:val="11"/>
        </w:rPr>
      </w:pPr>
      <w:r>
        <w:rPr>
          <w:w w:val="105"/>
          <w:sz w:val="11"/>
        </w:rPr>
        <w:t>Véase</w:t>
      </w:r>
      <w:r>
        <w:rPr>
          <w:spacing w:val="-6"/>
          <w:w w:val="105"/>
          <w:sz w:val="11"/>
        </w:rPr>
        <w:t xml:space="preserve"> </w:t>
      </w:r>
      <w:r>
        <w:rPr>
          <w:w w:val="105"/>
          <w:sz w:val="11"/>
        </w:rPr>
        <w:t>también</w:t>
      </w:r>
      <w:r>
        <w:rPr>
          <w:spacing w:val="-5"/>
          <w:w w:val="105"/>
          <w:sz w:val="11"/>
        </w:rPr>
        <w:t xml:space="preserve"> </w:t>
      </w:r>
      <w:r>
        <w:rPr>
          <w:w w:val="105"/>
          <w:sz w:val="11"/>
        </w:rPr>
        <w:t>Comité</w:t>
      </w:r>
      <w:r>
        <w:rPr>
          <w:spacing w:val="-6"/>
          <w:w w:val="105"/>
          <w:sz w:val="11"/>
        </w:rPr>
        <w:t xml:space="preserve"> </w:t>
      </w:r>
      <w:r>
        <w:rPr>
          <w:w w:val="105"/>
          <w:sz w:val="11"/>
        </w:rPr>
        <w:t>para</w:t>
      </w:r>
      <w:r>
        <w:rPr>
          <w:spacing w:val="-5"/>
          <w:w w:val="105"/>
          <w:sz w:val="11"/>
        </w:rPr>
        <w:t xml:space="preserve"> </w:t>
      </w:r>
      <w:r>
        <w:rPr>
          <w:w w:val="105"/>
          <w:sz w:val="11"/>
        </w:rPr>
        <w:t>la</w:t>
      </w:r>
      <w:r>
        <w:rPr>
          <w:spacing w:val="-5"/>
          <w:w w:val="105"/>
          <w:sz w:val="11"/>
        </w:rPr>
        <w:t xml:space="preserve"> </w:t>
      </w:r>
      <w:r>
        <w:rPr>
          <w:w w:val="105"/>
          <w:sz w:val="11"/>
        </w:rPr>
        <w:t>Eliminación</w:t>
      </w:r>
      <w:r>
        <w:rPr>
          <w:spacing w:val="-6"/>
          <w:w w:val="105"/>
          <w:sz w:val="11"/>
        </w:rPr>
        <w:t xml:space="preserve"> </w:t>
      </w:r>
      <w:r>
        <w:rPr>
          <w:w w:val="105"/>
          <w:sz w:val="11"/>
        </w:rPr>
        <w:t>de</w:t>
      </w:r>
      <w:r>
        <w:rPr>
          <w:spacing w:val="-5"/>
          <w:w w:val="105"/>
          <w:sz w:val="11"/>
        </w:rPr>
        <w:t xml:space="preserve"> </w:t>
      </w:r>
      <w:r>
        <w:rPr>
          <w:w w:val="105"/>
          <w:sz w:val="11"/>
        </w:rPr>
        <w:t>la</w:t>
      </w:r>
      <w:r>
        <w:rPr>
          <w:spacing w:val="-5"/>
          <w:w w:val="105"/>
          <w:sz w:val="11"/>
        </w:rPr>
        <w:t xml:space="preserve"> </w:t>
      </w:r>
      <w:r>
        <w:rPr>
          <w:w w:val="105"/>
          <w:sz w:val="11"/>
        </w:rPr>
        <w:t>Discriminación</w:t>
      </w:r>
      <w:r>
        <w:rPr>
          <w:spacing w:val="-6"/>
          <w:w w:val="105"/>
          <w:sz w:val="11"/>
        </w:rPr>
        <w:t xml:space="preserve"> </w:t>
      </w:r>
      <w:r>
        <w:rPr>
          <w:w w:val="105"/>
          <w:sz w:val="11"/>
        </w:rPr>
        <w:t>contra</w:t>
      </w:r>
      <w:r>
        <w:rPr>
          <w:spacing w:val="-5"/>
          <w:w w:val="105"/>
          <w:sz w:val="11"/>
        </w:rPr>
        <w:t xml:space="preserve"> </w:t>
      </w:r>
      <w:r>
        <w:rPr>
          <w:w w:val="105"/>
          <w:sz w:val="11"/>
        </w:rPr>
        <w:t>la</w:t>
      </w:r>
      <w:r>
        <w:rPr>
          <w:spacing w:val="-5"/>
          <w:w w:val="105"/>
          <w:sz w:val="11"/>
        </w:rPr>
        <w:t xml:space="preserve"> </w:t>
      </w:r>
      <w:r>
        <w:rPr>
          <w:w w:val="105"/>
          <w:sz w:val="11"/>
        </w:rPr>
        <w:t>Mujer,</w:t>
      </w:r>
      <w:r>
        <w:rPr>
          <w:spacing w:val="-6"/>
          <w:w w:val="105"/>
          <w:sz w:val="11"/>
        </w:rPr>
        <w:t xml:space="preserve"> </w:t>
      </w:r>
      <w:r>
        <w:rPr>
          <w:w w:val="105"/>
          <w:sz w:val="11"/>
        </w:rPr>
        <w:t>recomendación</w:t>
      </w:r>
      <w:r>
        <w:rPr>
          <w:spacing w:val="-5"/>
          <w:w w:val="105"/>
          <w:sz w:val="11"/>
        </w:rPr>
        <w:t xml:space="preserve"> </w:t>
      </w:r>
      <w:r>
        <w:rPr>
          <w:w w:val="105"/>
          <w:sz w:val="11"/>
        </w:rPr>
        <w:t>general</w:t>
      </w:r>
      <w:r>
        <w:rPr>
          <w:spacing w:val="-6"/>
          <w:w w:val="105"/>
          <w:sz w:val="11"/>
        </w:rPr>
        <w:t xml:space="preserve"> </w:t>
      </w:r>
      <w:r>
        <w:rPr>
          <w:w w:val="105"/>
          <w:sz w:val="11"/>
        </w:rPr>
        <w:t>núm.</w:t>
      </w:r>
      <w:r>
        <w:rPr>
          <w:spacing w:val="-5"/>
          <w:w w:val="105"/>
          <w:sz w:val="11"/>
        </w:rPr>
        <w:t xml:space="preserve"> </w:t>
      </w:r>
      <w:r>
        <w:rPr>
          <w:w w:val="105"/>
          <w:sz w:val="11"/>
        </w:rPr>
        <w:t>25</w:t>
      </w:r>
      <w:r>
        <w:rPr>
          <w:spacing w:val="-5"/>
          <w:w w:val="105"/>
          <w:sz w:val="11"/>
        </w:rPr>
        <w:t xml:space="preserve"> </w:t>
      </w:r>
      <w:r>
        <w:rPr>
          <w:w w:val="105"/>
          <w:sz w:val="11"/>
        </w:rPr>
        <w:t>(2004),</w:t>
      </w:r>
      <w:r>
        <w:rPr>
          <w:spacing w:val="-6"/>
          <w:w w:val="105"/>
          <w:sz w:val="11"/>
        </w:rPr>
        <w:t xml:space="preserve"> </w:t>
      </w:r>
      <w:r>
        <w:rPr>
          <w:w w:val="105"/>
          <w:sz w:val="11"/>
        </w:rPr>
        <w:t>párr.</w:t>
      </w:r>
      <w:r>
        <w:rPr>
          <w:spacing w:val="-5"/>
          <w:w w:val="105"/>
          <w:sz w:val="11"/>
        </w:rPr>
        <w:t xml:space="preserve"> 12.</w:t>
      </w:r>
    </w:p>
    <w:p w14:paraId="463FDB49" w14:textId="77777777" w:rsidR="0014798C" w:rsidRDefault="0014798C">
      <w:pPr>
        <w:pStyle w:val="Textoindependiente"/>
        <w:rPr>
          <w:sz w:val="19"/>
        </w:rPr>
      </w:pPr>
    </w:p>
    <w:p w14:paraId="1ACC6C8B" w14:textId="77777777" w:rsidR="0014798C" w:rsidRDefault="0014798C">
      <w:pPr>
        <w:pStyle w:val="Textoindependiente"/>
        <w:rPr>
          <w:sz w:val="19"/>
        </w:rPr>
      </w:pPr>
    </w:p>
    <w:p w14:paraId="2F6CCEFD" w14:textId="77777777" w:rsidR="0014798C" w:rsidRDefault="0014798C">
      <w:pPr>
        <w:pStyle w:val="Textoindependiente"/>
        <w:spacing w:before="160"/>
        <w:rPr>
          <w:sz w:val="19"/>
        </w:rPr>
      </w:pPr>
    </w:p>
    <w:p w14:paraId="7C4D861D" w14:textId="77777777" w:rsidR="0014798C" w:rsidRDefault="004E1F0B">
      <w:pPr>
        <w:ind w:right="720"/>
        <w:jc w:val="right"/>
        <w:rPr>
          <w:sz w:val="19"/>
        </w:rPr>
      </w:pPr>
      <w:r>
        <w:rPr>
          <w:spacing w:val="-5"/>
          <w:sz w:val="19"/>
        </w:rPr>
        <w:t>27</w:t>
      </w:r>
    </w:p>
    <w:p w14:paraId="451F0E4E" w14:textId="77777777" w:rsidR="0014798C" w:rsidRDefault="0014798C">
      <w:pPr>
        <w:jc w:val="right"/>
        <w:rPr>
          <w:sz w:val="19"/>
        </w:rPr>
        <w:sectPr w:rsidR="0014798C" w:rsidSect="00F265E4">
          <w:type w:val="continuous"/>
          <w:pgSz w:w="11900" w:h="16820"/>
          <w:pgMar w:top="40" w:right="0" w:bottom="280" w:left="200" w:header="121" w:footer="0" w:gutter="0"/>
          <w:cols w:space="720"/>
        </w:sectPr>
      </w:pPr>
    </w:p>
    <w:p w14:paraId="5374A545" w14:textId="77777777" w:rsidR="0014798C" w:rsidRDefault="0014798C">
      <w:pPr>
        <w:pStyle w:val="Textoindependiente"/>
        <w:spacing w:before="85"/>
        <w:rPr>
          <w:sz w:val="12"/>
        </w:rPr>
      </w:pPr>
    </w:p>
    <w:p w14:paraId="3CF5273A" w14:textId="77777777" w:rsidR="0014798C" w:rsidRDefault="004E1F0B">
      <w:pPr>
        <w:ind w:left="1111"/>
        <w:rPr>
          <w:sz w:val="12"/>
        </w:rPr>
      </w:pPr>
      <w:r>
        <w:rPr>
          <w:color w:val="00AC59"/>
          <w:sz w:val="12"/>
        </w:rPr>
        <w:t>PROTECCIÓN</w:t>
      </w:r>
      <w:r>
        <w:rPr>
          <w:color w:val="00AC59"/>
          <w:spacing w:val="6"/>
          <w:sz w:val="12"/>
        </w:rPr>
        <w:t xml:space="preserve"> </w:t>
      </w:r>
      <w:r>
        <w:rPr>
          <w:color w:val="00AC59"/>
          <w:sz w:val="12"/>
        </w:rPr>
        <w:t>DE</w:t>
      </w:r>
      <w:r>
        <w:rPr>
          <w:color w:val="00AC59"/>
          <w:spacing w:val="7"/>
          <w:sz w:val="12"/>
        </w:rPr>
        <w:t xml:space="preserve"> </w:t>
      </w:r>
      <w:r>
        <w:rPr>
          <w:color w:val="00AC59"/>
          <w:sz w:val="12"/>
        </w:rPr>
        <w:t>LOS</w:t>
      </w:r>
      <w:r>
        <w:rPr>
          <w:color w:val="00AC59"/>
          <w:spacing w:val="8"/>
          <w:sz w:val="12"/>
        </w:rPr>
        <w:t xml:space="preserve"> </w:t>
      </w:r>
      <w:r>
        <w:rPr>
          <w:color w:val="00AC59"/>
          <w:sz w:val="12"/>
        </w:rPr>
        <w:t>DERECHOS</w:t>
      </w:r>
      <w:r>
        <w:rPr>
          <w:color w:val="00AC59"/>
          <w:spacing w:val="8"/>
          <w:sz w:val="12"/>
        </w:rPr>
        <w:t xml:space="preserve"> </w:t>
      </w:r>
      <w:r>
        <w:rPr>
          <w:color w:val="00AC59"/>
          <w:sz w:val="12"/>
        </w:rPr>
        <w:t>DE</w:t>
      </w:r>
      <w:r>
        <w:rPr>
          <w:color w:val="00AC59"/>
          <w:spacing w:val="6"/>
          <w:sz w:val="12"/>
        </w:rPr>
        <w:t xml:space="preserve"> </w:t>
      </w:r>
      <w:r>
        <w:rPr>
          <w:color w:val="00AC59"/>
          <w:sz w:val="12"/>
        </w:rPr>
        <w:t>LAS</w:t>
      </w:r>
      <w:r>
        <w:rPr>
          <w:color w:val="00AC59"/>
          <w:spacing w:val="7"/>
          <w:sz w:val="12"/>
        </w:rPr>
        <w:t xml:space="preserve"> </w:t>
      </w:r>
      <w:r>
        <w:rPr>
          <w:color w:val="00AC59"/>
          <w:sz w:val="12"/>
        </w:rPr>
        <w:t>MINORÍAS:</w:t>
      </w:r>
      <w:r>
        <w:rPr>
          <w:color w:val="00AC59"/>
          <w:spacing w:val="8"/>
          <w:sz w:val="12"/>
        </w:rPr>
        <w:t xml:space="preserve"> </w:t>
      </w:r>
      <w:r>
        <w:rPr>
          <w:color w:val="00AC59"/>
          <w:sz w:val="12"/>
        </w:rPr>
        <w:t>una</w:t>
      </w:r>
      <w:r>
        <w:rPr>
          <w:color w:val="00AC59"/>
          <w:spacing w:val="7"/>
          <w:sz w:val="12"/>
        </w:rPr>
        <w:t xml:space="preserve"> </w:t>
      </w:r>
      <w:r>
        <w:rPr>
          <w:color w:val="00AC59"/>
          <w:sz w:val="12"/>
        </w:rPr>
        <w:t>guía</w:t>
      </w:r>
      <w:r>
        <w:rPr>
          <w:color w:val="00AC59"/>
          <w:spacing w:val="6"/>
          <w:sz w:val="12"/>
        </w:rPr>
        <w:t xml:space="preserve"> </w:t>
      </w:r>
      <w:r>
        <w:rPr>
          <w:color w:val="00AC59"/>
          <w:sz w:val="12"/>
        </w:rPr>
        <w:t>práctica</w:t>
      </w:r>
      <w:r>
        <w:rPr>
          <w:color w:val="00AC59"/>
          <w:spacing w:val="7"/>
          <w:sz w:val="12"/>
        </w:rPr>
        <w:t xml:space="preserve"> </w:t>
      </w:r>
      <w:r>
        <w:rPr>
          <w:color w:val="00AC59"/>
          <w:sz w:val="12"/>
        </w:rPr>
        <w:t>para</w:t>
      </w:r>
      <w:r>
        <w:rPr>
          <w:color w:val="00AC59"/>
          <w:spacing w:val="8"/>
          <w:sz w:val="12"/>
        </w:rPr>
        <w:t xml:space="preserve"> </w:t>
      </w:r>
      <w:r>
        <w:rPr>
          <w:color w:val="00AC59"/>
          <w:sz w:val="12"/>
        </w:rPr>
        <w:t>desarrollar</w:t>
      </w:r>
      <w:r>
        <w:rPr>
          <w:color w:val="00AC59"/>
          <w:spacing w:val="6"/>
          <w:sz w:val="12"/>
        </w:rPr>
        <w:t xml:space="preserve"> </w:t>
      </w:r>
      <w:r>
        <w:rPr>
          <w:color w:val="00AC59"/>
          <w:sz w:val="12"/>
        </w:rPr>
        <w:t>una</w:t>
      </w:r>
      <w:r>
        <w:rPr>
          <w:color w:val="00AC59"/>
          <w:spacing w:val="7"/>
          <w:sz w:val="12"/>
        </w:rPr>
        <w:t xml:space="preserve"> </w:t>
      </w:r>
      <w:r>
        <w:rPr>
          <w:color w:val="00AC59"/>
          <w:sz w:val="12"/>
        </w:rPr>
        <w:t>legislación</w:t>
      </w:r>
      <w:r>
        <w:rPr>
          <w:color w:val="00AC59"/>
          <w:spacing w:val="8"/>
          <w:sz w:val="12"/>
        </w:rPr>
        <w:t xml:space="preserve"> </w:t>
      </w:r>
      <w:r>
        <w:rPr>
          <w:color w:val="00AC59"/>
          <w:sz w:val="12"/>
        </w:rPr>
        <w:t>integral</w:t>
      </w:r>
      <w:r>
        <w:rPr>
          <w:color w:val="00AC59"/>
          <w:spacing w:val="7"/>
          <w:sz w:val="12"/>
        </w:rPr>
        <w:t xml:space="preserve"> </w:t>
      </w:r>
      <w:r>
        <w:rPr>
          <w:color w:val="00AC59"/>
          <w:sz w:val="12"/>
        </w:rPr>
        <w:t>contra</w:t>
      </w:r>
      <w:r>
        <w:rPr>
          <w:color w:val="00AC59"/>
          <w:spacing w:val="6"/>
          <w:sz w:val="12"/>
        </w:rPr>
        <w:t xml:space="preserve"> </w:t>
      </w:r>
      <w:r>
        <w:rPr>
          <w:color w:val="00AC59"/>
          <w:sz w:val="12"/>
        </w:rPr>
        <w:t>la</w:t>
      </w:r>
      <w:r>
        <w:rPr>
          <w:color w:val="00AC59"/>
          <w:spacing w:val="7"/>
          <w:sz w:val="12"/>
        </w:rPr>
        <w:t xml:space="preserve"> </w:t>
      </w:r>
      <w:r>
        <w:rPr>
          <w:color w:val="00AC59"/>
          <w:spacing w:val="-2"/>
          <w:sz w:val="12"/>
        </w:rPr>
        <w:t>discriminación</w:t>
      </w:r>
    </w:p>
    <w:p w14:paraId="23EEA9C6" w14:textId="77777777" w:rsidR="0014798C" w:rsidRDefault="0014798C">
      <w:pPr>
        <w:pStyle w:val="Textoindependiente"/>
        <w:rPr>
          <w:sz w:val="15"/>
        </w:rPr>
      </w:pPr>
    </w:p>
    <w:p w14:paraId="15F3D245" w14:textId="77777777" w:rsidR="0014798C" w:rsidRDefault="0014798C">
      <w:pPr>
        <w:pStyle w:val="Textoindependiente"/>
        <w:rPr>
          <w:sz w:val="15"/>
        </w:rPr>
      </w:pPr>
    </w:p>
    <w:p w14:paraId="45D66387" w14:textId="77777777" w:rsidR="0014798C" w:rsidRDefault="0014798C">
      <w:pPr>
        <w:pStyle w:val="Textoindependiente"/>
        <w:rPr>
          <w:sz w:val="15"/>
        </w:rPr>
      </w:pPr>
    </w:p>
    <w:p w14:paraId="4CB5104D" w14:textId="77777777" w:rsidR="0014798C" w:rsidRDefault="0014798C">
      <w:pPr>
        <w:pStyle w:val="Textoindependiente"/>
        <w:rPr>
          <w:sz w:val="15"/>
        </w:rPr>
      </w:pPr>
    </w:p>
    <w:p w14:paraId="593F4724" w14:textId="77777777" w:rsidR="0014798C" w:rsidRDefault="0014798C">
      <w:pPr>
        <w:pStyle w:val="Textoindependiente"/>
        <w:spacing w:before="137"/>
        <w:rPr>
          <w:sz w:val="15"/>
        </w:rPr>
      </w:pPr>
    </w:p>
    <w:p w14:paraId="6B9922DE" w14:textId="77777777" w:rsidR="0014798C" w:rsidRDefault="004E1F0B">
      <w:pPr>
        <w:spacing w:before="1" w:line="348" w:lineRule="auto"/>
        <w:ind w:left="1110" w:right="1272" w:hanging="2"/>
        <w:rPr>
          <w:sz w:val="15"/>
        </w:rPr>
      </w:pPr>
      <w:r>
        <w:rPr>
          <w:sz w:val="15"/>
        </w:rPr>
        <w:t>Personas</w:t>
      </w:r>
      <w:r>
        <w:rPr>
          <w:spacing w:val="14"/>
          <w:sz w:val="15"/>
        </w:rPr>
        <w:t xml:space="preserve"> </w:t>
      </w:r>
      <w:r>
        <w:rPr>
          <w:sz w:val="15"/>
        </w:rPr>
        <w:t>con</w:t>
      </w:r>
      <w:r>
        <w:rPr>
          <w:spacing w:val="14"/>
          <w:sz w:val="15"/>
        </w:rPr>
        <w:t xml:space="preserve"> </w:t>
      </w:r>
      <w:r>
        <w:rPr>
          <w:sz w:val="15"/>
        </w:rPr>
        <w:t>Discapacidad,191</w:t>
      </w:r>
      <w:r>
        <w:rPr>
          <w:spacing w:val="14"/>
          <w:sz w:val="15"/>
        </w:rPr>
        <w:t xml:space="preserve"> </w:t>
      </w:r>
      <w:r>
        <w:rPr>
          <w:sz w:val="15"/>
        </w:rPr>
        <w:t>cada</w:t>
      </w:r>
      <w:r>
        <w:rPr>
          <w:spacing w:val="14"/>
          <w:sz w:val="15"/>
        </w:rPr>
        <w:t xml:space="preserve"> </w:t>
      </w:r>
      <w:r>
        <w:rPr>
          <w:sz w:val="15"/>
        </w:rPr>
        <w:t>uno</w:t>
      </w:r>
      <w:r>
        <w:rPr>
          <w:spacing w:val="14"/>
          <w:sz w:val="15"/>
        </w:rPr>
        <w:t xml:space="preserve"> </w:t>
      </w:r>
      <w:r>
        <w:rPr>
          <w:sz w:val="15"/>
        </w:rPr>
        <w:t>de</w:t>
      </w:r>
      <w:r>
        <w:rPr>
          <w:spacing w:val="14"/>
          <w:sz w:val="15"/>
        </w:rPr>
        <w:t xml:space="preserve"> </w:t>
      </w:r>
      <w:r>
        <w:rPr>
          <w:sz w:val="15"/>
        </w:rPr>
        <w:t>los</w:t>
      </w:r>
      <w:r>
        <w:rPr>
          <w:spacing w:val="14"/>
          <w:sz w:val="15"/>
        </w:rPr>
        <w:t xml:space="preserve"> </w:t>
      </w:r>
      <w:r>
        <w:rPr>
          <w:sz w:val="15"/>
        </w:rPr>
        <w:t>cuales</w:t>
      </w:r>
      <w:r>
        <w:rPr>
          <w:spacing w:val="14"/>
          <w:sz w:val="15"/>
        </w:rPr>
        <w:t xml:space="preserve"> </w:t>
      </w:r>
      <w:r>
        <w:rPr>
          <w:sz w:val="15"/>
        </w:rPr>
        <w:t>ha</w:t>
      </w:r>
      <w:r>
        <w:rPr>
          <w:spacing w:val="14"/>
          <w:sz w:val="15"/>
        </w:rPr>
        <w:t xml:space="preserve"> </w:t>
      </w:r>
      <w:r>
        <w:rPr>
          <w:sz w:val="15"/>
        </w:rPr>
        <w:t>reconocido</w:t>
      </w:r>
      <w:r>
        <w:rPr>
          <w:spacing w:val="16"/>
          <w:sz w:val="15"/>
        </w:rPr>
        <w:t xml:space="preserve"> </w:t>
      </w:r>
      <w:r>
        <w:rPr>
          <w:sz w:val="15"/>
        </w:rPr>
        <w:t>que</w:t>
      </w:r>
      <w:r>
        <w:rPr>
          <w:spacing w:val="14"/>
          <w:sz w:val="15"/>
        </w:rPr>
        <w:t xml:space="preserve"> </w:t>
      </w:r>
      <w:r>
        <w:rPr>
          <w:sz w:val="15"/>
        </w:rPr>
        <w:t>el</w:t>
      </w:r>
      <w:r>
        <w:rPr>
          <w:spacing w:val="14"/>
          <w:sz w:val="15"/>
        </w:rPr>
        <w:t xml:space="preserve"> </w:t>
      </w:r>
      <w:r>
        <w:rPr>
          <w:sz w:val="15"/>
        </w:rPr>
        <w:t>reconocimiento</w:t>
      </w:r>
      <w:r>
        <w:rPr>
          <w:spacing w:val="14"/>
          <w:sz w:val="15"/>
        </w:rPr>
        <w:t xml:space="preserve"> </w:t>
      </w:r>
      <w:r>
        <w:rPr>
          <w:sz w:val="15"/>
        </w:rPr>
        <w:t>de</w:t>
      </w:r>
      <w:r>
        <w:rPr>
          <w:spacing w:val="14"/>
          <w:sz w:val="15"/>
        </w:rPr>
        <w:t xml:space="preserve"> </w:t>
      </w:r>
      <w:r>
        <w:rPr>
          <w:sz w:val="15"/>
        </w:rPr>
        <w:t>la</w:t>
      </w:r>
      <w:r>
        <w:rPr>
          <w:spacing w:val="14"/>
          <w:sz w:val="15"/>
        </w:rPr>
        <w:t xml:space="preserve"> </w:t>
      </w:r>
      <w:r>
        <w:rPr>
          <w:sz w:val="15"/>
        </w:rPr>
        <w:t>discriminación</w:t>
      </w:r>
      <w:r>
        <w:rPr>
          <w:spacing w:val="16"/>
          <w:sz w:val="15"/>
        </w:rPr>
        <w:t xml:space="preserve"> </w:t>
      </w:r>
      <w:r>
        <w:rPr>
          <w:sz w:val="15"/>
        </w:rPr>
        <w:t>múltiple</w:t>
      </w:r>
      <w:r>
        <w:rPr>
          <w:spacing w:val="14"/>
          <w:sz w:val="15"/>
        </w:rPr>
        <w:t xml:space="preserve"> </w:t>
      </w:r>
      <w:r>
        <w:rPr>
          <w:sz w:val="15"/>
        </w:rPr>
        <w:t>es</w:t>
      </w:r>
      <w:r>
        <w:rPr>
          <w:spacing w:val="14"/>
          <w:sz w:val="15"/>
        </w:rPr>
        <w:t xml:space="preserve"> </w:t>
      </w:r>
      <w:r>
        <w:rPr>
          <w:sz w:val="15"/>
        </w:rPr>
        <w:t>esencial para el cumplimiento de las obligaciones de los Estados en materia de igualdad y no discriminación</w:t>
      </w:r>
      <w:r>
        <w:rPr>
          <w:spacing w:val="10"/>
          <w:sz w:val="15"/>
        </w:rPr>
        <w:t xml:space="preserve"> </w:t>
      </w:r>
      <w:r>
        <w:rPr>
          <w:sz w:val="15"/>
        </w:rPr>
        <w:t>en virtud de sus respectivos tratados.</w:t>
      </w:r>
    </w:p>
    <w:p w14:paraId="6CDB82FA" w14:textId="77777777" w:rsidR="0014798C" w:rsidRDefault="0014798C">
      <w:pPr>
        <w:pStyle w:val="Textoindependiente"/>
        <w:rPr>
          <w:sz w:val="15"/>
        </w:rPr>
      </w:pPr>
    </w:p>
    <w:p w14:paraId="3C3C930D" w14:textId="77777777" w:rsidR="0014798C" w:rsidRDefault="0014798C">
      <w:pPr>
        <w:pStyle w:val="Textoindependiente"/>
        <w:spacing w:before="123"/>
        <w:rPr>
          <w:sz w:val="15"/>
        </w:rPr>
      </w:pPr>
    </w:p>
    <w:p w14:paraId="7AE238A7" w14:textId="77777777" w:rsidR="0014798C" w:rsidRDefault="004E1F0B">
      <w:pPr>
        <w:ind w:left="1333"/>
        <w:rPr>
          <w:sz w:val="15"/>
        </w:rPr>
      </w:pPr>
      <w:r>
        <w:rPr>
          <w:noProof/>
        </w:rPr>
        <w:drawing>
          <wp:anchor distT="0" distB="0" distL="0" distR="0" simplePos="0" relativeHeight="251658379" behindDoc="1" locked="0" layoutInCell="1" allowOverlap="1" wp14:anchorId="7908952D" wp14:editId="594FC52D">
            <wp:simplePos x="0" y="0"/>
            <wp:positionH relativeFrom="page">
              <wp:posOffset>790692</wp:posOffset>
            </wp:positionH>
            <wp:positionV relativeFrom="paragraph">
              <wp:posOffset>-201368</wp:posOffset>
            </wp:positionV>
            <wp:extent cx="5970623" cy="5037048"/>
            <wp:effectExtent l="0" t="0" r="0" b="0"/>
            <wp:wrapNone/>
            <wp:docPr id="103" name="Image 10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03" name="Image 103"/>
                    <pic:cNvPicPr/>
                  </pic:nvPicPr>
                  <pic:blipFill>
                    <a:blip r:embed="rId107" cstate="print"/>
                    <a:stretch>
                      <a:fillRect/>
                    </a:stretch>
                  </pic:blipFill>
                  <pic:spPr>
                    <a:xfrm>
                      <a:off x="0" y="0"/>
                      <a:ext cx="5970623" cy="5037048"/>
                    </a:xfrm>
                    <a:prstGeom prst="rect">
                      <a:avLst/>
                    </a:prstGeom>
                  </pic:spPr>
                </pic:pic>
              </a:graphicData>
            </a:graphic>
          </wp:anchor>
        </w:drawing>
      </w:r>
      <w:r>
        <w:rPr>
          <w:sz w:val="15"/>
        </w:rPr>
        <w:t>LA</w:t>
      </w:r>
      <w:r>
        <w:rPr>
          <w:spacing w:val="6"/>
          <w:sz w:val="15"/>
        </w:rPr>
        <w:t xml:space="preserve"> </w:t>
      </w:r>
      <w:r>
        <w:rPr>
          <w:sz w:val="15"/>
        </w:rPr>
        <w:t>DISCRIMINACIÓN</w:t>
      </w:r>
      <w:r>
        <w:rPr>
          <w:spacing w:val="7"/>
          <w:sz w:val="15"/>
        </w:rPr>
        <w:t xml:space="preserve"> </w:t>
      </w:r>
      <w:r>
        <w:rPr>
          <w:sz w:val="15"/>
        </w:rPr>
        <w:t>MÚLTIPLE</w:t>
      </w:r>
      <w:r>
        <w:rPr>
          <w:spacing w:val="7"/>
          <w:sz w:val="15"/>
        </w:rPr>
        <w:t xml:space="preserve"> </w:t>
      </w:r>
      <w:r>
        <w:rPr>
          <w:sz w:val="15"/>
        </w:rPr>
        <w:t>Y</w:t>
      </w:r>
      <w:r>
        <w:rPr>
          <w:spacing w:val="7"/>
          <w:sz w:val="15"/>
        </w:rPr>
        <w:t xml:space="preserve"> </w:t>
      </w:r>
      <w:r>
        <w:rPr>
          <w:sz w:val="15"/>
        </w:rPr>
        <w:t>LA</w:t>
      </w:r>
      <w:r>
        <w:rPr>
          <w:spacing w:val="6"/>
          <w:sz w:val="15"/>
        </w:rPr>
        <w:t xml:space="preserve"> </w:t>
      </w:r>
      <w:r>
        <w:rPr>
          <w:sz w:val="15"/>
        </w:rPr>
        <w:t>COMISIÓN</w:t>
      </w:r>
      <w:r>
        <w:rPr>
          <w:spacing w:val="7"/>
          <w:sz w:val="15"/>
        </w:rPr>
        <w:t xml:space="preserve"> </w:t>
      </w:r>
      <w:r>
        <w:rPr>
          <w:sz w:val="15"/>
        </w:rPr>
        <w:t>AFRICANA</w:t>
      </w:r>
      <w:r>
        <w:rPr>
          <w:spacing w:val="8"/>
          <w:sz w:val="15"/>
        </w:rPr>
        <w:t xml:space="preserve"> </w:t>
      </w:r>
      <w:r>
        <w:rPr>
          <w:sz w:val="15"/>
        </w:rPr>
        <w:t>DE</w:t>
      </w:r>
      <w:r>
        <w:rPr>
          <w:spacing w:val="6"/>
          <w:sz w:val="15"/>
        </w:rPr>
        <w:t xml:space="preserve"> </w:t>
      </w:r>
      <w:r>
        <w:rPr>
          <w:sz w:val="15"/>
        </w:rPr>
        <w:t>DERECHOS</w:t>
      </w:r>
      <w:r>
        <w:rPr>
          <w:spacing w:val="8"/>
          <w:sz w:val="15"/>
        </w:rPr>
        <w:t xml:space="preserve"> </w:t>
      </w:r>
      <w:r>
        <w:rPr>
          <w:sz w:val="15"/>
        </w:rPr>
        <w:t>HUMANOS</w:t>
      </w:r>
      <w:r>
        <w:rPr>
          <w:spacing w:val="8"/>
          <w:sz w:val="15"/>
        </w:rPr>
        <w:t xml:space="preserve"> </w:t>
      </w:r>
      <w:r>
        <w:rPr>
          <w:spacing w:val="-10"/>
          <w:sz w:val="15"/>
        </w:rPr>
        <w:t>Y</w:t>
      </w:r>
    </w:p>
    <w:p w14:paraId="53A46430" w14:textId="77777777" w:rsidR="0014798C" w:rsidRDefault="004E1F0B">
      <w:pPr>
        <w:spacing w:before="105"/>
        <w:ind w:left="1342"/>
        <w:rPr>
          <w:sz w:val="12"/>
        </w:rPr>
      </w:pPr>
      <w:r>
        <w:rPr>
          <w:sz w:val="12"/>
        </w:rPr>
        <w:t xml:space="preserve">DERECHOS DE LOS </w:t>
      </w:r>
      <w:r>
        <w:rPr>
          <w:spacing w:val="-2"/>
          <w:sz w:val="12"/>
        </w:rPr>
        <w:t>PUEBLOS</w:t>
      </w:r>
    </w:p>
    <w:p w14:paraId="64A479A6" w14:textId="77777777" w:rsidR="0014798C" w:rsidRDefault="0014798C">
      <w:pPr>
        <w:pStyle w:val="Textoindependiente"/>
        <w:spacing w:before="65"/>
        <w:rPr>
          <w:sz w:val="15"/>
        </w:rPr>
      </w:pPr>
    </w:p>
    <w:p w14:paraId="14DBCAF2" w14:textId="77777777" w:rsidR="0014798C" w:rsidRDefault="004E1F0B">
      <w:pPr>
        <w:spacing w:line="348" w:lineRule="auto"/>
        <w:ind w:left="1334" w:right="1590" w:hanging="2"/>
        <w:rPr>
          <w:sz w:val="15"/>
        </w:rPr>
      </w:pPr>
      <w:r>
        <w:rPr>
          <w:sz w:val="15"/>
        </w:rPr>
        <w:t>En</w:t>
      </w:r>
      <w:r>
        <w:rPr>
          <w:spacing w:val="14"/>
          <w:sz w:val="15"/>
        </w:rPr>
        <w:t xml:space="preserve"> </w:t>
      </w:r>
      <w:r>
        <w:rPr>
          <w:sz w:val="15"/>
        </w:rPr>
        <w:t>su</w:t>
      </w:r>
      <w:r>
        <w:rPr>
          <w:spacing w:val="14"/>
          <w:sz w:val="15"/>
        </w:rPr>
        <w:t xml:space="preserve"> </w:t>
      </w:r>
      <w:r>
        <w:rPr>
          <w:sz w:val="15"/>
        </w:rPr>
        <w:t>trigésimo</w:t>
      </w:r>
      <w:r>
        <w:rPr>
          <w:spacing w:val="14"/>
          <w:sz w:val="15"/>
        </w:rPr>
        <w:t xml:space="preserve"> </w:t>
      </w:r>
      <w:r>
        <w:rPr>
          <w:sz w:val="15"/>
        </w:rPr>
        <w:t>sexto</w:t>
      </w:r>
      <w:r>
        <w:rPr>
          <w:spacing w:val="14"/>
          <w:sz w:val="15"/>
        </w:rPr>
        <w:t xml:space="preserve"> </w:t>
      </w:r>
      <w:r>
        <w:rPr>
          <w:sz w:val="15"/>
        </w:rPr>
        <w:t>período</w:t>
      </w:r>
      <w:r>
        <w:rPr>
          <w:spacing w:val="14"/>
          <w:sz w:val="15"/>
        </w:rPr>
        <w:t xml:space="preserve"> </w:t>
      </w:r>
      <w:r>
        <w:rPr>
          <w:sz w:val="15"/>
        </w:rPr>
        <w:t>ordinario</w:t>
      </w:r>
      <w:r>
        <w:rPr>
          <w:spacing w:val="14"/>
          <w:sz w:val="15"/>
        </w:rPr>
        <w:t xml:space="preserve"> </w:t>
      </w:r>
      <w:r>
        <w:rPr>
          <w:sz w:val="15"/>
        </w:rPr>
        <w:t>de</w:t>
      </w:r>
      <w:r>
        <w:rPr>
          <w:spacing w:val="14"/>
          <w:sz w:val="15"/>
        </w:rPr>
        <w:t xml:space="preserve"> </w:t>
      </w:r>
      <w:r>
        <w:rPr>
          <w:sz w:val="15"/>
        </w:rPr>
        <w:t>sesiones</w:t>
      </w:r>
      <w:r>
        <w:rPr>
          <w:spacing w:val="14"/>
          <w:sz w:val="15"/>
        </w:rPr>
        <w:t xml:space="preserve"> </w:t>
      </w:r>
      <w:r>
        <w:rPr>
          <w:sz w:val="15"/>
        </w:rPr>
        <w:t>en</w:t>
      </w:r>
      <w:r>
        <w:rPr>
          <w:spacing w:val="14"/>
          <w:sz w:val="15"/>
        </w:rPr>
        <w:t xml:space="preserve"> </w:t>
      </w:r>
      <w:r>
        <w:rPr>
          <w:sz w:val="15"/>
        </w:rPr>
        <w:t>2004,</w:t>
      </w:r>
      <w:r>
        <w:rPr>
          <w:spacing w:val="15"/>
          <w:sz w:val="15"/>
        </w:rPr>
        <w:t xml:space="preserve"> </w:t>
      </w:r>
      <w:r>
        <w:rPr>
          <w:sz w:val="15"/>
        </w:rPr>
        <w:t>la</w:t>
      </w:r>
      <w:r>
        <w:rPr>
          <w:spacing w:val="14"/>
          <w:sz w:val="15"/>
        </w:rPr>
        <w:t xml:space="preserve"> </w:t>
      </w:r>
      <w:r>
        <w:rPr>
          <w:sz w:val="15"/>
        </w:rPr>
        <w:t>Comisión</w:t>
      </w:r>
      <w:r>
        <w:rPr>
          <w:spacing w:val="14"/>
          <w:sz w:val="15"/>
        </w:rPr>
        <w:t xml:space="preserve"> </w:t>
      </w:r>
      <w:r>
        <w:rPr>
          <w:sz w:val="15"/>
        </w:rPr>
        <w:t>Africana</w:t>
      </w:r>
      <w:r>
        <w:rPr>
          <w:spacing w:val="14"/>
          <w:sz w:val="15"/>
        </w:rPr>
        <w:t xml:space="preserve"> </w:t>
      </w:r>
      <w:r>
        <w:rPr>
          <w:sz w:val="15"/>
        </w:rPr>
        <w:t>de</w:t>
      </w:r>
      <w:r>
        <w:rPr>
          <w:spacing w:val="14"/>
          <w:sz w:val="15"/>
        </w:rPr>
        <w:t xml:space="preserve"> </w:t>
      </w:r>
      <w:r>
        <w:rPr>
          <w:sz w:val="15"/>
        </w:rPr>
        <w:t>Derechos</w:t>
      </w:r>
      <w:r>
        <w:rPr>
          <w:spacing w:val="14"/>
          <w:sz w:val="15"/>
        </w:rPr>
        <w:t xml:space="preserve"> </w:t>
      </w:r>
      <w:r>
        <w:rPr>
          <w:sz w:val="15"/>
        </w:rPr>
        <w:t>Humanos</w:t>
      </w:r>
      <w:r>
        <w:rPr>
          <w:spacing w:val="14"/>
          <w:sz w:val="15"/>
        </w:rPr>
        <w:t xml:space="preserve"> </w:t>
      </w:r>
      <w:r>
        <w:rPr>
          <w:sz w:val="15"/>
        </w:rPr>
        <w:t>y</w:t>
      </w:r>
      <w:r>
        <w:rPr>
          <w:spacing w:val="14"/>
          <w:sz w:val="15"/>
        </w:rPr>
        <w:t xml:space="preserve"> </w:t>
      </w:r>
      <w:r>
        <w:rPr>
          <w:sz w:val="15"/>
        </w:rPr>
        <w:t>de</w:t>
      </w:r>
      <w:r>
        <w:rPr>
          <w:spacing w:val="14"/>
          <w:sz w:val="15"/>
        </w:rPr>
        <w:t xml:space="preserve"> </w:t>
      </w:r>
      <w:r>
        <w:rPr>
          <w:sz w:val="15"/>
        </w:rPr>
        <w:t>los</w:t>
      </w:r>
      <w:r>
        <w:rPr>
          <w:spacing w:val="14"/>
          <w:sz w:val="15"/>
        </w:rPr>
        <w:t xml:space="preserve"> </w:t>
      </w:r>
      <w:r>
        <w:rPr>
          <w:sz w:val="15"/>
        </w:rPr>
        <w:t>Pueblos adoptó</w:t>
      </w:r>
      <w:r>
        <w:rPr>
          <w:spacing w:val="16"/>
          <w:sz w:val="15"/>
        </w:rPr>
        <w:t xml:space="preserve"> </w:t>
      </w:r>
      <w:r>
        <w:rPr>
          <w:sz w:val="15"/>
        </w:rPr>
        <w:t>una</w:t>
      </w:r>
      <w:r>
        <w:rPr>
          <w:spacing w:val="16"/>
          <w:sz w:val="15"/>
        </w:rPr>
        <w:t xml:space="preserve"> </w:t>
      </w:r>
      <w:r>
        <w:rPr>
          <w:sz w:val="15"/>
        </w:rPr>
        <w:t>resolución</w:t>
      </w:r>
      <w:r>
        <w:rPr>
          <w:spacing w:val="18"/>
          <w:sz w:val="15"/>
        </w:rPr>
        <w:t xml:space="preserve"> </w:t>
      </w:r>
      <w:r>
        <w:rPr>
          <w:sz w:val="15"/>
        </w:rPr>
        <w:t>sobre</w:t>
      </w:r>
      <w:r>
        <w:rPr>
          <w:spacing w:val="16"/>
          <w:sz w:val="15"/>
        </w:rPr>
        <w:t xml:space="preserve"> </w:t>
      </w:r>
      <w:r>
        <w:rPr>
          <w:sz w:val="15"/>
        </w:rPr>
        <w:t>los</w:t>
      </w:r>
      <w:r>
        <w:rPr>
          <w:spacing w:val="16"/>
          <w:sz w:val="15"/>
        </w:rPr>
        <w:t xml:space="preserve"> </w:t>
      </w:r>
      <w:r>
        <w:rPr>
          <w:sz w:val="15"/>
        </w:rPr>
        <w:t>derechos</w:t>
      </w:r>
      <w:r>
        <w:rPr>
          <w:spacing w:val="16"/>
          <w:sz w:val="15"/>
        </w:rPr>
        <w:t xml:space="preserve"> </w:t>
      </w:r>
      <w:r>
        <w:rPr>
          <w:sz w:val="15"/>
        </w:rPr>
        <w:t>económicos,</w:t>
      </w:r>
      <w:r>
        <w:rPr>
          <w:spacing w:val="18"/>
          <w:sz w:val="15"/>
        </w:rPr>
        <w:t xml:space="preserve"> </w:t>
      </w:r>
      <w:r>
        <w:rPr>
          <w:sz w:val="15"/>
        </w:rPr>
        <w:t>sociales</w:t>
      </w:r>
      <w:r>
        <w:rPr>
          <w:spacing w:val="16"/>
          <w:sz w:val="15"/>
        </w:rPr>
        <w:t xml:space="preserve"> </w:t>
      </w:r>
      <w:r>
        <w:rPr>
          <w:sz w:val="15"/>
        </w:rPr>
        <w:t>y</w:t>
      </w:r>
      <w:r>
        <w:rPr>
          <w:spacing w:val="16"/>
          <w:sz w:val="15"/>
        </w:rPr>
        <w:t xml:space="preserve"> </w:t>
      </w:r>
      <w:r>
        <w:rPr>
          <w:sz w:val="15"/>
        </w:rPr>
        <w:t>culturales</w:t>
      </w:r>
      <w:r>
        <w:rPr>
          <w:spacing w:val="16"/>
          <w:sz w:val="15"/>
        </w:rPr>
        <w:t xml:space="preserve"> </w:t>
      </w:r>
      <w:r>
        <w:rPr>
          <w:sz w:val="15"/>
        </w:rPr>
        <w:t>en</w:t>
      </w:r>
      <w:r>
        <w:rPr>
          <w:spacing w:val="16"/>
          <w:sz w:val="15"/>
        </w:rPr>
        <w:t xml:space="preserve"> </w:t>
      </w:r>
      <w:r>
        <w:rPr>
          <w:sz w:val="15"/>
        </w:rPr>
        <w:t>África.192</w:t>
      </w:r>
      <w:r>
        <w:rPr>
          <w:spacing w:val="16"/>
          <w:sz w:val="15"/>
        </w:rPr>
        <w:t xml:space="preserve"> </w:t>
      </w:r>
      <w:r>
        <w:rPr>
          <w:sz w:val="15"/>
        </w:rPr>
        <w:t>La</w:t>
      </w:r>
      <w:r>
        <w:rPr>
          <w:spacing w:val="16"/>
          <w:sz w:val="15"/>
        </w:rPr>
        <w:t xml:space="preserve"> </w:t>
      </w:r>
      <w:r>
        <w:rPr>
          <w:sz w:val="15"/>
        </w:rPr>
        <w:t>Comisión</w:t>
      </w:r>
      <w:r>
        <w:rPr>
          <w:spacing w:val="16"/>
          <w:sz w:val="15"/>
        </w:rPr>
        <w:t xml:space="preserve"> </w:t>
      </w:r>
      <w:r>
        <w:rPr>
          <w:sz w:val="15"/>
        </w:rPr>
        <w:t>pidió</w:t>
      </w:r>
      <w:r>
        <w:rPr>
          <w:spacing w:val="16"/>
          <w:sz w:val="15"/>
        </w:rPr>
        <w:t xml:space="preserve"> </w:t>
      </w:r>
      <w:r>
        <w:rPr>
          <w:sz w:val="15"/>
        </w:rPr>
        <w:t>el</w:t>
      </w:r>
      <w:r>
        <w:rPr>
          <w:spacing w:val="16"/>
          <w:sz w:val="15"/>
        </w:rPr>
        <w:t xml:space="preserve"> </w:t>
      </w:r>
      <w:r>
        <w:rPr>
          <w:sz w:val="15"/>
        </w:rPr>
        <w:t>establecimiento de</w:t>
      </w:r>
      <w:r>
        <w:rPr>
          <w:spacing w:val="15"/>
          <w:sz w:val="15"/>
        </w:rPr>
        <w:t xml:space="preserve"> </w:t>
      </w:r>
      <w:r>
        <w:rPr>
          <w:sz w:val="15"/>
        </w:rPr>
        <w:t>un</w:t>
      </w:r>
      <w:r>
        <w:rPr>
          <w:spacing w:val="15"/>
          <w:sz w:val="15"/>
        </w:rPr>
        <w:t xml:space="preserve"> </w:t>
      </w:r>
      <w:r>
        <w:rPr>
          <w:sz w:val="15"/>
        </w:rPr>
        <w:t>grupo</w:t>
      </w:r>
      <w:r>
        <w:rPr>
          <w:spacing w:val="15"/>
          <w:sz w:val="15"/>
        </w:rPr>
        <w:t xml:space="preserve"> </w:t>
      </w:r>
      <w:r>
        <w:rPr>
          <w:sz w:val="15"/>
        </w:rPr>
        <w:t>de</w:t>
      </w:r>
      <w:r>
        <w:rPr>
          <w:spacing w:val="15"/>
          <w:sz w:val="15"/>
        </w:rPr>
        <w:t xml:space="preserve"> </w:t>
      </w:r>
      <w:r>
        <w:rPr>
          <w:sz w:val="15"/>
        </w:rPr>
        <w:t>trabajo</w:t>
      </w:r>
      <w:r>
        <w:rPr>
          <w:spacing w:val="15"/>
          <w:sz w:val="15"/>
        </w:rPr>
        <w:t xml:space="preserve"> </w:t>
      </w:r>
      <w:r>
        <w:rPr>
          <w:sz w:val="15"/>
        </w:rPr>
        <w:t>para</w:t>
      </w:r>
      <w:r>
        <w:rPr>
          <w:spacing w:val="15"/>
          <w:sz w:val="15"/>
        </w:rPr>
        <w:t xml:space="preserve"> </w:t>
      </w:r>
      <w:r>
        <w:rPr>
          <w:sz w:val="15"/>
        </w:rPr>
        <w:t>desarrollar</w:t>
      </w:r>
      <w:r>
        <w:rPr>
          <w:spacing w:val="15"/>
          <w:sz w:val="15"/>
        </w:rPr>
        <w:t xml:space="preserve"> </w:t>
      </w:r>
      <w:r>
        <w:rPr>
          <w:sz w:val="15"/>
        </w:rPr>
        <w:t>un</w:t>
      </w:r>
      <w:r>
        <w:rPr>
          <w:spacing w:val="15"/>
          <w:sz w:val="15"/>
        </w:rPr>
        <w:t xml:space="preserve"> </w:t>
      </w:r>
      <w:r>
        <w:rPr>
          <w:sz w:val="15"/>
        </w:rPr>
        <w:t>conjunto</w:t>
      </w:r>
      <w:r>
        <w:rPr>
          <w:spacing w:val="15"/>
          <w:sz w:val="15"/>
        </w:rPr>
        <w:t xml:space="preserve"> </w:t>
      </w:r>
      <w:r>
        <w:rPr>
          <w:sz w:val="15"/>
        </w:rPr>
        <w:t>de</w:t>
      </w:r>
      <w:r>
        <w:rPr>
          <w:spacing w:val="15"/>
          <w:sz w:val="15"/>
        </w:rPr>
        <w:t xml:space="preserve"> </w:t>
      </w:r>
      <w:r>
        <w:rPr>
          <w:sz w:val="15"/>
        </w:rPr>
        <w:t>principios</w:t>
      </w:r>
      <w:r>
        <w:rPr>
          <w:spacing w:val="15"/>
          <w:sz w:val="15"/>
        </w:rPr>
        <w:t xml:space="preserve"> </w:t>
      </w:r>
      <w:r>
        <w:rPr>
          <w:sz w:val="15"/>
        </w:rPr>
        <w:t>y</w:t>
      </w:r>
      <w:r>
        <w:rPr>
          <w:spacing w:val="15"/>
          <w:sz w:val="15"/>
        </w:rPr>
        <w:t xml:space="preserve"> </w:t>
      </w:r>
      <w:r>
        <w:rPr>
          <w:sz w:val="15"/>
        </w:rPr>
        <w:t>directrices</w:t>
      </w:r>
      <w:r>
        <w:rPr>
          <w:spacing w:val="15"/>
          <w:sz w:val="15"/>
        </w:rPr>
        <w:t xml:space="preserve"> </w:t>
      </w:r>
      <w:r>
        <w:rPr>
          <w:sz w:val="15"/>
        </w:rPr>
        <w:t>sobre</w:t>
      </w:r>
      <w:r>
        <w:rPr>
          <w:spacing w:val="15"/>
          <w:sz w:val="15"/>
        </w:rPr>
        <w:t xml:space="preserve"> </w:t>
      </w:r>
      <w:r>
        <w:rPr>
          <w:sz w:val="15"/>
        </w:rPr>
        <w:t>los</w:t>
      </w:r>
      <w:r>
        <w:rPr>
          <w:spacing w:val="15"/>
          <w:sz w:val="15"/>
        </w:rPr>
        <w:t xml:space="preserve"> </w:t>
      </w:r>
      <w:r>
        <w:rPr>
          <w:sz w:val="15"/>
        </w:rPr>
        <w:t>derechos</w:t>
      </w:r>
      <w:r>
        <w:rPr>
          <w:spacing w:val="15"/>
          <w:sz w:val="15"/>
        </w:rPr>
        <w:t xml:space="preserve"> </w:t>
      </w:r>
      <w:r>
        <w:rPr>
          <w:sz w:val="15"/>
        </w:rPr>
        <w:t>económicos,</w:t>
      </w:r>
      <w:r>
        <w:rPr>
          <w:spacing w:val="17"/>
          <w:sz w:val="15"/>
        </w:rPr>
        <w:t xml:space="preserve"> </w:t>
      </w:r>
      <w:r>
        <w:rPr>
          <w:sz w:val="15"/>
        </w:rPr>
        <w:t>sociales</w:t>
      </w:r>
      <w:r>
        <w:rPr>
          <w:spacing w:val="15"/>
          <w:sz w:val="15"/>
        </w:rPr>
        <w:t xml:space="preserve"> </w:t>
      </w:r>
      <w:r>
        <w:rPr>
          <w:sz w:val="15"/>
        </w:rPr>
        <w:t>y culturales en África. Las directrices finales se lanzaron oficialmente en el quincuagésimo período de sesiones de la Comisión,193 con el objetivo de “ayudar a los Estados partes a cumplir con sus obligaciones bajo la Carta Africana”.194 Entre otras cosas, las Directrices reconocen claramente las obligaciones de los Estados de eliminar formas de discriminación múltiple e interseccional,</w:t>
      </w:r>
      <w:r>
        <w:rPr>
          <w:spacing w:val="80"/>
          <w:sz w:val="15"/>
        </w:rPr>
        <w:t xml:space="preserve"> </w:t>
      </w:r>
      <w:r>
        <w:rPr>
          <w:sz w:val="15"/>
        </w:rPr>
        <w:t>que se definen de la siguiente manera: “ La discriminación interseccional o múltiple ocurre cuando una persona es sometida a discriminación por más de un motivo al mismo tiempo , por ejemplo, raza y género”. 195</w:t>
      </w:r>
    </w:p>
    <w:p w14:paraId="4F056022" w14:textId="77777777" w:rsidR="0014798C" w:rsidRDefault="0014798C">
      <w:pPr>
        <w:pStyle w:val="Textoindependiente"/>
        <w:rPr>
          <w:sz w:val="15"/>
        </w:rPr>
      </w:pPr>
    </w:p>
    <w:p w14:paraId="1C45D75D" w14:textId="77777777" w:rsidR="0014798C" w:rsidRDefault="0014798C">
      <w:pPr>
        <w:pStyle w:val="Textoindependiente"/>
        <w:rPr>
          <w:sz w:val="15"/>
        </w:rPr>
      </w:pPr>
    </w:p>
    <w:p w14:paraId="3E63CA8D" w14:textId="77777777" w:rsidR="0014798C" w:rsidRDefault="0014798C">
      <w:pPr>
        <w:pStyle w:val="Textoindependiente"/>
        <w:rPr>
          <w:sz w:val="15"/>
        </w:rPr>
      </w:pPr>
    </w:p>
    <w:p w14:paraId="155E4CCE" w14:textId="77777777" w:rsidR="0014798C" w:rsidRDefault="0014798C">
      <w:pPr>
        <w:pStyle w:val="Textoindependiente"/>
        <w:spacing w:before="10"/>
        <w:rPr>
          <w:sz w:val="15"/>
        </w:rPr>
      </w:pPr>
    </w:p>
    <w:p w14:paraId="5DB53C8C" w14:textId="77777777" w:rsidR="0014798C" w:rsidRDefault="004E1F0B">
      <w:pPr>
        <w:spacing w:line="348" w:lineRule="auto"/>
        <w:ind w:left="1106" w:right="1272" w:hanging="1"/>
        <w:rPr>
          <w:sz w:val="15"/>
        </w:rPr>
      </w:pPr>
      <w:r>
        <w:rPr>
          <w:sz w:val="15"/>
        </w:rPr>
        <w:t>A nivel regional, el concepto de discriminación múltiple está más desarrollado en las Américas, donde la Comisión Interamericana de Derechos Humanos y la Corte de Derechos Humanos han abordado la interseccionalidad en una serie de casos relacionados con cuestiones como la violencia sexual contra las mujeres indígenas. 196 La Corte ha señalado una discriminación múltiple que no es simplemente</w:t>
      </w:r>
      <w:r>
        <w:rPr>
          <w:spacing w:val="14"/>
          <w:sz w:val="15"/>
        </w:rPr>
        <w:t xml:space="preserve"> </w:t>
      </w:r>
      <w:r>
        <w:rPr>
          <w:sz w:val="15"/>
        </w:rPr>
        <w:t>el</w:t>
      </w:r>
      <w:r>
        <w:rPr>
          <w:spacing w:val="14"/>
          <w:sz w:val="15"/>
        </w:rPr>
        <w:t xml:space="preserve"> </w:t>
      </w:r>
      <w:r>
        <w:rPr>
          <w:sz w:val="15"/>
        </w:rPr>
        <w:t>resultado</w:t>
      </w:r>
      <w:r>
        <w:rPr>
          <w:spacing w:val="14"/>
          <w:sz w:val="15"/>
        </w:rPr>
        <w:t xml:space="preserve"> </w:t>
      </w:r>
      <w:r>
        <w:rPr>
          <w:sz w:val="15"/>
        </w:rPr>
        <w:t>de</w:t>
      </w:r>
      <w:r>
        <w:rPr>
          <w:spacing w:val="14"/>
          <w:sz w:val="15"/>
        </w:rPr>
        <w:t xml:space="preserve"> </w:t>
      </w:r>
      <w:r>
        <w:rPr>
          <w:sz w:val="15"/>
        </w:rPr>
        <w:t>la</w:t>
      </w:r>
      <w:r>
        <w:rPr>
          <w:spacing w:val="14"/>
          <w:sz w:val="15"/>
        </w:rPr>
        <w:t xml:space="preserve"> </w:t>
      </w:r>
      <w:r>
        <w:rPr>
          <w:sz w:val="15"/>
        </w:rPr>
        <w:t>confluencia</w:t>
      </w:r>
      <w:r>
        <w:rPr>
          <w:spacing w:val="14"/>
          <w:sz w:val="15"/>
        </w:rPr>
        <w:t xml:space="preserve"> </w:t>
      </w:r>
      <w:r>
        <w:rPr>
          <w:sz w:val="15"/>
        </w:rPr>
        <w:t>de</w:t>
      </w:r>
      <w:r>
        <w:rPr>
          <w:spacing w:val="14"/>
          <w:sz w:val="15"/>
        </w:rPr>
        <w:t xml:space="preserve"> </w:t>
      </w:r>
      <w:r>
        <w:rPr>
          <w:sz w:val="15"/>
        </w:rPr>
        <w:t>múltiples</w:t>
      </w:r>
      <w:r>
        <w:rPr>
          <w:spacing w:val="14"/>
          <w:sz w:val="15"/>
        </w:rPr>
        <w:t xml:space="preserve"> </w:t>
      </w:r>
      <w:r>
        <w:rPr>
          <w:sz w:val="15"/>
        </w:rPr>
        <w:t>factores,</w:t>
      </w:r>
      <w:r>
        <w:rPr>
          <w:spacing w:val="16"/>
          <w:sz w:val="15"/>
        </w:rPr>
        <w:t xml:space="preserve"> </w:t>
      </w:r>
      <w:r>
        <w:rPr>
          <w:sz w:val="15"/>
        </w:rPr>
        <w:t>sino</w:t>
      </w:r>
      <w:r>
        <w:rPr>
          <w:spacing w:val="14"/>
          <w:sz w:val="15"/>
        </w:rPr>
        <w:t xml:space="preserve"> </w:t>
      </w:r>
      <w:r>
        <w:rPr>
          <w:sz w:val="15"/>
        </w:rPr>
        <w:t>más</w:t>
      </w:r>
      <w:r>
        <w:rPr>
          <w:spacing w:val="14"/>
          <w:sz w:val="15"/>
        </w:rPr>
        <w:t xml:space="preserve"> </w:t>
      </w:r>
      <w:r>
        <w:rPr>
          <w:sz w:val="15"/>
        </w:rPr>
        <w:t>bien</w:t>
      </w:r>
      <w:r>
        <w:rPr>
          <w:spacing w:val="14"/>
          <w:sz w:val="15"/>
        </w:rPr>
        <w:t xml:space="preserve"> </w:t>
      </w:r>
      <w:r>
        <w:rPr>
          <w:sz w:val="15"/>
        </w:rPr>
        <w:t>de</w:t>
      </w:r>
      <w:r>
        <w:rPr>
          <w:spacing w:val="14"/>
          <w:sz w:val="15"/>
        </w:rPr>
        <w:t xml:space="preserve"> </w:t>
      </w:r>
      <w:r>
        <w:rPr>
          <w:sz w:val="15"/>
        </w:rPr>
        <w:t>la</w:t>
      </w:r>
      <w:r>
        <w:rPr>
          <w:spacing w:val="14"/>
          <w:sz w:val="15"/>
        </w:rPr>
        <w:t xml:space="preserve"> </w:t>
      </w:r>
      <w:r>
        <w:rPr>
          <w:sz w:val="15"/>
        </w:rPr>
        <w:t>intersección</w:t>
      </w:r>
      <w:r>
        <w:rPr>
          <w:spacing w:val="14"/>
          <w:sz w:val="15"/>
        </w:rPr>
        <w:t xml:space="preserve"> </w:t>
      </w:r>
      <w:r>
        <w:rPr>
          <w:sz w:val="15"/>
        </w:rPr>
        <w:t>particular</w:t>
      </w:r>
      <w:r>
        <w:rPr>
          <w:spacing w:val="14"/>
          <w:sz w:val="15"/>
        </w:rPr>
        <w:t xml:space="preserve"> </w:t>
      </w:r>
      <w:r>
        <w:rPr>
          <w:sz w:val="15"/>
        </w:rPr>
        <w:t>de</w:t>
      </w:r>
      <w:r>
        <w:rPr>
          <w:spacing w:val="14"/>
          <w:sz w:val="15"/>
        </w:rPr>
        <w:t xml:space="preserve"> </w:t>
      </w:r>
      <w:r>
        <w:rPr>
          <w:sz w:val="15"/>
        </w:rPr>
        <w:t>diferentes</w:t>
      </w:r>
      <w:r>
        <w:rPr>
          <w:spacing w:val="14"/>
          <w:sz w:val="15"/>
        </w:rPr>
        <w:t xml:space="preserve"> </w:t>
      </w:r>
      <w:r>
        <w:rPr>
          <w:sz w:val="15"/>
        </w:rPr>
        <w:t>factores</w:t>
      </w:r>
      <w:r>
        <w:rPr>
          <w:spacing w:val="14"/>
          <w:sz w:val="15"/>
        </w:rPr>
        <w:t xml:space="preserve"> </w:t>
      </w:r>
      <w:r>
        <w:rPr>
          <w:sz w:val="15"/>
        </w:rPr>
        <w:t xml:space="preserve">que dan lugar a formas de discriminación específicas y cualitativamente distintas.197 Por ejemplo, en Gonzales </w:t>
      </w:r>
      <w:proofErr w:type="spellStart"/>
      <w:r>
        <w:rPr>
          <w:sz w:val="15"/>
        </w:rPr>
        <w:t>Lluy</w:t>
      </w:r>
      <w:proofErr w:type="spellEnd"/>
      <w:r>
        <w:rPr>
          <w:sz w:val="15"/>
        </w:rPr>
        <w:t xml:space="preserve"> et al. Alabama. contra Ecuador,</w:t>
      </w:r>
      <w:r>
        <w:rPr>
          <w:spacing w:val="13"/>
          <w:sz w:val="15"/>
        </w:rPr>
        <w:t xml:space="preserve"> </w:t>
      </w:r>
      <w:r>
        <w:rPr>
          <w:sz w:val="15"/>
        </w:rPr>
        <w:t>una</w:t>
      </w:r>
      <w:r>
        <w:rPr>
          <w:spacing w:val="12"/>
          <w:sz w:val="15"/>
        </w:rPr>
        <w:t xml:space="preserve"> </w:t>
      </w:r>
      <w:r>
        <w:rPr>
          <w:sz w:val="15"/>
        </w:rPr>
        <w:t>niña</w:t>
      </w:r>
      <w:r>
        <w:rPr>
          <w:spacing w:val="12"/>
          <w:sz w:val="15"/>
        </w:rPr>
        <w:t xml:space="preserve"> </w:t>
      </w:r>
      <w:r>
        <w:rPr>
          <w:sz w:val="15"/>
        </w:rPr>
        <w:t>que</w:t>
      </w:r>
      <w:r>
        <w:rPr>
          <w:spacing w:val="12"/>
          <w:sz w:val="15"/>
        </w:rPr>
        <w:t xml:space="preserve"> </w:t>
      </w:r>
      <w:r>
        <w:rPr>
          <w:sz w:val="15"/>
        </w:rPr>
        <w:t>vivía</w:t>
      </w:r>
      <w:r>
        <w:rPr>
          <w:spacing w:val="12"/>
          <w:sz w:val="15"/>
        </w:rPr>
        <w:t xml:space="preserve"> </w:t>
      </w:r>
      <w:r>
        <w:rPr>
          <w:sz w:val="15"/>
        </w:rPr>
        <w:t>con</w:t>
      </w:r>
      <w:r>
        <w:rPr>
          <w:spacing w:val="12"/>
          <w:sz w:val="15"/>
        </w:rPr>
        <w:t xml:space="preserve"> </w:t>
      </w:r>
      <w:r>
        <w:rPr>
          <w:sz w:val="15"/>
        </w:rPr>
        <w:t>VIH/SIDA</w:t>
      </w:r>
      <w:r>
        <w:rPr>
          <w:spacing w:val="12"/>
          <w:sz w:val="15"/>
        </w:rPr>
        <w:t xml:space="preserve"> </w:t>
      </w:r>
      <w:r>
        <w:rPr>
          <w:sz w:val="15"/>
        </w:rPr>
        <w:t>había</w:t>
      </w:r>
      <w:r>
        <w:rPr>
          <w:spacing w:val="12"/>
          <w:sz w:val="15"/>
        </w:rPr>
        <w:t xml:space="preserve"> </w:t>
      </w:r>
      <w:r>
        <w:rPr>
          <w:sz w:val="15"/>
        </w:rPr>
        <w:t>sido</w:t>
      </w:r>
      <w:r>
        <w:rPr>
          <w:spacing w:val="12"/>
          <w:sz w:val="15"/>
        </w:rPr>
        <w:t xml:space="preserve"> </w:t>
      </w:r>
      <w:r>
        <w:rPr>
          <w:sz w:val="15"/>
        </w:rPr>
        <w:t>sometida</w:t>
      </w:r>
      <w:r>
        <w:rPr>
          <w:spacing w:val="12"/>
          <w:sz w:val="15"/>
        </w:rPr>
        <w:t xml:space="preserve"> </w:t>
      </w:r>
      <w:r>
        <w:rPr>
          <w:sz w:val="15"/>
        </w:rPr>
        <w:t>a</w:t>
      </w:r>
      <w:r>
        <w:rPr>
          <w:spacing w:val="12"/>
          <w:sz w:val="15"/>
        </w:rPr>
        <w:t xml:space="preserve"> </w:t>
      </w:r>
      <w:r>
        <w:rPr>
          <w:sz w:val="15"/>
        </w:rPr>
        <w:t>diversas</w:t>
      </w:r>
      <w:r>
        <w:rPr>
          <w:spacing w:val="12"/>
          <w:sz w:val="15"/>
        </w:rPr>
        <w:t xml:space="preserve"> </w:t>
      </w:r>
      <w:r>
        <w:rPr>
          <w:sz w:val="15"/>
        </w:rPr>
        <w:t>formas</w:t>
      </w:r>
      <w:r>
        <w:rPr>
          <w:spacing w:val="12"/>
          <w:sz w:val="15"/>
        </w:rPr>
        <w:t xml:space="preserve"> </w:t>
      </w:r>
      <w:r>
        <w:rPr>
          <w:sz w:val="15"/>
        </w:rPr>
        <w:t>de</w:t>
      </w:r>
      <w:r>
        <w:rPr>
          <w:spacing w:val="12"/>
          <w:sz w:val="15"/>
        </w:rPr>
        <w:t xml:space="preserve"> </w:t>
      </w:r>
      <w:r>
        <w:rPr>
          <w:sz w:val="15"/>
        </w:rPr>
        <w:t>daño,</w:t>
      </w:r>
      <w:r>
        <w:rPr>
          <w:spacing w:val="13"/>
          <w:sz w:val="15"/>
        </w:rPr>
        <w:t xml:space="preserve"> </w:t>
      </w:r>
      <w:r>
        <w:rPr>
          <w:sz w:val="15"/>
        </w:rPr>
        <w:t>incluida</w:t>
      </w:r>
      <w:r>
        <w:rPr>
          <w:spacing w:val="12"/>
          <w:sz w:val="15"/>
        </w:rPr>
        <w:t xml:space="preserve"> </w:t>
      </w:r>
      <w:r>
        <w:rPr>
          <w:sz w:val="15"/>
        </w:rPr>
        <w:t>la</w:t>
      </w:r>
      <w:r>
        <w:rPr>
          <w:spacing w:val="12"/>
          <w:sz w:val="15"/>
        </w:rPr>
        <w:t xml:space="preserve"> </w:t>
      </w:r>
      <w:r>
        <w:rPr>
          <w:sz w:val="15"/>
        </w:rPr>
        <w:t>denegación</w:t>
      </w:r>
      <w:r>
        <w:rPr>
          <w:spacing w:val="12"/>
          <w:sz w:val="15"/>
        </w:rPr>
        <w:t xml:space="preserve"> </w:t>
      </w:r>
      <w:r>
        <w:rPr>
          <w:sz w:val="15"/>
        </w:rPr>
        <w:t>de</w:t>
      </w:r>
      <w:r>
        <w:rPr>
          <w:spacing w:val="12"/>
          <w:sz w:val="15"/>
        </w:rPr>
        <w:t xml:space="preserve"> </w:t>
      </w:r>
      <w:r>
        <w:rPr>
          <w:sz w:val="15"/>
        </w:rPr>
        <w:t>acceso</w:t>
      </w:r>
      <w:r>
        <w:rPr>
          <w:spacing w:val="13"/>
          <w:sz w:val="15"/>
        </w:rPr>
        <w:t xml:space="preserve"> </w:t>
      </w:r>
      <w:r>
        <w:rPr>
          <w:sz w:val="15"/>
        </w:rPr>
        <w:t>a</w:t>
      </w:r>
      <w:r>
        <w:rPr>
          <w:spacing w:val="12"/>
          <w:sz w:val="15"/>
        </w:rPr>
        <w:t xml:space="preserve"> </w:t>
      </w:r>
      <w:r>
        <w:rPr>
          <w:sz w:val="15"/>
        </w:rPr>
        <w:t>la atención médica y la expulsión de la escuela, debido a su estado de salud. El Tribunal concluyó que varios factores, como su estado de salud,</w:t>
      </w:r>
      <w:r>
        <w:rPr>
          <w:spacing w:val="13"/>
          <w:sz w:val="15"/>
        </w:rPr>
        <w:t xml:space="preserve"> </w:t>
      </w:r>
      <w:r>
        <w:rPr>
          <w:sz w:val="15"/>
        </w:rPr>
        <w:t>su</w:t>
      </w:r>
      <w:r>
        <w:rPr>
          <w:spacing w:val="12"/>
          <w:sz w:val="15"/>
        </w:rPr>
        <w:t xml:space="preserve"> </w:t>
      </w:r>
      <w:r>
        <w:rPr>
          <w:sz w:val="15"/>
        </w:rPr>
        <w:t>género</w:t>
      </w:r>
      <w:r>
        <w:rPr>
          <w:spacing w:val="12"/>
          <w:sz w:val="15"/>
        </w:rPr>
        <w:t xml:space="preserve"> </w:t>
      </w:r>
      <w:r>
        <w:rPr>
          <w:sz w:val="15"/>
        </w:rPr>
        <w:t>y</w:t>
      </w:r>
      <w:r>
        <w:rPr>
          <w:spacing w:val="12"/>
          <w:sz w:val="15"/>
        </w:rPr>
        <w:t xml:space="preserve"> </w:t>
      </w:r>
      <w:r>
        <w:rPr>
          <w:sz w:val="15"/>
        </w:rPr>
        <w:t>su</w:t>
      </w:r>
      <w:r>
        <w:rPr>
          <w:spacing w:val="12"/>
          <w:sz w:val="15"/>
        </w:rPr>
        <w:t xml:space="preserve"> </w:t>
      </w:r>
      <w:r>
        <w:rPr>
          <w:sz w:val="15"/>
        </w:rPr>
        <w:t>entorno</w:t>
      </w:r>
      <w:r>
        <w:rPr>
          <w:spacing w:val="12"/>
          <w:sz w:val="15"/>
        </w:rPr>
        <w:t xml:space="preserve"> </w:t>
      </w:r>
      <w:r>
        <w:rPr>
          <w:sz w:val="15"/>
        </w:rPr>
        <w:t>socioeconómico,</w:t>
      </w:r>
      <w:r>
        <w:rPr>
          <w:spacing w:val="15"/>
          <w:sz w:val="15"/>
        </w:rPr>
        <w:t xml:space="preserve"> </w:t>
      </w:r>
      <w:r>
        <w:rPr>
          <w:sz w:val="15"/>
        </w:rPr>
        <w:t>habían</w:t>
      </w:r>
      <w:r>
        <w:rPr>
          <w:spacing w:val="12"/>
          <w:sz w:val="15"/>
        </w:rPr>
        <w:t xml:space="preserve"> </w:t>
      </w:r>
      <w:r>
        <w:rPr>
          <w:sz w:val="15"/>
        </w:rPr>
        <w:t>dado</w:t>
      </w:r>
      <w:r>
        <w:rPr>
          <w:spacing w:val="12"/>
          <w:sz w:val="15"/>
        </w:rPr>
        <w:t xml:space="preserve"> </w:t>
      </w:r>
      <w:r>
        <w:rPr>
          <w:sz w:val="15"/>
        </w:rPr>
        <w:t>lugar</w:t>
      </w:r>
      <w:r>
        <w:rPr>
          <w:spacing w:val="12"/>
          <w:sz w:val="15"/>
        </w:rPr>
        <w:t xml:space="preserve"> </w:t>
      </w:r>
      <w:r>
        <w:rPr>
          <w:sz w:val="15"/>
        </w:rPr>
        <w:t>a</w:t>
      </w:r>
      <w:r>
        <w:rPr>
          <w:spacing w:val="12"/>
          <w:sz w:val="15"/>
        </w:rPr>
        <w:t xml:space="preserve"> </w:t>
      </w:r>
      <w:r>
        <w:rPr>
          <w:sz w:val="15"/>
        </w:rPr>
        <w:t>la</w:t>
      </w:r>
      <w:r>
        <w:rPr>
          <w:spacing w:val="12"/>
          <w:sz w:val="15"/>
        </w:rPr>
        <w:t xml:space="preserve"> </w:t>
      </w:r>
      <w:r>
        <w:rPr>
          <w:sz w:val="15"/>
        </w:rPr>
        <w:t>creación</w:t>
      </w:r>
      <w:r>
        <w:rPr>
          <w:spacing w:val="13"/>
          <w:sz w:val="15"/>
        </w:rPr>
        <w:t xml:space="preserve"> </w:t>
      </w:r>
      <w:r>
        <w:rPr>
          <w:sz w:val="15"/>
        </w:rPr>
        <w:t>de</w:t>
      </w:r>
      <w:r>
        <w:rPr>
          <w:spacing w:val="12"/>
          <w:sz w:val="15"/>
        </w:rPr>
        <w:t xml:space="preserve"> </w:t>
      </w:r>
      <w:r>
        <w:rPr>
          <w:sz w:val="15"/>
        </w:rPr>
        <w:t>una</w:t>
      </w:r>
      <w:r>
        <w:rPr>
          <w:spacing w:val="12"/>
          <w:sz w:val="15"/>
        </w:rPr>
        <w:t xml:space="preserve"> </w:t>
      </w:r>
      <w:r>
        <w:rPr>
          <w:sz w:val="15"/>
        </w:rPr>
        <w:t>“forma</w:t>
      </w:r>
      <w:r>
        <w:rPr>
          <w:spacing w:val="12"/>
          <w:sz w:val="15"/>
        </w:rPr>
        <w:t xml:space="preserve"> </w:t>
      </w:r>
      <w:r>
        <w:rPr>
          <w:sz w:val="15"/>
        </w:rPr>
        <w:t>específica</w:t>
      </w:r>
      <w:r>
        <w:rPr>
          <w:spacing w:val="12"/>
          <w:sz w:val="15"/>
        </w:rPr>
        <w:t xml:space="preserve"> </w:t>
      </w:r>
      <w:r>
        <w:rPr>
          <w:sz w:val="15"/>
        </w:rPr>
        <w:t>de</w:t>
      </w:r>
      <w:r>
        <w:rPr>
          <w:spacing w:val="12"/>
          <w:sz w:val="15"/>
        </w:rPr>
        <w:t xml:space="preserve"> </w:t>
      </w:r>
      <w:r>
        <w:rPr>
          <w:sz w:val="15"/>
        </w:rPr>
        <w:t>discriminación</w:t>
      </w:r>
      <w:r>
        <w:rPr>
          <w:spacing w:val="13"/>
          <w:sz w:val="15"/>
        </w:rPr>
        <w:t xml:space="preserve"> </w:t>
      </w:r>
      <w:r>
        <w:rPr>
          <w:sz w:val="15"/>
        </w:rPr>
        <w:t>que</w:t>
      </w:r>
      <w:r>
        <w:rPr>
          <w:spacing w:val="12"/>
          <w:sz w:val="15"/>
        </w:rPr>
        <w:t xml:space="preserve"> </w:t>
      </w:r>
      <w:r>
        <w:rPr>
          <w:sz w:val="15"/>
        </w:rPr>
        <w:t>resultó de la intersección de esos factores; es decir, si no hubiera existido uno de esos factores, la discriminación hubiera sido diferente”198.</w:t>
      </w:r>
    </w:p>
    <w:p w14:paraId="0CE0AC2A" w14:textId="77777777" w:rsidR="0014798C" w:rsidRDefault="0014798C">
      <w:pPr>
        <w:pStyle w:val="Textoindependiente"/>
        <w:rPr>
          <w:sz w:val="15"/>
        </w:rPr>
      </w:pPr>
    </w:p>
    <w:p w14:paraId="223990EA" w14:textId="77777777" w:rsidR="0014798C" w:rsidRDefault="0014798C">
      <w:pPr>
        <w:pStyle w:val="Textoindependiente"/>
        <w:rPr>
          <w:sz w:val="15"/>
        </w:rPr>
      </w:pPr>
    </w:p>
    <w:p w14:paraId="157929B1" w14:textId="77777777" w:rsidR="0014798C" w:rsidRDefault="0014798C">
      <w:pPr>
        <w:pStyle w:val="Textoindependiente"/>
        <w:spacing w:before="149"/>
        <w:rPr>
          <w:sz w:val="15"/>
        </w:rPr>
      </w:pPr>
    </w:p>
    <w:p w14:paraId="6441261E" w14:textId="77777777" w:rsidR="0014798C" w:rsidRDefault="004E1F0B">
      <w:pPr>
        <w:spacing w:line="348" w:lineRule="auto"/>
        <w:ind w:left="1123" w:right="1210" w:hanging="17"/>
        <w:rPr>
          <w:sz w:val="15"/>
        </w:rPr>
      </w:pPr>
      <w:r>
        <w:rPr>
          <w:sz w:val="15"/>
        </w:rPr>
        <w:t>La</w:t>
      </w:r>
      <w:r>
        <w:rPr>
          <w:spacing w:val="10"/>
          <w:sz w:val="15"/>
        </w:rPr>
        <w:t xml:space="preserve"> </w:t>
      </w:r>
      <w:r>
        <w:rPr>
          <w:sz w:val="15"/>
        </w:rPr>
        <w:t>Comisión</w:t>
      </w:r>
      <w:r>
        <w:rPr>
          <w:spacing w:val="10"/>
          <w:sz w:val="15"/>
        </w:rPr>
        <w:t xml:space="preserve"> </w:t>
      </w:r>
      <w:r>
        <w:rPr>
          <w:sz w:val="15"/>
        </w:rPr>
        <w:t>Africana</w:t>
      </w:r>
      <w:r>
        <w:rPr>
          <w:spacing w:val="10"/>
          <w:sz w:val="15"/>
        </w:rPr>
        <w:t xml:space="preserve"> </w:t>
      </w:r>
      <w:r>
        <w:rPr>
          <w:sz w:val="15"/>
        </w:rPr>
        <w:t>de</w:t>
      </w:r>
      <w:r>
        <w:rPr>
          <w:spacing w:val="10"/>
          <w:sz w:val="15"/>
        </w:rPr>
        <w:t xml:space="preserve"> </w:t>
      </w:r>
      <w:r>
        <w:rPr>
          <w:sz w:val="15"/>
        </w:rPr>
        <w:t>Derechos</w:t>
      </w:r>
      <w:r>
        <w:rPr>
          <w:spacing w:val="10"/>
          <w:sz w:val="15"/>
        </w:rPr>
        <w:t xml:space="preserve"> </w:t>
      </w:r>
      <w:r>
        <w:rPr>
          <w:sz w:val="15"/>
        </w:rPr>
        <w:t>Humanos</w:t>
      </w:r>
      <w:r>
        <w:rPr>
          <w:spacing w:val="10"/>
          <w:sz w:val="15"/>
        </w:rPr>
        <w:t xml:space="preserve"> </w:t>
      </w:r>
      <w:r>
        <w:rPr>
          <w:sz w:val="15"/>
        </w:rPr>
        <w:t>y</w:t>
      </w:r>
      <w:r>
        <w:rPr>
          <w:spacing w:val="10"/>
          <w:sz w:val="15"/>
        </w:rPr>
        <w:t xml:space="preserve"> </w:t>
      </w:r>
      <w:r>
        <w:rPr>
          <w:sz w:val="15"/>
        </w:rPr>
        <w:t>de</w:t>
      </w:r>
      <w:r>
        <w:rPr>
          <w:spacing w:val="10"/>
          <w:sz w:val="15"/>
        </w:rPr>
        <w:t xml:space="preserve"> </w:t>
      </w:r>
      <w:r>
        <w:rPr>
          <w:sz w:val="15"/>
        </w:rPr>
        <w:t>los</w:t>
      </w:r>
      <w:r>
        <w:rPr>
          <w:spacing w:val="10"/>
          <w:sz w:val="15"/>
        </w:rPr>
        <w:t xml:space="preserve"> </w:t>
      </w:r>
      <w:r>
        <w:rPr>
          <w:sz w:val="15"/>
        </w:rPr>
        <w:t>Pueblos</w:t>
      </w:r>
      <w:r>
        <w:rPr>
          <w:spacing w:val="10"/>
          <w:sz w:val="15"/>
        </w:rPr>
        <w:t xml:space="preserve"> </w:t>
      </w:r>
      <w:r>
        <w:rPr>
          <w:sz w:val="15"/>
        </w:rPr>
        <w:t>ha</w:t>
      </w:r>
      <w:r>
        <w:rPr>
          <w:spacing w:val="10"/>
          <w:sz w:val="15"/>
        </w:rPr>
        <w:t xml:space="preserve"> </w:t>
      </w:r>
      <w:r>
        <w:rPr>
          <w:sz w:val="15"/>
        </w:rPr>
        <w:t>articulado</w:t>
      </w:r>
      <w:r>
        <w:rPr>
          <w:spacing w:val="10"/>
          <w:sz w:val="15"/>
        </w:rPr>
        <w:t xml:space="preserve"> </w:t>
      </w:r>
      <w:r>
        <w:rPr>
          <w:sz w:val="15"/>
        </w:rPr>
        <w:t>recientemente</w:t>
      </w:r>
      <w:r>
        <w:rPr>
          <w:spacing w:val="10"/>
          <w:sz w:val="15"/>
        </w:rPr>
        <w:t xml:space="preserve"> </w:t>
      </w:r>
      <w:r>
        <w:rPr>
          <w:sz w:val="15"/>
        </w:rPr>
        <w:t>las</w:t>
      </w:r>
      <w:r>
        <w:rPr>
          <w:spacing w:val="10"/>
          <w:sz w:val="15"/>
        </w:rPr>
        <w:t xml:space="preserve"> </w:t>
      </w:r>
      <w:r>
        <w:rPr>
          <w:sz w:val="15"/>
        </w:rPr>
        <w:t>obligaciones</w:t>
      </w:r>
      <w:r>
        <w:rPr>
          <w:spacing w:val="10"/>
          <w:sz w:val="15"/>
        </w:rPr>
        <w:t xml:space="preserve"> </w:t>
      </w:r>
      <w:r>
        <w:rPr>
          <w:sz w:val="15"/>
        </w:rPr>
        <w:t>de</w:t>
      </w:r>
      <w:r>
        <w:rPr>
          <w:spacing w:val="10"/>
          <w:sz w:val="15"/>
        </w:rPr>
        <w:t xml:space="preserve"> </w:t>
      </w:r>
      <w:r>
        <w:rPr>
          <w:sz w:val="15"/>
        </w:rPr>
        <w:t>los</w:t>
      </w:r>
      <w:r>
        <w:rPr>
          <w:spacing w:val="10"/>
          <w:sz w:val="15"/>
        </w:rPr>
        <w:t xml:space="preserve"> </w:t>
      </w:r>
      <w:r>
        <w:rPr>
          <w:sz w:val="15"/>
        </w:rPr>
        <w:t>Estados</w:t>
      </w:r>
      <w:r>
        <w:rPr>
          <w:spacing w:val="10"/>
          <w:sz w:val="15"/>
        </w:rPr>
        <w:t xml:space="preserve"> </w:t>
      </w:r>
      <w:r>
        <w:rPr>
          <w:sz w:val="15"/>
        </w:rPr>
        <w:t>de</w:t>
      </w:r>
      <w:r>
        <w:rPr>
          <w:spacing w:val="10"/>
          <w:sz w:val="15"/>
        </w:rPr>
        <w:t xml:space="preserve"> </w:t>
      </w:r>
      <w:r>
        <w:rPr>
          <w:sz w:val="15"/>
        </w:rPr>
        <w:t>“reconocer y tomar medidas para combatir la discriminación interseccional basada en una combinación de… motivos”.199</w:t>
      </w:r>
    </w:p>
    <w:p w14:paraId="32603D4B" w14:textId="77777777" w:rsidR="0014798C" w:rsidRDefault="004E1F0B">
      <w:pPr>
        <w:pStyle w:val="Textoindependiente"/>
        <w:spacing w:line="154" w:lineRule="exact"/>
        <w:ind w:left="1106"/>
      </w:pPr>
      <w:r>
        <w:t>La</w:t>
      </w:r>
      <w:r>
        <w:rPr>
          <w:spacing w:val="-7"/>
        </w:rPr>
        <w:t xml:space="preserve"> </w:t>
      </w:r>
      <w:r>
        <w:t>jurisprudencia</w:t>
      </w:r>
      <w:r>
        <w:rPr>
          <w:spacing w:val="-5"/>
        </w:rPr>
        <w:t xml:space="preserve"> </w:t>
      </w:r>
      <w:r>
        <w:t>del</w:t>
      </w:r>
      <w:r>
        <w:rPr>
          <w:spacing w:val="-5"/>
        </w:rPr>
        <w:t xml:space="preserve"> </w:t>
      </w:r>
      <w:r>
        <w:t>Tribunal</w:t>
      </w:r>
      <w:r>
        <w:rPr>
          <w:spacing w:val="-5"/>
        </w:rPr>
        <w:t xml:space="preserve"> </w:t>
      </w:r>
      <w:r>
        <w:t>Europeo</w:t>
      </w:r>
      <w:r>
        <w:rPr>
          <w:spacing w:val="-5"/>
        </w:rPr>
        <w:t xml:space="preserve"> </w:t>
      </w:r>
      <w:r>
        <w:t>de</w:t>
      </w:r>
      <w:r>
        <w:rPr>
          <w:spacing w:val="-5"/>
        </w:rPr>
        <w:t xml:space="preserve"> </w:t>
      </w:r>
      <w:r>
        <w:t>Derechos</w:t>
      </w:r>
      <w:r>
        <w:rPr>
          <w:spacing w:val="-5"/>
        </w:rPr>
        <w:t xml:space="preserve"> </w:t>
      </w:r>
      <w:r>
        <w:t>Humanos</w:t>
      </w:r>
      <w:r>
        <w:rPr>
          <w:spacing w:val="-5"/>
        </w:rPr>
        <w:t xml:space="preserve"> </w:t>
      </w:r>
      <w:r>
        <w:t>sobre</w:t>
      </w:r>
      <w:r>
        <w:rPr>
          <w:spacing w:val="-5"/>
        </w:rPr>
        <w:t xml:space="preserve"> </w:t>
      </w:r>
      <w:r>
        <w:t>esta</w:t>
      </w:r>
      <w:r>
        <w:rPr>
          <w:spacing w:val="-5"/>
        </w:rPr>
        <w:t xml:space="preserve"> </w:t>
      </w:r>
      <w:r>
        <w:t>cuestión</w:t>
      </w:r>
      <w:r>
        <w:rPr>
          <w:spacing w:val="-5"/>
        </w:rPr>
        <w:t xml:space="preserve"> </w:t>
      </w:r>
      <w:r>
        <w:t>está</w:t>
      </w:r>
      <w:r>
        <w:rPr>
          <w:spacing w:val="-5"/>
        </w:rPr>
        <w:t xml:space="preserve"> </w:t>
      </w:r>
      <w:r>
        <w:t>menos</w:t>
      </w:r>
      <w:r>
        <w:rPr>
          <w:spacing w:val="-5"/>
        </w:rPr>
        <w:t xml:space="preserve"> </w:t>
      </w:r>
      <w:r>
        <w:t>desarrollada,</w:t>
      </w:r>
      <w:r>
        <w:rPr>
          <w:spacing w:val="-4"/>
        </w:rPr>
        <w:t xml:space="preserve"> </w:t>
      </w:r>
      <w:r>
        <w:t>aunque</w:t>
      </w:r>
      <w:r>
        <w:rPr>
          <w:spacing w:val="-5"/>
        </w:rPr>
        <w:t xml:space="preserve"> </w:t>
      </w:r>
      <w:r>
        <w:t>los</w:t>
      </w:r>
      <w:r>
        <w:rPr>
          <w:spacing w:val="-4"/>
        </w:rPr>
        <w:t xml:space="preserve"> </w:t>
      </w:r>
      <w:r>
        <w:rPr>
          <w:spacing w:val="-2"/>
        </w:rPr>
        <w:t>aspectos</w:t>
      </w:r>
    </w:p>
    <w:p w14:paraId="311C2B68" w14:textId="77777777" w:rsidR="0014798C" w:rsidRDefault="004E1F0B">
      <w:pPr>
        <w:pStyle w:val="Textoindependiente"/>
        <w:spacing w:before="66"/>
        <w:ind w:left="1109"/>
      </w:pPr>
      <w:r>
        <w:t>interrelacionados</w:t>
      </w:r>
      <w:r>
        <w:rPr>
          <w:spacing w:val="-6"/>
        </w:rPr>
        <w:t xml:space="preserve"> </w:t>
      </w:r>
      <w:r>
        <w:t>de</w:t>
      </w:r>
      <w:r>
        <w:rPr>
          <w:spacing w:val="-3"/>
        </w:rPr>
        <w:t xml:space="preserve"> </w:t>
      </w:r>
      <w:r>
        <w:t>la</w:t>
      </w:r>
      <w:r>
        <w:rPr>
          <w:spacing w:val="-3"/>
        </w:rPr>
        <w:t xml:space="preserve"> </w:t>
      </w:r>
      <w:r>
        <w:t>identidad</w:t>
      </w:r>
      <w:r>
        <w:rPr>
          <w:spacing w:val="-4"/>
        </w:rPr>
        <w:t xml:space="preserve"> </w:t>
      </w:r>
      <w:r>
        <w:t>de</w:t>
      </w:r>
      <w:r>
        <w:rPr>
          <w:spacing w:val="-3"/>
        </w:rPr>
        <w:t xml:space="preserve"> </w:t>
      </w:r>
      <w:r>
        <w:t>un</w:t>
      </w:r>
      <w:r>
        <w:rPr>
          <w:spacing w:val="-3"/>
        </w:rPr>
        <w:t xml:space="preserve"> </w:t>
      </w:r>
      <w:r>
        <w:t>individuo</w:t>
      </w:r>
      <w:r>
        <w:rPr>
          <w:spacing w:val="-4"/>
        </w:rPr>
        <w:t xml:space="preserve"> </w:t>
      </w:r>
      <w:r>
        <w:t>se</w:t>
      </w:r>
      <w:r>
        <w:rPr>
          <w:spacing w:val="-3"/>
        </w:rPr>
        <w:t xml:space="preserve"> </w:t>
      </w:r>
      <w:r>
        <w:t>han</w:t>
      </w:r>
      <w:r>
        <w:rPr>
          <w:spacing w:val="-3"/>
        </w:rPr>
        <w:t xml:space="preserve"> </w:t>
      </w:r>
      <w:r>
        <w:t>citado</w:t>
      </w:r>
      <w:r>
        <w:rPr>
          <w:spacing w:val="-4"/>
        </w:rPr>
        <w:t xml:space="preserve"> </w:t>
      </w:r>
      <w:r>
        <w:t>en</w:t>
      </w:r>
      <w:r>
        <w:rPr>
          <w:spacing w:val="-3"/>
        </w:rPr>
        <w:t xml:space="preserve"> </w:t>
      </w:r>
      <w:r>
        <w:t>casos</w:t>
      </w:r>
      <w:r>
        <w:rPr>
          <w:spacing w:val="-3"/>
        </w:rPr>
        <w:t xml:space="preserve"> </w:t>
      </w:r>
      <w:r>
        <w:t>en</w:t>
      </w:r>
      <w:r>
        <w:rPr>
          <w:spacing w:val="-4"/>
        </w:rPr>
        <w:t xml:space="preserve"> </w:t>
      </w:r>
      <w:r>
        <w:t>los</w:t>
      </w:r>
      <w:r>
        <w:rPr>
          <w:spacing w:val="-3"/>
        </w:rPr>
        <w:t xml:space="preserve"> </w:t>
      </w:r>
      <w:r>
        <w:t>que</w:t>
      </w:r>
      <w:r>
        <w:rPr>
          <w:spacing w:val="-3"/>
        </w:rPr>
        <w:t xml:space="preserve"> </w:t>
      </w:r>
      <w:r>
        <w:t>se</w:t>
      </w:r>
      <w:r>
        <w:rPr>
          <w:spacing w:val="-4"/>
        </w:rPr>
        <w:t xml:space="preserve"> </w:t>
      </w:r>
      <w:r>
        <w:t>llega</w:t>
      </w:r>
      <w:r>
        <w:rPr>
          <w:spacing w:val="-3"/>
        </w:rPr>
        <w:t xml:space="preserve"> </w:t>
      </w:r>
      <w:r>
        <w:t>a</w:t>
      </w:r>
      <w:r>
        <w:rPr>
          <w:spacing w:val="-3"/>
        </w:rPr>
        <w:t xml:space="preserve"> </w:t>
      </w:r>
      <w:r>
        <w:t>una</w:t>
      </w:r>
      <w:r>
        <w:rPr>
          <w:spacing w:val="-4"/>
        </w:rPr>
        <w:t xml:space="preserve"> </w:t>
      </w:r>
      <w:r>
        <w:t>conclusión</w:t>
      </w:r>
      <w:r>
        <w:rPr>
          <w:spacing w:val="-3"/>
        </w:rPr>
        <w:t xml:space="preserve"> </w:t>
      </w:r>
      <w:r>
        <w:t>de</w:t>
      </w:r>
      <w:r>
        <w:rPr>
          <w:spacing w:val="-3"/>
        </w:rPr>
        <w:t xml:space="preserve"> </w:t>
      </w:r>
      <w:r>
        <w:rPr>
          <w:spacing w:val="-2"/>
        </w:rPr>
        <w:t>discriminación.200</w:t>
      </w:r>
    </w:p>
    <w:p w14:paraId="20BA015C" w14:textId="77777777" w:rsidR="0014798C" w:rsidRDefault="0014798C">
      <w:pPr>
        <w:pStyle w:val="Textoindependiente"/>
        <w:rPr>
          <w:sz w:val="10"/>
        </w:rPr>
      </w:pPr>
    </w:p>
    <w:p w14:paraId="1AD2F254" w14:textId="77777777" w:rsidR="0014798C" w:rsidRDefault="0014798C">
      <w:pPr>
        <w:pStyle w:val="Textoindependiente"/>
        <w:rPr>
          <w:sz w:val="10"/>
        </w:rPr>
      </w:pPr>
    </w:p>
    <w:p w14:paraId="29A73411" w14:textId="77777777" w:rsidR="0014798C" w:rsidRDefault="0014798C">
      <w:pPr>
        <w:pStyle w:val="Textoindependiente"/>
        <w:rPr>
          <w:sz w:val="10"/>
        </w:rPr>
      </w:pPr>
    </w:p>
    <w:p w14:paraId="0E8548D2" w14:textId="77777777" w:rsidR="0014798C" w:rsidRDefault="0014798C">
      <w:pPr>
        <w:pStyle w:val="Textoindependiente"/>
        <w:rPr>
          <w:sz w:val="10"/>
        </w:rPr>
      </w:pPr>
    </w:p>
    <w:p w14:paraId="2A474F32" w14:textId="77777777" w:rsidR="0014798C" w:rsidRDefault="0014798C">
      <w:pPr>
        <w:pStyle w:val="Textoindependiente"/>
        <w:spacing w:before="47"/>
        <w:rPr>
          <w:sz w:val="10"/>
        </w:rPr>
      </w:pPr>
    </w:p>
    <w:p w14:paraId="0CB5FFC4" w14:textId="77777777" w:rsidR="0014798C" w:rsidRDefault="004E1F0B">
      <w:pPr>
        <w:spacing w:line="374" w:lineRule="auto"/>
        <w:ind w:left="1368" w:right="1626" w:hanging="257"/>
        <w:rPr>
          <w:sz w:val="10"/>
        </w:rPr>
      </w:pPr>
      <w:r>
        <w:rPr>
          <w:w w:val="105"/>
          <w:sz w:val="10"/>
        </w:rPr>
        <w:t>191 El artículo 6 de la Convención sobre los Derechos de las Personas con Discapacidad reconoce expresamente que las mujeres y las niñas con discapacidad pueden estar sujetas a</w:t>
      </w:r>
      <w:r>
        <w:rPr>
          <w:spacing w:val="40"/>
          <w:w w:val="105"/>
          <w:sz w:val="10"/>
        </w:rPr>
        <w:t xml:space="preserve"> </w:t>
      </w:r>
      <w:r>
        <w:rPr>
          <w:w w:val="105"/>
          <w:sz w:val="10"/>
        </w:rPr>
        <w:t>discriminación múltiple. El Comité sobre los Derechos de las Personas con Discapacidad ha señalado que esta disposición es sólo ilustrativa y que la prohibición de la discriminación</w:t>
      </w:r>
      <w:r>
        <w:rPr>
          <w:spacing w:val="40"/>
          <w:w w:val="105"/>
          <w:sz w:val="10"/>
        </w:rPr>
        <w:t xml:space="preserve"> </w:t>
      </w:r>
      <w:r>
        <w:rPr>
          <w:w w:val="105"/>
          <w:sz w:val="10"/>
        </w:rPr>
        <w:t>múltiple e interseccional es una obligación transversal en virtud de la Convención. Véase Comité sobre los Derechos de las Personas con Discapacidad, observación general núm. 6</w:t>
      </w:r>
      <w:r>
        <w:rPr>
          <w:spacing w:val="40"/>
          <w:w w:val="105"/>
          <w:sz w:val="10"/>
        </w:rPr>
        <w:t xml:space="preserve"> </w:t>
      </w:r>
      <w:r>
        <w:rPr>
          <w:w w:val="105"/>
          <w:sz w:val="10"/>
        </w:rPr>
        <w:t xml:space="preserve">(2018), </w:t>
      </w:r>
      <w:proofErr w:type="spellStart"/>
      <w:r>
        <w:rPr>
          <w:w w:val="105"/>
          <w:sz w:val="10"/>
        </w:rPr>
        <w:t>párrs</w:t>
      </w:r>
      <w:proofErr w:type="spellEnd"/>
      <w:r>
        <w:rPr>
          <w:w w:val="105"/>
          <w:sz w:val="10"/>
        </w:rPr>
        <w:t>. 19 y 36.</w:t>
      </w:r>
    </w:p>
    <w:p w14:paraId="3D21CA6F" w14:textId="77777777" w:rsidR="0014798C" w:rsidRDefault="004E1F0B">
      <w:pPr>
        <w:spacing w:before="58"/>
        <w:ind w:left="1111"/>
        <w:rPr>
          <w:sz w:val="10"/>
        </w:rPr>
      </w:pPr>
      <w:r>
        <w:rPr>
          <w:w w:val="105"/>
          <w:sz w:val="10"/>
        </w:rPr>
        <w:t>192</w:t>
      </w:r>
      <w:r>
        <w:rPr>
          <w:spacing w:val="-1"/>
          <w:w w:val="105"/>
          <w:sz w:val="10"/>
        </w:rPr>
        <w:t xml:space="preserve"> </w:t>
      </w:r>
      <w:r>
        <w:rPr>
          <w:w w:val="105"/>
          <w:sz w:val="10"/>
        </w:rPr>
        <w:t>Comisión Africana de Derechos</w:t>
      </w:r>
      <w:r>
        <w:rPr>
          <w:spacing w:val="-1"/>
          <w:w w:val="105"/>
          <w:sz w:val="10"/>
        </w:rPr>
        <w:t xml:space="preserve"> </w:t>
      </w:r>
      <w:r>
        <w:rPr>
          <w:w w:val="105"/>
          <w:sz w:val="10"/>
        </w:rPr>
        <w:t>Humanos y de los Pueblos, resolución 73 sobre derechos económicos, sociales y culturales en</w:t>
      </w:r>
      <w:r>
        <w:rPr>
          <w:spacing w:val="-1"/>
          <w:w w:val="105"/>
          <w:sz w:val="10"/>
        </w:rPr>
        <w:t xml:space="preserve"> </w:t>
      </w:r>
      <w:r>
        <w:rPr>
          <w:spacing w:val="-2"/>
          <w:w w:val="105"/>
          <w:sz w:val="10"/>
        </w:rPr>
        <w:t>África</w:t>
      </w:r>
    </w:p>
    <w:p w14:paraId="545FE20F" w14:textId="77777777" w:rsidR="0014798C" w:rsidRDefault="004E1F0B">
      <w:pPr>
        <w:spacing w:before="47"/>
        <w:ind w:left="1375"/>
        <w:rPr>
          <w:sz w:val="11"/>
        </w:rPr>
      </w:pPr>
      <w:r>
        <w:rPr>
          <w:spacing w:val="-2"/>
          <w:w w:val="105"/>
          <w:sz w:val="11"/>
        </w:rPr>
        <w:t>(CADHP/Res.73(XXXVI)04).</w:t>
      </w:r>
    </w:p>
    <w:p w14:paraId="7D703C34" w14:textId="77777777" w:rsidR="0014798C" w:rsidRDefault="0014798C">
      <w:pPr>
        <w:pStyle w:val="Textoindependiente"/>
        <w:spacing w:before="13"/>
        <w:rPr>
          <w:sz w:val="10"/>
        </w:rPr>
      </w:pPr>
    </w:p>
    <w:p w14:paraId="55C2802A" w14:textId="77777777" w:rsidR="0014798C" w:rsidRDefault="004E1F0B">
      <w:pPr>
        <w:ind w:left="1111"/>
        <w:rPr>
          <w:sz w:val="10"/>
        </w:rPr>
      </w:pPr>
      <w:r>
        <w:rPr>
          <w:w w:val="105"/>
          <w:sz w:val="10"/>
        </w:rPr>
        <w:t>193</w:t>
      </w:r>
      <w:r>
        <w:rPr>
          <w:spacing w:val="-1"/>
          <w:w w:val="105"/>
          <w:sz w:val="10"/>
        </w:rPr>
        <w:t xml:space="preserve"> </w:t>
      </w:r>
      <w:r>
        <w:rPr>
          <w:w w:val="105"/>
          <w:sz w:val="10"/>
        </w:rPr>
        <w:t>Comisión</w:t>
      </w:r>
      <w:r>
        <w:rPr>
          <w:spacing w:val="-1"/>
          <w:w w:val="105"/>
          <w:sz w:val="10"/>
        </w:rPr>
        <w:t xml:space="preserve"> </w:t>
      </w:r>
      <w:r>
        <w:rPr>
          <w:w w:val="105"/>
          <w:sz w:val="10"/>
        </w:rPr>
        <w:t>Africana de</w:t>
      </w:r>
      <w:r>
        <w:rPr>
          <w:spacing w:val="-1"/>
          <w:w w:val="105"/>
          <w:sz w:val="10"/>
        </w:rPr>
        <w:t xml:space="preserve"> </w:t>
      </w:r>
      <w:r>
        <w:rPr>
          <w:w w:val="105"/>
          <w:sz w:val="10"/>
        </w:rPr>
        <w:t>Derechos Humanos</w:t>
      </w:r>
      <w:r>
        <w:rPr>
          <w:spacing w:val="-1"/>
          <w:w w:val="105"/>
          <w:sz w:val="10"/>
        </w:rPr>
        <w:t xml:space="preserve"> </w:t>
      </w:r>
      <w:r>
        <w:rPr>
          <w:w w:val="105"/>
          <w:sz w:val="10"/>
        </w:rPr>
        <w:t>y de</w:t>
      </w:r>
      <w:r>
        <w:rPr>
          <w:spacing w:val="-1"/>
          <w:w w:val="105"/>
          <w:sz w:val="10"/>
        </w:rPr>
        <w:t xml:space="preserve"> </w:t>
      </w:r>
      <w:r>
        <w:rPr>
          <w:w w:val="105"/>
          <w:sz w:val="10"/>
        </w:rPr>
        <w:t>los</w:t>
      </w:r>
      <w:r>
        <w:rPr>
          <w:spacing w:val="-1"/>
          <w:w w:val="105"/>
          <w:sz w:val="10"/>
        </w:rPr>
        <w:t xml:space="preserve"> </w:t>
      </w:r>
      <w:r>
        <w:rPr>
          <w:w w:val="105"/>
          <w:sz w:val="10"/>
        </w:rPr>
        <w:t>Pueblos,</w:t>
      </w:r>
      <w:r>
        <w:rPr>
          <w:spacing w:val="1"/>
          <w:w w:val="105"/>
          <w:sz w:val="10"/>
        </w:rPr>
        <w:t xml:space="preserve"> </w:t>
      </w:r>
      <w:r>
        <w:rPr>
          <w:w w:val="105"/>
          <w:sz w:val="10"/>
        </w:rPr>
        <w:t>“Comunicado</w:t>
      </w:r>
      <w:r>
        <w:rPr>
          <w:spacing w:val="-1"/>
          <w:w w:val="105"/>
          <w:sz w:val="10"/>
        </w:rPr>
        <w:t xml:space="preserve"> </w:t>
      </w:r>
      <w:r>
        <w:rPr>
          <w:w w:val="105"/>
          <w:sz w:val="10"/>
        </w:rPr>
        <w:t>final del</w:t>
      </w:r>
      <w:r>
        <w:rPr>
          <w:spacing w:val="-1"/>
          <w:w w:val="105"/>
          <w:sz w:val="10"/>
        </w:rPr>
        <w:t xml:space="preserve"> </w:t>
      </w:r>
      <w:r>
        <w:rPr>
          <w:w w:val="105"/>
          <w:sz w:val="10"/>
        </w:rPr>
        <w:t>50º período</w:t>
      </w:r>
      <w:r>
        <w:rPr>
          <w:spacing w:val="-1"/>
          <w:w w:val="105"/>
          <w:sz w:val="10"/>
        </w:rPr>
        <w:t xml:space="preserve"> </w:t>
      </w:r>
      <w:r>
        <w:rPr>
          <w:w w:val="105"/>
          <w:sz w:val="10"/>
        </w:rPr>
        <w:t>ordinario de</w:t>
      </w:r>
      <w:r>
        <w:rPr>
          <w:spacing w:val="-1"/>
          <w:w w:val="105"/>
          <w:sz w:val="10"/>
        </w:rPr>
        <w:t xml:space="preserve"> </w:t>
      </w:r>
      <w:r>
        <w:rPr>
          <w:w w:val="105"/>
          <w:sz w:val="10"/>
        </w:rPr>
        <w:t>sesiones</w:t>
      </w:r>
      <w:r>
        <w:rPr>
          <w:spacing w:val="-1"/>
          <w:w w:val="105"/>
          <w:sz w:val="10"/>
        </w:rPr>
        <w:t xml:space="preserve"> </w:t>
      </w:r>
      <w:r>
        <w:rPr>
          <w:w w:val="105"/>
          <w:sz w:val="10"/>
        </w:rPr>
        <w:t>de la</w:t>
      </w:r>
      <w:r>
        <w:rPr>
          <w:spacing w:val="-1"/>
          <w:w w:val="105"/>
          <w:sz w:val="10"/>
        </w:rPr>
        <w:t xml:space="preserve"> </w:t>
      </w:r>
      <w:r>
        <w:rPr>
          <w:w w:val="105"/>
          <w:sz w:val="10"/>
        </w:rPr>
        <w:t>Comisión Africana</w:t>
      </w:r>
      <w:r>
        <w:rPr>
          <w:spacing w:val="-1"/>
          <w:w w:val="105"/>
          <w:sz w:val="10"/>
        </w:rPr>
        <w:t xml:space="preserve"> </w:t>
      </w:r>
      <w:r>
        <w:rPr>
          <w:w w:val="105"/>
          <w:sz w:val="10"/>
        </w:rPr>
        <w:t>de Derechos</w:t>
      </w:r>
      <w:r>
        <w:rPr>
          <w:spacing w:val="-1"/>
          <w:w w:val="105"/>
          <w:sz w:val="10"/>
        </w:rPr>
        <w:t xml:space="preserve"> </w:t>
      </w:r>
      <w:r>
        <w:rPr>
          <w:w w:val="105"/>
          <w:sz w:val="10"/>
        </w:rPr>
        <w:t>Humanos</w:t>
      </w:r>
      <w:r>
        <w:rPr>
          <w:spacing w:val="-1"/>
          <w:w w:val="105"/>
          <w:sz w:val="10"/>
        </w:rPr>
        <w:t xml:space="preserve"> </w:t>
      </w:r>
      <w:r>
        <w:rPr>
          <w:w w:val="105"/>
          <w:sz w:val="10"/>
        </w:rPr>
        <w:t>y de</w:t>
      </w:r>
      <w:r>
        <w:rPr>
          <w:spacing w:val="-1"/>
          <w:w w:val="105"/>
          <w:sz w:val="10"/>
        </w:rPr>
        <w:t xml:space="preserve"> </w:t>
      </w:r>
      <w:r>
        <w:rPr>
          <w:w w:val="105"/>
          <w:sz w:val="10"/>
        </w:rPr>
        <w:t xml:space="preserve">los </w:t>
      </w:r>
      <w:r>
        <w:rPr>
          <w:spacing w:val="-2"/>
          <w:w w:val="105"/>
          <w:sz w:val="10"/>
        </w:rPr>
        <w:t>Pueblos”.</w:t>
      </w:r>
    </w:p>
    <w:p w14:paraId="21BBAD0B" w14:textId="77777777" w:rsidR="0014798C" w:rsidRDefault="004E1F0B">
      <w:pPr>
        <w:spacing w:before="52"/>
        <w:ind w:left="1367"/>
        <w:rPr>
          <w:sz w:val="11"/>
        </w:rPr>
      </w:pPr>
      <w:r>
        <w:rPr>
          <w:w w:val="105"/>
          <w:sz w:val="11"/>
        </w:rPr>
        <w:t>Derechos</w:t>
      </w:r>
      <w:r>
        <w:rPr>
          <w:spacing w:val="1"/>
          <w:w w:val="105"/>
          <w:sz w:val="11"/>
        </w:rPr>
        <w:t xml:space="preserve"> </w:t>
      </w:r>
      <w:r>
        <w:rPr>
          <w:w w:val="105"/>
          <w:sz w:val="11"/>
        </w:rPr>
        <w:t>Humanos</w:t>
      </w:r>
      <w:r>
        <w:rPr>
          <w:spacing w:val="1"/>
          <w:w w:val="105"/>
          <w:sz w:val="11"/>
        </w:rPr>
        <w:t xml:space="preserve"> </w:t>
      </w:r>
      <w:r>
        <w:rPr>
          <w:w w:val="105"/>
          <w:sz w:val="11"/>
        </w:rPr>
        <w:t>y</w:t>
      </w:r>
      <w:r>
        <w:rPr>
          <w:spacing w:val="1"/>
          <w:w w:val="105"/>
          <w:sz w:val="11"/>
        </w:rPr>
        <w:t xml:space="preserve"> </w:t>
      </w:r>
      <w:r>
        <w:rPr>
          <w:w w:val="105"/>
          <w:sz w:val="11"/>
        </w:rPr>
        <w:t>de</w:t>
      </w:r>
      <w:r>
        <w:rPr>
          <w:spacing w:val="2"/>
          <w:w w:val="105"/>
          <w:sz w:val="11"/>
        </w:rPr>
        <w:t xml:space="preserve"> </w:t>
      </w:r>
      <w:r>
        <w:rPr>
          <w:w w:val="105"/>
          <w:sz w:val="11"/>
        </w:rPr>
        <w:t>los</w:t>
      </w:r>
      <w:r>
        <w:rPr>
          <w:spacing w:val="1"/>
          <w:w w:val="105"/>
          <w:sz w:val="11"/>
        </w:rPr>
        <w:t xml:space="preserve"> </w:t>
      </w:r>
      <w:r>
        <w:rPr>
          <w:w w:val="105"/>
          <w:sz w:val="11"/>
        </w:rPr>
        <w:t>Pueblos”</w:t>
      </w:r>
      <w:r>
        <w:rPr>
          <w:spacing w:val="1"/>
          <w:w w:val="105"/>
          <w:sz w:val="11"/>
        </w:rPr>
        <w:t xml:space="preserve"> </w:t>
      </w:r>
      <w:r>
        <w:rPr>
          <w:w w:val="105"/>
          <w:sz w:val="11"/>
        </w:rPr>
        <w:t>(Banjul,</w:t>
      </w:r>
      <w:r>
        <w:rPr>
          <w:spacing w:val="2"/>
          <w:w w:val="105"/>
          <w:sz w:val="11"/>
        </w:rPr>
        <w:t xml:space="preserve"> </w:t>
      </w:r>
      <w:r>
        <w:rPr>
          <w:spacing w:val="-2"/>
          <w:w w:val="105"/>
          <w:sz w:val="11"/>
        </w:rPr>
        <w:t>2011).</w:t>
      </w:r>
    </w:p>
    <w:p w14:paraId="37EA340C" w14:textId="77777777" w:rsidR="0014798C" w:rsidRDefault="004E1F0B">
      <w:pPr>
        <w:spacing w:before="123"/>
        <w:ind w:left="1111"/>
        <w:rPr>
          <w:sz w:val="10"/>
        </w:rPr>
      </w:pPr>
      <w:r>
        <w:rPr>
          <w:w w:val="105"/>
          <w:sz w:val="10"/>
        </w:rPr>
        <w:t>194 Comisión Africana de</w:t>
      </w:r>
      <w:r>
        <w:rPr>
          <w:spacing w:val="-1"/>
          <w:w w:val="105"/>
          <w:sz w:val="10"/>
        </w:rPr>
        <w:t xml:space="preserve"> </w:t>
      </w:r>
      <w:r>
        <w:rPr>
          <w:w w:val="105"/>
          <w:sz w:val="10"/>
        </w:rPr>
        <w:t>Derechos Humanos y de los Pueblos,</w:t>
      </w:r>
      <w:r>
        <w:rPr>
          <w:spacing w:val="1"/>
          <w:w w:val="105"/>
          <w:sz w:val="10"/>
        </w:rPr>
        <w:t xml:space="preserve"> </w:t>
      </w:r>
      <w:r>
        <w:rPr>
          <w:w w:val="105"/>
          <w:sz w:val="10"/>
        </w:rPr>
        <w:t>Principios y Directrices sobre la Implementación de los Derechos Económicos,</w:t>
      </w:r>
      <w:r>
        <w:rPr>
          <w:spacing w:val="1"/>
          <w:w w:val="105"/>
          <w:sz w:val="10"/>
        </w:rPr>
        <w:t xml:space="preserve"> </w:t>
      </w:r>
      <w:r>
        <w:rPr>
          <w:w w:val="105"/>
          <w:sz w:val="10"/>
        </w:rPr>
        <w:t xml:space="preserve">Sociales y </w:t>
      </w:r>
      <w:r>
        <w:rPr>
          <w:spacing w:val="-2"/>
          <w:w w:val="105"/>
          <w:sz w:val="10"/>
        </w:rPr>
        <w:t>Culturales</w:t>
      </w:r>
    </w:p>
    <w:p w14:paraId="2EDB7AEA" w14:textId="77777777" w:rsidR="0014798C" w:rsidRDefault="004E1F0B">
      <w:pPr>
        <w:spacing w:before="52"/>
        <w:ind w:left="1368"/>
        <w:rPr>
          <w:sz w:val="11"/>
        </w:rPr>
      </w:pPr>
      <w:r>
        <w:rPr>
          <w:w w:val="105"/>
          <w:sz w:val="11"/>
        </w:rPr>
        <w:t>Derechos en la Carta</w:t>
      </w:r>
      <w:r>
        <w:rPr>
          <w:spacing w:val="1"/>
          <w:w w:val="105"/>
          <w:sz w:val="11"/>
        </w:rPr>
        <w:t xml:space="preserve"> </w:t>
      </w:r>
      <w:r>
        <w:rPr>
          <w:w w:val="105"/>
          <w:sz w:val="11"/>
        </w:rPr>
        <w:t>Africana de Derechos Humanos</w:t>
      </w:r>
      <w:r>
        <w:rPr>
          <w:spacing w:val="1"/>
          <w:w w:val="105"/>
          <w:sz w:val="11"/>
        </w:rPr>
        <w:t xml:space="preserve"> </w:t>
      </w:r>
      <w:r>
        <w:rPr>
          <w:w w:val="105"/>
          <w:sz w:val="11"/>
        </w:rPr>
        <w:t>y de los Pueblos,</w:t>
      </w:r>
      <w:r>
        <w:rPr>
          <w:spacing w:val="2"/>
          <w:w w:val="105"/>
          <w:sz w:val="11"/>
        </w:rPr>
        <w:t xml:space="preserve"> </w:t>
      </w:r>
      <w:r>
        <w:rPr>
          <w:spacing w:val="-2"/>
          <w:w w:val="105"/>
          <w:sz w:val="11"/>
        </w:rPr>
        <w:t>preámbulo.</w:t>
      </w:r>
    </w:p>
    <w:p w14:paraId="35073295" w14:textId="77777777" w:rsidR="0014798C" w:rsidRDefault="004E1F0B">
      <w:pPr>
        <w:spacing w:before="123"/>
        <w:ind w:left="1111"/>
        <w:rPr>
          <w:sz w:val="10"/>
        </w:rPr>
      </w:pPr>
      <w:r>
        <w:rPr>
          <w:w w:val="105"/>
          <w:sz w:val="10"/>
        </w:rPr>
        <w:t>195</w:t>
      </w:r>
      <w:r>
        <w:rPr>
          <w:spacing w:val="-2"/>
          <w:w w:val="105"/>
          <w:sz w:val="10"/>
        </w:rPr>
        <w:t xml:space="preserve"> </w:t>
      </w:r>
      <w:proofErr w:type="spellStart"/>
      <w:r>
        <w:rPr>
          <w:w w:val="105"/>
          <w:sz w:val="10"/>
        </w:rPr>
        <w:t>Ibíd</w:t>
      </w:r>
      <w:proofErr w:type="spellEnd"/>
      <w:r>
        <w:rPr>
          <w:w w:val="105"/>
          <w:sz w:val="10"/>
        </w:rPr>
        <w:t>.,</w:t>
      </w:r>
      <w:r>
        <w:rPr>
          <w:spacing w:val="-1"/>
          <w:w w:val="105"/>
          <w:sz w:val="10"/>
        </w:rPr>
        <w:t xml:space="preserve"> </w:t>
      </w:r>
      <w:proofErr w:type="spellStart"/>
      <w:r>
        <w:rPr>
          <w:w w:val="105"/>
          <w:sz w:val="10"/>
        </w:rPr>
        <w:t>párrs</w:t>
      </w:r>
      <w:proofErr w:type="spellEnd"/>
      <w:r>
        <w:rPr>
          <w:w w:val="105"/>
          <w:sz w:val="10"/>
        </w:rPr>
        <w:t>. 1(l)</w:t>
      </w:r>
      <w:r>
        <w:rPr>
          <w:spacing w:val="-1"/>
          <w:w w:val="105"/>
          <w:sz w:val="10"/>
        </w:rPr>
        <w:t xml:space="preserve"> </w:t>
      </w:r>
      <w:r>
        <w:rPr>
          <w:w w:val="105"/>
          <w:sz w:val="10"/>
        </w:rPr>
        <w:t>y</w:t>
      </w:r>
      <w:r>
        <w:rPr>
          <w:spacing w:val="-1"/>
          <w:w w:val="105"/>
          <w:sz w:val="10"/>
        </w:rPr>
        <w:t xml:space="preserve"> </w:t>
      </w:r>
      <w:r>
        <w:rPr>
          <w:spacing w:val="-5"/>
          <w:w w:val="105"/>
          <w:sz w:val="10"/>
        </w:rPr>
        <w:t>38.</w:t>
      </w:r>
    </w:p>
    <w:p w14:paraId="702C5438" w14:textId="77777777" w:rsidR="0014798C" w:rsidRDefault="0014798C">
      <w:pPr>
        <w:rPr>
          <w:sz w:val="10"/>
        </w:rPr>
        <w:sectPr w:rsidR="0014798C" w:rsidSect="00F265E4">
          <w:pgSz w:w="11900" w:h="16820"/>
          <w:pgMar w:top="340" w:right="0" w:bottom="280" w:left="200" w:header="121" w:footer="0" w:gutter="0"/>
          <w:cols w:space="720"/>
        </w:sectPr>
      </w:pPr>
    </w:p>
    <w:p w14:paraId="6FA7DD3B" w14:textId="77777777" w:rsidR="0014798C" w:rsidRDefault="004E1F0B">
      <w:pPr>
        <w:spacing w:before="57"/>
        <w:jc w:val="right"/>
        <w:rPr>
          <w:sz w:val="8"/>
        </w:rPr>
      </w:pPr>
      <w:r>
        <w:rPr>
          <w:spacing w:val="-5"/>
          <w:w w:val="105"/>
          <w:sz w:val="8"/>
        </w:rPr>
        <w:t>196</w:t>
      </w:r>
    </w:p>
    <w:p w14:paraId="15DF0810" w14:textId="77777777" w:rsidR="0014798C" w:rsidRDefault="004E1F0B">
      <w:pPr>
        <w:spacing w:before="109" w:line="340" w:lineRule="auto"/>
        <w:ind w:left="74" w:right="1278" w:firstLine="3"/>
        <w:rPr>
          <w:sz w:val="11"/>
        </w:rPr>
      </w:pPr>
      <w:r>
        <w:br w:type="column"/>
      </w:r>
      <w:r>
        <w:rPr>
          <w:sz w:val="11"/>
        </w:rPr>
        <w:t>Véase,</w:t>
      </w:r>
      <w:r>
        <w:rPr>
          <w:spacing w:val="20"/>
          <w:sz w:val="11"/>
        </w:rPr>
        <w:t xml:space="preserve"> </w:t>
      </w:r>
      <w:r>
        <w:rPr>
          <w:sz w:val="11"/>
        </w:rPr>
        <w:t>por</w:t>
      </w:r>
      <w:r>
        <w:rPr>
          <w:spacing w:val="18"/>
          <w:sz w:val="11"/>
        </w:rPr>
        <w:t xml:space="preserve"> </w:t>
      </w:r>
      <w:r>
        <w:rPr>
          <w:sz w:val="11"/>
        </w:rPr>
        <w:t>ejemplo,</w:t>
      </w:r>
      <w:r>
        <w:rPr>
          <w:spacing w:val="20"/>
          <w:sz w:val="11"/>
        </w:rPr>
        <w:t xml:space="preserve"> </w:t>
      </w:r>
      <w:r>
        <w:rPr>
          <w:sz w:val="11"/>
        </w:rPr>
        <w:t>Comisión</w:t>
      </w:r>
      <w:r>
        <w:rPr>
          <w:spacing w:val="18"/>
          <w:sz w:val="11"/>
        </w:rPr>
        <w:t xml:space="preserve"> </w:t>
      </w:r>
      <w:r>
        <w:rPr>
          <w:sz w:val="11"/>
        </w:rPr>
        <w:t>Interamericana</w:t>
      </w:r>
      <w:r>
        <w:rPr>
          <w:spacing w:val="18"/>
          <w:sz w:val="11"/>
        </w:rPr>
        <w:t xml:space="preserve"> </w:t>
      </w:r>
      <w:r>
        <w:rPr>
          <w:sz w:val="11"/>
        </w:rPr>
        <w:t>de</w:t>
      </w:r>
      <w:r>
        <w:rPr>
          <w:spacing w:val="18"/>
          <w:sz w:val="11"/>
        </w:rPr>
        <w:t xml:space="preserve"> </w:t>
      </w:r>
      <w:r>
        <w:rPr>
          <w:sz w:val="11"/>
        </w:rPr>
        <w:t>Derechos</w:t>
      </w:r>
      <w:r>
        <w:rPr>
          <w:spacing w:val="18"/>
          <w:sz w:val="11"/>
        </w:rPr>
        <w:t xml:space="preserve"> </w:t>
      </w:r>
      <w:r>
        <w:rPr>
          <w:sz w:val="11"/>
        </w:rPr>
        <w:t>Humanos,</w:t>
      </w:r>
      <w:r>
        <w:rPr>
          <w:spacing w:val="20"/>
          <w:sz w:val="11"/>
        </w:rPr>
        <w:t xml:space="preserve"> </w:t>
      </w:r>
      <w:r>
        <w:rPr>
          <w:sz w:val="11"/>
        </w:rPr>
        <w:t>González</w:t>
      </w:r>
      <w:r>
        <w:rPr>
          <w:spacing w:val="18"/>
          <w:sz w:val="11"/>
        </w:rPr>
        <w:t xml:space="preserve"> </w:t>
      </w:r>
      <w:r>
        <w:rPr>
          <w:sz w:val="11"/>
        </w:rPr>
        <w:t>Pérez</w:t>
      </w:r>
      <w:r>
        <w:rPr>
          <w:spacing w:val="18"/>
          <w:sz w:val="11"/>
        </w:rPr>
        <w:t xml:space="preserve"> </w:t>
      </w:r>
      <w:r>
        <w:rPr>
          <w:sz w:val="11"/>
        </w:rPr>
        <w:t>vs.</w:t>
      </w:r>
      <w:r>
        <w:rPr>
          <w:spacing w:val="20"/>
          <w:sz w:val="11"/>
        </w:rPr>
        <w:t xml:space="preserve"> </w:t>
      </w:r>
      <w:r>
        <w:rPr>
          <w:sz w:val="11"/>
        </w:rPr>
        <w:t>México,</w:t>
      </w:r>
      <w:r>
        <w:rPr>
          <w:spacing w:val="20"/>
          <w:sz w:val="11"/>
        </w:rPr>
        <w:t xml:space="preserve"> </w:t>
      </w:r>
      <w:r>
        <w:rPr>
          <w:sz w:val="11"/>
        </w:rPr>
        <w:t>Caso</w:t>
      </w:r>
      <w:r>
        <w:rPr>
          <w:spacing w:val="18"/>
          <w:sz w:val="11"/>
        </w:rPr>
        <w:t xml:space="preserve"> </w:t>
      </w:r>
      <w:r>
        <w:rPr>
          <w:sz w:val="11"/>
        </w:rPr>
        <w:t>11.565,</w:t>
      </w:r>
      <w:r>
        <w:rPr>
          <w:spacing w:val="20"/>
          <w:sz w:val="11"/>
        </w:rPr>
        <w:t xml:space="preserve"> </w:t>
      </w:r>
      <w:r>
        <w:rPr>
          <w:sz w:val="11"/>
        </w:rPr>
        <w:t>Informe</w:t>
      </w:r>
      <w:r>
        <w:rPr>
          <w:spacing w:val="18"/>
          <w:sz w:val="11"/>
        </w:rPr>
        <w:t xml:space="preserve"> </w:t>
      </w:r>
      <w:r>
        <w:rPr>
          <w:sz w:val="11"/>
        </w:rPr>
        <w:t>No.</w:t>
      </w:r>
      <w:r>
        <w:rPr>
          <w:spacing w:val="20"/>
          <w:sz w:val="11"/>
        </w:rPr>
        <w:t xml:space="preserve"> </w:t>
      </w:r>
      <w:r>
        <w:rPr>
          <w:sz w:val="11"/>
        </w:rPr>
        <w:t>53/01,</w:t>
      </w:r>
      <w:r>
        <w:rPr>
          <w:spacing w:val="20"/>
          <w:sz w:val="11"/>
        </w:rPr>
        <w:t xml:space="preserve"> </w:t>
      </w:r>
      <w:r>
        <w:rPr>
          <w:sz w:val="11"/>
        </w:rPr>
        <w:t>4</w:t>
      </w:r>
      <w:r>
        <w:rPr>
          <w:spacing w:val="18"/>
          <w:sz w:val="11"/>
        </w:rPr>
        <w:t xml:space="preserve"> </w:t>
      </w:r>
      <w:r>
        <w:rPr>
          <w:sz w:val="11"/>
        </w:rPr>
        <w:t>de</w:t>
      </w:r>
      <w:r>
        <w:rPr>
          <w:spacing w:val="18"/>
          <w:sz w:val="11"/>
        </w:rPr>
        <w:t xml:space="preserve"> </w:t>
      </w:r>
      <w:r>
        <w:rPr>
          <w:sz w:val="11"/>
        </w:rPr>
        <w:t>abril</w:t>
      </w:r>
      <w:r>
        <w:rPr>
          <w:spacing w:val="18"/>
          <w:sz w:val="11"/>
        </w:rPr>
        <w:t xml:space="preserve"> </w:t>
      </w:r>
      <w:r>
        <w:rPr>
          <w:sz w:val="11"/>
        </w:rPr>
        <w:t>de</w:t>
      </w:r>
      <w:r>
        <w:rPr>
          <w:spacing w:val="18"/>
          <w:sz w:val="11"/>
        </w:rPr>
        <w:t xml:space="preserve"> </w:t>
      </w:r>
      <w:r>
        <w:rPr>
          <w:sz w:val="11"/>
        </w:rPr>
        <w:t>2001;</w:t>
      </w:r>
      <w:r>
        <w:rPr>
          <w:spacing w:val="20"/>
          <w:sz w:val="11"/>
        </w:rPr>
        <w:t xml:space="preserve"> </w:t>
      </w:r>
      <w:r>
        <w:rPr>
          <w:sz w:val="11"/>
        </w:rPr>
        <w:t>Corte</w:t>
      </w:r>
      <w:r>
        <w:rPr>
          <w:spacing w:val="18"/>
          <w:sz w:val="11"/>
        </w:rPr>
        <w:t xml:space="preserve"> </w:t>
      </w:r>
      <w:r>
        <w:rPr>
          <w:sz w:val="11"/>
        </w:rPr>
        <w:t>Interamericana</w:t>
      </w:r>
      <w:r>
        <w:rPr>
          <w:spacing w:val="40"/>
          <w:sz w:val="11"/>
        </w:rPr>
        <w:t xml:space="preserve"> </w:t>
      </w:r>
      <w:r>
        <w:rPr>
          <w:sz w:val="11"/>
        </w:rPr>
        <w:t>de</w:t>
      </w:r>
      <w:r>
        <w:rPr>
          <w:spacing w:val="18"/>
          <w:sz w:val="11"/>
        </w:rPr>
        <w:t xml:space="preserve"> </w:t>
      </w:r>
      <w:r>
        <w:rPr>
          <w:sz w:val="11"/>
        </w:rPr>
        <w:t>Derechos</w:t>
      </w:r>
      <w:r>
        <w:rPr>
          <w:spacing w:val="18"/>
          <w:sz w:val="11"/>
        </w:rPr>
        <w:t xml:space="preserve"> </w:t>
      </w:r>
      <w:r>
        <w:rPr>
          <w:sz w:val="11"/>
        </w:rPr>
        <w:t>Humanos,</w:t>
      </w:r>
      <w:r>
        <w:rPr>
          <w:spacing w:val="20"/>
          <w:sz w:val="11"/>
        </w:rPr>
        <w:t xml:space="preserve"> </w:t>
      </w:r>
      <w:r>
        <w:rPr>
          <w:sz w:val="11"/>
        </w:rPr>
        <w:t>Fernández</w:t>
      </w:r>
      <w:r>
        <w:rPr>
          <w:spacing w:val="18"/>
          <w:sz w:val="11"/>
        </w:rPr>
        <w:t xml:space="preserve"> </w:t>
      </w:r>
      <w:r>
        <w:rPr>
          <w:sz w:val="11"/>
        </w:rPr>
        <w:t>Ortega</w:t>
      </w:r>
      <w:r>
        <w:rPr>
          <w:spacing w:val="18"/>
          <w:sz w:val="11"/>
        </w:rPr>
        <w:t xml:space="preserve"> </w:t>
      </w:r>
      <w:r>
        <w:rPr>
          <w:sz w:val="11"/>
        </w:rPr>
        <w:t>y</w:t>
      </w:r>
      <w:r>
        <w:rPr>
          <w:spacing w:val="18"/>
          <w:sz w:val="11"/>
        </w:rPr>
        <w:t xml:space="preserve"> </w:t>
      </w:r>
      <w:r>
        <w:rPr>
          <w:sz w:val="11"/>
        </w:rPr>
        <w:t>otros.</w:t>
      </w:r>
      <w:r>
        <w:rPr>
          <w:spacing w:val="20"/>
          <w:sz w:val="11"/>
        </w:rPr>
        <w:t xml:space="preserve"> </w:t>
      </w:r>
      <w:r>
        <w:rPr>
          <w:sz w:val="11"/>
        </w:rPr>
        <w:t>México,</w:t>
      </w:r>
      <w:r>
        <w:rPr>
          <w:spacing w:val="20"/>
          <w:sz w:val="11"/>
        </w:rPr>
        <w:t xml:space="preserve"> </w:t>
      </w:r>
      <w:r>
        <w:rPr>
          <w:sz w:val="11"/>
        </w:rPr>
        <w:t>Sentencia</w:t>
      </w:r>
      <w:r>
        <w:rPr>
          <w:spacing w:val="18"/>
          <w:sz w:val="11"/>
        </w:rPr>
        <w:t xml:space="preserve"> </w:t>
      </w:r>
      <w:r>
        <w:rPr>
          <w:sz w:val="11"/>
        </w:rPr>
        <w:t>de</w:t>
      </w:r>
      <w:r>
        <w:rPr>
          <w:spacing w:val="18"/>
          <w:sz w:val="11"/>
        </w:rPr>
        <w:t xml:space="preserve"> </w:t>
      </w:r>
      <w:r>
        <w:rPr>
          <w:sz w:val="11"/>
        </w:rPr>
        <w:t>30</w:t>
      </w:r>
      <w:r>
        <w:rPr>
          <w:spacing w:val="18"/>
          <w:sz w:val="11"/>
        </w:rPr>
        <w:t xml:space="preserve"> </w:t>
      </w:r>
      <w:r>
        <w:rPr>
          <w:sz w:val="11"/>
        </w:rPr>
        <w:t>de</w:t>
      </w:r>
      <w:r>
        <w:rPr>
          <w:spacing w:val="18"/>
          <w:sz w:val="11"/>
        </w:rPr>
        <w:t xml:space="preserve"> </w:t>
      </w:r>
      <w:r>
        <w:rPr>
          <w:sz w:val="11"/>
        </w:rPr>
        <w:t>agosto</w:t>
      </w:r>
      <w:r>
        <w:rPr>
          <w:spacing w:val="18"/>
          <w:sz w:val="11"/>
        </w:rPr>
        <w:t xml:space="preserve"> </w:t>
      </w:r>
      <w:r>
        <w:rPr>
          <w:sz w:val="11"/>
        </w:rPr>
        <w:t>de</w:t>
      </w:r>
      <w:r>
        <w:rPr>
          <w:spacing w:val="18"/>
          <w:sz w:val="11"/>
        </w:rPr>
        <w:t xml:space="preserve"> </w:t>
      </w:r>
      <w:r>
        <w:rPr>
          <w:sz w:val="11"/>
        </w:rPr>
        <w:t>2010,</w:t>
      </w:r>
      <w:r>
        <w:rPr>
          <w:spacing w:val="20"/>
          <w:sz w:val="11"/>
        </w:rPr>
        <w:t xml:space="preserve"> </w:t>
      </w:r>
      <w:r>
        <w:rPr>
          <w:sz w:val="11"/>
        </w:rPr>
        <w:t>párr.</w:t>
      </w:r>
      <w:r>
        <w:rPr>
          <w:spacing w:val="20"/>
          <w:sz w:val="11"/>
        </w:rPr>
        <w:t xml:space="preserve"> </w:t>
      </w:r>
      <w:r>
        <w:rPr>
          <w:sz w:val="11"/>
        </w:rPr>
        <w:t>185;</w:t>
      </w:r>
      <w:r>
        <w:rPr>
          <w:spacing w:val="20"/>
          <w:sz w:val="11"/>
        </w:rPr>
        <w:t xml:space="preserve"> </w:t>
      </w:r>
      <w:r>
        <w:rPr>
          <w:sz w:val="11"/>
        </w:rPr>
        <w:t>y</w:t>
      </w:r>
      <w:r>
        <w:rPr>
          <w:spacing w:val="18"/>
          <w:sz w:val="11"/>
        </w:rPr>
        <w:t xml:space="preserve"> </w:t>
      </w:r>
      <w:r>
        <w:rPr>
          <w:sz w:val="11"/>
        </w:rPr>
        <w:t>Corte</w:t>
      </w:r>
      <w:r>
        <w:rPr>
          <w:spacing w:val="18"/>
          <w:sz w:val="11"/>
        </w:rPr>
        <w:t xml:space="preserve"> </w:t>
      </w:r>
      <w:r>
        <w:rPr>
          <w:sz w:val="11"/>
        </w:rPr>
        <w:t>Interamericana</w:t>
      </w:r>
      <w:r>
        <w:rPr>
          <w:spacing w:val="18"/>
          <w:sz w:val="11"/>
        </w:rPr>
        <w:t xml:space="preserve"> </w:t>
      </w:r>
      <w:r>
        <w:rPr>
          <w:sz w:val="11"/>
        </w:rPr>
        <w:t>de</w:t>
      </w:r>
      <w:r>
        <w:rPr>
          <w:spacing w:val="18"/>
          <w:sz w:val="11"/>
        </w:rPr>
        <w:t xml:space="preserve"> </w:t>
      </w:r>
      <w:r>
        <w:rPr>
          <w:sz w:val="11"/>
        </w:rPr>
        <w:t>Derechos</w:t>
      </w:r>
      <w:r>
        <w:rPr>
          <w:spacing w:val="18"/>
          <w:sz w:val="11"/>
        </w:rPr>
        <w:t xml:space="preserve"> </w:t>
      </w:r>
      <w:r>
        <w:rPr>
          <w:sz w:val="11"/>
        </w:rPr>
        <w:t>Humanos,</w:t>
      </w:r>
      <w:r>
        <w:rPr>
          <w:spacing w:val="20"/>
          <w:sz w:val="11"/>
        </w:rPr>
        <w:t xml:space="preserve"> </w:t>
      </w:r>
      <w:r>
        <w:rPr>
          <w:sz w:val="11"/>
        </w:rPr>
        <w:t>Rosendo</w:t>
      </w:r>
    </w:p>
    <w:p w14:paraId="28450962" w14:textId="77777777" w:rsidR="0014798C" w:rsidRDefault="004E1F0B">
      <w:pPr>
        <w:ind w:left="79"/>
        <w:rPr>
          <w:sz w:val="11"/>
        </w:rPr>
      </w:pPr>
      <w:r>
        <w:rPr>
          <w:w w:val="105"/>
          <w:sz w:val="11"/>
        </w:rPr>
        <w:t>Cantú</w:t>
      </w:r>
      <w:r>
        <w:rPr>
          <w:spacing w:val="-2"/>
          <w:w w:val="105"/>
          <w:sz w:val="11"/>
        </w:rPr>
        <w:t xml:space="preserve"> </w:t>
      </w:r>
      <w:r>
        <w:rPr>
          <w:w w:val="105"/>
          <w:sz w:val="11"/>
        </w:rPr>
        <w:t>y</w:t>
      </w:r>
      <w:r>
        <w:rPr>
          <w:spacing w:val="-1"/>
          <w:w w:val="105"/>
          <w:sz w:val="11"/>
        </w:rPr>
        <w:t xml:space="preserve"> </w:t>
      </w:r>
      <w:r>
        <w:rPr>
          <w:w w:val="105"/>
          <w:sz w:val="11"/>
        </w:rPr>
        <w:t>otros.</w:t>
      </w:r>
      <w:r>
        <w:rPr>
          <w:spacing w:val="-1"/>
          <w:w w:val="105"/>
          <w:sz w:val="11"/>
        </w:rPr>
        <w:t xml:space="preserve"> </w:t>
      </w:r>
      <w:r>
        <w:rPr>
          <w:w w:val="105"/>
          <w:sz w:val="11"/>
        </w:rPr>
        <w:t>México, Sentencia</w:t>
      </w:r>
      <w:r>
        <w:rPr>
          <w:spacing w:val="-2"/>
          <w:w w:val="105"/>
          <w:sz w:val="11"/>
        </w:rPr>
        <w:t xml:space="preserve"> </w:t>
      </w:r>
      <w:r>
        <w:rPr>
          <w:w w:val="105"/>
          <w:sz w:val="11"/>
        </w:rPr>
        <w:t>de</w:t>
      </w:r>
      <w:r>
        <w:rPr>
          <w:spacing w:val="-1"/>
          <w:w w:val="105"/>
          <w:sz w:val="11"/>
        </w:rPr>
        <w:t xml:space="preserve"> </w:t>
      </w:r>
      <w:r>
        <w:rPr>
          <w:w w:val="105"/>
          <w:sz w:val="11"/>
        </w:rPr>
        <w:t>31</w:t>
      </w:r>
      <w:r>
        <w:rPr>
          <w:spacing w:val="-1"/>
          <w:w w:val="105"/>
          <w:sz w:val="11"/>
        </w:rPr>
        <w:t xml:space="preserve"> </w:t>
      </w:r>
      <w:r>
        <w:rPr>
          <w:w w:val="105"/>
          <w:sz w:val="11"/>
        </w:rPr>
        <w:t>de</w:t>
      </w:r>
      <w:r>
        <w:rPr>
          <w:spacing w:val="-2"/>
          <w:w w:val="105"/>
          <w:sz w:val="11"/>
        </w:rPr>
        <w:t xml:space="preserve"> </w:t>
      </w:r>
      <w:r>
        <w:rPr>
          <w:w w:val="105"/>
          <w:sz w:val="11"/>
        </w:rPr>
        <w:t>agosto</w:t>
      </w:r>
      <w:r>
        <w:rPr>
          <w:spacing w:val="-1"/>
          <w:w w:val="105"/>
          <w:sz w:val="11"/>
        </w:rPr>
        <w:t xml:space="preserve"> </w:t>
      </w:r>
      <w:r>
        <w:rPr>
          <w:w w:val="105"/>
          <w:sz w:val="11"/>
        </w:rPr>
        <w:t>de</w:t>
      </w:r>
      <w:r>
        <w:rPr>
          <w:spacing w:val="-2"/>
          <w:w w:val="105"/>
          <w:sz w:val="11"/>
        </w:rPr>
        <w:t xml:space="preserve"> 2010.</w:t>
      </w:r>
    </w:p>
    <w:p w14:paraId="7B85B796" w14:textId="77777777" w:rsidR="0014798C" w:rsidRDefault="0014798C">
      <w:pPr>
        <w:rPr>
          <w:sz w:val="11"/>
        </w:rPr>
        <w:sectPr w:rsidR="0014798C" w:rsidSect="00F265E4">
          <w:type w:val="continuous"/>
          <w:pgSz w:w="11900" w:h="16820"/>
          <w:pgMar w:top="40" w:right="0" w:bottom="280" w:left="200" w:header="121" w:footer="0" w:gutter="0"/>
          <w:cols w:num="2" w:space="720" w:equalWidth="0">
            <w:col w:w="1253" w:space="40"/>
            <w:col w:w="10407"/>
          </w:cols>
        </w:sectPr>
      </w:pPr>
    </w:p>
    <w:p w14:paraId="53E0DE2B" w14:textId="77777777" w:rsidR="0014798C" w:rsidRDefault="004E1F0B">
      <w:pPr>
        <w:pStyle w:val="Prrafodelista"/>
        <w:numPr>
          <w:ilvl w:val="0"/>
          <w:numId w:val="79"/>
        </w:numPr>
        <w:tabs>
          <w:tab w:val="left" w:pos="1336"/>
        </w:tabs>
        <w:spacing w:before="110"/>
        <w:ind w:left="1336" w:hanging="225"/>
        <w:rPr>
          <w:sz w:val="11"/>
        </w:rPr>
      </w:pPr>
      <w:r>
        <w:rPr>
          <w:w w:val="105"/>
          <w:sz w:val="11"/>
        </w:rPr>
        <w:t>Corte</w:t>
      </w:r>
      <w:r>
        <w:rPr>
          <w:spacing w:val="-1"/>
          <w:w w:val="105"/>
          <w:sz w:val="11"/>
        </w:rPr>
        <w:t xml:space="preserve"> </w:t>
      </w:r>
      <w:r>
        <w:rPr>
          <w:w w:val="105"/>
          <w:sz w:val="11"/>
        </w:rPr>
        <w:t>Interamericana</w:t>
      </w:r>
      <w:r>
        <w:rPr>
          <w:spacing w:val="-1"/>
          <w:w w:val="105"/>
          <w:sz w:val="11"/>
        </w:rPr>
        <w:t xml:space="preserve"> </w:t>
      </w:r>
      <w:r>
        <w:rPr>
          <w:w w:val="105"/>
          <w:sz w:val="11"/>
        </w:rPr>
        <w:t>de</w:t>
      </w:r>
      <w:r>
        <w:rPr>
          <w:spacing w:val="-1"/>
          <w:w w:val="105"/>
          <w:sz w:val="11"/>
        </w:rPr>
        <w:t xml:space="preserve"> </w:t>
      </w:r>
      <w:r>
        <w:rPr>
          <w:w w:val="105"/>
          <w:sz w:val="11"/>
        </w:rPr>
        <w:t>Derechos</w:t>
      </w:r>
      <w:r>
        <w:rPr>
          <w:spacing w:val="-1"/>
          <w:w w:val="105"/>
          <w:sz w:val="11"/>
        </w:rPr>
        <w:t xml:space="preserve"> </w:t>
      </w:r>
      <w:r>
        <w:rPr>
          <w:w w:val="105"/>
          <w:sz w:val="11"/>
        </w:rPr>
        <w:t>Humanos,</w:t>
      </w:r>
      <w:r>
        <w:rPr>
          <w:spacing w:val="-1"/>
          <w:w w:val="105"/>
          <w:sz w:val="11"/>
        </w:rPr>
        <w:t xml:space="preserve"> </w:t>
      </w:r>
      <w:r>
        <w:rPr>
          <w:w w:val="105"/>
          <w:sz w:val="11"/>
        </w:rPr>
        <w:t>Gonzales</w:t>
      </w:r>
      <w:r>
        <w:rPr>
          <w:spacing w:val="-1"/>
          <w:w w:val="105"/>
          <w:sz w:val="11"/>
        </w:rPr>
        <w:t xml:space="preserve"> </w:t>
      </w:r>
      <w:proofErr w:type="spellStart"/>
      <w:r>
        <w:rPr>
          <w:w w:val="105"/>
          <w:sz w:val="11"/>
        </w:rPr>
        <w:t>Lluy</w:t>
      </w:r>
      <w:proofErr w:type="spellEnd"/>
      <w:r>
        <w:rPr>
          <w:spacing w:val="-1"/>
          <w:w w:val="105"/>
          <w:sz w:val="11"/>
        </w:rPr>
        <w:t xml:space="preserve"> </w:t>
      </w:r>
      <w:r>
        <w:rPr>
          <w:w w:val="105"/>
          <w:sz w:val="11"/>
        </w:rPr>
        <w:t>et</w:t>
      </w:r>
      <w:r>
        <w:rPr>
          <w:spacing w:val="-1"/>
          <w:w w:val="105"/>
          <w:sz w:val="11"/>
        </w:rPr>
        <w:t xml:space="preserve"> </w:t>
      </w:r>
      <w:r>
        <w:rPr>
          <w:w w:val="105"/>
          <w:sz w:val="11"/>
        </w:rPr>
        <w:t>al. Ecuador, Sentencia</w:t>
      </w:r>
      <w:r>
        <w:rPr>
          <w:spacing w:val="-1"/>
          <w:w w:val="105"/>
          <w:sz w:val="11"/>
        </w:rPr>
        <w:t xml:space="preserve"> </w:t>
      </w:r>
      <w:r>
        <w:rPr>
          <w:w w:val="105"/>
          <w:sz w:val="11"/>
        </w:rPr>
        <w:t>de</w:t>
      </w:r>
      <w:r>
        <w:rPr>
          <w:spacing w:val="-1"/>
          <w:w w:val="105"/>
          <w:sz w:val="11"/>
        </w:rPr>
        <w:t xml:space="preserve"> </w:t>
      </w:r>
      <w:r>
        <w:rPr>
          <w:w w:val="105"/>
          <w:sz w:val="11"/>
        </w:rPr>
        <w:t>1</w:t>
      </w:r>
      <w:r>
        <w:rPr>
          <w:spacing w:val="-1"/>
          <w:w w:val="105"/>
          <w:sz w:val="11"/>
        </w:rPr>
        <w:t xml:space="preserve"> </w:t>
      </w:r>
      <w:r>
        <w:rPr>
          <w:w w:val="105"/>
          <w:sz w:val="11"/>
        </w:rPr>
        <w:t>de</w:t>
      </w:r>
      <w:r>
        <w:rPr>
          <w:spacing w:val="-1"/>
          <w:w w:val="105"/>
          <w:sz w:val="11"/>
        </w:rPr>
        <w:t xml:space="preserve"> </w:t>
      </w:r>
      <w:r>
        <w:rPr>
          <w:w w:val="105"/>
          <w:sz w:val="11"/>
        </w:rPr>
        <w:t>septiembre</w:t>
      </w:r>
      <w:r>
        <w:rPr>
          <w:spacing w:val="-1"/>
          <w:w w:val="105"/>
          <w:sz w:val="11"/>
        </w:rPr>
        <w:t xml:space="preserve"> </w:t>
      </w:r>
      <w:r>
        <w:rPr>
          <w:w w:val="105"/>
          <w:sz w:val="11"/>
        </w:rPr>
        <w:t>de</w:t>
      </w:r>
      <w:r>
        <w:rPr>
          <w:spacing w:val="-1"/>
          <w:w w:val="105"/>
          <w:sz w:val="11"/>
        </w:rPr>
        <w:t xml:space="preserve"> </w:t>
      </w:r>
      <w:r>
        <w:rPr>
          <w:w w:val="105"/>
          <w:sz w:val="11"/>
        </w:rPr>
        <w:t>2015, párr. 290, y</w:t>
      </w:r>
      <w:r>
        <w:rPr>
          <w:spacing w:val="-1"/>
          <w:w w:val="105"/>
          <w:sz w:val="11"/>
        </w:rPr>
        <w:t xml:space="preserve"> </w:t>
      </w:r>
      <w:r>
        <w:rPr>
          <w:spacing w:val="-2"/>
          <w:w w:val="105"/>
          <w:sz w:val="11"/>
        </w:rPr>
        <w:t>concurrentes</w:t>
      </w:r>
    </w:p>
    <w:p w14:paraId="74B7E804" w14:textId="77777777" w:rsidR="0014798C" w:rsidRDefault="004E1F0B">
      <w:pPr>
        <w:spacing w:before="53" w:line="340" w:lineRule="auto"/>
        <w:ind w:left="1368" w:right="1272" w:firstLine="3"/>
        <w:rPr>
          <w:sz w:val="11"/>
        </w:rPr>
      </w:pPr>
      <w:r>
        <w:rPr>
          <w:sz w:val="11"/>
        </w:rPr>
        <w:t>Opinión</w:t>
      </w:r>
      <w:r>
        <w:rPr>
          <w:spacing w:val="13"/>
          <w:sz w:val="11"/>
        </w:rPr>
        <w:t xml:space="preserve"> </w:t>
      </w:r>
      <w:r>
        <w:rPr>
          <w:sz w:val="11"/>
        </w:rPr>
        <w:t>del</w:t>
      </w:r>
      <w:r>
        <w:rPr>
          <w:spacing w:val="13"/>
          <w:sz w:val="11"/>
        </w:rPr>
        <w:t xml:space="preserve"> </w:t>
      </w:r>
      <w:r>
        <w:rPr>
          <w:sz w:val="11"/>
        </w:rPr>
        <w:t>Juez</w:t>
      </w:r>
      <w:r>
        <w:rPr>
          <w:spacing w:val="13"/>
          <w:sz w:val="11"/>
        </w:rPr>
        <w:t xml:space="preserve"> </w:t>
      </w:r>
      <w:r>
        <w:rPr>
          <w:sz w:val="11"/>
        </w:rPr>
        <w:t>Eduardo</w:t>
      </w:r>
      <w:r>
        <w:rPr>
          <w:spacing w:val="13"/>
          <w:sz w:val="11"/>
        </w:rPr>
        <w:t xml:space="preserve"> </w:t>
      </w:r>
      <w:r>
        <w:rPr>
          <w:sz w:val="11"/>
        </w:rPr>
        <w:t>Ferrer</w:t>
      </w:r>
      <w:r>
        <w:rPr>
          <w:spacing w:val="13"/>
          <w:sz w:val="11"/>
        </w:rPr>
        <w:t xml:space="preserve"> </w:t>
      </w:r>
      <w:r>
        <w:rPr>
          <w:sz w:val="11"/>
        </w:rPr>
        <w:t>Mac-</w:t>
      </w:r>
      <w:proofErr w:type="spellStart"/>
      <w:r>
        <w:rPr>
          <w:sz w:val="11"/>
        </w:rPr>
        <w:t>Gregor</w:t>
      </w:r>
      <w:proofErr w:type="spellEnd"/>
      <w:r>
        <w:rPr>
          <w:spacing w:val="13"/>
          <w:sz w:val="11"/>
        </w:rPr>
        <w:t xml:space="preserve"> </w:t>
      </w:r>
      <w:proofErr w:type="spellStart"/>
      <w:r>
        <w:rPr>
          <w:sz w:val="11"/>
        </w:rPr>
        <w:t>Poisot</w:t>
      </w:r>
      <w:proofErr w:type="spellEnd"/>
      <w:r>
        <w:rPr>
          <w:sz w:val="11"/>
        </w:rPr>
        <w:t>,</w:t>
      </w:r>
      <w:r>
        <w:rPr>
          <w:spacing w:val="14"/>
          <w:sz w:val="11"/>
        </w:rPr>
        <w:t xml:space="preserve"> </w:t>
      </w:r>
      <w:r>
        <w:rPr>
          <w:sz w:val="11"/>
        </w:rPr>
        <w:t>párr.</w:t>
      </w:r>
      <w:r>
        <w:rPr>
          <w:spacing w:val="14"/>
          <w:sz w:val="11"/>
        </w:rPr>
        <w:t xml:space="preserve"> </w:t>
      </w:r>
      <w:r>
        <w:rPr>
          <w:sz w:val="11"/>
        </w:rPr>
        <w:t>11;</w:t>
      </w:r>
      <w:r>
        <w:rPr>
          <w:spacing w:val="14"/>
          <w:sz w:val="11"/>
        </w:rPr>
        <w:t xml:space="preserve"> </w:t>
      </w:r>
      <w:r>
        <w:rPr>
          <w:sz w:val="11"/>
        </w:rPr>
        <w:t>IV</w:t>
      </w:r>
      <w:r>
        <w:rPr>
          <w:spacing w:val="13"/>
          <w:sz w:val="11"/>
        </w:rPr>
        <w:t xml:space="preserve"> </w:t>
      </w:r>
      <w:r>
        <w:rPr>
          <w:sz w:val="11"/>
        </w:rPr>
        <w:t>vs.</w:t>
      </w:r>
      <w:r>
        <w:rPr>
          <w:spacing w:val="14"/>
          <w:sz w:val="11"/>
        </w:rPr>
        <w:t xml:space="preserve"> </w:t>
      </w:r>
      <w:r>
        <w:rPr>
          <w:sz w:val="11"/>
        </w:rPr>
        <w:t>Bolivia,</w:t>
      </w:r>
      <w:r>
        <w:rPr>
          <w:spacing w:val="14"/>
          <w:sz w:val="11"/>
        </w:rPr>
        <w:t xml:space="preserve"> </w:t>
      </w:r>
      <w:r>
        <w:rPr>
          <w:sz w:val="11"/>
        </w:rPr>
        <w:t>Sentencia</w:t>
      </w:r>
      <w:r>
        <w:rPr>
          <w:spacing w:val="13"/>
          <w:sz w:val="11"/>
        </w:rPr>
        <w:t xml:space="preserve"> </w:t>
      </w:r>
      <w:r>
        <w:rPr>
          <w:sz w:val="11"/>
        </w:rPr>
        <w:t>de</w:t>
      </w:r>
      <w:r>
        <w:rPr>
          <w:spacing w:val="13"/>
          <w:sz w:val="11"/>
        </w:rPr>
        <w:t xml:space="preserve"> </w:t>
      </w:r>
      <w:r>
        <w:rPr>
          <w:sz w:val="11"/>
        </w:rPr>
        <w:t>30</w:t>
      </w:r>
      <w:r>
        <w:rPr>
          <w:spacing w:val="13"/>
          <w:sz w:val="11"/>
        </w:rPr>
        <w:t xml:space="preserve"> </w:t>
      </w:r>
      <w:r>
        <w:rPr>
          <w:sz w:val="11"/>
        </w:rPr>
        <w:t>de</w:t>
      </w:r>
      <w:r>
        <w:rPr>
          <w:spacing w:val="13"/>
          <w:sz w:val="11"/>
        </w:rPr>
        <w:t xml:space="preserve"> </w:t>
      </w:r>
      <w:r>
        <w:rPr>
          <w:sz w:val="11"/>
        </w:rPr>
        <w:t>noviembre</w:t>
      </w:r>
      <w:r>
        <w:rPr>
          <w:spacing w:val="13"/>
          <w:sz w:val="11"/>
        </w:rPr>
        <w:t xml:space="preserve"> </w:t>
      </w:r>
      <w:r>
        <w:rPr>
          <w:sz w:val="11"/>
        </w:rPr>
        <w:t>de</w:t>
      </w:r>
      <w:r>
        <w:rPr>
          <w:spacing w:val="13"/>
          <w:sz w:val="11"/>
        </w:rPr>
        <w:t xml:space="preserve"> </w:t>
      </w:r>
      <w:r>
        <w:rPr>
          <w:sz w:val="11"/>
        </w:rPr>
        <w:t>2016,</w:t>
      </w:r>
      <w:r>
        <w:rPr>
          <w:spacing w:val="14"/>
          <w:sz w:val="11"/>
        </w:rPr>
        <w:t xml:space="preserve"> </w:t>
      </w:r>
      <w:r>
        <w:rPr>
          <w:sz w:val="11"/>
        </w:rPr>
        <w:t>párr.</w:t>
      </w:r>
      <w:r>
        <w:rPr>
          <w:spacing w:val="14"/>
          <w:sz w:val="11"/>
        </w:rPr>
        <w:t xml:space="preserve"> </w:t>
      </w:r>
      <w:r>
        <w:rPr>
          <w:sz w:val="11"/>
        </w:rPr>
        <w:t>247;</w:t>
      </w:r>
      <w:r>
        <w:rPr>
          <w:spacing w:val="14"/>
          <w:sz w:val="11"/>
        </w:rPr>
        <w:t xml:space="preserve"> </w:t>
      </w:r>
      <w:r>
        <w:rPr>
          <w:sz w:val="11"/>
        </w:rPr>
        <w:t>Ramírez</w:t>
      </w:r>
      <w:r>
        <w:rPr>
          <w:spacing w:val="13"/>
          <w:sz w:val="11"/>
        </w:rPr>
        <w:t xml:space="preserve"> </w:t>
      </w:r>
      <w:r>
        <w:rPr>
          <w:sz w:val="11"/>
        </w:rPr>
        <w:t>Escobar</w:t>
      </w:r>
      <w:r>
        <w:rPr>
          <w:spacing w:val="13"/>
          <w:sz w:val="11"/>
        </w:rPr>
        <w:t xml:space="preserve"> </w:t>
      </w:r>
      <w:r>
        <w:rPr>
          <w:sz w:val="11"/>
        </w:rPr>
        <w:t>et</w:t>
      </w:r>
      <w:r>
        <w:rPr>
          <w:spacing w:val="13"/>
          <w:sz w:val="11"/>
        </w:rPr>
        <w:t xml:space="preserve"> </w:t>
      </w:r>
      <w:r>
        <w:rPr>
          <w:sz w:val="11"/>
        </w:rPr>
        <w:t>al.</w:t>
      </w:r>
      <w:r>
        <w:rPr>
          <w:spacing w:val="14"/>
          <w:sz w:val="11"/>
        </w:rPr>
        <w:t xml:space="preserve"> </w:t>
      </w:r>
      <w:r>
        <w:rPr>
          <w:sz w:val="11"/>
        </w:rPr>
        <w:t>Guatemala,</w:t>
      </w:r>
      <w:r>
        <w:rPr>
          <w:spacing w:val="14"/>
          <w:sz w:val="11"/>
        </w:rPr>
        <w:t xml:space="preserve"> </w:t>
      </w:r>
      <w:r>
        <w:rPr>
          <w:sz w:val="11"/>
        </w:rPr>
        <w:t>Sentencia</w:t>
      </w:r>
      <w:r>
        <w:rPr>
          <w:spacing w:val="40"/>
          <w:sz w:val="11"/>
        </w:rPr>
        <w:t xml:space="preserve"> </w:t>
      </w:r>
      <w:r>
        <w:rPr>
          <w:sz w:val="11"/>
        </w:rPr>
        <w:t xml:space="preserve">de 9 de marzo de 2018, </w:t>
      </w:r>
      <w:proofErr w:type="spellStart"/>
      <w:r>
        <w:rPr>
          <w:sz w:val="11"/>
        </w:rPr>
        <w:t>párrs</w:t>
      </w:r>
      <w:proofErr w:type="spellEnd"/>
      <w:r>
        <w:rPr>
          <w:sz w:val="11"/>
        </w:rPr>
        <w:t>. 276 y 304.</w:t>
      </w:r>
    </w:p>
    <w:p w14:paraId="4E4CDDD5" w14:textId="77777777" w:rsidR="0014798C" w:rsidRDefault="004E1F0B">
      <w:pPr>
        <w:pStyle w:val="Prrafodelista"/>
        <w:numPr>
          <w:ilvl w:val="0"/>
          <w:numId w:val="79"/>
        </w:numPr>
        <w:tabs>
          <w:tab w:val="left" w:pos="1336"/>
        </w:tabs>
        <w:spacing w:before="57"/>
        <w:ind w:left="1336" w:hanging="225"/>
        <w:rPr>
          <w:sz w:val="11"/>
        </w:rPr>
      </w:pPr>
      <w:r>
        <w:rPr>
          <w:w w:val="105"/>
          <w:sz w:val="11"/>
        </w:rPr>
        <w:t>Corte</w:t>
      </w:r>
      <w:r>
        <w:rPr>
          <w:spacing w:val="-2"/>
          <w:w w:val="105"/>
          <w:sz w:val="11"/>
        </w:rPr>
        <w:t xml:space="preserve"> </w:t>
      </w:r>
      <w:r>
        <w:rPr>
          <w:w w:val="105"/>
          <w:sz w:val="11"/>
        </w:rPr>
        <w:t>Interamericana</w:t>
      </w:r>
      <w:r>
        <w:rPr>
          <w:spacing w:val="-1"/>
          <w:w w:val="105"/>
          <w:sz w:val="11"/>
        </w:rPr>
        <w:t xml:space="preserve"> </w:t>
      </w:r>
      <w:r>
        <w:rPr>
          <w:w w:val="105"/>
          <w:sz w:val="11"/>
        </w:rPr>
        <w:t>de</w:t>
      </w:r>
      <w:r>
        <w:rPr>
          <w:spacing w:val="-1"/>
          <w:w w:val="105"/>
          <w:sz w:val="11"/>
        </w:rPr>
        <w:t xml:space="preserve"> </w:t>
      </w:r>
      <w:r>
        <w:rPr>
          <w:w w:val="105"/>
          <w:sz w:val="11"/>
        </w:rPr>
        <w:t>Derechos</w:t>
      </w:r>
      <w:r>
        <w:rPr>
          <w:spacing w:val="-1"/>
          <w:w w:val="105"/>
          <w:sz w:val="11"/>
        </w:rPr>
        <w:t xml:space="preserve"> </w:t>
      </w:r>
      <w:r>
        <w:rPr>
          <w:w w:val="105"/>
          <w:sz w:val="11"/>
        </w:rPr>
        <w:t>Humanos, Gonzales</w:t>
      </w:r>
      <w:r>
        <w:rPr>
          <w:spacing w:val="-1"/>
          <w:w w:val="105"/>
          <w:sz w:val="11"/>
        </w:rPr>
        <w:t xml:space="preserve"> </w:t>
      </w:r>
      <w:proofErr w:type="spellStart"/>
      <w:r>
        <w:rPr>
          <w:w w:val="105"/>
          <w:sz w:val="11"/>
        </w:rPr>
        <w:t>Lluy</w:t>
      </w:r>
      <w:proofErr w:type="spellEnd"/>
      <w:r>
        <w:rPr>
          <w:spacing w:val="-1"/>
          <w:w w:val="105"/>
          <w:sz w:val="11"/>
        </w:rPr>
        <w:t xml:space="preserve"> </w:t>
      </w:r>
      <w:r>
        <w:rPr>
          <w:w w:val="105"/>
          <w:sz w:val="11"/>
        </w:rPr>
        <w:t>et</w:t>
      </w:r>
      <w:r>
        <w:rPr>
          <w:spacing w:val="-1"/>
          <w:w w:val="105"/>
          <w:sz w:val="11"/>
        </w:rPr>
        <w:t xml:space="preserve"> </w:t>
      </w:r>
      <w:r>
        <w:rPr>
          <w:w w:val="105"/>
          <w:sz w:val="11"/>
        </w:rPr>
        <w:t>al. Ecuador, Sentencia</w:t>
      </w:r>
      <w:r>
        <w:rPr>
          <w:spacing w:val="-1"/>
          <w:w w:val="105"/>
          <w:sz w:val="11"/>
        </w:rPr>
        <w:t xml:space="preserve"> </w:t>
      </w:r>
      <w:r>
        <w:rPr>
          <w:w w:val="105"/>
          <w:sz w:val="11"/>
        </w:rPr>
        <w:t>de</w:t>
      </w:r>
      <w:r>
        <w:rPr>
          <w:spacing w:val="-1"/>
          <w:w w:val="105"/>
          <w:sz w:val="11"/>
        </w:rPr>
        <w:t xml:space="preserve"> </w:t>
      </w:r>
      <w:r>
        <w:rPr>
          <w:w w:val="105"/>
          <w:sz w:val="11"/>
        </w:rPr>
        <w:t>1</w:t>
      </w:r>
      <w:r>
        <w:rPr>
          <w:spacing w:val="-1"/>
          <w:w w:val="105"/>
          <w:sz w:val="11"/>
        </w:rPr>
        <w:t xml:space="preserve"> </w:t>
      </w:r>
      <w:r>
        <w:rPr>
          <w:w w:val="105"/>
          <w:sz w:val="11"/>
        </w:rPr>
        <w:t>de</w:t>
      </w:r>
      <w:r>
        <w:rPr>
          <w:spacing w:val="-1"/>
          <w:w w:val="105"/>
          <w:sz w:val="11"/>
        </w:rPr>
        <w:t xml:space="preserve"> </w:t>
      </w:r>
      <w:r>
        <w:rPr>
          <w:w w:val="105"/>
          <w:sz w:val="11"/>
        </w:rPr>
        <w:t>septiembre</w:t>
      </w:r>
      <w:r>
        <w:rPr>
          <w:spacing w:val="-1"/>
          <w:w w:val="105"/>
          <w:sz w:val="11"/>
        </w:rPr>
        <w:t xml:space="preserve"> </w:t>
      </w:r>
      <w:r>
        <w:rPr>
          <w:w w:val="105"/>
          <w:sz w:val="11"/>
        </w:rPr>
        <w:t>de</w:t>
      </w:r>
      <w:r>
        <w:rPr>
          <w:spacing w:val="-1"/>
          <w:w w:val="105"/>
          <w:sz w:val="11"/>
        </w:rPr>
        <w:t xml:space="preserve"> </w:t>
      </w:r>
      <w:r>
        <w:rPr>
          <w:w w:val="105"/>
          <w:sz w:val="11"/>
        </w:rPr>
        <w:t xml:space="preserve">2015, párr. </w:t>
      </w:r>
      <w:r>
        <w:rPr>
          <w:spacing w:val="-4"/>
          <w:w w:val="105"/>
          <w:sz w:val="11"/>
        </w:rPr>
        <w:t>290.</w:t>
      </w:r>
    </w:p>
    <w:p w14:paraId="75E7224C" w14:textId="77777777" w:rsidR="0014798C" w:rsidRDefault="004E1F0B">
      <w:pPr>
        <w:pStyle w:val="Prrafodelista"/>
        <w:numPr>
          <w:ilvl w:val="0"/>
          <w:numId w:val="79"/>
        </w:numPr>
        <w:tabs>
          <w:tab w:val="left" w:pos="1315"/>
        </w:tabs>
        <w:spacing w:before="123"/>
        <w:ind w:left="1315" w:hanging="204"/>
        <w:rPr>
          <w:sz w:val="10"/>
        </w:rPr>
      </w:pPr>
      <w:r>
        <w:rPr>
          <w:w w:val="105"/>
          <w:sz w:val="10"/>
        </w:rPr>
        <w:t>Comisión Africana de Derechos Humanos y de los Pueblos,</w:t>
      </w:r>
      <w:r>
        <w:rPr>
          <w:spacing w:val="1"/>
          <w:w w:val="105"/>
          <w:sz w:val="10"/>
        </w:rPr>
        <w:t xml:space="preserve"> </w:t>
      </w:r>
      <w:r>
        <w:rPr>
          <w:w w:val="105"/>
          <w:sz w:val="10"/>
        </w:rPr>
        <w:t>Principios y Directrices sobre la Implementación de los Derechos Económicos,</w:t>
      </w:r>
      <w:r>
        <w:rPr>
          <w:spacing w:val="1"/>
          <w:w w:val="105"/>
          <w:sz w:val="10"/>
        </w:rPr>
        <w:t xml:space="preserve"> </w:t>
      </w:r>
      <w:r>
        <w:rPr>
          <w:w w:val="105"/>
          <w:sz w:val="10"/>
        </w:rPr>
        <w:t xml:space="preserve">Sociales y </w:t>
      </w:r>
      <w:r>
        <w:rPr>
          <w:spacing w:val="-2"/>
          <w:w w:val="105"/>
          <w:sz w:val="10"/>
        </w:rPr>
        <w:t>Culturales</w:t>
      </w:r>
    </w:p>
    <w:p w14:paraId="3F1BA95B" w14:textId="77777777" w:rsidR="0014798C" w:rsidRDefault="004E1F0B">
      <w:pPr>
        <w:spacing w:before="52"/>
        <w:ind w:left="1368"/>
        <w:rPr>
          <w:sz w:val="11"/>
        </w:rPr>
      </w:pPr>
      <w:r>
        <w:rPr>
          <w:w w:val="105"/>
          <w:sz w:val="11"/>
        </w:rPr>
        <w:t>Derechos en la Carta Africana de Derechos Humanos y de los Pueblos,</w:t>
      </w:r>
      <w:r>
        <w:rPr>
          <w:spacing w:val="1"/>
          <w:w w:val="105"/>
          <w:sz w:val="11"/>
        </w:rPr>
        <w:t xml:space="preserve"> </w:t>
      </w:r>
      <w:r>
        <w:rPr>
          <w:w w:val="105"/>
          <w:sz w:val="11"/>
        </w:rPr>
        <w:t>párr.</w:t>
      </w:r>
      <w:r>
        <w:rPr>
          <w:spacing w:val="2"/>
          <w:w w:val="105"/>
          <w:sz w:val="11"/>
        </w:rPr>
        <w:t xml:space="preserve"> </w:t>
      </w:r>
      <w:r>
        <w:rPr>
          <w:spacing w:val="-5"/>
          <w:w w:val="105"/>
          <w:sz w:val="11"/>
        </w:rPr>
        <w:t>38.</w:t>
      </w:r>
    </w:p>
    <w:p w14:paraId="233CE9B1" w14:textId="77777777" w:rsidR="0014798C" w:rsidRDefault="004E1F0B">
      <w:pPr>
        <w:pStyle w:val="Prrafodelista"/>
        <w:numPr>
          <w:ilvl w:val="0"/>
          <w:numId w:val="79"/>
        </w:numPr>
        <w:tabs>
          <w:tab w:val="left" w:pos="1329"/>
          <w:tab w:val="left" w:pos="1365"/>
        </w:tabs>
        <w:spacing w:before="110" w:line="340" w:lineRule="auto"/>
        <w:ind w:left="1365" w:right="1601" w:hanging="261"/>
        <w:rPr>
          <w:sz w:val="11"/>
        </w:rPr>
      </w:pPr>
      <w:r>
        <w:rPr>
          <w:w w:val="105"/>
          <w:sz w:val="11"/>
        </w:rPr>
        <w:t>Por ejemplo, en BS c. España, el Tribunal sostuvo que “las decisiones adoptadas por los tribunales nacionales no tuvieron en cuenta la opinión del demandante”.</w:t>
      </w:r>
      <w:r>
        <w:rPr>
          <w:spacing w:val="40"/>
          <w:w w:val="105"/>
          <w:sz w:val="11"/>
        </w:rPr>
        <w:t xml:space="preserve"> </w:t>
      </w:r>
      <w:r>
        <w:rPr>
          <w:w w:val="105"/>
          <w:sz w:val="11"/>
        </w:rPr>
        <w:t>particular vulnerabilidad inherente a su condición de mujer africana que trabaja como prostituta”,</w:t>
      </w:r>
      <w:r>
        <w:rPr>
          <w:spacing w:val="5"/>
          <w:w w:val="105"/>
          <w:sz w:val="11"/>
        </w:rPr>
        <w:t xml:space="preserve"> </w:t>
      </w:r>
      <w:r>
        <w:rPr>
          <w:w w:val="105"/>
          <w:sz w:val="11"/>
        </w:rPr>
        <w:t>dando lugar así</w:t>
      </w:r>
      <w:r>
        <w:rPr>
          <w:spacing w:val="5"/>
          <w:w w:val="105"/>
          <w:sz w:val="11"/>
        </w:rPr>
        <w:t xml:space="preserve"> </w:t>
      </w:r>
      <w:r>
        <w:rPr>
          <w:w w:val="105"/>
          <w:sz w:val="11"/>
        </w:rPr>
        <w:t>a una violación del artículo 14,</w:t>
      </w:r>
      <w:r>
        <w:rPr>
          <w:spacing w:val="5"/>
          <w:w w:val="105"/>
          <w:sz w:val="11"/>
        </w:rPr>
        <w:t xml:space="preserve"> </w:t>
      </w:r>
      <w:r>
        <w:rPr>
          <w:w w:val="105"/>
          <w:sz w:val="11"/>
        </w:rPr>
        <w:t>en conjunción con la</w:t>
      </w:r>
      <w:r>
        <w:rPr>
          <w:spacing w:val="40"/>
          <w:w w:val="105"/>
          <w:sz w:val="11"/>
        </w:rPr>
        <w:t xml:space="preserve"> </w:t>
      </w:r>
      <w:r>
        <w:rPr>
          <w:w w:val="105"/>
          <w:sz w:val="11"/>
        </w:rPr>
        <w:t>parte procesal del artículo 3, de la Convención. Véase Tribunal Europeo de Derechos Humanos, BS c. España, solicitud n.º 47159/08, sentencia de 24 de julio de 2012,</w:t>
      </w:r>
      <w:r>
        <w:rPr>
          <w:spacing w:val="40"/>
          <w:w w:val="105"/>
          <w:sz w:val="11"/>
        </w:rPr>
        <w:t xml:space="preserve"> </w:t>
      </w:r>
      <w:r>
        <w:rPr>
          <w:w w:val="105"/>
          <w:sz w:val="11"/>
        </w:rPr>
        <w:t xml:space="preserve">párr. 62. Véase también, con respecto a la edad y el género, Carvalho Pinto de Sousa Morais c. Portugal, Solicitud </w:t>
      </w:r>
      <w:proofErr w:type="spellStart"/>
      <w:r>
        <w:rPr>
          <w:w w:val="105"/>
          <w:sz w:val="11"/>
        </w:rPr>
        <w:t>n.°</w:t>
      </w:r>
      <w:proofErr w:type="spellEnd"/>
      <w:r>
        <w:rPr>
          <w:w w:val="105"/>
          <w:sz w:val="11"/>
        </w:rPr>
        <w:t xml:space="preserve"> 17484/15, Sentencia de 25 de julio de 2017.</w:t>
      </w:r>
    </w:p>
    <w:p w14:paraId="72DDF8C6" w14:textId="77777777" w:rsidR="0014798C" w:rsidRDefault="0014798C">
      <w:pPr>
        <w:pStyle w:val="Textoindependiente"/>
        <w:rPr>
          <w:sz w:val="18"/>
        </w:rPr>
      </w:pPr>
    </w:p>
    <w:p w14:paraId="489DBD17" w14:textId="77777777" w:rsidR="0014798C" w:rsidRDefault="0014798C">
      <w:pPr>
        <w:pStyle w:val="Textoindependiente"/>
        <w:rPr>
          <w:sz w:val="18"/>
        </w:rPr>
      </w:pPr>
    </w:p>
    <w:p w14:paraId="666BEA41" w14:textId="77777777" w:rsidR="0014798C" w:rsidRDefault="0014798C">
      <w:pPr>
        <w:pStyle w:val="Textoindependiente"/>
        <w:spacing w:before="156"/>
        <w:rPr>
          <w:sz w:val="18"/>
        </w:rPr>
      </w:pPr>
    </w:p>
    <w:p w14:paraId="5506A3B7" w14:textId="77777777" w:rsidR="0014798C" w:rsidRDefault="004E1F0B">
      <w:pPr>
        <w:ind w:left="555"/>
        <w:rPr>
          <w:sz w:val="18"/>
        </w:rPr>
      </w:pPr>
      <w:r>
        <w:rPr>
          <w:spacing w:val="-5"/>
          <w:w w:val="105"/>
          <w:sz w:val="18"/>
        </w:rPr>
        <w:t>28</w:t>
      </w:r>
    </w:p>
    <w:p w14:paraId="7AC39717" w14:textId="77777777" w:rsidR="0014798C" w:rsidRDefault="0014798C">
      <w:pPr>
        <w:rPr>
          <w:sz w:val="18"/>
        </w:rPr>
        <w:sectPr w:rsidR="0014798C" w:rsidSect="00F265E4">
          <w:type w:val="continuous"/>
          <w:pgSz w:w="11900" w:h="16820"/>
          <w:pgMar w:top="40" w:right="0" w:bottom="280" w:left="200" w:header="121" w:footer="0" w:gutter="0"/>
          <w:cols w:space="720"/>
        </w:sectPr>
      </w:pPr>
    </w:p>
    <w:p w14:paraId="3C8857F9" w14:textId="77777777" w:rsidR="0014798C" w:rsidRDefault="0014798C">
      <w:pPr>
        <w:pStyle w:val="Textoindependiente"/>
        <w:spacing w:before="51"/>
        <w:rPr>
          <w:sz w:val="14"/>
        </w:rPr>
      </w:pPr>
    </w:p>
    <w:p w14:paraId="55A3C6CB" w14:textId="77777777" w:rsidR="0014798C" w:rsidRDefault="004E1F0B">
      <w:pPr>
        <w:ind w:left="1111"/>
        <w:rPr>
          <w:sz w:val="14"/>
        </w:rPr>
      </w:pPr>
      <w:r>
        <w:rPr>
          <w:color w:val="00AC59"/>
          <w:sz w:val="14"/>
        </w:rPr>
        <w:t>SEGUNDA</w:t>
      </w:r>
      <w:r>
        <w:rPr>
          <w:color w:val="00AC59"/>
          <w:spacing w:val="-5"/>
          <w:sz w:val="14"/>
        </w:rPr>
        <w:t xml:space="preserve"> </w:t>
      </w:r>
      <w:r>
        <w:rPr>
          <w:color w:val="00AC59"/>
          <w:sz w:val="14"/>
        </w:rPr>
        <w:t>PARTE:</w:t>
      </w:r>
      <w:r>
        <w:rPr>
          <w:color w:val="00AC59"/>
          <w:spacing w:val="-5"/>
          <w:sz w:val="14"/>
        </w:rPr>
        <w:t xml:space="preserve"> </w:t>
      </w:r>
      <w:r>
        <w:rPr>
          <w:color w:val="00AC59"/>
          <w:sz w:val="14"/>
        </w:rPr>
        <w:t>CONTENIDO</w:t>
      </w:r>
      <w:r>
        <w:rPr>
          <w:color w:val="00AC59"/>
          <w:spacing w:val="-4"/>
          <w:sz w:val="14"/>
        </w:rPr>
        <w:t xml:space="preserve"> </w:t>
      </w:r>
      <w:r>
        <w:rPr>
          <w:color w:val="00AC59"/>
          <w:sz w:val="14"/>
        </w:rPr>
        <w:t>DE</w:t>
      </w:r>
      <w:r>
        <w:rPr>
          <w:color w:val="00AC59"/>
          <w:spacing w:val="-5"/>
          <w:sz w:val="14"/>
        </w:rPr>
        <w:t xml:space="preserve"> </w:t>
      </w:r>
      <w:r>
        <w:rPr>
          <w:color w:val="00AC59"/>
          <w:sz w:val="14"/>
        </w:rPr>
        <w:t>LA</w:t>
      </w:r>
      <w:r>
        <w:rPr>
          <w:color w:val="00AC59"/>
          <w:spacing w:val="-4"/>
          <w:sz w:val="14"/>
        </w:rPr>
        <w:t xml:space="preserve"> </w:t>
      </w:r>
      <w:r>
        <w:rPr>
          <w:color w:val="00AC59"/>
          <w:sz w:val="14"/>
        </w:rPr>
        <w:t>LEY</w:t>
      </w:r>
      <w:r>
        <w:rPr>
          <w:color w:val="00AC59"/>
          <w:spacing w:val="-4"/>
          <w:sz w:val="14"/>
        </w:rPr>
        <w:t xml:space="preserve"> </w:t>
      </w:r>
      <w:r>
        <w:rPr>
          <w:color w:val="00AC59"/>
          <w:sz w:val="14"/>
        </w:rPr>
        <w:t>INTEGRAL</w:t>
      </w:r>
      <w:r>
        <w:rPr>
          <w:color w:val="00AC59"/>
          <w:spacing w:val="-5"/>
          <w:sz w:val="14"/>
        </w:rPr>
        <w:t xml:space="preserve"> </w:t>
      </w:r>
      <w:r>
        <w:rPr>
          <w:color w:val="00AC59"/>
          <w:spacing w:val="-2"/>
          <w:sz w:val="14"/>
        </w:rPr>
        <w:t>ANTIDISCRIMINACIÓN</w:t>
      </w:r>
    </w:p>
    <w:p w14:paraId="070E43B3" w14:textId="77777777" w:rsidR="0014798C" w:rsidRDefault="0014798C">
      <w:pPr>
        <w:pStyle w:val="Textoindependiente"/>
        <w:rPr>
          <w:sz w:val="23"/>
        </w:rPr>
      </w:pPr>
    </w:p>
    <w:p w14:paraId="4947D75C" w14:textId="77777777" w:rsidR="0014798C" w:rsidRDefault="0014798C">
      <w:pPr>
        <w:pStyle w:val="Textoindependiente"/>
        <w:rPr>
          <w:sz w:val="23"/>
        </w:rPr>
      </w:pPr>
    </w:p>
    <w:p w14:paraId="641DBA23" w14:textId="77777777" w:rsidR="0014798C" w:rsidRDefault="0014798C">
      <w:pPr>
        <w:pStyle w:val="Textoindependiente"/>
        <w:spacing w:before="143"/>
        <w:rPr>
          <w:sz w:val="23"/>
        </w:rPr>
      </w:pPr>
    </w:p>
    <w:p w14:paraId="637AC91F" w14:textId="77777777" w:rsidR="0014798C" w:rsidRDefault="004E1F0B">
      <w:pPr>
        <w:numPr>
          <w:ilvl w:val="0"/>
          <w:numId w:val="85"/>
        </w:numPr>
        <w:tabs>
          <w:tab w:val="left" w:pos="1370"/>
        </w:tabs>
        <w:spacing w:before="1"/>
        <w:ind w:left="1370" w:hanging="255"/>
        <w:rPr>
          <w:color w:val="00AC59"/>
          <w:sz w:val="23"/>
        </w:rPr>
      </w:pPr>
      <w:r>
        <w:rPr>
          <w:color w:val="00AC59"/>
          <w:sz w:val="23"/>
        </w:rPr>
        <w:t>Formas</w:t>
      </w:r>
      <w:r>
        <w:rPr>
          <w:color w:val="00AC59"/>
          <w:spacing w:val="-2"/>
          <w:sz w:val="23"/>
        </w:rPr>
        <w:t xml:space="preserve"> </w:t>
      </w:r>
      <w:r>
        <w:rPr>
          <w:color w:val="00AC59"/>
          <w:sz w:val="23"/>
        </w:rPr>
        <w:t xml:space="preserve">de </w:t>
      </w:r>
      <w:r>
        <w:rPr>
          <w:color w:val="00AC59"/>
          <w:spacing w:val="-2"/>
          <w:sz w:val="23"/>
        </w:rPr>
        <w:t>discriminación</w:t>
      </w:r>
    </w:p>
    <w:p w14:paraId="7882A67D" w14:textId="77777777" w:rsidR="0014798C" w:rsidRDefault="0014798C">
      <w:pPr>
        <w:pStyle w:val="Textoindependiente"/>
        <w:spacing w:before="34"/>
      </w:pPr>
    </w:p>
    <w:p w14:paraId="473A0FC2" w14:textId="77777777" w:rsidR="0014798C" w:rsidRDefault="004E1F0B">
      <w:pPr>
        <w:pStyle w:val="Textoindependiente"/>
        <w:ind w:left="1110"/>
      </w:pPr>
      <w:r>
        <w:t>Tanto</w:t>
      </w:r>
      <w:r>
        <w:rPr>
          <w:spacing w:val="4"/>
        </w:rPr>
        <w:t xml:space="preserve"> </w:t>
      </w:r>
      <w:r>
        <w:t>la</w:t>
      </w:r>
      <w:r>
        <w:rPr>
          <w:spacing w:val="5"/>
        </w:rPr>
        <w:t xml:space="preserve"> </w:t>
      </w:r>
      <w:r>
        <w:t>Convención</w:t>
      </w:r>
      <w:r>
        <w:rPr>
          <w:spacing w:val="5"/>
        </w:rPr>
        <w:t xml:space="preserve"> </w:t>
      </w:r>
      <w:r>
        <w:t>Internacional</w:t>
      </w:r>
      <w:r>
        <w:rPr>
          <w:spacing w:val="5"/>
        </w:rPr>
        <w:t xml:space="preserve"> </w:t>
      </w:r>
      <w:r>
        <w:t>sobre</w:t>
      </w:r>
      <w:r>
        <w:rPr>
          <w:spacing w:val="5"/>
        </w:rPr>
        <w:t xml:space="preserve"> </w:t>
      </w:r>
      <w:r>
        <w:t>la</w:t>
      </w:r>
      <w:r>
        <w:rPr>
          <w:spacing w:val="5"/>
        </w:rPr>
        <w:t xml:space="preserve"> </w:t>
      </w:r>
      <w:r>
        <w:t>Eliminación</w:t>
      </w:r>
      <w:r>
        <w:rPr>
          <w:spacing w:val="4"/>
        </w:rPr>
        <w:t xml:space="preserve"> </w:t>
      </w:r>
      <w:r>
        <w:t>de</w:t>
      </w:r>
      <w:r>
        <w:rPr>
          <w:spacing w:val="5"/>
        </w:rPr>
        <w:t xml:space="preserve"> </w:t>
      </w:r>
      <w:r>
        <w:t>todas</w:t>
      </w:r>
      <w:r>
        <w:rPr>
          <w:spacing w:val="5"/>
        </w:rPr>
        <w:t xml:space="preserve"> </w:t>
      </w:r>
      <w:r>
        <w:t>las</w:t>
      </w:r>
      <w:r>
        <w:rPr>
          <w:spacing w:val="5"/>
        </w:rPr>
        <w:t xml:space="preserve"> </w:t>
      </w:r>
      <w:r>
        <w:t>Formas</w:t>
      </w:r>
      <w:r>
        <w:rPr>
          <w:spacing w:val="5"/>
        </w:rPr>
        <w:t xml:space="preserve"> </w:t>
      </w:r>
      <w:r>
        <w:t>de</w:t>
      </w:r>
      <w:r>
        <w:rPr>
          <w:spacing w:val="5"/>
        </w:rPr>
        <w:t xml:space="preserve"> </w:t>
      </w:r>
      <w:r>
        <w:t>Discriminación</w:t>
      </w:r>
      <w:r>
        <w:rPr>
          <w:spacing w:val="6"/>
        </w:rPr>
        <w:t xml:space="preserve"> </w:t>
      </w:r>
      <w:r>
        <w:t>Racial</w:t>
      </w:r>
      <w:r>
        <w:rPr>
          <w:spacing w:val="4"/>
        </w:rPr>
        <w:t xml:space="preserve"> </w:t>
      </w:r>
      <w:r>
        <w:t>como</w:t>
      </w:r>
      <w:r>
        <w:rPr>
          <w:spacing w:val="5"/>
        </w:rPr>
        <w:t xml:space="preserve"> </w:t>
      </w:r>
      <w:r>
        <w:t>la</w:t>
      </w:r>
      <w:r>
        <w:rPr>
          <w:spacing w:val="5"/>
        </w:rPr>
        <w:t xml:space="preserve"> </w:t>
      </w:r>
      <w:r>
        <w:rPr>
          <w:spacing w:val="-2"/>
        </w:rPr>
        <w:t>Convención</w:t>
      </w:r>
    </w:p>
    <w:p w14:paraId="197B532E" w14:textId="77777777" w:rsidR="0014798C" w:rsidRDefault="004E1F0B">
      <w:pPr>
        <w:pStyle w:val="Textoindependiente"/>
        <w:spacing w:before="108" w:line="326" w:lineRule="auto"/>
        <w:ind w:left="1110" w:right="1272" w:firstLine="4"/>
      </w:pPr>
      <w:r>
        <w:t>sobre la Eliminación de Todas las Formas de Discriminación contra la Mujer exigen explícitamente a los Estados que eliminen “todas las formas de discriminación”, y esta misma formulación ha sido utilizada repetidamente por los Derechos Humanos.</w:t>
      </w:r>
    </w:p>
    <w:p w14:paraId="2B32CD0D" w14:textId="77777777" w:rsidR="0014798C" w:rsidRDefault="004E1F0B">
      <w:pPr>
        <w:pStyle w:val="Textoindependiente"/>
        <w:spacing w:line="326" w:lineRule="auto"/>
        <w:ind w:left="1111" w:right="1272" w:hanging="2"/>
      </w:pPr>
      <w:r>
        <w:rPr>
          <w:noProof/>
        </w:rPr>
        <w:drawing>
          <wp:anchor distT="0" distB="0" distL="0" distR="0" simplePos="0" relativeHeight="251658380" behindDoc="1" locked="0" layoutInCell="1" allowOverlap="1" wp14:anchorId="644C237E" wp14:editId="57FA71F0">
            <wp:simplePos x="0" y="0"/>
            <wp:positionH relativeFrom="page">
              <wp:posOffset>795184</wp:posOffset>
            </wp:positionH>
            <wp:positionV relativeFrom="paragraph">
              <wp:posOffset>283299</wp:posOffset>
            </wp:positionV>
            <wp:extent cx="6761315" cy="4354059"/>
            <wp:effectExtent l="0" t="0" r="0" b="0"/>
            <wp:wrapNone/>
            <wp:docPr id="104" name="Image 10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04" name="Image 104"/>
                    <pic:cNvPicPr/>
                  </pic:nvPicPr>
                  <pic:blipFill>
                    <a:blip r:embed="rId108" cstate="print"/>
                    <a:stretch>
                      <a:fillRect/>
                    </a:stretch>
                  </pic:blipFill>
                  <pic:spPr>
                    <a:xfrm>
                      <a:off x="0" y="0"/>
                      <a:ext cx="6761315" cy="4354059"/>
                    </a:xfrm>
                    <a:prstGeom prst="rect">
                      <a:avLst/>
                    </a:prstGeom>
                  </pic:spPr>
                </pic:pic>
              </a:graphicData>
            </a:graphic>
          </wp:anchor>
        </w:drawing>
      </w:r>
      <w:r>
        <w:t>Comité, el Comité de Derechos Económicos, Sociales y Culturales y el Comité sobre los Derechos de las Personas con Discapacidad en sus compromisos con los Estados en relación con sus obligaciones de no discriminación.201</w:t>
      </w:r>
    </w:p>
    <w:p w14:paraId="56F12E2F" w14:textId="77777777" w:rsidR="0014798C" w:rsidRDefault="004E1F0B">
      <w:pPr>
        <w:spacing w:line="182" w:lineRule="exact"/>
        <w:ind w:left="1108"/>
        <w:rPr>
          <w:sz w:val="17"/>
        </w:rPr>
      </w:pPr>
      <w:r>
        <w:rPr>
          <w:sz w:val="17"/>
        </w:rPr>
        <w:t>Sin</w:t>
      </w:r>
      <w:r>
        <w:rPr>
          <w:spacing w:val="-9"/>
          <w:sz w:val="17"/>
        </w:rPr>
        <w:t xml:space="preserve"> </w:t>
      </w:r>
      <w:r>
        <w:rPr>
          <w:sz w:val="17"/>
        </w:rPr>
        <w:t>embargo,</w:t>
      </w:r>
      <w:r>
        <w:rPr>
          <w:spacing w:val="-8"/>
          <w:sz w:val="17"/>
        </w:rPr>
        <w:t xml:space="preserve"> </w:t>
      </w:r>
      <w:r>
        <w:rPr>
          <w:sz w:val="17"/>
        </w:rPr>
        <w:t>con</w:t>
      </w:r>
      <w:r>
        <w:rPr>
          <w:spacing w:val="-9"/>
          <w:sz w:val="17"/>
        </w:rPr>
        <w:t xml:space="preserve"> </w:t>
      </w:r>
      <w:r>
        <w:rPr>
          <w:sz w:val="17"/>
        </w:rPr>
        <w:t>la</w:t>
      </w:r>
      <w:r>
        <w:rPr>
          <w:spacing w:val="-9"/>
          <w:sz w:val="17"/>
        </w:rPr>
        <w:t xml:space="preserve"> </w:t>
      </w:r>
      <w:r>
        <w:rPr>
          <w:sz w:val="17"/>
        </w:rPr>
        <w:t>excepción</w:t>
      </w:r>
      <w:r>
        <w:rPr>
          <w:spacing w:val="-9"/>
          <w:sz w:val="17"/>
        </w:rPr>
        <w:t xml:space="preserve"> </w:t>
      </w:r>
      <w:r>
        <w:rPr>
          <w:sz w:val="17"/>
        </w:rPr>
        <w:t>parcial</w:t>
      </w:r>
      <w:r>
        <w:rPr>
          <w:spacing w:val="-8"/>
          <w:sz w:val="17"/>
        </w:rPr>
        <w:t xml:space="preserve"> </w:t>
      </w:r>
      <w:r>
        <w:rPr>
          <w:sz w:val="17"/>
        </w:rPr>
        <w:t>del</w:t>
      </w:r>
      <w:r>
        <w:rPr>
          <w:spacing w:val="-9"/>
          <w:sz w:val="17"/>
        </w:rPr>
        <w:t xml:space="preserve"> </w:t>
      </w:r>
      <w:r>
        <w:rPr>
          <w:sz w:val="17"/>
        </w:rPr>
        <w:t>Comité</w:t>
      </w:r>
      <w:r>
        <w:rPr>
          <w:spacing w:val="-9"/>
          <w:sz w:val="17"/>
        </w:rPr>
        <w:t xml:space="preserve"> </w:t>
      </w:r>
      <w:r>
        <w:rPr>
          <w:sz w:val="17"/>
        </w:rPr>
        <w:t>sobre</w:t>
      </w:r>
      <w:r>
        <w:rPr>
          <w:spacing w:val="-9"/>
          <w:sz w:val="17"/>
        </w:rPr>
        <w:t xml:space="preserve"> </w:t>
      </w:r>
      <w:r>
        <w:rPr>
          <w:sz w:val="17"/>
        </w:rPr>
        <w:t>los</w:t>
      </w:r>
      <w:r>
        <w:rPr>
          <w:spacing w:val="-8"/>
          <w:sz w:val="17"/>
        </w:rPr>
        <w:t xml:space="preserve"> </w:t>
      </w:r>
      <w:r>
        <w:rPr>
          <w:sz w:val="17"/>
        </w:rPr>
        <w:t>Derechos</w:t>
      </w:r>
      <w:r>
        <w:rPr>
          <w:spacing w:val="-9"/>
          <w:sz w:val="17"/>
        </w:rPr>
        <w:t xml:space="preserve"> </w:t>
      </w:r>
      <w:r>
        <w:rPr>
          <w:sz w:val="17"/>
        </w:rPr>
        <w:t>de</w:t>
      </w:r>
      <w:r>
        <w:rPr>
          <w:spacing w:val="-9"/>
          <w:sz w:val="17"/>
        </w:rPr>
        <w:t xml:space="preserve"> </w:t>
      </w:r>
      <w:r>
        <w:rPr>
          <w:sz w:val="17"/>
        </w:rPr>
        <w:t>las</w:t>
      </w:r>
      <w:r>
        <w:rPr>
          <w:spacing w:val="-9"/>
          <w:sz w:val="17"/>
        </w:rPr>
        <w:t xml:space="preserve"> </w:t>
      </w:r>
      <w:r>
        <w:rPr>
          <w:sz w:val="17"/>
        </w:rPr>
        <w:t>Personas</w:t>
      </w:r>
      <w:r>
        <w:rPr>
          <w:spacing w:val="-9"/>
          <w:sz w:val="17"/>
        </w:rPr>
        <w:t xml:space="preserve"> </w:t>
      </w:r>
      <w:r>
        <w:rPr>
          <w:sz w:val="17"/>
        </w:rPr>
        <w:t>con</w:t>
      </w:r>
      <w:r>
        <w:rPr>
          <w:spacing w:val="-8"/>
          <w:sz w:val="17"/>
        </w:rPr>
        <w:t xml:space="preserve"> </w:t>
      </w:r>
      <w:r>
        <w:rPr>
          <w:sz w:val="17"/>
        </w:rPr>
        <w:t>Discapacidad,202</w:t>
      </w:r>
      <w:r>
        <w:rPr>
          <w:spacing w:val="-9"/>
          <w:sz w:val="17"/>
        </w:rPr>
        <w:t xml:space="preserve"> </w:t>
      </w:r>
      <w:r>
        <w:rPr>
          <w:sz w:val="17"/>
        </w:rPr>
        <w:t>los</w:t>
      </w:r>
      <w:r>
        <w:rPr>
          <w:spacing w:val="-9"/>
          <w:sz w:val="17"/>
        </w:rPr>
        <w:t xml:space="preserve"> </w:t>
      </w:r>
      <w:r>
        <w:rPr>
          <w:spacing w:val="-2"/>
          <w:sz w:val="17"/>
        </w:rPr>
        <w:t>principales</w:t>
      </w:r>
    </w:p>
    <w:p w14:paraId="7D859F55" w14:textId="77777777" w:rsidR="0014798C" w:rsidRDefault="004E1F0B">
      <w:pPr>
        <w:spacing w:before="54" w:line="307" w:lineRule="auto"/>
        <w:ind w:left="1107" w:right="1335" w:hanging="2"/>
        <w:rPr>
          <w:sz w:val="17"/>
        </w:rPr>
      </w:pPr>
      <w:r>
        <w:rPr>
          <w:noProof/>
        </w:rPr>
        <mc:AlternateContent>
          <mc:Choice Requires="wps">
            <w:drawing>
              <wp:anchor distT="0" distB="0" distL="0" distR="0" simplePos="0" relativeHeight="251658255" behindDoc="0" locked="0" layoutInCell="1" allowOverlap="1" wp14:anchorId="3DF1E3DF" wp14:editId="03BFBA22">
                <wp:simplePos x="0" y="0"/>
                <wp:positionH relativeFrom="page">
                  <wp:posOffset>7313138</wp:posOffset>
                </wp:positionH>
                <wp:positionV relativeFrom="paragraph">
                  <wp:posOffset>465482</wp:posOffset>
                </wp:positionV>
                <wp:extent cx="83820" cy="281940"/>
                <wp:effectExtent l="0" t="0" r="0" b="0"/>
                <wp:wrapNone/>
                <wp:docPr id="105" name="Textbox 10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83820" cy="281940"/>
                        </a:xfrm>
                        <a:prstGeom prst="rect">
                          <a:avLst/>
                        </a:prstGeom>
                      </wps:spPr>
                      <wps:txbx>
                        <w:txbxContent>
                          <w:p w14:paraId="2E5422D6" w14:textId="77777777" w:rsidR="0014798C" w:rsidRDefault="004E1F0B">
                            <w:pPr>
                              <w:spacing w:before="19"/>
                              <w:ind w:left="20"/>
                              <w:rPr>
                                <w:sz w:val="8"/>
                              </w:rPr>
                            </w:pPr>
                            <w:r>
                              <w:rPr>
                                <w:color w:val="FFFFFF"/>
                                <w:spacing w:val="-24"/>
                                <w:sz w:val="8"/>
                              </w:rPr>
                              <w:t>I–P</w:t>
                            </w:r>
                            <w:r>
                              <w:rPr>
                                <w:spacing w:val="-24"/>
                                <w:sz w:val="8"/>
                              </w:rPr>
                              <w:t>S</w:t>
                            </w:r>
                            <w:r>
                              <w:rPr>
                                <w:color w:val="FFFFFF"/>
                                <w:spacing w:val="-24"/>
                                <w:sz w:val="8"/>
                              </w:rPr>
                              <w:t>A</w:t>
                            </w:r>
                            <w:r>
                              <w:rPr>
                                <w:spacing w:val="-24"/>
                                <w:sz w:val="8"/>
                              </w:rPr>
                              <w:t>E</w:t>
                            </w:r>
                            <w:r>
                              <w:rPr>
                                <w:color w:val="FFFFFF"/>
                                <w:spacing w:val="-24"/>
                                <w:sz w:val="8"/>
                              </w:rPr>
                              <w:t>R</w:t>
                            </w:r>
                            <w:r>
                              <w:rPr>
                                <w:spacing w:val="-24"/>
                                <w:sz w:val="8"/>
                              </w:rPr>
                              <w:t>G</w:t>
                            </w:r>
                            <w:r>
                              <w:rPr>
                                <w:color w:val="FFFFFF"/>
                                <w:spacing w:val="-24"/>
                                <w:sz w:val="8"/>
                              </w:rPr>
                              <w:t>T</w:t>
                            </w:r>
                            <w:r>
                              <w:rPr>
                                <w:spacing w:val="-24"/>
                                <w:sz w:val="8"/>
                              </w:rPr>
                              <w:t>U</w:t>
                            </w:r>
                            <w:r>
                              <w:rPr>
                                <w:color w:val="FFFFFF"/>
                                <w:spacing w:val="-24"/>
                                <w:sz w:val="8"/>
                              </w:rPr>
                              <w:t>E</w:t>
                            </w:r>
                            <w:r>
                              <w:rPr>
                                <w:spacing w:val="-24"/>
                                <w:sz w:val="8"/>
                              </w:rPr>
                              <w:t>NDA</w:t>
                            </w:r>
                          </w:p>
                        </w:txbxContent>
                      </wps:txbx>
                      <wps:bodyPr vert="vert270" wrap="square" lIns="0" tIns="0" rIns="0" bIns="0" rtlCol="0">
                        <a:noAutofit/>
                      </wps:bodyPr>
                    </wps:wsp>
                  </a:graphicData>
                </a:graphic>
              </wp:anchor>
            </w:drawing>
          </mc:Choice>
          <mc:Fallback>
            <w:pict>
              <v:shape w14:anchorId="3DF1E3DF" id="Textbox 105" o:spid="_x0000_s1066" type="#_x0000_t202" style="position:absolute;left:0;text-align:left;margin-left:575.85pt;margin-top:36.65pt;width:6.6pt;height:22.2pt;z-index:251658255;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" filled="f" stroked="f">
                <v:textbox style="layout-flow:vertical;mso-layout-flow-alt:bottom-to-top" inset="0,0,0,0">
                  <w:txbxContent>
                    <w:p w14:paraId="2E5422D6" w14:textId="77777777" w:rsidR="0014798C" w:rsidRDefault="004E1F0B">
                      <w:pPr>
                        <w:spacing w:before="19"/>
                        <w:ind w:left="20"/>
                        <w:rPr>
                          <w:sz w:val="8"/>
                        </w:rPr>
                      </w:pPr>
                      <w:r>
                        <w:rPr>
                          <w:color w:val="FFFFFF"/>
                          <w:spacing w:val="-24"/>
                          <w:sz w:val="8"/>
                        </w:rPr>
                        <w:t>I–P</w:t>
                      </w:r>
                      <w:r>
                        <w:rPr>
                          <w:spacing w:val="-24"/>
                          <w:sz w:val="8"/>
                        </w:rPr>
                        <w:t>S</w:t>
                      </w:r>
                      <w:r>
                        <w:rPr>
                          <w:color w:val="FFFFFF"/>
                          <w:spacing w:val="-24"/>
                          <w:sz w:val="8"/>
                        </w:rPr>
                        <w:t>A</w:t>
                      </w:r>
                      <w:r>
                        <w:rPr>
                          <w:spacing w:val="-24"/>
                          <w:sz w:val="8"/>
                        </w:rPr>
                        <w:t>E</w:t>
                      </w:r>
                      <w:r>
                        <w:rPr>
                          <w:color w:val="FFFFFF"/>
                          <w:spacing w:val="-24"/>
                          <w:sz w:val="8"/>
                        </w:rPr>
                        <w:t>R</w:t>
                      </w:r>
                      <w:r>
                        <w:rPr>
                          <w:spacing w:val="-24"/>
                          <w:sz w:val="8"/>
                        </w:rPr>
                        <w:t>G</w:t>
                      </w:r>
                      <w:r>
                        <w:rPr>
                          <w:color w:val="FFFFFF"/>
                          <w:spacing w:val="-24"/>
                          <w:sz w:val="8"/>
                        </w:rPr>
                        <w:t>T</w:t>
                      </w:r>
                      <w:r>
                        <w:rPr>
                          <w:spacing w:val="-24"/>
                          <w:sz w:val="8"/>
                        </w:rPr>
                        <w:t>U</w:t>
                      </w:r>
                      <w:r>
                        <w:rPr>
                          <w:color w:val="FFFFFF"/>
                          <w:spacing w:val="-24"/>
                          <w:sz w:val="8"/>
                        </w:rPr>
                        <w:t>E</w:t>
                      </w:r>
                      <w:r>
                        <w:rPr>
                          <w:spacing w:val="-24"/>
                          <w:sz w:val="8"/>
                        </w:rPr>
                        <w:t>NDA</w:t>
                      </w:r>
                    </w:p>
                  </w:txbxContent>
                </v:textbox>
                <w10:wrap anchorx="page"/>
              </v:shape>
            </w:pict>
          </mc:Fallback>
        </mc:AlternateContent>
      </w:r>
      <w:r>
        <w:rPr>
          <w:sz w:val="17"/>
        </w:rPr>
        <w:t>instrumentos</w:t>
      </w:r>
      <w:r>
        <w:rPr>
          <w:spacing w:val="-6"/>
          <w:sz w:val="17"/>
        </w:rPr>
        <w:t xml:space="preserve"> </w:t>
      </w:r>
      <w:r>
        <w:rPr>
          <w:sz w:val="17"/>
        </w:rPr>
        <w:t>de</w:t>
      </w:r>
      <w:r>
        <w:rPr>
          <w:spacing w:val="-6"/>
          <w:sz w:val="17"/>
        </w:rPr>
        <w:t xml:space="preserve"> </w:t>
      </w:r>
      <w:r>
        <w:rPr>
          <w:sz w:val="17"/>
        </w:rPr>
        <w:t>derechos</w:t>
      </w:r>
      <w:r>
        <w:rPr>
          <w:spacing w:val="-6"/>
          <w:sz w:val="17"/>
        </w:rPr>
        <w:t xml:space="preserve"> </w:t>
      </w:r>
      <w:r>
        <w:rPr>
          <w:sz w:val="17"/>
        </w:rPr>
        <w:t>humanos</w:t>
      </w:r>
      <w:r>
        <w:rPr>
          <w:spacing w:val="-6"/>
          <w:sz w:val="17"/>
        </w:rPr>
        <w:t xml:space="preserve"> </w:t>
      </w:r>
      <w:r>
        <w:rPr>
          <w:sz w:val="17"/>
        </w:rPr>
        <w:t>de</w:t>
      </w:r>
      <w:r>
        <w:rPr>
          <w:spacing w:val="-6"/>
          <w:sz w:val="17"/>
        </w:rPr>
        <w:t xml:space="preserve"> </w:t>
      </w:r>
      <w:r>
        <w:rPr>
          <w:sz w:val="17"/>
        </w:rPr>
        <w:t>las</w:t>
      </w:r>
      <w:r>
        <w:rPr>
          <w:spacing w:val="-6"/>
          <w:sz w:val="17"/>
        </w:rPr>
        <w:t xml:space="preserve"> </w:t>
      </w:r>
      <w:r>
        <w:rPr>
          <w:sz w:val="17"/>
        </w:rPr>
        <w:t>Naciones</w:t>
      </w:r>
      <w:r>
        <w:rPr>
          <w:spacing w:val="-6"/>
          <w:sz w:val="17"/>
        </w:rPr>
        <w:t xml:space="preserve"> </w:t>
      </w:r>
      <w:r>
        <w:rPr>
          <w:sz w:val="17"/>
        </w:rPr>
        <w:t>Unidas</w:t>
      </w:r>
      <w:r>
        <w:rPr>
          <w:spacing w:val="-6"/>
          <w:sz w:val="17"/>
        </w:rPr>
        <w:t xml:space="preserve"> </w:t>
      </w:r>
      <w:r>
        <w:rPr>
          <w:sz w:val="17"/>
        </w:rPr>
        <w:t>no</w:t>
      </w:r>
      <w:r>
        <w:rPr>
          <w:spacing w:val="-6"/>
          <w:sz w:val="17"/>
        </w:rPr>
        <w:t xml:space="preserve"> </w:t>
      </w:r>
      <w:r>
        <w:rPr>
          <w:sz w:val="17"/>
        </w:rPr>
        <w:t>analizan</w:t>
      </w:r>
      <w:r>
        <w:rPr>
          <w:spacing w:val="-6"/>
          <w:sz w:val="17"/>
        </w:rPr>
        <w:t xml:space="preserve"> </w:t>
      </w:r>
      <w:r>
        <w:rPr>
          <w:sz w:val="17"/>
        </w:rPr>
        <w:t>las</w:t>
      </w:r>
      <w:r>
        <w:rPr>
          <w:spacing w:val="-6"/>
          <w:sz w:val="17"/>
        </w:rPr>
        <w:t xml:space="preserve"> </w:t>
      </w:r>
      <w:r>
        <w:rPr>
          <w:sz w:val="17"/>
        </w:rPr>
        <w:t>diferentes</w:t>
      </w:r>
      <w:r>
        <w:rPr>
          <w:spacing w:val="-6"/>
          <w:sz w:val="17"/>
        </w:rPr>
        <w:t xml:space="preserve"> </w:t>
      </w:r>
      <w:r>
        <w:rPr>
          <w:sz w:val="17"/>
        </w:rPr>
        <w:t>formas</w:t>
      </w:r>
      <w:r>
        <w:rPr>
          <w:spacing w:val="-6"/>
          <w:sz w:val="17"/>
        </w:rPr>
        <w:t xml:space="preserve"> </w:t>
      </w:r>
      <w:r>
        <w:rPr>
          <w:sz w:val="17"/>
        </w:rPr>
        <w:t>de</w:t>
      </w:r>
      <w:r>
        <w:rPr>
          <w:spacing w:val="-6"/>
          <w:sz w:val="17"/>
        </w:rPr>
        <w:t xml:space="preserve"> </w:t>
      </w:r>
      <w:r>
        <w:rPr>
          <w:sz w:val="17"/>
        </w:rPr>
        <w:t>discriminación.</w:t>
      </w:r>
      <w:r>
        <w:rPr>
          <w:spacing w:val="-4"/>
          <w:sz w:val="17"/>
        </w:rPr>
        <w:t xml:space="preserve"> </w:t>
      </w:r>
      <w:r>
        <w:rPr>
          <w:sz w:val="17"/>
        </w:rPr>
        <w:t>Más</w:t>
      </w:r>
      <w:r>
        <w:rPr>
          <w:spacing w:val="-6"/>
          <w:sz w:val="17"/>
        </w:rPr>
        <w:t xml:space="preserve"> </w:t>
      </w:r>
      <w:r>
        <w:rPr>
          <w:sz w:val="17"/>
        </w:rPr>
        <w:t>bien, la Convención Internacional sobre la Eliminación de todas las Formas de Discriminación Racial, la Convención sobre la Eliminación de Todas las Formas de Discriminación contra la Mujer y la Convención sobre los Derechos de las Personas con</w:t>
      </w:r>
      <w:r>
        <w:rPr>
          <w:spacing w:val="-1"/>
          <w:sz w:val="17"/>
        </w:rPr>
        <w:t xml:space="preserve"> </w:t>
      </w:r>
      <w:r>
        <w:rPr>
          <w:sz w:val="17"/>
        </w:rPr>
        <w:t>Discapacidad</w:t>
      </w:r>
      <w:r>
        <w:rPr>
          <w:spacing w:val="-1"/>
          <w:sz w:val="17"/>
        </w:rPr>
        <w:t xml:space="preserve"> </w:t>
      </w:r>
      <w:r>
        <w:rPr>
          <w:sz w:val="17"/>
        </w:rPr>
        <w:t>definen</w:t>
      </w:r>
      <w:r>
        <w:rPr>
          <w:spacing w:val="-1"/>
          <w:sz w:val="17"/>
        </w:rPr>
        <w:t xml:space="preserve"> </w:t>
      </w:r>
      <w:r>
        <w:rPr>
          <w:sz w:val="17"/>
        </w:rPr>
        <w:t>la</w:t>
      </w:r>
      <w:r>
        <w:rPr>
          <w:spacing w:val="-1"/>
          <w:sz w:val="17"/>
        </w:rPr>
        <w:t xml:space="preserve"> </w:t>
      </w:r>
      <w:r>
        <w:rPr>
          <w:sz w:val="17"/>
        </w:rPr>
        <w:t>discriminación</w:t>
      </w:r>
      <w:r>
        <w:rPr>
          <w:spacing w:val="-1"/>
          <w:sz w:val="17"/>
        </w:rPr>
        <w:t xml:space="preserve"> </w:t>
      </w:r>
      <w:r>
        <w:rPr>
          <w:sz w:val="17"/>
        </w:rPr>
        <w:t>como</w:t>
      </w:r>
      <w:r>
        <w:rPr>
          <w:spacing w:val="-1"/>
          <w:sz w:val="17"/>
        </w:rPr>
        <w:t xml:space="preserve"> </w:t>
      </w:r>
      <w:r>
        <w:rPr>
          <w:sz w:val="17"/>
        </w:rPr>
        <w:t>cualquier</w:t>
      </w:r>
      <w:r>
        <w:rPr>
          <w:spacing w:val="-1"/>
          <w:sz w:val="17"/>
        </w:rPr>
        <w:t xml:space="preserve"> </w:t>
      </w:r>
      <w:r>
        <w:rPr>
          <w:sz w:val="17"/>
        </w:rPr>
        <w:t>distinción, exclusión</w:t>
      </w:r>
      <w:r>
        <w:rPr>
          <w:spacing w:val="-1"/>
          <w:sz w:val="17"/>
        </w:rPr>
        <w:t xml:space="preserve"> </w:t>
      </w:r>
      <w:r>
        <w:rPr>
          <w:sz w:val="17"/>
        </w:rPr>
        <w:t>o</w:t>
      </w:r>
      <w:r>
        <w:rPr>
          <w:spacing w:val="-1"/>
          <w:sz w:val="17"/>
        </w:rPr>
        <w:t xml:space="preserve"> </w:t>
      </w:r>
      <w:r>
        <w:rPr>
          <w:sz w:val="17"/>
        </w:rPr>
        <w:t>restricción</w:t>
      </w:r>
      <w:r>
        <w:rPr>
          <w:spacing w:val="-1"/>
          <w:sz w:val="17"/>
        </w:rPr>
        <w:t xml:space="preserve"> </w:t>
      </w:r>
      <w:r>
        <w:rPr>
          <w:sz w:val="17"/>
        </w:rPr>
        <w:t>(o</w:t>
      </w:r>
      <w:r>
        <w:rPr>
          <w:spacing w:val="-1"/>
          <w:sz w:val="17"/>
        </w:rPr>
        <w:t xml:space="preserve"> </w:t>
      </w:r>
      <w:r>
        <w:rPr>
          <w:sz w:val="17"/>
        </w:rPr>
        <w:t>preferencia)</w:t>
      </w:r>
      <w:r>
        <w:rPr>
          <w:spacing w:val="-1"/>
          <w:sz w:val="17"/>
        </w:rPr>
        <w:t xml:space="preserve"> </w:t>
      </w:r>
      <w:r>
        <w:rPr>
          <w:sz w:val="17"/>
        </w:rPr>
        <w:t>sobre</w:t>
      </w:r>
      <w:r>
        <w:rPr>
          <w:spacing w:val="-1"/>
          <w:sz w:val="17"/>
        </w:rPr>
        <w:t xml:space="preserve"> </w:t>
      </w:r>
      <w:r>
        <w:rPr>
          <w:sz w:val="17"/>
        </w:rPr>
        <w:t>la</w:t>
      </w:r>
      <w:r>
        <w:rPr>
          <w:spacing w:val="-1"/>
          <w:sz w:val="17"/>
        </w:rPr>
        <w:t xml:space="preserve"> </w:t>
      </w:r>
      <w:r>
        <w:rPr>
          <w:sz w:val="17"/>
        </w:rPr>
        <w:t>base de un motivo protegido que tiene el “propósito o efecto” de impedir el disfrute igualitario de los derechos humanos.203 Como se señaló anteriormente, esta definición ha sido adoptada tanto por el Comité de Derechos Humanos204 como por el Comité de Derechos Económicos, Sociales y Culturales. .205</w:t>
      </w:r>
    </w:p>
    <w:p w14:paraId="0A3E6D0E" w14:textId="77777777" w:rsidR="0014798C" w:rsidRDefault="0014798C">
      <w:pPr>
        <w:pStyle w:val="Textoindependiente"/>
        <w:rPr>
          <w:sz w:val="17"/>
        </w:rPr>
      </w:pPr>
    </w:p>
    <w:p w14:paraId="17EA583A" w14:textId="77777777" w:rsidR="0014798C" w:rsidRDefault="0014798C">
      <w:pPr>
        <w:pStyle w:val="Textoindependiente"/>
        <w:spacing w:before="74"/>
        <w:rPr>
          <w:sz w:val="17"/>
        </w:rPr>
      </w:pPr>
    </w:p>
    <w:p w14:paraId="14476E02" w14:textId="77777777" w:rsidR="0014798C" w:rsidRDefault="004E1F0B">
      <w:pPr>
        <w:ind w:left="1335"/>
        <w:rPr>
          <w:sz w:val="17"/>
        </w:rPr>
      </w:pPr>
      <w:r>
        <w:rPr>
          <w:sz w:val="17"/>
        </w:rPr>
        <w:t>GEORGIA:</w:t>
      </w:r>
      <w:r>
        <w:rPr>
          <w:spacing w:val="-10"/>
          <w:sz w:val="17"/>
        </w:rPr>
        <w:t xml:space="preserve"> </w:t>
      </w:r>
      <w:r>
        <w:rPr>
          <w:sz w:val="17"/>
        </w:rPr>
        <w:t>LEY</w:t>
      </w:r>
      <w:r>
        <w:rPr>
          <w:spacing w:val="-10"/>
          <w:sz w:val="17"/>
        </w:rPr>
        <w:t xml:space="preserve"> </w:t>
      </w:r>
      <w:r>
        <w:rPr>
          <w:sz w:val="17"/>
        </w:rPr>
        <w:t>SOBRE</w:t>
      </w:r>
      <w:r>
        <w:rPr>
          <w:spacing w:val="-10"/>
          <w:sz w:val="17"/>
        </w:rPr>
        <w:t xml:space="preserve"> </w:t>
      </w:r>
      <w:r>
        <w:rPr>
          <w:sz w:val="17"/>
        </w:rPr>
        <w:t>LA</w:t>
      </w:r>
      <w:r>
        <w:rPr>
          <w:spacing w:val="-10"/>
          <w:sz w:val="17"/>
        </w:rPr>
        <w:t xml:space="preserve"> </w:t>
      </w:r>
      <w:r>
        <w:rPr>
          <w:sz w:val="17"/>
        </w:rPr>
        <w:t>ELIMINACIÓN</w:t>
      </w:r>
      <w:r>
        <w:rPr>
          <w:spacing w:val="-11"/>
          <w:sz w:val="17"/>
        </w:rPr>
        <w:t xml:space="preserve"> </w:t>
      </w:r>
      <w:r>
        <w:rPr>
          <w:sz w:val="17"/>
        </w:rPr>
        <w:t>DE</w:t>
      </w:r>
      <w:r>
        <w:rPr>
          <w:spacing w:val="-10"/>
          <w:sz w:val="17"/>
        </w:rPr>
        <w:t xml:space="preserve"> </w:t>
      </w:r>
      <w:r>
        <w:rPr>
          <w:sz w:val="17"/>
        </w:rPr>
        <w:t>TODAS</w:t>
      </w:r>
      <w:r>
        <w:rPr>
          <w:spacing w:val="-10"/>
          <w:sz w:val="17"/>
        </w:rPr>
        <w:t xml:space="preserve"> </w:t>
      </w:r>
      <w:r>
        <w:rPr>
          <w:sz w:val="17"/>
        </w:rPr>
        <w:t>LAS</w:t>
      </w:r>
      <w:r>
        <w:rPr>
          <w:spacing w:val="-9"/>
          <w:sz w:val="17"/>
        </w:rPr>
        <w:t xml:space="preserve"> </w:t>
      </w:r>
      <w:r>
        <w:rPr>
          <w:sz w:val="17"/>
        </w:rPr>
        <w:t>FORMAS</w:t>
      </w:r>
      <w:r>
        <w:rPr>
          <w:spacing w:val="-10"/>
          <w:sz w:val="17"/>
        </w:rPr>
        <w:t xml:space="preserve"> </w:t>
      </w:r>
      <w:r>
        <w:rPr>
          <w:sz w:val="17"/>
        </w:rPr>
        <w:t>DE</w:t>
      </w:r>
      <w:r>
        <w:rPr>
          <w:spacing w:val="-10"/>
          <w:sz w:val="17"/>
        </w:rPr>
        <w:t xml:space="preserve"> </w:t>
      </w:r>
      <w:r>
        <w:rPr>
          <w:spacing w:val="-2"/>
          <w:sz w:val="17"/>
        </w:rPr>
        <w:t>DISCRIMINACIÓN</w:t>
      </w:r>
    </w:p>
    <w:p w14:paraId="1353FA67" w14:textId="77777777" w:rsidR="0014798C" w:rsidRDefault="004E1F0B">
      <w:pPr>
        <w:spacing w:before="162"/>
        <w:ind w:left="1317"/>
        <w:rPr>
          <w:sz w:val="20"/>
        </w:rPr>
      </w:pPr>
      <w:r>
        <w:rPr>
          <w:spacing w:val="-2"/>
          <w:sz w:val="20"/>
        </w:rPr>
        <w:t>Artículo</w:t>
      </w:r>
      <w:r>
        <w:rPr>
          <w:spacing w:val="1"/>
          <w:sz w:val="20"/>
        </w:rPr>
        <w:t xml:space="preserve"> </w:t>
      </w:r>
      <w:r>
        <w:rPr>
          <w:spacing w:val="-10"/>
          <w:sz w:val="20"/>
        </w:rPr>
        <w:t>2</w:t>
      </w:r>
    </w:p>
    <w:p w14:paraId="17B9F353" w14:textId="77777777" w:rsidR="0014798C" w:rsidRDefault="004E1F0B">
      <w:pPr>
        <w:spacing w:before="180"/>
        <w:ind w:left="1346"/>
        <w:rPr>
          <w:sz w:val="17"/>
        </w:rPr>
      </w:pPr>
      <w:r>
        <w:rPr>
          <w:sz w:val="17"/>
        </w:rPr>
        <w:t>1.</w:t>
      </w:r>
      <w:r>
        <w:rPr>
          <w:spacing w:val="-11"/>
          <w:sz w:val="17"/>
        </w:rPr>
        <w:t xml:space="preserve"> </w:t>
      </w:r>
      <w:r>
        <w:rPr>
          <w:sz w:val="17"/>
        </w:rPr>
        <w:t>En</w:t>
      </w:r>
      <w:r>
        <w:rPr>
          <w:spacing w:val="-10"/>
          <w:sz w:val="17"/>
        </w:rPr>
        <w:t xml:space="preserve"> </w:t>
      </w:r>
      <w:r>
        <w:rPr>
          <w:sz w:val="17"/>
        </w:rPr>
        <w:t>Georgia</w:t>
      </w:r>
      <w:r>
        <w:rPr>
          <w:spacing w:val="-10"/>
          <w:sz w:val="17"/>
        </w:rPr>
        <w:t xml:space="preserve"> </w:t>
      </w:r>
      <w:r>
        <w:rPr>
          <w:sz w:val="17"/>
        </w:rPr>
        <w:t>está</w:t>
      </w:r>
      <w:r>
        <w:rPr>
          <w:spacing w:val="-10"/>
          <w:sz w:val="17"/>
        </w:rPr>
        <w:t xml:space="preserve"> </w:t>
      </w:r>
      <w:r>
        <w:rPr>
          <w:sz w:val="17"/>
        </w:rPr>
        <w:t>prohibida</w:t>
      </w:r>
      <w:r>
        <w:rPr>
          <w:spacing w:val="-10"/>
          <w:sz w:val="17"/>
        </w:rPr>
        <w:t xml:space="preserve"> </w:t>
      </w:r>
      <w:r>
        <w:rPr>
          <w:sz w:val="17"/>
        </w:rPr>
        <w:t>cualquier</w:t>
      </w:r>
      <w:r>
        <w:rPr>
          <w:spacing w:val="-10"/>
          <w:sz w:val="17"/>
        </w:rPr>
        <w:t xml:space="preserve"> </w:t>
      </w:r>
      <w:r>
        <w:rPr>
          <w:sz w:val="17"/>
        </w:rPr>
        <w:t>forma</w:t>
      </w:r>
      <w:r>
        <w:rPr>
          <w:spacing w:val="-10"/>
          <w:sz w:val="17"/>
        </w:rPr>
        <w:t xml:space="preserve"> </w:t>
      </w:r>
      <w:r>
        <w:rPr>
          <w:sz w:val="17"/>
        </w:rPr>
        <w:t>de</w:t>
      </w:r>
      <w:r>
        <w:rPr>
          <w:spacing w:val="-10"/>
          <w:sz w:val="17"/>
        </w:rPr>
        <w:t xml:space="preserve"> </w:t>
      </w:r>
      <w:r>
        <w:rPr>
          <w:sz w:val="17"/>
        </w:rPr>
        <w:t>discriminación.</w:t>
      </w:r>
      <w:r>
        <w:rPr>
          <w:spacing w:val="-9"/>
          <w:sz w:val="17"/>
        </w:rPr>
        <w:t xml:space="preserve"> </w:t>
      </w:r>
      <w:r>
        <w:rPr>
          <w:spacing w:val="-10"/>
          <w:sz w:val="17"/>
        </w:rPr>
        <w:t>…</w:t>
      </w:r>
    </w:p>
    <w:p w14:paraId="53B86994" w14:textId="77777777" w:rsidR="0014798C" w:rsidRDefault="0014798C">
      <w:pPr>
        <w:pStyle w:val="Textoindependiente"/>
        <w:rPr>
          <w:sz w:val="17"/>
        </w:rPr>
      </w:pPr>
    </w:p>
    <w:p w14:paraId="64B735F8" w14:textId="77777777" w:rsidR="0014798C" w:rsidRDefault="0014798C">
      <w:pPr>
        <w:pStyle w:val="Textoindependiente"/>
        <w:spacing w:before="116"/>
        <w:rPr>
          <w:sz w:val="17"/>
        </w:rPr>
      </w:pPr>
    </w:p>
    <w:p w14:paraId="639E57D0" w14:textId="77777777" w:rsidR="0014798C" w:rsidRDefault="004E1F0B">
      <w:pPr>
        <w:spacing w:line="307" w:lineRule="auto"/>
        <w:ind w:left="1108" w:right="1166"/>
        <w:rPr>
          <w:sz w:val="17"/>
        </w:rPr>
      </w:pPr>
      <w:r>
        <w:rPr>
          <w:sz w:val="17"/>
        </w:rPr>
        <w:t>En</w:t>
      </w:r>
      <w:r>
        <w:rPr>
          <w:spacing w:val="-5"/>
          <w:sz w:val="17"/>
        </w:rPr>
        <w:t xml:space="preserve"> </w:t>
      </w:r>
      <w:r>
        <w:rPr>
          <w:sz w:val="17"/>
        </w:rPr>
        <w:t>su</w:t>
      </w:r>
      <w:r>
        <w:rPr>
          <w:spacing w:val="-5"/>
          <w:sz w:val="17"/>
        </w:rPr>
        <w:t xml:space="preserve"> </w:t>
      </w:r>
      <w:r>
        <w:rPr>
          <w:sz w:val="17"/>
        </w:rPr>
        <w:t>Observación</w:t>
      </w:r>
      <w:r>
        <w:rPr>
          <w:spacing w:val="-5"/>
          <w:sz w:val="17"/>
        </w:rPr>
        <w:t xml:space="preserve"> </w:t>
      </w:r>
      <w:r>
        <w:rPr>
          <w:sz w:val="17"/>
        </w:rPr>
        <w:t>general</w:t>
      </w:r>
      <w:r>
        <w:rPr>
          <w:spacing w:val="-5"/>
          <w:sz w:val="17"/>
        </w:rPr>
        <w:t xml:space="preserve"> </w:t>
      </w:r>
      <w:r>
        <w:rPr>
          <w:sz w:val="17"/>
        </w:rPr>
        <w:t>núm.</w:t>
      </w:r>
      <w:r>
        <w:rPr>
          <w:spacing w:val="-5"/>
          <w:sz w:val="17"/>
        </w:rPr>
        <w:t xml:space="preserve"> </w:t>
      </w:r>
      <w:r>
        <w:rPr>
          <w:sz w:val="17"/>
        </w:rPr>
        <w:t>6</w:t>
      </w:r>
      <w:r>
        <w:rPr>
          <w:spacing w:val="-5"/>
          <w:sz w:val="17"/>
        </w:rPr>
        <w:t xml:space="preserve"> </w:t>
      </w:r>
      <w:r>
        <w:rPr>
          <w:sz w:val="17"/>
        </w:rPr>
        <w:t>(2018),</w:t>
      </w:r>
      <w:r>
        <w:rPr>
          <w:spacing w:val="-4"/>
          <w:sz w:val="17"/>
        </w:rPr>
        <w:t xml:space="preserve"> </w:t>
      </w:r>
      <w:r>
        <w:rPr>
          <w:sz w:val="17"/>
        </w:rPr>
        <w:t>el</w:t>
      </w:r>
      <w:r>
        <w:rPr>
          <w:spacing w:val="-5"/>
          <w:sz w:val="17"/>
        </w:rPr>
        <w:t xml:space="preserve"> </w:t>
      </w:r>
      <w:r>
        <w:rPr>
          <w:sz w:val="17"/>
        </w:rPr>
        <w:t>Comité</w:t>
      </w:r>
      <w:r>
        <w:rPr>
          <w:spacing w:val="-5"/>
          <w:sz w:val="17"/>
        </w:rPr>
        <w:t xml:space="preserve"> </w:t>
      </w:r>
      <w:r>
        <w:rPr>
          <w:sz w:val="17"/>
        </w:rPr>
        <w:t>sobre</w:t>
      </w:r>
      <w:r>
        <w:rPr>
          <w:spacing w:val="-5"/>
          <w:sz w:val="17"/>
        </w:rPr>
        <w:t xml:space="preserve"> </w:t>
      </w:r>
      <w:r>
        <w:rPr>
          <w:sz w:val="17"/>
        </w:rPr>
        <w:t>los</w:t>
      </w:r>
      <w:r>
        <w:rPr>
          <w:spacing w:val="-5"/>
          <w:sz w:val="17"/>
        </w:rPr>
        <w:t xml:space="preserve"> </w:t>
      </w:r>
      <w:r>
        <w:rPr>
          <w:sz w:val="17"/>
        </w:rPr>
        <w:t>Derechos</w:t>
      </w:r>
      <w:r>
        <w:rPr>
          <w:spacing w:val="-5"/>
          <w:sz w:val="17"/>
        </w:rPr>
        <w:t xml:space="preserve"> </w:t>
      </w:r>
      <w:r>
        <w:rPr>
          <w:sz w:val="17"/>
        </w:rPr>
        <w:t>de</w:t>
      </w:r>
      <w:r>
        <w:rPr>
          <w:spacing w:val="-5"/>
          <w:sz w:val="17"/>
        </w:rPr>
        <w:t xml:space="preserve"> </w:t>
      </w:r>
      <w:r>
        <w:rPr>
          <w:sz w:val="17"/>
        </w:rPr>
        <w:t>las</w:t>
      </w:r>
      <w:r>
        <w:rPr>
          <w:spacing w:val="-5"/>
          <w:sz w:val="17"/>
        </w:rPr>
        <w:t xml:space="preserve"> </w:t>
      </w:r>
      <w:r>
        <w:rPr>
          <w:sz w:val="17"/>
        </w:rPr>
        <w:t>Personas</w:t>
      </w:r>
      <w:r>
        <w:rPr>
          <w:spacing w:val="-5"/>
          <w:sz w:val="17"/>
        </w:rPr>
        <w:t xml:space="preserve"> </w:t>
      </w:r>
      <w:r>
        <w:rPr>
          <w:sz w:val="17"/>
        </w:rPr>
        <w:t>con</w:t>
      </w:r>
      <w:r>
        <w:rPr>
          <w:spacing w:val="-5"/>
          <w:sz w:val="17"/>
        </w:rPr>
        <w:t xml:space="preserve"> </w:t>
      </w:r>
      <w:r>
        <w:rPr>
          <w:sz w:val="17"/>
        </w:rPr>
        <w:t>Discapacidad</w:t>
      </w:r>
      <w:r>
        <w:rPr>
          <w:spacing w:val="-5"/>
          <w:sz w:val="17"/>
        </w:rPr>
        <w:t xml:space="preserve"> </w:t>
      </w:r>
      <w:r>
        <w:rPr>
          <w:sz w:val="17"/>
        </w:rPr>
        <w:t>identifica</w:t>
      </w:r>
      <w:r>
        <w:rPr>
          <w:spacing w:val="-5"/>
          <w:sz w:val="17"/>
        </w:rPr>
        <w:t xml:space="preserve"> </w:t>
      </w:r>
      <w:r>
        <w:rPr>
          <w:sz w:val="17"/>
        </w:rPr>
        <w:t xml:space="preserve">cuatro formas “principales” de discriminación reconocidas en la práctica internacional de derechos humanos. Esto incluye: (a) </w:t>
      </w:r>
      <w:r>
        <w:rPr>
          <w:spacing w:val="-2"/>
          <w:sz w:val="17"/>
        </w:rPr>
        <w:t>discriminación</w:t>
      </w:r>
      <w:r>
        <w:rPr>
          <w:spacing w:val="-8"/>
          <w:sz w:val="17"/>
        </w:rPr>
        <w:t xml:space="preserve"> </w:t>
      </w:r>
      <w:r>
        <w:rPr>
          <w:spacing w:val="-2"/>
          <w:sz w:val="17"/>
        </w:rPr>
        <w:t>directa;</w:t>
      </w:r>
      <w:r>
        <w:rPr>
          <w:spacing w:val="-8"/>
          <w:sz w:val="17"/>
        </w:rPr>
        <w:t xml:space="preserve"> </w:t>
      </w:r>
      <w:r>
        <w:rPr>
          <w:spacing w:val="-2"/>
          <w:sz w:val="17"/>
        </w:rPr>
        <w:t>b)</w:t>
      </w:r>
      <w:r>
        <w:rPr>
          <w:spacing w:val="-8"/>
          <w:sz w:val="17"/>
        </w:rPr>
        <w:t xml:space="preserve"> </w:t>
      </w:r>
      <w:r>
        <w:rPr>
          <w:spacing w:val="-2"/>
          <w:sz w:val="17"/>
        </w:rPr>
        <w:t>discriminación</w:t>
      </w:r>
      <w:r>
        <w:rPr>
          <w:spacing w:val="-8"/>
          <w:sz w:val="17"/>
        </w:rPr>
        <w:t xml:space="preserve"> </w:t>
      </w:r>
      <w:r>
        <w:rPr>
          <w:spacing w:val="-2"/>
          <w:sz w:val="17"/>
        </w:rPr>
        <w:t>indirecta;</w:t>
      </w:r>
      <w:r>
        <w:rPr>
          <w:spacing w:val="-8"/>
          <w:sz w:val="17"/>
        </w:rPr>
        <w:t xml:space="preserve"> </w:t>
      </w:r>
      <w:r>
        <w:rPr>
          <w:spacing w:val="-2"/>
          <w:sz w:val="17"/>
        </w:rPr>
        <w:t>(c)</w:t>
      </w:r>
      <w:r>
        <w:rPr>
          <w:spacing w:val="-8"/>
          <w:sz w:val="17"/>
        </w:rPr>
        <w:t xml:space="preserve"> </w:t>
      </w:r>
      <w:r>
        <w:rPr>
          <w:spacing w:val="-2"/>
          <w:sz w:val="17"/>
        </w:rPr>
        <w:t>denegación</w:t>
      </w:r>
      <w:r>
        <w:rPr>
          <w:spacing w:val="-8"/>
          <w:sz w:val="17"/>
        </w:rPr>
        <w:t xml:space="preserve"> </w:t>
      </w:r>
      <w:r>
        <w:rPr>
          <w:spacing w:val="-2"/>
          <w:sz w:val="17"/>
        </w:rPr>
        <w:t>de</w:t>
      </w:r>
      <w:r>
        <w:rPr>
          <w:spacing w:val="-8"/>
          <w:sz w:val="17"/>
        </w:rPr>
        <w:t xml:space="preserve"> </w:t>
      </w:r>
      <w:r>
        <w:rPr>
          <w:spacing w:val="-2"/>
          <w:sz w:val="17"/>
        </w:rPr>
        <w:t>ajustes</w:t>
      </w:r>
      <w:r>
        <w:rPr>
          <w:spacing w:val="-8"/>
          <w:sz w:val="17"/>
        </w:rPr>
        <w:t xml:space="preserve"> </w:t>
      </w:r>
      <w:r>
        <w:rPr>
          <w:spacing w:val="-2"/>
          <w:sz w:val="17"/>
        </w:rPr>
        <w:t>razonables;</w:t>
      </w:r>
      <w:r>
        <w:rPr>
          <w:spacing w:val="-8"/>
          <w:sz w:val="17"/>
        </w:rPr>
        <w:t xml:space="preserve"> </w:t>
      </w:r>
      <w:r>
        <w:rPr>
          <w:spacing w:val="-2"/>
          <w:sz w:val="17"/>
        </w:rPr>
        <w:t>y</w:t>
      </w:r>
      <w:r>
        <w:rPr>
          <w:spacing w:val="-8"/>
          <w:sz w:val="17"/>
        </w:rPr>
        <w:t xml:space="preserve"> </w:t>
      </w:r>
      <w:r>
        <w:rPr>
          <w:spacing w:val="-2"/>
          <w:sz w:val="17"/>
        </w:rPr>
        <w:t>(d)</w:t>
      </w:r>
      <w:r>
        <w:rPr>
          <w:spacing w:val="-8"/>
          <w:sz w:val="17"/>
        </w:rPr>
        <w:t xml:space="preserve"> </w:t>
      </w:r>
      <w:r>
        <w:rPr>
          <w:spacing w:val="-2"/>
          <w:sz w:val="17"/>
        </w:rPr>
        <w:t>acoso</w:t>
      </w:r>
      <w:r>
        <w:rPr>
          <w:spacing w:val="-8"/>
          <w:sz w:val="17"/>
        </w:rPr>
        <w:t xml:space="preserve"> </w:t>
      </w:r>
      <w:r>
        <w:rPr>
          <w:spacing w:val="-2"/>
          <w:sz w:val="17"/>
        </w:rPr>
        <w:t>(sobre</w:t>
      </w:r>
      <w:r>
        <w:rPr>
          <w:spacing w:val="-8"/>
          <w:sz w:val="17"/>
        </w:rPr>
        <w:t xml:space="preserve"> </w:t>
      </w:r>
      <w:r>
        <w:rPr>
          <w:spacing w:val="-2"/>
          <w:sz w:val="17"/>
        </w:rPr>
        <w:t>la</w:t>
      </w:r>
      <w:r>
        <w:rPr>
          <w:spacing w:val="-8"/>
          <w:sz w:val="17"/>
        </w:rPr>
        <w:t xml:space="preserve"> </w:t>
      </w:r>
      <w:r>
        <w:rPr>
          <w:spacing w:val="-2"/>
          <w:sz w:val="17"/>
        </w:rPr>
        <w:t>base</w:t>
      </w:r>
      <w:r>
        <w:rPr>
          <w:spacing w:val="-8"/>
          <w:sz w:val="17"/>
        </w:rPr>
        <w:t xml:space="preserve"> </w:t>
      </w:r>
      <w:r>
        <w:rPr>
          <w:spacing w:val="-2"/>
          <w:sz w:val="17"/>
        </w:rPr>
        <w:t>de</w:t>
      </w:r>
      <w:r>
        <w:rPr>
          <w:spacing w:val="-8"/>
          <w:sz w:val="17"/>
        </w:rPr>
        <w:t xml:space="preserve"> </w:t>
      </w:r>
      <w:r>
        <w:rPr>
          <w:spacing w:val="-2"/>
          <w:sz w:val="17"/>
        </w:rPr>
        <w:t xml:space="preserve">un </w:t>
      </w:r>
      <w:r>
        <w:rPr>
          <w:sz w:val="17"/>
        </w:rPr>
        <w:t>motivo</w:t>
      </w:r>
      <w:r>
        <w:rPr>
          <w:spacing w:val="-4"/>
          <w:sz w:val="17"/>
        </w:rPr>
        <w:t xml:space="preserve"> </w:t>
      </w:r>
      <w:r>
        <w:rPr>
          <w:sz w:val="17"/>
        </w:rPr>
        <w:t>protegido).206</w:t>
      </w:r>
      <w:r>
        <w:rPr>
          <w:spacing w:val="-4"/>
          <w:sz w:val="17"/>
        </w:rPr>
        <w:t xml:space="preserve"> </w:t>
      </w:r>
      <w:r>
        <w:rPr>
          <w:sz w:val="17"/>
        </w:rPr>
        <w:t>Con</w:t>
      </w:r>
      <w:r>
        <w:rPr>
          <w:spacing w:val="-4"/>
          <w:sz w:val="17"/>
        </w:rPr>
        <w:t xml:space="preserve"> </w:t>
      </w:r>
      <w:r>
        <w:rPr>
          <w:sz w:val="17"/>
        </w:rPr>
        <w:t>algunos</w:t>
      </w:r>
      <w:r>
        <w:rPr>
          <w:spacing w:val="-4"/>
          <w:sz w:val="17"/>
        </w:rPr>
        <w:t xml:space="preserve"> </w:t>
      </w:r>
      <w:r>
        <w:rPr>
          <w:sz w:val="17"/>
        </w:rPr>
        <w:t>matices,</w:t>
      </w:r>
      <w:r>
        <w:rPr>
          <w:spacing w:val="-3"/>
          <w:sz w:val="17"/>
        </w:rPr>
        <w:t xml:space="preserve"> </w:t>
      </w:r>
      <w:r>
        <w:rPr>
          <w:sz w:val="17"/>
        </w:rPr>
        <w:t>cada</w:t>
      </w:r>
      <w:r>
        <w:rPr>
          <w:spacing w:val="-4"/>
          <w:sz w:val="17"/>
        </w:rPr>
        <w:t xml:space="preserve"> </w:t>
      </w:r>
      <w:r>
        <w:rPr>
          <w:sz w:val="17"/>
        </w:rPr>
        <w:t>uno</w:t>
      </w:r>
      <w:r>
        <w:rPr>
          <w:spacing w:val="-4"/>
          <w:sz w:val="17"/>
        </w:rPr>
        <w:t xml:space="preserve"> </w:t>
      </w:r>
      <w:r>
        <w:rPr>
          <w:sz w:val="17"/>
        </w:rPr>
        <w:t>de</w:t>
      </w:r>
      <w:r>
        <w:rPr>
          <w:spacing w:val="-4"/>
          <w:sz w:val="17"/>
        </w:rPr>
        <w:t xml:space="preserve"> </w:t>
      </w:r>
      <w:r>
        <w:rPr>
          <w:sz w:val="17"/>
        </w:rPr>
        <w:t>estos</w:t>
      </w:r>
      <w:r>
        <w:rPr>
          <w:spacing w:val="-4"/>
          <w:sz w:val="17"/>
        </w:rPr>
        <w:t xml:space="preserve"> </w:t>
      </w:r>
      <w:r>
        <w:rPr>
          <w:sz w:val="17"/>
        </w:rPr>
        <w:t>conceptos</w:t>
      </w:r>
      <w:r>
        <w:rPr>
          <w:spacing w:val="-4"/>
          <w:sz w:val="17"/>
        </w:rPr>
        <w:t xml:space="preserve"> </w:t>
      </w:r>
      <w:r>
        <w:rPr>
          <w:sz w:val="17"/>
        </w:rPr>
        <w:t>ha</w:t>
      </w:r>
      <w:r>
        <w:rPr>
          <w:spacing w:val="-4"/>
          <w:sz w:val="17"/>
        </w:rPr>
        <w:t xml:space="preserve"> </w:t>
      </w:r>
      <w:r>
        <w:rPr>
          <w:sz w:val="17"/>
        </w:rPr>
        <w:t>sido</w:t>
      </w:r>
      <w:r>
        <w:rPr>
          <w:spacing w:val="-4"/>
          <w:sz w:val="17"/>
        </w:rPr>
        <w:t xml:space="preserve"> </w:t>
      </w:r>
      <w:r>
        <w:rPr>
          <w:sz w:val="17"/>
        </w:rPr>
        <w:t>reconocido</w:t>
      </w:r>
      <w:r>
        <w:rPr>
          <w:spacing w:val="-4"/>
          <w:sz w:val="17"/>
        </w:rPr>
        <w:t xml:space="preserve"> </w:t>
      </w:r>
      <w:r>
        <w:rPr>
          <w:sz w:val="17"/>
        </w:rPr>
        <w:t>como</w:t>
      </w:r>
      <w:r>
        <w:rPr>
          <w:spacing w:val="-4"/>
          <w:sz w:val="17"/>
        </w:rPr>
        <w:t xml:space="preserve"> </w:t>
      </w:r>
      <w:r>
        <w:rPr>
          <w:sz w:val="17"/>
        </w:rPr>
        <w:t>conducta</w:t>
      </w:r>
      <w:r>
        <w:rPr>
          <w:spacing w:val="-4"/>
          <w:sz w:val="17"/>
        </w:rPr>
        <w:t xml:space="preserve"> </w:t>
      </w:r>
      <w:r>
        <w:rPr>
          <w:sz w:val="17"/>
        </w:rPr>
        <w:t>prohibida</w:t>
      </w:r>
      <w:r>
        <w:rPr>
          <w:spacing w:val="-4"/>
          <w:sz w:val="17"/>
        </w:rPr>
        <w:t xml:space="preserve"> </w:t>
      </w:r>
      <w:r>
        <w:rPr>
          <w:sz w:val="17"/>
        </w:rPr>
        <w:t>que cae dentro del alcance del derecho a la no discriminación previsto en otros tratados internacionales de derechos humanos. 207 Además de esta lista, la presente guía analiza la segregación y la victimización como formas de conducta prohibida reconocidas en el derecho internacional.208 Algunas divergencias en el enfoque dentro y fuera del país</w:t>
      </w:r>
    </w:p>
    <w:p w14:paraId="4C9BB5E8" w14:textId="77777777" w:rsidR="0014798C" w:rsidRDefault="0014798C">
      <w:pPr>
        <w:pStyle w:val="Textoindependiente"/>
        <w:rPr>
          <w:sz w:val="12"/>
        </w:rPr>
      </w:pPr>
    </w:p>
    <w:p w14:paraId="0C9E5BFA" w14:textId="77777777" w:rsidR="0014798C" w:rsidRDefault="0014798C">
      <w:pPr>
        <w:pStyle w:val="Textoindependiente"/>
        <w:rPr>
          <w:sz w:val="12"/>
        </w:rPr>
      </w:pPr>
    </w:p>
    <w:p w14:paraId="323B3F5E" w14:textId="77777777" w:rsidR="0014798C" w:rsidRDefault="0014798C">
      <w:pPr>
        <w:pStyle w:val="Textoindependiente"/>
        <w:rPr>
          <w:sz w:val="12"/>
        </w:rPr>
      </w:pPr>
    </w:p>
    <w:p w14:paraId="25FABFCF" w14:textId="77777777" w:rsidR="0014798C" w:rsidRDefault="0014798C">
      <w:pPr>
        <w:pStyle w:val="Textoindependiente"/>
        <w:rPr>
          <w:sz w:val="12"/>
        </w:rPr>
      </w:pPr>
    </w:p>
    <w:p w14:paraId="1F9D26B1" w14:textId="77777777" w:rsidR="0014798C" w:rsidRDefault="0014798C">
      <w:pPr>
        <w:pStyle w:val="Textoindependiente"/>
        <w:rPr>
          <w:sz w:val="12"/>
        </w:rPr>
      </w:pPr>
    </w:p>
    <w:p w14:paraId="6AE21A82" w14:textId="77777777" w:rsidR="0014798C" w:rsidRDefault="0014798C">
      <w:pPr>
        <w:pStyle w:val="Textoindependiente"/>
        <w:rPr>
          <w:sz w:val="12"/>
        </w:rPr>
      </w:pPr>
    </w:p>
    <w:p w14:paraId="7F1FCEA1" w14:textId="77777777" w:rsidR="0014798C" w:rsidRDefault="0014798C">
      <w:pPr>
        <w:pStyle w:val="Textoindependiente"/>
        <w:rPr>
          <w:sz w:val="12"/>
        </w:rPr>
      </w:pPr>
    </w:p>
    <w:p w14:paraId="0246FBCA" w14:textId="77777777" w:rsidR="0014798C" w:rsidRDefault="0014798C">
      <w:pPr>
        <w:pStyle w:val="Textoindependiente"/>
        <w:rPr>
          <w:sz w:val="12"/>
        </w:rPr>
      </w:pPr>
    </w:p>
    <w:p w14:paraId="78362D40" w14:textId="77777777" w:rsidR="0014798C" w:rsidRDefault="0014798C">
      <w:pPr>
        <w:pStyle w:val="Textoindependiente"/>
        <w:spacing w:before="38"/>
        <w:rPr>
          <w:sz w:val="12"/>
        </w:rPr>
      </w:pPr>
    </w:p>
    <w:p w14:paraId="5172EB49" w14:textId="77777777" w:rsidR="0014798C" w:rsidRDefault="004E1F0B">
      <w:pPr>
        <w:pStyle w:val="Prrafodelista"/>
        <w:numPr>
          <w:ilvl w:val="0"/>
          <w:numId w:val="79"/>
        </w:numPr>
        <w:tabs>
          <w:tab w:val="left" w:pos="1333"/>
        </w:tabs>
        <w:spacing w:before="1"/>
        <w:ind w:left="1333" w:hanging="228"/>
        <w:rPr>
          <w:sz w:val="12"/>
        </w:rPr>
      </w:pPr>
      <w:r>
        <w:rPr>
          <w:spacing w:val="-2"/>
          <w:sz w:val="12"/>
        </w:rPr>
        <w:t>En</w:t>
      </w:r>
      <w:r>
        <w:rPr>
          <w:spacing w:val="3"/>
          <w:sz w:val="12"/>
        </w:rPr>
        <w:t xml:space="preserve"> </w:t>
      </w:r>
      <w:r>
        <w:rPr>
          <w:spacing w:val="-2"/>
          <w:sz w:val="12"/>
        </w:rPr>
        <w:t>particular,</w:t>
      </w:r>
      <w:r>
        <w:rPr>
          <w:spacing w:val="4"/>
          <w:sz w:val="12"/>
        </w:rPr>
        <w:t xml:space="preserve"> </w:t>
      </w:r>
      <w:r>
        <w:rPr>
          <w:spacing w:val="-2"/>
          <w:sz w:val="12"/>
        </w:rPr>
        <w:t>tanto</w:t>
      </w:r>
      <w:r>
        <w:rPr>
          <w:spacing w:val="3"/>
          <w:sz w:val="12"/>
        </w:rPr>
        <w:t xml:space="preserve"> </w:t>
      </w:r>
      <w:r>
        <w:rPr>
          <w:spacing w:val="-2"/>
          <w:sz w:val="12"/>
        </w:rPr>
        <w:t>la</w:t>
      </w:r>
      <w:r>
        <w:rPr>
          <w:spacing w:val="3"/>
          <w:sz w:val="12"/>
        </w:rPr>
        <w:t xml:space="preserve"> </w:t>
      </w:r>
      <w:r>
        <w:rPr>
          <w:spacing w:val="-2"/>
          <w:sz w:val="12"/>
        </w:rPr>
        <w:t>Convención</w:t>
      </w:r>
      <w:r>
        <w:rPr>
          <w:spacing w:val="3"/>
          <w:sz w:val="12"/>
        </w:rPr>
        <w:t xml:space="preserve"> </w:t>
      </w:r>
      <w:r>
        <w:rPr>
          <w:spacing w:val="-2"/>
          <w:sz w:val="12"/>
        </w:rPr>
        <w:t>Internacional</w:t>
      </w:r>
      <w:r>
        <w:rPr>
          <w:spacing w:val="3"/>
          <w:sz w:val="12"/>
        </w:rPr>
        <w:t xml:space="preserve"> </w:t>
      </w:r>
      <w:r>
        <w:rPr>
          <w:spacing w:val="-2"/>
          <w:sz w:val="12"/>
        </w:rPr>
        <w:t>sobre</w:t>
      </w:r>
      <w:r>
        <w:rPr>
          <w:spacing w:val="3"/>
          <w:sz w:val="12"/>
        </w:rPr>
        <w:t xml:space="preserve"> </w:t>
      </w:r>
      <w:r>
        <w:rPr>
          <w:spacing w:val="-2"/>
          <w:sz w:val="12"/>
        </w:rPr>
        <w:t>la</w:t>
      </w:r>
      <w:r>
        <w:rPr>
          <w:spacing w:val="3"/>
          <w:sz w:val="12"/>
        </w:rPr>
        <w:t xml:space="preserve"> </w:t>
      </w:r>
      <w:r>
        <w:rPr>
          <w:spacing w:val="-2"/>
          <w:sz w:val="12"/>
        </w:rPr>
        <w:t>Eliminación</w:t>
      </w:r>
      <w:r>
        <w:rPr>
          <w:spacing w:val="3"/>
          <w:sz w:val="12"/>
        </w:rPr>
        <w:t xml:space="preserve"> </w:t>
      </w:r>
      <w:r>
        <w:rPr>
          <w:spacing w:val="-2"/>
          <w:sz w:val="12"/>
        </w:rPr>
        <w:t>de</w:t>
      </w:r>
      <w:r>
        <w:rPr>
          <w:spacing w:val="3"/>
          <w:sz w:val="12"/>
        </w:rPr>
        <w:t xml:space="preserve"> </w:t>
      </w:r>
      <w:r>
        <w:rPr>
          <w:spacing w:val="-2"/>
          <w:sz w:val="12"/>
        </w:rPr>
        <w:t>todas</w:t>
      </w:r>
      <w:r>
        <w:rPr>
          <w:spacing w:val="4"/>
          <w:sz w:val="12"/>
        </w:rPr>
        <w:t xml:space="preserve"> </w:t>
      </w:r>
      <w:r>
        <w:rPr>
          <w:spacing w:val="-2"/>
          <w:sz w:val="12"/>
        </w:rPr>
        <w:t>las</w:t>
      </w:r>
      <w:r>
        <w:rPr>
          <w:spacing w:val="3"/>
          <w:sz w:val="12"/>
        </w:rPr>
        <w:t xml:space="preserve"> </w:t>
      </w:r>
      <w:r>
        <w:rPr>
          <w:spacing w:val="-2"/>
          <w:sz w:val="12"/>
        </w:rPr>
        <w:t>Formas</w:t>
      </w:r>
      <w:r>
        <w:rPr>
          <w:spacing w:val="3"/>
          <w:sz w:val="12"/>
        </w:rPr>
        <w:t xml:space="preserve"> </w:t>
      </w:r>
      <w:r>
        <w:rPr>
          <w:spacing w:val="-2"/>
          <w:sz w:val="12"/>
        </w:rPr>
        <w:t>de</w:t>
      </w:r>
      <w:r>
        <w:rPr>
          <w:spacing w:val="3"/>
          <w:sz w:val="12"/>
        </w:rPr>
        <w:t xml:space="preserve"> </w:t>
      </w:r>
      <w:r>
        <w:rPr>
          <w:spacing w:val="-2"/>
          <w:sz w:val="12"/>
        </w:rPr>
        <w:t>Discriminación</w:t>
      </w:r>
      <w:r>
        <w:rPr>
          <w:spacing w:val="3"/>
          <w:sz w:val="12"/>
        </w:rPr>
        <w:t xml:space="preserve"> </w:t>
      </w:r>
      <w:r>
        <w:rPr>
          <w:spacing w:val="-2"/>
          <w:sz w:val="12"/>
        </w:rPr>
        <w:t>Racial</w:t>
      </w:r>
      <w:r>
        <w:rPr>
          <w:spacing w:val="3"/>
          <w:sz w:val="12"/>
        </w:rPr>
        <w:t xml:space="preserve"> </w:t>
      </w:r>
      <w:r>
        <w:rPr>
          <w:spacing w:val="-2"/>
          <w:sz w:val="12"/>
        </w:rPr>
        <w:t>como</w:t>
      </w:r>
      <w:r>
        <w:rPr>
          <w:spacing w:val="3"/>
          <w:sz w:val="12"/>
        </w:rPr>
        <w:t xml:space="preserve"> </w:t>
      </w:r>
      <w:r>
        <w:rPr>
          <w:spacing w:val="-2"/>
          <w:sz w:val="12"/>
        </w:rPr>
        <w:t>la</w:t>
      </w:r>
      <w:r>
        <w:rPr>
          <w:spacing w:val="3"/>
          <w:sz w:val="12"/>
        </w:rPr>
        <w:t xml:space="preserve"> </w:t>
      </w:r>
      <w:r>
        <w:rPr>
          <w:spacing w:val="-2"/>
          <w:sz w:val="12"/>
        </w:rPr>
        <w:t>Convención</w:t>
      </w:r>
      <w:r>
        <w:rPr>
          <w:spacing w:val="3"/>
          <w:sz w:val="12"/>
        </w:rPr>
        <w:t xml:space="preserve"> </w:t>
      </w:r>
      <w:r>
        <w:rPr>
          <w:spacing w:val="-2"/>
          <w:sz w:val="12"/>
        </w:rPr>
        <w:t>sobre</w:t>
      </w:r>
      <w:r>
        <w:rPr>
          <w:spacing w:val="3"/>
          <w:sz w:val="12"/>
        </w:rPr>
        <w:t xml:space="preserve"> </w:t>
      </w:r>
      <w:r>
        <w:rPr>
          <w:spacing w:val="-5"/>
          <w:sz w:val="12"/>
        </w:rPr>
        <w:t>la</w:t>
      </w:r>
    </w:p>
    <w:p w14:paraId="40B923D0" w14:textId="77777777" w:rsidR="0014798C" w:rsidRDefault="004E1F0B">
      <w:pPr>
        <w:spacing w:before="37" w:line="312" w:lineRule="auto"/>
        <w:ind w:left="1369" w:right="1840" w:hanging="2"/>
        <w:rPr>
          <w:sz w:val="12"/>
        </w:rPr>
      </w:pPr>
      <w:r>
        <w:rPr>
          <w:w w:val="105"/>
          <w:sz w:val="12"/>
        </w:rPr>
        <w:t>Eliminación</w:t>
      </w:r>
      <w:r>
        <w:rPr>
          <w:spacing w:val="-5"/>
          <w:w w:val="105"/>
          <w:sz w:val="12"/>
        </w:rPr>
        <w:t xml:space="preserve"> </w:t>
      </w:r>
      <w:r>
        <w:rPr>
          <w:w w:val="105"/>
          <w:sz w:val="12"/>
        </w:rPr>
        <w:t>de</w:t>
      </w:r>
      <w:r>
        <w:rPr>
          <w:spacing w:val="-4"/>
          <w:w w:val="105"/>
          <w:sz w:val="12"/>
        </w:rPr>
        <w:t xml:space="preserve"> </w:t>
      </w:r>
      <w:r>
        <w:rPr>
          <w:w w:val="105"/>
          <w:sz w:val="12"/>
        </w:rPr>
        <w:t>todas</w:t>
      </w:r>
      <w:r>
        <w:rPr>
          <w:spacing w:val="-5"/>
          <w:w w:val="105"/>
          <w:sz w:val="12"/>
        </w:rPr>
        <w:t xml:space="preserve"> </w:t>
      </w:r>
      <w:r>
        <w:rPr>
          <w:w w:val="105"/>
          <w:sz w:val="12"/>
        </w:rPr>
        <w:t>las</w:t>
      </w:r>
      <w:r>
        <w:rPr>
          <w:spacing w:val="-4"/>
          <w:w w:val="105"/>
          <w:sz w:val="12"/>
        </w:rPr>
        <w:t xml:space="preserve"> </w:t>
      </w:r>
      <w:r>
        <w:rPr>
          <w:w w:val="105"/>
          <w:sz w:val="12"/>
        </w:rPr>
        <w:t>formas</w:t>
      </w:r>
      <w:r>
        <w:rPr>
          <w:spacing w:val="-5"/>
          <w:w w:val="105"/>
          <w:sz w:val="12"/>
        </w:rPr>
        <w:t xml:space="preserve"> </w:t>
      </w:r>
      <w:r>
        <w:rPr>
          <w:w w:val="105"/>
          <w:sz w:val="12"/>
        </w:rPr>
        <w:t>de</w:t>
      </w:r>
      <w:r>
        <w:rPr>
          <w:spacing w:val="-4"/>
          <w:w w:val="105"/>
          <w:sz w:val="12"/>
        </w:rPr>
        <w:t xml:space="preserve"> </w:t>
      </w:r>
      <w:r>
        <w:rPr>
          <w:w w:val="105"/>
          <w:sz w:val="12"/>
        </w:rPr>
        <w:t>discriminación</w:t>
      </w:r>
      <w:r>
        <w:rPr>
          <w:spacing w:val="-4"/>
          <w:w w:val="105"/>
          <w:sz w:val="12"/>
        </w:rPr>
        <w:t xml:space="preserve"> </w:t>
      </w:r>
      <w:r>
        <w:rPr>
          <w:w w:val="105"/>
          <w:sz w:val="12"/>
        </w:rPr>
        <w:t>contra</w:t>
      </w:r>
      <w:r>
        <w:rPr>
          <w:spacing w:val="-5"/>
          <w:w w:val="105"/>
          <w:sz w:val="12"/>
        </w:rPr>
        <w:t xml:space="preserve"> </w:t>
      </w:r>
      <w:r>
        <w:rPr>
          <w:w w:val="105"/>
          <w:sz w:val="12"/>
        </w:rPr>
        <w:t>la</w:t>
      </w:r>
      <w:r>
        <w:rPr>
          <w:spacing w:val="-4"/>
          <w:w w:val="105"/>
          <w:sz w:val="12"/>
        </w:rPr>
        <w:t xml:space="preserve"> </w:t>
      </w:r>
      <w:r>
        <w:rPr>
          <w:w w:val="105"/>
          <w:sz w:val="12"/>
        </w:rPr>
        <w:t>mujer</w:t>
      </w:r>
      <w:r>
        <w:rPr>
          <w:spacing w:val="-5"/>
          <w:w w:val="105"/>
          <w:sz w:val="12"/>
        </w:rPr>
        <w:t xml:space="preserve"> </w:t>
      </w:r>
      <w:r>
        <w:rPr>
          <w:w w:val="105"/>
          <w:sz w:val="12"/>
        </w:rPr>
        <w:t>se</w:t>
      </w:r>
      <w:r>
        <w:rPr>
          <w:spacing w:val="-4"/>
          <w:w w:val="105"/>
          <w:sz w:val="12"/>
        </w:rPr>
        <w:t xml:space="preserve"> </w:t>
      </w:r>
      <w:r>
        <w:rPr>
          <w:w w:val="105"/>
          <w:sz w:val="12"/>
        </w:rPr>
        <w:t>redactan</w:t>
      </w:r>
      <w:r>
        <w:rPr>
          <w:spacing w:val="-5"/>
          <w:w w:val="105"/>
          <w:sz w:val="12"/>
        </w:rPr>
        <w:t xml:space="preserve"> </w:t>
      </w:r>
      <w:r>
        <w:rPr>
          <w:w w:val="105"/>
          <w:sz w:val="12"/>
        </w:rPr>
        <w:t>en</w:t>
      </w:r>
      <w:r>
        <w:rPr>
          <w:spacing w:val="-4"/>
          <w:w w:val="105"/>
          <w:sz w:val="12"/>
        </w:rPr>
        <w:t xml:space="preserve"> </w:t>
      </w:r>
      <w:r>
        <w:rPr>
          <w:w w:val="105"/>
          <w:sz w:val="12"/>
        </w:rPr>
        <w:t>vista</w:t>
      </w:r>
      <w:r>
        <w:rPr>
          <w:spacing w:val="-5"/>
          <w:w w:val="105"/>
          <w:sz w:val="12"/>
        </w:rPr>
        <w:t xml:space="preserve"> </w:t>
      </w:r>
      <w:r>
        <w:rPr>
          <w:w w:val="105"/>
          <w:sz w:val="12"/>
        </w:rPr>
        <w:t>de</w:t>
      </w:r>
      <w:r>
        <w:rPr>
          <w:spacing w:val="-4"/>
          <w:w w:val="105"/>
          <w:sz w:val="12"/>
        </w:rPr>
        <w:t xml:space="preserve"> </w:t>
      </w:r>
      <w:r>
        <w:rPr>
          <w:w w:val="105"/>
          <w:sz w:val="12"/>
        </w:rPr>
        <w:t>la</w:t>
      </w:r>
      <w:r>
        <w:rPr>
          <w:spacing w:val="-4"/>
          <w:w w:val="105"/>
          <w:sz w:val="12"/>
        </w:rPr>
        <w:t xml:space="preserve"> </w:t>
      </w:r>
      <w:r>
        <w:rPr>
          <w:w w:val="105"/>
          <w:sz w:val="12"/>
        </w:rPr>
        <w:t>necesidad</w:t>
      </w:r>
      <w:r>
        <w:rPr>
          <w:spacing w:val="-4"/>
          <w:w w:val="105"/>
          <w:sz w:val="12"/>
        </w:rPr>
        <w:t xml:space="preserve"> </w:t>
      </w:r>
      <w:r>
        <w:rPr>
          <w:w w:val="105"/>
          <w:sz w:val="12"/>
        </w:rPr>
        <w:t>de</w:t>
      </w:r>
      <w:r>
        <w:rPr>
          <w:spacing w:val="-4"/>
          <w:w w:val="105"/>
          <w:sz w:val="12"/>
        </w:rPr>
        <w:t xml:space="preserve"> </w:t>
      </w:r>
      <w:r>
        <w:rPr>
          <w:w w:val="105"/>
          <w:sz w:val="12"/>
        </w:rPr>
        <w:t>eliminar</w:t>
      </w:r>
      <w:r>
        <w:rPr>
          <w:spacing w:val="-5"/>
          <w:w w:val="105"/>
          <w:sz w:val="12"/>
        </w:rPr>
        <w:t xml:space="preserve"> </w:t>
      </w:r>
      <w:r>
        <w:rPr>
          <w:w w:val="105"/>
          <w:sz w:val="12"/>
        </w:rPr>
        <w:t>“todas</w:t>
      </w:r>
      <w:r>
        <w:rPr>
          <w:spacing w:val="-5"/>
          <w:w w:val="105"/>
          <w:sz w:val="12"/>
        </w:rPr>
        <w:t xml:space="preserve"> </w:t>
      </w:r>
      <w:r>
        <w:rPr>
          <w:w w:val="105"/>
          <w:sz w:val="12"/>
        </w:rPr>
        <w:t>las</w:t>
      </w:r>
      <w:r>
        <w:rPr>
          <w:spacing w:val="-4"/>
          <w:w w:val="105"/>
          <w:sz w:val="12"/>
        </w:rPr>
        <w:t xml:space="preserve"> </w:t>
      </w:r>
      <w:r>
        <w:rPr>
          <w:w w:val="105"/>
          <w:sz w:val="12"/>
        </w:rPr>
        <w:t>formas</w:t>
      </w:r>
      <w:r>
        <w:rPr>
          <w:spacing w:val="-5"/>
          <w:w w:val="105"/>
          <w:sz w:val="12"/>
        </w:rPr>
        <w:t xml:space="preserve"> </w:t>
      </w:r>
      <w:r>
        <w:rPr>
          <w:w w:val="105"/>
          <w:sz w:val="12"/>
        </w:rPr>
        <w:t>de</w:t>
      </w:r>
      <w:r>
        <w:rPr>
          <w:spacing w:val="-4"/>
          <w:w w:val="105"/>
          <w:sz w:val="12"/>
        </w:rPr>
        <w:t xml:space="preserve"> </w:t>
      </w:r>
      <w:r>
        <w:rPr>
          <w:w w:val="105"/>
          <w:sz w:val="12"/>
        </w:rPr>
        <w:t>discriminación”</w:t>
      </w:r>
      <w:r>
        <w:rPr>
          <w:spacing w:val="40"/>
          <w:w w:val="105"/>
          <w:sz w:val="12"/>
        </w:rPr>
        <w:t xml:space="preserve"> </w:t>
      </w:r>
      <w:r>
        <w:rPr>
          <w:w w:val="105"/>
          <w:sz w:val="12"/>
        </w:rPr>
        <w:t>contra</w:t>
      </w:r>
      <w:r>
        <w:rPr>
          <w:spacing w:val="-9"/>
          <w:w w:val="105"/>
          <w:sz w:val="12"/>
        </w:rPr>
        <w:t xml:space="preserve"> </w:t>
      </w:r>
      <w:r>
        <w:rPr>
          <w:w w:val="105"/>
          <w:sz w:val="12"/>
        </w:rPr>
        <w:t>sus</w:t>
      </w:r>
      <w:r>
        <w:rPr>
          <w:spacing w:val="-8"/>
          <w:w w:val="105"/>
          <w:sz w:val="12"/>
        </w:rPr>
        <w:t xml:space="preserve"> </w:t>
      </w:r>
      <w:r>
        <w:rPr>
          <w:w w:val="105"/>
          <w:sz w:val="12"/>
        </w:rPr>
        <w:t>respectivos</w:t>
      </w:r>
      <w:r>
        <w:rPr>
          <w:spacing w:val="-9"/>
          <w:w w:val="105"/>
          <w:sz w:val="12"/>
        </w:rPr>
        <w:t xml:space="preserve"> </w:t>
      </w:r>
      <w:r>
        <w:rPr>
          <w:w w:val="105"/>
          <w:sz w:val="12"/>
        </w:rPr>
        <w:t>grupos</w:t>
      </w:r>
      <w:r>
        <w:rPr>
          <w:spacing w:val="-8"/>
          <w:w w:val="105"/>
          <w:sz w:val="12"/>
        </w:rPr>
        <w:t xml:space="preserve"> </w:t>
      </w:r>
      <w:r>
        <w:rPr>
          <w:w w:val="105"/>
          <w:sz w:val="12"/>
        </w:rPr>
        <w:t>beneficiarios.</w:t>
      </w:r>
      <w:r>
        <w:rPr>
          <w:spacing w:val="-7"/>
          <w:w w:val="105"/>
          <w:sz w:val="12"/>
        </w:rPr>
        <w:t xml:space="preserve"> </w:t>
      </w:r>
      <w:r>
        <w:rPr>
          <w:w w:val="105"/>
          <w:sz w:val="12"/>
        </w:rPr>
        <w:t>El</w:t>
      </w:r>
      <w:r>
        <w:rPr>
          <w:spacing w:val="-9"/>
          <w:w w:val="105"/>
          <w:sz w:val="12"/>
        </w:rPr>
        <w:t xml:space="preserve"> </w:t>
      </w:r>
      <w:r>
        <w:rPr>
          <w:w w:val="105"/>
          <w:sz w:val="12"/>
        </w:rPr>
        <w:t>Comité</w:t>
      </w:r>
      <w:r>
        <w:rPr>
          <w:spacing w:val="-8"/>
          <w:w w:val="105"/>
          <w:sz w:val="12"/>
        </w:rPr>
        <w:t xml:space="preserve"> </w:t>
      </w:r>
      <w:r>
        <w:rPr>
          <w:w w:val="105"/>
          <w:sz w:val="12"/>
        </w:rPr>
        <w:t>sobre</w:t>
      </w:r>
      <w:r>
        <w:rPr>
          <w:spacing w:val="-8"/>
          <w:w w:val="105"/>
          <w:sz w:val="12"/>
        </w:rPr>
        <w:t xml:space="preserve"> </w:t>
      </w:r>
      <w:r>
        <w:rPr>
          <w:w w:val="105"/>
          <w:sz w:val="12"/>
        </w:rPr>
        <w:t>los</w:t>
      </w:r>
      <w:r>
        <w:rPr>
          <w:spacing w:val="-8"/>
          <w:w w:val="105"/>
          <w:sz w:val="12"/>
        </w:rPr>
        <w:t xml:space="preserve"> </w:t>
      </w:r>
      <w:r>
        <w:rPr>
          <w:w w:val="105"/>
          <w:sz w:val="12"/>
        </w:rPr>
        <w:t>Derechos</w:t>
      </w:r>
      <w:r>
        <w:rPr>
          <w:spacing w:val="-9"/>
          <w:w w:val="105"/>
          <w:sz w:val="12"/>
        </w:rPr>
        <w:t xml:space="preserve"> </w:t>
      </w:r>
      <w:r>
        <w:rPr>
          <w:w w:val="105"/>
          <w:sz w:val="12"/>
        </w:rPr>
        <w:t>de</w:t>
      </w:r>
      <w:r>
        <w:rPr>
          <w:spacing w:val="-8"/>
          <w:w w:val="105"/>
          <w:sz w:val="12"/>
        </w:rPr>
        <w:t xml:space="preserve"> </w:t>
      </w:r>
      <w:r>
        <w:rPr>
          <w:w w:val="105"/>
          <w:sz w:val="12"/>
        </w:rPr>
        <w:t>las</w:t>
      </w:r>
      <w:r>
        <w:rPr>
          <w:spacing w:val="-8"/>
          <w:w w:val="105"/>
          <w:sz w:val="12"/>
        </w:rPr>
        <w:t xml:space="preserve"> </w:t>
      </w:r>
      <w:r>
        <w:rPr>
          <w:w w:val="105"/>
          <w:sz w:val="12"/>
        </w:rPr>
        <w:t>Personas</w:t>
      </w:r>
      <w:r>
        <w:rPr>
          <w:spacing w:val="-9"/>
          <w:w w:val="105"/>
          <w:sz w:val="12"/>
        </w:rPr>
        <w:t xml:space="preserve"> </w:t>
      </w:r>
      <w:r>
        <w:rPr>
          <w:w w:val="105"/>
          <w:sz w:val="12"/>
        </w:rPr>
        <w:t>con</w:t>
      </w:r>
      <w:r>
        <w:rPr>
          <w:spacing w:val="-8"/>
          <w:w w:val="105"/>
          <w:sz w:val="12"/>
        </w:rPr>
        <w:t xml:space="preserve"> </w:t>
      </w:r>
      <w:r>
        <w:rPr>
          <w:w w:val="105"/>
          <w:sz w:val="12"/>
        </w:rPr>
        <w:t>Discapacidad</w:t>
      </w:r>
      <w:r>
        <w:rPr>
          <w:spacing w:val="-8"/>
          <w:w w:val="105"/>
          <w:sz w:val="12"/>
        </w:rPr>
        <w:t xml:space="preserve"> </w:t>
      </w:r>
      <w:r>
        <w:rPr>
          <w:w w:val="105"/>
          <w:sz w:val="12"/>
        </w:rPr>
        <w:t>ha</w:t>
      </w:r>
      <w:r>
        <w:rPr>
          <w:spacing w:val="-8"/>
          <w:w w:val="105"/>
          <w:sz w:val="12"/>
        </w:rPr>
        <w:t xml:space="preserve"> </w:t>
      </w:r>
      <w:r>
        <w:rPr>
          <w:w w:val="105"/>
          <w:sz w:val="12"/>
        </w:rPr>
        <w:t>señalado</w:t>
      </w:r>
      <w:r>
        <w:rPr>
          <w:spacing w:val="-8"/>
          <w:w w:val="105"/>
          <w:sz w:val="12"/>
        </w:rPr>
        <w:t xml:space="preserve"> </w:t>
      </w:r>
      <w:r>
        <w:rPr>
          <w:w w:val="105"/>
          <w:sz w:val="12"/>
        </w:rPr>
        <w:t>que</w:t>
      </w:r>
      <w:r>
        <w:rPr>
          <w:spacing w:val="-8"/>
          <w:w w:val="105"/>
          <w:sz w:val="12"/>
        </w:rPr>
        <w:t xml:space="preserve"> </w:t>
      </w:r>
      <w:r>
        <w:rPr>
          <w:w w:val="105"/>
          <w:sz w:val="12"/>
        </w:rPr>
        <w:t>el</w:t>
      </w:r>
      <w:r>
        <w:rPr>
          <w:spacing w:val="-8"/>
          <w:w w:val="105"/>
          <w:sz w:val="12"/>
        </w:rPr>
        <w:t xml:space="preserve"> </w:t>
      </w:r>
      <w:r>
        <w:rPr>
          <w:w w:val="105"/>
          <w:sz w:val="12"/>
        </w:rPr>
        <w:t>“deber</w:t>
      </w:r>
      <w:r>
        <w:rPr>
          <w:spacing w:val="-9"/>
          <w:w w:val="105"/>
          <w:sz w:val="12"/>
        </w:rPr>
        <w:t xml:space="preserve"> </w:t>
      </w:r>
      <w:r>
        <w:rPr>
          <w:w w:val="105"/>
          <w:sz w:val="12"/>
        </w:rPr>
        <w:t>de</w:t>
      </w:r>
      <w:r>
        <w:rPr>
          <w:spacing w:val="-8"/>
          <w:w w:val="105"/>
          <w:sz w:val="12"/>
        </w:rPr>
        <w:t xml:space="preserve"> </w:t>
      </w:r>
      <w:r>
        <w:rPr>
          <w:w w:val="105"/>
          <w:sz w:val="12"/>
        </w:rPr>
        <w:t>prohibir</w:t>
      </w:r>
      <w:r>
        <w:rPr>
          <w:spacing w:val="-9"/>
          <w:w w:val="105"/>
          <w:sz w:val="12"/>
        </w:rPr>
        <w:t xml:space="preserve"> </w:t>
      </w:r>
      <w:r>
        <w:rPr>
          <w:w w:val="105"/>
          <w:sz w:val="12"/>
        </w:rPr>
        <w:t>'toda</w:t>
      </w:r>
    </w:p>
    <w:p w14:paraId="199FC9AB" w14:textId="77777777" w:rsidR="0014798C" w:rsidRDefault="004E1F0B">
      <w:pPr>
        <w:spacing w:before="1" w:line="312" w:lineRule="auto"/>
        <w:ind w:left="1366" w:right="1369" w:firstLine="6"/>
        <w:rPr>
          <w:sz w:val="12"/>
        </w:rPr>
      </w:pPr>
      <w:r>
        <w:rPr>
          <w:w w:val="105"/>
          <w:sz w:val="12"/>
        </w:rPr>
        <w:t>discriminación'”</w:t>
      </w:r>
      <w:r>
        <w:rPr>
          <w:spacing w:val="-8"/>
          <w:w w:val="105"/>
          <w:sz w:val="12"/>
        </w:rPr>
        <w:t xml:space="preserve"> </w:t>
      </w:r>
      <w:r>
        <w:rPr>
          <w:w w:val="105"/>
          <w:sz w:val="12"/>
        </w:rPr>
        <w:t>en</w:t>
      </w:r>
      <w:r>
        <w:rPr>
          <w:spacing w:val="-7"/>
          <w:w w:val="105"/>
          <w:sz w:val="12"/>
        </w:rPr>
        <w:t xml:space="preserve"> </w:t>
      </w:r>
      <w:r>
        <w:rPr>
          <w:w w:val="105"/>
          <w:sz w:val="12"/>
        </w:rPr>
        <w:t>virtud</w:t>
      </w:r>
      <w:r>
        <w:rPr>
          <w:spacing w:val="-8"/>
          <w:w w:val="105"/>
          <w:sz w:val="12"/>
        </w:rPr>
        <w:t xml:space="preserve"> </w:t>
      </w:r>
      <w:r>
        <w:rPr>
          <w:w w:val="105"/>
          <w:sz w:val="12"/>
        </w:rPr>
        <w:t>de</w:t>
      </w:r>
      <w:r>
        <w:rPr>
          <w:spacing w:val="-7"/>
          <w:w w:val="105"/>
          <w:sz w:val="12"/>
        </w:rPr>
        <w:t xml:space="preserve"> </w:t>
      </w:r>
      <w:r>
        <w:rPr>
          <w:w w:val="105"/>
          <w:sz w:val="12"/>
        </w:rPr>
        <w:t>la</w:t>
      </w:r>
      <w:r>
        <w:rPr>
          <w:spacing w:val="-7"/>
          <w:w w:val="105"/>
          <w:sz w:val="12"/>
        </w:rPr>
        <w:t xml:space="preserve"> </w:t>
      </w:r>
      <w:r>
        <w:rPr>
          <w:w w:val="105"/>
          <w:sz w:val="12"/>
        </w:rPr>
        <w:t>Convención</w:t>
      </w:r>
      <w:r>
        <w:rPr>
          <w:spacing w:val="-7"/>
          <w:w w:val="105"/>
          <w:sz w:val="12"/>
        </w:rPr>
        <w:t xml:space="preserve"> </w:t>
      </w:r>
      <w:r>
        <w:rPr>
          <w:w w:val="105"/>
          <w:sz w:val="12"/>
        </w:rPr>
        <w:t>“incluye</w:t>
      </w:r>
      <w:r>
        <w:rPr>
          <w:spacing w:val="-7"/>
          <w:w w:val="105"/>
          <w:sz w:val="12"/>
        </w:rPr>
        <w:t xml:space="preserve"> </w:t>
      </w:r>
      <w:r>
        <w:rPr>
          <w:w w:val="105"/>
          <w:sz w:val="12"/>
        </w:rPr>
        <w:t>todas</w:t>
      </w:r>
      <w:r>
        <w:rPr>
          <w:spacing w:val="-8"/>
          <w:w w:val="105"/>
          <w:sz w:val="12"/>
        </w:rPr>
        <w:t xml:space="preserve"> </w:t>
      </w:r>
      <w:r>
        <w:rPr>
          <w:w w:val="105"/>
          <w:sz w:val="12"/>
        </w:rPr>
        <w:t>las</w:t>
      </w:r>
      <w:r>
        <w:rPr>
          <w:spacing w:val="-7"/>
          <w:w w:val="105"/>
          <w:sz w:val="12"/>
        </w:rPr>
        <w:t xml:space="preserve"> </w:t>
      </w:r>
      <w:r>
        <w:rPr>
          <w:w w:val="105"/>
          <w:sz w:val="12"/>
        </w:rPr>
        <w:t>formas</w:t>
      </w:r>
      <w:r>
        <w:rPr>
          <w:spacing w:val="-8"/>
          <w:w w:val="105"/>
          <w:sz w:val="12"/>
        </w:rPr>
        <w:t xml:space="preserve"> </w:t>
      </w:r>
      <w:r>
        <w:rPr>
          <w:w w:val="105"/>
          <w:sz w:val="12"/>
        </w:rPr>
        <w:t>de</w:t>
      </w:r>
      <w:r>
        <w:rPr>
          <w:spacing w:val="-7"/>
          <w:w w:val="105"/>
          <w:sz w:val="12"/>
        </w:rPr>
        <w:t xml:space="preserve"> </w:t>
      </w:r>
      <w:r>
        <w:rPr>
          <w:w w:val="105"/>
          <w:sz w:val="12"/>
        </w:rPr>
        <w:t>discriminación”.</w:t>
      </w:r>
      <w:r>
        <w:rPr>
          <w:spacing w:val="-7"/>
          <w:w w:val="105"/>
          <w:sz w:val="12"/>
        </w:rPr>
        <w:t xml:space="preserve"> </w:t>
      </w:r>
      <w:r>
        <w:rPr>
          <w:w w:val="105"/>
          <w:sz w:val="12"/>
        </w:rPr>
        <w:t>En</w:t>
      </w:r>
      <w:r>
        <w:rPr>
          <w:spacing w:val="-8"/>
          <w:w w:val="105"/>
          <w:sz w:val="12"/>
        </w:rPr>
        <w:t xml:space="preserve"> </w:t>
      </w:r>
      <w:r>
        <w:rPr>
          <w:w w:val="105"/>
          <w:sz w:val="12"/>
        </w:rPr>
        <w:t>sus</w:t>
      </w:r>
      <w:r>
        <w:rPr>
          <w:spacing w:val="-7"/>
          <w:w w:val="105"/>
          <w:sz w:val="12"/>
        </w:rPr>
        <w:t xml:space="preserve"> </w:t>
      </w:r>
      <w:r>
        <w:rPr>
          <w:w w:val="105"/>
          <w:sz w:val="12"/>
        </w:rPr>
        <w:t>exámenes</w:t>
      </w:r>
      <w:r>
        <w:rPr>
          <w:spacing w:val="-8"/>
          <w:w w:val="105"/>
          <w:sz w:val="12"/>
        </w:rPr>
        <w:t xml:space="preserve"> </w:t>
      </w:r>
      <w:r>
        <w:rPr>
          <w:w w:val="105"/>
          <w:sz w:val="12"/>
        </w:rPr>
        <w:t>de</w:t>
      </w:r>
      <w:r>
        <w:rPr>
          <w:spacing w:val="-7"/>
          <w:w w:val="105"/>
          <w:sz w:val="12"/>
        </w:rPr>
        <w:t xml:space="preserve"> </w:t>
      </w:r>
      <w:r>
        <w:rPr>
          <w:w w:val="105"/>
          <w:sz w:val="12"/>
        </w:rPr>
        <w:t>la</w:t>
      </w:r>
      <w:r>
        <w:rPr>
          <w:spacing w:val="-7"/>
          <w:w w:val="105"/>
          <w:sz w:val="12"/>
        </w:rPr>
        <w:t xml:space="preserve"> </w:t>
      </w:r>
      <w:r>
        <w:rPr>
          <w:w w:val="105"/>
          <w:sz w:val="12"/>
        </w:rPr>
        <w:t>actuación</w:t>
      </w:r>
      <w:r>
        <w:rPr>
          <w:spacing w:val="-8"/>
          <w:w w:val="105"/>
          <w:sz w:val="12"/>
        </w:rPr>
        <w:t xml:space="preserve"> </w:t>
      </w:r>
      <w:r>
        <w:rPr>
          <w:w w:val="105"/>
          <w:sz w:val="12"/>
        </w:rPr>
        <w:t>de</w:t>
      </w:r>
      <w:r>
        <w:rPr>
          <w:spacing w:val="-7"/>
          <w:w w:val="105"/>
          <w:sz w:val="12"/>
        </w:rPr>
        <w:t xml:space="preserve"> </w:t>
      </w:r>
      <w:r>
        <w:rPr>
          <w:w w:val="105"/>
          <w:sz w:val="12"/>
        </w:rPr>
        <w:t>los</w:t>
      </w:r>
      <w:r>
        <w:rPr>
          <w:spacing w:val="-7"/>
          <w:w w:val="105"/>
          <w:sz w:val="12"/>
        </w:rPr>
        <w:t xml:space="preserve"> </w:t>
      </w:r>
      <w:r>
        <w:rPr>
          <w:w w:val="105"/>
          <w:sz w:val="12"/>
        </w:rPr>
        <w:t>Estados</w:t>
      </w:r>
      <w:r>
        <w:rPr>
          <w:spacing w:val="-8"/>
          <w:w w:val="105"/>
          <w:sz w:val="12"/>
        </w:rPr>
        <w:t xml:space="preserve"> </w:t>
      </w:r>
      <w:r>
        <w:rPr>
          <w:w w:val="105"/>
          <w:sz w:val="12"/>
        </w:rPr>
        <w:t>en</w:t>
      </w:r>
      <w:r>
        <w:rPr>
          <w:spacing w:val="-7"/>
          <w:w w:val="105"/>
          <w:sz w:val="12"/>
        </w:rPr>
        <w:t xml:space="preserve"> </w:t>
      </w:r>
      <w:r>
        <w:rPr>
          <w:w w:val="105"/>
          <w:sz w:val="12"/>
        </w:rPr>
        <w:t>virtud</w:t>
      </w:r>
      <w:r>
        <w:rPr>
          <w:spacing w:val="-8"/>
          <w:w w:val="105"/>
          <w:sz w:val="12"/>
        </w:rPr>
        <w:t xml:space="preserve"> </w:t>
      </w:r>
      <w:r>
        <w:rPr>
          <w:w w:val="105"/>
          <w:sz w:val="12"/>
        </w:rPr>
        <w:t>de</w:t>
      </w:r>
      <w:r>
        <w:rPr>
          <w:spacing w:val="-7"/>
          <w:w w:val="105"/>
          <w:sz w:val="12"/>
        </w:rPr>
        <w:t xml:space="preserve"> </w:t>
      </w:r>
      <w:r>
        <w:rPr>
          <w:w w:val="105"/>
          <w:sz w:val="12"/>
        </w:rPr>
        <w:t>los</w:t>
      </w:r>
      <w:r>
        <w:rPr>
          <w:spacing w:val="-7"/>
          <w:w w:val="105"/>
          <w:sz w:val="12"/>
        </w:rPr>
        <w:t xml:space="preserve"> </w:t>
      </w:r>
      <w:r>
        <w:rPr>
          <w:w w:val="105"/>
          <w:sz w:val="12"/>
        </w:rPr>
        <w:t>tratados,</w:t>
      </w:r>
      <w:r>
        <w:rPr>
          <w:spacing w:val="40"/>
          <w:w w:val="105"/>
          <w:sz w:val="12"/>
        </w:rPr>
        <w:t xml:space="preserve"> </w:t>
      </w:r>
      <w:r>
        <w:rPr>
          <w:w w:val="105"/>
          <w:sz w:val="12"/>
        </w:rPr>
        <w:t>los</w:t>
      </w:r>
      <w:r>
        <w:rPr>
          <w:spacing w:val="-6"/>
          <w:w w:val="105"/>
          <w:sz w:val="12"/>
        </w:rPr>
        <w:t xml:space="preserve"> </w:t>
      </w:r>
      <w:r>
        <w:rPr>
          <w:w w:val="105"/>
          <w:sz w:val="12"/>
        </w:rPr>
        <w:t>órganos</w:t>
      </w:r>
      <w:r>
        <w:rPr>
          <w:spacing w:val="-7"/>
          <w:w w:val="105"/>
          <w:sz w:val="12"/>
        </w:rPr>
        <w:t xml:space="preserve"> </w:t>
      </w:r>
      <w:r>
        <w:rPr>
          <w:w w:val="105"/>
          <w:sz w:val="12"/>
        </w:rPr>
        <w:t>creados</w:t>
      </w:r>
      <w:r>
        <w:rPr>
          <w:spacing w:val="-7"/>
          <w:w w:val="105"/>
          <w:sz w:val="12"/>
        </w:rPr>
        <w:t xml:space="preserve"> </w:t>
      </w:r>
      <w:r>
        <w:rPr>
          <w:w w:val="105"/>
          <w:sz w:val="12"/>
        </w:rPr>
        <w:t>en</w:t>
      </w:r>
      <w:r>
        <w:rPr>
          <w:spacing w:val="-6"/>
          <w:w w:val="105"/>
          <w:sz w:val="12"/>
        </w:rPr>
        <w:t xml:space="preserve"> </w:t>
      </w:r>
      <w:r>
        <w:rPr>
          <w:w w:val="105"/>
          <w:sz w:val="12"/>
        </w:rPr>
        <w:t>virtud</w:t>
      </w:r>
      <w:r>
        <w:rPr>
          <w:spacing w:val="-7"/>
          <w:w w:val="105"/>
          <w:sz w:val="12"/>
        </w:rPr>
        <w:t xml:space="preserve"> </w:t>
      </w:r>
      <w:r>
        <w:rPr>
          <w:w w:val="105"/>
          <w:sz w:val="12"/>
        </w:rPr>
        <w:t>de</w:t>
      </w:r>
      <w:r>
        <w:rPr>
          <w:spacing w:val="-6"/>
          <w:w w:val="105"/>
          <w:sz w:val="12"/>
        </w:rPr>
        <w:t xml:space="preserve"> </w:t>
      </w:r>
      <w:r>
        <w:rPr>
          <w:w w:val="105"/>
          <w:sz w:val="12"/>
        </w:rPr>
        <w:t>tratados</w:t>
      </w:r>
      <w:r>
        <w:rPr>
          <w:spacing w:val="-7"/>
          <w:w w:val="105"/>
          <w:sz w:val="12"/>
        </w:rPr>
        <w:t xml:space="preserve"> </w:t>
      </w:r>
      <w:r>
        <w:rPr>
          <w:w w:val="105"/>
          <w:sz w:val="12"/>
        </w:rPr>
        <w:t>han</w:t>
      </w:r>
      <w:r>
        <w:rPr>
          <w:spacing w:val="-6"/>
          <w:w w:val="105"/>
          <w:sz w:val="12"/>
        </w:rPr>
        <w:t xml:space="preserve"> </w:t>
      </w:r>
      <w:r>
        <w:rPr>
          <w:w w:val="105"/>
          <w:sz w:val="12"/>
        </w:rPr>
        <w:t>recomendado</w:t>
      </w:r>
      <w:r>
        <w:rPr>
          <w:spacing w:val="-6"/>
          <w:w w:val="105"/>
          <w:sz w:val="12"/>
        </w:rPr>
        <w:t xml:space="preserve"> </w:t>
      </w:r>
      <w:r>
        <w:rPr>
          <w:w w:val="105"/>
          <w:sz w:val="12"/>
        </w:rPr>
        <w:t>además</w:t>
      </w:r>
      <w:r>
        <w:rPr>
          <w:spacing w:val="-7"/>
          <w:w w:val="105"/>
          <w:sz w:val="12"/>
        </w:rPr>
        <w:t xml:space="preserve"> </w:t>
      </w:r>
      <w:r>
        <w:rPr>
          <w:w w:val="105"/>
          <w:sz w:val="12"/>
        </w:rPr>
        <w:t>la</w:t>
      </w:r>
      <w:r>
        <w:rPr>
          <w:spacing w:val="-6"/>
          <w:w w:val="105"/>
          <w:sz w:val="12"/>
        </w:rPr>
        <w:t xml:space="preserve"> </w:t>
      </w:r>
      <w:r>
        <w:rPr>
          <w:w w:val="105"/>
          <w:sz w:val="12"/>
        </w:rPr>
        <w:t>adopción</w:t>
      </w:r>
      <w:r>
        <w:rPr>
          <w:spacing w:val="-6"/>
          <w:w w:val="105"/>
          <w:sz w:val="12"/>
        </w:rPr>
        <w:t xml:space="preserve"> </w:t>
      </w:r>
      <w:r>
        <w:rPr>
          <w:w w:val="105"/>
          <w:sz w:val="12"/>
        </w:rPr>
        <w:t>de</w:t>
      </w:r>
      <w:r>
        <w:rPr>
          <w:spacing w:val="-6"/>
          <w:w w:val="105"/>
          <w:sz w:val="12"/>
        </w:rPr>
        <w:t xml:space="preserve"> </w:t>
      </w:r>
      <w:r>
        <w:rPr>
          <w:w w:val="105"/>
          <w:sz w:val="12"/>
        </w:rPr>
        <w:t>una</w:t>
      </w:r>
      <w:r>
        <w:rPr>
          <w:spacing w:val="-6"/>
          <w:w w:val="105"/>
          <w:sz w:val="12"/>
        </w:rPr>
        <w:t xml:space="preserve"> </w:t>
      </w:r>
      <w:r>
        <w:rPr>
          <w:w w:val="105"/>
          <w:sz w:val="12"/>
        </w:rPr>
        <w:t>legislación</w:t>
      </w:r>
      <w:r>
        <w:rPr>
          <w:spacing w:val="-6"/>
          <w:w w:val="105"/>
          <w:sz w:val="12"/>
        </w:rPr>
        <w:t xml:space="preserve"> </w:t>
      </w:r>
      <w:r>
        <w:rPr>
          <w:w w:val="105"/>
          <w:sz w:val="12"/>
        </w:rPr>
        <w:t>integral</w:t>
      </w:r>
      <w:r>
        <w:rPr>
          <w:spacing w:val="-7"/>
          <w:w w:val="105"/>
          <w:sz w:val="12"/>
        </w:rPr>
        <w:t xml:space="preserve"> </w:t>
      </w:r>
      <w:r>
        <w:rPr>
          <w:w w:val="105"/>
          <w:sz w:val="12"/>
        </w:rPr>
        <w:t>contra</w:t>
      </w:r>
      <w:r>
        <w:rPr>
          <w:spacing w:val="-7"/>
          <w:w w:val="105"/>
          <w:sz w:val="12"/>
        </w:rPr>
        <w:t xml:space="preserve"> </w:t>
      </w:r>
      <w:r>
        <w:rPr>
          <w:w w:val="105"/>
          <w:sz w:val="12"/>
        </w:rPr>
        <w:t>la</w:t>
      </w:r>
      <w:r>
        <w:rPr>
          <w:spacing w:val="-6"/>
          <w:w w:val="105"/>
          <w:sz w:val="12"/>
        </w:rPr>
        <w:t xml:space="preserve"> </w:t>
      </w:r>
      <w:r>
        <w:rPr>
          <w:w w:val="105"/>
          <w:sz w:val="12"/>
        </w:rPr>
        <w:t>discriminación</w:t>
      </w:r>
      <w:r>
        <w:rPr>
          <w:spacing w:val="-6"/>
          <w:w w:val="105"/>
          <w:sz w:val="12"/>
        </w:rPr>
        <w:t xml:space="preserve"> </w:t>
      </w:r>
      <w:r>
        <w:rPr>
          <w:w w:val="105"/>
          <w:sz w:val="12"/>
        </w:rPr>
        <w:t>que,</w:t>
      </w:r>
      <w:r>
        <w:rPr>
          <w:spacing w:val="-6"/>
          <w:w w:val="105"/>
          <w:sz w:val="12"/>
        </w:rPr>
        <w:t xml:space="preserve"> </w:t>
      </w:r>
      <w:r>
        <w:rPr>
          <w:w w:val="105"/>
          <w:sz w:val="12"/>
        </w:rPr>
        <w:t>entre</w:t>
      </w:r>
      <w:r>
        <w:rPr>
          <w:spacing w:val="-7"/>
          <w:w w:val="105"/>
          <w:sz w:val="12"/>
        </w:rPr>
        <w:t xml:space="preserve"> </w:t>
      </w:r>
      <w:r>
        <w:rPr>
          <w:w w:val="105"/>
          <w:sz w:val="12"/>
        </w:rPr>
        <w:t>otras</w:t>
      </w:r>
      <w:r>
        <w:rPr>
          <w:spacing w:val="-7"/>
          <w:w w:val="105"/>
          <w:sz w:val="12"/>
        </w:rPr>
        <w:t xml:space="preserve"> </w:t>
      </w:r>
      <w:r>
        <w:rPr>
          <w:w w:val="105"/>
          <w:sz w:val="12"/>
        </w:rPr>
        <w:t>cosas,</w:t>
      </w:r>
      <w:r>
        <w:rPr>
          <w:spacing w:val="40"/>
          <w:w w:val="105"/>
          <w:sz w:val="12"/>
        </w:rPr>
        <w:t xml:space="preserve"> </w:t>
      </w:r>
      <w:r>
        <w:rPr>
          <w:w w:val="105"/>
          <w:sz w:val="12"/>
        </w:rPr>
        <w:t>prohíba</w:t>
      </w:r>
      <w:r>
        <w:rPr>
          <w:spacing w:val="-9"/>
          <w:w w:val="105"/>
          <w:sz w:val="12"/>
        </w:rPr>
        <w:t xml:space="preserve"> </w:t>
      </w:r>
      <w:r>
        <w:rPr>
          <w:w w:val="105"/>
          <w:sz w:val="12"/>
        </w:rPr>
        <w:t>“todas</w:t>
      </w:r>
      <w:r>
        <w:rPr>
          <w:spacing w:val="-9"/>
          <w:w w:val="105"/>
          <w:sz w:val="12"/>
        </w:rPr>
        <w:t xml:space="preserve"> </w:t>
      </w:r>
      <w:r>
        <w:rPr>
          <w:w w:val="105"/>
          <w:sz w:val="12"/>
        </w:rPr>
        <w:t>las</w:t>
      </w:r>
      <w:r>
        <w:rPr>
          <w:spacing w:val="-9"/>
          <w:w w:val="105"/>
          <w:sz w:val="12"/>
        </w:rPr>
        <w:t xml:space="preserve"> </w:t>
      </w:r>
      <w:r>
        <w:rPr>
          <w:w w:val="105"/>
          <w:sz w:val="12"/>
        </w:rPr>
        <w:t>formas</w:t>
      </w:r>
      <w:r>
        <w:rPr>
          <w:spacing w:val="-8"/>
          <w:w w:val="105"/>
          <w:sz w:val="12"/>
        </w:rPr>
        <w:t xml:space="preserve"> </w:t>
      </w:r>
      <w:r>
        <w:rPr>
          <w:w w:val="105"/>
          <w:sz w:val="12"/>
        </w:rPr>
        <w:t>de</w:t>
      </w:r>
      <w:r>
        <w:rPr>
          <w:spacing w:val="-9"/>
          <w:w w:val="105"/>
          <w:sz w:val="12"/>
        </w:rPr>
        <w:t xml:space="preserve"> </w:t>
      </w:r>
      <w:r>
        <w:rPr>
          <w:w w:val="105"/>
          <w:sz w:val="12"/>
        </w:rPr>
        <w:t>discriminación”.</w:t>
      </w:r>
      <w:r>
        <w:rPr>
          <w:spacing w:val="-9"/>
          <w:w w:val="105"/>
          <w:sz w:val="12"/>
        </w:rPr>
        <w:t xml:space="preserve"> </w:t>
      </w:r>
      <w:r>
        <w:rPr>
          <w:w w:val="105"/>
          <w:sz w:val="12"/>
        </w:rPr>
        <w:t>Véase</w:t>
      </w:r>
      <w:r>
        <w:rPr>
          <w:spacing w:val="-9"/>
          <w:w w:val="105"/>
          <w:sz w:val="12"/>
        </w:rPr>
        <w:t xml:space="preserve"> </w:t>
      </w:r>
      <w:r>
        <w:rPr>
          <w:w w:val="105"/>
          <w:sz w:val="12"/>
        </w:rPr>
        <w:t>Comité</w:t>
      </w:r>
      <w:r>
        <w:rPr>
          <w:spacing w:val="-9"/>
          <w:w w:val="105"/>
          <w:sz w:val="12"/>
        </w:rPr>
        <w:t xml:space="preserve"> </w:t>
      </w:r>
      <w:r>
        <w:rPr>
          <w:w w:val="105"/>
          <w:sz w:val="12"/>
        </w:rPr>
        <w:t>sobre</w:t>
      </w:r>
      <w:r>
        <w:rPr>
          <w:spacing w:val="-8"/>
          <w:w w:val="105"/>
          <w:sz w:val="12"/>
        </w:rPr>
        <w:t xml:space="preserve"> </w:t>
      </w:r>
      <w:r>
        <w:rPr>
          <w:w w:val="105"/>
          <w:sz w:val="12"/>
        </w:rPr>
        <w:t>los</w:t>
      </w:r>
      <w:r>
        <w:rPr>
          <w:spacing w:val="-9"/>
          <w:w w:val="105"/>
          <w:sz w:val="12"/>
        </w:rPr>
        <w:t xml:space="preserve"> </w:t>
      </w:r>
      <w:r>
        <w:rPr>
          <w:w w:val="105"/>
          <w:sz w:val="12"/>
        </w:rPr>
        <w:t>Derechos</w:t>
      </w:r>
      <w:r>
        <w:rPr>
          <w:spacing w:val="-9"/>
          <w:w w:val="105"/>
          <w:sz w:val="12"/>
        </w:rPr>
        <w:t xml:space="preserve"> </w:t>
      </w:r>
      <w:r>
        <w:rPr>
          <w:w w:val="105"/>
          <w:sz w:val="12"/>
        </w:rPr>
        <w:t>de</w:t>
      </w:r>
      <w:r>
        <w:rPr>
          <w:spacing w:val="-9"/>
          <w:w w:val="105"/>
          <w:sz w:val="12"/>
        </w:rPr>
        <w:t xml:space="preserve"> </w:t>
      </w:r>
      <w:r>
        <w:rPr>
          <w:w w:val="105"/>
          <w:sz w:val="12"/>
        </w:rPr>
        <w:t>las</w:t>
      </w:r>
      <w:r>
        <w:rPr>
          <w:spacing w:val="-8"/>
          <w:w w:val="105"/>
          <w:sz w:val="12"/>
        </w:rPr>
        <w:t xml:space="preserve"> </w:t>
      </w:r>
      <w:r>
        <w:rPr>
          <w:w w:val="105"/>
          <w:sz w:val="12"/>
        </w:rPr>
        <w:t>Personas</w:t>
      </w:r>
      <w:r>
        <w:rPr>
          <w:spacing w:val="-9"/>
          <w:w w:val="105"/>
          <w:sz w:val="12"/>
        </w:rPr>
        <w:t xml:space="preserve"> </w:t>
      </w:r>
      <w:r>
        <w:rPr>
          <w:w w:val="105"/>
          <w:sz w:val="12"/>
        </w:rPr>
        <w:t>con</w:t>
      </w:r>
      <w:r>
        <w:rPr>
          <w:spacing w:val="-9"/>
          <w:w w:val="105"/>
          <w:sz w:val="12"/>
        </w:rPr>
        <w:t xml:space="preserve"> </w:t>
      </w:r>
      <w:r>
        <w:rPr>
          <w:w w:val="105"/>
          <w:sz w:val="12"/>
        </w:rPr>
        <w:t>Discapacidad,</w:t>
      </w:r>
      <w:r>
        <w:rPr>
          <w:spacing w:val="-9"/>
          <w:w w:val="105"/>
          <w:sz w:val="12"/>
        </w:rPr>
        <w:t xml:space="preserve"> </w:t>
      </w:r>
      <w:r>
        <w:rPr>
          <w:w w:val="105"/>
          <w:sz w:val="12"/>
        </w:rPr>
        <w:t>observación</w:t>
      </w:r>
      <w:r>
        <w:rPr>
          <w:spacing w:val="-8"/>
          <w:w w:val="105"/>
          <w:sz w:val="12"/>
        </w:rPr>
        <w:t xml:space="preserve"> </w:t>
      </w:r>
      <w:r>
        <w:rPr>
          <w:w w:val="105"/>
          <w:sz w:val="12"/>
        </w:rPr>
        <w:t>general</w:t>
      </w:r>
      <w:r>
        <w:rPr>
          <w:spacing w:val="-9"/>
          <w:w w:val="105"/>
          <w:sz w:val="12"/>
        </w:rPr>
        <w:t xml:space="preserve"> </w:t>
      </w:r>
      <w:r>
        <w:rPr>
          <w:w w:val="105"/>
          <w:sz w:val="12"/>
        </w:rPr>
        <w:t>núm.</w:t>
      </w:r>
      <w:r>
        <w:rPr>
          <w:spacing w:val="-9"/>
          <w:w w:val="105"/>
          <w:sz w:val="12"/>
        </w:rPr>
        <w:t xml:space="preserve"> </w:t>
      </w:r>
      <w:r>
        <w:rPr>
          <w:w w:val="105"/>
          <w:sz w:val="12"/>
        </w:rPr>
        <w:t>6</w:t>
      </w:r>
      <w:r>
        <w:rPr>
          <w:spacing w:val="-9"/>
          <w:w w:val="105"/>
          <w:sz w:val="12"/>
        </w:rPr>
        <w:t xml:space="preserve"> </w:t>
      </w:r>
      <w:r>
        <w:rPr>
          <w:w w:val="105"/>
          <w:sz w:val="12"/>
        </w:rPr>
        <w:t>(2018),</w:t>
      </w:r>
      <w:r>
        <w:rPr>
          <w:spacing w:val="-8"/>
          <w:w w:val="105"/>
          <w:sz w:val="12"/>
        </w:rPr>
        <w:t xml:space="preserve"> </w:t>
      </w:r>
      <w:r>
        <w:rPr>
          <w:w w:val="105"/>
          <w:sz w:val="12"/>
        </w:rPr>
        <w:t>párr.</w:t>
      </w:r>
      <w:r>
        <w:rPr>
          <w:spacing w:val="-9"/>
          <w:w w:val="105"/>
          <w:sz w:val="12"/>
        </w:rPr>
        <w:t xml:space="preserve"> </w:t>
      </w:r>
      <w:r>
        <w:rPr>
          <w:sz w:val="12"/>
        </w:rPr>
        <w:t>18;</w:t>
      </w:r>
      <w:r>
        <w:rPr>
          <w:spacing w:val="40"/>
          <w:sz w:val="12"/>
        </w:rPr>
        <w:t xml:space="preserve"> </w:t>
      </w:r>
      <w:r>
        <w:rPr>
          <w:sz w:val="12"/>
        </w:rPr>
        <w:t>CCPR/C/LBR/CO/1,</w:t>
      </w:r>
      <w:r>
        <w:rPr>
          <w:spacing w:val="-2"/>
          <w:sz w:val="12"/>
        </w:rPr>
        <w:t xml:space="preserve"> </w:t>
      </w:r>
      <w:r>
        <w:rPr>
          <w:sz w:val="12"/>
        </w:rPr>
        <w:t>párr.</w:t>
      </w:r>
      <w:r>
        <w:rPr>
          <w:spacing w:val="-2"/>
          <w:sz w:val="12"/>
        </w:rPr>
        <w:t xml:space="preserve"> </w:t>
      </w:r>
      <w:r>
        <w:rPr>
          <w:sz w:val="12"/>
        </w:rPr>
        <w:t>17(a);</w:t>
      </w:r>
      <w:r>
        <w:rPr>
          <w:spacing w:val="-2"/>
          <w:sz w:val="12"/>
        </w:rPr>
        <w:t xml:space="preserve"> </w:t>
      </w:r>
      <w:r>
        <w:rPr>
          <w:sz w:val="12"/>
        </w:rPr>
        <w:t>E/C.12/CPV/CO/1,</w:t>
      </w:r>
      <w:r>
        <w:rPr>
          <w:spacing w:val="-2"/>
          <w:sz w:val="12"/>
        </w:rPr>
        <w:t xml:space="preserve"> </w:t>
      </w:r>
      <w:r>
        <w:rPr>
          <w:sz w:val="12"/>
        </w:rPr>
        <w:t>párr.</w:t>
      </w:r>
      <w:r>
        <w:rPr>
          <w:spacing w:val="-2"/>
          <w:sz w:val="12"/>
        </w:rPr>
        <w:t xml:space="preserve"> </w:t>
      </w:r>
      <w:r>
        <w:rPr>
          <w:sz w:val="12"/>
        </w:rPr>
        <w:t>17;</w:t>
      </w:r>
      <w:r>
        <w:rPr>
          <w:spacing w:val="-2"/>
          <w:sz w:val="12"/>
        </w:rPr>
        <w:t xml:space="preserve"> </w:t>
      </w:r>
      <w:r>
        <w:rPr>
          <w:sz w:val="12"/>
        </w:rPr>
        <w:t>CRC/C/PSE/CO/1,</w:t>
      </w:r>
      <w:r>
        <w:rPr>
          <w:spacing w:val="-2"/>
          <w:sz w:val="12"/>
        </w:rPr>
        <w:t xml:space="preserve"> </w:t>
      </w:r>
      <w:r>
        <w:rPr>
          <w:sz w:val="12"/>
        </w:rPr>
        <w:t>párr.</w:t>
      </w:r>
      <w:r>
        <w:rPr>
          <w:spacing w:val="-2"/>
          <w:sz w:val="12"/>
        </w:rPr>
        <w:t xml:space="preserve"> </w:t>
      </w:r>
      <w:r>
        <w:rPr>
          <w:sz w:val="12"/>
        </w:rPr>
        <w:t>21;</w:t>
      </w:r>
      <w:r>
        <w:rPr>
          <w:spacing w:val="-2"/>
          <w:sz w:val="12"/>
        </w:rPr>
        <w:t xml:space="preserve"> </w:t>
      </w:r>
      <w:r>
        <w:rPr>
          <w:sz w:val="12"/>
        </w:rPr>
        <w:t>y</w:t>
      </w:r>
      <w:r>
        <w:rPr>
          <w:spacing w:val="-2"/>
          <w:sz w:val="12"/>
        </w:rPr>
        <w:t xml:space="preserve"> </w:t>
      </w:r>
      <w:r>
        <w:rPr>
          <w:sz w:val="12"/>
        </w:rPr>
        <w:t>CMW/C/LBY/CO/1,</w:t>
      </w:r>
      <w:r>
        <w:rPr>
          <w:spacing w:val="-2"/>
          <w:sz w:val="12"/>
        </w:rPr>
        <w:t xml:space="preserve"> </w:t>
      </w:r>
      <w:r>
        <w:rPr>
          <w:sz w:val="12"/>
        </w:rPr>
        <w:t>párr.</w:t>
      </w:r>
      <w:r>
        <w:rPr>
          <w:spacing w:val="-2"/>
          <w:sz w:val="12"/>
        </w:rPr>
        <w:t xml:space="preserve"> </w:t>
      </w:r>
      <w:r>
        <w:rPr>
          <w:sz w:val="12"/>
        </w:rPr>
        <w:t>29(a).</w:t>
      </w:r>
    </w:p>
    <w:p w14:paraId="22085634" w14:textId="77777777" w:rsidR="0014798C" w:rsidRDefault="004E1F0B">
      <w:pPr>
        <w:pStyle w:val="Prrafodelista"/>
        <w:numPr>
          <w:ilvl w:val="0"/>
          <w:numId w:val="79"/>
        </w:numPr>
        <w:tabs>
          <w:tab w:val="left" w:pos="1333"/>
        </w:tabs>
        <w:spacing w:before="63"/>
        <w:ind w:left="1333" w:hanging="228"/>
        <w:rPr>
          <w:sz w:val="12"/>
        </w:rPr>
      </w:pPr>
      <w:r>
        <w:rPr>
          <w:sz w:val="12"/>
        </w:rPr>
        <w:t>La</w:t>
      </w:r>
      <w:r>
        <w:rPr>
          <w:spacing w:val="-8"/>
          <w:sz w:val="12"/>
        </w:rPr>
        <w:t xml:space="preserve"> </w:t>
      </w:r>
      <w:r>
        <w:rPr>
          <w:sz w:val="12"/>
        </w:rPr>
        <w:t>Convención</w:t>
      </w:r>
      <w:r>
        <w:rPr>
          <w:spacing w:val="-8"/>
          <w:sz w:val="12"/>
        </w:rPr>
        <w:t xml:space="preserve"> </w:t>
      </w:r>
      <w:r>
        <w:rPr>
          <w:sz w:val="12"/>
        </w:rPr>
        <w:t>define</w:t>
      </w:r>
      <w:r>
        <w:rPr>
          <w:spacing w:val="-7"/>
          <w:sz w:val="12"/>
        </w:rPr>
        <w:t xml:space="preserve"> </w:t>
      </w:r>
      <w:r>
        <w:rPr>
          <w:sz w:val="12"/>
        </w:rPr>
        <w:t>la</w:t>
      </w:r>
      <w:r>
        <w:rPr>
          <w:spacing w:val="-8"/>
          <w:sz w:val="12"/>
        </w:rPr>
        <w:t xml:space="preserve"> </w:t>
      </w:r>
      <w:r>
        <w:rPr>
          <w:sz w:val="12"/>
        </w:rPr>
        <w:t>denegación</w:t>
      </w:r>
      <w:r>
        <w:rPr>
          <w:spacing w:val="-7"/>
          <w:sz w:val="12"/>
        </w:rPr>
        <w:t xml:space="preserve"> </w:t>
      </w:r>
      <w:r>
        <w:rPr>
          <w:sz w:val="12"/>
        </w:rPr>
        <w:t>de</w:t>
      </w:r>
      <w:r>
        <w:rPr>
          <w:spacing w:val="-8"/>
          <w:sz w:val="12"/>
        </w:rPr>
        <w:t xml:space="preserve"> </w:t>
      </w:r>
      <w:r>
        <w:rPr>
          <w:sz w:val="12"/>
        </w:rPr>
        <w:t>“ajustes</w:t>
      </w:r>
      <w:r>
        <w:rPr>
          <w:spacing w:val="-8"/>
          <w:sz w:val="12"/>
        </w:rPr>
        <w:t xml:space="preserve"> </w:t>
      </w:r>
      <w:r>
        <w:rPr>
          <w:sz w:val="12"/>
        </w:rPr>
        <w:t>razonables”</w:t>
      </w:r>
      <w:r>
        <w:rPr>
          <w:spacing w:val="-7"/>
          <w:sz w:val="12"/>
        </w:rPr>
        <w:t xml:space="preserve"> </w:t>
      </w:r>
      <w:r>
        <w:rPr>
          <w:sz w:val="12"/>
        </w:rPr>
        <w:t>como</w:t>
      </w:r>
      <w:r>
        <w:rPr>
          <w:spacing w:val="-8"/>
          <w:sz w:val="12"/>
        </w:rPr>
        <w:t xml:space="preserve"> </w:t>
      </w:r>
      <w:r>
        <w:rPr>
          <w:sz w:val="12"/>
        </w:rPr>
        <w:t>una</w:t>
      </w:r>
      <w:r>
        <w:rPr>
          <w:spacing w:val="-7"/>
          <w:sz w:val="12"/>
        </w:rPr>
        <w:t xml:space="preserve"> </w:t>
      </w:r>
      <w:r>
        <w:rPr>
          <w:sz w:val="12"/>
        </w:rPr>
        <w:t>forma</w:t>
      </w:r>
      <w:r>
        <w:rPr>
          <w:spacing w:val="-8"/>
          <w:sz w:val="12"/>
        </w:rPr>
        <w:t xml:space="preserve"> </w:t>
      </w:r>
      <w:r>
        <w:rPr>
          <w:sz w:val="12"/>
        </w:rPr>
        <w:t>de</w:t>
      </w:r>
      <w:r>
        <w:rPr>
          <w:spacing w:val="-8"/>
          <w:sz w:val="12"/>
        </w:rPr>
        <w:t xml:space="preserve"> </w:t>
      </w:r>
      <w:r>
        <w:rPr>
          <w:sz w:val="12"/>
        </w:rPr>
        <w:t>discriminación.</w:t>
      </w:r>
      <w:r>
        <w:rPr>
          <w:spacing w:val="-6"/>
          <w:sz w:val="12"/>
        </w:rPr>
        <w:t xml:space="preserve"> </w:t>
      </w:r>
      <w:r>
        <w:rPr>
          <w:sz w:val="12"/>
        </w:rPr>
        <w:t>Ver</w:t>
      </w:r>
      <w:r>
        <w:rPr>
          <w:spacing w:val="-8"/>
          <w:sz w:val="12"/>
        </w:rPr>
        <w:t xml:space="preserve"> </w:t>
      </w:r>
      <w:r>
        <w:rPr>
          <w:sz w:val="12"/>
        </w:rPr>
        <w:t>Convención</w:t>
      </w:r>
      <w:r>
        <w:rPr>
          <w:spacing w:val="-7"/>
          <w:sz w:val="12"/>
        </w:rPr>
        <w:t xml:space="preserve"> </w:t>
      </w:r>
      <w:r>
        <w:rPr>
          <w:sz w:val="12"/>
        </w:rPr>
        <w:t>sobre</w:t>
      </w:r>
      <w:r>
        <w:rPr>
          <w:spacing w:val="-8"/>
          <w:sz w:val="12"/>
        </w:rPr>
        <w:t xml:space="preserve"> </w:t>
      </w:r>
      <w:r>
        <w:rPr>
          <w:sz w:val="12"/>
        </w:rPr>
        <w:t>los</w:t>
      </w:r>
      <w:r>
        <w:rPr>
          <w:spacing w:val="-8"/>
          <w:sz w:val="12"/>
        </w:rPr>
        <w:t xml:space="preserve"> </w:t>
      </w:r>
      <w:r>
        <w:rPr>
          <w:sz w:val="12"/>
        </w:rPr>
        <w:t>Derechos</w:t>
      </w:r>
      <w:r>
        <w:rPr>
          <w:spacing w:val="-7"/>
          <w:sz w:val="12"/>
        </w:rPr>
        <w:t xml:space="preserve"> </w:t>
      </w:r>
      <w:r>
        <w:rPr>
          <w:sz w:val="12"/>
        </w:rPr>
        <w:t>de</w:t>
      </w:r>
      <w:r>
        <w:rPr>
          <w:spacing w:val="-8"/>
          <w:sz w:val="12"/>
        </w:rPr>
        <w:t xml:space="preserve"> </w:t>
      </w:r>
      <w:r>
        <w:rPr>
          <w:sz w:val="12"/>
        </w:rPr>
        <w:t>las</w:t>
      </w:r>
      <w:r>
        <w:rPr>
          <w:spacing w:val="-7"/>
          <w:sz w:val="12"/>
        </w:rPr>
        <w:t xml:space="preserve"> </w:t>
      </w:r>
      <w:r>
        <w:rPr>
          <w:spacing w:val="-2"/>
          <w:sz w:val="12"/>
        </w:rPr>
        <w:t>Personas</w:t>
      </w:r>
    </w:p>
    <w:p w14:paraId="34DFBB65" w14:textId="77777777" w:rsidR="0014798C" w:rsidRDefault="004E1F0B">
      <w:pPr>
        <w:spacing w:before="32"/>
        <w:ind w:left="1365"/>
        <w:rPr>
          <w:sz w:val="12"/>
        </w:rPr>
      </w:pPr>
      <w:r>
        <w:rPr>
          <w:spacing w:val="-2"/>
          <w:w w:val="105"/>
          <w:sz w:val="12"/>
        </w:rPr>
        <w:t>con</w:t>
      </w:r>
      <w:r>
        <w:rPr>
          <w:spacing w:val="-1"/>
          <w:w w:val="105"/>
          <w:sz w:val="12"/>
        </w:rPr>
        <w:t xml:space="preserve"> </w:t>
      </w:r>
      <w:r>
        <w:rPr>
          <w:spacing w:val="-2"/>
          <w:w w:val="105"/>
          <w:sz w:val="12"/>
        </w:rPr>
        <w:t>Discapacidad,</w:t>
      </w:r>
      <w:r>
        <w:rPr>
          <w:spacing w:val="1"/>
          <w:w w:val="105"/>
          <w:sz w:val="12"/>
        </w:rPr>
        <w:t xml:space="preserve"> </w:t>
      </w:r>
      <w:r>
        <w:rPr>
          <w:spacing w:val="-2"/>
          <w:w w:val="105"/>
          <w:sz w:val="12"/>
        </w:rPr>
        <w:t>art.</w:t>
      </w:r>
      <w:r>
        <w:rPr>
          <w:spacing w:val="-1"/>
          <w:w w:val="105"/>
          <w:sz w:val="12"/>
        </w:rPr>
        <w:t xml:space="preserve"> </w:t>
      </w:r>
      <w:r>
        <w:rPr>
          <w:spacing w:val="-5"/>
          <w:w w:val="105"/>
          <w:sz w:val="12"/>
        </w:rPr>
        <w:t>2.</w:t>
      </w:r>
    </w:p>
    <w:p w14:paraId="0624D581" w14:textId="77777777" w:rsidR="0014798C" w:rsidRDefault="004E1F0B">
      <w:pPr>
        <w:pStyle w:val="Prrafodelista"/>
        <w:numPr>
          <w:ilvl w:val="0"/>
          <w:numId w:val="79"/>
        </w:numPr>
        <w:tabs>
          <w:tab w:val="left" w:pos="1333"/>
          <w:tab w:val="left" w:pos="1366"/>
        </w:tabs>
        <w:spacing w:before="103" w:line="316" w:lineRule="auto"/>
        <w:ind w:left="1366" w:right="1550" w:hanging="261"/>
        <w:rPr>
          <w:sz w:val="12"/>
        </w:rPr>
      </w:pPr>
      <w:r>
        <w:rPr>
          <w:sz w:val="12"/>
        </w:rPr>
        <w:t>Convención</w:t>
      </w:r>
      <w:r>
        <w:rPr>
          <w:spacing w:val="-6"/>
          <w:sz w:val="12"/>
        </w:rPr>
        <w:t xml:space="preserve"> </w:t>
      </w:r>
      <w:r>
        <w:rPr>
          <w:sz w:val="12"/>
        </w:rPr>
        <w:t>Internacional</w:t>
      </w:r>
      <w:r>
        <w:rPr>
          <w:spacing w:val="-6"/>
          <w:sz w:val="12"/>
        </w:rPr>
        <w:t xml:space="preserve"> </w:t>
      </w:r>
      <w:r>
        <w:rPr>
          <w:sz w:val="12"/>
        </w:rPr>
        <w:t>sobre</w:t>
      </w:r>
      <w:r>
        <w:rPr>
          <w:spacing w:val="-6"/>
          <w:sz w:val="12"/>
        </w:rPr>
        <w:t xml:space="preserve"> </w:t>
      </w:r>
      <w:r>
        <w:rPr>
          <w:sz w:val="12"/>
        </w:rPr>
        <w:t>la</w:t>
      </w:r>
      <w:r>
        <w:rPr>
          <w:spacing w:val="-6"/>
          <w:sz w:val="12"/>
        </w:rPr>
        <w:t xml:space="preserve"> </w:t>
      </w:r>
      <w:r>
        <w:rPr>
          <w:sz w:val="12"/>
        </w:rPr>
        <w:t>Eliminación</w:t>
      </w:r>
      <w:r>
        <w:rPr>
          <w:spacing w:val="-6"/>
          <w:sz w:val="12"/>
        </w:rPr>
        <w:t xml:space="preserve"> </w:t>
      </w:r>
      <w:r>
        <w:rPr>
          <w:sz w:val="12"/>
        </w:rPr>
        <w:t>de</w:t>
      </w:r>
      <w:r>
        <w:rPr>
          <w:spacing w:val="-6"/>
          <w:sz w:val="12"/>
        </w:rPr>
        <w:t xml:space="preserve"> </w:t>
      </w:r>
      <w:r>
        <w:rPr>
          <w:sz w:val="12"/>
        </w:rPr>
        <w:t>todas</w:t>
      </w:r>
      <w:r>
        <w:rPr>
          <w:spacing w:val="-6"/>
          <w:sz w:val="12"/>
        </w:rPr>
        <w:t xml:space="preserve"> </w:t>
      </w:r>
      <w:r>
        <w:rPr>
          <w:sz w:val="12"/>
        </w:rPr>
        <w:t>las</w:t>
      </w:r>
      <w:r>
        <w:rPr>
          <w:spacing w:val="-6"/>
          <w:sz w:val="12"/>
        </w:rPr>
        <w:t xml:space="preserve"> </w:t>
      </w:r>
      <w:r>
        <w:rPr>
          <w:sz w:val="12"/>
        </w:rPr>
        <w:t>Formas</w:t>
      </w:r>
      <w:r>
        <w:rPr>
          <w:spacing w:val="-6"/>
          <w:sz w:val="12"/>
        </w:rPr>
        <w:t xml:space="preserve"> </w:t>
      </w:r>
      <w:r>
        <w:rPr>
          <w:sz w:val="12"/>
        </w:rPr>
        <w:t>de</w:t>
      </w:r>
      <w:r>
        <w:rPr>
          <w:spacing w:val="-6"/>
          <w:sz w:val="12"/>
        </w:rPr>
        <w:t xml:space="preserve"> </w:t>
      </w:r>
      <w:r>
        <w:rPr>
          <w:sz w:val="12"/>
        </w:rPr>
        <w:t>Discriminación</w:t>
      </w:r>
      <w:r>
        <w:rPr>
          <w:spacing w:val="-6"/>
          <w:sz w:val="12"/>
        </w:rPr>
        <w:t xml:space="preserve"> </w:t>
      </w:r>
      <w:r>
        <w:rPr>
          <w:sz w:val="12"/>
        </w:rPr>
        <w:t>Racial,</w:t>
      </w:r>
      <w:r>
        <w:rPr>
          <w:spacing w:val="-5"/>
          <w:sz w:val="12"/>
        </w:rPr>
        <w:t xml:space="preserve"> </w:t>
      </w:r>
      <w:r>
        <w:rPr>
          <w:sz w:val="12"/>
        </w:rPr>
        <w:t>art.</w:t>
      </w:r>
      <w:r>
        <w:rPr>
          <w:spacing w:val="-6"/>
          <w:sz w:val="12"/>
        </w:rPr>
        <w:t xml:space="preserve"> </w:t>
      </w:r>
      <w:r>
        <w:rPr>
          <w:sz w:val="12"/>
        </w:rPr>
        <w:t>1</w:t>
      </w:r>
      <w:r>
        <w:rPr>
          <w:spacing w:val="-6"/>
          <w:sz w:val="12"/>
        </w:rPr>
        <w:t xml:space="preserve"> </w:t>
      </w:r>
      <w:r>
        <w:rPr>
          <w:w w:val="85"/>
          <w:sz w:val="12"/>
        </w:rPr>
        <w:t>(</w:t>
      </w:r>
      <w:proofErr w:type="gramStart"/>
      <w:r>
        <w:rPr>
          <w:w w:val="85"/>
          <w:sz w:val="12"/>
        </w:rPr>
        <w:t>1);</w:t>
      </w:r>
      <w:proofErr w:type="gramEnd"/>
      <w:r>
        <w:rPr>
          <w:spacing w:val="-1"/>
          <w:w w:val="85"/>
          <w:sz w:val="12"/>
        </w:rPr>
        <w:t xml:space="preserve"> </w:t>
      </w:r>
      <w:r>
        <w:rPr>
          <w:sz w:val="12"/>
        </w:rPr>
        <w:t>Convención</w:t>
      </w:r>
      <w:r>
        <w:rPr>
          <w:spacing w:val="-6"/>
          <w:sz w:val="12"/>
        </w:rPr>
        <w:t xml:space="preserve"> </w:t>
      </w:r>
      <w:r>
        <w:rPr>
          <w:sz w:val="12"/>
        </w:rPr>
        <w:t>sobre</w:t>
      </w:r>
      <w:r>
        <w:rPr>
          <w:spacing w:val="-6"/>
          <w:sz w:val="12"/>
        </w:rPr>
        <w:t xml:space="preserve"> </w:t>
      </w:r>
      <w:r>
        <w:rPr>
          <w:sz w:val="12"/>
        </w:rPr>
        <w:t>la</w:t>
      </w:r>
      <w:r>
        <w:rPr>
          <w:spacing w:val="-6"/>
          <w:sz w:val="12"/>
        </w:rPr>
        <w:t xml:space="preserve"> </w:t>
      </w:r>
      <w:r>
        <w:rPr>
          <w:sz w:val="12"/>
        </w:rPr>
        <w:t>eliminación</w:t>
      </w:r>
      <w:r>
        <w:rPr>
          <w:spacing w:val="-6"/>
          <w:sz w:val="12"/>
        </w:rPr>
        <w:t xml:space="preserve"> </w:t>
      </w:r>
      <w:r>
        <w:rPr>
          <w:sz w:val="12"/>
        </w:rPr>
        <w:t>de</w:t>
      </w:r>
      <w:r>
        <w:rPr>
          <w:spacing w:val="-6"/>
          <w:sz w:val="12"/>
        </w:rPr>
        <w:t xml:space="preserve"> </w:t>
      </w:r>
      <w:r>
        <w:rPr>
          <w:sz w:val="12"/>
        </w:rPr>
        <w:t>todas</w:t>
      </w:r>
      <w:r>
        <w:rPr>
          <w:spacing w:val="-6"/>
          <w:sz w:val="12"/>
        </w:rPr>
        <w:t xml:space="preserve"> </w:t>
      </w:r>
      <w:r>
        <w:rPr>
          <w:sz w:val="12"/>
        </w:rPr>
        <w:t>las</w:t>
      </w:r>
      <w:r>
        <w:rPr>
          <w:spacing w:val="-6"/>
          <w:sz w:val="12"/>
        </w:rPr>
        <w:t xml:space="preserve"> </w:t>
      </w:r>
      <w:r>
        <w:rPr>
          <w:sz w:val="12"/>
        </w:rPr>
        <w:t>formas</w:t>
      </w:r>
      <w:r>
        <w:rPr>
          <w:spacing w:val="-6"/>
          <w:sz w:val="12"/>
        </w:rPr>
        <w:t xml:space="preserve"> </w:t>
      </w:r>
      <w:r>
        <w:rPr>
          <w:sz w:val="12"/>
        </w:rPr>
        <w:t>de</w:t>
      </w:r>
      <w:r>
        <w:rPr>
          <w:spacing w:val="40"/>
          <w:sz w:val="12"/>
        </w:rPr>
        <w:t xml:space="preserve"> </w:t>
      </w:r>
      <w:r>
        <w:rPr>
          <w:sz w:val="12"/>
        </w:rPr>
        <w:t>discriminación</w:t>
      </w:r>
      <w:r>
        <w:rPr>
          <w:spacing w:val="-8"/>
          <w:sz w:val="12"/>
        </w:rPr>
        <w:t xml:space="preserve"> </w:t>
      </w:r>
      <w:r>
        <w:rPr>
          <w:sz w:val="12"/>
        </w:rPr>
        <w:t>contra</w:t>
      </w:r>
      <w:r>
        <w:rPr>
          <w:spacing w:val="-8"/>
          <w:sz w:val="12"/>
        </w:rPr>
        <w:t xml:space="preserve"> </w:t>
      </w:r>
      <w:r>
        <w:rPr>
          <w:sz w:val="12"/>
        </w:rPr>
        <w:t>la</w:t>
      </w:r>
      <w:r>
        <w:rPr>
          <w:spacing w:val="-8"/>
          <w:sz w:val="12"/>
        </w:rPr>
        <w:t xml:space="preserve"> </w:t>
      </w:r>
      <w:r>
        <w:rPr>
          <w:sz w:val="12"/>
        </w:rPr>
        <w:t>mujer,</w:t>
      </w:r>
      <w:r>
        <w:rPr>
          <w:spacing w:val="-8"/>
          <w:sz w:val="12"/>
        </w:rPr>
        <w:t xml:space="preserve"> </w:t>
      </w:r>
      <w:r>
        <w:rPr>
          <w:sz w:val="12"/>
        </w:rPr>
        <w:t>art.</w:t>
      </w:r>
      <w:r>
        <w:rPr>
          <w:spacing w:val="-8"/>
          <w:sz w:val="12"/>
        </w:rPr>
        <w:t xml:space="preserve"> </w:t>
      </w:r>
      <w:r>
        <w:rPr>
          <w:w w:val="85"/>
          <w:sz w:val="12"/>
        </w:rPr>
        <w:t>1;</w:t>
      </w:r>
      <w:r>
        <w:rPr>
          <w:spacing w:val="-3"/>
          <w:w w:val="85"/>
          <w:sz w:val="12"/>
        </w:rPr>
        <w:t xml:space="preserve"> </w:t>
      </w:r>
      <w:r>
        <w:rPr>
          <w:sz w:val="12"/>
        </w:rPr>
        <w:t>y</w:t>
      </w:r>
      <w:r>
        <w:rPr>
          <w:spacing w:val="-8"/>
          <w:sz w:val="12"/>
        </w:rPr>
        <w:t xml:space="preserve"> </w:t>
      </w:r>
      <w:r>
        <w:rPr>
          <w:sz w:val="12"/>
        </w:rPr>
        <w:t>Convención</w:t>
      </w:r>
      <w:r>
        <w:rPr>
          <w:spacing w:val="-8"/>
          <w:sz w:val="12"/>
        </w:rPr>
        <w:t xml:space="preserve"> </w:t>
      </w:r>
      <w:r>
        <w:rPr>
          <w:sz w:val="12"/>
        </w:rPr>
        <w:t>sobre</w:t>
      </w:r>
      <w:r>
        <w:rPr>
          <w:spacing w:val="-8"/>
          <w:sz w:val="12"/>
        </w:rPr>
        <w:t xml:space="preserve"> </w:t>
      </w:r>
      <w:r>
        <w:rPr>
          <w:sz w:val="12"/>
        </w:rPr>
        <w:t>los</w:t>
      </w:r>
      <w:r>
        <w:rPr>
          <w:spacing w:val="-8"/>
          <w:sz w:val="12"/>
        </w:rPr>
        <w:t xml:space="preserve"> </w:t>
      </w:r>
      <w:r>
        <w:rPr>
          <w:sz w:val="12"/>
        </w:rPr>
        <w:t>Derechos</w:t>
      </w:r>
      <w:r>
        <w:rPr>
          <w:spacing w:val="-8"/>
          <w:sz w:val="12"/>
        </w:rPr>
        <w:t xml:space="preserve"> </w:t>
      </w:r>
      <w:r>
        <w:rPr>
          <w:sz w:val="12"/>
        </w:rPr>
        <w:t>de</w:t>
      </w:r>
      <w:r>
        <w:rPr>
          <w:spacing w:val="-8"/>
          <w:sz w:val="12"/>
        </w:rPr>
        <w:t xml:space="preserve"> </w:t>
      </w:r>
      <w:r>
        <w:rPr>
          <w:sz w:val="12"/>
        </w:rPr>
        <w:t>las</w:t>
      </w:r>
      <w:r>
        <w:rPr>
          <w:spacing w:val="-8"/>
          <w:sz w:val="12"/>
        </w:rPr>
        <w:t xml:space="preserve"> </w:t>
      </w:r>
      <w:r>
        <w:rPr>
          <w:sz w:val="12"/>
        </w:rPr>
        <w:t>Personas</w:t>
      </w:r>
      <w:r>
        <w:rPr>
          <w:spacing w:val="-8"/>
          <w:sz w:val="12"/>
        </w:rPr>
        <w:t xml:space="preserve"> </w:t>
      </w:r>
      <w:r>
        <w:rPr>
          <w:sz w:val="12"/>
        </w:rPr>
        <w:t>con</w:t>
      </w:r>
      <w:r>
        <w:rPr>
          <w:spacing w:val="-8"/>
          <w:sz w:val="12"/>
        </w:rPr>
        <w:t xml:space="preserve"> </w:t>
      </w:r>
      <w:r>
        <w:rPr>
          <w:sz w:val="12"/>
        </w:rPr>
        <w:t>Discapacidad,</w:t>
      </w:r>
      <w:r>
        <w:rPr>
          <w:spacing w:val="-7"/>
          <w:sz w:val="12"/>
        </w:rPr>
        <w:t xml:space="preserve"> </w:t>
      </w:r>
      <w:r>
        <w:rPr>
          <w:sz w:val="12"/>
        </w:rPr>
        <w:t>art.</w:t>
      </w:r>
      <w:r>
        <w:rPr>
          <w:spacing w:val="-8"/>
          <w:sz w:val="12"/>
        </w:rPr>
        <w:t xml:space="preserve"> </w:t>
      </w:r>
      <w:r>
        <w:rPr>
          <w:sz w:val="12"/>
        </w:rPr>
        <w:t>2.</w:t>
      </w:r>
      <w:r>
        <w:rPr>
          <w:spacing w:val="-8"/>
          <w:sz w:val="12"/>
        </w:rPr>
        <w:t xml:space="preserve"> </w:t>
      </w:r>
      <w:r>
        <w:rPr>
          <w:sz w:val="12"/>
        </w:rPr>
        <w:t>La</w:t>
      </w:r>
      <w:r>
        <w:rPr>
          <w:spacing w:val="-8"/>
          <w:sz w:val="12"/>
        </w:rPr>
        <w:t xml:space="preserve"> </w:t>
      </w:r>
      <w:r>
        <w:rPr>
          <w:sz w:val="12"/>
        </w:rPr>
        <w:t>Convención</w:t>
      </w:r>
      <w:r>
        <w:rPr>
          <w:spacing w:val="-8"/>
          <w:sz w:val="12"/>
        </w:rPr>
        <w:t xml:space="preserve"> </w:t>
      </w:r>
      <w:r>
        <w:rPr>
          <w:sz w:val="12"/>
        </w:rPr>
        <w:t>Internacional</w:t>
      </w:r>
      <w:r>
        <w:rPr>
          <w:spacing w:val="-8"/>
          <w:sz w:val="12"/>
        </w:rPr>
        <w:t xml:space="preserve"> </w:t>
      </w:r>
      <w:r>
        <w:rPr>
          <w:sz w:val="12"/>
        </w:rPr>
        <w:t>sobre</w:t>
      </w:r>
      <w:r>
        <w:rPr>
          <w:spacing w:val="-8"/>
          <w:sz w:val="12"/>
        </w:rPr>
        <w:t xml:space="preserve"> </w:t>
      </w:r>
      <w:r>
        <w:rPr>
          <w:sz w:val="12"/>
        </w:rPr>
        <w:t>la</w:t>
      </w:r>
      <w:r>
        <w:rPr>
          <w:spacing w:val="-8"/>
          <w:sz w:val="12"/>
        </w:rPr>
        <w:t xml:space="preserve"> </w:t>
      </w:r>
      <w:r>
        <w:rPr>
          <w:sz w:val="12"/>
        </w:rPr>
        <w:t>Eliminación</w:t>
      </w:r>
      <w:r>
        <w:rPr>
          <w:spacing w:val="-8"/>
          <w:sz w:val="12"/>
        </w:rPr>
        <w:t xml:space="preserve"> </w:t>
      </w:r>
      <w:r>
        <w:rPr>
          <w:sz w:val="12"/>
        </w:rPr>
        <w:t>de</w:t>
      </w:r>
      <w:r>
        <w:rPr>
          <w:spacing w:val="40"/>
          <w:sz w:val="12"/>
        </w:rPr>
        <w:t xml:space="preserve"> </w:t>
      </w:r>
      <w:r>
        <w:rPr>
          <w:sz w:val="12"/>
        </w:rPr>
        <w:t>todas</w:t>
      </w:r>
      <w:r>
        <w:rPr>
          <w:spacing w:val="-4"/>
          <w:sz w:val="12"/>
        </w:rPr>
        <w:t xml:space="preserve"> </w:t>
      </w:r>
      <w:r>
        <w:rPr>
          <w:sz w:val="12"/>
        </w:rPr>
        <w:t>las</w:t>
      </w:r>
      <w:r>
        <w:rPr>
          <w:spacing w:val="-4"/>
          <w:sz w:val="12"/>
        </w:rPr>
        <w:t xml:space="preserve"> </w:t>
      </w:r>
      <w:r>
        <w:rPr>
          <w:sz w:val="12"/>
        </w:rPr>
        <w:t>Formas</w:t>
      </w:r>
      <w:r>
        <w:rPr>
          <w:spacing w:val="-4"/>
          <w:sz w:val="12"/>
        </w:rPr>
        <w:t xml:space="preserve"> </w:t>
      </w:r>
      <w:r>
        <w:rPr>
          <w:sz w:val="12"/>
        </w:rPr>
        <w:t>de</w:t>
      </w:r>
      <w:r>
        <w:rPr>
          <w:spacing w:val="-4"/>
          <w:sz w:val="12"/>
        </w:rPr>
        <w:t xml:space="preserve"> </w:t>
      </w:r>
      <w:r>
        <w:rPr>
          <w:sz w:val="12"/>
        </w:rPr>
        <w:t>Discriminación</w:t>
      </w:r>
      <w:r>
        <w:rPr>
          <w:spacing w:val="-4"/>
          <w:sz w:val="12"/>
        </w:rPr>
        <w:t xml:space="preserve"> </w:t>
      </w:r>
      <w:r>
        <w:rPr>
          <w:sz w:val="12"/>
        </w:rPr>
        <w:t>Racial</w:t>
      </w:r>
      <w:r>
        <w:rPr>
          <w:spacing w:val="-4"/>
          <w:sz w:val="12"/>
        </w:rPr>
        <w:t xml:space="preserve"> </w:t>
      </w:r>
      <w:r>
        <w:rPr>
          <w:sz w:val="12"/>
        </w:rPr>
        <w:t>incluye</w:t>
      </w:r>
      <w:r>
        <w:rPr>
          <w:spacing w:val="-4"/>
          <w:sz w:val="12"/>
        </w:rPr>
        <w:t xml:space="preserve"> </w:t>
      </w:r>
      <w:r>
        <w:rPr>
          <w:sz w:val="12"/>
        </w:rPr>
        <w:t>el</w:t>
      </w:r>
      <w:r>
        <w:rPr>
          <w:spacing w:val="-4"/>
          <w:sz w:val="12"/>
        </w:rPr>
        <w:t xml:space="preserve"> </w:t>
      </w:r>
      <w:r>
        <w:rPr>
          <w:sz w:val="12"/>
        </w:rPr>
        <w:t>término</w:t>
      </w:r>
      <w:r>
        <w:rPr>
          <w:spacing w:val="-4"/>
          <w:sz w:val="12"/>
        </w:rPr>
        <w:t xml:space="preserve"> </w:t>
      </w:r>
      <w:r>
        <w:rPr>
          <w:sz w:val="12"/>
        </w:rPr>
        <w:t>adicional</w:t>
      </w:r>
      <w:r>
        <w:rPr>
          <w:spacing w:val="-4"/>
          <w:sz w:val="12"/>
        </w:rPr>
        <w:t xml:space="preserve"> </w:t>
      </w:r>
      <w:r>
        <w:rPr>
          <w:sz w:val="12"/>
        </w:rPr>
        <w:t>“preferencia”.</w:t>
      </w:r>
      <w:r>
        <w:rPr>
          <w:spacing w:val="-3"/>
          <w:sz w:val="12"/>
        </w:rPr>
        <w:t xml:space="preserve"> </w:t>
      </w:r>
      <w:r>
        <w:rPr>
          <w:sz w:val="12"/>
        </w:rPr>
        <w:t>Como</w:t>
      </w:r>
      <w:r>
        <w:rPr>
          <w:spacing w:val="-4"/>
          <w:sz w:val="12"/>
        </w:rPr>
        <w:t xml:space="preserve"> </w:t>
      </w:r>
      <w:r>
        <w:rPr>
          <w:sz w:val="12"/>
        </w:rPr>
        <w:t>se</w:t>
      </w:r>
      <w:r>
        <w:rPr>
          <w:spacing w:val="-4"/>
          <w:sz w:val="12"/>
        </w:rPr>
        <w:t xml:space="preserve"> </w:t>
      </w:r>
      <w:r>
        <w:rPr>
          <w:sz w:val="12"/>
        </w:rPr>
        <w:t>analiza</w:t>
      </w:r>
      <w:r>
        <w:rPr>
          <w:spacing w:val="-4"/>
          <w:sz w:val="12"/>
        </w:rPr>
        <w:t xml:space="preserve"> </w:t>
      </w:r>
      <w:r>
        <w:rPr>
          <w:sz w:val="12"/>
        </w:rPr>
        <w:t>en</w:t>
      </w:r>
      <w:r>
        <w:rPr>
          <w:spacing w:val="-4"/>
          <w:sz w:val="12"/>
        </w:rPr>
        <w:t xml:space="preserve"> </w:t>
      </w:r>
      <w:r>
        <w:rPr>
          <w:sz w:val="12"/>
        </w:rPr>
        <w:t>la</w:t>
      </w:r>
      <w:r>
        <w:rPr>
          <w:spacing w:val="-4"/>
          <w:sz w:val="12"/>
        </w:rPr>
        <w:t xml:space="preserve"> </w:t>
      </w:r>
      <w:r>
        <w:rPr>
          <w:sz w:val="12"/>
        </w:rPr>
        <w:t>sección</w:t>
      </w:r>
      <w:r>
        <w:rPr>
          <w:spacing w:val="-4"/>
          <w:sz w:val="12"/>
        </w:rPr>
        <w:t xml:space="preserve"> </w:t>
      </w:r>
      <w:r>
        <w:rPr>
          <w:sz w:val="12"/>
        </w:rPr>
        <w:t>IB3</w:t>
      </w:r>
      <w:r>
        <w:rPr>
          <w:spacing w:val="-4"/>
          <w:sz w:val="12"/>
        </w:rPr>
        <w:t xml:space="preserve"> </w:t>
      </w:r>
      <w:r>
        <w:rPr>
          <w:sz w:val="12"/>
        </w:rPr>
        <w:t>de</w:t>
      </w:r>
      <w:r>
        <w:rPr>
          <w:spacing w:val="-4"/>
          <w:sz w:val="12"/>
        </w:rPr>
        <w:t xml:space="preserve"> </w:t>
      </w:r>
      <w:r>
        <w:rPr>
          <w:sz w:val="12"/>
        </w:rPr>
        <w:t>la</w:t>
      </w:r>
      <w:r>
        <w:rPr>
          <w:spacing w:val="-4"/>
          <w:sz w:val="12"/>
        </w:rPr>
        <w:t xml:space="preserve"> </w:t>
      </w:r>
      <w:r>
        <w:rPr>
          <w:sz w:val="12"/>
        </w:rPr>
        <w:t>segunda</w:t>
      </w:r>
      <w:r>
        <w:rPr>
          <w:spacing w:val="-4"/>
          <w:sz w:val="12"/>
        </w:rPr>
        <w:t xml:space="preserve"> </w:t>
      </w:r>
      <w:r>
        <w:rPr>
          <w:sz w:val="12"/>
        </w:rPr>
        <w:t>parte</w:t>
      </w:r>
      <w:r>
        <w:rPr>
          <w:spacing w:val="-4"/>
          <w:sz w:val="12"/>
        </w:rPr>
        <w:t xml:space="preserve"> </w:t>
      </w:r>
      <w:r>
        <w:rPr>
          <w:sz w:val="12"/>
        </w:rPr>
        <w:t>de</w:t>
      </w:r>
      <w:r>
        <w:rPr>
          <w:spacing w:val="-4"/>
          <w:sz w:val="12"/>
        </w:rPr>
        <w:t xml:space="preserve"> </w:t>
      </w:r>
      <w:r>
        <w:rPr>
          <w:sz w:val="12"/>
        </w:rPr>
        <w:t>la</w:t>
      </w:r>
      <w:r>
        <w:rPr>
          <w:spacing w:val="-4"/>
          <w:sz w:val="12"/>
        </w:rPr>
        <w:t xml:space="preserve"> </w:t>
      </w:r>
      <w:r>
        <w:rPr>
          <w:sz w:val="12"/>
        </w:rPr>
        <w:t>presente</w:t>
      </w:r>
      <w:r>
        <w:rPr>
          <w:spacing w:val="-4"/>
          <w:sz w:val="12"/>
        </w:rPr>
        <w:t xml:space="preserve"> </w:t>
      </w:r>
      <w:r>
        <w:rPr>
          <w:sz w:val="12"/>
        </w:rPr>
        <w:t>guía,</w:t>
      </w:r>
      <w:r>
        <w:rPr>
          <w:spacing w:val="-4"/>
          <w:sz w:val="12"/>
        </w:rPr>
        <w:t xml:space="preserve"> </w:t>
      </w:r>
      <w:r>
        <w:rPr>
          <w:sz w:val="12"/>
        </w:rPr>
        <w:t>el</w:t>
      </w:r>
      <w:r>
        <w:rPr>
          <w:spacing w:val="40"/>
          <w:sz w:val="12"/>
        </w:rPr>
        <w:t xml:space="preserve"> </w:t>
      </w:r>
      <w:r>
        <w:rPr>
          <w:sz w:val="12"/>
        </w:rPr>
        <w:t>Comité</w:t>
      </w:r>
      <w:r>
        <w:rPr>
          <w:spacing w:val="-3"/>
          <w:sz w:val="12"/>
        </w:rPr>
        <w:t xml:space="preserve"> </w:t>
      </w:r>
      <w:r>
        <w:rPr>
          <w:sz w:val="12"/>
        </w:rPr>
        <w:t>para</w:t>
      </w:r>
      <w:r>
        <w:rPr>
          <w:spacing w:val="-3"/>
          <w:sz w:val="12"/>
        </w:rPr>
        <w:t xml:space="preserve"> </w:t>
      </w:r>
      <w:r>
        <w:rPr>
          <w:sz w:val="12"/>
        </w:rPr>
        <w:t>la</w:t>
      </w:r>
      <w:r>
        <w:rPr>
          <w:spacing w:val="-3"/>
          <w:sz w:val="12"/>
        </w:rPr>
        <w:t xml:space="preserve"> </w:t>
      </w:r>
      <w:r>
        <w:rPr>
          <w:sz w:val="12"/>
        </w:rPr>
        <w:t>Eliminación</w:t>
      </w:r>
      <w:r>
        <w:rPr>
          <w:spacing w:val="-3"/>
          <w:sz w:val="12"/>
        </w:rPr>
        <w:t xml:space="preserve"> </w:t>
      </w:r>
      <w:r>
        <w:rPr>
          <w:sz w:val="12"/>
        </w:rPr>
        <w:t>de</w:t>
      </w:r>
      <w:r>
        <w:rPr>
          <w:spacing w:val="-3"/>
          <w:sz w:val="12"/>
        </w:rPr>
        <w:t xml:space="preserve"> </w:t>
      </w:r>
      <w:r>
        <w:rPr>
          <w:sz w:val="12"/>
        </w:rPr>
        <w:t>Todas</w:t>
      </w:r>
      <w:r>
        <w:rPr>
          <w:spacing w:val="-3"/>
          <w:sz w:val="12"/>
        </w:rPr>
        <w:t xml:space="preserve"> </w:t>
      </w:r>
      <w:r>
        <w:rPr>
          <w:sz w:val="12"/>
        </w:rPr>
        <w:t>las</w:t>
      </w:r>
      <w:r>
        <w:rPr>
          <w:spacing w:val="-3"/>
          <w:sz w:val="12"/>
        </w:rPr>
        <w:t xml:space="preserve"> </w:t>
      </w:r>
      <w:r>
        <w:rPr>
          <w:sz w:val="12"/>
        </w:rPr>
        <w:t>Formas</w:t>
      </w:r>
      <w:r>
        <w:rPr>
          <w:spacing w:val="-3"/>
          <w:sz w:val="12"/>
        </w:rPr>
        <w:t xml:space="preserve"> </w:t>
      </w:r>
      <w:r>
        <w:rPr>
          <w:sz w:val="12"/>
        </w:rPr>
        <w:t>de</w:t>
      </w:r>
      <w:r>
        <w:rPr>
          <w:spacing w:val="-3"/>
          <w:sz w:val="12"/>
        </w:rPr>
        <w:t xml:space="preserve"> </w:t>
      </w:r>
      <w:r>
        <w:rPr>
          <w:sz w:val="12"/>
        </w:rPr>
        <w:t>Discriminación</w:t>
      </w:r>
      <w:r>
        <w:rPr>
          <w:spacing w:val="-3"/>
          <w:sz w:val="12"/>
        </w:rPr>
        <w:t xml:space="preserve"> </w:t>
      </w:r>
      <w:r>
        <w:rPr>
          <w:sz w:val="12"/>
        </w:rPr>
        <w:t>Racial</w:t>
      </w:r>
      <w:r>
        <w:rPr>
          <w:spacing w:val="-3"/>
          <w:sz w:val="12"/>
        </w:rPr>
        <w:t xml:space="preserve"> </w:t>
      </w:r>
      <w:r>
        <w:rPr>
          <w:sz w:val="12"/>
        </w:rPr>
        <w:t>ha</w:t>
      </w:r>
      <w:r>
        <w:rPr>
          <w:spacing w:val="-3"/>
          <w:sz w:val="12"/>
        </w:rPr>
        <w:t xml:space="preserve"> </w:t>
      </w:r>
      <w:r>
        <w:rPr>
          <w:sz w:val="12"/>
        </w:rPr>
        <w:t>tratado</w:t>
      </w:r>
      <w:r>
        <w:rPr>
          <w:spacing w:val="-3"/>
          <w:sz w:val="12"/>
        </w:rPr>
        <w:t xml:space="preserve"> </w:t>
      </w:r>
      <w:r>
        <w:rPr>
          <w:sz w:val="12"/>
        </w:rPr>
        <w:t>de</w:t>
      </w:r>
      <w:r>
        <w:rPr>
          <w:spacing w:val="-3"/>
          <w:sz w:val="12"/>
        </w:rPr>
        <w:t xml:space="preserve"> </w:t>
      </w:r>
      <w:r>
        <w:rPr>
          <w:sz w:val="12"/>
        </w:rPr>
        <w:t>distinguir</w:t>
      </w:r>
      <w:r>
        <w:rPr>
          <w:spacing w:val="-3"/>
          <w:sz w:val="12"/>
        </w:rPr>
        <w:t xml:space="preserve"> </w:t>
      </w:r>
      <w:r>
        <w:rPr>
          <w:sz w:val="12"/>
        </w:rPr>
        <w:t>las</w:t>
      </w:r>
      <w:r>
        <w:rPr>
          <w:spacing w:val="-3"/>
          <w:sz w:val="12"/>
        </w:rPr>
        <w:t xml:space="preserve"> </w:t>
      </w:r>
      <w:r>
        <w:rPr>
          <w:sz w:val="12"/>
        </w:rPr>
        <w:t>“medidas</w:t>
      </w:r>
      <w:r>
        <w:rPr>
          <w:spacing w:val="-3"/>
          <w:sz w:val="12"/>
        </w:rPr>
        <w:t xml:space="preserve"> </w:t>
      </w:r>
      <w:r>
        <w:rPr>
          <w:sz w:val="12"/>
        </w:rPr>
        <w:t>especiales”,</w:t>
      </w:r>
      <w:r>
        <w:rPr>
          <w:spacing w:val="-2"/>
          <w:sz w:val="12"/>
        </w:rPr>
        <w:t xml:space="preserve"> </w:t>
      </w:r>
      <w:r>
        <w:rPr>
          <w:sz w:val="12"/>
        </w:rPr>
        <w:t>que</w:t>
      </w:r>
      <w:r>
        <w:rPr>
          <w:spacing w:val="-3"/>
          <w:sz w:val="12"/>
        </w:rPr>
        <w:t xml:space="preserve"> </w:t>
      </w:r>
      <w:r>
        <w:rPr>
          <w:sz w:val="12"/>
        </w:rPr>
        <w:t>pueden</w:t>
      </w:r>
      <w:r>
        <w:rPr>
          <w:spacing w:val="-3"/>
          <w:sz w:val="12"/>
        </w:rPr>
        <w:t xml:space="preserve"> </w:t>
      </w:r>
      <w:r>
        <w:rPr>
          <w:sz w:val="12"/>
        </w:rPr>
        <w:t>entrañar</w:t>
      </w:r>
      <w:r>
        <w:rPr>
          <w:spacing w:val="-3"/>
          <w:sz w:val="12"/>
        </w:rPr>
        <w:t xml:space="preserve"> </w:t>
      </w:r>
      <w:r>
        <w:rPr>
          <w:sz w:val="12"/>
        </w:rPr>
        <w:t>un</w:t>
      </w:r>
      <w:r>
        <w:rPr>
          <w:spacing w:val="-3"/>
          <w:sz w:val="12"/>
        </w:rPr>
        <w:t xml:space="preserve"> </w:t>
      </w:r>
      <w:r>
        <w:rPr>
          <w:sz w:val="12"/>
        </w:rPr>
        <w:t>trato</w:t>
      </w:r>
    </w:p>
    <w:p w14:paraId="4E1F7819" w14:textId="77777777" w:rsidR="0014798C" w:rsidRDefault="004E1F0B">
      <w:pPr>
        <w:spacing w:line="312" w:lineRule="auto"/>
        <w:ind w:left="1366" w:right="1642"/>
        <w:rPr>
          <w:sz w:val="12"/>
        </w:rPr>
      </w:pPr>
      <w:r>
        <w:rPr>
          <w:sz w:val="12"/>
        </w:rPr>
        <w:t>preferencial,</w:t>
      </w:r>
      <w:r>
        <w:rPr>
          <w:spacing w:val="-5"/>
          <w:sz w:val="12"/>
        </w:rPr>
        <w:t xml:space="preserve"> </w:t>
      </w:r>
      <w:r>
        <w:rPr>
          <w:sz w:val="12"/>
        </w:rPr>
        <w:t>de</w:t>
      </w:r>
      <w:r>
        <w:rPr>
          <w:spacing w:val="-6"/>
          <w:sz w:val="12"/>
        </w:rPr>
        <w:t xml:space="preserve"> </w:t>
      </w:r>
      <w:r>
        <w:rPr>
          <w:sz w:val="12"/>
        </w:rPr>
        <w:t>las</w:t>
      </w:r>
      <w:r>
        <w:rPr>
          <w:spacing w:val="-6"/>
          <w:sz w:val="12"/>
        </w:rPr>
        <w:t xml:space="preserve"> </w:t>
      </w:r>
      <w:r>
        <w:rPr>
          <w:sz w:val="12"/>
        </w:rPr>
        <w:t>“preferencias</w:t>
      </w:r>
      <w:r>
        <w:rPr>
          <w:spacing w:val="-6"/>
          <w:sz w:val="12"/>
        </w:rPr>
        <w:t xml:space="preserve"> </w:t>
      </w:r>
      <w:r>
        <w:rPr>
          <w:sz w:val="12"/>
        </w:rPr>
        <w:t>injustificables”.</w:t>
      </w:r>
      <w:r>
        <w:rPr>
          <w:spacing w:val="-5"/>
          <w:sz w:val="12"/>
        </w:rPr>
        <w:t xml:space="preserve"> </w:t>
      </w:r>
      <w:r>
        <w:rPr>
          <w:sz w:val="12"/>
        </w:rPr>
        <w:t>Sólo</w:t>
      </w:r>
      <w:r>
        <w:rPr>
          <w:spacing w:val="-6"/>
          <w:sz w:val="12"/>
        </w:rPr>
        <w:t xml:space="preserve"> </w:t>
      </w:r>
      <w:r>
        <w:rPr>
          <w:sz w:val="12"/>
        </w:rPr>
        <w:t>esto</w:t>
      </w:r>
      <w:r>
        <w:rPr>
          <w:spacing w:val="-6"/>
          <w:sz w:val="12"/>
        </w:rPr>
        <w:t xml:space="preserve"> </w:t>
      </w:r>
      <w:r>
        <w:rPr>
          <w:sz w:val="12"/>
        </w:rPr>
        <w:t>último</w:t>
      </w:r>
      <w:r>
        <w:rPr>
          <w:spacing w:val="-6"/>
          <w:sz w:val="12"/>
        </w:rPr>
        <w:t xml:space="preserve"> </w:t>
      </w:r>
      <w:r>
        <w:rPr>
          <w:sz w:val="12"/>
        </w:rPr>
        <w:t>constituye</w:t>
      </w:r>
      <w:r>
        <w:rPr>
          <w:spacing w:val="-6"/>
          <w:sz w:val="12"/>
        </w:rPr>
        <w:t xml:space="preserve"> </w:t>
      </w:r>
      <w:r>
        <w:rPr>
          <w:sz w:val="12"/>
        </w:rPr>
        <w:t>una</w:t>
      </w:r>
      <w:r>
        <w:rPr>
          <w:spacing w:val="-6"/>
          <w:sz w:val="12"/>
        </w:rPr>
        <w:t xml:space="preserve"> </w:t>
      </w:r>
      <w:r>
        <w:rPr>
          <w:sz w:val="12"/>
        </w:rPr>
        <w:t>forma</w:t>
      </w:r>
      <w:r>
        <w:rPr>
          <w:spacing w:val="-6"/>
          <w:sz w:val="12"/>
        </w:rPr>
        <w:t xml:space="preserve"> </w:t>
      </w:r>
      <w:r>
        <w:rPr>
          <w:sz w:val="12"/>
        </w:rPr>
        <w:t>de</w:t>
      </w:r>
      <w:r>
        <w:rPr>
          <w:spacing w:val="-6"/>
          <w:sz w:val="12"/>
        </w:rPr>
        <w:t xml:space="preserve"> </w:t>
      </w:r>
      <w:r>
        <w:rPr>
          <w:sz w:val="12"/>
        </w:rPr>
        <w:t>discriminación</w:t>
      </w:r>
      <w:r>
        <w:rPr>
          <w:spacing w:val="-6"/>
          <w:sz w:val="12"/>
        </w:rPr>
        <w:t xml:space="preserve"> </w:t>
      </w:r>
      <w:r>
        <w:rPr>
          <w:sz w:val="12"/>
        </w:rPr>
        <w:t>racial</w:t>
      </w:r>
      <w:r>
        <w:rPr>
          <w:spacing w:val="-6"/>
          <w:sz w:val="12"/>
        </w:rPr>
        <w:t xml:space="preserve"> </w:t>
      </w:r>
      <w:r>
        <w:rPr>
          <w:sz w:val="12"/>
        </w:rPr>
        <w:t>prohibida</w:t>
      </w:r>
      <w:r>
        <w:rPr>
          <w:spacing w:val="-6"/>
          <w:sz w:val="12"/>
        </w:rPr>
        <w:t xml:space="preserve"> </w:t>
      </w:r>
      <w:r>
        <w:rPr>
          <w:sz w:val="12"/>
        </w:rPr>
        <w:t>tal</w:t>
      </w:r>
      <w:r>
        <w:rPr>
          <w:spacing w:val="-6"/>
          <w:sz w:val="12"/>
        </w:rPr>
        <w:t xml:space="preserve"> </w:t>
      </w:r>
      <w:r>
        <w:rPr>
          <w:sz w:val="12"/>
        </w:rPr>
        <w:t>como</w:t>
      </w:r>
      <w:r>
        <w:rPr>
          <w:spacing w:val="-6"/>
          <w:sz w:val="12"/>
        </w:rPr>
        <w:t xml:space="preserve"> </w:t>
      </w:r>
      <w:r>
        <w:rPr>
          <w:sz w:val="12"/>
        </w:rPr>
        <w:t>la</w:t>
      </w:r>
      <w:r>
        <w:rPr>
          <w:spacing w:val="-6"/>
          <w:sz w:val="12"/>
        </w:rPr>
        <w:t xml:space="preserve"> </w:t>
      </w:r>
      <w:r>
        <w:rPr>
          <w:sz w:val="12"/>
        </w:rPr>
        <w:t>define</w:t>
      </w:r>
      <w:r>
        <w:rPr>
          <w:spacing w:val="-6"/>
          <w:sz w:val="12"/>
        </w:rPr>
        <w:t xml:space="preserve"> </w:t>
      </w:r>
      <w:r>
        <w:rPr>
          <w:sz w:val="12"/>
        </w:rPr>
        <w:t>la</w:t>
      </w:r>
      <w:r>
        <w:rPr>
          <w:spacing w:val="-6"/>
          <w:sz w:val="12"/>
        </w:rPr>
        <w:t xml:space="preserve"> </w:t>
      </w:r>
      <w:r>
        <w:rPr>
          <w:sz w:val="12"/>
        </w:rPr>
        <w:t>Convención.</w:t>
      </w:r>
      <w:r>
        <w:rPr>
          <w:spacing w:val="-5"/>
          <w:sz w:val="12"/>
        </w:rPr>
        <w:t xml:space="preserve"> </w:t>
      </w:r>
      <w:r>
        <w:rPr>
          <w:sz w:val="12"/>
        </w:rPr>
        <w:t>El</w:t>
      </w:r>
      <w:r>
        <w:rPr>
          <w:spacing w:val="-6"/>
          <w:sz w:val="12"/>
        </w:rPr>
        <w:t xml:space="preserve"> </w:t>
      </w:r>
      <w:r>
        <w:rPr>
          <w:sz w:val="12"/>
        </w:rPr>
        <w:t>artículo</w:t>
      </w:r>
      <w:r>
        <w:rPr>
          <w:spacing w:val="40"/>
          <w:sz w:val="12"/>
        </w:rPr>
        <w:t xml:space="preserve"> </w:t>
      </w:r>
      <w:r>
        <w:rPr>
          <w:sz w:val="12"/>
        </w:rPr>
        <w:t>1</w:t>
      </w:r>
      <w:r>
        <w:rPr>
          <w:spacing w:val="-5"/>
          <w:sz w:val="12"/>
        </w:rPr>
        <w:t xml:space="preserve"> </w:t>
      </w:r>
      <w:r>
        <w:rPr>
          <w:sz w:val="12"/>
        </w:rPr>
        <w:t>(a)</w:t>
      </w:r>
      <w:r>
        <w:rPr>
          <w:spacing w:val="-5"/>
          <w:sz w:val="12"/>
        </w:rPr>
        <w:t xml:space="preserve"> </w:t>
      </w:r>
      <w:r>
        <w:rPr>
          <w:sz w:val="12"/>
        </w:rPr>
        <w:t>del</w:t>
      </w:r>
      <w:r>
        <w:rPr>
          <w:spacing w:val="-5"/>
          <w:sz w:val="12"/>
        </w:rPr>
        <w:t xml:space="preserve"> </w:t>
      </w:r>
      <w:r>
        <w:rPr>
          <w:sz w:val="12"/>
        </w:rPr>
        <w:t>Convenio</w:t>
      </w:r>
      <w:r>
        <w:rPr>
          <w:spacing w:val="-5"/>
          <w:sz w:val="12"/>
        </w:rPr>
        <w:t xml:space="preserve"> </w:t>
      </w:r>
      <w:r>
        <w:rPr>
          <w:sz w:val="12"/>
        </w:rPr>
        <w:t>sobre</w:t>
      </w:r>
      <w:r>
        <w:rPr>
          <w:spacing w:val="-5"/>
          <w:sz w:val="12"/>
        </w:rPr>
        <w:t xml:space="preserve"> </w:t>
      </w:r>
      <w:r>
        <w:rPr>
          <w:sz w:val="12"/>
        </w:rPr>
        <w:t>la</w:t>
      </w:r>
      <w:r>
        <w:rPr>
          <w:spacing w:val="-5"/>
          <w:sz w:val="12"/>
        </w:rPr>
        <w:t xml:space="preserve"> </w:t>
      </w:r>
      <w:r>
        <w:rPr>
          <w:sz w:val="12"/>
        </w:rPr>
        <w:t>discriminación</w:t>
      </w:r>
      <w:r>
        <w:rPr>
          <w:spacing w:val="-5"/>
          <w:sz w:val="12"/>
        </w:rPr>
        <w:t xml:space="preserve"> </w:t>
      </w:r>
      <w:r>
        <w:rPr>
          <w:sz w:val="12"/>
        </w:rPr>
        <w:t>(empleo</w:t>
      </w:r>
      <w:r>
        <w:rPr>
          <w:spacing w:val="-5"/>
          <w:sz w:val="12"/>
        </w:rPr>
        <w:t xml:space="preserve"> </w:t>
      </w:r>
      <w:r>
        <w:rPr>
          <w:sz w:val="12"/>
        </w:rPr>
        <w:t>y</w:t>
      </w:r>
      <w:r>
        <w:rPr>
          <w:spacing w:val="-5"/>
          <w:sz w:val="12"/>
        </w:rPr>
        <w:t xml:space="preserve"> </w:t>
      </w:r>
      <w:r>
        <w:rPr>
          <w:sz w:val="12"/>
        </w:rPr>
        <w:t>ocupación),</w:t>
      </w:r>
      <w:r>
        <w:rPr>
          <w:spacing w:val="-4"/>
          <w:sz w:val="12"/>
        </w:rPr>
        <w:t xml:space="preserve"> </w:t>
      </w:r>
      <w:r>
        <w:rPr>
          <w:sz w:val="12"/>
        </w:rPr>
        <w:t>1958</w:t>
      </w:r>
      <w:r>
        <w:rPr>
          <w:spacing w:val="-5"/>
          <w:sz w:val="12"/>
        </w:rPr>
        <w:t xml:space="preserve"> </w:t>
      </w:r>
      <w:r>
        <w:rPr>
          <w:sz w:val="12"/>
        </w:rPr>
        <w:t>(núm.</w:t>
      </w:r>
      <w:r>
        <w:rPr>
          <w:spacing w:val="-5"/>
          <w:sz w:val="12"/>
        </w:rPr>
        <w:t xml:space="preserve"> </w:t>
      </w:r>
      <w:r>
        <w:rPr>
          <w:sz w:val="12"/>
        </w:rPr>
        <w:t>111)</w:t>
      </w:r>
      <w:r>
        <w:rPr>
          <w:spacing w:val="-5"/>
          <w:sz w:val="12"/>
        </w:rPr>
        <w:t xml:space="preserve"> </w:t>
      </w:r>
      <w:r>
        <w:rPr>
          <w:sz w:val="12"/>
        </w:rPr>
        <w:t>utiliza</w:t>
      </w:r>
      <w:r>
        <w:rPr>
          <w:spacing w:val="-5"/>
          <w:sz w:val="12"/>
        </w:rPr>
        <w:t xml:space="preserve"> </w:t>
      </w:r>
      <w:r>
        <w:rPr>
          <w:sz w:val="12"/>
        </w:rPr>
        <w:t>un</w:t>
      </w:r>
      <w:r>
        <w:rPr>
          <w:spacing w:val="-5"/>
          <w:sz w:val="12"/>
        </w:rPr>
        <w:t xml:space="preserve"> </w:t>
      </w:r>
      <w:r>
        <w:rPr>
          <w:sz w:val="12"/>
        </w:rPr>
        <w:t>lenguaje</w:t>
      </w:r>
      <w:r>
        <w:rPr>
          <w:spacing w:val="-5"/>
          <w:sz w:val="12"/>
        </w:rPr>
        <w:t xml:space="preserve"> </w:t>
      </w:r>
      <w:r>
        <w:rPr>
          <w:sz w:val="12"/>
        </w:rPr>
        <w:t>similar</w:t>
      </w:r>
      <w:r>
        <w:rPr>
          <w:spacing w:val="-5"/>
          <w:sz w:val="12"/>
        </w:rPr>
        <w:t xml:space="preserve"> </w:t>
      </w:r>
      <w:r>
        <w:rPr>
          <w:sz w:val="12"/>
        </w:rPr>
        <w:t>al</w:t>
      </w:r>
      <w:r>
        <w:rPr>
          <w:spacing w:val="-5"/>
          <w:sz w:val="12"/>
        </w:rPr>
        <w:t xml:space="preserve"> </w:t>
      </w:r>
      <w:r>
        <w:rPr>
          <w:sz w:val="12"/>
        </w:rPr>
        <w:t>de</w:t>
      </w:r>
      <w:r>
        <w:rPr>
          <w:spacing w:val="-5"/>
          <w:sz w:val="12"/>
        </w:rPr>
        <w:t xml:space="preserve"> </w:t>
      </w:r>
      <w:r>
        <w:rPr>
          <w:sz w:val="12"/>
        </w:rPr>
        <w:t>la</w:t>
      </w:r>
      <w:r>
        <w:rPr>
          <w:spacing w:val="-5"/>
          <w:sz w:val="12"/>
        </w:rPr>
        <w:t xml:space="preserve"> </w:t>
      </w:r>
      <w:r>
        <w:rPr>
          <w:sz w:val="12"/>
        </w:rPr>
        <w:t>Convención</w:t>
      </w:r>
      <w:r>
        <w:rPr>
          <w:spacing w:val="-5"/>
          <w:sz w:val="12"/>
        </w:rPr>
        <w:t xml:space="preserve"> </w:t>
      </w:r>
      <w:r>
        <w:rPr>
          <w:sz w:val="12"/>
        </w:rPr>
        <w:t>Internacional</w:t>
      </w:r>
      <w:r>
        <w:rPr>
          <w:spacing w:val="-5"/>
          <w:sz w:val="12"/>
        </w:rPr>
        <w:t xml:space="preserve"> </w:t>
      </w:r>
      <w:r>
        <w:rPr>
          <w:sz w:val="12"/>
        </w:rPr>
        <w:t>sobre</w:t>
      </w:r>
      <w:r>
        <w:rPr>
          <w:spacing w:val="-5"/>
          <w:sz w:val="12"/>
        </w:rPr>
        <w:t xml:space="preserve"> </w:t>
      </w:r>
      <w:r>
        <w:rPr>
          <w:sz w:val="12"/>
        </w:rPr>
        <w:t>la</w:t>
      </w:r>
      <w:r>
        <w:rPr>
          <w:spacing w:val="-5"/>
          <w:sz w:val="12"/>
        </w:rPr>
        <w:t xml:space="preserve"> </w:t>
      </w:r>
      <w:r>
        <w:rPr>
          <w:sz w:val="12"/>
        </w:rPr>
        <w:t>Eliminación</w:t>
      </w:r>
    </w:p>
    <w:p w14:paraId="284F46CD" w14:textId="77777777" w:rsidR="0014798C" w:rsidRDefault="004E1F0B">
      <w:pPr>
        <w:spacing w:line="312" w:lineRule="auto"/>
        <w:ind w:left="1366" w:right="1272" w:firstLine="10"/>
        <w:rPr>
          <w:sz w:val="12"/>
        </w:rPr>
      </w:pPr>
      <w:r>
        <w:rPr>
          <w:sz w:val="12"/>
        </w:rPr>
        <w:t>de</w:t>
      </w:r>
      <w:r>
        <w:rPr>
          <w:spacing w:val="-6"/>
          <w:sz w:val="12"/>
        </w:rPr>
        <w:t xml:space="preserve"> </w:t>
      </w:r>
      <w:r>
        <w:rPr>
          <w:sz w:val="12"/>
        </w:rPr>
        <w:t>todas</w:t>
      </w:r>
      <w:r>
        <w:rPr>
          <w:spacing w:val="-6"/>
          <w:sz w:val="12"/>
        </w:rPr>
        <w:t xml:space="preserve"> </w:t>
      </w:r>
      <w:r>
        <w:rPr>
          <w:sz w:val="12"/>
        </w:rPr>
        <w:t>las</w:t>
      </w:r>
      <w:r>
        <w:rPr>
          <w:spacing w:val="-6"/>
          <w:sz w:val="12"/>
        </w:rPr>
        <w:t xml:space="preserve"> </w:t>
      </w:r>
      <w:r>
        <w:rPr>
          <w:sz w:val="12"/>
        </w:rPr>
        <w:t>Formas</w:t>
      </w:r>
      <w:r>
        <w:rPr>
          <w:spacing w:val="-6"/>
          <w:sz w:val="12"/>
        </w:rPr>
        <w:t xml:space="preserve"> </w:t>
      </w:r>
      <w:r>
        <w:rPr>
          <w:sz w:val="12"/>
        </w:rPr>
        <w:t>de</w:t>
      </w:r>
      <w:r>
        <w:rPr>
          <w:spacing w:val="-6"/>
          <w:sz w:val="12"/>
        </w:rPr>
        <w:t xml:space="preserve"> </w:t>
      </w:r>
      <w:r>
        <w:rPr>
          <w:sz w:val="12"/>
        </w:rPr>
        <w:t>Discriminación</w:t>
      </w:r>
      <w:r>
        <w:rPr>
          <w:spacing w:val="-6"/>
          <w:sz w:val="12"/>
        </w:rPr>
        <w:t xml:space="preserve"> </w:t>
      </w:r>
      <w:r>
        <w:rPr>
          <w:sz w:val="12"/>
        </w:rPr>
        <w:t>Racial,</w:t>
      </w:r>
      <w:r>
        <w:rPr>
          <w:spacing w:val="-5"/>
          <w:sz w:val="12"/>
        </w:rPr>
        <w:t xml:space="preserve"> </w:t>
      </w:r>
      <w:r>
        <w:rPr>
          <w:sz w:val="12"/>
        </w:rPr>
        <w:t>aunque</w:t>
      </w:r>
      <w:r>
        <w:rPr>
          <w:spacing w:val="-6"/>
          <w:sz w:val="12"/>
        </w:rPr>
        <w:t xml:space="preserve"> </w:t>
      </w:r>
      <w:r>
        <w:rPr>
          <w:sz w:val="12"/>
        </w:rPr>
        <w:t>se</w:t>
      </w:r>
      <w:r>
        <w:rPr>
          <w:spacing w:val="-6"/>
          <w:sz w:val="12"/>
        </w:rPr>
        <w:t xml:space="preserve"> </w:t>
      </w:r>
      <w:r>
        <w:rPr>
          <w:sz w:val="12"/>
        </w:rPr>
        <w:t>omite</w:t>
      </w:r>
      <w:r>
        <w:rPr>
          <w:spacing w:val="-6"/>
          <w:sz w:val="12"/>
        </w:rPr>
        <w:t xml:space="preserve"> </w:t>
      </w:r>
      <w:r>
        <w:rPr>
          <w:sz w:val="12"/>
        </w:rPr>
        <w:t>el</w:t>
      </w:r>
      <w:r>
        <w:rPr>
          <w:spacing w:val="-6"/>
          <w:sz w:val="12"/>
        </w:rPr>
        <w:t xml:space="preserve"> </w:t>
      </w:r>
      <w:r>
        <w:rPr>
          <w:sz w:val="12"/>
        </w:rPr>
        <w:t>término</w:t>
      </w:r>
      <w:r>
        <w:rPr>
          <w:spacing w:val="-6"/>
          <w:sz w:val="12"/>
        </w:rPr>
        <w:t xml:space="preserve"> </w:t>
      </w:r>
      <w:r>
        <w:rPr>
          <w:sz w:val="12"/>
        </w:rPr>
        <w:t>“restricción”.</w:t>
      </w:r>
      <w:r>
        <w:rPr>
          <w:spacing w:val="-5"/>
          <w:sz w:val="12"/>
        </w:rPr>
        <w:t xml:space="preserve"> </w:t>
      </w:r>
      <w:r>
        <w:rPr>
          <w:sz w:val="12"/>
        </w:rPr>
        <w:t>Véase</w:t>
      </w:r>
      <w:r>
        <w:rPr>
          <w:spacing w:val="-6"/>
          <w:sz w:val="12"/>
        </w:rPr>
        <w:t xml:space="preserve"> </w:t>
      </w:r>
      <w:r>
        <w:rPr>
          <w:sz w:val="12"/>
        </w:rPr>
        <w:t>Comité</w:t>
      </w:r>
      <w:r>
        <w:rPr>
          <w:spacing w:val="-6"/>
          <w:sz w:val="12"/>
        </w:rPr>
        <w:t xml:space="preserve"> </w:t>
      </w:r>
      <w:r>
        <w:rPr>
          <w:sz w:val="12"/>
        </w:rPr>
        <w:t>para</w:t>
      </w:r>
      <w:r>
        <w:rPr>
          <w:spacing w:val="-6"/>
          <w:sz w:val="12"/>
        </w:rPr>
        <w:t xml:space="preserve"> </w:t>
      </w:r>
      <w:r>
        <w:rPr>
          <w:sz w:val="12"/>
        </w:rPr>
        <w:t>la</w:t>
      </w:r>
      <w:r>
        <w:rPr>
          <w:spacing w:val="-6"/>
          <w:sz w:val="12"/>
        </w:rPr>
        <w:t xml:space="preserve"> </w:t>
      </w:r>
      <w:r>
        <w:rPr>
          <w:sz w:val="12"/>
        </w:rPr>
        <w:t>Eliminación</w:t>
      </w:r>
      <w:r>
        <w:rPr>
          <w:spacing w:val="-6"/>
          <w:sz w:val="12"/>
        </w:rPr>
        <w:t xml:space="preserve"> </w:t>
      </w:r>
      <w:r>
        <w:rPr>
          <w:sz w:val="12"/>
        </w:rPr>
        <w:t>de</w:t>
      </w:r>
      <w:r>
        <w:rPr>
          <w:spacing w:val="-6"/>
          <w:sz w:val="12"/>
        </w:rPr>
        <w:t xml:space="preserve"> </w:t>
      </w:r>
      <w:r>
        <w:rPr>
          <w:sz w:val="12"/>
        </w:rPr>
        <w:t>la</w:t>
      </w:r>
      <w:r>
        <w:rPr>
          <w:spacing w:val="-6"/>
          <w:sz w:val="12"/>
        </w:rPr>
        <w:t xml:space="preserve"> </w:t>
      </w:r>
      <w:r>
        <w:rPr>
          <w:sz w:val="12"/>
        </w:rPr>
        <w:t>Discriminación</w:t>
      </w:r>
      <w:r>
        <w:rPr>
          <w:spacing w:val="-6"/>
          <w:sz w:val="12"/>
        </w:rPr>
        <w:t xml:space="preserve"> </w:t>
      </w:r>
      <w:r>
        <w:rPr>
          <w:sz w:val="12"/>
        </w:rPr>
        <w:t>Racial,</w:t>
      </w:r>
      <w:r>
        <w:rPr>
          <w:spacing w:val="-5"/>
          <w:sz w:val="12"/>
        </w:rPr>
        <w:t xml:space="preserve"> </w:t>
      </w:r>
      <w:r>
        <w:rPr>
          <w:sz w:val="12"/>
        </w:rPr>
        <w:t>recomendación</w:t>
      </w:r>
      <w:r>
        <w:rPr>
          <w:spacing w:val="40"/>
          <w:sz w:val="12"/>
        </w:rPr>
        <w:t xml:space="preserve"> </w:t>
      </w:r>
      <w:r>
        <w:rPr>
          <w:sz w:val="12"/>
        </w:rPr>
        <w:t>general núm. 32 (2009), párr. 7.</w:t>
      </w:r>
    </w:p>
    <w:p w14:paraId="045BF9A6" w14:textId="77777777" w:rsidR="0014798C" w:rsidRDefault="0014798C">
      <w:pPr>
        <w:pStyle w:val="Textoindependiente"/>
        <w:spacing w:before="96"/>
        <w:rPr>
          <w:sz w:val="12"/>
        </w:rPr>
      </w:pPr>
    </w:p>
    <w:p w14:paraId="5784FA3E" w14:textId="77777777" w:rsidR="0014798C" w:rsidRDefault="004E1F0B">
      <w:pPr>
        <w:pStyle w:val="Prrafodelista"/>
        <w:numPr>
          <w:ilvl w:val="0"/>
          <w:numId w:val="79"/>
        </w:numPr>
        <w:tabs>
          <w:tab w:val="left" w:pos="1333"/>
        </w:tabs>
        <w:ind w:left="1333" w:hanging="228"/>
        <w:rPr>
          <w:sz w:val="12"/>
        </w:rPr>
      </w:pPr>
      <w:r>
        <w:rPr>
          <w:spacing w:val="-2"/>
          <w:sz w:val="12"/>
        </w:rPr>
        <w:t>Comité</w:t>
      </w:r>
      <w:r>
        <w:rPr>
          <w:spacing w:val="3"/>
          <w:sz w:val="12"/>
        </w:rPr>
        <w:t xml:space="preserve"> </w:t>
      </w:r>
      <w:r>
        <w:rPr>
          <w:spacing w:val="-2"/>
          <w:sz w:val="12"/>
        </w:rPr>
        <w:t>de</w:t>
      </w:r>
      <w:r>
        <w:rPr>
          <w:spacing w:val="3"/>
          <w:sz w:val="12"/>
        </w:rPr>
        <w:t xml:space="preserve"> </w:t>
      </w:r>
      <w:r>
        <w:rPr>
          <w:spacing w:val="-2"/>
          <w:sz w:val="12"/>
        </w:rPr>
        <w:t>Derechos</w:t>
      </w:r>
      <w:r>
        <w:rPr>
          <w:spacing w:val="3"/>
          <w:sz w:val="12"/>
        </w:rPr>
        <w:t xml:space="preserve"> </w:t>
      </w:r>
      <w:r>
        <w:rPr>
          <w:spacing w:val="-2"/>
          <w:sz w:val="12"/>
        </w:rPr>
        <w:t>Humanos,</w:t>
      </w:r>
      <w:r>
        <w:rPr>
          <w:spacing w:val="4"/>
          <w:sz w:val="12"/>
        </w:rPr>
        <w:t xml:space="preserve"> </w:t>
      </w:r>
      <w:r>
        <w:rPr>
          <w:spacing w:val="-2"/>
          <w:sz w:val="12"/>
        </w:rPr>
        <w:t>observación</w:t>
      </w:r>
      <w:r>
        <w:rPr>
          <w:spacing w:val="3"/>
          <w:sz w:val="12"/>
        </w:rPr>
        <w:t xml:space="preserve"> </w:t>
      </w:r>
      <w:r>
        <w:rPr>
          <w:spacing w:val="-2"/>
          <w:sz w:val="12"/>
        </w:rPr>
        <w:t>general</w:t>
      </w:r>
      <w:r>
        <w:rPr>
          <w:spacing w:val="3"/>
          <w:sz w:val="12"/>
        </w:rPr>
        <w:t xml:space="preserve"> </w:t>
      </w:r>
      <w:r>
        <w:rPr>
          <w:spacing w:val="-2"/>
          <w:sz w:val="12"/>
        </w:rPr>
        <w:t>núm.</w:t>
      </w:r>
      <w:r>
        <w:rPr>
          <w:spacing w:val="3"/>
          <w:sz w:val="12"/>
        </w:rPr>
        <w:t xml:space="preserve"> </w:t>
      </w:r>
      <w:r>
        <w:rPr>
          <w:spacing w:val="-2"/>
          <w:sz w:val="12"/>
        </w:rPr>
        <w:t>18</w:t>
      </w:r>
      <w:r>
        <w:rPr>
          <w:spacing w:val="3"/>
          <w:sz w:val="12"/>
        </w:rPr>
        <w:t xml:space="preserve"> </w:t>
      </w:r>
      <w:r>
        <w:rPr>
          <w:spacing w:val="-2"/>
          <w:sz w:val="12"/>
        </w:rPr>
        <w:t>(1989),</w:t>
      </w:r>
      <w:r>
        <w:rPr>
          <w:spacing w:val="4"/>
          <w:sz w:val="12"/>
        </w:rPr>
        <w:t xml:space="preserve"> </w:t>
      </w:r>
      <w:proofErr w:type="spellStart"/>
      <w:r>
        <w:rPr>
          <w:spacing w:val="-2"/>
          <w:sz w:val="12"/>
        </w:rPr>
        <w:t>párrs</w:t>
      </w:r>
      <w:proofErr w:type="spellEnd"/>
      <w:r>
        <w:rPr>
          <w:spacing w:val="-2"/>
          <w:sz w:val="12"/>
        </w:rPr>
        <w:t>.</w:t>
      </w:r>
      <w:r>
        <w:rPr>
          <w:spacing w:val="3"/>
          <w:sz w:val="12"/>
        </w:rPr>
        <w:t xml:space="preserve"> </w:t>
      </w:r>
      <w:r>
        <w:rPr>
          <w:spacing w:val="-4"/>
          <w:sz w:val="12"/>
        </w:rPr>
        <w:t>6–7.</w:t>
      </w:r>
    </w:p>
    <w:p w14:paraId="23810B6B" w14:textId="77777777" w:rsidR="0014798C" w:rsidRDefault="004E1F0B">
      <w:pPr>
        <w:pStyle w:val="Prrafodelista"/>
        <w:numPr>
          <w:ilvl w:val="0"/>
          <w:numId w:val="79"/>
        </w:numPr>
        <w:tabs>
          <w:tab w:val="left" w:pos="1333"/>
        </w:tabs>
        <w:spacing w:before="98"/>
        <w:ind w:left="1333" w:hanging="228"/>
        <w:rPr>
          <w:sz w:val="12"/>
        </w:rPr>
      </w:pPr>
      <w:r>
        <w:rPr>
          <w:spacing w:val="-2"/>
          <w:sz w:val="12"/>
        </w:rPr>
        <w:t>Comité</w:t>
      </w:r>
      <w:r>
        <w:rPr>
          <w:spacing w:val="3"/>
          <w:sz w:val="12"/>
        </w:rPr>
        <w:t xml:space="preserve"> </w:t>
      </w:r>
      <w:r>
        <w:rPr>
          <w:spacing w:val="-2"/>
          <w:sz w:val="12"/>
        </w:rPr>
        <w:t>de</w:t>
      </w:r>
      <w:r>
        <w:rPr>
          <w:spacing w:val="4"/>
          <w:sz w:val="12"/>
        </w:rPr>
        <w:t xml:space="preserve"> </w:t>
      </w:r>
      <w:r>
        <w:rPr>
          <w:spacing w:val="-2"/>
          <w:sz w:val="12"/>
        </w:rPr>
        <w:t>Derechos</w:t>
      </w:r>
      <w:r>
        <w:rPr>
          <w:spacing w:val="4"/>
          <w:sz w:val="12"/>
        </w:rPr>
        <w:t xml:space="preserve"> </w:t>
      </w:r>
      <w:r>
        <w:rPr>
          <w:spacing w:val="-2"/>
          <w:sz w:val="12"/>
        </w:rPr>
        <w:t>Económicos,</w:t>
      </w:r>
      <w:r>
        <w:rPr>
          <w:spacing w:val="4"/>
          <w:sz w:val="12"/>
        </w:rPr>
        <w:t xml:space="preserve"> </w:t>
      </w:r>
      <w:r>
        <w:rPr>
          <w:spacing w:val="-2"/>
          <w:sz w:val="12"/>
        </w:rPr>
        <w:t>Sociales</w:t>
      </w:r>
      <w:r>
        <w:rPr>
          <w:spacing w:val="4"/>
          <w:sz w:val="12"/>
        </w:rPr>
        <w:t xml:space="preserve"> </w:t>
      </w:r>
      <w:r>
        <w:rPr>
          <w:spacing w:val="-2"/>
          <w:sz w:val="12"/>
        </w:rPr>
        <w:t>y</w:t>
      </w:r>
      <w:r>
        <w:rPr>
          <w:spacing w:val="4"/>
          <w:sz w:val="12"/>
        </w:rPr>
        <w:t xml:space="preserve"> </w:t>
      </w:r>
      <w:r>
        <w:rPr>
          <w:spacing w:val="-2"/>
          <w:sz w:val="12"/>
        </w:rPr>
        <w:t>Culturales,</w:t>
      </w:r>
      <w:r>
        <w:rPr>
          <w:spacing w:val="5"/>
          <w:sz w:val="12"/>
        </w:rPr>
        <w:t xml:space="preserve"> </w:t>
      </w:r>
      <w:r>
        <w:rPr>
          <w:spacing w:val="-2"/>
          <w:sz w:val="12"/>
        </w:rPr>
        <w:t>observación</w:t>
      </w:r>
      <w:r>
        <w:rPr>
          <w:spacing w:val="3"/>
          <w:sz w:val="12"/>
        </w:rPr>
        <w:t xml:space="preserve"> </w:t>
      </w:r>
      <w:r>
        <w:rPr>
          <w:spacing w:val="-2"/>
          <w:sz w:val="12"/>
        </w:rPr>
        <w:t>general</w:t>
      </w:r>
      <w:r>
        <w:rPr>
          <w:spacing w:val="4"/>
          <w:sz w:val="12"/>
        </w:rPr>
        <w:t xml:space="preserve"> </w:t>
      </w:r>
      <w:r>
        <w:rPr>
          <w:spacing w:val="-2"/>
          <w:sz w:val="12"/>
        </w:rPr>
        <w:t>núm.</w:t>
      </w:r>
      <w:r>
        <w:rPr>
          <w:spacing w:val="4"/>
          <w:sz w:val="12"/>
        </w:rPr>
        <w:t xml:space="preserve"> </w:t>
      </w:r>
      <w:r>
        <w:rPr>
          <w:spacing w:val="-2"/>
          <w:sz w:val="12"/>
        </w:rPr>
        <w:t>20</w:t>
      </w:r>
      <w:r>
        <w:rPr>
          <w:spacing w:val="3"/>
          <w:sz w:val="12"/>
        </w:rPr>
        <w:t xml:space="preserve"> </w:t>
      </w:r>
      <w:r>
        <w:rPr>
          <w:spacing w:val="-2"/>
          <w:sz w:val="12"/>
        </w:rPr>
        <w:t>(2009),</w:t>
      </w:r>
      <w:r>
        <w:rPr>
          <w:spacing w:val="5"/>
          <w:sz w:val="12"/>
        </w:rPr>
        <w:t xml:space="preserve"> </w:t>
      </w:r>
      <w:r>
        <w:rPr>
          <w:spacing w:val="-2"/>
          <w:sz w:val="12"/>
        </w:rPr>
        <w:t>párr.</w:t>
      </w:r>
      <w:r>
        <w:rPr>
          <w:spacing w:val="4"/>
          <w:sz w:val="12"/>
        </w:rPr>
        <w:t xml:space="preserve"> </w:t>
      </w:r>
      <w:r>
        <w:rPr>
          <w:spacing w:val="-5"/>
          <w:sz w:val="12"/>
        </w:rPr>
        <w:t>7.</w:t>
      </w:r>
    </w:p>
    <w:p w14:paraId="289FDB1E" w14:textId="77777777" w:rsidR="0014798C" w:rsidRDefault="004E1F0B">
      <w:pPr>
        <w:pStyle w:val="Prrafodelista"/>
        <w:numPr>
          <w:ilvl w:val="0"/>
          <w:numId w:val="79"/>
        </w:numPr>
        <w:tabs>
          <w:tab w:val="left" w:pos="1333"/>
        </w:tabs>
        <w:spacing w:before="99"/>
        <w:ind w:left="1333" w:hanging="228"/>
        <w:rPr>
          <w:sz w:val="12"/>
        </w:rPr>
      </w:pPr>
      <w:r>
        <w:rPr>
          <w:sz w:val="12"/>
        </w:rPr>
        <w:t>Comité</w:t>
      </w:r>
      <w:r>
        <w:rPr>
          <w:spacing w:val="-8"/>
          <w:sz w:val="12"/>
        </w:rPr>
        <w:t xml:space="preserve"> </w:t>
      </w:r>
      <w:r>
        <w:rPr>
          <w:sz w:val="12"/>
        </w:rPr>
        <w:t>sobre</w:t>
      </w:r>
      <w:r>
        <w:rPr>
          <w:spacing w:val="-8"/>
          <w:sz w:val="12"/>
        </w:rPr>
        <w:t xml:space="preserve"> </w:t>
      </w:r>
      <w:r>
        <w:rPr>
          <w:sz w:val="12"/>
        </w:rPr>
        <w:t>los</w:t>
      </w:r>
      <w:r>
        <w:rPr>
          <w:spacing w:val="-8"/>
          <w:sz w:val="12"/>
        </w:rPr>
        <w:t xml:space="preserve"> </w:t>
      </w:r>
      <w:r>
        <w:rPr>
          <w:sz w:val="12"/>
        </w:rPr>
        <w:t>Derechos</w:t>
      </w:r>
      <w:r>
        <w:rPr>
          <w:spacing w:val="-8"/>
          <w:sz w:val="12"/>
        </w:rPr>
        <w:t xml:space="preserve"> </w:t>
      </w:r>
      <w:r>
        <w:rPr>
          <w:sz w:val="12"/>
        </w:rPr>
        <w:t>de</w:t>
      </w:r>
      <w:r>
        <w:rPr>
          <w:spacing w:val="-8"/>
          <w:sz w:val="12"/>
        </w:rPr>
        <w:t xml:space="preserve"> </w:t>
      </w:r>
      <w:r>
        <w:rPr>
          <w:sz w:val="12"/>
        </w:rPr>
        <w:t>las</w:t>
      </w:r>
      <w:r>
        <w:rPr>
          <w:spacing w:val="-8"/>
          <w:sz w:val="12"/>
        </w:rPr>
        <w:t xml:space="preserve"> </w:t>
      </w:r>
      <w:r>
        <w:rPr>
          <w:sz w:val="12"/>
        </w:rPr>
        <w:t>Personas</w:t>
      </w:r>
      <w:r>
        <w:rPr>
          <w:spacing w:val="-8"/>
          <w:sz w:val="12"/>
        </w:rPr>
        <w:t xml:space="preserve"> </w:t>
      </w:r>
      <w:r>
        <w:rPr>
          <w:sz w:val="12"/>
        </w:rPr>
        <w:t>con</w:t>
      </w:r>
      <w:r>
        <w:rPr>
          <w:spacing w:val="-8"/>
          <w:sz w:val="12"/>
        </w:rPr>
        <w:t xml:space="preserve"> </w:t>
      </w:r>
      <w:r>
        <w:rPr>
          <w:sz w:val="12"/>
        </w:rPr>
        <w:t>Discapacidad,</w:t>
      </w:r>
      <w:r>
        <w:rPr>
          <w:spacing w:val="-7"/>
          <w:sz w:val="12"/>
        </w:rPr>
        <w:t xml:space="preserve"> </w:t>
      </w:r>
      <w:r>
        <w:rPr>
          <w:sz w:val="12"/>
        </w:rPr>
        <w:t>observación</w:t>
      </w:r>
      <w:r>
        <w:rPr>
          <w:spacing w:val="-8"/>
          <w:sz w:val="12"/>
        </w:rPr>
        <w:t xml:space="preserve"> </w:t>
      </w:r>
      <w:r>
        <w:rPr>
          <w:sz w:val="12"/>
        </w:rPr>
        <w:t>general</w:t>
      </w:r>
      <w:r>
        <w:rPr>
          <w:spacing w:val="-8"/>
          <w:sz w:val="12"/>
        </w:rPr>
        <w:t xml:space="preserve"> </w:t>
      </w:r>
      <w:r>
        <w:rPr>
          <w:sz w:val="12"/>
        </w:rPr>
        <w:t>núm.</w:t>
      </w:r>
      <w:r>
        <w:rPr>
          <w:spacing w:val="-8"/>
          <w:sz w:val="12"/>
        </w:rPr>
        <w:t xml:space="preserve"> </w:t>
      </w:r>
      <w:r>
        <w:rPr>
          <w:sz w:val="12"/>
        </w:rPr>
        <w:t>6</w:t>
      </w:r>
      <w:r>
        <w:rPr>
          <w:spacing w:val="-7"/>
          <w:sz w:val="12"/>
        </w:rPr>
        <w:t xml:space="preserve"> </w:t>
      </w:r>
      <w:r>
        <w:rPr>
          <w:sz w:val="12"/>
        </w:rPr>
        <w:t>(2018),</w:t>
      </w:r>
      <w:r>
        <w:rPr>
          <w:spacing w:val="-8"/>
          <w:sz w:val="12"/>
        </w:rPr>
        <w:t xml:space="preserve"> </w:t>
      </w:r>
      <w:r>
        <w:rPr>
          <w:sz w:val="12"/>
        </w:rPr>
        <w:t>párr.</w:t>
      </w:r>
      <w:r>
        <w:rPr>
          <w:spacing w:val="-7"/>
          <w:sz w:val="12"/>
        </w:rPr>
        <w:t xml:space="preserve"> </w:t>
      </w:r>
      <w:r>
        <w:rPr>
          <w:spacing w:val="-5"/>
          <w:sz w:val="12"/>
        </w:rPr>
        <w:t>18.</w:t>
      </w:r>
    </w:p>
    <w:p w14:paraId="17A5E02C" w14:textId="77777777" w:rsidR="0014798C" w:rsidRDefault="0014798C">
      <w:pPr>
        <w:rPr>
          <w:sz w:val="12"/>
        </w:rPr>
        <w:sectPr w:rsidR="0014798C" w:rsidSect="00F265E4">
          <w:pgSz w:w="11900" w:h="16820"/>
          <w:pgMar w:top="340" w:right="0" w:bottom="280" w:left="200" w:header="121" w:footer="0" w:gutter="0"/>
          <w:cols w:space="720"/>
        </w:sectPr>
      </w:pPr>
    </w:p>
    <w:p w14:paraId="5195BC65" w14:textId="77777777" w:rsidR="0014798C" w:rsidRDefault="004E1F0B">
      <w:pPr>
        <w:spacing w:before="53"/>
        <w:jc w:val="right"/>
        <w:rPr>
          <w:sz w:val="8"/>
        </w:rPr>
      </w:pPr>
      <w:r>
        <w:rPr>
          <w:spacing w:val="-5"/>
          <w:w w:val="105"/>
          <w:sz w:val="8"/>
        </w:rPr>
        <w:t>207</w:t>
      </w:r>
    </w:p>
    <w:p w14:paraId="7869424F" w14:textId="77777777" w:rsidR="0014798C" w:rsidRDefault="004E1F0B">
      <w:pPr>
        <w:spacing w:before="94" w:line="312" w:lineRule="auto"/>
        <w:ind w:left="81" w:right="1553" w:firstLine="2"/>
        <w:rPr>
          <w:sz w:val="12"/>
        </w:rPr>
      </w:pPr>
      <w:r>
        <w:br w:type="column"/>
      </w:r>
      <w:r>
        <w:rPr>
          <w:w w:val="105"/>
          <w:sz w:val="12"/>
        </w:rPr>
        <w:t>Véase,</w:t>
      </w:r>
      <w:r>
        <w:rPr>
          <w:spacing w:val="-7"/>
          <w:w w:val="105"/>
          <w:sz w:val="12"/>
        </w:rPr>
        <w:t xml:space="preserve"> </w:t>
      </w:r>
      <w:r>
        <w:rPr>
          <w:w w:val="105"/>
          <w:sz w:val="12"/>
        </w:rPr>
        <w:t>en</w:t>
      </w:r>
      <w:r>
        <w:rPr>
          <w:spacing w:val="-7"/>
          <w:w w:val="105"/>
          <w:sz w:val="12"/>
        </w:rPr>
        <w:t xml:space="preserve"> </w:t>
      </w:r>
      <w:r>
        <w:rPr>
          <w:w w:val="105"/>
          <w:sz w:val="12"/>
        </w:rPr>
        <w:t>particular,</w:t>
      </w:r>
      <w:r>
        <w:rPr>
          <w:spacing w:val="-7"/>
          <w:w w:val="105"/>
          <w:sz w:val="12"/>
        </w:rPr>
        <w:t xml:space="preserve"> </w:t>
      </w:r>
      <w:r>
        <w:rPr>
          <w:w w:val="105"/>
          <w:sz w:val="12"/>
        </w:rPr>
        <w:t>el</w:t>
      </w:r>
      <w:r>
        <w:rPr>
          <w:spacing w:val="-7"/>
          <w:w w:val="105"/>
          <w:sz w:val="12"/>
        </w:rPr>
        <w:t xml:space="preserve"> </w:t>
      </w:r>
      <w:r>
        <w:rPr>
          <w:w w:val="105"/>
          <w:sz w:val="12"/>
        </w:rPr>
        <w:t>análisis</w:t>
      </w:r>
      <w:r>
        <w:rPr>
          <w:spacing w:val="-8"/>
          <w:w w:val="105"/>
          <w:sz w:val="12"/>
        </w:rPr>
        <w:t xml:space="preserve"> </w:t>
      </w:r>
      <w:r>
        <w:rPr>
          <w:w w:val="105"/>
          <w:sz w:val="12"/>
        </w:rPr>
        <w:t>de</w:t>
      </w:r>
      <w:r>
        <w:rPr>
          <w:spacing w:val="-7"/>
          <w:w w:val="105"/>
          <w:sz w:val="12"/>
        </w:rPr>
        <w:t xml:space="preserve"> </w:t>
      </w:r>
      <w:r>
        <w:rPr>
          <w:w w:val="105"/>
          <w:sz w:val="12"/>
        </w:rPr>
        <w:t>la</w:t>
      </w:r>
      <w:r>
        <w:rPr>
          <w:spacing w:val="-7"/>
          <w:w w:val="105"/>
          <w:sz w:val="12"/>
        </w:rPr>
        <w:t xml:space="preserve"> </w:t>
      </w:r>
      <w:r>
        <w:rPr>
          <w:w w:val="105"/>
          <w:sz w:val="12"/>
        </w:rPr>
        <w:t>denegación</w:t>
      </w:r>
      <w:r>
        <w:rPr>
          <w:spacing w:val="-7"/>
          <w:w w:val="105"/>
          <w:sz w:val="12"/>
        </w:rPr>
        <w:t xml:space="preserve"> </w:t>
      </w:r>
      <w:r>
        <w:rPr>
          <w:w w:val="105"/>
          <w:sz w:val="12"/>
        </w:rPr>
        <w:t>de</w:t>
      </w:r>
      <w:r>
        <w:rPr>
          <w:spacing w:val="-7"/>
          <w:w w:val="105"/>
          <w:sz w:val="12"/>
        </w:rPr>
        <w:t xml:space="preserve"> </w:t>
      </w:r>
      <w:r>
        <w:rPr>
          <w:w w:val="105"/>
          <w:sz w:val="12"/>
        </w:rPr>
        <w:t>ajustes</w:t>
      </w:r>
      <w:r>
        <w:rPr>
          <w:spacing w:val="-8"/>
          <w:w w:val="105"/>
          <w:sz w:val="12"/>
        </w:rPr>
        <w:t xml:space="preserve"> </w:t>
      </w:r>
      <w:r>
        <w:rPr>
          <w:w w:val="105"/>
          <w:sz w:val="12"/>
        </w:rPr>
        <w:t>razonables</w:t>
      </w:r>
      <w:r>
        <w:rPr>
          <w:spacing w:val="-8"/>
          <w:w w:val="105"/>
          <w:sz w:val="12"/>
        </w:rPr>
        <w:t xml:space="preserve"> </w:t>
      </w:r>
      <w:r>
        <w:rPr>
          <w:w w:val="105"/>
          <w:sz w:val="12"/>
        </w:rPr>
        <w:t>en</w:t>
      </w:r>
      <w:r>
        <w:rPr>
          <w:spacing w:val="-7"/>
          <w:w w:val="105"/>
          <w:sz w:val="12"/>
        </w:rPr>
        <w:t xml:space="preserve"> </w:t>
      </w:r>
      <w:r>
        <w:rPr>
          <w:w w:val="105"/>
          <w:sz w:val="12"/>
        </w:rPr>
        <w:t>la</w:t>
      </w:r>
      <w:r>
        <w:rPr>
          <w:spacing w:val="-7"/>
          <w:w w:val="105"/>
          <w:sz w:val="12"/>
        </w:rPr>
        <w:t xml:space="preserve"> </w:t>
      </w:r>
      <w:r>
        <w:rPr>
          <w:w w:val="105"/>
          <w:sz w:val="12"/>
        </w:rPr>
        <w:t>sección</w:t>
      </w:r>
      <w:r>
        <w:rPr>
          <w:spacing w:val="-7"/>
          <w:w w:val="105"/>
          <w:sz w:val="12"/>
        </w:rPr>
        <w:t xml:space="preserve"> </w:t>
      </w:r>
      <w:r>
        <w:rPr>
          <w:w w:val="105"/>
          <w:sz w:val="12"/>
        </w:rPr>
        <w:t>IA2(d)</w:t>
      </w:r>
      <w:r>
        <w:rPr>
          <w:spacing w:val="-8"/>
          <w:w w:val="105"/>
          <w:sz w:val="12"/>
        </w:rPr>
        <w:t xml:space="preserve"> </w:t>
      </w:r>
      <w:r>
        <w:rPr>
          <w:w w:val="105"/>
          <w:sz w:val="12"/>
        </w:rPr>
        <w:t>de</w:t>
      </w:r>
      <w:r>
        <w:rPr>
          <w:spacing w:val="-7"/>
          <w:w w:val="105"/>
          <w:sz w:val="12"/>
        </w:rPr>
        <w:t xml:space="preserve"> </w:t>
      </w:r>
      <w:r>
        <w:rPr>
          <w:w w:val="105"/>
          <w:sz w:val="12"/>
        </w:rPr>
        <w:t>la</w:t>
      </w:r>
      <w:r>
        <w:rPr>
          <w:spacing w:val="-7"/>
          <w:w w:val="105"/>
          <w:sz w:val="12"/>
        </w:rPr>
        <w:t xml:space="preserve"> </w:t>
      </w:r>
      <w:r>
        <w:rPr>
          <w:w w:val="105"/>
          <w:sz w:val="12"/>
        </w:rPr>
        <w:t>segunda</w:t>
      </w:r>
      <w:r>
        <w:rPr>
          <w:spacing w:val="-7"/>
          <w:w w:val="105"/>
          <w:sz w:val="12"/>
        </w:rPr>
        <w:t xml:space="preserve"> </w:t>
      </w:r>
      <w:r>
        <w:rPr>
          <w:w w:val="105"/>
          <w:sz w:val="12"/>
        </w:rPr>
        <w:t>parte</w:t>
      </w:r>
      <w:r>
        <w:rPr>
          <w:spacing w:val="-8"/>
          <w:w w:val="105"/>
          <w:sz w:val="12"/>
        </w:rPr>
        <w:t xml:space="preserve"> </w:t>
      </w:r>
      <w:r>
        <w:rPr>
          <w:w w:val="105"/>
          <w:sz w:val="12"/>
        </w:rPr>
        <w:t>de</w:t>
      </w:r>
      <w:r>
        <w:rPr>
          <w:spacing w:val="-7"/>
          <w:w w:val="105"/>
          <w:sz w:val="12"/>
        </w:rPr>
        <w:t xml:space="preserve"> </w:t>
      </w:r>
      <w:r>
        <w:rPr>
          <w:w w:val="105"/>
          <w:sz w:val="12"/>
        </w:rPr>
        <w:t>la</w:t>
      </w:r>
      <w:r>
        <w:rPr>
          <w:spacing w:val="-7"/>
          <w:w w:val="105"/>
          <w:sz w:val="12"/>
        </w:rPr>
        <w:t xml:space="preserve"> </w:t>
      </w:r>
      <w:r>
        <w:rPr>
          <w:w w:val="105"/>
          <w:sz w:val="12"/>
        </w:rPr>
        <w:t>presente</w:t>
      </w:r>
      <w:r>
        <w:rPr>
          <w:spacing w:val="-8"/>
          <w:w w:val="105"/>
          <w:sz w:val="12"/>
        </w:rPr>
        <w:t xml:space="preserve"> </w:t>
      </w:r>
      <w:r>
        <w:rPr>
          <w:w w:val="105"/>
          <w:sz w:val="12"/>
        </w:rPr>
        <w:t>guía,</w:t>
      </w:r>
      <w:r>
        <w:rPr>
          <w:spacing w:val="-7"/>
          <w:w w:val="105"/>
          <w:sz w:val="12"/>
        </w:rPr>
        <w:t xml:space="preserve"> </w:t>
      </w:r>
      <w:r>
        <w:rPr>
          <w:w w:val="105"/>
          <w:sz w:val="12"/>
        </w:rPr>
        <w:t>que</w:t>
      </w:r>
      <w:r>
        <w:rPr>
          <w:spacing w:val="-7"/>
          <w:w w:val="105"/>
          <w:sz w:val="12"/>
        </w:rPr>
        <w:t xml:space="preserve"> </w:t>
      </w:r>
      <w:r>
        <w:rPr>
          <w:w w:val="105"/>
          <w:sz w:val="12"/>
        </w:rPr>
        <w:t>se</w:t>
      </w:r>
      <w:r>
        <w:rPr>
          <w:spacing w:val="-7"/>
          <w:w w:val="105"/>
          <w:sz w:val="12"/>
        </w:rPr>
        <w:t xml:space="preserve"> </w:t>
      </w:r>
      <w:r>
        <w:rPr>
          <w:w w:val="105"/>
          <w:sz w:val="12"/>
        </w:rPr>
        <w:t>analiza</w:t>
      </w:r>
      <w:r>
        <w:rPr>
          <w:spacing w:val="-7"/>
          <w:w w:val="105"/>
          <w:sz w:val="12"/>
        </w:rPr>
        <w:t xml:space="preserve"> </w:t>
      </w:r>
      <w:r>
        <w:rPr>
          <w:w w:val="105"/>
          <w:sz w:val="12"/>
        </w:rPr>
        <w:t>con</w:t>
      </w:r>
      <w:r>
        <w:rPr>
          <w:spacing w:val="-7"/>
          <w:w w:val="105"/>
          <w:sz w:val="12"/>
        </w:rPr>
        <w:t xml:space="preserve"> </w:t>
      </w:r>
      <w:r>
        <w:rPr>
          <w:w w:val="105"/>
          <w:sz w:val="12"/>
        </w:rPr>
        <w:t>mayor</w:t>
      </w:r>
      <w:r>
        <w:rPr>
          <w:spacing w:val="40"/>
          <w:w w:val="105"/>
          <w:sz w:val="12"/>
        </w:rPr>
        <w:t xml:space="preserve"> </w:t>
      </w:r>
      <w:r>
        <w:rPr>
          <w:w w:val="105"/>
          <w:sz w:val="12"/>
        </w:rPr>
        <w:t>frecuencia</w:t>
      </w:r>
      <w:r>
        <w:rPr>
          <w:spacing w:val="-3"/>
          <w:w w:val="105"/>
          <w:sz w:val="12"/>
        </w:rPr>
        <w:t xml:space="preserve"> </w:t>
      </w:r>
      <w:r>
        <w:rPr>
          <w:w w:val="105"/>
          <w:sz w:val="12"/>
        </w:rPr>
        <w:t>como</w:t>
      </w:r>
      <w:r>
        <w:rPr>
          <w:spacing w:val="-3"/>
          <w:w w:val="105"/>
          <w:sz w:val="12"/>
        </w:rPr>
        <w:t xml:space="preserve"> </w:t>
      </w:r>
      <w:r>
        <w:rPr>
          <w:w w:val="105"/>
          <w:sz w:val="12"/>
        </w:rPr>
        <w:t>una</w:t>
      </w:r>
      <w:r>
        <w:rPr>
          <w:spacing w:val="-3"/>
          <w:w w:val="105"/>
          <w:sz w:val="12"/>
        </w:rPr>
        <w:t xml:space="preserve"> </w:t>
      </w:r>
      <w:r>
        <w:rPr>
          <w:w w:val="105"/>
          <w:sz w:val="12"/>
        </w:rPr>
        <w:t>forma</w:t>
      </w:r>
      <w:r>
        <w:rPr>
          <w:spacing w:val="-4"/>
          <w:w w:val="105"/>
          <w:sz w:val="12"/>
        </w:rPr>
        <w:t xml:space="preserve"> </w:t>
      </w:r>
      <w:r>
        <w:rPr>
          <w:w w:val="105"/>
          <w:sz w:val="12"/>
        </w:rPr>
        <w:t>de</w:t>
      </w:r>
      <w:r>
        <w:rPr>
          <w:spacing w:val="-3"/>
          <w:w w:val="105"/>
          <w:sz w:val="12"/>
        </w:rPr>
        <w:t xml:space="preserve"> </w:t>
      </w:r>
      <w:r>
        <w:rPr>
          <w:w w:val="105"/>
          <w:sz w:val="12"/>
        </w:rPr>
        <w:t>discriminación</w:t>
      </w:r>
      <w:r>
        <w:rPr>
          <w:spacing w:val="-3"/>
          <w:w w:val="105"/>
          <w:sz w:val="12"/>
        </w:rPr>
        <w:t xml:space="preserve"> </w:t>
      </w:r>
      <w:r>
        <w:rPr>
          <w:w w:val="105"/>
          <w:sz w:val="12"/>
        </w:rPr>
        <w:t>por</w:t>
      </w:r>
      <w:r>
        <w:rPr>
          <w:spacing w:val="-3"/>
          <w:w w:val="105"/>
          <w:sz w:val="12"/>
        </w:rPr>
        <w:t xml:space="preserve"> </w:t>
      </w:r>
      <w:r>
        <w:rPr>
          <w:w w:val="105"/>
          <w:sz w:val="12"/>
        </w:rPr>
        <w:t>motivos</w:t>
      </w:r>
      <w:r>
        <w:rPr>
          <w:spacing w:val="-4"/>
          <w:w w:val="105"/>
          <w:sz w:val="12"/>
        </w:rPr>
        <w:t xml:space="preserve"> </w:t>
      </w:r>
      <w:r>
        <w:rPr>
          <w:w w:val="105"/>
          <w:sz w:val="12"/>
        </w:rPr>
        <w:t>específicos</w:t>
      </w:r>
      <w:r>
        <w:rPr>
          <w:spacing w:val="-4"/>
          <w:w w:val="105"/>
          <w:sz w:val="12"/>
        </w:rPr>
        <w:t xml:space="preserve"> </w:t>
      </w:r>
      <w:r>
        <w:rPr>
          <w:w w:val="105"/>
          <w:sz w:val="12"/>
        </w:rPr>
        <w:t>(discapacidad).</w:t>
      </w:r>
    </w:p>
    <w:p w14:paraId="7921C5CF" w14:textId="77777777" w:rsidR="0014798C" w:rsidRDefault="0014798C">
      <w:pPr>
        <w:spacing w:line="312" w:lineRule="auto"/>
        <w:rPr>
          <w:sz w:val="12"/>
        </w:rPr>
        <w:sectPr w:rsidR="0014798C" w:rsidSect="00F265E4">
          <w:type w:val="continuous"/>
          <w:pgSz w:w="11900" w:h="16820"/>
          <w:pgMar w:top="40" w:right="0" w:bottom="280" w:left="200" w:header="121" w:footer="0" w:gutter="0"/>
          <w:cols w:num="2" w:space="720" w:equalWidth="0">
            <w:col w:w="1247" w:space="40"/>
            <w:col w:w="10413"/>
          </w:cols>
        </w:sectPr>
      </w:pPr>
    </w:p>
    <w:p w14:paraId="1FAE92CF" w14:textId="77777777" w:rsidR="0014798C" w:rsidRDefault="004E1F0B">
      <w:pPr>
        <w:spacing w:before="62" w:line="312" w:lineRule="auto"/>
        <w:ind w:left="1368" w:right="1335" w:hanging="263"/>
        <w:rPr>
          <w:sz w:val="12"/>
        </w:rPr>
      </w:pPr>
      <w:r>
        <w:rPr>
          <w:sz w:val="12"/>
        </w:rPr>
        <w:t>208</w:t>
      </w:r>
      <w:r>
        <w:rPr>
          <w:spacing w:val="-4"/>
          <w:sz w:val="12"/>
        </w:rPr>
        <w:t xml:space="preserve"> </w:t>
      </w:r>
      <w:r>
        <w:rPr>
          <w:sz w:val="12"/>
        </w:rPr>
        <w:t>Como</w:t>
      </w:r>
      <w:r>
        <w:rPr>
          <w:spacing w:val="-4"/>
          <w:sz w:val="12"/>
        </w:rPr>
        <w:t xml:space="preserve"> </w:t>
      </w:r>
      <w:r>
        <w:rPr>
          <w:sz w:val="12"/>
        </w:rPr>
        <w:t>se</w:t>
      </w:r>
      <w:r>
        <w:rPr>
          <w:spacing w:val="-4"/>
          <w:sz w:val="12"/>
        </w:rPr>
        <w:t xml:space="preserve"> </w:t>
      </w:r>
      <w:r>
        <w:rPr>
          <w:sz w:val="12"/>
        </w:rPr>
        <w:t>analiza</w:t>
      </w:r>
      <w:r>
        <w:rPr>
          <w:spacing w:val="-4"/>
          <w:sz w:val="12"/>
        </w:rPr>
        <w:t xml:space="preserve"> </w:t>
      </w:r>
      <w:r>
        <w:rPr>
          <w:sz w:val="12"/>
        </w:rPr>
        <w:t>en</w:t>
      </w:r>
      <w:r>
        <w:rPr>
          <w:spacing w:val="-4"/>
          <w:sz w:val="12"/>
        </w:rPr>
        <w:t xml:space="preserve"> </w:t>
      </w:r>
      <w:r>
        <w:rPr>
          <w:sz w:val="12"/>
        </w:rPr>
        <w:t>la</w:t>
      </w:r>
      <w:r>
        <w:rPr>
          <w:spacing w:val="-4"/>
          <w:sz w:val="12"/>
        </w:rPr>
        <w:t xml:space="preserve"> </w:t>
      </w:r>
      <w:r>
        <w:rPr>
          <w:sz w:val="12"/>
        </w:rPr>
        <w:t>sección</w:t>
      </w:r>
      <w:r>
        <w:rPr>
          <w:spacing w:val="-4"/>
          <w:sz w:val="12"/>
        </w:rPr>
        <w:t xml:space="preserve"> </w:t>
      </w:r>
      <w:r>
        <w:rPr>
          <w:sz w:val="12"/>
        </w:rPr>
        <w:t>IA2(f)</w:t>
      </w:r>
      <w:r>
        <w:rPr>
          <w:spacing w:val="-4"/>
          <w:sz w:val="12"/>
        </w:rPr>
        <w:t xml:space="preserve"> </w:t>
      </w:r>
      <w:r>
        <w:rPr>
          <w:sz w:val="12"/>
        </w:rPr>
        <w:t>de</w:t>
      </w:r>
      <w:r>
        <w:rPr>
          <w:spacing w:val="-4"/>
          <w:sz w:val="12"/>
        </w:rPr>
        <w:t xml:space="preserve"> </w:t>
      </w:r>
      <w:r>
        <w:rPr>
          <w:sz w:val="12"/>
        </w:rPr>
        <w:t>la</w:t>
      </w:r>
      <w:r>
        <w:rPr>
          <w:spacing w:val="-4"/>
          <w:sz w:val="12"/>
        </w:rPr>
        <w:t xml:space="preserve"> </w:t>
      </w:r>
      <w:r>
        <w:rPr>
          <w:sz w:val="12"/>
        </w:rPr>
        <w:t>segunda</w:t>
      </w:r>
      <w:r>
        <w:rPr>
          <w:spacing w:val="-4"/>
          <w:sz w:val="12"/>
        </w:rPr>
        <w:t xml:space="preserve"> </w:t>
      </w:r>
      <w:r>
        <w:rPr>
          <w:sz w:val="12"/>
        </w:rPr>
        <w:t>parte</w:t>
      </w:r>
      <w:r>
        <w:rPr>
          <w:spacing w:val="-4"/>
          <w:sz w:val="12"/>
        </w:rPr>
        <w:t xml:space="preserve"> </w:t>
      </w:r>
      <w:r>
        <w:rPr>
          <w:sz w:val="12"/>
        </w:rPr>
        <w:t>de</w:t>
      </w:r>
      <w:r>
        <w:rPr>
          <w:spacing w:val="-4"/>
          <w:sz w:val="12"/>
        </w:rPr>
        <w:t xml:space="preserve"> </w:t>
      </w:r>
      <w:r>
        <w:rPr>
          <w:sz w:val="12"/>
        </w:rPr>
        <w:t>la</w:t>
      </w:r>
      <w:r>
        <w:rPr>
          <w:spacing w:val="-4"/>
          <w:sz w:val="12"/>
        </w:rPr>
        <w:t xml:space="preserve"> </w:t>
      </w:r>
      <w:r>
        <w:rPr>
          <w:sz w:val="12"/>
        </w:rPr>
        <w:t>presente</w:t>
      </w:r>
      <w:r>
        <w:rPr>
          <w:spacing w:val="-4"/>
          <w:sz w:val="12"/>
        </w:rPr>
        <w:t xml:space="preserve"> </w:t>
      </w:r>
      <w:r>
        <w:rPr>
          <w:sz w:val="12"/>
        </w:rPr>
        <w:t>guía,</w:t>
      </w:r>
      <w:r>
        <w:rPr>
          <w:spacing w:val="-4"/>
          <w:sz w:val="12"/>
        </w:rPr>
        <w:t xml:space="preserve"> </w:t>
      </w:r>
      <w:r>
        <w:rPr>
          <w:sz w:val="12"/>
        </w:rPr>
        <w:t>si</w:t>
      </w:r>
      <w:r>
        <w:rPr>
          <w:spacing w:val="-4"/>
          <w:sz w:val="12"/>
        </w:rPr>
        <w:t xml:space="preserve"> </w:t>
      </w:r>
      <w:r>
        <w:rPr>
          <w:sz w:val="12"/>
        </w:rPr>
        <w:t>bien</w:t>
      </w:r>
      <w:r>
        <w:rPr>
          <w:spacing w:val="-4"/>
          <w:sz w:val="12"/>
        </w:rPr>
        <w:t xml:space="preserve"> </w:t>
      </w:r>
      <w:r>
        <w:rPr>
          <w:sz w:val="12"/>
        </w:rPr>
        <w:t>la</w:t>
      </w:r>
      <w:r>
        <w:rPr>
          <w:spacing w:val="-4"/>
          <w:sz w:val="12"/>
        </w:rPr>
        <w:t xml:space="preserve"> </w:t>
      </w:r>
      <w:r>
        <w:rPr>
          <w:sz w:val="12"/>
        </w:rPr>
        <w:t>victimización</w:t>
      </w:r>
      <w:r>
        <w:rPr>
          <w:spacing w:val="-4"/>
          <w:sz w:val="12"/>
        </w:rPr>
        <w:t xml:space="preserve"> </w:t>
      </w:r>
      <w:r>
        <w:rPr>
          <w:sz w:val="12"/>
        </w:rPr>
        <w:t>se</w:t>
      </w:r>
      <w:r>
        <w:rPr>
          <w:spacing w:val="-4"/>
          <w:sz w:val="12"/>
        </w:rPr>
        <w:t xml:space="preserve"> </w:t>
      </w:r>
      <w:r>
        <w:rPr>
          <w:sz w:val="12"/>
        </w:rPr>
        <w:t>reconoce</w:t>
      </w:r>
      <w:r>
        <w:rPr>
          <w:spacing w:val="-4"/>
          <w:sz w:val="12"/>
        </w:rPr>
        <w:t xml:space="preserve"> </w:t>
      </w:r>
      <w:r>
        <w:rPr>
          <w:sz w:val="12"/>
        </w:rPr>
        <w:t>claramente</w:t>
      </w:r>
      <w:r>
        <w:rPr>
          <w:spacing w:val="-4"/>
          <w:sz w:val="12"/>
        </w:rPr>
        <w:t xml:space="preserve"> </w:t>
      </w:r>
      <w:r>
        <w:rPr>
          <w:sz w:val="12"/>
        </w:rPr>
        <w:t>como</w:t>
      </w:r>
      <w:r>
        <w:rPr>
          <w:spacing w:val="-4"/>
          <w:sz w:val="12"/>
        </w:rPr>
        <w:t xml:space="preserve"> </w:t>
      </w:r>
      <w:r>
        <w:rPr>
          <w:sz w:val="12"/>
        </w:rPr>
        <w:t>una</w:t>
      </w:r>
      <w:r>
        <w:rPr>
          <w:spacing w:val="-4"/>
          <w:sz w:val="12"/>
        </w:rPr>
        <w:t xml:space="preserve"> </w:t>
      </w:r>
      <w:r>
        <w:rPr>
          <w:sz w:val="12"/>
        </w:rPr>
        <w:t>forma</w:t>
      </w:r>
      <w:r>
        <w:rPr>
          <w:spacing w:val="-4"/>
          <w:sz w:val="12"/>
        </w:rPr>
        <w:t xml:space="preserve"> </w:t>
      </w:r>
      <w:r>
        <w:rPr>
          <w:sz w:val="12"/>
        </w:rPr>
        <w:t>de</w:t>
      </w:r>
      <w:r>
        <w:rPr>
          <w:spacing w:val="-4"/>
          <w:sz w:val="12"/>
        </w:rPr>
        <w:t xml:space="preserve"> </w:t>
      </w:r>
      <w:r>
        <w:rPr>
          <w:sz w:val="12"/>
        </w:rPr>
        <w:t>conducta</w:t>
      </w:r>
      <w:r>
        <w:rPr>
          <w:spacing w:val="-4"/>
          <w:sz w:val="12"/>
        </w:rPr>
        <w:t xml:space="preserve"> </w:t>
      </w:r>
      <w:r>
        <w:rPr>
          <w:sz w:val="12"/>
        </w:rPr>
        <w:t>prohibida,</w:t>
      </w:r>
      <w:r>
        <w:rPr>
          <w:spacing w:val="-3"/>
          <w:sz w:val="12"/>
        </w:rPr>
        <w:t xml:space="preserve"> </w:t>
      </w:r>
      <w:r>
        <w:rPr>
          <w:sz w:val="12"/>
        </w:rPr>
        <w:t>no</w:t>
      </w:r>
      <w:r>
        <w:rPr>
          <w:spacing w:val="40"/>
          <w:sz w:val="12"/>
        </w:rPr>
        <w:t xml:space="preserve"> </w:t>
      </w:r>
      <w:r>
        <w:rPr>
          <w:sz w:val="12"/>
        </w:rPr>
        <w:t>siempre</w:t>
      </w:r>
      <w:r>
        <w:rPr>
          <w:spacing w:val="-6"/>
          <w:sz w:val="12"/>
        </w:rPr>
        <w:t xml:space="preserve"> </w:t>
      </w:r>
      <w:r>
        <w:rPr>
          <w:sz w:val="12"/>
        </w:rPr>
        <w:t>se</w:t>
      </w:r>
      <w:r>
        <w:rPr>
          <w:spacing w:val="-6"/>
          <w:sz w:val="12"/>
        </w:rPr>
        <w:t xml:space="preserve"> </w:t>
      </w:r>
      <w:r>
        <w:rPr>
          <w:sz w:val="12"/>
        </w:rPr>
        <w:t>trata</w:t>
      </w:r>
      <w:r>
        <w:rPr>
          <w:spacing w:val="-6"/>
          <w:sz w:val="12"/>
        </w:rPr>
        <w:t xml:space="preserve"> </w:t>
      </w:r>
      <w:r>
        <w:rPr>
          <w:sz w:val="12"/>
        </w:rPr>
        <w:t>como</w:t>
      </w:r>
      <w:r>
        <w:rPr>
          <w:spacing w:val="-6"/>
          <w:sz w:val="12"/>
        </w:rPr>
        <w:t xml:space="preserve"> </w:t>
      </w:r>
      <w:r>
        <w:rPr>
          <w:sz w:val="12"/>
        </w:rPr>
        <w:t>una</w:t>
      </w:r>
      <w:r>
        <w:rPr>
          <w:spacing w:val="-6"/>
          <w:sz w:val="12"/>
        </w:rPr>
        <w:t xml:space="preserve"> </w:t>
      </w:r>
      <w:r>
        <w:rPr>
          <w:sz w:val="12"/>
        </w:rPr>
        <w:t>forma</w:t>
      </w:r>
      <w:r>
        <w:rPr>
          <w:spacing w:val="-6"/>
          <w:sz w:val="12"/>
        </w:rPr>
        <w:t xml:space="preserve"> </w:t>
      </w:r>
      <w:r>
        <w:rPr>
          <w:sz w:val="12"/>
        </w:rPr>
        <w:t>distinta</w:t>
      </w:r>
      <w:r>
        <w:rPr>
          <w:spacing w:val="-6"/>
          <w:sz w:val="12"/>
        </w:rPr>
        <w:t xml:space="preserve"> </w:t>
      </w:r>
      <w:r>
        <w:rPr>
          <w:sz w:val="12"/>
        </w:rPr>
        <w:t>de</w:t>
      </w:r>
      <w:r>
        <w:rPr>
          <w:spacing w:val="-6"/>
          <w:sz w:val="12"/>
        </w:rPr>
        <w:t xml:space="preserve"> </w:t>
      </w:r>
      <w:r>
        <w:rPr>
          <w:sz w:val="12"/>
        </w:rPr>
        <w:t>discriminación.</w:t>
      </w:r>
      <w:r>
        <w:rPr>
          <w:spacing w:val="-5"/>
          <w:sz w:val="12"/>
        </w:rPr>
        <w:t xml:space="preserve"> </w:t>
      </w:r>
      <w:r>
        <w:rPr>
          <w:sz w:val="12"/>
        </w:rPr>
        <w:t>En</w:t>
      </w:r>
      <w:r>
        <w:rPr>
          <w:spacing w:val="-6"/>
          <w:sz w:val="12"/>
        </w:rPr>
        <w:t xml:space="preserve"> </w:t>
      </w:r>
      <w:r>
        <w:rPr>
          <w:sz w:val="12"/>
        </w:rPr>
        <w:t>el</w:t>
      </w:r>
      <w:r>
        <w:rPr>
          <w:spacing w:val="-6"/>
          <w:sz w:val="12"/>
        </w:rPr>
        <w:t xml:space="preserve"> </w:t>
      </w:r>
      <w:r>
        <w:rPr>
          <w:sz w:val="12"/>
        </w:rPr>
        <w:t>derecho</w:t>
      </w:r>
      <w:r>
        <w:rPr>
          <w:spacing w:val="-6"/>
          <w:sz w:val="12"/>
        </w:rPr>
        <w:t xml:space="preserve"> </w:t>
      </w:r>
      <w:r>
        <w:rPr>
          <w:sz w:val="12"/>
        </w:rPr>
        <w:t>internacional,</w:t>
      </w:r>
      <w:r>
        <w:rPr>
          <w:spacing w:val="-5"/>
          <w:sz w:val="12"/>
        </w:rPr>
        <w:t xml:space="preserve"> </w:t>
      </w:r>
      <w:r>
        <w:rPr>
          <w:sz w:val="12"/>
        </w:rPr>
        <w:t>la</w:t>
      </w:r>
      <w:r>
        <w:rPr>
          <w:spacing w:val="-6"/>
          <w:sz w:val="12"/>
        </w:rPr>
        <w:t xml:space="preserve"> </w:t>
      </w:r>
      <w:r>
        <w:rPr>
          <w:sz w:val="12"/>
        </w:rPr>
        <w:t>victimización</w:t>
      </w:r>
      <w:r>
        <w:rPr>
          <w:spacing w:val="-6"/>
          <w:sz w:val="12"/>
        </w:rPr>
        <w:t xml:space="preserve"> </w:t>
      </w:r>
      <w:r>
        <w:rPr>
          <w:sz w:val="12"/>
        </w:rPr>
        <w:t>se</w:t>
      </w:r>
      <w:r>
        <w:rPr>
          <w:spacing w:val="-6"/>
          <w:sz w:val="12"/>
        </w:rPr>
        <w:t xml:space="preserve"> </w:t>
      </w:r>
      <w:r>
        <w:rPr>
          <w:sz w:val="12"/>
        </w:rPr>
        <w:t>ha</w:t>
      </w:r>
      <w:r>
        <w:rPr>
          <w:spacing w:val="-6"/>
          <w:sz w:val="12"/>
        </w:rPr>
        <w:t xml:space="preserve"> </w:t>
      </w:r>
      <w:r>
        <w:rPr>
          <w:sz w:val="12"/>
        </w:rPr>
        <w:t>discutido</w:t>
      </w:r>
      <w:r>
        <w:rPr>
          <w:spacing w:val="-6"/>
          <w:sz w:val="12"/>
        </w:rPr>
        <w:t xml:space="preserve"> </w:t>
      </w:r>
      <w:r>
        <w:rPr>
          <w:sz w:val="12"/>
        </w:rPr>
        <w:t>con</w:t>
      </w:r>
      <w:r>
        <w:rPr>
          <w:spacing w:val="-6"/>
          <w:sz w:val="12"/>
        </w:rPr>
        <w:t xml:space="preserve"> </w:t>
      </w:r>
      <w:r>
        <w:rPr>
          <w:sz w:val="12"/>
        </w:rPr>
        <w:t>frecuencia</w:t>
      </w:r>
      <w:r>
        <w:rPr>
          <w:spacing w:val="-6"/>
          <w:sz w:val="12"/>
        </w:rPr>
        <w:t xml:space="preserve"> </w:t>
      </w:r>
      <w:r>
        <w:rPr>
          <w:sz w:val="12"/>
        </w:rPr>
        <w:t>como</w:t>
      </w:r>
      <w:r>
        <w:rPr>
          <w:spacing w:val="-6"/>
          <w:sz w:val="12"/>
        </w:rPr>
        <w:t xml:space="preserve"> </w:t>
      </w:r>
      <w:r>
        <w:rPr>
          <w:sz w:val="12"/>
        </w:rPr>
        <w:t>parte</w:t>
      </w:r>
      <w:r>
        <w:rPr>
          <w:spacing w:val="-6"/>
          <w:sz w:val="12"/>
        </w:rPr>
        <w:t xml:space="preserve"> </w:t>
      </w:r>
      <w:r>
        <w:rPr>
          <w:sz w:val="12"/>
        </w:rPr>
        <w:t>de</w:t>
      </w:r>
      <w:r>
        <w:rPr>
          <w:spacing w:val="-6"/>
          <w:sz w:val="12"/>
        </w:rPr>
        <w:t xml:space="preserve"> </w:t>
      </w:r>
      <w:r>
        <w:rPr>
          <w:sz w:val="12"/>
        </w:rPr>
        <w:t>las</w:t>
      </w:r>
      <w:r>
        <w:rPr>
          <w:spacing w:val="-6"/>
          <w:sz w:val="12"/>
        </w:rPr>
        <w:t xml:space="preserve"> </w:t>
      </w:r>
      <w:r>
        <w:rPr>
          <w:sz w:val="12"/>
        </w:rPr>
        <w:t>obligaciones</w:t>
      </w:r>
      <w:r>
        <w:rPr>
          <w:spacing w:val="-6"/>
          <w:sz w:val="12"/>
        </w:rPr>
        <w:t xml:space="preserve"> </w:t>
      </w:r>
      <w:r>
        <w:rPr>
          <w:sz w:val="12"/>
        </w:rPr>
        <w:t>de</w:t>
      </w:r>
      <w:r>
        <w:rPr>
          <w:spacing w:val="40"/>
          <w:sz w:val="12"/>
        </w:rPr>
        <w:t xml:space="preserve"> </w:t>
      </w:r>
      <w:r>
        <w:rPr>
          <w:sz w:val="12"/>
        </w:rPr>
        <w:t>los Estados de garantizar el acceso a la justicia.</w:t>
      </w:r>
    </w:p>
    <w:p w14:paraId="0742C560" w14:textId="77777777" w:rsidR="0014798C" w:rsidRDefault="0014798C">
      <w:pPr>
        <w:pStyle w:val="Textoindependiente"/>
        <w:rPr>
          <w:sz w:val="19"/>
        </w:rPr>
      </w:pPr>
    </w:p>
    <w:p w14:paraId="279AB3DE" w14:textId="77777777" w:rsidR="0014798C" w:rsidRDefault="0014798C">
      <w:pPr>
        <w:pStyle w:val="Textoindependiente"/>
        <w:spacing w:before="159"/>
        <w:rPr>
          <w:sz w:val="19"/>
        </w:rPr>
      </w:pPr>
    </w:p>
    <w:p w14:paraId="74F303C4" w14:textId="77777777" w:rsidR="0014798C" w:rsidRDefault="004E1F0B">
      <w:pPr>
        <w:ind w:right="722"/>
        <w:jc w:val="right"/>
        <w:rPr>
          <w:sz w:val="19"/>
        </w:rPr>
      </w:pPr>
      <w:r>
        <w:rPr>
          <w:spacing w:val="-5"/>
          <w:sz w:val="19"/>
        </w:rPr>
        <w:t>29</w:t>
      </w:r>
    </w:p>
    <w:p w14:paraId="29E47848" w14:textId="77777777" w:rsidR="0014798C" w:rsidRDefault="0014798C">
      <w:pPr>
        <w:jc w:val="right"/>
        <w:rPr>
          <w:sz w:val="19"/>
        </w:rPr>
        <w:sectPr w:rsidR="0014798C" w:rsidSect="00F265E4">
          <w:type w:val="continuous"/>
          <w:pgSz w:w="11900" w:h="16820"/>
          <w:pgMar w:top="40" w:right="0" w:bottom="280" w:left="200" w:header="121" w:footer="0" w:gutter="0"/>
          <w:cols w:space="720"/>
        </w:sectPr>
      </w:pPr>
    </w:p>
    <w:p w14:paraId="3CE72238" w14:textId="77777777" w:rsidR="0014798C" w:rsidRDefault="0014798C">
      <w:pPr>
        <w:pStyle w:val="Textoindependiente"/>
        <w:spacing w:before="85"/>
        <w:rPr>
          <w:sz w:val="12"/>
        </w:rPr>
      </w:pPr>
    </w:p>
    <w:p w14:paraId="0A18A3CD" w14:textId="77777777" w:rsidR="0014798C" w:rsidRDefault="004E1F0B">
      <w:pPr>
        <w:ind w:left="1111"/>
        <w:rPr>
          <w:sz w:val="12"/>
        </w:rPr>
      </w:pPr>
      <w:r>
        <w:rPr>
          <w:color w:val="00AC59"/>
          <w:sz w:val="12"/>
        </w:rPr>
        <w:t>PROTECCIÓN</w:t>
      </w:r>
      <w:r>
        <w:rPr>
          <w:color w:val="00AC59"/>
          <w:spacing w:val="6"/>
          <w:sz w:val="12"/>
        </w:rPr>
        <w:t xml:space="preserve"> </w:t>
      </w:r>
      <w:r>
        <w:rPr>
          <w:color w:val="00AC59"/>
          <w:sz w:val="12"/>
        </w:rPr>
        <w:t>DE</w:t>
      </w:r>
      <w:r>
        <w:rPr>
          <w:color w:val="00AC59"/>
          <w:spacing w:val="7"/>
          <w:sz w:val="12"/>
        </w:rPr>
        <w:t xml:space="preserve"> </w:t>
      </w:r>
      <w:r>
        <w:rPr>
          <w:color w:val="00AC59"/>
          <w:sz w:val="12"/>
        </w:rPr>
        <w:t>LOS</w:t>
      </w:r>
      <w:r>
        <w:rPr>
          <w:color w:val="00AC59"/>
          <w:spacing w:val="8"/>
          <w:sz w:val="12"/>
        </w:rPr>
        <w:t xml:space="preserve"> </w:t>
      </w:r>
      <w:r>
        <w:rPr>
          <w:color w:val="00AC59"/>
          <w:sz w:val="12"/>
        </w:rPr>
        <w:t>DERECHOS</w:t>
      </w:r>
      <w:r>
        <w:rPr>
          <w:color w:val="00AC59"/>
          <w:spacing w:val="8"/>
          <w:sz w:val="12"/>
        </w:rPr>
        <w:t xml:space="preserve"> </w:t>
      </w:r>
      <w:r>
        <w:rPr>
          <w:color w:val="00AC59"/>
          <w:sz w:val="12"/>
        </w:rPr>
        <w:t>DE</w:t>
      </w:r>
      <w:r>
        <w:rPr>
          <w:color w:val="00AC59"/>
          <w:spacing w:val="6"/>
          <w:sz w:val="12"/>
        </w:rPr>
        <w:t xml:space="preserve"> </w:t>
      </w:r>
      <w:r>
        <w:rPr>
          <w:color w:val="00AC59"/>
          <w:sz w:val="12"/>
        </w:rPr>
        <w:t>LAS</w:t>
      </w:r>
      <w:r>
        <w:rPr>
          <w:color w:val="00AC59"/>
          <w:spacing w:val="7"/>
          <w:sz w:val="12"/>
        </w:rPr>
        <w:t xml:space="preserve"> </w:t>
      </w:r>
      <w:r>
        <w:rPr>
          <w:color w:val="00AC59"/>
          <w:sz w:val="12"/>
        </w:rPr>
        <w:t>MINORÍAS:</w:t>
      </w:r>
      <w:r>
        <w:rPr>
          <w:color w:val="00AC59"/>
          <w:spacing w:val="8"/>
          <w:sz w:val="12"/>
        </w:rPr>
        <w:t xml:space="preserve"> </w:t>
      </w:r>
      <w:r>
        <w:rPr>
          <w:color w:val="00AC59"/>
          <w:sz w:val="12"/>
        </w:rPr>
        <w:t>una</w:t>
      </w:r>
      <w:r>
        <w:rPr>
          <w:color w:val="00AC59"/>
          <w:spacing w:val="7"/>
          <w:sz w:val="12"/>
        </w:rPr>
        <w:t xml:space="preserve"> </w:t>
      </w:r>
      <w:r>
        <w:rPr>
          <w:color w:val="00AC59"/>
          <w:sz w:val="12"/>
        </w:rPr>
        <w:t>guía</w:t>
      </w:r>
      <w:r>
        <w:rPr>
          <w:color w:val="00AC59"/>
          <w:spacing w:val="6"/>
          <w:sz w:val="12"/>
        </w:rPr>
        <w:t xml:space="preserve"> </w:t>
      </w:r>
      <w:r>
        <w:rPr>
          <w:color w:val="00AC59"/>
          <w:sz w:val="12"/>
        </w:rPr>
        <w:t>práctica</w:t>
      </w:r>
      <w:r>
        <w:rPr>
          <w:color w:val="00AC59"/>
          <w:spacing w:val="7"/>
          <w:sz w:val="12"/>
        </w:rPr>
        <w:t xml:space="preserve"> </w:t>
      </w:r>
      <w:r>
        <w:rPr>
          <w:color w:val="00AC59"/>
          <w:sz w:val="12"/>
        </w:rPr>
        <w:t>para</w:t>
      </w:r>
      <w:r>
        <w:rPr>
          <w:color w:val="00AC59"/>
          <w:spacing w:val="8"/>
          <w:sz w:val="12"/>
        </w:rPr>
        <w:t xml:space="preserve"> </w:t>
      </w:r>
      <w:r>
        <w:rPr>
          <w:color w:val="00AC59"/>
          <w:sz w:val="12"/>
        </w:rPr>
        <w:t>desarrollar</w:t>
      </w:r>
      <w:r>
        <w:rPr>
          <w:color w:val="00AC59"/>
          <w:spacing w:val="6"/>
          <w:sz w:val="12"/>
        </w:rPr>
        <w:t xml:space="preserve"> </w:t>
      </w:r>
      <w:r>
        <w:rPr>
          <w:color w:val="00AC59"/>
          <w:sz w:val="12"/>
        </w:rPr>
        <w:t>una</w:t>
      </w:r>
      <w:r>
        <w:rPr>
          <w:color w:val="00AC59"/>
          <w:spacing w:val="7"/>
          <w:sz w:val="12"/>
        </w:rPr>
        <w:t xml:space="preserve"> </w:t>
      </w:r>
      <w:r>
        <w:rPr>
          <w:color w:val="00AC59"/>
          <w:sz w:val="12"/>
        </w:rPr>
        <w:t>legislación</w:t>
      </w:r>
      <w:r>
        <w:rPr>
          <w:color w:val="00AC59"/>
          <w:spacing w:val="8"/>
          <w:sz w:val="12"/>
        </w:rPr>
        <w:t xml:space="preserve"> </w:t>
      </w:r>
      <w:r>
        <w:rPr>
          <w:color w:val="00AC59"/>
          <w:sz w:val="12"/>
        </w:rPr>
        <w:t>integral</w:t>
      </w:r>
      <w:r>
        <w:rPr>
          <w:color w:val="00AC59"/>
          <w:spacing w:val="7"/>
          <w:sz w:val="12"/>
        </w:rPr>
        <w:t xml:space="preserve"> </w:t>
      </w:r>
      <w:r>
        <w:rPr>
          <w:color w:val="00AC59"/>
          <w:sz w:val="12"/>
        </w:rPr>
        <w:t>contra</w:t>
      </w:r>
      <w:r>
        <w:rPr>
          <w:color w:val="00AC59"/>
          <w:spacing w:val="6"/>
          <w:sz w:val="12"/>
        </w:rPr>
        <w:t xml:space="preserve"> </w:t>
      </w:r>
      <w:r>
        <w:rPr>
          <w:color w:val="00AC59"/>
          <w:sz w:val="12"/>
        </w:rPr>
        <w:t>la</w:t>
      </w:r>
      <w:r>
        <w:rPr>
          <w:color w:val="00AC59"/>
          <w:spacing w:val="7"/>
          <w:sz w:val="12"/>
        </w:rPr>
        <w:t xml:space="preserve"> </w:t>
      </w:r>
      <w:r>
        <w:rPr>
          <w:color w:val="00AC59"/>
          <w:spacing w:val="-2"/>
          <w:sz w:val="12"/>
        </w:rPr>
        <w:t>discriminación</w:t>
      </w:r>
    </w:p>
    <w:p w14:paraId="6E50A0B3" w14:textId="77777777" w:rsidR="0014798C" w:rsidRDefault="0014798C">
      <w:pPr>
        <w:pStyle w:val="Textoindependiente"/>
        <w:rPr>
          <w:sz w:val="15"/>
        </w:rPr>
      </w:pPr>
    </w:p>
    <w:p w14:paraId="2631D9D5" w14:textId="77777777" w:rsidR="0014798C" w:rsidRDefault="0014798C">
      <w:pPr>
        <w:pStyle w:val="Textoindependiente"/>
        <w:rPr>
          <w:sz w:val="15"/>
        </w:rPr>
      </w:pPr>
    </w:p>
    <w:p w14:paraId="617E7BF2" w14:textId="77777777" w:rsidR="0014798C" w:rsidRDefault="0014798C">
      <w:pPr>
        <w:pStyle w:val="Textoindependiente"/>
        <w:rPr>
          <w:sz w:val="15"/>
        </w:rPr>
      </w:pPr>
    </w:p>
    <w:p w14:paraId="4C65DC43" w14:textId="77777777" w:rsidR="0014798C" w:rsidRDefault="0014798C">
      <w:pPr>
        <w:pStyle w:val="Textoindependiente"/>
        <w:rPr>
          <w:sz w:val="15"/>
        </w:rPr>
      </w:pPr>
    </w:p>
    <w:p w14:paraId="7ABFDF03" w14:textId="77777777" w:rsidR="0014798C" w:rsidRDefault="0014798C">
      <w:pPr>
        <w:pStyle w:val="Textoindependiente"/>
        <w:spacing w:before="138"/>
        <w:rPr>
          <w:sz w:val="15"/>
        </w:rPr>
      </w:pPr>
    </w:p>
    <w:p w14:paraId="2DDB6CC7" w14:textId="77777777" w:rsidR="0014798C" w:rsidRDefault="004E1F0B">
      <w:pPr>
        <w:spacing w:line="348" w:lineRule="auto"/>
        <w:ind w:left="1108" w:right="1272" w:firstLine="4"/>
        <w:rPr>
          <w:sz w:val="15"/>
        </w:rPr>
      </w:pPr>
      <w:r>
        <w:rPr>
          <w:w w:val="105"/>
          <w:sz w:val="15"/>
        </w:rPr>
        <w:t>Se</w:t>
      </w:r>
      <w:r>
        <w:rPr>
          <w:spacing w:val="-10"/>
          <w:w w:val="105"/>
          <w:sz w:val="15"/>
        </w:rPr>
        <w:t xml:space="preserve"> </w:t>
      </w:r>
      <w:r>
        <w:rPr>
          <w:w w:val="105"/>
          <w:sz w:val="15"/>
        </w:rPr>
        <w:t>pueden</w:t>
      </w:r>
      <w:r>
        <w:rPr>
          <w:spacing w:val="-10"/>
          <w:w w:val="105"/>
          <w:sz w:val="15"/>
        </w:rPr>
        <w:t xml:space="preserve"> </w:t>
      </w:r>
      <w:r>
        <w:rPr>
          <w:w w:val="105"/>
          <w:sz w:val="15"/>
        </w:rPr>
        <w:t>observar</w:t>
      </w:r>
      <w:r>
        <w:rPr>
          <w:spacing w:val="-10"/>
          <w:w w:val="105"/>
          <w:sz w:val="15"/>
        </w:rPr>
        <w:t xml:space="preserve"> </w:t>
      </w:r>
      <w:r>
        <w:rPr>
          <w:w w:val="105"/>
          <w:sz w:val="15"/>
        </w:rPr>
        <w:t>diferencias</w:t>
      </w:r>
      <w:r>
        <w:rPr>
          <w:spacing w:val="-10"/>
          <w:w w:val="105"/>
          <w:sz w:val="15"/>
        </w:rPr>
        <w:t xml:space="preserve"> </w:t>
      </w:r>
      <w:r>
        <w:rPr>
          <w:w w:val="105"/>
          <w:sz w:val="15"/>
        </w:rPr>
        <w:t>entre</w:t>
      </w:r>
      <w:r>
        <w:rPr>
          <w:spacing w:val="-10"/>
          <w:w w:val="105"/>
          <w:sz w:val="15"/>
        </w:rPr>
        <w:t xml:space="preserve"> </w:t>
      </w:r>
      <w:r>
        <w:rPr>
          <w:w w:val="105"/>
          <w:sz w:val="15"/>
        </w:rPr>
        <w:t>los</w:t>
      </w:r>
      <w:r>
        <w:rPr>
          <w:spacing w:val="-10"/>
          <w:w w:val="105"/>
          <w:sz w:val="15"/>
        </w:rPr>
        <w:t xml:space="preserve"> </w:t>
      </w:r>
      <w:r>
        <w:rPr>
          <w:w w:val="105"/>
          <w:sz w:val="15"/>
        </w:rPr>
        <w:t>mecanismos</w:t>
      </w:r>
      <w:r>
        <w:rPr>
          <w:spacing w:val="-10"/>
          <w:w w:val="105"/>
          <w:sz w:val="15"/>
        </w:rPr>
        <w:t xml:space="preserve"> </w:t>
      </w:r>
      <w:r>
        <w:rPr>
          <w:w w:val="105"/>
          <w:sz w:val="15"/>
        </w:rPr>
        <w:t>de</w:t>
      </w:r>
      <w:r>
        <w:rPr>
          <w:spacing w:val="-10"/>
          <w:w w:val="105"/>
          <w:sz w:val="15"/>
        </w:rPr>
        <w:t xml:space="preserve"> </w:t>
      </w:r>
      <w:r>
        <w:rPr>
          <w:w w:val="105"/>
          <w:sz w:val="15"/>
        </w:rPr>
        <w:t>derechos</w:t>
      </w:r>
      <w:r>
        <w:rPr>
          <w:spacing w:val="-10"/>
          <w:w w:val="105"/>
          <w:sz w:val="15"/>
        </w:rPr>
        <w:t xml:space="preserve"> </w:t>
      </w:r>
      <w:r>
        <w:rPr>
          <w:w w:val="105"/>
          <w:sz w:val="15"/>
        </w:rPr>
        <w:t>humanos</w:t>
      </w:r>
      <w:r>
        <w:rPr>
          <w:spacing w:val="-10"/>
          <w:w w:val="105"/>
          <w:sz w:val="15"/>
        </w:rPr>
        <w:t xml:space="preserve"> </w:t>
      </w:r>
      <w:r>
        <w:rPr>
          <w:w w:val="105"/>
          <w:sz w:val="15"/>
        </w:rPr>
        <w:t>con</w:t>
      </w:r>
      <w:r>
        <w:rPr>
          <w:spacing w:val="-10"/>
          <w:w w:val="105"/>
          <w:sz w:val="15"/>
        </w:rPr>
        <w:t xml:space="preserve"> </w:t>
      </w:r>
      <w:r>
        <w:rPr>
          <w:w w:val="105"/>
          <w:sz w:val="15"/>
        </w:rPr>
        <w:t>respecto</w:t>
      </w:r>
      <w:r>
        <w:rPr>
          <w:spacing w:val="-10"/>
          <w:w w:val="105"/>
          <w:sz w:val="15"/>
        </w:rPr>
        <w:t xml:space="preserve"> </w:t>
      </w:r>
      <w:r>
        <w:rPr>
          <w:w w:val="105"/>
          <w:sz w:val="15"/>
        </w:rPr>
        <w:t>a</w:t>
      </w:r>
      <w:r>
        <w:rPr>
          <w:spacing w:val="-10"/>
          <w:w w:val="105"/>
          <w:sz w:val="15"/>
        </w:rPr>
        <w:t xml:space="preserve"> </w:t>
      </w:r>
      <w:r>
        <w:rPr>
          <w:w w:val="105"/>
          <w:sz w:val="15"/>
        </w:rPr>
        <w:t>estos</w:t>
      </w:r>
      <w:r>
        <w:rPr>
          <w:spacing w:val="-10"/>
          <w:w w:val="105"/>
          <w:sz w:val="15"/>
        </w:rPr>
        <w:t xml:space="preserve"> </w:t>
      </w:r>
      <w:r>
        <w:rPr>
          <w:w w:val="105"/>
          <w:sz w:val="15"/>
        </w:rPr>
        <w:t>conceptos</w:t>
      </w:r>
      <w:r>
        <w:rPr>
          <w:spacing w:val="-10"/>
          <w:w w:val="105"/>
          <w:sz w:val="15"/>
        </w:rPr>
        <w:t xml:space="preserve"> </w:t>
      </w:r>
      <w:r>
        <w:rPr>
          <w:w w:val="105"/>
          <w:sz w:val="15"/>
        </w:rPr>
        <w:t>y,</w:t>
      </w:r>
      <w:r>
        <w:rPr>
          <w:spacing w:val="-10"/>
          <w:w w:val="105"/>
          <w:sz w:val="15"/>
        </w:rPr>
        <w:t xml:space="preserve"> </w:t>
      </w:r>
      <w:r>
        <w:rPr>
          <w:w w:val="105"/>
          <w:sz w:val="15"/>
        </w:rPr>
        <w:t>cuando</w:t>
      </w:r>
      <w:r>
        <w:rPr>
          <w:spacing w:val="-10"/>
          <w:w w:val="105"/>
          <w:sz w:val="15"/>
        </w:rPr>
        <w:t xml:space="preserve"> </w:t>
      </w:r>
      <w:r>
        <w:rPr>
          <w:w w:val="105"/>
          <w:sz w:val="15"/>
        </w:rPr>
        <w:t>se</w:t>
      </w:r>
      <w:r>
        <w:rPr>
          <w:spacing w:val="-10"/>
          <w:w w:val="105"/>
          <w:sz w:val="15"/>
        </w:rPr>
        <w:t xml:space="preserve"> </w:t>
      </w:r>
      <w:r>
        <w:rPr>
          <w:w w:val="105"/>
          <w:sz w:val="15"/>
        </w:rPr>
        <w:t>aplican</w:t>
      </w:r>
      <w:r>
        <w:rPr>
          <w:spacing w:val="-10"/>
          <w:w w:val="105"/>
          <w:sz w:val="15"/>
        </w:rPr>
        <w:t xml:space="preserve"> </w:t>
      </w:r>
      <w:r>
        <w:rPr>
          <w:w w:val="105"/>
          <w:sz w:val="15"/>
        </w:rPr>
        <w:t>a casos</w:t>
      </w:r>
      <w:r>
        <w:rPr>
          <w:spacing w:val="-4"/>
          <w:w w:val="105"/>
          <w:sz w:val="15"/>
        </w:rPr>
        <w:t xml:space="preserve"> </w:t>
      </w:r>
      <w:r>
        <w:rPr>
          <w:w w:val="105"/>
          <w:sz w:val="15"/>
        </w:rPr>
        <w:t>concretos,</w:t>
      </w:r>
      <w:r>
        <w:rPr>
          <w:spacing w:val="-4"/>
          <w:w w:val="105"/>
          <w:sz w:val="15"/>
        </w:rPr>
        <w:t xml:space="preserve"> </w:t>
      </w:r>
      <w:r>
        <w:rPr>
          <w:w w:val="105"/>
          <w:sz w:val="15"/>
        </w:rPr>
        <w:t>puede</w:t>
      </w:r>
      <w:r>
        <w:rPr>
          <w:spacing w:val="-4"/>
          <w:w w:val="105"/>
          <w:sz w:val="15"/>
        </w:rPr>
        <w:t xml:space="preserve"> </w:t>
      </w:r>
      <w:r>
        <w:rPr>
          <w:w w:val="105"/>
          <w:sz w:val="15"/>
        </w:rPr>
        <w:t>haber</w:t>
      </w:r>
      <w:r>
        <w:rPr>
          <w:spacing w:val="-4"/>
          <w:w w:val="105"/>
          <w:sz w:val="15"/>
        </w:rPr>
        <w:t xml:space="preserve"> </w:t>
      </w:r>
      <w:r>
        <w:rPr>
          <w:w w:val="105"/>
          <w:sz w:val="15"/>
        </w:rPr>
        <w:t>algunas</w:t>
      </w:r>
      <w:r>
        <w:rPr>
          <w:spacing w:val="-4"/>
          <w:w w:val="105"/>
          <w:sz w:val="15"/>
        </w:rPr>
        <w:t xml:space="preserve"> </w:t>
      </w:r>
      <w:r>
        <w:rPr>
          <w:w w:val="105"/>
          <w:sz w:val="15"/>
        </w:rPr>
        <w:t>áreas</w:t>
      </w:r>
      <w:r>
        <w:rPr>
          <w:spacing w:val="-4"/>
          <w:w w:val="105"/>
          <w:sz w:val="15"/>
        </w:rPr>
        <w:t xml:space="preserve"> </w:t>
      </w:r>
      <w:r>
        <w:rPr>
          <w:w w:val="105"/>
          <w:sz w:val="15"/>
        </w:rPr>
        <w:t>de</w:t>
      </w:r>
      <w:r>
        <w:rPr>
          <w:spacing w:val="-4"/>
          <w:w w:val="105"/>
          <w:sz w:val="15"/>
        </w:rPr>
        <w:t xml:space="preserve"> </w:t>
      </w:r>
      <w:r>
        <w:rPr>
          <w:w w:val="105"/>
          <w:sz w:val="15"/>
        </w:rPr>
        <w:t>superposición</w:t>
      </w:r>
      <w:r>
        <w:rPr>
          <w:spacing w:val="-4"/>
          <w:w w:val="105"/>
          <w:sz w:val="15"/>
        </w:rPr>
        <w:t xml:space="preserve"> </w:t>
      </w:r>
      <w:r>
        <w:rPr>
          <w:w w:val="105"/>
          <w:sz w:val="15"/>
        </w:rPr>
        <w:t>entre</w:t>
      </w:r>
      <w:r>
        <w:rPr>
          <w:spacing w:val="-4"/>
          <w:w w:val="105"/>
          <w:sz w:val="15"/>
        </w:rPr>
        <w:t xml:space="preserve"> </w:t>
      </w:r>
      <w:r>
        <w:rPr>
          <w:w w:val="105"/>
          <w:sz w:val="15"/>
        </w:rPr>
        <w:t>ellos.209</w:t>
      </w:r>
      <w:r>
        <w:rPr>
          <w:spacing w:val="-4"/>
          <w:w w:val="105"/>
          <w:sz w:val="15"/>
        </w:rPr>
        <w:t xml:space="preserve"> </w:t>
      </w:r>
      <w:r>
        <w:rPr>
          <w:w w:val="105"/>
          <w:sz w:val="15"/>
        </w:rPr>
        <w:t>Estos</w:t>
      </w:r>
      <w:r>
        <w:rPr>
          <w:spacing w:val="-5"/>
          <w:w w:val="105"/>
          <w:sz w:val="15"/>
        </w:rPr>
        <w:t xml:space="preserve"> </w:t>
      </w:r>
      <w:r>
        <w:rPr>
          <w:w w:val="105"/>
          <w:sz w:val="15"/>
        </w:rPr>
        <w:t>matices</w:t>
      </w:r>
      <w:r>
        <w:rPr>
          <w:spacing w:val="-4"/>
          <w:w w:val="105"/>
          <w:sz w:val="15"/>
        </w:rPr>
        <w:t xml:space="preserve"> </w:t>
      </w:r>
      <w:r>
        <w:rPr>
          <w:w w:val="105"/>
          <w:sz w:val="15"/>
        </w:rPr>
        <w:t>se</w:t>
      </w:r>
      <w:r>
        <w:rPr>
          <w:spacing w:val="-4"/>
          <w:w w:val="105"/>
          <w:sz w:val="15"/>
        </w:rPr>
        <w:t xml:space="preserve"> </w:t>
      </w:r>
      <w:r>
        <w:rPr>
          <w:w w:val="105"/>
          <w:sz w:val="15"/>
        </w:rPr>
        <w:t>analizan</w:t>
      </w:r>
      <w:r>
        <w:rPr>
          <w:spacing w:val="-4"/>
          <w:w w:val="105"/>
          <w:sz w:val="15"/>
        </w:rPr>
        <w:t xml:space="preserve"> </w:t>
      </w:r>
      <w:r>
        <w:rPr>
          <w:w w:val="105"/>
          <w:sz w:val="15"/>
        </w:rPr>
        <w:t>a</w:t>
      </w:r>
      <w:r>
        <w:rPr>
          <w:spacing w:val="-4"/>
          <w:w w:val="105"/>
          <w:sz w:val="15"/>
        </w:rPr>
        <w:t xml:space="preserve"> </w:t>
      </w:r>
      <w:r>
        <w:rPr>
          <w:w w:val="105"/>
          <w:sz w:val="15"/>
        </w:rPr>
        <w:t>continuación.</w:t>
      </w:r>
    </w:p>
    <w:p w14:paraId="55E8DD57" w14:textId="77777777" w:rsidR="0014798C" w:rsidRDefault="004E1F0B">
      <w:pPr>
        <w:spacing w:before="169" w:line="348" w:lineRule="auto"/>
        <w:ind w:left="1108" w:right="1166" w:firstLine="6"/>
        <w:rPr>
          <w:sz w:val="15"/>
        </w:rPr>
      </w:pPr>
      <w:r>
        <w:rPr>
          <w:w w:val="105"/>
          <w:sz w:val="15"/>
        </w:rPr>
        <w:t>Con</w:t>
      </w:r>
      <w:r>
        <w:rPr>
          <w:spacing w:val="-4"/>
          <w:w w:val="105"/>
          <w:sz w:val="15"/>
        </w:rPr>
        <w:t xml:space="preserve"> </w:t>
      </w:r>
      <w:r>
        <w:rPr>
          <w:w w:val="105"/>
          <w:sz w:val="15"/>
        </w:rPr>
        <w:t>el</w:t>
      </w:r>
      <w:r>
        <w:rPr>
          <w:spacing w:val="-4"/>
          <w:w w:val="105"/>
          <w:sz w:val="15"/>
        </w:rPr>
        <w:t xml:space="preserve"> </w:t>
      </w:r>
      <w:r>
        <w:rPr>
          <w:w w:val="105"/>
          <w:sz w:val="15"/>
        </w:rPr>
        <w:t>tiempo,</w:t>
      </w:r>
      <w:r>
        <w:rPr>
          <w:spacing w:val="-4"/>
          <w:w w:val="105"/>
          <w:sz w:val="15"/>
        </w:rPr>
        <w:t xml:space="preserve"> </w:t>
      </w:r>
      <w:r>
        <w:rPr>
          <w:w w:val="105"/>
          <w:sz w:val="15"/>
        </w:rPr>
        <w:t>a</w:t>
      </w:r>
      <w:r>
        <w:rPr>
          <w:spacing w:val="-4"/>
          <w:w w:val="105"/>
          <w:sz w:val="15"/>
        </w:rPr>
        <w:t xml:space="preserve"> </w:t>
      </w:r>
      <w:r>
        <w:rPr>
          <w:w w:val="105"/>
          <w:sz w:val="15"/>
        </w:rPr>
        <w:t>medida</w:t>
      </w:r>
      <w:r>
        <w:rPr>
          <w:spacing w:val="-4"/>
          <w:w w:val="105"/>
          <w:sz w:val="15"/>
        </w:rPr>
        <w:t xml:space="preserve"> </w:t>
      </w:r>
      <w:r>
        <w:rPr>
          <w:w w:val="105"/>
          <w:sz w:val="15"/>
        </w:rPr>
        <w:t>que</w:t>
      </w:r>
      <w:r>
        <w:rPr>
          <w:spacing w:val="-4"/>
          <w:w w:val="105"/>
          <w:sz w:val="15"/>
        </w:rPr>
        <w:t xml:space="preserve"> </w:t>
      </w:r>
      <w:r>
        <w:rPr>
          <w:w w:val="105"/>
          <w:sz w:val="15"/>
        </w:rPr>
        <w:t>se</w:t>
      </w:r>
      <w:r>
        <w:rPr>
          <w:spacing w:val="-4"/>
          <w:w w:val="105"/>
          <w:sz w:val="15"/>
        </w:rPr>
        <w:t xml:space="preserve"> </w:t>
      </w:r>
      <w:r>
        <w:rPr>
          <w:w w:val="105"/>
          <w:sz w:val="15"/>
        </w:rPr>
        <w:t>desarrolla</w:t>
      </w:r>
      <w:r>
        <w:rPr>
          <w:spacing w:val="-4"/>
          <w:w w:val="105"/>
          <w:sz w:val="15"/>
        </w:rPr>
        <w:t xml:space="preserve"> </w:t>
      </w:r>
      <w:r>
        <w:rPr>
          <w:w w:val="105"/>
          <w:sz w:val="15"/>
        </w:rPr>
        <w:t>la</w:t>
      </w:r>
      <w:r>
        <w:rPr>
          <w:spacing w:val="-4"/>
          <w:w w:val="105"/>
          <w:sz w:val="15"/>
        </w:rPr>
        <w:t xml:space="preserve"> </w:t>
      </w:r>
      <w:r>
        <w:rPr>
          <w:w w:val="105"/>
          <w:sz w:val="15"/>
        </w:rPr>
        <w:t>comprensión</w:t>
      </w:r>
      <w:r>
        <w:rPr>
          <w:spacing w:val="-4"/>
          <w:w w:val="105"/>
          <w:sz w:val="15"/>
        </w:rPr>
        <w:t xml:space="preserve"> </w:t>
      </w:r>
      <w:r>
        <w:rPr>
          <w:w w:val="105"/>
          <w:sz w:val="15"/>
        </w:rPr>
        <w:t>de</w:t>
      </w:r>
      <w:r>
        <w:rPr>
          <w:spacing w:val="-4"/>
          <w:w w:val="105"/>
          <w:sz w:val="15"/>
        </w:rPr>
        <w:t xml:space="preserve"> </w:t>
      </w:r>
      <w:r>
        <w:rPr>
          <w:w w:val="105"/>
          <w:sz w:val="15"/>
        </w:rPr>
        <w:t>los</w:t>
      </w:r>
      <w:r>
        <w:rPr>
          <w:spacing w:val="-4"/>
          <w:w w:val="105"/>
          <w:sz w:val="15"/>
        </w:rPr>
        <w:t xml:space="preserve"> </w:t>
      </w:r>
      <w:r>
        <w:rPr>
          <w:w w:val="105"/>
          <w:sz w:val="15"/>
        </w:rPr>
        <w:t>conceptos</w:t>
      </w:r>
      <w:r>
        <w:rPr>
          <w:spacing w:val="-4"/>
          <w:w w:val="105"/>
          <w:sz w:val="15"/>
        </w:rPr>
        <w:t xml:space="preserve"> </w:t>
      </w:r>
      <w:r>
        <w:rPr>
          <w:w w:val="105"/>
          <w:sz w:val="15"/>
        </w:rPr>
        <w:t>de</w:t>
      </w:r>
      <w:r>
        <w:rPr>
          <w:spacing w:val="-4"/>
          <w:w w:val="105"/>
          <w:sz w:val="15"/>
        </w:rPr>
        <w:t xml:space="preserve"> </w:t>
      </w:r>
      <w:r>
        <w:rPr>
          <w:w w:val="105"/>
          <w:sz w:val="15"/>
        </w:rPr>
        <w:t>discriminación</w:t>
      </w:r>
      <w:r>
        <w:rPr>
          <w:spacing w:val="-4"/>
          <w:w w:val="105"/>
          <w:sz w:val="15"/>
        </w:rPr>
        <w:t xml:space="preserve"> </w:t>
      </w:r>
      <w:r>
        <w:rPr>
          <w:w w:val="105"/>
          <w:sz w:val="15"/>
        </w:rPr>
        <w:t>y</w:t>
      </w:r>
      <w:r>
        <w:rPr>
          <w:spacing w:val="-4"/>
          <w:w w:val="105"/>
          <w:sz w:val="15"/>
        </w:rPr>
        <w:t xml:space="preserve"> </w:t>
      </w:r>
      <w:r>
        <w:rPr>
          <w:w w:val="105"/>
          <w:sz w:val="15"/>
        </w:rPr>
        <w:t>las</w:t>
      </w:r>
      <w:r>
        <w:rPr>
          <w:spacing w:val="-4"/>
          <w:w w:val="105"/>
          <w:sz w:val="15"/>
        </w:rPr>
        <w:t xml:space="preserve"> </w:t>
      </w:r>
      <w:r>
        <w:rPr>
          <w:w w:val="105"/>
          <w:sz w:val="15"/>
        </w:rPr>
        <w:t>experiencias</w:t>
      </w:r>
      <w:r>
        <w:rPr>
          <w:spacing w:val="-4"/>
          <w:w w:val="105"/>
          <w:sz w:val="15"/>
        </w:rPr>
        <w:t xml:space="preserve"> </w:t>
      </w:r>
      <w:r>
        <w:rPr>
          <w:w w:val="105"/>
          <w:sz w:val="15"/>
        </w:rPr>
        <w:t>de</w:t>
      </w:r>
      <w:r>
        <w:rPr>
          <w:spacing w:val="-4"/>
          <w:w w:val="105"/>
          <w:sz w:val="15"/>
        </w:rPr>
        <w:t xml:space="preserve"> </w:t>
      </w:r>
      <w:r>
        <w:rPr>
          <w:w w:val="105"/>
          <w:sz w:val="15"/>
        </w:rPr>
        <w:t>los</w:t>
      </w:r>
      <w:r>
        <w:rPr>
          <w:spacing w:val="-4"/>
          <w:w w:val="105"/>
          <w:sz w:val="15"/>
        </w:rPr>
        <w:t xml:space="preserve"> </w:t>
      </w:r>
      <w:r>
        <w:rPr>
          <w:w w:val="105"/>
          <w:sz w:val="15"/>
        </w:rPr>
        <w:t>grupos discriminados,</w:t>
      </w:r>
      <w:r>
        <w:rPr>
          <w:spacing w:val="-11"/>
          <w:w w:val="105"/>
          <w:sz w:val="15"/>
        </w:rPr>
        <w:t xml:space="preserve"> </w:t>
      </w:r>
      <w:r>
        <w:rPr>
          <w:w w:val="105"/>
          <w:sz w:val="15"/>
        </w:rPr>
        <w:t>se</w:t>
      </w:r>
      <w:r>
        <w:rPr>
          <w:spacing w:val="-11"/>
          <w:w w:val="105"/>
          <w:sz w:val="15"/>
        </w:rPr>
        <w:t xml:space="preserve"> </w:t>
      </w:r>
      <w:r>
        <w:rPr>
          <w:w w:val="105"/>
          <w:sz w:val="15"/>
        </w:rPr>
        <w:t>pueden</w:t>
      </w:r>
      <w:r>
        <w:rPr>
          <w:spacing w:val="-11"/>
          <w:w w:val="105"/>
          <w:sz w:val="15"/>
        </w:rPr>
        <w:t xml:space="preserve"> </w:t>
      </w:r>
      <w:r>
        <w:rPr>
          <w:w w:val="105"/>
          <w:sz w:val="15"/>
        </w:rPr>
        <w:t>identificar</w:t>
      </w:r>
      <w:r>
        <w:rPr>
          <w:spacing w:val="-11"/>
          <w:w w:val="105"/>
          <w:sz w:val="15"/>
        </w:rPr>
        <w:t xml:space="preserve"> </w:t>
      </w:r>
      <w:r>
        <w:rPr>
          <w:w w:val="105"/>
          <w:sz w:val="15"/>
        </w:rPr>
        <w:t>nuevas</w:t>
      </w:r>
      <w:r>
        <w:rPr>
          <w:spacing w:val="-11"/>
          <w:w w:val="105"/>
          <w:sz w:val="15"/>
        </w:rPr>
        <w:t xml:space="preserve"> </w:t>
      </w:r>
      <w:r>
        <w:rPr>
          <w:w w:val="105"/>
          <w:sz w:val="15"/>
        </w:rPr>
        <w:t>formas</w:t>
      </w:r>
      <w:r>
        <w:rPr>
          <w:spacing w:val="-11"/>
          <w:w w:val="105"/>
          <w:sz w:val="15"/>
        </w:rPr>
        <w:t xml:space="preserve"> </w:t>
      </w:r>
      <w:r>
        <w:rPr>
          <w:w w:val="105"/>
          <w:sz w:val="15"/>
        </w:rPr>
        <w:t>de</w:t>
      </w:r>
      <w:r>
        <w:rPr>
          <w:spacing w:val="-11"/>
          <w:w w:val="105"/>
          <w:sz w:val="15"/>
        </w:rPr>
        <w:t xml:space="preserve"> </w:t>
      </w:r>
      <w:r>
        <w:rPr>
          <w:w w:val="105"/>
          <w:sz w:val="15"/>
        </w:rPr>
        <w:t>discriminación</w:t>
      </w:r>
      <w:r>
        <w:rPr>
          <w:spacing w:val="-11"/>
          <w:w w:val="105"/>
          <w:sz w:val="15"/>
        </w:rPr>
        <w:t xml:space="preserve"> </w:t>
      </w:r>
      <w:r>
        <w:rPr>
          <w:w w:val="105"/>
          <w:sz w:val="15"/>
        </w:rPr>
        <w:t>que</w:t>
      </w:r>
      <w:r>
        <w:rPr>
          <w:spacing w:val="-11"/>
          <w:w w:val="105"/>
          <w:sz w:val="15"/>
        </w:rPr>
        <w:t xml:space="preserve"> </w:t>
      </w:r>
      <w:r>
        <w:rPr>
          <w:w w:val="105"/>
          <w:sz w:val="15"/>
        </w:rPr>
        <w:t>requieren</w:t>
      </w:r>
      <w:r>
        <w:rPr>
          <w:spacing w:val="-11"/>
          <w:w w:val="105"/>
          <w:sz w:val="15"/>
        </w:rPr>
        <w:t xml:space="preserve"> </w:t>
      </w:r>
      <w:r>
        <w:rPr>
          <w:w w:val="105"/>
          <w:sz w:val="15"/>
        </w:rPr>
        <w:t>sanción</w:t>
      </w:r>
      <w:r>
        <w:rPr>
          <w:spacing w:val="-11"/>
          <w:w w:val="105"/>
          <w:sz w:val="15"/>
        </w:rPr>
        <w:t xml:space="preserve"> </w:t>
      </w:r>
      <w:r>
        <w:rPr>
          <w:w w:val="105"/>
          <w:sz w:val="15"/>
        </w:rPr>
        <w:t>legal.210</w:t>
      </w:r>
      <w:r>
        <w:rPr>
          <w:spacing w:val="-11"/>
          <w:w w:val="105"/>
          <w:sz w:val="15"/>
        </w:rPr>
        <w:t xml:space="preserve"> </w:t>
      </w:r>
      <w:r>
        <w:rPr>
          <w:w w:val="105"/>
          <w:sz w:val="15"/>
        </w:rPr>
        <w:t>En</w:t>
      </w:r>
      <w:r>
        <w:rPr>
          <w:spacing w:val="-11"/>
          <w:w w:val="105"/>
          <w:sz w:val="15"/>
        </w:rPr>
        <w:t xml:space="preserve"> </w:t>
      </w:r>
      <w:r>
        <w:rPr>
          <w:w w:val="105"/>
          <w:sz w:val="15"/>
        </w:rPr>
        <w:t>todos</w:t>
      </w:r>
      <w:r>
        <w:rPr>
          <w:spacing w:val="-11"/>
          <w:w w:val="105"/>
          <w:sz w:val="15"/>
        </w:rPr>
        <w:t xml:space="preserve"> </w:t>
      </w:r>
      <w:r>
        <w:rPr>
          <w:w w:val="105"/>
          <w:sz w:val="15"/>
        </w:rPr>
        <w:t>los</w:t>
      </w:r>
      <w:r>
        <w:rPr>
          <w:spacing w:val="-11"/>
          <w:w w:val="105"/>
          <w:sz w:val="15"/>
        </w:rPr>
        <w:t xml:space="preserve"> </w:t>
      </w:r>
      <w:r>
        <w:rPr>
          <w:w w:val="105"/>
          <w:sz w:val="15"/>
        </w:rPr>
        <w:t>casos,</w:t>
      </w:r>
      <w:r>
        <w:rPr>
          <w:spacing w:val="-11"/>
          <w:w w:val="105"/>
          <w:sz w:val="15"/>
        </w:rPr>
        <w:t xml:space="preserve"> </w:t>
      </w:r>
      <w:r>
        <w:rPr>
          <w:w w:val="105"/>
          <w:sz w:val="15"/>
        </w:rPr>
        <w:t>es</w:t>
      </w:r>
      <w:r>
        <w:rPr>
          <w:spacing w:val="-10"/>
          <w:w w:val="105"/>
          <w:sz w:val="15"/>
        </w:rPr>
        <w:t xml:space="preserve"> </w:t>
      </w:r>
      <w:r>
        <w:rPr>
          <w:w w:val="105"/>
          <w:sz w:val="15"/>
        </w:rPr>
        <w:t>importante que</w:t>
      </w:r>
      <w:r>
        <w:rPr>
          <w:spacing w:val="-7"/>
          <w:w w:val="105"/>
          <w:sz w:val="15"/>
        </w:rPr>
        <w:t xml:space="preserve"> </w:t>
      </w:r>
      <w:r>
        <w:rPr>
          <w:w w:val="105"/>
          <w:sz w:val="15"/>
        </w:rPr>
        <w:t>una</w:t>
      </w:r>
      <w:r>
        <w:rPr>
          <w:spacing w:val="-7"/>
          <w:w w:val="105"/>
          <w:sz w:val="15"/>
        </w:rPr>
        <w:t xml:space="preserve"> </w:t>
      </w:r>
      <w:r>
        <w:rPr>
          <w:w w:val="105"/>
          <w:sz w:val="15"/>
        </w:rPr>
        <w:t>ley</w:t>
      </w:r>
      <w:r>
        <w:rPr>
          <w:spacing w:val="-7"/>
          <w:w w:val="105"/>
          <w:sz w:val="15"/>
        </w:rPr>
        <w:t xml:space="preserve"> </w:t>
      </w:r>
      <w:r>
        <w:rPr>
          <w:w w:val="105"/>
          <w:sz w:val="15"/>
        </w:rPr>
        <w:t>integral</w:t>
      </w:r>
      <w:r>
        <w:rPr>
          <w:spacing w:val="-7"/>
          <w:w w:val="105"/>
          <w:sz w:val="15"/>
        </w:rPr>
        <w:t xml:space="preserve"> </w:t>
      </w:r>
      <w:r>
        <w:rPr>
          <w:w w:val="105"/>
          <w:sz w:val="15"/>
        </w:rPr>
        <w:t>contra</w:t>
      </w:r>
      <w:r>
        <w:rPr>
          <w:spacing w:val="-7"/>
          <w:w w:val="105"/>
          <w:sz w:val="15"/>
        </w:rPr>
        <w:t xml:space="preserve"> </w:t>
      </w:r>
      <w:r>
        <w:rPr>
          <w:w w:val="105"/>
          <w:sz w:val="15"/>
        </w:rPr>
        <w:t>la</w:t>
      </w:r>
      <w:r>
        <w:rPr>
          <w:spacing w:val="-7"/>
          <w:w w:val="105"/>
          <w:sz w:val="15"/>
        </w:rPr>
        <w:t xml:space="preserve"> </w:t>
      </w:r>
      <w:r>
        <w:rPr>
          <w:w w:val="105"/>
          <w:sz w:val="15"/>
        </w:rPr>
        <w:t>discriminación</w:t>
      </w:r>
      <w:r>
        <w:rPr>
          <w:spacing w:val="-7"/>
          <w:w w:val="105"/>
          <w:sz w:val="15"/>
        </w:rPr>
        <w:t xml:space="preserve"> </w:t>
      </w:r>
      <w:r>
        <w:rPr>
          <w:w w:val="105"/>
          <w:sz w:val="15"/>
        </w:rPr>
        <w:t>proporcione</w:t>
      </w:r>
      <w:r>
        <w:rPr>
          <w:spacing w:val="-7"/>
          <w:w w:val="105"/>
          <w:sz w:val="15"/>
        </w:rPr>
        <w:t xml:space="preserve"> </w:t>
      </w:r>
      <w:r>
        <w:rPr>
          <w:w w:val="105"/>
          <w:sz w:val="15"/>
        </w:rPr>
        <w:t>protección</w:t>
      </w:r>
      <w:r>
        <w:rPr>
          <w:spacing w:val="-7"/>
          <w:w w:val="105"/>
          <w:sz w:val="15"/>
        </w:rPr>
        <w:t xml:space="preserve"> </w:t>
      </w:r>
      <w:r>
        <w:rPr>
          <w:w w:val="105"/>
          <w:sz w:val="15"/>
        </w:rPr>
        <w:t>efectiva</w:t>
      </w:r>
      <w:r>
        <w:rPr>
          <w:spacing w:val="-7"/>
          <w:w w:val="105"/>
          <w:sz w:val="15"/>
        </w:rPr>
        <w:t xml:space="preserve"> </w:t>
      </w:r>
      <w:r>
        <w:rPr>
          <w:w w:val="105"/>
          <w:sz w:val="15"/>
        </w:rPr>
        <w:t>contra</w:t>
      </w:r>
      <w:r>
        <w:rPr>
          <w:spacing w:val="-7"/>
          <w:w w:val="105"/>
          <w:sz w:val="15"/>
        </w:rPr>
        <w:t xml:space="preserve"> </w:t>
      </w:r>
      <w:r>
        <w:rPr>
          <w:w w:val="105"/>
          <w:sz w:val="15"/>
        </w:rPr>
        <w:t>todas</w:t>
      </w:r>
      <w:r>
        <w:rPr>
          <w:spacing w:val="-7"/>
          <w:w w:val="105"/>
          <w:sz w:val="15"/>
        </w:rPr>
        <w:t xml:space="preserve"> </w:t>
      </w:r>
      <w:r>
        <w:rPr>
          <w:w w:val="105"/>
          <w:sz w:val="15"/>
        </w:rPr>
        <w:t>las</w:t>
      </w:r>
      <w:r>
        <w:rPr>
          <w:spacing w:val="-7"/>
          <w:w w:val="105"/>
          <w:sz w:val="15"/>
        </w:rPr>
        <w:t xml:space="preserve"> </w:t>
      </w:r>
      <w:r>
        <w:rPr>
          <w:w w:val="105"/>
          <w:sz w:val="15"/>
        </w:rPr>
        <w:t>formas</w:t>
      </w:r>
      <w:r>
        <w:rPr>
          <w:spacing w:val="-7"/>
          <w:w w:val="105"/>
          <w:sz w:val="15"/>
        </w:rPr>
        <w:t xml:space="preserve"> </w:t>
      </w:r>
      <w:r>
        <w:rPr>
          <w:w w:val="105"/>
          <w:sz w:val="15"/>
        </w:rPr>
        <w:t>de</w:t>
      </w:r>
      <w:r>
        <w:rPr>
          <w:spacing w:val="-7"/>
          <w:w w:val="105"/>
          <w:sz w:val="15"/>
        </w:rPr>
        <w:t xml:space="preserve"> </w:t>
      </w:r>
      <w:r>
        <w:rPr>
          <w:w w:val="105"/>
          <w:sz w:val="15"/>
        </w:rPr>
        <w:t>discriminación.</w:t>
      </w:r>
      <w:r>
        <w:rPr>
          <w:spacing w:val="-6"/>
          <w:w w:val="105"/>
          <w:sz w:val="15"/>
        </w:rPr>
        <w:t xml:space="preserve"> </w:t>
      </w:r>
      <w:r>
        <w:rPr>
          <w:w w:val="105"/>
          <w:sz w:val="15"/>
        </w:rPr>
        <w:t>discriminación. Esto</w:t>
      </w:r>
      <w:r>
        <w:rPr>
          <w:spacing w:val="-5"/>
          <w:w w:val="105"/>
          <w:sz w:val="15"/>
        </w:rPr>
        <w:t xml:space="preserve"> </w:t>
      </w:r>
      <w:r>
        <w:rPr>
          <w:w w:val="105"/>
          <w:sz w:val="15"/>
        </w:rPr>
        <w:t>requiere,</w:t>
      </w:r>
      <w:r>
        <w:rPr>
          <w:spacing w:val="-4"/>
          <w:w w:val="105"/>
          <w:sz w:val="15"/>
        </w:rPr>
        <w:t xml:space="preserve"> </w:t>
      </w:r>
      <w:r>
        <w:rPr>
          <w:w w:val="105"/>
          <w:sz w:val="15"/>
        </w:rPr>
        <w:t>como</w:t>
      </w:r>
      <w:r>
        <w:rPr>
          <w:spacing w:val="-5"/>
          <w:w w:val="105"/>
          <w:sz w:val="15"/>
        </w:rPr>
        <w:t xml:space="preserve"> </w:t>
      </w:r>
      <w:r>
        <w:rPr>
          <w:w w:val="105"/>
          <w:sz w:val="15"/>
        </w:rPr>
        <w:t>mínimo,</w:t>
      </w:r>
      <w:r>
        <w:rPr>
          <w:spacing w:val="-5"/>
          <w:w w:val="105"/>
          <w:sz w:val="15"/>
        </w:rPr>
        <w:t xml:space="preserve"> </w:t>
      </w:r>
      <w:r>
        <w:rPr>
          <w:w w:val="105"/>
          <w:sz w:val="15"/>
        </w:rPr>
        <w:t>garantizar</w:t>
      </w:r>
      <w:r>
        <w:rPr>
          <w:spacing w:val="-5"/>
          <w:w w:val="105"/>
          <w:sz w:val="15"/>
        </w:rPr>
        <w:t xml:space="preserve"> </w:t>
      </w:r>
      <w:r>
        <w:rPr>
          <w:w w:val="105"/>
          <w:sz w:val="15"/>
        </w:rPr>
        <w:t>que</w:t>
      </w:r>
      <w:r>
        <w:rPr>
          <w:spacing w:val="-5"/>
          <w:w w:val="105"/>
          <w:sz w:val="15"/>
        </w:rPr>
        <w:t xml:space="preserve"> </w:t>
      </w:r>
      <w:r>
        <w:rPr>
          <w:w w:val="105"/>
          <w:sz w:val="15"/>
        </w:rPr>
        <w:t>todas</w:t>
      </w:r>
      <w:r>
        <w:rPr>
          <w:spacing w:val="-5"/>
          <w:w w:val="105"/>
          <w:sz w:val="15"/>
        </w:rPr>
        <w:t xml:space="preserve"> </w:t>
      </w:r>
      <w:r>
        <w:rPr>
          <w:w w:val="105"/>
          <w:sz w:val="15"/>
        </w:rPr>
        <w:t>las</w:t>
      </w:r>
      <w:r>
        <w:rPr>
          <w:spacing w:val="-5"/>
          <w:w w:val="105"/>
          <w:sz w:val="15"/>
        </w:rPr>
        <w:t xml:space="preserve"> </w:t>
      </w:r>
      <w:r>
        <w:rPr>
          <w:w w:val="105"/>
          <w:sz w:val="15"/>
        </w:rPr>
        <w:t>personas</w:t>
      </w:r>
      <w:r>
        <w:rPr>
          <w:spacing w:val="-5"/>
          <w:w w:val="105"/>
          <w:sz w:val="15"/>
        </w:rPr>
        <w:t xml:space="preserve"> </w:t>
      </w:r>
      <w:r>
        <w:rPr>
          <w:w w:val="105"/>
          <w:sz w:val="15"/>
        </w:rPr>
        <w:t>que</w:t>
      </w:r>
      <w:r>
        <w:rPr>
          <w:spacing w:val="-5"/>
          <w:w w:val="105"/>
          <w:sz w:val="15"/>
        </w:rPr>
        <w:t xml:space="preserve"> </w:t>
      </w:r>
      <w:r>
        <w:rPr>
          <w:w w:val="105"/>
          <w:sz w:val="15"/>
        </w:rPr>
        <w:t>experimenten</w:t>
      </w:r>
      <w:r>
        <w:rPr>
          <w:spacing w:val="-5"/>
          <w:w w:val="105"/>
          <w:sz w:val="15"/>
        </w:rPr>
        <w:t xml:space="preserve"> </w:t>
      </w:r>
      <w:r>
        <w:rPr>
          <w:w w:val="105"/>
          <w:sz w:val="15"/>
        </w:rPr>
        <w:t>cualquiera</w:t>
      </w:r>
      <w:r>
        <w:rPr>
          <w:spacing w:val="-5"/>
          <w:w w:val="105"/>
          <w:sz w:val="15"/>
        </w:rPr>
        <w:t xml:space="preserve"> </w:t>
      </w:r>
      <w:r>
        <w:rPr>
          <w:w w:val="105"/>
          <w:sz w:val="15"/>
        </w:rPr>
        <w:t>de</w:t>
      </w:r>
      <w:r>
        <w:rPr>
          <w:spacing w:val="-5"/>
          <w:w w:val="105"/>
          <w:sz w:val="15"/>
        </w:rPr>
        <w:t xml:space="preserve"> </w:t>
      </w:r>
      <w:r>
        <w:rPr>
          <w:w w:val="105"/>
          <w:sz w:val="15"/>
        </w:rPr>
        <w:t>los</w:t>
      </w:r>
      <w:r>
        <w:rPr>
          <w:spacing w:val="-5"/>
          <w:w w:val="105"/>
          <w:sz w:val="15"/>
        </w:rPr>
        <w:t xml:space="preserve"> </w:t>
      </w:r>
      <w:r>
        <w:rPr>
          <w:w w:val="105"/>
          <w:sz w:val="15"/>
        </w:rPr>
        <w:t>tipos</w:t>
      </w:r>
      <w:r>
        <w:rPr>
          <w:spacing w:val="-5"/>
          <w:w w:val="105"/>
          <w:sz w:val="15"/>
        </w:rPr>
        <w:t xml:space="preserve"> </w:t>
      </w:r>
      <w:r>
        <w:rPr>
          <w:w w:val="105"/>
          <w:sz w:val="15"/>
        </w:rPr>
        <w:t>de</w:t>
      </w:r>
      <w:r>
        <w:rPr>
          <w:spacing w:val="-5"/>
          <w:w w:val="105"/>
          <w:sz w:val="15"/>
        </w:rPr>
        <w:t xml:space="preserve"> </w:t>
      </w:r>
      <w:r>
        <w:rPr>
          <w:w w:val="105"/>
          <w:sz w:val="15"/>
        </w:rPr>
        <w:t>conducta</w:t>
      </w:r>
      <w:r>
        <w:rPr>
          <w:spacing w:val="-5"/>
          <w:w w:val="105"/>
          <w:sz w:val="15"/>
        </w:rPr>
        <w:t xml:space="preserve"> </w:t>
      </w:r>
      <w:r>
        <w:rPr>
          <w:w w:val="105"/>
          <w:sz w:val="15"/>
        </w:rPr>
        <w:t>prohibida descritos</w:t>
      </w:r>
      <w:r>
        <w:rPr>
          <w:spacing w:val="-3"/>
          <w:w w:val="105"/>
          <w:sz w:val="15"/>
        </w:rPr>
        <w:t xml:space="preserve"> </w:t>
      </w:r>
      <w:r>
        <w:rPr>
          <w:w w:val="105"/>
          <w:sz w:val="15"/>
        </w:rPr>
        <w:t>en</w:t>
      </w:r>
      <w:r>
        <w:rPr>
          <w:spacing w:val="-3"/>
          <w:w w:val="105"/>
          <w:sz w:val="15"/>
        </w:rPr>
        <w:t xml:space="preserve"> </w:t>
      </w:r>
      <w:r>
        <w:rPr>
          <w:w w:val="105"/>
          <w:sz w:val="15"/>
        </w:rPr>
        <w:t>esta</w:t>
      </w:r>
      <w:r>
        <w:rPr>
          <w:spacing w:val="-3"/>
          <w:w w:val="105"/>
          <w:sz w:val="15"/>
        </w:rPr>
        <w:t xml:space="preserve"> </w:t>
      </w:r>
      <w:r>
        <w:rPr>
          <w:w w:val="105"/>
          <w:sz w:val="15"/>
        </w:rPr>
        <w:t>sección</w:t>
      </w:r>
      <w:r>
        <w:rPr>
          <w:spacing w:val="-3"/>
          <w:w w:val="105"/>
          <w:sz w:val="15"/>
        </w:rPr>
        <w:t xml:space="preserve"> </w:t>
      </w:r>
      <w:r>
        <w:rPr>
          <w:w w:val="105"/>
          <w:sz w:val="15"/>
        </w:rPr>
        <w:t>cuenten</w:t>
      </w:r>
      <w:r>
        <w:rPr>
          <w:spacing w:val="-3"/>
          <w:w w:val="105"/>
          <w:sz w:val="15"/>
        </w:rPr>
        <w:t xml:space="preserve"> </w:t>
      </w:r>
      <w:r>
        <w:rPr>
          <w:w w:val="105"/>
          <w:sz w:val="15"/>
        </w:rPr>
        <w:t>con</w:t>
      </w:r>
      <w:r>
        <w:rPr>
          <w:spacing w:val="-3"/>
          <w:w w:val="105"/>
          <w:sz w:val="15"/>
        </w:rPr>
        <w:t xml:space="preserve"> </w:t>
      </w:r>
      <w:r>
        <w:rPr>
          <w:w w:val="105"/>
          <w:sz w:val="15"/>
        </w:rPr>
        <w:t>mecanismos</w:t>
      </w:r>
      <w:r>
        <w:rPr>
          <w:spacing w:val="-3"/>
          <w:w w:val="105"/>
          <w:sz w:val="15"/>
        </w:rPr>
        <w:t xml:space="preserve"> </w:t>
      </w:r>
      <w:r>
        <w:rPr>
          <w:w w:val="105"/>
          <w:sz w:val="15"/>
        </w:rPr>
        <w:t>legales</w:t>
      </w:r>
      <w:r>
        <w:rPr>
          <w:spacing w:val="-3"/>
          <w:w w:val="105"/>
          <w:sz w:val="15"/>
        </w:rPr>
        <w:t xml:space="preserve"> </w:t>
      </w:r>
      <w:r>
        <w:rPr>
          <w:w w:val="105"/>
          <w:sz w:val="15"/>
        </w:rPr>
        <w:t>apropiados</w:t>
      </w:r>
      <w:r>
        <w:rPr>
          <w:spacing w:val="-3"/>
          <w:w w:val="105"/>
          <w:sz w:val="15"/>
        </w:rPr>
        <w:t xml:space="preserve"> </w:t>
      </w:r>
      <w:r>
        <w:rPr>
          <w:w w:val="105"/>
          <w:sz w:val="15"/>
        </w:rPr>
        <w:t>para</w:t>
      </w:r>
      <w:r>
        <w:rPr>
          <w:spacing w:val="-3"/>
          <w:w w:val="105"/>
          <w:sz w:val="15"/>
        </w:rPr>
        <w:t xml:space="preserve"> </w:t>
      </w:r>
      <w:r>
        <w:rPr>
          <w:w w:val="105"/>
          <w:sz w:val="15"/>
        </w:rPr>
        <w:t>hacer</w:t>
      </w:r>
      <w:r>
        <w:rPr>
          <w:spacing w:val="-3"/>
          <w:w w:val="105"/>
          <w:sz w:val="15"/>
        </w:rPr>
        <w:t xml:space="preserve"> </w:t>
      </w:r>
      <w:r>
        <w:rPr>
          <w:w w:val="105"/>
          <w:sz w:val="15"/>
        </w:rPr>
        <w:t>valer</w:t>
      </w:r>
      <w:r>
        <w:rPr>
          <w:spacing w:val="-3"/>
          <w:w w:val="105"/>
          <w:sz w:val="15"/>
        </w:rPr>
        <w:t xml:space="preserve"> </w:t>
      </w:r>
      <w:r>
        <w:rPr>
          <w:w w:val="105"/>
          <w:sz w:val="15"/>
        </w:rPr>
        <w:t>y</w:t>
      </w:r>
      <w:r>
        <w:rPr>
          <w:spacing w:val="-3"/>
          <w:w w:val="105"/>
          <w:sz w:val="15"/>
        </w:rPr>
        <w:t xml:space="preserve"> </w:t>
      </w:r>
      <w:r>
        <w:rPr>
          <w:w w:val="105"/>
          <w:sz w:val="15"/>
        </w:rPr>
        <w:t>reivindicar</w:t>
      </w:r>
      <w:r>
        <w:rPr>
          <w:spacing w:val="-3"/>
          <w:w w:val="105"/>
          <w:sz w:val="15"/>
        </w:rPr>
        <w:t xml:space="preserve"> </w:t>
      </w:r>
      <w:r>
        <w:rPr>
          <w:w w:val="105"/>
          <w:sz w:val="15"/>
        </w:rPr>
        <w:t>sus</w:t>
      </w:r>
      <w:r>
        <w:rPr>
          <w:spacing w:val="-3"/>
          <w:w w:val="105"/>
          <w:sz w:val="15"/>
        </w:rPr>
        <w:t xml:space="preserve"> </w:t>
      </w:r>
      <w:r>
        <w:rPr>
          <w:w w:val="105"/>
          <w:sz w:val="15"/>
        </w:rPr>
        <w:t>derechos.211</w:t>
      </w:r>
    </w:p>
    <w:p w14:paraId="618044A5" w14:textId="77777777" w:rsidR="0014798C" w:rsidRDefault="004E1F0B">
      <w:pPr>
        <w:numPr>
          <w:ilvl w:val="0"/>
          <w:numId w:val="78"/>
        </w:numPr>
        <w:tabs>
          <w:tab w:val="left" w:pos="1351"/>
        </w:tabs>
        <w:spacing w:before="142"/>
        <w:ind w:left="1351" w:hanging="236"/>
        <w:rPr>
          <w:sz w:val="20"/>
        </w:rPr>
      </w:pPr>
      <w:r>
        <w:rPr>
          <w:sz w:val="20"/>
        </w:rPr>
        <w:t xml:space="preserve">Discriminación </w:t>
      </w:r>
      <w:r>
        <w:rPr>
          <w:spacing w:val="-2"/>
          <w:sz w:val="20"/>
        </w:rPr>
        <w:t>directa</w:t>
      </w:r>
    </w:p>
    <w:p w14:paraId="10D65951" w14:textId="77777777" w:rsidR="0014798C" w:rsidRDefault="0014798C">
      <w:pPr>
        <w:pStyle w:val="Textoindependiente"/>
        <w:rPr>
          <w:sz w:val="15"/>
        </w:rPr>
      </w:pPr>
    </w:p>
    <w:p w14:paraId="0A2D3712" w14:textId="77777777" w:rsidR="0014798C" w:rsidRDefault="0014798C">
      <w:pPr>
        <w:pStyle w:val="Textoindependiente"/>
        <w:spacing w:before="49"/>
        <w:rPr>
          <w:sz w:val="15"/>
        </w:rPr>
      </w:pPr>
    </w:p>
    <w:p w14:paraId="03A65B53" w14:textId="77777777" w:rsidR="0014798C" w:rsidRDefault="004E1F0B">
      <w:pPr>
        <w:ind w:left="1335"/>
        <w:rPr>
          <w:sz w:val="15"/>
        </w:rPr>
      </w:pPr>
      <w:r>
        <w:rPr>
          <w:noProof/>
        </w:rPr>
        <w:drawing>
          <wp:anchor distT="0" distB="0" distL="0" distR="0" simplePos="0" relativeHeight="251658381" behindDoc="1" locked="0" layoutInCell="1" allowOverlap="1" wp14:anchorId="6D544ED7" wp14:editId="5661798D">
            <wp:simplePos x="0" y="0"/>
            <wp:positionH relativeFrom="page">
              <wp:posOffset>786199</wp:posOffset>
            </wp:positionH>
            <wp:positionV relativeFrom="paragraph">
              <wp:posOffset>-141682</wp:posOffset>
            </wp:positionV>
            <wp:extent cx="5975115" cy="5648144"/>
            <wp:effectExtent l="0" t="0" r="0" b="0"/>
            <wp:wrapNone/>
            <wp:docPr id="106" name="Image 10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06" name="Image 106"/>
                    <pic:cNvPicPr/>
                  </pic:nvPicPr>
                  <pic:blipFill>
                    <a:blip r:embed="rId109" cstate="print"/>
                    <a:stretch>
                      <a:fillRect/>
                    </a:stretch>
                  </pic:blipFill>
                  <pic:spPr>
                    <a:xfrm>
                      <a:off x="0" y="0"/>
                      <a:ext cx="5975115" cy="5648144"/>
                    </a:xfrm>
                    <a:prstGeom prst="rect">
                      <a:avLst/>
                    </a:prstGeom>
                  </pic:spPr>
                </pic:pic>
              </a:graphicData>
            </a:graphic>
          </wp:anchor>
        </w:drawing>
      </w:r>
      <w:r>
        <w:rPr>
          <w:color w:val="FFFFFF"/>
          <w:spacing w:val="-2"/>
          <w:w w:val="105"/>
          <w:sz w:val="15"/>
        </w:rPr>
        <w:t>RESUMEN</w:t>
      </w:r>
    </w:p>
    <w:p w14:paraId="200A31F5" w14:textId="77777777" w:rsidR="0014798C" w:rsidRDefault="0014798C">
      <w:pPr>
        <w:pStyle w:val="Textoindependiente"/>
        <w:rPr>
          <w:sz w:val="15"/>
        </w:rPr>
      </w:pPr>
    </w:p>
    <w:p w14:paraId="422B3D53" w14:textId="77777777" w:rsidR="0014798C" w:rsidRDefault="0014798C">
      <w:pPr>
        <w:pStyle w:val="Textoindependiente"/>
        <w:rPr>
          <w:sz w:val="15"/>
        </w:rPr>
      </w:pPr>
    </w:p>
    <w:p w14:paraId="0FDC7145" w14:textId="77777777" w:rsidR="0014798C" w:rsidRDefault="004E1F0B">
      <w:pPr>
        <w:pStyle w:val="Prrafodelista"/>
        <w:numPr>
          <w:ilvl w:val="1"/>
          <w:numId w:val="78"/>
        </w:numPr>
        <w:tabs>
          <w:tab w:val="left" w:pos="1453"/>
          <w:tab w:val="left" w:pos="1556"/>
        </w:tabs>
        <w:spacing w:line="348" w:lineRule="auto"/>
        <w:ind w:left="1556" w:right="1636" w:hanging="199"/>
        <w:rPr>
          <w:color w:val="0075BF"/>
          <w:sz w:val="15"/>
        </w:rPr>
      </w:pPr>
      <w:r>
        <w:rPr>
          <w:w w:val="105"/>
          <w:sz w:val="15"/>
        </w:rPr>
        <w:t>La</w:t>
      </w:r>
      <w:r>
        <w:rPr>
          <w:spacing w:val="-4"/>
          <w:w w:val="105"/>
          <w:sz w:val="15"/>
        </w:rPr>
        <w:t xml:space="preserve"> </w:t>
      </w:r>
      <w:r>
        <w:rPr>
          <w:w w:val="105"/>
          <w:sz w:val="15"/>
        </w:rPr>
        <w:t>discriminación</w:t>
      </w:r>
      <w:r>
        <w:rPr>
          <w:spacing w:val="-4"/>
          <w:w w:val="105"/>
          <w:sz w:val="15"/>
        </w:rPr>
        <w:t xml:space="preserve"> </w:t>
      </w:r>
      <w:r>
        <w:rPr>
          <w:w w:val="105"/>
          <w:sz w:val="15"/>
        </w:rPr>
        <w:t>directa</w:t>
      </w:r>
      <w:r>
        <w:rPr>
          <w:spacing w:val="-4"/>
          <w:w w:val="105"/>
          <w:sz w:val="15"/>
        </w:rPr>
        <w:t xml:space="preserve"> </w:t>
      </w:r>
      <w:r>
        <w:rPr>
          <w:w w:val="105"/>
          <w:sz w:val="15"/>
        </w:rPr>
        <w:t>implica</w:t>
      </w:r>
      <w:r>
        <w:rPr>
          <w:spacing w:val="-4"/>
          <w:w w:val="105"/>
          <w:sz w:val="15"/>
        </w:rPr>
        <w:t xml:space="preserve"> </w:t>
      </w:r>
      <w:r>
        <w:rPr>
          <w:w w:val="105"/>
          <w:sz w:val="15"/>
        </w:rPr>
        <w:t>tratar</w:t>
      </w:r>
      <w:r>
        <w:rPr>
          <w:spacing w:val="-4"/>
          <w:w w:val="105"/>
          <w:sz w:val="15"/>
        </w:rPr>
        <w:t xml:space="preserve"> </w:t>
      </w:r>
      <w:r>
        <w:rPr>
          <w:w w:val="105"/>
          <w:sz w:val="15"/>
        </w:rPr>
        <w:t>a</w:t>
      </w:r>
      <w:r>
        <w:rPr>
          <w:spacing w:val="-4"/>
          <w:w w:val="105"/>
          <w:sz w:val="15"/>
        </w:rPr>
        <w:t xml:space="preserve"> </w:t>
      </w:r>
      <w:r>
        <w:rPr>
          <w:w w:val="105"/>
          <w:sz w:val="15"/>
        </w:rPr>
        <w:t>las</w:t>
      </w:r>
      <w:r>
        <w:rPr>
          <w:spacing w:val="-4"/>
          <w:w w:val="105"/>
          <w:sz w:val="15"/>
        </w:rPr>
        <w:t xml:space="preserve"> </w:t>
      </w:r>
      <w:r>
        <w:rPr>
          <w:w w:val="105"/>
          <w:sz w:val="15"/>
        </w:rPr>
        <w:t>personas</w:t>
      </w:r>
      <w:r>
        <w:rPr>
          <w:spacing w:val="-4"/>
          <w:w w:val="105"/>
          <w:sz w:val="15"/>
        </w:rPr>
        <w:t xml:space="preserve"> </w:t>
      </w:r>
      <w:r>
        <w:rPr>
          <w:w w:val="105"/>
          <w:sz w:val="15"/>
        </w:rPr>
        <w:t>de</w:t>
      </w:r>
      <w:r>
        <w:rPr>
          <w:spacing w:val="-4"/>
          <w:w w:val="105"/>
          <w:sz w:val="15"/>
        </w:rPr>
        <w:t xml:space="preserve"> </w:t>
      </w:r>
      <w:r>
        <w:rPr>
          <w:w w:val="105"/>
          <w:sz w:val="15"/>
        </w:rPr>
        <w:t>manera</w:t>
      </w:r>
      <w:r>
        <w:rPr>
          <w:spacing w:val="-4"/>
          <w:w w:val="105"/>
          <w:sz w:val="15"/>
        </w:rPr>
        <w:t xml:space="preserve"> </w:t>
      </w:r>
      <w:r>
        <w:rPr>
          <w:w w:val="105"/>
          <w:sz w:val="15"/>
        </w:rPr>
        <w:t>menos</w:t>
      </w:r>
      <w:r>
        <w:rPr>
          <w:spacing w:val="-4"/>
          <w:w w:val="105"/>
          <w:sz w:val="15"/>
        </w:rPr>
        <w:t xml:space="preserve"> </w:t>
      </w:r>
      <w:r>
        <w:rPr>
          <w:w w:val="105"/>
          <w:sz w:val="15"/>
        </w:rPr>
        <w:t>favorable</w:t>
      </w:r>
      <w:r>
        <w:rPr>
          <w:spacing w:val="-4"/>
          <w:w w:val="105"/>
          <w:sz w:val="15"/>
        </w:rPr>
        <w:t xml:space="preserve"> </w:t>
      </w:r>
      <w:r>
        <w:rPr>
          <w:w w:val="105"/>
          <w:sz w:val="15"/>
        </w:rPr>
        <w:t>o</w:t>
      </w:r>
      <w:r>
        <w:rPr>
          <w:spacing w:val="-4"/>
          <w:w w:val="105"/>
          <w:sz w:val="15"/>
        </w:rPr>
        <w:t xml:space="preserve"> </w:t>
      </w:r>
      <w:r>
        <w:rPr>
          <w:w w:val="105"/>
          <w:sz w:val="15"/>
        </w:rPr>
        <w:t>someterlas</w:t>
      </w:r>
      <w:r>
        <w:rPr>
          <w:spacing w:val="-4"/>
          <w:w w:val="105"/>
          <w:sz w:val="15"/>
        </w:rPr>
        <w:t xml:space="preserve"> </w:t>
      </w:r>
      <w:r>
        <w:rPr>
          <w:w w:val="105"/>
          <w:sz w:val="15"/>
        </w:rPr>
        <w:t>a</w:t>
      </w:r>
      <w:r>
        <w:rPr>
          <w:spacing w:val="-4"/>
          <w:w w:val="105"/>
          <w:sz w:val="15"/>
        </w:rPr>
        <w:t xml:space="preserve"> </w:t>
      </w:r>
      <w:r>
        <w:rPr>
          <w:w w:val="105"/>
          <w:sz w:val="15"/>
        </w:rPr>
        <w:t>un</w:t>
      </w:r>
      <w:r>
        <w:rPr>
          <w:spacing w:val="-4"/>
          <w:w w:val="105"/>
          <w:sz w:val="15"/>
        </w:rPr>
        <w:t xml:space="preserve"> </w:t>
      </w:r>
      <w:r>
        <w:rPr>
          <w:w w:val="105"/>
          <w:sz w:val="15"/>
        </w:rPr>
        <w:t>perjuicio</w:t>
      </w:r>
      <w:r>
        <w:rPr>
          <w:spacing w:val="-4"/>
          <w:w w:val="105"/>
          <w:sz w:val="15"/>
        </w:rPr>
        <w:t xml:space="preserve"> </w:t>
      </w:r>
      <w:r>
        <w:rPr>
          <w:w w:val="105"/>
          <w:sz w:val="15"/>
        </w:rPr>
        <w:t>debido</w:t>
      </w:r>
      <w:r>
        <w:rPr>
          <w:spacing w:val="-4"/>
          <w:w w:val="105"/>
          <w:sz w:val="15"/>
        </w:rPr>
        <w:t xml:space="preserve"> </w:t>
      </w:r>
      <w:r>
        <w:rPr>
          <w:w w:val="105"/>
          <w:sz w:val="15"/>
        </w:rPr>
        <w:t>a</w:t>
      </w:r>
      <w:r>
        <w:rPr>
          <w:spacing w:val="-4"/>
          <w:w w:val="105"/>
          <w:sz w:val="15"/>
        </w:rPr>
        <w:t xml:space="preserve"> </w:t>
      </w:r>
      <w:r>
        <w:rPr>
          <w:w w:val="105"/>
          <w:sz w:val="15"/>
        </w:rPr>
        <w:t>sus características</w:t>
      </w:r>
      <w:r>
        <w:rPr>
          <w:spacing w:val="-7"/>
          <w:w w:val="105"/>
          <w:sz w:val="15"/>
        </w:rPr>
        <w:t xml:space="preserve"> </w:t>
      </w:r>
      <w:r>
        <w:rPr>
          <w:w w:val="105"/>
          <w:sz w:val="15"/>
        </w:rPr>
        <w:t>protegidas.</w:t>
      </w:r>
      <w:r>
        <w:rPr>
          <w:spacing w:val="-5"/>
          <w:w w:val="105"/>
          <w:sz w:val="15"/>
        </w:rPr>
        <w:t xml:space="preserve"> </w:t>
      </w:r>
      <w:r>
        <w:rPr>
          <w:w w:val="105"/>
          <w:sz w:val="15"/>
        </w:rPr>
        <w:t>La</w:t>
      </w:r>
      <w:r>
        <w:rPr>
          <w:spacing w:val="-6"/>
          <w:w w:val="105"/>
          <w:sz w:val="15"/>
        </w:rPr>
        <w:t xml:space="preserve"> </w:t>
      </w:r>
      <w:r>
        <w:rPr>
          <w:w w:val="105"/>
          <w:sz w:val="15"/>
        </w:rPr>
        <w:t>prohibición</w:t>
      </w:r>
      <w:r>
        <w:rPr>
          <w:spacing w:val="-6"/>
          <w:w w:val="105"/>
          <w:sz w:val="15"/>
        </w:rPr>
        <w:t xml:space="preserve"> </w:t>
      </w:r>
      <w:r>
        <w:rPr>
          <w:w w:val="105"/>
          <w:sz w:val="15"/>
        </w:rPr>
        <w:t>de</w:t>
      </w:r>
      <w:r>
        <w:rPr>
          <w:spacing w:val="-6"/>
          <w:w w:val="105"/>
          <w:sz w:val="15"/>
        </w:rPr>
        <w:t xml:space="preserve"> </w:t>
      </w:r>
      <w:r>
        <w:rPr>
          <w:w w:val="105"/>
          <w:sz w:val="15"/>
        </w:rPr>
        <w:t>la</w:t>
      </w:r>
      <w:r>
        <w:rPr>
          <w:spacing w:val="-6"/>
          <w:w w:val="105"/>
          <w:sz w:val="15"/>
        </w:rPr>
        <w:t xml:space="preserve"> </w:t>
      </w:r>
      <w:r>
        <w:rPr>
          <w:w w:val="105"/>
          <w:sz w:val="15"/>
        </w:rPr>
        <w:t>discriminación</w:t>
      </w:r>
      <w:r>
        <w:rPr>
          <w:spacing w:val="-6"/>
          <w:w w:val="105"/>
          <w:sz w:val="15"/>
        </w:rPr>
        <w:t xml:space="preserve"> </w:t>
      </w:r>
      <w:r>
        <w:rPr>
          <w:w w:val="105"/>
          <w:sz w:val="15"/>
        </w:rPr>
        <w:t>directa</w:t>
      </w:r>
      <w:r>
        <w:rPr>
          <w:spacing w:val="-6"/>
          <w:w w:val="105"/>
          <w:sz w:val="15"/>
        </w:rPr>
        <w:t xml:space="preserve"> </w:t>
      </w:r>
      <w:r>
        <w:rPr>
          <w:w w:val="105"/>
          <w:sz w:val="15"/>
        </w:rPr>
        <w:t>incluye</w:t>
      </w:r>
      <w:r>
        <w:rPr>
          <w:spacing w:val="-6"/>
          <w:w w:val="105"/>
          <w:sz w:val="15"/>
        </w:rPr>
        <w:t xml:space="preserve"> </w:t>
      </w:r>
      <w:r>
        <w:rPr>
          <w:w w:val="105"/>
          <w:sz w:val="15"/>
        </w:rPr>
        <w:t>actos</w:t>
      </w:r>
      <w:r>
        <w:rPr>
          <w:spacing w:val="-6"/>
          <w:w w:val="105"/>
          <w:sz w:val="15"/>
        </w:rPr>
        <w:t xml:space="preserve"> </w:t>
      </w:r>
      <w:r>
        <w:rPr>
          <w:w w:val="105"/>
          <w:sz w:val="15"/>
        </w:rPr>
        <w:t>u</w:t>
      </w:r>
      <w:r>
        <w:rPr>
          <w:spacing w:val="-6"/>
          <w:w w:val="105"/>
          <w:sz w:val="15"/>
        </w:rPr>
        <w:t xml:space="preserve"> </w:t>
      </w:r>
      <w:r>
        <w:rPr>
          <w:w w:val="105"/>
          <w:sz w:val="15"/>
        </w:rPr>
        <w:t>omisiones.</w:t>
      </w:r>
      <w:r>
        <w:rPr>
          <w:spacing w:val="-5"/>
          <w:w w:val="105"/>
          <w:sz w:val="15"/>
        </w:rPr>
        <w:t xml:space="preserve"> </w:t>
      </w:r>
      <w:r>
        <w:rPr>
          <w:w w:val="105"/>
          <w:sz w:val="15"/>
        </w:rPr>
        <w:t>La</w:t>
      </w:r>
      <w:r>
        <w:rPr>
          <w:spacing w:val="-6"/>
          <w:w w:val="105"/>
          <w:sz w:val="15"/>
        </w:rPr>
        <w:t xml:space="preserve"> </w:t>
      </w:r>
      <w:r>
        <w:rPr>
          <w:w w:val="105"/>
          <w:sz w:val="15"/>
        </w:rPr>
        <w:t>discriminación</w:t>
      </w:r>
      <w:r>
        <w:rPr>
          <w:spacing w:val="-6"/>
          <w:w w:val="105"/>
          <w:sz w:val="15"/>
        </w:rPr>
        <w:t xml:space="preserve"> </w:t>
      </w:r>
      <w:r>
        <w:rPr>
          <w:w w:val="105"/>
          <w:sz w:val="15"/>
        </w:rPr>
        <w:t>directa puede</w:t>
      </w:r>
      <w:r>
        <w:rPr>
          <w:spacing w:val="-6"/>
          <w:w w:val="105"/>
          <w:sz w:val="15"/>
        </w:rPr>
        <w:t xml:space="preserve"> </w:t>
      </w:r>
      <w:r>
        <w:rPr>
          <w:w w:val="105"/>
          <w:sz w:val="15"/>
        </w:rPr>
        <w:t>cometerse</w:t>
      </w:r>
      <w:r>
        <w:rPr>
          <w:spacing w:val="-6"/>
          <w:w w:val="105"/>
          <w:sz w:val="15"/>
        </w:rPr>
        <w:t xml:space="preserve"> </w:t>
      </w:r>
      <w:r>
        <w:rPr>
          <w:w w:val="105"/>
          <w:sz w:val="15"/>
        </w:rPr>
        <w:t>intencionalmente</w:t>
      </w:r>
      <w:r>
        <w:rPr>
          <w:spacing w:val="-6"/>
          <w:w w:val="105"/>
          <w:sz w:val="15"/>
        </w:rPr>
        <w:t xml:space="preserve"> </w:t>
      </w:r>
      <w:r>
        <w:rPr>
          <w:w w:val="105"/>
          <w:sz w:val="15"/>
        </w:rPr>
        <w:t>o</w:t>
      </w:r>
      <w:r>
        <w:rPr>
          <w:spacing w:val="-6"/>
          <w:w w:val="105"/>
          <w:sz w:val="15"/>
        </w:rPr>
        <w:t xml:space="preserve"> </w:t>
      </w:r>
      <w:r>
        <w:rPr>
          <w:w w:val="105"/>
          <w:sz w:val="15"/>
        </w:rPr>
        <w:t>no</w:t>
      </w:r>
      <w:r>
        <w:rPr>
          <w:spacing w:val="-6"/>
          <w:w w:val="105"/>
          <w:sz w:val="15"/>
        </w:rPr>
        <w:t xml:space="preserve"> </w:t>
      </w:r>
      <w:r>
        <w:rPr>
          <w:w w:val="105"/>
          <w:sz w:val="15"/>
        </w:rPr>
        <w:t>y</w:t>
      </w:r>
      <w:r>
        <w:rPr>
          <w:spacing w:val="-6"/>
          <w:w w:val="105"/>
          <w:sz w:val="15"/>
        </w:rPr>
        <w:t xml:space="preserve"> </w:t>
      </w:r>
      <w:r>
        <w:rPr>
          <w:w w:val="105"/>
          <w:sz w:val="15"/>
        </w:rPr>
        <w:t>puede</w:t>
      </w:r>
      <w:r>
        <w:rPr>
          <w:spacing w:val="-6"/>
          <w:w w:val="105"/>
          <w:sz w:val="15"/>
        </w:rPr>
        <w:t xml:space="preserve"> </w:t>
      </w:r>
      <w:r>
        <w:rPr>
          <w:w w:val="105"/>
          <w:sz w:val="15"/>
        </w:rPr>
        <w:t>ser</w:t>
      </w:r>
      <w:r>
        <w:rPr>
          <w:spacing w:val="-6"/>
          <w:w w:val="105"/>
          <w:sz w:val="15"/>
        </w:rPr>
        <w:t xml:space="preserve"> </w:t>
      </w:r>
      <w:r>
        <w:rPr>
          <w:w w:val="105"/>
          <w:sz w:val="15"/>
        </w:rPr>
        <w:t>abierta</w:t>
      </w:r>
      <w:r>
        <w:rPr>
          <w:spacing w:val="-6"/>
          <w:w w:val="105"/>
          <w:sz w:val="15"/>
        </w:rPr>
        <w:t xml:space="preserve"> </w:t>
      </w:r>
      <w:r>
        <w:rPr>
          <w:w w:val="105"/>
          <w:sz w:val="15"/>
        </w:rPr>
        <w:t>o</w:t>
      </w:r>
      <w:r>
        <w:rPr>
          <w:spacing w:val="-6"/>
          <w:w w:val="105"/>
          <w:sz w:val="15"/>
        </w:rPr>
        <w:t xml:space="preserve"> </w:t>
      </w:r>
      <w:r>
        <w:rPr>
          <w:w w:val="105"/>
          <w:sz w:val="15"/>
        </w:rPr>
        <w:t>encubierta.</w:t>
      </w:r>
      <w:r>
        <w:rPr>
          <w:spacing w:val="-5"/>
          <w:w w:val="105"/>
          <w:sz w:val="15"/>
        </w:rPr>
        <w:t xml:space="preserve"> </w:t>
      </w:r>
      <w:r>
        <w:rPr>
          <w:w w:val="105"/>
          <w:sz w:val="15"/>
        </w:rPr>
        <w:t>La</w:t>
      </w:r>
      <w:r>
        <w:rPr>
          <w:spacing w:val="-6"/>
          <w:w w:val="105"/>
          <w:sz w:val="15"/>
        </w:rPr>
        <w:t xml:space="preserve"> </w:t>
      </w:r>
      <w:r>
        <w:rPr>
          <w:w w:val="105"/>
          <w:sz w:val="15"/>
        </w:rPr>
        <w:t>legislación</w:t>
      </w:r>
      <w:r>
        <w:rPr>
          <w:spacing w:val="-6"/>
          <w:w w:val="105"/>
          <w:sz w:val="15"/>
        </w:rPr>
        <w:t xml:space="preserve"> </w:t>
      </w:r>
      <w:r>
        <w:rPr>
          <w:w w:val="105"/>
          <w:sz w:val="15"/>
        </w:rPr>
        <w:t>contra</w:t>
      </w:r>
      <w:r>
        <w:rPr>
          <w:spacing w:val="-6"/>
          <w:w w:val="105"/>
          <w:sz w:val="15"/>
        </w:rPr>
        <w:t xml:space="preserve"> </w:t>
      </w:r>
      <w:r>
        <w:rPr>
          <w:w w:val="105"/>
          <w:sz w:val="15"/>
        </w:rPr>
        <w:t>la</w:t>
      </w:r>
      <w:r>
        <w:rPr>
          <w:spacing w:val="-6"/>
          <w:w w:val="105"/>
          <w:sz w:val="15"/>
        </w:rPr>
        <w:t xml:space="preserve"> </w:t>
      </w:r>
      <w:r>
        <w:rPr>
          <w:w w:val="105"/>
          <w:sz w:val="15"/>
        </w:rPr>
        <w:t>discriminación</w:t>
      </w:r>
      <w:r>
        <w:rPr>
          <w:spacing w:val="-6"/>
          <w:w w:val="105"/>
          <w:sz w:val="15"/>
        </w:rPr>
        <w:t xml:space="preserve"> </w:t>
      </w:r>
      <w:r>
        <w:rPr>
          <w:w w:val="105"/>
          <w:sz w:val="15"/>
        </w:rPr>
        <w:t>debería prohibir</w:t>
      </w:r>
      <w:r>
        <w:rPr>
          <w:spacing w:val="-11"/>
          <w:w w:val="105"/>
          <w:sz w:val="15"/>
        </w:rPr>
        <w:t xml:space="preserve"> </w:t>
      </w:r>
      <w:r>
        <w:rPr>
          <w:w w:val="105"/>
          <w:sz w:val="15"/>
        </w:rPr>
        <w:t>la</w:t>
      </w:r>
      <w:r>
        <w:rPr>
          <w:spacing w:val="-11"/>
          <w:w w:val="105"/>
          <w:sz w:val="15"/>
        </w:rPr>
        <w:t xml:space="preserve"> </w:t>
      </w:r>
      <w:r>
        <w:rPr>
          <w:w w:val="105"/>
          <w:sz w:val="15"/>
        </w:rPr>
        <w:t>discriminación</w:t>
      </w:r>
      <w:r>
        <w:rPr>
          <w:spacing w:val="-11"/>
          <w:w w:val="105"/>
          <w:sz w:val="15"/>
        </w:rPr>
        <w:t xml:space="preserve"> </w:t>
      </w:r>
      <w:r>
        <w:rPr>
          <w:w w:val="105"/>
          <w:sz w:val="15"/>
        </w:rPr>
        <w:t>directa.</w:t>
      </w:r>
      <w:r>
        <w:rPr>
          <w:spacing w:val="-11"/>
          <w:w w:val="105"/>
          <w:sz w:val="15"/>
        </w:rPr>
        <w:t xml:space="preserve"> </w:t>
      </w:r>
      <w:r>
        <w:rPr>
          <w:w w:val="105"/>
          <w:sz w:val="15"/>
        </w:rPr>
        <w:t>La</w:t>
      </w:r>
      <w:r>
        <w:rPr>
          <w:spacing w:val="-11"/>
          <w:w w:val="105"/>
          <w:sz w:val="15"/>
        </w:rPr>
        <w:t xml:space="preserve"> </w:t>
      </w:r>
      <w:r>
        <w:rPr>
          <w:w w:val="105"/>
          <w:sz w:val="15"/>
        </w:rPr>
        <w:t>discriminación</w:t>
      </w:r>
      <w:r>
        <w:rPr>
          <w:spacing w:val="-10"/>
          <w:w w:val="105"/>
          <w:sz w:val="15"/>
        </w:rPr>
        <w:t xml:space="preserve"> </w:t>
      </w:r>
      <w:r>
        <w:rPr>
          <w:w w:val="105"/>
          <w:sz w:val="15"/>
        </w:rPr>
        <w:t>directa</w:t>
      </w:r>
      <w:r>
        <w:rPr>
          <w:spacing w:val="-11"/>
          <w:w w:val="105"/>
          <w:sz w:val="15"/>
        </w:rPr>
        <w:t xml:space="preserve"> </w:t>
      </w:r>
      <w:r>
        <w:rPr>
          <w:w w:val="105"/>
          <w:sz w:val="15"/>
        </w:rPr>
        <w:t>se</w:t>
      </w:r>
      <w:r>
        <w:rPr>
          <w:spacing w:val="-11"/>
          <w:w w:val="105"/>
          <w:sz w:val="15"/>
        </w:rPr>
        <w:t xml:space="preserve"> </w:t>
      </w:r>
      <w:r>
        <w:rPr>
          <w:w w:val="105"/>
          <w:sz w:val="15"/>
        </w:rPr>
        <w:t>produce</w:t>
      </w:r>
      <w:r>
        <w:rPr>
          <w:spacing w:val="-11"/>
          <w:w w:val="105"/>
          <w:sz w:val="15"/>
        </w:rPr>
        <w:t xml:space="preserve"> </w:t>
      </w:r>
      <w:r>
        <w:rPr>
          <w:w w:val="105"/>
          <w:sz w:val="15"/>
        </w:rPr>
        <w:t>cuando</w:t>
      </w:r>
      <w:r>
        <w:rPr>
          <w:spacing w:val="-11"/>
          <w:w w:val="105"/>
          <w:sz w:val="15"/>
        </w:rPr>
        <w:t xml:space="preserve"> </w:t>
      </w:r>
      <w:r>
        <w:rPr>
          <w:w w:val="105"/>
          <w:sz w:val="15"/>
        </w:rPr>
        <w:t>una</w:t>
      </w:r>
      <w:r>
        <w:rPr>
          <w:spacing w:val="-11"/>
          <w:w w:val="105"/>
          <w:sz w:val="15"/>
        </w:rPr>
        <w:t xml:space="preserve"> </w:t>
      </w:r>
      <w:r>
        <w:rPr>
          <w:w w:val="105"/>
          <w:sz w:val="15"/>
        </w:rPr>
        <w:t>persona</w:t>
      </w:r>
      <w:r>
        <w:rPr>
          <w:spacing w:val="-10"/>
          <w:w w:val="105"/>
          <w:sz w:val="15"/>
        </w:rPr>
        <w:t xml:space="preserve"> </w:t>
      </w:r>
      <w:r>
        <w:rPr>
          <w:w w:val="105"/>
          <w:sz w:val="15"/>
        </w:rPr>
        <w:t>recibe</w:t>
      </w:r>
      <w:r>
        <w:rPr>
          <w:spacing w:val="-11"/>
          <w:w w:val="105"/>
          <w:sz w:val="15"/>
        </w:rPr>
        <w:t xml:space="preserve"> </w:t>
      </w:r>
      <w:r>
        <w:rPr>
          <w:w w:val="105"/>
          <w:sz w:val="15"/>
        </w:rPr>
        <w:t>un</w:t>
      </w:r>
      <w:r>
        <w:rPr>
          <w:spacing w:val="-11"/>
          <w:w w:val="105"/>
          <w:sz w:val="15"/>
        </w:rPr>
        <w:t xml:space="preserve"> </w:t>
      </w:r>
      <w:r>
        <w:rPr>
          <w:w w:val="105"/>
          <w:sz w:val="15"/>
        </w:rPr>
        <w:t>trato</w:t>
      </w:r>
      <w:r>
        <w:rPr>
          <w:spacing w:val="-11"/>
          <w:w w:val="105"/>
          <w:sz w:val="15"/>
        </w:rPr>
        <w:t xml:space="preserve"> </w:t>
      </w:r>
      <w:r>
        <w:rPr>
          <w:w w:val="105"/>
          <w:sz w:val="15"/>
        </w:rPr>
        <w:t>menos</w:t>
      </w:r>
      <w:r>
        <w:rPr>
          <w:spacing w:val="-11"/>
          <w:w w:val="105"/>
          <w:sz w:val="15"/>
        </w:rPr>
        <w:t xml:space="preserve"> </w:t>
      </w:r>
      <w:r>
        <w:rPr>
          <w:w w:val="105"/>
          <w:sz w:val="15"/>
        </w:rPr>
        <w:t>favorable que</w:t>
      </w:r>
      <w:r>
        <w:rPr>
          <w:spacing w:val="-4"/>
          <w:w w:val="105"/>
          <w:sz w:val="15"/>
        </w:rPr>
        <w:t xml:space="preserve"> </w:t>
      </w:r>
      <w:r>
        <w:rPr>
          <w:w w:val="105"/>
          <w:sz w:val="15"/>
        </w:rPr>
        <w:t>el</w:t>
      </w:r>
      <w:r>
        <w:rPr>
          <w:spacing w:val="-4"/>
          <w:w w:val="105"/>
          <w:sz w:val="15"/>
        </w:rPr>
        <w:t xml:space="preserve"> </w:t>
      </w:r>
      <w:r>
        <w:rPr>
          <w:w w:val="105"/>
          <w:sz w:val="15"/>
        </w:rPr>
        <w:t>que</w:t>
      </w:r>
      <w:r>
        <w:rPr>
          <w:spacing w:val="-4"/>
          <w:w w:val="105"/>
          <w:sz w:val="15"/>
        </w:rPr>
        <w:t xml:space="preserve"> </w:t>
      </w:r>
      <w:r>
        <w:rPr>
          <w:w w:val="105"/>
          <w:sz w:val="15"/>
        </w:rPr>
        <w:t>recibe,</w:t>
      </w:r>
      <w:r>
        <w:rPr>
          <w:spacing w:val="-4"/>
          <w:w w:val="105"/>
          <w:sz w:val="15"/>
        </w:rPr>
        <w:t xml:space="preserve"> </w:t>
      </w:r>
      <w:r>
        <w:rPr>
          <w:w w:val="105"/>
          <w:sz w:val="15"/>
        </w:rPr>
        <w:t>ha</w:t>
      </w:r>
      <w:r>
        <w:rPr>
          <w:spacing w:val="-4"/>
          <w:w w:val="105"/>
          <w:sz w:val="15"/>
        </w:rPr>
        <w:t xml:space="preserve"> </w:t>
      </w:r>
      <w:r>
        <w:rPr>
          <w:w w:val="105"/>
          <w:sz w:val="15"/>
        </w:rPr>
        <w:t>sido</w:t>
      </w:r>
      <w:r>
        <w:rPr>
          <w:spacing w:val="-4"/>
          <w:w w:val="105"/>
          <w:sz w:val="15"/>
        </w:rPr>
        <w:t xml:space="preserve"> </w:t>
      </w:r>
      <w:r>
        <w:rPr>
          <w:w w:val="105"/>
          <w:sz w:val="15"/>
        </w:rPr>
        <w:t>o</w:t>
      </w:r>
      <w:r>
        <w:rPr>
          <w:spacing w:val="-4"/>
          <w:w w:val="105"/>
          <w:sz w:val="15"/>
        </w:rPr>
        <w:t xml:space="preserve"> </w:t>
      </w:r>
      <w:r>
        <w:rPr>
          <w:w w:val="105"/>
          <w:sz w:val="15"/>
        </w:rPr>
        <w:t>sería</w:t>
      </w:r>
      <w:r>
        <w:rPr>
          <w:spacing w:val="-4"/>
          <w:w w:val="105"/>
          <w:sz w:val="15"/>
        </w:rPr>
        <w:t xml:space="preserve"> </w:t>
      </w:r>
      <w:r>
        <w:rPr>
          <w:w w:val="105"/>
          <w:sz w:val="15"/>
        </w:rPr>
        <w:t>tratada</w:t>
      </w:r>
      <w:r>
        <w:rPr>
          <w:spacing w:val="-4"/>
          <w:w w:val="105"/>
          <w:sz w:val="15"/>
        </w:rPr>
        <w:t xml:space="preserve"> </w:t>
      </w:r>
      <w:r>
        <w:rPr>
          <w:w w:val="105"/>
          <w:sz w:val="15"/>
        </w:rPr>
        <w:t>otra</w:t>
      </w:r>
      <w:r>
        <w:rPr>
          <w:spacing w:val="-4"/>
          <w:w w:val="105"/>
          <w:sz w:val="15"/>
        </w:rPr>
        <w:t xml:space="preserve"> </w:t>
      </w:r>
      <w:r>
        <w:rPr>
          <w:w w:val="105"/>
          <w:sz w:val="15"/>
        </w:rPr>
        <w:t>persona</w:t>
      </w:r>
      <w:r>
        <w:rPr>
          <w:spacing w:val="-4"/>
          <w:w w:val="105"/>
          <w:sz w:val="15"/>
        </w:rPr>
        <w:t xml:space="preserve"> </w:t>
      </w:r>
      <w:r>
        <w:rPr>
          <w:w w:val="105"/>
          <w:sz w:val="15"/>
        </w:rPr>
        <w:t>en</w:t>
      </w:r>
      <w:r>
        <w:rPr>
          <w:spacing w:val="-4"/>
          <w:w w:val="105"/>
          <w:sz w:val="15"/>
        </w:rPr>
        <w:t xml:space="preserve"> </w:t>
      </w:r>
      <w:r>
        <w:rPr>
          <w:w w:val="105"/>
          <w:sz w:val="15"/>
        </w:rPr>
        <w:t>una</w:t>
      </w:r>
      <w:r>
        <w:rPr>
          <w:spacing w:val="-4"/>
          <w:w w:val="105"/>
          <w:sz w:val="15"/>
        </w:rPr>
        <w:t xml:space="preserve"> </w:t>
      </w:r>
      <w:r>
        <w:rPr>
          <w:w w:val="105"/>
          <w:sz w:val="15"/>
        </w:rPr>
        <w:t>situación</w:t>
      </w:r>
      <w:r>
        <w:rPr>
          <w:spacing w:val="-4"/>
          <w:w w:val="105"/>
          <w:sz w:val="15"/>
        </w:rPr>
        <w:t xml:space="preserve"> </w:t>
      </w:r>
      <w:r>
        <w:rPr>
          <w:w w:val="105"/>
          <w:sz w:val="15"/>
        </w:rPr>
        <w:t>comparable</w:t>
      </w:r>
      <w:r>
        <w:rPr>
          <w:spacing w:val="-4"/>
          <w:w w:val="105"/>
          <w:sz w:val="15"/>
        </w:rPr>
        <w:t xml:space="preserve"> </w:t>
      </w:r>
      <w:r>
        <w:rPr>
          <w:w w:val="105"/>
          <w:sz w:val="15"/>
        </w:rPr>
        <w:t>sobre</w:t>
      </w:r>
      <w:r>
        <w:rPr>
          <w:spacing w:val="-4"/>
          <w:w w:val="105"/>
          <w:sz w:val="15"/>
        </w:rPr>
        <w:t xml:space="preserve"> </w:t>
      </w:r>
      <w:r>
        <w:rPr>
          <w:w w:val="105"/>
          <w:sz w:val="15"/>
        </w:rPr>
        <w:t>la</w:t>
      </w:r>
      <w:r>
        <w:rPr>
          <w:spacing w:val="-4"/>
          <w:w w:val="105"/>
          <w:sz w:val="15"/>
        </w:rPr>
        <w:t xml:space="preserve"> </w:t>
      </w:r>
      <w:r>
        <w:rPr>
          <w:w w:val="105"/>
          <w:sz w:val="15"/>
        </w:rPr>
        <w:t>base</w:t>
      </w:r>
      <w:r>
        <w:rPr>
          <w:spacing w:val="-4"/>
          <w:w w:val="105"/>
          <w:sz w:val="15"/>
        </w:rPr>
        <w:t xml:space="preserve"> </w:t>
      </w:r>
      <w:r>
        <w:rPr>
          <w:w w:val="105"/>
          <w:sz w:val="15"/>
        </w:rPr>
        <w:t>de</w:t>
      </w:r>
      <w:r>
        <w:rPr>
          <w:spacing w:val="-4"/>
          <w:w w:val="105"/>
          <w:sz w:val="15"/>
        </w:rPr>
        <w:t xml:space="preserve"> </w:t>
      </w:r>
      <w:r>
        <w:rPr>
          <w:w w:val="105"/>
          <w:sz w:val="15"/>
        </w:rPr>
        <w:t>uno</w:t>
      </w:r>
      <w:r>
        <w:rPr>
          <w:spacing w:val="-4"/>
          <w:w w:val="105"/>
          <w:sz w:val="15"/>
        </w:rPr>
        <w:t xml:space="preserve"> </w:t>
      </w:r>
      <w:r>
        <w:rPr>
          <w:w w:val="105"/>
          <w:sz w:val="15"/>
        </w:rPr>
        <w:t>o</w:t>
      </w:r>
      <w:r>
        <w:rPr>
          <w:spacing w:val="-4"/>
          <w:w w:val="105"/>
          <w:sz w:val="15"/>
        </w:rPr>
        <w:t xml:space="preserve"> </w:t>
      </w:r>
      <w:r>
        <w:rPr>
          <w:w w:val="105"/>
          <w:sz w:val="15"/>
        </w:rPr>
        <w:t>más</w:t>
      </w:r>
      <w:r>
        <w:rPr>
          <w:spacing w:val="-4"/>
          <w:w w:val="105"/>
          <w:sz w:val="15"/>
        </w:rPr>
        <w:t xml:space="preserve"> </w:t>
      </w:r>
      <w:r>
        <w:rPr>
          <w:w w:val="105"/>
          <w:sz w:val="15"/>
        </w:rPr>
        <w:t>motivos protegidos;</w:t>
      </w:r>
      <w:r>
        <w:rPr>
          <w:spacing w:val="-10"/>
          <w:w w:val="105"/>
          <w:sz w:val="15"/>
        </w:rPr>
        <w:t xml:space="preserve"> </w:t>
      </w:r>
      <w:r>
        <w:rPr>
          <w:w w:val="105"/>
          <w:sz w:val="15"/>
        </w:rPr>
        <w:t>o</w:t>
      </w:r>
      <w:r>
        <w:rPr>
          <w:spacing w:val="-11"/>
          <w:w w:val="105"/>
          <w:sz w:val="15"/>
        </w:rPr>
        <w:t xml:space="preserve"> </w:t>
      </w:r>
      <w:r>
        <w:rPr>
          <w:w w:val="105"/>
          <w:sz w:val="15"/>
        </w:rPr>
        <w:t>cuando</w:t>
      </w:r>
      <w:r>
        <w:rPr>
          <w:spacing w:val="-10"/>
          <w:w w:val="105"/>
          <w:sz w:val="15"/>
        </w:rPr>
        <w:t xml:space="preserve"> </w:t>
      </w:r>
      <w:r>
        <w:rPr>
          <w:w w:val="105"/>
          <w:sz w:val="15"/>
        </w:rPr>
        <w:t>una</w:t>
      </w:r>
      <w:r>
        <w:rPr>
          <w:spacing w:val="-11"/>
          <w:w w:val="105"/>
          <w:sz w:val="15"/>
        </w:rPr>
        <w:t xml:space="preserve"> </w:t>
      </w:r>
      <w:r>
        <w:rPr>
          <w:w w:val="105"/>
          <w:sz w:val="15"/>
        </w:rPr>
        <w:t>persona</w:t>
      </w:r>
      <w:r>
        <w:rPr>
          <w:spacing w:val="-10"/>
          <w:w w:val="105"/>
          <w:sz w:val="15"/>
        </w:rPr>
        <w:t xml:space="preserve"> </w:t>
      </w:r>
      <w:r>
        <w:rPr>
          <w:w w:val="105"/>
          <w:sz w:val="15"/>
        </w:rPr>
        <w:t>sea</w:t>
      </w:r>
      <w:r>
        <w:rPr>
          <w:spacing w:val="-11"/>
          <w:w w:val="105"/>
          <w:sz w:val="15"/>
        </w:rPr>
        <w:t xml:space="preserve"> </w:t>
      </w:r>
      <w:r>
        <w:rPr>
          <w:w w:val="105"/>
          <w:sz w:val="15"/>
        </w:rPr>
        <w:t>sometida</w:t>
      </w:r>
      <w:r>
        <w:rPr>
          <w:spacing w:val="-10"/>
          <w:w w:val="105"/>
          <w:sz w:val="15"/>
        </w:rPr>
        <w:t xml:space="preserve"> </w:t>
      </w:r>
      <w:r>
        <w:rPr>
          <w:w w:val="105"/>
          <w:sz w:val="15"/>
        </w:rPr>
        <w:t>a</w:t>
      </w:r>
      <w:r>
        <w:rPr>
          <w:spacing w:val="-11"/>
          <w:w w:val="105"/>
          <w:sz w:val="15"/>
        </w:rPr>
        <w:t xml:space="preserve"> </w:t>
      </w:r>
      <w:r>
        <w:rPr>
          <w:w w:val="105"/>
          <w:sz w:val="15"/>
        </w:rPr>
        <w:t>un</w:t>
      </w:r>
      <w:r>
        <w:rPr>
          <w:spacing w:val="-10"/>
          <w:w w:val="105"/>
          <w:sz w:val="15"/>
        </w:rPr>
        <w:t xml:space="preserve"> </w:t>
      </w:r>
      <w:r>
        <w:rPr>
          <w:w w:val="105"/>
          <w:sz w:val="15"/>
        </w:rPr>
        <w:t>perjuicio</w:t>
      </w:r>
      <w:r>
        <w:rPr>
          <w:spacing w:val="-11"/>
          <w:w w:val="105"/>
          <w:sz w:val="15"/>
        </w:rPr>
        <w:t xml:space="preserve"> </w:t>
      </w:r>
      <w:r>
        <w:rPr>
          <w:w w:val="105"/>
          <w:sz w:val="15"/>
        </w:rPr>
        <w:t>basado</w:t>
      </w:r>
      <w:r>
        <w:rPr>
          <w:spacing w:val="-10"/>
          <w:w w:val="105"/>
          <w:sz w:val="15"/>
        </w:rPr>
        <w:t xml:space="preserve"> </w:t>
      </w:r>
      <w:r>
        <w:rPr>
          <w:w w:val="105"/>
          <w:sz w:val="15"/>
        </w:rPr>
        <w:t>en</w:t>
      </w:r>
      <w:r>
        <w:rPr>
          <w:spacing w:val="-11"/>
          <w:w w:val="105"/>
          <w:sz w:val="15"/>
        </w:rPr>
        <w:t xml:space="preserve"> </w:t>
      </w:r>
      <w:r>
        <w:rPr>
          <w:w w:val="105"/>
          <w:sz w:val="15"/>
        </w:rPr>
        <w:t>uno</w:t>
      </w:r>
      <w:r>
        <w:rPr>
          <w:spacing w:val="-10"/>
          <w:w w:val="105"/>
          <w:sz w:val="15"/>
        </w:rPr>
        <w:t xml:space="preserve"> </w:t>
      </w:r>
      <w:r>
        <w:rPr>
          <w:w w:val="105"/>
          <w:sz w:val="15"/>
        </w:rPr>
        <w:t>o</w:t>
      </w:r>
      <w:r>
        <w:rPr>
          <w:spacing w:val="-11"/>
          <w:w w:val="105"/>
          <w:sz w:val="15"/>
        </w:rPr>
        <w:t xml:space="preserve"> </w:t>
      </w:r>
      <w:r>
        <w:rPr>
          <w:w w:val="105"/>
          <w:sz w:val="15"/>
        </w:rPr>
        <w:t>más</w:t>
      </w:r>
      <w:r>
        <w:rPr>
          <w:spacing w:val="-10"/>
          <w:w w:val="105"/>
          <w:sz w:val="15"/>
        </w:rPr>
        <w:t xml:space="preserve"> </w:t>
      </w:r>
      <w:r>
        <w:rPr>
          <w:w w:val="105"/>
          <w:sz w:val="15"/>
        </w:rPr>
        <w:t>motivos</w:t>
      </w:r>
      <w:r>
        <w:rPr>
          <w:spacing w:val="-11"/>
          <w:w w:val="105"/>
          <w:sz w:val="15"/>
        </w:rPr>
        <w:t xml:space="preserve"> </w:t>
      </w:r>
      <w:r>
        <w:rPr>
          <w:w w:val="105"/>
          <w:sz w:val="15"/>
        </w:rPr>
        <w:t>de</w:t>
      </w:r>
      <w:r>
        <w:rPr>
          <w:spacing w:val="-10"/>
          <w:w w:val="105"/>
          <w:sz w:val="15"/>
        </w:rPr>
        <w:t xml:space="preserve"> </w:t>
      </w:r>
      <w:r>
        <w:rPr>
          <w:w w:val="105"/>
          <w:sz w:val="15"/>
        </w:rPr>
        <w:t>discriminación.</w:t>
      </w:r>
    </w:p>
    <w:p w14:paraId="16F22EEC" w14:textId="77777777" w:rsidR="0014798C" w:rsidRDefault="0014798C">
      <w:pPr>
        <w:pStyle w:val="Textoindependiente"/>
        <w:rPr>
          <w:sz w:val="15"/>
        </w:rPr>
      </w:pPr>
    </w:p>
    <w:p w14:paraId="63FED8D1" w14:textId="77777777" w:rsidR="0014798C" w:rsidRDefault="0014798C">
      <w:pPr>
        <w:pStyle w:val="Textoindependiente"/>
        <w:rPr>
          <w:sz w:val="15"/>
        </w:rPr>
      </w:pPr>
    </w:p>
    <w:p w14:paraId="42D0B5E6" w14:textId="77777777" w:rsidR="0014798C" w:rsidRDefault="0014798C">
      <w:pPr>
        <w:pStyle w:val="Textoindependiente"/>
        <w:rPr>
          <w:sz w:val="15"/>
        </w:rPr>
      </w:pPr>
    </w:p>
    <w:p w14:paraId="5BDF0894" w14:textId="77777777" w:rsidR="0014798C" w:rsidRDefault="0014798C">
      <w:pPr>
        <w:pStyle w:val="Textoindependiente"/>
        <w:spacing w:before="68"/>
        <w:rPr>
          <w:sz w:val="15"/>
        </w:rPr>
      </w:pPr>
    </w:p>
    <w:p w14:paraId="1658EF4F" w14:textId="77777777" w:rsidR="0014798C" w:rsidRDefault="004E1F0B">
      <w:pPr>
        <w:spacing w:line="348" w:lineRule="auto"/>
        <w:ind w:left="1107" w:right="1335" w:firstLine="1"/>
        <w:rPr>
          <w:sz w:val="15"/>
        </w:rPr>
      </w:pPr>
      <w:r>
        <w:rPr>
          <w:w w:val="105"/>
          <w:sz w:val="15"/>
        </w:rPr>
        <w:t>La</w:t>
      </w:r>
      <w:r>
        <w:rPr>
          <w:spacing w:val="-5"/>
          <w:w w:val="105"/>
          <w:sz w:val="15"/>
        </w:rPr>
        <w:t xml:space="preserve"> </w:t>
      </w:r>
      <w:r>
        <w:rPr>
          <w:w w:val="105"/>
          <w:sz w:val="15"/>
        </w:rPr>
        <w:t>discriminación</w:t>
      </w:r>
      <w:r>
        <w:rPr>
          <w:spacing w:val="-5"/>
          <w:w w:val="105"/>
          <w:sz w:val="15"/>
        </w:rPr>
        <w:t xml:space="preserve"> </w:t>
      </w:r>
      <w:r>
        <w:rPr>
          <w:w w:val="105"/>
          <w:sz w:val="15"/>
        </w:rPr>
        <w:t>directa</w:t>
      </w:r>
      <w:r>
        <w:rPr>
          <w:spacing w:val="-5"/>
          <w:w w:val="105"/>
          <w:sz w:val="15"/>
        </w:rPr>
        <w:t xml:space="preserve"> </w:t>
      </w:r>
      <w:r>
        <w:rPr>
          <w:w w:val="105"/>
          <w:sz w:val="15"/>
        </w:rPr>
        <w:t>es</w:t>
      </w:r>
      <w:r>
        <w:rPr>
          <w:spacing w:val="-5"/>
          <w:w w:val="105"/>
          <w:sz w:val="15"/>
        </w:rPr>
        <w:t xml:space="preserve"> </w:t>
      </w:r>
      <w:r>
        <w:rPr>
          <w:w w:val="105"/>
          <w:sz w:val="15"/>
        </w:rPr>
        <w:t>lo</w:t>
      </w:r>
      <w:r>
        <w:rPr>
          <w:spacing w:val="-5"/>
          <w:w w:val="105"/>
          <w:sz w:val="15"/>
        </w:rPr>
        <w:t xml:space="preserve"> </w:t>
      </w:r>
      <w:r>
        <w:rPr>
          <w:w w:val="105"/>
          <w:sz w:val="15"/>
        </w:rPr>
        <w:t>que</w:t>
      </w:r>
      <w:r>
        <w:rPr>
          <w:spacing w:val="-5"/>
          <w:w w:val="105"/>
          <w:sz w:val="15"/>
        </w:rPr>
        <w:t xml:space="preserve"> </w:t>
      </w:r>
      <w:r>
        <w:rPr>
          <w:w w:val="105"/>
          <w:sz w:val="15"/>
        </w:rPr>
        <w:t>mucha</w:t>
      </w:r>
      <w:r>
        <w:rPr>
          <w:spacing w:val="-5"/>
          <w:w w:val="105"/>
          <w:sz w:val="15"/>
        </w:rPr>
        <w:t xml:space="preserve"> </w:t>
      </w:r>
      <w:r>
        <w:rPr>
          <w:w w:val="105"/>
          <w:sz w:val="15"/>
        </w:rPr>
        <w:t>gente</w:t>
      </w:r>
      <w:r>
        <w:rPr>
          <w:spacing w:val="-5"/>
          <w:w w:val="105"/>
          <w:sz w:val="15"/>
        </w:rPr>
        <w:t xml:space="preserve"> </w:t>
      </w:r>
      <w:r>
        <w:rPr>
          <w:w w:val="105"/>
          <w:sz w:val="15"/>
        </w:rPr>
        <w:t>entiende</w:t>
      </w:r>
      <w:r>
        <w:rPr>
          <w:spacing w:val="-5"/>
          <w:w w:val="105"/>
          <w:sz w:val="15"/>
        </w:rPr>
        <w:t xml:space="preserve"> </w:t>
      </w:r>
      <w:r>
        <w:rPr>
          <w:w w:val="105"/>
          <w:sz w:val="15"/>
        </w:rPr>
        <w:t>cuando</w:t>
      </w:r>
      <w:r>
        <w:rPr>
          <w:spacing w:val="-5"/>
          <w:w w:val="105"/>
          <w:sz w:val="15"/>
        </w:rPr>
        <w:t xml:space="preserve"> </w:t>
      </w:r>
      <w:r>
        <w:rPr>
          <w:w w:val="105"/>
          <w:sz w:val="15"/>
        </w:rPr>
        <w:t>se</w:t>
      </w:r>
      <w:r>
        <w:rPr>
          <w:spacing w:val="-5"/>
          <w:w w:val="105"/>
          <w:sz w:val="15"/>
        </w:rPr>
        <w:t xml:space="preserve"> </w:t>
      </w:r>
      <w:r>
        <w:rPr>
          <w:w w:val="105"/>
          <w:sz w:val="15"/>
        </w:rPr>
        <w:t>utiliza</w:t>
      </w:r>
      <w:r>
        <w:rPr>
          <w:spacing w:val="-5"/>
          <w:w w:val="105"/>
          <w:sz w:val="15"/>
        </w:rPr>
        <w:t xml:space="preserve"> </w:t>
      </w:r>
      <w:r>
        <w:rPr>
          <w:w w:val="105"/>
          <w:sz w:val="15"/>
        </w:rPr>
        <w:t>la</w:t>
      </w:r>
      <w:r>
        <w:rPr>
          <w:spacing w:val="-5"/>
          <w:w w:val="105"/>
          <w:sz w:val="15"/>
        </w:rPr>
        <w:t xml:space="preserve"> </w:t>
      </w:r>
      <w:r>
        <w:rPr>
          <w:w w:val="105"/>
          <w:sz w:val="15"/>
        </w:rPr>
        <w:t>palabra</w:t>
      </w:r>
      <w:r>
        <w:rPr>
          <w:spacing w:val="-5"/>
          <w:w w:val="105"/>
          <w:sz w:val="15"/>
        </w:rPr>
        <w:t xml:space="preserve"> </w:t>
      </w:r>
      <w:r>
        <w:rPr>
          <w:w w:val="105"/>
          <w:sz w:val="15"/>
        </w:rPr>
        <w:t>“discriminación”</w:t>
      </w:r>
      <w:r>
        <w:rPr>
          <w:spacing w:val="-5"/>
          <w:w w:val="105"/>
          <w:sz w:val="15"/>
        </w:rPr>
        <w:t xml:space="preserve"> </w:t>
      </w:r>
      <w:r>
        <w:rPr>
          <w:w w:val="105"/>
          <w:sz w:val="15"/>
        </w:rPr>
        <w:t>en</w:t>
      </w:r>
      <w:r>
        <w:rPr>
          <w:spacing w:val="-5"/>
          <w:w w:val="105"/>
          <w:sz w:val="15"/>
        </w:rPr>
        <w:t xml:space="preserve"> </w:t>
      </w:r>
      <w:r>
        <w:rPr>
          <w:w w:val="105"/>
          <w:sz w:val="15"/>
        </w:rPr>
        <w:t>el</w:t>
      </w:r>
      <w:r>
        <w:rPr>
          <w:spacing w:val="-5"/>
          <w:w w:val="105"/>
          <w:sz w:val="15"/>
        </w:rPr>
        <w:t xml:space="preserve"> </w:t>
      </w:r>
      <w:r>
        <w:rPr>
          <w:w w:val="105"/>
          <w:sz w:val="15"/>
        </w:rPr>
        <w:t>discurso</w:t>
      </w:r>
      <w:r>
        <w:rPr>
          <w:spacing w:val="-5"/>
          <w:w w:val="105"/>
          <w:sz w:val="15"/>
        </w:rPr>
        <w:t xml:space="preserve"> </w:t>
      </w:r>
      <w:r>
        <w:rPr>
          <w:w w:val="105"/>
          <w:sz w:val="15"/>
        </w:rPr>
        <w:t>general:</w:t>
      </w:r>
      <w:r>
        <w:rPr>
          <w:spacing w:val="-5"/>
          <w:w w:val="105"/>
          <w:sz w:val="15"/>
        </w:rPr>
        <w:t xml:space="preserve"> </w:t>
      </w:r>
      <w:r>
        <w:rPr>
          <w:w w:val="105"/>
          <w:sz w:val="15"/>
        </w:rPr>
        <w:t>tratar</w:t>
      </w:r>
      <w:r>
        <w:rPr>
          <w:spacing w:val="-5"/>
          <w:w w:val="105"/>
          <w:sz w:val="15"/>
        </w:rPr>
        <w:t xml:space="preserve"> </w:t>
      </w:r>
      <w:r>
        <w:rPr>
          <w:w w:val="105"/>
          <w:sz w:val="15"/>
        </w:rPr>
        <w:t>a alguien</w:t>
      </w:r>
      <w:r>
        <w:rPr>
          <w:spacing w:val="-5"/>
          <w:w w:val="105"/>
          <w:sz w:val="15"/>
        </w:rPr>
        <w:t xml:space="preserve"> </w:t>
      </w:r>
      <w:r>
        <w:rPr>
          <w:w w:val="105"/>
          <w:sz w:val="15"/>
        </w:rPr>
        <w:t>de</w:t>
      </w:r>
      <w:r>
        <w:rPr>
          <w:spacing w:val="-5"/>
          <w:w w:val="105"/>
          <w:sz w:val="15"/>
        </w:rPr>
        <w:t xml:space="preserve"> </w:t>
      </w:r>
      <w:r>
        <w:rPr>
          <w:w w:val="105"/>
          <w:sz w:val="15"/>
        </w:rPr>
        <w:t>manera</w:t>
      </w:r>
      <w:r>
        <w:rPr>
          <w:spacing w:val="-5"/>
          <w:w w:val="105"/>
          <w:sz w:val="15"/>
        </w:rPr>
        <w:t xml:space="preserve"> </w:t>
      </w:r>
      <w:r>
        <w:rPr>
          <w:w w:val="105"/>
          <w:sz w:val="15"/>
        </w:rPr>
        <w:t>menos</w:t>
      </w:r>
      <w:r>
        <w:rPr>
          <w:spacing w:val="-5"/>
          <w:w w:val="105"/>
          <w:sz w:val="15"/>
        </w:rPr>
        <w:t xml:space="preserve"> </w:t>
      </w:r>
      <w:r>
        <w:rPr>
          <w:w w:val="105"/>
          <w:sz w:val="15"/>
        </w:rPr>
        <w:t>favorable</w:t>
      </w:r>
      <w:r>
        <w:rPr>
          <w:spacing w:val="-5"/>
          <w:w w:val="105"/>
          <w:sz w:val="15"/>
        </w:rPr>
        <w:t xml:space="preserve"> </w:t>
      </w:r>
      <w:r>
        <w:rPr>
          <w:w w:val="105"/>
          <w:sz w:val="15"/>
        </w:rPr>
        <w:t>debido</w:t>
      </w:r>
      <w:r>
        <w:rPr>
          <w:spacing w:val="-5"/>
          <w:w w:val="105"/>
          <w:sz w:val="15"/>
        </w:rPr>
        <w:t xml:space="preserve"> </w:t>
      </w:r>
      <w:r>
        <w:rPr>
          <w:w w:val="105"/>
          <w:sz w:val="15"/>
        </w:rPr>
        <w:t>a</w:t>
      </w:r>
      <w:r>
        <w:rPr>
          <w:spacing w:val="-5"/>
          <w:w w:val="105"/>
          <w:sz w:val="15"/>
        </w:rPr>
        <w:t xml:space="preserve"> </w:t>
      </w:r>
      <w:r>
        <w:rPr>
          <w:w w:val="105"/>
          <w:sz w:val="15"/>
        </w:rPr>
        <w:t>una</w:t>
      </w:r>
      <w:r>
        <w:rPr>
          <w:spacing w:val="-5"/>
          <w:w w:val="105"/>
          <w:sz w:val="15"/>
        </w:rPr>
        <w:t xml:space="preserve"> </w:t>
      </w:r>
      <w:r>
        <w:rPr>
          <w:w w:val="105"/>
          <w:sz w:val="15"/>
        </w:rPr>
        <w:t>característica</w:t>
      </w:r>
      <w:r>
        <w:rPr>
          <w:spacing w:val="-5"/>
          <w:w w:val="105"/>
          <w:sz w:val="15"/>
        </w:rPr>
        <w:t xml:space="preserve"> </w:t>
      </w:r>
      <w:r>
        <w:rPr>
          <w:w w:val="105"/>
          <w:sz w:val="15"/>
        </w:rPr>
        <w:t>o</w:t>
      </w:r>
      <w:r>
        <w:rPr>
          <w:spacing w:val="-5"/>
          <w:w w:val="105"/>
          <w:sz w:val="15"/>
        </w:rPr>
        <w:t xml:space="preserve"> </w:t>
      </w:r>
      <w:r>
        <w:rPr>
          <w:w w:val="105"/>
          <w:sz w:val="15"/>
        </w:rPr>
        <w:t>características</w:t>
      </w:r>
      <w:r>
        <w:rPr>
          <w:spacing w:val="-6"/>
          <w:w w:val="105"/>
          <w:sz w:val="15"/>
        </w:rPr>
        <w:t xml:space="preserve"> </w:t>
      </w:r>
      <w:r>
        <w:rPr>
          <w:w w:val="105"/>
          <w:sz w:val="15"/>
        </w:rPr>
        <w:t>particulares.</w:t>
      </w:r>
      <w:r>
        <w:rPr>
          <w:spacing w:val="-4"/>
          <w:w w:val="105"/>
          <w:sz w:val="15"/>
        </w:rPr>
        <w:t xml:space="preserve"> </w:t>
      </w:r>
      <w:r>
        <w:rPr>
          <w:w w:val="105"/>
          <w:sz w:val="15"/>
        </w:rPr>
        <w:t>Los</w:t>
      </w:r>
      <w:r>
        <w:rPr>
          <w:spacing w:val="-5"/>
          <w:w w:val="105"/>
          <w:sz w:val="15"/>
        </w:rPr>
        <w:t xml:space="preserve"> </w:t>
      </w:r>
      <w:r>
        <w:rPr>
          <w:w w:val="105"/>
          <w:sz w:val="15"/>
        </w:rPr>
        <w:t>ejemplos</w:t>
      </w:r>
      <w:r>
        <w:rPr>
          <w:spacing w:val="-5"/>
          <w:w w:val="105"/>
          <w:sz w:val="15"/>
        </w:rPr>
        <w:t xml:space="preserve"> </w:t>
      </w:r>
      <w:r>
        <w:rPr>
          <w:w w:val="105"/>
          <w:sz w:val="15"/>
        </w:rPr>
        <w:t>incluyen</w:t>
      </w:r>
      <w:r>
        <w:rPr>
          <w:spacing w:val="-5"/>
          <w:w w:val="105"/>
          <w:sz w:val="15"/>
        </w:rPr>
        <w:t xml:space="preserve"> </w:t>
      </w:r>
      <w:r>
        <w:rPr>
          <w:w w:val="105"/>
          <w:sz w:val="15"/>
        </w:rPr>
        <w:t>un</w:t>
      </w:r>
      <w:r>
        <w:rPr>
          <w:spacing w:val="-5"/>
          <w:w w:val="105"/>
          <w:sz w:val="15"/>
        </w:rPr>
        <w:t xml:space="preserve"> </w:t>
      </w:r>
      <w:r>
        <w:rPr>
          <w:w w:val="105"/>
          <w:sz w:val="15"/>
        </w:rPr>
        <w:t>empleador que</w:t>
      </w:r>
      <w:r>
        <w:rPr>
          <w:spacing w:val="-4"/>
          <w:w w:val="105"/>
          <w:sz w:val="15"/>
        </w:rPr>
        <w:t xml:space="preserve"> </w:t>
      </w:r>
      <w:r>
        <w:rPr>
          <w:w w:val="105"/>
          <w:sz w:val="15"/>
        </w:rPr>
        <w:t>se</w:t>
      </w:r>
      <w:r>
        <w:rPr>
          <w:spacing w:val="-4"/>
          <w:w w:val="105"/>
          <w:sz w:val="15"/>
        </w:rPr>
        <w:t xml:space="preserve"> </w:t>
      </w:r>
      <w:r>
        <w:rPr>
          <w:w w:val="105"/>
          <w:sz w:val="15"/>
        </w:rPr>
        <w:t>niega</w:t>
      </w:r>
      <w:r>
        <w:rPr>
          <w:spacing w:val="-4"/>
          <w:w w:val="105"/>
          <w:sz w:val="15"/>
        </w:rPr>
        <w:t xml:space="preserve"> </w:t>
      </w:r>
      <w:r>
        <w:rPr>
          <w:w w:val="105"/>
          <w:sz w:val="15"/>
        </w:rPr>
        <w:t>a</w:t>
      </w:r>
      <w:r>
        <w:rPr>
          <w:spacing w:val="-4"/>
          <w:w w:val="105"/>
          <w:sz w:val="15"/>
        </w:rPr>
        <w:t xml:space="preserve"> </w:t>
      </w:r>
      <w:r>
        <w:rPr>
          <w:w w:val="105"/>
          <w:sz w:val="15"/>
        </w:rPr>
        <w:t>contratar</w:t>
      </w:r>
      <w:r>
        <w:rPr>
          <w:spacing w:val="-5"/>
          <w:w w:val="105"/>
          <w:sz w:val="15"/>
        </w:rPr>
        <w:t xml:space="preserve"> </w:t>
      </w:r>
      <w:r>
        <w:rPr>
          <w:w w:val="105"/>
          <w:sz w:val="15"/>
        </w:rPr>
        <w:t>a</w:t>
      </w:r>
      <w:r>
        <w:rPr>
          <w:spacing w:val="-4"/>
          <w:w w:val="105"/>
          <w:sz w:val="15"/>
        </w:rPr>
        <w:t xml:space="preserve"> </w:t>
      </w:r>
      <w:r>
        <w:rPr>
          <w:w w:val="105"/>
          <w:sz w:val="15"/>
        </w:rPr>
        <w:t>alguien</w:t>
      </w:r>
      <w:r>
        <w:rPr>
          <w:spacing w:val="-4"/>
          <w:w w:val="105"/>
          <w:sz w:val="15"/>
        </w:rPr>
        <w:t xml:space="preserve"> </w:t>
      </w:r>
      <w:r>
        <w:rPr>
          <w:w w:val="105"/>
          <w:sz w:val="15"/>
        </w:rPr>
        <w:t>debido</w:t>
      </w:r>
      <w:r>
        <w:rPr>
          <w:spacing w:val="-4"/>
          <w:w w:val="105"/>
          <w:sz w:val="15"/>
        </w:rPr>
        <w:t xml:space="preserve"> </w:t>
      </w:r>
      <w:r>
        <w:rPr>
          <w:w w:val="105"/>
          <w:sz w:val="15"/>
        </w:rPr>
        <w:t>a</w:t>
      </w:r>
      <w:r>
        <w:rPr>
          <w:spacing w:val="-4"/>
          <w:w w:val="105"/>
          <w:sz w:val="15"/>
        </w:rPr>
        <w:t xml:space="preserve"> </w:t>
      </w:r>
      <w:r>
        <w:rPr>
          <w:w w:val="105"/>
          <w:sz w:val="15"/>
        </w:rPr>
        <w:t>su</w:t>
      </w:r>
      <w:r>
        <w:rPr>
          <w:spacing w:val="-4"/>
          <w:w w:val="105"/>
          <w:sz w:val="15"/>
        </w:rPr>
        <w:t xml:space="preserve"> </w:t>
      </w:r>
      <w:r>
        <w:rPr>
          <w:w w:val="105"/>
          <w:sz w:val="15"/>
        </w:rPr>
        <w:t>origen</w:t>
      </w:r>
      <w:r>
        <w:rPr>
          <w:spacing w:val="-4"/>
          <w:w w:val="105"/>
          <w:sz w:val="15"/>
        </w:rPr>
        <w:t xml:space="preserve"> </w:t>
      </w:r>
      <w:r>
        <w:rPr>
          <w:w w:val="105"/>
          <w:sz w:val="15"/>
        </w:rPr>
        <w:t>étnico</w:t>
      </w:r>
      <w:r>
        <w:rPr>
          <w:spacing w:val="-4"/>
          <w:w w:val="105"/>
          <w:sz w:val="15"/>
        </w:rPr>
        <w:t xml:space="preserve"> </w:t>
      </w:r>
      <w:r>
        <w:rPr>
          <w:w w:val="105"/>
          <w:sz w:val="15"/>
        </w:rPr>
        <w:t>o</w:t>
      </w:r>
      <w:r>
        <w:rPr>
          <w:spacing w:val="-4"/>
          <w:w w:val="105"/>
          <w:sz w:val="15"/>
        </w:rPr>
        <w:t xml:space="preserve"> </w:t>
      </w:r>
      <w:r>
        <w:rPr>
          <w:w w:val="105"/>
          <w:sz w:val="15"/>
        </w:rPr>
        <w:t>un</w:t>
      </w:r>
      <w:r>
        <w:rPr>
          <w:spacing w:val="-4"/>
          <w:w w:val="105"/>
          <w:sz w:val="15"/>
        </w:rPr>
        <w:t xml:space="preserve"> </w:t>
      </w:r>
      <w:r>
        <w:rPr>
          <w:w w:val="105"/>
          <w:sz w:val="15"/>
        </w:rPr>
        <w:t>restaurante</w:t>
      </w:r>
      <w:r>
        <w:rPr>
          <w:spacing w:val="-4"/>
          <w:w w:val="105"/>
          <w:sz w:val="15"/>
        </w:rPr>
        <w:t xml:space="preserve"> </w:t>
      </w:r>
      <w:r>
        <w:rPr>
          <w:w w:val="105"/>
          <w:sz w:val="15"/>
        </w:rPr>
        <w:t>que</w:t>
      </w:r>
      <w:r>
        <w:rPr>
          <w:spacing w:val="-4"/>
          <w:w w:val="105"/>
          <w:sz w:val="15"/>
        </w:rPr>
        <w:t xml:space="preserve"> </w:t>
      </w:r>
      <w:r>
        <w:rPr>
          <w:w w:val="105"/>
          <w:sz w:val="15"/>
        </w:rPr>
        <w:t>niega</w:t>
      </w:r>
      <w:r>
        <w:rPr>
          <w:spacing w:val="-4"/>
          <w:w w:val="105"/>
          <w:sz w:val="15"/>
        </w:rPr>
        <w:t xml:space="preserve"> </w:t>
      </w:r>
      <w:r>
        <w:rPr>
          <w:w w:val="105"/>
          <w:sz w:val="15"/>
        </w:rPr>
        <w:t>la</w:t>
      </w:r>
      <w:r>
        <w:rPr>
          <w:spacing w:val="-4"/>
          <w:w w:val="105"/>
          <w:sz w:val="15"/>
        </w:rPr>
        <w:t xml:space="preserve"> </w:t>
      </w:r>
      <w:r>
        <w:rPr>
          <w:w w:val="105"/>
          <w:sz w:val="15"/>
        </w:rPr>
        <w:t>entrada</w:t>
      </w:r>
      <w:r>
        <w:rPr>
          <w:spacing w:val="-4"/>
          <w:w w:val="105"/>
          <w:sz w:val="15"/>
        </w:rPr>
        <w:t xml:space="preserve"> </w:t>
      </w:r>
      <w:r>
        <w:rPr>
          <w:w w:val="105"/>
          <w:sz w:val="15"/>
        </w:rPr>
        <w:t>a</w:t>
      </w:r>
      <w:r>
        <w:rPr>
          <w:spacing w:val="-4"/>
          <w:w w:val="105"/>
          <w:sz w:val="15"/>
        </w:rPr>
        <w:t xml:space="preserve"> </w:t>
      </w:r>
      <w:r>
        <w:rPr>
          <w:w w:val="105"/>
          <w:sz w:val="15"/>
        </w:rPr>
        <w:t>alguien</w:t>
      </w:r>
      <w:r>
        <w:rPr>
          <w:spacing w:val="-4"/>
          <w:w w:val="105"/>
          <w:sz w:val="15"/>
        </w:rPr>
        <w:t xml:space="preserve"> </w:t>
      </w:r>
      <w:r>
        <w:rPr>
          <w:w w:val="105"/>
          <w:sz w:val="15"/>
        </w:rPr>
        <w:t>debido</w:t>
      </w:r>
      <w:r>
        <w:rPr>
          <w:spacing w:val="-4"/>
          <w:w w:val="105"/>
          <w:sz w:val="15"/>
        </w:rPr>
        <w:t xml:space="preserve"> </w:t>
      </w:r>
      <w:r>
        <w:rPr>
          <w:w w:val="105"/>
          <w:sz w:val="15"/>
        </w:rPr>
        <w:t>a</w:t>
      </w:r>
      <w:r>
        <w:rPr>
          <w:spacing w:val="-4"/>
          <w:w w:val="105"/>
          <w:sz w:val="15"/>
        </w:rPr>
        <w:t xml:space="preserve"> </w:t>
      </w:r>
      <w:r>
        <w:rPr>
          <w:w w:val="105"/>
          <w:sz w:val="15"/>
        </w:rPr>
        <w:t>su</w:t>
      </w:r>
      <w:r>
        <w:rPr>
          <w:spacing w:val="-4"/>
          <w:w w:val="105"/>
          <w:sz w:val="15"/>
        </w:rPr>
        <w:t xml:space="preserve"> </w:t>
      </w:r>
      <w:r>
        <w:rPr>
          <w:w w:val="105"/>
          <w:sz w:val="15"/>
        </w:rPr>
        <w:t>orientación sexual.</w:t>
      </w:r>
      <w:r>
        <w:rPr>
          <w:spacing w:val="-6"/>
          <w:w w:val="105"/>
          <w:sz w:val="15"/>
        </w:rPr>
        <w:t xml:space="preserve"> </w:t>
      </w:r>
      <w:r>
        <w:rPr>
          <w:w w:val="105"/>
          <w:sz w:val="15"/>
        </w:rPr>
        <w:t>Si</w:t>
      </w:r>
      <w:r>
        <w:rPr>
          <w:spacing w:val="-6"/>
          <w:w w:val="105"/>
          <w:sz w:val="15"/>
        </w:rPr>
        <w:t xml:space="preserve"> </w:t>
      </w:r>
      <w:r>
        <w:rPr>
          <w:w w:val="105"/>
          <w:sz w:val="15"/>
        </w:rPr>
        <w:t>bien</w:t>
      </w:r>
      <w:r>
        <w:rPr>
          <w:spacing w:val="-6"/>
          <w:w w:val="105"/>
          <w:sz w:val="15"/>
        </w:rPr>
        <w:t xml:space="preserve"> </w:t>
      </w:r>
      <w:r>
        <w:rPr>
          <w:w w:val="105"/>
          <w:sz w:val="15"/>
        </w:rPr>
        <w:t>ambos</w:t>
      </w:r>
      <w:r>
        <w:rPr>
          <w:spacing w:val="-6"/>
          <w:w w:val="105"/>
          <w:sz w:val="15"/>
        </w:rPr>
        <w:t xml:space="preserve"> </w:t>
      </w:r>
      <w:r>
        <w:rPr>
          <w:w w:val="105"/>
          <w:sz w:val="15"/>
        </w:rPr>
        <w:t>ejemplos</w:t>
      </w:r>
      <w:r>
        <w:rPr>
          <w:spacing w:val="-6"/>
          <w:w w:val="105"/>
          <w:sz w:val="15"/>
        </w:rPr>
        <w:t xml:space="preserve"> </w:t>
      </w:r>
      <w:r>
        <w:rPr>
          <w:w w:val="105"/>
          <w:sz w:val="15"/>
        </w:rPr>
        <w:t>implican</w:t>
      </w:r>
      <w:r>
        <w:rPr>
          <w:spacing w:val="-6"/>
          <w:w w:val="105"/>
          <w:sz w:val="15"/>
        </w:rPr>
        <w:t xml:space="preserve"> </w:t>
      </w:r>
      <w:r>
        <w:rPr>
          <w:w w:val="105"/>
          <w:sz w:val="15"/>
        </w:rPr>
        <w:t>un</w:t>
      </w:r>
      <w:r>
        <w:rPr>
          <w:spacing w:val="-6"/>
          <w:w w:val="105"/>
          <w:sz w:val="15"/>
        </w:rPr>
        <w:t xml:space="preserve"> </w:t>
      </w:r>
      <w:r>
        <w:rPr>
          <w:w w:val="105"/>
          <w:sz w:val="15"/>
        </w:rPr>
        <w:t>trato</w:t>
      </w:r>
      <w:r>
        <w:rPr>
          <w:spacing w:val="-6"/>
          <w:w w:val="105"/>
          <w:sz w:val="15"/>
        </w:rPr>
        <w:t xml:space="preserve"> </w:t>
      </w:r>
      <w:r>
        <w:rPr>
          <w:w w:val="105"/>
          <w:sz w:val="15"/>
        </w:rPr>
        <w:t>desfavorable</w:t>
      </w:r>
      <w:r>
        <w:rPr>
          <w:spacing w:val="-6"/>
          <w:w w:val="105"/>
          <w:sz w:val="15"/>
        </w:rPr>
        <w:t xml:space="preserve"> </w:t>
      </w:r>
      <w:r>
        <w:rPr>
          <w:w w:val="105"/>
          <w:sz w:val="15"/>
        </w:rPr>
        <w:t>“abierto”</w:t>
      </w:r>
      <w:r>
        <w:rPr>
          <w:spacing w:val="-6"/>
          <w:w w:val="105"/>
          <w:sz w:val="15"/>
        </w:rPr>
        <w:t xml:space="preserve"> </w:t>
      </w:r>
      <w:r>
        <w:rPr>
          <w:w w:val="105"/>
          <w:sz w:val="15"/>
        </w:rPr>
        <w:t>(abierto</w:t>
      </w:r>
      <w:r>
        <w:rPr>
          <w:spacing w:val="-6"/>
          <w:w w:val="105"/>
          <w:sz w:val="15"/>
        </w:rPr>
        <w:t xml:space="preserve"> </w:t>
      </w:r>
      <w:r>
        <w:rPr>
          <w:w w:val="105"/>
          <w:sz w:val="15"/>
        </w:rPr>
        <w:t>y</w:t>
      </w:r>
      <w:r>
        <w:rPr>
          <w:spacing w:val="-6"/>
          <w:w w:val="105"/>
          <w:sz w:val="15"/>
        </w:rPr>
        <w:t xml:space="preserve"> </w:t>
      </w:r>
      <w:r>
        <w:rPr>
          <w:w w:val="105"/>
          <w:sz w:val="15"/>
        </w:rPr>
        <w:t>transparente)</w:t>
      </w:r>
      <w:r>
        <w:rPr>
          <w:spacing w:val="-6"/>
          <w:w w:val="105"/>
          <w:sz w:val="15"/>
        </w:rPr>
        <w:t xml:space="preserve"> </w:t>
      </w:r>
      <w:r>
        <w:rPr>
          <w:w w:val="105"/>
          <w:sz w:val="15"/>
        </w:rPr>
        <w:t>explícitamente</w:t>
      </w:r>
      <w:r>
        <w:rPr>
          <w:spacing w:val="-6"/>
          <w:w w:val="105"/>
          <w:sz w:val="15"/>
        </w:rPr>
        <w:t xml:space="preserve"> </w:t>
      </w:r>
      <w:r>
        <w:rPr>
          <w:w w:val="105"/>
          <w:sz w:val="15"/>
        </w:rPr>
        <w:t>relacionado</w:t>
      </w:r>
      <w:r>
        <w:rPr>
          <w:spacing w:val="-6"/>
          <w:w w:val="105"/>
          <w:sz w:val="15"/>
        </w:rPr>
        <w:t xml:space="preserve"> </w:t>
      </w:r>
      <w:r>
        <w:rPr>
          <w:w w:val="105"/>
          <w:sz w:val="15"/>
        </w:rPr>
        <w:t>con</w:t>
      </w:r>
      <w:r>
        <w:rPr>
          <w:spacing w:val="-6"/>
          <w:w w:val="105"/>
          <w:sz w:val="15"/>
        </w:rPr>
        <w:t xml:space="preserve"> </w:t>
      </w:r>
      <w:r>
        <w:rPr>
          <w:w w:val="105"/>
          <w:sz w:val="15"/>
        </w:rPr>
        <w:t>una característica</w:t>
      </w:r>
      <w:r>
        <w:rPr>
          <w:spacing w:val="-7"/>
          <w:w w:val="105"/>
          <w:sz w:val="15"/>
        </w:rPr>
        <w:t xml:space="preserve"> </w:t>
      </w:r>
      <w:r>
        <w:rPr>
          <w:w w:val="105"/>
          <w:sz w:val="15"/>
        </w:rPr>
        <w:t>particular,</w:t>
      </w:r>
      <w:r>
        <w:rPr>
          <w:spacing w:val="-6"/>
          <w:w w:val="105"/>
          <w:sz w:val="15"/>
        </w:rPr>
        <w:t xml:space="preserve"> </w:t>
      </w:r>
      <w:r>
        <w:rPr>
          <w:w w:val="105"/>
          <w:sz w:val="15"/>
        </w:rPr>
        <w:t>la</w:t>
      </w:r>
      <w:r>
        <w:rPr>
          <w:spacing w:val="-7"/>
          <w:w w:val="105"/>
          <w:sz w:val="15"/>
        </w:rPr>
        <w:t xml:space="preserve"> </w:t>
      </w:r>
      <w:r>
        <w:rPr>
          <w:w w:val="105"/>
          <w:sz w:val="15"/>
        </w:rPr>
        <w:t>discriminación</w:t>
      </w:r>
      <w:r>
        <w:rPr>
          <w:spacing w:val="-7"/>
          <w:w w:val="105"/>
          <w:sz w:val="15"/>
        </w:rPr>
        <w:t xml:space="preserve"> </w:t>
      </w:r>
      <w:r>
        <w:rPr>
          <w:w w:val="105"/>
          <w:sz w:val="15"/>
        </w:rPr>
        <w:t>directa</w:t>
      </w:r>
      <w:r>
        <w:rPr>
          <w:spacing w:val="-7"/>
          <w:w w:val="105"/>
          <w:sz w:val="15"/>
        </w:rPr>
        <w:t xml:space="preserve"> </w:t>
      </w:r>
      <w:r>
        <w:rPr>
          <w:w w:val="105"/>
          <w:sz w:val="15"/>
        </w:rPr>
        <w:t>también</w:t>
      </w:r>
      <w:r>
        <w:rPr>
          <w:spacing w:val="-7"/>
          <w:w w:val="105"/>
          <w:sz w:val="15"/>
        </w:rPr>
        <w:t xml:space="preserve"> </w:t>
      </w:r>
      <w:r>
        <w:rPr>
          <w:w w:val="105"/>
          <w:sz w:val="15"/>
        </w:rPr>
        <w:t>puede</w:t>
      </w:r>
      <w:r>
        <w:rPr>
          <w:spacing w:val="-7"/>
          <w:w w:val="105"/>
          <w:sz w:val="15"/>
        </w:rPr>
        <w:t xml:space="preserve"> </w:t>
      </w:r>
      <w:r>
        <w:rPr>
          <w:w w:val="105"/>
          <w:sz w:val="15"/>
        </w:rPr>
        <w:t>ser</w:t>
      </w:r>
      <w:r>
        <w:rPr>
          <w:spacing w:val="-7"/>
          <w:w w:val="105"/>
          <w:sz w:val="15"/>
        </w:rPr>
        <w:t xml:space="preserve"> </w:t>
      </w:r>
      <w:r>
        <w:rPr>
          <w:w w:val="105"/>
          <w:sz w:val="15"/>
        </w:rPr>
        <w:t>encubierta</w:t>
      </w:r>
      <w:r>
        <w:rPr>
          <w:spacing w:val="-7"/>
          <w:w w:val="105"/>
          <w:sz w:val="15"/>
        </w:rPr>
        <w:t xml:space="preserve"> </w:t>
      </w:r>
      <w:r>
        <w:rPr>
          <w:w w:val="105"/>
          <w:sz w:val="15"/>
        </w:rPr>
        <w:t>o</w:t>
      </w:r>
      <w:r>
        <w:rPr>
          <w:spacing w:val="-7"/>
          <w:w w:val="105"/>
          <w:sz w:val="15"/>
        </w:rPr>
        <w:t xml:space="preserve"> </w:t>
      </w:r>
      <w:r>
        <w:rPr>
          <w:w w:val="105"/>
          <w:sz w:val="15"/>
        </w:rPr>
        <w:t>realizarse</w:t>
      </w:r>
      <w:r>
        <w:rPr>
          <w:spacing w:val="-7"/>
          <w:w w:val="105"/>
          <w:sz w:val="15"/>
        </w:rPr>
        <w:t xml:space="preserve"> </w:t>
      </w:r>
      <w:r>
        <w:rPr>
          <w:w w:val="105"/>
          <w:sz w:val="15"/>
        </w:rPr>
        <w:t>con</w:t>
      </w:r>
      <w:r>
        <w:rPr>
          <w:spacing w:val="-7"/>
          <w:w w:val="105"/>
          <w:sz w:val="15"/>
        </w:rPr>
        <w:t xml:space="preserve"> </w:t>
      </w:r>
      <w:r>
        <w:rPr>
          <w:w w:val="105"/>
          <w:sz w:val="15"/>
        </w:rPr>
        <w:t>un</w:t>
      </w:r>
      <w:r>
        <w:rPr>
          <w:spacing w:val="-7"/>
          <w:w w:val="105"/>
          <w:sz w:val="15"/>
        </w:rPr>
        <w:t xml:space="preserve"> </w:t>
      </w:r>
      <w:r>
        <w:rPr>
          <w:w w:val="105"/>
          <w:sz w:val="15"/>
        </w:rPr>
        <w:t>pretexto.212</w:t>
      </w:r>
      <w:r>
        <w:rPr>
          <w:spacing w:val="-7"/>
          <w:w w:val="105"/>
          <w:sz w:val="15"/>
        </w:rPr>
        <w:t xml:space="preserve"> </w:t>
      </w:r>
      <w:r>
        <w:rPr>
          <w:w w:val="105"/>
          <w:sz w:val="15"/>
        </w:rPr>
        <w:t>Además,</w:t>
      </w:r>
      <w:r>
        <w:rPr>
          <w:spacing w:val="-7"/>
          <w:w w:val="105"/>
          <w:sz w:val="15"/>
        </w:rPr>
        <w:t xml:space="preserve"> </w:t>
      </w:r>
      <w:r>
        <w:rPr>
          <w:w w:val="105"/>
          <w:sz w:val="15"/>
        </w:rPr>
        <w:t>la discriminación</w:t>
      </w:r>
      <w:r>
        <w:rPr>
          <w:spacing w:val="-9"/>
          <w:w w:val="105"/>
          <w:sz w:val="15"/>
        </w:rPr>
        <w:t xml:space="preserve"> </w:t>
      </w:r>
      <w:r>
        <w:rPr>
          <w:w w:val="105"/>
          <w:sz w:val="15"/>
        </w:rPr>
        <w:t>directa</w:t>
      </w:r>
      <w:r>
        <w:rPr>
          <w:spacing w:val="-9"/>
          <w:w w:val="105"/>
          <w:sz w:val="15"/>
        </w:rPr>
        <w:t xml:space="preserve"> </w:t>
      </w:r>
      <w:r>
        <w:rPr>
          <w:w w:val="105"/>
          <w:sz w:val="15"/>
        </w:rPr>
        <w:t>no</w:t>
      </w:r>
      <w:r>
        <w:rPr>
          <w:spacing w:val="-9"/>
          <w:w w:val="105"/>
          <w:sz w:val="15"/>
        </w:rPr>
        <w:t xml:space="preserve"> </w:t>
      </w:r>
      <w:r>
        <w:rPr>
          <w:w w:val="105"/>
          <w:sz w:val="15"/>
        </w:rPr>
        <w:t>requiere</w:t>
      </w:r>
      <w:r>
        <w:rPr>
          <w:spacing w:val="-9"/>
          <w:w w:val="105"/>
          <w:sz w:val="15"/>
        </w:rPr>
        <w:t xml:space="preserve"> </w:t>
      </w:r>
      <w:r>
        <w:rPr>
          <w:w w:val="105"/>
          <w:sz w:val="15"/>
        </w:rPr>
        <w:t>motivo</w:t>
      </w:r>
      <w:r>
        <w:rPr>
          <w:spacing w:val="-9"/>
          <w:w w:val="105"/>
          <w:sz w:val="15"/>
        </w:rPr>
        <w:t xml:space="preserve"> </w:t>
      </w:r>
      <w:r>
        <w:rPr>
          <w:w w:val="105"/>
          <w:sz w:val="15"/>
        </w:rPr>
        <w:t>o</w:t>
      </w:r>
      <w:r>
        <w:rPr>
          <w:spacing w:val="-9"/>
          <w:w w:val="105"/>
          <w:sz w:val="15"/>
        </w:rPr>
        <w:t xml:space="preserve"> </w:t>
      </w:r>
      <w:r>
        <w:rPr>
          <w:w w:val="105"/>
          <w:sz w:val="15"/>
        </w:rPr>
        <w:t>intención:</w:t>
      </w:r>
      <w:r>
        <w:rPr>
          <w:spacing w:val="-8"/>
          <w:w w:val="105"/>
          <w:sz w:val="15"/>
        </w:rPr>
        <w:t xml:space="preserve"> </w:t>
      </w:r>
      <w:r>
        <w:rPr>
          <w:w w:val="105"/>
          <w:sz w:val="15"/>
        </w:rPr>
        <w:t>la</w:t>
      </w:r>
      <w:r>
        <w:rPr>
          <w:spacing w:val="-9"/>
          <w:w w:val="105"/>
          <w:sz w:val="15"/>
        </w:rPr>
        <w:t xml:space="preserve"> </w:t>
      </w:r>
      <w:r>
        <w:rPr>
          <w:w w:val="105"/>
          <w:sz w:val="15"/>
        </w:rPr>
        <w:t>parte</w:t>
      </w:r>
      <w:r>
        <w:rPr>
          <w:spacing w:val="-9"/>
          <w:w w:val="105"/>
          <w:sz w:val="15"/>
        </w:rPr>
        <w:t xml:space="preserve"> </w:t>
      </w:r>
      <w:r>
        <w:rPr>
          <w:w w:val="105"/>
          <w:sz w:val="15"/>
        </w:rPr>
        <w:t>que</w:t>
      </w:r>
      <w:r>
        <w:rPr>
          <w:spacing w:val="-9"/>
          <w:w w:val="105"/>
          <w:sz w:val="15"/>
        </w:rPr>
        <w:t xml:space="preserve"> </w:t>
      </w:r>
      <w:r>
        <w:rPr>
          <w:w w:val="105"/>
          <w:sz w:val="15"/>
        </w:rPr>
        <w:t>discrimina</w:t>
      </w:r>
      <w:r>
        <w:rPr>
          <w:spacing w:val="-9"/>
          <w:w w:val="105"/>
          <w:sz w:val="15"/>
        </w:rPr>
        <w:t xml:space="preserve"> </w:t>
      </w:r>
      <w:r>
        <w:rPr>
          <w:w w:val="105"/>
          <w:sz w:val="15"/>
        </w:rPr>
        <w:t>no</w:t>
      </w:r>
      <w:r>
        <w:rPr>
          <w:spacing w:val="-9"/>
          <w:w w:val="105"/>
          <w:sz w:val="15"/>
        </w:rPr>
        <w:t xml:space="preserve"> </w:t>
      </w:r>
      <w:proofErr w:type="spellStart"/>
      <w:r>
        <w:rPr>
          <w:w w:val="105"/>
          <w:sz w:val="15"/>
        </w:rPr>
        <w:t>No</w:t>
      </w:r>
      <w:proofErr w:type="spellEnd"/>
      <w:r>
        <w:rPr>
          <w:spacing w:val="-9"/>
          <w:w w:val="105"/>
          <w:sz w:val="15"/>
        </w:rPr>
        <w:t xml:space="preserve"> </w:t>
      </w:r>
      <w:r>
        <w:rPr>
          <w:w w:val="105"/>
          <w:sz w:val="15"/>
        </w:rPr>
        <w:t>es</w:t>
      </w:r>
      <w:r>
        <w:rPr>
          <w:spacing w:val="-9"/>
          <w:w w:val="105"/>
          <w:sz w:val="15"/>
        </w:rPr>
        <w:t xml:space="preserve"> </w:t>
      </w:r>
      <w:r>
        <w:rPr>
          <w:w w:val="105"/>
          <w:sz w:val="15"/>
        </w:rPr>
        <w:t>necesario</w:t>
      </w:r>
      <w:r>
        <w:rPr>
          <w:spacing w:val="-9"/>
          <w:w w:val="105"/>
          <w:sz w:val="15"/>
        </w:rPr>
        <w:t xml:space="preserve"> </w:t>
      </w:r>
      <w:r>
        <w:rPr>
          <w:w w:val="105"/>
          <w:sz w:val="15"/>
        </w:rPr>
        <w:t>actuar</w:t>
      </w:r>
      <w:r>
        <w:rPr>
          <w:spacing w:val="-9"/>
          <w:w w:val="105"/>
          <w:sz w:val="15"/>
        </w:rPr>
        <w:t xml:space="preserve"> </w:t>
      </w:r>
      <w:r>
        <w:rPr>
          <w:w w:val="105"/>
          <w:sz w:val="15"/>
        </w:rPr>
        <w:t>con</w:t>
      </w:r>
      <w:r>
        <w:rPr>
          <w:spacing w:val="-9"/>
          <w:w w:val="105"/>
          <w:sz w:val="15"/>
        </w:rPr>
        <w:t xml:space="preserve"> </w:t>
      </w:r>
      <w:r>
        <w:rPr>
          <w:w w:val="105"/>
          <w:sz w:val="15"/>
        </w:rPr>
        <w:t>la</w:t>
      </w:r>
      <w:r>
        <w:rPr>
          <w:spacing w:val="-9"/>
          <w:w w:val="105"/>
          <w:sz w:val="15"/>
        </w:rPr>
        <w:t xml:space="preserve"> </w:t>
      </w:r>
      <w:r>
        <w:rPr>
          <w:w w:val="105"/>
          <w:sz w:val="15"/>
        </w:rPr>
        <w:t>intención</w:t>
      </w:r>
      <w:r>
        <w:rPr>
          <w:spacing w:val="-9"/>
          <w:w w:val="105"/>
          <w:sz w:val="15"/>
        </w:rPr>
        <w:t xml:space="preserve"> </w:t>
      </w:r>
      <w:r>
        <w:rPr>
          <w:w w:val="105"/>
          <w:sz w:val="15"/>
        </w:rPr>
        <w:t>(o</w:t>
      </w:r>
      <w:r>
        <w:rPr>
          <w:spacing w:val="-9"/>
          <w:w w:val="105"/>
          <w:sz w:val="15"/>
        </w:rPr>
        <w:t xml:space="preserve"> </w:t>
      </w:r>
      <w:r>
        <w:rPr>
          <w:w w:val="105"/>
          <w:sz w:val="15"/>
        </w:rPr>
        <w:t>incluso</w:t>
      </w:r>
      <w:r>
        <w:rPr>
          <w:spacing w:val="-9"/>
          <w:w w:val="105"/>
          <w:sz w:val="15"/>
        </w:rPr>
        <w:t xml:space="preserve"> </w:t>
      </w:r>
      <w:r>
        <w:rPr>
          <w:w w:val="105"/>
          <w:sz w:val="15"/>
        </w:rPr>
        <w:t>con el</w:t>
      </w:r>
      <w:r>
        <w:rPr>
          <w:spacing w:val="-10"/>
          <w:w w:val="105"/>
          <w:sz w:val="15"/>
        </w:rPr>
        <w:t xml:space="preserve"> </w:t>
      </w:r>
      <w:r>
        <w:rPr>
          <w:w w:val="105"/>
          <w:sz w:val="15"/>
        </w:rPr>
        <w:t>conocimiento)</w:t>
      </w:r>
      <w:r>
        <w:rPr>
          <w:spacing w:val="-11"/>
          <w:w w:val="105"/>
          <w:sz w:val="15"/>
        </w:rPr>
        <w:t xml:space="preserve"> </w:t>
      </w:r>
      <w:r>
        <w:rPr>
          <w:w w:val="105"/>
          <w:sz w:val="15"/>
        </w:rPr>
        <w:t>de</w:t>
      </w:r>
      <w:r>
        <w:rPr>
          <w:spacing w:val="-10"/>
          <w:w w:val="105"/>
          <w:sz w:val="15"/>
        </w:rPr>
        <w:t xml:space="preserve"> </w:t>
      </w:r>
      <w:r>
        <w:rPr>
          <w:w w:val="105"/>
          <w:sz w:val="15"/>
        </w:rPr>
        <w:t>causar</w:t>
      </w:r>
      <w:r>
        <w:rPr>
          <w:spacing w:val="-10"/>
          <w:w w:val="105"/>
          <w:sz w:val="15"/>
        </w:rPr>
        <w:t xml:space="preserve"> </w:t>
      </w:r>
      <w:r>
        <w:rPr>
          <w:w w:val="105"/>
          <w:sz w:val="15"/>
        </w:rPr>
        <w:t>daño</w:t>
      </w:r>
      <w:r>
        <w:rPr>
          <w:spacing w:val="-10"/>
          <w:w w:val="105"/>
          <w:sz w:val="15"/>
        </w:rPr>
        <w:t xml:space="preserve"> </w:t>
      </w:r>
      <w:r>
        <w:rPr>
          <w:w w:val="105"/>
          <w:sz w:val="15"/>
        </w:rPr>
        <w:t>o</w:t>
      </w:r>
      <w:r>
        <w:rPr>
          <w:spacing w:val="-10"/>
          <w:w w:val="105"/>
          <w:sz w:val="15"/>
        </w:rPr>
        <w:t xml:space="preserve"> </w:t>
      </w:r>
      <w:r>
        <w:rPr>
          <w:w w:val="105"/>
          <w:sz w:val="15"/>
        </w:rPr>
        <w:t>desventaja;</w:t>
      </w:r>
      <w:r>
        <w:rPr>
          <w:spacing w:val="-9"/>
          <w:w w:val="105"/>
          <w:sz w:val="15"/>
        </w:rPr>
        <w:t xml:space="preserve"> </w:t>
      </w:r>
      <w:r>
        <w:rPr>
          <w:w w:val="105"/>
          <w:sz w:val="15"/>
        </w:rPr>
        <w:t>lo</w:t>
      </w:r>
      <w:r>
        <w:rPr>
          <w:spacing w:val="-10"/>
          <w:w w:val="105"/>
          <w:sz w:val="15"/>
        </w:rPr>
        <w:t xml:space="preserve"> </w:t>
      </w:r>
      <w:r>
        <w:rPr>
          <w:w w:val="105"/>
          <w:sz w:val="15"/>
        </w:rPr>
        <w:t>relevante</w:t>
      </w:r>
      <w:r>
        <w:rPr>
          <w:spacing w:val="-10"/>
          <w:w w:val="105"/>
          <w:sz w:val="15"/>
        </w:rPr>
        <w:t xml:space="preserve"> </w:t>
      </w:r>
      <w:r>
        <w:rPr>
          <w:w w:val="105"/>
          <w:sz w:val="15"/>
        </w:rPr>
        <w:t>es</w:t>
      </w:r>
      <w:r>
        <w:rPr>
          <w:spacing w:val="-10"/>
          <w:w w:val="105"/>
          <w:sz w:val="15"/>
        </w:rPr>
        <w:t xml:space="preserve"> </w:t>
      </w:r>
      <w:r>
        <w:rPr>
          <w:w w:val="105"/>
          <w:sz w:val="15"/>
        </w:rPr>
        <w:t>el</w:t>
      </w:r>
      <w:r>
        <w:rPr>
          <w:spacing w:val="-10"/>
          <w:w w:val="105"/>
          <w:sz w:val="15"/>
        </w:rPr>
        <w:t xml:space="preserve"> </w:t>
      </w:r>
      <w:r>
        <w:rPr>
          <w:w w:val="105"/>
          <w:sz w:val="15"/>
        </w:rPr>
        <w:t>vínculo</w:t>
      </w:r>
      <w:r>
        <w:rPr>
          <w:spacing w:val="-10"/>
          <w:w w:val="105"/>
          <w:sz w:val="15"/>
        </w:rPr>
        <w:t xml:space="preserve"> </w:t>
      </w:r>
      <w:r>
        <w:rPr>
          <w:w w:val="105"/>
          <w:sz w:val="15"/>
        </w:rPr>
        <w:t>causal</w:t>
      </w:r>
      <w:r>
        <w:rPr>
          <w:spacing w:val="-10"/>
          <w:w w:val="105"/>
          <w:sz w:val="15"/>
        </w:rPr>
        <w:t xml:space="preserve"> </w:t>
      </w:r>
      <w:r>
        <w:rPr>
          <w:w w:val="105"/>
          <w:sz w:val="15"/>
        </w:rPr>
        <w:t>entre</w:t>
      </w:r>
      <w:r>
        <w:rPr>
          <w:spacing w:val="-10"/>
          <w:w w:val="105"/>
          <w:sz w:val="15"/>
        </w:rPr>
        <w:t xml:space="preserve"> </w:t>
      </w:r>
      <w:r>
        <w:rPr>
          <w:w w:val="105"/>
          <w:sz w:val="15"/>
        </w:rPr>
        <w:t>el</w:t>
      </w:r>
      <w:r>
        <w:rPr>
          <w:spacing w:val="-10"/>
          <w:w w:val="105"/>
          <w:sz w:val="15"/>
        </w:rPr>
        <w:t xml:space="preserve"> </w:t>
      </w:r>
      <w:r>
        <w:rPr>
          <w:w w:val="105"/>
          <w:sz w:val="15"/>
        </w:rPr>
        <w:t>daño</w:t>
      </w:r>
      <w:r>
        <w:rPr>
          <w:spacing w:val="-10"/>
          <w:w w:val="105"/>
          <w:sz w:val="15"/>
        </w:rPr>
        <w:t xml:space="preserve"> </w:t>
      </w:r>
      <w:r>
        <w:rPr>
          <w:w w:val="105"/>
          <w:sz w:val="15"/>
        </w:rPr>
        <w:t>y</w:t>
      </w:r>
      <w:r>
        <w:rPr>
          <w:spacing w:val="-10"/>
          <w:w w:val="105"/>
          <w:sz w:val="15"/>
        </w:rPr>
        <w:t xml:space="preserve"> </w:t>
      </w:r>
      <w:r>
        <w:rPr>
          <w:w w:val="105"/>
          <w:sz w:val="15"/>
        </w:rPr>
        <w:t>la</w:t>
      </w:r>
      <w:r>
        <w:rPr>
          <w:spacing w:val="-10"/>
          <w:w w:val="105"/>
          <w:sz w:val="15"/>
        </w:rPr>
        <w:t xml:space="preserve"> </w:t>
      </w:r>
      <w:r>
        <w:rPr>
          <w:w w:val="105"/>
          <w:sz w:val="15"/>
        </w:rPr>
        <w:t>característica.</w:t>
      </w:r>
    </w:p>
    <w:p w14:paraId="6CE15F7F" w14:textId="77777777" w:rsidR="0014798C" w:rsidRDefault="0014798C">
      <w:pPr>
        <w:pStyle w:val="Textoindependiente"/>
        <w:rPr>
          <w:sz w:val="15"/>
        </w:rPr>
      </w:pPr>
    </w:p>
    <w:p w14:paraId="1D197503" w14:textId="77777777" w:rsidR="0014798C" w:rsidRDefault="0014798C">
      <w:pPr>
        <w:pStyle w:val="Textoindependiente"/>
        <w:rPr>
          <w:sz w:val="15"/>
        </w:rPr>
      </w:pPr>
    </w:p>
    <w:p w14:paraId="74AAC0E3" w14:textId="77777777" w:rsidR="0014798C" w:rsidRDefault="0014798C">
      <w:pPr>
        <w:pStyle w:val="Textoindependiente"/>
        <w:rPr>
          <w:sz w:val="15"/>
        </w:rPr>
      </w:pPr>
    </w:p>
    <w:p w14:paraId="55B6CBA2" w14:textId="77777777" w:rsidR="0014798C" w:rsidRDefault="0014798C">
      <w:pPr>
        <w:pStyle w:val="Textoindependiente"/>
        <w:spacing w:before="30"/>
        <w:rPr>
          <w:sz w:val="15"/>
        </w:rPr>
      </w:pPr>
    </w:p>
    <w:p w14:paraId="60AEF9C4" w14:textId="77777777" w:rsidR="0014798C" w:rsidRDefault="004E1F0B">
      <w:pPr>
        <w:ind w:left="1342"/>
        <w:rPr>
          <w:sz w:val="15"/>
        </w:rPr>
      </w:pPr>
      <w:r>
        <w:rPr>
          <w:sz w:val="15"/>
        </w:rPr>
        <w:t>DISCRIMINACIÓN</w:t>
      </w:r>
      <w:r>
        <w:rPr>
          <w:spacing w:val="12"/>
          <w:sz w:val="15"/>
        </w:rPr>
        <w:t xml:space="preserve"> </w:t>
      </w:r>
      <w:r>
        <w:rPr>
          <w:sz w:val="15"/>
        </w:rPr>
        <w:t>Y</w:t>
      </w:r>
      <w:r>
        <w:rPr>
          <w:spacing w:val="13"/>
          <w:sz w:val="15"/>
        </w:rPr>
        <w:t xml:space="preserve"> </w:t>
      </w:r>
      <w:r>
        <w:rPr>
          <w:sz w:val="15"/>
        </w:rPr>
        <w:t>REQUISITO</w:t>
      </w:r>
      <w:r>
        <w:rPr>
          <w:spacing w:val="14"/>
          <w:sz w:val="15"/>
        </w:rPr>
        <w:t xml:space="preserve"> </w:t>
      </w:r>
      <w:r>
        <w:rPr>
          <w:sz w:val="15"/>
        </w:rPr>
        <w:t>DE</w:t>
      </w:r>
      <w:r>
        <w:rPr>
          <w:spacing w:val="13"/>
          <w:sz w:val="15"/>
        </w:rPr>
        <w:t xml:space="preserve"> </w:t>
      </w:r>
      <w:r>
        <w:rPr>
          <w:spacing w:val="-2"/>
          <w:sz w:val="15"/>
        </w:rPr>
        <w:t>INTENCIÓN</w:t>
      </w:r>
    </w:p>
    <w:p w14:paraId="33B0ADF8" w14:textId="77777777" w:rsidR="0014798C" w:rsidRDefault="0014798C">
      <w:pPr>
        <w:pStyle w:val="Textoindependiente"/>
        <w:spacing w:before="55"/>
        <w:rPr>
          <w:sz w:val="15"/>
        </w:rPr>
      </w:pPr>
    </w:p>
    <w:p w14:paraId="1C0ECDCD" w14:textId="77777777" w:rsidR="0014798C" w:rsidRDefault="004E1F0B">
      <w:pPr>
        <w:spacing w:line="348" w:lineRule="auto"/>
        <w:ind w:left="1334" w:right="1443" w:hanging="1"/>
        <w:rPr>
          <w:sz w:val="15"/>
        </w:rPr>
      </w:pPr>
      <w:r>
        <w:rPr>
          <w:w w:val="105"/>
          <w:sz w:val="15"/>
        </w:rPr>
        <w:t>Según</w:t>
      </w:r>
      <w:r>
        <w:rPr>
          <w:spacing w:val="-5"/>
          <w:w w:val="105"/>
          <w:sz w:val="15"/>
        </w:rPr>
        <w:t xml:space="preserve"> </w:t>
      </w:r>
      <w:r>
        <w:rPr>
          <w:w w:val="105"/>
          <w:sz w:val="15"/>
        </w:rPr>
        <w:t>el</w:t>
      </w:r>
      <w:r>
        <w:rPr>
          <w:spacing w:val="-5"/>
          <w:w w:val="105"/>
          <w:sz w:val="15"/>
        </w:rPr>
        <w:t xml:space="preserve"> </w:t>
      </w:r>
      <w:r>
        <w:rPr>
          <w:w w:val="105"/>
          <w:sz w:val="15"/>
        </w:rPr>
        <w:t>derecho</w:t>
      </w:r>
      <w:r>
        <w:rPr>
          <w:spacing w:val="-5"/>
          <w:w w:val="105"/>
          <w:sz w:val="15"/>
        </w:rPr>
        <w:t xml:space="preserve"> </w:t>
      </w:r>
      <w:r>
        <w:rPr>
          <w:w w:val="105"/>
          <w:sz w:val="15"/>
        </w:rPr>
        <w:t>internacional</w:t>
      </w:r>
      <w:r>
        <w:rPr>
          <w:spacing w:val="-5"/>
          <w:w w:val="105"/>
          <w:sz w:val="15"/>
        </w:rPr>
        <w:t xml:space="preserve"> </w:t>
      </w:r>
      <w:r>
        <w:rPr>
          <w:w w:val="105"/>
          <w:sz w:val="15"/>
        </w:rPr>
        <w:t>de</w:t>
      </w:r>
      <w:r>
        <w:rPr>
          <w:spacing w:val="-5"/>
          <w:w w:val="105"/>
          <w:sz w:val="15"/>
        </w:rPr>
        <w:t xml:space="preserve"> </w:t>
      </w:r>
      <w:r>
        <w:rPr>
          <w:w w:val="105"/>
          <w:sz w:val="15"/>
        </w:rPr>
        <w:t>derechos</w:t>
      </w:r>
      <w:r>
        <w:rPr>
          <w:spacing w:val="-5"/>
          <w:w w:val="105"/>
          <w:sz w:val="15"/>
        </w:rPr>
        <w:t xml:space="preserve"> </w:t>
      </w:r>
      <w:r>
        <w:rPr>
          <w:w w:val="105"/>
          <w:sz w:val="15"/>
        </w:rPr>
        <w:t>humanos,</w:t>
      </w:r>
      <w:r>
        <w:rPr>
          <w:spacing w:val="-5"/>
          <w:w w:val="105"/>
          <w:sz w:val="15"/>
        </w:rPr>
        <w:t xml:space="preserve"> </w:t>
      </w:r>
      <w:r>
        <w:rPr>
          <w:w w:val="105"/>
          <w:sz w:val="15"/>
        </w:rPr>
        <w:t>una</w:t>
      </w:r>
      <w:r>
        <w:rPr>
          <w:spacing w:val="-5"/>
          <w:w w:val="105"/>
          <w:sz w:val="15"/>
        </w:rPr>
        <w:t xml:space="preserve"> </w:t>
      </w:r>
      <w:r>
        <w:rPr>
          <w:w w:val="105"/>
          <w:sz w:val="15"/>
        </w:rPr>
        <w:t>conducta</w:t>
      </w:r>
      <w:r>
        <w:rPr>
          <w:spacing w:val="-5"/>
          <w:w w:val="105"/>
          <w:sz w:val="15"/>
        </w:rPr>
        <w:t xml:space="preserve"> </w:t>
      </w:r>
      <w:r>
        <w:rPr>
          <w:w w:val="105"/>
          <w:sz w:val="15"/>
        </w:rPr>
        <w:t>está</w:t>
      </w:r>
      <w:r>
        <w:rPr>
          <w:spacing w:val="-5"/>
          <w:w w:val="105"/>
          <w:sz w:val="15"/>
        </w:rPr>
        <w:t xml:space="preserve"> </w:t>
      </w:r>
      <w:r>
        <w:rPr>
          <w:w w:val="105"/>
          <w:sz w:val="15"/>
        </w:rPr>
        <w:t>prohibida</w:t>
      </w:r>
      <w:r>
        <w:rPr>
          <w:spacing w:val="-5"/>
          <w:w w:val="105"/>
          <w:sz w:val="15"/>
        </w:rPr>
        <w:t xml:space="preserve"> </w:t>
      </w:r>
      <w:r>
        <w:rPr>
          <w:w w:val="105"/>
          <w:sz w:val="15"/>
        </w:rPr>
        <w:t>en</w:t>
      </w:r>
      <w:r>
        <w:rPr>
          <w:spacing w:val="-5"/>
          <w:w w:val="105"/>
          <w:sz w:val="15"/>
        </w:rPr>
        <w:t xml:space="preserve"> </w:t>
      </w:r>
      <w:r>
        <w:rPr>
          <w:w w:val="105"/>
          <w:sz w:val="15"/>
        </w:rPr>
        <w:t>situaciones</w:t>
      </w:r>
      <w:r>
        <w:rPr>
          <w:spacing w:val="-5"/>
          <w:w w:val="105"/>
          <w:sz w:val="15"/>
        </w:rPr>
        <w:t xml:space="preserve"> </w:t>
      </w:r>
      <w:r>
        <w:rPr>
          <w:w w:val="105"/>
          <w:sz w:val="15"/>
        </w:rPr>
        <w:t>en</w:t>
      </w:r>
      <w:r>
        <w:rPr>
          <w:spacing w:val="-5"/>
          <w:w w:val="105"/>
          <w:sz w:val="15"/>
        </w:rPr>
        <w:t xml:space="preserve"> </w:t>
      </w:r>
      <w:r>
        <w:rPr>
          <w:w w:val="105"/>
          <w:sz w:val="15"/>
        </w:rPr>
        <w:t>las</w:t>
      </w:r>
      <w:r>
        <w:rPr>
          <w:spacing w:val="-5"/>
          <w:w w:val="105"/>
          <w:sz w:val="15"/>
        </w:rPr>
        <w:t xml:space="preserve"> </w:t>
      </w:r>
      <w:r>
        <w:rPr>
          <w:w w:val="105"/>
          <w:sz w:val="15"/>
        </w:rPr>
        <w:t>que</w:t>
      </w:r>
      <w:r>
        <w:rPr>
          <w:spacing w:val="-5"/>
          <w:w w:val="105"/>
          <w:sz w:val="15"/>
        </w:rPr>
        <w:t xml:space="preserve"> </w:t>
      </w:r>
      <w:r>
        <w:rPr>
          <w:w w:val="105"/>
          <w:sz w:val="15"/>
        </w:rPr>
        <w:t>tiene</w:t>
      </w:r>
      <w:r>
        <w:rPr>
          <w:spacing w:val="-5"/>
          <w:w w:val="105"/>
          <w:sz w:val="15"/>
        </w:rPr>
        <w:t xml:space="preserve"> </w:t>
      </w:r>
      <w:r>
        <w:rPr>
          <w:w w:val="105"/>
          <w:sz w:val="15"/>
        </w:rPr>
        <w:t>el</w:t>
      </w:r>
      <w:r>
        <w:rPr>
          <w:spacing w:val="-5"/>
          <w:w w:val="105"/>
          <w:sz w:val="15"/>
        </w:rPr>
        <w:t xml:space="preserve"> </w:t>
      </w:r>
      <w:r>
        <w:rPr>
          <w:w w:val="105"/>
          <w:sz w:val="15"/>
        </w:rPr>
        <w:t>“propósito o</w:t>
      </w:r>
      <w:r>
        <w:rPr>
          <w:spacing w:val="-3"/>
          <w:w w:val="105"/>
          <w:sz w:val="15"/>
        </w:rPr>
        <w:t xml:space="preserve"> </w:t>
      </w:r>
      <w:r>
        <w:rPr>
          <w:w w:val="105"/>
          <w:sz w:val="15"/>
        </w:rPr>
        <w:t>efecto”</w:t>
      </w:r>
      <w:r>
        <w:rPr>
          <w:spacing w:val="-4"/>
          <w:w w:val="105"/>
          <w:sz w:val="15"/>
        </w:rPr>
        <w:t xml:space="preserve"> </w:t>
      </w:r>
      <w:r>
        <w:rPr>
          <w:w w:val="105"/>
          <w:sz w:val="15"/>
        </w:rPr>
        <w:t>de</w:t>
      </w:r>
      <w:r>
        <w:rPr>
          <w:spacing w:val="-3"/>
          <w:w w:val="105"/>
          <w:sz w:val="15"/>
        </w:rPr>
        <w:t xml:space="preserve"> </w:t>
      </w:r>
      <w:r>
        <w:rPr>
          <w:w w:val="105"/>
          <w:sz w:val="15"/>
        </w:rPr>
        <w:t>menoscabar</w:t>
      </w:r>
      <w:r>
        <w:rPr>
          <w:spacing w:val="-3"/>
          <w:w w:val="105"/>
          <w:sz w:val="15"/>
        </w:rPr>
        <w:t xml:space="preserve"> </w:t>
      </w:r>
      <w:r>
        <w:rPr>
          <w:w w:val="105"/>
          <w:sz w:val="15"/>
        </w:rPr>
        <w:t>el</w:t>
      </w:r>
      <w:r>
        <w:rPr>
          <w:spacing w:val="-3"/>
          <w:w w:val="105"/>
          <w:sz w:val="15"/>
        </w:rPr>
        <w:t xml:space="preserve"> </w:t>
      </w:r>
      <w:r>
        <w:rPr>
          <w:w w:val="105"/>
          <w:sz w:val="15"/>
        </w:rPr>
        <w:t>disfrute</w:t>
      </w:r>
      <w:r>
        <w:rPr>
          <w:spacing w:val="-3"/>
          <w:w w:val="105"/>
          <w:sz w:val="15"/>
        </w:rPr>
        <w:t xml:space="preserve"> </w:t>
      </w:r>
      <w:r>
        <w:rPr>
          <w:w w:val="105"/>
          <w:sz w:val="15"/>
        </w:rPr>
        <w:t>igualitario</w:t>
      </w:r>
      <w:r>
        <w:rPr>
          <w:spacing w:val="-3"/>
          <w:w w:val="105"/>
          <w:sz w:val="15"/>
        </w:rPr>
        <w:t xml:space="preserve"> </w:t>
      </w:r>
      <w:r>
        <w:rPr>
          <w:w w:val="105"/>
          <w:sz w:val="15"/>
        </w:rPr>
        <w:t>de</w:t>
      </w:r>
      <w:r>
        <w:rPr>
          <w:spacing w:val="-3"/>
          <w:w w:val="105"/>
          <w:sz w:val="15"/>
        </w:rPr>
        <w:t xml:space="preserve"> </w:t>
      </w:r>
      <w:r>
        <w:rPr>
          <w:w w:val="105"/>
          <w:sz w:val="15"/>
        </w:rPr>
        <w:t>los</w:t>
      </w:r>
      <w:r>
        <w:rPr>
          <w:spacing w:val="-3"/>
          <w:w w:val="105"/>
          <w:sz w:val="15"/>
        </w:rPr>
        <w:t xml:space="preserve"> </w:t>
      </w:r>
      <w:r>
        <w:rPr>
          <w:w w:val="105"/>
          <w:sz w:val="15"/>
        </w:rPr>
        <w:t>derechos.213</w:t>
      </w:r>
      <w:r>
        <w:rPr>
          <w:spacing w:val="-3"/>
          <w:w w:val="105"/>
          <w:sz w:val="15"/>
        </w:rPr>
        <w:t xml:space="preserve"> </w:t>
      </w:r>
      <w:r>
        <w:rPr>
          <w:w w:val="105"/>
          <w:sz w:val="15"/>
        </w:rPr>
        <w:t>Si</w:t>
      </w:r>
      <w:r>
        <w:rPr>
          <w:spacing w:val="-3"/>
          <w:w w:val="105"/>
          <w:sz w:val="15"/>
        </w:rPr>
        <w:t xml:space="preserve"> </w:t>
      </w:r>
      <w:r>
        <w:rPr>
          <w:w w:val="105"/>
          <w:sz w:val="15"/>
        </w:rPr>
        <w:t>bien</w:t>
      </w:r>
      <w:r>
        <w:rPr>
          <w:spacing w:val="-3"/>
          <w:w w:val="105"/>
          <w:sz w:val="15"/>
        </w:rPr>
        <w:t xml:space="preserve"> </w:t>
      </w:r>
      <w:r>
        <w:rPr>
          <w:w w:val="105"/>
          <w:sz w:val="15"/>
        </w:rPr>
        <w:t>las</w:t>
      </w:r>
      <w:r>
        <w:rPr>
          <w:spacing w:val="-3"/>
          <w:w w:val="105"/>
          <w:sz w:val="15"/>
        </w:rPr>
        <w:t xml:space="preserve"> </w:t>
      </w:r>
      <w:r>
        <w:rPr>
          <w:w w:val="105"/>
          <w:sz w:val="15"/>
        </w:rPr>
        <w:t>palabras</w:t>
      </w:r>
      <w:r>
        <w:rPr>
          <w:spacing w:val="-3"/>
          <w:w w:val="105"/>
          <w:sz w:val="15"/>
        </w:rPr>
        <w:t xml:space="preserve"> </w:t>
      </w:r>
      <w:r>
        <w:rPr>
          <w:w w:val="105"/>
          <w:sz w:val="15"/>
        </w:rPr>
        <w:t>“propósito”</w:t>
      </w:r>
      <w:r>
        <w:rPr>
          <w:spacing w:val="-3"/>
          <w:w w:val="105"/>
          <w:sz w:val="15"/>
        </w:rPr>
        <w:t xml:space="preserve"> </w:t>
      </w:r>
      <w:r>
        <w:rPr>
          <w:w w:val="105"/>
          <w:sz w:val="15"/>
        </w:rPr>
        <w:t>y</w:t>
      </w:r>
      <w:r>
        <w:rPr>
          <w:spacing w:val="-3"/>
          <w:w w:val="105"/>
          <w:sz w:val="15"/>
        </w:rPr>
        <w:t xml:space="preserve"> </w:t>
      </w:r>
      <w:r>
        <w:rPr>
          <w:w w:val="105"/>
          <w:sz w:val="15"/>
        </w:rPr>
        <w:t>“efecto”</w:t>
      </w:r>
      <w:r>
        <w:rPr>
          <w:spacing w:val="-4"/>
          <w:w w:val="105"/>
          <w:sz w:val="15"/>
        </w:rPr>
        <w:t xml:space="preserve"> </w:t>
      </w:r>
      <w:r>
        <w:rPr>
          <w:w w:val="105"/>
          <w:sz w:val="15"/>
        </w:rPr>
        <w:t>a</w:t>
      </w:r>
      <w:r>
        <w:rPr>
          <w:spacing w:val="-3"/>
          <w:w w:val="105"/>
          <w:sz w:val="15"/>
        </w:rPr>
        <w:t xml:space="preserve"> </w:t>
      </w:r>
      <w:r>
        <w:rPr>
          <w:w w:val="105"/>
          <w:sz w:val="15"/>
        </w:rPr>
        <w:t>veces</w:t>
      </w:r>
      <w:r>
        <w:rPr>
          <w:spacing w:val="-3"/>
          <w:w w:val="105"/>
          <w:sz w:val="15"/>
        </w:rPr>
        <w:t xml:space="preserve"> </w:t>
      </w:r>
      <w:r>
        <w:rPr>
          <w:w w:val="105"/>
          <w:sz w:val="15"/>
        </w:rPr>
        <w:t>se equiparan</w:t>
      </w:r>
      <w:r>
        <w:rPr>
          <w:spacing w:val="-6"/>
          <w:w w:val="105"/>
          <w:sz w:val="15"/>
        </w:rPr>
        <w:t xml:space="preserve"> </w:t>
      </w:r>
      <w:r>
        <w:rPr>
          <w:w w:val="105"/>
          <w:sz w:val="15"/>
        </w:rPr>
        <w:t>–respectivamente–</w:t>
      </w:r>
      <w:r>
        <w:rPr>
          <w:spacing w:val="-6"/>
          <w:w w:val="105"/>
          <w:sz w:val="15"/>
        </w:rPr>
        <w:t xml:space="preserve"> </w:t>
      </w:r>
      <w:r>
        <w:rPr>
          <w:w w:val="105"/>
          <w:sz w:val="15"/>
        </w:rPr>
        <w:t>con</w:t>
      </w:r>
      <w:r>
        <w:rPr>
          <w:spacing w:val="-6"/>
          <w:w w:val="105"/>
          <w:sz w:val="15"/>
        </w:rPr>
        <w:t xml:space="preserve"> </w:t>
      </w:r>
      <w:r>
        <w:rPr>
          <w:w w:val="105"/>
          <w:sz w:val="15"/>
        </w:rPr>
        <w:t>“directo”</w:t>
      </w:r>
      <w:r>
        <w:rPr>
          <w:spacing w:val="-6"/>
          <w:w w:val="105"/>
          <w:sz w:val="15"/>
        </w:rPr>
        <w:t xml:space="preserve"> </w:t>
      </w:r>
      <w:r>
        <w:rPr>
          <w:w w:val="105"/>
          <w:sz w:val="15"/>
        </w:rPr>
        <w:t>y</w:t>
      </w:r>
      <w:r>
        <w:rPr>
          <w:spacing w:val="-6"/>
          <w:w w:val="105"/>
          <w:sz w:val="15"/>
        </w:rPr>
        <w:t xml:space="preserve"> </w:t>
      </w:r>
      <w:r>
        <w:rPr>
          <w:w w:val="105"/>
          <w:sz w:val="15"/>
        </w:rPr>
        <w:t>discriminación</w:t>
      </w:r>
      <w:r>
        <w:rPr>
          <w:spacing w:val="-6"/>
          <w:w w:val="105"/>
          <w:sz w:val="15"/>
        </w:rPr>
        <w:t xml:space="preserve"> </w:t>
      </w:r>
      <w:r>
        <w:rPr>
          <w:w w:val="105"/>
          <w:sz w:val="15"/>
        </w:rPr>
        <w:t>“indirecta”,</w:t>
      </w:r>
      <w:r>
        <w:rPr>
          <w:spacing w:val="-5"/>
          <w:w w:val="105"/>
          <w:sz w:val="15"/>
        </w:rPr>
        <w:t xml:space="preserve"> </w:t>
      </w:r>
      <w:r>
        <w:rPr>
          <w:w w:val="105"/>
          <w:sz w:val="15"/>
        </w:rPr>
        <w:t>los</w:t>
      </w:r>
      <w:r>
        <w:rPr>
          <w:spacing w:val="-6"/>
          <w:w w:val="105"/>
          <w:sz w:val="15"/>
        </w:rPr>
        <w:t xml:space="preserve"> </w:t>
      </w:r>
      <w:r>
        <w:rPr>
          <w:w w:val="105"/>
          <w:sz w:val="15"/>
        </w:rPr>
        <w:t>términos</w:t>
      </w:r>
      <w:r>
        <w:rPr>
          <w:spacing w:val="-6"/>
          <w:w w:val="105"/>
          <w:sz w:val="15"/>
        </w:rPr>
        <w:t xml:space="preserve"> </w:t>
      </w:r>
      <w:r>
        <w:rPr>
          <w:w w:val="105"/>
          <w:sz w:val="15"/>
        </w:rPr>
        <w:t>no</w:t>
      </w:r>
      <w:r>
        <w:rPr>
          <w:spacing w:val="-6"/>
          <w:w w:val="105"/>
          <w:sz w:val="15"/>
        </w:rPr>
        <w:t xml:space="preserve"> </w:t>
      </w:r>
      <w:r>
        <w:rPr>
          <w:w w:val="105"/>
          <w:sz w:val="15"/>
        </w:rPr>
        <w:t>son</w:t>
      </w:r>
      <w:r>
        <w:rPr>
          <w:spacing w:val="-6"/>
          <w:w w:val="105"/>
          <w:sz w:val="15"/>
        </w:rPr>
        <w:t xml:space="preserve"> </w:t>
      </w:r>
      <w:r>
        <w:rPr>
          <w:w w:val="105"/>
          <w:sz w:val="15"/>
        </w:rPr>
        <w:t>sinónimos,</w:t>
      </w:r>
      <w:r>
        <w:rPr>
          <w:spacing w:val="-5"/>
          <w:w w:val="105"/>
          <w:sz w:val="15"/>
        </w:rPr>
        <w:t xml:space="preserve"> </w:t>
      </w:r>
      <w:r>
        <w:rPr>
          <w:w w:val="105"/>
          <w:sz w:val="15"/>
        </w:rPr>
        <w:t>aunque</w:t>
      </w:r>
      <w:r>
        <w:rPr>
          <w:spacing w:val="-6"/>
          <w:w w:val="105"/>
          <w:sz w:val="15"/>
        </w:rPr>
        <w:t xml:space="preserve"> </w:t>
      </w:r>
      <w:r>
        <w:rPr>
          <w:w w:val="105"/>
          <w:sz w:val="15"/>
        </w:rPr>
        <w:t>pueden</w:t>
      </w:r>
      <w:r>
        <w:rPr>
          <w:spacing w:val="-6"/>
          <w:w w:val="105"/>
          <w:sz w:val="15"/>
        </w:rPr>
        <w:t xml:space="preserve"> </w:t>
      </w:r>
      <w:r>
        <w:rPr>
          <w:w w:val="105"/>
          <w:sz w:val="15"/>
        </w:rPr>
        <w:t>abarcar muchas</w:t>
      </w:r>
      <w:r>
        <w:rPr>
          <w:spacing w:val="-11"/>
          <w:w w:val="105"/>
          <w:sz w:val="15"/>
        </w:rPr>
        <w:t xml:space="preserve"> </w:t>
      </w:r>
      <w:r>
        <w:rPr>
          <w:w w:val="105"/>
          <w:sz w:val="15"/>
        </w:rPr>
        <w:t>de</w:t>
      </w:r>
      <w:r>
        <w:rPr>
          <w:spacing w:val="-11"/>
          <w:w w:val="105"/>
          <w:sz w:val="15"/>
        </w:rPr>
        <w:t xml:space="preserve"> </w:t>
      </w:r>
      <w:r>
        <w:rPr>
          <w:w w:val="105"/>
          <w:sz w:val="15"/>
        </w:rPr>
        <w:t>las</w:t>
      </w:r>
      <w:r>
        <w:rPr>
          <w:spacing w:val="-11"/>
          <w:w w:val="105"/>
          <w:sz w:val="15"/>
        </w:rPr>
        <w:t xml:space="preserve"> </w:t>
      </w:r>
      <w:r>
        <w:rPr>
          <w:w w:val="105"/>
          <w:sz w:val="15"/>
        </w:rPr>
        <w:t>mismas</w:t>
      </w:r>
      <w:r>
        <w:rPr>
          <w:spacing w:val="-11"/>
          <w:w w:val="105"/>
          <w:sz w:val="15"/>
        </w:rPr>
        <w:t xml:space="preserve"> </w:t>
      </w:r>
      <w:r>
        <w:rPr>
          <w:w w:val="105"/>
          <w:sz w:val="15"/>
        </w:rPr>
        <w:t>formas</w:t>
      </w:r>
      <w:r>
        <w:rPr>
          <w:spacing w:val="-10"/>
          <w:w w:val="105"/>
          <w:sz w:val="15"/>
        </w:rPr>
        <w:t xml:space="preserve"> </w:t>
      </w:r>
      <w:r>
        <w:rPr>
          <w:w w:val="105"/>
          <w:sz w:val="15"/>
        </w:rPr>
        <w:t>de</w:t>
      </w:r>
      <w:r>
        <w:rPr>
          <w:spacing w:val="-11"/>
          <w:w w:val="105"/>
          <w:sz w:val="15"/>
        </w:rPr>
        <w:t xml:space="preserve"> </w:t>
      </w:r>
      <w:r>
        <w:rPr>
          <w:w w:val="105"/>
          <w:sz w:val="15"/>
        </w:rPr>
        <w:t>conducta214</w:t>
      </w:r>
      <w:r>
        <w:rPr>
          <w:spacing w:val="-11"/>
          <w:w w:val="105"/>
          <w:sz w:val="15"/>
        </w:rPr>
        <w:t xml:space="preserve"> </w:t>
      </w:r>
      <w:r>
        <w:rPr>
          <w:w w:val="105"/>
          <w:sz w:val="15"/>
        </w:rPr>
        <w:t>y,</w:t>
      </w:r>
      <w:r>
        <w:rPr>
          <w:spacing w:val="-11"/>
          <w:w w:val="105"/>
          <w:sz w:val="15"/>
        </w:rPr>
        <w:t xml:space="preserve"> </w:t>
      </w:r>
      <w:r>
        <w:rPr>
          <w:w w:val="105"/>
          <w:sz w:val="15"/>
        </w:rPr>
        <w:t>cuando</w:t>
      </w:r>
      <w:r>
        <w:rPr>
          <w:spacing w:val="-11"/>
          <w:w w:val="105"/>
          <w:sz w:val="15"/>
        </w:rPr>
        <w:t xml:space="preserve"> </w:t>
      </w:r>
      <w:r>
        <w:rPr>
          <w:w w:val="105"/>
          <w:sz w:val="15"/>
        </w:rPr>
        <w:t>se</w:t>
      </w:r>
      <w:r>
        <w:rPr>
          <w:spacing w:val="-10"/>
          <w:w w:val="105"/>
          <w:sz w:val="15"/>
        </w:rPr>
        <w:t xml:space="preserve"> </w:t>
      </w:r>
      <w:r>
        <w:rPr>
          <w:w w:val="105"/>
          <w:sz w:val="15"/>
        </w:rPr>
        <w:t>toman</w:t>
      </w:r>
      <w:r>
        <w:rPr>
          <w:spacing w:val="-11"/>
          <w:w w:val="105"/>
          <w:sz w:val="15"/>
        </w:rPr>
        <w:t xml:space="preserve"> </w:t>
      </w:r>
      <w:r>
        <w:rPr>
          <w:w w:val="105"/>
          <w:sz w:val="15"/>
        </w:rPr>
        <w:t>en</w:t>
      </w:r>
      <w:r>
        <w:rPr>
          <w:spacing w:val="-11"/>
          <w:w w:val="105"/>
          <w:sz w:val="15"/>
        </w:rPr>
        <w:t xml:space="preserve"> </w:t>
      </w:r>
      <w:r>
        <w:rPr>
          <w:w w:val="105"/>
          <w:sz w:val="15"/>
        </w:rPr>
        <w:t>conjunto,</w:t>
      </w:r>
      <w:r>
        <w:rPr>
          <w:spacing w:val="-11"/>
          <w:w w:val="105"/>
          <w:sz w:val="15"/>
        </w:rPr>
        <w:t xml:space="preserve"> </w:t>
      </w:r>
      <w:r>
        <w:rPr>
          <w:w w:val="105"/>
          <w:sz w:val="15"/>
        </w:rPr>
        <w:t>pueden</w:t>
      </w:r>
      <w:r>
        <w:rPr>
          <w:spacing w:val="-11"/>
          <w:w w:val="105"/>
          <w:sz w:val="15"/>
        </w:rPr>
        <w:t xml:space="preserve"> </w:t>
      </w:r>
      <w:r>
        <w:rPr>
          <w:w w:val="105"/>
          <w:sz w:val="15"/>
        </w:rPr>
        <w:t>proporcionar</w:t>
      </w:r>
      <w:r>
        <w:rPr>
          <w:spacing w:val="-10"/>
          <w:w w:val="105"/>
          <w:sz w:val="15"/>
        </w:rPr>
        <w:t xml:space="preserve"> </w:t>
      </w:r>
      <w:r>
        <w:rPr>
          <w:w w:val="105"/>
          <w:sz w:val="15"/>
        </w:rPr>
        <w:t>una</w:t>
      </w:r>
      <w:r>
        <w:rPr>
          <w:spacing w:val="-11"/>
          <w:w w:val="105"/>
          <w:sz w:val="15"/>
        </w:rPr>
        <w:t xml:space="preserve"> </w:t>
      </w:r>
      <w:r>
        <w:rPr>
          <w:w w:val="105"/>
          <w:sz w:val="15"/>
        </w:rPr>
        <w:t>protección</w:t>
      </w:r>
      <w:r>
        <w:rPr>
          <w:spacing w:val="-11"/>
          <w:w w:val="105"/>
          <w:sz w:val="15"/>
        </w:rPr>
        <w:t xml:space="preserve"> </w:t>
      </w:r>
      <w:proofErr w:type="spellStart"/>
      <w:r>
        <w:rPr>
          <w:w w:val="105"/>
          <w:sz w:val="15"/>
        </w:rPr>
        <w:t>coextensiva</w:t>
      </w:r>
      <w:proofErr w:type="spellEnd"/>
      <w:r>
        <w:rPr>
          <w:w w:val="105"/>
          <w:sz w:val="15"/>
        </w:rPr>
        <w:t xml:space="preserve"> a la que abarca la discriminación directa e indirecta.</w:t>
      </w:r>
    </w:p>
    <w:p w14:paraId="7EF9E89E" w14:textId="77777777" w:rsidR="0014798C" w:rsidRDefault="004E1F0B">
      <w:pPr>
        <w:spacing w:before="111" w:line="348" w:lineRule="auto"/>
        <w:ind w:left="1329" w:right="1626" w:firstLine="3"/>
        <w:rPr>
          <w:sz w:val="15"/>
        </w:rPr>
      </w:pPr>
      <w:r>
        <w:rPr>
          <w:w w:val="105"/>
          <w:sz w:val="15"/>
        </w:rPr>
        <w:t>La</w:t>
      </w:r>
      <w:r>
        <w:rPr>
          <w:spacing w:val="-5"/>
          <w:w w:val="105"/>
          <w:sz w:val="15"/>
        </w:rPr>
        <w:t xml:space="preserve"> </w:t>
      </w:r>
      <w:r>
        <w:rPr>
          <w:w w:val="105"/>
          <w:sz w:val="15"/>
        </w:rPr>
        <w:t>discriminación</w:t>
      </w:r>
      <w:r>
        <w:rPr>
          <w:spacing w:val="-5"/>
          <w:w w:val="105"/>
          <w:sz w:val="15"/>
        </w:rPr>
        <w:t xml:space="preserve"> </w:t>
      </w:r>
      <w:r>
        <w:rPr>
          <w:w w:val="105"/>
          <w:sz w:val="15"/>
        </w:rPr>
        <w:t>directa</w:t>
      </w:r>
      <w:r>
        <w:rPr>
          <w:spacing w:val="-5"/>
          <w:w w:val="105"/>
          <w:sz w:val="15"/>
        </w:rPr>
        <w:t xml:space="preserve"> </w:t>
      </w:r>
      <w:r>
        <w:rPr>
          <w:w w:val="105"/>
          <w:sz w:val="15"/>
        </w:rPr>
        <w:t>puede</w:t>
      </w:r>
      <w:r>
        <w:rPr>
          <w:spacing w:val="-5"/>
          <w:w w:val="105"/>
          <w:sz w:val="15"/>
        </w:rPr>
        <w:t xml:space="preserve"> </w:t>
      </w:r>
      <w:r>
        <w:rPr>
          <w:w w:val="105"/>
          <w:sz w:val="15"/>
        </w:rPr>
        <w:t>ocurrir</w:t>
      </w:r>
      <w:r>
        <w:rPr>
          <w:spacing w:val="-5"/>
          <w:w w:val="105"/>
          <w:sz w:val="15"/>
        </w:rPr>
        <w:t xml:space="preserve"> </w:t>
      </w:r>
      <w:r>
        <w:rPr>
          <w:w w:val="105"/>
          <w:sz w:val="15"/>
        </w:rPr>
        <w:t>sin</w:t>
      </w:r>
      <w:r>
        <w:rPr>
          <w:spacing w:val="-5"/>
          <w:w w:val="105"/>
          <w:sz w:val="15"/>
        </w:rPr>
        <w:t xml:space="preserve"> </w:t>
      </w:r>
      <w:r>
        <w:rPr>
          <w:w w:val="105"/>
          <w:sz w:val="15"/>
        </w:rPr>
        <w:t>un</w:t>
      </w:r>
      <w:r>
        <w:rPr>
          <w:spacing w:val="-5"/>
          <w:w w:val="105"/>
          <w:sz w:val="15"/>
        </w:rPr>
        <w:t xml:space="preserve"> </w:t>
      </w:r>
      <w:r>
        <w:rPr>
          <w:w w:val="105"/>
          <w:sz w:val="15"/>
        </w:rPr>
        <w:t>propósito</w:t>
      </w:r>
      <w:r>
        <w:rPr>
          <w:spacing w:val="-5"/>
          <w:w w:val="105"/>
          <w:sz w:val="15"/>
        </w:rPr>
        <w:t xml:space="preserve"> </w:t>
      </w:r>
      <w:r>
        <w:rPr>
          <w:w w:val="105"/>
          <w:sz w:val="15"/>
        </w:rPr>
        <w:t>o</w:t>
      </w:r>
      <w:r>
        <w:rPr>
          <w:spacing w:val="-5"/>
          <w:w w:val="105"/>
          <w:sz w:val="15"/>
        </w:rPr>
        <w:t xml:space="preserve"> </w:t>
      </w:r>
      <w:r>
        <w:rPr>
          <w:w w:val="105"/>
          <w:sz w:val="15"/>
        </w:rPr>
        <w:t>intención</w:t>
      </w:r>
      <w:r>
        <w:rPr>
          <w:spacing w:val="-5"/>
          <w:w w:val="105"/>
          <w:sz w:val="15"/>
        </w:rPr>
        <w:t xml:space="preserve"> </w:t>
      </w:r>
      <w:r>
        <w:rPr>
          <w:w w:val="105"/>
          <w:sz w:val="15"/>
        </w:rPr>
        <w:t>expreso</w:t>
      </w:r>
      <w:r>
        <w:rPr>
          <w:spacing w:val="-5"/>
          <w:w w:val="105"/>
          <w:sz w:val="15"/>
        </w:rPr>
        <w:t xml:space="preserve"> </w:t>
      </w:r>
      <w:r>
        <w:rPr>
          <w:w w:val="105"/>
          <w:sz w:val="15"/>
        </w:rPr>
        <w:t>de</w:t>
      </w:r>
      <w:r>
        <w:rPr>
          <w:spacing w:val="-5"/>
          <w:w w:val="105"/>
          <w:sz w:val="15"/>
        </w:rPr>
        <w:t xml:space="preserve"> </w:t>
      </w:r>
      <w:r>
        <w:rPr>
          <w:w w:val="105"/>
          <w:sz w:val="15"/>
        </w:rPr>
        <w:t>discriminar.</w:t>
      </w:r>
      <w:r>
        <w:rPr>
          <w:spacing w:val="-4"/>
          <w:w w:val="105"/>
          <w:sz w:val="15"/>
        </w:rPr>
        <w:t xml:space="preserve"> </w:t>
      </w:r>
      <w:r>
        <w:rPr>
          <w:w w:val="105"/>
          <w:sz w:val="15"/>
        </w:rPr>
        <w:t>Por</w:t>
      </w:r>
      <w:r>
        <w:rPr>
          <w:spacing w:val="-5"/>
          <w:w w:val="105"/>
          <w:sz w:val="15"/>
        </w:rPr>
        <w:t xml:space="preserve"> </w:t>
      </w:r>
      <w:r>
        <w:rPr>
          <w:w w:val="105"/>
          <w:sz w:val="15"/>
        </w:rPr>
        <w:t>ejemplo,</w:t>
      </w:r>
      <w:r>
        <w:rPr>
          <w:spacing w:val="-5"/>
          <w:w w:val="105"/>
          <w:sz w:val="15"/>
        </w:rPr>
        <w:t xml:space="preserve"> </w:t>
      </w:r>
      <w:r>
        <w:rPr>
          <w:w w:val="105"/>
          <w:sz w:val="15"/>
        </w:rPr>
        <w:t>la</w:t>
      </w:r>
      <w:r>
        <w:rPr>
          <w:spacing w:val="-5"/>
          <w:w w:val="105"/>
          <w:sz w:val="15"/>
        </w:rPr>
        <w:t xml:space="preserve"> </w:t>
      </w:r>
      <w:r>
        <w:rPr>
          <w:w w:val="105"/>
          <w:sz w:val="15"/>
        </w:rPr>
        <w:t>Comisión Interamericana</w:t>
      </w:r>
      <w:r>
        <w:rPr>
          <w:spacing w:val="-9"/>
          <w:w w:val="105"/>
          <w:sz w:val="15"/>
        </w:rPr>
        <w:t xml:space="preserve"> </w:t>
      </w:r>
      <w:r>
        <w:rPr>
          <w:w w:val="105"/>
          <w:sz w:val="15"/>
        </w:rPr>
        <w:t>de</w:t>
      </w:r>
      <w:r>
        <w:rPr>
          <w:spacing w:val="-9"/>
          <w:w w:val="105"/>
          <w:sz w:val="15"/>
        </w:rPr>
        <w:t xml:space="preserve"> </w:t>
      </w:r>
      <w:r>
        <w:rPr>
          <w:w w:val="105"/>
          <w:sz w:val="15"/>
        </w:rPr>
        <w:t>Derechos</w:t>
      </w:r>
      <w:r>
        <w:rPr>
          <w:spacing w:val="-9"/>
          <w:w w:val="105"/>
          <w:sz w:val="15"/>
        </w:rPr>
        <w:t xml:space="preserve"> </w:t>
      </w:r>
      <w:r>
        <w:rPr>
          <w:w w:val="105"/>
          <w:sz w:val="15"/>
        </w:rPr>
        <w:t>Humanos</w:t>
      </w:r>
      <w:r>
        <w:rPr>
          <w:spacing w:val="-9"/>
          <w:w w:val="105"/>
          <w:sz w:val="15"/>
        </w:rPr>
        <w:t xml:space="preserve"> </w:t>
      </w:r>
      <w:r>
        <w:rPr>
          <w:w w:val="105"/>
          <w:sz w:val="15"/>
        </w:rPr>
        <w:t>ha</w:t>
      </w:r>
      <w:r>
        <w:rPr>
          <w:spacing w:val="-9"/>
          <w:w w:val="105"/>
          <w:sz w:val="15"/>
        </w:rPr>
        <w:t xml:space="preserve"> </w:t>
      </w:r>
      <w:r>
        <w:rPr>
          <w:w w:val="105"/>
          <w:sz w:val="15"/>
        </w:rPr>
        <w:t>comentado</w:t>
      </w:r>
      <w:r>
        <w:rPr>
          <w:spacing w:val="-9"/>
          <w:w w:val="105"/>
          <w:sz w:val="15"/>
        </w:rPr>
        <w:t xml:space="preserve"> </w:t>
      </w:r>
      <w:r>
        <w:rPr>
          <w:w w:val="105"/>
          <w:sz w:val="15"/>
        </w:rPr>
        <w:t>sobre</w:t>
      </w:r>
      <w:r>
        <w:rPr>
          <w:spacing w:val="-9"/>
          <w:w w:val="105"/>
          <w:sz w:val="15"/>
        </w:rPr>
        <w:t xml:space="preserve"> </w:t>
      </w:r>
      <w:r>
        <w:rPr>
          <w:w w:val="105"/>
          <w:sz w:val="15"/>
        </w:rPr>
        <w:t>la</w:t>
      </w:r>
      <w:r>
        <w:rPr>
          <w:spacing w:val="-9"/>
          <w:w w:val="105"/>
          <w:sz w:val="15"/>
        </w:rPr>
        <w:t xml:space="preserve"> </w:t>
      </w:r>
      <w:r>
        <w:rPr>
          <w:w w:val="105"/>
          <w:sz w:val="15"/>
        </w:rPr>
        <w:t>práctica</w:t>
      </w:r>
      <w:r>
        <w:rPr>
          <w:spacing w:val="-9"/>
          <w:w w:val="105"/>
          <w:sz w:val="15"/>
        </w:rPr>
        <w:t xml:space="preserve"> </w:t>
      </w:r>
      <w:r>
        <w:rPr>
          <w:w w:val="105"/>
          <w:sz w:val="15"/>
        </w:rPr>
        <w:t>de</w:t>
      </w:r>
      <w:r>
        <w:rPr>
          <w:spacing w:val="-9"/>
          <w:w w:val="105"/>
          <w:sz w:val="15"/>
        </w:rPr>
        <w:t xml:space="preserve"> </w:t>
      </w:r>
      <w:r>
        <w:rPr>
          <w:w w:val="105"/>
          <w:sz w:val="15"/>
        </w:rPr>
        <w:t>reclusos</w:t>
      </w:r>
      <w:r>
        <w:rPr>
          <w:spacing w:val="-9"/>
          <w:w w:val="105"/>
          <w:sz w:val="15"/>
        </w:rPr>
        <w:t xml:space="preserve"> </w:t>
      </w:r>
      <w:r>
        <w:rPr>
          <w:w w:val="105"/>
          <w:sz w:val="15"/>
        </w:rPr>
        <w:t>lesbianas,</w:t>
      </w:r>
      <w:r>
        <w:rPr>
          <w:spacing w:val="-8"/>
          <w:w w:val="105"/>
          <w:sz w:val="15"/>
        </w:rPr>
        <w:t xml:space="preserve"> </w:t>
      </w:r>
      <w:proofErr w:type="spellStart"/>
      <w:r>
        <w:rPr>
          <w:w w:val="105"/>
          <w:sz w:val="15"/>
        </w:rPr>
        <w:t>gays</w:t>
      </w:r>
      <w:proofErr w:type="spellEnd"/>
      <w:r>
        <w:rPr>
          <w:w w:val="105"/>
          <w:sz w:val="15"/>
        </w:rPr>
        <w:t>,</w:t>
      </w:r>
      <w:r>
        <w:rPr>
          <w:spacing w:val="-9"/>
          <w:w w:val="105"/>
          <w:sz w:val="15"/>
        </w:rPr>
        <w:t xml:space="preserve"> </w:t>
      </w:r>
      <w:r>
        <w:rPr>
          <w:w w:val="105"/>
          <w:sz w:val="15"/>
        </w:rPr>
        <w:t>bisexuales</w:t>
      </w:r>
      <w:r>
        <w:rPr>
          <w:spacing w:val="-9"/>
          <w:w w:val="105"/>
          <w:sz w:val="15"/>
        </w:rPr>
        <w:t xml:space="preserve"> </w:t>
      </w:r>
      <w:r>
        <w:rPr>
          <w:w w:val="105"/>
          <w:sz w:val="15"/>
        </w:rPr>
        <w:t>y</w:t>
      </w:r>
      <w:r>
        <w:rPr>
          <w:spacing w:val="-9"/>
          <w:w w:val="105"/>
          <w:sz w:val="15"/>
        </w:rPr>
        <w:t xml:space="preserve"> </w:t>
      </w:r>
      <w:r>
        <w:rPr>
          <w:w w:val="105"/>
          <w:sz w:val="15"/>
        </w:rPr>
        <w:t>transgénero que</w:t>
      </w:r>
      <w:r>
        <w:rPr>
          <w:spacing w:val="-11"/>
          <w:w w:val="105"/>
          <w:sz w:val="15"/>
        </w:rPr>
        <w:t xml:space="preserve"> </w:t>
      </w:r>
      <w:r>
        <w:rPr>
          <w:w w:val="105"/>
          <w:sz w:val="15"/>
        </w:rPr>
        <w:t>son</w:t>
      </w:r>
      <w:r>
        <w:rPr>
          <w:spacing w:val="-11"/>
          <w:w w:val="105"/>
          <w:sz w:val="15"/>
        </w:rPr>
        <w:t xml:space="preserve"> </w:t>
      </w:r>
      <w:r>
        <w:rPr>
          <w:w w:val="105"/>
          <w:sz w:val="15"/>
        </w:rPr>
        <w:t>sometidos</w:t>
      </w:r>
      <w:r>
        <w:rPr>
          <w:spacing w:val="-11"/>
          <w:w w:val="105"/>
          <w:sz w:val="15"/>
        </w:rPr>
        <w:t xml:space="preserve"> </w:t>
      </w:r>
      <w:r>
        <w:rPr>
          <w:w w:val="105"/>
          <w:sz w:val="15"/>
        </w:rPr>
        <w:t>a</w:t>
      </w:r>
      <w:r>
        <w:rPr>
          <w:spacing w:val="-11"/>
          <w:w w:val="105"/>
          <w:sz w:val="15"/>
        </w:rPr>
        <w:t xml:space="preserve"> </w:t>
      </w:r>
      <w:r>
        <w:rPr>
          <w:w w:val="105"/>
          <w:sz w:val="15"/>
        </w:rPr>
        <w:t>largos</w:t>
      </w:r>
      <w:r>
        <w:rPr>
          <w:spacing w:val="-11"/>
          <w:w w:val="105"/>
          <w:sz w:val="15"/>
        </w:rPr>
        <w:t xml:space="preserve"> </w:t>
      </w:r>
      <w:r>
        <w:rPr>
          <w:w w:val="105"/>
          <w:sz w:val="15"/>
        </w:rPr>
        <w:t>períodos</w:t>
      </w:r>
      <w:r>
        <w:rPr>
          <w:spacing w:val="-11"/>
          <w:w w:val="105"/>
          <w:sz w:val="15"/>
        </w:rPr>
        <w:t xml:space="preserve"> </w:t>
      </w:r>
      <w:r>
        <w:rPr>
          <w:w w:val="105"/>
          <w:sz w:val="15"/>
        </w:rPr>
        <w:t>de</w:t>
      </w:r>
      <w:r>
        <w:rPr>
          <w:spacing w:val="-10"/>
          <w:w w:val="105"/>
          <w:sz w:val="15"/>
        </w:rPr>
        <w:t xml:space="preserve"> </w:t>
      </w:r>
      <w:r>
        <w:rPr>
          <w:w w:val="105"/>
          <w:sz w:val="15"/>
        </w:rPr>
        <w:t>aislamiento,</w:t>
      </w:r>
      <w:r>
        <w:rPr>
          <w:spacing w:val="-10"/>
          <w:w w:val="105"/>
          <w:sz w:val="15"/>
        </w:rPr>
        <w:t xml:space="preserve"> </w:t>
      </w:r>
      <w:r>
        <w:rPr>
          <w:w w:val="105"/>
          <w:sz w:val="15"/>
        </w:rPr>
        <w:t>con</w:t>
      </w:r>
      <w:r>
        <w:rPr>
          <w:spacing w:val="-11"/>
          <w:w w:val="105"/>
          <w:sz w:val="15"/>
        </w:rPr>
        <w:t xml:space="preserve"> </w:t>
      </w:r>
      <w:r>
        <w:rPr>
          <w:w w:val="105"/>
          <w:sz w:val="15"/>
        </w:rPr>
        <w:t>la</w:t>
      </w:r>
      <w:r>
        <w:rPr>
          <w:spacing w:val="-11"/>
          <w:w w:val="105"/>
          <w:sz w:val="15"/>
        </w:rPr>
        <w:t xml:space="preserve"> </w:t>
      </w:r>
      <w:r>
        <w:rPr>
          <w:w w:val="105"/>
          <w:sz w:val="15"/>
        </w:rPr>
        <w:t>supuesta</w:t>
      </w:r>
      <w:r>
        <w:rPr>
          <w:spacing w:val="-11"/>
          <w:w w:val="105"/>
          <w:sz w:val="15"/>
        </w:rPr>
        <w:t xml:space="preserve"> </w:t>
      </w:r>
      <w:r>
        <w:rPr>
          <w:w w:val="105"/>
          <w:sz w:val="15"/>
        </w:rPr>
        <w:t>justificación</w:t>
      </w:r>
      <w:r>
        <w:rPr>
          <w:spacing w:val="-11"/>
          <w:w w:val="105"/>
          <w:sz w:val="15"/>
        </w:rPr>
        <w:t xml:space="preserve"> </w:t>
      </w:r>
      <w:r>
        <w:rPr>
          <w:w w:val="105"/>
          <w:sz w:val="15"/>
        </w:rPr>
        <w:t>de</w:t>
      </w:r>
      <w:r>
        <w:rPr>
          <w:spacing w:val="-11"/>
          <w:w w:val="105"/>
          <w:sz w:val="15"/>
        </w:rPr>
        <w:t xml:space="preserve"> </w:t>
      </w:r>
      <w:r>
        <w:rPr>
          <w:w w:val="105"/>
          <w:sz w:val="15"/>
        </w:rPr>
        <w:t>“salvaguardarlos”</w:t>
      </w:r>
      <w:r>
        <w:rPr>
          <w:spacing w:val="-11"/>
          <w:w w:val="105"/>
          <w:sz w:val="15"/>
        </w:rPr>
        <w:t xml:space="preserve"> </w:t>
      </w:r>
      <w:r>
        <w:rPr>
          <w:w w:val="105"/>
          <w:sz w:val="15"/>
        </w:rPr>
        <w:t>del</w:t>
      </w:r>
      <w:r>
        <w:rPr>
          <w:spacing w:val="-10"/>
          <w:w w:val="105"/>
          <w:sz w:val="15"/>
        </w:rPr>
        <w:t xml:space="preserve"> </w:t>
      </w:r>
      <w:r>
        <w:rPr>
          <w:w w:val="105"/>
          <w:sz w:val="15"/>
        </w:rPr>
        <w:t>riesgo</w:t>
      </w:r>
      <w:r>
        <w:rPr>
          <w:spacing w:val="-11"/>
          <w:w w:val="105"/>
          <w:sz w:val="15"/>
        </w:rPr>
        <w:t xml:space="preserve"> </w:t>
      </w:r>
      <w:r>
        <w:rPr>
          <w:w w:val="105"/>
          <w:sz w:val="15"/>
        </w:rPr>
        <w:t>de</w:t>
      </w:r>
      <w:r>
        <w:rPr>
          <w:spacing w:val="-11"/>
          <w:w w:val="105"/>
          <w:sz w:val="15"/>
        </w:rPr>
        <w:t xml:space="preserve"> </w:t>
      </w:r>
      <w:r>
        <w:rPr>
          <w:w w:val="105"/>
          <w:sz w:val="15"/>
        </w:rPr>
        <w:t>violencia. Tales prácticas, según el</w:t>
      </w:r>
    </w:p>
    <w:p w14:paraId="545DE99C" w14:textId="77777777" w:rsidR="0014798C" w:rsidRDefault="0014798C">
      <w:pPr>
        <w:pStyle w:val="Textoindependiente"/>
        <w:rPr>
          <w:sz w:val="13"/>
        </w:rPr>
      </w:pPr>
    </w:p>
    <w:p w14:paraId="31D7FB63" w14:textId="77777777" w:rsidR="0014798C" w:rsidRDefault="0014798C">
      <w:pPr>
        <w:pStyle w:val="Textoindependiente"/>
        <w:rPr>
          <w:sz w:val="13"/>
        </w:rPr>
      </w:pPr>
    </w:p>
    <w:p w14:paraId="45D3C627" w14:textId="77777777" w:rsidR="0014798C" w:rsidRDefault="0014798C">
      <w:pPr>
        <w:pStyle w:val="Textoindependiente"/>
        <w:rPr>
          <w:sz w:val="13"/>
        </w:rPr>
      </w:pPr>
    </w:p>
    <w:p w14:paraId="6865A10E" w14:textId="77777777" w:rsidR="0014798C" w:rsidRDefault="0014798C">
      <w:pPr>
        <w:pStyle w:val="Textoindependiente"/>
        <w:rPr>
          <w:sz w:val="13"/>
        </w:rPr>
      </w:pPr>
    </w:p>
    <w:p w14:paraId="1DE07C97" w14:textId="77777777" w:rsidR="0014798C" w:rsidRDefault="0014798C">
      <w:pPr>
        <w:pStyle w:val="Textoindependiente"/>
        <w:spacing w:before="35"/>
        <w:rPr>
          <w:sz w:val="13"/>
        </w:rPr>
      </w:pPr>
    </w:p>
    <w:p w14:paraId="481872EA" w14:textId="77777777" w:rsidR="0014798C" w:rsidRDefault="004E1F0B">
      <w:pPr>
        <w:spacing w:line="288" w:lineRule="auto"/>
        <w:ind w:left="1369" w:right="2004" w:hanging="265"/>
        <w:rPr>
          <w:sz w:val="13"/>
        </w:rPr>
      </w:pPr>
      <w:r>
        <w:rPr>
          <w:w w:val="105"/>
          <w:sz w:val="13"/>
          <w:vertAlign w:val="superscript"/>
        </w:rPr>
        <w:t>209</w:t>
      </w:r>
      <w:r>
        <w:rPr>
          <w:spacing w:val="63"/>
          <w:w w:val="105"/>
          <w:sz w:val="13"/>
        </w:rPr>
        <w:t xml:space="preserve"> </w:t>
      </w:r>
      <w:r>
        <w:rPr>
          <w:w w:val="105"/>
          <w:sz w:val="13"/>
        </w:rPr>
        <w:t>Véase,</w:t>
      </w:r>
      <w:r>
        <w:rPr>
          <w:spacing w:val="-8"/>
          <w:w w:val="105"/>
          <w:sz w:val="13"/>
        </w:rPr>
        <w:t xml:space="preserve"> </w:t>
      </w:r>
      <w:r>
        <w:rPr>
          <w:w w:val="105"/>
          <w:sz w:val="13"/>
        </w:rPr>
        <w:t>en</w:t>
      </w:r>
      <w:r>
        <w:rPr>
          <w:spacing w:val="-8"/>
          <w:w w:val="105"/>
          <w:sz w:val="13"/>
        </w:rPr>
        <w:t xml:space="preserve"> </w:t>
      </w:r>
      <w:r>
        <w:rPr>
          <w:w w:val="105"/>
          <w:sz w:val="13"/>
        </w:rPr>
        <w:t>particular,</w:t>
      </w:r>
      <w:r>
        <w:rPr>
          <w:spacing w:val="-8"/>
          <w:w w:val="105"/>
          <w:sz w:val="13"/>
        </w:rPr>
        <w:t xml:space="preserve"> </w:t>
      </w:r>
      <w:r>
        <w:rPr>
          <w:w w:val="105"/>
          <w:sz w:val="13"/>
        </w:rPr>
        <w:t>el</w:t>
      </w:r>
      <w:r>
        <w:rPr>
          <w:spacing w:val="-8"/>
          <w:w w:val="105"/>
          <w:sz w:val="13"/>
        </w:rPr>
        <w:t xml:space="preserve"> </w:t>
      </w:r>
      <w:r>
        <w:rPr>
          <w:w w:val="105"/>
          <w:sz w:val="13"/>
        </w:rPr>
        <w:t>análisis</w:t>
      </w:r>
      <w:r>
        <w:rPr>
          <w:spacing w:val="-9"/>
          <w:w w:val="105"/>
          <w:sz w:val="13"/>
        </w:rPr>
        <w:t xml:space="preserve"> </w:t>
      </w:r>
      <w:r>
        <w:rPr>
          <w:w w:val="105"/>
          <w:sz w:val="13"/>
        </w:rPr>
        <w:t>de</w:t>
      </w:r>
      <w:r>
        <w:rPr>
          <w:spacing w:val="-8"/>
          <w:w w:val="105"/>
          <w:sz w:val="13"/>
        </w:rPr>
        <w:t xml:space="preserve"> </w:t>
      </w:r>
      <w:r>
        <w:rPr>
          <w:w w:val="105"/>
          <w:sz w:val="13"/>
        </w:rPr>
        <w:t>la</w:t>
      </w:r>
      <w:r>
        <w:rPr>
          <w:spacing w:val="-8"/>
          <w:w w:val="105"/>
          <w:sz w:val="13"/>
        </w:rPr>
        <w:t xml:space="preserve"> </w:t>
      </w:r>
      <w:r>
        <w:rPr>
          <w:w w:val="105"/>
          <w:sz w:val="13"/>
        </w:rPr>
        <w:t>segunda</w:t>
      </w:r>
      <w:r>
        <w:rPr>
          <w:spacing w:val="-8"/>
          <w:w w:val="105"/>
          <w:sz w:val="13"/>
        </w:rPr>
        <w:t xml:space="preserve"> </w:t>
      </w:r>
      <w:r>
        <w:rPr>
          <w:w w:val="105"/>
          <w:sz w:val="13"/>
        </w:rPr>
        <w:t>parte</w:t>
      </w:r>
      <w:r>
        <w:rPr>
          <w:spacing w:val="-9"/>
          <w:w w:val="105"/>
          <w:sz w:val="13"/>
        </w:rPr>
        <w:t xml:space="preserve"> </w:t>
      </w:r>
      <w:r>
        <w:rPr>
          <w:w w:val="105"/>
          <w:sz w:val="13"/>
        </w:rPr>
        <w:t>de</w:t>
      </w:r>
      <w:r>
        <w:rPr>
          <w:spacing w:val="-8"/>
          <w:w w:val="105"/>
          <w:sz w:val="13"/>
        </w:rPr>
        <w:t xml:space="preserve"> </w:t>
      </w:r>
      <w:r>
        <w:rPr>
          <w:w w:val="105"/>
          <w:sz w:val="13"/>
        </w:rPr>
        <w:t>la</w:t>
      </w:r>
      <w:r>
        <w:rPr>
          <w:spacing w:val="-8"/>
          <w:w w:val="105"/>
          <w:sz w:val="13"/>
        </w:rPr>
        <w:t xml:space="preserve"> </w:t>
      </w:r>
      <w:r>
        <w:rPr>
          <w:w w:val="105"/>
          <w:sz w:val="13"/>
        </w:rPr>
        <w:t>presente</w:t>
      </w:r>
      <w:r>
        <w:rPr>
          <w:spacing w:val="-8"/>
          <w:w w:val="105"/>
          <w:sz w:val="13"/>
        </w:rPr>
        <w:t xml:space="preserve"> </w:t>
      </w:r>
      <w:r>
        <w:rPr>
          <w:w w:val="105"/>
          <w:sz w:val="13"/>
        </w:rPr>
        <w:t>guía</w:t>
      </w:r>
      <w:r>
        <w:rPr>
          <w:spacing w:val="-9"/>
          <w:w w:val="105"/>
          <w:sz w:val="13"/>
        </w:rPr>
        <w:t xml:space="preserve"> </w:t>
      </w:r>
      <w:r>
        <w:rPr>
          <w:w w:val="105"/>
          <w:sz w:val="13"/>
        </w:rPr>
        <w:t>sobre</w:t>
      </w:r>
      <w:r>
        <w:rPr>
          <w:spacing w:val="-8"/>
          <w:w w:val="105"/>
          <w:sz w:val="13"/>
        </w:rPr>
        <w:t xml:space="preserve"> </w:t>
      </w:r>
      <w:r>
        <w:rPr>
          <w:w w:val="105"/>
          <w:sz w:val="13"/>
        </w:rPr>
        <w:t>la</w:t>
      </w:r>
      <w:r>
        <w:rPr>
          <w:spacing w:val="-8"/>
          <w:w w:val="105"/>
          <w:sz w:val="13"/>
        </w:rPr>
        <w:t xml:space="preserve"> </w:t>
      </w:r>
      <w:r>
        <w:rPr>
          <w:w w:val="105"/>
          <w:sz w:val="13"/>
        </w:rPr>
        <w:t>superposición</w:t>
      </w:r>
      <w:r>
        <w:rPr>
          <w:spacing w:val="-8"/>
          <w:w w:val="105"/>
          <w:sz w:val="13"/>
        </w:rPr>
        <w:t xml:space="preserve"> </w:t>
      </w:r>
      <w:r>
        <w:rPr>
          <w:w w:val="105"/>
          <w:sz w:val="13"/>
        </w:rPr>
        <w:t>entre</w:t>
      </w:r>
      <w:r>
        <w:rPr>
          <w:spacing w:val="-9"/>
          <w:w w:val="105"/>
          <w:sz w:val="13"/>
        </w:rPr>
        <w:t xml:space="preserve"> </w:t>
      </w:r>
      <w:r>
        <w:rPr>
          <w:w w:val="105"/>
          <w:sz w:val="13"/>
        </w:rPr>
        <w:t>ajustes</w:t>
      </w:r>
      <w:r>
        <w:rPr>
          <w:spacing w:val="-9"/>
          <w:w w:val="105"/>
          <w:sz w:val="13"/>
        </w:rPr>
        <w:t xml:space="preserve"> </w:t>
      </w:r>
      <w:r>
        <w:rPr>
          <w:w w:val="105"/>
          <w:sz w:val="13"/>
        </w:rPr>
        <w:t>razonables</w:t>
      </w:r>
      <w:r>
        <w:rPr>
          <w:spacing w:val="-9"/>
          <w:w w:val="105"/>
          <w:sz w:val="13"/>
        </w:rPr>
        <w:t xml:space="preserve"> </w:t>
      </w:r>
      <w:r>
        <w:rPr>
          <w:w w:val="105"/>
          <w:sz w:val="13"/>
        </w:rPr>
        <w:t>y</w:t>
      </w:r>
      <w:r>
        <w:rPr>
          <w:spacing w:val="-8"/>
          <w:w w:val="105"/>
          <w:sz w:val="13"/>
        </w:rPr>
        <w:t xml:space="preserve"> </w:t>
      </w:r>
      <w:r>
        <w:rPr>
          <w:w w:val="105"/>
          <w:sz w:val="13"/>
        </w:rPr>
        <w:t>discriminación</w:t>
      </w:r>
      <w:r>
        <w:rPr>
          <w:spacing w:val="40"/>
          <w:w w:val="105"/>
          <w:sz w:val="13"/>
        </w:rPr>
        <w:t xml:space="preserve"> </w:t>
      </w:r>
      <w:r>
        <w:rPr>
          <w:w w:val="105"/>
          <w:sz w:val="13"/>
        </w:rPr>
        <w:t>indirecta</w:t>
      </w:r>
      <w:r>
        <w:rPr>
          <w:spacing w:val="-2"/>
          <w:w w:val="105"/>
          <w:sz w:val="13"/>
        </w:rPr>
        <w:t xml:space="preserve"> </w:t>
      </w:r>
      <w:r>
        <w:rPr>
          <w:w w:val="105"/>
          <w:sz w:val="13"/>
        </w:rPr>
        <w:t>(sección</w:t>
      </w:r>
      <w:r>
        <w:rPr>
          <w:spacing w:val="-2"/>
          <w:w w:val="105"/>
          <w:sz w:val="13"/>
        </w:rPr>
        <w:t xml:space="preserve"> </w:t>
      </w:r>
      <w:r>
        <w:rPr>
          <w:w w:val="105"/>
          <w:sz w:val="13"/>
        </w:rPr>
        <w:t>IA2</w:t>
      </w:r>
      <w:r>
        <w:rPr>
          <w:spacing w:val="-3"/>
          <w:w w:val="105"/>
          <w:sz w:val="13"/>
        </w:rPr>
        <w:t xml:space="preserve"> </w:t>
      </w:r>
      <w:r>
        <w:rPr>
          <w:w w:val="105"/>
          <w:sz w:val="13"/>
        </w:rPr>
        <w:t>d))</w:t>
      </w:r>
      <w:r>
        <w:rPr>
          <w:spacing w:val="-2"/>
          <w:w w:val="105"/>
          <w:sz w:val="13"/>
        </w:rPr>
        <w:t xml:space="preserve"> </w:t>
      </w:r>
      <w:r>
        <w:rPr>
          <w:w w:val="105"/>
          <w:sz w:val="13"/>
        </w:rPr>
        <w:t>y</w:t>
      </w:r>
      <w:r>
        <w:rPr>
          <w:spacing w:val="-2"/>
          <w:w w:val="105"/>
          <w:sz w:val="13"/>
        </w:rPr>
        <w:t xml:space="preserve"> </w:t>
      </w:r>
      <w:r>
        <w:rPr>
          <w:w w:val="105"/>
          <w:sz w:val="13"/>
        </w:rPr>
        <w:t>el</w:t>
      </w:r>
      <w:r>
        <w:rPr>
          <w:spacing w:val="-2"/>
          <w:w w:val="105"/>
          <w:sz w:val="13"/>
        </w:rPr>
        <w:t xml:space="preserve"> </w:t>
      </w:r>
      <w:r>
        <w:rPr>
          <w:w w:val="105"/>
          <w:sz w:val="13"/>
        </w:rPr>
        <w:t>tratamiento</w:t>
      </w:r>
      <w:r>
        <w:rPr>
          <w:spacing w:val="-3"/>
          <w:w w:val="105"/>
          <w:sz w:val="13"/>
        </w:rPr>
        <w:t xml:space="preserve"> </w:t>
      </w:r>
      <w:r>
        <w:rPr>
          <w:w w:val="105"/>
          <w:sz w:val="13"/>
        </w:rPr>
        <w:t>de</w:t>
      </w:r>
      <w:r>
        <w:rPr>
          <w:spacing w:val="-2"/>
          <w:w w:val="105"/>
          <w:sz w:val="13"/>
        </w:rPr>
        <w:t xml:space="preserve"> </w:t>
      </w:r>
      <w:r>
        <w:rPr>
          <w:w w:val="105"/>
          <w:sz w:val="13"/>
        </w:rPr>
        <w:t>la</w:t>
      </w:r>
      <w:r>
        <w:rPr>
          <w:spacing w:val="-2"/>
          <w:w w:val="105"/>
          <w:sz w:val="13"/>
        </w:rPr>
        <w:t xml:space="preserve"> </w:t>
      </w:r>
      <w:r>
        <w:rPr>
          <w:w w:val="105"/>
          <w:sz w:val="13"/>
        </w:rPr>
        <w:t>segregación</w:t>
      </w:r>
      <w:r>
        <w:rPr>
          <w:spacing w:val="-2"/>
          <w:w w:val="105"/>
          <w:sz w:val="13"/>
        </w:rPr>
        <w:t xml:space="preserve"> </w:t>
      </w:r>
      <w:r>
        <w:rPr>
          <w:w w:val="105"/>
          <w:sz w:val="13"/>
        </w:rPr>
        <w:t>(sección</w:t>
      </w:r>
      <w:r>
        <w:rPr>
          <w:spacing w:val="-2"/>
          <w:w w:val="105"/>
          <w:sz w:val="13"/>
        </w:rPr>
        <w:t xml:space="preserve"> </w:t>
      </w:r>
      <w:r>
        <w:rPr>
          <w:w w:val="105"/>
          <w:sz w:val="13"/>
        </w:rPr>
        <w:t>IA2</w:t>
      </w:r>
      <w:r>
        <w:rPr>
          <w:spacing w:val="-3"/>
          <w:w w:val="105"/>
          <w:sz w:val="13"/>
        </w:rPr>
        <w:t xml:space="preserve"> </w:t>
      </w:r>
      <w:r>
        <w:rPr>
          <w:w w:val="105"/>
          <w:sz w:val="13"/>
        </w:rPr>
        <w:t>e)).</w:t>
      </w:r>
    </w:p>
    <w:p w14:paraId="6CFD4E7A" w14:textId="77777777" w:rsidR="0014798C" w:rsidRDefault="004E1F0B">
      <w:pPr>
        <w:spacing w:before="112"/>
        <w:ind w:left="1105"/>
        <w:rPr>
          <w:sz w:val="11"/>
        </w:rPr>
      </w:pPr>
      <w:r>
        <w:rPr>
          <w:sz w:val="11"/>
        </w:rPr>
        <w:t>210</w:t>
      </w:r>
      <w:r>
        <w:rPr>
          <w:spacing w:val="1"/>
          <w:sz w:val="11"/>
        </w:rPr>
        <w:t xml:space="preserve"> </w:t>
      </w:r>
      <w:r>
        <w:rPr>
          <w:sz w:val="11"/>
        </w:rPr>
        <w:t>Comité</w:t>
      </w:r>
      <w:r>
        <w:rPr>
          <w:spacing w:val="1"/>
          <w:sz w:val="11"/>
        </w:rPr>
        <w:t xml:space="preserve"> </w:t>
      </w:r>
      <w:r>
        <w:rPr>
          <w:sz w:val="11"/>
        </w:rPr>
        <w:t>para</w:t>
      </w:r>
      <w:r>
        <w:rPr>
          <w:spacing w:val="1"/>
          <w:sz w:val="11"/>
        </w:rPr>
        <w:t xml:space="preserve"> </w:t>
      </w:r>
      <w:r>
        <w:rPr>
          <w:sz w:val="11"/>
        </w:rPr>
        <w:t>la</w:t>
      </w:r>
      <w:r>
        <w:rPr>
          <w:spacing w:val="2"/>
          <w:sz w:val="11"/>
        </w:rPr>
        <w:t xml:space="preserve"> </w:t>
      </w:r>
      <w:r>
        <w:rPr>
          <w:sz w:val="11"/>
        </w:rPr>
        <w:t>Eliminación</w:t>
      </w:r>
      <w:r>
        <w:rPr>
          <w:spacing w:val="1"/>
          <w:sz w:val="11"/>
        </w:rPr>
        <w:t xml:space="preserve"> </w:t>
      </w:r>
      <w:r>
        <w:rPr>
          <w:sz w:val="11"/>
        </w:rPr>
        <w:t>de</w:t>
      </w:r>
      <w:r>
        <w:rPr>
          <w:spacing w:val="1"/>
          <w:sz w:val="11"/>
        </w:rPr>
        <w:t xml:space="preserve"> </w:t>
      </w:r>
      <w:r>
        <w:rPr>
          <w:sz w:val="11"/>
        </w:rPr>
        <w:t>la</w:t>
      </w:r>
      <w:r>
        <w:rPr>
          <w:spacing w:val="2"/>
          <w:sz w:val="11"/>
        </w:rPr>
        <w:t xml:space="preserve"> </w:t>
      </w:r>
      <w:r>
        <w:rPr>
          <w:sz w:val="11"/>
        </w:rPr>
        <w:t>Discriminación</w:t>
      </w:r>
      <w:r>
        <w:rPr>
          <w:spacing w:val="1"/>
          <w:sz w:val="11"/>
        </w:rPr>
        <w:t xml:space="preserve"> </w:t>
      </w:r>
      <w:r>
        <w:rPr>
          <w:sz w:val="11"/>
        </w:rPr>
        <w:t>contra</w:t>
      </w:r>
      <w:r>
        <w:rPr>
          <w:spacing w:val="1"/>
          <w:sz w:val="11"/>
        </w:rPr>
        <w:t xml:space="preserve"> </w:t>
      </w:r>
      <w:r>
        <w:rPr>
          <w:sz w:val="11"/>
        </w:rPr>
        <w:t>la</w:t>
      </w:r>
      <w:r>
        <w:rPr>
          <w:spacing w:val="2"/>
          <w:sz w:val="11"/>
        </w:rPr>
        <w:t xml:space="preserve"> </w:t>
      </w:r>
      <w:r>
        <w:rPr>
          <w:sz w:val="11"/>
        </w:rPr>
        <w:t>Mujer,</w:t>
      </w:r>
      <w:r>
        <w:rPr>
          <w:spacing w:val="2"/>
          <w:sz w:val="11"/>
        </w:rPr>
        <w:t xml:space="preserve"> </w:t>
      </w:r>
      <w:r>
        <w:rPr>
          <w:sz w:val="11"/>
        </w:rPr>
        <w:t>recomendación</w:t>
      </w:r>
      <w:r>
        <w:rPr>
          <w:spacing w:val="1"/>
          <w:sz w:val="11"/>
        </w:rPr>
        <w:t xml:space="preserve"> </w:t>
      </w:r>
      <w:r>
        <w:rPr>
          <w:sz w:val="11"/>
        </w:rPr>
        <w:t>general</w:t>
      </w:r>
      <w:r>
        <w:rPr>
          <w:spacing w:val="2"/>
          <w:sz w:val="11"/>
        </w:rPr>
        <w:t xml:space="preserve"> </w:t>
      </w:r>
      <w:r>
        <w:rPr>
          <w:sz w:val="11"/>
        </w:rPr>
        <w:t>núm.</w:t>
      </w:r>
      <w:r>
        <w:rPr>
          <w:spacing w:val="1"/>
          <w:sz w:val="11"/>
        </w:rPr>
        <w:t xml:space="preserve"> </w:t>
      </w:r>
      <w:r>
        <w:rPr>
          <w:sz w:val="11"/>
        </w:rPr>
        <w:t>28</w:t>
      </w:r>
      <w:r>
        <w:rPr>
          <w:spacing w:val="1"/>
          <w:sz w:val="11"/>
        </w:rPr>
        <w:t xml:space="preserve"> </w:t>
      </w:r>
      <w:r>
        <w:rPr>
          <w:sz w:val="11"/>
        </w:rPr>
        <w:t>(2010),</w:t>
      </w:r>
      <w:r>
        <w:rPr>
          <w:spacing w:val="3"/>
          <w:sz w:val="11"/>
        </w:rPr>
        <w:t xml:space="preserve"> </w:t>
      </w:r>
      <w:proofErr w:type="spellStart"/>
      <w:r>
        <w:rPr>
          <w:sz w:val="11"/>
        </w:rPr>
        <w:t>párrs</w:t>
      </w:r>
      <w:proofErr w:type="spellEnd"/>
      <w:r>
        <w:rPr>
          <w:sz w:val="11"/>
        </w:rPr>
        <w:t>.</w:t>
      </w:r>
      <w:r>
        <w:rPr>
          <w:spacing w:val="2"/>
          <w:sz w:val="11"/>
        </w:rPr>
        <w:t xml:space="preserve"> </w:t>
      </w:r>
      <w:r>
        <w:rPr>
          <w:sz w:val="11"/>
        </w:rPr>
        <w:t>8</w:t>
      </w:r>
      <w:r>
        <w:rPr>
          <w:spacing w:val="1"/>
          <w:sz w:val="11"/>
        </w:rPr>
        <w:t xml:space="preserve"> </w:t>
      </w:r>
      <w:r>
        <w:rPr>
          <w:sz w:val="11"/>
        </w:rPr>
        <w:t>y</w:t>
      </w:r>
      <w:r>
        <w:rPr>
          <w:spacing w:val="2"/>
          <w:sz w:val="11"/>
        </w:rPr>
        <w:t xml:space="preserve"> </w:t>
      </w:r>
      <w:r>
        <w:rPr>
          <w:spacing w:val="-5"/>
          <w:sz w:val="11"/>
        </w:rPr>
        <w:t>15.</w:t>
      </w:r>
    </w:p>
    <w:p w14:paraId="4CB8857F" w14:textId="77777777" w:rsidR="0014798C" w:rsidRDefault="004E1F0B">
      <w:pPr>
        <w:spacing w:before="110" w:line="126" w:lineRule="exact"/>
        <w:ind w:left="1105"/>
        <w:rPr>
          <w:sz w:val="11"/>
        </w:rPr>
      </w:pPr>
      <w:r>
        <w:rPr>
          <w:sz w:val="11"/>
        </w:rPr>
        <w:t>211</w:t>
      </w:r>
      <w:r>
        <w:rPr>
          <w:spacing w:val="2"/>
          <w:sz w:val="11"/>
        </w:rPr>
        <w:t xml:space="preserve"> </w:t>
      </w:r>
      <w:r>
        <w:rPr>
          <w:sz w:val="11"/>
        </w:rPr>
        <w:t>Véase</w:t>
      </w:r>
      <w:r>
        <w:rPr>
          <w:spacing w:val="3"/>
          <w:sz w:val="11"/>
        </w:rPr>
        <w:t xml:space="preserve"> </w:t>
      </w:r>
      <w:r>
        <w:rPr>
          <w:sz w:val="11"/>
        </w:rPr>
        <w:t>además</w:t>
      </w:r>
      <w:r>
        <w:rPr>
          <w:spacing w:val="3"/>
          <w:sz w:val="11"/>
        </w:rPr>
        <w:t xml:space="preserve"> </w:t>
      </w:r>
      <w:r>
        <w:rPr>
          <w:sz w:val="11"/>
        </w:rPr>
        <w:t>el</w:t>
      </w:r>
      <w:r>
        <w:rPr>
          <w:spacing w:val="3"/>
          <w:sz w:val="11"/>
        </w:rPr>
        <w:t xml:space="preserve"> </w:t>
      </w:r>
      <w:r>
        <w:rPr>
          <w:sz w:val="11"/>
        </w:rPr>
        <w:t>capítulo</w:t>
      </w:r>
      <w:r>
        <w:rPr>
          <w:spacing w:val="3"/>
          <w:sz w:val="11"/>
        </w:rPr>
        <w:t xml:space="preserve"> </w:t>
      </w:r>
      <w:r>
        <w:rPr>
          <w:sz w:val="11"/>
        </w:rPr>
        <w:t>III</w:t>
      </w:r>
      <w:r>
        <w:rPr>
          <w:spacing w:val="3"/>
          <w:sz w:val="11"/>
        </w:rPr>
        <w:t xml:space="preserve"> </w:t>
      </w:r>
      <w:r>
        <w:rPr>
          <w:sz w:val="11"/>
        </w:rPr>
        <w:t>de</w:t>
      </w:r>
      <w:r>
        <w:rPr>
          <w:spacing w:val="3"/>
          <w:sz w:val="11"/>
        </w:rPr>
        <w:t xml:space="preserve"> </w:t>
      </w:r>
      <w:r>
        <w:rPr>
          <w:sz w:val="11"/>
        </w:rPr>
        <w:t>la</w:t>
      </w:r>
      <w:r>
        <w:rPr>
          <w:spacing w:val="3"/>
          <w:sz w:val="11"/>
        </w:rPr>
        <w:t xml:space="preserve"> </w:t>
      </w:r>
      <w:r>
        <w:rPr>
          <w:sz w:val="11"/>
        </w:rPr>
        <w:t>segunda</w:t>
      </w:r>
      <w:r>
        <w:rPr>
          <w:spacing w:val="3"/>
          <w:sz w:val="11"/>
        </w:rPr>
        <w:t xml:space="preserve"> </w:t>
      </w:r>
      <w:r>
        <w:rPr>
          <w:sz w:val="11"/>
        </w:rPr>
        <w:t>parte</w:t>
      </w:r>
      <w:r>
        <w:rPr>
          <w:spacing w:val="3"/>
          <w:sz w:val="11"/>
        </w:rPr>
        <w:t xml:space="preserve"> </w:t>
      </w:r>
      <w:r>
        <w:rPr>
          <w:sz w:val="11"/>
        </w:rPr>
        <w:t>de</w:t>
      </w:r>
      <w:r>
        <w:rPr>
          <w:spacing w:val="2"/>
          <w:sz w:val="11"/>
        </w:rPr>
        <w:t xml:space="preserve"> </w:t>
      </w:r>
      <w:r>
        <w:rPr>
          <w:sz w:val="11"/>
        </w:rPr>
        <w:t>la</w:t>
      </w:r>
      <w:r>
        <w:rPr>
          <w:spacing w:val="3"/>
          <w:sz w:val="11"/>
        </w:rPr>
        <w:t xml:space="preserve"> </w:t>
      </w:r>
      <w:r>
        <w:rPr>
          <w:sz w:val="11"/>
        </w:rPr>
        <w:t>presente</w:t>
      </w:r>
      <w:r>
        <w:rPr>
          <w:spacing w:val="3"/>
          <w:sz w:val="11"/>
        </w:rPr>
        <w:t xml:space="preserve"> </w:t>
      </w:r>
      <w:r>
        <w:rPr>
          <w:sz w:val="11"/>
        </w:rPr>
        <w:t>guía,</w:t>
      </w:r>
      <w:r>
        <w:rPr>
          <w:spacing w:val="3"/>
          <w:sz w:val="11"/>
        </w:rPr>
        <w:t xml:space="preserve"> </w:t>
      </w:r>
      <w:r>
        <w:rPr>
          <w:sz w:val="11"/>
        </w:rPr>
        <w:t>que</w:t>
      </w:r>
      <w:r>
        <w:rPr>
          <w:spacing w:val="3"/>
          <w:sz w:val="11"/>
        </w:rPr>
        <w:t xml:space="preserve"> </w:t>
      </w:r>
      <w:r>
        <w:rPr>
          <w:sz w:val="11"/>
        </w:rPr>
        <w:t>establece</w:t>
      </w:r>
      <w:r>
        <w:rPr>
          <w:spacing w:val="3"/>
          <w:sz w:val="11"/>
        </w:rPr>
        <w:t xml:space="preserve"> </w:t>
      </w:r>
      <w:r>
        <w:rPr>
          <w:sz w:val="11"/>
        </w:rPr>
        <w:t>las</w:t>
      </w:r>
      <w:r>
        <w:rPr>
          <w:spacing w:val="3"/>
          <w:sz w:val="11"/>
        </w:rPr>
        <w:t xml:space="preserve"> </w:t>
      </w:r>
      <w:r>
        <w:rPr>
          <w:sz w:val="11"/>
        </w:rPr>
        <w:t>garantías</w:t>
      </w:r>
      <w:r>
        <w:rPr>
          <w:spacing w:val="3"/>
          <w:sz w:val="11"/>
        </w:rPr>
        <w:t xml:space="preserve"> </w:t>
      </w:r>
      <w:r>
        <w:rPr>
          <w:sz w:val="11"/>
        </w:rPr>
        <w:t>procesales</w:t>
      </w:r>
      <w:r>
        <w:rPr>
          <w:spacing w:val="3"/>
          <w:sz w:val="11"/>
        </w:rPr>
        <w:t xml:space="preserve"> </w:t>
      </w:r>
      <w:r>
        <w:rPr>
          <w:sz w:val="11"/>
        </w:rPr>
        <w:t>necesarias</w:t>
      </w:r>
      <w:r>
        <w:rPr>
          <w:spacing w:val="3"/>
          <w:sz w:val="11"/>
        </w:rPr>
        <w:t xml:space="preserve"> </w:t>
      </w:r>
      <w:r>
        <w:rPr>
          <w:sz w:val="11"/>
        </w:rPr>
        <w:t>para</w:t>
      </w:r>
      <w:r>
        <w:rPr>
          <w:spacing w:val="2"/>
          <w:sz w:val="11"/>
        </w:rPr>
        <w:t xml:space="preserve"> </w:t>
      </w:r>
      <w:r>
        <w:rPr>
          <w:spacing w:val="-2"/>
          <w:sz w:val="11"/>
        </w:rPr>
        <w:t>garantizar</w:t>
      </w:r>
    </w:p>
    <w:p w14:paraId="5DE6379F" w14:textId="77777777" w:rsidR="0014798C" w:rsidRDefault="004E1F0B">
      <w:pPr>
        <w:spacing w:line="149" w:lineRule="exact"/>
        <w:ind w:left="1368"/>
        <w:rPr>
          <w:sz w:val="13"/>
        </w:rPr>
      </w:pPr>
      <w:r>
        <w:rPr>
          <w:w w:val="105"/>
          <w:sz w:val="13"/>
        </w:rPr>
        <w:t>aplicación</w:t>
      </w:r>
      <w:r>
        <w:rPr>
          <w:spacing w:val="-9"/>
          <w:w w:val="105"/>
          <w:sz w:val="13"/>
        </w:rPr>
        <w:t xml:space="preserve"> </w:t>
      </w:r>
      <w:r>
        <w:rPr>
          <w:w w:val="105"/>
          <w:sz w:val="13"/>
        </w:rPr>
        <w:t>de</w:t>
      </w:r>
      <w:r>
        <w:rPr>
          <w:spacing w:val="-8"/>
          <w:w w:val="105"/>
          <w:sz w:val="13"/>
        </w:rPr>
        <w:t xml:space="preserve"> </w:t>
      </w:r>
      <w:r>
        <w:rPr>
          <w:w w:val="105"/>
          <w:sz w:val="13"/>
        </w:rPr>
        <w:t>la</w:t>
      </w:r>
      <w:r>
        <w:rPr>
          <w:spacing w:val="-9"/>
          <w:w w:val="105"/>
          <w:sz w:val="13"/>
        </w:rPr>
        <w:t xml:space="preserve"> </w:t>
      </w:r>
      <w:r>
        <w:rPr>
          <w:w w:val="105"/>
          <w:sz w:val="13"/>
        </w:rPr>
        <w:t>ley</w:t>
      </w:r>
      <w:r>
        <w:rPr>
          <w:spacing w:val="-8"/>
          <w:w w:val="105"/>
          <w:sz w:val="13"/>
        </w:rPr>
        <w:t xml:space="preserve"> </w:t>
      </w:r>
      <w:r>
        <w:rPr>
          <w:w w:val="105"/>
          <w:sz w:val="13"/>
        </w:rPr>
        <w:t>contra</w:t>
      </w:r>
      <w:r>
        <w:rPr>
          <w:spacing w:val="-9"/>
          <w:w w:val="105"/>
          <w:sz w:val="13"/>
        </w:rPr>
        <w:t xml:space="preserve"> </w:t>
      </w:r>
      <w:r>
        <w:rPr>
          <w:w w:val="105"/>
          <w:sz w:val="13"/>
        </w:rPr>
        <w:t>la</w:t>
      </w:r>
      <w:r>
        <w:rPr>
          <w:spacing w:val="-8"/>
          <w:w w:val="105"/>
          <w:sz w:val="13"/>
        </w:rPr>
        <w:t xml:space="preserve"> </w:t>
      </w:r>
      <w:r>
        <w:rPr>
          <w:spacing w:val="-2"/>
          <w:w w:val="105"/>
          <w:sz w:val="13"/>
        </w:rPr>
        <w:t>discriminación.</w:t>
      </w:r>
    </w:p>
    <w:p w14:paraId="63F0AA79" w14:textId="77777777" w:rsidR="0014798C" w:rsidRDefault="004E1F0B">
      <w:pPr>
        <w:spacing w:before="87"/>
        <w:ind w:left="1105"/>
        <w:rPr>
          <w:sz w:val="13"/>
        </w:rPr>
      </w:pPr>
      <w:r>
        <w:rPr>
          <w:w w:val="105"/>
          <w:sz w:val="13"/>
          <w:vertAlign w:val="superscript"/>
        </w:rPr>
        <w:t>212</w:t>
      </w:r>
      <w:r>
        <w:rPr>
          <w:spacing w:val="52"/>
          <w:w w:val="105"/>
          <w:sz w:val="13"/>
        </w:rPr>
        <w:t xml:space="preserve"> </w:t>
      </w:r>
      <w:r>
        <w:rPr>
          <w:w w:val="105"/>
          <w:sz w:val="13"/>
        </w:rPr>
        <w:t>Véase,</w:t>
      </w:r>
      <w:r>
        <w:rPr>
          <w:spacing w:val="-9"/>
          <w:w w:val="105"/>
          <w:sz w:val="13"/>
        </w:rPr>
        <w:t xml:space="preserve"> </w:t>
      </w:r>
      <w:r>
        <w:rPr>
          <w:w w:val="105"/>
          <w:sz w:val="13"/>
        </w:rPr>
        <w:t>por</w:t>
      </w:r>
      <w:r>
        <w:rPr>
          <w:spacing w:val="-9"/>
          <w:w w:val="105"/>
          <w:sz w:val="13"/>
        </w:rPr>
        <w:t xml:space="preserve"> </w:t>
      </w:r>
      <w:r>
        <w:rPr>
          <w:w w:val="105"/>
          <w:sz w:val="13"/>
        </w:rPr>
        <w:t>ejemplo,</w:t>
      </w:r>
      <w:r>
        <w:rPr>
          <w:spacing w:val="-10"/>
          <w:w w:val="105"/>
          <w:sz w:val="13"/>
        </w:rPr>
        <w:t xml:space="preserve"> </w:t>
      </w:r>
      <w:r>
        <w:rPr>
          <w:w w:val="105"/>
          <w:sz w:val="13"/>
        </w:rPr>
        <w:t>Tribunal</w:t>
      </w:r>
      <w:r>
        <w:rPr>
          <w:spacing w:val="-9"/>
          <w:w w:val="105"/>
          <w:sz w:val="13"/>
        </w:rPr>
        <w:t xml:space="preserve"> </w:t>
      </w:r>
      <w:r>
        <w:rPr>
          <w:w w:val="105"/>
          <w:sz w:val="13"/>
        </w:rPr>
        <w:t>Europeo</w:t>
      </w:r>
      <w:r>
        <w:rPr>
          <w:spacing w:val="-10"/>
          <w:w w:val="105"/>
          <w:sz w:val="13"/>
        </w:rPr>
        <w:t xml:space="preserve"> </w:t>
      </w:r>
      <w:r>
        <w:rPr>
          <w:w w:val="105"/>
          <w:sz w:val="13"/>
        </w:rPr>
        <w:t>de</w:t>
      </w:r>
      <w:r>
        <w:rPr>
          <w:spacing w:val="-9"/>
          <w:w w:val="105"/>
          <w:sz w:val="13"/>
        </w:rPr>
        <w:t xml:space="preserve"> </w:t>
      </w:r>
      <w:r>
        <w:rPr>
          <w:w w:val="105"/>
          <w:sz w:val="13"/>
        </w:rPr>
        <w:t>Derechos</w:t>
      </w:r>
      <w:r>
        <w:rPr>
          <w:spacing w:val="-10"/>
          <w:w w:val="105"/>
          <w:sz w:val="13"/>
        </w:rPr>
        <w:t xml:space="preserve"> </w:t>
      </w:r>
      <w:r>
        <w:rPr>
          <w:w w:val="105"/>
          <w:sz w:val="13"/>
        </w:rPr>
        <w:t>Humanos,</w:t>
      </w:r>
      <w:r>
        <w:rPr>
          <w:spacing w:val="-9"/>
          <w:w w:val="105"/>
          <w:sz w:val="13"/>
        </w:rPr>
        <w:t xml:space="preserve"> </w:t>
      </w:r>
      <w:proofErr w:type="spellStart"/>
      <w:r>
        <w:rPr>
          <w:w w:val="105"/>
          <w:sz w:val="13"/>
        </w:rPr>
        <w:t>Oršuš</w:t>
      </w:r>
      <w:proofErr w:type="spellEnd"/>
      <w:r>
        <w:rPr>
          <w:spacing w:val="-9"/>
          <w:w w:val="105"/>
          <w:sz w:val="13"/>
        </w:rPr>
        <w:t xml:space="preserve"> </w:t>
      </w:r>
      <w:r>
        <w:rPr>
          <w:w w:val="105"/>
          <w:sz w:val="13"/>
        </w:rPr>
        <w:t>y</w:t>
      </w:r>
      <w:r>
        <w:rPr>
          <w:spacing w:val="-10"/>
          <w:w w:val="105"/>
          <w:sz w:val="13"/>
        </w:rPr>
        <w:t xml:space="preserve"> </w:t>
      </w:r>
      <w:r>
        <w:rPr>
          <w:w w:val="105"/>
          <w:sz w:val="13"/>
        </w:rPr>
        <w:t>otros</w:t>
      </w:r>
      <w:r>
        <w:rPr>
          <w:spacing w:val="-9"/>
          <w:w w:val="105"/>
          <w:sz w:val="13"/>
        </w:rPr>
        <w:t xml:space="preserve"> </w:t>
      </w:r>
      <w:r>
        <w:rPr>
          <w:w w:val="105"/>
          <w:sz w:val="13"/>
        </w:rPr>
        <w:t>c.</w:t>
      </w:r>
      <w:r>
        <w:rPr>
          <w:spacing w:val="-10"/>
          <w:w w:val="105"/>
          <w:sz w:val="13"/>
        </w:rPr>
        <w:t xml:space="preserve"> </w:t>
      </w:r>
      <w:r>
        <w:rPr>
          <w:w w:val="105"/>
          <w:sz w:val="13"/>
        </w:rPr>
        <w:t>Croacia,</w:t>
      </w:r>
      <w:r>
        <w:rPr>
          <w:spacing w:val="-9"/>
          <w:w w:val="105"/>
          <w:sz w:val="13"/>
        </w:rPr>
        <w:t xml:space="preserve"> </w:t>
      </w:r>
      <w:r>
        <w:rPr>
          <w:w w:val="105"/>
          <w:sz w:val="13"/>
        </w:rPr>
        <w:t>solicitud</w:t>
      </w:r>
      <w:r>
        <w:rPr>
          <w:spacing w:val="-9"/>
          <w:w w:val="105"/>
          <w:sz w:val="13"/>
        </w:rPr>
        <w:t xml:space="preserve"> </w:t>
      </w:r>
      <w:r>
        <w:rPr>
          <w:w w:val="105"/>
          <w:sz w:val="13"/>
        </w:rPr>
        <w:t>n.º</w:t>
      </w:r>
      <w:r>
        <w:rPr>
          <w:spacing w:val="-10"/>
          <w:w w:val="105"/>
          <w:sz w:val="13"/>
        </w:rPr>
        <w:t xml:space="preserve"> </w:t>
      </w:r>
      <w:r>
        <w:rPr>
          <w:w w:val="105"/>
          <w:sz w:val="13"/>
        </w:rPr>
        <w:t>15766/03,</w:t>
      </w:r>
      <w:r>
        <w:rPr>
          <w:spacing w:val="-9"/>
          <w:w w:val="105"/>
          <w:sz w:val="13"/>
        </w:rPr>
        <w:t xml:space="preserve"> </w:t>
      </w:r>
      <w:r>
        <w:rPr>
          <w:w w:val="105"/>
          <w:sz w:val="13"/>
        </w:rPr>
        <w:t>sentencia</w:t>
      </w:r>
      <w:r>
        <w:rPr>
          <w:spacing w:val="-10"/>
          <w:w w:val="105"/>
          <w:sz w:val="13"/>
        </w:rPr>
        <w:t xml:space="preserve"> </w:t>
      </w:r>
      <w:r>
        <w:rPr>
          <w:w w:val="105"/>
          <w:sz w:val="13"/>
        </w:rPr>
        <w:t>de</w:t>
      </w:r>
      <w:r>
        <w:rPr>
          <w:spacing w:val="-9"/>
          <w:w w:val="105"/>
          <w:sz w:val="13"/>
        </w:rPr>
        <w:t xml:space="preserve"> </w:t>
      </w:r>
      <w:r>
        <w:rPr>
          <w:w w:val="105"/>
          <w:sz w:val="13"/>
        </w:rPr>
        <w:t>16</w:t>
      </w:r>
      <w:r>
        <w:rPr>
          <w:spacing w:val="-9"/>
          <w:w w:val="105"/>
          <w:sz w:val="13"/>
        </w:rPr>
        <w:t xml:space="preserve"> </w:t>
      </w:r>
      <w:r>
        <w:rPr>
          <w:w w:val="105"/>
          <w:sz w:val="13"/>
        </w:rPr>
        <w:t>de</w:t>
      </w:r>
      <w:r>
        <w:rPr>
          <w:spacing w:val="-10"/>
          <w:w w:val="105"/>
          <w:sz w:val="13"/>
        </w:rPr>
        <w:t xml:space="preserve"> </w:t>
      </w:r>
      <w:r>
        <w:rPr>
          <w:w w:val="105"/>
          <w:sz w:val="13"/>
        </w:rPr>
        <w:t>marzo</w:t>
      </w:r>
      <w:r>
        <w:rPr>
          <w:spacing w:val="-9"/>
          <w:w w:val="105"/>
          <w:sz w:val="13"/>
        </w:rPr>
        <w:t xml:space="preserve"> </w:t>
      </w:r>
      <w:r>
        <w:rPr>
          <w:w w:val="105"/>
          <w:sz w:val="13"/>
        </w:rPr>
        <w:t>de</w:t>
      </w:r>
      <w:r>
        <w:rPr>
          <w:spacing w:val="-10"/>
          <w:w w:val="105"/>
          <w:sz w:val="13"/>
        </w:rPr>
        <w:t xml:space="preserve"> </w:t>
      </w:r>
      <w:r>
        <w:rPr>
          <w:spacing w:val="-2"/>
          <w:w w:val="105"/>
          <w:sz w:val="13"/>
        </w:rPr>
        <w:t>2010.</w:t>
      </w:r>
    </w:p>
    <w:p w14:paraId="22C8CA63" w14:textId="77777777" w:rsidR="0014798C" w:rsidRDefault="0014798C">
      <w:pPr>
        <w:pStyle w:val="Textoindependiente"/>
        <w:spacing w:before="9"/>
        <w:rPr>
          <w:sz w:val="11"/>
        </w:rPr>
      </w:pPr>
    </w:p>
    <w:p w14:paraId="0C08F70F" w14:textId="77777777" w:rsidR="0014798C" w:rsidRDefault="004E1F0B">
      <w:pPr>
        <w:ind w:left="1105"/>
        <w:rPr>
          <w:sz w:val="11"/>
        </w:rPr>
      </w:pPr>
      <w:r>
        <w:rPr>
          <w:sz w:val="11"/>
        </w:rPr>
        <w:t>213</w:t>
      </w:r>
      <w:r>
        <w:rPr>
          <w:spacing w:val="-2"/>
          <w:sz w:val="11"/>
        </w:rPr>
        <w:t xml:space="preserve"> </w:t>
      </w:r>
      <w:r>
        <w:rPr>
          <w:sz w:val="11"/>
        </w:rPr>
        <w:t>Convención</w:t>
      </w:r>
      <w:r>
        <w:rPr>
          <w:spacing w:val="-1"/>
          <w:sz w:val="11"/>
        </w:rPr>
        <w:t xml:space="preserve"> </w:t>
      </w:r>
      <w:r>
        <w:rPr>
          <w:sz w:val="11"/>
        </w:rPr>
        <w:t>Internacional</w:t>
      </w:r>
      <w:r>
        <w:rPr>
          <w:spacing w:val="-1"/>
          <w:sz w:val="11"/>
        </w:rPr>
        <w:t xml:space="preserve"> </w:t>
      </w:r>
      <w:r>
        <w:rPr>
          <w:sz w:val="11"/>
        </w:rPr>
        <w:t>sobre</w:t>
      </w:r>
      <w:r>
        <w:rPr>
          <w:spacing w:val="-1"/>
          <w:sz w:val="11"/>
        </w:rPr>
        <w:t xml:space="preserve"> </w:t>
      </w:r>
      <w:r>
        <w:rPr>
          <w:sz w:val="11"/>
        </w:rPr>
        <w:t>la</w:t>
      </w:r>
      <w:r>
        <w:rPr>
          <w:spacing w:val="-1"/>
          <w:sz w:val="11"/>
        </w:rPr>
        <w:t xml:space="preserve"> </w:t>
      </w:r>
      <w:r>
        <w:rPr>
          <w:sz w:val="11"/>
        </w:rPr>
        <w:t>Eliminación</w:t>
      </w:r>
      <w:r>
        <w:rPr>
          <w:spacing w:val="-1"/>
          <w:sz w:val="11"/>
        </w:rPr>
        <w:t xml:space="preserve"> </w:t>
      </w:r>
      <w:r>
        <w:rPr>
          <w:sz w:val="11"/>
        </w:rPr>
        <w:t>de</w:t>
      </w:r>
      <w:r>
        <w:rPr>
          <w:spacing w:val="-1"/>
          <w:sz w:val="11"/>
        </w:rPr>
        <w:t xml:space="preserve"> </w:t>
      </w:r>
      <w:r>
        <w:rPr>
          <w:sz w:val="11"/>
        </w:rPr>
        <w:t>todas</w:t>
      </w:r>
      <w:r>
        <w:rPr>
          <w:spacing w:val="-2"/>
          <w:sz w:val="11"/>
        </w:rPr>
        <w:t xml:space="preserve"> </w:t>
      </w:r>
      <w:r>
        <w:rPr>
          <w:sz w:val="11"/>
        </w:rPr>
        <w:t>las</w:t>
      </w:r>
      <w:r>
        <w:rPr>
          <w:spacing w:val="-1"/>
          <w:sz w:val="11"/>
        </w:rPr>
        <w:t xml:space="preserve"> </w:t>
      </w:r>
      <w:r>
        <w:rPr>
          <w:sz w:val="11"/>
        </w:rPr>
        <w:t>Formas</w:t>
      </w:r>
      <w:r>
        <w:rPr>
          <w:spacing w:val="-1"/>
          <w:sz w:val="11"/>
        </w:rPr>
        <w:t xml:space="preserve"> </w:t>
      </w:r>
      <w:r>
        <w:rPr>
          <w:sz w:val="11"/>
        </w:rPr>
        <w:t>de</w:t>
      </w:r>
      <w:r>
        <w:rPr>
          <w:spacing w:val="-1"/>
          <w:sz w:val="11"/>
        </w:rPr>
        <w:t xml:space="preserve"> </w:t>
      </w:r>
      <w:r>
        <w:rPr>
          <w:sz w:val="11"/>
        </w:rPr>
        <w:t>Discriminación</w:t>
      </w:r>
      <w:r>
        <w:rPr>
          <w:spacing w:val="-1"/>
          <w:sz w:val="11"/>
        </w:rPr>
        <w:t xml:space="preserve"> </w:t>
      </w:r>
      <w:r>
        <w:rPr>
          <w:sz w:val="11"/>
        </w:rPr>
        <w:t>Racial, art.</w:t>
      </w:r>
      <w:r>
        <w:rPr>
          <w:spacing w:val="-1"/>
          <w:sz w:val="11"/>
        </w:rPr>
        <w:t xml:space="preserve"> </w:t>
      </w:r>
      <w:r>
        <w:rPr>
          <w:w w:val="95"/>
          <w:sz w:val="11"/>
        </w:rPr>
        <w:t>1;</w:t>
      </w:r>
      <w:r>
        <w:rPr>
          <w:spacing w:val="-1"/>
          <w:sz w:val="11"/>
        </w:rPr>
        <w:t xml:space="preserve"> </w:t>
      </w:r>
      <w:r>
        <w:rPr>
          <w:sz w:val="11"/>
        </w:rPr>
        <w:t>Convención</w:t>
      </w:r>
      <w:r>
        <w:rPr>
          <w:spacing w:val="-2"/>
          <w:sz w:val="11"/>
        </w:rPr>
        <w:t xml:space="preserve"> </w:t>
      </w:r>
      <w:r>
        <w:rPr>
          <w:sz w:val="11"/>
        </w:rPr>
        <w:t>sobre</w:t>
      </w:r>
      <w:r>
        <w:rPr>
          <w:spacing w:val="-1"/>
          <w:sz w:val="11"/>
        </w:rPr>
        <w:t xml:space="preserve"> </w:t>
      </w:r>
      <w:r>
        <w:rPr>
          <w:sz w:val="11"/>
        </w:rPr>
        <w:t>la</w:t>
      </w:r>
      <w:r>
        <w:rPr>
          <w:spacing w:val="-1"/>
          <w:sz w:val="11"/>
        </w:rPr>
        <w:t xml:space="preserve"> </w:t>
      </w:r>
      <w:r>
        <w:rPr>
          <w:sz w:val="11"/>
        </w:rPr>
        <w:t>eliminación</w:t>
      </w:r>
      <w:r>
        <w:rPr>
          <w:spacing w:val="-1"/>
          <w:sz w:val="11"/>
        </w:rPr>
        <w:t xml:space="preserve"> </w:t>
      </w:r>
      <w:r>
        <w:rPr>
          <w:sz w:val="11"/>
        </w:rPr>
        <w:t>de</w:t>
      </w:r>
      <w:r>
        <w:rPr>
          <w:spacing w:val="-1"/>
          <w:sz w:val="11"/>
        </w:rPr>
        <w:t xml:space="preserve"> </w:t>
      </w:r>
      <w:r>
        <w:rPr>
          <w:sz w:val="11"/>
        </w:rPr>
        <w:t>todas</w:t>
      </w:r>
      <w:r>
        <w:rPr>
          <w:spacing w:val="-1"/>
          <w:sz w:val="11"/>
        </w:rPr>
        <w:t xml:space="preserve"> </w:t>
      </w:r>
      <w:r>
        <w:rPr>
          <w:sz w:val="11"/>
        </w:rPr>
        <w:t>las</w:t>
      </w:r>
      <w:r>
        <w:rPr>
          <w:spacing w:val="-1"/>
          <w:sz w:val="11"/>
        </w:rPr>
        <w:t xml:space="preserve"> </w:t>
      </w:r>
      <w:r>
        <w:rPr>
          <w:spacing w:val="-2"/>
          <w:sz w:val="11"/>
        </w:rPr>
        <w:t>formas</w:t>
      </w:r>
    </w:p>
    <w:p w14:paraId="4EFAABAD" w14:textId="77777777" w:rsidR="0014798C" w:rsidRDefault="004E1F0B">
      <w:pPr>
        <w:spacing w:before="4" w:line="288" w:lineRule="auto"/>
        <w:ind w:left="1366" w:right="1272" w:firstLine="2"/>
        <w:rPr>
          <w:sz w:val="13"/>
        </w:rPr>
      </w:pPr>
      <w:r>
        <w:rPr>
          <w:sz w:val="13"/>
        </w:rPr>
        <w:t xml:space="preserve">de Discriminación contra la Mujer, art. </w:t>
      </w:r>
      <w:r>
        <w:rPr>
          <w:w w:val="95"/>
          <w:sz w:val="13"/>
        </w:rPr>
        <w:t xml:space="preserve">1; </w:t>
      </w:r>
      <w:r>
        <w:rPr>
          <w:sz w:val="13"/>
        </w:rPr>
        <w:t xml:space="preserve">Convención sobre los Derechos de las Personas con Discapacidad, art. </w:t>
      </w:r>
      <w:r>
        <w:rPr>
          <w:w w:val="95"/>
          <w:sz w:val="13"/>
        </w:rPr>
        <w:t xml:space="preserve">2; </w:t>
      </w:r>
      <w:r>
        <w:rPr>
          <w:sz w:val="13"/>
        </w:rPr>
        <w:t>Comité de Derechos Humanos,</w:t>
      </w:r>
      <w:r>
        <w:rPr>
          <w:spacing w:val="40"/>
          <w:sz w:val="13"/>
        </w:rPr>
        <w:t xml:space="preserve"> </w:t>
      </w:r>
      <w:r>
        <w:rPr>
          <w:sz w:val="13"/>
        </w:rPr>
        <w:t xml:space="preserve">observación general No. 18 (1989), </w:t>
      </w:r>
      <w:proofErr w:type="spellStart"/>
      <w:r>
        <w:rPr>
          <w:sz w:val="13"/>
        </w:rPr>
        <w:t>párrs</w:t>
      </w:r>
      <w:proofErr w:type="spellEnd"/>
      <w:r>
        <w:rPr>
          <w:sz w:val="13"/>
        </w:rPr>
        <w:t>. 6–7; y Comité de Derechos Económicos, Sociales y Culturales, observación general núm. 20 (2009), párr. 7.</w:t>
      </w:r>
    </w:p>
    <w:p w14:paraId="0198F2A7" w14:textId="77777777" w:rsidR="0014798C" w:rsidRDefault="004E1F0B">
      <w:pPr>
        <w:spacing w:before="58" w:line="288" w:lineRule="auto"/>
        <w:ind w:left="1368" w:right="1725" w:hanging="263"/>
        <w:rPr>
          <w:sz w:val="13"/>
        </w:rPr>
      </w:pPr>
      <w:r>
        <w:rPr>
          <w:spacing w:val="-2"/>
          <w:w w:val="105"/>
          <w:sz w:val="13"/>
          <w:vertAlign w:val="superscript"/>
        </w:rPr>
        <w:t>214</w:t>
      </w:r>
      <w:r>
        <w:rPr>
          <w:spacing w:val="80"/>
          <w:w w:val="105"/>
          <w:sz w:val="13"/>
        </w:rPr>
        <w:t xml:space="preserve"> </w:t>
      </w:r>
      <w:r>
        <w:rPr>
          <w:spacing w:val="-2"/>
          <w:w w:val="105"/>
          <w:sz w:val="13"/>
        </w:rPr>
        <w:t>Véase, por ejemplo, Comité</w:t>
      </w:r>
      <w:r>
        <w:rPr>
          <w:spacing w:val="-3"/>
          <w:w w:val="105"/>
          <w:sz w:val="13"/>
        </w:rPr>
        <w:t xml:space="preserve"> </w:t>
      </w:r>
      <w:r>
        <w:rPr>
          <w:spacing w:val="-2"/>
          <w:w w:val="105"/>
          <w:sz w:val="13"/>
        </w:rPr>
        <w:t>de Derechos</w:t>
      </w:r>
      <w:r>
        <w:rPr>
          <w:spacing w:val="-3"/>
          <w:w w:val="105"/>
          <w:sz w:val="13"/>
        </w:rPr>
        <w:t xml:space="preserve"> </w:t>
      </w:r>
      <w:r>
        <w:rPr>
          <w:spacing w:val="-2"/>
          <w:w w:val="105"/>
          <w:sz w:val="13"/>
        </w:rPr>
        <w:t xml:space="preserve">Humanos, </w:t>
      </w:r>
      <w:proofErr w:type="spellStart"/>
      <w:r>
        <w:rPr>
          <w:spacing w:val="-2"/>
          <w:w w:val="105"/>
          <w:sz w:val="13"/>
        </w:rPr>
        <w:t>Althammer</w:t>
      </w:r>
      <w:proofErr w:type="spellEnd"/>
      <w:r>
        <w:rPr>
          <w:spacing w:val="-3"/>
          <w:w w:val="105"/>
          <w:sz w:val="13"/>
        </w:rPr>
        <w:t xml:space="preserve"> </w:t>
      </w:r>
      <w:r>
        <w:rPr>
          <w:spacing w:val="-2"/>
          <w:w w:val="105"/>
          <w:sz w:val="13"/>
        </w:rPr>
        <w:t>et al. Austria</w:t>
      </w:r>
      <w:r>
        <w:rPr>
          <w:spacing w:val="-3"/>
          <w:w w:val="105"/>
          <w:sz w:val="13"/>
        </w:rPr>
        <w:t xml:space="preserve"> </w:t>
      </w:r>
      <w:r>
        <w:rPr>
          <w:spacing w:val="-2"/>
          <w:w w:val="105"/>
          <w:sz w:val="13"/>
        </w:rPr>
        <w:t>(CCPR/C/78/D/998/2001), párr. 10.2; y Comité</w:t>
      </w:r>
      <w:r>
        <w:rPr>
          <w:spacing w:val="-3"/>
          <w:w w:val="105"/>
          <w:sz w:val="13"/>
        </w:rPr>
        <w:t xml:space="preserve"> </w:t>
      </w:r>
      <w:r>
        <w:rPr>
          <w:spacing w:val="-2"/>
          <w:w w:val="105"/>
          <w:sz w:val="13"/>
        </w:rPr>
        <w:t>para la Eliminación</w:t>
      </w:r>
      <w:r>
        <w:rPr>
          <w:spacing w:val="40"/>
          <w:w w:val="105"/>
          <w:sz w:val="13"/>
        </w:rPr>
        <w:t xml:space="preserve"> </w:t>
      </w:r>
      <w:r>
        <w:rPr>
          <w:w w:val="105"/>
          <w:sz w:val="13"/>
        </w:rPr>
        <w:t>de</w:t>
      </w:r>
      <w:r>
        <w:rPr>
          <w:spacing w:val="-5"/>
          <w:w w:val="105"/>
          <w:sz w:val="13"/>
        </w:rPr>
        <w:t xml:space="preserve"> </w:t>
      </w:r>
      <w:r>
        <w:rPr>
          <w:w w:val="105"/>
          <w:sz w:val="13"/>
        </w:rPr>
        <w:t>la</w:t>
      </w:r>
      <w:r>
        <w:rPr>
          <w:spacing w:val="-5"/>
          <w:w w:val="105"/>
          <w:sz w:val="13"/>
        </w:rPr>
        <w:t xml:space="preserve"> </w:t>
      </w:r>
      <w:r>
        <w:rPr>
          <w:w w:val="105"/>
          <w:sz w:val="13"/>
        </w:rPr>
        <w:t>Discriminación</w:t>
      </w:r>
      <w:r>
        <w:rPr>
          <w:spacing w:val="-5"/>
          <w:w w:val="105"/>
          <w:sz w:val="13"/>
        </w:rPr>
        <w:t xml:space="preserve"> </w:t>
      </w:r>
      <w:r>
        <w:rPr>
          <w:w w:val="105"/>
          <w:sz w:val="13"/>
        </w:rPr>
        <w:t>Racial,</w:t>
      </w:r>
      <w:r>
        <w:rPr>
          <w:spacing w:val="-5"/>
          <w:w w:val="105"/>
          <w:sz w:val="13"/>
        </w:rPr>
        <w:t xml:space="preserve"> </w:t>
      </w:r>
      <w:r>
        <w:rPr>
          <w:w w:val="105"/>
          <w:sz w:val="13"/>
        </w:rPr>
        <w:t>LR</w:t>
      </w:r>
      <w:r>
        <w:rPr>
          <w:spacing w:val="-5"/>
          <w:w w:val="105"/>
          <w:sz w:val="13"/>
        </w:rPr>
        <w:t xml:space="preserve"> </w:t>
      </w:r>
      <w:r>
        <w:rPr>
          <w:w w:val="105"/>
          <w:sz w:val="13"/>
        </w:rPr>
        <w:t>et</w:t>
      </w:r>
      <w:r>
        <w:rPr>
          <w:spacing w:val="-5"/>
          <w:w w:val="105"/>
          <w:sz w:val="13"/>
        </w:rPr>
        <w:t xml:space="preserve"> </w:t>
      </w:r>
      <w:r>
        <w:rPr>
          <w:w w:val="105"/>
          <w:sz w:val="13"/>
        </w:rPr>
        <w:t>al.</w:t>
      </w:r>
      <w:r>
        <w:rPr>
          <w:spacing w:val="-5"/>
          <w:w w:val="105"/>
          <w:sz w:val="13"/>
        </w:rPr>
        <w:t xml:space="preserve"> </w:t>
      </w:r>
      <w:r>
        <w:rPr>
          <w:w w:val="105"/>
          <w:sz w:val="13"/>
        </w:rPr>
        <w:t>c.</w:t>
      </w:r>
      <w:r>
        <w:rPr>
          <w:spacing w:val="-5"/>
          <w:w w:val="105"/>
          <w:sz w:val="13"/>
        </w:rPr>
        <w:t xml:space="preserve"> </w:t>
      </w:r>
      <w:r>
        <w:rPr>
          <w:w w:val="105"/>
          <w:sz w:val="13"/>
        </w:rPr>
        <w:t>República</w:t>
      </w:r>
      <w:r>
        <w:rPr>
          <w:spacing w:val="-5"/>
          <w:w w:val="105"/>
          <w:sz w:val="13"/>
        </w:rPr>
        <w:t xml:space="preserve"> </w:t>
      </w:r>
      <w:r>
        <w:rPr>
          <w:w w:val="105"/>
          <w:sz w:val="13"/>
        </w:rPr>
        <w:t>Eslovaca</w:t>
      </w:r>
      <w:r>
        <w:rPr>
          <w:spacing w:val="-5"/>
          <w:w w:val="105"/>
          <w:sz w:val="13"/>
        </w:rPr>
        <w:t xml:space="preserve"> </w:t>
      </w:r>
      <w:r>
        <w:rPr>
          <w:w w:val="105"/>
          <w:sz w:val="13"/>
        </w:rPr>
        <w:t>(CERD/C/66/D/31/2003),</w:t>
      </w:r>
      <w:r>
        <w:rPr>
          <w:spacing w:val="-5"/>
          <w:w w:val="105"/>
          <w:sz w:val="13"/>
        </w:rPr>
        <w:t xml:space="preserve"> </w:t>
      </w:r>
      <w:r>
        <w:rPr>
          <w:w w:val="105"/>
          <w:sz w:val="13"/>
        </w:rPr>
        <w:t>párr.</w:t>
      </w:r>
      <w:r>
        <w:rPr>
          <w:spacing w:val="-5"/>
          <w:w w:val="105"/>
          <w:sz w:val="13"/>
        </w:rPr>
        <w:t xml:space="preserve"> </w:t>
      </w:r>
      <w:r>
        <w:rPr>
          <w:w w:val="105"/>
          <w:sz w:val="13"/>
        </w:rPr>
        <w:t>10.4.</w:t>
      </w:r>
    </w:p>
    <w:p w14:paraId="63A1AC3C" w14:textId="77777777" w:rsidR="0014798C" w:rsidRDefault="0014798C">
      <w:pPr>
        <w:pStyle w:val="Textoindependiente"/>
        <w:rPr>
          <w:sz w:val="19"/>
        </w:rPr>
      </w:pPr>
    </w:p>
    <w:p w14:paraId="4C596326" w14:textId="77777777" w:rsidR="0014798C" w:rsidRDefault="0014798C">
      <w:pPr>
        <w:pStyle w:val="Textoindependiente"/>
        <w:spacing w:before="171"/>
        <w:rPr>
          <w:sz w:val="19"/>
        </w:rPr>
      </w:pPr>
    </w:p>
    <w:p w14:paraId="1C3D7695" w14:textId="77777777" w:rsidR="0014798C" w:rsidRDefault="004E1F0B">
      <w:pPr>
        <w:ind w:left="553"/>
        <w:rPr>
          <w:sz w:val="19"/>
        </w:rPr>
      </w:pPr>
      <w:r>
        <w:rPr>
          <w:spacing w:val="-5"/>
          <w:sz w:val="19"/>
        </w:rPr>
        <w:t>30</w:t>
      </w:r>
    </w:p>
    <w:p w14:paraId="7CFAFA6E" w14:textId="77777777" w:rsidR="0014798C" w:rsidRDefault="0014798C">
      <w:pPr>
        <w:rPr>
          <w:sz w:val="19"/>
        </w:rPr>
        <w:sectPr w:rsidR="0014798C" w:rsidSect="00F265E4">
          <w:pgSz w:w="11900" w:h="16820"/>
          <w:pgMar w:top="340" w:right="0" w:bottom="280" w:left="200" w:header="121" w:footer="0" w:gutter="0"/>
          <w:cols w:space="720"/>
        </w:sectPr>
      </w:pPr>
    </w:p>
    <w:p w14:paraId="43665907" w14:textId="77777777" w:rsidR="0014798C" w:rsidRDefault="0014798C">
      <w:pPr>
        <w:pStyle w:val="Textoindependiente"/>
        <w:spacing w:before="51"/>
        <w:rPr>
          <w:sz w:val="14"/>
        </w:rPr>
      </w:pPr>
    </w:p>
    <w:p w14:paraId="4872402D" w14:textId="77777777" w:rsidR="0014798C" w:rsidRDefault="004E1F0B">
      <w:pPr>
        <w:ind w:left="1111"/>
        <w:rPr>
          <w:sz w:val="14"/>
        </w:rPr>
      </w:pPr>
      <w:r>
        <w:rPr>
          <w:color w:val="00AC59"/>
          <w:sz w:val="14"/>
        </w:rPr>
        <w:t>SEGUNDA</w:t>
      </w:r>
      <w:r>
        <w:rPr>
          <w:color w:val="00AC59"/>
          <w:spacing w:val="-5"/>
          <w:sz w:val="14"/>
        </w:rPr>
        <w:t xml:space="preserve"> </w:t>
      </w:r>
      <w:r>
        <w:rPr>
          <w:color w:val="00AC59"/>
          <w:sz w:val="14"/>
        </w:rPr>
        <w:t>PARTE:</w:t>
      </w:r>
      <w:r>
        <w:rPr>
          <w:color w:val="00AC59"/>
          <w:spacing w:val="-5"/>
          <w:sz w:val="14"/>
        </w:rPr>
        <w:t xml:space="preserve"> </w:t>
      </w:r>
      <w:r>
        <w:rPr>
          <w:color w:val="00AC59"/>
          <w:sz w:val="14"/>
        </w:rPr>
        <w:t>CONTENIDO</w:t>
      </w:r>
      <w:r>
        <w:rPr>
          <w:color w:val="00AC59"/>
          <w:spacing w:val="-4"/>
          <w:sz w:val="14"/>
        </w:rPr>
        <w:t xml:space="preserve"> </w:t>
      </w:r>
      <w:r>
        <w:rPr>
          <w:color w:val="00AC59"/>
          <w:sz w:val="14"/>
        </w:rPr>
        <w:t>DE</w:t>
      </w:r>
      <w:r>
        <w:rPr>
          <w:color w:val="00AC59"/>
          <w:spacing w:val="-5"/>
          <w:sz w:val="14"/>
        </w:rPr>
        <w:t xml:space="preserve"> </w:t>
      </w:r>
      <w:r>
        <w:rPr>
          <w:color w:val="00AC59"/>
          <w:sz w:val="14"/>
        </w:rPr>
        <w:t>LA</w:t>
      </w:r>
      <w:r>
        <w:rPr>
          <w:color w:val="00AC59"/>
          <w:spacing w:val="-4"/>
          <w:sz w:val="14"/>
        </w:rPr>
        <w:t xml:space="preserve"> </w:t>
      </w:r>
      <w:r>
        <w:rPr>
          <w:color w:val="00AC59"/>
          <w:sz w:val="14"/>
        </w:rPr>
        <w:t>LEY</w:t>
      </w:r>
      <w:r>
        <w:rPr>
          <w:color w:val="00AC59"/>
          <w:spacing w:val="-4"/>
          <w:sz w:val="14"/>
        </w:rPr>
        <w:t xml:space="preserve"> </w:t>
      </w:r>
      <w:r>
        <w:rPr>
          <w:color w:val="00AC59"/>
          <w:sz w:val="14"/>
        </w:rPr>
        <w:t>INTEGRAL</w:t>
      </w:r>
      <w:r>
        <w:rPr>
          <w:color w:val="00AC59"/>
          <w:spacing w:val="-5"/>
          <w:sz w:val="14"/>
        </w:rPr>
        <w:t xml:space="preserve"> </w:t>
      </w:r>
      <w:r>
        <w:rPr>
          <w:color w:val="00AC59"/>
          <w:spacing w:val="-2"/>
          <w:sz w:val="14"/>
        </w:rPr>
        <w:t>ANTIDISCRIMINACIÓN</w:t>
      </w:r>
    </w:p>
    <w:p w14:paraId="6214E7FF" w14:textId="77777777" w:rsidR="0014798C" w:rsidRDefault="0014798C">
      <w:pPr>
        <w:pStyle w:val="Textoindependiente"/>
        <w:rPr>
          <w:sz w:val="17"/>
        </w:rPr>
      </w:pPr>
    </w:p>
    <w:p w14:paraId="5714FFD2" w14:textId="77777777" w:rsidR="0014798C" w:rsidRDefault="0014798C">
      <w:pPr>
        <w:pStyle w:val="Textoindependiente"/>
        <w:rPr>
          <w:sz w:val="17"/>
        </w:rPr>
      </w:pPr>
    </w:p>
    <w:p w14:paraId="5BA7017D" w14:textId="77777777" w:rsidR="0014798C" w:rsidRDefault="0014798C">
      <w:pPr>
        <w:pStyle w:val="Textoindependiente"/>
        <w:rPr>
          <w:sz w:val="17"/>
        </w:rPr>
      </w:pPr>
    </w:p>
    <w:p w14:paraId="30F10F53" w14:textId="77777777" w:rsidR="0014798C" w:rsidRDefault="0014798C">
      <w:pPr>
        <w:pStyle w:val="Textoindependiente"/>
        <w:spacing w:before="171"/>
        <w:rPr>
          <w:sz w:val="17"/>
        </w:rPr>
      </w:pPr>
    </w:p>
    <w:p w14:paraId="2AE5A0BF" w14:textId="77777777" w:rsidR="0014798C" w:rsidRDefault="004E1F0B">
      <w:pPr>
        <w:spacing w:line="307" w:lineRule="auto"/>
        <w:ind w:left="1337" w:right="1626"/>
        <w:rPr>
          <w:sz w:val="17"/>
        </w:rPr>
      </w:pPr>
      <w:r>
        <w:rPr>
          <w:noProof/>
        </w:rPr>
        <w:drawing>
          <wp:anchor distT="0" distB="0" distL="0" distR="0" simplePos="0" relativeHeight="251658382" behindDoc="1" locked="0" layoutInCell="1" allowOverlap="1" wp14:anchorId="74810257" wp14:editId="1443C7EF">
            <wp:simplePos x="0" y="0"/>
            <wp:positionH relativeFrom="page">
              <wp:posOffset>790692</wp:posOffset>
            </wp:positionH>
            <wp:positionV relativeFrom="paragraph">
              <wp:posOffset>-139183</wp:posOffset>
            </wp:positionV>
            <wp:extent cx="6765807" cy="6007612"/>
            <wp:effectExtent l="0" t="0" r="0" b="0"/>
            <wp:wrapNone/>
            <wp:docPr id="107" name="Image 10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07" name="Image 107"/>
                    <pic:cNvPicPr/>
                  </pic:nvPicPr>
                  <pic:blipFill>
                    <a:blip r:embed="rId110" cstate="print"/>
                    <a:stretch>
                      <a:fillRect/>
                    </a:stretch>
                  </pic:blipFill>
                  <pic:spPr>
                    <a:xfrm>
                      <a:off x="0" y="0"/>
                      <a:ext cx="6765807" cy="6007612"/>
                    </a:xfrm>
                    <a:prstGeom prst="rect">
                      <a:avLst/>
                    </a:prstGeom>
                  </pic:spPr>
                </pic:pic>
              </a:graphicData>
            </a:graphic>
          </wp:anchor>
        </w:drawing>
      </w:r>
      <w:r>
        <w:rPr>
          <w:sz w:val="17"/>
        </w:rPr>
        <w:t>Comisión, puede constituir discriminación, “incluso cuando la intención sea proteger a las personas LGBT privadas de libertad”.215</w:t>
      </w:r>
    </w:p>
    <w:p w14:paraId="46547EB3" w14:textId="77777777" w:rsidR="0014798C" w:rsidRDefault="004E1F0B">
      <w:pPr>
        <w:spacing w:before="124" w:line="307" w:lineRule="auto"/>
        <w:ind w:left="1333" w:right="1463" w:hanging="2"/>
        <w:rPr>
          <w:sz w:val="17"/>
        </w:rPr>
      </w:pPr>
      <w:r>
        <w:rPr>
          <w:noProof/>
        </w:rPr>
        <mc:AlternateContent>
          <mc:Choice Requires="wps">
            <w:drawing>
              <wp:anchor distT="0" distB="0" distL="0" distR="0" simplePos="0" relativeHeight="251658256" behindDoc="0" locked="0" layoutInCell="1" allowOverlap="1" wp14:anchorId="0759C6E9" wp14:editId="1A309D22">
                <wp:simplePos x="0" y="0"/>
                <wp:positionH relativeFrom="page">
                  <wp:posOffset>7313138</wp:posOffset>
                </wp:positionH>
                <wp:positionV relativeFrom="paragraph">
                  <wp:posOffset>1380554</wp:posOffset>
                </wp:positionV>
                <wp:extent cx="83820" cy="281940"/>
                <wp:effectExtent l="0" t="0" r="0" b="0"/>
                <wp:wrapNone/>
                <wp:docPr id="108" name="Textbox 10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83820" cy="281940"/>
                        </a:xfrm>
                        <a:prstGeom prst="rect">
                          <a:avLst/>
                        </a:prstGeom>
                      </wps:spPr>
                      <wps:txbx>
                        <w:txbxContent>
                          <w:p w14:paraId="7E37B10D" w14:textId="77777777" w:rsidR="0014798C" w:rsidRDefault="004E1F0B">
                            <w:pPr>
                              <w:spacing w:before="19"/>
                              <w:ind w:left="20"/>
                              <w:rPr>
                                <w:sz w:val="8"/>
                              </w:rPr>
                            </w:pPr>
                            <w:r>
                              <w:rPr>
                                <w:color w:val="FFFFFF"/>
                                <w:spacing w:val="-24"/>
                                <w:sz w:val="8"/>
                              </w:rPr>
                              <w:t>I–P</w:t>
                            </w:r>
                            <w:r>
                              <w:rPr>
                                <w:spacing w:val="-24"/>
                                <w:sz w:val="8"/>
                              </w:rPr>
                              <w:t>S</w:t>
                            </w:r>
                            <w:r>
                              <w:rPr>
                                <w:color w:val="FFFFFF"/>
                                <w:spacing w:val="-24"/>
                                <w:sz w:val="8"/>
                              </w:rPr>
                              <w:t>A</w:t>
                            </w:r>
                            <w:r>
                              <w:rPr>
                                <w:spacing w:val="-24"/>
                                <w:sz w:val="8"/>
                              </w:rPr>
                              <w:t>E</w:t>
                            </w:r>
                            <w:r>
                              <w:rPr>
                                <w:color w:val="FFFFFF"/>
                                <w:spacing w:val="-24"/>
                                <w:sz w:val="8"/>
                              </w:rPr>
                              <w:t>R</w:t>
                            </w:r>
                            <w:r>
                              <w:rPr>
                                <w:spacing w:val="-24"/>
                                <w:sz w:val="8"/>
                              </w:rPr>
                              <w:t>G</w:t>
                            </w:r>
                            <w:r>
                              <w:rPr>
                                <w:color w:val="FFFFFF"/>
                                <w:spacing w:val="-24"/>
                                <w:sz w:val="8"/>
                              </w:rPr>
                              <w:t>T</w:t>
                            </w:r>
                            <w:r>
                              <w:rPr>
                                <w:spacing w:val="-24"/>
                                <w:sz w:val="8"/>
                              </w:rPr>
                              <w:t>U</w:t>
                            </w:r>
                            <w:r>
                              <w:rPr>
                                <w:color w:val="FFFFFF"/>
                                <w:spacing w:val="-24"/>
                                <w:sz w:val="8"/>
                              </w:rPr>
                              <w:t>E</w:t>
                            </w:r>
                            <w:r>
                              <w:rPr>
                                <w:spacing w:val="-24"/>
                                <w:sz w:val="8"/>
                              </w:rPr>
                              <w:t>NDA</w:t>
                            </w:r>
                          </w:p>
                        </w:txbxContent>
                      </wps:txbx>
                      <wps:bodyPr vert="vert270" wrap="square" lIns="0" tIns="0" rIns="0" bIns="0" rtlCol="0">
                        <a:noAutofit/>
                      </wps:bodyPr>
                    </wps:wsp>
                  </a:graphicData>
                </a:graphic>
              </wp:anchor>
            </w:drawing>
          </mc:Choice>
          <mc:Fallback>
            <w:pict>
              <v:shape w14:anchorId="0759C6E9" id="Textbox 108" o:spid="_x0000_s1067" type="#_x0000_t202" style="position:absolute;left:0;text-align:left;margin-left:575.85pt;margin-top:108.7pt;width:6.6pt;height:22.2pt;z-index:251658256;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" filled="f" stroked="f">
                <v:textbox style="layout-flow:vertical;mso-layout-flow-alt:bottom-to-top" inset="0,0,0,0">
                  <w:txbxContent>
                    <w:p w14:paraId="7E37B10D" w14:textId="77777777" w:rsidR="0014798C" w:rsidRDefault="004E1F0B">
                      <w:pPr>
                        <w:spacing w:before="19"/>
                        <w:ind w:left="20"/>
                        <w:rPr>
                          <w:sz w:val="8"/>
                        </w:rPr>
                      </w:pPr>
                      <w:r>
                        <w:rPr>
                          <w:color w:val="FFFFFF"/>
                          <w:spacing w:val="-24"/>
                          <w:sz w:val="8"/>
                        </w:rPr>
                        <w:t>I–P</w:t>
                      </w:r>
                      <w:r>
                        <w:rPr>
                          <w:spacing w:val="-24"/>
                          <w:sz w:val="8"/>
                        </w:rPr>
                        <w:t>S</w:t>
                      </w:r>
                      <w:r>
                        <w:rPr>
                          <w:color w:val="FFFFFF"/>
                          <w:spacing w:val="-24"/>
                          <w:sz w:val="8"/>
                        </w:rPr>
                        <w:t>A</w:t>
                      </w:r>
                      <w:r>
                        <w:rPr>
                          <w:spacing w:val="-24"/>
                          <w:sz w:val="8"/>
                        </w:rPr>
                        <w:t>E</w:t>
                      </w:r>
                      <w:r>
                        <w:rPr>
                          <w:color w:val="FFFFFF"/>
                          <w:spacing w:val="-24"/>
                          <w:sz w:val="8"/>
                        </w:rPr>
                        <w:t>R</w:t>
                      </w:r>
                      <w:r>
                        <w:rPr>
                          <w:spacing w:val="-24"/>
                          <w:sz w:val="8"/>
                        </w:rPr>
                        <w:t>G</w:t>
                      </w:r>
                      <w:r>
                        <w:rPr>
                          <w:color w:val="FFFFFF"/>
                          <w:spacing w:val="-24"/>
                          <w:sz w:val="8"/>
                        </w:rPr>
                        <w:t>T</w:t>
                      </w:r>
                      <w:r>
                        <w:rPr>
                          <w:spacing w:val="-24"/>
                          <w:sz w:val="8"/>
                        </w:rPr>
                        <w:t>U</w:t>
                      </w:r>
                      <w:r>
                        <w:rPr>
                          <w:color w:val="FFFFFF"/>
                          <w:spacing w:val="-24"/>
                          <w:sz w:val="8"/>
                        </w:rPr>
                        <w:t>E</w:t>
                      </w:r>
                      <w:r>
                        <w:rPr>
                          <w:spacing w:val="-24"/>
                          <w:sz w:val="8"/>
                        </w:rPr>
                        <w:t>NDA</w:t>
                      </w:r>
                    </w:p>
                  </w:txbxContent>
                </v:textbox>
                <w10:wrap anchorx="page"/>
              </v:shape>
            </w:pict>
          </mc:Fallback>
        </mc:AlternateContent>
      </w:r>
      <w:r>
        <w:rPr>
          <w:sz w:val="17"/>
        </w:rPr>
        <w:t>El término “efecto” ha sido interpretado por órganos creados en virtud de tratados de derechos humanos, incluido el Comité para la Eliminación de la Discriminación Racial, el Comité sobre los Derechos de las Personas con Discapacidad y el Comité de Derechos Humanos, en el sentido de que prohíbe la discriminación sin necesidad de identificar</w:t>
      </w:r>
      <w:r>
        <w:rPr>
          <w:spacing w:val="-1"/>
          <w:sz w:val="17"/>
        </w:rPr>
        <w:t xml:space="preserve"> </w:t>
      </w:r>
      <w:r>
        <w:rPr>
          <w:sz w:val="17"/>
        </w:rPr>
        <w:t>un motivo discriminatorio. o intención.216</w:t>
      </w:r>
      <w:r>
        <w:rPr>
          <w:spacing w:val="-1"/>
          <w:sz w:val="17"/>
        </w:rPr>
        <w:t xml:space="preserve"> </w:t>
      </w:r>
      <w:r>
        <w:rPr>
          <w:sz w:val="17"/>
        </w:rPr>
        <w:t>El</w:t>
      </w:r>
      <w:r>
        <w:rPr>
          <w:spacing w:val="-1"/>
          <w:sz w:val="17"/>
        </w:rPr>
        <w:t xml:space="preserve"> </w:t>
      </w:r>
      <w:r>
        <w:rPr>
          <w:sz w:val="17"/>
        </w:rPr>
        <w:t>Comité sobre los Derechos de las Personas</w:t>
      </w:r>
      <w:r>
        <w:rPr>
          <w:spacing w:val="-1"/>
          <w:sz w:val="17"/>
        </w:rPr>
        <w:t xml:space="preserve"> </w:t>
      </w:r>
      <w:r>
        <w:rPr>
          <w:sz w:val="17"/>
        </w:rPr>
        <w:t xml:space="preserve">con Discapacidad lo señala explícitamente en su Observación general núm. 6 (2018), señalando –en su definición de discriminación directa– que: “El motivo o la intención de la parte que discrimina no es relevante para determinar si se ha producido discriminación”. 217 En el caso </w:t>
      </w:r>
      <w:proofErr w:type="spellStart"/>
      <w:r>
        <w:rPr>
          <w:sz w:val="17"/>
        </w:rPr>
        <w:t>Gabre</w:t>
      </w:r>
      <w:proofErr w:type="spellEnd"/>
      <w:r>
        <w:rPr>
          <w:sz w:val="17"/>
        </w:rPr>
        <w:t xml:space="preserve"> </w:t>
      </w:r>
      <w:proofErr w:type="spellStart"/>
      <w:r>
        <w:rPr>
          <w:sz w:val="17"/>
        </w:rPr>
        <w:t>Gabaroum</w:t>
      </w:r>
      <w:proofErr w:type="spellEnd"/>
      <w:r>
        <w:rPr>
          <w:sz w:val="17"/>
        </w:rPr>
        <w:t xml:space="preserve"> v. Francia de 2016, el Comité para la Eliminación de la Discriminación Racial llegó a una conclusión similar, enfatizando que “las presuntas víctimas de discriminación racial no están obligadas a demostrar que hubo intención discriminatoria contra ellos”.218</w:t>
      </w:r>
    </w:p>
    <w:p w14:paraId="328D8586" w14:textId="77777777" w:rsidR="0014798C" w:rsidRDefault="004E1F0B">
      <w:pPr>
        <w:spacing w:before="109" w:line="307" w:lineRule="auto"/>
        <w:ind w:left="1334" w:right="1590" w:hanging="2"/>
        <w:rPr>
          <w:sz w:val="17"/>
        </w:rPr>
      </w:pPr>
      <w:r>
        <w:rPr>
          <w:sz w:val="17"/>
        </w:rPr>
        <w:t>Como se explica más adelante, el requisito de la intención está claramente ausente en los casos de discriminación indirecta y, en este sentido, el Comité para la Eliminación de la Discriminación Racial ha criticado a los Estados cuyas leyes no cumplen los requisitos de la Convención.219</w:t>
      </w:r>
    </w:p>
    <w:p w14:paraId="7A48401D" w14:textId="77777777" w:rsidR="0014798C" w:rsidRDefault="004E1F0B">
      <w:pPr>
        <w:spacing w:before="112" w:line="307" w:lineRule="auto"/>
        <w:ind w:left="1332" w:right="1553" w:firstLine="2"/>
        <w:rPr>
          <w:sz w:val="17"/>
        </w:rPr>
      </w:pPr>
      <w:r>
        <w:rPr>
          <w:sz w:val="17"/>
        </w:rPr>
        <w:t>Los órganos regionales de derechos humanos, incluido el Tribunal Europeo de Derechos Humanos220, el Tribunal de Justicia de la Unión Europea221, la Comisión Africana</w:t>
      </w:r>
      <w:r>
        <w:rPr>
          <w:spacing w:val="-1"/>
          <w:sz w:val="17"/>
        </w:rPr>
        <w:t xml:space="preserve"> </w:t>
      </w:r>
      <w:r>
        <w:rPr>
          <w:sz w:val="17"/>
        </w:rPr>
        <w:t>de Derechos Humanos y de los Pueblos222</w:t>
      </w:r>
      <w:r>
        <w:rPr>
          <w:spacing w:val="-1"/>
          <w:sz w:val="17"/>
        </w:rPr>
        <w:t xml:space="preserve"> </w:t>
      </w:r>
      <w:r>
        <w:rPr>
          <w:sz w:val="17"/>
        </w:rPr>
        <w:t>y la Comisión Interamericana de Derechos Humanos han sostenido que la intención de un parte es irrelevante para determinar la existencia de discriminación.223</w:t>
      </w:r>
    </w:p>
    <w:p w14:paraId="40D0A1F4" w14:textId="77777777" w:rsidR="0014798C" w:rsidRDefault="0014798C">
      <w:pPr>
        <w:pStyle w:val="Textoindependiente"/>
        <w:rPr>
          <w:sz w:val="17"/>
        </w:rPr>
      </w:pPr>
    </w:p>
    <w:p w14:paraId="1EE1EC94" w14:textId="77777777" w:rsidR="0014798C" w:rsidRDefault="0014798C">
      <w:pPr>
        <w:pStyle w:val="Textoindependiente"/>
        <w:rPr>
          <w:sz w:val="17"/>
        </w:rPr>
      </w:pPr>
    </w:p>
    <w:p w14:paraId="5C3DA28F" w14:textId="77777777" w:rsidR="0014798C" w:rsidRDefault="0014798C">
      <w:pPr>
        <w:pStyle w:val="Textoindependiente"/>
        <w:rPr>
          <w:sz w:val="17"/>
        </w:rPr>
      </w:pPr>
    </w:p>
    <w:p w14:paraId="43923C03" w14:textId="77777777" w:rsidR="0014798C" w:rsidRDefault="0014798C">
      <w:pPr>
        <w:pStyle w:val="Textoindependiente"/>
        <w:spacing w:before="91"/>
        <w:rPr>
          <w:sz w:val="17"/>
        </w:rPr>
      </w:pPr>
    </w:p>
    <w:p w14:paraId="5C1526CA" w14:textId="77777777" w:rsidR="0014798C" w:rsidRDefault="004E1F0B">
      <w:pPr>
        <w:spacing w:line="283" w:lineRule="auto"/>
        <w:ind w:left="1329" w:right="2765" w:firstLine="5"/>
        <w:rPr>
          <w:sz w:val="17"/>
        </w:rPr>
      </w:pPr>
      <w:r>
        <w:rPr>
          <w:sz w:val="17"/>
        </w:rPr>
        <w:t>GUYANA: INTENCIÓN</w:t>
      </w:r>
      <w:r>
        <w:rPr>
          <w:spacing w:val="-1"/>
          <w:sz w:val="17"/>
        </w:rPr>
        <w:t xml:space="preserve"> </w:t>
      </w:r>
      <w:r>
        <w:rPr>
          <w:sz w:val="17"/>
        </w:rPr>
        <w:t>BAJO EL</w:t>
      </w:r>
      <w:r>
        <w:rPr>
          <w:spacing w:val="-1"/>
          <w:sz w:val="17"/>
        </w:rPr>
        <w:t xml:space="preserve"> </w:t>
      </w:r>
      <w:r>
        <w:rPr>
          <w:sz w:val="17"/>
        </w:rPr>
        <w:t>ARTÍCULO 4 (3) DE LA PREVENCIÓN</w:t>
      </w:r>
      <w:r>
        <w:rPr>
          <w:spacing w:val="-1"/>
          <w:sz w:val="17"/>
        </w:rPr>
        <w:t xml:space="preserve"> </w:t>
      </w:r>
      <w:r>
        <w:rPr>
          <w:sz w:val="17"/>
        </w:rPr>
        <w:t>DE LA DISCRIMINACIÓN LEY, 1997</w:t>
      </w:r>
    </w:p>
    <w:p w14:paraId="327DFC35" w14:textId="77777777" w:rsidR="0014798C" w:rsidRDefault="004E1F0B">
      <w:pPr>
        <w:spacing w:before="149" w:line="307" w:lineRule="auto"/>
        <w:ind w:left="1334" w:right="1463" w:firstLine="12"/>
        <w:rPr>
          <w:sz w:val="17"/>
        </w:rPr>
      </w:pPr>
      <w:r>
        <w:rPr>
          <w:sz w:val="17"/>
        </w:rPr>
        <w:t>“Cualquier</w:t>
      </w:r>
      <w:r>
        <w:rPr>
          <w:spacing w:val="-1"/>
          <w:sz w:val="17"/>
        </w:rPr>
        <w:t xml:space="preserve"> </w:t>
      </w:r>
      <w:r>
        <w:rPr>
          <w:sz w:val="17"/>
        </w:rPr>
        <w:t>acto u omisión o cualquier</w:t>
      </w:r>
      <w:r>
        <w:rPr>
          <w:spacing w:val="-1"/>
          <w:sz w:val="17"/>
        </w:rPr>
        <w:t xml:space="preserve"> </w:t>
      </w:r>
      <w:r>
        <w:rPr>
          <w:sz w:val="17"/>
        </w:rPr>
        <w:t>práctica o política</w:t>
      </w:r>
      <w:r>
        <w:rPr>
          <w:spacing w:val="-1"/>
          <w:sz w:val="17"/>
        </w:rPr>
        <w:t xml:space="preserve"> </w:t>
      </w:r>
      <w:r>
        <w:rPr>
          <w:sz w:val="17"/>
        </w:rPr>
        <w:t>que directa o indirectamente</w:t>
      </w:r>
      <w:r>
        <w:rPr>
          <w:spacing w:val="-1"/>
          <w:sz w:val="17"/>
        </w:rPr>
        <w:t xml:space="preserve"> </w:t>
      </w:r>
      <w:r>
        <w:rPr>
          <w:sz w:val="17"/>
        </w:rPr>
        <w:t>resulte en discriminación contra una persona por los motivos mencionados en el inciso (2), es un acto de discriminación independientemente de si la persona responsable del acto u omisión o de la práctica o política destinada a discriminar”.</w:t>
      </w:r>
    </w:p>
    <w:p w14:paraId="26415B84" w14:textId="77777777" w:rsidR="0014798C" w:rsidRDefault="0014798C">
      <w:pPr>
        <w:pStyle w:val="Textoindependiente"/>
        <w:rPr>
          <w:sz w:val="12"/>
        </w:rPr>
      </w:pPr>
    </w:p>
    <w:p w14:paraId="34609DC3" w14:textId="77777777" w:rsidR="0014798C" w:rsidRDefault="0014798C">
      <w:pPr>
        <w:pStyle w:val="Textoindependiente"/>
        <w:rPr>
          <w:sz w:val="12"/>
        </w:rPr>
      </w:pPr>
    </w:p>
    <w:p w14:paraId="79910E43" w14:textId="77777777" w:rsidR="0014798C" w:rsidRDefault="0014798C">
      <w:pPr>
        <w:pStyle w:val="Textoindependiente"/>
        <w:rPr>
          <w:sz w:val="12"/>
        </w:rPr>
      </w:pPr>
    </w:p>
    <w:p w14:paraId="4CDD2B08" w14:textId="77777777" w:rsidR="0014798C" w:rsidRDefault="0014798C">
      <w:pPr>
        <w:pStyle w:val="Textoindependiente"/>
        <w:rPr>
          <w:sz w:val="12"/>
        </w:rPr>
      </w:pPr>
    </w:p>
    <w:p w14:paraId="5BC8B423" w14:textId="77777777" w:rsidR="0014798C" w:rsidRDefault="0014798C">
      <w:pPr>
        <w:pStyle w:val="Textoindependiente"/>
        <w:rPr>
          <w:sz w:val="12"/>
        </w:rPr>
      </w:pPr>
    </w:p>
    <w:p w14:paraId="3DB38193" w14:textId="77777777" w:rsidR="0014798C" w:rsidRDefault="0014798C">
      <w:pPr>
        <w:pStyle w:val="Textoindependiente"/>
        <w:rPr>
          <w:sz w:val="12"/>
        </w:rPr>
      </w:pPr>
    </w:p>
    <w:p w14:paraId="2A7EBC98" w14:textId="77777777" w:rsidR="0014798C" w:rsidRDefault="0014798C">
      <w:pPr>
        <w:pStyle w:val="Textoindependiente"/>
        <w:rPr>
          <w:sz w:val="12"/>
        </w:rPr>
      </w:pPr>
    </w:p>
    <w:p w14:paraId="5B15E50A" w14:textId="77777777" w:rsidR="0014798C" w:rsidRDefault="0014798C">
      <w:pPr>
        <w:pStyle w:val="Textoindependiente"/>
        <w:rPr>
          <w:sz w:val="12"/>
        </w:rPr>
      </w:pPr>
    </w:p>
    <w:p w14:paraId="720097F5" w14:textId="77777777" w:rsidR="0014798C" w:rsidRDefault="0014798C">
      <w:pPr>
        <w:pStyle w:val="Textoindependiente"/>
        <w:rPr>
          <w:sz w:val="12"/>
        </w:rPr>
      </w:pPr>
    </w:p>
    <w:p w14:paraId="1BD27E5A" w14:textId="77777777" w:rsidR="0014798C" w:rsidRDefault="0014798C">
      <w:pPr>
        <w:pStyle w:val="Textoindependiente"/>
        <w:rPr>
          <w:sz w:val="12"/>
        </w:rPr>
      </w:pPr>
    </w:p>
    <w:p w14:paraId="75460F58" w14:textId="77777777" w:rsidR="0014798C" w:rsidRDefault="0014798C">
      <w:pPr>
        <w:pStyle w:val="Textoindependiente"/>
        <w:rPr>
          <w:sz w:val="12"/>
        </w:rPr>
      </w:pPr>
    </w:p>
    <w:p w14:paraId="1BC79C35" w14:textId="77777777" w:rsidR="0014798C" w:rsidRDefault="0014798C">
      <w:pPr>
        <w:pStyle w:val="Textoindependiente"/>
        <w:rPr>
          <w:sz w:val="12"/>
        </w:rPr>
      </w:pPr>
    </w:p>
    <w:p w14:paraId="53C04CD5" w14:textId="77777777" w:rsidR="0014798C" w:rsidRDefault="0014798C">
      <w:pPr>
        <w:pStyle w:val="Textoindependiente"/>
        <w:rPr>
          <w:sz w:val="12"/>
        </w:rPr>
      </w:pPr>
    </w:p>
    <w:p w14:paraId="13506E55" w14:textId="77777777" w:rsidR="0014798C" w:rsidRDefault="0014798C">
      <w:pPr>
        <w:pStyle w:val="Textoindependiente"/>
        <w:rPr>
          <w:sz w:val="12"/>
        </w:rPr>
      </w:pPr>
    </w:p>
    <w:p w14:paraId="0FA57C63" w14:textId="77777777" w:rsidR="0014798C" w:rsidRDefault="0014798C">
      <w:pPr>
        <w:pStyle w:val="Textoindependiente"/>
        <w:rPr>
          <w:sz w:val="12"/>
        </w:rPr>
      </w:pPr>
    </w:p>
    <w:p w14:paraId="5AA19CB5" w14:textId="77777777" w:rsidR="0014798C" w:rsidRDefault="0014798C">
      <w:pPr>
        <w:pStyle w:val="Textoindependiente"/>
        <w:spacing w:before="83"/>
        <w:rPr>
          <w:sz w:val="12"/>
        </w:rPr>
      </w:pPr>
    </w:p>
    <w:p w14:paraId="0505B52F" w14:textId="77777777" w:rsidR="0014798C" w:rsidRDefault="004E1F0B">
      <w:pPr>
        <w:spacing w:line="312" w:lineRule="auto"/>
        <w:ind w:left="1366" w:right="2765" w:hanging="261"/>
        <w:rPr>
          <w:sz w:val="12"/>
        </w:rPr>
      </w:pPr>
      <w:r>
        <w:rPr>
          <w:sz w:val="12"/>
        </w:rPr>
        <w:t xml:space="preserve">215 Comisión Interamericana de Derechos Humanos, Violencia contra personas lesbianas, </w:t>
      </w:r>
      <w:proofErr w:type="spellStart"/>
      <w:r>
        <w:rPr>
          <w:sz w:val="12"/>
        </w:rPr>
        <w:t>gays</w:t>
      </w:r>
      <w:proofErr w:type="spellEnd"/>
      <w:r>
        <w:rPr>
          <w:sz w:val="12"/>
        </w:rPr>
        <w:t>, bisexuales, trans e intersex</w:t>
      </w:r>
      <w:r>
        <w:rPr>
          <w:spacing w:val="-1"/>
          <w:sz w:val="12"/>
        </w:rPr>
        <w:t xml:space="preserve"> </w:t>
      </w:r>
      <w:r>
        <w:rPr>
          <w:sz w:val="12"/>
        </w:rPr>
        <w:t>en las Américas,</w:t>
      </w:r>
      <w:r>
        <w:rPr>
          <w:spacing w:val="40"/>
          <w:sz w:val="12"/>
        </w:rPr>
        <w:t xml:space="preserve"> </w:t>
      </w:r>
      <w:r>
        <w:rPr>
          <w:sz w:val="12"/>
        </w:rPr>
        <w:t>paraca.</w:t>
      </w:r>
      <w:r>
        <w:rPr>
          <w:spacing w:val="-7"/>
          <w:sz w:val="12"/>
        </w:rPr>
        <w:t xml:space="preserve"> </w:t>
      </w:r>
      <w:r>
        <w:rPr>
          <w:sz w:val="12"/>
        </w:rPr>
        <w:t>160.</w:t>
      </w:r>
    </w:p>
    <w:p w14:paraId="47046EFE" w14:textId="77777777" w:rsidR="0014798C" w:rsidRDefault="004E1F0B">
      <w:pPr>
        <w:spacing w:before="58"/>
        <w:ind w:left="1105"/>
        <w:rPr>
          <w:sz w:val="12"/>
        </w:rPr>
      </w:pPr>
      <w:r>
        <w:rPr>
          <w:spacing w:val="-2"/>
          <w:sz w:val="12"/>
        </w:rPr>
        <w:t>216</w:t>
      </w:r>
      <w:r>
        <w:rPr>
          <w:spacing w:val="3"/>
          <w:sz w:val="12"/>
        </w:rPr>
        <w:t xml:space="preserve"> </w:t>
      </w:r>
      <w:r>
        <w:rPr>
          <w:spacing w:val="-2"/>
          <w:sz w:val="12"/>
        </w:rPr>
        <w:t>Comité</w:t>
      </w:r>
      <w:r>
        <w:rPr>
          <w:spacing w:val="3"/>
          <w:sz w:val="12"/>
        </w:rPr>
        <w:t xml:space="preserve"> </w:t>
      </w:r>
      <w:r>
        <w:rPr>
          <w:spacing w:val="-2"/>
          <w:sz w:val="12"/>
        </w:rPr>
        <w:t>para</w:t>
      </w:r>
      <w:r>
        <w:rPr>
          <w:spacing w:val="3"/>
          <w:sz w:val="12"/>
        </w:rPr>
        <w:t xml:space="preserve"> </w:t>
      </w:r>
      <w:r>
        <w:rPr>
          <w:spacing w:val="-2"/>
          <w:sz w:val="12"/>
        </w:rPr>
        <w:t>la</w:t>
      </w:r>
      <w:r>
        <w:rPr>
          <w:spacing w:val="3"/>
          <w:sz w:val="12"/>
        </w:rPr>
        <w:t xml:space="preserve"> </w:t>
      </w:r>
      <w:r>
        <w:rPr>
          <w:spacing w:val="-2"/>
          <w:sz w:val="12"/>
        </w:rPr>
        <w:t>Eliminación</w:t>
      </w:r>
      <w:r>
        <w:rPr>
          <w:spacing w:val="4"/>
          <w:sz w:val="12"/>
        </w:rPr>
        <w:t xml:space="preserve"> </w:t>
      </w:r>
      <w:r>
        <w:rPr>
          <w:spacing w:val="-2"/>
          <w:sz w:val="12"/>
        </w:rPr>
        <w:t>de</w:t>
      </w:r>
      <w:r>
        <w:rPr>
          <w:spacing w:val="3"/>
          <w:sz w:val="12"/>
        </w:rPr>
        <w:t xml:space="preserve"> </w:t>
      </w:r>
      <w:r>
        <w:rPr>
          <w:spacing w:val="-2"/>
          <w:sz w:val="12"/>
        </w:rPr>
        <w:t>la</w:t>
      </w:r>
      <w:r>
        <w:rPr>
          <w:spacing w:val="3"/>
          <w:sz w:val="12"/>
        </w:rPr>
        <w:t xml:space="preserve"> </w:t>
      </w:r>
      <w:r>
        <w:rPr>
          <w:spacing w:val="-2"/>
          <w:sz w:val="12"/>
        </w:rPr>
        <w:t>Discriminación</w:t>
      </w:r>
      <w:r>
        <w:rPr>
          <w:spacing w:val="3"/>
          <w:sz w:val="12"/>
        </w:rPr>
        <w:t xml:space="preserve"> </w:t>
      </w:r>
      <w:r>
        <w:rPr>
          <w:spacing w:val="-2"/>
          <w:sz w:val="12"/>
        </w:rPr>
        <w:t>Racial,</w:t>
      </w:r>
      <w:r>
        <w:rPr>
          <w:spacing w:val="3"/>
          <w:sz w:val="12"/>
        </w:rPr>
        <w:t xml:space="preserve"> </w:t>
      </w:r>
      <w:r>
        <w:rPr>
          <w:spacing w:val="-2"/>
          <w:sz w:val="12"/>
        </w:rPr>
        <w:t>VS</w:t>
      </w:r>
      <w:r>
        <w:rPr>
          <w:spacing w:val="4"/>
          <w:sz w:val="12"/>
        </w:rPr>
        <w:t xml:space="preserve"> </w:t>
      </w:r>
      <w:r>
        <w:rPr>
          <w:spacing w:val="-2"/>
          <w:sz w:val="12"/>
        </w:rPr>
        <w:t>c.</w:t>
      </w:r>
      <w:r>
        <w:rPr>
          <w:spacing w:val="3"/>
          <w:sz w:val="12"/>
        </w:rPr>
        <w:t xml:space="preserve"> </w:t>
      </w:r>
      <w:r>
        <w:rPr>
          <w:spacing w:val="-2"/>
          <w:sz w:val="12"/>
        </w:rPr>
        <w:t>Eslovaquia</w:t>
      </w:r>
      <w:r>
        <w:rPr>
          <w:spacing w:val="3"/>
          <w:sz w:val="12"/>
        </w:rPr>
        <w:t xml:space="preserve"> </w:t>
      </w:r>
      <w:r>
        <w:rPr>
          <w:spacing w:val="-2"/>
          <w:sz w:val="12"/>
        </w:rPr>
        <w:t>(CERD/C/88/D/56/2014),</w:t>
      </w:r>
      <w:r>
        <w:rPr>
          <w:spacing w:val="3"/>
          <w:sz w:val="12"/>
        </w:rPr>
        <w:t xml:space="preserve"> </w:t>
      </w:r>
      <w:r>
        <w:rPr>
          <w:spacing w:val="-2"/>
          <w:sz w:val="12"/>
        </w:rPr>
        <w:t>párr.</w:t>
      </w:r>
      <w:r>
        <w:rPr>
          <w:spacing w:val="3"/>
          <w:sz w:val="12"/>
        </w:rPr>
        <w:t xml:space="preserve"> </w:t>
      </w:r>
      <w:r>
        <w:rPr>
          <w:spacing w:val="-2"/>
          <w:sz w:val="12"/>
        </w:rPr>
        <w:t>7,4;</w:t>
      </w:r>
      <w:r>
        <w:rPr>
          <w:spacing w:val="4"/>
          <w:sz w:val="12"/>
        </w:rPr>
        <w:t xml:space="preserve"> </w:t>
      </w:r>
      <w:r>
        <w:rPr>
          <w:spacing w:val="-2"/>
          <w:sz w:val="12"/>
        </w:rPr>
        <w:t>Comité</w:t>
      </w:r>
      <w:r>
        <w:rPr>
          <w:spacing w:val="3"/>
          <w:sz w:val="12"/>
        </w:rPr>
        <w:t xml:space="preserve"> </w:t>
      </w:r>
      <w:r>
        <w:rPr>
          <w:spacing w:val="-2"/>
          <w:sz w:val="12"/>
        </w:rPr>
        <w:t>de</w:t>
      </w:r>
      <w:r>
        <w:rPr>
          <w:spacing w:val="3"/>
          <w:sz w:val="12"/>
        </w:rPr>
        <w:t xml:space="preserve"> </w:t>
      </w:r>
      <w:r>
        <w:rPr>
          <w:spacing w:val="-2"/>
          <w:sz w:val="12"/>
        </w:rPr>
        <w:t>los</w:t>
      </w:r>
      <w:r>
        <w:rPr>
          <w:spacing w:val="3"/>
          <w:sz w:val="12"/>
        </w:rPr>
        <w:t xml:space="preserve"> </w:t>
      </w:r>
      <w:r>
        <w:rPr>
          <w:spacing w:val="-2"/>
          <w:sz w:val="12"/>
        </w:rPr>
        <w:t>Derechos</w:t>
      </w:r>
      <w:r>
        <w:rPr>
          <w:spacing w:val="3"/>
          <w:sz w:val="12"/>
        </w:rPr>
        <w:t xml:space="preserve"> </w:t>
      </w:r>
      <w:r>
        <w:rPr>
          <w:spacing w:val="-5"/>
          <w:sz w:val="12"/>
        </w:rPr>
        <w:t>de</w:t>
      </w:r>
    </w:p>
    <w:p w14:paraId="1022D27B" w14:textId="77777777" w:rsidR="0014798C" w:rsidRDefault="004E1F0B">
      <w:pPr>
        <w:spacing w:before="42" w:line="312" w:lineRule="auto"/>
        <w:ind w:left="1375" w:right="1272" w:hanging="9"/>
        <w:rPr>
          <w:sz w:val="12"/>
        </w:rPr>
      </w:pPr>
      <w:r>
        <w:rPr>
          <w:sz w:val="12"/>
        </w:rPr>
        <w:t>Personas</w:t>
      </w:r>
      <w:r>
        <w:rPr>
          <w:spacing w:val="-5"/>
          <w:sz w:val="12"/>
        </w:rPr>
        <w:t xml:space="preserve"> </w:t>
      </w:r>
      <w:r>
        <w:rPr>
          <w:sz w:val="12"/>
        </w:rPr>
        <w:t>con</w:t>
      </w:r>
      <w:r>
        <w:rPr>
          <w:spacing w:val="-4"/>
          <w:sz w:val="12"/>
        </w:rPr>
        <w:t xml:space="preserve"> </w:t>
      </w:r>
      <w:r>
        <w:rPr>
          <w:sz w:val="12"/>
        </w:rPr>
        <w:t>Discapacidad,</w:t>
      </w:r>
      <w:r>
        <w:rPr>
          <w:spacing w:val="-3"/>
          <w:sz w:val="12"/>
        </w:rPr>
        <w:t xml:space="preserve"> </w:t>
      </w:r>
      <w:r>
        <w:rPr>
          <w:sz w:val="12"/>
        </w:rPr>
        <w:t>observación</w:t>
      </w:r>
      <w:r>
        <w:rPr>
          <w:spacing w:val="-4"/>
          <w:sz w:val="12"/>
        </w:rPr>
        <w:t xml:space="preserve"> </w:t>
      </w:r>
      <w:r>
        <w:rPr>
          <w:sz w:val="12"/>
        </w:rPr>
        <w:t>general</w:t>
      </w:r>
      <w:r>
        <w:rPr>
          <w:spacing w:val="-4"/>
          <w:sz w:val="12"/>
        </w:rPr>
        <w:t xml:space="preserve"> </w:t>
      </w:r>
      <w:r>
        <w:rPr>
          <w:sz w:val="12"/>
        </w:rPr>
        <w:t>núm.</w:t>
      </w:r>
      <w:r>
        <w:rPr>
          <w:spacing w:val="-4"/>
          <w:sz w:val="12"/>
        </w:rPr>
        <w:t xml:space="preserve"> </w:t>
      </w:r>
      <w:r>
        <w:rPr>
          <w:sz w:val="12"/>
        </w:rPr>
        <w:t>6</w:t>
      </w:r>
      <w:r>
        <w:rPr>
          <w:spacing w:val="-4"/>
          <w:sz w:val="12"/>
        </w:rPr>
        <w:t xml:space="preserve"> </w:t>
      </w:r>
      <w:r>
        <w:rPr>
          <w:sz w:val="12"/>
        </w:rPr>
        <w:t>(2018),</w:t>
      </w:r>
      <w:r>
        <w:rPr>
          <w:spacing w:val="-4"/>
          <w:sz w:val="12"/>
        </w:rPr>
        <w:t xml:space="preserve"> </w:t>
      </w:r>
      <w:r>
        <w:rPr>
          <w:sz w:val="12"/>
        </w:rPr>
        <w:t>párr.</w:t>
      </w:r>
      <w:r>
        <w:rPr>
          <w:spacing w:val="-4"/>
          <w:sz w:val="12"/>
        </w:rPr>
        <w:t xml:space="preserve"> </w:t>
      </w:r>
      <w:r>
        <w:rPr>
          <w:sz w:val="12"/>
        </w:rPr>
        <w:t>18</w:t>
      </w:r>
      <w:r>
        <w:rPr>
          <w:spacing w:val="-4"/>
          <w:sz w:val="12"/>
        </w:rPr>
        <w:t xml:space="preserve"> </w:t>
      </w:r>
      <w:r>
        <w:rPr>
          <w:sz w:val="12"/>
        </w:rPr>
        <w:t>(a);</w:t>
      </w:r>
      <w:r>
        <w:rPr>
          <w:spacing w:val="-4"/>
          <w:sz w:val="12"/>
        </w:rPr>
        <w:t xml:space="preserve"> </w:t>
      </w:r>
      <w:r>
        <w:rPr>
          <w:sz w:val="12"/>
        </w:rPr>
        <w:t>y</w:t>
      </w:r>
      <w:r>
        <w:rPr>
          <w:spacing w:val="-4"/>
          <w:sz w:val="12"/>
        </w:rPr>
        <w:t xml:space="preserve"> </w:t>
      </w:r>
      <w:r>
        <w:rPr>
          <w:sz w:val="12"/>
        </w:rPr>
        <w:t>Comité</w:t>
      </w:r>
      <w:r>
        <w:rPr>
          <w:spacing w:val="-4"/>
          <w:sz w:val="12"/>
        </w:rPr>
        <w:t xml:space="preserve"> </w:t>
      </w:r>
      <w:r>
        <w:rPr>
          <w:sz w:val="12"/>
        </w:rPr>
        <w:t>de</w:t>
      </w:r>
      <w:r>
        <w:rPr>
          <w:spacing w:val="-4"/>
          <w:sz w:val="12"/>
        </w:rPr>
        <w:t xml:space="preserve"> </w:t>
      </w:r>
      <w:r>
        <w:rPr>
          <w:sz w:val="12"/>
        </w:rPr>
        <w:t>Derechos</w:t>
      </w:r>
      <w:r>
        <w:rPr>
          <w:spacing w:val="-4"/>
          <w:sz w:val="12"/>
        </w:rPr>
        <w:t xml:space="preserve"> </w:t>
      </w:r>
      <w:r>
        <w:rPr>
          <w:sz w:val="12"/>
        </w:rPr>
        <w:t>Humanos,</w:t>
      </w:r>
      <w:r>
        <w:rPr>
          <w:spacing w:val="-4"/>
          <w:sz w:val="12"/>
        </w:rPr>
        <w:t xml:space="preserve"> </w:t>
      </w:r>
      <w:proofErr w:type="spellStart"/>
      <w:r>
        <w:rPr>
          <w:sz w:val="12"/>
        </w:rPr>
        <w:t>Simunek</w:t>
      </w:r>
      <w:proofErr w:type="spellEnd"/>
      <w:r>
        <w:rPr>
          <w:spacing w:val="-5"/>
          <w:sz w:val="12"/>
        </w:rPr>
        <w:t xml:space="preserve"> </w:t>
      </w:r>
      <w:r>
        <w:rPr>
          <w:sz w:val="12"/>
        </w:rPr>
        <w:t>et</w:t>
      </w:r>
      <w:r>
        <w:rPr>
          <w:spacing w:val="-4"/>
          <w:sz w:val="12"/>
        </w:rPr>
        <w:t xml:space="preserve"> </w:t>
      </w:r>
      <w:r>
        <w:rPr>
          <w:sz w:val="12"/>
        </w:rPr>
        <w:t>al.</w:t>
      </w:r>
      <w:r>
        <w:rPr>
          <w:spacing w:val="-4"/>
          <w:sz w:val="12"/>
        </w:rPr>
        <w:t xml:space="preserve"> </w:t>
      </w:r>
      <w:r>
        <w:rPr>
          <w:sz w:val="12"/>
        </w:rPr>
        <w:t>contra</w:t>
      </w:r>
      <w:r>
        <w:rPr>
          <w:spacing w:val="-4"/>
          <w:sz w:val="12"/>
        </w:rPr>
        <w:t xml:space="preserve"> </w:t>
      </w:r>
      <w:r>
        <w:rPr>
          <w:sz w:val="12"/>
        </w:rPr>
        <w:t>la</w:t>
      </w:r>
      <w:r>
        <w:rPr>
          <w:spacing w:val="-4"/>
          <w:sz w:val="12"/>
        </w:rPr>
        <w:t xml:space="preserve"> </w:t>
      </w:r>
      <w:r>
        <w:rPr>
          <w:sz w:val="12"/>
        </w:rPr>
        <w:t>República</w:t>
      </w:r>
      <w:r>
        <w:rPr>
          <w:spacing w:val="-4"/>
          <w:sz w:val="12"/>
        </w:rPr>
        <w:t xml:space="preserve"> </w:t>
      </w:r>
      <w:r>
        <w:rPr>
          <w:sz w:val="12"/>
        </w:rPr>
        <w:t>Checa</w:t>
      </w:r>
      <w:r>
        <w:rPr>
          <w:spacing w:val="40"/>
          <w:sz w:val="12"/>
        </w:rPr>
        <w:t xml:space="preserve"> </w:t>
      </w:r>
      <w:r>
        <w:rPr>
          <w:sz w:val="12"/>
        </w:rPr>
        <w:t>(CCPR/C/54/D/516/1992), párr. 11.7.</w:t>
      </w:r>
    </w:p>
    <w:p w14:paraId="22F161BF" w14:textId="77777777" w:rsidR="0014798C" w:rsidRDefault="004E1F0B">
      <w:pPr>
        <w:spacing w:before="110"/>
        <w:ind w:left="1105"/>
        <w:rPr>
          <w:sz w:val="10"/>
        </w:rPr>
      </w:pPr>
      <w:r>
        <w:rPr>
          <w:sz w:val="10"/>
        </w:rPr>
        <w:t>217</w:t>
      </w:r>
      <w:r>
        <w:rPr>
          <w:spacing w:val="-1"/>
          <w:sz w:val="10"/>
        </w:rPr>
        <w:t xml:space="preserve"> </w:t>
      </w:r>
      <w:r>
        <w:rPr>
          <w:sz w:val="10"/>
        </w:rPr>
        <w:t>Comité</w:t>
      </w:r>
      <w:r>
        <w:rPr>
          <w:spacing w:val="-1"/>
          <w:sz w:val="10"/>
        </w:rPr>
        <w:t xml:space="preserve"> </w:t>
      </w:r>
      <w:r>
        <w:rPr>
          <w:sz w:val="10"/>
        </w:rPr>
        <w:t>sobre</w:t>
      </w:r>
      <w:r>
        <w:rPr>
          <w:spacing w:val="-1"/>
          <w:sz w:val="10"/>
        </w:rPr>
        <w:t xml:space="preserve"> </w:t>
      </w:r>
      <w:r>
        <w:rPr>
          <w:sz w:val="10"/>
        </w:rPr>
        <w:t>los Derechos</w:t>
      </w:r>
      <w:r>
        <w:rPr>
          <w:spacing w:val="-1"/>
          <w:sz w:val="10"/>
        </w:rPr>
        <w:t xml:space="preserve"> </w:t>
      </w:r>
      <w:r>
        <w:rPr>
          <w:sz w:val="10"/>
        </w:rPr>
        <w:t>de</w:t>
      </w:r>
      <w:r>
        <w:rPr>
          <w:spacing w:val="-1"/>
          <w:sz w:val="10"/>
        </w:rPr>
        <w:t xml:space="preserve"> </w:t>
      </w:r>
      <w:r>
        <w:rPr>
          <w:sz w:val="10"/>
        </w:rPr>
        <w:t>las Personas</w:t>
      </w:r>
      <w:r>
        <w:rPr>
          <w:spacing w:val="-1"/>
          <w:sz w:val="10"/>
        </w:rPr>
        <w:t xml:space="preserve"> </w:t>
      </w:r>
      <w:r>
        <w:rPr>
          <w:sz w:val="10"/>
        </w:rPr>
        <w:t>con</w:t>
      </w:r>
      <w:r>
        <w:rPr>
          <w:spacing w:val="-1"/>
          <w:sz w:val="10"/>
        </w:rPr>
        <w:t xml:space="preserve"> </w:t>
      </w:r>
      <w:r>
        <w:rPr>
          <w:sz w:val="10"/>
        </w:rPr>
        <w:t>Discapacidad,</w:t>
      </w:r>
      <w:r>
        <w:rPr>
          <w:spacing w:val="1"/>
          <w:sz w:val="10"/>
        </w:rPr>
        <w:t xml:space="preserve"> </w:t>
      </w:r>
      <w:r>
        <w:rPr>
          <w:sz w:val="10"/>
        </w:rPr>
        <w:t>observación</w:t>
      </w:r>
      <w:r>
        <w:rPr>
          <w:spacing w:val="-1"/>
          <w:sz w:val="10"/>
        </w:rPr>
        <w:t xml:space="preserve"> </w:t>
      </w:r>
      <w:r>
        <w:rPr>
          <w:sz w:val="10"/>
        </w:rPr>
        <w:t>general</w:t>
      </w:r>
      <w:r>
        <w:rPr>
          <w:spacing w:val="-1"/>
          <w:sz w:val="10"/>
        </w:rPr>
        <w:t xml:space="preserve"> </w:t>
      </w:r>
      <w:r>
        <w:rPr>
          <w:sz w:val="10"/>
        </w:rPr>
        <w:t>núm. 6</w:t>
      </w:r>
      <w:r>
        <w:rPr>
          <w:spacing w:val="-1"/>
          <w:sz w:val="10"/>
        </w:rPr>
        <w:t xml:space="preserve"> </w:t>
      </w:r>
      <w:r>
        <w:rPr>
          <w:sz w:val="10"/>
        </w:rPr>
        <w:t>(2018),</w:t>
      </w:r>
      <w:r>
        <w:rPr>
          <w:spacing w:val="-1"/>
          <w:sz w:val="10"/>
        </w:rPr>
        <w:t xml:space="preserve"> </w:t>
      </w:r>
      <w:r>
        <w:rPr>
          <w:sz w:val="10"/>
        </w:rPr>
        <w:t xml:space="preserve">párr. </w:t>
      </w:r>
      <w:r>
        <w:rPr>
          <w:spacing w:val="-2"/>
          <w:sz w:val="10"/>
        </w:rPr>
        <w:t>18(a).</w:t>
      </w:r>
    </w:p>
    <w:p w14:paraId="213FA48B" w14:textId="77777777" w:rsidR="0014798C" w:rsidRDefault="004E1F0B">
      <w:pPr>
        <w:spacing w:before="68" w:line="312" w:lineRule="auto"/>
        <w:ind w:left="1366" w:right="1626" w:hanging="262"/>
        <w:rPr>
          <w:sz w:val="12"/>
        </w:rPr>
      </w:pPr>
      <w:r>
        <w:rPr>
          <w:sz w:val="12"/>
        </w:rPr>
        <w:t xml:space="preserve">218 Comité para la Eliminación de la Discriminación Racial, </w:t>
      </w:r>
      <w:proofErr w:type="spellStart"/>
      <w:r>
        <w:rPr>
          <w:sz w:val="12"/>
        </w:rPr>
        <w:t>Gabre</w:t>
      </w:r>
      <w:proofErr w:type="spellEnd"/>
      <w:r>
        <w:rPr>
          <w:sz w:val="12"/>
        </w:rPr>
        <w:t xml:space="preserve"> </w:t>
      </w:r>
      <w:proofErr w:type="spellStart"/>
      <w:r>
        <w:rPr>
          <w:sz w:val="12"/>
        </w:rPr>
        <w:t>Gabaroum</w:t>
      </w:r>
      <w:proofErr w:type="spellEnd"/>
      <w:r>
        <w:rPr>
          <w:spacing w:val="-1"/>
          <w:sz w:val="12"/>
        </w:rPr>
        <w:t xml:space="preserve"> </w:t>
      </w:r>
      <w:r>
        <w:rPr>
          <w:sz w:val="12"/>
        </w:rPr>
        <w:t>c. Francia (CERD/C/89/D/52/2012), párr. 7.2. Si bien el caso se decidió utilizando el</w:t>
      </w:r>
      <w:r>
        <w:rPr>
          <w:spacing w:val="40"/>
          <w:sz w:val="12"/>
        </w:rPr>
        <w:t xml:space="preserve"> </w:t>
      </w:r>
      <w:r>
        <w:rPr>
          <w:sz w:val="12"/>
        </w:rPr>
        <w:t>lenguaje de “efecto discriminatorio”, en la práctica se trataba de un caso relacionado con la discriminación racial directa en el empleo.</w:t>
      </w:r>
    </w:p>
    <w:p w14:paraId="21983F44" w14:textId="77777777" w:rsidR="0014798C" w:rsidRDefault="0014798C">
      <w:pPr>
        <w:pStyle w:val="Textoindependiente"/>
        <w:spacing w:before="10"/>
        <w:rPr>
          <w:sz w:val="10"/>
        </w:rPr>
      </w:pPr>
    </w:p>
    <w:p w14:paraId="68BFD437" w14:textId="77777777" w:rsidR="0014798C" w:rsidRDefault="0014798C">
      <w:pPr>
        <w:rPr>
          <w:sz w:val="10"/>
        </w:rPr>
        <w:sectPr w:rsidR="0014798C" w:rsidSect="00F265E4">
          <w:pgSz w:w="11900" w:h="16820"/>
          <w:pgMar w:top="340" w:right="0" w:bottom="280" w:left="200" w:header="121" w:footer="0" w:gutter="0"/>
          <w:cols w:space="720"/>
        </w:sectPr>
      </w:pPr>
    </w:p>
    <w:p w14:paraId="223D2AE2" w14:textId="77777777" w:rsidR="0014798C" w:rsidRDefault="0014798C">
      <w:pPr>
        <w:pStyle w:val="Textoindependiente"/>
        <w:spacing w:before="10"/>
        <w:rPr>
          <w:sz w:val="8"/>
        </w:rPr>
      </w:pPr>
    </w:p>
    <w:p w14:paraId="1FA2DEF8" w14:textId="77777777" w:rsidR="0014798C" w:rsidRDefault="004E1F0B">
      <w:pPr>
        <w:jc w:val="right"/>
        <w:rPr>
          <w:sz w:val="8"/>
        </w:rPr>
      </w:pPr>
      <w:r>
        <w:rPr>
          <w:spacing w:val="-5"/>
          <w:w w:val="105"/>
          <w:sz w:val="8"/>
        </w:rPr>
        <w:t>219</w:t>
      </w:r>
    </w:p>
    <w:p w14:paraId="465092C8" w14:textId="77777777" w:rsidR="0014798C" w:rsidRDefault="0014798C">
      <w:pPr>
        <w:pStyle w:val="Textoindependiente"/>
        <w:spacing w:before="52"/>
        <w:rPr>
          <w:sz w:val="8"/>
        </w:rPr>
      </w:pPr>
    </w:p>
    <w:p w14:paraId="1C1BCF76" w14:textId="77777777" w:rsidR="0014798C" w:rsidRDefault="004E1F0B">
      <w:pPr>
        <w:spacing w:before="1"/>
        <w:jc w:val="right"/>
        <w:rPr>
          <w:sz w:val="8"/>
        </w:rPr>
      </w:pPr>
      <w:r>
        <w:rPr>
          <w:spacing w:val="-5"/>
          <w:w w:val="105"/>
          <w:sz w:val="8"/>
        </w:rPr>
        <w:t>220</w:t>
      </w:r>
    </w:p>
    <w:p w14:paraId="71F29C4F" w14:textId="77777777" w:rsidR="0014798C" w:rsidRDefault="004E1F0B">
      <w:pPr>
        <w:spacing w:before="113"/>
        <w:ind w:left="83"/>
        <w:rPr>
          <w:sz w:val="12"/>
        </w:rPr>
      </w:pPr>
      <w:r>
        <w:br w:type="column"/>
      </w:r>
      <w:r>
        <w:rPr>
          <w:sz w:val="12"/>
        </w:rPr>
        <w:t>Véase,</w:t>
      </w:r>
      <w:r>
        <w:rPr>
          <w:spacing w:val="-6"/>
          <w:sz w:val="12"/>
        </w:rPr>
        <w:t xml:space="preserve"> </w:t>
      </w:r>
      <w:r>
        <w:rPr>
          <w:sz w:val="12"/>
        </w:rPr>
        <w:t>por</w:t>
      </w:r>
      <w:r>
        <w:rPr>
          <w:spacing w:val="-6"/>
          <w:sz w:val="12"/>
        </w:rPr>
        <w:t xml:space="preserve"> </w:t>
      </w:r>
      <w:r>
        <w:rPr>
          <w:sz w:val="12"/>
        </w:rPr>
        <w:t>ejemplo,</w:t>
      </w:r>
      <w:r>
        <w:rPr>
          <w:spacing w:val="-6"/>
          <w:sz w:val="12"/>
        </w:rPr>
        <w:t xml:space="preserve"> </w:t>
      </w:r>
      <w:r>
        <w:rPr>
          <w:sz w:val="12"/>
        </w:rPr>
        <w:t>CERD/C/USA/CO/7-9,</w:t>
      </w:r>
      <w:r>
        <w:rPr>
          <w:spacing w:val="-6"/>
          <w:sz w:val="12"/>
        </w:rPr>
        <w:t xml:space="preserve"> </w:t>
      </w:r>
      <w:r>
        <w:rPr>
          <w:sz w:val="12"/>
        </w:rPr>
        <w:t>párr.</w:t>
      </w:r>
      <w:r>
        <w:rPr>
          <w:spacing w:val="-5"/>
          <w:sz w:val="12"/>
        </w:rPr>
        <w:t xml:space="preserve"> 5.</w:t>
      </w:r>
    </w:p>
    <w:p w14:paraId="0363769E" w14:textId="77777777" w:rsidR="0014798C" w:rsidRDefault="004E1F0B">
      <w:pPr>
        <w:spacing w:before="98" w:line="312" w:lineRule="auto"/>
        <w:ind w:left="82" w:right="1786" w:hanging="2"/>
        <w:rPr>
          <w:sz w:val="12"/>
        </w:rPr>
      </w:pPr>
      <w:r>
        <w:rPr>
          <w:sz w:val="12"/>
        </w:rPr>
        <w:t xml:space="preserve">Tribunal Europeo de Derechos Humanos, Biao c. Dinamarca, solicitud n.º 38590/10, sentencia de 24 de mayo de 2016, </w:t>
      </w:r>
      <w:proofErr w:type="spellStart"/>
      <w:r>
        <w:rPr>
          <w:sz w:val="12"/>
        </w:rPr>
        <w:t>párrs</w:t>
      </w:r>
      <w:proofErr w:type="spellEnd"/>
      <w:r>
        <w:rPr>
          <w:sz w:val="12"/>
        </w:rPr>
        <w:t>. 91 y 103, y Voto</w:t>
      </w:r>
      <w:r>
        <w:rPr>
          <w:spacing w:val="-1"/>
          <w:sz w:val="12"/>
        </w:rPr>
        <w:t xml:space="preserve"> </w:t>
      </w:r>
      <w:r>
        <w:rPr>
          <w:sz w:val="12"/>
        </w:rPr>
        <w:t>Concurrente del</w:t>
      </w:r>
      <w:r>
        <w:rPr>
          <w:spacing w:val="40"/>
          <w:sz w:val="12"/>
        </w:rPr>
        <w:t xml:space="preserve"> </w:t>
      </w:r>
      <w:r>
        <w:rPr>
          <w:sz w:val="12"/>
        </w:rPr>
        <w:t>Juez Pinto de Albuquerque, párr. 7, identificando como posible excepción a esta regla, la adopción de medidas de acción positiva diseñadas para eliminar la</w:t>
      </w:r>
      <w:r>
        <w:rPr>
          <w:spacing w:val="40"/>
          <w:sz w:val="12"/>
        </w:rPr>
        <w:t xml:space="preserve"> </w:t>
      </w:r>
      <w:r>
        <w:rPr>
          <w:sz w:val="12"/>
        </w:rPr>
        <w:t>discriminación de facto.</w:t>
      </w:r>
    </w:p>
    <w:p w14:paraId="19CA3EE0" w14:textId="77777777" w:rsidR="0014798C" w:rsidRDefault="0014798C">
      <w:pPr>
        <w:spacing w:line="312" w:lineRule="auto"/>
        <w:rPr>
          <w:sz w:val="12"/>
        </w:rPr>
        <w:sectPr w:rsidR="0014798C" w:rsidSect="00F265E4">
          <w:type w:val="continuous"/>
          <w:pgSz w:w="11900" w:h="16820"/>
          <w:pgMar w:top="40" w:right="0" w:bottom="280" w:left="200" w:header="121" w:footer="0" w:gutter="0"/>
          <w:cols w:num="2" w:space="720" w:equalWidth="0">
            <w:col w:w="1247" w:space="40"/>
            <w:col w:w="10413"/>
          </w:cols>
        </w:sectPr>
      </w:pPr>
    </w:p>
    <w:p w14:paraId="7EDAE90B" w14:textId="77777777" w:rsidR="0014798C" w:rsidRDefault="004E1F0B">
      <w:pPr>
        <w:spacing w:before="58" w:line="312" w:lineRule="auto"/>
        <w:ind w:left="1366" w:right="1590" w:hanging="262"/>
        <w:rPr>
          <w:sz w:val="12"/>
        </w:rPr>
      </w:pPr>
      <w:r>
        <w:rPr>
          <w:sz w:val="12"/>
        </w:rPr>
        <w:t>221 En un caso decidido por el Tribunal, el director de una empresa hizo declaraciones públicas indicando que los trabajadores migrantes no serían considerados para</w:t>
      </w:r>
      <w:r>
        <w:rPr>
          <w:spacing w:val="40"/>
          <w:sz w:val="12"/>
        </w:rPr>
        <w:t xml:space="preserve"> </w:t>
      </w:r>
      <w:r>
        <w:rPr>
          <w:sz w:val="12"/>
        </w:rPr>
        <w:t>un trabajo porque “los clientes se mostraban reacios a darles acceso a sus residencias privadas”. El Tribunal no consideró que la intención del director (que, según</w:t>
      </w:r>
      <w:r>
        <w:rPr>
          <w:spacing w:val="40"/>
          <w:sz w:val="12"/>
        </w:rPr>
        <w:t xml:space="preserve"> </w:t>
      </w:r>
      <w:r>
        <w:rPr>
          <w:sz w:val="12"/>
        </w:rPr>
        <w:t>argumentó, estaba motivada por el deseo de retener clientes, más que por la intención de discriminar) fuera una consideración relevante, concluyendo que había</w:t>
      </w:r>
      <w:r>
        <w:rPr>
          <w:spacing w:val="40"/>
          <w:sz w:val="12"/>
        </w:rPr>
        <w:t xml:space="preserve"> </w:t>
      </w:r>
      <w:r>
        <w:rPr>
          <w:sz w:val="12"/>
        </w:rPr>
        <w:t xml:space="preserve">discriminación. Véase Tribunal de Justicia de la Unión Europea, </w:t>
      </w:r>
      <w:proofErr w:type="spellStart"/>
      <w:r>
        <w:rPr>
          <w:sz w:val="12"/>
        </w:rPr>
        <w:t>Centrum</w:t>
      </w:r>
      <w:proofErr w:type="spellEnd"/>
      <w:r>
        <w:rPr>
          <w:spacing w:val="-1"/>
          <w:sz w:val="12"/>
        </w:rPr>
        <w:t xml:space="preserve"> </w:t>
      </w:r>
      <w:proofErr w:type="spellStart"/>
      <w:r>
        <w:rPr>
          <w:sz w:val="12"/>
        </w:rPr>
        <w:t>voor</w:t>
      </w:r>
      <w:proofErr w:type="spellEnd"/>
      <w:r>
        <w:rPr>
          <w:sz w:val="12"/>
        </w:rPr>
        <w:t xml:space="preserve"> </w:t>
      </w:r>
      <w:proofErr w:type="spellStart"/>
      <w:r>
        <w:rPr>
          <w:sz w:val="12"/>
        </w:rPr>
        <w:t>gelijkheid</w:t>
      </w:r>
      <w:proofErr w:type="spellEnd"/>
      <w:r>
        <w:rPr>
          <w:sz w:val="12"/>
        </w:rPr>
        <w:t xml:space="preserve"> van </w:t>
      </w:r>
      <w:proofErr w:type="spellStart"/>
      <w:r>
        <w:rPr>
          <w:sz w:val="12"/>
        </w:rPr>
        <w:t>kansen</w:t>
      </w:r>
      <w:proofErr w:type="spellEnd"/>
      <w:r>
        <w:rPr>
          <w:sz w:val="12"/>
        </w:rPr>
        <w:t xml:space="preserve"> en </w:t>
      </w:r>
      <w:proofErr w:type="spellStart"/>
      <w:r>
        <w:rPr>
          <w:sz w:val="12"/>
        </w:rPr>
        <w:t>voor</w:t>
      </w:r>
      <w:proofErr w:type="spellEnd"/>
      <w:r>
        <w:rPr>
          <w:sz w:val="12"/>
        </w:rPr>
        <w:t xml:space="preserve"> </w:t>
      </w:r>
      <w:proofErr w:type="spellStart"/>
      <w:r>
        <w:rPr>
          <w:sz w:val="12"/>
        </w:rPr>
        <w:t>racismebestrijding</w:t>
      </w:r>
      <w:proofErr w:type="spellEnd"/>
      <w:r>
        <w:rPr>
          <w:sz w:val="12"/>
        </w:rPr>
        <w:t xml:space="preserve"> v. Firma </w:t>
      </w:r>
      <w:proofErr w:type="spellStart"/>
      <w:r>
        <w:rPr>
          <w:sz w:val="12"/>
        </w:rPr>
        <w:t>Feryn</w:t>
      </w:r>
      <w:proofErr w:type="spellEnd"/>
      <w:r>
        <w:rPr>
          <w:sz w:val="12"/>
        </w:rPr>
        <w:t xml:space="preserve"> NV, asunto C-54/07,</w:t>
      </w:r>
      <w:r>
        <w:rPr>
          <w:spacing w:val="40"/>
          <w:sz w:val="12"/>
        </w:rPr>
        <w:t xml:space="preserve"> </w:t>
      </w:r>
      <w:r>
        <w:rPr>
          <w:sz w:val="12"/>
        </w:rPr>
        <w:t>sentencia de 10 de julio de 2008, párr. dieciséis.</w:t>
      </w:r>
    </w:p>
    <w:p w14:paraId="2F2B4AC0" w14:textId="77777777" w:rsidR="0014798C" w:rsidRDefault="004E1F0B">
      <w:pPr>
        <w:spacing w:before="59" w:line="312" w:lineRule="auto"/>
        <w:ind w:left="1368" w:right="2337" w:hanging="263"/>
        <w:rPr>
          <w:sz w:val="12"/>
        </w:rPr>
      </w:pPr>
      <w:r>
        <w:rPr>
          <w:sz w:val="12"/>
        </w:rPr>
        <w:t>222 Comisión Africana</w:t>
      </w:r>
      <w:r>
        <w:rPr>
          <w:spacing w:val="-1"/>
          <w:sz w:val="12"/>
        </w:rPr>
        <w:t xml:space="preserve"> </w:t>
      </w:r>
      <w:r>
        <w:rPr>
          <w:sz w:val="12"/>
        </w:rPr>
        <w:t>de Derechos Humanos y de los Pueblos, Open Society</w:t>
      </w:r>
      <w:r>
        <w:rPr>
          <w:spacing w:val="-1"/>
          <w:sz w:val="12"/>
        </w:rPr>
        <w:t xml:space="preserve"> </w:t>
      </w:r>
      <w:proofErr w:type="spellStart"/>
      <w:r>
        <w:rPr>
          <w:sz w:val="12"/>
        </w:rPr>
        <w:t>Justice</w:t>
      </w:r>
      <w:proofErr w:type="spellEnd"/>
      <w:r>
        <w:rPr>
          <w:sz w:val="12"/>
        </w:rPr>
        <w:t xml:space="preserve"> </w:t>
      </w:r>
      <w:proofErr w:type="spellStart"/>
      <w:r>
        <w:rPr>
          <w:sz w:val="12"/>
        </w:rPr>
        <w:t>Initiative</w:t>
      </w:r>
      <w:proofErr w:type="spellEnd"/>
      <w:r>
        <w:rPr>
          <w:spacing w:val="-1"/>
          <w:sz w:val="12"/>
        </w:rPr>
        <w:t xml:space="preserve"> </w:t>
      </w:r>
      <w:r>
        <w:rPr>
          <w:sz w:val="12"/>
        </w:rPr>
        <w:t xml:space="preserve">v. </w:t>
      </w:r>
      <w:proofErr w:type="spellStart"/>
      <w:r>
        <w:rPr>
          <w:sz w:val="12"/>
        </w:rPr>
        <w:t>Côte</w:t>
      </w:r>
      <w:proofErr w:type="spellEnd"/>
      <w:r>
        <w:rPr>
          <w:sz w:val="12"/>
        </w:rPr>
        <w:t xml:space="preserve"> </w:t>
      </w:r>
      <w:proofErr w:type="spellStart"/>
      <w:r>
        <w:rPr>
          <w:sz w:val="12"/>
        </w:rPr>
        <w:t>d'Ivoire</w:t>
      </w:r>
      <w:proofErr w:type="spellEnd"/>
      <w:r>
        <w:rPr>
          <w:sz w:val="12"/>
        </w:rPr>
        <w:t>, comunicación No. 318/06, Decisión,</w:t>
      </w:r>
      <w:r>
        <w:rPr>
          <w:spacing w:val="40"/>
          <w:sz w:val="12"/>
        </w:rPr>
        <w:t xml:space="preserve"> </w:t>
      </w:r>
      <w:r>
        <w:rPr>
          <w:sz w:val="12"/>
        </w:rPr>
        <w:t>Febrero de 2016, párr. 144.</w:t>
      </w:r>
    </w:p>
    <w:p w14:paraId="2ADF760D" w14:textId="77777777" w:rsidR="0014798C" w:rsidRDefault="004E1F0B">
      <w:pPr>
        <w:spacing w:before="57" w:line="312" w:lineRule="auto"/>
        <w:ind w:left="1366" w:right="2765" w:hanging="262"/>
        <w:rPr>
          <w:sz w:val="12"/>
        </w:rPr>
      </w:pPr>
      <w:r>
        <w:rPr>
          <w:sz w:val="12"/>
        </w:rPr>
        <w:t xml:space="preserve">223 Comisión Interamericana de Derechos Humanos, </w:t>
      </w:r>
      <w:proofErr w:type="spellStart"/>
      <w:r>
        <w:rPr>
          <w:sz w:val="12"/>
        </w:rPr>
        <w:t>Tide</w:t>
      </w:r>
      <w:proofErr w:type="spellEnd"/>
      <w:r>
        <w:rPr>
          <w:sz w:val="12"/>
        </w:rPr>
        <w:t xml:space="preserve"> Méndez et al. República Dominicana, Caso 12.271, Informe</w:t>
      </w:r>
      <w:r>
        <w:rPr>
          <w:spacing w:val="-1"/>
          <w:sz w:val="12"/>
        </w:rPr>
        <w:t xml:space="preserve"> </w:t>
      </w:r>
      <w:r>
        <w:rPr>
          <w:sz w:val="12"/>
        </w:rPr>
        <w:t>No. 64/12, 29 de marzo</w:t>
      </w:r>
      <w:r>
        <w:rPr>
          <w:spacing w:val="40"/>
          <w:sz w:val="12"/>
        </w:rPr>
        <w:t xml:space="preserve"> </w:t>
      </w:r>
      <w:r>
        <w:rPr>
          <w:sz w:val="12"/>
        </w:rPr>
        <w:t>2012, párr. 158.</w:t>
      </w:r>
    </w:p>
    <w:p w14:paraId="59C0A371" w14:textId="77777777" w:rsidR="0014798C" w:rsidRDefault="0014798C">
      <w:pPr>
        <w:pStyle w:val="Textoindependiente"/>
        <w:rPr>
          <w:sz w:val="17"/>
        </w:rPr>
      </w:pPr>
    </w:p>
    <w:p w14:paraId="4E4B1445" w14:textId="77777777" w:rsidR="0014798C" w:rsidRDefault="0014798C">
      <w:pPr>
        <w:pStyle w:val="Textoindependiente"/>
        <w:rPr>
          <w:sz w:val="17"/>
        </w:rPr>
      </w:pPr>
    </w:p>
    <w:p w14:paraId="31557C53" w14:textId="77777777" w:rsidR="0014798C" w:rsidRDefault="0014798C">
      <w:pPr>
        <w:pStyle w:val="Textoindependiente"/>
        <w:spacing w:before="24"/>
        <w:rPr>
          <w:sz w:val="17"/>
        </w:rPr>
      </w:pPr>
    </w:p>
    <w:p w14:paraId="378F4D27" w14:textId="77777777" w:rsidR="0014798C" w:rsidRDefault="004E1F0B">
      <w:pPr>
        <w:ind w:right="728"/>
        <w:jc w:val="right"/>
        <w:rPr>
          <w:sz w:val="17"/>
        </w:rPr>
      </w:pPr>
      <w:r>
        <w:rPr>
          <w:spacing w:val="-5"/>
          <w:sz w:val="17"/>
        </w:rPr>
        <w:t>31</w:t>
      </w:r>
    </w:p>
    <w:p w14:paraId="0F8F9236" w14:textId="77777777" w:rsidR="0014798C" w:rsidRDefault="0014798C">
      <w:pPr>
        <w:jc w:val="right"/>
        <w:rPr>
          <w:sz w:val="17"/>
        </w:rPr>
        <w:sectPr w:rsidR="0014798C" w:rsidSect="00F265E4">
          <w:type w:val="continuous"/>
          <w:pgSz w:w="11900" w:h="16820"/>
          <w:pgMar w:top="40" w:right="0" w:bottom="280" w:left="200" w:header="121" w:footer="0" w:gutter="0"/>
          <w:cols w:space="720"/>
        </w:sectPr>
      </w:pPr>
    </w:p>
    <w:p w14:paraId="11E8C835" w14:textId="77777777" w:rsidR="0014798C" w:rsidRDefault="0014798C">
      <w:pPr>
        <w:pStyle w:val="Textoindependiente"/>
        <w:spacing w:before="85"/>
        <w:rPr>
          <w:sz w:val="12"/>
        </w:rPr>
      </w:pPr>
    </w:p>
    <w:p w14:paraId="2A5561A3" w14:textId="77777777" w:rsidR="0014798C" w:rsidRDefault="004E1F0B">
      <w:pPr>
        <w:ind w:left="1111"/>
        <w:rPr>
          <w:sz w:val="12"/>
        </w:rPr>
      </w:pPr>
      <w:r>
        <w:rPr>
          <w:color w:val="00AC59"/>
          <w:sz w:val="12"/>
        </w:rPr>
        <w:t>PROTECCIÓN</w:t>
      </w:r>
      <w:r>
        <w:rPr>
          <w:color w:val="00AC59"/>
          <w:spacing w:val="6"/>
          <w:sz w:val="12"/>
        </w:rPr>
        <w:t xml:space="preserve"> </w:t>
      </w:r>
      <w:r>
        <w:rPr>
          <w:color w:val="00AC59"/>
          <w:sz w:val="12"/>
        </w:rPr>
        <w:t>DE</w:t>
      </w:r>
      <w:r>
        <w:rPr>
          <w:color w:val="00AC59"/>
          <w:spacing w:val="7"/>
          <w:sz w:val="12"/>
        </w:rPr>
        <w:t xml:space="preserve"> </w:t>
      </w:r>
      <w:r>
        <w:rPr>
          <w:color w:val="00AC59"/>
          <w:sz w:val="12"/>
        </w:rPr>
        <w:t>LOS</w:t>
      </w:r>
      <w:r>
        <w:rPr>
          <w:color w:val="00AC59"/>
          <w:spacing w:val="8"/>
          <w:sz w:val="12"/>
        </w:rPr>
        <w:t xml:space="preserve"> </w:t>
      </w:r>
      <w:r>
        <w:rPr>
          <w:color w:val="00AC59"/>
          <w:sz w:val="12"/>
        </w:rPr>
        <w:t>DERECHOS</w:t>
      </w:r>
      <w:r>
        <w:rPr>
          <w:color w:val="00AC59"/>
          <w:spacing w:val="8"/>
          <w:sz w:val="12"/>
        </w:rPr>
        <w:t xml:space="preserve"> </w:t>
      </w:r>
      <w:r>
        <w:rPr>
          <w:color w:val="00AC59"/>
          <w:sz w:val="12"/>
        </w:rPr>
        <w:t>DE</w:t>
      </w:r>
      <w:r>
        <w:rPr>
          <w:color w:val="00AC59"/>
          <w:spacing w:val="6"/>
          <w:sz w:val="12"/>
        </w:rPr>
        <w:t xml:space="preserve"> </w:t>
      </w:r>
      <w:r>
        <w:rPr>
          <w:color w:val="00AC59"/>
          <w:sz w:val="12"/>
        </w:rPr>
        <w:t>LAS</w:t>
      </w:r>
      <w:r>
        <w:rPr>
          <w:color w:val="00AC59"/>
          <w:spacing w:val="7"/>
          <w:sz w:val="12"/>
        </w:rPr>
        <w:t xml:space="preserve"> </w:t>
      </w:r>
      <w:r>
        <w:rPr>
          <w:color w:val="00AC59"/>
          <w:sz w:val="12"/>
        </w:rPr>
        <w:t>MINORÍAS:</w:t>
      </w:r>
      <w:r>
        <w:rPr>
          <w:color w:val="00AC59"/>
          <w:spacing w:val="8"/>
          <w:sz w:val="12"/>
        </w:rPr>
        <w:t xml:space="preserve"> </w:t>
      </w:r>
      <w:r>
        <w:rPr>
          <w:color w:val="00AC59"/>
          <w:sz w:val="12"/>
        </w:rPr>
        <w:t>una</w:t>
      </w:r>
      <w:r>
        <w:rPr>
          <w:color w:val="00AC59"/>
          <w:spacing w:val="7"/>
          <w:sz w:val="12"/>
        </w:rPr>
        <w:t xml:space="preserve"> </w:t>
      </w:r>
      <w:r>
        <w:rPr>
          <w:color w:val="00AC59"/>
          <w:sz w:val="12"/>
        </w:rPr>
        <w:t>guía</w:t>
      </w:r>
      <w:r>
        <w:rPr>
          <w:color w:val="00AC59"/>
          <w:spacing w:val="6"/>
          <w:sz w:val="12"/>
        </w:rPr>
        <w:t xml:space="preserve"> </w:t>
      </w:r>
      <w:r>
        <w:rPr>
          <w:color w:val="00AC59"/>
          <w:sz w:val="12"/>
        </w:rPr>
        <w:t>práctica</w:t>
      </w:r>
      <w:r>
        <w:rPr>
          <w:color w:val="00AC59"/>
          <w:spacing w:val="7"/>
          <w:sz w:val="12"/>
        </w:rPr>
        <w:t xml:space="preserve"> </w:t>
      </w:r>
      <w:r>
        <w:rPr>
          <w:color w:val="00AC59"/>
          <w:sz w:val="12"/>
        </w:rPr>
        <w:t>para</w:t>
      </w:r>
      <w:r>
        <w:rPr>
          <w:color w:val="00AC59"/>
          <w:spacing w:val="8"/>
          <w:sz w:val="12"/>
        </w:rPr>
        <w:t xml:space="preserve"> </w:t>
      </w:r>
      <w:r>
        <w:rPr>
          <w:color w:val="00AC59"/>
          <w:sz w:val="12"/>
        </w:rPr>
        <w:t>desarrollar</w:t>
      </w:r>
      <w:r>
        <w:rPr>
          <w:color w:val="00AC59"/>
          <w:spacing w:val="6"/>
          <w:sz w:val="12"/>
        </w:rPr>
        <w:t xml:space="preserve"> </w:t>
      </w:r>
      <w:r>
        <w:rPr>
          <w:color w:val="00AC59"/>
          <w:sz w:val="12"/>
        </w:rPr>
        <w:t>una</w:t>
      </w:r>
      <w:r>
        <w:rPr>
          <w:color w:val="00AC59"/>
          <w:spacing w:val="7"/>
          <w:sz w:val="12"/>
        </w:rPr>
        <w:t xml:space="preserve"> </w:t>
      </w:r>
      <w:r>
        <w:rPr>
          <w:color w:val="00AC59"/>
          <w:sz w:val="12"/>
        </w:rPr>
        <w:t>legislación</w:t>
      </w:r>
      <w:r>
        <w:rPr>
          <w:color w:val="00AC59"/>
          <w:spacing w:val="8"/>
          <w:sz w:val="12"/>
        </w:rPr>
        <w:t xml:space="preserve"> </w:t>
      </w:r>
      <w:r>
        <w:rPr>
          <w:color w:val="00AC59"/>
          <w:sz w:val="12"/>
        </w:rPr>
        <w:t>integral</w:t>
      </w:r>
      <w:r>
        <w:rPr>
          <w:color w:val="00AC59"/>
          <w:spacing w:val="7"/>
          <w:sz w:val="12"/>
        </w:rPr>
        <w:t xml:space="preserve"> </w:t>
      </w:r>
      <w:r>
        <w:rPr>
          <w:color w:val="00AC59"/>
          <w:sz w:val="12"/>
        </w:rPr>
        <w:t>contra</w:t>
      </w:r>
      <w:r>
        <w:rPr>
          <w:color w:val="00AC59"/>
          <w:spacing w:val="6"/>
          <w:sz w:val="12"/>
        </w:rPr>
        <w:t xml:space="preserve"> </w:t>
      </w:r>
      <w:r>
        <w:rPr>
          <w:color w:val="00AC59"/>
          <w:sz w:val="12"/>
        </w:rPr>
        <w:t>la</w:t>
      </w:r>
      <w:r>
        <w:rPr>
          <w:color w:val="00AC59"/>
          <w:spacing w:val="7"/>
          <w:sz w:val="12"/>
        </w:rPr>
        <w:t xml:space="preserve"> </w:t>
      </w:r>
      <w:r>
        <w:rPr>
          <w:color w:val="00AC59"/>
          <w:spacing w:val="-2"/>
          <w:sz w:val="12"/>
        </w:rPr>
        <w:t>discriminación</w:t>
      </w:r>
    </w:p>
    <w:p w14:paraId="288F6F86" w14:textId="77777777" w:rsidR="0014798C" w:rsidRDefault="0014798C">
      <w:pPr>
        <w:pStyle w:val="Textoindependiente"/>
        <w:rPr>
          <w:sz w:val="15"/>
        </w:rPr>
      </w:pPr>
    </w:p>
    <w:p w14:paraId="21B64232" w14:textId="77777777" w:rsidR="0014798C" w:rsidRDefault="0014798C">
      <w:pPr>
        <w:pStyle w:val="Textoindependiente"/>
        <w:rPr>
          <w:sz w:val="15"/>
        </w:rPr>
      </w:pPr>
    </w:p>
    <w:p w14:paraId="68163BD2" w14:textId="77777777" w:rsidR="0014798C" w:rsidRDefault="0014798C">
      <w:pPr>
        <w:pStyle w:val="Textoindependiente"/>
        <w:rPr>
          <w:sz w:val="15"/>
        </w:rPr>
      </w:pPr>
    </w:p>
    <w:p w14:paraId="3801E851" w14:textId="77777777" w:rsidR="0014798C" w:rsidRDefault="0014798C">
      <w:pPr>
        <w:pStyle w:val="Textoindependiente"/>
        <w:rPr>
          <w:sz w:val="15"/>
        </w:rPr>
      </w:pPr>
    </w:p>
    <w:p w14:paraId="3C3A3D06" w14:textId="77777777" w:rsidR="0014798C" w:rsidRDefault="0014798C">
      <w:pPr>
        <w:pStyle w:val="Textoindependiente"/>
        <w:spacing w:before="115"/>
        <w:rPr>
          <w:sz w:val="15"/>
        </w:rPr>
      </w:pPr>
    </w:p>
    <w:p w14:paraId="2143E19A" w14:textId="77777777" w:rsidR="0014798C" w:rsidRDefault="004E1F0B">
      <w:pPr>
        <w:spacing w:line="348" w:lineRule="auto"/>
        <w:ind w:left="1108" w:right="1272" w:hanging="5"/>
        <w:rPr>
          <w:sz w:val="15"/>
        </w:rPr>
      </w:pPr>
      <w:r>
        <w:rPr>
          <w:sz w:val="15"/>
        </w:rPr>
        <w:t>Si bien los instrumentos básicos de derechos humanos de las Naciones Unidas no hacen un uso explícito de los términos discriminación directa</w:t>
      </w:r>
      <w:r>
        <w:rPr>
          <w:spacing w:val="-2"/>
          <w:sz w:val="15"/>
        </w:rPr>
        <w:t xml:space="preserve"> </w:t>
      </w:r>
      <w:r>
        <w:rPr>
          <w:sz w:val="15"/>
        </w:rPr>
        <w:t>e</w:t>
      </w:r>
      <w:r>
        <w:rPr>
          <w:spacing w:val="-2"/>
          <w:sz w:val="15"/>
        </w:rPr>
        <w:t xml:space="preserve"> </w:t>
      </w:r>
      <w:r>
        <w:rPr>
          <w:sz w:val="15"/>
        </w:rPr>
        <w:t>indirecta,</w:t>
      </w:r>
      <w:r>
        <w:rPr>
          <w:spacing w:val="-1"/>
          <w:sz w:val="15"/>
        </w:rPr>
        <w:t xml:space="preserve"> </w:t>
      </w:r>
      <w:r>
        <w:rPr>
          <w:sz w:val="15"/>
        </w:rPr>
        <w:t>los</w:t>
      </w:r>
      <w:r>
        <w:rPr>
          <w:spacing w:val="-2"/>
          <w:sz w:val="15"/>
        </w:rPr>
        <w:t xml:space="preserve"> </w:t>
      </w:r>
      <w:r>
        <w:rPr>
          <w:sz w:val="15"/>
        </w:rPr>
        <w:t>órganos</w:t>
      </w:r>
      <w:r>
        <w:rPr>
          <w:spacing w:val="-2"/>
          <w:sz w:val="15"/>
        </w:rPr>
        <w:t xml:space="preserve"> </w:t>
      </w:r>
      <w:r>
        <w:rPr>
          <w:sz w:val="15"/>
        </w:rPr>
        <w:t>creados</w:t>
      </w:r>
      <w:r>
        <w:rPr>
          <w:spacing w:val="-2"/>
          <w:sz w:val="15"/>
        </w:rPr>
        <w:t xml:space="preserve"> </w:t>
      </w:r>
      <w:r>
        <w:rPr>
          <w:sz w:val="15"/>
        </w:rPr>
        <w:t>en</w:t>
      </w:r>
      <w:r>
        <w:rPr>
          <w:spacing w:val="-2"/>
          <w:sz w:val="15"/>
        </w:rPr>
        <w:t xml:space="preserve"> </w:t>
      </w:r>
      <w:r>
        <w:rPr>
          <w:sz w:val="15"/>
        </w:rPr>
        <w:t>virtud</w:t>
      </w:r>
      <w:r>
        <w:rPr>
          <w:spacing w:val="-2"/>
          <w:sz w:val="15"/>
        </w:rPr>
        <w:t xml:space="preserve"> </w:t>
      </w:r>
      <w:r>
        <w:rPr>
          <w:sz w:val="15"/>
        </w:rPr>
        <w:t>de</w:t>
      </w:r>
      <w:r>
        <w:rPr>
          <w:spacing w:val="-2"/>
          <w:sz w:val="15"/>
        </w:rPr>
        <w:t xml:space="preserve"> </w:t>
      </w:r>
      <w:r>
        <w:rPr>
          <w:sz w:val="15"/>
        </w:rPr>
        <w:t>tratados</w:t>
      </w:r>
      <w:r>
        <w:rPr>
          <w:spacing w:val="-2"/>
          <w:sz w:val="15"/>
        </w:rPr>
        <w:t xml:space="preserve"> </w:t>
      </w:r>
      <w:r>
        <w:rPr>
          <w:sz w:val="15"/>
        </w:rPr>
        <w:t>de</w:t>
      </w:r>
      <w:r>
        <w:rPr>
          <w:spacing w:val="-2"/>
          <w:sz w:val="15"/>
        </w:rPr>
        <w:t xml:space="preserve"> </w:t>
      </w:r>
      <w:r>
        <w:rPr>
          <w:sz w:val="15"/>
        </w:rPr>
        <w:t>derechos</w:t>
      </w:r>
      <w:r>
        <w:rPr>
          <w:spacing w:val="-2"/>
          <w:sz w:val="15"/>
        </w:rPr>
        <w:t xml:space="preserve"> </w:t>
      </w:r>
      <w:r>
        <w:rPr>
          <w:sz w:val="15"/>
        </w:rPr>
        <w:t>humanos</w:t>
      </w:r>
      <w:r>
        <w:rPr>
          <w:spacing w:val="-2"/>
          <w:sz w:val="15"/>
        </w:rPr>
        <w:t xml:space="preserve"> </w:t>
      </w:r>
      <w:r>
        <w:rPr>
          <w:sz w:val="15"/>
        </w:rPr>
        <w:t>han</w:t>
      </w:r>
      <w:r>
        <w:rPr>
          <w:spacing w:val="-2"/>
          <w:sz w:val="15"/>
        </w:rPr>
        <w:t xml:space="preserve"> </w:t>
      </w:r>
      <w:r>
        <w:rPr>
          <w:sz w:val="15"/>
        </w:rPr>
        <w:t>reconocido</w:t>
      </w:r>
      <w:r>
        <w:rPr>
          <w:spacing w:val="-1"/>
          <w:sz w:val="15"/>
        </w:rPr>
        <w:t xml:space="preserve"> </w:t>
      </w:r>
      <w:r>
        <w:rPr>
          <w:sz w:val="15"/>
        </w:rPr>
        <w:t>sistemáticamente</w:t>
      </w:r>
      <w:r>
        <w:rPr>
          <w:spacing w:val="-2"/>
          <w:sz w:val="15"/>
        </w:rPr>
        <w:t xml:space="preserve"> </w:t>
      </w:r>
      <w:r>
        <w:rPr>
          <w:sz w:val="15"/>
        </w:rPr>
        <w:t>ambos</w:t>
      </w:r>
      <w:r>
        <w:rPr>
          <w:spacing w:val="-2"/>
          <w:sz w:val="15"/>
        </w:rPr>
        <w:t xml:space="preserve"> </w:t>
      </w:r>
      <w:r>
        <w:rPr>
          <w:sz w:val="15"/>
        </w:rPr>
        <w:t>como</w:t>
      </w:r>
      <w:r>
        <w:rPr>
          <w:spacing w:val="-2"/>
          <w:sz w:val="15"/>
        </w:rPr>
        <w:t xml:space="preserve"> </w:t>
      </w:r>
      <w:r>
        <w:rPr>
          <w:sz w:val="15"/>
        </w:rPr>
        <w:t>formas de conducta prohibida que entran dentro del alcance del derecho a la no discriminación.224</w:t>
      </w:r>
    </w:p>
    <w:p w14:paraId="4432A34B" w14:textId="77777777" w:rsidR="0014798C" w:rsidRDefault="004E1F0B">
      <w:pPr>
        <w:spacing w:before="169" w:line="348" w:lineRule="auto"/>
        <w:ind w:left="1103" w:right="1239" w:firstLine="4"/>
        <w:rPr>
          <w:sz w:val="15"/>
        </w:rPr>
      </w:pPr>
      <w:r>
        <w:rPr>
          <w:sz w:val="15"/>
        </w:rPr>
        <w:t xml:space="preserve">En su Observación general </w:t>
      </w:r>
      <w:proofErr w:type="spellStart"/>
      <w:r>
        <w:rPr>
          <w:sz w:val="15"/>
        </w:rPr>
        <w:t>Nº</w:t>
      </w:r>
      <w:proofErr w:type="spellEnd"/>
      <w:r>
        <w:rPr>
          <w:sz w:val="15"/>
        </w:rPr>
        <w:t xml:space="preserve"> 20 (2009), el Comité de Derechos Económicos, Sociales y Culturales señaló que tanto la discriminación directa como la indirecta caen dentro del alcance del artículo 2 (2), y luego define la discriminación directa como la situación en la que “una un individuo recibe un trato menos favorable que otra persona en una situación similar por una razón relacionada con un motivo prohibido”.225 El Comité sobre los Derechos de las Personas con Discapacidad ha adoptado una definición similar.226 El Comité para la Eliminación</w:t>
      </w:r>
      <w:r>
        <w:rPr>
          <w:spacing w:val="-1"/>
          <w:sz w:val="15"/>
        </w:rPr>
        <w:t xml:space="preserve"> </w:t>
      </w:r>
      <w:r>
        <w:rPr>
          <w:sz w:val="15"/>
        </w:rPr>
        <w:t>de</w:t>
      </w:r>
      <w:r>
        <w:rPr>
          <w:spacing w:val="-1"/>
          <w:sz w:val="15"/>
        </w:rPr>
        <w:t xml:space="preserve"> </w:t>
      </w:r>
      <w:r>
        <w:rPr>
          <w:sz w:val="15"/>
        </w:rPr>
        <w:t>la</w:t>
      </w:r>
      <w:r>
        <w:rPr>
          <w:spacing w:val="-1"/>
          <w:sz w:val="15"/>
        </w:rPr>
        <w:t xml:space="preserve"> </w:t>
      </w:r>
      <w:r>
        <w:rPr>
          <w:sz w:val="15"/>
        </w:rPr>
        <w:t>Discriminación contra</w:t>
      </w:r>
      <w:r>
        <w:rPr>
          <w:spacing w:val="-1"/>
          <w:sz w:val="15"/>
        </w:rPr>
        <w:t xml:space="preserve"> </w:t>
      </w:r>
      <w:r>
        <w:rPr>
          <w:sz w:val="15"/>
        </w:rPr>
        <w:t>la</w:t>
      </w:r>
      <w:r>
        <w:rPr>
          <w:spacing w:val="-1"/>
          <w:sz w:val="15"/>
        </w:rPr>
        <w:t xml:space="preserve"> </w:t>
      </w:r>
      <w:r>
        <w:rPr>
          <w:sz w:val="15"/>
        </w:rPr>
        <w:t>Mujer</w:t>
      </w:r>
      <w:r>
        <w:rPr>
          <w:spacing w:val="-1"/>
          <w:sz w:val="15"/>
        </w:rPr>
        <w:t xml:space="preserve"> </w:t>
      </w:r>
      <w:r>
        <w:rPr>
          <w:sz w:val="15"/>
        </w:rPr>
        <w:t>ha</w:t>
      </w:r>
      <w:r>
        <w:rPr>
          <w:spacing w:val="-1"/>
          <w:sz w:val="15"/>
        </w:rPr>
        <w:t xml:space="preserve"> </w:t>
      </w:r>
      <w:r>
        <w:rPr>
          <w:sz w:val="15"/>
        </w:rPr>
        <w:t>utilizado</w:t>
      </w:r>
      <w:r>
        <w:rPr>
          <w:spacing w:val="-1"/>
          <w:sz w:val="15"/>
        </w:rPr>
        <w:t xml:space="preserve"> </w:t>
      </w:r>
      <w:r>
        <w:rPr>
          <w:sz w:val="15"/>
        </w:rPr>
        <w:t>una</w:t>
      </w:r>
      <w:r>
        <w:rPr>
          <w:spacing w:val="-1"/>
          <w:sz w:val="15"/>
        </w:rPr>
        <w:t xml:space="preserve"> </w:t>
      </w:r>
      <w:r>
        <w:rPr>
          <w:sz w:val="15"/>
        </w:rPr>
        <w:t>formulación</w:t>
      </w:r>
      <w:r>
        <w:rPr>
          <w:spacing w:val="-1"/>
          <w:sz w:val="15"/>
        </w:rPr>
        <w:t xml:space="preserve"> </w:t>
      </w:r>
      <w:r>
        <w:rPr>
          <w:sz w:val="15"/>
        </w:rPr>
        <w:t>ligeramente</w:t>
      </w:r>
      <w:r>
        <w:rPr>
          <w:spacing w:val="-1"/>
          <w:sz w:val="15"/>
        </w:rPr>
        <w:t xml:space="preserve"> </w:t>
      </w:r>
      <w:r>
        <w:rPr>
          <w:sz w:val="15"/>
        </w:rPr>
        <w:t>más</w:t>
      </w:r>
      <w:r>
        <w:rPr>
          <w:spacing w:val="-1"/>
          <w:sz w:val="15"/>
        </w:rPr>
        <w:t xml:space="preserve"> </w:t>
      </w:r>
      <w:r>
        <w:rPr>
          <w:sz w:val="15"/>
        </w:rPr>
        <w:t>amplia, omitiendo</w:t>
      </w:r>
      <w:r>
        <w:rPr>
          <w:spacing w:val="-1"/>
          <w:sz w:val="15"/>
        </w:rPr>
        <w:t xml:space="preserve"> </w:t>
      </w:r>
      <w:r>
        <w:rPr>
          <w:sz w:val="15"/>
        </w:rPr>
        <w:t>la</w:t>
      </w:r>
      <w:r>
        <w:rPr>
          <w:spacing w:val="-1"/>
          <w:sz w:val="15"/>
        </w:rPr>
        <w:t xml:space="preserve"> </w:t>
      </w:r>
      <w:r>
        <w:rPr>
          <w:sz w:val="15"/>
        </w:rPr>
        <w:t>referencia</w:t>
      </w:r>
      <w:r>
        <w:rPr>
          <w:spacing w:val="-1"/>
          <w:sz w:val="15"/>
        </w:rPr>
        <w:t xml:space="preserve"> </w:t>
      </w:r>
      <w:r>
        <w:rPr>
          <w:sz w:val="15"/>
        </w:rPr>
        <w:t>al</w:t>
      </w:r>
      <w:r>
        <w:rPr>
          <w:spacing w:val="-1"/>
          <w:sz w:val="15"/>
        </w:rPr>
        <w:t xml:space="preserve"> </w:t>
      </w:r>
      <w:r>
        <w:rPr>
          <w:sz w:val="15"/>
        </w:rPr>
        <w:t>trato</w:t>
      </w:r>
      <w:r>
        <w:rPr>
          <w:spacing w:val="-1"/>
          <w:sz w:val="15"/>
        </w:rPr>
        <w:t xml:space="preserve"> </w:t>
      </w:r>
      <w:r>
        <w:rPr>
          <w:sz w:val="15"/>
        </w:rPr>
        <w:t>menos favorable y señalando simplemente que “la discriminación directa contra las mujeres constituye un trato diferente basado explícitamente en motivos de sexo y diferencias de género”.227 Ni el Comité para la Eliminación de la Discriminación Racial ni el Comité de Derechos Humanos</w:t>
      </w:r>
      <w:r>
        <w:rPr>
          <w:spacing w:val="-1"/>
          <w:sz w:val="15"/>
        </w:rPr>
        <w:t xml:space="preserve"> </w:t>
      </w:r>
      <w:r>
        <w:rPr>
          <w:sz w:val="15"/>
        </w:rPr>
        <w:t>Comité</w:t>
      </w:r>
      <w:r>
        <w:rPr>
          <w:spacing w:val="-1"/>
          <w:sz w:val="15"/>
        </w:rPr>
        <w:t xml:space="preserve"> </w:t>
      </w:r>
      <w:r>
        <w:rPr>
          <w:sz w:val="15"/>
        </w:rPr>
        <w:t>de</w:t>
      </w:r>
      <w:r>
        <w:rPr>
          <w:spacing w:val="-1"/>
          <w:sz w:val="15"/>
        </w:rPr>
        <w:t xml:space="preserve"> </w:t>
      </w:r>
      <w:r>
        <w:rPr>
          <w:sz w:val="15"/>
        </w:rPr>
        <w:t>Derechos</w:t>
      </w:r>
      <w:r>
        <w:rPr>
          <w:spacing w:val="-1"/>
          <w:sz w:val="15"/>
        </w:rPr>
        <w:t xml:space="preserve"> </w:t>
      </w:r>
      <w:r>
        <w:rPr>
          <w:sz w:val="15"/>
        </w:rPr>
        <w:t>Humanos</w:t>
      </w:r>
      <w:r>
        <w:rPr>
          <w:spacing w:val="-1"/>
          <w:sz w:val="15"/>
        </w:rPr>
        <w:t xml:space="preserve"> </w:t>
      </w:r>
      <w:r>
        <w:rPr>
          <w:sz w:val="15"/>
        </w:rPr>
        <w:t>ha</w:t>
      </w:r>
      <w:r>
        <w:rPr>
          <w:spacing w:val="-1"/>
          <w:sz w:val="15"/>
        </w:rPr>
        <w:t xml:space="preserve"> </w:t>
      </w:r>
      <w:r>
        <w:rPr>
          <w:sz w:val="15"/>
        </w:rPr>
        <w:t>intentado</w:t>
      </w:r>
      <w:r>
        <w:rPr>
          <w:spacing w:val="-1"/>
          <w:sz w:val="15"/>
        </w:rPr>
        <w:t xml:space="preserve"> </w:t>
      </w:r>
      <w:r>
        <w:rPr>
          <w:sz w:val="15"/>
        </w:rPr>
        <w:t>definir</w:t>
      </w:r>
      <w:r>
        <w:rPr>
          <w:spacing w:val="-1"/>
          <w:sz w:val="15"/>
        </w:rPr>
        <w:t xml:space="preserve"> </w:t>
      </w:r>
      <w:r>
        <w:rPr>
          <w:sz w:val="15"/>
        </w:rPr>
        <w:t>la</w:t>
      </w:r>
      <w:r>
        <w:rPr>
          <w:spacing w:val="-1"/>
          <w:sz w:val="15"/>
        </w:rPr>
        <w:t xml:space="preserve"> </w:t>
      </w:r>
      <w:r>
        <w:rPr>
          <w:sz w:val="15"/>
        </w:rPr>
        <w:t>discriminación directa</w:t>
      </w:r>
      <w:r>
        <w:rPr>
          <w:spacing w:val="-1"/>
          <w:sz w:val="15"/>
        </w:rPr>
        <w:t xml:space="preserve"> </w:t>
      </w:r>
      <w:r>
        <w:rPr>
          <w:sz w:val="15"/>
        </w:rPr>
        <w:t>o</w:t>
      </w:r>
      <w:r>
        <w:rPr>
          <w:spacing w:val="-1"/>
          <w:sz w:val="15"/>
        </w:rPr>
        <w:t xml:space="preserve"> </w:t>
      </w:r>
      <w:r>
        <w:rPr>
          <w:sz w:val="15"/>
        </w:rPr>
        <w:t>indirecta</w:t>
      </w:r>
      <w:r>
        <w:rPr>
          <w:spacing w:val="-1"/>
          <w:sz w:val="15"/>
        </w:rPr>
        <w:t xml:space="preserve"> </w:t>
      </w:r>
      <w:r>
        <w:rPr>
          <w:sz w:val="15"/>
        </w:rPr>
        <w:t>en</w:t>
      </w:r>
      <w:r>
        <w:rPr>
          <w:spacing w:val="-1"/>
          <w:sz w:val="15"/>
        </w:rPr>
        <w:t xml:space="preserve"> </w:t>
      </w:r>
      <w:r>
        <w:rPr>
          <w:sz w:val="15"/>
        </w:rPr>
        <w:t>sus</w:t>
      </w:r>
      <w:r>
        <w:rPr>
          <w:spacing w:val="-1"/>
          <w:sz w:val="15"/>
        </w:rPr>
        <w:t xml:space="preserve"> </w:t>
      </w:r>
      <w:r>
        <w:rPr>
          <w:sz w:val="15"/>
        </w:rPr>
        <w:t>comentarios</w:t>
      </w:r>
      <w:r>
        <w:rPr>
          <w:spacing w:val="-1"/>
          <w:sz w:val="15"/>
        </w:rPr>
        <w:t xml:space="preserve"> </w:t>
      </w:r>
      <w:r>
        <w:rPr>
          <w:sz w:val="15"/>
        </w:rPr>
        <w:t>generales,228</w:t>
      </w:r>
      <w:r>
        <w:rPr>
          <w:spacing w:val="-1"/>
          <w:sz w:val="15"/>
        </w:rPr>
        <w:t xml:space="preserve"> </w:t>
      </w:r>
      <w:r>
        <w:rPr>
          <w:sz w:val="15"/>
        </w:rPr>
        <w:t>aunque ambos</w:t>
      </w:r>
      <w:r>
        <w:rPr>
          <w:spacing w:val="-1"/>
          <w:sz w:val="15"/>
        </w:rPr>
        <w:t xml:space="preserve"> </w:t>
      </w:r>
      <w:r>
        <w:rPr>
          <w:sz w:val="15"/>
        </w:rPr>
        <w:t>Comités</w:t>
      </w:r>
      <w:r>
        <w:rPr>
          <w:spacing w:val="-1"/>
          <w:sz w:val="15"/>
        </w:rPr>
        <w:t xml:space="preserve"> </w:t>
      </w:r>
      <w:r>
        <w:rPr>
          <w:sz w:val="15"/>
        </w:rPr>
        <w:t>han</w:t>
      </w:r>
      <w:r>
        <w:rPr>
          <w:spacing w:val="-1"/>
          <w:sz w:val="15"/>
        </w:rPr>
        <w:t xml:space="preserve"> </w:t>
      </w:r>
      <w:r>
        <w:rPr>
          <w:sz w:val="15"/>
        </w:rPr>
        <w:t>reconocido los</w:t>
      </w:r>
      <w:r>
        <w:rPr>
          <w:spacing w:val="-1"/>
          <w:sz w:val="15"/>
        </w:rPr>
        <w:t xml:space="preserve"> </w:t>
      </w:r>
      <w:r>
        <w:rPr>
          <w:sz w:val="15"/>
        </w:rPr>
        <w:t>conceptos229</w:t>
      </w:r>
      <w:r>
        <w:rPr>
          <w:spacing w:val="-1"/>
          <w:sz w:val="15"/>
        </w:rPr>
        <w:t xml:space="preserve"> </w:t>
      </w:r>
      <w:r>
        <w:rPr>
          <w:sz w:val="15"/>
        </w:rPr>
        <w:t>y</w:t>
      </w:r>
      <w:r>
        <w:rPr>
          <w:spacing w:val="-1"/>
          <w:sz w:val="15"/>
        </w:rPr>
        <w:t xml:space="preserve"> </w:t>
      </w:r>
      <w:r>
        <w:rPr>
          <w:sz w:val="15"/>
        </w:rPr>
        <w:t>han</w:t>
      </w:r>
      <w:r>
        <w:rPr>
          <w:spacing w:val="-1"/>
          <w:sz w:val="15"/>
        </w:rPr>
        <w:t xml:space="preserve"> </w:t>
      </w:r>
      <w:r>
        <w:rPr>
          <w:sz w:val="15"/>
        </w:rPr>
        <w:t>instado</w:t>
      </w:r>
      <w:r>
        <w:rPr>
          <w:spacing w:val="-1"/>
          <w:sz w:val="15"/>
        </w:rPr>
        <w:t xml:space="preserve"> </w:t>
      </w:r>
      <w:r>
        <w:rPr>
          <w:sz w:val="15"/>
        </w:rPr>
        <w:t>a</w:t>
      </w:r>
      <w:r>
        <w:rPr>
          <w:spacing w:val="-1"/>
          <w:sz w:val="15"/>
        </w:rPr>
        <w:t xml:space="preserve"> </w:t>
      </w:r>
      <w:r>
        <w:rPr>
          <w:sz w:val="15"/>
        </w:rPr>
        <w:t>los</w:t>
      </w:r>
      <w:r>
        <w:rPr>
          <w:spacing w:val="-1"/>
          <w:sz w:val="15"/>
        </w:rPr>
        <w:t xml:space="preserve"> </w:t>
      </w:r>
      <w:r>
        <w:rPr>
          <w:sz w:val="15"/>
        </w:rPr>
        <w:t>Estados</w:t>
      </w:r>
      <w:r>
        <w:rPr>
          <w:spacing w:val="-1"/>
          <w:sz w:val="15"/>
        </w:rPr>
        <w:t xml:space="preserve"> </w:t>
      </w:r>
      <w:r>
        <w:rPr>
          <w:sz w:val="15"/>
        </w:rPr>
        <w:t>a</w:t>
      </w:r>
      <w:r>
        <w:rPr>
          <w:spacing w:val="-1"/>
          <w:sz w:val="15"/>
        </w:rPr>
        <w:t xml:space="preserve"> </w:t>
      </w:r>
      <w:r>
        <w:rPr>
          <w:sz w:val="15"/>
        </w:rPr>
        <w:t>adoptar</w:t>
      </w:r>
      <w:r>
        <w:rPr>
          <w:spacing w:val="-1"/>
          <w:sz w:val="15"/>
        </w:rPr>
        <w:t xml:space="preserve"> </w:t>
      </w:r>
      <w:r>
        <w:rPr>
          <w:sz w:val="15"/>
        </w:rPr>
        <w:t>una</w:t>
      </w:r>
      <w:r>
        <w:rPr>
          <w:spacing w:val="-1"/>
          <w:sz w:val="15"/>
        </w:rPr>
        <w:t xml:space="preserve"> </w:t>
      </w:r>
      <w:r>
        <w:rPr>
          <w:sz w:val="15"/>
        </w:rPr>
        <w:t>legislación</w:t>
      </w:r>
      <w:r>
        <w:rPr>
          <w:spacing w:val="-1"/>
          <w:sz w:val="15"/>
        </w:rPr>
        <w:t xml:space="preserve"> </w:t>
      </w:r>
      <w:r>
        <w:rPr>
          <w:sz w:val="15"/>
        </w:rPr>
        <w:t>integral</w:t>
      </w:r>
      <w:r>
        <w:rPr>
          <w:spacing w:val="-1"/>
          <w:sz w:val="15"/>
        </w:rPr>
        <w:t xml:space="preserve"> </w:t>
      </w:r>
      <w:r>
        <w:rPr>
          <w:sz w:val="15"/>
        </w:rPr>
        <w:t>sobre</w:t>
      </w:r>
      <w:r>
        <w:rPr>
          <w:spacing w:val="-1"/>
          <w:sz w:val="15"/>
        </w:rPr>
        <w:t xml:space="preserve"> </w:t>
      </w:r>
      <w:r>
        <w:rPr>
          <w:sz w:val="15"/>
        </w:rPr>
        <w:t>igualdad</w:t>
      </w:r>
      <w:r>
        <w:rPr>
          <w:spacing w:val="-1"/>
          <w:sz w:val="15"/>
        </w:rPr>
        <w:t xml:space="preserve"> </w:t>
      </w:r>
      <w:r>
        <w:rPr>
          <w:sz w:val="15"/>
        </w:rPr>
        <w:t>que</w:t>
      </w:r>
      <w:r>
        <w:rPr>
          <w:spacing w:val="-1"/>
          <w:sz w:val="15"/>
        </w:rPr>
        <w:t xml:space="preserve"> </w:t>
      </w:r>
      <w:r>
        <w:rPr>
          <w:sz w:val="15"/>
        </w:rPr>
        <w:t>prohíba todas las formas de discriminación directa e indirecta.230</w:t>
      </w:r>
    </w:p>
    <w:p w14:paraId="65AF3F9F" w14:textId="77777777" w:rsidR="0014798C" w:rsidRDefault="0014798C">
      <w:pPr>
        <w:pStyle w:val="Textoindependiente"/>
        <w:rPr>
          <w:sz w:val="15"/>
        </w:rPr>
      </w:pPr>
    </w:p>
    <w:p w14:paraId="0F28ACA1" w14:textId="77777777" w:rsidR="0014798C" w:rsidRDefault="0014798C">
      <w:pPr>
        <w:pStyle w:val="Textoindependiente"/>
        <w:spacing w:before="71"/>
        <w:rPr>
          <w:sz w:val="15"/>
        </w:rPr>
      </w:pPr>
    </w:p>
    <w:p w14:paraId="26734540" w14:textId="77777777" w:rsidR="0014798C" w:rsidRDefault="004E1F0B">
      <w:pPr>
        <w:spacing w:line="348" w:lineRule="auto"/>
        <w:ind w:left="1107" w:right="1272" w:firstLine="3"/>
        <w:rPr>
          <w:sz w:val="15"/>
        </w:rPr>
      </w:pPr>
      <w:r>
        <w:rPr>
          <w:sz w:val="15"/>
        </w:rPr>
        <w:t>Los mecanismos regionales de derechos humanos han tendido a abordar los casos de discriminación directa a través de la prohibición amplia</w:t>
      </w:r>
      <w:r>
        <w:rPr>
          <w:spacing w:val="-2"/>
          <w:sz w:val="15"/>
        </w:rPr>
        <w:t xml:space="preserve"> </w:t>
      </w:r>
      <w:r>
        <w:rPr>
          <w:sz w:val="15"/>
        </w:rPr>
        <w:t>de</w:t>
      </w:r>
      <w:r>
        <w:rPr>
          <w:spacing w:val="-2"/>
          <w:sz w:val="15"/>
        </w:rPr>
        <w:t xml:space="preserve"> </w:t>
      </w:r>
      <w:r>
        <w:rPr>
          <w:sz w:val="15"/>
        </w:rPr>
        <w:t>la</w:t>
      </w:r>
      <w:r>
        <w:rPr>
          <w:spacing w:val="-2"/>
          <w:sz w:val="15"/>
        </w:rPr>
        <w:t xml:space="preserve"> </w:t>
      </w:r>
      <w:r>
        <w:rPr>
          <w:sz w:val="15"/>
        </w:rPr>
        <w:t>discriminación, de</w:t>
      </w:r>
      <w:r>
        <w:rPr>
          <w:spacing w:val="-2"/>
          <w:sz w:val="15"/>
        </w:rPr>
        <w:t xml:space="preserve"> </w:t>
      </w:r>
      <w:r>
        <w:rPr>
          <w:sz w:val="15"/>
        </w:rPr>
        <w:t>la</w:t>
      </w:r>
      <w:r>
        <w:rPr>
          <w:spacing w:val="-2"/>
          <w:sz w:val="15"/>
        </w:rPr>
        <w:t xml:space="preserve"> </w:t>
      </w:r>
      <w:r>
        <w:rPr>
          <w:sz w:val="15"/>
        </w:rPr>
        <w:t>cual</w:t>
      </w:r>
      <w:r>
        <w:rPr>
          <w:spacing w:val="-2"/>
          <w:sz w:val="15"/>
        </w:rPr>
        <w:t xml:space="preserve"> </w:t>
      </w:r>
      <w:r>
        <w:rPr>
          <w:sz w:val="15"/>
        </w:rPr>
        <w:t>la</w:t>
      </w:r>
      <w:r>
        <w:rPr>
          <w:spacing w:val="-2"/>
          <w:sz w:val="15"/>
        </w:rPr>
        <w:t xml:space="preserve"> </w:t>
      </w:r>
      <w:r>
        <w:rPr>
          <w:sz w:val="15"/>
        </w:rPr>
        <w:t>discriminación</w:t>
      </w:r>
      <w:r>
        <w:rPr>
          <w:spacing w:val="-1"/>
          <w:sz w:val="15"/>
        </w:rPr>
        <w:t xml:space="preserve"> </w:t>
      </w:r>
      <w:r>
        <w:rPr>
          <w:sz w:val="15"/>
        </w:rPr>
        <w:t>indirecta</w:t>
      </w:r>
      <w:r>
        <w:rPr>
          <w:spacing w:val="-2"/>
          <w:sz w:val="15"/>
        </w:rPr>
        <w:t xml:space="preserve"> </w:t>
      </w:r>
      <w:r>
        <w:rPr>
          <w:sz w:val="15"/>
        </w:rPr>
        <w:t>ha</w:t>
      </w:r>
      <w:r>
        <w:rPr>
          <w:spacing w:val="-2"/>
          <w:sz w:val="15"/>
        </w:rPr>
        <w:t xml:space="preserve"> </w:t>
      </w:r>
      <w:r>
        <w:rPr>
          <w:sz w:val="15"/>
        </w:rPr>
        <w:t>sido</w:t>
      </w:r>
      <w:r>
        <w:rPr>
          <w:spacing w:val="-2"/>
          <w:sz w:val="15"/>
        </w:rPr>
        <w:t xml:space="preserve"> </w:t>
      </w:r>
      <w:r>
        <w:rPr>
          <w:sz w:val="15"/>
        </w:rPr>
        <w:t>identificada</w:t>
      </w:r>
      <w:r>
        <w:rPr>
          <w:spacing w:val="-2"/>
          <w:sz w:val="15"/>
        </w:rPr>
        <w:t xml:space="preserve"> </w:t>
      </w:r>
      <w:r>
        <w:rPr>
          <w:sz w:val="15"/>
        </w:rPr>
        <w:t>y</w:t>
      </w:r>
      <w:r>
        <w:rPr>
          <w:spacing w:val="-2"/>
          <w:sz w:val="15"/>
        </w:rPr>
        <w:t xml:space="preserve"> </w:t>
      </w:r>
      <w:r>
        <w:rPr>
          <w:sz w:val="15"/>
        </w:rPr>
        <w:t>diferenciada</w:t>
      </w:r>
      <w:r>
        <w:rPr>
          <w:spacing w:val="-2"/>
          <w:sz w:val="15"/>
        </w:rPr>
        <w:t xml:space="preserve"> </w:t>
      </w:r>
      <w:r>
        <w:rPr>
          <w:sz w:val="15"/>
        </w:rPr>
        <w:t>como</w:t>
      </w:r>
      <w:r>
        <w:rPr>
          <w:spacing w:val="-2"/>
          <w:sz w:val="15"/>
        </w:rPr>
        <w:t xml:space="preserve"> </w:t>
      </w:r>
      <w:r>
        <w:rPr>
          <w:sz w:val="15"/>
        </w:rPr>
        <w:t>una</w:t>
      </w:r>
      <w:r>
        <w:rPr>
          <w:spacing w:val="-2"/>
          <w:sz w:val="15"/>
        </w:rPr>
        <w:t xml:space="preserve"> </w:t>
      </w:r>
      <w:r>
        <w:rPr>
          <w:sz w:val="15"/>
        </w:rPr>
        <w:t>forma</w:t>
      </w:r>
      <w:r>
        <w:rPr>
          <w:spacing w:val="-2"/>
          <w:sz w:val="15"/>
        </w:rPr>
        <w:t xml:space="preserve"> </w:t>
      </w:r>
      <w:r>
        <w:rPr>
          <w:sz w:val="15"/>
        </w:rPr>
        <w:t>discreta</w:t>
      </w:r>
      <w:r>
        <w:rPr>
          <w:spacing w:val="-2"/>
          <w:sz w:val="15"/>
        </w:rPr>
        <w:t xml:space="preserve"> </w:t>
      </w:r>
      <w:r>
        <w:rPr>
          <w:sz w:val="15"/>
        </w:rPr>
        <w:t>de</w:t>
      </w:r>
      <w:r>
        <w:rPr>
          <w:spacing w:val="-2"/>
          <w:sz w:val="15"/>
        </w:rPr>
        <w:t xml:space="preserve"> </w:t>
      </w:r>
      <w:r>
        <w:rPr>
          <w:sz w:val="15"/>
        </w:rPr>
        <w:t>conducta prohibida.231</w:t>
      </w:r>
      <w:r>
        <w:rPr>
          <w:spacing w:val="-1"/>
          <w:sz w:val="15"/>
        </w:rPr>
        <w:t xml:space="preserve"> </w:t>
      </w:r>
      <w:r>
        <w:rPr>
          <w:sz w:val="15"/>
        </w:rPr>
        <w:t>No</w:t>
      </w:r>
      <w:r>
        <w:rPr>
          <w:spacing w:val="-1"/>
          <w:sz w:val="15"/>
        </w:rPr>
        <w:t xml:space="preserve"> </w:t>
      </w:r>
      <w:proofErr w:type="gramStart"/>
      <w:r>
        <w:rPr>
          <w:sz w:val="15"/>
        </w:rPr>
        <w:t>obstante</w:t>
      </w:r>
      <w:r>
        <w:rPr>
          <w:spacing w:val="-1"/>
          <w:sz w:val="15"/>
        </w:rPr>
        <w:t xml:space="preserve"> </w:t>
      </w:r>
      <w:r>
        <w:rPr>
          <w:sz w:val="15"/>
        </w:rPr>
        <w:t>,</w:t>
      </w:r>
      <w:proofErr w:type="gramEnd"/>
      <w:r>
        <w:rPr>
          <w:spacing w:val="-1"/>
          <w:sz w:val="15"/>
        </w:rPr>
        <w:t xml:space="preserve"> </w:t>
      </w:r>
      <w:r>
        <w:rPr>
          <w:sz w:val="15"/>
        </w:rPr>
        <w:t>el</w:t>
      </w:r>
      <w:r>
        <w:rPr>
          <w:spacing w:val="-1"/>
          <w:sz w:val="15"/>
        </w:rPr>
        <w:t xml:space="preserve"> </w:t>
      </w:r>
      <w:r>
        <w:rPr>
          <w:sz w:val="15"/>
        </w:rPr>
        <w:t>trato</w:t>
      </w:r>
      <w:r>
        <w:rPr>
          <w:spacing w:val="-1"/>
          <w:sz w:val="15"/>
        </w:rPr>
        <w:t xml:space="preserve"> </w:t>
      </w:r>
      <w:r>
        <w:rPr>
          <w:sz w:val="15"/>
        </w:rPr>
        <w:t>diferenciado</w:t>
      </w:r>
      <w:r>
        <w:rPr>
          <w:spacing w:val="-1"/>
          <w:sz w:val="15"/>
        </w:rPr>
        <w:t xml:space="preserve"> </w:t>
      </w:r>
      <w:r>
        <w:rPr>
          <w:sz w:val="15"/>
        </w:rPr>
        <w:t>o</w:t>
      </w:r>
      <w:r>
        <w:rPr>
          <w:spacing w:val="-1"/>
          <w:sz w:val="15"/>
        </w:rPr>
        <w:t xml:space="preserve"> </w:t>
      </w:r>
      <w:r>
        <w:rPr>
          <w:sz w:val="15"/>
        </w:rPr>
        <w:t>desfavorable, relacionado</w:t>
      </w:r>
      <w:r>
        <w:rPr>
          <w:spacing w:val="-1"/>
          <w:sz w:val="15"/>
        </w:rPr>
        <w:t xml:space="preserve"> </w:t>
      </w:r>
      <w:r>
        <w:rPr>
          <w:sz w:val="15"/>
        </w:rPr>
        <w:t>con</w:t>
      </w:r>
      <w:r>
        <w:rPr>
          <w:spacing w:val="-1"/>
          <w:sz w:val="15"/>
        </w:rPr>
        <w:t xml:space="preserve"> </w:t>
      </w:r>
      <w:r>
        <w:rPr>
          <w:sz w:val="15"/>
        </w:rPr>
        <w:t>uno</w:t>
      </w:r>
      <w:r>
        <w:rPr>
          <w:spacing w:val="-1"/>
          <w:sz w:val="15"/>
        </w:rPr>
        <w:t xml:space="preserve"> </w:t>
      </w:r>
      <w:r>
        <w:rPr>
          <w:sz w:val="15"/>
        </w:rPr>
        <w:t>o</w:t>
      </w:r>
      <w:r>
        <w:rPr>
          <w:spacing w:val="-1"/>
          <w:sz w:val="15"/>
        </w:rPr>
        <w:t xml:space="preserve"> </w:t>
      </w:r>
      <w:r>
        <w:rPr>
          <w:sz w:val="15"/>
        </w:rPr>
        <w:t>más</w:t>
      </w:r>
      <w:r>
        <w:rPr>
          <w:spacing w:val="-1"/>
          <w:sz w:val="15"/>
        </w:rPr>
        <w:t xml:space="preserve"> </w:t>
      </w:r>
      <w:r>
        <w:rPr>
          <w:sz w:val="15"/>
        </w:rPr>
        <w:t>motivos</w:t>
      </w:r>
      <w:r>
        <w:rPr>
          <w:spacing w:val="-1"/>
          <w:sz w:val="15"/>
        </w:rPr>
        <w:t xml:space="preserve"> </w:t>
      </w:r>
      <w:r>
        <w:rPr>
          <w:sz w:val="15"/>
        </w:rPr>
        <w:t>prohibidos, sigue</w:t>
      </w:r>
      <w:r>
        <w:rPr>
          <w:spacing w:val="-1"/>
          <w:sz w:val="15"/>
        </w:rPr>
        <w:t xml:space="preserve"> </w:t>
      </w:r>
      <w:r>
        <w:rPr>
          <w:sz w:val="15"/>
        </w:rPr>
        <w:t>vigente. central</w:t>
      </w:r>
      <w:r>
        <w:rPr>
          <w:spacing w:val="-1"/>
          <w:sz w:val="15"/>
        </w:rPr>
        <w:t xml:space="preserve"> </w:t>
      </w:r>
      <w:r>
        <w:rPr>
          <w:sz w:val="15"/>
        </w:rPr>
        <w:t>en estas</w:t>
      </w:r>
      <w:r>
        <w:rPr>
          <w:spacing w:val="-1"/>
          <w:sz w:val="15"/>
        </w:rPr>
        <w:t xml:space="preserve"> </w:t>
      </w:r>
      <w:r>
        <w:rPr>
          <w:sz w:val="15"/>
        </w:rPr>
        <w:t>definiciones.232</w:t>
      </w:r>
    </w:p>
    <w:p w14:paraId="2F347AE6" w14:textId="77777777" w:rsidR="0014798C" w:rsidRDefault="0014798C">
      <w:pPr>
        <w:pStyle w:val="Textoindependiente"/>
        <w:rPr>
          <w:sz w:val="20"/>
        </w:rPr>
      </w:pPr>
    </w:p>
    <w:p w14:paraId="0B5B8A72" w14:textId="77777777" w:rsidR="0014798C" w:rsidRDefault="0014798C">
      <w:pPr>
        <w:pStyle w:val="Textoindependiente"/>
        <w:rPr>
          <w:sz w:val="20"/>
        </w:rPr>
      </w:pPr>
    </w:p>
    <w:p w14:paraId="51DAF66E" w14:textId="77777777" w:rsidR="0014798C" w:rsidRDefault="0014798C">
      <w:pPr>
        <w:pStyle w:val="Textoindependiente"/>
        <w:rPr>
          <w:sz w:val="20"/>
        </w:rPr>
      </w:pPr>
    </w:p>
    <w:p w14:paraId="582CAA95" w14:textId="77777777" w:rsidR="0014798C" w:rsidRDefault="0014798C">
      <w:pPr>
        <w:pStyle w:val="Textoindependiente"/>
        <w:rPr>
          <w:sz w:val="20"/>
        </w:rPr>
      </w:pPr>
    </w:p>
    <w:p w14:paraId="4499010D" w14:textId="77777777" w:rsidR="0014798C" w:rsidRDefault="0014798C">
      <w:pPr>
        <w:pStyle w:val="Textoindependiente"/>
        <w:rPr>
          <w:sz w:val="20"/>
        </w:rPr>
      </w:pPr>
    </w:p>
    <w:p w14:paraId="3CCA3148" w14:textId="77777777" w:rsidR="0014798C" w:rsidRDefault="0014798C">
      <w:pPr>
        <w:pStyle w:val="Textoindependiente"/>
        <w:rPr>
          <w:sz w:val="20"/>
        </w:rPr>
      </w:pPr>
    </w:p>
    <w:p w14:paraId="33D15DAA" w14:textId="77777777" w:rsidR="0014798C" w:rsidRDefault="0014798C">
      <w:pPr>
        <w:pStyle w:val="Textoindependiente"/>
        <w:rPr>
          <w:sz w:val="20"/>
        </w:rPr>
      </w:pPr>
    </w:p>
    <w:p w14:paraId="020319AE" w14:textId="77777777" w:rsidR="0014798C" w:rsidRDefault="004E1F0B">
      <w:pPr>
        <w:pStyle w:val="Textoindependiente"/>
        <w:spacing w:before="94"/>
        <w:rPr>
          <w:sz w:val="20"/>
        </w:rPr>
      </w:pPr>
      <w:r>
        <w:rPr>
          <w:noProof/>
        </w:rPr>
        <w:drawing>
          <wp:anchor distT="0" distB="0" distL="0" distR="0" simplePos="0" relativeHeight="251658524" behindDoc="1" locked="0" layoutInCell="1" allowOverlap="1" wp14:anchorId="5608D593" wp14:editId="2BF65965">
            <wp:simplePos x="0" y="0"/>
            <wp:positionH relativeFrom="page">
              <wp:posOffset>826632</wp:posOffset>
            </wp:positionH>
            <wp:positionV relativeFrom="paragraph">
              <wp:posOffset>221190</wp:posOffset>
            </wp:positionV>
            <wp:extent cx="931001" cy="35813"/>
            <wp:effectExtent l="0" t="0" r="0" b="0"/>
            <wp:wrapTopAndBottom/>
            <wp:docPr id="109" name="Image 10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09" name="Image 109"/>
                    <pic:cNvPicPr/>
                  </pic:nvPicPr>
                  <pic:blipFill>
                    <a:blip r:embed="rId111" cstate="print"/>
                    <a:stretch>
                      <a:fillRect/>
                    </a:stretch>
                  </pic:blipFill>
                  <pic:spPr>
                    <a:xfrm>
                      <a:off x="0" y="0"/>
                      <a:ext cx="931001" cy="35813"/>
                    </a:xfrm>
                    <a:prstGeom prst="rect">
                      <a:avLst/>
                    </a:prstGeom>
                  </pic:spPr>
                </pic:pic>
              </a:graphicData>
            </a:graphic>
          </wp:anchor>
        </w:drawing>
      </w:r>
    </w:p>
    <w:p w14:paraId="4BFCD04C" w14:textId="77777777" w:rsidR="0014798C" w:rsidRDefault="0014798C">
      <w:pPr>
        <w:pStyle w:val="Textoindependiente"/>
        <w:spacing w:before="1"/>
        <w:rPr>
          <w:sz w:val="6"/>
        </w:rPr>
      </w:pPr>
    </w:p>
    <w:p w14:paraId="3CCFD445" w14:textId="77777777" w:rsidR="0014798C" w:rsidRDefault="0014798C">
      <w:pPr>
        <w:rPr>
          <w:sz w:val="6"/>
        </w:rPr>
        <w:sectPr w:rsidR="0014798C" w:rsidSect="00F265E4">
          <w:pgSz w:w="11900" w:h="16820"/>
          <w:pgMar w:top="340" w:right="0" w:bottom="280" w:left="200" w:header="121" w:footer="0" w:gutter="0"/>
          <w:cols w:space="720"/>
        </w:sectPr>
      </w:pPr>
    </w:p>
    <w:p w14:paraId="0C0F31B0" w14:textId="77777777" w:rsidR="0014798C" w:rsidRDefault="004E1F0B">
      <w:pPr>
        <w:spacing w:before="65"/>
        <w:jc w:val="right"/>
        <w:rPr>
          <w:sz w:val="8"/>
        </w:rPr>
      </w:pPr>
      <w:r>
        <w:rPr>
          <w:spacing w:val="-5"/>
          <w:w w:val="105"/>
          <w:sz w:val="8"/>
        </w:rPr>
        <w:t>224</w:t>
      </w:r>
    </w:p>
    <w:p w14:paraId="3DF1DF84" w14:textId="77777777" w:rsidR="0014798C" w:rsidRPr="00537489" w:rsidRDefault="004E1F0B">
      <w:pPr>
        <w:spacing w:before="92"/>
        <w:ind w:left="84"/>
        <w:rPr>
          <w:sz w:val="13"/>
          <w:lang w:val="en-US"/>
        </w:rPr>
      </w:pPr>
      <w:r>
        <w:br w:type="column"/>
      </w:r>
      <w:r>
        <w:rPr>
          <w:spacing w:val="-4"/>
          <w:sz w:val="13"/>
        </w:rPr>
        <w:t>Véase,</w:t>
      </w:r>
      <w:r>
        <w:rPr>
          <w:spacing w:val="3"/>
          <w:sz w:val="13"/>
        </w:rPr>
        <w:t xml:space="preserve"> </w:t>
      </w:r>
      <w:r>
        <w:rPr>
          <w:spacing w:val="-4"/>
          <w:sz w:val="13"/>
        </w:rPr>
        <w:t>a</w:t>
      </w:r>
      <w:r>
        <w:rPr>
          <w:spacing w:val="4"/>
          <w:sz w:val="13"/>
        </w:rPr>
        <w:t xml:space="preserve"> </w:t>
      </w:r>
      <w:r>
        <w:rPr>
          <w:spacing w:val="-4"/>
          <w:sz w:val="13"/>
        </w:rPr>
        <w:t>modo</w:t>
      </w:r>
      <w:r>
        <w:rPr>
          <w:spacing w:val="3"/>
          <w:sz w:val="13"/>
        </w:rPr>
        <w:t xml:space="preserve"> </w:t>
      </w:r>
      <w:r>
        <w:rPr>
          <w:spacing w:val="-4"/>
          <w:sz w:val="13"/>
        </w:rPr>
        <w:t>de</w:t>
      </w:r>
      <w:r>
        <w:rPr>
          <w:spacing w:val="4"/>
          <w:sz w:val="13"/>
        </w:rPr>
        <w:t xml:space="preserve"> </w:t>
      </w:r>
      <w:r>
        <w:rPr>
          <w:spacing w:val="-4"/>
          <w:sz w:val="13"/>
        </w:rPr>
        <w:t>ejemplo,</w:t>
      </w:r>
      <w:r>
        <w:rPr>
          <w:spacing w:val="5"/>
          <w:sz w:val="13"/>
        </w:rPr>
        <w:t xml:space="preserve"> </w:t>
      </w:r>
      <w:r>
        <w:rPr>
          <w:spacing w:val="-4"/>
          <w:sz w:val="13"/>
        </w:rPr>
        <w:t>CCPR/C/UZB/CO/5,</w:t>
      </w:r>
      <w:r>
        <w:rPr>
          <w:spacing w:val="3"/>
          <w:sz w:val="13"/>
        </w:rPr>
        <w:t xml:space="preserve"> </w:t>
      </w:r>
      <w:r>
        <w:rPr>
          <w:spacing w:val="-4"/>
          <w:sz w:val="13"/>
        </w:rPr>
        <w:t>párr.</w:t>
      </w:r>
      <w:r>
        <w:rPr>
          <w:spacing w:val="4"/>
          <w:sz w:val="13"/>
        </w:rPr>
        <w:t xml:space="preserve"> </w:t>
      </w:r>
      <w:r w:rsidRPr="00537489">
        <w:rPr>
          <w:spacing w:val="-4"/>
          <w:sz w:val="13"/>
          <w:lang w:val="en-US"/>
        </w:rPr>
        <w:t>9(a)</w:t>
      </w:r>
      <w:r>
        <w:rPr>
          <w:spacing w:val="-4"/>
          <w:sz w:val="13"/>
        </w:rPr>
        <w:t>;</w:t>
      </w:r>
      <w:r w:rsidRPr="00537489">
        <w:rPr>
          <w:spacing w:val="3"/>
          <w:sz w:val="13"/>
          <w:lang w:val="en-US"/>
        </w:rPr>
        <w:t xml:space="preserve"> </w:t>
      </w:r>
      <w:r w:rsidRPr="00537489">
        <w:rPr>
          <w:spacing w:val="-4"/>
          <w:sz w:val="13"/>
          <w:lang w:val="en-US"/>
        </w:rPr>
        <w:t>CERD/C/PSE/CO/1-2,</w:t>
      </w:r>
      <w:r w:rsidRPr="00537489">
        <w:rPr>
          <w:spacing w:val="4"/>
          <w:sz w:val="13"/>
          <w:lang w:val="en-US"/>
        </w:rPr>
        <w:t xml:space="preserve"> </w:t>
      </w:r>
      <w:proofErr w:type="spellStart"/>
      <w:r w:rsidRPr="00537489">
        <w:rPr>
          <w:spacing w:val="-4"/>
          <w:sz w:val="13"/>
          <w:lang w:val="en-US"/>
        </w:rPr>
        <w:t>párr</w:t>
      </w:r>
      <w:proofErr w:type="spellEnd"/>
      <w:r w:rsidRPr="00537489">
        <w:rPr>
          <w:spacing w:val="-4"/>
          <w:sz w:val="13"/>
          <w:lang w:val="en-US"/>
        </w:rPr>
        <w:t>.</w:t>
      </w:r>
      <w:r w:rsidRPr="00537489">
        <w:rPr>
          <w:spacing w:val="4"/>
          <w:sz w:val="13"/>
          <w:lang w:val="en-US"/>
        </w:rPr>
        <w:t xml:space="preserve"> </w:t>
      </w:r>
      <w:r w:rsidRPr="00537489">
        <w:rPr>
          <w:spacing w:val="-4"/>
          <w:sz w:val="13"/>
          <w:lang w:val="en-US"/>
        </w:rPr>
        <w:t>12</w:t>
      </w:r>
      <w:r w:rsidRPr="00537489">
        <w:rPr>
          <w:spacing w:val="3"/>
          <w:sz w:val="13"/>
          <w:lang w:val="en-US"/>
        </w:rPr>
        <w:t xml:space="preserve"> </w:t>
      </w:r>
      <w:r w:rsidRPr="00537489">
        <w:rPr>
          <w:spacing w:val="-4"/>
          <w:sz w:val="13"/>
          <w:lang w:val="en-US"/>
        </w:rPr>
        <w:t>(a)</w:t>
      </w:r>
      <w:r>
        <w:rPr>
          <w:spacing w:val="-4"/>
          <w:sz w:val="13"/>
        </w:rPr>
        <w:t>;</w:t>
      </w:r>
      <w:r w:rsidRPr="00537489">
        <w:rPr>
          <w:spacing w:val="4"/>
          <w:sz w:val="13"/>
          <w:lang w:val="en-US"/>
        </w:rPr>
        <w:t xml:space="preserve"> </w:t>
      </w:r>
      <w:r w:rsidRPr="00537489">
        <w:rPr>
          <w:spacing w:val="-4"/>
          <w:sz w:val="13"/>
          <w:lang w:val="en-US"/>
        </w:rPr>
        <w:t>E/C.12/GIN/CO/1,</w:t>
      </w:r>
      <w:r w:rsidRPr="00537489">
        <w:rPr>
          <w:spacing w:val="3"/>
          <w:sz w:val="13"/>
          <w:lang w:val="en-US"/>
        </w:rPr>
        <w:t xml:space="preserve"> </w:t>
      </w:r>
      <w:proofErr w:type="spellStart"/>
      <w:r w:rsidRPr="00537489">
        <w:rPr>
          <w:spacing w:val="-4"/>
          <w:sz w:val="13"/>
          <w:lang w:val="en-US"/>
        </w:rPr>
        <w:t>párr</w:t>
      </w:r>
      <w:proofErr w:type="spellEnd"/>
      <w:r w:rsidRPr="00537489">
        <w:rPr>
          <w:spacing w:val="-4"/>
          <w:sz w:val="13"/>
          <w:lang w:val="en-US"/>
        </w:rPr>
        <w:t>.</w:t>
      </w:r>
      <w:r w:rsidRPr="00537489">
        <w:rPr>
          <w:spacing w:val="4"/>
          <w:sz w:val="13"/>
          <w:lang w:val="en-US"/>
        </w:rPr>
        <w:t xml:space="preserve"> </w:t>
      </w:r>
      <w:r w:rsidRPr="00537489">
        <w:rPr>
          <w:spacing w:val="-4"/>
          <w:sz w:val="13"/>
          <w:lang w:val="en-US"/>
        </w:rPr>
        <w:t>19(a)</w:t>
      </w:r>
      <w:r>
        <w:rPr>
          <w:spacing w:val="-4"/>
          <w:sz w:val="13"/>
        </w:rPr>
        <w:t>;</w:t>
      </w:r>
    </w:p>
    <w:p w14:paraId="031895BC" w14:textId="77777777" w:rsidR="0014798C" w:rsidRDefault="004E1F0B">
      <w:pPr>
        <w:spacing w:before="30" w:line="288" w:lineRule="auto"/>
        <w:ind w:left="79" w:right="1553" w:firstLine="5"/>
        <w:rPr>
          <w:sz w:val="13"/>
        </w:rPr>
      </w:pPr>
      <w:r w:rsidRPr="00537489">
        <w:rPr>
          <w:spacing w:val="-2"/>
          <w:sz w:val="13"/>
          <w:lang w:val="en-US"/>
        </w:rPr>
        <w:t>CEDAW/C/QAT/CO/2,</w:t>
      </w:r>
      <w:r w:rsidRPr="00537489">
        <w:rPr>
          <w:spacing w:val="-5"/>
          <w:sz w:val="13"/>
          <w:lang w:val="en-US"/>
        </w:rPr>
        <w:t xml:space="preserve"> </w:t>
      </w:r>
      <w:proofErr w:type="spellStart"/>
      <w:r w:rsidRPr="00537489">
        <w:rPr>
          <w:spacing w:val="-2"/>
          <w:sz w:val="13"/>
          <w:lang w:val="en-US"/>
        </w:rPr>
        <w:t>párr</w:t>
      </w:r>
      <w:proofErr w:type="spellEnd"/>
      <w:r w:rsidRPr="00537489">
        <w:rPr>
          <w:spacing w:val="-2"/>
          <w:sz w:val="13"/>
          <w:lang w:val="en-US"/>
        </w:rPr>
        <w:t>.</w:t>
      </w:r>
      <w:r w:rsidRPr="00537489">
        <w:rPr>
          <w:spacing w:val="-5"/>
          <w:sz w:val="13"/>
          <w:lang w:val="en-US"/>
        </w:rPr>
        <w:t xml:space="preserve"> </w:t>
      </w:r>
      <w:r w:rsidRPr="00537489">
        <w:rPr>
          <w:spacing w:val="-2"/>
          <w:sz w:val="13"/>
          <w:lang w:val="en-US"/>
        </w:rPr>
        <w:t>14</w:t>
      </w:r>
      <w:proofErr w:type="gramStart"/>
      <w:r w:rsidRPr="00537489">
        <w:rPr>
          <w:spacing w:val="-2"/>
          <w:sz w:val="13"/>
          <w:lang w:val="en-US"/>
        </w:rPr>
        <w:t>b)</w:t>
      </w:r>
      <w:r>
        <w:rPr>
          <w:spacing w:val="-2"/>
          <w:sz w:val="13"/>
        </w:rPr>
        <w:t>;</w:t>
      </w:r>
      <w:proofErr w:type="gramEnd"/>
      <w:r w:rsidRPr="00537489">
        <w:rPr>
          <w:spacing w:val="-5"/>
          <w:sz w:val="13"/>
          <w:lang w:val="en-US"/>
        </w:rPr>
        <w:t xml:space="preserve"> </w:t>
      </w:r>
      <w:r w:rsidRPr="00537489">
        <w:rPr>
          <w:spacing w:val="-2"/>
          <w:sz w:val="13"/>
          <w:lang w:val="en-US"/>
        </w:rPr>
        <w:t>CRPD/C/IND/CO/1,</w:t>
      </w:r>
      <w:r w:rsidRPr="00537489">
        <w:rPr>
          <w:spacing w:val="-5"/>
          <w:sz w:val="13"/>
          <w:lang w:val="en-US"/>
        </w:rPr>
        <w:t xml:space="preserve"> </w:t>
      </w:r>
      <w:proofErr w:type="spellStart"/>
      <w:r w:rsidRPr="00537489">
        <w:rPr>
          <w:spacing w:val="-2"/>
          <w:sz w:val="13"/>
          <w:lang w:val="en-US"/>
        </w:rPr>
        <w:t>párr</w:t>
      </w:r>
      <w:proofErr w:type="spellEnd"/>
      <w:r w:rsidRPr="00537489">
        <w:rPr>
          <w:spacing w:val="-2"/>
          <w:sz w:val="13"/>
          <w:lang w:val="en-US"/>
        </w:rPr>
        <w:t>.</w:t>
      </w:r>
      <w:r w:rsidRPr="00537489">
        <w:rPr>
          <w:spacing w:val="-5"/>
          <w:sz w:val="13"/>
          <w:lang w:val="en-US"/>
        </w:rPr>
        <w:t xml:space="preserve"> </w:t>
      </w:r>
      <w:r w:rsidRPr="00537489">
        <w:rPr>
          <w:spacing w:val="-2"/>
          <w:sz w:val="13"/>
          <w:lang w:val="en-US"/>
        </w:rPr>
        <w:t>13</w:t>
      </w:r>
      <w:r w:rsidRPr="00537489">
        <w:rPr>
          <w:spacing w:val="-5"/>
          <w:sz w:val="13"/>
          <w:lang w:val="en-US"/>
        </w:rPr>
        <w:t xml:space="preserve"> </w:t>
      </w:r>
      <w:r w:rsidRPr="00537489">
        <w:rPr>
          <w:spacing w:val="-2"/>
          <w:sz w:val="13"/>
          <w:lang w:val="en-US"/>
        </w:rPr>
        <w:t>(a)</w:t>
      </w:r>
      <w:r>
        <w:rPr>
          <w:spacing w:val="-2"/>
          <w:sz w:val="13"/>
        </w:rPr>
        <w:t>;</w:t>
      </w:r>
      <w:r w:rsidRPr="00537489">
        <w:rPr>
          <w:spacing w:val="-5"/>
          <w:sz w:val="13"/>
          <w:lang w:val="en-US"/>
        </w:rPr>
        <w:t xml:space="preserve"> </w:t>
      </w:r>
      <w:r w:rsidRPr="00537489">
        <w:rPr>
          <w:spacing w:val="-2"/>
          <w:sz w:val="13"/>
          <w:lang w:val="en-US"/>
        </w:rPr>
        <w:t>CRC/C/BLR/CO/5-6,</w:t>
      </w:r>
      <w:r w:rsidRPr="00537489">
        <w:rPr>
          <w:spacing w:val="-5"/>
          <w:sz w:val="13"/>
          <w:lang w:val="en-US"/>
        </w:rPr>
        <w:t xml:space="preserve"> </w:t>
      </w:r>
      <w:proofErr w:type="spellStart"/>
      <w:r w:rsidRPr="00537489">
        <w:rPr>
          <w:spacing w:val="-2"/>
          <w:sz w:val="13"/>
          <w:lang w:val="en-US"/>
        </w:rPr>
        <w:t>párr</w:t>
      </w:r>
      <w:proofErr w:type="spellEnd"/>
      <w:r w:rsidRPr="00537489">
        <w:rPr>
          <w:spacing w:val="-2"/>
          <w:sz w:val="13"/>
          <w:lang w:val="en-US"/>
        </w:rPr>
        <w:t>.</w:t>
      </w:r>
      <w:r w:rsidRPr="00537489">
        <w:rPr>
          <w:spacing w:val="-5"/>
          <w:sz w:val="13"/>
          <w:lang w:val="en-US"/>
        </w:rPr>
        <w:t xml:space="preserve"> </w:t>
      </w:r>
      <w:r>
        <w:rPr>
          <w:spacing w:val="-2"/>
          <w:sz w:val="13"/>
        </w:rPr>
        <w:t>15</w:t>
      </w:r>
      <w:r>
        <w:rPr>
          <w:spacing w:val="-5"/>
          <w:sz w:val="13"/>
        </w:rPr>
        <w:t xml:space="preserve"> </w:t>
      </w:r>
      <w:r>
        <w:rPr>
          <w:spacing w:val="-2"/>
          <w:sz w:val="13"/>
        </w:rPr>
        <w:t>(a);</w:t>
      </w:r>
      <w:r>
        <w:rPr>
          <w:spacing w:val="-5"/>
          <w:sz w:val="13"/>
        </w:rPr>
        <w:t xml:space="preserve"> </w:t>
      </w:r>
      <w:r>
        <w:rPr>
          <w:spacing w:val="-2"/>
          <w:sz w:val="13"/>
        </w:rPr>
        <w:t>y</w:t>
      </w:r>
      <w:r>
        <w:rPr>
          <w:spacing w:val="-5"/>
          <w:sz w:val="13"/>
        </w:rPr>
        <w:t xml:space="preserve"> </w:t>
      </w:r>
      <w:r>
        <w:rPr>
          <w:spacing w:val="-2"/>
          <w:sz w:val="13"/>
        </w:rPr>
        <w:t>CMW/C/MOZ/CO/1,</w:t>
      </w:r>
      <w:r>
        <w:rPr>
          <w:spacing w:val="-5"/>
          <w:sz w:val="13"/>
        </w:rPr>
        <w:t xml:space="preserve"> </w:t>
      </w:r>
      <w:r>
        <w:rPr>
          <w:spacing w:val="-2"/>
          <w:sz w:val="13"/>
        </w:rPr>
        <w:t>párr.</w:t>
      </w:r>
      <w:r>
        <w:rPr>
          <w:spacing w:val="-5"/>
          <w:sz w:val="13"/>
        </w:rPr>
        <w:t xml:space="preserve"> </w:t>
      </w:r>
      <w:r>
        <w:rPr>
          <w:spacing w:val="-2"/>
          <w:sz w:val="13"/>
        </w:rPr>
        <w:t>28.</w:t>
      </w:r>
      <w:r>
        <w:rPr>
          <w:spacing w:val="-5"/>
          <w:sz w:val="13"/>
        </w:rPr>
        <w:t xml:space="preserve"> </w:t>
      </w:r>
      <w:r>
        <w:rPr>
          <w:spacing w:val="-2"/>
          <w:sz w:val="13"/>
        </w:rPr>
        <w:t>Véase,</w:t>
      </w:r>
      <w:r>
        <w:rPr>
          <w:spacing w:val="-5"/>
          <w:sz w:val="13"/>
        </w:rPr>
        <w:t xml:space="preserve"> </w:t>
      </w:r>
      <w:r>
        <w:rPr>
          <w:spacing w:val="-2"/>
          <w:sz w:val="13"/>
        </w:rPr>
        <w:t>en</w:t>
      </w:r>
      <w:r>
        <w:rPr>
          <w:spacing w:val="-5"/>
          <w:sz w:val="13"/>
        </w:rPr>
        <w:t xml:space="preserve"> </w:t>
      </w:r>
      <w:r>
        <w:rPr>
          <w:spacing w:val="-2"/>
          <w:sz w:val="13"/>
        </w:rPr>
        <w:t>relación</w:t>
      </w:r>
      <w:r>
        <w:rPr>
          <w:spacing w:val="40"/>
          <w:sz w:val="13"/>
        </w:rPr>
        <w:t xml:space="preserve"> </w:t>
      </w:r>
      <w:r>
        <w:rPr>
          <w:sz w:val="13"/>
        </w:rPr>
        <w:t>con</w:t>
      </w:r>
      <w:r>
        <w:rPr>
          <w:spacing w:val="-5"/>
          <w:sz w:val="13"/>
        </w:rPr>
        <w:t xml:space="preserve"> </w:t>
      </w:r>
      <w:r>
        <w:rPr>
          <w:sz w:val="13"/>
        </w:rPr>
        <w:t>esto,</w:t>
      </w:r>
      <w:r>
        <w:rPr>
          <w:spacing w:val="-5"/>
          <w:sz w:val="13"/>
        </w:rPr>
        <w:t xml:space="preserve"> </w:t>
      </w:r>
      <w:r>
        <w:rPr>
          <w:sz w:val="13"/>
        </w:rPr>
        <w:t>Comisión</w:t>
      </w:r>
      <w:r>
        <w:rPr>
          <w:spacing w:val="-5"/>
          <w:sz w:val="13"/>
        </w:rPr>
        <w:t xml:space="preserve"> </w:t>
      </w:r>
      <w:r>
        <w:rPr>
          <w:sz w:val="13"/>
        </w:rPr>
        <w:t>de</w:t>
      </w:r>
      <w:r>
        <w:rPr>
          <w:spacing w:val="-5"/>
          <w:sz w:val="13"/>
        </w:rPr>
        <w:t xml:space="preserve"> </w:t>
      </w:r>
      <w:r>
        <w:rPr>
          <w:sz w:val="13"/>
        </w:rPr>
        <w:t>Expertos</w:t>
      </w:r>
      <w:r>
        <w:rPr>
          <w:spacing w:val="-5"/>
          <w:sz w:val="13"/>
        </w:rPr>
        <w:t xml:space="preserve"> </w:t>
      </w:r>
      <w:r>
        <w:rPr>
          <w:sz w:val="13"/>
        </w:rPr>
        <w:t>en</w:t>
      </w:r>
      <w:r>
        <w:rPr>
          <w:spacing w:val="-5"/>
          <w:sz w:val="13"/>
        </w:rPr>
        <w:t xml:space="preserve"> </w:t>
      </w:r>
      <w:r>
        <w:rPr>
          <w:sz w:val="13"/>
        </w:rPr>
        <w:t>Aplicación</w:t>
      </w:r>
      <w:r>
        <w:rPr>
          <w:spacing w:val="-5"/>
          <w:sz w:val="13"/>
        </w:rPr>
        <w:t xml:space="preserve"> </w:t>
      </w:r>
      <w:r>
        <w:rPr>
          <w:sz w:val="13"/>
        </w:rPr>
        <w:t>de</w:t>
      </w:r>
      <w:r>
        <w:rPr>
          <w:spacing w:val="-5"/>
          <w:sz w:val="13"/>
        </w:rPr>
        <w:t xml:space="preserve"> </w:t>
      </w:r>
      <w:r>
        <w:rPr>
          <w:sz w:val="13"/>
        </w:rPr>
        <w:t>Convenios</w:t>
      </w:r>
      <w:r>
        <w:rPr>
          <w:spacing w:val="-5"/>
          <w:sz w:val="13"/>
        </w:rPr>
        <w:t xml:space="preserve"> </w:t>
      </w:r>
      <w:r>
        <w:rPr>
          <w:sz w:val="13"/>
        </w:rPr>
        <w:t>y</w:t>
      </w:r>
      <w:r>
        <w:rPr>
          <w:spacing w:val="-5"/>
          <w:sz w:val="13"/>
        </w:rPr>
        <w:t xml:space="preserve"> </w:t>
      </w:r>
      <w:r>
        <w:rPr>
          <w:sz w:val="13"/>
        </w:rPr>
        <w:t>Recomendaciones</w:t>
      </w:r>
      <w:r>
        <w:rPr>
          <w:spacing w:val="-5"/>
          <w:sz w:val="13"/>
        </w:rPr>
        <w:t xml:space="preserve"> </w:t>
      </w:r>
      <w:r>
        <w:rPr>
          <w:sz w:val="13"/>
        </w:rPr>
        <w:t>de</w:t>
      </w:r>
      <w:r>
        <w:rPr>
          <w:spacing w:val="-5"/>
          <w:sz w:val="13"/>
        </w:rPr>
        <w:t xml:space="preserve"> </w:t>
      </w:r>
      <w:r>
        <w:rPr>
          <w:sz w:val="13"/>
        </w:rPr>
        <w:t>la</w:t>
      </w:r>
      <w:r>
        <w:rPr>
          <w:spacing w:val="-5"/>
          <w:sz w:val="13"/>
        </w:rPr>
        <w:t xml:space="preserve"> </w:t>
      </w:r>
      <w:r>
        <w:rPr>
          <w:sz w:val="13"/>
        </w:rPr>
        <w:t>OIT,</w:t>
      </w:r>
      <w:r>
        <w:rPr>
          <w:spacing w:val="-5"/>
          <w:sz w:val="13"/>
        </w:rPr>
        <w:t xml:space="preserve"> </w:t>
      </w:r>
      <w:r>
        <w:rPr>
          <w:sz w:val="13"/>
        </w:rPr>
        <w:t>Observación</w:t>
      </w:r>
      <w:r>
        <w:rPr>
          <w:spacing w:val="-5"/>
          <w:sz w:val="13"/>
        </w:rPr>
        <w:t xml:space="preserve"> </w:t>
      </w:r>
      <w:r>
        <w:rPr>
          <w:sz w:val="13"/>
        </w:rPr>
        <w:t>general</w:t>
      </w:r>
      <w:r>
        <w:rPr>
          <w:spacing w:val="-5"/>
          <w:sz w:val="13"/>
        </w:rPr>
        <w:t xml:space="preserve"> </w:t>
      </w:r>
      <w:r>
        <w:rPr>
          <w:sz w:val="13"/>
        </w:rPr>
        <w:t>sobre</w:t>
      </w:r>
      <w:r>
        <w:rPr>
          <w:spacing w:val="-5"/>
          <w:sz w:val="13"/>
        </w:rPr>
        <w:t xml:space="preserve"> </w:t>
      </w:r>
      <w:r>
        <w:rPr>
          <w:sz w:val="13"/>
        </w:rPr>
        <w:t>la</w:t>
      </w:r>
      <w:r>
        <w:rPr>
          <w:spacing w:val="-5"/>
          <w:sz w:val="13"/>
        </w:rPr>
        <w:t xml:space="preserve"> </w:t>
      </w:r>
      <w:r>
        <w:rPr>
          <w:sz w:val="13"/>
        </w:rPr>
        <w:t>discriminación</w:t>
      </w:r>
      <w:r>
        <w:rPr>
          <w:spacing w:val="-5"/>
          <w:sz w:val="13"/>
        </w:rPr>
        <w:t xml:space="preserve"> </w:t>
      </w:r>
      <w:r>
        <w:rPr>
          <w:sz w:val="13"/>
        </w:rPr>
        <w:t>por</w:t>
      </w:r>
      <w:r>
        <w:rPr>
          <w:spacing w:val="-5"/>
          <w:sz w:val="13"/>
        </w:rPr>
        <w:t xml:space="preserve"> </w:t>
      </w:r>
      <w:r>
        <w:rPr>
          <w:sz w:val="13"/>
        </w:rPr>
        <w:t>motivos</w:t>
      </w:r>
      <w:r>
        <w:rPr>
          <w:spacing w:val="-5"/>
          <w:sz w:val="13"/>
        </w:rPr>
        <w:t xml:space="preserve"> </w:t>
      </w:r>
      <w:r>
        <w:rPr>
          <w:sz w:val="13"/>
        </w:rPr>
        <w:t>de</w:t>
      </w:r>
    </w:p>
    <w:p w14:paraId="61350B69" w14:textId="77777777" w:rsidR="0014798C" w:rsidRDefault="004E1F0B">
      <w:pPr>
        <w:spacing w:before="1" w:line="288" w:lineRule="auto"/>
        <w:ind w:left="81" w:right="1340" w:hanging="1"/>
        <w:rPr>
          <w:sz w:val="13"/>
        </w:rPr>
      </w:pPr>
      <w:r>
        <w:rPr>
          <w:sz w:val="13"/>
        </w:rPr>
        <w:t>raza,</w:t>
      </w:r>
      <w:r>
        <w:rPr>
          <w:spacing w:val="-5"/>
          <w:sz w:val="13"/>
        </w:rPr>
        <w:t xml:space="preserve"> </w:t>
      </w:r>
      <w:r>
        <w:rPr>
          <w:sz w:val="13"/>
        </w:rPr>
        <w:t>color</w:t>
      </w:r>
      <w:r>
        <w:rPr>
          <w:spacing w:val="-5"/>
          <w:sz w:val="13"/>
        </w:rPr>
        <w:t xml:space="preserve"> </w:t>
      </w:r>
      <w:r>
        <w:rPr>
          <w:sz w:val="13"/>
        </w:rPr>
        <w:t>y</w:t>
      </w:r>
      <w:r>
        <w:rPr>
          <w:spacing w:val="-5"/>
          <w:sz w:val="13"/>
        </w:rPr>
        <w:t xml:space="preserve"> </w:t>
      </w:r>
      <w:r>
        <w:rPr>
          <w:sz w:val="13"/>
        </w:rPr>
        <w:t>ascendencia</w:t>
      </w:r>
      <w:r>
        <w:rPr>
          <w:spacing w:val="-5"/>
          <w:sz w:val="13"/>
        </w:rPr>
        <w:t xml:space="preserve"> </w:t>
      </w:r>
      <w:r>
        <w:rPr>
          <w:sz w:val="13"/>
        </w:rPr>
        <w:t>nacional</w:t>
      </w:r>
      <w:r>
        <w:rPr>
          <w:spacing w:val="-5"/>
          <w:sz w:val="13"/>
        </w:rPr>
        <w:t xml:space="preserve"> </w:t>
      </w:r>
      <w:r>
        <w:rPr>
          <w:sz w:val="13"/>
        </w:rPr>
        <w:t>(2018),</w:t>
      </w:r>
      <w:r>
        <w:rPr>
          <w:spacing w:val="-4"/>
          <w:sz w:val="13"/>
        </w:rPr>
        <w:t xml:space="preserve"> </w:t>
      </w:r>
      <w:r>
        <w:rPr>
          <w:sz w:val="13"/>
        </w:rPr>
        <w:t>en</w:t>
      </w:r>
      <w:r>
        <w:rPr>
          <w:spacing w:val="-5"/>
          <w:sz w:val="13"/>
        </w:rPr>
        <w:t xml:space="preserve"> </w:t>
      </w:r>
      <w:r>
        <w:rPr>
          <w:sz w:val="13"/>
        </w:rPr>
        <w:t>la</w:t>
      </w:r>
      <w:r>
        <w:rPr>
          <w:spacing w:val="-5"/>
          <w:sz w:val="13"/>
        </w:rPr>
        <w:t xml:space="preserve"> </w:t>
      </w:r>
      <w:r>
        <w:rPr>
          <w:sz w:val="13"/>
        </w:rPr>
        <w:t>que</w:t>
      </w:r>
      <w:r>
        <w:rPr>
          <w:spacing w:val="-5"/>
          <w:sz w:val="13"/>
        </w:rPr>
        <w:t xml:space="preserve"> </w:t>
      </w:r>
      <w:r>
        <w:rPr>
          <w:sz w:val="13"/>
        </w:rPr>
        <w:t>el</w:t>
      </w:r>
      <w:r>
        <w:rPr>
          <w:spacing w:val="-5"/>
          <w:sz w:val="13"/>
        </w:rPr>
        <w:t xml:space="preserve"> </w:t>
      </w:r>
      <w:r>
        <w:rPr>
          <w:sz w:val="13"/>
        </w:rPr>
        <w:t>Comité</w:t>
      </w:r>
      <w:r>
        <w:rPr>
          <w:spacing w:val="-5"/>
          <w:sz w:val="13"/>
        </w:rPr>
        <w:t xml:space="preserve"> </w:t>
      </w:r>
      <w:r>
        <w:rPr>
          <w:sz w:val="13"/>
        </w:rPr>
        <w:t>pide</w:t>
      </w:r>
      <w:r>
        <w:rPr>
          <w:spacing w:val="-5"/>
          <w:sz w:val="13"/>
        </w:rPr>
        <w:t xml:space="preserve"> </w:t>
      </w:r>
      <w:r>
        <w:rPr>
          <w:sz w:val="13"/>
        </w:rPr>
        <w:t>la</w:t>
      </w:r>
      <w:r>
        <w:rPr>
          <w:spacing w:val="-5"/>
          <w:sz w:val="13"/>
        </w:rPr>
        <w:t xml:space="preserve"> </w:t>
      </w:r>
      <w:r>
        <w:rPr>
          <w:sz w:val="13"/>
        </w:rPr>
        <w:t>adopción</w:t>
      </w:r>
      <w:r>
        <w:rPr>
          <w:spacing w:val="-5"/>
          <w:sz w:val="13"/>
        </w:rPr>
        <w:t xml:space="preserve"> </w:t>
      </w:r>
      <w:r>
        <w:rPr>
          <w:sz w:val="13"/>
        </w:rPr>
        <w:t>de</w:t>
      </w:r>
      <w:r>
        <w:rPr>
          <w:spacing w:val="-5"/>
          <w:sz w:val="13"/>
        </w:rPr>
        <w:t xml:space="preserve"> </w:t>
      </w:r>
      <w:r>
        <w:rPr>
          <w:sz w:val="13"/>
        </w:rPr>
        <w:t>“legislación</w:t>
      </w:r>
      <w:r>
        <w:rPr>
          <w:spacing w:val="-5"/>
          <w:sz w:val="13"/>
        </w:rPr>
        <w:t xml:space="preserve"> </w:t>
      </w:r>
      <w:r>
        <w:rPr>
          <w:sz w:val="13"/>
        </w:rPr>
        <w:t>integral</w:t>
      </w:r>
      <w:r>
        <w:rPr>
          <w:spacing w:val="-5"/>
          <w:sz w:val="13"/>
        </w:rPr>
        <w:t xml:space="preserve"> </w:t>
      </w:r>
      <w:r>
        <w:rPr>
          <w:sz w:val="13"/>
        </w:rPr>
        <w:t>que</w:t>
      </w:r>
      <w:r>
        <w:rPr>
          <w:spacing w:val="-5"/>
          <w:sz w:val="13"/>
        </w:rPr>
        <w:t xml:space="preserve"> </w:t>
      </w:r>
      <w:r>
        <w:rPr>
          <w:sz w:val="13"/>
        </w:rPr>
        <w:t>contenga</w:t>
      </w:r>
      <w:r>
        <w:rPr>
          <w:spacing w:val="-5"/>
          <w:sz w:val="13"/>
        </w:rPr>
        <w:t xml:space="preserve"> </w:t>
      </w:r>
      <w:r>
        <w:rPr>
          <w:sz w:val="13"/>
        </w:rPr>
        <w:t>disposiciones</w:t>
      </w:r>
      <w:r>
        <w:rPr>
          <w:spacing w:val="-5"/>
          <w:sz w:val="13"/>
        </w:rPr>
        <w:t xml:space="preserve"> </w:t>
      </w:r>
      <w:r>
        <w:rPr>
          <w:sz w:val="13"/>
        </w:rPr>
        <w:t>explícitas</w:t>
      </w:r>
      <w:r>
        <w:rPr>
          <w:spacing w:val="-5"/>
          <w:sz w:val="13"/>
        </w:rPr>
        <w:t xml:space="preserve"> </w:t>
      </w:r>
      <w:r>
        <w:rPr>
          <w:sz w:val="13"/>
        </w:rPr>
        <w:t>que</w:t>
      </w:r>
      <w:r>
        <w:rPr>
          <w:spacing w:val="-5"/>
          <w:sz w:val="13"/>
        </w:rPr>
        <w:t xml:space="preserve"> </w:t>
      </w:r>
      <w:r>
        <w:rPr>
          <w:sz w:val="13"/>
        </w:rPr>
        <w:t>definan</w:t>
      </w:r>
      <w:r>
        <w:rPr>
          <w:spacing w:val="-5"/>
          <w:sz w:val="13"/>
        </w:rPr>
        <w:t xml:space="preserve"> </w:t>
      </w:r>
      <w:r>
        <w:rPr>
          <w:sz w:val="13"/>
        </w:rPr>
        <w:t>y</w:t>
      </w:r>
      <w:r>
        <w:rPr>
          <w:spacing w:val="40"/>
          <w:sz w:val="13"/>
        </w:rPr>
        <w:t xml:space="preserve"> </w:t>
      </w:r>
      <w:r>
        <w:rPr>
          <w:sz w:val="13"/>
        </w:rPr>
        <w:t>prohibir... la discriminación directa e indirecta”.</w:t>
      </w:r>
    </w:p>
    <w:p w14:paraId="4B03AB3D" w14:textId="77777777" w:rsidR="0014798C" w:rsidRDefault="0014798C">
      <w:pPr>
        <w:spacing w:line="288" w:lineRule="auto"/>
        <w:rPr>
          <w:sz w:val="13"/>
        </w:rPr>
        <w:sectPr w:rsidR="0014798C" w:rsidSect="00F265E4">
          <w:type w:val="continuous"/>
          <w:pgSz w:w="11900" w:h="16820"/>
          <w:pgMar w:top="40" w:right="0" w:bottom="280" w:left="200" w:header="121" w:footer="0" w:gutter="0"/>
          <w:cols w:num="2" w:space="720" w:equalWidth="0">
            <w:col w:w="1247" w:space="40"/>
            <w:col w:w="10413"/>
          </w:cols>
        </w:sectPr>
      </w:pPr>
    </w:p>
    <w:p w14:paraId="66CD29CF" w14:textId="77777777" w:rsidR="0014798C" w:rsidRDefault="004E1F0B">
      <w:pPr>
        <w:spacing w:before="77"/>
        <w:ind w:left="1105"/>
        <w:rPr>
          <w:sz w:val="12"/>
        </w:rPr>
      </w:pPr>
      <w:r>
        <w:rPr>
          <w:w w:val="105"/>
          <w:sz w:val="12"/>
        </w:rPr>
        <w:t>225</w:t>
      </w:r>
      <w:r>
        <w:rPr>
          <w:spacing w:val="-7"/>
          <w:w w:val="105"/>
          <w:sz w:val="12"/>
        </w:rPr>
        <w:t xml:space="preserve"> </w:t>
      </w:r>
      <w:r>
        <w:rPr>
          <w:w w:val="105"/>
          <w:sz w:val="12"/>
        </w:rPr>
        <w:t>Comité</w:t>
      </w:r>
      <w:r>
        <w:rPr>
          <w:spacing w:val="-5"/>
          <w:w w:val="105"/>
          <w:sz w:val="12"/>
        </w:rPr>
        <w:t xml:space="preserve"> </w:t>
      </w:r>
      <w:r>
        <w:rPr>
          <w:w w:val="105"/>
          <w:sz w:val="12"/>
        </w:rPr>
        <w:t>de</w:t>
      </w:r>
      <w:r>
        <w:rPr>
          <w:spacing w:val="-4"/>
          <w:w w:val="105"/>
          <w:sz w:val="12"/>
        </w:rPr>
        <w:t xml:space="preserve"> </w:t>
      </w:r>
      <w:r>
        <w:rPr>
          <w:w w:val="105"/>
          <w:sz w:val="12"/>
        </w:rPr>
        <w:t>Derechos</w:t>
      </w:r>
      <w:r>
        <w:rPr>
          <w:spacing w:val="-5"/>
          <w:w w:val="105"/>
          <w:sz w:val="12"/>
        </w:rPr>
        <w:t xml:space="preserve"> </w:t>
      </w:r>
      <w:r>
        <w:rPr>
          <w:w w:val="105"/>
          <w:sz w:val="12"/>
        </w:rPr>
        <w:t>Económicos,</w:t>
      </w:r>
      <w:r>
        <w:rPr>
          <w:spacing w:val="-3"/>
          <w:w w:val="105"/>
          <w:sz w:val="12"/>
        </w:rPr>
        <w:t xml:space="preserve"> </w:t>
      </w:r>
      <w:r>
        <w:rPr>
          <w:w w:val="105"/>
          <w:sz w:val="12"/>
        </w:rPr>
        <w:t>Sociales</w:t>
      </w:r>
      <w:r>
        <w:rPr>
          <w:spacing w:val="-5"/>
          <w:w w:val="105"/>
          <w:sz w:val="12"/>
        </w:rPr>
        <w:t xml:space="preserve"> </w:t>
      </w:r>
      <w:r>
        <w:rPr>
          <w:w w:val="105"/>
          <w:sz w:val="12"/>
        </w:rPr>
        <w:t>y</w:t>
      </w:r>
      <w:r>
        <w:rPr>
          <w:spacing w:val="-5"/>
          <w:w w:val="105"/>
          <w:sz w:val="12"/>
        </w:rPr>
        <w:t xml:space="preserve"> </w:t>
      </w:r>
      <w:r>
        <w:rPr>
          <w:w w:val="105"/>
          <w:sz w:val="12"/>
        </w:rPr>
        <w:t>Culturales,</w:t>
      </w:r>
      <w:r>
        <w:rPr>
          <w:spacing w:val="-3"/>
          <w:w w:val="105"/>
          <w:sz w:val="12"/>
        </w:rPr>
        <w:t xml:space="preserve"> </w:t>
      </w:r>
      <w:r>
        <w:rPr>
          <w:w w:val="105"/>
          <w:sz w:val="12"/>
        </w:rPr>
        <w:t>observación</w:t>
      </w:r>
      <w:r>
        <w:rPr>
          <w:spacing w:val="-5"/>
          <w:w w:val="105"/>
          <w:sz w:val="12"/>
        </w:rPr>
        <w:t xml:space="preserve"> </w:t>
      </w:r>
      <w:r>
        <w:rPr>
          <w:w w:val="105"/>
          <w:sz w:val="12"/>
        </w:rPr>
        <w:t>general</w:t>
      </w:r>
      <w:r>
        <w:rPr>
          <w:spacing w:val="-4"/>
          <w:w w:val="105"/>
          <w:sz w:val="12"/>
        </w:rPr>
        <w:t xml:space="preserve"> </w:t>
      </w:r>
      <w:r>
        <w:rPr>
          <w:w w:val="105"/>
          <w:sz w:val="12"/>
        </w:rPr>
        <w:t>núm.</w:t>
      </w:r>
      <w:r>
        <w:rPr>
          <w:spacing w:val="-5"/>
          <w:w w:val="105"/>
          <w:sz w:val="12"/>
        </w:rPr>
        <w:t xml:space="preserve"> </w:t>
      </w:r>
      <w:r>
        <w:rPr>
          <w:w w:val="105"/>
          <w:sz w:val="12"/>
        </w:rPr>
        <w:t>20</w:t>
      </w:r>
      <w:r>
        <w:rPr>
          <w:spacing w:val="-5"/>
          <w:w w:val="105"/>
          <w:sz w:val="12"/>
        </w:rPr>
        <w:t xml:space="preserve"> </w:t>
      </w:r>
      <w:r>
        <w:rPr>
          <w:w w:val="105"/>
          <w:sz w:val="12"/>
        </w:rPr>
        <w:t>(2009),</w:t>
      </w:r>
      <w:r>
        <w:rPr>
          <w:spacing w:val="-3"/>
          <w:w w:val="105"/>
          <w:sz w:val="12"/>
        </w:rPr>
        <w:t xml:space="preserve"> </w:t>
      </w:r>
      <w:r>
        <w:rPr>
          <w:w w:val="105"/>
          <w:sz w:val="12"/>
        </w:rPr>
        <w:t>párr.</w:t>
      </w:r>
      <w:r>
        <w:rPr>
          <w:spacing w:val="-5"/>
          <w:w w:val="105"/>
          <w:sz w:val="12"/>
        </w:rPr>
        <w:t xml:space="preserve"> </w:t>
      </w:r>
      <w:r>
        <w:rPr>
          <w:w w:val="105"/>
          <w:sz w:val="12"/>
        </w:rPr>
        <w:t>10</w:t>
      </w:r>
      <w:r>
        <w:rPr>
          <w:spacing w:val="-4"/>
          <w:w w:val="105"/>
          <w:sz w:val="12"/>
        </w:rPr>
        <w:t xml:space="preserve"> </w:t>
      </w:r>
      <w:r>
        <w:rPr>
          <w:spacing w:val="-5"/>
          <w:w w:val="105"/>
          <w:sz w:val="12"/>
        </w:rPr>
        <w:t>a).</w:t>
      </w:r>
    </w:p>
    <w:p w14:paraId="67C9E48E" w14:textId="77777777" w:rsidR="0014798C" w:rsidRDefault="004E1F0B">
      <w:pPr>
        <w:spacing w:before="99"/>
        <w:ind w:left="1105"/>
        <w:rPr>
          <w:sz w:val="12"/>
        </w:rPr>
      </w:pPr>
      <w:r>
        <w:rPr>
          <w:w w:val="105"/>
          <w:sz w:val="12"/>
        </w:rPr>
        <w:t>226</w:t>
      </w:r>
      <w:r>
        <w:rPr>
          <w:spacing w:val="-5"/>
          <w:w w:val="105"/>
          <w:sz w:val="12"/>
        </w:rPr>
        <w:t xml:space="preserve"> </w:t>
      </w:r>
      <w:r>
        <w:rPr>
          <w:w w:val="105"/>
          <w:sz w:val="12"/>
        </w:rPr>
        <w:t>Comité</w:t>
      </w:r>
      <w:r>
        <w:rPr>
          <w:spacing w:val="-4"/>
          <w:w w:val="105"/>
          <w:sz w:val="12"/>
        </w:rPr>
        <w:t xml:space="preserve"> </w:t>
      </w:r>
      <w:r>
        <w:rPr>
          <w:w w:val="105"/>
          <w:sz w:val="12"/>
        </w:rPr>
        <w:t>sobre</w:t>
      </w:r>
      <w:r>
        <w:rPr>
          <w:spacing w:val="-4"/>
          <w:w w:val="105"/>
          <w:sz w:val="12"/>
        </w:rPr>
        <w:t xml:space="preserve"> </w:t>
      </w:r>
      <w:r>
        <w:rPr>
          <w:w w:val="105"/>
          <w:sz w:val="12"/>
        </w:rPr>
        <w:t>los</w:t>
      </w:r>
      <w:r>
        <w:rPr>
          <w:spacing w:val="-4"/>
          <w:w w:val="105"/>
          <w:sz w:val="12"/>
        </w:rPr>
        <w:t xml:space="preserve"> </w:t>
      </w:r>
      <w:r>
        <w:rPr>
          <w:w w:val="105"/>
          <w:sz w:val="12"/>
        </w:rPr>
        <w:t>Derechos</w:t>
      </w:r>
      <w:r>
        <w:rPr>
          <w:spacing w:val="-4"/>
          <w:w w:val="105"/>
          <w:sz w:val="12"/>
        </w:rPr>
        <w:t xml:space="preserve"> </w:t>
      </w:r>
      <w:r>
        <w:rPr>
          <w:w w:val="105"/>
          <w:sz w:val="12"/>
        </w:rPr>
        <w:t>de</w:t>
      </w:r>
      <w:r>
        <w:rPr>
          <w:spacing w:val="-4"/>
          <w:w w:val="105"/>
          <w:sz w:val="12"/>
        </w:rPr>
        <w:t xml:space="preserve"> </w:t>
      </w:r>
      <w:r>
        <w:rPr>
          <w:w w:val="105"/>
          <w:sz w:val="12"/>
        </w:rPr>
        <w:t>las</w:t>
      </w:r>
      <w:r>
        <w:rPr>
          <w:spacing w:val="-4"/>
          <w:w w:val="105"/>
          <w:sz w:val="12"/>
        </w:rPr>
        <w:t xml:space="preserve"> </w:t>
      </w:r>
      <w:r>
        <w:rPr>
          <w:w w:val="105"/>
          <w:sz w:val="12"/>
        </w:rPr>
        <w:t>Personas</w:t>
      </w:r>
      <w:r>
        <w:rPr>
          <w:spacing w:val="-4"/>
          <w:w w:val="105"/>
          <w:sz w:val="12"/>
        </w:rPr>
        <w:t xml:space="preserve"> </w:t>
      </w:r>
      <w:r>
        <w:rPr>
          <w:w w:val="105"/>
          <w:sz w:val="12"/>
        </w:rPr>
        <w:t>con</w:t>
      </w:r>
      <w:r>
        <w:rPr>
          <w:spacing w:val="-4"/>
          <w:w w:val="105"/>
          <w:sz w:val="12"/>
        </w:rPr>
        <w:t xml:space="preserve"> </w:t>
      </w:r>
      <w:r>
        <w:rPr>
          <w:w w:val="105"/>
          <w:sz w:val="12"/>
        </w:rPr>
        <w:t>Discapacidad,</w:t>
      </w:r>
      <w:r>
        <w:rPr>
          <w:spacing w:val="-4"/>
          <w:w w:val="105"/>
          <w:sz w:val="12"/>
        </w:rPr>
        <w:t xml:space="preserve"> </w:t>
      </w:r>
      <w:r>
        <w:rPr>
          <w:w w:val="105"/>
          <w:sz w:val="12"/>
        </w:rPr>
        <w:t>observación</w:t>
      </w:r>
      <w:r>
        <w:rPr>
          <w:spacing w:val="-4"/>
          <w:w w:val="105"/>
          <w:sz w:val="12"/>
        </w:rPr>
        <w:t xml:space="preserve"> </w:t>
      </w:r>
      <w:r>
        <w:rPr>
          <w:w w:val="105"/>
          <w:sz w:val="12"/>
        </w:rPr>
        <w:t>general</w:t>
      </w:r>
      <w:r>
        <w:rPr>
          <w:spacing w:val="-4"/>
          <w:w w:val="105"/>
          <w:sz w:val="12"/>
        </w:rPr>
        <w:t xml:space="preserve"> </w:t>
      </w:r>
      <w:r>
        <w:rPr>
          <w:w w:val="105"/>
          <w:sz w:val="12"/>
        </w:rPr>
        <w:t>núm.</w:t>
      </w:r>
      <w:r>
        <w:rPr>
          <w:spacing w:val="-4"/>
          <w:w w:val="105"/>
          <w:sz w:val="12"/>
        </w:rPr>
        <w:t xml:space="preserve"> </w:t>
      </w:r>
      <w:r>
        <w:rPr>
          <w:w w:val="105"/>
          <w:sz w:val="12"/>
        </w:rPr>
        <w:t>6</w:t>
      </w:r>
      <w:r>
        <w:rPr>
          <w:spacing w:val="-4"/>
          <w:w w:val="105"/>
          <w:sz w:val="12"/>
        </w:rPr>
        <w:t xml:space="preserve"> </w:t>
      </w:r>
      <w:r>
        <w:rPr>
          <w:w w:val="105"/>
          <w:sz w:val="12"/>
        </w:rPr>
        <w:t>(2018),</w:t>
      </w:r>
      <w:r>
        <w:rPr>
          <w:spacing w:val="-3"/>
          <w:w w:val="105"/>
          <w:sz w:val="12"/>
        </w:rPr>
        <w:t xml:space="preserve"> </w:t>
      </w:r>
      <w:r>
        <w:rPr>
          <w:w w:val="105"/>
          <w:sz w:val="12"/>
        </w:rPr>
        <w:t>párr.</w:t>
      </w:r>
      <w:r>
        <w:rPr>
          <w:spacing w:val="-4"/>
          <w:w w:val="105"/>
          <w:sz w:val="12"/>
        </w:rPr>
        <w:t xml:space="preserve"> </w:t>
      </w:r>
      <w:r>
        <w:rPr>
          <w:spacing w:val="-5"/>
          <w:w w:val="105"/>
          <w:sz w:val="12"/>
        </w:rPr>
        <w:t>18.</w:t>
      </w:r>
    </w:p>
    <w:p w14:paraId="47520D2D" w14:textId="77777777" w:rsidR="0014798C" w:rsidRDefault="004E1F0B">
      <w:pPr>
        <w:spacing w:before="98"/>
        <w:ind w:left="1105"/>
        <w:rPr>
          <w:sz w:val="12"/>
        </w:rPr>
      </w:pPr>
      <w:r>
        <w:rPr>
          <w:w w:val="105"/>
          <w:sz w:val="12"/>
        </w:rPr>
        <w:t>227</w:t>
      </w:r>
      <w:r>
        <w:rPr>
          <w:spacing w:val="-6"/>
          <w:w w:val="105"/>
          <w:sz w:val="12"/>
        </w:rPr>
        <w:t xml:space="preserve"> </w:t>
      </w:r>
      <w:r>
        <w:rPr>
          <w:w w:val="105"/>
          <w:sz w:val="12"/>
        </w:rPr>
        <w:t>Comité</w:t>
      </w:r>
      <w:r>
        <w:rPr>
          <w:spacing w:val="-5"/>
          <w:w w:val="105"/>
          <w:sz w:val="12"/>
        </w:rPr>
        <w:t xml:space="preserve"> </w:t>
      </w:r>
      <w:r>
        <w:rPr>
          <w:w w:val="105"/>
          <w:sz w:val="12"/>
        </w:rPr>
        <w:t>para</w:t>
      </w:r>
      <w:r>
        <w:rPr>
          <w:spacing w:val="-5"/>
          <w:w w:val="105"/>
          <w:sz w:val="12"/>
        </w:rPr>
        <w:t xml:space="preserve"> </w:t>
      </w:r>
      <w:r>
        <w:rPr>
          <w:w w:val="105"/>
          <w:sz w:val="12"/>
        </w:rPr>
        <w:t>la</w:t>
      </w:r>
      <w:r>
        <w:rPr>
          <w:spacing w:val="-6"/>
          <w:w w:val="105"/>
          <w:sz w:val="12"/>
        </w:rPr>
        <w:t xml:space="preserve"> </w:t>
      </w:r>
      <w:r>
        <w:rPr>
          <w:w w:val="105"/>
          <w:sz w:val="12"/>
        </w:rPr>
        <w:t>Eliminación</w:t>
      </w:r>
      <w:r>
        <w:rPr>
          <w:spacing w:val="-5"/>
          <w:w w:val="105"/>
          <w:sz w:val="12"/>
        </w:rPr>
        <w:t xml:space="preserve"> </w:t>
      </w:r>
      <w:r>
        <w:rPr>
          <w:w w:val="105"/>
          <w:sz w:val="12"/>
        </w:rPr>
        <w:t>de</w:t>
      </w:r>
      <w:r>
        <w:rPr>
          <w:spacing w:val="-5"/>
          <w:w w:val="105"/>
          <w:sz w:val="12"/>
        </w:rPr>
        <w:t xml:space="preserve"> </w:t>
      </w:r>
      <w:r>
        <w:rPr>
          <w:w w:val="105"/>
          <w:sz w:val="12"/>
        </w:rPr>
        <w:t>la</w:t>
      </w:r>
      <w:r>
        <w:rPr>
          <w:spacing w:val="-6"/>
          <w:w w:val="105"/>
          <w:sz w:val="12"/>
        </w:rPr>
        <w:t xml:space="preserve"> </w:t>
      </w:r>
      <w:r>
        <w:rPr>
          <w:w w:val="105"/>
          <w:sz w:val="12"/>
        </w:rPr>
        <w:t>Discriminación</w:t>
      </w:r>
      <w:r>
        <w:rPr>
          <w:spacing w:val="-5"/>
          <w:w w:val="105"/>
          <w:sz w:val="12"/>
        </w:rPr>
        <w:t xml:space="preserve"> </w:t>
      </w:r>
      <w:r>
        <w:rPr>
          <w:w w:val="105"/>
          <w:sz w:val="12"/>
        </w:rPr>
        <w:t>contra</w:t>
      </w:r>
      <w:r>
        <w:rPr>
          <w:spacing w:val="-5"/>
          <w:w w:val="105"/>
          <w:sz w:val="12"/>
        </w:rPr>
        <w:t xml:space="preserve"> </w:t>
      </w:r>
      <w:r>
        <w:rPr>
          <w:w w:val="105"/>
          <w:sz w:val="12"/>
        </w:rPr>
        <w:t>la</w:t>
      </w:r>
      <w:r>
        <w:rPr>
          <w:spacing w:val="-6"/>
          <w:w w:val="105"/>
          <w:sz w:val="12"/>
        </w:rPr>
        <w:t xml:space="preserve"> </w:t>
      </w:r>
      <w:r>
        <w:rPr>
          <w:w w:val="105"/>
          <w:sz w:val="12"/>
        </w:rPr>
        <w:t>Mujer,</w:t>
      </w:r>
      <w:r>
        <w:rPr>
          <w:spacing w:val="-5"/>
          <w:w w:val="105"/>
          <w:sz w:val="12"/>
        </w:rPr>
        <w:t xml:space="preserve"> </w:t>
      </w:r>
      <w:r>
        <w:rPr>
          <w:w w:val="105"/>
          <w:sz w:val="12"/>
        </w:rPr>
        <w:t>recomendación</w:t>
      </w:r>
      <w:r>
        <w:rPr>
          <w:spacing w:val="-5"/>
          <w:w w:val="105"/>
          <w:sz w:val="12"/>
        </w:rPr>
        <w:t xml:space="preserve"> </w:t>
      </w:r>
      <w:r>
        <w:rPr>
          <w:w w:val="105"/>
          <w:sz w:val="12"/>
        </w:rPr>
        <w:t>general</w:t>
      </w:r>
      <w:r>
        <w:rPr>
          <w:spacing w:val="-5"/>
          <w:w w:val="105"/>
          <w:sz w:val="12"/>
        </w:rPr>
        <w:t xml:space="preserve"> </w:t>
      </w:r>
      <w:r>
        <w:rPr>
          <w:w w:val="105"/>
          <w:sz w:val="12"/>
        </w:rPr>
        <w:t>núm.</w:t>
      </w:r>
      <w:r>
        <w:rPr>
          <w:spacing w:val="-6"/>
          <w:w w:val="105"/>
          <w:sz w:val="12"/>
        </w:rPr>
        <w:t xml:space="preserve"> </w:t>
      </w:r>
      <w:r>
        <w:rPr>
          <w:w w:val="105"/>
          <w:sz w:val="12"/>
        </w:rPr>
        <w:t>28</w:t>
      </w:r>
      <w:r>
        <w:rPr>
          <w:spacing w:val="-5"/>
          <w:w w:val="105"/>
          <w:sz w:val="12"/>
        </w:rPr>
        <w:t xml:space="preserve"> </w:t>
      </w:r>
      <w:r>
        <w:rPr>
          <w:w w:val="105"/>
          <w:sz w:val="12"/>
        </w:rPr>
        <w:t>(2010),</w:t>
      </w:r>
      <w:r>
        <w:rPr>
          <w:spacing w:val="-5"/>
          <w:w w:val="105"/>
          <w:sz w:val="12"/>
        </w:rPr>
        <w:t xml:space="preserve"> </w:t>
      </w:r>
      <w:r>
        <w:rPr>
          <w:w w:val="105"/>
          <w:sz w:val="12"/>
        </w:rPr>
        <w:t>párr.</w:t>
      </w:r>
      <w:r>
        <w:rPr>
          <w:spacing w:val="-5"/>
          <w:w w:val="105"/>
          <w:sz w:val="12"/>
        </w:rPr>
        <w:t xml:space="preserve"> </w:t>
      </w:r>
      <w:r>
        <w:rPr>
          <w:spacing w:val="-2"/>
          <w:w w:val="105"/>
          <w:sz w:val="12"/>
        </w:rPr>
        <w:t>dieciséis.</w:t>
      </w:r>
    </w:p>
    <w:p w14:paraId="31D05F46" w14:textId="77777777" w:rsidR="0014798C" w:rsidRDefault="004E1F0B">
      <w:pPr>
        <w:spacing w:before="99" w:line="312" w:lineRule="auto"/>
        <w:ind w:left="1367" w:right="1725" w:hanging="262"/>
        <w:rPr>
          <w:sz w:val="12"/>
        </w:rPr>
      </w:pPr>
      <w:r>
        <w:rPr>
          <w:w w:val="105"/>
          <w:sz w:val="12"/>
        </w:rPr>
        <w:t>228</w:t>
      </w:r>
      <w:r>
        <w:rPr>
          <w:spacing w:val="-2"/>
          <w:w w:val="105"/>
          <w:sz w:val="12"/>
        </w:rPr>
        <w:t xml:space="preserve"> </w:t>
      </w:r>
      <w:r>
        <w:rPr>
          <w:w w:val="105"/>
          <w:sz w:val="12"/>
        </w:rPr>
        <w:t>Aunque</w:t>
      </w:r>
      <w:r>
        <w:rPr>
          <w:spacing w:val="-2"/>
          <w:w w:val="105"/>
          <w:sz w:val="12"/>
        </w:rPr>
        <w:t xml:space="preserve"> </w:t>
      </w:r>
      <w:r>
        <w:rPr>
          <w:w w:val="105"/>
          <w:sz w:val="12"/>
        </w:rPr>
        <w:t>el</w:t>
      </w:r>
      <w:r>
        <w:rPr>
          <w:spacing w:val="-2"/>
          <w:w w:val="105"/>
          <w:sz w:val="12"/>
        </w:rPr>
        <w:t xml:space="preserve"> </w:t>
      </w:r>
      <w:r>
        <w:rPr>
          <w:w w:val="105"/>
          <w:sz w:val="12"/>
        </w:rPr>
        <w:t>Comité</w:t>
      </w:r>
      <w:r>
        <w:rPr>
          <w:spacing w:val="-2"/>
          <w:w w:val="105"/>
          <w:sz w:val="12"/>
        </w:rPr>
        <w:t xml:space="preserve"> </w:t>
      </w:r>
      <w:r>
        <w:rPr>
          <w:w w:val="105"/>
          <w:sz w:val="12"/>
        </w:rPr>
        <w:t>para</w:t>
      </w:r>
      <w:r>
        <w:rPr>
          <w:spacing w:val="-2"/>
          <w:w w:val="105"/>
          <w:sz w:val="12"/>
        </w:rPr>
        <w:t xml:space="preserve"> </w:t>
      </w:r>
      <w:r>
        <w:rPr>
          <w:w w:val="105"/>
          <w:sz w:val="12"/>
        </w:rPr>
        <w:t>la</w:t>
      </w:r>
      <w:r>
        <w:rPr>
          <w:spacing w:val="-2"/>
          <w:w w:val="105"/>
          <w:sz w:val="12"/>
        </w:rPr>
        <w:t xml:space="preserve"> </w:t>
      </w:r>
      <w:r>
        <w:rPr>
          <w:w w:val="105"/>
          <w:sz w:val="12"/>
        </w:rPr>
        <w:t>Eliminación</w:t>
      </w:r>
      <w:r>
        <w:rPr>
          <w:spacing w:val="-2"/>
          <w:w w:val="105"/>
          <w:sz w:val="12"/>
        </w:rPr>
        <w:t xml:space="preserve"> </w:t>
      </w:r>
      <w:r>
        <w:rPr>
          <w:w w:val="105"/>
          <w:sz w:val="12"/>
        </w:rPr>
        <w:t>de</w:t>
      </w:r>
      <w:r>
        <w:rPr>
          <w:spacing w:val="-2"/>
          <w:w w:val="105"/>
          <w:sz w:val="12"/>
        </w:rPr>
        <w:t xml:space="preserve"> </w:t>
      </w:r>
      <w:r>
        <w:rPr>
          <w:w w:val="105"/>
          <w:sz w:val="12"/>
        </w:rPr>
        <w:t>la</w:t>
      </w:r>
      <w:r>
        <w:rPr>
          <w:spacing w:val="-2"/>
          <w:w w:val="105"/>
          <w:sz w:val="12"/>
        </w:rPr>
        <w:t xml:space="preserve"> </w:t>
      </w:r>
      <w:r>
        <w:rPr>
          <w:w w:val="105"/>
          <w:sz w:val="12"/>
        </w:rPr>
        <w:t>Discriminación</w:t>
      </w:r>
      <w:r>
        <w:rPr>
          <w:spacing w:val="-2"/>
          <w:w w:val="105"/>
          <w:sz w:val="12"/>
        </w:rPr>
        <w:t xml:space="preserve"> </w:t>
      </w:r>
      <w:r>
        <w:rPr>
          <w:w w:val="105"/>
          <w:sz w:val="12"/>
        </w:rPr>
        <w:t>Racial</w:t>
      </w:r>
      <w:r>
        <w:rPr>
          <w:spacing w:val="-2"/>
          <w:w w:val="105"/>
          <w:sz w:val="12"/>
        </w:rPr>
        <w:t xml:space="preserve"> </w:t>
      </w:r>
      <w:r>
        <w:rPr>
          <w:w w:val="105"/>
          <w:sz w:val="12"/>
        </w:rPr>
        <w:t>hace</w:t>
      </w:r>
      <w:r>
        <w:rPr>
          <w:spacing w:val="-2"/>
          <w:w w:val="105"/>
          <w:sz w:val="12"/>
        </w:rPr>
        <w:t xml:space="preserve"> </w:t>
      </w:r>
      <w:r>
        <w:rPr>
          <w:w w:val="105"/>
          <w:sz w:val="12"/>
        </w:rPr>
        <w:t>referencia</w:t>
      </w:r>
      <w:r>
        <w:rPr>
          <w:spacing w:val="-2"/>
          <w:w w:val="105"/>
          <w:sz w:val="12"/>
        </w:rPr>
        <w:t xml:space="preserve"> </w:t>
      </w:r>
      <w:r>
        <w:rPr>
          <w:w w:val="105"/>
          <w:sz w:val="12"/>
        </w:rPr>
        <w:t>explícita</w:t>
      </w:r>
      <w:r>
        <w:rPr>
          <w:spacing w:val="-2"/>
          <w:w w:val="105"/>
          <w:sz w:val="12"/>
        </w:rPr>
        <w:t xml:space="preserve"> </w:t>
      </w:r>
      <w:r>
        <w:rPr>
          <w:w w:val="105"/>
          <w:sz w:val="12"/>
        </w:rPr>
        <w:t>a</w:t>
      </w:r>
      <w:r>
        <w:rPr>
          <w:spacing w:val="-2"/>
          <w:w w:val="105"/>
          <w:sz w:val="12"/>
        </w:rPr>
        <w:t xml:space="preserve"> </w:t>
      </w:r>
      <w:r>
        <w:rPr>
          <w:w w:val="105"/>
          <w:sz w:val="12"/>
        </w:rPr>
        <w:t>la</w:t>
      </w:r>
      <w:r>
        <w:rPr>
          <w:spacing w:val="-2"/>
          <w:w w:val="105"/>
          <w:sz w:val="12"/>
        </w:rPr>
        <w:t xml:space="preserve"> </w:t>
      </w:r>
      <w:r>
        <w:rPr>
          <w:w w:val="105"/>
          <w:sz w:val="12"/>
        </w:rPr>
        <w:t>“discriminación</w:t>
      </w:r>
      <w:r>
        <w:rPr>
          <w:spacing w:val="-2"/>
          <w:w w:val="105"/>
          <w:sz w:val="12"/>
        </w:rPr>
        <w:t xml:space="preserve"> </w:t>
      </w:r>
      <w:r>
        <w:rPr>
          <w:w w:val="105"/>
          <w:sz w:val="12"/>
        </w:rPr>
        <w:t>directa</w:t>
      </w:r>
      <w:r>
        <w:rPr>
          <w:spacing w:val="-2"/>
          <w:w w:val="105"/>
          <w:sz w:val="12"/>
        </w:rPr>
        <w:t xml:space="preserve"> </w:t>
      </w:r>
      <w:r>
        <w:rPr>
          <w:w w:val="105"/>
          <w:sz w:val="12"/>
        </w:rPr>
        <w:t>e</w:t>
      </w:r>
      <w:r>
        <w:rPr>
          <w:spacing w:val="-2"/>
          <w:w w:val="105"/>
          <w:sz w:val="12"/>
        </w:rPr>
        <w:t xml:space="preserve"> </w:t>
      </w:r>
      <w:r>
        <w:rPr>
          <w:w w:val="105"/>
          <w:sz w:val="12"/>
        </w:rPr>
        <w:t>indirecta”</w:t>
      </w:r>
      <w:r>
        <w:rPr>
          <w:spacing w:val="-2"/>
          <w:w w:val="105"/>
          <w:sz w:val="12"/>
        </w:rPr>
        <w:t xml:space="preserve"> </w:t>
      </w:r>
      <w:r>
        <w:rPr>
          <w:w w:val="105"/>
          <w:sz w:val="12"/>
        </w:rPr>
        <w:t>como</w:t>
      </w:r>
      <w:r>
        <w:rPr>
          <w:spacing w:val="-2"/>
          <w:w w:val="105"/>
          <w:sz w:val="12"/>
        </w:rPr>
        <w:t xml:space="preserve"> </w:t>
      </w:r>
      <w:r>
        <w:rPr>
          <w:w w:val="105"/>
          <w:sz w:val="12"/>
        </w:rPr>
        <w:t>un</w:t>
      </w:r>
      <w:r>
        <w:rPr>
          <w:spacing w:val="-2"/>
          <w:w w:val="105"/>
          <w:sz w:val="12"/>
        </w:rPr>
        <w:t xml:space="preserve"> </w:t>
      </w:r>
      <w:r>
        <w:rPr>
          <w:w w:val="105"/>
          <w:sz w:val="12"/>
        </w:rPr>
        <w:t>título</w:t>
      </w:r>
      <w:r>
        <w:rPr>
          <w:spacing w:val="-2"/>
          <w:w w:val="105"/>
          <w:sz w:val="12"/>
        </w:rPr>
        <w:t xml:space="preserve"> </w:t>
      </w:r>
      <w:r>
        <w:rPr>
          <w:w w:val="105"/>
          <w:sz w:val="12"/>
        </w:rPr>
        <w:t>(es</w:t>
      </w:r>
      <w:r>
        <w:rPr>
          <w:spacing w:val="-2"/>
          <w:w w:val="105"/>
          <w:sz w:val="12"/>
        </w:rPr>
        <w:t xml:space="preserve"> </w:t>
      </w:r>
      <w:r>
        <w:rPr>
          <w:w w:val="105"/>
          <w:sz w:val="12"/>
        </w:rPr>
        <w:t>decir,</w:t>
      </w:r>
      <w:r>
        <w:rPr>
          <w:spacing w:val="40"/>
          <w:w w:val="105"/>
          <w:sz w:val="12"/>
        </w:rPr>
        <w:t xml:space="preserve"> </w:t>
      </w:r>
      <w:r>
        <w:rPr>
          <w:w w:val="105"/>
          <w:sz w:val="12"/>
        </w:rPr>
        <w:t>B) en su recomendación general núm. 32 (2009).</w:t>
      </w:r>
    </w:p>
    <w:p w14:paraId="21E3D7CC" w14:textId="77777777" w:rsidR="0014798C" w:rsidRDefault="004E1F0B">
      <w:pPr>
        <w:spacing w:before="37" w:line="288" w:lineRule="auto"/>
        <w:ind w:left="1367" w:right="1272" w:hanging="263"/>
        <w:rPr>
          <w:sz w:val="13"/>
        </w:rPr>
      </w:pPr>
      <w:r>
        <w:rPr>
          <w:sz w:val="13"/>
        </w:rPr>
        <w:t>229</w:t>
      </w:r>
      <w:r>
        <w:rPr>
          <w:spacing w:val="-10"/>
          <w:sz w:val="13"/>
        </w:rPr>
        <w:t xml:space="preserve"> </w:t>
      </w:r>
      <w:r>
        <w:rPr>
          <w:sz w:val="13"/>
        </w:rPr>
        <w:t>Comité</w:t>
      </w:r>
      <w:r>
        <w:rPr>
          <w:spacing w:val="-9"/>
          <w:sz w:val="13"/>
        </w:rPr>
        <w:t xml:space="preserve"> </w:t>
      </w:r>
      <w:r>
        <w:rPr>
          <w:sz w:val="13"/>
        </w:rPr>
        <w:t>de</w:t>
      </w:r>
      <w:r>
        <w:rPr>
          <w:spacing w:val="-9"/>
          <w:sz w:val="13"/>
        </w:rPr>
        <w:t xml:space="preserve"> </w:t>
      </w:r>
      <w:r>
        <w:rPr>
          <w:sz w:val="13"/>
        </w:rPr>
        <w:t>Derechos</w:t>
      </w:r>
      <w:r>
        <w:rPr>
          <w:spacing w:val="-9"/>
          <w:sz w:val="13"/>
        </w:rPr>
        <w:t xml:space="preserve"> </w:t>
      </w:r>
      <w:r>
        <w:rPr>
          <w:sz w:val="13"/>
        </w:rPr>
        <w:t>Humanos,</w:t>
      </w:r>
      <w:r>
        <w:rPr>
          <w:spacing w:val="-9"/>
          <w:sz w:val="13"/>
        </w:rPr>
        <w:t xml:space="preserve"> </w:t>
      </w:r>
      <w:proofErr w:type="spellStart"/>
      <w:r>
        <w:rPr>
          <w:sz w:val="13"/>
        </w:rPr>
        <w:t>Althammer</w:t>
      </w:r>
      <w:proofErr w:type="spellEnd"/>
      <w:r>
        <w:rPr>
          <w:spacing w:val="-9"/>
          <w:sz w:val="13"/>
        </w:rPr>
        <w:t xml:space="preserve"> </w:t>
      </w:r>
      <w:r>
        <w:rPr>
          <w:sz w:val="13"/>
        </w:rPr>
        <w:t>et</w:t>
      </w:r>
      <w:r>
        <w:rPr>
          <w:spacing w:val="-9"/>
          <w:sz w:val="13"/>
        </w:rPr>
        <w:t xml:space="preserve"> </w:t>
      </w:r>
      <w:r>
        <w:rPr>
          <w:sz w:val="13"/>
        </w:rPr>
        <w:t>al.</w:t>
      </w:r>
      <w:r>
        <w:rPr>
          <w:spacing w:val="-9"/>
          <w:sz w:val="13"/>
        </w:rPr>
        <w:t xml:space="preserve"> </w:t>
      </w:r>
      <w:r>
        <w:rPr>
          <w:sz w:val="13"/>
        </w:rPr>
        <w:t>Austria</w:t>
      </w:r>
      <w:r>
        <w:rPr>
          <w:spacing w:val="-9"/>
          <w:sz w:val="13"/>
        </w:rPr>
        <w:t xml:space="preserve"> </w:t>
      </w:r>
      <w:r>
        <w:rPr>
          <w:sz w:val="13"/>
        </w:rPr>
        <w:t>(CCPR/C/78/D/998/2001),</w:t>
      </w:r>
      <w:r>
        <w:rPr>
          <w:spacing w:val="-9"/>
          <w:sz w:val="13"/>
        </w:rPr>
        <w:t xml:space="preserve"> </w:t>
      </w:r>
      <w:r>
        <w:rPr>
          <w:sz w:val="13"/>
        </w:rPr>
        <w:t>párr.</w:t>
      </w:r>
      <w:r>
        <w:rPr>
          <w:spacing w:val="-9"/>
          <w:sz w:val="13"/>
        </w:rPr>
        <w:t xml:space="preserve"> </w:t>
      </w:r>
      <w:r>
        <w:rPr>
          <w:sz w:val="13"/>
        </w:rPr>
        <w:t>10.2;</w:t>
      </w:r>
      <w:r>
        <w:rPr>
          <w:spacing w:val="-9"/>
          <w:sz w:val="13"/>
        </w:rPr>
        <w:t xml:space="preserve"> </w:t>
      </w:r>
      <w:r>
        <w:rPr>
          <w:sz w:val="13"/>
        </w:rPr>
        <w:t>y</w:t>
      </w:r>
      <w:r>
        <w:rPr>
          <w:spacing w:val="-9"/>
          <w:sz w:val="13"/>
        </w:rPr>
        <w:t xml:space="preserve"> </w:t>
      </w:r>
      <w:r>
        <w:rPr>
          <w:sz w:val="13"/>
        </w:rPr>
        <w:t>Comité</w:t>
      </w:r>
      <w:r>
        <w:rPr>
          <w:spacing w:val="-9"/>
          <w:sz w:val="13"/>
        </w:rPr>
        <w:t xml:space="preserve"> </w:t>
      </w:r>
      <w:r>
        <w:rPr>
          <w:sz w:val="13"/>
        </w:rPr>
        <w:t>para</w:t>
      </w:r>
      <w:r>
        <w:rPr>
          <w:spacing w:val="-9"/>
          <w:sz w:val="13"/>
        </w:rPr>
        <w:t xml:space="preserve"> </w:t>
      </w:r>
      <w:r>
        <w:rPr>
          <w:sz w:val="13"/>
        </w:rPr>
        <w:t>la</w:t>
      </w:r>
      <w:r>
        <w:rPr>
          <w:spacing w:val="-9"/>
          <w:sz w:val="13"/>
        </w:rPr>
        <w:t xml:space="preserve"> </w:t>
      </w:r>
      <w:r>
        <w:rPr>
          <w:sz w:val="13"/>
        </w:rPr>
        <w:t>Eliminación</w:t>
      </w:r>
      <w:r>
        <w:rPr>
          <w:spacing w:val="-9"/>
          <w:sz w:val="13"/>
        </w:rPr>
        <w:t xml:space="preserve"> </w:t>
      </w:r>
      <w:r>
        <w:rPr>
          <w:sz w:val="13"/>
        </w:rPr>
        <w:t>de</w:t>
      </w:r>
      <w:r>
        <w:rPr>
          <w:spacing w:val="-9"/>
          <w:sz w:val="13"/>
        </w:rPr>
        <w:t xml:space="preserve"> </w:t>
      </w:r>
      <w:r>
        <w:rPr>
          <w:sz w:val="13"/>
        </w:rPr>
        <w:t>las</w:t>
      </w:r>
      <w:r>
        <w:rPr>
          <w:spacing w:val="-9"/>
          <w:sz w:val="13"/>
        </w:rPr>
        <w:t xml:space="preserve"> </w:t>
      </w:r>
      <w:r>
        <w:rPr>
          <w:sz w:val="13"/>
        </w:rPr>
        <w:t>Razas</w:t>
      </w:r>
      <w:r>
        <w:rPr>
          <w:spacing w:val="-9"/>
          <w:sz w:val="13"/>
        </w:rPr>
        <w:t xml:space="preserve"> </w:t>
      </w:r>
      <w:r>
        <w:rPr>
          <w:sz w:val="13"/>
        </w:rPr>
        <w:t>Raciales</w:t>
      </w:r>
      <w:r>
        <w:rPr>
          <w:spacing w:val="40"/>
          <w:sz w:val="13"/>
        </w:rPr>
        <w:t xml:space="preserve"> </w:t>
      </w:r>
      <w:r>
        <w:rPr>
          <w:sz w:val="13"/>
        </w:rPr>
        <w:t>Discriminación, LR et al. c. República Eslovaca (CERD/C/66/D/31/2003), párr. 10.4.</w:t>
      </w:r>
    </w:p>
    <w:p w14:paraId="3CDA7F02" w14:textId="77777777" w:rsidR="0014798C" w:rsidRDefault="0014798C">
      <w:pPr>
        <w:spacing w:line="288" w:lineRule="auto"/>
        <w:rPr>
          <w:sz w:val="13"/>
        </w:rPr>
        <w:sectPr w:rsidR="0014798C" w:rsidSect="00F265E4">
          <w:type w:val="continuous"/>
          <w:pgSz w:w="11900" w:h="16820"/>
          <w:pgMar w:top="40" w:right="0" w:bottom="280" w:left="200" w:header="121" w:footer="0" w:gutter="0"/>
          <w:cols w:space="720"/>
        </w:sectPr>
      </w:pPr>
    </w:p>
    <w:p w14:paraId="254737A9" w14:textId="77777777" w:rsidR="0014798C" w:rsidRDefault="004E1F0B">
      <w:pPr>
        <w:spacing w:before="32"/>
        <w:jc w:val="right"/>
        <w:rPr>
          <w:sz w:val="8"/>
        </w:rPr>
      </w:pPr>
      <w:r>
        <w:rPr>
          <w:spacing w:val="-5"/>
          <w:w w:val="105"/>
          <w:sz w:val="8"/>
        </w:rPr>
        <w:t>230</w:t>
      </w:r>
    </w:p>
    <w:p w14:paraId="382F1042" w14:textId="77777777" w:rsidR="0014798C" w:rsidRDefault="004E1F0B">
      <w:pPr>
        <w:spacing w:before="58"/>
        <w:ind w:left="83"/>
        <w:rPr>
          <w:sz w:val="13"/>
        </w:rPr>
      </w:pPr>
      <w:r>
        <w:br w:type="column"/>
      </w:r>
      <w:r>
        <w:rPr>
          <w:spacing w:val="-2"/>
          <w:sz w:val="13"/>
        </w:rPr>
        <w:t>Véase,</w:t>
      </w:r>
      <w:r>
        <w:rPr>
          <w:spacing w:val="-7"/>
          <w:sz w:val="13"/>
        </w:rPr>
        <w:t xml:space="preserve"> </w:t>
      </w:r>
      <w:r>
        <w:rPr>
          <w:spacing w:val="-2"/>
          <w:sz w:val="13"/>
        </w:rPr>
        <w:t>por</w:t>
      </w:r>
      <w:r>
        <w:rPr>
          <w:spacing w:val="-7"/>
          <w:sz w:val="13"/>
        </w:rPr>
        <w:t xml:space="preserve"> </w:t>
      </w:r>
      <w:r>
        <w:rPr>
          <w:spacing w:val="-2"/>
          <w:sz w:val="13"/>
        </w:rPr>
        <w:t>ejemplo,</w:t>
      </w:r>
      <w:r>
        <w:rPr>
          <w:spacing w:val="-7"/>
          <w:sz w:val="13"/>
        </w:rPr>
        <w:t xml:space="preserve"> </w:t>
      </w:r>
      <w:r>
        <w:rPr>
          <w:spacing w:val="-2"/>
          <w:sz w:val="13"/>
        </w:rPr>
        <w:t>CCPR/C/UZB/CO/5,</w:t>
      </w:r>
      <w:r>
        <w:rPr>
          <w:spacing w:val="-7"/>
          <w:sz w:val="13"/>
        </w:rPr>
        <w:t xml:space="preserve"> </w:t>
      </w:r>
      <w:r>
        <w:rPr>
          <w:spacing w:val="-2"/>
          <w:sz w:val="13"/>
        </w:rPr>
        <w:t>párr.</w:t>
      </w:r>
      <w:r>
        <w:rPr>
          <w:spacing w:val="-7"/>
          <w:sz w:val="13"/>
        </w:rPr>
        <w:t xml:space="preserve"> </w:t>
      </w:r>
      <w:r>
        <w:rPr>
          <w:spacing w:val="-2"/>
          <w:sz w:val="13"/>
        </w:rPr>
        <w:t>9(a);</w:t>
      </w:r>
      <w:r>
        <w:rPr>
          <w:spacing w:val="-6"/>
          <w:sz w:val="13"/>
        </w:rPr>
        <w:t xml:space="preserve"> </w:t>
      </w:r>
      <w:r>
        <w:rPr>
          <w:spacing w:val="-2"/>
          <w:sz w:val="13"/>
        </w:rPr>
        <w:t>y</w:t>
      </w:r>
      <w:r>
        <w:rPr>
          <w:spacing w:val="-7"/>
          <w:sz w:val="13"/>
        </w:rPr>
        <w:t xml:space="preserve"> </w:t>
      </w:r>
      <w:r>
        <w:rPr>
          <w:spacing w:val="-2"/>
          <w:sz w:val="13"/>
        </w:rPr>
        <w:t>CERD/C/PSE/CO/1-2,</w:t>
      </w:r>
      <w:r>
        <w:rPr>
          <w:spacing w:val="-7"/>
          <w:sz w:val="13"/>
        </w:rPr>
        <w:t xml:space="preserve"> </w:t>
      </w:r>
      <w:r>
        <w:rPr>
          <w:spacing w:val="-2"/>
          <w:sz w:val="13"/>
        </w:rPr>
        <w:t>párr.</w:t>
      </w:r>
      <w:r>
        <w:rPr>
          <w:spacing w:val="-7"/>
          <w:sz w:val="13"/>
        </w:rPr>
        <w:t xml:space="preserve"> </w:t>
      </w:r>
      <w:r>
        <w:rPr>
          <w:spacing w:val="-2"/>
          <w:sz w:val="13"/>
        </w:rPr>
        <w:t>12(a).</w:t>
      </w:r>
    </w:p>
    <w:p w14:paraId="008F80DB" w14:textId="77777777" w:rsidR="0014798C" w:rsidRDefault="0014798C">
      <w:pPr>
        <w:rPr>
          <w:sz w:val="13"/>
        </w:rPr>
        <w:sectPr w:rsidR="0014798C" w:rsidSect="00F265E4">
          <w:type w:val="continuous"/>
          <w:pgSz w:w="11900" w:h="16820"/>
          <w:pgMar w:top="40" w:right="0" w:bottom="280" w:left="200" w:header="121" w:footer="0" w:gutter="0"/>
          <w:cols w:num="2" w:space="720" w:equalWidth="0">
            <w:col w:w="1247" w:space="40"/>
            <w:col w:w="10413"/>
          </w:cols>
        </w:sectPr>
      </w:pPr>
    </w:p>
    <w:p w14:paraId="1C4F12F9" w14:textId="77777777" w:rsidR="0014798C" w:rsidRDefault="004E1F0B">
      <w:pPr>
        <w:spacing w:before="106"/>
        <w:ind w:left="1105"/>
        <w:rPr>
          <w:sz w:val="12"/>
        </w:rPr>
      </w:pPr>
      <w:r>
        <w:rPr>
          <w:w w:val="105"/>
          <w:sz w:val="12"/>
        </w:rPr>
        <w:t>231</w:t>
      </w:r>
      <w:r>
        <w:rPr>
          <w:spacing w:val="-3"/>
          <w:w w:val="105"/>
          <w:sz w:val="12"/>
        </w:rPr>
        <w:t xml:space="preserve"> </w:t>
      </w:r>
      <w:r>
        <w:rPr>
          <w:w w:val="105"/>
          <w:sz w:val="12"/>
        </w:rPr>
        <w:t>Así,</w:t>
      </w:r>
      <w:r>
        <w:rPr>
          <w:spacing w:val="-3"/>
          <w:w w:val="105"/>
          <w:sz w:val="12"/>
        </w:rPr>
        <w:t xml:space="preserve"> </w:t>
      </w:r>
      <w:r>
        <w:rPr>
          <w:w w:val="105"/>
          <w:sz w:val="12"/>
        </w:rPr>
        <w:t>por</w:t>
      </w:r>
      <w:r>
        <w:rPr>
          <w:spacing w:val="-3"/>
          <w:w w:val="105"/>
          <w:sz w:val="12"/>
        </w:rPr>
        <w:t xml:space="preserve"> </w:t>
      </w:r>
      <w:r>
        <w:rPr>
          <w:w w:val="105"/>
          <w:sz w:val="12"/>
        </w:rPr>
        <w:t>ejemplo,</w:t>
      </w:r>
      <w:r>
        <w:rPr>
          <w:spacing w:val="-2"/>
          <w:w w:val="105"/>
          <w:sz w:val="12"/>
        </w:rPr>
        <w:t xml:space="preserve"> </w:t>
      </w:r>
      <w:r>
        <w:rPr>
          <w:w w:val="105"/>
          <w:sz w:val="12"/>
        </w:rPr>
        <w:t>en</w:t>
      </w:r>
      <w:r>
        <w:rPr>
          <w:spacing w:val="-3"/>
          <w:w w:val="105"/>
          <w:sz w:val="12"/>
        </w:rPr>
        <w:t xml:space="preserve"> </w:t>
      </w:r>
      <w:r>
        <w:rPr>
          <w:w w:val="105"/>
          <w:sz w:val="12"/>
        </w:rPr>
        <w:t>sus</w:t>
      </w:r>
      <w:r>
        <w:rPr>
          <w:spacing w:val="-2"/>
          <w:w w:val="105"/>
          <w:sz w:val="12"/>
        </w:rPr>
        <w:t xml:space="preserve"> </w:t>
      </w:r>
      <w:r>
        <w:rPr>
          <w:w w:val="105"/>
          <w:sz w:val="12"/>
        </w:rPr>
        <w:t>Principios</w:t>
      </w:r>
      <w:r>
        <w:rPr>
          <w:spacing w:val="-3"/>
          <w:w w:val="105"/>
          <w:sz w:val="12"/>
        </w:rPr>
        <w:t xml:space="preserve"> </w:t>
      </w:r>
      <w:r>
        <w:rPr>
          <w:w w:val="105"/>
          <w:sz w:val="12"/>
        </w:rPr>
        <w:t>y</w:t>
      </w:r>
      <w:r>
        <w:rPr>
          <w:spacing w:val="-3"/>
          <w:w w:val="105"/>
          <w:sz w:val="12"/>
        </w:rPr>
        <w:t xml:space="preserve"> </w:t>
      </w:r>
      <w:r>
        <w:rPr>
          <w:w w:val="105"/>
          <w:sz w:val="12"/>
        </w:rPr>
        <w:t>Directrices</w:t>
      </w:r>
      <w:r>
        <w:rPr>
          <w:spacing w:val="-3"/>
          <w:w w:val="105"/>
          <w:sz w:val="12"/>
        </w:rPr>
        <w:t xml:space="preserve"> </w:t>
      </w:r>
      <w:r>
        <w:rPr>
          <w:w w:val="105"/>
          <w:sz w:val="12"/>
        </w:rPr>
        <w:t>sobre</w:t>
      </w:r>
      <w:r>
        <w:rPr>
          <w:spacing w:val="-3"/>
          <w:w w:val="105"/>
          <w:sz w:val="12"/>
        </w:rPr>
        <w:t xml:space="preserve"> </w:t>
      </w:r>
      <w:r>
        <w:rPr>
          <w:w w:val="105"/>
          <w:sz w:val="12"/>
        </w:rPr>
        <w:t>la</w:t>
      </w:r>
      <w:r>
        <w:rPr>
          <w:spacing w:val="-2"/>
          <w:w w:val="105"/>
          <w:sz w:val="12"/>
        </w:rPr>
        <w:t xml:space="preserve"> </w:t>
      </w:r>
      <w:r>
        <w:rPr>
          <w:w w:val="105"/>
          <w:sz w:val="12"/>
        </w:rPr>
        <w:t>implementación</w:t>
      </w:r>
      <w:r>
        <w:rPr>
          <w:spacing w:val="-3"/>
          <w:w w:val="105"/>
          <w:sz w:val="12"/>
        </w:rPr>
        <w:t xml:space="preserve"> </w:t>
      </w:r>
      <w:r>
        <w:rPr>
          <w:w w:val="105"/>
          <w:sz w:val="12"/>
        </w:rPr>
        <w:t>de</w:t>
      </w:r>
      <w:r>
        <w:rPr>
          <w:spacing w:val="-3"/>
          <w:w w:val="105"/>
          <w:sz w:val="12"/>
        </w:rPr>
        <w:t xml:space="preserve"> </w:t>
      </w:r>
      <w:r>
        <w:rPr>
          <w:w w:val="105"/>
          <w:sz w:val="12"/>
        </w:rPr>
        <w:t>los</w:t>
      </w:r>
      <w:r>
        <w:rPr>
          <w:spacing w:val="-3"/>
          <w:w w:val="105"/>
          <w:sz w:val="12"/>
        </w:rPr>
        <w:t xml:space="preserve"> </w:t>
      </w:r>
      <w:r>
        <w:rPr>
          <w:w w:val="105"/>
          <w:sz w:val="12"/>
        </w:rPr>
        <w:t>derechos</w:t>
      </w:r>
      <w:r>
        <w:rPr>
          <w:spacing w:val="-3"/>
          <w:w w:val="105"/>
          <w:sz w:val="12"/>
        </w:rPr>
        <w:t xml:space="preserve"> </w:t>
      </w:r>
      <w:r>
        <w:rPr>
          <w:w w:val="105"/>
          <w:sz w:val="12"/>
        </w:rPr>
        <w:t>económicos,</w:t>
      </w:r>
      <w:r>
        <w:rPr>
          <w:spacing w:val="-2"/>
          <w:w w:val="105"/>
          <w:sz w:val="12"/>
        </w:rPr>
        <w:t xml:space="preserve"> </w:t>
      </w:r>
      <w:r>
        <w:rPr>
          <w:w w:val="105"/>
          <w:sz w:val="12"/>
        </w:rPr>
        <w:t>sociales</w:t>
      </w:r>
      <w:r>
        <w:rPr>
          <w:spacing w:val="-2"/>
          <w:w w:val="105"/>
          <w:sz w:val="12"/>
        </w:rPr>
        <w:t xml:space="preserve"> </w:t>
      </w:r>
      <w:r>
        <w:rPr>
          <w:w w:val="105"/>
          <w:sz w:val="12"/>
        </w:rPr>
        <w:t>y</w:t>
      </w:r>
      <w:r>
        <w:rPr>
          <w:spacing w:val="-3"/>
          <w:w w:val="105"/>
          <w:sz w:val="12"/>
        </w:rPr>
        <w:t xml:space="preserve"> </w:t>
      </w:r>
      <w:r>
        <w:rPr>
          <w:w w:val="105"/>
          <w:sz w:val="12"/>
        </w:rPr>
        <w:t>culturales</w:t>
      </w:r>
      <w:r>
        <w:rPr>
          <w:spacing w:val="-3"/>
          <w:w w:val="105"/>
          <w:sz w:val="12"/>
        </w:rPr>
        <w:t xml:space="preserve"> </w:t>
      </w:r>
      <w:r>
        <w:rPr>
          <w:w w:val="105"/>
          <w:sz w:val="12"/>
        </w:rPr>
        <w:t>en</w:t>
      </w:r>
      <w:r>
        <w:rPr>
          <w:spacing w:val="-3"/>
          <w:w w:val="105"/>
          <w:sz w:val="12"/>
        </w:rPr>
        <w:t xml:space="preserve"> </w:t>
      </w:r>
      <w:r>
        <w:rPr>
          <w:spacing w:val="-2"/>
          <w:w w:val="105"/>
          <w:sz w:val="12"/>
        </w:rPr>
        <w:t>África</w:t>
      </w:r>
    </w:p>
    <w:p w14:paraId="2097A3E4" w14:textId="77777777" w:rsidR="0014798C" w:rsidRDefault="004E1F0B">
      <w:pPr>
        <w:spacing w:before="22" w:line="288" w:lineRule="auto"/>
        <w:ind w:left="1367" w:right="1463" w:firstLine="4"/>
        <w:rPr>
          <w:sz w:val="13"/>
        </w:rPr>
      </w:pPr>
      <w:r>
        <w:rPr>
          <w:sz w:val="13"/>
        </w:rPr>
        <w:t>Carta</w:t>
      </w:r>
      <w:r>
        <w:rPr>
          <w:spacing w:val="-4"/>
          <w:sz w:val="13"/>
        </w:rPr>
        <w:t xml:space="preserve"> </w:t>
      </w:r>
      <w:r>
        <w:rPr>
          <w:sz w:val="13"/>
        </w:rPr>
        <w:t>de</w:t>
      </w:r>
      <w:r>
        <w:rPr>
          <w:spacing w:val="-4"/>
          <w:sz w:val="13"/>
        </w:rPr>
        <w:t xml:space="preserve"> </w:t>
      </w:r>
      <w:r>
        <w:rPr>
          <w:sz w:val="13"/>
        </w:rPr>
        <w:t>Derechos</w:t>
      </w:r>
      <w:r>
        <w:rPr>
          <w:spacing w:val="-4"/>
          <w:sz w:val="13"/>
        </w:rPr>
        <w:t xml:space="preserve"> </w:t>
      </w:r>
      <w:r>
        <w:rPr>
          <w:sz w:val="13"/>
        </w:rPr>
        <w:t>Humanos</w:t>
      </w:r>
      <w:r>
        <w:rPr>
          <w:spacing w:val="-4"/>
          <w:sz w:val="13"/>
        </w:rPr>
        <w:t xml:space="preserve"> </w:t>
      </w:r>
      <w:r>
        <w:rPr>
          <w:sz w:val="13"/>
        </w:rPr>
        <w:t>y</w:t>
      </w:r>
      <w:r>
        <w:rPr>
          <w:spacing w:val="-4"/>
          <w:sz w:val="13"/>
        </w:rPr>
        <w:t xml:space="preserve"> </w:t>
      </w:r>
      <w:r>
        <w:rPr>
          <w:sz w:val="13"/>
        </w:rPr>
        <w:t>de</w:t>
      </w:r>
      <w:r>
        <w:rPr>
          <w:spacing w:val="-4"/>
          <w:sz w:val="13"/>
        </w:rPr>
        <w:t xml:space="preserve"> </w:t>
      </w:r>
      <w:r>
        <w:rPr>
          <w:sz w:val="13"/>
        </w:rPr>
        <w:t>los</w:t>
      </w:r>
      <w:r>
        <w:rPr>
          <w:spacing w:val="-4"/>
          <w:sz w:val="13"/>
        </w:rPr>
        <w:t xml:space="preserve"> </w:t>
      </w:r>
      <w:r>
        <w:rPr>
          <w:sz w:val="13"/>
        </w:rPr>
        <w:t>Pueblos</w:t>
      </w:r>
      <w:r>
        <w:rPr>
          <w:spacing w:val="-4"/>
          <w:sz w:val="13"/>
        </w:rPr>
        <w:t xml:space="preserve"> </w:t>
      </w:r>
      <w:r>
        <w:rPr>
          <w:sz w:val="13"/>
        </w:rPr>
        <w:t>(párr.</w:t>
      </w:r>
      <w:r>
        <w:rPr>
          <w:spacing w:val="-3"/>
          <w:sz w:val="13"/>
        </w:rPr>
        <w:t xml:space="preserve"> </w:t>
      </w:r>
      <w:r>
        <w:rPr>
          <w:sz w:val="13"/>
        </w:rPr>
        <w:t>82</w:t>
      </w:r>
      <w:r>
        <w:rPr>
          <w:spacing w:val="-4"/>
          <w:sz w:val="13"/>
        </w:rPr>
        <w:t xml:space="preserve"> </w:t>
      </w:r>
      <w:r>
        <w:rPr>
          <w:sz w:val="13"/>
        </w:rPr>
        <w:t>(i)),</w:t>
      </w:r>
      <w:r>
        <w:rPr>
          <w:spacing w:val="-4"/>
          <w:sz w:val="13"/>
        </w:rPr>
        <w:t xml:space="preserve"> </w:t>
      </w:r>
      <w:r>
        <w:rPr>
          <w:sz w:val="13"/>
        </w:rPr>
        <w:t>la</w:t>
      </w:r>
      <w:r>
        <w:rPr>
          <w:spacing w:val="-4"/>
          <w:sz w:val="13"/>
        </w:rPr>
        <w:t xml:space="preserve"> </w:t>
      </w:r>
      <w:r>
        <w:rPr>
          <w:sz w:val="13"/>
        </w:rPr>
        <w:t>Comisión</w:t>
      </w:r>
      <w:r>
        <w:rPr>
          <w:spacing w:val="-4"/>
          <w:sz w:val="13"/>
        </w:rPr>
        <w:t xml:space="preserve"> </w:t>
      </w:r>
      <w:r>
        <w:rPr>
          <w:sz w:val="13"/>
        </w:rPr>
        <w:t>Africana</w:t>
      </w:r>
      <w:r>
        <w:rPr>
          <w:spacing w:val="-4"/>
          <w:sz w:val="13"/>
        </w:rPr>
        <w:t xml:space="preserve"> </w:t>
      </w:r>
      <w:r>
        <w:rPr>
          <w:sz w:val="13"/>
        </w:rPr>
        <w:t>de</w:t>
      </w:r>
      <w:r>
        <w:rPr>
          <w:spacing w:val="-4"/>
          <w:sz w:val="13"/>
        </w:rPr>
        <w:t xml:space="preserve"> </w:t>
      </w:r>
      <w:r>
        <w:rPr>
          <w:sz w:val="13"/>
        </w:rPr>
        <w:t>Derechos</w:t>
      </w:r>
      <w:r>
        <w:rPr>
          <w:spacing w:val="-4"/>
          <w:sz w:val="13"/>
        </w:rPr>
        <w:t xml:space="preserve"> </w:t>
      </w:r>
      <w:r>
        <w:rPr>
          <w:sz w:val="13"/>
        </w:rPr>
        <w:t>Humanos</w:t>
      </w:r>
      <w:r>
        <w:rPr>
          <w:spacing w:val="-4"/>
          <w:sz w:val="13"/>
        </w:rPr>
        <w:t xml:space="preserve"> </w:t>
      </w:r>
      <w:r>
        <w:rPr>
          <w:sz w:val="13"/>
        </w:rPr>
        <w:t>y</w:t>
      </w:r>
      <w:r>
        <w:rPr>
          <w:spacing w:val="-4"/>
          <w:sz w:val="13"/>
        </w:rPr>
        <w:t xml:space="preserve"> </w:t>
      </w:r>
      <w:r>
        <w:rPr>
          <w:sz w:val="13"/>
        </w:rPr>
        <w:t>de</w:t>
      </w:r>
      <w:r>
        <w:rPr>
          <w:spacing w:val="-4"/>
          <w:sz w:val="13"/>
        </w:rPr>
        <w:t xml:space="preserve"> </w:t>
      </w:r>
      <w:r>
        <w:rPr>
          <w:sz w:val="13"/>
        </w:rPr>
        <w:t>los</w:t>
      </w:r>
      <w:r>
        <w:rPr>
          <w:spacing w:val="-4"/>
          <w:sz w:val="13"/>
        </w:rPr>
        <w:t xml:space="preserve"> </w:t>
      </w:r>
      <w:r>
        <w:rPr>
          <w:sz w:val="13"/>
        </w:rPr>
        <w:t>Pueblos</w:t>
      </w:r>
      <w:r>
        <w:rPr>
          <w:spacing w:val="-4"/>
          <w:sz w:val="13"/>
        </w:rPr>
        <w:t xml:space="preserve"> </w:t>
      </w:r>
      <w:r>
        <w:rPr>
          <w:sz w:val="13"/>
        </w:rPr>
        <w:t>insta</w:t>
      </w:r>
      <w:r>
        <w:rPr>
          <w:spacing w:val="-4"/>
          <w:sz w:val="13"/>
        </w:rPr>
        <w:t xml:space="preserve"> </w:t>
      </w:r>
      <w:r>
        <w:rPr>
          <w:sz w:val="13"/>
        </w:rPr>
        <w:t>a</w:t>
      </w:r>
      <w:r>
        <w:rPr>
          <w:spacing w:val="-4"/>
          <w:sz w:val="13"/>
        </w:rPr>
        <w:t xml:space="preserve"> </w:t>
      </w:r>
      <w:r>
        <w:rPr>
          <w:sz w:val="13"/>
        </w:rPr>
        <w:t>los</w:t>
      </w:r>
      <w:r>
        <w:rPr>
          <w:spacing w:val="-4"/>
          <w:sz w:val="13"/>
        </w:rPr>
        <w:t xml:space="preserve"> </w:t>
      </w:r>
      <w:r>
        <w:rPr>
          <w:sz w:val="13"/>
        </w:rPr>
        <w:t>Estados</w:t>
      </w:r>
      <w:r>
        <w:rPr>
          <w:spacing w:val="-4"/>
          <w:sz w:val="13"/>
        </w:rPr>
        <w:t xml:space="preserve"> </w:t>
      </w:r>
      <w:r>
        <w:rPr>
          <w:sz w:val="13"/>
        </w:rPr>
        <w:t>a</w:t>
      </w:r>
      <w:r>
        <w:rPr>
          <w:spacing w:val="-4"/>
          <w:sz w:val="13"/>
        </w:rPr>
        <w:t xml:space="preserve"> </w:t>
      </w:r>
      <w:r>
        <w:rPr>
          <w:sz w:val="13"/>
        </w:rPr>
        <w:t>"garantizar</w:t>
      </w:r>
      <w:r>
        <w:rPr>
          <w:spacing w:val="40"/>
          <w:sz w:val="13"/>
        </w:rPr>
        <w:t xml:space="preserve"> </w:t>
      </w:r>
      <w:r>
        <w:rPr>
          <w:sz w:val="13"/>
        </w:rPr>
        <w:t>que</w:t>
      </w:r>
      <w:r>
        <w:rPr>
          <w:spacing w:val="-2"/>
          <w:sz w:val="13"/>
        </w:rPr>
        <w:t xml:space="preserve"> </w:t>
      </w:r>
      <w:r>
        <w:rPr>
          <w:sz w:val="13"/>
        </w:rPr>
        <w:t>no</w:t>
      </w:r>
      <w:r>
        <w:rPr>
          <w:spacing w:val="-2"/>
          <w:sz w:val="13"/>
        </w:rPr>
        <w:t xml:space="preserve"> </w:t>
      </w:r>
      <w:r>
        <w:rPr>
          <w:sz w:val="13"/>
        </w:rPr>
        <w:t>habrá</w:t>
      </w:r>
      <w:r>
        <w:rPr>
          <w:spacing w:val="-2"/>
          <w:sz w:val="13"/>
        </w:rPr>
        <w:t xml:space="preserve"> </w:t>
      </w:r>
      <w:r>
        <w:rPr>
          <w:sz w:val="13"/>
        </w:rPr>
        <w:t>discriminación</w:t>
      </w:r>
      <w:r>
        <w:rPr>
          <w:spacing w:val="-2"/>
          <w:sz w:val="13"/>
        </w:rPr>
        <w:t xml:space="preserve"> </w:t>
      </w:r>
      <w:r>
        <w:rPr>
          <w:sz w:val="13"/>
        </w:rPr>
        <w:t>directa</w:t>
      </w:r>
      <w:r>
        <w:rPr>
          <w:spacing w:val="-2"/>
          <w:sz w:val="13"/>
        </w:rPr>
        <w:t xml:space="preserve"> </w:t>
      </w:r>
      <w:r>
        <w:rPr>
          <w:sz w:val="13"/>
        </w:rPr>
        <w:t>o</w:t>
      </w:r>
      <w:r>
        <w:rPr>
          <w:spacing w:val="-2"/>
          <w:sz w:val="13"/>
        </w:rPr>
        <w:t xml:space="preserve"> </w:t>
      </w:r>
      <w:r>
        <w:rPr>
          <w:sz w:val="13"/>
        </w:rPr>
        <w:t>indirecta</w:t>
      </w:r>
      <w:r>
        <w:rPr>
          <w:spacing w:val="-2"/>
          <w:sz w:val="13"/>
        </w:rPr>
        <w:t xml:space="preserve"> </w:t>
      </w:r>
      <w:r>
        <w:rPr>
          <w:sz w:val="13"/>
        </w:rPr>
        <w:t>en</w:t>
      </w:r>
      <w:r>
        <w:rPr>
          <w:spacing w:val="-2"/>
          <w:sz w:val="13"/>
        </w:rPr>
        <w:t xml:space="preserve"> </w:t>
      </w:r>
      <w:r>
        <w:rPr>
          <w:sz w:val="13"/>
        </w:rPr>
        <w:t>los</w:t>
      </w:r>
      <w:r>
        <w:rPr>
          <w:spacing w:val="-2"/>
          <w:sz w:val="13"/>
        </w:rPr>
        <w:t xml:space="preserve"> </w:t>
      </w:r>
      <w:r>
        <w:rPr>
          <w:sz w:val="13"/>
        </w:rPr>
        <w:t>planes</w:t>
      </w:r>
      <w:r>
        <w:rPr>
          <w:spacing w:val="-2"/>
          <w:sz w:val="13"/>
        </w:rPr>
        <w:t xml:space="preserve"> </w:t>
      </w:r>
      <w:r>
        <w:rPr>
          <w:sz w:val="13"/>
        </w:rPr>
        <w:t>de</w:t>
      </w:r>
      <w:r>
        <w:rPr>
          <w:spacing w:val="-2"/>
          <w:sz w:val="13"/>
        </w:rPr>
        <w:t xml:space="preserve"> </w:t>
      </w:r>
      <w:r>
        <w:rPr>
          <w:sz w:val="13"/>
        </w:rPr>
        <w:t>seguridad</w:t>
      </w:r>
      <w:r>
        <w:rPr>
          <w:spacing w:val="-2"/>
          <w:sz w:val="13"/>
        </w:rPr>
        <w:t xml:space="preserve"> </w:t>
      </w:r>
      <w:r>
        <w:rPr>
          <w:sz w:val="13"/>
        </w:rPr>
        <w:t>social</w:t>
      </w:r>
      <w:r>
        <w:rPr>
          <w:spacing w:val="-2"/>
          <w:sz w:val="13"/>
        </w:rPr>
        <w:t xml:space="preserve"> </w:t>
      </w:r>
      <w:r>
        <w:rPr>
          <w:sz w:val="13"/>
        </w:rPr>
        <w:t>por</w:t>
      </w:r>
      <w:r>
        <w:rPr>
          <w:spacing w:val="-2"/>
          <w:sz w:val="13"/>
        </w:rPr>
        <w:t xml:space="preserve"> </w:t>
      </w:r>
      <w:r>
        <w:rPr>
          <w:sz w:val="13"/>
        </w:rPr>
        <w:t>ninguno</w:t>
      </w:r>
      <w:r>
        <w:rPr>
          <w:spacing w:val="-2"/>
          <w:sz w:val="13"/>
        </w:rPr>
        <w:t xml:space="preserve"> </w:t>
      </w:r>
      <w:r>
        <w:rPr>
          <w:sz w:val="13"/>
        </w:rPr>
        <w:t>de</w:t>
      </w:r>
      <w:r>
        <w:rPr>
          <w:spacing w:val="-2"/>
          <w:sz w:val="13"/>
        </w:rPr>
        <w:t xml:space="preserve"> </w:t>
      </w:r>
      <w:r>
        <w:rPr>
          <w:sz w:val="13"/>
        </w:rPr>
        <w:t>los</w:t>
      </w:r>
      <w:r>
        <w:rPr>
          <w:spacing w:val="-2"/>
          <w:sz w:val="13"/>
        </w:rPr>
        <w:t xml:space="preserve"> </w:t>
      </w:r>
      <w:r>
        <w:rPr>
          <w:sz w:val="13"/>
        </w:rPr>
        <w:t>motivos</w:t>
      </w:r>
      <w:r>
        <w:rPr>
          <w:spacing w:val="-2"/>
          <w:sz w:val="13"/>
        </w:rPr>
        <w:t xml:space="preserve"> </w:t>
      </w:r>
      <w:r>
        <w:rPr>
          <w:sz w:val="13"/>
        </w:rPr>
        <w:t>de</w:t>
      </w:r>
      <w:r>
        <w:rPr>
          <w:spacing w:val="-2"/>
          <w:sz w:val="13"/>
        </w:rPr>
        <w:t xml:space="preserve"> </w:t>
      </w:r>
      <w:r>
        <w:rPr>
          <w:sz w:val="13"/>
        </w:rPr>
        <w:t>discriminación</w:t>
      </w:r>
      <w:r>
        <w:rPr>
          <w:spacing w:val="-2"/>
          <w:sz w:val="13"/>
        </w:rPr>
        <w:t xml:space="preserve"> </w:t>
      </w:r>
      <w:r>
        <w:rPr>
          <w:sz w:val="13"/>
        </w:rPr>
        <w:t>prohibidos",</w:t>
      </w:r>
      <w:r>
        <w:rPr>
          <w:spacing w:val="-1"/>
          <w:sz w:val="13"/>
        </w:rPr>
        <w:t xml:space="preserve"> </w:t>
      </w:r>
      <w:r>
        <w:rPr>
          <w:sz w:val="13"/>
        </w:rPr>
        <w:t>pero</w:t>
      </w:r>
      <w:r>
        <w:rPr>
          <w:spacing w:val="-2"/>
          <w:sz w:val="13"/>
        </w:rPr>
        <w:t xml:space="preserve"> </w:t>
      </w:r>
      <w:r>
        <w:rPr>
          <w:sz w:val="13"/>
        </w:rPr>
        <w:t>en</w:t>
      </w:r>
      <w:r>
        <w:rPr>
          <w:spacing w:val="-2"/>
          <w:sz w:val="13"/>
        </w:rPr>
        <w:t xml:space="preserve"> </w:t>
      </w:r>
      <w:r>
        <w:rPr>
          <w:sz w:val="13"/>
        </w:rPr>
        <w:t>el</w:t>
      </w:r>
      <w:r>
        <w:rPr>
          <w:spacing w:val="40"/>
          <w:sz w:val="13"/>
        </w:rPr>
        <w:t xml:space="preserve"> </w:t>
      </w:r>
      <w:r>
        <w:rPr>
          <w:sz w:val="13"/>
        </w:rPr>
        <w:t>párrafo</w:t>
      </w:r>
      <w:r>
        <w:rPr>
          <w:spacing w:val="-3"/>
          <w:sz w:val="13"/>
        </w:rPr>
        <w:t xml:space="preserve"> </w:t>
      </w:r>
      <w:r>
        <w:rPr>
          <w:sz w:val="13"/>
        </w:rPr>
        <w:t>1</w:t>
      </w:r>
      <w:r>
        <w:rPr>
          <w:spacing w:val="-3"/>
          <w:sz w:val="13"/>
        </w:rPr>
        <w:t xml:space="preserve"> </w:t>
      </w:r>
      <w:r>
        <w:rPr>
          <w:sz w:val="13"/>
        </w:rPr>
        <w:t>sólo</w:t>
      </w:r>
      <w:r>
        <w:rPr>
          <w:spacing w:val="-3"/>
          <w:sz w:val="13"/>
        </w:rPr>
        <w:t xml:space="preserve"> </w:t>
      </w:r>
      <w:r>
        <w:rPr>
          <w:sz w:val="13"/>
        </w:rPr>
        <w:t>se</w:t>
      </w:r>
      <w:r>
        <w:rPr>
          <w:spacing w:val="-3"/>
          <w:sz w:val="13"/>
        </w:rPr>
        <w:t xml:space="preserve"> </w:t>
      </w:r>
      <w:r>
        <w:rPr>
          <w:sz w:val="13"/>
        </w:rPr>
        <w:t>define</w:t>
      </w:r>
      <w:r>
        <w:rPr>
          <w:spacing w:val="-3"/>
          <w:sz w:val="13"/>
        </w:rPr>
        <w:t xml:space="preserve"> </w:t>
      </w:r>
      <w:r>
        <w:rPr>
          <w:sz w:val="13"/>
        </w:rPr>
        <w:t>la</w:t>
      </w:r>
      <w:r>
        <w:rPr>
          <w:spacing w:val="-3"/>
          <w:sz w:val="13"/>
        </w:rPr>
        <w:t xml:space="preserve"> </w:t>
      </w:r>
      <w:r>
        <w:rPr>
          <w:sz w:val="13"/>
        </w:rPr>
        <w:t>“discriminación</w:t>
      </w:r>
      <w:r>
        <w:rPr>
          <w:spacing w:val="-3"/>
          <w:sz w:val="13"/>
        </w:rPr>
        <w:t xml:space="preserve"> </w:t>
      </w:r>
      <w:r>
        <w:rPr>
          <w:sz w:val="13"/>
        </w:rPr>
        <w:t>indirecta”.</w:t>
      </w:r>
      <w:r>
        <w:rPr>
          <w:spacing w:val="-2"/>
          <w:sz w:val="13"/>
        </w:rPr>
        <w:t xml:space="preserve"> </w:t>
      </w:r>
      <w:r>
        <w:rPr>
          <w:sz w:val="13"/>
        </w:rPr>
        <w:t>Véase,</w:t>
      </w:r>
      <w:r>
        <w:rPr>
          <w:spacing w:val="-3"/>
          <w:sz w:val="13"/>
        </w:rPr>
        <w:t xml:space="preserve"> </w:t>
      </w:r>
      <w:r>
        <w:rPr>
          <w:sz w:val="13"/>
        </w:rPr>
        <w:t>de</w:t>
      </w:r>
      <w:r>
        <w:rPr>
          <w:spacing w:val="-3"/>
          <w:sz w:val="13"/>
        </w:rPr>
        <w:t xml:space="preserve"> </w:t>
      </w:r>
      <w:r>
        <w:rPr>
          <w:sz w:val="13"/>
        </w:rPr>
        <w:t>manera</w:t>
      </w:r>
      <w:r>
        <w:rPr>
          <w:spacing w:val="-3"/>
          <w:sz w:val="13"/>
        </w:rPr>
        <w:t xml:space="preserve"> </w:t>
      </w:r>
      <w:r>
        <w:rPr>
          <w:sz w:val="13"/>
        </w:rPr>
        <w:t>similar,</w:t>
      </w:r>
      <w:r>
        <w:rPr>
          <w:spacing w:val="-2"/>
          <w:sz w:val="13"/>
        </w:rPr>
        <w:t xml:space="preserve"> </w:t>
      </w:r>
      <w:r>
        <w:rPr>
          <w:sz w:val="13"/>
        </w:rPr>
        <w:t>Comisión</w:t>
      </w:r>
      <w:r>
        <w:rPr>
          <w:spacing w:val="-3"/>
          <w:sz w:val="13"/>
        </w:rPr>
        <w:t xml:space="preserve"> </w:t>
      </w:r>
      <w:r>
        <w:rPr>
          <w:sz w:val="13"/>
        </w:rPr>
        <w:t>Interamericana</w:t>
      </w:r>
      <w:r>
        <w:rPr>
          <w:spacing w:val="-3"/>
          <w:sz w:val="13"/>
        </w:rPr>
        <w:t xml:space="preserve"> </w:t>
      </w:r>
      <w:r>
        <w:rPr>
          <w:sz w:val="13"/>
        </w:rPr>
        <w:t>de</w:t>
      </w:r>
      <w:r>
        <w:rPr>
          <w:spacing w:val="-3"/>
          <w:sz w:val="13"/>
        </w:rPr>
        <w:t xml:space="preserve"> </w:t>
      </w:r>
      <w:r>
        <w:rPr>
          <w:sz w:val="13"/>
        </w:rPr>
        <w:t>Derechos</w:t>
      </w:r>
      <w:r>
        <w:rPr>
          <w:spacing w:val="-3"/>
          <w:sz w:val="13"/>
        </w:rPr>
        <w:t xml:space="preserve"> </w:t>
      </w:r>
      <w:r>
        <w:rPr>
          <w:sz w:val="13"/>
        </w:rPr>
        <w:t>Humanos,</w:t>
      </w:r>
      <w:r>
        <w:rPr>
          <w:spacing w:val="-2"/>
          <w:sz w:val="13"/>
        </w:rPr>
        <w:t xml:space="preserve"> </w:t>
      </w:r>
      <w:r>
        <w:rPr>
          <w:sz w:val="13"/>
        </w:rPr>
        <w:t>Artavia</w:t>
      </w:r>
      <w:r>
        <w:rPr>
          <w:spacing w:val="-3"/>
          <w:sz w:val="13"/>
        </w:rPr>
        <w:t xml:space="preserve"> </w:t>
      </w:r>
      <w:r>
        <w:rPr>
          <w:sz w:val="13"/>
        </w:rPr>
        <w:t>Murillo</w:t>
      </w:r>
      <w:r>
        <w:rPr>
          <w:spacing w:val="-3"/>
          <w:sz w:val="13"/>
        </w:rPr>
        <w:t xml:space="preserve"> </w:t>
      </w:r>
      <w:r>
        <w:rPr>
          <w:sz w:val="13"/>
        </w:rPr>
        <w:t>et</w:t>
      </w:r>
      <w:r>
        <w:rPr>
          <w:spacing w:val="-3"/>
          <w:sz w:val="13"/>
        </w:rPr>
        <w:t xml:space="preserve"> </w:t>
      </w:r>
      <w:r>
        <w:rPr>
          <w:sz w:val="13"/>
        </w:rPr>
        <w:t>al.</w:t>
      </w:r>
    </w:p>
    <w:p w14:paraId="7477211A" w14:textId="77777777" w:rsidR="0014798C" w:rsidRDefault="004E1F0B">
      <w:pPr>
        <w:spacing w:before="2" w:line="288" w:lineRule="auto"/>
        <w:ind w:left="1368" w:right="1590" w:hanging="5"/>
        <w:rPr>
          <w:sz w:val="13"/>
        </w:rPr>
      </w:pPr>
      <w:proofErr w:type="gramStart"/>
      <w:r>
        <w:rPr>
          <w:sz w:val="13"/>
        </w:rPr>
        <w:t>(</w:t>
      </w:r>
      <w:r>
        <w:rPr>
          <w:spacing w:val="-8"/>
          <w:sz w:val="13"/>
        </w:rPr>
        <w:t xml:space="preserve"> </w:t>
      </w:r>
      <w:r>
        <w:rPr>
          <w:sz w:val="13"/>
        </w:rPr>
        <w:t>fertilización</w:t>
      </w:r>
      <w:proofErr w:type="gramEnd"/>
      <w:r>
        <w:rPr>
          <w:spacing w:val="-8"/>
          <w:sz w:val="13"/>
        </w:rPr>
        <w:t xml:space="preserve"> </w:t>
      </w:r>
      <w:r>
        <w:rPr>
          <w:sz w:val="13"/>
        </w:rPr>
        <w:t>in</w:t>
      </w:r>
      <w:r>
        <w:rPr>
          <w:spacing w:val="-8"/>
          <w:sz w:val="13"/>
        </w:rPr>
        <w:t xml:space="preserve"> </w:t>
      </w:r>
      <w:proofErr w:type="gramStart"/>
      <w:r>
        <w:rPr>
          <w:sz w:val="13"/>
        </w:rPr>
        <w:t>vitro</w:t>
      </w:r>
      <w:r>
        <w:rPr>
          <w:spacing w:val="-8"/>
          <w:sz w:val="13"/>
        </w:rPr>
        <w:t xml:space="preserve"> </w:t>
      </w:r>
      <w:r>
        <w:rPr>
          <w:sz w:val="13"/>
        </w:rPr>
        <w:t>)</w:t>
      </w:r>
      <w:proofErr w:type="gramEnd"/>
      <w:r>
        <w:rPr>
          <w:spacing w:val="-8"/>
          <w:sz w:val="13"/>
        </w:rPr>
        <w:t xml:space="preserve"> </w:t>
      </w:r>
      <w:r>
        <w:rPr>
          <w:sz w:val="13"/>
        </w:rPr>
        <w:t>vs.</w:t>
      </w:r>
      <w:r>
        <w:rPr>
          <w:spacing w:val="-8"/>
          <w:sz w:val="13"/>
        </w:rPr>
        <w:t xml:space="preserve"> </w:t>
      </w:r>
      <w:r>
        <w:rPr>
          <w:sz w:val="13"/>
        </w:rPr>
        <w:t>Costa</w:t>
      </w:r>
      <w:r>
        <w:rPr>
          <w:spacing w:val="-8"/>
          <w:sz w:val="13"/>
        </w:rPr>
        <w:t xml:space="preserve"> </w:t>
      </w:r>
      <w:r>
        <w:rPr>
          <w:sz w:val="13"/>
        </w:rPr>
        <w:t>Rica,</w:t>
      </w:r>
      <w:r>
        <w:rPr>
          <w:spacing w:val="-8"/>
          <w:sz w:val="13"/>
        </w:rPr>
        <w:t xml:space="preserve"> </w:t>
      </w:r>
      <w:r>
        <w:rPr>
          <w:sz w:val="13"/>
        </w:rPr>
        <w:t>Caso</w:t>
      </w:r>
      <w:r>
        <w:rPr>
          <w:spacing w:val="-8"/>
          <w:sz w:val="13"/>
        </w:rPr>
        <w:t xml:space="preserve"> </w:t>
      </w:r>
      <w:r>
        <w:rPr>
          <w:sz w:val="13"/>
        </w:rPr>
        <w:t>12.361,</w:t>
      </w:r>
      <w:r>
        <w:rPr>
          <w:spacing w:val="-8"/>
          <w:sz w:val="13"/>
        </w:rPr>
        <w:t xml:space="preserve"> </w:t>
      </w:r>
      <w:r>
        <w:rPr>
          <w:sz w:val="13"/>
        </w:rPr>
        <w:t>Informe</w:t>
      </w:r>
      <w:r>
        <w:rPr>
          <w:spacing w:val="-8"/>
          <w:sz w:val="13"/>
        </w:rPr>
        <w:t xml:space="preserve"> </w:t>
      </w:r>
      <w:r>
        <w:rPr>
          <w:sz w:val="13"/>
        </w:rPr>
        <w:t>No.</w:t>
      </w:r>
      <w:r>
        <w:rPr>
          <w:spacing w:val="-8"/>
          <w:sz w:val="13"/>
        </w:rPr>
        <w:t xml:space="preserve"> </w:t>
      </w:r>
      <w:r>
        <w:rPr>
          <w:sz w:val="13"/>
        </w:rPr>
        <w:t>85/10,</w:t>
      </w:r>
      <w:r>
        <w:rPr>
          <w:spacing w:val="-8"/>
          <w:sz w:val="13"/>
        </w:rPr>
        <w:t xml:space="preserve"> </w:t>
      </w:r>
      <w:r>
        <w:rPr>
          <w:sz w:val="13"/>
        </w:rPr>
        <w:t>14</w:t>
      </w:r>
      <w:r>
        <w:rPr>
          <w:spacing w:val="-8"/>
          <w:sz w:val="13"/>
        </w:rPr>
        <w:t xml:space="preserve"> </w:t>
      </w:r>
      <w:r>
        <w:rPr>
          <w:sz w:val="13"/>
        </w:rPr>
        <w:t>de</w:t>
      </w:r>
      <w:r>
        <w:rPr>
          <w:spacing w:val="-8"/>
          <w:sz w:val="13"/>
        </w:rPr>
        <w:t xml:space="preserve"> </w:t>
      </w:r>
      <w:r>
        <w:rPr>
          <w:sz w:val="13"/>
        </w:rPr>
        <w:t>julio</w:t>
      </w:r>
      <w:r>
        <w:rPr>
          <w:spacing w:val="-8"/>
          <w:sz w:val="13"/>
        </w:rPr>
        <w:t xml:space="preserve"> </w:t>
      </w:r>
      <w:r>
        <w:rPr>
          <w:sz w:val="13"/>
        </w:rPr>
        <w:t>de</w:t>
      </w:r>
      <w:r>
        <w:rPr>
          <w:spacing w:val="-8"/>
          <w:sz w:val="13"/>
        </w:rPr>
        <w:t xml:space="preserve"> </w:t>
      </w:r>
      <w:r>
        <w:rPr>
          <w:sz w:val="13"/>
        </w:rPr>
        <w:t>2010,</w:t>
      </w:r>
      <w:r>
        <w:rPr>
          <w:spacing w:val="-8"/>
          <w:sz w:val="13"/>
        </w:rPr>
        <w:t xml:space="preserve"> </w:t>
      </w:r>
      <w:proofErr w:type="spellStart"/>
      <w:r>
        <w:rPr>
          <w:sz w:val="13"/>
        </w:rPr>
        <w:t>párrs</w:t>
      </w:r>
      <w:proofErr w:type="spellEnd"/>
      <w:r>
        <w:rPr>
          <w:sz w:val="13"/>
        </w:rPr>
        <w:t>.</w:t>
      </w:r>
      <w:r>
        <w:rPr>
          <w:spacing w:val="-8"/>
          <w:sz w:val="13"/>
        </w:rPr>
        <w:t xml:space="preserve"> </w:t>
      </w:r>
      <w:r>
        <w:rPr>
          <w:sz w:val="13"/>
        </w:rPr>
        <w:t>120–125;</w:t>
      </w:r>
      <w:r>
        <w:rPr>
          <w:spacing w:val="-8"/>
          <w:sz w:val="13"/>
        </w:rPr>
        <w:t xml:space="preserve"> </w:t>
      </w:r>
      <w:r>
        <w:rPr>
          <w:sz w:val="13"/>
        </w:rPr>
        <w:t>y</w:t>
      </w:r>
      <w:r>
        <w:rPr>
          <w:spacing w:val="-8"/>
          <w:sz w:val="13"/>
        </w:rPr>
        <w:t xml:space="preserve"> </w:t>
      </w:r>
      <w:r>
        <w:rPr>
          <w:sz w:val="13"/>
        </w:rPr>
        <w:t>Convención</w:t>
      </w:r>
      <w:r>
        <w:rPr>
          <w:spacing w:val="-8"/>
          <w:sz w:val="13"/>
        </w:rPr>
        <w:t xml:space="preserve"> </w:t>
      </w:r>
      <w:r>
        <w:rPr>
          <w:sz w:val="13"/>
        </w:rPr>
        <w:t>Interamericana</w:t>
      </w:r>
      <w:r>
        <w:rPr>
          <w:spacing w:val="-8"/>
          <w:sz w:val="13"/>
        </w:rPr>
        <w:t xml:space="preserve"> </w:t>
      </w:r>
      <w:r>
        <w:rPr>
          <w:sz w:val="13"/>
        </w:rPr>
        <w:t>contra</w:t>
      </w:r>
      <w:r>
        <w:rPr>
          <w:spacing w:val="-8"/>
          <w:sz w:val="13"/>
        </w:rPr>
        <w:t xml:space="preserve"> </w:t>
      </w:r>
      <w:r>
        <w:rPr>
          <w:sz w:val="13"/>
        </w:rPr>
        <w:t>Todas</w:t>
      </w:r>
      <w:r>
        <w:rPr>
          <w:spacing w:val="40"/>
          <w:sz w:val="13"/>
        </w:rPr>
        <w:t xml:space="preserve"> </w:t>
      </w:r>
      <w:r>
        <w:rPr>
          <w:sz w:val="13"/>
        </w:rPr>
        <w:t>las</w:t>
      </w:r>
      <w:r>
        <w:rPr>
          <w:spacing w:val="-9"/>
          <w:sz w:val="13"/>
        </w:rPr>
        <w:t xml:space="preserve"> </w:t>
      </w:r>
      <w:r>
        <w:rPr>
          <w:sz w:val="13"/>
        </w:rPr>
        <w:t>Formas</w:t>
      </w:r>
      <w:r>
        <w:rPr>
          <w:spacing w:val="-8"/>
          <w:sz w:val="13"/>
        </w:rPr>
        <w:t xml:space="preserve"> </w:t>
      </w:r>
      <w:r>
        <w:rPr>
          <w:sz w:val="13"/>
        </w:rPr>
        <w:t>de</w:t>
      </w:r>
      <w:r>
        <w:rPr>
          <w:spacing w:val="-9"/>
          <w:sz w:val="13"/>
        </w:rPr>
        <w:t xml:space="preserve"> </w:t>
      </w:r>
      <w:r>
        <w:rPr>
          <w:sz w:val="13"/>
        </w:rPr>
        <w:t>Discriminación</w:t>
      </w:r>
      <w:r>
        <w:rPr>
          <w:spacing w:val="-8"/>
          <w:sz w:val="13"/>
        </w:rPr>
        <w:t xml:space="preserve"> </w:t>
      </w:r>
      <w:r>
        <w:rPr>
          <w:sz w:val="13"/>
        </w:rPr>
        <w:t>e</w:t>
      </w:r>
      <w:r>
        <w:rPr>
          <w:spacing w:val="-9"/>
          <w:sz w:val="13"/>
        </w:rPr>
        <w:t xml:space="preserve"> </w:t>
      </w:r>
      <w:r>
        <w:rPr>
          <w:sz w:val="13"/>
        </w:rPr>
        <w:t>Intolerancia,</w:t>
      </w:r>
      <w:r>
        <w:rPr>
          <w:spacing w:val="-8"/>
          <w:sz w:val="13"/>
        </w:rPr>
        <w:t xml:space="preserve"> </w:t>
      </w:r>
      <w:r>
        <w:rPr>
          <w:sz w:val="13"/>
        </w:rPr>
        <w:t>art.</w:t>
      </w:r>
      <w:r>
        <w:rPr>
          <w:spacing w:val="-8"/>
          <w:sz w:val="13"/>
        </w:rPr>
        <w:t xml:space="preserve"> </w:t>
      </w:r>
      <w:r>
        <w:rPr>
          <w:sz w:val="13"/>
        </w:rPr>
        <w:t>1</w:t>
      </w:r>
      <w:r>
        <w:rPr>
          <w:spacing w:val="-9"/>
          <w:sz w:val="13"/>
        </w:rPr>
        <w:t xml:space="preserve"> </w:t>
      </w:r>
      <w:r>
        <w:rPr>
          <w:sz w:val="13"/>
        </w:rPr>
        <w:t>(1)–(2).</w:t>
      </w:r>
      <w:r>
        <w:rPr>
          <w:spacing w:val="-8"/>
          <w:sz w:val="13"/>
        </w:rPr>
        <w:t xml:space="preserve"> </w:t>
      </w:r>
      <w:r>
        <w:rPr>
          <w:sz w:val="13"/>
        </w:rPr>
        <w:t>El</w:t>
      </w:r>
      <w:r>
        <w:rPr>
          <w:spacing w:val="-9"/>
          <w:sz w:val="13"/>
        </w:rPr>
        <w:t xml:space="preserve"> </w:t>
      </w:r>
      <w:r>
        <w:rPr>
          <w:sz w:val="13"/>
        </w:rPr>
        <w:t>Tribunal</w:t>
      </w:r>
      <w:r>
        <w:rPr>
          <w:spacing w:val="-8"/>
          <w:sz w:val="13"/>
        </w:rPr>
        <w:t xml:space="preserve"> </w:t>
      </w:r>
      <w:r>
        <w:rPr>
          <w:sz w:val="13"/>
        </w:rPr>
        <w:t>Europeo</w:t>
      </w:r>
      <w:r>
        <w:rPr>
          <w:spacing w:val="-9"/>
          <w:sz w:val="13"/>
        </w:rPr>
        <w:t xml:space="preserve"> </w:t>
      </w:r>
      <w:r>
        <w:rPr>
          <w:sz w:val="13"/>
        </w:rPr>
        <w:t>de</w:t>
      </w:r>
      <w:r>
        <w:rPr>
          <w:spacing w:val="-8"/>
          <w:sz w:val="13"/>
        </w:rPr>
        <w:t xml:space="preserve"> </w:t>
      </w:r>
      <w:r>
        <w:rPr>
          <w:sz w:val="13"/>
        </w:rPr>
        <w:t>Derechos</w:t>
      </w:r>
      <w:r>
        <w:rPr>
          <w:spacing w:val="-9"/>
          <w:sz w:val="13"/>
        </w:rPr>
        <w:t xml:space="preserve"> </w:t>
      </w:r>
      <w:r>
        <w:rPr>
          <w:sz w:val="13"/>
        </w:rPr>
        <w:t>Humanos</w:t>
      </w:r>
      <w:r>
        <w:rPr>
          <w:spacing w:val="-8"/>
          <w:sz w:val="13"/>
        </w:rPr>
        <w:t xml:space="preserve"> </w:t>
      </w:r>
      <w:r>
        <w:rPr>
          <w:sz w:val="13"/>
        </w:rPr>
        <w:t>define</w:t>
      </w:r>
      <w:r>
        <w:rPr>
          <w:spacing w:val="-9"/>
          <w:sz w:val="13"/>
        </w:rPr>
        <w:t xml:space="preserve"> </w:t>
      </w:r>
      <w:r>
        <w:rPr>
          <w:sz w:val="13"/>
        </w:rPr>
        <w:t>la</w:t>
      </w:r>
      <w:r>
        <w:rPr>
          <w:spacing w:val="-8"/>
          <w:sz w:val="13"/>
        </w:rPr>
        <w:t xml:space="preserve"> </w:t>
      </w:r>
      <w:r>
        <w:rPr>
          <w:sz w:val="13"/>
        </w:rPr>
        <w:t>discriminación</w:t>
      </w:r>
      <w:r>
        <w:rPr>
          <w:spacing w:val="-8"/>
          <w:sz w:val="13"/>
        </w:rPr>
        <w:t xml:space="preserve"> </w:t>
      </w:r>
      <w:r>
        <w:rPr>
          <w:sz w:val="13"/>
        </w:rPr>
        <w:t>de</w:t>
      </w:r>
      <w:r>
        <w:rPr>
          <w:spacing w:val="-9"/>
          <w:sz w:val="13"/>
        </w:rPr>
        <w:t xml:space="preserve"> </w:t>
      </w:r>
      <w:r>
        <w:rPr>
          <w:sz w:val="13"/>
        </w:rPr>
        <w:t>manera</w:t>
      </w:r>
      <w:r>
        <w:rPr>
          <w:spacing w:val="-8"/>
          <w:sz w:val="13"/>
        </w:rPr>
        <w:t xml:space="preserve"> </w:t>
      </w:r>
      <w:r>
        <w:rPr>
          <w:sz w:val="13"/>
        </w:rPr>
        <w:t>amplia</w:t>
      </w:r>
      <w:r>
        <w:rPr>
          <w:spacing w:val="-9"/>
          <w:sz w:val="13"/>
        </w:rPr>
        <w:t xml:space="preserve"> </w:t>
      </w:r>
      <w:r>
        <w:rPr>
          <w:spacing w:val="-4"/>
          <w:sz w:val="13"/>
        </w:rPr>
        <w:t>para</w:t>
      </w:r>
    </w:p>
    <w:p w14:paraId="193DDEA4" w14:textId="77777777" w:rsidR="0014798C" w:rsidRDefault="004E1F0B">
      <w:pPr>
        <w:spacing w:before="1"/>
        <w:ind w:left="1369"/>
        <w:rPr>
          <w:sz w:val="13"/>
        </w:rPr>
      </w:pPr>
      <w:r>
        <w:rPr>
          <w:sz w:val="13"/>
        </w:rPr>
        <w:t>incluir</w:t>
      </w:r>
      <w:r>
        <w:rPr>
          <w:spacing w:val="-8"/>
          <w:sz w:val="13"/>
        </w:rPr>
        <w:t xml:space="preserve"> </w:t>
      </w:r>
      <w:r>
        <w:rPr>
          <w:sz w:val="13"/>
        </w:rPr>
        <w:t>cualquier</w:t>
      </w:r>
      <w:r>
        <w:rPr>
          <w:spacing w:val="-8"/>
          <w:sz w:val="13"/>
        </w:rPr>
        <w:t xml:space="preserve"> </w:t>
      </w:r>
      <w:r>
        <w:rPr>
          <w:sz w:val="13"/>
        </w:rPr>
        <w:t>“diferencia</w:t>
      </w:r>
      <w:r>
        <w:rPr>
          <w:spacing w:val="-8"/>
          <w:sz w:val="13"/>
        </w:rPr>
        <w:t xml:space="preserve"> </w:t>
      </w:r>
      <w:r>
        <w:rPr>
          <w:sz w:val="13"/>
        </w:rPr>
        <w:t>en</w:t>
      </w:r>
      <w:r>
        <w:rPr>
          <w:spacing w:val="-8"/>
          <w:sz w:val="13"/>
        </w:rPr>
        <w:t xml:space="preserve"> </w:t>
      </w:r>
      <w:r>
        <w:rPr>
          <w:sz w:val="13"/>
        </w:rPr>
        <w:t>el</w:t>
      </w:r>
      <w:r>
        <w:rPr>
          <w:spacing w:val="-8"/>
          <w:sz w:val="13"/>
        </w:rPr>
        <w:t xml:space="preserve"> </w:t>
      </w:r>
      <w:r>
        <w:rPr>
          <w:sz w:val="13"/>
        </w:rPr>
        <w:t>trato</w:t>
      </w:r>
      <w:r>
        <w:rPr>
          <w:spacing w:val="-8"/>
          <w:sz w:val="13"/>
        </w:rPr>
        <w:t xml:space="preserve"> </w:t>
      </w:r>
      <w:r>
        <w:rPr>
          <w:sz w:val="13"/>
        </w:rPr>
        <w:t>de</w:t>
      </w:r>
      <w:r>
        <w:rPr>
          <w:spacing w:val="-8"/>
          <w:sz w:val="13"/>
        </w:rPr>
        <w:t xml:space="preserve"> </w:t>
      </w:r>
      <w:r>
        <w:rPr>
          <w:sz w:val="13"/>
        </w:rPr>
        <w:t>personas</w:t>
      </w:r>
      <w:r>
        <w:rPr>
          <w:spacing w:val="-8"/>
          <w:sz w:val="13"/>
        </w:rPr>
        <w:t xml:space="preserve"> </w:t>
      </w:r>
      <w:r>
        <w:rPr>
          <w:sz w:val="13"/>
        </w:rPr>
        <w:t>en</w:t>
      </w:r>
      <w:r>
        <w:rPr>
          <w:spacing w:val="-8"/>
          <w:sz w:val="13"/>
        </w:rPr>
        <w:t xml:space="preserve"> </w:t>
      </w:r>
      <w:r>
        <w:rPr>
          <w:sz w:val="13"/>
        </w:rPr>
        <w:t>situaciones</w:t>
      </w:r>
      <w:r>
        <w:rPr>
          <w:spacing w:val="-8"/>
          <w:sz w:val="13"/>
        </w:rPr>
        <w:t xml:space="preserve"> </w:t>
      </w:r>
      <w:r>
        <w:rPr>
          <w:sz w:val="13"/>
        </w:rPr>
        <w:t>análogas</w:t>
      </w:r>
      <w:r>
        <w:rPr>
          <w:spacing w:val="-8"/>
          <w:sz w:val="13"/>
        </w:rPr>
        <w:t xml:space="preserve"> </w:t>
      </w:r>
      <w:r>
        <w:rPr>
          <w:sz w:val="13"/>
        </w:rPr>
        <w:t>o</w:t>
      </w:r>
      <w:r>
        <w:rPr>
          <w:spacing w:val="-8"/>
          <w:sz w:val="13"/>
        </w:rPr>
        <w:t xml:space="preserve"> </w:t>
      </w:r>
      <w:r>
        <w:rPr>
          <w:sz w:val="13"/>
        </w:rPr>
        <w:t>significativamente</w:t>
      </w:r>
      <w:r>
        <w:rPr>
          <w:spacing w:val="-8"/>
          <w:sz w:val="13"/>
        </w:rPr>
        <w:t xml:space="preserve"> </w:t>
      </w:r>
      <w:r>
        <w:rPr>
          <w:sz w:val="13"/>
        </w:rPr>
        <w:t>similares”</w:t>
      </w:r>
      <w:r>
        <w:rPr>
          <w:spacing w:val="-8"/>
          <w:sz w:val="13"/>
        </w:rPr>
        <w:t xml:space="preserve"> </w:t>
      </w:r>
      <w:r>
        <w:rPr>
          <w:sz w:val="13"/>
        </w:rPr>
        <w:t>que</w:t>
      </w:r>
      <w:r>
        <w:rPr>
          <w:spacing w:val="-8"/>
          <w:sz w:val="13"/>
        </w:rPr>
        <w:t xml:space="preserve"> </w:t>
      </w:r>
      <w:r>
        <w:rPr>
          <w:sz w:val="13"/>
        </w:rPr>
        <w:t>esté</w:t>
      </w:r>
      <w:r>
        <w:rPr>
          <w:spacing w:val="-8"/>
          <w:sz w:val="13"/>
        </w:rPr>
        <w:t xml:space="preserve"> </w:t>
      </w:r>
      <w:r>
        <w:rPr>
          <w:sz w:val="13"/>
        </w:rPr>
        <w:t>“basada</w:t>
      </w:r>
      <w:r>
        <w:rPr>
          <w:spacing w:val="-8"/>
          <w:sz w:val="13"/>
        </w:rPr>
        <w:t xml:space="preserve"> </w:t>
      </w:r>
      <w:r>
        <w:rPr>
          <w:sz w:val="13"/>
        </w:rPr>
        <w:t>en</w:t>
      </w:r>
      <w:r>
        <w:rPr>
          <w:spacing w:val="-8"/>
          <w:sz w:val="13"/>
        </w:rPr>
        <w:t xml:space="preserve"> </w:t>
      </w:r>
      <w:r>
        <w:rPr>
          <w:sz w:val="13"/>
        </w:rPr>
        <w:t>una</w:t>
      </w:r>
      <w:r>
        <w:rPr>
          <w:spacing w:val="-8"/>
          <w:sz w:val="13"/>
        </w:rPr>
        <w:t xml:space="preserve"> </w:t>
      </w:r>
      <w:r>
        <w:rPr>
          <w:sz w:val="13"/>
        </w:rPr>
        <w:t>característica</w:t>
      </w:r>
      <w:r>
        <w:rPr>
          <w:spacing w:val="-8"/>
          <w:sz w:val="13"/>
        </w:rPr>
        <w:t xml:space="preserve"> </w:t>
      </w:r>
      <w:r>
        <w:rPr>
          <w:spacing w:val="-2"/>
          <w:sz w:val="13"/>
        </w:rPr>
        <w:t>identificable”.</w:t>
      </w:r>
    </w:p>
    <w:p w14:paraId="759302EE" w14:textId="77777777" w:rsidR="0014798C" w:rsidRDefault="004E1F0B">
      <w:pPr>
        <w:spacing w:before="30" w:line="288" w:lineRule="auto"/>
        <w:ind w:left="1366" w:right="1418" w:firstLine="4"/>
        <w:rPr>
          <w:sz w:val="13"/>
        </w:rPr>
      </w:pPr>
      <w:r>
        <w:rPr>
          <w:sz w:val="13"/>
        </w:rPr>
        <w:t>Tal</w:t>
      </w:r>
      <w:r>
        <w:rPr>
          <w:spacing w:val="-2"/>
          <w:sz w:val="13"/>
        </w:rPr>
        <w:t xml:space="preserve"> </w:t>
      </w:r>
      <w:r>
        <w:rPr>
          <w:sz w:val="13"/>
        </w:rPr>
        <w:t>diferencia</w:t>
      </w:r>
      <w:r>
        <w:rPr>
          <w:spacing w:val="-2"/>
          <w:sz w:val="13"/>
        </w:rPr>
        <w:t xml:space="preserve"> </w:t>
      </w:r>
      <w:r>
        <w:rPr>
          <w:sz w:val="13"/>
        </w:rPr>
        <w:t>de</w:t>
      </w:r>
      <w:r>
        <w:rPr>
          <w:spacing w:val="-2"/>
          <w:sz w:val="13"/>
        </w:rPr>
        <w:t xml:space="preserve"> </w:t>
      </w:r>
      <w:r>
        <w:rPr>
          <w:sz w:val="13"/>
        </w:rPr>
        <w:t>trato</w:t>
      </w:r>
      <w:r>
        <w:rPr>
          <w:spacing w:val="-2"/>
          <w:sz w:val="13"/>
        </w:rPr>
        <w:t xml:space="preserve"> </w:t>
      </w:r>
      <w:r>
        <w:rPr>
          <w:sz w:val="13"/>
        </w:rPr>
        <w:t>puede</w:t>
      </w:r>
      <w:r>
        <w:rPr>
          <w:spacing w:val="-2"/>
          <w:sz w:val="13"/>
        </w:rPr>
        <w:t xml:space="preserve"> </w:t>
      </w:r>
      <w:r>
        <w:rPr>
          <w:sz w:val="13"/>
        </w:rPr>
        <w:t>equivaler</w:t>
      </w:r>
      <w:r>
        <w:rPr>
          <w:spacing w:val="-2"/>
          <w:sz w:val="13"/>
        </w:rPr>
        <w:t xml:space="preserve"> </w:t>
      </w:r>
      <w:r>
        <w:rPr>
          <w:sz w:val="13"/>
        </w:rPr>
        <w:t>a</w:t>
      </w:r>
      <w:r>
        <w:rPr>
          <w:spacing w:val="-2"/>
          <w:sz w:val="13"/>
        </w:rPr>
        <w:t xml:space="preserve"> </w:t>
      </w:r>
      <w:r>
        <w:rPr>
          <w:sz w:val="13"/>
        </w:rPr>
        <w:t>discriminación</w:t>
      </w:r>
      <w:r>
        <w:rPr>
          <w:spacing w:val="-2"/>
          <w:sz w:val="13"/>
        </w:rPr>
        <w:t xml:space="preserve"> </w:t>
      </w:r>
      <w:r>
        <w:rPr>
          <w:sz w:val="13"/>
        </w:rPr>
        <w:t>indirecta</w:t>
      </w:r>
      <w:r>
        <w:rPr>
          <w:spacing w:val="-2"/>
          <w:sz w:val="13"/>
        </w:rPr>
        <w:t xml:space="preserve"> </w:t>
      </w:r>
      <w:r>
        <w:rPr>
          <w:sz w:val="13"/>
        </w:rPr>
        <w:t>en</w:t>
      </w:r>
      <w:r>
        <w:rPr>
          <w:spacing w:val="-2"/>
          <w:sz w:val="13"/>
        </w:rPr>
        <w:t xml:space="preserve"> </w:t>
      </w:r>
      <w:r>
        <w:rPr>
          <w:sz w:val="13"/>
        </w:rPr>
        <w:t>situaciones</w:t>
      </w:r>
      <w:r>
        <w:rPr>
          <w:spacing w:val="-2"/>
          <w:sz w:val="13"/>
        </w:rPr>
        <w:t xml:space="preserve"> </w:t>
      </w:r>
      <w:r>
        <w:rPr>
          <w:sz w:val="13"/>
        </w:rPr>
        <w:t>en</w:t>
      </w:r>
      <w:r>
        <w:rPr>
          <w:spacing w:val="-2"/>
          <w:sz w:val="13"/>
        </w:rPr>
        <w:t xml:space="preserve"> </w:t>
      </w:r>
      <w:r>
        <w:rPr>
          <w:sz w:val="13"/>
        </w:rPr>
        <w:t>las</w:t>
      </w:r>
      <w:r>
        <w:rPr>
          <w:spacing w:val="-2"/>
          <w:sz w:val="13"/>
        </w:rPr>
        <w:t xml:space="preserve"> </w:t>
      </w:r>
      <w:r>
        <w:rPr>
          <w:sz w:val="13"/>
        </w:rPr>
        <w:t>que</w:t>
      </w:r>
      <w:r>
        <w:rPr>
          <w:spacing w:val="-2"/>
          <w:sz w:val="13"/>
        </w:rPr>
        <w:t xml:space="preserve"> </w:t>
      </w:r>
      <w:r>
        <w:rPr>
          <w:sz w:val="13"/>
        </w:rPr>
        <w:t>adopta</w:t>
      </w:r>
      <w:r>
        <w:rPr>
          <w:spacing w:val="-2"/>
          <w:sz w:val="13"/>
        </w:rPr>
        <w:t xml:space="preserve"> </w:t>
      </w:r>
      <w:r>
        <w:rPr>
          <w:sz w:val="13"/>
        </w:rPr>
        <w:t>“la</w:t>
      </w:r>
      <w:r>
        <w:rPr>
          <w:spacing w:val="-2"/>
          <w:sz w:val="13"/>
        </w:rPr>
        <w:t xml:space="preserve"> </w:t>
      </w:r>
      <w:r>
        <w:rPr>
          <w:sz w:val="13"/>
        </w:rPr>
        <w:t>forma</w:t>
      </w:r>
      <w:r>
        <w:rPr>
          <w:spacing w:val="-2"/>
          <w:sz w:val="13"/>
        </w:rPr>
        <w:t xml:space="preserve"> </w:t>
      </w:r>
      <w:r>
        <w:rPr>
          <w:sz w:val="13"/>
        </w:rPr>
        <w:t>de</w:t>
      </w:r>
      <w:r>
        <w:rPr>
          <w:spacing w:val="-2"/>
          <w:sz w:val="13"/>
        </w:rPr>
        <w:t xml:space="preserve"> </w:t>
      </w:r>
      <w:r>
        <w:rPr>
          <w:sz w:val="13"/>
        </w:rPr>
        <w:t>efectos</w:t>
      </w:r>
      <w:r>
        <w:rPr>
          <w:spacing w:val="-2"/>
          <w:sz w:val="13"/>
        </w:rPr>
        <w:t xml:space="preserve"> </w:t>
      </w:r>
      <w:r>
        <w:rPr>
          <w:sz w:val="13"/>
        </w:rPr>
        <w:t>desproporcionadamente</w:t>
      </w:r>
      <w:r>
        <w:rPr>
          <w:spacing w:val="40"/>
          <w:sz w:val="13"/>
        </w:rPr>
        <w:t xml:space="preserve"> </w:t>
      </w:r>
      <w:r>
        <w:rPr>
          <w:sz w:val="13"/>
        </w:rPr>
        <w:t>perjudiciales</w:t>
      </w:r>
      <w:r>
        <w:rPr>
          <w:spacing w:val="-6"/>
          <w:sz w:val="13"/>
        </w:rPr>
        <w:t xml:space="preserve"> </w:t>
      </w:r>
      <w:r>
        <w:rPr>
          <w:sz w:val="13"/>
        </w:rPr>
        <w:t>de</w:t>
      </w:r>
      <w:r>
        <w:rPr>
          <w:spacing w:val="-6"/>
          <w:sz w:val="13"/>
        </w:rPr>
        <w:t xml:space="preserve"> </w:t>
      </w:r>
      <w:r>
        <w:rPr>
          <w:sz w:val="13"/>
        </w:rPr>
        <w:t>una</w:t>
      </w:r>
      <w:r>
        <w:rPr>
          <w:spacing w:val="-6"/>
          <w:sz w:val="13"/>
        </w:rPr>
        <w:t xml:space="preserve"> </w:t>
      </w:r>
      <w:r>
        <w:rPr>
          <w:sz w:val="13"/>
        </w:rPr>
        <w:t>política</w:t>
      </w:r>
      <w:r>
        <w:rPr>
          <w:spacing w:val="-6"/>
          <w:sz w:val="13"/>
        </w:rPr>
        <w:t xml:space="preserve"> </w:t>
      </w:r>
      <w:r>
        <w:rPr>
          <w:sz w:val="13"/>
        </w:rPr>
        <w:t>o</w:t>
      </w:r>
      <w:r>
        <w:rPr>
          <w:spacing w:val="-6"/>
          <w:sz w:val="13"/>
        </w:rPr>
        <w:t xml:space="preserve"> </w:t>
      </w:r>
      <w:r>
        <w:rPr>
          <w:sz w:val="13"/>
        </w:rPr>
        <w:t>medida</w:t>
      </w:r>
      <w:r>
        <w:rPr>
          <w:spacing w:val="-6"/>
          <w:sz w:val="13"/>
        </w:rPr>
        <w:t xml:space="preserve"> </w:t>
      </w:r>
      <w:r>
        <w:rPr>
          <w:sz w:val="13"/>
        </w:rPr>
        <w:t>general</w:t>
      </w:r>
      <w:r>
        <w:rPr>
          <w:spacing w:val="-6"/>
          <w:sz w:val="13"/>
        </w:rPr>
        <w:t xml:space="preserve"> </w:t>
      </w:r>
      <w:r>
        <w:rPr>
          <w:sz w:val="13"/>
        </w:rPr>
        <w:t>que,</w:t>
      </w:r>
      <w:r>
        <w:rPr>
          <w:spacing w:val="-6"/>
          <w:sz w:val="13"/>
        </w:rPr>
        <w:t xml:space="preserve"> </w:t>
      </w:r>
      <w:r>
        <w:rPr>
          <w:sz w:val="13"/>
        </w:rPr>
        <w:t>aunque</w:t>
      </w:r>
      <w:r>
        <w:rPr>
          <w:spacing w:val="-6"/>
          <w:sz w:val="13"/>
        </w:rPr>
        <w:t xml:space="preserve"> </w:t>
      </w:r>
      <w:r>
        <w:rPr>
          <w:sz w:val="13"/>
        </w:rPr>
        <w:t>formulada</w:t>
      </w:r>
      <w:r>
        <w:rPr>
          <w:spacing w:val="-6"/>
          <w:sz w:val="13"/>
        </w:rPr>
        <w:t xml:space="preserve"> </w:t>
      </w:r>
      <w:r>
        <w:rPr>
          <w:sz w:val="13"/>
        </w:rPr>
        <w:t>en</w:t>
      </w:r>
      <w:r>
        <w:rPr>
          <w:spacing w:val="-6"/>
          <w:sz w:val="13"/>
        </w:rPr>
        <w:t xml:space="preserve"> </w:t>
      </w:r>
      <w:r>
        <w:rPr>
          <w:sz w:val="13"/>
        </w:rPr>
        <w:t>términos</w:t>
      </w:r>
      <w:r>
        <w:rPr>
          <w:spacing w:val="-6"/>
          <w:sz w:val="13"/>
        </w:rPr>
        <w:t xml:space="preserve"> </w:t>
      </w:r>
      <w:r>
        <w:rPr>
          <w:sz w:val="13"/>
        </w:rPr>
        <w:t>neutrales,</w:t>
      </w:r>
      <w:r>
        <w:rPr>
          <w:spacing w:val="-5"/>
          <w:sz w:val="13"/>
        </w:rPr>
        <w:t xml:space="preserve"> </w:t>
      </w:r>
      <w:r>
        <w:rPr>
          <w:sz w:val="13"/>
        </w:rPr>
        <w:t>discrimina</w:t>
      </w:r>
      <w:r>
        <w:rPr>
          <w:spacing w:val="-6"/>
          <w:sz w:val="13"/>
        </w:rPr>
        <w:t xml:space="preserve"> </w:t>
      </w:r>
      <w:r>
        <w:rPr>
          <w:sz w:val="13"/>
        </w:rPr>
        <w:t>contra</w:t>
      </w:r>
      <w:r>
        <w:rPr>
          <w:spacing w:val="-6"/>
          <w:sz w:val="13"/>
        </w:rPr>
        <w:t xml:space="preserve"> </w:t>
      </w:r>
      <w:r>
        <w:rPr>
          <w:sz w:val="13"/>
        </w:rPr>
        <w:t>un</w:t>
      </w:r>
      <w:r>
        <w:rPr>
          <w:spacing w:val="-6"/>
          <w:sz w:val="13"/>
        </w:rPr>
        <w:t xml:space="preserve"> </w:t>
      </w:r>
      <w:r>
        <w:rPr>
          <w:sz w:val="13"/>
        </w:rPr>
        <w:t>grupo”.</w:t>
      </w:r>
      <w:r>
        <w:rPr>
          <w:spacing w:val="-5"/>
          <w:sz w:val="13"/>
        </w:rPr>
        <w:t xml:space="preserve"> </w:t>
      </w:r>
      <w:r>
        <w:rPr>
          <w:sz w:val="13"/>
        </w:rPr>
        <w:t>Véase,</w:t>
      </w:r>
      <w:r>
        <w:rPr>
          <w:spacing w:val="-6"/>
          <w:sz w:val="13"/>
        </w:rPr>
        <w:t xml:space="preserve"> </w:t>
      </w:r>
      <w:r>
        <w:rPr>
          <w:sz w:val="13"/>
        </w:rPr>
        <w:t>respectivamente,</w:t>
      </w:r>
      <w:r>
        <w:rPr>
          <w:spacing w:val="-5"/>
          <w:sz w:val="13"/>
        </w:rPr>
        <w:t xml:space="preserve"> </w:t>
      </w:r>
      <w:r>
        <w:rPr>
          <w:sz w:val="13"/>
        </w:rPr>
        <w:t>Tribunal</w:t>
      </w:r>
      <w:r>
        <w:rPr>
          <w:spacing w:val="40"/>
          <w:sz w:val="13"/>
        </w:rPr>
        <w:t xml:space="preserve"> </w:t>
      </w:r>
      <w:r>
        <w:rPr>
          <w:sz w:val="13"/>
        </w:rPr>
        <w:t>Europeo</w:t>
      </w:r>
      <w:r>
        <w:rPr>
          <w:spacing w:val="-6"/>
          <w:sz w:val="13"/>
        </w:rPr>
        <w:t xml:space="preserve"> </w:t>
      </w:r>
      <w:r>
        <w:rPr>
          <w:sz w:val="13"/>
        </w:rPr>
        <w:t>de</w:t>
      </w:r>
      <w:r>
        <w:rPr>
          <w:spacing w:val="-6"/>
          <w:sz w:val="13"/>
        </w:rPr>
        <w:t xml:space="preserve"> </w:t>
      </w:r>
      <w:r>
        <w:rPr>
          <w:sz w:val="13"/>
        </w:rPr>
        <w:t>Derechos</w:t>
      </w:r>
      <w:r>
        <w:rPr>
          <w:spacing w:val="-6"/>
          <w:sz w:val="13"/>
        </w:rPr>
        <w:t xml:space="preserve"> </w:t>
      </w:r>
      <w:r>
        <w:rPr>
          <w:sz w:val="13"/>
        </w:rPr>
        <w:t>Humanos,</w:t>
      </w:r>
      <w:r>
        <w:rPr>
          <w:spacing w:val="-5"/>
          <w:sz w:val="13"/>
        </w:rPr>
        <w:t xml:space="preserve"> </w:t>
      </w:r>
      <w:r>
        <w:rPr>
          <w:sz w:val="13"/>
        </w:rPr>
        <w:t>Carson</w:t>
      </w:r>
      <w:r>
        <w:rPr>
          <w:spacing w:val="-6"/>
          <w:sz w:val="13"/>
        </w:rPr>
        <w:t xml:space="preserve"> </w:t>
      </w:r>
      <w:r>
        <w:rPr>
          <w:sz w:val="13"/>
        </w:rPr>
        <w:t>y</w:t>
      </w:r>
      <w:r>
        <w:rPr>
          <w:spacing w:val="-6"/>
          <w:sz w:val="13"/>
        </w:rPr>
        <w:t xml:space="preserve"> </w:t>
      </w:r>
      <w:r>
        <w:rPr>
          <w:sz w:val="13"/>
        </w:rPr>
        <w:t>otros</w:t>
      </w:r>
      <w:r>
        <w:rPr>
          <w:spacing w:val="-6"/>
          <w:sz w:val="13"/>
        </w:rPr>
        <w:t xml:space="preserve"> </w:t>
      </w:r>
      <w:r>
        <w:rPr>
          <w:sz w:val="13"/>
        </w:rPr>
        <w:t>c.</w:t>
      </w:r>
      <w:r>
        <w:rPr>
          <w:spacing w:val="-6"/>
          <w:sz w:val="13"/>
        </w:rPr>
        <w:t xml:space="preserve"> </w:t>
      </w:r>
      <w:r>
        <w:rPr>
          <w:sz w:val="13"/>
        </w:rPr>
        <w:t>el</w:t>
      </w:r>
      <w:r>
        <w:rPr>
          <w:spacing w:val="-6"/>
          <w:sz w:val="13"/>
        </w:rPr>
        <w:t xml:space="preserve"> </w:t>
      </w:r>
      <w:r>
        <w:rPr>
          <w:sz w:val="13"/>
        </w:rPr>
        <w:t>Reino</w:t>
      </w:r>
      <w:r>
        <w:rPr>
          <w:spacing w:val="-6"/>
          <w:sz w:val="13"/>
        </w:rPr>
        <w:t xml:space="preserve"> </w:t>
      </w:r>
      <w:r>
        <w:rPr>
          <w:sz w:val="13"/>
        </w:rPr>
        <w:t>Unido,</w:t>
      </w:r>
      <w:r>
        <w:rPr>
          <w:spacing w:val="-5"/>
          <w:sz w:val="13"/>
        </w:rPr>
        <w:t xml:space="preserve"> </w:t>
      </w:r>
      <w:r>
        <w:rPr>
          <w:sz w:val="13"/>
        </w:rPr>
        <w:t>solicitud</w:t>
      </w:r>
      <w:r>
        <w:rPr>
          <w:spacing w:val="-6"/>
          <w:sz w:val="13"/>
        </w:rPr>
        <w:t xml:space="preserve"> </w:t>
      </w:r>
      <w:r>
        <w:rPr>
          <w:sz w:val="13"/>
        </w:rPr>
        <w:t>n.º</w:t>
      </w:r>
      <w:r>
        <w:rPr>
          <w:spacing w:val="-6"/>
          <w:sz w:val="13"/>
        </w:rPr>
        <w:t xml:space="preserve"> </w:t>
      </w:r>
      <w:r>
        <w:rPr>
          <w:sz w:val="13"/>
        </w:rPr>
        <w:t>42184/05,</w:t>
      </w:r>
      <w:r>
        <w:rPr>
          <w:spacing w:val="-5"/>
          <w:sz w:val="13"/>
        </w:rPr>
        <w:t xml:space="preserve"> </w:t>
      </w:r>
      <w:r>
        <w:rPr>
          <w:sz w:val="13"/>
        </w:rPr>
        <w:t>sentencia</w:t>
      </w:r>
      <w:r>
        <w:rPr>
          <w:spacing w:val="-6"/>
          <w:sz w:val="13"/>
        </w:rPr>
        <w:t xml:space="preserve"> </w:t>
      </w:r>
      <w:r>
        <w:rPr>
          <w:sz w:val="13"/>
        </w:rPr>
        <w:t>de</w:t>
      </w:r>
      <w:r>
        <w:rPr>
          <w:spacing w:val="-6"/>
          <w:sz w:val="13"/>
        </w:rPr>
        <w:t xml:space="preserve"> </w:t>
      </w:r>
      <w:r>
        <w:rPr>
          <w:sz w:val="13"/>
        </w:rPr>
        <w:t>16</w:t>
      </w:r>
      <w:r>
        <w:rPr>
          <w:spacing w:val="-6"/>
          <w:sz w:val="13"/>
        </w:rPr>
        <w:t xml:space="preserve"> </w:t>
      </w:r>
      <w:r>
        <w:rPr>
          <w:sz w:val="13"/>
        </w:rPr>
        <w:t>de</w:t>
      </w:r>
      <w:r>
        <w:rPr>
          <w:spacing w:val="-6"/>
          <w:sz w:val="13"/>
        </w:rPr>
        <w:t xml:space="preserve"> </w:t>
      </w:r>
      <w:r>
        <w:rPr>
          <w:sz w:val="13"/>
        </w:rPr>
        <w:t>marzo</w:t>
      </w:r>
      <w:r>
        <w:rPr>
          <w:spacing w:val="-6"/>
          <w:sz w:val="13"/>
        </w:rPr>
        <w:t xml:space="preserve"> </w:t>
      </w:r>
      <w:r>
        <w:rPr>
          <w:sz w:val="13"/>
        </w:rPr>
        <w:t>de</w:t>
      </w:r>
      <w:r>
        <w:rPr>
          <w:spacing w:val="-6"/>
          <w:sz w:val="13"/>
        </w:rPr>
        <w:t xml:space="preserve"> </w:t>
      </w:r>
      <w:r>
        <w:rPr>
          <w:sz w:val="13"/>
        </w:rPr>
        <w:t>2010,</w:t>
      </w:r>
      <w:r>
        <w:rPr>
          <w:spacing w:val="-6"/>
          <w:sz w:val="13"/>
        </w:rPr>
        <w:t xml:space="preserve"> </w:t>
      </w:r>
      <w:r>
        <w:rPr>
          <w:sz w:val="13"/>
        </w:rPr>
        <w:t>párr.</w:t>
      </w:r>
      <w:r>
        <w:rPr>
          <w:spacing w:val="-6"/>
          <w:sz w:val="13"/>
        </w:rPr>
        <w:t xml:space="preserve"> </w:t>
      </w:r>
      <w:r>
        <w:rPr>
          <w:sz w:val="13"/>
        </w:rPr>
        <w:t>61;</w:t>
      </w:r>
      <w:r>
        <w:rPr>
          <w:spacing w:val="-6"/>
          <w:sz w:val="13"/>
        </w:rPr>
        <w:t xml:space="preserve"> </w:t>
      </w:r>
      <w:r>
        <w:rPr>
          <w:sz w:val="13"/>
        </w:rPr>
        <w:t>y</w:t>
      </w:r>
      <w:r>
        <w:rPr>
          <w:spacing w:val="-6"/>
          <w:sz w:val="13"/>
        </w:rPr>
        <w:t xml:space="preserve"> </w:t>
      </w:r>
      <w:r>
        <w:rPr>
          <w:sz w:val="13"/>
        </w:rPr>
        <w:t>Tribunal</w:t>
      </w:r>
    </w:p>
    <w:p w14:paraId="23E45DFF" w14:textId="77777777" w:rsidR="0014798C" w:rsidRDefault="004E1F0B">
      <w:pPr>
        <w:spacing w:before="1"/>
        <w:ind w:left="1366"/>
        <w:rPr>
          <w:sz w:val="13"/>
        </w:rPr>
      </w:pPr>
      <w:r>
        <w:rPr>
          <w:sz w:val="13"/>
        </w:rPr>
        <w:t>Europeo</w:t>
      </w:r>
      <w:r>
        <w:rPr>
          <w:spacing w:val="-9"/>
          <w:sz w:val="13"/>
        </w:rPr>
        <w:t xml:space="preserve"> </w:t>
      </w:r>
      <w:r>
        <w:rPr>
          <w:sz w:val="13"/>
        </w:rPr>
        <w:t>de</w:t>
      </w:r>
      <w:r>
        <w:rPr>
          <w:spacing w:val="-8"/>
          <w:sz w:val="13"/>
        </w:rPr>
        <w:t xml:space="preserve"> </w:t>
      </w:r>
      <w:r>
        <w:rPr>
          <w:sz w:val="13"/>
        </w:rPr>
        <w:t>Derechos</w:t>
      </w:r>
      <w:r>
        <w:rPr>
          <w:spacing w:val="-8"/>
          <w:sz w:val="13"/>
        </w:rPr>
        <w:t xml:space="preserve"> </w:t>
      </w:r>
      <w:r>
        <w:rPr>
          <w:sz w:val="13"/>
        </w:rPr>
        <w:t>Humanos,</w:t>
      </w:r>
      <w:r>
        <w:rPr>
          <w:spacing w:val="-7"/>
          <w:sz w:val="13"/>
        </w:rPr>
        <w:t xml:space="preserve"> </w:t>
      </w:r>
      <w:r>
        <w:rPr>
          <w:sz w:val="13"/>
        </w:rPr>
        <w:t>Biao</w:t>
      </w:r>
      <w:r>
        <w:rPr>
          <w:spacing w:val="-8"/>
          <w:sz w:val="13"/>
        </w:rPr>
        <w:t xml:space="preserve"> </w:t>
      </w:r>
      <w:r>
        <w:rPr>
          <w:sz w:val="13"/>
        </w:rPr>
        <w:t>c.</w:t>
      </w:r>
      <w:r>
        <w:rPr>
          <w:spacing w:val="-8"/>
          <w:sz w:val="13"/>
        </w:rPr>
        <w:t xml:space="preserve"> </w:t>
      </w:r>
      <w:r>
        <w:rPr>
          <w:sz w:val="13"/>
        </w:rPr>
        <w:t>Dinamarca,</w:t>
      </w:r>
      <w:r>
        <w:rPr>
          <w:spacing w:val="-8"/>
          <w:sz w:val="13"/>
        </w:rPr>
        <w:t xml:space="preserve"> </w:t>
      </w:r>
      <w:r>
        <w:rPr>
          <w:sz w:val="13"/>
        </w:rPr>
        <w:t>solicitud</w:t>
      </w:r>
      <w:r>
        <w:rPr>
          <w:spacing w:val="-8"/>
          <w:sz w:val="13"/>
        </w:rPr>
        <w:t xml:space="preserve"> </w:t>
      </w:r>
      <w:r>
        <w:rPr>
          <w:sz w:val="13"/>
        </w:rPr>
        <w:t>n.º</w:t>
      </w:r>
      <w:r>
        <w:rPr>
          <w:spacing w:val="-8"/>
          <w:sz w:val="13"/>
        </w:rPr>
        <w:t xml:space="preserve"> </w:t>
      </w:r>
      <w:r>
        <w:rPr>
          <w:sz w:val="13"/>
        </w:rPr>
        <w:t>38590/10,</w:t>
      </w:r>
      <w:r>
        <w:rPr>
          <w:spacing w:val="-7"/>
          <w:sz w:val="13"/>
        </w:rPr>
        <w:t xml:space="preserve"> </w:t>
      </w:r>
      <w:r>
        <w:rPr>
          <w:sz w:val="13"/>
        </w:rPr>
        <w:t>sentencia</w:t>
      </w:r>
      <w:r>
        <w:rPr>
          <w:spacing w:val="-8"/>
          <w:sz w:val="13"/>
        </w:rPr>
        <w:t xml:space="preserve"> </w:t>
      </w:r>
      <w:r>
        <w:rPr>
          <w:sz w:val="13"/>
        </w:rPr>
        <w:t>de</w:t>
      </w:r>
      <w:r>
        <w:rPr>
          <w:spacing w:val="-8"/>
          <w:sz w:val="13"/>
        </w:rPr>
        <w:t xml:space="preserve"> </w:t>
      </w:r>
      <w:r>
        <w:rPr>
          <w:sz w:val="13"/>
        </w:rPr>
        <w:t>24</w:t>
      </w:r>
      <w:r>
        <w:rPr>
          <w:spacing w:val="-9"/>
          <w:sz w:val="13"/>
        </w:rPr>
        <w:t xml:space="preserve"> </w:t>
      </w:r>
      <w:r>
        <w:rPr>
          <w:sz w:val="13"/>
        </w:rPr>
        <w:t>de</w:t>
      </w:r>
      <w:r>
        <w:rPr>
          <w:spacing w:val="-8"/>
          <w:sz w:val="13"/>
        </w:rPr>
        <w:t xml:space="preserve"> </w:t>
      </w:r>
      <w:r>
        <w:rPr>
          <w:sz w:val="13"/>
        </w:rPr>
        <w:t>mayo</w:t>
      </w:r>
      <w:r>
        <w:rPr>
          <w:spacing w:val="-8"/>
          <w:sz w:val="13"/>
        </w:rPr>
        <w:t xml:space="preserve"> </w:t>
      </w:r>
      <w:r>
        <w:rPr>
          <w:sz w:val="13"/>
        </w:rPr>
        <w:t>de</w:t>
      </w:r>
      <w:r>
        <w:rPr>
          <w:spacing w:val="-8"/>
          <w:sz w:val="13"/>
        </w:rPr>
        <w:t xml:space="preserve"> </w:t>
      </w:r>
      <w:r>
        <w:rPr>
          <w:sz w:val="13"/>
        </w:rPr>
        <w:t>2016,</w:t>
      </w:r>
      <w:r>
        <w:rPr>
          <w:spacing w:val="-8"/>
          <w:sz w:val="13"/>
        </w:rPr>
        <w:t xml:space="preserve"> </w:t>
      </w:r>
      <w:r>
        <w:rPr>
          <w:sz w:val="13"/>
        </w:rPr>
        <w:t>párr.</w:t>
      </w:r>
      <w:r>
        <w:rPr>
          <w:spacing w:val="-8"/>
          <w:sz w:val="13"/>
        </w:rPr>
        <w:t xml:space="preserve"> </w:t>
      </w:r>
      <w:r>
        <w:rPr>
          <w:spacing w:val="-4"/>
          <w:sz w:val="13"/>
        </w:rPr>
        <w:t>103.</w:t>
      </w:r>
    </w:p>
    <w:p w14:paraId="0AF6CB18" w14:textId="77777777" w:rsidR="0014798C" w:rsidRDefault="004E1F0B">
      <w:pPr>
        <w:spacing w:before="107"/>
        <w:ind w:left="1105"/>
        <w:rPr>
          <w:sz w:val="12"/>
        </w:rPr>
      </w:pPr>
      <w:r>
        <w:rPr>
          <w:w w:val="105"/>
          <w:sz w:val="12"/>
        </w:rPr>
        <w:t>232</w:t>
      </w:r>
      <w:r>
        <w:rPr>
          <w:spacing w:val="-6"/>
          <w:w w:val="105"/>
          <w:sz w:val="12"/>
        </w:rPr>
        <w:t xml:space="preserve"> </w:t>
      </w:r>
      <w:r>
        <w:rPr>
          <w:w w:val="105"/>
          <w:sz w:val="12"/>
        </w:rPr>
        <w:t>La</w:t>
      </w:r>
      <w:r>
        <w:rPr>
          <w:spacing w:val="-6"/>
          <w:w w:val="105"/>
          <w:sz w:val="12"/>
        </w:rPr>
        <w:t xml:space="preserve"> </w:t>
      </w:r>
      <w:r>
        <w:rPr>
          <w:w w:val="105"/>
          <w:sz w:val="12"/>
        </w:rPr>
        <w:t>definición</w:t>
      </w:r>
      <w:r>
        <w:rPr>
          <w:spacing w:val="-6"/>
          <w:w w:val="105"/>
          <w:sz w:val="12"/>
        </w:rPr>
        <w:t xml:space="preserve"> </w:t>
      </w:r>
      <w:r>
        <w:rPr>
          <w:w w:val="105"/>
          <w:sz w:val="12"/>
        </w:rPr>
        <w:t>general</w:t>
      </w:r>
      <w:r>
        <w:rPr>
          <w:spacing w:val="-5"/>
          <w:w w:val="105"/>
          <w:sz w:val="12"/>
        </w:rPr>
        <w:t xml:space="preserve"> </w:t>
      </w:r>
      <w:r>
        <w:rPr>
          <w:w w:val="105"/>
          <w:sz w:val="12"/>
        </w:rPr>
        <w:t>de</w:t>
      </w:r>
      <w:r>
        <w:rPr>
          <w:spacing w:val="-6"/>
          <w:w w:val="105"/>
          <w:sz w:val="12"/>
        </w:rPr>
        <w:t xml:space="preserve"> </w:t>
      </w:r>
      <w:r>
        <w:rPr>
          <w:w w:val="105"/>
          <w:sz w:val="12"/>
        </w:rPr>
        <w:t>discriminación</w:t>
      </w:r>
      <w:r>
        <w:rPr>
          <w:spacing w:val="-6"/>
          <w:w w:val="105"/>
          <w:sz w:val="12"/>
        </w:rPr>
        <w:t xml:space="preserve"> </w:t>
      </w:r>
      <w:r>
        <w:rPr>
          <w:w w:val="105"/>
          <w:sz w:val="12"/>
        </w:rPr>
        <w:t>suele</w:t>
      </w:r>
      <w:r>
        <w:rPr>
          <w:spacing w:val="-5"/>
          <w:w w:val="105"/>
          <w:sz w:val="12"/>
        </w:rPr>
        <w:t xml:space="preserve"> </w:t>
      </w:r>
      <w:r>
        <w:rPr>
          <w:w w:val="105"/>
          <w:sz w:val="12"/>
        </w:rPr>
        <w:t>referirse</w:t>
      </w:r>
      <w:r>
        <w:rPr>
          <w:spacing w:val="-6"/>
          <w:w w:val="105"/>
          <w:sz w:val="12"/>
        </w:rPr>
        <w:t xml:space="preserve"> </w:t>
      </w:r>
      <w:r>
        <w:rPr>
          <w:w w:val="105"/>
          <w:sz w:val="12"/>
        </w:rPr>
        <w:t>a</w:t>
      </w:r>
      <w:r>
        <w:rPr>
          <w:spacing w:val="-6"/>
          <w:w w:val="105"/>
          <w:sz w:val="12"/>
        </w:rPr>
        <w:t xml:space="preserve"> </w:t>
      </w:r>
      <w:r>
        <w:rPr>
          <w:w w:val="105"/>
          <w:sz w:val="12"/>
        </w:rPr>
        <w:t>distinciones,</w:t>
      </w:r>
      <w:r>
        <w:rPr>
          <w:spacing w:val="-5"/>
          <w:w w:val="105"/>
          <w:sz w:val="12"/>
        </w:rPr>
        <w:t xml:space="preserve"> </w:t>
      </w:r>
      <w:r>
        <w:rPr>
          <w:w w:val="105"/>
          <w:sz w:val="12"/>
        </w:rPr>
        <w:t>exclusiones</w:t>
      </w:r>
      <w:r>
        <w:rPr>
          <w:spacing w:val="-5"/>
          <w:w w:val="105"/>
          <w:sz w:val="12"/>
        </w:rPr>
        <w:t xml:space="preserve"> </w:t>
      </w:r>
      <w:r>
        <w:rPr>
          <w:w w:val="105"/>
          <w:sz w:val="12"/>
        </w:rPr>
        <w:t>o</w:t>
      </w:r>
      <w:r>
        <w:rPr>
          <w:spacing w:val="-6"/>
          <w:w w:val="105"/>
          <w:sz w:val="12"/>
        </w:rPr>
        <w:t xml:space="preserve"> </w:t>
      </w:r>
      <w:r>
        <w:rPr>
          <w:w w:val="105"/>
          <w:sz w:val="12"/>
        </w:rPr>
        <w:t>restricciones.</w:t>
      </w:r>
      <w:r>
        <w:rPr>
          <w:spacing w:val="-5"/>
          <w:w w:val="105"/>
          <w:sz w:val="12"/>
        </w:rPr>
        <w:t xml:space="preserve"> </w:t>
      </w:r>
      <w:r>
        <w:rPr>
          <w:w w:val="105"/>
          <w:sz w:val="12"/>
        </w:rPr>
        <w:t>Véase,</w:t>
      </w:r>
      <w:r>
        <w:rPr>
          <w:spacing w:val="-6"/>
          <w:w w:val="105"/>
          <w:sz w:val="12"/>
        </w:rPr>
        <w:t xml:space="preserve"> </w:t>
      </w:r>
      <w:r>
        <w:rPr>
          <w:w w:val="105"/>
          <w:sz w:val="12"/>
        </w:rPr>
        <w:t>por</w:t>
      </w:r>
      <w:r>
        <w:rPr>
          <w:spacing w:val="-5"/>
          <w:w w:val="105"/>
          <w:sz w:val="12"/>
        </w:rPr>
        <w:t xml:space="preserve"> </w:t>
      </w:r>
      <w:r>
        <w:rPr>
          <w:w w:val="105"/>
          <w:sz w:val="12"/>
        </w:rPr>
        <w:t>ejemplo,</w:t>
      </w:r>
      <w:r>
        <w:rPr>
          <w:spacing w:val="-5"/>
          <w:w w:val="105"/>
          <w:sz w:val="12"/>
        </w:rPr>
        <w:t xml:space="preserve"> </w:t>
      </w:r>
      <w:r>
        <w:rPr>
          <w:spacing w:val="-2"/>
          <w:w w:val="105"/>
          <w:sz w:val="12"/>
        </w:rPr>
        <w:t>Interamericana</w:t>
      </w:r>
    </w:p>
    <w:p w14:paraId="38DA07D3" w14:textId="77777777" w:rsidR="0014798C" w:rsidRDefault="004E1F0B">
      <w:pPr>
        <w:spacing w:before="22" w:line="288" w:lineRule="auto"/>
        <w:ind w:left="1367" w:right="1272" w:firstLine="4"/>
        <w:rPr>
          <w:sz w:val="13"/>
        </w:rPr>
      </w:pPr>
      <w:r>
        <w:rPr>
          <w:sz w:val="13"/>
        </w:rPr>
        <w:t>Convención</w:t>
      </w:r>
      <w:r>
        <w:rPr>
          <w:spacing w:val="-5"/>
          <w:sz w:val="13"/>
        </w:rPr>
        <w:t xml:space="preserve"> </w:t>
      </w:r>
      <w:r>
        <w:rPr>
          <w:sz w:val="13"/>
        </w:rPr>
        <w:t>contra</w:t>
      </w:r>
      <w:r>
        <w:rPr>
          <w:spacing w:val="-5"/>
          <w:sz w:val="13"/>
        </w:rPr>
        <w:t xml:space="preserve"> </w:t>
      </w:r>
      <w:r>
        <w:rPr>
          <w:sz w:val="13"/>
        </w:rPr>
        <w:t>todas</w:t>
      </w:r>
      <w:r>
        <w:rPr>
          <w:spacing w:val="-5"/>
          <w:sz w:val="13"/>
        </w:rPr>
        <w:t xml:space="preserve"> </w:t>
      </w:r>
      <w:r>
        <w:rPr>
          <w:sz w:val="13"/>
        </w:rPr>
        <w:t>las</w:t>
      </w:r>
      <w:r>
        <w:rPr>
          <w:spacing w:val="-5"/>
          <w:sz w:val="13"/>
        </w:rPr>
        <w:t xml:space="preserve"> </w:t>
      </w:r>
      <w:r>
        <w:rPr>
          <w:sz w:val="13"/>
        </w:rPr>
        <w:t>formas</w:t>
      </w:r>
      <w:r>
        <w:rPr>
          <w:spacing w:val="-5"/>
          <w:sz w:val="13"/>
        </w:rPr>
        <w:t xml:space="preserve"> </w:t>
      </w:r>
      <w:r>
        <w:rPr>
          <w:sz w:val="13"/>
        </w:rPr>
        <w:t>de</w:t>
      </w:r>
      <w:r>
        <w:rPr>
          <w:spacing w:val="-5"/>
          <w:sz w:val="13"/>
        </w:rPr>
        <w:t xml:space="preserve"> </w:t>
      </w:r>
      <w:r>
        <w:rPr>
          <w:sz w:val="13"/>
        </w:rPr>
        <w:t>discriminación</w:t>
      </w:r>
      <w:r>
        <w:rPr>
          <w:spacing w:val="-5"/>
          <w:sz w:val="13"/>
        </w:rPr>
        <w:t xml:space="preserve"> </w:t>
      </w:r>
      <w:r>
        <w:rPr>
          <w:sz w:val="13"/>
        </w:rPr>
        <w:t>e</w:t>
      </w:r>
      <w:r>
        <w:rPr>
          <w:spacing w:val="-5"/>
          <w:sz w:val="13"/>
        </w:rPr>
        <w:t xml:space="preserve"> </w:t>
      </w:r>
      <w:r>
        <w:rPr>
          <w:sz w:val="13"/>
        </w:rPr>
        <w:t>intolerancia,</w:t>
      </w:r>
      <w:r>
        <w:rPr>
          <w:spacing w:val="-4"/>
          <w:sz w:val="13"/>
        </w:rPr>
        <w:t xml:space="preserve"> </w:t>
      </w:r>
      <w:r>
        <w:rPr>
          <w:sz w:val="13"/>
        </w:rPr>
        <w:t>art.</w:t>
      </w:r>
      <w:r>
        <w:rPr>
          <w:spacing w:val="-5"/>
          <w:sz w:val="13"/>
        </w:rPr>
        <w:t xml:space="preserve"> </w:t>
      </w:r>
      <w:r>
        <w:rPr>
          <w:sz w:val="13"/>
        </w:rPr>
        <w:t>1</w:t>
      </w:r>
      <w:r>
        <w:rPr>
          <w:spacing w:val="-5"/>
          <w:sz w:val="13"/>
        </w:rPr>
        <w:t xml:space="preserve"> </w:t>
      </w:r>
      <w:r>
        <w:rPr>
          <w:sz w:val="13"/>
        </w:rPr>
        <w:t>(1).</w:t>
      </w:r>
      <w:r>
        <w:rPr>
          <w:spacing w:val="-5"/>
          <w:sz w:val="13"/>
        </w:rPr>
        <w:t xml:space="preserve"> </w:t>
      </w:r>
      <w:r>
        <w:rPr>
          <w:sz w:val="13"/>
        </w:rPr>
        <w:t>Véase</w:t>
      </w:r>
      <w:r>
        <w:rPr>
          <w:spacing w:val="-5"/>
          <w:sz w:val="13"/>
        </w:rPr>
        <w:t xml:space="preserve"> </w:t>
      </w:r>
      <w:r>
        <w:rPr>
          <w:sz w:val="13"/>
        </w:rPr>
        <w:t>también</w:t>
      </w:r>
      <w:r>
        <w:rPr>
          <w:spacing w:val="-5"/>
          <w:sz w:val="13"/>
        </w:rPr>
        <w:t xml:space="preserve"> </w:t>
      </w:r>
      <w:r>
        <w:rPr>
          <w:sz w:val="13"/>
        </w:rPr>
        <w:t>Comisión</w:t>
      </w:r>
      <w:r>
        <w:rPr>
          <w:spacing w:val="-5"/>
          <w:sz w:val="13"/>
        </w:rPr>
        <w:t xml:space="preserve"> </w:t>
      </w:r>
      <w:r>
        <w:rPr>
          <w:sz w:val="13"/>
        </w:rPr>
        <w:t>Africana</w:t>
      </w:r>
      <w:r>
        <w:rPr>
          <w:spacing w:val="-5"/>
          <w:sz w:val="13"/>
        </w:rPr>
        <w:t xml:space="preserve"> </w:t>
      </w:r>
      <w:r>
        <w:rPr>
          <w:sz w:val="13"/>
        </w:rPr>
        <w:t>de</w:t>
      </w:r>
      <w:r>
        <w:rPr>
          <w:spacing w:val="-5"/>
          <w:sz w:val="13"/>
        </w:rPr>
        <w:t xml:space="preserve"> </w:t>
      </w:r>
      <w:r>
        <w:rPr>
          <w:sz w:val="13"/>
        </w:rPr>
        <w:t>Derechos</w:t>
      </w:r>
      <w:r>
        <w:rPr>
          <w:spacing w:val="-5"/>
          <w:sz w:val="13"/>
        </w:rPr>
        <w:t xml:space="preserve"> </w:t>
      </w:r>
      <w:r>
        <w:rPr>
          <w:sz w:val="13"/>
        </w:rPr>
        <w:t>Humanos</w:t>
      </w:r>
      <w:r>
        <w:rPr>
          <w:spacing w:val="-5"/>
          <w:sz w:val="13"/>
        </w:rPr>
        <w:t xml:space="preserve"> </w:t>
      </w:r>
      <w:r>
        <w:rPr>
          <w:sz w:val="13"/>
        </w:rPr>
        <w:t>y</w:t>
      </w:r>
      <w:r>
        <w:rPr>
          <w:spacing w:val="-5"/>
          <w:sz w:val="13"/>
        </w:rPr>
        <w:t xml:space="preserve"> </w:t>
      </w:r>
      <w:r>
        <w:rPr>
          <w:sz w:val="13"/>
        </w:rPr>
        <w:t>de</w:t>
      </w:r>
      <w:r>
        <w:rPr>
          <w:spacing w:val="-5"/>
          <w:sz w:val="13"/>
        </w:rPr>
        <w:t xml:space="preserve"> </w:t>
      </w:r>
      <w:r>
        <w:rPr>
          <w:sz w:val="13"/>
        </w:rPr>
        <w:t>los</w:t>
      </w:r>
      <w:r>
        <w:rPr>
          <w:spacing w:val="-5"/>
          <w:sz w:val="13"/>
        </w:rPr>
        <w:t xml:space="preserve"> </w:t>
      </w:r>
      <w:r>
        <w:rPr>
          <w:sz w:val="13"/>
        </w:rPr>
        <w:t>Pueblos,</w:t>
      </w:r>
      <w:r>
        <w:rPr>
          <w:spacing w:val="40"/>
          <w:sz w:val="13"/>
        </w:rPr>
        <w:t xml:space="preserve"> </w:t>
      </w:r>
      <w:r>
        <w:rPr>
          <w:sz w:val="13"/>
        </w:rPr>
        <w:t>Principios</w:t>
      </w:r>
      <w:r>
        <w:rPr>
          <w:spacing w:val="-1"/>
          <w:sz w:val="13"/>
        </w:rPr>
        <w:t xml:space="preserve"> </w:t>
      </w:r>
      <w:r>
        <w:rPr>
          <w:sz w:val="13"/>
        </w:rPr>
        <w:t>y</w:t>
      </w:r>
      <w:r>
        <w:rPr>
          <w:spacing w:val="-1"/>
          <w:sz w:val="13"/>
        </w:rPr>
        <w:t xml:space="preserve"> </w:t>
      </w:r>
      <w:r>
        <w:rPr>
          <w:sz w:val="13"/>
        </w:rPr>
        <w:t>directrices</w:t>
      </w:r>
      <w:r>
        <w:rPr>
          <w:spacing w:val="-1"/>
          <w:sz w:val="13"/>
        </w:rPr>
        <w:t xml:space="preserve"> </w:t>
      </w:r>
      <w:r>
        <w:rPr>
          <w:sz w:val="13"/>
        </w:rPr>
        <w:t>sobre</w:t>
      </w:r>
      <w:r>
        <w:rPr>
          <w:spacing w:val="-1"/>
          <w:sz w:val="13"/>
        </w:rPr>
        <w:t xml:space="preserve"> </w:t>
      </w:r>
      <w:r>
        <w:rPr>
          <w:sz w:val="13"/>
        </w:rPr>
        <w:t>la</w:t>
      </w:r>
      <w:r>
        <w:rPr>
          <w:spacing w:val="-1"/>
          <w:sz w:val="13"/>
        </w:rPr>
        <w:t xml:space="preserve"> </w:t>
      </w:r>
      <w:r>
        <w:rPr>
          <w:sz w:val="13"/>
        </w:rPr>
        <w:t>implementación</w:t>
      </w:r>
      <w:r>
        <w:rPr>
          <w:spacing w:val="-1"/>
          <w:sz w:val="13"/>
        </w:rPr>
        <w:t xml:space="preserve"> </w:t>
      </w:r>
      <w:r>
        <w:rPr>
          <w:sz w:val="13"/>
        </w:rPr>
        <w:t>de</w:t>
      </w:r>
      <w:r>
        <w:rPr>
          <w:spacing w:val="-1"/>
          <w:sz w:val="13"/>
        </w:rPr>
        <w:t xml:space="preserve"> </w:t>
      </w:r>
      <w:r>
        <w:rPr>
          <w:sz w:val="13"/>
        </w:rPr>
        <w:t>los</w:t>
      </w:r>
      <w:r>
        <w:rPr>
          <w:spacing w:val="-1"/>
          <w:sz w:val="13"/>
        </w:rPr>
        <w:t xml:space="preserve"> </w:t>
      </w:r>
      <w:r>
        <w:rPr>
          <w:sz w:val="13"/>
        </w:rPr>
        <w:t>derechos</w:t>
      </w:r>
      <w:r>
        <w:rPr>
          <w:spacing w:val="-1"/>
          <w:sz w:val="13"/>
        </w:rPr>
        <w:t xml:space="preserve"> </w:t>
      </w:r>
      <w:r>
        <w:rPr>
          <w:sz w:val="13"/>
        </w:rPr>
        <w:t>económicos, sociales</w:t>
      </w:r>
      <w:r>
        <w:rPr>
          <w:spacing w:val="-1"/>
          <w:sz w:val="13"/>
        </w:rPr>
        <w:t xml:space="preserve"> </w:t>
      </w:r>
      <w:r>
        <w:rPr>
          <w:sz w:val="13"/>
        </w:rPr>
        <w:t>y</w:t>
      </w:r>
      <w:r>
        <w:rPr>
          <w:spacing w:val="-1"/>
          <w:sz w:val="13"/>
        </w:rPr>
        <w:t xml:space="preserve"> </w:t>
      </w:r>
      <w:r>
        <w:rPr>
          <w:sz w:val="13"/>
        </w:rPr>
        <w:t>culturales</w:t>
      </w:r>
      <w:r>
        <w:rPr>
          <w:spacing w:val="-1"/>
          <w:sz w:val="13"/>
        </w:rPr>
        <w:t xml:space="preserve"> </w:t>
      </w:r>
      <w:r>
        <w:rPr>
          <w:sz w:val="13"/>
        </w:rPr>
        <w:t>en</w:t>
      </w:r>
      <w:r>
        <w:rPr>
          <w:spacing w:val="-1"/>
          <w:sz w:val="13"/>
        </w:rPr>
        <w:t xml:space="preserve"> </w:t>
      </w:r>
      <w:r>
        <w:rPr>
          <w:sz w:val="13"/>
        </w:rPr>
        <w:t>la</w:t>
      </w:r>
      <w:r>
        <w:rPr>
          <w:spacing w:val="-1"/>
          <w:sz w:val="13"/>
        </w:rPr>
        <w:t xml:space="preserve"> </w:t>
      </w:r>
      <w:r>
        <w:rPr>
          <w:sz w:val="13"/>
        </w:rPr>
        <w:t>Carta</w:t>
      </w:r>
      <w:r>
        <w:rPr>
          <w:spacing w:val="-1"/>
          <w:sz w:val="13"/>
        </w:rPr>
        <w:t xml:space="preserve"> </w:t>
      </w:r>
      <w:r>
        <w:rPr>
          <w:sz w:val="13"/>
        </w:rPr>
        <w:t>Africana</w:t>
      </w:r>
      <w:r>
        <w:rPr>
          <w:spacing w:val="-1"/>
          <w:sz w:val="13"/>
        </w:rPr>
        <w:t xml:space="preserve"> </w:t>
      </w:r>
      <w:r>
        <w:rPr>
          <w:sz w:val="13"/>
        </w:rPr>
        <w:t>de</w:t>
      </w:r>
      <w:r>
        <w:rPr>
          <w:spacing w:val="-1"/>
          <w:sz w:val="13"/>
        </w:rPr>
        <w:t xml:space="preserve"> </w:t>
      </w:r>
      <w:r>
        <w:rPr>
          <w:sz w:val="13"/>
        </w:rPr>
        <w:t>Derechos</w:t>
      </w:r>
      <w:r>
        <w:rPr>
          <w:spacing w:val="-1"/>
          <w:sz w:val="13"/>
        </w:rPr>
        <w:t xml:space="preserve"> </w:t>
      </w:r>
      <w:r>
        <w:rPr>
          <w:sz w:val="13"/>
        </w:rPr>
        <w:t>Humanos</w:t>
      </w:r>
      <w:r>
        <w:rPr>
          <w:spacing w:val="-1"/>
          <w:sz w:val="13"/>
        </w:rPr>
        <w:t xml:space="preserve"> </w:t>
      </w:r>
      <w:r>
        <w:rPr>
          <w:sz w:val="13"/>
        </w:rPr>
        <w:t>y</w:t>
      </w:r>
      <w:r>
        <w:rPr>
          <w:spacing w:val="-1"/>
          <w:sz w:val="13"/>
        </w:rPr>
        <w:t xml:space="preserve"> </w:t>
      </w:r>
      <w:r>
        <w:rPr>
          <w:sz w:val="13"/>
        </w:rPr>
        <w:t>de</w:t>
      </w:r>
      <w:r>
        <w:rPr>
          <w:spacing w:val="-1"/>
          <w:sz w:val="13"/>
        </w:rPr>
        <w:t xml:space="preserve"> </w:t>
      </w:r>
      <w:r>
        <w:rPr>
          <w:sz w:val="13"/>
        </w:rPr>
        <w:t>los</w:t>
      </w:r>
      <w:r>
        <w:rPr>
          <w:spacing w:val="40"/>
          <w:sz w:val="13"/>
        </w:rPr>
        <w:t xml:space="preserve"> </w:t>
      </w:r>
      <w:r>
        <w:rPr>
          <w:sz w:val="13"/>
        </w:rPr>
        <w:t>Pueblos,</w:t>
      </w:r>
      <w:r>
        <w:rPr>
          <w:spacing w:val="-5"/>
          <w:sz w:val="13"/>
        </w:rPr>
        <w:t xml:space="preserve"> </w:t>
      </w:r>
      <w:r>
        <w:rPr>
          <w:sz w:val="13"/>
        </w:rPr>
        <w:t>párr.</w:t>
      </w:r>
      <w:r>
        <w:rPr>
          <w:spacing w:val="-6"/>
          <w:sz w:val="13"/>
        </w:rPr>
        <w:t xml:space="preserve"> </w:t>
      </w:r>
      <w:r>
        <w:rPr>
          <w:sz w:val="13"/>
        </w:rPr>
        <w:t>19;</w:t>
      </w:r>
      <w:r>
        <w:rPr>
          <w:spacing w:val="-6"/>
          <w:sz w:val="13"/>
        </w:rPr>
        <w:t xml:space="preserve"> </w:t>
      </w:r>
      <w:r>
        <w:rPr>
          <w:sz w:val="13"/>
        </w:rPr>
        <w:t>Directiva</w:t>
      </w:r>
      <w:r>
        <w:rPr>
          <w:spacing w:val="-6"/>
          <w:sz w:val="13"/>
        </w:rPr>
        <w:t xml:space="preserve"> </w:t>
      </w:r>
      <w:r>
        <w:rPr>
          <w:sz w:val="13"/>
        </w:rPr>
        <w:t>2000/43/CE</w:t>
      </w:r>
      <w:r>
        <w:rPr>
          <w:spacing w:val="-6"/>
          <w:sz w:val="13"/>
        </w:rPr>
        <w:t xml:space="preserve"> </w:t>
      </w:r>
      <w:r>
        <w:rPr>
          <w:sz w:val="13"/>
        </w:rPr>
        <w:t>del</w:t>
      </w:r>
      <w:r>
        <w:rPr>
          <w:spacing w:val="-6"/>
          <w:sz w:val="13"/>
        </w:rPr>
        <w:t xml:space="preserve"> </w:t>
      </w:r>
      <w:r>
        <w:rPr>
          <w:sz w:val="13"/>
        </w:rPr>
        <w:t>Consejo,</w:t>
      </w:r>
      <w:r>
        <w:rPr>
          <w:spacing w:val="-5"/>
          <w:sz w:val="13"/>
        </w:rPr>
        <w:t xml:space="preserve"> </w:t>
      </w:r>
      <w:r>
        <w:rPr>
          <w:sz w:val="13"/>
        </w:rPr>
        <w:t>de</w:t>
      </w:r>
      <w:r>
        <w:rPr>
          <w:spacing w:val="-6"/>
          <w:sz w:val="13"/>
        </w:rPr>
        <w:t xml:space="preserve"> </w:t>
      </w:r>
      <w:r>
        <w:rPr>
          <w:sz w:val="13"/>
        </w:rPr>
        <w:t>29</w:t>
      </w:r>
      <w:r>
        <w:rPr>
          <w:spacing w:val="-6"/>
          <w:sz w:val="13"/>
        </w:rPr>
        <w:t xml:space="preserve"> </w:t>
      </w:r>
      <w:r>
        <w:rPr>
          <w:sz w:val="13"/>
        </w:rPr>
        <w:t>de</w:t>
      </w:r>
      <w:r>
        <w:rPr>
          <w:spacing w:val="-6"/>
          <w:sz w:val="13"/>
        </w:rPr>
        <w:t xml:space="preserve"> </w:t>
      </w:r>
      <w:r>
        <w:rPr>
          <w:sz w:val="13"/>
        </w:rPr>
        <w:t>junio</w:t>
      </w:r>
      <w:r>
        <w:rPr>
          <w:spacing w:val="-6"/>
          <w:sz w:val="13"/>
        </w:rPr>
        <w:t xml:space="preserve"> </w:t>
      </w:r>
      <w:r>
        <w:rPr>
          <w:sz w:val="13"/>
        </w:rPr>
        <w:t>de</w:t>
      </w:r>
      <w:r>
        <w:rPr>
          <w:spacing w:val="-6"/>
          <w:sz w:val="13"/>
        </w:rPr>
        <w:t xml:space="preserve"> </w:t>
      </w:r>
      <w:r>
        <w:rPr>
          <w:sz w:val="13"/>
        </w:rPr>
        <w:t>2000,</w:t>
      </w:r>
      <w:r>
        <w:rPr>
          <w:spacing w:val="-6"/>
          <w:sz w:val="13"/>
        </w:rPr>
        <w:t xml:space="preserve"> </w:t>
      </w:r>
      <w:r>
        <w:rPr>
          <w:sz w:val="13"/>
        </w:rPr>
        <w:t>por</w:t>
      </w:r>
      <w:r>
        <w:rPr>
          <w:spacing w:val="-6"/>
          <w:sz w:val="13"/>
        </w:rPr>
        <w:t xml:space="preserve"> </w:t>
      </w:r>
      <w:r>
        <w:rPr>
          <w:sz w:val="13"/>
        </w:rPr>
        <w:t>la</w:t>
      </w:r>
      <w:r>
        <w:rPr>
          <w:spacing w:val="-6"/>
          <w:sz w:val="13"/>
        </w:rPr>
        <w:t xml:space="preserve"> </w:t>
      </w:r>
      <w:r>
        <w:rPr>
          <w:sz w:val="13"/>
        </w:rPr>
        <w:t>que</w:t>
      </w:r>
      <w:r>
        <w:rPr>
          <w:spacing w:val="-6"/>
          <w:sz w:val="13"/>
        </w:rPr>
        <w:t xml:space="preserve"> </w:t>
      </w:r>
      <w:r>
        <w:rPr>
          <w:sz w:val="13"/>
        </w:rPr>
        <w:t>se</w:t>
      </w:r>
      <w:r>
        <w:rPr>
          <w:spacing w:val="-6"/>
          <w:sz w:val="13"/>
        </w:rPr>
        <w:t xml:space="preserve"> </w:t>
      </w:r>
      <w:r>
        <w:rPr>
          <w:sz w:val="13"/>
        </w:rPr>
        <w:t>aplica</w:t>
      </w:r>
      <w:r>
        <w:rPr>
          <w:spacing w:val="-6"/>
          <w:sz w:val="13"/>
        </w:rPr>
        <w:t xml:space="preserve"> </w:t>
      </w:r>
      <w:r>
        <w:rPr>
          <w:sz w:val="13"/>
        </w:rPr>
        <w:t>el</w:t>
      </w:r>
      <w:r>
        <w:rPr>
          <w:spacing w:val="-6"/>
          <w:sz w:val="13"/>
        </w:rPr>
        <w:t xml:space="preserve"> </w:t>
      </w:r>
      <w:r>
        <w:rPr>
          <w:sz w:val="13"/>
        </w:rPr>
        <w:t>principio</w:t>
      </w:r>
      <w:r>
        <w:rPr>
          <w:spacing w:val="-6"/>
          <w:sz w:val="13"/>
        </w:rPr>
        <w:t xml:space="preserve"> </w:t>
      </w:r>
      <w:r>
        <w:rPr>
          <w:sz w:val="13"/>
        </w:rPr>
        <w:t>de</w:t>
      </w:r>
      <w:r>
        <w:rPr>
          <w:spacing w:val="-6"/>
          <w:sz w:val="13"/>
        </w:rPr>
        <w:t xml:space="preserve"> </w:t>
      </w:r>
      <w:r>
        <w:rPr>
          <w:sz w:val="13"/>
        </w:rPr>
        <w:t>igualdad</w:t>
      </w:r>
      <w:r>
        <w:rPr>
          <w:spacing w:val="-6"/>
          <w:sz w:val="13"/>
        </w:rPr>
        <w:t xml:space="preserve"> </w:t>
      </w:r>
      <w:r>
        <w:rPr>
          <w:sz w:val="13"/>
        </w:rPr>
        <w:t>de</w:t>
      </w:r>
      <w:r>
        <w:rPr>
          <w:spacing w:val="-6"/>
          <w:sz w:val="13"/>
        </w:rPr>
        <w:t xml:space="preserve"> </w:t>
      </w:r>
      <w:r>
        <w:rPr>
          <w:sz w:val="13"/>
        </w:rPr>
        <w:t>trato</w:t>
      </w:r>
      <w:r>
        <w:rPr>
          <w:spacing w:val="-6"/>
          <w:sz w:val="13"/>
        </w:rPr>
        <w:t xml:space="preserve"> </w:t>
      </w:r>
      <w:r>
        <w:rPr>
          <w:sz w:val="13"/>
        </w:rPr>
        <w:t>entre</w:t>
      </w:r>
      <w:r>
        <w:rPr>
          <w:spacing w:val="-6"/>
          <w:sz w:val="13"/>
        </w:rPr>
        <w:t xml:space="preserve"> </w:t>
      </w:r>
      <w:r>
        <w:rPr>
          <w:sz w:val="13"/>
        </w:rPr>
        <w:t>las</w:t>
      </w:r>
      <w:r>
        <w:rPr>
          <w:spacing w:val="-6"/>
          <w:sz w:val="13"/>
        </w:rPr>
        <w:t xml:space="preserve"> </w:t>
      </w:r>
      <w:r>
        <w:rPr>
          <w:sz w:val="13"/>
        </w:rPr>
        <w:t>personas</w:t>
      </w:r>
      <w:r>
        <w:rPr>
          <w:spacing w:val="40"/>
          <w:sz w:val="13"/>
        </w:rPr>
        <w:t xml:space="preserve"> </w:t>
      </w:r>
      <w:r>
        <w:rPr>
          <w:sz w:val="13"/>
        </w:rPr>
        <w:t>independientemente</w:t>
      </w:r>
      <w:r>
        <w:rPr>
          <w:spacing w:val="-7"/>
          <w:sz w:val="13"/>
        </w:rPr>
        <w:t xml:space="preserve"> </w:t>
      </w:r>
      <w:r>
        <w:rPr>
          <w:sz w:val="13"/>
        </w:rPr>
        <w:t>de</w:t>
      </w:r>
      <w:r>
        <w:rPr>
          <w:spacing w:val="-7"/>
          <w:sz w:val="13"/>
        </w:rPr>
        <w:t xml:space="preserve"> </w:t>
      </w:r>
      <w:r>
        <w:rPr>
          <w:sz w:val="13"/>
        </w:rPr>
        <w:t>su</w:t>
      </w:r>
      <w:r>
        <w:rPr>
          <w:spacing w:val="-7"/>
          <w:sz w:val="13"/>
        </w:rPr>
        <w:t xml:space="preserve"> </w:t>
      </w:r>
      <w:r>
        <w:rPr>
          <w:sz w:val="13"/>
        </w:rPr>
        <w:t>origen</w:t>
      </w:r>
      <w:r>
        <w:rPr>
          <w:spacing w:val="-7"/>
          <w:sz w:val="13"/>
        </w:rPr>
        <w:t xml:space="preserve"> </w:t>
      </w:r>
      <w:r>
        <w:rPr>
          <w:sz w:val="13"/>
        </w:rPr>
        <w:t>racial</w:t>
      </w:r>
      <w:r>
        <w:rPr>
          <w:spacing w:val="-7"/>
          <w:sz w:val="13"/>
        </w:rPr>
        <w:t xml:space="preserve"> </w:t>
      </w:r>
      <w:r>
        <w:rPr>
          <w:sz w:val="13"/>
        </w:rPr>
        <w:t>o</w:t>
      </w:r>
      <w:r>
        <w:rPr>
          <w:spacing w:val="-7"/>
          <w:sz w:val="13"/>
        </w:rPr>
        <w:t xml:space="preserve"> </w:t>
      </w:r>
      <w:r>
        <w:rPr>
          <w:sz w:val="13"/>
        </w:rPr>
        <w:t>étnico,</w:t>
      </w:r>
      <w:r>
        <w:rPr>
          <w:spacing w:val="-6"/>
          <w:sz w:val="13"/>
        </w:rPr>
        <w:t xml:space="preserve"> </w:t>
      </w:r>
      <w:r>
        <w:rPr>
          <w:sz w:val="13"/>
        </w:rPr>
        <w:t>art.</w:t>
      </w:r>
      <w:r>
        <w:rPr>
          <w:spacing w:val="-7"/>
          <w:sz w:val="13"/>
        </w:rPr>
        <w:t xml:space="preserve"> </w:t>
      </w:r>
      <w:r>
        <w:rPr>
          <w:sz w:val="13"/>
        </w:rPr>
        <w:t>2</w:t>
      </w:r>
      <w:r>
        <w:rPr>
          <w:spacing w:val="-7"/>
          <w:sz w:val="13"/>
        </w:rPr>
        <w:t xml:space="preserve"> </w:t>
      </w:r>
      <w:r>
        <w:rPr>
          <w:sz w:val="13"/>
        </w:rPr>
        <w:t>(</w:t>
      </w:r>
      <w:proofErr w:type="gramStart"/>
      <w:r>
        <w:rPr>
          <w:sz w:val="13"/>
        </w:rPr>
        <w:t>2);</w:t>
      </w:r>
      <w:proofErr w:type="gramEnd"/>
      <w:r>
        <w:rPr>
          <w:spacing w:val="-7"/>
          <w:sz w:val="13"/>
        </w:rPr>
        <w:t xml:space="preserve"> </w:t>
      </w:r>
      <w:r>
        <w:rPr>
          <w:sz w:val="13"/>
        </w:rPr>
        <w:t>Directiva</w:t>
      </w:r>
      <w:r>
        <w:rPr>
          <w:spacing w:val="-7"/>
          <w:sz w:val="13"/>
        </w:rPr>
        <w:t xml:space="preserve"> </w:t>
      </w:r>
      <w:r>
        <w:rPr>
          <w:sz w:val="13"/>
        </w:rPr>
        <w:t>2000/78/CE</w:t>
      </w:r>
      <w:r>
        <w:rPr>
          <w:spacing w:val="-7"/>
          <w:sz w:val="13"/>
        </w:rPr>
        <w:t xml:space="preserve"> </w:t>
      </w:r>
      <w:r>
        <w:rPr>
          <w:sz w:val="13"/>
        </w:rPr>
        <w:t>del</w:t>
      </w:r>
      <w:r>
        <w:rPr>
          <w:spacing w:val="-7"/>
          <w:sz w:val="13"/>
        </w:rPr>
        <w:t xml:space="preserve"> </w:t>
      </w:r>
      <w:r>
        <w:rPr>
          <w:sz w:val="13"/>
        </w:rPr>
        <w:t>Consejo,</w:t>
      </w:r>
      <w:r>
        <w:rPr>
          <w:spacing w:val="-6"/>
          <w:sz w:val="13"/>
        </w:rPr>
        <w:t xml:space="preserve"> </w:t>
      </w:r>
      <w:r>
        <w:rPr>
          <w:sz w:val="13"/>
        </w:rPr>
        <w:t>de</w:t>
      </w:r>
      <w:r>
        <w:rPr>
          <w:spacing w:val="-7"/>
          <w:sz w:val="13"/>
        </w:rPr>
        <w:t xml:space="preserve"> </w:t>
      </w:r>
      <w:r>
        <w:rPr>
          <w:sz w:val="13"/>
        </w:rPr>
        <w:t>27</w:t>
      </w:r>
      <w:r>
        <w:rPr>
          <w:spacing w:val="-7"/>
          <w:sz w:val="13"/>
        </w:rPr>
        <w:t xml:space="preserve"> </w:t>
      </w:r>
      <w:r>
        <w:rPr>
          <w:sz w:val="13"/>
        </w:rPr>
        <w:t>de</w:t>
      </w:r>
      <w:r>
        <w:rPr>
          <w:spacing w:val="-7"/>
          <w:sz w:val="13"/>
        </w:rPr>
        <w:t xml:space="preserve"> </w:t>
      </w:r>
      <w:r>
        <w:rPr>
          <w:sz w:val="13"/>
        </w:rPr>
        <w:t>noviembre</w:t>
      </w:r>
      <w:r>
        <w:rPr>
          <w:spacing w:val="-7"/>
          <w:sz w:val="13"/>
        </w:rPr>
        <w:t xml:space="preserve"> </w:t>
      </w:r>
      <w:r>
        <w:rPr>
          <w:sz w:val="13"/>
        </w:rPr>
        <w:t>de</w:t>
      </w:r>
      <w:r>
        <w:rPr>
          <w:spacing w:val="-7"/>
          <w:sz w:val="13"/>
        </w:rPr>
        <w:t xml:space="preserve"> </w:t>
      </w:r>
      <w:r>
        <w:rPr>
          <w:sz w:val="13"/>
        </w:rPr>
        <w:t>2000,</w:t>
      </w:r>
      <w:r>
        <w:rPr>
          <w:spacing w:val="-7"/>
          <w:sz w:val="13"/>
        </w:rPr>
        <w:t xml:space="preserve"> </w:t>
      </w:r>
      <w:r>
        <w:rPr>
          <w:sz w:val="13"/>
        </w:rPr>
        <w:t>por</w:t>
      </w:r>
      <w:r>
        <w:rPr>
          <w:spacing w:val="-7"/>
          <w:sz w:val="13"/>
        </w:rPr>
        <w:t xml:space="preserve"> </w:t>
      </w:r>
      <w:r>
        <w:rPr>
          <w:sz w:val="13"/>
        </w:rPr>
        <w:t>la</w:t>
      </w:r>
      <w:r>
        <w:rPr>
          <w:spacing w:val="-7"/>
          <w:sz w:val="13"/>
        </w:rPr>
        <w:t xml:space="preserve"> </w:t>
      </w:r>
      <w:r>
        <w:rPr>
          <w:sz w:val="13"/>
        </w:rPr>
        <w:t>que</w:t>
      </w:r>
      <w:r>
        <w:rPr>
          <w:spacing w:val="-7"/>
          <w:sz w:val="13"/>
        </w:rPr>
        <w:t xml:space="preserve"> </w:t>
      </w:r>
      <w:r>
        <w:rPr>
          <w:sz w:val="13"/>
        </w:rPr>
        <w:t>se</w:t>
      </w:r>
      <w:r>
        <w:rPr>
          <w:spacing w:val="-7"/>
          <w:sz w:val="13"/>
        </w:rPr>
        <w:t xml:space="preserve"> </w:t>
      </w:r>
      <w:r>
        <w:rPr>
          <w:sz w:val="13"/>
        </w:rPr>
        <w:t>establece</w:t>
      </w:r>
    </w:p>
    <w:p w14:paraId="1F6AF4A8" w14:textId="77777777" w:rsidR="0014798C" w:rsidRDefault="004E1F0B">
      <w:pPr>
        <w:spacing w:before="2"/>
        <w:ind w:left="1366"/>
        <w:rPr>
          <w:sz w:val="13"/>
        </w:rPr>
      </w:pPr>
      <w:r>
        <w:rPr>
          <w:spacing w:val="-2"/>
          <w:sz w:val="13"/>
        </w:rPr>
        <w:t>un marco general para la</w:t>
      </w:r>
      <w:r>
        <w:rPr>
          <w:spacing w:val="-1"/>
          <w:sz w:val="13"/>
        </w:rPr>
        <w:t xml:space="preserve"> </w:t>
      </w:r>
      <w:r>
        <w:rPr>
          <w:spacing w:val="-2"/>
          <w:sz w:val="13"/>
        </w:rPr>
        <w:t>igualdad de trato en</w:t>
      </w:r>
      <w:r>
        <w:rPr>
          <w:spacing w:val="-1"/>
          <w:sz w:val="13"/>
        </w:rPr>
        <w:t xml:space="preserve"> </w:t>
      </w:r>
      <w:r>
        <w:rPr>
          <w:spacing w:val="-2"/>
          <w:sz w:val="13"/>
        </w:rPr>
        <w:t>el empleo y la</w:t>
      </w:r>
      <w:r>
        <w:rPr>
          <w:spacing w:val="-1"/>
          <w:sz w:val="13"/>
        </w:rPr>
        <w:t xml:space="preserve"> </w:t>
      </w:r>
      <w:r>
        <w:rPr>
          <w:spacing w:val="-2"/>
          <w:sz w:val="13"/>
        </w:rPr>
        <w:t>ocupación,</w:t>
      </w:r>
      <w:r>
        <w:rPr>
          <w:spacing w:val="-1"/>
          <w:sz w:val="13"/>
        </w:rPr>
        <w:t xml:space="preserve"> </w:t>
      </w:r>
      <w:r>
        <w:rPr>
          <w:spacing w:val="-2"/>
          <w:sz w:val="13"/>
        </w:rPr>
        <w:t>art. 2 (</w:t>
      </w:r>
      <w:proofErr w:type="gramStart"/>
      <w:r>
        <w:rPr>
          <w:spacing w:val="-2"/>
          <w:sz w:val="13"/>
        </w:rPr>
        <w:t>2);</w:t>
      </w:r>
      <w:proofErr w:type="gramEnd"/>
      <w:r>
        <w:rPr>
          <w:spacing w:val="-2"/>
          <w:sz w:val="13"/>
        </w:rPr>
        <w:t xml:space="preserve"> Directiva</w:t>
      </w:r>
      <w:r>
        <w:rPr>
          <w:spacing w:val="-1"/>
          <w:sz w:val="13"/>
        </w:rPr>
        <w:t xml:space="preserve"> </w:t>
      </w:r>
      <w:r>
        <w:rPr>
          <w:spacing w:val="-2"/>
          <w:sz w:val="13"/>
        </w:rPr>
        <w:t>2004/113/CE del Consejo,</w:t>
      </w:r>
      <w:r>
        <w:rPr>
          <w:spacing w:val="-1"/>
          <w:sz w:val="13"/>
        </w:rPr>
        <w:t xml:space="preserve"> </w:t>
      </w:r>
      <w:r>
        <w:rPr>
          <w:spacing w:val="-2"/>
          <w:sz w:val="13"/>
        </w:rPr>
        <w:t>de</w:t>
      </w:r>
      <w:r>
        <w:rPr>
          <w:spacing w:val="-1"/>
          <w:sz w:val="13"/>
        </w:rPr>
        <w:t xml:space="preserve"> </w:t>
      </w:r>
      <w:r>
        <w:rPr>
          <w:spacing w:val="-2"/>
          <w:sz w:val="13"/>
        </w:rPr>
        <w:t>13 de diciembre de</w:t>
      </w:r>
      <w:r>
        <w:rPr>
          <w:spacing w:val="-1"/>
          <w:sz w:val="13"/>
        </w:rPr>
        <w:t xml:space="preserve"> </w:t>
      </w:r>
      <w:r>
        <w:rPr>
          <w:spacing w:val="-2"/>
          <w:sz w:val="13"/>
        </w:rPr>
        <w:t xml:space="preserve">2004, </w:t>
      </w:r>
      <w:r>
        <w:rPr>
          <w:spacing w:val="-5"/>
          <w:sz w:val="13"/>
        </w:rPr>
        <w:t>por</w:t>
      </w:r>
    </w:p>
    <w:p w14:paraId="6538A40D" w14:textId="77777777" w:rsidR="0014798C" w:rsidRDefault="004E1F0B">
      <w:pPr>
        <w:spacing w:before="30" w:line="288" w:lineRule="auto"/>
        <w:ind w:left="1366" w:right="1272" w:firstLine="1"/>
        <w:rPr>
          <w:sz w:val="13"/>
        </w:rPr>
      </w:pPr>
      <w:r>
        <w:rPr>
          <w:sz w:val="13"/>
        </w:rPr>
        <w:t>la</w:t>
      </w:r>
      <w:r>
        <w:rPr>
          <w:spacing w:val="-6"/>
          <w:sz w:val="13"/>
        </w:rPr>
        <w:t xml:space="preserve"> </w:t>
      </w:r>
      <w:r>
        <w:rPr>
          <w:sz w:val="13"/>
        </w:rPr>
        <w:t>que</w:t>
      </w:r>
      <w:r>
        <w:rPr>
          <w:spacing w:val="-6"/>
          <w:sz w:val="13"/>
        </w:rPr>
        <w:t xml:space="preserve"> </w:t>
      </w:r>
      <w:r>
        <w:rPr>
          <w:sz w:val="13"/>
        </w:rPr>
        <w:t>se</w:t>
      </w:r>
      <w:r>
        <w:rPr>
          <w:spacing w:val="-6"/>
          <w:sz w:val="13"/>
        </w:rPr>
        <w:t xml:space="preserve"> </w:t>
      </w:r>
      <w:r>
        <w:rPr>
          <w:sz w:val="13"/>
        </w:rPr>
        <w:t>aplica</w:t>
      </w:r>
      <w:r>
        <w:rPr>
          <w:spacing w:val="-6"/>
          <w:sz w:val="13"/>
        </w:rPr>
        <w:t xml:space="preserve"> </w:t>
      </w:r>
      <w:r>
        <w:rPr>
          <w:sz w:val="13"/>
        </w:rPr>
        <w:t>el</w:t>
      </w:r>
      <w:r>
        <w:rPr>
          <w:spacing w:val="-6"/>
          <w:sz w:val="13"/>
        </w:rPr>
        <w:t xml:space="preserve"> </w:t>
      </w:r>
      <w:r>
        <w:rPr>
          <w:sz w:val="13"/>
        </w:rPr>
        <w:t>principio</w:t>
      </w:r>
      <w:r>
        <w:rPr>
          <w:spacing w:val="-6"/>
          <w:sz w:val="13"/>
        </w:rPr>
        <w:t xml:space="preserve"> </w:t>
      </w:r>
      <w:r>
        <w:rPr>
          <w:sz w:val="13"/>
        </w:rPr>
        <w:t>de</w:t>
      </w:r>
      <w:r>
        <w:rPr>
          <w:spacing w:val="-6"/>
          <w:sz w:val="13"/>
        </w:rPr>
        <w:t xml:space="preserve"> </w:t>
      </w:r>
      <w:r>
        <w:rPr>
          <w:sz w:val="13"/>
        </w:rPr>
        <w:t>igualdad</w:t>
      </w:r>
      <w:r>
        <w:rPr>
          <w:spacing w:val="-6"/>
          <w:sz w:val="13"/>
        </w:rPr>
        <w:t xml:space="preserve"> </w:t>
      </w:r>
      <w:r>
        <w:rPr>
          <w:sz w:val="13"/>
        </w:rPr>
        <w:t>de</w:t>
      </w:r>
      <w:r>
        <w:rPr>
          <w:spacing w:val="-6"/>
          <w:sz w:val="13"/>
        </w:rPr>
        <w:t xml:space="preserve"> </w:t>
      </w:r>
      <w:r>
        <w:rPr>
          <w:sz w:val="13"/>
        </w:rPr>
        <w:t>trato</w:t>
      </w:r>
      <w:r>
        <w:rPr>
          <w:spacing w:val="-6"/>
          <w:sz w:val="13"/>
        </w:rPr>
        <w:t xml:space="preserve"> </w:t>
      </w:r>
      <w:r>
        <w:rPr>
          <w:sz w:val="13"/>
        </w:rPr>
        <w:t>entre</w:t>
      </w:r>
      <w:r>
        <w:rPr>
          <w:spacing w:val="-6"/>
          <w:sz w:val="13"/>
        </w:rPr>
        <w:t xml:space="preserve"> </w:t>
      </w:r>
      <w:r>
        <w:rPr>
          <w:sz w:val="13"/>
        </w:rPr>
        <w:t>hombres</w:t>
      </w:r>
      <w:r>
        <w:rPr>
          <w:spacing w:val="-6"/>
          <w:sz w:val="13"/>
        </w:rPr>
        <w:t xml:space="preserve"> </w:t>
      </w:r>
      <w:r>
        <w:rPr>
          <w:sz w:val="13"/>
        </w:rPr>
        <w:t>y</w:t>
      </w:r>
      <w:r>
        <w:rPr>
          <w:spacing w:val="-6"/>
          <w:sz w:val="13"/>
        </w:rPr>
        <w:t xml:space="preserve"> </w:t>
      </w:r>
      <w:r>
        <w:rPr>
          <w:sz w:val="13"/>
        </w:rPr>
        <w:t>mujeres</w:t>
      </w:r>
      <w:r>
        <w:rPr>
          <w:spacing w:val="-6"/>
          <w:sz w:val="13"/>
        </w:rPr>
        <w:t xml:space="preserve"> </w:t>
      </w:r>
      <w:r>
        <w:rPr>
          <w:sz w:val="13"/>
        </w:rPr>
        <w:t>en</w:t>
      </w:r>
      <w:r>
        <w:rPr>
          <w:spacing w:val="-6"/>
          <w:sz w:val="13"/>
        </w:rPr>
        <w:t xml:space="preserve"> </w:t>
      </w:r>
      <w:r>
        <w:rPr>
          <w:sz w:val="13"/>
        </w:rPr>
        <w:t>el</w:t>
      </w:r>
      <w:r>
        <w:rPr>
          <w:spacing w:val="-6"/>
          <w:sz w:val="13"/>
        </w:rPr>
        <w:t xml:space="preserve"> </w:t>
      </w:r>
      <w:r>
        <w:rPr>
          <w:sz w:val="13"/>
        </w:rPr>
        <w:t>acceso</w:t>
      </w:r>
      <w:r>
        <w:rPr>
          <w:spacing w:val="-6"/>
          <w:sz w:val="13"/>
        </w:rPr>
        <w:t xml:space="preserve"> </w:t>
      </w:r>
      <w:r>
        <w:rPr>
          <w:sz w:val="13"/>
        </w:rPr>
        <w:t>y</w:t>
      </w:r>
      <w:r>
        <w:rPr>
          <w:spacing w:val="-6"/>
          <w:sz w:val="13"/>
        </w:rPr>
        <w:t xml:space="preserve"> </w:t>
      </w:r>
      <w:r>
        <w:rPr>
          <w:sz w:val="13"/>
        </w:rPr>
        <w:t>suministro</w:t>
      </w:r>
      <w:r>
        <w:rPr>
          <w:spacing w:val="-6"/>
          <w:sz w:val="13"/>
        </w:rPr>
        <w:t xml:space="preserve"> </w:t>
      </w:r>
      <w:r>
        <w:rPr>
          <w:sz w:val="13"/>
        </w:rPr>
        <w:t>de</w:t>
      </w:r>
      <w:r>
        <w:rPr>
          <w:spacing w:val="-6"/>
          <w:sz w:val="13"/>
        </w:rPr>
        <w:t xml:space="preserve"> </w:t>
      </w:r>
      <w:r>
        <w:rPr>
          <w:sz w:val="13"/>
        </w:rPr>
        <w:t>bienes</w:t>
      </w:r>
      <w:r>
        <w:rPr>
          <w:spacing w:val="-6"/>
          <w:sz w:val="13"/>
        </w:rPr>
        <w:t xml:space="preserve"> </w:t>
      </w:r>
      <w:r>
        <w:rPr>
          <w:sz w:val="13"/>
        </w:rPr>
        <w:t>y</w:t>
      </w:r>
      <w:r>
        <w:rPr>
          <w:spacing w:val="-6"/>
          <w:sz w:val="13"/>
        </w:rPr>
        <w:t xml:space="preserve"> </w:t>
      </w:r>
      <w:r>
        <w:rPr>
          <w:sz w:val="13"/>
        </w:rPr>
        <w:t>servicios,</w:t>
      </w:r>
      <w:r>
        <w:rPr>
          <w:spacing w:val="-5"/>
          <w:sz w:val="13"/>
        </w:rPr>
        <w:t xml:space="preserve"> </w:t>
      </w:r>
      <w:r>
        <w:rPr>
          <w:sz w:val="13"/>
        </w:rPr>
        <w:t>art.</w:t>
      </w:r>
      <w:r>
        <w:rPr>
          <w:spacing w:val="-6"/>
          <w:sz w:val="13"/>
        </w:rPr>
        <w:t xml:space="preserve"> </w:t>
      </w:r>
      <w:r>
        <w:rPr>
          <w:sz w:val="13"/>
        </w:rPr>
        <w:t>2</w:t>
      </w:r>
      <w:r>
        <w:rPr>
          <w:spacing w:val="-6"/>
          <w:sz w:val="13"/>
        </w:rPr>
        <w:t xml:space="preserve"> </w:t>
      </w:r>
      <w:r>
        <w:rPr>
          <w:sz w:val="13"/>
        </w:rPr>
        <w:t>(a)–(b);</w:t>
      </w:r>
      <w:r>
        <w:rPr>
          <w:spacing w:val="-6"/>
          <w:sz w:val="13"/>
        </w:rPr>
        <w:t xml:space="preserve"> </w:t>
      </w:r>
      <w:r>
        <w:rPr>
          <w:sz w:val="13"/>
        </w:rPr>
        <w:t>y</w:t>
      </w:r>
      <w:r>
        <w:rPr>
          <w:spacing w:val="-6"/>
          <w:sz w:val="13"/>
        </w:rPr>
        <w:t xml:space="preserve"> </w:t>
      </w:r>
      <w:r>
        <w:rPr>
          <w:sz w:val="13"/>
        </w:rPr>
        <w:t>Directiva</w:t>
      </w:r>
      <w:r>
        <w:rPr>
          <w:spacing w:val="-6"/>
          <w:sz w:val="13"/>
        </w:rPr>
        <w:t xml:space="preserve"> </w:t>
      </w:r>
      <w:r>
        <w:rPr>
          <w:sz w:val="13"/>
        </w:rPr>
        <w:t>2006/54/</w:t>
      </w:r>
      <w:r>
        <w:rPr>
          <w:spacing w:val="40"/>
          <w:sz w:val="13"/>
        </w:rPr>
        <w:t xml:space="preserve"> </w:t>
      </w:r>
      <w:r>
        <w:rPr>
          <w:sz w:val="13"/>
        </w:rPr>
        <w:t>CE</w:t>
      </w:r>
      <w:r>
        <w:rPr>
          <w:spacing w:val="-2"/>
          <w:sz w:val="13"/>
        </w:rPr>
        <w:t xml:space="preserve"> </w:t>
      </w:r>
      <w:r>
        <w:rPr>
          <w:sz w:val="13"/>
        </w:rPr>
        <w:t>del</w:t>
      </w:r>
      <w:r>
        <w:rPr>
          <w:spacing w:val="-2"/>
          <w:sz w:val="13"/>
        </w:rPr>
        <w:t xml:space="preserve"> </w:t>
      </w:r>
      <w:r>
        <w:rPr>
          <w:sz w:val="13"/>
        </w:rPr>
        <w:t>Parlamento</w:t>
      </w:r>
      <w:r>
        <w:rPr>
          <w:spacing w:val="-2"/>
          <w:sz w:val="13"/>
        </w:rPr>
        <w:t xml:space="preserve"> </w:t>
      </w:r>
      <w:r>
        <w:rPr>
          <w:sz w:val="13"/>
        </w:rPr>
        <w:t>Europeo</w:t>
      </w:r>
      <w:r>
        <w:rPr>
          <w:spacing w:val="-2"/>
          <w:sz w:val="13"/>
        </w:rPr>
        <w:t xml:space="preserve"> </w:t>
      </w:r>
      <w:r>
        <w:rPr>
          <w:sz w:val="13"/>
        </w:rPr>
        <w:t>y</w:t>
      </w:r>
      <w:r>
        <w:rPr>
          <w:spacing w:val="-2"/>
          <w:sz w:val="13"/>
        </w:rPr>
        <w:t xml:space="preserve"> </w:t>
      </w:r>
      <w:r>
        <w:rPr>
          <w:sz w:val="13"/>
        </w:rPr>
        <w:t>del</w:t>
      </w:r>
      <w:r>
        <w:rPr>
          <w:spacing w:val="-2"/>
          <w:sz w:val="13"/>
        </w:rPr>
        <w:t xml:space="preserve"> </w:t>
      </w:r>
      <w:r>
        <w:rPr>
          <w:sz w:val="13"/>
        </w:rPr>
        <w:t>Consejo,</w:t>
      </w:r>
      <w:r>
        <w:rPr>
          <w:spacing w:val="-1"/>
          <w:sz w:val="13"/>
        </w:rPr>
        <w:t xml:space="preserve"> </w:t>
      </w:r>
      <w:r>
        <w:rPr>
          <w:sz w:val="13"/>
        </w:rPr>
        <w:t>de</w:t>
      </w:r>
      <w:r>
        <w:rPr>
          <w:spacing w:val="-2"/>
          <w:sz w:val="13"/>
        </w:rPr>
        <w:t xml:space="preserve"> </w:t>
      </w:r>
      <w:r>
        <w:rPr>
          <w:sz w:val="13"/>
        </w:rPr>
        <w:t>5</w:t>
      </w:r>
      <w:r>
        <w:rPr>
          <w:spacing w:val="-2"/>
          <w:sz w:val="13"/>
        </w:rPr>
        <w:t xml:space="preserve"> </w:t>
      </w:r>
      <w:r>
        <w:rPr>
          <w:sz w:val="13"/>
        </w:rPr>
        <w:t>de</w:t>
      </w:r>
      <w:r>
        <w:rPr>
          <w:spacing w:val="-2"/>
          <w:sz w:val="13"/>
        </w:rPr>
        <w:t xml:space="preserve"> </w:t>
      </w:r>
      <w:r>
        <w:rPr>
          <w:sz w:val="13"/>
        </w:rPr>
        <w:t>julio</w:t>
      </w:r>
      <w:r>
        <w:rPr>
          <w:spacing w:val="-2"/>
          <w:sz w:val="13"/>
        </w:rPr>
        <w:t xml:space="preserve"> </w:t>
      </w:r>
      <w:r>
        <w:rPr>
          <w:sz w:val="13"/>
        </w:rPr>
        <w:t>de</w:t>
      </w:r>
      <w:r>
        <w:rPr>
          <w:spacing w:val="-2"/>
          <w:sz w:val="13"/>
        </w:rPr>
        <w:t xml:space="preserve"> </w:t>
      </w:r>
      <w:r>
        <w:rPr>
          <w:sz w:val="13"/>
        </w:rPr>
        <w:t>2006,</w:t>
      </w:r>
      <w:r>
        <w:rPr>
          <w:spacing w:val="-2"/>
          <w:sz w:val="13"/>
        </w:rPr>
        <w:t xml:space="preserve"> </w:t>
      </w:r>
      <w:r>
        <w:rPr>
          <w:sz w:val="13"/>
        </w:rPr>
        <w:t>sobre</w:t>
      </w:r>
      <w:r>
        <w:rPr>
          <w:spacing w:val="-2"/>
          <w:sz w:val="13"/>
        </w:rPr>
        <w:t xml:space="preserve"> </w:t>
      </w:r>
      <w:r>
        <w:rPr>
          <w:sz w:val="13"/>
        </w:rPr>
        <w:t>la</w:t>
      </w:r>
      <w:r>
        <w:rPr>
          <w:spacing w:val="-2"/>
          <w:sz w:val="13"/>
        </w:rPr>
        <w:t xml:space="preserve"> </w:t>
      </w:r>
      <w:r>
        <w:rPr>
          <w:sz w:val="13"/>
        </w:rPr>
        <w:t>aplicación</w:t>
      </w:r>
      <w:r>
        <w:rPr>
          <w:spacing w:val="-2"/>
          <w:sz w:val="13"/>
        </w:rPr>
        <w:t xml:space="preserve"> </w:t>
      </w:r>
      <w:r>
        <w:rPr>
          <w:sz w:val="13"/>
        </w:rPr>
        <w:t>del</w:t>
      </w:r>
      <w:r>
        <w:rPr>
          <w:spacing w:val="-2"/>
          <w:sz w:val="13"/>
        </w:rPr>
        <w:t xml:space="preserve"> </w:t>
      </w:r>
      <w:r>
        <w:rPr>
          <w:sz w:val="13"/>
        </w:rPr>
        <w:t>principio</w:t>
      </w:r>
      <w:r>
        <w:rPr>
          <w:spacing w:val="-2"/>
          <w:sz w:val="13"/>
        </w:rPr>
        <w:t xml:space="preserve"> </w:t>
      </w:r>
      <w:r>
        <w:rPr>
          <w:sz w:val="13"/>
        </w:rPr>
        <w:t>de</w:t>
      </w:r>
      <w:r>
        <w:rPr>
          <w:spacing w:val="-2"/>
          <w:sz w:val="13"/>
        </w:rPr>
        <w:t xml:space="preserve"> </w:t>
      </w:r>
      <w:r>
        <w:rPr>
          <w:sz w:val="13"/>
        </w:rPr>
        <w:t>igualdad</w:t>
      </w:r>
      <w:r>
        <w:rPr>
          <w:spacing w:val="-2"/>
          <w:sz w:val="13"/>
        </w:rPr>
        <w:t xml:space="preserve"> </w:t>
      </w:r>
      <w:r>
        <w:rPr>
          <w:sz w:val="13"/>
        </w:rPr>
        <w:t>de</w:t>
      </w:r>
      <w:r>
        <w:rPr>
          <w:spacing w:val="-2"/>
          <w:sz w:val="13"/>
        </w:rPr>
        <w:t xml:space="preserve"> </w:t>
      </w:r>
      <w:r>
        <w:rPr>
          <w:sz w:val="13"/>
        </w:rPr>
        <w:t>oportunidades</w:t>
      </w:r>
      <w:r>
        <w:rPr>
          <w:spacing w:val="-2"/>
          <w:sz w:val="13"/>
        </w:rPr>
        <w:t xml:space="preserve"> </w:t>
      </w:r>
      <w:r>
        <w:rPr>
          <w:sz w:val="13"/>
        </w:rPr>
        <w:t>e</w:t>
      </w:r>
      <w:r>
        <w:rPr>
          <w:spacing w:val="-2"/>
          <w:sz w:val="13"/>
        </w:rPr>
        <w:t xml:space="preserve"> </w:t>
      </w:r>
      <w:r>
        <w:rPr>
          <w:sz w:val="13"/>
        </w:rPr>
        <w:t>igualdad</w:t>
      </w:r>
      <w:r>
        <w:rPr>
          <w:spacing w:val="-2"/>
          <w:sz w:val="13"/>
        </w:rPr>
        <w:t xml:space="preserve"> </w:t>
      </w:r>
      <w:r>
        <w:rPr>
          <w:sz w:val="13"/>
        </w:rPr>
        <w:t>de</w:t>
      </w:r>
      <w:r>
        <w:rPr>
          <w:spacing w:val="-2"/>
          <w:sz w:val="13"/>
        </w:rPr>
        <w:t xml:space="preserve"> </w:t>
      </w:r>
      <w:r>
        <w:rPr>
          <w:sz w:val="13"/>
        </w:rPr>
        <w:t>trato</w:t>
      </w:r>
      <w:r>
        <w:rPr>
          <w:spacing w:val="-2"/>
          <w:sz w:val="13"/>
        </w:rPr>
        <w:t xml:space="preserve"> </w:t>
      </w:r>
      <w:r>
        <w:rPr>
          <w:sz w:val="13"/>
        </w:rPr>
        <w:t>entre</w:t>
      </w:r>
      <w:r>
        <w:rPr>
          <w:spacing w:val="40"/>
          <w:sz w:val="13"/>
        </w:rPr>
        <w:t xml:space="preserve"> </w:t>
      </w:r>
      <w:r>
        <w:rPr>
          <w:sz w:val="13"/>
        </w:rPr>
        <w:t>hombres</w:t>
      </w:r>
      <w:r>
        <w:rPr>
          <w:spacing w:val="-8"/>
          <w:sz w:val="13"/>
        </w:rPr>
        <w:t xml:space="preserve"> </w:t>
      </w:r>
      <w:r>
        <w:rPr>
          <w:sz w:val="13"/>
        </w:rPr>
        <w:t>y</w:t>
      </w:r>
      <w:r>
        <w:rPr>
          <w:spacing w:val="-8"/>
          <w:sz w:val="13"/>
        </w:rPr>
        <w:t xml:space="preserve"> </w:t>
      </w:r>
      <w:r>
        <w:rPr>
          <w:sz w:val="13"/>
        </w:rPr>
        <w:t>mujeres</w:t>
      </w:r>
      <w:r>
        <w:rPr>
          <w:spacing w:val="-8"/>
          <w:sz w:val="13"/>
        </w:rPr>
        <w:t xml:space="preserve"> </w:t>
      </w:r>
      <w:r>
        <w:rPr>
          <w:sz w:val="13"/>
        </w:rPr>
        <w:t>en</w:t>
      </w:r>
      <w:r>
        <w:rPr>
          <w:spacing w:val="-8"/>
          <w:sz w:val="13"/>
        </w:rPr>
        <w:t xml:space="preserve"> </w:t>
      </w:r>
      <w:r>
        <w:rPr>
          <w:sz w:val="13"/>
        </w:rPr>
        <w:t>materia</w:t>
      </w:r>
      <w:r>
        <w:rPr>
          <w:spacing w:val="-8"/>
          <w:sz w:val="13"/>
        </w:rPr>
        <w:t xml:space="preserve"> </w:t>
      </w:r>
      <w:r>
        <w:rPr>
          <w:sz w:val="13"/>
        </w:rPr>
        <w:t>de</w:t>
      </w:r>
      <w:r>
        <w:rPr>
          <w:spacing w:val="-8"/>
          <w:sz w:val="13"/>
        </w:rPr>
        <w:t xml:space="preserve"> </w:t>
      </w:r>
      <w:r>
        <w:rPr>
          <w:sz w:val="13"/>
        </w:rPr>
        <w:t>empleo</w:t>
      </w:r>
      <w:r>
        <w:rPr>
          <w:spacing w:val="-8"/>
          <w:sz w:val="13"/>
        </w:rPr>
        <w:t xml:space="preserve"> </w:t>
      </w:r>
      <w:r>
        <w:rPr>
          <w:sz w:val="13"/>
        </w:rPr>
        <w:t>y</w:t>
      </w:r>
      <w:r>
        <w:rPr>
          <w:spacing w:val="-8"/>
          <w:sz w:val="13"/>
        </w:rPr>
        <w:t xml:space="preserve"> </w:t>
      </w:r>
      <w:r>
        <w:rPr>
          <w:sz w:val="13"/>
        </w:rPr>
        <w:t>ocupación</w:t>
      </w:r>
      <w:r>
        <w:rPr>
          <w:spacing w:val="-8"/>
          <w:sz w:val="13"/>
        </w:rPr>
        <w:t xml:space="preserve"> </w:t>
      </w:r>
      <w:r>
        <w:rPr>
          <w:sz w:val="13"/>
        </w:rPr>
        <w:t>(refundición),</w:t>
      </w:r>
      <w:r>
        <w:rPr>
          <w:spacing w:val="-7"/>
          <w:sz w:val="13"/>
        </w:rPr>
        <w:t xml:space="preserve"> </w:t>
      </w:r>
      <w:r>
        <w:rPr>
          <w:sz w:val="13"/>
        </w:rPr>
        <w:t>art.</w:t>
      </w:r>
      <w:r>
        <w:rPr>
          <w:spacing w:val="-8"/>
          <w:sz w:val="13"/>
        </w:rPr>
        <w:t xml:space="preserve"> </w:t>
      </w:r>
      <w:r>
        <w:rPr>
          <w:sz w:val="13"/>
        </w:rPr>
        <w:t>2</w:t>
      </w:r>
      <w:r>
        <w:rPr>
          <w:spacing w:val="-8"/>
          <w:sz w:val="13"/>
        </w:rPr>
        <w:t xml:space="preserve"> </w:t>
      </w:r>
      <w:r>
        <w:rPr>
          <w:sz w:val="13"/>
        </w:rPr>
        <w:t>(1)</w:t>
      </w:r>
      <w:r>
        <w:rPr>
          <w:spacing w:val="-8"/>
          <w:sz w:val="13"/>
        </w:rPr>
        <w:t xml:space="preserve"> </w:t>
      </w:r>
      <w:r>
        <w:rPr>
          <w:sz w:val="13"/>
        </w:rPr>
        <w:t>(a)</w:t>
      </w:r>
      <w:r>
        <w:rPr>
          <w:spacing w:val="-8"/>
          <w:sz w:val="13"/>
        </w:rPr>
        <w:t xml:space="preserve"> </w:t>
      </w:r>
      <w:r>
        <w:rPr>
          <w:sz w:val="13"/>
        </w:rPr>
        <w:t>y</w:t>
      </w:r>
      <w:r>
        <w:rPr>
          <w:spacing w:val="-8"/>
          <w:sz w:val="13"/>
        </w:rPr>
        <w:t xml:space="preserve"> </w:t>
      </w:r>
      <w:r>
        <w:rPr>
          <w:sz w:val="13"/>
        </w:rPr>
        <w:t>(2);</w:t>
      </w:r>
      <w:r>
        <w:rPr>
          <w:spacing w:val="-8"/>
          <w:sz w:val="13"/>
        </w:rPr>
        <w:t xml:space="preserve"> </w:t>
      </w:r>
      <w:r>
        <w:rPr>
          <w:sz w:val="13"/>
        </w:rPr>
        <w:t>y</w:t>
      </w:r>
      <w:r>
        <w:rPr>
          <w:spacing w:val="-8"/>
          <w:sz w:val="13"/>
        </w:rPr>
        <w:t xml:space="preserve"> </w:t>
      </w:r>
      <w:r>
        <w:rPr>
          <w:sz w:val="13"/>
        </w:rPr>
        <w:t>Tribunal</w:t>
      </w:r>
      <w:r>
        <w:rPr>
          <w:spacing w:val="-8"/>
          <w:sz w:val="13"/>
        </w:rPr>
        <w:t xml:space="preserve"> </w:t>
      </w:r>
      <w:r>
        <w:rPr>
          <w:sz w:val="13"/>
        </w:rPr>
        <w:t>Europeo</w:t>
      </w:r>
      <w:r>
        <w:rPr>
          <w:spacing w:val="-8"/>
          <w:sz w:val="13"/>
        </w:rPr>
        <w:t xml:space="preserve"> </w:t>
      </w:r>
      <w:r>
        <w:rPr>
          <w:sz w:val="13"/>
        </w:rPr>
        <w:t>de</w:t>
      </w:r>
      <w:r>
        <w:rPr>
          <w:spacing w:val="-8"/>
          <w:sz w:val="13"/>
        </w:rPr>
        <w:t xml:space="preserve"> </w:t>
      </w:r>
      <w:r>
        <w:rPr>
          <w:sz w:val="13"/>
        </w:rPr>
        <w:t>Derechos</w:t>
      </w:r>
      <w:r>
        <w:rPr>
          <w:spacing w:val="-8"/>
          <w:sz w:val="13"/>
        </w:rPr>
        <w:t xml:space="preserve"> </w:t>
      </w:r>
      <w:r>
        <w:rPr>
          <w:sz w:val="13"/>
        </w:rPr>
        <w:t>Humanos,</w:t>
      </w:r>
      <w:r>
        <w:rPr>
          <w:spacing w:val="-7"/>
          <w:sz w:val="13"/>
        </w:rPr>
        <w:t xml:space="preserve"> </w:t>
      </w:r>
      <w:r>
        <w:rPr>
          <w:sz w:val="13"/>
        </w:rPr>
        <w:t>DH</w:t>
      </w:r>
      <w:r>
        <w:rPr>
          <w:spacing w:val="-8"/>
          <w:sz w:val="13"/>
        </w:rPr>
        <w:t xml:space="preserve"> </w:t>
      </w:r>
      <w:r>
        <w:rPr>
          <w:sz w:val="13"/>
        </w:rPr>
        <w:t>y</w:t>
      </w:r>
      <w:r>
        <w:rPr>
          <w:spacing w:val="-8"/>
          <w:sz w:val="13"/>
        </w:rPr>
        <w:t xml:space="preserve"> </w:t>
      </w:r>
      <w:r>
        <w:rPr>
          <w:sz w:val="13"/>
        </w:rPr>
        <w:t>otros</w:t>
      </w:r>
      <w:r>
        <w:rPr>
          <w:spacing w:val="-8"/>
          <w:sz w:val="13"/>
        </w:rPr>
        <w:t xml:space="preserve"> </w:t>
      </w:r>
      <w:r>
        <w:rPr>
          <w:sz w:val="13"/>
        </w:rPr>
        <w:t>c.</w:t>
      </w:r>
      <w:r>
        <w:rPr>
          <w:spacing w:val="-8"/>
          <w:sz w:val="13"/>
        </w:rPr>
        <w:t xml:space="preserve"> </w:t>
      </w:r>
      <w:r>
        <w:rPr>
          <w:sz w:val="13"/>
        </w:rPr>
        <w:t>la</w:t>
      </w:r>
      <w:r>
        <w:rPr>
          <w:spacing w:val="-8"/>
          <w:sz w:val="13"/>
        </w:rPr>
        <w:t xml:space="preserve"> </w:t>
      </w:r>
      <w:r>
        <w:rPr>
          <w:sz w:val="13"/>
        </w:rPr>
        <w:t>República</w:t>
      </w:r>
      <w:r>
        <w:rPr>
          <w:spacing w:val="40"/>
          <w:sz w:val="13"/>
        </w:rPr>
        <w:t xml:space="preserve"> </w:t>
      </w:r>
      <w:r>
        <w:rPr>
          <w:sz w:val="13"/>
        </w:rPr>
        <w:t>Checa,</w:t>
      </w:r>
      <w:r>
        <w:rPr>
          <w:spacing w:val="-2"/>
          <w:sz w:val="13"/>
        </w:rPr>
        <w:t xml:space="preserve"> </w:t>
      </w:r>
      <w:r>
        <w:rPr>
          <w:sz w:val="13"/>
        </w:rPr>
        <w:t>Solicitud</w:t>
      </w:r>
      <w:r>
        <w:rPr>
          <w:spacing w:val="-3"/>
          <w:sz w:val="13"/>
        </w:rPr>
        <w:t xml:space="preserve"> </w:t>
      </w:r>
      <w:r>
        <w:rPr>
          <w:sz w:val="13"/>
        </w:rPr>
        <w:t>No.</w:t>
      </w:r>
      <w:r>
        <w:rPr>
          <w:spacing w:val="-3"/>
          <w:sz w:val="13"/>
        </w:rPr>
        <w:t xml:space="preserve"> </w:t>
      </w:r>
      <w:r>
        <w:rPr>
          <w:sz w:val="13"/>
        </w:rPr>
        <w:t>57325/00,</w:t>
      </w:r>
      <w:r>
        <w:rPr>
          <w:spacing w:val="-2"/>
          <w:sz w:val="13"/>
        </w:rPr>
        <w:t xml:space="preserve"> </w:t>
      </w:r>
      <w:r>
        <w:rPr>
          <w:sz w:val="13"/>
        </w:rPr>
        <w:t>Sentencia,</w:t>
      </w:r>
      <w:r>
        <w:rPr>
          <w:spacing w:val="-2"/>
          <w:sz w:val="13"/>
        </w:rPr>
        <w:t xml:space="preserve"> </w:t>
      </w:r>
      <w:r>
        <w:rPr>
          <w:sz w:val="13"/>
        </w:rPr>
        <w:t>13</w:t>
      </w:r>
      <w:r>
        <w:rPr>
          <w:spacing w:val="-3"/>
          <w:sz w:val="13"/>
        </w:rPr>
        <w:t xml:space="preserve"> </w:t>
      </w:r>
      <w:r>
        <w:rPr>
          <w:sz w:val="13"/>
        </w:rPr>
        <w:t>de</w:t>
      </w:r>
      <w:r>
        <w:rPr>
          <w:spacing w:val="-3"/>
          <w:sz w:val="13"/>
        </w:rPr>
        <w:t xml:space="preserve"> </w:t>
      </w:r>
      <w:r>
        <w:rPr>
          <w:sz w:val="13"/>
        </w:rPr>
        <w:t>noviembre</w:t>
      </w:r>
      <w:r>
        <w:rPr>
          <w:spacing w:val="-3"/>
          <w:sz w:val="13"/>
        </w:rPr>
        <w:t xml:space="preserve"> </w:t>
      </w:r>
      <w:r>
        <w:rPr>
          <w:sz w:val="13"/>
        </w:rPr>
        <w:t>de</w:t>
      </w:r>
      <w:r>
        <w:rPr>
          <w:spacing w:val="-3"/>
          <w:sz w:val="13"/>
        </w:rPr>
        <w:t xml:space="preserve"> </w:t>
      </w:r>
      <w:r>
        <w:rPr>
          <w:sz w:val="13"/>
        </w:rPr>
        <w:t>2007,</w:t>
      </w:r>
      <w:r>
        <w:rPr>
          <w:spacing w:val="-3"/>
          <w:sz w:val="13"/>
        </w:rPr>
        <w:t xml:space="preserve"> </w:t>
      </w:r>
      <w:r>
        <w:rPr>
          <w:sz w:val="13"/>
        </w:rPr>
        <w:t>párr.</w:t>
      </w:r>
      <w:r>
        <w:rPr>
          <w:spacing w:val="-3"/>
          <w:sz w:val="13"/>
        </w:rPr>
        <w:t xml:space="preserve"> </w:t>
      </w:r>
      <w:r>
        <w:rPr>
          <w:sz w:val="13"/>
        </w:rPr>
        <w:t>184.</w:t>
      </w:r>
      <w:r>
        <w:rPr>
          <w:spacing w:val="-3"/>
          <w:sz w:val="13"/>
        </w:rPr>
        <w:t xml:space="preserve"> </w:t>
      </w:r>
      <w:r>
        <w:rPr>
          <w:sz w:val="13"/>
        </w:rPr>
        <w:t>Véase</w:t>
      </w:r>
      <w:r>
        <w:rPr>
          <w:spacing w:val="-3"/>
          <w:sz w:val="13"/>
        </w:rPr>
        <w:t xml:space="preserve"> </w:t>
      </w:r>
      <w:r>
        <w:rPr>
          <w:sz w:val="13"/>
        </w:rPr>
        <w:t>también</w:t>
      </w:r>
      <w:r>
        <w:rPr>
          <w:spacing w:val="-3"/>
          <w:sz w:val="13"/>
        </w:rPr>
        <w:t xml:space="preserve"> </w:t>
      </w:r>
      <w:r>
        <w:rPr>
          <w:sz w:val="13"/>
        </w:rPr>
        <w:t>Comité</w:t>
      </w:r>
      <w:r>
        <w:rPr>
          <w:spacing w:val="-3"/>
          <w:sz w:val="13"/>
        </w:rPr>
        <w:t xml:space="preserve"> </w:t>
      </w:r>
      <w:r>
        <w:rPr>
          <w:sz w:val="13"/>
        </w:rPr>
        <w:t>Europeo</w:t>
      </w:r>
      <w:r>
        <w:rPr>
          <w:spacing w:val="-3"/>
          <w:sz w:val="13"/>
        </w:rPr>
        <w:t xml:space="preserve"> </w:t>
      </w:r>
      <w:r>
        <w:rPr>
          <w:sz w:val="13"/>
        </w:rPr>
        <w:t>de</w:t>
      </w:r>
      <w:r>
        <w:rPr>
          <w:spacing w:val="-3"/>
          <w:sz w:val="13"/>
        </w:rPr>
        <w:t xml:space="preserve"> </w:t>
      </w:r>
      <w:r>
        <w:rPr>
          <w:sz w:val="13"/>
        </w:rPr>
        <w:t>Derechos</w:t>
      </w:r>
      <w:r>
        <w:rPr>
          <w:spacing w:val="-3"/>
          <w:sz w:val="13"/>
        </w:rPr>
        <w:t xml:space="preserve"> </w:t>
      </w:r>
      <w:r>
        <w:rPr>
          <w:sz w:val="13"/>
        </w:rPr>
        <w:t>Sociales,</w:t>
      </w:r>
      <w:r>
        <w:rPr>
          <w:spacing w:val="-2"/>
          <w:sz w:val="13"/>
        </w:rPr>
        <w:t xml:space="preserve"> </w:t>
      </w:r>
      <w:proofErr w:type="spellStart"/>
      <w:r>
        <w:rPr>
          <w:sz w:val="13"/>
        </w:rPr>
        <w:t>Equal</w:t>
      </w:r>
      <w:proofErr w:type="spellEnd"/>
      <w:r>
        <w:rPr>
          <w:spacing w:val="-3"/>
          <w:sz w:val="13"/>
        </w:rPr>
        <w:t xml:space="preserve"> </w:t>
      </w:r>
      <w:proofErr w:type="spellStart"/>
      <w:r>
        <w:rPr>
          <w:sz w:val="13"/>
        </w:rPr>
        <w:t>Rights</w:t>
      </w:r>
      <w:proofErr w:type="spellEnd"/>
      <w:r>
        <w:rPr>
          <w:spacing w:val="-3"/>
          <w:sz w:val="13"/>
        </w:rPr>
        <w:t xml:space="preserve"> </w:t>
      </w:r>
      <w:r>
        <w:rPr>
          <w:sz w:val="13"/>
        </w:rPr>
        <w:t>Trust</w:t>
      </w:r>
    </w:p>
    <w:p w14:paraId="48FA6A74" w14:textId="77777777" w:rsidR="0014798C" w:rsidRDefault="004E1F0B">
      <w:pPr>
        <w:spacing w:before="2"/>
        <w:ind w:left="1368"/>
        <w:rPr>
          <w:sz w:val="13"/>
        </w:rPr>
      </w:pPr>
      <w:r>
        <w:rPr>
          <w:sz w:val="13"/>
        </w:rPr>
        <w:t>c.</w:t>
      </w:r>
      <w:r>
        <w:rPr>
          <w:spacing w:val="-11"/>
          <w:sz w:val="13"/>
        </w:rPr>
        <w:t xml:space="preserve"> </w:t>
      </w:r>
      <w:r>
        <w:rPr>
          <w:sz w:val="13"/>
        </w:rPr>
        <w:t>Bulgaria,</w:t>
      </w:r>
      <w:r>
        <w:rPr>
          <w:spacing w:val="-7"/>
          <w:sz w:val="13"/>
        </w:rPr>
        <w:t xml:space="preserve"> </w:t>
      </w:r>
      <w:r>
        <w:rPr>
          <w:sz w:val="13"/>
        </w:rPr>
        <w:t>denuncia</w:t>
      </w:r>
      <w:r>
        <w:rPr>
          <w:spacing w:val="-8"/>
          <w:sz w:val="13"/>
        </w:rPr>
        <w:t xml:space="preserve"> </w:t>
      </w:r>
      <w:r>
        <w:rPr>
          <w:sz w:val="13"/>
        </w:rPr>
        <w:t>n.º</w:t>
      </w:r>
      <w:r>
        <w:rPr>
          <w:spacing w:val="-8"/>
          <w:sz w:val="13"/>
        </w:rPr>
        <w:t xml:space="preserve"> </w:t>
      </w:r>
      <w:r>
        <w:rPr>
          <w:sz w:val="13"/>
        </w:rPr>
        <w:t>121/2016,</w:t>
      </w:r>
      <w:r>
        <w:rPr>
          <w:spacing w:val="-7"/>
          <w:sz w:val="13"/>
        </w:rPr>
        <w:t xml:space="preserve"> </w:t>
      </w:r>
      <w:r>
        <w:rPr>
          <w:sz w:val="13"/>
        </w:rPr>
        <w:t>decisión</w:t>
      </w:r>
      <w:r>
        <w:rPr>
          <w:spacing w:val="-8"/>
          <w:sz w:val="13"/>
        </w:rPr>
        <w:t xml:space="preserve"> </w:t>
      </w:r>
      <w:r>
        <w:rPr>
          <w:sz w:val="13"/>
        </w:rPr>
        <w:t>sobre</w:t>
      </w:r>
      <w:r>
        <w:rPr>
          <w:spacing w:val="-8"/>
          <w:sz w:val="13"/>
        </w:rPr>
        <w:t xml:space="preserve"> </w:t>
      </w:r>
      <w:r>
        <w:rPr>
          <w:sz w:val="13"/>
        </w:rPr>
        <w:t>el</w:t>
      </w:r>
      <w:r>
        <w:rPr>
          <w:spacing w:val="-8"/>
          <w:sz w:val="13"/>
        </w:rPr>
        <w:t xml:space="preserve"> </w:t>
      </w:r>
      <w:r>
        <w:rPr>
          <w:sz w:val="13"/>
        </w:rPr>
        <w:t>fondo,</w:t>
      </w:r>
      <w:r>
        <w:rPr>
          <w:spacing w:val="-8"/>
          <w:sz w:val="13"/>
        </w:rPr>
        <w:t xml:space="preserve"> </w:t>
      </w:r>
      <w:r>
        <w:rPr>
          <w:sz w:val="13"/>
        </w:rPr>
        <w:t>16</w:t>
      </w:r>
      <w:r>
        <w:rPr>
          <w:spacing w:val="-8"/>
          <w:sz w:val="13"/>
        </w:rPr>
        <w:t xml:space="preserve"> </w:t>
      </w:r>
      <w:r>
        <w:rPr>
          <w:sz w:val="13"/>
        </w:rPr>
        <w:t>de</w:t>
      </w:r>
      <w:r>
        <w:rPr>
          <w:spacing w:val="-8"/>
          <w:sz w:val="13"/>
        </w:rPr>
        <w:t xml:space="preserve"> </w:t>
      </w:r>
      <w:r>
        <w:rPr>
          <w:sz w:val="13"/>
        </w:rPr>
        <w:t>octubre</w:t>
      </w:r>
      <w:r>
        <w:rPr>
          <w:spacing w:val="-8"/>
          <w:sz w:val="13"/>
        </w:rPr>
        <w:t xml:space="preserve"> </w:t>
      </w:r>
      <w:r>
        <w:rPr>
          <w:sz w:val="13"/>
        </w:rPr>
        <w:t>de</w:t>
      </w:r>
      <w:r>
        <w:rPr>
          <w:spacing w:val="-8"/>
          <w:sz w:val="13"/>
        </w:rPr>
        <w:t xml:space="preserve"> </w:t>
      </w:r>
      <w:r>
        <w:rPr>
          <w:sz w:val="13"/>
        </w:rPr>
        <w:t>2018,</w:t>
      </w:r>
      <w:r>
        <w:rPr>
          <w:spacing w:val="-8"/>
          <w:sz w:val="13"/>
        </w:rPr>
        <w:t xml:space="preserve"> </w:t>
      </w:r>
      <w:r>
        <w:rPr>
          <w:sz w:val="13"/>
        </w:rPr>
        <w:t>párr.</w:t>
      </w:r>
      <w:r>
        <w:rPr>
          <w:spacing w:val="-8"/>
          <w:sz w:val="13"/>
        </w:rPr>
        <w:t xml:space="preserve"> </w:t>
      </w:r>
      <w:r>
        <w:rPr>
          <w:spacing w:val="-5"/>
          <w:sz w:val="13"/>
        </w:rPr>
        <w:t>87.</w:t>
      </w:r>
    </w:p>
    <w:p w14:paraId="49D2B4EA" w14:textId="77777777" w:rsidR="0014798C" w:rsidRDefault="0014798C">
      <w:pPr>
        <w:pStyle w:val="Textoindependiente"/>
        <w:rPr>
          <w:sz w:val="18"/>
        </w:rPr>
      </w:pPr>
    </w:p>
    <w:p w14:paraId="33734781" w14:textId="77777777" w:rsidR="0014798C" w:rsidRDefault="0014798C">
      <w:pPr>
        <w:pStyle w:val="Textoindependiente"/>
        <w:rPr>
          <w:sz w:val="18"/>
        </w:rPr>
      </w:pPr>
    </w:p>
    <w:p w14:paraId="688AF92D" w14:textId="77777777" w:rsidR="0014798C" w:rsidRDefault="0014798C">
      <w:pPr>
        <w:pStyle w:val="Textoindependiente"/>
        <w:spacing w:before="26"/>
        <w:rPr>
          <w:sz w:val="18"/>
        </w:rPr>
      </w:pPr>
    </w:p>
    <w:p w14:paraId="368620F8" w14:textId="77777777" w:rsidR="0014798C" w:rsidRDefault="004E1F0B">
      <w:pPr>
        <w:spacing w:before="1"/>
        <w:ind w:left="558"/>
        <w:rPr>
          <w:sz w:val="18"/>
        </w:rPr>
      </w:pPr>
      <w:r>
        <w:rPr>
          <w:spacing w:val="-5"/>
          <w:w w:val="105"/>
          <w:sz w:val="18"/>
        </w:rPr>
        <w:t>32</w:t>
      </w:r>
    </w:p>
    <w:p w14:paraId="52AB99F7" w14:textId="77777777" w:rsidR="0014798C" w:rsidRDefault="0014798C">
      <w:pPr>
        <w:rPr>
          <w:sz w:val="18"/>
        </w:rPr>
        <w:sectPr w:rsidR="0014798C" w:rsidSect="00F265E4">
          <w:type w:val="continuous"/>
          <w:pgSz w:w="11900" w:h="16820"/>
          <w:pgMar w:top="40" w:right="0" w:bottom="280" w:left="200" w:header="121" w:footer="0" w:gutter="0"/>
          <w:cols w:space="720"/>
        </w:sectPr>
      </w:pPr>
    </w:p>
    <w:p w14:paraId="1C3E8AB3" w14:textId="77777777" w:rsidR="0014798C" w:rsidRDefault="0014798C">
      <w:pPr>
        <w:pStyle w:val="Textoindependiente"/>
        <w:spacing w:before="51"/>
        <w:rPr>
          <w:sz w:val="14"/>
        </w:rPr>
      </w:pPr>
    </w:p>
    <w:p w14:paraId="265BB312" w14:textId="77777777" w:rsidR="0014798C" w:rsidRDefault="004E1F0B">
      <w:pPr>
        <w:ind w:left="1111"/>
        <w:rPr>
          <w:sz w:val="14"/>
        </w:rPr>
      </w:pPr>
      <w:r>
        <w:rPr>
          <w:color w:val="00AC59"/>
          <w:sz w:val="14"/>
        </w:rPr>
        <w:t>SEGUNDA</w:t>
      </w:r>
      <w:r>
        <w:rPr>
          <w:color w:val="00AC59"/>
          <w:spacing w:val="-5"/>
          <w:sz w:val="14"/>
        </w:rPr>
        <w:t xml:space="preserve"> </w:t>
      </w:r>
      <w:r>
        <w:rPr>
          <w:color w:val="00AC59"/>
          <w:sz w:val="14"/>
        </w:rPr>
        <w:t>PARTE:</w:t>
      </w:r>
      <w:r>
        <w:rPr>
          <w:color w:val="00AC59"/>
          <w:spacing w:val="-5"/>
          <w:sz w:val="14"/>
        </w:rPr>
        <w:t xml:space="preserve"> </w:t>
      </w:r>
      <w:r>
        <w:rPr>
          <w:color w:val="00AC59"/>
          <w:sz w:val="14"/>
        </w:rPr>
        <w:t>CONTENIDO</w:t>
      </w:r>
      <w:r>
        <w:rPr>
          <w:color w:val="00AC59"/>
          <w:spacing w:val="-4"/>
          <w:sz w:val="14"/>
        </w:rPr>
        <w:t xml:space="preserve"> </w:t>
      </w:r>
      <w:r>
        <w:rPr>
          <w:color w:val="00AC59"/>
          <w:sz w:val="14"/>
        </w:rPr>
        <w:t>DE</w:t>
      </w:r>
      <w:r>
        <w:rPr>
          <w:color w:val="00AC59"/>
          <w:spacing w:val="-5"/>
          <w:sz w:val="14"/>
        </w:rPr>
        <w:t xml:space="preserve"> </w:t>
      </w:r>
      <w:r>
        <w:rPr>
          <w:color w:val="00AC59"/>
          <w:sz w:val="14"/>
        </w:rPr>
        <w:t>LA</w:t>
      </w:r>
      <w:r>
        <w:rPr>
          <w:color w:val="00AC59"/>
          <w:spacing w:val="-4"/>
          <w:sz w:val="14"/>
        </w:rPr>
        <w:t xml:space="preserve"> </w:t>
      </w:r>
      <w:r>
        <w:rPr>
          <w:color w:val="00AC59"/>
          <w:sz w:val="14"/>
        </w:rPr>
        <w:t>LEY</w:t>
      </w:r>
      <w:r>
        <w:rPr>
          <w:color w:val="00AC59"/>
          <w:spacing w:val="-4"/>
          <w:sz w:val="14"/>
        </w:rPr>
        <w:t xml:space="preserve"> </w:t>
      </w:r>
      <w:r>
        <w:rPr>
          <w:color w:val="00AC59"/>
          <w:sz w:val="14"/>
        </w:rPr>
        <w:t>INTEGRAL</w:t>
      </w:r>
      <w:r>
        <w:rPr>
          <w:color w:val="00AC59"/>
          <w:spacing w:val="-5"/>
          <w:sz w:val="14"/>
        </w:rPr>
        <w:t xml:space="preserve"> </w:t>
      </w:r>
      <w:r>
        <w:rPr>
          <w:color w:val="00AC59"/>
          <w:spacing w:val="-2"/>
          <w:sz w:val="14"/>
        </w:rPr>
        <w:t>ANTIDISCRIMINACIÓN</w:t>
      </w:r>
    </w:p>
    <w:p w14:paraId="26F17C4D" w14:textId="77777777" w:rsidR="0014798C" w:rsidRDefault="0014798C">
      <w:pPr>
        <w:pStyle w:val="Textoindependiente"/>
      </w:pPr>
    </w:p>
    <w:p w14:paraId="193A69BF" w14:textId="77777777" w:rsidR="0014798C" w:rsidRDefault="0014798C">
      <w:pPr>
        <w:pStyle w:val="Textoindependiente"/>
      </w:pPr>
    </w:p>
    <w:p w14:paraId="70F77AB5" w14:textId="77777777" w:rsidR="0014798C" w:rsidRDefault="0014798C">
      <w:pPr>
        <w:pStyle w:val="Textoindependiente"/>
      </w:pPr>
    </w:p>
    <w:p w14:paraId="612B660A" w14:textId="77777777" w:rsidR="0014798C" w:rsidRDefault="0014798C">
      <w:pPr>
        <w:pStyle w:val="Textoindependiente"/>
      </w:pPr>
    </w:p>
    <w:p w14:paraId="58F68A3D" w14:textId="77777777" w:rsidR="0014798C" w:rsidRDefault="0014798C">
      <w:pPr>
        <w:pStyle w:val="Textoindependiente"/>
        <w:spacing w:before="29"/>
      </w:pPr>
    </w:p>
    <w:p w14:paraId="052222A0" w14:textId="77777777" w:rsidR="0014798C" w:rsidRDefault="004E1F0B">
      <w:pPr>
        <w:pStyle w:val="Textoindependiente"/>
        <w:ind w:left="1342"/>
      </w:pPr>
      <w:r>
        <w:rPr>
          <w:noProof/>
        </w:rPr>
        <w:drawing>
          <wp:anchor distT="0" distB="0" distL="0" distR="0" simplePos="0" relativeHeight="251658383" behindDoc="1" locked="0" layoutInCell="1" allowOverlap="1" wp14:anchorId="24D04E3C" wp14:editId="665625C4">
            <wp:simplePos x="0" y="0"/>
            <wp:positionH relativeFrom="page">
              <wp:posOffset>786199</wp:posOffset>
            </wp:positionH>
            <wp:positionV relativeFrom="paragraph">
              <wp:posOffset>-136636</wp:posOffset>
            </wp:positionV>
            <wp:extent cx="6770300" cy="6870336"/>
            <wp:effectExtent l="0" t="0" r="0" b="0"/>
            <wp:wrapNone/>
            <wp:docPr id="110" name="Image 11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10" name="Image 110"/>
                    <pic:cNvPicPr/>
                  </pic:nvPicPr>
                  <pic:blipFill>
                    <a:blip r:embed="rId112" cstate="print"/>
                    <a:stretch>
                      <a:fillRect/>
                    </a:stretch>
                  </pic:blipFill>
                  <pic:spPr>
                    <a:xfrm>
                      <a:off x="0" y="0"/>
                      <a:ext cx="6770300" cy="6870336"/>
                    </a:xfrm>
                    <a:prstGeom prst="rect">
                      <a:avLst/>
                    </a:prstGeom>
                  </pic:spPr>
                </pic:pic>
              </a:graphicData>
            </a:graphic>
          </wp:anchor>
        </w:drawing>
      </w:r>
      <w:r>
        <w:rPr>
          <w:w w:val="105"/>
        </w:rPr>
        <w:t>DISCRIMINACIÓN</w:t>
      </w:r>
      <w:r>
        <w:rPr>
          <w:spacing w:val="-12"/>
          <w:w w:val="105"/>
        </w:rPr>
        <w:t xml:space="preserve"> </w:t>
      </w:r>
      <w:r>
        <w:rPr>
          <w:w w:val="105"/>
        </w:rPr>
        <w:t>DIRECTA</w:t>
      </w:r>
      <w:r>
        <w:rPr>
          <w:spacing w:val="-11"/>
          <w:w w:val="105"/>
        </w:rPr>
        <w:t xml:space="preserve"> </w:t>
      </w:r>
      <w:r>
        <w:rPr>
          <w:w w:val="105"/>
        </w:rPr>
        <w:t>SEGÚN</w:t>
      </w:r>
      <w:r>
        <w:rPr>
          <w:spacing w:val="-12"/>
          <w:w w:val="105"/>
        </w:rPr>
        <w:t xml:space="preserve"> </w:t>
      </w:r>
      <w:r>
        <w:rPr>
          <w:w w:val="105"/>
        </w:rPr>
        <w:t>EL</w:t>
      </w:r>
      <w:r>
        <w:rPr>
          <w:spacing w:val="-11"/>
          <w:w w:val="105"/>
        </w:rPr>
        <w:t xml:space="preserve"> </w:t>
      </w:r>
      <w:r>
        <w:rPr>
          <w:w w:val="105"/>
        </w:rPr>
        <w:t>DERECHO</w:t>
      </w:r>
      <w:r>
        <w:rPr>
          <w:spacing w:val="-11"/>
          <w:w w:val="105"/>
        </w:rPr>
        <w:t xml:space="preserve"> </w:t>
      </w:r>
      <w:r>
        <w:rPr>
          <w:w w:val="105"/>
        </w:rPr>
        <w:t>DE</w:t>
      </w:r>
      <w:r>
        <w:rPr>
          <w:spacing w:val="-11"/>
          <w:w w:val="105"/>
        </w:rPr>
        <w:t xml:space="preserve"> </w:t>
      </w:r>
      <w:r>
        <w:rPr>
          <w:w w:val="105"/>
        </w:rPr>
        <w:t>LA</w:t>
      </w:r>
      <w:r>
        <w:rPr>
          <w:spacing w:val="-11"/>
          <w:w w:val="105"/>
        </w:rPr>
        <w:t xml:space="preserve"> </w:t>
      </w:r>
      <w:r>
        <w:rPr>
          <w:w w:val="105"/>
        </w:rPr>
        <w:t>UNIÓN</w:t>
      </w:r>
      <w:r>
        <w:rPr>
          <w:spacing w:val="-12"/>
          <w:w w:val="105"/>
        </w:rPr>
        <w:t xml:space="preserve"> </w:t>
      </w:r>
      <w:r>
        <w:rPr>
          <w:spacing w:val="-2"/>
          <w:w w:val="105"/>
        </w:rPr>
        <w:t>EUROPEA</w:t>
      </w:r>
    </w:p>
    <w:p w14:paraId="09970D26" w14:textId="77777777" w:rsidR="0014798C" w:rsidRDefault="0014798C">
      <w:pPr>
        <w:pStyle w:val="Textoindependiente"/>
        <w:spacing w:before="35"/>
      </w:pPr>
    </w:p>
    <w:p w14:paraId="02E0270D" w14:textId="77777777" w:rsidR="0014798C" w:rsidRDefault="004E1F0B">
      <w:pPr>
        <w:pStyle w:val="Textoindependiente"/>
        <w:spacing w:before="1" w:line="326" w:lineRule="auto"/>
        <w:ind w:left="1334" w:right="1626" w:hanging="1"/>
      </w:pPr>
      <w:r>
        <w:rPr>
          <w:w w:val="105"/>
        </w:rPr>
        <w:t>La</w:t>
      </w:r>
      <w:r>
        <w:rPr>
          <w:spacing w:val="-6"/>
          <w:w w:val="105"/>
        </w:rPr>
        <w:t xml:space="preserve"> </w:t>
      </w:r>
      <w:r>
        <w:rPr>
          <w:w w:val="105"/>
        </w:rPr>
        <w:t>discriminación</w:t>
      </w:r>
      <w:r>
        <w:rPr>
          <w:spacing w:val="-6"/>
          <w:w w:val="105"/>
        </w:rPr>
        <w:t xml:space="preserve"> </w:t>
      </w:r>
      <w:r>
        <w:rPr>
          <w:w w:val="105"/>
        </w:rPr>
        <w:t>directa</w:t>
      </w:r>
      <w:r>
        <w:rPr>
          <w:spacing w:val="-6"/>
          <w:w w:val="105"/>
        </w:rPr>
        <w:t xml:space="preserve"> </w:t>
      </w:r>
      <w:r>
        <w:rPr>
          <w:w w:val="105"/>
        </w:rPr>
        <w:t>se</w:t>
      </w:r>
      <w:r>
        <w:rPr>
          <w:spacing w:val="-6"/>
          <w:w w:val="105"/>
        </w:rPr>
        <w:t xml:space="preserve"> </w:t>
      </w:r>
      <w:r>
        <w:rPr>
          <w:w w:val="105"/>
        </w:rPr>
        <w:t>define</w:t>
      </w:r>
      <w:r>
        <w:rPr>
          <w:spacing w:val="-6"/>
          <w:w w:val="105"/>
        </w:rPr>
        <w:t xml:space="preserve"> </w:t>
      </w:r>
      <w:r>
        <w:rPr>
          <w:w w:val="105"/>
        </w:rPr>
        <w:t>en</w:t>
      </w:r>
      <w:r>
        <w:rPr>
          <w:spacing w:val="-6"/>
          <w:w w:val="105"/>
        </w:rPr>
        <w:t xml:space="preserve"> </w:t>
      </w:r>
      <w:r>
        <w:rPr>
          <w:w w:val="105"/>
        </w:rPr>
        <w:t>las</w:t>
      </w:r>
      <w:r>
        <w:rPr>
          <w:spacing w:val="-6"/>
          <w:w w:val="105"/>
        </w:rPr>
        <w:t xml:space="preserve"> </w:t>
      </w:r>
      <w:r>
        <w:rPr>
          <w:w w:val="105"/>
        </w:rPr>
        <w:t>directivas</w:t>
      </w:r>
      <w:r>
        <w:rPr>
          <w:spacing w:val="-6"/>
          <w:w w:val="105"/>
        </w:rPr>
        <w:t xml:space="preserve"> </w:t>
      </w:r>
      <w:r>
        <w:rPr>
          <w:w w:val="105"/>
        </w:rPr>
        <w:t>de</w:t>
      </w:r>
      <w:r>
        <w:rPr>
          <w:spacing w:val="-6"/>
          <w:w w:val="105"/>
        </w:rPr>
        <w:t xml:space="preserve"> </w:t>
      </w:r>
      <w:r>
        <w:rPr>
          <w:w w:val="105"/>
        </w:rPr>
        <w:t>igualdad</w:t>
      </w:r>
      <w:r>
        <w:rPr>
          <w:spacing w:val="-6"/>
          <w:w w:val="105"/>
        </w:rPr>
        <w:t xml:space="preserve"> </w:t>
      </w:r>
      <w:r>
        <w:rPr>
          <w:w w:val="105"/>
        </w:rPr>
        <w:t>de</w:t>
      </w:r>
      <w:r>
        <w:rPr>
          <w:spacing w:val="-6"/>
          <w:w w:val="105"/>
        </w:rPr>
        <w:t xml:space="preserve"> </w:t>
      </w:r>
      <w:r>
        <w:rPr>
          <w:w w:val="105"/>
        </w:rPr>
        <w:t>trato</w:t>
      </w:r>
      <w:r>
        <w:rPr>
          <w:spacing w:val="-6"/>
          <w:w w:val="105"/>
        </w:rPr>
        <w:t xml:space="preserve"> </w:t>
      </w:r>
      <w:r>
        <w:rPr>
          <w:w w:val="105"/>
        </w:rPr>
        <w:t>de</w:t>
      </w:r>
      <w:r>
        <w:rPr>
          <w:spacing w:val="-6"/>
          <w:w w:val="105"/>
        </w:rPr>
        <w:t xml:space="preserve"> </w:t>
      </w:r>
      <w:r>
        <w:rPr>
          <w:w w:val="105"/>
        </w:rPr>
        <w:t>la</w:t>
      </w:r>
      <w:r>
        <w:rPr>
          <w:spacing w:val="-6"/>
          <w:w w:val="105"/>
        </w:rPr>
        <w:t xml:space="preserve"> </w:t>
      </w:r>
      <w:r>
        <w:rPr>
          <w:w w:val="105"/>
        </w:rPr>
        <w:t>Unión</w:t>
      </w:r>
      <w:r>
        <w:rPr>
          <w:spacing w:val="-6"/>
          <w:w w:val="105"/>
        </w:rPr>
        <w:t xml:space="preserve"> </w:t>
      </w:r>
      <w:r>
        <w:rPr>
          <w:w w:val="105"/>
        </w:rPr>
        <w:t>Europea</w:t>
      </w:r>
      <w:r>
        <w:rPr>
          <w:spacing w:val="-6"/>
          <w:w w:val="105"/>
        </w:rPr>
        <w:t xml:space="preserve"> </w:t>
      </w:r>
      <w:r>
        <w:rPr>
          <w:w w:val="105"/>
        </w:rPr>
        <w:t>como</w:t>
      </w:r>
      <w:r>
        <w:rPr>
          <w:spacing w:val="-6"/>
          <w:w w:val="105"/>
        </w:rPr>
        <w:t xml:space="preserve"> </w:t>
      </w:r>
      <w:r>
        <w:rPr>
          <w:w w:val="105"/>
        </w:rPr>
        <w:t>la</w:t>
      </w:r>
      <w:r>
        <w:rPr>
          <w:spacing w:val="-6"/>
          <w:w w:val="105"/>
        </w:rPr>
        <w:t xml:space="preserve"> </w:t>
      </w:r>
      <w:r>
        <w:rPr>
          <w:w w:val="105"/>
        </w:rPr>
        <w:t>situación</w:t>
      </w:r>
      <w:r>
        <w:rPr>
          <w:spacing w:val="-6"/>
          <w:w w:val="105"/>
        </w:rPr>
        <w:t xml:space="preserve"> </w:t>
      </w:r>
      <w:r>
        <w:rPr>
          <w:w w:val="105"/>
        </w:rPr>
        <w:t>“en</w:t>
      </w:r>
      <w:r>
        <w:rPr>
          <w:spacing w:val="-6"/>
          <w:w w:val="105"/>
        </w:rPr>
        <w:t xml:space="preserve"> </w:t>
      </w:r>
      <w:r>
        <w:rPr>
          <w:w w:val="105"/>
        </w:rPr>
        <w:t>la que</w:t>
      </w:r>
      <w:r>
        <w:rPr>
          <w:spacing w:val="-1"/>
          <w:w w:val="105"/>
        </w:rPr>
        <w:t xml:space="preserve"> </w:t>
      </w:r>
      <w:r>
        <w:rPr>
          <w:w w:val="105"/>
        </w:rPr>
        <w:t>una</w:t>
      </w:r>
      <w:r>
        <w:rPr>
          <w:spacing w:val="-1"/>
          <w:w w:val="105"/>
        </w:rPr>
        <w:t xml:space="preserve"> </w:t>
      </w:r>
      <w:r>
        <w:rPr>
          <w:w w:val="105"/>
        </w:rPr>
        <w:t>persona</w:t>
      </w:r>
      <w:r>
        <w:rPr>
          <w:spacing w:val="-1"/>
          <w:w w:val="105"/>
        </w:rPr>
        <w:t xml:space="preserve"> </w:t>
      </w:r>
      <w:r>
        <w:rPr>
          <w:w w:val="105"/>
        </w:rPr>
        <w:t>recibe</w:t>
      </w:r>
      <w:r>
        <w:rPr>
          <w:spacing w:val="-1"/>
          <w:w w:val="105"/>
        </w:rPr>
        <w:t xml:space="preserve"> </w:t>
      </w:r>
      <w:r>
        <w:rPr>
          <w:w w:val="105"/>
        </w:rPr>
        <w:t>un</w:t>
      </w:r>
      <w:r>
        <w:rPr>
          <w:spacing w:val="-1"/>
          <w:w w:val="105"/>
        </w:rPr>
        <w:t xml:space="preserve"> </w:t>
      </w:r>
      <w:r>
        <w:rPr>
          <w:w w:val="105"/>
        </w:rPr>
        <w:t>trato</w:t>
      </w:r>
      <w:r>
        <w:rPr>
          <w:spacing w:val="-1"/>
          <w:w w:val="105"/>
        </w:rPr>
        <w:t xml:space="preserve"> </w:t>
      </w:r>
      <w:r>
        <w:rPr>
          <w:w w:val="105"/>
        </w:rPr>
        <w:t>menos</w:t>
      </w:r>
      <w:r>
        <w:rPr>
          <w:spacing w:val="-1"/>
          <w:w w:val="105"/>
        </w:rPr>
        <w:t xml:space="preserve"> </w:t>
      </w:r>
      <w:r>
        <w:rPr>
          <w:w w:val="105"/>
        </w:rPr>
        <w:t>favorable</w:t>
      </w:r>
      <w:r>
        <w:rPr>
          <w:spacing w:val="-1"/>
          <w:w w:val="105"/>
        </w:rPr>
        <w:t xml:space="preserve"> </w:t>
      </w:r>
      <w:r>
        <w:rPr>
          <w:w w:val="105"/>
        </w:rPr>
        <w:t>que</w:t>
      </w:r>
      <w:r>
        <w:rPr>
          <w:spacing w:val="-1"/>
          <w:w w:val="105"/>
        </w:rPr>
        <w:t xml:space="preserve"> </w:t>
      </w:r>
      <w:r>
        <w:rPr>
          <w:w w:val="105"/>
        </w:rPr>
        <w:t>el</w:t>
      </w:r>
      <w:r>
        <w:rPr>
          <w:spacing w:val="-1"/>
          <w:w w:val="105"/>
        </w:rPr>
        <w:t xml:space="preserve"> </w:t>
      </w:r>
      <w:r>
        <w:rPr>
          <w:w w:val="105"/>
        </w:rPr>
        <w:t>que</w:t>
      </w:r>
      <w:r>
        <w:rPr>
          <w:spacing w:val="-1"/>
          <w:w w:val="105"/>
        </w:rPr>
        <w:t xml:space="preserve"> </w:t>
      </w:r>
      <w:r>
        <w:rPr>
          <w:w w:val="105"/>
        </w:rPr>
        <w:t>otra</w:t>
      </w:r>
      <w:r>
        <w:rPr>
          <w:spacing w:val="-1"/>
          <w:w w:val="105"/>
        </w:rPr>
        <w:t xml:space="preserve"> </w:t>
      </w:r>
      <w:r>
        <w:rPr>
          <w:w w:val="105"/>
        </w:rPr>
        <w:t>recibe, ha</w:t>
      </w:r>
      <w:r>
        <w:rPr>
          <w:spacing w:val="-1"/>
          <w:w w:val="105"/>
        </w:rPr>
        <w:t xml:space="preserve"> </w:t>
      </w:r>
      <w:r>
        <w:rPr>
          <w:w w:val="105"/>
        </w:rPr>
        <w:t>sido</w:t>
      </w:r>
      <w:r>
        <w:rPr>
          <w:spacing w:val="-1"/>
          <w:w w:val="105"/>
        </w:rPr>
        <w:t xml:space="preserve"> </w:t>
      </w:r>
      <w:r>
        <w:rPr>
          <w:w w:val="105"/>
        </w:rPr>
        <w:t>o</w:t>
      </w:r>
      <w:r>
        <w:rPr>
          <w:spacing w:val="-1"/>
          <w:w w:val="105"/>
        </w:rPr>
        <w:t xml:space="preserve"> </w:t>
      </w:r>
      <w:r>
        <w:rPr>
          <w:w w:val="105"/>
        </w:rPr>
        <w:t>sería</w:t>
      </w:r>
      <w:r>
        <w:rPr>
          <w:spacing w:val="-1"/>
          <w:w w:val="105"/>
        </w:rPr>
        <w:t xml:space="preserve"> </w:t>
      </w:r>
      <w:r>
        <w:rPr>
          <w:w w:val="105"/>
        </w:rPr>
        <w:t>tratada</w:t>
      </w:r>
      <w:r>
        <w:rPr>
          <w:spacing w:val="-1"/>
          <w:w w:val="105"/>
        </w:rPr>
        <w:t xml:space="preserve"> </w:t>
      </w:r>
      <w:r>
        <w:rPr>
          <w:w w:val="105"/>
        </w:rPr>
        <w:t>en</w:t>
      </w:r>
      <w:r>
        <w:rPr>
          <w:spacing w:val="-1"/>
          <w:w w:val="105"/>
        </w:rPr>
        <w:t xml:space="preserve"> </w:t>
      </w:r>
      <w:r>
        <w:rPr>
          <w:w w:val="105"/>
        </w:rPr>
        <w:t>una</w:t>
      </w:r>
      <w:r>
        <w:rPr>
          <w:spacing w:val="-1"/>
          <w:w w:val="105"/>
        </w:rPr>
        <w:t xml:space="preserve"> </w:t>
      </w:r>
      <w:r>
        <w:rPr>
          <w:w w:val="105"/>
        </w:rPr>
        <w:t>situación comparable</w:t>
      </w:r>
      <w:r>
        <w:rPr>
          <w:spacing w:val="-1"/>
          <w:w w:val="105"/>
        </w:rPr>
        <w:t xml:space="preserve"> </w:t>
      </w:r>
      <w:r>
        <w:rPr>
          <w:w w:val="105"/>
        </w:rPr>
        <w:t>[por</w:t>
      </w:r>
      <w:r>
        <w:rPr>
          <w:spacing w:val="-1"/>
          <w:w w:val="105"/>
        </w:rPr>
        <w:t xml:space="preserve"> </w:t>
      </w:r>
      <w:r>
        <w:rPr>
          <w:w w:val="105"/>
        </w:rPr>
        <w:t>un</w:t>
      </w:r>
      <w:r>
        <w:rPr>
          <w:spacing w:val="-1"/>
          <w:w w:val="105"/>
        </w:rPr>
        <w:t xml:space="preserve"> </w:t>
      </w:r>
      <w:r>
        <w:rPr>
          <w:w w:val="105"/>
        </w:rPr>
        <w:t>motivo</w:t>
      </w:r>
      <w:r>
        <w:rPr>
          <w:spacing w:val="-1"/>
          <w:w w:val="105"/>
        </w:rPr>
        <w:t xml:space="preserve"> </w:t>
      </w:r>
      <w:r>
        <w:rPr>
          <w:w w:val="105"/>
        </w:rPr>
        <w:t>prohibido]”.233</w:t>
      </w:r>
      <w:r>
        <w:rPr>
          <w:spacing w:val="-1"/>
          <w:w w:val="105"/>
        </w:rPr>
        <w:t xml:space="preserve"> </w:t>
      </w:r>
      <w:r>
        <w:rPr>
          <w:w w:val="105"/>
        </w:rPr>
        <w:t>En</w:t>
      </w:r>
      <w:r>
        <w:rPr>
          <w:spacing w:val="-1"/>
          <w:w w:val="105"/>
        </w:rPr>
        <w:t xml:space="preserve"> </w:t>
      </w:r>
      <w:proofErr w:type="spellStart"/>
      <w:r>
        <w:rPr>
          <w:w w:val="105"/>
        </w:rPr>
        <w:t>Feryn</w:t>
      </w:r>
      <w:proofErr w:type="spellEnd"/>
      <w:r>
        <w:rPr>
          <w:w w:val="105"/>
        </w:rPr>
        <w:t>, el</w:t>
      </w:r>
      <w:r>
        <w:rPr>
          <w:spacing w:val="-1"/>
          <w:w w:val="105"/>
        </w:rPr>
        <w:t xml:space="preserve"> </w:t>
      </w:r>
      <w:r>
        <w:rPr>
          <w:w w:val="105"/>
        </w:rPr>
        <w:t>Tribunal</w:t>
      </w:r>
      <w:r>
        <w:rPr>
          <w:spacing w:val="-1"/>
          <w:w w:val="105"/>
        </w:rPr>
        <w:t xml:space="preserve"> </w:t>
      </w:r>
      <w:r>
        <w:rPr>
          <w:w w:val="105"/>
        </w:rPr>
        <w:t>de</w:t>
      </w:r>
      <w:r>
        <w:rPr>
          <w:spacing w:val="-1"/>
          <w:w w:val="105"/>
        </w:rPr>
        <w:t xml:space="preserve"> </w:t>
      </w:r>
      <w:r>
        <w:rPr>
          <w:w w:val="105"/>
        </w:rPr>
        <w:t>Justicia</w:t>
      </w:r>
      <w:r>
        <w:rPr>
          <w:spacing w:val="-1"/>
          <w:w w:val="105"/>
        </w:rPr>
        <w:t xml:space="preserve"> </w:t>
      </w:r>
      <w:r>
        <w:rPr>
          <w:w w:val="105"/>
        </w:rPr>
        <w:t>de</w:t>
      </w:r>
      <w:r>
        <w:rPr>
          <w:spacing w:val="-1"/>
          <w:w w:val="105"/>
        </w:rPr>
        <w:t xml:space="preserve"> </w:t>
      </w:r>
      <w:r>
        <w:rPr>
          <w:w w:val="105"/>
        </w:rPr>
        <w:t>la</w:t>
      </w:r>
      <w:r>
        <w:rPr>
          <w:spacing w:val="-1"/>
          <w:w w:val="105"/>
        </w:rPr>
        <w:t xml:space="preserve"> </w:t>
      </w:r>
      <w:r>
        <w:rPr>
          <w:w w:val="105"/>
        </w:rPr>
        <w:t>Unión</w:t>
      </w:r>
      <w:r>
        <w:rPr>
          <w:spacing w:val="-1"/>
          <w:w w:val="105"/>
        </w:rPr>
        <w:t xml:space="preserve"> </w:t>
      </w:r>
      <w:r>
        <w:rPr>
          <w:w w:val="105"/>
        </w:rPr>
        <w:t>Europea</w:t>
      </w:r>
      <w:r>
        <w:rPr>
          <w:spacing w:val="-1"/>
          <w:w w:val="105"/>
        </w:rPr>
        <w:t xml:space="preserve"> </w:t>
      </w:r>
      <w:r>
        <w:rPr>
          <w:w w:val="105"/>
        </w:rPr>
        <w:t>concluyó</w:t>
      </w:r>
      <w:r>
        <w:rPr>
          <w:spacing w:val="-1"/>
          <w:w w:val="105"/>
        </w:rPr>
        <w:t xml:space="preserve"> </w:t>
      </w:r>
      <w:r>
        <w:rPr>
          <w:w w:val="105"/>
        </w:rPr>
        <w:t>que</w:t>
      </w:r>
      <w:r>
        <w:rPr>
          <w:spacing w:val="-1"/>
          <w:w w:val="105"/>
        </w:rPr>
        <w:t xml:space="preserve"> </w:t>
      </w:r>
      <w:r>
        <w:rPr>
          <w:w w:val="105"/>
        </w:rPr>
        <w:t>la declaración de un empleador de que “no contrataría empleados de un determinado origen étnico o racial” constituía discriminación directa a los efectos del artículo 2 (2) (a) de la directiva sobre igualdad racial.</w:t>
      </w:r>
    </w:p>
    <w:p w14:paraId="6C46D2B2" w14:textId="77777777" w:rsidR="0014798C" w:rsidRDefault="004E1F0B">
      <w:pPr>
        <w:pStyle w:val="Textoindependiente"/>
        <w:spacing w:line="326" w:lineRule="auto"/>
        <w:ind w:left="1332" w:right="1553" w:hanging="1"/>
      </w:pPr>
      <w:r>
        <w:rPr>
          <w:w w:val="105"/>
        </w:rPr>
        <w:t>Según</w:t>
      </w:r>
      <w:r>
        <w:rPr>
          <w:spacing w:val="-1"/>
          <w:w w:val="105"/>
        </w:rPr>
        <w:t xml:space="preserve"> </w:t>
      </w:r>
      <w:r>
        <w:rPr>
          <w:w w:val="105"/>
        </w:rPr>
        <w:t>el</w:t>
      </w:r>
      <w:r>
        <w:rPr>
          <w:spacing w:val="-1"/>
          <w:w w:val="105"/>
        </w:rPr>
        <w:t xml:space="preserve"> </w:t>
      </w:r>
      <w:r>
        <w:rPr>
          <w:w w:val="105"/>
        </w:rPr>
        <w:t>Tribunal, “la</w:t>
      </w:r>
      <w:r>
        <w:rPr>
          <w:spacing w:val="-1"/>
          <w:w w:val="105"/>
        </w:rPr>
        <w:t xml:space="preserve"> </w:t>
      </w:r>
      <w:r>
        <w:rPr>
          <w:w w:val="105"/>
        </w:rPr>
        <w:t>discriminación</w:t>
      </w:r>
      <w:r>
        <w:rPr>
          <w:spacing w:val="-1"/>
          <w:w w:val="105"/>
        </w:rPr>
        <w:t xml:space="preserve"> </w:t>
      </w:r>
      <w:r>
        <w:rPr>
          <w:w w:val="105"/>
        </w:rPr>
        <w:t>directa</w:t>
      </w:r>
      <w:r>
        <w:rPr>
          <w:spacing w:val="-1"/>
          <w:w w:val="105"/>
        </w:rPr>
        <w:t xml:space="preserve"> </w:t>
      </w:r>
      <w:r>
        <w:rPr>
          <w:w w:val="105"/>
        </w:rPr>
        <w:t>no</w:t>
      </w:r>
      <w:r>
        <w:rPr>
          <w:spacing w:val="-1"/>
          <w:w w:val="105"/>
        </w:rPr>
        <w:t xml:space="preserve"> </w:t>
      </w:r>
      <w:r>
        <w:rPr>
          <w:w w:val="105"/>
        </w:rPr>
        <w:t>depende</w:t>
      </w:r>
      <w:r>
        <w:rPr>
          <w:spacing w:val="-1"/>
          <w:w w:val="105"/>
        </w:rPr>
        <w:t xml:space="preserve"> </w:t>
      </w:r>
      <w:r>
        <w:rPr>
          <w:w w:val="105"/>
        </w:rPr>
        <w:t>de</w:t>
      </w:r>
      <w:r>
        <w:rPr>
          <w:spacing w:val="-1"/>
          <w:w w:val="105"/>
        </w:rPr>
        <w:t xml:space="preserve"> </w:t>
      </w:r>
      <w:r>
        <w:rPr>
          <w:w w:val="105"/>
        </w:rPr>
        <w:t>la</w:t>
      </w:r>
      <w:r>
        <w:rPr>
          <w:spacing w:val="-1"/>
          <w:w w:val="105"/>
        </w:rPr>
        <w:t xml:space="preserve"> </w:t>
      </w:r>
      <w:r>
        <w:rPr>
          <w:w w:val="105"/>
        </w:rPr>
        <w:t>identificación</w:t>
      </w:r>
      <w:r>
        <w:rPr>
          <w:spacing w:val="-1"/>
          <w:w w:val="105"/>
        </w:rPr>
        <w:t xml:space="preserve"> </w:t>
      </w:r>
      <w:r>
        <w:rPr>
          <w:w w:val="105"/>
        </w:rPr>
        <w:t>de</w:t>
      </w:r>
      <w:r>
        <w:rPr>
          <w:spacing w:val="-1"/>
          <w:w w:val="105"/>
        </w:rPr>
        <w:t xml:space="preserve"> </w:t>
      </w:r>
      <w:r>
        <w:rPr>
          <w:w w:val="105"/>
        </w:rPr>
        <w:t>un</w:t>
      </w:r>
      <w:r>
        <w:rPr>
          <w:spacing w:val="-1"/>
          <w:w w:val="105"/>
        </w:rPr>
        <w:t xml:space="preserve"> </w:t>
      </w:r>
      <w:r>
        <w:rPr>
          <w:w w:val="105"/>
        </w:rPr>
        <w:t>demandante</w:t>
      </w:r>
      <w:r>
        <w:rPr>
          <w:spacing w:val="-1"/>
          <w:w w:val="105"/>
        </w:rPr>
        <w:t xml:space="preserve"> </w:t>
      </w:r>
      <w:r>
        <w:rPr>
          <w:w w:val="105"/>
        </w:rPr>
        <w:t>que</w:t>
      </w:r>
      <w:r>
        <w:rPr>
          <w:spacing w:val="-1"/>
          <w:w w:val="105"/>
        </w:rPr>
        <w:t xml:space="preserve"> </w:t>
      </w:r>
      <w:r>
        <w:rPr>
          <w:w w:val="105"/>
        </w:rPr>
        <w:t>afirma</w:t>
      </w:r>
      <w:r>
        <w:rPr>
          <w:spacing w:val="-1"/>
          <w:w w:val="105"/>
        </w:rPr>
        <w:t xml:space="preserve"> </w:t>
      </w:r>
      <w:r>
        <w:rPr>
          <w:w w:val="105"/>
        </w:rPr>
        <w:t>haber</w:t>
      </w:r>
      <w:r>
        <w:rPr>
          <w:spacing w:val="-1"/>
          <w:w w:val="105"/>
        </w:rPr>
        <w:t xml:space="preserve"> </w:t>
      </w:r>
      <w:r>
        <w:rPr>
          <w:w w:val="105"/>
        </w:rPr>
        <w:t>sido la</w:t>
      </w:r>
      <w:r>
        <w:rPr>
          <w:spacing w:val="-7"/>
          <w:w w:val="105"/>
        </w:rPr>
        <w:t xml:space="preserve"> </w:t>
      </w:r>
      <w:r>
        <w:rPr>
          <w:w w:val="105"/>
        </w:rPr>
        <w:t>víctima”.234</w:t>
      </w:r>
      <w:r>
        <w:rPr>
          <w:spacing w:val="-7"/>
          <w:w w:val="105"/>
        </w:rPr>
        <w:t xml:space="preserve"> </w:t>
      </w:r>
      <w:r>
        <w:rPr>
          <w:w w:val="105"/>
        </w:rPr>
        <w:t>En</w:t>
      </w:r>
      <w:r>
        <w:rPr>
          <w:spacing w:val="-7"/>
          <w:w w:val="105"/>
        </w:rPr>
        <w:t xml:space="preserve"> </w:t>
      </w:r>
      <w:r>
        <w:rPr>
          <w:w w:val="105"/>
        </w:rPr>
        <w:t>este</w:t>
      </w:r>
      <w:r>
        <w:rPr>
          <w:spacing w:val="-7"/>
          <w:w w:val="105"/>
        </w:rPr>
        <w:t xml:space="preserve"> </w:t>
      </w:r>
      <w:r>
        <w:rPr>
          <w:w w:val="105"/>
        </w:rPr>
        <w:t>contexto,</w:t>
      </w:r>
      <w:r>
        <w:rPr>
          <w:spacing w:val="-6"/>
          <w:w w:val="105"/>
        </w:rPr>
        <w:t xml:space="preserve"> </w:t>
      </w:r>
      <w:r>
        <w:rPr>
          <w:w w:val="105"/>
        </w:rPr>
        <w:t>las</w:t>
      </w:r>
      <w:r>
        <w:rPr>
          <w:spacing w:val="-7"/>
          <w:w w:val="105"/>
        </w:rPr>
        <w:t xml:space="preserve"> </w:t>
      </w:r>
      <w:r>
        <w:rPr>
          <w:w w:val="105"/>
        </w:rPr>
        <w:t>declaraciones</w:t>
      </w:r>
      <w:r>
        <w:rPr>
          <w:spacing w:val="-7"/>
          <w:w w:val="105"/>
        </w:rPr>
        <w:t xml:space="preserve"> </w:t>
      </w:r>
      <w:r>
        <w:rPr>
          <w:w w:val="105"/>
        </w:rPr>
        <w:t>de</w:t>
      </w:r>
      <w:r>
        <w:rPr>
          <w:spacing w:val="-7"/>
          <w:w w:val="105"/>
        </w:rPr>
        <w:t xml:space="preserve"> </w:t>
      </w:r>
      <w:r>
        <w:rPr>
          <w:w w:val="105"/>
        </w:rPr>
        <w:t>un</w:t>
      </w:r>
      <w:r>
        <w:rPr>
          <w:spacing w:val="-7"/>
          <w:w w:val="105"/>
        </w:rPr>
        <w:t xml:space="preserve"> </w:t>
      </w:r>
      <w:r>
        <w:rPr>
          <w:w w:val="105"/>
        </w:rPr>
        <w:t>empleador</w:t>
      </w:r>
      <w:r>
        <w:rPr>
          <w:spacing w:val="-7"/>
          <w:w w:val="105"/>
        </w:rPr>
        <w:t xml:space="preserve"> </w:t>
      </w:r>
      <w:r>
        <w:rPr>
          <w:w w:val="105"/>
        </w:rPr>
        <w:t>que</w:t>
      </w:r>
      <w:r>
        <w:rPr>
          <w:spacing w:val="-7"/>
          <w:w w:val="105"/>
        </w:rPr>
        <w:t xml:space="preserve"> </w:t>
      </w:r>
      <w:r>
        <w:rPr>
          <w:w w:val="105"/>
        </w:rPr>
        <w:t>indicaba</w:t>
      </w:r>
      <w:r>
        <w:rPr>
          <w:spacing w:val="-7"/>
          <w:w w:val="105"/>
        </w:rPr>
        <w:t xml:space="preserve"> </w:t>
      </w:r>
      <w:r>
        <w:rPr>
          <w:w w:val="105"/>
        </w:rPr>
        <w:t>que</w:t>
      </w:r>
      <w:r>
        <w:rPr>
          <w:spacing w:val="-7"/>
          <w:w w:val="105"/>
        </w:rPr>
        <w:t xml:space="preserve"> </w:t>
      </w:r>
      <w:r>
        <w:rPr>
          <w:w w:val="105"/>
        </w:rPr>
        <w:t>no</w:t>
      </w:r>
      <w:r>
        <w:rPr>
          <w:spacing w:val="-7"/>
          <w:w w:val="105"/>
        </w:rPr>
        <w:t xml:space="preserve"> </w:t>
      </w:r>
      <w:r>
        <w:rPr>
          <w:w w:val="105"/>
        </w:rPr>
        <w:t>contrataría</w:t>
      </w:r>
      <w:r>
        <w:rPr>
          <w:spacing w:val="-7"/>
          <w:w w:val="105"/>
        </w:rPr>
        <w:t xml:space="preserve"> </w:t>
      </w:r>
      <w:r>
        <w:rPr>
          <w:w w:val="105"/>
        </w:rPr>
        <w:t>a</w:t>
      </w:r>
      <w:r>
        <w:rPr>
          <w:spacing w:val="-7"/>
          <w:w w:val="105"/>
        </w:rPr>
        <w:t xml:space="preserve"> </w:t>
      </w:r>
      <w:r>
        <w:rPr>
          <w:w w:val="105"/>
        </w:rPr>
        <w:t>personas</w:t>
      </w:r>
      <w:r>
        <w:rPr>
          <w:spacing w:val="-7"/>
          <w:w w:val="105"/>
        </w:rPr>
        <w:t xml:space="preserve"> </w:t>
      </w:r>
      <w:r>
        <w:rPr>
          <w:w w:val="105"/>
        </w:rPr>
        <w:t>de</w:t>
      </w:r>
      <w:r>
        <w:rPr>
          <w:spacing w:val="-7"/>
          <w:w w:val="105"/>
        </w:rPr>
        <w:t xml:space="preserve"> </w:t>
      </w:r>
      <w:r>
        <w:rPr>
          <w:w w:val="105"/>
        </w:rPr>
        <w:t>un determinado origen étnico eran discriminatorias. en sí mismos.235</w:t>
      </w:r>
    </w:p>
    <w:p w14:paraId="740DE09D" w14:textId="77777777" w:rsidR="0014798C" w:rsidRDefault="0014798C">
      <w:pPr>
        <w:pStyle w:val="Textoindependiente"/>
      </w:pPr>
    </w:p>
    <w:p w14:paraId="536ED1CF" w14:textId="77777777" w:rsidR="0014798C" w:rsidRDefault="0014798C">
      <w:pPr>
        <w:pStyle w:val="Textoindependiente"/>
        <w:spacing w:before="81"/>
      </w:pPr>
    </w:p>
    <w:p w14:paraId="5D73C5E5" w14:textId="77777777" w:rsidR="0014798C" w:rsidRDefault="004E1F0B">
      <w:pPr>
        <w:pStyle w:val="Textoindependiente"/>
        <w:spacing w:line="326" w:lineRule="auto"/>
        <w:ind w:left="1108" w:right="1272" w:hanging="5"/>
      </w:pPr>
      <w:r>
        <w:rPr>
          <w:noProof/>
        </w:rPr>
        <mc:AlternateContent>
          <mc:Choice Requires="wps">
            <w:drawing>
              <wp:anchor distT="0" distB="0" distL="0" distR="0" simplePos="0" relativeHeight="251658257" behindDoc="0" locked="0" layoutInCell="1" allowOverlap="1" wp14:anchorId="11F3C578" wp14:editId="4FEB4A56">
                <wp:simplePos x="0" y="0"/>
                <wp:positionH relativeFrom="page">
                  <wp:posOffset>7313138</wp:posOffset>
                </wp:positionH>
                <wp:positionV relativeFrom="paragraph">
                  <wp:posOffset>-111846</wp:posOffset>
                </wp:positionV>
                <wp:extent cx="83820" cy="281940"/>
                <wp:effectExtent l="0" t="0" r="0" b="0"/>
                <wp:wrapNone/>
                <wp:docPr id="111" name="Textbox 11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83820" cy="281940"/>
                        </a:xfrm>
                        <a:prstGeom prst="rect">
                          <a:avLst/>
                        </a:prstGeom>
                      </wps:spPr>
                      <wps:txbx>
                        <w:txbxContent>
                          <w:p w14:paraId="6CC6464B" w14:textId="77777777" w:rsidR="0014798C" w:rsidRDefault="004E1F0B">
                            <w:pPr>
                              <w:spacing w:before="19"/>
                              <w:ind w:left="20"/>
                              <w:rPr>
                                <w:sz w:val="8"/>
                              </w:rPr>
                            </w:pPr>
                            <w:r>
                              <w:rPr>
                                <w:color w:val="FFFFFF"/>
                                <w:spacing w:val="-24"/>
                                <w:sz w:val="8"/>
                              </w:rPr>
                              <w:t>I–P</w:t>
                            </w:r>
                            <w:r>
                              <w:rPr>
                                <w:spacing w:val="-24"/>
                                <w:sz w:val="8"/>
                              </w:rPr>
                              <w:t>S</w:t>
                            </w:r>
                            <w:r>
                              <w:rPr>
                                <w:color w:val="FFFFFF"/>
                                <w:spacing w:val="-24"/>
                                <w:sz w:val="8"/>
                              </w:rPr>
                              <w:t>A</w:t>
                            </w:r>
                            <w:r>
                              <w:rPr>
                                <w:spacing w:val="-24"/>
                                <w:sz w:val="8"/>
                              </w:rPr>
                              <w:t>E</w:t>
                            </w:r>
                            <w:r>
                              <w:rPr>
                                <w:color w:val="FFFFFF"/>
                                <w:spacing w:val="-24"/>
                                <w:sz w:val="8"/>
                              </w:rPr>
                              <w:t>R</w:t>
                            </w:r>
                            <w:r>
                              <w:rPr>
                                <w:spacing w:val="-24"/>
                                <w:sz w:val="8"/>
                              </w:rPr>
                              <w:t>G</w:t>
                            </w:r>
                            <w:r>
                              <w:rPr>
                                <w:color w:val="FFFFFF"/>
                                <w:spacing w:val="-24"/>
                                <w:sz w:val="8"/>
                              </w:rPr>
                              <w:t>T</w:t>
                            </w:r>
                            <w:r>
                              <w:rPr>
                                <w:spacing w:val="-24"/>
                                <w:sz w:val="8"/>
                              </w:rPr>
                              <w:t>U</w:t>
                            </w:r>
                            <w:r>
                              <w:rPr>
                                <w:color w:val="FFFFFF"/>
                                <w:spacing w:val="-24"/>
                                <w:sz w:val="8"/>
                              </w:rPr>
                              <w:t>E</w:t>
                            </w:r>
                            <w:r>
                              <w:rPr>
                                <w:spacing w:val="-24"/>
                                <w:sz w:val="8"/>
                              </w:rPr>
                              <w:t>NDA</w:t>
                            </w:r>
                          </w:p>
                        </w:txbxContent>
                      </wps:txbx>
                      <wps:bodyPr vert="vert270" wrap="square" lIns="0" tIns="0" rIns="0" bIns="0" rtlCol="0">
                        <a:noAutofit/>
                      </wps:bodyPr>
                    </wps:wsp>
                  </a:graphicData>
                </a:graphic>
              </wp:anchor>
            </w:drawing>
          </mc:Choice>
          <mc:Fallback>
            <w:pict>
              <v:shape w14:anchorId="11F3C578" id="Textbox 111" o:spid="_x0000_s1068" type="#_x0000_t202" style="position:absolute;left:0;text-align:left;margin-left:575.85pt;margin-top:-8.8pt;width:6.6pt;height:22.2pt;z-index:251658257;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" filled="f" stroked="f">
                <v:textbox style="layout-flow:vertical;mso-layout-flow-alt:bottom-to-top" inset="0,0,0,0">
                  <w:txbxContent>
                    <w:p w14:paraId="6CC6464B" w14:textId="77777777" w:rsidR="0014798C" w:rsidRDefault="004E1F0B">
                      <w:pPr>
                        <w:spacing w:before="19"/>
                        <w:ind w:left="20"/>
                        <w:rPr>
                          <w:sz w:val="8"/>
                        </w:rPr>
                      </w:pPr>
                      <w:r>
                        <w:rPr>
                          <w:color w:val="FFFFFF"/>
                          <w:spacing w:val="-24"/>
                          <w:sz w:val="8"/>
                        </w:rPr>
                        <w:t>I–P</w:t>
                      </w:r>
                      <w:r>
                        <w:rPr>
                          <w:spacing w:val="-24"/>
                          <w:sz w:val="8"/>
                        </w:rPr>
                        <w:t>S</w:t>
                      </w:r>
                      <w:r>
                        <w:rPr>
                          <w:color w:val="FFFFFF"/>
                          <w:spacing w:val="-24"/>
                          <w:sz w:val="8"/>
                        </w:rPr>
                        <w:t>A</w:t>
                      </w:r>
                      <w:r>
                        <w:rPr>
                          <w:spacing w:val="-24"/>
                          <w:sz w:val="8"/>
                        </w:rPr>
                        <w:t>E</w:t>
                      </w:r>
                      <w:r>
                        <w:rPr>
                          <w:color w:val="FFFFFF"/>
                          <w:spacing w:val="-24"/>
                          <w:sz w:val="8"/>
                        </w:rPr>
                        <w:t>R</w:t>
                      </w:r>
                      <w:r>
                        <w:rPr>
                          <w:spacing w:val="-24"/>
                          <w:sz w:val="8"/>
                        </w:rPr>
                        <w:t>G</w:t>
                      </w:r>
                      <w:r>
                        <w:rPr>
                          <w:color w:val="FFFFFF"/>
                          <w:spacing w:val="-24"/>
                          <w:sz w:val="8"/>
                        </w:rPr>
                        <w:t>T</w:t>
                      </w:r>
                      <w:r>
                        <w:rPr>
                          <w:spacing w:val="-24"/>
                          <w:sz w:val="8"/>
                        </w:rPr>
                        <w:t>U</w:t>
                      </w:r>
                      <w:r>
                        <w:rPr>
                          <w:color w:val="FFFFFF"/>
                          <w:spacing w:val="-24"/>
                          <w:sz w:val="8"/>
                        </w:rPr>
                        <w:t>E</w:t>
                      </w:r>
                      <w:r>
                        <w:rPr>
                          <w:spacing w:val="-24"/>
                          <w:sz w:val="8"/>
                        </w:rPr>
                        <w:t>NDA</w:t>
                      </w:r>
                    </w:p>
                  </w:txbxContent>
                </v:textbox>
                <w10:wrap anchorx="page"/>
              </v:shape>
            </w:pict>
          </mc:Fallback>
        </mc:AlternateContent>
      </w:r>
      <w:r>
        <w:rPr>
          <w:w w:val="105"/>
        </w:rPr>
        <w:t>Si</w:t>
      </w:r>
      <w:r>
        <w:rPr>
          <w:spacing w:val="-1"/>
          <w:w w:val="105"/>
        </w:rPr>
        <w:t xml:space="preserve"> </w:t>
      </w:r>
      <w:r>
        <w:rPr>
          <w:w w:val="105"/>
        </w:rPr>
        <w:t>ha</w:t>
      </w:r>
      <w:r>
        <w:rPr>
          <w:spacing w:val="-1"/>
          <w:w w:val="105"/>
        </w:rPr>
        <w:t xml:space="preserve"> </w:t>
      </w:r>
      <w:r>
        <w:rPr>
          <w:w w:val="105"/>
        </w:rPr>
        <w:t>habido</w:t>
      </w:r>
      <w:r>
        <w:rPr>
          <w:spacing w:val="-1"/>
          <w:w w:val="105"/>
        </w:rPr>
        <w:t xml:space="preserve"> </w:t>
      </w:r>
      <w:r>
        <w:rPr>
          <w:w w:val="105"/>
        </w:rPr>
        <w:t>una</w:t>
      </w:r>
      <w:r>
        <w:rPr>
          <w:spacing w:val="-1"/>
          <w:w w:val="105"/>
        </w:rPr>
        <w:t xml:space="preserve"> </w:t>
      </w:r>
      <w:r>
        <w:rPr>
          <w:w w:val="105"/>
        </w:rPr>
        <w:t>diferencia</w:t>
      </w:r>
      <w:r>
        <w:rPr>
          <w:spacing w:val="-1"/>
          <w:w w:val="105"/>
        </w:rPr>
        <w:t xml:space="preserve"> </w:t>
      </w:r>
      <w:r>
        <w:rPr>
          <w:w w:val="105"/>
        </w:rPr>
        <w:t>de</w:t>
      </w:r>
      <w:r>
        <w:rPr>
          <w:spacing w:val="-1"/>
          <w:w w:val="105"/>
        </w:rPr>
        <w:t xml:space="preserve"> </w:t>
      </w:r>
      <w:r>
        <w:rPr>
          <w:w w:val="105"/>
        </w:rPr>
        <w:t>trato</w:t>
      </w:r>
      <w:r>
        <w:rPr>
          <w:spacing w:val="-1"/>
          <w:w w:val="105"/>
        </w:rPr>
        <w:t xml:space="preserve"> </w:t>
      </w:r>
      <w:r>
        <w:rPr>
          <w:w w:val="105"/>
        </w:rPr>
        <w:t>es</w:t>
      </w:r>
      <w:r>
        <w:rPr>
          <w:spacing w:val="-1"/>
          <w:w w:val="105"/>
        </w:rPr>
        <w:t xml:space="preserve"> </w:t>
      </w:r>
      <w:r>
        <w:rPr>
          <w:w w:val="105"/>
        </w:rPr>
        <w:t>una</w:t>
      </w:r>
      <w:r>
        <w:rPr>
          <w:spacing w:val="-1"/>
          <w:w w:val="105"/>
        </w:rPr>
        <w:t xml:space="preserve"> </w:t>
      </w:r>
      <w:r>
        <w:rPr>
          <w:w w:val="105"/>
        </w:rPr>
        <w:t>cuestión</w:t>
      </w:r>
      <w:r>
        <w:rPr>
          <w:spacing w:val="-1"/>
          <w:w w:val="105"/>
        </w:rPr>
        <w:t xml:space="preserve"> </w:t>
      </w:r>
      <w:r>
        <w:rPr>
          <w:w w:val="105"/>
        </w:rPr>
        <w:t>de</w:t>
      </w:r>
      <w:r>
        <w:rPr>
          <w:spacing w:val="-1"/>
          <w:w w:val="105"/>
        </w:rPr>
        <w:t xml:space="preserve"> </w:t>
      </w:r>
      <w:r>
        <w:rPr>
          <w:w w:val="105"/>
        </w:rPr>
        <w:t>hecho, que</w:t>
      </w:r>
      <w:r>
        <w:rPr>
          <w:spacing w:val="-1"/>
          <w:w w:val="105"/>
        </w:rPr>
        <w:t xml:space="preserve"> </w:t>
      </w:r>
      <w:r>
        <w:rPr>
          <w:w w:val="105"/>
        </w:rPr>
        <w:t>a</w:t>
      </w:r>
      <w:r>
        <w:rPr>
          <w:spacing w:val="-1"/>
          <w:w w:val="105"/>
        </w:rPr>
        <w:t xml:space="preserve"> </w:t>
      </w:r>
      <w:r>
        <w:rPr>
          <w:w w:val="105"/>
        </w:rPr>
        <w:t>menudo</w:t>
      </w:r>
      <w:r>
        <w:rPr>
          <w:spacing w:val="-1"/>
          <w:w w:val="105"/>
        </w:rPr>
        <w:t xml:space="preserve"> </w:t>
      </w:r>
      <w:r>
        <w:rPr>
          <w:w w:val="105"/>
        </w:rPr>
        <w:t>se</w:t>
      </w:r>
      <w:r>
        <w:rPr>
          <w:spacing w:val="-1"/>
          <w:w w:val="105"/>
        </w:rPr>
        <w:t xml:space="preserve"> </w:t>
      </w:r>
      <w:r>
        <w:rPr>
          <w:w w:val="105"/>
        </w:rPr>
        <w:t>demuestra</w:t>
      </w:r>
      <w:r>
        <w:rPr>
          <w:spacing w:val="-1"/>
          <w:w w:val="105"/>
        </w:rPr>
        <w:t xml:space="preserve"> </w:t>
      </w:r>
      <w:r>
        <w:rPr>
          <w:w w:val="105"/>
        </w:rPr>
        <w:t>mediante</w:t>
      </w:r>
      <w:r>
        <w:rPr>
          <w:spacing w:val="-1"/>
          <w:w w:val="105"/>
        </w:rPr>
        <w:t xml:space="preserve"> </w:t>
      </w:r>
      <w:r>
        <w:rPr>
          <w:w w:val="105"/>
        </w:rPr>
        <w:t>el</w:t>
      </w:r>
      <w:r>
        <w:rPr>
          <w:spacing w:val="-1"/>
          <w:w w:val="105"/>
        </w:rPr>
        <w:t xml:space="preserve"> </w:t>
      </w:r>
      <w:r>
        <w:rPr>
          <w:w w:val="105"/>
        </w:rPr>
        <w:t>uso</w:t>
      </w:r>
      <w:r>
        <w:rPr>
          <w:spacing w:val="-1"/>
          <w:w w:val="105"/>
        </w:rPr>
        <w:t xml:space="preserve"> </w:t>
      </w:r>
      <w:r>
        <w:rPr>
          <w:w w:val="105"/>
        </w:rPr>
        <w:t>de</w:t>
      </w:r>
      <w:r>
        <w:rPr>
          <w:spacing w:val="-1"/>
          <w:w w:val="105"/>
        </w:rPr>
        <w:t xml:space="preserve"> </w:t>
      </w:r>
      <w:r>
        <w:rPr>
          <w:w w:val="105"/>
        </w:rPr>
        <w:t>un comparador:</w:t>
      </w:r>
      <w:r>
        <w:rPr>
          <w:spacing w:val="-5"/>
          <w:w w:val="105"/>
        </w:rPr>
        <w:t xml:space="preserve"> </w:t>
      </w:r>
      <w:r>
        <w:rPr>
          <w:w w:val="105"/>
        </w:rPr>
        <w:t>una</w:t>
      </w:r>
      <w:r>
        <w:rPr>
          <w:spacing w:val="-6"/>
          <w:w w:val="105"/>
        </w:rPr>
        <w:t xml:space="preserve"> </w:t>
      </w:r>
      <w:r>
        <w:rPr>
          <w:w w:val="105"/>
        </w:rPr>
        <w:t>persona</w:t>
      </w:r>
      <w:r>
        <w:rPr>
          <w:spacing w:val="-6"/>
          <w:w w:val="105"/>
        </w:rPr>
        <w:t xml:space="preserve"> </w:t>
      </w:r>
      <w:r>
        <w:rPr>
          <w:w w:val="105"/>
        </w:rPr>
        <w:t>real</w:t>
      </w:r>
      <w:r>
        <w:rPr>
          <w:spacing w:val="-6"/>
          <w:w w:val="105"/>
        </w:rPr>
        <w:t xml:space="preserve"> </w:t>
      </w:r>
      <w:r>
        <w:rPr>
          <w:w w:val="105"/>
        </w:rPr>
        <w:t>o</w:t>
      </w:r>
      <w:r>
        <w:rPr>
          <w:spacing w:val="-6"/>
          <w:w w:val="105"/>
        </w:rPr>
        <w:t xml:space="preserve"> </w:t>
      </w:r>
      <w:r>
        <w:rPr>
          <w:w w:val="105"/>
        </w:rPr>
        <w:t>hipotética</w:t>
      </w:r>
      <w:r>
        <w:rPr>
          <w:spacing w:val="-6"/>
          <w:w w:val="105"/>
        </w:rPr>
        <w:t xml:space="preserve"> </w:t>
      </w:r>
      <w:r>
        <w:rPr>
          <w:w w:val="105"/>
        </w:rPr>
        <w:t>en</w:t>
      </w:r>
      <w:r>
        <w:rPr>
          <w:spacing w:val="-6"/>
          <w:w w:val="105"/>
        </w:rPr>
        <w:t xml:space="preserve"> </w:t>
      </w:r>
      <w:r>
        <w:rPr>
          <w:w w:val="105"/>
        </w:rPr>
        <w:t>una</w:t>
      </w:r>
      <w:r>
        <w:rPr>
          <w:spacing w:val="-6"/>
          <w:w w:val="105"/>
        </w:rPr>
        <w:t xml:space="preserve"> </w:t>
      </w:r>
      <w:r>
        <w:rPr>
          <w:w w:val="105"/>
        </w:rPr>
        <w:t>situación</w:t>
      </w:r>
      <w:r>
        <w:rPr>
          <w:spacing w:val="-6"/>
          <w:w w:val="105"/>
        </w:rPr>
        <w:t xml:space="preserve"> </w:t>
      </w:r>
      <w:r>
        <w:rPr>
          <w:w w:val="105"/>
        </w:rPr>
        <w:t>similar</w:t>
      </w:r>
      <w:r>
        <w:rPr>
          <w:spacing w:val="-6"/>
          <w:w w:val="105"/>
        </w:rPr>
        <w:t xml:space="preserve"> </w:t>
      </w:r>
      <w:r>
        <w:rPr>
          <w:w w:val="105"/>
        </w:rPr>
        <w:t>a</w:t>
      </w:r>
      <w:r>
        <w:rPr>
          <w:spacing w:val="-6"/>
          <w:w w:val="105"/>
        </w:rPr>
        <w:t xml:space="preserve"> </w:t>
      </w:r>
      <w:r>
        <w:rPr>
          <w:w w:val="105"/>
        </w:rPr>
        <w:t>la</w:t>
      </w:r>
      <w:r>
        <w:rPr>
          <w:spacing w:val="-6"/>
          <w:w w:val="105"/>
        </w:rPr>
        <w:t xml:space="preserve"> </w:t>
      </w:r>
      <w:r>
        <w:rPr>
          <w:w w:val="105"/>
        </w:rPr>
        <w:t>del</w:t>
      </w:r>
      <w:r>
        <w:rPr>
          <w:spacing w:val="-6"/>
          <w:w w:val="105"/>
        </w:rPr>
        <w:t xml:space="preserve"> </w:t>
      </w:r>
      <w:r>
        <w:rPr>
          <w:w w:val="105"/>
        </w:rPr>
        <w:t>reclamante</w:t>
      </w:r>
      <w:r>
        <w:rPr>
          <w:spacing w:val="-6"/>
          <w:w w:val="105"/>
        </w:rPr>
        <w:t xml:space="preserve"> </w:t>
      </w:r>
      <w:r>
        <w:rPr>
          <w:w w:val="105"/>
        </w:rPr>
        <w:t>que</w:t>
      </w:r>
      <w:r>
        <w:rPr>
          <w:spacing w:val="-6"/>
          <w:w w:val="105"/>
        </w:rPr>
        <w:t xml:space="preserve"> </w:t>
      </w:r>
      <w:r>
        <w:rPr>
          <w:w w:val="105"/>
        </w:rPr>
        <w:t>no</w:t>
      </w:r>
      <w:r>
        <w:rPr>
          <w:spacing w:val="-6"/>
          <w:w w:val="105"/>
        </w:rPr>
        <w:t xml:space="preserve"> </w:t>
      </w:r>
      <w:r>
        <w:rPr>
          <w:w w:val="105"/>
        </w:rPr>
        <w:t>tiene</w:t>
      </w:r>
      <w:r>
        <w:rPr>
          <w:spacing w:val="-6"/>
          <w:w w:val="105"/>
        </w:rPr>
        <w:t xml:space="preserve"> </w:t>
      </w:r>
      <w:r>
        <w:rPr>
          <w:w w:val="105"/>
        </w:rPr>
        <w:t>la</w:t>
      </w:r>
      <w:r>
        <w:rPr>
          <w:spacing w:val="-6"/>
          <w:w w:val="105"/>
        </w:rPr>
        <w:t xml:space="preserve"> </w:t>
      </w:r>
      <w:r>
        <w:rPr>
          <w:w w:val="105"/>
        </w:rPr>
        <w:t>característica</w:t>
      </w:r>
      <w:r>
        <w:rPr>
          <w:spacing w:val="-6"/>
          <w:w w:val="105"/>
        </w:rPr>
        <w:t xml:space="preserve"> </w:t>
      </w:r>
      <w:r>
        <w:rPr>
          <w:w w:val="105"/>
        </w:rPr>
        <w:t>en cuestión.236</w:t>
      </w:r>
      <w:r>
        <w:rPr>
          <w:spacing w:val="-2"/>
          <w:w w:val="105"/>
        </w:rPr>
        <w:t xml:space="preserve"> </w:t>
      </w:r>
      <w:r>
        <w:rPr>
          <w:w w:val="105"/>
        </w:rPr>
        <w:t>Sin</w:t>
      </w:r>
      <w:r>
        <w:rPr>
          <w:spacing w:val="-2"/>
          <w:w w:val="105"/>
        </w:rPr>
        <w:t xml:space="preserve"> </w:t>
      </w:r>
      <w:r>
        <w:rPr>
          <w:w w:val="105"/>
        </w:rPr>
        <w:t>embargo,</w:t>
      </w:r>
      <w:r>
        <w:rPr>
          <w:spacing w:val="-1"/>
          <w:w w:val="105"/>
        </w:rPr>
        <w:t xml:space="preserve"> </w:t>
      </w:r>
      <w:r>
        <w:rPr>
          <w:w w:val="105"/>
        </w:rPr>
        <w:t>puede</w:t>
      </w:r>
      <w:r>
        <w:rPr>
          <w:spacing w:val="-2"/>
          <w:w w:val="105"/>
        </w:rPr>
        <w:t xml:space="preserve"> </w:t>
      </w:r>
      <w:r>
        <w:rPr>
          <w:w w:val="105"/>
        </w:rPr>
        <w:t>que</w:t>
      </w:r>
      <w:r>
        <w:rPr>
          <w:spacing w:val="-2"/>
          <w:w w:val="105"/>
        </w:rPr>
        <w:t xml:space="preserve"> </w:t>
      </w:r>
      <w:r>
        <w:rPr>
          <w:w w:val="105"/>
        </w:rPr>
        <w:t>no</w:t>
      </w:r>
      <w:r>
        <w:rPr>
          <w:spacing w:val="-2"/>
          <w:w w:val="105"/>
        </w:rPr>
        <w:t xml:space="preserve"> </w:t>
      </w:r>
      <w:r>
        <w:rPr>
          <w:w w:val="105"/>
        </w:rPr>
        <w:t>sea</w:t>
      </w:r>
      <w:r>
        <w:rPr>
          <w:spacing w:val="-2"/>
          <w:w w:val="105"/>
        </w:rPr>
        <w:t xml:space="preserve"> </w:t>
      </w:r>
      <w:r>
        <w:rPr>
          <w:w w:val="105"/>
        </w:rPr>
        <w:t>así.</w:t>
      </w:r>
      <w:r>
        <w:rPr>
          <w:spacing w:val="-2"/>
          <w:w w:val="105"/>
        </w:rPr>
        <w:t xml:space="preserve"> </w:t>
      </w:r>
      <w:r>
        <w:rPr>
          <w:w w:val="105"/>
        </w:rPr>
        <w:t>Siempre</w:t>
      </w:r>
      <w:r>
        <w:rPr>
          <w:spacing w:val="-2"/>
          <w:w w:val="105"/>
        </w:rPr>
        <w:t xml:space="preserve"> </w:t>
      </w:r>
      <w:r>
        <w:rPr>
          <w:w w:val="105"/>
        </w:rPr>
        <w:t>será</w:t>
      </w:r>
      <w:r>
        <w:rPr>
          <w:spacing w:val="-2"/>
          <w:w w:val="105"/>
        </w:rPr>
        <w:t xml:space="preserve"> </w:t>
      </w:r>
      <w:r>
        <w:rPr>
          <w:w w:val="105"/>
        </w:rPr>
        <w:t>posible</w:t>
      </w:r>
      <w:r>
        <w:rPr>
          <w:spacing w:val="-2"/>
          <w:w w:val="105"/>
        </w:rPr>
        <w:t xml:space="preserve"> </w:t>
      </w:r>
      <w:r>
        <w:rPr>
          <w:w w:val="105"/>
        </w:rPr>
        <w:t>identificar</w:t>
      </w:r>
      <w:r>
        <w:rPr>
          <w:spacing w:val="-2"/>
          <w:w w:val="105"/>
        </w:rPr>
        <w:t xml:space="preserve"> </w:t>
      </w:r>
      <w:r>
        <w:rPr>
          <w:w w:val="105"/>
        </w:rPr>
        <w:t>a</w:t>
      </w:r>
      <w:r>
        <w:rPr>
          <w:spacing w:val="-2"/>
          <w:w w:val="105"/>
        </w:rPr>
        <w:t xml:space="preserve"> </w:t>
      </w:r>
      <w:r>
        <w:rPr>
          <w:w w:val="105"/>
        </w:rPr>
        <w:t>un</w:t>
      </w:r>
      <w:r>
        <w:rPr>
          <w:spacing w:val="-2"/>
          <w:w w:val="105"/>
        </w:rPr>
        <w:t xml:space="preserve"> </w:t>
      </w:r>
      <w:r>
        <w:rPr>
          <w:w w:val="105"/>
        </w:rPr>
        <w:t>comparador</w:t>
      </w:r>
      <w:r>
        <w:rPr>
          <w:spacing w:val="-2"/>
          <w:w w:val="105"/>
        </w:rPr>
        <w:t xml:space="preserve"> </w:t>
      </w:r>
      <w:r>
        <w:rPr>
          <w:w w:val="105"/>
        </w:rPr>
        <w:t>y</w:t>
      </w:r>
      <w:r>
        <w:rPr>
          <w:spacing w:val="-2"/>
          <w:w w:val="105"/>
        </w:rPr>
        <w:t xml:space="preserve"> </w:t>
      </w:r>
      <w:r>
        <w:rPr>
          <w:w w:val="105"/>
        </w:rPr>
        <w:t>no</w:t>
      </w:r>
      <w:r>
        <w:rPr>
          <w:spacing w:val="-2"/>
          <w:w w:val="105"/>
        </w:rPr>
        <w:t xml:space="preserve"> </w:t>
      </w:r>
      <w:r>
        <w:rPr>
          <w:w w:val="105"/>
        </w:rPr>
        <w:t>es</w:t>
      </w:r>
      <w:r>
        <w:rPr>
          <w:spacing w:val="-2"/>
          <w:w w:val="105"/>
        </w:rPr>
        <w:t xml:space="preserve"> </w:t>
      </w:r>
      <w:r>
        <w:rPr>
          <w:w w:val="105"/>
        </w:rPr>
        <w:t>necesario identificarlo para establecer que se ha producido discriminación.</w:t>
      </w:r>
    </w:p>
    <w:p w14:paraId="3D7BB7E9" w14:textId="77777777" w:rsidR="0014798C" w:rsidRDefault="004E1F0B">
      <w:pPr>
        <w:numPr>
          <w:ilvl w:val="0"/>
          <w:numId w:val="78"/>
        </w:numPr>
        <w:tabs>
          <w:tab w:val="left" w:pos="1350"/>
        </w:tabs>
        <w:spacing w:before="153"/>
        <w:ind w:left="1350" w:hanging="235"/>
        <w:rPr>
          <w:sz w:val="20"/>
        </w:rPr>
      </w:pPr>
      <w:r>
        <w:rPr>
          <w:sz w:val="20"/>
        </w:rPr>
        <w:t xml:space="preserve">Discriminación </w:t>
      </w:r>
      <w:r>
        <w:rPr>
          <w:spacing w:val="-2"/>
          <w:sz w:val="20"/>
        </w:rPr>
        <w:t>indirecta</w:t>
      </w:r>
    </w:p>
    <w:p w14:paraId="4E4B37B1" w14:textId="77777777" w:rsidR="0014798C" w:rsidRDefault="0014798C">
      <w:pPr>
        <w:pStyle w:val="Textoindependiente"/>
        <w:spacing w:before="153"/>
        <w:rPr>
          <w:sz w:val="20"/>
        </w:rPr>
      </w:pPr>
    </w:p>
    <w:p w14:paraId="36A4572B" w14:textId="77777777" w:rsidR="0014798C" w:rsidRDefault="004E1F0B">
      <w:pPr>
        <w:pStyle w:val="Textoindependiente"/>
        <w:ind w:left="1335"/>
      </w:pPr>
      <w:r>
        <w:rPr>
          <w:color w:val="FFFFFF"/>
          <w:spacing w:val="-2"/>
          <w:w w:val="105"/>
        </w:rPr>
        <w:t>RESUMEN</w:t>
      </w:r>
    </w:p>
    <w:p w14:paraId="59B0EC9A" w14:textId="77777777" w:rsidR="0014798C" w:rsidRDefault="0014798C">
      <w:pPr>
        <w:pStyle w:val="Textoindependiente"/>
        <w:spacing w:before="149"/>
      </w:pPr>
    </w:p>
    <w:p w14:paraId="7371C3EE" w14:textId="77777777" w:rsidR="0014798C" w:rsidRDefault="004E1F0B">
      <w:pPr>
        <w:pStyle w:val="Prrafodelista"/>
        <w:numPr>
          <w:ilvl w:val="1"/>
          <w:numId w:val="78"/>
        </w:numPr>
        <w:tabs>
          <w:tab w:val="left" w:pos="1461"/>
          <w:tab w:val="left" w:pos="1564"/>
        </w:tabs>
        <w:spacing w:before="1" w:line="326" w:lineRule="auto"/>
        <w:ind w:right="3100" w:hanging="206"/>
        <w:rPr>
          <w:color w:val="0075BF"/>
          <w:sz w:val="16"/>
        </w:rPr>
      </w:pPr>
      <w:r>
        <w:rPr>
          <w:w w:val="105"/>
          <w:sz w:val="16"/>
        </w:rPr>
        <w:t>La</w:t>
      </w:r>
      <w:r>
        <w:rPr>
          <w:spacing w:val="-8"/>
          <w:w w:val="105"/>
          <w:sz w:val="16"/>
        </w:rPr>
        <w:t xml:space="preserve"> </w:t>
      </w:r>
      <w:r>
        <w:rPr>
          <w:w w:val="105"/>
          <w:sz w:val="16"/>
        </w:rPr>
        <w:t>discriminación</w:t>
      </w:r>
      <w:r>
        <w:rPr>
          <w:spacing w:val="-8"/>
          <w:w w:val="105"/>
          <w:sz w:val="16"/>
        </w:rPr>
        <w:t xml:space="preserve"> </w:t>
      </w:r>
      <w:r>
        <w:rPr>
          <w:w w:val="105"/>
          <w:sz w:val="16"/>
        </w:rPr>
        <w:t>indirecta</w:t>
      </w:r>
      <w:r>
        <w:rPr>
          <w:spacing w:val="-8"/>
          <w:w w:val="105"/>
          <w:sz w:val="16"/>
        </w:rPr>
        <w:t xml:space="preserve"> </w:t>
      </w:r>
      <w:r>
        <w:rPr>
          <w:w w:val="105"/>
          <w:sz w:val="16"/>
        </w:rPr>
        <w:t>implica</w:t>
      </w:r>
      <w:r>
        <w:rPr>
          <w:spacing w:val="-8"/>
          <w:w w:val="105"/>
          <w:sz w:val="16"/>
        </w:rPr>
        <w:t xml:space="preserve"> </w:t>
      </w:r>
      <w:r>
        <w:rPr>
          <w:w w:val="105"/>
          <w:sz w:val="16"/>
        </w:rPr>
        <w:t>la</w:t>
      </w:r>
      <w:r>
        <w:rPr>
          <w:spacing w:val="-8"/>
          <w:w w:val="105"/>
          <w:sz w:val="16"/>
        </w:rPr>
        <w:t xml:space="preserve"> </w:t>
      </w:r>
      <w:r>
        <w:rPr>
          <w:w w:val="105"/>
          <w:sz w:val="16"/>
        </w:rPr>
        <w:t>aplicación</w:t>
      </w:r>
      <w:r>
        <w:rPr>
          <w:spacing w:val="-8"/>
          <w:w w:val="105"/>
          <w:sz w:val="16"/>
        </w:rPr>
        <w:t xml:space="preserve"> </w:t>
      </w:r>
      <w:r>
        <w:rPr>
          <w:w w:val="105"/>
          <w:sz w:val="16"/>
        </w:rPr>
        <w:t>de</w:t>
      </w:r>
      <w:r>
        <w:rPr>
          <w:spacing w:val="-8"/>
          <w:w w:val="105"/>
          <w:sz w:val="16"/>
        </w:rPr>
        <w:t xml:space="preserve"> </w:t>
      </w:r>
      <w:r>
        <w:rPr>
          <w:w w:val="105"/>
          <w:sz w:val="16"/>
        </w:rPr>
        <w:t>reglas</w:t>
      </w:r>
      <w:r>
        <w:rPr>
          <w:spacing w:val="-8"/>
          <w:w w:val="105"/>
          <w:sz w:val="16"/>
        </w:rPr>
        <w:t xml:space="preserve"> </w:t>
      </w:r>
      <w:r>
        <w:rPr>
          <w:w w:val="105"/>
          <w:sz w:val="16"/>
        </w:rPr>
        <w:t>que</w:t>
      </w:r>
      <w:r>
        <w:rPr>
          <w:spacing w:val="-8"/>
          <w:w w:val="105"/>
          <w:sz w:val="16"/>
        </w:rPr>
        <w:t xml:space="preserve"> </w:t>
      </w:r>
      <w:r>
        <w:rPr>
          <w:w w:val="105"/>
          <w:sz w:val="16"/>
        </w:rPr>
        <w:t>parecen</w:t>
      </w:r>
      <w:r>
        <w:rPr>
          <w:spacing w:val="-8"/>
          <w:w w:val="105"/>
          <w:sz w:val="16"/>
        </w:rPr>
        <w:t xml:space="preserve"> </w:t>
      </w:r>
      <w:r>
        <w:rPr>
          <w:w w:val="105"/>
          <w:sz w:val="16"/>
        </w:rPr>
        <w:t>neutrales</w:t>
      </w:r>
      <w:r>
        <w:rPr>
          <w:spacing w:val="-8"/>
          <w:w w:val="105"/>
          <w:sz w:val="16"/>
        </w:rPr>
        <w:t xml:space="preserve"> </w:t>
      </w:r>
      <w:r>
        <w:rPr>
          <w:w w:val="105"/>
          <w:sz w:val="16"/>
        </w:rPr>
        <w:t>pero</w:t>
      </w:r>
      <w:r>
        <w:rPr>
          <w:spacing w:val="-8"/>
          <w:w w:val="105"/>
          <w:sz w:val="16"/>
        </w:rPr>
        <w:t xml:space="preserve"> </w:t>
      </w:r>
      <w:r>
        <w:rPr>
          <w:w w:val="105"/>
          <w:sz w:val="16"/>
        </w:rPr>
        <w:t>que</w:t>
      </w:r>
      <w:r>
        <w:rPr>
          <w:spacing w:val="-8"/>
          <w:w w:val="105"/>
          <w:sz w:val="16"/>
        </w:rPr>
        <w:t xml:space="preserve"> </w:t>
      </w:r>
      <w:r>
        <w:rPr>
          <w:w w:val="105"/>
          <w:sz w:val="16"/>
        </w:rPr>
        <w:t>tienen impactos</w:t>
      </w:r>
      <w:r>
        <w:rPr>
          <w:spacing w:val="-3"/>
          <w:w w:val="105"/>
          <w:sz w:val="16"/>
        </w:rPr>
        <w:t xml:space="preserve"> </w:t>
      </w:r>
      <w:r>
        <w:rPr>
          <w:w w:val="105"/>
          <w:sz w:val="16"/>
        </w:rPr>
        <w:t>negativos</w:t>
      </w:r>
      <w:r>
        <w:rPr>
          <w:spacing w:val="-3"/>
          <w:w w:val="105"/>
          <w:sz w:val="16"/>
        </w:rPr>
        <w:t xml:space="preserve"> </w:t>
      </w:r>
      <w:r>
        <w:rPr>
          <w:w w:val="105"/>
          <w:sz w:val="16"/>
        </w:rPr>
        <w:t>desproporcionados</w:t>
      </w:r>
      <w:r>
        <w:rPr>
          <w:spacing w:val="-3"/>
          <w:w w:val="105"/>
          <w:sz w:val="16"/>
        </w:rPr>
        <w:t xml:space="preserve"> </w:t>
      </w:r>
      <w:r>
        <w:rPr>
          <w:w w:val="105"/>
          <w:sz w:val="16"/>
        </w:rPr>
        <w:t>sobre</w:t>
      </w:r>
      <w:r>
        <w:rPr>
          <w:spacing w:val="-3"/>
          <w:w w:val="105"/>
          <w:sz w:val="16"/>
        </w:rPr>
        <w:t xml:space="preserve"> </w:t>
      </w:r>
      <w:r>
        <w:rPr>
          <w:w w:val="105"/>
          <w:sz w:val="16"/>
        </w:rPr>
        <w:t>quienes</w:t>
      </w:r>
      <w:r>
        <w:rPr>
          <w:spacing w:val="-3"/>
          <w:w w:val="105"/>
          <w:sz w:val="16"/>
        </w:rPr>
        <w:t xml:space="preserve"> </w:t>
      </w:r>
      <w:r>
        <w:rPr>
          <w:w w:val="105"/>
          <w:sz w:val="16"/>
        </w:rPr>
        <w:t>comparten</w:t>
      </w:r>
      <w:r>
        <w:rPr>
          <w:spacing w:val="-3"/>
          <w:w w:val="105"/>
          <w:sz w:val="16"/>
        </w:rPr>
        <w:t xml:space="preserve"> </w:t>
      </w:r>
      <w:r>
        <w:rPr>
          <w:w w:val="105"/>
          <w:sz w:val="16"/>
        </w:rPr>
        <w:t>una</w:t>
      </w:r>
      <w:r>
        <w:rPr>
          <w:spacing w:val="-3"/>
          <w:w w:val="105"/>
          <w:sz w:val="16"/>
        </w:rPr>
        <w:t xml:space="preserve"> </w:t>
      </w:r>
      <w:r>
        <w:rPr>
          <w:w w:val="105"/>
          <w:sz w:val="16"/>
        </w:rPr>
        <w:t>característica</w:t>
      </w:r>
      <w:r>
        <w:rPr>
          <w:spacing w:val="-3"/>
          <w:w w:val="105"/>
          <w:sz w:val="16"/>
        </w:rPr>
        <w:t xml:space="preserve"> </w:t>
      </w:r>
      <w:r>
        <w:rPr>
          <w:w w:val="105"/>
          <w:sz w:val="16"/>
        </w:rPr>
        <w:t>particular.</w:t>
      </w:r>
    </w:p>
    <w:p w14:paraId="6E76888E" w14:textId="77777777" w:rsidR="0014798C" w:rsidRDefault="004E1F0B">
      <w:pPr>
        <w:pStyle w:val="Prrafodelista"/>
        <w:numPr>
          <w:ilvl w:val="1"/>
          <w:numId w:val="78"/>
        </w:numPr>
        <w:tabs>
          <w:tab w:val="left" w:pos="1461"/>
          <w:tab w:val="left" w:pos="1559"/>
        </w:tabs>
        <w:spacing w:before="112" w:line="326" w:lineRule="auto"/>
        <w:ind w:left="1559" w:right="1498" w:hanging="201"/>
        <w:rPr>
          <w:color w:val="0075BF"/>
          <w:sz w:val="16"/>
        </w:rPr>
      </w:pPr>
      <w:r>
        <w:rPr>
          <w:w w:val="105"/>
          <w:sz w:val="16"/>
        </w:rPr>
        <w:t>La</w:t>
      </w:r>
      <w:r>
        <w:rPr>
          <w:spacing w:val="-9"/>
          <w:w w:val="105"/>
          <w:sz w:val="16"/>
        </w:rPr>
        <w:t xml:space="preserve"> </w:t>
      </w:r>
      <w:r>
        <w:rPr>
          <w:w w:val="105"/>
          <w:sz w:val="16"/>
        </w:rPr>
        <w:t>legislación</w:t>
      </w:r>
      <w:r>
        <w:rPr>
          <w:spacing w:val="-9"/>
          <w:w w:val="105"/>
          <w:sz w:val="16"/>
        </w:rPr>
        <w:t xml:space="preserve"> </w:t>
      </w:r>
      <w:r>
        <w:rPr>
          <w:w w:val="105"/>
          <w:sz w:val="16"/>
        </w:rPr>
        <w:t>antidiscriminatoria</w:t>
      </w:r>
      <w:r>
        <w:rPr>
          <w:spacing w:val="-9"/>
          <w:w w:val="105"/>
          <w:sz w:val="16"/>
        </w:rPr>
        <w:t xml:space="preserve"> </w:t>
      </w:r>
      <w:r>
        <w:rPr>
          <w:w w:val="105"/>
          <w:sz w:val="16"/>
        </w:rPr>
        <w:t>debería</w:t>
      </w:r>
      <w:r>
        <w:rPr>
          <w:spacing w:val="-9"/>
          <w:w w:val="105"/>
          <w:sz w:val="16"/>
        </w:rPr>
        <w:t xml:space="preserve"> </w:t>
      </w:r>
      <w:r>
        <w:rPr>
          <w:w w:val="105"/>
          <w:sz w:val="16"/>
        </w:rPr>
        <w:t>prohibir</w:t>
      </w:r>
      <w:r>
        <w:rPr>
          <w:spacing w:val="-9"/>
          <w:w w:val="105"/>
          <w:sz w:val="16"/>
        </w:rPr>
        <w:t xml:space="preserve"> </w:t>
      </w:r>
      <w:r>
        <w:rPr>
          <w:w w:val="105"/>
          <w:sz w:val="16"/>
        </w:rPr>
        <w:t>la</w:t>
      </w:r>
      <w:r>
        <w:rPr>
          <w:spacing w:val="-9"/>
          <w:w w:val="105"/>
          <w:sz w:val="16"/>
        </w:rPr>
        <w:t xml:space="preserve"> </w:t>
      </w:r>
      <w:r>
        <w:rPr>
          <w:w w:val="105"/>
          <w:sz w:val="16"/>
        </w:rPr>
        <w:t>discriminación</w:t>
      </w:r>
      <w:r>
        <w:rPr>
          <w:spacing w:val="-9"/>
          <w:w w:val="105"/>
          <w:sz w:val="16"/>
        </w:rPr>
        <w:t xml:space="preserve"> </w:t>
      </w:r>
      <w:r>
        <w:rPr>
          <w:w w:val="105"/>
          <w:sz w:val="16"/>
        </w:rPr>
        <w:t>indirecta.</w:t>
      </w:r>
      <w:r>
        <w:rPr>
          <w:spacing w:val="-8"/>
          <w:w w:val="105"/>
          <w:sz w:val="16"/>
        </w:rPr>
        <w:t xml:space="preserve"> </w:t>
      </w:r>
      <w:r>
        <w:rPr>
          <w:w w:val="105"/>
          <w:sz w:val="16"/>
        </w:rPr>
        <w:t>La</w:t>
      </w:r>
      <w:r>
        <w:rPr>
          <w:spacing w:val="-9"/>
          <w:w w:val="105"/>
          <w:sz w:val="16"/>
        </w:rPr>
        <w:t xml:space="preserve"> </w:t>
      </w:r>
      <w:r>
        <w:rPr>
          <w:w w:val="105"/>
          <w:sz w:val="16"/>
        </w:rPr>
        <w:t>discriminación</w:t>
      </w:r>
      <w:r>
        <w:rPr>
          <w:spacing w:val="-9"/>
          <w:w w:val="105"/>
          <w:sz w:val="16"/>
        </w:rPr>
        <w:t xml:space="preserve"> </w:t>
      </w:r>
      <w:r>
        <w:rPr>
          <w:w w:val="105"/>
          <w:sz w:val="16"/>
        </w:rPr>
        <w:t>indirecta</w:t>
      </w:r>
      <w:r>
        <w:rPr>
          <w:spacing w:val="-9"/>
          <w:w w:val="105"/>
          <w:sz w:val="16"/>
        </w:rPr>
        <w:t xml:space="preserve"> </w:t>
      </w:r>
      <w:r>
        <w:rPr>
          <w:w w:val="105"/>
          <w:sz w:val="16"/>
        </w:rPr>
        <w:t>ocurre</w:t>
      </w:r>
      <w:r>
        <w:rPr>
          <w:spacing w:val="-9"/>
          <w:w w:val="105"/>
          <w:sz w:val="16"/>
        </w:rPr>
        <w:t xml:space="preserve"> </w:t>
      </w:r>
      <w:r>
        <w:rPr>
          <w:w w:val="105"/>
          <w:sz w:val="16"/>
        </w:rPr>
        <w:t>cuando una</w:t>
      </w:r>
      <w:r>
        <w:rPr>
          <w:spacing w:val="-2"/>
          <w:w w:val="105"/>
          <w:sz w:val="16"/>
        </w:rPr>
        <w:t xml:space="preserve"> </w:t>
      </w:r>
      <w:r>
        <w:rPr>
          <w:w w:val="105"/>
          <w:sz w:val="16"/>
        </w:rPr>
        <w:t>disposición,</w:t>
      </w:r>
      <w:r>
        <w:rPr>
          <w:spacing w:val="-1"/>
          <w:w w:val="105"/>
          <w:sz w:val="16"/>
        </w:rPr>
        <w:t xml:space="preserve"> </w:t>
      </w:r>
      <w:r>
        <w:rPr>
          <w:w w:val="105"/>
          <w:sz w:val="16"/>
        </w:rPr>
        <w:t>criterio</w:t>
      </w:r>
      <w:r>
        <w:rPr>
          <w:spacing w:val="-2"/>
          <w:w w:val="105"/>
          <w:sz w:val="16"/>
        </w:rPr>
        <w:t xml:space="preserve"> </w:t>
      </w:r>
      <w:r>
        <w:rPr>
          <w:w w:val="105"/>
          <w:sz w:val="16"/>
        </w:rPr>
        <w:t>o</w:t>
      </w:r>
      <w:r>
        <w:rPr>
          <w:spacing w:val="-2"/>
          <w:w w:val="105"/>
          <w:sz w:val="16"/>
        </w:rPr>
        <w:t xml:space="preserve"> </w:t>
      </w:r>
      <w:r>
        <w:rPr>
          <w:w w:val="105"/>
          <w:sz w:val="16"/>
        </w:rPr>
        <w:t>práctica</w:t>
      </w:r>
      <w:r>
        <w:rPr>
          <w:spacing w:val="-2"/>
          <w:w w:val="105"/>
          <w:sz w:val="16"/>
        </w:rPr>
        <w:t xml:space="preserve"> </w:t>
      </w:r>
      <w:r>
        <w:rPr>
          <w:w w:val="105"/>
          <w:sz w:val="16"/>
        </w:rPr>
        <w:t>tiene</w:t>
      </w:r>
      <w:r>
        <w:rPr>
          <w:spacing w:val="-2"/>
          <w:w w:val="105"/>
          <w:sz w:val="16"/>
        </w:rPr>
        <w:t xml:space="preserve"> </w:t>
      </w:r>
      <w:r>
        <w:rPr>
          <w:w w:val="105"/>
          <w:sz w:val="16"/>
        </w:rPr>
        <w:t>o</w:t>
      </w:r>
      <w:r>
        <w:rPr>
          <w:spacing w:val="-2"/>
          <w:w w:val="105"/>
          <w:sz w:val="16"/>
        </w:rPr>
        <w:t xml:space="preserve"> </w:t>
      </w:r>
      <w:r>
        <w:rPr>
          <w:w w:val="105"/>
          <w:sz w:val="16"/>
        </w:rPr>
        <w:t>tendría</w:t>
      </w:r>
      <w:r>
        <w:rPr>
          <w:spacing w:val="-2"/>
          <w:w w:val="105"/>
          <w:sz w:val="16"/>
        </w:rPr>
        <w:t xml:space="preserve"> </w:t>
      </w:r>
      <w:r>
        <w:rPr>
          <w:w w:val="105"/>
          <w:sz w:val="16"/>
        </w:rPr>
        <w:t>un</w:t>
      </w:r>
      <w:r>
        <w:rPr>
          <w:spacing w:val="-2"/>
          <w:w w:val="105"/>
          <w:sz w:val="16"/>
        </w:rPr>
        <w:t xml:space="preserve"> </w:t>
      </w:r>
      <w:r>
        <w:rPr>
          <w:w w:val="105"/>
          <w:sz w:val="16"/>
        </w:rPr>
        <w:t>impacto</w:t>
      </w:r>
      <w:r>
        <w:rPr>
          <w:spacing w:val="-2"/>
          <w:w w:val="105"/>
          <w:sz w:val="16"/>
        </w:rPr>
        <w:t xml:space="preserve"> </w:t>
      </w:r>
      <w:r>
        <w:rPr>
          <w:w w:val="105"/>
          <w:sz w:val="16"/>
        </w:rPr>
        <w:t>negativo</w:t>
      </w:r>
      <w:r>
        <w:rPr>
          <w:spacing w:val="-2"/>
          <w:w w:val="105"/>
          <w:sz w:val="16"/>
        </w:rPr>
        <w:t xml:space="preserve"> </w:t>
      </w:r>
      <w:r>
        <w:rPr>
          <w:w w:val="105"/>
          <w:sz w:val="16"/>
        </w:rPr>
        <w:t>desproporcionado</w:t>
      </w:r>
      <w:r>
        <w:rPr>
          <w:spacing w:val="-2"/>
          <w:w w:val="105"/>
          <w:sz w:val="16"/>
        </w:rPr>
        <w:t xml:space="preserve"> </w:t>
      </w:r>
      <w:r>
        <w:rPr>
          <w:w w:val="105"/>
          <w:sz w:val="16"/>
        </w:rPr>
        <w:t>en</w:t>
      </w:r>
      <w:r>
        <w:rPr>
          <w:spacing w:val="-2"/>
          <w:w w:val="105"/>
          <w:sz w:val="16"/>
        </w:rPr>
        <w:t xml:space="preserve"> </w:t>
      </w:r>
      <w:r>
        <w:rPr>
          <w:w w:val="105"/>
          <w:sz w:val="16"/>
        </w:rPr>
        <w:t>personas</w:t>
      </w:r>
      <w:r>
        <w:rPr>
          <w:spacing w:val="-2"/>
          <w:w w:val="105"/>
          <w:sz w:val="16"/>
        </w:rPr>
        <w:t xml:space="preserve"> </w:t>
      </w:r>
      <w:r>
        <w:rPr>
          <w:w w:val="105"/>
          <w:sz w:val="16"/>
        </w:rPr>
        <w:t>que</w:t>
      </w:r>
      <w:r>
        <w:rPr>
          <w:spacing w:val="-2"/>
          <w:w w:val="105"/>
          <w:sz w:val="16"/>
        </w:rPr>
        <w:t xml:space="preserve"> </w:t>
      </w:r>
      <w:r>
        <w:rPr>
          <w:w w:val="105"/>
          <w:sz w:val="16"/>
        </w:rPr>
        <w:t>tienen</w:t>
      </w:r>
      <w:r>
        <w:rPr>
          <w:spacing w:val="-2"/>
          <w:w w:val="105"/>
          <w:sz w:val="16"/>
        </w:rPr>
        <w:t xml:space="preserve"> </w:t>
      </w:r>
      <w:r>
        <w:rPr>
          <w:w w:val="105"/>
          <w:sz w:val="16"/>
        </w:rPr>
        <w:t>un estatus o una característica asociada con uno o más motivos de discriminación.</w:t>
      </w:r>
    </w:p>
    <w:p w14:paraId="54619C9B" w14:textId="77777777" w:rsidR="0014798C" w:rsidRDefault="0014798C">
      <w:pPr>
        <w:pStyle w:val="Textoindependiente"/>
      </w:pPr>
    </w:p>
    <w:p w14:paraId="3FC1CB3D" w14:textId="77777777" w:rsidR="0014798C" w:rsidRDefault="0014798C">
      <w:pPr>
        <w:pStyle w:val="Textoindependiente"/>
        <w:spacing w:before="140"/>
      </w:pPr>
    </w:p>
    <w:p w14:paraId="089EB057" w14:textId="77777777" w:rsidR="0014798C" w:rsidRDefault="004E1F0B">
      <w:pPr>
        <w:pStyle w:val="Textoindependiente"/>
        <w:spacing w:line="326" w:lineRule="auto"/>
        <w:ind w:left="1105" w:right="1283" w:firstLine="2"/>
      </w:pPr>
      <w:r>
        <w:rPr>
          <w:w w:val="105"/>
        </w:rPr>
        <w:t>La</w:t>
      </w:r>
      <w:r>
        <w:rPr>
          <w:spacing w:val="-6"/>
          <w:w w:val="105"/>
        </w:rPr>
        <w:t xml:space="preserve"> </w:t>
      </w:r>
      <w:r>
        <w:rPr>
          <w:w w:val="105"/>
        </w:rPr>
        <w:t>discriminación</w:t>
      </w:r>
      <w:r>
        <w:rPr>
          <w:spacing w:val="-6"/>
          <w:w w:val="105"/>
        </w:rPr>
        <w:t xml:space="preserve"> </w:t>
      </w:r>
      <w:r>
        <w:rPr>
          <w:w w:val="105"/>
        </w:rPr>
        <w:t>indirecta</w:t>
      </w:r>
      <w:r>
        <w:rPr>
          <w:spacing w:val="-6"/>
          <w:w w:val="105"/>
        </w:rPr>
        <w:t xml:space="preserve"> </w:t>
      </w:r>
      <w:r>
        <w:rPr>
          <w:w w:val="105"/>
        </w:rPr>
        <w:t>ocurre</w:t>
      </w:r>
      <w:r>
        <w:rPr>
          <w:spacing w:val="-6"/>
          <w:w w:val="105"/>
        </w:rPr>
        <w:t xml:space="preserve"> </w:t>
      </w:r>
      <w:r>
        <w:rPr>
          <w:w w:val="105"/>
        </w:rPr>
        <w:t>cuando</w:t>
      </w:r>
      <w:r>
        <w:rPr>
          <w:spacing w:val="-6"/>
          <w:w w:val="105"/>
        </w:rPr>
        <w:t xml:space="preserve"> </w:t>
      </w:r>
      <w:r>
        <w:rPr>
          <w:w w:val="105"/>
        </w:rPr>
        <w:t>la</w:t>
      </w:r>
      <w:r>
        <w:rPr>
          <w:spacing w:val="-6"/>
          <w:w w:val="105"/>
        </w:rPr>
        <w:t xml:space="preserve"> </w:t>
      </w:r>
      <w:r>
        <w:rPr>
          <w:w w:val="105"/>
        </w:rPr>
        <w:t>aplicación</w:t>
      </w:r>
      <w:r>
        <w:rPr>
          <w:spacing w:val="-6"/>
          <w:w w:val="105"/>
        </w:rPr>
        <w:t xml:space="preserve"> </w:t>
      </w:r>
      <w:r>
        <w:rPr>
          <w:w w:val="105"/>
        </w:rPr>
        <w:t>de</w:t>
      </w:r>
      <w:r>
        <w:rPr>
          <w:spacing w:val="-6"/>
          <w:w w:val="105"/>
        </w:rPr>
        <w:t xml:space="preserve"> </w:t>
      </w:r>
      <w:r>
        <w:rPr>
          <w:w w:val="105"/>
        </w:rPr>
        <w:t>una</w:t>
      </w:r>
      <w:r>
        <w:rPr>
          <w:spacing w:val="-6"/>
          <w:w w:val="105"/>
        </w:rPr>
        <w:t xml:space="preserve"> </w:t>
      </w:r>
      <w:r>
        <w:rPr>
          <w:w w:val="105"/>
        </w:rPr>
        <w:t>regla</w:t>
      </w:r>
      <w:r>
        <w:rPr>
          <w:spacing w:val="-6"/>
          <w:w w:val="105"/>
        </w:rPr>
        <w:t xml:space="preserve"> </w:t>
      </w:r>
      <w:r>
        <w:rPr>
          <w:w w:val="105"/>
        </w:rPr>
        <w:t>o</w:t>
      </w:r>
      <w:r>
        <w:rPr>
          <w:spacing w:val="-6"/>
          <w:w w:val="105"/>
        </w:rPr>
        <w:t xml:space="preserve"> </w:t>
      </w:r>
      <w:r>
        <w:rPr>
          <w:w w:val="105"/>
        </w:rPr>
        <w:t>práctica</w:t>
      </w:r>
      <w:r>
        <w:rPr>
          <w:spacing w:val="-6"/>
          <w:w w:val="105"/>
        </w:rPr>
        <w:t xml:space="preserve"> </w:t>
      </w:r>
      <w:r>
        <w:rPr>
          <w:w w:val="105"/>
        </w:rPr>
        <w:t>tiene</w:t>
      </w:r>
      <w:r>
        <w:rPr>
          <w:spacing w:val="-6"/>
          <w:w w:val="105"/>
        </w:rPr>
        <w:t xml:space="preserve"> </w:t>
      </w:r>
      <w:r>
        <w:rPr>
          <w:w w:val="105"/>
        </w:rPr>
        <w:t>o</w:t>
      </w:r>
      <w:r>
        <w:rPr>
          <w:spacing w:val="-6"/>
          <w:w w:val="105"/>
        </w:rPr>
        <w:t xml:space="preserve"> </w:t>
      </w:r>
      <w:r>
        <w:rPr>
          <w:w w:val="105"/>
        </w:rPr>
        <w:t>tendría</w:t>
      </w:r>
      <w:r>
        <w:rPr>
          <w:spacing w:val="-6"/>
          <w:w w:val="105"/>
        </w:rPr>
        <w:t xml:space="preserve"> </w:t>
      </w:r>
      <w:r>
        <w:rPr>
          <w:w w:val="105"/>
        </w:rPr>
        <w:t>un</w:t>
      </w:r>
      <w:r>
        <w:rPr>
          <w:spacing w:val="-6"/>
          <w:w w:val="105"/>
        </w:rPr>
        <w:t xml:space="preserve"> </w:t>
      </w:r>
      <w:r>
        <w:rPr>
          <w:w w:val="105"/>
        </w:rPr>
        <w:t>impacto</w:t>
      </w:r>
      <w:r>
        <w:rPr>
          <w:spacing w:val="-6"/>
          <w:w w:val="105"/>
        </w:rPr>
        <w:t xml:space="preserve"> </w:t>
      </w:r>
      <w:r>
        <w:rPr>
          <w:w w:val="105"/>
        </w:rPr>
        <w:t>menos</w:t>
      </w:r>
      <w:r>
        <w:rPr>
          <w:spacing w:val="-6"/>
          <w:w w:val="105"/>
        </w:rPr>
        <w:t xml:space="preserve"> </w:t>
      </w:r>
      <w:r>
        <w:rPr>
          <w:w w:val="105"/>
        </w:rPr>
        <w:t>favorable</w:t>
      </w:r>
      <w:r>
        <w:rPr>
          <w:spacing w:val="-6"/>
          <w:w w:val="105"/>
        </w:rPr>
        <w:t xml:space="preserve"> </w:t>
      </w:r>
      <w:r>
        <w:rPr>
          <w:w w:val="105"/>
        </w:rPr>
        <w:t>en quienes</w:t>
      </w:r>
      <w:r>
        <w:rPr>
          <w:spacing w:val="-1"/>
          <w:w w:val="105"/>
        </w:rPr>
        <w:t xml:space="preserve"> </w:t>
      </w:r>
      <w:r>
        <w:rPr>
          <w:w w:val="105"/>
        </w:rPr>
        <w:t>comparten</w:t>
      </w:r>
      <w:r>
        <w:rPr>
          <w:spacing w:val="-1"/>
          <w:w w:val="105"/>
        </w:rPr>
        <w:t xml:space="preserve"> </w:t>
      </w:r>
      <w:r>
        <w:rPr>
          <w:w w:val="105"/>
        </w:rPr>
        <w:t>una</w:t>
      </w:r>
      <w:r>
        <w:rPr>
          <w:spacing w:val="-1"/>
          <w:w w:val="105"/>
        </w:rPr>
        <w:t xml:space="preserve"> </w:t>
      </w:r>
      <w:r>
        <w:rPr>
          <w:w w:val="105"/>
        </w:rPr>
        <w:t>característica</w:t>
      </w:r>
      <w:r>
        <w:rPr>
          <w:spacing w:val="-1"/>
          <w:w w:val="105"/>
        </w:rPr>
        <w:t xml:space="preserve"> </w:t>
      </w:r>
      <w:r>
        <w:rPr>
          <w:w w:val="105"/>
        </w:rPr>
        <w:t>particular. La</w:t>
      </w:r>
      <w:r>
        <w:rPr>
          <w:spacing w:val="-1"/>
          <w:w w:val="105"/>
        </w:rPr>
        <w:t xml:space="preserve"> </w:t>
      </w:r>
      <w:r>
        <w:rPr>
          <w:w w:val="105"/>
        </w:rPr>
        <w:t>discriminación</w:t>
      </w:r>
      <w:r>
        <w:rPr>
          <w:spacing w:val="-1"/>
          <w:w w:val="105"/>
        </w:rPr>
        <w:t xml:space="preserve"> </w:t>
      </w:r>
      <w:r>
        <w:rPr>
          <w:w w:val="105"/>
        </w:rPr>
        <w:t>indirecta</w:t>
      </w:r>
      <w:r>
        <w:rPr>
          <w:spacing w:val="-1"/>
          <w:w w:val="105"/>
        </w:rPr>
        <w:t xml:space="preserve"> </w:t>
      </w:r>
      <w:r>
        <w:rPr>
          <w:w w:val="105"/>
        </w:rPr>
        <w:t>implica</w:t>
      </w:r>
      <w:r>
        <w:rPr>
          <w:spacing w:val="-1"/>
          <w:w w:val="105"/>
        </w:rPr>
        <w:t xml:space="preserve"> </w:t>
      </w:r>
      <w:r>
        <w:rPr>
          <w:w w:val="105"/>
        </w:rPr>
        <w:t>reglas, políticas</w:t>
      </w:r>
      <w:r>
        <w:rPr>
          <w:spacing w:val="-1"/>
          <w:w w:val="105"/>
        </w:rPr>
        <w:t xml:space="preserve"> </w:t>
      </w:r>
      <w:r>
        <w:rPr>
          <w:w w:val="105"/>
        </w:rPr>
        <w:t>o</w:t>
      </w:r>
      <w:r>
        <w:rPr>
          <w:spacing w:val="-1"/>
          <w:w w:val="105"/>
        </w:rPr>
        <w:t xml:space="preserve"> </w:t>
      </w:r>
      <w:r>
        <w:rPr>
          <w:w w:val="105"/>
        </w:rPr>
        <w:t>prácticas</w:t>
      </w:r>
      <w:r>
        <w:rPr>
          <w:spacing w:val="-1"/>
          <w:w w:val="105"/>
        </w:rPr>
        <w:t xml:space="preserve"> </w:t>
      </w:r>
      <w:r>
        <w:rPr>
          <w:w w:val="105"/>
        </w:rPr>
        <w:t>que</w:t>
      </w:r>
      <w:r>
        <w:rPr>
          <w:spacing w:val="-1"/>
          <w:w w:val="105"/>
        </w:rPr>
        <w:t xml:space="preserve"> </w:t>
      </w:r>
      <w:r>
        <w:rPr>
          <w:w w:val="105"/>
        </w:rPr>
        <w:t>parecen neutrales y universales (se aplican a todos por igual y no hacen referencia a una característica particular) pero que tienen impactos desproporcionados en quienes comparten una característica particular. Los ejemplos incluirían un anuncio de trabajo</w:t>
      </w:r>
      <w:r>
        <w:rPr>
          <w:spacing w:val="-7"/>
          <w:w w:val="105"/>
        </w:rPr>
        <w:t xml:space="preserve"> </w:t>
      </w:r>
      <w:r>
        <w:rPr>
          <w:w w:val="105"/>
        </w:rPr>
        <w:t>para</w:t>
      </w:r>
      <w:r>
        <w:rPr>
          <w:spacing w:val="-7"/>
          <w:w w:val="105"/>
        </w:rPr>
        <w:t xml:space="preserve"> </w:t>
      </w:r>
      <w:r>
        <w:rPr>
          <w:w w:val="105"/>
        </w:rPr>
        <w:t>bomberos</w:t>
      </w:r>
      <w:r>
        <w:rPr>
          <w:spacing w:val="-7"/>
          <w:w w:val="105"/>
        </w:rPr>
        <w:t xml:space="preserve"> </w:t>
      </w:r>
      <w:r>
        <w:rPr>
          <w:w w:val="105"/>
        </w:rPr>
        <w:t>que</w:t>
      </w:r>
      <w:r>
        <w:rPr>
          <w:spacing w:val="-7"/>
          <w:w w:val="105"/>
        </w:rPr>
        <w:t xml:space="preserve"> </w:t>
      </w:r>
      <w:r>
        <w:rPr>
          <w:w w:val="105"/>
        </w:rPr>
        <w:t>especifica</w:t>
      </w:r>
      <w:r>
        <w:rPr>
          <w:spacing w:val="-7"/>
          <w:w w:val="105"/>
        </w:rPr>
        <w:t xml:space="preserve"> </w:t>
      </w:r>
      <w:r>
        <w:rPr>
          <w:w w:val="105"/>
        </w:rPr>
        <w:t>un</w:t>
      </w:r>
      <w:r>
        <w:rPr>
          <w:spacing w:val="-7"/>
          <w:w w:val="105"/>
        </w:rPr>
        <w:t xml:space="preserve"> </w:t>
      </w:r>
      <w:r>
        <w:rPr>
          <w:w w:val="105"/>
        </w:rPr>
        <w:t>requisito</w:t>
      </w:r>
      <w:r>
        <w:rPr>
          <w:spacing w:val="-7"/>
          <w:w w:val="105"/>
        </w:rPr>
        <w:t xml:space="preserve"> </w:t>
      </w:r>
      <w:r>
        <w:rPr>
          <w:w w:val="105"/>
        </w:rPr>
        <w:t>de</w:t>
      </w:r>
      <w:r>
        <w:rPr>
          <w:spacing w:val="-7"/>
          <w:w w:val="105"/>
        </w:rPr>
        <w:t xml:space="preserve"> </w:t>
      </w:r>
      <w:r>
        <w:rPr>
          <w:w w:val="105"/>
        </w:rPr>
        <w:t>altura</w:t>
      </w:r>
      <w:r>
        <w:rPr>
          <w:spacing w:val="-7"/>
          <w:w w:val="105"/>
        </w:rPr>
        <w:t xml:space="preserve"> </w:t>
      </w:r>
      <w:r>
        <w:rPr>
          <w:w w:val="105"/>
        </w:rPr>
        <w:t>que</w:t>
      </w:r>
      <w:r>
        <w:rPr>
          <w:spacing w:val="-7"/>
          <w:w w:val="105"/>
        </w:rPr>
        <w:t xml:space="preserve"> </w:t>
      </w:r>
      <w:r>
        <w:rPr>
          <w:w w:val="105"/>
        </w:rPr>
        <w:t>puede</w:t>
      </w:r>
      <w:r>
        <w:rPr>
          <w:spacing w:val="-7"/>
          <w:w w:val="105"/>
        </w:rPr>
        <w:t xml:space="preserve"> </w:t>
      </w:r>
      <w:r>
        <w:rPr>
          <w:w w:val="105"/>
        </w:rPr>
        <w:t>afectar</w:t>
      </w:r>
      <w:r>
        <w:rPr>
          <w:spacing w:val="-7"/>
          <w:w w:val="105"/>
        </w:rPr>
        <w:t xml:space="preserve"> </w:t>
      </w:r>
      <w:r>
        <w:rPr>
          <w:w w:val="105"/>
        </w:rPr>
        <w:t>desproporcionadamente</w:t>
      </w:r>
      <w:r>
        <w:rPr>
          <w:spacing w:val="-7"/>
          <w:w w:val="105"/>
        </w:rPr>
        <w:t xml:space="preserve"> </w:t>
      </w:r>
      <w:r>
        <w:rPr>
          <w:w w:val="105"/>
        </w:rPr>
        <w:t>a</w:t>
      </w:r>
      <w:r>
        <w:rPr>
          <w:spacing w:val="-7"/>
          <w:w w:val="105"/>
        </w:rPr>
        <w:t xml:space="preserve"> </w:t>
      </w:r>
      <w:r>
        <w:rPr>
          <w:w w:val="105"/>
        </w:rPr>
        <w:t>las</w:t>
      </w:r>
      <w:r>
        <w:rPr>
          <w:spacing w:val="-7"/>
          <w:w w:val="105"/>
        </w:rPr>
        <w:t xml:space="preserve"> </w:t>
      </w:r>
      <w:r>
        <w:rPr>
          <w:w w:val="105"/>
        </w:rPr>
        <w:t>mujeres</w:t>
      </w:r>
      <w:r>
        <w:rPr>
          <w:spacing w:val="-7"/>
          <w:w w:val="105"/>
        </w:rPr>
        <w:t xml:space="preserve"> </w:t>
      </w:r>
      <w:r>
        <w:rPr>
          <w:w w:val="105"/>
        </w:rPr>
        <w:t>(que</w:t>
      </w:r>
      <w:r>
        <w:rPr>
          <w:spacing w:val="-7"/>
          <w:w w:val="105"/>
        </w:rPr>
        <w:t xml:space="preserve"> </w:t>
      </w:r>
      <w:r>
        <w:rPr>
          <w:w w:val="105"/>
        </w:rPr>
        <w:t>en promedio son más bajas que los hombres) o reglas de uniformes escolares que prohíben cubrirse la cabeza o la cara y, por lo tanto, perjudicarían a los niños judíos o sijs practicantes y a los judíos ortodoxos o Niñas musulmanas, así como algunas niñas romaníes u otras minorías, respectivamente.</w:t>
      </w:r>
    </w:p>
    <w:p w14:paraId="4ADFB087" w14:textId="77777777" w:rsidR="0014798C" w:rsidRDefault="004E1F0B">
      <w:pPr>
        <w:spacing w:before="131" w:line="273" w:lineRule="auto"/>
        <w:ind w:left="1108" w:right="1272" w:hanging="2"/>
        <w:rPr>
          <w:sz w:val="19"/>
        </w:rPr>
      </w:pPr>
      <w:r>
        <w:rPr>
          <w:sz w:val="19"/>
        </w:rPr>
        <w:t>Así,</w:t>
      </w:r>
      <w:r>
        <w:rPr>
          <w:spacing w:val="-6"/>
          <w:sz w:val="19"/>
        </w:rPr>
        <w:t xml:space="preserve"> </w:t>
      </w:r>
      <w:r>
        <w:rPr>
          <w:sz w:val="19"/>
        </w:rPr>
        <w:t>mientras</w:t>
      </w:r>
      <w:r>
        <w:rPr>
          <w:spacing w:val="-6"/>
          <w:sz w:val="19"/>
        </w:rPr>
        <w:t xml:space="preserve"> </w:t>
      </w:r>
      <w:r>
        <w:rPr>
          <w:sz w:val="19"/>
        </w:rPr>
        <w:t>que</w:t>
      </w:r>
      <w:r>
        <w:rPr>
          <w:spacing w:val="-6"/>
          <w:sz w:val="19"/>
        </w:rPr>
        <w:t xml:space="preserve"> </w:t>
      </w:r>
      <w:r>
        <w:rPr>
          <w:sz w:val="19"/>
        </w:rPr>
        <w:t>la</w:t>
      </w:r>
      <w:r>
        <w:rPr>
          <w:spacing w:val="-6"/>
          <w:sz w:val="19"/>
        </w:rPr>
        <w:t xml:space="preserve"> </w:t>
      </w:r>
      <w:r>
        <w:rPr>
          <w:sz w:val="19"/>
        </w:rPr>
        <w:t>discriminación</w:t>
      </w:r>
      <w:r>
        <w:rPr>
          <w:spacing w:val="-6"/>
          <w:sz w:val="19"/>
        </w:rPr>
        <w:t xml:space="preserve"> </w:t>
      </w:r>
      <w:r>
        <w:rPr>
          <w:sz w:val="19"/>
        </w:rPr>
        <w:t>directa</w:t>
      </w:r>
      <w:r>
        <w:rPr>
          <w:spacing w:val="-6"/>
          <w:sz w:val="19"/>
        </w:rPr>
        <w:t xml:space="preserve"> </w:t>
      </w:r>
      <w:r>
        <w:rPr>
          <w:sz w:val="19"/>
        </w:rPr>
        <w:t>implica</w:t>
      </w:r>
      <w:r>
        <w:rPr>
          <w:spacing w:val="-6"/>
          <w:sz w:val="19"/>
        </w:rPr>
        <w:t xml:space="preserve"> </w:t>
      </w:r>
      <w:r>
        <w:rPr>
          <w:sz w:val="19"/>
        </w:rPr>
        <w:t>un</w:t>
      </w:r>
      <w:r>
        <w:rPr>
          <w:spacing w:val="-6"/>
          <w:sz w:val="19"/>
        </w:rPr>
        <w:t xml:space="preserve"> </w:t>
      </w:r>
      <w:r>
        <w:rPr>
          <w:sz w:val="19"/>
        </w:rPr>
        <w:t>trato</w:t>
      </w:r>
      <w:r>
        <w:rPr>
          <w:spacing w:val="-6"/>
          <w:sz w:val="19"/>
        </w:rPr>
        <w:t xml:space="preserve"> </w:t>
      </w:r>
      <w:r>
        <w:rPr>
          <w:sz w:val="19"/>
        </w:rPr>
        <w:t>diferente</w:t>
      </w:r>
      <w:r>
        <w:rPr>
          <w:spacing w:val="-6"/>
          <w:sz w:val="19"/>
        </w:rPr>
        <w:t xml:space="preserve"> </w:t>
      </w:r>
      <w:r>
        <w:rPr>
          <w:sz w:val="19"/>
        </w:rPr>
        <w:t>y</w:t>
      </w:r>
      <w:r>
        <w:rPr>
          <w:spacing w:val="-6"/>
          <w:sz w:val="19"/>
        </w:rPr>
        <w:t xml:space="preserve"> </w:t>
      </w:r>
      <w:r>
        <w:rPr>
          <w:sz w:val="19"/>
        </w:rPr>
        <w:t>menos</w:t>
      </w:r>
      <w:r>
        <w:rPr>
          <w:spacing w:val="-6"/>
          <w:sz w:val="19"/>
        </w:rPr>
        <w:t xml:space="preserve"> </w:t>
      </w:r>
      <w:r>
        <w:rPr>
          <w:sz w:val="19"/>
        </w:rPr>
        <w:t>favorable</w:t>
      </w:r>
      <w:r>
        <w:rPr>
          <w:spacing w:val="-6"/>
          <w:sz w:val="19"/>
        </w:rPr>
        <w:t xml:space="preserve"> </w:t>
      </w:r>
      <w:r>
        <w:rPr>
          <w:sz w:val="19"/>
        </w:rPr>
        <w:t>sobre</w:t>
      </w:r>
      <w:r>
        <w:rPr>
          <w:spacing w:val="-6"/>
          <w:sz w:val="19"/>
        </w:rPr>
        <w:t xml:space="preserve"> </w:t>
      </w:r>
      <w:r>
        <w:rPr>
          <w:sz w:val="19"/>
        </w:rPr>
        <w:t>la</w:t>
      </w:r>
      <w:r>
        <w:rPr>
          <w:spacing w:val="-6"/>
          <w:sz w:val="19"/>
        </w:rPr>
        <w:t xml:space="preserve"> </w:t>
      </w:r>
      <w:r>
        <w:rPr>
          <w:sz w:val="19"/>
        </w:rPr>
        <w:t>base</w:t>
      </w:r>
      <w:r>
        <w:rPr>
          <w:spacing w:val="-6"/>
          <w:sz w:val="19"/>
        </w:rPr>
        <w:t xml:space="preserve"> </w:t>
      </w:r>
      <w:r>
        <w:rPr>
          <w:sz w:val="19"/>
        </w:rPr>
        <w:t>de</w:t>
      </w:r>
      <w:r>
        <w:rPr>
          <w:spacing w:val="-6"/>
          <w:sz w:val="19"/>
        </w:rPr>
        <w:t xml:space="preserve"> </w:t>
      </w:r>
      <w:r>
        <w:rPr>
          <w:sz w:val="19"/>
        </w:rPr>
        <w:t>una característica particular, la discriminación indirecta implica un trato idéntico, pero con impactos diferentes y menos</w:t>
      </w:r>
      <w:r>
        <w:rPr>
          <w:spacing w:val="-7"/>
          <w:sz w:val="19"/>
        </w:rPr>
        <w:t xml:space="preserve"> </w:t>
      </w:r>
      <w:r>
        <w:rPr>
          <w:sz w:val="19"/>
        </w:rPr>
        <w:t>favorables.</w:t>
      </w:r>
      <w:r>
        <w:rPr>
          <w:spacing w:val="-6"/>
          <w:sz w:val="19"/>
        </w:rPr>
        <w:t xml:space="preserve"> </w:t>
      </w:r>
      <w:r>
        <w:rPr>
          <w:sz w:val="19"/>
        </w:rPr>
        <w:t>A</w:t>
      </w:r>
      <w:r>
        <w:rPr>
          <w:spacing w:val="-7"/>
          <w:sz w:val="19"/>
        </w:rPr>
        <w:t xml:space="preserve"> </w:t>
      </w:r>
      <w:r>
        <w:rPr>
          <w:sz w:val="19"/>
        </w:rPr>
        <w:t>menudo</w:t>
      </w:r>
      <w:r>
        <w:rPr>
          <w:spacing w:val="-7"/>
          <w:sz w:val="19"/>
        </w:rPr>
        <w:t xml:space="preserve"> </w:t>
      </w:r>
      <w:r>
        <w:rPr>
          <w:sz w:val="19"/>
        </w:rPr>
        <w:t>existe</w:t>
      </w:r>
      <w:r>
        <w:rPr>
          <w:spacing w:val="-7"/>
          <w:sz w:val="19"/>
        </w:rPr>
        <w:t xml:space="preserve"> </w:t>
      </w:r>
      <w:r>
        <w:rPr>
          <w:sz w:val="19"/>
        </w:rPr>
        <w:t>confusión</w:t>
      </w:r>
      <w:r>
        <w:rPr>
          <w:spacing w:val="-7"/>
          <w:sz w:val="19"/>
        </w:rPr>
        <w:t xml:space="preserve"> </w:t>
      </w:r>
      <w:r>
        <w:rPr>
          <w:sz w:val="19"/>
        </w:rPr>
        <w:t>sobre</w:t>
      </w:r>
      <w:r>
        <w:rPr>
          <w:spacing w:val="-7"/>
          <w:sz w:val="19"/>
        </w:rPr>
        <w:t xml:space="preserve"> </w:t>
      </w:r>
      <w:r>
        <w:rPr>
          <w:sz w:val="19"/>
        </w:rPr>
        <w:t>la</w:t>
      </w:r>
      <w:r>
        <w:rPr>
          <w:spacing w:val="-7"/>
          <w:sz w:val="19"/>
        </w:rPr>
        <w:t xml:space="preserve"> </w:t>
      </w:r>
      <w:r>
        <w:rPr>
          <w:sz w:val="19"/>
        </w:rPr>
        <w:t>diferencia</w:t>
      </w:r>
      <w:r>
        <w:rPr>
          <w:spacing w:val="-7"/>
          <w:sz w:val="19"/>
        </w:rPr>
        <w:t xml:space="preserve"> </w:t>
      </w:r>
      <w:r>
        <w:rPr>
          <w:sz w:val="19"/>
        </w:rPr>
        <w:t>entre</w:t>
      </w:r>
      <w:r>
        <w:rPr>
          <w:spacing w:val="-7"/>
          <w:sz w:val="19"/>
        </w:rPr>
        <w:t xml:space="preserve"> </w:t>
      </w:r>
      <w:r>
        <w:rPr>
          <w:sz w:val="19"/>
        </w:rPr>
        <w:t>discriminación</w:t>
      </w:r>
      <w:r>
        <w:rPr>
          <w:spacing w:val="-7"/>
          <w:sz w:val="19"/>
        </w:rPr>
        <w:t xml:space="preserve"> </w:t>
      </w:r>
      <w:r>
        <w:rPr>
          <w:sz w:val="19"/>
        </w:rPr>
        <w:t>directa</w:t>
      </w:r>
      <w:r>
        <w:rPr>
          <w:spacing w:val="-7"/>
          <w:sz w:val="19"/>
        </w:rPr>
        <w:t xml:space="preserve"> </w:t>
      </w:r>
      <w:r>
        <w:rPr>
          <w:sz w:val="19"/>
        </w:rPr>
        <w:t>e</w:t>
      </w:r>
      <w:r>
        <w:rPr>
          <w:spacing w:val="-7"/>
          <w:sz w:val="19"/>
        </w:rPr>
        <w:t xml:space="preserve"> </w:t>
      </w:r>
      <w:r>
        <w:rPr>
          <w:sz w:val="19"/>
        </w:rPr>
        <w:t>indirecta.</w:t>
      </w:r>
      <w:r>
        <w:rPr>
          <w:spacing w:val="-6"/>
          <w:sz w:val="19"/>
        </w:rPr>
        <w:t xml:space="preserve"> </w:t>
      </w:r>
      <w:r>
        <w:rPr>
          <w:sz w:val="19"/>
        </w:rPr>
        <w:t>Es</w:t>
      </w:r>
    </w:p>
    <w:p w14:paraId="02840A5B" w14:textId="77777777" w:rsidR="0014798C" w:rsidRDefault="004E1F0B">
      <w:pPr>
        <w:spacing w:before="2"/>
        <w:ind w:left="1109"/>
        <w:rPr>
          <w:sz w:val="19"/>
        </w:rPr>
      </w:pPr>
      <w:r>
        <w:rPr>
          <w:sz w:val="19"/>
        </w:rPr>
        <w:t>importante</w:t>
      </w:r>
      <w:r>
        <w:rPr>
          <w:spacing w:val="-11"/>
          <w:sz w:val="19"/>
        </w:rPr>
        <w:t xml:space="preserve"> </w:t>
      </w:r>
      <w:proofErr w:type="gramStart"/>
      <w:r>
        <w:rPr>
          <w:sz w:val="19"/>
        </w:rPr>
        <w:t>señalar</w:t>
      </w:r>
      <w:proofErr w:type="gramEnd"/>
      <w:r>
        <w:rPr>
          <w:spacing w:val="-10"/>
          <w:sz w:val="19"/>
        </w:rPr>
        <w:t xml:space="preserve"> </w:t>
      </w:r>
      <w:r>
        <w:rPr>
          <w:sz w:val="19"/>
        </w:rPr>
        <w:t>que</w:t>
      </w:r>
      <w:r>
        <w:rPr>
          <w:spacing w:val="-10"/>
          <w:sz w:val="19"/>
        </w:rPr>
        <w:t xml:space="preserve"> </w:t>
      </w:r>
      <w:r>
        <w:rPr>
          <w:sz w:val="19"/>
        </w:rPr>
        <w:t>la</w:t>
      </w:r>
      <w:r>
        <w:rPr>
          <w:spacing w:val="-11"/>
          <w:sz w:val="19"/>
        </w:rPr>
        <w:t xml:space="preserve"> </w:t>
      </w:r>
      <w:r>
        <w:rPr>
          <w:sz w:val="19"/>
        </w:rPr>
        <w:t>diferencia</w:t>
      </w:r>
      <w:r>
        <w:rPr>
          <w:spacing w:val="-10"/>
          <w:sz w:val="19"/>
        </w:rPr>
        <w:t xml:space="preserve"> </w:t>
      </w:r>
      <w:r>
        <w:rPr>
          <w:sz w:val="19"/>
        </w:rPr>
        <w:t>no</w:t>
      </w:r>
      <w:r>
        <w:rPr>
          <w:spacing w:val="-10"/>
          <w:sz w:val="19"/>
        </w:rPr>
        <w:t xml:space="preserve"> </w:t>
      </w:r>
      <w:r>
        <w:rPr>
          <w:sz w:val="19"/>
        </w:rPr>
        <w:t>es</w:t>
      </w:r>
      <w:r>
        <w:rPr>
          <w:spacing w:val="-11"/>
          <w:sz w:val="19"/>
        </w:rPr>
        <w:t xml:space="preserve"> </w:t>
      </w:r>
      <w:r>
        <w:rPr>
          <w:sz w:val="19"/>
        </w:rPr>
        <w:t>de</w:t>
      </w:r>
      <w:r>
        <w:rPr>
          <w:spacing w:val="-10"/>
          <w:sz w:val="19"/>
        </w:rPr>
        <w:t xml:space="preserve"> </w:t>
      </w:r>
      <w:r>
        <w:rPr>
          <w:sz w:val="19"/>
        </w:rPr>
        <w:t>gravedad.</w:t>
      </w:r>
      <w:r>
        <w:rPr>
          <w:spacing w:val="-9"/>
          <w:sz w:val="19"/>
        </w:rPr>
        <w:t xml:space="preserve"> </w:t>
      </w:r>
      <w:r>
        <w:rPr>
          <w:sz w:val="19"/>
        </w:rPr>
        <w:t>Tanto</w:t>
      </w:r>
      <w:r>
        <w:rPr>
          <w:spacing w:val="-11"/>
          <w:sz w:val="19"/>
        </w:rPr>
        <w:t xml:space="preserve"> </w:t>
      </w:r>
      <w:r>
        <w:rPr>
          <w:sz w:val="19"/>
        </w:rPr>
        <w:t>la</w:t>
      </w:r>
      <w:r>
        <w:rPr>
          <w:spacing w:val="-10"/>
          <w:sz w:val="19"/>
        </w:rPr>
        <w:t xml:space="preserve"> </w:t>
      </w:r>
      <w:r>
        <w:rPr>
          <w:sz w:val="19"/>
        </w:rPr>
        <w:t>discriminación</w:t>
      </w:r>
      <w:r>
        <w:rPr>
          <w:spacing w:val="-10"/>
          <w:sz w:val="19"/>
        </w:rPr>
        <w:t xml:space="preserve"> </w:t>
      </w:r>
      <w:r>
        <w:rPr>
          <w:sz w:val="19"/>
        </w:rPr>
        <w:t>directa</w:t>
      </w:r>
      <w:r>
        <w:rPr>
          <w:spacing w:val="-11"/>
          <w:sz w:val="19"/>
        </w:rPr>
        <w:t xml:space="preserve"> </w:t>
      </w:r>
      <w:r>
        <w:rPr>
          <w:sz w:val="19"/>
        </w:rPr>
        <w:t>como</w:t>
      </w:r>
      <w:r>
        <w:rPr>
          <w:spacing w:val="-10"/>
          <w:sz w:val="19"/>
        </w:rPr>
        <w:t xml:space="preserve"> </w:t>
      </w:r>
      <w:r>
        <w:rPr>
          <w:sz w:val="19"/>
        </w:rPr>
        <w:t>la</w:t>
      </w:r>
      <w:r>
        <w:rPr>
          <w:spacing w:val="-10"/>
          <w:sz w:val="19"/>
        </w:rPr>
        <w:t xml:space="preserve"> </w:t>
      </w:r>
      <w:r>
        <w:rPr>
          <w:sz w:val="19"/>
        </w:rPr>
        <w:t>indirecta</w:t>
      </w:r>
      <w:r>
        <w:rPr>
          <w:spacing w:val="-11"/>
          <w:sz w:val="19"/>
        </w:rPr>
        <w:t xml:space="preserve"> </w:t>
      </w:r>
      <w:r>
        <w:rPr>
          <w:sz w:val="19"/>
        </w:rPr>
        <w:t>pueden</w:t>
      </w:r>
      <w:r>
        <w:rPr>
          <w:spacing w:val="-10"/>
          <w:sz w:val="19"/>
        </w:rPr>
        <w:t xml:space="preserve"> </w:t>
      </w:r>
      <w:r>
        <w:rPr>
          <w:spacing w:val="-2"/>
          <w:sz w:val="19"/>
        </w:rPr>
        <w:t>tener</w:t>
      </w:r>
    </w:p>
    <w:p w14:paraId="1E8DFA56" w14:textId="77777777" w:rsidR="0014798C" w:rsidRDefault="0014798C">
      <w:pPr>
        <w:pStyle w:val="Textoindependiente"/>
        <w:rPr>
          <w:sz w:val="19"/>
        </w:rPr>
      </w:pPr>
    </w:p>
    <w:p w14:paraId="47C96E57" w14:textId="77777777" w:rsidR="0014798C" w:rsidRDefault="0014798C">
      <w:pPr>
        <w:pStyle w:val="Textoindependiente"/>
        <w:spacing w:before="188"/>
        <w:rPr>
          <w:sz w:val="19"/>
        </w:rPr>
      </w:pPr>
    </w:p>
    <w:p w14:paraId="159AD9D2" w14:textId="77777777" w:rsidR="0014798C" w:rsidRDefault="004E1F0B">
      <w:pPr>
        <w:spacing w:line="312" w:lineRule="auto"/>
        <w:ind w:left="1368" w:right="1725" w:hanging="263"/>
        <w:rPr>
          <w:sz w:val="12"/>
        </w:rPr>
      </w:pPr>
      <w:r>
        <w:rPr>
          <w:sz w:val="12"/>
        </w:rPr>
        <w:t>233</w:t>
      </w:r>
      <w:r>
        <w:rPr>
          <w:spacing w:val="-4"/>
          <w:sz w:val="12"/>
        </w:rPr>
        <w:t xml:space="preserve"> </w:t>
      </w:r>
      <w:r>
        <w:rPr>
          <w:sz w:val="12"/>
        </w:rPr>
        <w:t>Directiva</w:t>
      </w:r>
      <w:r>
        <w:rPr>
          <w:spacing w:val="-4"/>
          <w:sz w:val="12"/>
        </w:rPr>
        <w:t xml:space="preserve"> </w:t>
      </w:r>
      <w:r>
        <w:rPr>
          <w:sz w:val="12"/>
        </w:rPr>
        <w:t>2000/43/CE</w:t>
      </w:r>
      <w:r>
        <w:rPr>
          <w:spacing w:val="-4"/>
          <w:sz w:val="12"/>
        </w:rPr>
        <w:t xml:space="preserve"> </w:t>
      </w:r>
      <w:r>
        <w:rPr>
          <w:sz w:val="12"/>
        </w:rPr>
        <w:t>del</w:t>
      </w:r>
      <w:r>
        <w:rPr>
          <w:spacing w:val="-4"/>
          <w:sz w:val="12"/>
        </w:rPr>
        <w:t xml:space="preserve"> </w:t>
      </w:r>
      <w:r>
        <w:rPr>
          <w:sz w:val="12"/>
        </w:rPr>
        <w:t>Consejo,</w:t>
      </w:r>
      <w:r>
        <w:rPr>
          <w:spacing w:val="-4"/>
          <w:sz w:val="12"/>
        </w:rPr>
        <w:t xml:space="preserve"> </w:t>
      </w:r>
      <w:r>
        <w:rPr>
          <w:sz w:val="12"/>
        </w:rPr>
        <w:t>de</w:t>
      </w:r>
      <w:r>
        <w:rPr>
          <w:spacing w:val="-4"/>
          <w:sz w:val="12"/>
        </w:rPr>
        <w:t xml:space="preserve"> </w:t>
      </w:r>
      <w:r>
        <w:rPr>
          <w:sz w:val="12"/>
        </w:rPr>
        <w:t>29</w:t>
      </w:r>
      <w:r>
        <w:rPr>
          <w:spacing w:val="-4"/>
          <w:sz w:val="12"/>
        </w:rPr>
        <w:t xml:space="preserve"> </w:t>
      </w:r>
      <w:r>
        <w:rPr>
          <w:sz w:val="12"/>
        </w:rPr>
        <w:t>de</w:t>
      </w:r>
      <w:r>
        <w:rPr>
          <w:spacing w:val="-4"/>
          <w:sz w:val="12"/>
        </w:rPr>
        <w:t xml:space="preserve"> </w:t>
      </w:r>
      <w:r>
        <w:rPr>
          <w:sz w:val="12"/>
        </w:rPr>
        <w:t>junio</w:t>
      </w:r>
      <w:r>
        <w:rPr>
          <w:spacing w:val="-4"/>
          <w:sz w:val="12"/>
        </w:rPr>
        <w:t xml:space="preserve"> </w:t>
      </w:r>
      <w:r>
        <w:rPr>
          <w:sz w:val="12"/>
        </w:rPr>
        <w:t>de</w:t>
      </w:r>
      <w:r>
        <w:rPr>
          <w:spacing w:val="-4"/>
          <w:sz w:val="12"/>
        </w:rPr>
        <w:t xml:space="preserve"> </w:t>
      </w:r>
      <w:r>
        <w:rPr>
          <w:sz w:val="12"/>
        </w:rPr>
        <w:t>2000,</w:t>
      </w:r>
      <w:r>
        <w:rPr>
          <w:spacing w:val="-4"/>
          <w:sz w:val="12"/>
        </w:rPr>
        <w:t xml:space="preserve"> </w:t>
      </w:r>
      <w:r>
        <w:rPr>
          <w:sz w:val="12"/>
        </w:rPr>
        <w:t>que</w:t>
      </w:r>
      <w:r>
        <w:rPr>
          <w:spacing w:val="-4"/>
          <w:sz w:val="12"/>
        </w:rPr>
        <w:t xml:space="preserve"> </w:t>
      </w:r>
      <w:r>
        <w:rPr>
          <w:sz w:val="12"/>
        </w:rPr>
        <w:t>aplica</w:t>
      </w:r>
      <w:r>
        <w:rPr>
          <w:spacing w:val="-4"/>
          <w:sz w:val="12"/>
        </w:rPr>
        <w:t xml:space="preserve"> </w:t>
      </w:r>
      <w:r>
        <w:rPr>
          <w:sz w:val="12"/>
        </w:rPr>
        <w:t>el</w:t>
      </w:r>
      <w:r>
        <w:rPr>
          <w:spacing w:val="-4"/>
          <w:sz w:val="12"/>
        </w:rPr>
        <w:t xml:space="preserve"> </w:t>
      </w:r>
      <w:r>
        <w:rPr>
          <w:sz w:val="12"/>
        </w:rPr>
        <w:t>principio</w:t>
      </w:r>
      <w:r>
        <w:rPr>
          <w:spacing w:val="-4"/>
          <w:sz w:val="12"/>
        </w:rPr>
        <w:t xml:space="preserve"> </w:t>
      </w:r>
      <w:r>
        <w:rPr>
          <w:sz w:val="12"/>
        </w:rPr>
        <w:t>de</w:t>
      </w:r>
      <w:r>
        <w:rPr>
          <w:spacing w:val="-4"/>
          <w:sz w:val="12"/>
        </w:rPr>
        <w:t xml:space="preserve"> </w:t>
      </w:r>
      <w:r>
        <w:rPr>
          <w:sz w:val="12"/>
        </w:rPr>
        <w:t>igualdad</w:t>
      </w:r>
      <w:r>
        <w:rPr>
          <w:spacing w:val="-4"/>
          <w:sz w:val="12"/>
        </w:rPr>
        <w:t xml:space="preserve"> </w:t>
      </w:r>
      <w:r>
        <w:rPr>
          <w:sz w:val="12"/>
        </w:rPr>
        <w:t>de</w:t>
      </w:r>
      <w:r>
        <w:rPr>
          <w:spacing w:val="-4"/>
          <w:sz w:val="12"/>
        </w:rPr>
        <w:t xml:space="preserve"> </w:t>
      </w:r>
      <w:r>
        <w:rPr>
          <w:sz w:val="12"/>
        </w:rPr>
        <w:t>trato</w:t>
      </w:r>
      <w:r>
        <w:rPr>
          <w:spacing w:val="-4"/>
          <w:sz w:val="12"/>
        </w:rPr>
        <w:t xml:space="preserve"> </w:t>
      </w:r>
      <w:r>
        <w:rPr>
          <w:sz w:val="12"/>
        </w:rPr>
        <w:t>entre</w:t>
      </w:r>
      <w:r>
        <w:rPr>
          <w:spacing w:val="-4"/>
          <w:sz w:val="12"/>
        </w:rPr>
        <w:t xml:space="preserve"> </w:t>
      </w:r>
      <w:r>
        <w:rPr>
          <w:sz w:val="12"/>
        </w:rPr>
        <w:t>las</w:t>
      </w:r>
      <w:r>
        <w:rPr>
          <w:spacing w:val="-4"/>
          <w:sz w:val="12"/>
        </w:rPr>
        <w:t xml:space="preserve"> </w:t>
      </w:r>
      <w:r>
        <w:rPr>
          <w:sz w:val="12"/>
        </w:rPr>
        <w:t>personas</w:t>
      </w:r>
      <w:r>
        <w:rPr>
          <w:spacing w:val="-4"/>
          <w:sz w:val="12"/>
        </w:rPr>
        <w:t xml:space="preserve"> </w:t>
      </w:r>
      <w:r>
        <w:rPr>
          <w:sz w:val="12"/>
        </w:rPr>
        <w:t>independientemente</w:t>
      </w:r>
      <w:r>
        <w:rPr>
          <w:spacing w:val="-4"/>
          <w:sz w:val="12"/>
        </w:rPr>
        <w:t xml:space="preserve"> </w:t>
      </w:r>
      <w:r>
        <w:rPr>
          <w:sz w:val="12"/>
        </w:rPr>
        <w:t>de</w:t>
      </w:r>
      <w:r>
        <w:rPr>
          <w:spacing w:val="-4"/>
          <w:sz w:val="12"/>
        </w:rPr>
        <w:t xml:space="preserve"> </w:t>
      </w:r>
      <w:r>
        <w:rPr>
          <w:sz w:val="12"/>
        </w:rPr>
        <w:t>su</w:t>
      </w:r>
      <w:r>
        <w:rPr>
          <w:spacing w:val="-4"/>
          <w:sz w:val="12"/>
        </w:rPr>
        <w:t xml:space="preserve"> </w:t>
      </w:r>
      <w:r>
        <w:rPr>
          <w:sz w:val="12"/>
        </w:rPr>
        <w:t>origen</w:t>
      </w:r>
      <w:r>
        <w:rPr>
          <w:spacing w:val="-4"/>
          <w:sz w:val="12"/>
        </w:rPr>
        <w:t xml:space="preserve"> </w:t>
      </w:r>
      <w:r>
        <w:rPr>
          <w:sz w:val="12"/>
        </w:rPr>
        <w:t>racial</w:t>
      </w:r>
      <w:r>
        <w:rPr>
          <w:spacing w:val="-4"/>
          <w:sz w:val="12"/>
        </w:rPr>
        <w:t xml:space="preserve"> </w:t>
      </w:r>
      <w:r>
        <w:rPr>
          <w:sz w:val="12"/>
        </w:rPr>
        <w:t>o</w:t>
      </w:r>
      <w:r>
        <w:rPr>
          <w:spacing w:val="40"/>
          <w:sz w:val="12"/>
        </w:rPr>
        <w:t xml:space="preserve"> </w:t>
      </w:r>
      <w:r>
        <w:rPr>
          <w:sz w:val="12"/>
        </w:rPr>
        <w:t>étnico,</w:t>
      </w:r>
      <w:r>
        <w:rPr>
          <w:spacing w:val="-6"/>
          <w:sz w:val="12"/>
        </w:rPr>
        <w:t xml:space="preserve"> </w:t>
      </w:r>
      <w:r>
        <w:rPr>
          <w:sz w:val="12"/>
        </w:rPr>
        <w:t>art.</w:t>
      </w:r>
      <w:r>
        <w:rPr>
          <w:spacing w:val="-6"/>
          <w:sz w:val="12"/>
        </w:rPr>
        <w:t xml:space="preserve"> </w:t>
      </w:r>
      <w:r>
        <w:rPr>
          <w:sz w:val="12"/>
        </w:rPr>
        <w:t>2</w:t>
      </w:r>
      <w:r>
        <w:rPr>
          <w:spacing w:val="-6"/>
          <w:sz w:val="12"/>
        </w:rPr>
        <w:t xml:space="preserve"> </w:t>
      </w:r>
      <w:r>
        <w:rPr>
          <w:sz w:val="12"/>
        </w:rPr>
        <w:t>(2)</w:t>
      </w:r>
      <w:r>
        <w:rPr>
          <w:spacing w:val="-6"/>
          <w:sz w:val="12"/>
        </w:rPr>
        <w:t xml:space="preserve"> </w:t>
      </w:r>
      <w:r>
        <w:rPr>
          <w:sz w:val="12"/>
        </w:rPr>
        <w:t>(a);</w:t>
      </w:r>
      <w:r>
        <w:rPr>
          <w:spacing w:val="-6"/>
          <w:sz w:val="12"/>
        </w:rPr>
        <w:t xml:space="preserve"> </w:t>
      </w:r>
      <w:r>
        <w:rPr>
          <w:sz w:val="12"/>
        </w:rPr>
        <w:t>Directiva</w:t>
      </w:r>
      <w:r>
        <w:rPr>
          <w:spacing w:val="-6"/>
          <w:sz w:val="12"/>
        </w:rPr>
        <w:t xml:space="preserve"> </w:t>
      </w:r>
      <w:r>
        <w:rPr>
          <w:sz w:val="12"/>
        </w:rPr>
        <w:t>2000/78/CE</w:t>
      </w:r>
      <w:r>
        <w:rPr>
          <w:spacing w:val="-6"/>
          <w:sz w:val="12"/>
        </w:rPr>
        <w:t xml:space="preserve"> </w:t>
      </w:r>
      <w:r>
        <w:rPr>
          <w:sz w:val="12"/>
        </w:rPr>
        <w:t>del</w:t>
      </w:r>
      <w:r>
        <w:rPr>
          <w:spacing w:val="-6"/>
          <w:sz w:val="12"/>
        </w:rPr>
        <w:t xml:space="preserve"> </w:t>
      </w:r>
      <w:r>
        <w:rPr>
          <w:sz w:val="12"/>
        </w:rPr>
        <w:t>Consejo,</w:t>
      </w:r>
      <w:r>
        <w:rPr>
          <w:spacing w:val="-5"/>
          <w:sz w:val="12"/>
        </w:rPr>
        <w:t xml:space="preserve"> </w:t>
      </w:r>
      <w:r>
        <w:rPr>
          <w:sz w:val="12"/>
        </w:rPr>
        <w:t>de</w:t>
      </w:r>
      <w:r>
        <w:rPr>
          <w:spacing w:val="-6"/>
          <w:sz w:val="12"/>
        </w:rPr>
        <w:t xml:space="preserve"> </w:t>
      </w:r>
      <w:r>
        <w:rPr>
          <w:sz w:val="12"/>
        </w:rPr>
        <w:t>27</w:t>
      </w:r>
      <w:r>
        <w:rPr>
          <w:spacing w:val="-6"/>
          <w:sz w:val="12"/>
        </w:rPr>
        <w:t xml:space="preserve"> </w:t>
      </w:r>
      <w:r>
        <w:rPr>
          <w:sz w:val="12"/>
        </w:rPr>
        <w:t>de</w:t>
      </w:r>
      <w:r>
        <w:rPr>
          <w:spacing w:val="-6"/>
          <w:sz w:val="12"/>
        </w:rPr>
        <w:t xml:space="preserve"> </w:t>
      </w:r>
      <w:r>
        <w:rPr>
          <w:sz w:val="12"/>
        </w:rPr>
        <w:t>noviembre</w:t>
      </w:r>
      <w:r>
        <w:rPr>
          <w:spacing w:val="-6"/>
          <w:sz w:val="12"/>
        </w:rPr>
        <w:t xml:space="preserve"> </w:t>
      </w:r>
      <w:r>
        <w:rPr>
          <w:sz w:val="12"/>
        </w:rPr>
        <w:t>de</w:t>
      </w:r>
      <w:r>
        <w:rPr>
          <w:spacing w:val="-6"/>
          <w:sz w:val="12"/>
        </w:rPr>
        <w:t xml:space="preserve"> </w:t>
      </w:r>
      <w:r>
        <w:rPr>
          <w:sz w:val="12"/>
        </w:rPr>
        <w:t>2000,</w:t>
      </w:r>
      <w:r>
        <w:rPr>
          <w:spacing w:val="-6"/>
          <w:sz w:val="12"/>
        </w:rPr>
        <w:t xml:space="preserve"> </w:t>
      </w:r>
      <w:r>
        <w:rPr>
          <w:sz w:val="12"/>
        </w:rPr>
        <w:t>por</w:t>
      </w:r>
      <w:r>
        <w:rPr>
          <w:spacing w:val="-6"/>
          <w:sz w:val="12"/>
        </w:rPr>
        <w:t xml:space="preserve"> </w:t>
      </w:r>
      <w:r>
        <w:rPr>
          <w:sz w:val="12"/>
        </w:rPr>
        <w:t>la</w:t>
      </w:r>
      <w:r>
        <w:rPr>
          <w:spacing w:val="-6"/>
          <w:sz w:val="12"/>
        </w:rPr>
        <w:t xml:space="preserve"> </w:t>
      </w:r>
      <w:r>
        <w:rPr>
          <w:sz w:val="12"/>
        </w:rPr>
        <w:t>que</w:t>
      </w:r>
      <w:r>
        <w:rPr>
          <w:spacing w:val="-6"/>
          <w:sz w:val="12"/>
        </w:rPr>
        <w:t xml:space="preserve"> </w:t>
      </w:r>
      <w:r>
        <w:rPr>
          <w:sz w:val="12"/>
        </w:rPr>
        <w:t>se</w:t>
      </w:r>
      <w:r>
        <w:rPr>
          <w:spacing w:val="-6"/>
          <w:sz w:val="12"/>
        </w:rPr>
        <w:t xml:space="preserve"> </w:t>
      </w:r>
      <w:r>
        <w:rPr>
          <w:sz w:val="12"/>
        </w:rPr>
        <w:t>establece</w:t>
      </w:r>
      <w:r>
        <w:rPr>
          <w:spacing w:val="-6"/>
          <w:sz w:val="12"/>
        </w:rPr>
        <w:t xml:space="preserve"> </w:t>
      </w:r>
      <w:r>
        <w:rPr>
          <w:sz w:val="12"/>
        </w:rPr>
        <w:t>un</w:t>
      </w:r>
      <w:r>
        <w:rPr>
          <w:spacing w:val="-6"/>
          <w:sz w:val="12"/>
        </w:rPr>
        <w:t xml:space="preserve"> </w:t>
      </w:r>
      <w:r>
        <w:rPr>
          <w:sz w:val="12"/>
        </w:rPr>
        <w:t>marco</w:t>
      </w:r>
      <w:r>
        <w:rPr>
          <w:spacing w:val="-6"/>
          <w:sz w:val="12"/>
        </w:rPr>
        <w:t xml:space="preserve"> </w:t>
      </w:r>
      <w:r>
        <w:rPr>
          <w:sz w:val="12"/>
        </w:rPr>
        <w:t>general</w:t>
      </w:r>
      <w:r>
        <w:rPr>
          <w:spacing w:val="-6"/>
          <w:sz w:val="12"/>
        </w:rPr>
        <w:t xml:space="preserve"> </w:t>
      </w:r>
      <w:r>
        <w:rPr>
          <w:sz w:val="12"/>
        </w:rPr>
        <w:t>para</w:t>
      </w:r>
      <w:r>
        <w:rPr>
          <w:spacing w:val="-6"/>
          <w:sz w:val="12"/>
        </w:rPr>
        <w:t xml:space="preserve"> </w:t>
      </w:r>
      <w:r>
        <w:rPr>
          <w:sz w:val="12"/>
        </w:rPr>
        <w:t>la</w:t>
      </w:r>
      <w:r>
        <w:rPr>
          <w:spacing w:val="-6"/>
          <w:sz w:val="12"/>
        </w:rPr>
        <w:t xml:space="preserve"> </w:t>
      </w:r>
      <w:r>
        <w:rPr>
          <w:sz w:val="12"/>
        </w:rPr>
        <w:t>igualdad</w:t>
      </w:r>
      <w:r>
        <w:rPr>
          <w:spacing w:val="-6"/>
          <w:sz w:val="12"/>
        </w:rPr>
        <w:t xml:space="preserve"> </w:t>
      </w:r>
      <w:r>
        <w:rPr>
          <w:sz w:val="12"/>
        </w:rPr>
        <w:t>de</w:t>
      </w:r>
      <w:r>
        <w:rPr>
          <w:spacing w:val="-6"/>
          <w:sz w:val="12"/>
        </w:rPr>
        <w:t xml:space="preserve"> </w:t>
      </w:r>
      <w:r>
        <w:rPr>
          <w:sz w:val="12"/>
        </w:rPr>
        <w:t>trato</w:t>
      </w:r>
      <w:r>
        <w:rPr>
          <w:spacing w:val="-6"/>
          <w:sz w:val="12"/>
        </w:rPr>
        <w:t xml:space="preserve"> </w:t>
      </w:r>
      <w:r>
        <w:rPr>
          <w:sz w:val="12"/>
        </w:rPr>
        <w:t>en</w:t>
      </w:r>
      <w:r>
        <w:rPr>
          <w:spacing w:val="-6"/>
          <w:sz w:val="12"/>
        </w:rPr>
        <w:t xml:space="preserve"> </w:t>
      </w:r>
      <w:r>
        <w:rPr>
          <w:sz w:val="12"/>
        </w:rPr>
        <w:t>el</w:t>
      </w:r>
      <w:r>
        <w:rPr>
          <w:spacing w:val="40"/>
          <w:sz w:val="12"/>
        </w:rPr>
        <w:t xml:space="preserve"> </w:t>
      </w:r>
      <w:r>
        <w:rPr>
          <w:sz w:val="12"/>
        </w:rPr>
        <w:t>empleo</w:t>
      </w:r>
      <w:r>
        <w:rPr>
          <w:spacing w:val="-6"/>
          <w:sz w:val="12"/>
        </w:rPr>
        <w:t xml:space="preserve"> </w:t>
      </w:r>
      <w:r>
        <w:rPr>
          <w:sz w:val="12"/>
        </w:rPr>
        <w:t>y</w:t>
      </w:r>
      <w:r>
        <w:rPr>
          <w:spacing w:val="-6"/>
          <w:sz w:val="12"/>
        </w:rPr>
        <w:t xml:space="preserve"> </w:t>
      </w:r>
      <w:r>
        <w:rPr>
          <w:sz w:val="12"/>
        </w:rPr>
        <w:t>la</w:t>
      </w:r>
      <w:r>
        <w:rPr>
          <w:spacing w:val="-6"/>
          <w:sz w:val="12"/>
        </w:rPr>
        <w:t xml:space="preserve"> </w:t>
      </w:r>
      <w:r>
        <w:rPr>
          <w:sz w:val="12"/>
        </w:rPr>
        <w:t>ocupación,</w:t>
      </w:r>
      <w:r>
        <w:rPr>
          <w:spacing w:val="-5"/>
          <w:sz w:val="12"/>
        </w:rPr>
        <w:t xml:space="preserve"> </w:t>
      </w:r>
      <w:r>
        <w:rPr>
          <w:sz w:val="12"/>
        </w:rPr>
        <w:t>art.</w:t>
      </w:r>
      <w:r>
        <w:rPr>
          <w:spacing w:val="-6"/>
          <w:sz w:val="12"/>
        </w:rPr>
        <w:t xml:space="preserve"> </w:t>
      </w:r>
      <w:r>
        <w:rPr>
          <w:sz w:val="12"/>
        </w:rPr>
        <w:t>2</w:t>
      </w:r>
      <w:r>
        <w:rPr>
          <w:spacing w:val="-6"/>
          <w:sz w:val="12"/>
        </w:rPr>
        <w:t xml:space="preserve"> </w:t>
      </w:r>
      <w:r>
        <w:rPr>
          <w:sz w:val="12"/>
        </w:rPr>
        <w:t>(2)</w:t>
      </w:r>
      <w:r>
        <w:rPr>
          <w:spacing w:val="-6"/>
          <w:sz w:val="12"/>
        </w:rPr>
        <w:t xml:space="preserve"> </w:t>
      </w:r>
      <w:r>
        <w:rPr>
          <w:sz w:val="12"/>
        </w:rPr>
        <w:t>(a);</w:t>
      </w:r>
      <w:r>
        <w:rPr>
          <w:spacing w:val="-6"/>
          <w:sz w:val="12"/>
        </w:rPr>
        <w:t xml:space="preserve"> </w:t>
      </w:r>
      <w:r>
        <w:rPr>
          <w:sz w:val="12"/>
        </w:rPr>
        <w:t>Directiva</w:t>
      </w:r>
      <w:r>
        <w:rPr>
          <w:spacing w:val="-6"/>
          <w:sz w:val="12"/>
        </w:rPr>
        <w:t xml:space="preserve"> </w:t>
      </w:r>
      <w:r>
        <w:rPr>
          <w:sz w:val="12"/>
        </w:rPr>
        <w:t>2004/113/CE</w:t>
      </w:r>
      <w:r>
        <w:rPr>
          <w:spacing w:val="-6"/>
          <w:sz w:val="12"/>
        </w:rPr>
        <w:t xml:space="preserve"> </w:t>
      </w:r>
      <w:r>
        <w:rPr>
          <w:sz w:val="12"/>
        </w:rPr>
        <w:t>del</w:t>
      </w:r>
      <w:r>
        <w:rPr>
          <w:spacing w:val="-6"/>
          <w:sz w:val="12"/>
        </w:rPr>
        <w:t xml:space="preserve"> </w:t>
      </w:r>
      <w:r>
        <w:rPr>
          <w:sz w:val="12"/>
        </w:rPr>
        <w:t>Consejo,</w:t>
      </w:r>
      <w:r>
        <w:rPr>
          <w:spacing w:val="-5"/>
          <w:sz w:val="12"/>
        </w:rPr>
        <w:t xml:space="preserve"> </w:t>
      </w:r>
      <w:r>
        <w:rPr>
          <w:sz w:val="12"/>
        </w:rPr>
        <w:t>de</w:t>
      </w:r>
      <w:r>
        <w:rPr>
          <w:spacing w:val="-6"/>
          <w:sz w:val="12"/>
        </w:rPr>
        <w:t xml:space="preserve"> </w:t>
      </w:r>
      <w:r>
        <w:rPr>
          <w:sz w:val="12"/>
        </w:rPr>
        <w:t>13</w:t>
      </w:r>
      <w:r>
        <w:rPr>
          <w:spacing w:val="-6"/>
          <w:sz w:val="12"/>
        </w:rPr>
        <w:t xml:space="preserve"> </w:t>
      </w:r>
      <w:r>
        <w:rPr>
          <w:sz w:val="12"/>
        </w:rPr>
        <w:t>de</w:t>
      </w:r>
      <w:r>
        <w:rPr>
          <w:spacing w:val="-6"/>
          <w:sz w:val="12"/>
        </w:rPr>
        <w:t xml:space="preserve"> </w:t>
      </w:r>
      <w:r>
        <w:rPr>
          <w:sz w:val="12"/>
        </w:rPr>
        <w:t>diciembre</w:t>
      </w:r>
      <w:r>
        <w:rPr>
          <w:spacing w:val="-6"/>
          <w:sz w:val="12"/>
        </w:rPr>
        <w:t xml:space="preserve"> </w:t>
      </w:r>
      <w:r>
        <w:rPr>
          <w:sz w:val="12"/>
        </w:rPr>
        <w:t>de</w:t>
      </w:r>
      <w:r>
        <w:rPr>
          <w:spacing w:val="-6"/>
          <w:sz w:val="12"/>
        </w:rPr>
        <w:t xml:space="preserve"> </w:t>
      </w:r>
      <w:r>
        <w:rPr>
          <w:sz w:val="12"/>
        </w:rPr>
        <w:t>2004,</w:t>
      </w:r>
      <w:r>
        <w:rPr>
          <w:spacing w:val="-6"/>
          <w:sz w:val="12"/>
        </w:rPr>
        <w:t xml:space="preserve"> </w:t>
      </w:r>
      <w:r>
        <w:rPr>
          <w:sz w:val="12"/>
        </w:rPr>
        <w:t>por</w:t>
      </w:r>
      <w:r>
        <w:rPr>
          <w:spacing w:val="-6"/>
          <w:sz w:val="12"/>
        </w:rPr>
        <w:t xml:space="preserve"> </w:t>
      </w:r>
      <w:r>
        <w:rPr>
          <w:sz w:val="12"/>
        </w:rPr>
        <w:t>la</w:t>
      </w:r>
      <w:r>
        <w:rPr>
          <w:spacing w:val="-6"/>
          <w:sz w:val="12"/>
        </w:rPr>
        <w:t xml:space="preserve"> </w:t>
      </w:r>
      <w:r>
        <w:rPr>
          <w:sz w:val="12"/>
        </w:rPr>
        <w:t>que</w:t>
      </w:r>
      <w:r>
        <w:rPr>
          <w:spacing w:val="-6"/>
          <w:sz w:val="12"/>
        </w:rPr>
        <w:t xml:space="preserve"> </w:t>
      </w:r>
      <w:r>
        <w:rPr>
          <w:sz w:val="12"/>
        </w:rPr>
        <w:t>se</w:t>
      </w:r>
      <w:r>
        <w:rPr>
          <w:spacing w:val="-6"/>
          <w:sz w:val="12"/>
        </w:rPr>
        <w:t xml:space="preserve"> </w:t>
      </w:r>
      <w:r>
        <w:rPr>
          <w:sz w:val="12"/>
        </w:rPr>
        <w:t>aplica</w:t>
      </w:r>
      <w:r>
        <w:rPr>
          <w:spacing w:val="-6"/>
          <w:sz w:val="12"/>
        </w:rPr>
        <w:t xml:space="preserve"> </w:t>
      </w:r>
      <w:r>
        <w:rPr>
          <w:sz w:val="12"/>
        </w:rPr>
        <w:t>el</w:t>
      </w:r>
      <w:r>
        <w:rPr>
          <w:spacing w:val="-6"/>
          <w:sz w:val="12"/>
        </w:rPr>
        <w:t xml:space="preserve"> </w:t>
      </w:r>
      <w:r>
        <w:rPr>
          <w:sz w:val="12"/>
        </w:rPr>
        <w:t>principio</w:t>
      </w:r>
      <w:r>
        <w:rPr>
          <w:spacing w:val="-6"/>
          <w:sz w:val="12"/>
        </w:rPr>
        <w:t xml:space="preserve"> </w:t>
      </w:r>
      <w:r>
        <w:rPr>
          <w:sz w:val="12"/>
        </w:rPr>
        <w:t>de</w:t>
      </w:r>
      <w:r>
        <w:rPr>
          <w:spacing w:val="-6"/>
          <w:sz w:val="12"/>
        </w:rPr>
        <w:t xml:space="preserve"> </w:t>
      </w:r>
      <w:r>
        <w:rPr>
          <w:sz w:val="12"/>
        </w:rPr>
        <w:t>igualdad</w:t>
      </w:r>
      <w:r>
        <w:rPr>
          <w:spacing w:val="-6"/>
          <w:sz w:val="12"/>
        </w:rPr>
        <w:t xml:space="preserve"> </w:t>
      </w:r>
      <w:r>
        <w:rPr>
          <w:sz w:val="12"/>
        </w:rPr>
        <w:t>de</w:t>
      </w:r>
      <w:r>
        <w:rPr>
          <w:spacing w:val="-6"/>
          <w:sz w:val="12"/>
        </w:rPr>
        <w:t xml:space="preserve"> </w:t>
      </w:r>
      <w:r>
        <w:rPr>
          <w:sz w:val="12"/>
        </w:rPr>
        <w:t>trato</w:t>
      </w:r>
      <w:r>
        <w:rPr>
          <w:spacing w:val="-6"/>
          <w:sz w:val="12"/>
        </w:rPr>
        <w:t xml:space="preserve"> </w:t>
      </w:r>
      <w:r>
        <w:rPr>
          <w:sz w:val="12"/>
        </w:rPr>
        <w:t>entre</w:t>
      </w:r>
    </w:p>
    <w:p w14:paraId="70A31B70" w14:textId="77777777" w:rsidR="0014798C" w:rsidRDefault="004E1F0B">
      <w:pPr>
        <w:spacing w:before="1" w:line="312" w:lineRule="auto"/>
        <w:ind w:left="1367" w:right="1418" w:hanging="2"/>
        <w:rPr>
          <w:sz w:val="12"/>
        </w:rPr>
      </w:pPr>
      <w:r>
        <w:rPr>
          <w:sz w:val="12"/>
        </w:rPr>
        <w:t>hombres</w:t>
      </w:r>
      <w:r>
        <w:rPr>
          <w:spacing w:val="-7"/>
          <w:sz w:val="12"/>
        </w:rPr>
        <w:t xml:space="preserve"> </w:t>
      </w:r>
      <w:r>
        <w:rPr>
          <w:sz w:val="12"/>
        </w:rPr>
        <w:t>y</w:t>
      </w:r>
      <w:r>
        <w:rPr>
          <w:spacing w:val="-7"/>
          <w:sz w:val="12"/>
        </w:rPr>
        <w:t xml:space="preserve"> </w:t>
      </w:r>
      <w:r>
        <w:rPr>
          <w:sz w:val="12"/>
        </w:rPr>
        <w:t>mujeres</w:t>
      </w:r>
      <w:r>
        <w:rPr>
          <w:spacing w:val="-7"/>
          <w:sz w:val="12"/>
        </w:rPr>
        <w:t xml:space="preserve"> </w:t>
      </w:r>
      <w:r>
        <w:rPr>
          <w:sz w:val="12"/>
        </w:rPr>
        <w:t>en</w:t>
      </w:r>
      <w:r>
        <w:rPr>
          <w:spacing w:val="-7"/>
          <w:sz w:val="12"/>
        </w:rPr>
        <w:t xml:space="preserve"> </w:t>
      </w:r>
      <w:r>
        <w:rPr>
          <w:sz w:val="12"/>
        </w:rPr>
        <w:t>el</w:t>
      </w:r>
      <w:r>
        <w:rPr>
          <w:spacing w:val="-7"/>
          <w:sz w:val="12"/>
        </w:rPr>
        <w:t xml:space="preserve"> </w:t>
      </w:r>
      <w:r>
        <w:rPr>
          <w:sz w:val="12"/>
        </w:rPr>
        <w:t>acceso</w:t>
      </w:r>
      <w:r>
        <w:rPr>
          <w:spacing w:val="-7"/>
          <w:sz w:val="12"/>
        </w:rPr>
        <w:t xml:space="preserve"> </w:t>
      </w:r>
      <w:r>
        <w:rPr>
          <w:sz w:val="12"/>
        </w:rPr>
        <w:t>y</w:t>
      </w:r>
      <w:r>
        <w:rPr>
          <w:spacing w:val="-7"/>
          <w:sz w:val="12"/>
        </w:rPr>
        <w:t xml:space="preserve"> </w:t>
      </w:r>
      <w:r>
        <w:rPr>
          <w:sz w:val="12"/>
        </w:rPr>
        <w:t>suministro</w:t>
      </w:r>
      <w:r>
        <w:rPr>
          <w:spacing w:val="-7"/>
          <w:sz w:val="12"/>
        </w:rPr>
        <w:t xml:space="preserve"> </w:t>
      </w:r>
      <w:r>
        <w:rPr>
          <w:sz w:val="12"/>
        </w:rPr>
        <w:t>de</w:t>
      </w:r>
      <w:r>
        <w:rPr>
          <w:spacing w:val="-7"/>
          <w:sz w:val="12"/>
        </w:rPr>
        <w:t xml:space="preserve"> </w:t>
      </w:r>
      <w:r>
        <w:rPr>
          <w:sz w:val="12"/>
        </w:rPr>
        <w:t>bienes</w:t>
      </w:r>
      <w:r>
        <w:rPr>
          <w:spacing w:val="-7"/>
          <w:sz w:val="12"/>
        </w:rPr>
        <w:t xml:space="preserve"> </w:t>
      </w:r>
      <w:r>
        <w:rPr>
          <w:sz w:val="12"/>
        </w:rPr>
        <w:t>y</w:t>
      </w:r>
      <w:r>
        <w:rPr>
          <w:spacing w:val="-7"/>
          <w:sz w:val="12"/>
        </w:rPr>
        <w:t xml:space="preserve"> </w:t>
      </w:r>
      <w:r>
        <w:rPr>
          <w:sz w:val="12"/>
        </w:rPr>
        <w:t>servicios,</w:t>
      </w:r>
      <w:r>
        <w:rPr>
          <w:spacing w:val="-6"/>
          <w:sz w:val="12"/>
        </w:rPr>
        <w:t xml:space="preserve"> </w:t>
      </w:r>
      <w:r>
        <w:rPr>
          <w:sz w:val="12"/>
        </w:rPr>
        <w:t>art.</w:t>
      </w:r>
      <w:r>
        <w:rPr>
          <w:spacing w:val="-7"/>
          <w:sz w:val="12"/>
        </w:rPr>
        <w:t xml:space="preserve"> </w:t>
      </w:r>
      <w:r>
        <w:rPr>
          <w:sz w:val="12"/>
        </w:rPr>
        <w:t>2</w:t>
      </w:r>
      <w:r>
        <w:rPr>
          <w:spacing w:val="-7"/>
          <w:sz w:val="12"/>
        </w:rPr>
        <w:t xml:space="preserve"> </w:t>
      </w:r>
      <w:r>
        <w:rPr>
          <w:sz w:val="12"/>
        </w:rPr>
        <w:t>(a);</w:t>
      </w:r>
      <w:r>
        <w:rPr>
          <w:spacing w:val="-7"/>
          <w:sz w:val="12"/>
        </w:rPr>
        <w:t xml:space="preserve"> </w:t>
      </w:r>
      <w:r>
        <w:rPr>
          <w:sz w:val="12"/>
        </w:rPr>
        <w:t>y</w:t>
      </w:r>
      <w:r>
        <w:rPr>
          <w:spacing w:val="-7"/>
          <w:sz w:val="12"/>
        </w:rPr>
        <w:t xml:space="preserve"> </w:t>
      </w:r>
      <w:r>
        <w:rPr>
          <w:sz w:val="12"/>
        </w:rPr>
        <w:t>Directiva</w:t>
      </w:r>
      <w:r>
        <w:rPr>
          <w:spacing w:val="-7"/>
          <w:sz w:val="12"/>
        </w:rPr>
        <w:t xml:space="preserve"> </w:t>
      </w:r>
      <w:r>
        <w:rPr>
          <w:sz w:val="12"/>
        </w:rPr>
        <w:t>2006/54/CE</w:t>
      </w:r>
      <w:r>
        <w:rPr>
          <w:spacing w:val="-7"/>
          <w:sz w:val="12"/>
        </w:rPr>
        <w:t xml:space="preserve"> </w:t>
      </w:r>
      <w:r>
        <w:rPr>
          <w:sz w:val="12"/>
        </w:rPr>
        <w:t>del</w:t>
      </w:r>
      <w:r>
        <w:rPr>
          <w:spacing w:val="-7"/>
          <w:sz w:val="12"/>
        </w:rPr>
        <w:t xml:space="preserve"> </w:t>
      </w:r>
      <w:r>
        <w:rPr>
          <w:sz w:val="12"/>
        </w:rPr>
        <w:t>Parlamento</w:t>
      </w:r>
      <w:r>
        <w:rPr>
          <w:spacing w:val="-7"/>
          <w:sz w:val="12"/>
        </w:rPr>
        <w:t xml:space="preserve"> </w:t>
      </w:r>
      <w:r>
        <w:rPr>
          <w:sz w:val="12"/>
        </w:rPr>
        <w:t>Europeo</w:t>
      </w:r>
      <w:r>
        <w:rPr>
          <w:spacing w:val="-7"/>
          <w:sz w:val="12"/>
        </w:rPr>
        <w:t xml:space="preserve"> </w:t>
      </w:r>
      <w:r>
        <w:rPr>
          <w:sz w:val="12"/>
        </w:rPr>
        <w:t>y</w:t>
      </w:r>
      <w:r>
        <w:rPr>
          <w:spacing w:val="-7"/>
          <w:sz w:val="12"/>
        </w:rPr>
        <w:t xml:space="preserve"> </w:t>
      </w:r>
      <w:r>
        <w:rPr>
          <w:sz w:val="12"/>
        </w:rPr>
        <w:t>del</w:t>
      </w:r>
      <w:r>
        <w:rPr>
          <w:spacing w:val="-7"/>
          <w:sz w:val="12"/>
        </w:rPr>
        <w:t xml:space="preserve"> </w:t>
      </w:r>
      <w:r>
        <w:rPr>
          <w:sz w:val="12"/>
        </w:rPr>
        <w:t>Consejo,</w:t>
      </w:r>
      <w:r>
        <w:rPr>
          <w:spacing w:val="-6"/>
          <w:sz w:val="12"/>
        </w:rPr>
        <w:t xml:space="preserve"> </w:t>
      </w:r>
      <w:r>
        <w:rPr>
          <w:sz w:val="12"/>
        </w:rPr>
        <w:t>de</w:t>
      </w:r>
      <w:r>
        <w:rPr>
          <w:spacing w:val="-7"/>
          <w:sz w:val="12"/>
        </w:rPr>
        <w:t xml:space="preserve"> </w:t>
      </w:r>
      <w:r>
        <w:rPr>
          <w:sz w:val="12"/>
        </w:rPr>
        <w:t>5</w:t>
      </w:r>
      <w:r>
        <w:rPr>
          <w:spacing w:val="-7"/>
          <w:sz w:val="12"/>
        </w:rPr>
        <w:t xml:space="preserve"> </w:t>
      </w:r>
      <w:r>
        <w:rPr>
          <w:sz w:val="12"/>
        </w:rPr>
        <w:t>de</w:t>
      </w:r>
      <w:r>
        <w:rPr>
          <w:spacing w:val="-7"/>
          <w:sz w:val="12"/>
        </w:rPr>
        <w:t xml:space="preserve"> </w:t>
      </w:r>
      <w:r>
        <w:rPr>
          <w:sz w:val="12"/>
        </w:rPr>
        <w:t>julio</w:t>
      </w:r>
      <w:r>
        <w:rPr>
          <w:spacing w:val="-7"/>
          <w:sz w:val="12"/>
        </w:rPr>
        <w:t xml:space="preserve"> </w:t>
      </w:r>
      <w:r>
        <w:rPr>
          <w:sz w:val="12"/>
        </w:rPr>
        <w:t>de</w:t>
      </w:r>
      <w:r>
        <w:rPr>
          <w:spacing w:val="-7"/>
          <w:sz w:val="12"/>
        </w:rPr>
        <w:t xml:space="preserve"> </w:t>
      </w:r>
      <w:r>
        <w:rPr>
          <w:sz w:val="12"/>
        </w:rPr>
        <w:t>2006,</w:t>
      </w:r>
      <w:r>
        <w:rPr>
          <w:spacing w:val="-7"/>
          <w:sz w:val="12"/>
        </w:rPr>
        <w:t xml:space="preserve"> </w:t>
      </w:r>
      <w:r>
        <w:rPr>
          <w:sz w:val="12"/>
        </w:rPr>
        <w:t>sobre</w:t>
      </w:r>
      <w:r>
        <w:rPr>
          <w:spacing w:val="40"/>
          <w:sz w:val="12"/>
        </w:rPr>
        <w:t xml:space="preserve"> </w:t>
      </w:r>
      <w:r>
        <w:rPr>
          <w:sz w:val="12"/>
        </w:rPr>
        <w:t>la</w:t>
      </w:r>
      <w:r>
        <w:rPr>
          <w:spacing w:val="-3"/>
          <w:sz w:val="12"/>
        </w:rPr>
        <w:t xml:space="preserve"> </w:t>
      </w:r>
      <w:r>
        <w:rPr>
          <w:sz w:val="12"/>
        </w:rPr>
        <w:t>aplicación</w:t>
      </w:r>
      <w:r>
        <w:rPr>
          <w:spacing w:val="-3"/>
          <w:sz w:val="12"/>
        </w:rPr>
        <w:t xml:space="preserve"> </w:t>
      </w:r>
      <w:r>
        <w:rPr>
          <w:sz w:val="12"/>
        </w:rPr>
        <w:t>del</w:t>
      </w:r>
      <w:r>
        <w:rPr>
          <w:spacing w:val="-3"/>
          <w:sz w:val="12"/>
        </w:rPr>
        <w:t xml:space="preserve"> </w:t>
      </w:r>
      <w:r>
        <w:rPr>
          <w:sz w:val="12"/>
        </w:rPr>
        <w:t>principio</w:t>
      </w:r>
      <w:r>
        <w:rPr>
          <w:spacing w:val="-3"/>
          <w:sz w:val="12"/>
        </w:rPr>
        <w:t xml:space="preserve"> </w:t>
      </w:r>
      <w:r>
        <w:rPr>
          <w:sz w:val="12"/>
        </w:rPr>
        <w:t>de</w:t>
      </w:r>
      <w:r>
        <w:rPr>
          <w:spacing w:val="-3"/>
          <w:sz w:val="12"/>
        </w:rPr>
        <w:t xml:space="preserve"> </w:t>
      </w:r>
      <w:r>
        <w:rPr>
          <w:sz w:val="12"/>
        </w:rPr>
        <w:t>igualdad</w:t>
      </w:r>
      <w:r>
        <w:rPr>
          <w:spacing w:val="-3"/>
          <w:sz w:val="12"/>
        </w:rPr>
        <w:t xml:space="preserve"> </w:t>
      </w:r>
      <w:r>
        <w:rPr>
          <w:sz w:val="12"/>
        </w:rPr>
        <w:t>de</w:t>
      </w:r>
      <w:r>
        <w:rPr>
          <w:spacing w:val="-3"/>
          <w:sz w:val="12"/>
        </w:rPr>
        <w:t xml:space="preserve"> </w:t>
      </w:r>
      <w:r>
        <w:rPr>
          <w:sz w:val="12"/>
        </w:rPr>
        <w:t>oportunidades</w:t>
      </w:r>
      <w:r>
        <w:rPr>
          <w:spacing w:val="-3"/>
          <w:sz w:val="12"/>
        </w:rPr>
        <w:t xml:space="preserve"> </w:t>
      </w:r>
      <w:r>
        <w:rPr>
          <w:sz w:val="12"/>
        </w:rPr>
        <w:t>e</w:t>
      </w:r>
      <w:r>
        <w:rPr>
          <w:spacing w:val="-3"/>
          <w:sz w:val="12"/>
        </w:rPr>
        <w:t xml:space="preserve"> </w:t>
      </w:r>
      <w:r>
        <w:rPr>
          <w:sz w:val="12"/>
        </w:rPr>
        <w:t>igualdad</w:t>
      </w:r>
      <w:r>
        <w:rPr>
          <w:spacing w:val="-3"/>
          <w:sz w:val="12"/>
        </w:rPr>
        <w:t xml:space="preserve"> </w:t>
      </w:r>
      <w:r>
        <w:rPr>
          <w:sz w:val="12"/>
        </w:rPr>
        <w:t>de</w:t>
      </w:r>
      <w:r>
        <w:rPr>
          <w:spacing w:val="-3"/>
          <w:sz w:val="12"/>
        </w:rPr>
        <w:t xml:space="preserve"> </w:t>
      </w:r>
      <w:r>
        <w:rPr>
          <w:sz w:val="12"/>
        </w:rPr>
        <w:t>trato</w:t>
      </w:r>
      <w:r>
        <w:rPr>
          <w:spacing w:val="-3"/>
          <w:sz w:val="12"/>
        </w:rPr>
        <w:t xml:space="preserve"> </w:t>
      </w:r>
      <w:r>
        <w:rPr>
          <w:sz w:val="12"/>
        </w:rPr>
        <w:t>entre</w:t>
      </w:r>
      <w:r>
        <w:rPr>
          <w:spacing w:val="-3"/>
          <w:sz w:val="12"/>
        </w:rPr>
        <w:t xml:space="preserve"> </w:t>
      </w:r>
      <w:r>
        <w:rPr>
          <w:sz w:val="12"/>
        </w:rPr>
        <w:t>hombres</w:t>
      </w:r>
      <w:r>
        <w:rPr>
          <w:spacing w:val="-3"/>
          <w:sz w:val="12"/>
        </w:rPr>
        <w:t xml:space="preserve"> </w:t>
      </w:r>
      <w:r>
        <w:rPr>
          <w:sz w:val="12"/>
        </w:rPr>
        <w:t>y</w:t>
      </w:r>
      <w:r>
        <w:rPr>
          <w:spacing w:val="-3"/>
          <w:sz w:val="12"/>
        </w:rPr>
        <w:t xml:space="preserve"> </w:t>
      </w:r>
      <w:r>
        <w:rPr>
          <w:sz w:val="12"/>
        </w:rPr>
        <w:t>mujeres</w:t>
      </w:r>
      <w:r>
        <w:rPr>
          <w:spacing w:val="-3"/>
          <w:sz w:val="12"/>
        </w:rPr>
        <w:t xml:space="preserve"> </w:t>
      </w:r>
      <w:r>
        <w:rPr>
          <w:sz w:val="12"/>
        </w:rPr>
        <w:t>en</w:t>
      </w:r>
      <w:r>
        <w:rPr>
          <w:spacing w:val="-3"/>
          <w:sz w:val="12"/>
        </w:rPr>
        <w:t xml:space="preserve"> </w:t>
      </w:r>
      <w:r>
        <w:rPr>
          <w:sz w:val="12"/>
        </w:rPr>
        <w:t>materia</w:t>
      </w:r>
      <w:r>
        <w:rPr>
          <w:spacing w:val="-3"/>
          <w:sz w:val="12"/>
        </w:rPr>
        <w:t xml:space="preserve"> </w:t>
      </w:r>
      <w:r>
        <w:rPr>
          <w:sz w:val="12"/>
        </w:rPr>
        <w:t>de</w:t>
      </w:r>
      <w:r>
        <w:rPr>
          <w:spacing w:val="-3"/>
          <w:sz w:val="12"/>
        </w:rPr>
        <w:t xml:space="preserve"> </w:t>
      </w:r>
      <w:r>
        <w:rPr>
          <w:sz w:val="12"/>
        </w:rPr>
        <w:t>empleo</w:t>
      </w:r>
      <w:r>
        <w:rPr>
          <w:spacing w:val="-3"/>
          <w:sz w:val="12"/>
        </w:rPr>
        <w:t xml:space="preserve"> </w:t>
      </w:r>
      <w:r>
        <w:rPr>
          <w:sz w:val="12"/>
        </w:rPr>
        <w:t>y</w:t>
      </w:r>
      <w:r>
        <w:rPr>
          <w:spacing w:val="-3"/>
          <w:sz w:val="12"/>
        </w:rPr>
        <w:t xml:space="preserve"> </w:t>
      </w:r>
      <w:r>
        <w:rPr>
          <w:sz w:val="12"/>
        </w:rPr>
        <w:t>ocupación</w:t>
      </w:r>
      <w:r>
        <w:rPr>
          <w:spacing w:val="-3"/>
          <w:sz w:val="12"/>
        </w:rPr>
        <w:t xml:space="preserve"> </w:t>
      </w:r>
      <w:r>
        <w:rPr>
          <w:sz w:val="12"/>
        </w:rPr>
        <w:t>(refundición),</w:t>
      </w:r>
      <w:r>
        <w:rPr>
          <w:spacing w:val="-2"/>
          <w:sz w:val="12"/>
        </w:rPr>
        <w:t xml:space="preserve"> </w:t>
      </w:r>
      <w:r>
        <w:rPr>
          <w:sz w:val="12"/>
        </w:rPr>
        <w:t>art.</w:t>
      </w:r>
      <w:r>
        <w:rPr>
          <w:spacing w:val="-3"/>
          <w:sz w:val="12"/>
        </w:rPr>
        <w:t xml:space="preserve"> </w:t>
      </w:r>
      <w:r>
        <w:rPr>
          <w:sz w:val="12"/>
        </w:rPr>
        <w:t>2</w:t>
      </w:r>
      <w:r>
        <w:rPr>
          <w:spacing w:val="-3"/>
          <w:sz w:val="12"/>
        </w:rPr>
        <w:t xml:space="preserve"> </w:t>
      </w:r>
      <w:r>
        <w:rPr>
          <w:sz w:val="12"/>
        </w:rPr>
        <w:t>(1)</w:t>
      </w:r>
      <w:r>
        <w:rPr>
          <w:spacing w:val="-3"/>
          <w:sz w:val="12"/>
        </w:rPr>
        <w:t xml:space="preserve"> </w:t>
      </w:r>
      <w:r>
        <w:rPr>
          <w:sz w:val="12"/>
        </w:rPr>
        <w:t>(a).</w:t>
      </w:r>
    </w:p>
    <w:p w14:paraId="3C6082D6" w14:textId="77777777" w:rsidR="0014798C" w:rsidRDefault="0014798C">
      <w:pPr>
        <w:pStyle w:val="Textoindependiente"/>
        <w:spacing w:before="79"/>
        <w:rPr>
          <w:sz w:val="13"/>
        </w:rPr>
      </w:pPr>
    </w:p>
    <w:p w14:paraId="5D881BFD" w14:textId="77777777" w:rsidR="0014798C" w:rsidRDefault="004E1F0B">
      <w:pPr>
        <w:spacing w:line="288" w:lineRule="auto"/>
        <w:ind w:left="1358" w:right="1272" w:hanging="254"/>
        <w:rPr>
          <w:sz w:val="13"/>
        </w:rPr>
      </w:pPr>
      <w:r>
        <w:rPr>
          <w:w w:val="105"/>
          <w:sz w:val="13"/>
        </w:rPr>
        <w:t>234</w:t>
      </w:r>
      <w:r>
        <w:rPr>
          <w:spacing w:val="-7"/>
          <w:w w:val="105"/>
          <w:sz w:val="13"/>
        </w:rPr>
        <w:t xml:space="preserve"> </w:t>
      </w:r>
      <w:r>
        <w:rPr>
          <w:w w:val="105"/>
          <w:sz w:val="13"/>
        </w:rPr>
        <w:t>Tribunal</w:t>
      </w:r>
      <w:r>
        <w:rPr>
          <w:spacing w:val="-7"/>
          <w:w w:val="105"/>
          <w:sz w:val="13"/>
        </w:rPr>
        <w:t xml:space="preserve"> </w:t>
      </w:r>
      <w:r>
        <w:rPr>
          <w:w w:val="105"/>
          <w:sz w:val="13"/>
        </w:rPr>
        <w:t>de</w:t>
      </w:r>
      <w:r>
        <w:rPr>
          <w:spacing w:val="-7"/>
          <w:w w:val="105"/>
          <w:sz w:val="13"/>
        </w:rPr>
        <w:t xml:space="preserve"> </w:t>
      </w:r>
      <w:r>
        <w:rPr>
          <w:w w:val="105"/>
          <w:sz w:val="13"/>
        </w:rPr>
        <w:t>Justicia</w:t>
      </w:r>
      <w:r>
        <w:rPr>
          <w:spacing w:val="-7"/>
          <w:w w:val="105"/>
          <w:sz w:val="13"/>
        </w:rPr>
        <w:t xml:space="preserve"> </w:t>
      </w:r>
      <w:r>
        <w:rPr>
          <w:w w:val="105"/>
          <w:sz w:val="13"/>
        </w:rPr>
        <w:t>de</w:t>
      </w:r>
      <w:r>
        <w:rPr>
          <w:spacing w:val="-7"/>
          <w:w w:val="105"/>
          <w:sz w:val="13"/>
        </w:rPr>
        <w:t xml:space="preserve"> </w:t>
      </w:r>
      <w:r>
        <w:rPr>
          <w:w w:val="105"/>
          <w:sz w:val="13"/>
        </w:rPr>
        <w:t>la</w:t>
      </w:r>
      <w:r>
        <w:rPr>
          <w:spacing w:val="-7"/>
          <w:w w:val="105"/>
          <w:sz w:val="13"/>
        </w:rPr>
        <w:t xml:space="preserve"> </w:t>
      </w:r>
      <w:r>
        <w:rPr>
          <w:w w:val="105"/>
          <w:sz w:val="13"/>
        </w:rPr>
        <w:t>Unión</w:t>
      </w:r>
      <w:r>
        <w:rPr>
          <w:spacing w:val="-7"/>
          <w:w w:val="105"/>
          <w:sz w:val="13"/>
        </w:rPr>
        <w:t xml:space="preserve"> </w:t>
      </w:r>
      <w:r>
        <w:rPr>
          <w:w w:val="105"/>
          <w:sz w:val="13"/>
        </w:rPr>
        <w:t>Europea,</w:t>
      </w:r>
      <w:r>
        <w:rPr>
          <w:spacing w:val="-7"/>
          <w:w w:val="105"/>
          <w:sz w:val="13"/>
        </w:rPr>
        <w:t xml:space="preserve"> </w:t>
      </w:r>
      <w:proofErr w:type="spellStart"/>
      <w:r>
        <w:rPr>
          <w:w w:val="105"/>
          <w:sz w:val="13"/>
        </w:rPr>
        <w:t>Centrum</w:t>
      </w:r>
      <w:proofErr w:type="spellEnd"/>
      <w:r>
        <w:rPr>
          <w:spacing w:val="-7"/>
          <w:w w:val="105"/>
          <w:sz w:val="13"/>
        </w:rPr>
        <w:t xml:space="preserve"> </w:t>
      </w:r>
      <w:proofErr w:type="spellStart"/>
      <w:r>
        <w:rPr>
          <w:w w:val="105"/>
          <w:sz w:val="13"/>
        </w:rPr>
        <w:t>voor</w:t>
      </w:r>
      <w:proofErr w:type="spellEnd"/>
      <w:r>
        <w:rPr>
          <w:spacing w:val="-7"/>
          <w:w w:val="105"/>
          <w:sz w:val="13"/>
        </w:rPr>
        <w:t xml:space="preserve"> </w:t>
      </w:r>
      <w:proofErr w:type="spellStart"/>
      <w:r>
        <w:rPr>
          <w:w w:val="105"/>
          <w:sz w:val="13"/>
        </w:rPr>
        <w:t>gelijkheid</w:t>
      </w:r>
      <w:proofErr w:type="spellEnd"/>
      <w:r>
        <w:rPr>
          <w:spacing w:val="-7"/>
          <w:w w:val="105"/>
          <w:sz w:val="13"/>
        </w:rPr>
        <w:t xml:space="preserve"> </w:t>
      </w:r>
      <w:r>
        <w:rPr>
          <w:w w:val="105"/>
          <w:sz w:val="13"/>
        </w:rPr>
        <w:t>van</w:t>
      </w:r>
      <w:r>
        <w:rPr>
          <w:spacing w:val="-7"/>
          <w:w w:val="105"/>
          <w:sz w:val="13"/>
        </w:rPr>
        <w:t xml:space="preserve"> </w:t>
      </w:r>
      <w:proofErr w:type="spellStart"/>
      <w:r>
        <w:rPr>
          <w:w w:val="105"/>
          <w:sz w:val="13"/>
        </w:rPr>
        <w:t>kansen</w:t>
      </w:r>
      <w:proofErr w:type="spellEnd"/>
      <w:r>
        <w:rPr>
          <w:spacing w:val="-7"/>
          <w:w w:val="105"/>
          <w:sz w:val="13"/>
        </w:rPr>
        <w:t xml:space="preserve"> </w:t>
      </w:r>
      <w:r>
        <w:rPr>
          <w:w w:val="105"/>
          <w:sz w:val="13"/>
        </w:rPr>
        <w:t>en</w:t>
      </w:r>
      <w:r>
        <w:rPr>
          <w:spacing w:val="-7"/>
          <w:w w:val="105"/>
          <w:sz w:val="13"/>
        </w:rPr>
        <w:t xml:space="preserve"> </w:t>
      </w:r>
      <w:proofErr w:type="spellStart"/>
      <w:r>
        <w:rPr>
          <w:w w:val="105"/>
          <w:sz w:val="13"/>
        </w:rPr>
        <w:t>voor</w:t>
      </w:r>
      <w:proofErr w:type="spellEnd"/>
      <w:r>
        <w:rPr>
          <w:spacing w:val="-7"/>
          <w:w w:val="105"/>
          <w:sz w:val="13"/>
        </w:rPr>
        <w:t xml:space="preserve"> </w:t>
      </w:r>
      <w:proofErr w:type="spellStart"/>
      <w:r>
        <w:rPr>
          <w:w w:val="105"/>
          <w:sz w:val="13"/>
        </w:rPr>
        <w:t>racismebestrijding</w:t>
      </w:r>
      <w:proofErr w:type="spellEnd"/>
      <w:r>
        <w:rPr>
          <w:spacing w:val="-7"/>
          <w:w w:val="105"/>
          <w:sz w:val="13"/>
        </w:rPr>
        <w:t xml:space="preserve"> </w:t>
      </w:r>
      <w:r>
        <w:rPr>
          <w:w w:val="105"/>
          <w:sz w:val="13"/>
        </w:rPr>
        <w:t>v.</w:t>
      </w:r>
      <w:r>
        <w:rPr>
          <w:spacing w:val="-7"/>
          <w:w w:val="105"/>
          <w:sz w:val="13"/>
        </w:rPr>
        <w:t xml:space="preserve"> </w:t>
      </w:r>
      <w:r>
        <w:rPr>
          <w:w w:val="105"/>
          <w:sz w:val="13"/>
        </w:rPr>
        <w:t>Firma</w:t>
      </w:r>
      <w:r>
        <w:rPr>
          <w:spacing w:val="-7"/>
          <w:w w:val="105"/>
          <w:sz w:val="13"/>
        </w:rPr>
        <w:t xml:space="preserve"> </w:t>
      </w:r>
      <w:proofErr w:type="spellStart"/>
      <w:r>
        <w:rPr>
          <w:w w:val="105"/>
          <w:sz w:val="13"/>
        </w:rPr>
        <w:t>Feryn</w:t>
      </w:r>
      <w:proofErr w:type="spellEnd"/>
      <w:r>
        <w:rPr>
          <w:spacing w:val="-7"/>
          <w:w w:val="105"/>
          <w:sz w:val="13"/>
        </w:rPr>
        <w:t xml:space="preserve"> </w:t>
      </w:r>
      <w:r>
        <w:rPr>
          <w:w w:val="105"/>
          <w:sz w:val="13"/>
        </w:rPr>
        <w:t>NV,</w:t>
      </w:r>
      <w:r>
        <w:rPr>
          <w:spacing w:val="-7"/>
          <w:w w:val="105"/>
          <w:sz w:val="13"/>
        </w:rPr>
        <w:t xml:space="preserve"> </w:t>
      </w:r>
      <w:r>
        <w:rPr>
          <w:w w:val="105"/>
          <w:sz w:val="13"/>
        </w:rPr>
        <w:t>Caso</w:t>
      </w:r>
      <w:r>
        <w:rPr>
          <w:spacing w:val="-7"/>
          <w:w w:val="105"/>
          <w:sz w:val="13"/>
        </w:rPr>
        <w:t xml:space="preserve"> </w:t>
      </w:r>
      <w:r>
        <w:rPr>
          <w:w w:val="105"/>
          <w:sz w:val="13"/>
        </w:rPr>
        <w:t>C-54/07,</w:t>
      </w:r>
      <w:r>
        <w:rPr>
          <w:spacing w:val="-7"/>
          <w:w w:val="105"/>
          <w:sz w:val="13"/>
        </w:rPr>
        <w:t xml:space="preserve"> </w:t>
      </w:r>
      <w:r>
        <w:rPr>
          <w:w w:val="105"/>
          <w:sz w:val="13"/>
        </w:rPr>
        <w:t>Sentencia,</w:t>
      </w:r>
      <w:r>
        <w:rPr>
          <w:spacing w:val="40"/>
          <w:w w:val="105"/>
          <w:sz w:val="13"/>
        </w:rPr>
        <w:t xml:space="preserve"> </w:t>
      </w:r>
      <w:r>
        <w:rPr>
          <w:w w:val="105"/>
          <w:sz w:val="13"/>
        </w:rPr>
        <w:t>10</w:t>
      </w:r>
      <w:r>
        <w:rPr>
          <w:spacing w:val="-4"/>
          <w:w w:val="105"/>
          <w:sz w:val="13"/>
        </w:rPr>
        <w:t xml:space="preserve"> </w:t>
      </w:r>
      <w:r>
        <w:rPr>
          <w:w w:val="105"/>
          <w:sz w:val="13"/>
        </w:rPr>
        <w:t>de</w:t>
      </w:r>
      <w:r>
        <w:rPr>
          <w:spacing w:val="-4"/>
          <w:w w:val="105"/>
          <w:sz w:val="13"/>
        </w:rPr>
        <w:t xml:space="preserve"> </w:t>
      </w:r>
      <w:r>
        <w:rPr>
          <w:w w:val="105"/>
          <w:sz w:val="13"/>
        </w:rPr>
        <w:t>julio</w:t>
      </w:r>
      <w:r>
        <w:rPr>
          <w:spacing w:val="-4"/>
          <w:w w:val="105"/>
          <w:sz w:val="13"/>
        </w:rPr>
        <w:t xml:space="preserve"> </w:t>
      </w:r>
      <w:r>
        <w:rPr>
          <w:w w:val="105"/>
          <w:sz w:val="13"/>
        </w:rPr>
        <w:t>de</w:t>
      </w:r>
      <w:r>
        <w:rPr>
          <w:spacing w:val="-4"/>
          <w:w w:val="105"/>
          <w:sz w:val="13"/>
        </w:rPr>
        <w:t xml:space="preserve"> </w:t>
      </w:r>
      <w:r>
        <w:rPr>
          <w:w w:val="105"/>
          <w:sz w:val="13"/>
        </w:rPr>
        <w:t>2008,</w:t>
      </w:r>
      <w:r>
        <w:rPr>
          <w:spacing w:val="-4"/>
          <w:w w:val="105"/>
          <w:sz w:val="13"/>
        </w:rPr>
        <w:t xml:space="preserve"> </w:t>
      </w:r>
      <w:r>
        <w:rPr>
          <w:w w:val="105"/>
          <w:sz w:val="13"/>
        </w:rPr>
        <w:t>párr.</w:t>
      </w:r>
      <w:r>
        <w:rPr>
          <w:spacing w:val="-4"/>
          <w:w w:val="105"/>
          <w:sz w:val="13"/>
        </w:rPr>
        <w:t xml:space="preserve"> </w:t>
      </w:r>
      <w:r>
        <w:rPr>
          <w:w w:val="105"/>
          <w:sz w:val="13"/>
        </w:rPr>
        <w:t>25.</w:t>
      </w:r>
      <w:r>
        <w:rPr>
          <w:spacing w:val="-4"/>
          <w:w w:val="105"/>
          <w:sz w:val="13"/>
        </w:rPr>
        <w:t xml:space="preserve"> </w:t>
      </w:r>
      <w:r>
        <w:rPr>
          <w:w w:val="105"/>
          <w:sz w:val="13"/>
        </w:rPr>
        <w:t>Véase,</w:t>
      </w:r>
      <w:r>
        <w:rPr>
          <w:spacing w:val="-4"/>
          <w:w w:val="105"/>
          <w:sz w:val="13"/>
        </w:rPr>
        <w:t xml:space="preserve"> </w:t>
      </w:r>
      <w:r>
        <w:rPr>
          <w:w w:val="105"/>
          <w:sz w:val="13"/>
        </w:rPr>
        <w:t>en</w:t>
      </w:r>
      <w:r>
        <w:rPr>
          <w:spacing w:val="-4"/>
          <w:w w:val="105"/>
          <w:sz w:val="13"/>
        </w:rPr>
        <w:t xml:space="preserve"> </w:t>
      </w:r>
      <w:r>
        <w:rPr>
          <w:w w:val="105"/>
          <w:sz w:val="13"/>
        </w:rPr>
        <w:t>relación</w:t>
      </w:r>
      <w:r>
        <w:rPr>
          <w:spacing w:val="-4"/>
          <w:w w:val="105"/>
          <w:sz w:val="13"/>
        </w:rPr>
        <w:t xml:space="preserve"> </w:t>
      </w:r>
      <w:r>
        <w:rPr>
          <w:w w:val="105"/>
          <w:sz w:val="13"/>
        </w:rPr>
        <w:t>con</w:t>
      </w:r>
      <w:r>
        <w:rPr>
          <w:spacing w:val="-4"/>
          <w:w w:val="105"/>
          <w:sz w:val="13"/>
        </w:rPr>
        <w:t xml:space="preserve"> </w:t>
      </w:r>
      <w:r>
        <w:rPr>
          <w:w w:val="105"/>
          <w:sz w:val="13"/>
        </w:rPr>
        <w:t>esto,</w:t>
      </w:r>
      <w:r>
        <w:rPr>
          <w:spacing w:val="-4"/>
          <w:w w:val="105"/>
          <w:sz w:val="13"/>
        </w:rPr>
        <w:t xml:space="preserve"> </w:t>
      </w:r>
      <w:r>
        <w:rPr>
          <w:w w:val="105"/>
          <w:sz w:val="13"/>
        </w:rPr>
        <w:t>Comité</w:t>
      </w:r>
      <w:r>
        <w:rPr>
          <w:spacing w:val="-4"/>
          <w:w w:val="105"/>
          <w:sz w:val="13"/>
        </w:rPr>
        <w:t xml:space="preserve"> </w:t>
      </w:r>
      <w:r>
        <w:rPr>
          <w:w w:val="105"/>
          <w:sz w:val="13"/>
        </w:rPr>
        <w:t>para</w:t>
      </w:r>
      <w:r>
        <w:rPr>
          <w:spacing w:val="-4"/>
          <w:w w:val="105"/>
          <w:sz w:val="13"/>
        </w:rPr>
        <w:t xml:space="preserve"> </w:t>
      </w:r>
      <w:r>
        <w:rPr>
          <w:w w:val="105"/>
          <w:sz w:val="13"/>
        </w:rPr>
        <w:t>la</w:t>
      </w:r>
      <w:r>
        <w:rPr>
          <w:spacing w:val="-4"/>
          <w:w w:val="105"/>
          <w:sz w:val="13"/>
        </w:rPr>
        <w:t xml:space="preserve"> </w:t>
      </w:r>
      <w:r>
        <w:rPr>
          <w:w w:val="105"/>
          <w:sz w:val="13"/>
        </w:rPr>
        <w:t>Eliminación</w:t>
      </w:r>
      <w:r>
        <w:rPr>
          <w:spacing w:val="-4"/>
          <w:w w:val="105"/>
          <w:sz w:val="13"/>
        </w:rPr>
        <w:t xml:space="preserve"> </w:t>
      </w:r>
      <w:r>
        <w:rPr>
          <w:w w:val="105"/>
          <w:sz w:val="13"/>
        </w:rPr>
        <w:t>de</w:t>
      </w:r>
      <w:r>
        <w:rPr>
          <w:spacing w:val="-4"/>
          <w:w w:val="105"/>
          <w:sz w:val="13"/>
        </w:rPr>
        <w:t xml:space="preserve"> </w:t>
      </w:r>
      <w:r>
        <w:rPr>
          <w:w w:val="105"/>
          <w:sz w:val="13"/>
        </w:rPr>
        <w:t>la</w:t>
      </w:r>
      <w:r>
        <w:rPr>
          <w:spacing w:val="-4"/>
          <w:w w:val="105"/>
          <w:sz w:val="13"/>
        </w:rPr>
        <w:t xml:space="preserve"> </w:t>
      </w:r>
      <w:r>
        <w:rPr>
          <w:w w:val="105"/>
          <w:sz w:val="13"/>
        </w:rPr>
        <w:t>Discriminación</w:t>
      </w:r>
      <w:r>
        <w:rPr>
          <w:spacing w:val="-4"/>
          <w:w w:val="105"/>
          <w:sz w:val="13"/>
        </w:rPr>
        <w:t xml:space="preserve"> </w:t>
      </w:r>
      <w:r>
        <w:rPr>
          <w:w w:val="105"/>
          <w:sz w:val="13"/>
        </w:rPr>
        <w:t>Racial,</w:t>
      </w:r>
      <w:r>
        <w:rPr>
          <w:spacing w:val="-4"/>
          <w:w w:val="105"/>
          <w:sz w:val="13"/>
        </w:rPr>
        <w:t xml:space="preserve"> </w:t>
      </w:r>
      <w:proofErr w:type="spellStart"/>
      <w:r>
        <w:rPr>
          <w:w w:val="105"/>
          <w:sz w:val="13"/>
        </w:rPr>
        <w:t>Koptova</w:t>
      </w:r>
      <w:proofErr w:type="spellEnd"/>
      <w:r>
        <w:rPr>
          <w:spacing w:val="-4"/>
          <w:w w:val="105"/>
          <w:sz w:val="13"/>
        </w:rPr>
        <w:t xml:space="preserve"> </w:t>
      </w:r>
      <w:r>
        <w:rPr>
          <w:w w:val="105"/>
          <w:sz w:val="13"/>
        </w:rPr>
        <w:t>c.</w:t>
      </w:r>
      <w:r>
        <w:rPr>
          <w:spacing w:val="-4"/>
          <w:w w:val="105"/>
          <w:sz w:val="13"/>
        </w:rPr>
        <w:t xml:space="preserve"> </w:t>
      </w:r>
      <w:r>
        <w:rPr>
          <w:w w:val="105"/>
          <w:sz w:val="13"/>
        </w:rPr>
        <w:t>República</w:t>
      </w:r>
      <w:r>
        <w:rPr>
          <w:spacing w:val="-4"/>
          <w:w w:val="105"/>
          <w:sz w:val="13"/>
        </w:rPr>
        <w:t xml:space="preserve"> </w:t>
      </w:r>
      <w:r>
        <w:rPr>
          <w:w w:val="105"/>
          <w:sz w:val="13"/>
        </w:rPr>
        <w:t>Eslovaca,</w:t>
      </w:r>
      <w:r>
        <w:rPr>
          <w:spacing w:val="40"/>
          <w:w w:val="105"/>
          <w:sz w:val="13"/>
        </w:rPr>
        <w:t xml:space="preserve"> </w:t>
      </w:r>
      <w:r>
        <w:rPr>
          <w:w w:val="105"/>
          <w:sz w:val="13"/>
        </w:rPr>
        <w:t>comunicación</w:t>
      </w:r>
      <w:r>
        <w:rPr>
          <w:spacing w:val="-3"/>
          <w:w w:val="105"/>
          <w:sz w:val="13"/>
        </w:rPr>
        <w:t xml:space="preserve"> </w:t>
      </w:r>
      <w:r>
        <w:rPr>
          <w:w w:val="105"/>
          <w:sz w:val="13"/>
        </w:rPr>
        <w:t>No.</w:t>
      </w:r>
      <w:r>
        <w:rPr>
          <w:spacing w:val="-3"/>
          <w:w w:val="105"/>
          <w:sz w:val="13"/>
        </w:rPr>
        <w:t xml:space="preserve"> </w:t>
      </w:r>
      <w:r>
        <w:rPr>
          <w:w w:val="105"/>
          <w:sz w:val="13"/>
        </w:rPr>
        <w:t>13/1998,</w:t>
      </w:r>
      <w:r>
        <w:rPr>
          <w:spacing w:val="-3"/>
          <w:w w:val="105"/>
          <w:sz w:val="13"/>
        </w:rPr>
        <w:t xml:space="preserve"> </w:t>
      </w:r>
      <w:r>
        <w:rPr>
          <w:w w:val="105"/>
          <w:sz w:val="13"/>
        </w:rPr>
        <w:t>párr.</w:t>
      </w:r>
      <w:r>
        <w:rPr>
          <w:spacing w:val="-3"/>
          <w:w w:val="105"/>
          <w:sz w:val="13"/>
        </w:rPr>
        <w:t xml:space="preserve"> </w:t>
      </w:r>
      <w:r>
        <w:rPr>
          <w:w w:val="105"/>
          <w:sz w:val="13"/>
        </w:rPr>
        <w:t>8.2,</w:t>
      </w:r>
      <w:r>
        <w:rPr>
          <w:spacing w:val="-3"/>
          <w:w w:val="105"/>
          <w:sz w:val="13"/>
        </w:rPr>
        <w:t xml:space="preserve"> </w:t>
      </w:r>
      <w:r>
        <w:rPr>
          <w:w w:val="105"/>
          <w:sz w:val="13"/>
        </w:rPr>
        <w:t>en</w:t>
      </w:r>
      <w:r>
        <w:rPr>
          <w:spacing w:val="-3"/>
          <w:w w:val="105"/>
          <w:sz w:val="13"/>
        </w:rPr>
        <w:t xml:space="preserve"> </w:t>
      </w:r>
      <w:r>
        <w:rPr>
          <w:w w:val="105"/>
          <w:sz w:val="13"/>
        </w:rPr>
        <w:t>el</w:t>
      </w:r>
      <w:r>
        <w:rPr>
          <w:spacing w:val="-3"/>
          <w:w w:val="105"/>
          <w:sz w:val="13"/>
        </w:rPr>
        <w:t xml:space="preserve"> </w:t>
      </w:r>
      <w:r>
        <w:rPr>
          <w:w w:val="105"/>
          <w:sz w:val="13"/>
        </w:rPr>
        <w:t>que</w:t>
      </w:r>
      <w:r>
        <w:rPr>
          <w:spacing w:val="-3"/>
          <w:w w:val="105"/>
          <w:sz w:val="13"/>
        </w:rPr>
        <w:t xml:space="preserve"> </w:t>
      </w:r>
      <w:r>
        <w:rPr>
          <w:w w:val="105"/>
          <w:sz w:val="13"/>
        </w:rPr>
        <w:t>el</w:t>
      </w:r>
      <w:r>
        <w:rPr>
          <w:spacing w:val="-3"/>
          <w:w w:val="105"/>
          <w:sz w:val="13"/>
        </w:rPr>
        <w:t xml:space="preserve"> </w:t>
      </w:r>
      <w:r>
        <w:rPr>
          <w:w w:val="105"/>
          <w:sz w:val="13"/>
        </w:rPr>
        <w:t>Comité</w:t>
      </w:r>
      <w:r>
        <w:rPr>
          <w:spacing w:val="-3"/>
          <w:w w:val="105"/>
          <w:sz w:val="13"/>
        </w:rPr>
        <w:t xml:space="preserve"> </w:t>
      </w:r>
      <w:r>
        <w:rPr>
          <w:w w:val="105"/>
          <w:sz w:val="13"/>
        </w:rPr>
        <w:t>citó</w:t>
      </w:r>
      <w:r>
        <w:rPr>
          <w:spacing w:val="-3"/>
          <w:w w:val="105"/>
          <w:sz w:val="13"/>
        </w:rPr>
        <w:t xml:space="preserve"> </w:t>
      </w:r>
      <w:r>
        <w:rPr>
          <w:w w:val="105"/>
          <w:sz w:val="13"/>
        </w:rPr>
        <w:t>su</w:t>
      </w:r>
      <w:r>
        <w:rPr>
          <w:spacing w:val="-3"/>
          <w:w w:val="105"/>
          <w:sz w:val="13"/>
        </w:rPr>
        <w:t xml:space="preserve"> </w:t>
      </w:r>
      <w:r>
        <w:rPr>
          <w:w w:val="105"/>
          <w:sz w:val="13"/>
        </w:rPr>
        <w:t>opinión</w:t>
      </w:r>
      <w:r>
        <w:rPr>
          <w:spacing w:val="-3"/>
          <w:w w:val="105"/>
          <w:sz w:val="13"/>
        </w:rPr>
        <w:t xml:space="preserve"> </w:t>
      </w:r>
      <w:r>
        <w:rPr>
          <w:w w:val="105"/>
          <w:sz w:val="13"/>
        </w:rPr>
        <w:t>anterior</w:t>
      </w:r>
      <w:r>
        <w:rPr>
          <w:spacing w:val="-3"/>
          <w:w w:val="105"/>
          <w:sz w:val="13"/>
        </w:rPr>
        <w:t xml:space="preserve"> </w:t>
      </w:r>
      <w:r>
        <w:rPr>
          <w:w w:val="105"/>
          <w:sz w:val="13"/>
        </w:rPr>
        <w:t>de</w:t>
      </w:r>
      <w:r>
        <w:rPr>
          <w:spacing w:val="-3"/>
          <w:w w:val="105"/>
          <w:sz w:val="13"/>
        </w:rPr>
        <w:t xml:space="preserve"> </w:t>
      </w:r>
      <w:r>
        <w:rPr>
          <w:w w:val="105"/>
          <w:sz w:val="13"/>
        </w:rPr>
        <w:t>que</w:t>
      </w:r>
      <w:r>
        <w:rPr>
          <w:spacing w:val="-3"/>
          <w:w w:val="105"/>
          <w:sz w:val="13"/>
        </w:rPr>
        <w:t xml:space="preserve"> </w:t>
      </w:r>
      <w:r>
        <w:rPr>
          <w:w w:val="105"/>
          <w:sz w:val="13"/>
        </w:rPr>
        <w:t>Anna</w:t>
      </w:r>
      <w:r>
        <w:rPr>
          <w:spacing w:val="-3"/>
          <w:w w:val="105"/>
          <w:sz w:val="13"/>
        </w:rPr>
        <w:t xml:space="preserve"> </w:t>
      </w:r>
      <w:proofErr w:type="spellStart"/>
      <w:r>
        <w:rPr>
          <w:w w:val="105"/>
          <w:sz w:val="13"/>
        </w:rPr>
        <w:t>Koptova</w:t>
      </w:r>
      <w:proofErr w:type="spellEnd"/>
      <w:r>
        <w:rPr>
          <w:spacing w:val="-3"/>
          <w:w w:val="105"/>
          <w:sz w:val="13"/>
        </w:rPr>
        <w:t xml:space="preserve"> </w:t>
      </w:r>
      <w:r>
        <w:rPr>
          <w:w w:val="105"/>
          <w:sz w:val="13"/>
        </w:rPr>
        <w:t>era</w:t>
      </w:r>
      <w:r>
        <w:rPr>
          <w:spacing w:val="-3"/>
          <w:w w:val="105"/>
          <w:sz w:val="13"/>
        </w:rPr>
        <w:t xml:space="preserve"> </w:t>
      </w:r>
      <w:r>
        <w:rPr>
          <w:w w:val="105"/>
          <w:sz w:val="13"/>
        </w:rPr>
        <w:t>una</w:t>
      </w:r>
      <w:r>
        <w:rPr>
          <w:spacing w:val="-3"/>
          <w:w w:val="105"/>
          <w:sz w:val="13"/>
        </w:rPr>
        <w:t xml:space="preserve"> </w:t>
      </w:r>
      <w:r>
        <w:rPr>
          <w:w w:val="105"/>
          <w:sz w:val="13"/>
        </w:rPr>
        <w:t>“víctima”</w:t>
      </w:r>
      <w:r>
        <w:rPr>
          <w:spacing w:val="-3"/>
          <w:w w:val="105"/>
          <w:sz w:val="13"/>
        </w:rPr>
        <w:t xml:space="preserve"> </w:t>
      </w:r>
      <w:r>
        <w:rPr>
          <w:w w:val="105"/>
          <w:sz w:val="13"/>
        </w:rPr>
        <w:t>en</w:t>
      </w:r>
      <w:r>
        <w:rPr>
          <w:spacing w:val="-3"/>
          <w:w w:val="105"/>
          <w:sz w:val="13"/>
        </w:rPr>
        <w:t xml:space="preserve"> </w:t>
      </w:r>
      <w:r>
        <w:rPr>
          <w:w w:val="105"/>
          <w:sz w:val="13"/>
        </w:rPr>
        <w:t>virtud</w:t>
      </w:r>
      <w:r>
        <w:rPr>
          <w:spacing w:val="-3"/>
          <w:w w:val="105"/>
          <w:sz w:val="13"/>
        </w:rPr>
        <w:t xml:space="preserve"> </w:t>
      </w:r>
      <w:r>
        <w:rPr>
          <w:w w:val="105"/>
          <w:sz w:val="13"/>
        </w:rPr>
        <w:t>del</w:t>
      </w:r>
      <w:r>
        <w:rPr>
          <w:spacing w:val="-3"/>
          <w:w w:val="105"/>
          <w:sz w:val="13"/>
        </w:rPr>
        <w:t xml:space="preserve"> </w:t>
      </w:r>
      <w:r>
        <w:rPr>
          <w:w w:val="105"/>
          <w:sz w:val="13"/>
        </w:rPr>
        <w:t>artículo</w:t>
      </w:r>
      <w:r>
        <w:rPr>
          <w:spacing w:val="-3"/>
          <w:w w:val="105"/>
          <w:sz w:val="13"/>
        </w:rPr>
        <w:t xml:space="preserve"> </w:t>
      </w:r>
      <w:r>
        <w:rPr>
          <w:w w:val="105"/>
          <w:sz w:val="13"/>
        </w:rPr>
        <w:t>14</w:t>
      </w:r>
      <w:r>
        <w:rPr>
          <w:spacing w:val="-3"/>
          <w:w w:val="105"/>
          <w:sz w:val="13"/>
        </w:rPr>
        <w:t xml:space="preserve"> </w:t>
      </w:r>
      <w:r>
        <w:rPr>
          <w:w w:val="105"/>
          <w:sz w:val="13"/>
        </w:rPr>
        <w:t>(1)</w:t>
      </w:r>
    </w:p>
    <w:p w14:paraId="49A6A75B" w14:textId="77777777" w:rsidR="0014798C" w:rsidRDefault="004E1F0B">
      <w:pPr>
        <w:spacing w:before="2" w:line="288" w:lineRule="auto"/>
        <w:ind w:left="1366" w:right="1928" w:firstLine="9"/>
        <w:rPr>
          <w:sz w:val="13"/>
        </w:rPr>
      </w:pPr>
      <w:r>
        <w:rPr>
          <w:w w:val="105"/>
          <w:sz w:val="13"/>
        </w:rPr>
        <w:t>de</w:t>
      </w:r>
      <w:r>
        <w:rPr>
          <w:spacing w:val="-7"/>
          <w:w w:val="105"/>
          <w:sz w:val="13"/>
        </w:rPr>
        <w:t xml:space="preserve"> </w:t>
      </w:r>
      <w:r>
        <w:rPr>
          <w:w w:val="105"/>
          <w:sz w:val="13"/>
        </w:rPr>
        <w:t>la</w:t>
      </w:r>
      <w:r>
        <w:rPr>
          <w:spacing w:val="-7"/>
          <w:w w:val="105"/>
          <w:sz w:val="13"/>
        </w:rPr>
        <w:t xml:space="preserve"> </w:t>
      </w:r>
      <w:r>
        <w:rPr>
          <w:w w:val="105"/>
          <w:sz w:val="13"/>
        </w:rPr>
        <w:t>Convención</w:t>
      </w:r>
      <w:r>
        <w:rPr>
          <w:spacing w:val="-7"/>
          <w:w w:val="105"/>
          <w:sz w:val="13"/>
        </w:rPr>
        <w:t xml:space="preserve"> </w:t>
      </w:r>
      <w:r>
        <w:rPr>
          <w:w w:val="105"/>
          <w:sz w:val="13"/>
        </w:rPr>
        <w:t>Internacional</w:t>
      </w:r>
      <w:r>
        <w:rPr>
          <w:spacing w:val="-7"/>
          <w:w w:val="105"/>
          <w:sz w:val="13"/>
        </w:rPr>
        <w:t xml:space="preserve"> </w:t>
      </w:r>
      <w:r>
        <w:rPr>
          <w:w w:val="105"/>
          <w:sz w:val="13"/>
        </w:rPr>
        <w:t>sobre</w:t>
      </w:r>
      <w:r>
        <w:rPr>
          <w:spacing w:val="-7"/>
          <w:w w:val="105"/>
          <w:sz w:val="13"/>
        </w:rPr>
        <w:t xml:space="preserve"> </w:t>
      </w:r>
      <w:r>
        <w:rPr>
          <w:w w:val="105"/>
          <w:sz w:val="13"/>
        </w:rPr>
        <w:t>la</w:t>
      </w:r>
      <w:r>
        <w:rPr>
          <w:spacing w:val="-7"/>
          <w:w w:val="105"/>
          <w:sz w:val="13"/>
        </w:rPr>
        <w:t xml:space="preserve"> </w:t>
      </w:r>
      <w:r>
        <w:rPr>
          <w:w w:val="105"/>
          <w:sz w:val="13"/>
        </w:rPr>
        <w:t>Eliminación</w:t>
      </w:r>
      <w:r>
        <w:rPr>
          <w:spacing w:val="-7"/>
          <w:w w:val="105"/>
          <w:sz w:val="13"/>
        </w:rPr>
        <w:t xml:space="preserve"> </w:t>
      </w:r>
      <w:r>
        <w:rPr>
          <w:w w:val="105"/>
          <w:sz w:val="13"/>
        </w:rPr>
        <w:t>de</w:t>
      </w:r>
      <w:r>
        <w:rPr>
          <w:spacing w:val="-7"/>
          <w:w w:val="105"/>
          <w:sz w:val="13"/>
        </w:rPr>
        <w:t xml:space="preserve"> </w:t>
      </w:r>
      <w:r>
        <w:rPr>
          <w:w w:val="105"/>
          <w:sz w:val="13"/>
        </w:rPr>
        <w:t>todas</w:t>
      </w:r>
      <w:r>
        <w:rPr>
          <w:spacing w:val="-7"/>
          <w:w w:val="105"/>
          <w:sz w:val="13"/>
        </w:rPr>
        <w:t xml:space="preserve"> </w:t>
      </w:r>
      <w:r>
        <w:rPr>
          <w:w w:val="105"/>
          <w:sz w:val="13"/>
        </w:rPr>
        <w:t>las</w:t>
      </w:r>
      <w:r>
        <w:rPr>
          <w:spacing w:val="-7"/>
          <w:w w:val="105"/>
          <w:sz w:val="13"/>
        </w:rPr>
        <w:t xml:space="preserve"> </w:t>
      </w:r>
      <w:r>
        <w:rPr>
          <w:w w:val="105"/>
          <w:sz w:val="13"/>
        </w:rPr>
        <w:t>Formas</w:t>
      </w:r>
      <w:r>
        <w:rPr>
          <w:spacing w:val="-7"/>
          <w:w w:val="105"/>
          <w:sz w:val="13"/>
        </w:rPr>
        <w:t xml:space="preserve"> </w:t>
      </w:r>
      <w:r>
        <w:rPr>
          <w:w w:val="105"/>
          <w:sz w:val="13"/>
        </w:rPr>
        <w:t>de</w:t>
      </w:r>
      <w:r>
        <w:rPr>
          <w:spacing w:val="-7"/>
          <w:w w:val="105"/>
          <w:sz w:val="13"/>
        </w:rPr>
        <w:t xml:space="preserve"> </w:t>
      </w:r>
      <w:r>
        <w:rPr>
          <w:w w:val="105"/>
          <w:sz w:val="13"/>
        </w:rPr>
        <w:t>Discriminación</w:t>
      </w:r>
      <w:r>
        <w:rPr>
          <w:spacing w:val="-7"/>
          <w:w w:val="105"/>
          <w:sz w:val="13"/>
        </w:rPr>
        <w:t xml:space="preserve"> </w:t>
      </w:r>
      <w:r>
        <w:rPr>
          <w:w w:val="105"/>
          <w:sz w:val="13"/>
        </w:rPr>
        <w:t>Racial,</w:t>
      </w:r>
      <w:r>
        <w:rPr>
          <w:spacing w:val="-7"/>
          <w:w w:val="105"/>
          <w:sz w:val="13"/>
        </w:rPr>
        <w:t xml:space="preserve"> </w:t>
      </w:r>
      <w:r>
        <w:rPr>
          <w:w w:val="105"/>
          <w:sz w:val="13"/>
        </w:rPr>
        <w:t>ya</w:t>
      </w:r>
      <w:r>
        <w:rPr>
          <w:spacing w:val="-7"/>
          <w:w w:val="105"/>
          <w:sz w:val="13"/>
        </w:rPr>
        <w:t xml:space="preserve"> </w:t>
      </w:r>
      <w:r>
        <w:rPr>
          <w:w w:val="105"/>
          <w:sz w:val="13"/>
        </w:rPr>
        <w:t>que</w:t>
      </w:r>
      <w:r>
        <w:rPr>
          <w:spacing w:val="-7"/>
          <w:w w:val="105"/>
          <w:sz w:val="13"/>
        </w:rPr>
        <w:t xml:space="preserve"> </w:t>
      </w:r>
      <w:r>
        <w:rPr>
          <w:w w:val="105"/>
          <w:sz w:val="13"/>
        </w:rPr>
        <w:t>pertenecía</w:t>
      </w:r>
      <w:r>
        <w:rPr>
          <w:spacing w:val="-7"/>
          <w:w w:val="105"/>
          <w:sz w:val="13"/>
        </w:rPr>
        <w:t xml:space="preserve"> </w:t>
      </w:r>
      <w:r>
        <w:rPr>
          <w:w w:val="105"/>
          <w:sz w:val="13"/>
        </w:rPr>
        <w:t>directamente</w:t>
      </w:r>
      <w:r>
        <w:rPr>
          <w:spacing w:val="-7"/>
          <w:w w:val="105"/>
          <w:sz w:val="13"/>
        </w:rPr>
        <w:t xml:space="preserve"> </w:t>
      </w:r>
      <w:r>
        <w:rPr>
          <w:w w:val="105"/>
          <w:sz w:val="13"/>
        </w:rPr>
        <w:t>al</w:t>
      </w:r>
      <w:r>
        <w:rPr>
          <w:spacing w:val="-7"/>
          <w:w w:val="105"/>
          <w:sz w:val="13"/>
        </w:rPr>
        <w:t xml:space="preserve"> </w:t>
      </w:r>
      <w:r>
        <w:rPr>
          <w:w w:val="105"/>
          <w:sz w:val="13"/>
        </w:rPr>
        <w:t>grupo</w:t>
      </w:r>
      <w:r>
        <w:rPr>
          <w:spacing w:val="40"/>
          <w:w w:val="105"/>
          <w:sz w:val="13"/>
        </w:rPr>
        <w:t xml:space="preserve"> </w:t>
      </w:r>
      <w:r>
        <w:rPr>
          <w:w w:val="105"/>
          <w:sz w:val="13"/>
        </w:rPr>
        <w:t>de la población (roma) objeto de resoluciones discriminatorias dictadas por el Estado.</w:t>
      </w:r>
    </w:p>
    <w:p w14:paraId="196F1DDC" w14:textId="77777777" w:rsidR="0014798C" w:rsidRDefault="004E1F0B">
      <w:pPr>
        <w:spacing w:before="57" w:line="288" w:lineRule="auto"/>
        <w:ind w:left="1358" w:right="1272" w:hanging="254"/>
        <w:rPr>
          <w:sz w:val="13"/>
        </w:rPr>
      </w:pPr>
      <w:r>
        <w:rPr>
          <w:w w:val="105"/>
          <w:sz w:val="13"/>
        </w:rPr>
        <w:t>235</w:t>
      </w:r>
      <w:r>
        <w:rPr>
          <w:spacing w:val="-7"/>
          <w:w w:val="105"/>
          <w:sz w:val="13"/>
        </w:rPr>
        <w:t xml:space="preserve"> </w:t>
      </w:r>
      <w:r>
        <w:rPr>
          <w:w w:val="105"/>
          <w:sz w:val="13"/>
        </w:rPr>
        <w:t>Tribunal</w:t>
      </w:r>
      <w:r>
        <w:rPr>
          <w:spacing w:val="-7"/>
          <w:w w:val="105"/>
          <w:sz w:val="13"/>
        </w:rPr>
        <w:t xml:space="preserve"> </w:t>
      </w:r>
      <w:r>
        <w:rPr>
          <w:w w:val="105"/>
          <w:sz w:val="13"/>
        </w:rPr>
        <w:t>de</w:t>
      </w:r>
      <w:r>
        <w:rPr>
          <w:spacing w:val="-7"/>
          <w:w w:val="105"/>
          <w:sz w:val="13"/>
        </w:rPr>
        <w:t xml:space="preserve"> </w:t>
      </w:r>
      <w:r>
        <w:rPr>
          <w:w w:val="105"/>
          <w:sz w:val="13"/>
        </w:rPr>
        <w:t>Justicia</w:t>
      </w:r>
      <w:r>
        <w:rPr>
          <w:spacing w:val="-7"/>
          <w:w w:val="105"/>
          <w:sz w:val="13"/>
        </w:rPr>
        <w:t xml:space="preserve"> </w:t>
      </w:r>
      <w:r>
        <w:rPr>
          <w:w w:val="105"/>
          <w:sz w:val="13"/>
        </w:rPr>
        <w:t>de</w:t>
      </w:r>
      <w:r>
        <w:rPr>
          <w:spacing w:val="-7"/>
          <w:w w:val="105"/>
          <w:sz w:val="13"/>
        </w:rPr>
        <w:t xml:space="preserve"> </w:t>
      </w:r>
      <w:r>
        <w:rPr>
          <w:w w:val="105"/>
          <w:sz w:val="13"/>
        </w:rPr>
        <w:t>la</w:t>
      </w:r>
      <w:r>
        <w:rPr>
          <w:spacing w:val="-7"/>
          <w:w w:val="105"/>
          <w:sz w:val="13"/>
        </w:rPr>
        <w:t xml:space="preserve"> </w:t>
      </w:r>
      <w:r>
        <w:rPr>
          <w:w w:val="105"/>
          <w:sz w:val="13"/>
        </w:rPr>
        <w:t>Unión</w:t>
      </w:r>
      <w:r>
        <w:rPr>
          <w:spacing w:val="-7"/>
          <w:w w:val="105"/>
          <w:sz w:val="13"/>
        </w:rPr>
        <w:t xml:space="preserve"> </w:t>
      </w:r>
      <w:r>
        <w:rPr>
          <w:w w:val="105"/>
          <w:sz w:val="13"/>
        </w:rPr>
        <w:t>Europea,</w:t>
      </w:r>
      <w:r>
        <w:rPr>
          <w:spacing w:val="-7"/>
          <w:w w:val="105"/>
          <w:sz w:val="13"/>
        </w:rPr>
        <w:t xml:space="preserve"> </w:t>
      </w:r>
      <w:proofErr w:type="spellStart"/>
      <w:r>
        <w:rPr>
          <w:w w:val="105"/>
          <w:sz w:val="13"/>
        </w:rPr>
        <w:t>Centrum</w:t>
      </w:r>
      <w:proofErr w:type="spellEnd"/>
      <w:r>
        <w:rPr>
          <w:spacing w:val="-7"/>
          <w:w w:val="105"/>
          <w:sz w:val="13"/>
        </w:rPr>
        <w:t xml:space="preserve"> </w:t>
      </w:r>
      <w:proofErr w:type="spellStart"/>
      <w:r>
        <w:rPr>
          <w:w w:val="105"/>
          <w:sz w:val="13"/>
        </w:rPr>
        <w:t>voor</w:t>
      </w:r>
      <w:proofErr w:type="spellEnd"/>
      <w:r>
        <w:rPr>
          <w:spacing w:val="-7"/>
          <w:w w:val="105"/>
          <w:sz w:val="13"/>
        </w:rPr>
        <w:t xml:space="preserve"> </w:t>
      </w:r>
      <w:proofErr w:type="spellStart"/>
      <w:r>
        <w:rPr>
          <w:w w:val="105"/>
          <w:sz w:val="13"/>
        </w:rPr>
        <w:t>gelijkheid</w:t>
      </w:r>
      <w:proofErr w:type="spellEnd"/>
      <w:r>
        <w:rPr>
          <w:spacing w:val="-7"/>
          <w:w w:val="105"/>
          <w:sz w:val="13"/>
        </w:rPr>
        <w:t xml:space="preserve"> </w:t>
      </w:r>
      <w:r>
        <w:rPr>
          <w:w w:val="105"/>
          <w:sz w:val="13"/>
        </w:rPr>
        <w:t>van</w:t>
      </w:r>
      <w:r>
        <w:rPr>
          <w:spacing w:val="-7"/>
          <w:w w:val="105"/>
          <w:sz w:val="13"/>
        </w:rPr>
        <w:t xml:space="preserve"> </w:t>
      </w:r>
      <w:proofErr w:type="spellStart"/>
      <w:r>
        <w:rPr>
          <w:w w:val="105"/>
          <w:sz w:val="13"/>
        </w:rPr>
        <w:t>kansen</w:t>
      </w:r>
      <w:proofErr w:type="spellEnd"/>
      <w:r>
        <w:rPr>
          <w:spacing w:val="-7"/>
          <w:w w:val="105"/>
          <w:sz w:val="13"/>
        </w:rPr>
        <w:t xml:space="preserve"> </w:t>
      </w:r>
      <w:r>
        <w:rPr>
          <w:w w:val="105"/>
          <w:sz w:val="13"/>
        </w:rPr>
        <w:t>en</w:t>
      </w:r>
      <w:r>
        <w:rPr>
          <w:spacing w:val="-7"/>
          <w:w w:val="105"/>
          <w:sz w:val="13"/>
        </w:rPr>
        <w:t xml:space="preserve"> </w:t>
      </w:r>
      <w:proofErr w:type="spellStart"/>
      <w:r>
        <w:rPr>
          <w:w w:val="105"/>
          <w:sz w:val="13"/>
        </w:rPr>
        <w:t>voor</w:t>
      </w:r>
      <w:proofErr w:type="spellEnd"/>
      <w:r>
        <w:rPr>
          <w:spacing w:val="-7"/>
          <w:w w:val="105"/>
          <w:sz w:val="13"/>
        </w:rPr>
        <w:t xml:space="preserve"> </w:t>
      </w:r>
      <w:proofErr w:type="spellStart"/>
      <w:r>
        <w:rPr>
          <w:w w:val="105"/>
          <w:sz w:val="13"/>
        </w:rPr>
        <w:t>racismebestrijding</w:t>
      </w:r>
      <w:proofErr w:type="spellEnd"/>
      <w:r>
        <w:rPr>
          <w:spacing w:val="-7"/>
          <w:w w:val="105"/>
          <w:sz w:val="13"/>
        </w:rPr>
        <w:t xml:space="preserve"> </w:t>
      </w:r>
      <w:r>
        <w:rPr>
          <w:w w:val="105"/>
          <w:sz w:val="13"/>
        </w:rPr>
        <w:t>v.</w:t>
      </w:r>
      <w:r>
        <w:rPr>
          <w:spacing w:val="-7"/>
          <w:w w:val="105"/>
          <w:sz w:val="13"/>
        </w:rPr>
        <w:t xml:space="preserve"> </w:t>
      </w:r>
      <w:r>
        <w:rPr>
          <w:w w:val="105"/>
          <w:sz w:val="13"/>
        </w:rPr>
        <w:t>Firma</w:t>
      </w:r>
      <w:r>
        <w:rPr>
          <w:spacing w:val="-7"/>
          <w:w w:val="105"/>
          <w:sz w:val="13"/>
        </w:rPr>
        <w:t xml:space="preserve"> </w:t>
      </w:r>
      <w:proofErr w:type="spellStart"/>
      <w:r>
        <w:rPr>
          <w:w w:val="105"/>
          <w:sz w:val="13"/>
        </w:rPr>
        <w:t>Feryn</w:t>
      </w:r>
      <w:proofErr w:type="spellEnd"/>
      <w:r>
        <w:rPr>
          <w:spacing w:val="-7"/>
          <w:w w:val="105"/>
          <w:sz w:val="13"/>
        </w:rPr>
        <w:t xml:space="preserve"> </w:t>
      </w:r>
      <w:r>
        <w:rPr>
          <w:w w:val="105"/>
          <w:sz w:val="13"/>
        </w:rPr>
        <w:t>NV,</w:t>
      </w:r>
      <w:r>
        <w:rPr>
          <w:spacing w:val="-7"/>
          <w:w w:val="105"/>
          <w:sz w:val="13"/>
        </w:rPr>
        <w:t xml:space="preserve"> </w:t>
      </w:r>
      <w:r>
        <w:rPr>
          <w:w w:val="105"/>
          <w:sz w:val="13"/>
        </w:rPr>
        <w:t>Caso</w:t>
      </w:r>
      <w:r>
        <w:rPr>
          <w:spacing w:val="-7"/>
          <w:w w:val="105"/>
          <w:sz w:val="13"/>
        </w:rPr>
        <w:t xml:space="preserve"> </w:t>
      </w:r>
      <w:r>
        <w:rPr>
          <w:w w:val="105"/>
          <w:sz w:val="13"/>
        </w:rPr>
        <w:t>C-54/07,</w:t>
      </w:r>
      <w:r>
        <w:rPr>
          <w:spacing w:val="-7"/>
          <w:w w:val="105"/>
          <w:sz w:val="13"/>
        </w:rPr>
        <w:t xml:space="preserve"> </w:t>
      </w:r>
      <w:r>
        <w:rPr>
          <w:w w:val="105"/>
          <w:sz w:val="13"/>
        </w:rPr>
        <w:t>Sentencia,</w:t>
      </w:r>
      <w:r>
        <w:rPr>
          <w:spacing w:val="40"/>
          <w:w w:val="105"/>
          <w:sz w:val="13"/>
        </w:rPr>
        <w:t xml:space="preserve"> </w:t>
      </w:r>
      <w:r>
        <w:rPr>
          <w:spacing w:val="-2"/>
          <w:w w:val="105"/>
          <w:sz w:val="13"/>
        </w:rPr>
        <w:t xml:space="preserve">10 de julio de 2008, párr. 34. Véase, en relación con esto, Tribunal de Justicia de la Unión Europea, </w:t>
      </w:r>
      <w:proofErr w:type="spellStart"/>
      <w:r>
        <w:rPr>
          <w:spacing w:val="-2"/>
          <w:w w:val="105"/>
          <w:sz w:val="13"/>
        </w:rPr>
        <w:t>Asociaţia</w:t>
      </w:r>
      <w:proofErr w:type="spellEnd"/>
      <w:r>
        <w:rPr>
          <w:spacing w:val="-2"/>
          <w:w w:val="105"/>
          <w:sz w:val="13"/>
        </w:rPr>
        <w:t xml:space="preserve"> </w:t>
      </w:r>
      <w:proofErr w:type="spellStart"/>
      <w:r>
        <w:rPr>
          <w:spacing w:val="-2"/>
          <w:w w:val="105"/>
          <w:sz w:val="13"/>
        </w:rPr>
        <w:t>Accept</w:t>
      </w:r>
      <w:proofErr w:type="spellEnd"/>
      <w:r>
        <w:rPr>
          <w:spacing w:val="-2"/>
          <w:w w:val="105"/>
          <w:sz w:val="13"/>
        </w:rPr>
        <w:t xml:space="preserve"> v. </w:t>
      </w:r>
      <w:proofErr w:type="spellStart"/>
      <w:r>
        <w:rPr>
          <w:spacing w:val="-2"/>
          <w:w w:val="105"/>
          <w:sz w:val="13"/>
        </w:rPr>
        <w:t>Consiliul</w:t>
      </w:r>
      <w:proofErr w:type="spellEnd"/>
      <w:r>
        <w:rPr>
          <w:spacing w:val="-2"/>
          <w:w w:val="105"/>
          <w:sz w:val="13"/>
        </w:rPr>
        <w:t xml:space="preserve"> </w:t>
      </w:r>
      <w:proofErr w:type="spellStart"/>
      <w:r>
        <w:rPr>
          <w:spacing w:val="-2"/>
          <w:w w:val="105"/>
          <w:sz w:val="13"/>
        </w:rPr>
        <w:t>Naţional</w:t>
      </w:r>
      <w:proofErr w:type="spellEnd"/>
    </w:p>
    <w:p w14:paraId="56D9458E" w14:textId="77777777" w:rsidR="0014798C" w:rsidRDefault="004E1F0B">
      <w:pPr>
        <w:spacing w:before="1" w:line="288" w:lineRule="auto"/>
        <w:ind w:left="1371" w:right="1807" w:hanging="9"/>
        <w:rPr>
          <w:sz w:val="13"/>
        </w:rPr>
      </w:pPr>
      <w:proofErr w:type="spellStart"/>
      <w:r>
        <w:rPr>
          <w:sz w:val="13"/>
        </w:rPr>
        <w:t>pentru</w:t>
      </w:r>
      <w:proofErr w:type="spellEnd"/>
      <w:r>
        <w:rPr>
          <w:sz w:val="13"/>
        </w:rPr>
        <w:t xml:space="preserve"> </w:t>
      </w:r>
      <w:proofErr w:type="spellStart"/>
      <w:r>
        <w:rPr>
          <w:sz w:val="13"/>
        </w:rPr>
        <w:t>Combaterea</w:t>
      </w:r>
      <w:proofErr w:type="spellEnd"/>
      <w:r>
        <w:rPr>
          <w:sz w:val="13"/>
        </w:rPr>
        <w:t xml:space="preserve"> </w:t>
      </w:r>
      <w:proofErr w:type="spellStart"/>
      <w:r>
        <w:rPr>
          <w:sz w:val="13"/>
        </w:rPr>
        <w:t>Discriminării</w:t>
      </w:r>
      <w:proofErr w:type="spellEnd"/>
      <w:r>
        <w:rPr>
          <w:sz w:val="13"/>
        </w:rPr>
        <w:t xml:space="preserve">, Caso C-81/12, Sentencia, 25 de abril de 2013; y NH contra </w:t>
      </w:r>
      <w:proofErr w:type="spellStart"/>
      <w:r>
        <w:rPr>
          <w:sz w:val="13"/>
        </w:rPr>
        <w:t>Associazione</w:t>
      </w:r>
      <w:proofErr w:type="spellEnd"/>
      <w:r>
        <w:rPr>
          <w:sz w:val="13"/>
        </w:rPr>
        <w:t xml:space="preserve"> </w:t>
      </w:r>
      <w:proofErr w:type="spellStart"/>
      <w:r>
        <w:rPr>
          <w:sz w:val="13"/>
        </w:rPr>
        <w:t>Avvocatura</w:t>
      </w:r>
      <w:proofErr w:type="spellEnd"/>
      <w:r>
        <w:rPr>
          <w:sz w:val="13"/>
        </w:rPr>
        <w:t xml:space="preserve"> </w:t>
      </w:r>
      <w:proofErr w:type="gramStart"/>
      <w:r>
        <w:rPr>
          <w:sz w:val="13"/>
        </w:rPr>
        <w:t>per i</w:t>
      </w:r>
      <w:proofErr w:type="gramEnd"/>
      <w:r>
        <w:rPr>
          <w:sz w:val="13"/>
        </w:rPr>
        <w:t xml:space="preserve"> </w:t>
      </w:r>
      <w:proofErr w:type="spellStart"/>
      <w:r>
        <w:rPr>
          <w:sz w:val="13"/>
        </w:rPr>
        <w:t>diritti</w:t>
      </w:r>
      <w:proofErr w:type="spellEnd"/>
      <w:r>
        <w:rPr>
          <w:sz w:val="13"/>
        </w:rPr>
        <w:t xml:space="preserve"> LGBTI, Caso</w:t>
      </w:r>
      <w:r>
        <w:rPr>
          <w:spacing w:val="40"/>
          <w:sz w:val="13"/>
        </w:rPr>
        <w:t xml:space="preserve"> </w:t>
      </w:r>
      <w:r>
        <w:rPr>
          <w:sz w:val="13"/>
        </w:rPr>
        <w:t>C-507/18, Sentencia de 23 de abril de 2020.</w:t>
      </w:r>
    </w:p>
    <w:p w14:paraId="684E411C" w14:textId="77777777" w:rsidR="0014798C" w:rsidRDefault="004E1F0B">
      <w:pPr>
        <w:spacing w:before="66"/>
        <w:ind w:left="1105"/>
        <w:rPr>
          <w:sz w:val="12"/>
        </w:rPr>
      </w:pPr>
      <w:r>
        <w:rPr>
          <w:sz w:val="12"/>
        </w:rPr>
        <w:t>236</w:t>
      </w:r>
      <w:r>
        <w:rPr>
          <w:spacing w:val="-7"/>
          <w:sz w:val="12"/>
        </w:rPr>
        <w:t xml:space="preserve"> </w:t>
      </w:r>
      <w:r>
        <w:rPr>
          <w:sz w:val="12"/>
        </w:rPr>
        <w:t>Véase</w:t>
      </w:r>
      <w:r>
        <w:rPr>
          <w:spacing w:val="-6"/>
          <w:sz w:val="12"/>
        </w:rPr>
        <w:t xml:space="preserve"> </w:t>
      </w:r>
      <w:r>
        <w:rPr>
          <w:sz w:val="12"/>
        </w:rPr>
        <w:t>la</w:t>
      </w:r>
      <w:r>
        <w:rPr>
          <w:spacing w:val="-6"/>
          <w:sz w:val="12"/>
        </w:rPr>
        <w:t xml:space="preserve"> </w:t>
      </w:r>
      <w:r>
        <w:rPr>
          <w:sz w:val="12"/>
        </w:rPr>
        <w:t>sección</w:t>
      </w:r>
      <w:r>
        <w:rPr>
          <w:spacing w:val="-7"/>
          <w:sz w:val="12"/>
        </w:rPr>
        <w:t xml:space="preserve"> </w:t>
      </w:r>
      <w:r>
        <w:rPr>
          <w:sz w:val="12"/>
        </w:rPr>
        <w:t>IA2(b)</w:t>
      </w:r>
      <w:r>
        <w:rPr>
          <w:spacing w:val="-6"/>
          <w:sz w:val="12"/>
        </w:rPr>
        <w:t xml:space="preserve"> </w:t>
      </w:r>
      <w:r>
        <w:rPr>
          <w:sz w:val="12"/>
        </w:rPr>
        <w:t>de</w:t>
      </w:r>
      <w:r>
        <w:rPr>
          <w:spacing w:val="-7"/>
          <w:sz w:val="12"/>
        </w:rPr>
        <w:t xml:space="preserve"> </w:t>
      </w:r>
      <w:r>
        <w:rPr>
          <w:sz w:val="12"/>
        </w:rPr>
        <w:t>esta</w:t>
      </w:r>
      <w:r>
        <w:rPr>
          <w:spacing w:val="-6"/>
          <w:sz w:val="12"/>
        </w:rPr>
        <w:t xml:space="preserve"> </w:t>
      </w:r>
      <w:r>
        <w:rPr>
          <w:sz w:val="12"/>
        </w:rPr>
        <w:t>parte</w:t>
      </w:r>
      <w:r>
        <w:rPr>
          <w:spacing w:val="-6"/>
          <w:sz w:val="12"/>
        </w:rPr>
        <w:t xml:space="preserve"> </w:t>
      </w:r>
      <w:r>
        <w:rPr>
          <w:sz w:val="12"/>
        </w:rPr>
        <w:t>sobre</w:t>
      </w:r>
      <w:r>
        <w:rPr>
          <w:spacing w:val="-7"/>
          <w:sz w:val="12"/>
        </w:rPr>
        <w:t xml:space="preserve"> </w:t>
      </w:r>
      <w:r>
        <w:rPr>
          <w:spacing w:val="-2"/>
          <w:sz w:val="12"/>
        </w:rPr>
        <w:t>comparadores.</w:t>
      </w:r>
    </w:p>
    <w:p w14:paraId="1D24B7ED" w14:textId="77777777" w:rsidR="0014798C" w:rsidRDefault="0014798C">
      <w:pPr>
        <w:pStyle w:val="Textoindependiente"/>
        <w:rPr>
          <w:sz w:val="18"/>
        </w:rPr>
      </w:pPr>
    </w:p>
    <w:p w14:paraId="24B0B007" w14:textId="77777777" w:rsidR="0014798C" w:rsidRDefault="0014798C">
      <w:pPr>
        <w:pStyle w:val="Textoindependiente"/>
        <w:rPr>
          <w:sz w:val="18"/>
        </w:rPr>
      </w:pPr>
    </w:p>
    <w:p w14:paraId="295DC779" w14:textId="77777777" w:rsidR="0014798C" w:rsidRDefault="0014798C">
      <w:pPr>
        <w:pStyle w:val="Textoindependiente"/>
        <w:spacing w:before="30"/>
        <w:rPr>
          <w:sz w:val="18"/>
        </w:rPr>
      </w:pPr>
    </w:p>
    <w:p w14:paraId="0DBA3903" w14:textId="77777777" w:rsidR="0014798C" w:rsidRDefault="004E1F0B">
      <w:pPr>
        <w:spacing w:before="1"/>
        <w:ind w:right="723"/>
        <w:jc w:val="right"/>
        <w:rPr>
          <w:sz w:val="18"/>
        </w:rPr>
      </w:pPr>
      <w:r>
        <w:rPr>
          <w:spacing w:val="-5"/>
          <w:sz w:val="18"/>
        </w:rPr>
        <w:t>33</w:t>
      </w:r>
    </w:p>
    <w:p w14:paraId="3C29E994" w14:textId="77777777" w:rsidR="0014798C" w:rsidRDefault="0014798C">
      <w:pPr>
        <w:jc w:val="right"/>
        <w:rPr>
          <w:sz w:val="18"/>
        </w:rPr>
        <w:sectPr w:rsidR="0014798C" w:rsidSect="00F265E4">
          <w:pgSz w:w="11900" w:h="16820"/>
          <w:pgMar w:top="340" w:right="0" w:bottom="280" w:left="200" w:header="121" w:footer="0" w:gutter="0"/>
          <w:cols w:space="720"/>
        </w:sectPr>
      </w:pPr>
    </w:p>
    <w:p w14:paraId="2EF2A32A" w14:textId="77777777" w:rsidR="0014798C" w:rsidRDefault="0014798C">
      <w:pPr>
        <w:pStyle w:val="Textoindependiente"/>
        <w:spacing w:before="85"/>
        <w:rPr>
          <w:sz w:val="12"/>
        </w:rPr>
      </w:pPr>
    </w:p>
    <w:p w14:paraId="2D6A5847" w14:textId="77777777" w:rsidR="0014798C" w:rsidRDefault="004E1F0B">
      <w:pPr>
        <w:ind w:left="1111"/>
        <w:rPr>
          <w:sz w:val="12"/>
        </w:rPr>
      </w:pPr>
      <w:r>
        <w:rPr>
          <w:color w:val="00AC59"/>
          <w:sz w:val="12"/>
        </w:rPr>
        <w:t>PROTECCIÓN</w:t>
      </w:r>
      <w:r>
        <w:rPr>
          <w:color w:val="00AC59"/>
          <w:spacing w:val="6"/>
          <w:sz w:val="12"/>
        </w:rPr>
        <w:t xml:space="preserve"> </w:t>
      </w:r>
      <w:r>
        <w:rPr>
          <w:color w:val="00AC59"/>
          <w:sz w:val="12"/>
        </w:rPr>
        <w:t>DE</w:t>
      </w:r>
      <w:r>
        <w:rPr>
          <w:color w:val="00AC59"/>
          <w:spacing w:val="7"/>
          <w:sz w:val="12"/>
        </w:rPr>
        <w:t xml:space="preserve"> </w:t>
      </w:r>
      <w:r>
        <w:rPr>
          <w:color w:val="00AC59"/>
          <w:sz w:val="12"/>
        </w:rPr>
        <w:t>LOS</w:t>
      </w:r>
      <w:r>
        <w:rPr>
          <w:color w:val="00AC59"/>
          <w:spacing w:val="8"/>
          <w:sz w:val="12"/>
        </w:rPr>
        <w:t xml:space="preserve"> </w:t>
      </w:r>
      <w:r>
        <w:rPr>
          <w:color w:val="00AC59"/>
          <w:sz w:val="12"/>
        </w:rPr>
        <w:t>DERECHOS</w:t>
      </w:r>
      <w:r>
        <w:rPr>
          <w:color w:val="00AC59"/>
          <w:spacing w:val="8"/>
          <w:sz w:val="12"/>
        </w:rPr>
        <w:t xml:space="preserve"> </w:t>
      </w:r>
      <w:r>
        <w:rPr>
          <w:color w:val="00AC59"/>
          <w:sz w:val="12"/>
        </w:rPr>
        <w:t>DE</w:t>
      </w:r>
      <w:r>
        <w:rPr>
          <w:color w:val="00AC59"/>
          <w:spacing w:val="6"/>
          <w:sz w:val="12"/>
        </w:rPr>
        <w:t xml:space="preserve"> </w:t>
      </w:r>
      <w:r>
        <w:rPr>
          <w:color w:val="00AC59"/>
          <w:sz w:val="12"/>
        </w:rPr>
        <w:t>LAS</w:t>
      </w:r>
      <w:r>
        <w:rPr>
          <w:color w:val="00AC59"/>
          <w:spacing w:val="7"/>
          <w:sz w:val="12"/>
        </w:rPr>
        <w:t xml:space="preserve"> </w:t>
      </w:r>
      <w:r>
        <w:rPr>
          <w:color w:val="00AC59"/>
          <w:sz w:val="12"/>
        </w:rPr>
        <w:t>MINORÍAS:</w:t>
      </w:r>
      <w:r>
        <w:rPr>
          <w:color w:val="00AC59"/>
          <w:spacing w:val="8"/>
          <w:sz w:val="12"/>
        </w:rPr>
        <w:t xml:space="preserve"> </w:t>
      </w:r>
      <w:r>
        <w:rPr>
          <w:color w:val="00AC59"/>
          <w:sz w:val="12"/>
        </w:rPr>
        <w:t>una</w:t>
      </w:r>
      <w:r>
        <w:rPr>
          <w:color w:val="00AC59"/>
          <w:spacing w:val="7"/>
          <w:sz w:val="12"/>
        </w:rPr>
        <w:t xml:space="preserve"> </w:t>
      </w:r>
      <w:r>
        <w:rPr>
          <w:color w:val="00AC59"/>
          <w:sz w:val="12"/>
        </w:rPr>
        <w:t>guía</w:t>
      </w:r>
      <w:r>
        <w:rPr>
          <w:color w:val="00AC59"/>
          <w:spacing w:val="6"/>
          <w:sz w:val="12"/>
        </w:rPr>
        <w:t xml:space="preserve"> </w:t>
      </w:r>
      <w:r>
        <w:rPr>
          <w:color w:val="00AC59"/>
          <w:sz w:val="12"/>
        </w:rPr>
        <w:t>práctica</w:t>
      </w:r>
      <w:r>
        <w:rPr>
          <w:color w:val="00AC59"/>
          <w:spacing w:val="7"/>
          <w:sz w:val="12"/>
        </w:rPr>
        <w:t xml:space="preserve"> </w:t>
      </w:r>
      <w:r>
        <w:rPr>
          <w:color w:val="00AC59"/>
          <w:sz w:val="12"/>
        </w:rPr>
        <w:t>para</w:t>
      </w:r>
      <w:r>
        <w:rPr>
          <w:color w:val="00AC59"/>
          <w:spacing w:val="8"/>
          <w:sz w:val="12"/>
        </w:rPr>
        <w:t xml:space="preserve"> </w:t>
      </w:r>
      <w:r>
        <w:rPr>
          <w:color w:val="00AC59"/>
          <w:sz w:val="12"/>
        </w:rPr>
        <w:t>desarrollar</w:t>
      </w:r>
      <w:r>
        <w:rPr>
          <w:color w:val="00AC59"/>
          <w:spacing w:val="6"/>
          <w:sz w:val="12"/>
        </w:rPr>
        <w:t xml:space="preserve"> </w:t>
      </w:r>
      <w:r>
        <w:rPr>
          <w:color w:val="00AC59"/>
          <w:sz w:val="12"/>
        </w:rPr>
        <w:t>una</w:t>
      </w:r>
      <w:r>
        <w:rPr>
          <w:color w:val="00AC59"/>
          <w:spacing w:val="7"/>
          <w:sz w:val="12"/>
        </w:rPr>
        <w:t xml:space="preserve"> </w:t>
      </w:r>
      <w:r>
        <w:rPr>
          <w:color w:val="00AC59"/>
          <w:sz w:val="12"/>
        </w:rPr>
        <w:t>legislación</w:t>
      </w:r>
      <w:r>
        <w:rPr>
          <w:color w:val="00AC59"/>
          <w:spacing w:val="8"/>
          <w:sz w:val="12"/>
        </w:rPr>
        <w:t xml:space="preserve"> </w:t>
      </w:r>
      <w:r>
        <w:rPr>
          <w:color w:val="00AC59"/>
          <w:sz w:val="12"/>
        </w:rPr>
        <w:t>integral</w:t>
      </w:r>
      <w:r>
        <w:rPr>
          <w:color w:val="00AC59"/>
          <w:spacing w:val="7"/>
          <w:sz w:val="12"/>
        </w:rPr>
        <w:t xml:space="preserve"> </w:t>
      </w:r>
      <w:r>
        <w:rPr>
          <w:color w:val="00AC59"/>
          <w:sz w:val="12"/>
        </w:rPr>
        <w:t>contra</w:t>
      </w:r>
      <w:r>
        <w:rPr>
          <w:color w:val="00AC59"/>
          <w:spacing w:val="6"/>
          <w:sz w:val="12"/>
        </w:rPr>
        <w:t xml:space="preserve"> </w:t>
      </w:r>
      <w:r>
        <w:rPr>
          <w:color w:val="00AC59"/>
          <w:sz w:val="12"/>
        </w:rPr>
        <w:t>la</w:t>
      </w:r>
      <w:r>
        <w:rPr>
          <w:color w:val="00AC59"/>
          <w:spacing w:val="7"/>
          <w:sz w:val="12"/>
        </w:rPr>
        <w:t xml:space="preserve"> </w:t>
      </w:r>
      <w:r>
        <w:rPr>
          <w:color w:val="00AC59"/>
          <w:spacing w:val="-2"/>
          <w:sz w:val="12"/>
        </w:rPr>
        <w:t>discriminación</w:t>
      </w:r>
    </w:p>
    <w:p w14:paraId="63C96359" w14:textId="77777777" w:rsidR="0014798C" w:rsidRDefault="0014798C">
      <w:pPr>
        <w:pStyle w:val="Textoindependiente"/>
      </w:pPr>
    </w:p>
    <w:p w14:paraId="3FF53914" w14:textId="77777777" w:rsidR="0014798C" w:rsidRDefault="0014798C">
      <w:pPr>
        <w:pStyle w:val="Textoindependiente"/>
      </w:pPr>
    </w:p>
    <w:p w14:paraId="3D9B95BF" w14:textId="77777777" w:rsidR="0014798C" w:rsidRDefault="0014798C">
      <w:pPr>
        <w:pStyle w:val="Textoindependiente"/>
      </w:pPr>
    </w:p>
    <w:p w14:paraId="14CCA64B" w14:textId="77777777" w:rsidR="0014798C" w:rsidRDefault="0014798C">
      <w:pPr>
        <w:pStyle w:val="Textoindependiente"/>
      </w:pPr>
    </w:p>
    <w:p w14:paraId="0A143FED" w14:textId="77777777" w:rsidR="0014798C" w:rsidRDefault="0014798C">
      <w:pPr>
        <w:pStyle w:val="Textoindependiente"/>
        <w:spacing w:before="102"/>
      </w:pPr>
    </w:p>
    <w:p w14:paraId="45E50ECF" w14:textId="77777777" w:rsidR="0014798C" w:rsidRDefault="004E1F0B">
      <w:pPr>
        <w:pStyle w:val="Textoindependiente"/>
        <w:spacing w:line="326" w:lineRule="auto"/>
        <w:ind w:left="1107" w:right="1335" w:firstLine="4"/>
      </w:pPr>
      <w:r>
        <w:rPr>
          <w:w w:val="105"/>
        </w:rPr>
        <w:t>impactos graves y duraderos. Tampoco lo es la diferencia entre los conceptos relacionados con la intención o el grado en que</w:t>
      </w:r>
      <w:r>
        <w:rPr>
          <w:spacing w:val="-7"/>
          <w:w w:val="105"/>
        </w:rPr>
        <w:t xml:space="preserve"> </w:t>
      </w:r>
      <w:r>
        <w:rPr>
          <w:w w:val="105"/>
        </w:rPr>
        <w:t>la</w:t>
      </w:r>
      <w:r>
        <w:rPr>
          <w:spacing w:val="-7"/>
          <w:w w:val="105"/>
        </w:rPr>
        <w:t xml:space="preserve"> </w:t>
      </w:r>
      <w:r>
        <w:rPr>
          <w:w w:val="105"/>
        </w:rPr>
        <w:t>parte</w:t>
      </w:r>
      <w:r>
        <w:rPr>
          <w:spacing w:val="-7"/>
          <w:w w:val="105"/>
        </w:rPr>
        <w:t xml:space="preserve"> </w:t>
      </w:r>
      <w:r>
        <w:rPr>
          <w:w w:val="105"/>
        </w:rPr>
        <w:t>discriminante</w:t>
      </w:r>
      <w:r>
        <w:rPr>
          <w:spacing w:val="-7"/>
          <w:w w:val="105"/>
        </w:rPr>
        <w:t xml:space="preserve"> </w:t>
      </w:r>
      <w:r>
        <w:rPr>
          <w:w w:val="105"/>
        </w:rPr>
        <w:t>es</w:t>
      </w:r>
      <w:r>
        <w:rPr>
          <w:spacing w:val="-7"/>
          <w:w w:val="105"/>
        </w:rPr>
        <w:t xml:space="preserve"> </w:t>
      </w:r>
      <w:r>
        <w:rPr>
          <w:w w:val="105"/>
        </w:rPr>
        <w:t>abierta</w:t>
      </w:r>
      <w:r>
        <w:rPr>
          <w:spacing w:val="-7"/>
          <w:w w:val="105"/>
        </w:rPr>
        <w:t xml:space="preserve"> </w:t>
      </w:r>
      <w:r>
        <w:rPr>
          <w:w w:val="105"/>
        </w:rPr>
        <w:t>acerca</w:t>
      </w:r>
      <w:r>
        <w:rPr>
          <w:spacing w:val="-7"/>
          <w:w w:val="105"/>
        </w:rPr>
        <w:t xml:space="preserve"> </w:t>
      </w:r>
      <w:r>
        <w:rPr>
          <w:w w:val="105"/>
        </w:rPr>
        <w:t>de</w:t>
      </w:r>
      <w:r>
        <w:rPr>
          <w:spacing w:val="-7"/>
          <w:w w:val="105"/>
        </w:rPr>
        <w:t xml:space="preserve"> </w:t>
      </w:r>
      <w:r>
        <w:rPr>
          <w:w w:val="105"/>
        </w:rPr>
        <w:t>sus</w:t>
      </w:r>
      <w:r>
        <w:rPr>
          <w:spacing w:val="-7"/>
          <w:w w:val="105"/>
        </w:rPr>
        <w:t xml:space="preserve"> </w:t>
      </w:r>
      <w:r>
        <w:rPr>
          <w:w w:val="105"/>
        </w:rPr>
        <w:t>motivos.</w:t>
      </w:r>
      <w:r>
        <w:rPr>
          <w:spacing w:val="-6"/>
          <w:w w:val="105"/>
        </w:rPr>
        <w:t xml:space="preserve"> </w:t>
      </w:r>
      <w:r>
        <w:rPr>
          <w:w w:val="105"/>
        </w:rPr>
        <w:t>Como</w:t>
      </w:r>
      <w:r>
        <w:rPr>
          <w:spacing w:val="-7"/>
          <w:w w:val="105"/>
        </w:rPr>
        <w:t xml:space="preserve"> </w:t>
      </w:r>
      <w:r>
        <w:rPr>
          <w:w w:val="105"/>
        </w:rPr>
        <w:t>se</w:t>
      </w:r>
      <w:r>
        <w:rPr>
          <w:spacing w:val="-7"/>
          <w:w w:val="105"/>
        </w:rPr>
        <w:t xml:space="preserve"> </w:t>
      </w:r>
      <w:r>
        <w:rPr>
          <w:w w:val="105"/>
        </w:rPr>
        <w:t>analizó</w:t>
      </w:r>
      <w:r>
        <w:rPr>
          <w:spacing w:val="-7"/>
          <w:w w:val="105"/>
        </w:rPr>
        <w:t xml:space="preserve"> </w:t>
      </w:r>
      <w:r>
        <w:rPr>
          <w:w w:val="105"/>
        </w:rPr>
        <w:t>anteriormente,</w:t>
      </w:r>
      <w:r>
        <w:rPr>
          <w:spacing w:val="-6"/>
          <w:w w:val="105"/>
        </w:rPr>
        <w:t xml:space="preserve"> </w:t>
      </w:r>
      <w:r>
        <w:rPr>
          <w:w w:val="105"/>
        </w:rPr>
        <w:t>la</w:t>
      </w:r>
      <w:r>
        <w:rPr>
          <w:spacing w:val="-7"/>
          <w:w w:val="105"/>
        </w:rPr>
        <w:t xml:space="preserve"> </w:t>
      </w:r>
      <w:r>
        <w:rPr>
          <w:w w:val="105"/>
        </w:rPr>
        <w:t>discriminación</w:t>
      </w:r>
      <w:r>
        <w:rPr>
          <w:spacing w:val="-7"/>
          <w:w w:val="105"/>
        </w:rPr>
        <w:t xml:space="preserve"> </w:t>
      </w:r>
      <w:r>
        <w:rPr>
          <w:w w:val="105"/>
        </w:rPr>
        <w:t>directa</w:t>
      </w:r>
      <w:r>
        <w:rPr>
          <w:spacing w:val="-7"/>
          <w:w w:val="105"/>
        </w:rPr>
        <w:t xml:space="preserve"> </w:t>
      </w:r>
      <w:r>
        <w:rPr>
          <w:w w:val="105"/>
        </w:rPr>
        <w:t>puede ser</w:t>
      </w:r>
      <w:r>
        <w:rPr>
          <w:spacing w:val="-10"/>
          <w:w w:val="105"/>
        </w:rPr>
        <w:t xml:space="preserve"> </w:t>
      </w:r>
      <w:r>
        <w:rPr>
          <w:w w:val="105"/>
        </w:rPr>
        <w:t>tanto</w:t>
      </w:r>
      <w:r>
        <w:rPr>
          <w:spacing w:val="-10"/>
          <w:w w:val="105"/>
        </w:rPr>
        <w:t xml:space="preserve"> </w:t>
      </w:r>
      <w:r>
        <w:rPr>
          <w:w w:val="105"/>
        </w:rPr>
        <w:t>intencional</w:t>
      </w:r>
      <w:r>
        <w:rPr>
          <w:spacing w:val="-10"/>
          <w:w w:val="105"/>
        </w:rPr>
        <w:t xml:space="preserve"> </w:t>
      </w:r>
      <w:r>
        <w:rPr>
          <w:w w:val="105"/>
        </w:rPr>
        <w:t>como</w:t>
      </w:r>
      <w:r>
        <w:rPr>
          <w:spacing w:val="-10"/>
          <w:w w:val="105"/>
        </w:rPr>
        <w:t xml:space="preserve"> </w:t>
      </w:r>
      <w:r>
        <w:rPr>
          <w:w w:val="105"/>
        </w:rPr>
        <w:t>no</w:t>
      </w:r>
      <w:r>
        <w:rPr>
          <w:spacing w:val="-9"/>
          <w:w w:val="105"/>
        </w:rPr>
        <w:t xml:space="preserve"> </w:t>
      </w:r>
      <w:r>
        <w:rPr>
          <w:w w:val="105"/>
        </w:rPr>
        <w:t>intencional237</w:t>
      </w:r>
      <w:r>
        <w:rPr>
          <w:spacing w:val="-10"/>
          <w:w w:val="105"/>
        </w:rPr>
        <w:t xml:space="preserve"> </w:t>
      </w:r>
      <w:r>
        <w:rPr>
          <w:w w:val="105"/>
        </w:rPr>
        <w:t>y</w:t>
      </w:r>
      <w:r>
        <w:rPr>
          <w:spacing w:val="-10"/>
          <w:w w:val="105"/>
        </w:rPr>
        <w:t xml:space="preserve"> </w:t>
      </w:r>
      <w:r>
        <w:rPr>
          <w:w w:val="105"/>
        </w:rPr>
        <w:t>puede</w:t>
      </w:r>
      <w:r>
        <w:rPr>
          <w:spacing w:val="-10"/>
          <w:w w:val="105"/>
        </w:rPr>
        <w:t xml:space="preserve"> </w:t>
      </w:r>
      <w:r>
        <w:rPr>
          <w:w w:val="105"/>
        </w:rPr>
        <w:t>ser</w:t>
      </w:r>
      <w:r>
        <w:rPr>
          <w:spacing w:val="-9"/>
          <w:w w:val="105"/>
        </w:rPr>
        <w:t xml:space="preserve"> </w:t>
      </w:r>
      <w:r>
        <w:rPr>
          <w:w w:val="105"/>
        </w:rPr>
        <w:t>tanto</w:t>
      </w:r>
      <w:r>
        <w:rPr>
          <w:spacing w:val="-10"/>
          <w:w w:val="105"/>
        </w:rPr>
        <w:t xml:space="preserve"> </w:t>
      </w:r>
      <w:r>
        <w:rPr>
          <w:w w:val="105"/>
        </w:rPr>
        <w:t>abierta</w:t>
      </w:r>
      <w:r>
        <w:rPr>
          <w:spacing w:val="-10"/>
          <w:w w:val="105"/>
        </w:rPr>
        <w:t xml:space="preserve"> </w:t>
      </w:r>
      <w:r>
        <w:rPr>
          <w:w w:val="105"/>
        </w:rPr>
        <w:t>(abierta</w:t>
      </w:r>
      <w:r>
        <w:rPr>
          <w:spacing w:val="-10"/>
          <w:w w:val="105"/>
        </w:rPr>
        <w:t xml:space="preserve"> </w:t>
      </w:r>
      <w:r>
        <w:rPr>
          <w:w w:val="105"/>
        </w:rPr>
        <w:t>y</w:t>
      </w:r>
      <w:r>
        <w:rPr>
          <w:spacing w:val="-9"/>
          <w:w w:val="105"/>
        </w:rPr>
        <w:t xml:space="preserve"> </w:t>
      </w:r>
      <w:r>
        <w:rPr>
          <w:w w:val="105"/>
        </w:rPr>
        <w:t>transparente)</w:t>
      </w:r>
      <w:r>
        <w:rPr>
          <w:spacing w:val="-10"/>
          <w:w w:val="105"/>
        </w:rPr>
        <w:t xml:space="preserve"> </w:t>
      </w:r>
      <w:r>
        <w:rPr>
          <w:w w:val="105"/>
        </w:rPr>
        <w:t>como</w:t>
      </w:r>
      <w:r>
        <w:rPr>
          <w:spacing w:val="-10"/>
          <w:w w:val="105"/>
        </w:rPr>
        <w:t xml:space="preserve"> </w:t>
      </w:r>
      <w:r>
        <w:rPr>
          <w:w w:val="105"/>
        </w:rPr>
        <w:t>encubierta</w:t>
      </w:r>
      <w:r>
        <w:rPr>
          <w:spacing w:val="-10"/>
          <w:w w:val="105"/>
        </w:rPr>
        <w:t xml:space="preserve"> </w:t>
      </w:r>
      <w:r>
        <w:rPr>
          <w:spacing w:val="-2"/>
          <w:w w:val="105"/>
        </w:rPr>
        <w:t>(oculta).238</w:t>
      </w:r>
    </w:p>
    <w:p w14:paraId="7F75FF60" w14:textId="77777777" w:rsidR="0014798C" w:rsidRDefault="004E1F0B">
      <w:pPr>
        <w:pStyle w:val="Textoindependiente"/>
        <w:spacing w:before="169" w:line="326" w:lineRule="auto"/>
        <w:ind w:left="1106" w:right="1256" w:firstLine="2"/>
      </w:pPr>
      <w:r>
        <w:rPr>
          <w:w w:val="105"/>
        </w:rPr>
        <w:t>La</w:t>
      </w:r>
      <w:r>
        <w:rPr>
          <w:spacing w:val="-6"/>
          <w:w w:val="105"/>
        </w:rPr>
        <w:t xml:space="preserve"> </w:t>
      </w:r>
      <w:r>
        <w:rPr>
          <w:w w:val="105"/>
        </w:rPr>
        <w:t>discriminación</w:t>
      </w:r>
      <w:r>
        <w:rPr>
          <w:spacing w:val="-6"/>
          <w:w w:val="105"/>
        </w:rPr>
        <w:t xml:space="preserve"> </w:t>
      </w:r>
      <w:r>
        <w:rPr>
          <w:w w:val="105"/>
        </w:rPr>
        <w:t>indirecta</w:t>
      </w:r>
      <w:r>
        <w:rPr>
          <w:spacing w:val="-6"/>
          <w:w w:val="105"/>
        </w:rPr>
        <w:t xml:space="preserve"> </w:t>
      </w:r>
      <w:r>
        <w:rPr>
          <w:w w:val="105"/>
        </w:rPr>
        <w:t>está</w:t>
      </w:r>
      <w:r>
        <w:rPr>
          <w:spacing w:val="-6"/>
          <w:w w:val="105"/>
        </w:rPr>
        <w:t xml:space="preserve"> </w:t>
      </w:r>
      <w:r>
        <w:rPr>
          <w:w w:val="105"/>
        </w:rPr>
        <w:t>bien</w:t>
      </w:r>
      <w:r>
        <w:rPr>
          <w:spacing w:val="-6"/>
          <w:w w:val="105"/>
        </w:rPr>
        <w:t xml:space="preserve"> </w:t>
      </w:r>
      <w:r>
        <w:rPr>
          <w:w w:val="105"/>
        </w:rPr>
        <w:t>establecida</w:t>
      </w:r>
      <w:r>
        <w:rPr>
          <w:spacing w:val="-6"/>
          <w:w w:val="105"/>
        </w:rPr>
        <w:t xml:space="preserve"> </w:t>
      </w:r>
      <w:r>
        <w:rPr>
          <w:w w:val="105"/>
        </w:rPr>
        <w:t>como</w:t>
      </w:r>
      <w:r>
        <w:rPr>
          <w:spacing w:val="-6"/>
          <w:w w:val="105"/>
        </w:rPr>
        <w:t xml:space="preserve"> </w:t>
      </w:r>
      <w:r>
        <w:rPr>
          <w:w w:val="105"/>
        </w:rPr>
        <w:t>una</w:t>
      </w:r>
      <w:r>
        <w:rPr>
          <w:spacing w:val="-6"/>
          <w:w w:val="105"/>
        </w:rPr>
        <w:t xml:space="preserve"> </w:t>
      </w:r>
      <w:r>
        <w:rPr>
          <w:w w:val="105"/>
        </w:rPr>
        <w:t>forma</w:t>
      </w:r>
      <w:r>
        <w:rPr>
          <w:spacing w:val="-6"/>
          <w:w w:val="105"/>
        </w:rPr>
        <w:t xml:space="preserve"> </w:t>
      </w:r>
      <w:r>
        <w:rPr>
          <w:w w:val="105"/>
        </w:rPr>
        <w:t>de</w:t>
      </w:r>
      <w:r>
        <w:rPr>
          <w:spacing w:val="-6"/>
          <w:w w:val="105"/>
        </w:rPr>
        <w:t xml:space="preserve"> </w:t>
      </w:r>
      <w:r>
        <w:rPr>
          <w:w w:val="105"/>
        </w:rPr>
        <w:t>discriminación</w:t>
      </w:r>
      <w:r>
        <w:rPr>
          <w:spacing w:val="-6"/>
          <w:w w:val="105"/>
        </w:rPr>
        <w:t xml:space="preserve"> </w:t>
      </w:r>
      <w:r>
        <w:rPr>
          <w:w w:val="105"/>
        </w:rPr>
        <w:t>según</w:t>
      </w:r>
      <w:r>
        <w:rPr>
          <w:spacing w:val="-6"/>
          <w:w w:val="105"/>
        </w:rPr>
        <w:t xml:space="preserve"> </w:t>
      </w:r>
      <w:r>
        <w:rPr>
          <w:w w:val="105"/>
        </w:rPr>
        <w:t>el</w:t>
      </w:r>
      <w:r>
        <w:rPr>
          <w:spacing w:val="-6"/>
          <w:w w:val="105"/>
        </w:rPr>
        <w:t xml:space="preserve"> </w:t>
      </w:r>
      <w:r>
        <w:rPr>
          <w:w w:val="105"/>
        </w:rPr>
        <w:t>derecho</w:t>
      </w:r>
      <w:r>
        <w:rPr>
          <w:spacing w:val="-6"/>
          <w:w w:val="105"/>
        </w:rPr>
        <w:t xml:space="preserve"> </w:t>
      </w:r>
      <w:r>
        <w:rPr>
          <w:w w:val="105"/>
        </w:rPr>
        <w:t>internacional</w:t>
      </w:r>
      <w:r>
        <w:rPr>
          <w:spacing w:val="-6"/>
          <w:w w:val="105"/>
        </w:rPr>
        <w:t xml:space="preserve"> </w:t>
      </w:r>
      <w:r>
        <w:rPr>
          <w:w w:val="105"/>
        </w:rPr>
        <w:t>y</w:t>
      </w:r>
      <w:r>
        <w:rPr>
          <w:spacing w:val="-6"/>
          <w:w w:val="105"/>
        </w:rPr>
        <w:t xml:space="preserve"> </w:t>
      </w:r>
      <w:r>
        <w:rPr>
          <w:w w:val="105"/>
        </w:rPr>
        <w:t>regional. El</w:t>
      </w:r>
      <w:r>
        <w:rPr>
          <w:spacing w:val="-3"/>
          <w:w w:val="105"/>
        </w:rPr>
        <w:t xml:space="preserve"> </w:t>
      </w:r>
      <w:r>
        <w:rPr>
          <w:w w:val="105"/>
        </w:rPr>
        <w:t>Comité</w:t>
      </w:r>
      <w:r>
        <w:rPr>
          <w:spacing w:val="-3"/>
          <w:w w:val="105"/>
        </w:rPr>
        <w:t xml:space="preserve"> </w:t>
      </w:r>
      <w:r>
        <w:rPr>
          <w:w w:val="105"/>
        </w:rPr>
        <w:t>de</w:t>
      </w:r>
      <w:r>
        <w:rPr>
          <w:spacing w:val="-3"/>
          <w:w w:val="105"/>
        </w:rPr>
        <w:t xml:space="preserve"> </w:t>
      </w:r>
      <w:r>
        <w:rPr>
          <w:w w:val="105"/>
        </w:rPr>
        <w:t>Derechos</w:t>
      </w:r>
      <w:r>
        <w:rPr>
          <w:spacing w:val="-3"/>
          <w:w w:val="105"/>
        </w:rPr>
        <w:t xml:space="preserve"> </w:t>
      </w:r>
      <w:r>
        <w:rPr>
          <w:w w:val="105"/>
        </w:rPr>
        <w:t>Económicos,</w:t>
      </w:r>
      <w:r>
        <w:rPr>
          <w:spacing w:val="-2"/>
          <w:w w:val="105"/>
        </w:rPr>
        <w:t xml:space="preserve"> </w:t>
      </w:r>
      <w:r>
        <w:rPr>
          <w:w w:val="105"/>
        </w:rPr>
        <w:t>Sociales</w:t>
      </w:r>
      <w:r>
        <w:rPr>
          <w:spacing w:val="-3"/>
          <w:w w:val="105"/>
        </w:rPr>
        <w:t xml:space="preserve"> </w:t>
      </w:r>
      <w:r>
        <w:rPr>
          <w:w w:val="105"/>
        </w:rPr>
        <w:t>y</w:t>
      </w:r>
      <w:r>
        <w:rPr>
          <w:spacing w:val="-3"/>
          <w:w w:val="105"/>
        </w:rPr>
        <w:t xml:space="preserve"> </w:t>
      </w:r>
      <w:r>
        <w:rPr>
          <w:w w:val="105"/>
        </w:rPr>
        <w:t>Culturales,</w:t>
      </w:r>
      <w:r>
        <w:rPr>
          <w:spacing w:val="-2"/>
          <w:w w:val="105"/>
        </w:rPr>
        <w:t xml:space="preserve"> </w:t>
      </w:r>
      <w:r>
        <w:rPr>
          <w:w w:val="105"/>
        </w:rPr>
        <w:t>el</w:t>
      </w:r>
      <w:r>
        <w:rPr>
          <w:spacing w:val="-3"/>
          <w:w w:val="105"/>
        </w:rPr>
        <w:t xml:space="preserve"> </w:t>
      </w:r>
      <w:r>
        <w:rPr>
          <w:w w:val="105"/>
        </w:rPr>
        <w:t>Comité</w:t>
      </w:r>
      <w:r>
        <w:rPr>
          <w:spacing w:val="-3"/>
          <w:w w:val="105"/>
        </w:rPr>
        <w:t xml:space="preserve"> </w:t>
      </w:r>
      <w:r>
        <w:rPr>
          <w:w w:val="105"/>
        </w:rPr>
        <w:t>para</w:t>
      </w:r>
      <w:r>
        <w:rPr>
          <w:spacing w:val="-3"/>
          <w:w w:val="105"/>
        </w:rPr>
        <w:t xml:space="preserve"> </w:t>
      </w:r>
      <w:r>
        <w:rPr>
          <w:w w:val="105"/>
        </w:rPr>
        <w:t>la</w:t>
      </w:r>
      <w:r>
        <w:rPr>
          <w:spacing w:val="-3"/>
          <w:w w:val="105"/>
        </w:rPr>
        <w:t xml:space="preserve"> </w:t>
      </w:r>
      <w:r>
        <w:rPr>
          <w:w w:val="105"/>
        </w:rPr>
        <w:t>Eliminación</w:t>
      </w:r>
      <w:r>
        <w:rPr>
          <w:spacing w:val="-3"/>
          <w:w w:val="105"/>
        </w:rPr>
        <w:t xml:space="preserve"> </w:t>
      </w:r>
      <w:r>
        <w:rPr>
          <w:w w:val="105"/>
        </w:rPr>
        <w:t>de</w:t>
      </w:r>
      <w:r>
        <w:rPr>
          <w:spacing w:val="-3"/>
          <w:w w:val="105"/>
        </w:rPr>
        <w:t xml:space="preserve"> </w:t>
      </w:r>
      <w:r>
        <w:rPr>
          <w:w w:val="105"/>
        </w:rPr>
        <w:t>la</w:t>
      </w:r>
      <w:r>
        <w:rPr>
          <w:spacing w:val="-3"/>
          <w:w w:val="105"/>
        </w:rPr>
        <w:t xml:space="preserve"> </w:t>
      </w:r>
      <w:r>
        <w:rPr>
          <w:w w:val="105"/>
        </w:rPr>
        <w:t>Discriminación</w:t>
      </w:r>
      <w:r>
        <w:rPr>
          <w:spacing w:val="-3"/>
          <w:w w:val="105"/>
        </w:rPr>
        <w:t xml:space="preserve"> </w:t>
      </w:r>
      <w:r>
        <w:rPr>
          <w:w w:val="105"/>
        </w:rPr>
        <w:t>contra</w:t>
      </w:r>
      <w:r>
        <w:rPr>
          <w:spacing w:val="-3"/>
          <w:w w:val="105"/>
        </w:rPr>
        <w:t xml:space="preserve"> </w:t>
      </w:r>
      <w:r>
        <w:rPr>
          <w:w w:val="105"/>
        </w:rPr>
        <w:t>la</w:t>
      </w:r>
      <w:r>
        <w:rPr>
          <w:spacing w:val="-3"/>
          <w:w w:val="105"/>
        </w:rPr>
        <w:t xml:space="preserve"> </w:t>
      </w:r>
      <w:r>
        <w:rPr>
          <w:w w:val="105"/>
        </w:rPr>
        <w:t>Mujer y el Comité sobre los Derechos de las Personas con Discapacidad han reconocido la necesidad de prohibir la discriminación indirecta</w:t>
      </w:r>
      <w:r>
        <w:rPr>
          <w:spacing w:val="-2"/>
          <w:w w:val="105"/>
        </w:rPr>
        <w:t xml:space="preserve"> </w:t>
      </w:r>
      <w:r>
        <w:rPr>
          <w:w w:val="105"/>
        </w:rPr>
        <w:t>para</w:t>
      </w:r>
      <w:r>
        <w:rPr>
          <w:spacing w:val="-2"/>
          <w:w w:val="105"/>
        </w:rPr>
        <w:t xml:space="preserve"> </w:t>
      </w:r>
      <w:r>
        <w:rPr>
          <w:w w:val="105"/>
        </w:rPr>
        <w:t>garantizar</w:t>
      </w:r>
      <w:r>
        <w:rPr>
          <w:spacing w:val="-2"/>
          <w:w w:val="105"/>
        </w:rPr>
        <w:t xml:space="preserve"> </w:t>
      </w:r>
      <w:r>
        <w:rPr>
          <w:w w:val="105"/>
        </w:rPr>
        <w:t>el</w:t>
      </w:r>
      <w:r>
        <w:rPr>
          <w:spacing w:val="-2"/>
          <w:w w:val="105"/>
        </w:rPr>
        <w:t xml:space="preserve"> </w:t>
      </w:r>
      <w:r>
        <w:rPr>
          <w:w w:val="105"/>
        </w:rPr>
        <w:t>pleno</w:t>
      </w:r>
      <w:r>
        <w:rPr>
          <w:spacing w:val="-2"/>
          <w:w w:val="105"/>
        </w:rPr>
        <w:t xml:space="preserve"> </w:t>
      </w:r>
      <w:r>
        <w:rPr>
          <w:w w:val="105"/>
        </w:rPr>
        <w:t>disfrute</w:t>
      </w:r>
      <w:r>
        <w:rPr>
          <w:spacing w:val="-2"/>
          <w:w w:val="105"/>
        </w:rPr>
        <w:t xml:space="preserve"> </w:t>
      </w:r>
      <w:r>
        <w:rPr>
          <w:w w:val="105"/>
        </w:rPr>
        <w:t>del</w:t>
      </w:r>
      <w:r>
        <w:rPr>
          <w:spacing w:val="-2"/>
          <w:w w:val="105"/>
        </w:rPr>
        <w:t xml:space="preserve"> </w:t>
      </w:r>
      <w:r>
        <w:rPr>
          <w:w w:val="105"/>
        </w:rPr>
        <w:t>derecho</w:t>
      </w:r>
      <w:r>
        <w:rPr>
          <w:spacing w:val="-2"/>
          <w:w w:val="105"/>
        </w:rPr>
        <w:t xml:space="preserve"> </w:t>
      </w:r>
      <w:r>
        <w:rPr>
          <w:w w:val="105"/>
        </w:rPr>
        <w:t>a</w:t>
      </w:r>
      <w:r>
        <w:rPr>
          <w:spacing w:val="-2"/>
          <w:w w:val="105"/>
        </w:rPr>
        <w:t xml:space="preserve"> </w:t>
      </w:r>
      <w:r>
        <w:rPr>
          <w:w w:val="105"/>
        </w:rPr>
        <w:t>no</w:t>
      </w:r>
      <w:r>
        <w:rPr>
          <w:spacing w:val="-2"/>
          <w:w w:val="105"/>
        </w:rPr>
        <w:t xml:space="preserve"> </w:t>
      </w:r>
      <w:r>
        <w:rPr>
          <w:w w:val="105"/>
        </w:rPr>
        <w:t>tener</w:t>
      </w:r>
      <w:r>
        <w:rPr>
          <w:spacing w:val="-2"/>
          <w:w w:val="105"/>
        </w:rPr>
        <w:t xml:space="preserve"> </w:t>
      </w:r>
      <w:r>
        <w:rPr>
          <w:w w:val="105"/>
        </w:rPr>
        <w:t>hijos.</w:t>
      </w:r>
      <w:r>
        <w:rPr>
          <w:spacing w:val="-1"/>
          <w:w w:val="105"/>
        </w:rPr>
        <w:t xml:space="preserve"> </w:t>
      </w:r>
      <w:r>
        <w:rPr>
          <w:w w:val="105"/>
        </w:rPr>
        <w:t>-discriminación</w:t>
      </w:r>
      <w:r>
        <w:rPr>
          <w:spacing w:val="-2"/>
          <w:w w:val="105"/>
        </w:rPr>
        <w:t xml:space="preserve"> </w:t>
      </w:r>
      <w:r>
        <w:rPr>
          <w:w w:val="105"/>
        </w:rPr>
        <w:t>adoptando</w:t>
      </w:r>
      <w:r>
        <w:rPr>
          <w:spacing w:val="-2"/>
          <w:w w:val="105"/>
        </w:rPr>
        <w:t xml:space="preserve"> </w:t>
      </w:r>
      <w:r>
        <w:rPr>
          <w:w w:val="105"/>
        </w:rPr>
        <w:t>una</w:t>
      </w:r>
      <w:r>
        <w:rPr>
          <w:spacing w:val="-2"/>
          <w:w w:val="105"/>
        </w:rPr>
        <w:t xml:space="preserve"> </w:t>
      </w:r>
      <w:r>
        <w:rPr>
          <w:w w:val="105"/>
        </w:rPr>
        <w:t>definición</w:t>
      </w:r>
      <w:r>
        <w:rPr>
          <w:spacing w:val="-2"/>
          <w:w w:val="105"/>
        </w:rPr>
        <w:t xml:space="preserve"> </w:t>
      </w:r>
      <w:r>
        <w:rPr>
          <w:w w:val="105"/>
        </w:rPr>
        <w:t>ampliamente consistente.239</w:t>
      </w:r>
      <w:r>
        <w:rPr>
          <w:spacing w:val="-2"/>
          <w:w w:val="105"/>
        </w:rPr>
        <w:t xml:space="preserve"> </w:t>
      </w:r>
      <w:r>
        <w:rPr>
          <w:w w:val="105"/>
        </w:rPr>
        <w:t>En</w:t>
      </w:r>
      <w:r>
        <w:rPr>
          <w:spacing w:val="-2"/>
          <w:w w:val="105"/>
        </w:rPr>
        <w:t xml:space="preserve"> </w:t>
      </w:r>
      <w:r>
        <w:rPr>
          <w:w w:val="105"/>
        </w:rPr>
        <w:t>cada</w:t>
      </w:r>
      <w:r>
        <w:rPr>
          <w:spacing w:val="-2"/>
          <w:w w:val="105"/>
        </w:rPr>
        <w:t xml:space="preserve"> </w:t>
      </w:r>
      <w:r>
        <w:rPr>
          <w:w w:val="105"/>
        </w:rPr>
        <w:t>caso,</w:t>
      </w:r>
      <w:r>
        <w:rPr>
          <w:spacing w:val="-1"/>
          <w:w w:val="105"/>
        </w:rPr>
        <w:t xml:space="preserve"> </w:t>
      </w:r>
      <w:r>
        <w:rPr>
          <w:w w:val="105"/>
        </w:rPr>
        <w:t>esta</w:t>
      </w:r>
      <w:r>
        <w:rPr>
          <w:spacing w:val="-2"/>
          <w:w w:val="105"/>
        </w:rPr>
        <w:t xml:space="preserve"> </w:t>
      </w:r>
      <w:r>
        <w:rPr>
          <w:w w:val="105"/>
        </w:rPr>
        <w:t>definición</w:t>
      </w:r>
      <w:r>
        <w:rPr>
          <w:spacing w:val="-2"/>
          <w:w w:val="105"/>
        </w:rPr>
        <w:t xml:space="preserve"> </w:t>
      </w:r>
      <w:r>
        <w:rPr>
          <w:w w:val="105"/>
        </w:rPr>
        <w:t>se</w:t>
      </w:r>
      <w:r>
        <w:rPr>
          <w:spacing w:val="-2"/>
          <w:w w:val="105"/>
        </w:rPr>
        <w:t xml:space="preserve"> </w:t>
      </w:r>
      <w:r>
        <w:rPr>
          <w:w w:val="105"/>
        </w:rPr>
        <w:t>centra</w:t>
      </w:r>
      <w:r>
        <w:rPr>
          <w:spacing w:val="-2"/>
          <w:w w:val="105"/>
        </w:rPr>
        <w:t xml:space="preserve"> </w:t>
      </w:r>
      <w:r>
        <w:rPr>
          <w:w w:val="105"/>
        </w:rPr>
        <w:t>en</w:t>
      </w:r>
      <w:r>
        <w:rPr>
          <w:spacing w:val="-2"/>
          <w:w w:val="105"/>
        </w:rPr>
        <w:t xml:space="preserve"> </w:t>
      </w:r>
      <w:r>
        <w:rPr>
          <w:w w:val="105"/>
        </w:rPr>
        <w:t>una</w:t>
      </w:r>
      <w:r>
        <w:rPr>
          <w:spacing w:val="-2"/>
          <w:w w:val="105"/>
        </w:rPr>
        <w:t xml:space="preserve"> </w:t>
      </w:r>
      <w:r>
        <w:rPr>
          <w:w w:val="105"/>
        </w:rPr>
        <w:t>ley,</w:t>
      </w:r>
      <w:r>
        <w:rPr>
          <w:spacing w:val="-2"/>
          <w:w w:val="105"/>
        </w:rPr>
        <w:t xml:space="preserve"> </w:t>
      </w:r>
      <w:r>
        <w:rPr>
          <w:w w:val="105"/>
        </w:rPr>
        <w:t>política</w:t>
      </w:r>
      <w:r>
        <w:rPr>
          <w:spacing w:val="-2"/>
          <w:w w:val="105"/>
        </w:rPr>
        <w:t xml:space="preserve"> </w:t>
      </w:r>
      <w:r>
        <w:rPr>
          <w:w w:val="105"/>
        </w:rPr>
        <w:t>o</w:t>
      </w:r>
      <w:r>
        <w:rPr>
          <w:spacing w:val="-2"/>
          <w:w w:val="105"/>
        </w:rPr>
        <w:t xml:space="preserve"> </w:t>
      </w:r>
      <w:r>
        <w:rPr>
          <w:w w:val="105"/>
        </w:rPr>
        <w:t>práctica</w:t>
      </w:r>
      <w:r>
        <w:rPr>
          <w:spacing w:val="-2"/>
          <w:w w:val="105"/>
        </w:rPr>
        <w:t xml:space="preserve"> </w:t>
      </w:r>
      <w:r>
        <w:rPr>
          <w:w w:val="105"/>
        </w:rPr>
        <w:t>aparentemente</w:t>
      </w:r>
      <w:r>
        <w:rPr>
          <w:spacing w:val="-2"/>
          <w:w w:val="105"/>
        </w:rPr>
        <w:t xml:space="preserve"> </w:t>
      </w:r>
      <w:r>
        <w:rPr>
          <w:w w:val="105"/>
        </w:rPr>
        <w:t>neutral</w:t>
      </w:r>
      <w:r>
        <w:rPr>
          <w:spacing w:val="-2"/>
          <w:w w:val="105"/>
        </w:rPr>
        <w:t xml:space="preserve"> </w:t>
      </w:r>
      <w:r>
        <w:rPr>
          <w:w w:val="105"/>
        </w:rPr>
        <w:t>que</w:t>
      </w:r>
      <w:r>
        <w:rPr>
          <w:spacing w:val="-2"/>
          <w:w w:val="105"/>
        </w:rPr>
        <w:t xml:space="preserve"> </w:t>
      </w:r>
      <w:r>
        <w:rPr>
          <w:w w:val="105"/>
        </w:rPr>
        <w:t>tiene</w:t>
      </w:r>
      <w:r>
        <w:rPr>
          <w:spacing w:val="-2"/>
          <w:w w:val="105"/>
        </w:rPr>
        <w:t xml:space="preserve"> </w:t>
      </w:r>
      <w:r>
        <w:rPr>
          <w:w w:val="105"/>
        </w:rPr>
        <w:t>un impacto negativo desproporcionado en los derechos de las personas que pertenecen a un grupo protegido.240 Como se señaló</w:t>
      </w:r>
      <w:r>
        <w:rPr>
          <w:spacing w:val="-1"/>
          <w:w w:val="105"/>
        </w:rPr>
        <w:t xml:space="preserve"> </w:t>
      </w:r>
      <w:r>
        <w:rPr>
          <w:w w:val="105"/>
        </w:rPr>
        <w:t>anteriormente, tanto</w:t>
      </w:r>
      <w:r>
        <w:rPr>
          <w:spacing w:val="-1"/>
          <w:w w:val="105"/>
        </w:rPr>
        <w:t xml:space="preserve"> </w:t>
      </w:r>
      <w:r>
        <w:rPr>
          <w:w w:val="105"/>
        </w:rPr>
        <w:t>el</w:t>
      </w:r>
      <w:r>
        <w:rPr>
          <w:spacing w:val="-1"/>
          <w:w w:val="105"/>
        </w:rPr>
        <w:t xml:space="preserve"> </w:t>
      </w:r>
      <w:r>
        <w:rPr>
          <w:w w:val="105"/>
        </w:rPr>
        <w:t>Comité</w:t>
      </w:r>
      <w:r>
        <w:rPr>
          <w:spacing w:val="-1"/>
          <w:w w:val="105"/>
        </w:rPr>
        <w:t xml:space="preserve"> </w:t>
      </w:r>
      <w:r>
        <w:rPr>
          <w:w w:val="105"/>
        </w:rPr>
        <w:t>sobre</w:t>
      </w:r>
      <w:r>
        <w:rPr>
          <w:spacing w:val="-1"/>
          <w:w w:val="105"/>
        </w:rPr>
        <w:t xml:space="preserve"> </w:t>
      </w:r>
      <w:r>
        <w:rPr>
          <w:w w:val="105"/>
        </w:rPr>
        <w:t>la</w:t>
      </w:r>
      <w:r>
        <w:rPr>
          <w:spacing w:val="-1"/>
          <w:w w:val="105"/>
        </w:rPr>
        <w:t xml:space="preserve"> </w:t>
      </w:r>
      <w:r>
        <w:rPr>
          <w:w w:val="105"/>
        </w:rPr>
        <w:t>Eliminación</w:t>
      </w:r>
      <w:r>
        <w:rPr>
          <w:spacing w:val="-1"/>
          <w:w w:val="105"/>
        </w:rPr>
        <w:t xml:space="preserve"> </w:t>
      </w:r>
      <w:r>
        <w:rPr>
          <w:w w:val="105"/>
        </w:rPr>
        <w:t>de</w:t>
      </w:r>
      <w:r>
        <w:rPr>
          <w:spacing w:val="-1"/>
          <w:w w:val="105"/>
        </w:rPr>
        <w:t xml:space="preserve"> </w:t>
      </w:r>
      <w:r>
        <w:rPr>
          <w:w w:val="105"/>
        </w:rPr>
        <w:t>la</w:t>
      </w:r>
      <w:r>
        <w:rPr>
          <w:spacing w:val="-1"/>
          <w:w w:val="105"/>
        </w:rPr>
        <w:t xml:space="preserve"> </w:t>
      </w:r>
      <w:r>
        <w:rPr>
          <w:w w:val="105"/>
        </w:rPr>
        <w:t>Discriminación</w:t>
      </w:r>
      <w:r>
        <w:rPr>
          <w:spacing w:val="-1"/>
          <w:w w:val="105"/>
        </w:rPr>
        <w:t xml:space="preserve"> </w:t>
      </w:r>
      <w:r>
        <w:rPr>
          <w:w w:val="105"/>
        </w:rPr>
        <w:t>Racial</w:t>
      </w:r>
      <w:r>
        <w:rPr>
          <w:spacing w:val="-1"/>
          <w:w w:val="105"/>
        </w:rPr>
        <w:t xml:space="preserve"> </w:t>
      </w:r>
      <w:r>
        <w:rPr>
          <w:w w:val="105"/>
        </w:rPr>
        <w:t>y</w:t>
      </w:r>
      <w:r>
        <w:rPr>
          <w:spacing w:val="-1"/>
          <w:w w:val="105"/>
        </w:rPr>
        <w:t xml:space="preserve"> </w:t>
      </w:r>
      <w:r>
        <w:rPr>
          <w:w w:val="105"/>
        </w:rPr>
        <w:t>el</w:t>
      </w:r>
      <w:r>
        <w:rPr>
          <w:spacing w:val="-1"/>
          <w:w w:val="105"/>
        </w:rPr>
        <w:t xml:space="preserve"> </w:t>
      </w:r>
      <w:r>
        <w:rPr>
          <w:w w:val="105"/>
        </w:rPr>
        <w:t>Comité</w:t>
      </w:r>
      <w:r>
        <w:rPr>
          <w:spacing w:val="-1"/>
          <w:w w:val="105"/>
        </w:rPr>
        <w:t xml:space="preserve"> </w:t>
      </w:r>
      <w:r>
        <w:rPr>
          <w:w w:val="105"/>
        </w:rPr>
        <w:t>de</w:t>
      </w:r>
      <w:r>
        <w:rPr>
          <w:spacing w:val="-1"/>
          <w:w w:val="105"/>
        </w:rPr>
        <w:t xml:space="preserve"> </w:t>
      </w:r>
      <w:r>
        <w:rPr>
          <w:w w:val="105"/>
        </w:rPr>
        <w:t>Derechos</w:t>
      </w:r>
      <w:r>
        <w:rPr>
          <w:spacing w:val="-1"/>
          <w:w w:val="105"/>
        </w:rPr>
        <w:t xml:space="preserve"> </w:t>
      </w:r>
      <w:r>
        <w:rPr>
          <w:w w:val="105"/>
        </w:rPr>
        <w:t>Humanos definen</w:t>
      </w:r>
      <w:r>
        <w:rPr>
          <w:spacing w:val="-7"/>
          <w:w w:val="105"/>
        </w:rPr>
        <w:t xml:space="preserve"> </w:t>
      </w:r>
      <w:r>
        <w:rPr>
          <w:w w:val="105"/>
        </w:rPr>
        <w:t>la</w:t>
      </w:r>
      <w:r>
        <w:rPr>
          <w:spacing w:val="-7"/>
          <w:w w:val="105"/>
        </w:rPr>
        <w:t xml:space="preserve"> </w:t>
      </w:r>
      <w:r>
        <w:rPr>
          <w:w w:val="105"/>
        </w:rPr>
        <w:t>discriminación</w:t>
      </w:r>
      <w:r>
        <w:rPr>
          <w:spacing w:val="-7"/>
          <w:w w:val="105"/>
        </w:rPr>
        <w:t xml:space="preserve"> </w:t>
      </w:r>
      <w:r>
        <w:rPr>
          <w:w w:val="105"/>
        </w:rPr>
        <w:t>como</w:t>
      </w:r>
      <w:r>
        <w:rPr>
          <w:spacing w:val="-7"/>
          <w:w w:val="105"/>
        </w:rPr>
        <w:t xml:space="preserve"> </w:t>
      </w:r>
      <w:r>
        <w:rPr>
          <w:w w:val="105"/>
        </w:rPr>
        <w:t>“cualquier</w:t>
      </w:r>
      <w:r>
        <w:rPr>
          <w:spacing w:val="-7"/>
          <w:w w:val="105"/>
        </w:rPr>
        <w:t xml:space="preserve"> </w:t>
      </w:r>
      <w:r>
        <w:rPr>
          <w:w w:val="105"/>
        </w:rPr>
        <w:t>distinción,</w:t>
      </w:r>
      <w:r>
        <w:rPr>
          <w:spacing w:val="-6"/>
          <w:w w:val="105"/>
        </w:rPr>
        <w:t xml:space="preserve"> </w:t>
      </w:r>
      <w:r>
        <w:rPr>
          <w:w w:val="105"/>
        </w:rPr>
        <w:t>exclusión,</w:t>
      </w:r>
      <w:r>
        <w:rPr>
          <w:spacing w:val="-6"/>
          <w:w w:val="105"/>
        </w:rPr>
        <w:t xml:space="preserve"> </w:t>
      </w:r>
      <w:r>
        <w:rPr>
          <w:w w:val="105"/>
        </w:rPr>
        <w:t>restricción</w:t>
      </w:r>
      <w:r>
        <w:rPr>
          <w:spacing w:val="-7"/>
          <w:w w:val="105"/>
        </w:rPr>
        <w:t xml:space="preserve"> </w:t>
      </w:r>
      <w:r>
        <w:rPr>
          <w:w w:val="105"/>
        </w:rPr>
        <w:t>o</w:t>
      </w:r>
      <w:r>
        <w:rPr>
          <w:spacing w:val="-7"/>
          <w:w w:val="105"/>
        </w:rPr>
        <w:t xml:space="preserve"> </w:t>
      </w:r>
      <w:r>
        <w:rPr>
          <w:w w:val="105"/>
        </w:rPr>
        <w:t>preferencia...</w:t>
      </w:r>
      <w:r>
        <w:rPr>
          <w:spacing w:val="-6"/>
          <w:w w:val="105"/>
        </w:rPr>
        <w:t xml:space="preserve"> </w:t>
      </w:r>
      <w:r>
        <w:rPr>
          <w:w w:val="105"/>
        </w:rPr>
        <w:t>que</w:t>
      </w:r>
      <w:r>
        <w:rPr>
          <w:spacing w:val="-7"/>
          <w:w w:val="105"/>
        </w:rPr>
        <w:t xml:space="preserve"> </w:t>
      </w:r>
      <w:r>
        <w:rPr>
          <w:w w:val="105"/>
        </w:rPr>
        <w:t>tenga</w:t>
      </w:r>
      <w:r>
        <w:rPr>
          <w:spacing w:val="-7"/>
          <w:w w:val="105"/>
        </w:rPr>
        <w:t xml:space="preserve"> </w:t>
      </w:r>
      <w:r>
        <w:rPr>
          <w:w w:val="105"/>
        </w:rPr>
        <w:t>por</w:t>
      </w:r>
      <w:r>
        <w:rPr>
          <w:spacing w:val="-7"/>
          <w:w w:val="105"/>
        </w:rPr>
        <w:t xml:space="preserve"> </w:t>
      </w:r>
      <w:r>
        <w:rPr>
          <w:w w:val="105"/>
        </w:rPr>
        <w:t>objeto</w:t>
      </w:r>
      <w:r>
        <w:rPr>
          <w:spacing w:val="-7"/>
          <w:w w:val="105"/>
        </w:rPr>
        <w:t xml:space="preserve"> </w:t>
      </w:r>
      <w:r>
        <w:rPr>
          <w:w w:val="105"/>
        </w:rPr>
        <w:t>o</w:t>
      </w:r>
      <w:r>
        <w:rPr>
          <w:spacing w:val="-7"/>
          <w:w w:val="105"/>
        </w:rPr>
        <w:t xml:space="preserve"> </w:t>
      </w:r>
      <w:r>
        <w:rPr>
          <w:w w:val="105"/>
        </w:rPr>
        <w:t>efecto</w:t>
      </w:r>
      <w:r>
        <w:rPr>
          <w:spacing w:val="-7"/>
          <w:w w:val="105"/>
        </w:rPr>
        <w:t xml:space="preserve"> </w:t>
      </w:r>
      <w:r>
        <w:rPr>
          <w:w w:val="105"/>
        </w:rPr>
        <w:t>anular o</w:t>
      </w:r>
      <w:r>
        <w:rPr>
          <w:spacing w:val="-3"/>
          <w:w w:val="105"/>
        </w:rPr>
        <w:t xml:space="preserve"> </w:t>
      </w:r>
      <w:r>
        <w:rPr>
          <w:w w:val="105"/>
        </w:rPr>
        <w:t>menoscabar</w:t>
      </w:r>
      <w:r>
        <w:rPr>
          <w:spacing w:val="-3"/>
          <w:w w:val="105"/>
        </w:rPr>
        <w:t xml:space="preserve"> </w:t>
      </w:r>
      <w:r>
        <w:rPr>
          <w:w w:val="105"/>
        </w:rPr>
        <w:t>el</w:t>
      </w:r>
      <w:r>
        <w:rPr>
          <w:spacing w:val="-3"/>
          <w:w w:val="105"/>
        </w:rPr>
        <w:t xml:space="preserve"> </w:t>
      </w:r>
      <w:r>
        <w:rPr>
          <w:w w:val="105"/>
        </w:rPr>
        <w:t>reconocimiento,</w:t>
      </w:r>
      <w:r>
        <w:rPr>
          <w:spacing w:val="-1"/>
          <w:w w:val="105"/>
        </w:rPr>
        <w:t xml:space="preserve"> </w:t>
      </w:r>
      <w:r>
        <w:rPr>
          <w:w w:val="105"/>
        </w:rPr>
        <w:t>goce</w:t>
      </w:r>
      <w:r>
        <w:rPr>
          <w:spacing w:val="-3"/>
          <w:w w:val="105"/>
        </w:rPr>
        <w:t xml:space="preserve"> </w:t>
      </w:r>
      <w:r>
        <w:rPr>
          <w:w w:val="105"/>
        </w:rPr>
        <w:t>o</w:t>
      </w:r>
      <w:r>
        <w:rPr>
          <w:spacing w:val="-3"/>
          <w:w w:val="105"/>
        </w:rPr>
        <w:t xml:space="preserve"> </w:t>
      </w:r>
      <w:r>
        <w:rPr>
          <w:w w:val="105"/>
        </w:rPr>
        <w:t>ejercicio,</w:t>
      </w:r>
      <w:r>
        <w:rPr>
          <w:spacing w:val="-2"/>
          <w:w w:val="105"/>
        </w:rPr>
        <w:t xml:space="preserve"> </w:t>
      </w:r>
      <w:r>
        <w:rPr>
          <w:w w:val="105"/>
        </w:rPr>
        <w:t>en</w:t>
      </w:r>
      <w:r>
        <w:rPr>
          <w:spacing w:val="-3"/>
          <w:w w:val="105"/>
        </w:rPr>
        <w:t xml:space="preserve"> </w:t>
      </w:r>
      <w:r>
        <w:rPr>
          <w:w w:val="105"/>
        </w:rPr>
        <w:t>condiciones</w:t>
      </w:r>
      <w:r>
        <w:rPr>
          <w:spacing w:val="-3"/>
          <w:w w:val="105"/>
        </w:rPr>
        <w:t xml:space="preserve"> </w:t>
      </w:r>
      <w:r>
        <w:rPr>
          <w:w w:val="105"/>
        </w:rPr>
        <w:t>de</w:t>
      </w:r>
      <w:r>
        <w:rPr>
          <w:spacing w:val="-3"/>
          <w:w w:val="105"/>
        </w:rPr>
        <w:t xml:space="preserve"> </w:t>
      </w:r>
      <w:r>
        <w:rPr>
          <w:w w:val="105"/>
        </w:rPr>
        <w:t>igualdad,</w:t>
      </w:r>
      <w:r>
        <w:rPr>
          <w:spacing w:val="-2"/>
          <w:w w:val="105"/>
        </w:rPr>
        <w:t xml:space="preserve"> </w:t>
      </w:r>
      <w:r>
        <w:rPr>
          <w:w w:val="105"/>
        </w:rPr>
        <w:t>de</w:t>
      </w:r>
      <w:r>
        <w:rPr>
          <w:spacing w:val="-3"/>
          <w:w w:val="105"/>
        </w:rPr>
        <w:t xml:space="preserve"> </w:t>
      </w:r>
      <w:r>
        <w:rPr>
          <w:w w:val="105"/>
        </w:rPr>
        <w:t>todos</w:t>
      </w:r>
      <w:r>
        <w:rPr>
          <w:spacing w:val="-3"/>
          <w:w w:val="105"/>
        </w:rPr>
        <w:t xml:space="preserve"> </w:t>
      </w:r>
      <w:r>
        <w:rPr>
          <w:w w:val="105"/>
        </w:rPr>
        <w:t>los</w:t>
      </w:r>
      <w:r>
        <w:rPr>
          <w:spacing w:val="-3"/>
          <w:w w:val="105"/>
        </w:rPr>
        <w:t xml:space="preserve"> </w:t>
      </w:r>
      <w:r>
        <w:rPr>
          <w:w w:val="105"/>
        </w:rPr>
        <w:t>derechos</w:t>
      </w:r>
      <w:r>
        <w:rPr>
          <w:spacing w:val="-3"/>
          <w:w w:val="105"/>
        </w:rPr>
        <w:t xml:space="preserve"> </w:t>
      </w:r>
      <w:r>
        <w:rPr>
          <w:w w:val="105"/>
        </w:rPr>
        <w:t>y</w:t>
      </w:r>
      <w:r>
        <w:rPr>
          <w:spacing w:val="-3"/>
          <w:w w:val="105"/>
        </w:rPr>
        <w:t xml:space="preserve"> </w:t>
      </w:r>
      <w:r>
        <w:rPr>
          <w:w w:val="105"/>
        </w:rPr>
        <w:t>libertades”.241</w:t>
      </w:r>
      <w:r>
        <w:rPr>
          <w:spacing w:val="-3"/>
          <w:w w:val="105"/>
        </w:rPr>
        <w:t xml:space="preserve"> </w:t>
      </w:r>
      <w:r>
        <w:rPr>
          <w:w w:val="105"/>
        </w:rPr>
        <w:t>Tanto el Comité de Derechos Humanos como el Comité para la Eliminación de la Discriminación Racial han reconocido las obligaciones de los Estados de eliminar formas de discriminación directa e indirecta.242 La Corte Africana243, la Interamericana244, la Unión Europea245 y la Corte Europea de Derechos Humanos Derechos246 Todos los sistemas de derechos humanos han adoptado definiciones de discriminación indirecta similares a las utilizadas por los organismos internacionales, con poca divergencia en el enfoque.</w:t>
      </w:r>
    </w:p>
    <w:p w14:paraId="6CD30075" w14:textId="77777777" w:rsidR="0014798C" w:rsidRDefault="004E1F0B">
      <w:pPr>
        <w:pStyle w:val="Textoindependiente"/>
        <w:spacing w:before="3"/>
        <w:rPr>
          <w:sz w:val="13"/>
        </w:rPr>
      </w:pPr>
      <w:r>
        <w:rPr>
          <w:noProof/>
        </w:rPr>
        <mc:AlternateContent>
          <mc:Choice Requires="wpg">
            <w:drawing>
              <wp:anchor distT="0" distB="0" distL="0" distR="0" simplePos="0" relativeHeight="251658525" behindDoc="1" locked="0" layoutInCell="1" allowOverlap="1" wp14:anchorId="108F927F" wp14:editId="6EF3D006">
                <wp:simplePos x="0" y="0"/>
                <wp:positionH relativeFrom="page">
                  <wp:posOffset>808662</wp:posOffset>
                </wp:positionH>
                <wp:positionV relativeFrom="paragraph">
                  <wp:posOffset>112119</wp:posOffset>
                </wp:positionV>
                <wp:extent cx="6086475" cy="1510030"/>
                <wp:effectExtent l="0" t="0" r="0" b="0"/>
                <wp:wrapTopAndBottom/>
                <wp:docPr id="112" name="Group 11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086475" cy="1510030"/>
                          <a:chOff x="0" y="0"/>
                          <a:chExt cx="6086475" cy="1510030"/>
                        </a:xfrm>
                      </wpg:grpSpPr>
                      <pic:pic xmlns:pic="http://schemas.openxmlformats.org/drawingml/2006/picture">
                        <pic:nvPicPr>
                          <pic:cNvPr id="113" name="Image 113"/>
                          <pic:cNvPicPr/>
                        </pic:nvPicPr>
                        <pic:blipFill>
                          <a:blip r:embed="rId113" cstate="print"/>
                          <a:stretch>
                            <a:fillRect/>
                          </a:stretch>
                        </pic:blipFill>
                        <pic:spPr>
                          <a:xfrm>
                            <a:off x="0" y="0"/>
                            <a:ext cx="5948160" cy="1509766"/>
                          </a:xfrm>
                          <a:prstGeom prst="rect">
                            <a:avLst/>
                          </a:prstGeom>
                        </pic:spPr>
                      </pic:pic>
                      <wps:wsp>
                        <wps:cNvPr id="114" name="Textbox 114"/>
                        <wps:cNvSpPr txBox="1"/>
                        <wps:spPr>
                          <a:xfrm>
                            <a:off x="0" y="0"/>
                            <a:ext cx="6086475" cy="1510030"/>
                          </a:xfrm>
                          <a:prstGeom prst="rect">
                            <a:avLst/>
                          </a:prstGeom>
                        </wps:spPr>
                        <wps:txbx>
                          <w:txbxContent>
                            <w:p w14:paraId="0B8C782F" w14:textId="77777777" w:rsidR="0014798C" w:rsidRDefault="0014798C">
                              <w:pPr>
                                <w:spacing w:before="144"/>
                                <w:rPr>
                                  <w:sz w:val="16"/>
                                </w:rPr>
                              </w:pPr>
                            </w:p>
                            <w:p w14:paraId="26EB6BC2" w14:textId="77777777" w:rsidR="0014798C" w:rsidRDefault="004E1F0B">
                              <w:pPr>
                                <w:spacing w:before="1" w:line="268" w:lineRule="auto"/>
                                <w:ind w:left="269" w:right="2667" w:hanging="14"/>
                                <w:rPr>
                                  <w:sz w:val="16"/>
                                </w:rPr>
                              </w:pPr>
                              <w:r>
                                <w:rPr>
                                  <w:w w:val="105"/>
                                  <w:sz w:val="16"/>
                                </w:rPr>
                                <w:t>ARTÍCULO</w:t>
                              </w:r>
                              <w:r>
                                <w:rPr>
                                  <w:spacing w:val="-9"/>
                                  <w:w w:val="105"/>
                                  <w:sz w:val="16"/>
                                </w:rPr>
                                <w:t xml:space="preserve"> </w:t>
                              </w:r>
                              <w:r>
                                <w:rPr>
                                  <w:w w:val="105"/>
                                  <w:sz w:val="16"/>
                                </w:rPr>
                                <w:t>1</w:t>
                              </w:r>
                              <w:r>
                                <w:rPr>
                                  <w:spacing w:val="-10"/>
                                  <w:w w:val="105"/>
                                  <w:sz w:val="16"/>
                                </w:rPr>
                                <w:t xml:space="preserve"> </w:t>
                              </w:r>
                              <w:r>
                                <w:rPr>
                                  <w:w w:val="105"/>
                                  <w:sz w:val="16"/>
                                </w:rPr>
                                <w:t>(2)</w:t>
                              </w:r>
                              <w:r>
                                <w:rPr>
                                  <w:spacing w:val="-10"/>
                                  <w:w w:val="105"/>
                                  <w:sz w:val="16"/>
                                </w:rPr>
                                <w:t xml:space="preserve"> </w:t>
                              </w:r>
                              <w:r>
                                <w:rPr>
                                  <w:w w:val="105"/>
                                  <w:sz w:val="16"/>
                                </w:rPr>
                                <w:t>DE</w:t>
                              </w:r>
                              <w:r>
                                <w:rPr>
                                  <w:spacing w:val="-10"/>
                                  <w:w w:val="105"/>
                                  <w:sz w:val="16"/>
                                </w:rPr>
                                <w:t xml:space="preserve"> </w:t>
                              </w:r>
                              <w:r>
                                <w:rPr>
                                  <w:w w:val="105"/>
                                  <w:sz w:val="16"/>
                                </w:rPr>
                                <w:t>LA</w:t>
                              </w:r>
                              <w:r>
                                <w:rPr>
                                  <w:spacing w:val="-10"/>
                                  <w:w w:val="105"/>
                                  <w:sz w:val="16"/>
                                </w:rPr>
                                <w:t xml:space="preserve"> </w:t>
                              </w:r>
                              <w:r>
                                <w:rPr>
                                  <w:w w:val="105"/>
                                  <w:sz w:val="16"/>
                                </w:rPr>
                                <w:t>CONVENCIÓN</w:t>
                              </w:r>
                              <w:r>
                                <w:rPr>
                                  <w:spacing w:val="-10"/>
                                  <w:w w:val="105"/>
                                  <w:sz w:val="16"/>
                                </w:rPr>
                                <w:t xml:space="preserve"> </w:t>
                              </w:r>
                              <w:r>
                                <w:rPr>
                                  <w:w w:val="105"/>
                                  <w:sz w:val="16"/>
                                </w:rPr>
                                <w:t>INTERAMERICANA</w:t>
                              </w:r>
                              <w:r>
                                <w:rPr>
                                  <w:spacing w:val="-9"/>
                                  <w:w w:val="105"/>
                                  <w:sz w:val="16"/>
                                </w:rPr>
                                <w:t xml:space="preserve"> </w:t>
                              </w:r>
                              <w:r>
                                <w:rPr>
                                  <w:w w:val="105"/>
                                  <w:sz w:val="16"/>
                                </w:rPr>
                                <w:t>CONTRA</w:t>
                              </w:r>
                              <w:r>
                                <w:rPr>
                                  <w:spacing w:val="-9"/>
                                  <w:w w:val="105"/>
                                  <w:sz w:val="16"/>
                                </w:rPr>
                                <w:t xml:space="preserve"> </w:t>
                              </w:r>
                              <w:r>
                                <w:rPr>
                                  <w:w w:val="105"/>
                                  <w:sz w:val="16"/>
                                </w:rPr>
                                <w:t>TODA</w:t>
                              </w:r>
                              <w:r>
                                <w:rPr>
                                  <w:spacing w:val="-10"/>
                                  <w:w w:val="105"/>
                                  <w:sz w:val="16"/>
                                </w:rPr>
                                <w:t xml:space="preserve"> </w:t>
                              </w:r>
                              <w:r>
                                <w:rPr>
                                  <w:w w:val="105"/>
                                  <w:sz w:val="16"/>
                                </w:rPr>
                                <w:t>FORMA</w:t>
                              </w:r>
                              <w:r>
                                <w:rPr>
                                  <w:spacing w:val="-10"/>
                                  <w:w w:val="105"/>
                                  <w:sz w:val="16"/>
                                </w:rPr>
                                <w:t xml:space="preserve"> </w:t>
                              </w:r>
                              <w:r>
                                <w:rPr>
                                  <w:w w:val="105"/>
                                  <w:sz w:val="16"/>
                                </w:rPr>
                                <w:t>DE DISCRIMINACIÓN E INTOLERANCIA</w:t>
                              </w:r>
                            </w:p>
                            <w:p w14:paraId="3091AC4C" w14:textId="77777777" w:rsidR="0014798C" w:rsidRDefault="0014798C">
                              <w:pPr>
                                <w:spacing w:before="14"/>
                                <w:rPr>
                                  <w:sz w:val="16"/>
                                </w:rPr>
                              </w:pPr>
                            </w:p>
                            <w:p w14:paraId="5F8BA9A3" w14:textId="77777777" w:rsidR="0014798C" w:rsidRDefault="004E1F0B">
                              <w:pPr>
                                <w:spacing w:line="326" w:lineRule="auto"/>
                                <w:ind w:left="256" w:right="73" w:firstLine="16"/>
                                <w:rPr>
                                  <w:sz w:val="16"/>
                                </w:rPr>
                              </w:pPr>
                              <w:r>
                                <w:rPr>
                                  <w:w w:val="105"/>
                                  <w:sz w:val="16"/>
                                </w:rPr>
                                <w:t>“Se</w:t>
                              </w:r>
                              <w:r>
                                <w:rPr>
                                  <w:spacing w:val="-1"/>
                                  <w:w w:val="105"/>
                                  <w:sz w:val="16"/>
                                </w:rPr>
                                <w:t xml:space="preserve"> </w:t>
                              </w:r>
                              <w:r>
                                <w:rPr>
                                  <w:w w:val="105"/>
                                  <w:sz w:val="16"/>
                                </w:rPr>
                                <w:t>considerará</w:t>
                              </w:r>
                              <w:r>
                                <w:rPr>
                                  <w:spacing w:val="-1"/>
                                  <w:w w:val="105"/>
                                  <w:sz w:val="16"/>
                                </w:rPr>
                                <w:t xml:space="preserve"> </w:t>
                              </w:r>
                              <w:r>
                                <w:rPr>
                                  <w:w w:val="105"/>
                                  <w:sz w:val="16"/>
                                </w:rPr>
                                <w:t>que</w:t>
                              </w:r>
                              <w:r>
                                <w:rPr>
                                  <w:spacing w:val="-1"/>
                                  <w:w w:val="105"/>
                                  <w:sz w:val="16"/>
                                </w:rPr>
                                <w:t xml:space="preserve"> </w:t>
                              </w:r>
                              <w:r>
                                <w:rPr>
                                  <w:w w:val="105"/>
                                  <w:sz w:val="16"/>
                                </w:rPr>
                                <w:t>existe</w:t>
                              </w:r>
                              <w:r>
                                <w:rPr>
                                  <w:spacing w:val="-1"/>
                                  <w:w w:val="105"/>
                                  <w:sz w:val="16"/>
                                </w:rPr>
                                <w:t xml:space="preserve"> </w:t>
                              </w:r>
                              <w:r>
                                <w:rPr>
                                  <w:w w:val="105"/>
                                  <w:sz w:val="16"/>
                                </w:rPr>
                                <w:t>discriminación</w:t>
                              </w:r>
                              <w:r>
                                <w:rPr>
                                  <w:spacing w:val="-1"/>
                                  <w:w w:val="105"/>
                                  <w:sz w:val="16"/>
                                </w:rPr>
                                <w:t xml:space="preserve"> </w:t>
                              </w:r>
                              <w:r>
                                <w:rPr>
                                  <w:w w:val="105"/>
                                  <w:sz w:val="16"/>
                                </w:rPr>
                                <w:t>indirecta, en</w:t>
                              </w:r>
                              <w:r>
                                <w:rPr>
                                  <w:spacing w:val="-1"/>
                                  <w:w w:val="105"/>
                                  <w:sz w:val="16"/>
                                </w:rPr>
                                <w:t xml:space="preserve"> </w:t>
                              </w:r>
                              <w:r>
                                <w:rPr>
                                  <w:w w:val="105"/>
                                  <w:sz w:val="16"/>
                                </w:rPr>
                                <w:t>cualquier</w:t>
                              </w:r>
                              <w:r>
                                <w:rPr>
                                  <w:spacing w:val="-1"/>
                                  <w:w w:val="105"/>
                                  <w:sz w:val="16"/>
                                </w:rPr>
                                <w:t xml:space="preserve"> </w:t>
                              </w:r>
                              <w:r>
                                <w:rPr>
                                  <w:w w:val="105"/>
                                  <w:sz w:val="16"/>
                                </w:rPr>
                                <w:t>ámbito</w:t>
                              </w:r>
                              <w:r>
                                <w:rPr>
                                  <w:spacing w:val="-1"/>
                                  <w:w w:val="105"/>
                                  <w:sz w:val="16"/>
                                </w:rPr>
                                <w:t xml:space="preserve"> </w:t>
                              </w:r>
                              <w:r>
                                <w:rPr>
                                  <w:w w:val="105"/>
                                  <w:sz w:val="16"/>
                                </w:rPr>
                                <w:t>de</w:t>
                              </w:r>
                              <w:r>
                                <w:rPr>
                                  <w:spacing w:val="-1"/>
                                  <w:w w:val="105"/>
                                  <w:sz w:val="16"/>
                                </w:rPr>
                                <w:t xml:space="preserve"> </w:t>
                              </w:r>
                              <w:r>
                                <w:rPr>
                                  <w:w w:val="105"/>
                                  <w:sz w:val="16"/>
                                </w:rPr>
                                <w:t>la</w:t>
                              </w:r>
                              <w:r>
                                <w:rPr>
                                  <w:spacing w:val="-1"/>
                                  <w:w w:val="105"/>
                                  <w:sz w:val="16"/>
                                </w:rPr>
                                <w:t xml:space="preserve"> </w:t>
                              </w:r>
                              <w:r>
                                <w:rPr>
                                  <w:w w:val="105"/>
                                  <w:sz w:val="16"/>
                                </w:rPr>
                                <w:t>vida</w:t>
                              </w:r>
                              <w:r>
                                <w:rPr>
                                  <w:spacing w:val="-1"/>
                                  <w:w w:val="105"/>
                                  <w:sz w:val="16"/>
                                </w:rPr>
                                <w:t xml:space="preserve"> </w:t>
                              </w:r>
                              <w:r>
                                <w:rPr>
                                  <w:w w:val="105"/>
                                  <w:sz w:val="16"/>
                                </w:rPr>
                                <w:t>pública</w:t>
                              </w:r>
                              <w:r>
                                <w:rPr>
                                  <w:spacing w:val="-1"/>
                                  <w:w w:val="105"/>
                                  <w:sz w:val="16"/>
                                </w:rPr>
                                <w:t xml:space="preserve"> </w:t>
                              </w:r>
                              <w:r>
                                <w:rPr>
                                  <w:w w:val="105"/>
                                  <w:sz w:val="16"/>
                                </w:rPr>
                                <w:t>y</w:t>
                              </w:r>
                              <w:r>
                                <w:rPr>
                                  <w:spacing w:val="-1"/>
                                  <w:w w:val="105"/>
                                  <w:sz w:val="16"/>
                                </w:rPr>
                                <w:t xml:space="preserve"> </w:t>
                              </w:r>
                              <w:r>
                                <w:rPr>
                                  <w:w w:val="105"/>
                                  <w:sz w:val="16"/>
                                </w:rPr>
                                <w:t>privada, cuando</w:t>
                              </w:r>
                              <w:r>
                                <w:rPr>
                                  <w:spacing w:val="-1"/>
                                  <w:w w:val="105"/>
                                  <w:sz w:val="16"/>
                                </w:rPr>
                                <w:t xml:space="preserve"> </w:t>
                              </w:r>
                              <w:r>
                                <w:rPr>
                                  <w:w w:val="105"/>
                                  <w:sz w:val="16"/>
                                </w:rPr>
                                <w:t>una disposición, criterio o práctica aparentemente neutral tenga la capacidad de entrañar una desventaja particular para personas</w:t>
                              </w:r>
                              <w:r>
                                <w:rPr>
                                  <w:spacing w:val="-6"/>
                                  <w:w w:val="105"/>
                                  <w:sz w:val="16"/>
                                </w:rPr>
                                <w:t xml:space="preserve"> </w:t>
                              </w:r>
                              <w:r>
                                <w:rPr>
                                  <w:w w:val="105"/>
                                  <w:sz w:val="16"/>
                                </w:rPr>
                                <w:t>pertenecientes</w:t>
                              </w:r>
                              <w:r>
                                <w:rPr>
                                  <w:spacing w:val="-6"/>
                                  <w:w w:val="105"/>
                                  <w:sz w:val="16"/>
                                </w:rPr>
                                <w:t xml:space="preserve"> </w:t>
                              </w:r>
                              <w:r>
                                <w:rPr>
                                  <w:w w:val="105"/>
                                  <w:sz w:val="16"/>
                                </w:rPr>
                                <w:t>a</w:t>
                              </w:r>
                              <w:r>
                                <w:rPr>
                                  <w:spacing w:val="-6"/>
                                  <w:w w:val="105"/>
                                  <w:sz w:val="16"/>
                                </w:rPr>
                                <w:t xml:space="preserve"> </w:t>
                              </w:r>
                              <w:r>
                                <w:rPr>
                                  <w:w w:val="105"/>
                                  <w:sz w:val="16"/>
                                </w:rPr>
                                <w:t>un</w:t>
                              </w:r>
                              <w:r>
                                <w:rPr>
                                  <w:spacing w:val="-6"/>
                                  <w:w w:val="105"/>
                                  <w:sz w:val="16"/>
                                </w:rPr>
                                <w:t xml:space="preserve"> </w:t>
                              </w:r>
                              <w:r>
                                <w:rPr>
                                  <w:w w:val="105"/>
                                  <w:sz w:val="16"/>
                                </w:rPr>
                                <w:t>grupo</w:t>
                              </w:r>
                              <w:r>
                                <w:rPr>
                                  <w:spacing w:val="-6"/>
                                  <w:w w:val="105"/>
                                  <w:sz w:val="16"/>
                                </w:rPr>
                                <w:t xml:space="preserve"> </w:t>
                              </w:r>
                              <w:r>
                                <w:rPr>
                                  <w:w w:val="105"/>
                                  <w:sz w:val="16"/>
                                </w:rPr>
                                <w:t>específico,</w:t>
                              </w:r>
                              <w:r>
                                <w:rPr>
                                  <w:spacing w:val="-5"/>
                                  <w:w w:val="105"/>
                                  <w:sz w:val="16"/>
                                </w:rPr>
                                <w:t xml:space="preserve"> </w:t>
                              </w:r>
                              <w:r>
                                <w:rPr>
                                  <w:w w:val="105"/>
                                  <w:sz w:val="16"/>
                                </w:rPr>
                                <w:t>o</w:t>
                              </w:r>
                              <w:r>
                                <w:rPr>
                                  <w:spacing w:val="-6"/>
                                  <w:w w:val="105"/>
                                  <w:sz w:val="16"/>
                                </w:rPr>
                                <w:t xml:space="preserve"> </w:t>
                              </w:r>
                              <w:r>
                                <w:rPr>
                                  <w:w w:val="105"/>
                                  <w:sz w:val="16"/>
                                </w:rPr>
                                <w:t>las</w:t>
                              </w:r>
                              <w:r>
                                <w:rPr>
                                  <w:spacing w:val="-6"/>
                                  <w:w w:val="105"/>
                                  <w:sz w:val="16"/>
                                </w:rPr>
                                <w:t xml:space="preserve"> </w:t>
                              </w:r>
                              <w:r>
                                <w:rPr>
                                  <w:w w:val="105"/>
                                  <w:sz w:val="16"/>
                                </w:rPr>
                                <w:t>ponga</w:t>
                              </w:r>
                              <w:r>
                                <w:rPr>
                                  <w:spacing w:val="-6"/>
                                  <w:w w:val="105"/>
                                  <w:sz w:val="16"/>
                                </w:rPr>
                                <w:t xml:space="preserve"> </w:t>
                              </w:r>
                              <w:r>
                                <w:rPr>
                                  <w:w w:val="105"/>
                                  <w:sz w:val="16"/>
                                </w:rPr>
                                <w:t>en</w:t>
                              </w:r>
                              <w:r>
                                <w:rPr>
                                  <w:spacing w:val="-6"/>
                                  <w:w w:val="105"/>
                                  <w:sz w:val="16"/>
                                </w:rPr>
                                <w:t xml:space="preserve"> </w:t>
                              </w:r>
                              <w:r>
                                <w:rPr>
                                  <w:w w:val="105"/>
                                  <w:sz w:val="16"/>
                                </w:rPr>
                                <w:t>desventaja”</w:t>
                              </w:r>
                              <w:r>
                                <w:rPr>
                                  <w:w w:val="105"/>
                                  <w:sz w:val="16"/>
                                </w:rPr>
                                <w:t>.</w:t>
                              </w:r>
                              <w:r>
                                <w:rPr>
                                  <w:spacing w:val="-6"/>
                                  <w:w w:val="105"/>
                                  <w:sz w:val="16"/>
                                </w:rPr>
                                <w:t xml:space="preserve"> </w:t>
                              </w:r>
                              <w:r>
                                <w:rPr>
                                  <w:w w:val="105"/>
                                  <w:sz w:val="16"/>
                                </w:rPr>
                                <w:t>,</w:t>
                              </w:r>
                              <w:r>
                                <w:rPr>
                                  <w:spacing w:val="-5"/>
                                  <w:w w:val="105"/>
                                  <w:sz w:val="16"/>
                                </w:rPr>
                                <w:t xml:space="preserve"> </w:t>
                              </w:r>
                              <w:r>
                                <w:rPr>
                                  <w:w w:val="105"/>
                                  <w:sz w:val="16"/>
                                </w:rPr>
                                <w:t>a</w:t>
                              </w:r>
                              <w:r>
                                <w:rPr>
                                  <w:spacing w:val="-6"/>
                                  <w:w w:val="105"/>
                                  <w:sz w:val="16"/>
                                </w:rPr>
                                <w:t xml:space="preserve"> </w:t>
                              </w:r>
                              <w:r>
                                <w:rPr>
                                  <w:w w:val="105"/>
                                  <w:sz w:val="16"/>
                                </w:rPr>
                                <w:t>menos</w:t>
                              </w:r>
                              <w:r>
                                <w:rPr>
                                  <w:spacing w:val="-6"/>
                                  <w:w w:val="105"/>
                                  <w:sz w:val="16"/>
                                </w:rPr>
                                <w:t xml:space="preserve"> </w:t>
                              </w:r>
                              <w:r>
                                <w:rPr>
                                  <w:w w:val="105"/>
                                  <w:sz w:val="16"/>
                                </w:rPr>
                                <w:t>que</w:t>
                              </w:r>
                              <w:r>
                                <w:rPr>
                                  <w:spacing w:val="-6"/>
                                  <w:w w:val="105"/>
                                  <w:sz w:val="16"/>
                                </w:rPr>
                                <w:t xml:space="preserve"> </w:t>
                              </w:r>
                              <w:r>
                                <w:rPr>
                                  <w:w w:val="105"/>
                                  <w:sz w:val="16"/>
                                </w:rPr>
                                <w:t>dicha</w:t>
                              </w:r>
                              <w:r>
                                <w:rPr>
                                  <w:spacing w:val="-6"/>
                                  <w:w w:val="105"/>
                                  <w:sz w:val="16"/>
                                </w:rPr>
                                <w:t xml:space="preserve"> </w:t>
                              </w:r>
                              <w:r>
                                <w:rPr>
                                  <w:w w:val="105"/>
                                  <w:sz w:val="16"/>
                                </w:rPr>
                                <w:t>disposición,</w:t>
                              </w:r>
                              <w:r>
                                <w:rPr>
                                  <w:spacing w:val="-5"/>
                                  <w:w w:val="105"/>
                                  <w:sz w:val="16"/>
                                </w:rPr>
                                <w:t xml:space="preserve"> </w:t>
                              </w:r>
                              <w:r>
                                <w:rPr>
                                  <w:w w:val="105"/>
                                  <w:sz w:val="16"/>
                                </w:rPr>
                                <w:t>criterio</w:t>
                              </w:r>
                              <w:r>
                                <w:rPr>
                                  <w:spacing w:val="-6"/>
                                  <w:w w:val="105"/>
                                  <w:sz w:val="16"/>
                                </w:rPr>
                                <w:t xml:space="preserve"> </w:t>
                              </w:r>
                              <w:r>
                                <w:rPr>
                                  <w:w w:val="105"/>
                                  <w:sz w:val="16"/>
                                </w:rPr>
                                <w:t>o</w:t>
                              </w:r>
                            </w:p>
                            <w:p w14:paraId="0BF7BDBE" w14:textId="77777777" w:rsidR="0014798C" w:rsidRDefault="004E1F0B">
                              <w:pPr>
                                <w:spacing w:line="183" w:lineRule="exact"/>
                                <w:ind w:left="260"/>
                                <w:rPr>
                                  <w:sz w:val="16"/>
                                </w:rPr>
                              </w:pPr>
                              <w:r>
                                <w:rPr>
                                  <w:w w:val="105"/>
                                  <w:sz w:val="16"/>
                                </w:rPr>
                                <w:t>práctica</w:t>
                              </w:r>
                              <w:r>
                                <w:rPr>
                                  <w:spacing w:val="-11"/>
                                  <w:w w:val="105"/>
                                  <w:sz w:val="16"/>
                                </w:rPr>
                                <w:t xml:space="preserve"> </w:t>
                              </w:r>
                              <w:r>
                                <w:rPr>
                                  <w:w w:val="105"/>
                                  <w:sz w:val="16"/>
                                </w:rPr>
                                <w:t>tenga</w:t>
                              </w:r>
                              <w:r>
                                <w:rPr>
                                  <w:spacing w:val="-11"/>
                                  <w:w w:val="105"/>
                                  <w:sz w:val="16"/>
                                </w:rPr>
                                <w:t xml:space="preserve"> </w:t>
                              </w:r>
                              <w:r>
                                <w:rPr>
                                  <w:w w:val="105"/>
                                  <w:sz w:val="16"/>
                                </w:rPr>
                                <w:t>algún</w:t>
                              </w:r>
                              <w:r>
                                <w:rPr>
                                  <w:spacing w:val="-10"/>
                                  <w:w w:val="105"/>
                                  <w:sz w:val="16"/>
                                </w:rPr>
                                <w:t xml:space="preserve"> </w:t>
                              </w:r>
                              <w:r>
                                <w:rPr>
                                  <w:w w:val="105"/>
                                  <w:sz w:val="16"/>
                                </w:rPr>
                                <w:t>objetivo</w:t>
                              </w:r>
                              <w:r>
                                <w:rPr>
                                  <w:spacing w:val="-11"/>
                                  <w:w w:val="105"/>
                                  <w:sz w:val="16"/>
                                </w:rPr>
                                <w:t xml:space="preserve"> </w:t>
                              </w:r>
                              <w:r>
                                <w:rPr>
                                  <w:w w:val="105"/>
                                  <w:sz w:val="16"/>
                                </w:rPr>
                                <w:t>o</w:t>
                              </w:r>
                              <w:r>
                                <w:rPr>
                                  <w:spacing w:val="-11"/>
                                  <w:w w:val="105"/>
                                  <w:sz w:val="16"/>
                                </w:rPr>
                                <w:t xml:space="preserve"> </w:t>
                              </w:r>
                              <w:r>
                                <w:rPr>
                                  <w:w w:val="105"/>
                                  <w:sz w:val="16"/>
                                </w:rPr>
                                <w:t>justificación</w:t>
                              </w:r>
                              <w:r>
                                <w:rPr>
                                  <w:spacing w:val="-10"/>
                                  <w:w w:val="105"/>
                                  <w:sz w:val="16"/>
                                </w:rPr>
                                <w:t xml:space="preserve"> </w:t>
                              </w:r>
                              <w:r>
                                <w:rPr>
                                  <w:w w:val="105"/>
                                  <w:sz w:val="16"/>
                                </w:rPr>
                                <w:t>razonable</w:t>
                              </w:r>
                              <w:r>
                                <w:rPr>
                                  <w:spacing w:val="-11"/>
                                  <w:w w:val="105"/>
                                  <w:sz w:val="16"/>
                                </w:rPr>
                                <w:t xml:space="preserve"> </w:t>
                              </w:r>
                              <w:r>
                                <w:rPr>
                                  <w:w w:val="105"/>
                                  <w:sz w:val="16"/>
                                </w:rPr>
                                <w:t>y</w:t>
                              </w:r>
                              <w:r>
                                <w:rPr>
                                  <w:spacing w:val="-11"/>
                                  <w:w w:val="105"/>
                                  <w:sz w:val="16"/>
                                </w:rPr>
                                <w:t xml:space="preserve"> </w:t>
                              </w:r>
                              <w:r>
                                <w:rPr>
                                  <w:w w:val="105"/>
                                  <w:sz w:val="16"/>
                                </w:rPr>
                                <w:t>legítima</w:t>
                              </w:r>
                              <w:r>
                                <w:rPr>
                                  <w:spacing w:val="-10"/>
                                  <w:w w:val="105"/>
                                  <w:sz w:val="16"/>
                                </w:rPr>
                                <w:t xml:space="preserve"> </w:t>
                              </w:r>
                              <w:r>
                                <w:rPr>
                                  <w:w w:val="105"/>
                                  <w:sz w:val="16"/>
                                </w:rPr>
                                <w:t>conforme</w:t>
                              </w:r>
                              <w:r>
                                <w:rPr>
                                  <w:spacing w:val="-11"/>
                                  <w:w w:val="105"/>
                                  <w:sz w:val="16"/>
                                </w:rPr>
                                <w:t xml:space="preserve"> </w:t>
                              </w:r>
                              <w:r>
                                <w:rPr>
                                  <w:w w:val="105"/>
                                  <w:sz w:val="16"/>
                                </w:rPr>
                                <w:t>al</w:t>
                              </w:r>
                              <w:r>
                                <w:rPr>
                                  <w:spacing w:val="-11"/>
                                  <w:w w:val="105"/>
                                  <w:sz w:val="16"/>
                                </w:rPr>
                                <w:t xml:space="preserve"> </w:t>
                              </w:r>
                              <w:r>
                                <w:rPr>
                                  <w:w w:val="105"/>
                                  <w:sz w:val="16"/>
                                </w:rPr>
                                <w:t>derecho</w:t>
                              </w:r>
                              <w:r>
                                <w:rPr>
                                  <w:spacing w:val="-10"/>
                                  <w:w w:val="105"/>
                                  <w:sz w:val="16"/>
                                </w:rPr>
                                <w:t xml:space="preserve"> </w:t>
                              </w:r>
                              <w:r>
                                <w:rPr>
                                  <w:w w:val="105"/>
                                  <w:sz w:val="16"/>
                                </w:rPr>
                                <w:t>internacional</w:t>
                              </w:r>
                              <w:r>
                                <w:rPr>
                                  <w:spacing w:val="-11"/>
                                  <w:w w:val="105"/>
                                  <w:sz w:val="16"/>
                                </w:rPr>
                                <w:t xml:space="preserve"> </w:t>
                              </w:r>
                              <w:r>
                                <w:rPr>
                                  <w:w w:val="105"/>
                                  <w:sz w:val="16"/>
                                </w:rPr>
                                <w:t>de</w:t>
                              </w:r>
                              <w:r>
                                <w:rPr>
                                  <w:spacing w:val="-11"/>
                                  <w:w w:val="105"/>
                                  <w:sz w:val="16"/>
                                </w:rPr>
                                <w:t xml:space="preserve"> </w:t>
                              </w:r>
                              <w:r>
                                <w:rPr>
                                  <w:w w:val="105"/>
                                  <w:sz w:val="16"/>
                                </w:rPr>
                                <w:t>los</w:t>
                              </w:r>
                              <w:r>
                                <w:rPr>
                                  <w:spacing w:val="-10"/>
                                  <w:w w:val="105"/>
                                  <w:sz w:val="16"/>
                                </w:rPr>
                                <w:t xml:space="preserve"> </w:t>
                              </w:r>
                              <w:r>
                                <w:rPr>
                                  <w:w w:val="105"/>
                                  <w:sz w:val="16"/>
                                </w:rPr>
                                <w:t>derechos</w:t>
                              </w:r>
                              <w:r>
                                <w:rPr>
                                  <w:spacing w:val="-11"/>
                                  <w:w w:val="105"/>
                                  <w:sz w:val="16"/>
                                </w:rPr>
                                <w:t xml:space="preserve"> </w:t>
                              </w:r>
                              <w:r>
                                <w:rPr>
                                  <w:spacing w:val="-2"/>
                                  <w:w w:val="105"/>
                                  <w:sz w:val="16"/>
                                </w:rPr>
                                <w:t>humanos”.</w:t>
                              </w:r>
                            </w:p>
                          </w:txbxContent>
                        </wps:txbx>
                        <wps:bodyPr wrap="square" lIns="0" tIns="0" rIns="0" bIns="0" rtlCol="0">
                          <a:noAutofit/>
                        </wps:bodyPr>
                      </wps:wsp>
                    </wpg:wgp>
                  </a:graphicData>
                </a:graphic>
              </wp:anchor>
            </w:drawing>
          </mc:Choice>
          <mc:Fallback>
            <w:pict>
              <v:group w14:anchorId="108F927F" id="Group 112" o:spid="_x0000_s1069" style="position:absolute;margin-left:63.65pt;margin-top:8.85pt;width:479.25pt;height:118.9pt;z-index:-251657955;mso-wrap-distance-left:0;mso-wrap-distance-right:0;mso-position-horizontal-relative:page" coordsize="60864,1510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">
                <v:shape id="Image 113" o:spid="_x0000_s1070" type="#_x0000_t75" style="position:absolute;width:59481;height:1509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">
                  <v:imagedata r:id="rId114" o:title=""/>
                </v:shape>
                <v:shape id="Textbox 114" o:spid="_x0000_s1071" type="#_x0000_t202" style="position:absolute;width:60864;height:151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" filled="f" stroked="f">
                  <v:textbox inset="0,0,0,0">
                    <w:txbxContent>
                      <w:p w14:paraId="0B8C782F" w14:textId="77777777" w:rsidR="0014798C" w:rsidRDefault="0014798C">
                        <w:pPr>
                          <w:spacing w:before="144"/>
                          <w:rPr>
                            <w:sz w:val="16"/>
                          </w:rPr>
                        </w:pPr>
                      </w:p>
                      <w:p w14:paraId="26EB6BC2" w14:textId="77777777" w:rsidR="0014798C" w:rsidRDefault="004E1F0B">
                        <w:pPr>
                          <w:spacing w:before="1" w:line="268" w:lineRule="auto"/>
                          <w:ind w:left="269" w:right="2667" w:hanging="14"/>
                          <w:rPr>
                            <w:sz w:val="16"/>
                          </w:rPr>
                        </w:pPr>
                        <w:r>
                          <w:rPr>
                            <w:w w:val="105"/>
                            <w:sz w:val="16"/>
                          </w:rPr>
                          <w:t>ARTÍCULO</w:t>
                        </w:r>
                        <w:r>
                          <w:rPr>
                            <w:spacing w:val="-9"/>
                            <w:w w:val="105"/>
                            <w:sz w:val="16"/>
                          </w:rPr>
                          <w:t xml:space="preserve"> </w:t>
                        </w:r>
                        <w:r>
                          <w:rPr>
                            <w:w w:val="105"/>
                            <w:sz w:val="16"/>
                          </w:rPr>
                          <w:t>1</w:t>
                        </w:r>
                        <w:r>
                          <w:rPr>
                            <w:spacing w:val="-10"/>
                            <w:w w:val="105"/>
                            <w:sz w:val="16"/>
                          </w:rPr>
                          <w:t xml:space="preserve"> </w:t>
                        </w:r>
                        <w:r>
                          <w:rPr>
                            <w:w w:val="105"/>
                            <w:sz w:val="16"/>
                          </w:rPr>
                          <w:t>(2)</w:t>
                        </w:r>
                        <w:r>
                          <w:rPr>
                            <w:spacing w:val="-10"/>
                            <w:w w:val="105"/>
                            <w:sz w:val="16"/>
                          </w:rPr>
                          <w:t xml:space="preserve"> </w:t>
                        </w:r>
                        <w:r>
                          <w:rPr>
                            <w:w w:val="105"/>
                            <w:sz w:val="16"/>
                          </w:rPr>
                          <w:t>DE</w:t>
                        </w:r>
                        <w:r>
                          <w:rPr>
                            <w:spacing w:val="-10"/>
                            <w:w w:val="105"/>
                            <w:sz w:val="16"/>
                          </w:rPr>
                          <w:t xml:space="preserve"> </w:t>
                        </w:r>
                        <w:r>
                          <w:rPr>
                            <w:w w:val="105"/>
                            <w:sz w:val="16"/>
                          </w:rPr>
                          <w:t>LA</w:t>
                        </w:r>
                        <w:r>
                          <w:rPr>
                            <w:spacing w:val="-10"/>
                            <w:w w:val="105"/>
                            <w:sz w:val="16"/>
                          </w:rPr>
                          <w:t xml:space="preserve"> </w:t>
                        </w:r>
                        <w:r>
                          <w:rPr>
                            <w:w w:val="105"/>
                            <w:sz w:val="16"/>
                          </w:rPr>
                          <w:t>CONVENCIÓN</w:t>
                        </w:r>
                        <w:r>
                          <w:rPr>
                            <w:spacing w:val="-10"/>
                            <w:w w:val="105"/>
                            <w:sz w:val="16"/>
                          </w:rPr>
                          <w:t xml:space="preserve"> </w:t>
                        </w:r>
                        <w:r>
                          <w:rPr>
                            <w:w w:val="105"/>
                            <w:sz w:val="16"/>
                          </w:rPr>
                          <w:t>INTERAMERICANA</w:t>
                        </w:r>
                        <w:r>
                          <w:rPr>
                            <w:spacing w:val="-9"/>
                            <w:w w:val="105"/>
                            <w:sz w:val="16"/>
                          </w:rPr>
                          <w:t xml:space="preserve"> </w:t>
                        </w:r>
                        <w:r>
                          <w:rPr>
                            <w:w w:val="105"/>
                            <w:sz w:val="16"/>
                          </w:rPr>
                          <w:t>CONTRA</w:t>
                        </w:r>
                        <w:r>
                          <w:rPr>
                            <w:spacing w:val="-9"/>
                            <w:w w:val="105"/>
                            <w:sz w:val="16"/>
                          </w:rPr>
                          <w:t xml:space="preserve"> </w:t>
                        </w:r>
                        <w:r>
                          <w:rPr>
                            <w:w w:val="105"/>
                            <w:sz w:val="16"/>
                          </w:rPr>
                          <w:t>TODA</w:t>
                        </w:r>
                        <w:r>
                          <w:rPr>
                            <w:spacing w:val="-10"/>
                            <w:w w:val="105"/>
                            <w:sz w:val="16"/>
                          </w:rPr>
                          <w:t xml:space="preserve"> </w:t>
                        </w:r>
                        <w:r>
                          <w:rPr>
                            <w:w w:val="105"/>
                            <w:sz w:val="16"/>
                          </w:rPr>
                          <w:t>FORMA</w:t>
                        </w:r>
                        <w:r>
                          <w:rPr>
                            <w:spacing w:val="-10"/>
                            <w:w w:val="105"/>
                            <w:sz w:val="16"/>
                          </w:rPr>
                          <w:t xml:space="preserve"> </w:t>
                        </w:r>
                        <w:r>
                          <w:rPr>
                            <w:w w:val="105"/>
                            <w:sz w:val="16"/>
                          </w:rPr>
                          <w:t>DE DISCRIMINACIÓN E INTOLERANCIA</w:t>
                        </w:r>
                      </w:p>
                      <w:p w14:paraId="3091AC4C" w14:textId="77777777" w:rsidR="0014798C" w:rsidRDefault="0014798C">
                        <w:pPr>
                          <w:spacing w:before="14"/>
                          <w:rPr>
                            <w:sz w:val="16"/>
                          </w:rPr>
                        </w:pPr>
                      </w:p>
                      <w:p w14:paraId="5F8BA9A3" w14:textId="77777777" w:rsidR="0014798C" w:rsidRDefault="004E1F0B">
                        <w:pPr>
                          <w:spacing w:line="326" w:lineRule="auto"/>
                          <w:ind w:left="256" w:right="73" w:firstLine="16"/>
                          <w:rPr>
                            <w:sz w:val="16"/>
                          </w:rPr>
                        </w:pPr>
                        <w:r>
                          <w:rPr>
                            <w:w w:val="105"/>
                            <w:sz w:val="16"/>
                          </w:rPr>
                          <w:t>“Se</w:t>
                        </w:r>
                        <w:r>
                          <w:rPr>
                            <w:spacing w:val="-1"/>
                            <w:w w:val="105"/>
                            <w:sz w:val="16"/>
                          </w:rPr>
                          <w:t xml:space="preserve"> </w:t>
                        </w:r>
                        <w:r>
                          <w:rPr>
                            <w:w w:val="105"/>
                            <w:sz w:val="16"/>
                          </w:rPr>
                          <w:t>considerará</w:t>
                        </w:r>
                        <w:r>
                          <w:rPr>
                            <w:spacing w:val="-1"/>
                            <w:w w:val="105"/>
                            <w:sz w:val="16"/>
                          </w:rPr>
                          <w:t xml:space="preserve"> </w:t>
                        </w:r>
                        <w:r>
                          <w:rPr>
                            <w:w w:val="105"/>
                            <w:sz w:val="16"/>
                          </w:rPr>
                          <w:t>que</w:t>
                        </w:r>
                        <w:r>
                          <w:rPr>
                            <w:spacing w:val="-1"/>
                            <w:w w:val="105"/>
                            <w:sz w:val="16"/>
                          </w:rPr>
                          <w:t xml:space="preserve"> </w:t>
                        </w:r>
                        <w:r>
                          <w:rPr>
                            <w:w w:val="105"/>
                            <w:sz w:val="16"/>
                          </w:rPr>
                          <w:t>existe</w:t>
                        </w:r>
                        <w:r>
                          <w:rPr>
                            <w:spacing w:val="-1"/>
                            <w:w w:val="105"/>
                            <w:sz w:val="16"/>
                          </w:rPr>
                          <w:t xml:space="preserve"> </w:t>
                        </w:r>
                        <w:r>
                          <w:rPr>
                            <w:w w:val="105"/>
                            <w:sz w:val="16"/>
                          </w:rPr>
                          <w:t>discriminación</w:t>
                        </w:r>
                        <w:r>
                          <w:rPr>
                            <w:spacing w:val="-1"/>
                            <w:w w:val="105"/>
                            <w:sz w:val="16"/>
                          </w:rPr>
                          <w:t xml:space="preserve"> </w:t>
                        </w:r>
                        <w:r>
                          <w:rPr>
                            <w:w w:val="105"/>
                            <w:sz w:val="16"/>
                          </w:rPr>
                          <w:t>indirecta, en</w:t>
                        </w:r>
                        <w:r>
                          <w:rPr>
                            <w:spacing w:val="-1"/>
                            <w:w w:val="105"/>
                            <w:sz w:val="16"/>
                          </w:rPr>
                          <w:t xml:space="preserve"> </w:t>
                        </w:r>
                        <w:r>
                          <w:rPr>
                            <w:w w:val="105"/>
                            <w:sz w:val="16"/>
                          </w:rPr>
                          <w:t>cualquier</w:t>
                        </w:r>
                        <w:r>
                          <w:rPr>
                            <w:spacing w:val="-1"/>
                            <w:w w:val="105"/>
                            <w:sz w:val="16"/>
                          </w:rPr>
                          <w:t xml:space="preserve"> </w:t>
                        </w:r>
                        <w:r>
                          <w:rPr>
                            <w:w w:val="105"/>
                            <w:sz w:val="16"/>
                          </w:rPr>
                          <w:t>ámbito</w:t>
                        </w:r>
                        <w:r>
                          <w:rPr>
                            <w:spacing w:val="-1"/>
                            <w:w w:val="105"/>
                            <w:sz w:val="16"/>
                          </w:rPr>
                          <w:t xml:space="preserve"> </w:t>
                        </w:r>
                        <w:r>
                          <w:rPr>
                            <w:w w:val="105"/>
                            <w:sz w:val="16"/>
                          </w:rPr>
                          <w:t>de</w:t>
                        </w:r>
                        <w:r>
                          <w:rPr>
                            <w:spacing w:val="-1"/>
                            <w:w w:val="105"/>
                            <w:sz w:val="16"/>
                          </w:rPr>
                          <w:t xml:space="preserve"> </w:t>
                        </w:r>
                        <w:r>
                          <w:rPr>
                            <w:w w:val="105"/>
                            <w:sz w:val="16"/>
                          </w:rPr>
                          <w:t>la</w:t>
                        </w:r>
                        <w:r>
                          <w:rPr>
                            <w:spacing w:val="-1"/>
                            <w:w w:val="105"/>
                            <w:sz w:val="16"/>
                          </w:rPr>
                          <w:t xml:space="preserve"> </w:t>
                        </w:r>
                        <w:r>
                          <w:rPr>
                            <w:w w:val="105"/>
                            <w:sz w:val="16"/>
                          </w:rPr>
                          <w:t>vida</w:t>
                        </w:r>
                        <w:r>
                          <w:rPr>
                            <w:spacing w:val="-1"/>
                            <w:w w:val="105"/>
                            <w:sz w:val="16"/>
                          </w:rPr>
                          <w:t xml:space="preserve"> </w:t>
                        </w:r>
                        <w:r>
                          <w:rPr>
                            <w:w w:val="105"/>
                            <w:sz w:val="16"/>
                          </w:rPr>
                          <w:t>pública</w:t>
                        </w:r>
                        <w:r>
                          <w:rPr>
                            <w:spacing w:val="-1"/>
                            <w:w w:val="105"/>
                            <w:sz w:val="16"/>
                          </w:rPr>
                          <w:t xml:space="preserve"> </w:t>
                        </w:r>
                        <w:r>
                          <w:rPr>
                            <w:w w:val="105"/>
                            <w:sz w:val="16"/>
                          </w:rPr>
                          <w:t>y</w:t>
                        </w:r>
                        <w:r>
                          <w:rPr>
                            <w:spacing w:val="-1"/>
                            <w:w w:val="105"/>
                            <w:sz w:val="16"/>
                          </w:rPr>
                          <w:t xml:space="preserve"> </w:t>
                        </w:r>
                        <w:r>
                          <w:rPr>
                            <w:w w:val="105"/>
                            <w:sz w:val="16"/>
                          </w:rPr>
                          <w:t>privada, cuando</w:t>
                        </w:r>
                        <w:r>
                          <w:rPr>
                            <w:spacing w:val="-1"/>
                            <w:w w:val="105"/>
                            <w:sz w:val="16"/>
                          </w:rPr>
                          <w:t xml:space="preserve"> </w:t>
                        </w:r>
                        <w:r>
                          <w:rPr>
                            <w:w w:val="105"/>
                            <w:sz w:val="16"/>
                          </w:rPr>
                          <w:t>una disposición, criterio o práctica aparentemente neutral tenga la capacidad de entrañar una desventaja particular para personas</w:t>
                        </w:r>
                        <w:r>
                          <w:rPr>
                            <w:spacing w:val="-6"/>
                            <w:w w:val="105"/>
                            <w:sz w:val="16"/>
                          </w:rPr>
                          <w:t xml:space="preserve"> </w:t>
                        </w:r>
                        <w:r>
                          <w:rPr>
                            <w:w w:val="105"/>
                            <w:sz w:val="16"/>
                          </w:rPr>
                          <w:t>pertenecientes</w:t>
                        </w:r>
                        <w:r>
                          <w:rPr>
                            <w:spacing w:val="-6"/>
                            <w:w w:val="105"/>
                            <w:sz w:val="16"/>
                          </w:rPr>
                          <w:t xml:space="preserve"> </w:t>
                        </w:r>
                        <w:r>
                          <w:rPr>
                            <w:w w:val="105"/>
                            <w:sz w:val="16"/>
                          </w:rPr>
                          <w:t>a</w:t>
                        </w:r>
                        <w:r>
                          <w:rPr>
                            <w:spacing w:val="-6"/>
                            <w:w w:val="105"/>
                            <w:sz w:val="16"/>
                          </w:rPr>
                          <w:t xml:space="preserve"> </w:t>
                        </w:r>
                        <w:r>
                          <w:rPr>
                            <w:w w:val="105"/>
                            <w:sz w:val="16"/>
                          </w:rPr>
                          <w:t>un</w:t>
                        </w:r>
                        <w:r>
                          <w:rPr>
                            <w:spacing w:val="-6"/>
                            <w:w w:val="105"/>
                            <w:sz w:val="16"/>
                          </w:rPr>
                          <w:t xml:space="preserve"> </w:t>
                        </w:r>
                        <w:r>
                          <w:rPr>
                            <w:w w:val="105"/>
                            <w:sz w:val="16"/>
                          </w:rPr>
                          <w:t>grupo</w:t>
                        </w:r>
                        <w:r>
                          <w:rPr>
                            <w:spacing w:val="-6"/>
                            <w:w w:val="105"/>
                            <w:sz w:val="16"/>
                          </w:rPr>
                          <w:t xml:space="preserve"> </w:t>
                        </w:r>
                        <w:r>
                          <w:rPr>
                            <w:w w:val="105"/>
                            <w:sz w:val="16"/>
                          </w:rPr>
                          <w:t>específico,</w:t>
                        </w:r>
                        <w:r>
                          <w:rPr>
                            <w:spacing w:val="-5"/>
                            <w:w w:val="105"/>
                            <w:sz w:val="16"/>
                          </w:rPr>
                          <w:t xml:space="preserve"> </w:t>
                        </w:r>
                        <w:r>
                          <w:rPr>
                            <w:w w:val="105"/>
                            <w:sz w:val="16"/>
                          </w:rPr>
                          <w:t>o</w:t>
                        </w:r>
                        <w:r>
                          <w:rPr>
                            <w:spacing w:val="-6"/>
                            <w:w w:val="105"/>
                            <w:sz w:val="16"/>
                          </w:rPr>
                          <w:t xml:space="preserve"> </w:t>
                        </w:r>
                        <w:r>
                          <w:rPr>
                            <w:w w:val="105"/>
                            <w:sz w:val="16"/>
                          </w:rPr>
                          <w:t>las</w:t>
                        </w:r>
                        <w:r>
                          <w:rPr>
                            <w:spacing w:val="-6"/>
                            <w:w w:val="105"/>
                            <w:sz w:val="16"/>
                          </w:rPr>
                          <w:t xml:space="preserve"> </w:t>
                        </w:r>
                        <w:r>
                          <w:rPr>
                            <w:w w:val="105"/>
                            <w:sz w:val="16"/>
                          </w:rPr>
                          <w:t>ponga</w:t>
                        </w:r>
                        <w:r>
                          <w:rPr>
                            <w:spacing w:val="-6"/>
                            <w:w w:val="105"/>
                            <w:sz w:val="16"/>
                          </w:rPr>
                          <w:t xml:space="preserve"> </w:t>
                        </w:r>
                        <w:r>
                          <w:rPr>
                            <w:w w:val="105"/>
                            <w:sz w:val="16"/>
                          </w:rPr>
                          <w:t>en</w:t>
                        </w:r>
                        <w:r>
                          <w:rPr>
                            <w:spacing w:val="-6"/>
                            <w:w w:val="105"/>
                            <w:sz w:val="16"/>
                          </w:rPr>
                          <w:t xml:space="preserve"> </w:t>
                        </w:r>
                        <w:r>
                          <w:rPr>
                            <w:w w:val="105"/>
                            <w:sz w:val="16"/>
                          </w:rPr>
                          <w:t>desventaja”</w:t>
                        </w:r>
                        <w:proofErr w:type="gramStart"/>
                        <w:r>
                          <w:rPr>
                            <w:w w:val="105"/>
                            <w:sz w:val="16"/>
                          </w:rPr>
                          <w:t>.</w:t>
                        </w:r>
                        <w:r>
                          <w:rPr>
                            <w:spacing w:val="-6"/>
                            <w:w w:val="105"/>
                            <w:sz w:val="16"/>
                          </w:rPr>
                          <w:t xml:space="preserve"> </w:t>
                        </w:r>
                        <w:r>
                          <w:rPr>
                            <w:w w:val="105"/>
                            <w:sz w:val="16"/>
                          </w:rPr>
                          <w:t>,</w:t>
                        </w:r>
                        <w:proofErr w:type="gramEnd"/>
                        <w:r>
                          <w:rPr>
                            <w:spacing w:val="-5"/>
                            <w:w w:val="105"/>
                            <w:sz w:val="16"/>
                          </w:rPr>
                          <w:t xml:space="preserve"> </w:t>
                        </w:r>
                        <w:r>
                          <w:rPr>
                            <w:w w:val="105"/>
                            <w:sz w:val="16"/>
                          </w:rPr>
                          <w:t>a</w:t>
                        </w:r>
                        <w:r>
                          <w:rPr>
                            <w:spacing w:val="-6"/>
                            <w:w w:val="105"/>
                            <w:sz w:val="16"/>
                          </w:rPr>
                          <w:t xml:space="preserve"> </w:t>
                        </w:r>
                        <w:r>
                          <w:rPr>
                            <w:w w:val="105"/>
                            <w:sz w:val="16"/>
                          </w:rPr>
                          <w:t>menos</w:t>
                        </w:r>
                        <w:r>
                          <w:rPr>
                            <w:spacing w:val="-6"/>
                            <w:w w:val="105"/>
                            <w:sz w:val="16"/>
                          </w:rPr>
                          <w:t xml:space="preserve"> </w:t>
                        </w:r>
                        <w:r>
                          <w:rPr>
                            <w:w w:val="105"/>
                            <w:sz w:val="16"/>
                          </w:rPr>
                          <w:t>que</w:t>
                        </w:r>
                        <w:r>
                          <w:rPr>
                            <w:spacing w:val="-6"/>
                            <w:w w:val="105"/>
                            <w:sz w:val="16"/>
                          </w:rPr>
                          <w:t xml:space="preserve"> </w:t>
                        </w:r>
                        <w:r>
                          <w:rPr>
                            <w:w w:val="105"/>
                            <w:sz w:val="16"/>
                          </w:rPr>
                          <w:t>dicha</w:t>
                        </w:r>
                        <w:r>
                          <w:rPr>
                            <w:spacing w:val="-6"/>
                            <w:w w:val="105"/>
                            <w:sz w:val="16"/>
                          </w:rPr>
                          <w:t xml:space="preserve"> </w:t>
                        </w:r>
                        <w:r>
                          <w:rPr>
                            <w:w w:val="105"/>
                            <w:sz w:val="16"/>
                          </w:rPr>
                          <w:t>disposición,</w:t>
                        </w:r>
                        <w:r>
                          <w:rPr>
                            <w:spacing w:val="-5"/>
                            <w:w w:val="105"/>
                            <w:sz w:val="16"/>
                          </w:rPr>
                          <w:t xml:space="preserve"> </w:t>
                        </w:r>
                        <w:r>
                          <w:rPr>
                            <w:w w:val="105"/>
                            <w:sz w:val="16"/>
                          </w:rPr>
                          <w:t>criterio</w:t>
                        </w:r>
                        <w:r>
                          <w:rPr>
                            <w:spacing w:val="-6"/>
                            <w:w w:val="105"/>
                            <w:sz w:val="16"/>
                          </w:rPr>
                          <w:t xml:space="preserve"> </w:t>
                        </w:r>
                        <w:r>
                          <w:rPr>
                            <w:w w:val="105"/>
                            <w:sz w:val="16"/>
                          </w:rPr>
                          <w:t>o</w:t>
                        </w:r>
                      </w:p>
                      <w:p w14:paraId="0BF7BDBE" w14:textId="77777777" w:rsidR="0014798C" w:rsidRDefault="004E1F0B">
                        <w:pPr>
                          <w:spacing w:line="183" w:lineRule="exact"/>
                          <w:ind w:left="260"/>
                          <w:rPr>
                            <w:sz w:val="16"/>
                          </w:rPr>
                        </w:pPr>
                        <w:r>
                          <w:rPr>
                            <w:w w:val="105"/>
                            <w:sz w:val="16"/>
                          </w:rPr>
                          <w:t>práctica</w:t>
                        </w:r>
                        <w:r>
                          <w:rPr>
                            <w:spacing w:val="-11"/>
                            <w:w w:val="105"/>
                            <w:sz w:val="16"/>
                          </w:rPr>
                          <w:t xml:space="preserve"> </w:t>
                        </w:r>
                        <w:r>
                          <w:rPr>
                            <w:w w:val="105"/>
                            <w:sz w:val="16"/>
                          </w:rPr>
                          <w:t>tenga</w:t>
                        </w:r>
                        <w:r>
                          <w:rPr>
                            <w:spacing w:val="-11"/>
                            <w:w w:val="105"/>
                            <w:sz w:val="16"/>
                          </w:rPr>
                          <w:t xml:space="preserve"> </w:t>
                        </w:r>
                        <w:r>
                          <w:rPr>
                            <w:w w:val="105"/>
                            <w:sz w:val="16"/>
                          </w:rPr>
                          <w:t>algún</w:t>
                        </w:r>
                        <w:r>
                          <w:rPr>
                            <w:spacing w:val="-10"/>
                            <w:w w:val="105"/>
                            <w:sz w:val="16"/>
                          </w:rPr>
                          <w:t xml:space="preserve"> </w:t>
                        </w:r>
                        <w:r>
                          <w:rPr>
                            <w:w w:val="105"/>
                            <w:sz w:val="16"/>
                          </w:rPr>
                          <w:t>objetivo</w:t>
                        </w:r>
                        <w:r>
                          <w:rPr>
                            <w:spacing w:val="-11"/>
                            <w:w w:val="105"/>
                            <w:sz w:val="16"/>
                          </w:rPr>
                          <w:t xml:space="preserve"> </w:t>
                        </w:r>
                        <w:r>
                          <w:rPr>
                            <w:w w:val="105"/>
                            <w:sz w:val="16"/>
                          </w:rPr>
                          <w:t>o</w:t>
                        </w:r>
                        <w:r>
                          <w:rPr>
                            <w:spacing w:val="-11"/>
                            <w:w w:val="105"/>
                            <w:sz w:val="16"/>
                          </w:rPr>
                          <w:t xml:space="preserve"> </w:t>
                        </w:r>
                        <w:r>
                          <w:rPr>
                            <w:w w:val="105"/>
                            <w:sz w:val="16"/>
                          </w:rPr>
                          <w:t>justificación</w:t>
                        </w:r>
                        <w:r>
                          <w:rPr>
                            <w:spacing w:val="-10"/>
                            <w:w w:val="105"/>
                            <w:sz w:val="16"/>
                          </w:rPr>
                          <w:t xml:space="preserve"> </w:t>
                        </w:r>
                        <w:r>
                          <w:rPr>
                            <w:w w:val="105"/>
                            <w:sz w:val="16"/>
                          </w:rPr>
                          <w:t>razonable</w:t>
                        </w:r>
                        <w:r>
                          <w:rPr>
                            <w:spacing w:val="-11"/>
                            <w:w w:val="105"/>
                            <w:sz w:val="16"/>
                          </w:rPr>
                          <w:t xml:space="preserve"> </w:t>
                        </w:r>
                        <w:r>
                          <w:rPr>
                            <w:w w:val="105"/>
                            <w:sz w:val="16"/>
                          </w:rPr>
                          <w:t>y</w:t>
                        </w:r>
                        <w:r>
                          <w:rPr>
                            <w:spacing w:val="-11"/>
                            <w:w w:val="105"/>
                            <w:sz w:val="16"/>
                          </w:rPr>
                          <w:t xml:space="preserve"> </w:t>
                        </w:r>
                        <w:r>
                          <w:rPr>
                            <w:w w:val="105"/>
                            <w:sz w:val="16"/>
                          </w:rPr>
                          <w:t>legítima</w:t>
                        </w:r>
                        <w:r>
                          <w:rPr>
                            <w:spacing w:val="-10"/>
                            <w:w w:val="105"/>
                            <w:sz w:val="16"/>
                          </w:rPr>
                          <w:t xml:space="preserve"> </w:t>
                        </w:r>
                        <w:r>
                          <w:rPr>
                            <w:w w:val="105"/>
                            <w:sz w:val="16"/>
                          </w:rPr>
                          <w:t>conforme</w:t>
                        </w:r>
                        <w:r>
                          <w:rPr>
                            <w:spacing w:val="-11"/>
                            <w:w w:val="105"/>
                            <w:sz w:val="16"/>
                          </w:rPr>
                          <w:t xml:space="preserve"> </w:t>
                        </w:r>
                        <w:r>
                          <w:rPr>
                            <w:w w:val="105"/>
                            <w:sz w:val="16"/>
                          </w:rPr>
                          <w:t>al</w:t>
                        </w:r>
                        <w:r>
                          <w:rPr>
                            <w:spacing w:val="-11"/>
                            <w:w w:val="105"/>
                            <w:sz w:val="16"/>
                          </w:rPr>
                          <w:t xml:space="preserve"> </w:t>
                        </w:r>
                        <w:r>
                          <w:rPr>
                            <w:w w:val="105"/>
                            <w:sz w:val="16"/>
                          </w:rPr>
                          <w:t>derecho</w:t>
                        </w:r>
                        <w:r>
                          <w:rPr>
                            <w:spacing w:val="-10"/>
                            <w:w w:val="105"/>
                            <w:sz w:val="16"/>
                          </w:rPr>
                          <w:t xml:space="preserve"> </w:t>
                        </w:r>
                        <w:r>
                          <w:rPr>
                            <w:w w:val="105"/>
                            <w:sz w:val="16"/>
                          </w:rPr>
                          <w:t>internacional</w:t>
                        </w:r>
                        <w:r>
                          <w:rPr>
                            <w:spacing w:val="-11"/>
                            <w:w w:val="105"/>
                            <w:sz w:val="16"/>
                          </w:rPr>
                          <w:t xml:space="preserve"> </w:t>
                        </w:r>
                        <w:r>
                          <w:rPr>
                            <w:w w:val="105"/>
                            <w:sz w:val="16"/>
                          </w:rPr>
                          <w:t>de</w:t>
                        </w:r>
                        <w:r>
                          <w:rPr>
                            <w:spacing w:val="-11"/>
                            <w:w w:val="105"/>
                            <w:sz w:val="16"/>
                          </w:rPr>
                          <w:t xml:space="preserve"> </w:t>
                        </w:r>
                        <w:r>
                          <w:rPr>
                            <w:w w:val="105"/>
                            <w:sz w:val="16"/>
                          </w:rPr>
                          <w:t>los</w:t>
                        </w:r>
                        <w:r>
                          <w:rPr>
                            <w:spacing w:val="-10"/>
                            <w:w w:val="105"/>
                            <w:sz w:val="16"/>
                          </w:rPr>
                          <w:t xml:space="preserve"> </w:t>
                        </w:r>
                        <w:r>
                          <w:rPr>
                            <w:w w:val="105"/>
                            <w:sz w:val="16"/>
                          </w:rPr>
                          <w:t>derechos</w:t>
                        </w:r>
                        <w:r>
                          <w:rPr>
                            <w:spacing w:val="-11"/>
                            <w:w w:val="105"/>
                            <w:sz w:val="16"/>
                          </w:rPr>
                          <w:t xml:space="preserve"> </w:t>
                        </w:r>
                        <w:r>
                          <w:rPr>
                            <w:spacing w:val="-2"/>
                            <w:w w:val="105"/>
                            <w:sz w:val="16"/>
                          </w:rPr>
                          <w:t>humanos”.</w:t>
                        </w:r>
                      </w:p>
                    </w:txbxContent>
                  </v:textbox>
                </v:shape>
                <w10:wrap type="topAndBottom" anchorx="page"/>
              </v:group>
            </w:pict>
          </mc:Fallback>
        </mc:AlternateContent>
      </w:r>
    </w:p>
    <w:p w14:paraId="75C568A2" w14:textId="77777777" w:rsidR="0014798C" w:rsidRDefault="0014798C">
      <w:pPr>
        <w:pStyle w:val="Textoindependiente"/>
        <w:rPr>
          <w:sz w:val="12"/>
        </w:rPr>
      </w:pPr>
    </w:p>
    <w:p w14:paraId="314C10DA" w14:textId="77777777" w:rsidR="0014798C" w:rsidRDefault="004E1F0B">
      <w:pPr>
        <w:spacing w:line="312" w:lineRule="auto"/>
        <w:ind w:left="1367" w:right="1626" w:hanging="263"/>
        <w:rPr>
          <w:sz w:val="12"/>
        </w:rPr>
      </w:pPr>
      <w:r>
        <w:rPr>
          <w:sz w:val="12"/>
        </w:rPr>
        <w:t>237</w:t>
      </w:r>
      <w:r>
        <w:rPr>
          <w:spacing w:val="10"/>
          <w:sz w:val="12"/>
        </w:rPr>
        <w:t xml:space="preserve"> </w:t>
      </w:r>
      <w:r>
        <w:rPr>
          <w:sz w:val="12"/>
        </w:rPr>
        <w:t>Como</w:t>
      </w:r>
      <w:r>
        <w:rPr>
          <w:spacing w:val="10"/>
          <w:sz w:val="12"/>
        </w:rPr>
        <w:t xml:space="preserve"> </w:t>
      </w:r>
      <w:r>
        <w:rPr>
          <w:sz w:val="12"/>
        </w:rPr>
        <w:t>se</w:t>
      </w:r>
      <w:r>
        <w:rPr>
          <w:spacing w:val="10"/>
          <w:sz w:val="12"/>
        </w:rPr>
        <w:t xml:space="preserve"> </w:t>
      </w:r>
      <w:r>
        <w:rPr>
          <w:sz w:val="12"/>
        </w:rPr>
        <w:t>señaló</w:t>
      </w:r>
      <w:r>
        <w:rPr>
          <w:spacing w:val="10"/>
          <w:sz w:val="12"/>
        </w:rPr>
        <w:t xml:space="preserve"> </w:t>
      </w:r>
      <w:r>
        <w:rPr>
          <w:sz w:val="12"/>
        </w:rPr>
        <w:t>anteriormente,</w:t>
      </w:r>
      <w:r>
        <w:rPr>
          <w:spacing w:val="11"/>
          <w:sz w:val="12"/>
        </w:rPr>
        <w:t xml:space="preserve"> </w:t>
      </w:r>
      <w:r>
        <w:rPr>
          <w:sz w:val="12"/>
        </w:rPr>
        <w:t>en</w:t>
      </w:r>
      <w:r>
        <w:rPr>
          <w:spacing w:val="10"/>
          <w:sz w:val="12"/>
        </w:rPr>
        <w:t xml:space="preserve"> </w:t>
      </w:r>
      <w:r>
        <w:rPr>
          <w:sz w:val="12"/>
        </w:rPr>
        <w:t>casos</w:t>
      </w:r>
      <w:r>
        <w:rPr>
          <w:spacing w:val="10"/>
          <w:sz w:val="12"/>
        </w:rPr>
        <w:t xml:space="preserve"> </w:t>
      </w:r>
      <w:r>
        <w:rPr>
          <w:sz w:val="12"/>
        </w:rPr>
        <w:t>de</w:t>
      </w:r>
      <w:r>
        <w:rPr>
          <w:spacing w:val="10"/>
          <w:sz w:val="12"/>
        </w:rPr>
        <w:t xml:space="preserve"> </w:t>
      </w:r>
      <w:r>
        <w:rPr>
          <w:sz w:val="12"/>
        </w:rPr>
        <w:t>discriminación</w:t>
      </w:r>
      <w:r>
        <w:rPr>
          <w:spacing w:val="10"/>
          <w:sz w:val="12"/>
        </w:rPr>
        <w:t xml:space="preserve"> </w:t>
      </w:r>
      <w:r>
        <w:rPr>
          <w:sz w:val="12"/>
        </w:rPr>
        <w:t>directa</w:t>
      </w:r>
      <w:r>
        <w:rPr>
          <w:spacing w:val="10"/>
          <w:sz w:val="12"/>
        </w:rPr>
        <w:t xml:space="preserve"> </w:t>
      </w:r>
      <w:r>
        <w:rPr>
          <w:sz w:val="12"/>
        </w:rPr>
        <w:t>puede</w:t>
      </w:r>
      <w:r>
        <w:rPr>
          <w:spacing w:val="10"/>
          <w:sz w:val="12"/>
        </w:rPr>
        <w:t xml:space="preserve"> </w:t>
      </w:r>
      <w:r>
        <w:rPr>
          <w:sz w:val="12"/>
        </w:rPr>
        <w:t>faltar</w:t>
      </w:r>
      <w:r>
        <w:rPr>
          <w:spacing w:val="10"/>
          <w:sz w:val="12"/>
        </w:rPr>
        <w:t xml:space="preserve"> </w:t>
      </w:r>
      <w:r>
        <w:rPr>
          <w:sz w:val="12"/>
        </w:rPr>
        <w:t>intención,</w:t>
      </w:r>
      <w:r>
        <w:rPr>
          <w:spacing w:val="11"/>
          <w:sz w:val="12"/>
        </w:rPr>
        <w:t xml:space="preserve"> </w:t>
      </w:r>
      <w:r>
        <w:rPr>
          <w:sz w:val="12"/>
        </w:rPr>
        <w:t>mientras</w:t>
      </w:r>
      <w:r>
        <w:rPr>
          <w:spacing w:val="10"/>
          <w:sz w:val="12"/>
        </w:rPr>
        <w:t xml:space="preserve"> </w:t>
      </w:r>
      <w:r>
        <w:rPr>
          <w:sz w:val="12"/>
        </w:rPr>
        <w:t>que</w:t>
      </w:r>
      <w:r>
        <w:rPr>
          <w:spacing w:val="10"/>
          <w:sz w:val="12"/>
        </w:rPr>
        <w:t xml:space="preserve"> </w:t>
      </w:r>
      <w:r>
        <w:rPr>
          <w:sz w:val="12"/>
        </w:rPr>
        <w:t>en</w:t>
      </w:r>
      <w:r>
        <w:rPr>
          <w:spacing w:val="10"/>
          <w:sz w:val="12"/>
        </w:rPr>
        <w:t xml:space="preserve"> </w:t>
      </w:r>
      <w:r>
        <w:rPr>
          <w:sz w:val="12"/>
        </w:rPr>
        <w:t>algunas</w:t>
      </w:r>
      <w:r>
        <w:rPr>
          <w:spacing w:val="10"/>
          <w:sz w:val="12"/>
        </w:rPr>
        <w:t xml:space="preserve"> </w:t>
      </w:r>
      <w:r>
        <w:rPr>
          <w:sz w:val="12"/>
        </w:rPr>
        <w:t>circunstancias</w:t>
      </w:r>
      <w:r>
        <w:rPr>
          <w:spacing w:val="10"/>
          <w:sz w:val="12"/>
        </w:rPr>
        <w:t xml:space="preserve"> </w:t>
      </w:r>
      <w:r>
        <w:rPr>
          <w:sz w:val="12"/>
        </w:rPr>
        <w:t>se</w:t>
      </w:r>
      <w:r>
        <w:rPr>
          <w:spacing w:val="10"/>
          <w:sz w:val="12"/>
        </w:rPr>
        <w:t xml:space="preserve"> </w:t>
      </w:r>
      <w:r>
        <w:rPr>
          <w:sz w:val="12"/>
        </w:rPr>
        <w:t>puede</w:t>
      </w:r>
      <w:r>
        <w:rPr>
          <w:spacing w:val="10"/>
          <w:sz w:val="12"/>
        </w:rPr>
        <w:t xml:space="preserve"> </w:t>
      </w:r>
      <w:r>
        <w:rPr>
          <w:sz w:val="12"/>
        </w:rPr>
        <w:t>adoptar</w:t>
      </w:r>
      <w:r>
        <w:rPr>
          <w:spacing w:val="10"/>
          <w:sz w:val="12"/>
        </w:rPr>
        <w:t xml:space="preserve"> </w:t>
      </w:r>
      <w:r>
        <w:rPr>
          <w:sz w:val="12"/>
        </w:rPr>
        <w:t>una</w:t>
      </w:r>
      <w:r>
        <w:rPr>
          <w:spacing w:val="10"/>
          <w:sz w:val="12"/>
        </w:rPr>
        <w:t xml:space="preserve"> </w:t>
      </w:r>
      <w:r>
        <w:rPr>
          <w:sz w:val="12"/>
        </w:rPr>
        <w:t>ley</w:t>
      </w:r>
      <w:r>
        <w:rPr>
          <w:spacing w:val="40"/>
          <w:sz w:val="12"/>
        </w:rPr>
        <w:t xml:space="preserve"> </w:t>
      </w:r>
      <w:r>
        <w:rPr>
          <w:sz w:val="12"/>
        </w:rPr>
        <w:t>neutral</w:t>
      </w:r>
      <w:r>
        <w:rPr>
          <w:spacing w:val="6"/>
          <w:sz w:val="12"/>
        </w:rPr>
        <w:t xml:space="preserve"> </w:t>
      </w:r>
      <w:r>
        <w:rPr>
          <w:sz w:val="12"/>
        </w:rPr>
        <w:t>prima</w:t>
      </w:r>
      <w:r>
        <w:rPr>
          <w:spacing w:val="6"/>
          <w:sz w:val="12"/>
        </w:rPr>
        <w:t xml:space="preserve"> </w:t>
      </w:r>
      <w:r>
        <w:rPr>
          <w:sz w:val="12"/>
        </w:rPr>
        <w:t>facie</w:t>
      </w:r>
      <w:r>
        <w:rPr>
          <w:spacing w:val="6"/>
          <w:sz w:val="12"/>
        </w:rPr>
        <w:t xml:space="preserve"> </w:t>
      </w:r>
      <w:r>
        <w:rPr>
          <w:sz w:val="12"/>
        </w:rPr>
        <w:t>con</w:t>
      </w:r>
      <w:r>
        <w:rPr>
          <w:spacing w:val="6"/>
          <w:sz w:val="12"/>
        </w:rPr>
        <w:t xml:space="preserve"> </w:t>
      </w:r>
      <w:r>
        <w:rPr>
          <w:sz w:val="12"/>
        </w:rPr>
        <w:t>la</w:t>
      </w:r>
      <w:r>
        <w:rPr>
          <w:spacing w:val="6"/>
          <w:sz w:val="12"/>
        </w:rPr>
        <w:t xml:space="preserve"> </w:t>
      </w:r>
      <w:r>
        <w:rPr>
          <w:sz w:val="12"/>
        </w:rPr>
        <w:t>clara</w:t>
      </w:r>
      <w:r>
        <w:rPr>
          <w:spacing w:val="6"/>
          <w:sz w:val="12"/>
        </w:rPr>
        <w:t xml:space="preserve"> </w:t>
      </w:r>
      <w:r>
        <w:rPr>
          <w:sz w:val="12"/>
        </w:rPr>
        <w:t>intención</w:t>
      </w:r>
      <w:r>
        <w:rPr>
          <w:spacing w:val="6"/>
          <w:sz w:val="12"/>
        </w:rPr>
        <w:t xml:space="preserve"> </w:t>
      </w:r>
      <w:r>
        <w:rPr>
          <w:sz w:val="12"/>
        </w:rPr>
        <w:t>de</w:t>
      </w:r>
      <w:r>
        <w:rPr>
          <w:spacing w:val="6"/>
          <w:sz w:val="12"/>
        </w:rPr>
        <w:t xml:space="preserve"> </w:t>
      </w:r>
      <w:r>
        <w:rPr>
          <w:sz w:val="12"/>
        </w:rPr>
        <w:t>discriminar</w:t>
      </w:r>
      <w:r>
        <w:rPr>
          <w:spacing w:val="6"/>
          <w:sz w:val="12"/>
        </w:rPr>
        <w:t xml:space="preserve"> </w:t>
      </w:r>
      <w:r>
        <w:rPr>
          <w:sz w:val="12"/>
        </w:rPr>
        <w:t>a</w:t>
      </w:r>
      <w:r>
        <w:rPr>
          <w:spacing w:val="6"/>
          <w:sz w:val="12"/>
        </w:rPr>
        <w:t xml:space="preserve"> </w:t>
      </w:r>
      <w:r>
        <w:rPr>
          <w:sz w:val="12"/>
        </w:rPr>
        <w:t>un</w:t>
      </w:r>
      <w:r>
        <w:rPr>
          <w:spacing w:val="6"/>
          <w:sz w:val="12"/>
        </w:rPr>
        <w:t xml:space="preserve"> </w:t>
      </w:r>
      <w:r>
        <w:rPr>
          <w:sz w:val="12"/>
        </w:rPr>
        <w:t>grupo</w:t>
      </w:r>
      <w:r>
        <w:rPr>
          <w:spacing w:val="6"/>
          <w:sz w:val="12"/>
        </w:rPr>
        <w:t xml:space="preserve"> </w:t>
      </w:r>
      <w:r>
        <w:rPr>
          <w:sz w:val="12"/>
        </w:rPr>
        <w:t>protegido.</w:t>
      </w:r>
      <w:r>
        <w:rPr>
          <w:spacing w:val="7"/>
          <w:sz w:val="12"/>
        </w:rPr>
        <w:t xml:space="preserve"> </w:t>
      </w:r>
      <w:r>
        <w:rPr>
          <w:sz w:val="12"/>
        </w:rPr>
        <w:t>Véase,</w:t>
      </w:r>
      <w:r>
        <w:rPr>
          <w:spacing w:val="6"/>
          <w:sz w:val="12"/>
        </w:rPr>
        <w:t xml:space="preserve"> </w:t>
      </w:r>
      <w:r>
        <w:rPr>
          <w:sz w:val="12"/>
        </w:rPr>
        <w:t>por</w:t>
      </w:r>
      <w:r>
        <w:rPr>
          <w:spacing w:val="6"/>
          <w:sz w:val="12"/>
        </w:rPr>
        <w:t xml:space="preserve"> </w:t>
      </w:r>
      <w:r>
        <w:rPr>
          <w:sz w:val="12"/>
        </w:rPr>
        <w:t>ejemplo,</w:t>
      </w:r>
      <w:r>
        <w:rPr>
          <w:spacing w:val="7"/>
          <w:sz w:val="12"/>
        </w:rPr>
        <w:t xml:space="preserve"> </w:t>
      </w:r>
      <w:r>
        <w:rPr>
          <w:sz w:val="12"/>
        </w:rPr>
        <w:t>Comité</w:t>
      </w:r>
      <w:r>
        <w:rPr>
          <w:spacing w:val="6"/>
          <w:sz w:val="12"/>
        </w:rPr>
        <w:t xml:space="preserve"> </w:t>
      </w:r>
      <w:r>
        <w:rPr>
          <w:sz w:val="12"/>
        </w:rPr>
        <w:t>para</w:t>
      </w:r>
      <w:r>
        <w:rPr>
          <w:spacing w:val="6"/>
          <w:sz w:val="12"/>
        </w:rPr>
        <w:t xml:space="preserve"> </w:t>
      </w:r>
      <w:r>
        <w:rPr>
          <w:sz w:val="12"/>
        </w:rPr>
        <w:t>la</w:t>
      </w:r>
      <w:r>
        <w:rPr>
          <w:spacing w:val="6"/>
          <w:sz w:val="12"/>
        </w:rPr>
        <w:t xml:space="preserve"> </w:t>
      </w:r>
      <w:r>
        <w:rPr>
          <w:sz w:val="12"/>
        </w:rPr>
        <w:t>Eliminación</w:t>
      </w:r>
      <w:r>
        <w:rPr>
          <w:spacing w:val="6"/>
          <w:sz w:val="12"/>
        </w:rPr>
        <w:t xml:space="preserve"> </w:t>
      </w:r>
      <w:r>
        <w:rPr>
          <w:sz w:val="12"/>
        </w:rPr>
        <w:t>de</w:t>
      </w:r>
      <w:r>
        <w:rPr>
          <w:spacing w:val="6"/>
          <w:sz w:val="12"/>
        </w:rPr>
        <w:t xml:space="preserve"> </w:t>
      </w:r>
      <w:r>
        <w:rPr>
          <w:sz w:val="12"/>
        </w:rPr>
        <w:t>la</w:t>
      </w:r>
      <w:r>
        <w:rPr>
          <w:spacing w:val="6"/>
          <w:sz w:val="12"/>
        </w:rPr>
        <w:t xml:space="preserve"> </w:t>
      </w:r>
      <w:r>
        <w:rPr>
          <w:sz w:val="12"/>
        </w:rPr>
        <w:t>Discriminación</w:t>
      </w:r>
      <w:r>
        <w:rPr>
          <w:spacing w:val="6"/>
          <w:sz w:val="12"/>
        </w:rPr>
        <w:t xml:space="preserve"> </w:t>
      </w:r>
      <w:r>
        <w:rPr>
          <w:sz w:val="12"/>
        </w:rPr>
        <w:t>Racial,</w:t>
      </w:r>
      <w:r>
        <w:rPr>
          <w:spacing w:val="7"/>
          <w:sz w:val="12"/>
        </w:rPr>
        <w:t xml:space="preserve"> </w:t>
      </w:r>
      <w:r>
        <w:rPr>
          <w:sz w:val="12"/>
        </w:rPr>
        <w:t>LR</w:t>
      </w:r>
      <w:r>
        <w:rPr>
          <w:spacing w:val="6"/>
          <w:sz w:val="12"/>
        </w:rPr>
        <w:t xml:space="preserve"> </w:t>
      </w:r>
      <w:r>
        <w:rPr>
          <w:sz w:val="12"/>
        </w:rPr>
        <w:t>et</w:t>
      </w:r>
      <w:r>
        <w:rPr>
          <w:spacing w:val="40"/>
          <w:sz w:val="12"/>
        </w:rPr>
        <w:t xml:space="preserve"> </w:t>
      </w:r>
      <w:r>
        <w:rPr>
          <w:sz w:val="12"/>
        </w:rPr>
        <w:t>al. c. República Eslovaca (CERD/C/66/D/31/2003), párr. 10.5.</w:t>
      </w:r>
    </w:p>
    <w:p w14:paraId="4E2F5ABA" w14:textId="77777777" w:rsidR="0014798C" w:rsidRDefault="004E1F0B">
      <w:pPr>
        <w:spacing w:before="87"/>
        <w:ind w:left="1105"/>
        <w:rPr>
          <w:sz w:val="11"/>
        </w:rPr>
      </w:pPr>
      <w:r>
        <w:rPr>
          <w:sz w:val="11"/>
        </w:rPr>
        <w:t>238</w:t>
      </w:r>
      <w:r>
        <w:rPr>
          <w:spacing w:val="-5"/>
          <w:sz w:val="11"/>
        </w:rPr>
        <w:t xml:space="preserve"> </w:t>
      </w:r>
      <w:r>
        <w:rPr>
          <w:sz w:val="11"/>
        </w:rPr>
        <w:t>Véase</w:t>
      </w:r>
      <w:r>
        <w:rPr>
          <w:spacing w:val="-3"/>
          <w:sz w:val="11"/>
        </w:rPr>
        <w:t xml:space="preserve"> </w:t>
      </w:r>
      <w:r>
        <w:rPr>
          <w:sz w:val="11"/>
        </w:rPr>
        <w:t>el</w:t>
      </w:r>
      <w:r>
        <w:rPr>
          <w:spacing w:val="-2"/>
          <w:sz w:val="11"/>
        </w:rPr>
        <w:t xml:space="preserve"> </w:t>
      </w:r>
      <w:r>
        <w:rPr>
          <w:sz w:val="11"/>
        </w:rPr>
        <w:t>análisis</w:t>
      </w:r>
      <w:r>
        <w:rPr>
          <w:spacing w:val="-3"/>
          <w:sz w:val="11"/>
        </w:rPr>
        <w:t xml:space="preserve"> </w:t>
      </w:r>
      <w:r>
        <w:rPr>
          <w:sz w:val="11"/>
        </w:rPr>
        <w:t>de</w:t>
      </w:r>
      <w:r>
        <w:rPr>
          <w:spacing w:val="-2"/>
          <w:sz w:val="11"/>
        </w:rPr>
        <w:t xml:space="preserve"> </w:t>
      </w:r>
      <w:r>
        <w:rPr>
          <w:sz w:val="11"/>
        </w:rPr>
        <w:t>la</w:t>
      </w:r>
      <w:r>
        <w:rPr>
          <w:spacing w:val="-3"/>
          <w:sz w:val="11"/>
        </w:rPr>
        <w:t xml:space="preserve"> </w:t>
      </w:r>
      <w:r>
        <w:rPr>
          <w:sz w:val="11"/>
        </w:rPr>
        <w:t>intención</w:t>
      </w:r>
      <w:r>
        <w:rPr>
          <w:spacing w:val="-2"/>
          <w:sz w:val="11"/>
        </w:rPr>
        <w:t xml:space="preserve"> </w:t>
      </w:r>
      <w:r>
        <w:rPr>
          <w:sz w:val="11"/>
        </w:rPr>
        <w:t>en</w:t>
      </w:r>
      <w:r>
        <w:rPr>
          <w:spacing w:val="-3"/>
          <w:sz w:val="11"/>
        </w:rPr>
        <w:t xml:space="preserve"> </w:t>
      </w:r>
      <w:r>
        <w:rPr>
          <w:sz w:val="11"/>
        </w:rPr>
        <w:t>la</w:t>
      </w:r>
      <w:r>
        <w:rPr>
          <w:spacing w:val="-3"/>
          <w:sz w:val="11"/>
        </w:rPr>
        <w:t xml:space="preserve"> </w:t>
      </w:r>
      <w:r>
        <w:rPr>
          <w:sz w:val="11"/>
        </w:rPr>
        <w:t>sección</w:t>
      </w:r>
      <w:r>
        <w:rPr>
          <w:spacing w:val="-2"/>
          <w:sz w:val="11"/>
        </w:rPr>
        <w:t xml:space="preserve"> </w:t>
      </w:r>
      <w:r>
        <w:rPr>
          <w:sz w:val="11"/>
        </w:rPr>
        <w:t>IA2(a)</w:t>
      </w:r>
      <w:r>
        <w:rPr>
          <w:spacing w:val="-4"/>
          <w:sz w:val="11"/>
        </w:rPr>
        <w:t xml:space="preserve"> </w:t>
      </w:r>
      <w:r>
        <w:rPr>
          <w:sz w:val="11"/>
        </w:rPr>
        <w:t>de</w:t>
      </w:r>
      <w:r>
        <w:rPr>
          <w:spacing w:val="-2"/>
          <w:sz w:val="11"/>
        </w:rPr>
        <w:t xml:space="preserve"> </w:t>
      </w:r>
      <w:r>
        <w:rPr>
          <w:sz w:val="11"/>
        </w:rPr>
        <w:t>la</w:t>
      </w:r>
      <w:r>
        <w:rPr>
          <w:spacing w:val="-3"/>
          <w:sz w:val="11"/>
        </w:rPr>
        <w:t xml:space="preserve"> </w:t>
      </w:r>
      <w:r>
        <w:rPr>
          <w:sz w:val="11"/>
        </w:rPr>
        <w:t>segunda</w:t>
      </w:r>
      <w:r>
        <w:rPr>
          <w:spacing w:val="-2"/>
          <w:sz w:val="11"/>
        </w:rPr>
        <w:t xml:space="preserve"> </w:t>
      </w:r>
      <w:r>
        <w:rPr>
          <w:sz w:val="11"/>
        </w:rPr>
        <w:t>parte</w:t>
      </w:r>
      <w:r>
        <w:rPr>
          <w:spacing w:val="-3"/>
          <w:sz w:val="11"/>
        </w:rPr>
        <w:t xml:space="preserve"> </w:t>
      </w:r>
      <w:r>
        <w:rPr>
          <w:sz w:val="11"/>
        </w:rPr>
        <w:t>de</w:t>
      </w:r>
      <w:r>
        <w:rPr>
          <w:spacing w:val="-2"/>
          <w:sz w:val="11"/>
        </w:rPr>
        <w:t xml:space="preserve"> </w:t>
      </w:r>
      <w:r>
        <w:rPr>
          <w:sz w:val="11"/>
        </w:rPr>
        <w:t>la</w:t>
      </w:r>
      <w:r>
        <w:rPr>
          <w:spacing w:val="-3"/>
          <w:sz w:val="11"/>
        </w:rPr>
        <w:t xml:space="preserve"> </w:t>
      </w:r>
      <w:r>
        <w:rPr>
          <w:sz w:val="11"/>
        </w:rPr>
        <w:t>presente</w:t>
      </w:r>
      <w:r>
        <w:rPr>
          <w:spacing w:val="-2"/>
          <w:sz w:val="11"/>
        </w:rPr>
        <w:t xml:space="preserve"> </w:t>
      </w:r>
      <w:r>
        <w:rPr>
          <w:spacing w:val="-4"/>
          <w:sz w:val="11"/>
        </w:rPr>
        <w:t>guía.</w:t>
      </w:r>
    </w:p>
    <w:p w14:paraId="09B8821E" w14:textId="77777777" w:rsidR="0014798C" w:rsidRDefault="0014798C">
      <w:pPr>
        <w:rPr>
          <w:sz w:val="11"/>
        </w:rPr>
        <w:sectPr w:rsidR="0014798C" w:rsidSect="00F265E4">
          <w:pgSz w:w="11900" w:h="16820"/>
          <w:pgMar w:top="340" w:right="0" w:bottom="280" w:left="200" w:header="121" w:footer="0" w:gutter="0"/>
          <w:cols w:space="720"/>
        </w:sectPr>
      </w:pPr>
    </w:p>
    <w:p w14:paraId="066465A2" w14:textId="77777777" w:rsidR="0014798C" w:rsidRDefault="004E1F0B">
      <w:pPr>
        <w:spacing w:before="56"/>
        <w:jc w:val="right"/>
        <w:rPr>
          <w:sz w:val="8"/>
        </w:rPr>
      </w:pPr>
      <w:r>
        <w:rPr>
          <w:spacing w:val="-5"/>
          <w:w w:val="105"/>
          <w:sz w:val="8"/>
        </w:rPr>
        <w:t>239</w:t>
      </w:r>
    </w:p>
    <w:p w14:paraId="549BBC2F" w14:textId="77777777" w:rsidR="0014798C" w:rsidRDefault="004E1F0B">
      <w:pPr>
        <w:spacing w:before="81" w:line="312" w:lineRule="auto"/>
        <w:ind w:left="79" w:right="1553" w:firstLine="4"/>
        <w:rPr>
          <w:sz w:val="12"/>
        </w:rPr>
      </w:pPr>
      <w:r>
        <w:br w:type="column"/>
      </w:r>
      <w:r>
        <w:rPr>
          <w:sz w:val="12"/>
        </w:rPr>
        <w:t>Véase,</w:t>
      </w:r>
      <w:r>
        <w:rPr>
          <w:spacing w:val="5"/>
          <w:sz w:val="12"/>
        </w:rPr>
        <w:t xml:space="preserve"> </w:t>
      </w:r>
      <w:r>
        <w:rPr>
          <w:sz w:val="12"/>
        </w:rPr>
        <w:t>por</w:t>
      </w:r>
      <w:r>
        <w:rPr>
          <w:spacing w:val="5"/>
          <w:sz w:val="12"/>
        </w:rPr>
        <w:t xml:space="preserve"> </w:t>
      </w:r>
      <w:r>
        <w:rPr>
          <w:sz w:val="12"/>
        </w:rPr>
        <w:t>ejemplo,</w:t>
      </w:r>
      <w:r>
        <w:rPr>
          <w:spacing w:val="6"/>
          <w:sz w:val="12"/>
        </w:rPr>
        <w:t xml:space="preserve"> </w:t>
      </w:r>
      <w:r>
        <w:rPr>
          <w:sz w:val="12"/>
        </w:rPr>
        <w:t>Comité</w:t>
      </w:r>
      <w:r>
        <w:rPr>
          <w:spacing w:val="5"/>
          <w:sz w:val="12"/>
        </w:rPr>
        <w:t xml:space="preserve"> </w:t>
      </w:r>
      <w:r>
        <w:rPr>
          <w:sz w:val="12"/>
        </w:rPr>
        <w:t>de</w:t>
      </w:r>
      <w:r>
        <w:rPr>
          <w:spacing w:val="5"/>
          <w:sz w:val="12"/>
        </w:rPr>
        <w:t xml:space="preserve"> </w:t>
      </w:r>
      <w:r>
        <w:rPr>
          <w:sz w:val="12"/>
        </w:rPr>
        <w:t>Derechos</w:t>
      </w:r>
      <w:r>
        <w:rPr>
          <w:spacing w:val="5"/>
          <w:sz w:val="12"/>
        </w:rPr>
        <w:t xml:space="preserve"> </w:t>
      </w:r>
      <w:r>
        <w:rPr>
          <w:sz w:val="12"/>
        </w:rPr>
        <w:t>Económicos,</w:t>
      </w:r>
      <w:r>
        <w:rPr>
          <w:spacing w:val="6"/>
          <w:sz w:val="12"/>
        </w:rPr>
        <w:t xml:space="preserve"> </w:t>
      </w:r>
      <w:r>
        <w:rPr>
          <w:sz w:val="12"/>
        </w:rPr>
        <w:t>Sociales</w:t>
      </w:r>
      <w:r>
        <w:rPr>
          <w:spacing w:val="5"/>
          <w:sz w:val="12"/>
        </w:rPr>
        <w:t xml:space="preserve"> </w:t>
      </w:r>
      <w:r>
        <w:rPr>
          <w:sz w:val="12"/>
        </w:rPr>
        <w:t>y</w:t>
      </w:r>
      <w:r>
        <w:rPr>
          <w:spacing w:val="5"/>
          <w:sz w:val="12"/>
        </w:rPr>
        <w:t xml:space="preserve"> </w:t>
      </w:r>
      <w:r>
        <w:rPr>
          <w:sz w:val="12"/>
        </w:rPr>
        <w:t>Culturales,</w:t>
      </w:r>
      <w:r>
        <w:rPr>
          <w:spacing w:val="6"/>
          <w:sz w:val="12"/>
        </w:rPr>
        <w:t xml:space="preserve"> </w:t>
      </w:r>
      <w:r>
        <w:rPr>
          <w:sz w:val="12"/>
        </w:rPr>
        <w:t>observación</w:t>
      </w:r>
      <w:r>
        <w:rPr>
          <w:spacing w:val="5"/>
          <w:sz w:val="12"/>
        </w:rPr>
        <w:t xml:space="preserve"> </w:t>
      </w:r>
      <w:r>
        <w:rPr>
          <w:sz w:val="12"/>
        </w:rPr>
        <w:t>general</w:t>
      </w:r>
      <w:r>
        <w:rPr>
          <w:spacing w:val="5"/>
          <w:sz w:val="12"/>
        </w:rPr>
        <w:t xml:space="preserve"> </w:t>
      </w:r>
      <w:r>
        <w:rPr>
          <w:sz w:val="12"/>
        </w:rPr>
        <w:t>núm.</w:t>
      </w:r>
      <w:r>
        <w:rPr>
          <w:spacing w:val="5"/>
          <w:sz w:val="12"/>
        </w:rPr>
        <w:t xml:space="preserve"> </w:t>
      </w:r>
      <w:r>
        <w:rPr>
          <w:sz w:val="12"/>
        </w:rPr>
        <w:t>20</w:t>
      </w:r>
      <w:r>
        <w:rPr>
          <w:spacing w:val="5"/>
          <w:sz w:val="12"/>
        </w:rPr>
        <w:t xml:space="preserve"> </w:t>
      </w:r>
      <w:r>
        <w:rPr>
          <w:sz w:val="12"/>
        </w:rPr>
        <w:t>(2009),</w:t>
      </w:r>
      <w:r>
        <w:rPr>
          <w:spacing w:val="6"/>
          <w:sz w:val="12"/>
        </w:rPr>
        <w:t xml:space="preserve"> </w:t>
      </w:r>
      <w:proofErr w:type="spellStart"/>
      <w:r>
        <w:rPr>
          <w:sz w:val="12"/>
        </w:rPr>
        <w:t>párrs</w:t>
      </w:r>
      <w:proofErr w:type="spellEnd"/>
      <w:r>
        <w:rPr>
          <w:sz w:val="12"/>
        </w:rPr>
        <w:t>.</w:t>
      </w:r>
      <w:r>
        <w:rPr>
          <w:spacing w:val="6"/>
          <w:sz w:val="12"/>
        </w:rPr>
        <w:t xml:space="preserve"> </w:t>
      </w:r>
      <w:r>
        <w:rPr>
          <w:sz w:val="12"/>
        </w:rPr>
        <w:t>7</w:t>
      </w:r>
      <w:r>
        <w:rPr>
          <w:spacing w:val="5"/>
          <w:sz w:val="12"/>
        </w:rPr>
        <w:t xml:space="preserve"> </w:t>
      </w:r>
      <w:r>
        <w:rPr>
          <w:sz w:val="12"/>
        </w:rPr>
        <w:t>y</w:t>
      </w:r>
      <w:r>
        <w:rPr>
          <w:spacing w:val="5"/>
          <w:sz w:val="12"/>
        </w:rPr>
        <w:t xml:space="preserve"> </w:t>
      </w:r>
      <w:r>
        <w:rPr>
          <w:sz w:val="12"/>
        </w:rPr>
        <w:t>10;</w:t>
      </w:r>
      <w:r>
        <w:rPr>
          <w:spacing w:val="5"/>
          <w:sz w:val="12"/>
        </w:rPr>
        <w:t xml:space="preserve"> </w:t>
      </w:r>
      <w:r>
        <w:rPr>
          <w:sz w:val="12"/>
        </w:rPr>
        <w:t>Comité</w:t>
      </w:r>
      <w:r>
        <w:rPr>
          <w:spacing w:val="5"/>
          <w:sz w:val="12"/>
        </w:rPr>
        <w:t xml:space="preserve"> </w:t>
      </w:r>
      <w:r>
        <w:rPr>
          <w:sz w:val="12"/>
        </w:rPr>
        <w:t>sobre</w:t>
      </w:r>
      <w:r>
        <w:rPr>
          <w:spacing w:val="5"/>
          <w:sz w:val="12"/>
        </w:rPr>
        <w:t xml:space="preserve"> </w:t>
      </w:r>
      <w:r>
        <w:rPr>
          <w:sz w:val="12"/>
        </w:rPr>
        <w:t>los</w:t>
      </w:r>
      <w:r>
        <w:rPr>
          <w:spacing w:val="5"/>
          <w:sz w:val="12"/>
        </w:rPr>
        <w:t xml:space="preserve"> </w:t>
      </w:r>
      <w:r>
        <w:rPr>
          <w:sz w:val="12"/>
        </w:rPr>
        <w:t>Derechos</w:t>
      </w:r>
      <w:r>
        <w:rPr>
          <w:spacing w:val="5"/>
          <w:sz w:val="12"/>
        </w:rPr>
        <w:t xml:space="preserve"> </w:t>
      </w:r>
      <w:r>
        <w:rPr>
          <w:sz w:val="12"/>
        </w:rPr>
        <w:t>de</w:t>
      </w:r>
      <w:r>
        <w:rPr>
          <w:spacing w:val="40"/>
          <w:sz w:val="12"/>
        </w:rPr>
        <w:t xml:space="preserve"> </w:t>
      </w:r>
      <w:r>
        <w:rPr>
          <w:sz w:val="12"/>
        </w:rPr>
        <w:t>las Personas con Discapacidad, observación general núm. 6 (2018), párr. 18</w:t>
      </w:r>
      <w:proofErr w:type="gramStart"/>
      <w:r>
        <w:rPr>
          <w:sz w:val="12"/>
        </w:rPr>
        <w:t>b);</w:t>
      </w:r>
      <w:proofErr w:type="gramEnd"/>
      <w:r>
        <w:rPr>
          <w:sz w:val="12"/>
        </w:rPr>
        <w:t xml:space="preserve"> y Comité para la Eliminación de la Discriminación contra la Mujer, recomendación</w:t>
      </w:r>
      <w:r>
        <w:rPr>
          <w:spacing w:val="40"/>
          <w:sz w:val="12"/>
        </w:rPr>
        <w:t xml:space="preserve"> </w:t>
      </w:r>
      <w:r>
        <w:rPr>
          <w:sz w:val="12"/>
        </w:rPr>
        <w:t>general núm. 28 (2010), párr. dieciséis.</w:t>
      </w:r>
    </w:p>
    <w:p w14:paraId="758F4A16" w14:textId="77777777" w:rsidR="0014798C" w:rsidRDefault="0014798C">
      <w:pPr>
        <w:spacing w:line="312" w:lineRule="auto"/>
        <w:rPr>
          <w:sz w:val="12"/>
        </w:rPr>
        <w:sectPr w:rsidR="0014798C" w:rsidSect="00F265E4">
          <w:type w:val="continuous"/>
          <w:pgSz w:w="11900" w:h="16820"/>
          <w:pgMar w:top="40" w:right="0" w:bottom="280" w:left="200" w:header="121" w:footer="0" w:gutter="0"/>
          <w:cols w:num="2" w:space="720" w:equalWidth="0">
            <w:col w:w="1247" w:space="40"/>
            <w:col w:w="10413"/>
          </w:cols>
        </w:sectPr>
      </w:pPr>
    </w:p>
    <w:p w14:paraId="151A273B" w14:textId="77777777" w:rsidR="0014798C" w:rsidRDefault="004E1F0B">
      <w:pPr>
        <w:spacing w:before="87" w:line="340" w:lineRule="auto"/>
        <w:ind w:left="1368" w:right="1463" w:hanging="263"/>
        <w:rPr>
          <w:sz w:val="11"/>
        </w:rPr>
      </w:pPr>
      <w:r>
        <w:rPr>
          <w:sz w:val="11"/>
        </w:rPr>
        <w:t>240 En su interpretación del artículo 2 (2) del Pacto Internacional de Derechos Económicos, Sociales y Culturales, por ejemplo, el Comité de Derechos Económicos, Sociales y Culturales</w:t>
      </w:r>
      <w:r>
        <w:rPr>
          <w:spacing w:val="40"/>
          <w:sz w:val="11"/>
        </w:rPr>
        <w:t xml:space="preserve"> </w:t>
      </w:r>
      <w:r>
        <w:rPr>
          <w:sz w:val="11"/>
        </w:rPr>
        <w:t>ha definido la discriminación indirecta como “leyes, políticas o prácticas que parecen neutrales a primera vista”. valor, pero tienen un impacto desproporcionado... a diferencia de los</w:t>
      </w:r>
      <w:r>
        <w:rPr>
          <w:spacing w:val="40"/>
          <w:sz w:val="11"/>
        </w:rPr>
        <w:t xml:space="preserve"> </w:t>
      </w:r>
      <w:r>
        <w:rPr>
          <w:sz w:val="11"/>
        </w:rPr>
        <w:t>motivos prohibidos de discriminación”. El Comité sobre los Derechos de las Personas con Discapacidad adopta una definición similar. Véase Comité de Derechos Económicos,</w:t>
      </w:r>
      <w:r>
        <w:rPr>
          <w:spacing w:val="40"/>
          <w:sz w:val="11"/>
        </w:rPr>
        <w:t xml:space="preserve"> </w:t>
      </w:r>
      <w:r>
        <w:rPr>
          <w:sz w:val="11"/>
        </w:rPr>
        <w:t>Sociales</w:t>
      </w:r>
      <w:r>
        <w:rPr>
          <w:spacing w:val="-1"/>
          <w:sz w:val="11"/>
        </w:rPr>
        <w:t xml:space="preserve"> </w:t>
      </w:r>
      <w:r>
        <w:rPr>
          <w:sz w:val="11"/>
        </w:rPr>
        <w:t>y</w:t>
      </w:r>
      <w:r>
        <w:rPr>
          <w:spacing w:val="-1"/>
          <w:sz w:val="11"/>
        </w:rPr>
        <w:t xml:space="preserve"> </w:t>
      </w:r>
      <w:r>
        <w:rPr>
          <w:sz w:val="11"/>
        </w:rPr>
        <w:t>Culturales,</w:t>
      </w:r>
      <w:r>
        <w:rPr>
          <w:spacing w:val="-1"/>
          <w:sz w:val="11"/>
        </w:rPr>
        <w:t xml:space="preserve"> </w:t>
      </w:r>
      <w:r>
        <w:rPr>
          <w:sz w:val="11"/>
        </w:rPr>
        <w:t>observación</w:t>
      </w:r>
      <w:r>
        <w:rPr>
          <w:spacing w:val="-1"/>
          <w:sz w:val="11"/>
        </w:rPr>
        <w:t xml:space="preserve"> </w:t>
      </w:r>
      <w:r>
        <w:rPr>
          <w:sz w:val="11"/>
        </w:rPr>
        <w:t>general</w:t>
      </w:r>
      <w:r>
        <w:rPr>
          <w:spacing w:val="-1"/>
          <w:sz w:val="11"/>
        </w:rPr>
        <w:t xml:space="preserve"> </w:t>
      </w:r>
      <w:r>
        <w:rPr>
          <w:sz w:val="11"/>
        </w:rPr>
        <w:t>núm.</w:t>
      </w:r>
      <w:r>
        <w:rPr>
          <w:spacing w:val="-1"/>
          <w:sz w:val="11"/>
        </w:rPr>
        <w:t xml:space="preserve"> </w:t>
      </w:r>
      <w:r>
        <w:rPr>
          <w:sz w:val="11"/>
        </w:rPr>
        <w:t>20</w:t>
      </w:r>
      <w:r>
        <w:rPr>
          <w:spacing w:val="-1"/>
          <w:sz w:val="11"/>
        </w:rPr>
        <w:t xml:space="preserve"> </w:t>
      </w:r>
      <w:r>
        <w:rPr>
          <w:sz w:val="11"/>
        </w:rPr>
        <w:t>(2009),</w:t>
      </w:r>
      <w:r>
        <w:rPr>
          <w:spacing w:val="-1"/>
          <w:sz w:val="11"/>
        </w:rPr>
        <w:t xml:space="preserve"> </w:t>
      </w:r>
      <w:r>
        <w:rPr>
          <w:sz w:val="11"/>
        </w:rPr>
        <w:t>párr.</w:t>
      </w:r>
      <w:r>
        <w:rPr>
          <w:spacing w:val="-1"/>
          <w:sz w:val="11"/>
        </w:rPr>
        <w:t xml:space="preserve"> </w:t>
      </w:r>
      <w:r>
        <w:rPr>
          <w:sz w:val="11"/>
        </w:rPr>
        <w:t>10</w:t>
      </w:r>
      <w:r>
        <w:rPr>
          <w:spacing w:val="-1"/>
          <w:sz w:val="11"/>
        </w:rPr>
        <w:t xml:space="preserve"> </w:t>
      </w:r>
      <w:r>
        <w:rPr>
          <w:sz w:val="11"/>
        </w:rPr>
        <w:t>(b);</w:t>
      </w:r>
      <w:r>
        <w:rPr>
          <w:spacing w:val="-1"/>
          <w:sz w:val="11"/>
        </w:rPr>
        <w:t xml:space="preserve"> </w:t>
      </w:r>
      <w:r>
        <w:rPr>
          <w:sz w:val="11"/>
        </w:rPr>
        <w:t>y</w:t>
      </w:r>
      <w:r>
        <w:rPr>
          <w:spacing w:val="-1"/>
          <w:sz w:val="11"/>
        </w:rPr>
        <w:t xml:space="preserve"> </w:t>
      </w:r>
      <w:r>
        <w:rPr>
          <w:sz w:val="11"/>
        </w:rPr>
        <w:t>Comité</w:t>
      </w:r>
      <w:r>
        <w:rPr>
          <w:spacing w:val="-1"/>
          <w:sz w:val="11"/>
        </w:rPr>
        <w:t xml:space="preserve"> </w:t>
      </w:r>
      <w:r>
        <w:rPr>
          <w:sz w:val="11"/>
        </w:rPr>
        <w:t>sobre</w:t>
      </w:r>
      <w:r>
        <w:rPr>
          <w:spacing w:val="-1"/>
          <w:sz w:val="11"/>
        </w:rPr>
        <w:t xml:space="preserve"> </w:t>
      </w:r>
      <w:r>
        <w:rPr>
          <w:sz w:val="11"/>
        </w:rPr>
        <w:t>los</w:t>
      </w:r>
      <w:r>
        <w:rPr>
          <w:spacing w:val="-1"/>
          <w:sz w:val="11"/>
        </w:rPr>
        <w:t xml:space="preserve"> </w:t>
      </w:r>
      <w:r>
        <w:rPr>
          <w:sz w:val="11"/>
        </w:rPr>
        <w:t>Derechos</w:t>
      </w:r>
      <w:r>
        <w:rPr>
          <w:spacing w:val="-1"/>
          <w:sz w:val="11"/>
        </w:rPr>
        <w:t xml:space="preserve"> </w:t>
      </w:r>
      <w:r>
        <w:rPr>
          <w:sz w:val="11"/>
        </w:rPr>
        <w:t>de</w:t>
      </w:r>
      <w:r>
        <w:rPr>
          <w:spacing w:val="-1"/>
          <w:sz w:val="11"/>
        </w:rPr>
        <w:t xml:space="preserve"> </w:t>
      </w:r>
      <w:r>
        <w:rPr>
          <w:sz w:val="11"/>
        </w:rPr>
        <w:t>las</w:t>
      </w:r>
      <w:r>
        <w:rPr>
          <w:spacing w:val="-1"/>
          <w:sz w:val="11"/>
        </w:rPr>
        <w:t xml:space="preserve"> </w:t>
      </w:r>
      <w:r>
        <w:rPr>
          <w:sz w:val="11"/>
        </w:rPr>
        <w:t>Personas</w:t>
      </w:r>
      <w:r>
        <w:rPr>
          <w:spacing w:val="-1"/>
          <w:sz w:val="11"/>
        </w:rPr>
        <w:t xml:space="preserve"> </w:t>
      </w:r>
      <w:r>
        <w:rPr>
          <w:sz w:val="11"/>
        </w:rPr>
        <w:t>con</w:t>
      </w:r>
      <w:r>
        <w:rPr>
          <w:spacing w:val="-1"/>
          <w:sz w:val="11"/>
        </w:rPr>
        <w:t xml:space="preserve"> </w:t>
      </w:r>
      <w:r>
        <w:rPr>
          <w:sz w:val="11"/>
        </w:rPr>
        <w:t>Discapacidad, observación</w:t>
      </w:r>
      <w:r>
        <w:rPr>
          <w:spacing w:val="-1"/>
          <w:sz w:val="11"/>
        </w:rPr>
        <w:t xml:space="preserve"> </w:t>
      </w:r>
      <w:r>
        <w:rPr>
          <w:sz w:val="11"/>
        </w:rPr>
        <w:t>general</w:t>
      </w:r>
      <w:r>
        <w:rPr>
          <w:spacing w:val="-1"/>
          <w:sz w:val="11"/>
        </w:rPr>
        <w:t xml:space="preserve"> </w:t>
      </w:r>
      <w:r>
        <w:rPr>
          <w:sz w:val="11"/>
        </w:rPr>
        <w:t>núm.</w:t>
      </w:r>
      <w:r>
        <w:rPr>
          <w:spacing w:val="-1"/>
          <w:sz w:val="11"/>
        </w:rPr>
        <w:t xml:space="preserve"> </w:t>
      </w:r>
      <w:r>
        <w:rPr>
          <w:sz w:val="11"/>
        </w:rPr>
        <w:t>6</w:t>
      </w:r>
      <w:r>
        <w:rPr>
          <w:spacing w:val="-1"/>
          <w:sz w:val="11"/>
        </w:rPr>
        <w:t xml:space="preserve"> </w:t>
      </w:r>
      <w:r>
        <w:rPr>
          <w:sz w:val="11"/>
        </w:rPr>
        <w:t>(2018),</w:t>
      </w:r>
      <w:r>
        <w:rPr>
          <w:spacing w:val="-1"/>
          <w:sz w:val="11"/>
        </w:rPr>
        <w:t xml:space="preserve"> </w:t>
      </w:r>
      <w:r>
        <w:rPr>
          <w:sz w:val="11"/>
        </w:rPr>
        <w:t>párr.</w:t>
      </w:r>
      <w:r>
        <w:rPr>
          <w:spacing w:val="40"/>
          <w:sz w:val="11"/>
        </w:rPr>
        <w:t xml:space="preserve"> </w:t>
      </w:r>
      <w:r>
        <w:rPr>
          <w:sz w:val="11"/>
        </w:rPr>
        <w:t>18</w:t>
      </w:r>
      <w:r>
        <w:rPr>
          <w:spacing w:val="-8"/>
          <w:sz w:val="11"/>
        </w:rPr>
        <w:t xml:space="preserve"> </w:t>
      </w:r>
      <w:r>
        <w:rPr>
          <w:sz w:val="11"/>
        </w:rPr>
        <w:t>(b).</w:t>
      </w:r>
    </w:p>
    <w:p w14:paraId="275FB204" w14:textId="77777777" w:rsidR="0014798C" w:rsidRDefault="004E1F0B">
      <w:pPr>
        <w:spacing w:before="58"/>
        <w:ind w:left="1105"/>
        <w:rPr>
          <w:sz w:val="11"/>
        </w:rPr>
      </w:pPr>
      <w:r>
        <w:rPr>
          <w:sz w:val="11"/>
        </w:rPr>
        <w:t>241</w:t>
      </w:r>
      <w:r>
        <w:rPr>
          <w:spacing w:val="-7"/>
          <w:sz w:val="11"/>
        </w:rPr>
        <w:t xml:space="preserve"> </w:t>
      </w:r>
      <w:r>
        <w:rPr>
          <w:sz w:val="11"/>
        </w:rPr>
        <w:t>Comité</w:t>
      </w:r>
      <w:r>
        <w:rPr>
          <w:spacing w:val="-4"/>
          <w:sz w:val="11"/>
        </w:rPr>
        <w:t xml:space="preserve"> </w:t>
      </w:r>
      <w:r>
        <w:rPr>
          <w:sz w:val="11"/>
        </w:rPr>
        <w:t>de</w:t>
      </w:r>
      <w:r>
        <w:rPr>
          <w:spacing w:val="-4"/>
          <w:sz w:val="11"/>
        </w:rPr>
        <w:t xml:space="preserve"> </w:t>
      </w:r>
      <w:r>
        <w:rPr>
          <w:sz w:val="11"/>
        </w:rPr>
        <w:t>Derechos</w:t>
      </w:r>
      <w:r>
        <w:rPr>
          <w:spacing w:val="-4"/>
          <w:sz w:val="11"/>
        </w:rPr>
        <w:t xml:space="preserve"> </w:t>
      </w:r>
      <w:r>
        <w:rPr>
          <w:sz w:val="11"/>
        </w:rPr>
        <w:t>Humanos,</w:t>
      </w:r>
      <w:r>
        <w:rPr>
          <w:spacing w:val="-4"/>
          <w:sz w:val="11"/>
        </w:rPr>
        <w:t xml:space="preserve"> </w:t>
      </w:r>
      <w:r>
        <w:rPr>
          <w:sz w:val="11"/>
        </w:rPr>
        <w:t>observación</w:t>
      </w:r>
      <w:r>
        <w:rPr>
          <w:spacing w:val="-4"/>
          <w:sz w:val="11"/>
        </w:rPr>
        <w:t xml:space="preserve"> </w:t>
      </w:r>
      <w:r>
        <w:rPr>
          <w:sz w:val="11"/>
        </w:rPr>
        <w:t>general</w:t>
      </w:r>
      <w:r>
        <w:rPr>
          <w:spacing w:val="-4"/>
          <w:sz w:val="11"/>
        </w:rPr>
        <w:t xml:space="preserve"> </w:t>
      </w:r>
      <w:r>
        <w:rPr>
          <w:sz w:val="11"/>
        </w:rPr>
        <w:t>núm.</w:t>
      </w:r>
      <w:r>
        <w:rPr>
          <w:spacing w:val="-4"/>
          <w:sz w:val="11"/>
        </w:rPr>
        <w:t xml:space="preserve"> </w:t>
      </w:r>
      <w:r>
        <w:rPr>
          <w:sz w:val="11"/>
        </w:rPr>
        <w:t>18</w:t>
      </w:r>
      <w:r>
        <w:rPr>
          <w:spacing w:val="-4"/>
          <w:sz w:val="11"/>
        </w:rPr>
        <w:t xml:space="preserve"> </w:t>
      </w:r>
      <w:r>
        <w:rPr>
          <w:sz w:val="11"/>
        </w:rPr>
        <w:t>(1989),</w:t>
      </w:r>
      <w:r>
        <w:rPr>
          <w:spacing w:val="-4"/>
          <w:sz w:val="11"/>
        </w:rPr>
        <w:t xml:space="preserve"> </w:t>
      </w:r>
      <w:r>
        <w:rPr>
          <w:sz w:val="11"/>
        </w:rPr>
        <w:t>párr.</w:t>
      </w:r>
      <w:r>
        <w:rPr>
          <w:spacing w:val="-4"/>
          <w:sz w:val="11"/>
        </w:rPr>
        <w:t xml:space="preserve"> </w:t>
      </w:r>
      <w:r>
        <w:rPr>
          <w:spacing w:val="-5"/>
          <w:sz w:val="11"/>
        </w:rPr>
        <w:t>7.</w:t>
      </w:r>
    </w:p>
    <w:p w14:paraId="1D3D040B" w14:textId="77777777" w:rsidR="0014798C" w:rsidRDefault="0014798C">
      <w:pPr>
        <w:rPr>
          <w:sz w:val="11"/>
        </w:rPr>
        <w:sectPr w:rsidR="0014798C" w:rsidSect="00F265E4">
          <w:type w:val="continuous"/>
          <w:pgSz w:w="11900" w:h="16820"/>
          <w:pgMar w:top="40" w:right="0" w:bottom="280" w:left="200" w:header="121" w:footer="0" w:gutter="0"/>
          <w:cols w:space="720"/>
        </w:sectPr>
      </w:pPr>
    </w:p>
    <w:p w14:paraId="48D0E380" w14:textId="77777777" w:rsidR="0014798C" w:rsidRDefault="004E1F0B">
      <w:pPr>
        <w:spacing w:before="54"/>
        <w:jc w:val="right"/>
        <w:rPr>
          <w:sz w:val="8"/>
        </w:rPr>
      </w:pPr>
      <w:r>
        <w:rPr>
          <w:spacing w:val="-5"/>
          <w:w w:val="105"/>
          <w:sz w:val="8"/>
        </w:rPr>
        <w:t>242</w:t>
      </w:r>
    </w:p>
    <w:p w14:paraId="10B4869C" w14:textId="77777777" w:rsidR="0014798C" w:rsidRDefault="004E1F0B">
      <w:pPr>
        <w:spacing w:before="81" w:line="304" w:lineRule="auto"/>
        <w:ind w:left="85" w:right="1553"/>
        <w:rPr>
          <w:sz w:val="12"/>
        </w:rPr>
      </w:pPr>
      <w:r>
        <w:br w:type="column"/>
      </w:r>
      <w:r>
        <w:rPr>
          <w:sz w:val="12"/>
        </w:rPr>
        <w:t>CCPR/C/UZB/CO/5, párr. 9(a); y CERD/C/PSE/CO/1-2, párr. 12(a). Véase, en relación con esto, Comisión de Expertos en Aplicación de Convenios y</w:t>
      </w:r>
      <w:r>
        <w:rPr>
          <w:spacing w:val="40"/>
          <w:sz w:val="12"/>
        </w:rPr>
        <w:t xml:space="preserve"> </w:t>
      </w:r>
      <w:r>
        <w:rPr>
          <w:sz w:val="12"/>
        </w:rPr>
        <w:t>Recomendaciones de la OIT, Observación general sobre la discriminación por motivos de raza, color y ascendencia nacional (2018), en</w:t>
      </w:r>
    </w:p>
    <w:p w14:paraId="789CD1BB" w14:textId="77777777" w:rsidR="0014798C" w:rsidRDefault="004E1F0B">
      <w:pPr>
        <w:spacing w:before="9"/>
        <w:ind w:left="79"/>
        <w:rPr>
          <w:sz w:val="12"/>
        </w:rPr>
      </w:pPr>
      <w:r>
        <w:rPr>
          <w:sz w:val="12"/>
        </w:rPr>
        <w:t>en</w:t>
      </w:r>
      <w:r>
        <w:rPr>
          <w:spacing w:val="2"/>
          <w:sz w:val="12"/>
        </w:rPr>
        <w:t xml:space="preserve"> </w:t>
      </w:r>
      <w:r>
        <w:rPr>
          <w:sz w:val="12"/>
        </w:rPr>
        <w:t>el</w:t>
      </w:r>
      <w:r>
        <w:rPr>
          <w:spacing w:val="3"/>
          <w:sz w:val="12"/>
        </w:rPr>
        <w:t xml:space="preserve"> </w:t>
      </w:r>
      <w:r>
        <w:rPr>
          <w:sz w:val="12"/>
        </w:rPr>
        <w:t>que</w:t>
      </w:r>
      <w:r>
        <w:rPr>
          <w:spacing w:val="2"/>
          <w:sz w:val="12"/>
        </w:rPr>
        <w:t xml:space="preserve"> </w:t>
      </w:r>
      <w:r>
        <w:rPr>
          <w:sz w:val="12"/>
        </w:rPr>
        <w:t>el</w:t>
      </w:r>
      <w:r>
        <w:rPr>
          <w:spacing w:val="3"/>
          <w:sz w:val="12"/>
        </w:rPr>
        <w:t xml:space="preserve"> </w:t>
      </w:r>
      <w:r>
        <w:rPr>
          <w:sz w:val="12"/>
        </w:rPr>
        <w:t>Comité</w:t>
      </w:r>
      <w:r>
        <w:rPr>
          <w:spacing w:val="2"/>
          <w:sz w:val="12"/>
        </w:rPr>
        <w:t xml:space="preserve"> </w:t>
      </w:r>
      <w:r>
        <w:rPr>
          <w:sz w:val="12"/>
        </w:rPr>
        <w:t>pide</w:t>
      </w:r>
      <w:r>
        <w:rPr>
          <w:spacing w:val="3"/>
          <w:sz w:val="12"/>
        </w:rPr>
        <w:t xml:space="preserve"> </w:t>
      </w:r>
      <w:r>
        <w:rPr>
          <w:sz w:val="12"/>
        </w:rPr>
        <w:t>la</w:t>
      </w:r>
      <w:r>
        <w:rPr>
          <w:spacing w:val="2"/>
          <w:sz w:val="12"/>
        </w:rPr>
        <w:t xml:space="preserve"> </w:t>
      </w:r>
      <w:r>
        <w:rPr>
          <w:sz w:val="12"/>
        </w:rPr>
        <w:t>adopción</w:t>
      </w:r>
      <w:r>
        <w:rPr>
          <w:spacing w:val="3"/>
          <w:sz w:val="12"/>
        </w:rPr>
        <w:t xml:space="preserve"> </w:t>
      </w:r>
      <w:r>
        <w:rPr>
          <w:sz w:val="12"/>
        </w:rPr>
        <w:t>de</w:t>
      </w:r>
      <w:r>
        <w:rPr>
          <w:spacing w:val="2"/>
          <w:sz w:val="12"/>
        </w:rPr>
        <w:t xml:space="preserve"> </w:t>
      </w:r>
      <w:r>
        <w:rPr>
          <w:sz w:val="12"/>
        </w:rPr>
        <w:t>“legislación</w:t>
      </w:r>
      <w:r>
        <w:rPr>
          <w:spacing w:val="3"/>
          <w:sz w:val="12"/>
        </w:rPr>
        <w:t xml:space="preserve"> </w:t>
      </w:r>
      <w:r>
        <w:rPr>
          <w:sz w:val="12"/>
        </w:rPr>
        <w:t>integral</w:t>
      </w:r>
      <w:r>
        <w:rPr>
          <w:spacing w:val="2"/>
          <w:sz w:val="12"/>
        </w:rPr>
        <w:t xml:space="preserve"> </w:t>
      </w:r>
      <w:r>
        <w:rPr>
          <w:sz w:val="12"/>
        </w:rPr>
        <w:t>que</w:t>
      </w:r>
      <w:r>
        <w:rPr>
          <w:spacing w:val="3"/>
          <w:sz w:val="12"/>
        </w:rPr>
        <w:t xml:space="preserve"> </w:t>
      </w:r>
      <w:r>
        <w:rPr>
          <w:sz w:val="12"/>
        </w:rPr>
        <w:t>contenga</w:t>
      </w:r>
      <w:r>
        <w:rPr>
          <w:spacing w:val="2"/>
          <w:sz w:val="12"/>
        </w:rPr>
        <w:t xml:space="preserve"> </w:t>
      </w:r>
      <w:r>
        <w:rPr>
          <w:sz w:val="12"/>
        </w:rPr>
        <w:t>disposiciones</w:t>
      </w:r>
      <w:r>
        <w:rPr>
          <w:spacing w:val="3"/>
          <w:sz w:val="12"/>
        </w:rPr>
        <w:t xml:space="preserve"> </w:t>
      </w:r>
      <w:r>
        <w:rPr>
          <w:sz w:val="12"/>
        </w:rPr>
        <w:t>explícitas</w:t>
      </w:r>
      <w:r>
        <w:rPr>
          <w:spacing w:val="2"/>
          <w:sz w:val="12"/>
        </w:rPr>
        <w:t xml:space="preserve"> </w:t>
      </w:r>
      <w:r>
        <w:rPr>
          <w:sz w:val="12"/>
        </w:rPr>
        <w:t>que</w:t>
      </w:r>
      <w:r>
        <w:rPr>
          <w:spacing w:val="3"/>
          <w:sz w:val="12"/>
        </w:rPr>
        <w:t xml:space="preserve"> </w:t>
      </w:r>
      <w:r>
        <w:rPr>
          <w:sz w:val="12"/>
        </w:rPr>
        <w:t>definan</w:t>
      </w:r>
      <w:r>
        <w:rPr>
          <w:spacing w:val="2"/>
          <w:sz w:val="12"/>
        </w:rPr>
        <w:t xml:space="preserve"> </w:t>
      </w:r>
      <w:r>
        <w:rPr>
          <w:sz w:val="12"/>
        </w:rPr>
        <w:t>y</w:t>
      </w:r>
      <w:r>
        <w:rPr>
          <w:spacing w:val="3"/>
          <w:sz w:val="12"/>
        </w:rPr>
        <w:t xml:space="preserve"> </w:t>
      </w:r>
      <w:r>
        <w:rPr>
          <w:sz w:val="12"/>
        </w:rPr>
        <w:t>prohíban...</w:t>
      </w:r>
      <w:r>
        <w:rPr>
          <w:spacing w:val="4"/>
          <w:sz w:val="12"/>
        </w:rPr>
        <w:t xml:space="preserve"> </w:t>
      </w:r>
      <w:r>
        <w:rPr>
          <w:sz w:val="12"/>
        </w:rPr>
        <w:t>la</w:t>
      </w:r>
      <w:r>
        <w:rPr>
          <w:spacing w:val="2"/>
          <w:sz w:val="12"/>
        </w:rPr>
        <w:t xml:space="preserve"> </w:t>
      </w:r>
      <w:r>
        <w:rPr>
          <w:sz w:val="12"/>
        </w:rPr>
        <w:t>discriminación</w:t>
      </w:r>
      <w:r>
        <w:rPr>
          <w:spacing w:val="3"/>
          <w:sz w:val="12"/>
        </w:rPr>
        <w:t xml:space="preserve"> </w:t>
      </w:r>
      <w:r>
        <w:rPr>
          <w:sz w:val="12"/>
        </w:rPr>
        <w:t>directa</w:t>
      </w:r>
      <w:r>
        <w:rPr>
          <w:spacing w:val="2"/>
          <w:sz w:val="12"/>
        </w:rPr>
        <w:t xml:space="preserve"> </w:t>
      </w:r>
      <w:r>
        <w:rPr>
          <w:sz w:val="12"/>
        </w:rPr>
        <w:t>e</w:t>
      </w:r>
      <w:r>
        <w:rPr>
          <w:spacing w:val="3"/>
          <w:sz w:val="12"/>
        </w:rPr>
        <w:t xml:space="preserve"> </w:t>
      </w:r>
      <w:r>
        <w:rPr>
          <w:spacing w:val="-2"/>
          <w:sz w:val="12"/>
        </w:rPr>
        <w:t>indirecta”.</w:t>
      </w:r>
    </w:p>
    <w:p w14:paraId="3326E294" w14:textId="77777777" w:rsidR="0014798C" w:rsidRDefault="0014798C">
      <w:pPr>
        <w:rPr>
          <w:sz w:val="12"/>
        </w:rPr>
        <w:sectPr w:rsidR="0014798C" w:rsidSect="00F265E4">
          <w:type w:val="continuous"/>
          <w:pgSz w:w="11900" w:h="16820"/>
          <w:pgMar w:top="40" w:right="0" w:bottom="280" w:left="200" w:header="121" w:footer="0" w:gutter="0"/>
          <w:cols w:num="2" w:space="720" w:equalWidth="0">
            <w:col w:w="1247" w:space="40"/>
            <w:col w:w="10413"/>
          </w:cols>
        </w:sectPr>
      </w:pPr>
    </w:p>
    <w:p w14:paraId="75CF141D" w14:textId="77777777" w:rsidR="0014798C" w:rsidRDefault="0014798C">
      <w:pPr>
        <w:pStyle w:val="Textoindependiente"/>
        <w:rPr>
          <w:sz w:val="11"/>
        </w:rPr>
      </w:pPr>
    </w:p>
    <w:p w14:paraId="2443A043" w14:textId="77777777" w:rsidR="0014798C" w:rsidRDefault="0014798C">
      <w:pPr>
        <w:pStyle w:val="Textoindependiente"/>
        <w:spacing w:before="54"/>
        <w:rPr>
          <w:sz w:val="11"/>
        </w:rPr>
      </w:pPr>
    </w:p>
    <w:p w14:paraId="5167EA67" w14:textId="77777777" w:rsidR="0014798C" w:rsidRDefault="004E1F0B">
      <w:pPr>
        <w:ind w:left="1105"/>
        <w:rPr>
          <w:sz w:val="11"/>
        </w:rPr>
      </w:pPr>
      <w:r>
        <w:rPr>
          <w:sz w:val="11"/>
        </w:rPr>
        <w:t>243</w:t>
      </w:r>
      <w:r>
        <w:rPr>
          <w:spacing w:val="-3"/>
          <w:sz w:val="11"/>
        </w:rPr>
        <w:t xml:space="preserve"> </w:t>
      </w:r>
      <w:r>
        <w:rPr>
          <w:sz w:val="11"/>
        </w:rPr>
        <w:t>Comisión</w:t>
      </w:r>
      <w:r>
        <w:rPr>
          <w:spacing w:val="-2"/>
          <w:sz w:val="11"/>
        </w:rPr>
        <w:t xml:space="preserve"> </w:t>
      </w:r>
      <w:r>
        <w:rPr>
          <w:sz w:val="11"/>
        </w:rPr>
        <w:t>Africana</w:t>
      </w:r>
      <w:r>
        <w:rPr>
          <w:spacing w:val="-3"/>
          <w:sz w:val="11"/>
        </w:rPr>
        <w:t xml:space="preserve"> </w:t>
      </w:r>
      <w:r>
        <w:rPr>
          <w:sz w:val="11"/>
        </w:rPr>
        <w:t>de</w:t>
      </w:r>
      <w:r>
        <w:rPr>
          <w:spacing w:val="-2"/>
          <w:sz w:val="11"/>
        </w:rPr>
        <w:t xml:space="preserve"> </w:t>
      </w:r>
      <w:r>
        <w:rPr>
          <w:sz w:val="11"/>
        </w:rPr>
        <w:t>Derechos</w:t>
      </w:r>
      <w:r>
        <w:rPr>
          <w:spacing w:val="-3"/>
          <w:sz w:val="11"/>
        </w:rPr>
        <w:t xml:space="preserve"> </w:t>
      </w:r>
      <w:r>
        <w:rPr>
          <w:sz w:val="11"/>
        </w:rPr>
        <w:t>Humanos</w:t>
      </w:r>
      <w:r>
        <w:rPr>
          <w:spacing w:val="-2"/>
          <w:sz w:val="11"/>
        </w:rPr>
        <w:t xml:space="preserve"> </w:t>
      </w:r>
      <w:r>
        <w:rPr>
          <w:sz w:val="11"/>
        </w:rPr>
        <w:t>y</w:t>
      </w:r>
      <w:r>
        <w:rPr>
          <w:spacing w:val="-3"/>
          <w:sz w:val="11"/>
        </w:rPr>
        <w:t xml:space="preserve"> </w:t>
      </w:r>
      <w:r>
        <w:rPr>
          <w:sz w:val="11"/>
        </w:rPr>
        <w:t>de</w:t>
      </w:r>
      <w:r>
        <w:rPr>
          <w:spacing w:val="-2"/>
          <w:sz w:val="11"/>
        </w:rPr>
        <w:t xml:space="preserve"> </w:t>
      </w:r>
      <w:r>
        <w:rPr>
          <w:sz w:val="11"/>
        </w:rPr>
        <w:t>los</w:t>
      </w:r>
      <w:r>
        <w:rPr>
          <w:spacing w:val="-3"/>
          <w:sz w:val="11"/>
        </w:rPr>
        <w:t xml:space="preserve"> </w:t>
      </w:r>
      <w:r>
        <w:rPr>
          <w:sz w:val="11"/>
        </w:rPr>
        <w:t>Pueblos,</w:t>
      </w:r>
      <w:r>
        <w:rPr>
          <w:spacing w:val="-2"/>
          <w:sz w:val="11"/>
        </w:rPr>
        <w:t xml:space="preserve"> </w:t>
      </w:r>
      <w:r>
        <w:rPr>
          <w:sz w:val="11"/>
        </w:rPr>
        <w:t>Principios</w:t>
      </w:r>
      <w:r>
        <w:rPr>
          <w:spacing w:val="-3"/>
          <w:sz w:val="11"/>
        </w:rPr>
        <w:t xml:space="preserve"> </w:t>
      </w:r>
      <w:r>
        <w:rPr>
          <w:sz w:val="11"/>
        </w:rPr>
        <w:t>y</w:t>
      </w:r>
      <w:r>
        <w:rPr>
          <w:spacing w:val="-3"/>
          <w:sz w:val="11"/>
        </w:rPr>
        <w:t xml:space="preserve"> </w:t>
      </w:r>
      <w:r>
        <w:rPr>
          <w:sz w:val="11"/>
        </w:rPr>
        <w:t>Directrices</w:t>
      </w:r>
      <w:r>
        <w:rPr>
          <w:spacing w:val="-2"/>
          <w:sz w:val="11"/>
        </w:rPr>
        <w:t xml:space="preserve"> </w:t>
      </w:r>
      <w:r>
        <w:rPr>
          <w:sz w:val="11"/>
        </w:rPr>
        <w:t>sobre</w:t>
      </w:r>
      <w:r>
        <w:rPr>
          <w:spacing w:val="-3"/>
          <w:sz w:val="11"/>
        </w:rPr>
        <w:t xml:space="preserve"> </w:t>
      </w:r>
      <w:r>
        <w:rPr>
          <w:sz w:val="11"/>
        </w:rPr>
        <w:t>la</w:t>
      </w:r>
      <w:r>
        <w:rPr>
          <w:spacing w:val="-2"/>
          <w:sz w:val="11"/>
        </w:rPr>
        <w:t xml:space="preserve"> </w:t>
      </w:r>
      <w:r>
        <w:rPr>
          <w:sz w:val="11"/>
        </w:rPr>
        <w:t>Implementación</w:t>
      </w:r>
      <w:r>
        <w:rPr>
          <w:spacing w:val="-3"/>
          <w:sz w:val="11"/>
        </w:rPr>
        <w:t xml:space="preserve"> </w:t>
      </w:r>
      <w:r>
        <w:rPr>
          <w:sz w:val="11"/>
        </w:rPr>
        <w:t>de</w:t>
      </w:r>
      <w:r>
        <w:rPr>
          <w:spacing w:val="-2"/>
          <w:sz w:val="11"/>
        </w:rPr>
        <w:t xml:space="preserve"> </w:t>
      </w:r>
      <w:r>
        <w:rPr>
          <w:sz w:val="11"/>
        </w:rPr>
        <w:t>los</w:t>
      </w:r>
      <w:r>
        <w:rPr>
          <w:spacing w:val="-3"/>
          <w:sz w:val="11"/>
        </w:rPr>
        <w:t xml:space="preserve"> </w:t>
      </w:r>
      <w:r>
        <w:rPr>
          <w:sz w:val="11"/>
        </w:rPr>
        <w:t>Derechos</w:t>
      </w:r>
      <w:r>
        <w:rPr>
          <w:spacing w:val="-2"/>
          <w:sz w:val="11"/>
        </w:rPr>
        <w:t xml:space="preserve"> </w:t>
      </w:r>
      <w:r>
        <w:rPr>
          <w:sz w:val="11"/>
        </w:rPr>
        <w:t>Económicos,</w:t>
      </w:r>
      <w:r>
        <w:rPr>
          <w:spacing w:val="-3"/>
          <w:sz w:val="11"/>
        </w:rPr>
        <w:t xml:space="preserve"> </w:t>
      </w:r>
      <w:r>
        <w:rPr>
          <w:sz w:val="11"/>
        </w:rPr>
        <w:t>Sociales</w:t>
      </w:r>
      <w:r>
        <w:rPr>
          <w:spacing w:val="-2"/>
          <w:sz w:val="11"/>
        </w:rPr>
        <w:t xml:space="preserve"> </w:t>
      </w:r>
      <w:r>
        <w:rPr>
          <w:sz w:val="11"/>
        </w:rPr>
        <w:t>y</w:t>
      </w:r>
      <w:r>
        <w:rPr>
          <w:spacing w:val="-2"/>
          <w:sz w:val="11"/>
        </w:rPr>
        <w:t xml:space="preserve"> Culturales</w:t>
      </w:r>
    </w:p>
    <w:p w14:paraId="1A9856E0" w14:textId="77777777" w:rsidR="0014798C" w:rsidRDefault="004E1F0B">
      <w:pPr>
        <w:spacing w:before="24"/>
        <w:ind w:left="1368"/>
        <w:rPr>
          <w:sz w:val="12"/>
        </w:rPr>
      </w:pPr>
      <w:r>
        <w:rPr>
          <w:sz w:val="12"/>
        </w:rPr>
        <w:t>Derechos</w:t>
      </w:r>
      <w:r>
        <w:rPr>
          <w:spacing w:val="3"/>
          <w:sz w:val="12"/>
        </w:rPr>
        <w:t xml:space="preserve"> </w:t>
      </w:r>
      <w:r>
        <w:rPr>
          <w:sz w:val="12"/>
        </w:rPr>
        <w:t>en</w:t>
      </w:r>
      <w:r>
        <w:rPr>
          <w:spacing w:val="4"/>
          <w:sz w:val="12"/>
        </w:rPr>
        <w:t xml:space="preserve"> </w:t>
      </w:r>
      <w:r>
        <w:rPr>
          <w:sz w:val="12"/>
        </w:rPr>
        <w:t>la</w:t>
      </w:r>
      <w:r>
        <w:rPr>
          <w:spacing w:val="3"/>
          <w:sz w:val="12"/>
        </w:rPr>
        <w:t xml:space="preserve"> </w:t>
      </w:r>
      <w:r>
        <w:rPr>
          <w:sz w:val="12"/>
        </w:rPr>
        <w:t>Carta</w:t>
      </w:r>
      <w:r>
        <w:rPr>
          <w:spacing w:val="4"/>
          <w:sz w:val="12"/>
        </w:rPr>
        <w:t xml:space="preserve"> </w:t>
      </w:r>
      <w:r>
        <w:rPr>
          <w:sz w:val="12"/>
        </w:rPr>
        <w:t>Africana</w:t>
      </w:r>
      <w:r>
        <w:rPr>
          <w:spacing w:val="3"/>
          <w:sz w:val="12"/>
        </w:rPr>
        <w:t xml:space="preserve"> </w:t>
      </w:r>
      <w:r>
        <w:rPr>
          <w:sz w:val="12"/>
        </w:rPr>
        <w:t>de</w:t>
      </w:r>
      <w:r>
        <w:rPr>
          <w:spacing w:val="4"/>
          <w:sz w:val="12"/>
        </w:rPr>
        <w:t xml:space="preserve"> </w:t>
      </w:r>
      <w:r>
        <w:rPr>
          <w:sz w:val="12"/>
        </w:rPr>
        <w:t>Derechos</w:t>
      </w:r>
      <w:r>
        <w:rPr>
          <w:spacing w:val="3"/>
          <w:sz w:val="12"/>
        </w:rPr>
        <w:t xml:space="preserve"> </w:t>
      </w:r>
      <w:r>
        <w:rPr>
          <w:sz w:val="12"/>
        </w:rPr>
        <w:t>Humanos</w:t>
      </w:r>
      <w:r>
        <w:rPr>
          <w:spacing w:val="4"/>
          <w:sz w:val="12"/>
        </w:rPr>
        <w:t xml:space="preserve"> </w:t>
      </w:r>
      <w:r>
        <w:rPr>
          <w:sz w:val="12"/>
        </w:rPr>
        <w:t>y</w:t>
      </w:r>
      <w:r>
        <w:rPr>
          <w:spacing w:val="3"/>
          <w:sz w:val="12"/>
        </w:rPr>
        <w:t xml:space="preserve"> </w:t>
      </w:r>
      <w:r>
        <w:rPr>
          <w:sz w:val="12"/>
        </w:rPr>
        <w:t>de</w:t>
      </w:r>
      <w:r>
        <w:rPr>
          <w:spacing w:val="4"/>
          <w:sz w:val="12"/>
        </w:rPr>
        <w:t xml:space="preserve"> </w:t>
      </w:r>
      <w:r>
        <w:rPr>
          <w:sz w:val="12"/>
        </w:rPr>
        <w:t>los</w:t>
      </w:r>
      <w:r>
        <w:rPr>
          <w:spacing w:val="3"/>
          <w:sz w:val="12"/>
        </w:rPr>
        <w:t xml:space="preserve"> </w:t>
      </w:r>
      <w:r>
        <w:rPr>
          <w:sz w:val="12"/>
        </w:rPr>
        <w:t>Pueblos,</w:t>
      </w:r>
      <w:r>
        <w:rPr>
          <w:spacing w:val="5"/>
          <w:sz w:val="12"/>
        </w:rPr>
        <w:t xml:space="preserve"> </w:t>
      </w:r>
      <w:r>
        <w:rPr>
          <w:sz w:val="12"/>
        </w:rPr>
        <w:t>párr.</w:t>
      </w:r>
      <w:r>
        <w:rPr>
          <w:spacing w:val="4"/>
          <w:sz w:val="12"/>
        </w:rPr>
        <w:t xml:space="preserve"> </w:t>
      </w:r>
      <w:r>
        <w:rPr>
          <w:sz w:val="12"/>
        </w:rPr>
        <w:t>1</w:t>
      </w:r>
      <w:r>
        <w:rPr>
          <w:spacing w:val="4"/>
          <w:sz w:val="12"/>
        </w:rPr>
        <w:t xml:space="preserve"> </w:t>
      </w:r>
      <w:r>
        <w:rPr>
          <w:spacing w:val="-4"/>
          <w:sz w:val="12"/>
        </w:rPr>
        <w:t>(m).</w:t>
      </w:r>
    </w:p>
    <w:p w14:paraId="6149809A" w14:textId="77777777" w:rsidR="0014798C" w:rsidRDefault="0014798C">
      <w:pPr>
        <w:rPr>
          <w:sz w:val="12"/>
        </w:rPr>
        <w:sectPr w:rsidR="0014798C" w:rsidSect="00F265E4">
          <w:type w:val="continuous"/>
          <w:pgSz w:w="11900" w:h="16820"/>
          <w:pgMar w:top="40" w:right="0" w:bottom="280" w:left="200" w:header="121" w:footer="0" w:gutter="0"/>
          <w:cols w:space="720"/>
        </w:sectPr>
      </w:pPr>
    </w:p>
    <w:p w14:paraId="5BD77ABF" w14:textId="77777777" w:rsidR="0014798C" w:rsidRDefault="004E1F0B">
      <w:pPr>
        <w:spacing w:before="72"/>
        <w:jc w:val="right"/>
        <w:rPr>
          <w:sz w:val="8"/>
        </w:rPr>
      </w:pPr>
      <w:r>
        <w:rPr>
          <w:spacing w:val="-5"/>
          <w:w w:val="105"/>
          <w:sz w:val="8"/>
        </w:rPr>
        <w:t>244</w:t>
      </w:r>
    </w:p>
    <w:p w14:paraId="748CD351" w14:textId="77777777" w:rsidR="0014798C" w:rsidRDefault="004E1F0B">
      <w:pPr>
        <w:spacing w:before="99" w:line="312" w:lineRule="auto"/>
        <w:ind w:left="79" w:right="1553" w:firstLine="4"/>
        <w:rPr>
          <w:sz w:val="12"/>
        </w:rPr>
      </w:pPr>
      <w:r>
        <w:br w:type="column"/>
      </w:r>
      <w:r>
        <w:rPr>
          <w:sz w:val="12"/>
        </w:rPr>
        <w:t>Véase,</w:t>
      </w:r>
      <w:r>
        <w:rPr>
          <w:spacing w:val="6"/>
          <w:sz w:val="12"/>
        </w:rPr>
        <w:t xml:space="preserve"> </w:t>
      </w:r>
      <w:r>
        <w:rPr>
          <w:sz w:val="12"/>
        </w:rPr>
        <w:t>por</w:t>
      </w:r>
      <w:r>
        <w:rPr>
          <w:spacing w:val="6"/>
          <w:sz w:val="12"/>
        </w:rPr>
        <w:t xml:space="preserve"> </w:t>
      </w:r>
      <w:r>
        <w:rPr>
          <w:sz w:val="12"/>
        </w:rPr>
        <w:t>ejemplo,</w:t>
      </w:r>
      <w:r>
        <w:rPr>
          <w:spacing w:val="7"/>
          <w:sz w:val="12"/>
        </w:rPr>
        <w:t xml:space="preserve"> </w:t>
      </w:r>
      <w:r>
        <w:rPr>
          <w:sz w:val="12"/>
        </w:rPr>
        <w:t>Corte</w:t>
      </w:r>
      <w:r>
        <w:rPr>
          <w:spacing w:val="6"/>
          <w:sz w:val="12"/>
        </w:rPr>
        <w:t xml:space="preserve"> </w:t>
      </w:r>
      <w:r>
        <w:rPr>
          <w:sz w:val="12"/>
        </w:rPr>
        <w:t>Interamericana</w:t>
      </w:r>
      <w:r>
        <w:rPr>
          <w:spacing w:val="6"/>
          <w:sz w:val="12"/>
        </w:rPr>
        <w:t xml:space="preserve"> </w:t>
      </w:r>
      <w:r>
        <w:rPr>
          <w:sz w:val="12"/>
        </w:rPr>
        <w:t>de</w:t>
      </w:r>
      <w:r>
        <w:rPr>
          <w:spacing w:val="6"/>
          <w:sz w:val="12"/>
        </w:rPr>
        <w:t xml:space="preserve"> </w:t>
      </w:r>
      <w:r>
        <w:rPr>
          <w:sz w:val="12"/>
        </w:rPr>
        <w:t>Derechos</w:t>
      </w:r>
      <w:r>
        <w:rPr>
          <w:spacing w:val="6"/>
          <w:sz w:val="12"/>
        </w:rPr>
        <w:t xml:space="preserve"> </w:t>
      </w:r>
      <w:r>
        <w:rPr>
          <w:sz w:val="12"/>
        </w:rPr>
        <w:t>Humanos,</w:t>
      </w:r>
      <w:r>
        <w:rPr>
          <w:spacing w:val="7"/>
          <w:sz w:val="12"/>
        </w:rPr>
        <w:t xml:space="preserve"> </w:t>
      </w:r>
      <w:r>
        <w:rPr>
          <w:sz w:val="12"/>
        </w:rPr>
        <w:t>Artavia</w:t>
      </w:r>
      <w:r>
        <w:rPr>
          <w:spacing w:val="6"/>
          <w:sz w:val="12"/>
        </w:rPr>
        <w:t xml:space="preserve"> </w:t>
      </w:r>
      <w:r>
        <w:rPr>
          <w:sz w:val="12"/>
        </w:rPr>
        <w:t>Murillo</w:t>
      </w:r>
      <w:r>
        <w:rPr>
          <w:spacing w:val="6"/>
          <w:sz w:val="12"/>
        </w:rPr>
        <w:t xml:space="preserve"> </w:t>
      </w:r>
      <w:r>
        <w:rPr>
          <w:sz w:val="12"/>
        </w:rPr>
        <w:t>et</w:t>
      </w:r>
      <w:r>
        <w:rPr>
          <w:spacing w:val="6"/>
          <w:sz w:val="12"/>
        </w:rPr>
        <w:t xml:space="preserve"> </w:t>
      </w:r>
      <w:r>
        <w:rPr>
          <w:sz w:val="12"/>
        </w:rPr>
        <w:t>al.</w:t>
      </w:r>
      <w:r>
        <w:rPr>
          <w:spacing w:val="6"/>
          <w:sz w:val="12"/>
        </w:rPr>
        <w:t xml:space="preserve"> </w:t>
      </w:r>
      <w:proofErr w:type="gramStart"/>
      <w:r>
        <w:rPr>
          <w:sz w:val="12"/>
        </w:rPr>
        <w:t>(</w:t>
      </w:r>
      <w:r>
        <w:rPr>
          <w:spacing w:val="6"/>
          <w:sz w:val="12"/>
        </w:rPr>
        <w:t xml:space="preserve"> </w:t>
      </w:r>
      <w:r>
        <w:rPr>
          <w:sz w:val="12"/>
        </w:rPr>
        <w:t>fertilización</w:t>
      </w:r>
      <w:proofErr w:type="gramEnd"/>
      <w:r>
        <w:rPr>
          <w:spacing w:val="6"/>
          <w:sz w:val="12"/>
        </w:rPr>
        <w:t xml:space="preserve"> </w:t>
      </w:r>
      <w:r>
        <w:rPr>
          <w:sz w:val="12"/>
        </w:rPr>
        <w:t>in</w:t>
      </w:r>
      <w:r>
        <w:rPr>
          <w:spacing w:val="6"/>
          <w:sz w:val="12"/>
        </w:rPr>
        <w:t xml:space="preserve"> </w:t>
      </w:r>
      <w:proofErr w:type="gramStart"/>
      <w:r>
        <w:rPr>
          <w:sz w:val="12"/>
        </w:rPr>
        <w:t>vitro</w:t>
      </w:r>
      <w:r>
        <w:rPr>
          <w:spacing w:val="6"/>
          <w:sz w:val="12"/>
        </w:rPr>
        <w:t xml:space="preserve"> </w:t>
      </w:r>
      <w:r>
        <w:rPr>
          <w:sz w:val="12"/>
        </w:rPr>
        <w:t>)</w:t>
      </w:r>
      <w:proofErr w:type="gramEnd"/>
      <w:r>
        <w:rPr>
          <w:spacing w:val="6"/>
          <w:sz w:val="12"/>
        </w:rPr>
        <w:t xml:space="preserve"> </w:t>
      </w:r>
      <w:r>
        <w:rPr>
          <w:sz w:val="12"/>
        </w:rPr>
        <w:t>vs.</w:t>
      </w:r>
      <w:r>
        <w:rPr>
          <w:spacing w:val="6"/>
          <w:sz w:val="12"/>
        </w:rPr>
        <w:t xml:space="preserve"> </w:t>
      </w:r>
      <w:r>
        <w:rPr>
          <w:sz w:val="12"/>
        </w:rPr>
        <w:t>Costa</w:t>
      </w:r>
      <w:r>
        <w:rPr>
          <w:spacing w:val="6"/>
          <w:sz w:val="12"/>
        </w:rPr>
        <w:t xml:space="preserve"> </w:t>
      </w:r>
      <w:r>
        <w:rPr>
          <w:sz w:val="12"/>
        </w:rPr>
        <w:t>Rica,</w:t>
      </w:r>
      <w:r>
        <w:rPr>
          <w:spacing w:val="6"/>
          <w:sz w:val="12"/>
        </w:rPr>
        <w:t xml:space="preserve"> </w:t>
      </w:r>
      <w:r>
        <w:rPr>
          <w:sz w:val="12"/>
        </w:rPr>
        <w:t>Caso</w:t>
      </w:r>
      <w:r>
        <w:rPr>
          <w:spacing w:val="6"/>
          <w:sz w:val="12"/>
        </w:rPr>
        <w:t xml:space="preserve"> </w:t>
      </w:r>
      <w:r>
        <w:rPr>
          <w:sz w:val="12"/>
        </w:rPr>
        <w:t>12.361,</w:t>
      </w:r>
      <w:r>
        <w:rPr>
          <w:spacing w:val="7"/>
          <w:sz w:val="12"/>
        </w:rPr>
        <w:t xml:space="preserve"> </w:t>
      </w:r>
      <w:r>
        <w:rPr>
          <w:sz w:val="12"/>
        </w:rPr>
        <w:t>Informe</w:t>
      </w:r>
      <w:r>
        <w:rPr>
          <w:spacing w:val="6"/>
          <w:sz w:val="12"/>
        </w:rPr>
        <w:t xml:space="preserve"> </w:t>
      </w:r>
      <w:r>
        <w:rPr>
          <w:sz w:val="12"/>
        </w:rPr>
        <w:t>No.</w:t>
      </w:r>
      <w:r>
        <w:rPr>
          <w:spacing w:val="6"/>
          <w:sz w:val="12"/>
        </w:rPr>
        <w:t xml:space="preserve"> </w:t>
      </w:r>
      <w:r>
        <w:rPr>
          <w:sz w:val="12"/>
        </w:rPr>
        <w:t>85/10,</w:t>
      </w:r>
      <w:r>
        <w:rPr>
          <w:spacing w:val="6"/>
          <w:sz w:val="12"/>
        </w:rPr>
        <w:t xml:space="preserve"> </w:t>
      </w:r>
      <w:r>
        <w:rPr>
          <w:sz w:val="12"/>
        </w:rPr>
        <w:t>14</w:t>
      </w:r>
      <w:r>
        <w:rPr>
          <w:spacing w:val="40"/>
          <w:sz w:val="12"/>
        </w:rPr>
        <w:t xml:space="preserve"> </w:t>
      </w:r>
      <w:r>
        <w:rPr>
          <w:sz w:val="12"/>
        </w:rPr>
        <w:t xml:space="preserve">de julio de 2010, </w:t>
      </w:r>
      <w:proofErr w:type="spellStart"/>
      <w:r>
        <w:rPr>
          <w:sz w:val="12"/>
        </w:rPr>
        <w:t>párrs</w:t>
      </w:r>
      <w:proofErr w:type="spellEnd"/>
      <w:r>
        <w:rPr>
          <w:sz w:val="12"/>
        </w:rPr>
        <w:t>. 123 y 125. Véase también Convención Interamericana contra Toda Forma de Discriminación e Intolerancia, art. 1 (2).</w:t>
      </w:r>
    </w:p>
    <w:p w14:paraId="5993B3C6" w14:textId="77777777" w:rsidR="0014798C" w:rsidRDefault="0014798C">
      <w:pPr>
        <w:spacing w:line="312" w:lineRule="auto"/>
        <w:rPr>
          <w:sz w:val="12"/>
        </w:rPr>
        <w:sectPr w:rsidR="0014798C" w:rsidSect="00F265E4">
          <w:type w:val="continuous"/>
          <w:pgSz w:w="11900" w:h="16820"/>
          <w:pgMar w:top="40" w:right="0" w:bottom="280" w:left="200" w:header="121" w:footer="0" w:gutter="0"/>
          <w:cols w:num="2" w:space="720" w:equalWidth="0">
            <w:col w:w="1247" w:space="40"/>
            <w:col w:w="10413"/>
          </w:cols>
        </w:sectPr>
      </w:pPr>
    </w:p>
    <w:p w14:paraId="12649BC2" w14:textId="77777777" w:rsidR="0014798C" w:rsidRDefault="0014798C">
      <w:pPr>
        <w:pStyle w:val="Textoindependiente"/>
        <w:rPr>
          <w:sz w:val="11"/>
        </w:rPr>
      </w:pPr>
    </w:p>
    <w:p w14:paraId="38B81960" w14:textId="77777777" w:rsidR="0014798C" w:rsidRDefault="0014798C">
      <w:pPr>
        <w:pStyle w:val="Textoindependiente"/>
        <w:spacing w:before="13"/>
        <w:rPr>
          <w:sz w:val="11"/>
        </w:rPr>
      </w:pPr>
    </w:p>
    <w:p w14:paraId="09B23EB0" w14:textId="77777777" w:rsidR="0014798C" w:rsidRDefault="004E1F0B">
      <w:pPr>
        <w:ind w:left="1105"/>
        <w:rPr>
          <w:sz w:val="11"/>
        </w:rPr>
      </w:pPr>
      <w:r>
        <w:rPr>
          <w:sz w:val="11"/>
        </w:rPr>
        <w:t>245</w:t>
      </w:r>
      <w:r>
        <w:rPr>
          <w:spacing w:val="-6"/>
          <w:sz w:val="11"/>
        </w:rPr>
        <w:t xml:space="preserve"> </w:t>
      </w:r>
      <w:r>
        <w:rPr>
          <w:sz w:val="11"/>
        </w:rPr>
        <w:t>Directiva</w:t>
      </w:r>
      <w:r>
        <w:rPr>
          <w:spacing w:val="-4"/>
          <w:sz w:val="11"/>
        </w:rPr>
        <w:t xml:space="preserve"> </w:t>
      </w:r>
      <w:r>
        <w:rPr>
          <w:sz w:val="11"/>
        </w:rPr>
        <w:t>2000/43/CE</w:t>
      </w:r>
      <w:r>
        <w:rPr>
          <w:spacing w:val="-3"/>
          <w:sz w:val="11"/>
        </w:rPr>
        <w:t xml:space="preserve"> </w:t>
      </w:r>
      <w:r>
        <w:rPr>
          <w:sz w:val="11"/>
        </w:rPr>
        <w:t>del</w:t>
      </w:r>
      <w:r>
        <w:rPr>
          <w:spacing w:val="-4"/>
          <w:sz w:val="11"/>
        </w:rPr>
        <w:t xml:space="preserve"> </w:t>
      </w:r>
      <w:r>
        <w:rPr>
          <w:sz w:val="11"/>
        </w:rPr>
        <w:t>Consejo,</w:t>
      </w:r>
      <w:r>
        <w:rPr>
          <w:spacing w:val="-4"/>
          <w:sz w:val="11"/>
        </w:rPr>
        <w:t xml:space="preserve"> </w:t>
      </w:r>
      <w:r>
        <w:rPr>
          <w:sz w:val="11"/>
        </w:rPr>
        <w:t>de</w:t>
      </w:r>
      <w:r>
        <w:rPr>
          <w:spacing w:val="-3"/>
          <w:sz w:val="11"/>
        </w:rPr>
        <w:t xml:space="preserve"> </w:t>
      </w:r>
      <w:r>
        <w:rPr>
          <w:sz w:val="11"/>
        </w:rPr>
        <w:t>29</w:t>
      </w:r>
      <w:r>
        <w:rPr>
          <w:spacing w:val="-4"/>
          <w:sz w:val="11"/>
        </w:rPr>
        <w:t xml:space="preserve"> </w:t>
      </w:r>
      <w:r>
        <w:rPr>
          <w:sz w:val="11"/>
        </w:rPr>
        <w:t>de</w:t>
      </w:r>
      <w:r>
        <w:rPr>
          <w:spacing w:val="-4"/>
          <w:sz w:val="11"/>
        </w:rPr>
        <w:t xml:space="preserve"> </w:t>
      </w:r>
      <w:r>
        <w:rPr>
          <w:sz w:val="11"/>
        </w:rPr>
        <w:t>junio</w:t>
      </w:r>
      <w:r>
        <w:rPr>
          <w:spacing w:val="-3"/>
          <w:sz w:val="11"/>
        </w:rPr>
        <w:t xml:space="preserve"> </w:t>
      </w:r>
      <w:r>
        <w:rPr>
          <w:sz w:val="11"/>
        </w:rPr>
        <w:t>de</w:t>
      </w:r>
      <w:r>
        <w:rPr>
          <w:spacing w:val="-4"/>
          <w:sz w:val="11"/>
        </w:rPr>
        <w:t xml:space="preserve"> </w:t>
      </w:r>
      <w:r>
        <w:rPr>
          <w:sz w:val="11"/>
        </w:rPr>
        <w:t>2000,</w:t>
      </w:r>
      <w:r>
        <w:rPr>
          <w:spacing w:val="-4"/>
          <w:sz w:val="11"/>
        </w:rPr>
        <w:t xml:space="preserve"> </w:t>
      </w:r>
      <w:r>
        <w:rPr>
          <w:sz w:val="11"/>
        </w:rPr>
        <w:t>que</w:t>
      </w:r>
      <w:r>
        <w:rPr>
          <w:spacing w:val="-3"/>
          <w:sz w:val="11"/>
        </w:rPr>
        <w:t xml:space="preserve"> </w:t>
      </w:r>
      <w:r>
        <w:rPr>
          <w:sz w:val="11"/>
        </w:rPr>
        <w:t>aplica</w:t>
      </w:r>
      <w:r>
        <w:rPr>
          <w:spacing w:val="-4"/>
          <w:sz w:val="11"/>
        </w:rPr>
        <w:t xml:space="preserve"> </w:t>
      </w:r>
      <w:r>
        <w:rPr>
          <w:sz w:val="11"/>
        </w:rPr>
        <w:t>el</w:t>
      </w:r>
      <w:r>
        <w:rPr>
          <w:spacing w:val="-4"/>
          <w:sz w:val="11"/>
        </w:rPr>
        <w:t xml:space="preserve"> </w:t>
      </w:r>
      <w:r>
        <w:rPr>
          <w:sz w:val="11"/>
        </w:rPr>
        <w:t>principio</w:t>
      </w:r>
      <w:r>
        <w:rPr>
          <w:spacing w:val="-3"/>
          <w:sz w:val="11"/>
        </w:rPr>
        <w:t xml:space="preserve"> </w:t>
      </w:r>
      <w:r>
        <w:rPr>
          <w:sz w:val="11"/>
        </w:rPr>
        <w:t>de</w:t>
      </w:r>
      <w:r>
        <w:rPr>
          <w:spacing w:val="-4"/>
          <w:sz w:val="11"/>
        </w:rPr>
        <w:t xml:space="preserve"> </w:t>
      </w:r>
      <w:r>
        <w:rPr>
          <w:sz w:val="11"/>
        </w:rPr>
        <w:t>igualdad</w:t>
      </w:r>
      <w:r>
        <w:rPr>
          <w:spacing w:val="-4"/>
          <w:sz w:val="11"/>
        </w:rPr>
        <w:t xml:space="preserve"> </w:t>
      </w:r>
      <w:r>
        <w:rPr>
          <w:sz w:val="11"/>
        </w:rPr>
        <w:t>de</w:t>
      </w:r>
      <w:r>
        <w:rPr>
          <w:spacing w:val="-3"/>
          <w:sz w:val="11"/>
        </w:rPr>
        <w:t xml:space="preserve"> </w:t>
      </w:r>
      <w:r>
        <w:rPr>
          <w:sz w:val="11"/>
        </w:rPr>
        <w:t>trato</w:t>
      </w:r>
      <w:r>
        <w:rPr>
          <w:spacing w:val="-4"/>
          <w:sz w:val="11"/>
        </w:rPr>
        <w:t xml:space="preserve"> </w:t>
      </w:r>
      <w:r>
        <w:rPr>
          <w:sz w:val="11"/>
        </w:rPr>
        <w:t>entre</w:t>
      </w:r>
      <w:r>
        <w:rPr>
          <w:spacing w:val="-4"/>
          <w:sz w:val="11"/>
        </w:rPr>
        <w:t xml:space="preserve"> </w:t>
      </w:r>
      <w:r>
        <w:rPr>
          <w:sz w:val="11"/>
        </w:rPr>
        <w:t>las</w:t>
      </w:r>
      <w:r>
        <w:rPr>
          <w:spacing w:val="-3"/>
          <w:sz w:val="11"/>
        </w:rPr>
        <w:t xml:space="preserve"> </w:t>
      </w:r>
      <w:r>
        <w:rPr>
          <w:sz w:val="11"/>
        </w:rPr>
        <w:t>personas</w:t>
      </w:r>
      <w:r>
        <w:rPr>
          <w:spacing w:val="-4"/>
          <w:sz w:val="11"/>
        </w:rPr>
        <w:t xml:space="preserve"> </w:t>
      </w:r>
      <w:r>
        <w:rPr>
          <w:sz w:val="11"/>
        </w:rPr>
        <w:t>independientemente</w:t>
      </w:r>
      <w:r>
        <w:rPr>
          <w:spacing w:val="-4"/>
          <w:sz w:val="11"/>
        </w:rPr>
        <w:t xml:space="preserve"> </w:t>
      </w:r>
      <w:r>
        <w:rPr>
          <w:sz w:val="11"/>
        </w:rPr>
        <w:t>de</w:t>
      </w:r>
      <w:r>
        <w:rPr>
          <w:spacing w:val="-3"/>
          <w:sz w:val="11"/>
        </w:rPr>
        <w:t xml:space="preserve"> </w:t>
      </w:r>
      <w:r>
        <w:rPr>
          <w:sz w:val="11"/>
        </w:rPr>
        <w:t>su</w:t>
      </w:r>
      <w:r>
        <w:rPr>
          <w:spacing w:val="-4"/>
          <w:sz w:val="11"/>
        </w:rPr>
        <w:t xml:space="preserve"> </w:t>
      </w:r>
      <w:r>
        <w:rPr>
          <w:sz w:val="11"/>
        </w:rPr>
        <w:t>origen</w:t>
      </w:r>
      <w:r>
        <w:rPr>
          <w:spacing w:val="-4"/>
          <w:sz w:val="11"/>
        </w:rPr>
        <w:t xml:space="preserve"> </w:t>
      </w:r>
      <w:r>
        <w:rPr>
          <w:sz w:val="11"/>
        </w:rPr>
        <w:t>racial</w:t>
      </w:r>
      <w:r>
        <w:rPr>
          <w:spacing w:val="-3"/>
          <w:sz w:val="11"/>
        </w:rPr>
        <w:t xml:space="preserve"> </w:t>
      </w:r>
      <w:r>
        <w:rPr>
          <w:sz w:val="11"/>
        </w:rPr>
        <w:t>o</w:t>
      </w:r>
      <w:r>
        <w:rPr>
          <w:spacing w:val="-4"/>
          <w:sz w:val="11"/>
        </w:rPr>
        <w:t xml:space="preserve"> </w:t>
      </w:r>
      <w:r>
        <w:rPr>
          <w:sz w:val="11"/>
        </w:rPr>
        <w:t>étnico,</w:t>
      </w:r>
      <w:r>
        <w:rPr>
          <w:spacing w:val="-4"/>
          <w:sz w:val="11"/>
        </w:rPr>
        <w:t xml:space="preserve"> </w:t>
      </w:r>
      <w:r>
        <w:rPr>
          <w:sz w:val="11"/>
        </w:rPr>
        <w:t>art.</w:t>
      </w:r>
      <w:r>
        <w:rPr>
          <w:spacing w:val="-3"/>
          <w:sz w:val="11"/>
        </w:rPr>
        <w:t xml:space="preserve"> </w:t>
      </w:r>
      <w:r>
        <w:rPr>
          <w:spacing w:val="-10"/>
          <w:sz w:val="11"/>
        </w:rPr>
        <w:t>2</w:t>
      </w:r>
    </w:p>
    <w:p w14:paraId="161B8C01" w14:textId="77777777" w:rsidR="0014798C" w:rsidRDefault="004E1F0B">
      <w:pPr>
        <w:spacing w:before="53"/>
        <w:ind w:left="1368"/>
        <w:rPr>
          <w:sz w:val="11"/>
        </w:rPr>
      </w:pPr>
      <w:r>
        <w:rPr>
          <w:sz w:val="11"/>
        </w:rPr>
        <w:t>(2)</w:t>
      </w:r>
      <w:r>
        <w:rPr>
          <w:spacing w:val="-6"/>
          <w:sz w:val="11"/>
        </w:rPr>
        <w:t xml:space="preserve"> </w:t>
      </w:r>
      <w:r>
        <w:rPr>
          <w:sz w:val="11"/>
        </w:rPr>
        <w:t>(b);</w:t>
      </w:r>
      <w:r>
        <w:rPr>
          <w:spacing w:val="-6"/>
          <w:sz w:val="11"/>
        </w:rPr>
        <w:t xml:space="preserve"> </w:t>
      </w:r>
      <w:r>
        <w:rPr>
          <w:sz w:val="11"/>
        </w:rPr>
        <w:t>Directiva</w:t>
      </w:r>
      <w:r>
        <w:rPr>
          <w:spacing w:val="-5"/>
          <w:sz w:val="11"/>
        </w:rPr>
        <w:t xml:space="preserve"> </w:t>
      </w:r>
      <w:r>
        <w:rPr>
          <w:sz w:val="11"/>
        </w:rPr>
        <w:t>2000/78/CE</w:t>
      </w:r>
      <w:r>
        <w:rPr>
          <w:spacing w:val="-6"/>
          <w:sz w:val="11"/>
        </w:rPr>
        <w:t xml:space="preserve"> </w:t>
      </w:r>
      <w:r>
        <w:rPr>
          <w:sz w:val="11"/>
        </w:rPr>
        <w:t>del</w:t>
      </w:r>
      <w:r>
        <w:rPr>
          <w:spacing w:val="-6"/>
          <w:sz w:val="11"/>
        </w:rPr>
        <w:t xml:space="preserve"> </w:t>
      </w:r>
      <w:r>
        <w:rPr>
          <w:sz w:val="11"/>
        </w:rPr>
        <w:t>Consejo,</w:t>
      </w:r>
      <w:r>
        <w:rPr>
          <w:spacing w:val="-5"/>
          <w:sz w:val="11"/>
        </w:rPr>
        <w:t xml:space="preserve"> </w:t>
      </w:r>
      <w:r>
        <w:rPr>
          <w:sz w:val="11"/>
        </w:rPr>
        <w:t>de</w:t>
      </w:r>
      <w:r>
        <w:rPr>
          <w:spacing w:val="-6"/>
          <w:sz w:val="11"/>
        </w:rPr>
        <w:t xml:space="preserve"> </w:t>
      </w:r>
      <w:r>
        <w:rPr>
          <w:sz w:val="11"/>
        </w:rPr>
        <w:t>27</w:t>
      </w:r>
      <w:r>
        <w:rPr>
          <w:spacing w:val="-6"/>
          <w:sz w:val="11"/>
        </w:rPr>
        <w:t xml:space="preserve"> </w:t>
      </w:r>
      <w:r>
        <w:rPr>
          <w:sz w:val="11"/>
        </w:rPr>
        <w:t>de</w:t>
      </w:r>
      <w:r>
        <w:rPr>
          <w:spacing w:val="-5"/>
          <w:sz w:val="11"/>
        </w:rPr>
        <w:t xml:space="preserve"> </w:t>
      </w:r>
      <w:r>
        <w:rPr>
          <w:sz w:val="11"/>
        </w:rPr>
        <w:t>noviembre</w:t>
      </w:r>
      <w:r>
        <w:rPr>
          <w:spacing w:val="-6"/>
          <w:sz w:val="11"/>
        </w:rPr>
        <w:t xml:space="preserve"> </w:t>
      </w:r>
      <w:r>
        <w:rPr>
          <w:sz w:val="11"/>
        </w:rPr>
        <w:t>de</w:t>
      </w:r>
      <w:r>
        <w:rPr>
          <w:spacing w:val="-6"/>
          <w:sz w:val="11"/>
        </w:rPr>
        <w:t xml:space="preserve"> </w:t>
      </w:r>
      <w:r>
        <w:rPr>
          <w:sz w:val="11"/>
        </w:rPr>
        <w:t>2000,</w:t>
      </w:r>
      <w:r>
        <w:rPr>
          <w:spacing w:val="-5"/>
          <w:sz w:val="11"/>
        </w:rPr>
        <w:t xml:space="preserve"> </w:t>
      </w:r>
      <w:r>
        <w:rPr>
          <w:sz w:val="11"/>
        </w:rPr>
        <w:t>por</w:t>
      </w:r>
      <w:r>
        <w:rPr>
          <w:spacing w:val="-6"/>
          <w:sz w:val="11"/>
        </w:rPr>
        <w:t xml:space="preserve"> </w:t>
      </w:r>
      <w:r>
        <w:rPr>
          <w:sz w:val="11"/>
        </w:rPr>
        <w:t>la</w:t>
      </w:r>
      <w:r>
        <w:rPr>
          <w:spacing w:val="-6"/>
          <w:sz w:val="11"/>
        </w:rPr>
        <w:t xml:space="preserve"> </w:t>
      </w:r>
      <w:r>
        <w:rPr>
          <w:sz w:val="11"/>
        </w:rPr>
        <w:t>que</w:t>
      </w:r>
      <w:r>
        <w:rPr>
          <w:spacing w:val="-5"/>
          <w:sz w:val="11"/>
        </w:rPr>
        <w:t xml:space="preserve"> </w:t>
      </w:r>
      <w:r>
        <w:rPr>
          <w:sz w:val="11"/>
        </w:rPr>
        <w:t>se</w:t>
      </w:r>
      <w:r>
        <w:rPr>
          <w:spacing w:val="-6"/>
          <w:sz w:val="11"/>
        </w:rPr>
        <w:t xml:space="preserve"> </w:t>
      </w:r>
      <w:r>
        <w:rPr>
          <w:sz w:val="11"/>
        </w:rPr>
        <w:t>establece</w:t>
      </w:r>
      <w:r>
        <w:rPr>
          <w:spacing w:val="-6"/>
          <w:sz w:val="11"/>
        </w:rPr>
        <w:t xml:space="preserve"> </w:t>
      </w:r>
      <w:r>
        <w:rPr>
          <w:sz w:val="11"/>
        </w:rPr>
        <w:t>un</w:t>
      </w:r>
      <w:r>
        <w:rPr>
          <w:spacing w:val="-5"/>
          <w:sz w:val="11"/>
        </w:rPr>
        <w:t xml:space="preserve"> </w:t>
      </w:r>
      <w:r>
        <w:rPr>
          <w:sz w:val="11"/>
        </w:rPr>
        <w:t>marco</w:t>
      </w:r>
      <w:r>
        <w:rPr>
          <w:spacing w:val="-6"/>
          <w:sz w:val="11"/>
        </w:rPr>
        <w:t xml:space="preserve"> </w:t>
      </w:r>
      <w:r>
        <w:rPr>
          <w:sz w:val="11"/>
        </w:rPr>
        <w:t>general</w:t>
      </w:r>
      <w:r>
        <w:rPr>
          <w:spacing w:val="-6"/>
          <w:sz w:val="11"/>
        </w:rPr>
        <w:t xml:space="preserve"> </w:t>
      </w:r>
      <w:r>
        <w:rPr>
          <w:sz w:val="11"/>
        </w:rPr>
        <w:t>para</w:t>
      </w:r>
      <w:r>
        <w:rPr>
          <w:spacing w:val="-5"/>
          <w:sz w:val="11"/>
        </w:rPr>
        <w:t xml:space="preserve"> </w:t>
      </w:r>
      <w:r>
        <w:rPr>
          <w:sz w:val="11"/>
        </w:rPr>
        <w:t>la</w:t>
      </w:r>
      <w:r>
        <w:rPr>
          <w:spacing w:val="-6"/>
          <w:sz w:val="11"/>
        </w:rPr>
        <w:t xml:space="preserve"> </w:t>
      </w:r>
      <w:r>
        <w:rPr>
          <w:sz w:val="11"/>
        </w:rPr>
        <w:t>igualdad</w:t>
      </w:r>
      <w:r>
        <w:rPr>
          <w:spacing w:val="-6"/>
          <w:sz w:val="11"/>
        </w:rPr>
        <w:t xml:space="preserve"> </w:t>
      </w:r>
      <w:r>
        <w:rPr>
          <w:sz w:val="11"/>
        </w:rPr>
        <w:t>de</w:t>
      </w:r>
      <w:r>
        <w:rPr>
          <w:spacing w:val="-5"/>
          <w:sz w:val="11"/>
        </w:rPr>
        <w:t xml:space="preserve"> </w:t>
      </w:r>
      <w:r>
        <w:rPr>
          <w:sz w:val="11"/>
        </w:rPr>
        <w:t>trato</w:t>
      </w:r>
      <w:r>
        <w:rPr>
          <w:spacing w:val="-6"/>
          <w:sz w:val="11"/>
        </w:rPr>
        <w:t xml:space="preserve"> </w:t>
      </w:r>
      <w:r>
        <w:rPr>
          <w:sz w:val="11"/>
        </w:rPr>
        <w:t>en</w:t>
      </w:r>
      <w:r>
        <w:rPr>
          <w:spacing w:val="-6"/>
          <w:sz w:val="11"/>
        </w:rPr>
        <w:t xml:space="preserve"> </w:t>
      </w:r>
      <w:r>
        <w:rPr>
          <w:sz w:val="11"/>
        </w:rPr>
        <w:t>el</w:t>
      </w:r>
      <w:r>
        <w:rPr>
          <w:spacing w:val="-5"/>
          <w:sz w:val="11"/>
        </w:rPr>
        <w:t xml:space="preserve"> </w:t>
      </w:r>
      <w:r>
        <w:rPr>
          <w:sz w:val="11"/>
        </w:rPr>
        <w:t>empleo</w:t>
      </w:r>
      <w:r>
        <w:rPr>
          <w:spacing w:val="-6"/>
          <w:sz w:val="11"/>
        </w:rPr>
        <w:t xml:space="preserve"> </w:t>
      </w:r>
      <w:r>
        <w:rPr>
          <w:sz w:val="11"/>
        </w:rPr>
        <w:t>y</w:t>
      </w:r>
      <w:r>
        <w:rPr>
          <w:spacing w:val="-6"/>
          <w:sz w:val="11"/>
        </w:rPr>
        <w:t xml:space="preserve"> </w:t>
      </w:r>
      <w:r>
        <w:rPr>
          <w:sz w:val="11"/>
        </w:rPr>
        <w:t>la</w:t>
      </w:r>
      <w:r>
        <w:rPr>
          <w:spacing w:val="-5"/>
          <w:sz w:val="11"/>
        </w:rPr>
        <w:t xml:space="preserve"> </w:t>
      </w:r>
      <w:r>
        <w:rPr>
          <w:sz w:val="11"/>
        </w:rPr>
        <w:t>ocupación,</w:t>
      </w:r>
      <w:r>
        <w:rPr>
          <w:spacing w:val="-6"/>
          <w:sz w:val="11"/>
        </w:rPr>
        <w:t xml:space="preserve"> </w:t>
      </w:r>
      <w:r>
        <w:rPr>
          <w:sz w:val="11"/>
        </w:rPr>
        <w:t>art.</w:t>
      </w:r>
      <w:r>
        <w:rPr>
          <w:spacing w:val="-6"/>
          <w:sz w:val="11"/>
        </w:rPr>
        <w:t xml:space="preserve"> </w:t>
      </w:r>
      <w:r>
        <w:rPr>
          <w:spacing w:val="-10"/>
          <w:sz w:val="11"/>
        </w:rPr>
        <w:t>2</w:t>
      </w:r>
    </w:p>
    <w:p w14:paraId="39D6C054" w14:textId="77777777" w:rsidR="0014798C" w:rsidRDefault="004E1F0B">
      <w:pPr>
        <w:spacing w:before="54"/>
        <w:ind w:left="1368"/>
        <w:rPr>
          <w:sz w:val="11"/>
        </w:rPr>
      </w:pPr>
      <w:r>
        <w:rPr>
          <w:sz w:val="11"/>
        </w:rPr>
        <w:t>(2)</w:t>
      </w:r>
      <w:r>
        <w:rPr>
          <w:spacing w:val="-6"/>
          <w:sz w:val="11"/>
        </w:rPr>
        <w:t xml:space="preserve"> </w:t>
      </w:r>
      <w:r>
        <w:rPr>
          <w:sz w:val="11"/>
        </w:rPr>
        <w:t>(b);</w:t>
      </w:r>
      <w:r>
        <w:rPr>
          <w:spacing w:val="-5"/>
          <w:sz w:val="11"/>
        </w:rPr>
        <w:t xml:space="preserve"> </w:t>
      </w:r>
      <w:r>
        <w:rPr>
          <w:sz w:val="11"/>
        </w:rPr>
        <w:t>Directiva</w:t>
      </w:r>
      <w:r>
        <w:rPr>
          <w:spacing w:val="-5"/>
          <w:sz w:val="11"/>
        </w:rPr>
        <w:t xml:space="preserve"> </w:t>
      </w:r>
      <w:r>
        <w:rPr>
          <w:sz w:val="11"/>
        </w:rPr>
        <w:t>2004/113/CE</w:t>
      </w:r>
      <w:r>
        <w:rPr>
          <w:spacing w:val="-6"/>
          <w:sz w:val="11"/>
        </w:rPr>
        <w:t xml:space="preserve"> </w:t>
      </w:r>
      <w:r>
        <w:rPr>
          <w:sz w:val="11"/>
        </w:rPr>
        <w:t>del</w:t>
      </w:r>
      <w:r>
        <w:rPr>
          <w:spacing w:val="-5"/>
          <w:sz w:val="11"/>
        </w:rPr>
        <w:t xml:space="preserve"> </w:t>
      </w:r>
      <w:r>
        <w:rPr>
          <w:sz w:val="11"/>
        </w:rPr>
        <w:t>Consejo,</w:t>
      </w:r>
      <w:r>
        <w:rPr>
          <w:spacing w:val="-5"/>
          <w:sz w:val="11"/>
        </w:rPr>
        <w:t xml:space="preserve"> </w:t>
      </w:r>
      <w:r>
        <w:rPr>
          <w:sz w:val="11"/>
        </w:rPr>
        <w:t>de</w:t>
      </w:r>
      <w:r>
        <w:rPr>
          <w:spacing w:val="-6"/>
          <w:sz w:val="11"/>
        </w:rPr>
        <w:t xml:space="preserve"> </w:t>
      </w:r>
      <w:r>
        <w:rPr>
          <w:sz w:val="11"/>
        </w:rPr>
        <w:t>13</w:t>
      </w:r>
      <w:r>
        <w:rPr>
          <w:spacing w:val="-5"/>
          <w:sz w:val="11"/>
        </w:rPr>
        <w:t xml:space="preserve"> </w:t>
      </w:r>
      <w:r>
        <w:rPr>
          <w:sz w:val="11"/>
        </w:rPr>
        <w:t>de</w:t>
      </w:r>
      <w:r>
        <w:rPr>
          <w:spacing w:val="-5"/>
          <w:sz w:val="11"/>
        </w:rPr>
        <w:t xml:space="preserve"> </w:t>
      </w:r>
      <w:r>
        <w:rPr>
          <w:sz w:val="11"/>
        </w:rPr>
        <w:t>diciembre</w:t>
      </w:r>
      <w:r>
        <w:rPr>
          <w:spacing w:val="-6"/>
          <w:sz w:val="11"/>
        </w:rPr>
        <w:t xml:space="preserve"> </w:t>
      </w:r>
      <w:r>
        <w:rPr>
          <w:sz w:val="11"/>
        </w:rPr>
        <w:t>de</w:t>
      </w:r>
      <w:r>
        <w:rPr>
          <w:spacing w:val="-5"/>
          <w:sz w:val="11"/>
        </w:rPr>
        <w:t xml:space="preserve"> </w:t>
      </w:r>
      <w:r>
        <w:rPr>
          <w:sz w:val="11"/>
        </w:rPr>
        <w:t>2004,</w:t>
      </w:r>
      <w:r>
        <w:rPr>
          <w:spacing w:val="-5"/>
          <w:sz w:val="11"/>
        </w:rPr>
        <w:t xml:space="preserve"> </w:t>
      </w:r>
      <w:r>
        <w:rPr>
          <w:sz w:val="11"/>
        </w:rPr>
        <w:t>por</w:t>
      </w:r>
      <w:r>
        <w:rPr>
          <w:spacing w:val="-6"/>
          <w:sz w:val="11"/>
        </w:rPr>
        <w:t xml:space="preserve"> </w:t>
      </w:r>
      <w:r>
        <w:rPr>
          <w:sz w:val="11"/>
        </w:rPr>
        <w:t>la</w:t>
      </w:r>
      <w:r>
        <w:rPr>
          <w:spacing w:val="-5"/>
          <w:sz w:val="11"/>
        </w:rPr>
        <w:t xml:space="preserve"> </w:t>
      </w:r>
      <w:r>
        <w:rPr>
          <w:sz w:val="11"/>
        </w:rPr>
        <w:t>que</w:t>
      </w:r>
      <w:r>
        <w:rPr>
          <w:spacing w:val="-5"/>
          <w:sz w:val="11"/>
        </w:rPr>
        <w:t xml:space="preserve"> </w:t>
      </w:r>
      <w:r>
        <w:rPr>
          <w:sz w:val="11"/>
        </w:rPr>
        <w:t>se</w:t>
      </w:r>
      <w:r>
        <w:rPr>
          <w:spacing w:val="-6"/>
          <w:sz w:val="11"/>
        </w:rPr>
        <w:t xml:space="preserve"> </w:t>
      </w:r>
      <w:r>
        <w:rPr>
          <w:sz w:val="11"/>
        </w:rPr>
        <w:t>aplica</w:t>
      </w:r>
      <w:r>
        <w:rPr>
          <w:spacing w:val="-5"/>
          <w:sz w:val="11"/>
        </w:rPr>
        <w:t xml:space="preserve"> </w:t>
      </w:r>
      <w:r>
        <w:rPr>
          <w:sz w:val="11"/>
        </w:rPr>
        <w:t>el</w:t>
      </w:r>
      <w:r>
        <w:rPr>
          <w:spacing w:val="-5"/>
          <w:sz w:val="11"/>
        </w:rPr>
        <w:t xml:space="preserve"> </w:t>
      </w:r>
      <w:r>
        <w:rPr>
          <w:sz w:val="11"/>
        </w:rPr>
        <w:t>principio</w:t>
      </w:r>
      <w:r>
        <w:rPr>
          <w:spacing w:val="-6"/>
          <w:sz w:val="11"/>
        </w:rPr>
        <w:t xml:space="preserve"> </w:t>
      </w:r>
      <w:r>
        <w:rPr>
          <w:sz w:val="11"/>
        </w:rPr>
        <w:t>de</w:t>
      </w:r>
      <w:r>
        <w:rPr>
          <w:spacing w:val="-5"/>
          <w:sz w:val="11"/>
        </w:rPr>
        <w:t xml:space="preserve"> </w:t>
      </w:r>
      <w:r>
        <w:rPr>
          <w:sz w:val="11"/>
        </w:rPr>
        <w:t>igualdad</w:t>
      </w:r>
      <w:r>
        <w:rPr>
          <w:spacing w:val="-5"/>
          <w:sz w:val="11"/>
        </w:rPr>
        <w:t xml:space="preserve"> </w:t>
      </w:r>
      <w:r>
        <w:rPr>
          <w:sz w:val="11"/>
        </w:rPr>
        <w:t>de</w:t>
      </w:r>
      <w:r>
        <w:rPr>
          <w:spacing w:val="-6"/>
          <w:sz w:val="11"/>
        </w:rPr>
        <w:t xml:space="preserve"> </w:t>
      </w:r>
      <w:r>
        <w:rPr>
          <w:sz w:val="11"/>
        </w:rPr>
        <w:t>trato</w:t>
      </w:r>
      <w:r>
        <w:rPr>
          <w:spacing w:val="-5"/>
          <w:sz w:val="11"/>
        </w:rPr>
        <w:t xml:space="preserve"> </w:t>
      </w:r>
      <w:r>
        <w:rPr>
          <w:sz w:val="11"/>
        </w:rPr>
        <w:t>entre</w:t>
      </w:r>
      <w:r>
        <w:rPr>
          <w:spacing w:val="-5"/>
          <w:sz w:val="11"/>
        </w:rPr>
        <w:t xml:space="preserve"> </w:t>
      </w:r>
      <w:r>
        <w:rPr>
          <w:sz w:val="11"/>
        </w:rPr>
        <w:t>hombres</w:t>
      </w:r>
      <w:r>
        <w:rPr>
          <w:spacing w:val="-6"/>
          <w:sz w:val="11"/>
        </w:rPr>
        <w:t xml:space="preserve"> </w:t>
      </w:r>
      <w:r>
        <w:rPr>
          <w:sz w:val="11"/>
        </w:rPr>
        <w:t>y</w:t>
      </w:r>
      <w:r>
        <w:rPr>
          <w:spacing w:val="-5"/>
          <w:sz w:val="11"/>
        </w:rPr>
        <w:t xml:space="preserve"> </w:t>
      </w:r>
      <w:r>
        <w:rPr>
          <w:sz w:val="11"/>
        </w:rPr>
        <w:t>mujeres</w:t>
      </w:r>
      <w:r>
        <w:rPr>
          <w:spacing w:val="-5"/>
          <w:sz w:val="11"/>
        </w:rPr>
        <w:t xml:space="preserve"> </w:t>
      </w:r>
      <w:r>
        <w:rPr>
          <w:sz w:val="11"/>
        </w:rPr>
        <w:t>en</w:t>
      </w:r>
      <w:r>
        <w:rPr>
          <w:spacing w:val="-6"/>
          <w:sz w:val="11"/>
        </w:rPr>
        <w:t xml:space="preserve"> </w:t>
      </w:r>
      <w:r>
        <w:rPr>
          <w:sz w:val="11"/>
        </w:rPr>
        <w:t>el</w:t>
      </w:r>
      <w:r>
        <w:rPr>
          <w:spacing w:val="-5"/>
          <w:sz w:val="11"/>
        </w:rPr>
        <w:t xml:space="preserve"> </w:t>
      </w:r>
      <w:r>
        <w:rPr>
          <w:sz w:val="11"/>
        </w:rPr>
        <w:t>acceso</w:t>
      </w:r>
      <w:r>
        <w:rPr>
          <w:spacing w:val="-5"/>
          <w:sz w:val="11"/>
        </w:rPr>
        <w:t xml:space="preserve"> </w:t>
      </w:r>
      <w:r>
        <w:rPr>
          <w:sz w:val="11"/>
        </w:rPr>
        <w:t>y</w:t>
      </w:r>
      <w:r>
        <w:rPr>
          <w:spacing w:val="-6"/>
          <w:sz w:val="11"/>
        </w:rPr>
        <w:t xml:space="preserve"> </w:t>
      </w:r>
      <w:r>
        <w:rPr>
          <w:spacing w:val="-2"/>
          <w:sz w:val="11"/>
        </w:rPr>
        <w:t>suministro</w:t>
      </w:r>
    </w:p>
    <w:p w14:paraId="7E9D38AB" w14:textId="77777777" w:rsidR="0014798C" w:rsidRDefault="004E1F0B">
      <w:pPr>
        <w:spacing w:before="53" w:line="340" w:lineRule="auto"/>
        <w:ind w:left="1367" w:right="1272" w:hanging="2"/>
        <w:rPr>
          <w:sz w:val="11"/>
        </w:rPr>
      </w:pPr>
      <w:r>
        <w:rPr>
          <w:sz w:val="11"/>
        </w:rPr>
        <w:t>de</w:t>
      </w:r>
      <w:r>
        <w:rPr>
          <w:spacing w:val="-2"/>
          <w:sz w:val="11"/>
        </w:rPr>
        <w:t xml:space="preserve"> </w:t>
      </w:r>
      <w:r>
        <w:rPr>
          <w:sz w:val="11"/>
        </w:rPr>
        <w:t>bienes</w:t>
      </w:r>
      <w:r>
        <w:rPr>
          <w:spacing w:val="-2"/>
          <w:sz w:val="11"/>
        </w:rPr>
        <w:t xml:space="preserve"> </w:t>
      </w:r>
      <w:r>
        <w:rPr>
          <w:sz w:val="11"/>
        </w:rPr>
        <w:t>y</w:t>
      </w:r>
      <w:r>
        <w:rPr>
          <w:spacing w:val="-2"/>
          <w:sz w:val="11"/>
        </w:rPr>
        <w:t xml:space="preserve"> </w:t>
      </w:r>
      <w:r>
        <w:rPr>
          <w:sz w:val="11"/>
        </w:rPr>
        <w:t>servicios,</w:t>
      </w:r>
      <w:r>
        <w:rPr>
          <w:spacing w:val="-2"/>
          <w:sz w:val="11"/>
        </w:rPr>
        <w:t xml:space="preserve"> </w:t>
      </w:r>
      <w:r>
        <w:rPr>
          <w:sz w:val="11"/>
        </w:rPr>
        <w:t>art.</w:t>
      </w:r>
      <w:r>
        <w:rPr>
          <w:spacing w:val="-2"/>
          <w:sz w:val="11"/>
        </w:rPr>
        <w:t xml:space="preserve"> </w:t>
      </w:r>
      <w:r>
        <w:rPr>
          <w:sz w:val="11"/>
        </w:rPr>
        <w:t>2</w:t>
      </w:r>
      <w:proofErr w:type="gramStart"/>
      <w:r>
        <w:rPr>
          <w:sz w:val="11"/>
        </w:rPr>
        <w:t>b);</w:t>
      </w:r>
      <w:proofErr w:type="gramEnd"/>
      <w:r>
        <w:rPr>
          <w:spacing w:val="-2"/>
          <w:sz w:val="11"/>
        </w:rPr>
        <w:t xml:space="preserve"> </w:t>
      </w:r>
      <w:r>
        <w:rPr>
          <w:sz w:val="11"/>
        </w:rPr>
        <w:t>y</w:t>
      </w:r>
      <w:r>
        <w:rPr>
          <w:spacing w:val="-2"/>
          <w:sz w:val="11"/>
        </w:rPr>
        <w:t xml:space="preserve"> </w:t>
      </w:r>
      <w:r>
        <w:rPr>
          <w:sz w:val="11"/>
        </w:rPr>
        <w:t>Directiva</w:t>
      </w:r>
      <w:r>
        <w:rPr>
          <w:spacing w:val="-2"/>
          <w:sz w:val="11"/>
        </w:rPr>
        <w:t xml:space="preserve"> </w:t>
      </w:r>
      <w:r>
        <w:rPr>
          <w:sz w:val="11"/>
        </w:rPr>
        <w:t>2006/54/CE</w:t>
      </w:r>
      <w:r>
        <w:rPr>
          <w:spacing w:val="-2"/>
          <w:sz w:val="11"/>
        </w:rPr>
        <w:t xml:space="preserve"> </w:t>
      </w:r>
      <w:r>
        <w:rPr>
          <w:sz w:val="11"/>
        </w:rPr>
        <w:t>del</w:t>
      </w:r>
      <w:r>
        <w:rPr>
          <w:spacing w:val="-2"/>
          <w:sz w:val="11"/>
        </w:rPr>
        <w:t xml:space="preserve"> </w:t>
      </w:r>
      <w:r>
        <w:rPr>
          <w:sz w:val="11"/>
        </w:rPr>
        <w:t>Parlamento</w:t>
      </w:r>
      <w:r>
        <w:rPr>
          <w:spacing w:val="-2"/>
          <w:sz w:val="11"/>
        </w:rPr>
        <w:t xml:space="preserve"> </w:t>
      </w:r>
      <w:r>
        <w:rPr>
          <w:sz w:val="11"/>
        </w:rPr>
        <w:t>Europeo</w:t>
      </w:r>
      <w:r>
        <w:rPr>
          <w:spacing w:val="-2"/>
          <w:sz w:val="11"/>
        </w:rPr>
        <w:t xml:space="preserve"> </w:t>
      </w:r>
      <w:r>
        <w:rPr>
          <w:sz w:val="11"/>
        </w:rPr>
        <w:t>y</w:t>
      </w:r>
      <w:r>
        <w:rPr>
          <w:spacing w:val="-2"/>
          <w:sz w:val="11"/>
        </w:rPr>
        <w:t xml:space="preserve"> </w:t>
      </w:r>
      <w:r>
        <w:rPr>
          <w:sz w:val="11"/>
        </w:rPr>
        <w:t>del</w:t>
      </w:r>
      <w:r>
        <w:rPr>
          <w:spacing w:val="-2"/>
          <w:sz w:val="11"/>
        </w:rPr>
        <w:t xml:space="preserve"> </w:t>
      </w:r>
      <w:r>
        <w:rPr>
          <w:sz w:val="11"/>
        </w:rPr>
        <w:t>Consejo,</w:t>
      </w:r>
      <w:r>
        <w:rPr>
          <w:spacing w:val="-2"/>
          <w:sz w:val="11"/>
        </w:rPr>
        <w:t xml:space="preserve"> </w:t>
      </w:r>
      <w:r>
        <w:rPr>
          <w:sz w:val="11"/>
        </w:rPr>
        <w:t>de</w:t>
      </w:r>
      <w:r>
        <w:rPr>
          <w:spacing w:val="-2"/>
          <w:sz w:val="11"/>
        </w:rPr>
        <w:t xml:space="preserve"> </w:t>
      </w:r>
      <w:r>
        <w:rPr>
          <w:sz w:val="11"/>
        </w:rPr>
        <w:t>5</w:t>
      </w:r>
      <w:r>
        <w:rPr>
          <w:spacing w:val="-2"/>
          <w:sz w:val="11"/>
        </w:rPr>
        <w:t xml:space="preserve"> </w:t>
      </w:r>
      <w:r>
        <w:rPr>
          <w:sz w:val="11"/>
        </w:rPr>
        <w:t>de</w:t>
      </w:r>
      <w:r>
        <w:rPr>
          <w:spacing w:val="-2"/>
          <w:sz w:val="11"/>
        </w:rPr>
        <w:t xml:space="preserve"> </w:t>
      </w:r>
      <w:r>
        <w:rPr>
          <w:sz w:val="11"/>
        </w:rPr>
        <w:t>julio</w:t>
      </w:r>
      <w:r>
        <w:rPr>
          <w:spacing w:val="-2"/>
          <w:sz w:val="11"/>
        </w:rPr>
        <w:t xml:space="preserve"> </w:t>
      </w:r>
      <w:r>
        <w:rPr>
          <w:sz w:val="11"/>
        </w:rPr>
        <w:t>de</w:t>
      </w:r>
      <w:r>
        <w:rPr>
          <w:spacing w:val="-2"/>
          <w:sz w:val="11"/>
        </w:rPr>
        <w:t xml:space="preserve"> </w:t>
      </w:r>
      <w:r>
        <w:rPr>
          <w:sz w:val="11"/>
        </w:rPr>
        <w:t>2006,</w:t>
      </w:r>
      <w:r>
        <w:rPr>
          <w:spacing w:val="-2"/>
          <w:sz w:val="11"/>
        </w:rPr>
        <w:t xml:space="preserve"> </w:t>
      </w:r>
      <w:r>
        <w:rPr>
          <w:sz w:val="11"/>
        </w:rPr>
        <w:t>sobre</w:t>
      </w:r>
      <w:r>
        <w:rPr>
          <w:spacing w:val="-2"/>
          <w:sz w:val="11"/>
        </w:rPr>
        <w:t xml:space="preserve"> </w:t>
      </w:r>
      <w:r>
        <w:rPr>
          <w:sz w:val="11"/>
        </w:rPr>
        <w:t>la</w:t>
      </w:r>
      <w:r>
        <w:rPr>
          <w:spacing w:val="-2"/>
          <w:sz w:val="11"/>
        </w:rPr>
        <w:t xml:space="preserve"> </w:t>
      </w:r>
      <w:r>
        <w:rPr>
          <w:sz w:val="11"/>
        </w:rPr>
        <w:t>aplicación</w:t>
      </w:r>
      <w:r>
        <w:rPr>
          <w:spacing w:val="-2"/>
          <w:sz w:val="11"/>
        </w:rPr>
        <w:t xml:space="preserve"> </w:t>
      </w:r>
      <w:r>
        <w:rPr>
          <w:sz w:val="11"/>
        </w:rPr>
        <w:t>del</w:t>
      </w:r>
      <w:r>
        <w:rPr>
          <w:spacing w:val="-2"/>
          <w:sz w:val="11"/>
        </w:rPr>
        <w:t xml:space="preserve"> </w:t>
      </w:r>
      <w:r>
        <w:rPr>
          <w:sz w:val="11"/>
        </w:rPr>
        <w:t>principio</w:t>
      </w:r>
      <w:r>
        <w:rPr>
          <w:spacing w:val="-2"/>
          <w:sz w:val="11"/>
        </w:rPr>
        <w:t xml:space="preserve"> </w:t>
      </w:r>
      <w:r>
        <w:rPr>
          <w:sz w:val="11"/>
        </w:rPr>
        <w:t>de</w:t>
      </w:r>
      <w:r>
        <w:rPr>
          <w:spacing w:val="-2"/>
          <w:sz w:val="11"/>
        </w:rPr>
        <w:t xml:space="preserve"> </w:t>
      </w:r>
      <w:r>
        <w:rPr>
          <w:sz w:val="11"/>
        </w:rPr>
        <w:t>igualdad</w:t>
      </w:r>
      <w:r>
        <w:rPr>
          <w:spacing w:val="-2"/>
          <w:sz w:val="11"/>
        </w:rPr>
        <w:t xml:space="preserve"> </w:t>
      </w:r>
      <w:r>
        <w:rPr>
          <w:sz w:val="11"/>
        </w:rPr>
        <w:t>de</w:t>
      </w:r>
      <w:r>
        <w:rPr>
          <w:spacing w:val="-2"/>
          <w:sz w:val="11"/>
        </w:rPr>
        <w:t xml:space="preserve"> </w:t>
      </w:r>
      <w:r>
        <w:rPr>
          <w:sz w:val="11"/>
        </w:rPr>
        <w:t>oportunidades</w:t>
      </w:r>
      <w:r>
        <w:rPr>
          <w:spacing w:val="-3"/>
          <w:sz w:val="11"/>
        </w:rPr>
        <w:t xml:space="preserve"> </w:t>
      </w:r>
      <w:r>
        <w:rPr>
          <w:sz w:val="11"/>
        </w:rPr>
        <w:t>e</w:t>
      </w:r>
      <w:r>
        <w:rPr>
          <w:spacing w:val="40"/>
          <w:sz w:val="11"/>
        </w:rPr>
        <w:t xml:space="preserve"> </w:t>
      </w:r>
      <w:r>
        <w:rPr>
          <w:sz w:val="11"/>
        </w:rPr>
        <w:t>igualdad de trato entre hombres y mujeres en materia de empleo y ocupación (refundición), art. 2 (1) (b).</w:t>
      </w:r>
    </w:p>
    <w:p w14:paraId="7093F65F" w14:textId="77777777" w:rsidR="0014798C" w:rsidRDefault="0014798C">
      <w:pPr>
        <w:spacing w:line="340" w:lineRule="auto"/>
        <w:rPr>
          <w:sz w:val="11"/>
        </w:rPr>
        <w:sectPr w:rsidR="0014798C" w:rsidSect="00F265E4">
          <w:type w:val="continuous"/>
          <w:pgSz w:w="11900" w:h="16820"/>
          <w:pgMar w:top="40" w:right="0" w:bottom="280" w:left="200" w:header="121" w:footer="0" w:gutter="0"/>
          <w:cols w:space="720"/>
        </w:sectPr>
      </w:pPr>
    </w:p>
    <w:p w14:paraId="775F9D42" w14:textId="77777777" w:rsidR="0014798C" w:rsidRDefault="0014798C">
      <w:pPr>
        <w:pStyle w:val="Textoindependiente"/>
        <w:spacing w:before="90"/>
        <w:rPr>
          <w:sz w:val="8"/>
        </w:rPr>
      </w:pPr>
    </w:p>
    <w:p w14:paraId="2A20EBD5" w14:textId="77777777" w:rsidR="0014798C" w:rsidRDefault="004E1F0B">
      <w:pPr>
        <w:jc w:val="right"/>
        <w:rPr>
          <w:sz w:val="8"/>
        </w:rPr>
      </w:pPr>
      <w:r>
        <w:rPr>
          <w:spacing w:val="-5"/>
          <w:w w:val="105"/>
          <w:sz w:val="8"/>
        </w:rPr>
        <w:t>246</w:t>
      </w:r>
    </w:p>
    <w:p w14:paraId="4C0411C9" w14:textId="77777777" w:rsidR="0014798C" w:rsidRDefault="004E1F0B">
      <w:pPr>
        <w:spacing w:before="70"/>
        <w:rPr>
          <w:sz w:val="12"/>
        </w:rPr>
      </w:pPr>
      <w:r>
        <w:br w:type="column"/>
      </w:r>
    </w:p>
    <w:p w14:paraId="532B29D4" w14:textId="77777777" w:rsidR="0014798C" w:rsidRDefault="004E1F0B">
      <w:pPr>
        <w:spacing w:line="312" w:lineRule="auto"/>
        <w:ind w:left="79" w:right="1786" w:firstLine="1"/>
        <w:rPr>
          <w:sz w:val="12"/>
        </w:rPr>
      </w:pPr>
      <w:r>
        <w:rPr>
          <w:sz w:val="12"/>
        </w:rPr>
        <w:t>Tribunal Europeo de Derechos Humanos, DH y otros contra la República Checa, Solicitud No. 57325/00, Sentencia, 13 de noviembre de 2007, párr. 184. El</w:t>
      </w:r>
      <w:r>
        <w:rPr>
          <w:spacing w:val="40"/>
          <w:sz w:val="12"/>
        </w:rPr>
        <w:t xml:space="preserve"> </w:t>
      </w:r>
      <w:r>
        <w:rPr>
          <w:sz w:val="12"/>
        </w:rPr>
        <w:t>Comité Europeo de Derechos Sociales ha adoptado un enfoque distintivo en su definición de discriminación indirecta.</w:t>
      </w:r>
    </w:p>
    <w:p w14:paraId="39F093BD" w14:textId="77777777" w:rsidR="0014798C" w:rsidRDefault="004E1F0B">
      <w:pPr>
        <w:spacing w:before="1" w:line="312" w:lineRule="auto"/>
        <w:ind w:left="79" w:right="1553" w:hanging="1"/>
        <w:rPr>
          <w:sz w:val="12"/>
        </w:rPr>
      </w:pPr>
      <w:r>
        <w:rPr>
          <w:sz w:val="12"/>
        </w:rPr>
        <w:t>Según el Comité: “esa discriminación indirecta puede surgir si no se tienen en cuenta debida y positivamente todas las diferencias pertinentes o si no se adoptan</w:t>
      </w:r>
      <w:r>
        <w:rPr>
          <w:spacing w:val="40"/>
          <w:sz w:val="12"/>
        </w:rPr>
        <w:t xml:space="preserve"> </w:t>
      </w:r>
      <w:r>
        <w:rPr>
          <w:sz w:val="12"/>
        </w:rPr>
        <w:t>medidas</w:t>
      </w:r>
      <w:r>
        <w:rPr>
          <w:spacing w:val="10"/>
          <w:sz w:val="12"/>
        </w:rPr>
        <w:t xml:space="preserve"> </w:t>
      </w:r>
      <w:r>
        <w:rPr>
          <w:sz w:val="12"/>
        </w:rPr>
        <w:t>adecuadas</w:t>
      </w:r>
      <w:r>
        <w:rPr>
          <w:spacing w:val="10"/>
          <w:sz w:val="12"/>
        </w:rPr>
        <w:t xml:space="preserve"> </w:t>
      </w:r>
      <w:r>
        <w:rPr>
          <w:sz w:val="12"/>
        </w:rPr>
        <w:t>para</w:t>
      </w:r>
      <w:r>
        <w:rPr>
          <w:spacing w:val="10"/>
          <w:sz w:val="12"/>
        </w:rPr>
        <w:t xml:space="preserve"> </w:t>
      </w:r>
      <w:r>
        <w:rPr>
          <w:sz w:val="12"/>
        </w:rPr>
        <w:t>garantizar</w:t>
      </w:r>
      <w:r>
        <w:rPr>
          <w:spacing w:val="10"/>
          <w:sz w:val="12"/>
        </w:rPr>
        <w:t xml:space="preserve"> </w:t>
      </w:r>
      <w:r>
        <w:rPr>
          <w:sz w:val="12"/>
        </w:rPr>
        <w:t>que</w:t>
      </w:r>
      <w:r>
        <w:rPr>
          <w:spacing w:val="10"/>
          <w:sz w:val="12"/>
        </w:rPr>
        <w:t xml:space="preserve"> </w:t>
      </w:r>
      <w:r>
        <w:rPr>
          <w:sz w:val="12"/>
        </w:rPr>
        <w:t>los</w:t>
      </w:r>
      <w:r>
        <w:rPr>
          <w:spacing w:val="10"/>
          <w:sz w:val="12"/>
        </w:rPr>
        <w:t xml:space="preserve"> </w:t>
      </w:r>
      <w:r>
        <w:rPr>
          <w:sz w:val="12"/>
        </w:rPr>
        <w:t>derechos</w:t>
      </w:r>
      <w:r>
        <w:rPr>
          <w:spacing w:val="10"/>
          <w:sz w:val="12"/>
        </w:rPr>
        <w:t xml:space="preserve"> </w:t>
      </w:r>
      <w:r>
        <w:rPr>
          <w:sz w:val="12"/>
        </w:rPr>
        <w:t>y</w:t>
      </w:r>
      <w:r>
        <w:rPr>
          <w:spacing w:val="10"/>
          <w:sz w:val="12"/>
        </w:rPr>
        <w:t xml:space="preserve"> </w:t>
      </w:r>
      <w:r>
        <w:rPr>
          <w:sz w:val="12"/>
        </w:rPr>
        <w:t>ventajas</w:t>
      </w:r>
      <w:r>
        <w:rPr>
          <w:spacing w:val="10"/>
          <w:sz w:val="12"/>
        </w:rPr>
        <w:t xml:space="preserve"> </w:t>
      </w:r>
      <w:r>
        <w:rPr>
          <w:sz w:val="12"/>
        </w:rPr>
        <w:t>colectivas</w:t>
      </w:r>
      <w:r>
        <w:rPr>
          <w:spacing w:val="10"/>
          <w:sz w:val="12"/>
        </w:rPr>
        <w:t xml:space="preserve"> </w:t>
      </w:r>
      <w:r>
        <w:rPr>
          <w:sz w:val="12"/>
        </w:rPr>
        <w:t>que</w:t>
      </w:r>
      <w:r>
        <w:rPr>
          <w:spacing w:val="10"/>
          <w:sz w:val="12"/>
        </w:rPr>
        <w:t xml:space="preserve"> </w:t>
      </w:r>
      <w:r>
        <w:rPr>
          <w:sz w:val="12"/>
        </w:rPr>
        <w:t>están</w:t>
      </w:r>
      <w:r>
        <w:rPr>
          <w:spacing w:val="10"/>
          <w:sz w:val="12"/>
        </w:rPr>
        <w:t xml:space="preserve"> </w:t>
      </w:r>
      <w:r>
        <w:rPr>
          <w:sz w:val="12"/>
        </w:rPr>
        <w:t>abiertos</w:t>
      </w:r>
      <w:r>
        <w:rPr>
          <w:spacing w:val="10"/>
          <w:sz w:val="12"/>
        </w:rPr>
        <w:t xml:space="preserve"> </w:t>
      </w:r>
      <w:r>
        <w:rPr>
          <w:sz w:val="12"/>
        </w:rPr>
        <w:t>a</w:t>
      </w:r>
      <w:r>
        <w:rPr>
          <w:spacing w:val="10"/>
          <w:sz w:val="12"/>
        </w:rPr>
        <w:t xml:space="preserve"> </w:t>
      </w:r>
      <w:r>
        <w:rPr>
          <w:sz w:val="12"/>
        </w:rPr>
        <w:t>todos</w:t>
      </w:r>
      <w:r>
        <w:rPr>
          <w:spacing w:val="10"/>
          <w:sz w:val="12"/>
        </w:rPr>
        <w:t xml:space="preserve"> </w:t>
      </w:r>
      <w:r>
        <w:rPr>
          <w:sz w:val="12"/>
        </w:rPr>
        <w:t>sean</w:t>
      </w:r>
      <w:r>
        <w:rPr>
          <w:spacing w:val="10"/>
          <w:sz w:val="12"/>
        </w:rPr>
        <w:t xml:space="preserve"> </w:t>
      </w:r>
      <w:r>
        <w:rPr>
          <w:sz w:val="12"/>
        </w:rPr>
        <w:t>realmente</w:t>
      </w:r>
      <w:r>
        <w:rPr>
          <w:spacing w:val="10"/>
          <w:sz w:val="12"/>
        </w:rPr>
        <w:t xml:space="preserve"> </w:t>
      </w:r>
      <w:r>
        <w:rPr>
          <w:sz w:val="12"/>
        </w:rPr>
        <w:t>accesibles</w:t>
      </w:r>
      <w:r>
        <w:rPr>
          <w:spacing w:val="10"/>
          <w:sz w:val="12"/>
        </w:rPr>
        <w:t xml:space="preserve"> </w:t>
      </w:r>
      <w:r>
        <w:rPr>
          <w:sz w:val="12"/>
        </w:rPr>
        <w:t>por</w:t>
      </w:r>
      <w:r>
        <w:rPr>
          <w:spacing w:val="10"/>
          <w:sz w:val="12"/>
        </w:rPr>
        <w:t xml:space="preserve"> </w:t>
      </w:r>
      <w:r>
        <w:rPr>
          <w:sz w:val="12"/>
        </w:rPr>
        <w:t>y</w:t>
      </w:r>
      <w:r>
        <w:rPr>
          <w:spacing w:val="10"/>
          <w:sz w:val="12"/>
        </w:rPr>
        <w:t xml:space="preserve"> </w:t>
      </w:r>
      <w:r>
        <w:rPr>
          <w:sz w:val="12"/>
        </w:rPr>
        <w:t>para</w:t>
      </w:r>
      <w:r>
        <w:rPr>
          <w:spacing w:val="10"/>
          <w:sz w:val="12"/>
        </w:rPr>
        <w:t xml:space="preserve"> </w:t>
      </w:r>
      <w:r>
        <w:rPr>
          <w:sz w:val="12"/>
        </w:rPr>
        <w:t>todos</w:t>
      </w:r>
      <w:proofErr w:type="gramStart"/>
      <w:r>
        <w:rPr>
          <w:sz w:val="12"/>
        </w:rPr>
        <w:t>.</w:t>
      </w:r>
      <w:r>
        <w:rPr>
          <w:spacing w:val="10"/>
          <w:sz w:val="12"/>
        </w:rPr>
        <w:t xml:space="preserve"> </w:t>
      </w:r>
      <w:r>
        <w:rPr>
          <w:sz w:val="12"/>
        </w:rPr>
        <w:t>”</w:t>
      </w:r>
      <w:proofErr w:type="gramEnd"/>
      <w:r>
        <w:rPr>
          <w:sz w:val="12"/>
        </w:rPr>
        <w:t>.</w:t>
      </w:r>
      <w:r>
        <w:rPr>
          <w:spacing w:val="12"/>
          <w:sz w:val="12"/>
        </w:rPr>
        <w:t xml:space="preserve"> </w:t>
      </w:r>
      <w:r>
        <w:rPr>
          <w:sz w:val="12"/>
        </w:rPr>
        <w:t>Véase</w:t>
      </w:r>
      <w:r>
        <w:rPr>
          <w:spacing w:val="40"/>
          <w:sz w:val="12"/>
        </w:rPr>
        <w:t xml:space="preserve"> </w:t>
      </w:r>
      <w:r>
        <w:rPr>
          <w:sz w:val="12"/>
        </w:rPr>
        <w:t xml:space="preserve">Comité Europeo de Derechos Sociales, </w:t>
      </w:r>
      <w:proofErr w:type="spellStart"/>
      <w:r>
        <w:rPr>
          <w:sz w:val="12"/>
        </w:rPr>
        <w:t>Equal</w:t>
      </w:r>
      <w:proofErr w:type="spellEnd"/>
      <w:r>
        <w:rPr>
          <w:sz w:val="12"/>
        </w:rPr>
        <w:t xml:space="preserve"> </w:t>
      </w:r>
      <w:proofErr w:type="spellStart"/>
      <w:r>
        <w:rPr>
          <w:sz w:val="12"/>
        </w:rPr>
        <w:t>Rights</w:t>
      </w:r>
      <w:proofErr w:type="spellEnd"/>
      <w:r>
        <w:rPr>
          <w:sz w:val="12"/>
        </w:rPr>
        <w:t xml:space="preserve"> Trust c. Bulgaria, denuncia n.º 121/2016, decisión sobre el fondo, 16 de octubre de 2018, párr. 87.</w:t>
      </w:r>
    </w:p>
    <w:p w14:paraId="5D609ED0" w14:textId="77777777" w:rsidR="0014798C" w:rsidRDefault="0014798C">
      <w:pPr>
        <w:spacing w:line="312" w:lineRule="auto"/>
        <w:rPr>
          <w:sz w:val="12"/>
        </w:rPr>
        <w:sectPr w:rsidR="0014798C" w:rsidSect="00F265E4">
          <w:type w:val="continuous"/>
          <w:pgSz w:w="11900" w:h="16820"/>
          <w:pgMar w:top="40" w:right="0" w:bottom="280" w:left="200" w:header="121" w:footer="0" w:gutter="0"/>
          <w:cols w:num="2" w:space="720" w:equalWidth="0">
            <w:col w:w="1247" w:space="40"/>
            <w:col w:w="10413"/>
          </w:cols>
        </w:sectPr>
      </w:pPr>
    </w:p>
    <w:p w14:paraId="5EB973A4" w14:textId="77777777" w:rsidR="0014798C" w:rsidRDefault="0014798C">
      <w:pPr>
        <w:pStyle w:val="Textoindependiente"/>
        <w:rPr>
          <w:sz w:val="19"/>
        </w:rPr>
      </w:pPr>
    </w:p>
    <w:p w14:paraId="0B9651DE" w14:textId="77777777" w:rsidR="0014798C" w:rsidRDefault="0014798C">
      <w:pPr>
        <w:pStyle w:val="Textoindependiente"/>
        <w:rPr>
          <w:sz w:val="19"/>
        </w:rPr>
      </w:pPr>
    </w:p>
    <w:p w14:paraId="20CF6BB8" w14:textId="77777777" w:rsidR="0014798C" w:rsidRDefault="0014798C">
      <w:pPr>
        <w:pStyle w:val="Textoindependiente"/>
        <w:spacing w:before="111"/>
        <w:rPr>
          <w:sz w:val="19"/>
        </w:rPr>
      </w:pPr>
    </w:p>
    <w:p w14:paraId="506442EA" w14:textId="77777777" w:rsidR="0014798C" w:rsidRDefault="004E1F0B">
      <w:pPr>
        <w:ind w:left="553"/>
        <w:rPr>
          <w:sz w:val="19"/>
        </w:rPr>
      </w:pPr>
      <w:r>
        <w:rPr>
          <w:spacing w:val="-5"/>
          <w:w w:val="105"/>
          <w:sz w:val="19"/>
        </w:rPr>
        <w:t>34</w:t>
      </w:r>
    </w:p>
    <w:p w14:paraId="3167F961" w14:textId="77777777" w:rsidR="0014798C" w:rsidRDefault="0014798C">
      <w:pPr>
        <w:rPr>
          <w:sz w:val="19"/>
        </w:rPr>
        <w:sectPr w:rsidR="0014798C" w:rsidSect="00F265E4">
          <w:type w:val="continuous"/>
          <w:pgSz w:w="11900" w:h="16820"/>
          <w:pgMar w:top="40" w:right="0" w:bottom="280" w:left="200" w:header="121" w:footer="0" w:gutter="0"/>
          <w:cols w:space="720"/>
        </w:sectPr>
      </w:pPr>
    </w:p>
    <w:p w14:paraId="7CD6C711" w14:textId="77777777" w:rsidR="0014798C" w:rsidRDefault="0014798C">
      <w:pPr>
        <w:pStyle w:val="Textoindependiente"/>
        <w:spacing w:before="51"/>
        <w:rPr>
          <w:sz w:val="14"/>
        </w:rPr>
      </w:pPr>
    </w:p>
    <w:p w14:paraId="569FC64B" w14:textId="77777777" w:rsidR="0014798C" w:rsidRDefault="004E1F0B">
      <w:pPr>
        <w:ind w:left="1111"/>
        <w:rPr>
          <w:sz w:val="14"/>
        </w:rPr>
      </w:pPr>
      <w:r>
        <w:rPr>
          <w:color w:val="00AC59"/>
          <w:sz w:val="14"/>
        </w:rPr>
        <w:t>SEGUNDA</w:t>
      </w:r>
      <w:r>
        <w:rPr>
          <w:color w:val="00AC59"/>
          <w:spacing w:val="-5"/>
          <w:sz w:val="14"/>
        </w:rPr>
        <w:t xml:space="preserve"> </w:t>
      </w:r>
      <w:r>
        <w:rPr>
          <w:color w:val="00AC59"/>
          <w:sz w:val="14"/>
        </w:rPr>
        <w:t>PARTE:</w:t>
      </w:r>
      <w:r>
        <w:rPr>
          <w:color w:val="00AC59"/>
          <w:spacing w:val="-5"/>
          <w:sz w:val="14"/>
        </w:rPr>
        <w:t xml:space="preserve"> </w:t>
      </w:r>
      <w:r>
        <w:rPr>
          <w:color w:val="00AC59"/>
          <w:sz w:val="14"/>
        </w:rPr>
        <w:t>CONTENIDO</w:t>
      </w:r>
      <w:r>
        <w:rPr>
          <w:color w:val="00AC59"/>
          <w:spacing w:val="-4"/>
          <w:sz w:val="14"/>
        </w:rPr>
        <w:t xml:space="preserve"> </w:t>
      </w:r>
      <w:r>
        <w:rPr>
          <w:color w:val="00AC59"/>
          <w:sz w:val="14"/>
        </w:rPr>
        <w:t>DE</w:t>
      </w:r>
      <w:r>
        <w:rPr>
          <w:color w:val="00AC59"/>
          <w:spacing w:val="-5"/>
          <w:sz w:val="14"/>
        </w:rPr>
        <w:t xml:space="preserve"> </w:t>
      </w:r>
      <w:r>
        <w:rPr>
          <w:color w:val="00AC59"/>
          <w:sz w:val="14"/>
        </w:rPr>
        <w:t>LA</w:t>
      </w:r>
      <w:r>
        <w:rPr>
          <w:color w:val="00AC59"/>
          <w:spacing w:val="-4"/>
          <w:sz w:val="14"/>
        </w:rPr>
        <w:t xml:space="preserve"> </w:t>
      </w:r>
      <w:r>
        <w:rPr>
          <w:color w:val="00AC59"/>
          <w:sz w:val="14"/>
        </w:rPr>
        <w:t>LEY</w:t>
      </w:r>
      <w:r>
        <w:rPr>
          <w:color w:val="00AC59"/>
          <w:spacing w:val="-4"/>
          <w:sz w:val="14"/>
        </w:rPr>
        <w:t xml:space="preserve"> </w:t>
      </w:r>
      <w:r>
        <w:rPr>
          <w:color w:val="00AC59"/>
          <w:sz w:val="14"/>
        </w:rPr>
        <w:t>INTEGRAL</w:t>
      </w:r>
      <w:r>
        <w:rPr>
          <w:color w:val="00AC59"/>
          <w:spacing w:val="-5"/>
          <w:sz w:val="14"/>
        </w:rPr>
        <w:t xml:space="preserve"> </w:t>
      </w:r>
      <w:r>
        <w:rPr>
          <w:color w:val="00AC59"/>
          <w:spacing w:val="-2"/>
          <w:sz w:val="14"/>
        </w:rPr>
        <w:t>ANTIDISCRIMINACIÓN</w:t>
      </w:r>
    </w:p>
    <w:p w14:paraId="4A871379" w14:textId="77777777" w:rsidR="0014798C" w:rsidRDefault="0014798C">
      <w:pPr>
        <w:pStyle w:val="Textoindependiente"/>
      </w:pPr>
    </w:p>
    <w:p w14:paraId="3B02D5D6" w14:textId="77777777" w:rsidR="0014798C" w:rsidRDefault="0014798C">
      <w:pPr>
        <w:pStyle w:val="Textoindependiente"/>
      </w:pPr>
    </w:p>
    <w:p w14:paraId="76D23427" w14:textId="77777777" w:rsidR="0014798C" w:rsidRDefault="0014798C">
      <w:pPr>
        <w:pStyle w:val="Textoindependiente"/>
      </w:pPr>
    </w:p>
    <w:p w14:paraId="7927ABF5" w14:textId="77777777" w:rsidR="0014798C" w:rsidRDefault="0014798C">
      <w:pPr>
        <w:pStyle w:val="Textoindependiente"/>
      </w:pPr>
    </w:p>
    <w:p w14:paraId="01FCD683" w14:textId="77777777" w:rsidR="0014798C" w:rsidRDefault="0014798C">
      <w:pPr>
        <w:pStyle w:val="Textoindependiente"/>
        <w:spacing w:before="61"/>
      </w:pPr>
    </w:p>
    <w:p w14:paraId="5BBE007B" w14:textId="77777777" w:rsidR="0014798C" w:rsidRDefault="004E1F0B">
      <w:pPr>
        <w:pStyle w:val="Textoindependiente"/>
        <w:spacing w:line="326" w:lineRule="auto"/>
        <w:ind w:left="1108" w:right="1417" w:hanging="2"/>
        <w:jc w:val="both"/>
      </w:pPr>
      <w:r>
        <w:t>Como se analiza en la sección IA4 de la segunda parte, más adelante, las reglas, políticas o prácticas que producen impactos diferenciales pueden justificarse en situaciones en las que se establecen con base en criterios objetivos y razonables y son un medio proporcionado para lograr un objetivo legítimo.247</w:t>
      </w:r>
    </w:p>
    <w:p w14:paraId="232564ED" w14:textId="77777777" w:rsidR="0014798C" w:rsidRDefault="0014798C">
      <w:pPr>
        <w:pStyle w:val="Textoindependiente"/>
      </w:pPr>
    </w:p>
    <w:p w14:paraId="6C9D9456" w14:textId="77777777" w:rsidR="0014798C" w:rsidRDefault="0014798C">
      <w:pPr>
        <w:pStyle w:val="Textoindependiente"/>
        <w:spacing w:before="100"/>
      </w:pPr>
    </w:p>
    <w:p w14:paraId="7450A8F1" w14:textId="77777777" w:rsidR="0014798C" w:rsidRDefault="004E1F0B">
      <w:pPr>
        <w:pStyle w:val="Textoindependiente"/>
        <w:ind w:left="1335"/>
      </w:pPr>
      <w:r>
        <w:rPr>
          <w:noProof/>
        </w:rPr>
        <w:drawing>
          <wp:anchor distT="0" distB="0" distL="0" distR="0" simplePos="0" relativeHeight="251658384" behindDoc="1" locked="0" layoutInCell="1" allowOverlap="1" wp14:anchorId="1A8077BC" wp14:editId="4D7E1D05">
            <wp:simplePos x="0" y="0"/>
            <wp:positionH relativeFrom="page">
              <wp:posOffset>795184</wp:posOffset>
            </wp:positionH>
            <wp:positionV relativeFrom="paragraph">
              <wp:posOffset>-139953</wp:posOffset>
            </wp:positionV>
            <wp:extent cx="6761315" cy="5612197"/>
            <wp:effectExtent l="0" t="0" r="0" b="0"/>
            <wp:wrapNone/>
            <wp:docPr id="115" name="Image 11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15" name="Image 115"/>
                    <pic:cNvPicPr/>
                  </pic:nvPicPr>
                  <pic:blipFill>
                    <a:blip r:embed="rId115" cstate="print"/>
                    <a:stretch>
                      <a:fillRect/>
                    </a:stretch>
                  </pic:blipFill>
                  <pic:spPr>
                    <a:xfrm>
                      <a:off x="0" y="0"/>
                      <a:ext cx="6761315" cy="5612197"/>
                    </a:xfrm>
                    <a:prstGeom prst="rect">
                      <a:avLst/>
                    </a:prstGeom>
                  </pic:spPr>
                </pic:pic>
              </a:graphicData>
            </a:graphic>
          </wp:anchor>
        </w:drawing>
      </w:r>
      <w:r>
        <w:rPr>
          <w:spacing w:val="-2"/>
        </w:rPr>
        <w:t>COMPARADORES</w:t>
      </w:r>
    </w:p>
    <w:p w14:paraId="556E0F93" w14:textId="77777777" w:rsidR="0014798C" w:rsidRDefault="0014798C">
      <w:pPr>
        <w:pStyle w:val="Textoindependiente"/>
        <w:spacing w:before="36"/>
      </w:pPr>
    </w:p>
    <w:p w14:paraId="7A585523" w14:textId="77777777" w:rsidR="0014798C" w:rsidRDefault="004E1F0B">
      <w:pPr>
        <w:pStyle w:val="Textoindependiente"/>
        <w:spacing w:line="326" w:lineRule="auto"/>
        <w:ind w:left="1329" w:right="1463" w:firstLine="8"/>
      </w:pPr>
      <w:r>
        <w:t>Una manera de establecer si se ha producido discriminación directa es demostrar que el denunciante ha sido tratado de manera menos favorable que otra persona o grupo de personas en una situación relevantemente similar.</w:t>
      </w:r>
    </w:p>
    <w:p w14:paraId="29C71EA5" w14:textId="77777777" w:rsidR="0014798C" w:rsidRDefault="004E1F0B">
      <w:pPr>
        <w:pStyle w:val="Textoindependiente"/>
        <w:spacing w:line="326" w:lineRule="auto"/>
        <w:ind w:left="1332" w:right="1553" w:firstLine="5"/>
      </w:pPr>
      <w:r>
        <w:rPr>
          <w:noProof/>
        </w:rPr>
        <mc:AlternateContent>
          <mc:Choice Requires="wps">
            <w:drawing>
              <wp:anchor distT="0" distB="0" distL="0" distR="0" simplePos="0" relativeHeight="251658258" behindDoc="0" locked="0" layoutInCell="1" allowOverlap="1" wp14:anchorId="7A2C2BB8" wp14:editId="0B96290F">
                <wp:simplePos x="0" y="0"/>
                <wp:positionH relativeFrom="page">
                  <wp:posOffset>7313138</wp:posOffset>
                </wp:positionH>
                <wp:positionV relativeFrom="paragraph">
                  <wp:posOffset>332435</wp:posOffset>
                </wp:positionV>
                <wp:extent cx="83820" cy="281940"/>
                <wp:effectExtent l="0" t="0" r="0" b="0"/>
                <wp:wrapNone/>
                <wp:docPr id="116" name="Textbox 11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83820" cy="281940"/>
                        </a:xfrm>
                        <a:prstGeom prst="rect">
                          <a:avLst/>
                        </a:prstGeom>
                      </wps:spPr>
                      <wps:txbx>
                        <w:txbxContent>
                          <w:p w14:paraId="62AC9810" w14:textId="77777777" w:rsidR="0014798C" w:rsidRDefault="004E1F0B">
                            <w:pPr>
                              <w:spacing w:before="19"/>
                              <w:ind w:left="20"/>
                              <w:rPr>
                                <w:sz w:val="8"/>
                              </w:rPr>
                            </w:pPr>
                            <w:r>
                              <w:rPr>
                                <w:color w:val="FFFFFF"/>
                                <w:spacing w:val="-24"/>
                                <w:sz w:val="8"/>
                              </w:rPr>
                              <w:t>I–P</w:t>
                            </w:r>
                            <w:r>
                              <w:rPr>
                                <w:spacing w:val="-24"/>
                                <w:sz w:val="8"/>
                              </w:rPr>
                              <w:t>S</w:t>
                            </w:r>
                            <w:r>
                              <w:rPr>
                                <w:color w:val="FFFFFF"/>
                                <w:spacing w:val="-24"/>
                                <w:sz w:val="8"/>
                              </w:rPr>
                              <w:t>A</w:t>
                            </w:r>
                            <w:r>
                              <w:rPr>
                                <w:spacing w:val="-24"/>
                                <w:sz w:val="8"/>
                              </w:rPr>
                              <w:t>E</w:t>
                            </w:r>
                            <w:r>
                              <w:rPr>
                                <w:color w:val="FFFFFF"/>
                                <w:spacing w:val="-24"/>
                                <w:sz w:val="8"/>
                              </w:rPr>
                              <w:t>R</w:t>
                            </w:r>
                            <w:r>
                              <w:rPr>
                                <w:spacing w:val="-24"/>
                                <w:sz w:val="8"/>
                              </w:rPr>
                              <w:t>G</w:t>
                            </w:r>
                            <w:r>
                              <w:rPr>
                                <w:color w:val="FFFFFF"/>
                                <w:spacing w:val="-24"/>
                                <w:sz w:val="8"/>
                              </w:rPr>
                              <w:t>T</w:t>
                            </w:r>
                            <w:r>
                              <w:rPr>
                                <w:spacing w:val="-24"/>
                                <w:sz w:val="8"/>
                              </w:rPr>
                              <w:t>U</w:t>
                            </w:r>
                            <w:r>
                              <w:rPr>
                                <w:color w:val="FFFFFF"/>
                                <w:spacing w:val="-24"/>
                                <w:sz w:val="8"/>
                              </w:rPr>
                              <w:t>E</w:t>
                            </w:r>
                            <w:r>
                              <w:rPr>
                                <w:spacing w:val="-24"/>
                                <w:sz w:val="8"/>
                              </w:rPr>
                              <w:t>NDA</w:t>
                            </w:r>
                          </w:p>
                        </w:txbxContent>
                      </wps:txbx>
                      <wps:bodyPr vert="vert270" wrap="square" lIns="0" tIns="0" rIns="0" bIns="0" rtlCol="0">
                        <a:noAutofit/>
                      </wps:bodyPr>
                    </wps:wsp>
                  </a:graphicData>
                </a:graphic>
              </wp:anchor>
            </w:drawing>
          </mc:Choice>
          <mc:Fallback>
            <w:pict>
              <v:shape w14:anchorId="7A2C2BB8" id="Textbox 116" o:spid="_x0000_s1072" type="#_x0000_t202" style="position:absolute;left:0;text-align:left;margin-left:575.85pt;margin-top:26.2pt;width:6.6pt;height:22.2pt;z-index:251658258;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" filled="f" stroked="f">
                <v:textbox style="layout-flow:vertical;mso-layout-flow-alt:bottom-to-top" inset="0,0,0,0">
                  <w:txbxContent>
                    <w:p w14:paraId="62AC9810" w14:textId="77777777" w:rsidR="0014798C" w:rsidRDefault="004E1F0B">
                      <w:pPr>
                        <w:spacing w:before="19"/>
                        <w:ind w:left="20"/>
                        <w:rPr>
                          <w:sz w:val="8"/>
                        </w:rPr>
                      </w:pPr>
                      <w:r>
                        <w:rPr>
                          <w:color w:val="FFFFFF"/>
                          <w:spacing w:val="-24"/>
                          <w:sz w:val="8"/>
                        </w:rPr>
                        <w:t>I–P</w:t>
                      </w:r>
                      <w:r>
                        <w:rPr>
                          <w:spacing w:val="-24"/>
                          <w:sz w:val="8"/>
                        </w:rPr>
                        <w:t>S</w:t>
                      </w:r>
                      <w:r>
                        <w:rPr>
                          <w:color w:val="FFFFFF"/>
                          <w:spacing w:val="-24"/>
                          <w:sz w:val="8"/>
                        </w:rPr>
                        <w:t>A</w:t>
                      </w:r>
                      <w:r>
                        <w:rPr>
                          <w:spacing w:val="-24"/>
                          <w:sz w:val="8"/>
                        </w:rPr>
                        <w:t>E</w:t>
                      </w:r>
                      <w:r>
                        <w:rPr>
                          <w:color w:val="FFFFFF"/>
                          <w:spacing w:val="-24"/>
                          <w:sz w:val="8"/>
                        </w:rPr>
                        <w:t>R</w:t>
                      </w:r>
                      <w:r>
                        <w:rPr>
                          <w:spacing w:val="-24"/>
                          <w:sz w:val="8"/>
                        </w:rPr>
                        <w:t>G</w:t>
                      </w:r>
                      <w:r>
                        <w:rPr>
                          <w:color w:val="FFFFFF"/>
                          <w:spacing w:val="-24"/>
                          <w:sz w:val="8"/>
                        </w:rPr>
                        <w:t>T</w:t>
                      </w:r>
                      <w:r>
                        <w:rPr>
                          <w:spacing w:val="-24"/>
                          <w:sz w:val="8"/>
                        </w:rPr>
                        <w:t>U</w:t>
                      </w:r>
                      <w:r>
                        <w:rPr>
                          <w:color w:val="FFFFFF"/>
                          <w:spacing w:val="-24"/>
                          <w:sz w:val="8"/>
                        </w:rPr>
                        <w:t>E</w:t>
                      </w:r>
                      <w:r>
                        <w:rPr>
                          <w:spacing w:val="-24"/>
                          <w:sz w:val="8"/>
                        </w:rPr>
                        <w:t>NDA</w:t>
                      </w:r>
                    </w:p>
                  </w:txbxContent>
                </v:textbox>
                <w10:wrap anchorx="page"/>
              </v:shape>
            </w:pict>
          </mc:Fallback>
        </mc:AlternateContent>
      </w:r>
      <w:r>
        <w:t>De manera similar, una manera de establecer una discriminación indirecta es demostrar que un grupo de personas que comparten</w:t>
      </w:r>
      <w:r>
        <w:rPr>
          <w:spacing w:val="18"/>
        </w:rPr>
        <w:t xml:space="preserve"> </w:t>
      </w:r>
      <w:r>
        <w:t>una</w:t>
      </w:r>
      <w:r>
        <w:rPr>
          <w:spacing w:val="18"/>
        </w:rPr>
        <w:t xml:space="preserve"> </w:t>
      </w:r>
      <w:r>
        <w:t>característica</w:t>
      </w:r>
      <w:r>
        <w:rPr>
          <w:spacing w:val="18"/>
        </w:rPr>
        <w:t xml:space="preserve"> </w:t>
      </w:r>
      <w:r>
        <w:t>particular</w:t>
      </w:r>
      <w:r>
        <w:rPr>
          <w:spacing w:val="18"/>
        </w:rPr>
        <w:t xml:space="preserve"> </w:t>
      </w:r>
      <w:r>
        <w:t>ha</w:t>
      </w:r>
      <w:r>
        <w:rPr>
          <w:spacing w:val="18"/>
        </w:rPr>
        <w:t xml:space="preserve"> </w:t>
      </w:r>
      <w:r>
        <w:t>experimentado</w:t>
      </w:r>
      <w:r>
        <w:rPr>
          <w:spacing w:val="18"/>
        </w:rPr>
        <w:t xml:space="preserve"> </w:t>
      </w:r>
      <w:r>
        <w:t>un</w:t>
      </w:r>
      <w:r>
        <w:rPr>
          <w:spacing w:val="18"/>
        </w:rPr>
        <w:t xml:space="preserve"> </w:t>
      </w:r>
      <w:r>
        <w:t>impacto</w:t>
      </w:r>
      <w:r>
        <w:rPr>
          <w:spacing w:val="18"/>
        </w:rPr>
        <w:t xml:space="preserve"> </w:t>
      </w:r>
      <w:r>
        <w:t>desproporcionado</w:t>
      </w:r>
      <w:r>
        <w:rPr>
          <w:spacing w:val="20"/>
        </w:rPr>
        <w:t xml:space="preserve"> </w:t>
      </w:r>
      <w:r>
        <w:t>por</w:t>
      </w:r>
      <w:r>
        <w:rPr>
          <w:spacing w:val="18"/>
        </w:rPr>
        <w:t xml:space="preserve"> </w:t>
      </w:r>
      <w:r>
        <w:t>la</w:t>
      </w:r>
      <w:r>
        <w:rPr>
          <w:spacing w:val="18"/>
        </w:rPr>
        <w:t xml:space="preserve"> </w:t>
      </w:r>
      <w:r>
        <w:t>aplicación</w:t>
      </w:r>
      <w:r>
        <w:rPr>
          <w:spacing w:val="18"/>
        </w:rPr>
        <w:t xml:space="preserve"> </w:t>
      </w:r>
      <w:r>
        <w:t>de</w:t>
      </w:r>
      <w:r>
        <w:rPr>
          <w:spacing w:val="18"/>
        </w:rPr>
        <w:t xml:space="preserve"> </w:t>
      </w:r>
      <w:r>
        <w:t>una</w:t>
      </w:r>
      <w:r>
        <w:rPr>
          <w:spacing w:val="18"/>
        </w:rPr>
        <w:t xml:space="preserve"> </w:t>
      </w:r>
      <w:r>
        <w:t>norma, en comparación con otro grupo. En tales casos, la otra persona o grupo de personas con las que se compara al solicitante</w:t>
      </w:r>
      <w:r>
        <w:rPr>
          <w:spacing w:val="40"/>
        </w:rPr>
        <w:t xml:space="preserve"> </w:t>
      </w:r>
      <w:r>
        <w:t>se denomina “comparador”.</w:t>
      </w:r>
    </w:p>
    <w:p w14:paraId="56EF6E64" w14:textId="77777777" w:rsidR="0014798C" w:rsidRDefault="004E1F0B">
      <w:pPr>
        <w:pStyle w:val="Textoindependiente"/>
        <w:spacing w:before="110" w:line="326" w:lineRule="auto"/>
        <w:ind w:left="1333" w:right="1553" w:hanging="1"/>
      </w:pPr>
      <w:r>
        <w:t xml:space="preserve">El uso de comparadores es un medio común, pero de ningún modo necesario, para determinar si se ha producido discriminación. El derecho internacional reconoce que la discriminación puede establecerse sin referencia a un comparador; basta con demostrar que el denunciante ha sufrido un perjuicio relacionado con un motivo de discriminación. Además, no es necesario que el comparador sea real; Existe un amplio consenso en que un comparador puede ser </w:t>
      </w:r>
      <w:r>
        <w:rPr>
          <w:spacing w:val="-2"/>
        </w:rPr>
        <w:t>hipotético.</w:t>
      </w:r>
    </w:p>
    <w:p w14:paraId="3A6AD2FC" w14:textId="77777777" w:rsidR="0014798C" w:rsidRDefault="004E1F0B">
      <w:pPr>
        <w:pStyle w:val="Textoindependiente"/>
        <w:spacing w:before="111" w:line="326" w:lineRule="auto"/>
        <w:ind w:left="1329" w:right="1572" w:firstLine="2"/>
      </w:pPr>
      <w:r>
        <w:t>El uso de comparadores ha sido explorado en la jurisprudencia del Tribunal Europeo de Derechos Humanos. La Corte ha sostenido en varios casos que la cuestión que debe plantearse al juez es si existe una diferencia de trato entre “personas</w:t>
      </w:r>
      <w:r>
        <w:rPr>
          <w:spacing w:val="40"/>
        </w:rPr>
        <w:t xml:space="preserve"> </w:t>
      </w:r>
      <w:r>
        <w:t>en</w:t>
      </w:r>
      <w:r>
        <w:rPr>
          <w:spacing w:val="17"/>
        </w:rPr>
        <w:t xml:space="preserve"> </w:t>
      </w:r>
      <w:r>
        <w:t>una</w:t>
      </w:r>
      <w:r>
        <w:rPr>
          <w:spacing w:val="17"/>
        </w:rPr>
        <w:t xml:space="preserve"> </w:t>
      </w:r>
      <w:r>
        <w:t>situación</w:t>
      </w:r>
      <w:r>
        <w:rPr>
          <w:spacing w:val="17"/>
        </w:rPr>
        <w:t xml:space="preserve"> </w:t>
      </w:r>
      <w:r>
        <w:t>análoga</w:t>
      </w:r>
      <w:r>
        <w:rPr>
          <w:spacing w:val="17"/>
        </w:rPr>
        <w:t xml:space="preserve"> </w:t>
      </w:r>
      <w:r>
        <w:t>o</w:t>
      </w:r>
      <w:r>
        <w:rPr>
          <w:spacing w:val="17"/>
        </w:rPr>
        <w:t xml:space="preserve"> </w:t>
      </w:r>
      <w:r>
        <w:t>significativamente</w:t>
      </w:r>
      <w:r>
        <w:rPr>
          <w:spacing w:val="17"/>
        </w:rPr>
        <w:t xml:space="preserve"> </w:t>
      </w:r>
      <w:r>
        <w:t>similar”,248</w:t>
      </w:r>
      <w:r>
        <w:rPr>
          <w:spacing w:val="17"/>
        </w:rPr>
        <w:t xml:space="preserve"> </w:t>
      </w:r>
      <w:r>
        <w:t>indicando</w:t>
      </w:r>
      <w:r>
        <w:rPr>
          <w:spacing w:val="17"/>
        </w:rPr>
        <w:t xml:space="preserve"> </w:t>
      </w:r>
      <w:r>
        <w:t>que</w:t>
      </w:r>
      <w:r>
        <w:rPr>
          <w:spacing w:val="17"/>
        </w:rPr>
        <w:t xml:space="preserve"> </w:t>
      </w:r>
      <w:r>
        <w:t>el</w:t>
      </w:r>
      <w:r>
        <w:rPr>
          <w:spacing w:val="17"/>
        </w:rPr>
        <w:t xml:space="preserve"> </w:t>
      </w:r>
      <w:r>
        <w:t>requisito</w:t>
      </w:r>
      <w:r>
        <w:rPr>
          <w:spacing w:val="17"/>
        </w:rPr>
        <w:t xml:space="preserve"> </w:t>
      </w:r>
      <w:r>
        <w:t>de</w:t>
      </w:r>
      <w:r>
        <w:rPr>
          <w:spacing w:val="17"/>
        </w:rPr>
        <w:t xml:space="preserve"> </w:t>
      </w:r>
      <w:r>
        <w:t>demostrar</w:t>
      </w:r>
      <w:r>
        <w:rPr>
          <w:spacing w:val="17"/>
        </w:rPr>
        <w:t xml:space="preserve"> </w:t>
      </w:r>
      <w:r>
        <w:t>una</w:t>
      </w:r>
      <w:r>
        <w:rPr>
          <w:spacing w:val="17"/>
        </w:rPr>
        <w:t xml:space="preserve"> </w:t>
      </w:r>
      <w:r>
        <w:t>posición</w:t>
      </w:r>
      <w:r>
        <w:rPr>
          <w:spacing w:val="17"/>
        </w:rPr>
        <w:t xml:space="preserve"> </w:t>
      </w:r>
      <w:r>
        <w:t>análoga no requiere que el juez los grupos de comparación sean idénticos. También ha sostenido que los solicitantes deberían</w:t>
      </w:r>
      <w:r>
        <w:rPr>
          <w:spacing w:val="40"/>
        </w:rPr>
        <w:t xml:space="preserve"> </w:t>
      </w:r>
      <w:r>
        <w:t xml:space="preserve">poder demostrar que, teniendo en cuenta la naturaleza particular de sus quejas, se encontraban en una situación relevantemente similar a otros tratados de manera diferente.249 Los elementos que caracterizan diferentes situaciones y determinan su comparabilidad deben evaluarse a la luz del objeto y finalidad de la medida que establece la distinción en </w:t>
      </w:r>
      <w:r>
        <w:rPr>
          <w:spacing w:val="-2"/>
        </w:rPr>
        <w:t>cuestión.250</w:t>
      </w:r>
    </w:p>
    <w:p w14:paraId="2F2CF387" w14:textId="77777777" w:rsidR="0014798C" w:rsidRDefault="004E1F0B">
      <w:pPr>
        <w:pStyle w:val="Textoindependiente"/>
        <w:spacing w:line="326" w:lineRule="auto"/>
        <w:ind w:left="1337" w:right="1626" w:hanging="5"/>
      </w:pPr>
      <w:r>
        <w:t>En</w:t>
      </w:r>
      <w:r>
        <w:rPr>
          <w:spacing w:val="13"/>
        </w:rPr>
        <w:t xml:space="preserve"> </w:t>
      </w:r>
      <w:r>
        <w:t>otras</w:t>
      </w:r>
      <w:r>
        <w:rPr>
          <w:spacing w:val="13"/>
        </w:rPr>
        <w:t xml:space="preserve"> </w:t>
      </w:r>
      <w:r>
        <w:t>palabras,</w:t>
      </w:r>
      <w:r>
        <w:rPr>
          <w:spacing w:val="15"/>
        </w:rPr>
        <w:t xml:space="preserve"> </w:t>
      </w:r>
      <w:r>
        <w:t>el</w:t>
      </w:r>
      <w:r>
        <w:rPr>
          <w:spacing w:val="13"/>
        </w:rPr>
        <w:t xml:space="preserve"> </w:t>
      </w:r>
      <w:r>
        <w:t>análisis</w:t>
      </w:r>
      <w:r>
        <w:rPr>
          <w:spacing w:val="13"/>
        </w:rPr>
        <w:t xml:space="preserve"> </w:t>
      </w:r>
      <w:r>
        <w:t>de</w:t>
      </w:r>
      <w:r>
        <w:rPr>
          <w:spacing w:val="13"/>
        </w:rPr>
        <w:t xml:space="preserve"> </w:t>
      </w:r>
      <w:r>
        <w:t>la</w:t>
      </w:r>
      <w:r>
        <w:rPr>
          <w:spacing w:val="13"/>
        </w:rPr>
        <w:t xml:space="preserve"> </w:t>
      </w:r>
      <w:r>
        <w:t>cuestión</w:t>
      </w:r>
      <w:r>
        <w:rPr>
          <w:spacing w:val="13"/>
        </w:rPr>
        <w:t xml:space="preserve"> </w:t>
      </w:r>
      <w:r>
        <w:t>de</w:t>
      </w:r>
      <w:r>
        <w:rPr>
          <w:spacing w:val="13"/>
        </w:rPr>
        <w:t xml:space="preserve"> </w:t>
      </w:r>
      <w:r>
        <w:t>si</w:t>
      </w:r>
      <w:r>
        <w:rPr>
          <w:spacing w:val="13"/>
        </w:rPr>
        <w:t xml:space="preserve"> </w:t>
      </w:r>
      <w:r>
        <w:t>dos</w:t>
      </w:r>
      <w:r>
        <w:rPr>
          <w:spacing w:val="13"/>
        </w:rPr>
        <w:t xml:space="preserve"> </w:t>
      </w:r>
      <w:r>
        <w:t>personas</w:t>
      </w:r>
      <w:r>
        <w:rPr>
          <w:spacing w:val="13"/>
        </w:rPr>
        <w:t xml:space="preserve"> </w:t>
      </w:r>
      <w:r>
        <w:t>o</w:t>
      </w:r>
      <w:r>
        <w:rPr>
          <w:spacing w:val="13"/>
        </w:rPr>
        <w:t xml:space="preserve"> </w:t>
      </w:r>
      <w:r>
        <w:t>grupos</w:t>
      </w:r>
      <w:r>
        <w:rPr>
          <w:spacing w:val="13"/>
        </w:rPr>
        <w:t xml:space="preserve"> </w:t>
      </w:r>
      <w:r>
        <w:t>se</w:t>
      </w:r>
      <w:r>
        <w:rPr>
          <w:spacing w:val="13"/>
        </w:rPr>
        <w:t xml:space="preserve"> </w:t>
      </w:r>
      <w:r>
        <w:t>encuentran</w:t>
      </w:r>
      <w:r>
        <w:rPr>
          <w:spacing w:val="13"/>
        </w:rPr>
        <w:t xml:space="preserve"> </w:t>
      </w:r>
      <w:r>
        <w:t>en</w:t>
      </w:r>
      <w:r>
        <w:rPr>
          <w:spacing w:val="13"/>
        </w:rPr>
        <w:t xml:space="preserve"> </w:t>
      </w:r>
      <w:r>
        <w:t>una</w:t>
      </w:r>
      <w:r>
        <w:rPr>
          <w:spacing w:val="13"/>
        </w:rPr>
        <w:t xml:space="preserve"> </w:t>
      </w:r>
      <w:r>
        <w:t>situación</w:t>
      </w:r>
      <w:r>
        <w:rPr>
          <w:spacing w:val="13"/>
        </w:rPr>
        <w:t xml:space="preserve"> </w:t>
      </w:r>
      <w:r>
        <w:t>comparable</w:t>
      </w:r>
      <w:r>
        <w:rPr>
          <w:spacing w:val="15"/>
        </w:rPr>
        <w:t xml:space="preserve"> </w:t>
      </w:r>
      <w:r>
        <w:t>a los efectos de evaluar el trato diferenciado y la discriminación es a la vez específico y contextual251. En su jurisprudencia sobre</w:t>
      </w:r>
      <w:r>
        <w:rPr>
          <w:spacing w:val="14"/>
        </w:rPr>
        <w:t xml:space="preserve"> </w:t>
      </w:r>
      <w:r>
        <w:t>la</w:t>
      </w:r>
      <w:r>
        <w:rPr>
          <w:spacing w:val="14"/>
        </w:rPr>
        <w:t xml:space="preserve"> </w:t>
      </w:r>
      <w:r>
        <w:t>cuestión,</w:t>
      </w:r>
      <w:r>
        <w:rPr>
          <w:spacing w:val="16"/>
        </w:rPr>
        <w:t xml:space="preserve"> </w:t>
      </w:r>
      <w:r>
        <w:t>la</w:t>
      </w:r>
      <w:r>
        <w:rPr>
          <w:spacing w:val="14"/>
        </w:rPr>
        <w:t xml:space="preserve"> </w:t>
      </w:r>
      <w:r>
        <w:t>Cámara</w:t>
      </w:r>
      <w:r>
        <w:rPr>
          <w:spacing w:val="14"/>
        </w:rPr>
        <w:t xml:space="preserve"> </w:t>
      </w:r>
      <w:r>
        <w:t>de</w:t>
      </w:r>
      <w:r>
        <w:rPr>
          <w:spacing w:val="14"/>
        </w:rPr>
        <w:t xml:space="preserve"> </w:t>
      </w:r>
      <w:r>
        <w:t>los</w:t>
      </w:r>
      <w:r>
        <w:rPr>
          <w:spacing w:val="14"/>
        </w:rPr>
        <w:t xml:space="preserve"> </w:t>
      </w:r>
      <w:r>
        <w:t>Lores</w:t>
      </w:r>
      <w:r>
        <w:rPr>
          <w:spacing w:val="14"/>
        </w:rPr>
        <w:t xml:space="preserve"> </w:t>
      </w:r>
      <w:r>
        <w:t>del</w:t>
      </w:r>
      <w:r>
        <w:rPr>
          <w:spacing w:val="14"/>
        </w:rPr>
        <w:t xml:space="preserve"> </w:t>
      </w:r>
      <w:r>
        <w:t>Reino</w:t>
      </w:r>
      <w:r>
        <w:rPr>
          <w:spacing w:val="14"/>
        </w:rPr>
        <w:t xml:space="preserve"> </w:t>
      </w:r>
      <w:r>
        <w:t>Unido</w:t>
      </w:r>
      <w:r>
        <w:rPr>
          <w:spacing w:val="14"/>
        </w:rPr>
        <w:t xml:space="preserve"> </w:t>
      </w:r>
      <w:r>
        <w:t>ha</w:t>
      </w:r>
      <w:r>
        <w:rPr>
          <w:spacing w:val="14"/>
        </w:rPr>
        <w:t xml:space="preserve"> </w:t>
      </w:r>
      <w:r>
        <w:t>afirmó</w:t>
      </w:r>
      <w:r>
        <w:rPr>
          <w:spacing w:val="14"/>
        </w:rPr>
        <w:t xml:space="preserve"> </w:t>
      </w:r>
      <w:r>
        <w:t>que</w:t>
      </w:r>
      <w:r>
        <w:rPr>
          <w:spacing w:val="14"/>
        </w:rPr>
        <w:t xml:space="preserve"> </w:t>
      </w:r>
      <w:r>
        <w:t>“a</w:t>
      </w:r>
      <w:r>
        <w:rPr>
          <w:spacing w:val="14"/>
        </w:rPr>
        <w:t xml:space="preserve"> </w:t>
      </w:r>
      <w:r>
        <w:t>menos</w:t>
      </w:r>
      <w:r>
        <w:rPr>
          <w:spacing w:val="14"/>
        </w:rPr>
        <w:t xml:space="preserve"> </w:t>
      </w:r>
      <w:r>
        <w:t>que</w:t>
      </w:r>
      <w:r>
        <w:rPr>
          <w:spacing w:val="14"/>
        </w:rPr>
        <w:t xml:space="preserve"> </w:t>
      </w:r>
      <w:r>
        <w:t>existan</w:t>
      </w:r>
      <w:r>
        <w:rPr>
          <w:spacing w:val="14"/>
        </w:rPr>
        <w:t xml:space="preserve"> </w:t>
      </w:r>
      <w:r>
        <w:t>diferencias</w:t>
      </w:r>
      <w:r>
        <w:rPr>
          <w:spacing w:val="14"/>
        </w:rPr>
        <w:t xml:space="preserve"> </w:t>
      </w:r>
      <w:r>
        <w:t>relevantes muy obvias entre las dos situaciones, es mejor concentrarse en las razones de la diferencia de trato y si equivalen a una justificación objetiva y razonable”252.</w:t>
      </w:r>
    </w:p>
    <w:p w14:paraId="6A873DAF" w14:textId="77777777" w:rsidR="0014798C" w:rsidRDefault="0014798C">
      <w:pPr>
        <w:pStyle w:val="Textoindependiente"/>
        <w:spacing w:before="172"/>
      </w:pPr>
    </w:p>
    <w:p w14:paraId="615652E4" w14:textId="77777777" w:rsidR="0014798C" w:rsidRDefault="004E1F0B">
      <w:pPr>
        <w:pStyle w:val="Textoindependiente"/>
        <w:spacing w:before="1"/>
        <w:ind w:left="1338"/>
      </w:pPr>
      <w:r>
        <w:t>Los</w:t>
      </w:r>
      <w:r>
        <w:rPr>
          <w:spacing w:val="5"/>
        </w:rPr>
        <w:t xml:space="preserve"> </w:t>
      </w:r>
      <w:r>
        <w:t>comparadores</w:t>
      </w:r>
      <w:r>
        <w:rPr>
          <w:spacing w:val="5"/>
        </w:rPr>
        <w:t xml:space="preserve"> </w:t>
      </w:r>
      <w:r>
        <w:t>son</w:t>
      </w:r>
      <w:r>
        <w:rPr>
          <w:spacing w:val="5"/>
        </w:rPr>
        <w:t xml:space="preserve"> </w:t>
      </w:r>
      <w:r>
        <w:t>sólo</w:t>
      </w:r>
      <w:r>
        <w:rPr>
          <w:spacing w:val="6"/>
        </w:rPr>
        <w:t xml:space="preserve"> </w:t>
      </w:r>
      <w:r>
        <w:t>un</w:t>
      </w:r>
      <w:r>
        <w:rPr>
          <w:spacing w:val="5"/>
        </w:rPr>
        <w:t xml:space="preserve"> </w:t>
      </w:r>
      <w:r>
        <w:t>medio</w:t>
      </w:r>
      <w:r>
        <w:rPr>
          <w:spacing w:val="5"/>
        </w:rPr>
        <w:t xml:space="preserve"> </w:t>
      </w:r>
      <w:r>
        <w:t>para</w:t>
      </w:r>
      <w:r>
        <w:rPr>
          <w:spacing w:val="5"/>
        </w:rPr>
        <w:t xml:space="preserve"> </w:t>
      </w:r>
      <w:r>
        <w:t>establecer</w:t>
      </w:r>
      <w:r>
        <w:rPr>
          <w:spacing w:val="6"/>
        </w:rPr>
        <w:t xml:space="preserve"> </w:t>
      </w:r>
      <w:r>
        <w:t>que</w:t>
      </w:r>
      <w:r>
        <w:rPr>
          <w:spacing w:val="5"/>
        </w:rPr>
        <w:t xml:space="preserve"> </w:t>
      </w:r>
      <w:r>
        <w:t>se</w:t>
      </w:r>
      <w:r>
        <w:rPr>
          <w:spacing w:val="5"/>
        </w:rPr>
        <w:t xml:space="preserve"> </w:t>
      </w:r>
      <w:r>
        <w:t>ha</w:t>
      </w:r>
      <w:r>
        <w:rPr>
          <w:spacing w:val="6"/>
        </w:rPr>
        <w:t xml:space="preserve"> </w:t>
      </w:r>
      <w:r>
        <w:t>producido</w:t>
      </w:r>
      <w:r>
        <w:rPr>
          <w:spacing w:val="5"/>
        </w:rPr>
        <w:t xml:space="preserve"> </w:t>
      </w:r>
      <w:r>
        <w:t>discriminación</w:t>
      </w:r>
      <w:r>
        <w:rPr>
          <w:spacing w:val="6"/>
        </w:rPr>
        <w:t xml:space="preserve"> </w:t>
      </w:r>
      <w:r>
        <w:t>directa</w:t>
      </w:r>
      <w:r>
        <w:rPr>
          <w:spacing w:val="5"/>
        </w:rPr>
        <w:t xml:space="preserve"> </w:t>
      </w:r>
      <w:r>
        <w:t>o</w:t>
      </w:r>
      <w:r>
        <w:rPr>
          <w:spacing w:val="6"/>
        </w:rPr>
        <w:t xml:space="preserve"> </w:t>
      </w:r>
      <w:r>
        <w:t>indirecta.</w:t>
      </w:r>
      <w:r>
        <w:rPr>
          <w:spacing w:val="6"/>
        </w:rPr>
        <w:t xml:space="preserve"> </w:t>
      </w:r>
      <w:r>
        <w:t>El</w:t>
      </w:r>
      <w:r>
        <w:rPr>
          <w:spacing w:val="5"/>
        </w:rPr>
        <w:t xml:space="preserve"> </w:t>
      </w:r>
      <w:r>
        <w:rPr>
          <w:spacing w:val="-2"/>
        </w:rPr>
        <w:t>Comité</w:t>
      </w:r>
    </w:p>
    <w:p w14:paraId="47B6D962" w14:textId="77777777" w:rsidR="0014798C" w:rsidRDefault="004E1F0B">
      <w:pPr>
        <w:pStyle w:val="Textoindependiente"/>
        <w:spacing w:before="65" w:line="271" w:lineRule="auto"/>
        <w:ind w:left="1332" w:right="1272" w:firstLine="5"/>
      </w:pPr>
      <w:r>
        <w:t>de Derechos Económicos, Sociales y Culturales y el Comité sobre los Derechos de las Personas con Discapacidad han señalado que la discriminación puede incluir “actos u omisiones perjudiciales por motivos prohibidos cuando no existe</w:t>
      </w:r>
    </w:p>
    <w:p w14:paraId="4CBE554D" w14:textId="77777777" w:rsidR="0014798C" w:rsidRDefault="004E1F0B">
      <w:pPr>
        <w:pStyle w:val="Textoindependiente"/>
        <w:spacing w:before="84" w:line="326" w:lineRule="auto"/>
        <w:ind w:left="1335" w:right="1626" w:hanging="2"/>
      </w:pPr>
      <w:r>
        <w:t>una situación similar comparable”.253 Este principio es fundamentalmente importante, ya que establecer un comparador (real o hipotético) puede ser difícil para</w:t>
      </w:r>
    </w:p>
    <w:p w14:paraId="3CDB3680" w14:textId="77777777" w:rsidR="0014798C" w:rsidRDefault="0014798C">
      <w:pPr>
        <w:pStyle w:val="Textoindependiente"/>
        <w:rPr>
          <w:sz w:val="10"/>
        </w:rPr>
      </w:pPr>
    </w:p>
    <w:p w14:paraId="40C6A9F0" w14:textId="77777777" w:rsidR="0014798C" w:rsidRDefault="0014798C">
      <w:pPr>
        <w:pStyle w:val="Textoindependiente"/>
        <w:rPr>
          <w:sz w:val="10"/>
        </w:rPr>
      </w:pPr>
    </w:p>
    <w:p w14:paraId="20722312" w14:textId="77777777" w:rsidR="0014798C" w:rsidRDefault="0014798C">
      <w:pPr>
        <w:pStyle w:val="Textoindependiente"/>
        <w:rPr>
          <w:sz w:val="10"/>
        </w:rPr>
      </w:pPr>
    </w:p>
    <w:p w14:paraId="55B83CEF" w14:textId="77777777" w:rsidR="0014798C" w:rsidRDefault="0014798C">
      <w:pPr>
        <w:pStyle w:val="Textoindependiente"/>
        <w:rPr>
          <w:sz w:val="10"/>
        </w:rPr>
      </w:pPr>
    </w:p>
    <w:p w14:paraId="18067D09" w14:textId="77777777" w:rsidR="0014798C" w:rsidRDefault="0014798C">
      <w:pPr>
        <w:pStyle w:val="Textoindependiente"/>
        <w:rPr>
          <w:sz w:val="10"/>
        </w:rPr>
      </w:pPr>
    </w:p>
    <w:p w14:paraId="4BF77E70" w14:textId="77777777" w:rsidR="0014798C" w:rsidRDefault="004E1F0B">
      <w:pPr>
        <w:ind w:left="1105"/>
        <w:rPr>
          <w:sz w:val="10"/>
        </w:rPr>
      </w:pPr>
      <w:r>
        <w:rPr>
          <w:w w:val="105"/>
          <w:sz w:val="10"/>
        </w:rPr>
        <w:t>247</w:t>
      </w:r>
      <w:r>
        <w:rPr>
          <w:spacing w:val="-3"/>
          <w:w w:val="105"/>
          <w:sz w:val="10"/>
        </w:rPr>
        <w:t xml:space="preserve"> </w:t>
      </w:r>
      <w:r>
        <w:rPr>
          <w:w w:val="105"/>
          <w:sz w:val="10"/>
        </w:rPr>
        <w:t>Véase</w:t>
      </w:r>
      <w:r>
        <w:rPr>
          <w:spacing w:val="-3"/>
          <w:w w:val="105"/>
          <w:sz w:val="10"/>
        </w:rPr>
        <w:t xml:space="preserve"> </w:t>
      </w:r>
      <w:r>
        <w:rPr>
          <w:w w:val="105"/>
          <w:sz w:val="10"/>
        </w:rPr>
        <w:t>en</w:t>
      </w:r>
      <w:r>
        <w:rPr>
          <w:spacing w:val="-3"/>
          <w:w w:val="105"/>
          <w:sz w:val="10"/>
        </w:rPr>
        <w:t xml:space="preserve"> </w:t>
      </w:r>
      <w:r>
        <w:rPr>
          <w:w w:val="105"/>
          <w:sz w:val="10"/>
        </w:rPr>
        <w:t>particular</w:t>
      </w:r>
      <w:r>
        <w:rPr>
          <w:spacing w:val="-3"/>
          <w:w w:val="105"/>
          <w:sz w:val="10"/>
        </w:rPr>
        <w:t xml:space="preserve"> </w:t>
      </w:r>
      <w:r>
        <w:rPr>
          <w:w w:val="105"/>
          <w:sz w:val="10"/>
        </w:rPr>
        <w:t>la</w:t>
      </w:r>
      <w:r>
        <w:rPr>
          <w:spacing w:val="-3"/>
          <w:w w:val="105"/>
          <w:sz w:val="10"/>
        </w:rPr>
        <w:t xml:space="preserve"> </w:t>
      </w:r>
      <w:r>
        <w:rPr>
          <w:w w:val="105"/>
          <w:sz w:val="10"/>
        </w:rPr>
        <w:t>sección</w:t>
      </w:r>
      <w:r>
        <w:rPr>
          <w:spacing w:val="-3"/>
          <w:w w:val="105"/>
          <w:sz w:val="10"/>
        </w:rPr>
        <w:t xml:space="preserve"> </w:t>
      </w:r>
      <w:r>
        <w:rPr>
          <w:w w:val="105"/>
          <w:sz w:val="10"/>
        </w:rPr>
        <w:t>IA4(b)</w:t>
      </w:r>
      <w:r>
        <w:rPr>
          <w:spacing w:val="-3"/>
          <w:w w:val="105"/>
          <w:sz w:val="10"/>
        </w:rPr>
        <w:t xml:space="preserve"> </w:t>
      </w:r>
      <w:r>
        <w:rPr>
          <w:w w:val="105"/>
          <w:sz w:val="10"/>
        </w:rPr>
        <w:t>de</w:t>
      </w:r>
      <w:r>
        <w:rPr>
          <w:spacing w:val="-3"/>
          <w:w w:val="105"/>
          <w:sz w:val="10"/>
        </w:rPr>
        <w:t xml:space="preserve"> </w:t>
      </w:r>
      <w:r>
        <w:rPr>
          <w:w w:val="105"/>
          <w:sz w:val="10"/>
        </w:rPr>
        <w:t>la</w:t>
      </w:r>
      <w:r>
        <w:rPr>
          <w:spacing w:val="-2"/>
          <w:w w:val="105"/>
          <w:sz w:val="10"/>
        </w:rPr>
        <w:t xml:space="preserve"> </w:t>
      </w:r>
      <w:r>
        <w:rPr>
          <w:w w:val="105"/>
          <w:sz w:val="10"/>
        </w:rPr>
        <w:t>segunda</w:t>
      </w:r>
      <w:r>
        <w:rPr>
          <w:spacing w:val="-3"/>
          <w:w w:val="105"/>
          <w:sz w:val="10"/>
        </w:rPr>
        <w:t xml:space="preserve"> </w:t>
      </w:r>
      <w:r>
        <w:rPr>
          <w:w w:val="105"/>
          <w:sz w:val="10"/>
        </w:rPr>
        <w:t>parte</w:t>
      </w:r>
      <w:r>
        <w:rPr>
          <w:spacing w:val="-3"/>
          <w:w w:val="105"/>
          <w:sz w:val="10"/>
        </w:rPr>
        <w:t xml:space="preserve"> </w:t>
      </w:r>
      <w:r>
        <w:rPr>
          <w:w w:val="105"/>
          <w:sz w:val="10"/>
        </w:rPr>
        <w:t>de</w:t>
      </w:r>
      <w:r>
        <w:rPr>
          <w:spacing w:val="-3"/>
          <w:w w:val="105"/>
          <w:sz w:val="10"/>
        </w:rPr>
        <w:t xml:space="preserve"> </w:t>
      </w:r>
      <w:r>
        <w:rPr>
          <w:w w:val="105"/>
          <w:sz w:val="10"/>
        </w:rPr>
        <w:t>la</w:t>
      </w:r>
      <w:r>
        <w:rPr>
          <w:spacing w:val="-3"/>
          <w:w w:val="105"/>
          <w:sz w:val="10"/>
        </w:rPr>
        <w:t xml:space="preserve"> </w:t>
      </w:r>
      <w:r>
        <w:rPr>
          <w:w w:val="105"/>
          <w:sz w:val="10"/>
        </w:rPr>
        <w:t>presente</w:t>
      </w:r>
      <w:r>
        <w:rPr>
          <w:spacing w:val="-3"/>
          <w:w w:val="105"/>
          <w:sz w:val="10"/>
        </w:rPr>
        <w:t xml:space="preserve"> </w:t>
      </w:r>
      <w:r>
        <w:rPr>
          <w:spacing w:val="-2"/>
          <w:w w:val="105"/>
          <w:sz w:val="10"/>
        </w:rPr>
        <w:t>guía.</w:t>
      </w:r>
    </w:p>
    <w:p w14:paraId="70BA630E" w14:textId="77777777" w:rsidR="0014798C" w:rsidRDefault="0014798C">
      <w:pPr>
        <w:rPr>
          <w:sz w:val="10"/>
        </w:rPr>
        <w:sectPr w:rsidR="0014798C" w:rsidSect="00F265E4">
          <w:pgSz w:w="11900" w:h="16820"/>
          <w:pgMar w:top="340" w:right="0" w:bottom="280" w:left="200" w:header="121" w:footer="0" w:gutter="0"/>
          <w:cols w:space="720"/>
        </w:sectPr>
      </w:pPr>
    </w:p>
    <w:p w14:paraId="3976FE28" w14:textId="77777777" w:rsidR="0014798C" w:rsidRDefault="004E1F0B">
      <w:pPr>
        <w:spacing w:before="57"/>
        <w:jc w:val="right"/>
        <w:rPr>
          <w:sz w:val="8"/>
        </w:rPr>
      </w:pPr>
      <w:r>
        <w:rPr>
          <w:spacing w:val="-5"/>
          <w:w w:val="105"/>
          <w:sz w:val="8"/>
        </w:rPr>
        <w:t>248</w:t>
      </w:r>
    </w:p>
    <w:p w14:paraId="250117EE" w14:textId="77777777" w:rsidR="0014798C" w:rsidRDefault="0014798C">
      <w:pPr>
        <w:pStyle w:val="Textoindependiente"/>
        <w:rPr>
          <w:sz w:val="8"/>
        </w:rPr>
      </w:pPr>
    </w:p>
    <w:p w14:paraId="35FFBF4E" w14:textId="77777777" w:rsidR="0014798C" w:rsidRDefault="0014798C">
      <w:pPr>
        <w:pStyle w:val="Textoindependiente"/>
        <w:rPr>
          <w:sz w:val="8"/>
        </w:rPr>
      </w:pPr>
    </w:p>
    <w:p w14:paraId="2F5AF5DE" w14:textId="77777777" w:rsidR="0014798C" w:rsidRDefault="0014798C">
      <w:pPr>
        <w:pStyle w:val="Textoindependiente"/>
        <w:rPr>
          <w:sz w:val="8"/>
        </w:rPr>
      </w:pPr>
    </w:p>
    <w:p w14:paraId="4F971A04" w14:textId="77777777" w:rsidR="0014798C" w:rsidRDefault="0014798C">
      <w:pPr>
        <w:pStyle w:val="Textoindependiente"/>
        <w:rPr>
          <w:sz w:val="8"/>
        </w:rPr>
      </w:pPr>
    </w:p>
    <w:p w14:paraId="72CDF985" w14:textId="77777777" w:rsidR="0014798C" w:rsidRDefault="0014798C">
      <w:pPr>
        <w:pStyle w:val="Textoindependiente"/>
        <w:rPr>
          <w:sz w:val="8"/>
        </w:rPr>
      </w:pPr>
    </w:p>
    <w:p w14:paraId="62EA5D00" w14:textId="77777777" w:rsidR="0014798C" w:rsidRDefault="0014798C">
      <w:pPr>
        <w:pStyle w:val="Textoindependiente"/>
        <w:rPr>
          <w:sz w:val="8"/>
        </w:rPr>
      </w:pPr>
    </w:p>
    <w:p w14:paraId="53FEA23D" w14:textId="77777777" w:rsidR="0014798C" w:rsidRDefault="0014798C">
      <w:pPr>
        <w:pStyle w:val="Textoindependiente"/>
        <w:rPr>
          <w:sz w:val="8"/>
        </w:rPr>
      </w:pPr>
    </w:p>
    <w:p w14:paraId="6AA2E4CF" w14:textId="77777777" w:rsidR="0014798C" w:rsidRDefault="0014798C">
      <w:pPr>
        <w:pStyle w:val="Textoindependiente"/>
        <w:rPr>
          <w:sz w:val="8"/>
        </w:rPr>
      </w:pPr>
    </w:p>
    <w:p w14:paraId="0630D390" w14:textId="77777777" w:rsidR="0014798C" w:rsidRDefault="0014798C">
      <w:pPr>
        <w:pStyle w:val="Textoindependiente"/>
        <w:rPr>
          <w:sz w:val="8"/>
        </w:rPr>
      </w:pPr>
    </w:p>
    <w:p w14:paraId="1A30E02E" w14:textId="77777777" w:rsidR="0014798C" w:rsidRDefault="0014798C">
      <w:pPr>
        <w:pStyle w:val="Textoindependiente"/>
        <w:rPr>
          <w:sz w:val="8"/>
        </w:rPr>
      </w:pPr>
    </w:p>
    <w:p w14:paraId="60150646" w14:textId="77777777" w:rsidR="0014798C" w:rsidRDefault="0014798C">
      <w:pPr>
        <w:pStyle w:val="Textoindependiente"/>
        <w:rPr>
          <w:sz w:val="8"/>
        </w:rPr>
      </w:pPr>
    </w:p>
    <w:p w14:paraId="219E82CC" w14:textId="77777777" w:rsidR="0014798C" w:rsidRDefault="0014798C">
      <w:pPr>
        <w:pStyle w:val="Textoindependiente"/>
        <w:rPr>
          <w:sz w:val="8"/>
        </w:rPr>
      </w:pPr>
    </w:p>
    <w:p w14:paraId="590C9E01" w14:textId="77777777" w:rsidR="0014798C" w:rsidRDefault="0014798C">
      <w:pPr>
        <w:pStyle w:val="Textoindependiente"/>
        <w:spacing w:before="28"/>
        <w:rPr>
          <w:sz w:val="8"/>
        </w:rPr>
      </w:pPr>
    </w:p>
    <w:p w14:paraId="54167AA8" w14:textId="77777777" w:rsidR="0014798C" w:rsidRDefault="004E1F0B">
      <w:pPr>
        <w:jc w:val="right"/>
        <w:rPr>
          <w:sz w:val="8"/>
        </w:rPr>
      </w:pPr>
      <w:r>
        <w:rPr>
          <w:spacing w:val="-5"/>
          <w:w w:val="105"/>
          <w:sz w:val="8"/>
        </w:rPr>
        <w:t>249</w:t>
      </w:r>
    </w:p>
    <w:p w14:paraId="7D6C6741" w14:textId="77777777" w:rsidR="0014798C" w:rsidRDefault="0014798C">
      <w:pPr>
        <w:pStyle w:val="Textoindependiente"/>
        <w:rPr>
          <w:sz w:val="8"/>
        </w:rPr>
      </w:pPr>
    </w:p>
    <w:p w14:paraId="42C21BDA" w14:textId="77777777" w:rsidR="0014798C" w:rsidRDefault="0014798C">
      <w:pPr>
        <w:pStyle w:val="Textoindependiente"/>
        <w:rPr>
          <w:sz w:val="8"/>
        </w:rPr>
      </w:pPr>
    </w:p>
    <w:p w14:paraId="2BB3621F" w14:textId="77777777" w:rsidR="0014798C" w:rsidRDefault="0014798C">
      <w:pPr>
        <w:pStyle w:val="Textoindependiente"/>
        <w:spacing w:before="48"/>
        <w:rPr>
          <w:sz w:val="8"/>
        </w:rPr>
      </w:pPr>
    </w:p>
    <w:p w14:paraId="1BC816A1" w14:textId="77777777" w:rsidR="0014798C" w:rsidRDefault="004E1F0B">
      <w:pPr>
        <w:jc w:val="right"/>
        <w:rPr>
          <w:sz w:val="8"/>
        </w:rPr>
      </w:pPr>
      <w:r>
        <w:rPr>
          <w:spacing w:val="-5"/>
          <w:w w:val="105"/>
          <w:sz w:val="8"/>
        </w:rPr>
        <w:t>250</w:t>
      </w:r>
    </w:p>
    <w:p w14:paraId="6618F062" w14:textId="77777777" w:rsidR="0014798C" w:rsidRDefault="004E1F0B">
      <w:pPr>
        <w:spacing w:before="87" w:line="312" w:lineRule="auto"/>
        <w:ind w:left="78" w:right="1786" w:firstLine="2"/>
        <w:rPr>
          <w:sz w:val="12"/>
        </w:rPr>
      </w:pPr>
      <w:r>
        <w:br w:type="column"/>
      </w:r>
      <w:r>
        <w:rPr>
          <w:w w:val="105"/>
          <w:sz w:val="12"/>
        </w:rPr>
        <w:t>Tribunal</w:t>
      </w:r>
      <w:r>
        <w:rPr>
          <w:spacing w:val="-9"/>
          <w:w w:val="105"/>
          <w:sz w:val="12"/>
        </w:rPr>
        <w:t xml:space="preserve"> </w:t>
      </w:r>
      <w:r>
        <w:rPr>
          <w:w w:val="105"/>
          <w:sz w:val="12"/>
        </w:rPr>
        <w:t>Europeo</w:t>
      </w:r>
      <w:r>
        <w:rPr>
          <w:spacing w:val="-9"/>
          <w:w w:val="105"/>
          <w:sz w:val="12"/>
        </w:rPr>
        <w:t xml:space="preserve"> </w:t>
      </w:r>
      <w:r>
        <w:rPr>
          <w:w w:val="105"/>
          <w:sz w:val="12"/>
        </w:rPr>
        <w:t>de</w:t>
      </w:r>
      <w:r>
        <w:rPr>
          <w:spacing w:val="-9"/>
          <w:w w:val="105"/>
          <w:sz w:val="12"/>
        </w:rPr>
        <w:t xml:space="preserve"> </w:t>
      </w:r>
      <w:r>
        <w:rPr>
          <w:w w:val="105"/>
          <w:sz w:val="12"/>
        </w:rPr>
        <w:t>Derechos</w:t>
      </w:r>
      <w:r>
        <w:rPr>
          <w:spacing w:val="-8"/>
          <w:w w:val="105"/>
          <w:sz w:val="12"/>
        </w:rPr>
        <w:t xml:space="preserve"> </w:t>
      </w:r>
      <w:r>
        <w:rPr>
          <w:w w:val="105"/>
          <w:sz w:val="12"/>
        </w:rPr>
        <w:t>Humanos,</w:t>
      </w:r>
      <w:r>
        <w:rPr>
          <w:spacing w:val="-9"/>
          <w:w w:val="105"/>
          <w:sz w:val="12"/>
        </w:rPr>
        <w:t xml:space="preserve"> </w:t>
      </w:r>
      <w:r>
        <w:rPr>
          <w:w w:val="105"/>
          <w:sz w:val="12"/>
        </w:rPr>
        <w:t>Molla</w:t>
      </w:r>
      <w:r>
        <w:rPr>
          <w:spacing w:val="-9"/>
          <w:w w:val="105"/>
          <w:sz w:val="12"/>
        </w:rPr>
        <w:t xml:space="preserve"> </w:t>
      </w:r>
      <w:r>
        <w:rPr>
          <w:w w:val="105"/>
          <w:sz w:val="12"/>
        </w:rPr>
        <w:t>Sali</w:t>
      </w:r>
      <w:r>
        <w:rPr>
          <w:spacing w:val="-9"/>
          <w:w w:val="105"/>
          <w:sz w:val="12"/>
        </w:rPr>
        <w:t xml:space="preserve"> </w:t>
      </w:r>
      <w:r>
        <w:rPr>
          <w:w w:val="105"/>
          <w:sz w:val="12"/>
        </w:rPr>
        <w:t>c.</w:t>
      </w:r>
      <w:r>
        <w:rPr>
          <w:spacing w:val="-9"/>
          <w:w w:val="105"/>
          <w:sz w:val="12"/>
        </w:rPr>
        <w:t xml:space="preserve"> </w:t>
      </w:r>
      <w:r>
        <w:rPr>
          <w:w w:val="105"/>
          <w:sz w:val="12"/>
        </w:rPr>
        <w:t>Grecia,</w:t>
      </w:r>
      <w:r>
        <w:rPr>
          <w:spacing w:val="-8"/>
          <w:w w:val="105"/>
          <w:sz w:val="12"/>
        </w:rPr>
        <w:t xml:space="preserve"> </w:t>
      </w:r>
      <w:r>
        <w:rPr>
          <w:w w:val="105"/>
          <w:sz w:val="12"/>
        </w:rPr>
        <w:t>solicitud</w:t>
      </w:r>
      <w:r>
        <w:rPr>
          <w:spacing w:val="-9"/>
          <w:w w:val="105"/>
          <w:sz w:val="12"/>
        </w:rPr>
        <w:t xml:space="preserve"> </w:t>
      </w:r>
      <w:r>
        <w:rPr>
          <w:w w:val="105"/>
          <w:sz w:val="12"/>
        </w:rPr>
        <w:t>n.º</w:t>
      </w:r>
      <w:r>
        <w:rPr>
          <w:spacing w:val="-9"/>
          <w:w w:val="105"/>
          <w:sz w:val="12"/>
        </w:rPr>
        <w:t xml:space="preserve"> </w:t>
      </w:r>
      <w:r>
        <w:rPr>
          <w:w w:val="105"/>
          <w:sz w:val="12"/>
        </w:rPr>
        <w:t>20452/14,</w:t>
      </w:r>
      <w:r>
        <w:rPr>
          <w:spacing w:val="-9"/>
          <w:w w:val="105"/>
          <w:sz w:val="12"/>
        </w:rPr>
        <w:t xml:space="preserve"> </w:t>
      </w:r>
      <w:r>
        <w:rPr>
          <w:w w:val="105"/>
          <w:sz w:val="12"/>
        </w:rPr>
        <w:t>sentencia</w:t>
      </w:r>
      <w:r>
        <w:rPr>
          <w:spacing w:val="-8"/>
          <w:w w:val="105"/>
          <w:sz w:val="12"/>
        </w:rPr>
        <w:t xml:space="preserve"> </w:t>
      </w:r>
      <w:r>
        <w:rPr>
          <w:w w:val="105"/>
          <w:sz w:val="12"/>
        </w:rPr>
        <w:t>de</w:t>
      </w:r>
      <w:r>
        <w:rPr>
          <w:spacing w:val="-9"/>
          <w:w w:val="105"/>
          <w:sz w:val="12"/>
        </w:rPr>
        <w:t xml:space="preserve"> </w:t>
      </w:r>
      <w:r>
        <w:rPr>
          <w:w w:val="105"/>
          <w:sz w:val="12"/>
        </w:rPr>
        <w:t>19</w:t>
      </w:r>
      <w:r>
        <w:rPr>
          <w:spacing w:val="-9"/>
          <w:w w:val="105"/>
          <w:sz w:val="12"/>
        </w:rPr>
        <w:t xml:space="preserve"> </w:t>
      </w:r>
      <w:r>
        <w:rPr>
          <w:w w:val="105"/>
          <w:sz w:val="12"/>
        </w:rPr>
        <w:t>de</w:t>
      </w:r>
      <w:r>
        <w:rPr>
          <w:spacing w:val="-9"/>
          <w:w w:val="105"/>
          <w:sz w:val="12"/>
        </w:rPr>
        <w:t xml:space="preserve"> </w:t>
      </w:r>
      <w:r>
        <w:rPr>
          <w:w w:val="105"/>
          <w:sz w:val="12"/>
        </w:rPr>
        <w:t>diciembre</w:t>
      </w:r>
      <w:r>
        <w:rPr>
          <w:spacing w:val="-8"/>
          <w:w w:val="105"/>
          <w:sz w:val="12"/>
        </w:rPr>
        <w:t xml:space="preserve"> </w:t>
      </w:r>
      <w:r>
        <w:rPr>
          <w:w w:val="105"/>
          <w:sz w:val="12"/>
        </w:rPr>
        <w:t>de</w:t>
      </w:r>
      <w:r>
        <w:rPr>
          <w:spacing w:val="-9"/>
          <w:w w:val="105"/>
          <w:sz w:val="12"/>
        </w:rPr>
        <w:t xml:space="preserve"> </w:t>
      </w:r>
      <w:r>
        <w:rPr>
          <w:w w:val="105"/>
          <w:sz w:val="12"/>
        </w:rPr>
        <w:t>2018,</w:t>
      </w:r>
      <w:r>
        <w:rPr>
          <w:spacing w:val="-9"/>
          <w:w w:val="105"/>
          <w:sz w:val="12"/>
        </w:rPr>
        <w:t xml:space="preserve"> </w:t>
      </w:r>
      <w:r>
        <w:rPr>
          <w:w w:val="105"/>
          <w:sz w:val="12"/>
        </w:rPr>
        <w:t>párr.</w:t>
      </w:r>
      <w:r>
        <w:rPr>
          <w:spacing w:val="-9"/>
          <w:w w:val="105"/>
          <w:sz w:val="12"/>
        </w:rPr>
        <w:t xml:space="preserve"> </w:t>
      </w:r>
      <w:r>
        <w:rPr>
          <w:sz w:val="12"/>
        </w:rPr>
        <w:t>133;</w:t>
      </w:r>
      <w:r>
        <w:rPr>
          <w:spacing w:val="-8"/>
          <w:sz w:val="12"/>
        </w:rPr>
        <w:t xml:space="preserve"> </w:t>
      </w:r>
      <w:proofErr w:type="spellStart"/>
      <w:r>
        <w:rPr>
          <w:w w:val="105"/>
          <w:sz w:val="12"/>
        </w:rPr>
        <w:t>Fábián</w:t>
      </w:r>
      <w:proofErr w:type="spellEnd"/>
      <w:r>
        <w:rPr>
          <w:spacing w:val="-9"/>
          <w:w w:val="105"/>
          <w:sz w:val="12"/>
        </w:rPr>
        <w:t xml:space="preserve"> </w:t>
      </w:r>
      <w:r>
        <w:rPr>
          <w:w w:val="105"/>
          <w:sz w:val="12"/>
        </w:rPr>
        <w:t>c.</w:t>
      </w:r>
      <w:r>
        <w:rPr>
          <w:spacing w:val="-8"/>
          <w:w w:val="105"/>
          <w:sz w:val="12"/>
        </w:rPr>
        <w:t xml:space="preserve"> </w:t>
      </w:r>
      <w:r>
        <w:rPr>
          <w:w w:val="105"/>
          <w:sz w:val="12"/>
        </w:rPr>
        <w:t>Hungría,</w:t>
      </w:r>
      <w:r>
        <w:rPr>
          <w:spacing w:val="40"/>
          <w:w w:val="105"/>
          <w:sz w:val="12"/>
        </w:rPr>
        <w:t xml:space="preserve"> </w:t>
      </w:r>
      <w:r>
        <w:rPr>
          <w:spacing w:val="-2"/>
          <w:w w:val="105"/>
          <w:sz w:val="12"/>
        </w:rPr>
        <w:t xml:space="preserve">Solicitud n.º 78117/13, Sentencia de 5 de septiembre de 2017, párr. </w:t>
      </w:r>
      <w:r>
        <w:rPr>
          <w:spacing w:val="-2"/>
          <w:sz w:val="12"/>
        </w:rPr>
        <w:t xml:space="preserve">113; </w:t>
      </w:r>
      <w:proofErr w:type="spellStart"/>
      <w:r>
        <w:rPr>
          <w:spacing w:val="-2"/>
          <w:w w:val="105"/>
          <w:sz w:val="12"/>
        </w:rPr>
        <w:t>Khamtokhu</w:t>
      </w:r>
      <w:proofErr w:type="spellEnd"/>
      <w:r>
        <w:rPr>
          <w:spacing w:val="-2"/>
          <w:w w:val="105"/>
          <w:sz w:val="12"/>
        </w:rPr>
        <w:t xml:space="preserve"> y </w:t>
      </w:r>
      <w:proofErr w:type="spellStart"/>
      <w:r>
        <w:rPr>
          <w:spacing w:val="-2"/>
          <w:w w:val="105"/>
          <w:sz w:val="12"/>
        </w:rPr>
        <w:t>Aksenchik</w:t>
      </w:r>
      <w:proofErr w:type="spellEnd"/>
      <w:r>
        <w:rPr>
          <w:spacing w:val="-2"/>
          <w:w w:val="105"/>
          <w:sz w:val="12"/>
        </w:rPr>
        <w:t xml:space="preserve"> c. Rusia, solicitudes </w:t>
      </w:r>
      <w:proofErr w:type="spellStart"/>
      <w:r>
        <w:rPr>
          <w:spacing w:val="-2"/>
          <w:w w:val="105"/>
          <w:sz w:val="12"/>
        </w:rPr>
        <w:t>núms</w:t>
      </w:r>
      <w:proofErr w:type="spellEnd"/>
      <w:r>
        <w:rPr>
          <w:spacing w:val="-2"/>
          <w:w w:val="105"/>
          <w:sz w:val="12"/>
        </w:rPr>
        <w:t>. 60367/08 y 961/11, sentencia</w:t>
      </w:r>
      <w:r>
        <w:rPr>
          <w:spacing w:val="40"/>
          <w:w w:val="105"/>
          <w:sz w:val="12"/>
        </w:rPr>
        <w:t xml:space="preserve"> </w:t>
      </w:r>
      <w:r>
        <w:rPr>
          <w:spacing w:val="-2"/>
          <w:w w:val="105"/>
          <w:sz w:val="12"/>
        </w:rPr>
        <w:t xml:space="preserve">de 24 de enero de 2017, párr. </w:t>
      </w:r>
      <w:r>
        <w:rPr>
          <w:spacing w:val="-2"/>
          <w:sz w:val="12"/>
        </w:rPr>
        <w:t xml:space="preserve">64; </w:t>
      </w:r>
      <w:r>
        <w:rPr>
          <w:spacing w:val="-2"/>
          <w:w w:val="105"/>
          <w:sz w:val="12"/>
        </w:rPr>
        <w:t xml:space="preserve">X y otros c. Austria, Solicitud No. 19010/07, Sentencia, 19 de febrero de 2013, párr. </w:t>
      </w:r>
      <w:r>
        <w:rPr>
          <w:spacing w:val="-2"/>
          <w:sz w:val="12"/>
        </w:rPr>
        <w:t xml:space="preserve">98; </w:t>
      </w:r>
      <w:proofErr w:type="spellStart"/>
      <w:r>
        <w:rPr>
          <w:spacing w:val="-2"/>
          <w:w w:val="105"/>
          <w:sz w:val="12"/>
        </w:rPr>
        <w:t>Konstantin</w:t>
      </w:r>
      <w:proofErr w:type="spellEnd"/>
      <w:r>
        <w:rPr>
          <w:spacing w:val="-2"/>
          <w:w w:val="105"/>
          <w:sz w:val="12"/>
        </w:rPr>
        <w:t xml:space="preserve"> </w:t>
      </w:r>
      <w:proofErr w:type="spellStart"/>
      <w:r>
        <w:rPr>
          <w:spacing w:val="-2"/>
          <w:w w:val="105"/>
          <w:sz w:val="12"/>
        </w:rPr>
        <w:t>Markin</w:t>
      </w:r>
      <w:proofErr w:type="spellEnd"/>
      <w:r>
        <w:rPr>
          <w:spacing w:val="-2"/>
          <w:w w:val="105"/>
          <w:sz w:val="12"/>
        </w:rPr>
        <w:t xml:space="preserve"> c. Rusia,</w:t>
      </w:r>
    </w:p>
    <w:p w14:paraId="65CACDE5" w14:textId="77777777" w:rsidR="0014798C" w:rsidRDefault="004E1F0B">
      <w:pPr>
        <w:spacing w:before="1" w:line="312" w:lineRule="auto"/>
        <w:ind w:left="78" w:right="1553" w:firstLine="11"/>
        <w:rPr>
          <w:sz w:val="12"/>
        </w:rPr>
      </w:pPr>
      <w:r>
        <w:rPr>
          <w:w w:val="105"/>
          <w:sz w:val="12"/>
        </w:rPr>
        <w:t>solicitud</w:t>
      </w:r>
      <w:r>
        <w:rPr>
          <w:spacing w:val="-9"/>
          <w:w w:val="105"/>
          <w:sz w:val="12"/>
        </w:rPr>
        <w:t xml:space="preserve"> </w:t>
      </w:r>
      <w:r>
        <w:rPr>
          <w:w w:val="105"/>
          <w:sz w:val="12"/>
        </w:rPr>
        <w:t>n.º</w:t>
      </w:r>
      <w:r>
        <w:rPr>
          <w:spacing w:val="-9"/>
          <w:w w:val="105"/>
          <w:sz w:val="12"/>
        </w:rPr>
        <w:t xml:space="preserve"> </w:t>
      </w:r>
      <w:r>
        <w:rPr>
          <w:w w:val="105"/>
          <w:sz w:val="12"/>
        </w:rPr>
        <w:t>30078/06,</w:t>
      </w:r>
      <w:r>
        <w:rPr>
          <w:spacing w:val="-9"/>
          <w:w w:val="105"/>
          <w:sz w:val="12"/>
        </w:rPr>
        <w:t xml:space="preserve"> </w:t>
      </w:r>
      <w:r>
        <w:rPr>
          <w:w w:val="105"/>
          <w:sz w:val="12"/>
        </w:rPr>
        <w:t>sentencia</w:t>
      </w:r>
      <w:r>
        <w:rPr>
          <w:spacing w:val="-8"/>
          <w:w w:val="105"/>
          <w:sz w:val="12"/>
        </w:rPr>
        <w:t xml:space="preserve"> </w:t>
      </w:r>
      <w:r>
        <w:rPr>
          <w:w w:val="105"/>
          <w:sz w:val="12"/>
        </w:rPr>
        <w:t>de</w:t>
      </w:r>
      <w:r>
        <w:rPr>
          <w:spacing w:val="-9"/>
          <w:w w:val="105"/>
          <w:sz w:val="12"/>
        </w:rPr>
        <w:t xml:space="preserve"> </w:t>
      </w:r>
      <w:r>
        <w:rPr>
          <w:w w:val="105"/>
          <w:sz w:val="12"/>
        </w:rPr>
        <w:t>22</w:t>
      </w:r>
      <w:r>
        <w:rPr>
          <w:spacing w:val="-9"/>
          <w:w w:val="105"/>
          <w:sz w:val="12"/>
        </w:rPr>
        <w:t xml:space="preserve"> </w:t>
      </w:r>
      <w:r>
        <w:rPr>
          <w:w w:val="105"/>
          <w:sz w:val="12"/>
        </w:rPr>
        <w:t>de</w:t>
      </w:r>
      <w:r>
        <w:rPr>
          <w:spacing w:val="-9"/>
          <w:w w:val="105"/>
          <w:sz w:val="12"/>
        </w:rPr>
        <w:t xml:space="preserve"> </w:t>
      </w:r>
      <w:r>
        <w:rPr>
          <w:w w:val="105"/>
          <w:sz w:val="12"/>
        </w:rPr>
        <w:t>marzo</w:t>
      </w:r>
      <w:r>
        <w:rPr>
          <w:spacing w:val="-9"/>
          <w:w w:val="105"/>
          <w:sz w:val="12"/>
        </w:rPr>
        <w:t xml:space="preserve"> </w:t>
      </w:r>
      <w:r>
        <w:rPr>
          <w:w w:val="105"/>
          <w:sz w:val="12"/>
        </w:rPr>
        <w:t>de</w:t>
      </w:r>
      <w:r>
        <w:rPr>
          <w:spacing w:val="-8"/>
          <w:w w:val="105"/>
          <w:sz w:val="12"/>
        </w:rPr>
        <w:t xml:space="preserve"> </w:t>
      </w:r>
      <w:r>
        <w:rPr>
          <w:w w:val="105"/>
          <w:sz w:val="12"/>
        </w:rPr>
        <w:t>2012,</w:t>
      </w:r>
      <w:r>
        <w:rPr>
          <w:spacing w:val="-9"/>
          <w:w w:val="105"/>
          <w:sz w:val="12"/>
        </w:rPr>
        <w:t xml:space="preserve"> </w:t>
      </w:r>
      <w:r>
        <w:rPr>
          <w:w w:val="105"/>
          <w:sz w:val="12"/>
        </w:rPr>
        <w:t>párr.</w:t>
      </w:r>
      <w:r>
        <w:rPr>
          <w:spacing w:val="-9"/>
          <w:w w:val="105"/>
          <w:sz w:val="12"/>
        </w:rPr>
        <w:t xml:space="preserve"> </w:t>
      </w:r>
      <w:r>
        <w:rPr>
          <w:sz w:val="12"/>
        </w:rPr>
        <w:t>125;</w:t>
      </w:r>
      <w:r>
        <w:rPr>
          <w:spacing w:val="-8"/>
          <w:sz w:val="12"/>
        </w:rPr>
        <w:t xml:space="preserve"> </w:t>
      </w:r>
      <w:proofErr w:type="spellStart"/>
      <w:r>
        <w:rPr>
          <w:w w:val="105"/>
          <w:sz w:val="12"/>
        </w:rPr>
        <w:t>Burden</w:t>
      </w:r>
      <w:proofErr w:type="spellEnd"/>
      <w:r>
        <w:rPr>
          <w:spacing w:val="-9"/>
          <w:w w:val="105"/>
          <w:sz w:val="12"/>
        </w:rPr>
        <w:t xml:space="preserve"> </w:t>
      </w:r>
      <w:r>
        <w:rPr>
          <w:w w:val="105"/>
          <w:sz w:val="12"/>
        </w:rPr>
        <w:t>c.</w:t>
      </w:r>
      <w:r>
        <w:rPr>
          <w:spacing w:val="-9"/>
          <w:w w:val="105"/>
          <w:sz w:val="12"/>
        </w:rPr>
        <w:t xml:space="preserve"> </w:t>
      </w:r>
      <w:r>
        <w:rPr>
          <w:w w:val="105"/>
          <w:sz w:val="12"/>
        </w:rPr>
        <w:t>el</w:t>
      </w:r>
      <w:r>
        <w:rPr>
          <w:spacing w:val="-8"/>
          <w:w w:val="105"/>
          <w:sz w:val="12"/>
        </w:rPr>
        <w:t xml:space="preserve"> </w:t>
      </w:r>
      <w:r>
        <w:rPr>
          <w:w w:val="105"/>
          <w:sz w:val="12"/>
        </w:rPr>
        <w:t>Reino</w:t>
      </w:r>
      <w:r>
        <w:rPr>
          <w:spacing w:val="-9"/>
          <w:w w:val="105"/>
          <w:sz w:val="12"/>
        </w:rPr>
        <w:t xml:space="preserve"> </w:t>
      </w:r>
      <w:r>
        <w:rPr>
          <w:w w:val="105"/>
          <w:sz w:val="12"/>
        </w:rPr>
        <w:t>Unido,</w:t>
      </w:r>
      <w:r>
        <w:rPr>
          <w:spacing w:val="-9"/>
          <w:w w:val="105"/>
          <w:sz w:val="12"/>
        </w:rPr>
        <w:t xml:space="preserve"> </w:t>
      </w:r>
      <w:r>
        <w:rPr>
          <w:w w:val="105"/>
          <w:sz w:val="12"/>
        </w:rPr>
        <w:t>Solicitud</w:t>
      </w:r>
      <w:r>
        <w:rPr>
          <w:spacing w:val="-9"/>
          <w:w w:val="105"/>
          <w:sz w:val="12"/>
        </w:rPr>
        <w:t xml:space="preserve"> </w:t>
      </w:r>
      <w:r>
        <w:rPr>
          <w:w w:val="105"/>
          <w:sz w:val="12"/>
        </w:rPr>
        <w:t>No.</w:t>
      </w:r>
      <w:r>
        <w:rPr>
          <w:spacing w:val="-8"/>
          <w:w w:val="105"/>
          <w:sz w:val="12"/>
        </w:rPr>
        <w:t xml:space="preserve"> </w:t>
      </w:r>
      <w:r>
        <w:rPr>
          <w:w w:val="105"/>
          <w:sz w:val="12"/>
        </w:rPr>
        <w:t>13378/08,</w:t>
      </w:r>
      <w:r>
        <w:rPr>
          <w:spacing w:val="-9"/>
          <w:w w:val="105"/>
          <w:sz w:val="12"/>
        </w:rPr>
        <w:t xml:space="preserve"> </w:t>
      </w:r>
      <w:r>
        <w:rPr>
          <w:w w:val="105"/>
          <w:sz w:val="12"/>
        </w:rPr>
        <w:t>Sentencia</w:t>
      </w:r>
      <w:r>
        <w:rPr>
          <w:spacing w:val="-9"/>
          <w:w w:val="105"/>
          <w:sz w:val="12"/>
        </w:rPr>
        <w:t xml:space="preserve"> </w:t>
      </w:r>
      <w:r>
        <w:rPr>
          <w:w w:val="105"/>
          <w:sz w:val="12"/>
        </w:rPr>
        <w:t>de</w:t>
      </w:r>
      <w:r>
        <w:rPr>
          <w:spacing w:val="-9"/>
          <w:w w:val="105"/>
          <w:sz w:val="12"/>
        </w:rPr>
        <w:t xml:space="preserve"> </w:t>
      </w:r>
      <w:r>
        <w:rPr>
          <w:w w:val="105"/>
          <w:sz w:val="12"/>
        </w:rPr>
        <w:t>29</w:t>
      </w:r>
      <w:r>
        <w:rPr>
          <w:spacing w:val="-8"/>
          <w:w w:val="105"/>
          <w:sz w:val="12"/>
        </w:rPr>
        <w:t xml:space="preserve"> </w:t>
      </w:r>
      <w:r>
        <w:rPr>
          <w:w w:val="105"/>
          <w:sz w:val="12"/>
        </w:rPr>
        <w:t>de</w:t>
      </w:r>
      <w:r>
        <w:rPr>
          <w:spacing w:val="-9"/>
          <w:w w:val="105"/>
          <w:sz w:val="12"/>
        </w:rPr>
        <w:t xml:space="preserve"> </w:t>
      </w:r>
      <w:r>
        <w:rPr>
          <w:w w:val="105"/>
          <w:sz w:val="12"/>
        </w:rPr>
        <w:t>abril</w:t>
      </w:r>
      <w:r>
        <w:rPr>
          <w:spacing w:val="-9"/>
          <w:w w:val="105"/>
          <w:sz w:val="12"/>
        </w:rPr>
        <w:t xml:space="preserve"> </w:t>
      </w:r>
      <w:r>
        <w:rPr>
          <w:w w:val="105"/>
          <w:sz w:val="12"/>
        </w:rPr>
        <w:t>de</w:t>
      </w:r>
      <w:r>
        <w:rPr>
          <w:spacing w:val="-9"/>
          <w:w w:val="105"/>
          <w:sz w:val="12"/>
        </w:rPr>
        <w:t xml:space="preserve"> </w:t>
      </w:r>
      <w:r>
        <w:rPr>
          <w:w w:val="105"/>
          <w:sz w:val="12"/>
        </w:rPr>
        <w:t>2008,</w:t>
      </w:r>
      <w:r>
        <w:rPr>
          <w:spacing w:val="-8"/>
          <w:w w:val="105"/>
          <w:sz w:val="12"/>
        </w:rPr>
        <w:t xml:space="preserve"> </w:t>
      </w:r>
      <w:r>
        <w:rPr>
          <w:w w:val="105"/>
          <w:sz w:val="12"/>
        </w:rPr>
        <w:t>párr.</w:t>
      </w:r>
      <w:r>
        <w:rPr>
          <w:spacing w:val="40"/>
          <w:w w:val="105"/>
          <w:sz w:val="12"/>
        </w:rPr>
        <w:t xml:space="preserve"> </w:t>
      </w:r>
      <w:r>
        <w:rPr>
          <w:spacing w:val="-2"/>
          <w:sz w:val="12"/>
        </w:rPr>
        <w:t xml:space="preserve">60; </w:t>
      </w:r>
      <w:r>
        <w:rPr>
          <w:spacing w:val="-2"/>
          <w:w w:val="105"/>
          <w:sz w:val="12"/>
        </w:rPr>
        <w:t>DH y otros</w:t>
      </w:r>
      <w:r>
        <w:rPr>
          <w:spacing w:val="-3"/>
          <w:w w:val="105"/>
          <w:sz w:val="12"/>
        </w:rPr>
        <w:t xml:space="preserve"> </w:t>
      </w:r>
      <w:r>
        <w:rPr>
          <w:spacing w:val="-2"/>
          <w:w w:val="105"/>
          <w:sz w:val="12"/>
        </w:rPr>
        <w:t>c. la República Checa, Solicitud</w:t>
      </w:r>
      <w:r>
        <w:rPr>
          <w:spacing w:val="-3"/>
          <w:w w:val="105"/>
          <w:sz w:val="12"/>
        </w:rPr>
        <w:t xml:space="preserve"> </w:t>
      </w:r>
      <w:r>
        <w:rPr>
          <w:spacing w:val="-2"/>
          <w:w w:val="105"/>
          <w:sz w:val="12"/>
        </w:rPr>
        <w:t>No. 57325/00, Sentencia</w:t>
      </w:r>
      <w:r>
        <w:rPr>
          <w:spacing w:val="-3"/>
          <w:w w:val="105"/>
          <w:sz w:val="12"/>
        </w:rPr>
        <w:t xml:space="preserve"> </w:t>
      </w:r>
      <w:r>
        <w:rPr>
          <w:spacing w:val="-2"/>
          <w:w w:val="105"/>
          <w:sz w:val="12"/>
        </w:rPr>
        <w:t xml:space="preserve">de 13 de noviembre de 2007, párr. </w:t>
      </w:r>
      <w:r>
        <w:rPr>
          <w:spacing w:val="-2"/>
          <w:sz w:val="12"/>
        </w:rPr>
        <w:t xml:space="preserve">175; </w:t>
      </w:r>
      <w:proofErr w:type="spellStart"/>
      <w:r>
        <w:rPr>
          <w:spacing w:val="-2"/>
          <w:w w:val="105"/>
          <w:sz w:val="12"/>
        </w:rPr>
        <w:t>Zarb</w:t>
      </w:r>
      <w:proofErr w:type="spellEnd"/>
      <w:r>
        <w:rPr>
          <w:spacing w:val="-3"/>
          <w:w w:val="105"/>
          <w:sz w:val="12"/>
        </w:rPr>
        <w:t xml:space="preserve"> </w:t>
      </w:r>
      <w:proofErr w:type="spellStart"/>
      <w:r>
        <w:rPr>
          <w:spacing w:val="-2"/>
          <w:w w:val="105"/>
          <w:sz w:val="12"/>
        </w:rPr>
        <w:t>Adami</w:t>
      </w:r>
      <w:proofErr w:type="spellEnd"/>
      <w:r>
        <w:rPr>
          <w:spacing w:val="-3"/>
          <w:w w:val="105"/>
          <w:sz w:val="12"/>
        </w:rPr>
        <w:t xml:space="preserve"> </w:t>
      </w:r>
      <w:r>
        <w:rPr>
          <w:spacing w:val="-2"/>
          <w:w w:val="105"/>
          <w:sz w:val="12"/>
        </w:rPr>
        <w:t xml:space="preserve">c. Malta, solicitud </w:t>
      </w:r>
      <w:proofErr w:type="spellStart"/>
      <w:r>
        <w:rPr>
          <w:spacing w:val="-2"/>
          <w:w w:val="105"/>
          <w:sz w:val="12"/>
        </w:rPr>
        <w:t>n.°</w:t>
      </w:r>
      <w:proofErr w:type="spellEnd"/>
      <w:r>
        <w:rPr>
          <w:spacing w:val="-3"/>
          <w:w w:val="105"/>
          <w:sz w:val="12"/>
        </w:rPr>
        <w:t xml:space="preserve"> </w:t>
      </w:r>
      <w:r>
        <w:rPr>
          <w:spacing w:val="-2"/>
          <w:w w:val="105"/>
          <w:sz w:val="12"/>
        </w:rPr>
        <w:t>17209/02,</w:t>
      </w:r>
      <w:r>
        <w:rPr>
          <w:spacing w:val="40"/>
          <w:w w:val="105"/>
          <w:sz w:val="12"/>
        </w:rPr>
        <w:t xml:space="preserve"> </w:t>
      </w:r>
      <w:r>
        <w:rPr>
          <w:w w:val="105"/>
          <w:sz w:val="12"/>
        </w:rPr>
        <w:t>sentencia</w:t>
      </w:r>
      <w:r>
        <w:rPr>
          <w:spacing w:val="-7"/>
          <w:w w:val="105"/>
          <w:sz w:val="12"/>
        </w:rPr>
        <w:t xml:space="preserve"> </w:t>
      </w:r>
      <w:r>
        <w:rPr>
          <w:w w:val="105"/>
          <w:sz w:val="12"/>
        </w:rPr>
        <w:t>de</w:t>
      </w:r>
      <w:r>
        <w:rPr>
          <w:spacing w:val="-7"/>
          <w:w w:val="105"/>
          <w:sz w:val="12"/>
        </w:rPr>
        <w:t xml:space="preserve"> </w:t>
      </w:r>
      <w:r>
        <w:rPr>
          <w:w w:val="105"/>
          <w:sz w:val="12"/>
        </w:rPr>
        <w:t>20</w:t>
      </w:r>
      <w:r>
        <w:rPr>
          <w:spacing w:val="-7"/>
          <w:w w:val="105"/>
          <w:sz w:val="12"/>
        </w:rPr>
        <w:t xml:space="preserve"> </w:t>
      </w:r>
      <w:r>
        <w:rPr>
          <w:w w:val="105"/>
          <w:sz w:val="12"/>
        </w:rPr>
        <w:t>de</w:t>
      </w:r>
      <w:r>
        <w:rPr>
          <w:spacing w:val="-7"/>
          <w:w w:val="105"/>
          <w:sz w:val="12"/>
        </w:rPr>
        <w:t xml:space="preserve"> </w:t>
      </w:r>
      <w:r>
        <w:rPr>
          <w:w w:val="105"/>
          <w:sz w:val="12"/>
        </w:rPr>
        <w:t>junio</w:t>
      </w:r>
      <w:r>
        <w:rPr>
          <w:spacing w:val="-7"/>
          <w:w w:val="105"/>
          <w:sz w:val="12"/>
        </w:rPr>
        <w:t xml:space="preserve"> </w:t>
      </w:r>
      <w:r>
        <w:rPr>
          <w:w w:val="105"/>
          <w:sz w:val="12"/>
        </w:rPr>
        <w:t>de</w:t>
      </w:r>
      <w:r>
        <w:rPr>
          <w:spacing w:val="-7"/>
          <w:w w:val="105"/>
          <w:sz w:val="12"/>
        </w:rPr>
        <w:t xml:space="preserve"> </w:t>
      </w:r>
      <w:r>
        <w:rPr>
          <w:w w:val="105"/>
          <w:sz w:val="12"/>
        </w:rPr>
        <w:t>2006,</w:t>
      </w:r>
      <w:r>
        <w:rPr>
          <w:spacing w:val="-7"/>
          <w:w w:val="105"/>
          <w:sz w:val="12"/>
        </w:rPr>
        <w:t xml:space="preserve"> </w:t>
      </w:r>
      <w:r>
        <w:rPr>
          <w:w w:val="105"/>
          <w:sz w:val="12"/>
        </w:rPr>
        <w:t>párr.</w:t>
      </w:r>
      <w:r>
        <w:rPr>
          <w:spacing w:val="-7"/>
          <w:w w:val="105"/>
          <w:sz w:val="12"/>
        </w:rPr>
        <w:t xml:space="preserve"> </w:t>
      </w:r>
      <w:r>
        <w:rPr>
          <w:sz w:val="12"/>
        </w:rPr>
        <w:t>71;</w:t>
      </w:r>
      <w:r>
        <w:rPr>
          <w:spacing w:val="-6"/>
          <w:sz w:val="12"/>
        </w:rPr>
        <w:t xml:space="preserve"> </w:t>
      </w:r>
      <w:r>
        <w:rPr>
          <w:w w:val="105"/>
          <w:sz w:val="12"/>
        </w:rPr>
        <w:t>y</w:t>
      </w:r>
      <w:r>
        <w:rPr>
          <w:spacing w:val="-7"/>
          <w:w w:val="105"/>
          <w:sz w:val="12"/>
        </w:rPr>
        <w:t xml:space="preserve"> </w:t>
      </w:r>
      <w:proofErr w:type="spellStart"/>
      <w:r>
        <w:rPr>
          <w:w w:val="105"/>
          <w:sz w:val="12"/>
        </w:rPr>
        <w:t>Kafkaris</w:t>
      </w:r>
      <w:proofErr w:type="spellEnd"/>
      <w:r>
        <w:rPr>
          <w:spacing w:val="-8"/>
          <w:w w:val="105"/>
          <w:sz w:val="12"/>
        </w:rPr>
        <w:t xml:space="preserve"> </w:t>
      </w:r>
      <w:r>
        <w:rPr>
          <w:w w:val="105"/>
          <w:sz w:val="12"/>
        </w:rPr>
        <w:t>c.</w:t>
      </w:r>
      <w:r>
        <w:rPr>
          <w:spacing w:val="-7"/>
          <w:w w:val="105"/>
          <w:sz w:val="12"/>
        </w:rPr>
        <w:t xml:space="preserve"> </w:t>
      </w:r>
      <w:r>
        <w:rPr>
          <w:w w:val="105"/>
          <w:sz w:val="12"/>
        </w:rPr>
        <w:t>Chipre,</w:t>
      </w:r>
      <w:r>
        <w:rPr>
          <w:spacing w:val="-7"/>
          <w:w w:val="105"/>
          <w:sz w:val="12"/>
        </w:rPr>
        <w:t xml:space="preserve"> </w:t>
      </w:r>
      <w:r>
        <w:rPr>
          <w:w w:val="105"/>
          <w:sz w:val="12"/>
        </w:rPr>
        <w:t>demanda</w:t>
      </w:r>
      <w:r>
        <w:rPr>
          <w:spacing w:val="-7"/>
          <w:w w:val="105"/>
          <w:sz w:val="12"/>
        </w:rPr>
        <w:t xml:space="preserve"> </w:t>
      </w:r>
      <w:r>
        <w:rPr>
          <w:w w:val="105"/>
          <w:sz w:val="12"/>
        </w:rPr>
        <w:t>núm.</w:t>
      </w:r>
      <w:r>
        <w:rPr>
          <w:spacing w:val="-7"/>
          <w:w w:val="105"/>
          <w:sz w:val="12"/>
        </w:rPr>
        <w:t xml:space="preserve"> </w:t>
      </w:r>
      <w:r>
        <w:rPr>
          <w:w w:val="105"/>
          <w:sz w:val="12"/>
        </w:rPr>
        <w:t>21906/04,</w:t>
      </w:r>
      <w:r>
        <w:rPr>
          <w:spacing w:val="-7"/>
          <w:w w:val="105"/>
          <w:sz w:val="12"/>
        </w:rPr>
        <w:t xml:space="preserve"> </w:t>
      </w:r>
      <w:r>
        <w:rPr>
          <w:w w:val="105"/>
          <w:sz w:val="12"/>
        </w:rPr>
        <w:t>12</w:t>
      </w:r>
      <w:r>
        <w:rPr>
          <w:spacing w:val="-7"/>
          <w:w w:val="105"/>
          <w:sz w:val="12"/>
        </w:rPr>
        <w:t xml:space="preserve"> </w:t>
      </w:r>
      <w:r>
        <w:rPr>
          <w:w w:val="105"/>
          <w:sz w:val="12"/>
        </w:rPr>
        <w:t>de</w:t>
      </w:r>
      <w:r>
        <w:rPr>
          <w:spacing w:val="-7"/>
          <w:w w:val="105"/>
          <w:sz w:val="12"/>
        </w:rPr>
        <w:t xml:space="preserve"> </w:t>
      </w:r>
      <w:r>
        <w:rPr>
          <w:w w:val="105"/>
          <w:sz w:val="12"/>
        </w:rPr>
        <w:t>febrero</w:t>
      </w:r>
      <w:r>
        <w:rPr>
          <w:spacing w:val="-7"/>
          <w:w w:val="105"/>
          <w:sz w:val="12"/>
        </w:rPr>
        <w:t xml:space="preserve"> </w:t>
      </w:r>
      <w:r>
        <w:rPr>
          <w:w w:val="105"/>
          <w:sz w:val="12"/>
        </w:rPr>
        <w:t>de</w:t>
      </w:r>
      <w:r>
        <w:rPr>
          <w:spacing w:val="-7"/>
          <w:w w:val="105"/>
          <w:sz w:val="12"/>
        </w:rPr>
        <w:t xml:space="preserve"> </w:t>
      </w:r>
      <w:r>
        <w:rPr>
          <w:w w:val="105"/>
          <w:sz w:val="12"/>
        </w:rPr>
        <w:t>2008,</w:t>
      </w:r>
      <w:r>
        <w:rPr>
          <w:spacing w:val="-7"/>
          <w:w w:val="105"/>
          <w:sz w:val="12"/>
        </w:rPr>
        <w:t xml:space="preserve"> </w:t>
      </w:r>
      <w:r>
        <w:rPr>
          <w:w w:val="105"/>
          <w:sz w:val="12"/>
        </w:rPr>
        <w:t>párr.</w:t>
      </w:r>
      <w:r>
        <w:rPr>
          <w:spacing w:val="-7"/>
          <w:w w:val="105"/>
          <w:sz w:val="12"/>
        </w:rPr>
        <w:t xml:space="preserve"> </w:t>
      </w:r>
      <w:r>
        <w:rPr>
          <w:w w:val="105"/>
          <w:sz w:val="12"/>
        </w:rPr>
        <w:t>160.</w:t>
      </w:r>
    </w:p>
    <w:p w14:paraId="3049B26B" w14:textId="77777777" w:rsidR="0014798C" w:rsidRDefault="0014798C">
      <w:pPr>
        <w:pStyle w:val="Textoindependiente"/>
        <w:spacing w:before="100"/>
        <w:rPr>
          <w:sz w:val="12"/>
        </w:rPr>
      </w:pPr>
    </w:p>
    <w:p w14:paraId="164E7FC0" w14:textId="77777777" w:rsidR="0014798C" w:rsidRDefault="004E1F0B">
      <w:pPr>
        <w:spacing w:line="312" w:lineRule="auto"/>
        <w:ind w:left="93" w:right="1553" w:hanging="13"/>
        <w:rPr>
          <w:sz w:val="12"/>
        </w:rPr>
      </w:pPr>
      <w:r>
        <w:rPr>
          <w:sz w:val="12"/>
        </w:rPr>
        <w:t xml:space="preserve">Tribunal Europeo de Derechos Humanos, </w:t>
      </w:r>
      <w:proofErr w:type="spellStart"/>
      <w:r>
        <w:rPr>
          <w:sz w:val="12"/>
        </w:rPr>
        <w:t>Fábián</w:t>
      </w:r>
      <w:proofErr w:type="spellEnd"/>
      <w:r>
        <w:rPr>
          <w:sz w:val="12"/>
        </w:rPr>
        <w:t xml:space="preserve"> c. Hungría, Solicitud n.º 78117/13, Sentencia de 5 de septiembre de 2017, párr. 113; y Clift c. el Reino Unido,</w:t>
      </w:r>
      <w:r>
        <w:rPr>
          <w:spacing w:val="40"/>
          <w:sz w:val="12"/>
        </w:rPr>
        <w:t xml:space="preserve"> </w:t>
      </w:r>
      <w:r>
        <w:rPr>
          <w:sz w:val="12"/>
        </w:rPr>
        <w:t xml:space="preserve">solicitud </w:t>
      </w:r>
      <w:proofErr w:type="spellStart"/>
      <w:r>
        <w:rPr>
          <w:sz w:val="12"/>
        </w:rPr>
        <w:t>n.°</w:t>
      </w:r>
      <w:proofErr w:type="spellEnd"/>
      <w:r>
        <w:rPr>
          <w:sz w:val="12"/>
        </w:rPr>
        <w:t xml:space="preserve"> 7205/07, 13 de julio de 2010, párr. 66.</w:t>
      </w:r>
    </w:p>
    <w:p w14:paraId="5C87AA29" w14:textId="77777777" w:rsidR="0014798C" w:rsidRDefault="004E1F0B">
      <w:pPr>
        <w:spacing w:before="58"/>
        <w:ind w:left="81"/>
        <w:rPr>
          <w:sz w:val="12"/>
        </w:rPr>
      </w:pPr>
      <w:r>
        <w:rPr>
          <w:spacing w:val="-2"/>
          <w:w w:val="105"/>
          <w:sz w:val="12"/>
        </w:rPr>
        <w:t>Tribunal</w:t>
      </w:r>
      <w:r>
        <w:rPr>
          <w:spacing w:val="-1"/>
          <w:w w:val="105"/>
          <w:sz w:val="12"/>
        </w:rPr>
        <w:t xml:space="preserve"> </w:t>
      </w:r>
      <w:r>
        <w:rPr>
          <w:spacing w:val="-2"/>
          <w:w w:val="105"/>
          <w:sz w:val="12"/>
        </w:rPr>
        <w:t>Europeo</w:t>
      </w:r>
      <w:r>
        <w:rPr>
          <w:spacing w:val="-1"/>
          <w:w w:val="105"/>
          <w:sz w:val="12"/>
        </w:rPr>
        <w:t xml:space="preserve"> </w:t>
      </w:r>
      <w:r>
        <w:rPr>
          <w:spacing w:val="-2"/>
          <w:w w:val="105"/>
          <w:sz w:val="12"/>
        </w:rPr>
        <w:t>de</w:t>
      </w:r>
      <w:r>
        <w:rPr>
          <w:w w:val="105"/>
          <w:sz w:val="12"/>
        </w:rPr>
        <w:t xml:space="preserve"> </w:t>
      </w:r>
      <w:r>
        <w:rPr>
          <w:spacing w:val="-2"/>
          <w:w w:val="105"/>
          <w:sz w:val="12"/>
        </w:rPr>
        <w:t>Derechos Humanos,</w:t>
      </w:r>
      <w:r>
        <w:rPr>
          <w:w w:val="105"/>
          <w:sz w:val="12"/>
        </w:rPr>
        <w:t xml:space="preserve"> </w:t>
      </w:r>
      <w:proofErr w:type="spellStart"/>
      <w:r>
        <w:rPr>
          <w:spacing w:val="-2"/>
          <w:w w:val="105"/>
          <w:sz w:val="12"/>
        </w:rPr>
        <w:t>Fábián</w:t>
      </w:r>
      <w:proofErr w:type="spellEnd"/>
      <w:r>
        <w:rPr>
          <w:spacing w:val="-1"/>
          <w:w w:val="105"/>
          <w:sz w:val="12"/>
        </w:rPr>
        <w:t xml:space="preserve"> </w:t>
      </w:r>
      <w:r>
        <w:rPr>
          <w:spacing w:val="-2"/>
          <w:w w:val="105"/>
          <w:sz w:val="12"/>
        </w:rPr>
        <w:t>c.</w:t>
      </w:r>
      <w:r>
        <w:rPr>
          <w:spacing w:val="-1"/>
          <w:w w:val="105"/>
          <w:sz w:val="12"/>
        </w:rPr>
        <w:t xml:space="preserve"> </w:t>
      </w:r>
      <w:r>
        <w:rPr>
          <w:spacing w:val="-2"/>
          <w:w w:val="105"/>
          <w:sz w:val="12"/>
        </w:rPr>
        <w:t>Hungría,</w:t>
      </w:r>
      <w:r>
        <w:rPr>
          <w:w w:val="105"/>
          <w:sz w:val="12"/>
        </w:rPr>
        <w:t xml:space="preserve"> </w:t>
      </w:r>
      <w:r>
        <w:rPr>
          <w:spacing w:val="-2"/>
          <w:w w:val="105"/>
          <w:sz w:val="12"/>
        </w:rPr>
        <w:t>Solicitud</w:t>
      </w:r>
      <w:r>
        <w:rPr>
          <w:spacing w:val="-1"/>
          <w:w w:val="105"/>
          <w:sz w:val="12"/>
        </w:rPr>
        <w:t xml:space="preserve"> </w:t>
      </w:r>
      <w:r>
        <w:rPr>
          <w:spacing w:val="-2"/>
          <w:w w:val="105"/>
          <w:sz w:val="12"/>
        </w:rPr>
        <w:t>n.º 78117/13,</w:t>
      </w:r>
      <w:r>
        <w:rPr>
          <w:w w:val="105"/>
          <w:sz w:val="12"/>
        </w:rPr>
        <w:t xml:space="preserve"> </w:t>
      </w:r>
      <w:r>
        <w:rPr>
          <w:spacing w:val="-2"/>
          <w:w w:val="105"/>
          <w:sz w:val="12"/>
        </w:rPr>
        <w:t>Sentencia</w:t>
      </w:r>
      <w:r>
        <w:rPr>
          <w:spacing w:val="-1"/>
          <w:w w:val="105"/>
          <w:sz w:val="12"/>
        </w:rPr>
        <w:t xml:space="preserve"> </w:t>
      </w:r>
      <w:r>
        <w:rPr>
          <w:spacing w:val="-2"/>
          <w:w w:val="105"/>
          <w:sz w:val="12"/>
        </w:rPr>
        <w:t>de</w:t>
      </w:r>
      <w:r>
        <w:rPr>
          <w:spacing w:val="-1"/>
          <w:w w:val="105"/>
          <w:sz w:val="12"/>
        </w:rPr>
        <w:t xml:space="preserve"> </w:t>
      </w:r>
      <w:r>
        <w:rPr>
          <w:spacing w:val="-2"/>
          <w:w w:val="105"/>
          <w:sz w:val="12"/>
        </w:rPr>
        <w:t>5</w:t>
      </w:r>
      <w:r>
        <w:rPr>
          <w:w w:val="105"/>
          <w:sz w:val="12"/>
        </w:rPr>
        <w:t xml:space="preserve"> </w:t>
      </w:r>
      <w:r>
        <w:rPr>
          <w:spacing w:val="-2"/>
          <w:w w:val="105"/>
          <w:sz w:val="12"/>
        </w:rPr>
        <w:t>de</w:t>
      </w:r>
      <w:r>
        <w:rPr>
          <w:w w:val="105"/>
          <w:sz w:val="12"/>
        </w:rPr>
        <w:t xml:space="preserve"> </w:t>
      </w:r>
      <w:r>
        <w:rPr>
          <w:spacing w:val="-2"/>
          <w:w w:val="105"/>
          <w:sz w:val="12"/>
        </w:rPr>
        <w:t>septiembre</w:t>
      </w:r>
      <w:r>
        <w:rPr>
          <w:spacing w:val="-1"/>
          <w:w w:val="105"/>
          <w:sz w:val="12"/>
        </w:rPr>
        <w:t xml:space="preserve"> </w:t>
      </w:r>
      <w:r>
        <w:rPr>
          <w:spacing w:val="-2"/>
          <w:w w:val="105"/>
          <w:sz w:val="12"/>
        </w:rPr>
        <w:t>de</w:t>
      </w:r>
      <w:r>
        <w:rPr>
          <w:w w:val="105"/>
          <w:sz w:val="12"/>
        </w:rPr>
        <w:t xml:space="preserve"> </w:t>
      </w:r>
      <w:r>
        <w:rPr>
          <w:spacing w:val="-2"/>
          <w:w w:val="105"/>
          <w:sz w:val="12"/>
        </w:rPr>
        <w:t>2017,</w:t>
      </w:r>
      <w:r>
        <w:rPr>
          <w:w w:val="105"/>
          <w:sz w:val="12"/>
        </w:rPr>
        <w:t xml:space="preserve"> </w:t>
      </w:r>
      <w:r>
        <w:rPr>
          <w:spacing w:val="-2"/>
          <w:w w:val="105"/>
          <w:sz w:val="12"/>
        </w:rPr>
        <w:t>párr.</w:t>
      </w:r>
      <w:r>
        <w:rPr>
          <w:spacing w:val="-1"/>
          <w:w w:val="105"/>
          <w:sz w:val="12"/>
        </w:rPr>
        <w:t xml:space="preserve"> </w:t>
      </w:r>
      <w:r>
        <w:rPr>
          <w:spacing w:val="-4"/>
          <w:w w:val="105"/>
          <w:sz w:val="12"/>
        </w:rPr>
        <w:t>121.</w:t>
      </w:r>
    </w:p>
    <w:p w14:paraId="5B97D6B0" w14:textId="77777777" w:rsidR="0014798C" w:rsidRDefault="0014798C">
      <w:pPr>
        <w:rPr>
          <w:sz w:val="12"/>
        </w:rPr>
        <w:sectPr w:rsidR="0014798C" w:rsidSect="00F265E4">
          <w:type w:val="continuous"/>
          <w:pgSz w:w="11900" w:h="16820"/>
          <w:pgMar w:top="40" w:right="0" w:bottom="280" w:left="200" w:header="121" w:footer="0" w:gutter="0"/>
          <w:cols w:num="2" w:space="720" w:equalWidth="0">
            <w:col w:w="1247" w:space="40"/>
            <w:col w:w="10413"/>
          </w:cols>
        </w:sectPr>
      </w:pPr>
    </w:p>
    <w:p w14:paraId="6B13F813" w14:textId="77777777" w:rsidR="0014798C" w:rsidRDefault="004E1F0B">
      <w:pPr>
        <w:spacing w:before="98" w:line="312" w:lineRule="auto"/>
        <w:ind w:left="1368" w:right="1272" w:hanging="264"/>
        <w:rPr>
          <w:sz w:val="12"/>
        </w:rPr>
      </w:pPr>
      <w:r>
        <w:rPr>
          <w:w w:val="105"/>
          <w:sz w:val="12"/>
        </w:rPr>
        <w:t>251</w:t>
      </w:r>
      <w:r>
        <w:rPr>
          <w:spacing w:val="-8"/>
          <w:w w:val="105"/>
          <w:sz w:val="12"/>
        </w:rPr>
        <w:t xml:space="preserve"> </w:t>
      </w:r>
      <w:r>
        <w:rPr>
          <w:w w:val="105"/>
          <w:sz w:val="12"/>
        </w:rPr>
        <w:t>Para</w:t>
      </w:r>
      <w:r>
        <w:rPr>
          <w:spacing w:val="-9"/>
          <w:w w:val="105"/>
          <w:sz w:val="12"/>
        </w:rPr>
        <w:t xml:space="preserve"> </w:t>
      </w:r>
      <w:r>
        <w:rPr>
          <w:w w:val="105"/>
          <w:sz w:val="12"/>
        </w:rPr>
        <w:t>más</w:t>
      </w:r>
      <w:r>
        <w:rPr>
          <w:spacing w:val="-8"/>
          <w:w w:val="105"/>
          <w:sz w:val="12"/>
        </w:rPr>
        <w:t xml:space="preserve"> </w:t>
      </w:r>
      <w:r>
        <w:rPr>
          <w:w w:val="105"/>
          <w:sz w:val="12"/>
        </w:rPr>
        <w:t>información</w:t>
      </w:r>
      <w:r>
        <w:rPr>
          <w:spacing w:val="-8"/>
          <w:w w:val="105"/>
          <w:sz w:val="12"/>
        </w:rPr>
        <w:t xml:space="preserve"> </w:t>
      </w:r>
      <w:r>
        <w:rPr>
          <w:w w:val="105"/>
          <w:sz w:val="12"/>
        </w:rPr>
        <w:t>sobre</w:t>
      </w:r>
      <w:r>
        <w:rPr>
          <w:spacing w:val="-8"/>
          <w:w w:val="105"/>
          <w:sz w:val="12"/>
        </w:rPr>
        <w:t xml:space="preserve"> </w:t>
      </w:r>
      <w:r>
        <w:rPr>
          <w:w w:val="105"/>
          <w:sz w:val="12"/>
        </w:rPr>
        <w:t>el</w:t>
      </w:r>
      <w:r>
        <w:rPr>
          <w:spacing w:val="-8"/>
          <w:w w:val="105"/>
          <w:sz w:val="12"/>
        </w:rPr>
        <w:t xml:space="preserve"> </w:t>
      </w:r>
      <w:r>
        <w:rPr>
          <w:w w:val="105"/>
          <w:sz w:val="12"/>
        </w:rPr>
        <w:t>enfoque</w:t>
      </w:r>
      <w:r>
        <w:rPr>
          <w:spacing w:val="-9"/>
          <w:w w:val="105"/>
          <w:sz w:val="12"/>
        </w:rPr>
        <w:t xml:space="preserve"> </w:t>
      </w:r>
      <w:r>
        <w:rPr>
          <w:w w:val="105"/>
          <w:sz w:val="12"/>
        </w:rPr>
        <w:t>del</w:t>
      </w:r>
      <w:r>
        <w:rPr>
          <w:spacing w:val="-8"/>
          <w:w w:val="105"/>
          <w:sz w:val="12"/>
        </w:rPr>
        <w:t xml:space="preserve"> </w:t>
      </w:r>
      <w:r>
        <w:rPr>
          <w:w w:val="105"/>
          <w:sz w:val="12"/>
        </w:rPr>
        <w:t>Tribunal</w:t>
      </w:r>
      <w:r>
        <w:rPr>
          <w:spacing w:val="-8"/>
          <w:w w:val="105"/>
          <w:sz w:val="12"/>
        </w:rPr>
        <w:t xml:space="preserve"> </w:t>
      </w:r>
      <w:r>
        <w:rPr>
          <w:w w:val="105"/>
          <w:sz w:val="12"/>
        </w:rPr>
        <w:t>Europeo</w:t>
      </w:r>
      <w:r>
        <w:rPr>
          <w:spacing w:val="-9"/>
          <w:w w:val="105"/>
          <w:sz w:val="12"/>
        </w:rPr>
        <w:t xml:space="preserve"> </w:t>
      </w:r>
      <w:r>
        <w:rPr>
          <w:w w:val="105"/>
          <w:sz w:val="12"/>
        </w:rPr>
        <w:t>de</w:t>
      </w:r>
      <w:r>
        <w:rPr>
          <w:spacing w:val="-8"/>
          <w:w w:val="105"/>
          <w:sz w:val="12"/>
        </w:rPr>
        <w:t xml:space="preserve"> </w:t>
      </w:r>
      <w:r>
        <w:rPr>
          <w:w w:val="105"/>
          <w:sz w:val="12"/>
        </w:rPr>
        <w:t>Derechos</w:t>
      </w:r>
      <w:r>
        <w:rPr>
          <w:spacing w:val="-9"/>
          <w:w w:val="105"/>
          <w:sz w:val="12"/>
        </w:rPr>
        <w:t xml:space="preserve"> </w:t>
      </w:r>
      <w:r>
        <w:rPr>
          <w:w w:val="105"/>
          <w:sz w:val="12"/>
        </w:rPr>
        <w:t>Humanos</w:t>
      </w:r>
      <w:r>
        <w:rPr>
          <w:spacing w:val="-9"/>
          <w:w w:val="105"/>
          <w:sz w:val="12"/>
        </w:rPr>
        <w:t xml:space="preserve"> </w:t>
      </w:r>
      <w:r>
        <w:rPr>
          <w:w w:val="105"/>
          <w:sz w:val="12"/>
        </w:rPr>
        <w:t>respecto</w:t>
      </w:r>
      <w:r>
        <w:rPr>
          <w:spacing w:val="-7"/>
          <w:w w:val="105"/>
          <w:sz w:val="12"/>
        </w:rPr>
        <w:t xml:space="preserve"> </w:t>
      </w:r>
      <w:r>
        <w:rPr>
          <w:w w:val="105"/>
          <w:sz w:val="12"/>
        </w:rPr>
        <w:t>del</w:t>
      </w:r>
      <w:r>
        <w:rPr>
          <w:spacing w:val="-8"/>
          <w:w w:val="105"/>
          <w:sz w:val="12"/>
        </w:rPr>
        <w:t xml:space="preserve"> </w:t>
      </w:r>
      <w:r>
        <w:rPr>
          <w:w w:val="105"/>
          <w:sz w:val="12"/>
        </w:rPr>
        <w:t>uso</w:t>
      </w:r>
      <w:r>
        <w:rPr>
          <w:spacing w:val="-8"/>
          <w:w w:val="105"/>
          <w:sz w:val="12"/>
        </w:rPr>
        <w:t xml:space="preserve"> </w:t>
      </w:r>
      <w:r>
        <w:rPr>
          <w:w w:val="105"/>
          <w:sz w:val="12"/>
        </w:rPr>
        <w:t>de</w:t>
      </w:r>
      <w:r>
        <w:rPr>
          <w:spacing w:val="-8"/>
          <w:w w:val="105"/>
          <w:sz w:val="12"/>
        </w:rPr>
        <w:t xml:space="preserve"> </w:t>
      </w:r>
      <w:r>
        <w:rPr>
          <w:w w:val="105"/>
          <w:sz w:val="12"/>
        </w:rPr>
        <w:t>comparadores,</w:t>
      </w:r>
      <w:r>
        <w:rPr>
          <w:spacing w:val="-7"/>
          <w:w w:val="105"/>
          <w:sz w:val="12"/>
        </w:rPr>
        <w:t xml:space="preserve"> </w:t>
      </w:r>
      <w:r>
        <w:rPr>
          <w:w w:val="105"/>
          <w:sz w:val="12"/>
        </w:rPr>
        <w:t>véase</w:t>
      </w:r>
      <w:r>
        <w:rPr>
          <w:spacing w:val="-8"/>
          <w:w w:val="105"/>
          <w:sz w:val="12"/>
        </w:rPr>
        <w:t xml:space="preserve"> </w:t>
      </w:r>
      <w:r>
        <w:rPr>
          <w:w w:val="105"/>
          <w:sz w:val="12"/>
        </w:rPr>
        <w:t>Tribunal</w:t>
      </w:r>
      <w:r>
        <w:rPr>
          <w:spacing w:val="-8"/>
          <w:w w:val="105"/>
          <w:sz w:val="12"/>
        </w:rPr>
        <w:t xml:space="preserve"> </w:t>
      </w:r>
      <w:r>
        <w:rPr>
          <w:w w:val="105"/>
          <w:sz w:val="12"/>
        </w:rPr>
        <w:t>Europeo</w:t>
      </w:r>
      <w:r>
        <w:rPr>
          <w:spacing w:val="-9"/>
          <w:w w:val="105"/>
          <w:sz w:val="12"/>
        </w:rPr>
        <w:t xml:space="preserve"> </w:t>
      </w:r>
      <w:r>
        <w:rPr>
          <w:w w:val="105"/>
          <w:sz w:val="12"/>
        </w:rPr>
        <w:t>de</w:t>
      </w:r>
      <w:r>
        <w:rPr>
          <w:spacing w:val="-8"/>
          <w:w w:val="105"/>
          <w:sz w:val="12"/>
        </w:rPr>
        <w:t xml:space="preserve"> </w:t>
      </w:r>
      <w:r>
        <w:rPr>
          <w:w w:val="105"/>
          <w:sz w:val="12"/>
        </w:rPr>
        <w:t>Derechos</w:t>
      </w:r>
      <w:r>
        <w:rPr>
          <w:spacing w:val="40"/>
          <w:w w:val="105"/>
          <w:sz w:val="12"/>
        </w:rPr>
        <w:t xml:space="preserve"> </w:t>
      </w:r>
      <w:r>
        <w:rPr>
          <w:w w:val="105"/>
          <w:sz w:val="12"/>
        </w:rPr>
        <w:t>Humanos,</w:t>
      </w:r>
      <w:r>
        <w:rPr>
          <w:spacing w:val="-5"/>
          <w:w w:val="105"/>
          <w:sz w:val="12"/>
        </w:rPr>
        <w:t xml:space="preserve"> </w:t>
      </w:r>
      <w:r>
        <w:rPr>
          <w:w w:val="105"/>
          <w:sz w:val="12"/>
        </w:rPr>
        <w:t>Guía</w:t>
      </w:r>
      <w:r>
        <w:rPr>
          <w:spacing w:val="-6"/>
          <w:w w:val="105"/>
          <w:sz w:val="12"/>
        </w:rPr>
        <w:t xml:space="preserve"> </w:t>
      </w:r>
      <w:r>
        <w:rPr>
          <w:w w:val="105"/>
          <w:sz w:val="12"/>
        </w:rPr>
        <w:t>sobre</w:t>
      </w:r>
      <w:r>
        <w:rPr>
          <w:spacing w:val="-5"/>
          <w:w w:val="105"/>
          <w:sz w:val="12"/>
        </w:rPr>
        <w:t xml:space="preserve"> </w:t>
      </w:r>
      <w:r>
        <w:rPr>
          <w:w w:val="105"/>
          <w:sz w:val="12"/>
        </w:rPr>
        <w:t>el</w:t>
      </w:r>
      <w:r>
        <w:rPr>
          <w:spacing w:val="-5"/>
          <w:w w:val="105"/>
          <w:sz w:val="12"/>
        </w:rPr>
        <w:t xml:space="preserve"> </w:t>
      </w:r>
      <w:r>
        <w:rPr>
          <w:w w:val="105"/>
          <w:sz w:val="12"/>
        </w:rPr>
        <w:t>artículo</w:t>
      </w:r>
      <w:r>
        <w:rPr>
          <w:spacing w:val="-6"/>
          <w:w w:val="105"/>
          <w:sz w:val="12"/>
        </w:rPr>
        <w:t xml:space="preserve"> </w:t>
      </w:r>
      <w:r>
        <w:rPr>
          <w:w w:val="105"/>
          <w:sz w:val="12"/>
        </w:rPr>
        <w:t>14</w:t>
      </w:r>
      <w:r>
        <w:rPr>
          <w:spacing w:val="-5"/>
          <w:w w:val="105"/>
          <w:sz w:val="12"/>
        </w:rPr>
        <w:t xml:space="preserve"> </w:t>
      </w:r>
      <w:r>
        <w:rPr>
          <w:w w:val="105"/>
          <w:sz w:val="12"/>
        </w:rPr>
        <w:t>del</w:t>
      </w:r>
      <w:r>
        <w:rPr>
          <w:spacing w:val="-5"/>
          <w:w w:val="105"/>
          <w:sz w:val="12"/>
        </w:rPr>
        <w:t xml:space="preserve"> </w:t>
      </w:r>
      <w:r>
        <w:rPr>
          <w:w w:val="105"/>
          <w:sz w:val="12"/>
        </w:rPr>
        <w:t>Convenio</w:t>
      </w:r>
      <w:r>
        <w:rPr>
          <w:spacing w:val="-5"/>
          <w:w w:val="105"/>
          <w:sz w:val="12"/>
        </w:rPr>
        <w:t xml:space="preserve"> </w:t>
      </w:r>
      <w:r>
        <w:rPr>
          <w:w w:val="105"/>
          <w:sz w:val="12"/>
        </w:rPr>
        <w:t>Europeo</w:t>
      </w:r>
      <w:r>
        <w:rPr>
          <w:spacing w:val="-6"/>
          <w:w w:val="105"/>
          <w:sz w:val="12"/>
        </w:rPr>
        <w:t xml:space="preserve"> </w:t>
      </w:r>
      <w:r>
        <w:rPr>
          <w:w w:val="105"/>
          <w:sz w:val="12"/>
        </w:rPr>
        <w:t>de</w:t>
      </w:r>
      <w:r>
        <w:rPr>
          <w:spacing w:val="-5"/>
          <w:w w:val="105"/>
          <w:sz w:val="12"/>
        </w:rPr>
        <w:t xml:space="preserve"> </w:t>
      </w:r>
      <w:r>
        <w:rPr>
          <w:w w:val="105"/>
          <w:sz w:val="12"/>
        </w:rPr>
        <w:t>Derechos</w:t>
      </w:r>
      <w:r>
        <w:rPr>
          <w:spacing w:val="-6"/>
          <w:w w:val="105"/>
          <w:sz w:val="12"/>
        </w:rPr>
        <w:t xml:space="preserve"> </w:t>
      </w:r>
      <w:r>
        <w:rPr>
          <w:w w:val="105"/>
          <w:sz w:val="12"/>
        </w:rPr>
        <w:t>Humanos</w:t>
      </w:r>
      <w:r>
        <w:rPr>
          <w:spacing w:val="-6"/>
          <w:w w:val="105"/>
          <w:sz w:val="12"/>
        </w:rPr>
        <w:t xml:space="preserve"> </w:t>
      </w:r>
      <w:r>
        <w:rPr>
          <w:w w:val="105"/>
          <w:sz w:val="12"/>
        </w:rPr>
        <w:t>y</w:t>
      </w:r>
      <w:r>
        <w:rPr>
          <w:spacing w:val="-5"/>
          <w:w w:val="105"/>
          <w:sz w:val="12"/>
        </w:rPr>
        <w:t xml:space="preserve"> </w:t>
      </w:r>
      <w:r>
        <w:rPr>
          <w:w w:val="105"/>
          <w:sz w:val="12"/>
        </w:rPr>
        <w:t>sobre</w:t>
      </w:r>
      <w:r>
        <w:rPr>
          <w:spacing w:val="-5"/>
          <w:w w:val="105"/>
          <w:sz w:val="12"/>
        </w:rPr>
        <w:t xml:space="preserve"> </w:t>
      </w:r>
      <w:r>
        <w:rPr>
          <w:w w:val="105"/>
          <w:sz w:val="12"/>
        </w:rPr>
        <w:t>el</w:t>
      </w:r>
      <w:r>
        <w:rPr>
          <w:spacing w:val="-5"/>
          <w:w w:val="105"/>
          <w:sz w:val="12"/>
        </w:rPr>
        <w:t xml:space="preserve"> </w:t>
      </w:r>
      <w:r>
        <w:rPr>
          <w:w w:val="105"/>
          <w:sz w:val="12"/>
        </w:rPr>
        <w:t>artículo</w:t>
      </w:r>
      <w:r>
        <w:rPr>
          <w:spacing w:val="-6"/>
          <w:w w:val="105"/>
          <w:sz w:val="12"/>
        </w:rPr>
        <w:t xml:space="preserve"> </w:t>
      </w:r>
      <w:r>
        <w:rPr>
          <w:w w:val="105"/>
          <w:sz w:val="12"/>
        </w:rPr>
        <w:t>1</w:t>
      </w:r>
      <w:r>
        <w:rPr>
          <w:spacing w:val="-5"/>
          <w:w w:val="105"/>
          <w:sz w:val="12"/>
        </w:rPr>
        <w:t xml:space="preserve"> </w:t>
      </w:r>
      <w:r>
        <w:rPr>
          <w:w w:val="105"/>
          <w:sz w:val="12"/>
        </w:rPr>
        <w:t>del</w:t>
      </w:r>
      <w:r>
        <w:rPr>
          <w:spacing w:val="-5"/>
          <w:w w:val="105"/>
          <w:sz w:val="12"/>
        </w:rPr>
        <w:t xml:space="preserve"> </w:t>
      </w:r>
      <w:r>
        <w:rPr>
          <w:w w:val="105"/>
          <w:sz w:val="12"/>
        </w:rPr>
        <w:t>Protocolo</w:t>
      </w:r>
      <w:r>
        <w:rPr>
          <w:spacing w:val="-6"/>
          <w:w w:val="105"/>
          <w:sz w:val="12"/>
        </w:rPr>
        <w:t xml:space="preserve"> </w:t>
      </w:r>
      <w:r>
        <w:rPr>
          <w:w w:val="105"/>
          <w:sz w:val="12"/>
        </w:rPr>
        <w:t>núm.</w:t>
      </w:r>
      <w:r>
        <w:rPr>
          <w:spacing w:val="-5"/>
          <w:w w:val="105"/>
          <w:sz w:val="12"/>
        </w:rPr>
        <w:t xml:space="preserve"> </w:t>
      </w:r>
      <w:r>
        <w:rPr>
          <w:w w:val="105"/>
          <w:sz w:val="12"/>
        </w:rPr>
        <w:t>12</w:t>
      </w:r>
      <w:r>
        <w:rPr>
          <w:spacing w:val="-5"/>
          <w:w w:val="105"/>
          <w:sz w:val="12"/>
        </w:rPr>
        <w:t xml:space="preserve"> </w:t>
      </w:r>
      <w:r>
        <w:rPr>
          <w:w w:val="105"/>
          <w:sz w:val="12"/>
        </w:rPr>
        <w:t>del</w:t>
      </w:r>
      <w:r>
        <w:rPr>
          <w:spacing w:val="-5"/>
          <w:w w:val="105"/>
          <w:sz w:val="12"/>
        </w:rPr>
        <w:t xml:space="preserve"> </w:t>
      </w:r>
      <w:r>
        <w:rPr>
          <w:w w:val="105"/>
          <w:sz w:val="12"/>
        </w:rPr>
        <w:t>Convenio</w:t>
      </w:r>
      <w:proofErr w:type="gramStart"/>
      <w:r>
        <w:rPr>
          <w:w w:val="105"/>
          <w:sz w:val="12"/>
        </w:rPr>
        <w:t>.</w:t>
      </w:r>
      <w:r>
        <w:rPr>
          <w:spacing w:val="-6"/>
          <w:w w:val="105"/>
          <w:sz w:val="12"/>
        </w:rPr>
        <w:t xml:space="preserve"> </w:t>
      </w:r>
      <w:r>
        <w:rPr>
          <w:w w:val="105"/>
          <w:sz w:val="12"/>
        </w:rPr>
        <w:t>:</w:t>
      </w:r>
      <w:proofErr w:type="gramEnd"/>
      <w:r>
        <w:rPr>
          <w:spacing w:val="-5"/>
          <w:w w:val="105"/>
          <w:sz w:val="12"/>
        </w:rPr>
        <w:t xml:space="preserve"> </w:t>
      </w:r>
      <w:r>
        <w:rPr>
          <w:w w:val="105"/>
          <w:sz w:val="12"/>
        </w:rPr>
        <w:t>Prohibición</w:t>
      </w:r>
    </w:p>
    <w:p w14:paraId="7820DE72" w14:textId="77777777" w:rsidR="0014798C" w:rsidRDefault="004E1F0B">
      <w:pPr>
        <w:spacing w:before="1" w:line="312" w:lineRule="auto"/>
        <w:ind w:left="1365" w:right="1272" w:firstLine="1"/>
        <w:rPr>
          <w:sz w:val="12"/>
        </w:rPr>
      </w:pPr>
      <w:r>
        <w:rPr>
          <w:w w:val="105"/>
          <w:sz w:val="12"/>
        </w:rPr>
        <w:t>de</w:t>
      </w:r>
      <w:r>
        <w:rPr>
          <w:spacing w:val="-7"/>
          <w:w w:val="105"/>
          <w:sz w:val="12"/>
        </w:rPr>
        <w:t xml:space="preserve"> </w:t>
      </w:r>
      <w:r>
        <w:rPr>
          <w:w w:val="105"/>
          <w:sz w:val="12"/>
        </w:rPr>
        <w:t>la</w:t>
      </w:r>
      <w:r>
        <w:rPr>
          <w:spacing w:val="-7"/>
          <w:w w:val="105"/>
          <w:sz w:val="12"/>
        </w:rPr>
        <w:t xml:space="preserve"> </w:t>
      </w:r>
      <w:r>
        <w:rPr>
          <w:w w:val="105"/>
          <w:sz w:val="12"/>
        </w:rPr>
        <w:t>Discriminación</w:t>
      </w:r>
      <w:r>
        <w:rPr>
          <w:spacing w:val="-7"/>
          <w:w w:val="105"/>
          <w:sz w:val="12"/>
        </w:rPr>
        <w:t xml:space="preserve"> </w:t>
      </w:r>
      <w:r>
        <w:rPr>
          <w:w w:val="105"/>
          <w:sz w:val="12"/>
        </w:rPr>
        <w:t>(Estrasburgo,</w:t>
      </w:r>
      <w:r>
        <w:rPr>
          <w:spacing w:val="-7"/>
          <w:w w:val="105"/>
          <w:sz w:val="12"/>
        </w:rPr>
        <w:t xml:space="preserve"> </w:t>
      </w:r>
      <w:r>
        <w:rPr>
          <w:w w:val="105"/>
          <w:sz w:val="12"/>
        </w:rPr>
        <w:t>2021),</w:t>
      </w:r>
      <w:r>
        <w:rPr>
          <w:spacing w:val="-7"/>
          <w:w w:val="105"/>
          <w:sz w:val="12"/>
        </w:rPr>
        <w:t xml:space="preserve"> </w:t>
      </w:r>
      <w:proofErr w:type="spellStart"/>
      <w:r>
        <w:rPr>
          <w:w w:val="105"/>
          <w:sz w:val="12"/>
        </w:rPr>
        <w:t>párrs</w:t>
      </w:r>
      <w:proofErr w:type="spellEnd"/>
      <w:r>
        <w:rPr>
          <w:w w:val="105"/>
          <w:sz w:val="12"/>
        </w:rPr>
        <w:t>.</w:t>
      </w:r>
      <w:r>
        <w:rPr>
          <w:spacing w:val="-7"/>
          <w:w w:val="105"/>
          <w:sz w:val="12"/>
        </w:rPr>
        <w:t xml:space="preserve"> </w:t>
      </w:r>
      <w:r>
        <w:rPr>
          <w:w w:val="105"/>
          <w:sz w:val="12"/>
        </w:rPr>
        <w:t>52–61.</w:t>
      </w:r>
      <w:r>
        <w:rPr>
          <w:spacing w:val="-7"/>
          <w:w w:val="105"/>
          <w:sz w:val="12"/>
        </w:rPr>
        <w:t xml:space="preserve"> </w:t>
      </w:r>
      <w:r>
        <w:rPr>
          <w:w w:val="105"/>
          <w:sz w:val="12"/>
        </w:rPr>
        <w:t>Para</w:t>
      </w:r>
      <w:r>
        <w:rPr>
          <w:spacing w:val="-8"/>
          <w:w w:val="105"/>
          <w:sz w:val="12"/>
        </w:rPr>
        <w:t xml:space="preserve"> </w:t>
      </w:r>
      <w:r>
        <w:rPr>
          <w:w w:val="105"/>
          <w:sz w:val="12"/>
        </w:rPr>
        <w:t>obtener</w:t>
      </w:r>
      <w:r>
        <w:rPr>
          <w:spacing w:val="-8"/>
          <w:w w:val="105"/>
          <w:sz w:val="12"/>
        </w:rPr>
        <w:t xml:space="preserve"> </w:t>
      </w:r>
      <w:r>
        <w:rPr>
          <w:w w:val="105"/>
          <w:sz w:val="12"/>
        </w:rPr>
        <w:t>una</w:t>
      </w:r>
      <w:r>
        <w:rPr>
          <w:spacing w:val="-7"/>
          <w:w w:val="105"/>
          <w:sz w:val="12"/>
        </w:rPr>
        <w:t xml:space="preserve"> </w:t>
      </w:r>
      <w:r>
        <w:rPr>
          <w:w w:val="105"/>
          <w:sz w:val="12"/>
        </w:rPr>
        <w:t>visión</w:t>
      </w:r>
      <w:r>
        <w:rPr>
          <w:spacing w:val="-7"/>
          <w:w w:val="105"/>
          <w:sz w:val="12"/>
        </w:rPr>
        <w:t xml:space="preserve"> </w:t>
      </w:r>
      <w:r>
        <w:rPr>
          <w:w w:val="105"/>
          <w:sz w:val="12"/>
        </w:rPr>
        <w:t>general</w:t>
      </w:r>
      <w:r>
        <w:rPr>
          <w:spacing w:val="-7"/>
          <w:w w:val="105"/>
          <w:sz w:val="12"/>
        </w:rPr>
        <w:t xml:space="preserve"> </w:t>
      </w:r>
      <w:r>
        <w:rPr>
          <w:w w:val="105"/>
          <w:sz w:val="12"/>
        </w:rPr>
        <w:t>del</w:t>
      </w:r>
      <w:r>
        <w:rPr>
          <w:spacing w:val="-7"/>
          <w:w w:val="105"/>
          <w:sz w:val="12"/>
        </w:rPr>
        <w:t xml:space="preserve"> </w:t>
      </w:r>
      <w:r>
        <w:rPr>
          <w:w w:val="105"/>
          <w:sz w:val="12"/>
        </w:rPr>
        <w:t>enfoque</w:t>
      </w:r>
      <w:r>
        <w:rPr>
          <w:spacing w:val="-8"/>
          <w:w w:val="105"/>
          <w:sz w:val="12"/>
        </w:rPr>
        <w:t xml:space="preserve"> </w:t>
      </w:r>
      <w:r>
        <w:rPr>
          <w:w w:val="105"/>
          <w:sz w:val="12"/>
        </w:rPr>
        <w:t>del</w:t>
      </w:r>
      <w:r>
        <w:rPr>
          <w:spacing w:val="-7"/>
          <w:w w:val="105"/>
          <w:sz w:val="12"/>
        </w:rPr>
        <w:t xml:space="preserve"> </w:t>
      </w:r>
      <w:r>
        <w:rPr>
          <w:w w:val="105"/>
          <w:sz w:val="12"/>
        </w:rPr>
        <w:t>Tribunal</w:t>
      </w:r>
      <w:r>
        <w:rPr>
          <w:spacing w:val="-7"/>
          <w:w w:val="105"/>
          <w:sz w:val="12"/>
        </w:rPr>
        <w:t xml:space="preserve"> </w:t>
      </w:r>
      <w:r>
        <w:rPr>
          <w:w w:val="105"/>
          <w:sz w:val="12"/>
        </w:rPr>
        <w:t>de</w:t>
      </w:r>
      <w:r>
        <w:rPr>
          <w:spacing w:val="-7"/>
          <w:w w:val="105"/>
          <w:sz w:val="12"/>
        </w:rPr>
        <w:t xml:space="preserve"> </w:t>
      </w:r>
      <w:r>
        <w:rPr>
          <w:w w:val="105"/>
          <w:sz w:val="12"/>
        </w:rPr>
        <w:t>Justicia</w:t>
      </w:r>
      <w:r>
        <w:rPr>
          <w:spacing w:val="-7"/>
          <w:w w:val="105"/>
          <w:sz w:val="12"/>
        </w:rPr>
        <w:t xml:space="preserve"> </w:t>
      </w:r>
      <w:r>
        <w:rPr>
          <w:w w:val="105"/>
          <w:sz w:val="12"/>
        </w:rPr>
        <w:t>de</w:t>
      </w:r>
      <w:r>
        <w:rPr>
          <w:spacing w:val="-7"/>
          <w:w w:val="105"/>
          <w:sz w:val="12"/>
        </w:rPr>
        <w:t xml:space="preserve"> </w:t>
      </w:r>
      <w:r>
        <w:rPr>
          <w:w w:val="105"/>
          <w:sz w:val="12"/>
        </w:rPr>
        <w:t>la</w:t>
      </w:r>
      <w:r>
        <w:rPr>
          <w:spacing w:val="-7"/>
          <w:w w:val="105"/>
          <w:sz w:val="12"/>
        </w:rPr>
        <w:t xml:space="preserve"> </w:t>
      </w:r>
      <w:r>
        <w:rPr>
          <w:w w:val="105"/>
          <w:sz w:val="12"/>
        </w:rPr>
        <w:t>Unión</w:t>
      </w:r>
      <w:r>
        <w:rPr>
          <w:spacing w:val="-7"/>
          <w:w w:val="105"/>
          <w:sz w:val="12"/>
        </w:rPr>
        <w:t xml:space="preserve"> </w:t>
      </w:r>
      <w:r>
        <w:rPr>
          <w:w w:val="105"/>
          <w:sz w:val="12"/>
        </w:rPr>
        <w:t>Europea</w:t>
      </w:r>
      <w:r>
        <w:rPr>
          <w:spacing w:val="-8"/>
          <w:w w:val="105"/>
          <w:sz w:val="12"/>
        </w:rPr>
        <w:t xml:space="preserve"> </w:t>
      </w:r>
      <w:r>
        <w:rPr>
          <w:w w:val="105"/>
          <w:sz w:val="12"/>
        </w:rPr>
        <w:t>respecto</w:t>
      </w:r>
      <w:r>
        <w:rPr>
          <w:spacing w:val="-7"/>
          <w:w w:val="105"/>
          <w:sz w:val="12"/>
        </w:rPr>
        <w:t xml:space="preserve"> </w:t>
      </w:r>
      <w:r>
        <w:rPr>
          <w:w w:val="105"/>
          <w:sz w:val="12"/>
        </w:rPr>
        <w:t>de</w:t>
      </w:r>
      <w:r>
        <w:rPr>
          <w:spacing w:val="-7"/>
          <w:w w:val="105"/>
          <w:sz w:val="12"/>
        </w:rPr>
        <w:t xml:space="preserve"> </w:t>
      </w:r>
      <w:r>
        <w:rPr>
          <w:w w:val="105"/>
          <w:sz w:val="12"/>
        </w:rPr>
        <w:t>los</w:t>
      </w:r>
      <w:r>
        <w:rPr>
          <w:spacing w:val="40"/>
          <w:w w:val="105"/>
          <w:sz w:val="12"/>
        </w:rPr>
        <w:t xml:space="preserve"> </w:t>
      </w:r>
      <w:r>
        <w:rPr>
          <w:w w:val="105"/>
          <w:sz w:val="12"/>
        </w:rPr>
        <w:t>comparadores,</w:t>
      </w:r>
      <w:r>
        <w:rPr>
          <w:spacing w:val="-3"/>
          <w:w w:val="105"/>
          <w:sz w:val="12"/>
        </w:rPr>
        <w:t xml:space="preserve"> </w:t>
      </w:r>
      <w:r>
        <w:rPr>
          <w:w w:val="105"/>
          <w:sz w:val="12"/>
        </w:rPr>
        <w:t>incluidas</w:t>
      </w:r>
      <w:r>
        <w:rPr>
          <w:spacing w:val="-5"/>
          <w:w w:val="105"/>
          <w:sz w:val="12"/>
        </w:rPr>
        <w:t xml:space="preserve"> </w:t>
      </w:r>
      <w:r>
        <w:rPr>
          <w:w w:val="105"/>
          <w:sz w:val="12"/>
        </w:rPr>
        <w:t>las</w:t>
      </w:r>
      <w:r>
        <w:rPr>
          <w:spacing w:val="-4"/>
          <w:w w:val="105"/>
          <w:sz w:val="12"/>
        </w:rPr>
        <w:t xml:space="preserve"> </w:t>
      </w:r>
      <w:r>
        <w:rPr>
          <w:w w:val="105"/>
          <w:sz w:val="12"/>
        </w:rPr>
        <w:t>excepciones</w:t>
      </w:r>
      <w:r>
        <w:rPr>
          <w:spacing w:val="-5"/>
          <w:w w:val="105"/>
          <w:sz w:val="12"/>
        </w:rPr>
        <w:t xml:space="preserve"> </w:t>
      </w:r>
      <w:r>
        <w:rPr>
          <w:w w:val="105"/>
          <w:sz w:val="12"/>
        </w:rPr>
        <w:t>a</w:t>
      </w:r>
      <w:r>
        <w:rPr>
          <w:spacing w:val="-4"/>
          <w:w w:val="105"/>
          <w:sz w:val="12"/>
        </w:rPr>
        <w:t xml:space="preserve"> </w:t>
      </w:r>
      <w:r>
        <w:rPr>
          <w:w w:val="105"/>
          <w:sz w:val="12"/>
        </w:rPr>
        <w:t>la</w:t>
      </w:r>
      <w:r>
        <w:rPr>
          <w:spacing w:val="-4"/>
          <w:w w:val="105"/>
          <w:sz w:val="12"/>
        </w:rPr>
        <w:t xml:space="preserve"> </w:t>
      </w:r>
      <w:r>
        <w:rPr>
          <w:w w:val="105"/>
          <w:sz w:val="12"/>
        </w:rPr>
        <w:t>regla,</w:t>
      </w:r>
      <w:r>
        <w:rPr>
          <w:spacing w:val="-4"/>
          <w:w w:val="105"/>
          <w:sz w:val="12"/>
        </w:rPr>
        <w:t xml:space="preserve"> </w:t>
      </w:r>
      <w:r>
        <w:rPr>
          <w:w w:val="105"/>
          <w:sz w:val="12"/>
        </w:rPr>
        <w:t>véase</w:t>
      </w:r>
      <w:r>
        <w:rPr>
          <w:spacing w:val="-4"/>
          <w:w w:val="105"/>
          <w:sz w:val="12"/>
        </w:rPr>
        <w:t xml:space="preserve"> </w:t>
      </w:r>
      <w:r>
        <w:rPr>
          <w:w w:val="105"/>
          <w:sz w:val="12"/>
        </w:rPr>
        <w:t>Agencia</w:t>
      </w:r>
      <w:r>
        <w:rPr>
          <w:spacing w:val="-5"/>
          <w:w w:val="105"/>
          <w:sz w:val="12"/>
        </w:rPr>
        <w:t xml:space="preserve"> </w:t>
      </w:r>
      <w:r>
        <w:rPr>
          <w:w w:val="105"/>
          <w:sz w:val="12"/>
        </w:rPr>
        <w:t>de</w:t>
      </w:r>
      <w:r>
        <w:rPr>
          <w:spacing w:val="-4"/>
          <w:w w:val="105"/>
          <w:sz w:val="12"/>
        </w:rPr>
        <w:t xml:space="preserve"> </w:t>
      </w:r>
      <w:r>
        <w:rPr>
          <w:w w:val="105"/>
          <w:sz w:val="12"/>
        </w:rPr>
        <w:t>los</w:t>
      </w:r>
      <w:r>
        <w:rPr>
          <w:spacing w:val="-4"/>
          <w:w w:val="105"/>
          <w:sz w:val="12"/>
        </w:rPr>
        <w:t xml:space="preserve"> </w:t>
      </w:r>
      <w:r>
        <w:rPr>
          <w:w w:val="105"/>
          <w:sz w:val="12"/>
        </w:rPr>
        <w:t>Derechos</w:t>
      </w:r>
      <w:r>
        <w:rPr>
          <w:spacing w:val="-5"/>
          <w:w w:val="105"/>
          <w:sz w:val="12"/>
        </w:rPr>
        <w:t xml:space="preserve"> </w:t>
      </w:r>
      <w:r>
        <w:rPr>
          <w:w w:val="105"/>
          <w:sz w:val="12"/>
        </w:rPr>
        <w:t>Fundamentales</w:t>
      </w:r>
      <w:r>
        <w:rPr>
          <w:spacing w:val="-5"/>
          <w:w w:val="105"/>
          <w:sz w:val="12"/>
        </w:rPr>
        <w:t xml:space="preserve"> </w:t>
      </w:r>
      <w:r>
        <w:rPr>
          <w:w w:val="105"/>
          <w:sz w:val="12"/>
        </w:rPr>
        <w:t>de</w:t>
      </w:r>
      <w:r>
        <w:rPr>
          <w:spacing w:val="-4"/>
          <w:w w:val="105"/>
          <w:sz w:val="12"/>
        </w:rPr>
        <w:t xml:space="preserve"> </w:t>
      </w:r>
      <w:r>
        <w:rPr>
          <w:w w:val="105"/>
          <w:sz w:val="12"/>
        </w:rPr>
        <w:t>la</w:t>
      </w:r>
      <w:r>
        <w:rPr>
          <w:spacing w:val="-4"/>
          <w:w w:val="105"/>
          <w:sz w:val="12"/>
        </w:rPr>
        <w:t xml:space="preserve"> </w:t>
      </w:r>
      <w:r>
        <w:rPr>
          <w:w w:val="105"/>
          <w:sz w:val="12"/>
        </w:rPr>
        <w:t>Unión</w:t>
      </w:r>
      <w:r>
        <w:rPr>
          <w:spacing w:val="-4"/>
          <w:w w:val="105"/>
          <w:sz w:val="12"/>
        </w:rPr>
        <w:t xml:space="preserve"> </w:t>
      </w:r>
      <w:r>
        <w:rPr>
          <w:w w:val="105"/>
          <w:sz w:val="12"/>
        </w:rPr>
        <w:t>Europea</w:t>
      </w:r>
      <w:r>
        <w:rPr>
          <w:spacing w:val="-5"/>
          <w:w w:val="105"/>
          <w:sz w:val="12"/>
        </w:rPr>
        <w:t xml:space="preserve"> </w:t>
      </w:r>
      <w:r>
        <w:rPr>
          <w:w w:val="105"/>
          <w:sz w:val="12"/>
        </w:rPr>
        <w:t>y</w:t>
      </w:r>
      <w:r>
        <w:rPr>
          <w:spacing w:val="-4"/>
          <w:w w:val="105"/>
          <w:sz w:val="12"/>
        </w:rPr>
        <w:t xml:space="preserve"> </w:t>
      </w:r>
      <w:r>
        <w:rPr>
          <w:w w:val="105"/>
          <w:sz w:val="12"/>
        </w:rPr>
        <w:t>Consejo</w:t>
      </w:r>
      <w:r>
        <w:rPr>
          <w:spacing w:val="-4"/>
          <w:w w:val="105"/>
          <w:sz w:val="12"/>
        </w:rPr>
        <w:t xml:space="preserve"> </w:t>
      </w:r>
      <w:r>
        <w:rPr>
          <w:w w:val="105"/>
          <w:sz w:val="12"/>
        </w:rPr>
        <w:t>de</w:t>
      </w:r>
      <w:r>
        <w:rPr>
          <w:spacing w:val="-4"/>
          <w:w w:val="105"/>
          <w:sz w:val="12"/>
        </w:rPr>
        <w:t xml:space="preserve"> </w:t>
      </w:r>
      <w:r>
        <w:rPr>
          <w:w w:val="105"/>
          <w:sz w:val="12"/>
        </w:rPr>
        <w:t>Europa,</w:t>
      </w:r>
    </w:p>
    <w:p w14:paraId="2002AAD6" w14:textId="77777777" w:rsidR="0014798C" w:rsidRDefault="004E1F0B">
      <w:pPr>
        <w:spacing w:before="1"/>
        <w:ind w:left="1366"/>
        <w:rPr>
          <w:sz w:val="12"/>
        </w:rPr>
      </w:pPr>
      <w:r>
        <w:rPr>
          <w:spacing w:val="-2"/>
          <w:w w:val="105"/>
          <w:sz w:val="12"/>
        </w:rPr>
        <w:t>Manual</w:t>
      </w:r>
      <w:r>
        <w:rPr>
          <w:spacing w:val="-1"/>
          <w:w w:val="105"/>
          <w:sz w:val="12"/>
        </w:rPr>
        <w:t xml:space="preserve"> </w:t>
      </w:r>
      <w:r>
        <w:rPr>
          <w:spacing w:val="-2"/>
          <w:w w:val="105"/>
          <w:sz w:val="12"/>
        </w:rPr>
        <w:t>sobre</w:t>
      </w:r>
      <w:r>
        <w:rPr>
          <w:w w:val="105"/>
          <w:sz w:val="12"/>
        </w:rPr>
        <w:t xml:space="preserve"> </w:t>
      </w:r>
      <w:r>
        <w:rPr>
          <w:spacing w:val="-2"/>
          <w:w w:val="105"/>
          <w:sz w:val="12"/>
        </w:rPr>
        <w:t>el</w:t>
      </w:r>
      <w:r>
        <w:rPr>
          <w:w w:val="105"/>
          <w:sz w:val="12"/>
        </w:rPr>
        <w:t xml:space="preserve"> </w:t>
      </w:r>
      <w:r>
        <w:rPr>
          <w:spacing w:val="-2"/>
          <w:w w:val="105"/>
          <w:sz w:val="12"/>
        </w:rPr>
        <w:t>derecho</w:t>
      </w:r>
      <w:r>
        <w:rPr>
          <w:w w:val="105"/>
          <w:sz w:val="12"/>
        </w:rPr>
        <w:t xml:space="preserve"> </w:t>
      </w:r>
      <w:r>
        <w:rPr>
          <w:spacing w:val="-2"/>
          <w:w w:val="105"/>
          <w:sz w:val="12"/>
        </w:rPr>
        <w:t>europeo</w:t>
      </w:r>
      <w:r>
        <w:rPr>
          <w:w w:val="105"/>
          <w:sz w:val="12"/>
        </w:rPr>
        <w:t xml:space="preserve"> </w:t>
      </w:r>
      <w:r>
        <w:rPr>
          <w:spacing w:val="-2"/>
          <w:w w:val="105"/>
          <w:sz w:val="12"/>
        </w:rPr>
        <w:t>contra</w:t>
      </w:r>
      <w:r>
        <w:rPr>
          <w:w w:val="105"/>
          <w:sz w:val="12"/>
        </w:rPr>
        <w:t xml:space="preserve"> </w:t>
      </w:r>
      <w:r>
        <w:rPr>
          <w:spacing w:val="-2"/>
          <w:w w:val="105"/>
          <w:sz w:val="12"/>
        </w:rPr>
        <w:t>la</w:t>
      </w:r>
      <w:r>
        <w:rPr>
          <w:w w:val="105"/>
          <w:sz w:val="12"/>
        </w:rPr>
        <w:t xml:space="preserve"> </w:t>
      </w:r>
      <w:r>
        <w:rPr>
          <w:spacing w:val="-2"/>
          <w:w w:val="105"/>
          <w:sz w:val="12"/>
        </w:rPr>
        <w:t>discriminación</w:t>
      </w:r>
      <w:r>
        <w:rPr>
          <w:w w:val="105"/>
          <w:sz w:val="12"/>
        </w:rPr>
        <w:t xml:space="preserve"> </w:t>
      </w:r>
      <w:r>
        <w:rPr>
          <w:spacing w:val="-2"/>
          <w:w w:val="105"/>
          <w:sz w:val="12"/>
        </w:rPr>
        <w:t>(Luxemburgo,</w:t>
      </w:r>
      <w:r>
        <w:rPr>
          <w:w w:val="105"/>
          <w:sz w:val="12"/>
        </w:rPr>
        <w:t xml:space="preserve"> </w:t>
      </w:r>
      <w:r>
        <w:rPr>
          <w:spacing w:val="-2"/>
          <w:w w:val="105"/>
          <w:sz w:val="12"/>
        </w:rPr>
        <w:t>Oficina</w:t>
      </w:r>
      <w:r>
        <w:rPr>
          <w:spacing w:val="-1"/>
          <w:w w:val="105"/>
          <w:sz w:val="12"/>
        </w:rPr>
        <w:t xml:space="preserve"> </w:t>
      </w:r>
      <w:r>
        <w:rPr>
          <w:spacing w:val="-2"/>
          <w:w w:val="105"/>
          <w:sz w:val="12"/>
        </w:rPr>
        <w:t>de</w:t>
      </w:r>
      <w:r>
        <w:rPr>
          <w:w w:val="105"/>
          <w:sz w:val="12"/>
        </w:rPr>
        <w:t xml:space="preserve"> </w:t>
      </w:r>
      <w:r>
        <w:rPr>
          <w:spacing w:val="-2"/>
          <w:w w:val="105"/>
          <w:sz w:val="12"/>
        </w:rPr>
        <w:t>Publicaciones</w:t>
      </w:r>
      <w:r>
        <w:rPr>
          <w:spacing w:val="-1"/>
          <w:w w:val="105"/>
          <w:sz w:val="12"/>
        </w:rPr>
        <w:t xml:space="preserve"> </w:t>
      </w:r>
      <w:r>
        <w:rPr>
          <w:spacing w:val="-2"/>
          <w:w w:val="105"/>
          <w:sz w:val="12"/>
        </w:rPr>
        <w:t>de</w:t>
      </w:r>
      <w:r>
        <w:rPr>
          <w:w w:val="105"/>
          <w:sz w:val="12"/>
        </w:rPr>
        <w:t xml:space="preserve"> </w:t>
      </w:r>
      <w:r>
        <w:rPr>
          <w:spacing w:val="-2"/>
          <w:w w:val="105"/>
          <w:sz w:val="12"/>
        </w:rPr>
        <w:t>la</w:t>
      </w:r>
      <w:r>
        <w:rPr>
          <w:w w:val="105"/>
          <w:sz w:val="12"/>
        </w:rPr>
        <w:t xml:space="preserve"> </w:t>
      </w:r>
      <w:r>
        <w:rPr>
          <w:spacing w:val="-2"/>
          <w:w w:val="105"/>
          <w:sz w:val="12"/>
        </w:rPr>
        <w:t>Unión</w:t>
      </w:r>
      <w:r>
        <w:rPr>
          <w:w w:val="105"/>
          <w:sz w:val="12"/>
        </w:rPr>
        <w:t xml:space="preserve"> </w:t>
      </w:r>
      <w:r>
        <w:rPr>
          <w:spacing w:val="-2"/>
          <w:w w:val="105"/>
          <w:sz w:val="12"/>
        </w:rPr>
        <w:t>Europea,</w:t>
      </w:r>
      <w:r>
        <w:rPr>
          <w:w w:val="105"/>
          <w:sz w:val="12"/>
        </w:rPr>
        <w:t xml:space="preserve"> </w:t>
      </w:r>
      <w:r>
        <w:rPr>
          <w:spacing w:val="-2"/>
          <w:w w:val="105"/>
          <w:sz w:val="12"/>
        </w:rPr>
        <w:t>2018),</w:t>
      </w:r>
      <w:r>
        <w:rPr>
          <w:w w:val="105"/>
          <w:sz w:val="12"/>
        </w:rPr>
        <w:t xml:space="preserve"> </w:t>
      </w:r>
      <w:r>
        <w:rPr>
          <w:spacing w:val="-2"/>
          <w:w w:val="105"/>
          <w:sz w:val="12"/>
        </w:rPr>
        <w:t>págs.</w:t>
      </w:r>
      <w:r>
        <w:rPr>
          <w:w w:val="105"/>
          <w:sz w:val="12"/>
        </w:rPr>
        <w:t xml:space="preserve"> </w:t>
      </w:r>
      <w:r>
        <w:rPr>
          <w:spacing w:val="-2"/>
          <w:w w:val="105"/>
          <w:sz w:val="12"/>
        </w:rPr>
        <w:t>44–49.</w:t>
      </w:r>
    </w:p>
    <w:p w14:paraId="21608B1E" w14:textId="77777777" w:rsidR="0014798C" w:rsidRDefault="004E1F0B">
      <w:pPr>
        <w:spacing w:before="98"/>
        <w:ind w:left="1105"/>
        <w:rPr>
          <w:sz w:val="12"/>
        </w:rPr>
      </w:pPr>
      <w:r>
        <w:rPr>
          <w:spacing w:val="-2"/>
          <w:w w:val="105"/>
          <w:sz w:val="12"/>
        </w:rPr>
        <w:t>252</w:t>
      </w:r>
      <w:r>
        <w:rPr>
          <w:w w:val="105"/>
          <w:sz w:val="12"/>
        </w:rPr>
        <w:t xml:space="preserve"> </w:t>
      </w:r>
      <w:r>
        <w:rPr>
          <w:spacing w:val="-2"/>
          <w:w w:val="105"/>
          <w:sz w:val="12"/>
        </w:rPr>
        <w:t>Al</w:t>
      </w:r>
      <w:r>
        <w:rPr>
          <w:w w:val="105"/>
          <w:sz w:val="12"/>
        </w:rPr>
        <w:t xml:space="preserve"> </w:t>
      </w:r>
      <w:r>
        <w:rPr>
          <w:spacing w:val="-2"/>
          <w:w w:val="105"/>
          <w:sz w:val="12"/>
        </w:rPr>
        <w:t>(Serbia)</w:t>
      </w:r>
      <w:r>
        <w:rPr>
          <w:w w:val="105"/>
          <w:sz w:val="12"/>
        </w:rPr>
        <w:t xml:space="preserve"> </w:t>
      </w:r>
      <w:r>
        <w:rPr>
          <w:spacing w:val="-2"/>
          <w:w w:val="105"/>
          <w:sz w:val="12"/>
        </w:rPr>
        <w:t>contra</w:t>
      </w:r>
      <w:r>
        <w:rPr>
          <w:spacing w:val="1"/>
          <w:w w:val="105"/>
          <w:sz w:val="12"/>
        </w:rPr>
        <w:t xml:space="preserve"> </w:t>
      </w:r>
      <w:r>
        <w:rPr>
          <w:spacing w:val="-2"/>
          <w:w w:val="105"/>
          <w:sz w:val="12"/>
        </w:rPr>
        <w:t>el</w:t>
      </w:r>
      <w:r>
        <w:rPr>
          <w:spacing w:val="1"/>
          <w:w w:val="105"/>
          <w:sz w:val="12"/>
        </w:rPr>
        <w:t xml:space="preserve"> </w:t>
      </w:r>
      <w:r>
        <w:rPr>
          <w:spacing w:val="-2"/>
          <w:w w:val="105"/>
          <w:sz w:val="12"/>
        </w:rPr>
        <w:t>Secretario</w:t>
      </w:r>
      <w:r>
        <w:rPr>
          <w:w w:val="105"/>
          <w:sz w:val="12"/>
        </w:rPr>
        <w:t xml:space="preserve"> </w:t>
      </w:r>
      <w:r>
        <w:rPr>
          <w:spacing w:val="-2"/>
          <w:w w:val="105"/>
          <w:sz w:val="12"/>
        </w:rPr>
        <w:t>de</w:t>
      </w:r>
      <w:r>
        <w:rPr>
          <w:w w:val="105"/>
          <w:sz w:val="12"/>
        </w:rPr>
        <w:t xml:space="preserve"> </w:t>
      </w:r>
      <w:r>
        <w:rPr>
          <w:spacing w:val="-2"/>
          <w:w w:val="105"/>
          <w:sz w:val="12"/>
        </w:rPr>
        <w:t>Estado</w:t>
      </w:r>
      <w:r>
        <w:rPr>
          <w:w w:val="105"/>
          <w:sz w:val="12"/>
        </w:rPr>
        <w:t xml:space="preserve"> </w:t>
      </w:r>
      <w:r>
        <w:rPr>
          <w:spacing w:val="-2"/>
          <w:w w:val="105"/>
          <w:sz w:val="12"/>
        </w:rPr>
        <w:t>del</w:t>
      </w:r>
      <w:r>
        <w:rPr>
          <w:spacing w:val="1"/>
          <w:w w:val="105"/>
          <w:sz w:val="12"/>
        </w:rPr>
        <w:t xml:space="preserve"> </w:t>
      </w:r>
      <w:r>
        <w:rPr>
          <w:spacing w:val="-2"/>
          <w:w w:val="105"/>
          <w:sz w:val="12"/>
        </w:rPr>
        <w:t>Departamento</w:t>
      </w:r>
      <w:r>
        <w:rPr>
          <w:w w:val="105"/>
          <w:sz w:val="12"/>
        </w:rPr>
        <w:t xml:space="preserve"> </w:t>
      </w:r>
      <w:r>
        <w:rPr>
          <w:spacing w:val="-2"/>
          <w:w w:val="105"/>
          <w:sz w:val="12"/>
        </w:rPr>
        <w:t>del</w:t>
      </w:r>
      <w:r>
        <w:rPr>
          <w:spacing w:val="1"/>
          <w:w w:val="105"/>
          <w:sz w:val="12"/>
        </w:rPr>
        <w:t xml:space="preserve"> </w:t>
      </w:r>
      <w:r>
        <w:rPr>
          <w:spacing w:val="-2"/>
          <w:w w:val="105"/>
          <w:sz w:val="12"/>
        </w:rPr>
        <w:t>Interior</w:t>
      </w:r>
      <w:r>
        <w:rPr>
          <w:w w:val="105"/>
          <w:sz w:val="12"/>
        </w:rPr>
        <w:t xml:space="preserve"> </w:t>
      </w:r>
      <w:r>
        <w:rPr>
          <w:spacing w:val="-2"/>
          <w:w w:val="105"/>
          <w:sz w:val="12"/>
        </w:rPr>
        <w:t>[2008]</w:t>
      </w:r>
      <w:r>
        <w:rPr>
          <w:spacing w:val="1"/>
          <w:w w:val="105"/>
          <w:sz w:val="12"/>
        </w:rPr>
        <w:t xml:space="preserve"> </w:t>
      </w:r>
      <w:r>
        <w:rPr>
          <w:spacing w:val="-2"/>
          <w:w w:val="105"/>
          <w:sz w:val="12"/>
        </w:rPr>
        <w:t>UKHL</w:t>
      </w:r>
      <w:r>
        <w:rPr>
          <w:spacing w:val="-1"/>
          <w:w w:val="105"/>
          <w:sz w:val="12"/>
        </w:rPr>
        <w:t xml:space="preserve"> </w:t>
      </w:r>
      <w:r>
        <w:rPr>
          <w:spacing w:val="-2"/>
          <w:w w:val="105"/>
          <w:sz w:val="12"/>
        </w:rPr>
        <w:t>42,</w:t>
      </w:r>
      <w:r>
        <w:rPr>
          <w:spacing w:val="1"/>
          <w:w w:val="105"/>
          <w:sz w:val="12"/>
        </w:rPr>
        <w:t xml:space="preserve"> </w:t>
      </w:r>
      <w:r>
        <w:rPr>
          <w:spacing w:val="-2"/>
          <w:w w:val="105"/>
          <w:sz w:val="12"/>
        </w:rPr>
        <w:t>comentarios</w:t>
      </w:r>
      <w:r>
        <w:rPr>
          <w:w w:val="105"/>
          <w:sz w:val="12"/>
        </w:rPr>
        <w:t xml:space="preserve"> </w:t>
      </w:r>
      <w:r>
        <w:rPr>
          <w:spacing w:val="-2"/>
          <w:w w:val="105"/>
          <w:sz w:val="12"/>
        </w:rPr>
        <w:t>hechos</w:t>
      </w:r>
      <w:r>
        <w:rPr>
          <w:spacing w:val="1"/>
          <w:w w:val="105"/>
          <w:sz w:val="12"/>
        </w:rPr>
        <w:t xml:space="preserve"> </w:t>
      </w:r>
      <w:r>
        <w:rPr>
          <w:spacing w:val="-2"/>
          <w:w w:val="105"/>
          <w:sz w:val="12"/>
        </w:rPr>
        <w:t>por</w:t>
      </w:r>
      <w:r>
        <w:rPr>
          <w:spacing w:val="1"/>
          <w:w w:val="105"/>
          <w:sz w:val="12"/>
        </w:rPr>
        <w:t xml:space="preserve"> </w:t>
      </w:r>
      <w:r>
        <w:rPr>
          <w:spacing w:val="-2"/>
          <w:w w:val="105"/>
          <w:sz w:val="12"/>
        </w:rPr>
        <w:t>la</w:t>
      </w:r>
      <w:r>
        <w:rPr>
          <w:spacing w:val="1"/>
          <w:w w:val="105"/>
          <w:sz w:val="12"/>
        </w:rPr>
        <w:t xml:space="preserve"> </w:t>
      </w:r>
      <w:r>
        <w:rPr>
          <w:spacing w:val="-2"/>
          <w:w w:val="105"/>
          <w:sz w:val="12"/>
        </w:rPr>
        <w:t>baronesa</w:t>
      </w:r>
      <w:r>
        <w:rPr>
          <w:spacing w:val="1"/>
          <w:w w:val="105"/>
          <w:sz w:val="12"/>
        </w:rPr>
        <w:t xml:space="preserve"> </w:t>
      </w:r>
      <w:r>
        <w:rPr>
          <w:spacing w:val="-2"/>
          <w:w w:val="105"/>
          <w:sz w:val="12"/>
        </w:rPr>
        <w:t>Hale</w:t>
      </w:r>
      <w:r>
        <w:rPr>
          <w:w w:val="105"/>
          <w:sz w:val="12"/>
        </w:rPr>
        <w:t xml:space="preserve"> </w:t>
      </w:r>
      <w:r>
        <w:rPr>
          <w:spacing w:val="-2"/>
          <w:w w:val="105"/>
          <w:sz w:val="12"/>
        </w:rPr>
        <w:t>de</w:t>
      </w:r>
      <w:r>
        <w:rPr>
          <w:spacing w:val="1"/>
          <w:w w:val="105"/>
          <w:sz w:val="12"/>
        </w:rPr>
        <w:t xml:space="preserve"> </w:t>
      </w:r>
      <w:r>
        <w:rPr>
          <w:spacing w:val="-2"/>
          <w:w w:val="105"/>
          <w:sz w:val="12"/>
        </w:rPr>
        <w:t>Richmond.</w:t>
      </w:r>
    </w:p>
    <w:p w14:paraId="0FC5BA4B" w14:textId="77777777" w:rsidR="0014798C" w:rsidRDefault="0014798C">
      <w:pPr>
        <w:pStyle w:val="Textoindependiente"/>
        <w:spacing w:before="18"/>
        <w:rPr>
          <w:sz w:val="10"/>
        </w:rPr>
      </w:pPr>
    </w:p>
    <w:p w14:paraId="2F889229" w14:textId="77777777" w:rsidR="0014798C" w:rsidRDefault="004E1F0B">
      <w:pPr>
        <w:ind w:left="1105"/>
        <w:rPr>
          <w:sz w:val="10"/>
        </w:rPr>
      </w:pPr>
      <w:r>
        <w:rPr>
          <w:w w:val="105"/>
          <w:sz w:val="10"/>
        </w:rPr>
        <w:t>253</w:t>
      </w:r>
      <w:r>
        <w:rPr>
          <w:spacing w:val="-7"/>
          <w:w w:val="105"/>
          <w:sz w:val="10"/>
        </w:rPr>
        <w:t xml:space="preserve"> </w:t>
      </w:r>
      <w:r>
        <w:rPr>
          <w:w w:val="105"/>
          <w:sz w:val="10"/>
        </w:rPr>
        <w:t>Comité</w:t>
      </w:r>
      <w:r>
        <w:rPr>
          <w:spacing w:val="-7"/>
          <w:w w:val="105"/>
          <w:sz w:val="10"/>
        </w:rPr>
        <w:t xml:space="preserve"> </w:t>
      </w:r>
      <w:r>
        <w:rPr>
          <w:w w:val="105"/>
          <w:sz w:val="10"/>
        </w:rPr>
        <w:t>de</w:t>
      </w:r>
      <w:r>
        <w:rPr>
          <w:spacing w:val="-7"/>
          <w:w w:val="105"/>
          <w:sz w:val="10"/>
        </w:rPr>
        <w:t xml:space="preserve"> </w:t>
      </w:r>
      <w:r>
        <w:rPr>
          <w:w w:val="105"/>
          <w:sz w:val="10"/>
        </w:rPr>
        <w:t>Derechos</w:t>
      </w:r>
      <w:r>
        <w:rPr>
          <w:spacing w:val="-7"/>
          <w:w w:val="105"/>
          <w:sz w:val="10"/>
        </w:rPr>
        <w:t xml:space="preserve"> </w:t>
      </w:r>
      <w:r>
        <w:rPr>
          <w:w w:val="105"/>
          <w:sz w:val="10"/>
        </w:rPr>
        <w:t>Económicos,</w:t>
      </w:r>
      <w:r>
        <w:rPr>
          <w:spacing w:val="-7"/>
          <w:w w:val="105"/>
          <w:sz w:val="10"/>
        </w:rPr>
        <w:t xml:space="preserve"> </w:t>
      </w:r>
      <w:r>
        <w:rPr>
          <w:w w:val="105"/>
          <w:sz w:val="10"/>
        </w:rPr>
        <w:t>Sociales</w:t>
      </w:r>
      <w:r>
        <w:rPr>
          <w:spacing w:val="-6"/>
          <w:w w:val="105"/>
          <w:sz w:val="10"/>
        </w:rPr>
        <w:t xml:space="preserve"> </w:t>
      </w:r>
      <w:r>
        <w:rPr>
          <w:w w:val="105"/>
          <w:sz w:val="10"/>
        </w:rPr>
        <w:t>y</w:t>
      </w:r>
      <w:r>
        <w:rPr>
          <w:spacing w:val="-7"/>
          <w:w w:val="105"/>
          <w:sz w:val="10"/>
        </w:rPr>
        <w:t xml:space="preserve"> </w:t>
      </w:r>
      <w:r>
        <w:rPr>
          <w:w w:val="105"/>
          <w:sz w:val="10"/>
        </w:rPr>
        <w:t>Culturales,</w:t>
      </w:r>
      <w:r>
        <w:rPr>
          <w:spacing w:val="-7"/>
          <w:w w:val="105"/>
          <w:sz w:val="10"/>
        </w:rPr>
        <w:t xml:space="preserve"> </w:t>
      </w:r>
      <w:r>
        <w:rPr>
          <w:w w:val="105"/>
          <w:sz w:val="10"/>
        </w:rPr>
        <w:t>observación</w:t>
      </w:r>
      <w:r>
        <w:rPr>
          <w:spacing w:val="-7"/>
          <w:w w:val="105"/>
          <w:sz w:val="10"/>
        </w:rPr>
        <w:t xml:space="preserve"> </w:t>
      </w:r>
      <w:r>
        <w:rPr>
          <w:w w:val="105"/>
          <w:sz w:val="10"/>
        </w:rPr>
        <w:t>general</w:t>
      </w:r>
      <w:r>
        <w:rPr>
          <w:spacing w:val="-7"/>
          <w:w w:val="105"/>
          <w:sz w:val="10"/>
        </w:rPr>
        <w:t xml:space="preserve"> </w:t>
      </w:r>
      <w:r>
        <w:rPr>
          <w:w w:val="105"/>
          <w:sz w:val="10"/>
        </w:rPr>
        <w:t>núm.</w:t>
      </w:r>
      <w:r>
        <w:rPr>
          <w:spacing w:val="-6"/>
          <w:w w:val="105"/>
          <w:sz w:val="10"/>
        </w:rPr>
        <w:t xml:space="preserve"> </w:t>
      </w:r>
      <w:r>
        <w:rPr>
          <w:w w:val="105"/>
          <w:sz w:val="10"/>
        </w:rPr>
        <w:t>20</w:t>
      </w:r>
      <w:r>
        <w:rPr>
          <w:spacing w:val="-7"/>
          <w:w w:val="105"/>
          <w:sz w:val="10"/>
        </w:rPr>
        <w:t xml:space="preserve"> </w:t>
      </w:r>
      <w:r>
        <w:rPr>
          <w:w w:val="105"/>
          <w:sz w:val="10"/>
        </w:rPr>
        <w:t>(2009),</w:t>
      </w:r>
      <w:r>
        <w:rPr>
          <w:spacing w:val="-7"/>
          <w:w w:val="105"/>
          <w:sz w:val="10"/>
        </w:rPr>
        <w:t xml:space="preserve"> </w:t>
      </w:r>
      <w:r>
        <w:rPr>
          <w:w w:val="105"/>
          <w:sz w:val="10"/>
        </w:rPr>
        <w:t>párr.</w:t>
      </w:r>
      <w:r>
        <w:rPr>
          <w:spacing w:val="-7"/>
          <w:w w:val="105"/>
          <w:sz w:val="10"/>
        </w:rPr>
        <w:t xml:space="preserve"> </w:t>
      </w:r>
      <w:r>
        <w:rPr>
          <w:w w:val="105"/>
          <w:sz w:val="10"/>
        </w:rPr>
        <w:t>10</w:t>
      </w:r>
      <w:r>
        <w:rPr>
          <w:spacing w:val="-7"/>
          <w:w w:val="105"/>
          <w:sz w:val="10"/>
        </w:rPr>
        <w:t xml:space="preserve"> </w:t>
      </w:r>
      <w:proofErr w:type="gramStart"/>
      <w:r>
        <w:rPr>
          <w:sz w:val="10"/>
        </w:rPr>
        <w:t>a);</w:t>
      </w:r>
      <w:proofErr w:type="gramEnd"/>
      <w:r>
        <w:rPr>
          <w:spacing w:val="-5"/>
          <w:sz w:val="10"/>
        </w:rPr>
        <w:t xml:space="preserve"> </w:t>
      </w:r>
      <w:r>
        <w:rPr>
          <w:w w:val="105"/>
          <w:sz w:val="10"/>
        </w:rPr>
        <w:t>y</w:t>
      </w:r>
      <w:r>
        <w:rPr>
          <w:spacing w:val="-7"/>
          <w:w w:val="105"/>
          <w:sz w:val="10"/>
        </w:rPr>
        <w:t xml:space="preserve"> </w:t>
      </w:r>
      <w:r>
        <w:rPr>
          <w:w w:val="105"/>
          <w:sz w:val="10"/>
        </w:rPr>
        <w:t>Comité</w:t>
      </w:r>
      <w:r>
        <w:rPr>
          <w:spacing w:val="-7"/>
          <w:w w:val="105"/>
          <w:sz w:val="10"/>
        </w:rPr>
        <w:t xml:space="preserve"> </w:t>
      </w:r>
      <w:r>
        <w:rPr>
          <w:w w:val="105"/>
          <w:sz w:val="10"/>
        </w:rPr>
        <w:t>de</w:t>
      </w:r>
      <w:r>
        <w:rPr>
          <w:spacing w:val="-7"/>
          <w:w w:val="105"/>
          <w:sz w:val="10"/>
        </w:rPr>
        <w:t xml:space="preserve"> </w:t>
      </w:r>
      <w:r>
        <w:rPr>
          <w:w w:val="105"/>
          <w:sz w:val="10"/>
        </w:rPr>
        <w:t>los</w:t>
      </w:r>
      <w:r>
        <w:rPr>
          <w:spacing w:val="-6"/>
          <w:w w:val="105"/>
          <w:sz w:val="10"/>
        </w:rPr>
        <w:t xml:space="preserve"> </w:t>
      </w:r>
      <w:r>
        <w:rPr>
          <w:w w:val="105"/>
          <w:sz w:val="10"/>
        </w:rPr>
        <w:t>Derechos</w:t>
      </w:r>
      <w:r>
        <w:rPr>
          <w:spacing w:val="-7"/>
          <w:w w:val="105"/>
          <w:sz w:val="10"/>
        </w:rPr>
        <w:t xml:space="preserve"> </w:t>
      </w:r>
      <w:r>
        <w:rPr>
          <w:spacing w:val="-5"/>
          <w:w w:val="105"/>
          <w:sz w:val="10"/>
        </w:rPr>
        <w:t>de</w:t>
      </w:r>
    </w:p>
    <w:p w14:paraId="255BEA3D" w14:textId="77777777" w:rsidR="0014798C" w:rsidRDefault="004E1F0B">
      <w:pPr>
        <w:spacing w:before="31"/>
        <w:ind w:left="1367"/>
        <w:rPr>
          <w:sz w:val="12"/>
        </w:rPr>
      </w:pPr>
      <w:r>
        <w:rPr>
          <w:sz w:val="12"/>
        </w:rPr>
        <w:t>Personas</w:t>
      </w:r>
      <w:r>
        <w:rPr>
          <w:spacing w:val="6"/>
          <w:sz w:val="12"/>
        </w:rPr>
        <w:t xml:space="preserve"> </w:t>
      </w:r>
      <w:r>
        <w:rPr>
          <w:sz w:val="12"/>
        </w:rPr>
        <w:t>con</w:t>
      </w:r>
      <w:r>
        <w:rPr>
          <w:spacing w:val="8"/>
          <w:sz w:val="12"/>
        </w:rPr>
        <w:t xml:space="preserve"> </w:t>
      </w:r>
      <w:r>
        <w:rPr>
          <w:sz w:val="12"/>
        </w:rPr>
        <w:t>Discapacidad,</w:t>
      </w:r>
      <w:r>
        <w:rPr>
          <w:spacing w:val="9"/>
          <w:sz w:val="12"/>
        </w:rPr>
        <w:t xml:space="preserve"> </w:t>
      </w:r>
      <w:r>
        <w:rPr>
          <w:sz w:val="12"/>
        </w:rPr>
        <w:t>observación</w:t>
      </w:r>
      <w:r>
        <w:rPr>
          <w:spacing w:val="8"/>
          <w:sz w:val="12"/>
        </w:rPr>
        <w:t xml:space="preserve"> </w:t>
      </w:r>
      <w:r>
        <w:rPr>
          <w:sz w:val="12"/>
        </w:rPr>
        <w:t>general</w:t>
      </w:r>
      <w:r>
        <w:rPr>
          <w:spacing w:val="7"/>
          <w:sz w:val="12"/>
        </w:rPr>
        <w:t xml:space="preserve"> </w:t>
      </w:r>
      <w:r>
        <w:rPr>
          <w:sz w:val="12"/>
        </w:rPr>
        <w:t>núm.</w:t>
      </w:r>
      <w:r>
        <w:rPr>
          <w:spacing w:val="8"/>
          <w:sz w:val="12"/>
        </w:rPr>
        <w:t xml:space="preserve"> </w:t>
      </w:r>
      <w:r>
        <w:rPr>
          <w:sz w:val="12"/>
        </w:rPr>
        <w:t>6</w:t>
      </w:r>
      <w:r>
        <w:rPr>
          <w:spacing w:val="8"/>
          <w:sz w:val="12"/>
        </w:rPr>
        <w:t xml:space="preserve"> </w:t>
      </w:r>
      <w:r>
        <w:rPr>
          <w:sz w:val="12"/>
        </w:rPr>
        <w:t>(2018),</w:t>
      </w:r>
      <w:r>
        <w:rPr>
          <w:spacing w:val="8"/>
          <w:sz w:val="12"/>
        </w:rPr>
        <w:t xml:space="preserve"> </w:t>
      </w:r>
      <w:r>
        <w:rPr>
          <w:sz w:val="12"/>
        </w:rPr>
        <w:t>párr.</w:t>
      </w:r>
      <w:r>
        <w:rPr>
          <w:spacing w:val="7"/>
          <w:sz w:val="12"/>
        </w:rPr>
        <w:t xml:space="preserve"> </w:t>
      </w:r>
      <w:r>
        <w:rPr>
          <w:spacing w:val="-2"/>
          <w:sz w:val="12"/>
        </w:rPr>
        <w:t>18(a).</w:t>
      </w:r>
    </w:p>
    <w:p w14:paraId="5235FA9B" w14:textId="77777777" w:rsidR="0014798C" w:rsidRDefault="0014798C">
      <w:pPr>
        <w:pStyle w:val="Textoindependiente"/>
        <w:rPr>
          <w:sz w:val="18"/>
        </w:rPr>
      </w:pPr>
    </w:p>
    <w:p w14:paraId="7BDBDAFB" w14:textId="77777777" w:rsidR="0014798C" w:rsidRDefault="0014798C">
      <w:pPr>
        <w:pStyle w:val="Textoindependiente"/>
        <w:rPr>
          <w:sz w:val="18"/>
        </w:rPr>
      </w:pPr>
    </w:p>
    <w:p w14:paraId="3C6CC4BF" w14:textId="77777777" w:rsidR="0014798C" w:rsidRDefault="0014798C">
      <w:pPr>
        <w:pStyle w:val="Textoindependiente"/>
        <w:spacing w:before="30"/>
        <w:rPr>
          <w:sz w:val="18"/>
        </w:rPr>
      </w:pPr>
    </w:p>
    <w:p w14:paraId="33C4AD14" w14:textId="77777777" w:rsidR="0014798C" w:rsidRDefault="004E1F0B">
      <w:pPr>
        <w:ind w:right="721"/>
        <w:jc w:val="right"/>
        <w:rPr>
          <w:sz w:val="18"/>
        </w:rPr>
      </w:pPr>
      <w:r>
        <w:rPr>
          <w:spacing w:val="-5"/>
          <w:w w:val="105"/>
          <w:sz w:val="18"/>
        </w:rPr>
        <w:t>35</w:t>
      </w:r>
    </w:p>
    <w:p w14:paraId="1B309C01" w14:textId="77777777" w:rsidR="0014798C" w:rsidRDefault="0014798C">
      <w:pPr>
        <w:jc w:val="right"/>
        <w:rPr>
          <w:sz w:val="18"/>
        </w:rPr>
        <w:sectPr w:rsidR="0014798C" w:rsidSect="00F265E4">
          <w:type w:val="continuous"/>
          <w:pgSz w:w="11900" w:h="16820"/>
          <w:pgMar w:top="40" w:right="0" w:bottom="280" w:left="200" w:header="121" w:footer="0" w:gutter="0"/>
          <w:cols w:space="720"/>
        </w:sectPr>
      </w:pPr>
    </w:p>
    <w:p w14:paraId="32DD8DA2" w14:textId="77777777" w:rsidR="0014798C" w:rsidRDefault="0014798C">
      <w:pPr>
        <w:pStyle w:val="Textoindependiente"/>
        <w:spacing w:before="85"/>
        <w:rPr>
          <w:sz w:val="12"/>
        </w:rPr>
      </w:pPr>
    </w:p>
    <w:p w14:paraId="788F4D53" w14:textId="77777777" w:rsidR="0014798C" w:rsidRDefault="004E1F0B">
      <w:pPr>
        <w:ind w:left="1111"/>
        <w:rPr>
          <w:sz w:val="12"/>
        </w:rPr>
      </w:pPr>
      <w:r>
        <w:rPr>
          <w:color w:val="00AC59"/>
          <w:sz w:val="12"/>
        </w:rPr>
        <w:t>PROTECCIÓN</w:t>
      </w:r>
      <w:r>
        <w:rPr>
          <w:color w:val="00AC59"/>
          <w:spacing w:val="6"/>
          <w:sz w:val="12"/>
        </w:rPr>
        <w:t xml:space="preserve"> </w:t>
      </w:r>
      <w:r>
        <w:rPr>
          <w:color w:val="00AC59"/>
          <w:sz w:val="12"/>
        </w:rPr>
        <w:t>DE</w:t>
      </w:r>
      <w:r>
        <w:rPr>
          <w:color w:val="00AC59"/>
          <w:spacing w:val="7"/>
          <w:sz w:val="12"/>
        </w:rPr>
        <w:t xml:space="preserve"> </w:t>
      </w:r>
      <w:r>
        <w:rPr>
          <w:color w:val="00AC59"/>
          <w:sz w:val="12"/>
        </w:rPr>
        <w:t>LOS</w:t>
      </w:r>
      <w:r>
        <w:rPr>
          <w:color w:val="00AC59"/>
          <w:spacing w:val="8"/>
          <w:sz w:val="12"/>
        </w:rPr>
        <w:t xml:space="preserve"> </w:t>
      </w:r>
      <w:r>
        <w:rPr>
          <w:color w:val="00AC59"/>
          <w:sz w:val="12"/>
        </w:rPr>
        <w:t>DERECHOS</w:t>
      </w:r>
      <w:r>
        <w:rPr>
          <w:color w:val="00AC59"/>
          <w:spacing w:val="8"/>
          <w:sz w:val="12"/>
        </w:rPr>
        <w:t xml:space="preserve"> </w:t>
      </w:r>
      <w:r>
        <w:rPr>
          <w:color w:val="00AC59"/>
          <w:sz w:val="12"/>
        </w:rPr>
        <w:t>DE</w:t>
      </w:r>
      <w:r>
        <w:rPr>
          <w:color w:val="00AC59"/>
          <w:spacing w:val="6"/>
          <w:sz w:val="12"/>
        </w:rPr>
        <w:t xml:space="preserve"> </w:t>
      </w:r>
      <w:r>
        <w:rPr>
          <w:color w:val="00AC59"/>
          <w:sz w:val="12"/>
        </w:rPr>
        <w:t>LAS</w:t>
      </w:r>
      <w:r>
        <w:rPr>
          <w:color w:val="00AC59"/>
          <w:spacing w:val="7"/>
          <w:sz w:val="12"/>
        </w:rPr>
        <w:t xml:space="preserve"> </w:t>
      </w:r>
      <w:r>
        <w:rPr>
          <w:color w:val="00AC59"/>
          <w:sz w:val="12"/>
        </w:rPr>
        <w:t>MINORÍAS:</w:t>
      </w:r>
      <w:r>
        <w:rPr>
          <w:color w:val="00AC59"/>
          <w:spacing w:val="8"/>
          <w:sz w:val="12"/>
        </w:rPr>
        <w:t xml:space="preserve"> </w:t>
      </w:r>
      <w:r>
        <w:rPr>
          <w:color w:val="00AC59"/>
          <w:sz w:val="12"/>
        </w:rPr>
        <w:t>una</w:t>
      </w:r>
      <w:r>
        <w:rPr>
          <w:color w:val="00AC59"/>
          <w:spacing w:val="7"/>
          <w:sz w:val="12"/>
        </w:rPr>
        <w:t xml:space="preserve"> </w:t>
      </w:r>
      <w:r>
        <w:rPr>
          <w:color w:val="00AC59"/>
          <w:sz w:val="12"/>
        </w:rPr>
        <w:t>guía</w:t>
      </w:r>
      <w:r>
        <w:rPr>
          <w:color w:val="00AC59"/>
          <w:spacing w:val="6"/>
          <w:sz w:val="12"/>
        </w:rPr>
        <w:t xml:space="preserve"> </w:t>
      </w:r>
      <w:r>
        <w:rPr>
          <w:color w:val="00AC59"/>
          <w:sz w:val="12"/>
        </w:rPr>
        <w:t>práctica</w:t>
      </w:r>
      <w:r>
        <w:rPr>
          <w:color w:val="00AC59"/>
          <w:spacing w:val="7"/>
          <w:sz w:val="12"/>
        </w:rPr>
        <w:t xml:space="preserve"> </w:t>
      </w:r>
      <w:r>
        <w:rPr>
          <w:color w:val="00AC59"/>
          <w:sz w:val="12"/>
        </w:rPr>
        <w:t>para</w:t>
      </w:r>
      <w:r>
        <w:rPr>
          <w:color w:val="00AC59"/>
          <w:spacing w:val="8"/>
          <w:sz w:val="12"/>
        </w:rPr>
        <w:t xml:space="preserve"> </w:t>
      </w:r>
      <w:r>
        <w:rPr>
          <w:color w:val="00AC59"/>
          <w:sz w:val="12"/>
        </w:rPr>
        <w:t>desarrollar</w:t>
      </w:r>
      <w:r>
        <w:rPr>
          <w:color w:val="00AC59"/>
          <w:spacing w:val="6"/>
          <w:sz w:val="12"/>
        </w:rPr>
        <w:t xml:space="preserve"> </w:t>
      </w:r>
      <w:r>
        <w:rPr>
          <w:color w:val="00AC59"/>
          <w:sz w:val="12"/>
        </w:rPr>
        <w:t>una</w:t>
      </w:r>
      <w:r>
        <w:rPr>
          <w:color w:val="00AC59"/>
          <w:spacing w:val="7"/>
          <w:sz w:val="12"/>
        </w:rPr>
        <w:t xml:space="preserve"> </w:t>
      </w:r>
      <w:r>
        <w:rPr>
          <w:color w:val="00AC59"/>
          <w:sz w:val="12"/>
        </w:rPr>
        <w:t>legislación</w:t>
      </w:r>
      <w:r>
        <w:rPr>
          <w:color w:val="00AC59"/>
          <w:spacing w:val="8"/>
          <w:sz w:val="12"/>
        </w:rPr>
        <w:t xml:space="preserve"> </w:t>
      </w:r>
      <w:r>
        <w:rPr>
          <w:color w:val="00AC59"/>
          <w:sz w:val="12"/>
        </w:rPr>
        <w:t>integral</w:t>
      </w:r>
      <w:r>
        <w:rPr>
          <w:color w:val="00AC59"/>
          <w:spacing w:val="7"/>
          <w:sz w:val="12"/>
        </w:rPr>
        <w:t xml:space="preserve"> </w:t>
      </w:r>
      <w:r>
        <w:rPr>
          <w:color w:val="00AC59"/>
          <w:sz w:val="12"/>
        </w:rPr>
        <w:t>contra</w:t>
      </w:r>
      <w:r>
        <w:rPr>
          <w:color w:val="00AC59"/>
          <w:spacing w:val="6"/>
          <w:sz w:val="12"/>
        </w:rPr>
        <w:t xml:space="preserve"> </w:t>
      </w:r>
      <w:r>
        <w:rPr>
          <w:color w:val="00AC59"/>
          <w:sz w:val="12"/>
        </w:rPr>
        <w:t>la</w:t>
      </w:r>
      <w:r>
        <w:rPr>
          <w:color w:val="00AC59"/>
          <w:spacing w:val="7"/>
          <w:sz w:val="12"/>
        </w:rPr>
        <w:t xml:space="preserve"> </w:t>
      </w:r>
      <w:r>
        <w:rPr>
          <w:color w:val="00AC59"/>
          <w:spacing w:val="-2"/>
          <w:sz w:val="12"/>
        </w:rPr>
        <w:t>discriminación</w:t>
      </w:r>
    </w:p>
    <w:p w14:paraId="2C966250" w14:textId="77777777" w:rsidR="0014798C" w:rsidRDefault="0014798C">
      <w:pPr>
        <w:pStyle w:val="Textoindependiente"/>
      </w:pPr>
    </w:p>
    <w:p w14:paraId="204665F7" w14:textId="77777777" w:rsidR="0014798C" w:rsidRDefault="0014798C">
      <w:pPr>
        <w:pStyle w:val="Textoindependiente"/>
      </w:pPr>
    </w:p>
    <w:p w14:paraId="47C27279" w14:textId="77777777" w:rsidR="0014798C" w:rsidRDefault="0014798C">
      <w:pPr>
        <w:pStyle w:val="Textoindependiente"/>
      </w:pPr>
    </w:p>
    <w:p w14:paraId="09AE5936" w14:textId="77777777" w:rsidR="0014798C" w:rsidRDefault="0014798C">
      <w:pPr>
        <w:pStyle w:val="Textoindependiente"/>
      </w:pPr>
    </w:p>
    <w:p w14:paraId="00A12A83" w14:textId="77777777" w:rsidR="0014798C" w:rsidRDefault="0014798C">
      <w:pPr>
        <w:pStyle w:val="Textoindependiente"/>
        <w:spacing w:before="62"/>
      </w:pPr>
    </w:p>
    <w:p w14:paraId="41E8986A" w14:textId="77777777" w:rsidR="0014798C" w:rsidRDefault="004E1F0B">
      <w:pPr>
        <w:pStyle w:val="Textoindependiente"/>
        <w:spacing w:line="340" w:lineRule="auto"/>
        <w:ind w:left="1337" w:right="1272" w:hanging="5"/>
      </w:pPr>
      <w:r>
        <w:rPr>
          <w:noProof/>
        </w:rPr>
        <w:drawing>
          <wp:anchor distT="0" distB="0" distL="0" distR="0" simplePos="0" relativeHeight="251658385" behindDoc="1" locked="0" layoutInCell="1" allowOverlap="1" wp14:anchorId="1AB1D7A1" wp14:editId="33A9F14A">
            <wp:simplePos x="0" y="0"/>
            <wp:positionH relativeFrom="page">
              <wp:posOffset>786199</wp:posOffset>
            </wp:positionH>
            <wp:positionV relativeFrom="paragraph">
              <wp:posOffset>-149973</wp:posOffset>
            </wp:positionV>
            <wp:extent cx="5975115" cy="7373592"/>
            <wp:effectExtent l="0" t="0" r="0" b="0"/>
            <wp:wrapNone/>
            <wp:docPr id="117" name="Image 11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17" name="Image 117"/>
                    <pic:cNvPicPr/>
                  </pic:nvPicPr>
                  <pic:blipFill>
                    <a:blip r:embed="rId116" cstate="print"/>
                    <a:stretch>
                      <a:fillRect/>
                    </a:stretch>
                  </pic:blipFill>
                  <pic:spPr>
                    <a:xfrm>
                      <a:off x="0" y="0"/>
                      <a:ext cx="5975115" cy="7373592"/>
                    </a:xfrm>
                    <a:prstGeom prst="rect">
                      <a:avLst/>
                    </a:prstGeom>
                  </pic:spPr>
                </pic:pic>
              </a:graphicData>
            </a:graphic>
          </wp:anchor>
        </w:drawing>
      </w:r>
      <w:r>
        <w:t>víctimas de discriminación254 y, a menudo, perjudiciales para su reclamación. Así, en casos de discriminación directa e indirecta, es ilegítimo desestimar una reclamación basándose en la ausencia de un comparador.</w:t>
      </w:r>
    </w:p>
    <w:p w14:paraId="132BF686" w14:textId="77777777" w:rsidR="0014798C" w:rsidRDefault="004E1F0B">
      <w:pPr>
        <w:pStyle w:val="Textoindependiente"/>
        <w:spacing w:before="102" w:line="326" w:lineRule="auto"/>
        <w:ind w:left="1335" w:right="2004" w:hanging="3"/>
      </w:pPr>
      <w:r>
        <w:t>El uso de un comparador no es necesario – y de hecho es inapropiado – al considerar reclamos de acoso, falta de realización de ajustes razonables o victimización, conceptos que se analizan a continuación.</w:t>
      </w:r>
    </w:p>
    <w:p w14:paraId="189D33B8" w14:textId="77777777" w:rsidR="0014798C" w:rsidRDefault="0014798C">
      <w:pPr>
        <w:pStyle w:val="Textoindependiente"/>
        <w:spacing w:before="130"/>
        <w:rPr>
          <w:sz w:val="24"/>
        </w:rPr>
      </w:pPr>
    </w:p>
    <w:p w14:paraId="61D5E6CB" w14:textId="77777777" w:rsidR="0014798C" w:rsidRDefault="004E1F0B">
      <w:pPr>
        <w:numPr>
          <w:ilvl w:val="0"/>
          <w:numId w:val="78"/>
        </w:numPr>
        <w:tabs>
          <w:tab w:val="left" w:pos="1387"/>
        </w:tabs>
        <w:ind w:left="1387" w:hanging="272"/>
        <w:rPr>
          <w:sz w:val="24"/>
        </w:rPr>
      </w:pPr>
      <w:r>
        <w:rPr>
          <w:sz w:val="24"/>
        </w:rPr>
        <w:t>Acoso</w:t>
      </w:r>
      <w:r>
        <w:rPr>
          <w:spacing w:val="7"/>
          <w:sz w:val="24"/>
        </w:rPr>
        <w:t xml:space="preserve"> </w:t>
      </w:r>
      <w:r>
        <w:rPr>
          <w:sz w:val="24"/>
        </w:rPr>
        <w:t>en</w:t>
      </w:r>
      <w:r>
        <w:rPr>
          <w:spacing w:val="8"/>
          <w:sz w:val="24"/>
        </w:rPr>
        <w:t xml:space="preserve"> </w:t>
      </w:r>
      <w:r>
        <w:rPr>
          <w:spacing w:val="-2"/>
          <w:sz w:val="24"/>
        </w:rPr>
        <w:t>tierra</w:t>
      </w:r>
    </w:p>
    <w:p w14:paraId="6603E87D" w14:textId="77777777" w:rsidR="0014798C" w:rsidRDefault="0014798C">
      <w:pPr>
        <w:pStyle w:val="Textoindependiente"/>
      </w:pPr>
    </w:p>
    <w:p w14:paraId="3EFAEF15" w14:textId="77777777" w:rsidR="0014798C" w:rsidRDefault="0014798C">
      <w:pPr>
        <w:pStyle w:val="Textoindependiente"/>
      </w:pPr>
    </w:p>
    <w:p w14:paraId="3BB2D325" w14:textId="77777777" w:rsidR="0014798C" w:rsidRDefault="004E1F0B">
      <w:pPr>
        <w:pStyle w:val="Textoindependiente"/>
        <w:ind w:left="1335"/>
      </w:pPr>
      <w:r>
        <w:rPr>
          <w:color w:val="FFFFFF"/>
          <w:spacing w:val="-2"/>
        </w:rPr>
        <w:t>RESUMEN</w:t>
      </w:r>
    </w:p>
    <w:p w14:paraId="565AF61A" w14:textId="77777777" w:rsidR="0014798C" w:rsidRDefault="0014798C">
      <w:pPr>
        <w:pStyle w:val="Textoindependiente"/>
        <w:spacing w:before="149"/>
      </w:pPr>
    </w:p>
    <w:p w14:paraId="7AA01E1B" w14:textId="77777777" w:rsidR="0014798C" w:rsidRDefault="004E1F0B">
      <w:pPr>
        <w:pStyle w:val="Prrafodelista"/>
        <w:numPr>
          <w:ilvl w:val="1"/>
          <w:numId w:val="78"/>
        </w:numPr>
        <w:tabs>
          <w:tab w:val="left" w:pos="1459"/>
          <w:tab w:val="left" w:pos="1559"/>
        </w:tabs>
        <w:spacing w:before="1" w:line="326" w:lineRule="auto"/>
        <w:ind w:left="1559" w:right="1483" w:hanging="201"/>
        <w:rPr>
          <w:color w:val="0075BF"/>
          <w:sz w:val="16"/>
        </w:rPr>
      </w:pPr>
      <w:r>
        <w:rPr>
          <w:sz w:val="16"/>
        </w:rPr>
        <w:t>La legislación contra la discriminación debería prohibir el acoso. El acoso terrestre ocurre cuando se produce una</w:t>
      </w:r>
      <w:r>
        <w:rPr>
          <w:spacing w:val="80"/>
          <w:sz w:val="16"/>
        </w:rPr>
        <w:t xml:space="preserve"> </w:t>
      </w:r>
      <w:r>
        <w:rPr>
          <w:sz w:val="16"/>
        </w:rPr>
        <w:t>conducta no deseada relacionada con cualquier motivo de discriminación con el propósito o efecto de violar la dignidad</w:t>
      </w:r>
      <w:r>
        <w:rPr>
          <w:spacing w:val="40"/>
          <w:sz w:val="16"/>
        </w:rPr>
        <w:t xml:space="preserve"> </w:t>
      </w:r>
      <w:r>
        <w:rPr>
          <w:sz w:val="16"/>
        </w:rPr>
        <w:t>de una persona y crear un ambiente intimidante, hostil, degradante, humillante u ofensivo.</w:t>
      </w:r>
    </w:p>
    <w:p w14:paraId="6BAFE9C4" w14:textId="77777777" w:rsidR="0014798C" w:rsidRDefault="0014798C">
      <w:pPr>
        <w:pStyle w:val="Textoindependiente"/>
        <w:spacing w:before="177"/>
      </w:pPr>
    </w:p>
    <w:p w14:paraId="56A7FD10" w14:textId="77777777" w:rsidR="0014798C" w:rsidRDefault="004E1F0B">
      <w:pPr>
        <w:pStyle w:val="Prrafodelista"/>
        <w:numPr>
          <w:ilvl w:val="1"/>
          <w:numId w:val="78"/>
        </w:numPr>
        <w:tabs>
          <w:tab w:val="left" w:pos="1459"/>
        </w:tabs>
        <w:ind w:left="1459" w:hanging="101"/>
        <w:rPr>
          <w:color w:val="0075BF"/>
          <w:sz w:val="16"/>
        </w:rPr>
      </w:pPr>
      <w:r>
        <w:rPr>
          <w:sz w:val="16"/>
        </w:rPr>
        <w:t>El</w:t>
      </w:r>
      <w:r>
        <w:rPr>
          <w:spacing w:val="4"/>
          <w:sz w:val="16"/>
        </w:rPr>
        <w:t xml:space="preserve"> </w:t>
      </w:r>
      <w:r>
        <w:rPr>
          <w:sz w:val="16"/>
        </w:rPr>
        <w:t>acoso</w:t>
      </w:r>
      <w:r>
        <w:rPr>
          <w:spacing w:val="5"/>
          <w:sz w:val="16"/>
        </w:rPr>
        <w:t xml:space="preserve"> </w:t>
      </w:r>
      <w:r>
        <w:rPr>
          <w:sz w:val="16"/>
        </w:rPr>
        <w:t>puede</w:t>
      </w:r>
      <w:r>
        <w:rPr>
          <w:spacing w:val="5"/>
          <w:sz w:val="16"/>
        </w:rPr>
        <w:t xml:space="preserve"> </w:t>
      </w:r>
      <w:r>
        <w:rPr>
          <w:sz w:val="16"/>
        </w:rPr>
        <w:t>cometerse</w:t>
      </w:r>
      <w:r>
        <w:rPr>
          <w:spacing w:val="5"/>
          <w:sz w:val="16"/>
        </w:rPr>
        <w:t xml:space="preserve"> </w:t>
      </w:r>
      <w:r>
        <w:rPr>
          <w:sz w:val="16"/>
        </w:rPr>
        <w:t>intencionalmente</w:t>
      </w:r>
      <w:r>
        <w:rPr>
          <w:spacing w:val="5"/>
          <w:sz w:val="16"/>
        </w:rPr>
        <w:t xml:space="preserve"> </w:t>
      </w:r>
      <w:r>
        <w:rPr>
          <w:sz w:val="16"/>
        </w:rPr>
        <w:t>o</w:t>
      </w:r>
      <w:r>
        <w:rPr>
          <w:spacing w:val="5"/>
          <w:sz w:val="16"/>
        </w:rPr>
        <w:t xml:space="preserve"> </w:t>
      </w:r>
      <w:r>
        <w:rPr>
          <w:spacing w:val="-5"/>
          <w:sz w:val="16"/>
        </w:rPr>
        <w:t>no.</w:t>
      </w:r>
    </w:p>
    <w:p w14:paraId="05A42835" w14:textId="77777777" w:rsidR="0014798C" w:rsidRDefault="004E1F0B">
      <w:pPr>
        <w:pStyle w:val="Prrafodelista"/>
        <w:numPr>
          <w:ilvl w:val="1"/>
          <w:numId w:val="78"/>
        </w:numPr>
        <w:tabs>
          <w:tab w:val="left" w:pos="1458"/>
          <w:tab w:val="left" w:pos="1560"/>
        </w:tabs>
        <w:spacing w:before="179" w:line="326" w:lineRule="auto"/>
        <w:ind w:left="1560" w:right="1674" w:hanging="203"/>
        <w:rPr>
          <w:color w:val="0075BF"/>
          <w:sz w:val="16"/>
        </w:rPr>
      </w:pPr>
      <w:r>
        <w:rPr>
          <w:sz w:val="16"/>
        </w:rPr>
        <w:t>El acoso sexual es una forma discreta de daño que implica una conducta de naturaleza sexual. El deber de prohibir el acoso sexual constituye una obligación paralela específica de los Estados. Cuando la prohibición del acoso sexual</w:t>
      </w:r>
      <w:r>
        <w:rPr>
          <w:spacing w:val="40"/>
          <w:sz w:val="16"/>
        </w:rPr>
        <w:t xml:space="preserve"> </w:t>
      </w:r>
      <w:r>
        <w:rPr>
          <w:sz w:val="16"/>
        </w:rPr>
        <w:t>esté establecida en la legislación contra la discriminación, debería definirse por separado y acompañarse de la prohibición del acoso en el terreno.</w:t>
      </w:r>
    </w:p>
    <w:p w14:paraId="05A7211F" w14:textId="77777777" w:rsidR="0014798C" w:rsidRDefault="0014798C">
      <w:pPr>
        <w:pStyle w:val="Textoindependiente"/>
      </w:pPr>
    </w:p>
    <w:p w14:paraId="77AE47A6" w14:textId="77777777" w:rsidR="0014798C" w:rsidRDefault="0014798C">
      <w:pPr>
        <w:pStyle w:val="Textoindependiente"/>
        <w:spacing w:before="140"/>
      </w:pPr>
    </w:p>
    <w:p w14:paraId="73FF9DA4" w14:textId="77777777" w:rsidR="0014798C" w:rsidRDefault="004E1F0B">
      <w:pPr>
        <w:pStyle w:val="Textoindependiente"/>
        <w:spacing w:line="326" w:lineRule="auto"/>
        <w:ind w:left="1107" w:right="1378" w:firstLine="7"/>
      </w:pPr>
      <w:r>
        <w:t xml:space="preserve">El acoso basado en el terreno es una forma de discriminación que ocurre cuando un individuo experimenta una conducta no deseada, relacionada con un motivo de discriminación, que viola la dignidad y crea un ambiente intimidante, hostil, degradante, humillante u ofensivo, o que tiene este propósito, incluso si fracasado. </w:t>
      </w:r>
      <w:proofErr w:type="gramStart"/>
      <w:r>
        <w:t>Una amplia gama de actos pueden</w:t>
      </w:r>
      <w:proofErr w:type="gramEnd"/>
      <w:r>
        <w:t xml:space="preserve"> caer dentro de esta definición, incluidas las palabras, acciones y otros comportamientos de un individuo.255 Al igual que con otras formas de discriminación, la intención o la motivación no es necesaria para probar el acoso; basta con que la conducta en cuestión tenga</w:t>
      </w:r>
      <w:r>
        <w:rPr>
          <w:spacing w:val="40"/>
        </w:rPr>
        <w:t xml:space="preserve"> </w:t>
      </w:r>
      <w:r>
        <w:t>el efecto de violar la dignidad y de crear un ambiente hostil.256</w:t>
      </w:r>
    </w:p>
    <w:p w14:paraId="304FA3FA" w14:textId="77777777" w:rsidR="0014798C" w:rsidRDefault="004E1F0B">
      <w:pPr>
        <w:pStyle w:val="Textoindependiente"/>
        <w:spacing w:before="167" w:line="326" w:lineRule="auto"/>
        <w:ind w:left="1108" w:right="1463" w:firstLine="6"/>
      </w:pPr>
      <w:r>
        <w:t>El acoso terrestre también puede ocurrir en situaciones en las que un individuo o grupo es deliberadamente excluido o atacado sobre la base de una característica protegida. En la India, por ejemplo, los activistas contra la discriminación han puesto de</w:t>
      </w:r>
      <w:r>
        <w:rPr>
          <w:spacing w:val="40"/>
        </w:rPr>
        <w:t xml:space="preserve"> </w:t>
      </w:r>
      <w:r>
        <w:t>relieve la preocupación por la práctica de exclusión social o boicot económico de individuos por parte de una comunidad</w:t>
      </w:r>
      <w:r>
        <w:rPr>
          <w:spacing w:val="40"/>
        </w:rPr>
        <w:t xml:space="preserve"> </w:t>
      </w:r>
      <w:r>
        <w:t>particular, por motivos de casta, religión o etnia.</w:t>
      </w:r>
    </w:p>
    <w:p w14:paraId="7A5269FC" w14:textId="77777777" w:rsidR="0014798C" w:rsidRDefault="004E1F0B">
      <w:pPr>
        <w:spacing w:before="139" w:line="307" w:lineRule="auto"/>
        <w:ind w:left="1107" w:right="1272" w:firstLine="1"/>
        <w:rPr>
          <w:sz w:val="17"/>
        </w:rPr>
      </w:pPr>
      <w:r>
        <w:rPr>
          <w:sz w:val="17"/>
        </w:rPr>
        <w:t>En algunas jurisdicciones, existe un delito penal diferenciado y separado de acoso que no forma parte de la ley contra la discriminación.257</w:t>
      </w:r>
      <w:r>
        <w:rPr>
          <w:spacing w:val="-9"/>
          <w:sz w:val="17"/>
        </w:rPr>
        <w:t xml:space="preserve"> </w:t>
      </w:r>
      <w:r>
        <w:rPr>
          <w:sz w:val="17"/>
        </w:rPr>
        <w:t>Dichos</w:t>
      </w:r>
      <w:r>
        <w:rPr>
          <w:spacing w:val="-9"/>
          <w:sz w:val="17"/>
        </w:rPr>
        <w:t xml:space="preserve"> </w:t>
      </w:r>
      <w:r>
        <w:rPr>
          <w:sz w:val="17"/>
        </w:rPr>
        <w:t>delitos</w:t>
      </w:r>
      <w:r>
        <w:rPr>
          <w:spacing w:val="-9"/>
          <w:sz w:val="17"/>
        </w:rPr>
        <w:t xml:space="preserve"> </w:t>
      </w:r>
      <w:r>
        <w:rPr>
          <w:sz w:val="17"/>
        </w:rPr>
        <w:t>cubren,</w:t>
      </w:r>
      <w:r>
        <w:rPr>
          <w:spacing w:val="-8"/>
          <w:sz w:val="17"/>
        </w:rPr>
        <w:t xml:space="preserve"> </w:t>
      </w:r>
      <w:r>
        <w:rPr>
          <w:sz w:val="17"/>
        </w:rPr>
        <w:t>por</w:t>
      </w:r>
      <w:r>
        <w:rPr>
          <w:spacing w:val="-9"/>
          <w:sz w:val="17"/>
        </w:rPr>
        <w:t xml:space="preserve"> </w:t>
      </w:r>
      <w:r>
        <w:rPr>
          <w:sz w:val="17"/>
        </w:rPr>
        <w:t>ejemplo,</w:t>
      </w:r>
      <w:r>
        <w:rPr>
          <w:spacing w:val="-8"/>
          <w:sz w:val="17"/>
        </w:rPr>
        <w:t xml:space="preserve"> </w:t>
      </w:r>
      <w:r>
        <w:rPr>
          <w:sz w:val="17"/>
        </w:rPr>
        <w:t>abuso,</w:t>
      </w:r>
      <w:r>
        <w:rPr>
          <w:spacing w:val="-9"/>
          <w:sz w:val="17"/>
        </w:rPr>
        <w:t xml:space="preserve"> </w:t>
      </w:r>
      <w:r>
        <w:rPr>
          <w:sz w:val="17"/>
        </w:rPr>
        <w:t>intimidación,</w:t>
      </w:r>
      <w:r>
        <w:rPr>
          <w:spacing w:val="-8"/>
          <w:sz w:val="17"/>
        </w:rPr>
        <w:t xml:space="preserve"> </w:t>
      </w:r>
      <w:r>
        <w:rPr>
          <w:sz w:val="17"/>
        </w:rPr>
        <w:t>tocamientos</w:t>
      </w:r>
      <w:r>
        <w:rPr>
          <w:spacing w:val="-9"/>
          <w:sz w:val="17"/>
        </w:rPr>
        <w:t xml:space="preserve"> </w:t>
      </w:r>
      <w:r>
        <w:rPr>
          <w:sz w:val="17"/>
        </w:rPr>
        <w:t>no</w:t>
      </w:r>
      <w:r>
        <w:rPr>
          <w:spacing w:val="-9"/>
          <w:sz w:val="17"/>
        </w:rPr>
        <w:t xml:space="preserve"> </w:t>
      </w:r>
      <w:r>
        <w:rPr>
          <w:sz w:val="17"/>
        </w:rPr>
        <w:t>deseados</w:t>
      </w:r>
      <w:r>
        <w:rPr>
          <w:spacing w:val="-9"/>
          <w:sz w:val="17"/>
        </w:rPr>
        <w:t xml:space="preserve"> </w:t>
      </w:r>
      <w:r>
        <w:rPr>
          <w:sz w:val="17"/>
        </w:rPr>
        <w:t>u</w:t>
      </w:r>
      <w:r>
        <w:rPr>
          <w:spacing w:val="-9"/>
          <w:sz w:val="17"/>
        </w:rPr>
        <w:t xml:space="preserve"> </w:t>
      </w:r>
      <w:r>
        <w:rPr>
          <w:sz w:val="17"/>
        </w:rPr>
        <w:t>otro</w:t>
      </w:r>
      <w:r>
        <w:rPr>
          <w:spacing w:val="-9"/>
          <w:sz w:val="17"/>
        </w:rPr>
        <w:t xml:space="preserve"> </w:t>
      </w:r>
      <w:r>
        <w:rPr>
          <w:sz w:val="17"/>
        </w:rPr>
        <w:t>comportamiento que</w:t>
      </w:r>
      <w:r>
        <w:rPr>
          <w:spacing w:val="-1"/>
          <w:sz w:val="17"/>
        </w:rPr>
        <w:t xml:space="preserve"> </w:t>
      </w:r>
      <w:r>
        <w:rPr>
          <w:sz w:val="17"/>
        </w:rPr>
        <w:t>haga</w:t>
      </w:r>
      <w:r>
        <w:rPr>
          <w:spacing w:val="-1"/>
          <w:sz w:val="17"/>
        </w:rPr>
        <w:t xml:space="preserve"> </w:t>
      </w:r>
      <w:r>
        <w:rPr>
          <w:sz w:val="17"/>
        </w:rPr>
        <w:t>que</w:t>
      </w:r>
      <w:r>
        <w:rPr>
          <w:spacing w:val="-1"/>
          <w:sz w:val="17"/>
        </w:rPr>
        <w:t xml:space="preserve"> </w:t>
      </w:r>
      <w:r>
        <w:rPr>
          <w:sz w:val="17"/>
        </w:rPr>
        <w:t>una</w:t>
      </w:r>
      <w:r>
        <w:rPr>
          <w:spacing w:val="-1"/>
          <w:sz w:val="17"/>
        </w:rPr>
        <w:t xml:space="preserve"> </w:t>
      </w:r>
      <w:r>
        <w:rPr>
          <w:sz w:val="17"/>
        </w:rPr>
        <w:t>persona</w:t>
      </w:r>
      <w:r>
        <w:rPr>
          <w:spacing w:val="-1"/>
          <w:sz w:val="17"/>
        </w:rPr>
        <w:t xml:space="preserve"> </w:t>
      </w:r>
      <w:r>
        <w:rPr>
          <w:sz w:val="17"/>
        </w:rPr>
        <w:t>se</w:t>
      </w:r>
      <w:r>
        <w:rPr>
          <w:spacing w:val="-1"/>
          <w:sz w:val="17"/>
        </w:rPr>
        <w:t xml:space="preserve"> </w:t>
      </w:r>
      <w:r>
        <w:rPr>
          <w:sz w:val="17"/>
        </w:rPr>
        <w:t>sienta</w:t>
      </w:r>
      <w:r>
        <w:rPr>
          <w:spacing w:val="-1"/>
          <w:sz w:val="17"/>
        </w:rPr>
        <w:t xml:space="preserve"> </w:t>
      </w:r>
      <w:r>
        <w:rPr>
          <w:sz w:val="17"/>
        </w:rPr>
        <w:t>angustiada</w:t>
      </w:r>
      <w:r>
        <w:rPr>
          <w:spacing w:val="-1"/>
          <w:sz w:val="17"/>
        </w:rPr>
        <w:t xml:space="preserve"> </w:t>
      </w:r>
      <w:r>
        <w:rPr>
          <w:sz w:val="17"/>
        </w:rPr>
        <w:t>o</w:t>
      </w:r>
      <w:r>
        <w:rPr>
          <w:spacing w:val="-1"/>
          <w:sz w:val="17"/>
        </w:rPr>
        <w:t xml:space="preserve"> </w:t>
      </w:r>
      <w:r>
        <w:rPr>
          <w:sz w:val="17"/>
        </w:rPr>
        <w:t>amenazada. pero</w:t>
      </w:r>
      <w:r>
        <w:rPr>
          <w:spacing w:val="-1"/>
          <w:sz w:val="17"/>
        </w:rPr>
        <w:t xml:space="preserve"> </w:t>
      </w:r>
      <w:r>
        <w:rPr>
          <w:sz w:val="17"/>
        </w:rPr>
        <w:t>eso</w:t>
      </w:r>
      <w:r>
        <w:rPr>
          <w:spacing w:val="-1"/>
          <w:sz w:val="17"/>
        </w:rPr>
        <w:t xml:space="preserve"> </w:t>
      </w:r>
      <w:r>
        <w:rPr>
          <w:sz w:val="17"/>
        </w:rPr>
        <w:t>no</w:t>
      </w:r>
      <w:r>
        <w:rPr>
          <w:spacing w:val="-1"/>
          <w:sz w:val="17"/>
        </w:rPr>
        <w:t xml:space="preserve"> </w:t>
      </w:r>
      <w:r>
        <w:rPr>
          <w:sz w:val="17"/>
        </w:rPr>
        <w:t>tiene</w:t>
      </w:r>
      <w:r>
        <w:rPr>
          <w:spacing w:val="-1"/>
          <w:sz w:val="17"/>
        </w:rPr>
        <w:t xml:space="preserve"> </w:t>
      </w:r>
      <w:r>
        <w:rPr>
          <w:sz w:val="17"/>
        </w:rPr>
        <w:t>relación</w:t>
      </w:r>
      <w:r>
        <w:rPr>
          <w:spacing w:val="-1"/>
          <w:sz w:val="17"/>
        </w:rPr>
        <w:t xml:space="preserve"> </w:t>
      </w:r>
      <w:r>
        <w:rPr>
          <w:sz w:val="17"/>
        </w:rPr>
        <w:t>con</w:t>
      </w:r>
      <w:r>
        <w:rPr>
          <w:spacing w:val="-1"/>
          <w:sz w:val="17"/>
        </w:rPr>
        <w:t xml:space="preserve"> </w:t>
      </w:r>
      <w:r>
        <w:rPr>
          <w:sz w:val="17"/>
        </w:rPr>
        <w:t>un</w:t>
      </w:r>
      <w:r>
        <w:rPr>
          <w:spacing w:val="-1"/>
          <w:sz w:val="17"/>
        </w:rPr>
        <w:t xml:space="preserve"> </w:t>
      </w:r>
      <w:r>
        <w:rPr>
          <w:sz w:val="17"/>
        </w:rPr>
        <w:t>motivo</w:t>
      </w:r>
      <w:r>
        <w:rPr>
          <w:spacing w:val="-1"/>
          <w:sz w:val="17"/>
        </w:rPr>
        <w:t xml:space="preserve"> </w:t>
      </w:r>
      <w:r>
        <w:rPr>
          <w:sz w:val="17"/>
        </w:rPr>
        <w:t>de</w:t>
      </w:r>
      <w:r>
        <w:rPr>
          <w:spacing w:val="-1"/>
          <w:sz w:val="17"/>
        </w:rPr>
        <w:t xml:space="preserve"> </w:t>
      </w:r>
      <w:r>
        <w:rPr>
          <w:sz w:val="17"/>
        </w:rPr>
        <w:t>discriminación. La legislación que rige esos delitos queda fuera del ámbito de la presente guía.</w:t>
      </w:r>
    </w:p>
    <w:p w14:paraId="46B8E348" w14:textId="77777777" w:rsidR="0014798C" w:rsidRDefault="0014798C">
      <w:pPr>
        <w:pStyle w:val="Textoindependiente"/>
        <w:spacing w:before="13"/>
      </w:pPr>
    </w:p>
    <w:p w14:paraId="3DF40903" w14:textId="77777777" w:rsidR="0014798C" w:rsidRDefault="004E1F0B">
      <w:pPr>
        <w:pStyle w:val="Textoindependiente"/>
        <w:spacing w:line="326" w:lineRule="auto"/>
        <w:ind w:left="1105" w:right="1463"/>
      </w:pPr>
      <w:r>
        <w:t>El Comité de Derechos Económicos, Sociales y Culturales ha declarado que el acoso es una forma de discriminación en el sentido del artículo 2 (2) del Pacto Internacional de Derechos Económicos, Sociales y Culturales258.</w:t>
      </w:r>
    </w:p>
    <w:p w14:paraId="560A9959" w14:textId="77777777" w:rsidR="0014798C" w:rsidRDefault="004E1F0B">
      <w:pPr>
        <w:pStyle w:val="Textoindependiente"/>
        <w:spacing w:line="161" w:lineRule="exact"/>
        <w:ind w:left="1105"/>
      </w:pPr>
      <w:r>
        <w:t>mientras</w:t>
      </w:r>
      <w:r>
        <w:rPr>
          <w:spacing w:val="-8"/>
        </w:rPr>
        <w:t xml:space="preserve"> </w:t>
      </w:r>
      <w:r>
        <w:t>que</w:t>
      </w:r>
      <w:r>
        <w:rPr>
          <w:spacing w:val="-7"/>
        </w:rPr>
        <w:t xml:space="preserve"> </w:t>
      </w:r>
      <w:r>
        <w:t>el</w:t>
      </w:r>
      <w:r>
        <w:rPr>
          <w:spacing w:val="-8"/>
        </w:rPr>
        <w:t xml:space="preserve"> </w:t>
      </w:r>
      <w:r>
        <w:t>Comité</w:t>
      </w:r>
      <w:r>
        <w:rPr>
          <w:spacing w:val="-7"/>
        </w:rPr>
        <w:t xml:space="preserve"> </w:t>
      </w:r>
      <w:r>
        <w:t>sobre</w:t>
      </w:r>
      <w:r>
        <w:rPr>
          <w:spacing w:val="-8"/>
        </w:rPr>
        <w:t xml:space="preserve"> </w:t>
      </w:r>
      <w:r>
        <w:t>los</w:t>
      </w:r>
      <w:r>
        <w:rPr>
          <w:spacing w:val="-7"/>
        </w:rPr>
        <w:t xml:space="preserve"> </w:t>
      </w:r>
      <w:r>
        <w:t>Derechos</w:t>
      </w:r>
      <w:r>
        <w:rPr>
          <w:spacing w:val="-7"/>
        </w:rPr>
        <w:t xml:space="preserve"> </w:t>
      </w:r>
      <w:r>
        <w:t>de</w:t>
      </w:r>
      <w:r>
        <w:rPr>
          <w:spacing w:val="-8"/>
        </w:rPr>
        <w:t xml:space="preserve"> </w:t>
      </w:r>
      <w:r>
        <w:t>las</w:t>
      </w:r>
      <w:r>
        <w:rPr>
          <w:spacing w:val="-7"/>
        </w:rPr>
        <w:t xml:space="preserve"> </w:t>
      </w:r>
      <w:r>
        <w:t>Personas</w:t>
      </w:r>
      <w:r>
        <w:rPr>
          <w:spacing w:val="-8"/>
        </w:rPr>
        <w:t xml:space="preserve"> </w:t>
      </w:r>
      <w:r>
        <w:t>con</w:t>
      </w:r>
      <w:r>
        <w:rPr>
          <w:spacing w:val="-7"/>
        </w:rPr>
        <w:t xml:space="preserve"> </w:t>
      </w:r>
      <w:r>
        <w:t>Discapacidad</w:t>
      </w:r>
      <w:r>
        <w:rPr>
          <w:spacing w:val="-7"/>
        </w:rPr>
        <w:t xml:space="preserve"> </w:t>
      </w:r>
      <w:r>
        <w:t>lo</w:t>
      </w:r>
      <w:r>
        <w:rPr>
          <w:spacing w:val="-8"/>
        </w:rPr>
        <w:t xml:space="preserve"> </w:t>
      </w:r>
      <w:r>
        <w:t>ha</w:t>
      </w:r>
      <w:r>
        <w:rPr>
          <w:spacing w:val="-7"/>
        </w:rPr>
        <w:t xml:space="preserve"> </w:t>
      </w:r>
      <w:r>
        <w:t>identificado</w:t>
      </w:r>
      <w:r>
        <w:rPr>
          <w:spacing w:val="-8"/>
        </w:rPr>
        <w:t xml:space="preserve"> </w:t>
      </w:r>
      <w:r>
        <w:t>como</w:t>
      </w:r>
      <w:r>
        <w:rPr>
          <w:spacing w:val="-7"/>
        </w:rPr>
        <w:t xml:space="preserve"> </w:t>
      </w:r>
      <w:r>
        <w:t>una</w:t>
      </w:r>
      <w:r>
        <w:rPr>
          <w:spacing w:val="-8"/>
        </w:rPr>
        <w:t xml:space="preserve"> </w:t>
      </w:r>
      <w:r>
        <w:t>de</w:t>
      </w:r>
      <w:r>
        <w:rPr>
          <w:spacing w:val="-7"/>
        </w:rPr>
        <w:t xml:space="preserve"> </w:t>
      </w:r>
      <w:r>
        <w:t>las</w:t>
      </w:r>
      <w:r>
        <w:rPr>
          <w:spacing w:val="-7"/>
        </w:rPr>
        <w:t xml:space="preserve"> </w:t>
      </w:r>
      <w:r>
        <w:t>“cuatro</w:t>
      </w:r>
      <w:r>
        <w:rPr>
          <w:spacing w:val="-8"/>
        </w:rPr>
        <w:t xml:space="preserve"> </w:t>
      </w:r>
      <w:r>
        <w:rPr>
          <w:spacing w:val="-2"/>
        </w:rPr>
        <w:t>formas</w:t>
      </w:r>
    </w:p>
    <w:p w14:paraId="6FA9BC54" w14:textId="77777777" w:rsidR="0014798C" w:rsidRDefault="004E1F0B">
      <w:pPr>
        <w:pStyle w:val="Textoindependiente"/>
        <w:spacing w:before="66"/>
        <w:ind w:left="1109"/>
      </w:pPr>
      <w:r>
        <w:t>principales”</w:t>
      </w:r>
      <w:r>
        <w:rPr>
          <w:spacing w:val="-10"/>
        </w:rPr>
        <w:t xml:space="preserve"> </w:t>
      </w:r>
      <w:r>
        <w:t>de</w:t>
      </w:r>
      <w:r>
        <w:rPr>
          <w:spacing w:val="-9"/>
        </w:rPr>
        <w:t xml:space="preserve"> </w:t>
      </w:r>
      <w:r>
        <w:t>discriminación</w:t>
      </w:r>
      <w:r>
        <w:rPr>
          <w:spacing w:val="-9"/>
        </w:rPr>
        <w:t xml:space="preserve"> </w:t>
      </w:r>
      <w:r>
        <w:t>prohibidas</w:t>
      </w:r>
      <w:r>
        <w:rPr>
          <w:spacing w:val="-9"/>
        </w:rPr>
        <w:t xml:space="preserve"> </w:t>
      </w:r>
      <w:r>
        <w:t>en</w:t>
      </w:r>
      <w:r>
        <w:rPr>
          <w:spacing w:val="-9"/>
        </w:rPr>
        <w:t xml:space="preserve"> </w:t>
      </w:r>
      <w:r>
        <w:t>virtud</w:t>
      </w:r>
      <w:r>
        <w:rPr>
          <w:spacing w:val="-9"/>
        </w:rPr>
        <w:t xml:space="preserve"> </w:t>
      </w:r>
      <w:r>
        <w:t>de</w:t>
      </w:r>
      <w:r>
        <w:rPr>
          <w:spacing w:val="-9"/>
        </w:rPr>
        <w:t xml:space="preserve"> </w:t>
      </w:r>
      <w:r>
        <w:t>la</w:t>
      </w:r>
      <w:r>
        <w:rPr>
          <w:spacing w:val="-9"/>
        </w:rPr>
        <w:t xml:space="preserve"> </w:t>
      </w:r>
      <w:r>
        <w:t>Convención</w:t>
      </w:r>
      <w:r>
        <w:rPr>
          <w:spacing w:val="-9"/>
        </w:rPr>
        <w:t xml:space="preserve"> </w:t>
      </w:r>
      <w:r>
        <w:t>pertinente.259</w:t>
      </w:r>
      <w:r>
        <w:rPr>
          <w:spacing w:val="-9"/>
        </w:rPr>
        <w:t xml:space="preserve"> </w:t>
      </w:r>
      <w:r>
        <w:t>Otros</w:t>
      </w:r>
      <w:r>
        <w:rPr>
          <w:spacing w:val="-9"/>
        </w:rPr>
        <w:t xml:space="preserve"> </w:t>
      </w:r>
      <w:r>
        <w:t>órganos</w:t>
      </w:r>
      <w:r>
        <w:rPr>
          <w:spacing w:val="-9"/>
        </w:rPr>
        <w:t xml:space="preserve"> </w:t>
      </w:r>
      <w:r>
        <w:t>creados</w:t>
      </w:r>
      <w:r>
        <w:rPr>
          <w:spacing w:val="-9"/>
        </w:rPr>
        <w:t xml:space="preserve"> </w:t>
      </w:r>
      <w:r>
        <w:t>en</w:t>
      </w:r>
      <w:r>
        <w:rPr>
          <w:spacing w:val="-9"/>
        </w:rPr>
        <w:t xml:space="preserve"> </w:t>
      </w:r>
      <w:r>
        <w:t>virtud</w:t>
      </w:r>
      <w:r>
        <w:rPr>
          <w:spacing w:val="-9"/>
        </w:rPr>
        <w:t xml:space="preserve"> </w:t>
      </w:r>
      <w:r>
        <w:t>de</w:t>
      </w:r>
      <w:r>
        <w:rPr>
          <w:spacing w:val="-9"/>
        </w:rPr>
        <w:t xml:space="preserve"> </w:t>
      </w:r>
      <w:r>
        <w:rPr>
          <w:spacing w:val="-2"/>
        </w:rPr>
        <w:t>tratados</w:t>
      </w:r>
    </w:p>
    <w:p w14:paraId="5DAAC9EA" w14:textId="77777777" w:rsidR="0014798C" w:rsidRDefault="004E1F0B">
      <w:pPr>
        <w:pStyle w:val="Textoindependiente"/>
        <w:spacing w:before="65"/>
        <w:ind w:left="1108"/>
      </w:pPr>
      <w:r>
        <w:t>también</w:t>
      </w:r>
      <w:r>
        <w:rPr>
          <w:spacing w:val="-9"/>
        </w:rPr>
        <w:t xml:space="preserve"> </w:t>
      </w:r>
      <w:r>
        <w:t>han</w:t>
      </w:r>
      <w:r>
        <w:rPr>
          <w:spacing w:val="-9"/>
        </w:rPr>
        <w:t xml:space="preserve"> </w:t>
      </w:r>
      <w:r>
        <w:t>reconocido</w:t>
      </w:r>
      <w:r>
        <w:rPr>
          <w:spacing w:val="-9"/>
        </w:rPr>
        <w:t xml:space="preserve"> </w:t>
      </w:r>
      <w:r>
        <w:t>el</w:t>
      </w:r>
      <w:r>
        <w:rPr>
          <w:spacing w:val="-8"/>
        </w:rPr>
        <w:t xml:space="preserve"> </w:t>
      </w:r>
      <w:r>
        <w:t>acoso</w:t>
      </w:r>
      <w:r>
        <w:rPr>
          <w:spacing w:val="-9"/>
        </w:rPr>
        <w:t xml:space="preserve"> </w:t>
      </w:r>
      <w:r>
        <w:t>como</w:t>
      </w:r>
      <w:r>
        <w:rPr>
          <w:spacing w:val="-9"/>
        </w:rPr>
        <w:t xml:space="preserve"> </w:t>
      </w:r>
      <w:r>
        <w:t>una</w:t>
      </w:r>
      <w:r>
        <w:rPr>
          <w:spacing w:val="-8"/>
        </w:rPr>
        <w:t xml:space="preserve"> </w:t>
      </w:r>
      <w:r>
        <w:t>forma</w:t>
      </w:r>
      <w:r>
        <w:rPr>
          <w:spacing w:val="-9"/>
        </w:rPr>
        <w:t xml:space="preserve"> </w:t>
      </w:r>
      <w:r>
        <w:t>de</w:t>
      </w:r>
      <w:r>
        <w:rPr>
          <w:spacing w:val="-9"/>
        </w:rPr>
        <w:t xml:space="preserve"> </w:t>
      </w:r>
      <w:r>
        <w:t>conducta</w:t>
      </w:r>
      <w:r>
        <w:rPr>
          <w:spacing w:val="-8"/>
        </w:rPr>
        <w:t xml:space="preserve"> </w:t>
      </w:r>
      <w:r>
        <w:t>prohibida</w:t>
      </w:r>
      <w:r>
        <w:rPr>
          <w:spacing w:val="-9"/>
        </w:rPr>
        <w:t xml:space="preserve"> </w:t>
      </w:r>
      <w:r>
        <w:t>en</w:t>
      </w:r>
      <w:r>
        <w:rPr>
          <w:spacing w:val="-9"/>
        </w:rPr>
        <w:t xml:space="preserve"> </w:t>
      </w:r>
      <w:r>
        <w:t>sus</w:t>
      </w:r>
      <w:r>
        <w:rPr>
          <w:spacing w:val="-8"/>
        </w:rPr>
        <w:t xml:space="preserve"> </w:t>
      </w:r>
      <w:r>
        <w:t>evaluaciones</w:t>
      </w:r>
      <w:r>
        <w:rPr>
          <w:spacing w:val="-9"/>
        </w:rPr>
        <w:t xml:space="preserve"> </w:t>
      </w:r>
      <w:r>
        <w:t>de</w:t>
      </w:r>
      <w:r>
        <w:rPr>
          <w:spacing w:val="-9"/>
        </w:rPr>
        <w:t xml:space="preserve"> </w:t>
      </w:r>
      <w:r>
        <w:t>la</w:t>
      </w:r>
      <w:r>
        <w:rPr>
          <w:spacing w:val="-9"/>
        </w:rPr>
        <w:t xml:space="preserve"> </w:t>
      </w:r>
      <w:r>
        <w:t>implementación</w:t>
      </w:r>
      <w:r>
        <w:rPr>
          <w:spacing w:val="-8"/>
        </w:rPr>
        <w:t xml:space="preserve"> </w:t>
      </w:r>
      <w:r>
        <w:t>estatal</w:t>
      </w:r>
      <w:r>
        <w:rPr>
          <w:spacing w:val="-9"/>
        </w:rPr>
        <w:t xml:space="preserve"> </w:t>
      </w:r>
      <w:r>
        <w:t>de</w:t>
      </w:r>
      <w:r>
        <w:rPr>
          <w:spacing w:val="-9"/>
        </w:rPr>
        <w:t xml:space="preserve"> </w:t>
      </w:r>
      <w:r>
        <w:t>la</w:t>
      </w:r>
      <w:r>
        <w:rPr>
          <w:spacing w:val="-8"/>
        </w:rPr>
        <w:t xml:space="preserve"> </w:t>
      </w:r>
      <w:r>
        <w:rPr>
          <w:spacing w:val="-2"/>
        </w:rPr>
        <w:t>derecha</w:t>
      </w:r>
    </w:p>
    <w:p w14:paraId="7C110952" w14:textId="77777777" w:rsidR="0014798C" w:rsidRDefault="0014798C">
      <w:pPr>
        <w:pStyle w:val="Textoindependiente"/>
        <w:rPr>
          <w:sz w:val="13"/>
        </w:rPr>
      </w:pPr>
    </w:p>
    <w:p w14:paraId="349F7D89" w14:textId="77777777" w:rsidR="0014798C" w:rsidRDefault="0014798C">
      <w:pPr>
        <w:pStyle w:val="Textoindependiente"/>
        <w:rPr>
          <w:sz w:val="13"/>
        </w:rPr>
      </w:pPr>
    </w:p>
    <w:p w14:paraId="659FB63A" w14:textId="77777777" w:rsidR="0014798C" w:rsidRDefault="0014798C">
      <w:pPr>
        <w:pStyle w:val="Textoindependiente"/>
        <w:rPr>
          <w:sz w:val="13"/>
        </w:rPr>
      </w:pPr>
    </w:p>
    <w:p w14:paraId="3B1EB785" w14:textId="77777777" w:rsidR="0014798C" w:rsidRDefault="0014798C">
      <w:pPr>
        <w:pStyle w:val="Textoindependiente"/>
        <w:spacing w:before="53"/>
        <w:rPr>
          <w:sz w:val="13"/>
        </w:rPr>
      </w:pPr>
    </w:p>
    <w:p w14:paraId="24734B1A" w14:textId="77777777" w:rsidR="0014798C" w:rsidRDefault="004E1F0B">
      <w:pPr>
        <w:spacing w:before="1" w:line="288" w:lineRule="auto"/>
        <w:ind w:left="1352" w:right="1725" w:hanging="248"/>
        <w:rPr>
          <w:sz w:val="13"/>
        </w:rPr>
      </w:pPr>
      <w:r>
        <w:rPr>
          <w:sz w:val="13"/>
          <w:vertAlign w:val="superscript"/>
        </w:rPr>
        <w:t>254</w:t>
      </w:r>
      <w:r>
        <w:rPr>
          <w:spacing w:val="77"/>
          <w:sz w:val="13"/>
        </w:rPr>
        <w:t xml:space="preserve"> </w:t>
      </w:r>
      <w:r>
        <w:rPr>
          <w:sz w:val="13"/>
        </w:rPr>
        <w:t>Véase,</w:t>
      </w:r>
      <w:r>
        <w:rPr>
          <w:spacing w:val="-4"/>
          <w:sz w:val="13"/>
        </w:rPr>
        <w:t xml:space="preserve"> </w:t>
      </w:r>
      <w:r>
        <w:rPr>
          <w:sz w:val="13"/>
        </w:rPr>
        <w:t>por</w:t>
      </w:r>
      <w:r>
        <w:rPr>
          <w:spacing w:val="-4"/>
          <w:sz w:val="13"/>
        </w:rPr>
        <w:t xml:space="preserve"> </w:t>
      </w:r>
      <w:r>
        <w:rPr>
          <w:sz w:val="13"/>
        </w:rPr>
        <w:t>ejemplo,</w:t>
      </w:r>
      <w:r>
        <w:rPr>
          <w:spacing w:val="-3"/>
          <w:sz w:val="13"/>
        </w:rPr>
        <w:t xml:space="preserve"> </w:t>
      </w:r>
      <w:r>
        <w:rPr>
          <w:sz w:val="13"/>
        </w:rPr>
        <w:t>en</w:t>
      </w:r>
      <w:r>
        <w:rPr>
          <w:spacing w:val="-4"/>
          <w:sz w:val="13"/>
        </w:rPr>
        <w:t xml:space="preserve"> </w:t>
      </w:r>
      <w:r>
        <w:rPr>
          <w:sz w:val="13"/>
        </w:rPr>
        <w:t>el</w:t>
      </w:r>
      <w:r>
        <w:rPr>
          <w:spacing w:val="-4"/>
          <w:sz w:val="13"/>
        </w:rPr>
        <w:t xml:space="preserve"> </w:t>
      </w:r>
      <w:r>
        <w:rPr>
          <w:sz w:val="13"/>
        </w:rPr>
        <w:t>contexto</w:t>
      </w:r>
      <w:r>
        <w:rPr>
          <w:spacing w:val="-4"/>
          <w:sz w:val="13"/>
        </w:rPr>
        <w:t xml:space="preserve"> </w:t>
      </w:r>
      <w:r>
        <w:rPr>
          <w:sz w:val="13"/>
        </w:rPr>
        <w:t>del</w:t>
      </w:r>
      <w:r>
        <w:rPr>
          <w:spacing w:val="-4"/>
          <w:sz w:val="13"/>
        </w:rPr>
        <w:t xml:space="preserve"> </w:t>
      </w:r>
      <w:r>
        <w:rPr>
          <w:sz w:val="13"/>
        </w:rPr>
        <w:t>embarazo,</w:t>
      </w:r>
      <w:r>
        <w:rPr>
          <w:spacing w:val="-3"/>
          <w:sz w:val="13"/>
        </w:rPr>
        <w:t xml:space="preserve"> </w:t>
      </w:r>
      <w:r>
        <w:rPr>
          <w:sz w:val="13"/>
        </w:rPr>
        <w:t>Comité</w:t>
      </w:r>
      <w:r>
        <w:rPr>
          <w:spacing w:val="-4"/>
          <w:sz w:val="13"/>
        </w:rPr>
        <w:t xml:space="preserve"> </w:t>
      </w:r>
      <w:r>
        <w:rPr>
          <w:sz w:val="13"/>
        </w:rPr>
        <w:t>de</w:t>
      </w:r>
      <w:r>
        <w:rPr>
          <w:spacing w:val="-4"/>
          <w:sz w:val="13"/>
        </w:rPr>
        <w:t xml:space="preserve"> </w:t>
      </w:r>
      <w:r>
        <w:rPr>
          <w:sz w:val="13"/>
        </w:rPr>
        <w:t>Derechos</w:t>
      </w:r>
      <w:r>
        <w:rPr>
          <w:spacing w:val="-4"/>
          <w:sz w:val="13"/>
        </w:rPr>
        <w:t xml:space="preserve"> </w:t>
      </w:r>
      <w:r>
        <w:rPr>
          <w:sz w:val="13"/>
        </w:rPr>
        <w:t>Económicos,</w:t>
      </w:r>
      <w:r>
        <w:rPr>
          <w:spacing w:val="-3"/>
          <w:sz w:val="13"/>
        </w:rPr>
        <w:t xml:space="preserve"> </w:t>
      </w:r>
      <w:r>
        <w:rPr>
          <w:sz w:val="13"/>
        </w:rPr>
        <w:t>Sociales</w:t>
      </w:r>
      <w:r>
        <w:rPr>
          <w:spacing w:val="-4"/>
          <w:sz w:val="13"/>
        </w:rPr>
        <w:t xml:space="preserve"> </w:t>
      </w:r>
      <w:r>
        <w:rPr>
          <w:sz w:val="13"/>
        </w:rPr>
        <w:t>y</w:t>
      </w:r>
      <w:r>
        <w:rPr>
          <w:spacing w:val="-4"/>
          <w:sz w:val="13"/>
        </w:rPr>
        <w:t xml:space="preserve"> </w:t>
      </w:r>
      <w:r>
        <w:rPr>
          <w:sz w:val="13"/>
        </w:rPr>
        <w:t>Culturales,</w:t>
      </w:r>
      <w:r>
        <w:rPr>
          <w:spacing w:val="-3"/>
          <w:sz w:val="13"/>
        </w:rPr>
        <w:t xml:space="preserve"> </w:t>
      </w:r>
      <w:r>
        <w:rPr>
          <w:sz w:val="13"/>
        </w:rPr>
        <w:t>observación</w:t>
      </w:r>
      <w:r>
        <w:rPr>
          <w:spacing w:val="-4"/>
          <w:sz w:val="13"/>
        </w:rPr>
        <w:t xml:space="preserve"> </w:t>
      </w:r>
      <w:r>
        <w:rPr>
          <w:sz w:val="13"/>
        </w:rPr>
        <w:t>general</w:t>
      </w:r>
      <w:r>
        <w:rPr>
          <w:spacing w:val="-4"/>
          <w:sz w:val="13"/>
        </w:rPr>
        <w:t xml:space="preserve"> </w:t>
      </w:r>
      <w:r>
        <w:rPr>
          <w:sz w:val="13"/>
        </w:rPr>
        <w:t>núm.</w:t>
      </w:r>
      <w:r>
        <w:rPr>
          <w:spacing w:val="-4"/>
          <w:sz w:val="13"/>
        </w:rPr>
        <w:t xml:space="preserve"> </w:t>
      </w:r>
      <w:r>
        <w:rPr>
          <w:sz w:val="13"/>
        </w:rPr>
        <w:t>20</w:t>
      </w:r>
      <w:r>
        <w:rPr>
          <w:spacing w:val="-4"/>
          <w:sz w:val="13"/>
        </w:rPr>
        <w:t xml:space="preserve"> </w:t>
      </w:r>
      <w:r>
        <w:rPr>
          <w:sz w:val="13"/>
        </w:rPr>
        <w:t>(2009),</w:t>
      </w:r>
      <w:r>
        <w:rPr>
          <w:spacing w:val="-3"/>
          <w:sz w:val="13"/>
        </w:rPr>
        <w:t xml:space="preserve"> </w:t>
      </w:r>
      <w:r>
        <w:rPr>
          <w:sz w:val="13"/>
        </w:rPr>
        <w:t>párr.</w:t>
      </w:r>
      <w:r>
        <w:rPr>
          <w:spacing w:val="40"/>
          <w:sz w:val="13"/>
        </w:rPr>
        <w:t xml:space="preserve"> </w:t>
      </w:r>
      <w:r>
        <w:rPr>
          <w:sz w:val="13"/>
        </w:rPr>
        <w:t>10</w:t>
      </w:r>
      <w:r>
        <w:rPr>
          <w:spacing w:val="-6"/>
          <w:sz w:val="13"/>
        </w:rPr>
        <w:t xml:space="preserve"> </w:t>
      </w:r>
      <w:proofErr w:type="gramStart"/>
      <w:r>
        <w:rPr>
          <w:sz w:val="13"/>
        </w:rPr>
        <w:t>a);</w:t>
      </w:r>
      <w:proofErr w:type="gramEnd"/>
      <w:r>
        <w:rPr>
          <w:spacing w:val="-6"/>
          <w:sz w:val="13"/>
        </w:rPr>
        <w:t xml:space="preserve"> </w:t>
      </w:r>
      <w:r>
        <w:rPr>
          <w:sz w:val="13"/>
        </w:rPr>
        <w:t>y,</w:t>
      </w:r>
      <w:r>
        <w:rPr>
          <w:spacing w:val="-6"/>
          <w:sz w:val="13"/>
        </w:rPr>
        <w:t xml:space="preserve"> </w:t>
      </w:r>
      <w:r>
        <w:rPr>
          <w:sz w:val="13"/>
        </w:rPr>
        <w:t>en</w:t>
      </w:r>
      <w:r>
        <w:rPr>
          <w:spacing w:val="-6"/>
          <w:sz w:val="13"/>
        </w:rPr>
        <w:t xml:space="preserve"> </w:t>
      </w:r>
      <w:r>
        <w:rPr>
          <w:sz w:val="13"/>
        </w:rPr>
        <w:t>relación</w:t>
      </w:r>
      <w:r>
        <w:rPr>
          <w:spacing w:val="-6"/>
          <w:sz w:val="13"/>
        </w:rPr>
        <w:t xml:space="preserve"> </w:t>
      </w:r>
      <w:r>
        <w:rPr>
          <w:sz w:val="13"/>
        </w:rPr>
        <w:t>con</w:t>
      </w:r>
      <w:r>
        <w:rPr>
          <w:spacing w:val="-6"/>
          <w:sz w:val="13"/>
        </w:rPr>
        <w:t xml:space="preserve"> </w:t>
      </w:r>
      <w:r>
        <w:rPr>
          <w:sz w:val="13"/>
        </w:rPr>
        <w:t>ello,</w:t>
      </w:r>
      <w:r>
        <w:rPr>
          <w:spacing w:val="-6"/>
          <w:sz w:val="13"/>
        </w:rPr>
        <w:t xml:space="preserve"> </w:t>
      </w:r>
      <w:r>
        <w:rPr>
          <w:sz w:val="13"/>
        </w:rPr>
        <w:t>Tribunal</w:t>
      </w:r>
      <w:r>
        <w:rPr>
          <w:spacing w:val="-6"/>
          <w:sz w:val="13"/>
        </w:rPr>
        <w:t xml:space="preserve"> </w:t>
      </w:r>
      <w:r>
        <w:rPr>
          <w:sz w:val="13"/>
        </w:rPr>
        <w:t>de</w:t>
      </w:r>
      <w:r>
        <w:rPr>
          <w:spacing w:val="-6"/>
          <w:sz w:val="13"/>
        </w:rPr>
        <w:t xml:space="preserve"> </w:t>
      </w:r>
      <w:r>
        <w:rPr>
          <w:sz w:val="13"/>
        </w:rPr>
        <w:t>Justicia</w:t>
      </w:r>
      <w:r>
        <w:rPr>
          <w:spacing w:val="-6"/>
          <w:sz w:val="13"/>
        </w:rPr>
        <w:t xml:space="preserve"> </w:t>
      </w:r>
      <w:r>
        <w:rPr>
          <w:sz w:val="13"/>
        </w:rPr>
        <w:t>de</w:t>
      </w:r>
      <w:r>
        <w:rPr>
          <w:spacing w:val="-6"/>
          <w:sz w:val="13"/>
        </w:rPr>
        <w:t xml:space="preserve"> </w:t>
      </w:r>
      <w:r>
        <w:rPr>
          <w:sz w:val="13"/>
        </w:rPr>
        <w:t>la</w:t>
      </w:r>
      <w:r>
        <w:rPr>
          <w:spacing w:val="-6"/>
          <w:sz w:val="13"/>
        </w:rPr>
        <w:t xml:space="preserve"> </w:t>
      </w:r>
      <w:r>
        <w:rPr>
          <w:sz w:val="13"/>
        </w:rPr>
        <w:t>Unión</w:t>
      </w:r>
      <w:r>
        <w:rPr>
          <w:spacing w:val="-6"/>
          <w:sz w:val="13"/>
        </w:rPr>
        <w:t xml:space="preserve"> </w:t>
      </w:r>
      <w:r>
        <w:rPr>
          <w:sz w:val="13"/>
        </w:rPr>
        <w:t>Europea,</w:t>
      </w:r>
      <w:r>
        <w:rPr>
          <w:spacing w:val="-5"/>
          <w:sz w:val="13"/>
        </w:rPr>
        <w:t xml:space="preserve"> </w:t>
      </w:r>
      <w:r>
        <w:rPr>
          <w:sz w:val="13"/>
        </w:rPr>
        <w:t>Elisabeth</w:t>
      </w:r>
      <w:r>
        <w:rPr>
          <w:spacing w:val="-6"/>
          <w:sz w:val="13"/>
        </w:rPr>
        <w:t xml:space="preserve"> </w:t>
      </w:r>
      <w:r>
        <w:rPr>
          <w:sz w:val="13"/>
        </w:rPr>
        <w:t>Johanna</w:t>
      </w:r>
      <w:r>
        <w:rPr>
          <w:spacing w:val="-6"/>
          <w:sz w:val="13"/>
        </w:rPr>
        <w:t xml:space="preserve"> </w:t>
      </w:r>
      <w:proofErr w:type="spellStart"/>
      <w:r>
        <w:rPr>
          <w:sz w:val="13"/>
        </w:rPr>
        <w:t>Pacifica</w:t>
      </w:r>
      <w:proofErr w:type="spellEnd"/>
      <w:r>
        <w:rPr>
          <w:spacing w:val="-6"/>
          <w:sz w:val="13"/>
        </w:rPr>
        <w:t xml:space="preserve"> </w:t>
      </w:r>
      <w:proofErr w:type="spellStart"/>
      <w:r>
        <w:rPr>
          <w:sz w:val="13"/>
        </w:rPr>
        <w:t>Dekker</w:t>
      </w:r>
      <w:proofErr w:type="spellEnd"/>
      <w:r>
        <w:rPr>
          <w:spacing w:val="-6"/>
          <w:sz w:val="13"/>
        </w:rPr>
        <w:t xml:space="preserve"> </w:t>
      </w:r>
      <w:r>
        <w:rPr>
          <w:sz w:val="13"/>
        </w:rPr>
        <w:t>v.</w:t>
      </w:r>
      <w:r>
        <w:rPr>
          <w:spacing w:val="-6"/>
          <w:sz w:val="13"/>
        </w:rPr>
        <w:t xml:space="preserve"> </w:t>
      </w:r>
      <w:proofErr w:type="spellStart"/>
      <w:r>
        <w:rPr>
          <w:sz w:val="13"/>
        </w:rPr>
        <w:t>Stichting</w:t>
      </w:r>
      <w:proofErr w:type="spellEnd"/>
      <w:r>
        <w:rPr>
          <w:spacing w:val="-6"/>
          <w:sz w:val="13"/>
        </w:rPr>
        <w:t xml:space="preserve"> </w:t>
      </w:r>
      <w:proofErr w:type="spellStart"/>
      <w:r>
        <w:rPr>
          <w:sz w:val="13"/>
        </w:rPr>
        <w:t>Vormingscentrum</w:t>
      </w:r>
      <w:proofErr w:type="spellEnd"/>
      <w:r>
        <w:rPr>
          <w:spacing w:val="-6"/>
          <w:sz w:val="13"/>
        </w:rPr>
        <w:t xml:space="preserve"> </w:t>
      </w:r>
      <w:proofErr w:type="spellStart"/>
      <w:r>
        <w:rPr>
          <w:sz w:val="13"/>
        </w:rPr>
        <w:t>voor</w:t>
      </w:r>
      <w:proofErr w:type="spellEnd"/>
      <w:r>
        <w:rPr>
          <w:spacing w:val="-6"/>
          <w:sz w:val="13"/>
        </w:rPr>
        <w:t xml:space="preserve"> </w:t>
      </w:r>
      <w:r>
        <w:rPr>
          <w:sz w:val="13"/>
        </w:rPr>
        <w:t>Jong</w:t>
      </w:r>
      <w:r>
        <w:rPr>
          <w:spacing w:val="40"/>
          <w:sz w:val="13"/>
        </w:rPr>
        <w:t xml:space="preserve"> </w:t>
      </w:r>
      <w:proofErr w:type="spellStart"/>
      <w:r>
        <w:rPr>
          <w:sz w:val="13"/>
        </w:rPr>
        <w:t>Volwassenen</w:t>
      </w:r>
      <w:proofErr w:type="spellEnd"/>
      <w:r>
        <w:rPr>
          <w:sz w:val="13"/>
        </w:rPr>
        <w:t xml:space="preserve"> (VJV-</w:t>
      </w:r>
      <w:proofErr w:type="spellStart"/>
      <w:r>
        <w:rPr>
          <w:sz w:val="13"/>
        </w:rPr>
        <w:t>Centrum</w:t>
      </w:r>
      <w:proofErr w:type="spellEnd"/>
      <w:r>
        <w:rPr>
          <w:sz w:val="13"/>
        </w:rPr>
        <w:t>) Plus, asunto C-177/88, sentencia de 8 de noviembre de 1990.</w:t>
      </w:r>
    </w:p>
    <w:p w14:paraId="7614D97E" w14:textId="77777777" w:rsidR="0014798C" w:rsidRDefault="004E1F0B">
      <w:pPr>
        <w:spacing w:before="57"/>
        <w:ind w:left="1105"/>
        <w:rPr>
          <w:sz w:val="13"/>
        </w:rPr>
      </w:pPr>
      <w:r>
        <w:rPr>
          <w:sz w:val="13"/>
          <w:vertAlign w:val="superscript"/>
        </w:rPr>
        <w:t>255</w:t>
      </w:r>
      <w:r>
        <w:rPr>
          <w:spacing w:val="68"/>
          <w:sz w:val="13"/>
        </w:rPr>
        <w:t xml:space="preserve"> </w:t>
      </w:r>
      <w:r>
        <w:rPr>
          <w:sz w:val="13"/>
        </w:rPr>
        <w:t>Véase,</w:t>
      </w:r>
      <w:r>
        <w:rPr>
          <w:spacing w:val="-6"/>
          <w:sz w:val="13"/>
        </w:rPr>
        <w:t xml:space="preserve"> </w:t>
      </w:r>
      <w:r>
        <w:rPr>
          <w:sz w:val="13"/>
        </w:rPr>
        <w:t>por</w:t>
      </w:r>
      <w:r>
        <w:rPr>
          <w:spacing w:val="-7"/>
          <w:sz w:val="13"/>
        </w:rPr>
        <w:t xml:space="preserve"> </w:t>
      </w:r>
      <w:r>
        <w:rPr>
          <w:sz w:val="13"/>
        </w:rPr>
        <w:t>ejemplo,</w:t>
      </w:r>
      <w:r>
        <w:rPr>
          <w:spacing w:val="-5"/>
          <w:sz w:val="13"/>
        </w:rPr>
        <w:t xml:space="preserve"> </w:t>
      </w:r>
      <w:r>
        <w:rPr>
          <w:sz w:val="13"/>
        </w:rPr>
        <w:t>Comité</w:t>
      </w:r>
      <w:r>
        <w:rPr>
          <w:spacing w:val="-6"/>
          <w:sz w:val="13"/>
        </w:rPr>
        <w:t xml:space="preserve"> </w:t>
      </w:r>
      <w:r>
        <w:rPr>
          <w:sz w:val="13"/>
        </w:rPr>
        <w:t>sobre</w:t>
      </w:r>
      <w:r>
        <w:rPr>
          <w:spacing w:val="-7"/>
          <w:sz w:val="13"/>
        </w:rPr>
        <w:t xml:space="preserve"> </w:t>
      </w:r>
      <w:r>
        <w:rPr>
          <w:sz w:val="13"/>
        </w:rPr>
        <w:t>los</w:t>
      </w:r>
      <w:r>
        <w:rPr>
          <w:spacing w:val="-6"/>
          <w:sz w:val="13"/>
        </w:rPr>
        <w:t xml:space="preserve"> </w:t>
      </w:r>
      <w:r>
        <w:rPr>
          <w:sz w:val="13"/>
        </w:rPr>
        <w:t>Derechos</w:t>
      </w:r>
      <w:r>
        <w:rPr>
          <w:spacing w:val="-6"/>
          <w:sz w:val="13"/>
        </w:rPr>
        <w:t xml:space="preserve"> </w:t>
      </w:r>
      <w:r>
        <w:rPr>
          <w:sz w:val="13"/>
        </w:rPr>
        <w:t>de</w:t>
      </w:r>
      <w:r>
        <w:rPr>
          <w:spacing w:val="-6"/>
          <w:sz w:val="13"/>
        </w:rPr>
        <w:t xml:space="preserve"> </w:t>
      </w:r>
      <w:r>
        <w:rPr>
          <w:sz w:val="13"/>
        </w:rPr>
        <w:t>las</w:t>
      </w:r>
      <w:r>
        <w:rPr>
          <w:spacing w:val="-7"/>
          <w:sz w:val="13"/>
        </w:rPr>
        <w:t xml:space="preserve"> </w:t>
      </w:r>
      <w:r>
        <w:rPr>
          <w:sz w:val="13"/>
        </w:rPr>
        <w:t>Personas</w:t>
      </w:r>
      <w:r>
        <w:rPr>
          <w:spacing w:val="-6"/>
          <w:sz w:val="13"/>
        </w:rPr>
        <w:t xml:space="preserve"> </w:t>
      </w:r>
      <w:r>
        <w:rPr>
          <w:sz w:val="13"/>
        </w:rPr>
        <w:t>con</w:t>
      </w:r>
      <w:r>
        <w:rPr>
          <w:spacing w:val="-6"/>
          <w:sz w:val="13"/>
        </w:rPr>
        <w:t xml:space="preserve"> </w:t>
      </w:r>
      <w:r>
        <w:rPr>
          <w:sz w:val="13"/>
        </w:rPr>
        <w:t>Discapacidad,</w:t>
      </w:r>
      <w:r>
        <w:rPr>
          <w:spacing w:val="-6"/>
          <w:sz w:val="13"/>
        </w:rPr>
        <w:t xml:space="preserve"> </w:t>
      </w:r>
      <w:r>
        <w:rPr>
          <w:sz w:val="13"/>
        </w:rPr>
        <w:t>observación</w:t>
      </w:r>
      <w:r>
        <w:rPr>
          <w:spacing w:val="-6"/>
          <w:sz w:val="13"/>
        </w:rPr>
        <w:t xml:space="preserve"> </w:t>
      </w:r>
      <w:r>
        <w:rPr>
          <w:sz w:val="13"/>
        </w:rPr>
        <w:t>general</w:t>
      </w:r>
      <w:r>
        <w:rPr>
          <w:spacing w:val="-6"/>
          <w:sz w:val="13"/>
        </w:rPr>
        <w:t xml:space="preserve"> </w:t>
      </w:r>
      <w:r>
        <w:rPr>
          <w:sz w:val="13"/>
        </w:rPr>
        <w:t>núm.</w:t>
      </w:r>
      <w:r>
        <w:rPr>
          <w:spacing w:val="-7"/>
          <w:sz w:val="13"/>
        </w:rPr>
        <w:t xml:space="preserve"> </w:t>
      </w:r>
      <w:r>
        <w:rPr>
          <w:sz w:val="13"/>
        </w:rPr>
        <w:t>6</w:t>
      </w:r>
      <w:r>
        <w:rPr>
          <w:spacing w:val="-6"/>
          <w:sz w:val="13"/>
        </w:rPr>
        <w:t xml:space="preserve"> </w:t>
      </w:r>
      <w:r>
        <w:rPr>
          <w:sz w:val="13"/>
        </w:rPr>
        <w:t>(2018),</w:t>
      </w:r>
      <w:r>
        <w:rPr>
          <w:spacing w:val="-5"/>
          <w:sz w:val="13"/>
        </w:rPr>
        <w:t xml:space="preserve"> </w:t>
      </w:r>
      <w:r>
        <w:rPr>
          <w:sz w:val="13"/>
        </w:rPr>
        <w:t>párr.</w:t>
      </w:r>
      <w:r>
        <w:rPr>
          <w:spacing w:val="-7"/>
          <w:sz w:val="13"/>
        </w:rPr>
        <w:t xml:space="preserve"> </w:t>
      </w:r>
      <w:r>
        <w:rPr>
          <w:sz w:val="13"/>
        </w:rPr>
        <w:t>18</w:t>
      </w:r>
      <w:r>
        <w:rPr>
          <w:spacing w:val="-6"/>
          <w:sz w:val="13"/>
        </w:rPr>
        <w:t xml:space="preserve"> </w:t>
      </w:r>
      <w:r>
        <w:rPr>
          <w:spacing w:val="-5"/>
          <w:sz w:val="13"/>
        </w:rPr>
        <w:t>d).</w:t>
      </w:r>
    </w:p>
    <w:p w14:paraId="18E8A7B1" w14:textId="77777777" w:rsidR="0014798C" w:rsidRDefault="0014798C">
      <w:pPr>
        <w:pStyle w:val="Textoindependiente"/>
        <w:spacing w:before="14"/>
        <w:rPr>
          <w:sz w:val="11"/>
        </w:rPr>
      </w:pPr>
    </w:p>
    <w:p w14:paraId="307600F3" w14:textId="77777777" w:rsidR="0014798C" w:rsidRDefault="004E1F0B">
      <w:pPr>
        <w:spacing w:before="1"/>
        <w:ind w:left="1105"/>
        <w:rPr>
          <w:sz w:val="11"/>
        </w:rPr>
      </w:pPr>
      <w:r>
        <w:rPr>
          <w:sz w:val="11"/>
        </w:rPr>
        <w:t>256</w:t>
      </w:r>
      <w:r>
        <w:rPr>
          <w:spacing w:val="-5"/>
          <w:sz w:val="11"/>
        </w:rPr>
        <w:t xml:space="preserve"> </w:t>
      </w:r>
      <w:r>
        <w:rPr>
          <w:sz w:val="11"/>
        </w:rPr>
        <w:t>Véase</w:t>
      </w:r>
      <w:r>
        <w:rPr>
          <w:spacing w:val="-4"/>
          <w:sz w:val="11"/>
        </w:rPr>
        <w:t xml:space="preserve"> </w:t>
      </w:r>
      <w:r>
        <w:rPr>
          <w:sz w:val="11"/>
        </w:rPr>
        <w:t>el</w:t>
      </w:r>
      <w:r>
        <w:rPr>
          <w:spacing w:val="-2"/>
          <w:sz w:val="11"/>
        </w:rPr>
        <w:t xml:space="preserve"> </w:t>
      </w:r>
      <w:r>
        <w:rPr>
          <w:sz w:val="11"/>
        </w:rPr>
        <w:t>análisis</w:t>
      </w:r>
      <w:r>
        <w:rPr>
          <w:spacing w:val="-4"/>
          <w:sz w:val="11"/>
        </w:rPr>
        <w:t xml:space="preserve"> </w:t>
      </w:r>
      <w:r>
        <w:rPr>
          <w:sz w:val="11"/>
        </w:rPr>
        <w:t>de</w:t>
      </w:r>
      <w:r>
        <w:rPr>
          <w:spacing w:val="-2"/>
          <w:sz w:val="11"/>
        </w:rPr>
        <w:t xml:space="preserve"> </w:t>
      </w:r>
      <w:r>
        <w:rPr>
          <w:sz w:val="11"/>
        </w:rPr>
        <w:t>la</w:t>
      </w:r>
      <w:r>
        <w:rPr>
          <w:spacing w:val="-3"/>
          <w:sz w:val="11"/>
        </w:rPr>
        <w:t xml:space="preserve"> </w:t>
      </w:r>
      <w:r>
        <w:rPr>
          <w:sz w:val="11"/>
        </w:rPr>
        <w:t>intención</w:t>
      </w:r>
      <w:r>
        <w:rPr>
          <w:spacing w:val="-3"/>
          <w:sz w:val="11"/>
        </w:rPr>
        <w:t xml:space="preserve"> </w:t>
      </w:r>
      <w:r>
        <w:rPr>
          <w:sz w:val="11"/>
        </w:rPr>
        <w:t>en</w:t>
      </w:r>
      <w:r>
        <w:rPr>
          <w:spacing w:val="-3"/>
          <w:sz w:val="11"/>
        </w:rPr>
        <w:t xml:space="preserve"> </w:t>
      </w:r>
      <w:r>
        <w:rPr>
          <w:sz w:val="11"/>
        </w:rPr>
        <w:t>la</w:t>
      </w:r>
      <w:r>
        <w:rPr>
          <w:spacing w:val="-2"/>
          <w:sz w:val="11"/>
        </w:rPr>
        <w:t xml:space="preserve"> </w:t>
      </w:r>
      <w:r>
        <w:rPr>
          <w:sz w:val="11"/>
        </w:rPr>
        <w:t>sección</w:t>
      </w:r>
      <w:r>
        <w:rPr>
          <w:spacing w:val="-3"/>
          <w:sz w:val="11"/>
        </w:rPr>
        <w:t xml:space="preserve"> </w:t>
      </w:r>
      <w:r>
        <w:rPr>
          <w:sz w:val="11"/>
        </w:rPr>
        <w:t>IA2(a)</w:t>
      </w:r>
      <w:r>
        <w:rPr>
          <w:spacing w:val="-4"/>
          <w:sz w:val="11"/>
        </w:rPr>
        <w:t xml:space="preserve"> </w:t>
      </w:r>
      <w:r>
        <w:rPr>
          <w:sz w:val="11"/>
        </w:rPr>
        <w:t>de</w:t>
      </w:r>
      <w:r>
        <w:rPr>
          <w:spacing w:val="-2"/>
          <w:sz w:val="11"/>
        </w:rPr>
        <w:t xml:space="preserve"> </w:t>
      </w:r>
      <w:r>
        <w:rPr>
          <w:sz w:val="11"/>
        </w:rPr>
        <w:t>la</w:t>
      </w:r>
      <w:r>
        <w:rPr>
          <w:spacing w:val="-3"/>
          <w:sz w:val="11"/>
        </w:rPr>
        <w:t xml:space="preserve"> </w:t>
      </w:r>
      <w:r>
        <w:rPr>
          <w:sz w:val="11"/>
        </w:rPr>
        <w:t>segunda</w:t>
      </w:r>
      <w:r>
        <w:rPr>
          <w:spacing w:val="-2"/>
          <w:sz w:val="11"/>
        </w:rPr>
        <w:t xml:space="preserve"> </w:t>
      </w:r>
      <w:r>
        <w:rPr>
          <w:sz w:val="11"/>
        </w:rPr>
        <w:t>parte</w:t>
      </w:r>
      <w:r>
        <w:rPr>
          <w:spacing w:val="-4"/>
          <w:sz w:val="11"/>
        </w:rPr>
        <w:t xml:space="preserve"> </w:t>
      </w:r>
      <w:r>
        <w:rPr>
          <w:sz w:val="11"/>
        </w:rPr>
        <w:t>de</w:t>
      </w:r>
      <w:r>
        <w:rPr>
          <w:spacing w:val="-2"/>
          <w:sz w:val="11"/>
        </w:rPr>
        <w:t xml:space="preserve"> </w:t>
      </w:r>
      <w:r>
        <w:rPr>
          <w:sz w:val="11"/>
        </w:rPr>
        <w:t>la</w:t>
      </w:r>
      <w:r>
        <w:rPr>
          <w:spacing w:val="-3"/>
          <w:sz w:val="11"/>
        </w:rPr>
        <w:t xml:space="preserve"> </w:t>
      </w:r>
      <w:r>
        <w:rPr>
          <w:sz w:val="11"/>
        </w:rPr>
        <w:t>presente</w:t>
      </w:r>
      <w:r>
        <w:rPr>
          <w:spacing w:val="-3"/>
          <w:sz w:val="11"/>
        </w:rPr>
        <w:t xml:space="preserve"> </w:t>
      </w:r>
      <w:r>
        <w:rPr>
          <w:spacing w:val="-4"/>
          <w:sz w:val="11"/>
        </w:rPr>
        <w:t>guía.</w:t>
      </w:r>
    </w:p>
    <w:p w14:paraId="3A0F4757" w14:textId="77777777" w:rsidR="0014798C" w:rsidRDefault="004E1F0B">
      <w:pPr>
        <w:spacing w:before="56"/>
        <w:ind w:left="1105"/>
        <w:rPr>
          <w:sz w:val="13"/>
        </w:rPr>
      </w:pPr>
      <w:r>
        <w:rPr>
          <w:sz w:val="13"/>
          <w:vertAlign w:val="superscript"/>
        </w:rPr>
        <w:t>257</w:t>
      </w:r>
      <w:r>
        <w:rPr>
          <w:spacing w:val="71"/>
          <w:sz w:val="13"/>
        </w:rPr>
        <w:t xml:space="preserve"> </w:t>
      </w:r>
      <w:r>
        <w:rPr>
          <w:sz w:val="13"/>
        </w:rPr>
        <w:t>Véase,</w:t>
      </w:r>
      <w:r>
        <w:rPr>
          <w:spacing w:val="-5"/>
          <w:sz w:val="13"/>
        </w:rPr>
        <w:t xml:space="preserve"> </w:t>
      </w:r>
      <w:r>
        <w:rPr>
          <w:sz w:val="13"/>
        </w:rPr>
        <w:t>por</w:t>
      </w:r>
      <w:r>
        <w:rPr>
          <w:spacing w:val="-6"/>
          <w:sz w:val="13"/>
        </w:rPr>
        <w:t xml:space="preserve"> </w:t>
      </w:r>
      <w:r>
        <w:rPr>
          <w:sz w:val="13"/>
        </w:rPr>
        <w:t>ejemplo,</w:t>
      </w:r>
      <w:r>
        <w:rPr>
          <w:spacing w:val="-4"/>
          <w:sz w:val="13"/>
        </w:rPr>
        <w:t xml:space="preserve"> </w:t>
      </w:r>
      <w:r>
        <w:rPr>
          <w:sz w:val="13"/>
        </w:rPr>
        <w:t>Reino</w:t>
      </w:r>
      <w:r>
        <w:rPr>
          <w:spacing w:val="-6"/>
          <w:sz w:val="13"/>
        </w:rPr>
        <w:t xml:space="preserve"> </w:t>
      </w:r>
      <w:r>
        <w:rPr>
          <w:sz w:val="13"/>
        </w:rPr>
        <w:t>Unido,</w:t>
      </w:r>
      <w:r>
        <w:rPr>
          <w:spacing w:val="-4"/>
          <w:sz w:val="13"/>
        </w:rPr>
        <w:t xml:space="preserve"> </w:t>
      </w:r>
      <w:r>
        <w:rPr>
          <w:sz w:val="13"/>
        </w:rPr>
        <w:t>Ley</w:t>
      </w:r>
      <w:r>
        <w:rPr>
          <w:spacing w:val="-5"/>
          <w:sz w:val="13"/>
        </w:rPr>
        <w:t xml:space="preserve"> </w:t>
      </w:r>
      <w:r>
        <w:rPr>
          <w:sz w:val="13"/>
        </w:rPr>
        <w:t>de</w:t>
      </w:r>
      <w:r>
        <w:rPr>
          <w:spacing w:val="-6"/>
          <w:sz w:val="13"/>
        </w:rPr>
        <w:t xml:space="preserve"> </w:t>
      </w:r>
      <w:r>
        <w:rPr>
          <w:sz w:val="13"/>
        </w:rPr>
        <w:t>protección</w:t>
      </w:r>
      <w:r>
        <w:rPr>
          <w:spacing w:val="-5"/>
          <w:sz w:val="13"/>
        </w:rPr>
        <w:t xml:space="preserve"> </w:t>
      </w:r>
      <w:r>
        <w:rPr>
          <w:sz w:val="13"/>
        </w:rPr>
        <w:t>contra</w:t>
      </w:r>
      <w:r>
        <w:rPr>
          <w:spacing w:val="-6"/>
          <w:sz w:val="13"/>
        </w:rPr>
        <w:t xml:space="preserve"> </w:t>
      </w:r>
      <w:r>
        <w:rPr>
          <w:sz w:val="13"/>
        </w:rPr>
        <w:t>el</w:t>
      </w:r>
      <w:r>
        <w:rPr>
          <w:spacing w:val="-5"/>
          <w:sz w:val="13"/>
        </w:rPr>
        <w:t xml:space="preserve"> </w:t>
      </w:r>
      <w:r>
        <w:rPr>
          <w:sz w:val="13"/>
        </w:rPr>
        <w:t>acoso,</w:t>
      </w:r>
      <w:r>
        <w:rPr>
          <w:spacing w:val="-4"/>
          <w:sz w:val="13"/>
        </w:rPr>
        <w:t xml:space="preserve"> </w:t>
      </w:r>
      <w:r>
        <w:rPr>
          <w:spacing w:val="-2"/>
          <w:sz w:val="13"/>
        </w:rPr>
        <w:t>1997.</w:t>
      </w:r>
    </w:p>
    <w:p w14:paraId="77309F02" w14:textId="77777777" w:rsidR="0014798C" w:rsidRDefault="0014798C">
      <w:pPr>
        <w:pStyle w:val="Textoindependiente"/>
        <w:spacing w:before="14"/>
        <w:rPr>
          <w:sz w:val="11"/>
        </w:rPr>
      </w:pPr>
    </w:p>
    <w:p w14:paraId="1F50F7BB" w14:textId="77777777" w:rsidR="0014798C" w:rsidRDefault="004E1F0B">
      <w:pPr>
        <w:ind w:left="1105"/>
        <w:rPr>
          <w:sz w:val="11"/>
        </w:rPr>
      </w:pPr>
      <w:r>
        <w:rPr>
          <w:sz w:val="11"/>
        </w:rPr>
        <w:t>258</w:t>
      </w:r>
      <w:r>
        <w:rPr>
          <w:spacing w:val="-7"/>
          <w:sz w:val="11"/>
        </w:rPr>
        <w:t xml:space="preserve"> </w:t>
      </w:r>
      <w:r>
        <w:rPr>
          <w:sz w:val="11"/>
        </w:rPr>
        <w:t>Comité</w:t>
      </w:r>
      <w:r>
        <w:rPr>
          <w:spacing w:val="-5"/>
          <w:sz w:val="11"/>
        </w:rPr>
        <w:t xml:space="preserve"> </w:t>
      </w:r>
      <w:r>
        <w:rPr>
          <w:sz w:val="11"/>
        </w:rPr>
        <w:t>de</w:t>
      </w:r>
      <w:r>
        <w:rPr>
          <w:spacing w:val="-4"/>
          <w:sz w:val="11"/>
        </w:rPr>
        <w:t xml:space="preserve"> </w:t>
      </w:r>
      <w:r>
        <w:rPr>
          <w:sz w:val="11"/>
        </w:rPr>
        <w:t>Derechos</w:t>
      </w:r>
      <w:r>
        <w:rPr>
          <w:spacing w:val="-5"/>
          <w:sz w:val="11"/>
        </w:rPr>
        <w:t xml:space="preserve"> </w:t>
      </w:r>
      <w:r>
        <w:rPr>
          <w:sz w:val="11"/>
        </w:rPr>
        <w:t>Económicos,</w:t>
      </w:r>
      <w:r>
        <w:rPr>
          <w:spacing w:val="-4"/>
          <w:sz w:val="11"/>
        </w:rPr>
        <w:t xml:space="preserve"> </w:t>
      </w:r>
      <w:r>
        <w:rPr>
          <w:sz w:val="11"/>
        </w:rPr>
        <w:t>Sociales</w:t>
      </w:r>
      <w:r>
        <w:rPr>
          <w:spacing w:val="-5"/>
          <w:sz w:val="11"/>
        </w:rPr>
        <w:t xml:space="preserve"> </w:t>
      </w:r>
      <w:r>
        <w:rPr>
          <w:sz w:val="11"/>
        </w:rPr>
        <w:t>y</w:t>
      </w:r>
      <w:r>
        <w:rPr>
          <w:spacing w:val="-4"/>
          <w:sz w:val="11"/>
        </w:rPr>
        <w:t xml:space="preserve"> </w:t>
      </w:r>
      <w:r>
        <w:rPr>
          <w:sz w:val="11"/>
        </w:rPr>
        <w:t>Culturales,</w:t>
      </w:r>
      <w:r>
        <w:rPr>
          <w:spacing w:val="-4"/>
          <w:sz w:val="11"/>
        </w:rPr>
        <w:t xml:space="preserve"> </w:t>
      </w:r>
      <w:r>
        <w:rPr>
          <w:sz w:val="11"/>
        </w:rPr>
        <w:t>observación</w:t>
      </w:r>
      <w:r>
        <w:rPr>
          <w:spacing w:val="-5"/>
          <w:sz w:val="11"/>
        </w:rPr>
        <w:t xml:space="preserve"> </w:t>
      </w:r>
      <w:r>
        <w:rPr>
          <w:sz w:val="11"/>
        </w:rPr>
        <w:t>general</w:t>
      </w:r>
      <w:r>
        <w:rPr>
          <w:spacing w:val="-4"/>
          <w:sz w:val="11"/>
        </w:rPr>
        <w:t xml:space="preserve"> </w:t>
      </w:r>
      <w:r>
        <w:rPr>
          <w:sz w:val="11"/>
        </w:rPr>
        <w:t>núm.</w:t>
      </w:r>
      <w:r>
        <w:rPr>
          <w:spacing w:val="-4"/>
          <w:sz w:val="11"/>
        </w:rPr>
        <w:t xml:space="preserve"> </w:t>
      </w:r>
      <w:r>
        <w:rPr>
          <w:sz w:val="11"/>
        </w:rPr>
        <w:t>20</w:t>
      </w:r>
      <w:r>
        <w:rPr>
          <w:spacing w:val="-4"/>
          <w:sz w:val="11"/>
        </w:rPr>
        <w:t xml:space="preserve"> </w:t>
      </w:r>
      <w:r>
        <w:rPr>
          <w:sz w:val="11"/>
        </w:rPr>
        <w:t>(2009),</w:t>
      </w:r>
      <w:r>
        <w:rPr>
          <w:spacing w:val="-4"/>
          <w:sz w:val="11"/>
        </w:rPr>
        <w:t xml:space="preserve"> </w:t>
      </w:r>
      <w:r>
        <w:rPr>
          <w:sz w:val="11"/>
        </w:rPr>
        <w:t>párr.</w:t>
      </w:r>
      <w:r>
        <w:rPr>
          <w:spacing w:val="-4"/>
          <w:sz w:val="11"/>
        </w:rPr>
        <w:t xml:space="preserve"> </w:t>
      </w:r>
      <w:r>
        <w:rPr>
          <w:spacing w:val="-5"/>
          <w:sz w:val="11"/>
        </w:rPr>
        <w:t>7.</w:t>
      </w:r>
    </w:p>
    <w:p w14:paraId="003C78E9" w14:textId="77777777" w:rsidR="0014798C" w:rsidRDefault="004E1F0B">
      <w:pPr>
        <w:spacing w:before="110" w:line="340" w:lineRule="auto"/>
        <w:ind w:left="1366" w:right="1463" w:hanging="261"/>
        <w:rPr>
          <w:sz w:val="11"/>
        </w:rPr>
      </w:pPr>
      <w:r>
        <w:rPr>
          <w:sz w:val="11"/>
        </w:rPr>
        <w:t>259 Definida</w:t>
      </w:r>
      <w:r>
        <w:rPr>
          <w:spacing w:val="-1"/>
          <w:sz w:val="11"/>
        </w:rPr>
        <w:t xml:space="preserve"> </w:t>
      </w:r>
      <w:r>
        <w:rPr>
          <w:sz w:val="11"/>
        </w:rPr>
        <w:t>como “una conducta</w:t>
      </w:r>
      <w:r>
        <w:rPr>
          <w:spacing w:val="-1"/>
          <w:sz w:val="11"/>
        </w:rPr>
        <w:t xml:space="preserve"> </w:t>
      </w:r>
      <w:r>
        <w:rPr>
          <w:sz w:val="11"/>
        </w:rPr>
        <w:t>no deseada relacionada con la discapacidad u otros</w:t>
      </w:r>
      <w:r>
        <w:rPr>
          <w:spacing w:val="-1"/>
          <w:sz w:val="11"/>
        </w:rPr>
        <w:t xml:space="preserve"> </w:t>
      </w:r>
      <w:r>
        <w:rPr>
          <w:sz w:val="11"/>
        </w:rPr>
        <w:t>motivos</w:t>
      </w:r>
      <w:r>
        <w:rPr>
          <w:spacing w:val="-1"/>
          <w:sz w:val="11"/>
        </w:rPr>
        <w:t xml:space="preserve"> </w:t>
      </w:r>
      <w:r>
        <w:rPr>
          <w:sz w:val="11"/>
        </w:rPr>
        <w:t>prohibidos</w:t>
      </w:r>
      <w:r>
        <w:rPr>
          <w:spacing w:val="-1"/>
          <w:sz w:val="11"/>
        </w:rPr>
        <w:t xml:space="preserve"> </w:t>
      </w:r>
      <w:r>
        <w:rPr>
          <w:sz w:val="11"/>
        </w:rPr>
        <w:t>[que] tiene</w:t>
      </w:r>
      <w:r>
        <w:rPr>
          <w:spacing w:val="-1"/>
          <w:sz w:val="11"/>
        </w:rPr>
        <w:t xml:space="preserve"> </w:t>
      </w:r>
      <w:r>
        <w:rPr>
          <w:sz w:val="11"/>
        </w:rPr>
        <w:t>lugar</w:t>
      </w:r>
      <w:r>
        <w:rPr>
          <w:spacing w:val="-1"/>
          <w:sz w:val="11"/>
        </w:rPr>
        <w:t xml:space="preserve"> </w:t>
      </w:r>
      <w:r>
        <w:rPr>
          <w:sz w:val="11"/>
        </w:rPr>
        <w:t>con el propósito</w:t>
      </w:r>
      <w:r>
        <w:rPr>
          <w:spacing w:val="-1"/>
          <w:sz w:val="11"/>
        </w:rPr>
        <w:t xml:space="preserve"> </w:t>
      </w:r>
      <w:r>
        <w:rPr>
          <w:sz w:val="11"/>
        </w:rPr>
        <w:t>o efecto</w:t>
      </w:r>
      <w:r>
        <w:rPr>
          <w:spacing w:val="-1"/>
          <w:sz w:val="11"/>
        </w:rPr>
        <w:t xml:space="preserve"> </w:t>
      </w:r>
      <w:r>
        <w:rPr>
          <w:sz w:val="11"/>
        </w:rPr>
        <w:t>de violar</w:t>
      </w:r>
      <w:r>
        <w:rPr>
          <w:spacing w:val="-1"/>
          <w:sz w:val="11"/>
        </w:rPr>
        <w:t xml:space="preserve"> </w:t>
      </w:r>
      <w:r>
        <w:rPr>
          <w:sz w:val="11"/>
        </w:rPr>
        <w:t>la dignidad de una persona y</w:t>
      </w:r>
      <w:r>
        <w:rPr>
          <w:spacing w:val="40"/>
          <w:sz w:val="11"/>
        </w:rPr>
        <w:t xml:space="preserve"> </w:t>
      </w:r>
      <w:r>
        <w:rPr>
          <w:sz w:val="11"/>
        </w:rPr>
        <w:t>de crear un ambiente intimidante, hostil, degradante, humillante u ofensivo”. Otras “formas principales” de discriminación identificadas son la discriminación directa, la</w:t>
      </w:r>
    </w:p>
    <w:p w14:paraId="2AF72A0F" w14:textId="77777777" w:rsidR="0014798C" w:rsidRDefault="004E1F0B">
      <w:pPr>
        <w:spacing w:line="340" w:lineRule="auto"/>
        <w:ind w:left="1371" w:right="1928" w:hanging="3"/>
        <w:rPr>
          <w:sz w:val="11"/>
        </w:rPr>
      </w:pPr>
      <w:r>
        <w:rPr>
          <w:sz w:val="11"/>
        </w:rPr>
        <w:t>discriminación</w:t>
      </w:r>
      <w:r>
        <w:rPr>
          <w:spacing w:val="-1"/>
          <w:sz w:val="11"/>
        </w:rPr>
        <w:t xml:space="preserve"> </w:t>
      </w:r>
      <w:r>
        <w:rPr>
          <w:sz w:val="11"/>
        </w:rPr>
        <w:t>indirecta</w:t>
      </w:r>
      <w:r>
        <w:rPr>
          <w:spacing w:val="-2"/>
          <w:sz w:val="11"/>
        </w:rPr>
        <w:t xml:space="preserve"> </w:t>
      </w:r>
      <w:r>
        <w:rPr>
          <w:sz w:val="11"/>
        </w:rPr>
        <w:t>y</w:t>
      </w:r>
      <w:r>
        <w:rPr>
          <w:spacing w:val="-1"/>
          <w:sz w:val="11"/>
        </w:rPr>
        <w:t xml:space="preserve"> </w:t>
      </w:r>
      <w:r>
        <w:rPr>
          <w:sz w:val="11"/>
        </w:rPr>
        <w:t>la</w:t>
      </w:r>
      <w:r>
        <w:rPr>
          <w:spacing w:val="-1"/>
          <w:sz w:val="11"/>
        </w:rPr>
        <w:t xml:space="preserve"> </w:t>
      </w:r>
      <w:r>
        <w:rPr>
          <w:sz w:val="11"/>
        </w:rPr>
        <w:t>falta</w:t>
      </w:r>
      <w:r>
        <w:rPr>
          <w:spacing w:val="-2"/>
          <w:sz w:val="11"/>
        </w:rPr>
        <w:t xml:space="preserve"> </w:t>
      </w:r>
      <w:r>
        <w:rPr>
          <w:sz w:val="11"/>
        </w:rPr>
        <w:t>de</w:t>
      </w:r>
      <w:r>
        <w:rPr>
          <w:spacing w:val="-1"/>
          <w:sz w:val="11"/>
        </w:rPr>
        <w:t xml:space="preserve"> </w:t>
      </w:r>
      <w:r>
        <w:rPr>
          <w:sz w:val="11"/>
        </w:rPr>
        <w:t>ajustes</w:t>
      </w:r>
      <w:r>
        <w:rPr>
          <w:spacing w:val="-2"/>
          <w:sz w:val="11"/>
        </w:rPr>
        <w:t xml:space="preserve"> </w:t>
      </w:r>
      <w:r>
        <w:rPr>
          <w:sz w:val="11"/>
        </w:rPr>
        <w:t>razonables.</w:t>
      </w:r>
      <w:r>
        <w:rPr>
          <w:spacing w:val="-1"/>
          <w:sz w:val="11"/>
        </w:rPr>
        <w:t xml:space="preserve"> </w:t>
      </w:r>
      <w:r>
        <w:rPr>
          <w:sz w:val="11"/>
        </w:rPr>
        <w:t>Véase</w:t>
      </w:r>
      <w:r>
        <w:rPr>
          <w:spacing w:val="-2"/>
          <w:sz w:val="11"/>
        </w:rPr>
        <w:t xml:space="preserve"> </w:t>
      </w:r>
      <w:r>
        <w:rPr>
          <w:sz w:val="11"/>
        </w:rPr>
        <w:t>Comité</w:t>
      </w:r>
      <w:r>
        <w:rPr>
          <w:spacing w:val="-2"/>
          <w:sz w:val="11"/>
        </w:rPr>
        <w:t xml:space="preserve"> </w:t>
      </w:r>
      <w:r>
        <w:rPr>
          <w:sz w:val="11"/>
        </w:rPr>
        <w:t>sobre</w:t>
      </w:r>
      <w:r>
        <w:rPr>
          <w:spacing w:val="-1"/>
          <w:sz w:val="11"/>
        </w:rPr>
        <w:t xml:space="preserve"> </w:t>
      </w:r>
      <w:r>
        <w:rPr>
          <w:sz w:val="11"/>
        </w:rPr>
        <w:t>los</w:t>
      </w:r>
      <w:r>
        <w:rPr>
          <w:spacing w:val="-2"/>
          <w:sz w:val="11"/>
        </w:rPr>
        <w:t xml:space="preserve"> </w:t>
      </w:r>
      <w:r>
        <w:rPr>
          <w:sz w:val="11"/>
        </w:rPr>
        <w:t>Derechos</w:t>
      </w:r>
      <w:r>
        <w:rPr>
          <w:spacing w:val="-2"/>
          <w:sz w:val="11"/>
        </w:rPr>
        <w:t xml:space="preserve"> </w:t>
      </w:r>
      <w:r>
        <w:rPr>
          <w:sz w:val="11"/>
        </w:rPr>
        <w:t>de</w:t>
      </w:r>
      <w:r>
        <w:rPr>
          <w:spacing w:val="-1"/>
          <w:sz w:val="11"/>
        </w:rPr>
        <w:t xml:space="preserve"> </w:t>
      </w:r>
      <w:r>
        <w:rPr>
          <w:sz w:val="11"/>
        </w:rPr>
        <w:t>las</w:t>
      </w:r>
      <w:r>
        <w:rPr>
          <w:spacing w:val="-2"/>
          <w:sz w:val="11"/>
        </w:rPr>
        <w:t xml:space="preserve"> </w:t>
      </w:r>
      <w:r>
        <w:rPr>
          <w:sz w:val="11"/>
        </w:rPr>
        <w:t>Personas</w:t>
      </w:r>
      <w:r>
        <w:rPr>
          <w:spacing w:val="-2"/>
          <w:sz w:val="11"/>
        </w:rPr>
        <w:t xml:space="preserve"> </w:t>
      </w:r>
      <w:r>
        <w:rPr>
          <w:sz w:val="11"/>
        </w:rPr>
        <w:t>con</w:t>
      </w:r>
      <w:r>
        <w:rPr>
          <w:spacing w:val="-1"/>
          <w:sz w:val="11"/>
        </w:rPr>
        <w:t xml:space="preserve"> </w:t>
      </w:r>
      <w:r>
        <w:rPr>
          <w:sz w:val="11"/>
        </w:rPr>
        <w:t>Discapacidad,</w:t>
      </w:r>
      <w:r>
        <w:rPr>
          <w:spacing w:val="-1"/>
          <w:sz w:val="11"/>
        </w:rPr>
        <w:t xml:space="preserve"> </w:t>
      </w:r>
      <w:r>
        <w:rPr>
          <w:sz w:val="11"/>
        </w:rPr>
        <w:t>observación</w:t>
      </w:r>
      <w:r>
        <w:rPr>
          <w:spacing w:val="-1"/>
          <w:sz w:val="11"/>
        </w:rPr>
        <w:t xml:space="preserve"> </w:t>
      </w:r>
      <w:r>
        <w:rPr>
          <w:sz w:val="11"/>
        </w:rPr>
        <w:t>general</w:t>
      </w:r>
      <w:r>
        <w:rPr>
          <w:spacing w:val="-1"/>
          <w:sz w:val="11"/>
        </w:rPr>
        <w:t xml:space="preserve"> </w:t>
      </w:r>
      <w:r>
        <w:rPr>
          <w:sz w:val="11"/>
        </w:rPr>
        <w:t>núm.</w:t>
      </w:r>
      <w:r>
        <w:rPr>
          <w:spacing w:val="-1"/>
          <w:sz w:val="11"/>
        </w:rPr>
        <w:t xml:space="preserve"> </w:t>
      </w:r>
      <w:r>
        <w:rPr>
          <w:sz w:val="11"/>
        </w:rPr>
        <w:t>6</w:t>
      </w:r>
      <w:r>
        <w:rPr>
          <w:spacing w:val="-1"/>
          <w:sz w:val="11"/>
        </w:rPr>
        <w:t xml:space="preserve"> </w:t>
      </w:r>
      <w:r>
        <w:rPr>
          <w:sz w:val="11"/>
        </w:rPr>
        <w:t>(2018),</w:t>
      </w:r>
      <w:r>
        <w:rPr>
          <w:spacing w:val="-1"/>
          <w:sz w:val="11"/>
        </w:rPr>
        <w:t xml:space="preserve"> </w:t>
      </w:r>
      <w:r>
        <w:rPr>
          <w:sz w:val="11"/>
        </w:rPr>
        <w:t>párr.</w:t>
      </w:r>
      <w:r>
        <w:rPr>
          <w:spacing w:val="-1"/>
          <w:sz w:val="11"/>
        </w:rPr>
        <w:t xml:space="preserve"> </w:t>
      </w:r>
      <w:r>
        <w:rPr>
          <w:sz w:val="11"/>
        </w:rPr>
        <w:t>18</w:t>
      </w:r>
      <w:r>
        <w:rPr>
          <w:spacing w:val="40"/>
          <w:sz w:val="11"/>
        </w:rPr>
        <w:t xml:space="preserve"> </w:t>
      </w:r>
      <w:r>
        <w:rPr>
          <w:spacing w:val="-4"/>
          <w:sz w:val="11"/>
        </w:rPr>
        <w:t>d).</w:t>
      </w:r>
    </w:p>
    <w:p w14:paraId="671549C1" w14:textId="77777777" w:rsidR="0014798C" w:rsidRDefault="0014798C">
      <w:pPr>
        <w:pStyle w:val="Textoindependiente"/>
        <w:rPr>
          <w:sz w:val="19"/>
        </w:rPr>
      </w:pPr>
    </w:p>
    <w:p w14:paraId="36BB6434" w14:textId="77777777" w:rsidR="0014798C" w:rsidRDefault="0014798C">
      <w:pPr>
        <w:pStyle w:val="Textoindependiente"/>
        <w:spacing w:before="119"/>
        <w:rPr>
          <w:sz w:val="19"/>
        </w:rPr>
      </w:pPr>
    </w:p>
    <w:p w14:paraId="4DFFF8BB" w14:textId="77777777" w:rsidR="0014798C" w:rsidRDefault="004E1F0B">
      <w:pPr>
        <w:ind w:left="555"/>
        <w:rPr>
          <w:sz w:val="19"/>
        </w:rPr>
      </w:pPr>
      <w:r>
        <w:rPr>
          <w:spacing w:val="-5"/>
          <w:sz w:val="19"/>
        </w:rPr>
        <w:t>36</w:t>
      </w:r>
    </w:p>
    <w:p w14:paraId="6FF5EF9A" w14:textId="77777777" w:rsidR="0014798C" w:rsidRDefault="0014798C">
      <w:pPr>
        <w:rPr>
          <w:sz w:val="19"/>
        </w:rPr>
        <w:sectPr w:rsidR="0014798C" w:rsidSect="00F265E4">
          <w:pgSz w:w="11900" w:h="16820"/>
          <w:pgMar w:top="340" w:right="0" w:bottom="280" w:left="200" w:header="121" w:footer="0" w:gutter="0"/>
          <w:cols w:space="720"/>
        </w:sectPr>
      </w:pPr>
    </w:p>
    <w:p w14:paraId="48F5E6B3" w14:textId="77777777" w:rsidR="0014798C" w:rsidRDefault="0014798C">
      <w:pPr>
        <w:pStyle w:val="Textoindependiente"/>
        <w:spacing w:before="51"/>
        <w:rPr>
          <w:sz w:val="14"/>
        </w:rPr>
      </w:pPr>
    </w:p>
    <w:p w14:paraId="1CA02F54" w14:textId="77777777" w:rsidR="0014798C" w:rsidRDefault="004E1F0B">
      <w:pPr>
        <w:ind w:left="1111"/>
        <w:rPr>
          <w:sz w:val="14"/>
        </w:rPr>
      </w:pPr>
      <w:r>
        <w:rPr>
          <w:color w:val="00AC59"/>
          <w:sz w:val="14"/>
        </w:rPr>
        <w:t>SEGUNDA</w:t>
      </w:r>
      <w:r>
        <w:rPr>
          <w:color w:val="00AC59"/>
          <w:spacing w:val="-5"/>
          <w:sz w:val="14"/>
        </w:rPr>
        <w:t xml:space="preserve"> </w:t>
      </w:r>
      <w:r>
        <w:rPr>
          <w:color w:val="00AC59"/>
          <w:sz w:val="14"/>
        </w:rPr>
        <w:t>PARTE:</w:t>
      </w:r>
      <w:r>
        <w:rPr>
          <w:color w:val="00AC59"/>
          <w:spacing w:val="-5"/>
          <w:sz w:val="14"/>
        </w:rPr>
        <w:t xml:space="preserve"> </w:t>
      </w:r>
      <w:r>
        <w:rPr>
          <w:color w:val="00AC59"/>
          <w:sz w:val="14"/>
        </w:rPr>
        <w:t>CONTENIDO</w:t>
      </w:r>
      <w:r>
        <w:rPr>
          <w:color w:val="00AC59"/>
          <w:spacing w:val="-4"/>
          <w:sz w:val="14"/>
        </w:rPr>
        <w:t xml:space="preserve"> </w:t>
      </w:r>
      <w:r>
        <w:rPr>
          <w:color w:val="00AC59"/>
          <w:sz w:val="14"/>
        </w:rPr>
        <w:t>DE</w:t>
      </w:r>
      <w:r>
        <w:rPr>
          <w:color w:val="00AC59"/>
          <w:spacing w:val="-5"/>
          <w:sz w:val="14"/>
        </w:rPr>
        <w:t xml:space="preserve"> </w:t>
      </w:r>
      <w:r>
        <w:rPr>
          <w:color w:val="00AC59"/>
          <w:sz w:val="14"/>
        </w:rPr>
        <w:t>LA</w:t>
      </w:r>
      <w:r>
        <w:rPr>
          <w:color w:val="00AC59"/>
          <w:spacing w:val="-4"/>
          <w:sz w:val="14"/>
        </w:rPr>
        <w:t xml:space="preserve"> </w:t>
      </w:r>
      <w:r>
        <w:rPr>
          <w:color w:val="00AC59"/>
          <w:sz w:val="14"/>
        </w:rPr>
        <w:t>LEY</w:t>
      </w:r>
      <w:r>
        <w:rPr>
          <w:color w:val="00AC59"/>
          <w:spacing w:val="-4"/>
          <w:sz w:val="14"/>
        </w:rPr>
        <w:t xml:space="preserve"> </w:t>
      </w:r>
      <w:r>
        <w:rPr>
          <w:color w:val="00AC59"/>
          <w:sz w:val="14"/>
        </w:rPr>
        <w:t>INTEGRAL</w:t>
      </w:r>
      <w:r>
        <w:rPr>
          <w:color w:val="00AC59"/>
          <w:spacing w:val="-5"/>
          <w:sz w:val="14"/>
        </w:rPr>
        <w:t xml:space="preserve"> </w:t>
      </w:r>
      <w:r>
        <w:rPr>
          <w:color w:val="00AC59"/>
          <w:spacing w:val="-2"/>
          <w:sz w:val="14"/>
        </w:rPr>
        <w:t>ANTIDISCRIMINACIÓN</w:t>
      </w:r>
    </w:p>
    <w:p w14:paraId="48447C3C" w14:textId="77777777" w:rsidR="0014798C" w:rsidRDefault="0014798C">
      <w:pPr>
        <w:pStyle w:val="Textoindependiente"/>
      </w:pPr>
    </w:p>
    <w:p w14:paraId="065EF805" w14:textId="77777777" w:rsidR="0014798C" w:rsidRDefault="0014798C">
      <w:pPr>
        <w:pStyle w:val="Textoindependiente"/>
      </w:pPr>
    </w:p>
    <w:p w14:paraId="045D92B7" w14:textId="77777777" w:rsidR="0014798C" w:rsidRDefault="0014798C">
      <w:pPr>
        <w:pStyle w:val="Textoindependiente"/>
      </w:pPr>
    </w:p>
    <w:p w14:paraId="14D2211E" w14:textId="77777777" w:rsidR="0014798C" w:rsidRDefault="0014798C">
      <w:pPr>
        <w:pStyle w:val="Textoindependiente"/>
      </w:pPr>
    </w:p>
    <w:p w14:paraId="5C4D3CEF" w14:textId="77777777" w:rsidR="0014798C" w:rsidRDefault="0014798C">
      <w:pPr>
        <w:pStyle w:val="Textoindependiente"/>
        <w:spacing w:before="19"/>
      </w:pPr>
    </w:p>
    <w:p w14:paraId="1A279024" w14:textId="77777777" w:rsidR="0014798C" w:rsidRDefault="004E1F0B">
      <w:pPr>
        <w:pStyle w:val="Textoindependiente"/>
        <w:ind w:left="1107"/>
      </w:pPr>
      <w:r>
        <w:t>a</w:t>
      </w:r>
      <w:r>
        <w:rPr>
          <w:spacing w:val="4"/>
        </w:rPr>
        <w:t xml:space="preserve"> </w:t>
      </w:r>
      <w:r>
        <w:t>la</w:t>
      </w:r>
      <w:r>
        <w:rPr>
          <w:spacing w:val="4"/>
        </w:rPr>
        <w:t xml:space="preserve"> </w:t>
      </w:r>
      <w:r>
        <w:t>no</w:t>
      </w:r>
      <w:r>
        <w:rPr>
          <w:spacing w:val="4"/>
        </w:rPr>
        <w:t xml:space="preserve"> </w:t>
      </w:r>
      <w:r>
        <w:t>discriminación</w:t>
      </w:r>
      <w:r>
        <w:rPr>
          <w:spacing w:val="6"/>
        </w:rPr>
        <w:t xml:space="preserve"> </w:t>
      </w:r>
      <w:r>
        <w:t>en</w:t>
      </w:r>
      <w:r>
        <w:rPr>
          <w:spacing w:val="4"/>
        </w:rPr>
        <w:t xml:space="preserve"> </w:t>
      </w:r>
      <w:r>
        <w:t>virtud</w:t>
      </w:r>
      <w:r>
        <w:rPr>
          <w:spacing w:val="4"/>
        </w:rPr>
        <w:t xml:space="preserve"> </w:t>
      </w:r>
      <w:r>
        <w:t>de</w:t>
      </w:r>
      <w:r>
        <w:rPr>
          <w:spacing w:val="4"/>
        </w:rPr>
        <w:t xml:space="preserve"> </w:t>
      </w:r>
      <w:r>
        <w:t>la</w:t>
      </w:r>
      <w:r>
        <w:rPr>
          <w:spacing w:val="5"/>
        </w:rPr>
        <w:t xml:space="preserve"> </w:t>
      </w:r>
      <w:r>
        <w:t>Convención</w:t>
      </w:r>
      <w:r>
        <w:rPr>
          <w:spacing w:val="4"/>
        </w:rPr>
        <w:t xml:space="preserve"> </w:t>
      </w:r>
      <w:r>
        <w:t>Internacional</w:t>
      </w:r>
      <w:r>
        <w:rPr>
          <w:spacing w:val="4"/>
        </w:rPr>
        <w:t xml:space="preserve"> </w:t>
      </w:r>
      <w:r>
        <w:t>sobre</w:t>
      </w:r>
      <w:r>
        <w:rPr>
          <w:spacing w:val="4"/>
        </w:rPr>
        <w:t xml:space="preserve"> </w:t>
      </w:r>
      <w:r>
        <w:t>la</w:t>
      </w:r>
      <w:r>
        <w:rPr>
          <w:spacing w:val="5"/>
        </w:rPr>
        <w:t xml:space="preserve"> </w:t>
      </w:r>
      <w:r>
        <w:t>Eliminación</w:t>
      </w:r>
      <w:r>
        <w:rPr>
          <w:spacing w:val="4"/>
        </w:rPr>
        <w:t xml:space="preserve"> </w:t>
      </w:r>
      <w:r>
        <w:t>de</w:t>
      </w:r>
      <w:r>
        <w:rPr>
          <w:spacing w:val="4"/>
        </w:rPr>
        <w:t xml:space="preserve"> </w:t>
      </w:r>
      <w:r>
        <w:t>todas</w:t>
      </w:r>
      <w:r>
        <w:rPr>
          <w:spacing w:val="4"/>
        </w:rPr>
        <w:t xml:space="preserve"> </w:t>
      </w:r>
      <w:r>
        <w:t>las</w:t>
      </w:r>
      <w:r>
        <w:rPr>
          <w:spacing w:val="5"/>
        </w:rPr>
        <w:t xml:space="preserve"> </w:t>
      </w:r>
      <w:r>
        <w:t>Formas</w:t>
      </w:r>
      <w:r>
        <w:rPr>
          <w:spacing w:val="4"/>
        </w:rPr>
        <w:t xml:space="preserve"> </w:t>
      </w:r>
      <w:r>
        <w:t>de</w:t>
      </w:r>
      <w:r>
        <w:rPr>
          <w:spacing w:val="4"/>
        </w:rPr>
        <w:t xml:space="preserve"> </w:t>
      </w:r>
      <w:r>
        <w:rPr>
          <w:spacing w:val="-2"/>
        </w:rPr>
        <w:t>Discriminación</w:t>
      </w:r>
    </w:p>
    <w:p w14:paraId="7AD17D75" w14:textId="77777777" w:rsidR="0014798C" w:rsidRDefault="004E1F0B">
      <w:pPr>
        <w:pStyle w:val="Textoindependiente"/>
        <w:spacing w:before="108" w:line="321" w:lineRule="auto"/>
        <w:ind w:left="1108" w:right="1272"/>
      </w:pPr>
      <w:r>
        <w:t>Racial, la Convención sobre la Eliminación de Todas las Formas de Discriminación contra la Mujer y el Pacto Internacional de Derechos Civiles y Políticos.260 El acoso sexual es una forma discreta pero relacionada de daño, que tiene una definición autónoma en el derecho internacional.</w:t>
      </w:r>
    </w:p>
    <w:p w14:paraId="51C6DD2D" w14:textId="77777777" w:rsidR="0014798C" w:rsidRDefault="0014798C">
      <w:pPr>
        <w:pStyle w:val="Textoindependiente"/>
      </w:pPr>
    </w:p>
    <w:p w14:paraId="551FE1EF" w14:textId="77777777" w:rsidR="0014798C" w:rsidRDefault="0014798C">
      <w:pPr>
        <w:pStyle w:val="Textoindependiente"/>
        <w:spacing w:before="110"/>
      </w:pPr>
    </w:p>
    <w:p w14:paraId="432B7ED1" w14:textId="77777777" w:rsidR="0014798C" w:rsidRDefault="004E1F0B">
      <w:pPr>
        <w:pStyle w:val="Textoindependiente"/>
        <w:ind w:left="1336"/>
      </w:pPr>
      <w:r>
        <w:rPr>
          <w:noProof/>
        </w:rPr>
        <w:drawing>
          <wp:anchor distT="0" distB="0" distL="0" distR="0" simplePos="0" relativeHeight="251658386" behindDoc="1" locked="0" layoutInCell="1" allowOverlap="1" wp14:anchorId="199A6765" wp14:editId="537D5A6B">
            <wp:simplePos x="0" y="0"/>
            <wp:positionH relativeFrom="page">
              <wp:posOffset>790692</wp:posOffset>
            </wp:positionH>
            <wp:positionV relativeFrom="paragraph">
              <wp:posOffset>-154246</wp:posOffset>
            </wp:positionV>
            <wp:extent cx="6765807" cy="4102431"/>
            <wp:effectExtent l="0" t="0" r="0" b="0"/>
            <wp:wrapNone/>
            <wp:docPr id="118" name="Image 11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18" name="Image 118"/>
                    <pic:cNvPicPr/>
                  </pic:nvPicPr>
                  <pic:blipFill>
                    <a:blip r:embed="rId117" cstate="print"/>
                    <a:stretch>
                      <a:fillRect/>
                    </a:stretch>
                  </pic:blipFill>
                  <pic:spPr>
                    <a:xfrm>
                      <a:off x="0" y="0"/>
                      <a:ext cx="6765807" cy="4102431"/>
                    </a:xfrm>
                    <a:prstGeom prst="rect">
                      <a:avLst/>
                    </a:prstGeom>
                  </pic:spPr>
                </pic:pic>
              </a:graphicData>
            </a:graphic>
          </wp:anchor>
        </w:drawing>
      </w:r>
      <w:r>
        <w:t>ACOSO</w:t>
      </w:r>
      <w:r>
        <w:rPr>
          <w:spacing w:val="7"/>
        </w:rPr>
        <w:t xml:space="preserve"> </w:t>
      </w:r>
      <w:r>
        <w:rPr>
          <w:spacing w:val="-2"/>
        </w:rPr>
        <w:t>SEXUAL</w:t>
      </w:r>
    </w:p>
    <w:p w14:paraId="76ACEE77" w14:textId="77777777" w:rsidR="0014798C" w:rsidRDefault="0014798C">
      <w:pPr>
        <w:pStyle w:val="Textoindependiente"/>
        <w:spacing w:before="36"/>
      </w:pPr>
    </w:p>
    <w:p w14:paraId="63454390" w14:textId="77777777" w:rsidR="0014798C" w:rsidRDefault="004E1F0B">
      <w:pPr>
        <w:pStyle w:val="Textoindependiente"/>
        <w:spacing w:line="326" w:lineRule="auto"/>
        <w:ind w:left="1329" w:right="1605" w:firstLine="3"/>
      </w:pPr>
      <w:r>
        <w:rPr>
          <w:noProof/>
        </w:rPr>
        <mc:AlternateContent>
          <mc:Choice Requires="wps">
            <w:drawing>
              <wp:anchor distT="0" distB="0" distL="0" distR="0" simplePos="0" relativeHeight="251658259" behindDoc="0" locked="0" layoutInCell="1" allowOverlap="1" wp14:anchorId="0B0294B7" wp14:editId="7D0FDBC9">
                <wp:simplePos x="0" y="0"/>
                <wp:positionH relativeFrom="page">
                  <wp:posOffset>7313138</wp:posOffset>
                </wp:positionH>
                <wp:positionV relativeFrom="paragraph">
                  <wp:posOffset>492132</wp:posOffset>
                </wp:positionV>
                <wp:extent cx="83820" cy="281940"/>
                <wp:effectExtent l="0" t="0" r="0" b="0"/>
                <wp:wrapNone/>
                <wp:docPr id="119" name="Textbox 11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83820" cy="281940"/>
                        </a:xfrm>
                        <a:prstGeom prst="rect">
                          <a:avLst/>
                        </a:prstGeom>
                      </wps:spPr>
                      <wps:txbx>
                        <w:txbxContent>
                          <w:p w14:paraId="00C7F337" w14:textId="77777777" w:rsidR="0014798C" w:rsidRDefault="004E1F0B">
                            <w:pPr>
                              <w:spacing w:before="19"/>
                              <w:ind w:left="20"/>
                              <w:rPr>
                                <w:sz w:val="8"/>
                              </w:rPr>
                            </w:pPr>
                            <w:r>
                              <w:rPr>
                                <w:color w:val="FFFFFF"/>
                                <w:spacing w:val="-24"/>
                                <w:sz w:val="8"/>
                              </w:rPr>
                              <w:t>I–P</w:t>
                            </w:r>
                            <w:r>
                              <w:rPr>
                                <w:spacing w:val="-24"/>
                                <w:sz w:val="8"/>
                              </w:rPr>
                              <w:t>S</w:t>
                            </w:r>
                            <w:r>
                              <w:rPr>
                                <w:color w:val="FFFFFF"/>
                                <w:spacing w:val="-24"/>
                                <w:sz w:val="8"/>
                              </w:rPr>
                              <w:t>A</w:t>
                            </w:r>
                            <w:r>
                              <w:rPr>
                                <w:spacing w:val="-24"/>
                                <w:sz w:val="8"/>
                              </w:rPr>
                              <w:t>E</w:t>
                            </w:r>
                            <w:r>
                              <w:rPr>
                                <w:color w:val="FFFFFF"/>
                                <w:spacing w:val="-24"/>
                                <w:sz w:val="8"/>
                              </w:rPr>
                              <w:t>R</w:t>
                            </w:r>
                            <w:r>
                              <w:rPr>
                                <w:spacing w:val="-24"/>
                                <w:sz w:val="8"/>
                              </w:rPr>
                              <w:t>G</w:t>
                            </w:r>
                            <w:r>
                              <w:rPr>
                                <w:color w:val="FFFFFF"/>
                                <w:spacing w:val="-24"/>
                                <w:sz w:val="8"/>
                              </w:rPr>
                              <w:t>T</w:t>
                            </w:r>
                            <w:r>
                              <w:rPr>
                                <w:spacing w:val="-24"/>
                                <w:sz w:val="8"/>
                              </w:rPr>
                              <w:t>U</w:t>
                            </w:r>
                            <w:r>
                              <w:rPr>
                                <w:color w:val="FFFFFF"/>
                                <w:spacing w:val="-24"/>
                                <w:sz w:val="8"/>
                              </w:rPr>
                              <w:t>E</w:t>
                            </w:r>
                            <w:r>
                              <w:rPr>
                                <w:spacing w:val="-24"/>
                                <w:sz w:val="8"/>
                              </w:rPr>
                              <w:t>NDA</w:t>
                            </w:r>
                          </w:p>
                        </w:txbxContent>
                      </wps:txbx>
                      <wps:bodyPr vert="vert270" wrap="square" lIns="0" tIns="0" rIns="0" bIns="0" rtlCol="0">
                        <a:noAutofit/>
                      </wps:bodyPr>
                    </wps:wsp>
                  </a:graphicData>
                </a:graphic>
              </wp:anchor>
            </w:drawing>
          </mc:Choice>
          <mc:Fallback>
            <w:pict>
              <v:shape w14:anchorId="0B0294B7" id="Textbox 119" o:spid="_x0000_s1073" type="#_x0000_t202" style="position:absolute;left:0;text-align:left;margin-left:575.85pt;margin-top:38.75pt;width:6.6pt;height:22.2pt;z-index:251658259;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" filled="f" stroked="f">
                <v:textbox style="layout-flow:vertical;mso-layout-flow-alt:bottom-to-top" inset="0,0,0,0">
                  <w:txbxContent>
                    <w:p w14:paraId="00C7F337" w14:textId="77777777" w:rsidR="0014798C" w:rsidRDefault="004E1F0B">
                      <w:pPr>
                        <w:spacing w:before="19"/>
                        <w:ind w:left="20"/>
                        <w:rPr>
                          <w:sz w:val="8"/>
                        </w:rPr>
                      </w:pPr>
                      <w:r>
                        <w:rPr>
                          <w:color w:val="FFFFFF"/>
                          <w:spacing w:val="-24"/>
                          <w:sz w:val="8"/>
                        </w:rPr>
                        <w:t>I–P</w:t>
                      </w:r>
                      <w:r>
                        <w:rPr>
                          <w:spacing w:val="-24"/>
                          <w:sz w:val="8"/>
                        </w:rPr>
                        <w:t>S</w:t>
                      </w:r>
                      <w:r>
                        <w:rPr>
                          <w:color w:val="FFFFFF"/>
                          <w:spacing w:val="-24"/>
                          <w:sz w:val="8"/>
                        </w:rPr>
                        <w:t>A</w:t>
                      </w:r>
                      <w:r>
                        <w:rPr>
                          <w:spacing w:val="-24"/>
                          <w:sz w:val="8"/>
                        </w:rPr>
                        <w:t>E</w:t>
                      </w:r>
                      <w:r>
                        <w:rPr>
                          <w:color w:val="FFFFFF"/>
                          <w:spacing w:val="-24"/>
                          <w:sz w:val="8"/>
                        </w:rPr>
                        <w:t>R</w:t>
                      </w:r>
                      <w:r>
                        <w:rPr>
                          <w:spacing w:val="-24"/>
                          <w:sz w:val="8"/>
                        </w:rPr>
                        <w:t>G</w:t>
                      </w:r>
                      <w:r>
                        <w:rPr>
                          <w:color w:val="FFFFFF"/>
                          <w:spacing w:val="-24"/>
                          <w:sz w:val="8"/>
                        </w:rPr>
                        <w:t>T</w:t>
                      </w:r>
                      <w:r>
                        <w:rPr>
                          <w:spacing w:val="-24"/>
                          <w:sz w:val="8"/>
                        </w:rPr>
                        <w:t>U</w:t>
                      </w:r>
                      <w:r>
                        <w:rPr>
                          <w:color w:val="FFFFFF"/>
                          <w:spacing w:val="-24"/>
                          <w:sz w:val="8"/>
                        </w:rPr>
                        <w:t>E</w:t>
                      </w:r>
                      <w:r>
                        <w:rPr>
                          <w:spacing w:val="-24"/>
                          <w:sz w:val="8"/>
                        </w:rPr>
                        <w:t>NDA</w:t>
                      </w:r>
                    </w:p>
                  </w:txbxContent>
                </v:textbox>
                <w10:wrap anchorx="page"/>
              </v:shape>
            </w:pict>
          </mc:Fallback>
        </mc:AlternateContent>
      </w:r>
      <w:r>
        <w:t>Según la legislación de la Unión Europea, el acoso (que puede ocurrir por motivos de sexo de una persona, así como por otros motivos) y el acoso sexual se definen por separado como formas discretas de daño. Si bien ambos delitos incluyen conductas que violan la dignidad humana y tienen el efecto de crear “un ambiente intimidante, hostil, degradante,</w:t>
      </w:r>
      <w:r>
        <w:rPr>
          <w:spacing w:val="80"/>
        </w:rPr>
        <w:t xml:space="preserve"> </w:t>
      </w:r>
      <w:r>
        <w:t>humillante</w:t>
      </w:r>
      <w:r>
        <w:rPr>
          <w:spacing w:val="16"/>
        </w:rPr>
        <w:t xml:space="preserve"> </w:t>
      </w:r>
      <w:r>
        <w:t>u</w:t>
      </w:r>
      <w:r>
        <w:rPr>
          <w:spacing w:val="16"/>
        </w:rPr>
        <w:t xml:space="preserve"> </w:t>
      </w:r>
      <w:r>
        <w:t>ofensivo”,261</w:t>
      </w:r>
      <w:r>
        <w:rPr>
          <w:spacing w:val="16"/>
        </w:rPr>
        <w:t xml:space="preserve"> </w:t>
      </w:r>
      <w:r>
        <w:t>el</w:t>
      </w:r>
      <w:r>
        <w:rPr>
          <w:spacing w:val="16"/>
        </w:rPr>
        <w:t xml:space="preserve"> </w:t>
      </w:r>
      <w:r>
        <w:t>acoso</w:t>
      </w:r>
      <w:r>
        <w:rPr>
          <w:spacing w:val="16"/>
        </w:rPr>
        <w:t xml:space="preserve"> </w:t>
      </w:r>
      <w:r>
        <w:t>sexual</w:t>
      </w:r>
      <w:r>
        <w:rPr>
          <w:spacing w:val="17"/>
        </w:rPr>
        <w:t xml:space="preserve"> </w:t>
      </w:r>
      <w:r>
        <w:t>se</w:t>
      </w:r>
      <w:r>
        <w:rPr>
          <w:spacing w:val="16"/>
        </w:rPr>
        <w:t xml:space="preserve"> </w:t>
      </w:r>
      <w:r>
        <w:t>relaciona</w:t>
      </w:r>
      <w:r>
        <w:rPr>
          <w:spacing w:val="16"/>
        </w:rPr>
        <w:t xml:space="preserve"> </w:t>
      </w:r>
      <w:r>
        <w:t>específicamente</w:t>
      </w:r>
      <w:r>
        <w:rPr>
          <w:spacing w:val="16"/>
        </w:rPr>
        <w:t xml:space="preserve"> </w:t>
      </w:r>
      <w:r>
        <w:t>con</w:t>
      </w:r>
      <w:r>
        <w:rPr>
          <w:spacing w:val="16"/>
        </w:rPr>
        <w:t xml:space="preserve"> </w:t>
      </w:r>
      <w:r>
        <w:t>conductas</w:t>
      </w:r>
      <w:r>
        <w:rPr>
          <w:spacing w:val="16"/>
        </w:rPr>
        <w:t xml:space="preserve"> </w:t>
      </w:r>
      <w:r>
        <w:t>que</w:t>
      </w:r>
      <w:r>
        <w:rPr>
          <w:spacing w:val="16"/>
        </w:rPr>
        <w:t xml:space="preserve"> </w:t>
      </w:r>
      <w:r>
        <w:t>son</w:t>
      </w:r>
      <w:r>
        <w:rPr>
          <w:spacing w:val="16"/>
        </w:rPr>
        <w:t xml:space="preserve"> </w:t>
      </w:r>
      <w:r>
        <w:t>de</w:t>
      </w:r>
      <w:r>
        <w:rPr>
          <w:spacing w:val="16"/>
        </w:rPr>
        <w:t xml:space="preserve"> </w:t>
      </w:r>
      <w:r>
        <w:t>naturaleza</w:t>
      </w:r>
      <w:r>
        <w:rPr>
          <w:spacing w:val="16"/>
        </w:rPr>
        <w:t xml:space="preserve"> </w:t>
      </w:r>
      <w:r>
        <w:t>sexual</w:t>
      </w:r>
      <w:r>
        <w:rPr>
          <w:spacing w:val="17"/>
        </w:rPr>
        <w:t xml:space="preserve"> </w:t>
      </w:r>
      <w:r>
        <w:t>y no necesitan estar relacionadas con una característica protegida. .262</w:t>
      </w:r>
    </w:p>
    <w:p w14:paraId="733DE0B9" w14:textId="77777777" w:rsidR="0014798C" w:rsidRDefault="004E1F0B">
      <w:pPr>
        <w:pStyle w:val="Textoindependiente"/>
        <w:spacing w:before="111" w:line="324" w:lineRule="auto"/>
        <w:ind w:left="1329" w:right="1725" w:firstLine="3"/>
      </w:pPr>
      <w:r>
        <w:t>Ejemplos de acoso sexual incluyen comentarios sexuales, la exhibición de materiales pornográficos o sexualmente explícitos, así como formas de contacto sexual, que pueden constituir delitos separados según el derecho penal.263 En sus recientes observaciones finales, tanto el Comité de Asuntos Económicos, Sociales y Los Comités de Derechos Culturales y de Derechos Humanos han pedido a los Estados que prohíban el acoso sexual en sus marcos legales nacionales.264 Estas prohibiciones deben ir junto con, y además de, las prohibiciones del acoso en el terreno, tal como</w:t>
      </w:r>
      <w:r>
        <w:rPr>
          <w:spacing w:val="80"/>
        </w:rPr>
        <w:t xml:space="preserve"> </w:t>
      </w:r>
      <w:r>
        <w:t>se define en esta sección.265</w:t>
      </w:r>
    </w:p>
    <w:p w14:paraId="27E30B40" w14:textId="77777777" w:rsidR="0014798C" w:rsidRDefault="0014798C">
      <w:pPr>
        <w:pStyle w:val="Textoindependiente"/>
      </w:pPr>
    </w:p>
    <w:p w14:paraId="4C335B69" w14:textId="77777777" w:rsidR="0014798C" w:rsidRDefault="0014798C">
      <w:pPr>
        <w:pStyle w:val="Textoindependiente"/>
        <w:spacing w:before="93"/>
      </w:pPr>
    </w:p>
    <w:p w14:paraId="694697B8" w14:textId="77777777" w:rsidR="0014798C" w:rsidRDefault="004E1F0B">
      <w:pPr>
        <w:pStyle w:val="Textoindependiente"/>
        <w:spacing w:before="1" w:line="326" w:lineRule="auto"/>
        <w:ind w:left="1107" w:right="1626" w:hanging="1"/>
      </w:pPr>
      <w:r>
        <w:t>En diferente medida, cada uno de los sistemas regionales de derechos humanos ha reconocido el acoso como una forma de conducta</w:t>
      </w:r>
      <w:r>
        <w:rPr>
          <w:spacing w:val="15"/>
        </w:rPr>
        <w:t xml:space="preserve"> </w:t>
      </w:r>
      <w:r>
        <w:t>prohibida.</w:t>
      </w:r>
      <w:r>
        <w:rPr>
          <w:spacing w:val="16"/>
        </w:rPr>
        <w:t xml:space="preserve"> </w:t>
      </w:r>
      <w:r>
        <w:t>El</w:t>
      </w:r>
      <w:r>
        <w:rPr>
          <w:spacing w:val="15"/>
        </w:rPr>
        <w:t xml:space="preserve"> </w:t>
      </w:r>
      <w:r>
        <w:t>acoso</w:t>
      </w:r>
      <w:r>
        <w:rPr>
          <w:spacing w:val="15"/>
        </w:rPr>
        <w:t xml:space="preserve"> </w:t>
      </w:r>
      <w:r>
        <w:t>está</w:t>
      </w:r>
      <w:r>
        <w:rPr>
          <w:spacing w:val="15"/>
        </w:rPr>
        <w:t xml:space="preserve"> </w:t>
      </w:r>
      <w:r>
        <w:t>explícitamente</w:t>
      </w:r>
      <w:r>
        <w:rPr>
          <w:spacing w:val="15"/>
        </w:rPr>
        <w:t xml:space="preserve"> </w:t>
      </w:r>
      <w:r>
        <w:t>prohibido</w:t>
      </w:r>
      <w:r>
        <w:rPr>
          <w:spacing w:val="15"/>
        </w:rPr>
        <w:t xml:space="preserve"> </w:t>
      </w:r>
      <w:r>
        <w:t>en</w:t>
      </w:r>
      <w:r>
        <w:rPr>
          <w:spacing w:val="15"/>
        </w:rPr>
        <w:t xml:space="preserve"> </w:t>
      </w:r>
      <w:r>
        <w:t>las</w:t>
      </w:r>
      <w:r>
        <w:rPr>
          <w:spacing w:val="15"/>
        </w:rPr>
        <w:t xml:space="preserve"> </w:t>
      </w:r>
      <w:r>
        <w:t>directivas</w:t>
      </w:r>
      <w:r>
        <w:rPr>
          <w:spacing w:val="15"/>
        </w:rPr>
        <w:t xml:space="preserve"> </w:t>
      </w:r>
      <w:r>
        <w:t>de</w:t>
      </w:r>
      <w:r>
        <w:rPr>
          <w:spacing w:val="15"/>
        </w:rPr>
        <w:t xml:space="preserve"> </w:t>
      </w:r>
      <w:r>
        <w:t>igualdad</w:t>
      </w:r>
      <w:r>
        <w:rPr>
          <w:spacing w:val="15"/>
        </w:rPr>
        <w:t xml:space="preserve"> </w:t>
      </w:r>
      <w:r>
        <w:t>de</w:t>
      </w:r>
      <w:r>
        <w:rPr>
          <w:spacing w:val="15"/>
        </w:rPr>
        <w:t xml:space="preserve"> </w:t>
      </w:r>
      <w:r>
        <w:t>trato</w:t>
      </w:r>
      <w:r>
        <w:rPr>
          <w:spacing w:val="15"/>
        </w:rPr>
        <w:t xml:space="preserve"> </w:t>
      </w:r>
      <w:r>
        <w:t>de</w:t>
      </w:r>
      <w:r>
        <w:rPr>
          <w:spacing w:val="15"/>
        </w:rPr>
        <w:t xml:space="preserve"> </w:t>
      </w:r>
      <w:r>
        <w:t>la</w:t>
      </w:r>
      <w:r>
        <w:rPr>
          <w:spacing w:val="15"/>
        </w:rPr>
        <w:t xml:space="preserve"> </w:t>
      </w:r>
      <w:r>
        <w:t>Unión</w:t>
      </w:r>
      <w:r>
        <w:rPr>
          <w:spacing w:val="15"/>
        </w:rPr>
        <w:t xml:space="preserve"> </w:t>
      </w:r>
      <w:r>
        <w:t>Europea.266 En sus orientaciones sobre el derecho a la no discriminación, el Tribunal Europeo de Derechos Humanos ha identificado el acoso “como [una] manifestación particular de discriminación directa”.267 Mientras que la Comisión Africana de Derechos</w:t>
      </w:r>
    </w:p>
    <w:p w14:paraId="5437601C" w14:textId="77777777" w:rsidR="0014798C" w:rsidRDefault="004E1F0B">
      <w:pPr>
        <w:pStyle w:val="Textoindependiente"/>
        <w:spacing w:line="326" w:lineRule="auto"/>
        <w:ind w:left="1107" w:right="1335"/>
      </w:pPr>
      <w:r>
        <w:t>Humanos y de los Pueblos y la Comisión Interamericana de Derechos Humanos La Comisión Americana de Derechos Humanos</w:t>
      </w:r>
      <w:r>
        <w:rPr>
          <w:spacing w:val="80"/>
        </w:rPr>
        <w:t xml:space="preserve"> </w:t>
      </w:r>
      <w:r>
        <w:t>ha</w:t>
      </w:r>
      <w:r>
        <w:rPr>
          <w:spacing w:val="13"/>
        </w:rPr>
        <w:t xml:space="preserve"> </w:t>
      </w:r>
      <w:r>
        <w:t>discutido</w:t>
      </w:r>
      <w:r>
        <w:rPr>
          <w:spacing w:val="13"/>
        </w:rPr>
        <w:t xml:space="preserve"> </w:t>
      </w:r>
      <w:r>
        <w:t>principalmente</w:t>
      </w:r>
      <w:r>
        <w:rPr>
          <w:spacing w:val="13"/>
        </w:rPr>
        <w:t xml:space="preserve"> </w:t>
      </w:r>
      <w:r>
        <w:t>el</w:t>
      </w:r>
      <w:r>
        <w:rPr>
          <w:spacing w:val="13"/>
        </w:rPr>
        <w:t xml:space="preserve"> </w:t>
      </w:r>
      <w:r>
        <w:t>acoso</w:t>
      </w:r>
      <w:r>
        <w:rPr>
          <w:spacing w:val="13"/>
        </w:rPr>
        <w:t xml:space="preserve"> </w:t>
      </w:r>
      <w:r>
        <w:t>en</w:t>
      </w:r>
      <w:r>
        <w:rPr>
          <w:spacing w:val="13"/>
        </w:rPr>
        <w:t xml:space="preserve"> </w:t>
      </w:r>
      <w:r>
        <w:t>el</w:t>
      </w:r>
      <w:r>
        <w:rPr>
          <w:spacing w:val="13"/>
        </w:rPr>
        <w:t xml:space="preserve"> </w:t>
      </w:r>
      <w:r>
        <w:t>contexto</w:t>
      </w:r>
      <w:r>
        <w:rPr>
          <w:spacing w:val="13"/>
        </w:rPr>
        <w:t xml:space="preserve"> </w:t>
      </w:r>
      <w:r>
        <w:t>del</w:t>
      </w:r>
      <w:r>
        <w:rPr>
          <w:spacing w:val="13"/>
        </w:rPr>
        <w:t xml:space="preserve"> </w:t>
      </w:r>
      <w:r>
        <w:t>acoso</w:t>
      </w:r>
      <w:r>
        <w:rPr>
          <w:spacing w:val="13"/>
        </w:rPr>
        <w:t xml:space="preserve"> </w:t>
      </w:r>
      <w:r>
        <w:t>sexual,268</w:t>
      </w:r>
      <w:r>
        <w:rPr>
          <w:spacing w:val="13"/>
        </w:rPr>
        <w:t xml:space="preserve"> </w:t>
      </w:r>
      <w:r>
        <w:t>ambas</w:t>
      </w:r>
      <w:r>
        <w:rPr>
          <w:spacing w:val="13"/>
        </w:rPr>
        <w:t xml:space="preserve"> </w:t>
      </w:r>
      <w:r>
        <w:t>han</w:t>
      </w:r>
      <w:r>
        <w:rPr>
          <w:spacing w:val="13"/>
        </w:rPr>
        <w:t xml:space="preserve"> </w:t>
      </w:r>
      <w:r>
        <w:t>aplicado</w:t>
      </w:r>
      <w:r>
        <w:rPr>
          <w:spacing w:val="13"/>
        </w:rPr>
        <w:t xml:space="preserve"> </w:t>
      </w:r>
      <w:r>
        <w:t>el</w:t>
      </w:r>
      <w:r>
        <w:rPr>
          <w:spacing w:val="13"/>
        </w:rPr>
        <w:t xml:space="preserve"> </w:t>
      </w:r>
      <w:r>
        <w:t>principio</w:t>
      </w:r>
      <w:r>
        <w:rPr>
          <w:spacing w:val="13"/>
        </w:rPr>
        <w:t xml:space="preserve"> </w:t>
      </w:r>
      <w:r>
        <w:t>con</w:t>
      </w:r>
      <w:r>
        <w:rPr>
          <w:spacing w:val="13"/>
        </w:rPr>
        <w:t xml:space="preserve"> </w:t>
      </w:r>
      <w:r>
        <w:t>respecto</w:t>
      </w:r>
      <w:r>
        <w:rPr>
          <w:spacing w:val="13"/>
        </w:rPr>
        <w:t xml:space="preserve"> </w:t>
      </w:r>
      <w:r>
        <w:t>a</w:t>
      </w:r>
      <w:r>
        <w:rPr>
          <w:spacing w:val="13"/>
        </w:rPr>
        <w:t xml:space="preserve"> </w:t>
      </w:r>
      <w:r>
        <w:t>una lista más amplia de motivos.269 En particular, la Comisión Africana de Derechos Humanos y de los Pueblos ha señalado que: “Acoso puede constituir discriminación por motivos de raza, color, religión, origen nacional, edad, sexo/género, condición sexual</w:t>
      </w:r>
    </w:p>
    <w:p w14:paraId="6B6EEC15" w14:textId="77777777" w:rsidR="0014798C" w:rsidRDefault="0014798C">
      <w:pPr>
        <w:pStyle w:val="Textoindependiente"/>
        <w:rPr>
          <w:sz w:val="20"/>
        </w:rPr>
      </w:pPr>
    </w:p>
    <w:p w14:paraId="1963E0A3" w14:textId="77777777" w:rsidR="0014798C" w:rsidRDefault="0014798C">
      <w:pPr>
        <w:pStyle w:val="Textoindependiente"/>
        <w:spacing w:before="94"/>
        <w:rPr>
          <w:sz w:val="20"/>
        </w:rPr>
      </w:pPr>
    </w:p>
    <w:p w14:paraId="27AD7C32" w14:textId="77777777" w:rsidR="0014798C" w:rsidRDefault="0014798C">
      <w:pPr>
        <w:rPr>
          <w:sz w:val="20"/>
        </w:rPr>
        <w:sectPr w:rsidR="0014798C" w:rsidSect="00F265E4">
          <w:pgSz w:w="11900" w:h="16820"/>
          <w:pgMar w:top="340" w:right="0" w:bottom="280" w:left="200" w:header="121" w:footer="0" w:gutter="0"/>
          <w:cols w:space="720"/>
        </w:sectPr>
      </w:pPr>
    </w:p>
    <w:p w14:paraId="45825FBB" w14:textId="77777777" w:rsidR="0014798C" w:rsidRDefault="0014798C">
      <w:pPr>
        <w:pStyle w:val="Textoindependiente"/>
        <w:spacing w:before="9"/>
        <w:rPr>
          <w:sz w:val="8"/>
        </w:rPr>
      </w:pPr>
    </w:p>
    <w:p w14:paraId="359F7368" w14:textId="77777777" w:rsidR="0014798C" w:rsidRDefault="004E1F0B">
      <w:pPr>
        <w:spacing w:before="1"/>
        <w:jc w:val="right"/>
        <w:rPr>
          <w:sz w:val="8"/>
        </w:rPr>
      </w:pPr>
      <w:r>
        <w:rPr>
          <w:spacing w:val="-5"/>
          <w:w w:val="105"/>
          <w:sz w:val="8"/>
        </w:rPr>
        <w:t>260</w:t>
      </w:r>
    </w:p>
    <w:p w14:paraId="411B3AE4" w14:textId="77777777" w:rsidR="0014798C" w:rsidRDefault="004E1F0B">
      <w:pPr>
        <w:spacing w:before="107" w:line="312" w:lineRule="auto"/>
        <w:ind w:left="90" w:right="1553" w:hanging="7"/>
        <w:rPr>
          <w:sz w:val="12"/>
        </w:rPr>
      </w:pPr>
      <w:r>
        <w:br w:type="column"/>
      </w:r>
      <w:r>
        <w:rPr>
          <w:spacing w:val="-2"/>
          <w:sz w:val="12"/>
        </w:rPr>
        <w:t>Véase,</w:t>
      </w:r>
      <w:r>
        <w:rPr>
          <w:spacing w:val="-5"/>
          <w:sz w:val="12"/>
        </w:rPr>
        <w:t xml:space="preserve"> </w:t>
      </w:r>
      <w:r>
        <w:rPr>
          <w:spacing w:val="-2"/>
          <w:sz w:val="12"/>
        </w:rPr>
        <w:t>por</w:t>
      </w:r>
      <w:r>
        <w:rPr>
          <w:spacing w:val="-5"/>
          <w:sz w:val="12"/>
        </w:rPr>
        <w:t xml:space="preserve"> </w:t>
      </w:r>
      <w:r>
        <w:rPr>
          <w:spacing w:val="-2"/>
          <w:sz w:val="12"/>
        </w:rPr>
        <w:t>ejemplo,</w:t>
      </w:r>
      <w:r>
        <w:rPr>
          <w:spacing w:val="-5"/>
          <w:sz w:val="12"/>
        </w:rPr>
        <w:t xml:space="preserve"> </w:t>
      </w:r>
      <w:r>
        <w:rPr>
          <w:spacing w:val="-2"/>
          <w:sz w:val="12"/>
        </w:rPr>
        <w:t>CCPR/C/BLR/CO/5,</w:t>
      </w:r>
      <w:r>
        <w:rPr>
          <w:spacing w:val="-5"/>
          <w:sz w:val="12"/>
        </w:rPr>
        <w:t xml:space="preserve"> </w:t>
      </w:r>
      <w:r>
        <w:rPr>
          <w:spacing w:val="-2"/>
          <w:sz w:val="12"/>
        </w:rPr>
        <w:t>párr.</w:t>
      </w:r>
      <w:r>
        <w:rPr>
          <w:spacing w:val="-5"/>
          <w:sz w:val="12"/>
        </w:rPr>
        <w:t xml:space="preserve"> </w:t>
      </w:r>
      <w:r>
        <w:rPr>
          <w:spacing w:val="-2"/>
          <w:sz w:val="12"/>
        </w:rPr>
        <w:t>19;</w:t>
      </w:r>
      <w:r>
        <w:rPr>
          <w:spacing w:val="-5"/>
          <w:sz w:val="12"/>
        </w:rPr>
        <w:t xml:space="preserve"> </w:t>
      </w:r>
      <w:r>
        <w:rPr>
          <w:spacing w:val="-2"/>
          <w:sz w:val="12"/>
        </w:rPr>
        <w:t>CERD/C/ITA/CO/19-20,</w:t>
      </w:r>
      <w:r>
        <w:rPr>
          <w:spacing w:val="-5"/>
          <w:sz w:val="12"/>
        </w:rPr>
        <w:t xml:space="preserve"> </w:t>
      </w:r>
      <w:r>
        <w:rPr>
          <w:spacing w:val="-2"/>
          <w:sz w:val="12"/>
        </w:rPr>
        <w:t>párr.</w:t>
      </w:r>
      <w:r>
        <w:rPr>
          <w:spacing w:val="-5"/>
          <w:sz w:val="12"/>
        </w:rPr>
        <w:t xml:space="preserve"> </w:t>
      </w:r>
      <w:r>
        <w:rPr>
          <w:spacing w:val="-2"/>
          <w:sz w:val="12"/>
        </w:rPr>
        <w:t>25;</w:t>
      </w:r>
      <w:r>
        <w:rPr>
          <w:spacing w:val="-5"/>
          <w:sz w:val="12"/>
        </w:rPr>
        <w:t xml:space="preserve"> </w:t>
      </w:r>
      <w:r>
        <w:rPr>
          <w:spacing w:val="-2"/>
          <w:sz w:val="12"/>
        </w:rPr>
        <w:t>y</w:t>
      </w:r>
      <w:r>
        <w:rPr>
          <w:spacing w:val="-5"/>
          <w:sz w:val="12"/>
        </w:rPr>
        <w:t xml:space="preserve"> </w:t>
      </w:r>
      <w:r>
        <w:rPr>
          <w:spacing w:val="-2"/>
          <w:sz w:val="12"/>
        </w:rPr>
        <w:t>CEDAW/C/JPN/CO/7-8,</w:t>
      </w:r>
      <w:r>
        <w:rPr>
          <w:spacing w:val="-5"/>
          <w:sz w:val="12"/>
        </w:rPr>
        <w:t xml:space="preserve"> </w:t>
      </w:r>
      <w:proofErr w:type="spellStart"/>
      <w:r>
        <w:rPr>
          <w:spacing w:val="-2"/>
          <w:sz w:val="12"/>
        </w:rPr>
        <w:t>párrs</w:t>
      </w:r>
      <w:proofErr w:type="spellEnd"/>
      <w:r>
        <w:rPr>
          <w:spacing w:val="-2"/>
          <w:sz w:val="12"/>
        </w:rPr>
        <w:t>.</w:t>
      </w:r>
      <w:r>
        <w:rPr>
          <w:spacing w:val="-5"/>
          <w:sz w:val="12"/>
        </w:rPr>
        <w:t xml:space="preserve"> </w:t>
      </w:r>
      <w:r>
        <w:rPr>
          <w:spacing w:val="-2"/>
          <w:sz w:val="12"/>
        </w:rPr>
        <w:t>12</w:t>
      </w:r>
      <w:r>
        <w:rPr>
          <w:spacing w:val="-5"/>
          <w:sz w:val="12"/>
        </w:rPr>
        <w:t xml:space="preserve"> </w:t>
      </w:r>
      <w:r>
        <w:rPr>
          <w:spacing w:val="-2"/>
          <w:sz w:val="12"/>
        </w:rPr>
        <w:t>(e)</w:t>
      </w:r>
      <w:r>
        <w:rPr>
          <w:spacing w:val="-5"/>
          <w:sz w:val="12"/>
        </w:rPr>
        <w:t xml:space="preserve"> </w:t>
      </w:r>
      <w:r>
        <w:rPr>
          <w:spacing w:val="-2"/>
          <w:sz w:val="12"/>
        </w:rPr>
        <w:t>y</w:t>
      </w:r>
      <w:r>
        <w:rPr>
          <w:spacing w:val="-5"/>
          <w:sz w:val="12"/>
        </w:rPr>
        <w:t xml:space="preserve"> </w:t>
      </w:r>
      <w:r>
        <w:rPr>
          <w:spacing w:val="-2"/>
          <w:sz w:val="12"/>
        </w:rPr>
        <w:t>13</w:t>
      </w:r>
      <w:r>
        <w:rPr>
          <w:spacing w:val="-5"/>
          <w:sz w:val="12"/>
        </w:rPr>
        <w:t xml:space="preserve"> </w:t>
      </w:r>
      <w:r>
        <w:rPr>
          <w:spacing w:val="-2"/>
          <w:sz w:val="12"/>
        </w:rPr>
        <w:t>(c).</w:t>
      </w:r>
      <w:r>
        <w:rPr>
          <w:spacing w:val="-5"/>
          <w:sz w:val="12"/>
        </w:rPr>
        <w:t xml:space="preserve"> </w:t>
      </w:r>
      <w:r>
        <w:rPr>
          <w:spacing w:val="-2"/>
          <w:sz w:val="12"/>
        </w:rPr>
        <w:t>La</w:t>
      </w:r>
      <w:r>
        <w:rPr>
          <w:spacing w:val="-5"/>
          <w:sz w:val="12"/>
        </w:rPr>
        <w:t xml:space="preserve"> </w:t>
      </w:r>
      <w:r>
        <w:rPr>
          <w:spacing w:val="-2"/>
          <w:sz w:val="12"/>
        </w:rPr>
        <w:t>Comisión</w:t>
      </w:r>
      <w:r>
        <w:rPr>
          <w:spacing w:val="-5"/>
          <w:sz w:val="12"/>
        </w:rPr>
        <w:t xml:space="preserve"> </w:t>
      </w:r>
      <w:r>
        <w:rPr>
          <w:spacing w:val="-2"/>
          <w:sz w:val="12"/>
        </w:rPr>
        <w:t>de</w:t>
      </w:r>
      <w:r>
        <w:rPr>
          <w:spacing w:val="-5"/>
          <w:sz w:val="12"/>
        </w:rPr>
        <w:t xml:space="preserve"> </w:t>
      </w:r>
      <w:r>
        <w:rPr>
          <w:spacing w:val="-2"/>
          <w:sz w:val="12"/>
        </w:rPr>
        <w:t>Expertos</w:t>
      </w:r>
      <w:r>
        <w:rPr>
          <w:spacing w:val="-5"/>
          <w:sz w:val="12"/>
        </w:rPr>
        <w:t xml:space="preserve"> </w:t>
      </w:r>
      <w:r>
        <w:rPr>
          <w:spacing w:val="-2"/>
          <w:sz w:val="12"/>
        </w:rPr>
        <w:t>en</w:t>
      </w:r>
      <w:r>
        <w:rPr>
          <w:spacing w:val="40"/>
          <w:sz w:val="12"/>
        </w:rPr>
        <w:t xml:space="preserve"> </w:t>
      </w:r>
      <w:r>
        <w:rPr>
          <w:sz w:val="12"/>
        </w:rPr>
        <w:t>Aplicación</w:t>
      </w:r>
      <w:r>
        <w:rPr>
          <w:spacing w:val="-5"/>
          <w:sz w:val="12"/>
        </w:rPr>
        <w:t xml:space="preserve"> </w:t>
      </w:r>
      <w:r>
        <w:rPr>
          <w:sz w:val="12"/>
        </w:rPr>
        <w:t>de</w:t>
      </w:r>
      <w:r>
        <w:rPr>
          <w:spacing w:val="-5"/>
          <w:sz w:val="12"/>
        </w:rPr>
        <w:t xml:space="preserve"> </w:t>
      </w:r>
      <w:r>
        <w:rPr>
          <w:sz w:val="12"/>
        </w:rPr>
        <w:t>Convenios</w:t>
      </w:r>
      <w:r>
        <w:rPr>
          <w:spacing w:val="-5"/>
          <w:sz w:val="12"/>
        </w:rPr>
        <w:t xml:space="preserve"> </w:t>
      </w:r>
      <w:r>
        <w:rPr>
          <w:sz w:val="12"/>
        </w:rPr>
        <w:t>y</w:t>
      </w:r>
      <w:r>
        <w:rPr>
          <w:spacing w:val="-5"/>
          <w:sz w:val="12"/>
        </w:rPr>
        <w:t xml:space="preserve"> </w:t>
      </w:r>
      <w:r>
        <w:rPr>
          <w:sz w:val="12"/>
        </w:rPr>
        <w:t>Recomendaciones</w:t>
      </w:r>
      <w:r>
        <w:rPr>
          <w:spacing w:val="-5"/>
          <w:sz w:val="12"/>
        </w:rPr>
        <w:t xml:space="preserve"> </w:t>
      </w:r>
      <w:r>
        <w:rPr>
          <w:sz w:val="12"/>
        </w:rPr>
        <w:t>de</w:t>
      </w:r>
      <w:r>
        <w:rPr>
          <w:spacing w:val="-5"/>
          <w:sz w:val="12"/>
        </w:rPr>
        <w:t xml:space="preserve"> </w:t>
      </w:r>
      <w:r>
        <w:rPr>
          <w:sz w:val="12"/>
        </w:rPr>
        <w:t>la</w:t>
      </w:r>
      <w:r>
        <w:rPr>
          <w:spacing w:val="-5"/>
          <w:sz w:val="12"/>
        </w:rPr>
        <w:t xml:space="preserve"> </w:t>
      </w:r>
      <w:r>
        <w:rPr>
          <w:sz w:val="12"/>
        </w:rPr>
        <w:t>OIT</w:t>
      </w:r>
      <w:r>
        <w:rPr>
          <w:spacing w:val="-5"/>
          <w:sz w:val="12"/>
        </w:rPr>
        <w:t xml:space="preserve"> </w:t>
      </w:r>
      <w:r>
        <w:rPr>
          <w:sz w:val="12"/>
        </w:rPr>
        <w:t>ha</w:t>
      </w:r>
      <w:r>
        <w:rPr>
          <w:spacing w:val="-5"/>
          <w:sz w:val="12"/>
        </w:rPr>
        <w:t xml:space="preserve"> </w:t>
      </w:r>
      <w:r>
        <w:rPr>
          <w:sz w:val="12"/>
        </w:rPr>
        <w:t>observado</w:t>
      </w:r>
      <w:r>
        <w:rPr>
          <w:spacing w:val="-5"/>
          <w:sz w:val="12"/>
        </w:rPr>
        <w:t xml:space="preserve"> </w:t>
      </w:r>
      <w:r>
        <w:rPr>
          <w:sz w:val="12"/>
        </w:rPr>
        <w:t>de</w:t>
      </w:r>
      <w:r>
        <w:rPr>
          <w:spacing w:val="-5"/>
          <w:sz w:val="12"/>
        </w:rPr>
        <w:t xml:space="preserve"> </w:t>
      </w:r>
      <w:r>
        <w:rPr>
          <w:sz w:val="12"/>
        </w:rPr>
        <w:t>manera</w:t>
      </w:r>
      <w:r>
        <w:rPr>
          <w:spacing w:val="-5"/>
          <w:sz w:val="12"/>
        </w:rPr>
        <w:t xml:space="preserve"> </w:t>
      </w:r>
      <w:r>
        <w:rPr>
          <w:sz w:val="12"/>
        </w:rPr>
        <w:t>similar</w:t>
      </w:r>
      <w:r>
        <w:rPr>
          <w:spacing w:val="-5"/>
          <w:sz w:val="12"/>
        </w:rPr>
        <w:t xml:space="preserve"> </w:t>
      </w:r>
      <w:r>
        <w:rPr>
          <w:sz w:val="12"/>
        </w:rPr>
        <w:t>que</w:t>
      </w:r>
      <w:r>
        <w:rPr>
          <w:spacing w:val="-5"/>
          <w:sz w:val="12"/>
        </w:rPr>
        <w:t xml:space="preserve"> </w:t>
      </w:r>
      <w:r>
        <w:rPr>
          <w:sz w:val="12"/>
        </w:rPr>
        <w:t>la</w:t>
      </w:r>
      <w:r>
        <w:rPr>
          <w:spacing w:val="-5"/>
          <w:sz w:val="12"/>
        </w:rPr>
        <w:t xml:space="preserve"> </w:t>
      </w:r>
      <w:r>
        <w:rPr>
          <w:sz w:val="12"/>
        </w:rPr>
        <w:t>prohibición</w:t>
      </w:r>
      <w:r>
        <w:rPr>
          <w:spacing w:val="-5"/>
          <w:sz w:val="12"/>
        </w:rPr>
        <w:t xml:space="preserve"> </w:t>
      </w:r>
      <w:r>
        <w:rPr>
          <w:sz w:val="12"/>
        </w:rPr>
        <w:t>de</w:t>
      </w:r>
      <w:r>
        <w:rPr>
          <w:spacing w:val="-5"/>
          <w:sz w:val="12"/>
        </w:rPr>
        <w:t xml:space="preserve"> </w:t>
      </w:r>
      <w:r>
        <w:rPr>
          <w:sz w:val="12"/>
        </w:rPr>
        <w:t>la</w:t>
      </w:r>
      <w:r>
        <w:rPr>
          <w:spacing w:val="-5"/>
          <w:sz w:val="12"/>
        </w:rPr>
        <w:t xml:space="preserve"> </w:t>
      </w:r>
      <w:r>
        <w:rPr>
          <w:sz w:val="12"/>
        </w:rPr>
        <w:t>discriminación</w:t>
      </w:r>
      <w:r>
        <w:rPr>
          <w:spacing w:val="-5"/>
          <w:sz w:val="12"/>
        </w:rPr>
        <w:t xml:space="preserve"> </w:t>
      </w:r>
      <w:r>
        <w:rPr>
          <w:sz w:val="12"/>
        </w:rPr>
        <w:t>prevista</w:t>
      </w:r>
      <w:r>
        <w:rPr>
          <w:spacing w:val="-5"/>
          <w:sz w:val="12"/>
        </w:rPr>
        <w:t xml:space="preserve"> </w:t>
      </w:r>
      <w:r>
        <w:rPr>
          <w:sz w:val="12"/>
        </w:rPr>
        <w:t>en</w:t>
      </w:r>
      <w:r>
        <w:rPr>
          <w:spacing w:val="-5"/>
          <w:sz w:val="12"/>
        </w:rPr>
        <w:t xml:space="preserve"> </w:t>
      </w:r>
      <w:r>
        <w:rPr>
          <w:sz w:val="12"/>
        </w:rPr>
        <w:t>el</w:t>
      </w:r>
      <w:r>
        <w:rPr>
          <w:spacing w:val="-5"/>
          <w:sz w:val="12"/>
        </w:rPr>
        <w:t xml:space="preserve"> </w:t>
      </w:r>
      <w:r>
        <w:rPr>
          <w:sz w:val="12"/>
        </w:rPr>
        <w:t>artículo</w:t>
      </w:r>
      <w:r>
        <w:rPr>
          <w:spacing w:val="-5"/>
          <w:sz w:val="12"/>
        </w:rPr>
        <w:t xml:space="preserve"> </w:t>
      </w:r>
      <w:r>
        <w:rPr>
          <w:sz w:val="12"/>
        </w:rPr>
        <w:t>1</w:t>
      </w:r>
      <w:r>
        <w:rPr>
          <w:spacing w:val="-5"/>
          <w:sz w:val="12"/>
        </w:rPr>
        <w:t xml:space="preserve"> </w:t>
      </w:r>
      <w:r>
        <w:rPr>
          <w:sz w:val="12"/>
        </w:rPr>
        <w:t>(1)</w:t>
      </w:r>
      <w:r>
        <w:rPr>
          <w:spacing w:val="-5"/>
          <w:sz w:val="12"/>
        </w:rPr>
        <w:t xml:space="preserve"> </w:t>
      </w:r>
      <w:r>
        <w:rPr>
          <w:sz w:val="12"/>
        </w:rPr>
        <w:t>(a)</w:t>
      </w:r>
    </w:p>
    <w:p w14:paraId="4CAF1C10" w14:textId="77777777" w:rsidR="0014798C" w:rsidRDefault="004E1F0B">
      <w:pPr>
        <w:spacing w:before="1" w:line="312" w:lineRule="auto"/>
        <w:ind w:left="91" w:right="1786" w:hanging="9"/>
        <w:rPr>
          <w:sz w:val="12"/>
        </w:rPr>
      </w:pPr>
      <w:r>
        <w:rPr>
          <w:sz w:val="12"/>
        </w:rPr>
        <w:t>del</w:t>
      </w:r>
      <w:r>
        <w:rPr>
          <w:spacing w:val="-9"/>
          <w:sz w:val="12"/>
        </w:rPr>
        <w:t xml:space="preserve"> </w:t>
      </w:r>
      <w:r>
        <w:rPr>
          <w:sz w:val="12"/>
        </w:rPr>
        <w:t>Convenio</w:t>
      </w:r>
      <w:r>
        <w:rPr>
          <w:spacing w:val="-8"/>
          <w:sz w:val="12"/>
        </w:rPr>
        <w:t xml:space="preserve"> </w:t>
      </w:r>
      <w:r>
        <w:rPr>
          <w:sz w:val="12"/>
        </w:rPr>
        <w:t>sobre</w:t>
      </w:r>
      <w:r>
        <w:rPr>
          <w:spacing w:val="-8"/>
          <w:sz w:val="12"/>
        </w:rPr>
        <w:t xml:space="preserve"> </w:t>
      </w:r>
      <w:r>
        <w:rPr>
          <w:sz w:val="12"/>
        </w:rPr>
        <w:t>la</w:t>
      </w:r>
      <w:r>
        <w:rPr>
          <w:spacing w:val="-9"/>
          <w:sz w:val="12"/>
        </w:rPr>
        <w:t xml:space="preserve"> </w:t>
      </w:r>
      <w:r>
        <w:rPr>
          <w:sz w:val="12"/>
        </w:rPr>
        <w:t>discriminación</w:t>
      </w:r>
      <w:r>
        <w:rPr>
          <w:spacing w:val="-8"/>
          <w:sz w:val="12"/>
        </w:rPr>
        <w:t xml:space="preserve"> </w:t>
      </w:r>
      <w:r>
        <w:rPr>
          <w:sz w:val="12"/>
        </w:rPr>
        <w:t>(empleo</w:t>
      </w:r>
      <w:r>
        <w:rPr>
          <w:spacing w:val="-8"/>
          <w:sz w:val="12"/>
        </w:rPr>
        <w:t xml:space="preserve"> </w:t>
      </w:r>
      <w:r>
        <w:rPr>
          <w:sz w:val="12"/>
        </w:rPr>
        <w:t>y</w:t>
      </w:r>
      <w:r>
        <w:rPr>
          <w:spacing w:val="-9"/>
          <w:sz w:val="12"/>
        </w:rPr>
        <w:t xml:space="preserve"> </w:t>
      </w:r>
      <w:r>
        <w:rPr>
          <w:sz w:val="12"/>
        </w:rPr>
        <w:t>ocupación),</w:t>
      </w:r>
      <w:r>
        <w:rPr>
          <w:spacing w:val="-8"/>
          <w:sz w:val="12"/>
        </w:rPr>
        <w:t xml:space="preserve"> </w:t>
      </w:r>
      <w:r>
        <w:rPr>
          <w:sz w:val="12"/>
        </w:rPr>
        <w:t>1958</w:t>
      </w:r>
      <w:r>
        <w:rPr>
          <w:spacing w:val="-9"/>
          <w:sz w:val="12"/>
        </w:rPr>
        <w:t xml:space="preserve"> </w:t>
      </w:r>
      <w:r>
        <w:rPr>
          <w:sz w:val="12"/>
        </w:rPr>
        <w:t>(núm.</w:t>
      </w:r>
      <w:r>
        <w:rPr>
          <w:spacing w:val="-8"/>
          <w:sz w:val="12"/>
        </w:rPr>
        <w:t xml:space="preserve"> </w:t>
      </w:r>
      <w:r>
        <w:rPr>
          <w:sz w:val="12"/>
        </w:rPr>
        <w:t>111),</w:t>
      </w:r>
      <w:r>
        <w:rPr>
          <w:spacing w:val="-8"/>
          <w:sz w:val="12"/>
        </w:rPr>
        <w:t xml:space="preserve"> </w:t>
      </w:r>
      <w:r>
        <w:rPr>
          <w:sz w:val="12"/>
        </w:rPr>
        <w:t>cubre</w:t>
      </w:r>
      <w:r>
        <w:rPr>
          <w:spacing w:val="-9"/>
          <w:sz w:val="12"/>
        </w:rPr>
        <w:t xml:space="preserve"> </w:t>
      </w:r>
      <w:r>
        <w:rPr>
          <w:sz w:val="12"/>
        </w:rPr>
        <w:t>“la</w:t>
      </w:r>
      <w:r>
        <w:rPr>
          <w:spacing w:val="-8"/>
          <w:sz w:val="12"/>
        </w:rPr>
        <w:t xml:space="preserve"> </w:t>
      </w:r>
      <w:r>
        <w:rPr>
          <w:sz w:val="12"/>
        </w:rPr>
        <w:t>discriminación-</w:t>
      </w:r>
      <w:r>
        <w:rPr>
          <w:spacing w:val="-8"/>
          <w:sz w:val="12"/>
        </w:rPr>
        <w:t xml:space="preserve"> </w:t>
      </w:r>
      <w:r>
        <w:rPr>
          <w:sz w:val="12"/>
        </w:rPr>
        <w:t>acoso</w:t>
      </w:r>
      <w:r>
        <w:rPr>
          <w:spacing w:val="-9"/>
          <w:sz w:val="12"/>
        </w:rPr>
        <w:t xml:space="preserve"> </w:t>
      </w:r>
      <w:r>
        <w:rPr>
          <w:sz w:val="12"/>
        </w:rPr>
        <w:t>basado”.</w:t>
      </w:r>
      <w:r>
        <w:rPr>
          <w:spacing w:val="-8"/>
          <w:sz w:val="12"/>
        </w:rPr>
        <w:t xml:space="preserve"> </w:t>
      </w:r>
      <w:r>
        <w:rPr>
          <w:sz w:val="12"/>
        </w:rPr>
        <w:t>Véase</w:t>
      </w:r>
      <w:r>
        <w:rPr>
          <w:spacing w:val="-8"/>
          <w:sz w:val="12"/>
        </w:rPr>
        <w:t xml:space="preserve"> </w:t>
      </w:r>
      <w:r>
        <w:rPr>
          <w:sz w:val="12"/>
        </w:rPr>
        <w:t>Comisión</w:t>
      </w:r>
      <w:r>
        <w:rPr>
          <w:spacing w:val="-9"/>
          <w:sz w:val="12"/>
        </w:rPr>
        <w:t xml:space="preserve"> </w:t>
      </w:r>
      <w:r>
        <w:rPr>
          <w:sz w:val="12"/>
        </w:rPr>
        <w:t>de</w:t>
      </w:r>
      <w:r>
        <w:rPr>
          <w:spacing w:val="-8"/>
          <w:sz w:val="12"/>
        </w:rPr>
        <w:t xml:space="preserve"> </w:t>
      </w:r>
      <w:r>
        <w:rPr>
          <w:sz w:val="12"/>
        </w:rPr>
        <w:t>Expertos</w:t>
      </w:r>
      <w:r>
        <w:rPr>
          <w:spacing w:val="-8"/>
          <w:sz w:val="12"/>
        </w:rPr>
        <w:t xml:space="preserve"> </w:t>
      </w:r>
      <w:r>
        <w:rPr>
          <w:sz w:val="12"/>
        </w:rPr>
        <w:t>en</w:t>
      </w:r>
      <w:r>
        <w:rPr>
          <w:spacing w:val="-9"/>
          <w:sz w:val="12"/>
        </w:rPr>
        <w:t xml:space="preserve"> </w:t>
      </w:r>
      <w:r>
        <w:rPr>
          <w:sz w:val="12"/>
        </w:rPr>
        <w:t>Aplicación</w:t>
      </w:r>
      <w:r>
        <w:rPr>
          <w:spacing w:val="40"/>
          <w:sz w:val="12"/>
        </w:rPr>
        <w:t xml:space="preserve"> </w:t>
      </w:r>
      <w:r>
        <w:rPr>
          <w:sz w:val="12"/>
        </w:rPr>
        <w:t>de</w:t>
      </w:r>
      <w:r>
        <w:rPr>
          <w:spacing w:val="-6"/>
          <w:sz w:val="12"/>
        </w:rPr>
        <w:t xml:space="preserve"> </w:t>
      </w:r>
      <w:r>
        <w:rPr>
          <w:sz w:val="12"/>
        </w:rPr>
        <w:t>Convenios</w:t>
      </w:r>
      <w:r>
        <w:rPr>
          <w:spacing w:val="-6"/>
          <w:sz w:val="12"/>
        </w:rPr>
        <w:t xml:space="preserve"> </w:t>
      </w:r>
      <w:r>
        <w:rPr>
          <w:sz w:val="12"/>
        </w:rPr>
        <w:t>y</w:t>
      </w:r>
      <w:r>
        <w:rPr>
          <w:spacing w:val="-6"/>
          <w:sz w:val="12"/>
        </w:rPr>
        <w:t xml:space="preserve"> </w:t>
      </w:r>
      <w:r>
        <w:rPr>
          <w:sz w:val="12"/>
        </w:rPr>
        <w:t>Recomendaciones</w:t>
      </w:r>
      <w:r>
        <w:rPr>
          <w:spacing w:val="-6"/>
          <w:sz w:val="12"/>
        </w:rPr>
        <w:t xml:space="preserve"> </w:t>
      </w:r>
      <w:r>
        <w:rPr>
          <w:sz w:val="12"/>
        </w:rPr>
        <w:t>de</w:t>
      </w:r>
      <w:r>
        <w:rPr>
          <w:spacing w:val="-6"/>
          <w:sz w:val="12"/>
        </w:rPr>
        <w:t xml:space="preserve"> </w:t>
      </w:r>
      <w:r>
        <w:rPr>
          <w:sz w:val="12"/>
        </w:rPr>
        <w:t>la</w:t>
      </w:r>
      <w:r>
        <w:rPr>
          <w:spacing w:val="-6"/>
          <w:sz w:val="12"/>
        </w:rPr>
        <w:t xml:space="preserve"> </w:t>
      </w:r>
      <w:r>
        <w:rPr>
          <w:sz w:val="12"/>
        </w:rPr>
        <w:t>OIT,</w:t>
      </w:r>
      <w:r>
        <w:rPr>
          <w:spacing w:val="-6"/>
          <w:sz w:val="12"/>
        </w:rPr>
        <w:t xml:space="preserve"> </w:t>
      </w:r>
      <w:r>
        <w:rPr>
          <w:sz w:val="12"/>
        </w:rPr>
        <w:t>Observación</w:t>
      </w:r>
      <w:r>
        <w:rPr>
          <w:spacing w:val="-6"/>
          <w:sz w:val="12"/>
        </w:rPr>
        <w:t xml:space="preserve"> </w:t>
      </w:r>
      <w:r>
        <w:rPr>
          <w:sz w:val="12"/>
        </w:rPr>
        <w:t>general</w:t>
      </w:r>
      <w:r>
        <w:rPr>
          <w:spacing w:val="-6"/>
          <w:sz w:val="12"/>
        </w:rPr>
        <w:t xml:space="preserve"> </w:t>
      </w:r>
      <w:r>
        <w:rPr>
          <w:sz w:val="12"/>
        </w:rPr>
        <w:t>sobre</w:t>
      </w:r>
      <w:r>
        <w:rPr>
          <w:spacing w:val="-6"/>
          <w:sz w:val="12"/>
        </w:rPr>
        <w:t xml:space="preserve"> </w:t>
      </w:r>
      <w:r>
        <w:rPr>
          <w:sz w:val="12"/>
        </w:rPr>
        <w:t>la</w:t>
      </w:r>
      <w:r>
        <w:rPr>
          <w:spacing w:val="-6"/>
          <w:sz w:val="12"/>
        </w:rPr>
        <w:t xml:space="preserve"> </w:t>
      </w:r>
      <w:r>
        <w:rPr>
          <w:sz w:val="12"/>
        </w:rPr>
        <w:t>discriminación</w:t>
      </w:r>
      <w:r>
        <w:rPr>
          <w:spacing w:val="-6"/>
          <w:sz w:val="12"/>
        </w:rPr>
        <w:t xml:space="preserve"> </w:t>
      </w:r>
      <w:r>
        <w:rPr>
          <w:sz w:val="12"/>
        </w:rPr>
        <w:t>por</w:t>
      </w:r>
      <w:r>
        <w:rPr>
          <w:spacing w:val="-6"/>
          <w:sz w:val="12"/>
        </w:rPr>
        <w:t xml:space="preserve"> </w:t>
      </w:r>
      <w:r>
        <w:rPr>
          <w:sz w:val="12"/>
        </w:rPr>
        <w:t>motivos</w:t>
      </w:r>
      <w:r>
        <w:rPr>
          <w:spacing w:val="-6"/>
          <w:sz w:val="12"/>
        </w:rPr>
        <w:t xml:space="preserve"> </w:t>
      </w:r>
      <w:r>
        <w:rPr>
          <w:sz w:val="12"/>
        </w:rPr>
        <w:t>de</w:t>
      </w:r>
      <w:r>
        <w:rPr>
          <w:spacing w:val="-6"/>
          <w:sz w:val="12"/>
        </w:rPr>
        <w:t xml:space="preserve"> </w:t>
      </w:r>
      <w:r>
        <w:rPr>
          <w:sz w:val="12"/>
        </w:rPr>
        <w:t>raza,</w:t>
      </w:r>
      <w:r>
        <w:rPr>
          <w:spacing w:val="-6"/>
          <w:sz w:val="12"/>
        </w:rPr>
        <w:t xml:space="preserve"> </w:t>
      </w:r>
      <w:r>
        <w:rPr>
          <w:sz w:val="12"/>
        </w:rPr>
        <w:t>color</w:t>
      </w:r>
      <w:r>
        <w:rPr>
          <w:spacing w:val="-6"/>
          <w:sz w:val="12"/>
        </w:rPr>
        <w:t xml:space="preserve"> </w:t>
      </w:r>
      <w:r>
        <w:rPr>
          <w:sz w:val="12"/>
        </w:rPr>
        <w:t>y</w:t>
      </w:r>
      <w:r>
        <w:rPr>
          <w:spacing w:val="-6"/>
          <w:sz w:val="12"/>
        </w:rPr>
        <w:t xml:space="preserve"> </w:t>
      </w:r>
      <w:r>
        <w:rPr>
          <w:sz w:val="12"/>
        </w:rPr>
        <w:t>ascendencia</w:t>
      </w:r>
      <w:r>
        <w:rPr>
          <w:spacing w:val="-6"/>
          <w:sz w:val="12"/>
        </w:rPr>
        <w:t xml:space="preserve"> </w:t>
      </w:r>
      <w:r>
        <w:rPr>
          <w:sz w:val="12"/>
        </w:rPr>
        <w:t>nacional</w:t>
      </w:r>
      <w:r>
        <w:rPr>
          <w:spacing w:val="-6"/>
          <w:sz w:val="12"/>
        </w:rPr>
        <w:t xml:space="preserve"> </w:t>
      </w:r>
      <w:r>
        <w:rPr>
          <w:sz w:val="12"/>
        </w:rPr>
        <w:t>(2018).</w:t>
      </w:r>
    </w:p>
    <w:p w14:paraId="74D4667B" w14:textId="77777777" w:rsidR="0014798C" w:rsidRDefault="0014798C">
      <w:pPr>
        <w:spacing w:line="312" w:lineRule="auto"/>
        <w:rPr>
          <w:sz w:val="12"/>
        </w:rPr>
        <w:sectPr w:rsidR="0014798C" w:rsidSect="00F265E4">
          <w:type w:val="continuous"/>
          <w:pgSz w:w="11900" w:h="16820"/>
          <w:pgMar w:top="40" w:right="0" w:bottom="280" w:left="200" w:header="121" w:footer="0" w:gutter="0"/>
          <w:cols w:num="2" w:space="720" w:equalWidth="0">
            <w:col w:w="1247" w:space="40"/>
            <w:col w:w="10413"/>
          </w:cols>
        </w:sectPr>
      </w:pPr>
    </w:p>
    <w:p w14:paraId="136C6044" w14:textId="77777777" w:rsidR="0014798C" w:rsidRDefault="0014798C">
      <w:pPr>
        <w:pStyle w:val="Textoindependiente"/>
        <w:spacing w:before="99"/>
        <w:rPr>
          <w:sz w:val="12"/>
        </w:rPr>
      </w:pPr>
    </w:p>
    <w:p w14:paraId="3FB5D39D" w14:textId="77777777" w:rsidR="0014798C" w:rsidRDefault="004E1F0B">
      <w:pPr>
        <w:spacing w:line="312" w:lineRule="auto"/>
        <w:ind w:left="1369" w:right="2004" w:hanging="265"/>
        <w:rPr>
          <w:sz w:val="12"/>
        </w:rPr>
      </w:pPr>
      <w:r>
        <w:rPr>
          <w:sz w:val="12"/>
        </w:rPr>
        <w:t>261</w:t>
      </w:r>
      <w:r>
        <w:rPr>
          <w:spacing w:val="-8"/>
          <w:sz w:val="12"/>
        </w:rPr>
        <w:t xml:space="preserve"> </w:t>
      </w:r>
      <w:r>
        <w:rPr>
          <w:sz w:val="12"/>
        </w:rPr>
        <w:t>Directiva</w:t>
      </w:r>
      <w:r>
        <w:rPr>
          <w:spacing w:val="-8"/>
          <w:sz w:val="12"/>
        </w:rPr>
        <w:t xml:space="preserve"> </w:t>
      </w:r>
      <w:r>
        <w:rPr>
          <w:sz w:val="12"/>
        </w:rPr>
        <w:t>2006/54/CE</w:t>
      </w:r>
      <w:r>
        <w:rPr>
          <w:spacing w:val="-8"/>
          <w:sz w:val="12"/>
        </w:rPr>
        <w:t xml:space="preserve"> </w:t>
      </w:r>
      <w:r>
        <w:rPr>
          <w:sz w:val="12"/>
        </w:rPr>
        <w:t>del</w:t>
      </w:r>
      <w:r>
        <w:rPr>
          <w:spacing w:val="-8"/>
          <w:sz w:val="12"/>
        </w:rPr>
        <w:t xml:space="preserve"> </w:t>
      </w:r>
      <w:r>
        <w:rPr>
          <w:sz w:val="12"/>
        </w:rPr>
        <w:t>Parlamento</w:t>
      </w:r>
      <w:r>
        <w:rPr>
          <w:spacing w:val="-8"/>
          <w:sz w:val="12"/>
        </w:rPr>
        <w:t xml:space="preserve"> </w:t>
      </w:r>
      <w:r>
        <w:rPr>
          <w:sz w:val="12"/>
        </w:rPr>
        <w:t>Europeo</w:t>
      </w:r>
      <w:r>
        <w:rPr>
          <w:spacing w:val="-8"/>
          <w:sz w:val="12"/>
        </w:rPr>
        <w:t xml:space="preserve"> </w:t>
      </w:r>
      <w:r>
        <w:rPr>
          <w:sz w:val="12"/>
        </w:rPr>
        <w:t>y</w:t>
      </w:r>
      <w:r>
        <w:rPr>
          <w:spacing w:val="-8"/>
          <w:sz w:val="12"/>
        </w:rPr>
        <w:t xml:space="preserve"> </w:t>
      </w:r>
      <w:r>
        <w:rPr>
          <w:sz w:val="12"/>
        </w:rPr>
        <w:t>del</w:t>
      </w:r>
      <w:r>
        <w:rPr>
          <w:spacing w:val="-8"/>
          <w:sz w:val="12"/>
        </w:rPr>
        <w:t xml:space="preserve"> </w:t>
      </w:r>
      <w:r>
        <w:rPr>
          <w:sz w:val="12"/>
        </w:rPr>
        <w:t>Consejo,</w:t>
      </w:r>
      <w:r>
        <w:rPr>
          <w:spacing w:val="-8"/>
          <w:sz w:val="12"/>
        </w:rPr>
        <w:t xml:space="preserve"> </w:t>
      </w:r>
      <w:r>
        <w:rPr>
          <w:sz w:val="12"/>
        </w:rPr>
        <w:t>de</w:t>
      </w:r>
      <w:r>
        <w:rPr>
          <w:spacing w:val="-8"/>
          <w:sz w:val="12"/>
        </w:rPr>
        <w:t xml:space="preserve"> </w:t>
      </w:r>
      <w:r>
        <w:rPr>
          <w:sz w:val="12"/>
        </w:rPr>
        <w:t>5</w:t>
      </w:r>
      <w:r>
        <w:rPr>
          <w:spacing w:val="-8"/>
          <w:sz w:val="12"/>
        </w:rPr>
        <w:t xml:space="preserve"> </w:t>
      </w:r>
      <w:r>
        <w:rPr>
          <w:sz w:val="12"/>
        </w:rPr>
        <w:t>de</w:t>
      </w:r>
      <w:r>
        <w:rPr>
          <w:spacing w:val="-8"/>
          <w:sz w:val="12"/>
        </w:rPr>
        <w:t xml:space="preserve"> </w:t>
      </w:r>
      <w:r>
        <w:rPr>
          <w:sz w:val="12"/>
        </w:rPr>
        <w:t>julio</w:t>
      </w:r>
      <w:r>
        <w:rPr>
          <w:spacing w:val="-8"/>
          <w:sz w:val="12"/>
        </w:rPr>
        <w:t xml:space="preserve"> </w:t>
      </w:r>
      <w:r>
        <w:rPr>
          <w:sz w:val="12"/>
        </w:rPr>
        <w:t>de</w:t>
      </w:r>
      <w:r>
        <w:rPr>
          <w:spacing w:val="-8"/>
          <w:sz w:val="12"/>
        </w:rPr>
        <w:t xml:space="preserve"> </w:t>
      </w:r>
      <w:r>
        <w:rPr>
          <w:sz w:val="12"/>
        </w:rPr>
        <w:t>2006,</w:t>
      </w:r>
      <w:r>
        <w:rPr>
          <w:spacing w:val="-8"/>
          <w:sz w:val="12"/>
        </w:rPr>
        <w:t xml:space="preserve"> </w:t>
      </w:r>
      <w:r>
        <w:rPr>
          <w:sz w:val="12"/>
        </w:rPr>
        <w:t>sobre</w:t>
      </w:r>
      <w:r>
        <w:rPr>
          <w:spacing w:val="-8"/>
          <w:sz w:val="12"/>
        </w:rPr>
        <w:t xml:space="preserve"> </w:t>
      </w:r>
      <w:r>
        <w:rPr>
          <w:sz w:val="12"/>
        </w:rPr>
        <w:t>la</w:t>
      </w:r>
      <w:r>
        <w:rPr>
          <w:spacing w:val="-8"/>
          <w:sz w:val="12"/>
        </w:rPr>
        <w:t xml:space="preserve"> </w:t>
      </w:r>
      <w:r>
        <w:rPr>
          <w:sz w:val="12"/>
        </w:rPr>
        <w:t>aplicación</w:t>
      </w:r>
      <w:r>
        <w:rPr>
          <w:spacing w:val="-8"/>
          <w:sz w:val="12"/>
        </w:rPr>
        <w:t xml:space="preserve"> </w:t>
      </w:r>
      <w:r>
        <w:rPr>
          <w:sz w:val="12"/>
        </w:rPr>
        <w:t>del</w:t>
      </w:r>
      <w:r>
        <w:rPr>
          <w:spacing w:val="-8"/>
          <w:sz w:val="12"/>
        </w:rPr>
        <w:t xml:space="preserve"> </w:t>
      </w:r>
      <w:r>
        <w:rPr>
          <w:sz w:val="12"/>
        </w:rPr>
        <w:t>principio</w:t>
      </w:r>
      <w:r>
        <w:rPr>
          <w:spacing w:val="-8"/>
          <w:sz w:val="12"/>
        </w:rPr>
        <w:t xml:space="preserve"> </w:t>
      </w:r>
      <w:r>
        <w:rPr>
          <w:sz w:val="12"/>
        </w:rPr>
        <w:t>de</w:t>
      </w:r>
      <w:r>
        <w:rPr>
          <w:spacing w:val="-8"/>
          <w:sz w:val="12"/>
        </w:rPr>
        <w:t xml:space="preserve"> </w:t>
      </w:r>
      <w:r>
        <w:rPr>
          <w:sz w:val="12"/>
        </w:rPr>
        <w:t>igualdad</w:t>
      </w:r>
      <w:r>
        <w:rPr>
          <w:spacing w:val="-8"/>
          <w:sz w:val="12"/>
        </w:rPr>
        <w:t xml:space="preserve"> </w:t>
      </w:r>
      <w:r>
        <w:rPr>
          <w:sz w:val="12"/>
        </w:rPr>
        <w:t>de</w:t>
      </w:r>
      <w:r>
        <w:rPr>
          <w:spacing w:val="-8"/>
          <w:sz w:val="12"/>
        </w:rPr>
        <w:t xml:space="preserve"> </w:t>
      </w:r>
      <w:r>
        <w:rPr>
          <w:sz w:val="12"/>
        </w:rPr>
        <w:t>oportunidades</w:t>
      </w:r>
      <w:r>
        <w:rPr>
          <w:spacing w:val="-8"/>
          <w:sz w:val="12"/>
        </w:rPr>
        <w:t xml:space="preserve"> </w:t>
      </w:r>
      <w:r>
        <w:rPr>
          <w:sz w:val="12"/>
        </w:rPr>
        <w:t>e</w:t>
      </w:r>
      <w:r>
        <w:rPr>
          <w:spacing w:val="-8"/>
          <w:sz w:val="12"/>
        </w:rPr>
        <w:t xml:space="preserve"> </w:t>
      </w:r>
      <w:r>
        <w:rPr>
          <w:sz w:val="12"/>
        </w:rPr>
        <w:t>igualdad</w:t>
      </w:r>
      <w:r>
        <w:rPr>
          <w:spacing w:val="-8"/>
          <w:sz w:val="12"/>
        </w:rPr>
        <w:t xml:space="preserve"> </w:t>
      </w:r>
      <w:r>
        <w:rPr>
          <w:sz w:val="12"/>
        </w:rPr>
        <w:t>de</w:t>
      </w:r>
      <w:r>
        <w:rPr>
          <w:spacing w:val="40"/>
          <w:sz w:val="12"/>
        </w:rPr>
        <w:t xml:space="preserve"> </w:t>
      </w:r>
      <w:r>
        <w:rPr>
          <w:sz w:val="12"/>
        </w:rPr>
        <w:t>trato</w:t>
      </w:r>
      <w:r>
        <w:rPr>
          <w:spacing w:val="-4"/>
          <w:sz w:val="12"/>
        </w:rPr>
        <w:t xml:space="preserve"> </w:t>
      </w:r>
      <w:r>
        <w:rPr>
          <w:sz w:val="12"/>
        </w:rPr>
        <w:t>entre</w:t>
      </w:r>
      <w:r>
        <w:rPr>
          <w:spacing w:val="-4"/>
          <w:sz w:val="12"/>
        </w:rPr>
        <w:t xml:space="preserve"> </w:t>
      </w:r>
      <w:r>
        <w:rPr>
          <w:sz w:val="12"/>
        </w:rPr>
        <w:t>hombres</w:t>
      </w:r>
      <w:r>
        <w:rPr>
          <w:spacing w:val="-4"/>
          <w:sz w:val="12"/>
        </w:rPr>
        <w:t xml:space="preserve"> </w:t>
      </w:r>
      <w:r>
        <w:rPr>
          <w:sz w:val="12"/>
        </w:rPr>
        <w:t>y</w:t>
      </w:r>
      <w:r>
        <w:rPr>
          <w:spacing w:val="-4"/>
          <w:sz w:val="12"/>
        </w:rPr>
        <w:t xml:space="preserve"> </w:t>
      </w:r>
      <w:r>
        <w:rPr>
          <w:sz w:val="12"/>
        </w:rPr>
        <w:t>mujeres</w:t>
      </w:r>
      <w:r>
        <w:rPr>
          <w:spacing w:val="-4"/>
          <w:sz w:val="12"/>
        </w:rPr>
        <w:t xml:space="preserve"> </w:t>
      </w:r>
      <w:r>
        <w:rPr>
          <w:sz w:val="12"/>
        </w:rPr>
        <w:t>en</w:t>
      </w:r>
      <w:r>
        <w:rPr>
          <w:spacing w:val="-4"/>
          <w:sz w:val="12"/>
        </w:rPr>
        <w:t xml:space="preserve"> </w:t>
      </w:r>
      <w:r>
        <w:rPr>
          <w:sz w:val="12"/>
        </w:rPr>
        <w:t>materia</w:t>
      </w:r>
      <w:r>
        <w:rPr>
          <w:spacing w:val="-4"/>
          <w:sz w:val="12"/>
        </w:rPr>
        <w:t xml:space="preserve"> </w:t>
      </w:r>
      <w:r>
        <w:rPr>
          <w:sz w:val="12"/>
        </w:rPr>
        <w:t>de</w:t>
      </w:r>
      <w:r>
        <w:rPr>
          <w:spacing w:val="-4"/>
          <w:sz w:val="12"/>
        </w:rPr>
        <w:t xml:space="preserve"> </w:t>
      </w:r>
      <w:r>
        <w:rPr>
          <w:sz w:val="12"/>
        </w:rPr>
        <w:t>empleo</w:t>
      </w:r>
      <w:r>
        <w:rPr>
          <w:spacing w:val="-4"/>
          <w:sz w:val="12"/>
        </w:rPr>
        <w:t xml:space="preserve"> </w:t>
      </w:r>
      <w:r>
        <w:rPr>
          <w:sz w:val="12"/>
        </w:rPr>
        <w:t>y</w:t>
      </w:r>
      <w:r>
        <w:rPr>
          <w:spacing w:val="-4"/>
          <w:sz w:val="12"/>
        </w:rPr>
        <w:t xml:space="preserve"> </w:t>
      </w:r>
      <w:r>
        <w:rPr>
          <w:sz w:val="12"/>
        </w:rPr>
        <w:t>ocupación</w:t>
      </w:r>
      <w:r>
        <w:rPr>
          <w:spacing w:val="-4"/>
          <w:sz w:val="12"/>
        </w:rPr>
        <w:t xml:space="preserve"> </w:t>
      </w:r>
      <w:r>
        <w:rPr>
          <w:sz w:val="12"/>
        </w:rPr>
        <w:t>(refundición),</w:t>
      </w:r>
      <w:r>
        <w:rPr>
          <w:spacing w:val="-3"/>
          <w:sz w:val="12"/>
        </w:rPr>
        <w:t xml:space="preserve"> </w:t>
      </w:r>
      <w:r>
        <w:rPr>
          <w:sz w:val="12"/>
        </w:rPr>
        <w:t>arts.</w:t>
      </w:r>
      <w:r>
        <w:rPr>
          <w:spacing w:val="-4"/>
          <w:sz w:val="12"/>
        </w:rPr>
        <w:t xml:space="preserve"> </w:t>
      </w:r>
      <w:r>
        <w:rPr>
          <w:sz w:val="12"/>
        </w:rPr>
        <w:t>2</w:t>
      </w:r>
      <w:r>
        <w:rPr>
          <w:spacing w:val="-4"/>
          <w:sz w:val="12"/>
        </w:rPr>
        <w:t xml:space="preserve"> </w:t>
      </w:r>
      <w:r>
        <w:rPr>
          <w:sz w:val="12"/>
        </w:rPr>
        <w:t>(1)</w:t>
      </w:r>
      <w:r>
        <w:rPr>
          <w:spacing w:val="-4"/>
          <w:sz w:val="12"/>
        </w:rPr>
        <w:t xml:space="preserve"> </w:t>
      </w:r>
      <w:r>
        <w:rPr>
          <w:sz w:val="12"/>
        </w:rPr>
        <w:t>(c)–(d).</w:t>
      </w:r>
    </w:p>
    <w:p w14:paraId="3D840FBE" w14:textId="77777777" w:rsidR="0014798C" w:rsidRDefault="004E1F0B">
      <w:pPr>
        <w:spacing w:before="53"/>
        <w:ind w:left="1105"/>
        <w:rPr>
          <w:sz w:val="12"/>
        </w:rPr>
      </w:pPr>
      <w:r>
        <w:rPr>
          <w:sz w:val="12"/>
        </w:rPr>
        <w:t>262</w:t>
      </w:r>
      <w:r>
        <w:rPr>
          <w:spacing w:val="-7"/>
          <w:sz w:val="12"/>
        </w:rPr>
        <w:t xml:space="preserve"> </w:t>
      </w:r>
      <w:proofErr w:type="spellStart"/>
      <w:r>
        <w:rPr>
          <w:sz w:val="12"/>
        </w:rPr>
        <w:t>Ibíd</w:t>
      </w:r>
      <w:proofErr w:type="spellEnd"/>
      <w:r>
        <w:rPr>
          <w:sz w:val="12"/>
        </w:rPr>
        <w:t>.,</w:t>
      </w:r>
      <w:r>
        <w:rPr>
          <w:spacing w:val="-6"/>
          <w:sz w:val="12"/>
        </w:rPr>
        <w:t xml:space="preserve"> </w:t>
      </w:r>
      <w:r>
        <w:rPr>
          <w:sz w:val="12"/>
        </w:rPr>
        <w:t>art.</w:t>
      </w:r>
      <w:r>
        <w:rPr>
          <w:spacing w:val="-7"/>
          <w:sz w:val="12"/>
        </w:rPr>
        <w:t xml:space="preserve"> </w:t>
      </w:r>
      <w:r>
        <w:rPr>
          <w:sz w:val="12"/>
        </w:rPr>
        <w:t>2</w:t>
      </w:r>
      <w:r>
        <w:rPr>
          <w:spacing w:val="-6"/>
          <w:sz w:val="12"/>
        </w:rPr>
        <w:t xml:space="preserve"> </w:t>
      </w:r>
      <w:r>
        <w:rPr>
          <w:sz w:val="12"/>
        </w:rPr>
        <w:t>(1)</w:t>
      </w:r>
      <w:r>
        <w:rPr>
          <w:spacing w:val="-7"/>
          <w:sz w:val="12"/>
        </w:rPr>
        <w:t xml:space="preserve"> </w:t>
      </w:r>
      <w:r>
        <w:rPr>
          <w:spacing w:val="-4"/>
          <w:sz w:val="12"/>
        </w:rPr>
        <w:t>(d).</w:t>
      </w:r>
    </w:p>
    <w:p w14:paraId="0E5CC079" w14:textId="77777777" w:rsidR="0014798C" w:rsidRDefault="004E1F0B">
      <w:pPr>
        <w:spacing w:before="103"/>
        <w:ind w:left="1105"/>
        <w:rPr>
          <w:sz w:val="12"/>
        </w:rPr>
      </w:pPr>
      <w:r>
        <w:rPr>
          <w:spacing w:val="-2"/>
          <w:sz w:val="12"/>
        </w:rPr>
        <w:t>263</w:t>
      </w:r>
      <w:r>
        <w:rPr>
          <w:spacing w:val="-1"/>
          <w:sz w:val="12"/>
        </w:rPr>
        <w:t xml:space="preserve"> </w:t>
      </w:r>
      <w:r>
        <w:rPr>
          <w:spacing w:val="-2"/>
          <w:sz w:val="12"/>
        </w:rPr>
        <w:t>Comité</w:t>
      </w:r>
      <w:r>
        <w:rPr>
          <w:spacing w:val="-1"/>
          <w:sz w:val="12"/>
        </w:rPr>
        <w:t xml:space="preserve"> </w:t>
      </w:r>
      <w:r>
        <w:rPr>
          <w:spacing w:val="-2"/>
          <w:sz w:val="12"/>
        </w:rPr>
        <w:t>para</w:t>
      </w:r>
      <w:r>
        <w:rPr>
          <w:spacing w:val="-1"/>
          <w:sz w:val="12"/>
        </w:rPr>
        <w:t xml:space="preserve"> </w:t>
      </w:r>
      <w:r>
        <w:rPr>
          <w:spacing w:val="-2"/>
          <w:sz w:val="12"/>
        </w:rPr>
        <w:t>la</w:t>
      </w:r>
      <w:r>
        <w:rPr>
          <w:spacing w:val="-1"/>
          <w:sz w:val="12"/>
        </w:rPr>
        <w:t xml:space="preserve"> </w:t>
      </w:r>
      <w:r>
        <w:rPr>
          <w:spacing w:val="-2"/>
          <w:sz w:val="12"/>
        </w:rPr>
        <w:t>Eliminación</w:t>
      </w:r>
      <w:r>
        <w:rPr>
          <w:spacing w:val="-1"/>
          <w:sz w:val="12"/>
        </w:rPr>
        <w:t xml:space="preserve"> </w:t>
      </w:r>
      <w:r>
        <w:rPr>
          <w:spacing w:val="-2"/>
          <w:sz w:val="12"/>
        </w:rPr>
        <w:t>de</w:t>
      </w:r>
      <w:r>
        <w:rPr>
          <w:spacing w:val="-1"/>
          <w:sz w:val="12"/>
        </w:rPr>
        <w:t xml:space="preserve"> </w:t>
      </w:r>
      <w:r>
        <w:rPr>
          <w:spacing w:val="-2"/>
          <w:sz w:val="12"/>
        </w:rPr>
        <w:t>la</w:t>
      </w:r>
      <w:r>
        <w:rPr>
          <w:spacing w:val="-1"/>
          <w:sz w:val="12"/>
        </w:rPr>
        <w:t xml:space="preserve"> </w:t>
      </w:r>
      <w:r>
        <w:rPr>
          <w:spacing w:val="-2"/>
          <w:sz w:val="12"/>
        </w:rPr>
        <w:t>Discriminación</w:t>
      </w:r>
      <w:r>
        <w:rPr>
          <w:sz w:val="12"/>
        </w:rPr>
        <w:t xml:space="preserve"> </w:t>
      </w:r>
      <w:r>
        <w:rPr>
          <w:spacing w:val="-2"/>
          <w:sz w:val="12"/>
        </w:rPr>
        <w:t>contra</w:t>
      </w:r>
      <w:r>
        <w:rPr>
          <w:spacing w:val="-1"/>
          <w:sz w:val="12"/>
        </w:rPr>
        <w:t xml:space="preserve"> </w:t>
      </w:r>
      <w:r>
        <w:rPr>
          <w:spacing w:val="-2"/>
          <w:sz w:val="12"/>
        </w:rPr>
        <w:t>la</w:t>
      </w:r>
      <w:r>
        <w:rPr>
          <w:spacing w:val="-1"/>
          <w:sz w:val="12"/>
        </w:rPr>
        <w:t xml:space="preserve"> </w:t>
      </w:r>
      <w:r>
        <w:rPr>
          <w:spacing w:val="-2"/>
          <w:sz w:val="12"/>
        </w:rPr>
        <w:t>Mujer,</w:t>
      </w:r>
      <w:r>
        <w:rPr>
          <w:spacing w:val="-1"/>
          <w:sz w:val="12"/>
        </w:rPr>
        <w:t xml:space="preserve"> </w:t>
      </w:r>
      <w:r>
        <w:rPr>
          <w:spacing w:val="-2"/>
          <w:sz w:val="12"/>
        </w:rPr>
        <w:t>recomendación</w:t>
      </w:r>
      <w:r>
        <w:rPr>
          <w:spacing w:val="-1"/>
          <w:sz w:val="12"/>
        </w:rPr>
        <w:t xml:space="preserve"> </w:t>
      </w:r>
      <w:r>
        <w:rPr>
          <w:spacing w:val="-2"/>
          <w:sz w:val="12"/>
        </w:rPr>
        <w:t>general</w:t>
      </w:r>
      <w:r>
        <w:rPr>
          <w:spacing w:val="-1"/>
          <w:sz w:val="12"/>
        </w:rPr>
        <w:t xml:space="preserve"> </w:t>
      </w:r>
      <w:r>
        <w:rPr>
          <w:spacing w:val="-2"/>
          <w:sz w:val="12"/>
        </w:rPr>
        <w:t>núm.</w:t>
      </w:r>
      <w:r>
        <w:rPr>
          <w:spacing w:val="-1"/>
          <w:sz w:val="12"/>
        </w:rPr>
        <w:t xml:space="preserve"> </w:t>
      </w:r>
      <w:r>
        <w:rPr>
          <w:spacing w:val="-2"/>
          <w:sz w:val="12"/>
        </w:rPr>
        <w:t>19</w:t>
      </w:r>
      <w:r>
        <w:rPr>
          <w:spacing w:val="-1"/>
          <w:sz w:val="12"/>
        </w:rPr>
        <w:t xml:space="preserve"> </w:t>
      </w:r>
      <w:r>
        <w:rPr>
          <w:spacing w:val="-2"/>
          <w:sz w:val="12"/>
        </w:rPr>
        <w:t>(1992),</w:t>
      </w:r>
      <w:r>
        <w:rPr>
          <w:sz w:val="12"/>
        </w:rPr>
        <w:t xml:space="preserve"> </w:t>
      </w:r>
      <w:r>
        <w:rPr>
          <w:spacing w:val="-2"/>
          <w:sz w:val="12"/>
        </w:rPr>
        <w:t>párr.</w:t>
      </w:r>
      <w:r>
        <w:rPr>
          <w:spacing w:val="-1"/>
          <w:sz w:val="12"/>
        </w:rPr>
        <w:t xml:space="preserve"> </w:t>
      </w:r>
      <w:r>
        <w:rPr>
          <w:spacing w:val="-5"/>
          <w:sz w:val="12"/>
        </w:rPr>
        <w:t>18.</w:t>
      </w:r>
    </w:p>
    <w:p w14:paraId="17508A45" w14:textId="77777777" w:rsidR="0014798C" w:rsidRDefault="0014798C">
      <w:pPr>
        <w:rPr>
          <w:sz w:val="12"/>
        </w:rPr>
        <w:sectPr w:rsidR="0014798C" w:rsidSect="00F265E4">
          <w:type w:val="continuous"/>
          <w:pgSz w:w="11900" w:h="16820"/>
          <w:pgMar w:top="40" w:right="0" w:bottom="280" w:left="200" w:header="121" w:footer="0" w:gutter="0"/>
          <w:cols w:space="720"/>
        </w:sectPr>
      </w:pPr>
    </w:p>
    <w:p w14:paraId="07D54845" w14:textId="77777777" w:rsidR="0014798C" w:rsidRDefault="0014798C">
      <w:pPr>
        <w:pStyle w:val="Textoindependiente"/>
        <w:spacing w:before="1"/>
        <w:rPr>
          <w:sz w:val="8"/>
        </w:rPr>
      </w:pPr>
    </w:p>
    <w:p w14:paraId="1C423252" w14:textId="77777777" w:rsidR="0014798C" w:rsidRDefault="004E1F0B">
      <w:pPr>
        <w:jc w:val="right"/>
        <w:rPr>
          <w:sz w:val="8"/>
        </w:rPr>
      </w:pPr>
      <w:r>
        <w:rPr>
          <w:spacing w:val="-5"/>
          <w:w w:val="105"/>
          <w:sz w:val="8"/>
        </w:rPr>
        <w:t>264</w:t>
      </w:r>
    </w:p>
    <w:p w14:paraId="3291308F" w14:textId="77777777" w:rsidR="0014798C" w:rsidRDefault="004E1F0B">
      <w:pPr>
        <w:spacing w:before="99"/>
        <w:ind w:left="83"/>
        <w:rPr>
          <w:sz w:val="12"/>
        </w:rPr>
      </w:pPr>
      <w:r>
        <w:br w:type="column"/>
      </w:r>
      <w:r>
        <w:rPr>
          <w:spacing w:val="-4"/>
          <w:sz w:val="12"/>
        </w:rPr>
        <w:t>Véase,</w:t>
      </w:r>
      <w:r>
        <w:rPr>
          <w:spacing w:val="3"/>
          <w:sz w:val="12"/>
        </w:rPr>
        <w:t xml:space="preserve"> </w:t>
      </w:r>
      <w:r>
        <w:rPr>
          <w:spacing w:val="-4"/>
          <w:sz w:val="12"/>
        </w:rPr>
        <w:t>por</w:t>
      </w:r>
      <w:r>
        <w:rPr>
          <w:spacing w:val="4"/>
          <w:sz w:val="12"/>
        </w:rPr>
        <w:t xml:space="preserve"> </w:t>
      </w:r>
      <w:r>
        <w:rPr>
          <w:spacing w:val="-4"/>
          <w:sz w:val="12"/>
        </w:rPr>
        <w:t>ejemplo,</w:t>
      </w:r>
      <w:r>
        <w:rPr>
          <w:spacing w:val="4"/>
          <w:sz w:val="12"/>
        </w:rPr>
        <w:t xml:space="preserve"> </w:t>
      </w:r>
      <w:r>
        <w:rPr>
          <w:spacing w:val="-4"/>
          <w:sz w:val="12"/>
        </w:rPr>
        <w:t>CCPR/C/JAM/CO/4,</w:t>
      </w:r>
      <w:r>
        <w:rPr>
          <w:spacing w:val="4"/>
          <w:sz w:val="12"/>
        </w:rPr>
        <w:t xml:space="preserve"> </w:t>
      </w:r>
      <w:r>
        <w:rPr>
          <w:spacing w:val="-4"/>
          <w:sz w:val="12"/>
        </w:rPr>
        <w:t>párr.</w:t>
      </w:r>
      <w:r>
        <w:rPr>
          <w:spacing w:val="4"/>
          <w:sz w:val="12"/>
        </w:rPr>
        <w:t xml:space="preserve"> </w:t>
      </w:r>
      <w:r>
        <w:rPr>
          <w:spacing w:val="-4"/>
          <w:sz w:val="12"/>
        </w:rPr>
        <w:t>24;</w:t>
      </w:r>
      <w:r>
        <w:rPr>
          <w:spacing w:val="4"/>
          <w:sz w:val="12"/>
        </w:rPr>
        <w:t xml:space="preserve"> </w:t>
      </w:r>
      <w:r>
        <w:rPr>
          <w:spacing w:val="-4"/>
          <w:sz w:val="12"/>
        </w:rPr>
        <w:t>y</w:t>
      </w:r>
      <w:r>
        <w:rPr>
          <w:spacing w:val="3"/>
          <w:sz w:val="12"/>
        </w:rPr>
        <w:t xml:space="preserve"> </w:t>
      </w:r>
      <w:r>
        <w:rPr>
          <w:spacing w:val="-4"/>
          <w:sz w:val="12"/>
        </w:rPr>
        <w:t>E/C.12/TKM/CO/2,</w:t>
      </w:r>
      <w:r>
        <w:rPr>
          <w:spacing w:val="4"/>
          <w:sz w:val="12"/>
        </w:rPr>
        <w:t xml:space="preserve"> </w:t>
      </w:r>
      <w:r>
        <w:rPr>
          <w:spacing w:val="-4"/>
          <w:sz w:val="12"/>
        </w:rPr>
        <w:t>párr.</w:t>
      </w:r>
      <w:r>
        <w:rPr>
          <w:spacing w:val="4"/>
          <w:sz w:val="12"/>
        </w:rPr>
        <w:t xml:space="preserve"> </w:t>
      </w:r>
      <w:r>
        <w:rPr>
          <w:spacing w:val="-4"/>
          <w:sz w:val="12"/>
        </w:rPr>
        <w:t>21</w:t>
      </w:r>
      <w:r>
        <w:rPr>
          <w:spacing w:val="4"/>
          <w:sz w:val="12"/>
        </w:rPr>
        <w:t xml:space="preserve"> </w:t>
      </w:r>
      <w:r>
        <w:rPr>
          <w:spacing w:val="-4"/>
          <w:sz w:val="12"/>
        </w:rPr>
        <w:t>(f).</w:t>
      </w:r>
    </w:p>
    <w:p w14:paraId="07009D58" w14:textId="77777777" w:rsidR="0014798C" w:rsidRDefault="0014798C">
      <w:pPr>
        <w:rPr>
          <w:sz w:val="12"/>
        </w:rPr>
        <w:sectPr w:rsidR="0014798C" w:rsidSect="00F265E4">
          <w:type w:val="continuous"/>
          <w:pgSz w:w="11900" w:h="16820"/>
          <w:pgMar w:top="40" w:right="0" w:bottom="280" w:left="200" w:header="121" w:footer="0" w:gutter="0"/>
          <w:cols w:num="2" w:space="720" w:equalWidth="0">
            <w:col w:w="1247" w:space="40"/>
            <w:col w:w="10413"/>
          </w:cols>
        </w:sectPr>
      </w:pPr>
    </w:p>
    <w:p w14:paraId="3DA0DFB5" w14:textId="77777777" w:rsidR="0014798C" w:rsidRDefault="004E1F0B">
      <w:pPr>
        <w:spacing w:before="98"/>
        <w:ind w:left="1105"/>
        <w:rPr>
          <w:sz w:val="12"/>
        </w:rPr>
      </w:pPr>
      <w:r>
        <w:rPr>
          <w:spacing w:val="-2"/>
          <w:sz w:val="12"/>
        </w:rPr>
        <w:t>265</w:t>
      </w:r>
      <w:r>
        <w:rPr>
          <w:spacing w:val="-1"/>
          <w:sz w:val="12"/>
        </w:rPr>
        <w:t xml:space="preserve"> </w:t>
      </w:r>
      <w:r>
        <w:rPr>
          <w:spacing w:val="-2"/>
          <w:sz w:val="12"/>
        </w:rPr>
        <w:t>Comité</w:t>
      </w:r>
      <w:r>
        <w:rPr>
          <w:sz w:val="12"/>
        </w:rPr>
        <w:t xml:space="preserve"> </w:t>
      </w:r>
      <w:r>
        <w:rPr>
          <w:spacing w:val="-2"/>
          <w:sz w:val="12"/>
        </w:rPr>
        <w:t>de</w:t>
      </w:r>
      <w:r>
        <w:rPr>
          <w:sz w:val="12"/>
        </w:rPr>
        <w:t xml:space="preserve"> </w:t>
      </w:r>
      <w:r>
        <w:rPr>
          <w:spacing w:val="-2"/>
          <w:sz w:val="12"/>
        </w:rPr>
        <w:t>Derechos</w:t>
      </w:r>
      <w:r>
        <w:rPr>
          <w:sz w:val="12"/>
        </w:rPr>
        <w:t xml:space="preserve"> </w:t>
      </w:r>
      <w:r>
        <w:rPr>
          <w:spacing w:val="-2"/>
          <w:sz w:val="12"/>
        </w:rPr>
        <w:t>Económicos,</w:t>
      </w:r>
      <w:r>
        <w:rPr>
          <w:spacing w:val="1"/>
          <w:sz w:val="12"/>
        </w:rPr>
        <w:t xml:space="preserve"> </w:t>
      </w:r>
      <w:r>
        <w:rPr>
          <w:spacing w:val="-2"/>
          <w:sz w:val="12"/>
        </w:rPr>
        <w:t>Sociales</w:t>
      </w:r>
      <w:r>
        <w:rPr>
          <w:sz w:val="12"/>
        </w:rPr>
        <w:t xml:space="preserve"> </w:t>
      </w:r>
      <w:r>
        <w:rPr>
          <w:spacing w:val="-2"/>
          <w:sz w:val="12"/>
        </w:rPr>
        <w:t>y</w:t>
      </w:r>
      <w:r>
        <w:rPr>
          <w:sz w:val="12"/>
        </w:rPr>
        <w:t xml:space="preserve"> </w:t>
      </w:r>
      <w:r>
        <w:rPr>
          <w:spacing w:val="-2"/>
          <w:sz w:val="12"/>
        </w:rPr>
        <w:t>Culturales,</w:t>
      </w:r>
      <w:r>
        <w:rPr>
          <w:spacing w:val="1"/>
          <w:sz w:val="12"/>
        </w:rPr>
        <w:t xml:space="preserve"> </w:t>
      </w:r>
      <w:r>
        <w:rPr>
          <w:spacing w:val="-2"/>
          <w:sz w:val="12"/>
        </w:rPr>
        <w:t>observación</w:t>
      </w:r>
      <w:r>
        <w:rPr>
          <w:sz w:val="12"/>
        </w:rPr>
        <w:t xml:space="preserve"> </w:t>
      </w:r>
      <w:r>
        <w:rPr>
          <w:spacing w:val="-2"/>
          <w:sz w:val="12"/>
        </w:rPr>
        <w:t>general</w:t>
      </w:r>
      <w:r>
        <w:rPr>
          <w:spacing w:val="-1"/>
          <w:sz w:val="12"/>
        </w:rPr>
        <w:t xml:space="preserve"> </w:t>
      </w:r>
      <w:r>
        <w:rPr>
          <w:spacing w:val="-2"/>
          <w:sz w:val="12"/>
        </w:rPr>
        <w:t>núm.</w:t>
      </w:r>
      <w:r>
        <w:rPr>
          <w:sz w:val="12"/>
        </w:rPr>
        <w:t xml:space="preserve"> </w:t>
      </w:r>
      <w:r>
        <w:rPr>
          <w:spacing w:val="-2"/>
          <w:sz w:val="12"/>
        </w:rPr>
        <w:t>23</w:t>
      </w:r>
      <w:r>
        <w:rPr>
          <w:sz w:val="12"/>
        </w:rPr>
        <w:t xml:space="preserve"> </w:t>
      </w:r>
      <w:r>
        <w:rPr>
          <w:spacing w:val="-2"/>
          <w:sz w:val="12"/>
        </w:rPr>
        <w:t>(2016),</w:t>
      </w:r>
      <w:r>
        <w:rPr>
          <w:sz w:val="12"/>
        </w:rPr>
        <w:t xml:space="preserve"> </w:t>
      </w:r>
      <w:r>
        <w:rPr>
          <w:spacing w:val="-2"/>
          <w:sz w:val="12"/>
        </w:rPr>
        <w:t>párr.</w:t>
      </w:r>
      <w:r>
        <w:rPr>
          <w:sz w:val="12"/>
        </w:rPr>
        <w:t xml:space="preserve"> </w:t>
      </w:r>
      <w:r>
        <w:rPr>
          <w:spacing w:val="-5"/>
          <w:sz w:val="12"/>
        </w:rPr>
        <w:t>48.</w:t>
      </w:r>
    </w:p>
    <w:p w14:paraId="5FB2F912" w14:textId="77777777" w:rsidR="0014798C" w:rsidRDefault="004E1F0B">
      <w:pPr>
        <w:spacing w:before="99" w:line="312" w:lineRule="auto"/>
        <w:ind w:left="1368" w:right="1810" w:hanging="263"/>
        <w:jc w:val="both"/>
        <w:rPr>
          <w:sz w:val="12"/>
        </w:rPr>
      </w:pPr>
      <w:r>
        <w:rPr>
          <w:sz w:val="12"/>
        </w:rPr>
        <w:t>266</w:t>
      </w:r>
      <w:r>
        <w:rPr>
          <w:spacing w:val="-7"/>
          <w:sz w:val="12"/>
        </w:rPr>
        <w:t xml:space="preserve"> </w:t>
      </w:r>
      <w:r>
        <w:rPr>
          <w:sz w:val="12"/>
        </w:rPr>
        <w:t>Directiva</w:t>
      </w:r>
      <w:r>
        <w:rPr>
          <w:spacing w:val="-7"/>
          <w:sz w:val="12"/>
        </w:rPr>
        <w:t xml:space="preserve"> </w:t>
      </w:r>
      <w:r>
        <w:rPr>
          <w:sz w:val="12"/>
        </w:rPr>
        <w:t>2000/43/CE</w:t>
      </w:r>
      <w:r>
        <w:rPr>
          <w:spacing w:val="-7"/>
          <w:sz w:val="12"/>
        </w:rPr>
        <w:t xml:space="preserve"> </w:t>
      </w:r>
      <w:r>
        <w:rPr>
          <w:sz w:val="12"/>
        </w:rPr>
        <w:t>del</w:t>
      </w:r>
      <w:r>
        <w:rPr>
          <w:spacing w:val="-7"/>
          <w:sz w:val="12"/>
        </w:rPr>
        <w:t xml:space="preserve"> </w:t>
      </w:r>
      <w:r>
        <w:rPr>
          <w:sz w:val="12"/>
        </w:rPr>
        <w:t>Consejo,</w:t>
      </w:r>
      <w:r>
        <w:rPr>
          <w:spacing w:val="-7"/>
          <w:sz w:val="12"/>
        </w:rPr>
        <w:t xml:space="preserve"> </w:t>
      </w:r>
      <w:r>
        <w:rPr>
          <w:sz w:val="12"/>
        </w:rPr>
        <w:t>de</w:t>
      </w:r>
      <w:r>
        <w:rPr>
          <w:spacing w:val="-7"/>
          <w:sz w:val="12"/>
        </w:rPr>
        <w:t xml:space="preserve"> </w:t>
      </w:r>
      <w:r>
        <w:rPr>
          <w:sz w:val="12"/>
        </w:rPr>
        <w:t>29</w:t>
      </w:r>
      <w:r>
        <w:rPr>
          <w:spacing w:val="-7"/>
          <w:sz w:val="12"/>
        </w:rPr>
        <w:t xml:space="preserve"> </w:t>
      </w:r>
      <w:r>
        <w:rPr>
          <w:sz w:val="12"/>
        </w:rPr>
        <w:t>de</w:t>
      </w:r>
      <w:r>
        <w:rPr>
          <w:spacing w:val="-7"/>
          <w:sz w:val="12"/>
        </w:rPr>
        <w:t xml:space="preserve"> </w:t>
      </w:r>
      <w:r>
        <w:rPr>
          <w:sz w:val="12"/>
        </w:rPr>
        <w:t>junio</w:t>
      </w:r>
      <w:r>
        <w:rPr>
          <w:spacing w:val="-7"/>
          <w:sz w:val="12"/>
        </w:rPr>
        <w:t xml:space="preserve"> </w:t>
      </w:r>
      <w:r>
        <w:rPr>
          <w:sz w:val="12"/>
        </w:rPr>
        <w:t>de</w:t>
      </w:r>
      <w:r>
        <w:rPr>
          <w:spacing w:val="-7"/>
          <w:sz w:val="12"/>
        </w:rPr>
        <w:t xml:space="preserve"> </w:t>
      </w:r>
      <w:r>
        <w:rPr>
          <w:sz w:val="12"/>
        </w:rPr>
        <w:t>2000,</w:t>
      </w:r>
      <w:r>
        <w:rPr>
          <w:spacing w:val="-7"/>
          <w:sz w:val="12"/>
        </w:rPr>
        <w:t xml:space="preserve"> </w:t>
      </w:r>
      <w:r>
        <w:rPr>
          <w:sz w:val="12"/>
        </w:rPr>
        <w:t>por</w:t>
      </w:r>
      <w:r>
        <w:rPr>
          <w:spacing w:val="-7"/>
          <w:sz w:val="12"/>
        </w:rPr>
        <w:t xml:space="preserve"> </w:t>
      </w:r>
      <w:r>
        <w:rPr>
          <w:sz w:val="12"/>
        </w:rPr>
        <w:t>la</w:t>
      </w:r>
      <w:r>
        <w:rPr>
          <w:spacing w:val="-7"/>
          <w:sz w:val="12"/>
        </w:rPr>
        <w:t xml:space="preserve"> </w:t>
      </w:r>
      <w:r>
        <w:rPr>
          <w:sz w:val="12"/>
        </w:rPr>
        <w:t>que</w:t>
      </w:r>
      <w:r>
        <w:rPr>
          <w:spacing w:val="-7"/>
          <w:sz w:val="12"/>
        </w:rPr>
        <w:t xml:space="preserve"> </w:t>
      </w:r>
      <w:r>
        <w:rPr>
          <w:sz w:val="12"/>
        </w:rPr>
        <w:t>se</w:t>
      </w:r>
      <w:r>
        <w:rPr>
          <w:spacing w:val="-7"/>
          <w:sz w:val="12"/>
        </w:rPr>
        <w:t xml:space="preserve"> </w:t>
      </w:r>
      <w:r>
        <w:rPr>
          <w:sz w:val="12"/>
        </w:rPr>
        <w:t>aplica</w:t>
      </w:r>
      <w:r>
        <w:rPr>
          <w:spacing w:val="-7"/>
          <w:sz w:val="12"/>
        </w:rPr>
        <w:t xml:space="preserve"> </w:t>
      </w:r>
      <w:r>
        <w:rPr>
          <w:sz w:val="12"/>
        </w:rPr>
        <w:t>el</w:t>
      </w:r>
      <w:r>
        <w:rPr>
          <w:spacing w:val="-7"/>
          <w:sz w:val="12"/>
        </w:rPr>
        <w:t xml:space="preserve"> </w:t>
      </w:r>
      <w:r>
        <w:rPr>
          <w:sz w:val="12"/>
        </w:rPr>
        <w:t>principio</w:t>
      </w:r>
      <w:r>
        <w:rPr>
          <w:spacing w:val="-7"/>
          <w:sz w:val="12"/>
        </w:rPr>
        <w:t xml:space="preserve"> </w:t>
      </w:r>
      <w:r>
        <w:rPr>
          <w:sz w:val="12"/>
        </w:rPr>
        <w:t>de</w:t>
      </w:r>
      <w:r>
        <w:rPr>
          <w:spacing w:val="-7"/>
          <w:sz w:val="12"/>
        </w:rPr>
        <w:t xml:space="preserve"> </w:t>
      </w:r>
      <w:r>
        <w:rPr>
          <w:sz w:val="12"/>
        </w:rPr>
        <w:t>igualdad</w:t>
      </w:r>
      <w:r>
        <w:rPr>
          <w:spacing w:val="-7"/>
          <w:sz w:val="12"/>
        </w:rPr>
        <w:t xml:space="preserve"> </w:t>
      </w:r>
      <w:r>
        <w:rPr>
          <w:sz w:val="12"/>
        </w:rPr>
        <w:t>de</w:t>
      </w:r>
      <w:r>
        <w:rPr>
          <w:spacing w:val="-7"/>
          <w:sz w:val="12"/>
        </w:rPr>
        <w:t xml:space="preserve"> </w:t>
      </w:r>
      <w:r>
        <w:rPr>
          <w:sz w:val="12"/>
        </w:rPr>
        <w:t>trato</w:t>
      </w:r>
      <w:r>
        <w:rPr>
          <w:spacing w:val="-7"/>
          <w:sz w:val="12"/>
        </w:rPr>
        <w:t xml:space="preserve"> </w:t>
      </w:r>
      <w:r>
        <w:rPr>
          <w:sz w:val="12"/>
        </w:rPr>
        <w:t>entre</w:t>
      </w:r>
      <w:r>
        <w:rPr>
          <w:spacing w:val="-7"/>
          <w:sz w:val="12"/>
        </w:rPr>
        <w:t xml:space="preserve"> </w:t>
      </w:r>
      <w:r>
        <w:rPr>
          <w:sz w:val="12"/>
        </w:rPr>
        <w:t>las</w:t>
      </w:r>
      <w:r>
        <w:rPr>
          <w:spacing w:val="-7"/>
          <w:sz w:val="12"/>
        </w:rPr>
        <w:t xml:space="preserve"> </w:t>
      </w:r>
      <w:r>
        <w:rPr>
          <w:sz w:val="12"/>
        </w:rPr>
        <w:t>personas,</w:t>
      </w:r>
      <w:r>
        <w:rPr>
          <w:spacing w:val="-7"/>
          <w:sz w:val="12"/>
        </w:rPr>
        <w:t xml:space="preserve"> </w:t>
      </w:r>
      <w:r>
        <w:rPr>
          <w:sz w:val="12"/>
        </w:rPr>
        <w:t>independientemente</w:t>
      </w:r>
      <w:r>
        <w:rPr>
          <w:spacing w:val="-7"/>
          <w:sz w:val="12"/>
        </w:rPr>
        <w:t xml:space="preserve"> </w:t>
      </w:r>
      <w:r>
        <w:rPr>
          <w:sz w:val="12"/>
        </w:rPr>
        <w:t>de</w:t>
      </w:r>
      <w:r>
        <w:rPr>
          <w:spacing w:val="-7"/>
          <w:sz w:val="12"/>
        </w:rPr>
        <w:t xml:space="preserve"> </w:t>
      </w:r>
      <w:r>
        <w:rPr>
          <w:sz w:val="12"/>
        </w:rPr>
        <w:t>su</w:t>
      </w:r>
      <w:r>
        <w:rPr>
          <w:spacing w:val="-7"/>
          <w:sz w:val="12"/>
        </w:rPr>
        <w:t xml:space="preserve"> </w:t>
      </w:r>
      <w:r>
        <w:rPr>
          <w:sz w:val="12"/>
        </w:rPr>
        <w:t>raza.</w:t>
      </w:r>
      <w:r>
        <w:rPr>
          <w:spacing w:val="40"/>
          <w:sz w:val="12"/>
        </w:rPr>
        <w:t xml:space="preserve"> </w:t>
      </w:r>
      <w:r>
        <w:rPr>
          <w:sz w:val="12"/>
        </w:rPr>
        <w:t>u</w:t>
      </w:r>
      <w:r>
        <w:rPr>
          <w:spacing w:val="-9"/>
          <w:sz w:val="12"/>
        </w:rPr>
        <w:t xml:space="preserve"> </w:t>
      </w:r>
      <w:r>
        <w:rPr>
          <w:sz w:val="12"/>
        </w:rPr>
        <w:t>origen</w:t>
      </w:r>
      <w:r>
        <w:rPr>
          <w:spacing w:val="-8"/>
          <w:sz w:val="12"/>
        </w:rPr>
        <w:t xml:space="preserve"> </w:t>
      </w:r>
      <w:r>
        <w:rPr>
          <w:sz w:val="12"/>
        </w:rPr>
        <w:t>étnico,</w:t>
      </w:r>
      <w:r>
        <w:rPr>
          <w:spacing w:val="-8"/>
          <w:sz w:val="12"/>
        </w:rPr>
        <w:t xml:space="preserve"> </w:t>
      </w:r>
      <w:r>
        <w:rPr>
          <w:sz w:val="12"/>
        </w:rPr>
        <w:t>art.</w:t>
      </w:r>
      <w:r>
        <w:rPr>
          <w:spacing w:val="-9"/>
          <w:sz w:val="12"/>
        </w:rPr>
        <w:t xml:space="preserve"> </w:t>
      </w:r>
      <w:r>
        <w:rPr>
          <w:sz w:val="12"/>
        </w:rPr>
        <w:t>2</w:t>
      </w:r>
      <w:r>
        <w:rPr>
          <w:spacing w:val="-8"/>
          <w:sz w:val="12"/>
        </w:rPr>
        <w:t xml:space="preserve"> </w:t>
      </w:r>
      <w:r>
        <w:rPr>
          <w:sz w:val="12"/>
        </w:rPr>
        <w:t>(</w:t>
      </w:r>
      <w:proofErr w:type="gramStart"/>
      <w:r>
        <w:rPr>
          <w:sz w:val="12"/>
        </w:rPr>
        <w:t>3);</w:t>
      </w:r>
      <w:proofErr w:type="gramEnd"/>
      <w:r>
        <w:rPr>
          <w:spacing w:val="-8"/>
          <w:sz w:val="12"/>
        </w:rPr>
        <w:t xml:space="preserve"> </w:t>
      </w:r>
      <w:r>
        <w:rPr>
          <w:sz w:val="12"/>
        </w:rPr>
        <w:t>Directiva</w:t>
      </w:r>
      <w:r>
        <w:rPr>
          <w:spacing w:val="-9"/>
          <w:sz w:val="12"/>
        </w:rPr>
        <w:t xml:space="preserve"> </w:t>
      </w:r>
      <w:r>
        <w:rPr>
          <w:sz w:val="12"/>
        </w:rPr>
        <w:t>2000/78/CE</w:t>
      </w:r>
      <w:r>
        <w:rPr>
          <w:spacing w:val="-8"/>
          <w:sz w:val="12"/>
        </w:rPr>
        <w:t xml:space="preserve"> </w:t>
      </w:r>
      <w:r>
        <w:rPr>
          <w:sz w:val="12"/>
        </w:rPr>
        <w:t>del</w:t>
      </w:r>
      <w:r>
        <w:rPr>
          <w:spacing w:val="-9"/>
          <w:sz w:val="12"/>
        </w:rPr>
        <w:t xml:space="preserve"> </w:t>
      </w:r>
      <w:r>
        <w:rPr>
          <w:sz w:val="12"/>
        </w:rPr>
        <w:t>Consejo,</w:t>
      </w:r>
      <w:r>
        <w:rPr>
          <w:spacing w:val="-8"/>
          <w:sz w:val="12"/>
        </w:rPr>
        <w:t xml:space="preserve"> </w:t>
      </w:r>
      <w:r>
        <w:rPr>
          <w:sz w:val="12"/>
        </w:rPr>
        <w:t>de</w:t>
      </w:r>
      <w:r>
        <w:rPr>
          <w:spacing w:val="-8"/>
          <w:sz w:val="12"/>
        </w:rPr>
        <w:t xml:space="preserve"> </w:t>
      </w:r>
      <w:r>
        <w:rPr>
          <w:sz w:val="12"/>
        </w:rPr>
        <w:t>27</w:t>
      </w:r>
      <w:r>
        <w:rPr>
          <w:spacing w:val="-9"/>
          <w:sz w:val="12"/>
        </w:rPr>
        <w:t xml:space="preserve"> </w:t>
      </w:r>
      <w:r>
        <w:rPr>
          <w:sz w:val="12"/>
        </w:rPr>
        <w:t>de</w:t>
      </w:r>
      <w:r>
        <w:rPr>
          <w:spacing w:val="-8"/>
          <w:sz w:val="12"/>
        </w:rPr>
        <w:t xml:space="preserve"> </w:t>
      </w:r>
      <w:r>
        <w:rPr>
          <w:sz w:val="12"/>
        </w:rPr>
        <w:t>noviembre</w:t>
      </w:r>
      <w:r>
        <w:rPr>
          <w:spacing w:val="-8"/>
          <w:sz w:val="12"/>
        </w:rPr>
        <w:t xml:space="preserve"> </w:t>
      </w:r>
      <w:r>
        <w:rPr>
          <w:sz w:val="12"/>
        </w:rPr>
        <w:t>de</w:t>
      </w:r>
      <w:r>
        <w:rPr>
          <w:spacing w:val="-9"/>
          <w:sz w:val="12"/>
        </w:rPr>
        <w:t xml:space="preserve"> </w:t>
      </w:r>
      <w:r>
        <w:rPr>
          <w:sz w:val="12"/>
        </w:rPr>
        <w:t>2000,</w:t>
      </w:r>
      <w:r>
        <w:rPr>
          <w:spacing w:val="-8"/>
          <w:sz w:val="12"/>
        </w:rPr>
        <w:t xml:space="preserve"> </w:t>
      </w:r>
      <w:r>
        <w:rPr>
          <w:sz w:val="12"/>
        </w:rPr>
        <w:t>por</w:t>
      </w:r>
      <w:r>
        <w:rPr>
          <w:spacing w:val="-8"/>
          <w:sz w:val="12"/>
        </w:rPr>
        <w:t xml:space="preserve"> </w:t>
      </w:r>
      <w:r>
        <w:rPr>
          <w:sz w:val="12"/>
        </w:rPr>
        <w:t>la</w:t>
      </w:r>
      <w:r>
        <w:rPr>
          <w:spacing w:val="-9"/>
          <w:sz w:val="12"/>
        </w:rPr>
        <w:t xml:space="preserve"> </w:t>
      </w:r>
      <w:r>
        <w:rPr>
          <w:sz w:val="12"/>
        </w:rPr>
        <w:t>que</w:t>
      </w:r>
      <w:r>
        <w:rPr>
          <w:spacing w:val="-8"/>
          <w:sz w:val="12"/>
        </w:rPr>
        <w:t xml:space="preserve"> </w:t>
      </w:r>
      <w:r>
        <w:rPr>
          <w:sz w:val="12"/>
        </w:rPr>
        <w:t>se</w:t>
      </w:r>
      <w:r>
        <w:rPr>
          <w:spacing w:val="-8"/>
          <w:sz w:val="12"/>
        </w:rPr>
        <w:t xml:space="preserve"> </w:t>
      </w:r>
      <w:r>
        <w:rPr>
          <w:sz w:val="12"/>
        </w:rPr>
        <w:t>establece</w:t>
      </w:r>
      <w:r>
        <w:rPr>
          <w:spacing w:val="-9"/>
          <w:sz w:val="12"/>
        </w:rPr>
        <w:t xml:space="preserve"> </w:t>
      </w:r>
      <w:r>
        <w:rPr>
          <w:sz w:val="12"/>
        </w:rPr>
        <w:t>un</w:t>
      </w:r>
      <w:r>
        <w:rPr>
          <w:spacing w:val="-8"/>
          <w:sz w:val="12"/>
        </w:rPr>
        <w:t xml:space="preserve"> </w:t>
      </w:r>
      <w:r>
        <w:rPr>
          <w:sz w:val="12"/>
        </w:rPr>
        <w:t>marco</w:t>
      </w:r>
      <w:r>
        <w:rPr>
          <w:spacing w:val="-8"/>
          <w:sz w:val="12"/>
        </w:rPr>
        <w:t xml:space="preserve"> </w:t>
      </w:r>
      <w:r>
        <w:rPr>
          <w:sz w:val="12"/>
        </w:rPr>
        <w:t>general</w:t>
      </w:r>
      <w:r>
        <w:rPr>
          <w:spacing w:val="-9"/>
          <w:sz w:val="12"/>
        </w:rPr>
        <w:t xml:space="preserve"> </w:t>
      </w:r>
      <w:r>
        <w:rPr>
          <w:sz w:val="12"/>
        </w:rPr>
        <w:t>para</w:t>
      </w:r>
      <w:r>
        <w:rPr>
          <w:spacing w:val="-8"/>
          <w:sz w:val="12"/>
        </w:rPr>
        <w:t xml:space="preserve"> </w:t>
      </w:r>
      <w:r>
        <w:rPr>
          <w:sz w:val="12"/>
        </w:rPr>
        <w:t>la</w:t>
      </w:r>
      <w:r>
        <w:rPr>
          <w:spacing w:val="-8"/>
          <w:sz w:val="12"/>
        </w:rPr>
        <w:t xml:space="preserve"> </w:t>
      </w:r>
      <w:r>
        <w:rPr>
          <w:sz w:val="12"/>
        </w:rPr>
        <w:t>igualdad</w:t>
      </w:r>
      <w:r>
        <w:rPr>
          <w:spacing w:val="-9"/>
          <w:sz w:val="12"/>
        </w:rPr>
        <w:t xml:space="preserve"> </w:t>
      </w:r>
      <w:r>
        <w:rPr>
          <w:sz w:val="12"/>
        </w:rPr>
        <w:t>de</w:t>
      </w:r>
      <w:r>
        <w:rPr>
          <w:spacing w:val="-8"/>
          <w:sz w:val="12"/>
        </w:rPr>
        <w:t xml:space="preserve"> </w:t>
      </w:r>
      <w:r>
        <w:rPr>
          <w:sz w:val="12"/>
        </w:rPr>
        <w:t>trato</w:t>
      </w:r>
      <w:r>
        <w:rPr>
          <w:spacing w:val="-8"/>
          <w:sz w:val="12"/>
        </w:rPr>
        <w:t xml:space="preserve"> </w:t>
      </w:r>
      <w:r>
        <w:rPr>
          <w:sz w:val="12"/>
        </w:rPr>
        <w:t>en</w:t>
      </w:r>
      <w:r>
        <w:rPr>
          <w:spacing w:val="-9"/>
          <w:sz w:val="12"/>
        </w:rPr>
        <w:t xml:space="preserve"> </w:t>
      </w:r>
      <w:r>
        <w:rPr>
          <w:sz w:val="12"/>
        </w:rPr>
        <w:t>el</w:t>
      </w:r>
      <w:r>
        <w:rPr>
          <w:spacing w:val="40"/>
          <w:sz w:val="12"/>
        </w:rPr>
        <w:t xml:space="preserve"> </w:t>
      </w:r>
      <w:r>
        <w:rPr>
          <w:sz w:val="12"/>
        </w:rPr>
        <w:t>empleo</w:t>
      </w:r>
      <w:r>
        <w:rPr>
          <w:spacing w:val="-9"/>
          <w:sz w:val="12"/>
        </w:rPr>
        <w:t xml:space="preserve"> </w:t>
      </w:r>
      <w:r>
        <w:rPr>
          <w:sz w:val="12"/>
        </w:rPr>
        <w:t>y</w:t>
      </w:r>
      <w:r>
        <w:rPr>
          <w:spacing w:val="-8"/>
          <w:sz w:val="12"/>
        </w:rPr>
        <w:t xml:space="preserve"> </w:t>
      </w:r>
      <w:r>
        <w:rPr>
          <w:sz w:val="12"/>
        </w:rPr>
        <w:t>la</w:t>
      </w:r>
      <w:r>
        <w:rPr>
          <w:spacing w:val="-8"/>
          <w:sz w:val="12"/>
        </w:rPr>
        <w:t xml:space="preserve"> </w:t>
      </w:r>
      <w:r>
        <w:rPr>
          <w:sz w:val="12"/>
        </w:rPr>
        <w:t>ocupación,</w:t>
      </w:r>
      <w:r>
        <w:rPr>
          <w:spacing w:val="-9"/>
          <w:sz w:val="12"/>
        </w:rPr>
        <w:t xml:space="preserve"> </w:t>
      </w:r>
      <w:r>
        <w:rPr>
          <w:sz w:val="12"/>
        </w:rPr>
        <w:t>art.</w:t>
      </w:r>
      <w:r>
        <w:rPr>
          <w:spacing w:val="-8"/>
          <w:sz w:val="12"/>
        </w:rPr>
        <w:t xml:space="preserve"> </w:t>
      </w:r>
      <w:r>
        <w:rPr>
          <w:sz w:val="12"/>
        </w:rPr>
        <w:t>2</w:t>
      </w:r>
      <w:r>
        <w:rPr>
          <w:spacing w:val="-8"/>
          <w:sz w:val="12"/>
        </w:rPr>
        <w:t xml:space="preserve"> </w:t>
      </w:r>
      <w:r>
        <w:rPr>
          <w:sz w:val="12"/>
        </w:rPr>
        <w:t>(</w:t>
      </w:r>
      <w:proofErr w:type="gramStart"/>
      <w:r>
        <w:rPr>
          <w:sz w:val="12"/>
        </w:rPr>
        <w:t>3);</w:t>
      </w:r>
      <w:proofErr w:type="gramEnd"/>
      <w:r>
        <w:rPr>
          <w:spacing w:val="-9"/>
          <w:sz w:val="12"/>
        </w:rPr>
        <w:t xml:space="preserve"> </w:t>
      </w:r>
      <w:r>
        <w:rPr>
          <w:sz w:val="12"/>
        </w:rPr>
        <w:t>Directiva</w:t>
      </w:r>
      <w:r>
        <w:rPr>
          <w:spacing w:val="-8"/>
          <w:sz w:val="12"/>
        </w:rPr>
        <w:t xml:space="preserve"> </w:t>
      </w:r>
      <w:r>
        <w:rPr>
          <w:sz w:val="12"/>
        </w:rPr>
        <w:t>2004/113/CE</w:t>
      </w:r>
      <w:r>
        <w:rPr>
          <w:spacing w:val="-9"/>
          <w:sz w:val="12"/>
        </w:rPr>
        <w:t xml:space="preserve"> </w:t>
      </w:r>
      <w:r>
        <w:rPr>
          <w:sz w:val="12"/>
        </w:rPr>
        <w:t>del</w:t>
      </w:r>
      <w:r>
        <w:rPr>
          <w:spacing w:val="-8"/>
          <w:sz w:val="12"/>
        </w:rPr>
        <w:t xml:space="preserve"> </w:t>
      </w:r>
      <w:r>
        <w:rPr>
          <w:sz w:val="12"/>
        </w:rPr>
        <w:t>Consejo,</w:t>
      </w:r>
      <w:r>
        <w:rPr>
          <w:spacing w:val="-8"/>
          <w:sz w:val="12"/>
        </w:rPr>
        <w:t xml:space="preserve"> </w:t>
      </w:r>
      <w:r>
        <w:rPr>
          <w:sz w:val="12"/>
        </w:rPr>
        <w:t>de</w:t>
      </w:r>
      <w:r>
        <w:rPr>
          <w:spacing w:val="-9"/>
          <w:sz w:val="12"/>
        </w:rPr>
        <w:t xml:space="preserve"> </w:t>
      </w:r>
      <w:r>
        <w:rPr>
          <w:sz w:val="12"/>
        </w:rPr>
        <w:t>13</w:t>
      </w:r>
      <w:r>
        <w:rPr>
          <w:spacing w:val="-8"/>
          <w:sz w:val="12"/>
        </w:rPr>
        <w:t xml:space="preserve"> </w:t>
      </w:r>
      <w:r>
        <w:rPr>
          <w:sz w:val="12"/>
        </w:rPr>
        <w:t>de</w:t>
      </w:r>
      <w:r>
        <w:rPr>
          <w:spacing w:val="-8"/>
          <w:sz w:val="12"/>
        </w:rPr>
        <w:t xml:space="preserve"> </w:t>
      </w:r>
      <w:r>
        <w:rPr>
          <w:sz w:val="12"/>
        </w:rPr>
        <w:t>diciembre</w:t>
      </w:r>
      <w:r>
        <w:rPr>
          <w:spacing w:val="-9"/>
          <w:sz w:val="12"/>
        </w:rPr>
        <w:t xml:space="preserve"> </w:t>
      </w:r>
      <w:r>
        <w:rPr>
          <w:sz w:val="12"/>
        </w:rPr>
        <w:t>de</w:t>
      </w:r>
      <w:r>
        <w:rPr>
          <w:spacing w:val="-8"/>
          <w:sz w:val="12"/>
        </w:rPr>
        <w:t xml:space="preserve"> </w:t>
      </w:r>
      <w:r>
        <w:rPr>
          <w:sz w:val="12"/>
        </w:rPr>
        <w:t>2004,</w:t>
      </w:r>
      <w:r>
        <w:rPr>
          <w:spacing w:val="-8"/>
          <w:sz w:val="12"/>
        </w:rPr>
        <w:t xml:space="preserve"> </w:t>
      </w:r>
      <w:r>
        <w:rPr>
          <w:sz w:val="12"/>
        </w:rPr>
        <w:t>por</w:t>
      </w:r>
      <w:r>
        <w:rPr>
          <w:spacing w:val="-9"/>
          <w:sz w:val="12"/>
        </w:rPr>
        <w:t xml:space="preserve"> </w:t>
      </w:r>
      <w:r>
        <w:rPr>
          <w:sz w:val="12"/>
        </w:rPr>
        <w:t>la</w:t>
      </w:r>
      <w:r>
        <w:rPr>
          <w:spacing w:val="-8"/>
          <w:sz w:val="12"/>
        </w:rPr>
        <w:t xml:space="preserve"> </w:t>
      </w:r>
      <w:r>
        <w:rPr>
          <w:sz w:val="12"/>
        </w:rPr>
        <w:t>que</w:t>
      </w:r>
      <w:r>
        <w:rPr>
          <w:spacing w:val="-8"/>
          <w:sz w:val="12"/>
        </w:rPr>
        <w:t xml:space="preserve"> </w:t>
      </w:r>
      <w:r>
        <w:rPr>
          <w:sz w:val="12"/>
        </w:rPr>
        <w:t>se</w:t>
      </w:r>
      <w:r>
        <w:rPr>
          <w:spacing w:val="-9"/>
          <w:sz w:val="12"/>
        </w:rPr>
        <w:t xml:space="preserve"> </w:t>
      </w:r>
      <w:r>
        <w:rPr>
          <w:sz w:val="12"/>
        </w:rPr>
        <w:t>aplica</w:t>
      </w:r>
      <w:r>
        <w:rPr>
          <w:spacing w:val="-8"/>
          <w:sz w:val="12"/>
        </w:rPr>
        <w:t xml:space="preserve"> </w:t>
      </w:r>
      <w:r>
        <w:rPr>
          <w:sz w:val="12"/>
        </w:rPr>
        <w:t>el</w:t>
      </w:r>
      <w:r>
        <w:rPr>
          <w:spacing w:val="-8"/>
          <w:sz w:val="12"/>
        </w:rPr>
        <w:t xml:space="preserve"> </w:t>
      </w:r>
      <w:r>
        <w:rPr>
          <w:sz w:val="12"/>
        </w:rPr>
        <w:t>principio</w:t>
      </w:r>
      <w:r>
        <w:rPr>
          <w:spacing w:val="-9"/>
          <w:sz w:val="12"/>
        </w:rPr>
        <w:t xml:space="preserve"> </w:t>
      </w:r>
      <w:r>
        <w:rPr>
          <w:sz w:val="12"/>
        </w:rPr>
        <w:t>de</w:t>
      </w:r>
      <w:r>
        <w:rPr>
          <w:spacing w:val="-8"/>
          <w:sz w:val="12"/>
        </w:rPr>
        <w:t xml:space="preserve"> </w:t>
      </w:r>
      <w:r>
        <w:rPr>
          <w:sz w:val="12"/>
        </w:rPr>
        <w:t>igualdad</w:t>
      </w:r>
    </w:p>
    <w:p w14:paraId="700A0AF7" w14:textId="77777777" w:rsidR="0014798C" w:rsidRDefault="004E1F0B">
      <w:pPr>
        <w:spacing w:before="1" w:line="312" w:lineRule="auto"/>
        <w:ind w:left="1368" w:right="1463" w:hanging="2"/>
        <w:rPr>
          <w:sz w:val="12"/>
        </w:rPr>
      </w:pPr>
      <w:r>
        <w:rPr>
          <w:sz w:val="12"/>
        </w:rPr>
        <w:t>Trato</w:t>
      </w:r>
      <w:r>
        <w:rPr>
          <w:spacing w:val="-8"/>
          <w:sz w:val="12"/>
        </w:rPr>
        <w:t xml:space="preserve"> </w:t>
      </w:r>
      <w:r>
        <w:rPr>
          <w:sz w:val="12"/>
        </w:rPr>
        <w:t>entre</w:t>
      </w:r>
      <w:r>
        <w:rPr>
          <w:spacing w:val="-8"/>
          <w:sz w:val="12"/>
        </w:rPr>
        <w:t xml:space="preserve"> </w:t>
      </w:r>
      <w:r>
        <w:rPr>
          <w:sz w:val="12"/>
        </w:rPr>
        <w:t>hombres</w:t>
      </w:r>
      <w:r>
        <w:rPr>
          <w:spacing w:val="-8"/>
          <w:sz w:val="12"/>
        </w:rPr>
        <w:t xml:space="preserve"> </w:t>
      </w:r>
      <w:r>
        <w:rPr>
          <w:sz w:val="12"/>
        </w:rPr>
        <w:t>y</w:t>
      </w:r>
      <w:r>
        <w:rPr>
          <w:spacing w:val="-8"/>
          <w:sz w:val="12"/>
        </w:rPr>
        <w:t xml:space="preserve"> </w:t>
      </w:r>
      <w:r>
        <w:rPr>
          <w:sz w:val="12"/>
        </w:rPr>
        <w:t>mujeres</w:t>
      </w:r>
      <w:r>
        <w:rPr>
          <w:spacing w:val="-8"/>
          <w:sz w:val="12"/>
        </w:rPr>
        <w:t xml:space="preserve"> </w:t>
      </w:r>
      <w:r>
        <w:rPr>
          <w:sz w:val="12"/>
        </w:rPr>
        <w:t>en</w:t>
      </w:r>
      <w:r>
        <w:rPr>
          <w:spacing w:val="-8"/>
          <w:sz w:val="12"/>
        </w:rPr>
        <w:t xml:space="preserve"> </w:t>
      </w:r>
      <w:r>
        <w:rPr>
          <w:sz w:val="12"/>
        </w:rPr>
        <w:t>el</w:t>
      </w:r>
      <w:r>
        <w:rPr>
          <w:spacing w:val="-8"/>
          <w:sz w:val="12"/>
        </w:rPr>
        <w:t xml:space="preserve"> </w:t>
      </w:r>
      <w:r>
        <w:rPr>
          <w:sz w:val="12"/>
        </w:rPr>
        <w:t>acceso</w:t>
      </w:r>
      <w:r>
        <w:rPr>
          <w:spacing w:val="-8"/>
          <w:sz w:val="12"/>
        </w:rPr>
        <w:t xml:space="preserve"> </w:t>
      </w:r>
      <w:r>
        <w:rPr>
          <w:sz w:val="12"/>
        </w:rPr>
        <w:t>y</w:t>
      </w:r>
      <w:r>
        <w:rPr>
          <w:spacing w:val="-8"/>
          <w:sz w:val="12"/>
        </w:rPr>
        <w:t xml:space="preserve"> </w:t>
      </w:r>
      <w:r>
        <w:rPr>
          <w:sz w:val="12"/>
        </w:rPr>
        <w:t>suministro</w:t>
      </w:r>
      <w:r>
        <w:rPr>
          <w:spacing w:val="-8"/>
          <w:sz w:val="12"/>
        </w:rPr>
        <w:t xml:space="preserve"> </w:t>
      </w:r>
      <w:r>
        <w:rPr>
          <w:sz w:val="12"/>
        </w:rPr>
        <w:t>de</w:t>
      </w:r>
      <w:r>
        <w:rPr>
          <w:spacing w:val="-8"/>
          <w:sz w:val="12"/>
        </w:rPr>
        <w:t xml:space="preserve"> </w:t>
      </w:r>
      <w:r>
        <w:rPr>
          <w:sz w:val="12"/>
        </w:rPr>
        <w:t>bienes</w:t>
      </w:r>
      <w:r>
        <w:rPr>
          <w:spacing w:val="-8"/>
          <w:sz w:val="12"/>
        </w:rPr>
        <w:t xml:space="preserve"> </w:t>
      </w:r>
      <w:r>
        <w:rPr>
          <w:sz w:val="12"/>
        </w:rPr>
        <w:t>y</w:t>
      </w:r>
      <w:r>
        <w:rPr>
          <w:spacing w:val="-8"/>
          <w:sz w:val="12"/>
        </w:rPr>
        <w:t xml:space="preserve"> </w:t>
      </w:r>
      <w:r>
        <w:rPr>
          <w:sz w:val="12"/>
        </w:rPr>
        <w:t>servicios,</w:t>
      </w:r>
      <w:r>
        <w:rPr>
          <w:spacing w:val="-7"/>
          <w:sz w:val="12"/>
        </w:rPr>
        <w:t xml:space="preserve"> </w:t>
      </w:r>
      <w:r>
        <w:rPr>
          <w:sz w:val="12"/>
        </w:rPr>
        <w:t>arts.</w:t>
      </w:r>
      <w:r>
        <w:rPr>
          <w:spacing w:val="-8"/>
          <w:sz w:val="12"/>
        </w:rPr>
        <w:t xml:space="preserve"> </w:t>
      </w:r>
      <w:r>
        <w:rPr>
          <w:sz w:val="12"/>
        </w:rPr>
        <w:t>2</w:t>
      </w:r>
      <w:r>
        <w:rPr>
          <w:spacing w:val="-8"/>
          <w:sz w:val="12"/>
        </w:rPr>
        <w:t xml:space="preserve"> </w:t>
      </w:r>
      <w:r>
        <w:rPr>
          <w:sz w:val="12"/>
        </w:rPr>
        <w:t>(c)</w:t>
      </w:r>
      <w:r>
        <w:rPr>
          <w:spacing w:val="-8"/>
          <w:sz w:val="12"/>
        </w:rPr>
        <w:t xml:space="preserve"> </w:t>
      </w:r>
      <w:r>
        <w:rPr>
          <w:sz w:val="12"/>
        </w:rPr>
        <w:t>y</w:t>
      </w:r>
      <w:r>
        <w:rPr>
          <w:spacing w:val="-8"/>
          <w:sz w:val="12"/>
        </w:rPr>
        <w:t xml:space="preserve"> </w:t>
      </w:r>
      <w:r>
        <w:rPr>
          <w:sz w:val="12"/>
        </w:rPr>
        <w:t>4</w:t>
      </w:r>
      <w:r>
        <w:rPr>
          <w:spacing w:val="-8"/>
          <w:sz w:val="12"/>
        </w:rPr>
        <w:t xml:space="preserve"> </w:t>
      </w:r>
      <w:r>
        <w:rPr>
          <w:sz w:val="12"/>
        </w:rPr>
        <w:t>(</w:t>
      </w:r>
      <w:proofErr w:type="gramStart"/>
      <w:r>
        <w:rPr>
          <w:sz w:val="12"/>
        </w:rPr>
        <w:t>3);</w:t>
      </w:r>
      <w:proofErr w:type="gramEnd"/>
      <w:r>
        <w:rPr>
          <w:spacing w:val="-8"/>
          <w:sz w:val="12"/>
        </w:rPr>
        <w:t xml:space="preserve"> </w:t>
      </w:r>
      <w:r>
        <w:rPr>
          <w:sz w:val="12"/>
        </w:rPr>
        <w:t>y</w:t>
      </w:r>
      <w:r>
        <w:rPr>
          <w:spacing w:val="-8"/>
          <w:sz w:val="12"/>
        </w:rPr>
        <w:t xml:space="preserve"> </w:t>
      </w:r>
      <w:r>
        <w:rPr>
          <w:sz w:val="12"/>
        </w:rPr>
        <w:t>Directiva</w:t>
      </w:r>
      <w:r>
        <w:rPr>
          <w:spacing w:val="-8"/>
          <w:sz w:val="12"/>
        </w:rPr>
        <w:t xml:space="preserve"> </w:t>
      </w:r>
      <w:r>
        <w:rPr>
          <w:sz w:val="12"/>
        </w:rPr>
        <w:t>2006/54/CE</w:t>
      </w:r>
      <w:r>
        <w:rPr>
          <w:spacing w:val="-8"/>
          <w:sz w:val="12"/>
        </w:rPr>
        <w:t xml:space="preserve"> </w:t>
      </w:r>
      <w:r>
        <w:rPr>
          <w:sz w:val="12"/>
        </w:rPr>
        <w:t>del</w:t>
      </w:r>
      <w:r>
        <w:rPr>
          <w:spacing w:val="-8"/>
          <w:sz w:val="12"/>
        </w:rPr>
        <w:t xml:space="preserve"> </w:t>
      </w:r>
      <w:r>
        <w:rPr>
          <w:sz w:val="12"/>
        </w:rPr>
        <w:t>Parlamento</w:t>
      </w:r>
      <w:r>
        <w:rPr>
          <w:spacing w:val="-8"/>
          <w:sz w:val="12"/>
        </w:rPr>
        <w:t xml:space="preserve"> </w:t>
      </w:r>
      <w:r>
        <w:rPr>
          <w:sz w:val="12"/>
        </w:rPr>
        <w:t>Europeo</w:t>
      </w:r>
      <w:r>
        <w:rPr>
          <w:spacing w:val="-8"/>
          <w:sz w:val="12"/>
        </w:rPr>
        <w:t xml:space="preserve"> </w:t>
      </w:r>
      <w:r>
        <w:rPr>
          <w:sz w:val="12"/>
        </w:rPr>
        <w:t>y</w:t>
      </w:r>
      <w:r>
        <w:rPr>
          <w:spacing w:val="-8"/>
          <w:sz w:val="12"/>
        </w:rPr>
        <w:t xml:space="preserve"> </w:t>
      </w:r>
      <w:r>
        <w:rPr>
          <w:sz w:val="12"/>
        </w:rPr>
        <w:t>del</w:t>
      </w:r>
      <w:r>
        <w:rPr>
          <w:spacing w:val="-8"/>
          <w:sz w:val="12"/>
        </w:rPr>
        <w:t xml:space="preserve"> </w:t>
      </w:r>
      <w:r>
        <w:rPr>
          <w:sz w:val="12"/>
        </w:rPr>
        <w:t>Consejo,</w:t>
      </w:r>
      <w:r>
        <w:rPr>
          <w:spacing w:val="-8"/>
          <w:sz w:val="12"/>
        </w:rPr>
        <w:t xml:space="preserve"> </w:t>
      </w:r>
      <w:r>
        <w:rPr>
          <w:sz w:val="12"/>
        </w:rPr>
        <w:t>de</w:t>
      </w:r>
      <w:r>
        <w:rPr>
          <w:spacing w:val="-8"/>
          <w:sz w:val="12"/>
        </w:rPr>
        <w:t xml:space="preserve"> </w:t>
      </w:r>
      <w:r>
        <w:rPr>
          <w:sz w:val="12"/>
        </w:rPr>
        <w:t>5</w:t>
      </w:r>
      <w:r>
        <w:rPr>
          <w:spacing w:val="-8"/>
          <w:sz w:val="12"/>
        </w:rPr>
        <w:t xml:space="preserve"> </w:t>
      </w:r>
      <w:r>
        <w:rPr>
          <w:sz w:val="12"/>
        </w:rPr>
        <w:t>de</w:t>
      </w:r>
      <w:r>
        <w:rPr>
          <w:spacing w:val="40"/>
          <w:sz w:val="12"/>
        </w:rPr>
        <w:t xml:space="preserve"> </w:t>
      </w:r>
      <w:r>
        <w:rPr>
          <w:sz w:val="12"/>
        </w:rPr>
        <w:t>julio</w:t>
      </w:r>
      <w:r>
        <w:rPr>
          <w:spacing w:val="-8"/>
          <w:sz w:val="12"/>
        </w:rPr>
        <w:t xml:space="preserve"> </w:t>
      </w:r>
      <w:r>
        <w:rPr>
          <w:sz w:val="12"/>
        </w:rPr>
        <w:t>de</w:t>
      </w:r>
      <w:r>
        <w:rPr>
          <w:spacing w:val="-8"/>
          <w:sz w:val="12"/>
        </w:rPr>
        <w:t xml:space="preserve"> </w:t>
      </w:r>
      <w:r>
        <w:rPr>
          <w:sz w:val="12"/>
        </w:rPr>
        <w:t>2006,</w:t>
      </w:r>
      <w:r>
        <w:rPr>
          <w:spacing w:val="-8"/>
          <w:sz w:val="12"/>
        </w:rPr>
        <w:t xml:space="preserve"> </w:t>
      </w:r>
      <w:r>
        <w:rPr>
          <w:sz w:val="12"/>
        </w:rPr>
        <w:t>sobre</w:t>
      </w:r>
      <w:r>
        <w:rPr>
          <w:spacing w:val="-8"/>
          <w:sz w:val="12"/>
        </w:rPr>
        <w:t xml:space="preserve"> </w:t>
      </w:r>
      <w:r>
        <w:rPr>
          <w:sz w:val="12"/>
        </w:rPr>
        <w:t>la</w:t>
      </w:r>
      <w:r>
        <w:rPr>
          <w:spacing w:val="-8"/>
          <w:sz w:val="12"/>
        </w:rPr>
        <w:t xml:space="preserve"> </w:t>
      </w:r>
      <w:r>
        <w:rPr>
          <w:sz w:val="12"/>
        </w:rPr>
        <w:t>aplicación</w:t>
      </w:r>
      <w:r>
        <w:rPr>
          <w:spacing w:val="-8"/>
          <w:sz w:val="12"/>
        </w:rPr>
        <w:t xml:space="preserve"> </w:t>
      </w:r>
      <w:r>
        <w:rPr>
          <w:sz w:val="12"/>
        </w:rPr>
        <w:t>del</w:t>
      </w:r>
      <w:r>
        <w:rPr>
          <w:spacing w:val="-8"/>
          <w:sz w:val="12"/>
        </w:rPr>
        <w:t xml:space="preserve"> </w:t>
      </w:r>
      <w:r>
        <w:rPr>
          <w:sz w:val="12"/>
        </w:rPr>
        <w:t>principio</w:t>
      </w:r>
      <w:r>
        <w:rPr>
          <w:spacing w:val="-8"/>
          <w:sz w:val="12"/>
        </w:rPr>
        <w:t xml:space="preserve"> </w:t>
      </w:r>
      <w:r>
        <w:rPr>
          <w:sz w:val="12"/>
        </w:rPr>
        <w:t>de</w:t>
      </w:r>
      <w:r>
        <w:rPr>
          <w:spacing w:val="-8"/>
          <w:sz w:val="12"/>
        </w:rPr>
        <w:t xml:space="preserve"> </w:t>
      </w:r>
      <w:r>
        <w:rPr>
          <w:sz w:val="12"/>
        </w:rPr>
        <w:t>igualdad</w:t>
      </w:r>
      <w:r>
        <w:rPr>
          <w:spacing w:val="-8"/>
          <w:sz w:val="12"/>
        </w:rPr>
        <w:t xml:space="preserve"> </w:t>
      </w:r>
      <w:r>
        <w:rPr>
          <w:sz w:val="12"/>
        </w:rPr>
        <w:t>de</w:t>
      </w:r>
      <w:r>
        <w:rPr>
          <w:spacing w:val="-8"/>
          <w:sz w:val="12"/>
        </w:rPr>
        <w:t xml:space="preserve"> </w:t>
      </w:r>
      <w:r>
        <w:rPr>
          <w:sz w:val="12"/>
        </w:rPr>
        <w:t>oportunidades</w:t>
      </w:r>
      <w:r>
        <w:rPr>
          <w:spacing w:val="-8"/>
          <w:sz w:val="12"/>
        </w:rPr>
        <w:t xml:space="preserve"> </w:t>
      </w:r>
      <w:r>
        <w:rPr>
          <w:sz w:val="12"/>
        </w:rPr>
        <w:t>e</w:t>
      </w:r>
      <w:r>
        <w:rPr>
          <w:spacing w:val="-8"/>
          <w:sz w:val="12"/>
        </w:rPr>
        <w:t xml:space="preserve"> </w:t>
      </w:r>
      <w:r>
        <w:rPr>
          <w:sz w:val="12"/>
        </w:rPr>
        <w:t>igualdad</w:t>
      </w:r>
      <w:r>
        <w:rPr>
          <w:spacing w:val="-8"/>
          <w:sz w:val="12"/>
        </w:rPr>
        <w:t xml:space="preserve"> </w:t>
      </w:r>
      <w:r>
        <w:rPr>
          <w:sz w:val="12"/>
        </w:rPr>
        <w:t>de</w:t>
      </w:r>
      <w:r>
        <w:rPr>
          <w:spacing w:val="-8"/>
          <w:sz w:val="12"/>
        </w:rPr>
        <w:t xml:space="preserve"> </w:t>
      </w:r>
      <w:r>
        <w:rPr>
          <w:sz w:val="12"/>
        </w:rPr>
        <w:t>trato</w:t>
      </w:r>
      <w:r>
        <w:rPr>
          <w:spacing w:val="-8"/>
          <w:sz w:val="12"/>
        </w:rPr>
        <w:t xml:space="preserve"> </w:t>
      </w:r>
      <w:r>
        <w:rPr>
          <w:sz w:val="12"/>
        </w:rPr>
        <w:t>entre</w:t>
      </w:r>
      <w:r>
        <w:rPr>
          <w:spacing w:val="-8"/>
          <w:sz w:val="12"/>
        </w:rPr>
        <w:t xml:space="preserve"> </w:t>
      </w:r>
      <w:r>
        <w:rPr>
          <w:sz w:val="12"/>
        </w:rPr>
        <w:t>hombres</w:t>
      </w:r>
      <w:r>
        <w:rPr>
          <w:spacing w:val="-8"/>
          <w:sz w:val="12"/>
        </w:rPr>
        <w:t xml:space="preserve"> </w:t>
      </w:r>
      <w:r>
        <w:rPr>
          <w:sz w:val="12"/>
        </w:rPr>
        <w:t>y</w:t>
      </w:r>
      <w:r>
        <w:rPr>
          <w:spacing w:val="-8"/>
          <w:sz w:val="12"/>
        </w:rPr>
        <w:t xml:space="preserve"> </w:t>
      </w:r>
      <w:r>
        <w:rPr>
          <w:sz w:val="12"/>
        </w:rPr>
        <w:t>mujeres</w:t>
      </w:r>
      <w:r>
        <w:rPr>
          <w:spacing w:val="-8"/>
          <w:sz w:val="12"/>
        </w:rPr>
        <w:t xml:space="preserve"> </w:t>
      </w:r>
      <w:r>
        <w:rPr>
          <w:sz w:val="12"/>
        </w:rPr>
        <w:t>en</w:t>
      </w:r>
      <w:r>
        <w:rPr>
          <w:spacing w:val="-8"/>
          <w:sz w:val="12"/>
        </w:rPr>
        <w:t xml:space="preserve"> </w:t>
      </w:r>
      <w:r>
        <w:rPr>
          <w:sz w:val="12"/>
        </w:rPr>
        <w:t>materia</w:t>
      </w:r>
      <w:r>
        <w:rPr>
          <w:spacing w:val="-8"/>
          <w:sz w:val="12"/>
        </w:rPr>
        <w:t xml:space="preserve"> </w:t>
      </w:r>
      <w:r>
        <w:rPr>
          <w:sz w:val="12"/>
        </w:rPr>
        <w:t>de</w:t>
      </w:r>
      <w:r>
        <w:rPr>
          <w:spacing w:val="-8"/>
          <w:sz w:val="12"/>
        </w:rPr>
        <w:t xml:space="preserve"> </w:t>
      </w:r>
      <w:r>
        <w:rPr>
          <w:sz w:val="12"/>
        </w:rPr>
        <w:t>empleo</w:t>
      </w:r>
      <w:r>
        <w:rPr>
          <w:spacing w:val="-8"/>
          <w:sz w:val="12"/>
        </w:rPr>
        <w:t xml:space="preserve"> </w:t>
      </w:r>
      <w:r>
        <w:rPr>
          <w:sz w:val="12"/>
        </w:rPr>
        <w:t>y</w:t>
      </w:r>
      <w:r>
        <w:rPr>
          <w:spacing w:val="-8"/>
          <w:sz w:val="12"/>
        </w:rPr>
        <w:t xml:space="preserve"> </w:t>
      </w:r>
      <w:r>
        <w:rPr>
          <w:sz w:val="12"/>
        </w:rPr>
        <w:t>ocupación</w:t>
      </w:r>
      <w:r>
        <w:rPr>
          <w:spacing w:val="-8"/>
          <w:sz w:val="12"/>
        </w:rPr>
        <w:t xml:space="preserve"> </w:t>
      </w:r>
      <w:r>
        <w:rPr>
          <w:sz w:val="12"/>
        </w:rPr>
        <w:t>(refundición),</w:t>
      </w:r>
      <w:r>
        <w:rPr>
          <w:spacing w:val="40"/>
          <w:sz w:val="12"/>
        </w:rPr>
        <w:t xml:space="preserve"> </w:t>
      </w:r>
      <w:r>
        <w:rPr>
          <w:sz w:val="12"/>
        </w:rPr>
        <w:t>arts.</w:t>
      </w:r>
      <w:r>
        <w:rPr>
          <w:spacing w:val="-5"/>
          <w:sz w:val="12"/>
        </w:rPr>
        <w:t xml:space="preserve"> </w:t>
      </w:r>
      <w:r>
        <w:rPr>
          <w:sz w:val="12"/>
        </w:rPr>
        <w:t>2</w:t>
      </w:r>
      <w:r>
        <w:rPr>
          <w:spacing w:val="-5"/>
          <w:sz w:val="12"/>
        </w:rPr>
        <w:t xml:space="preserve"> </w:t>
      </w:r>
      <w:r>
        <w:rPr>
          <w:sz w:val="12"/>
        </w:rPr>
        <w:t>(1)</w:t>
      </w:r>
      <w:r>
        <w:rPr>
          <w:spacing w:val="-5"/>
          <w:sz w:val="12"/>
        </w:rPr>
        <w:t xml:space="preserve"> </w:t>
      </w:r>
      <w:r>
        <w:rPr>
          <w:sz w:val="12"/>
        </w:rPr>
        <w:t>(c)</w:t>
      </w:r>
      <w:r>
        <w:rPr>
          <w:spacing w:val="-5"/>
          <w:sz w:val="12"/>
        </w:rPr>
        <w:t xml:space="preserve"> </w:t>
      </w:r>
      <w:r>
        <w:rPr>
          <w:sz w:val="12"/>
        </w:rPr>
        <w:t>y</w:t>
      </w:r>
      <w:r>
        <w:rPr>
          <w:spacing w:val="-5"/>
          <w:sz w:val="12"/>
        </w:rPr>
        <w:t xml:space="preserve"> </w:t>
      </w:r>
      <w:r>
        <w:rPr>
          <w:sz w:val="12"/>
        </w:rPr>
        <w:t>(2)</w:t>
      </w:r>
      <w:r>
        <w:rPr>
          <w:spacing w:val="-5"/>
          <w:sz w:val="12"/>
        </w:rPr>
        <w:t xml:space="preserve"> </w:t>
      </w:r>
      <w:r>
        <w:rPr>
          <w:sz w:val="12"/>
        </w:rPr>
        <w:t>(a).</w:t>
      </w:r>
      <w:r>
        <w:rPr>
          <w:spacing w:val="-5"/>
          <w:sz w:val="12"/>
        </w:rPr>
        <w:t xml:space="preserve"> </w:t>
      </w:r>
      <w:r>
        <w:rPr>
          <w:sz w:val="12"/>
        </w:rPr>
        <w:t>Además,</w:t>
      </w:r>
      <w:r>
        <w:rPr>
          <w:spacing w:val="-5"/>
          <w:sz w:val="12"/>
        </w:rPr>
        <w:t xml:space="preserve"> </w:t>
      </w:r>
      <w:r>
        <w:rPr>
          <w:sz w:val="12"/>
        </w:rPr>
        <w:t>las</w:t>
      </w:r>
      <w:r>
        <w:rPr>
          <w:spacing w:val="-5"/>
          <w:sz w:val="12"/>
        </w:rPr>
        <w:t xml:space="preserve"> </w:t>
      </w:r>
      <w:r>
        <w:rPr>
          <w:sz w:val="12"/>
        </w:rPr>
        <w:t>Directivas</w:t>
      </w:r>
      <w:r>
        <w:rPr>
          <w:spacing w:val="-5"/>
          <w:sz w:val="12"/>
        </w:rPr>
        <w:t xml:space="preserve"> </w:t>
      </w:r>
      <w:r>
        <w:rPr>
          <w:sz w:val="12"/>
        </w:rPr>
        <w:t>2004/113/CE,</w:t>
      </w:r>
      <w:r>
        <w:rPr>
          <w:spacing w:val="-5"/>
          <w:sz w:val="12"/>
        </w:rPr>
        <w:t xml:space="preserve"> </w:t>
      </w:r>
      <w:r>
        <w:rPr>
          <w:sz w:val="12"/>
        </w:rPr>
        <w:t>art.</w:t>
      </w:r>
      <w:r>
        <w:rPr>
          <w:spacing w:val="-5"/>
          <w:sz w:val="12"/>
        </w:rPr>
        <w:t xml:space="preserve"> </w:t>
      </w:r>
      <w:r>
        <w:rPr>
          <w:sz w:val="12"/>
        </w:rPr>
        <w:t>2</w:t>
      </w:r>
      <w:r>
        <w:rPr>
          <w:spacing w:val="-5"/>
          <w:sz w:val="12"/>
        </w:rPr>
        <w:t xml:space="preserve"> </w:t>
      </w:r>
      <w:r>
        <w:rPr>
          <w:sz w:val="12"/>
        </w:rPr>
        <w:t>(d),</w:t>
      </w:r>
      <w:r>
        <w:rPr>
          <w:spacing w:val="-5"/>
          <w:sz w:val="12"/>
        </w:rPr>
        <w:t xml:space="preserve"> </w:t>
      </w:r>
      <w:r>
        <w:rPr>
          <w:sz w:val="12"/>
        </w:rPr>
        <w:t>y</w:t>
      </w:r>
      <w:r>
        <w:rPr>
          <w:spacing w:val="-5"/>
          <w:sz w:val="12"/>
        </w:rPr>
        <w:t xml:space="preserve"> </w:t>
      </w:r>
      <w:r>
        <w:rPr>
          <w:sz w:val="12"/>
        </w:rPr>
        <w:t>2006/54/CE,</w:t>
      </w:r>
      <w:r>
        <w:rPr>
          <w:spacing w:val="-5"/>
          <w:sz w:val="12"/>
        </w:rPr>
        <w:t xml:space="preserve"> </w:t>
      </w:r>
      <w:r>
        <w:rPr>
          <w:sz w:val="12"/>
        </w:rPr>
        <w:t>art.</w:t>
      </w:r>
      <w:r>
        <w:rPr>
          <w:spacing w:val="-5"/>
          <w:sz w:val="12"/>
        </w:rPr>
        <w:t xml:space="preserve"> </w:t>
      </w:r>
      <w:r>
        <w:rPr>
          <w:sz w:val="12"/>
        </w:rPr>
        <w:t>2</w:t>
      </w:r>
      <w:r>
        <w:rPr>
          <w:spacing w:val="-5"/>
          <w:sz w:val="12"/>
        </w:rPr>
        <w:t xml:space="preserve"> </w:t>
      </w:r>
      <w:r>
        <w:rPr>
          <w:sz w:val="12"/>
        </w:rPr>
        <w:t>(1)</w:t>
      </w:r>
      <w:r>
        <w:rPr>
          <w:spacing w:val="-5"/>
          <w:sz w:val="12"/>
        </w:rPr>
        <w:t xml:space="preserve"> </w:t>
      </w:r>
      <w:r>
        <w:rPr>
          <w:sz w:val="12"/>
        </w:rPr>
        <w:t>(d),</w:t>
      </w:r>
      <w:r>
        <w:rPr>
          <w:spacing w:val="-5"/>
          <w:sz w:val="12"/>
        </w:rPr>
        <w:t xml:space="preserve"> </w:t>
      </w:r>
      <w:r>
        <w:rPr>
          <w:sz w:val="12"/>
        </w:rPr>
        <w:t>define</w:t>
      </w:r>
      <w:r>
        <w:rPr>
          <w:spacing w:val="-5"/>
          <w:sz w:val="12"/>
        </w:rPr>
        <w:t xml:space="preserve"> </w:t>
      </w:r>
      <w:r>
        <w:rPr>
          <w:sz w:val="12"/>
        </w:rPr>
        <w:t>el</w:t>
      </w:r>
      <w:r>
        <w:rPr>
          <w:spacing w:val="-5"/>
          <w:sz w:val="12"/>
        </w:rPr>
        <w:t xml:space="preserve"> </w:t>
      </w:r>
      <w:r>
        <w:rPr>
          <w:sz w:val="12"/>
        </w:rPr>
        <w:t>acoso</w:t>
      </w:r>
      <w:r>
        <w:rPr>
          <w:spacing w:val="-5"/>
          <w:sz w:val="12"/>
        </w:rPr>
        <w:t xml:space="preserve"> </w:t>
      </w:r>
      <w:r>
        <w:rPr>
          <w:sz w:val="12"/>
        </w:rPr>
        <w:t>sexual</w:t>
      </w:r>
      <w:r>
        <w:rPr>
          <w:spacing w:val="-5"/>
          <w:sz w:val="12"/>
        </w:rPr>
        <w:t xml:space="preserve"> </w:t>
      </w:r>
      <w:r>
        <w:rPr>
          <w:sz w:val="12"/>
        </w:rPr>
        <w:t>por</w:t>
      </w:r>
      <w:r>
        <w:rPr>
          <w:spacing w:val="-5"/>
          <w:sz w:val="12"/>
        </w:rPr>
        <w:t xml:space="preserve"> </w:t>
      </w:r>
      <w:r>
        <w:rPr>
          <w:sz w:val="12"/>
        </w:rPr>
        <w:t>separado</w:t>
      </w:r>
      <w:r>
        <w:rPr>
          <w:spacing w:val="-5"/>
          <w:sz w:val="12"/>
        </w:rPr>
        <w:t xml:space="preserve"> </w:t>
      </w:r>
      <w:r>
        <w:rPr>
          <w:sz w:val="12"/>
        </w:rPr>
        <w:t>para</w:t>
      </w:r>
      <w:r>
        <w:rPr>
          <w:spacing w:val="-5"/>
          <w:sz w:val="12"/>
        </w:rPr>
        <w:t xml:space="preserve"> </w:t>
      </w:r>
      <w:r>
        <w:rPr>
          <w:sz w:val="12"/>
        </w:rPr>
        <w:t>incluir</w:t>
      </w:r>
      <w:r>
        <w:rPr>
          <w:spacing w:val="-5"/>
          <w:sz w:val="12"/>
        </w:rPr>
        <w:t xml:space="preserve"> </w:t>
      </w:r>
      <w:r>
        <w:rPr>
          <w:sz w:val="12"/>
        </w:rPr>
        <w:t>“cualquier</w:t>
      </w:r>
      <w:r>
        <w:rPr>
          <w:spacing w:val="-5"/>
          <w:sz w:val="12"/>
        </w:rPr>
        <w:t xml:space="preserve"> </w:t>
      </w:r>
      <w:r>
        <w:rPr>
          <w:sz w:val="12"/>
        </w:rPr>
        <w:t>forma</w:t>
      </w:r>
      <w:r>
        <w:rPr>
          <w:spacing w:val="-5"/>
          <w:sz w:val="12"/>
        </w:rPr>
        <w:t xml:space="preserve"> </w:t>
      </w:r>
      <w:r>
        <w:rPr>
          <w:sz w:val="12"/>
        </w:rPr>
        <w:t>de</w:t>
      </w:r>
      <w:r>
        <w:rPr>
          <w:spacing w:val="40"/>
          <w:sz w:val="12"/>
        </w:rPr>
        <w:t xml:space="preserve"> </w:t>
      </w:r>
      <w:r>
        <w:rPr>
          <w:sz w:val="12"/>
        </w:rPr>
        <w:t>conducta</w:t>
      </w:r>
      <w:r>
        <w:rPr>
          <w:spacing w:val="-6"/>
          <w:sz w:val="12"/>
        </w:rPr>
        <w:t xml:space="preserve"> </w:t>
      </w:r>
      <w:r>
        <w:rPr>
          <w:sz w:val="12"/>
        </w:rPr>
        <w:t>verbal,</w:t>
      </w:r>
      <w:r>
        <w:rPr>
          <w:spacing w:val="-6"/>
          <w:sz w:val="12"/>
        </w:rPr>
        <w:t xml:space="preserve"> </w:t>
      </w:r>
      <w:r>
        <w:rPr>
          <w:sz w:val="12"/>
        </w:rPr>
        <w:t>no</w:t>
      </w:r>
      <w:r>
        <w:rPr>
          <w:spacing w:val="-6"/>
          <w:sz w:val="12"/>
        </w:rPr>
        <w:t xml:space="preserve"> </w:t>
      </w:r>
      <w:r>
        <w:rPr>
          <w:sz w:val="12"/>
        </w:rPr>
        <w:t>verbal</w:t>
      </w:r>
      <w:r>
        <w:rPr>
          <w:spacing w:val="-6"/>
          <w:sz w:val="12"/>
        </w:rPr>
        <w:t xml:space="preserve"> </w:t>
      </w:r>
      <w:r>
        <w:rPr>
          <w:sz w:val="12"/>
        </w:rPr>
        <w:t>o</w:t>
      </w:r>
      <w:r>
        <w:rPr>
          <w:spacing w:val="-6"/>
          <w:sz w:val="12"/>
        </w:rPr>
        <w:t xml:space="preserve"> </w:t>
      </w:r>
      <w:r>
        <w:rPr>
          <w:sz w:val="12"/>
        </w:rPr>
        <w:t>física</w:t>
      </w:r>
      <w:r>
        <w:rPr>
          <w:spacing w:val="-6"/>
          <w:sz w:val="12"/>
        </w:rPr>
        <w:t xml:space="preserve"> </w:t>
      </w:r>
      <w:r>
        <w:rPr>
          <w:sz w:val="12"/>
        </w:rPr>
        <w:t>no</w:t>
      </w:r>
      <w:r>
        <w:rPr>
          <w:spacing w:val="-6"/>
          <w:sz w:val="12"/>
        </w:rPr>
        <w:t xml:space="preserve"> </w:t>
      </w:r>
      <w:r>
        <w:rPr>
          <w:sz w:val="12"/>
        </w:rPr>
        <w:t>deseada</w:t>
      </w:r>
      <w:r>
        <w:rPr>
          <w:spacing w:val="-6"/>
          <w:sz w:val="12"/>
        </w:rPr>
        <w:t xml:space="preserve"> </w:t>
      </w:r>
      <w:r>
        <w:rPr>
          <w:sz w:val="12"/>
        </w:rPr>
        <w:t>de</w:t>
      </w:r>
      <w:r>
        <w:rPr>
          <w:spacing w:val="-6"/>
          <w:sz w:val="12"/>
        </w:rPr>
        <w:t xml:space="preserve"> </w:t>
      </w:r>
      <w:r>
        <w:rPr>
          <w:sz w:val="12"/>
        </w:rPr>
        <w:t>naturaleza</w:t>
      </w:r>
      <w:r>
        <w:rPr>
          <w:spacing w:val="-6"/>
          <w:sz w:val="12"/>
        </w:rPr>
        <w:t xml:space="preserve"> </w:t>
      </w:r>
      <w:r>
        <w:rPr>
          <w:sz w:val="12"/>
        </w:rPr>
        <w:t>sexual</w:t>
      </w:r>
      <w:r>
        <w:rPr>
          <w:spacing w:val="-6"/>
          <w:sz w:val="12"/>
        </w:rPr>
        <w:t xml:space="preserve"> </w:t>
      </w:r>
      <w:r>
        <w:rPr>
          <w:sz w:val="12"/>
        </w:rPr>
        <w:t>[que]</w:t>
      </w:r>
      <w:r>
        <w:rPr>
          <w:spacing w:val="-6"/>
          <w:sz w:val="12"/>
        </w:rPr>
        <w:t xml:space="preserve"> </w:t>
      </w:r>
      <w:r>
        <w:rPr>
          <w:sz w:val="12"/>
        </w:rPr>
        <w:t>ocurra,</w:t>
      </w:r>
      <w:r>
        <w:rPr>
          <w:spacing w:val="-6"/>
          <w:sz w:val="12"/>
        </w:rPr>
        <w:t xml:space="preserve"> </w:t>
      </w:r>
      <w:r>
        <w:rPr>
          <w:sz w:val="12"/>
        </w:rPr>
        <w:t>con</w:t>
      </w:r>
      <w:r>
        <w:rPr>
          <w:spacing w:val="-6"/>
          <w:sz w:val="12"/>
        </w:rPr>
        <w:t xml:space="preserve"> </w:t>
      </w:r>
      <w:r>
        <w:rPr>
          <w:sz w:val="12"/>
        </w:rPr>
        <w:t>el</w:t>
      </w:r>
      <w:r>
        <w:rPr>
          <w:spacing w:val="-6"/>
          <w:sz w:val="12"/>
        </w:rPr>
        <w:t xml:space="preserve"> </w:t>
      </w:r>
      <w:r>
        <w:rPr>
          <w:sz w:val="12"/>
        </w:rPr>
        <w:t>propósito</w:t>
      </w:r>
      <w:r>
        <w:rPr>
          <w:spacing w:val="-6"/>
          <w:sz w:val="12"/>
        </w:rPr>
        <w:t xml:space="preserve"> </w:t>
      </w:r>
      <w:r>
        <w:rPr>
          <w:sz w:val="12"/>
        </w:rPr>
        <w:t>o</w:t>
      </w:r>
      <w:r>
        <w:rPr>
          <w:spacing w:val="-6"/>
          <w:sz w:val="12"/>
        </w:rPr>
        <w:t xml:space="preserve"> </w:t>
      </w:r>
      <w:r>
        <w:rPr>
          <w:sz w:val="12"/>
        </w:rPr>
        <w:t>efecto</w:t>
      </w:r>
      <w:r>
        <w:rPr>
          <w:spacing w:val="-6"/>
          <w:sz w:val="12"/>
        </w:rPr>
        <w:t xml:space="preserve"> </w:t>
      </w:r>
      <w:r>
        <w:rPr>
          <w:sz w:val="12"/>
        </w:rPr>
        <w:t>de</w:t>
      </w:r>
      <w:r>
        <w:rPr>
          <w:spacing w:val="-6"/>
          <w:sz w:val="12"/>
        </w:rPr>
        <w:t xml:space="preserve"> </w:t>
      </w:r>
      <w:r>
        <w:rPr>
          <w:sz w:val="12"/>
        </w:rPr>
        <w:t>violar</w:t>
      </w:r>
      <w:r>
        <w:rPr>
          <w:spacing w:val="-6"/>
          <w:sz w:val="12"/>
        </w:rPr>
        <w:t xml:space="preserve"> </w:t>
      </w:r>
      <w:r>
        <w:rPr>
          <w:sz w:val="12"/>
        </w:rPr>
        <w:t>la</w:t>
      </w:r>
      <w:r>
        <w:rPr>
          <w:spacing w:val="-6"/>
          <w:sz w:val="12"/>
        </w:rPr>
        <w:t xml:space="preserve"> </w:t>
      </w:r>
      <w:r>
        <w:rPr>
          <w:sz w:val="12"/>
        </w:rPr>
        <w:t>dignidad</w:t>
      </w:r>
      <w:r>
        <w:rPr>
          <w:spacing w:val="-6"/>
          <w:sz w:val="12"/>
        </w:rPr>
        <w:t xml:space="preserve"> </w:t>
      </w:r>
      <w:r>
        <w:rPr>
          <w:sz w:val="12"/>
        </w:rPr>
        <w:t>de</w:t>
      </w:r>
      <w:r>
        <w:rPr>
          <w:spacing w:val="-6"/>
          <w:sz w:val="12"/>
        </w:rPr>
        <w:t xml:space="preserve"> </w:t>
      </w:r>
      <w:r>
        <w:rPr>
          <w:sz w:val="12"/>
        </w:rPr>
        <w:t>una</w:t>
      </w:r>
      <w:r>
        <w:rPr>
          <w:spacing w:val="-6"/>
          <w:sz w:val="12"/>
        </w:rPr>
        <w:t xml:space="preserve"> </w:t>
      </w:r>
      <w:r>
        <w:rPr>
          <w:sz w:val="12"/>
        </w:rPr>
        <w:t>persona,</w:t>
      </w:r>
      <w:r>
        <w:rPr>
          <w:spacing w:val="-6"/>
          <w:sz w:val="12"/>
        </w:rPr>
        <w:t xml:space="preserve"> </w:t>
      </w:r>
      <w:r>
        <w:rPr>
          <w:sz w:val="12"/>
        </w:rPr>
        <w:t>en</w:t>
      </w:r>
      <w:r>
        <w:rPr>
          <w:spacing w:val="-6"/>
          <w:sz w:val="12"/>
        </w:rPr>
        <w:t xml:space="preserve"> </w:t>
      </w:r>
      <w:proofErr w:type="spellStart"/>
      <w:r>
        <w:rPr>
          <w:sz w:val="12"/>
        </w:rPr>
        <w:t>en</w:t>
      </w:r>
      <w:proofErr w:type="spellEnd"/>
      <w:r>
        <w:rPr>
          <w:spacing w:val="-6"/>
          <w:sz w:val="12"/>
        </w:rPr>
        <w:t xml:space="preserve"> </w:t>
      </w:r>
      <w:r>
        <w:rPr>
          <w:sz w:val="12"/>
        </w:rPr>
        <w:t>particular</w:t>
      </w:r>
    </w:p>
    <w:p w14:paraId="4C53A75B" w14:textId="77777777" w:rsidR="0014798C" w:rsidRDefault="004E1F0B">
      <w:pPr>
        <w:spacing w:before="2"/>
        <w:ind w:left="1366"/>
        <w:rPr>
          <w:sz w:val="12"/>
        </w:rPr>
      </w:pPr>
      <w:r>
        <w:rPr>
          <w:spacing w:val="-2"/>
          <w:sz w:val="12"/>
        </w:rPr>
        <w:t>cuando</w:t>
      </w:r>
      <w:r>
        <w:rPr>
          <w:spacing w:val="-1"/>
          <w:sz w:val="12"/>
        </w:rPr>
        <w:t xml:space="preserve"> </w:t>
      </w:r>
      <w:r>
        <w:rPr>
          <w:spacing w:val="-2"/>
          <w:sz w:val="12"/>
        </w:rPr>
        <w:t>se</w:t>
      </w:r>
      <w:r>
        <w:rPr>
          <w:spacing w:val="-1"/>
          <w:sz w:val="12"/>
        </w:rPr>
        <w:t xml:space="preserve"> </w:t>
      </w:r>
      <w:r>
        <w:rPr>
          <w:spacing w:val="-2"/>
          <w:sz w:val="12"/>
        </w:rPr>
        <w:t>crea</w:t>
      </w:r>
      <w:r>
        <w:rPr>
          <w:spacing w:val="-1"/>
          <w:sz w:val="12"/>
        </w:rPr>
        <w:t xml:space="preserve"> </w:t>
      </w:r>
      <w:r>
        <w:rPr>
          <w:spacing w:val="-2"/>
          <w:sz w:val="12"/>
        </w:rPr>
        <w:t>un</w:t>
      </w:r>
      <w:r>
        <w:rPr>
          <w:spacing w:val="-1"/>
          <w:sz w:val="12"/>
        </w:rPr>
        <w:t xml:space="preserve"> </w:t>
      </w:r>
      <w:r>
        <w:rPr>
          <w:spacing w:val="-2"/>
          <w:sz w:val="12"/>
        </w:rPr>
        <w:t>ambiente</w:t>
      </w:r>
      <w:r>
        <w:rPr>
          <w:spacing w:val="-1"/>
          <w:sz w:val="12"/>
        </w:rPr>
        <w:t xml:space="preserve"> </w:t>
      </w:r>
      <w:r>
        <w:rPr>
          <w:spacing w:val="-2"/>
          <w:sz w:val="12"/>
        </w:rPr>
        <w:t>intimidante,</w:t>
      </w:r>
      <w:r>
        <w:rPr>
          <w:spacing w:val="1"/>
          <w:sz w:val="12"/>
        </w:rPr>
        <w:t xml:space="preserve"> </w:t>
      </w:r>
      <w:r>
        <w:rPr>
          <w:spacing w:val="-2"/>
          <w:sz w:val="12"/>
        </w:rPr>
        <w:t>hostil,</w:t>
      </w:r>
      <w:r>
        <w:rPr>
          <w:spacing w:val="-1"/>
          <w:sz w:val="12"/>
        </w:rPr>
        <w:t xml:space="preserve"> </w:t>
      </w:r>
      <w:r>
        <w:rPr>
          <w:spacing w:val="-2"/>
          <w:sz w:val="12"/>
        </w:rPr>
        <w:t>degradante,</w:t>
      </w:r>
      <w:r>
        <w:rPr>
          <w:sz w:val="12"/>
        </w:rPr>
        <w:t xml:space="preserve"> </w:t>
      </w:r>
      <w:r>
        <w:rPr>
          <w:spacing w:val="-2"/>
          <w:sz w:val="12"/>
        </w:rPr>
        <w:t>humillante</w:t>
      </w:r>
      <w:r>
        <w:rPr>
          <w:spacing w:val="-1"/>
          <w:sz w:val="12"/>
        </w:rPr>
        <w:t xml:space="preserve"> </w:t>
      </w:r>
      <w:r>
        <w:rPr>
          <w:spacing w:val="-2"/>
          <w:sz w:val="12"/>
        </w:rPr>
        <w:t>u</w:t>
      </w:r>
      <w:r>
        <w:rPr>
          <w:spacing w:val="-1"/>
          <w:sz w:val="12"/>
        </w:rPr>
        <w:t xml:space="preserve"> </w:t>
      </w:r>
      <w:r>
        <w:rPr>
          <w:spacing w:val="-2"/>
          <w:sz w:val="12"/>
        </w:rPr>
        <w:t>ofensivo”.</w:t>
      </w:r>
    </w:p>
    <w:p w14:paraId="40483130" w14:textId="77777777" w:rsidR="0014798C" w:rsidRDefault="0014798C">
      <w:pPr>
        <w:pStyle w:val="Textoindependiente"/>
        <w:spacing w:before="9"/>
        <w:rPr>
          <w:sz w:val="14"/>
        </w:rPr>
      </w:pPr>
    </w:p>
    <w:p w14:paraId="2C93E431" w14:textId="77777777" w:rsidR="0014798C" w:rsidRDefault="0014798C">
      <w:pPr>
        <w:rPr>
          <w:sz w:val="14"/>
        </w:rPr>
        <w:sectPr w:rsidR="0014798C" w:rsidSect="00F265E4">
          <w:type w:val="continuous"/>
          <w:pgSz w:w="11900" w:h="16820"/>
          <w:pgMar w:top="40" w:right="0" w:bottom="280" w:left="200" w:header="121" w:footer="0" w:gutter="0"/>
          <w:cols w:space="720"/>
        </w:sectPr>
      </w:pPr>
    </w:p>
    <w:p w14:paraId="40A5F8E7" w14:textId="77777777" w:rsidR="0014798C" w:rsidRDefault="0014798C">
      <w:pPr>
        <w:pStyle w:val="Textoindependiente"/>
        <w:spacing w:before="10"/>
        <w:rPr>
          <w:sz w:val="8"/>
        </w:rPr>
      </w:pPr>
    </w:p>
    <w:p w14:paraId="3A4A8C3C" w14:textId="77777777" w:rsidR="0014798C" w:rsidRDefault="004E1F0B">
      <w:pPr>
        <w:jc w:val="right"/>
        <w:rPr>
          <w:sz w:val="8"/>
        </w:rPr>
      </w:pPr>
      <w:r>
        <w:rPr>
          <w:spacing w:val="-5"/>
          <w:w w:val="105"/>
          <w:sz w:val="8"/>
        </w:rPr>
        <w:t>267</w:t>
      </w:r>
    </w:p>
    <w:p w14:paraId="58F2BD3A" w14:textId="77777777" w:rsidR="0014798C" w:rsidRDefault="004E1F0B">
      <w:pPr>
        <w:spacing w:before="108" w:line="312" w:lineRule="auto"/>
        <w:ind w:left="79" w:right="1553" w:firstLine="1"/>
        <w:rPr>
          <w:sz w:val="12"/>
        </w:rPr>
      </w:pPr>
      <w:r>
        <w:br w:type="column"/>
      </w:r>
      <w:r>
        <w:rPr>
          <w:sz w:val="12"/>
        </w:rPr>
        <w:t>Tribunal</w:t>
      </w:r>
      <w:r>
        <w:rPr>
          <w:spacing w:val="-8"/>
          <w:sz w:val="12"/>
        </w:rPr>
        <w:t xml:space="preserve"> </w:t>
      </w:r>
      <w:r>
        <w:rPr>
          <w:sz w:val="12"/>
        </w:rPr>
        <w:t>Europeo</w:t>
      </w:r>
      <w:r>
        <w:rPr>
          <w:spacing w:val="-8"/>
          <w:sz w:val="12"/>
        </w:rPr>
        <w:t xml:space="preserve"> </w:t>
      </w:r>
      <w:r>
        <w:rPr>
          <w:sz w:val="12"/>
        </w:rPr>
        <w:t>de</w:t>
      </w:r>
      <w:r>
        <w:rPr>
          <w:spacing w:val="-8"/>
          <w:sz w:val="12"/>
        </w:rPr>
        <w:t xml:space="preserve"> </w:t>
      </w:r>
      <w:r>
        <w:rPr>
          <w:sz w:val="12"/>
        </w:rPr>
        <w:t>Derechos</w:t>
      </w:r>
      <w:r>
        <w:rPr>
          <w:spacing w:val="-8"/>
          <w:sz w:val="12"/>
        </w:rPr>
        <w:t xml:space="preserve"> </w:t>
      </w:r>
      <w:r>
        <w:rPr>
          <w:sz w:val="12"/>
        </w:rPr>
        <w:t>Humanos,</w:t>
      </w:r>
      <w:r>
        <w:rPr>
          <w:spacing w:val="-8"/>
          <w:sz w:val="12"/>
        </w:rPr>
        <w:t xml:space="preserve"> </w:t>
      </w:r>
      <w:r>
        <w:rPr>
          <w:sz w:val="12"/>
        </w:rPr>
        <w:t>Guía</w:t>
      </w:r>
      <w:r>
        <w:rPr>
          <w:spacing w:val="-8"/>
          <w:sz w:val="12"/>
        </w:rPr>
        <w:t xml:space="preserve"> </w:t>
      </w:r>
      <w:r>
        <w:rPr>
          <w:sz w:val="12"/>
        </w:rPr>
        <w:t>sobre</w:t>
      </w:r>
      <w:r>
        <w:rPr>
          <w:spacing w:val="-8"/>
          <w:sz w:val="12"/>
        </w:rPr>
        <w:t xml:space="preserve"> </w:t>
      </w:r>
      <w:r>
        <w:rPr>
          <w:sz w:val="12"/>
        </w:rPr>
        <w:t>el</w:t>
      </w:r>
      <w:r>
        <w:rPr>
          <w:spacing w:val="-8"/>
          <w:sz w:val="12"/>
        </w:rPr>
        <w:t xml:space="preserve"> </w:t>
      </w:r>
      <w:r>
        <w:rPr>
          <w:sz w:val="12"/>
        </w:rPr>
        <w:t>artículo</w:t>
      </w:r>
      <w:r>
        <w:rPr>
          <w:spacing w:val="-8"/>
          <w:sz w:val="12"/>
        </w:rPr>
        <w:t xml:space="preserve"> </w:t>
      </w:r>
      <w:r>
        <w:rPr>
          <w:sz w:val="12"/>
        </w:rPr>
        <w:t>14</w:t>
      </w:r>
      <w:r>
        <w:rPr>
          <w:spacing w:val="-8"/>
          <w:sz w:val="12"/>
        </w:rPr>
        <w:t xml:space="preserve"> </w:t>
      </w:r>
      <w:r>
        <w:rPr>
          <w:sz w:val="12"/>
        </w:rPr>
        <w:t>del</w:t>
      </w:r>
      <w:r>
        <w:rPr>
          <w:spacing w:val="-8"/>
          <w:sz w:val="12"/>
        </w:rPr>
        <w:t xml:space="preserve"> </w:t>
      </w:r>
      <w:r>
        <w:rPr>
          <w:sz w:val="12"/>
        </w:rPr>
        <w:t>Convenio</w:t>
      </w:r>
      <w:r>
        <w:rPr>
          <w:spacing w:val="-8"/>
          <w:sz w:val="12"/>
        </w:rPr>
        <w:t xml:space="preserve"> </w:t>
      </w:r>
      <w:r>
        <w:rPr>
          <w:sz w:val="12"/>
        </w:rPr>
        <w:t>Europeo</w:t>
      </w:r>
      <w:r>
        <w:rPr>
          <w:spacing w:val="-8"/>
          <w:sz w:val="12"/>
        </w:rPr>
        <w:t xml:space="preserve"> </w:t>
      </w:r>
      <w:r>
        <w:rPr>
          <w:sz w:val="12"/>
        </w:rPr>
        <w:t>de</w:t>
      </w:r>
      <w:r>
        <w:rPr>
          <w:spacing w:val="-8"/>
          <w:sz w:val="12"/>
        </w:rPr>
        <w:t xml:space="preserve"> </w:t>
      </w:r>
      <w:r>
        <w:rPr>
          <w:sz w:val="12"/>
        </w:rPr>
        <w:t>Derechos</w:t>
      </w:r>
      <w:r>
        <w:rPr>
          <w:spacing w:val="-8"/>
          <w:sz w:val="12"/>
        </w:rPr>
        <w:t xml:space="preserve"> </w:t>
      </w:r>
      <w:r>
        <w:rPr>
          <w:sz w:val="12"/>
        </w:rPr>
        <w:t>Humanos</w:t>
      </w:r>
      <w:r>
        <w:rPr>
          <w:spacing w:val="-8"/>
          <w:sz w:val="12"/>
        </w:rPr>
        <w:t xml:space="preserve"> </w:t>
      </w:r>
      <w:r>
        <w:rPr>
          <w:sz w:val="12"/>
        </w:rPr>
        <w:t>y</w:t>
      </w:r>
      <w:r>
        <w:rPr>
          <w:spacing w:val="-8"/>
          <w:sz w:val="12"/>
        </w:rPr>
        <w:t xml:space="preserve"> </w:t>
      </w:r>
      <w:r>
        <w:rPr>
          <w:sz w:val="12"/>
        </w:rPr>
        <w:t>sobre</w:t>
      </w:r>
      <w:r>
        <w:rPr>
          <w:spacing w:val="-8"/>
          <w:sz w:val="12"/>
        </w:rPr>
        <w:t xml:space="preserve"> </w:t>
      </w:r>
      <w:r>
        <w:rPr>
          <w:sz w:val="12"/>
        </w:rPr>
        <w:t>el</w:t>
      </w:r>
      <w:r>
        <w:rPr>
          <w:spacing w:val="-8"/>
          <w:sz w:val="12"/>
        </w:rPr>
        <w:t xml:space="preserve"> </w:t>
      </w:r>
      <w:r>
        <w:rPr>
          <w:sz w:val="12"/>
        </w:rPr>
        <w:t>artículo</w:t>
      </w:r>
      <w:r>
        <w:rPr>
          <w:spacing w:val="-8"/>
          <w:sz w:val="12"/>
        </w:rPr>
        <w:t xml:space="preserve"> </w:t>
      </w:r>
      <w:r>
        <w:rPr>
          <w:sz w:val="12"/>
        </w:rPr>
        <w:t>1</w:t>
      </w:r>
      <w:r>
        <w:rPr>
          <w:spacing w:val="-8"/>
          <w:sz w:val="12"/>
        </w:rPr>
        <w:t xml:space="preserve"> </w:t>
      </w:r>
      <w:r>
        <w:rPr>
          <w:sz w:val="12"/>
        </w:rPr>
        <w:t>del</w:t>
      </w:r>
      <w:r>
        <w:rPr>
          <w:spacing w:val="-8"/>
          <w:sz w:val="12"/>
        </w:rPr>
        <w:t xml:space="preserve"> </w:t>
      </w:r>
      <w:r>
        <w:rPr>
          <w:sz w:val="12"/>
        </w:rPr>
        <w:t>Protocolo</w:t>
      </w:r>
      <w:r>
        <w:rPr>
          <w:spacing w:val="-8"/>
          <w:sz w:val="12"/>
        </w:rPr>
        <w:t xml:space="preserve"> </w:t>
      </w:r>
      <w:r>
        <w:rPr>
          <w:sz w:val="12"/>
        </w:rPr>
        <w:t>núm.</w:t>
      </w:r>
      <w:r>
        <w:rPr>
          <w:spacing w:val="-8"/>
          <w:sz w:val="12"/>
        </w:rPr>
        <w:t xml:space="preserve"> </w:t>
      </w:r>
      <w:r>
        <w:rPr>
          <w:sz w:val="12"/>
        </w:rPr>
        <w:t>12</w:t>
      </w:r>
      <w:r>
        <w:rPr>
          <w:spacing w:val="-8"/>
          <w:sz w:val="12"/>
        </w:rPr>
        <w:t xml:space="preserve"> </w:t>
      </w:r>
      <w:r>
        <w:rPr>
          <w:sz w:val="12"/>
        </w:rPr>
        <w:t>del</w:t>
      </w:r>
      <w:r>
        <w:rPr>
          <w:spacing w:val="40"/>
          <w:sz w:val="12"/>
        </w:rPr>
        <w:t xml:space="preserve"> </w:t>
      </w:r>
      <w:r>
        <w:rPr>
          <w:sz w:val="12"/>
        </w:rPr>
        <w:t>Convenio: Prohibición de la Discriminación, párr. 30.</w:t>
      </w:r>
    </w:p>
    <w:p w14:paraId="73523555" w14:textId="77777777" w:rsidR="0014798C" w:rsidRDefault="0014798C">
      <w:pPr>
        <w:spacing w:line="312" w:lineRule="auto"/>
        <w:rPr>
          <w:sz w:val="12"/>
        </w:rPr>
        <w:sectPr w:rsidR="0014798C" w:rsidSect="00F265E4">
          <w:type w:val="continuous"/>
          <w:pgSz w:w="11900" w:h="16820"/>
          <w:pgMar w:top="40" w:right="0" w:bottom="280" w:left="200" w:header="121" w:footer="0" w:gutter="0"/>
          <w:cols w:num="2" w:space="720" w:equalWidth="0">
            <w:col w:w="1247" w:space="40"/>
            <w:col w:w="10413"/>
          </w:cols>
        </w:sectPr>
      </w:pPr>
    </w:p>
    <w:p w14:paraId="33D4E0DC" w14:textId="77777777" w:rsidR="0014798C" w:rsidRDefault="004E1F0B">
      <w:pPr>
        <w:spacing w:before="58" w:line="312" w:lineRule="auto"/>
        <w:ind w:left="1368" w:right="1272" w:hanging="263"/>
        <w:rPr>
          <w:sz w:val="12"/>
        </w:rPr>
      </w:pPr>
      <w:r>
        <w:rPr>
          <w:sz w:val="12"/>
        </w:rPr>
        <w:t>268</w:t>
      </w:r>
      <w:r>
        <w:rPr>
          <w:spacing w:val="-7"/>
          <w:sz w:val="12"/>
        </w:rPr>
        <w:t xml:space="preserve"> </w:t>
      </w:r>
      <w:r>
        <w:rPr>
          <w:sz w:val="12"/>
        </w:rPr>
        <w:t>Comisión</w:t>
      </w:r>
      <w:r>
        <w:rPr>
          <w:spacing w:val="-7"/>
          <w:sz w:val="12"/>
        </w:rPr>
        <w:t xml:space="preserve"> </w:t>
      </w:r>
      <w:r>
        <w:rPr>
          <w:sz w:val="12"/>
        </w:rPr>
        <w:t>Interamericana</w:t>
      </w:r>
      <w:r>
        <w:rPr>
          <w:spacing w:val="-7"/>
          <w:sz w:val="12"/>
        </w:rPr>
        <w:t xml:space="preserve"> </w:t>
      </w:r>
      <w:r>
        <w:rPr>
          <w:sz w:val="12"/>
        </w:rPr>
        <w:t>de</w:t>
      </w:r>
      <w:r>
        <w:rPr>
          <w:spacing w:val="-7"/>
          <w:sz w:val="12"/>
        </w:rPr>
        <w:t xml:space="preserve"> </w:t>
      </w:r>
      <w:r>
        <w:rPr>
          <w:sz w:val="12"/>
        </w:rPr>
        <w:t>Derechos</w:t>
      </w:r>
      <w:r>
        <w:rPr>
          <w:spacing w:val="-7"/>
          <w:sz w:val="12"/>
        </w:rPr>
        <w:t xml:space="preserve"> </w:t>
      </w:r>
      <w:r>
        <w:rPr>
          <w:sz w:val="12"/>
        </w:rPr>
        <w:t>Humanos,</w:t>
      </w:r>
      <w:r>
        <w:rPr>
          <w:spacing w:val="-7"/>
          <w:sz w:val="12"/>
        </w:rPr>
        <w:t xml:space="preserve"> </w:t>
      </w:r>
      <w:r>
        <w:rPr>
          <w:sz w:val="12"/>
        </w:rPr>
        <w:t>Violencia</w:t>
      </w:r>
      <w:r>
        <w:rPr>
          <w:spacing w:val="-7"/>
          <w:sz w:val="12"/>
        </w:rPr>
        <w:t xml:space="preserve"> </w:t>
      </w:r>
      <w:r>
        <w:rPr>
          <w:sz w:val="12"/>
        </w:rPr>
        <w:t>y</w:t>
      </w:r>
      <w:r>
        <w:rPr>
          <w:spacing w:val="-7"/>
          <w:sz w:val="12"/>
        </w:rPr>
        <w:t xml:space="preserve"> </w:t>
      </w:r>
      <w:r>
        <w:rPr>
          <w:sz w:val="12"/>
        </w:rPr>
        <w:t>Discriminación</w:t>
      </w:r>
      <w:r>
        <w:rPr>
          <w:spacing w:val="-7"/>
          <w:sz w:val="12"/>
        </w:rPr>
        <w:t xml:space="preserve"> </w:t>
      </w:r>
      <w:r>
        <w:rPr>
          <w:sz w:val="12"/>
        </w:rPr>
        <w:t>contra</w:t>
      </w:r>
      <w:r>
        <w:rPr>
          <w:spacing w:val="-7"/>
          <w:sz w:val="12"/>
        </w:rPr>
        <w:t xml:space="preserve"> </w:t>
      </w:r>
      <w:r>
        <w:rPr>
          <w:sz w:val="12"/>
        </w:rPr>
        <w:t>Mujeres</w:t>
      </w:r>
      <w:r>
        <w:rPr>
          <w:spacing w:val="-7"/>
          <w:sz w:val="12"/>
        </w:rPr>
        <w:t xml:space="preserve"> </w:t>
      </w:r>
      <w:r>
        <w:rPr>
          <w:sz w:val="12"/>
        </w:rPr>
        <w:t>y</w:t>
      </w:r>
      <w:r>
        <w:rPr>
          <w:spacing w:val="-7"/>
          <w:sz w:val="12"/>
        </w:rPr>
        <w:t xml:space="preserve"> </w:t>
      </w:r>
      <w:r>
        <w:rPr>
          <w:sz w:val="12"/>
        </w:rPr>
        <w:t>Niñas:</w:t>
      </w:r>
      <w:r>
        <w:rPr>
          <w:spacing w:val="-7"/>
          <w:sz w:val="12"/>
        </w:rPr>
        <w:t xml:space="preserve"> </w:t>
      </w:r>
      <w:r>
        <w:rPr>
          <w:sz w:val="12"/>
        </w:rPr>
        <w:t>Mejores</w:t>
      </w:r>
      <w:r>
        <w:rPr>
          <w:spacing w:val="-7"/>
          <w:sz w:val="12"/>
        </w:rPr>
        <w:t xml:space="preserve"> </w:t>
      </w:r>
      <w:r>
        <w:rPr>
          <w:sz w:val="12"/>
        </w:rPr>
        <w:t>Prácticas</w:t>
      </w:r>
      <w:r>
        <w:rPr>
          <w:spacing w:val="-7"/>
          <w:sz w:val="12"/>
        </w:rPr>
        <w:t xml:space="preserve"> </w:t>
      </w:r>
      <w:r>
        <w:rPr>
          <w:sz w:val="12"/>
        </w:rPr>
        <w:t>y</w:t>
      </w:r>
      <w:r>
        <w:rPr>
          <w:spacing w:val="-7"/>
          <w:sz w:val="12"/>
        </w:rPr>
        <w:t xml:space="preserve"> </w:t>
      </w:r>
      <w:r>
        <w:rPr>
          <w:sz w:val="12"/>
        </w:rPr>
        <w:t>Desafíos</w:t>
      </w:r>
      <w:r>
        <w:rPr>
          <w:spacing w:val="-7"/>
          <w:sz w:val="12"/>
        </w:rPr>
        <w:t xml:space="preserve"> </w:t>
      </w:r>
      <w:r>
        <w:rPr>
          <w:sz w:val="12"/>
        </w:rPr>
        <w:t>en</w:t>
      </w:r>
      <w:r>
        <w:rPr>
          <w:spacing w:val="-7"/>
          <w:sz w:val="12"/>
        </w:rPr>
        <w:t xml:space="preserve"> </w:t>
      </w:r>
      <w:r>
        <w:rPr>
          <w:sz w:val="12"/>
        </w:rPr>
        <w:t>América</w:t>
      </w:r>
      <w:r>
        <w:rPr>
          <w:spacing w:val="-7"/>
          <w:sz w:val="12"/>
        </w:rPr>
        <w:t xml:space="preserve"> </w:t>
      </w:r>
      <w:r>
        <w:rPr>
          <w:sz w:val="12"/>
        </w:rPr>
        <w:t>Latina</w:t>
      </w:r>
      <w:r>
        <w:rPr>
          <w:spacing w:val="-7"/>
          <w:sz w:val="12"/>
        </w:rPr>
        <w:t xml:space="preserve"> </w:t>
      </w:r>
      <w:r>
        <w:rPr>
          <w:sz w:val="12"/>
        </w:rPr>
        <w:t>y</w:t>
      </w:r>
      <w:r>
        <w:rPr>
          <w:spacing w:val="-7"/>
          <w:sz w:val="12"/>
        </w:rPr>
        <w:t xml:space="preserve"> </w:t>
      </w:r>
      <w:r>
        <w:rPr>
          <w:sz w:val="12"/>
        </w:rPr>
        <w:t>el</w:t>
      </w:r>
      <w:r>
        <w:rPr>
          <w:spacing w:val="-7"/>
          <w:sz w:val="12"/>
        </w:rPr>
        <w:t xml:space="preserve"> </w:t>
      </w:r>
      <w:r>
        <w:rPr>
          <w:sz w:val="12"/>
        </w:rPr>
        <w:t>Caribe</w:t>
      </w:r>
      <w:r>
        <w:rPr>
          <w:spacing w:val="-7"/>
          <w:sz w:val="12"/>
        </w:rPr>
        <w:t xml:space="preserve"> </w:t>
      </w:r>
      <w:r>
        <w:rPr>
          <w:sz w:val="12"/>
        </w:rPr>
        <w:t>(OEA/</w:t>
      </w:r>
      <w:r>
        <w:rPr>
          <w:spacing w:val="40"/>
          <w:sz w:val="12"/>
        </w:rPr>
        <w:t xml:space="preserve"> </w:t>
      </w:r>
      <w:proofErr w:type="spellStart"/>
      <w:r>
        <w:rPr>
          <w:spacing w:val="-2"/>
          <w:sz w:val="12"/>
        </w:rPr>
        <w:t>Ser.L</w:t>
      </w:r>
      <w:proofErr w:type="spellEnd"/>
      <w:r>
        <w:rPr>
          <w:spacing w:val="-2"/>
          <w:sz w:val="12"/>
        </w:rPr>
        <w:t>/V/II, Doc.233/19) (</w:t>
      </w:r>
      <w:proofErr w:type="gramStart"/>
      <w:r>
        <w:rPr>
          <w:spacing w:val="-2"/>
          <w:sz w:val="12"/>
        </w:rPr>
        <w:t>2019);</w:t>
      </w:r>
      <w:proofErr w:type="gramEnd"/>
      <w:r>
        <w:rPr>
          <w:spacing w:val="-2"/>
          <w:sz w:val="12"/>
        </w:rPr>
        <w:t xml:space="preserve"> Comisión Africana de Derechos Humanos y de los Pueblos, Principios y directrices sobre la implementación de los derechos económicos,</w:t>
      </w:r>
      <w:r>
        <w:rPr>
          <w:spacing w:val="40"/>
          <w:sz w:val="12"/>
        </w:rPr>
        <w:t xml:space="preserve"> </w:t>
      </w:r>
      <w:r>
        <w:rPr>
          <w:sz w:val="12"/>
        </w:rPr>
        <w:t>sociales</w:t>
      </w:r>
      <w:r>
        <w:rPr>
          <w:spacing w:val="-2"/>
          <w:sz w:val="12"/>
        </w:rPr>
        <w:t xml:space="preserve"> </w:t>
      </w:r>
      <w:r>
        <w:rPr>
          <w:sz w:val="12"/>
        </w:rPr>
        <w:t>y</w:t>
      </w:r>
      <w:r>
        <w:rPr>
          <w:spacing w:val="-2"/>
          <w:sz w:val="12"/>
        </w:rPr>
        <w:t xml:space="preserve"> </w:t>
      </w:r>
      <w:r>
        <w:rPr>
          <w:sz w:val="12"/>
        </w:rPr>
        <w:t>culturales</w:t>
      </w:r>
      <w:r>
        <w:rPr>
          <w:spacing w:val="-2"/>
          <w:sz w:val="12"/>
        </w:rPr>
        <w:t xml:space="preserve"> </w:t>
      </w:r>
      <w:r>
        <w:rPr>
          <w:sz w:val="12"/>
        </w:rPr>
        <w:t>en</w:t>
      </w:r>
      <w:r>
        <w:rPr>
          <w:spacing w:val="-2"/>
          <w:sz w:val="12"/>
        </w:rPr>
        <w:t xml:space="preserve"> </w:t>
      </w:r>
      <w:r>
        <w:rPr>
          <w:sz w:val="12"/>
        </w:rPr>
        <w:t>la</w:t>
      </w:r>
      <w:r>
        <w:rPr>
          <w:spacing w:val="-2"/>
          <w:sz w:val="12"/>
        </w:rPr>
        <w:t xml:space="preserve"> </w:t>
      </w:r>
      <w:r>
        <w:rPr>
          <w:sz w:val="12"/>
        </w:rPr>
        <w:t>Carta</w:t>
      </w:r>
      <w:r>
        <w:rPr>
          <w:spacing w:val="-2"/>
          <w:sz w:val="12"/>
        </w:rPr>
        <w:t xml:space="preserve"> </w:t>
      </w:r>
      <w:r>
        <w:rPr>
          <w:sz w:val="12"/>
        </w:rPr>
        <w:t>Africana</w:t>
      </w:r>
      <w:r>
        <w:rPr>
          <w:spacing w:val="-2"/>
          <w:sz w:val="12"/>
        </w:rPr>
        <w:t xml:space="preserve"> </w:t>
      </w:r>
      <w:r>
        <w:rPr>
          <w:sz w:val="12"/>
        </w:rPr>
        <w:t>de</w:t>
      </w:r>
      <w:r>
        <w:rPr>
          <w:spacing w:val="-2"/>
          <w:sz w:val="12"/>
        </w:rPr>
        <w:t xml:space="preserve"> </w:t>
      </w:r>
      <w:r>
        <w:rPr>
          <w:sz w:val="12"/>
        </w:rPr>
        <w:t>Derechos</w:t>
      </w:r>
      <w:r>
        <w:rPr>
          <w:spacing w:val="-2"/>
          <w:sz w:val="12"/>
        </w:rPr>
        <w:t xml:space="preserve"> </w:t>
      </w:r>
      <w:r>
        <w:rPr>
          <w:sz w:val="12"/>
        </w:rPr>
        <w:t>Humanos</w:t>
      </w:r>
      <w:r>
        <w:rPr>
          <w:spacing w:val="-2"/>
          <w:sz w:val="12"/>
        </w:rPr>
        <w:t xml:space="preserve"> </w:t>
      </w:r>
      <w:r>
        <w:rPr>
          <w:sz w:val="12"/>
        </w:rPr>
        <w:t>y</w:t>
      </w:r>
      <w:r>
        <w:rPr>
          <w:spacing w:val="-2"/>
          <w:sz w:val="12"/>
        </w:rPr>
        <w:t xml:space="preserve"> </w:t>
      </w:r>
      <w:r>
        <w:rPr>
          <w:sz w:val="12"/>
        </w:rPr>
        <w:t>de</w:t>
      </w:r>
      <w:r>
        <w:rPr>
          <w:spacing w:val="-2"/>
          <w:sz w:val="12"/>
        </w:rPr>
        <w:t xml:space="preserve"> </w:t>
      </w:r>
      <w:r>
        <w:rPr>
          <w:sz w:val="12"/>
        </w:rPr>
        <w:t>los</w:t>
      </w:r>
      <w:r>
        <w:rPr>
          <w:spacing w:val="-2"/>
          <w:sz w:val="12"/>
        </w:rPr>
        <w:t xml:space="preserve"> </w:t>
      </w:r>
      <w:r>
        <w:rPr>
          <w:sz w:val="12"/>
        </w:rPr>
        <w:t>Pueblos,</w:t>
      </w:r>
      <w:r>
        <w:rPr>
          <w:spacing w:val="-2"/>
          <w:sz w:val="12"/>
        </w:rPr>
        <w:t xml:space="preserve"> </w:t>
      </w:r>
      <w:r>
        <w:rPr>
          <w:sz w:val="12"/>
        </w:rPr>
        <w:t>párr.</w:t>
      </w:r>
      <w:r>
        <w:rPr>
          <w:spacing w:val="-2"/>
          <w:sz w:val="12"/>
        </w:rPr>
        <w:t xml:space="preserve"> </w:t>
      </w:r>
      <w:r>
        <w:rPr>
          <w:sz w:val="12"/>
        </w:rPr>
        <w:t>59k).</w:t>
      </w:r>
    </w:p>
    <w:p w14:paraId="08C32FD1" w14:textId="77777777" w:rsidR="0014798C" w:rsidRDefault="0014798C">
      <w:pPr>
        <w:pStyle w:val="Textoindependiente"/>
        <w:spacing w:before="99"/>
        <w:rPr>
          <w:sz w:val="12"/>
        </w:rPr>
      </w:pPr>
    </w:p>
    <w:p w14:paraId="430E1AE0" w14:textId="77777777" w:rsidR="0014798C" w:rsidRDefault="004E1F0B">
      <w:pPr>
        <w:ind w:left="1105"/>
        <w:jc w:val="both"/>
        <w:rPr>
          <w:sz w:val="12"/>
        </w:rPr>
      </w:pPr>
      <w:r>
        <w:rPr>
          <w:spacing w:val="-2"/>
          <w:sz w:val="12"/>
        </w:rPr>
        <w:t>269</w:t>
      </w:r>
      <w:r>
        <w:rPr>
          <w:sz w:val="12"/>
        </w:rPr>
        <w:t xml:space="preserve"> </w:t>
      </w:r>
      <w:r>
        <w:rPr>
          <w:spacing w:val="-2"/>
          <w:sz w:val="12"/>
        </w:rPr>
        <w:t>Por</w:t>
      </w:r>
      <w:r>
        <w:rPr>
          <w:sz w:val="12"/>
        </w:rPr>
        <w:t xml:space="preserve"> </w:t>
      </w:r>
      <w:r>
        <w:rPr>
          <w:spacing w:val="-2"/>
          <w:sz w:val="12"/>
        </w:rPr>
        <w:t>ejemplo,</w:t>
      </w:r>
      <w:r>
        <w:rPr>
          <w:sz w:val="12"/>
        </w:rPr>
        <w:t xml:space="preserve"> </w:t>
      </w:r>
      <w:r>
        <w:rPr>
          <w:spacing w:val="-2"/>
          <w:sz w:val="12"/>
        </w:rPr>
        <w:t>la</w:t>
      </w:r>
      <w:r>
        <w:rPr>
          <w:spacing w:val="1"/>
          <w:sz w:val="12"/>
        </w:rPr>
        <w:t xml:space="preserve"> </w:t>
      </w:r>
      <w:r>
        <w:rPr>
          <w:spacing w:val="-2"/>
          <w:sz w:val="12"/>
        </w:rPr>
        <w:t>Comisión</w:t>
      </w:r>
      <w:r>
        <w:rPr>
          <w:sz w:val="12"/>
        </w:rPr>
        <w:t xml:space="preserve"> </w:t>
      </w:r>
      <w:r>
        <w:rPr>
          <w:spacing w:val="-2"/>
          <w:sz w:val="12"/>
        </w:rPr>
        <w:t>Interamericana</w:t>
      </w:r>
      <w:r>
        <w:rPr>
          <w:sz w:val="12"/>
        </w:rPr>
        <w:t xml:space="preserve"> </w:t>
      </w:r>
      <w:r>
        <w:rPr>
          <w:spacing w:val="-2"/>
          <w:sz w:val="12"/>
        </w:rPr>
        <w:t>de</w:t>
      </w:r>
      <w:r>
        <w:rPr>
          <w:sz w:val="12"/>
        </w:rPr>
        <w:t xml:space="preserve"> </w:t>
      </w:r>
      <w:r>
        <w:rPr>
          <w:spacing w:val="-2"/>
          <w:sz w:val="12"/>
        </w:rPr>
        <w:t>Derechos</w:t>
      </w:r>
      <w:r>
        <w:rPr>
          <w:spacing w:val="1"/>
          <w:sz w:val="12"/>
        </w:rPr>
        <w:t xml:space="preserve"> </w:t>
      </w:r>
      <w:r>
        <w:rPr>
          <w:spacing w:val="-2"/>
          <w:sz w:val="12"/>
        </w:rPr>
        <w:t>Humanos</w:t>
      </w:r>
      <w:r>
        <w:rPr>
          <w:sz w:val="12"/>
        </w:rPr>
        <w:t xml:space="preserve"> </w:t>
      </w:r>
      <w:r>
        <w:rPr>
          <w:spacing w:val="-2"/>
          <w:sz w:val="12"/>
        </w:rPr>
        <w:t>ha</w:t>
      </w:r>
      <w:r>
        <w:rPr>
          <w:sz w:val="12"/>
        </w:rPr>
        <w:t xml:space="preserve"> </w:t>
      </w:r>
      <w:r>
        <w:rPr>
          <w:spacing w:val="-2"/>
          <w:sz w:val="12"/>
        </w:rPr>
        <w:t>condenado</w:t>
      </w:r>
      <w:r>
        <w:rPr>
          <w:sz w:val="12"/>
        </w:rPr>
        <w:t xml:space="preserve"> </w:t>
      </w:r>
      <w:r>
        <w:rPr>
          <w:spacing w:val="-2"/>
          <w:sz w:val="12"/>
        </w:rPr>
        <w:t>actos</w:t>
      </w:r>
      <w:r>
        <w:rPr>
          <w:spacing w:val="1"/>
          <w:sz w:val="12"/>
        </w:rPr>
        <w:t xml:space="preserve"> </w:t>
      </w:r>
      <w:r>
        <w:rPr>
          <w:spacing w:val="-2"/>
          <w:sz w:val="12"/>
        </w:rPr>
        <w:t>de</w:t>
      </w:r>
      <w:r>
        <w:rPr>
          <w:sz w:val="12"/>
        </w:rPr>
        <w:t xml:space="preserve"> </w:t>
      </w:r>
      <w:r>
        <w:rPr>
          <w:spacing w:val="-2"/>
          <w:sz w:val="12"/>
        </w:rPr>
        <w:t>acoso</w:t>
      </w:r>
      <w:r>
        <w:rPr>
          <w:sz w:val="12"/>
        </w:rPr>
        <w:t xml:space="preserve"> </w:t>
      </w:r>
      <w:r>
        <w:rPr>
          <w:spacing w:val="-2"/>
          <w:sz w:val="12"/>
        </w:rPr>
        <w:t>cometidos</w:t>
      </w:r>
      <w:r>
        <w:rPr>
          <w:sz w:val="12"/>
        </w:rPr>
        <w:t xml:space="preserve"> </w:t>
      </w:r>
      <w:r>
        <w:rPr>
          <w:spacing w:val="-2"/>
          <w:sz w:val="12"/>
        </w:rPr>
        <w:t>contra</w:t>
      </w:r>
      <w:r>
        <w:rPr>
          <w:spacing w:val="1"/>
          <w:sz w:val="12"/>
        </w:rPr>
        <w:t xml:space="preserve"> </w:t>
      </w:r>
      <w:r>
        <w:rPr>
          <w:spacing w:val="-2"/>
          <w:sz w:val="12"/>
        </w:rPr>
        <w:t>lesbianas,</w:t>
      </w:r>
      <w:r>
        <w:rPr>
          <w:spacing w:val="1"/>
          <w:sz w:val="12"/>
        </w:rPr>
        <w:t xml:space="preserve"> </w:t>
      </w:r>
      <w:proofErr w:type="spellStart"/>
      <w:r>
        <w:rPr>
          <w:spacing w:val="-2"/>
          <w:sz w:val="12"/>
        </w:rPr>
        <w:t>gays</w:t>
      </w:r>
      <w:proofErr w:type="spellEnd"/>
      <w:r>
        <w:rPr>
          <w:spacing w:val="-2"/>
          <w:sz w:val="12"/>
        </w:rPr>
        <w:t>,</w:t>
      </w:r>
    </w:p>
    <w:p w14:paraId="0F29D4D3" w14:textId="77777777" w:rsidR="0014798C" w:rsidRDefault="004E1F0B">
      <w:pPr>
        <w:spacing w:before="42" w:line="312" w:lineRule="auto"/>
        <w:ind w:left="1366" w:right="1796" w:firstLine="3"/>
        <w:jc w:val="both"/>
        <w:rPr>
          <w:sz w:val="12"/>
        </w:rPr>
      </w:pPr>
      <w:r>
        <w:rPr>
          <w:sz w:val="12"/>
        </w:rPr>
        <w:t>personas</w:t>
      </w:r>
      <w:r>
        <w:rPr>
          <w:spacing w:val="-9"/>
          <w:sz w:val="12"/>
        </w:rPr>
        <w:t xml:space="preserve"> </w:t>
      </w:r>
      <w:r>
        <w:rPr>
          <w:sz w:val="12"/>
        </w:rPr>
        <w:t>bisexuales,</w:t>
      </w:r>
      <w:r>
        <w:rPr>
          <w:spacing w:val="-8"/>
          <w:sz w:val="12"/>
        </w:rPr>
        <w:t xml:space="preserve"> </w:t>
      </w:r>
      <w:r>
        <w:rPr>
          <w:sz w:val="12"/>
        </w:rPr>
        <w:t>transgénero</w:t>
      </w:r>
      <w:r>
        <w:rPr>
          <w:spacing w:val="-8"/>
          <w:sz w:val="12"/>
        </w:rPr>
        <w:t xml:space="preserve"> </w:t>
      </w:r>
      <w:r>
        <w:rPr>
          <w:sz w:val="12"/>
        </w:rPr>
        <w:t>e</w:t>
      </w:r>
      <w:r>
        <w:rPr>
          <w:spacing w:val="-9"/>
          <w:sz w:val="12"/>
        </w:rPr>
        <w:t xml:space="preserve"> </w:t>
      </w:r>
      <w:r>
        <w:rPr>
          <w:sz w:val="12"/>
        </w:rPr>
        <w:t>intersexuales,</w:t>
      </w:r>
      <w:r>
        <w:rPr>
          <w:spacing w:val="-8"/>
          <w:sz w:val="12"/>
        </w:rPr>
        <w:t xml:space="preserve"> </w:t>
      </w:r>
      <w:r>
        <w:rPr>
          <w:sz w:val="12"/>
        </w:rPr>
        <w:t>pidiendo</w:t>
      </w:r>
      <w:r>
        <w:rPr>
          <w:spacing w:val="-8"/>
          <w:sz w:val="12"/>
        </w:rPr>
        <w:t xml:space="preserve"> </w:t>
      </w:r>
      <w:r>
        <w:rPr>
          <w:sz w:val="12"/>
        </w:rPr>
        <w:t>a</w:t>
      </w:r>
      <w:r>
        <w:rPr>
          <w:spacing w:val="-9"/>
          <w:sz w:val="12"/>
        </w:rPr>
        <w:t xml:space="preserve"> </w:t>
      </w:r>
      <w:r>
        <w:rPr>
          <w:sz w:val="12"/>
        </w:rPr>
        <w:t>los</w:t>
      </w:r>
      <w:r>
        <w:rPr>
          <w:spacing w:val="-8"/>
          <w:sz w:val="12"/>
        </w:rPr>
        <w:t xml:space="preserve"> </w:t>
      </w:r>
      <w:r>
        <w:rPr>
          <w:sz w:val="12"/>
        </w:rPr>
        <w:t>Estados</w:t>
      </w:r>
      <w:r>
        <w:rPr>
          <w:spacing w:val="-9"/>
          <w:sz w:val="12"/>
        </w:rPr>
        <w:t xml:space="preserve"> </w:t>
      </w:r>
      <w:r>
        <w:rPr>
          <w:sz w:val="12"/>
        </w:rPr>
        <w:t>que</w:t>
      </w:r>
      <w:r>
        <w:rPr>
          <w:spacing w:val="-8"/>
          <w:sz w:val="12"/>
        </w:rPr>
        <w:t xml:space="preserve"> </w:t>
      </w:r>
      <w:r>
        <w:rPr>
          <w:sz w:val="12"/>
        </w:rPr>
        <w:t>“adopten</w:t>
      </w:r>
      <w:r>
        <w:rPr>
          <w:spacing w:val="-8"/>
          <w:sz w:val="12"/>
        </w:rPr>
        <w:t xml:space="preserve"> </w:t>
      </w:r>
      <w:r>
        <w:rPr>
          <w:sz w:val="12"/>
        </w:rPr>
        <w:t>y</w:t>
      </w:r>
      <w:r>
        <w:rPr>
          <w:spacing w:val="-9"/>
          <w:sz w:val="12"/>
        </w:rPr>
        <w:t xml:space="preserve"> </w:t>
      </w:r>
      <w:r>
        <w:rPr>
          <w:sz w:val="12"/>
        </w:rPr>
        <w:t>apliquen</w:t>
      </w:r>
      <w:r>
        <w:rPr>
          <w:spacing w:val="-8"/>
          <w:sz w:val="12"/>
        </w:rPr>
        <w:t xml:space="preserve"> </w:t>
      </w:r>
      <w:r>
        <w:rPr>
          <w:sz w:val="12"/>
        </w:rPr>
        <w:t>medidas</w:t>
      </w:r>
      <w:r>
        <w:rPr>
          <w:spacing w:val="-8"/>
          <w:sz w:val="12"/>
        </w:rPr>
        <w:t xml:space="preserve"> </w:t>
      </w:r>
      <w:r>
        <w:rPr>
          <w:sz w:val="12"/>
        </w:rPr>
        <w:t>efectivas</w:t>
      </w:r>
      <w:r>
        <w:rPr>
          <w:spacing w:val="-9"/>
          <w:sz w:val="12"/>
        </w:rPr>
        <w:t xml:space="preserve"> </w:t>
      </w:r>
      <w:r>
        <w:rPr>
          <w:sz w:val="12"/>
        </w:rPr>
        <w:t>para</w:t>
      </w:r>
      <w:r>
        <w:rPr>
          <w:spacing w:val="-8"/>
          <w:sz w:val="12"/>
        </w:rPr>
        <w:t xml:space="preserve"> </w:t>
      </w:r>
      <w:r>
        <w:rPr>
          <w:sz w:val="12"/>
        </w:rPr>
        <w:t>prevenir</w:t>
      </w:r>
      <w:r>
        <w:rPr>
          <w:spacing w:val="-8"/>
          <w:sz w:val="12"/>
        </w:rPr>
        <w:t xml:space="preserve"> </w:t>
      </w:r>
      <w:r>
        <w:rPr>
          <w:sz w:val="12"/>
        </w:rPr>
        <w:t>la</w:t>
      </w:r>
      <w:r>
        <w:rPr>
          <w:spacing w:val="-9"/>
          <w:sz w:val="12"/>
        </w:rPr>
        <w:t xml:space="preserve"> </w:t>
      </w:r>
      <w:r>
        <w:rPr>
          <w:sz w:val="12"/>
        </w:rPr>
        <w:t>discriminación”</w:t>
      </w:r>
      <w:r>
        <w:rPr>
          <w:spacing w:val="-8"/>
          <w:sz w:val="12"/>
        </w:rPr>
        <w:t xml:space="preserve"> </w:t>
      </w:r>
      <w:r>
        <w:rPr>
          <w:sz w:val="12"/>
        </w:rPr>
        <w:t>contra</w:t>
      </w:r>
      <w:r>
        <w:rPr>
          <w:spacing w:val="-8"/>
          <w:sz w:val="12"/>
        </w:rPr>
        <w:t xml:space="preserve"> </w:t>
      </w:r>
      <w:r>
        <w:rPr>
          <w:sz w:val="12"/>
        </w:rPr>
        <w:t>dichas</w:t>
      </w:r>
      <w:r>
        <w:rPr>
          <w:spacing w:val="40"/>
          <w:sz w:val="12"/>
        </w:rPr>
        <w:t xml:space="preserve"> </w:t>
      </w:r>
      <w:r>
        <w:rPr>
          <w:sz w:val="12"/>
        </w:rPr>
        <w:t>personas</w:t>
      </w:r>
      <w:r>
        <w:rPr>
          <w:spacing w:val="-8"/>
          <w:sz w:val="12"/>
        </w:rPr>
        <w:t xml:space="preserve"> </w:t>
      </w:r>
      <w:r>
        <w:rPr>
          <w:sz w:val="12"/>
        </w:rPr>
        <w:t>“en</w:t>
      </w:r>
      <w:r>
        <w:rPr>
          <w:spacing w:val="-8"/>
          <w:sz w:val="12"/>
        </w:rPr>
        <w:t xml:space="preserve"> </w:t>
      </w:r>
      <w:r>
        <w:rPr>
          <w:sz w:val="12"/>
        </w:rPr>
        <w:t>las</w:t>
      </w:r>
      <w:r>
        <w:rPr>
          <w:spacing w:val="-8"/>
          <w:sz w:val="12"/>
        </w:rPr>
        <w:t xml:space="preserve"> </w:t>
      </w:r>
      <w:r>
        <w:rPr>
          <w:sz w:val="12"/>
        </w:rPr>
        <w:t>instituciones</w:t>
      </w:r>
      <w:r>
        <w:rPr>
          <w:spacing w:val="-8"/>
          <w:sz w:val="12"/>
        </w:rPr>
        <w:t xml:space="preserve"> </w:t>
      </w:r>
      <w:r>
        <w:rPr>
          <w:sz w:val="12"/>
        </w:rPr>
        <w:t>educativas</w:t>
      </w:r>
      <w:r>
        <w:rPr>
          <w:spacing w:val="-8"/>
          <w:sz w:val="12"/>
        </w:rPr>
        <w:t xml:space="preserve"> </w:t>
      </w:r>
      <w:r>
        <w:rPr>
          <w:sz w:val="12"/>
        </w:rPr>
        <w:t>públicas</w:t>
      </w:r>
      <w:r>
        <w:rPr>
          <w:spacing w:val="-8"/>
          <w:sz w:val="12"/>
        </w:rPr>
        <w:t xml:space="preserve"> </w:t>
      </w:r>
      <w:r>
        <w:rPr>
          <w:sz w:val="12"/>
        </w:rPr>
        <w:t>y</w:t>
      </w:r>
      <w:r>
        <w:rPr>
          <w:spacing w:val="-8"/>
          <w:sz w:val="12"/>
        </w:rPr>
        <w:t xml:space="preserve"> </w:t>
      </w:r>
      <w:r>
        <w:rPr>
          <w:sz w:val="12"/>
        </w:rPr>
        <w:t>privadas”.</w:t>
      </w:r>
      <w:r>
        <w:rPr>
          <w:spacing w:val="-7"/>
          <w:sz w:val="12"/>
        </w:rPr>
        <w:t xml:space="preserve"> </w:t>
      </w:r>
      <w:r>
        <w:rPr>
          <w:sz w:val="12"/>
        </w:rPr>
        <w:t>Véase</w:t>
      </w:r>
      <w:r>
        <w:rPr>
          <w:spacing w:val="-8"/>
          <w:sz w:val="12"/>
        </w:rPr>
        <w:t xml:space="preserve"> </w:t>
      </w:r>
      <w:r>
        <w:rPr>
          <w:sz w:val="12"/>
        </w:rPr>
        <w:t>Comisión</w:t>
      </w:r>
      <w:r>
        <w:rPr>
          <w:spacing w:val="-8"/>
          <w:sz w:val="12"/>
        </w:rPr>
        <w:t xml:space="preserve"> </w:t>
      </w:r>
      <w:r>
        <w:rPr>
          <w:sz w:val="12"/>
        </w:rPr>
        <w:t>Interamericana</w:t>
      </w:r>
      <w:r>
        <w:rPr>
          <w:spacing w:val="-8"/>
          <w:sz w:val="12"/>
        </w:rPr>
        <w:t xml:space="preserve"> </w:t>
      </w:r>
      <w:r>
        <w:rPr>
          <w:sz w:val="12"/>
        </w:rPr>
        <w:t>de</w:t>
      </w:r>
      <w:r>
        <w:rPr>
          <w:spacing w:val="-8"/>
          <w:sz w:val="12"/>
        </w:rPr>
        <w:t xml:space="preserve"> </w:t>
      </w:r>
      <w:r>
        <w:rPr>
          <w:sz w:val="12"/>
        </w:rPr>
        <w:t>Derechos</w:t>
      </w:r>
      <w:r>
        <w:rPr>
          <w:spacing w:val="-8"/>
          <w:sz w:val="12"/>
        </w:rPr>
        <w:t xml:space="preserve"> </w:t>
      </w:r>
      <w:r>
        <w:rPr>
          <w:sz w:val="12"/>
        </w:rPr>
        <w:t>Humanos,</w:t>
      </w:r>
      <w:r>
        <w:rPr>
          <w:spacing w:val="-8"/>
          <w:sz w:val="12"/>
        </w:rPr>
        <w:t xml:space="preserve"> </w:t>
      </w:r>
      <w:r>
        <w:rPr>
          <w:sz w:val="12"/>
        </w:rPr>
        <w:t>“La</w:t>
      </w:r>
      <w:r>
        <w:rPr>
          <w:spacing w:val="-8"/>
          <w:sz w:val="12"/>
        </w:rPr>
        <w:t xml:space="preserve"> </w:t>
      </w:r>
      <w:r>
        <w:rPr>
          <w:sz w:val="12"/>
        </w:rPr>
        <w:t>CIDH</w:t>
      </w:r>
      <w:r>
        <w:rPr>
          <w:spacing w:val="-8"/>
          <w:sz w:val="12"/>
        </w:rPr>
        <w:t xml:space="preserve"> </w:t>
      </w:r>
      <w:r>
        <w:rPr>
          <w:sz w:val="12"/>
        </w:rPr>
        <w:t>está</w:t>
      </w:r>
      <w:r>
        <w:rPr>
          <w:spacing w:val="-8"/>
          <w:sz w:val="12"/>
        </w:rPr>
        <w:t xml:space="preserve"> </w:t>
      </w:r>
      <w:r>
        <w:rPr>
          <w:sz w:val="12"/>
        </w:rPr>
        <w:t>preocupada</w:t>
      </w:r>
      <w:r>
        <w:rPr>
          <w:spacing w:val="-8"/>
          <w:sz w:val="12"/>
        </w:rPr>
        <w:t xml:space="preserve"> </w:t>
      </w:r>
      <w:r>
        <w:rPr>
          <w:sz w:val="12"/>
        </w:rPr>
        <w:t>por</w:t>
      </w:r>
      <w:r>
        <w:rPr>
          <w:spacing w:val="-8"/>
          <w:sz w:val="12"/>
        </w:rPr>
        <w:t xml:space="preserve"> </w:t>
      </w:r>
      <w:r>
        <w:rPr>
          <w:sz w:val="12"/>
        </w:rPr>
        <w:t>la</w:t>
      </w:r>
      <w:r>
        <w:rPr>
          <w:spacing w:val="-8"/>
          <w:sz w:val="12"/>
        </w:rPr>
        <w:t xml:space="preserve"> </w:t>
      </w:r>
      <w:r>
        <w:rPr>
          <w:sz w:val="12"/>
        </w:rPr>
        <w:t>violencia</w:t>
      </w:r>
      <w:r>
        <w:rPr>
          <w:spacing w:val="40"/>
          <w:sz w:val="12"/>
        </w:rPr>
        <w:t xml:space="preserve"> </w:t>
      </w:r>
      <w:r>
        <w:rPr>
          <w:sz w:val="12"/>
        </w:rPr>
        <w:t>y</w:t>
      </w:r>
      <w:r>
        <w:rPr>
          <w:spacing w:val="-5"/>
          <w:sz w:val="12"/>
        </w:rPr>
        <w:t xml:space="preserve"> </w:t>
      </w:r>
      <w:r>
        <w:rPr>
          <w:sz w:val="12"/>
        </w:rPr>
        <w:t>discriminación</w:t>
      </w:r>
      <w:r>
        <w:rPr>
          <w:spacing w:val="-5"/>
          <w:sz w:val="12"/>
        </w:rPr>
        <w:t xml:space="preserve"> </w:t>
      </w:r>
      <w:r>
        <w:rPr>
          <w:sz w:val="12"/>
        </w:rPr>
        <w:t>contra</w:t>
      </w:r>
      <w:r>
        <w:rPr>
          <w:spacing w:val="-5"/>
          <w:sz w:val="12"/>
        </w:rPr>
        <w:t xml:space="preserve"> </w:t>
      </w:r>
      <w:r>
        <w:rPr>
          <w:sz w:val="12"/>
        </w:rPr>
        <w:t>las</w:t>
      </w:r>
      <w:r>
        <w:rPr>
          <w:spacing w:val="-5"/>
          <w:sz w:val="12"/>
        </w:rPr>
        <w:t xml:space="preserve"> </w:t>
      </w:r>
      <w:r>
        <w:rPr>
          <w:sz w:val="12"/>
        </w:rPr>
        <w:t>personas</w:t>
      </w:r>
      <w:r>
        <w:rPr>
          <w:spacing w:val="-5"/>
          <w:sz w:val="12"/>
        </w:rPr>
        <w:t xml:space="preserve"> </w:t>
      </w:r>
      <w:r>
        <w:rPr>
          <w:sz w:val="12"/>
        </w:rPr>
        <w:t>LGBTI</w:t>
      </w:r>
      <w:r>
        <w:rPr>
          <w:spacing w:val="-5"/>
          <w:sz w:val="12"/>
        </w:rPr>
        <w:t xml:space="preserve"> </w:t>
      </w:r>
      <w:r>
        <w:rPr>
          <w:sz w:val="12"/>
        </w:rPr>
        <w:t>en</w:t>
      </w:r>
      <w:r>
        <w:rPr>
          <w:spacing w:val="-5"/>
          <w:sz w:val="12"/>
        </w:rPr>
        <w:t xml:space="preserve"> </w:t>
      </w:r>
      <w:r>
        <w:rPr>
          <w:sz w:val="12"/>
        </w:rPr>
        <w:t>el</w:t>
      </w:r>
      <w:r>
        <w:rPr>
          <w:spacing w:val="-5"/>
          <w:sz w:val="12"/>
        </w:rPr>
        <w:t xml:space="preserve"> </w:t>
      </w:r>
      <w:r>
        <w:rPr>
          <w:sz w:val="12"/>
        </w:rPr>
        <w:t>contexto</w:t>
      </w:r>
      <w:r>
        <w:rPr>
          <w:spacing w:val="-5"/>
          <w:sz w:val="12"/>
        </w:rPr>
        <w:t xml:space="preserve"> </w:t>
      </w:r>
      <w:r>
        <w:rPr>
          <w:sz w:val="12"/>
        </w:rPr>
        <w:t>educativo</w:t>
      </w:r>
      <w:r>
        <w:rPr>
          <w:spacing w:val="-5"/>
          <w:sz w:val="12"/>
        </w:rPr>
        <w:t xml:space="preserve"> </w:t>
      </w:r>
      <w:r>
        <w:rPr>
          <w:sz w:val="12"/>
        </w:rPr>
        <w:t>y</w:t>
      </w:r>
      <w:r>
        <w:rPr>
          <w:spacing w:val="-5"/>
          <w:sz w:val="12"/>
        </w:rPr>
        <w:t xml:space="preserve"> </w:t>
      </w:r>
      <w:r>
        <w:rPr>
          <w:sz w:val="12"/>
        </w:rPr>
        <w:t>familiar”,</w:t>
      </w:r>
      <w:r>
        <w:rPr>
          <w:spacing w:val="-5"/>
          <w:sz w:val="12"/>
        </w:rPr>
        <w:t xml:space="preserve"> </w:t>
      </w:r>
      <w:r>
        <w:rPr>
          <w:sz w:val="12"/>
        </w:rPr>
        <w:t>22</w:t>
      </w:r>
      <w:r>
        <w:rPr>
          <w:spacing w:val="-5"/>
          <w:sz w:val="12"/>
        </w:rPr>
        <w:t xml:space="preserve"> </w:t>
      </w:r>
      <w:r>
        <w:rPr>
          <w:sz w:val="12"/>
        </w:rPr>
        <w:t>de</w:t>
      </w:r>
      <w:r>
        <w:rPr>
          <w:spacing w:val="-5"/>
          <w:sz w:val="12"/>
        </w:rPr>
        <w:t xml:space="preserve"> </w:t>
      </w:r>
      <w:r>
        <w:rPr>
          <w:sz w:val="12"/>
        </w:rPr>
        <w:t>noviembre</w:t>
      </w:r>
      <w:r>
        <w:rPr>
          <w:spacing w:val="-5"/>
          <w:sz w:val="12"/>
        </w:rPr>
        <w:t xml:space="preserve"> </w:t>
      </w:r>
      <w:r>
        <w:rPr>
          <w:sz w:val="12"/>
        </w:rPr>
        <w:t>de</w:t>
      </w:r>
      <w:r>
        <w:rPr>
          <w:spacing w:val="-5"/>
          <w:sz w:val="12"/>
        </w:rPr>
        <w:t xml:space="preserve"> </w:t>
      </w:r>
      <w:r>
        <w:rPr>
          <w:sz w:val="12"/>
        </w:rPr>
        <w:t>2013.</w:t>
      </w:r>
    </w:p>
    <w:p w14:paraId="52D66723" w14:textId="77777777" w:rsidR="0014798C" w:rsidRDefault="0014798C">
      <w:pPr>
        <w:pStyle w:val="Textoindependiente"/>
        <w:rPr>
          <w:sz w:val="19"/>
        </w:rPr>
      </w:pPr>
    </w:p>
    <w:p w14:paraId="063F844F" w14:textId="77777777" w:rsidR="0014798C" w:rsidRDefault="0014798C">
      <w:pPr>
        <w:pStyle w:val="Textoindependiente"/>
        <w:spacing w:before="164"/>
        <w:rPr>
          <w:sz w:val="19"/>
        </w:rPr>
      </w:pPr>
    </w:p>
    <w:p w14:paraId="4DC36EF7" w14:textId="77777777" w:rsidR="0014798C" w:rsidRDefault="004E1F0B">
      <w:pPr>
        <w:ind w:right="715"/>
        <w:jc w:val="right"/>
        <w:rPr>
          <w:sz w:val="19"/>
        </w:rPr>
      </w:pPr>
      <w:r>
        <w:rPr>
          <w:spacing w:val="-5"/>
          <w:sz w:val="19"/>
        </w:rPr>
        <w:t>37</w:t>
      </w:r>
    </w:p>
    <w:p w14:paraId="5D84D045" w14:textId="77777777" w:rsidR="0014798C" w:rsidRDefault="0014798C">
      <w:pPr>
        <w:jc w:val="right"/>
        <w:rPr>
          <w:sz w:val="19"/>
        </w:rPr>
        <w:sectPr w:rsidR="0014798C" w:rsidSect="00F265E4">
          <w:type w:val="continuous"/>
          <w:pgSz w:w="11900" w:h="16820"/>
          <w:pgMar w:top="40" w:right="0" w:bottom="280" w:left="200" w:header="121" w:footer="0" w:gutter="0"/>
          <w:cols w:space="720"/>
        </w:sectPr>
      </w:pPr>
    </w:p>
    <w:p w14:paraId="4B36DF67" w14:textId="77777777" w:rsidR="0014798C" w:rsidRDefault="0014798C">
      <w:pPr>
        <w:pStyle w:val="Textoindependiente"/>
        <w:spacing w:before="85"/>
        <w:rPr>
          <w:sz w:val="12"/>
        </w:rPr>
      </w:pPr>
    </w:p>
    <w:p w14:paraId="13254152" w14:textId="77777777" w:rsidR="0014798C" w:rsidRDefault="004E1F0B">
      <w:pPr>
        <w:ind w:left="1111"/>
        <w:rPr>
          <w:sz w:val="12"/>
        </w:rPr>
      </w:pPr>
      <w:r>
        <w:rPr>
          <w:color w:val="00AC59"/>
          <w:sz w:val="12"/>
        </w:rPr>
        <w:t>PROTECCIÓN</w:t>
      </w:r>
      <w:r>
        <w:rPr>
          <w:color w:val="00AC59"/>
          <w:spacing w:val="6"/>
          <w:sz w:val="12"/>
        </w:rPr>
        <w:t xml:space="preserve"> </w:t>
      </w:r>
      <w:r>
        <w:rPr>
          <w:color w:val="00AC59"/>
          <w:sz w:val="12"/>
        </w:rPr>
        <w:t>DE</w:t>
      </w:r>
      <w:r>
        <w:rPr>
          <w:color w:val="00AC59"/>
          <w:spacing w:val="7"/>
          <w:sz w:val="12"/>
        </w:rPr>
        <w:t xml:space="preserve"> </w:t>
      </w:r>
      <w:r>
        <w:rPr>
          <w:color w:val="00AC59"/>
          <w:sz w:val="12"/>
        </w:rPr>
        <w:t>LOS</w:t>
      </w:r>
      <w:r>
        <w:rPr>
          <w:color w:val="00AC59"/>
          <w:spacing w:val="8"/>
          <w:sz w:val="12"/>
        </w:rPr>
        <w:t xml:space="preserve"> </w:t>
      </w:r>
      <w:r>
        <w:rPr>
          <w:color w:val="00AC59"/>
          <w:sz w:val="12"/>
        </w:rPr>
        <w:t>DERECHOS</w:t>
      </w:r>
      <w:r>
        <w:rPr>
          <w:color w:val="00AC59"/>
          <w:spacing w:val="8"/>
          <w:sz w:val="12"/>
        </w:rPr>
        <w:t xml:space="preserve"> </w:t>
      </w:r>
      <w:r>
        <w:rPr>
          <w:color w:val="00AC59"/>
          <w:sz w:val="12"/>
        </w:rPr>
        <w:t>DE</w:t>
      </w:r>
      <w:r>
        <w:rPr>
          <w:color w:val="00AC59"/>
          <w:spacing w:val="6"/>
          <w:sz w:val="12"/>
        </w:rPr>
        <w:t xml:space="preserve"> </w:t>
      </w:r>
      <w:r>
        <w:rPr>
          <w:color w:val="00AC59"/>
          <w:sz w:val="12"/>
        </w:rPr>
        <w:t>LAS</w:t>
      </w:r>
      <w:r>
        <w:rPr>
          <w:color w:val="00AC59"/>
          <w:spacing w:val="7"/>
          <w:sz w:val="12"/>
        </w:rPr>
        <w:t xml:space="preserve"> </w:t>
      </w:r>
      <w:r>
        <w:rPr>
          <w:color w:val="00AC59"/>
          <w:sz w:val="12"/>
        </w:rPr>
        <w:t>MINORÍAS:</w:t>
      </w:r>
      <w:r>
        <w:rPr>
          <w:color w:val="00AC59"/>
          <w:spacing w:val="8"/>
          <w:sz w:val="12"/>
        </w:rPr>
        <w:t xml:space="preserve"> </w:t>
      </w:r>
      <w:r>
        <w:rPr>
          <w:color w:val="00AC59"/>
          <w:sz w:val="12"/>
        </w:rPr>
        <w:t>una</w:t>
      </w:r>
      <w:r>
        <w:rPr>
          <w:color w:val="00AC59"/>
          <w:spacing w:val="7"/>
          <w:sz w:val="12"/>
        </w:rPr>
        <w:t xml:space="preserve"> </w:t>
      </w:r>
      <w:r>
        <w:rPr>
          <w:color w:val="00AC59"/>
          <w:sz w:val="12"/>
        </w:rPr>
        <w:t>guía</w:t>
      </w:r>
      <w:r>
        <w:rPr>
          <w:color w:val="00AC59"/>
          <w:spacing w:val="6"/>
          <w:sz w:val="12"/>
        </w:rPr>
        <w:t xml:space="preserve"> </w:t>
      </w:r>
      <w:r>
        <w:rPr>
          <w:color w:val="00AC59"/>
          <w:sz w:val="12"/>
        </w:rPr>
        <w:t>práctica</w:t>
      </w:r>
      <w:r>
        <w:rPr>
          <w:color w:val="00AC59"/>
          <w:spacing w:val="7"/>
          <w:sz w:val="12"/>
        </w:rPr>
        <w:t xml:space="preserve"> </w:t>
      </w:r>
      <w:r>
        <w:rPr>
          <w:color w:val="00AC59"/>
          <w:sz w:val="12"/>
        </w:rPr>
        <w:t>para</w:t>
      </w:r>
      <w:r>
        <w:rPr>
          <w:color w:val="00AC59"/>
          <w:spacing w:val="8"/>
          <w:sz w:val="12"/>
        </w:rPr>
        <w:t xml:space="preserve"> </w:t>
      </w:r>
      <w:r>
        <w:rPr>
          <w:color w:val="00AC59"/>
          <w:sz w:val="12"/>
        </w:rPr>
        <w:t>desarrollar</w:t>
      </w:r>
      <w:r>
        <w:rPr>
          <w:color w:val="00AC59"/>
          <w:spacing w:val="6"/>
          <w:sz w:val="12"/>
        </w:rPr>
        <w:t xml:space="preserve"> </w:t>
      </w:r>
      <w:r>
        <w:rPr>
          <w:color w:val="00AC59"/>
          <w:sz w:val="12"/>
        </w:rPr>
        <w:t>una</w:t>
      </w:r>
      <w:r>
        <w:rPr>
          <w:color w:val="00AC59"/>
          <w:spacing w:val="7"/>
          <w:sz w:val="12"/>
        </w:rPr>
        <w:t xml:space="preserve"> </w:t>
      </w:r>
      <w:r>
        <w:rPr>
          <w:color w:val="00AC59"/>
          <w:sz w:val="12"/>
        </w:rPr>
        <w:t>legislación</w:t>
      </w:r>
      <w:r>
        <w:rPr>
          <w:color w:val="00AC59"/>
          <w:spacing w:val="8"/>
          <w:sz w:val="12"/>
        </w:rPr>
        <w:t xml:space="preserve"> </w:t>
      </w:r>
      <w:r>
        <w:rPr>
          <w:color w:val="00AC59"/>
          <w:sz w:val="12"/>
        </w:rPr>
        <w:t>integral</w:t>
      </w:r>
      <w:r>
        <w:rPr>
          <w:color w:val="00AC59"/>
          <w:spacing w:val="7"/>
          <w:sz w:val="12"/>
        </w:rPr>
        <w:t xml:space="preserve"> </w:t>
      </w:r>
      <w:r>
        <w:rPr>
          <w:color w:val="00AC59"/>
          <w:sz w:val="12"/>
        </w:rPr>
        <w:t>contra</w:t>
      </w:r>
      <w:r>
        <w:rPr>
          <w:color w:val="00AC59"/>
          <w:spacing w:val="6"/>
          <w:sz w:val="12"/>
        </w:rPr>
        <w:t xml:space="preserve"> </w:t>
      </w:r>
      <w:r>
        <w:rPr>
          <w:color w:val="00AC59"/>
          <w:sz w:val="12"/>
        </w:rPr>
        <w:t>la</w:t>
      </w:r>
      <w:r>
        <w:rPr>
          <w:color w:val="00AC59"/>
          <w:spacing w:val="7"/>
          <w:sz w:val="12"/>
        </w:rPr>
        <w:t xml:space="preserve"> </w:t>
      </w:r>
      <w:r>
        <w:rPr>
          <w:color w:val="00AC59"/>
          <w:spacing w:val="-2"/>
          <w:sz w:val="12"/>
        </w:rPr>
        <w:t>discriminación</w:t>
      </w:r>
    </w:p>
    <w:p w14:paraId="1747A488" w14:textId="77777777" w:rsidR="0014798C" w:rsidRDefault="0014798C">
      <w:pPr>
        <w:pStyle w:val="Textoindependiente"/>
      </w:pPr>
    </w:p>
    <w:p w14:paraId="327FC2A9" w14:textId="77777777" w:rsidR="0014798C" w:rsidRDefault="0014798C">
      <w:pPr>
        <w:pStyle w:val="Textoindependiente"/>
      </w:pPr>
    </w:p>
    <w:p w14:paraId="6A5B8B48" w14:textId="77777777" w:rsidR="0014798C" w:rsidRDefault="0014798C">
      <w:pPr>
        <w:pStyle w:val="Textoindependiente"/>
      </w:pPr>
    </w:p>
    <w:p w14:paraId="54FB4AB5" w14:textId="77777777" w:rsidR="0014798C" w:rsidRDefault="0014798C">
      <w:pPr>
        <w:pStyle w:val="Textoindependiente"/>
      </w:pPr>
    </w:p>
    <w:p w14:paraId="476DDDC4" w14:textId="77777777" w:rsidR="0014798C" w:rsidRDefault="0014798C">
      <w:pPr>
        <w:pStyle w:val="Textoindependiente"/>
        <w:spacing w:before="73"/>
      </w:pPr>
    </w:p>
    <w:p w14:paraId="5CE18424" w14:textId="77777777" w:rsidR="0014798C" w:rsidRDefault="004E1F0B">
      <w:pPr>
        <w:pStyle w:val="Textoindependiente"/>
        <w:spacing w:line="326" w:lineRule="auto"/>
        <w:ind w:left="1109" w:right="1463" w:firstLine="2"/>
      </w:pPr>
      <w:r>
        <w:t>orientación, discapacidad u otra condición”. 270 La Comisión ha instado además a los Estados a “promulgar y hacer cumplir leyes e introducir medidas de implementación” para abordar las formas de acoso en el lugar de trabajo.271</w:t>
      </w:r>
    </w:p>
    <w:p w14:paraId="52972E0C" w14:textId="77777777" w:rsidR="0014798C" w:rsidRDefault="0014798C">
      <w:pPr>
        <w:pStyle w:val="Textoindependiente"/>
      </w:pPr>
    </w:p>
    <w:p w14:paraId="0CCE5B74" w14:textId="77777777" w:rsidR="0014798C" w:rsidRDefault="0014798C">
      <w:pPr>
        <w:pStyle w:val="Textoindependiente"/>
        <w:spacing w:before="100"/>
      </w:pPr>
    </w:p>
    <w:p w14:paraId="6397237E" w14:textId="77777777" w:rsidR="0014798C" w:rsidRDefault="004E1F0B">
      <w:pPr>
        <w:pStyle w:val="Textoindependiente"/>
        <w:spacing w:before="1" w:line="331" w:lineRule="auto"/>
        <w:ind w:left="1342" w:right="3645" w:hanging="14"/>
      </w:pPr>
      <w:r>
        <w:rPr>
          <w:noProof/>
        </w:rPr>
        <w:drawing>
          <wp:anchor distT="0" distB="0" distL="0" distR="0" simplePos="0" relativeHeight="251658387" behindDoc="1" locked="0" layoutInCell="1" allowOverlap="1" wp14:anchorId="646FADC5" wp14:editId="2B6A533B">
            <wp:simplePos x="0" y="0"/>
            <wp:positionH relativeFrom="page">
              <wp:posOffset>790692</wp:posOffset>
            </wp:positionH>
            <wp:positionV relativeFrom="paragraph">
              <wp:posOffset>-196747</wp:posOffset>
            </wp:positionV>
            <wp:extent cx="5970623" cy="6870336"/>
            <wp:effectExtent l="0" t="0" r="0" b="0"/>
            <wp:wrapNone/>
            <wp:docPr id="120" name="Image 12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20" name="Image 120"/>
                    <pic:cNvPicPr/>
                  </pic:nvPicPr>
                  <pic:blipFill>
                    <a:blip r:embed="rId118" cstate="print"/>
                    <a:stretch>
                      <a:fillRect/>
                    </a:stretch>
                  </pic:blipFill>
                  <pic:spPr>
                    <a:xfrm>
                      <a:off x="0" y="0"/>
                      <a:ext cx="5970623" cy="6870336"/>
                    </a:xfrm>
                    <a:prstGeom prst="rect">
                      <a:avLst/>
                    </a:prstGeom>
                  </pic:spPr>
                </pic:pic>
              </a:graphicData>
            </a:graphic>
          </wp:anchor>
        </w:drawing>
      </w:r>
      <w:r>
        <w:t xml:space="preserve">ARMENIA: ACOSO EN TIERRA SEGÚN EL PROYECTO DE LEY PARA GARANTIZAR </w:t>
      </w:r>
      <w:r>
        <w:rPr>
          <w:spacing w:val="-2"/>
        </w:rPr>
        <w:t>IGUALDAD</w:t>
      </w:r>
    </w:p>
    <w:p w14:paraId="38397503" w14:textId="77777777" w:rsidR="0014798C" w:rsidRDefault="004E1F0B">
      <w:pPr>
        <w:pStyle w:val="Textoindependiente"/>
        <w:spacing w:before="145" w:line="326" w:lineRule="auto"/>
        <w:ind w:left="1334" w:right="1590" w:hanging="2"/>
      </w:pPr>
      <w:r>
        <w:t>El artículo 5 (1) (6) del proyecto de Ley de Armenia sobre la garantía de la igualdad define el acoso como: “el trato no deseado contra una persona por razón de una o más características protegidas o en asociación con ellas, con el efecto o propósito de crear un ambiente hostil”. ambiente hostil, ofensivo, humillante o negativo para esa persona”.</w:t>
      </w:r>
    </w:p>
    <w:p w14:paraId="0F4ABE92" w14:textId="77777777" w:rsidR="0014798C" w:rsidRDefault="0014798C">
      <w:pPr>
        <w:pStyle w:val="Textoindependiente"/>
        <w:rPr>
          <w:sz w:val="14"/>
        </w:rPr>
      </w:pPr>
    </w:p>
    <w:p w14:paraId="417DAFA5" w14:textId="77777777" w:rsidR="0014798C" w:rsidRDefault="0014798C">
      <w:pPr>
        <w:pStyle w:val="Textoindependiente"/>
        <w:rPr>
          <w:sz w:val="14"/>
        </w:rPr>
      </w:pPr>
    </w:p>
    <w:p w14:paraId="0DC82729" w14:textId="77777777" w:rsidR="0014798C" w:rsidRDefault="0014798C">
      <w:pPr>
        <w:pStyle w:val="Textoindependiente"/>
        <w:rPr>
          <w:sz w:val="14"/>
        </w:rPr>
      </w:pPr>
    </w:p>
    <w:p w14:paraId="5292F7AE" w14:textId="77777777" w:rsidR="0014798C" w:rsidRDefault="0014798C">
      <w:pPr>
        <w:pStyle w:val="Textoindependiente"/>
        <w:rPr>
          <w:sz w:val="14"/>
        </w:rPr>
      </w:pPr>
    </w:p>
    <w:p w14:paraId="6B34B95B" w14:textId="77777777" w:rsidR="0014798C" w:rsidRDefault="0014798C">
      <w:pPr>
        <w:pStyle w:val="Textoindependiente"/>
        <w:rPr>
          <w:sz w:val="14"/>
        </w:rPr>
      </w:pPr>
    </w:p>
    <w:p w14:paraId="60B7CE85" w14:textId="77777777" w:rsidR="0014798C" w:rsidRDefault="0014798C">
      <w:pPr>
        <w:pStyle w:val="Textoindependiente"/>
        <w:spacing w:before="133"/>
        <w:rPr>
          <w:sz w:val="14"/>
        </w:rPr>
      </w:pPr>
    </w:p>
    <w:p w14:paraId="067AA4E7" w14:textId="77777777" w:rsidR="0014798C" w:rsidRDefault="004E1F0B">
      <w:pPr>
        <w:spacing w:line="436" w:lineRule="auto"/>
        <w:ind w:left="1342" w:right="1626"/>
        <w:rPr>
          <w:sz w:val="14"/>
        </w:rPr>
      </w:pPr>
      <w:r>
        <w:rPr>
          <w:sz w:val="14"/>
        </w:rPr>
        <w:t>ACOSO EN VIRTUD DEL CONVENIO DE LA ORGANIZACIÓN INTERNACIONAL DEL TRABAJO SOBRE LA VIOLENCIA Y EL ACOSO,</w:t>
      </w:r>
      <w:r>
        <w:rPr>
          <w:spacing w:val="40"/>
          <w:sz w:val="14"/>
        </w:rPr>
        <w:t xml:space="preserve"> </w:t>
      </w:r>
      <w:r>
        <w:rPr>
          <w:sz w:val="14"/>
        </w:rPr>
        <w:t>2019 (NÚM. 190)</w:t>
      </w:r>
    </w:p>
    <w:p w14:paraId="2A14EA91" w14:textId="77777777" w:rsidR="0014798C" w:rsidRDefault="004E1F0B">
      <w:pPr>
        <w:pStyle w:val="Textoindependiente"/>
        <w:spacing w:before="49" w:line="326" w:lineRule="auto"/>
        <w:ind w:left="1329" w:right="1552" w:firstLine="2"/>
      </w:pPr>
      <w:r>
        <w:t>En 2019, la OIT adoptó el Convenio sobre la violencia y el acoso, 2019 (núm. 190). Según el artículo 1 (1) de la</w:t>
      </w:r>
      <w:r>
        <w:rPr>
          <w:spacing w:val="40"/>
        </w:rPr>
        <w:t xml:space="preserve"> </w:t>
      </w:r>
      <w:r>
        <w:t>Convención,</w:t>
      </w:r>
      <w:r>
        <w:rPr>
          <w:spacing w:val="11"/>
        </w:rPr>
        <w:t xml:space="preserve"> </w:t>
      </w:r>
      <w:r>
        <w:t>el</w:t>
      </w:r>
      <w:r>
        <w:rPr>
          <w:spacing w:val="10"/>
        </w:rPr>
        <w:t xml:space="preserve"> </w:t>
      </w:r>
      <w:r>
        <w:t>término</w:t>
      </w:r>
      <w:r>
        <w:rPr>
          <w:spacing w:val="10"/>
        </w:rPr>
        <w:t xml:space="preserve"> </w:t>
      </w:r>
      <w:r>
        <w:t>“violencia</w:t>
      </w:r>
      <w:r>
        <w:rPr>
          <w:spacing w:val="10"/>
        </w:rPr>
        <w:t xml:space="preserve"> </w:t>
      </w:r>
      <w:r>
        <w:t>y</w:t>
      </w:r>
      <w:r>
        <w:rPr>
          <w:spacing w:val="10"/>
        </w:rPr>
        <w:t xml:space="preserve"> </w:t>
      </w:r>
      <w:r>
        <w:t>acoso”</w:t>
      </w:r>
      <w:r>
        <w:rPr>
          <w:spacing w:val="10"/>
        </w:rPr>
        <w:t xml:space="preserve"> </w:t>
      </w:r>
      <w:r>
        <w:t>se</w:t>
      </w:r>
      <w:r>
        <w:rPr>
          <w:spacing w:val="10"/>
        </w:rPr>
        <w:t xml:space="preserve"> </w:t>
      </w:r>
      <w:r>
        <w:t>define</w:t>
      </w:r>
      <w:r>
        <w:rPr>
          <w:spacing w:val="10"/>
        </w:rPr>
        <w:t xml:space="preserve"> </w:t>
      </w:r>
      <w:r>
        <w:t>para</w:t>
      </w:r>
      <w:r>
        <w:rPr>
          <w:spacing w:val="10"/>
        </w:rPr>
        <w:t xml:space="preserve"> </w:t>
      </w:r>
      <w:r>
        <w:t>incluir</w:t>
      </w:r>
      <w:r>
        <w:rPr>
          <w:spacing w:val="10"/>
        </w:rPr>
        <w:t xml:space="preserve"> </w:t>
      </w:r>
      <w:r>
        <w:t>“una</w:t>
      </w:r>
      <w:r>
        <w:rPr>
          <w:spacing w:val="10"/>
        </w:rPr>
        <w:t xml:space="preserve"> </w:t>
      </w:r>
      <w:r>
        <w:t>gama</w:t>
      </w:r>
      <w:r>
        <w:rPr>
          <w:spacing w:val="10"/>
        </w:rPr>
        <w:t xml:space="preserve"> </w:t>
      </w:r>
      <w:r>
        <w:t>de</w:t>
      </w:r>
      <w:r>
        <w:rPr>
          <w:spacing w:val="10"/>
        </w:rPr>
        <w:t xml:space="preserve"> </w:t>
      </w:r>
      <w:r>
        <w:t>comportamientos</w:t>
      </w:r>
      <w:r>
        <w:rPr>
          <w:spacing w:val="10"/>
        </w:rPr>
        <w:t xml:space="preserve"> </w:t>
      </w:r>
      <w:r>
        <w:t>y</w:t>
      </w:r>
      <w:r>
        <w:rPr>
          <w:spacing w:val="10"/>
        </w:rPr>
        <w:t xml:space="preserve"> </w:t>
      </w:r>
      <w:r>
        <w:t>prácticas</w:t>
      </w:r>
      <w:r>
        <w:rPr>
          <w:spacing w:val="10"/>
        </w:rPr>
        <w:t xml:space="preserve"> </w:t>
      </w:r>
      <w:r>
        <w:t>inaceptables, o</w:t>
      </w:r>
      <w:r>
        <w:rPr>
          <w:spacing w:val="13"/>
        </w:rPr>
        <w:t xml:space="preserve"> </w:t>
      </w:r>
      <w:r>
        <w:t>amenazas</w:t>
      </w:r>
      <w:r>
        <w:rPr>
          <w:spacing w:val="13"/>
        </w:rPr>
        <w:t xml:space="preserve"> </w:t>
      </w:r>
      <w:r>
        <w:t>de</w:t>
      </w:r>
      <w:r>
        <w:rPr>
          <w:spacing w:val="13"/>
        </w:rPr>
        <w:t xml:space="preserve"> </w:t>
      </w:r>
      <w:r>
        <w:t>cometerlos,</w:t>
      </w:r>
      <w:r>
        <w:rPr>
          <w:spacing w:val="15"/>
        </w:rPr>
        <w:t xml:space="preserve"> </w:t>
      </w:r>
      <w:r>
        <w:t>ya</w:t>
      </w:r>
      <w:r>
        <w:rPr>
          <w:spacing w:val="13"/>
        </w:rPr>
        <w:t xml:space="preserve"> </w:t>
      </w:r>
      <w:r>
        <w:t>sean</w:t>
      </w:r>
      <w:r>
        <w:rPr>
          <w:spacing w:val="13"/>
        </w:rPr>
        <w:t xml:space="preserve"> </w:t>
      </w:r>
      <w:r>
        <w:t>una</w:t>
      </w:r>
      <w:r>
        <w:rPr>
          <w:spacing w:val="13"/>
        </w:rPr>
        <w:t xml:space="preserve"> </w:t>
      </w:r>
      <w:r>
        <w:t>sola</w:t>
      </w:r>
      <w:r>
        <w:rPr>
          <w:spacing w:val="13"/>
        </w:rPr>
        <w:t xml:space="preserve"> </w:t>
      </w:r>
      <w:r>
        <w:t>ocurrencia</w:t>
      </w:r>
      <w:r>
        <w:rPr>
          <w:spacing w:val="13"/>
        </w:rPr>
        <w:t xml:space="preserve"> </w:t>
      </w:r>
      <w:r>
        <w:t>o</w:t>
      </w:r>
      <w:r>
        <w:rPr>
          <w:spacing w:val="13"/>
        </w:rPr>
        <w:t xml:space="preserve"> </w:t>
      </w:r>
      <w:r>
        <w:t>repetidas,</w:t>
      </w:r>
      <w:r>
        <w:rPr>
          <w:spacing w:val="15"/>
        </w:rPr>
        <w:t xml:space="preserve"> </w:t>
      </w:r>
      <w:r>
        <w:t>que</w:t>
      </w:r>
      <w:r>
        <w:rPr>
          <w:spacing w:val="13"/>
        </w:rPr>
        <w:t xml:space="preserve"> </w:t>
      </w:r>
      <w:r>
        <w:t>tengan</w:t>
      </w:r>
      <w:r>
        <w:rPr>
          <w:spacing w:val="13"/>
        </w:rPr>
        <w:t xml:space="preserve"> </w:t>
      </w:r>
      <w:r>
        <w:t>como</w:t>
      </w:r>
      <w:r>
        <w:rPr>
          <w:spacing w:val="13"/>
        </w:rPr>
        <w:t xml:space="preserve"> </w:t>
      </w:r>
      <w:r>
        <w:t>objetivo,</w:t>
      </w:r>
      <w:r>
        <w:rPr>
          <w:spacing w:val="15"/>
        </w:rPr>
        <w:t xml:space="preserve"> </w:t>
      </w:r>
      <w:r>
        <w:t>resulten</w:t>
      </w:r>
      <w:r>
        <w:rPr>
          <w:spacing w:val="13"/>
        </w:rPr>
        <w:t xml:space="preserve"> </w:t>
      </w:r>
      <w:r>
        <w:t>o</w:t>
      </w:r>
      <w:r>
        <w:rPr>
          <w:spacing w:val="13"/>
        </w:rPr>
        <w:t xml:space="preserve"> </w:t>
      </w:r>
      <w:r>
        <w:t>sean</w:t>
      </w:r>
      <w:r>
        <w:rPr>
          <w:spacing w:val="13"/>
        </w:rPr>
        <w:t xml:space="preserve"> </w:t>
      </w:r>
      <w:r>
        <w:t>que pueda resultar en daño físico,</w:t>
      </w:r>
      <w:r>
        <w:rPr>
          <w:spacing w:val="15"/>
        </w:rPr>
        <w:t xml:space="preserve"> </w:t>
      </w:r>
      <w:r>
        <w:t>psicológico,</w:t>
      </w:r>
      <w:r>
        <w:rPr>
          <w:spacing w:val="17"/>
        </w:rPr>
        <w:t xml:space="preserve"> </w:t>
      </w:r>
      <w:r>
        <w:t>sexual o económico”.</w:t>
      </w:r>
      <w:r>
        <w:rPr>
          <w:spacing w:val="15"/>
        </w:rPr>
        <w:t xml:space="preserve"> </w:t>
      </w:r>
      <w:r>
        <w:t>Si bien es notable que esta definición establezca un</w:t>
      </w:r>
      <w:r>
        <w:rPr>
          <w:spacing w:val="40"/>
        </w:rPr>
        <w:t xml:space="preserve"> </w:t>
      </w:r>
      <w:r>
        <w:t>umbral de acoso más alto que el utilizado por los órganos creados en virtud de tratados, constituye, no obstante, un</w:t>
      </w:r>
    </w:p>
    <w:p w14:paraId="7F777C70" w14:textId="77777777" w:rsidR="0014798C" w:rsidRDefault="004E1F0B">
      <w:pPr>
        <w:pStyle w:val="Textoindependiente"/>
        <w:spacing w:line="271" w:lineRule="auto"/>
        <w:ind w:left="1335" w:right="2004" w:hanging="2"/>
      </w:pPr>
      <w:r>
        <w:t>bienvenido fortalecimiento de las normas por parte de la OIT. También es notable que la definición incluya formas de acoso sexual y acoso sexual.272</w:t>
      </w:r>
    </w:p>
    <w:p w14:paraId="25EDC4A2" w14:textId="77777777" w:rsidR="0014798C" w:rsidRDefault="0014798C">
      <w:pPr>
        <w:pStyle w:val="Textoindependiente"/>
        <w:spacing w:before="10"/>
      </w:pPr>
    </w:p>
    <w:p w14:paraId="2D9D3CB7" w14:textId="77777777" w:rsidR="0014798C" w:rsidRDefault="004E1F0B">
      <w:pPr>
        <w:pStyle w:val="Textoindependiente"/>
        <w:spacing w:line="326" w:lineRule="auto"/>
        <w:ind w:left="1334" w:right="1463" w:hanging="1"/>
      </w:pPr>
      <w:r>
        <w:t>Según</w:t>
      </w:r>
      <w:r>
        <w:rPr>
          <w:spacing w:val="15"/>
        </w:rPr>
        <w:t xml:space="preserve"> </w:t>
      </w:r>
      <w:r>
        <w:t>el</w:t>
      </w:r>
      <w:r>
        <w:rPr>
          <w:spacing w:val="15"/>
        </w:rPr>
        <w:t xml:space="preserve"> </w:t>
      </w:r>
      <w:r>
        <w:t>artículo</w:t>
      </w:r>
      <w:r>
        <w:rPr>
          <w:spacing w:val="15"/>
        </w:rPr>
        <w:t xml:space="preserve"> </w:t>
      </w:r>
      <w:r>
        <w:t>6</w:t>
      </w:r>
      <w:r>
        <w:rPr>
          <w:spacing w:val="15"/>
        </w:rPr>
        <w:t xml:space="preserve"> </w:t>
      </w:r>
      <w:r>
        <w:t>de</w:t>
      </w:r>
      <w:r>
        <w:rPr>
          <w:spacing w:val="15"/>
        </w:rPr>
        <w:t xml:space="preserve"> </w:t>
      </w:r>
      <w:r>
        <w:t>la</w:t>
      </w:r>
      <w:r>
        <w:rPr>
          <w:spacing w:val="15"/>
        </w:rPr>
        <w:t xml:space="preserve"> </w:t>
      </w:r>
      <w:r>
        <w:t>Convención,</w:t>
      </w:r>
      <w:r>
        <w:rPr>
          <w:spacing w:val="17"/>
        </w:rPr>
        <w:t xml:space="preserve"> </w:t>
      </w:r>
      <w:r>
        <w:t>los</w:t>
      </w:r>
      <w:r>
        <w:rPr>
          <w:spacing w:val="15"/>
        </w:rPr>
        <w:t xml:space="preserve"> </w:t>
      </w:r>
      <w:r>
        <w:t>Estados</w:t>
      </w:r>
      <w:r>
        <w:rPr>
          <w:spacing w:val="15"/>
        </w:rPr>
        <w:t xml:space="preserve"> </w:t>
      </w:r>
      <w:r>
        <w:t>se</w:t>
      </w:r>
      <w:r>
        <w:rPr>
          <w:spacing w:val="15"/>
        </w:rPr>
        <w:t xml:space="preserve"> </w:t>
      </w:r>
      <w:r>
        <w:t>comprometen</w:t>
      </w:r>
      <w:r>
        <w:rPr>
          <w:spacing w:val="15"/>
        </w:rPr>
        <w:t xml:space="preserve"> </w:t>
      </w:r>
      <w:r>
        <w:t>a</w:t>
      </w:r>
      <w:r>
        <w:rPr>
          <w:spacing w:val="15"/>
        </w:rPr>
        <w:t xml:space="preserve"> </w:t>
      </w:r>
      <w:r>
        <w:t>“adoptar</w:t>
      </w:r>
      <w:r>
        <w:rPr>
          <w:spacing w:val="15"/>
        </w:rPr>
        <w:t xml:space="preserve"> </w:t>
      </w:r>
      <w:r>
        <w:t>leyes,</w:t>
      </w:r>
      <w:r>
        <w:rPr>
          <w:spacing w:val="17"/>
        </w:rPr>
        <w:t xml:space="preserve"> </w:t>
      </w:r>
      <w:r>
        <w:t>reglamentos</w:t>
      </w:r>
      <w:r>
        <w:rPr>
          <w:spacing w:val="15"/>
        </w:rPr>
        <w:t xml:space="preserve"> </w:t>
      </w:r>
      <w:r>
        <w:t>y</w:t>
      </w:r>
      <w:r>
        <w:rPr>
          <w:spacing w:val="15"/>
        </w:rPr>
        <w:t xml:space="preserve"> </w:t>
      </w:r>
      <w:r>
        <w:t>políticas</w:t>
      </w:r>
      <w:r>
        <w:rPr>
          <w:spacing w:val="15"/>
        </w:rPr>
        <w:t xml:space="preserve"> </w:t>
      </w:r>
      <w:r>
        <w:t>que garanticen el derecho a la igualdad y a la no discriminación en el empleo y la ocupación”, incluso para aquellas “personas pertenecientes a uno o más grupos vulnerables o en situaciones de vulnerabilidad”. que se ven desproporcionadamente afectados</w:t>
      </w:r>
      <w:r>
        <w:rPr>
          <w:spacing w:val="12"/>
        </w:rPr>
        <w:t xml:space="preserve"> </w:t>
      </w:r>
      <w:r>
        <w:t>por</w:t>
      </w:r>
      <w:r>
        <w:rPr>
          <w:spacing w:val="12"/>
        </w:rPr>
        <w:t xml:space="preserve"> </w:t>
      </w:r>
      <w:r>
        <w:t>la</w:t>
      </w:r>
      <w:r>
        <w:rPr>
          <w:spacing w:val="12"/>
        </w:rPr>
        <w:t xml:space="preserve"> </w:t>
      </w:r>
      <w:r>
        <w:t>violencia</w:t>
      </w:r>
      <w:r>
        <w:rPr>
          <w:spacing w:val="12"/>
        </w:rPr>
        <w:t xml:space="preserve"> </w:t>
      </w:r>
      <w:r>
        <w:t>y</w:t>
      </w:r>
      <w:r>
        <w:rPr>
          <w:spacing w:val="12"/>
        </w:rPr>
        <w:t xml:space="preserve"> </w:t>
      </w:r>
      <w:r>
        <w:t>el</w:t>
      </w:r>
      <w:r>
        <w:rPr>
          <w:spacing w:val="12"/>
        </w:rPr>
        <w:t xml:space="preserve"> </w:t>
      </w:r>
      <w:r>
        <w:t>acoso</w:t>
      </w:r>
      <w:r>
        <w:rPr>
          <w:spacing w:val="12"/>
        </w:rPr>
        <w:t xml:space="preserve"> </w:t>
      </w:r>
      <w:r>
        <w:t>en</w:t>
      </w:r>
      <w:r>
        <w:rPr>
          <w:spacing w:val="12"/>
        </w:rPr>
        <w:t xml:space="preserve"> </w:t>
      </w:r>
      <w:r>
        <w:t>el</w:t>
      </w:r>
      <w:r>
        <w:rPr>
          <w:spacing w:val="12"/>
        </w:rPr>
        <w:t xml:space="preserve"> </w:t>
      </w:r>
      <w:r>
        <w:t>mundo</w:t>
      </w:r>
      <w:r>
        <w:rPr>
          <w:spacing w:val="12"/>
        </w:rPr>
        <w:t xml:space="preserve"> </w:t>
      </w:r>
      <w:r>
        <w:t>del</w:t>
      </w:r>
      <w:r>
        <w:rPr>
          <w:spacing w:val="12"/>
        </w:rPr>
        <w:t xml:space="preserve"> </w:t>
      </w:r>
      <w:r>
        <w:t>trabajo”.</w:t>
      </w:r>
      <w:r>
        <w:rPr>
          <w:spacing w:val="14"/>
        </w:rPr>
        <w:t xml:space="preserve"> </w:t>
      </w:r>
      <w:r>
        <w:t>En</w:t>
      </w:r>
      <w:r>
        <w:rPr>
          <w:spacing w:val="12"/>
        </w:rPr>
        <w:t xml:space="preserve"> </w:t>
      </w:r>
      <w:r>
        <w:t>virtud</w:t>
      </w:r>
      <w:r>
        <w:rPr>
          <w:spacing w:val="12"/>
        </w:rPr>
        <w:t xml:space="preserve"> </w:t>
      </w:r>
      <w:r>
        <w:t>del</w:t>
      </w:r>
      <w:r>
        <w:rPr>
          <w:spacing w:val="12"/>
        </w:rPr>
        <w:t xml:space="preserve"> </w:t>
      </w:r>
      <w:r>
        <w:t>artículo</w:t>
      </w:r>
      <w:r>
        <w:rPr>
          <w:spacing w:val="12"/>
        </w:rPr>
        <w:t xml:space="preserve"> </w:t>
      </w:r>
      <w:r>
        <w:t>7,</w:t>
      </w:r>
      <w:r>
        <w:rPr>
          <w:spacing w:val="12"/>
        </w:rPr>
        <w:t xml:space="preserve"> </w:t>
      </w:r>
      <w:r>
        <w:t>los</w:t>
      </w:r>
      <w:r>
        <w:rPr>
          <w:spacing w:val="12"/>
        </w:rPr>
        <w:t xml:space="preserve"> </w:t>
      </w:r>
      <w:r>
        <w:t>Estados</w:t>
      </w:r>
      <w:r>
        <w:rPr>
          <w:spacing w:val="12"/>
        </w:rPr>
        <w:t xml:space="preserve"> </w:t>
      </w:r>
      <w:r>
        <w:t>se</w:t>
      </w:r>
      <w:r>
        <w:rPr>
          <w:spacing w:val="12"/>
        </w:rPr>
        <w:t xml:space="preserve"> </w:t>
      </w:r>
      <w:r>
        <w:t>comprometen además a definir la violencia y el acoso en sus marcos jurídicos nacionales.</w:t>
      </w:r>
    </w:p>
    <w:p w14:paraId="042F055C" w14:textId="77777777" w:rsidR="0014798C" w:rsidRDefault="004E1F0B">
      <w:pPr>
        <w:pStyle w:val="Textoindependiente"/>
        <w:spacing w:before="111" w:line="326" w:lineRule="auto"/>
        <w:ind w:left="1337" w:right="1840"/>
      </w:pPr>
      <w:r>
        <w:t>El acoso en el terreno está frecuentemente prohibido en el ámbito laboral. Por ejemplo, el artículo 7 (5) de la Ley de Empleo y Relaciones Laborales de 2004 de la República Unida de Tanzania establece que: “El acoso de un empleado será una forma de discriminación y estará prohibido contra cualquier persona o combinación de ellas. los motivos previstos en el inciso (4)”.</w:t>
      </w:r>
    </w:p>
    <w:p w14:paraId="1AED5BD6" w14:textId="77777777" w:rsidR="0014798C" w:rsidRDefault="004E1F0B">
      <w:pPr>
        <w:pStyle w:val="Textoindependiente"/>
        <w:spacing w:before="91" w:line="326" w:lineRule="auto"/>
        <w:ind w:left="1337" w:right="1590" w:hanging="4"/>
      </w:pPr>
      <w:r>
        <w:rPr>
          <w:w w:val="105"/>
        </w:rPr>
        <w:t>Sin embargo, el alcance material de la prohibición de la discriminación en el derecho internacional se extiende más allá del sector laboral para incluir todas las áreas de la vida reguladas por la ley,273 y los órganos creados en virtud de</w:t>
      </w:r>
      <w:r>
        <w:rPr>
          <w:spacing w:val="-1"/>
          <w:w w:val="105"/>
        </w:rPr>
        <w:t xml:space="preserve"> </w:t>
      </w:r>
      <w:r>
        <w:rPr>
          <w:w w:val="105"/>
        </w:rPr>
        <w:t>tratados</w:t>
      </w:r>
      <w:r>
        <w:rPr>
          <w:spacing w:val="-2"/>
          <w:w w:val="105"/>
        </w:rPr>
        <w:t xml:space="preserve"> </w:t>
      </w:r>
      <w:r>
        <w:rPr>
          <w:w w:val="105"/>
        </w:rPr>
        <w:t>han</w:t>
      </w:r>
      <w:r>
        <w:rPr>
          <w:spacing w:val="-1"/>
          <w:w w:val="105"/>
        </w:rPr>
        <w:t xml:space="preserve"> </w:t>
      </w:r>
      <w:r>
        <w:rPr>
          <w:w w:val="105"/>
        </w:rPr>
        <w:t>reconocido</w:t>
      </w:r>
      <w:r>
        <w:rPr>
          <w:spacing w:val="-1"/>
          <w:w w:val="105"/>
        </w:rPr>
        <w:t xml:space="preserve"> </w:t>
      </w:r>
      <w:r>
        <w:rPr>
          <w:w w:val="105"/>
        </w:rPr>
        <w:t>las</w:t>
      </w:r>
      <w:r>
        <w:rPr>
          <w:spacing w:val="-2"/>
          <w:w w:val="105"/>
        </w:rPr>
        <w:t xml:space="preserve"> </w:t>
      </w:r>
      <w:r>
        <w:rPr>
          <w:w w:val="105"/>
        </w:rPr>
        <w:t>obligaciones</w:t>
      </w:r>
      <w:r>
        <w:rPr>
          <w:spacing w:val="-2"/>
          <w:w w:val="105"/>
        </w:rPr>
        <w:t xml:space="preserve"> </w:t>
      </w:r>
      <w:r>
        <w:rPr>
          <w:w w:val="105"/>
        </w:rPr>
        <w:t>de</w:t>
      </w:r>
      <w:r>
        <w:rPr>
          <w:spacing w:val="-1"/>
          <w:w w:val="105"/>
        </w:rPr>
        <w:t xml:space="preserve"> </w:t>
      </w:r>
      <w:r>
        <w:rPr>
          <w:w w:val="105"/>
        </w:rPr>
        <w:t>los</w:t>
      </w:r>
      <w:r>
        <w:rPr>
          <w:spacing w:val="-2"/>
          <w:w w:val="105"/>
        </w:rPr>
        <w:t xml:space="preserve"> </w:t>
      </w:r>
      <w:r>
        <w:rPr>
          <w:w w:val="105"/>
        </w:rPr>
        <w:t>Estados</w:t>
      </w:r>
      <w:r>
        <w:rPr>
          <w:spacing w:val="-2"/>
          <w:w w:val="105"/>
        </w:rPr>
        <w:t xml:space="preserve"> </w:t>
      </w:r>
      <w:r>
        <w:rPr>
          <w:w w:val="105"/>
        </w:rPr>
        <w:t>de</w:t>
      </w:r>
      <w:r>
        <w:rPr>
          <w:spacing w:val="-1"/>
          <w:w w:val="105"/>
        </w:rPr>
        <w:t xml:space="preserve"> </w:t>
      </w:r>
      <w:r>
        <w:rPr>
          <w:w w:val="105"/>
        </w:rPr>
        <w:t>prohibir</w:t>
      </w:r>
      <w:r>
        <w:rPr>
          <w:spacing w:val="-2"/>
          <w:w w:val="105"/>
        </w:rPr>
        <w:t xml:space="preserve"> </w:t>
      </w:r>
      <w:r>
        <w:rPr>
          <w:w w:val="105"/>
        </w:rPr>
        <w:t>el</w:t>
      </w:r>
      <w:r>
        <w:rPr>
          <w:spacing w:val="-1"/>
          <w:w w:val="105"/>
        </w:rPr>
        <w:t xml:space="preserve"> </w:t>
      </w:r>
      <w:r>
        <w:rPr>
          <w:w w:val="105"/>
        </w:rPr>
        <w:t>acoso</w:t>
      </w:r>
      <w:r>
        <w:rPr>
          <w:spacing w:val="-1"/>
          <w:w w:val="105"/>
        </w:rPr>
        <w:t xml:space="preserve"> </w:t>
      </w:r>
      <w:r>
        <w:rPr>
          <w:w w:val="105"/>
        </w:rPr>
        <w:t>en</w:t>
      </w:r>
      <w:r>
        <w:rPr>
          <w:spacing w:val="-1"/>
          <w:w w:val="105"/>
        </w:rPr>
        <w:t xml:space="preserve"> </w:t>
      </w:r>
      <w:r>
        <w:rPr>
          <w:w w:val="105"/>
        </w:rPr>
        <w:t>diversas</w:t>
      </w:r>
      <w:r>
        <w:rPr>
          <w:spacing w:val="-2"/>
          <w:w w:val="105"/>
        </w:rPr>
        <w:t xml:space="preserve"> </w:t>
      </w:r>
      <w:r>
        <w:rPr>
          <w:w w:val="105"/>
        </w:rPr>
        <w:t>áreas</w:t>
      </w:r>
      <w:r>
        <w:rPr>
          <w:spacing w:val="-2"/>
          <w:w w:val="105"/>
        </w:rPr>
        <w:t xml:space="preserve"> </w:t>
      </w:r>
      <w:r>
        <w:rPr>
          <w:w w:val="105"/>
        </w:rPr>
        <w:t>de</w:t>
      </w:r>
      <w:r>
        <w:rPr>
          <w:spacing w:val="-1"/>
          <w:w w:val="105"/>
        </w:rPr>
        <w:t xml:space="preserve"> </w:t>
      </w:r>
      <w:r>
        <w:rPr>
          <w:w w:val="105"/>
        </w:rPr>
        <w:t>la</w:t>
      </w:r>
      <w:r>
        <w:rPr>
          <w:spacing w:val="-1"/>
          <w:w w:val="105"/>
        </w:rPr>
        <w:t xml:space="preserve"> </w:t>
      </w:r>
      <w:r>
        <w:rPr>
          <w:w w:val="105"/>
        </w:rPr>
        <w:t>vida,</w:t>
      </w:r>
      <w:r>
        <w:rPr>
          <w:spacing w:val="-1"/>
          <w:w w:val="105"/>
        </w:rPr>
        <w:t xml:space="preserve"> </w:t>
      </w:r>
      <w:r>
        <w:rPr>
          <w:w w:val="105"/>
        </w:rPr>
        <w:t>como</w:t>
      </w:r>
      <w:r>
        <w:rPr>
          <w:spacing w:val="-1"/>
          <w:w w:val="105"/>
        </w:rPr>
        <w:t xml:space="preserve"> </w:t>
      </w:r>
      <w:r>
        <w:rPr>
          <w:w w:val="105"/>
        </w:rPr>
        <w:t>la educación274</w:t>
      </w:r>
      <w:r>
        <w:rPr>
          <w:spacing w:val="-4"/>
          <w:w w:val="105"/>
        </w:rPr>
        <w:t xml:space="preserve"> </w:t>
      </w:r>
      <w:r>
        <w:rPr>
          <w:w w:val="105"/>
        </w:rPr>
        <w:t>y</w:t>
      </w:r>
      <w:r>
        <w:rPr>
          <w:spacing w:val="-4"/>
          <w:w w:val="105"/>
        </w:rPr>
        <w:t xml:space="preserve"> </w:t>
      </w:r>
      <w:r>
        <w:rPr>
          <w:w w:val="105"/>
        </w:rPr>
        <w:t>atención</w:t>
      </w:r>
      <w:r>
        <w:rPr>
          <w:spacing w:val="-5"/>
          <w:w w:val="105"/>
        </w:rPr>
        <w:t xml:space="preserve"> </w:t>
      </w:r>
      <w:r>
        <w:rPr>
          <w:w w:val="105"/>
        </w:rPr>
        <w:t>médica.275</w:t>
      </w:r>
      <w:r>
        <w:rPr>
          <w:spacing w:val="-5"/>
          <w:w w:val="105"/>
        </w:rPr>
        <w:t xml:space="preserve"> </w:t>
      </w:r>
      <w:r>
        <w:rPr>
          <w:w w:val="105"/>
        </w:rPr>
        <w:t>La</w:t>
      </w:r>
      <w:r>
        <w:rPr>
          <w:spacing w:val="-4"/>
          <w:w w:val="105"/>
        </w:rPr>
        <w:t xml:space="preserve"> </w:t>
      </w:r>
      <w:r>
        <w:rPr>
          <w:w w:val="105"/>
        </w:rPr>
        <w:t>Comisión</w:t>
      </w:r>
      <w:r>
        <w:rPr>
          <w:spacing w:val="-4"/>
          <w:w w:val="105"/>
        </w:rPr>
        <w:t xml:space="preserve"> </w:t>
      </w:r>
      <w:r>
        <w:rPr>
          <w:w w:val="105"/>
        </w:rPr>
        <w:t>de</w:t>
      </w:r>
      <w:r>
        <w:rPr>
          <w:spacing w:val="-4"/>
          <w:w w:val="105"/>
        </w:rPr>
        <w:t xml:space="preserve"> </w:t>
      </w:r>
      <w:r>
        <w:rPr>
          <w:w w:val="105"/>
        </w:rPr>
        <w:t>Expertos</w:t>
      </w:r>
      <w:r>
        <w:rPr>
          <w:spacing w:val="-5"/>
          <w:w w:val="105"/>
        </w:rPr>
        <w:t xml:space="preserve"> </w:t>
      </w:r>
      <w:r>
        <w:rPr>
          <w:w w:val="105"/>
        </w:rPr>
        <w:t>en</w:t>
      </w:r>
      <w:r>
        <w:rPr>
          <w:spacing w:val="-4"/>
          <w:w w:val="105"/>
        </w:rPr>
        <w:t xml:space="preserve"> </w:t>
      </w:r>
      <w:r>
        <w:rPr>
          <w:w w:val="105"/>
        </w:rPr>
        <w:t>Aplicación</w:t>
      </w:r>
      <w:r>
        <w:rPr>
          <w:spacing w:val="-5"/>
          <w:w w:val="105"/>
        </w:rPr>
        <w:t xml:space="preserve"> </w:t>
      </w:r>
      <w:r>
        <w:rPr>
          <w:w w:val="105"/>
        </w:rPr>
        <w:t>de</w:t>
      </w:r>
      <w:r>
        <w:rPr>
          <w:spacing w:val="-4"/>
          <w:w w:val="105"/>
        </w:rPr>
        <w:t xml:space="preserve"> </w:t>
      </w:r>
      <w:r>
        <w:rPr>
          <w:w w:val="105"/>
        </w:rPr>
        <w:t>Convenios</w:t>
      </w:r>
      <w:r>
        <w:rPr>
          <w:spacing w:val="-5"/>
          <w:w w:val="105"/>
        </w:rPr>
        <w:t xml:space="preserve"> </w:t>
      </w:r>
      <w:r>
        <w:rPr>
          <w:w w:val="105"/>
        </w:rPr>
        <w:t>y</w:t>
      </w:r>
      <w:r>
        <w:rPr>
          <w:spacing w:val="-4"/>
          <w:w w:val="105"/>
        </w:rPr>
        <w:t xml:space="preserve"> </w:t>
      </w:r>
      <w:r>
        <w:rPr>
          <w:w w:val="105"/>
        </w:rPr>
        <w:t>Recomendaciones</w:t>
      </w:r>
      <w:r>
        <w:rPr>
          <w:spacing w:val="-5"/>
          <w:w w:val="105"/>
        </w:rPr>
        <w:t xml:space="preserve"> </w:t>
      </w:r>
      <w:r>
        <w:rPr>
          <w:w w:val="105"/>
        </w:rPr>
        <w:t>de</w:t>
      </w:r>
      <w:r>
        <w:rPr>
          <w:spacing w:val="-4"/>
          <w:w w:val="105"/>
        </w:rPr>
        <w:t xml:space="preserve"> </w:t>
      </w:r>
      <w:r>
        <w:rPr>
          <w:w w:val="105"/>
        </w:rPr>
        <w:t>la OIT ha reconocido el valor de un enfoque integral para abordar la discriminación, señalando que “en la mayoría de</w:t>
      </w:r>
    </w:p>
    <w:p w14:paraId="1EE8EA2D" w14:textId="77777777" w:rsidR="0014798C" w:rsidRDefault="004E1F0B">
      <w:pPr>
        <w:pStyle w:val="Textoindependiente"/>
        <w:spacing w:line="326" w:lineRule="auto"/>
        <w:ind w:left="1338" w:right="1290" w:hanging="2"/>
      </w:pPr>
      <w:r>
        <w:rPr>
          <w:w w:val="105"/>
        </w:rPr>
        <w:t>los</w:t>
      </w:r>
      <w:r>
        <w:rPr>
          <w:spacing w:val="-4"/>
          <w:w w:val="105"/>
        </w:rPr>
        <w:t xml:space="preserve"> </w:t>
      </w:r>
      <w:r>
        <w:rPr>
          <w:w w:val="105"/>
        </w:rPr>
        <w:t>casos</w:t>
      </w:r>
      <w:r>
        <w:rPr>
          <w:spacing w:val="-4"/>
          <w:w w:val="105"/>
        </w:rPr>
        <w:t xml:space="preserve"> </w:t>
      </w:r>
      <w:r>
        <w:rPr>
          <w:w w:val="105"/>
        </w:rPr>
        <w:t>se</w:t>
      </w:r>
      <w:r>
        <w:rPr>
          <w:spacing w:val="-3"/>
          <w:w w:val="105"/>
        </w:rPr>
        <w:t xml:space="preserve"> </w:t>
      </w:r>
      <w:r>
        <w:rPr>
          <w:w w:val="105"/>
        </w:rPr>
        <w:t>necesita</w:t>
      </w:r>
      <w:r>
        <w:rPr>
          <w:spacing w:val="-4"/>
          <w:w w:val="105"/>
        </w:rPr>
        <w:t xml:space="preserve"> </w:t>
      </w:r>
      <w:r>
        <w:rPr>
          <w:w w:val="105"/>
        </w:rPr>
        <w:t>una</w:t>
      </w:r>
      <w:r>
        <w:rPr>
          <w:spacing w:val="-3"/>
          <w:w w:val="105"/>
        </w:rPr>
        <w:t xml:space="preserve"> </w:t>
      </w:r>
      <w:r>
        <w:rPr>
          <w:w w:val="105"/>
        </w:rPr>
        <w:t>legislación</w:t>
      </w:r>
      <w:r>
        <w:rPr>
          <w:spacing w:val="-3"/>
          <w:w w:val="105"/>
        </w:rPr>
        <w:t xml:space="preserve"> </w:t>
      </w:r>
      <w:r>
        <w:rPr>
          <w:w w:val="105"/>
        </w:rPr>
        <w:t>integral</w:t>
      </w:r>
      <w:r>
        <w:rPr>
          <w:spacing w:val="-4"/>
          <w:w w:val="105"/>
        </w:rPr>
        <w:t xml:space="preserve"> </w:t>
      </w:r>
      <w:r>
        <w:rPr>
          <w:w w:val="105"/>
        </w:rPr>
        <w:t>contra</w:t>
      </w:r>
      <w:r>
        <w:rPr>
          <w:spacing w:val="-4"/>
          <w:w w:val="105"/>
        </w:rPr>
        <w:t xml:space="preserve"> </w:t>
      </w:r>
      <w:r>
        <w:rPr>
          <w:w w:val="105"/>
        </w:rPr>
        <w:t>la</w:t>
      </w:r>
      <w:r>
        <w:rPr>
          <w:spacing w:val="-3"/>
          <w:w w:val="105"/>
        </w:rPr>
        <w:t xml:space="preserve"> </w:t>
      </w:r>
      <w:r>
        <w:rPr>
          <w:w w:val="105"/>
        </w:rPr>
        <w:t>discriminación</w:t>
      </w:r>
      <w:r>
        <w:rPr>
          <w:spacing w:val="-3"/>
          <w:w w:val="105"/>
        </w:rPr>
        <w:t xml:space="preserve"> </w:t>
      </w:r>
      <w:r>
        <w:rPr>
          <w:w w:val="105"/>
        </w:rPr>
        <w:t>para</w:t>
      </w:r>
      <w:r>
        <w:rPr>
          <w:spacing w:val="-3"/>
          <w:w w:val="105"/>
        </w:rPr>
        <w:t xml:space="preserve"> </w:t>
      </w:r>
      <w:r>
        <w:rPr>
          <w:w w:val="105"/>
        </w:rPr>
        <w:t>garantizar</w:t>
      </w:r>
      <w:r>
        <w:rPr>
          <w:spacing w:val="-4"/>
          <w:w w:val="105"/>
        </w:rPr>
        <w:t xml:space="preserve"> </w:t>
      </w:r>
      <w:r>
        <w:rPr>
          <w:w w:val="105"/>
        </w:rPr>
        <w:t>la</w:t>
      </w:r>
      <w:r>
        <w:rPr>
          <w:spacing w:val="-3"/>
          <w:w w:val="105"/>
        </w:rPr>
        <w:t xml:space="preserve"> </w:t>
      </w:r>
      <w:r>
        <w:rPr>
          <w:w w:val="105"/>
        </w:rPr>
        <w:t>aplicación</w:t>
      </w:r>
      <w:r>
        <w:rPr>
          <w:spacing w:val="-3"/>
          <w:w w:val="105"/>
        </w:rPr>
        <w:t xml:space="preserve"> </w:t>
      </w:r>
      <w:r>
        <w:rPr>
          <w:w w:val="105"/>
        </w:rPr>
        <w:t>efectiva</w:t>
      </w:r>
      <w:r>
        <w:rPr>
          <w:spacing w:val="-4"/>
          <w:w w:val="105"/>
        </w:rPr>
        <w:t xml:space="preserve"> </w:t>
      </w:r>
      <w:r>
        <w:rPr>
          <w:w w:val="105"/>
        </w:rPr>
        <w:t>de</w:t>
      </w:r>
      <w:r>
        <w:rPr>
          <w:spacing w:val="-3"/>
          <w:w w:val="105"/>
        </w:rPr>
        <w:t xml:space="preserve"> </w:t>
      </w:r>
      <w:r>
        <w:rPr>
          <w:w w:val="105"/>
        </w:rPr>
        <w:t>la [Discriminación (Empleo y Ocupación)] Convenio”.276</w:t>
      </w:r>
    </w:p>
    <w:p w14:paraId="686C741F" w14:textId="77777777" w:rsidR="0014798C" w:rsidRDefault="0014798C">
      <w:pPr>
        <w:pStyle w:val="Textoindependiente"/>
      </w:pPr>
    </w:p>
    <w:p w14:paraId="23AFB6CF" w14:textId="77777777" w:rsidR="0014798C" w:rsidRDefault="0014798C">
      <w:pPr>
        <w:pStyle w:val="Textoindependiente"/>
        <w:spacing w:before="102"/>
      </w:pPr>
    </w:p>
    <w:p w14:paraId="2704EC1B" w14:textId="77777777" w:rsidR="0014798C" w:rsidRDefault="004E1F0B">
      <w:pPr>
        <w:pStyle w:val="Textoindependiente"/>
        <w:spacing w:line="326" w:lineRule="auto"/>
        <w:ind w:left="1107" w:right="1272" w:firstLine="1"/>
      </w:pPr>
      <w:r>
        <w:t>En</w:t>
      </w:r>
      <w:r>
        <w:rPr>
          <w:spacing w:val="15"/>
        </w:rPr>
        <w:t xml:space="preserve"> </w:t>
      </w:r>
      <w:r>
        <w:t>situaciones</w:t>
      </w:r>
      <w:r>
        <w:rPr>
          <w:spacing w:val="15"/>
        </w:rPr>
        <w:t xml:space="preserve"> </w:t>
      </w:r>
      <w:r>
        <w:t>en</w:t>
      </w:r>
      <w:r>
        <w:rPr>
          <w:spacing w:val="15"/>
        </w:rPr>
        <w:t xml:space="preserve"> </w:t>
      </w:r>
      <w:r>
        <w:t>las</w:t>
      </w:r>
      <w:r>
        <w:rPr>
          <w:spacing w:val="15"/>
        </w:rPr>
        <w:t xml:space="preserve"> </w:t>
      </w:r>
      <w:r>
        <w:t>que</w:t>
      </w:r>
      <w:r>
        <w:rPr>
          <w:spacing w:val="15"/>
        </w:rPr>
        <w:t xml:space="preserve"> </w:t>
      </w:r>
      <w:r>
        <w:t>el</w:t>
      </w:r>
      <w:r>
        <w:rPr>
          <w:spacing w:val="15"/>
        </w:rPr>
        <w:t xml:space="preserve"> </w:t>
      </w:r>
      <w:r>
        <w:t>acoso</w:t>
      </w:r>
      <w:r>
        <w:rPr>
          <w:spacing w:val="15"/>
        </w:rPr>
        <w:t xml:space="preserve"> </w:t>
      </w:r>
      <w:r>
        <w:t>ha</w:t>
      </w:r>
      <w:r>
        <w:rPr>
          <w:spacing w:val="15"/>
        </w:rPr>
        <w:t xml:space="preserve"> </w:t>
      </w:r>
      <w:r>
        <w:t>sido</w:t>
      </w:r>
      <w:r>
        <w:rPr>
          <w:spacing w:val="15"/>
        </w:rPr>
        <w:t xml:space="preserve"> </w:t>
      </w:r>
      <w:r>
        <w:t>definido</w:t>
      </w:r>
      <w:r>
        <w:rPr>
          <w:spacing w:val="15"/>
        </w:rPr>
        <w:t xml:space="preserve"> </w:t>
      </w:r>
      <w:r>
        <w:t>por</w:t>
      </w:r>
      <w:r>
        <w:rPr>
          <w:spacing w:val="15"/>
        </w:rPr>
        <w:t xml:space="preserve"> </w:t>
      </w:r>
      <w:r>
        <w:t>organismos</w:t>
      </w:r>
      <w:r>
        <w:rPr>
          <w:spacing w:val="15"/>
        </w:rPr>
        <w:t xml:space="preserve"> </w:t>
      </w:r>
      <w:r>
        <w:t>internacionales</w:t>
      </w:r>
      <w:r>
        <w:rPr>
          <w:spacing w:val="15"/>
        </w:rPr>
        <w:t xml:space="preserve"> </w:t>
      </w:r>
      <w:r>
        <w:t>y</w:t>
      </w:r>
      <w:r>
        <w:rPr>
          <w:spacing w:val="15"/>
        </w:rPr>
        <w:t xml:space="preserve"> </w:t>
      </w:r>
      <w:r>
        <w:t>regionales,</w:t>
      </w:r>
      <w:r>
        <w:rPr>
          <w:spacing w:val="17"/>
        </w:rPr>
        <w:t xml:space="preserve"> </w:t>
      </w:r>
      <w:r>
        <w:t>la</w:t>
      </w:r>
      <w:r>
        <w:rPr>
          <w:spacing w:val="15"/>
        </w:rPr>
        <w:t xml:space="preserve"> </w:t>
      </w:r>
      <w:r>
        <w:t>definición</w:t>
      </w:r>
      <w:r>
        <w:rPr>
          <w:spacing w:val="15"/>
        </w:rPr>
        <w:t xml:space="preserve"> </w:t>
      </w:r>
      <w:r>
        <w:t>contiene</w:t>
      </w:r>
      <w:r>
        <w:rPr>
          <w:spacing w:val="15"/>
        </w:rPr>
        <w:t xml:space="preserve"> </w:t>
      </w:r>
      <w:r>
        <w:t>los mismos elementos centrales: conducta no deseada relacionada con un motivo prohibido que se lleva a cabo “con el propósito de</w:t>
      </w:r>
    </w:p>
    <w:p w14:paraId="02E29789" w14:textId="77777777" w:rsidR="0014798C" w:rsidRDefault="0014798C">
      <w:pPr>
        <w:pStyle w:val="Textoindependiente"/>
        <w:rPr>
          <w:sz w:val="11"/>
        </w:rPr>
      </w:pPr>
    </w:p>
    <w:p w14:paraId="49DC206F" w14:textId="77777777" w:rsidR="0014798C" w:rsidRDefault="0014798C">
      <w:pPr>
        <w:pStyle w:val="Textoindependiente"/>
        <w:rPr>
          <w:sz w:val="11"/>
        </w:rPr>
      </w:pPr>
    </w:p>
    <w:p w14:paraId="1CD52EFA" w14:textId="77777777" w:rsidR="0014798C" w:rsidRDefault="0014798C">
      <w:pPr>
        <w:pStyle w:val="Textoindependiente"/>
        <w:rPr>
          <w:sz w:val="11"/>
        </w:rPr>
      </w:pPr>
    </w:p>
    <w:p w14:paraId="3977DF79" w14:textId="77777777" w:rsidR="0014798C" w:rsidRDefault="0014798C">
      <w:pPr>
        <w:pStyle w:val="Textoindependiente"/>
        <w:spacing w:before="7"/>
        <w:rPr>
          <w:sz w:val="11"/>
        </w:rPr>
      </w:pPr>
    </w:p>
    <w:p w14:paraId="46C4F6B4" w14:textId="77777777" w:rsidR="0014798C" w:rsidRDefault="004E1F0B">
      <w:pPr>
        <w:ind w:left="1105"/>
        <w:rPr>
          <w:sz w:val="11"/>
        </w:rPr>
      </w:pPr>
      <w:r>
        <w:rPr>
          <w:w w:val="105"/>
          <w:sz w:val="11"/>
        </w:rPr>
        <w:t>270 Comisión Africana de Derechos Humanos y de los Pueblos,</w:t>
      </w:r>
      <w:r>
        <w:rPr>
          <w:spacing w:val="2"/>
          <w:w w:val="105"/>
          <w:sz w:val="11"/>
        </w:rPr>
        <w:t xml:space="preserve"> </w:t>
      </w:r>
      <w:r>
        <w:rPr>
          <w:w w:val="105"/>
          <w:sz w:val="11"/>
        </w:rPr>
        <w:t>Principios y directrices sobre la implementación de los derechos</w:t>
      </w:r>
      <w:r>
        <w:rPr>
          <w:spacing w:val="1"/>
          <w:w w:val="105"/>
          <w:sz w:val="11"/>
        </w:rPr>
        <w:t xml:space="preserve"> </w:t>
      </w:r>
      <w:r>
        <w:rPr>
          <w:w w:val="105"/>
          <w:sz w:val="11"/>
        </w:rPr>
        <w:t>económicos,</w:t>
      </w:r>
      <w:r>
        <w:rPr>
          <w:spacing w:val="1"/>
          <w:w w:val="105"/>
          <w:sz w:val="11"/>
        </w:rPr>
        <w:t xml:space="preserve"> </w:t>
      </w:r>
      <w:r>
        <w:rPr>
          <w:w w:val="105"/>
          <w:sz w:val="11"/>
        </w:rPr>
        <w:t xml:space="preserve">sociales y </w:t>
      </w:r>
      <w:r>
        <w:rPr>
          <w:spacing w:val="-2"/>
          <w:w w:val="105"/>
          <w:sz w:val="11"/>
        </w:rPr>
        <w:t>culturales.</w:t>
      </w:r>
    </w:p>
    <w:p w14:paraId="0D3937C0" w14:textId="77777777" w:rsidR="0014798C" w:rsidRDefault="004E1F0B">
      <w:pPr>
        <w:spacing w:before="4"/>
        <w:ind w:left="1368"/>
        <w:rPr>
          <w:sz w:val="13"/>
        </w:rPr>
      </w:pPr>
      <w:r>
        <w:rPr>
          <w:sz w:val="13"/>
        </w:rPr>
        <w:t>Derechos</w:t>
      </w:r>
      <w:r>
        <w:rPr>
          <w:spacing w:val="1"/>
          <w:sz w:val="13"/>
        </w:rPr>
        <w:t xml:space="preserve"> </w:t>
      </w:r>
      <w:r>
        <w:rPr>
          <w:sz w:val="13"/>
        </w:rPr>
        <w:t>en</w:t>
      </w:r>
      <w:r>
        <w:rPr>
          <w:spacing w:val="1"/>
          <w:sz w:val="13"/>
        </w:rPr>
        <w:t xml:space="preserve"> </w:t>
      </w:r>
      <w:r>
        <w:rPr>
          <w:sz w:val="13"/>
        </w:rPr>
        <w:t>la</w:t>
      </w:r>
      <w:r>
        <w:rPr>
          <w:spacing w:val="1"/>
          <w:sz w:val="13"/>
        </w:rPr>
        <w:t xml:space="preserve"> </w:t>
      </w:r>
      <w:r>
        <w:rPr>
          <w:sz w:val="13"/>
        </w:rPr>
        <w:t>Carta</w:t>
      </w:r>
      <w:r>
        <w:rPr>
          <w:spacing w:val="1"/>
          <w:sz w:val="13"/>
        </w:rPr>
        <w:t xml:space="preserve"> </w:t>
      </w:r>
      <w:r>
        <w:rPr>
          <w:sz w:val="13"/>
        </w:rPr>
        <w:t>Africana</w:t>
      </w:r>
      <w:r>
        <w:rPr>
          <w:spacing w:val="1"/>
          <w:sz w:val="13"/>
        </w:rPr>
        <w:t xml:space="preserve"> </w:t>
      </w:r>
      <w:r>
        <w:rPr>
          <w:sz w:val="13"/>
        </w:rPr>
        <w:t>de</w:t>
      </w:r>
      <w:r>
        <w:rPr>
          <w:spacing w:val="1"/>
          <w:sz w:val="13"/>
        </w:rPr>
        <w:t xml:space="preserve"> </w:t>
      </w:r>
      <w:r>
        <w:rPr>
          <w:sz w:val="13"/>
        </w:rPr>
        <w:t>Derechos</w:t>
      </w:r>
      <w:r>
        <w:rPr>
          <w:spacing w:val="1"/>
          <w:sz w:val="13"/>
        </w:rPr>
        <w:t xml:space="preserve"> </w:t>
      </w:r>
      <w:r>
        <w:rPr>
          <w:sz w:val="13"/>
        </w:rPr>
        <w:t>Humanos</w:t>
      </w:r>
      <w:r>
        <w:rPr>
          <w:spacing w:val="1"/>
          <w:sz w:val="13"/>
        </w:rPr>
        <w:t xml:space="preserve"> </w:t>
      </w:r>
      <w:r>
        <w:rPr>
          <w:sz w:val="13"/>
        </w:rPr>
        <w:t>y</w:t>
      </w:r>
      <w:r>
        <w:rPr>
          <w:spacing w:val="1"/>
          <w:sz w:val="13"/>
        </w:rPr>
        <w:t xml:space="preserve"> </w:t>
      </w:r>
      <w:r>
        <w:rPr>
          <w:sz w:val="13"/>
        </w:rPr>
        <w:t>de</w:t>
      </w:r>
      <w:r>
        <w:rPr>
          <w:spacing w:val="1"/>
          <w:sz w:val="13"/>
        </w:rPr>
        <w:t xml:space="preserve"> </w:t>
      </w:r>
      <w:r>
        <w:rPr>
          <w:sz w:val="13"/>
        </w:rPr>
        <w:t>los</w:t>
      </w:r>
      <w:r>
        <w:rPr>
          <w:spacing w:val="1"/>
          <w:sz w:val="13"/>
        </w:rPr>
        <w:t xml:space="preserve"> </w:t>
      </w:r>
      <w:r>
        <w:rPr>
          <w:sz w:val="13"/>
        </w:rPr>
        <w:t>Pueblos,</w:t>
      </w:r>
      <w:r>
        <w:rPr>
          <w:spacing w:val="1"/>
          <w:sz w:val="13"/>
        </w:rPr>
        <w:t xml:space="preserve"> </w:t>
      </w:r>
      <w:r>
        <w:rPr>
          <w:sz w:val="13"/>
        </w:rPr>
        <w:t>párr.</w:t>
      </w:r>
      <w:r>
        <w:rPr>
          <w:spacing w:val="2"/>
          <w:sz w:val="13"/>
        </w:rPr>
        <w:t xml:space="preserve"> </w:t>
      </w:r>
      <w:r>
        <w:rPr>
          <w:spacing w:val="-2"/>
          <w:sz w:val="13"/>
        </w:rPr>
        <w:t>59k).</w:t>
      </w:r>
    </w:p>
    <w:p w14:paraId="671C8ADA" w14:textId="77777777" w:rsidR="0014798C" w:rsidRDefault="004E1F0B">
      <w:pPr>
        <w:spacing w:before="104"/>
        <w:ind w:left="1105"/>
        <w:rPr>
          <w:sz w:val="11"/>
        </w:rPr>
      </w:pPr>
      <w:r>
        <w:rPr>
          <w:w w:val="105"/>
          <w:sz w:val="11"/>
        </w:rPr>
        <w:t>271</w:t>
      </w:r>
      <w:r>
        <w:rPr>
          <w:spacing w:val="-1"/>
          <w:w w:val="105"/>
          <w:sz w:val="11"/>
        </w:rPr>
        <w:t xml:space="preserve"> </w:t>
      </w:r>
      <w:proofErr w:type="spellStart"/>
      <w:r>
        <w:rPr>
          <w:spacing w:val="-2"/>
          <w:w w:val="105"/>
          <w:sz w:val="11"/>
        </w:rPr>
        <w:t>Ibíd</w:t>
      </w:r>
      <w:proofErr w:type="spellEnd"/>
      <w:r>
        <w:rPr>
          <w:spacing w:val="-2"/>
          <w:w w:val="105"/>
          <w:sz w:val="11"/>
        </w:rPr>
        <w:t>.</w:t>
      </w:r>
    </w:p>
    <w:p w14:paraId="4D07BFAF" w14:textId="77777777" w:rsidR="0014798C" w:rsidRDefault="0014798C">
      <w:pPr>
        <w:pStyle w:val="Textoindependiente"/>
        <w:spacing w:before="10"/>
        <w:rPr>
          <w:sz w:val="11"/>
        </w:rPr>
      </w:pPr>
    </w:p>
    <w:p w14:paraId="3D518B65" w14:textId="77777777" w:rsidR="0014798C" w:rsidRDefault="004E1F0B">
      <w:pPr>
        <w:spacing w:before="1"/>
        <w:ind w:left="1105"/>
        <w:rPr>
          <w:sz w:val="11"/>
        </w:rPr>
      </w:pPr>
      <w:r>
        <w:rPr>
          <w:w w:val="105"/>
          <w:sz w:val="11"/>
        </w:rPr>
        <w:t>272</w:t>
      </w:r>
      <w:r>
        <w:rPr>
          <w:spacing w:val="-2"/>
          <w:w w:val="105"/>
          <w:sz w:val="11"/>
        </w:rPr>
        <w:t xml:space="preserve"> </w:t>
      </w:r>
      <w:r>
        <w:rPr>
          <w:w w:val="105"/>
          <w:sz w:val="11"/>
        </w:rPr>
        <w:t>Véase</w:t>
      </w:r>
      <w:r>
        <w:rPr>
          <w:spacing w:val="-1"/>
          <w:w w:val="105"/>
          <w:sz w:val="11"/>
        </w:rPr>
        <w:t xml:space="preserve"> </w:t>
      </w:r>
      <w:r>
        <w:rPr>
          <w:w w:val="105"/>
          <w:sz w:val="11"/>
        </w:rPr>
        <w:t>también</w:t>
      </w:r>
      <w:r>
        <w:rPr>
          <w:spacing w:val="-2"/>
          <w:w w:val="105"/>
          <w:sz w:val="11"/>
        </w:rPr>
        <w:t xml:space="preserve"> </w:t>
      </w:r>
      <w:r>
        <w:rPr>
          <w:w w:val="105"/>
          <w:sz w:val="11"/>
        </w:rPr>
        <w:t>la</w:t>
      </w:r>
      <w:r>
        <w:rPr>
          <w:spacing w:val="-1"/>
          <w:w w:val="105"/>
          <w:sz w:val="11"/>
        </w:rPr>
        <w:t xml:space="preserve"> </w:t>
      </w:r>
      <w:r>
        <w:rPr>
          <w:w w:val="105"/>
          <w:sz w:val="11"/>
        </w:rPr>
        <w:t>Recomendación</w:t>
      </w:r>
      <w:r>
        <w:rPr>
          <w:spacing w:val="-2"/>
          <w:w w:val="105"/>
          <w:sz w:val="11"/>
        </w:rPr>
        <w:t xml:space="preserve"> </w:t>
      </w:r>
      <w:r>
        <w:rPr>
          <w:w w:val="105"/>
          <w:sz w:val="11"/>
        </w:rPr>
        <w:t>de</w:t>
      </w:r>
      <w:r>
        <w:rPr>
          <w:spacing w:val="-1"/>
          <w:w w:val="105"/>
          <w:sz w:val="11"/>
        </w:rPr>
        <w:t xml:space="preserve"> </w:t>
      </w:r>
      <w:r>
        <w:rPr>
          <w:w w:val="105"/>
          <w:sz w:val="11"/>
        </w:rPr>
        <w:t>la</w:t>
      </w:r>
      <w:r>
        <w:rPr>
          <w:spacing w:val="-2"/>
          <w:w w:val="105"/>
          <w:sz w:val="11"/>
        </w:rPr>
        <w:t xml:space="preserve"> </w:t>
      </w:r>
      <w:r>
        <w:rPr>
          <w:w w:val="105"/>
          <w:sz w:val="11"/>
        </w:rPr>
        <w:t>OIT</w:t>
      </w:r>
      <w:r>
        <w:rPr>
          <w:spacing w:val="-1"/>
          <w:w w:val="105"/>
          <w:sz w:val="11"/>
        </w:rPr>
        <w:t xml:space="preserve"> </w:t>
      </w:r>
      <w:r>
        <w:rPr>
          <w:w w:val="105"/>
          <w:sz w:val="11"/>
        </w:rPr>
        <w:t>sobre</w:t>
      </w:r>
      <w:r>
        <w:rPr>
          <w:spacing w:val="-2"/>
          <w:w w:val="105"/>
          <w:sz w:val="11"/>
        </w:rPr>
        <w:t xml:space="preserve"> </w:t>
      </w:r>
      <w:r>
        <w:rPr>
          <w:w w:val="105"/>
          <w:sz w:val="11"/>
        </w:rPr>
        <w:t>la</w:t>
      </w:r>
      <w:r>
        <w:rPr>
          <w:spacing w:val="-1"/>
          <w:w w:val="105"/>
          <w:sz w:val="11"/>
        </w:rPr>
        <w:t xml:space="preserve"> </w:t>
      </w:r>
      <w:r>
        <w:rPr>
          <w:w w:val="105"/>
          <w:sz w:val="11"/>
        </w:rPr>
        <w:t>violencia</w:t>
      </w:r>
      <w:r>
        <w:rPr>
          <w:spacing w:val="-2"/>
          <w:w w:val="105"/>
          <w:sz w:val="11"/>
        </w:rPr>
        <w:t xml:space="preserve"> </w:t>
      </w:r>
      <w:r>
        <w:rPr>
          <w:w w:val="105"/>
          <w:sz w:val="11"/>
        </w:rPr>
        <w:t>y</w:t>
      </w:r>
      <w:r>
        <w:rPr>
          <w:spacing w:val="-1"/>
          <w:w w:val="105"/>
          <w:sz w:val="11"/>
        </w:rPr>
        <w:t xml:space="preserve"> </w:t>
      </w:r>
      <w:r>
        <w:rPr>
          <w:w w:val="105"/>
          <w:sz w:val="11"/>
        </w:rPr>
        <w:t>el</w:t>
      </w:r>
      <w:r>
        <w:rPr>
          <w:spacing w:val="-2"/>
          <w:w w:val="105"/>
          <w:sz w:val="11"/>
        </w:rPr>
        <w:t xml:space="preserve"> </w:t>
      </w:r>
      <w:r>
        <w:rPr>
          <w:w w:val="105"/>
          <w:sz w:val="11"/>
        </w:rPr>
        <w:t>acoso,</w:t>
      </w:r>
      <w:r>
        <w:rPr>
          <w:spacing w:val="-1"/>
          <w:w w:val="105"/>
          <w:sz w:val="11"/>
        </w:rPr>
        <w:t xml:space="preserve"> </w:t>
      </w:r>
      <w:r>
        <w:rPr>
          <w:w w:val="105"/>
          <w:sz w:val="11"/>
        </w:rPr>
        <w:t>2019</w:t>
      </w:r>
      <w:r>
        <w:rPr>
          <w:spacing w:val="-1"/>
          <w:w w:val="105"/>
          <w:sz w:val="11"/>
        </w:rPr>
        <w:t xml:space="preserve"> </w:t>
      </w:r>
      <w:r>
        <w:rPr>
          <w:w w:val="105"/>
          <w:sz w:val="11"/>
        </w:rPr>
        <w:t>(núm.</w:t>
      </w:r>
      <w:r>
        <w:rPr>
          <w:spacing w:val="-1"/>
          <w:w w:val="105"/>
          <w:sz w:val="11"/>
        </w:rPr>
        <w:t xml:space="preserve"> </w:t>
      </w:r>
      <w:r>
        <w:rPr>
          <w:spacing w:val="-4"/>
          <w:w w:val="105"/>
          <w:sz w:val="11"/>
        </w:rPr>
        <w:t>206).</w:t>
      </w:r>
    </w:p>
    <w:p w14:paraId="7C5D6DF7" w14:textId="77777777" w:rsidR="0014798C" w:rsidRDefault="004E1F0B">
      <w:pPr>
        <w:spacing w:before="115"/>
        <w:ind w:left="1105"/>
        <w:rPr>
          <w:sz w:val="11"/>
        </w:rPr>
      </w:pPr>
      <w:r>
        <w:rPr>
          <w:w w:val="105"/>
          <w:sz w:val="11"/>
        </w:rPr>
        <w:t>273</w:t>
      </w:r>
      <w:r>
        <w:rPr>
          <w:spacing w:val="-2"/>
          <w:w w:val="105"/>
          <w:sz w:val="11"/>
        </w:rPr>
        <w:t xml:space="preserve"> </w:t>
      </w:r>
      <w:r>
        <w:rPr>
          <w:w w:val="105"/>
          <w:sz w:val="11"/>
        </w:rPr>
        <w:t>Véase</w:t>
      </w:r>
      <w:r>
        <w:rPr>
          <w:spacing w:val="-1"/>
          <w:w w:val="105"/>
          <w:sz w:val="11"/>
        </w:rPr>
        <w:t xml:space="preserve"> </w:t>
      </w:r>
      <w:r>
        <w:rPr>
          <w:w w:val="105"/>
          <w:sz w:val="11"/>
        </w:rPr>
        <w:t>la</w:t>
      </w:r>
      <w:r>
        <w:rPr>
          <w:spacing w:val="-1"/>
          <w:w w:val="105"/>
          <w:sz w:val="11"/>
        </w:rPr>
        <w:t xml:space="preserve"> </w:t>
      </w:r>
      <w:r>
        <w:rPr>
          <w:w w:val="105"/>
          <w:sz w:val="11"/>
        </w:rPr>
        <w:t>sección</w:t>
      </w:r>
      <w:r>
        <w:rPr>
          <w:spacing w:val="-2"/>
          <w:w w:val="105"/>
          <w:sz w:val="11"/>
        </w:rPr>
        <w:t xml:space="preserve"> </w:t>
      </w:r>
      <w:r>
        <w:rPr>
          <w:w w:val="105"/>
          <w:sz w:val="11"/>
        </w:rPr>
        <w:t>IA3</w:t>
      </w:r>
      <w:r>
        <w:rPr>
          <w:spacing w:val="-1"/>
          <w:w w:val="105"/>
          <w:sz w:val="11"/>
        </w:rPr>
        <w:t xml:space="preserve"> </w:t>
      </w:r>
      <w:r>
        <w:rPr>
          <w:w w:val="105"/>
          <w:sz w:val="11"/>
        </w:rPr>
        <w:t>de</w:t>
      </w:r>
      <w:r>
        <w:rPr>
          <w:spacing w:val="-1"/>
          <w:w w:val="105"/>
          <w:sz w:val="11"/>
        </w:rPr>
        <w:t xml:space="preserve"> </w:t>
      </w:r>
      <w:r>
        <w:rPr>
          <w:w w:val="105"/>
          <w:sz w:val="11"/>
        </w:rPr>
        <w:t>la</w:t>
      </w:r>
      <w:r>
        <w:rPr>
          <w:spacing w:val="-2"/>
          <w:w w:val="105"/>
          <w:sz w:val="11"/>
        </w:rPr>
        <w:t xml:space="preserve"> </w:t>
      </w:r>
      <w:r>
        <w:rPr>
          <w:w w:val="105"/>
          <w:sz w:val="11"/>
        </w:rPr>
        <w:t>segunda</w:t>
      </w:r>
      <w:r>
        <w:rPr>
          <w:spacing w:val="-1"/>
          <w:w w:val="105"/>
          <w:sz w:val="11"/>
        </w:rPr>
        <w:t xml:space="preserve"> </w:t>
      </w:r>
      <w:r>
        <w:rPr>
          <w:w w:val="105"/>
          <w:sz w:val="11"/>
        </w:rPr>
        <w:t>parte</w:t>
      </w:r>
      <w:r>
        <w:rPr>
          <w:spacing w:val="-1"/>
          <w:w w:val="105"/>
          <w:sz w:val="11"/>
        </w:rPr>
        <w:t xml:space="preserve"> </w:t>
      </w:r>
      <w:r>
        <w:rPr>
          <w:w w:val="105"/>
          <w:sz w:val="11"/>
        </w:rPr>
        <w:t>de</w:t>
      </w:r>
      <w:r>
        <w:rPr>
          <w:spacing w:val="-2"/>
          <w:w w:val="105"/>
          <w:sz w:val="11"/>
        </w:rPr>
        <w:t xml:space="preserve"> </w:t>
      </w:r>
      <w:r>
        <w:rPr>
          <w:w w:val="105"/>
          <w:sz w:val="11"/>
        </w:rPr>
        <w:t>la</w:t>
      </w:r>
      <w:r>
        <w:rPr>
          <w:spacing w:val="-1"/>
          <w:w w:val="105"/>
          <w:sz w:val="11"/>
        </w:rPr>
        <w:t xml:space="preserve"> </w:t>
      </w:r>
      <w:r>
        <w:rPr>
          <w:w w:val="105"/>
          <w:sz w:val="11"/>
        </w:rPr>
        <w:t>presente</w:t>
      </w:r>
      <w:r>
        <w:rPr>
          <w:spacing w:val="-1"/>
          <w:w w:val="105"/>
          <w:sz w:val="11"/>
        </w:rPr>
        <w:t xml:space="preserve"> </w:t>
      </w:r>
      <w:r>
        <w:rPr>
          <w:spacing w:val="-2"/>
          <w:w w:val="105"/>
          <w:sz w:val="11"/>
        </w:rPr>
        <w:t>guía.</w:t>
      </w:r>
    </w:p>
    <w:p w14:paraId="2750997D" w14:textId="77777777" w:rsidR="0014798C" w:rsidRDefault="0014798C">
      <w:pPr>
        <w:rPr>
          <w:sz w:val="11"/>
        </w:rPr>
        <w:sectPr w:rsidR="0014798C" w:rsidSect="00F265E4">
          <w:pgSz w:w="11900" w:h="16820"/>
          <w:pgMar w:top="340" w:right="0" w:bottom="280" w:left="200" w:header="121" w:footer="0" w:gutter="0"/>
          <w:cols w:space="720"/>
        </w:sectPr>
      </w:pPr>
    </w:p>
    <w:p w14:paraId="5A1D1485" w14:textId="77777777" w:rsidR="0014798C" w:rsidRDefault="004E1F0B">
      <w:pPr>
        <w:spacing w:before="55"/>
        <w:jc w:val="right"/>
        <w:rPr>
          <w:sz w:val="8"/>
        </w:rPr>
      </w:pPr>
      <w:r>
        <w:rPr>
          <w:spacing w:val="-5"/>
          <w:w w:val="105"/>
          <w:sz w:val="8"/>
        </w:rPr>
        <w:t>274</w:t>
      </w:r>
    </w:p>
    <w:p w14:paraId="28A9106E" w14:textId="77777777" w:rsidR="0014798C" w:rsidRDefault="004E1F0B">
      <w:pPr>
        <w:spacing w:before="60" w:line="288" w:lineRule="auto"/>
        <w:ind w:left="77" w:right="1354" w:firstLine="3"/>
        <w:rPr>
          <w:sz w:val="13"/>
        </w:rPr>
      </w:pPr>
      <w:r>
        <w:br w:type="column"/>
      </w:r>
      <w:r>
        <w:rPr>
          <w:sz w:val="13"/>
        </w:rPr>
        <w:t>Véase, por ejemplo, el acoso racial de los estudiantes romaníes. Véase Comité para la Eliminación de la Discriminación Racial, recomendación general</w:t>
      </w:r>
      <w:r>
        <w:rPr>
          <w:spacing w:val="40"/>
          <w:sz w:val="13"/>
        </w:rPr>
        <w:t xml:space="preserve"> </w:t>
      </w:r>
      <w:r>
        <w:rPr>
          <w:sz w:val="13"/>
        </w:rPr>
        <w:t>núm. 27 (2000), párr. 20.</w:t>
      </w:r>
    </w:p>
    <w:p w14:paraId="78E804D4" w14:textId="77777777" w:rsidR="0014798C" w:rsidRDefault="0014798C">
      <w:pPr>
        <w:spacing w:line="288" w:lineRule="auto"/>
        <w:rPr>
          <w:sz w:val="13"/>
        </w:rPr>
        <w:sectPr w:rsidR="0014798C" w:rsidSect="00F265E4">
          <w:type w:val="continuous"/>
          <w:pgSz w:w="11900" w:h="16820"/>
          <w:pgMar w:top="40" w:right="0" w:bottom="280" w:left="200" w:header="121" w:footer="0" w:gutter="0"/>
          <w:cols w:num="2" w:space="720" w:equalWidth="0">
            <w:col w:w="1249" w:space="40"/>
            <w:col w:w="10411"/>
          </w:cols>
        </w:sectPr>
      </w:pPr>
    </w:p>
    <w:p w14:paraId="780E340B" w14:textId="77777777" w:rsidR="0014798C" w:rsidRDefault="004E1F0B">
      <w:pPr>
        <w:spacing w:before="107"/>
        <w:ind w:left="1105"/>
        <w:rPr>
          <w:sz w:val="11"/>
        </w:rPr>
      </w:pPr>
      <w:r>
        <w:rPr>
          <w:w w:val="105"/>
          <w:sz w:val="11"/>
        </w:rPr>
        <w:t>275</w:t>
      </w:r>
      <w:r>
        <w:rPr>
          <w:spacing w:val="-2"/>
          <w:w w:val="105"/>
          <w:sz w:val="11"/>
        </w:rPr>
        <w:t xml:space="preserve"> </w:t>
      </w:r>
      <w:r>
        <w:rPr>
          <w:w w:val="105"/>
          <w:sz w:val="11"/>
        </w:rPr>
        <w:t>Por</w:t>
      </w:r>
      <w:r>
        <w:rPr>
          <w:spacing w:val="-1"/>
          <w:w w:val="105"/>
          <w:sz w:val="11"/>
        </w:rPr>
        <w:t xml:space="preserve"> </w:t>
      </w:r>
      <w:r>
        <w:rPr>
          <w:w w:val="105"/>
          <w:sz w:val="11"/>
        </w:rPr>
        <w:t>ejemplo,</w:t>
      </w:r>
      <w:r>
        <w:rPr>
          <w:spacing w:val="-1"/>
          <w:w w:val="105"/>
          <w:sz w:val="11"/>
        </w:rPr>
        <w:t xml:space="preserve"> </w:t>
      </w:r>
      <w:r>
        <w:rPr>
          <w:w w:val="105"/>
          <w:sz w:val="11"/>
        </w:rPr>
        <w:t>en</w:t>
      </w:r>
      <w:r>
        <w:rPr>
          <w:spacing w:val="-1"/>
          <w:w w:val="105"/>
          <w:sz w:val="11"/>
        </w:rPr>
        <w:t xml:space="preserve"> </w:t>
      </w:r>
      <w:r>
        <w:rPr>
          <w:w w:val="105"/>
          <w:sz w:val="11"/>
        </w:rPr>
        <w:t>el</w:t>
      </w:r>
      <w:r>
        <w:rPr>
          <w:spacing w:val="-2"/>
          <w:w w:val="105"/>
          <w:sz w:val="11"/>
        </w:rPr>
        <w:t xml:space="preserve"> </w:t>
      </w:r>
      <w:r>
        <w:rPr>
          <w:w w:val="105"/>
          <w:sz w:val="11"/>
        </w:rPr>
        <w:t>ejercicio</w:t>
      </w:r>
      <w:r>
        <w:rPr>
          <w:spacing w:val="-1"/>
          <w:w w:val="105"/>
          <w:sz w:val="11"/>
        </w:rPr>
        <w:t xml:space="preserve"> </w:t>
      </w:r>
      <w:r>
        <w:rPr>
          <w:w w:val="105"/>
          <w:sz w:val="11"/>
        </w:rPr>
        <w:t>del</w:t>
      </w:r>
      <w:r>
        <w:rPr>
          <w:spacing w:val="-2"/>
          <w:w w:val="105"/>
          <w:sz w:val="11"/>
        </w:rPr>
        <w:t xml:space="preserve"> </w:t>
      </w:r>
      <w:r>
        <w:rPr>
          <w:w w:val="105"/>
          <w:sz w:val="11"/>
        </w:rPr>
        <w:t>derecho</w:t>
      </w:r>
      <w:r>
        <w:rPr>
          <w:spacing w:val="-1"/>
          <w:w w:val="105"/>
          <w:sz w:val="11"/>
        </w:rPr>
        <w:t xml:space="preserve"> </w:t>
      </w:r>
      <w:r>
        <w:rPr>
          <w:w w:val="105"/>
          <w:sz w:val="11"/>
        </w:rPr>
        <w:t>a</w:t>
      </w:r>
      <w:r>
        <w:rPr>
          <w:spacing w:val="-2"/>
          <w:w w:val="105"/>
          <w:sz w:val="11"/>
        </w:rPr>
        <w:t xml:space="preserve"> </w:t>
      </w:r>
      <w:r>
        <w:rPr>
          <w:w w:val="105"/>
          <w:sz w:val="11"/>
        </w:rPr>
        <w:t>la</w:t>
      </w:r>
      <w:r>
        <w:rPr>
          <w:spacing w:val="-1"/>
          <w:w w:val="105"/>
          <w:sz w:val="11"/>
        </w:rPr>
        <w:t xml:space="preserve"> </w:t>
      </w:r>
      <w:r>
        <w:rPr>
          <w:w w:val="105"/>
          <w:sz w:val="11"/>
        </w:rPr>
        <w:t>salud</w:t>
      </w:r>
      <w:r>
        <w:rPr>
          <w:spacing w:val="-2"/>
          <w:w w:val="105"/>
          <w:sz w:val="11"/>
        </w:rPr>
        <w:t xml:space="preserve"> </w:t>
      </w:r>
      <w:r>
        <w:rPr>
          <w:w w:val="105"/>
          <w:sz w:val="11"/>
        </w:rPr>
        <w:t>sexual</w:t>
      </w:r>
      <w:r>
        <w:rPr>
          <w:spacing w:val="-1"/>
          <w:w w:val="105"/>
          <w:sz w:val="11"/>
        </w:rPr>
        <w:t xml:space="preserve"> </w:t>
      </w:r>
      <w:r>
        <w:rPr>
          <w:w w:val="105"/>
          <w:sz w:val="11"/>
        </w:rPr>
        <w:t>y</w:t>
      </w:r>
      <w:r>
        <w:rPr>
          <w:spacing w:val="-2"/>
          <w:w w:val="105"/>
          <w:sz w:val="11"/>
        </w:rPr>
        <w:t xml:space="preserve"> </w:t>
      </w:r>
      <w:r>
        <w:rPr>
          <w:w w:val="105"/>
          <w:sz w:val="11"/>
        </w:rPr>
        <w:t>reproductiva. Véase</w:t>
      </w:r>
      <w:r>
        <w:rPr>
          <w:spacing w:val="-2"/>
          <w:w w:val="105"/>
          <w:sz w:val="11"/>
        </w:rPr>
        <w:t xml:space="preserve"> </w:t>
      </w:r>
      <w:r>
        <w:rPr>
          <w:w w:val="105"/>
          <w:sz w:val="11"/>
        </w:rPr>
        <w:t>Comité</w:t>
      </w:r>
      <w:r>
        <w:rPr>
          <w:spacing w:val="-1"/>
          <w:w w:val="105"/>
          <w:sz w:val="11"/>
        </w:rPr>
        <w:t xml:space="preserve"> </w:t>
      </w:r>
      <w:r>
        <w:rPr>
          <w:w w:val="105"/>
          <w:sz w:val="11"/>
        </w:rPr>
        <w:t>de</w:t>
      </w:r>
      <w:r>
        <w:rPr>
          <w:spacing w:val="-2"/>
          <w:w w:val="105"/>
          <w:sz w:val="11"/>
        </w:rPr>
        <w:t xml:space="preserve"> </w:t>
      </w:r>
      <w:r>
        <w:rPr>
          <w:w w:val="105"/>
          <w:sz w:val="11"/>
        </w:rPr>
        <w:t>Derechos</w:t>
      </w:r>
      <w:r>
        <w:rPr>
          <w:spacing w:val="-1"/>
          <w:w w:val="105"/>
          <w:sz w:val="11"/>
        </w:rPr>
        <w:t xml:space="preserve"> </w:t>
      </w:r>
      <w:r>
        <w:rPr>
          <w:w w:val="105"/>
          <w:sz w:val="11"/>
        </w:rPr>
        <w:t>Económicos,</w:t>
      </w:r>
      <w:r>
        <w:rPr>
          <w:spacing w:val="-1"/>
          <w:w w:val="105"/>
          <w:sz w:val="11"/>
        </w:rPr>
        <w:t xml:space="preserve"> </w:t>
      </w:r>
      <w:r>
        <w:rPr>
          <w:w w:val="105"/>
          <w:sz w:val="11"/>
        </w:rPr>
        <w:t>Sociales</w:t>
      </w:r>
      <w:r>
        <w:rPr>
          <w:spacing w:val="-1"/>
          <w:w w:val="105"/>
          <w:sz w:val="11"/>
        </w:rPr>
        <w:t xml:space="preserve"> </w:t>
      </w:r>
      <w:r>
        <w:rPr>
          <w:w w:val="105"/>
          <w:sz w:val="11"/>
        </w:rPr>
        <w:t>y</w:t>
      </w:r>
      <w:r>
        <w:rPr>
          <w:spacing w:val="-2"/>
          <w:w w:val="105"/>
          <w:sz w:val="11"/>
        </w:rPr>
        <w:t xml:space="preserve"> </w:t>
      </w:r>
      <w:r>
        <w:rPr>
          <w:w w:val="105"/>
          <w:sz w:val="11"/>
        </w:rPr>
        <w:t>Culturales, observación</w:t>
      </w:r>
      <w:r>
        <w:rPr>
          <w:spacing w:val="-2"/>
          <w:w w:val="105"/>
          <w:sz w:val="11"/>
        </w:rPr>
        <w:t xml:space="preserve"> </w:t>
      </w:r>
      <w:r>
        <w:rPr>
          <w:w w:val="105"/>
          <w:sz w:val="11"/>
        </w:rPr>
        <w:t>general</w:t>
      </w:r>
      <w:r>
        <w:rPr>
          <w:spacing w:val="-1"/>
          <w:w w:val="105"/>
          <w:sz w:val="11"/>
        </w:rPr>
        <w:t xml:space="preserve"> </w:t>
      </w:r>
      <w:r>
        <w:rPr>
          <w:spacing w:val="-4"/>
          <w:w w:val="105"/>
          <w:sz w:val="11"/>
        </w:rPr>
        <w:t>núm.</w:t>
      </w:r>
    </w:p>
    <w:p w14:paraId="53EF9417" w14:textId="77777777" w:rsidR="0014798C" w:rsidRDefault="004E1F0B">
      <w:pPr>
        <w:spacing w:before="53"/>
        <w:ind w:left="1366"/>
        <w:rPr>
          <w:sz w:val="11"/>
        </w:rPr>
      </w:pPr>
      <w:r>
        <w:rPr>
          <w:w w:val="105"/>
          <w:sz w:val="11"/>
        </w:rPr>
        <w:t>22</w:t>
      </w:r>
      <w:r>
        <w:rPr>
          <w:spacing w:val="-2"/>
          <w:w w:val="105"/>
          <w:sz w:val="11"/>
        </w:rPr>
        <w:t xml:space="preserve"> </w:t>
      </w:r>
      <w:r>
        <w:rPr>
          <w:w w:val="105"/>
          <w:sz w:val="11"/>
        </w:rPr>
        <w:t>(2016),</w:t>
      </w:r>
      <w:r>
        <w:rPr>
          <w:spacing w:val="-1"/>
          <w:w w:val="105"/>
          <w:sz w:val="11"/>
        </w:rPr>
        <w:t xml:space="preserve"> </w:t>
      </w:r>
      <w:r>
        <w:rPr>
          <w:w w:val="105"/>
          <w:sz w:val="11"/>
        </w:rPr>
        <w:t>párr.</w:t>
      </w:r>
      <w:r>
        <w:rPr>
          <w:spacing w:val="-1"/>
          <w:w w:val="105"/>
          <w:sz w:val="11"/>
        </w:rPr>
        <w:t xml:space="preserve"> </w:t>
      </w:r>
      <w:r>
        <w:rPr>
          <w:spacing w:val="-5"/>
          <w:w w:val="105"/>
          <w:sz w:val="11"/>
        </w:rPr>
        <w:t>31.</w:t>
      </w:r>
    </w:p>
    <w:p w14:paraId="29110734" w14:textId="77777777" w:rsidR="0014798C" w:rsidRDefault="004E1F0B">
      <w:pPr>
        <w:spacing w:before="61"/>
        <w:ind w:left="1105"/>
        <w:rPr>
          <w:sz w:val="13"/>
        </w:rPr>
      </w:pPr>
      <w:r>
        <w:rPr>
          <w:sz w:val="13"/>
          <w:vertAlign w:val="superscript"/>
        </w:rPr>
        <w:t>276</w:t>
      </w:r>
      <w:r>
        <w:rPr>
          <w:spacing w:val="67"/>
          <w:w w:val="150"/>
          <w:sz w:val="13"/>
        </w:rPr>
        <w:t xml:space="preserve"> </w:t>
      </w:r>
      <w:r>
        <w:rPr>
          <w:sz w:val="13"/>
        </w:rPr>
        <w:t>OIT, “Informe</w:t>
      </w:r>
      <w:r>
        <w:rPr>
          <w:spacing w:val="1"/>
          <w:sz w:val="13"/>
        </w:rPr>
        <w:t xml:space="preserve"> </w:t>
      </w:r>
      <w:r>
        <w:rPr>
          <w:sz w:val="13"/>
        </w:rPr>
        <w:t>de la</w:t>
      </w:r>
      <w:r>
        <w:rPr>
          <w:spacing w:val="1"/>
          <w:sz w:val="13"/>
        </w:rPr>
        <w:t xml:space="preserve"> </w:t>
      </w:r>
      <w:r>
        <w:rPr>
          <w:sz w:val="13"/>
        </w:rPr>
        <w:t>Comisión de</w:t>
      </w:r>
      <w:r>
        <w:rPr>
          <w:spacing w:val="1"/>
          <w:sz w:val="13"/>
        </w:rPr>
        <w:t xml:space="preserve"> </w:t>
      </w:r>
      <w:r>
        <w:rPr>
          <w:sz w:val="13"/>
        </w:rPr>
        <w:t>Expertos en</w:t>
      </w:r>
      <w:r>
        <w:rPr>
          <w:spacing w:val="1"/>
          <w:sz w:val="13"/>
        </w:rPr>
        <w:t xml:space="preserve"> </w:t>
      </w:r>
      <w:r>
        <w:rPr>
          <w:sz w:val="13"/>
        </w:rPr>
        <w:t>Aplicación de</w:t>
      </w:r>
      <w:r>
        <w:rPr>
          <w:spacing w:val="1"/>
          <w:sz w:val="13"/>
        </w:rPr>
        <w:t xml:space="preserve"> </w:t>
      </w:r>
      <w:r>
        <w:rPr>
          <w:sz w:val="13"/>
        </w:rPr>
        <w:t>Convenios y</w:t>
      </w:r>
      <w:r>
        <w:rPr>
          <w:spacing w:val="1"/>
          <w:sz w:val="13"/>
        </w:rPr>
        <w:t xml:space="preserve"> </w:t>
      </w:r>
      <w:r>
        <w:rPr>
          <w:sz w:val="13"/>
        </w:rPr>
        <w:t>Recomendaciones”,</w:t>
      </w:r>
      <w:r>
        <w:rPr>
          <w:spacing w:val="1"/>
          <w:sz w:val="13"/>
        </w:rPr>
        <w:t xml:space="preserve"> </w:t>
      </w:r>
      <w:r>
        <w:rPr>
          <w:sz w:val="13"/>
        </w:rPr>
        <w:t>Informe</w:t>
      </w:r>
      <w:r>
        <w:rPr>
          <w:spacing w:val="1"/>
          <w:sz w:val="13"/>
        </w:rPr>
        <w:t xml:space="preserve"> </w:t>
      </w:r>
      <w:r>
        <w:rPr>
          <w:sz w:val="13"/>
        </w:rPr>
        <w:t>III (Parte</w:t>
      </w:r>
      <w:r>
        <w:rPr>
          <w:spacing w:val="1"/>
          <w:sz w:val="13"/>
        </w:rPr>
        <w:t xml:space="preserve"> </w:t>
      </w:r>
      <w:r>
        <w:rPr>
          <w:sz w:val="13"/>
        </w:rPr>
        <w:t>1A), párr.</w:t>
      </w:r>
      <w:r>
        <w:rPr>
          <w:spacing w:val="1"/>
          <w:sz w:val="13"/>
        </w:rPr>
        <w:t xml:space="preserve"> </w:t>
      </w:r>
      <w:r>
        <w:rPr>
          <w:spacing w:val="-4"/>
          <w:sz w:val="13"/>
        </w:rPr>
        <w:t>109.</w:t>
      </w:r>
    </w:p>
    <w:p w14:paraId="0D4E2F5C" w14:textId="77777777" w:rsidR="0014798C" w:rsidRDefault="0014798C">
      <w:pPr>
        <w:pStyle w:val="Textoindependiente"/>
        <w:rPr>
          <w:sz w:val="19"/>
        </w:rPr>
      </w:pPr>
    </w:p>
    <w:p w14:paraId="0B7B8B41" w14:textId="77777777" w:rsidR="0014798C" w:rsidRDefault="0014798C">
      <w:pPr>
        <w:pStyle w:val="Textoindependiente"/>
        <w:spacing w:before="201"/>
        <w:rPr>
          <w:sz w:val="19"/>
        </w:rPr>
      </w:pPr>
    </w:p>
    <w:p w14:paraId="1D9A043F" w14:textId="77777777" w:rsidR="0014798C" w:rsidRDefault="004E1F0B">
      <w:pPr>
        <w:ind w:left="556"/>
        <w:rPr>
          <w:sz w:val="19"/>
        </w:rPr>
      </w:pPr>
      <w:r>
        <w:rPr>
          <w:spacing w:val="-5"/>
          <w:sz w:val="19"/>
        </w:rPr>
        <w:t>38</w:t>
      </w:r>
    </w:p>
    <w:p w14:paraId="38A1B13D" w14:textId="77777777" w:rsidR="0014798C" w:rsidRDefault="0014798C">
      <w:pPr>
        <w:rPr>
          <w:sz w:val="19"/>
        </w:rPr>
        <w:sectPr w:rsidR="0014798C" w:rsidSect="00F265E4">
          <w:type w:val="continuous"/>
          <w:pgSz w:w="11900" w:h="16820"/>
          <w:pgMar w:top="40" w:right="0" w:bottom="280" w:left="200" w:header="121" w:footer="0" w:gutter="0"/>
          <w:cols w:space="720"/>
        </w:sectPr>
      </w:pPr>
    </w:p>
    <w:p w14:paraId="2E194E86" w14:textId="77777777" w:rsidR="0014798C" w:rsidRDefault="0014798C">
      <w:pPr>
        <w:pStyle w:val="Textoindependiente"/>
        <w:spacing w:before="51"/>
        <w:rPr>
          <w:sz w:val="14"/>
        </w:rPr>
      </w:pPr>
    </w:p>
    <w:p w14:paraId="1BE62A99" w14:textId="77777777" w:rsidR="0014798C" w:rsidRDefault="004E1F0B">
      <w:pPr>
        <w:ind w:left="1111"/>
        <w:rPr>
          <w:sz w:val="14"/>
        </w:rPr>
      </w:pPr>
      <w:r>
        <w:rPr>
          <w:color w:val="00AC59"/>
          <w:sz w:val="14"/>
        </w:rPr>
        <w:t>SEGUNDA</w:t>
      </w:r>
      <w:r>
        <w:rPr>
          <w:color w:val="00AC59"/>
          <w:spacing w:val="-5"/>
          <w:sz w:val="14"/>
        </w:rPr>
        <w:t xml:space="preserve"> </w:t>
      </w:r>
      <w:r>
        <w:rPr>
          <w:color w:val="00AC59"/>
          <w:sz w:val="14"/>
        </w:rPr>
        <w:t>PARTE:</w:t>
      </w:r>
      <w:r>
        <w:rPr>
          <w:color w:val="00AC59"/>
          <w:spacing w:val="-5"/>
          <w:sz w:val="14"/>
        </w:rPr>
        <w:t xml:space="preserve"> </w:t>
      </w:r>
      <w:r>
        <w:rPr>
          <w:color w:val="00AC59"/>
          <w:sz w:val="14"/>
        </w:rPr>
        <w:t>CONTENIDO</w:t>
      </w:r>
      <w:r>
        <w:rPr>
          <w:color w:val="00AC59"/>
          <w:spacing w:val="-4"/>
          <w:sz w:val="14"/>
        </w:rPr>
        <w:t xml:space="preserve"> </w:t>
      </w:r>
      <w:r>
        <w:rPr>
          <w:color w:val="00AC59"/>
          <w:sz w:val="14"/>
        </w:rPr>
        <w:t>DE</w:t>
      </w:r>
      <w:r>
        <w:rPr>
          <w:color w:val="00AC59"/>
          <w:spacing w:val="-5"/>
          <w:sz w:val="14"/>
        </w:rPr>
        <w:t xml:space="preserve"> </w:t>
      </w:r>
      <w:r>
        <w:rPr>
          <w:color w:val="00AC59"/>
          <w:sz w:val="14"/>
        </w:rPr>
        <w:t>LA</w:t>
      </w:r>
      <w:r>
        <w:rPr>
          <w:color w:val="00AC59"/>
          <w:spacing w:val="-4"/>
          <w:sz w:val="14"/>
        </w:rPr>
        <w:t xml:space="preserve"> </w:t>
      </w:r>
      <w:r>
        <w:rPr>
          <w:color w:val="00AC59"/>
          <w:sz w:val="14"/>
        </w:rPr>
        <w:t>LEY</w:t>
      </w:r>
      <w:r>
        <w:rPr>
          <w:color w:val="00AC59"/>
          <w:spacing w:val="-4"/>
          <w:sz w:val="14"/>
        </w:rPr>
        <w:t xml:space="preserve"> </w:t>
      </w:r>
      <w:r>
        <w:rPr>
          <w:color w:val="00AC59"/>
          <w:sz w:val="14"/>
        </w:rPr>
        <w:t>INTEGRAL</w:t>
      </w:r>
      <w:r>
        <w:rPr>
          <w:color w:val="00AC59"/>
          <w:spacing w:val="-5"/>
          <w:sz w:val="14"/>
        </w:rPr>
        <w:t xml:space="preserve"> </w:t>
      </w:r>
      <w:r>
        <w:rPr>
          <w:color w:val="00AC59"/>
          <w:spacing w:val="-2"/>
          <w:sz w:val="14"/>
        </w:rPr>
        <w:t>ANTIDISCRIMINACIÓN</w:t>
      </w:r>
    </w:p>
    <w:p w14:paraId="67FCE0BC" w14:textId="77777777" w:rsidR="0014798C" w:rsidRDefault="0014798C">
      <w:pPr>
        <w:pStyle w:val="Textoindependiente"/>
      </w:pPr>
    </w:p>
    <w:p w14:paraId="6B466C21" w14:textId="77777777" w:rsidR="0014798C" w:rsidRDefault="0014798C">
      <w:pPr>
        <w:pStyle w:val="Textoindependiente"/>
      </w:pPr>
    </w:p>
    <w:p w14:paraId="07AF140B" w14:textId="77777777" w:rsidR="0014798C" w:rsidRDefault="0014798C">
      <w:pPr>
        <w:pStyle w:val="Textoindependiente"/>
      </w:pPr>
    </w:p>
    <w:p w14:paraId="62A0ACC1" w14:textId="77777777" w:rsidR="0014798C" w:rsidRDefault="0014798C">
      <w:pPr>
        <w:pStyle w:val="Textoindependiente"/>
      </w:pPr>
    </w:p>
    <w:p w14:paraId="4910623F" w14:textId="77777777" w:rsidR="0014798C" w:rsidRDefault="0014798C">
      <w:pPr>
        <w:pStyle w:val="Textoindependiente"/>
        <w:spacing w:before="61"/>
      </w:pPr>
    </w:p>
    <w:p w14:paraId="1495E793" w14:textId="77777777" w:rsidR="0014798C" w:rsidRDefault="004E1F0B">
      <w:pPr>
        <w:pStyle w:val="Textoindependiente"/>
        <w:spacing w:line="326" w:lineRule="auto"/>
        <w:ind w:left="1108" w:right="1214" w:firstLine="3"/>
      </w:pPr>
      <w:r>
        <w:t>o efecto” de “violar la dignidad de una persona” y de “crear un ambiente intimidante, hostil, degradante, humillante u ofensivo”.277</w:t>
      </w:r>
      <w:r>
        <w:rPr>
          <w:spacing w:val="40"/>
        </w:rPr>
        <w:t xml:space="preserve"> </w:t>
      </w:r>
      <w:r>
        <w:t>El</w:t>
      </w:r>
      <w:r>
        <w:rPr>
          <w:spacing w:val="11"/>
        </w:rPr>
        <w:t xml:space="preserve"> </w:t>
      </w:r>
      <w:r>
        <w:t>Comité</w:t>
      </w:r>
      <w:r>
        <w:rPr>
          <w:spacing w:val="11"/>
        </w:rPr>
        <w:t xml:space="preserve"> </w:t>
      </w:r>
      <w:r>
        <w:t>de</w:t>
      </w:r>
      <w:r>
        <w:rPr>
          <w:spacing w:val="11"/>
        </w:rPr>
        <w:t xml:space="preserve"> </w:t>
      </w:r>
      <w:r>
        <w:t>Derechos</w:t>
      </w:r>
      <w:r>
        <w:rPr>
          <w:spacing w:val="11"/>
        </w:rPr>
        <w:t xml:space="preserve"> </w:t>
      </w:r>
      <w:r>
        <w:t>Económicos,</w:t>
      </w:r>
      <w:r>
        <w:rPr>
          <w:spacing w:val="13"/>
        </w:rPr>
        <w:t xml:space="preserve"> </w:t>
      </w:r>
      <w:r>
        <w:t>Sociales</w:t>
      </w:r>
      <w:r>
        <w:rPr>
          <w:spacing w:val="11"/>
        </w:rPr>
        <w:t xml:space="preserve"> </w:t>
      </w:r>
      <w:r>
        <w:t>y</w:t>
      </w:r>
      <w:r>
        <w:rPr>
          <w:spacing w:val="11"/>
        </w:rPr>
        <w:t xml:space="preserve"> </w:t>
      </w:r>
      <w:r>
        <w:t>Culturales</w:t>
      </w:r>
      <w:r>
        <w:rPr>
          <w:spacing w:val="11"/>
        </w:rPr>
        <w:t xml:space="preserve"> </w:t>
      </w:r>
      <w:r>
        <w:t>ha</w:t>
      </w:r>
      <w:r>
        <w:rPr>
          <w:spacing w:val="11"/>
        </w:rPr>
        <w:t xml:space="preserve"> </w:t>
      </w:r>
      <w:r>
        <w:t>instado</w:t>
      </w:r>
      <w:r>
        <w:rPr>
          <w:spacing w:val="11"/>
        </w:rPr>
        <w:t xml:space="preserve"> </w:t>
      </w:r>
      <w:r>
        <w:t>a</w:t>
      </w:r>
      <w:r>
        <w:rPr>
          <w:spacing w:val="11"/>
        </w:rPr>
        <w:t xml:space="preserve"> </w:t>
      </w:r>
      <w:r>
        <w:t>los</w:t>
      </w:r>
      <w:r>
        <w:rPr>
          <w:spacing w:val="11"/>
        </w:rPr>
        <w:t xml:space="preserve"> </w:t>
      </w:r>
      <w:r>
        <w:t>Estados</w:t>
      </w:r>
      <w:r>
        <w:rPr>
          <w:spacing w:val="11"/>
        </w:rPr>
        <w:t xml:space="preserve"> </w:t>
      </w:r>
      <w:r>
        <w:t>a</w:t>
      </w:r>
      <w:r>
        <w:rPr>
          <w:spacing w:val="11"/>
        </w:rPr>
        <w:t xml:space="preserve"> </w:t>
      </w:r>
      <w:r>
        <w:t>“definir</w:t>
      </w:r>
      <w:r>
        <w:rPr>
          <w:spacing w:val="11"/>
        </w:rPr>
        <w:t xml:space="preserve"> </w:t>
      </w:r>
      <w:r>
        <w:t>el</w:t>
      </w:r>
      <w:r>
        <w:rPr>
          <w:spacing w:val="11"/>
        </w:rPr>
        <w:t xml:space="preserve"> </w:t>
      </w:r>
      <w:r>
        <w:t>acoso</w:t>
      </w:r>
      <w:r>
        <w:rPr>
          <w:spacing w:val="11"/>
        </w:rPr>
        <w:t xml:space="preserve"> </w:t>
      </w:r>
      <w:r>
        <w:t>de</w:t>
      </w:r>
      <w:r>
        <w:rPr>
          <w:spacing w:val="11"/>
        </w:rPr>
        <w:t xml:space="preserve"> </w:t>
      </w:r>
      <w:r>
        <w:t>manera</w:t>
      </w:r>
      <w:r>
        <w:rPr>
          <w:spacing w:val="11"/>
        </w:rPr>
        <w:t xml:space="preserve"> </w:t>
      </w:r>
      <w:r>
        <w:t>amplia”</w:t>
      </w:r>
      <w:r>
        <w:rPr>
          <w:spacing w:val="11"/>
        </w:rPr>
        <w:t xml:space="preserve"> </w:t>
      </w:r>
      <w:r>
        <w:t>dentro de</w:t>
      </w:r>
      <w:r>
        <w:rPr>
          <w:spacing w:val="11"/>
        </w:rPr>
        <w:t xml:space="preserve"> </w:t>
      </w:r>
      <w:r>
        <w:t>sus</w:t>
      </w:r>
      <w:r>
        <w:rPr>
          <w:spacing w:val="11"/>
        </w:rPr>
        <w:t xml:space="preserve"> </w:t>
      </w:r>
      <w:r>
        <w:t>leyes</w:t>
      </w:r>
      <w:r>
        <w:rPr>
          <w:spacing w:val="11"/>
        </w:rPr>
        <w:t xml:space="preserve"> </w:t>
      </w:r>
      <w:r>
        <w:t>contra</w:t>
      </w:r>
      <w:r>
        <w:rPr>
          <w:spacing w:val="11"/>
        </w:rPr>
        <w:t xml:space="preserve"> </w:t>
      </w:r>
      <w:r>
        <w:t>la</w:t>
      </w:r>
      <w:r>
        <w:rPr>
          <w:spacing w:val="11"/>
        </w:rPr>
        <w:t xml:space="preserve"> </w:t>
      </w:r>
      <w:r>
        <w:t>discriminación,</w:t>
      </w:r>
      <w:r>
        <w:rPr>
          <w:spacing w:val="13"/>
        </w:rPr>
        <w:t xml:space="preserve"> </w:t>
      </w:r>
      <w:r>
        <w:t>“con</w:t>
      </w:r>
      <w:r>
        <w:rPr>
          <w:spacing w:val="11"/>
        </w:rPr>
        <w:t xml:space="preserve"> </w:t>
      </w:r>
      <w:r>
        <w:t>referencia</w:t>
      </w:r>
      <w:r>
        <w:rPr>
          <w:spacing w:val="11"/>
        </w:rPr>
        <w:t xml:space="preserve"> </w:t>
      </w:r>
      <w:r>
        <w:t>explícita</w:t>
      </w:r>
      <w:r>
        <w:rPr>
          <w:spacing w:val="11"/>
        </w:rPr>
        <w:t xml:space="preserve"> </w:t>
      </w:r>
      <w:r>
        <w:t>al</w:t>
      </w:r>
      <w:r>
        <w:rPr>
          <w:spacing w:val="11"/>
        </w:rPr>
        <w:t xml:space="preserve"> </w:t>
      </w:r>
      <w:r>
        <w:t>acoso</w:t>
      </w:r>
      <w:r>
        <w:rPr>
          <w:spacing w:val="11"/>
        </w:rPr>
        <w:t xml:space="preserve"> </w:t>
      </w:r>
      <w:r>
        <w:t>sexual</w:t>
      </w:r>
      <w:r>
        <w:rPr>
          <w:spacing w:val="11"/>
        </w:rPr>
        <w:t xml:space="preserve"> </w:t>
      </w:r>
      <w:r>
        <w:t>y</w:t>
      </w:r>
      <w:r>
        <w:rPr>
          <w:spacing w:val="11"/>
        </w:rPr>
        <w:t xml:space="preserve"> </w:t>
      </w:r>
      <w:r>
        <w:t>otras</w:t>
      </w:r>
      <w:r>
        <w:rPr>
          <w:spacing w:val="11"/>
        </w:rPr>
        <w:t xml:space="preserve"> </w:t>
      </w:r>
      <w:r>
        <w:t>formas</w:t>
      </w:r>
      <w:r>
        <w:rPr>
          <w:spacing w:val="11"/>
        </w:rPr>
        <w:t xml:space="preserve"> </w:t>
      </w:r>
      <w:r>
        <w:t>de</w:t>
      </w:r>
      <w:r>
        <w:rPr>
          <w:spacing w:val="11"/>
        </w:rPr>
        <w:t xml:space="preserve"> </w:t>
      </w:r>
      <w:r>
        <w:t>acoso,</w:t>
      </w:r>
      <w:r>
        <w:rPr>
          <w:spacing w:val="12"/>
        </w:rPr>
        <w:t xml:space="preserve"> </w:t>
      </w:r>
      <w:r>
        <w:t>como</w:t>
      </w:r>
      <w:r>
        <w:rPr>
          <w:spacing w:val="11"/>
        </w:rPr>
        <w:t xml:space="preserve"> </w:t>
      </w:r>
      <w:r>
        <w:t>por</w:t>
      </w:r>
      <w:r>
        <w:rPr>
          <w:spacing w:val="11"/>
        </w:rPr>
        <w:t xml:space="preserve"> </w:t>
      </w:r>
      <w:r>
        <w:t>motivos</w:t>
      </w:r>
      <w:r>
        <w:rPr>
          <w:spacing w:val="11"/>
        </w:rPr>
        <w:t xml:space="preserve"> </w:t>
      </w:r>
      <w:r>
        <w:t>de sexo, discapacidad, raza, orientación sexual, identidad de género y condición de intersexual”.278</w:t>
      </w:r>
    </w:p>
    <w:p w14:paraId="55E1C054" w14:textId="77777777" w:rsidR="0014798C" w:rsidRDefault="004E1F0B">
      <w:pPr>
        <w:numPr>
          <w:ilvl w:val="0"/>
          <w:numId w:val="78"/>
        </w:numPr>
        <w:tabs>
          <w:tab w:val="left" w:pos="1354"/>
        </w:tabs>
        <w:spacing w:before="167"/>
        <w:ind w:left="1354" w:hanging="239"/>
        <w:rPr>
          <w:sz w:val="20"/>
        </w:rPr>
      </w:pPr>
      <w:r>
        <w:rPr>
          <w:sz w:val="20"/>
        </w:rPr>
        <w:t>Denegación</w:t>
      </w:r>
      <w:r>
        <w:rPr>
          <w:spacing w:val="10"/>
          <w:sz w:val="20"/>
        </w:rPr>
        <w:t xml:space="preserve"> </w:t>
      </w:r>
      <w:r>
        <w:rPr>
          <w:sz w:val="20"/>
        </w:rPr>
        <w:t>de</w:t>
      </w:r>
      <w:r>
        <w:rPr>
          <w:spacing w:val="10"/>
          <w:sz w:val="20"/>
        </w:rPr>
        <w:t xml:space="preserve"> </w:t>
      </w:r>
      <w:r>
        <w:rPr>
          <w:sz w:val="20"/>
        </w:rPr>
        <w:t>ajustes</w:t>
      </w:r>
      <w:r>
        <w:rPr>
          <w:spacing w:val="11"/>
          <w:sz w:val="20"/>
        </w:rPr>
        <w:t xml:space="preserve"> </w:t>
      </w:r>
      <w:r>
        <w:rPr>
          <w:spacing w:val="-2"/>
          <w:sz w:val="20"/>
        </w:rPr>
        <w:t>razonables</w:t>
      </w:r>
    </w:p>
    <w:p w14:paraId="509C2CC2" w14:textId="77777777" w:rsidR="0014798C" w:rsidRDefault="0014798C">
      <w:pPr>
        <w:pStyle w:val="Textoindependiente"/>
      </w:pPr>
    </w:p>
    <w:p w14:paraId="126DEAF1" w14:textId="77777777" w:rsidR="0014798C" w:rsidRDefault="0014798C">
      <w:pPr>
        <w:pStyle w:val="Textoindependiente"/>
        <w:spacing w:before="1"/>
      </w:pPr>
    </w:p>
    <w:p w14:paraId="1DDAD893" w14:textId="77777777" w:rsidR="0014798C" w:rsidRDefault="004E1F0B">
      <w:pPr>
        <w:pStyle w:val="Textoindependiente"/>
        <w:ind w:left="1335"/>
      </w:pPr>
      <w:r>
        <w:rPr>
          <w:noProof/>
        </w:rPr>
        <w:drawing>
          <wp:anchor distT="0" distB="0" distL="0" distR="0" simplePos="0" relativeHeight="251658388" behindDoc="1" locked="0" layoutInCell="1" allowOverlap="1" wp14:anchorId="2907D128" wp14:editId="2BEFB364">
            <wp:simplePos x="0" y="0"/>
            <wp:positionH relativeFrom="page">
              <wp:posOffset>786199</wp:posOffset>
            </wp:positionH>
            <wp:positionV relativeFrom="paragraph">
              <wp:posOffset>-128591</wp:posOffset>
            </wp:positionV>
            <wp:extent cx="6770300" cy="5971666"/>
            <wp:effectExtent l="0" t="0" r="0" b="0"/>
            <wp:wrapNone/>
            <wp:docPr id="121" name="Image 12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21" name="Image 121"/>
                    <pic:cNvPicPr/>
                  </pic:nvPicPr>
                  <pic:blipFill>
                    <a:blip r:embed="rId119" cstate="print"/>
                    <a:stretch>
                      <a:fillRect/>
                    </a:stretch>
                  </pic:blipFill>
                  <pic:spPr>
                    <a:xfrm>
                      <a:off x="0" y="0"/>
                      <a:ext cx="6770300" cy="5971666"/>
                    </a:xfrm>
                    <a:prstGeom prst="rect">
                      <a:avLst/>
                    </a:prstGeom>
                  </pic:spPr>
                </pic:pic>
              </a:graphicData>
            </a:graphic>
          </wp:anchor>
        </w:drawing>
      </w:r>
      <w:r>
        <w:rPr>
          <w:color w:val="FFFFFF"/>
          <w:spacing w:val="-2"/>
        </w:rPr>
        <w:t>RESUMEN</w:t>
      </w:r>
    </w:p>
    <w:p w14:paraId="6FB33BA4" w14:textId="77777777" w:rsidR="0014798C" w:rsidRDefault="0014798C">
      <w:pPr>
        <w:pStyle w:val="Textoindependiente"/>
        <w:spacing w:before="150"/>
      </w:pPr>
    </w:p>
    <w:p w14:paraId="4A040447" w14:textId="77777777" w:rsidR="0014798C" w:rsidRDefault="004E1F0B">
      <w:pPr>
        <w:pStyle w:val="Prrafodelista"/>
        <w:numPr>
          <w:ilvl w:val="1"/>
          <w:numId w:val="78"/>
        </w:numPr>
        <w:tabs>
          <w:tab w:val="left" w:pos="1437"/>
          <w:tab w:val="left" w:pos="1564"/>
        </w:tabs>
        <w:spacing w:line="271" w:lineRule="auto"/>
        <w:ind w:right="3360" w:hanging="228"/>
        <w:rPr>
          <w:color w:val="0075BF"/>
          <w:sz w:val="16"/>
        </w:rPr>
      </w:pPr>
      <w:r>
        <w:rPr>
          <w:noProof/>
        </w:rPr>
        <mc:AlternateContent>
          <mc:Choice Requires="wps">
            <w:drawing>
              <wp:anchor distT="0" distB="0" distL="0" distR="0" simplePos="0" relativeHeight="251658260" behindDoc="0" locked="0" layoutInCell="1" allowOverlap="1" wp14:anchorId="25C1BE39" wp14:editId="14AB61B5">
                <wp:simplePos x="0" y="0"/>
                <wp:positionH relativeFrom="page">
                  <wp:posOffset>7313138</wp:posOffset>
                </wp:positionH>
                <wp:positionV relativeFrom="paragraph">
                  <wp:posOffset>229716</wp:posOffset>
                </wp:positionV>
                <wp:extent cx="83820" cy="281940"/>
                <wp:effectExtent l="0" t="0" r="0" b="0"/>
                <wp:wrapNone/>
                <wp:docPr id="122" name="Textbox 12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83820" cy="281940"/>
                        </a:xfrm>
                        <a:prstGeom prst="rect">
                          <a:avLst/>
                        </a:prstGeom>
                      </wps:spPr>
                      <wps:txbx>
                        <w:txbxContent>
                          <w:p w14:paraId="15355A12" w14:textId="77777777" w:rsidR="0014798C" w:rsidRDefault="004E1F0B">
                            <w:pPr>
                              <w:spacing w:before="19"/>
                              <w:ind w:left="20"/>
                              <w:rPr>
                                <w:sz w:val="8"/>
                              </w:rPr>
                            </w:pPr>
                            <w:r>
                              <w:rPr>
                                <w:color w:val="FFFFFF"/>
                                <w:spacing w:val="-24"/>
                                <w:sz w:val="8"/>
                              </w:rPr>
                              <w:t>I–P</w:t>
                            </w:r>
                            <w:r>
                              <w:rPr>
                                <w:spacing w:val="-24"/>
                                <w:sz w:val="8"/>
                              </w:rPr>
                              <w:t>S</w:t>
                            </w:r>
                            <w:r>
                              <w:rPr>
                                <w:color w:val="FFFFFF"/>
                                <w:spacing w:val="-24"/>
                                <w:sz w:val="8"/>
                              </w:rPr>
                              <w:t>A</w:t>
                            </w:r>
                            <w:r>
                              <w:rPr>
                                <w:spacing w:val="-24"/>
                                <w:sz w:val="8"/>
                              </w:rPr>
                              <w:t>E</w:t>
                            </w:r>
                            <w:r>
                              <w:rPr>
                                <w:color w:val="FFFFFF"/>
                                <w:spacing w:val="-24"/>
                                <w:sz w:val="8"/>
                              </w:rPr>
                              <w:t>R</w:t>
                            </w:r>
                            <w:r>
                              <w:rPr>
                                <w:spacing w:val="-24"/>
                                <w:sz w:val="8"/>
                              </w:rPr>
                              <w:t>G</w:t>
                            </w:r>
                            <w:r>
                              <w:rPr>
                                <w:color w:val="FFFFFF"/>
                                <w:spacing w:val="-24"/>
                                <w:sz w:val="8"/>
                              </w:rPr>
                              <w:t>T</w:t>
                            </w:r>
                            <w:r>
                              <w:rPr>
                                <w:spacing w:val="-24"/>
                                <w:sz w:val="8"/>
                              </w:rPr>
                              <w:t>U</w:t>
                            </w:r>
                            <w:r>
                              <w:rPr>
                                <w:color w:val="FFFFFF"/>
                                <w:spacing w:val="-24"/>
                                <w:sz w:val="8"/>
                              </w:rPr>
                              <w:t>E</w:t>
                            </w:r>
                            <w:r>
                              <w:rPr>
                                <w:spacing w:val="-24"/>
                                <w:sz w:val="8"/>
                              </w:rPr>
                              <w:t>NDA</w:t>
                            </w:r>
                          </w:p>
                        </w:txbxContent>
                      </wps:txbx>
                      <wps:bodyPr vert="vert270" wrap="square" lIns="0" tIns="0" rIns="0" bIns="0" rtlCol="0">
                        <a:noAutofit/>
                      </wps:bodyPr>
                    </wps:wsp>
                  </a:graphicData>
                </a:graphic>
              </wp:anchor>
            </w:drawing>
          </mc:Choice>
          <mc:Fallback>
            <w:pict>
              <v:shape w14:anchorId="25C1BE39" id="Textbox 122" o:spid="_x0000_s1074" type="#_x0000_t202" style="position:absolute;left:0;text-align:left;margin-left:575.85pt;margin-top:18.1pt;width:6.6pt;height:22.2pt;z-index:251658260;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" filled="f" stroked="f">
                <v:textbox style="layout-flow:vertical;mso-layout-flow-alt:bottom-to-top" inset="0,0,0,0">
                  <w:txbxContent>
                    <w:p w14:paraId="15355A12" w14:textId="77777777" w:rsidR="0014798C" w:rsidRDefault="004E1F0B">
                      <w:pPr>
                        <w:spacing w:before="19"/>
                        <w:ind w:left="20"/>
                        <w:rPr>
                          <w:sz w:val="8"/>
                        </w:rPr>
                      </w:pPr>
                      <w:r>
                        <w:rPr>
                          <w:color w:val="FFFFFF"/>
                          <w:spacing w:val="-24"/>
                          <w:sz w:val="8"/>
                        </w:rPr>
                        <w:t>I–P</w:t>
                      </w:r>
                      <w:r>
                        <w:rPr>
                          <w:spacing w:val="-24"/>
                          <w:sz w:val="8"/>
                        </w:rPr>
                        <w:t>S</w:t>
                      </w:r>
                      <w:r>
                        <w:rPr>
                          <w:color w:val="FFFFFF"/>
                          <w:spacing w:val="-24"/>
                          <w:sz w:val="8"/>
                        </w:rPr>
                        <w:t>A</w:t>
                      </w:r>
                      <w:r>
                        <w:rPr>
                          <w:spacing w:val="-24"/>
                          <w:sz w:val="8"/>
                        </w:rPr>
                        <w:t>E</w:t>
                      </w:r>
                      <w:r>
                        <w:rPr>
                          <w:color w:val="FFFFFF"/>
                          <w:spacing w:val="-24"/>
                          <w:sz w:val="8"/>
                        </w:rPr>
                        <w:t>R</w:t>
                      </w:r>
                      <w:r>
                        <w:rPr>
                          <w:spacing w:val="-24"/>
                          <w:sz w:val="8"/>
                        </w:rPr>
                        <w:t>G</w:t>
                      </w:r>
                      <w:r>
                        <w:rPr>
                          <w:color w:val="FFFFFF"/>
                          <w:spacing w:val="-24"/>
                          <w:sz w:val="8"/>
                        </w:rPr>
                        <w:t>T</w:t>
                      </w:r>
                      <w:r>
                        <w:rPr>
                          <w:spacing w:val="-24"/>
                          <w:sz w:val="8"/>
                        </w:rPr>
                        <w:t>U</w:t>
                      </w:r>
                      <w:r>
                        <w:rPr>
                          <w:color w:val="FFFFFF"/>
                          <w:spacing w:val="-24"/>
                          <w:sz w:val="8"/>
                        </w:rPr>
                        <w:t>E</w:t>
                      </w:r>
                      <w:r>
                        <w:rPr>
                          <w:spacing w:val="-24"/>
                          <w:sz w:val="8"/>
                        </w:rPr>
                        <w:t>NDA</w:t>
                      </w:r>
                    </w:p>
                  </w:txbxContent>
                </v:textbox>
                <w10:wrap anchorx="page"/>
              </v:shape>
            </w:pict>
          </mc:Fallback>
        </mc:AlternateContent>
      </w:r>
      <w:r>
        <w:rPr>
          <w:sz w:val="16"/>
        </w:rPr>
        <w:t>La denegación de ajustes razonables es una forma de discriminación que debería prohibirse en ley de discriminación. Debe definirse de la siguiente manera:</w:t>
      </w:r>
    </w:p>
    <w:p w14:paraId="172501D2" w14:textId="77777777" w:rsidR="0014798C" w:rsidRDefault="0014798C">
      <w:pPr>
        <w:pStyle w:val="Textoindependiente"/>
        <w:spacing w:before="13"/>
      </w:pPr>
    </w:p>
    <w:p w14:paraId="01C38998" w14:textId="77777777" w:rsidR="0014798C" w:rsidRDefault="004E1F0B">
      <w:pPr>
        <w:pStyle w:val="Textoindependiente"/>
        <w:spacing w:line="326" w:lineRule="auto"/>
        <w:ind w:left="1955" w:right="2004" w:firstLine="2"/>
      </w:pPr>
      <w:r>
        <w:t>Por ajustes razonables se entiende modificaciones, ajustes o apoyo necesarios y apropiados, que no</w:t>
      </w:r>
      <w:r>
        <w:rPr>
          <w:spacing w:val="40"/>
        </w:rPr>
        <w:t xml:space="preserve"> </w:t>
      </w:r>
      <w:r>
        <w:t>impongan una carga desproporcionada o indebida, para garantizar el disfrute o ejercicio, en igualdad de condiciones con los demás, de los derechos humanos y las libertades fundamentales y la participación</w:t>
      </w:r>
    </w:p>
    <w:p w14:paraId="45823774" w14:textId="77777777" w:rsidR="0014798C" w:rsidRDefault="004E1F0B">
      <w:pPr>
        <w:pStyle w:val="Textoindependiente"/>
        <w:spacing w:line="271" w:lineRule="auto"/>
        <w:ind w:left="1959" w:right="1840" w:hanging="4"/>
      </w:pPr>
      <w:r>
        <w:t>igualitaria en cualquier área de la vida regulada por la ley. La denegación de ajustes razonables es una forma de discriminación.</w:t>
      </w:r>
    </w:p>
    <w:p w14:paraId="2F962F91" w14:textId="77777777" w:rsidR="0014798C" w:rsidRDefault="0014798C">
      <w:pPr>
        <w:pStyle w:val="Textoindependiente"/>
      </w:pPr>
    </w:p>
    <w:p w14:paraId="2FAB90AA" w14:textId="77777777" w:rsidR="0014798C" w:rsidRDefault="0014798C">
      <w:pPr>
        <w:pStyle w:val="Textoindependiente"/>
        <w:spacing w:before="167"/>
      </w:pPr>
    </w:p>
    <w:p w14:paraId="63D98C11" w14:textId="77777777" w:rsidR="0014798C" w:rsidRDefault="004E1F0B">
      <w:pPr>
        <w:pStyle w:val="Textoindependiente"/>
        <w:spacing w:line="326" w:lineRule="auto"/>
        <w:ind w:left="1103" w:right="1256" w:firstLine="3"/>
      </w:pPr>
      <w:r>
        <w:t>Para</w:t>
      </w:r>
      <w:r>
        <w:rPr>
          <w:spacing w:val="13"/>
        </w:rPr>
        <w:t xml:space="preserve"> </w:t>
      </w:r>
      <w:r>
        <w:t>garantizar</w:t>
      </w:r>
      <w:r>
        <w:rPr>
          <w:spacing w:val="13"/>
        </w:rPr>
        <w:t xml:space="preserve"> </w:t>
      </w:r>
      <w:r>
        <w:t>que</w:t>
      </w:r>
      <w:r>
        <w:rPr>
          <w:spacing w:val="13"/>
        </w:rPr>
        <w:t xml:space="preserve"> </w:t>
      </w:r>
      <w:r>
        <w:t>todos</w:t>
      </w:r>
      <w:r>
        <w:rPr>
          <w:spacing w:val="13"/>
        </w:rPr>
        <w:t xml:space="preserve"> </w:t>
      </w:r>
      <w:r>
        <w:t>los</w:t>
      </w:r>
      <w:r>
        <w:rPr>
          <w:spacing w:val="13"/>
        </w:rPr>
        <w:t xml:space="preserve"> </w:t>
      </w:r>
      <w:r>
        <w:t>individuos</w:t>
      </w:r>
      <w:r>
        <w:rPr>
          <w:spacing w:val="13"/>
        </w:rPr>
        <w:t xml:space="preserve"> </w:t>
      </w:r>
      <w:r>
        <w:t>puedan</w:t>
      </w:r>
      <w:r>
        <w:rPr>
          <w:spacing w:val="13"/>
        </w:rPr>
        <w:t xml:space="preserve"> </w:t>
      </w:r>
      <w:r>
        <w:t>participar</w:t>
      </w:r>
      <w:r>
        <w:rPr>
          <w:spacing w:val="13"/>
        </w:rPr>
        <w:t xml:space="preserve"> </w:t>
      </w:r>
      <w:r>
        <w:t>en</w:t>
      </w:r>
      <w:r>
        <w:rPr>
          <w:spacing w:val="13"/>
        </w:rPr>
        <w:t xml:space="preserve"> </w:t>
      </w:r>
      <w:r>
        <w:t>la</w:t>
      </w:r>
      <w:r>
        <w:rPr>
          <w:spacing w:val="13"/>
        </w:rPr>
        <w:t xml:space="preserve"> </w:t>
      </w:r>
      <w:r>
        <w:t>sociedad</w:t>
      </w:r>
      <w:r>
        <w:rPr>
          <w:spacing w:val="13"/>
        </w:rPr>
        <w:t xml:space="preserve"> </w:t>
      </w:r>
      <w:r>
        <w:t>en</w:t>
      </w:r>
      <w:r>
        <w:rPr>
          <w:spacing w:val="13"/>
        </w:rPr>
        <w:t xml:space="preserve"> </w:t>
      </w:r>
      <w:r>
        <w:t>igualdad</w:t>
      </w:r>
      <w:r>
        <w:rPr>
          <w:spacing w:val="13"/>
        </w:rPr>
        <w:t xml:space="preserve"> </w:t>
      </w:r>
      <w:r>
        <w:t>de</w:t>
      </w:r>
      <w:r>
        <w:rPr>
          <w:spacing w:val="13"/>
        </w:rPr>
        <w:t xml:space="preserve"> </w:t>
      </w:r>
      <w:r>
        <w:t>condiciones,</w:t>
      </w:r>
      <w:r>
        <w:rPr>
          <w:spacing w:val="14"/>
        </w:rPr>
        <w:t xml:space="preserve"> </w:t>
      </w:r>
      <w:r>
        <w:t>es</w:t>
      </w:r>
      <w:r>
        <w:rPr>
          <w:spacing w:val="13"/>
        </w:rPr>
        <w:t xml:space="preserve"> </w:t>
      </w:r>
      <w:r>
        <w:t>posible</w:t>
      </w:r>
      <w:r>
        <w:rPr>
          <w:spacing w:val="13"/>
        </w:rPr>
        <w:t xml:space="preserve"> </w:t>
      </w:r>
      <w:r>
        <w:t>que</w:t>
      </w:r>
      <w:r>
        <w:rPr>
          <w:spacing w:val="13"/>
        </w:rPr>
        <w:t xml:space="preserve"> </w:t>
      </w:r>
      <w:r>
        <w:t>se requieran modificaciones o ajustes a las reglas, prácticas, medios de comunicación e infraestructura física o de otro tipo. Estos ajustes</w:t>
      </w:r>
      <w:r>
        <w:rPr>
          <w:spacing w:val="17"/>
        </w:rPr>
        <w:t xml:space="preserve"> </w:t>
      </w:r>
      <w:r>
        <w:t>se</w:t>
      </w:r>
      <w:r>
        <w:rPr>
          <w:spacing w:val="17"/>
        </w:rPr>
        <w:t xml:space="preserve"> </w:t>
      </w:r>
      <w:r>
        <w:t>conocen</w:t>
      </w:r>
      <w:r>
        <w:rPr>
          <w:spacing w:val="17"/>
        </w:rPr>
        <w:t xml:space="preserve"> </w:t>
      </w:r>
      <w:r>
        <w:t>como</w:t>
      </w:r>
      <w:r>
        <w:rPr>
          <w:spacing w:val="17"/>
        </w:rPr>
        <w:t xml:space="preserve"> </w:t>
      </w:r>
      <w:r>
        <w:t>“adaptaciones</w:t>
      </w:r>
      <w:r>
        <w:rPr>
          <w:spacing w:val="17"/>
        </w:rPr>
        <w:t xml:space="preserve"> </w:t>
      </w:r>
      <w:r>
        <w:t>razonables”.</w:t>
      </w:r>
      <w:r>
        <w:rPr>
          <w:spacing w:val="19"/>
        </w:rPr>
        <w:t xml:space="preserve"> </w:t>
      </w:r>
      <w:r>
        <w:t>No</w:t>
      </w:r>
      <w:r>
        <w:rPr>
          <w:spacing w:val="17"/>
        </w:rPr>
        <w:t xml:space="preserve"> </w:t>
      </w:r>
      <w:r>
        <w:t>proporcionar</w:t>
      </w:r>
      <w:r>
        <w:rPr>
          <w:spacing w:val="17"/>
        </w:rPr>
        <w:t xml:space="preserve"> </w:t>
      </w:r>
      <w:r>
        <w:t>ajustes</w:t>
      </w:r>
      <w:r>
        <w:rPr>
          <w:spacing w:val="17"/>
        </w:rPr>
        <w:t xml:space="preserve"> </w:t>
      </w:r>
      <w:r>
        <w:t>razonables</w:t>
      </w:r>
      <w:r>
        <w:rPr>
          <w:spacing w:val="17"/>
        </w:rPr>
        <w:t xml:space="preserve"> </w:t>
      </w:r>
      <w:r>
        <w:t>en</w:t>
      </w:r>
      <w:r>
        <w:rPr>
          <w:spacing w:val="17"/>
        </w:rPr>
        <w:t xml:space="preserve"> </w:t>
      </w:r>
      <w:r>
        <w:t>un</w:t>
      </w:r>
      <w:r>
        <w:rPr>
          <w:spacing w:val="17"/>
        </w:rPr>
        <w:t xml:space="preserve"> </w:t>
      </w:r>
      <w:r>
        <w:t>caso</w:t>
      </w:r>
      <w:r>
        <w:rPr>
          <w:spacing w:val="17"/>
        </w:rPr>
        <w:t xml:space="preserve"> </w:t>
      </w:r>
      <w:r>
        <w:t>particular</w:t>
      </w:r>
      <w:r>
        <w:rPr>
          <w:spacing w:val="17"/>
        </w:rPr>
        <w:t xml:space="preserve"> </w:t>
      </w:r>
      <w:r>
        <w:t>–en</w:t>
      </w:r>
      <w:r>
        <w:rPr>
          <w:spacing w:val="17"/>
        </w:rPr>
        <w:t xml:space="preserve"> </w:t>
      </w:r>
      <w:r>
        <w:t>situaciones en las que dichos ajustes no imponen una “carga desproporcionada o indebida” – se reconoce como una forma de discriminación en el derecho internacional.</w:t>
      </w:r>
    </w:p>
    <w:p w14:paraId="2BDF5EDD" w14:textId="77777777" w:rsidR="0014798C" w:rsidRDefault="0014798C">
      <w:pPr>
        <w:pStyle w:val="Textoindependiente"/>
      </w:pPr>
    </w:p>
    <w:p w14:paraId="33471356" w14:textId="77777777" w:rsidR="0014798C" w:rsidRDefault="0014798C">
      <w:pPr>
        <w:pStyle w:val="Textoindependiente"/>
        <w:spacing w:before="99"/>
      </w:pPr>
    </w:p>
    <w:p w14:paraId="48BD95EB" w14:textId="77777777" w:rsidR="0014798C" w:rsidRDefault="004E1F0B">
      <w:pPr>
        <w:pStyle w:val="Textoindependiente"/>
        <w:spacing w:line="326" w:lineRule="auto"/>
        <w:ind w:left="1331" w:right="4743" w:firstLine="11"/>
      </w:pPr>
      <w:r>
        <w:t>FILIPINAS: AJUSTES RAZONABLES EN BASE A LA DISCAPACIDAD BAJO EL PROYECTO DE LEY INTEGRAL CONTRA LA DISCRIMINACIÓN</w:t>
      </w:r>
    </w:p>
    <w:p w14:paraId="2C2D43BF" w14:textId="77777777" w:rsidR="0014798C" w:rsidRDefault="004E1F0B">
      <w:pPr>
        <w:spacing w:before="100"/>
        <w:ind w:left="1337"/>
        <w:rPr>
          <w:sz w:val="20"/>
        </w:rPr>
      </w:pPr>
      <w:r>
        <w:rPr>
          <w:sz w:val="20"/>
        </w:rPr>
        <w:t>Sección</w:t>
      </w:r>
      <w:r>
        <w:rPr>
          <w:spacing w:val="6"/>
          <w:sz w:val="20"/>
        </w:rPr>
        <w:t xml:space="preserve"> </w:t>
      </w:r>
      <w:r>
        <w:rPr>
          <w:sz w:val="20"/>
        </w:rPr>
        <w:t>3</w:t>
      </w:r>
      <w:r>
        <w:rPr>
          <w:spacing w:val="6"/>
          <w:sz w:val="20"/>
        </w:rPr>
        <w:t xml:space="preserve"> </w:t>
      </w:r>
      <w:r>
        <w:rPr>
          <w:spacing w:val="-5"/>
          <w:sz w:val="20"/>
        </w:rPr>
        <w:t>(u)</w:t>
      </w:r>
    </w:p>
    <w:p w14:paraId="5F8CB506" w14:textId="77777777" w:rsidR="0014798C" w:rsidRDefault="0014798C">
      <w:pPr>
        <w:pStyle w:val="Textoindependiente"/>
        <w:spacing w:before="2"/>
      </w:pPr>
    </w:p>
    <w:p w14:paraId="3409A1B0" w14:textId="77777777" w:rsidR="0014798C" w:rsidRDefault="004E1F0B">
      <w:pPr>
        <w:pStyle w:val="Textoindependiente"/>
        <w:spacing w:line="326" w:lineRule="auto"/>
        <w:ind w:left="1334" w:right="1272" w:firstLine="12"/>
      </w:pPr>
      <w:r>
        <w:t>“Ajustes razonables se refieren a modificaciones y ajustes necesarios y apropiados que no impongan una carga desproporcionada</w:t>
      </w:r>
      <w:r>
        <w:rPr>
          <w:spacing w:val="1"/>
        </w:rPr>
        <w:t xml:space="preserve"> </w:t>
      </w:r>
      <w:r>
        <w:t>o</w:t>
      </w:r>
      <w:r>
        <w:rPr>
          <w:spacing w:val="1"/>
        </w:rPr>
        <w:t xml:space="preserve"> </w:t>
      </w:r>
      <w:r>
        <w:t>indebida,</w:t>
      </w:r>
      <w:r>
        <w:rPr>
          <w:spacing w:val="3"/>
        </w:rPr>
        <w:t xml:space="preserve"> </w:t>
      </w:r>
      <w:r>
        <w:t>cuando</w:t>
      </w:r>
      <w:r>
        <w:rPr>
          <w:spacing w:val="1"/>
        </w:rPr>
        <w:t xml:space="preserve"> </w:t>
      </w:r>
      <w:r>
        <w:t>sean</w:t>
      </w:r>
      <w:r>
        <w:rPr>
          <w:spacing w:val="2"/>
        </w:rPr>
        <w:t xml:space="preserve"> </w:t>
      </w:r>
      <w:r>
        <w:t>necesarios</w:t>
      </w:r>
      <w:r>
        <w:rPr>
          <w:spacing w:val="1"/>
        </w:rPr>
        <w:t xml:space="preserve"> </w:t>
      </w:r>
      <w:r>
        <w:t>en</w:t>
      </w:r>
      <w:r>
        <w:rPr>
          <w:spacing w:val="2"/>
        </w:rPr>
        <w:t xml:space="preserve"> </w:t>
      </w:r>
      <w:r>
        <w:t>un</w:t>
      </w:r>
      <w:r>
        <w:rPr>
          <w:spacing w:val="1"/>
        </w:rPr>
        <w:t xml:space="preserve"> </w:t>
      </w:r>
      <w:r>
        <w:t>caso</w:t>
      </w:r>
      <w:r>
        <w:rPr>
          <w:spacing w:val="1"/>
        </w:rPr>
        <w:t xml:space="preserve"> </w:t>
      </w:r>
      <w:r>
        <w:t>particular,</w:t>
      </w:r>
      <w:r>
        <w:rPr>
          <w:spacing w:val="3"/>
        </w:rPr>
        <w:t xml:space="preserve"> </w:t>
      </w:r>
      <w:r>
        <w:t>para</w:t>
      </w:r>
      <w:r>
        <w:rPr>
          <w:spacing w:val="1"/>
        </w:rPr>
        <w:t xml:space="preserve"> </w:t>
      </w:r>
      <w:r>
        <w:t>garantizar</w:t>
      </w:r>
      <w:r>
        <w:rPr>
          <w:spacing w:val="2"/>
        </w:rPr>
        <w:t xml:space="preserve"> </w:t>
      </w:r>
      <w:r>
        <w:t>a</w:t>
      </w:r>
      <w:r>
        <w:rPr>
          <w:spacing w:val="1"/>
        </w:rPr>
        <w:t xml:space="preserve"> </w:t>
      </w:r>
      <w:r>
        <w:t>las</w:t>
      </w:r>
      <w:r>
        <w:rPr>
          <w:spacing w:val="2"/>
        </w:rPr>
        <w:t xml:space="preserve"> </w:t>
      </w:r>
      <w:r>
        <w:t>personas</w:t>
      </w:r>
      <w:r>
        <w:rPr>
          <w:spacing w:val="1"/>
        </w:rPr>
        <w:t xml:space="preserve"> </w:t>
      </w:r>
      <w:r>
        <w:rPr>
          <w:spacing w:val="-5"/>
        </w:rPr>
        <w:t>con</w:t>
      </w:r>
    </w:p>
    <w:p w14:paraId="708CB619" w14:textId="77777777" w:rsidR="0014798C" w:rsidRDefault="004E1F0B">
      <w:pPr>
        <w:pStyle w:val="Textoindependiente"/>
        <w:spacing w:line="271" w:lineRule="auto"/>
        <w:ind w:left="1335" w:right="1272" w:firstLine="1"/>
      </w:pPr>
      <w:r>
        <w:t>discapacidad el disfrute o ejercicio, en igualdad de condiciones con las demás, de todos los derechos humanos y libertades fundamentales. "</w:t>
      </w:r>
    </w:p>
    <w:p w14:paraId="6132E321" w14:textId="77777777" w:rsidR="0014798C" w:rsidRDefault="0014798C">
      <w:pPr>
        <w:pStyle w:val="Textoindependiente"/>
      </w:pPr>
    </w:p>
    <w:p w14:paraId="7840412D" w14:textId="77777777" w:rsidR="0014798C" w:rsidRDefault="0014798C">
      <w:pPr>
        <w:pStyle w:val="Textoindependiente"/>
        <w:spacing w:before="167"/>
      </w:pPr>
    </w:p>
    <w:p w14:paraId="54115388" w14:textId="77777777" w:rsidR="0014798C" w:rsidRDefault="004E1F0B">
      <w:pPr>
        <w:pStyle w:val="Textoindependiente"/>
        <w:spacing w:before="1" w:line="326" w:lineRule="auto"/>
        <w:ind w:left="1106" w:right="1335" w:firstLine="2"/>
      </w:pPr>
      <w:r>
        <w:t>La</w:t>
      </w:r>
      <w:r>
        <w:rPr>
          <w:spacing w:val="12"/>
        </w:rPr>
        <w:t xml:space="preserve"> </w:t>
      </w:r>
      <w:r>
        <w:t>denegación</w:t>
      </w:r>
      <w:r>
        <w:rPr>
          <w:spacing w:val="12"/>
        </w:rPr>
        <w:t xml:space="preserve"> </w:t>
      </w:r>
      <w:r>
        <w:t>de</w:t>
      </w:r>
      <w:r>
        <w:rPr>
          <w:spacing w:val="12"/>
        </w:rPr>
        <w:t xml:space="preserve"> </w:t>
      </w:r>
      <w:r>
        <w:t>ajustes</w:t>
      </w:r>
      <w:r>
        <w:rPr>
          <w:spacing w:val="12"/>
        </w:rPr>
        <w:t xml:space="preserve"> </w:t>
      </w:r>
      <w:r>
        <w:t>razonables</w:t>
      </w:r>
      <w:r>
        <w:rPr>
          <w:spacing w:val="12"/>
        </w:rPr>
        <w:t xml:space="preserve"> </w:t>
      </w:r>
      <w:r>
        <w:t>está</w:t>
      </w:r>
      <w:r>
        <w:rPr>
          <w:spacing w:val="12"/>
        </w:rPr>
        <w:t xml:space="preserve"> </w:t>
      </w:r>
      <w:r>
        <w:t>incluida</w:t>
      </w:r>
      <w:r>
        <w:rPr>
          <w:spacing w:val="12"/>
        </w:rPr>
        <w:t xml:space="preserve"> </w:t>
      </w:r>
      <w:r>
        <w:t>como</w:t>
      </w:r>
      <w:r>
        <w:rPr>
          <w:spacing w:val="12"/>
        </w:rPr>
        <w:t xml:space="preserve"> </w:t>
      </w:r>
      <w:r>
        <w:t>una</w:t>
      </w:r>
      <w:r>
        <w:rPr>
          <w:spacing w:val="12"/>
        </w:rPr>
        <w:t xml:space="preserve"> </w:t>
      </w:r>
      <w:r>
        <w:t>forma</w:t>
      </w:r>
      <w:r>
        <w:rPr>
          <w:spacing w:val="12"/>
        </w:rPr>
        <w:t xml:space="preserve"> </w:t>
      </w:r>
      <w:r>
        <w:t>de</w:t>
      </w:r>
      <w:r>
        <w:rPr>
          <w:spacing w:val="12"/>
        </w:rPr>
        <w:t xml:space="preserve"> </w:t>
      </w:r>
      <w:r>
        <w:t>discriminación</w:t>
      </w:r>
      <w:r>
        <w:rPr>
          <w:spacing w:val="12"/>
        </w:rPr>
        <w:t xml:space="preserve"> </w:t>
      </w:r>
      <w:r>
        <w:t>por</w:t>
      </w:r>
      <w:r>
        <w:rPr>
          <w:spacing w:val="12"/>
        </w:rPr>
        <w:t xml:space="preserve"> </w:t>
      </w:r>
      <w:r>
        <w:t>discapacidad</w:t>
      </w:r>
      <w:r>
        <w:rPr>
          <w:spacing w:val="12"/>
        </w:rPr>
        <w:t xml:space="preserve"> </w:t>
      </w:r>
      <w:r>
        <w:t>en</w:t>
      </w:r>
      <w:r>
        <w:rPr>
          <w:spacing w:val="12"/>
        </w:rPr>
        <w:t xml:space="preserve"> </w:t>
      </w:r>
      <w:r>
        <w:t>virtud</w:t>
      </w:r>
      <w:r>
        <w:rPr>
          <w:spacing w:val="12"/>
        </w:rPr>
        <w:t xml:space="preserve"> </w:t>
      </w:r>
      <w:r>
        <w:t>del</w:t>
      </w:r>
      <w:r>
        <w:rPr>
          <w:spacing w:val="12"/>
        </w:rPr>
        <w:t xml:space="preserve"> </w:t>
      </w:r>
      <w:r>
        <w:t>artículo</w:t>
      </w:r>
      <w:r>
        <w:rPr>
          <w:spacing w:val="12"/>
        </w:rPr>
        <w:t xml:space="preserve"> </w:t>
      </w:r>
      <w:r>
        <w:t>2 de la Convención sobre los Derechos de las Personas con Discapacidad279 y ha sido reconocida como tal por órganos creados en virtud de tratados, incluido el Comité de Derechos Económicos, Sociales y Culturales,280 el Comité de Derechos Humanos Comité281 y el Comité para la Eliminación de la Discriminación contra la Mujer.282 En su jurisprudencia reciente, la Corte Interamericana</w:t>
      </w:r>
      <w:r>
        <w:rPr>
          <w:spacing w:val="7"/>
        </w:rPr>
        <w:t xml:space="preserve"> </w:t>
      </w:r>
      <w:r>
        <w:t>de</w:t>
      </w:r>
      <w:r>
        <w:rPr>
          <w:spacing w:val="7"/>
        </w:rPr>
        <w:t xml:space="preserve"> </w:t>
      </w:r>
      <w:r>
        <w:t>Derechos</w:t>
      </w:r>
      <w:r>
        <w:rPr>
          <w:spacing w:val="7"/>
        </w:rPr>
        <w:t xml:space="preserve"> </w:t>
      </w:r>
      <w:r>
        <w:t>Humanos</w:t>
      </w:r>
      <w:r>
        <w:rPr>
          <w:spacing w:val="7"/>
        </w:rPr>
        <w:t xml:space="preserve"> </w:t>
      </w:r>
      <w:r>
        <w:t>ha</w:t>
      </w:r>
      <w:r>
        <w:rPr>
          <w:spacing w:val="7"/>
        </w:rPr>
        <w:t xml:space="preserve"> </w:t>
      </w:r>
      <w:r>
        <w:t>encontrado</w:t>
      </w:r>
      <w:r>
        <w:rPr>
          <w:spacing w:val="7"/>
        </w:rPr>
        <w:t xml:space="preserve"> </w:t>
      </w:r>
      <w:r>
        <w:t>una</w:t>
      </w:r>
      <w:r>
        <w:rPr>
          <w:spacing w:val="7"/>
        </w:rPr>
        <w:t xml:space="preserve"> </w:t>
      </w:r>
      <w:r>
        <w:t>violación</w:t>
      </w:r>
      <w:r>
        <w:rPr>
          <w:spacing w:val="7"/>
        </w:rPr>
        <w:t xml:space="preserve"> </w:t>
      </w:r>
      <w:r>
        <w:t>del</w:t>
      </w:r>
      <w:r>
        <w:rPr>
          <w:spacing w:val="7"/>
        </w:rPr>
        <w:t xml:space="preserve"> </w:t>
      </w:r>
      <w:r>
        <w:t>derecho</w:t>
      </w:r>
      <w:r>
        <w:rPr>
          <w:spacing w:val="7"/>
        </w:rPr>
        <w:t xml:space="preserve"> </w:t>
      </w:r>
      <w:r>
        <w:t>a</w:t>
      </w:r>
      <w:r>
        <w:rPr>
          <w:spacing w:val="7"/>
        </w:rPr>
        <w:t xml:space="preserve"> </w:t>
      </w:r>
      <w:r>
        <w:t>la</w:t>
      </w:r>
      <w:r>
        <w:rPr>
          <w:spacing w:val="7"/>
        </w:rPr>
        <w:t xml:space="preserve"> </w:t>
      </w:r>
      <w:r>
        <w:t>no</w:t>
      </w:r>
      <w:r>
        <w:rPr>
          <w:spacing w:val="7"/>
        </w:rPr>
        <w:t xml:space="preserve"> </w:t>
      </w:r>
      <w:r>
        <w:t>discriminación</w:t>
      </w:r>
      <w:r>
        <w:rPr>
          <w:spacing w:val="7"/>
        </w:rPr>
        <w:t xml:space="preserve"> </w:t>
      </w:r>
      <w:r>
        <w:t>consagrado</w:t>
      </w:r>
      <w:r>
        <w:rPr>
          <w:spacing w:val="7"/>
        </w:rPr>
        <w:t xml:space="preserve"> </w:t>
      </w:r>
      <w:r>
        <w:t>en</w:t>
      </w:r>
      <w:r>
        <w:rPr>
          <w:spacing w:val="7"/>
        </w:rPr>
        <w:t xml:space="preserve"> </w:t>
      </w:r>
      <w:r>
        <w:t>el</w:t>
      </w:r>
      <w:r>
        <w:rPr>
          <w:spacing w:val="7"/>
        </w:rPr>
        <w:t xml:space="preserve"> </w:t>
      </w:r>
      <w:r>
        <w:t>artículo 1 (1) de la Convención Americana sobre Derechos Humanos. Derechos por denegación de ajustes razonables y accesibilidad</w:t>
      </w:r>
    </w:p>
    <w:p w14:paraId="37BE6FBC" w14:textId="77777777" w:rsidR="0014798C" w:rsidRDefault="0014798C">
      <w:pPr>
        <w:pStyle w:val="Textoindependiente"/>
        <w:rPr>
          <w:sz w:val="11"/>
        </w:rPr>
      </w:pPr>
    </w:p>
    <w:p w14:paraId="1FD14548" w14:textId="77777777" w:rsidR="0014798C" w:rsidRDefault="0014798C">
      <w:pPr>
        <w:pStyle w:val="Textoindependiente"/>
        <w:rPr>
          <w:sz w:val="11"/>
        </w:rPr>
      </w:pPr>
    </w:p>
    <w:p w14:paraId="3A5BA7A9" w14:textId="77777777" w:rsidR="0014798C" w:rsidRDefault="0014798C">
      <w:pPr>
        <w:pStyle w:val="Textoindependiente"/>
        <w:rPr>
          <w:sz w:val="11"/>
        </w:rPr>
      </w:pPr>
    </w:p>
    <w:p w14:paraId="693BC354" w14:textId="77777777" w:rsidR="0014798C" w:rsidRDefault="0014798C">
      <w:pPr>
        <w:pStyle w:val="Textoindependiente"/>
        <w:rPr>
          <w:sz w:val="11"/>
        </w:rPr>
      </w:pPr>
    </w:p>
    <w:p w14:paraId="34C14B8D" w14:textId="77777777" w:rsidR="0014798C" w:rsidRDefault="0014798C">
      <w:pPr>
        <w:pStyle w:val="Textoindependiente"/>
        <w:rPr>
          <w:sz w:val="11"/>
        </w:rPr>
      </w:pPr>
    </w:p>
    <w:p w14:paraId="767C387C" w14:textId="77777777" w:rsidR="0014798C" w:rsidRDefault="0014798C">
      <w:pPr>
        <w:pStyle w:val="Textoindependiente"/>
        <w:rPr>
          <w:sz w:val="11"/>
        </w:rPr>
      </w:pPr>
    </w:p>
    <w:p w14:paraId="168FEC34" w14:textId="77777777" w:rsidR="0014798C" w:rsidRDefault="0014798C">
      <w:pPr>
        <w:pStyle w:val="Textoindependiente"/>
        <w:spacing w:before="4"/>
        <w:rPr>
          <w:sz w:val="11"/>
        </w:rPr>
      </w:pPr>
    </w:p>
    <w:p w14:paraId="2A6543CF" w14:textId="77777777" w:rsidR="0014798C" w:rsidRDefault="004E1F0B">
      <w:pPr>
        <w:pStyle w:val="Prrafodelista"/>
        <w:numPr>
          <w:ilvl w:val="0"/>
          <w:numId w:val="77"/>
        </w:numPr>
        <w:tabs>
          <w:tab w:val="left" w:pos="1317"/>
          <w:tab w:val="left" w:pos="1366"/>
        </w:tabs>
        <w:spacing w:line="340" w:lineRule="auto"/>
        <w:ind w:right="1807" w:hanging="262"/>
        <w:rPr>
          <w:sz w:val="11"/>
        </w:rPr>
      </w:pPr>
      <w:r>
        <w:rPr>
          <w:sz w:val="11"/>
        </w:rPr>
        <w:t>Comité</w:t>
      </w:r>
      <w:r>
        <w:rPr>
          <w:spacing w:val="-3"/>
          <w:sz w:val="11"/>
        </w:rPr>
        <w:t xml:space="preserve"> </w:t>
      </w:r>
      <w:r>
        <w:rPr>
          <w:sz w:val="11"/>
        </w:rPr>
        <w:t>sobre</w:t>
      </w:r>
      <w:r>
        <w:rPr>
          <w:spacing w:val="-3"/>
          <w:sz w:val="11"/>
        </w:rPr>
        <w:t xml:space="preserve"> </w:t>
      </w:r>
      <w:r>
        <w:rPr>
          <w:sz w:val="11"/>
        </w:rPr>
        <w:t>los</w:t>
      </w:r>
      <w:r>
        <w:rPr>
          <w:spacing w:val="-3"/>
          <w:sz w:val="11"/>
        </w:rPr>
        <w:t xml:space="preserve"> </w:t>
      </w:r>
      <w:r>
        <w:rPr>
          <w:sz w:val="11"/>
        </w:rPr>
        <w:t>Derechos</w:t>
      </w:r>
      <w:r>
        <w:rPr>
          <w:spacing w:val="-4"/>
          <w:sz w:val="11"/>
        </w:rPr>
        <w:t xml:space="preserve"> </w:t>
      </w:r>
      <w:r>
        <w:rPr>
          <w:sz w:val="11"/>
        </w:rPr>
        <w:t>de</w:t>
      </w:r>
      <w:r>
        <w:rPr>
          <w:spacing w:val="-3"/>
          <w:sz w:val="11"/>
        </w:rPr>
        <w:t xml:space="preserve"> </w:t>
      </w:r>
      <w:r>
        <w:rPr>
          <w:sz w:val="11"/>
        </w:rPr>
        <w:t>las</w:t>
      </w:r>
      <w:r>
        <w:rPr>
          <w:spacing w:val="-3"/>
          <w:sz w:val="11"/>
        </w:rPr>
        <w:t xml:space="preserve"> </w:t>
      </w:r>
      <w:r>
        <w:rPr>
          <w:sz w:val="11"/>
        </w:rPr>
        <w:t>Personas</w:t>
      </w:r>
      <w:r>
        <w:rPr>
          <w:spacing w:val="-4"/>
          <w:sz w:val="11"/>
        </w:rPr>
        <w:t xml:space="preserve"> </w:t>
      </w:r>
      <w:r>
        <w:rPr>
          <w:sz w:val="11"/>
        </w:rPr>
        <w:t>con</w:t>
      </w:r>
      <w:r>
        <w:rPr>
          <w:spacing w:val="-3"/>
          <w:sz w:val="11"/>
        </w:rPr>
        <w:t xml:space="preserve"> </w:t>
      </w:r>
      <w:r>
        <w:rPr>
          <w:sz w:val="11"/>
        </w:rPr>
        <w:t>Discapacidad,</w:t>
      </w:r>
      <w:r>
        <w:rPr>
          <w:spacing w:val="-3"/>
          <w:sz w:val="11"/>
        </w:rPr>
        <w:t xml:space="preserve"> </w:t>
      </w:r>
      <w:r>
        <w:rPr>
          <w:sz w:val="11"/>
        </w:rPr>
        <w:t>observación</w:t>
      </w:r>
      <w:r>
        <w:rPr>
          <w:spacing w:val="-3"/>
          <w:sz w:val="11"/>
        </w:rPr>
        <w:t xml:space="preserve"> </w:t>
      </w:r>
      <w:r>
        <w:rPr>
          <w:sz w:val="11"/>
        </w:rPr>
        <w:t>general</w:t>
      </w:r>
      <w:r>
        <w:rPr>
          <w:spacing w:val="-3"/>
          <w:sz w:val="11"/>
        </w:rPr>
        <w:t xml:space="preserve"> </w:t>
      </w:r>
      <w:r>
        <w:rPr>
          <w:sz w:val="11"/>
        </w:rPr>
        <w:t>núm.</w:t>
      </w:r>
      <w:r>
        <w:rPr>
          <w:spacing w:val="-3"/>
          <w:sz w:val="11"/>
        </w:rPr>
        <w:t xml:space="preserve"> </w:t>
      </w:r>
      <w:r>
        <w:rPr>
          <w:sz w:val="11"/>
        </w:rPr>
        <w:t>6</w:t>
      </w:r>
      <w:r>
        <w:rPr>
          <w:spacing w:val="-3"/>
          <w:sz w:val="11"/>
        </w:rPr>
        <w:t xml:space="preserve"> </w:t>
      </w:r>
      <w:r>
        <w:rPr>
          <w:sz w:val="11"/>
        </w:rPr>
        <w:t>(2018),</w:t>
      </w:r>
      <w:r>
        <w:rPr>
          <w:spacing w:val="-3"/>
          <w:sz w:val="11"/>
        </w:rPr>
        <w:t xml:space="preserve"> </w:t>
      </w:r>
      <w:r>
        <w:rPr>
          <w:sz w:val="11"/>
        </w:rPr>
        <w:t>párr.</w:t>
      </w:r>
      <w:r>
        <w:rPr>
          <w:spacing w:val="-3"/>
          <w:sz w:val="11"/>
        </w:rPr>
        <w:t xml:space="preserve"> </w:t>
      </w:r>
      <w:r>
        <w:rPr>
          <w:sz w:val="11"/>
        </w:rPr>
        <w:t>18</w:t>
      </w:r>
      <w:r>
        <w:rPr>
          <w:spacing w:val="-3"/>
          <w:sz w:val="11"/>
        </w:rPr>
        <w:t xml:space="preserve"> </w:t>
      </w:r>
      <w:r>
        <w:rPr>
          <w:sz w:val="11"/>
        </w:rPr>
        <w:t>(d);</w:t>
      </w:r>
      <w:r>
        <w:rPr>
          <w:spacing w:val="-3"/>
          <w:sz w:val="11"/>
        </w:rPr>
        <w:t xml:space="preserve"> </w:t>
      </w:r>
      <w:r>
        <w:rPr>
          <w:sz w:val="11"/>
        </w:rPr>
        <w:t>Directiva</w:t>
      </w:r>
      <w:r>
        <w:rPr>
          <w:spacing w:val="-3"/>
          <w:sz w:val="11"/>
        </w:rPr>
        <w:t xml:space="preserve"> </w:t>
      </w:r>
      <w:r>
        <w:rPr>
          <w:sz w:val="11"/>
        </w:rPr>
        <w:t>2000/43/CE</w:t>
      </w:r>
      <w:r>
        <w:rPr>
          <w:spacing w:val="-3"/>
          <w:sz w:val="11"/>
        </w:rPr>
        <w:t xml:space="preserve"> </w:t>
      </w:r>
      <w:r>
        <w:rPr>
          <w:sz w:val="11"/>
        </w:rPr>
        <w:t>del</w:t>
      </w:r>
      <w:r>
        <w:rPr>
          <w:spacing w:val="-3"/>
          <w:sz w:val="11"/>
        </w:rPr>
        <w:t xml:space="preserve"> </w:t>
      </w:r>
      <w:r>
        <w:rPr>
          <w:sz w:val="11"/>
        </w:rPr>
        <w:t>Consejo,</w:t>
      </w:r>
      <w:r>
        <w:rPr>
          <w:spacing w:val="-3"/>
          <w:sz w:val="11"/>
        </w:rPr>
        <w:t xml:space="preserve"> </w:t>
      </w:r>
      <w:r>
        <w:rPr>
          <w:sz w:val="11"/>
        </w:rPr>
        <w:t>de</w:t>
      </w:r>
      <w:r>
        <w:rPr>
          <w:spacing w:val="-3"/>
          <w:sz w:val="11"/>
        </w:rPr>
        <w:t xml:space="preserve"> </w:t>
      </w:r>
      <w:r>
        <w:rPr>
          <w:sz w:val="11"/>
        </w:rPr>
        <w:t>29</w:t>
      </w:r>
      <w:r>
        <w:rPr>
          <w:spacing w:val="-3"/>
          <w:sz w:val="11"/>
        </w:rPr>
        <w:t xml:space="preserve"> </w:t>
      </w:r>
      <w:r>
        <w:rPr>
          <w:sz w:val="11"/>
        </w:rPr>
        <w:t>de</w:t>
      </w:r>
      <w:r>
        <w:rPr>
          <w:spacing w:val="-3"/>
          <w:sz w:val="11"/>
        </w:rPr>
        <w:t xml:space="preserve"> </w:t>
      </w:r>
      <w:r>
        <w:rPr>
          <w:sz w:val="11"/>
        </w:rPr>
        <w:t>junio</w:t>
      </w:r>
      <w:r>
        <w:rPr>
          <w:spacing w:val="-3"/>
          <w:sz w:val="11"/>
        </w:rPr>
        <w:t xml:space="preserve"> </w:t>
      </w:r>
      <w:r>
        <w:rPr>
          <w:sz w:val="11"/>
        </w:rPr>
        <w:t>de</w:t>
      </w:r>
      <w:r>
        <w:rPr>
          <w:spacing w:val="-3"/>
          <w:sz w:val="11"/>
        </w:rPr>
        <w:t xml:space="preserve"> </w:t>
      </w:r>
      <w:r>
        <w:rPr>
          <w:sz w:val="11"/>
        </w:rPr>
        <w:t>2000,</w:t>
      </w:r>
      <w:r>
        <w:rPr>
          <w:spacing w:val="-3"/>
          <w:sz w:val="11"/>
        </w:rPr>
        <w:t xml:space="preserve"> </w:t>
      </w:r>
      <w:r>
        <w:rPr>
          <w:sz w:val="11"/>
        </w:rPr>
        <w:t>por</w:t>
      </w:r>
      <w:r>
        <w:rPr>
          <w:spacing w:val="40"/>
          <w:sz w:val="11"/>
        </w:rPr>
        <w:t xml:space="preserve"> </w:t>
      </w:r>
      <w:r>
        <w:rPr>
          <w:sz w:val="11"/>
        </w:rPr>
        <w:t>la</w:t>
      </w:r>
      <w:r>
        <w:rPr>
          <w:spacing w:val="-3"/>
          <w:sz w:val="11"/>
        </w:rPr>
        <w:t xml:space="preserve"> </w:t>
      </w:r>
      <w:r>
        <w:rPr>
          <w:sz w:val="11"/>
        </w:rPr>
        <w:t>que</w:t>
      </w:r>
      <w:r>
        <w:rPr>
          <w:spacing w:val="-3"/>
          <w:sz w:val="11"/>
        </w:rPr>
        <w:t xml:space="preserve"> </w:t>
      </w:r>
      <w:r>
        <w:rPr>
          <w:sz w:val="11"/>
        </w:rPr>
        <w:t>se</w:t>
      </w:r>
      <w:r>
        <w:rPr>
          <w:spacing w:val="-3"/>
          <w:sz w:val="11"/>
        </w:rPr>
        <w:t xml:space="preserve"> </w:t>
      </w:r>
      <w:r>
        <w:rPr>
          <w:sz w:val="11"/>
        </w:rPr>
        <w:t>aplica</w:t>
      </w:r>
      <w:r>
        <w:rPr>
          <w:spacing w:val="-3"/>
          <w:sz w:val="11"/>
        </w:rPr>
        <w:t xml:space="preserve"> </w:t>
      </w:r>
      <w:r>
        <w:rPr>
          <w:sz w:val="11"/>
        </w:rPr>
        <w:t>el</w:t>
      </w:r>
      <w:r>
        <w:rPr>
          <w:spacing w:val="-3"/>
          <w:sz w:val="11"/>
        </w:rPr>
        <w:t xml:space="preserve"> </w:t>
      </w:r>
      <w:r>
        <w:rPr>
          <w:sz w:val="11"/>
        </w:rPr>
        <w:t>principio</w:t>
      </w:r>
      <w:r>
        <w:rPr>
          <w:spacing w:val="-3"/>
          <w:sz w:val="11"/>
        </w:rPr>
        <w:t xml:space="preserve"> </w:t>
      </w:r>
      <w:r>
        <w:rPr>
          <w:sz w:val="11"/>
        </w:rPr>
        <w:t>de</w:t>
      </w:r>
      <w:r>
        <w:rPr>
          <w:spacing w:val="-3"/>
          <w:sz w:val="11"/>
        </w:rPr>
        <w:t xml:space="preserve"> </w:t>
      </w:r>
      <w:r>
        <w:rPr>
          <w:sz w:val="11"/>
        </w:rPr>
        <w:t>igualdad</w:t>
      </w:r>
      <w:r>
        <w:rPr>
          <w:spacing w:val="-3"/>
          <w:sz w:val="11"/>
        </w:rPr>
        <w:t xml:space="preserve"> </w:t>
      </w:r>
      <w:r>
        <w:rPr>
          <w:sz w:val="11"/>
        </w:rPr>
        <w:t>de</w:t>
      </w:r>
      <w:r>
        <w:rPr>
          <w:spacing w:val="-3"/>
          <w:sz w:val="11"/>
        </w:rPr>
        <w:t xml:space="preserve"> </w:t>
      </w:r>
      <w:r>
        <w:rPr>
          <w:sz w:val="11"/>
        </w:rPr>
        <w:t>trato</w:t>
      </w:r>
      <w:r>
        <w:rPr>
          <w:spacing w:val="-3"/>
          <w:sz w:val="11"/>
        </w:rPr>
        <w:t xml:space="preserve"> </w:t>
      </w:r>
      <w:r>
        <w:rPr>
          <w:sz w:val="11"/>
        </w:rPr>
        <w:t>entre</w:t>
      </w:r>
      <w:r>
        <w:rPr>
          <w:spacing w:val="-3"/>
          <w:sz w:val="11"/>
        </w:rPr>
        <w:t xml:space="preserve"> </w:t>
      </w:r>
      <w:r>
        <w:rPr>
          <w:sz w:val="11"/>
        </w:rPr>
        <w:t>las</w:t>
      </w:r>
      <w:r>
        <w:rPr>
          <w:spacing w:val="-3"/>
          <w:sz w:val="11"/>
        </w:rPr>
        <w:t xml:space="preserve"> </w:t>
      </w:r>
      <w:r>
        <w:rPr>
          <w:sz w:val="11"/>
        </w:rPr>
        <w:t>personas</w:t>
      </w:r>
      <w:r>
        <w:rPr>
          <w:spacing w:val="-3"/>
          <w:sz w:val="11"/>
        </w:rPr>
        <w:t xml:space="preserve"> </w:t>
      </w:r>
      <w:r>
        <w:rPr>
          <w:sz w:val="11"/>
        </w:rPr>
        <w:t>independientemente</w:t>
      </w:r>
      <w:r>
        <w:rPr>
          <w:spacing w:val="-3"/>
          <w:sz w:val="11"/>
        </w:rPr>
        <w:t xml:space="preserve"> </w:t>
      </w:r>
      <w:r>
        <w:rPr>
          <w:sz w:val="11"/>
        </w:rPr>
        <w:t>de</w:t>
      </w:r>
      <w:r>
        <w:rPr>
          <w:spacing w:val="-3"/>
          <w:sz w:val="11"/>
        </w:rPr>
        <w:t xml:space="preserve"> </w:t>
      </w:r>
      <w:r>
        <w:rPr>
          <w:sz w:val="11"/>
        </w:rPr>
        <w:t>su</w:t>
      </w:r>
      <w:r>
        <w:rPr>
          <w:spacing w:val="-3"/>
          <w:sz w:val="11"/>
        </w:rPr>
        <w:t xml:space="preserve"> </w:t>
      </w:r>
      <w:r>
        <w:rPr>
          <w:sz w:val="11"/>
        </w:rPr>
        <w:t>origen</w:t>
      </w:r>
      <w:r>
        <w:rPr>
          <w:spacing w:val="-3"/>
          <w:sz w:val="11"/>
        </w:rPr>
        <w:t xml:space="preserve"> </w:t>
      </w:r>
      <w:r>
        <w:rPr>
          <w:sz w:val="11"/>
        </w:rPr>
        <w:t>racial</w:t>
      </w:r>
      <w:r>
        <w:rPr>
          <w:spacing w:val="-3"/>
          <w:sz w:val="11"/>
        </w:rPr>
        <w:t xml:space="preserve"> </w:t>
      </w:r>
      <w:r>
        <w:rPr>
          <w:sz w:val="11"/>
        </w:rPr>
        <w:t>o</w:t>
      </w:r>
      <w:r>
        <w:rPr>
          <w:spacing w:val="-3"/>
          <w:sz w:val="11"/>
        </w:rPr>
        <w:t xml:space="preserve"> </w:t>
      </w:r>
      <w:r>
        <w:rPr>
          <w:sz w:val="11"/>
        </w:rPr>
        <w:t>étnico,</w:t>
      </w:r>
      <w:r>
        <w:rPr>
          <w:spacing w:val="-3"/>
          <w:sz w:val="11"/>
        </w:rPr>
        <w:t xml:space="preserve"> </w:t>
      </w:r>
      <w:r>
        <w:rPr>
          <w:sz w:val="11"/>
        </w:rPr>
        <w:t>art.</w:t>
      </w:r>
      <w:r>
        <w:rPr>
          <w:spacing w:val="-3"/>
          <w:sz w:val="11"/>
        </w:rPr>
        <w:t xml:space="preserve"> </w:t>
      </w:r>
      <w:r>
        <w:rPr>
          <w:sz w:val="11"/>
        </w:rPr>
        <w:t>2</w:t>
      </w:r>
      <w:r>
        <w:rPr>
          <w:spacing w:val="-3"/>
          <w:sz w:val="11"/>
        </w:rPr>
        <w:t xml:space="preserve"> </w:t>
      </w:r>
      <w:r>
        <w:rPr>
          <w:sz w:val="11"/>
        </w:rPr>
        <w:t>(</w:t>
      </w:r>
      <w:proofErr w:type="gramStart"/>
      <w:r>
        <w:rPr>
          <w:sz w:val="11"/>
        </w:rPr>
        <w:t>3);</w:t>
      </w:r>
      <w:proofErr w:type="gramEnd"/>
      <w:r>
        <w:rPr>
          <w:spacing w:val="-3"/>
          <w:sz w:val="11"/>
        </w:rPr>
        <w:t xml:space="preserve"> </w:t>
      </w:r>
      <w:r>
        <w:rPr>
          <w:sz w:val="11"/>
        </w:rPr>
        <w:t>Directiva</w:t>
      </w:r>
      <w:r>
        <w:rPr>
          <w:spacing w:val="-3"/>
          <w:sz w:val="11"/>
        </w:rPr>
        <w:t xml:space="preserve"> </w:t>
      </w:r>
      <w:r>
        <w:rPr>
          <w:sz w:val="11"/>
        </w:rPr>
        <w:t>2000/78/CE</w:t>
      </w:r>
      <w:r>
        <w:rPr>
          <w:spacing w:val="-3"/>
          <w:sz w:val="11"/>
        </w:rPr>
        <w:t xml:space="preserve"> </w:t>
      </w:r>
      <w:r>
        <w:rPr>
          <w:sz w:val="11"/>
        </w:rPr>
        <w:t>del</w:t>
      </w:r>
      <w:r>
        <w:rPr>
          <w:spacing w:val="-3"/>
          <w:sz w:val="11"/>
        </w:rPr>
        <w:t xml:space="preserve"> </w:t>
      </w:r>
      <w:r>
        <w:rPr>
          <w:sz w:val="11"/>
        </w:rPr>
        <w:t>Consejo,</w:t>
      </w:r>
      <w:r>
        <w:rPr>
          <w:spacing w:val="-3"/>
          <w:sz w:val="11"/>
        </w:rPr>
        <w:t xml:space="preserve"> </w:t>
      </w:r>
      <w:r>
        <w:rPr>
          <w:sz w:val="11"/>
        </w:rPr>
        <w:t>de</w:t>
      </w:r>
      <w:r>
        <w:rPr>
          <w:spacing w:val="-3"/>
          <w:sz w:val="11"/>
        </w:rPr>
        <w:t xml:space="preserve"> </w:t>
      </w:r>
      <w:r>
        <w:rPr>
          <w:sz w:val="11"/>
        </w:rPr>
        <w:t>27</w:t>
      </w:r>
      <w:r>
        <w:rPr>
          <w:spacing w:val="-3"/>
          <w:sz w:val="11"/>
        </w:rPr>
        <w:t xml:space="preserve"> </w:t>
      </w:r>
      <w:r>
        <w:rPr>
          <w:sz w:val="11"/>
        </w:rPr>
        <w:t>de</w:t>
      </w:r>
      <w:r>
        <w:rPr>
          <w:spacing w:val="40"/>
          <w:sz w:val="11"/>
        </w:rPr>
        <w:t xml:space="preserve"> </w:t>
      </w:r>
      <w:r>
        <w:rPr>
          <w:sz w:val="11"/>
        </w:rPr>
        <w:t>noviembre</w:t>
      </w:r>
      <w:r>
        <w:rPr>
          <w:spacing w:val="-2"/>
          <w:sz w:val="11"/>
        </w:rPr>
        <w:t xml:space="preserve"> </w:t>
      </w:r>
      <w:r>
        <w:rPr>
          <w:sz w:val="11"/>
        </w:rPr>
        <w:t>de</w:t>
      </w:r>
      <w:r>
        <w:rPr>
          <w:spacing w:val="-2"/>
          <w:sz w:val="11"/>
        </w:rPr>
        <w:t xml:space="preserve"> </w:t>
      </w:r>
      <w:r>
        <w:rPr>
          <w:sz w:val="11"/>
        </w:rPr>
        <w:t>2000,</w:t>
      </w:r>
      <w:r>
        <w:rPr>
          <w:spacing w:val="-2"/>
          <w:sz w:val="11"/>
        </w:rPr>
        <w:t xml:space="preserve"> </w:t>
      </w:r>
      <w:r>
        <w:rPr>
          <w:sz w:val="11"/>
        </w:rPr>
        <w:t>por</w:t>
      </w:r>
      <w:r>
        <w:rPr>
          <w:spacing w:val="-2"/>
          <w:sz w:val="11"/>
        </w:rPr>
        <w:t xml:space="preserve"> </w:t>
      </w:r>
      <w:r>
        <w:rPr>
          <w:sz w:val="11"/>
        </w:rPr>
        <w:t>la</w:t>
      </w:r>
      <w:r>
        <w:rPr>
          <w:spacing w:val="-2"/>
          <w:sz w:val="11"/>
        </w:rPr>
        <w:t xml:space="preserve"> </w:t>
      </w:r>
      <w:r>
        <w:rPr>
          <w:sz w:val="11"/>
        </w:rPr>
        <w:t>que</w:t>
      </w:r>
      <w:r>
        <w:rPr>
          <w:spacing w:val="-2"/>
          <w:sz w:val="11"/>
        </w:rPr>
        <w:t xml:space="preserve"> </w:t>
      </w:r>
      <w:r>
        <w:rPr>
          <w:sz w:val="11"/>
        </w:rPr>
        <w:t>se</w:t>
      </w:r>
      <w:r>
        <w:rPr>
          <w:spacing w:val="-2"/>
          <w:sz w:val="11"/>
        </w:rPr>
        <w:t xml:space="preserve"> </w:t>
      </w:r>
      <w:r>
        <w:rPr>
          <w:sz w:val="11"/>
        </w:rPr>
        <w:t>establece</w:t>
      </w:r>
      <w:r>
        <w:rPr>
          <w:spacing w:val="-2"/>
          <w:sz w:val="11"/>
        </w:rPr>
        <w:t xml:space="preserve"> </w:t>
      </w:r>
      <w:r>
        <w:rPr>
          <w:sz w:val="11"/>
        </w:rPr>
        <w:t>un</w:t>
      </w:r>
      <w:r>
        <w:rPr>
          <w:spacing w:val="-2"/>
          <w:sz w:val="11"/>
        </w:rPr>
        <w:t xml:space="preserve"> </w:t>
      </w:r>
      <w:r>
        <w:rPr>
          <w:sz w:val="11"/>
        </w:rPr>
        <w:t>marco</w:t>
      </w:r>
      <w:r>
        <w:rPr>
          <w:spacing w:val="-2"/>
          <w:sz w:val="11"/>
        </w:rPr>
        <w:t xml:space="preserve"> </w:t>
      </w:r>
      <w:r>
        <w:rPr>
          <w:sz w:val="11"/>
        </w:rPr>
        <w:t>general</w:t>
      </w:r>
      <w:r>
        <w:rPr>
          <w:spacing w:val="-2"/>
          <w:sz w:val="11"/>
        </w:rPr>
        <w:t xml:space="preserve"> </w:t>
      </w:r>
      <w:r>
        <w:rPr>
          <w:sz w:val="11"/>
        </w:rPr>
        <w:t>para</w:t>
      </w:r>
      <w:r>
        <w:rPr>
          <w:spacing w:val="-2"/>
          <w:sz w:val="11"/>
        </w:rPr>
        <w:t xml:space="preserve"> </w:t>
      </w:r>
      <w:r>
        <w:rPr>
          <w:sz w:val="11"/>
        </w:rPr>
        <w:t>la</w:t>
      </w:r>
      <w:r>
        <w:rPr>
          <w:spacing w:val="-2"/>
          <w:sz w:val="11"/>
        </w:rPr>
        <w:t xml:space="preserve"> </w:t>
      </w:r>
      <w:r>
        <w:rPr>
          <w:sz w:val="11"/>
        </w:rPr>
        <w:t>igualdad</w:t>
      </w:r>
      <w:r>
        <w:rPr>
          <w:spacing w:val="-2"/>
          <w:sz w:val="11"/>
        </w:rPr>
        <w:t xml:space="preserve"> </w:t>
      </w:r>
      <w:r>
        <w:rPr>
          <w:sz w:val="11"/>
        </w:rPr>
        <w:t>de</w:t>
      </w:r>
      <w:r>
        <w:rPr>
          <w:spacing w:val="-2"/>
          <w:sz w:val="11"/>
        </w:rPr>
        <w:t xml:space="preserve"> </w:t>
      </w:r>
      <w:r>
        <w:rPr>
          <w:sz w:val="11"/>
        </w:rPr>
        <w:t>trato</w:t>
      </w:r>
      <w:r>
        <w:rPr>
          <w:spacing w:val="-3"/>
          <w:sz w:val="11"/>
        </w:rPr>
        <w:t xml:space="preserve"> </w:t>
      </w:r>
      <w:r>
        <w:rPr>
          <w:sz w:val="11"/>
        </w:rPr>
        <w:t>en</w:t>
      </w:r>
      <w:r>
        <w:rPr>
          <w:spacing w:val="-2"/>
          <w:sz w:val="11"/>
        </w:rPr>
        <w:t xml:space="preserve"> </w:t>
      </w:r>
      <w:r>
        <w:rPr>
          <w:sz w:val="11"/>
        </w:rPr>
        <w:t>el</w:t>
      </w:r>
      <w:r>
        <w:rPr>
          <w:spacing w:val="-2"/>
          <w:sz w:val="11"/>
        </w:rPr>
        <w:t xml:space="preserve"> </w:t>
      </w:r>
      <w:r>
        <w:rPr>
          <w:sz w:val="11"/>
        </w:rPr>
        <w:t>empleo</w:t>
      </w:r>
      <w:r>
        <w:rPr>
          <w:spacing w:val="-2"/>
          <w:sz w:val="11"/>
        </w:rPr>
        <w:t xml:space="preserve"> </w:t>
      </w:r>
      <w:r>
        <w:rPr>
          <w:sz w:val="11"/>
        </w:rPr>
        <w:t>y</w:t>
      </w:r>
      <w:r>
        <w:rPr>
          <w:spacing w:val="-2"/>
          <w:sz w:val="11"/>
        </w:rPr>
        <w:t xml:space="preserve"> </w:t>
      </w:r>
      <w:r>
        <w:rPr>
          <w:sz w:val="11"/>
        </w:rPr>
        <w:t>la</w:t>
      </w:r>
      <w:r>
        <w:rPr>
          <w:spacing w:val="-2"/>
          <w:sz w:val="11"/>
        </w:rPr>
        <w:t xml:space="preserve"> </w:t>
      </w:r>
      <w:r>
        <w:rPr>
          <w:sz w:val="11"/>
        </w:rPr>
        <w:t>ocupación,</w:t>
      </w:r>
      <w:r>
        <w:rPr>
          <w:spacing w:val="-2"/>
          <w:sz w:val="11"/>
        </w:rPr>
        <w:t xml:space="preserve"> </w:t>
      </w:r>
      <w:r>
        <w:rPr>
          <w:sz w:val="11"/>
        </w:rPr>
        <w:t>art.</w:t>
      </w:r>
      <w:r>
        <w:rPr>
          <w:spacing w:val="-2"/>
          <w:sz w:val="11"/>
        </w:rPr>
        <w:t xml:space="preserve"> </w:t>
      </w:r>
      <w:r>
        <w:rPr>
          <w:sz w:val="11"/>
        </w:rPr>
        <w:t>2</w:t>
      </w:r>
      <w:r>
        <w:rPr>
          <w:spacing w:val="-2"/>
          <w:sz w:val="11"/>
        </w:rPr>
        <w:t xml:space="preserve"> </w:t>
      </w:r>
      <w:r>
        <w:rPr>
          <w:sz w:val="11"/>
        </w:rPr>
        <w:t>(</w:t>
      </w:r>
      <w:proofErr w:type="gramStart"/>
      <w:r>
        <w:rPr>
          <w:sz w:val="11"/>
        </w:rPr>
        <w:t>3);</w:t>
      </w:r>
      <w:proofErr w:type="gramEnd"/>
      <w:r>
        <w:rPr>
          <w:spacing w:val="-2"/>
          <w:sz w:val="11"/>
        </w:rPr>
        <w:t xml:space="preserve"> </w:t>
      </w:r>
      <w:r>
        <w:rPr>
          <w:sz w:val="11"/>
        </w:rPr>
        <w:t>Directiva</w:t>
      </w:r>
      <w:r>
        <w:rPr>
          <w:spacing w:val="-2"/>
          <w:sz w:val="11"/>
        </w:rPr>
        <w:t xml:space="preserve"> </w:t>
      </w:r>
      <w:r>
        <w:rPr>
          <w:sz w:val="11"/>
        </w:rPr>
        <w:t>2004/113/CE</w:t>
      </w:r>
      <w:r>
        <w:rPr>
          <w:spacing w:val="-2"/>
          <w:sz w:val="11"/>
        </w:rPr>
        <w:t xml:space="preserve"> </w:t>
      </w:r>
      <w:r>
        <w:rPr>
          <w:sz w:val="11"/>
        </w:rPr>
        <w:t>del</w:t>
      </w:r>
      <w:r>
        <w:rPr>
          <w:spacing w:val="-2"/>
          <w:sz w:val="11"/>
        </w:rPr>
        <w:t xml:space="preserve"> </w:t>
      </w:r>
      <w:r>
        <w:rPr>
          <w:sz w:val="11"/>
        </w:rPr>
        <w:t>Consejo,</w:t>
      </w:r>
      <w:r>
        <w:rPr>
          <w:spacing w:val="-2"/>
          <w:sz w:val="11"/>
        </w:rPr>
        <w:t xml:space="preserve"> </w:t>
      </w:r>
      <w:r>
        <w:rPr>
          <w:sz w:val="11"/>
        </w:rPr>
        <w:t>de</w:t>
      </w:r>
      <w:r>
        <w:rPr>
          <w:spacing w:val="-2"/>
          <w:sz w:val="11"/>
        </w:rPr>
        <w:t xml:space="preserve"> </w:t>
      </w:r>
      <w:r>
        <w:rPr>
          <w:sz w:val="11"/>
        </w:rPr>
        <w:t>13</w:t>
      </w:r>
      <w:r>
        <w:rPr>
          <w:spacing w:val="-2"/>
          <w:sz w:val="11"/>
        </w:rPr>
        <w:t xml:space="preserve"> </w:t>
      </w:r>
      <w:r>
        <w:rPr>
          <w:sz w:val="11"/>
        </w:rPr>
        <w:t>de</w:t>
      </w:r>
    </w:p>
    <w:p w14:paraId="09E72987" w14:textId="77777777" w:rsidR="0014798C" w:rsidRDefault="004E1F0B">
      <w:pPr>
        <w:spacing w:before="1" w:line="340" w:lineRule="auto"/>
        <w:ind w:left="1368" w:right="1626" w:firstLine="1"/>
        <w:rPr>
          <w:sz w:val="11"/>
        </w:rPr>
      </w:pPr>
      <w:r>
        <w:rPr>
          <w:sz w:val="11"/>
        </w:rPr>
        <w:t>diciembre</w:t>
      </w:r>
      <w:r>
        <w:rPr>
          <w:spacing w:val="-3"/>
          <w:sz w:val="11"/>
        </w:rPr>
        <w:t xml:space="preserve"> </w:t>
      </w:r>
      <w:r>
        <w:rPr>
          <w:sz w:val="11"/>
        </w:rPr>
        <w:t>de</w:t>
      </w:r>
      <w:r>
        <w:rPr>
          <w:spacing w:val="-3"/>
          <w:sz w:val="11"/>
        </w:rPr>
        <w:t xml:space="preserve"> </w:t>
      </w:r>
      <w:r>
        <w:rPr>
          <w:sz w:val="11"/>
        </w:rPr>
        <w:t>2004,</w:t>
      </w:r>
      <w:r>
        <w:rPr>
          <w:spacing w:val="-3"/>
          <w:sz w:val="11"/>
        </w:rPr>
        <w:t xml:space="preserve"> </w:t>
      </w:r>
      <w:r>
        <w:rPr>
          <w:sz w:val="11"/>
        </w:rPr>
        <w:t>por</w:t>
      </w:r>
      <w:r>
        <w:rPr>
          <w:spacing w:val="-3"/>
          <w:sz w:val="11"/>
        </w:rPr>
        <w:t xml:space="preserve"> </w:t>
      </w:r>
      <w:r>
        <w:rPr>
          <w:sz w:val="11"/>
        </w:rPr>
        <w:t>la</w:t>
      </w:r>
      <w:r>
        <w:rPr>
          <w:spacing w:val="-3"/>
          <w:sz w:val="11"/>
        </w:rPr>
        <w:t xml:space="preserve"> </w:t>
      </w:r>
      <w:r>
        <w:rPr>
          <w:sz w:val="11"/>
        </w:rPr>
        <w:t>que</w:t>
      </w:r>
      <w:r>
        <w:rPr>
          <w:spacing w:val="-3"/>
          <w:sz w:val="11"/>
        </w:rPr>
        <w:t xml:space="preserve"> </w:t>
      </w:r>
      <w:r>
        <w:rPr>
          <w:sz w:val="11"/>
        </w:rPr>
        <w:t>se</w:t>
      </w:r>
      <w:r>
        <w:rPr>
          <w:spacing w:val="-3"/>
          <w:sz w:val="11"/>
        </w:rPr>
        <w:t xml:space="preserve"> </w:t>
      </w:r>
      <w:r>
        <w:rPr>
          <w:sz w:val="11"/>
        </w:rPr>
        <w:t>aplica</w:t>
      </w:r>
      <w:r>
        <w:rPr>
          <w:spacing w:val="-3"/>
          <w:sz w:val="11"/>
        </w:rPr>
        <w:t xml:space="preserve"> </w:t>
      </w:r>
      <w:r>
        <w:rPr>
          <w:sz w:val="11"/>
        </w:rPr>
        <w:t>el</w:t>
      </w:r>
      <w:r>
        <w:rPr>
          <w:spacing w:val="-3"/>
          <w:sz w:val="11"/>
        </w:rPr>
        <w:t xml:space="preserve"> </w:t>
      </w:r>
      <w:r>
        <w:rPr>
          <w:sz w:val="11"/>
        </w:rPr>
        <w:t>principio</w:t>
      </w:r>
      <w:r>
        <w:rPr>
          <w:spacing w:val="-3"/>
          <w:sz w:val="11"/>
        </w:rPr>
        <w:t xml:space="preserve"> </w:t>
      </w:r>
      <w:r>
        <w:rPr>
          <w:sz w:val="11"/>
        </w:rPr>
        <w:t>de</w:t>
      </w:r>
      <w:r>
        <w:rPr>
          <w:spacing w:val="-3"/>
          <w:sz w:val="11"/>
        </w:rPr>
        <w:t xml:space="preserve"> </w:t>
      </w:r>
      <w:r>
        <w:rPr>
          <w:sz w:val="11"/>
        </w:rPr>
        <w:t>igualdad</w:t>
      </w:r>
      <w:r>
        <w:rPr>
          <w:spacing w:val="-3"/>
          <w:sz w:val="11"/>
        </w:rPr>
        <w:t xml:space="preserve"> </w:t>
      </w:r>
      <w:r>
        <w:rPr>
          <w:sz w:val="11"/>
        </w:rPr>
        <w:t>de</w:t>
      </w:r>
      <w:r>
        <w:rPr>
          <w:spacing w:val="-3"/>
          <w:sz w:val="11"/>
        </w:rPr>
        <w:t xml:space="preserve"> </w:t>
      </w:r>
      <w:r>
        <w:rPr>
          <w:sz w:val="11"/>
        </w:rPr>
        <w:t>trato</w:t>
      </w:r>
      <w:r>
        <w:rPr>
          <w:spacing w:val="-4"/>
          <w:sz w:val="11"/>
        </w:rPr>
        <w:t xml:space="preserve"> </w:t>
      </w:r>
      <w:r>
        <w:rPr>
          <w:sz w:val="11"/>
        </w:rPr>
        <w:t>entre</w:t>
      </w:r>
      <w:r>
        <w:rPr>
          <w:spacing w:val="-3"/>
          <w:sz w:val="11"/>
        </w:rPr>
        <w:t xml:space="preserve"> </w:t>
      </w:r>
      <w:r>
        <w:rPr>
          <w:sz w:val="11"/>
        </w:rPr>
        <w:t>hombres</w:t>
      </w:r>
      <w:r>
        <w:rPr>
          <w:spacing w:val="-3"/>
          <w:sz w:val="11"/>
        </w:rPr>
        <w:t xml:space="preserve"> </w:t>
      </w:r>
      <w:r>
        <w:rPr>
          <w:sz w:val="11"/>
        </w:rPr>
        <w:t>y</w:t>
      </w:r>
      <w:r>
        <w:rPr>
          <w:spacing w:val="-3"/>
          <w:sz w:val="11"/>
        </w:rPr>
        <w:t xml:space="preserve"> </w:t>
      </w:r>
      <w:r>
        <w:rPr>
          <w:sz w:val="11"/>
        </w:rPr>
        <w:t>mujeres</w:t>
      </w:r>
      <w:r>
        <w:rPr>
          <w:spacing w:val="-3"/>
          <w:sz w:val="11"/>
        </w:rPr>
        <w:t xml:space="preserve"> </w:t>
      </w:r>
      <w:r>
        <w:rPr>
          <w:sz w:val="11"/>
        </w:rPr>
        <w:t>en</w:t>
      </w:r>
      <w:r>
        <w:rPr>
          <w:spacing w:val="-3"/>
          <w:sz w:val="11"/>
        </w:rPr>
        <w:t xml:space="preserve"> </w:t>
      </w:r>
      <w:r>
        <w:rPr>
          <w:sz w:val="11"/>
        </w:rPr>
        <w:t>el</w:t>
      </w:r>
      <w:r>
        <w:rPr>
          <w:spacing w:val="-3"/>
          <w:sz w:val="11"/>
        </w:rPr>
        <w:t xml:space="preserve"> </w:t>
      </w:r>
      <w:r>
        <w:rPr>
          <w:sz w:val="11"/>
        </w:rPr>
        <w:t>acceso</w:t>
      </w:r>
      <w:r>
        <w:rPr>
          <w:spacing w:val="-3"/>
          <w:sz w:val="11"/>
        </w:rPr>
        <w:t xml:space="preserve"> </w:t>
      </w:r>
      <w:r>
        <w:rPr>
          <w:sz w:val="11"/>
        </w:rPr>
        <w:t>y</w:t>
      </w:r>
      <w:r>
        <w:rPr>
          <w:spacing w:val="-3"/>
          <w:sz w:val="11"/>
        </w:rPr>
        <w:t xml:space="preserve"> </w:t>
      </w:r>
      <w:r>
        <w:rPr>
          <w:sz w:val="11"/>
        </w:rPr>
        <w:t>suministro</w:t>
      </w:r>
      <w:r>
        <w:rPr>
          <w:spacing w:val="-3"/>
          <w:sz w:val="11"/>
        </w:rPr>
        <w:t xml:space="preserve"> </w:t>
      </w:r>
      <w:r>
        <w:rPr>
          <w:sz w:val="11"/>
        </w:rPr>
        <w:t>de</w:t>
      </w:r>
      <w:r>
        <w:rPr>
          <w:spacing w:val="-3"/>
          <w:sz w:val="11"/>
        </w:rPr>
        <w:t xml:space="preserve"> </w:t>
      </w:r>
      <w:r>
        <w:rPr>
          <w:sz w:val="11"/>
        </w:rPr>
        <w:t>bienes</w:t>
      </w:r>
      <w:r>
        <w:rPr>
          <w:spacing w:val="-4"/>
          <w:sz w:val="11"/>
        </w:rPr>
        <w:t xml:space="preserve"> </w:t>
      </w:r>
      <w:r>
        <w:rPr>
          <w:sz w:val="11"/>
        </w:rPr>
        <w:t>y</w:t>
      </w:r>
      <w:r>
        <w:rPr>
          <w:spacing w:val="-3"/>
          <w:sz w:val="11"/>
        </w:rPr>
        <w:t xml:space="preserve"> </w:t>
      </w:r>
      <w:r>
        <w:rPr>
          <w:sz w:val="11"/>
        </w:rPr>
        <w:t>servicios,</w:t>
      </w:r>
      <w:r>
        <w:rPr>
          <w:spacing w:val="-3"/>
          <w:sz w:val="11"/>
        </w:rPr>
        <w:t xml:space="preserve"> </w:t>
      </w:r>
      <w:r>
        <w:rPr>
          <w:sz w:val="11"/>
        </w:rPr>
        <w:t>art.</w:t>
      </w:r>
      <w:r>
        <w:rPr>
          <w:spacing w:val="-3"/>
          <w:sz w:val="11"/>
        </w:rPr>
        <w:t xml:space="preserve"> </w:t>
      </w:r>
      <w:r>
        <w:rPr>
          <w:sz w:val="11"/>
        </w:rPr>
        <w:t>2</w:t>
      </w:r>
      <w:proofErr w:type="gramStart"/>
      <w:r>
        <w:rPr>
          <w:sz w:val="11"/>
        </w:rPr>
        <w:t>c);</w:t>
      </w:r>
      <w:proofErr w:type="gramEnd"/>
      <w:r>
        <w:rPr>
          <w:spacing w:val="-3"/>
          <w:sz w:val="11"/>
        </w:rPr>
        <w:t xml:space="preserve"> </w:t>
      </w:r>
      <w:r>
        <w:rPr>
          <w:sz w:val="11"/>
        </w:rPr>
        <w:t>y</w:t>
      </w:r>
      <w:r>
        <w:rPr>
          <w:spacing w:val="-3"/>
          <w:sz w:val="11"/>
        </w:rPr>
        <w:t xml:space="preserve"> </w:t>
      </w:r>
      <w:r>
        <w:rPr>
          <w:sz w:val="11"/>
        </w:rPr>
        <w:t>Directiva</w:t>
      </w:r>
      <w:r>
        <w:rPr>
          <w:spacing w:val="-3"/>
          <w:sz w:val="11"/>
        </w:rPr>
        <w:t xml:space="preserve"> </w:t>
      </w:r>
      <w:r>
        <w:rPr>
          <w:sz w:val="11"/>
        </w:rPr>
        <w:t>2006/54/CE</w:t>
      </w:r>
      <w:r>
        <w:rPr>
          <w:spacing w:val="40"/>
          <w:sz w:val="11"/>
        </w:rPr>
        <w:t xml:space="preserve"> </w:t>
      </w:r>
      <w:r>
        <w:rPr>
          <w:sz w:val="11"/>
        </w:rPr>
        <w:t>del Parlamento Europeo y del Consejo, de 5 de julio de 2006, sobre la aplicación del principio de igualdad de oportunidades e igualdad de trato entre hombres y mujeres en</w:t>
      </w:r>
    </w:p>
    <w:p w14:paraId="0430E4E8" w14:textId="77777777" w:rsidR="0014798C" w:rsidRDefault="004E1F0B">
      <w:pPr>
        <w:ind w:left="1369"/>
        <w:rPr>
          <w:sz w:val="11"/>
        </w:rPr>
      </w:pPr>
      <w:r>
        <w:rPr>
          <w:sz w:val="11"/>
        </w:rPr>
        <w:t>materia</w:t>
      </w:r>
      <w:r>
        <w:rPr>
          <w:spacing w:val="-6"/>
          <w:sz w:val="11"/>
        </w:rPr>
        <w:t xml:space="preserve"> </w:t>
      </w:r>
      <w:r>
        <w:rPr>
          <w:spacing w:val="-5"/>
          <w:sz w:val="11"/>
        </w:rPr>
        <w:t>de</w:t>
      </w:r>
    </w:p>
    <w:p w14:paraId="62CA48FC" w14:textId="77777777" w:rsidR="0014798C" w:rsidRDefault="004E1F0B">
      <w:pPr>
        <w:spacing w:before="2"/>
        <w:ind w:left="1368"/>
        <w:rPr>
          <w:sz w:val="13"/>
        </w:rPr>
      </w:pPr>
      <w:r>
        <w:rPr>
          <w:spacing w:val="-2"/>
          <w:w w:val="105"/>
          <w:sz w:val="13"/>
        </w:rPr>
        <w:t>empleo</w:t>
      </w:r>
      <w:r>
        <w:rPr>
          <w:spacing w:val="-1"/>
          <w:w w:val="105"/>
          <w:sz w:val="13"/>
        </w:rPr>
        <w:t xml:space="preserve"> </w:t>
      </w:r>
      <w:r>
        <w:rPr>
          <w:spacing w:val="-2"/>
          <w:w w:val="105"/>
          <w:sz w:val="13"/>
        </w:rPr>
        <w:t>y</w:t>
      </w:r>
      <w:r>
        <w:rPr>
          <w:spacing w:val="-1"/>
          <w:w w:val="105"/>
          <w:sz w:val="13"/>
        </w:rPr>
        <w:t xml:space="preserve"> </w:t>
      </w:r>
      <w:r>
        <w:rPr>
          <w:spacing w:val="-2"/>
          <w:w w:val="105"/>
          <w:sz w:val="13"/>
        </w:rPr>
        <w:t>ocupación</w:t>
      </w:r>
      <w:r>
        <w:rPr>
          <w:w w:val="105"/>
          <w:sz w:val="13"/>
        </w:rPr>
        <w:t xml:space="preserve"> </w:t>
      </w:r>
      <w:r>
        <w:rPr>
          <w:spacing w:val="-2"/>
          <w:w w:val="105"/>
          <w:sz w:val="13"/>
        </w:rPr>
        <w:t>(refundición),</w:t>
      </w:r>
      <w:r>
        <w:rPr>
          <w:w w:val="105"/>
          <w:sz w:val="13"/>
        </w:rPr>
        <w:t xml:space="preserve"> </w:t>
      </w:r>
      <w:r>
        <w:rPr>
          <w:spacing w:val="-2"/>
          <w:w w:val="105"/>
          <w:sz w:val="13"/>
        </w:rPr>
        <w:t>art.</w:t>
      </w:r>
      <w:r>
        <w:rPr>
          <w:w w:val="105"/>
          <w:sz w:val="13"/>
        </w:rPr>
        <w:t xml:space="preserve"> </w:t>
      </w:r>
      <w:r>
        <w:rPr>
          <w:spacing w:val="-2"/>
          <w:w w:val="105"/>
          <w:sz w:val="13"/>
        </w:rPr>
        <w:t>2</w:t>
      </w:r>
      <w:r>
        <w:rPr>
          <w:spacing w:val="-1"/>
          <w:w w:val="105"/>
          <w:sz w:val="13"/>
        </w:rPr>
        <w:t xml:space="preserve"> </w:t>
      </w:r>
      <w:r>
        <w:rPr>
          <w:spacing w:val="-2"/>
          <w:w w:val="105"/>
          <w:sz w:val="13"/>
        </w:rPr>
        <w:t>(1)</w:t>
      </w:r>
      <w:r>
        <w:rPr>
          <w:w w:val="105"/>
          <w:sz w:val="13"/>
        </w:rPr>
        <w:t xml:space="preserve"> </w:t>
      </w:r>
      <w:r>
        <w:rPr>
          <w:spacing w:val="-4"/>
          <w:w w:val="105"/>
          <w:sz w:val="13"/>
        </w:rPr>
        <w:t>(c).</w:t>
      </w:r>
    </w:p>
    <w:p w14:paraId="055EC7F0" w14:textId="77777777" w:rsidR="0014798C" w:rsidRDefault="0014798C">
      <w:pPr>
        <w:pStyle w:val="Textoindependiente"/>
        <w:spacing w:before="12"/>
        <w:rPr>
          <w:sz w:val="11"/>
        </w:rPr>
      </w:pPr>
    </w:p>
    <w:p w14:paraId="2028F43E" w14:textId="77777777" w:rsidR="0014798C" w:rsidRDefault="004E1F0B">
      <w:pPr>
        <w:pStyle w:val="Prrafodelista"/>
        <w:numPr>
          <w:ilvl w:val="0"/>
          <w:numId w:val="77"/>
        </w:numPr>
        <w:tabs>
          <w:tab w:val="left" w:pos="1318"/>
        </w:tabs>
        <w:ind w:left="1318" w:hanging="213"/>
        <w:rPr>
          <w:sz w:val="11"/>
        </w:rPr>
      </w:pPr>
      <w:r>
        <w:rPr>
          <w:sz w:val="11"/>
        </w:rPr>
        <w:t>Comité</w:t>
      </w:r>
      <w:r>
        <w:rPr>
          <w:spacing w:val="-7"/>
          <w:sz w:val="11"/>
        </w:rPr>
        <w:t xml:space="preserve"> </w:t>
      </w:r>
      <w:r>
        <w:rPr>
          <w:sz w:val="11"/>
        </w:rPr>
        <w:t>de</w:t>
      </w:r>
      <w:r>
        <w:rPr>
          <w:spacing w:val="-4"/>
          <w:sz w:val="11"/>
        </w:rPr>
        <w:t xml:space="preserve"> </w:t>
      </w:r>
      <w:r>
        <w:rPr>
          <w:sz w:val="11"/>
        </w:rPr>
        <w:t>Derechos</w:t>
      </w:r>
      <w:r>
        <w:rPr>
          <w:spacing w:val="-5"/>
          <w:sz w:val="11"/>
        </w:rPr>
        <w:t xml:space="preserve"> </w:t>
      </w:r>
      <w:r>
        <w:rPr>
          <w:sz w:val="11"/>
        </w:rPr>
        <w:t>Económicos,</w:t>
      </w:r>
      <w:r>
        <w:rPr>
          <w:spacing w:val="-5"/>
          <w:sz w:val="11"/>
        </w:rPr>
        <w:t xml:space="preserve"> </w:t>
      </w:r>
      <w:r>
        <w:rPr>
          <w:sz w:val="11"/>
        </w:rPr>
        <w:t>Sociales</w:t>
      </w:r>
      <w:r>
        <w:rPr>
          <w:spacing w:val="-5"/>
          <w:sz w:val="11"/>
        </w:rPr>
        <w:t xml:space="preserve"> </w:t>
      </w:r>
      <w:r>
        <w:rPr>
          <w:sz w:val="11"/>
        </w:rPr>
        <w:t>y</w:t>
      </w:r>
      <w:r>
        <w:rPr>
          <w:spacing w:val="-4"/>
          <w:sz w:val="11"/>
        </w:rPr>
        <w:t xml:space="preserve"> </w:t>
      </w:r>
      <w:r>
        <w:rPr>
          <w:sz w:val="11"/>
        </w:rPr>
        <w:t>Culturales,</w:t>
      </w:r>
      <w:r>
        <w:rPr>
          <w:spacing w:val="-5"/>
          <w:sz w:val="11"/>
        </w:rPr>
        <w:t xml:space="preserve"> </w:t>
      </w:r>
      <w:r>
        <w:rPr>
          <w:sz w:val="11"/>
        </w:rPr>
        <w:t>observación</w:t>
      </w:r>
      <w:r>
        <w:rPr>
          <w:spacing w:val="-4"/>
          <w:sz w:val="11"/>
        </w:rPr>
        <w:t xml:space="preserve"> </w:t>
      </w:r>
      <w:r>
        <w:rPr>
          <w:sz w:val="11"/>
        </w:rPr>
        <w:t>general</w:t>
      </w:r>
      <w:r>
        <w:rPr>
          <w:spacing w:val="-4"/>
          <w:sz w:val="11"/>
        </w:rPr>
        <w:t xml:space="preserve"> </w:t>
      </w:r>
      <w:r>
        <w:rPr>
          <w:sz w:val="11"/>
        </w:rPr>
        <w:t>núm.</w:t>
      </w:r>
      <w:r>
        <w:rPr>
          <w:spacing w:val="-5"/>
          <w:sz w:val="11"/>
        </w:rPr>
        <w:t xml:space="preserve"> </w:t>
      </w:r>
      <w:r>
        <w:rPr>
          <w:sz w:val="11"/>
        </w:rPr>
        <w:t>23</w:t>
      </w:r>
      <w:r>
        <w:rPr>
          <w:spacing w:val="-4"/>
          <w:sz w:val="11"/>
        </w:rPr>
        <w:t xml:space="preserve"> </w:t>
      </w:r>
      <w:r>
        <w:rPr>
          <w:sz w:val="11"/>
        </w:rPr>
        <w:t>(2016),</w:t>
      </w:r>
      <w:r>
        <w:rPr>
          <w:spacing w:val="-4"/>
          <w:sz w:val="11"/>
        </w:rPr>
        <w:t xml:space="preserve"> </w:t>
      </w:r>
      <w:r>
        <w:rPr>
          <w:sz w:val="11"/>
        </w:rPr>
        <w:t>párr.</w:t>
      </w:r>
      <w:r>
        <w:rPr>
          <w:spacing w:val="-4"/>
          <w:sz w:val="11"/>
        </w:rPr>
        <w:t xml:space="preserve"> </w:t>
      </w:r>
      <w:r>
        <w:rPr>
          <w:spacing w:val="-5"/>
          <w:sz w:val="11"/>
        </w:rPr>
        <w:t>48.</w:t>
      </w:r>
    </w:p>
    <w:p w14:paraId="5E2EAEE3" w14:textId="77777777" w:rsidR="0014798C" w:rsidRDefault="004E1F0B">
      <w:pPr>
        <w:pStyle w:val="Prrafodelista"/>
        <w:numPr>
          <w:ilvl w:val="0"/>
          <w:numId w:val="77"/>
        </w:numPr>
        <w:tabs>
          <w:tab w:val="left" w:pos="1318"/>
        </w:tabs>
        <w:spacing w:before="110"/>
        <w:ind w:left="1318" w:hanging="213"/>
        <w:rPr>
          <w:sz w:val="11"/>
        </w:rPr>
      </w:pPr>
      <w:r>
        <w:rPr>
          <w:sz w:val="11"/>
        </w:rPr>
        <w:t>Véase</w:t>
      </w:r>
      <w:r>
        <w:rPr>
          <w:spacing w:val="-7"/>
          <w:sz w:val="11"/>
        </w:rPr>
        <w:t xml:space="preserve"> </w:t>
      </w:r>
      <w:r>
        <w:rPr>
          <w:sz w:val="11"/>
        </w:rPr>
        <w:t>también</w:t>
      </w:r>
      <w:r>
        <w:rPr>
          <w:spacing w:val="-3"/>
          <w:sz w:val="11"/>
        </w:rPr>
        <w:t xml:space="preserve"> </w:t>
      </w:r>
      <w:r>
        <w:rPr>
          <w:sz w:val="11"/>
        </w:rPr>
        <w:t>Comité</w:t>
      </w:r>
      <w:r>
        <w:rPr>
          <w:spacing w:val="-3"/>
          <w:sz w:val="11"/>
        </w:rPr>
        <w:t xml:space="preserve"> </w:t>
      </w:r>
      <w:r>
        <w:rPr>
          <w:sz w:val="11"/>
        </w:rPr>
        <w:t>sobre</w:t>
      </w:r>
      <w:r>
        <w:rPr>
          <w:spacing w:val="-4"/>
          <w:sz w:val="11"/>
        </w:rPr>
        <w:t xml:space="preserve"> </w:t>
      </w:r>
      <w:r>
        <w:rPr>
          <w:sz w:val="11"/>
        </w:rPr>
        <w:t>los</w:t>
      </w:r>
      <w:r>
        <w:rPr>
          <w:spacing w:val="-3"/>
          <w:sz w:val="11"/>
        </w:rPr>
        <w:t xml:space="preserve"> </w:t>
      </w:r>
      <w:r>
        <w:rPr>
          <w:sz w:val="11"/>
        </w:rPr>
        <w:t>Derechos</w:t>
      </w:r>
      <w:r>
        <w:rPr>
          <w:spacing w:val="-4"/>
          <w:sz w:val="11"/>
        </w:rPr>
        <w:t xml:space="preserve"> </w:t>
      </w:r>
      <w:r>
        <w:rPr>
          <w:sz w:val="11"/>
        </w:rPr>
        <w:t>de</w:t>
      </w:r>
      <w:r>
        <w:rPr>
          <w:spacing w:val="-3"/>
          <w:sz w:val="11"/>
        </w:rPr>
        <w:t xml:space="preserve"> </w:t>
      </w:r>
      <w:r>
        <w:rPr>
          <w:sz w:val="11"/>
        </w:rPr>
        <w:t>las</w:t>
      </w:r>
      <w:r>
        <w:rPr>
          <w:spacing w:val="-4"/>
          <w:sz w:val="11"/>
        </w:rPr>
        <w:t xml:space="preserve"> </w:t>
      </w:r>
      <w:r>
        <w:rPr>
          <w:sz w:val="11"/>
        </w:rPr>
        <w:t>Personas</w:t>
      </w:r>
      <w:r>
        <w:rPr>
          <w:spacing w:val="-4"/>
          <w:sz w:val="11"/>
        </w:rPr>
        <w:t xml:space="preserve"> </w:t>
      </w:r>
      <w:r>
        <w:rPr>
          <w:sz w:val="11"/>
        </w:rPr>
        <w:t>con</w:t>
      </w:r>
      <w:r>
        <w:rPr>
          <w:spacing w:val="-3"/>
          <w:sz w:val="11"/>
        </w:rPr>
        <w:t xml:space="preserve"> </w:t>
      </w:r>
      <w:r>
        <w:rPr>
          <w:sz w:val="11"/>
        </w:rPr>
        <w:t>Discapacidad,</w:t>
      </w:r>
      <w:r>
        <w:rPr>
          <w:spacing w:val="-4"/>
          <w:sz w:val="11"/>
        </w:rPr>
        <w:t xml:space="preserve"> </w:t>
      </w:r>
      <w:r>
        <w:rPr>
          <w:sz w:val="11"/>
        </w:rPr>
        <w:t>observación</w:t>
      </w:r>
      <w:r>
        <w:rPr>
          <w:spacing w:val="-3"/>
          <w:sz w:val="11"/>
        </w:rPr>
        <w:t xml:space="preserve"> </w:t>
      </w:r>
      <w:r>
        <w:rPr>
          <w:sz w:val="11"/>
        </w:rPr>
        <w:t>general</w:t>
      </w:r>
      <w:r>
        <w:rPr>
          <w:spacing w:val="-3"/>
          <w:sz w:val="11"/>
        </w:rPr>
        <w:t xml:space="preserve"> </w:t>
      </w:r>
      <w:r>
        <w:rPr>
          <w:sz w:val="11"/>
        </w:rPr>
        <w:t>núm.</w:t>
      </w:r>
      <w:r>
        <w:rPr>
          <w:spacing w:val="-4"/>
          <w:sz w:val="11"/>
        </w:rPr>
        <w:t xml:space="preserve"> </w:t>
      </w:r>
      <w:r>
        <w:rPr>
          <w:sz w:val="11"/>
        </w:rPr>
        <w:t>6</w:t>
      </w:r>
      <w:r>
        <w:rPr>
          <w:spacing w:val="-3"/>
          <w:sz w:val="11"/>
        </w:rPr>
        <w:t xml:space="preserve"> </w:t>
      </w:r>
      <w:r>
        <w:rPr>
          <w:sz w:val="11"/>
        </w:rPr>
        <w:t>(2018),</w:t>
      </w:r>
      <w:r>
        <w:rPr>
          <w:spacing w:val="-3"/>
          <w:sz w:val="11"/>
        </w:rPr>
        <w:t xml:space="preserve"> </w:t>
      </w:r>
      <w:proofErr w:type="spellStart"/>
      <w:r>
        <w:rPr>
          <w:sz w:val="11"/>
        </w:rPr>
        <w:t>párrs</w:t>
      </w:r>
      <w:proofErr w:type="spellEnd"/>
      <w:r>
        <w:rPr>
          <w:sz w:val="11"/>
        </w:rPr>
        <w:t>.</w:t>
      </w:r>
      <w:r>
        <w:rPr>
          <w:spacing w:val="-4"/>
          <w:sz w:val="11"/>
        </w:rPr>
        <w:t xml:space="preserve"> </w:t>
      </w:r>
      <w:r>
        <w:rPr>
          <w:sz w:val="11"/>
        </w:rPr>
        <w:t>17</w:t>
      </w:r>
      <w:r>
        <w:rPr>
          <w:spacing w:val="-3"/>
          <w:sz w:val="11"/>
        </w:rPr>
        <w:t xml:space="preserve"> </w:t>
      </w:r>
      <w:r>
        <w:rPr>
          <w:sz w:val="11"/>
        </w:rPr>
        <w:t>y</w:t>
      </w:r>
      <w:r>
        <w:rPr>
          <w:spacing w:val="-3"/>
          <w:sz w:val="11"/>
        </w:rPr>
        <w:t xml:space="preserve"> </w:t>
      </w:r>
      <w:r>
        <w:rPr>
          <w:sz w:val="11"/>
        </w:rPr>
        <w:t>18</w:t>
      </w:r>
      <w:r>
        <w:rPr>
          <w:spacing w:val="-3"/>
          <w:sz w:val="11"/>
        </w:rPr>
        <w:t xml:space="preserve"> </w:t>
      </w:r>
      <w:r>
        <w:rPr>
          <w:spacing w:val="-4"/>
          <w:sz w:val="11"/>
        </w:rPr>
        <w:t>(c).</w:t>
      </w:r>
    </w:p>
    <w:p w14:paraId="3FF8156E" w14:textId="77777777" w:rsidR="0014798C" w:rsidRDefault="004E1F0B">
      <w:pPr>
        <w:spacing w:before="58"/>
        <w:ind w:left="1105"/>
        <w:rPr>
          <w:sz w:val="13"/>
        </w:rPr>
      </w:pPr>
      <w:r>
        <w:rPr>
          <w:spacing w:val="-2"/>
          <w:w w:val="105"/>
          <w:sz w:val="13"/>
          <w:vertAlign w:val="superscript"/>
        </w:rPr>
        <w:t>280</w:t>
      </w:r>
      <w:r>
        <w:rPr>
          <w:spacing w:val="72"/>
          <w:w w:val="150"/>
          <w:sz w:val="13"/>
        </w:rPr>
        <w:t xml:space="preserve"> </w:t>
      </w:r>
      <w:r>
        <w:rPr>
          <w:spacing w:val="-2"/>
          <w:w w:val="105"/>
          <w:sz w:val="13"/>
        </w:rPr>
        <w:t>Véase,</w:t>
      </w:r>
      <w:r>
        <w:rPr>
          <w:w w:val="105"/>
          <w:sz w:val="13"/>
        </w:rPr>
        <w:t xml:space="preserve"> </w:t>
      </w:r>
      <w:r>
        <w:rPr>
          <w:spacing w:val="-2"/>
          <w:w w:val="105"/>
          <w:sz w:val="13"/>
        </w:rPr>
        <w:t>por</w:t>
      </w:r>
      <w:r>
        <w:rPr>
          <w:w w:val="105"/>
          <w:sz w:val="13"/>
        </w:rPr>
        <w:t xml:space="preserve"> </w:t>
      </w:r>
      <w:r>
        <w:rPr>
          <w:spacing w:val="-2"/>
          <w:w w:val="105"/>
          <w:sz w:val="13"/>
        </w:rPr>
        <w:t>ejemplo,</w:t>
      </w:r>
      <w:r>
        <w:rPr>
          <w:w w:val="105"/>
          <w:sz w:val="13"/>
        </w:rPr>
        <w:t xml:space="preserve"> </w:t>
      </w:r>
      <w:r>
        <w:rPr>
          <w:spacing w:val="-2"/>
          <w:w w:val="105"/>
          <w:sz w:val="13"/>
        </w:rPr>
        <w:t>Comité</w:t>
      </w:r>
      <w:r>
        <w:rPr>
          <w:w w:val="105"/>
          <w:sz w:val="13"/>
        </w:rPr>
        <w:t xml:space="preserve"> </w:t>
      </w:r>
      <w:r>
        <w:rPr>
          <w:spacing w:val="-2"/>
          <w:w w:val="105"/>
          <w:sz w:val="13"/>
        </w:rPr>
        <w:t>de</w:t>
      </w:r>
      <w:r>
        <w:rPr>
          <w:w w:val="105"/>
          <w:sz w:val="13"/>
        </w:rPr>
        <w:t xml:space="preserve"> </w:t>
      </w:r>
      <w:r>
        <w:rPr>
          <w:spacing w:val="-2"/>
          <w:w w:val="105"/>
          <w:sz w:val="13"/>
        </w:rPr>
        <w:t>Derechos</w:t>
      </w:r>
      <w:r>
        <w:rPr>
          <w:w w:val="105"/>
          <w:sz w:val="13"/>
        </w:rPr>
        <w:t xml:space="preserve"> </w:t>
      </w:r>
      <w:r>
        <w:rPr>
          <w:spacing w:val="-2"/>
          <w:w w:val="105"/>
          <w:sz w:val="13"/>
        </w:rPr>
        <w:t>Económicos,</w:t>
      </w:r>
      <w:r>
        <w:rPr>
          <w:w w:val="105"/>
          <w:sz w:val="13"/>
        </w:rPr>
        <w:t xml:space="preserve"> </w:t>
      </w:r>
      <w:r>
        <w:rPr>
          <w:spacing w:val="-2"/>
          <w:w w:val="105"/>
          <w:sz w:val="13"/>
        </w:rPr>
        <w:t>Sociales</w:t>
      </w:r>
      <w:r>
        <w:rPr>
          <w:w w:val="105"/>
          <w:sz w:val="13"/>
        </w:rPr>
        <w:t xml:space="preserve"> </w:t>
      </w:r>
      <w:r>
        <w:rPr>
          <w:spacing w:val="-2"/>
          <w:w w:val="105"/>
          <w:sz w:val="13"/>
        </w:rPr>
        <w:t>y</w:t>
      </w:r>
      <w:r>
        <w:rPr>
          <w:w w:val="105"/>
          <w:sz w:val="13"/>
        </w:rPr>
        <w:t xml:space="preserve"> </w:t>
      </w:r>
      <w:r>
        <w:rPr>
          <w:spacing w:val="-2"/>
          <w:w w:val="105"/>
          <w:sz w:val="13"/>
        </w:rPr>
        <w:t>Culturales,</w:t>
      </w:r>
      <w:r>
        <w:rPr>
          <w:w w:val="105"/>
          <w:sz w:val="13"/>
        </w:rPr>
        <w:t xml:space="preserve"> </w:t>
      </w:r>
      <w:r>
        <w:rPr>
          <w:spacing w:val="-2"/>
          <w:w w:val="105"/>
          <w:sz w:val="13"/>
        </w:rPr>
        <w:t>observación</w:t>
      </w:r>
      <w:r>
        <w:rPr>
          <w:w w:val="105"/>
          <w:sz w:val="13"/>
        </w:rPr>
        <w:t xml:space="preserve"> </w:t>
      </w:r>
      <w:r>
        <w:rPr>
          <w:spacing w:val="-2"/>
          <w:w w:val="105"/>
          <w:sz w:val="13"/>
        </w:rPr>
        <w:t>general</w:t>
      </w:r>
      <w:r>
        <w:rPr>
          <w:w w:val="105"/>
          <w:sz w:val="13"/>
        </w:rPr>
        <w:t xml:space="preserve"> </w:t>
      </w:r>
      <w:r>
        <w:rPr>
          <w:spacing w:val="-2"/>
          <w:w w:val="105"/>
          <w:sz w:val="13"/>
        </w:rPr>
        <w:t>núm.</w:t>
      </w:r>
      <w:r>
        <w:rPr>
          <w:w w:val="105"/>
          <w:sz w:val="13"/>
        </w:rPr>
        <w:t xml:space="preserve"> </w:t>
      </w:r>
      <w:r>
        <w:rPr>
          <w:spacing w:val="-2"/>
          <w:w w:val="105"/>
          <w:sz w:val="13"/>
        </w:rPr>
        <w:t>20</w:t>
      </w:r>
      <w:r>
        <w:rPr>
          <w:w w:val="105"/>
          <w:sz w:val="13"/>
        </w:rPr>
        <w:t xml:space="preserve"> </w:t>
      </w:r>
      <w:r>
        <w:rPr>
          <w:spacing w:val="-2"/>
          <w:w w:val="105"/>
          <w:sz w:val="13"/>
        </w:rPr>
        <w:t>(2009),</w:t>
      </w:r>
      <w:r>
        <w:rPr>
          <w:w w:val="105"/>
          <w:sz w:val="13"/>
        </w:rPr>
        <w:t xml:space="preserve"> </w:t>
      </w:r>
      <w:r>
        <w:rPr>
          <w:spacing w:val="-2"/>
          <w:w w:val="105"/>
          <w:sz w:val="13"/>
        </w:rPr>
        <w:t>párr.</w:t>
      </w:r>
      <w:r>
        <w:rPr>
          <w:spacing w:val="1"/>
          <w:w w:val="105"/>
          <w:sz w:val="13"/>
        </w:rPr>
        <w:t xml:space="preserve"> </w:t>
      </w:r>
      <w:r>
        <w:rPr>
          <w:spacing w:val="-5"/>
          <w:w w:val="105"/>
          <w:sz w:val="13"/>
        </w:rPr>
        <w:t>28.</w:t>
      </w:r>
    </w:p>
    <w:p w14:paraId="2B5AE412" w14:textId="77777777" w:rsidR="0014798C" w:rsidRDefault="004E1F0B">
      <w:pPr>
        <w:spacing w:before="87"/>
        <w:ind w:left="1105"/>
        <w:rPr>
          <w:sz w:val="13"/>
        </w:rPr>
      </w:pPr>
      <w:r>
        <w:rPr>
          <w:w w:val="105"/>
          <w:sz w:val="13"/>
          <w:vertAlign w:val="superscript"/>
        </w:rPr>
        <w:t>281</w:t>
      </w:r>
      <w:r>
        <w:rPr>
          <w:spacing w:val="57"/>
          <w:w w:val="105"/>
          <w:sz w:val="13"/>
        </w:rPr>
        <w:t xml:space="preserve"> </w:t>
      </w:r>
      <w:r>
        <w:rPr>
          <w:w w:val="105"/>
          <w:sz w:val="13"/>
        </w:rPr>
        <w:t>Véase,</w:t>
      </w:r>
      <w:r>
        <w:rPr>
          <w:spacing w:val="-10"/>
          <w:w w:val="105"/>
          <w:sz w:val="13"/>
        </w:rPr>
        <w:t xml:space="preserve"> </w:t>
      </w:r>
      <w:r>
        <w:rPr>
          <w:w w:val="105"/>
          <w:sz w:val="13"/>
        </w:rPr>
        <w:t>por</w:t>
      </w:r>
      <w:r>
        <w:rPr>
          <w:spacing w:val="-9"/>
          <w:w w:val="105"/>
          <w:sz w:val="13"/>
        </w:rPr>
        <w:t xml:space="preserve"> </w:t>
      </w:r>
      <w:r>
        <w:rPr>
          <w:w w:val="105"/>
          <w:sz w:val="13"/>
        </w:rPr>
        <w:t>ejemplo,</w:t>
      </w:r>
      <w:r>
        <w:rPr>
          <w:spacing w:val="-9"/>
          <w:w w:val="105"/>
          <w:sz w:val="13"/>
        </w:rPr>
        <w:t xml:space="preserve"> </w:t>
      </w:r>
      <w:r>
        <w:rPr>
          <w:w w:val="105"/>
          <w:sz w:val="13"/>
        </w:rPr>
        <w:t>CCPR/C/BGR/CO/4,</w:t>
      </w:r>
      <w:r>
        <w:rPr>
          <w:spacing w:val="-10"/>
          <w:w w:val="105"/>
          <w:sz w:val="13"/>
        </w:rPr>
        <w:t xml:space="preserve"> </w:t>
      </w:r>
      <w:r>
        <w:rPr>
          <w:w w:val="105"/>
          <w:sz w:val="13"/>
        </w:rPr>
        <w:t>párr.</w:t>
      </w:r>
      <w:r>
        <w:rPr>
          <w:spacing w:val="-9"/>
          <w:w w:val="105"/>
          <w:sz w:val="13"/>
        </w:rPr>
        <w:t xml:space="preserve"> </w:t>
      </w:r>
      <w:r>
        <w:rPr>
          <w:spacing w:val="-5"/>
          <w:w w:val="105"/>
          <w:sz w:val="13"/>
        </w:rPr>
        <w:t>17.</w:t>
      </w:r>
    </w:p>
    <w:p w14:paraId="58EC487A" w14:textId="77777777" w:rsidR="0014798C" w:rsidRDefault="004E1F0B">
      <w:pPr>
        <w:spacing w:before="87" w:line="288" w:lineRule="auto"/>
        <w:ind w:left="1366" w:right="1463" w:hanging="262"/>
        <w:rPr>
          <w:sz w:val="13"/>
        </w:rPr>
      </w:pPr>
      <w:r>
        <w:rPr>
          <w:w w:val="105"/>
          <w:sz w:val="13"/>
          <w:vertAlign w:val="superscript"/>
        </w:rPr>
        <w:t>282</w:t>
      </w:r>
      <w:r>
        <w:rPr>
          <w:spacing w:val="65"/>
          <w:w w:val="105"/>
          <w:sz w:val="13"/>
        </w:rPr>
        <w:t xml:space="preserve"> </w:t>
      </w:r>
      <w:r>
        <w:rPr>
          <w:w w:val="105"/>
          <w:sz w:val="13"/>
        </w:rPr>
        <w:t>Véase,</w:t>
      </w:r>
      <w:r>
        <w:rPr>
          <w:spacing w:val="-7"/>
          <w:w w:val="105"/>
          <w:sz w:val="13"/>
        </w:rPr>
        <w:t xml:space="preserve"> </w:t>
      </w:r>
      <w:r>
        <w:rPr>
          <w:w w:val="105"/>
          <w:sz w:val="13"/>
        </w:rPr>
        <w:t>por</w:t>
      </w:r>
      <w:r>
        <w:rPr>
          <w:spacing w:val="-7"/>
          <w:w w:val="105"/>
          <w:sz w:val="13"/>
        </w:rPr>
        <w:t xml:space="preserve"> </w:t>
      </w:r>
      <w:r>
        <w:rPr>
          <w:w w:val="105"/>
          <w:sz w:val="13"/>
        </w:rPr>
        <w:t>ejemplo,</w:t>
      </w:r>
      <w:r>
        <w:rPr>
          <w:spacing w:val="-7"/>
          <w:w w:val="105"/>
          <w:sz w:val="13"/>
        </w:rPr>
        <w:t xml:space="preserve"> </w:t>
      </w:r>
      <w:r>
        <w:rPr>
          <w:w w:val="105"/>
          <w:sz w:val="13"/>
        </w:rPr>
        <w:t>en</w:t>
      </w:r>
      <w:r>
        <w:rPr>
          <w:spacing w:val="-7"/>
          <w:w w:val="105"/>
          <w:sz w:val="13"/>
        </w:rPr>
        <w:t xml:space="preserve"> </w:t>
      </w:r>
      <w:r>
        <w:rPr>
          <w:w w:val="105"/>
          <w:sz w:val="13"/>
        </w:rPr>
        <w:t>el</w:t>
      </w:r>
      <w:r>
        <w:rPr>
          <w:spacing w:val="-7"/>
          <w:w w:val="105"/>
          <w:sz w:val="13"/>
        </w:rPr>
        <w:t xml:space="preserve"> </w:t>
      </w:r>
      <w:r>
        <w:rPr>
          <w:w w:val="105"/>
          <w:sz w:val="13"/>
        </w:rPr>
        <w:t>contexto</w:t>
      </w:r>
      <w:r>
        <w:rPr>
          <w:spacing w:val="-7"/>
          <w:w w:val="105"/>
          <w:sz w:val="13"/>
        </w:rPr>
        <w:t xml:space="preserve"> </w:t>
      </w:r>
      <w:r>
        <w:rPr>
          <w:w w:val="105"/>
          <w:sz w:val="13"/>
        </w:rPr>
        <w:t>del</w:t>
      </w:r>
      <w:r>
        <w:rPr>
          <w:spacing w:val="-7"/>
          <w:w w:val="105"/>
          <w:sz w:val="13"/>
        </w:rPr>
        <w:t xml:space="preserve"> </w:t>
      </w:r>
      <w:r>
        <w:rPr>
          <w:w w:val="105"/>
          <w:sz w:val="13"/>
        </w:rPr>
        <w:t>derecho</w:t>
      </w:r>
      <w:r>
        <w:rPr>
          <w:spacing w:val="-7"/>
          <w:w w:val="105"/>
          <w:sz w:val="13"/>
        </w:rPr>
        <w:t xml:space="preserve"> </w:t>
      </w:r>
      <w:r>
        <w:rPr>
          <w:w w:val="105"/>
          <w:sz w:val="13"/>
        </w:rPr>
        <w:t>a</w:t>
      </w:r>
      <w:r>
        <w:rPr>
          <w:spacing w:val="-7"/>
          <w:w w:val="105"/>
          <w:sz w:val="13"/>
        </w:rPr>
        <w:t xml:space="preserve"> </w:t>
      </w:r>
      <w:r>
        <w:rPr>
          <w:w w:val="105"/>
          <w:sz w:val="13"/>
        </w:rPr>
        <w:t>la</w:t>
      </w:r>
      <w:r>
        <w:rPr>
          <w:spacing w:val="-7"/>
          <w:w w:val="105"/>
          <w:sz w:val="13"/>
        </w:rPr>
        <w:t xml:space="preserve"> </w:t>
      </w:r>
      <w:r>
        <w:rPr>
          <w:w w:val="105"/>
          <w:sz w:val="13"/>
        </w:rPr>
        <w:t>educación,</w:t>
      </w:r>
      <w:r>
        <w:rPr>
          <w:spacing w:val="-7"/>
          <w:w w:val="105"/>
          <w:sz w:val="13"/>
        </w:rPr>
        <w:t xml:space="preserve"> </w:t>
      </w:r>
      <w:r>
        <w:rPr>
          <w:w w:val="105"/>
          <w:sz w:val="13"/>
        </w:rPr>
        <w:t>Comité</w:t>
      </w:r>
      <w:r>
        <w:rPr>
          <w:spacing w:val="-7"/>
          <w:w w:val="105"/>
          <w:sz w:val="13"/>
        </w:rPr>
        <w:t xml:space="preserve"> </w:t>
      </w:r>
      <w:r>
        <w:rPr>
          <w:w w:val="105"/>
          <w:sz w:val="13"/>
        </w:rPr>
        <w:t>para</w:t>
      </w:r>
      <w:r>
        <w:rPr>
          <w:spacing w:val="-7"/>
          <w:w w:val="105"/>
          <w:sz w:val="13"/>
        </w:rPr>
        <w:t xml:space="preserve"> </w:t>
      </w:r>
      <w:r>
        <w:rPr>
          <w:w w:val="105"/>
          <w:sz w:val="13"/>
        </w:rPr>
        <w:t>la</w:t>
      </w:r>
      <w:r>
        <w:rPr>
          <w:spacing w:val="-7"/>
          <w:w w:val="105"/>
          <w:sz w:val="13"/>
        </w:rPr>
        <w:t xml:space="preserve"> </w:t>
      </w:r>
      <w:r>
        <w:rPr>
          <w:w w:val="105"/>
          <w:sz w:val="13"/>
        </w:rPr>
        <w:t>Eliminación</w:t>
      </w:r>
      <w:r>
        <w:rPr>
          <w:spacing w:val="-7"/>
          <w:w w:val="105"/>
          <w:sz w:val="13"/>
        </w:rPr>
        <w:t xml:space="preserve"> </w:t>
      </w:r>
      <w:r>
        <w:rPr>
          <w:w w:val="105"/>
          <w:sz w:val="13"/>
        </w:rPr>
        <w:t>de</w:t>
      </w:r>
      <w:r>
        <w:rPr>
          <w:spacing w:val="-7"/>
          <w:w w:val="105"/>
          <w:sz w:val="13"/>
        </w:rPr>
        <w:t xml:space="preserve"> </w:t>
      </w:r>
      <w:r>
        <w:rPr>
          <w:w w:val="105"/>
          <w:sz w:val="13"/>
        </w:rPr>
        <w:t>la</w:t>
      </w:r>
      <w:r>
        <w:rPr>
          <w:spacing w:val="-7"/>
          <w:w w:val="105"/>
          <w:sz w:val="13"/>
        </w:rPr>
        <w:t xml:space="preserve"> </w:t>
      </w:r>
      <w:r>
        <w:rPr>
          <w:w w:val="105"/>
          <w:sz w:val="13"/>
        </w:rPr>
        <w:t>Discriminación</w:t>
      </w:r>
      <w:r>
        <w:rPr>
          <w:spacing w:val="-7"/>
          <w:w w:val="105"/>
          <w:sz w:val="13"/>
        </w:rPr>
        <w:t xml:space="preserve"> </w:t>
      </w:r>
      <w:r>
        <w:rPr>
          <w:w w:val="105"/>
          <w:sz w:val="13"/>
        </w:rPr>
        <w:t>contra</w:t>
      </w:r>
      <w:r>
        <w:rPr>
          <w:spacing w:val="-7"/>
          <w:w w:val="105"/>
          <w:sz w:val="13"/>
        </w:rPr>
        <w:t xml:space="preserve"> </w:t>
      </w:r>
      <w:r>
        <w:rPr>
          <w:w w:val="105"/>
          <w:sz w:val="13"/>
        </w:rPr>
        <w:t>la</w:t>
      </w:r>
      <w:r>
        <w:rPr>
          <w:spacing w:val="-7"/>
          <w:w w:val="105"/>
          <w:sz w:val="13"/>
        </w:rPr>
        <w:t xml:space="preserve"> </w:t>
      </w:r>
      <w:r>
        <w:rPr>
          <w:w w:val="105"/>
          <w:sz w:val="13"/>
        </w:rPr>
        <w:t>Mujer,</w:t>
      </w:r>
      <w:r>
        <w:rPr>
          <w:spacing w:val="-7"/>
          <w:w w:val="105"/>
          <w:sz w:val="13"/>
        </w:rPr>
        <w:t xml:space="preserve"> </w:t>
      </w:r>
      <w:r>
        <w:rPr>
          <w:w w:val="105"/>
          <w:sz w:val="13"/>
        </w:rPr>
        <w:t>recomendación</w:t>
      </w:r>
      <w:r>
        <w:rPr>
          <w:spacing w:val="40"/>
          <w:w w:val="105"/>
          <w:sz w:val="13"/>
        </w:rPr>
        <w:t xml:space="preserve"> </w:t>
      </w:r>
      <w:r>
        <w:rPr>
          <w:w w:val="105"/>
          <w:sz w:val="13"/>
        </w:rPr>
        <w:t>general núm. 36 (2017), párr. 46 (f).</w:t>
      </w:r>
    </w:p>
    <w:p w14:paraId="7BA54429" w14:textId="77777777" w:rsidR="0014798C" w:rsidRDefault="0014798C">
      <w:pPr>
        <w:pStyle w:val="Textoindependiente"/>
        <w:rPr>
          <w:sz w:val="19"/>
        </w:rPr>
      </w:pPr>
    </w:p>
    <w:p w14:paraId="0E34E2EA" w14:textId="77777777" w:rsidR="0014798C" w:rsidRDefault="0014798C">
      <w:pPr>
        <w:pStyle w:val="Textoindependiente"/>
        <w:spacing w:before="171"/>
        <w:rPr>
          <w:sz w:val="19"/>
        </w:rPr>
      </w:pPr>
    </w:p>
    <w:p w14:paraId="1DF1F4F7" w14:textId="77777777" w:rsidR="0014798C" w:rsidRDefault="004E1F0B">
      <w:pPr>
        <w:ind w:right="717"/>
        <w:jc w:val="right"/>
        <w:rPr>
          <w:sz w:val="19"/>
        </w:rPr>
      </w:pPr>
      <w:r>
        <w:rPr>
          <w:spacing w:val="-5"/>
          <w:sz w:val="19"/>
        </w:rPr>
        <w:t>39</w:t>
      </w:r>
    </w:p>
    <w:p w14:paraId="664F65EB" w14:textId="77777777" w:rsidR="0014798C" w:rsidRDefault="0014798C">
      <w:pPr>
        <w:jc w:val="right"/>
        <w:rPr>
          <w:sz w:val="19"/>
        </w:rPr>
        <w:sectPr w:rsidR="0014798C" w:rsidSect="00F265E4">
          <w:pgSz w:w="11900" w:h="16820"/>
          <w:pgMar w:top="340" w:right="0" w:bottom="280" w:left="200" w:header="121" w:footer="0" w:gutter="0"/>
          <w:cols w:space="720"/>
        </w:sectPr>
      </w:pPr>
    </w:p>
    <w:p w14:paraId="0F05DF6F" w14:textId="77777777" w:rsidR="0014798C" w:rsidRDefault="0014798C">
      <w:pPr>
        <w:pStyle w:val="Textoindependiente"/>
        <w:spacing w:before="85"/>
        <w:rPr>
          <w:sz w:val="12"/>
        </w:rPr>
      </w:pPr>
    </w:p>
    <w:p w14:paraId="6F5970D9" w14:textId="77777777" w:rsidR="0014798C" w:rsidRDefault="004E1F0B">
      <w:pPr>
        <w:ind w:left="1111"/>
        <w:rPr>
          <w:sz w:val="12"/>
        </w:rPr>
      </w:pPr>
      <w:r>
        <w:rPr>
          <w:color w:val="00AC59"/>
          <w:sz w:val="12"/>
        </w:rPr>
        <w:t>PROTECCIÓN</w:t>
      </w:r>
      <w:r>
        <w:rPr>
          <w:color w:val="00AC59"/>
          <w:spacing w:val="6"/>
          <w:sz w:val="12"/>
        </w:rPr>
        <w:t xml:space="preserve"> </w:t>
      </w:r>
      <w:r>
        <w:rPr>
          <w:color w:val="00AC59"/>
          <w:sz w:val="12"/>
        </w:rPr>
        <w:t>DE</w:t>
      </w:r>
      <w:r>
        <w:rPr>
          <w:color w:val="00AC59"/>
          <w:spacing w:val="7"/>
          <w:sz w:val="12"/>
        </w:rPr>
        <w:t xml:space="preserve"> </w:t>
      </w:r>
      <w:r>
        <w:rPr>
          <w:color w:val="00AC59"/>
          <w:sz w:val="12"/>
        </w:rPr>
        <w:t>LOS</w:t>
      </w:r>
      <w:r>
        <w:rPr>
          <w:color w:val="00AC59"/>
          <w:spacing w:val="8"/>
          <w:sz w:val="12"/>
        </w:rPr>
        <w:t xml:space="preserve"> </w:t>
      </w:r>
      <w:r>
        <w:rPr>
          <w:color w:val="00AC59"/>
          <w:sz w:val="12"/>
        </w:rPr>
        <w:t>DERECHOS</w:t>
      </w:r>
      <w:r>
        <w:rPr>
          <w:color w:val="00AC59"/>
          <w:spacing w:val="8"/>
          <w:sz w:val="12"/>
        </w:rPr>
        <w:t xml:space="preserve"> </w:t>
      </w:r>
      <w:r>
        <w:rPr>
          <w:color w:val="00AC59"/>
          <w:sz w:val="12"/>
        </w:rPr>
        <w:t>DE</w:t>
      </w:r>
      <w:r>
        <w:rPr>
          <w:color w:val="00AC59"/>
          <w:spacing w:val="6"/>
          <w:sz w:val="12"/>
        </w:rPr>
        <w:t xml:space="preserve"> </w:t>
      </w:r>
      <w:r>
        <w:rPr>
          <w:color w:val="00AC59"/>
          <w:sz w:val="12"/>
        </w:rPr>
        <w:t>LAS</w:t>
      </w:r>
      <w:r>
        <w:rPr>
          <w:color w:val="00AC59"/>
          <w:spacing w:val="7"/>
          <w:sz w:val="12"/>
        </w:rPr>
        <w:t xml:space="preserve"> </w:t>
      </w:r>
      <w:r>
        <w:rPr>
          <w:color w:val="00AC59"/>
          <w:sz w:val="12"/>
        </w:rPr>
        <w:t>MINORÍAS:</w:t>
      </w:r>
      <w:r>
        <w:rPr>
          <w:color w:val="00AC59"/>
          <w:spacing w:val="8"/>
          <w:sz w:val="12"/>
        </w:rPr>
        <w:t xml:space="preserve"> </w:t>
      </w:r>
      <w:r>
        <w:rPr>
          <w:color w:val="00AC59"/>
          <w:sz w:val="12"/>
        </w:rPr>
        <w:t>una</w:t>
      </w:r>
      <w:r>
        <w:rPr>
          <w:color w:val="00AC59"/>
          <w:spacing w:val="7"/>
          <w:sz w:val="12"/>
        </w:rPr>
        <w:t xml:space="preserve"> </w:t>
      </w:r>
      <w:r>
        <w:rPr>
          <w:color w:val="00AC59"/>
          <w:sz w:val="12"/>
        </w:rPr>
        <w:t>guía</w:t>
      </w:r>
      <w:r>
        <w:rPr>
          <w:color w:val="00AC59"/>
          <w:spacing w:val="6"/>
          <w:sz w:val="12"/>
        </w:rPr>
        <w:t xml:space="preserve"> </w:t>
      </w:r>
      <w:r>
        <w:rPr>
          <w:color w:val="00AC59"/>
          <w:sz w:val="12"/>
        </w:rPr>
        <w:t>práctica</w:t>
      </w:r>
      <w:r>
        <w:rPr>
          <w:color w:val="00AC59"/>
          <w:spacing w:val="7"/>
          <w:sz w:val="12"/>
        </w:rPr>
        <w:t xml:space="preserve"> </w:t>
      </w:r>
      <w:r>
        <w:rPr>
          <w:color w:val="00AC59"/>
          <w:sz w:val="12"/>
        </w:rPr>
        <w:t>para</w:t>
      </w:r>
      <w:r>
        <w:rPr>
          <w:color w:val="00AC59"/>
          <w:spacing w:val="8"/>
          <w:sz w:val="12"/>
        </w:rPr>
        <w:t xml:space="preserve"> </w:t>
      </w:r>
      <w:r>
        <w:rPr>
          <w:color w:val="00AC59"/>
          <w:sz w:val="12"/>
        </w:rPr>
        <w:t>desarrollar</w:t>
      </w:r>
      <w:r>
        <w:rPr>
          <w:color w:val="00AC59"/>
          <w:spacing w:val="6"/>
          <w:sz w:val="12"/>
        </w:rPr>
        <w:t xml:space="preserve"> </w:t>
      </w:r>
      <w:r>
        <w:rPr>
          <w:color w:val="00AC59"/>
          <w:sz w:val="12"/>
        </w:rPr>
        <w:t>una</w:t>
      </w:r>
      <w:r>
        <w:rPr>
          <w:color w:val="00AC59"/>
          <w:spacing w:val="7"/>
          <w:sz w:val="12"/>
        </w:rPr>
        <w:t xml:space="preserve"> </w:t>
      </w:r>
      <w:r>
        <w:rPr>
          <w:color w:val="00AC59"/>
          <w:sz w:val="12"/>
        </w:rPr>
        <w:t>legislación</w:t>
      </w:r>
      <w:r>
        <w:rPr>
          <w:color w:val="00AC59"/>
          <w:spacing w:val="8"/>
          <w:sz w:val="12"/>
        </w:rPr>
        <w:t xml:space="preserve"> </w:t>
      </w:r>
      <w:r>
        <w:rPr>
          <w:color w:val="00AC59"/>
          <w:sz w:val="12"/>
        </w:rPr>
        <w:t>integral</w:t>
      </w:r>
      <w:r>
        <w:rPr>
          <w:color w:val="00AC59"/>
          <w:spacing w:val="7"/>
          <w:sz w:val="12"/>
        </w:rPr>
        <w:t xml:space="preserve"> </w:t>
      </w:r>
      <w:r>
        <w:rPr>
          <w:color w:val="00AC59"/>
          <w:sz w:val="12"/>
        </w:rPr>
        <w:t>contra</w:t>
      </w:r>
      <w:r>
        <w:rPr>
          <w:color w:val="00AC59"/>
          <w:spacing w:val="6"/>
          <w:sz w:val="12"/>
        </w:rPr>
        <w:t xml:space="preserve"> </w:t>
      </w:r>
      <w:r>
        <w:rPr>
          <w:color w:val="00AC59"/>
          <w:sz w:val="12"/>
        </w:rPr>
        <w:t>la</w:t>
      </w:r>
      <w:r>
        <w:rPr>
          <w:color w:val="00AC59"/>
          <w:spacing w:val="7"/>
          <w:sz w:val="12"/>
        </w:rPr>
        <w:t xml:space="preserve"> </w:t>
      </w:r>
      <w:r>
        <w:rPr>
          <w:color w:val="00AC59"/>
          <w:spacing w:val="-2"/>
          <w:sz w:val="12"/>
        </w:rPr>
        <w:t>discriminación</w:t>
      </w:r>
    </w:p>
    <w:p w14:paraId="554B38A1" w14:textId="77777777" w:rsidR="0014798C" w:rsidRDefault="0014798C">
      <w:pPr>
        <w:pStyle w:val="Textoindependiente"/>
        <w:rPr>
          <w:sz w:val="17"/>
        </w:rPr>
      </w:pPr>
    </w:p>
    <w:p w14:paraId="41C865CF" w14:textId="77777777" w:rsidR="0014798C" w:rsidRDefault="0014798C">
      <w:pPr>
        <w:pStyle w:val="Textoindependiente"/>
        <w:rPr>
          <w:sz w:val="17"/>
        </w:rPr>
      </w:pPr>
    </w:p>
    <w:p w14:paraId="3FF69090" w14:textId="77777777" w:rsidR="0014798C" w:rsidRDefault="0014798C">
      <w:pPr>
        <w:pStyle w:val="Textoindependiente"/>
        <w:rPr>
          <w:sz w:val="17"/>
        </w:rPr>
      </w:pPr>
    </w:p>
    <w:p w14:paraId="7114C066" w14:textId="77777777" w:rsidR="0014798C" w:rsidRDefault="0014798C">
      <w:pPr>
        <w:pStyle w:val="Textoindependiente"/>
        <w:rPr>
          <w:sz w:val="17"/>
        </w:rPr>
      </w:pPr>
    </w:p>
    <w:p w14:paraId="4425EBF6" w14:textId="77777777" w:rsidR="0014798C" w:rsidRDefault="0014798C">
      <w:pPr>
        <w:pStyle w:val="Textoindependiente"/>
        <w:spacing w:before="3"/>
        <w:rPr>
          <w:sz w:val="17"/>
        </w:rPr>
      </w:pPr>
    </w:p>
    <w:p w14:paraId="7DDA0D36" w14:textId="77777777" w:rsidR="0014798C" w:rsidRDefault="004E1F0B">
      <w:pPr>
        <w:spacing w:line="307" w:lineRule="auto"/>
        <w:ind w:left="1108" w:right="1272" w:hanging="1"/>
        <w:rPr>
          <w:sz w:val="17"/>
        </w:rPr>
      </w:pPr>
      <w:r>
        <w:rPr>
          <w:sz w:val="17"/>
        </w:rPr>
        <w:t>medidas</w:t>
      </w:r>
      <w:r>
        <w:rPr>
          <w:spacing w:val="-4"/>
          <w:sz w:val="17"/>
        </w:rPr>
        <w:t xml:space="preserve"> </w:t>
      </w:r>
      <w:r>
        <w:rPr>
          <w:sz w:val="17"/>
        </w:rPr>
        <w:t>para</w:t>
      </w:r>
      <w:r>
        <w:rPr>
          <w:spacing w:val="-4"/>
          <w:sz w:val="17"/>
        </w:rPr>
        <w:t xml:space="preserve"> </w:t>
      </w:r>
      <w:r>
        <w:rPr>
          <w:sz w:val="17"/>
        </w:rPr>
        <w:t>las</w:t>
      </w:r>
      <w:r>
        <w:rPr>
          <w:spacing w:val="-4"/>
          <w:sz w:val="17"/>
        </w:rPr>
        <w:t xml:space="preserve"> </w:t>
      </w:r>
      <w:r>
        <w:rPr>
          <w:sz w:val="17"/>
        </w:rPr>
        <w:t>personas</w:t>
      </w:r>
      <w:r>
        <w:rPr>
          <w:spacing w:val="-4"/>
          <w:sz w:val="17"/>
        </w:rPr>
        <w:t xml:space="preserve"> </w:t>
      </w:r>
      <w:r>
        <w:rPr>
          <w:sz w:val="17"/>
        </w:rPr>
        <w:t>con</w:t>
      </w:r>
      <w:r>
        <w:rPr>
          <w:spacing w:val="-4"/>
          <w:sz w:val="17"/>
        </w:rPr>
        <w:t xml:space="preserve"> </w:t>
      </w:r>
      <w:r>
        <w:rPr>
          <w:sz w:val="17"/>
        </w:rPr>
        <w:t>discapacidad.283</w:t>
      </w:r>
      <w:r>
        <w:rPr>
          <w:spacing w:val="-4"/>
          <w:sz w:val="17"/>
        </w:rPr>
        <w:t xml:space="preserve"> </w:t>
      </w:r>
      <w:r>
        <w:rPr>
          <w:sz w:val="17"/>
        </w:rPr>
        <w:t>El</w:t>
      </w:r>
      <w:r>
        <w:rPr>
          <w:spacing w:val="-4"/>
          <w:sz w:val="17"/>
        </w:rPr>
        <w:t xml:space="preserve"> </w:t>
      </w:r>
      <w:r>
        <w:rPr>
          <w:sz w:val="17"/>
        </w:rPr>
        <w:t>Protocolo</w:t>
      </w:r>
      <w:r>
        <w:rPr>
          <w:spacing w:val="-4"/>
          <w:sz w:val="17"/>
        </w:rPr>
        <w:t xml:space="preserve"> </w:t>
      </w:r>
      <w:r>
        <w:rPr>
          <w:sz w:val="17"/>
        </w:rPr>
        <w:t>de</w:t>
      </w:r>
      <w:r>
        <w:rPr>
          <w:spacing w:val="-4"/>
          <w:sz w:val="17"/>
        </w:rPr>
        <w:t xml:space="preserve"> </w:t>
      </w:r>
      <w:r>
        <w:rPr>
          <w:sz w:val="17"/>
        </w:rPr>
        <w:t>la</w:t>
      </w:r>
      <w:r>
        <w:rPr>
          <w:spacing w:val="-4"/>
          <w:sz w:val="17"/>
        </w:rPr>
        <w:t xml:space="preserve"> </w:t>
      </w:r>
      <w:r>
        <w:rPr>
          <w:sz w:val="17"/>
        </w:rPr>
        <w:t>Carta</w:t>
      </w:r>
      <w:r>
        <w:rPr>
          <w:spacing w:val="-4"/>
          <w:sz w:val="17"/>
        </w:rPr>
        <w:t xml:space="preserve"> </w:t>
      </w:r>
      <w:r>
        <w:rPr>
          <w:sz w:val="17"/>
        </w:rPr>
        <w:t>Africana</w:t>
      </w:r>
      <w:r>
        <w:rPr>
          <w:spacing w:val="-4"/>
          <w:sz w:val="17"/>
        </w:rPr>
        <w:t xml:space="preserve"> </w:t>
      </w:r>
      <w:r>
        <w:rPr>
          <w:sz w:val="17"/>
        </w:rPr>
        <w:t>de</w:t>
      </w:r>
      <w:r>
        <w:rPr>
          <w:spacing w:val="-4"/>
          <w:sz w:val="17"/>
        </w:rPr>
        <w:t xml:space="preserve"> </w:t>
      </w:r>
      <w:r>
        <w:rPr>
          <w:sz w:val="17"/>
        </w:rPr>
        <w:t>Derechos</w:t>
      </w:r>
      <w:r>
        <w:rPr>
          <w:spacing w:val="-4"/>
          <w:sz w:val="17"/>
        </w:rPr>
        <w:t xml:space="preserve"> </w:t>
      </w:r>
      <w:r>
        <w:rPr>
          <w:sz w:val="17"/>
        </w:rPr>
        <w:t>Humanos</w:t>
      </w:r>
      <w:r>
        <w:rPr>
          <w:spacing w:val="-4"/>
          <w:sz w:val="17"/>
        </w:rPr>
        <w:t xml:space="preserve"> </w:t>
      </w:r>
      <w:r>
        <w:rPr>
          <w:sz w:val="17"/>
        </w:rPr>
        <w:t>y</w:t>
      </w:r>
      <w:r>
        <w:rPr>
          <w:spacing w:val="-4"/>
          <w:sz w:val="17"/>
        </w:rPr>
        <w:t xml:space="preserve"> </w:t>
      </w:r>
      <w:r>
        <w:rPr>
          <w:sz w:val="17"/>
        </w:rPr>
        <w:t>de</w:t>
      </w:r>
      <w:r>
        <w:rPr>
          <w:spacing w:val="-4"/>
          <w:sz w:val="17"/>
        </w:rPr>
        <w:t xml:space="preserve"> </w:t>
      </w:r>
      <w:r>
        <w:rPr>
          <w:sz w:val="17"/>
        </w:rPr>
        <w:t>los</w:t>
      </w:r>
      <w:r>
        <w:rPr>
          <w:spacing w:val="-4"/>
          <w:sz w:val="17"/>
        </w:rPr>
        <w:t xml:space="preserve"> </w:t>
      </w:r>
      <w:r>
        <w:rPr>
          <w:sz w:val="17"/>
        </w:rPr>
        <w:t>Pueblos relativo a los derechos de las personas con discapacidad en África establece que la “discriminación por motivos de discapacidad” incluye la denegación de ajustes razonables.284 En sus observaciones finales, la Comisión Africana de Derechos Humanos y de los Pueblos ha hecho recomendaciones pertinentes a los Estados.285 El Tribunal Europeo de Derechos Humanos reconoce que la provisión de ajustes razonables forma parte del derecho a la no discriminación por motivos de discapacidad,286 mientras que en la Unión Europea Por ley, el deber de adaptación ha sido concebido como parte del principio de igualdad de trato.287</w:t>
      </w:r>
    </w:p>
    <w:p w14:paraId="3139D072" w14:textId="77777777" w:rsidR="0014798C" w:rsidRDefault="0014798C">
      <w:pPr>
        <w:pStyle w:val="Textoindependiente"/>
        <w:rPr>
          <w:sz w:val="17"/>
        </w:rPr>
      </w:pPr>
    </w:p>
    <w:p w14:paraId="11FE7AC3" w14:textId="77777777" w:rsidR="0014798C" w:rsidRDefault="0014798C">
      <w:pPr>
        <w:pStyle w:val="Textoindependiente"/>
        <w:spacing w:before="75"/>
        <w:rPr>
          <w:sz w:val="17"/>
        </w:rPr>
      </w:pPr>
    </w:p>
    <w:p w14:paraId="6AB83A0B" w14:textId="77777777" w:rsidR="0014798C" w:rsidRDefault="004E1F0B">
      <w:pPr>
        <w:spacing w:line="307" w:lineRule="auto"/>
        <w:ind w:left="1329" w:right="4198" w:firstLine="13"/>
        <w:rPr>
          <w:sz w:val="17"/>
        </w:rPr>
      </w:pPr>
      <w:r>
        <w:rPr>
          <w:noProof/>
        </w:rPr>
        <w:drawing>
          <wp:anchor distT="0" distB="0" distL="0" distR="0" simplePos="0" relativeHeight="251658389" behindDoc="1" locked="0" layoutInCell="1" allowOverlap="1" wp14:anchorId="0DD01DCC" wp14:editId="0413C1B4">
            <wp:simplePos x="0" y="0"/>
            <wp:positionH relativeFrom="page">
              <wp:posOffset>804169</wp:posOffset>
            </wp:positionH>
            <wp:positionV relativeFrom="paragraph">
              <wp:posOffset>-191150</wp:posOffset>
            </wp:positionV>
            <wp:extent cx="5952653" cy="4785420"/>
            <wp:effectExtent l="0" t="0" r="0" b="0"/>
            <wp:wrapNone/>
            <wp:docPr id="123" name="Image 12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23" name="Image 123"/>
                    <pic:cNvPicPr/>
                  </pic:nvPicPr>
                  <pic:blipFill>
                    <a:blip r:embed="rId120" cstate="print"/>
                    <a:stretch>
                      <a:fillRect/>
                    </a:stretch>
                  </pic:blipFill>
                  <pic:spPr>
                    <a:xfrm>
                      <a:off x="0" y="0"/>
                      <a:ext cx="5952653" cy="4785420"/>
                    </a:xfrm>
                    <a:prstGeom prst="rect">
                      <a:avLst/>
                    </a:prstGeom>
                  </pic:spPr>
                </pic:pic>
              </a:graphicData>
            </a:graphic>
          </wp:anchor>
        </w:drawing>
      </w:r>
      <w:r>
        <w:rPr>
          <w:sz w:val="17"/>
        </w:rPr>
        <w:t>AVANCES</w:t>
      </w:r>
      <w:r>
        <w:rPr>
          <w:spacing w:val="-8"/>
          <w:sz w:val="17"/>
        </w:rPr>
        <w:t xml:space="preserve"> </w:t>
      </w:r>
      <w:r>
        <w:rPr>
          <w:sz w:val="17"/>
        </w:rPr>
        <w:t>EN</w:t>
      </w:r>
      <w:r>
        <w:rPr>
          <w:spacing w:val="-8"/>
          <w:sz w:val="17"/>
        </w:rPr>
        <w:t xml:space="preserve"> </w:t>
      </w:r>
      <w:r>
        <w:rPr>
          <w:sz w:val="17"/>
        </w:rPr>
        <w:t>LA</w:t>
      </w:r>
      <w:r>
        <w:rPr>
          <w:spacing w:val="-8"/>
          <w:sz w:val="17"/>
        </w:rPr>
        <w:t xml:space="preserve"> </w:t>
      </w:r>
      <w:r>
        <w:rPr>
          <w:sz w:val="17"/>
        </w:rPr>
        <w:t>COMPRENSIÓN</w:t>
      </w:r>
      <w:r>
        <w:rPr>
          <w:spacing w:val="-8"/>
          <w:sz w:val="17"/>
        </w:rPr>
        <w:t xml:space="preserve"> </w:t>
      </w:r>
      <w:r>
        <w:rPr>
          <w:sz w:val="17"/>
        </w:rPr>
        <w:t>DEL</w:t>
      </w:r>
      <w:r>
        <w:rPr>
          <w:spacing w:val="-8"/>
          <w:sz w:val="17"/>
        </w:rPr>
        <w:t xml:space="preserve"> </w:t>
      </w:r>
      <w:r>
        <w:rPr>
          <w:sz w:val="17"/>
        </w:rPr>
        <w:t>CONCEPTO</w:t>
      </w:r>
      <w:r>
        <w:rPr>
          <w:spacing w:val="-8"/>
          <w:sz w:val="17"/>
        </w:rPr>
        <w:t xml:space="preserve"> </w:t>
      </w:r>
      <w:r>
        <w:rPr>
          <w:sz w:val="17"/>
        </w:rPr>
        <w:t>DE</w:t>
      </w:r>
      <w:r>
        <w:rPr>
          <w:spacing w:val="-8"/>
          <w:sz w:val="17"/>
        </w:rPr>
        <w:t xml:space="preserve"> </w:t>
      </w:r>
      <w:r>
        <w:rPr>
          <w:sz w:val="17"/>
        </w:rPr>
        <w:t xml:space="preserve">RAZONABLE </w:t>
      </w:r>
      <w:r>
        <w:rPr>
          <w:spacing w:val="-2"/>
          <w:sz w:val="17"/>
        </w:rPr>
        <w:t>ALOJAMIENTO</w:t>
      </w:r>
    </w:p>
    <w:p w14:paraId="3897A278" w14:textId="77777777" w:rsidR="0014798C" w:rsidRDefault="004E1F0B">
      <w:pPr>
        <w:spacing w:before="153" w:line="307" w:lineRule="auto"/>
        <w:ind w:left="1333" w:right="1553" w:hanging="3"/>
        <w:rPr>
          <w:sz w:val="17"/>
        </w:rPr>
      </w:pPr>
      <w:r>
        <w:rPr>
          <w:sz w:val="17"/>
        </w:rPr>
        <w:t>Si bien el deber de adaptación se invoca más comúnmente en el marco de la discriminación por discapacidad, el concepto también se ha aplicado respecto de otros motivos. En Canadá, por ejemplo, los tribunales han reconocido el</w:t>
      </w:r>
      <w:r>
        <w:rPr>
          <w:spacing w:val="-4"/>
          <w:sz w:val="17"/>
        </w:rPr>
        <w:t xml:space="preserve"> </w:t>
      </w:r>
      <w:r>
        <w:rPr>
          <w:sz w:val="17"/>
        </w:rPr>
        <w:t>deber</w:t>
      </w:r>
      <w:r>
        <w:rPr>
          <w:spacing w:val="-4"/>
          <w:sz w:val="17"/>
        </w:rPr>
        <w:t xml:space="preserve"> </w:t>
      </w:r>
      <w:r>
        <w:rPr>
          <w:sz w:val="17"/>
        </w:rPr>
        <w:t>legal</w:t>
      </w:r>
      <w:r>
        <w:rPr>
          <w:spacing w:val="-4"/>
          <w:sz w:val="17"/>
        </w:rPr>
        <w:t xml:space="preserve"> </w:t>
      </w:r>
      <w:r>
        <w:rPr>
          <w:sz w:val="17"/>
        </w:rPr>
        <w:t>de</w:t>
      </w:r>
      <w:r>
        <w:rPr>
          <w:spacing w:val="-4"/>
          <w:sz w:val="17"/>
        </w:rPr>
        <w:t xml:space="preserve"> </w:t>
      </w:r>
      <w:r>
        <w:rPr>
          <w:sz w:val="17"/>
        </w:rPr>
        <w:t>proporcionar</w:t>
      </w:r>
      <w:r>
        <w:rPr>
          <w:spacing w:val="-4"/>
          <w:sz w:val="17"/>
        </w:rPr>
        <w:t xml:space="preserve"> </w:t>
      </w:r>
      <w:r>
        <w:rPr>
          <w:sz w:val="17"/>
        </w:rPr>
        <w:t>ajustes</w:t>
      </w:r>
      <w:r>
        <w:rPr>
          <w:spacing w:val="-4"/>
          <w:sz w:val="17"/>
        </w:rPr>
        <w:t xml:space="preserve"> </w:t>
      </w:r>
      <w:r>
        <w:rPr>
          <w:sz w:val="17"/>
        </w:rPr>
        <w:t>razonables</w:t>
      </w:r>
      <w:r>
        <w:rPr>
          <w:spacing w:val="-4"/>
          <w:sz w:val="17"/>
        </w:rPr>
        <w:t xml:space="preserve"> </w:t>
      </w:r>
      <w:r>
        <w:rPr>
          <w:sz w:val="17"/>
        </w:rPr>
        <w:t>(entre</w:t>
      </w:r>
      <w:r>
        <w:rPr>
          <w:spacing w:val="-4"/>
          <w:sz w:val="17"/>
        </w:rPr>
        <w:t xml:space="preserve"> </w:t>
      </w:r>
      <w:r>
        <w:rPr>
          <w:sz w:val="17"/>
        </w:rPr>
        <w:t>otras</w:t>
      </w:r>
      <w:r>
        <w:rPr>
          <w:spacing w:val="-4"/>
          <w:sz w:val="17"/>
        </w:rPr>
        <w:t xml:space="preserve"> </w:t>
      </w:r>
      <w:r>
        <w:rPr>
          <w:sz w:val="17"/>
        </w:rPr>
        <w:t>cosas)</w:t>
      </w:r>
      <w:r>
        <w:rPr>
          <w:spacing w:val="-4"/>
          <w:sz w:val="17"/>
        </w:rPr>
        <w:t xml:space="preserve"> </w:t>
      </w:r>
      <w:r>
        <w:rPr>
          <w:sz w:val="17"/>
        </w:rPr>
        <w:t>con</w:t>
      </w:r>
      <w:r>
        <w:rPr>
          <w:spacing w:val="-4"/>
          <w:sz w:val="17"/>
        </w:rPr>
        <w:t xml:space="preserve"> </w:t>
      </w:r>
      <w:r>
        <w:rPr>
          <w:sz w:val="17"/>
        </w:rPr>
        <w:t>respecto</w:t>
      </w:r>
      <w:r>
        <w:rPr>
          <w:spacing w:val="-4"/>
          <w:sz w:val="17"/>
        </w:rPr>
        <w:t xml:space="preserve"> </w:t>
      </w:r>
      <w:r>
        <w:rPr>
          <w:sz w:val="17"/>
        </w:rPr>
        <w:t>a</w:t>
      </w:r>
      <w:r>
        <w:rPr>
          <w:spacing w:val="-4"/>
          <w:sz w:val="17"/>
        </w:rPr>
        <w:t xml:space="preserve"> </w:t>
      </w:r>
      <w:r>
        <w:rPr>
          <w:sz w:val="17"/>
        </w:rPr>
        <w:t>la</w:t>
      </w:r>
      <w:r>
        <w:rPr>
          <w:spacing w:val="-4"/>
          <w:sz w:val="17"/>
        </w:rPr>
        <w:t xml:space="preserve"> </w:t>
      </w:r>
      <w:r>
        <w:rPr>
          <w:sz w:val="17"/>
        </w:rPr>
        <w:t>edad,</w:t>
      </w:r>
      <w:r>
        <w:rPr>
          <w:spacing w:val="-3"/>
          <w:sz w:val="17"/>
        </w:rPr>
        <w:t xml:space="preserve"> </w:t>
      </w:r>
      <w:r>
        <w:rPr>
          <w:sz w:val="17"/>
        </w:rPr>
        <w:t>el</w:t>
      </w:r>
      <w:r>
        <w:rPr>
          <w:spacing w:val="-4"/>
          <w:sz w:val="17"/>
        </w:rPr>
        <w:t xml:space="preserve"> </w:t>
      </w:r>
      <w:r>
        <w:rPr>
          <w:sz w:val="17"/>
        </w:rPr>
        <w:t>origen</w:t>
      </w:r>
      <w:r>
        <w:rPr>
          <w:spacing w:val="-4"/>
          <w:sz w:val="17"/>
        </w:rPr>
        <w:t xml:space="preserve"> </w:t>
      </w:r>
      <w:r>
        <w:rPr>
          <w:sz w:val="17"/>
        </w:rPr>
        <w:t>étnico</w:t>
      </w:r>
      <w:r>
        <w:rPr>
          <w:spacing w:val="-4"/>
          <w:sz w:val="17"/>
        </w:rPr>
        <w:t xml:space="preserve"> </w:t>
      </w:r>
      <w:r>
        <w:rPr>
          <w:sz w:val="17"/>
        </w:rPr>
        <w:t>y</w:t>
      </w:r>
      <w:r>
        <w:rPr>
          <w:spacing w:val="-4"/>
          <w:sz w:val="17"/>
        </w:rPr>
        <w:t xml:space="preserve"> </w:t>
      </w:r>
      <w:r>
        <w:rPr>
          <w:sz w:val="17"/>
        </w:rPr>
        <w:t>racial, el sexo y el género.288</w:t>
      </w:r>
    </w:p>
    <w:p w14:paraId="2C40B3B5" w14:textId="77777777" w:rsidR="0014798C" w:rsidRDefault="004E1F0B">
      <w:pPr>
        <w:spacing w:before="111" w:line="307" w:lineRule="auto"/>
        <w:ind w:left="1334" w:right="1626" w:hanging="1"/>
        <w:rPr>
          <w:sz w:val="17"/>
        </w:rPr>
      </w:pPr>
      <w:r>
        <w:rPr>
          <w:sz w:val="17"/>
        </w:rPr>
        <w:t>Tras las enmiendas realizadas al Código de Derechos Humanos de Ontario en 2012,289 la Comisión de Derechos Humanos de Ontario ha aclarado que el deber de dar cabida también se extiende a los motivos de identidad y expresión</w:t>
      </w:r>
      <w:r>
        <w:rPr>
          <w:spacing w:val="-5"/>
          <w:sz w:val="17"/>
        </w:rPr>
        <w:t xml:space="preserve"> </w:t>
      </w:r>
      <w:r>
        <w:rPr>
          <w:sz w:val="17"/>
        </w:rPr>
        <w:t>de</w:t>
      </w:r>
      <w:r>
        <w:rPr>
          <w:spacing w:val="-5"/>
          <w:sz w:val="17"/>
        </w:rPr>
        <w:t xml:space="preserve"> </w:t>
      </w:r>
      <w:r>
        <w:rPr>
          <w:sz w:val="17"/>
        </w:rPr>
        <w:t>género.290</w:t>
      </w:r>
      <w:r>
        <w:rPr>
          <w:spacing w:val="-5"/>
          <w:sz w:val="17"/>
        </w:rPr>
        <w:t xml:space="preserve"> </w:t>
      </w:r>
      <w:r>
        <w:rPr>
          <w:sz w:val="17"/>
        </w:rPr>
        <w:t>Todas</w:t>
      </w:r>
      <w:r>
        <w:rPr>
          <w:spacing w:val="-5"/>
          <w:sz w:val="17"/>
        </w:rPr>
        <w:t xml:space="preserve"> </w:t>
      </w:r>
      <w:r>
        <w:rPr>
          <w:sz w:val="17"/>
        </w:rPr>
        <w:t>las</w:t>
      </w:r>
      <w:r>
        <w:rPr>
          <w:spacing w:val="-5"/>
          <w:sz w:val="17"/>
        </w:rPr>
        <w:t xml:space="preserve"> </w:t>
      </w:r>
      <w:r>
        <w:rPr>
          <w:sz w:val="17"/>
        </w:rPr>
        <w:t>adaptaciones</w:t>
      </w:r>
      <w:r>
        <w:rPr>
          <w:spacing w:val="-5"/>
          <w:sz w:val="17"/>
        </w:rPr>
        <w:t xml:space="preserve"> </w:t>
      </w:r>
      <w:r>
        <w:rPr>
          <w:sz w:val="17"/>
        </w:rPr>
        <w:t>proporcionadas</w:t>
      </w:r>
      <w:r>
        <w:rPr>
          <w:spacing w:val="-5"/>
          <w:sz w:val="17"/>
        </w:rPr>
        <w:t xml:space="preserve"> </w:t>
      </w:r>
      <w:r>
        <w:rPr>
          <w:sz w:val="17"/>
        </w:rPr>
        <w:t>deben</w:t>
      </w:r>
      <w:r>
        <w:rPr>
          <w:spacing w:val="-5"/>
          <w:sz w:val="17"/>
        </w:rPr>
        <w:t xml:space="preserve"> </w:t>
      </w:r>
      <w:r>
        <w:rPr>
          <w:sz w:val="17"/>
        </w:rPr>
        <w:t>ser</w:t>
      </w:r>
      <w:r>
        <w:rPr>
          <w:spacing w:val="-5"/>
          <w:sz w:val="17"/>
        </w:rPr>
        <w:t xml:space="preserve"> </w:t>
      </w:r>
      <w:r>
        <w:rPr>
          <w:sz w:val="17"/>
        </w:rPr>
        <w:t>“apropiadas”,</w:t>
      </w:r>
      <w:r>
        <w:rPr>
          <w:spacing w:val="-3"/>
          <w:sz w:val="17"/>
        </w:rPr>
        <w:t xml:space="preserve"> </w:t>
      </w:r>
      <w:proofErr w:type="gramStart"/>
      <w:r>
        <w:rPr>
          <w:sz w:val="17"/>
        </w:rPr>
        <w:t>garantizando</w:t>
      </w:r>
      <w:r>
        <w:rPr>
          <w:spacing w:val="-5"/>
          <w:sz w:val="17"/>
        </w:rPr>
        <w:t xml:space="preserve"> </w:t>
      </w:r>
      <w:r>
        <w:rPr>
          <w:sz w:val="17"/>
        </w:rPr>
        <w:t>:</w:t>
      </w:r>
      <w:proofErr w:type="gramEnd"/>
      <w:r>
        <w:rPr>
          <w:spacing w:val="-5"/>
          <w:sz w:val="17"/>
        </w:rPr>
        <w:t xml:space="preserve"> </w:t>
      </w:r>
      <w:r>
        <w:rPr>
          <w:sz w:val="17"/>
        </w:rPr>
        <w:t>a)</w:t>
      </w:r>
      <w:r>
        <w:rPr>
          <w:spacing w:val="-5"/>
          <w:sz w:val="17"/>
        </w:rPr>
        <w:t xml:space="preserve"> </w:t>
      </w:r>
      <w:r>
        <w:rPr>
          <w:sz w:val="17"/>
        </w:rPr>
        <w:t xml:space="preserve">respeto </w:t>
      </w:r>
      <w:r>
        <w:rPr>
          <w:spacing w:val="-2"/>
          <w:sz w:val="17"/>
        </w:rPr>
        <w:t>de</w:t>
      </w:r>
      <w:r>
        <w:rPr>
          <w:spacing w:val="-10"/>
          <w:sz w:val="17"/>
        </w:rPr>
        <w:t xml:space="preserve"> </w:t>
      </w:r>
      <w:r>
        <w:rPr>
          <w:spacing w:val="-2"/>
          <w:sz w:val="17"/>
        </w:rPr>
        <w:t>la</w:t>
      </w:r>
      <w:r>
        <w:rPr>
          <w:spacing w:val="-10"/>
          <w:sz w:val="17"/>
        </w:rPr>
        <w:t xml:space="preserve"> </w:t>
      </w:r>
      <w:r>
        <w:rPr>
          <w:spacing w:val="-2"/>
          <w:sz w:val="17"/>
        </w:rPr>
        <w:t>dignidad;</w:t>
      </w:r>
      <w:r>
        <w:rPr>
          <w:spacing w:val="-10"/>
          <w:sz w:val="17"/>
        </w:rPr>
        <w:t xml:space="preserve"> </w:t>
      </w:r>
      <w:r>
        <w:rPr>
          <w:spacing w:val="-2"/>
          <w:sz w:val="17"/>
        </w:rPr>
        <w:t>(b)</w:t>
      </w:r>
      <w:r>
        <w:rPr>
          <w:spacing w:val="-10"/>
          <w:sz w:val="17"/>
        </w:rPr>
        <w:t xml:space="preserve"> </w:t>
      </w:r>
      <w:r>
        <w:rPr>
          <w:spacing w:val="-2"/>
          <w:sz w:val="17"/>
        </w:rPr>
        <w:t>individualización;</w:t>
      </w:r>
      <w:r>
        <w:rPr>
          <w:spacing w:val="-10"/>
          <w:sz w:val="17"/>
        </w:rPr>
        <w:t xml:space="preserve"> </w:t>
      </w:r>
      <w:r>
        <w:rPr>
          <w:spacing w:val="-2"/>
          <w:sz w:val="17"/>
        </w:rPr>
        <w:t>(c)</w:t>
      </w:r>
      <w:r>
        <w:rPr>
          <w:spacing w:val="-9"/>
          <w:sz w:val="17"/>
        </w:rPr>
        <w:t xml:space="preserve"> </w:t>
      </w:r>
      <w:r>
        <w:rPr>
          <w:spacing w:val="-2"/>
          <w:sz w:val="17"/>
        </w:rPr>
        <w:t>integración</w:t>
      </w:r>
      <w:r>
        <w:rPr>
          <w:spacing w:val="-10"/>
          <w:sz w:val="17"/>
        </w:rPr>
        <w:t xml:space="preserve"> </w:t>
      </w:r>
      <w:r>
        <w:rPr>
          <w:spacing w:val="-2"/>
          <w:sz w:val="17"/>
        </w:rPr>
        <w:t>y</w:t>
      </w:r>
      <w:r>
        <w:rPr>
          <w:spacing w:val="-10"/>
          <w:sz w:val="17"/>
        </w:rPr>
        <w:t xml:space="preserve"> </w:t>
      </w:r>
      <w:r>
        <w:rPr>
          <w:spacing w:val="-2"/>
          <w:sz w:val="17"/>
        </w:rPr>
        <w:t>participación</w:t>
      </w:r>
      <w:r>
        <w:rPr>
          <w:spacing w:val="-10"/>
          <w:sz w:val="17"/>
        </w:rPr>
        <w:t xml:space="preserve"> </w:t>
      </w:r>
      <w:r>
        <w:rPr>
          <w:spacing w:val="-2"/>
          <w:sz w:val="17"/>
        </w:rPr>
        <w:t>plena;</w:t>
      </w:r>
      <w:r>
        <w:rPr>
          <w:spacing w:val="-10"/>
          <w:sz w:val="17"/>
        </w:rPr>
        <w:t xml:space="preserve"> </w:t>
      </w:r>
      <w:r>
        <w:rPr>
          <w:spacing w:val="-2"/>
          <w:sz w:val="17"/>
        </w:rPr>
        <w:t>y</w:t>
      </w:r>
      <w:r>
        <w:rPr>
          <w:spacing w:val="-9"/>
          <w:sz w:val="17"/>
        </w:rPr>
        <w:t xml:space="preserve"> </w:t>
      </w:r>
      <w:r>
        <w:rPr>
          <w:spacing w:val="-2"/>
          <w:sz w:val="17"/>
        </w:rPr>
        <w:t>(d)</w:t>
      </w:r>
      <w:r>
        <w:rPr>
          <w:spacing w:val="-10"/>
          <w:sz w:val="17"/>
        </w:rPr>
        <w:t xml:space="preserve"> </w:t>
      </w:r>
      <w:r>
        <w:rPr>
          <w:spacing w:val="-2"/>
          <w:sz w:val="17"/>
        </w:rPr>
        <w:t>diseño</w:t>
      </w:r>
      <w:r>
        <w:rPr>
          <w:spacing w:val="-10"/>
          <w:sz w:val="17"/>
        </w:rPr>
        <w:t xml:space="preserve"> </w:t>
      </w:r>
      <w:r>
        <w:rPr>
          <w:spacing w:val="-2"/>
          <w:sz w:val="17"/>
        </w:rPr>
        <w:t>inclusivo.</w:t>
      </w:r>
    </w:p>
    <w:p w14:paraId="493ADFA0" w14:textId="77777777" w:rsidR="0014798C" w:rsidRDefault="004E1F0B">
      <w:pPr>
        <w:spacing w:line="194" w:lineRule="exact"/>
        <w:ind w:left="1332"/>
        <w:rPr>
          <w:sz w:val="17"/>
        </w:rPr>
      </w:pPr>
      <w:r>
        <w:rPr>
          <w:sz w:val="17"/>
        </w:rPr>
        <w:t>Aplicando</w:t>
      </w:r>
      <w:r>
        <w:rPr>
          <w:spacing w:val="-11"/>
          <w:sz w:val="17"/>
        </w:rPr>
        <w:t xml:space="preserve"> </w:t>
      </w:r>
      <w:r>
        <w:rPr>
          <w:sz w:val="17"/>
        </w:rPr>
        <w:t>estos</w:t>
      </w:r>
      <w:r>
        <w:rPr>
          <w:spacing w:val="-10"/>
          <w:sz w:val="17"/>
        </w:rPr>
        <w:t xml:space="preserve"> </w:t>
      </w:r>
      <w:r>
        <w:rPr>
          <w:sz w:val="17"/>
        </w:rPr>
        <w:t>principios,</w:t>
      </w:r>
      <w:r>
        <w:rPr>
          <w:spacing w:val="-9"/>
          <w:sz w:val="17"/>
        </w:rPr>
        <w:t xml:space="preserve"> </w:t>
      </w:r>
      <w:r>
        <w:rPr>
          <w:sz w:val="17"/>
        </w:rPr>
        <w:t>la</w:t>
      </w:r>
      <w:r>
        <w:rPr>
          <w:spacing w:val="-10"/>
          <w:sz w:val="17"/>
        </w:rPr>
        <w:t xml:space="preserve"> </w:t>
      </w:r>
      <w:r>
        <w:rPr>
          <w:sz w:val="17"/>
        </w:rPr>
        <w:t>Comisión</w:t>
      </w:r>
      <w:r>
        <w:rPr>
          <w:spacing w:val="-11"/>
          <w:sz w:val="17"/>
        </w:rPr>
        <w:t xml:space="preserve"> </w:t>
      </w:r>
      <w:r>
        <w:rPr>
          <w:sz w:val="17"/>
        </w:rPr>
        <w:t>da</w:t>
      </w:r>
      <w:r>
        <w:rPr>
          <w:spacing w:val="-10"/>
          <w:sz w:val="17"/>
        </w:rPr>
        <w:t xml:space="preserve"> </w:t>
      </w:r>
      <w:r>
        <w:rPr>
          <w:sz w:val="17"/>
        </w:rPr>
        <w:t>el</w:t>
      </w:r>
      <w:r>
        <w:rPr>
          <w:spacing w:val="-10"/>
          <w:sz w:val="17"/>
        </w:rPr>
        <w:t xml:space="preserve"> </w:t>
      </w:r>
      <w:r>
        <w:rPr>
          <w:sz w:val="17"/>
        </w:rPr>
        <w:t>siguiente</w:t>
      </w:r>
      <w:r>
        <w:rPr>
          <w:spacing w:val="-10"/>
          <w:sz w:val="17"/>
        </w:rPr>
        <w:t xml:space="preserve"> </w:t>
      </w:r>
      <w:r>
        <w:rPr>
          <w:spacing w:val="-2"/>
          <w:sz w:val="17"/>
        </w:rPr>
        <w:t>ejemplo:</w:t>
      </w:r>
    </w:p>
    <w:p w14:paraId="72A1D1CB" w14:textId="77777777" w:rsidR="0014798C" w:rsidRDefault="004E1F0B">
      <w:pPr>
        <w:spacing w:before="168" w:line="307" w:lineRule="auto"/>
        <w:ind w:left="1672" w:right="1626"/>
        <w:rPr>
          <w:sz w:val="17"/>
        </w:rPr>
      </w:pPr>
      <w:r>
        <w:rPr>
          <w:sz w:val="17"/>
        </w:rPr>
        <w:t>Un</w:t>
      </w:r>
      <w:r>
        <w:rPr>
          <w:spacing w:val="-4"/>
          <w:sz w:val="17"/>
        </w:rPr>
        <w:t xml:space="preserve"> </w:t>
      </w:r>
      <w:r>
        <w:rPr>
          <w:sz w:val="17"/>
        </w:rPr>
        <w:t>miembro</w:t>
      </w:r>
      <w:r>
        <w:rPr>
          <w:spacing w:val="-4"/>
          <w:sz w:val="17"/>
        </w:rPr>
        <w:t xml:space="preserve"> </w:t>
      </w:r>
      <w:r>
        <w:rPr>
          <w:sz w:val="17"/>
        </w:rPr>
        <w:t>de</w:t>
      </w:r>
      <w:r>
        <w:rPr>
          <w:spacing w:val="-4"/>
          <w:sz w:val="17"/>
        </w:rPr>
        <w:t xml:space="preserve"> </w:t>
      </w:r>
      <w:r>
        <w:rPr>
          <w:sz w:val="17"/>
        </w:rPr>
        <w:t>un</w:t>
      </w:r>
      <w:r>
        <w:rPr>
          <w:spacing w:val="-4"/>
          <w:sz w:val="17"/>
        </w:rPr>
        <w:t xml:space="preserve"> </w:t>
      </w:r>
      <w:r>
        <w:rPr>
          <w:sz w:val="17"/>
        </w:rPr>
        <w:t>gimnasio</w:t>
      </w:r>
      <w:r>
        <w:rPr>
          <w:spacing w:val="-4"/>
          <w:sz w:val="17"/>
        </w:rPr>
        <w:t xml:space="preserve"> </w:t>
      </w:r>
      <w:r>
        <w:rPr>
          <w:sz w:val="17"/>
        </w:rPr>
        <w:t>está</w:t>
      </w:r>
      <w:r>
        <w:rPr>
          <w:spacing w:val="-4"/>
          <w:sz w:val="17"/>
        </w:rPr>
        <w:t xml:space="preserve"> </w:t>
      </w:r>
      <w:r>
        <w:rPr>
          <w:sz w:val="17"/>
        </w:rPr>
        <w:t>en</w:t>
      </w:r>
      <w:r>
        <w:rPr>
          <w:spacing w:val="-4"/>
          <w:sz w:val="17"/>
        </w:rPr>
        <w:t xml:space="preserve"> </w:t>
      </w:r>
      <w:r>
        <w:rPr>
          <w:sz w:val="17"/>
        </w:rPr>
        <w:t>proceso</w:t>
      </w:r>
      <w:r>
        <w:rPr>
          <w:spacing w:val="-4"/>
          <w:sz w:val="17"/>
        </w:rPr>
        <w:t xml:space="preserve"> </w:t>
      </w:r>
      <w:r>
        <w:rPr>
          <w:sz w:val="17"/>
        </w:rPr>
        <w:t>de</w:t>
      </w:r>
      <w:r>
        <w:rPr>
          <w:spacing w:val="-4"/>
          <w:sz w:val="17"/>
        </w:rPr>
        <w:t xml:space="preserve"> </w:t>
      </w:r>
      <w:r>
        <w:rPr>
          <w:sz w:val="17"/>
        </w:rPr>
        <w:t>transición</w:t>
      </w:r>
      <w:r>
        <w:rPr>
          <w:spacing w:val="-4"/>
          <w:sz w:val="17"/>
        </w:rPr>
        <w:t xml:space="preserve"> </w:t>
      </w:r>
      <w:r>
        <w:rPr>
          <w:sz w:val="17"/>
        </w:rPr>
        <w:t>para</w:t>
      </w:r>
      <w:r>
        <w:rPr>
          <w:spacing w:val="-4"/>
          <w:sz w:val="17"/>
        </w:rPr>
        <w:t xml:space="preserve"> </w:t>
      </w:r>
      <w:r>
        <w:rPr>
          <w:sz w:val="17"/>
        </w:rPr>
        <w:t>identificarse</w:t>
      </w:r>
      <w:r>
        <w:rPr>
          <w:spacing w:val="-4"/>
          <w:sz w:val="17"/>
        </w:rPr>
        <w:t xml:space="preserve"> </w:t>
      </w:r>
      <w:r>
        <w:rPr>
          <w:sz w:val="17"/>
        </w:rPr>
        <w:t>públicamente</w:t>
      </w:r>
      <w:r>
        <w:rPr>
          <w:spacing w:val="-4"/>
          <w:sz w:val="17"/>
        </w:rPr>
        <w:t xml:space="preserve"> </w:t>
      </w:r>
      <w:r>
        <w:rPr>
          <w:sz w:val="17"/>
        </w:rPr>
        <w:t>como</w:t>
      </w:r>
      <w:r>
        <w:rPr>
          <w:spacing w:val="-4"/>
          <w:sz w:val="17"/>
        </w:rPr>
        <w:t xml:space="preserve"> </w:t>
      </w:r>
      <w:r>
        <w:rPr>
          <w:sz w:val="17"/>
        </w:rPr>
        <w:t>mujer.</w:t>
      </w:r>
      <w:r>
        <w:rPr>
          <w:spacing w:val="-3"/>
          <w:sz w:val="17"/>
        </w:rPr>
        <w:t xml:space="preserve"> </w:t>
      </w:r>
      <w:r>
        <w:rPr>
          <w:sz w:val="17"/>
        </w:rPr>
        <w:t>Ya</w:t>
      </w:r>
      <w:r>
        <w:rPr>
          <w:spacing w:val="-4"/>
          <w:sz w:val="17"/>
        </w:rPr>
        <w:t xml:space="preserve"> </w:t>
      </w:r>
      <w:r>
        <w:rPr>
          <w:sz w:val="17"/>
        </w:rPr>
        <w:t>no cree que sea apropiado o seguro usar el vestuario de hombres, pero aún no se siente cómoda usando el vestuario de mujeres. El director del club explora con ella soluciones provisionales, como una cortina o mampara de privacidad en las zonas de ducha y vestuario de hombres o mujeres, o acceso a un espacio privado para el personal.</w:t>
      </w:r>
    </w:p>
    <w:p w14:paraId="44FA3C53" w14:textId="77777777" w:rsidR="0014798C" w:rsidRDefault="004E1F0B">
      <w:pPr>
        <w:spacing w:before="111" w:line="307" w:lineRule="auto"/>
        <w:ind w:left="1672" w:right="1866"/>
        <w:jc w:val="both"/>
        <w:rPr>
          <w:sz w:val="17"/>
        </w:rPr>
      </w:pPr>
      <w:r>
        <w:rPr>
          <w:sz w:val="17"/>
        </w:rPr>
        <w:t>El</w:t>
      </w:r>
      <w:r>
        <w:rPr>
          <w:spacing w:val="-2"/>
          <w:sz w:val="17"/>
        </w:rPr>
        <w:t xml:space="preserve"> </w:t>
      </w:r>
      <w:r>
        <w:rPr>
          <w:sz w:val="17"/>
        </w:rPr>
        <w:t>club</w:t>
      </w:r>
      <w:r>
        <w:rPr>
          <w:spacing w:val="-2"/>
          <w:sz w:val="17"/>
        </w:rPr>
        <w:t xml:space="preserve"> </w:t>
      </w:r>
      <w:r>
        <w:rPr>
          <w:sz w:val="17"/>
        </w:rPr>
        <w:t>también</w:t>
      </w:r>
      <w:r>
        <w:rPr>
          <w:spacing w:val="-2"/>
          <w:sz w:val="17"/>
        </w:rPr>
        <w:t xml:space="preserve"> </w:t>
      </w:r>
      <w:r>
        <w:rPr>
          <w:sz w:val="17"/>
        </w:rPr>
        <w:t>está</w:t>
      </w:r>
      <w:r>
        <w:rPr>
          <w:spacing w:val="-2"/>
          <w:sz w:val="17"/>
        </w:rPr>
        <w:t xml:space="preserve"> </w:t>
      </w:r>
      <w:r>
        <w:rPr>
          <w:sz w:val="17"/>
        </w:rPr>
        <w:t>buscando</w:t>
      </w:r>
      <w:r>
        <w:rPr>
          <w:spacing w:val="-2"/>
          <w:sz w:val="17"/>
        </w:rPr>
        <w:t xml:space="preserve"> </w:t>
      </w:r>
      <w:r>
        <w:rPr>
          <w:sz w:val="17"/>
        </w:rPr>
        <w:t>opciones</w:t>
      </w:r>
      <w:r>
        <w:rPr>
          <w:spacing w:val="-2"/>
          <w:sz w:val="17"/>
        </w:rPr>
        <w:t xml:space="preserve"> </w:t>
      </w:r>
      <w:r>
        <w:rPr>
          <w:sz w:val="17"/>
        </w:rPr>
        <w:t>más</w:t>
      </w:r>
      <w:r>
        <w:rPr>
          <w:spacing w:val="-2"/>
          <w:sz w:val="17"/>
        </w:rPr>
        <w:t xml:space="preserve"> </w:t>
      </w:r>
      <w:r>
        <w:rPr>
          <w:sz w:val="17"/>
        </w:rPr>
        <w:t>universalmente</w:t>
      </w:r>
      <w:r>
        <w:rPr>
          <w:spacing w:val="-2"/>
          <w:sz w:val="17"/>
        </w:rPr>
        <w:t xml:space="preserve"> </w:t>
      </w:r>
      <w:r>
        <w:rPr>
          <w:sz w:val="17"/>
        </w:rPr>
        <w:t>inclusivas</w:t>
      </w:r>
      <w:r>
        <w:rPr>
          <w:spacing w:val="-2"/>
          <w:sz w:val="17"/>
        </w:rPr>
        <w:t xml:space="preserve"> </w:t>
      </w:r>
      <w:r>
        <w:rPr>
          <w:sz w:val="17"/>
        </w:rPr>
        <w:t>para</w:t>
      </w:r>
      <w:r>
        <w:rPr>
          <w:spacing w:val="-2"/>
          <w:sz w:val="17"/>
        </w:rPr>
        <w:t xml:space="preserve"> </w:t>
      </w:r>
      <w:r>
        <w:rPr>
          <w:sz w:val="17"/>
        </w:rPr>
        <w:t>el</w:t>
      </w:r>
      <w:r>
        <w:rPr>
          <w:spacing w:val="-2"/>
          <w:sz w:val="17"/>
        </w:rPr>
        <w:t xml:space="preserve"> </w:t>
      </w:r>
      <w:r>
        <w:rPr>
          <w:sz w:val="17"/>
        </w:rPr>
        <w:t>futuro,</w:t>
      </w:r>
      <w:r>
        <w:rPr>
          <w:spacing w:val="-1"/>
          <w:sz w:val="17"/>
        </w:rPr>
        <w:t xml:space="preserve"> </w:t>
      </w:r>
      <w:r>
        <w:rPr>
          <w:sz w:val="17"/>
        </w:rPr>
        <w:t>como</w:t>
      </w:r>
      <w:r>
        <w:rPr>
          <w:spacing w:val="-2"/>
          <w:sz w:val="17"/>
        </w:rPr>
        <w:t xml:space="preserve"> </w:t>
      </w:r>
      <w:r>
        <w:rPr>
          <w:sz w:val="17"/>
        </w:rPr>
        <w:t>la</w:t>
      </w:r>
      <w:r>
        <w:rPr>
          <w:spacing w:val="-2"/>
          <w:sz w:val="17"/>
        </w:rPr>
        <w:t xml:space="preserve"> </w:t>
      </w:r>
      <w:r>
        <w:rPr>
          <w:sz w:val="17"/>
        </w:rPr>
        <w:t>construcción de</w:t>
      </w:r>
      <w:r>
        <w:rPr>
          <w:spacing w:val="-4"/>
          <w:sz w:val="17"/>
        </w:rPr>
        <w:t xml:space="preserve"> </w:t>
      </w:r>
      <w:r>
        <w:rPr>
          <w:sz w:val="17"/>
        </w:rPr>
        <w:t>un</w:t>
      </w:r>
      <w:r>
        <w:rPr>
          <w:spacing w:val="-4"/>
          <w:sz w:val="17"/>
        </w:rPr>
        <w:t xml:space="preserve"> </w:t>
      </w:r>
      <w:r>
        <w:rPr>
          <w:sz w:val="17"/>
        </w:rPr>
        <w:t>cubículo</w:t>
      </w:r>
      <w:r>
        <w:rPr>
          <w:spacing w:val="-4"/>
          <w:sz w:val="17"/>
        </w:rPr>
        <w:t xml:space="preserve"> </w:t>
      </w:r>
      <w:r>
        <w:rPr>
          <w:sz w:val="17"/>
        </w:rPr>
        <w:t>de</w:t>
      </w:r>
      <w:r>
        <w:rPr>
          <w:spacing w:val="-4"/>
          <w:sz w:val="17"/>
        </w:rPr>
        <w:t xml:space="preserve"> </w:t>
      </w:r>
      <w:r>
        <w:rPr>
          <w:sz w:val="17"/>
        </w:rPr>
        <w:t>privacidad</w:t>
      </w:r>
      <w:r>
        <w:rPr>
          <w:spacing w:val="-4"/>
          <w:sz w:val="17"/>
        </w:rPr>
        <w:t xml:space="preserve"> </w:t>
      </w:r>
      <w:r>
        <w:rPr>
          <w:sz w:val="17"/>
        </w:rPr>
        <w:t>accesible</w:t>
      </w:r>
      <w:r>
        <w:rPr>
          <w:spacing w:val="-4"/>
          <w:sz w:val="17"/>
        </w:rPr>
        <w:t xml:space="preserve"> </w:t>
      </w:r>
      <w:r>
        <w:rPr>
          <w:sz w:val="17"/>
        </w:rPr>
        <w:t>en</w:t>
      </w:r>
      <w:r>
        <w:rPr>
          <w:spacing w:val="-4"/>
          <w:sz w:val="17"/>
        </w:rPr>
        <w:t xml:space="preserve"> </w:t>
      </w:r>
      <w:r>
        <w:rPr>
          <w:sz w:val="17"/>
        </w:rPr>
        <w:t>cada</w:t>
      </w:r>
      <w:r>
        <w:rPr>
          <w:spacing w:val="-4"/>
          <w:sz w:val="17"/>
        </w:rPr>
        <w:t xml:space="preserve"> </w:t>
      </w:r>
      <w:r>
        <w:rPr>
          <w:sz w:val="17"/>
        </w:rPr>
        <w:t>vestuario</w:t>
      </w:r>
      <w:r>
        <w:rPr>
          <w:spacing w:val="-4"/>
          <w:sz w:val="17"/>
        </w:rPr>
        <w:t xml:space="preserve"> </w:t>
      </w:r>
      <w:r>
        <w:rPr>
          <w:sz w:val="17"/>
        </w:rPr>
        <w:t>y/o</w:t>
      </w:r>
      <w:r>
        <w:rPr>
          <w:spacing w:val="-4"/>
          <w:sz w:val="17"/>
        </w:rPr>
        <w:t xml:space="preserve"> </w:t>
      </w:r>
      <w:r>
        <w:rPr>
          <w:sz w:val="17"/>
        </w:rPr>
        <w:t>un</w:t>
      </w:r>
      <w:r>
        <w:rPr>
          <w:spacing w:val="-4"/>
          <w:sz w:val="17"/>
        </w:rPr>
        <w:t xml:space="preserve"> </w:t>
      </w:r>
      <w:r>
        <w:rPr>
          <w:sz w:val="17"/>
        </w:rPr>
        <w:t>baño</w:t>
      </w:r>
      <w:r>
        <w:rPr>
          <w:spacing w:val="-4"/>
          <w:sz w:val="17"/>
        </w:rPr>
        <w:t xml:space="preserve"> </w:t>
      </w:r>
      <w:r>
        <w:rPr>
          <w:sz w:val="17"/>
        </w:rPr>
        <w:t>universal</w:t>
      </w:r>
      <w:r>
        <w:rPr>
          <w:spacing w:val="-4"/>
          <w:sz w:val="17"/>
        </w:rPr>
        <w:t xml:space="preserve"> </w:t>
      </w:r>
      <w:r>
        <w:rPr>
          <w:sz w:val="17"/>
        </w:rPr>
        <w:t>para</w:t>
      </w:r>
      <w:r>
        <w:rPr>
          <w:spacing w:val="-4"/>
          <w:sz w:val="17"/>
        </w:rPr>
        <w:t xml:space="preserve"> </w:t>
      </w:r>
      <w:r>
        <w:rPr>
          <w:sz w:val="17"/>
        </w:rPr>
        <w:t>un</w:t>
      </w:r>
      <w:r>
        <w:rPr>
          <w:spacing w:val="-4"/>
          <w:sz w:val="17"/>
        </w:rPr>
        <w:t xml:space="preserve"> </w:t>
      </w:r>
      <w:r>
        <w:rPr>
          <w:sz w:val="17"/>
        </w:rPr>
        <w:t>solo</w:t>
      </w:r>
      <w:r>
        <w:rPr>
          <w:spacing w:val="-4"/>
          <w:sz w:val="17"/>
        </w:rPr>
        <w:t xml:space="preserve"> </w:t>
      </w:r>
      <w:r>
        <w:rPr>
          <w:sz w:val="17"/>
        </w:rPr>
        <w:t>usuario,</w:t>
      </w:r>
      <w:r>
        <w:rPr>
          <w:spacing w:val="-3"/>
          <w:sz w:val="17"/>
        </w:rPr>
        <w:t xml:space="preserve"> </w:t>
      </w:r>
      <w:r>
        <w:rPr>
          <w:sz w:val="17"/>
        </w:rPr>
        <w:t>neutral en cuanto al género, con ducha y espacio para cambiarse.291</w:t>
      </w:r>
    </w:p>
    <w:p w14:paraId="4EE9256D" w14:textId="77777777" w:rsidR="0014798C" w:rsidRDefault="004E1F0B">
      <w:pPr>
        <w:spacing w:before="111" w:line="307" w:lineRule="auto"/>
        <w:ind w:left="1333" w:right="1463" w:hanging="1"/>
        <w:rPr>
          <w:sz w:val="17"/>
        </w:rPr>
      </w:pPr>
      <w:r>
        <w:rPr>
          <w:sz w:val="17"/>
        </w:rPr>
        <w:t>El Relator Especial sobre la libertad de religión o de creencias ha escrito extensamente sobre la importancia de los ajustes</w:t>
      </w:r>
      <w:r>
        <w:rPr>
          <w:spacing w:val="-4"/>
          <w:sz w:val="17"/>
        </w:rPr>
        <w:t xml:space="preserve"> </w:t>
      </w:r>
      <w:r>
        <w:rPr>
          <w:sz w:val="17"/>
        </w:rPr>
        <w:t>razonables</w:t>
      </w:r>
      <w:r>
        <w:rPr>
          <w:spacing w:val="-4"/>
          <w:sz w:val="17"/>
        </w:rPr>
        <w:t xml:space="preserve"> </w:t>
      </w:r>
      <w:r>
        <w:rPr>
          <w:sz w:val="17"/>
        </w:rPr>
        <w:t>para</w:t>
      </w:r>
      <w:r>
        <w:rPr>
          <w:spacing w:val="-4"/>
          <w:sz w:val="17"/>
        </w:rPr>
        <w:t xml:space="preserve"> </w:t>
      </w:r>
      <w:r>
        <w:rPr>
          <w:sz w:val="17"/>
        </w:rPr>
        <w:t>la</w:t>
      </w:r>
      <w:r>
        <w:rPr>
          <w:spacing w:val="-4"/>
          <w:sz w:val="17"/>
        </w:rPr>
        <w:t xml:space="preserve"> </w:t>
      </w:r>
      <w:r>
        <w:rPr>
          <w:sz w:val="17"/>
        </w:rPr>
        <w:t>realización</w:t>
      </w:r>
      <w:r>
        <w:rPr>
          <w:spacing w:val="-4"/>
          <w:sz w:val="17"/>
        </w:rPr>
        <w:t xml:space="preserve"> </w:t>
      </w:r>
      <w:r>
        <w:rPr>
          <w:sz w:val="17"/>
        </w:rPr>
        <w:t>del</w:t>
      </w:r>
      <w:r>
        <w:rPr>
          <w:spacing w:val="-4"/>
          <w:sz w:val="17"/>
        </w:rPr>
        <w:t xml:space="preserve"> </w:t>
      </w:r>
      <w:r>
        <w:rPr>
          <w:sz w:val="17"/>
        </w:rPr>
        <w:t>derecho</w:t>
      </w:r>
      <w:r>
        <w:rPr>
          <w:spacing w:val="-4"/>
          <w:sz w:val="17"/>
        </w:rPr>
        <w:t xml:space="preserve"> </w:t>
      </w:r>
      <w:r>
        <w:rPr>
          <w:sz w:val="17"/>
        </w:rPr>
        <w:t>a</w:t>
      </w:r>
      <w:r>
        <w:rPr>
          <w:spacing w:val="-4"/>
          <w:sz w:val="17"/>
        </w:rPr>
        <w:t xml:space="preserve"> </w:t>
      </w:r>
      <w:r>
        <w:rPr>
          <w:sz w:val="17"/>
        </w:rPr>
        <w:t>la</w:t>
      </w:r>
      <w:r>
        <w:rPr>
          <w:spacing w:val="-4"/>
          <w:sz w:val="17"/>
        </w:rPr>
        <w:t xml:space="preserve"> </w:t>
      </w:r>
      <w:r>
        <w:rPr>
          <w:sz w:val="17"/>
        </w:rPr>
        <w:t>libertad</w:t>
      </w:r>
      <w:r>
        <w:rPr>
          <w:spacing w:val="-4"/>
          <w:sz w:val="17"/>
        </w:rPr>
        <w:t xml:space="preserve"> </w:t>
      </w:r>
      <w:r>
        <w:rPr>
          <w:sz w:val="17"/>
        </w:rPr>
        <w:t>de</w:t>
      </w:r>
      <w:r>
        <w:rPr>
          <w:spacing w:val="-4"/>
          <w:sz w:val="17"/>
        </w:rPr>
        <w:t xml:space="preserve"> </w:t>
      </w:r>
      <w:r>
        <w:rPr>
          <w:sz w:val="17"/>
        </w:rPr>
        <w:t>religión,</w:t>
      </w:r>
      <w:r>
        <w:rPr>
          <w:spacing w:val="-3"/>
          <w:sz w:val="17"/>
        </w:rPr>
        <w:t xml:space="preserve"> </w:t>
      </w:r>
      <w:r>
        <w:rPr>
          <w:sz w:val="17"/>
        </w:rPr>
        <w:t>señalando</w:t>
      </w:r>
      <w:r>
        <w:rPr>
          <w:spacing w:val="-4"/>
          <w:sz w:val="17"/>
        </w:rPr>
        <w:t xml:space="preserve"> </w:t>
      </w:r>
      <w:r>
        <w:rPr>
          <w:sz w:val="17"/>
        </w:rPr>
        <w:t>que:</w:t>
      </w:r>
      <w:r>
        <w:rPr>
          <w:spacing w:val="-4"/>
          <w:sz w:val="17"/>
        </w:rPr>
        <w:t xml:space="preserve"> </w:t>
      </w:r>
      <w:r>
        <w:rPr>
          <w:sz w:val="17"/>
        </w:rPr>
        <w:t>“Las</w:t>
      </w:r>
      <w:r>
        <w:rPr>
          <w:spacing w:val="-4"/>
          <w:sz w:val="17"/>
        </w:rPr>
        <w:t xml:space="preserve"> </w:t>
      </w:r>
      <w:r>
        <w:rPr>
          <w:sz w:val="17"/>
        </w:rPr>
        <w:t>políticas</w:t>
      </w:r>
      <w:r>
        <w:rPr>
          <w:spacing w:val="-4"/>
          <w:sz w:val="17"/>
        </w:rPr>
        <w:t xml:space="preserve"> </w:t>
      </w:r>
      <w:r>
        <w:rPr>
          <w:sz w:val="17"/>
        </w:rPr>
        <w:t>para</w:t>
      </w:r>
      <w:r>
        <w:rPr>
          <w:spacing w:val="-4"/>
          <w:sz w:val="17"/>
        </w:rPr>
        <w:t xml:space="preserve"> </w:t>
      </w:r>
      <w:r>
        <w:rPr>
          <w:sz w:val="17"/>
        </w:rPr>
        <w:t>eliminar la discriminación no pueden ser plenamente efectivas a menos que también contemplen medidas de ajustes razonables. ”292 En este contexto, los ajustes razonables se enmarcan como un medio para eliminar el impacto indirectamente discriminatorio de una política o medida neutral.293 Así, por ejemplo, las adaptaciones a</w:t>
      </w:r>
    </w:p>
    <w:p w14:paraId="614DA84D" w14:textId="77777777" w:rsidR="0014798C" w:rsidRDefault="0014798C">
      <w:pPr>
        <w:pStyle w:val="Textoindependiente"/>
        <w:rPr>
          <w:sz w:val="12"/>
        </w:rPr>
      </w:pPr>
    </w:p>
    <w:p w14:paraId="7B3E8CC7" w14:textId="77777777" w:rsidR="0014798C" w:rsidRDefault="0014798C">
      <w:pPr>
        <w:pStyle w:val="Textoindependiente"/>
        <w:rPr>
          <w:sz w:val="12"/>
        </w:rPr>
      </w:pPr>
    </w:p>
    <w:p w14:paraId="29ABA355" w14:textId="77777777" w:rsidR="0014798C" w:rsidRDefault="0014798C">
      <w:pPr>
        <w:pStyle w:val="Textoindependiente"/>
        <w:rPr>
          <w:sz w:val="12"/>
        </w:rPr>
      </w:pPr>
    </w:p>
    <w:p w14:paraId="38A5C33B" w14:textId="77777777" w:rsidR="0014798C" w:rsidRDefault="0014798C">
      <w:pPr>
        <w:pStyle w:val="Textoindependiente"/>
        <w:rPr>
          <w:sz w:val="12"/>
        </w:rPr>
      </w:pPr>
    </w:p>
    <w:p w14:paraId="4A3F6F9F" w14:textId="77777777" w:rsidR="0014798C" w:rsidRDefault="0014798C">
      <w:pPr>
        <w:pStyle w:val="Textoindependiente"/>
        <w:spacing w:before="100"/>
        <w:rPr>
          <w:sz w:val="12"/>
        </w:rPr>
      </w:pPr>
    </w:p>
    <w:p w14:paraId="7EAA01A5" w14:textId="77777777" w:rsidR="0014798C" w:rsidRDefault="004E1F0B">
      <w:pPr>
        <w:pStyle w:val="Prrafodelista"/>
        <w:numPr>
          <w:ilvl w:val="0"/>
          <w:numId w:val="76"/>
        </w:numPr>
        <w:tabs>
          <w:tab w:val="left" w:pos="1346"/>
          <w:tab w:val="left" w:pos="1370"/>
        </w:tabs>
        <w:spacing w:line="312" w:lineRule="auto"/>
        <w:ind w:right="1784" w:hanging="265"/>
        <w:rPr>
          <w:sz w:val="12"/>
        </w:rPr>
      </w:pPr>
      <w:r>
        <w:rPr>
          <w:w w:val="105"/>
          <w:sz w:val="12"/>
        </w:rPr>
        <w:t>Corte</w:t>
      </w:r>
      <w:r>
        <w:rPr>
          <w:spacing w:val="-4"/>
          <w:w w:val="105"/>
          <w:sz w:val="12"/>
        </w:rPr>
        <w:t xml:space="preserve"> </w:t>
      </w:r>
      <w:r>
        <w:rPr>
          <w:w w:val="105"/>
          <w:sz w:val="12"/>
        </w:rPr>
        <w:t>Interamericana</w:t>
      </w:r>
      <w:r>
        <w:rPr>
          <w:spacing w:val="-4"/>
          <w:w w:val="105"/>
          <w:sz w:val="12"/>
        </w:rPr>
        <w:t xml:space="preserve"> </w:t>
      </w:r>
      <w:r>
        <w:rPr>
          <w:w w:val="105"/>
          <w:sz w:val="12"/>
        </w:rPr>
        <w:t>de</w:t>
      </w:r>
      <w:r>
        <w:rPr>
          <w:spacing w:val="-4"/>
          <w:w w:val="105"/>
          <w:sz w:val="12"/>
        </w:rPr>
        <w:t xml:space="preserve"> </w:t>
      </w:r>
      <w:r>
        <w:rPr>
          <w:w w:val="105"/>
          <w:sz w:val="12"/>
        </w:rPr>
        <w:t>Derechos</w:t>
      </w:r>
      <w:r>
        <w:rPr>
          <w:spacing w:val="-4"/>
          <w:w w:val="105"/>
          <w:sz w:val="12"/>
        </w:rPr>
        <w:t xml:space="preserve"> </w:t>
      </w:r>
      <w:r>
        <w:rPr>
          <w:w w:val="105"/>
          <w:sz w:val="12"/>
        </w:rPr>
        <w:t>Humanos,</w:t>
      </w:r>
      <w:r>
        <w:rPr>
          <w:spacing w:val="-4"/>
          <w:w w:val="105"/>
          <w:sz w:val="12"/>
        </w:rPr>
        <w:t xml:space="preserve"> </w:t>
      </w:r>
      <w:r>
        <w:rPr>
          <w:w w:val="105"/>
          <w:sz w:val="12"/>
        </w:rPr>
        <w:t>Chinchilla</w:t>
      </w:r>
      <w:r>
        <w:rPr>
          <w:spacing w:val="-4"/>
          <w:w w:val="105"/>
          <w:sz w:val="12"/>
        </w:rPr>
        <w:t xml:space="preserve"> </w:t>
      </w:r>
      <w:r>
        <w:rPr>
          <w:w w:val="105"/>
          <w:sz w:val="12"/>
        </w:rPr>
        <w:t>Sandoval</w:t>
      </w:r>
      <w:r>
        <w:rPr>
          <w:spacing w:val="-4"/>
          <w:w w:val="105"/>
          <w:sz w:val="12"/>
        </w:rPr>
        <w:t xml:space="preserve"> </w:t>
      </w:r>
      <w:r>
        <w:rPr>
          <w:w w:val="105"/>
          <w:sz w:val="12"/>
        </w:rPr>
        <w:t>vs.</w:t>
      </w:r>
      <w:r>
        <w:rPr>
          <w:spacing w:val="-4"/>
          <w:w w:val="105"/>
          <w:sz w:val="12"/>
        </w:rPr>
        <w:t xml:space="preserve"> </w:t>
      </w:r>
      <w:r>
        <w:rPr>
          <w:w w:val="105"/>
          <w:sz w:val="12"/>
        </w:rPr>
        <w:t>Guatemala,</w:t>
      </w:r>
      <w:r>
        <w:rPr>
          <w:spacing w:val="-4"/>
          <w:w w:val="105"/>
          <w:sz w:val="12"/>
        </w:rPr>
        <w:t xml:space="preserve"> </w:t>
      </w:r>
      <w:r>
        <w:rPr>
          <w:w w:val="105"/>
          <w:sz w:val="12"/>
        </w:rPr>
        <w:t>sentencia</w:t>
      </w:r>
      <w:r>
        <w:rPr>
          <w:spacing w:val="-4"/>
          <w:w w:val="105"/>
          <w:sz w:val="12"/>
        </w:rPr>
        <w:t xml:space="preserve"> </w:t>
      </w:r>
      <w:r>
        <w:rPr>
          <w:w w:val="105"/>
          <w:sz w:val="12"/>
        </w:rPr>
        <w:t>de</w:t>
      </w:r>
      <w:r>
        <w:rPr>
          <w:spacing w:val="-4"/>
          <w:w w:val="105"/>
          <w:sz w:val="12"/>
        </w:rPr>
        <w:t xml:space="preserve"> </w:t>
      </w:r>
      <w:r>
        <w:rPr>
          <w:w w:val="105"/>
          <w:sz w:val="12"/>
        </w:rPr>
        <w:t>29</w:t>
      </w:r>
      <w:r>
        <w:rPr>
          <w:spacing w:val="-4"/>
          <w:w w:val="105"/>
          <w:sz w:val="12"/>
        </w:rPr>
        <w:t xml:space="preserve"> </w:t>
      </w:r>
      <w:r>
        <w:rPr>
          <w:w w:val="105"/>
          <w:sz w:val="12"/>
        </w:rPr>
        <w:t>de</w:t>
      </w:r>
      <w:r>
        <w:rPr>
          <w:spacing w:val="-4"/>
          <w:w w:val="105"/>
          <w:sz w:val="12"/>
        </w:rPr>
        <w:t xml:space="preserve"> </w:t>
      </w:r>
      <w:r>
        <w:rPr>
          <w:w w:val="105"/>
          <w:sz w:val="12"/>
        </w:rPr>
        <w:t>febrero</w:t>
      </w:r>
      <w:r>
        <w:rPr>
          <w:spacing w:val="-4"/>
          <w:w w:val="105"/>
          <w:sz w:val="12"/>
        </w:rPr>
        <w:t xml:space="preserve"> </w:t>
      </w:r>
      <w:r>
        <w:rPr>
          <w:w w:val="105"/>
          <w:sz w:val="12"/>
        </w:rPr>
        <w:t>de</w:t>
      </w:r>
      <w:r>
        <w:rPr>
          <w:spacing w:val="-4"/>
          <w:w w:val="105"/>
          <w:sz w:val="12"/>
        </w:rPr>
        <w:t xml:space="preserve"> </w:t>
      </w:r>
      <w:r>
        <w:rPr>
          <w:w w:val="105"/>
          <w:sz w:val="12"/>
        </w:rPr>
        <w:t>2016,</w:t>
      </w:r>
      <w:r>
        <w:rPr>
          <w:spacing w:val="-4"/>
          <w:w w:val="105"/>
          <w:sz w:val="12"/>
        </w:rPr>
        <w:t xml:space="preserve"> </w:t>
      </w:r>
      <w:proofErr w:type="spellStart"/>
      <w:r>
        <w:rPr>
          <w:w w:val="105"/>
          <w:sz w:val="12"/>
        </w:rPr>
        <w:t>párrs</w:t>
      </w:r>
      <w:proofErr w:type="spellEnd"/>
      <w:r>
        <w:rPr>
          <w:w w:val="105"/>
          <w:sz w:val="12"/>
        </w:rPr>
        <w:t>.</w:t>
      </w:r>
      <w:r>
        <w:rPr>
          <w:spacing w:val="-4"/>
          <w:w w:val="105"/>
          <w:sz w:val="12"/>
        </w:rPr>
        <w:t xml:space="preserve"> </w:t>
      </w:r>
      <w:r>
        <w:rPr>
          <w:w w:val="105"/>
          <w:sz w:val="12"/>
        </w:rPr>
        <w:t>215</w:t>
      </w:r>
      <w:r>
        <w:rPr>
          <w:spacing w:val="-4"/>
          <w:w w:val="105"/>
          <w:sz w:val="12"/>
        </w:rPr>
        <w:t xml:space="preserve"> </w:t>
      </w:r>
      <w:r>
        <w:rPr>
          <w:w w:val="105"/>
          <w:sz w:val="12"/>
        </w:rPr>
        <w:t>y</w:t>
      </w:r>
      <w:r>
        <w:rPr>
          <w:spacing w:val="-4"/>
          <w:w w:val="105"/>
          <w:sz w:val="12"/>
        </w:rPr>
        <w:t xml:space="preserve"> </w:t>
      </w:r>
      <w:r>
        <w:rPr>
          <w:w w:val="105"/>
          <w:sz w:val="12"/>
        </w:rPr>
        <w:t>219.</w:t>
      </w:r>
      <w:r>
        <w:rPr>
          <w:spacing w:val="-4"/>
          <w:w w:val="105"/>
          <w:sz w:val="12"/>
        </w:rPr>
        <w:t xml:space="preserve"> </w:t>
      </w:r>
      <w:r>
        <w:rPr>
          <w:w w:val="105"/>
          <w:sz w:val="12"/>
        </w:rPr>
        <w:t>Véase</w:t>
      </w:r>
      <w:r>
        <w:rPr>
          <w:spacing w:val="-4"/>
          <w:w w:val="105"/>
          <w:sz w:val="12"/>
        </w:rPr>
        <w:t xml:space="preserve"> </w:t>
      </w:r>
      <w:r>
        <w:rPr>
          <w:w w:val="105"/>
          <w:sz w:val="12"/>
        </w:rPr>
        <w:t>también</w:t>
      </w:r>
      <w:r>
        <w:rPr>
          <w:spacing w:val="-4"/>
          <w:w w:val="105"/>
          <w:sz w:val="12"/>
        </w:rPr>
        <w:t xml:space="preserve"> </w:t>
      </w:r>
      <w:r>
        <w:rPr>
          <w:w w:val="105"/>
          <w:sz w:val="12"/>
        </w:rPr>
        <w:t>el</w:t>
      </w:r>
      <w:r>
        <w:rPr>
          <w:spacing w:val="40"/>
          <w:w w:val="105"/>
          <w:sz w:val="12"/>
        </w:rPr>
        <w:t xml:space="preserve"> </w:t>
      </w:r>
      <w:r>
        <w:rPr>
          <w:w w:val="105"/>
          <w:sz w:val="12"/>
        </w:rPr>
        <w:t>Voto Razonado del Juez Roberto F. Caldas.</w:t>
      </w:r>
    </w:p>
    <w:p w14:paraId="5B0E23CE" w14:textId="77777777" w:rsidR="0014798C" w:rsidRDefault="004E1F0B">
      <w:pPr>
        <w:pStyle w:val="Prrafodelista"/>
        <w:numPr>
          <w:ilvl w:val="0"/>
          <w:numId w:val="76"/>
        </w:numPr>
        <w:tabs>
          <w:tab w:val="left" w:pos="1329"/>
        </w:tabs>
        <w:spacing w:before="96"/>
        <w:ind w:left="1329" w:hanging="224"/>
        <w:rPr>
          <w:sz w:val="11"/>
        </w:rPr>
      </w:pPr>
      <w:r>
        <w:rPr>
          <w:w w:val="105"/>
          <w:sz w:val="11"/>
        </w:rPr>
        <w:t>Protocolo</w:t>
      </w:r>
      <w:r>
        <w:rPr>
          <w:spacing w:val="-1"/>
          <w:w w:val="105"/>
          <w:sz w:val="11"/>
        </w:rPr>
        <w:t xml:space="preserve"> </w:t>
      </w:r>
      <w:r>
        <w:rPr>
          <w:w w:val="105"/>
          <w:sz w:val="11"/>
        </w:rPr>
        <w:t>de la Carta Africana de Derechos Humanos y de los Pueblos</w:t>
      </w:r>
      <w:r>
        <w:rPr>
          <w:spacing w:val="-1"/>
          <w:w w:val="105"/>
          <w:sz w:val="11"/>
        </w:rPr>
        <w:t xml:space="preserve"> </w:t>
      </w:r>
      <w:r>
        <w:rPr>
          <w:w w:val="105"/>
          <w:sz w:val="11"/>
        </w:rPr>
        <w:t>sobre los derechos de las personas con discapacidad en África,</w:t>
      </w:r>
      <w:r>
        <w:rPr>
          <w:spacing w:val="1"/>
          <w:w w:val="105"/>
          <w:sz w:val="11"/>
        </w:rPr>
        <w:t xml:space="preserve"> </w:t>
      </w:r>
      <w:r>
        <w:rPr>
          <w:w w:val="105"/>
          <w:sz w:val="11"/>
        </w:rPr>
        <w:t xml:space="preserve">art. </w:t>
      </w:r>
      <w:r>
        <w:rPr>
          <w:spacing w:val="-5"/>
          <w:w w:val="105"/>
          <w:sz w:val="11"/>
        </w:rPr>
        <w:t>1.</w:t>
      </w:r>
    </w:p>
    <w:p w14:paraId="48808242" w14:textId="77777777" w:rsidR="0014798C" w:rsidRDefault="0014798C">
      <w:pPr>
        <w:rPr>
          <w:sz w:val="11"/>
        </w:rPr>
        <w:sectPr w:rsidR="0014798C" w:rsidSect="00F265E4">
          <w:pgSz w:w="11900" w:h="16820"/>
          <w:pgMar w:top="340" w:right="0" w:bottom="280" w:left="200" w:header="121" w:footer="0" w:gutter="0"/>
          <w:cols w:space="720"/>
        </w:sectPr>
      </w:pPr>
    </w:p>
    <w:p w14:paraId="0511F173" w14:textId="77777777" w:rsidR="0014798C" w:rsidRDefault="004E1F0B">
      <w:pPr>
        <w:spacing w:before="56"/>
        <w:jc w:val="right"/>
        <w:rPr>
          <w:sz w:val="8"/>
        </w:rPr>
      </w:pPr>
      <w:r>
        <w:rPr>
          <w:spacing w:val="-5"/>
          <w:w w:val="105"/>
          <w:sz w:val="8"/>
        </w:rPr>
        <w:t>285</w:t>
      </w:r>
    </w:p>
    <w:p w14:paraId="1C688998" w14:textId="77777777" w:rsidR="0014798C" w:rsidRDefault="0014798C">
      <w:pPr>
        <w:pStyle w:val="Textoindependiente"/>
        <w:rPr>
          <w:sz w:val="8"/>
        </w:rPr>
      </w:pPr>
    </w:p>
    <w:p w14:paraId="71734443" w14:textId="77777777" w:rsidR="0014798C" w:rsidRDefault="0014798C">
      <w:pPr>
        <w:pStyle w:val="Textoindependiente"/>
        <w:rPr>
          <w:sz w:val="8"/>
        </w:rPr>
      </w:pPr>
    </w:p>
    <w:p w14:paraId="6E0EB972" w14:textId="77777777" w:rsidR="0014798C" w:rsidRDefault="0014798C">
      <w:pPr>
        <w:pStyle w:val="Textoindependiente"/>
        <w:rPr>
          <w:sz w:val="8"/>
        </w:rPr>
      </w:pPr>
    </w:p>
    <w:p w14:paraId="45ED3509" w14:textId="77777777" w:rsidR="0014798C" w:rsidRDefault="0014798C">
      <w:pPr>
        <w:pStyle w:val="Textoindependiente"/>
        <w:rPr>
          <w:sz w:val="8"/>
        </w:rPr>
      </w:pPr>
    </w:p>
    <w:p w14:paraId="38188664" w14:textId="77777777" w:rsidR="0014798C" w:rsidRDefault="0014798C">
      <w:pPr>
        <w:pStyle w:val="Textoindependiente"/>
        <w:spacing w:before="44"/>
        <w:rPr>
          <w:sz w:val="8"/>
        </w:rPr>
      </w:pPr>
    </w:p>
    <w:p w14:paraId="1FE8884A" w14:textId="77777777" w:rsidR="0014798C" w:rsidRDefault="004E1F0B">
      <w:pPr>
        <w:jc w:val="right"/>
        <w:rPr>
          <w:sz w:val="8"/>
        </w:rPr>
      </w:pPr>
      <w:r>
        <w:rPr>
          <w:spacing w:val="-5"/>
          <w:w w:val="105"/>
          <w:sz w:val="8"/>
        </w:rPr>
        <w:t>286</w:t>
      </w:r>
    </w:p>
    <w:p w14:paraId="36C1502E" w14:textId="77777777" w:rsidR="0014798C" w:rsidRDefault="004E1F0B">
      <w:pPr>
        <w:spacing w:before="71" w:line="312" w:lineRule="auto"/>
        <w:ind w:left="82" w:right="1629"/>
        <w:rPr>
          <w:sz w:val="12"/>
        </w:rPr>
      </w:pPr>
      <w:r>
        <w:br w:type="column"/>
      </w:r>
      <w:r>
        <w:rPr>
          <w:w w:val="105"/>
          <w:sz w:val="12"/>
        </w:rPr>
        <w:t>Véase,</w:t>
      </w:r>
      <w:r>
        <w:rPr>
          <w:spacing w:val="-1"/>
          <w:w w:val="105"/>
          <w:sz w:val="12"/>
        </w:rPr>
        <w:t xml:space="preserve"> </w:t>
      </w:r>
      <w:r>
        <w:rPr>
          <w:w w:val="105"/>
          <w:sz w:val="12"/>
        </w:rPr>
        <w:t>por</w:t>
      </w:r>
      <w:r>
        <w:rPr>
          <w:spacing w:val="-1"/>
          <w:w w:val="105"/>
          <w:sz w:val="12"/>
        </w:rPr>
        <w:t xml:space="preserve"> </w:t>
      </w:r>
      <w:r>
        <w:rPr>
          <w:w w:val="105"/>
          <w:sz w:val="12"/>
        </w:rPr>
        <w:t>ejemplo,</w:t>
      </w:r>
      <w:r>
        <w:rPr>
          <w:spacing w:val="-1"/>
          <w:w w:val="105"/>
          <w:sz w:val="12"/>
        </w:rPr>
        <w:t xml:space="preserve"> </w:t>
      </w:r>
      <w:r>
        <w:rPr>
          <w:w w:val="105"/>
          <w:sz w:val="12"/>
        </w:rPr>
        <w:t>Comisión</w:t>
      </w:r>
      <w:r>
        <w:rPr>
          <w:spacing w:val="-1"/>
          <w:w w:val="105"/>
          <w:sz w:val="12"/>
        </w:rPr>
        <w:t xml:space="preserve"> </w:t>
      </w:r>
      <w:r>
        <w:rPr>
          <w:w w:val="105"/>
          <w:sz w:val="12"/>
        </w:rPr>
        <w:t>Africana</w:t>
      </w:r>
      <w:r>
        <w:rPr>
          <w:spacing w:val="-1"/>
          <w:w w:val="105"/>
          <w:sz w:val="12"/>
        </w:rPr>
        <w:t xml:space="preserve"> </w:t>
      </w:r>
      <w:r>
        <w:rPr>
          <w:w w:val="105"/>
          <w:sz w:val="12"/>
        </w:rPr>
        <w:t>de</w:t>
      </w:r>
      <w:r>
        <w:rPr>
          <w:spacing w:val="-1"/>
          <w:w w:val="105"/>
          <w:sz w:val="12"/>
        </w:rPr>
        <w:t xml:space="preserve"> </w:t>
      </w:r>
      <w:r>
        <w:rPr>
          <w:w w:val="105"/>
          <w:sz w:val="12"/>
        </w:rPr>
        <w:t>Derechos</w:t>
      </w:r>
      <w:r>
        <w:rPr>
          <w:spacing w:val="-1"/>
          <w:w w:val="105"/>
          <w:sz w:val="12"/>
        </w:rPr>
        <w:t xml:space="preserve"> </w:t>
      </w:r>
      <w:r>
        <w:rPr>
          <w:w w:val="105"/>
          <w:sz w:val="12"/>
        </w:rPr>
        <w:t>Humanos</w:t>
      </w:r>
      <w:r>
        <w:rPr>
          <w:spacing w:val="-1"/>
          <w:w w:val="105"/>
          <w:sz w:val="12"/>
        </w:rPr>
        <w:t xml:space="preserve"> </w:t>
      </w:r>
      <w:r>
        <w:rPr>
          <w:w w:val="105"/>
          <w:sz w:val="12"/>
        </w:rPr>
        <w:t>y</w:t>
      </w:r>
      <w:r>
        <w:rPr>
          <w:spacing w:val="-1"/>
          <w:w w:val="105"/>
          <w:sz w:val="12"/>
        </w:rPr>
        <w:t xml:space="preserve"> </w:t>
      </w:r>
      <w:r>
        <w:rPr>
          <w:w w:val="105"/>
          <w:sz w:val="12"/>
        </w:rPr>
        <w:t>de</w:t>
      </w:r>
      <w:r>
        <w:rPr>
          <w:spacing w:val="-1"/>
          <w:w w:val="105"/>
          <w:sz w:val="12"/>
        </w:rPr>
        <w:t xml:space="preserve"> </w:t>
      </w:r>
      <w:r>
        <w:rPr>
          <w:w w:val="105"/>
          <w:sz w:val="12"/>
        </w:rPr>
        <w:t>los</w:t>
      </w:r>
      <w:r>
        <w:rPr>
          <w:spacing w:val="-1"/>
          <w:w w:val="105"/>
          <w:sz w:val="12"/>
        </w:rPr>
        <w:t xml:space="preserve"> </w:t>
      </w:r>
      <w:r>
        <w:rPr>
          <w:w w:val="105"/>
          <w:sz w:val="12"/>
        </w:rPr>
        <w:t>Pueblos,</w:t>
      </w:r>
      <w:r>
        <w:rPr>
          <w:spacing w:val="-1"/>
          <w:w w:val="105"/>
          <w:sz w:val="12"/>
        </w:rPr>
        <w:t xml:space="preserve"> </w:t>
      </w:r>
      <w:r>
        <w:rPr>
          <w:w w:val="105"/>
          <w:sz w:val="12"/>
        </w:rPr>
        <w:t>“Observaciones</w:t>
      </w:r>
      <w:r>
        <w:rPr>
          <w:spacing w:val="-1"/>
          <w:w w:val="105"/>
          <w:sz w:val="12"/>
        </w:rPr>
        <w:t xml:space="preserve"> </w:t>
      </w:r>
      <w:r>
        <w:rPr>
          <w:w w:val="105"/>
          <w:sz w:val="12"/>
        </w:rPr>
        <w:t>finales</w:t>
      </w:r>
      <w:r>
        <w:rPr>
          <w:spacing w:val="-1"/>
          <w:w w:val="105"/>
          <w:sz w:val="12"/>
        </w:rPr>
        <w:t xml:space="preserve"> </w:t>
      </w:r>
      <w:r>
        <w:rPr>
          <w:w w:val="105"/>
          <w:sz w:val="12"/>
        </w:rPr>
        <w:t>y</w:t>
      </w:r>
      <w:r>
        <w:rPr>
          <w:spacing w:val="-1"/>
          <w:w w:val="105"/>
          <w:sz w:val="12"/>
        </w:rPr>
        <w:t xml:space="preserve"> </w:t>
      </w:r>
      <w:r>
        <w:rPr>
          <w:w w:val="105"/>
          <w:sz w:val="12"/>
        </w:rPr>
        <w:t>recomendaciones</w:t>
      </w:r>
      <w:r>
        <w:rPr>
          <w:spacing w:val="-1"/>
          <w:w w:val="105"/>
          <w:sz w:val="12"/>
        </w:rPr>
        <w:t xml:space="preserve"> </w:t>
      </w:r>
      <w:r>
        <w:rPr>
          <w:w w:val="105"/>
          <w:sz w:val="12"/>
        </w:rPr>
        <w:t>sobre</w:t>
      </w:r>
      <w:r>
        <w:rPr>
          <w:spacing w:val="-1"/>
          <w:w w:val="105"/>
          <w:sz w:val="12"/>
        </w:rPr>
        <w:t xml:space="preserve"> </w:t>
      </w:r>
      <w:r>
        <w:rPr>
          <w:w w:val="105"/>
          <w:sz w:val="12"/>
        </w:rPr>
        <w:t>el</w:t>
      </w:r>
      <w:r>
        <w:rPr>
          <w:spacing w:val="-1"/>
          <w:w w:val="105"/>
          <w:sz w:val="12"/>
        </w:rPr>
        <w:t xml:space="preserve"> </w:t>
      </w:r>
      <w:r>
        <w:rPr>
          <w:w w:val="105"/>
          <w:sz w:val="12"/>
        </w:rPr>
        <w:t>informe</w:t>
      </w:r>
      <w:r>
        <w:rPr>
          <w:spacing w:val="-1"/>
          <w:w w:val="105"/>
          <w:sz w:val="12"/>
        </w:rPr>
        <w:t xml:space="preserve"> </w:t>
      </w:r>
      <w:r>
        <w:rPr>
          <w:w w:val="105"/>
          <w:sz w:val="12"/>
        </w:rPr>
        <w:t>periódico</w:t>
      </w:r>
      <w:r>
        <w:rPr>
          <w:spacing w:val="40"/>
          <w:w w:val="105"/>
          <w:sz w:val="12"/>
        </w:rPr>
        <w:t xml:space="preserve"> </w:t>
      </w:r>
      <w:r>
        <w:rPr>
          <w:w w:val="105"/>
          <w:sz w:val="12"/>
        </w:rPr>
        <w:t>inicial</w:t>
      </w:r>
      <w:r>
        <w:rPr>
          <w:spacing w:val="-4"/>
          <w:w w:val="105"/>
          <w:sz w:val="12"/>
        </w:rPr>
        <w:t xml:space="preserve"> </w:t>
      </w:r>
      <w:r>
        <w:rPr>
          <w:w w:val="105"/>
          <w:sz w:val="12"/>
        </w:rPr>
        <w:t>y</w:t>
      </w:r>
      <w:r>
        <w:rPr>
          <w:spacing w:val="-4"/>
          <w:w w:val="105"/>
          <w:sz w:val="12"/>
        </w:rPr>
        <w:t xml:space="preserve"> </w:t>
      </w:r>
      <w:r>
        <w:rPr>
          <w:w w:val="105"/>
          <w:sz w:val="12"/>
        </w:rPr>
        <w:t>combinado</w:t>
      </w:r>
      <w:r>
        <w:rPr>
          <w:spacing w:val="-4"/>
          <w:w w:val="105"/>
          <w:sz w:val="12"/>
        </w:rPr>
        <w:t xml:space="preserve"> </w:t>
      </w:r>
      <w:r>
        <w:rPr>
          <w:w w:val="105"/>
          <w:sz w:val="12"/>
        </w:rPr>
        <w:t>de</w:t>
      </w:r>
      <w:r>
        <w:rPr>
          <w:spacing w:val="-4"/>
          <w:w w:val="105"/>
          <w:sz w:val="12"/>
        </w:rPr>
        <w:t xml:space="preserve"> </w:t>
      </w:r>
      <w:r>
        <w:rPr>
          <w:w w:val="105"/>
          <w:sz w:val="12"/>
        </w:rPr>
        <w:t>la</w:t>
      </w:r>
      <w:r>
        <w:rPr>
          <w:spacing w:val="-4"/>
          <w:w w:val="105"/>
          <w:sz w:val="12"/>
        </w:rPr>
        <w:t xml:space="preserve"> </w:t>
      </w:r>
      <w:r>
        <w:rPr>
          <w:w w:val="105"/>
          <w:sz w:val="12"/>
        </w:rPr>
        <w:t>República</w:t>
      </w:r>
      <w:r>
        <w:rPr>
          <w:spacing w:val="-4"/>
          <w:w w:val="105"/>
          <w:sz w:val="12"/>
        </w:rPr>
        <w:t xml:space="preserve"> </w:t>
      </w:r>
      <w:r>
        <w:rPr>
          <w:w w:val="105"/>
          <w:sz w:val="12"/>
        </w:rPr>
        <w:t>de</w:t>
      </w:r>
      <w:r>
        <w:rPr>
          <w:spacing w:val="-4"/>
          <w:w w:val="105"/>
          <w:sz w:val="12"/>
        </w:rPr>
        <w:t xml:space="preserve"> </w:t>
      </w:r>
      <w:r>
        <w:rPr>
          <w:w w:val="105"/>
          <w:sz w:val="12"/>
        </w:rPr>
        <w:t>Malawi</w:t>
      </w:r>
      <w:r>
        <w:rPr>
          <w:spacing w:val="-4"/>
          <w:w w:val="105"/>
          <w:sz w:val="12"/>
        </w:rPr>
        <w:t xml:space="preserve"> </w:t>
      </w:r>
      <w:r>
        <w:rPr>
          <w:w w:val="105"/>
          <w:sz w:val="12"/>
        </w:rPr>
        <w:t>sobre</w:t>
      </w:r>
      <w:r>
        <w:rPr>
          <w:spacing w:val="-4"/>
          <w:w w:val="105"/>
          <w:sz w:val="12"/>
        </w:rPr>
        <w:t xml:space="preserve"> </w:t>
      </w:r>
      <w:r>
        <w:rPr>
          <w:w w:val="105"/>
          <w:sz w:val="12"/>
        </w:rPr>
        <w:t>la</w:t>
      </w:r>
      <w:r>
        <w:rPr>
          <w:spacing w:val="-4"/>
          <w:w w:val="105"/>
          <w:sz w:val="12"/>
        </w:rPr>
        <w:t xml:space="preserve"> </w:t>
      </w:r>
      <w:r>
        <w:rPr>
          <w:w w:val="105"/>
          <w:sz w:val="12"/>
        </w:rPr>
        <w:t>implementación</w:t>
      </w:r>
      <w:r>
        <w:rPr>
          <w:spacing w:val="-4"/>
          <w:w w:val="105"/>
          <w:sz w:val="12"/>
        </w:rPr>
        <w:t xml:space="preserve"> </w:t>
      </w:r>
      <w:r>
        <w:rPr>
          <w:w w:val="105"/>
          <w:sz w:val="12"/>
        </w:rPr>
        <w:t>de</w:t>
      </w:r>
      <w:r>
        <w:rPr>
          <w:spacing w:val="-4"/>
          <w:w w:val="105"/>
          <w:sz w:val="12"/>
        </w:rPr>
        <w:t xml:space="preserve"> </w:t>
      </w:r>
      <w:r>
        <w:rPr>
          <w:w w:val="105"/>
          <w:sz w:val="12"/>
        </w:rPr>
        <w:t>la</w:t>
      </w:r>
      <w:r>
        <w:rPr>
          <w:spacing w:val="-4"/>
          <w:w w:val="105"/>
          <w:sz w:val="12"/>
        </w:rPr>
        <w:t xml:space="preserve"> </w:t>
      </w:r>
      <w:r>
        <w:rPr>
          <w:w w:val="105"/>
          <w:sz w:val="12"/>
        </w:rPr>
        <w:t>Carta</w:t>
      </w:r>
      <w:r>
        <w:rPr>
          <w:spacing w:val="-4"/>
          <w:w w:val="105"/>
          <w:sz w:val="12"/>
        </w:rPr>
        <w:t xml:space="preserve"> </w:t>
      </w:r>
      <w:r>
        <w:rPr>
          <w:w w:val="105"/>
          <w:sz w:val="12"/>
        </w:rPr>
        <w:t>Africana</w:t>
      </w:r>
      <w:r>
        <w:rPr>
          <w:spacing w:val="-4"/>
          <w:w w:val="105"/>
          <w:sz w:val="12"/>
        </w:rPr>
        <w:t xml:space="preserve"> </w:t>
      </w:r>
      <w:r>
        <w:rPr>
          <w:w w:val="105"/>
          <w:sz w:val="12"/>
        </w:rPr>
        <w:t>de</w:t>
      </w:r>
      <w:r>
        <w:rPr>
          <w:spacing w:val="-4"/>
          <w:w w:val="105"/>
          <w:sz w:val="12"/>
        </w:rPr>
        <w:t xml:space="preserve"> </w:t>
      </w:r>
      <w:r>
        <w:rPr>
          <w:w w:val="105"/>
          <w:sz w:val="12"/>
        </w:rPr>
        <w:t>Derechos</w:t>
      </w:r>
      <w:r>
        <w:rPr>
          <w:spacing w:val="-4"/>
          <w:w w:val="105"/>
          <w:sz w:val="12"/>
        </w:rPr>
        <w:t xml:space="preserve"> </w:t>
      </w:r>
      <w:r>
        <w:rPr>
          <w:w w:val="105"/>
          <w:sz w:val="12"/>
        </w:rPr>
        <w:t>Humanos</w:t>
      </w:r>
      <w:r>
        <w:rPr>
          <w:spacing w:val="-4"/>
          <w:w w:val="105"/>
          <w:sz w:val="12"/>
        </w:rPr>
        <w:t xml:space="preserve"> </w:t>
      </w:r>
      <w:r>
        <w:rPr>
          <w:w w:val="105"/>
          <w:sz w:val="12"/>
        </w:rPr>
        <w:t>y</w:t>
      </w:r>
      <w:r>
        <w:rPr>
          <w:spacing w:val="-4"/>
          <w:w w:val="105"/>
          <w:sz w:val="12"/>
        </w:rPr>
        <w:t xml:space="preserve"> </w:t>
      </w:r>
      <w:r>
        <w:rPr>
          <w:w w:val="105"/>
          <w:sz w:val="12"/>
        </w:rPr>
        <w:t>de</w:t>
      </w:r>
      <w:r>
        <w:rPr>
          <w:spacing w:val="-4"/>
          <w:w w:val="105"/>
          <w:sz w:val="12"/>
        </w:rPr>
        <w:t xml:space="preserve"> </w:t>
      </w:r>
      <w:r>
        <w:rPr>
          <w:w w:val="105"/>
          <w:sz w:val="12"/>
        </w:rPr>
        <w:t>los</w:t>
      </w:r>
      <w:r>
        <w:rPr>
          <w:spacing w:val="-4"/>
          <w:w w:val="105"/>
          <w:sz w:val="12"/>
        </w:rPr>
        <w:t xml:space="preserve"> </w:t>
      </w:r>
      <w:r>
        <w:rPr>
          <w:w w:val="105"/>
          <w:sz w:val="12"/>
        </w:rPr>
        <w:t>Pueblos</w:t>
      </w:r>
      <w:r>
        <w:rPr>
          <w:spacing w:val="-4"/>
          <w:w w:val="105"/>
          <w:sz w:val="12"/>
        </w:rPr>
        <w:t xml:space="preserve"> </w:t>
      </w:r>
      <w:r>
        <w:rPr>
          <w:w w:val="105"/>
          <w:sz w:val="12"/>
        </w:rPr>
        <w:t>(1995-2013)”</w:t>
      </w:r>
      <w:r>
        <w:rPr>
          <w:spacing w:val="-4"/>
          <w:w w:val="105"/>
          <w:sz w:val="12"/>
        </w:rPr>
        <w:t xml:space="preserve"> </w:t>
      </w:r>
      <w:r>
        <w:rPr>
          <w:w w:val="105"/>
          <w:sz w:val="12"/>
        </w:rPr>
        <w:t>(Banjul,</w:t>
      </w:r>
      <w:r>
        <w:rPr>
          <w:spacing w:val="40"/>
          <w:w w:val="105"/>
          <w:sz w:val="12"/>
        </w:rPr>
        <w:t xml:space="preserve"> </w:t>
      </w:r>
      <w:r>
        <w:rPr>
          <w:w w:val="105"/>
          <w:sz w:val="12"/>
        </w:rPr>
        <w:t>2015), párr. 132.</w:t>
      </w:r>
    </w:p>
    <w:p w14:paraId="312DD1A0" w14:textId="77777777" w:rsidR="0014798C" w:rsidRDefault="004E1F0B">
      <w:pPr>
        <w:spacing w:before="58"/>
        <w:ind w:left="81"/>
        <w:rPr>
          <w:sz w:val="12"/>
        </w:rPr>
      </w:pPr>
      <w:r>
        <w:rPr>
          <w:w w:val="105"/>
          <w:sz w:val="12"/>
        </w:rPr>
        <w:t>Tribunal</w:t>
      </w:r>
      <w:r>
        <w:rPr>
          <w:spacing w:val="-7"/>
          <w:w w:val="105"/>
          <w:sz w:val="12"/>
        </w:rPr>
        <w:t xml:space="preserve"> </w:t>
      </w:r>
      <w:r>
        <w:rPr>
          <w:w w:val="105"/>
          <w:sz w:val="12"/>
        </w:rPr>
        <w:t>Europeo</w:t>
      </w:r>
      <w:r>
        <w:rPr>
          <w:spacing w:val="-7"/>
          <w:w w:val="105"/>
          <w:sz w:val="12"/>
        </w:rPr>
        <w:t xml:space="preserve"> </w:t>
      </w:r>
      <w:r>
        <w:rPr>
          <w:w w:val="105"/>
          <w:sz w:val="12"/>
        </w:rPr>
        <w:t>de</w:t>
      </w:r>
      <w:r>
        <w:rPr>
          <w:spacing w:val="-7"/>
          <w:w w:val="105"/>
          <w:sz w:val="12"/>
        </w:rPr>
        <w:t xml:space="preserve"> </w:t>
      </w:r>
      <w:r>
        <w:rPr>
          <w:w w:val="105"/>
          <w:sz w:val="12"/>
        </w:rPr>
        <w:t>Derechos</w:t>
      </w:r>
      <w:r>
        <w:rPr>
          <w:spacing w:val="-7"/>
          <w:w w:val="105"/>
          <w:sz w:val="12"/>
        </w:rPr>
        <w:t xml:space="preserve"> </w:t>
      </w:r>
      <w:r>
        <w:rPr>
          <w:w w:val="105"/>
          <w:sz w:val="12"/>
        </w:rPr>
        <w:t>Humanos,</w:t>
      </w:r>
      <w:r>
        <w:rPr>
          <w:spacing w:val="-7"/>
          <w:w w:val="105"/>
          <w:sz w:val="12"/>
        </w:rPr>
        <w:t xml:space="preserve"> </w:t>
      </w:r>
      <w:proofErr w:type="spellStart"/>
      <w:r>
        <w:rPr>
          <w:w w:val="105"/>
          <w:sz w:val="12"/>
        </w:rPr>
        <w:t>Çam</w:t>
      </w:r>
      <w:proofErr w:type="spellEnd"/>
      <w:r>
        <w:rPr>
          <w:spacing w:val="-7"/>
          <w:w w:val="105"/>
          <w:sz w:val="12"/>
        </w:rPr>
        <w:t xml:space="preserve"> </w:t>
      </w:r>
      <w:r>
        <w:rPr>
          <w:w w:val="105"/>
          <w:sz w:val="12"/>
        </w:rPr>
        <w:t>v.</w:t>
      </w:r>
      <w:r>
        <w:rPr>
          <w:spacing w:val="-7"/>
          <w:w w:val="105"/>
          <w:sz w:val="12"/>
        </w:rPr>
        <w:t xml:space="preserve"> </w:t>
      </w:r>
      <w:proofErr w:type="spellStart"/>
      <w:r>
        <w:rPr>
          <w:w w:val="105"/>
          <w:sz w:val="12"/>
        </w:rPr>
        <w:t>Turkey</w:t>
      </w:r>
      <w:proofErr w:type="spellEnd"/>
      <w:r>
        <w:rPr>
          <w:w w:val="105"/>
          <w:sz w:val="12"/>
        </w:rPr>
        <w:t>,</w:t>
      </w:r>
      <w:r>
        <w:rPr>
          <w:spacing w:val="-7"/>
          <w:w w:val="105"/>
          <w:sz w:val="12"/>
        </w:rPr>
        <w:t xml:space="preserve"> </w:t>
      </w:r>
      <w:r>
        <w:rPr>
          <w:w w:val="105"/>
          <w:sz w:val="12"/>
        </w:rPr>
        <w:t>solicitud</w:t>
      </w:r>
      <w:r>
        <w:rPr>
          <w:spacing w:val="-7"/>
          <w:w w:val="105"/>
          <w:sz w:val="12"/>
        </w:rPr>
        <w:t xml:space="preserve"> </w:t>
      </w:r>
      <w:r>
        <w:rPr>
          <w:w w:val="105"/>
          <w:sz w:val="12"/>
        </w:rPr>
        <w:t>n.º</w:t>
      </w:r>
      <w:r>
        <w:rPr>
          <w:spacing w:val="-7"/>
          <w:w w:val="105"/>
          <w:sz w:val="12"/>
        </w:rPr>
        <w:t xml:space="preserve"> </w:t>
      </w:r>
      <w:r>
        <w:rPr>
          <w:w w:val="105"/>
          <w:sz w:val="12"/>
        </w:rPr>
        <w:t>51500/08,</w:t>
      </w:r>
      <w:r>
        <w:rPr>
          <w:spacing w:val="-7"/>
          <w:w w:val="105"/>
          <w:sz w:val="12"/>
        </w:rPr>
        <w:t xml:space="preserve"> </w:t>
      </w:r>
      <w:r>
        <w:rPr>
          <w:w w:val="105"/>
          <w:sz w:val="12"/>
        </w:rPr>
        <w:t>sentencia</w:t>
      </w:r>
      <w:r>
        <w:rPr>
          <w:spacing w:val="-7"/>
          <w:w w:val="105"/>
          <w:sz w:val="12"/>
        </w:rPr>
        <w:t xml:space="preserve"> </w:t>
      </w:r>
      <w:r>
        <w:rPr>
          <w:w w:val="105"/>
          <w:sz w:val="12"/>
        </w:rPr>
        <w:t>de</w:t>
      </w:r>
      <w:r>
        <w:rPr>
          <w:spacing w:val="-8"/>
          <w:w w:val="105"/>
          <w:sz w:val="12"/>
        </w:rPr>
        <w:t xml:space="preserve"> </w:t>
      </w:r>
      <w:r>
        <w:rPr>
          <w:w w:val="105"/>
          <w:sz w:val="12"/>
        </w:rPr>
        <w:t>23</w:t>
      </w:r>
      <w:r>
        <w:rPr>
          <w:spacing w:val="-7"/>
          <w:w w:val="105"/>
          <w:sz w:val="12"/>
        </w:rPr>
        <w:t xml:space="preserve"> </w:t>
      </w:r>
      <w:r>
        <w:rPr>
          <w:w w:val="105"/>
          <w:sz w:val="12"/>
        </w:rPr>
        <w:t>de</w:t>
      </w:r>
      <w:r>
        <w:rPr>
          <w:spacing w:val="-7"/>
          <w:w w:val="105"/>
          <w:sz w:val="12"/>
        </w:rPr>
        <w:t xml:space="preserve"> </w:t>
      </w:r>
      <w:r>
        <w:rPr>
          <w:w w:val="105"/>
          <w:sz w:val="12"/>
        </w:rPr>
        <w:t>febrero</w:t>
      </w:r>
      <w:r>
        <w:rPr>
          <w:spacing w:val="-7"/>
          <w:w w:val="105"/>
          <w:sz w:val="12"/>
        </w:rPr>
        <w:t xml:space="preserve"> </w:t>
      </w:r>
      <w:r>
        <w:rPr>
          <w:w w:val="105"/>
          <w:sz w:val="12"/>
        </w:rPr>
        <w:t>de</w:t>
      </w:r>
      <w:r>
        <w:rPr>
          <w:spacing w:val="-7"/>
          <w:w w:val="105"/>
          <w:sz w:val="12"/>
        </w:rPr>
        <w:t xml:space="preserve"> </w:t>
      </w:r>
      <w:r>
        <w:rPr>
          <w:w w:val="105"/>
          <w:sz w:val="12"/>
        </w:rPr>
        <w:t>2016,</w:t>
      </w:r>
      <w:r>
        <w:rPr>
          <w:spacing w:val="-7"/>
          <w:w w:val="105"/>
          <w:sz w:val="12"/>
        </w:rPr>
        <w:t xml:space="preserve"> </w:t>
      </w:r>
      <w:proofErr w:type="spellStart"/>
      <w:r>
        <w:rPr>
          <w:w w:val="105"/>
          <w:sz w:val="12"/>
        </w:rPr>
        <w:t>párrs</w:t>
      </w:r>
      <w:proofErr w:type="spellEnd"/>
      <w:r>
        <w:rPr>
          <w:w w:val="105"/>
          <w:sz w:val="12"/>
        </w:rPr>
        <w:t>.</w:t>
      </w:r>
      <w:r>
        <w:rPr>
          <w:spacing w:val="-7"/>
          <w:w w:val="105"/>
          <w:sz w:val="12"/>
        </w:rPr>
        <w:t xml:space="preserve"> </w:t>
      </w:r>
      <w:r>
        <w:rPr>
          <w:w w:val="105"/>
          <w:sz w:val="12"/>
        </w:rPr>
        <w:t>65,</w:t>
      </w:r>
      <w:r>
        <w:rPr>
          <w:spacing w:val="-7"/>
          <w:w w:val="105"/>
          <w:sz w:val="12"/>
        </w:rPr>
        <w:t xml:space="preserve"> </w:t>
      </w:r>
      <w:r>
        <w:rPr>
          <w:w w:val="105"/>
          <w:sz w:val="12"/>
        </w:rPr>
        <w:t>67</w:t>
      </w:r>
      <w:r>
        <w:rPr>
          <w:spacing w:val="-7"/>
          <w:w w:val="105"/>
          <w:sz w:val="12"/>
        </w:rPr>
        <w:t xml:space="preserve"> </w:t>
      </w:r>
      <w:r>
        <w:rPr>
          <w:w w:val="105"/>
          <w:sz w:val="12"/>
        </w:rPr>
        <w:t>y</w:t>
      </w:r>
      <w:r>
        <w:rPr>
          <w:spacing w:val="-7"/>
          <w:w w:val="105"/>
          <w:sz w:val="12"/>
        </w:rPr>
        <w:t xml:space="preserve"> </w:t>
      </w:r>
      <w:r>
        <w:rPr>
          <w:spacing w:val="-5"/>
          <w:w w:val="105"/>
          <w:sz w:val="12"/>
        </w:rPr>
        <w:t>69.</w:t>
      </w:r>
    </w:p>
    <w:p w14:paraId="45CFA398" w14:textId="77777777" w:rsidR="0014798C" w:rsidRDefault="0014798C">
      <w:pPr>
        <w:rPr>
          <w:sz w:val="12"/>
        </w:rPr>
        <w:sectPr w:rsidR="0014798C" w:rsidSect="00F265E4">
          <w:type w:val="continuous"/>
          <w:pgSz w:w="11900" w:h="16820"/>
          <w:pgMar w:top="40" w:right="0" w:bottom="280" w:left="200" w:header="121" w:footer="0" w:gutter="0"/>
          <w:cols w:num="2" w:space="720" w:equalWidth="0">
            <w:col w:w="1247" w:space="40"/>
            <w:col w:w="10413"/>
          </w:cols>
        </w:sectPr>
      </w:pPr>
    </w:p>
    <w:p w14:paraId="49C3C819" w14:textId="77777777" w:rsidR="0014798C" w:rsidRDefault="0014798C">
      <w:pPr>
        <w:pStyle w:val="Textoindependiente"/>
        <w:spacing w:before="11"/>
        <w:rPr>
          <w:sz w:val="11"/>
        </w:rPr>
      </w:pPr>
    </w:p>
    <w:p w14:paraId="76E044AA" w14:textId="77777777" w:rsidR="0014798C" w:rsidRDefault="004E1F0B">
      <w:pPr>
        <w:pStyle w:val="Prrafodelista"/>
        <w:numPr>
          <w:ilvl w:val="0"/>
          <w:numId w:val="75"/>
        </w:numPr>
        <w:tabs>
          <w:tab w:val="left" w:pos="1329"/>
        </w:tabs>
        <w:spacing w:line="118" w:lineRule="exact"/>
        <w:ind w:left="1329" w:hanging="224"/>
        <w:rPr>
          <w:sz w:val="11"/>
        </w:rPr>
      </w:pPr>
      <w:r>
        <w:rPr>
          <w:w w:val="105"/>
          <w:sz w:val="11"/>
        </w:rPr>
        <w:t>Directiva</w:t>
      </w:r>
      <w:r>
        <w:rPr>
          <w:spacing w:val="-2"/>
          <w:w w:val="105"/>
          <w:sz w:val="11"/>
        </w:rPr>
        <w:t xml:space="preserve"> </w:t>
      </w:r>
      <w:r>
        <w:rPr>
          <w:w w:val="105"/>
          <w:sz w:val="11"/>
        </w:rPr>
        <w:t>2000/78/CE</w:t>
      </w:r>
      <w:r>
        <w:rPr>
          <w:spacing w:val="-1"/>
          <w:w w:val="105"/>
          <w:sz w:val="11"/>
        </w:rPr>
        <w:t xml:space="preserve"> </w:t>
      </w:r>
      <w:r>
        <w:rPr>
          <w:w w:val="105"/>
          <w:sz w:val="11"/>
        </w:rPr>
        <w:t>del</w:t>
      </w:r>
      <w:r>
        <w:rPr>
          <w:spacing w:val="-2"/>
          <w:w w:val="105"/>
          <w:sz w:val="11"/>
        </w:rPr>
        <w:t xml:space="preserve"> </w:t>
      </w:r>
      <w:r>
        <w:rPr>
          <w:w w:val="105"/>
          <w:sz w:val="11"/>
        </w:rPr>
        <w:t>Consejo, de</w:t>
      </w:r>
      <w:r>
        <w:rPr>
          <w:spacing w:val="-1"/>
          <w:w w:val="105"/>
          <w:sz w:val="11"/>
        </w:rPr>
        <w:t xml:space="preserve"> </w:t>
      </w:r>
      <w:r>
        <w:rPr>
          <w:w w:val="105"/>
          <w:sz w:val="11"/>
        </w:rPr>
        <w:t>27</w:t>
      </w:r>
      <w:r>
        <w:rPr>
          <w:spacing w:val="-2"/>
          <w:w w:val="105"/>
          <w:sz w:val="11"/>
        </w:rPr>
        <w:t xml:space="preserve"> </w:t>
      </w:r>
      <w:r>
        <w:rPr>
          <w:w w:val="105"/>
          <w:sz w:val="11"/>
        </w:rPr>
        <w:t>de</w:t>
      </w:r>
      <w:r>
        <w:rPr>
          <w:spacing w:val="-1"/>
          <w:w w:val="105"/>
          <w:sz w:val="11"/>
        </w:rPr>
        <w:t xml:space="preserve"> </w:t>
      </w:r>
      <w:r>
        <w:rPr>
          <w:w w:val="105"/>
          <w:sz w:val="11"/>
        </w:rPr>
        <w:t>noviembre</w:t>
      </w:r>
      <w:r>
        <w:rPr>
          <w:spacing w:val="-1"/>
          <w:w w:val="105"/>
          <w:sz w:val="11"/>
        </w:rPr>
        <w:t xml:space="preserve"> </w:t>
      </w:r>
      <w:r>
        <w:rPr>
          <w:w w:val="105"/>
          <w:sz w:val="11"/>
        </w:rPr>
        <w:t>de</w:t>
      </w:r>
      <w:r>
        <w:rPr>
          <w:spacing w:val="-2"/>
          <w:w w:val="105"/>
          <w:sz w:val="11"/>
        </w:rPr>
        <w:t xml:space="preserve"> </w:t>
      </w:r>
      <w:r>
        <w:rPr>
          <w:w w:val="105"/>
          <w:sz w:val="11"/>
        </w:rPr>
        <w:t>2000, por</w:t>
      </w:r>
      <w:r>
        <w:rPr>
          <w:spacing w:val="-2"/>
          <w:w w:val="105"/>
          <w:sz w:val="11"/>
        </w:rPr>
        <w:t xml:space="preserve"> </w:t>
      </w:r>
      <w:r>
        <w:rPr>
          <w:w w:val="105"/>
          <w:sz w:val="11"/>
        </w:rPr>
        <w:t>la</w:t>
      </w:r>
      <w:r>
        <w:rPr>
          <w:spacing w:val="-1"/>
          <w:w w:val="105"/>
          <w:sz w:val="11"/>
        </w:rPr>
        <w:t xml:space="preserve"> </w:t>
      </w:r>
      <w:r>
        <w:rPr>
          <w:w w:val="105"/>
          <w:sz w:val="11"/>
        </w:rPr>
        <w:t>que</w:t>
      </w:r>
      <w:r>
        <w:rPr>
          <w:spacing w:val="-1"/>
          <w:w w:val="105"/>
          <w:sz w:val="11"/>
        </w:rPr>
        <w:t xml:space="preserve"> </w:t>
      </w:r>
      <w:r>
        <w:rPr>
          <w:w w:val="105"/>
          <w:sz w:val="11"/>
        </w:rPr>
        <w:t>se</w:t>
      </w:r>
      <w:r>
        <w:rPr>
          <w:spacing w:val="-2"/>
          <w:w w:val="105"/>
          <w:sz w:val="11"/>
        </w:rPr>
        <w:t xml:space="preserve"> </w:t>
      </w:r>
      <w:r>
        <w:rPr>
          <w:w w:val="105"/>
          <w:sz w:val="11"/>
        </w:rPr>
        <w:t>establece</w:t>
      </w:r>
      <w:r>
        <w:rPr>
          <w:spacing w:val="-1"/>
          <w:w w:val="105"/>
          <w:sz w:val="11"/>
        </w:rPr>
        <w:t xml:space="preserve"> </w:t>
      </w:r>
      <w:r>
        <w:rPr>
          <w:w w:val="105"/>
          <w:sz w:val="11"/>
        </w:rPr>
        <w:t>un</w:t>
      </w:r>
      <w:r>
        <w:rPr>
          <w:spacing w:val="-1"/>
          <w:w w:val="105"/>
          <w:sz w:val="11"/>
        </w:rPr>
        <w:t xml:space="preserve"> </w:t>
      </w:r>
      <w:r>
        <w:rPr>
          <w:w w:val="105"/>
          <w:sz w:val="11"/>
        </w:rPr>
        <w:t>marco</w:t>
      </w:r>
      <w:r>
        <w:rPr>
          <w:spacing w:val="-2"/>
          <w:w w:val="105"/>
          <w:sz w:val="11"/>
        </w:rPr>
        <w:t xml:space="preserve"> </w:t>
      </w:r>
      <w:r>
        <w:rPr>
          <w:w w:val="105"/>
          <w:sz w:val="11"/>
        </w:rPr>
        <w:t>general</w:t>
      </w:r>
      <w:r>
        <w:rPr>
          <w:spacing w:val="-1"/>
          <w:w w:val="105"/>
          <w:sz w:val="11"/>
        </w:rPr>
        <w:t xml:space="preserve"> </w:t>
      </w:r>
      <w:r>
        <w:rPr>
          <w:w w:val="105"/>
          <w:sz w:val="11"/>
        </w:rPr>
        <w:t>para</w:t>
      </w:r>
      <w:r>
        <w:rPr>
          <w:spacing w:val="-1"/>
          <w:w w:val="105"/>
          <w:sz w:val="11"/>
        </w:rPr>
        <w:t xml:space="preserve"> </w:t>
      </w:r>
      <w:r>
        <w:rPr>
          <w:w w:val="105"/>
          <w:sz w:val="11"/>
        </w:rPr>
        <w:t>la</w:t>
      </w:r>
      <w:r>
        <w:rPr>
          <w:spacing w:val="-2"/>
          <w:w w:val="105"/>
          <w:sz w:val="11"/>
        </w:rPr>
        <w:t xml:space="preserve"> </w:t>
      </w:r>
      <w:r>
        <w:rPr>
          <w:w w:val="105"/>
          <w:sz w:val="11"/>
        </w:rPr>
        <w:t>igualdad</w:t>
      </w:r>
      <w:r>
        <w:rPr>
          <w:spacing w:val="-1"/>
          <w:w w:val="105"/>
          <w:sz w:val="11"/>
        </w:rPr>
        <w:t xml:space="preserve"> </w:t>
      </w:r>
      <w:r>
        <w:rPr>
          <w:w w:val="105"/>
          <w:sz w:val="11"/>
        </w:rPr>
        <w:t>de</w:t>
      </w:r>
      <w:r>
        <w:rPr>
          <w:spacing w:val="-2"/>
          <w:w w:val="105"/>
          <w:sz w:val="11"/>
        </w:rPr>
        <w:t xml:space="preserve"> </w:t>
      </w:r>
      <w:r>
        <w:rPr>
          <w:w w:val="105"/>
          <w:sz w:val="11"/>
        </w:rPr>
        <w:t>trato</w:t>
      </w:r>
      <w:r>
        <w:rPr>
          <w:spacing w:val="-1"/>
          <w:w w:val="105"/>
          <w:sz w:val="11"/>
        </w:rPr>
        <w:t xml:space="preserve"> </w:t>
      </w:r>
      <w:r>
        <w:rPr>
          <w:w w:val="105"/>
          <w:sz w:val="11"/>
        </w:rPr>
        <w:t>en</w:t>
      </w:r>
      <w:r>
        <w:rPr>
          <w:spacing w:val="-1"/>
          <w:w w:val="105"/>
          <w:sz w:val="11"/>
        </w:rPr>
        <w:t xml:space="preserve"> </w:t>
      </w:r>
      <w:r>
        <w:rPr>
          <w:w w:val="105"/>
          <w:sz w:val="11"/>
        </w:rPr>
        <w:t>el</w:t>
      </w:r>
      <w:r>
        <w:rPr>
          <w:spacing w:val="-2"/>
          <w:w w:val="105"/>
          <w:sz w:val="11"/>
        </w:rPr>
        <w:t xml:space="preserve"> </w:t>
      </w:r>
      <w:r>
        <w:rPr>
          <w:w w:val="105"/>
          <w:sz w:val="11"/>
        </w:rPr>
        <w:t>empleo</w:t>
      </w:r>
      <w:r>
        <w:rPr>
          <w:spacing w:val="-1"/>
          <w:w w:val="105"/>
          <w:sz w:val="11"/>
        </w:rPr>
        <w:t xml:space="preserve"> </w:t>
      </w:r>
      <w:r>
        <w:rPr>
          <w:w w:val="105"/>
          <w:sz w:val="11"/>
        </w:rPr>
        <w:t>y</w:t>
      </w:r>
      <w:r>
        <w:rPr>
          <w:spacing w:val="-1"/>
          <w:w w:val="105"/>
          <w:sz w:val="11"/>
        </w:rPr>
        <w:t xml:space="preserve"> </w:t>
      </w:r>
      <w:r>
        <w:rPr>
          <w:w w:val="105"/>
          <w:sz w:val="11"/>
        </w:rPr>
        <w:t>la</w:t>
      </w:r>
      <w:r>
        <w:rPr>
          <w:spacing w:val="-2"/>
          <w:w w:val="105"/>
          <w:sz w:val="11"/>
        </w:rPr>
        <w:t xml:space="preserve"> ocupación,</w:t>
      </w:r>
    </w:p>
    <w:p w14:paraId="14B728F1" w14:textId="77777777" w:rsidR="0014798C" w:rsidRDefault="004E1F0B">
      <w:pPr>
        <w:spacing w:line="129" w:lineRule="exact"/>
        <w:ind w:left="1369"/>
        <w:rPr>
          <w:sz w:val="12"/>
        </w:rPr>
      </w:pPr>
      <w:r>
        <w:rPr>
          <w:w w:val="105"/>
          <w:sz w:val="12"/>
        </w:rPr>
        <w:t>arte.</w:t>
      </w:r>
      <w:r>
        <w:rPr>
          <w:spacing w:val="-8"/>
          <w:w w:val="105"/>
          <w:sz w:val="12"/>
        </w:rPr>
        <w:t xml:space="preserve"> </w:t>
      </w:r>
      <w:r>
        <w:rPr>
          <w:spacing w:val="-5"/>
          <w:w w:val="105"/>
          <w:sz w:val="12"/>
        </w:rPr>
        <w:t>5.</w:t>
      </w:r>
    </w:p>
    <w:p w14:paraId="51AA70B4" w14:textId="77777777" w:rsidR="0014798C" w:rsidRDefault="0014798C">
      <w:pPr>
        <w:pStyle w:val="Textoindependiente"/>
        <w:spacing w:before="43"/>
        <w:rPr>
          <w:sz w:val="11"/>
        </w:rPr>
      </w:pPr>
    </w:p>
    <w:p w14:paraId="12B28A5A" w14:textId="77777777" w:rsidR="0014798C" w:rsidRDefault="004E1F0B">
      <w:pPr>
        <w:pStyle w:val="Prrafodelista"/>
        <w:numPr>
          <w:ilvl w:val="0"/>
          <w:numId w:val="75"/>
        </w:numPr>
        <w:tabs>
          <w:tab w:val="left" w:pos="1329"/>
        </w:tabs>
        <w:ind w:left="1329" w:hanging="224"/>
        <w:rPr>
          <w:sz w:val="11"/>
        </w:rPr>
      </w:pPr>
      <w:r>
        <w:rPr>
          <w:w w:val="105"/>
          <w:sz w:val="11"/>
        </w:rPr>
        <w:t>Para</w:t>
      </w:r>
      <w:r>
        <w:rPr>
          <w:spacing w:val="-4"/>
          <w:w w:val="105"/>
          <w:sz w:val="11"/>
        </w:rPr>
        <w:t xml:space="preserve"> </w:t>
      </w:r>
      <w:r>
        <w:rPr>
          <w:w w:val="105"/>
          <w:sz w:val="11"/>
        </w:rPr>
        <w:t>una</w:t>
      </w:r>
      <w:r>
        <w:rPr>
          <w:spacing w:val="-1"/>
          <w:w w:val="105"/>
          <w:sz w:val="11"/>
        </w:rPr>
        <w:t xml:space="preserve"> </w:t>
      </w:r>
      <w:r>
        <w:rPr>
          <w:w w:val="105"/>
          <w:sz w:val="11"/>
        </w:rPr>
        <w:t>discusión</w:t>
      </w:r>
      <w:r>
        <w:rPr>
          <w:spacing w:val="-1"/>
          <w:w w:val="105"/>
          <w:sz w:val="11"/>
        </w:rPr>
        <w:t xml:space="preserve"> </w:t>
      </w:r>
      <w:r>
        <w:rPr>
          <w:w w:val="105"/>
          <w:sz w:val="11"/>
        </w:rPr>
        <w:t>más</w:t>
      </w:r>
      <w:r>
        <w:rPr>
          <w:spacing w:val="-1"/>
          <w:w w:val="105"/>
          <w:sz w:val="11"/>
        </w:rPr>
        <w:t xml:space="preserve"> </w:t>
      </w:r>
      <w:r>
        <w:rPr>
          <w:w w:val="105"/>
          <w:sz w:val="11"/>
        </w:rPr>
        <w:t>detallada</w:t>
      </w:r>
      <w:r>
        <w:rPr>
          <w:spacing w:val="-1"/>
          <w:w w:val="105"/>
          <w:sz w:val="11"/>
        </w:rPr>
        <w:t xml:space="preserve"> </w:t>
      </w:r>
      <w:r>
        <w:rPr>
          <w:w w:val="105"/>
          <w:sz w:val="11"/>
        </w:rPr>
        <w:t>sobre</w:t>
      </w:r>
      <w:r>
        <w:rPr>
          <w:spacing w:val="-1"/>
          <w:w w:val="105"/>
          <w:sz w:val="11"/>
        </w:rPr>
        <w:t xml:space="preserve"> </w:t>
      </w:r>
      <w:r>
        <w:rPr>
          <w:w w:val="105"/>
          <w:sz w:val="11"/>
        </w:rPr>
        <w:t>este</w:t>
      </w:r>
      <w:r>
        <w:rPr>
          <w:spacing w:val="-2"/>
          <w:w w:val="105"/>
          <w:sz w:val="11"/>
        </w:rPr>
        <w:t xml:space="preserve"> </w:t>
      </w:r>
      <w:r>
        <w:rPr>
          <w:w w:val="105"/>
          <w:sz w:val="11"/>
        </w:rPr>
        <w:t>punto, ver</w:t>
      </w:r>
      <w:r>
        <w:rPr>
          <w:spacing w:val="-1"/>
          <w:w w:val="105"/>
          <w:sz w:val="11"/>
        </w:rPr>
        <w:t xml:space="preserve"> </w:t>
      </w:r>
      <w:r>
        <w:rPr>
          <w:w w:val="105"/>
          <w:sz w:val="11"/>
        </w:rPr>
        <w:t>Emmanuelle</w:t>
      </w:r>
      <w:r>
        <w:rPr>
          <w:spacing w:val="-1"/>
          <w:w w:val="105"/>
          <w:sz w:val="11"/>
        </w:rPr>
        <w:t xml:space="preserve"> </w:t>
      </w:r>
      <w:proofErr w:type="spellStart"/>
      <w:r>
        <w:rPr>
          <w:w w:val="105"/>
          <w:sz w:val="11"/>
        </w:rPr>
        <w:t>Bribosia</w:t>
      </w:r>
      <w:proofErr w:type="spellEnd"/>
      <w:r>
        <w:rPr>
          <w:spacing w:val="-1"/>
          <w:w w:val="105"/>
          <w:sz w:val="11"/>
        </w:rPr>
        <w:t xml:space="preserve"> </w:t>
      </w:r>
      <w:r>
        <w:rPr>
          <w:w w:val="105"/>
          <w:sz w:val="11"/>
        </w:rPr>
        <w:t>e</w:t>
      </w:r>
      <w:r>
        <w:rPr>
          <w:spacing w:val="-1"/>
          <w:w w:val="105"/>
          <w:sz w:val="11"/>
        </w:rPr>
        <w:t xml:space="preserve"> </w:t>
      </w:r>
      <w:r>
        <w:rPr>
          <w:w w:val="105"/>
          <w:sz w:val="11"/>
        </w:rPr>
        <w:t>Isabelle</w:t>
      </w:r>
      <w:r>
        <w:rPr>
          <w:spacing w:val="-1"/>
          <w:w w:val="105"/>
          <w:sz w:val="11"/>
        </w:rPr>
        <w:t xml:space="preserve"> </w:t>
      </w:r>
      <w:proofErr w:type="spellStart"/>
      <w:r>
        <w:rPr>
          <w:w w:val="105"/>
          <w:sz w:val="11"/>
        </w:rPr>
        <w:t>Rorive</w:t>
      </w:r>
      <w:proofErr w:type="spellEnd"/>
      <w:r>
        <w:rPr>
          <w:spacing w:val="-2"/>
          <w:w w:val="105"/>
          <w:sz w:val="11"/>
        </w:rPr>
        <w:t xml:space="preserve"> </w:t>
      </w:r>
      <w:r>
        <w:rPr>
          <w:w w:val="105"/>
          <w:sz w:val="11"/>
        </w:rPr>
        <w:t>(Red</w:t>
      </w:r>
      <w:r>
        <w:rPr>
          <w:spacing w:val="-1"/>
          <w:w w:val="105"/>
          <w:sz w:val="11"/>
        </w:rPr>
        <w:t xml:space="preserve"> </w:t>
      </w:r>
      <w:r>
        <w:rPr>
          <w:w w:val="105"/>
          <w:sz w:val="11"/>
        </w:rPr>
        <w:t>Europea</w:t>
      </w:r>
      <w:r>
        <w:rPr>
          <w:spacing w:val="-1"/>
          <w:w w:val="105"/>
          <w:sz w:val="11"/>
        </w:rPr>
        <w:t xml:space="preserve"> </w:t>
      </w:r>
      <w:r>
        <w:rPr>
          <w:w w:val="105"/>
          <w:sz w:val="11"/>
        </w:rPr>
        <w:t>de</w:t>
      </w:r>
      <w:r>
        <w:rPr>
          <w:spacing w:val="-1"/>
          <w:w w:val="105"/>
          <w:sz w:val="11"/>
        </w:rPr>
        <w:t xml:space="preserve"> </w:t>
      </w:r>
      <w:r>
        <w:rPr>
          <w:w w:val="105"/>
          <w:sz w:val="11"/>
        </w:rPr>
        <w:t>Expertos</w:t>
      </w:r>
      <w:r>
        <w:rPr>
          <w:spacing w:val="-1"/>
          <w:w w:val="105"/>
          <w:sz w:val="11"/>
        </w:rPr>
        <w:t xml:space="preserve"> </w:t>
      </w:r>
      <w:r>
        <w:rPr>
          <w:w w:val="105"/>
          <w:sz w:val="11"/>
        </w:rPr>
        <w:t>Legales</w:t>
      </w:r>
      <w:r>
        <w:rPr>
          <w:spacing w:val="-1"/>
          <w:w w:val="105"/>
          <w:sz w:val="11"/>
        </w:rPr>
        <w:t xml:space="preserve"> </w:t>
      </w:r>
      <w:r>
        <w:rPr>
          <w:w w:val="105"/>
          <w:sz w:val="11"/>
        </w:rPr>
        <w:t>en</w:t>
      </w:r>
      <w:r>
        <w:rPr>
          <w:spacing w:val="-1"/>
          <w:w w:val="105"/>
          <w:sz w:val="11"/>
        </w:rPr>
        <w:t xml:space="preserve"> </w:t>
      </w:r>
      <w:r>
        <w:rPr>
          <w:spacing w:val="-5"/>
          <w:w w:val="105"/>
          <w:sz w:val="11"/>
        </w:rPr>
        <w:t>el</w:t>
      </w:r>
    </w:p>
    <w:p w14:paraId="667253D1" w14:textId="77777777" w:rsidR="0014798C" w:rsidRDefault="004E1F0B">
      <w:pPr>
        <w:spacing w:before="14" w:line="312" w:lineRule="auto"/>
        <w:ind w:left="1365" w:right="1463"/>
        <w:rPr>
          <w:sz w:val="12"/>
        </w:rPr>
      </w:pPr>
      <w:r>
        <w:rPr>
          <w:w w:val="105"/>
          <w:sz w:val="12"/>
        </w:rPr>
        <w:t>campo</w:t>
      </w:r>
      <w:r>
        <w:rPr>
          <w:spacing w:val="-5"/>
          <w:w w:val="105"/>
          <w:sz w:val="12"/>
        </w:rPr>
        <w:t xml:space="preserve"> </w:t>
      </w:r>
      <w:r>
        <w:rPr>
          <w:w w:val="105"/>
          <w:sz w:val="12"/>
        </w:rPr>
        <w:t>de</w:t>
      </w:r>
      <w:r>
        <w:rPr>
          <w:spacing w:val="-5"/>
          <w:w w:val="105"/>
          <w:sz w:val="12"/>
        </w:rPr>
        <w:t xml:space="preserve"> </w:t>
      </w:r>
      <w:r>
        <w:rPr>
          <w:w w:val="105"/>
          <w:sz w:val="12"/>
        </w:rPr>
        <w:t>no</w:t>
      </w:r>
      <w:r>
        <w:rPr>
          <w:spacing w:val="-5"/>
          <w:w w:val="105"/>
          <w:sz w:val="12"/>
        </w:rPr>
        <w:t xml:space="preserve"> </w:t>
      </w:r>
      <w:r>
        <w:rPr>
          <w:w w:val="105"/>
          <w:sz w:val="12"/>
        </w:rPr>
        <w:t>discriminación),</w:t>
      </w:r>
      <w:r>
        <w:rPr>
          <w:spacing w:val="-4"/>
          <w:w w:val="105"/>
          <w:sz w:val="12"/>
        </w:rPr>
        <w:t xml:space="preserve"> </w:t>
      </w:r>
      <w:proofErr w:type="gramStart"/>
      <w:r>
        <w:rPr>
          <w:w w:val="105"/>
          <w:sz w:val="12"/>
        </w:rPr>
        <w:t>¿</w:t>
      </w:r>
      <w:r>
        <w:rPr>
          <w:spacing w:val="-5"/>
          <w:w w:val="105"/>
          <w:sz w:val="12"/>
        </w:rPr>
        <w:t xml:space="preserve"> </w:t>
      </w:r>
      <w:r>
        <w:rPr>
          <w:w w:val="105"/>
          <w:sz w:val="12"/>
        </w:rPr>
        <w:t>Acomodos</w:t>
      </w:r>
      <w:proofErr w:type="gramEnd"/>
      <w:r>
        <w:rPr>
          <w:spacing w:val="-5"/>
          <w:w w:val="105"/>
          <w:sz w:val="12"/>
        </w:rPr>
        <w:t xml:space="preserve"> </w:t>
      </w:r>
      <w:r>
        <w:rPr>
          <w:w w:val="105"/>
          <w:sz w:val="12"/>
        </w:rPr>
        <w:t>razonables</w:t>
      </w:r>
      <w:r>
        <w:rPr>
          <w:spacing w:val="-5"/>
          <w:w w:val="105"/>
          <w:sz w:val="12"/>
        </w:rPr>
        <w:t xml:space="preserve"> </w:t>
      </w:r>
      <w:r>
        <w:rPr>
          <w:w w:val="105"/>
          <w:sz w:val="12"/>
        </w:rPr>
        <w:t>más</w:t>
      </w:r>
      <w:r>
        <w:rPr>
          <w:spacing w:val="-5"/>
          <w:w w:val="105"/>
          <w:sz w:val="12"/>
        </w:rPr>
        <w:t xml:space="preserve"> </w:t>
      </w:r>
      <w:r>
        <w:rPr>
          <w:w w:val="105"/>
          <w:sz w:val="12"/>
        </w:rPr>
        <w:t>allá</w:t>
      </w:r>
      <w:r>
        <w:rPr>
          <w:spacing w:val="-5"/>
          <w:w w:val="105"/>
          <w:sz w:val="12"/>
        </w:rPr>
        <w:t xml:space="preserve"> </w:t>
      </w:r>
      <w:r>
        <w:rPr>
          <w:w w:val="105"/>
          <w:sz w:val="12"/>
        </w:rPr>
        <w:t>de</w:t>
      </w:r>
      <w:r>
        <w:rPr>
          <w:spacing w:val="-5"/>
          <w:w w:val="105"/>
          <w:sz w:val="12"/>
        </w:rPr>
        <w:t xml:space="preserve"> </w:t>
      </w:r>
      <w:r>
        <w:rPr>
          <w:w w:val="105"/>
          <w:sz w:val="12"/>
        </w:rPr>
        <w:t>la</w:t>
      </w:r>
      <w:r>
        <w:rPr>
          <w:spacing w:val="-5"/>
          <w:w w:val="105"/>
          <w:sz w:val="12"/>
        </w:rPr>
        <w:t xml:space="preserve"> </w:t>
      </w:r>
      <w:r>
        <w:rPr>
          <w:w w:val="105"/>
          <w:sz w:val="12"/>
        </w:rPr>
        <w:t>discapacidad</w:t>
      </w:r>
      <w:r>
        <w:rPr>
          <w:spacing w:val="-5"/>
          <w:w w:val="105"/>
          <w:sz w:val="12"/>
        </w:rPr>
        <w:t xml:space="preserve"> </w:t>
      </w:r>
      <w:r>
        <w:rPr>
          <w:w w:val="105"/>
          <w:sz w:val="12"/>
        </w:rPr>
        <w:t>en</w:t>
      </w:r>
      <w:r>
        <w:rPr>
          <w:spacing w:val="-5"/>
          <w:w w:val="105"/>
          <w:sz w:val="12"/>
        </w:rPr>
        <w:t xml:space="preserve"> </w:t>
      </w:r>
      <w:r>
        <w:rPr>
          <w:w w:val="105"/>
          <w:sz w:val="12"/>
        </w:rPr>
        <w:t>Europa?</w:t>
      </w:r>
      <w:r>
        <w:rPr>
          <w:spacing w:val="-5"/>
          <w:w w:val="105"/>
          <w:sz w:val="12"/>
        </w:rPr>
        <w:t xml:space="preserve"> </w:t>
      </w:r>
      <w:r>
        <w:rPr>
          <w:w w:val="105"/>
          <w:sz w:val="12"/>
        </w:rPr>
        <w:t>(Luxemburgo,</w:t>
      </w:r>
      <w:r>
        <w:rPr>
          <w:spacing w:val="-4"/>
          <w:w w:val="105"/>
          <w:sz w:val="12"/>
        </w:rPr>
        <w:t xml:space="preserve"> </w:t>
      </w:r>
      <w:r>
        <w:rPr>
          <w:w w:val="105"/>
          <w:sz w:val="12"/>
        </w:rPr>
        <w:t>Oficina</w:t>
      </w:r>
      <w:r>
        <w:rPr>
          <w:spacing w:val="-5"/>
          <w:w w:val="105"/>
          <w:sz w:val="12"/>
        </w:rPr>
        <w:t xml:space="preserve"> </w:t>
      </w:r>
      <w:r>
        <w:rPr>
          <w:w w:val="105"/>
          <w:sz w:val="12"/>
        </w:rPr>
        <w:t>de</w:t>
      </w:r>
      <w:r>
        <w:rPr>
          <w:spacing w:val="-5"/>
          <w:w w:val="105"/>
          <w:sz w:val="12"/>
        </w:rPr>
        <w:t xml:space="preserve"> </w:t>
      </w:r>
      <w:r>
        <w:rPr>
          <w:w w:val="105"/>
          <w:sz w:val="12"/>
        </w:rPr>
        <w:t>Publicaciones</w:t>
      </w:r>
      <w:r>
        <w:rPr>
          <w:spacing w:val="-5"/>
          <w:w w:val="105"/>
          <w:sz w:val="12"/>
        </w:rPr>
        <w:t xml:space="preserve"> </w:t>
      </w:r>
      <w:r>
        <w:rPr>
          <w:w w:val="105"/>
          <w:sz w:val="12"/>
        </w:rPr>
        <w:t>de</w:t>
      </w:r>
      <w:r>
        <w:rPr>
          <w:spacing w:val="-5"/>
          <w:w w:val="105"/>
          <w:sz w:val="12"/>
        </w:rPr>
        <w:t xml:space="preserve"> </w:t>
      </w:r>
      <w:r>
        <w:rPr>
          <w:w w:val="105"/>
          <w:sz w:val="12"/>
        </w:rPr>
        <w:t>la</w:t>
      </w:r>
      <w:r>
        <w:rPr>
          <w:spacing w:val="-5"/>
          <w:w w:val="105"/>
          <w:sz w:val="12"/>
        </w:rPr>
        <w:t xml:space="preserve"> </w:t>
      </w:r>
      <w:r>
        <w:rPr>
          <w:w w:val="105"/>
          <w:sz w:val="12"/>
        </w:rPr>
        <w:t>Unión</w:t>
      </w:r>
      <w:r>
        <w:rPr>
          <w:spacing w:val="-5"/>
          <w:w w:val="105"/>
          <w:sz w:val="12"/>
        </w:rPr>
        <w:t xml:space="preserve"> </w:t>
      </w:r>
      <w:r>
        <w:rPr>
          <w:w w:val="105"/>
          <w:sz w:val="12"/>
        </w:rPr>
        <w:t>Europea,</w:t>
      </w:r>
      <w:r>
        <w:rPr>
          <w:spacing w:val="40"/>
          <w:w w:val="105"/>
          <w:sz w:val="12"/>
        </w:rPr>
        <w:t xml:space="preserve"> </w:t>
      </w:r>
      <w:r>
        <w:rPr>
          <w:w w:val="105"/>
          <w:sz w:val="12"/>
        </w:rPr>
        <w:t>2013), págs. 14 a 19, y las referencias allí citadas.</w:t>
      </w:r>
    </w:p>
    <w:p w14:paraId="4B0670D0" w14:textId="77777777" w:rsidR="0014798C" w:rsidRDefault="0014798C">
      <w:pPr>
        <w:spacing w:line="312" w:lineRule="auto"/>
        <w:rPr>
          <w:sz w:val="12"/>
        </w:rPr>
        <w:sectPr w:rsidR="0014798C" w:rsidSect="00F265E4">
          <w:type w:val="continuous"/>
          <w:pgSz w:w="11900" w:h="16820"/>
          <w:pgMar w:top="40" w:right="0" w:bottom="280" w:left="200" w:header="121" w:footer="0" w:gutter="0"/>
          <w:cols w:space="720"/>
        </w:sectPr>
      </w:pPr>
    </w:p>
    <w:p w14:paraId="5122A704" w14:textId="77777777" w:rsidR="0014798C" w:rsidRDefault="004E1F0B">
      <w:pPr>
        <w:spacing w:before="42"/>
        <w:jc w:val="right"/>
        <w:rPr>
          <w:sz w:val="8"/>
        </w:rPr>
      </w:pPr>
      <w:r>
        <w:rPr>
          <w:spacing w:val="-5"/>
          <w:w w:val="105"/>
          <w:sz w:val="8"/>
        </w:rPr>
        <w:t>289</w:t>
      </w:r>
    </w:p>
    <w:p w14:paraId="396E1AEC" w14:textId="77777777" w:rsidR="0014798C" w:rsidRDefault="004E1F0B">
      <w:pPr>
        <w:spacing w:before="58" w:line="312" w:lineRule="auto"/>
        <w:ind w:left="79" w:right="1922" w:firstLine="5"/>
        <w:rPr>
          <w:sz w:val="12"/>
        </w:rPr>
      </w:pPr>
      <w:r>
        <w:br w:type="column"/>
      </w:r>
      <w:r>
        <w:rPr>
          <w:w w:val="105"/>
          <w:sz w:val="12"/>
        </w:rPr>
        <w:t>Ontario,</w:t>
      </w:r>
      <w:r>
        <w:rPr>
          <w:spacing w:val="-2"/>
          <w:w w:val="105"/>
          <w:sz w:val="12"/>
        </w:rPr>
        <w:t xml:space="preserve"> </w:t>
      </w:r>
      <w:r>
        <w:rPr>
          <w:w w:val="105"/>
          <w:sz w:val="12"/>
        </w:rPr>
        <w:t>Canadá,</w:t>
      </w:r>
      <w:r>
        <w:rPr>
          <w:spacing w:val="-2"/>
          <w:w w:val="105"/>
          <w:sz w:val="12"/>
        </w:rPr>
        <w:t xml:space="preserve"> </w:t>
      </w:r>
      <w:r>
        <w:rPr>
          <w:w w:val="105"/>
          <w:sz w:val="12"/>
        </w:rPr>
        <w:t>Ley</w:t>
      </w:r>
      <w:r>
        <w:rPr>
          <w:spacing w:val="-2"/>
          <w:w w:val="105"/>
          <w:sz w:val="12"/>
        </w:rPr>
        <w:t xml:space="preserve"> </w:t>
      </w:r>
      <w:proofErr w:type="spellStart"/>
      <w:r>
        <w:rPr>
          <w:w w:val="105"/>
          <w:sz w:val="12"/>
        </w:rPr>
        <w:t>Toby</w:t>
      </w:r>
      <w:proofErr w:type="spellEnd"/>
      <w:r>
        <w:rPr>
          <w:spacing w:val="-2"/>
          <w:w w:val="105"/>
          <w:sz w:val="12"/>
        </w:rPr>
        <w:t xml:space="preserve"> </w:t>
      </w:r>
      <w:r>
        <w:rPr>
          <w:w w:val="105"/>
          <w:sz w:val="12"/>
        </w:rPr>
        <w:t>(Derecho</w:t>
      </w:r>
      <w:r>
        <w:rPr>
          <w:spacing w:val="-2"/>
          <w:w w:val="105"/>
          <w:sz w:val="12"/>
        </w:rPr>
        <w:t xml:space="preserve"> </w:t>
      </w:r>
      <w:r>
        <w:rPr>
          <w:w w:val="105"/>
          <w:sz w:val="12"/>
        </w:rPr>
        <w:t>a</w:t>
      </w:r>
      <w:r>
        <w:rPr>
          <w:spacing w:val="-2"/>
          <w:w w:val="105"/>
          <w:sz w:val="12"/>
        </w:rPr>
        <w:t xml:space="preserve"> </w:t>
      </w:r>
      <w:r>
        <w:rPr>
          <w:w w:val="105"/>
          <w:sz w:val="12"/>
        </w:rPr>
        <w:t>no</w:t>
      </w:r>
      <w:r>
        <w:rPr>
          <w:spacing w:val="-2"/>
          <w:w w:val="105"/>
          <w:sz w:val="12"/>
        </w:rPr>
        <w:t xml:space="preserve"> </w:t>
      </w:r>
      <w:r>
        <w:rPr>
          <w:w w:val="105"/>
          <w:sz w:val="12"/>
        </w:rPr>
        <w:t>sufrir</w:t>
      </w:r>
      <w:r>
        <w:rPr>
          <w:spacing w:val="-2"/>
          <w:w w:val="105"/>
          <w:sz w:val="12"/>
        </w:rPr>
        <w:t xml:space="preserve"> </w:t>
      </w:r>
      <w:r>
        <w:rPr>
          <w:w w:val="105"/>
          <w:sz w:val="12"/>
        </w:rPr>
        <w:t>discriminación</w:t>
      </w:r>
      <w:r>
        <w:rPr>
          <w:spacing w:val="-2"/>
          <w:w w:val="105"/>
          <w:sz w:val="12"/>
        </w:rPr>
        <w:t xml:space="preserve"> </w:t>
      </w:r>
      <w:r>
        <w:rPr>
          <w:w w:val="105"/>
          <w:sz w:val="12"/>
        </w:rPr>
        <w:t>ni</w:t>
      </w:r>
      <w:r>
        <w:rPr>
          <w:spacing w:val="-2"/>
          <w:w w:val="105"/>
          <w:sz w:val="12"/>
        </w:rPr>
        <w:t xml:space="preserve"> </w:t>
      </w:r>
      <w:r>
        <w:rPr>
          <w:w w:val="105"/>
          <w:sz w:val="12"/>
        </w:rPr>
        <w:t>acoso</w:t>
      </w:r>
      <w:r>
        <w:rPr>
          <w:spacing w:val="-2"/>
          <w:w w:val="105"/>
          <w:sz w:val="12"/>
        </w:rPr>
        <w:t xml:space="preserve"> </w:t>
      </w:r>
      <w:r>
        <w:rPr>
          <w:w w:val="105"/>
          <w:sz w:val="12"/>
        </w:rPr>
        <w:t>por</w:t>
      </w:r>
      <w:r>
        <w:rPr>
          <w:spacing w:val="-2"/>
          <w:w w:val="105"/>
          <w:sz w:val="12"/>
        </w:rPr>
        <w:t xml:space="preserve"> </w:t>
      </w:r>
      <w:r>
        <w:rPr>
          <w:w w:val="105"/>
          <w:sz w:val="12"/>
        </w:rPr>
        <w:t>razón</w:t>
      </w:r>
      <w:r>
        <w:rPr>
          <w:spacing w:val="-2"/>
          <w:w w:val="105"/>
          <w:sz w:val="12"/>
        </w:rPr>
        <w:t xml:space="preserve"> </w:t>
      </w:r>
      <w:r>
        <w:rPr>
          <w:w w:val="105"/>
          <w:sz w:val="12"/>
        </w:rPr>
        <w:t>de</w:t>
      </w:r>
      <w:r>
        <w:rPr>
          <w:spacing w:val="-2"/>
          <w:w w:val="105"/>
          <w:sz w:val="12"/>
        </w:rPr>
        <w:t xml:space="preserve"> </w:t>
      </w:r>
      <w:r>
        <w:rPr>
          <w:w w:val="105"/>
          <w:sz w:val="12"/>
        </w:rPr>
        <w:t>identidad</w:t>
      </w:r>
      <w:r>
        <w:rPr>
          <w:spacing w:val="-2"/>
          <w:w w:val="105"/>
          <w:sz w:val="12"/>
        </w:rPr>
        <w:t xml:space="preserve"> </w:t>
      </w:r>
      <w:r>
        <w:rPr>
          <w:w w:val="105"/>
          <w:sz w:val="12"/>
        </w:rPr>
        <w:t>o</w:t>
      </w:r>
      <w:r>
        <w:rPr>
          <w:spacing w:val="-2"/>
          <w:w w:val="105"/>
          <w:sz w:val="12"/>
        </w:rPr>
        <w:t xml:space="preserve"> </w:t>
      </w:r>
      <w:r>
        <w:rPr>
          <w:w w:val="105"/>
          <w:sz w:val="12"/>
        </w:rPr>
        <w:t>expresión</w:t>
      </w:r>
      <w:r>
        <w:rPr>
          <w:spacing w:val="-2"/>
          <w:w w:val="105"/>
          <w:sz w:val="12"/>
        </w:rPr>
        <w:t xml:space="preserve"> </w:t>
      </w:r>
      <w:r>
        <w:rPr>
          <w:w w:val="105"/>
          <w:sz w:val="12"/>
        </w:rPr>
        <w:t>de</w:t>
      </w:r>
      <w:r>
        <w:rPr>
          <w:spacing w:val="-2"/>
          <w:w w:val="105"/>
          <w:sz w:val="12"/>
        </w:rPr>
        <w:t xml:space="preserve"> </w:t>
      </w:r>
      <w:r>
        <w:rPr>
          <w:w w:val="105"/>
          <w:sz w:val="12"/>
        </w:rPr>
        <w:t>género),</w:t>
      </w:r>
      <w:r>
        <w:rPr>
          <w:spacing w:val="-2"/>
          <w:w w:val="105"/>
          <w:sz w:val="12"/>
        </w:rPr>
        <w:t xml:space="preserve"> </w:t>
      </w:r>
      <w:r>
        <w:rPr>
          <w:w w:val="105"/>
          <w:sz w:val="12"/>
        </w:rPr>
        <w:t>2012.</w:t>
      </w:r>
      <w:r>
        <w:rPr>
          <w:spacing w:val="-2"/>
          <w:w w:val="105"/>
          <w:sz w:val="12"/>
        </w:rPr>
        <w:t xml:space="preserve"> </w:t>
      </w:r>
      <w:r>
        <w:rPr>
          <w:w w:val="105"/>
          <w:sz w:val="12"/>
        </w:rPr>
        <w:t>En</w:t>
      </w:r>
      <w:r>
        <w:rPr>
          <w:spacing w:val="-2"/>
          <w:w w:val="105"/>
          <w:sz w:val="12"/>
        </w:rPr>
        <w:t xml:space="preserve"> </w:t>
      </w:r>
      <w:r>
        <w:rPr>
          <w:w w:val="105"/>
          <w:sz w:val="12"/>
        </w:rPr>
        <w:t>2017</w:t>
      </w:r>
      <w:r>
        <w:rPr>
          <w:spacing w:val="-2"/>
          <w:w w:val="105"/>
          <w:sz w:val="12"/>
        </w:rPr>
        <w:t xml:space="preserve"> </w:t>
      </w:r>
      <w:r>
        <w:rPr>
          <w:w w:val="105"/>
          <w:sz w:val="12"/>
        </w:rPr>
        <w:t>se</w:t>
      </w:r>
      <w:r>
        <w:rPr>
          <w:spacing w:val="-2"/>
          <w:w w:val="105"/>
          <w:sz w:val="12"/>
        </w:rPr>
        <w:t xml:space="preserve"> </w:t>
      </w:r>
      <w:r>
        <w:rPr>
          <w:w w:val="105"/>
          <w:sz w:val="12"/>
        </w:rPr>
        <w:t>realizaron</w:t>
      </w:r>
      <w:r>
        <w:rPr>
          <w:spacing w:val="40"/>
          <w:w w:val="105"/>
          <w:sz w:val="12"/>
        </w:rPr>
        <w:t xml:space="preserve"> </w:t>
      </w:r>
      <w:r>
        <w:rPr>
          <w:w w:val="105"/>
          <w:sz w:val="12"/>
        </w:rPr>
        <w:t>modificaciones</w:t>
      </w:r>
      <w:r>
        <w:rPr>
          <w:spacing w:val="-4"/>
          <w:w w:val="105"/>
          <w:sz w:val="12"/>
        </w:rPr>
        <w:t xml:space="preserve"> </w:t>
      </w:r>
      <w:r>
        <w:rPr>
          <w:w w:val="105"/>
          <w:sz w:val="12"/>
        </w:rPr>
        <w:t>similares</w:t>
      </w:r>
      <w:r>
        <w:rPr>
          <w:spacing w:val="-4"/>
          <w:w w:val="105"/>
          <w:sz w:val="12"/>
        </w:rPr>
        <w:t xml:space="preserve"> </w:t>
      </w:r>
      <w:r>
        <w:rPr>
          <w:w w:val="105"/>
          <w:sz w:val="12"/>
        </w:rPr>
        <w:t>a</w:t>
      </w:r>
      <w:r>
        <w:rPr>
          <w:spacing w:val="-4"/>
          <w:w w:val="105"/>
          <w:sz w:val="12"/>
        </w:rPr>
        <w:t xml:space="preserve"> </w:t>
      </w:r>
      <w:r>
        <w:rPr>
          <w:w w:val="105"/>
          <w:sz w:val="12"/>
        </w:rPr>
        <w:t>la</w:t>
      </w:r>
      <w:r>
        <w:rPr>
          <w:spacing w:val="-4"/>
          <w:w w:val="105"/>
          <w:sz w:val="12"/>
        </w:rPr>
        <w:t xml:space="preserve"> </w:t>
      </w:r>
      <w:r>
        <w:rPr>
          <w:w w:val="105"/>
          <w:sz w:val="12"/>
        </w:rPr>
        <w:t>Ley</w:t>
      </w:r>
      <w:r>
        <w:rPr>
          <w:spacing w:val="-4"/>
          <w:w w:val="105"/>
          <w:sz w:val="12"/>
        </w:rPr>
        <w:t xml:space="preserve"> </w:t>
      </w:r>
      <w:r>
        <w:rPr>
          <w:w w:val="105"/>
          <w:sz w:val="12"/>
        </w:rPr>
        <w:t>de</w:t>
      </w:r>
      <w:r>
        <w:rPr>
          <w:spacing w:val="-4"/>
          <w:w w:val="105"/>
          <w:sz w:val="12"/>
        </w:rPr>
        <w:t xml:space="preserve"> </w:t>
      </w:r>
      <w:r>
        <w:rPr>
          <w:w w:val="105"/>
          <w:sz w:val="12"/>
        </w:rPr>
        <w:t>Derechos</w:t>
      </w:r>
      <w:r>
        <w:rPr>
          <w:spacing w:val="-4"/>
          <w:w w:val="105"/>
          <w:sz w:val="12"/>
        </w:rPr>
        <w:t xml:space="preserve"> </w:t>
      </w:r>
      <w:r>
        <w:rPr>
          <w:w w:val="105"/>
          <w:sz w:val="12"/>
        </w:rPr>
        <w:t>Humanos</w:t>
      </w:r>
      <w:r>
        <w:rPr>
          <w:spacing w:val="-4"/>
          <w:w w:val="105"/>
          <w:sz w:val="12"/>
        </w:rPr>
        <w:t xml:space="preserve"> </w:t>
      </w:r>
      <w:r>
        <w:rPr>
          <w:w w:val="105"/>
          <w:sz w:val="12"/>
        </w:rPr>
        <w:t>de</w:t>
      </w:r>
      <w:r>
        <w:rPr>
          <w:spacing w:val="-4"/>
          <w:w w:val="105"/>
          <w:sz w:val="12"/>
        </w:rPr>
        <w:t xml:space="preserve"> </w:t>
      </w:r>
      <w:r>
        <w:rPr>
          <w:w w:val="105"/>
          <w:sz w:val="12"/>
        </w:rPr>
        <w:t>Canadá,</w:t>
      </w:r>
      <w:r>
        <w:rPr>
          <w:spacing w:val="-4"/>
          <w:w w:val="105"/>
          <w:sz w:val="12"/>
        </w:rPr>
        <w:t xml:space="preserve"> </w:t>
      </w:r>
      <w:r>
        <w:rPr>
          <w:w w:val="105"/>
          <w:sz w:val="12"/>
        </w:rPr>
        <w:t>que</w:t>
      </w:r>
      <w:r>
        <w:rPr>
          <w:spacing w:val="-4"/>
          <w:w w:val="105"/>
          <w:sz w:val="12"/>
        </w:rPr>
        <w:t xml:space="preserve"> </w:t>
      </w:r>
      <w:r>
        <w:rPr>
          <w:w w:val="105"/>
          <w:sz w:val="12"/>
        </w:rPr>
        <w:t>se</w:t>
      </w:r>
      <w:r>
        <w:rPr>
          <w:spacing w:val="-4"/>
          <w:w w:val="105"/>
          <w:sz w:val="12"/>
        </w:rPr>
        <w:t xml:space="preserve"> </w:t>
      </w:r>
      <w:r>
        <w:rPr>
          <w:w w:val="105"/>
          <w:sz w:val="12"/>
        </w:rPr>
        <w:t>aplica</w:t>
      </w:r>
      <w:r>
        <w:rPr>
          <w:spacing w:val="-4"/>
          <w:w w:val="105"/>
          <w:sz w:val="12"/>
        </w:rPr>
        <w:t xml:space="preserve"> </w:t>
      </w:r>
      <w:r>
        <w:rPr>
          <w:w w:val="105"/>
          <w:sz w:val="12"/>
        </w:rPr>
        <w:t>con</w:t>
      </w:r>
      <w:r>
        <w:rPr>
          <w:spacing w:val="-4"/>
          <w:w w:val="105"/>
          <w:sz w:val="12"/>
        </w:rPr>
        <w:t xml:space="preserve"> </w:t>
      </w:r>
      <w:r>
        <w:rPr>
          <w:w w:val="105"/>
          <w:sz w:val="12"/>
        </w:rPr>
        <w:t>respecto</w:t>
      </w:r>
      <w:r>
        <w:rPr>
          <w:spacing w:val="-4"/>
          <w:w w:val="105"/>
          <w:sz w:val="12"/>
        </w:rPr>
        <w:t xml:space="preserve"> </w:t>
      </w:r>
      <w:r>
        <w:rPr>
          <w:w w:val="105"/>
          <w:sz w:val="12"/>
        </w:rPr>
        <w:t>a</w:t>
      </w:r>
      <w:r>
        <w:rPr>
          <w:spacing w:val="-4"/>
          <w:w w:val="105"/>
          <w:sz w:val="12"/>
        </w:rPr>
        <w:t xml:space="preserve"> </w:t>
      </w:r>
      <w:r>
        <w:rPr>
          <w:w w:val="105"/>
          <w:sz w:val="12"/>
        </w:rPr>
        <w:t>las</w:t>
      </w:r>
      <w:r>
        <w:rPr>
          <w:spacing w:val="-4"/>
          <w:w w:val="105"/>
          <w:sz w:val="12"/>
        </w:rPr>
        <w:t xml:space="preserve"> </w:t>
      </w:r>
      <w:r>
        <w:rPr>
          <w:w w:val="105"/>
          <w:sz w:val="12"/>
        </w:rPr>
        <w:t>actividades</w:t>
      </w:r>
      <w:r>
        <w:rPr>
          <w:spacing w:val="-4"/>
          <w:w w:val="105"/>
          <w:sz w:val="12"/>
        </w:rPr>
        <w:t xml:space="preserve"> </w:t>
      </w:r>
      <w:r>
        <w:rPr>
          <w:w w:val="105"/>
          <w:sz w:val="12"/>
        </w:rPr>
        <w:t>reguladas</w:t>
      </w:r>
      <w:r>
        <w:rPr>
          <w:spacing w:val="-4"/>
          <w:w w:val="105"/>
          <w:sz w:val="12"/>
        </w:rPr>
        <w:t xml:space="preserve"> </w:t>
      </w:r>
      <w:r>
        <w:rPr>
          <w:w w:val="105"/>
          <w:sz w:val="12"/>
        </w:rPr>
        <w:t>a</w:t>
      </w:r>
      <w:r>
        <w:rPr>
          <w:spacing w:val="-4"/>
          <w:w w:val="105"/>
          <w:sz w:val="12"/>
        </w:rPr>
        <w:t xml:space="preserve"> </w:t>
      </w:r>
      <w:r>
        <w:rPr>
          <w:w w:val="105"/>
          <w:sz w:val="12"/>
        </w:rPr>
        <w:t>nivel</w:t>
      </w:r>
      <w:r>
        <w:rPr>
          <w:spacing w:val="-4"/>
          <w:w w:val="105"/>
          <w:sz w:val="12"/>
        </w:rPr>
        <w:t xml:space="preserve"> </w:t>
      </w:r>
      <w:r>
        <w:rPr>
          <w:w w:val="105"/>
          <w:sz w:val="12"/>
        </w:rPr>
        <w:t>federal.</w:t>
      </w:r>
      <w:r>
        <w:rPr>
          <w:spacing w:val="-4"/>
          <w:w w:val="105"/>
          <w:sz w:val="12"/>
        </w:rPr>
        <w:t xml:space="preserve"> </w:t>
      </w:r>
      <w:r>
        <w:rPr>
          <w:w w:val="105"/>
          <w:sz w:val="12"/>
        </w:rPr>
        <w:t>Véase</w:t>
      </w:r>
      <w:r>
        <w:rPr>
          <w:spacing w:val="-4"/>
          <w:w w:val="105"/>
          <w:sz w:val="12"/>
        </w:rPr>
        <w:t xml:space="preserve"> </w:t>
      </w:r>
      <w:r>
        <w:rPr>
          <w:w w:val="105"/>
          <w:sz w:val="12"/>
        </w:rPr>
        <w:t>la</w:t>
      </w:r>
      <w:r>
        <w:rPr>
          <w:spacing w:val="40"/>
          <w:w w:val="105"/>
          <w:sz w:val="12"/>
        </w:rPr>
        <w:t xml:space="preserve"> </w:t>
      </w:r>
      <w:r>
        <w:rPr>
          <w:w w:val="105"/>
          <w:sz w:val="12"/>
        </w:rPr>
        <w:t>Ley canadiense de derechos humanos de 1985.</w:t>
      </w:r>
    </w:p>
    <w:p w14:paraId="500B9ABD" w14:textId="77777777" w:rsidR="0014798C" w:rsidRDefault="0014798C">
      <w:pPr>
        <w:spacing w:line="312" w:lineRule="auto"/>
        <w:rPr>
          <w:sz w:val="12"/>
        </w:rPr>
        <w:sectPr w:rsidR="0014798C" w:rsidSect="00F265E4">
          <w:type w:val="continuous"/>
          <w:pgSz w:w="11900" w:h="16820"/>
          <w:pgMar w:top="40" w:right="0" w:bottom="280" w:left="200" w:header="121" w:footer="0" w:gutter="0"/>
          <w:cols w:num="2" w:space="720" w:equalWidth="0">
            <w:col w:w="1247" w:space="40"/>
            <w:col w:w="10413"/>
          </w:cols>
        </w:sectPr>
      </w:pPr>
    </w:p>
    <w:p w14:paraId="683C17AE" w14:textId="77777777" w:rsidR="0014798C" w:rsidRDefault="004E1F0B">
      <w:pPr>
        <w:pStyle w:val="Prrafodelista"/>
        <w:numPr>
          <w:ilvl w:val="0"/>
          <w:numId w:val="74"/>
        </w:numPr>
        <w:tabs>
          <w:tab w:val="left" w:pos="1345"/>
          <w:tab w:val="left" w:pos="1366"/>
        </w:tabs>
        <w:spacing w:before="58" w:line="304" w:lineRule="auto"/>
        <w:ind w:right="2725" w:hanging="262"/>
        <w:rPr>
          <w:sz w:val="12"/>
        </w:rPr>
      </w:pPr>
      <w:r>
        <w:rPr>
          <w:w w:val="105"/>
          <w:sz w:val="12"/>
        </w:rPr>
        <w:t>Comisión</w:t>
      </w:r>
      <w:r>
        <w:rPr>
          <w:spacing w:val="-5"/>
          <w:w w:val="105"/>
          <w:sz w:val="12"/>
        </w:rPr>
        <w:t xml:space="preserve"> </w:t>
      </w:r>
      <w:r>
        <w:rPr>
          <w:w w:val="105"/>
          <w:sz w:val="12"/>
        </w:rPr>
        <w:t>de</w:t>
      </w:r>
      <w:r>
        <w:rPr>
          <w:spacing w:val="-5"/>
          <w:w w:val="105"/>
          <w:sz w:val="12"/>
        </w:rPr>
        <w:t xml:space="preserve"> </w:t>
      </w:r>
      <w:r>
        <w:rPr>
          <w:w w:val="105"/>
          <w:sz w:val="12"/>
        </w:rPr>
        <w:t>Derechos</w:t>
      </w:r>
      <w:r>
        <w:rPr>
          <w:spacing w:val="-5"/>
          <w:w w:val="105"/>
          <w:sz w:val="12"/>
        </w:rPr>
        <w:t xml:space="preserve"> </w:t>
      </w:r>
      <w:r>
        <w:rPr>
          <w:w w:val="105"/>
          <w:sz w:val="12"/>
        </w:rPr>
        <w:t>Humanos</w:t>
      </w:r>
      <w:r>
        <w:rPr>
          <w:spacing w:val="-5"/>
          <w:w w:val="105"/>
          <w:sz w:val="12"/>
        </w:rPr>
        <w:t xml:space="preserve"> </w:t>
      </w:r>
      <w:r>
        <w:rPr>
          <w:w w:val="105"/>
          <w:sz w:val="12"/>
        </w:rPr>
        <w:t>de</w:t>
      </w:r>
      <w:r>
        <w:rPr>
          <w:spacing w:val="-5"/>
          <w:w w:val="105"/>
          <w:sz w:val="12"/>
        </w:rPr>
        <w:t xml:space="preserve"> </w:t>
      </w:r>
      <w:r>
        <w:rPr>
          <w:w w:val="105"/>
          <w:sz w:val="12"/>
        </w:rPr>
        <w:t>Ontario,</w:t>
      </w:r>
      <w:r>
        <w:rPr>
          <w:spacing w:val="-5"/>
          <w:w w:val="105"/>
          <w:sz w:val="12"/>
        </w:rPr>
        <w:t xml:space="preserve"> </w:t>
      </w:r>
      <w:r>
        <w:rPr>
          <w:w w:val="105"/>
          <w:sz w:val="12"/>
        </w:rPr>
        <w:t>Política</w:t>
      </w:r>
      <w:r>
        <w:rPr>
          <w:spacing w:val="-5"/>
          <w:w w:val="105"/>
          <w:sz w:val="12"/>
        </w:rPr>
        <w:t xml:space="preserve"> </w:t>
      </w:r>
      <w:r>
        <w:rPr>
          <w:w w:val="105"/>
          <w:sz w:val="12"/>
        </w:rPr>
        <w:t>sobre</w:t>
      </w:r>
      <w:r>
        <w:rPr>
          <w:spacing w:val="-5"/>
          <w:w w:val="105"/>
          <w:sz w:val="12"/>
        </w:rPr>
        <w:t xml:space="preserve"> </w:t>
      </w:r>
      <w:r>
        <w:rPr>
          <w:w w:val="105"/>
          <w:sz w:val="12"/>
        </w:rPr>
        <w:t>prevención</w:t>
      </w:r>
      <w:r>
        <w:rPr>
          <w:spacing w:val="-5"/>
          <w:w w:val="105"/>
          <w:sz w:val="12"/>
        </w:rPr>
        <w:t xml:space="preserve"> </w:t>
      </w:r>
      <w:r>
        <w:rPr>
          <w:w w:val="105"/>
          <w:sz w:val="12"/>
        </w:rPr>
        <w:t>de</w:t>
      </w:r>
      <w:r>
        <w:rPr>
          <w:spacing w:val="-5"/>
          <w:w w:val="105"/>
          <w:sz w:val="12"/>
        </w:rPr>
        <w:t xml:space="preserve"> </w:t>
      </w:r>
      <w:r>
        <w:rPr>
          <w:w w:val="105"/>
          <w:sz w:val="12"/>
        </w:rPr>
        <w:t>la</w:t>
      </w:r>
      <w:r>
        <w:rPr>
          <w:spacing w:val="-5"/>
          <w:w w:val="105"/>
          <w:sz w:val="12"/>
        </w:rPr>
        <w:t xml:space="preserve"> </w:t>
      </w:r>
      <w:r>
        <w:rPr>
          <w:w w:val="105"/>
          <w:sz w:val="12"/>
        </w:rPr>
        <w:t>discriminación</w:t>
      </w:r>
      <w:r>
        <w:rPr>
          <w:spacing w:val="-5"/>
          <w:w w:val="105"/>
          <w:sz w:val="12"/>
        </w:rPr>
        <w:t xml:space="preserve"> </w:t>
      </w:r>
      <w:r>
        <w:rPr>
          <w:w w:val="105"/>
          <w:sz w:val="12"/>
        </w:rPr>
        <w:t>por</w:t>
      </w:r>
      <w:r>
        <w:rPr>
          <w:spacing w:val="-5"/>
          <w:w w:val="105"/>
          <w:sz w:val="12"/>
        </w:rPr>
        <w:t xml:space="preserve"> </w:t>
      </w:r>
      <w:r>
        <w:rPr>
          <w:w w:val="105"/>
          <w:sz w:val="12"/>
        </w:rPr>
        <w:t>identidad</w:t>
      </w:r>
      <w:r>
        <w:rPr>
          <w:spacing w:val="-5"/>
          <w:w w:val="105"/>
          <w:sz w:val="12"/>
        </w:rPr>
        <w:t xml:space="preserve"> </w:t>
      </w:r>
      <w:r>
        <w:rPr>
          <w:w w:val="105"/>
          <w:sz w:val="12"/>
        </w:rPr>
        <w:t>y</w:t>
      </w:r>
      <w:r>
        <w:rPr>
          <w:spacing w:val="-5"/>
          <w:w w:val="105"/>
          <w:sz w:val="12"/>
        </w:rPr>
        <w:t xml:space="preserve"> </w:t>
      </w:r>
      <w:r>
        <w:rPr>
          <w:w w:val="105"/>
          <w:sz w:val="12"/>
        </w:rPr>
        <w:t>expresión</w:t>
      </w:r>
      <w:r>
        <w:rPr>
          <w:spacing w:val="-5"/>
          <w:w w:val="105"/>
          <w:sz w:val="12"/>
        </w:rPr>
        <w:t xml:space="preserve"> </w:t>
      </w:r>
      <w:r>
        <w:rPr>
          <w:w w:val="105"/>
          <w:sz w:val="12"/>
        </w:rPr>
        <w:t>de</w:t>
      </w:r>
      <w:r>
        <w:rPr>
          <w:spacing w:val="-5"/>
          <w:w w:val="105"/>
          <w:sz w:val="12"/>
        </w:rPr>
        <w:t xml:space="preserve"> </w:t>
      </w:r>
      <w:r>
        <w:rPr>
          <w:w w:val="105"/>
          <w:sz w:val="12"/>
        </w:rPr>
        <w:t>género</w:t>
      </w:r>
      <w:r>
        <w:rPr>
          <w:spacing w:val="-5"/>
          <w:w w:val="105"/>
          <w:sz w:val="12"/>
        </w:rPr>
        <w:t xml:space="preserve"> </w:t>
      </w:r>
      <w:r>
        <w:rPr>
          <w:w w:val="105"/>
          <w:sz w:val="12"/>
        </w:rPr>
        <w:t>(Ontario,</w:t>
      </w:r>
      <w:r>
        <w:rPr>
          <w:spacing w:val="40"/>
          <w:w w:val="105"/>
          <w:sz w:val="12"/>
        </w:rPr>
        <w:t xml:space="preserve"> </w:t>
      </w:r>
      <w:r>
        <w:rPr>
          <w:w w:val="105"/>
          <w:sz w:val="12"/>
        </w:rPr>
        <w:t>2014), art. 8.</w:t>
      </w:r>
    </w:p>
    <w:p w14:paraId="646551F0" w14:textId="77777777" w:rsidR="0014798C" w:rsidRDefault="004E1F0B">
      <w:pPr>
        <w:pStyle w:val="Prrafodelista"/>
        <w:numPr>
          <w:ilvl w:val="0"/>
          <w:numId w:val="74"/>
        </w:numPr>
        <w:tabs>
          <w:tab w:val="left" w:pos="1329"/>
        </w:tabs>
        <w:spacing w:before="99"/>
        <w:ind w:left="1329" w:hanging="224"/>
        <w:rPr>
          <w:sz w:val="11"/>
        </w:rPr>
      </w:pPr>
      <w:proofErr w:type="spellStart"/>
      <w:r>
        <w:rPr>
          <w:w w:val="105"/>
          <w:sz w:val="11"/>
        </w:rPr>
        <w:t>Ibíd</w:t>
      </w:r>
      <w:proofErr w:type="spellEnd"/>
      <w:r>
        <w:rPr>
          <w:w w:val="105"/>
          <w:sz w:val="11"/>
        </w:rPr>
        <w:t>.,</w:t>
      </w:r>
      <w:r>
        <w:rPr>
          <w:spacing w:val="-3"/>
          <w:w w:val="105"/>
          <w:sz w:val="11"/>
        </w:rPr>
        <w:t xml:space="preserve"> </w:t>
      </w:r>
      <w:r>
        <w:rPr>
          <w:w w:val="105"/>
          <w:sz w:val="11"/>
        </w:rPr>
        <w:t>art.</w:t>
      </w:r>
      <w:r>
        <w:rPr>
          <w:spacing w:val="-3"/>
          <w:w w:val="105"/>
          <w:sz w:val="11"/>
        </w:rPr>
        <w:t xml:space="preserve"> </w:t>
      </w:r>
      <w:r>
        <w:rPr>
          <w:spacing w:val="-2"/>
          <w:w w:val="105"/>
          <w:sz w:val="11"/>
        </w:rPr>
        <w:t>8.2.5.</w:t>
      </w:r>
    </w:p>
    <w:p w14:paraId="1E055B53" w14:textId="77777777" w:rsidR="0014798C" w:rsidRDefault="0014798C">
      <w:pPr>
        <w:rPr>
          <w:sz w:val="11"/>
        </w:rPr>
        <w:sectPr w:rsidR="0014798C" w:rsidSect="00F265E4">
          <w:type w:val="continuous"/>
          <w:pgSz w:w="11900" w:h="16820"/>
          <w:pgMar w:top="40" w:right="0" w:bottom="280" w:left="200" w:header="121" w:footer="0" w:gutter="0"/>
          <w:cols w:space="720"/>
        </w:sectPr>
      </w:pPr>
    </w:p>
    <w:p w14:paraId="4E8D51A6" w14:textId="77777777" w:rsidR="0014798C" w:rsidRDefault="004E1F0B">
      <w:pPr>
        <w:spacing w:before="61"/>
        <w:jc w:val="right"/>
        <w:rPr>
          <w:sz w:val="8"/>
        </w:rPr>
      </w:pPr>
      <w:r>
        <w:rPr>
          <w:spacing w:val="-5"/>
          <w:w w:val="105"/>
          <w:sz w:val="8"/>
        </w:rPr>
        <w:t>292</w:t>
      </w:r>
    </w:p>
    <w:p w14:paraId="1E82269F" w14:textId="77777777" w:rsidR="0014798C" w:rsidRDefault="004E1F0B">
      <w:pPr>
        <w:spacing w:before="76"/>
        <w:ind w:left="79"/>
        <w:rPr>
          <w:sz w:val="12"/>
        </w:rPr>
      </w:pPr>
      <w:r>
        <w:br w:type="column"/>
      </w:r>
      <w:r>
        <w:rPr>
          <w:spacing w:val="-2"/>
          <w:w w:val="105"/>
          <w:sz w:val="12"/>
        </w:rPr>
        <w:t>A/69/261,</w:t>
      </w:r>
      <w:r>
        <w:rPr>
          <w:spacing w:val="4"/>
          <w:w w:val="105"/>
          <w:sz w:val="12"/>
        </w:rPr>
        <w:t xml:space="preserve"> </w:t>
      </w:r>
      <w:r>
        <w:rPr>
          <w:spacing w:val="-2"/>
          <w:w w:val="105"/>
          <w:sz w:val="12"/>
        </w:rPr>
        <w:t>párr.</w:t>
      </w:r>
      <w:r>
        <w:rPr>
          <w:spacing w:val="4"/>
          <w:w w:val="105"/>
          <w:sz w:val="12"/>
        </w:rPr>
        <w:t xml:space="preserve"> </w:t>
      </w:r>
      <w:r>
        <w:rPr>
          <w:spacing w:val="-5"/>
          <w:w w:val="105"/>
          <w:sz w:val="12"/>
        </w:rPr>
        <w:t>71.</w:t>
      </w:r>
    </w:p>
    <w:p w14:paraId="02106906" w14:textId="77777777" w:rsidR="0014798C" w:rsidRDefault="0014798C">
      <w:pPr>
        <w:rPr>
          <w:sz w:val="12"/>
        </w:rPr>
        <w:sectPr w:rsidR="0014798C" w:rsidSect="00F265E4">
          <w:type w:val="continuous"/>
          <w:pgSz w:w="11900" w:h="16820"/>
          <w:pgMar w:top="40" w:right="0" w:bottom="280" w:left="200" w:header="121" w:footer="0" w:gutter="0"/>
          <w:cols w:num="2" w:space="720" w:equalWidth="0">
            <w:col w:w="1247" w:space="40"/>
            <w:col w:w="10413"/>
          </w:cols>
        </w:sectPr>
      </w:pPr>
    </w:p>
    <w:p w14:paraId="4A99B4B1" w14:textId="77777777" w:rsidR="0014798C" w:rsidRDefault="0014798C">
      <w:pPr>
        <w:pStyle w:val="Textoindependiente"/>
        <w:spacing w:before="11"/>
        <w:rPr>
          <w:sz w:val="11"/>
        </w:rPr>
      </w:pPr>
    </w:p>
    <w:p w14:paraId="05B5B5E9" w14:textId="77777777" w:rsidR="0014798C" w:rsidRDefault="004E1F0B">
      <w:pPr>
        <w:pStyle w:val="Prrafodelista"/>
        <w:numPr>
          <w:ilvl w:val="0"/>
          <w:numId w:val="73"/>
        </w:numPr>
        <w:tabs>
          <w:tab w:val="left" w:pos="1329"/>
        </w:tabs>
        <w:ind w:left="1329" w:hanging="224"/>
        <w:rPr>
          <w:sz w:val="11"/>
        </w:rPr>
      </w:pPr>
      <w:proofErr w:type="spellStart"/>
      <w:r>
        <w:rPr>
          <w:w w:val="105"/>
          <w:sz w:val="11"/>
        </w:rPr>
        <w:t>Ibíd</w:t>
      </w:r>
      <w:proofErr w:type="spellEnd"/>
      <w:r>
        <w:rPr>
          <w:w w:val="105"/>
          <w:sz w:val="11"/>
        </w:rPr>
        <w:t>.,</w:t>
      </w:r>
      <w:r>
        <w:rPr>
          <w:spacing w:val="-3"/>
          <w:w w:val="105"/>
          <w:sz w:val="11"/>
        </w:rPr>
        <w:t xml:space="preserve"> </w:t>
      </w:r>
      <w:r>
        <w:rPr>
          <w:w w:val="105"/>
          <w:sz w:val="11"/>
        </w:rPr>
        <w:t>párr.</w:t>
      </w:r>
      <w:r>
        <w:rPr>
          <w:spacing w:val="-2"/>
          <w:w w:val="105"/>
          <w:sz w:val="11"/>
        </w:rPr>
        <w:t xml:space="preserve"> </w:t>
      </w:r>
      <w:r>
        <w:rPr>
          <w:spacing w:val="-5"/>
          <w:w w:val="105"/>
          <w:sz w:val="11"/>
        </w:rPr>
        <w:t>70.</w:t>
      </w:r>
    </w:p>
    <w:p w14:paraId="27105A54" w14:textId="77777777" w:rsidR="0014798C" w:rsidRDefault="0014798C">
      <w:pPr>
        <w:pStyle w:val="Textoindependiente"/>
        <w:rPr>
          <w:sz w:val="19"/>
        </w:rPr>
      </w:pPr>
    </w:p>
    <w:p w14:paraId="39660236" w14:textId="77777777" w:rsidR="0014798C" w:rsidRDefault="0014798C">
      <w:pPr>
        <w:pStyle w:val="Textoindependiente"/>
        <w:spacing w:before="171"/>
        <w:rPr>
          <w:sz w:val="19"/>
        </w:rPr>
      </w:pPr>
    </w:p>
    <w:p w14:paraId="6B48423A" w14:textId="77777777" w:rsidR="0014798C" w:rsidRDefault="0014798C">
      <w:pPr>
        <w:rPr>
          <w:sz w:val="19"/>
        </w:rPr>
        <w:sectPr w:rsidR="0014798C" w:rsidSect="00F265E4">
          <w:type w:val="continuous"/>
          <w:pgSz w:w="11900" w:h="16820"/>
          <w:pgMar w:top="40" w:right="0" w:bottom="280" w:left="200" w:header="121" w:footer="0" w:gutter="0"/>
          <w:cols w:space="720"/>
        </w:sectPr>
      </w:pPr>
    </w:p>
    <w:p w14:paraId="4E219864" w14:textId="77777777" w:rsidR="0014798C" w:rsidRDefault="0014798C">
      <w:pPr>
        <w:pStyle w:val="Textoindependiente"/>
        <w:spacing w:before="51"/>
        <w:rPr>
          <w:sz w:val="14"/>
        </w:rPr>
      </w:pPr>
    </w:p>
    <w:p w14:paraId="79E00EC3" w14:textId="77777777" w:rsidR="0014798C" w:rsidRDefault="004E1F0B">
      <w:pPr>
        <w:ind w:left="1111"/>
        <w:rPr>
          <w:sz w:val="14"/>
        </w:rPr>
      </w:pPr>
      <w:r>
        <w:rPr>
          <w:color w:val="00AC59"/>
          <w:sz w:val="14"/>
        </w:rPr>
        <w:t>SEGUNDA</w:t>
      </w:r>
      <w:r>
        <w:rPr>
          <w:color w:val="00AC59"/>
          <w:spacing w:val="-5"/>
          <w:sz w:val="14"/>
        </w:rPr>
        <w:t xml:space="preserve"> </w:t>
      </w:r>
      <w:r>
        <w:rPr>
          <w:color w:val="00AC59"/>
          <w:sz w:val="14"/>
        </w:rPr>
        <w:t>PARTE:</w:t>
      </w:r>
      <w:r>
        <w:rPr>
          <w:color w:val="00AC59"/>
          <w:spacing w:val="-5"/>
          <w:sz w:val="14"/>
        </w:rPr>
        <w:t xml:space="preserve"> </w:t>
      </w:r>
      <w:r>
        <w:rPr>
          <w:color w:val="00AC59"/>
          <w:sz w:val="14"/>
        </w:rPr>
        <w:t>CONTENIDO</w:t>
      </w:r>
      <w:r>
        <w:rPr>
          <w:color w:val="00AC59"/>
          <w:spacing w:val="-4"/>
          <w:sz w:val="14"/>
        </w:rPr>
        <w:t xml:space="preserve"> </w:t>
      </w:r>
      <w:r>
        <w:rPr>
          <w:color w:val="00AC59"/>
          <w:sz w:val="14"/>
        </w:rPr>
        <w:t>DE</w:t>
      </w:r>
      <w:r>
        <w:rPr>
          <w:color w:val="00AC59"/>
          <w:spacing w:val="-5"/>
          <w:sz w:val="14"/>
        </w:rPr>
        <w:t xml:space="preserve"> </w:t>
      </w:r>
      <w:r>
        <w:rPr>
          <w:color w:val="00AC59"/>
          <w:sz w:val="14"/>
        </w:rPr>
        <w:t>LA</w:t>
      </w:r>
      <w:r>
        <w:rPr>
          <w:color w:val="00AC59"/>
          <w:spacing w:val="-4"/>
          <w:sz w:val="14"/>
        </w:rPr>
        <w:t xml:space="preserve"> </w:t>
      </w:r>
      <w:r>
        <w:rPr>
          <w:color w:val="00AC59"/>
          <w:sz w:val="14"/>
        </w:rPr>
        <w:t>LEY</w:t>
      </w:r>
      <w:r>
        <w:rPr>
          <w:color w:val="00AC59"/>
          <w:spacing w:val="-4"/>
          <w:sz w:val="14"/>
        </w:rPr>
        <w:t xml:space="preserve"> </w:t>
      </w:r>
      <w:r>
        <w:rPr>
          <w:color w:val="00AC59"/>
          <w:sz w:val="14"/>
        </w:rPr>
        <w:t>INTEGRAL</w:t>
      </w:r>
      <w:r>
        <w:rPr>
          <w:color w:val="00AC59"/>
          <w:spacing w:val="-5"/>
          <w:sz w:val="14"/>
        </w:rPr>
        <w:t xml:space="preserve"> </w:t>
      </w:r>
      <w:r>
        <w:rPr>
          <w:color w:val="00AC59"/>
          <w:spacing w:val="-2"/>
          <w:sz w:val="14"/>
        </w:rPr>
        <w:t>ANTIDISCRIMINACIÓN</w:t>
      </w:r>
    </w:p>
    <w:p w14:paraId="23A35843" w14:textId="77777777" w:rsidR="0014798C" w:rsidRDefault="0014798C">
      <w:pPr>
        <w:pStyle w:val="Textoindependiente"/>
      </w:pPr>
    </w:p>
    <w:p w14:paraId="4C7DBAE9" w14:textId="77777777" w:rsidR="0014798C" w:rsidRDefault="0014798C">
      <w:pPr>
        <w:pStyle w:val="Textoindependiente"/>
      </w:pPr>
    </w:p>
    <w:p w14:paraId="0E785BCF" w14:textId="77777777" w:rsidR="0014798C" w:rsidRDefault="0014798C">
      <w:pPr>
        <w:pStyle w:val="Textoindependiente"/>
      </w:pPr>
    </w:p>
    <w:p w14:paraId="3A66BB8A" w14:textId="77777777" w:rsidR="0014798C" w:rsidRDefault="0014798C">
      <w:pPr>
        <w:pStyle w:val="Textoindependiente"/>
      </w:pPr>
    </w:p>
    <w:p w14:paraId="12355E79" w14:textId="77777777" w:rsidR="0014798C" w:rsidRDefault="0014798C">
      <w:pPr>
        <w:pStyle w:val="Textoindependiente"/>
        <w:spacing w:before="39"/>
      </w:pPr>
    </w:p>
    <w:p w14:paraId="24760A6C" w14:textId="77777777" w:rsidR="0014798C" w:rsidRDefault="004E1F0B">
      <w:pPr>
        <w:pStyle w:val="Textoindependiente"/>
        <w:spacing w:line="326" w:lineRule="auto"/>
        <w:ind w:left="1334" w:right="1553" w:hanging="2"/>
      </w:pPr>
      <w:r>
        <w:rPr>
          <w:noProof/>
        </w:rPr>
        <w:drawing>
          <wp:anchor distT="0" distB="0" distL="0" distR="0" simplePos="0" relativeHeight="251658390" behindDoc="1" locked="0" layoutInCell="1" allowOverlap="1" wp14:anchorId="04FAB869" wp14:editId="21815975">
            <wp:simplePos x="0" y="0"/>
            <wp:positionH relativeFrom="page">
              <wp:posOffset>790692</wp:posOffset>
            </wp:positionH>
            <wp:positionV relativeFrom="paragraph">
              <wp:posOffset>-142986</wp:posOffset>
            </wp:positionV>
            <wp:extent cx="6765807" cy="6690602"/>
            <wp:effectExtent l="0" t="0" r="0" b="0"/>
            <wp:wrapNone/>
            <wp:docPr id="124" name="Image 12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24" name="Image 124"/>
                    <pic:cNvPicPr/>
                  </pic:nvPicPr>
                  <pic:blipFill>
                    <a:blip r:embed="rId121" cstate="print"/>
                    <a:stretch>
                      <a:fillRect/>
                    </a:stretch>
                  </pic:blipFill>
                  <pic:spPr>
                    <a:xfrm>
                      <a:off x="0" y="0"/>
                      <a:ext cx="6765807" cy="6690602"/>
                    </a:xfrm>
                    <a:prstGeom prst="rect">
                      <a:avLst/>
                    </a:prstGeom>
                  </pic:spPr>
                </pic:pic>
              </a:graphicData>
            </a:graphic>
          </wp:anchor>
        </w:drawing>
      </w:r>
      <w:r>
        <w:t>Es posible que se requieran horarios de trabajo para acomodar los días de observancia, o requisitos uniformes que reflejen la vestimenta religiosa, para eliminar la discriminación y garantizar la igualdad de participación en el empleo.294</w:t>
      </w:r>
    </w:p>
    <w:p w14:paraId="5F7A8921" w14:textId="77777777" w:rsidR="0014798C" w:rsidRDefault="004E1F0B">
      <w:pPr>
        <w:spacing w:before="136" w:line="348" w:lineRule="auto"/>
        <w:ind w:left="1339" w:right="1590" w:hanging="7"/>
        <w:rPr>
          <w:sz w:val="15"/>
        </w:rPr>
      </w:pPr>
      <w:r>
        <w:rPr>
          <w:w w:val="105"/>
          <w:sz w:val="15"/>
        </w:rPr>
        <w:t>Se ha argumentado en otro lugar que la prueba de justificación aplicada en casos de discriminación, que requiere una evaluación</w:t>
      </w:r>
      <w:r>
        <w:rPr>
          <w:spacing w:val="-5"/>
          <w:w w:val="105"/>
          <w:sz w:val="15"/>
        </w:rPr>
        <w:t xml:space="preserve"> </w:t>
      </w:r>
      <w:r>
        <w:rPr>
          <w:w w:val="105"/>
          <w:sz w:val="15"/>
        </w:rPr>
        <w:t>de</w:t>
      </w:r>
      <w:r>
        <w:rPr>
          <w:spacing w:val="-5"/>
          <w:w w:val="105"/>
          <w:sz w:val="15"/>
        </w:rPr>
        <w:t xml:space="preserve"> </w:t>
      </w:r>
      <w:r>
        <w:rPr>
          <w:w w:val="105"/>
          <w:sz w:val="15"/>
        </w:rPr>
        <w:t>la</w:t>
      </w:r>
      <w:r>
        <w:rPr>
          <w:spacing w:val="-5"/>
          <w:w w:val="105"/>
          <w:sz w:val="15"/>
        </w:rPr>
        <w:t xml:space="preserve"> </w:t>
      </w:r>
      <w:r>
        <w:rPr>
          <w:w w:val="105"/>
          <w:sz w:val="15"/>
        </w:rPr>
        <w:t>necesidad</w:t>
      </w:r>
      <w:r>
        <w:rPr>
          <w:spacing w:val="-5"/>
          <w:w w:val="105"/>
          <w:sz w:val="15"/>
        </w:rPr>
        <w:t xml:space="preserve"> </w:t>
      </w:r>
      <w:r>
        <w:rPr>
          <w:w w:val="105"/>
          <w:sz w:val="15"/>
        </w:rPr>
        <w:t>de</w:t>
      </w:r>
      <w:r>
        <w:rPr>
          <w:spacing w:val="-5"/>
          <w:w w:val="105"/>
          <w:sz w:val="15"/>
        </w:rPr>
        <w:t xml:space="preserve"> </w:t>
      </w:r>
      <w:r>
        <w:rPr>
          <w:w w:val="105"/>
          <w:sz w:val="15"/>
        </w:rPr>
        <w:t>una</w:t>
      </w:r>
      <w:r>
        <w:rPr>
          <w:spacing w:val="-5"/>
          <w:w w:val="105"/>
          <w:sz w:val="15"/>
        </w:rPr>
        <w:t xml:space="preserve"> </w:t>
      </w:r>
      <w:r>
        <w:rPr>
          <w:w w:val="105"/>
          <w:sz w:val="15"/>
        </w:rPr>
        <w:t>medida</w:t>
      </w:r>
      <w:r>
        <w:rPr>
          <w:spacing w:val="-5"/>
          <w:w w:val="105"/>
          <w:sz w:val="15"/>
        </w:rPr>
        <w:t xml:space="preserve"> </w:t>
      </w:r>
      <w:r>
        <w:rPr>
          <w:w w:val="105"/>
          <w:sz w:val="15"/>
        </w:rPr>
        <w:t>y</w:t>
      </w:r>
      <w:r>
        <w:rPr>
          <w:spacing w:val="-5"/>
          <w:w w:val="105"/>
          <w:sz w:val="15"/>
        </w:rPr>
        <w:t xml:space="preserve"> </w:t>
      </w:r>
      <w:r>
        <w:rPr>
          <w:w w:val="105"/>
          <w:sz w:val="15"/>
        </w:rPr>
        <w:t>la</w:t>
      </w:r>
      <w:r>
        <w:rPr>
          <w:spacing w:val="-5"/>
          <w:w w:val="105"/>
          <w:sz w:val="15"/>
        </w:rPr>
        <w:t xml:space="preserve"> </w:t>
      </w:r>
      <w:r>
        <w:rPr>
          <w:w w:val="105"/>
          <w:sz w:val="15"/>
        </w:rPr>
        <w:t>identificación</w:t>
      </w:r>
      <w:r>
        <w:rPr>
          <w:spacing w:val="-5"/>
          <w:w w:val="105"/>
          <w:sz w:val="15"/>
        </w:rPr>
        <w:t xml:space="preserve"> </w:t>
      </w:r>
      <w:r>
        <w:rPr>
          <w:w w:val="105"/>
          <w:sz w:val="15"/>
        </w:rPr>
        <w:t>de</w:t>
      </w:r>
      <w:r>
        <w:rPr>
          <w:spacing w:val="-5"/>
          <w:w w:val="105"/>
          <w:sz w:val="15"/>
        </w:rPr>
        <w:t xml:space="preserve"> </w:t>
      </w:r>
      <w:r>
        <w:rPr>
          <w:w w:val="105"/>
          <w:sz w:val="15"/>
        </w:rPr>
        <w:t>medios</w:t>
      </w:r>
      <w:r>
        <w:rPr>
          <w:spacing w:val="-5"/>
          <w:w w:val="105"/>
          <w:sz w:val="15"/>
        </w:rPr>
        <w:t xml:space="preserve"> </w:t>
      </w:r>
      <w:r>
        <w:rPr>
          <w:w w:val="105"/>
          <w:sz w:val="15"/>
        </w:rPr>
        <w:t>menos</w:t>
      </w:r>
      <w:r>
        <w:rPr>
          <w:spacing w:val="-5"/>
          <w:w w:val="105"/>
          <w:sz w:val="15"/>
        </w:rPr>
        <w:t xml:space="preserve"> </w:t>
      </w:r>
      <w:r>
        <w:rPr>
          <w:w w:val="105"/>
          <w:sz w:val="15"/>
        </w:rPr>
        <w:t>restrictivos</w:t>
      </w:r>
      <w:r>
        <w:rPr>
          <w:spacing w:val="-5"/>
          <w:w w:val="105"/>
          <w:sz w:val="15"/>
        </w:rPr>
        <w:t xml:space="preserve"> </w:t>
      </w:r>
      <w:r>
        <w:rPr>
          <w:w w:val="105"/>
          <w:sz w:val="15"/>
        </w:rPr>
        <w:t>para</w:t>
      </w:r>
      <w:r>
        <w:rPr>
          <w:spacing w:val="-5"/>
          <w:w w:val="105"/>
          <w:sz w:val="15"/>
        </w:rPr>
        <w:t xml:space="preserve"> </w:t>
      </w:r>
      <w:r>
        <w:rPr>
          <w:w w:val="105"/>
          <w:sz w:val="15"/>
        </w:rPr>
        <w:t>lograr</w:t>
      </w:r>
      <w:r>
        <w:rPr>
          <w:spacing w:val="-5"/>
          <w:w w:val="105"/>
          <w:sz w:val="15"/>
        </w:rPr>
        <w:t xml:space="preserve"> </w:t>
      </w:r>
      <w:r>
        <w:rPr>
          <w:w w:val="105"/>
          <w:sz w:val="15"/>
        </w:rPr>
        <w:t>un</w:t>
      </w:r>
      <w:r>
        <w:rPr>
          <w:spacing w:val="-5"/>
          <w:w w:val="105"/>
          <w:sz w:val="15"/>
        </w:rPr>
        <w:t xml:space="preserve"> </w:t>
      </w:r>
      <w:r>
        <w:rPr>
          <w:w w:val="105"/>
          <w:sz w:val="15"/>
        </w:rPr>
        <w:t>objetivo</w:t>
      </w:r>
      <w:r>
        <w:rPr>
          <w:spacing w:val="-5"/>
          <w:w w:val="105"/>
          <w:sz w:val="15"/>
        </w:rPr>
        <w:t xml:space="preserve"> </w:t>
      </w:r>
      <w:r>
        <w:rPr>
          <w:w w:val="105"/>
          <w:sz w:val="15"/>
        </w:rPr>
        <w:t>legítimo, puede implicar un deber general de dar cabida a las diferencias en un amplio rango de situaciones. de motivos.295</w:t>
      </w:r>
    </w:p>
    <w:p w14:paraId="7AEBA428" w14:textId="77777777" w:rsidR="0014798C" w:rsidRDefault="0014798C">
      <w:pPr>
        <w:pStyle w:val="Textoindependiente"/>
        <w:rPr>
          <w:sz w:val="15"/>
        </w:rPr>
      </w:pPr>
    </w:p>
    <w:p w14:paraId="3D058552" w14:textId="77777777" w:rsidR="0014798C" w:rsidRDefault="0014798C">
      <w:pPr>
        <w:pStyle w:val="Textoindependiente"/>
        <w:spacing w:before="107"/>
        <w:rPr>
          <w:sz w:val="15"/>
        </w:rPr>
      </w:pPr>
    </w:p>
    <w:p w14:paraId="17D87F1F" w14:textId="77777777" w:rsidR="0014798C" w:rsidRDefault="004E1F0B">
      <w:pPr>
        <w:spacing w:line="348" w:lineRule="auto"/>
        <w:ind w:left="1111" w:right="1283" w:hanging="5"/>
        <w:rPr>
          <w:sz w:val="15"/>
        </w:rPr>
      </w:pPr>
      <w:r>
        <w:rPr>
          <w:noProof/>
        </w:rPr>
        <mc:AlternateContent>
          <mc:Choice Requires="wps">
            <w:drawing>
              <wp:anchor distT="0" distB="0" distL="0" distR="0" simplePos="0" relativeHeight="251658261" behindDoc="0" locked="0" layoutInCell="1" allowOverlap="1" wp14:anchorId="7A5191A7" wp14:editId="264D9DB2">
                <wp:simplePos x="0" y="0"/>
                <wp:positionH relativeFrom="page">
                  <wp:posOffset>7313138</wp:posOffset>
                </wp:positionH>
                <wp:positionV relativeFrom="paragraph">
                  <wp:posOffset>526943</wp:posOffset>
                </wp:positionV>
                <wp:extent cx="83820" cy="281940"/>
                <wp:effectExtent l="0" t="0" r="0" b="0"/>
                <wp:wrapNone/>
                <wp:docPr id="125" name="Textbox 12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83820" cy="281940"/>
                        </a:xfrm>
                        <a:prstGeom prst="rect">
                          <a:avLst/>
                        </a:prstGeom>
                      </wps:spPr>
                      <wps:txbx>
                        <w:txbxContent>
                          <w:p w14:paraId="6834DDAA" w14:textId="77777777" w:rsidR="0014798C" w:rsidRDefault="004E1F0B">
                            <w:pPr>
                              <w:spacing w:before="19"/>
                              <w:ind w:left="20"/>
                              <w:rPr>
                                <w:sz w:val="8"/>
                              </w:rPr>
                            </w:pPr>
                            <w:r>
                              <w:rPr>
                                <w:color w:val="FFFFFF"/>
                                <w:spacing w:val="-24"/>
                                <w:sz w:val="8"/>
                              </w:rPr>
                              <w:t>I–P</w:t>
                            </w:r>
                            <w:r>
                              <w:rPr>
                                <w:spacing w:val="-24"/>
                                <w:sz w:val="8"/>
                              </w:rPr>
                              <w:t>S</w:t>
                            </w:r>
                            <w:r>
                              <w:rPr>
                                <w:color w:val="FFFFFF"/>
                                <w:spacing w:val="-24"/>
                                <w:sz w:val="8"/>
                              </w:rPr>
                              <w:t>A</w:t>
                            </w:r>
                            <w:r>
                              <w:rPr>
                                <w:spacing w:val="-24"/>
                                <w:sz w:val="8"/>
                              </w:rPr>
                              <w:t>E</w:t>
                            </w:r>
                            <w:r>
                              <w:rPr>
                                <w:color w:val="FFFFFF"/>
                                <w:spacing w:val="-24"/>
                                <w:sz w:val="8"/>
                              </w:rPr>
                              <w:t>R</w:t>
                            </w:r>
                            <w:r>
                              <w:rPr>
                                <w:spacing w:val="-24"/>
                                <w:sz w:val="8"/>
                              </w:rPr>
                              <w:t>G</w:t>
                            </w:r>
                            <w:r>
                              <w:rPr>
                                <w:color w:val="FFFFFF"/>
                                <w:spacing w:val="-24"/>
                                <w:sz w:val="8"/>
                              </w:rPr>
                              <w:t>T</w:t>
                            </w:r>
                            <w:r>
                              <w:rPr>
                                <w:spacing w:val="-24"/>
                                <w:sz w:val="8"/>
                              </w:rPr>
                              <w:t>U</w:t>
                            </w:r>
                            <w:r>
                              <w:rPr>
                                <w:color w:val="FFFFFF"/>
                                <w:spacing w:val="-24"/>
                                <w:sz w:val="8"/>
                              </w:rPr>
                              <w:t>E</w:t>
                            </w:r>
                            <w:r>
                              <w:rPr>
                                <w:spacing w:val="-24"/>
                                <w:sz w:val="8"/>
                              </w:rPr>
                              <w:t>NDA</w:t>
                            </w:r>
                          </w:p>
                        </w:txbxContent>
                      </wps:txbx>
                      <wps:bodyPr vert="vert270" wrap="square" lIns="0" tIns="0" rIns="0" bIns="0" rtlCol="0">
                        <a:noAutofit/>
                      </wps:bodyPr>
                    </wps:wsp>
                  </a:graphicData>
                </a:graphic>
              </wp:anchor>
            </w:drawing>
          </mc:Choice>
          <mc:Fallback>
            <w:pict>
              <v:shape w14:anchorId="7A5191A7" id="Textbox 125" o:spid="_x0000_s1075" type="#_x0000_t202" style="position:absolute;left:0;text-align:left;margin-left:575.85pt;margin-top:41.5pt;width:6.6pt;height:22.2pt;z-index:251658261;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" filled="f" stroked="f">
                <v:textbox style="layout-flow:vertical;mso-layout-flow-alt:bottom-to-top" inset="0,0,0,0">
                  <w:txbxContent>
                    <w:p w14:paraId="6834DDAA" w14:textId="77777777" w:rsidR="0014798C" w:rsidRDefault="004E1F0B">
                      <w:pPr>
                        <w:spacing w:before="19"/>
                        <w:ind w:left="20"/>
                        <w:rPr>
                          <w:sz w:val="8"/>
                        </w:rPr>
                      </w:pPr>
                      <w:r>
                        <w:rPr>
                          <w:color w:val="FFFFFF"/>
                          <w:spacing w:val="-24"/>
                          <w:sz w:val="8"/>
                        </w:rPr>
                        <w:t>I–P</w:t>
                      </w:r>
                      <w:r>
                        <w:rPr>
                          <w:spacing w:val="-24"/>
                          <w:sz w:val="8"/>
                        </w:rPr>
                        <w:t>S</w:t>
                      </w:r>
                      <w:r>
                        <w:rPr>
                          <w:color w:val="FFFFFF"/>
                          <w:spacing w:val="-24"/>
                          <w:sz w:val="8"/>
                        </w:rPr>
                        <w:t>A</w:t>
                      </w:r>
                      <w:r>
                        <w:rPr>
                          <w:spacing w:val="-24"/>
                          <w:sz w:val="8"/>
                        </w:rPr>
                        <w:t>E</w:t>
                      </w:r>
                      <w:r>
                        <w:rPr>
                          <w:color w:val="FFFFFF"/>
                          <w:spacing w:val="-24"/>
                          <w:sz w:val="8"/>
                        </w:rPr>
                        <w:t>R</w:t>
                      </w:r>
                      <w:r>
                        <w:rPr>
                          <w:spacing w:val="-24"/>
                          <w:sz w:val="8"/>
                        </w:rPr>
                        <w:t>G</w:t>
                      </w:r>
                      <w:r>
                        <w:rPr>
                          <w:color w:val="FFFFFF"/>
                          <w:spacing w:val="-24"/>
                          <w:sz w:val="8"/>
                        </w:rPr>
                        <w:t>T</w:t>
                      </w:r>
                      <w:r>
                        <w:rPr>
                          <w:spacing w:val="-24"/>
                          <w:sz w:val="8"/>
                        </w:rPr>
                        <w:t>U</w:t>
                      </w:r>
                      <w:r>
                        <w:rPr>
                          <w:color w:val="FFFFFF"/>
                          <w:spacing w:val="-24"/>
                          <w:sz w:val="8"/>
                        </w:rPr>
                        <w:t>E</w:t>
                      </w:r>
                      <w:r>
                        <w:rPr>
                          <w:spacing w:val="-24"/>
                          <w:sz w:val="8"/>
                        </w:rPr>
                        <w:t>NDA</w:t>
                      </w:r>
                    </w:p>
                  </w:txbxContent>
                </v:textbox>
                <w10:wrap anchorx="page"/>
              </v:shape>
            </w:pict>
          </mc:Fallback>
        </mc:AlternateContent>
      </w:r>
      <w:r>
        <w:rPr>
          <w:w w:val="105"/>
          <w:sz w:val="15"/>
        </w:rPr>
        <w:t>El artículo 2 de la Convención sobre los Derechos de las Personas con Discapacidad define “ajustes razonables” como cualquier “modificación y ajuste necesarios y apropiados que no impongan una carga desproporcionada o indebida, cuando sea necesario en un caso particular, para garantizar a las personas con discapacidad el disfrute o ejercer, en igualdad de condiciones con los demás, todos los derechos humanos y libertades fundamentales”.296 Una definición similar ha sido utilizada por el Tribunal Europeo de Derechos Humanos297 y en el Protocolo de la Carta Africana de Derechos Humanos y de los Pueblos sobre los derechos de las personas</w:t>
      </w:r>
      <w:r>
        <w:rPr>
          <w:spacing w:val="-5"/>
          <w:w w:val="105"/>
          <w:sz w:val="15"/>
        </w:rPr>
        <w:t xml:space="preserve"> </w:t>
      </w:r>
      <w:r>
        <w:rPr>
          <w:w w:val="105"/>
          <w:sz w:val="15"/>
        </w:rPr>
        <w:t>con</w:t>
      </w:r>
      <w:r>
        <w:rPr>
          <w:spacing w:val="-5"/>
          <w:w w:val="105"/>
          <w:sz w:val="15"/>
        </w:rPr>
        <w:t xml:space="preserve"> </w:t>
      </w:r>
      <w:r>
        <w:rPr>
          <w:w w:val="105"/>
          <w:sz w:val="15"/>
        </w:rPr>
        <w:t>Discapacidades</w:t>
      </w:r>
      <w:r>
        <w:rPr>
          <w:spacing w:val="-5"/>
          <w:w w:val="105"/>
          <w:sz w:val="15"/>
        </w:rPr>
        <w:t xml:space="preserve"> </w:t>
      </w:r>
      <w:r>
        <w:rPr>
          <w:w w:val="105"/>
          <w:sz w:val="15"/>
        </w:rPr>
        <w:t>en</w:t>
      </w:r>
      <w:r>
        <w:rPr>
          <w:spacing w:val="-5"/>
          <w:w w:val="105"/>
          <w:sz w:val="15"/>
        </w:rPr>
        <w:t xml:space="preserve"> </w:t>
      </w:r>
      <w:r>
        <w:rPr>
          <w:w w:val="105"/>
          <w:sz w:val="15"/>
        </w:rPr>
        <w:t>África,</w:t>
      </w:r>
      <w:r>
        <w:rPr>
          <w:spacing w:val="-4"/>
          <w:w w:val="105"/>
          <w:sz w:val="15"/>
        </w:rPr>
        <w:t xml:space="preserve"> </w:t>
      </w:r>
      <w:r>
        <w:rPr>
          <w:w w:val="105"/>
          <w:sz w:val="15"/>
        </w:rPr>
        <w:t>aunque</w:t>
      </w:r>
      <w:r>
        <w:rPr>
          <w:spacing w:val="-5"/>
          <w:w w:val="105"/>
          <w:sz w:val="15"/>
        </w:rPr>
        <w:t xml:space="preserve"> </w:t>
      </w:r>
      <w:r>
        <w:rPr>
          <w:w w:val="105"/>
          <w:sz w:val="15"/>
        </w:rPr>
        <w:t>en</w:t>
      </w:r>
      <w:r>
        <w:rPr>
          <w:spacing w:val="-5"/>
          <w:w w:val="105"/>
          <w:sz w:val="15"/>
        </w:rPr>
        <w:t xml:space="preserve"> </w:t>
      </w:r>
      <w:r>
        <w:rPr>
          <w:w w:val="105"/>
          <w:sz w:val="15"/>
        </w:rPr>
        <w:t>este</w:t>
      </w:r>
      <w:r>
        <w:rPr>
          <w:spacing w:val="-5"/>
          <w:w w:val="105"/>
          <w:sz w:val="15"/>
        </w:rPr>
        <w:t xml:space="preserve"> </w:t>
      </w:r>
      <w:r>
        <w:rPr>
          <w:w w:val="105"/>
          <w:sz w:val="15"/>
        </w:rPr>
        <w:t>último</w:t>
      </w:r>
      <w:r>
        <w:rPr>
          <w:spacing w:val="-5"/>
          <w:w w:val="105"/>
          <w:sz w:val="15"/>
        </w:rPr>
        <w:t xml:space="preserve"> </w:t>
      </w:r>
      <w:r>
        <w:rPr>
          <w:w w:val="105"/>
          <w:sz w:val="15"/>
        </w:rPr>
        <w:t>caso</w:t>
      </w:r>
      <w:r>
        <w:rPr>
          <w:spacing w:val="-5"/>
          <w:w w:val="105"/>
          <w:sz w:val="15"/>
        </w:rPr>
        <w:t xml:space="preserve"> </w:t>
      </w:r>
      <w:r>
        <w:rPr>
          <w:w w:val="105"/>
          <w:sz w:val="15"/>
        </w:rPr>
        <w:t>se</w:t>
      </w:r>
      <w:r>
        <w:rPr>
          <w:spacing w:val="-5"/>
          <w:w w:val="105"/>
          <w:sz w:val="15"/>
        </w:rPr>
        <w:t xml:space="preserve"> </w:t>
      </w:r>
      <w:r>
        <w:rPr>
          <w:w w:val="105"/>
          <w:sz w:val="15"/>
        </w:rPr>
        <w:t>omite</w:t>
      </w:r>
      <w:r>
        <w:rPr>
          <w:spacing w:val="-5"/>
          <w:w w:val="105"/>
          <w:sz w:val="15"/>
        </w:rPr>
        <w:t xml:space="preserve"> </w:t>
      </w:r>
      <w:r>
        <w:rPr>
          <w:w w:val="105"/>
          <w:sz w:val="15"/>
        </w:rPr>
        <w:t>la</w:t>
      </w:r>
      <w:r>
        <w:rPr>
          <w:spacing w:val="-5"/>
          <w:w w:val="105"/>
          <w:sz w:val="15"/>
        </w:rPr>
        <w:t xml:space="preserve"> </w:t>
      </w:r>
      <w:r>
        <w:rPr>
          <w:w w:val="105"/>
          <w:sz w:val="15"/>
        </w:rPr>
        <w:t>calificación</w:t>
      </w:r>
      <w:r>
        <w:rPr>
          <w:spacing w:val="-5"/>
          <w:w w:val="105"/>
          <w:sz w:val="15"/>
        </w:rPr>
        <w:t xml:space="preserve"> </w:t>
      </w:r>
      <w:r>
        <w:rPr>
          <w:w w:val="105"/>
          <w:sz w:val="15"/>
        </w:rPr>
        <w:t>“no</w:t>
      </w:r>
      <w:r>
        <w:rPr>
          <w:spacing w:val="-5"/>
          <w:w w:val="105"/>
          <w:sz w:val="15"/>
        </w:rPr>
        <w:t xml:space="preserve"> </w:t>
      </w:r>
      <w:r>
        <w:rPr>
          <w:w w:val="105"/>
          <w:sz w:val="15"/>
        </w:rPr>
        <w:t>imponer</w:t>
      </w:r>
      <w:r>
        <w:rPr>
          <w:spacing w:val="-5"/>
          <w:w w:val="105"/>
          <w:sz w:val="15"/>
        </w:rPr>
        <w:t xml:space="preserve"> </w:t>
      </w:r>
      <w:r>
        <w:rPr>
          <w:w w:val="105"/>
          <w:sz w:val="15"/>
        </w:rPr>
        <w:t>una</w:t>
      </w:r>
      <w:r>
        <w:rPr>
          <w:spacing w:val="-5"/>
          <w:w w:val="105"/>
          <w:sz w:val="15"/>
        </w:rPr>
        <w:t xml:space="preserve"> </w:t>
      </w:r>
      <w:r>
        <w:rPr>
          <w:w w:val="105"/>
          <w:sz w:val="15"/>
        </w:rPr>
        <w:t>carga</w:t>
      </w:r>
      <w:r>
        <w:rPr>
          <w:spacing w:val="-5"/>
          <w:w w:val="105"/>
          <w:sz w:val="15"/>
        </w:rPr>
        <w:t xml:space="preserve"> </w:t>
      </w:r>
      <w:r>
        <w:rPr>
          <w:w w:val="105"/>
          <w:sz w:val="15"/>
        </w:rPr>
        <w:t>desproporcionada o indebida”.298</w:t>
      </w:r>
    </w:p>
    <w:p w14:paraId="6791840D" w14:textId="77777777" w:rsidR="0014798C" w:rsidRDefault="0014798C">
      <w:pPr>
        <w:pStyle w:val="Textoindependiente"/>
        <w:rPr>
          <w:sz w:val="15"/>
        </w:rPr>
      </w:pPr>
    </w:p>
    <w:p w14:paraId="5483E4FA" w14:textId="77777777" w:rsidR="0014798C" w:rsidRDefault="0014798C">
      <w:pPr>
        <w:pStyle w:val="Textoindependiente"/>
        <w:spacing w:before="121"/>
        <w:rPr>
          <w:sz w:val="15"/>
        </w:rPr>
      </w:pPr>
    </w:p>
    <w:p w14:paraId="62F42721" w14:textId="77777777" w:rsidR="0014798C" w:rsidRDefault="004E1F0B">
      <w:pPr>
        <w:spacing w:before="1"/>
        <w:ind w:left="1342"/>
        <w:rPr>
          <w:sz w:val="15"/>
        </w:rPr>
      </w:pPr>
      <w:r>
        <w:rPr>
          <w:w w:val="105"/>
          <w:sz w:val="15"/>
        </w:rPr>
        <w:t>FALTA</w:t>
      </w:r>
      <w:r>
        <w:rPr>
          <w:spacing w:val="-10"/>
          <w:w w:val="105"/>
          <w:sz w:val="15"/>
        </w:rPr>
        <w:t xml:space="preserve"> </w:t>
      </w:r>
      <w:r>
        <w:rPr>
          <w:w w:val="105"/>
          <w:sz w:val="15"/>
        </w:rPr>
        <w:t>DE</w:t>
      </w:r>
      <w:r>
        <w:rPr>
          <w:spacing w:val="-9"/>
          <w:w w:val="105"/>
          <w:sz w:val="15"/>
        </w:rPr>
        <w:t xml:space="preserve"> </w:t>
      </w:r>
      <w:r>
        <w:rPr>
          <w:w w:val="105"/>
          <w:sz w:val="15"/>
        </w:rPr>
        <w:t>GARANTIZAR</w:t>
      </w:r>
      <w:r>
        <w:rPr>
          <w:spacing w:val="-11"/>
          <w:w w:val="105"/>
          <w:sz w:val="15"/>
        </w:rPr>
        <w:t xml:space="preserve"> </w:t>
      </w:r>
      <w:r>
        <w:rPr>
          <w:w w:val="105"/>
          <w:sz w:val="15"/>
        </w:rPr>
        <w:t>LA</w:t>
      </w:r>
      <w:r>
        <w:rPr>
          <w:spacing w:val="-9"/>
          <w:w w:val="105"/>
          <w:sz w:val="15"/>
        </w:rPr>
        <w:t xml:space="preserve"> </w:t>
      </w:r>
      <w:r>
        <w:rPr>
          <w:spacing w:val="-2"/>
          <w:w w:val="105"/>
          <w:sz w:val="15"/>
        </w:rPr>
        <w:t>ACCESIBILIDAD</w:t>
      </w:r>
    </w:p>
    <w:p w14:paraId="4B8E14CC" w14:textId="77777777" w:rsidR="0014798C" w:rsidRDefault="0014798C">
      <w:pPr>
        <w:pStyle w:val="Textoindependiente"/>
        <w:spacing w:before="58"/>
        <w:rPr>
          <w:sz w:val="15"/>
        </w:rPr>
      </w:pPr>
    </w:p>
    <w:p w14:paraId="24C0C0F6" w14:textId="77777777" w:rsidR="0014798C" w:rsidRDefault="004E1F0B">
      <w:pPr>
        <w:spacing w:line="348" w:lineRule="auto"/>
        <w:ind w:left="1332" w:right="1463"/>
        <w:rPr>
          <w:sz w:val="15"/>
        </w:rPr>
      </w:pPr>
      <w:r>
        <w:rPr>
          <w:w w:val="105"/>
          <w:sz w:val="15"/>
        </w:rPr>
        <w:t>El deber de garantizar la accesibilidad está previsto en el artículo 9 de la Convención sobre los Derechos de las Personas con Discapacidad,</w:t>
      </w:r>
      <w:r>
        <w:rPr>
          <w:spacing w:val="-4"/>
          <w:w w:val="105"/>
          <w:sz w:val="15"/>
        </w:rPr>
        <w:t xml:space="preserve"> </w:t>
      </w:r>
      <w:r>
        <w:rPr>
          <w:w w:val="105"/>
          <w:sz w:val="15"/>
        </w:rPr>
        <w:t>que</w:t>
      </w:r>
      <w:r>
        <w:rPr>
          <w:spacing w:val="-6"/>
          <w:w w:val="105"/>
          <w:sz w:val="15"/>
        </w:rPr>
        <w:t xml:space="preserve"> </w:t>
      </w:r>
      <w:r>
        <w:rPr>
          <w:w w:val="105"/>
          <w:sz w:val="15"/>
        </w:rPr>
        <w:t>establece</w:t>
      </w:r>
      <w:r>
        <w:rPr>
          <w:spacing w:val="-6"/>
          <w:w w:val="105"/>
          <w:sz w:val="15"/>
        </w:rPr>
        <w:t xml:space="preserve"> </w:t>
      </w:r>
      <w:r>
        <w:rPr>
          <w:w w:val="105"/>
          <w:sz w:val="15"/>
        </w:rPr>
        <w:t>que</w:t>
      </w:r>
      <w:r>
        <w:rPr>
          <w:spacing w:val="-6"/>
          <w:w w:val="105"/>
          <w:sz w:val="15"/>
        </w:rPr>
        <w:t xml:space="preserve"> </w:t>
      </w:r>
      <w:r>
        <w:rPr>
          <w:w w:val="105"/>
          <w:sz w:val="15"/>
        </w:rPr>
        <w:t>los</w:t>
      </w:r>
      <w:r>
        <w:rPr>
          <w:spacing w:val="-6"/>
          <w:w w:val="105"/>
          <w:sz w:val="15"/>
        </w:rPr>
        <w:t xml:space="preserve"> </w:t>
      </w:r>
      <w:r>
        <w:rPr>
          <w:w w:val="105"/>
          <w:sz w:val="15"/>
        </w:rPr>
        <w:t>Estados:</w:t>
      </w:r>
      <w:r>
        <w:rPr>
          <w:spacing w:val="-5"/>
          <w:w w:val="105"/>
          <w:sz w:val="15"/>
        </w:rPr>
        <w:t xml:space="preserve"> </w:t>
      </w:r>
      <w:r>
        <w:rPr>
          <w:w w:val="105"/>
          <w:sz w:val="15"/>
        </w:rPr>
        <w:t>“adoptarán</w:t>
      </w:r>
      <w:r>
        <w:rPr>
          <w:spacing w:val="-6"/>
          <w:w w:val="105"/>
          <w:sz w:val="15"/>
        </w:rPr>
        <w:t xml:space="preserve"> </w:t>
      </w:r>
      <w:r>
        <w:rPr>
          <w:w w:val="105"/>
          <w:sz w:val="15"/>
        </w:rPr>
        <w:t>medidas</w:t>
      </w:r>
      <w:r>
        <w:rPr>
          <w:spacing w:val="-6"/>
          <w:w w:val="105"/>
          <w:sz w:val="15"/>
        </w:rPr>
        <w:t xml:space="preserve"> </w:t>
      </w:r>
      <w:r>
        <w:rPr>
          <w:w w:val="105"/>
          <w:sz w:val="15"/>
        </w:rPr>
        <w:t>apropiadas</w:t>
      </w:r>
      <w:r>
        <w:rPr>
          <w:spacing w:val="-6"/>
          <w:w w:val="105"/>
          <w:sz w:val="15"/>
        </w:rPr>
        <w:t xml:space="preserve"> </w:t>
      </w:r>
      <w:r>
        <w:rPr>
          <w:w w:val="105"/>
          <w:sz w:val="15"/>
        </w:rPr>
        <w:t>para</w:t>
      </w:r>
      <w:r>
        <w:rPr>
          <w:spacing w:val="-6"/>
          <w:w w:val="105"/>
          <w:sz w:val="15"/>
        </w:rPr>
        <w:t xml:space="preserve"> </w:t>
      </w:r>
      <w:r>
        <w:rPr>
          <w:w w:val="105"/>
          <w:sz w:val="15"/>
        </w:rPr>
        <w:t>garantizar</w:t>
      </w:r>
      <w:r>
        <w:rPr>
          <w:spacing w:val="-6"/>
          <w:w w:val="105"/>
          <w:sz w:val="15"/>
        </w:rPr>
        <w:t xml:space="preserve"> </w:t>
      </w:r>
      <w:r>
        <w:rPr>
          <w:w w:val="105"/>
          <w:sz w:val="15"/>
        </w:rPr>
        <w:t>a</w:t>
      </w:r>
      <w:r>
        <w:rPr>
          <w:spacing w:val="-6"/>
          <w:w w:val="105"/>
          <w:sz w:val="15"/>
        </w:rPr>
        <w:t xml:space="preserve"> </w:t>
      </w:r>
      <w:r>
        <w:rPr>
          <w:w w:val="105"/>
          <w:sz w:val="15"/>
        </w:rPr>
        <w:t>las</w:t>
      </w:r>
      <w:r>
        <w:rPr>
          <w:spacing w:val="-6"/>
          <w:w w:val="105"/>
          <w:sz w:val="15"/>
        </w:rPr>
        <w:t xml:space="preserve"> </w:t>
      </w:r>
      <w:r>
        <w:rPr>
          <w:w w:val="105"/>
          <w:sz w:val="15"/>
        </w:rPr>
        <w:t>personas</w:t>
      </w:r>
      <w:r>
        <w:rPr>
          <w:spacing w:val="-6"/>
          <w:w w:val="105"/>
          <w:sz w:val="15"/>
        </w:rPr>
        <w:t xml:space="preserve"> </w:t>
      </w:r>
      <w:r>
        <w:rPr>
          <w:w w:val="105"/>
          <w:sz w:val="15"/>
        </w:rPr>
        <w:t>con</w:t>
      </w:r>
      <w:r>
        <w:rPr>
          <w:spacing w:val="-6"/>
          <w:w w:val="105"/>
          <w:sz w:val="15"/>
        </w:rPr>
        <w:t xml:space="preserve"> </w:t>
      </w:r>
      <w:r>
        <w:rPr>
          <w:w w:val="105"/>
          <w:sz w:val="15"/>
        </w:rPr>
        <w:t>discapacidad el acceso, en igualdad de condiciones con las demás, al entorno físico , al transporte, a la información y las comunicaciones, incluidas las tecnologías y sistemas de la información y las comunicaciones, y a otras instalaciones y servicios abiertos o prestados al público”.</w:t>
      </w:r>
    </w:p>
    <w:p w14:paraId="11B75198" w14:textId="77777777" w:rsidR="0014798C" w:rsidRDefault="004E1F0B">
      <w:pPr>
        <w:spacing w:before="112" w:line="348" w:lineRule="auto"/>
        <w:ind w:left="1334" w:right="1272" w:hanging="2"/>
        <w:rPr>
          <w:sz w:val="15"/>
        </w:rPr>
      </w:pPr>
      <w:r>
        <w:rPr>
          <w:w w:val="105"/>
          <w:sz w:val="15"/>
        </w:rPr>
        <w:t>El</w:t>
      </w:r>
      <w:r>
        <w:rPr>
          <w:spacing w:val="-4"/>
          <w:w w:val="105"/>
          <w:sz w:val="15"/>
        </w:rPr>
        <w:t xml:space="preserve"> </w:t>
      </w:r>
      <w:r>
        <w:rPr>
          <w:w w:val="105"/>
          <w:sz w:val="15"/>
        </w:rPr>
        <w:t>Comité</w:t>
      </w:r>
      <w:r>
        <w:rPr>
          <w:spacing w:val="-4"/>
          <w:w w:val="105"/>
          <w:sz w:val="15"/>
        </w:rPr>
        <w:t xml:space="preserve"> </w:t>
      </w:r>
      <w:r>
        <w:rPr>
          <w:w w:val="105"/>
          <w:sz w:val="15"/>
        </w:rPr>
        <w:t>sobre</w:t>
      </w:r>
      <w:r>
        <w:rPr>
          <w:spacing w:val="-4"/>
          <w:w w:val="105"/>
          <w:sz w:val="15"/>
        </w:rPr>
        <w:t xml:space="preserve"> </w:t>
      </w:r>
      <w:r>
        <w:rPr>
          <w:w w:val="105"/>
          <w:sz w:val="15"/>
        </w:rPr>
        <w:t>los</w:t>
      </w:r>
      <w:r>
        <w:rPr>
          <w:spacing w:val="-4"/>
          <w:w w:val="105"/>
          <w:sz w:val="15"/>
        </w:rPr>
        <w:t xml:space="preserve"> </w:t>
      </w:r>
      <w:r>
        <w:rPr>
          <w:w w:val="105"/>
          <w:sz w:val="15"/>
        </w:rPr>
        <w:t>Derechos</w:t>
      </w:r>
      <w:r>
        <w:rPr>
          <w:spacing w:val="-4"/>
          <w:w w:val="105"/>
          <w:sz w:val="15"/>
        </w:rPr>
        <w:t xml:space="preserve"> </w:t>
      </w:r>
      <w:r>
        <w:rPr>
          <w:w w:val="105"/>
          <w:sz w:val="15"/>
        </w:rPr>
        <w:t>de</w:t>
      </w:r>
      <w:r>
        <w:rPr>
          <w:spacing w:val="-4"/>
          <w:w w:val="105"/>
          <w:sz w:val="15"/>
        </w:rPr>
        <w:t xml:space="preserve"> </w:t>
      </w:r>
      <w:r>
        <w:rPr>
          <w:w w:val="105"/>
          <w:sz w:val="15"/>
        </w:rPr>
        <w:t>las</w:t>
      </w:r>
      <w:r>
        <w:rPr>
          <w:spacing w:val="-4"/>
          <w:w w:val="105"/>
          <w:sz w:val="15"/>
        </w:rPr>
        <w:t xml:space="preserve"> </w:t>
      </w:r>
      <w:r>
        <w:rPr>
          <w:w w:val="105"/>
          <w:sz w:val="15"/>
        </w:rPr>
        <w:t>Personas</w:t>
      </w:r>
      <w:r>
        <w:rPr>
          <w:spacing w:val="-4"/>
          <w:w w:val="105"/>
          <w:sz w:val="15"/>
        </w:rPr>
        <w:t xml:space="preserve"> </w:t>
      </w:r>
      <w:r>
        <w:rPr>
          <w:w w:val="105"/>
          <w:sz w:val="15"/>
        </w:rPr>
        <w:t>con</w:t>
      </w:r>
      <w:r>
        <w:rPr>
          <w:spacing w:val="-4"/>
          <w:w w:val="105"/>
          <w:sz w:val="15"/>
        </w:rPr>
        <w:t xml:space="preserve"> </w:t>
      </w:r>
      <w:r>
        <w:rPr>
          <w:w w:val="105"/>
          <w:sz w:val="15"/>
        </w:rPr>
        <w:t>Discapacidad</w:t>
      </w:r>
      <w:r>
        <w:rPr>
          <w:spacing w:val="-4"/>
          <w:w w:val="105"/>
          <w:sz w:val="15"/>
        </w:rPr>
        <w:t xml:space="preserve"> </w:t>
      </w:r>
      <w:r>
        <w:rPr>
          <w:w w:val="105"/>
          <w:sz w:val="15"/>
        </w:rPr>
        <w:t>ha</w:t>
      </w:r>
      <w:r>
        <w:rPr>
          <w:spacing w:val="-4"/>
          <w:w w:val="105"/>
          <w:sz w:val="15"/>
        </w:rPr>
        <w:t xml:space="preserve"> </w:t>
      </w:r>
      <w:r>
        <w:rPr>
          <w:w w:val="105"/>
          <w:sz w:val="15"/>
        </w:rPr>
        <w:t>distinguido</w:t>
      </w:r>
      <w:r>
        <w:rPr>
          <w:spacing w:val="-4"/>
          <w:w w:val="105"/>
          <w:sz w:val="15"/>
        </w:rPr>
        <w:t xml:space="preserve"> </w:t>
      </w:r>
      <w:r>
        <w:rPr>
          <w:w w:val="105"/>
          <w:sz w:val="15"/>
        </w:rPr>
        <w:t>las</w:t>
      </w:r>
      <w:r>
        <w:rPr>
          <w:spacing w:val="-4"/>
          <w:w w:val="105"/>
          <w:sz w:val="15"/>
        </w:rPr>
        <w:t xml:space="preserve"> </w:t>
      </w:r>
      <w:proofErr w:type="gramStart"/>
      <w:r>
        <w:rPr>
          <w:w w:val="105"/>
          <w:sz w:val="15"/>
        </w:rPr>
        <w:t>“</w:t>
      </w:r>
      <w:r>
        <w:rPr>
          <w:spacing w:val="-4"/>
          <w:w w:val="105"/>
          <w:sz w:val="15"/>
        </w:rPr>
        <w:t xml:space="preserve"> </w:t>
      </w:r>
      <w:r>
        <w:rPr>
          <w:w w:val="105"/>
          <w:sz w:val="15"/>
        </w:rPr>
        <w:t>deberes</w:t>
      </w:r>
      <w:proofErr w:type="gramEnd"/>
      <w:r>
        <w:rPr>
          <w:spacing w:val="-4"/>
          <w:w w:val="105"/>
          <w:sz w:val="15"/>
        </w:rPr>
        <w:t xml:space="preserve"> </w:t>
      </w:r>
      <w:r>
        <w:rPr>
          <w:w w:val="105"/>
          <w:sz w:val="15"/>
        </w:rPr>
        <w:t>de</w:t>
      </w:r>
      <w:r>
        <w:rPr>
          <w:spacing w:val="-4"/>
          <w:w w:val="105"/>
          <w:sz w:val="15"/>
        </w:rPr>
        <w:t xml:space="preserve"> </w:t>
      </w:r>
      <w:r>
        <w:rPr>
          <w:w w:val="105"/>
          <w:sz w:val="15"/>
        </w:rPr>
        <w:t>ajustes</w:t>
      </w:r>
      <w:r>
        <w:rPr>
          <w:spacing w:val="-4"/>
          <w:w w:val="105"/>
          <w:sz w:val="15"/>
        </w:rPr>
        <w:t xml:space="preserve"> </w:t>
      </w:r>
      <w:r>
        <w:rPr>
          <w:w w:val="105"/>
          <w:sz w:val="15"/>
        </w:rPr>
        <w:t>razonables”</w:t>
      </w:r>
      <w:r>
        <w:rPr>
          <w:spacing w:val="-4"/>
          <w:w w:val="105"/>
          <w:sz w:val="15"/>
        </w:rPr>
        <w:t xml:space="preserve"> </w:t>
      </w:r>
      <w:r>
        <w:rPr>
          <w:w w:val="105"/>
          <w:sz w:val="15"/>
        </w:rPr>
        <w:t>de</w:t>
      </w:r>
      <w:r>
        <w:rPr>
          <w:spacing w:val="-4"/>
          <w:w w:val="105"/>
          <w:sz w:val="15"/>
        </w:rPr>
        <w:t xml:space="preserve"> </w:t>
      </w:r>
      <w:r>
        <w:rPr>
          <w:w w:val="105"/>
          <w:sz w:val="15"/>
        </w:rPr>
        <w:t>los “deberes de accesibilidad”.299 Mientras que los ajustes razonables se proporcionan a nivel individual,300 “los deberes de accesibilidad se relacionan con grupos y deben implementarse de manera gradual pero incondicional”.301</w:t>
      </w:r>
    </w:p>
    <w:p w14:paraId="40C1FED9" w14:textId="77777777" w:rsidR="0014798C" w:rsidRDefault="004E1F0B">
      <w:pPr>
        <w:spacing w:line="348" w:lineRule="auto"/>
        <w:ind w:left="1337" w:right="1272" w:hanging="5"/>
        <w:rPr>
          <w:sz w:val="15"/>
        </w:rPr>
      </w:pPr>
      <w:r>
        <w:rPr>
          <w:w w:val="105"/>
          <w:sz w:val="15"/>
        </w:rPr>
        <w:t>Por lo tanto, la accesibilidad se invoca predominantemente como un deber y responsabilidad del Estado.302 Los deberes de accesibilidad</w:t>
      </w:r>
      <w:r>
        <w:rPr>
          <w:spacing w:val="-4"/>
          <w:w w:val="105"/>
          <w:sz w:val="15"/>
        </w:rPr>
        <w:t xml:space="preserve"> </w:t>
      </w:r>
      <w:r>
        <w:rPr>
          <w:w w:val="105"/>
          <w:sz w:val="15"/>
        </w:rPr>
        <w:t>se</w:t>
      </w:r>
      <w:r>
        <w:rPr>
          <w:spacing w:val="-4"/>
          <w:w w:val="105"/>
          <w:sz w:val="15"/>
        </w:rPr>
        <w:t xml:space="preserve"> </w:t>
      </w:r>
      <w:r>
        <w:rPr>
          <w:w w:val="105"/>
          <w:sz w:val="15"/>
        </w:rPr>
        <w:t>analizan</w:t>
      </w:r>
      <w:r>
        <w:rPr>
          <w:spacing w:val="-4"/>
          <w:w w:val="105"/>
          <w:sz w:val="15"/>
        </w:rPr>
        <w:t xml:space="preserve"> </w:t>
      </w:r>
      <w:r>
        <w:rPr>
          <w:w w:val="105"/>
          <w:sz w:val="15"/>
        </w:rPr>
        <w:t>con</w:t>
      </w:r>
      <w:r>
        <w:rPr>
          <w:spacing w:val="-4"/>
          <w:w w:val="105"/>
          <w:sz w:val="15"/>
        </w:rPr>
        <w:t xml:space="preserve"> </w:t>
      </w:r>
      <w:r>
        <w:rPr>
          <w:w w:val="105"/>
          <w:sz w:val="15"/>
        </w:rPr>
        <w:t>más</w:t>
      </w:r>
      <w:r>
        <w:rPr>
          <w:spacing w:val="-4"/>
          <w:w w:val="105"/>
          <w:sz w:val="15"/>
        </w:rPr>
        <w:t xml:space="preserve"> </w:t>
      </w:r>
      <w:r>
        <w:rPr>
          <w:w w:val="105"/>
          <w:sz w:val="15"/>
        </w:rPr>
        <w:t>detalle</w:t>
      </w:r>
      <w:r>
        <w:rPr>
          <w:spacing w:val="-4"/>
          <w:w w:val="105"/>
          <w:sz w:val="15"/>
        </w:rPr>
        <w:t xml:space="preserve"> </w:t>
      </w:r>
      <w:r>
        <w:rPr>
          <w:w w:val="105"/>
          <w:sz w:val="15"/>
        </w:rPr>
        <w:t>en</w:t>
      </w:r>
      <w:r>
        <w:rPr>
          <w:spacing w:val="-4"/>
          <w:w w:val="105"/>
          <w:sz w:val="15"/>
        </w:rPr>
        <w:t xml:space="preserve"> </w:t>
      </w:r>
      <w:r>
        <w:rPr>
          <w:w w:val="105"/>
          <w:sz w:val="15"/>
        </w:rPr>
        <w:t>la</w:t>
      </w:r>
      <w:r>
        <w:rPr>
          <w:spacing w:val="-4"/>
          <w:w w:val="105"/>
          <w:sz w:val="15"/>
        </w:rPr>
        <w:t xml:space="preserve"> </w:t>
      </w:r>
      <w:r>
        <w:rPr>
          <w:w w:val="105"/>
          <w:sz w:val="15"/>
        </w:rPr>
        <w:t>sección</w:t>
      </w:r>
      <w:r>
        <w:rPr>
          <w:spacing w:val="-4"/>
          <w:w w:val="105"/>
          <w:sz w:val="15"/>
        </w:rPr>
        <w:t xml:space="preserve"> </w:t>
      </w:r>
      <w:r>
        <w:rPr>
          <w:w w:val="105"/>
          <w:sz w:val="15"/>
        </w:rPr>
        <w:t>IC1</w:t>
      </w:r>
      <w:r>
        <w:rPr>
          <w:spacing w:val="-4"/>
          <w:w w:val="105"/>
          <w:sz w:val="15"/>
        </w:rPr>
        <w:t xml:space="preserve"> </w:t>
      </w:r>
      <w:r>
        <w:rPr>
          <w:w w:val="105"/>
          <w:sz w:val="15"/>
        </w:rPr>
        <w:t>de</w:t>
      </w:r>
      <w:r>
        <w:rPr>
          <w:spacing w:val="-4"/>
          <w:w w:val="105"/>
          <w:sz w:val="15"/>
        </w:rPr>
        <w:t xml:space="preserve"> </w:t>
      </w:r>
      <w:r>
        <w:rPr>
          <w:w w:val="105"/>
          <w:sz w:val="15"/>
        </w:rPr>
        <w:t>la</w:t>
      </w:r>
      <w:r>
        <w:rPr>
          <w:spacing w:val="-4"/>
          <w:w w:val="105"/>
          <w:sz w:val="15"/>
        </w:rPr>
        <w:t xml:space="preserve"> </w:t>
      </w:r>
      <w:r>
        <w:rPr>
          <w:w w:val="105"/>
          <w:sz w:val="15"/>
        </w:rPr>
        <w:t>segunda</w:t>
      </w:r>
      <w:r>
        <w:rPr>
          <w:spacing w:val="-4"/>
          <w:w w:val="105"/>
          <w:sz w:val="15"/>
        </w:rPr>
        <w:t xml:space="preserve"> </w:t>
      </w:r>
      <w:r>
        <w:rPr>
          <w:w w:val="105"/>
          <w:sz w:val="15"/>
        </w:rPr>
        <w:t>parte</w:t>
      </w:r>
      <w:r>
        <w:rPr>
          <w:spacing w:val="-4"/>
          <w:w w:val="105"/>
          <w:sz w:val="15"/>
        </w:rPr>
        <w:t xml:space="preserve"> </w:t>
      </w:r>
      <w:r>
        <w:rPr>
          <w:w w:val="105"/>
          <w:sz w:val="15"/>
        </w:rPr>
        <w:t>de</w:t>
      </w:r>
      <w:r>
        <w:rPr>
          <w:spacing w:val="-4"/>
          <w:w w:val="105"/>
          <w:sz w:val="15"/>
        </w:rPr>
        <w:t xml:space="preserve"> </w:t>
      </w:r>
      <w:r>
        <w:rPr>
          <w:w w:val="105"/>
          <w:sz w:val="15"/>
        </w:rPr>
        <w:t>la</w:t>
      </w:r>
      <w:r>
        <w:rPr>
          <w:spacing w:val="-4"/>
          <w:w w:val="105"/>
          <w:sz w:val="15"/>
        </w:rPr>
        <w:t xml:space="preserve"> </w:t>
      </w:r>
      <w:r>
        <w:rPr>
          <w:w w:val="105"/>
          <w:sz w:val="15"/>
        </w:rPr>
        <w:t>presente</w:t>
      </w:r>
      <w:r>
        <w:rPr>
          <w:spacing w:val="-4"/>
          <w:w w:val="105"/>
          <w:sz w:val="15"/>
        </w:rPr>
        <w:t xml:space="preserve"> </w:t>
      </w:r>
      <w:r>
        <w:rPr>
          <w:w w:val="105"/>
          <w:sz w:val="15"/>
        </w:rPr>
        <w:t>guía,</w:t>
      </w:r>
      <w:r>
        <w:rPr>
          <w:spacing w:val="-4"/>
          <w:w w:val="105"/>
          <w:sz w:val="15"/>
        </w:rPr>
        <w:t xml:space="preserve"> </w:t>
      </w:r>
      <w:r>
        <w:rPr>
          <w:w w:val="105"/>
          <w:sz w:val="15"/>
        </w:rPr>
        <w:t>sobre</w:t>
      </w:r>
      <w:r>
        <w:rPr>
          <w:spacing w:val="-4"/>
          <w:w w:val="105"/>
          <w:sz w:val="15"/>
        </w:rPr>
        <w:t xml:space="preserve"> </w:t>
      </w:r>
      <w:r>
        <w:rPr>
          <w:w w:val="105"/>
          <w:sz w:val="15"/>
        </w:rPr>
        <w:t>deberes</w:t>
      </w:r>
      <w:r>
        <w:rPr>
          <w:spacing w:val="-4"/>
          <w:w w:val="105"/>
          <w:sz w:val="15"/>
        </w:rPr>
        <w:t xml:space="preserve"> </w:t>
      </w:r>
      <w:r>
        <w:rPr>
          <w:w w:val="105"/>
          <w:sz w:val="15"/>
        </w:rPr>
        <w:t>de</w:t>
      </w:r>
      <w:r>
        <w:rPr>
          <w:spacing w:val="-4"/>
          <w:w w:val="105"/>
          <w:sz w:val="15"/>
        </w:rPr>
        <w:t xml:space="preserve"> </w:t>
      </w:r>
      <w:r>
        <w:rPr>
          <w:w w:val="105"/>
          <w:sz w:val="15"/>
        </w:rPr>
        <w:t>igualdad.</w:t>
      </w:r>
    </w:p>
    <w:p w14:paraId="6D5AA15F" w14:textId="77777777" w:rsidR="0014798C" w:rsidRDefault="004E1F0B">
      <w:pPr>
        <w:spacing w:before="111" w:line="348" w:lineRule="auto"/>
        <w:ind w:left="1334" w:right="1378" w:hanging="2"/>
        <w:rPr>
          <w:sz w:val="15"/>
        </w:rPr>
      </w:pPr>
      <w:r>
        <w:rPr>
          <w:w w:val="105"/>
          <w:sz w:val="15"/>
        </w:rPr>
        <w:t>Sin</w:t>
      </w:r>
      <w:r>
        <w:rPr>
          <w:spacing w:val="-5"/>
          <w:w w:val="105"/>
          <w:sz w:val="15"/>
        </w:rPr>
        <w:t xml:space="preserve"> </w:t>
      </w:r>
      <w:r>
        <w:rPr>
          <w:w w:val="105"/>
          <w:sz w:val="15"/>
        </w:rPr>
        <w:t>embargo,</w:t>
      </w:r>
      <w:r>
        <w:rPr>
          <w:spacing w:val="-4"/>
          <w:w w:val="105"/>
          <w:sz w:val="15"/>
        </w:rPr>
        <w:t xml:space="preserve"> </w:t>
      </w:r>
      <w:r>
        <w:rPr>
          <w:w w:val="105"/>
          <w:sz w:val="15"/>
        </w:rPr>
        <w:t>el</w:t>
      </w:r>
      <w:r>
        <w:rPr>
          <w:spacing w:val="-5"/>
          <w:w w:val="105"/>
          <w:sz w:val="15"/>
        </w:rPr>
        <w:t xml:space="preserve"> </w:t>
      </w:r>
      <w:r>
        <w:rPr>
          <w:w w:val="105"/>
          <w:sz w:val="15"/>
        </w:rPr>
        <w:t>Comité</w:t>
      </w:r>
      <w:r>
        <w:rPr>
          <w:spacing w:val="-5"/>
          <w:w w:val="105"/>
          <w:sz w:val="15"/>
        </w:rPr>
        <w:t xml:space="preserve"> </w:t>
      </w:r>
      <w:r>
        <w:rPr>
          <w:w w:val="105"/>
          <w:sz w:val="15"/>
        </w:rPr>
        <w:t>sobre</w:t>
      </w:r>
      <w:r>
        <w:rPr>
          <w:spacing w:val="-5"/>
          <w:w w:val="105"/>
          <w:sz w:val="15"/>
        </w:rPr>
        <w:t xml:space="preserve"> </w:t>
      </w:r>
      <w:r>
        <w:rPr>
          <w:w w:val="105"/>
          <w:sz w:val="15"/>
        </w:rPr>
        <w:t>los</w:t>
      </w:r>
      <w:r>
        <w:rPr>
          <w:spacing w:val="-5"/>
          <w:w w:val="105"/>
          <w:sz w:val="15"/>
        </w:rPr>
        <w:t xml:space="preserve"> </w:t>
      </w:r>
      <w:r>
        <w:rPr>
          <w:w w:val="105"/>
          <w:sz w:val="15"/>
        </w:rPr>
        <w:t>Derechos</w:t>
      </w:r>
      <w:r>
        <w:rPr>
          <w:spacing w:val="-5"/>
          <w:w w:val="105"/>
          <w:sz w:val="15"/>
        </w:rPr>
        <w:t xml:space="preserve"> </w:t>
      </w:r>
      <w:r>
        <w:rPr>
          <w:w w:val="105"/>
          <w:sz w:val="15"/>
        </w:rPr>
        <w:t>de</w:t>
      </w:r>
      <w:r>
        <w:rPr>
          <w:spacing w:val="-5"/>
          <w:w w:val="105"/>
          <w:sz w:val="15"/>
        </w:rPr>
        <w:t xml:space="preserve"> </w:t>
      </w:r>
      <w:r>
        <w:rPr>
          <w:w w:val="105"/>
          <w:sz w:val="15"/>
        </w:rPr>
        <w:t>las</w:t>
      </w:r>
      <w:r>
        <w:rPr>
          <w:spacing w:val="-5"/>
          <w:w w:val="105"/>
          <w:sz w:val="15"/>
        </w:rPr>
        <w:t xml:space="preserve"> </w:t>
      </w:r>
      <w:r>
        <w:rPr>
          <w:w w:val="105"/>
          <w:sz w:val="15"/>
        </w:rPr>
        <w:t>Personas</w:t>
      </w:r>
      <w:r>
        <w:rPr>
          <w:spacing w:val="-5"/>
          <w:w w:val="105"/>
          <w:sz w:val="15"/>
        </w:rPr>
        <w:t xml:space="preserve"> </w:t>
      </w:r>
      <w:r>
        <w:rPr>
          <w:w w:val="105"/>
          <w:sz w:val="15"/>
        </w:rPr>
        <w:t>con</w:t>
      </w:r>
      <w:r>
        <w:rPr>
          <w:spacing w:val="-5"/>
          <w:w w:val="105"/>
          <w:sz w:val="15"/>
        </w:rPr>
        <w:t xml:space="preserve"> </w:t>
      </w:r>
      <w:r>
        <w:rPr>
          <w:w w:val="105"/>
          <w:sz w:val="15"/>
        </w:rPr>
        <w:t>Discapacidad</w:t>
      </w:r>
      <w:r>
        <w:rPr>
          <w:spacing w:val="-5"/>
          <w:w w:val="105"/>
          <w:sz w:val="15"/>
        </w:rPr>
        <w:t xml:space="preserve"> </w:t>
      </w:r>
      <w:r>
        <w:rPr>
          <w:w w:val="105"/>
          <w:sz w:val="15"/>
        </w:rPr>
        <w:t>ha</w:t>
      </w:r>
      <w:r>
        <w:rPr>
          <w:spacing w:val="-5"/>
          <w:w w:val="105"/>
          <w:sz w:val="15"/>
        </w:rPr>
        <w:t xml:space="preserve"> </w:t>
      </w:r>
      <w:r>
        <w:rPr>
          <w:w w:val="105"/>
          <w:sz w:val="15"/>
        </w:rPr>
        <w:t>aclarado</w:t>
      </w:r>
      <w:r>
        <w:rPr>
          <w:spacing w:val="-5"/>
          <w:w w:val="105"/>
          <w:sz w:val="15"/>
        </w:rPr>
        <w:t xml:space="preserve"> </w:t>
      </w:r>
      <w:r>
        <w:rPr>
          <w:w w:val="105"/>
          <w:sz w:val="15"/>
        </w:rPr>
        <w:t>que,</w:t>
      </w:r>
      <w:r>
        <w:rPr>
          <w:spacing w:val="-5"/>
          <w:w w:val="105"/>
          <w:sz w:val="15"/>
        </w:rPr>
        <w:t xml:space="preserve"> </w:t>
      </w:r>
      <w:r>
        <w:rPr>
          <w:w w:val="105"/>
          <w:sz w:val="15"/>
        </w:rPr>
        <w:t>en</w:t>
      </w:r>
      <w:r>
        <w:rPr>
          <w:spacing w:val="-5"/>
          <w:w w:val="105"/>
          <w:sz w:val="15"/>
        </w:rPr>
        <w:t xml:space="preserve"> </w:t>
      </w:r>
      <w:r>
        <w:rPr>
          <w:w w:val="105"/>
          <w:sz w:val="15"/>
        </w:rPr>
        <w:t>determinadas</w:t>
      </w:r>
      <w:r>
        <w:rPr>
          <w:spacing w:val="-5"/>
          <w:w w:val="105"/>
          <w:sz w:val="15"/>
        </w:rPr>
        <w:t xml:space="preserve"> </w:t>
      </w:r>
      <w:r>
        <w:rPr>
          <w:w w:val="105"/>
          <w:sz w:val="15"/>
        </w:rPr>
        <w:t>circunstancias, la denegación de accesibilidad puede constituir una forma de discriminación. El Comité ha identificado dos situaciones en las que no garantizar la accesibilidad debe considerarse un acto prohibido de discriminación: (a) “cuando el servicio o instalación</w:t>
      </w:r>
    </w:p>
    <w:p w14:paraId="48EDB1D9" w14:textId="77777777" w:rsidR="0014798C" w:rsidRDefault="004E1F0B">
      <w:pPr>
        <w:spacing w:line="348" w:lineRule="auto"/>
        <w:ind w:left="1332" w:right="1272" w:firstLine="5"/>
        <w:rPr>
          <w:sz w:val="15"/>
        </w:rPr>
      </w:pPr>
      <w:r>
        <w:rPr>
          <w:w w:val="105"/>
          <w:sz w:val="15"/>
        </w:rPr>
        <w:t>se</w:t>
      </w:r>
      <w:r>
        <w:rPr>
          <w:spacing w:val="-11"/>
          <w:w w:val="105"/>
          <w:sz w:val="15"/>
        </w:rPr>
        <w:t xml:space="preserve"> </w:t>
      </w:r>
      <w:r>
        <w:rPr>
          <w:w w:val="105"/>
          <w:sz w:val="15"/>
        </w:rPr>
        <w:t>estableció</w:t>
      </w:r>
      <w:r>
        <w:rPr>
          <w:spacing w:val="-11"/>
          <w:w w:val="105"/>
          <w:sz w:val="15"/>
        </w:rPr>
        <w:t xml:space="preserve"> </w:t>
      </w:r>
      <w:r>
        <w:rPr>
          <w:w w:val="105"/>
          <w:sz w:val="15"/>
        </w:rPr>
        <w:t>después</w:t>
      </w:r>
      <w:r>
        <w:rPr>
          <w:spacing w:val="-11"/>
          <w:w w:val="105"/>
          <w:sz w:val="15"/>
        </w:rPr>
        <w:t xml:space="preserve"> </w:t>
      </w:r>
      <w:r>
        <w:rPr>
          <w:w w:val="105"/>
          <w:sz w:val="15"/>
        </w:rPr>
        <w:t>de</w:t>
      </w:r>
      <w:r>
        <w:rPr>
          <w:spacing w:val="-11"/>
          <w:w w:val="105"/>
          <w:sz w:val="15"/>
        </w:rPr>
        <w:t xml:space="preserve"> </w:t>
      </w:r>
      <w:r>
        <w:rPr>
          <w:w w:val="105"/>
          <w:sz w:val="15"/>
        </w:rPr>
        <w:t>que</w:t>
      </w:r>
      <w:r>
        <w:rPr>
          <w:spacing w:val="-11"/>
          <w:w w:val="105"/>
          <w:sz w:val="15"/>
        </w:rPr>
        <w:t xml:space="preserve"> </w:t>
      </w:r>
      <w:r>
        <w:rPr>
          <w:w w:val="105"/>
          <w:sz w:val="15"/>
        </w:rPr>
        <w:t>se</w:t>
      </w:r>
      <w:r>
        <w:rPr>
          <w:spacing w:val="-11"/>
          <w:w w:val="105"/>
          <w:sz w:val="15"/>
        </w:rPr>
        <w:t xml:space="preserve"> </w:t>
      </w:r>
      <w:r>
        <w:rPr>
          <w:w w:val="105"/>
          <w:sz w:val="15"/>
        </w:rPr>
        <w:t>introdujeran</w:t>
      </w:r>
      <w:r>
        <w:rPr>
          <w:spacing w:val="-11"/>
          <w:w w:val="105"/>
          <w:sz w:val="15"/>
        </w:rPr>
        <w:t xml:space="preserve"> </w:t>
      </w:r>
      <w:r>
        <w:rPr>
          <w:w w:val="105"/>
          <w:sz w:val="15"/>
        </w:rPr>
        <w:t>las</w:t>
      </w:r>
      <w:r>
        <w:rPr>
          <w:spacing w:val="-11"/>
          <w:w w:val="105"/>
          <w:sz w:val="15"/>
        </w:rPr>
        <w:t xml:space="preserve"> </w:t>
      </w:r>
      <w:r>
        <w:rPr>
          <w:w w:val="105"/>
          <w:sz w:val="15"/>
        </w:rPr>
        <w:t>normas</w:t>
      </w:r>
      <w:r>
        <w:rPr>
          <w:spacing w:val="-10"/>
          <w:w w:val="105"/>
          <w:sz w:val="15"/>
        </w:rPr>
        <w:t xml:space="preserve"> </w:t>
      </w:r>
      <w:r>
        <w:rPr>
          <w:w w:val="105"/>
          <w:sz w:val="15"/>
        </w:rPr>
        <w:t>de</w:t>
      </w:r>
      <w:r>
        <w:rPr>
          <w:spacing w:val="-11"/>
          <w:w w:val="105"/>
          <w:sz w:val="15"/>
        </w:rPr>
        <w:t xml:space="preserve"> </w:t>
      </w:r>
      <w:r>
        <w:rPr>
          <w:w w:val="105"/>
          <w:sz w:val="15"/>
        </w:rPr>
        <w:t>accesibilidad</w:t>
      </w:r>
      <w:r>
        <w:rPr>
          <w:spacing w:val="-11"/>
          <w:w w:val="105"/>
          <w:sz w:val="15"/>
        </w:rPr>
        <w:t xml:space="preserve"> </w:t>
      </w:r>
      <w:proofErr w:type="gramStart"/>
      <w:r>
        <w:rPr>
          <w:w w:val="105"/>
          <w:sz w:val="15"/>
        </w:rPr>
        <w:t>pertinentes”;</w:t>
      </w:r>
      <w:proofErr w:type="gramEnd"/>
      <w:r>
        <w:rPr>
          <w:spacing w:val="-10"/>
          <w:w w:val="105"/>
          <w:sz w:val="15"/>
        </w:rPr>
        <w:t xml:space="preserve"> </w:t>
      </w:r>
      <w:r>
        <w:rPr>
          <w:w w:val="105"/>
          <w:sz w:val="15"/>
        </w:rPr>
        <w:t>y</w:t>
      </w:r>
      <w:r>
        <w:rPr>
          <w:spacing w:val="-11"/>
          <w:w w:val="105"/>
          <w:sz w:val="15"/>
        </w:rPr>
        <w:t xml:space="preserve"> </w:t>
      </w:r>
      <w:r>
        <w:rPr>
          <w:w w:val="105"/>
          <w:sz w:val="15"/>
        </w:rPr>
        <w:t>(b)</w:t>
      </w:r>
      <w:r>
        <w:rPr>
          <w:spacing w:val="-11"/>
          <w:w w:val="105"/>
          <w:sz w:val="15"/>
        </w:rPr>
        <w:t xml:space="preserve"> </w:t>
      </w:r>
      <w:r>
        <w:rPr>
          <w:w w:val="105"/>
          <w:sz w:val="15"/>
        </w:rPr>
        <w:t>“cuando</w:t>
      </w:r>
      <w:r>
        <w:rPr>
          <w:spacing w:val="-11"/>
          <w:w w:val="105"/>
          <w:sz w:val="15"/>
        </w:rPr>
        <w:t xml:space="preserve"> </w:t>
      </w:r>
      <w:r>
        <w:rPr>
          <w:w w:val="105"/>
          <w:sz w:val="15"/>
        </w:rPr>
        <w:t>se</w:t>
      </w:r>
      <w:r>
        <w:rPr>
          <w:spacing w:val="-11"/>
          <w:w w:val="105"/>
          <w:sz w:val="15"/>
        </w:rPr>
        <w:t xml:space="preserve"> </w:t>
      </w:r>
      <w:r>
        <w:rPr>
          <w:w w:val="105"/>
          <w:sz w:val="15"/>
        </w:rPr>
        <w:t>podría</w:t>
      </w:r>
      <w:r>
        <w:rPr>
          <w:spacing w:val="-11"/>
          <w:w w:val="105"/>
          <w:sz w:val="15"/>
        </w:rPr>
        <w:t xml:space="preserve"> </w:t>
      </w:r>
      <w:r>
        <w:rPr>
          <w:w w:val="105"/>
          <w:sz w:val="15"/>
        </w:rPr>
        <w:t>haber</w:t>
      </w:r>
      <w:r>
        <w:rPr>
          <w:spacing w:val="-11"/>
          <w:w w:val="105"/>
          <w:sz w:val="15"/>
        </w:rPr>
        <w:t xml:space="preserve"> </w:t>
      </w:r>
      <w:r>
        <w:rPr>
          <w:w w:val="105"/>
          <w:sz w:val="15"/>
        </w:rPr>
        <w:t>concedido acceso a la instalación o servicio (cuando nació) mediante ajustes razonables”.303</w:t>
      </w:r>
    </w:p>
    <w:p w14:paraId="61CCA0E1" w14:textId="77777777" w:rsidR="0014798C" w:rsidRDefault="0014798C">
      <w:pPr>
        <w:pStyle w:val="Textoindependiente"/>
        <w:rPr>
          <w:sz w:val="15"/>
        </w:rPr>
      </w:pPr>
    </w:p>
    <w:p w14:paraId="0244C9C9" w14:textId="77777777" w:rsidR="0014798C" w:rsidRDefault="0014798C">
      <w:pPr>
        <w:pStyle w:val="Textoindependiente"/>
        <w:rPr>
          <w:sz w:val="15"/>
        </w:rPr>
      </w:pPr>
    </w:p>
    <w:p w14:paraId="23FDC2AB" w14:textId="77777777" w:rsidR="0014798C" w:rsidRDefault="0014798C">
      <w:pPr>
        <w:pStyle w:val="Textoindependiente"/>
        <w:rPr>
          <w:sz w:val="15"/>
        </w:rPr>
      </w:pPr>
    </w:p>
    <w:p w14:paraId="5921D8C3" w14:textId="77777777" w:rsidR="0014798C" w:rsidRDefault="0014798C">
      <w:pPr>
        <w:pStyle w:val="Textoindependiente"/>
        <w:spacing w:before="11"/>
        <w:rPr>
          <w:sz w:val="15"/>
        </w:rPr>
      </w:pPr>
    </w:p>
    <w:p w14:paraId="02859BFE" w14:textId="77777777" w:rsidR="0014798C" w:rsidRDefault="004E1F0B">
      <w:pPr>
        <w:spacing w:line="348" w:lineRule="auto"/>
        <w:ind w:left="1107" w:right="1272" w:hanging="1"/>
        <w:rPr>
          <w:sz w:val="15"/>
        </w:rPr>
      </w:pPr>
      <w:r>
        <w:rPr>
          <w:w w:val="105"/>
          <w:sz w:val="15"/>
        </w:rPr>
        <w:t>El Comité sobre los Derechos de las Personas con Discapacidad ha señalado que el derecho a ajustes razonables es un requisito inmediato304</w:t>
      </w:r>
      <w:r>
        <w:rPr>
          <w:spacing w:val="-4"/>
          <w:w w:val="105"/>
          <w:sz w:val="15"/>
        </w:rPr>
        <w:t xml:space="preserve"> </w:t>
      </w:r>
      <w:r>
        <w:rPr>
          <w:w w:val="105"/>
          <w:sz w:val="15"/>
        </w:rPr>
        <w:t>y</w:t>
      </w:r>
      <w:r>
        <w:rPr>
          <w:spacing w:val="-4"/>
          <w:w w:val="105"/>
          <w:sz w:val="15"/>
        </w:rPr>
        <w:t xml:space="preserve"> </w:t>
      </w:r>
      <w:r>
        <w:rPr>
          <w:w w:val="105"/>
          <w:sz w:val="15"/>
        </w:rPr>
        <w:t>se</w:t>
      </w:r>
      <w:r>
        <w:rPr>
          <w:spacing w:val="-4"/>
          <w:w w:val="105"/>
          <w:sz w:val="15"/>
        </w:rPr>
        <w:t xml:space="preserve"> </w:t>
      </w:r>
      <w:r>
        <w:rPr>
          <w:w w:val="105"/>
          <w:sz w:val="15"/>
        </w:rPr>
        <w:t>aplica</w:t>
      </w:r>
      <w:r>
        <w:rPr>
          <w:spacing w:val="-4"/>
          <w:w w:val="105"/>
          <w:sz w:val="15"/>
        </w:rPr>
        <w:t xml:space="preserve"> </w:t>
      </w:r>
      <w:r>
        <w:rPr>
          <w:w w:val="105"/>
          <w:sz w:val="15"/>
        </w:rPr>
        <w:t>“en</w:t>
      </w:r>
      <w:r>
        <w:rPr>
          <w:spacing w:val="-4"/>
          <w:w w:val="105"/>
          <w:sz w:val="15"/>
        </w:rPr>
        <w:t xml:space="preserve"> </w:t>
      </w:r>
      <w:r>
        <w:rPr>
          <w:w w:val="105"/>
          <w:sz w:val="15"/>
        </w:rPr>
        <w:t>situaciones</w:t>
      </w:r>
      <w:r>
        <w:rPr>
          <w:spacing w:val="-4"/>
          <w:w w:val="105"/>
          <w:sz w:val="15"/>
        </w:rPr>
        <w:t xml:space="preserve"> </w:t>
      </w:r>
      <w:r>
        <w:rPr>
          <w:w w:val="105"/>
          <w:sz w:val="15"/>
        </w:rPr>
        <w:t>en</w:t>
      </w:r>
      <w:r>
        <w:rPr>
          <w:spacing w:val="-4"/>
          <w:w w:val="105"/>
          <w:sz w:val="15"/>
        </w:rPr>
        <w:t xml:space="preserve"> </w:t>
      </w:r>
      <w:r>
        <w:rPr>
          <w:w w:val="105"/>
          <w:sz w:val="15"/>
        </w:rPr>
        <w:t>las</w:t>
      </w:r>
      <w:r>
        <w:rPr>
          <w:spacing w:val="-4"/>
          <w:w w:val="105"/>
          <w:sz w:val="15"/>
        </w:rPr>
        <w:t xml:space="preserve"> </w:t>
      </w:r>
      <w:r>
        <w:rPr>
          <w:w w:val="105"/>
          <w:sz w:val="15"/>
        </w:rPr>
        <w:t>que</w:t>
      </w:r>
      <w:r>
        <w:rPr>
          <w:spacing w:val="-4"/>
          <w:w w:val="105"/>
          <w:sz w:val="15"/>
        </w:rPr>
        <w:t xml:space="preserve"> </w:t>
      </w:r>
      <w:r>
        <w:rPr>
          <w:w w:val="105"/>
          <w:sz w:val="15"/>
        </w:rPr>
        <w:t>un</w:t>
      </w:r>
      <w:r>
        <w:rPr>
          <w:spacing w:val="-4"/>
          <w:w w:val="105"/>
          <w:sz w:val="15"/>
        </w:rPr>
        <w:t xml:space="preserve"> </w:t>
      </w:r>
      <w:r>
        <w:rPr>
          <w:w w:val="105"/>
          <w:sz w:val="15"/>
        </w:rPr>
        <w:t>posible</w:t>
      </w:r>
      <w:r>
        <w:rPr>
          <w:spacing w:val="-4"/>
          <w:w w:val="105"/>
          <w:sz w:val="15"/>
        </w:rPr>
        <w:t xml:space="preserve"> </w:t>
      </w:r>
      <w:r>
        <w:rPr>
          <w:w w:val="105"/>
          <w:sz w:val="15"/>
        </w:rPr>
        <w:t>titular</w:t>
      </w:r>
      <w:r>
        <w:rPr>
          <w:spacing w:val="-4"/>
          <w:w w:val="105"/>
          <w:sz w:val="15"/>
        </w:rPr>
        <w:t xml:space="preserve"> </w:t>
      </w:r>
      <w:r>
        <w:rPr>
          <w:w w:val="105"/>
          <w:sz w:val="15"/>
        </w:rPr>
        <w:t>de</w:t>
      </w:r>
      <w:r>
        <w:rPr>
          <w:spacing w:val="-4"/>
          <w:w w:val="105"/>
          <w:sz w:val="15"/>
        </w:rPr>
        <w:t xml:space="preserve"> </w:t>
      </w:r>
      <w:r>
        <w:rPr>
          <w:w w:val="105"/>
          <w:sz w:val="15"/>
        </w:rPr>
        <w:t>deberes</w:t>
      </w:r>
      <w:r>
        <w:rPr>
          <w:spacing w:val="-4"/>
          <w:w w:val="105"/>
          <w:sz w:val="15"/>
        </w:rPr>
        <w:t xml:space="preserve"> </w:t>
      </w:r>
      <w:r>
        <w:rPr>
          <w:w w:val="105"/>
          <w:sz w:val="15"/>
        </w:rPr>
        <w:t>debería</w:t>
      </w:r>
      <w:r>
        <w:rPr>
          <w:spacing w:val="-4"/>
          <w:w w:val="105"/>
          <w:sz w:val="15"/>
        </w:rPr>
        <w:t xml:space="preserve"> </w:t>
      </w:r>
      <w:r>
        <w:rPr>
          <w:w w:val="105"/>
          <w:sz w:val="15"/>
        </w:rPr>
        <w:t>haberse</w:t>
      </w:r>
      <w:r>
        <w:rPr>
          <w:spacing w:val="-4"/>
          <w:w w:val="105"/>
          <w:sz w:val="15"/>
        </w:rPr>
        <w:t xml:space="preserve"> </w:t>
      </w:r>
      <w:r>
        <w:rPr>
          <w:w w:val="105"/>
          <w:sz w:val="15"/>
        </w:rPr>
        <w:t>dado</w:t>
      </w:r>
      <w:r>
        <w:rPr>
          <w:spacing w:val="-4"/>
          <w:w w:val="105"/>
          <w:sz w:val="15"/>
        </w:rPr>
        <w:t xml:space="preserve"> </w:t>
      </w:r>
      <w:r>
        <w:rPr>
          <w:w w:val="105"/>
          <w:sz w:val="15"/>
        </w:rPr>
        <w:t>cuenta</w:t>
      </w:r>
      <w:r>
        <w:rPr>
          <w:spacing w:val="-4"/>
          <w:w w:val="105"/>
          <w:sz w:val="15"/>
        </w:rPr>
        <w:t xml:space="preserve"> </w:t>
      </w:r>
      <w:r>
        <w:rPr>
          <w:w w:val="105"/>
          <w:sz w:val="15"/>
        </w:rPr>
        <w:t>de</w:t>
      </w:r>
      <w:r>
        <w:rPr>
          <w:spacing w:val="-4"/>
          <w:w w:val="105"/>
          <w:sz w:val="15"/>
        </w:rPr>
        <w:t xml:space="preserve"> </w:t>
      </w:r>
      <w:r>
        <w:rPr>
          <w:w w:val="105"/>
          <w:sz w:val="15"/>
        </w:rPr>
        <w:t>que</w:t>
      </w:r>
      <w:r>
        <w:rPr>
          <w:spacing w:val="-4"/>
          <w:w w:val="105"/>
          <w:sz w:val="15"/>
        </w:rPr>
        <w:t xml:space="preserve"> </w:t>
      </w:r>
      <w:r>
        <w:rPr>
          <w:w w:val="105"/>
          <w:sz w:val="15"/>
        </w:rPr>
        <w:t>la</w:t>
      </w:r>
      <w:r>
        <w:rPr>
          <w:spacing w:val="-4"/>
          <w:w w:val="105"/>
          <w:sz w:val="15"/>
        </w:rPr>
        <w:t xml:space="preserve"> </w:t>
      </w:r>
      <w:r>
        <w:rPr>
          <w:w w:val="105"/>
          <w:sz w:val="15"/>
        </w:rPr>
        <w:t>persona</w:t>
      </w:r>
      <w:r>
        <w:rPr>
          <w:spacing w:val="-4"/>
          <w:w w:val="105"/>
          <w:sz w:val="15"/>
        </w:rPr>
        <w:t xml:space="preserve"> </w:t>
      </w:r>
      <w:r>
        <w:rPr>
          <w:w w:val="105"/>
          <w:sz w:val="15"/>
        </w:rPr>
        <w:t>en cuestión tenía una discapacidad que podría requerir ajustes”. 305 El término “razonable”</w:t>
      </w:r>
    </w:p>
    <w:p w14:paraId="5ABE0902" w14:textId="77777777" w:rsidR="0014798C" w:rsidRDefault="0014798C">
      <w:pPr>
        <w:pStyle w:val="Textoindependiente"/>
        <w:rPr>
          <w:sz w:val="12"/>
        </w:rPr>
      </w:pPr>
    </w:p>
    <w:p w14:paraId="476C723D" w14:textId="77777777" w:rsidR="0014798C" w:rsidRDefault="0014798C">
      <w:pPr>
        <w:pStyle w:val="Textoindependiente"/>
        <w:rPr>
          <w:sz w:val="12"/>
        </w:rPr>
      </w:pPr>
    </w:p>
    <w:p w14:paraId="266756D8" w14:textId="77777777" w:rsidR="0014798C" w:rsidRDefault="0014798C">
      <w:pPr>
        <w:pStyle w:val="Textoindependiente"/>
        <w:rPr>
          <w:sz w:val="12"/>
        </w:rPr>
      </w:pPr>
    </w:p>
    <w:p w14:paraId="657B5749" w14:textId="77777777" w:rsidR="0014798C" w:rsidRDefault="0014798C">
      <w:pPr>
        <w:pStyle w:val="Textoindependiente"/>
        <w:spacing w:before="16"/>
        <w:rPr>
          <w:sz w:val="12"/>
        </w:rPr>
      </w:pPr>
    </w:p>
    <w:p w14:paraId="47D07BE9" w14:textId="77777777" w:rsidR="0014798C" w:rsidRDefault="004E1F0B">
      <w:pPr>
        <w:pStyle w:val="Prrafodelista"/>
        <w:numPr>
          <w:ilvl w:val="0"/>
          <w:numId w:val="73"/>
        </w:numPr>
        <w:tabs>
          <w:tab w:val="left" w:pos="1338"/>
          <w:tab w:val="left" w:pos="1366"/>
        </w:tabs>
        <w:spacing w:line="312" w:lineRule="auto"/>
        <w:ind w:left="1366" w:right="1956" w:hanging="261"/>
        <w:rPr>
          <w:sz w:val="12"/>
        </w:rPr>
      </w:pPr>
      <w:proofErr w:type="spellStart"/>
      <w:r>
        <w:rPr>
          <w:sz w:val="12"/>
        </w:rPr>
        <w:t>Ibíd</w:t>
      </w:r>
      <w:proofErr w:type="spellEnd"/>
      <w:r>
        <w:rPr>
          <w:sz w:val="12"/>
        </w:rPr>
        <w:t>., párr. 46. Manual de cumplimiento sobre discriminación religiosa de la Comisión de Igualdad de Oportunidades en el Empleo de los Estados Unidos</w:t>
      </w:r>
      <w:r>
        <w:rPr>
          <w:spacing w:val="40"/>
          <w:sz w:val="12"/>
        </w:rPr>
        <w:t xml:space="preserve"> </w:t>
      </w:r>
      <w:r>
        <w:rPr>
          <w:sz w:val="12"/>
        </w:rPr>
        <w:t>proporciona varios ejemplos de denegación de ajustes razonables que, en ausencia de dificultades indebidas, pueden dar lugar a un caso de discriminación</w:t>
      </w:r>
      <w:r>
        <w:rPr>
          <w:spacing w:val="40"/>
          <w:sz w:val="12"/>
        </w:rPr>
        <w:t xml:space="preserve"> </w:t>
      </w:r>
      <w:r>
        <w:rPr>
          <w:sz w:val="12"/>
        </w:rPr>
        <w:t>religiosa</w:t>
      </w:r>
      <w:r>
        <w:rPr>
          <w:spacing w:val="2"/>
          <w:sz w:val="12"/>
        </w:rPr>
        <w:t xml:space="preserve"> </w:t>
      </w:r>
      <w:r>
        <w:rPr>
          <w:sz w:val="12"/>
        </w:rPr>
        <w:t>en</w:t>
      </w:r>
      <w:r>
        <w:rPr>
          <w:spacing w:val="2"/>
          <w:sz w:val="12"/>
        </w:rPr>
        <w:t xml:space="preserve"> </w:t>
      </w:r>
      <w:r>
        <w:rPr>
          <w:sz w:val="12"/>
        </w:rPr>
        <w:t>virtud</w:t>
      </w:r>
      <w:r>
        <w:rPr>
          <w:spacing w:val="2"/>
          <w:sz w:val="12"/>
        </w:rPr>
        <w:t xml:space="preserve"> </w:t>
      </w:r>
      <w:r>
        <w:rPr>
          <w:sz w:val="12"/>
        </w:rPr>
        <w:t>del</w:t>
      </w:r>
      <w:r>
        <w:rPr>
          <w:spacing w:val="2"/>
          <w:sz w:val="12"/>
        </w:rPr>
        <w:t xml:space="preserve"> </w:t>
      </w:r>
      <w:r>
        <w:rPr>
          <w:sz w:val="12"/>
        </w:rPr>
        <w:t>Título VII</w:t>
      </w:r>
      <w:r>
        <w:rPr>
          <w:spacing w:val="2"/>
          <w:sz w:val="12"/>
        </w:rPr>
        <w:t xml:space="preserve"> </w:t>
      </w:r>
      <w:r>
        <w:rPr>
          <w:sz w:val="12"/>
        </w:rPr>
        <w:t>de</w:t>
      </w:r>
      <w:r>
        <w:rPr>
          <w:spacing w:val="2"/>
          <w:sz w:val="12"/>
        </w:rPr>
        <w:t xml:space="preserve"> </w:t>
      </w:r>
      <w:r>
        <w:rPr>
          <w:sz w:val="12"/>
        </w:rPr>
        <w:t>la</w:t>
      </w:r>
      <w:r>
        <w:rPr>
          <w:spacing w:val="2"/>
          <w:sz w:val="12"/>
        </w:rPr>
        <w:t xml:space="preserve"> </w:t>
      </w:r>
      <w:r>
        <w:rPr>
          <w:sz w:val="12"/>
        </w:rPr>
        <w:t>Ley</w:t>
      </w:r>
      <w:r>
        <w:rPr>
          <w:spacing w:val="2"/>
          <w:sz w:val="12"/>
        </w:rPr>
        <w:t xml:space="preserve"> </w:t>
      </w:r>
      <w:r>
        <w:rPr>
          <w:sz w:val="12"/>
        </w:rPr>
        <w:t>de</w:t>
      </w:r>
      <w:r>
        <w:rPr>
          <w:spacing w:val="2"/>
          <w:sz w:val="12"/>
        </w:rPr>
        <w:t xml:space="preserve"> </w:t>
      </w:r>
      <w:r>
        <w:rPr>
          <w:sz w:val="12"/>
        </w:rPr>
        <w:t>Derechos</w:t>
      </w:r>
      <w:r>
        <w:rPr>
          <w:spacing w:val="2"/>
          <w:sz w:val="12"/>
        </w:rPr>
        <w:t xml:space="preserve"> </w:t>
      </w:r>
      <w:r>
        <w:rPr>
          <w:sz w:val="12"/>
        </w:rPr>
        <w:t>Civiles</w:t>
      </w:r>
      <w:r>
        <w:rPr>
          <w:spacing w:val="2"/>
          <w:sz w:val="12"/>
        </w:rPr>
        <w:t xml:space="preserve"> </w:t>
      </w:r>
      <w:r>
        <w:rPr>
          <w:sz w:val="12"/>
        </w:rPr>
        <w:t>de</w:t>
      </w:r>
      <w:r>
        <w:rPr>
          <w:spacing w:val="2"/>
          <w:sz w:val="12"/>
        </w:rPr>
        <w:t xml:space="preserve"> </w:t>
      </w:r>
      <w:r>
        <w:rPr>
          <w:sz w:val="12"/>
        </w:rPr>
        <w:t>1964.</w:t>
      </w:r>
      <w:r>
        <w:rPr>
          <w:spacing w:val="2"/>
          <w:sz w:val="12"/>
        </w:rPr>
        <w:t xml:space="preserve"> </w:t>
      </w:r>
      <w:r>
        <w:rPr>
          <w:sz w:val="12"/>
        </w:rPr>
        <w:t>Esto incluye,</w:t>
      </w:r>
      <w:r>
        <w:rPr>
          <w:spacing w:val="2"/>
          <w:sz w:val="12"/>
        </w:rPr>
        <w:t xml:space="preserve"> </w:t>
      </w:r>
      <w:r>
        <w:rPr>
          <w:sz w:val="12"/>
        </w:rPr>
        <w:t>entre</w:t>
      </w:r>
      <w:r>
        <w:rPr>
          <w:spacing w:val="2"/>
          <w:sz w:val="12"/>
        </w:rPr>
        <w:t xml:space="preserve"> </w:t>
      </w:r>
      <w:r>
        <w:rPr>
          <w:sz w:val="12"/>
        </w:rPr>
        <w:t>otras</w:t>
      </w:r>
      <w:r>
        <w:rPr>
          <w:spacing w:val="2"/>
          <w:sz w:val="12"/>
        </w:rPr>
        <w:t xml:space="preserve"> </w:t>
      </w:r>
      <w:r>
        <w:rPr>
          <w:sz w:val="12"/>
        </w:rPr>
        <w:t>cosas,</w:t>
      </w:r>
      <w:r>
        <w:rPr>
          <w:spacing w:val="2"/>
          <w:sz w:val="12"/>
        </w:rPr>
        <w:t xml:space="preserve"> </w:t>
      </w:r>
      <w:r>
        <w:rPr>
          <w:sz w:val="12"/>
        </w:rPr>
        <w:t>la</w:t>
      </w:r>
      <w:r>
        <w:rPr>
          <w:spacing w:val="2"/>
          <w:sz w:val="12"/>
        </w:rPr>
        <w:t xml:space="preserve"> </w:t>
      </w:r>
      <w:r>
        <w:rPr>
          <w:sz w:val="12"/>
        </w:rPr>
        <w:t>negativa</w:t>
      </w:r>
      <w:r>
        <w:rPr>
          <w:spacing w:val="2"/>
          <w:sz w:val="12"/>
        </w:rPr>
        <w:t xml:space="preserve"> </w:t>
      </w:r>
      <w:r>
        <w:rPr>
          <w:sz w:val="12"/>
        </w:rPr>
        <w:t>a</w:t>
      </w:r>
      <w:r>
        <w:rPr>
          <w:spacing w:val="2"/>
          <w:sz w:val="12"/>
        </w:rPr>
        <w:t xml:space="preserve"> </w:t>
      </w:r>
      <w:r>
        <w:rPr>
          <w:sz w:val="12"/>
        </w:rPr>
        <w:t>adaptarse</w:t>
      </w:r>
      <w:r>
        <w:rPr>
          <w:spacing w:val="2"/>
          <w:sz w:val="12"/>
        </w:rPr>
        <w:t xml:space="preserve"> </w:t>
      </w:r>
      <w:r>
        <w:rPr>
          <w:sz w:val="12"/>
        </w:rPr>
        <w:t>a</w:t>
      </w:r>
      <w:r>
        <w:rPr>
          <w:spacing w:val="2"/>
          <w:sz w:val="12"/>
        </w:rPr>
        <w:t xml:space="preserve"> </w:t>
      </w:r>
      <w:r>
        <w:rPr>
          <w:sz w:val="12"/>
        </w:rPr>
        <w:t>las</w:t>
      </w:r>
      <w:r>
        <w:rPr>
          <w:spacing w:val="2"/>
          <w:sz w:val="12"/>
        </w:rPr>
        <w:t xml:space="preserve"> </w:t>
      </w:r>
      <w:r>
        <w:rPr>
          <w:sz w:val="12"/>
        </w:rPr>
        <w:t>normas</w:t>
      </w:r>
      <w:r>
        <w:rPr>
          <w:spacing w:val="2"/>
          <w:sz w:val="12"/>
        </w:rPr>
        <w:t xml:space="preserve"> </w:t>
      </w:r>
      <w:r>
        <w:rPr>
          <w:sz w:val="12"/>
        </w:rPr>
        <w:t>de</w:t>
      </w:r>
      <w:r>
        <w:rPr>
          <w:spacing w:val="2"/>
          <w:sz w:val="12"/>
        </w:rPr>
        <w:t xml:space="preserve"> </w:t>
      </w:r>
      <w:r>
        <w:rPr>
          <w:sz w:val="12"/>
        </w:rPr>
        <w:t>vestimenta</w:t>
      </w:r>
      <w:r>
        <w:rPr>
          <w:spacing w:val="40"/>
          <w:sz w:val="12"/>
        </w:rPr>
        <w:t xml:space="preserve"> </w:t>
      </w:r>
      <w:r>
        <w:rPr>
          <w:sz w:val="12"/>
        </w:rPr>
        <w:t>o</w:t>
      </w:r>
      <w:r>
        <w:rPr>
          <w:spacing w:val="-7"/>
          <w:sz w:val="12"/>
        </w:rPr>
        <w:t xml:space="preserve"> </w:t>
      </w:r>
      <w:r>
        <w:rPr>
          <w:sz w:val="12"/>
        </w:rPr>
        <w:t>arreglo</w:t>
      </w:r>
      <w:r>
        <w:rPr>
          <w:spacing w:val="-7"/>
          <w:sz w:val="12"/>
        </w:rPr>
        <w:t xml:space="preserve"> </w:t>
      </w:r>
      <w:r>
        <w:rPr>
          <w:sz w:val="12"/>
        </w:rPr>
        <w:t>personal;</w:t>
      </w:r>
      <w:r>
        <w:rPr>
          <w:spacing w:val="-7"/>
          <w:sz w:val="12"/>
        </w:rPr>
        <w:t xml:space="preserve"> </w:t>
      </w:r>
      <w:r>
        <w:rPr>
          <w:sz w:val="12"/>
        </w:rPr>
        <w:t>negativa</w:t>
      </w:r>
      <w:r>
        <w:rPr>
          <w:spacing w:val="-7"/>
          <w:sz w:val="12"/>
        </w:rPr>
        <w:t xml:space="preserve"> </w:t>
      </w:r>
      <w:r>
        <w:rPr>
          <w:sz w:val="12"/>
        </w:rPr>
        <w:t>a</w:t>
      </w:r>
      <w:r>
        <w:rPr>
          <w:spacing w:val="-7"/>
          <w:sz w:val="12"/>
        </w:rPr>
        <w:t xml:space="preserve"> </w:t>
      </w:r>
      <w:r>
        <w:rPr>
          <w:sz w:val="12"/>
        </w:rPr>
        <w:t>permitir</w:t>
      </w:r>
      <w:r>
        <w:rPr>
          <w:spacing w:val="-7"/>
          <w:sz w:val="12"/>
        </w:rPr>
        <w:t xml:space="preserve"> </w:t>
      </w:r>
      <w:r>
        <w:rPr>
          <w:sz w:val="12"/>
        </w:rPr>
        <w:t>que</w:t>
      </w:r>
      <w:r>
        <w:rPr>
          <w:spacing w:val="-7"/>
          <w:sz w:val="12"/>
        </w:rPr>
        <w:t xml:space="preserve"> </w:t>
      </w:r>
      <w:r>
        <w:rPr>
          <w:sz w:val="12"/>
        </w:rPr>
        <w:t>una</w:t>
      </w:r>
      <w:r>
        <w:rPr>
          <w:spacing w:val="-7"/>
          <w:sz w:val="12"/>
        </w:rPr>
        <w:t xml:space="preserve"> </w:t>
      </w:r>
      <w:r>
        <w:rPr>
          <w:sz w:val="12"/>
        </w:rPr>
        <w:t>habitación</w:t>
      </w:r>
      <w:r>
        <w:rPr>
          <w:spacing w:val="-7"/>
          <w:sz w:val="12"/>
        </w:rPr>
        <w:t xml:space="preserve"> </w:t>
      </w:r>
      <w:r>
        <w:rPr>
          <w:sz w:val="12"/>
        </w:rPr>
        <w:t>desocupada</w:t>
      </w:r>
      <w:r>
        <w:rPr>
          <w:spacing w:val="-7"/>
          <w:sz w:val="12"/>
        </w:rPr>
        <w:t xml:space="preserve"> </w:t>
      </w:r>
      <w:r>
        <w:rPr>
          <w:sz w:val="12"/>
        </w:rPr>
        <w:t>se</w:t>
      </w:r>
      <w:r>
        <w:rPr>
          <w:spacing w:val="-7"/>
          <w:sz w:val="12"/>
        </w:rPr>
        <w:t xml:space="preserve"> </w:t>
      </w:r>
      <w:r>
        <w:rPr>
          <w:sz w:val="12"/>
        </w:rPr>
        <w:t>utilice</w:t>
      </w:r>
      <w:r>
        <w:rPr>
          <w:spacing w:val="-7"/>
          <w:sz w:val="12"/>
        </w:rPr>
        <w:t xml:space="preserve"> </w:t>
      </w:r>
      <w:r>
        <w:rPr>
          <w:sz w:val="12"/>
        </w:rPr>
        <w:t>como</w:t>
      </w:r>
      <w:r>
        <w:rPr>
          <w:spacing w:val="-7"/>
          <w:sz w:val="12"/>
        </w:rPr>
        <w:t xml:space="preserve"> </w:t>
      </w:r>
      <w:r>
        <w:rPr>
          <w:sz w:val="12"/>
        </w:rPr>
        <w:t>lugar</w:t>
      </w:r>
      <w:r>
        <w:rPr>
          <w:spacing w:val="-7"/>
          <w:sz w:val="12"/>
        </w:rPr>
        <w:t xml:space="preserve"> </w:t>
      </w:r>
      <w:r>
        <w:rPr>
          <w:sz w:val="12"/>
        </w:rPr>
        <w:t>de</w:t>
      </w:r>
      <w:r>
        <w:rPr>
          <w:spacing w:val="-7"/>
          <w:sz w:val="12"/>
        </w:rPr>
        <w:t xml:space="preserve"> </w:t>
      </w:r>
      <w:r>
        <w:rPr>
          <w:sz w:val="12"/>
        </w:rPr>
        <w:t>oración;</w:t>
      </w:r>
      <w:r>
        <w:rPr>
          <w:spacing w:val="-7"/>
          <w:sz w:val="12"/>
        </w:rPr>
        <w:t xml:space="preserve"> </w:t>
      </w:r>
      <w:r>
        <w:rPr>
          <w:sz w:val="12"/>
        </w:rPr>
        <w:t>y</w:t>
      </w:r>
      <w:r>
        <w:rPr>
          <w:spacing w:val="-7"/>
          <w:sz w:val="12"/>
        </w:rPr>
        <w:t xml:space="preserve"> </w:t>
      </w:r>
      <w:r>
        <w:rPr>
          <w:sz w:val="12"/>
        </w:rPr>
        <w:t>negativa</w:t>
      </w:r>
      <w:r>
        <w:rPr>
          <w:spacing w:val="-7"/>
          <w:sz w:val="12"/>
        </w:rPr>
        <w:t xml:space="preserve"> </w:t>
      </w:r>
      <w:r>
        <w:rPr>
          <w:sz w:val="12"/>
        </w:rPr>
        <w:t>a</w:t>
      </w:r>
      <w:r>
        <w:rPr>
          <w:spacing w:val="-7"/>
          <w:sz w:val="12"/>
        </w:rPr>
        <w:t xml:space="preserve"> </w:t>
      </w:r>
      <w:r>
        <w:rPr>
          <w:sz w:val="12"/>
        </w:rPr>
        <w:t>dar</w:t>
      </w:r>
      <w:r>
        <w:rPr>
          <w:spacing w:val="-7"/>
          <w:sz w:val="12"/>
        </w:rPr>
        <w:t xml:space="preserve"> </w:t>
      </w:r>
      <w:r>
        <w:rPr>
          <w:sz w:val="12"/>
        </w:rPr>
        <w:t>cabida</w:t>
      </w:r>
      <w:r>
        <w:rPr>
          <w:spacing w:val="-7"/>
          <w:sz w:val="12"/>
        </w:rPr>
        <w:t xml:space="preserve"> </w:t>
      </w:r>
      <w:r>
        <w:rPr>
          <w:sz w:val="12"/>
        </w:rPr>
        <w:t>a</w:t>
      </w:r>
      <w:r>
        <w:rPr>
          <w:spacing w:val="-7"/>
          <w:sz w:val="12"/>
        </w:rPr>
        <w:t xml:space="preserve"> </w:t>
      </w:r>
      <w:r>
        <w:rPr>
          <w:sz w:val="12"/>
        </w:rPr>
        <w:t>las</w:t>
      </w:r>
      <w:r>
        <w:rPr>
          <w:spacing w:val="-7"/>
          <w:sz w:val="12"/>
        </w:rPr>
        <w:t xml:space="preserve"> </w:t>
      </w:r>
      <w:r>
        <w:rPr>
          <w:sz w:val="12"/>
        </w:rPr>
        <w:t>festividades</w:t>
      </w:r>
      <w:r>
        <w:rPr>
          <w:spacing w:val="-7"/>
          <w:sz w:val="12"/>
        </w:rPr>
        <w:t xml:space="preserve"> </w:t>
      </w:r>
      <w:r>
        <w:rPr>
          <w:sz w:val="12"/>
        </w:rPr>
        <w:t>religiosas.</w:t>
      </w:r>
    </w:p>
    <w:p w14:paraId="242E852B" w14:textId="77777777" w:rsidR="0014798C" w:rsidRDefault="004E1F0B">
      <w:pPr>
        <w:pStyle w:val="Prrafodelista"/>
        <w:numPr>
          <w:ilvl w:val="0"/>
          <w:numId w:val="73"/>
        </w:numPr>
        <w:tabs>
          <w:tab w:val="left" w:pos="1338"/>
        </w:tabs>
        <w:spacing w:before="58"/>
        <w:ind w:left="1338" w:hanging="233"/>
        <w:rPr>
          <w:sz w:val="12"/>
        </w:rPr>
      </w:pPr>
      <w:proofErr w:type="spellStart"/>
      <w:r>
        <w:rPr>
          <w:sz w:val="12"/>
        </w:rPr>
        <w:t>Bribosia</w:t>
      </w:r>
      <w:proofErr w:type="spellEnd"/>
      <w:r>
        <w:rPr>
          <w:spacing w:val="-5"/>
          <w:sz w:val="12"/>
        </w:rPr>
        <w:t xml:space="preserve"> </w:t>
      </w:r>
      <w:r>
        <w:rPr>
          <w:sz w:val="12"/>
        </w:rPr>
        <w:t>y</w:t>
      </w:r>
      <w:r>
        <w:rPr>
          <w:spacing w:val="-3"/>
          <w:sz w:val="12"/>
        </w:rPr>
        <w:t xml:space="preserve"> </w:t>
      </w:r>
      <w:proofErr w:type="spellStart"/>
      <w:r>
        <w:rPr>
          <w:sz w:val="12"/>
        </w:rPr>
        <w:t>Rorive</w:t>
      </w:r>
      <w:proofErr w:type="spellEnd"/>
      <w:r>
        <w:rPr>
          <w:sz w:val="12"/>
        </w:rPr>
        <w:t>,</w:t>
      </w:r>
      <w:r>
        <w:rPr>
          <w:spacing w:val="-3"/>
          <w:sz w:val="12"/>
        </w:rPr>
        <w:t xml:space="preserve"> </w:t>
      </w:r>
      <w:r>
        <w:rPr>
          <w:sz w:val="12"/>
        </w:rPr>
        <w:t>¿Acomodos</w:t>
      </w:r>
      <w:r>
        <w:rPr>
          <w:spacing w:val="-4"/>
          <w:sz w:val="12"/>
        </w:rPr>
        <w:t xml:space="preserve"> </w:t>
      </w:r>
      <w:r>
        <w:rPr>
          <w:sz w:val="12"/>
        </w:rPr>
        <w:t>razonables</w:t>
      </w:r>
      <w:r>
        <w:rPr>
          <w:spacing w:val="-3"/>
          <w:sz w:val="12"/>
        </w:rPr>
        <w:t xml:space="preserve"> </w:t>
      </w:r>
      <w:r>
        <w:rPr>
          <w:sz w:val="12"/>
        </w:rPr>
        <w:t>más</w:t>
      </w:r>
      <w:r>
        <w:rPr>
          <w:spacing w:val="-3"/>
          <w:sz w:val="12"/>
        </w:rPr>
        <w:t xml:space="preserve"> </w:t>
      </w:r>
      <w:r>
        <w:rPr>
          <w:sz w:val="12"/>
        </w:rPr>
        <w:t>allá</w:t>
      </w:r>
      <w:r>
        <w:rPr>
          <w:spacing w:val="-3"/>
          <w:sz w:val="12"/>
        </w:rPr>
        <w:t xml:space="preserve"> </w:t>
      </w:r>
      <w:r>
        <w:rPr>
          <w:sz w:val="12"/>
        </w:rPr>
        <w:t>de</w:t>
      </w:r>
      <w:r>
        <w:rPr>
          <w:spacing w:val="-3"/>
          <w:sz w:val="12"/>
        </w:rPr>
        <w:t xml:space="preserve"> </w:t>
      </w:r>
      <w:r>
        <w:rPr>
          <w:sz w:val="12"/>
        </w:rPr>
        <w:t>la</w:t>
      </w:r>
      <w:r>
        <w:rPr>
          <w:spacing w:val="-3"/>
          <w:sz w:val="12"/>
        </w:rPr>
        <w:t xml:space="preserve"> </w:t>
      </w:r>
      <w:r>
        <w:rPr>
          <w:sz w:val="12"/>
        </w:rPr>
        <w:t>discapacidad</w:t>
      </w:r>
      <w:r>
        <w:rPr>
          <w:spacing w:val="-3"/>
          <w:sz w:val="12"/>
        </w:rPr>
        <w:t xml:space="preserve"> </w:t>
      </w:r>
      <w:r>
        <w:rPr>
          <w:sz w:val="12"/>
        </w:rPr>
        <w:t>en</w:t>
      </w:r>
      <w:r>
        <w:rPr>
          <w:spacing w:val="-3"/>
          <w:sz w:val="12"/>
        </w:rPr>
        <w:t xml:space="preserve"> </w:t>
      </w:r>
      <w:r>
        <w:rPr>
          <w:sz w:val="12"/>
        </w:rPr>
        <w:t>Europa?,</w:t>
      </w:r>
      <w:r>
        <w:rPr>
          <w:spacing w:val="-3"/>
          <w:sz w:val="12"/>
        </w:rPr>
        <w:t xml:space="preserve"> </w:t>
      </w:r>
      <w:r>
        <w:rPr>
          <w:sz w:val="12"/>
        </w:rPr>
        <w:t>p.</w:t>
      </w:r>
      <w:r>
        <w:rPr>
          <w:spacing w:val="-2"/>
          <w:sz w:val="12"/>
        </w:rPr>
        <w:t xml:space="preserve"> </w:t>
      </w:r>
      <w:r>
        <w:rPr>
          <w:spacing w:val="-5"/>
          <w:sz w:val="12"/>
        </w:rPr>
        <w:t>22.</w:t>
      </w:r>
    </w:p>
    <w:p w14:paraId="27B78F33" w14:textId="77777777" w:rsidR="0014798C" w:rsidRDefault="004E1F0B">
      <w:pPr>
        <w:pStyle w:val="Prrafodelista"/>
        <w:numPr>
          <w:ilvl w:val="0"/>
          <w:numId w:val="73"/>
        </w:numPr>
        <w:tabs>
          <w:tab w:val="left" w:pos="1340"/>
        </w:tabs>
        <w:spacing w:before="110"/>
        <w:ind w:left="1340" w:hanging="235"/>
        <w:rPr>
          <w:sz w:val="12"/>
        </w:rPr>
      </w:pPr>
      <w:r>
        <w:rPr>
          <w:sz w:val="12"/>
        </w:rPr>
        <w:t>Para un análisis más</w:t>
      </w:r>
      <w:r>
        <w:rPr>
          <w:spacing w:val="1"/>
          <w:sz w:val="12"/>
        </w:rPr>
        <w:t xml:space="preserve"> </w:t>
      </w:r>
      <w:r>
        <w:rPr>
          <w:sz w:val="12"/>
        </w:rPr>
        <w:t>detallado de las</w:t>
      </w:r>
      <w:r>
        <w:rPr>
          <w:spacing w:val="1"/>
          <w:sz w:val="12"/>
        </w:rPr>
        <w:t xml:space="preserve"> </w:t>
      </w:r>
      <w:r>
        <w:rPr>
          <w:sz w:val="12"/>
        </w:rPr>
        <w:t>justificaciones en el</w:t>
      </w:r>
      <w:r>
        <w:rPr>
          <w:spacing w:val="1"/>
          <w:sz w:val="12"/>
        </w:rPr>
        <w:t xml:space="preserve"> </w:t>
      </w:r>
      <w:r>
        <w:rPr>
          <w:sz w:val="12"/>
        </w:rPr>
        <w:t>área de la</w:t>
      </w:r>
      <w:r>
        <w:rPr>
          <w:spacing w:val="1"/>
          <w:sz w:val="12"/>
        </w:rPr>
        <w:t xml:space="preserve"> </w:t>
      </w:r>
      <w:r>
        <w:rPr>
          <w:sz w:val="12"/>
        </w:rPr>
        <w:t>ley de no</w:t>
      </w:r>
      <w:r>
        <w:rPr>
          <w:spacing w:val="1"/>
          <w:sz w:val="12"/>
        </w:rPr>
        <w:t xml:space="preserve"> </w:t>
      </w:r>
      <w:r>
        <w:rPr>
          <w:sz w:val="12"/>
        </w:rPr>
        <w:t>discriminación,</w:t>
      </w:r>
      <w:r>
        <w:rPr>
          <w:spacing w:val="1"/>
          <w:sz w:val="12"/>
        </w:rPr>
        <w:t xml:space="preserve"> </w:t>
      </w:r>
      <w:r>
        <w:rPr>
          <w:sz w:val="12"/>
        </w:rPr>
        <w:t>ver la</w:t>
      </w:r>
      <w:r>
        <w:rPr>
          <w:spacing w:val="1"/>
          <w:sz w:val="12"/>
        </w:rPr>
        <w:t xml:space="preserve"> </w:t>
      </w:r>
      <w:r>
        <w:rPr>
          <w:sz w:val="12"/>
        </w:rPr>
        <w:t>sección IA4 de</w:t>
      </w:r>
      <w:r>
        <w:rPr>
          <w:spacing w:val="1"/>
          <w:sz w:val="12"/>
        </w:rPr>
        <w:t xml:space="preserve"> </w:t>
      </w:r>
      <w:r>
        <w:rPr>
          <w:sz w:val="12"/>
        </w:rPr>
        <w:t xml:space="preserve">esta </w:t>
      </w:r>
      <w:r>
        <w:rPr>
          <w:spacing w:val="-2"/>
          <w:sz w:val="12"/>
        </w:rPr>
        <w:t>parte.</w:t>
      </w:r>
    </w:p>
    <w:p w14:paraId="47FD636E" w14:textId="77777777" w:rsidR="0014798C" w:rsidRDefault="0014798C">
      <w:pPr>
        <w:rPr>
          <w:sz w:val="12"/>
        </w:rPr>
        <w:sectPr w:rsidR="0014798C" w:rsidSect="00F265E4">
          <w:pgSz w:w="11900" w:h="16820"/>
          <w:pgMar w:top="340" w:right="0" w:bottom="280" w:left="200" w:header="121" w:footer="0" w:gutter="0"/>
          <w:cols w:space="720"/>
        </w:sectPr>
      </w:pPr>
    </w:p>
    <w:p w14:paraId="5EDC4CE0" w14:textId="77777777" w:rsidR="0014798C" w:rsidRDefault="004E1F0B">
      <w:pPr>
        <w:spacing w:before="53"/>
        <w:jc w:val="right"/>
        <w:rPr>
          <w:sz w:val="8"/>
        </w:rPr>
      </w:pPr>
      <w:r>
        <w:rPr>
          <w:spacing w:val="-5"/>
          <w:w w:val="105"/>
          <w:sz w:val="8"/>
        </w:rPr>
        <w:t>297</w:t>
      </w:r>
    </w:p>
    <w:p w14:paraId="447E0604" w14:textId="77777777" w:rsidR="0014798C" w:rsidRDefault="004E1F0B">
      <w:pPr>
        <w:spacing w:before="87"/>
        <w:ind w:left="81"/>
        <w:rPr>
          <w:sz w:val="12"/>
        </w:rPr>
      </w:pPr>
      <w:r>
        <w:br w:type="column"/>
      </w:r>
      <w:r>
        <w:rPr>
          <w:sz w:val="12"/>
        </w:rPr>
        <w:t>Tribunal</w:t>
      </w:r>
      <w:r>
        <w:rPr>
          <w:spacing w:val="-6"/>
          <w:sz w:val="12"/>
        </w:rPr>
        <w:t xml:space="preserve"> </w:t>
      </w:r>
      <w:r>
        <w:rPr>
          <w:sz w:val="12"/>
        </w:rPr>
        <w:t>Europeo</w:t>
      </w:r>
      <w:r>
        <w:rPr>
          <w:spacing w:val="-4"/>
          <w:sz w:val="12"/>
        </w:rPr>
        <w:t xml:space="preserve"> </w:t>
      </w:r>
      <w:r>
        <w:rPr>
          <w:sz w:val="12"/>
        </w:rPr>
        <w:t>de</w:t>
      </w:r>
      <w:r>
        <w:rPr>
          <w:spacing w:val="-4"/>
          <w:sz w:val="12"/>
        </w:rPr>
        <w:t xml:space="preserve"> </w:t>
      </w:r>
      <w:r>
        <w:rPr>
          <w:sz w:val="12"/>
        </w:rPr>
        <w:t>Derechos</w:t>
      </w:r>
      <w:r>
        <w:rPr>
          <w:spacing w:val="-3"/>
          <w:sz w:val="12"/>
        </w:rPr>
        <w:t xml:space="preserve"> </w:t>
      </w:r>
      <w:r>
        <w:rPr>
          <w:sz w:val="12"/>
        </w:rPr>
        <w:t>Humanos,</w:t>
      </w:r>
      <w:r>
        <w:rPr>
          <w:spacing w:val="-4"/>
          <w:sz w:val="12"/>
        </w:rPr>
        <w:t xml:space="preserve"> </w:t>
      </w:r>
      <w:proofErr w:type="spellStart"/>
      <w:r>
        <w:rPr>
          <w:sz w:val="12"/>
        </w:rPr>
        <w:t>Çam</w:t>
      </w:r>
      <w:proofErr w:type="spellEnd"/>
      <w:r>
        <w:rPr>
          <w:spacing w:val="-4"/>
          <w:sz w:val="12"/>
        </w:rPr>
        <w:t xml:space="preserve"> </w:t>
      </w:r>
      <w:r>
        <w:rPr>
          <w:sz w:val="12"/>
        </w:rPr>
        <w:t>v.</w:t>
      </w:r>
      <w:r>
        <w:rPr>
          <w:spacing w:val="-4"/>
          <w:sz w:val="12"/>
        </w:rPr>
        <w:t xml:space="preserve"> </w:t>
      </w:r>
      <w:proofErr w:type="spellStart"/>
      <w:r>
        <w:rPr>
          <w:sz w:val="12"/>
        </w:rPr>
        <w:t>Turkey</w:t>
      </w:r>
      <w:proofErr w:type="spellEnd"/>
      <w:r>
        <w:rPr>
          <w:sz w:val="12"/>
        </w:rPr>
        <w:t>,</w:t>
      </w:r>
      <w:r>
        <w:rPr>
          <w:spacing w:val="-3"/>
          <w:sz w:val="12"/>
        </w:rPr>
        <w:t xml:space="preserve"> </w:t>
      </w:r>
      <w:r>
        <w:rPr>
          <w:sz w:val="12"/>
        </w:rPr>
        <w:t>Solicitud</w:t>
      </w:r>
      <w:r>
        <w:rPr>
          <w:spacing w:val="-5"/>
          <w:sz w:val="12"/>
        </w:rPr>
        <w:t xml:space="preserve"> </w:t>
      </w:r>
      <w:r>
        <w:rPr>
          <w:sz w:val="12"/>
        </w:rPr>
        <w:t>n.º</w:t>
      </w:r>
      <w:r>
        <w:rPr>
          <w:spacing w:val="-4"/>
          <w:sz w:val="12"/>
        </w:rPr>
        <w:t xml:space="preserve"> </w:t>
      </w:r>
      <w:r>
        <w:rPr>
          <w:sz w:val="12"/>
        </w:rPr>
        <w:t>51500/08,</w:t>
      </w:r>
      <w:r>
        <w:rPr>
          <w:spacing w:val="-3"/>
          <w:sz w:val="12"/>
        </w:rPr>
        <w:t xml:space="preserve"> </w:t>
      </w:r>
      <w:r>
        <w:rPr>
          <w:sz w:val="12"/>
        </w:rPr>
        <w:t>Sentencia</w:t>
      </w:r>
      <w:r>
        <w:rPr>
          <w:spacing w:val="-5"/>
          <w:sz w:val="12"/>
        </w:rPr>
        <w:t xml:space="preserve"> </w:t>
      </w:r>
      <w:r>
        <w:rPr>
          <w:sz w:val="12"/>
        </w:rPr>
        <w:t>de</w:t>
      </w:r>
      <w:r>
        <w:rPr>
          <w:spacing w:val="-4"/>
          <w:sz w:val="12"/>
        </w:rPr>
        <w:t xml:space="preserve"> </w:t>
      </w:r>
      <w:r>
        <w:rPr>
          <w:sz w:val="12"/>
        </w:rPr>
        <w:t>23</w:t>
      </w:r>
      <w:r>
        <w:rPr>
          <w:spacing w:val="-3"/>
          <w:sz w:val="12"/>
        </w:rPr>
        <w:t xml:space="preserve"> </w:t>
      </w:r>
      <w:r>
        <w:rPr>
          <w:sz w:val="12"/>
        </w:rPr>
        <w:t>de</w:t>
      </w:r>
      <w:r>
        <w:rPr>
          <w:spacing w:val="-4"/>
          <w:sz w:val="12"/>
        </w:rPr>
        <w:t xml:space="preserve"> </w:t>
      </w:r>
      <w:r>
        <w:rPr>
          <w:sz w:val="12"/>
        </w:rPr>
        <w:t>febrero</w:t>
      </w:r>
      <w:r>
        <w:rPr>
          <w:spacing w:val="-4"/>
          <w:sz w:val="12"/>
        </w:rPr>
        <w:t xml:space="preserve"> </w:t>
      </w:r>
      <w:r>
        <w:rPr>
          <w:sz w:val="12"/>
        </w:rPr>
        <w:t>de</w:t>
      </w:r>
      <w:r>
        <w:rPr>
          <w:spacing w:val="-4"/>
          <w:sz w:val="12"/>
        </w:rPr>
        <w:t xml:space="preserve"> </w:t>
      </w:r>
      <w:r>
        <w:rPr>
          <w:sz w:val="12"/>
        </w:rPr>
        <w:t>2016,</w:t>
      </w:r>
      <w:r>
        <w:rPr>
          <w:spacing w:val="-3"/>
          <w:sz w:val="12"/>
        </w:rPr>
        <w:t xml:space="preserve"> </w:t>
      </w:r>
      <w:r>
        <w:rPr>
          <w:sz w:val="12"/>
        </w:rPr>
        <w:t>párr.</w:t>
      </w:r>
      <w:r>
        <w:rPr>
          <w:spacing w:val="-4"/>
          <w:sz w:val="12"/>
        </w:rPr>
        <w:t xml:space="preserve"> </w:t>
      </w:r>
      <w:r>
        <w:rPr>
          <w:sz w:val="12"/>
        </w:rPr>
        <w:t>sesenta</w:t>
      </w:r>
      <w:r>
        <w:rPr>
          <w:spacing w:val="-4"/>
          <w:sz w:val="12"/>
        </w:rPr>
        <w:t xml:space="preserve"> </w:t>
      </w:r>
      <w:r>
        <w:rPr>
          <w:sz w:val="12"/>
        </w:rPr>
        <w:t>y</w:t>
      </w:r>
      <w:r>
        <w:rPr>
          <w:spacing w:val="-3"/>
          <w:sz w:val="12"/>
        </w:rPr>
        <w:t xml:space="preserve"> </w:t>
      </w:r>
      <w:r>
        <w:rPr>
          <w:spacing w:val="-2"/>
          <w:sz w:val="12"/>
        </w:rPr>
        <w:t>cinco.</w:t>
      </w:r>
    </w:p>
    <w:p w14:paraId="31B99CB9" w14:textId="77777777" w:rsidR="0014798C" w:rsidRDefault="0014798C">
      <w:pPr>
        <w:rPr>
          <w:sz w:val="12"/>
        </w:rPr>
        <w:sectPr w:rsidR="0014798C" w:rsidSect="00F265E4">
          <w:type w:val="continuous"/>
          <w:pgSz w:w="11900" w:h="16820"/>
          <w:pgMar w:top="40" w:right="0" w:bottom="280" w:left="200" w:header="121" w:footer="0" w:gutter="0"/>
          <w:cols w:num="2" w:space="720" w:equalWidth="0">
            <w:col w:w="1247" w:space="40"/>
            <w:col w:w="10413"/>
          </w:cols>
        </w:sectPr>
      </w:pPr>
    </w:p>
    <w:p w14:paraId="38BE33CF" w14:textId="77777777" w:rsidR="0014798C" w:rsidRDefault="004E1F0B">
      <w:pPr>
        <w:pStyle w:val="Prrafodelista"/>
        <w:numPr>
          <w:ilvl w:val="0"/>
          <w:numId w:val="72"/>
        </w:numPr>
        <w:tabs>
          <w:tab w:val="left" w:pos="1340"/>
        </w:tabs>
        <w:spacing w:before="110"/>
        <w:ind w:left="1340" w:hanging="235"/>
        <w:rPr>
          <w:sz w:val="12"/>
        </w:rPr>
      </w:pPr>
      <w:r>
        <w:rPr>
          <w:sz w:val="12"/>
        </w:rPr>
        <w:t>Protocolo de</w:t>
      </w:r>
      <w:r>
        <w:rPr>
          <w:spacing w:val="1"/>
          <w:sz w:val="12"/>
        </w:rPr>
        <w:t xml:space="preserve"> </w:t>
      </w:r>
      <w:r>
        <w:rPr>
          <w:sz w:val="12"/>
        </w:rPr>
        <w:t>la</w:t>
      </w:r>
      <w:r>
        <w:rPr>
          <w:spacing w:val="1"/>
          <w:sz w:val="12"/>
        </w:rPr>
        <w:t xml:space="preserve"> </w:t>
      </w:r>
      <w:r>
        <w:rPr>
          <w:sz w:val="12"/>
        </w:rPr>
        <w:t>Carta Africana</w:t>
      </w:r>
      <w:r>
        <w:rPr>
          <w:spacing w:val="1"/>
          <w:sz w:val="12"/>
        </w:rPr>
        <w:t xml:space="preserve"> </w:t>
      </w:r>
      <w:r>
        <w:rPr>
          <w:sz w:val="12"/>
        </w:rPr>
        <w:t>de</w:t>
      </w:r>
      <w:r>
        <w:rPr>
          <w:spacing w:val="1"/>
          <w:sz w:val="12"/>
        </w:rPr>
        <w:t xml:space="preserve"> </w:t>
      </w:r>
      <w:r>
        <w:rPr>
          <w:sz w:val="12"/>
        </w:rPr>
        <w:t>Derechos Humanos</w:t>
      </w:r>
      <w:r>
        <w:rPr>
          <w:spacing w:val="1"/>
          <w:sz w:val="12"/>
        </w:rPr>
        <w:t xml:space="preserve"> </w:t>
      </w:r>
      <w:r>
        <w:rPr>
          <w:sz w:val="12"/>
        </w:rPr>
        <w:t>y</w:t>
      </w:r>
      <w:r>
        <w:rPr>
          <w:spacing w:val="1"/>
          <w:sz w:val="12"/>
        </w:rPr>
        <w:t xml:space="preserve"> </w:t>
      </w:r>
      <w:r>
        <w:rPr>
          <w:sz w:val="12"/>
        </w:rPr>
        <w:t>de los</w:t>
      </w:r>
      <w:r>
        <w:rPr>
          <w:spacing w:val="1"/>
          <w:sz w:val="12"/>
        </w:rPr>
        <w:t xml:space="preserve"> </w:t>
      </w:r>
      <w:r>
        <w:rPr>
          <w:sz w:val="12"/>
        </w:rPr>
        <w:t>Pueblos</w:t>
      </w:r>
      <w:r>
        <w:rPr>
          <w:spacing w:val="1"/>
          <w:sz w:val="12"/>
        </w:rPr>
        <w:t xml:space="preserve"> </w:t>
      </w:r>
      <w:r>
        <w:rPr>
          <w:sz w:val="12"/>
        </w:rPr>
        <w:t>sobre los</w:t>
      </w:r>
      <w:r>
        <w:rPr>
          <w:spacing w:val="1"/>
          <w:sz w:val="12"/>
        </w:rPr>
        <w:t xml:space="preserve"> </w:t>
      </w:r>
      <w:r>
        <w:rPr>
          <w:sz w:val="12"/>
        </w:rPr>
        <w:t>derechos</w:t>
      </w:r>
      <w:r>
        <w:rPr>
          <w:spacing w:val="1"/>
          <w:sz w:val="12"/>
        </w:rPr>
        <w:t xml:space="preserve"> </w:t>
      </w:r>
      <w:r>
        <w:rPr>
          <w:sz w:val="12"/>
        </w:rPr>
        <w:t>de las</w:t>
      </w:r>
      <w:r>
        <w:rPr>
          <w:spacing w:val="1"/>
          <w:sz w:val="12"/>
        </w:rPr>
        <w:t xml:space="preserve"> </w:t>
      </w:r>
      <w:r>
        <w:rPr>
          <w:sz w:val="12"/>
        </w:rPr>
        <w:t>personas</w:t>
      </w:r>
      <w:r>
        <w:rPr>
          <w:spacing w:val="1"/>
          <w:sz w:val="12"/>
        </w:rPr>
        <w:t xml:space="preserve"> </w:t>
      </w:r>
      <w:r>
        <w:rPr>
          <w:sz w:val="12"/>
        </w:rPr>
        <w:t>con</w:t>
      </w:r>
      <w:r>
        <w:rPr>
          <w:spacing w:val="1"/>
          <w:sz w:val="12"/>
        </w:rPr>
        <w:t xml:space="preserve"> </w:t>
      </w:r>
      <w:r>
        <w:rPr>
          <w:sz w:val="12"/>
        </w:rPr>
        <w:t>discapacidad en</w:t>
      </w:r>
      <w:r>
        <w:rPr>
          <w:spacing w:val="1"/>
          <w:sz w:val="12"/>
        </w:rPr>
        <w:t xml:space="preserve"> </w:t>
      </w:r>
      <w:r>
        <w:rPr>
          <w:sz w:val="12"/>
        </w:rPr>
        <w:t>África,</w:t>
      </w:r>
      <w:r>
        <w:rPr>
          <w:spacing w:val="1"/>
          <w:sz w:val="12"/>
        </w:rPr>
        <w:t xml:space="preserve"> </w:t>
      </w:r>
      <w:r>
        <w:rPr>
          <w:sz w:val="12"/>
        </w:rPr>
        <w:t xml:space="preserve">art. </w:t>
      </w:r>
      <w:r>
        <w:rPr>
          <w:spacing w:val="-5"/>
          <w:sz w:val="12"/>
        </w:rPr>
        <w:t>1.</w:t>
      </w:r>
    </w:p>
    <w:p w14:paraId="73D6546D" w14:textId="77777777" w:rsidR="0014798C" w:rsidRDefault="004E1F0B">
      <w:pPr>
        <w:pStyle w:val="Prrafodelista"/>
        <w:numPr>
          <w:ilvl w:val="0"/>
          <w:numId w:val="72"/>
        </w:numPr>
        <w:tabs>
          <w:tab w:val="left" w:pos="1340"/>
        </w:tabs>
        <w:spacing w:before="99"/>
        <w:ind w:left="1340" w:hanging="235"/>
        <w:rPr>
          <w:sz w:val="12"/>
        </w:rPr>
      </w:pPr>
      <w:r>
        <w:rPr>
          <w:sz w:val="12"/>
        </w:rPr>
        <w:t>Comité</w:t>
      </w:r>
      <w:r>
        <w:rPr>
          <w:spacing w:val="-1"/>
          <w:sz w:val="12"/>
        </w:rPr>
        <w:t xml:space="preserve"> </w:t>
      </w:r>
      <w:r>
        <w:rPr>
          <w:sz w:val="12"/>
        </w:rPr>
        <w:t>sobre los Derechos de las Personas con</w:t>
      </w:r>
      <w:r>
        <w:rPr>
          <w:spacing w:val="-1"/>
          <w:sz w:val="12"/>
        </w:rPr>
        <w:t xml:space="preserve"> </w:t>
      </w:r>
      <w:r>
        <w:rPr>
          <w:sz w:val="12"/>
        </w:rPr>
        <w:t>Discapacidad,</w:t>
      </w:r>
      <w:r>
        <w:rPr>
          <w:spacing w:val="1"/>
          <w:sz w:val="12"/>
        </w:rPr>
        <w:t xml:space="preserve"> </w:t>
      </w:r>
      <w:r>
        <w:rPr>
          <w:sz w:val="12"/>
        </w:rPr>
        <w:t>observación general núm. 6 (2018), párr.</w:t>
      </w:r>
      <w:r>
        <w:rPr>
          <w:spacing w:val="-1"/>
          <w:sz w:val="12"/>
        </w:rPr>
        <w:t xml:space="preserve"> </w:t>
      </w:r>
      <w:r>
        <w:rPr>
          <w:spacing w:val="-5"/>
          <w:sz w:val="12"/>
        </w:rPr>
        <w:t>24.</w:t>
      </w:r>
    </w:p>
    <w:p w14:paraId="0071DDB3" w14:textId="77777777" w:rsidR="0014798C" w:rsidRDefault="004E1F0B">
      <w:pPr>
        <w:pStyle w:val="Prrafodelista"/>
        <w:numPr>
          <w:ilvl w:val="0"/>
          <w:numId w:val="72"/>
        </w:numPr>
        <w:tabs>
          <w:tab w:val="left" w:pos="1342"/>
        </w:tabs>
        <w:spacing w:before="93"/>
        <w:ind w:hanging="235"/>
        <w:rPr>
          <w:sz w:val="12"/>
        </w:rPr>
      </w:pPr>
      <w:proofErr w:type="spellStart"/>
      <w:r>
        <w:rPr>
          <w:sz w:val="12"/>
        </w:rPr>
        <w:t>Ibíd</w:t>
      </w:r>
      <w:proofErr w:type="spellEnd"/>
      <w:r>
        <w:rPr>
          <w:sz w:val="12"/>
        </w:rPr>
        <w:t>.,</w:t>
      </w:r>
      <w:r>
        <w:rPr>
          <w:spacing w:val="-1"/>
          <w:sz w:val="12"/>
        </w:rPr>
        <w:t xml:space="preserve"> </w:t>
      </w:r>
      <w:r>
        <w:rPr>
          <w:sz w:val="12"/>
        </w:rPr>
        <w:t>24</w:t>
      </w:r>
      <w:r>
        <w:rPr>
          <w:spacing w:val="-1"/>
          <w:sz w:val="12"/>
        </w:rPr>
        <w:t xml:space="preserve"> </w:t>
      </w:r>
      <w:r>
        <w:rPr>
          <w:spacing w:val="-4"/>
          <w:sz w:val="12"/>
        </w:rPr>
        <w:t>(b).</w:t>
      </w:r>
    </w:p>
    <w:p w14:paraId="2B52D87F" w14:textId="77777777" w:rsidR="0014798C" w:rsidRDefault="004E1F0B">
      <w:pPr>
        <w:pStyle w:val="Prrafodelista"/>
        <w:numPr>
          <w:ilvl w:val="0"/>
          <w:numId w:val="72"/>
        </w:numPr>
        <w:tabs>
          <w:tab w:val="left" w:pos="1342"/>
        </w:tabs>
        <w:spacing w:before="103"/>
        <w:ind w:hanging="235"/>
        <w:rPr>
          <w:sz w:val="12"/>
        </w:rPr>
      </w:pPr>
      <w:proofErr w:type="spellStart"/>
      <w:r>
        <w:rPr>
          <w:sz w:val="12"/>
        </w:rPr>
        <w:t>Ibíd</w:t>
      </w:r>
      <w:proofErr w:type="spellEnd"/>
      <w:r>
        <w:rPr>
          <w:sz w:val="12"/>
        </w:rPr>
        <w:t>.,</w:t>
      </w:r>
      <w:r>
        <w:rPr>
          <w:spacing w:val="-2"/>
          <w:sz w:val="12"/>
        </w:rPr>
        <w:t xml:space="preserve"> </w:t>
      </w:r>
      <w:r>
        <w:rPr>
          <w:sz w:val="12"/>
        </w:rPr>
        <w:t>párr.</w:t>
      </w:r>
      <w:r>
        <w:rPr>
          <w:spacing w:val="-2"/>
          <w:sz w:val="12"/>
        </w:rPr>
        <w:t xml:space="preserve"> 41(a).</w:t>
      </w:r>
    </w:p>
    <w:p w14:paraId="24484A05" w14:textId="77777777" w:rsidR="0014798C" w:rsidRDefault="004E1F0B">
      <w:pPr>
        <w:pStyle w:val="Prrafodelista"/>
        <w:numPr>
          <w:ilvl w:val="0"/>
          <w:numId w:val="72"/>
        </w:numPr>
        <w:tabs>
          <w:tab w:val="left" w:pos="1342"/>
        </w:tabs>
        <w:spacing w:before="99"/>
        <w:ind w:hanging="235"/>
        <w:rPr>
          <w:sz w:val="12"/>
        </w:rPr>
      </w:pPr>
      <w:proofErr w:type="spellStart"/>
      <w:r>
        <w:rPr>
          <w:sz w:val="12"/>
        </w:rPr>
        <w:t>Ibíd</w:t>
      </w:r>
      <w:proofErr w:type="spellEnd"/>
      <w:r>
        <w:rPr>
          <w:sz w:val="12"/>
        </w:rPr>
        <w:t>.,</w:t>
      </w:r>
      <w:r>
        <w:rPr>
          <w:spacing w:val="-2"/>
          <w:sz w:val="12"/>
        </w:rPr>
        <w:t xml:space="preserve"> </w:t>
      </w:r>
      <w:r>
        <w:rPr>
          <w:sz w:val="12"/>
        </w:rPr>
        <w:t>párr.</w:t>
      </w:r>
      <w:r>
        <w:rPr>
          <w:spacing w:val="-2"/>
          <w:sz w:val="12"/>
        </w:rPr>
        <w:t xml:space="preserve"> </w:t>
      </w:r>
      <w:r>
        <w:rPr>
          <w:spacing w:val="-5"/>
          <w:sz w:val="12"/>
        </w:rPr>
        <w:t>40.</w:t>
      </w:r>
    </w:p>
    <w:p w14:paraId="044C648B" w14:textId="77777777" w:rsidR="0014798C" w:rsidRDefault="004E1F0B">
      <w:pPr>
        <w:pStyle w:val="Prrafodelista"/>
        <w:numPr>
          <w:ilvl w:val="0"/>
          <w:numId w:val="72"/>
        </w:numPr>
        <w:tabs>
          <w:tab w:val="left" w:pos="1342"/>
        </w:tabs>
        <w:spacing w:before="98"/>
        <w:ind w:hanging="235"/>
        <w:rPr>
          <w:sz w:val="12"/>
        </w:rPr>
      </w:pPr>
      <w:r>
        <w:rPr>
          <w:sz w:val="12"/>
        </w:rPr>
        <w:t>Comité</w:t>
      </w:r>
      <w:r>
        <w:rPr>
          <w:spacing w:val="-1"/>
          <w:sz w:val="12"/>
        </w:rPr>
        <w:t xml:space="preserve"> </w:t>
      </w:r>
      <w:r>
        <w:rPr>
          <w:sz w:val="12"/>
        </w:rPr>
        <w:t>sobre los Derechos de las Personas con</w:t>
      </w:r>
      <w:r>
        <w:rPr>
          <w:spacing w:val="-1"/>
          <w:sz w:val="12"/>
        </w:rPr>
        <w:t xml:space="preserve"> </w:t>
      </w:r>
      <w:r>
        <w:rPr>
          <w:sz w:val="12"/>
        </w:rPr>
        <w:t>Discapacidad,</w:t>
      </w:r>
      <w:r>
        <w:rPr>
          <w:spacing w:val="1"/>
          <w:sz w:val="12"/>
        </w:rPr>
        <w:t xml:space="preserve"> </w:t>
      </w:r>
      <w:r>
        <w:rPr>
          <w:sz w:val="12"/>
        </w:rPr>
        <w:t>observación general núm. 2 (2014), párr.</w:t>
      </w:r>
      <w:r>
        <w:rPr>
          <w:spacing w:val="-1"/>
          <w:sz w:val="12"/>
        </w:rPr>
        <w:t xml:space="preserve"> </w:t>
      </w:r>
      <w:r>
        <w:rPr>
          <w:spacing w:val="-5"/>
          <w:sz w:val="12"/>
        </w:rPr>
        <w:t>31.</w:t>
      </w:r>
    </w:p>
    <w:p w14:paraId="01B9E59B" w14:textId="77777777" w:rsidR="0014798C" w:rsidRDefault="004E1F0B">
      <w:pPr>
        <w:pStyle w:val="Prrafodelista"/>
        <w:numPr>
          <w:ilvl w:val="0"/>
          <w:numId w:val="72"/>
        </w:numPr>
        <w:tabs>
          <w:tab w:val="left" w:pos="1342"/>
        </w:tabs>
        <w:spacing w:before="99"/>
        <w:ind w:hanging="235"/>
        <w:rPr>
          <w:sz w:val="12"/>
        </w:rPr>
      </w:pPr>
      <w:r>
        <w:rPr>
          <w:sz w:val="12"/>
        </w:rPr>
        <w:t>Comité</w:t>
      </w:r>
      <w:r>
        <w:rPr>
          <w:spacing w:val="-1"/>
          <w:sz w:val="12"/>
        </w:rPr>
        <w:t xml:space="preserve"> </w:t>
      </w:r>
      <w:r>
        <w:rPr>
          <w:sz w:val="12"/>
        </w:rPr>
        <w:t>sobre los Derechos de las Personas con Discapacidad,</w:t>
      </w:r>
      <w:r>
        <w:rPr>
          <w:spacing w:val="1"/>
          <w:sz w:val="12"/>
        </w:rPr>
        <w:t xml:space="preserve"> </w:t>
      </w:r>
      <w:r>
        <w:rPr>
          <w:sz w:val="12"/>
        </w:rPr>
        <w:t>observación</w:t>
      </w:r>
      <w:r>
        <w:rPr>
          <w:spacing w:val="-1"/>
          <w:sz w:val="12"/>
        </w:rPr>
        <w:t xml:space="preserve"> </w:t>
      </w:r>
      <w:r>
        <w:rPr>
          <w:sz w:val="12"/>
        </w:rPr>
        <w:t xml:space="preserve">general núm. 6 (2018), párr. 24 </w:t>
      </w:r>
      <w:r>
        <w:rPr>
          <w:spacing w:val="-4"/>
          <w:sz w:val="12"/>
        </w:rPr>
        <w:t>(b).</w:t>
      </w:r>
    </w:p>
    <w:p w14:paraId="53AA1082" w14:textId="77777777" w:rsidR="0014798C" w:rsidRDefault="004E1F0B">
      <w:pPr>
        <w:pStyle w:val="Prrafodelista"/>
        <w:numPr>
          <w:ilvl w:val="0"/>
          <w:numId w:val="72"/>
        </w:numPr>
        <w:tabs>
          <w:tab w:val="left" w:pos="1342"/>
        </w:tabs>
        <w:spacing w:before="66"/>
        <w:ind w:hanging="235"/>
        <w:rPr>
          <w:sz w:val="12"/>
        </w:rPr>
      </w:pPr>
      <w:proofErr w:type="spellStart"/>
      <w:r>
        <w:rPr>
          <w:spacing w:val="-2"/>
          <w:sz w:val="12"/>
        </w:rPr>
        <w:t>Ibíd</w:t>
      </w:r>
      <w:proofErr w:type="spellEnd"/>
      <w:r>
        <w:rPr>
          <w:spacing w:val="-2"/>
          <w:sz w:val="12"/>
        </w:rPr>
        <w:t>.</w:t>
      </w:r>
    </w:p>
    <w:p w14:paraId="3E483F55" w14:textId="77777777" w:rsidR="0014798C" w:rsidRDefault="0014798C">
      <w:pPr>
        <w:pStyle w:val="Textoindependiente"/>
        <w:rPr>
          <w:sz w:val="17"/>
        </w:rPr>
      </w:pPr>
    </w:p>
    <w:p w14:paraId="74B2687B" w14:textId="77777777" w:rsidR="0014798C" w:rsidRDefault="0014798C">
      <w:pPr>
        <w:pStyle w:val="Textoindependiente"/>
        <w:rPr>
          <w:sz w:val="17"/>
        </w:rPr>
      </w:pPr>
    </w:p>
    <w:p w14:paraId="7B5F3742" w14:textId="77777777" w:rsidR="0014798C" w:rsidRDefault="0014798C">
      <w:pPr>
        <w:pStyle w:val="Textoindependiente"/>
        <w:spacing w:before="88"/>
        <w:rPr>
          <w:sz w:val="17"/>
        </w:rPr>
      </w:pPr>
    </w:p>
    <w:p w14:paraId="0ED7D37E" w14:textId="77777777" w:rsidR="0014798C" w:rsidRDefault="004E1F0B">
      <w:pPr>
        <w:ind w:right="732"/>
        <w:jc w:val="right"/>
        <w:rPr>
          <w:sz w:val="17"/>
        </w:rPr>
      </w:pPr>
      <w:r>
        <w:rPr>
          <w:spacing w:val="-5"/>
          <w:sz w:val="17"/>
        </w:rPr>
        <w:t>41</w:t>
      </w:r>
    </w:p>
    <w:p w14:paraId="08D94DA3" w14:textId="77777777" w:rsidR="0014798C" w:rsidRDefault="0014798C">
      <w:pPr>
        <w:jc w:val="right"/>
        <w:rPr>
          <w:sz w:val="17"/>
        </w:rPr>
        <w:sectPr w:rsidR="0014798C" w:rsidSect="00F265E4">
          <w:type w:val="continuous"/>
          <w:pgSz w:w="11900" w:h="16820"/>
          <w:pgMar w:top="40" w:right="0" w:bottom="280" w:left="200" w:header="121" w:footer="0" w:gutter="0"/>
          <w:cols w:space="720"/>
        </w:sectPr>
      </w:pPr>
    </w:p>
    <w:p w14:paraId="138416EC" w14:textId="77777777" w:rsidR="0014798C" w:rsidRDefault="0014798C">
      <w:pPr>
        <w:pStyle w:val="Textoindependiente"/>
        <w:spacing w:before="85"/>
        <w:rPr>
          <w:sz w:val="12"/>
        </w:rPr>
      </w:pPr>
    </w:p>
    <w:p w14:paraId="4D7011C2" w14:textId="77777777" w:rsidR="0014798C" w:rsidRDefault="004E1F0B">
      <w:pPr>
        <w:ind w:left="1111"/>
        <w:rPr>
          <w:sz w:val="12"/>
        </w:rPr>
      </w:pPr>
      <w:r>
        <w:rPr>
          <w:color w:val="00AC59"/>
          <w:sz w:val="12"/>
        </w:rPr>
        <w:t>PROTECCIÓN</w:t>
      </w:r>
      <w:r>
        <w:rPr>
          <w:color w:val="00AC59"/>
          <w:spacing w:val="6"/>
          <w:sz w:val="12"/>
        </w:rPr>
        <w:t xml:space="preserve"> </w:t>
      </w:r>
      <w:r>
        <w:rPr>
          <w:color w:val="00AC59"/>
          <w:sz w:val="12"/>
        </w:rPr>
        <w:t>DE</w:t>
      </w:r>
      <w:r>
        <w:rPr>
          <w:color w:val="00AC59"/>
          <w:spacing w:val="7"/>
          <w:sz w:val="12"/>
        </w:rPr>
        <w:t xml:space="preserve"> </w:t>
      </w:r>
      <w:r>
        <w:rPr>
          <w:color w:val="00AC59"/>
          <w:sz w:val="12"/>
        </w:rPr>
        <w:t>LOS</w:t>
      </w:r>
      <w:r>
        <w:rPr>
          <w:color w:val="00AC59"/>
          <w:spacing w:val="8"/>
          <w:sz w:val="12"/>
        </w:rPr>
        <w:t xml:space="preserve"> </w:t>
      </w:r>
      <w:r>
        <w:rPr>
          <w:color w:val="00AC59"/>
          <w:sz w:val="12"/>
        </w:rPr>
        <w:t>DERECHOS</w:t>
      </w:r>
      <w:r>
        <w:rPr>
          <w:color w:val="00AC59"/>
          <w:spacing w:val="8"/>
          <w:sz w:val="12"/>
        </w:rPr>
        <w:t xml:space="preserve"> </w:t>
      </w:r>
      <w:r>
        <w:rPr>
          <w:color w:val="00AC59"/>
          <w:sz w:val="12"/>
        </w:rPr>
        <w:t>DE</w:t>
      </w:r>
      <w:r>
        <w:rPr>
          <w:color w:val="00AC59"/>
          <w:spacing w:val="6"/>
          <w:sz w:val="12"/>
        </w:rPr>
        <w:t xml:space="preserve"> </w:t>
      </w:r>
      <w:r>
        <w:rPr>
          <w:color w:val="00AC59"/>
          <w:sz w:val="12"/>
        </w:rPr>
        <w:t>LAS</w:t>
      </w:r>
      <w:r>
        <w:rPr>
          <w:color w:val="00AC59"/>
          <w:spacing w:val="7"/>
          <w:sz w:val="12"/>
        </w:rPr>
        <w:t xml:space="preserve"> </w:t>
      </w:r>
      <w:r>
        <w:rPr>
          <w:color w:val="00AC59"/>
          <w:sz w:val="12"/>
        </w:rPr>
        <w:t>MINORÍAS:</w:t>
      </w:r>
      <w:r>
        <w:rPr>
          <w:color w:val="00AC59"/>
          <w:spacing w:val="8"/>
          <w:sz w:val="12"/>
        </w:rPr>
        <w:t xml:space="preserve"> </w:t>
      </w:r>
      <w:r>
        <w:rPr>
          <w:color w:val="00AC59"/>
          <w:sz w:val="12"/>
        </w:rPr>
        <w:t>una</w:t>
      </w:r>
      <w:r>
        <w:rPr>
          <w:color w:val="00AC59"/>
          <w:spacing w:val="7"/>
          <w:sz w:val="12"/>
        </w:rPr>
        <w:t xml:space="preserve"> </w:t>
      </w:r>
      <w:r>
        <w:rPr>
          <w:color w:val="00AC59"/>
          <w:sz w:val="12"/>
        </w:rPr>
        <w:t>guía</w:t>
      </w:r>
      <w:r>
        <w:rPr>
          <w:color w:val="00AC59"/>
          <w:spacing w:val="6"/>
          <w:sz w:val="12"/>
        </w:rPr>
        <w:t xml:space="preserve"> </w:t>
      </w:r>
      <w:r>
        <w:rPr>
          <w:color w:val="00AC59"/>
          <w:sz w:val="12"/>
        </w:rPr>
        <w:t>práctica</w:t>
      </w:r>
      <w:r>
        <w:rPr>
          <w:color w:val="00AC59"/>
          <w:spacing w:val="7"/>
          <w:sz w:val="12"/>
        </w:rPr>
        <w:t xml:space="preserve"> </w:t>
      </w:r>
      <w:r>
        <w:rPr>
          <w:color w:val="00AC59"/>
          <w:sz w:val="12"/>
        </w:rPr>
        <w:t>para</w:t>
      </w:r>
      <w:r>
        <w:rPr>
          <w:color w:val="00AC59"/>
          <w:spacing w:val="8"/>
          <w:sz w:val="12"/>
        </w:rPr>
        <w:t xml:space="preserve"> </w:t>
      </w:r>
      <w:r>
        <w:rPr>
          <w:color w:val="00AC59"/>
          <w:sz w:val="12"/>
        </w:rPr>
        <w:t>desarrollar</w:t>
      </w:r>
      <w:r>
        <w:rPr>
          <w:color w:val="00AC59"/>
          <w:spacing w:val="6"/>
          <w:sz w:val="12"/>
        </w:rPr>
        <w:t xml:space="preserve"> </w:t>
      </w:r>
      <w:r>
        <w:rPr>
          <w:color w:val="00AC59"/>
          <w:sz w:val="12"/>
        </w:rPr>
        <w:t>una</w:t>
      </w:r>
      <w:r>
        <w:rPr>
          <w:color w:val="00AC59"/>
          <w:spacing w:val="7"/>
          <w:sz w:val="12"/>
        </w:rPr>
        <w:t xml:space="preserve"> </w:t>
      </w:r>
      <w:r>
        <w:rPr>
          <w:color w:val="00AC59"/>
          <w:sz w:val="12"/>
        </w:rPr>
        <w:t>legislación</w:t>
      </w:r>
      <w:r>
        <w:rPr>
          <w:color w:val="00AC59"/>
          <w:spacing w:val="8"/>
          <w:sz w:val="12"/>
        </w:rPr>
        <w:t xml:space="preserve"> </w:t>
      </w:r>
      <w:r>
        <w:rPr>
          <w:color w:val="00AC59"/>
          <w:sz w:val="12"/>
        </w:rPr>
        <w:t>integral</w:t>
      </w:r>
      <w:r>
        <w:rPr>
          <w:color w:val="00AC59"/>
          <w:spacing w:val="7"/>
          <w:sz w:val="12"/>
        </w:rPr>
        <w:t xml:space="preserve"> </w:t>
      </w:r>
      <w:r>
        <w:rPr>
          <w:color w:val="00AC59"/>
          <w:sz w:val="12"/>
        </w:rPr>
        <w:t>contra</w:t>
      </w:r>
      <w:r>
        <w:rPr>
          <w:color w:val="00AC59"/>
          <w:spacing w:val="6"/>
          <w:sz w:val="12"/>
        </w:rPr>
        <w:t xml:space="preserve"> </w:t>
      </w:r>
      <w:r>
        <w:rPr>
          <w:color w:val="00AC59"/>
          <w:sz w:val="12"/>
        </w:rPr>
        <w:t>la</w:t>
      </w:r>
      <w:r>
        <w:rPr>
          <w:color w:val="00AC59"/>
          <w:spacing w:val="7"/>
          <w:sz w:val="12"/>
        </w:rPr>
        <w:t xml:space="preserve"> </w:t>
      </w:r>
      <w:r>
        <w:rPr>
          <w:color w:val="00AC59"/>
          <w:spacing w:val="-2"/>
          <w:sz w:val="12"/>
        </w:rPr>
        <w:t>discriminación</w:t>
      </w:r>
    </w:p>
    <w:p w14:paraId="5F6617E4" w14:textId="77777777" w:rsidR="0014798C" w:rsidRDefault="0014798C">
      <w:pPr>
        <w:pStyle w:val="Textoindependiente"/>
        <w:rPr>
          <w:sz w:val="19"/>
        </w:rPr>
      </w:pPr>
    </w:p>
    <w:p w14:paraId="6AAF6C8D" w14:textId="77777777" w:rsidR="0014798C" w:rsidRDefault="0014798C">
      <w:pPr>
        <w:pStyle w:val="Textoindependiente"/>
        <w:rPr>
          <w:sz w:val="19"/>
        </w:rPr>
      </w:pPr>
    </w:p>
    <w:p w14:paraId="66E45E8C" w14:textId="77777777" w:rsidR="0014798C" w:rsidRDefault="0014798C">
      <w:pPr>
        <w:pStyle w:val="Textoindependiente"/>
        <w:rPr>
          <w:sz w:val="19"/>
        </w:rPr>
      </w:pPr>
    </w:p>
    <w:p w14:paraId="620C0E54" w14:textId="77777777" w:rsidR="0014798C" w:rsidRDefault="0014798C">
      <w:pPr>
        <w:pStyle w:val="Textoindependiente"/>
        <w:spacing w:before="76"/>
        <w:rPr>
          <w:sz w:val="19"/>
        </w:rPr>
      </w:pPr>
    </w:p>
    <w:p w14:paraId="038E94D2" w14:textId="77777777" w:rsidR="0014798C" w:rsidRDefault="004E1F0B">
      <w:pPr>
        <w:spacing w:line="273" w:lineRule="auto"/>
        <w:ind w:left="1107" w:right="1272" w:firstLine="1"/>
        <w:rPr>
          <w:sz w:val="19"/>
        </w:rPr>
      </w:pPr>
      <w:r>
        <w:rPr>
          <w:sz w:val="19"/>
        </w:rPr>
        <w:t>se</w:t>
      </w:r>
      <w:r>
        <w:rPr>
          <w:spacing w:val="-7"/>
          <w:sz w:val="19"/>
        </w:rPr>
        <w:t xml:space="preserve"> </w:t>
      </w:r>
      <w:r>
        <w:rPr>
          <w:sz w:val="19"/>
        </w:rPr>
        <w:t>refiere</w:t>
      </w:r>
      <w:r>
        <w:rPr>
          <w:spacing w:val="-7"/>
          <w:sz w:val="19"/>
        </w:rPr>
        <w:t xml:space="preserve"> </w:t>
      </w:r>
      <w:r>
        <w:rPr>
          <w:sz w:val="19"/>
        </w:rPr>
        <w:t>a</w:t>
      </w:r>
      <w:r>
        <w:rPr>
          <w:spacing w:val="-7"/>
          <w:sz w:val="19"/>
        </w:rPr>
        <w:t xml:space="preserve"> </w:t>
      </w:r>
      <w:r>
        <w:rPr>
          <w:sz w:val="19"/>
        </w:rPr>
        <w:t>la</w:t>
      </w:r>
      <w:r>
        <w:rPr>
          <w:spacing w:val="-7"/>
          <w:sz w:val="19"/>
        </w:rPr>
        <w:t xml:space="preserve"> </w:t>
      </w:r>
      <w:r>
        <w:rPr>
          <w:sz w:val="19"/>
        </w:rPr>
        <w:t>“relevancia,</w:t>
      </w:r>
      <w:r>
        <w:rPr>
          <w:spacing w:val="-7"/>
          <w:sz w:val="19"/>
        </w:rPr>
        <w:t xml:space="preserve"> </w:t>
      </w:r>
      <w:r>
        <w:rPr>
          <w:sz w:val="19"/>
        </w:rPr>
        <w:t>idoneidad</w:t>
      </w:r>
      <w:r>
        <w:rPr>
          <w:spacing w:val="-7"/>
          <w:sz w:val="19"/>
        </w:rPr>
        <w:t xml:space="preserve"> </w:t>
      </w:r>
      <w:r>
        <w:rPr>
          <w:sz w:val="19"/>
        </w:rPr>
        <w:t>y</w:t>
      </w:r>
      <w:r>
        <w:rPr>
          <w:spacing w:val="-7"/>
          <w:sz w:val="19"/>
        </w:rPr>
        <w:t xml:space="preserve"> </w:t>
      </w:r>
      <w:r>
        <w:rPr>
          <w:sz w:val="19"/>
        </w:rPr>
        <w:t>eficacia”</w:t>
      </w:r>
      <w:r>
        <w:rPr>
          <w:spacing w:val="-7"/>
          <w:sz w:val="19"/>
        </w:rPr>
        <w:t xml:space="preserve"> </w:t>
      </w:r>
      <w:r>
        <w:rPr>
          <w:sz w:val="19"/>
        </w:rPr>
        <w:t>de</w:t>
      </w:r>
      <w:r>
        <w:rPr>
          <w:spacing w:val="-7"/>
          <w:sz w:val="19"/>
        </w:rPr>
        <w:t xml:space="preserve"> </w:t>
      </w:r>
      <w:r>
        <w:rPr>
          <w:sz w:val="19"/>
        </w:rPr>
        <w:t>una</w:t>
      </w:r>
      <w:r>
        <w:rPr>
          <w:spacing w:val="-7"/>
          <w:sz w:val="19"/>
        </w:rPr>
        <w:t xml:space="preserve"> </w:t>
      </w:r>
      <w:r>
        <w:rPr>
          <w:sz w:val="19"/>
        </w:rPr>
        <w:t>medida</w:t>
      </w:r>
      <w:r>
        <w:rPr>
          <w:spacing w:val="-7"/>
          <w:sz w:val="19"/>
        </w:rPr>
        <w:t xml:space="preserve"> </w:t>
      </w:r>
      <w:r>
        <w:rPr>
          <w:sz w:val="19"/>
        </w:rPr>
        <w:t>para</w:t>
      </w:r>
      <w:r>
        <w:rPr>
          <w:spacing w:val="-7"/>
          <w:sz w:val="19"/>
        </w:rPr>
        <w:t xml:space="preserve"> </w:t>
      </w:r>
      <w:r>
        <w:rPr>
          <w:sz w:val="19"/>
        </w:rPr>
        <w:t>su</w:t>
      </w:r>
      <w:r>
        <w:rPr>
          <w:spacing w:val="-7"/>
          <w:sz w:val="19"/>
        </w:rPr>
        <w:t xml:space="preserve"> </w:t>
      </w:r>
      <w:r>
        <w:rPr>
          <w:sz w:val="19"/>
        </w:rPr>
        <w:t>objetivo</w:t>
      </w:r>
      <w:r>
        <w:rPr>
          <w:spacing w:val="-7"/>
          <w:sz w:val="19"/>
        </w:rPr>
        <w:t xml:space="preserve"> </w:t>
      </w:r>
      <w:r>
        <w:rPr>
          <w:sz w:val="19"/>
        </w:rPr>
        <w:t>declarado</w:t>
      </w:r>
      <w:r>
        <w:rPr>
          <w:spacing w:val="-7"/>
          <w:sz w:val="19"/>
        </w:rPr>
        <w:t xml:space="preserve"> </w:t>
      </w:r>
      <w:r>
        <w:rPr>
          <w:sz w:val="19"/>
        </w:rPr>
        <w:t>de</w:t>
      </w:r>
      <w:r>
        <w:rPr>
          <w:spacing w:val="-7"/>
          <w:sz w:val="19"/>
        </w:rPr>
        <w:t xml:space="preserve"> </w:t>
      </w:r>
      <w:r>
        <w:rPr>
          <w:sz w:val="19"/>
        </w:rPr>
        <w:t>garantizar</w:t>
      </w:r>
      <w:r>
        <w:rPr>
          <w:spacing w:val="-7"/>
          <w:sz w:val="19"/>
        </w:rPr>
        <w:t xml:space="preserve"> </w:t>
      </w:r>
      <w:r>
        <w:rPr>
          <w:sz w:val="19"/>
        </w:rPr>
        <w:t>la participación igualitaria,306 en lugar del costo o la viabilidad de realizar una adaptación solicitada. Esta</w:t>
      </w:r>
    </w:p>
    <w:p w14:paraId="0FEFE9C6" w14:textId="77777777" w:rsidR="0014798C" w:rsidRDefault="004E1F0B">
      <w:pPr>
        <w:spacing w:before="2"/>
        <w:ind w:left="1105"/>
        <w:rPr>
          <w:sz w:val="19"/>
        </w:rPr>
      </w:pPr>
      <w:r>
        <w:rPr>
          <w:sz w:val="19"/>
        </w:rPr>
        <w:t>evaluación</w:t>
      </w:r>
      <w:r>
        <w:rPr>
          <w:spacing w:val="-11"/>
          <w:sz w:val="19"/>
        </w:rPr>
        <w:t xml:space="preserve"> </w:t>
      </w:r>
      <w:r>
        <w:rPr>
          <w:sz w:val="19"/>
        </w:rPr>
        <w:t>–de</w:t>
      </w:r>
      <w:r>
        <w:rPr>
          <w:spacing w:val="-11"/>
          <w:sz w:val="19"/>
        </w:rPr>
        <w:t xml:space="preserve"> </w:t>
      </w:r>
      <w:r>
        <w:rPr>
          <w:sz w:val="19"/>
        </w:rPr>
        <w:t>si</w:t>
      </w:r>
      <w:r>
        <w:rPr>
          <w:spacing w:val="-11"/>
          <w:sz w:val="19"/>
        </w:rPr>
        <w:t xml:space="preserve"> </w:t>
      </w:r>
      <w:r>
        <w:rPr>
          <w:sz w:val="19"/>
        </w:rPr>
        <w:t>una</w:t>
      </w:r>
      <w:r>
        <w:rPr>
          <w:spacing w:val="-11"/>
          <w:sz w:val="19"/>
        </w:rPr>
        <w:t xml:space="preserve"> </w:t>
      </w:r>
      <w:r>
        <w:rPr>
          <w:sz w:val="19"/>
        </w:rPr>
        <w:t>adaptación</w:t>
      </w:r>
      <w:r>
        <w:rPr>
          <w:spacing w:val="-11"/>
          <w:sz w:val="19"/>
        </w:rPr>
        <w:t xml:space="preserve"> </w:t>
      </w:r>
      <w:r>
        <w:rPr>
          <w:sz w:val="19"/>
        </w:rPr>
        <w:t>impone</w:t>
      </w:r>
      <w:r>
        <w:rPr>
          <w:spacing w:val="-11"/>
          <w:sz w:val="19"/>
        </w:rPr>
        <w:t xml:space="preserve"> </w:t>
      </w:r>
      <w:r>
        <w:rPr>
          <w:sz w:val="19"/>
        </w:rPr>
        <w:t>una</w:t>
      </w:r>
      <w:r>
        <w:rPr>
          <w:spacing w:val="-11"/>
          <w:sz w:val="19"/>
        </w:rPr>
        <w:t xml:space="preserve"> </w:t>
      </w:r>
      <w:r>
        <w:rPr>
          <w:sz w:val="19"/>
        </w:rPr>
        <w:t>“carga</w:t>
      </w:r>
      <w:r>
        <w:rPr>
          <w:spacing w:val="-11"/>
          <w:sz w:val="19"/>
        </w:rPr>
        <w:t xml:space="preserve"> </w:t>
      </w:r>
      <w:r>
        <w:rPr>
          <w:sz w:val="19"/>
        </w:rPr>
        <w:t>desproporcionada</w:t>
      </w:r>
      <w:r>
        <w:rPr>
          <w:spacing w:val="-11"/>
          <w:sz w:val="19"/>
        </w:rPr>
        <w:t xml:space="preserve"> </w:t>
      </w:r>
      <w:r>
        <w:rPr>
          <w:sz w:val="19"/>
        </w:rPr>
        <w:t>o</w:t>
      </w:r>
      <w:r>
        <w:rPr>
          <w:spacing w:val="-11"/>
          <w:sz w:val="19"/>
        </w:rPr>
        <w:t xml:space="preserve"> </w:t>
      </w:r>
      <w:r>
        <w:rPr>
          <w:sz w:val="19"/>
        </w:rPr>
        <w:t>indebida”–</w:t>
      </w:r>
      <w:r>
        <w:rPr>
          <w:spacing w:val="-11"/>
          <w:sz w:val="19"/>
        </w:rPr>
        <w:t xml:space="preserve"> </w:t>
      </w:r>
      <w:r>
        <w:rPr>
          <w:sz w:val="19"/>
        </w:rPr>
        <w:t>es</w:t>
      </w:r>
      <w:r>
        <w:rPr>
          <w:spacing w:val="-11"/>
          <w:sz w:val="19"/>
        </w:rPr>
        <w:t xml:space="preserve"> </w:t>
      </w:r>
      <w:r>
        <w:rPr>
          <w:sz w:val="19"/>
        </w:rPr>
        <w:t>una</w:t>
      </w:r>
      <w:r>
        <w:rPr>
          <w:spacing w:val="-10"/>
          <w:sz w:val="19"/>
        </w:rPr>
        <w:t xml:space="preserve"> </w:t>
      </w:r>
      <w:r>
        <w:rPr>
          <w:sz w:val="19"/>
        </w:rPr>
        <w:t>segunda</w:t>
      </w:r>
      <w:r>
        <w:rPr>
          <w:spacing w:val="-11"/>
          <w:sz w:val="19"/>
        </w:rPr>
        <w:t xml:space="preserve"> </w:t>
      </w:r>
      <w:r>
        <w:rPr>
          <w:sz w:val="19"/>
        </w:rPr>
        <w:t>etapa</w:t>
      </w:r>
      <w:r>
        <w:rPr>
          <w:spacing w:val="-11"/>
          <w:sz w:val="19"/>
        </w:rPr>
        <w:t xml:space="preserve"> </w:t>
      </w:r>
      <w:r>
        <w:rPr>
          <w:sz w:val="19"/>
        </w:rPr>
        <w:t>del</w:t>
      </w:r>
      <w:r>
        <w:rPr>
          <w:spacing w:val="-11"/>
          <w:sz w:val="19"/>
        </w:rPr>
        <w:t xml:space="preserve"> </w:t>
      </w:r>
      <w:r>
        <w:rPr>
          <w:spacing w:val="-2"/>
          <w:sz w:val="19"/>
        </w:rPr>
        <w:t>análisis,307</w:t>
      </w:r>
    </w:p>
    <w:p w14:paraId="01E80E3A" w14:textId="77777777" w:rsidR="0014798C" w:rsidRDefault="004E1F0B">
      <w:pPr>
        <w:pStyle w:val="Textoindependiente"/>
        <w:spacing w:before="55" w:line="326" w:lineRule="auto"/>
        <w:ind w:left="1107" w:right="1272" w:firstLine="2"/>
      </w:pPr>
      <w:r>
        <w:t>centrarse</w:t>
      </w:r>
      <w:r>
        <w:rPr>
          <w:spacing w:val="-3"/>
        </w:rPr>
        <w:t xml:space="preserve"> </w:t>
      </w:r>
      <w:r>
        <w:t>en</w:t>
      </w:r>
      <w:r>
        <w:rPr>
          <w:spacing w:val="-3"/>
        </w:rPr>
        <w:t xml:space="preserve"> </w:t>
      </w:r>
      <w:r>
        <w:t>si</w:t>
      </w:r>
      <w:r>
        <w:rPr>
          <w:spacing w:val="-3"/>
        </w:rPr>
        <w:t xml:space="preserve"> </w:t>
      </w:r>
      <w:r>
        <w:t>puede</w:t>
      </w:r>
      <w:r>
        <w:rPr>
          <w:spacing w:val="-3"/>
        </w:rPr>
        <w:t xml:space="preserve"> </w:t>
      </w:r>
      <w:r>
        <w:t>justificarse</w:t>
      </w:r>
      <w:r>
        <w:rPr>
          <w:spacing w:val="-3"/>
        </w:rPr>
        <w:t xml:space="preserve"> </w:t>
      </w:r>
      <w:r>
        <w:t>la</w:t>
      </w:r>
      <w:r>
        <w:rPr>
          <w:spacing w:val="-3"/>
        </w:rPr>
        <w:t xml:space="preserve"> </w:t>
      </w:r>
      <w:r>
        <w:t>falta</w:t>
      </w:r>
      <w:r>
        <w:rPr>
          <w:spacing w:val="-3"/>
        </w:rPr>
        <w:t xml:space="preserve"> </w:t>
      </w:r>
      <w:r>
        <w:t>de</w:t>
      </w:r>
      <w:r>
        <w:rPr>
          <w:spacing w:val="-3"/>
        </w:rPr>
        <w:t xml:space="preserve"> </w:t>
      </w:r>
      <w:r>
        <w:t>adaptación,</w:t>
      </w:r>
      <w:r>
        <w:rPr>
          <w:spacing w:val="-2"/>
        </w:rPr>
        <w:t xml:space="preserve"> </w:t>
      </w:r>
      <w:r>
        <w:t>como</w:t>
      </w:r>
      <w:r>
        <w:rPr>
          <w:spacing w:val="-3"/>
        </w:rPr>
        <w:t xml:space="preserve"> </w:t>
      </w:r>
      <w:r>
        <w:t>se</w:t>
      </w:r>
      <w:r>
        <w:rPr>
          <w:spacing w:val="-3"/>
        </w:rPr>
        <w:t xml:space="preserve"> </w:t>
      </w:r>
      <w:r>
        <w:t>analiza</w:t>
      </w:r>
      <w:r>
        <w:rPr>
          <w:spacing w:val="-3"/>
        </w:rPr>
        <w:t xml:space="preserve"> </w:t>
      </w:r>
      <w:r>
        <w:t>más</w:t>
      </w:r>
      <w:r>
        <w:rPr>
          <w:spacing w:val="-3"/>
        </w:rPr>
        <w:t xml:space="preserve"> </w:t>
      </w:r>
      <w:r>
        <w:t>detalladamente</w:t>
      </w:r>
      <w:r>
        <w:rPr>
          <w:spacing w:val="-3"/>
        </w:rPr>
        <w:t xml:space="preserve"> </w:t>
      </w:r>
      <w:r>
        <w:t>en</w:t>
      </w:r>
      <w:r>
        <w:rPr>
          <w:spacing w:val="-3"/>
        </w:rPr>
        <w:t xml:space="preserve"> </w:t>
      </w:r>
      <w:r>
        <w:t>la</w:t>
      </w:r>
      <w:r>
        <w:rPr>
          <w:spacing w:val="-3"/>
        </w:rPr>
        <w:t xml:space="preserve"> </w:t>
      </w:r>
      <w:r>
        <w:t>sección</w:t>
      </w:r>
      <w:r>
        <w:rPr>
          <w:spacing w:val="-3"/>
        </w:rPr>
        <w:t xml:space="preserve"> </w:t>
      </w:r>
      <w:r>
        <w:t>IA4(a)</w:t>
      </w:r>
      <w:r>
        <w:rPr>
          <w:spacing w:val="-3"/>
        </w:rPr>
        <w:t xml:space="preserve"> </w:t>
      </w:r>
      <w:r>
        <w:t>de</w:t>
      </w:r>
      <w:r>
        <w:rPr>
          <w:spacing w:val="-3"/>
        </w:rPr>
        <w:t xml:space="preserve"> </w:t>
      </w:r>
      <w:r>
        <w:t>la</w:t>
      </w:r>
      <w:r>
        <w:rPr>
          <w:spacing w:val="-3"/>
        </w:rPr>
        <w:t xml:space="preserve"> </w:t>
      </w:r>
      <w:r>
        <w:t>segunda parte de la presente guía.</w:t>
      </w:r>
    </w:p>
    <w:p w14:paraId="3E766A83" w14:textId="77777777" w:rsidR="0014798C" w:rsidRDefault="004E1F0B">
      <w:pPr>
        <w:numPr>
          <w:ilvl w:val="0"/>
          <w:numId w:val="71"/>
        </w:numPr>
        <w:tabs>
          <w:tab w:val="left" w:pos="1422"/>
        </w:tabs>
        <w:spacing w:before="184"/>
        <w:ind w:left="1422" w:hanging="307"/>
        <w:rPr>
          <w:sz w:val="20"/>
        </w:rPr>
      </w:pPr>
      <w:r>
        <w:rPr>
          <w:spacing w:val="-2"/>
          <w:sz w:val="20"/>
        </w:rPr>
        <w:t>Segregación</w:t>
      </w:r>
    </w:p>
    <w:p w14:paraId="5FE0FA35" w14:textId="77777777" w:rsidR="0014798C" w:rsidRDefault="0014798C">
      <w:pPr>
        <w:pStyle w:val="Textoindependiente"/>
        <w:spacing w:before="169"/>
      </w:pPr>
    </w:p>
    <w:p w14:paraId="54EBB332" w14:textId="77777777" w:rsidR="0014798C" w:rsidRDefault="004E1F0B">
      <w:pPr>
        <w:pStyle w:val="Textoindependiente"/>
        <w:ind w:left="1335"/>
      </w:pPr>
      <w:r>
        <w:rPr>
          <w:noProof/>
        </w:rPr>
        <w:drawing>
          <wp:anchor distT="0" distB="0" distL="0" distR="0" simplePos="0" relativeHeight="251658391" behindDoc="1" locked="0" layoutInCell="1" allowOverlap="1" wp14:anchorId="0AA76A0B" wp14:editId="539BDA32">
            <wp:simplePos x="0" y="0"/>
            <wp:positionH relativeFrom="page">
              <wp:posOffset>786199</wp:posOffset>
            </wp:positionH>
            <wp:positionV relativeFrom="paragraph">
              <wp:posOffset>-131619</wp:posOffset>
            </wp:positionV>
            <wp:extent cx="5975115" cy="4929208"/>
            <wp:effectExtent l="0" t="0" r="0" b="0"/>
            <wp:wrapNone/>
            <wp:docPr id="126" name="Image 12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26" name="Image 126"/>
                    <pic:cNvPicPr/>
                  </pic:nvPicPr>
                  <pic:blipFill>
                    <a:blip r:embed="rId122" cstate="print"/>
                    <a:stretch>
                      <a:fillRect/>
                    </a:stretch>
                  </pic:blipFill>
                  <pic:spPr>
                    <a:xfrm>
                      <a:off x="0" y="0"/>
                      <a:ext cx="5975115" cy="4929208"/>
                    </a:xfrm>
                    <a:prstGeom prst="rect">
                      <a:avLst/>
                    </a:prstGeom>
                  </pic:spPr>
                </pic:pic>
              </a:graphicData>
            </a:graphic>
          </wp:anchor>
        </w:drawing>
      </w:r>
      <w:r>
        <w:rPr>
          <w:color w:val="FFFFFF"/>
          <w:spacing w:val="-2"/>
        </w:rPr>
        <w:t>RESUMEN</w:t>
      </w:r>
    </w:p>
    <w:p w14:paraId="71466D3D" w14:textId="77777777" w:rsidR="0014798C" w:rsidRDefault="0014798C">
      <w:pPr>
        <w:pStyle w:val="Textoindependiente"/>
        <w:spacing w:before="150"/>
      </w:pPr>
    </w:p>
    <w:p w14:paraId="35D9A277" w14:textId="77777777" w:rsidR="0014798C" w:rsidRDefault="004E1F0B">
      <w:pPr>
        <w:pStyle w:val="Prrafodelista"/>
        <w:numPr>
          <w:ilvl w:val="1"/>
          <w:numId w:val="71"/>
        </w:numPr>
        <w:tabs>
          <w:tab w:val="left" w:pos="1458"/>
        </w:tabs>
        <w:ind w:left="1458" w:hanging="99"/>
        <w:rPr>
          <w:sz w:val="16"/>
        </w:rPr>
      </w:pPr>
      <w:r>
        <w:rPr>
          <w:sz w:val="16"/>
        </w:rPr>
        <w:t>Una</w:t>
      </w:r>
      <w:r>
        <w:rPr>
          <w:spacing w:val="-6"/>
          <w:sz w:val="16"/>
        </w:rPr>
        <w:t xml:space="preserve"> </w:t>
      </w:r>
      <w:r>
        <w:rPr>
          <w:sz w:val="16"/>
        </w:rPr>
        <w:t>legislación</w:t>
      </w:r>
      <w:r>
        <w:rPr>
          <w:spacing w:val="-6"/>
          <w:sz w:val="16"/>
        </w:rPr>
        <w:t xml:space="preserve"> </w:t>
      </w:r>
      <w:r>
        <w:rPr>
          <w:sz w:val="16"/>
        </w:rPr>
        <w:t>integral</w:t>
      </w:r>
      <w:r>
        <w:rPr>
          <w:spacing w:val="-6"/>
          <w:sz w:val="16"/>
        </w:rPr>
        <w:t xml:space="preserve"> </w:t>
      </w:r>
      <w:r>
        <w:rPr>
          <w:sz w:val="16"/>
        </w:rPr>
        <w:t>contra</w:t>
      </w:r>
      <w:r>
        <w:rPr>
          <w:spacing w:val="-6"/>
          <w:sz w:val="16"/>
        </w:rPr>
        <w:t xml:space="preserve"> </w:t>
      </w:r>
      <w:r>
        <w:rPr>
          <w:sz w:val="16"/>
        </w:rPr>
        <w:t>la</w:t>
      </w:r>
      <w:r>
        <w:rPr>
          <w:spacing w:val="-6"/>
          <w:sz w:val="16"/>
        </w:rPr>
        <w:t xml:space="preserve"> </w:t>
      </w:r>
      <w:r>
        <w:rPr>
          <w:sz w:val="16"/>
        </w:rPr>
        <w:t>discriminación</w:t>
      </w:r>
      <w:r>
        <w:rPr>
          <w:spacing w:val="-6"/>
          <w:sz w:val="16"/>
        </w:rPr>
        <w:t xml:space="preserve"> </w:t>
      </w:r>
      <w:r>
        <w:rPr>
          <w:sz w:val="16"/>
        </w:rPr>
        <w:t>debe</w:t>
      </w:r>
      <w:r>
        <w:rPr>
          <w:spacing w:val="-6"/>
          <w:sz w:val="16"/>
        </w:rPr>
        <w:t xml:space="preserve"> </w:t>
      </w:r>
      <w:r>
        <w:rPr>
          <w:sz w:val="16"/>
        </w:rPr>
        <w:t>prohibir</w:t>
      </w:r>
      <w:r>
        <w:rPr>
          <w:spacing w:val="-6"/>
          <w:sz w:val="16"/>
        </w:rPr>
        <w:t xml:space="preserve"> </w:t>
      </w:r>
      <w:r>
        <w:rPr>
          <w:sz w:val="16"/>
        </w:rPr>
        <w:t>la</w:t>
      </w:r>
      <w:r>
        <w:rPr>
          <w:spacing w:val="-6"/>
          <w:sz w:val="16"/>
        </w:rPr>
        <w:t xml:space="preserve"> </w:t>
      </w:r>
      <w:r>
        <w:rPr>
          <w:sz w:val="16"/>
        </w:rPr>
        <w:t>segregación.</w:t>
      </w:r>
      <w:r>
        <w:rPr>
          <w:spacing w:val="-5"/>
          <w:sz w:val="16"/>
        </w:rPr>
        <w:t xml:space="preserve"> </w:t>
      </w:r>
      <w:r>
        <w:rPr>
          <w:sz w:val="16"/>
        </w:rPr>
        <w:t>Debe</w:t>
      </w:r>
      <w:r>
        <w:rPr>
          <w:spacing w:val="-6"/>
          <w:sz w:val="16"/>
        </w:rPr>
        <w:t xml:space="preserve"> </w:t>
      </w:r>
      <w:r>
        <w:rPr>
          <w:sz w:val="16"/>
        </w:rPr>
        <w:t>definirse</w:t>
      </w:r>
      <w:r>
        <w:rPr>
          <w:spacing w:val="-6"/>
          <w:sz w:val="16"/>
        </w:rPr>
        <w:t xml:space="preserve"> </w:t>
      </w:r>
      <w:r>
        <w:rPr>
          <w:sz w:val="16"/>
        </w:rPr>
        <w:t>de</w:t>
      </w:r>
      <w:r>
        <w:rPr>
          <w:spacing w:val="-6"/>
          <w:sz w:val="16"/>
        </w:rPr>
        <w:t xml:space="preserve"> </w:t>
      </w:r>
      <w:r>
        <w:rPr>
          <w:sz w:val="16"/>
        </w:rPr>
        <w:t>la</w:t>
      </w:r>
      <w:r>
        <w:rPr>
          <w:spacing w:val="-6"/>
          <w:sz w:val="16"/>
        </w:rPr>
        <w:t xml:space="preserve"> </w:t>
      </w:r>
      <w:r>
        <w:rPr>
          <w:sz w:val="16"/>
        </w:rPr>
        <w:t>siguiente</w:t>
      </w:r>
      <w:r>
        <w:rPr>
          <w:spacing w:val="-5"/>
          <w:sz w:val="16"/>
        </w:rPr>
        <w:t xml:space="preserve"> </w:t>
      </w:r>
      <w:r>
        <w:rPr>
          <w:spacing w:val="-2"/>
          <w:sz w:val="16"/>
        </w:rPr>
        <w:t>manera:</w:t>
      </w:r>
    </w:p>
    <w:p w14:paraId="793A78E2" w14:textId="77777777" w:rsidR="0014798C" w:rsidRDefault="004E1F0B">
      <w:pPr>
        <w:pStyle w:val="Textoindependiente"/>
        <w:spacing w:before="122" w:line="326" w:lineRule="auto"/>
        <w:ind w:left="1956" w:right="1840" w:firstLine="5"/>
      </w:pPr>
      <w:r>
        <w:t>La segregación ocurre cuando las personas que comparten un terreno particular son, sin su consentimiento pleno,</w:t>
      </w:r>
      <w:r>
        <w:rPr>
          <w:spacing w:val="-3"/>
        </w:rPr>
        <w:t xml:space="preserve"> </w:t>
      </w:r>
      <w:r>
        <w:t>libre</w:t>
      </w:r>
      <w:r>
        <w:rPr>
          <w:spacing w:val="-4"/>
        </w:rPr>
        <w:t xml:space="preserve"> </w:t>
      </w:r>
      <w:r>
        <w:t>e</w:t>
      </w:r>
      <w:r>
        <w:rPr>
          <w:spacing w:val="-4"/>
        </w:rPr>
        <w:t xml:space="preserve"> </w:t>
      </w:r>
      <w:r>
        <w:t>informado,</w:t>
      </w:r>
      <w:r>
        <w:rPr>
          <w:spacing w:val="-3"/>
        </w:rPr>
        <w:t xml:space="preserve"> </w:t>
      </w:r>
      <w:r>
        <w:t>separadas</w:t>
      </w:r>
      <w:r>
        <w:rPr>
          <w:spacing w:val="-4"/>
        </w:rPr>
        <w:t xml:space="preserve"> </w:t>
      </w:r>
      <w:r>
        <w:t>y</w:t>
      </w:r>
      <w:r>
        <w:rPr>
          <w:spacing w:val="-4"/>
        </w:rPr>
        <w:t xml:space="preserve"> </w:t>
      </w:r>
      <w:r>
        <w:t>se</w:t>
      </w:r>
      <w:r>
        <w:rPr>
          <w:spacing w:val="-4"/>
        </w:rPr>
        <w:t xml:space="preserve"> </w:t>
      </w:r>
      <w:r>
        <w:t>les</w:t>
      </w:r>
      <w:r>
        <w:rPr>
          <w:spacing w:val="-4"/>
        </w:rPr>
        <w:t xml:space="preserve"> </w:t>
      </w:r>
      <w:r>
        <w:t>proporciona</w:t>
      </w:r>
      <w:r>
        <w:rPr>
          <w:spacing w:val="-4"/>
        </w:rPr>
        <w:t xml:space="preserve"> </w:t>
      </w:r>
      <w:r>
        <w:t>un</w:t>
      </w:r>
      <w:r>
        <w:rPr>
          <w:spacing w:val="-4"/>
        </w:rPr>
        <w:t xml:space="preserve"> </w:t>
      </w:r>
      <w:r>
        <w:t>acceso</w:t>
      </w:r>
      <w:r>
        <w:rPr>
          <w:spacing w:val="-4"/>
        </w:rPr>
        <w:t xml:space="preserve"> </w:t>
      </w:r>
      <w:r>
        <w:t>diferente</w:t>
      </w:r>
      <w:r>
        <w:rPr>
          <w:spacing w:val="-4"/>
        </w:rPr>
        <w:t xml:space="preserve"> </w:t>
      </w:r>
      <w:r>
        <w:t>a</w:t>
      </w:r>
      <w:r>
        <w:rPr>
          <w:spacing w:val="-4"/>
        </w:rPr>
        <w:t xml:space="preserve"> </w:t>
      </w:r>
      <w:r>
        <w:t>instituciones,</w:t>
      </w:r>
      <w:r>
        <w:rPr>
          <w:spacing w:val="-3"/>
        </w:rPr>
        <w:t xml:space="preserve"> </w:t>
      </w:r>
      <w:r>
        <w:t>bienes,</w:t>
      </w:r>
      <w:r>
        <w:rPr>
          <w:spacing w:val="-3"/>
        </w:rPr>
        <w:t xml:space="preserve"> </w:t>
      </w:r>
      <w:r>
        <w:t>servicios, derechos o al entorno físico. No puede haber consentimiento para la segregación racial.</w:t>
      </w:r>
    </w:p>
    <w:p w14:paraId="533C6525" w14:textId="77777777" w:rsidR="0014798C" w:rsidRDefault="0014798C">
      <w:pPr>
        <w:pStyle w:val="Textoindependiente"/>
      </w:pPr>
    </w:p>
    <w:p w14:paraId="4F011DC6" w14:textId="77777777" w:rsidR="0014798C" w:rsidRDefault="0014798C">
      <w:pPr>
        <w:pStyle w:val="Textoindependiente"/>
        <w:spacing w:before="84"/>
      </w:pPr>
    </w:p>
    <w:p w14:paraId="78E00CE4" w14:textId="77777777" w:rsidR="0014798C" w:rsidRDefault="004E1F0B">
      <w:pPr>
        <w:pStyle w:val="Textoindependiente"/>
        <w:spacing w:line="326" w:lineRule="auto"/>
        <w:ind w:left="1107" w:right="1239" w:hanging="1"/>
      </w:pPr>
      <w:r>
        <w:t xml:space="preserve">Aunque el término “segregación” no está definido explícitamente en ninguno de los tratados fundamentales de derechos humanos de las Naciones </w:t>
      </w:r>
      <w:proofErr w:type="gramStart"/>
      <w:r>
        <w:t>Unidas ,</w:t>
      </w:r>
      <w:proofErr w:type="gramEnd"/>
      <w:r>
        <w:t xml:space="preserve"> ha sido ampliamente reconocido como una forma grave de discriminación, que ocurre cuando personas que comparten una característica particular son separadas coercitivamente y se les proporciona un acceso diferente a las instituciones</w:t>
      </w:r>
      <w:proofErr w:type="gramStart"/>
      <w:r>
        <w:t>. ,</w:t>
      </w:r>
      <w:proofErr w:type="gramEnd"/>
      <w:r>
        <w:t xml:space="preserve"> bienes, servicios o derechos en comparación con otro grupo o con la población en general. La segregación generalmente –aunque no siempre– implica algún grado de separación, aislamiento o exclusión forzados u obligados. En la práctica, coerción o compulsión en este contexto significa la ausencia de consentimiento pleno, libre e informado de la persona o grupo</w:t>
      </w:r>
      <w:r>
        <w:rPr>
          <w:spacing w:val="-4"/>
        </w:rPr>
        <w:t xml:space="preserve"> </w:t>
      </w:r>
      <w:r>
        <w:t>involucrado.</w:t>
      </w:r>
      <w:r>
        <w:rPr>
          <w:spacing w:val="-3"/>
        </w:rPr>
        <w:t xml:space="preserve"> </w:t>
      </w:r>
      <w:r>
        <w:t>El</w:t>
      </w:r>
      <w:r>
        <w:rPr>
          <w:spacing w:val="-4"/>
        </w:rPr>
        <w:t xml:space="preserve"> </w:t>
      </w:r>
      <w:r>
        <w:t>consentimiento</w:t>
      </w:r>
      <w:r>
        <w:rPr>
          <w:spacing w:val="-4"/>
        </w:rPr>
        <w:t xml:space="preserve"> </w:t>
      </w:r>
      <w:r>
        <w:t>pleno,</w:t>
      </w:r>
      <w:r>
        <w:rPr>
          <w:spacing w:val="-3"/>
        </w:rPr>
        <w:t xml:space="preserve"> </w:t>
      </w:r>
      <w:r>
        <w:t>libre</w:t>
      </w:r>
      <w:r>
        <w:rPr>
          <w:spacing w:val="-4"/>
        </w:rPr>
        <w:t xml:space="preserve"> </w:t>
      </w:r>
      <w:r>
        <w:t>e</w:t>
      </w:r>
      <w:r>
        <w:rPr>
          <w:spacing w:val="-4"/>
        </w:rPr>
        <w:t xml:space="preserve"> </w:t>
      </w:r>
      <w:r>
        <w:t>informado</w:t>
      </w:r>
      <w:r>
        <w:rPr>
          <w:spacing w:val="-4"/>
        </w:rPr>
        <w:t xml:space="preserve"> </w:t>
      </w:r>
      <w:r>
        <w:t>debe</w:t>
      </w:r>
      <w:r>
        <w:rPr>
          <w:spacing w:val="-4"/>
        </w:rPr>
        <w:t xml:space="preserve"> </w:t>
      </w:r>
      <w:r>
        <w:t>garantizarse</w:t>
      </w:r>
      <w:r>
        <w:rPr>
          <w:spacing w:val="-4"/>
        </w:rPr>
        <w:t xml:space="preserve"> </w:t>
      </w:r>
      <w:r>
        <w:t>sin</w:t>
      </w:r>
      <w:r>
        <w:rPr>
          <w:spacing w:val="-4"/>
        </w:rPr>
        <w:t xml:space="preserve"> </w:t>
      </w:r>
      <w:r>
        <w:t>un</w:t>
      </w:r>
      <w:r>
        <w:rPr>
          <w:spacing w:val="-4"/>
        </w:rPr>
        <w:t xml:space="preserve"> </w:t>
      </w:r>
      <w:r>
        <w:t>entorno</w:t>
      </w:r>
      <w:r>
        <w:rPr>
          <w:spacing w:val="-4"/>
        </w:rPr>
        <w:t xml:space="preserve"> </w:t>
      </w:r>
      <w:r>
        <w:t>coercitivo</w:t>
      </w:r>
      <w:r>
        <w:rPr>
          <w:spacing w:val="-4"/>
        </w:rPr>
        <w:t xml:space="preserve"> </w:t>
      </w:r>
      <w:r>
        <w:t>y</w:t>
      </w:r>
      <w:r>
        <w:rPr>
          <w:spacing w:val="-4"/>
        </w:rPr>
        <w:t xml:space="preserve"> </w:t>
      </w:r>
      <w:r>
        <w:t>el</w:t>
      </w:r>
      <w:r>
        <w:rPr>
          <w:spacing w:val="-4"/>
        </w:rPr>
        <w:t xml:space="preserve"> </w:t>
      </w:r>
      <w:r>
        <w:t>consentimiento</w:t>
      </w:r>
      <w:r>
        <w:rPr>
          <w:spacing w:val="-4"/>
        </w:rPr>
        <w:t xml:space="preserve"> </w:t>
      </w:r>
      <w:r>
        <w:t>puede retirarse en cualquier momento.</w:t>
      </w:r>
    </w:p>
    <w:p w14:paraId="465B9079" w14:textId="77777777" w:rsidR="0014798C" w:rsidRDefault="004E1F0B">
      <w:pPr>
        <w:pStyle w:val="Textoindependiente"/>
        <w:spacing w:before="166" w:line="326" w:lineRule="auto"/>
        <w:ind w:left="1111" w:right="1272" w:hanging="8"/>
      </w:pPr>
      <w:r>
        <w:t>Si bien la segregación a menudo se considera en términos espaciales, también puede implicar medidas legales, políticas o consuetudinarias</w:t>
      </w:r>
      <w:r>
        <w:rPr>
          <w:spacing w:val="-4"/>
        </w:rPr>
        <w:t xml:space="preserve"> </w:t>
      </w:r>
      <w:r>
        <w:t>diseñadas</w:t>
      </w:r>
      <w:r>
        <w:rPr>
          <w:spacing w:val="-4"/>
        </w:rPr>
        <w:t xml:space="preserve"> </w:t>
      </w:r>
      <w:r>
        <w:t>para</w:t>
      </w:r>
      <w:r>
        <w:rPr>
          <w:spacing w:val="-4"/>
        </w:rPr>
        <w:t xml:space="preserve"> </w:t>
      </w:r>
      <w:r>
        <w:t>imponer</w:t>
      </w:r>
      <w:r>
        <w:rPr>
          <w:spacing w:val="-4"/>
        </w:rPr>
        <w:t xml:space="preserve"> </w:t>
      </w:r>
      <w:r>
        <w:t>otras</w:t>
      </w:r>
      <w:r>
        <w:rPr>
          <w:spacing w:val="-4"/>
        </w:rPr>
        <w:t xml:space="preserve"> </w:t>
      </w:r>
      <w:r>
        <w:t>formas</w:t>
      </w:r>
      <w:r>
        <w:rPr>
          <w:spacing w:val="-4"/>
        </w:rPr>
        <w:t xml:space="preserve"> </w:t>
      </w:r>
      <w:r>
        <w:t>de</w:t>
      </w:r>
      <w:r>
        <w:rPr>
          <w:spacing w:val="-4"/>
        </w:rPr>
        <w:t xml:space="preserve"> </w:t>
      </w:r>
      <w:r>
        <w:t>separación.</w:t>
      </w:r>
      <w:r>
        <w:rPr>
          <w:spacing w:val="-3"/>
        </w:rPr>
        <w:t xml:space="preserve"> </w:t>
      </w:r>
      <w:r>
        <w:t>Así,</w:t>
      </w:r>
      <w:r>
        <w:rPr>
          <w:spacing w:val="-4"/>
        </w:rPr>
        <w:t xml:space="preserve"> </w:t>
      </w:r>
      <w:r>
        <w:t>por</w:t>
      </w:r>
      <w:r>
        <w:rPr>
          <w:spacing w:val="-4"/>
        </w:rPr>
        <w:t xml:space="preserve"> </w:t>
      </w:r>
      <w:r>
        <w:t>ejemplo,</w:t>
      </w:r>
      <w:r>
        <w:rPr>
          <w:spacing w:val="-3"/>
        </w:rPr>
        <w:t xml:space="preserve"> </w:t>
      </w:r>
      <w:r>
        <w:t>en</w:t>
      </w:r>
      <w:r>
        <w:rPr>
          <w:spacing w:val="-4"/>
        </w:rPr>
        <w:t xml:space="preserve"> </w:t>
      </w:r>
      <w:r>
        <w:t>el</w:t>
      </w:r>
      <w:r>
        <w:rPr>
          <w:spacing w:val="-4"/>
        </w:rPr>
        <w:t xml:space="preserve"> </w:t>
      </w:r>
      <w:r>
        <w:t>famoso</w:t>
      </w:r>
      <w:r>
        <w:rPr>
          <w:spacing w:val="-4"/>
        </w:rPr>
        <w:t xml:space="preserve"> </w:t>
      </w:r>
      <w:r>
        <w:t>caso</w:t>
      </w:r>
      <w:r>
        <w:rPr>
          <w:spacing w:val="-4"/>
        </w:rPr>
        <w:t xml:space="preserve"> </w:t>
      </w:r>
      <w:proofErr w:type="spellStart"/>
      <w:r>
        <w:t>Loving</w:t>
      </w:r>
      <w:proofErr w:type="spellEnd"/>
      <w:r>
        <w:rPr>
          <w:spacing w:val="-4"/>
        </w:rPr>
        <w:t xml:space="preserve"> </w:t>
      </w:r>
      <w:r>
        <w:t>v.</w:t>
      </w:r>
      <w:r>
        <w:rPr>
          <w:spacing w:val="-4"/>
        </w:rPr>
        <w:t xml:space="preserve"> </w:t>
      </w:r>
      <w:r>
        <w:t>Virginia,</w:t>
      </w:r>
    </w:p>
    <w:p w14:paraId="41C23F5C" w14:textId="77777777" w:rsidR="0014798C" w:rsidRDefault="004E1F0B">
      <w:pPr>
        <w:pStyle w:val="Textoindependiente"/>
        <w:spacing w:line="326" w:lineRule="auto"/>
        <w:ind w:left="1107" w:right="1272" w:hanging="1"/>
      </w:pPr>
      <w:r>
        <w:t>la Corte Suprema de los Estados Unidos dictaminó que las leyes que prohibían el matrimonio interracial –y por tanto imponían la segregación</w:t>
      </w:r>
      <w:r>
        <w:rPr>
          <w:spacing w:val="-3"/>
        </w:rPr>
        <w:t xml:space="preserve"> </w:t>
      </w:r>
      <w:r>
        <w:t>racial</w:t>
      </w:r>
      <w:r>
        <w:rPr>
          <w:spacing w:val="-3"/>
        </w:rPr>
        <w:t xml:space="preserve"> </w:t>
      </w:r>
      <w:r>
        <w:t>en</w:t>
      </w:r>
      <w:r>
        <w:rPr>
          <w:spacing w:val="-3"/>
        </w:rPr>
        <w:t xml:space="preserve"> </w:t>
      </w:r>
      <w:r>
        <w:t>las</w:t>
      </w:r>
      <w:r>
        <w:rPr>
          <w:spacing w:val="-3"/>
        </w:rPr>
        <w:t xml:space="preserve"> </w:t>
      </w:r>
      <w:r>
        <w:t>relaciones</w:t>
      </w:r>
      <w:r>
        <w:rPr>
          <w:spacing w:val="-3"/>
        </w:rPr>
        <w:t xml:space="preserve"> </w:t>
      </w:r>
      <w:r>
        <w:t>familiares–</w:t>
      </w:r>
      <w:r>
        <w:rPr>
          <w:spacing w:val="-3"/>
        </w:rPr>
        <w:t xml:space="preserve"> </w:t>
      </w:r>
      <w:r>
        <w:t>violaban</w:t>
      </w:r>
      <w:r>
        <w:rPr>
          <w:spacing w:val="-3"/>
        </w:rPr>
        <w:t xml:space="preserve"> </w:t>
      </w:r>
      <w:r>
        <w:t>la</w:t>
      </w:r>
      <w:r>
        <w:rPr>
          <w:spacing w:val="-3"/>
        </w:rPr>
        <w:t xml:space="preserve"> </w:t>
      </w:r>
      <w:r>
        <w:t>igualdad</w:t>
      </w:r>
      <w:r>
        <w:rPr>
          <w:spacing w:val="-3"/>
        </w:rPr>
        <w:t xml:space="preserve"> </w:t>
      </w:r>
      <w:r>
        <w:t>constitucional,</w:t>
      </w:r>
      <w:r>
        <w:rPr>
          <w:spacing w:val="-1"/>
        </w:rPr>
        <w:t xml:space="preserve"> </w:t>
      </w:r>
      <w:r>
        <w:t>la</w:t>
      </w:r>
      <w:r>
        <w:rPr>
          <w:spacing w:val="-3"/>
        </w:rPr>
        <w:t xml:space="preserve"> </w:t>
      </w:r>
      <w:r>
        <w:t>igualdad</w:t>
      </w:r>
      <w:r>
        <w:rPr>
          <w:spacing w:val="-3"/>
        </w:rPr>
        <w:t xml:space="preserve"> </w:t>
      </w:r>
      <w:r>
        <w:t>de</w:t>
      </w:r>
      <w:r>
        <w:rPr>
          <w:spacing w:val="-3"/>
        </w:rPr>
        <w:t xml:space="preserve"> </w:t>
      </w:r>
      <w:r>
        <w:t>protección</w:t>
      </w:r>
      <w:r>
        <w:rPr>
          <w:spacing w:val="-3"/>
        </w:rPr>
        <w:t xml:space="preserve"> </w:t>
      </w:r>
      <w:r>
        <w:t>y</w:t>
      </w:r>
      <w:r>
        <w:rPr>
          <w:spacing w:val="-3"/>
        </w:rPr>
        <w:t xml:space="preserve"> </w:t>
      </w:r>
      <w:r>
        <w:t>las</w:t>
      </w:r>
      <w:r>
        <w:rPr>
          <w:spacing w:val="-3"/>
        </w:rPr>
        <w:t xml:space="preserve"> </w:t>
      </w:r>
      <w:r>
        <w:t>garantías</w:t>
      </w:r>
      <w:r>
        <w:rPr>
          <w:spacing w:val="-3"/>
        </w:rPr>
        <w:t xml:space="preserve"> </w:t>
      </w:r>
      <w:r>
        <w:t>de</w:t>
      </w:r>
      <w:r>
        <w:rPr>
          <w:spacing w:val="-3"/>
        </w:rPr>
        <w:t xml:space="preserve"> </w:t>
      </w:r>
      <w:r>
        <w:t xml:space="preserve">no </w:t>
      </w:r>
      <w:r>
        <w:rPr>
          <w:spacing w:val="-2"/>
        </w:rPr>
        <w:t>discriminación.308</w:t>
      </w:r>
    </w:p>
    <w:p w14:paraId="54057840" w14:textId="77777777" w:rsidR="0014798C" w:rsidRDefault="004E1F0B">
      <w:pPr>
        <w:pStyle w:val="Textoindependiente"/>
        <w:spacing w:before="168" w:line="324" w:lineRule="auto"/>
        <w:ind w:left="1107" w:right="1272" w:hanging="1"/>
      </w:pPr>
      <w:r>
        <w:t>La</w:t>
      </w:r>
      <w:r>
        <w:rPr>
          <w:spacing w:val="-2"/>
        </w:rPr>
        <w:t xml:space="preserve"> </w:t>
      </w:r>
      <w:r>
        <w:t>prohibición</w:t>
      </w:r>
      <w:r>
        <w:rPr>
          <w:spacing w:val="-2"/>
        </w:rPr>
        <w:t xml:space="preserve"> </w:t>
      </w:r>
      <w:r>
        <w:t>de</w:t>
      </w:r>
      <w:r>
        <w:rPr>
          <w:spacing w:val="-2"/>
        </w:rPr>
        <w:t xml:space="preserve"> </w:t>
      </w:r>
      <w:r>
        <w:t>la</w:t>
      </w:r>
      <w:r>
        <w:rPr>
          <w:spacing w:val="-2"/>
        </w:rPr>
        <w:t xml:space="preserve"> </w:t>
      </w:r>
      <w:r>
        <w:t>segregación</w:t>
      </w:r>
      <w:r>
        <w:rPr>
          <w:spacing w:val="-2"/>
        </w:rPr>
        <w:t xml:space="preserve"> </w:t>
      </w:r>
      <w:r>
        <w:t>se</w:t>
      </w:r>
      <w:r>
        <w:rPr>
          <w:spacing w:val="-2"/>
        </w:rPr>
        <w:t xml:space="preserve"> </w:t>
      </w:r>
      <w:r>
        <w:t>desarrolló</w:t>
      </w:r>
      <w:r>
        <w:rPr>
          <w:spacing w:val="-2"/>
        </w:rPr>
        <w:t xml:space="preserve"> </w:t>
      </w:r>
      <w:r>
        <w:t>principalmente</w:t>
      </w:r>
      <w:r>
        <w:rPr>
          <w:spacing w:val="-2"/>
        </w:rPr>
        <w:t xml:space="preserve"> </w:t>
      </w:r>
      <w:r>
        <w:t>en</w:t>
      </w:r>
      <w:r>
        <w:rPr>
          <w:spacing w:val="-2"/>
        </w:rPr>
        <w:t xml:space="preserve"> </w:t>
      </w:r>
      <w:r>
        <w:t>el</w:t>
      </w:r>
      <w:r>
        <w:rPr>
          <w:spacing w:val="-2"/>
        </w:rPr>
        <w:t xml:space="preserve"> </w:t>
      </w:r>
      <w:r>
        <w:t>contexto</w:t>
      </w:r>
      <w:r>
        <w:rPr>
          <w:spacing w:val="-2"/>
        </w:rPr>
        <w:t xml:space="preserve"> </w:t>
      </w:r>
      <w:r>
        <w:t>de</w:t>
      </w:r>
      <w:r>
        <w:rPr>
          <w:spacing w:val="-2"/>
        </w:rPr>
        <w:t xml:space="preserve"> </w:t>
      </w:r>
      <w:r>
        <w:t>la</w:t>
      </w:r>
      <w:r>
        <w:rPr>
          <w:spacing w:val="-2"/>
        </w:rPr>
        <w:t xml:space="preserve"> </w:t>
      </w:r>
      <w:r>
        <w:t>segregación</w:t>
      </w:r>
      <w:r>
        <w:rPr>
          <w:spacing w:val="-2"/>
        </w:rPr>
        <w:t xml:space="preserve"> </w:t>
      </w:r>
      <w:r>
        <w:t>racial</w:t>
      </w:r>
      <w:r>
        <w:rPr>
          <w:spacing w:val="-2"/>
        </w:rPr>
        <w:t xml:space="preserve"> </w:t>
      </w:r>
      <w:r>
        <w:t>y</w:t>
      </w:r>
      <w:r>
        <w:rPr>
          <w:spacing w:val="-2"/>
        </w:rPr>
        <w:t xml:space="preserve"> </w:t>
      </w:r>
      <w:r>
        <w:t>está</w:t>
      </w:r>
      <w:r>
        <w:rPr>
          <w:spacing w:val="-2"/>
        </w:rPr>
        <w:t xml:space="preserve"> </w:t>
      </w:r>
      <w:r>
        <w:t>claramente</w:t>
      </w:r>
      <w:r>
        <w:rPr>
          <w:spacing w:val="-2"/>
        </w:rPr>
        <w:t xml:space="preserve"> </w:t>
      </w:r>
      <w:r>
        <w:t>establecido que la segregación está prohibida por este motivo y por motivos relacionados, incluida la casta.309 Actualmente también existe un amplio</w:t>
      </w:r>
      <w:r>
        <w:rPr>
          <w:spacing w:val="-1"/>
        </w:rPr>
        <w:t xml:space="preserve"> </w:t>
      </w:r>
      <w:r>
        <w:t>reconocimiento</w:t>
      </w:r>
      <w:r>
        <w:rPr>
          <w:spacing w:val="-1"/>
        </w:rPr>
        <w:t xml:space="preserve"> </w:t>
      </w:r>
      <w:r>
        <w:t>de</w:t>
      </w:r>
      <w:r>
        <w:rPr>
          <w:spacing w:val="-1"/>
        </w:rPr>
        <w:t xml:space="preserve"> </w:t>
      </w:r>
      <w:r>
        <w:t>que</w:t>
      </w:r>
      <w:r>
        <w:rPr>
          <w:spacing w:val="-1"/>
        </w:rPr>
        <w:t xml:space="preserve"> </w:t>
      </w:r>
      <w:r>
        <w:t>la</w:t>
      </w:r>
      <w:r>
        <w:rPr>
          <w:spacing w:val="-1"/>
        </w:rPr>
        <w:t xml:space="preserve"> </w:t>
      </w:r>
      <w:r>
        <w:t>segregación</w:t>
      </w:r>
      <w:r>
        <w:rPr>
          <w:spacing w:val="-1"/>
        </w:rPr>
        <w:t xml:space="preserve"> </w:t>
      </w:r>
      <w:r>
        <w:t>es</w:t>
      </w:r>
      <w:r>
        <w:rPr>
          <w:spacing w:val="-1"/>
        </w:rPr>
        <w:t xml:space="preserve"> </w:t>
      </w:r>
      <w:r>
        <w:t>una</w:t>
      </w:r>
      <w:r>
        <w:rPr>
          <w:spacing w:val="-1"/>
        </w:rPr>
        <w:t xml:space="preserve"> </w:t>
      </w:r>
      <w:r>
        <w:t>forma</w:t>
      </w:r>
      <w:r>
        <w:rPr>
          <w:spacing w:val="-1"/>
        </w:rPr>
        <w:t xml:space="preserve"> </w:t>
      </w:r>
      <w:r>
        <w:t>de</w:t>
      </w:r>
      <w:r>
        <w:rPr>
          <w:spacing w:val="-1"/>
        </w:rPr>
        <w:t xml:space="preserve"> </w:t>
      </w:r>
      <w:r>
        <w:t>conducta</w:t>
      </w:r>
      <w:r>
        <w:rPr>
          <w:spacing w:val="-1"/>
        </w:rPr>
        <w:t xml:space="preserve"> </w:t>
      </w:r>
      <w:r>
        <w:t>prohibida</w:t>
      </w:r>
      <w:r>
        <w:rPr>
          <w:spacing w:val="-1"/>
        </w:rPr>
        <w:t xml:space="preserve"> </w:t>
      </w:r>
      <w:r>
        <w:t>que</w:t>
      </w:r>
      <w:r>
        <w:rPr>
          <w:spacing w:val="-1"/>
        </w:rPr>
        <w:t xml:space="preserve"> </w:t>
      </w:r>
      <w:r>
        <w:t>puede</w:t>
      </w:r>
      <w:r>
        <w:rPr>
          <w:spacing w:val="-1"/>
        </w:rPr>
        <w:t xml:space="preserve"> </w:t>
      </w:r>
      <w:r>
        <w:t>surgen</w:t>
      </w:r>
      <w:r>
        <w:rPr>
          <w:spacing w:val="-1"/>
        </w:rPr>
        <w:t xml:space="preserve"> </w:t>
      </w:r>
      <w:r>
        <w:t>respecto</w:t>
      </w:r>
      <w:r>
        <w:rPr>
          <w:spacing w:val="-1"/>
        </w:rPr>
        <w:t xml:space="preserve"> </w:t>
      </w:r>
      <w:r>
        <w:t>de</w:t>
      </w:r>
      <w:r>
        <w:rPr>
          <w:spacing w:val="-1"/>
        </w:rPr>
        <w:t xml:space="preserve"> </w:t>
      </w:r>
      <w:r>
        <w:t>diversos</w:t>
      </w:r>
      <w:r>
        <w:rPr>
          <w:spacing w:val="-1"/>
        </w:rPr>
        <w:t xml:space="preserve"> </w:t>
      </w:r>
      <w:r>
        <w:t>motivos de discriminación o por motivos múltiples o interseccionales. Además de la discriminación racial, los mecanismos de derechos humanos de las Naciones Unidas han planteado preocupaciones relacionadas con la segregación con respecto a la edad310. discapacidad,311</w:t>
      </w:r>
      <w:r>
        <w:rPr>
          <w:spacing w:val="25"/>
        </w:rPr>
        <w:t xml:space="preserve"> </w:t>
      </w:r>
      <w:r>
        <w:t>identidad</w:t>
      </w:r>
      <w:r>
        <w:rPr>
          <w:spacing w:val="25"/>
        </w:rPr>
        <w:t xml:space="preserve"> </w:t>
      </w:r>
      <w:r>
        <w:t>de</w:t>
      </w:r>
      <w:r>
        <w:rPr>
          <w:spacing w:val="25"/>
        </w:rPr>
        <w:t xml:space="preserve"> </w:t>
      </w:r>
      <w:r>
        <w:t>género</w:t>
      </w:r>
      <w:r>
        <w:rPr>
          <w:spacing w:val="25"/>
        </w:rPr>
        <w:t xml:space="preserve"> </w:t>
      </w:r>
      <w:r>
        <w:t>y</w:t>
      </w:r>
      <w:r>
        <w:rPr>
          <w:spacing w:val="25"/>
        </w:rPr>
        <w:t xml:space="preserve"> </w:t>
      </w:r>
      <w:r>
        <w:t>expresión</w:t>
      </w:r>
      <w:r>
        <w:rPr>
          <w:spacing w:val="25"/>
        </w:rPr>
        <w:t xml:space="preserve"> </w:t>
      </w:r>
      <w:r>
        <w:t>de</w:t>
      </w:r>
      <w:r>
        <w:rPr>
          <w:spacing w:val="25"/>
        </w:rPr>
        <w:t xml:space="preserve"> </w:t>
      </w:r>
      <w:r>
        <w:t>género,312</w:t>
      </w:r>
      <w:r>
        <w:rPr>
          <w:spacing w:val="25"/>
        </w:rPr>
        <w:t xml:space="preserve"> </w:t>
      </w:r>
      <w:r>
        <w:t>sexo313</w:t>
      </w:r>
      <w:r>
        <w:rPr>
          <w:spacing w:val="25"/>
        </w:rPr>
        <w:t xml:space="preserve"> </w:t>
      </w:r>
      <w:r>
        <w:t>y</w:t>
      </w:r>
      <w:r>
        <w:rPr>
          <w:spacing w:val="25"/>
        </w:rPr>
        <w:t xml:space="preserve"> </w:t>
      </w:r>
      <w:r>
        <w:t>orientación</w:t>
      </w:r>
      <w:r>
        <w:rPr>
          <w:spacing w:val="25"/>
        </w:rPr>
        <w:t xml:space="preserve"> </w:t>
      </w:r>
      <w:r>
        <w:t>sexual.314</w:t>
      </w:r>
      <w:r>
        <w:rPr>
          <w:spacing w:val="25"/>
        </w:rPr>
        <w:t xml:space="preserve"> </w:t>
      </w:r>
      <w:r>
        <w:t>El</w:t>
      </w:r>
      <w:r>
        <w:rPr>
          <w:spacing w:val="25"/>
        </w:rPr>
        <w:t xml:space="preserve"> </w:t>
      </w:r>
      <w:r>
        <w:t>Experto</w:t>
      </w:r>
      <w:r>
        <w:rPr>
          <w:spacing w:val="25"/>
        </w:rPr>
        <w:t xml:space="preserve"> </w:t>
      </w:r>
      <w:r>
        <w:t>Independiente</w:t>
      </w:r>
    </w:p>
    <w:p w14:paraId="70E30231" w14:textId="77777777" w:rsidR="0014798C" w:rsidRDefault="0014798C">
      <w:pPr>
        <w:pStyle w:val="Textoindependiente"/>
        <w:rPr>
          <w:sz w:val="11"/>
        </w:rPr>
      </w:pPr>
    </w:p>
    <w:p w14:paraId="4FD814ED" w14:textId="77777777" w:rsidR="0014798C" w:rsidRDefault="0014798C">
      <w:pPr>
        <w:pStyle w:val="Textoindependiente"/>
        <w:rPr>
          <w:sz w:val="11"/>
        </w:rPr>
      </w:pPr>
    </w:p>
    <w:p w14:paraId="2FA79D25" w14:textId="77777777" w:rsidR="0014798C" w:rsidRDefault="0014798C">
      <w:pPr>
        <w:pStyle w:val="Textoindependiente"/>
        <w:rPr>
          <w:sz w:val="11"/>
        </w:rPr>
      </w:pPr>
    </w:p>
    <w:p w14:paraId="4C444E23" w14:textId="77777777" w:rsidR="0014798C" w:rsidRDefault="0014798C">
      <w:pPr>
        <w:pStyle w:val="Textoindependiente"/>
        <w:rPr>
          <w:sz w:val="11"/>
        </w:rPr>
      </w:pPr>
    </w:p>
    <w:p w14:paraId="7376694E" w14:textId="77777777" w:rsidR="0014798C" w:rsidRDefault="0014798C">
      <w:pPr>
        <w:pStyle w:val="Textoindependiente"/>
        <w:spacing w:before="17"/>
        <w:rPr>
          <w:sz w:val="11"/>
        </w:rPr>
      </w:pPr>
    </w:p>
    <w:p w14:paraId="20B2D850" w14:textId="77777777" w:rsidR="0014798C" w:rsidRDefault="004E1F0B">
      <w:pPr>
        <w:pStyle w:val="Prrafodelista"/>
        <w:numPr>
          <w:ilvl w:val="0"/>
          <w:numId w:val="72"/>
        </w:numPr>
        <w:tabs>
          <w:tab w:val="left" w:pos="1317"/>
        </w:tabs>
        <w:ind w:left="1317" w:hanging="210"/>
        <w:rPr>
          <w:sz w:val="11"/>
        </w:rPr>
      </w:pPr>
      <w:proofErr w:type="spellStart"/>
      <w:r>
        <w:rPr>
          <w:spacing w:val="-2"/>
          <w:sz w:val="11"/>
        </w:rPr>
        <w:t>Ibíd</w:t>
      </w:r>
      <w:proofErr w:type="spellEnd"/>
      <w:r>
        <w:rPr>
          <w:spacing w:val="-2"/>
          <w:sz w:val="11"/>
        </w:rPr>
        <w:t>.,</w:t>
      </w:r>
      <w:r>
        <w:rPr>
          <w:spacing w:val="3"/>
          <w:sz w:val="11"/>
        </w:rPr>
        <w:t xml:space="preserve"> </w:t>
      </w:r>
      <w:r>
        <w:rPr>
          <w:spacing w:val="-2"/>
          <w:sz w:val="11"/>
        </w:rPr>
        <w:t>párr.</w:t>
      </w:r>
      <w:r>
        <w:rPr>
          <w:spacing w:val="3"/>
          <w:sz w:val="11"/>
        </w:rPr>
        <w:t xml:space="preserve"> </w:t>
      </w:r>
      <w:r>
        <w:rPr>
          <w:spacing w:val="-2"/>
          <w:sz w:val="11"/>
        </w:rPr>
        <w:t>25(a).</w:t>
      </w:r>
    </w:p>
    <w:p w14:paraId="08213C06" w14:textId="77777777" w:rsidR="0014798C" w:rsidRDefault="004E1F0B">
      <w:pPr>
        <w:pStyle w:val="Prrafodelista"/>
        <w:numPr>
          <w:ilvl w:val="0"/>
          <w:numId w:val="72"/>
        </w:numPr>
        <w:tabs>
          <w:tab w:val="left" w:pos="1317"/>
        </w:tabs>
        <w:spacing w:before="110"/>
        <w:ind w:left="1317" w:hanging="210"/>
        <w:rPr>
          <w:sz w:val="11"/>
        </w:rPr>
      </w:pPr>
      <w:proofErr w:type="spellStart"/>
      <w:r>
        <w:rPr>
          <w:sz w:val="11"/>
        </w:rPr>
        <w:t>Ibíd</w:t>
      </w:r>
      <w:proofErr w:type="spellEnd"/>
      <w:r>
        <w:rPr>
          <w:sz w:val="11"/>
        </w:rPr>
        <w:t>.,</w:t>
      </w:r>
      <w:r>
        <w:rPr>
          <w:spacing w:val="-7"/>
          <w:sz w:val="11"/>
        </w:rPr>
        <w:t xml:space="preserve"> </w:t>
      </w:r>
      <w:r>
        <w:rPr>
          <w:sz w:val="11"/>
        </w:rPr>
        <w:t>párr.</w:t>
      </w:r>
      <w:r>
        <w:rPr>
          <w:spacing w:val="-6"/>
          <w:sz w:val="11"/>
        </w:rPr>
        <w:t xml:space="preserve"> </w:t>
      </w:r>
      <w:r>
        <w:rPr>
          <w:sz w:val="11"/>
        </w:rPr>
        <w:t>25</w:t>
      </w:r>
      <w:r>
        <w:rPr>
          <w:spacing w:val="-6"/>
          <w:sz w:val="11"/>
        </w:rPr>
        <w:t xml:space="preserve"> </w:t>
      </w:r>
      <w:r>
        <w:rPr>
          <w:spacing w:val="-4"/>
          <w:sz w:val="11"/>
        </w:rPr>
        <w:t>(b).</w:t>
      </w:r>
    </w:p>
    <w:p w14:paraId="7E08662D" w14:textId="77777777" w:rsidR="0014798C" w:rsidRDefault="0014798C">
      <w:pPr>
        <w:rPr>
          <w:sz w:val="11"/>
        </w:rPr>
        <w:sectPr w:rsidR="0014798C" w:rsidSect="00F265E4">
          <w:pgSz w:w="11900" w:h="16820"/>
          <w:pgMar w:top="340" w:right="0" w:bottom="280" w:left="200" w:header="121" w:footer="0" w:gutter="0"/>
          <w:cols w:space="720"/>
        </w:sectPr>
      </w:pPr>
    </w:p>
    <w:p w14:paraId="2344CECD" w14:textId="77777777" w:rsidR="0014798C" w:rsidRDefault="004E1F0B">
      <w:pPr>
        <w:spacing w:before="55"/>
        <w:jc w:val="right"/>
        <w:rPr>
          <w:sz w:val="8"/>
        </w:rPr>
      </w:pPr>
      <w:r>
        <w:rPr>
          <w:spacing w:val="-5"/>
          <w:w w:val="105"/>
          <w:sz w:val="8"/>
        </w:rPr>
        <w:t>308</w:t>
      </w:r>
    </w:p>
    <w:p w14:paraId="21BE4B18" w14:textId="77777777" w:rsidR="0014798C" w:rsidRDefault="004E1F0B">
      <w:pPr>
        <w:spacing w:before="77"/>
        <w:ind w:left="78"/>
        <w:rPr>
          <w:sz w:val="12"/>
        </w:rPr>
      </w:pPr>
      <w:r>
        <w:br w:type="column"/>
      </w:r>
      <w:proofErr w:type="spellStart"/>
      <w:r>
        <w:rPr>
          <w:sz w:val="12"/>
        </w:rPr>
        <w:t>Loving</w:t>
      </w:r>
      <w:proofErr w:type="spellEnd"/>
      <w:r>
        <w:rPr>
          <w:spacing w:val="1"/>
          <w:sz w:val="12"/>
        </w:rPr>
        <w:t xml:space="preserve"> </w:t>
      </w:r>
      <w:r>
        <w:rPr>
          <w:sz w:val="12"/>
        </w:rPr>
        <w:t>contra</w:t>
      </w:r>
      <w:r>
        <w:rPr>
          <w:spacing w:val="2"/>
          <w:sz w:val="12"/>
        </w:rPr>
        <w:t xml:space="preserve"> </w:t>
      </w:r>
      <w:r>
        <w:rPr>
          <w:sz w:val="12"/>
        </w:rPr>
        <w:t>Virginia,</w:t>
      </w:r>
      <w:r>
        <w:rPr>
          <w:spacing w:val="2"/>
          <w:sz w:val="12"/>
        </w:rPr>
        <w:t xml:space="preserve"> </w:t>
      </w:r>
      <w:r>
        <w:rPr>
          <w:sz w:val="12"/>
        </w:rPr>
        <w:t>388</w:t>
      </w:r>
      <w:r>
        <w:rPr>
          <w:spacing w:val="2"/>
          <w:sz w:val="12"/>
        </w:rPr>
        <w:t xml:space="preserve"> </w:t>
      </w:r>
      <w:r>
        <w:rPr>
          <w:sz w:val="12"/>
        </w:rPr>
        <w:t>US</w:t>
      </w:r>
      <w:r>
        <w:rPr>
          <w:spacing w:val="2"/>
          <w:sz w:val="12"/>
        </w:rPr>
        <w:t xml:space="preserve"> </w:t>
      </w:r>
      <w:r>
        <w:rPr>
          <w:sz w:val="12"/>
        </w:rPr>
        <w:t>1,</w:t>
      </w:r>
      <w:r>
        <w:rPr>
          <w:spacing w:val="1"/>
          <w:sz w:val="12"/>
        </w:rPr>
        <w:t xml:space="preserve"> </w:t>
      </w:r>
      <w:r>
        <w:rPr>
          <w:spacing w:val="-2"/>
          <w:sz w:val="12"/>
        </w:rPr>
        <w:t>1967.</w:t>
      </w:r>
    </w:p>
    <w:p w14:paraId="1C53892D" w14:textId="77777777" w:rsidR="0014798C" w:rsidRDefault="0014798C">
      <w:pPr>
        <w:rPr>
          <w:sz w:val="12"/>
        </w:rPr>
        <w:sectPr w:rsidR="0014798C" w:rsidSect="00F265E4">
          <w:type w:val="continuous"/>
          <w:pgSz w:w="11900" w:h="16820"/>
          <w:pgMar w:top="40" w:right="0" w:bottom="280" w:left="200" w:header="121" w:footer="0" w:gutter="0"/>
          <w:cols w:num="2" w:space="720" w:equalWidth="0">
            <w:col w:w="1250" w:space="40"/>
            <w:col w:w="10410"/>
          </w:cols>
        </w:sectPr>
      </w:pPr>
    </w:p>
    <w:p w14:paraId="4BC23254" w14:textId="77777777" w:rsidR="0014798C" w:rsidRDefault="0014798C">
      <w:pPr>
        <w:pStyle w:val="Textoindependiente"/>
        <w:spacing w:before="5"/>
        <w:rPr>
          <w:sz w:val="11"/>
        </w:rPr>
      </w:pPr>
    </w:p>
    <w:p w14:paraId="74119615" w14:textId="77777777" w:rsidR="0014798C" w:rsidRDefault="004E1F0B">
      <w:pPr>
        <w:ind w:left="1107"/>
        <w:rPr>
          <w:sz w:val="11"/>
        </w:rPr>
      </w:pPr>
      <w:r>
        <w:rPr>
          <w:spacing w:val="-2"/>
          <w:sz w:val="11"/>
        </w:rPr>
        <w:t>309</w:t>
      </w:r>
      <w:r>
        <w:rPr>
          <w:spacing w:val="3"/>
          <w:sz w:val="11"/>
        </w:rPr>
        <w:t xml:space="preserve"> </w:t>
      </w:r>
      <w:r>
        <w:rPr>
          <w:spacing w:val="-2"/>
          <w:sz w:val="11"/>
        </w:rPr>
        <w:t>Sobre</w:t>
      </w:r>
      <w:r>
        <w:rPr>
          <w:spacing w:val="3"/>
          <w:sz w:val="11"/>
        </w:rPr>
        <w:t xml:space="preserve"> </w:t>
      </w:r>
      <w:r>
        <w:rPr>
          <w:spacing w:val="-2"/>
          <w:sz w:val="11"/>
        </w:rPr>
        <w:t>motivos</w:t>
      </w:r>
      <w:r>
        <w:rPr>
          <w:spacing w:val="3"/>
          <w:sz w:val="11"/>
        </w:rPr>
        <w:t xml:space="preserve"> </w:t>
      </w:r>
      <w:r>
        <w:rPr>
          <w:spacing w:val="-2"/>
          <w:sz w:val="11"/>
        </w:rPr>
        <w:t>de</w:t>
      </w:r>
      <w:r>
        <w:rPr>
          <w:spacing w:val="4"/>
          <w:sz w:val="11"/>
        </w:rPr>
        <w:t xml:space="preserve"> </w:t>
      </w:r>
      <w:r>
        <w:rPr>
          <w:spacing w:val="-2"/>
          <w:sz w:val="11"/>
        </w:rPr>
        <w:t>ascendencia,</w:t>
      </w:r>
      <w:r>
        <w:rPr>
          <w:spacing w:val="4"/>
          <w:sz w:val="11"/>
        </w:rPr>
        <w:t xml:space="preserve"> </w:t>
      </w:r>
      <w:r>
        <w:rPr>
          <w:spacing w:val="-2"/>
          <w:sz w:val="11"/>
        </w:rPr>
        <w:t>incluida</w:t>
      </w:r>
      <w:r>
        <w:rPr>
          <w:spacing w:val="3"/>
          <w:sz w:val="11"/>
        </w:rPr>
        <w:t xml:space="preserve"> </w:t>
      </w:r>
      <w:r>
        <w:rPr>
          <w:spacing w:val="-2"/>
          <w:sz w:val="11"/>
        </w:rPr>
        <w:t>la</w:t>
      </w:r>
      <w:r>
        <w:rPr>
          <w:spacing w:val="3"/>
          <w:sz w:val="11"/>
        </w:rPr>
        <w:t xml:space="preserve"> </w:t>
      </w:r>
      <w:r>
        <w:rPr>
          <w:spacing w:val="-2"/>
          <w:sz w:val="11"/>
        </w:rPr>
        <w:t>casta,</w:t>
      </w:r>
      <w:r>
        <w:rPr>
          <w:spacing w:val="4"/>
          <w:sz w:val="11"/>
        </w:rPr>
        <w:t xml:space="preserve"> </w:t>
      </w:r>
      <w:r>
        <w:rPr>
          <w:spacing w:val="-2"/>
          <w:sz w:val="11"/>
        </w:rPr>
        <w:t>véase,</w:t>
      </w:r>
      <w:r>
        <w:rPr>
          <w:spacing w:val="4"/>
          <w:sz w:val="11"/>
        </w:rPr>
        <w:t xml:space="preserve"> </w:t>
      </w:r>
      <w:r>
        <w:rPr>
          <w:spacing w:val="-2"/>
          <w:sz w:val="11"/>
        </w:rPr>
        <w:t>en</w:t>
      </w:r>
      <w:r>
        <w:rPr>
          <w:spacing w:val="3"/>
          <w:sz w:val="11"/>
        </w:rPr>
        <w:t xml:space="preserve"> </w:t>
      </w:r>
      <w:r>
        <w:rPr>
          <w:spacing w:val="-2"/>
          <w:sz w:val="11"/>
        </w:rPr>
        <w:t>particular,</w:t>
      </w:r>
      <w:r>
        <w:rPr>
          <w:spacing w:val="5"/>
          <w:sz w:val="11"/>
        </w:rPr>
        <w:t xml:space="preserve"> </w:t>
      </w:r>
      <w:r>
        <w:rPr>
          <w:spacing w:val="-2"/>
          <w:sz w:val="11"/>
        </w:rPr>
        <w:t>Comité</w:t>
      </w:r>
      <w:r>
        <w:rPr>
          <w:spacing w:val="3"/>
          <w:sz w:val="11"/>
        </w:rPr>
        <w:t xml:space="preserve"> </w:t>
      </w:r>
      <w:r>
        <w:rPr>
          <w:spacing w:val="-2"/>
          <w:sz w:val="11"/>
        </w:rPr>
        <w:t>para</w:t>
      </w:r>
      <w:r>
        <w:rPr>
          <w:spacing w:val="3"/>
          <w:sz w:val="11"/>
        </w:rPr>
        <w:t xml:space="preserve"> </w:t>
      </w:r>
      <w:r>
        <w:rPr>
          <w:spacing w:val="-2"/>
          <w:sz w:val="11"/>
        </w:rPr>
        <w:t>la</w:t>
      </w:r>
      <w:r>
        <w:rPr>
          <w:spacing w:val="3"/>
          <w:sz w:val="11"/>
        </w:rPr>
        <w:t xml:space="preserve"> </w:t>
      </w:r>
      <w:r>
        <w:rPr>
          <w:spacing w:val="-2"/>
          <w:sz w:val="11"/>
        </w:rPr>
        <w:t>Eliminación</w:t>
      </w:r>
      <w:r>
        <w:rPr>
          <w:spacing w:val="4"/>
          <w:sz w:val="11"/>
        </w:rPr>
        <w:t xml:space="preserve"> </w:t>
      </w:r>
      <w:r>
        <w:rPr>
          <w:spacing w:val="-2"/>
          <w:sz w:val="11"/>
        </w:rPr>
        <w:t>de</w:t>
      </w:r>
      <w:r>
        <w:rPr>
          <w:spacing w:val="3"/>
          <w:sz w:val="11"/>
        </w:rPr>
        <w:t xml:space="preserve"> </w:t>
      </w:r>
      <w:r>
        <w:rPr>
          <w:spacing w:val="-2"/>
          <w:sz w:val="11"/>
        </w:rPr>
        <w:t>la</w:t>
      </w:r>
      <w:r>
        <w:rPr>
          <w:spacing w:val="3"/>
          <w:sz w:val="11"/>
        </w:rPr>
        <w:t xml:space="preserve"> </w:t>
      </w:r>
      <w:r>
        <w:rPr>
          <w:spacing w:val="-2"/>
          <w:sz w:val="11"/>
        </w:rPr>
        <w:t>Discriminación</w:t>
      </w:r>
      <w:r>
        <w:rPr>
          <w:spacing w:val="3"/>
          <w:sz w:val="11"/>
        </w:rPr>
        <w:t xml:space="preserve"> </w:t>
      </w:r>
      <w:r>
        <w:rPr>
          <w:spacing w:val="-2"/>
          <w:sz w:val="11"/>
        </w:rPr>
        <w:t>Racial,</w:t>
      </w:r>
      <w:r>
        <w:rPr>
          <w:spacing w:val="5"/>
          <w:sz w:val="11"/>
        </w:rPr>
        <w:t xml:space="preserve"> </w:t>
      </w:r>
      <w:r>
        <w:rPr>
          <w:spacing w:val="-2"/>
          <w:sz w:val="11"/>
        </w:rPr>
        <w:t>recomendación</w:t>
      </w:r>
      <w:r>
        <w:rPr>
          <w:spacing w:val="3"/>
          <w:sz w:val="11"/>
        </w:rPr>
        <w:t xml:space="preserve"> </w:t>
      </w:r>
      <w:r>
        <w:rPr>
          <w:spacing w:val="-2"/>
          <w:sz w:val="11"/>
        </w:rPr>
        <w:t>general</w:t>
      </w:r>
    </w:p>
    <w:p w14:paraId="61B78E1A" w14:textId="77777777" w:rsidR="0014798C" w:rsidRDefault="004E1F0B">
      <w:pPr>
        <w:spacing w:before="20"/>
        <w:ind w:left="1365"/>
        <w:rPr>
          <w:sz w:val="12"/>
        </w:rPr>
      </w:pPr>
      <w:r>
        <w:rPr>
          <w:sz w:val="12"/>
        </w:rPr>
        <w:t>No.</w:t>
      </w:r>
      <w:r>
        <w:rPr>
          <w:spacing w:val="1"/>
          <w:sz w:val="12"/>
        </w:rPr>
        <w:t xml:space="preserve"> </w:t>
      </w:r>
      <w:r>
        <w:rPr>
          <w:sz w:val="12"/>
        </w:rPr>
        <w:t>29</w:t>
      </w:r>
      <w:r>
        <w:rPr>
          <w:spacing w:val="2"/>
          <w:sz w:val="12"/>
        </w:rPr>
        <w:t xml:space="preserve"> </w:t>
      </w:r>
      <w:r>
        <w:rPr>
          <w:sz w:val="12"/>
        </w:rPr>
        <w:t>(2002),</w:t>
      </w:r>
      <w:r>
        <w:rPr>
          <w:spacing w:val="3"/>
          <w:sz w:val="12"/>
        </w:rPr>
        <w:t xml:space="preserve"> </w:t>
      </w:r>
      <w:proofErr w:type="spellStart"/>
      <w:r>
        <w:rPr>
          <w:sz w:val="12"/>
        </w:rPr>
        <w:t>párrs</w:t>
      </w:r>
      <w:proofErr w:type="spellEnd"/>
      <w:r>
        <w:rPr>
          <w:sz w:val="12"/>
        </w:rPr>
        <w:t>.</w:t>
      </w:r>
      <w:r>
        <w:rPr>
          <w:spacing w:val="2"/>
          <w:sz w:val="12"/>
        </w:rPr>
        <w:t xml:space="preserve"> </w:t>
      </w:r>
      <w:r>
        <w:rPr>
          <w:sz w:val="12"/>
        </w:rPr>
        <w:t>(a)</w:t>
      </w:r>
      <w:r>
        <w:rPr>
          <w:spacing w:val="2"/>
          <w:sz w:val="12"/>
        </w:rPr>
        <w:t xml:space="preserve"> </w:t>
      </w:r>
      <w:r>
        <w:rPr>
          <w:sz w:val="12"/>
        </w:rPr>
        <w:t>y</w:t>
      </w:r>
      <w:r>
        <w:rPr>
          <w:spacing w:val="2"/>
          <w:sz w:val="12"/>
        </w:rPr>
        <w:t xml:space="preserve"> </w:t>
      </w:r>
      <w:r>
        <w:rPr>
          <w:spacing w:val="-2"/>
          <w:sz w:val="12"/>
        </w:rPr>
        <w:t>(n)–(q).</w:t>
      </w:r>
    </w:p>
    <w:p w14:paraId="59D359A1" w14:textId="77777777" w:rsidR="0014798C" w:rsidRDefault="0014798C">
      <w:pPr>
        <w:rPr>
          <w:sz w:val="12"/>
        </w:rPr>
        <w:sectPr w:rsidR="0014798C" w:rsidSect="00F265E4">
          <w:type w:val="continuous"/>
          <w:pgSz w:w="11900" w:h="16820"/>
          <w:pgMar w:top="40" w:right="0" w:bottom="280" w:left="200" w:header="121" w:footer="0" w:gutter="0"/>
          <w:cols w:space="720"/>
        </w:sectPr>
      </w:pPr>
    </w:p>
    <w:p w14:paraId="1C225BB1" w14:textId="77777777" w:rsidR="0014798C" w:rsidRDefault="004E1F0B">
      <w:pPr>
        <w:spacing w:before="77"/>
        <w:jc w:val="right"/>
        <w:rPr>
          <w:sz w:val="8"/>
        </w:rPr>
      </w:pPr>
      <w:r>
        <w:rPr>
          <w:spacing w:val="-5"/>
          <w:w w:val="105"/>
          <w:sz w:val="8"/>
        </w:rPr>
        <w:t>310</w:t>
      </w:r>
    </w:p>
    <w:p w14:paraId="6D2465D9" w14:textId="77777777" w:rsidR="0014798C" w:rsidRDefault="0014798C">
      <w:pPr>
        <w:pStyle w:val="Textoindependiente"/>
        <w:rPr>
          <w:sz w:val="8"/>
        </w:rPr>
      </w:pPr>
    </w:p>
    <w:p w14:paraId="286419CA" w14:textId="77777777" w:rsidR="0014798C" w:rsidRDefault="0014798C">
      <w:pPr>
        <w:pStyle w:val="Textoindependiente"/>
        <w:rPr>
          <w:sz w:val="8"/>
        </w:rPr>
      </w:pPr>
    </w:p>
    <w:p w14:paraId="233E19D9" w14:textId="77777777" w:rsidR="0014798C" w:rsidRDefault="0014798C">
      <w:pPr>
        <w:pStyle w:val="Textoindependiente"/>
        <w:rPr>
          <w:sz w:val="8"/>
        </w:rPr>
      </w:pPr>
    </w:p>
    <w:p w14:paraId="20726DE7" w14:textId="77777777" w:rsidR="0014798C" w:rsidRDefault="0014798C">
      <w:pPr>
        <w:pStyle w:val="Textoindependiente"/>
        <w:rPr>
          <w:sz w:val="8"/>
        </w:rPr>
      </w:pPr>
    </w:p>
    <w:p w14:paraId="60EF091D" w14:textId="77777777" w:rsidR="0014798C" w:rsidRDefault="0014798C">
      <w:pPr>
        <w:pStyle w:val="Textoindependiente"/>
        <w:rPr>
          <w:sz w:val="8"/>
        </w:rPr>
      </w:pPr>
    </w:p>
    <w:p w14:paraId="4D3D8157" w14:textId="77777777" w:rsidR="0014798C" w:rsidRDefault="0014798C">
      <w:pPr>
        <w:pStyle w:val="Textoindependiente"/>
        <w:rPr>
          <w:sz w:val="8"/>
        </w:rPr>
      </w:pPr>
    </w:p>
    <w:p w14:paraId="4B97BE59" w14:textId="77777777" w:rsidR="0014798C" w:rsidRDefault="0014798C">
      <w:pPr>
        <w:pStyle w:val="Textoindependiente"/>
        <w:spacing w:before="40"/>
        <w:rPr>
          <w:sz w:val="8"/>
        </w:rPr>
      </w:pPr>
    </w:p>
    <w:p w14:paraId="176E2AB6" w14:textId="77777777" w:rsidR="0014798C" w:rsidRDefault="004E1F0B">
      <w:pPr>
        <w:jc w:val="right"/>
        <w:rPr>
          <w:sz w:val="8"/>
        </w:rPr>
      </w:pPr>
      <w:r>
        <w:rPr>
          <w:spacing w:val="-5"/>
          <w:w w:val="105"/>
          <w:sz w:val="8"/>
        </w:rPr>
        <w:t>311</w:t>
      </w:r>
    </w:p>
    <w:p w14:paraId="78693B71" w14:textId="77777777" w:rsidR="0014798C" w:rsidRDefault="0014798C">
      <w:pPr>
        <w:pStyle w:val="Textoindependiente"/>
        <w:rPr>
          <w:sz w:val="8"/>
        </w:rPr>
      </w:pPr>
    </w:p>
    <w:p w14:paraId="781A4825" w14:textId="77777777" w:rsidR="0014798C" w:rsidRDefault="0014798C">
      <w:pPr>
        <w:pStyle w:val="Textoindependiente"/>
        <w:rPr>
          <w:sz w:val="8"/>
        </w:rPr>
      </w:pPr>
    </w:p>
    <w:p w14:paraId="234EBB70" w14:textId="77777777" w:rsidR="0014798C" w:rsidRDefault="0014798C">
      <w:pPr>
        <w:pStyle w:val="Textoindependiente"/>
        <w:rPr>
          <w:sz w:val="8"/>
        </w:rPr>
      </w:pPr>
    </w:p>
    <w:p w14:paraId="1E79853E" w14:textId="77777777" w:rsidR="0014798C" w:rsidRDefault="0014798C">
      <w:pPr>
        <w:pStyle w:val="Textoindependiente"/>
        <w:rPr>
          <w:sz w:val="8"/>
        </w:rPr>
      </w:pPr>
    </w:p>
    <w:p w14:paraId="36F94EED" w14:textId="77777777" w:rsidR="0014798C" w:rsidRDefault="0014798C">
      <w:pPr>
        <w:pStyle w:val="Textoindependiente"/>
        <w:rPr>
          <w:sz w:val="8"/>
        </w:rPr>
      </w:pPr>
    </w:p>
    <w:p w14:paraId="1555A4CE" w14:textId="77777777" w:rsidR="0014798C" w:rsidRDefault="0014798C">
      <w:pPr>
        <w:pStyle w:val="Textoindependiente"/>
        <w:rPr>
          <w:sz w:val="8"/>
        </w:rPr>
      </w:pPr>
    </w:p>
    <w:p w14:paraId="11A029FC" w14:textId="77777777" w:rsidR="0014798C" w:rsidRDefault="0014798C">
      <w:pPr>
        <w:pStyle w:val="Textoindependiente"/>
        <w:rPr>
          <w:sz w:val="8"/>
        </w:rPr>
      </w:pPr>
    </w:p>
    <w:p w14:paraId="48777666" w14:textId="77777777" w:rsidR="0014798C" w:rsidRDefault="0014798C">
      <w:pPr>
        <w:pStyle w:val="Textoindependiente"/>
        <w:rPr>
          <w:sz w:val="8"/>
        </w:rPr>
      </w:pPr>
    </w:p>
    <w:p w14:paraId="2A05F655" w14:textId="77777777" w:rsidR="0014798C" w:rsidRDefault="0014798C">
      <w:pPr>
        <w:pStyle w:val="Textoindependiente"/>
        <w:rPr>
          <w:sz w:val="8"/>
        </w:rPr>
      </w:pPr>
    </w:p>
    <w:p w14:paraId="41C7D519" w14:textId="77777777" w:rsidR="0014798C" w:rsidRDefault="0014798C">
      <w:pPr>
        <w:pStyle w:val="Textoindependiente"/>
        <w:rPr>
          <w:sz w:val="8"/>
        </w:rPr>
      </w:pPr>
    </w:p>
    <w:p w14:paraId="2A46FF18" w14:textId="77777777" w:rsidR="0014798C" w:rsidRDefault="0014798C">
      <w:pPr>
        <w:pStyle w:val="Textoindependiente"/>
        <w:spacing w:before="31"/>
        <w:rPr>
          <w:sz w:val="8"/>
        </w:rPr>
      </w:pPr>
    </w:p>
    <w:p w14:paraId="00B4FB7D" w14:textId="77777777" w:rsidR="0014798C" w:rsidRDefault="004E1F0B">
      <w:pPr>
        <w:spacing w:before="1"/>
        <w:jc w:val="right"/>
        <w:rPr>
          <w:sz w:val="8"/>
        </w:rPr>
      </w:pPr>
      <w:r>
        <w:rPr>
          <w:spacing w:val="-5"/>
          <w:w w:val="105"/>
          <w:sz w:val="8"/>
        </w:rPr>
        <w:t>312</w:t>
      </w:r>
    </w:p>
    <w:p w14:paraId="3A208DA1" w14:textId="77777777" w:rsidR="0014798C" w:rsidRDefault="0014798C">
      <w:pPr>
        <w:pStyle w:val="Textoindependiente"/>
        <w:rPr>
          <w:sz w:val="8"/>
        </w:rPr>
      </w:pPr>
    </w:p>
    <w:p w14:paraId="0DE61B34" w14:textId="77777777" w:rsidR="0014798C" w:rsidRDefault="0014798C">
      <w:pPr>
        <w:pStyle w:val="Textoindependiente"/>
        <w:rPr>
          <w:sz w:val="8"/>
        </w:rPr>
      </w:pPr>
    </w:p>
    <w:p w14:paraId="4FAE644B" w14:textId="77777777" w:rsidR="0014798C" w:rsidRDefault="0014798C">
      <w:pPr>
        <w:pStyle w:val="Textoindependiente"/>
        <w:spacing w:before="48"/>
        <w:rPr>
          <w:sz w:val="8"/>
        </w:rPr>
      </w:pPr>
    </w:p>
    <w:p w14:paraId="704A793E" w14:textId="77777777" w:rsidR="0014798C" w:rsidRDefault="004E1F0B">
      <w:pPr>
        <w:jc w:val="right"/>
        <w:rPr>
          <w:sz w:val="8"/>
        </w:rPr>
      </w:pPr>
      <w:r>
        <w:rPr>
          <w:spacing w:val="-5"/>
          <w:w w:val="105"/>
          <w:sz w:val="8"/>
        </w:rPr>
        <w:t>313</w:t>
      </w:r>
    </w:p>
    <w:p w14:paraId="741A4438" w14:textId="77777777" w:rsidR="0014798C" w:rsidRDefault="004E1F0B">
      <w:pPr>
        <w:spacing w:before="99" w:line="312" w:lineRule="auto"/>
        <w:ind w:left="76" w:right="1277" w:firstLine="4"/>
        <w:rPr>
          <w:sz w:val="12"/>
        </w:rPr>
      </w:pPr>
      <w:r>
        <w:br w:type="column"/>
      </w:r>
      <w:r>
        <w:rPr>
          <w:sz w:val="12"/>
        </w:rPr>
        <w:t>Véanse,</w:t>
      </w:r>
      <w:r>
        <w:rPr>
          <w:spacing w:val="10"/>
          <w:sz w:val="12"/>
        </w:rPr>
        <w:t xml:space="preserve"> </w:t>
      </w:r>
      <w:r>
        <w:rPr>
          <w:sz w:val="12"/>
        </w:rPr>
        <w:t>entre</w:t>
      </w:r>
      <w:r>
        <w:rPr>
          <w:spacing w:val="9"/>
          <w:sz w:val="12"/>
        </w:rPr>
        <w:t xml:space="preserve"> </w:t>
      </w:r>
      <w:r>
        <w:rPr>
          <w:sz w:val="12"/>
        </w:rPr>
        <w:t>otros,</w:t>
      </w:r>
      <w:r>
        <w:rPr>
          <w:spacing w:val="9"/>
          <w:sz w:val="12"/>
        </w:rPr>
        <w:t xml:space="preserve"> </w:t>
      </w:r>
      <w:r>
        <w:rPr>
          <w:sz w:val="12"/>
        </w:rPr>
        <w:t>A/HRC/39/50,</w:t>
      </w:r>
      <w:r>
        <w:rPr>
          <w:spacing w:val="9"/>
          <w:sz w:val="12"/>
        </w:rPr>
        <w:t xml:space="preserve"> </w:t>
      </w:r>
      <w:r>
        <w:rPr>
          <w:sz w:val="12"/>
        </w:rPr>
        <w:t>así</w:t>
      </w:r>
      <w:r>
        <w:rPr>
          <w:spacing w:val="9"/>
          <w:sz w:val="12"/>
        </w:rPr>
        <w:t xml:space="preserve"> </w:t>
      </w:r>
      <w:r>
        <w:rPr>
          <w:sz w:val="12"/>
        </w:rPr>
        <w:t>como</w:t>
      </w:r>
      <w:r>
        <w:rPr>
          <w:spacing w:val="9"/>
          <w:sz w:val="12"/>
        </w:rPr>
        <w:t xml:space="preserve"> </w:t>
      </w:r>
      <w:r>
        <w:rPr>
          <w:sz w:val="12"/>
        </w:rPr>
        <w:t>A/HRC/30/43.</w:t>
      </w:r>
      <w:r>
        <w:rPr>
          <w:spacing w:val="9"/>
          <w:sz w:val="12"/>
        </w:rPr>
        <w:t xml:space="preserve"> </w:t>
      </w:r>
      <w:r>
        <w:rPr>
          <w:sz w:val="12"/>
        </w:rPr>
        <w:t>En</w:t>
      </w:r>
      <w:r>
        <w:rPr>
          <w:spacing w:val="9"/>
          <w:sz w:val="12"/>
        </w:rPr>
        <w:t xml:space="preserve"> </w:t>
      </w:r>
      <w:r>
        <w:rPr>
          <w:sz w:val="12"/>
        </w:rPr>
        <w:t>su</w:t>
      </w:r>
      <w:r>
        <w:rPr>
          <w:spacing w:val="9"/>
          <w:sz w:val="12"/>
        </w:rPr>
        <w:t xml:space="preserve"> </w:t>
      </w:r>
      <w:r>
        <w:rPr>
          <w:sz w:val="12"/>
        </w:rPr>
        <w:t>Observación</w:t>
      </w:r>
      <w:r>
        <w:rPr>
          <w:spacing w:val="9"/>
          <w:sz w:val="12"/>
        </w:rPr>
        <w:t xml:space="preserve"> </w:t>
      </w:r>
      <w:r>
        <w:rPr>
          <w:sz w:val="12"/>
        </w:rPr>
        <w:t>general</w:t>
      </w:r>
      <w:r>
        <w:rPr>
          <w:spacing w:val="9"/>
          <w:sz w:val="12"/>
        </w:rPr>
        <w:t xml:space="preserve"> </w:t>
      </w:r>
      <w:r>
        <w:rPr>
          <w:sz w:val="12"/>
        </w:rPr>
        <w:t>No.</w:t>
      </w:r>
      <w:r>
        <w:rPr>
          <w:spacing w:val="9"/>
          <w:sz w:val="12"/>
        </w:rPr>
        <w:t xml:space="preserve"> </w:t>
      </w:r>
      <w:r>
        <w:rPr>
          <w:sz w:val="12"/>
        </w:rPr>
        <w:t>6</w:t>
      </w:r>
      <w:r>
        <w:rPr>
          <w:spacing w:val="9"/>
          <w:sz w:val="12"/>
        </w:rPr>
        <w:t xml:space="preserve"> </w:t>
      </w:r>
      <w:r>
        <w:rPr>
          <w:sz w:val="12"/>
        </w:rPr>
        <w:t>(1995),</w:t>
      </w:r>
      <w:r>
        <w:rPr>
          <w:spacing w:val="10"/>
          <w:sz w:val="12"/>
        </w:rPr>
        <w:t xml:space="preserve"> </w:t>
      </w:r>
      <w:r>
        <w:rPr>
          <w:sz w:val="12"/>
        </w:rPr>
        <w:t>el</w:t>
      </w:r>
      <w:r>
        <w:rPr>
          <w:spacing w:val="9"/>
          <w:sz w:val="12"/>
        </w:rPr>
        <w:t xml:space="preserve"> </w:t>
      </w:r>
      <w:r>
        <w:rPr>
          <w:sz w:val="12"/>
        </w:rPr>
        <w:t>Comité</w:t>
      </w:r>
      <w:r>
        <w:rPr>
          <w:spacing w:val="9"/>
          <w:sz w:val="12"/>
        </w:rPr>
        <w:t xml:space="preserve"> </w:t>
      </w:r>
      <w:r>
        <w:rPr>
          <w:sz w:val="12"/>
        </w:rPr>
        <w:t>de</w:t>
      </w:r>
      <w:r>
        <w:rPr>
          <w:spacing w:val="9"/>
          <w:sz w:val="12"/>
        </w:rPr>
        <w:t xml:space="preserve"> </w:t>
      </w:r>
      <w:r>
        <w:rPr>
          <w:sz w:val="12"/>
        </w:rPr>
        <w:t>Derechos</w:t>
      </w:r>
      <w:r>
        <w:rPr>
          <w:spacing w:val="9"/>
          <w:sz w:val="12"/>
        </w:rPr>
        <w:t xml:space="preserve"> </w:t>
      </w:r>
      <w:r>
        <w:rPr>
          <w:sz w:val="12"/>
        </w:rPr>
        <w:t>Económicos,</w:t>
      </w:r>
      <w:r>
        <w:rPr>
          <w:spacing w:val="10"/>
          <w:sz w:val="12"/>
        </w:rPr>
        <w:t xml:space="preserve"> </w:t>
      </w:r>
      <w:r>
        <w:rPr>
          <w:sz w:val="12"/>
        </w:rPr>
        <w:t>Sociales</w:t>
      </w:r>
      <w:r>
        <w:rPr>
          <w:spacing w:val="9"/>
          <w:sz w:val="12"/>
        </w:rPr>
        <w:t xml:space="preserve"> </w:t>
      </w:r>
      <w:r>
        <w:rPr>
          <w:sz w:val="12"/>
        </w:rPr>
        <w:t>y</w:t>
      </w:r>
      <w:r>
        <w:rPr>
          <w:spacing w:val="9"/>
          <w:sz w:val="12"/>
        </w:rPr>
        <w:t xml:space="preserve"> </w:t>
      </w:r>
      <w:r>
        <w:rPr>
          <w:sz w:val="12"/>
        </w:rPr>
        <w:t>Culturales</w:t>
      </w:r>
      <w:r>
        <w:rPr>
          <w:spacing w:val="40"/>
          <w:sz w:val="12"/>
        </w:rPr>
        <w:t xml:space="preserve"> </w:t>
      </w:r>
      <w:r>
        <w:rPr>
          <w:sz w:val="12"/>
        </w:rPr>
        <w:t>recordó</w:t>
      </w:r>
      <w:r>
        <w:rPr>
          <w:spacing w:val="6"/>
          <w:sz w:val="12"/>
        </w:rPr>
        <w:t xml:space="preserve"> </w:t>
      </w:r>
      <w:r>
        <w:rPr>
          <w:sz w:val="12"/>
        </w:rPr>
        <w:t>el</w:t>
      </w:r>
      <w:r>
        <w:rPr>
          <w:spacing w:val="6"/>
          <w:sz w:val="12"/>
        </w:rPr>
        <w:t xml:space="preserve"> </w:t>
      </w:r>
      <w:r>
        <w:rPr>
          <w:sz w:val="12"/>
        </w:rPr>
        <w:t>principio</w:t>
      </w:r>
      <w:r>
        <w:rPr>
          <w:spacing w:val="6"/>
          <w:sz w:val="12"/>
        </w:rPr>
        <w:t xml:space="preserve"> </w:t>
      </w:r>
      <w:r>
        <w:rPr>
          <w:sz w:val="12"/>
        </w:rPr>
        <w:t>7</w:t>
      </w:r>
      <w:r>
        <w:rPr>
          <w:spacing w:val="6"/>
          <w:sz w:val="12"/>
        </w:rPr>
        <w:t xml:space="preserve"> </w:t>
      </w:r>
      <w:r>
        <w:rPr>
          <w:sz w:val="12"/>
        </w:rPr>
        <w:t>de</w:t>
      </w:r>
      <w:r>
        <w:rPr>
          <w:spacing w:val="6"/>
          <w:sz w:val="12"/>
        </w:rPr>
        <w:t xml:space="preserve"> </w:t>
      </w:r>
      <w:r>
        <w:rPr>
          <w:sz w:val="12"/>
        </w:rPr>
        <w:t>los</w:t>
      </w:r>
      <w:r>
        <w:rPr>
          <w:spacing w:val="6"/>
          <w:sz w:val="12"/>
        </w:rPr>
        <w:t xml:space="preserve"> </w:t>
      </w:r>
      <w:r>
        <w:rPr>
          <w:sz w:val="12"/>
        </w:rPr>
        <w:t>Principios</w:t>
      </w:r>
      <w:r>
        <w:rPr>
          <w:spacing w:val="6"/>
          <w:sz w:val="12"/>
        </w:rPr>
        <w:t xml:space="preserve"> </w:t>
      </w:r>
      <w:r>
        <w:rPr>
          <w:sz w:val="12"/>
        </w:rPr>
        <w:t>de</w:t>
      </w:r>
      <w:r>
        <w:rPr>
          <w:spacing w:val="6"/>
          <w:sz w:val="12"/>
        </w:rPr>
        <w:t xml:space="preserve"> </w:t>
      </w:r>
      <w:r>
        <w:rPr>
          <w:sz w:val="12"/>
        </w:rPr>
        <w:t>las</w:t>
      </w:r>
      <w:r>
        <w:rPr>
          <w:spacing w:val="6"/>
          <w:sz w:val="12"/>
        </w:rPr>
        <w:t xml:space="preserve"> </w:t>
      </w:r>
      <w:r>
        <w:rPr>
          <w:sz w:val="12"/>
        </w:rPr>
        <w:t>Naciones</w:t>
      </w:r>
      <w:r>
        <w:rPr>
          <w:spacing w:val="6"/>
          <w:sz w:val="12"/>
        </w:rPr>
        <w:t xml:space="preserve"> </w:t>
      </w:r>
      <w:r>
        <w:rPr>
          <w:sz w:val="12"/>
        </w:rPr>
        <w:t>Unidas</w:t>
      </w:r>
      <w:r>
        <w:rPr>
          <w:spacing w:val="6"/>
          <w:sz w:val="12"/>
        </w:rPr>
        <w:t xml:space="preserve"> </w:t>
      </w:r>
      <w:r>
        <w:rPr>
          <w:sz w:val="12"/>
        </w:rPr>
        <w:t>para</w:t>
      </w:r>
      <w:r>
        <w:rPr>
          <w:spacing w:val="6"/>
          <w:sz w:val="12"/>
        </w:rPr>
        <w:t xml:space="preserve"> </w:t>
      </w:r>
      <w:r>
        <w:rPr>
          <w:sz w:val="12"/>
        </w:rPr>
        <w:t>las</w:t>
      </w:r>
      <w:r>
        <w:rPr>
          <w:spacing w:val="6"/>
          <w:sz w:val="12"/>
        </w:rPr>
        <w:t xml:space="preserve"> </w:t>
      </w:r>
      <w:r>
        <w:rPr>
          <w:sz w:val="12"/>
        </w:rPr>
        <w:t>Personas</w:t>
      </w:r>
      <w:r>
        <w:rPr>
          <w:spacing w:val="6"/>
          <w:sz w:val="12"/>
        </w:rPr>
        <w:t xml:space="preserve"> </w:t>
      </w:r>
      <w:r>
        <w:rPr>
          <w:sz w:val="12"/>
        </w:rPr>
        <w:t>de</w:t>
      </w:r>
      <w:r>
        <w:rPr>
          <w:spacing w:val="6"/>
          <w:sz w:val="12"/>
        </w:rPr>
        <w:t xml:space="preserve"> </w:t>
      </w:r>
      <w:r>
        <w:rPr>
          <w:sz w:val="12"/>
        </w:rPr>
        <w:t>Edad</w:t>
      </w:r>
      <w:r>
        <w:rPr>
          <w:spacing w:val="6"/>
          <w:sz w:val="12"/>
        </w:rPr>
        <w:t xml:space="preserve"> </w:t>
      </w:r>
      <w:r>
        <w:rPr>
          <w:sz w:val="12"/>
        </w:rPr>
        <w:t>(resolución</w:t>
      </w:r>
      <w:r>
        <w:rPr>
          <w:spacing w:val="6"/>
          <w:sz w:val="12"/>
        </w:rPr>
        <w:t xml:space="preserve"> </w:t>
      </w:r>
      <w:r>
        <w:rPr>
          <w:sz w:val="12"/>
        </w:rPr>
        <w:t>46/91</w:t>
      </w:r>
      <w:r>
        <w:rPr>
          <w:spacing w:val="6"/>
          <w:sz w:val="12"/>
        </w:rPr>
        <w:t xml:space="preserve"> </w:t>
      </w:r>
      <w:r>
        <w:rPr>
          <w:sz w:val="12"/>
        </w:rPr>
        <w:t>de</w:t>
      </w:r>
      <w:r>
        <w:rPr>
          <w:spacing w:val="6"/>
          <w:sz w:val="12"/>
        </w:rPr>
        <w:t xml:space="preserve"> </w:t>
      </w:r>
      <w:r>
        <w:rPr>
          <w:sz w:val="12"/>
        </w:rPr>
        <w:t>la</w:t>
      </w:r>
      <w:r>
        <w:rPr>
          <w:spacing w:val="6"/>
          <w:sz w:val="12"/>
        </w:rPr>
        <w:t xml:space="preserve"> </w:t>
      </w:r>
      <w:r>
        <w:rPr>
          <w:sz w:val="12"/>
        </w:rPr>
        <w:t>Asamblea</w:t>
      </w:r>
      <w:r>
        <w:rPr>
          <w:spacing w:val="6"/>
          <w:sz w:val="12"/>
        </w:rPr>
        <w:t xml:space="preserve"> </w:t>
      </w:r>
      <w:r>
        <w:rPr>
          <w:sz w:val="12"/>
        </w:rPr>
        <w:t>General,</w:t>
      </w:r>
      <w:r>
        <w:rPr>
          <w:spacing w:val="7"/>
          <w:sz w:val="12"/>
        </w:rPr>
        <w:t xml:space="preserve"> </w:t>
      </w:r>
      <w:r>
        <w:rPr>
          <w:sz w:val="12"/>
        </w:rPr>
        <w:t>anexo),</w:t>
      </w:r>
      <w:r>
        <w:rPr>
          <w:spacing w:val="7"/>
          <w:sz w:val="12"/>
        </w:rPr>
        <w:t xml:space="preserve"> </w:t>
      </w:r>
      <w:r>
        <w:rPr>
          <w:sz w:val="12"/>
        </w:rPr>
        <w:t>a</w:t>
      </w:r>
      <w:r>
        <w:rPr>
          <w:spacing w:val="6"/>
          <w:sz w:val="12"/>
        </w:rPr>
        <w:t xml:space="preserve"> </w:t>
      </w:r>
      <w:r>
        <w:rPr>
          <w:sz w:val="12"/>
        </w:rPr>
        <w:t>saber:</w:t>
      </w:r>
      <w:r>
        <w:rPr>
          <w:spacing w:val="7"/>
          <w:sz w:val="12"/>
        </w:rPr>
        <w:t xml:space="preserve"> </w:t>
      </w:r>
      <w:r>
        <w:rPr>
          <w:sz w:val="12"/>
        </w:rPr>
        <w:t>“Las</w:t>
      </w:r>
      <w:r>
        <w:rPr>
          <w:spacing w:val="6"/>
          <w:sz w:val="12"/>
        </w:rPr>
        <w:t xml:space="preserve"> </w:t>
      </w:r>
      <w:r>
        <w:rPr>
          <w:sz w:val="12"/>
        </w:rPr>
        <w:t>personas</w:t>
      </w:r>
      <w:r>
        <w:rPr>
          <w:spacing w:val="40"/>
          <w:sz w:val="12"/>
        </w:rPr>
        <w:t xml:space="preserve"> </w:t>
      </w:r>
      <w:r>
        <w:rPr>
          <w:sz w:val="12"/>
        </w:rPr>
        <w:t>de edad deben permanecer integrarse en la sociedad, participar activamente en la formulación y aplicación de políticas que afecten directamente a su bienestar y</w:t>
      </w:r>
      <w:r>
        <w:rPr>
          <w:spacing w:val="40"/>
          <w:sz w:val="12"/>
        </w:rPr>
        <w:t xml:space="preserve"> </w:t>
      </w:r>
      <w:r>
        <w:rPr>
          <w:sz w:val="12"/>
        </w:rPr>
        <w:t>compartir sus conocimientos y habilidades con las generaciones más jóvenes” (párr. 39 de la observación general).</w:t>
      </w:r>
    </w:p>
    <w:p w14:paraId="2EB80C8F" w14:textId="77777777" w:rsidR="0014798C" w:rsidRPr="00B16F84" w:rsidRDefault="004E1F0B">
      <w:pPr>
        <w:spacing w:before="58" w:line="312" w:lineRule="auto"/>
        <w:ind w:left="76" w:right="1277" w:firstLine="4"/>
        <w:rPr>
          <w:sz w:val="12"/>
          <w:lang w:val="en-US"/>
        </w:rPr>
      </w:pPr>
      <w:r>
        <w:rPr>
          <w:sz w:val="12"/>
        </w:rPr>
        <w:t xml:space="preserve">Véase, por ejemplo, A/71/314, párr. </w:t>
      </w:r>
      <w:r>
        <w:rPr>
          <w:w w:val="95"/>
          <w:sz w:val="12"/>
        </w:rPr>
        <w:t xml:space="preserve">6; </w:t>
      </w:r>
      <w:r w:rsidRPr="00537489">
        <w:rPr>
          <w:sz w:val="12"/>
          <w:lang w:val="en-US"/>
        </w:rPr>
        <w:t xml:space="preserve">CRPD/C/HUN/CO/1, </w:t>
      </w:r>
      <w:proofErr w:type="spellStart"/>
      <w:r w:rsidRPr="00537489">
        <w:rPr>
          <w:sz w:val="12"/>
          <w:lang w:val="en-US"/>
        </w:rPr>
        <w:t>párr</w:t>
      </w:r>
      <w:proofErr w:type="spellEnd"/>
      <w:r w:rsidRPr="00537489">
        <w:rPr>
          <w:sz w:val="12"/>
          <w:lang w:val="en-US"/>
        </w:rPr>
        <w:t xml:space="preserve">. </w:t>
      </w:r>
      <w:r>
        <w:rPr>
          <w:w w:val="95"/>
          <w:sz w:val="12"/>
        </w:rPr>
        <w:t xml:space="preserve">33; </w:t>
      </w:r>
      <w:r>
        <w:rPr>
          <w:sz w:val="12"/>
        </w:rPr>
        <w:t>Comité sobre los Derechos de las Personas con Discapacidad, observación general núm. 5</w:t>
      </w:r>
      <w:r>
        <w:rPr>
          <w:spacing w:val="40"/>
          <w:sz w:val="12"/>
        </w:rPr>
        <w:t xml:space="preserve"> </w:t>
      </w:r>
      <w:r>
        <w:rPr>
          <w:sz w:val="12"/>
        </w:rPr>
        <w:t xml:space="preserve">(2017), en particular párr. </w:t>
      </w:r>
      <w:r>
        <w:rPr>
          <w:w w:val="95"/>
          <w:sz w:val="12"/>
        </w:rPr>
        <w:t>16</w:t>
      </w:r>
      <w:proofErr w:type="gramStart"/>
      <w:r>
        <w:rPr>
          <w:w w:val="95"/>
          <w:sz w:val="12"/>
        </w:rPr>
        <w:t>c);</w:t>
      </w:r>
      <w:proofErr w:type="gramEnd"/>
      <w:r>
        <w:rPr>
          <w:w w:val="95"/>
          <w:sz w:val="12"/>
        </w:rPr>
        <w:t xml:space="preserve"> </w:t>
      </w:r>
      <w:r>
        <w:rPr>
          <w:sz w:val="12"/>
        </w:rPr>
        <w:t xml:space="preserve">Comité sobre los Derechos de las Personas con Discapacidad, observación general núm. 6 (2018), </w:t>
      </w:r>
      <w:proofErr w:type="spellStart"/>
      <w:r>
        <w:rPr>
          <w:sz w:val="12"/>
        </w:rPr>
        <w:t>párrs</w:t>
      </w:r>
      <w:proofErr w:type="spellEnd"/>
      <w:r>
        <w:rPr>
          <w:sz w:val="12"/>
        </w:rPr>
        <w:t xml:space="preserve">. 56 y </w:t>
      </w:r>
      <w:r>
        <w:rPr>
          <w:w w:val="95"/>
          <w:sz w:val="12"/>
        </w:rPr>
        <w:t xml:space="preserve">64; </w:t>
      </w:r>
      <w:r>
        <w:rPr>
          <w:sz w:val="12"/>
        </w:rPr>
        <w:t>Comité sobre los</w:t>
      </w:r>
      <w:r>
        <w:rPr>
          <w:spacing w:val="40"/>
          <w:sz w:val="12"/>
        </w:rPr>
        <w:t xml:space="preserve"> </w:t>
      </w:r>
      <w:r>
        <w:rPr>
          <w:sz w:val="12"/>
        </w:rPr>
        <w:t xml:space="preserve">Derechos de las Personas con Discapacidad, observación general núm. 4 (2016), </w:t>
      </w:r>
      <w:proofErr w:type="spellStart"/>
      <w:r>
        <w:rPr>
          <w:sz w:val="12"/>
        </w:rPr>
        <w:t>párrs</w:t>
      </w:r>
      <w:proofErr w:type="spellEnd"/>
      <w:r>
        <w:rPr>
          <w:sz w:val="12"/>
        </w:rPr>
        <w:t xml:space="preserve">. </w:t>
      </w:r>
      <w:r w:rsidRPr="00537489">
        <w:rPr>
          <w:sz w:val="12"/>
          <w:lang w:val="en-US"/>
        </w:rPr>
        <w:t xml:space="preserve">11 y </w:t>
      </w:r>
      <w:r w:rsidRPr="00537489">
        <w:rPr>
          <w:w w:val="95"/>
          <w:sz w:val="12"/>
          <w:lang w:val="en-US"/>
        </w:rPr>
        <w:t>13</w:t>
      </w:r>
      <w:r>
        <w:rPr>
          <w:w w:val="95"/>
          <w:sz w:val="12"/>
        </w:rPr>
        <w:t>;</w:t>
      </w:r>
      <w:r w:rsidRPr="00537489">
        <w:rPr>
          <w:w w:val="95"/>
          <w:sz w:val="12"/>
          <w:lang w:val="en-US"/>
        </w:rPr>
        <w:t xml:space="preserve"> </w:t>
      </w:r>
      <w:r w:rsidRPr="00537489">
        <w:rPr>
          <w:sz w:val="12"/>
          <w:lang w:val="en-US"/>
        </w:rPr>
        <w:t xml:space="preserve">CRPD/C/TUR/CO/1, </w:t>
      </w:r>
      <w:proofErr w:type="spellStart"/>
      <w:r w:rsidRPr="00537489">
        <w:rPr>
          <w:sz w:val="12"/>
          <w:lang w:val="en-US"/>
        </w:rPr>
        <w:t>párr</w:t>
      </w:r>
      <w:proofErr w:type="spellEnd"/>
      <w:r w:rsidRPr="00537489">
        <w:rPr>
          <w:sz w:val="12"/>
          <w:lang w:val="en-US"/>
        </w:rPr>
        <w:t xml:space="preserve">. 48 </w:t>
      </w:r>
      <w:proofErr w:type="gramStart"/>
      <w:r w:rsidRPr="00537489">
        <w:rPr>
          <w:w w:val="95"/>
          <w:sz w:val="12"/>
          <w:lang w:val="en-US"/>
        </w:rPr>
        <w:t>a)</w:t>
      </w:r>
      <w:r>
        <w:rPr>
          <w:w w:val="95"/>
          <w:sz w:val="12"/>
        </w:rPr>
        <w:t>;</w:t>
      </w:r>
      <w:proofErr w:type="gramEnd"/>
      <w:r w:rsidRPr="00537489">
        <w:rPr>
          <w:w w:val="95"/>
          <w:sz w:val="12"/>
          <w:lang w:val="en-US"/>
        </w:rPr>
        <w:t xml:space="preserve"> </w:t>
      </w:r>
      <w:r w:rsidRPr="00537489">
        <w:rPr>
          <w:sz w:val="12"/>
          <w:lang w:val="en-US"/>
        </w:rPr>
        <w:t xml:space="preserve">CRPD/C/IND/CO/1, </w:t>
      </w:r>
      <w:proofErr w:type="spellStart"/>
      <w:r w:rsidRPr="00537489">
        <w:rPr>
          <w:sz w:val="12"/>
          <w:lang w:val="en-US"/>
        </w:rPr>
        <w:t>párrs</w:t>
      </w:r>
      <w:proofErr w:type="spellEnd"/>
      <w:r w:rsidRPr="00537489">
        <w:rPr>
          <w:sz w:val="12"/>
          <w:lang w:val="en-US"/>
        </w:rPr>
        <w:t xml:space="preserve">. </w:t>
      </w:r>
      <w:r w:rsidRPr="00B16F84">
        <w:rPr>
          <w:sz w:val="12"/>
          <w:lang w:val="en-US"/>
        </w:rPr>
        <w:t>6</w:t>
      </w:r>
    </w:p>
    <w:p w14:paraId="65C6994C" w14:textId="77777777" w:rsidR="0014798C" w:rsidRDefault="004E1F0B">
      <w:pPr>
        <w:spacing w:before="1" w:line="312" w:lineRule="auto"/>
        <w:ind w:left="76" w:right="1784" w:firstLine="5"/>
        <w:rPr>
          <w:sz w:val="12"/>
        </w:rPr>
      </w:pPr>
      <w:r w:rsidRPr="005C01C5">
        <w:rPr>
          <w:sz w:val="12"/>
          <w:lang w:val="es-CR"/>
        </w:rPr>
        <w:t>(b)</w:t>
      </w:r>
      <w:r w:rsidRPr="005C01C5">
        <w:rPr>
          <w:spacing w:val="-9"/>
          <w:sz w:val="12"/>
          <w:lang w:val="es-CR"/>
        </w:rPr>
        <w:t xml:space="preserve"> </w:t>
      </w:r>
      <w:r w:rsidRPr="005C01C5">
        <w:rPr>
          <w:sz w:val="12"/>
          <w:lang w:val="es-CR"/>
        </w:rPr>
        <w:t>y</w:t>
      </w:r>
      <w:r w:rsidRPr="005C01C5">
        <w:rPr>
          <w:spacing w:val="-8"/>
          <w:sz w:val="12"/>
          <w:lang w:val="es-CR"/>
        </w:rPr>
        <w:t xml:space="preserve"> </w:t>
      </w:r>
      <w:r w:rsidRPr="005C01C5">
        <w:rPr>
          <w:sz w:val="12"/>
          <w:lang w:val="es-CR"/>
        </w:rPr>
        <w:t>50</w:t>
      </w:r>
      <w:r w:rsidRPr="005C01C5">
        <w:rPr>
          <w:spacing w:val="-8"/>
          <w:sz w:val="12"/>
          <w:lang w:val="es-CR"/>
        </w:rPr>
        <w:t xml:space="preserve"> </w:t>
      </w:r>
      <w:r w:rsidRPr="005C01C5">
        <w:rPr>
          <w:w w:val="95"/>
          <w:sz w:val="12"/>
          <w:lang w:val="es-CR"/>
        </w:rPr>
        <w:t>(a)</w:t>
      </w:r>
      <w:r>
        <w:rPr>
          <w:w w:val="95"/>
          <w:sz w:val="12"/>
        </w:rPr>
        <w:t>;</w:t>
      </w:r>
      <w:r w:rsidRPr="005C01C5">
        <w:rPr>
          <w:spacing w:val="-7"/>
          <w:w w:val="95"/>
          <w:sz w:val="12"/>
          <w:lang w:val="es-CR"/>
        </w:rPr>
        <w:t xml:space="preserve"> </w:t>
      </w:r>
      <w:r w:rsidRPr="005C01C5">
        <w:rPr>
          <w:sz w:val="12"/>
          <w:lang w:val="es-CR"/>
        </w:rPr>
        <w:t>CRPD/C/IRQ/CO/1,</w:t>
      </w:r>
      <w:r w:rsidRPr="005C01C5">
        <w:rPr>
          <w:spacing w:val="-8"/>
          <w:sz w:val="12"/>
          <w:lang w:val="es-CR"/>
        </w:rPr>
        <w:t xml:space="preserve"> </w:t>
      </w:r>
      <w:r w:rsidRPr="005C01C5">
        <w:rPr>
          <w:sz w:val="12"/>
          <w:lang w:val="es-CR"/>
        </w:rPr>
        <w:t>párr.</w:t>
      </w:r>
      <w:r w:rsidRPr="005C01C5">
        <w:rPr>
          <w:spacing w:val="-9"/>
          <w:sz w:val="12"/>
          <w:lang w:val="es-CR"/>
        </w:rPr>
        <w:t xml:space="preserve"> </w:t>
      </w:r>
      <w:r w:rsidRPr="00B16F84">
        <w:rPr>
          <w:sz w:val="12"/>
          <w:lang w:val="en-US"/>
        </w:rPr>
        <w:t>43</w:t>
      </w:r>
      <w:r w:rsidRPr="00B16F84">
        <w:rPr>
          <w:spacing w:val="-8"/>
          <w:sz w:val="12"/>
          <w:lang w:val="en-US"/>
        </w:rPr>
        <w:t xml:space="preserve"> </w:t>
      </w:r>
      <w:r w:rsidRPr="00B16F84">
        <w:rPr>
          <w:w w:val="95"/>
          <w:sz w:val="12"/>
          <w:lang w:val="en-US"/>
        </w:rPr>
        <w:t>(a)</w:t>
      </w:r>
      <w:r>
        <w:rPr>
          <w:w w:val="95"/>
          <w:sz w:val="12"/>
        </w:rPr>
        <w:t>;</w:t>
      </w:r>
      <w:r w:rsidRPr="00B16F84">
        <w:rPr>
          <w:spacing w:val="-7"/>
          <w:w w:val="95"/>
          <w:sz w:val="12"/>
          <w:lang w:val="en-US"/>
        </w:rPr>
        <w:t xml:space="preserve"> </w:t>
      </w:r>
      <w:r w:rsidRPr="00537489">
        <w:rPr>
          <w:sz w:val="12"/>
          <w:lang w:val="en-US"/>
        </w:rPr>
        <w:t>CRC/C/PSE/CO/1,</w:t>
      </w:r>
      <w:r w:rsidRPr="00537489">
        <w:rPr>
          <w:spacing w:val="-8"/>
          <w:sz w:val="12"/>
          <w:lang w:val="en-US"/>
        </w:rPr>
        <w:t xml:space="preserve"> </w:t>
      </w:r>
      <w:proofErr w:type="spellStart"/>
      <w:r w:rsidRPr="00537489">
        <w:rPr>
          <w:sz w:val="12"/>
          <w:lang w:val="en-US"/>
        </w:rPr>
        <w:t>párr</w:t>
      </w:r>
      <w:proofErr w:type="spellEnd"/>
      <w:r w:rsidRPr="00537489">
        <w:rPr>
          <w:sz w:val="12"/>
          <w:lang w:val="en-US"/>
        </w:rPr>
        <w:t>.</w:t>
      </w:r>
      <w:r w:rsidRPr="00537489">
        <w:rPr>
          <w:spacing w:val="-9"/>
          <w:sz w:val="12"/>
          <w:lang w:val="en-US"/>
        </w:rPr>
        <w:t xml:space="preserve"> </w:t>
      </w:r>
      <w:r w:rsidRPr="00537489">
        <w:rPr>
          <w:sz w:val="12"/>
          <w:lang w:val="en-US"/>
        </w:rPr>
        <w:t>54</w:t>
      </w:r>
      <w:r w:rsidRPr="00537489">
        <w:rPr>
          <w:spacing w:val="-8"/>
          <w:sz w:val="12"/>
          <w:lang w:val="en-US"/>
        </w:rPr>
        <w:t xml:space="preserve"> </w:t>
      </w:r>
      <w:proofErr w:type="gramStart"/>
      <w:r w:rsidRPr="00537489">
        <w:rPr>
          <w:w w:val="95"/>
          <w:sz w:val="12"/>
          <w:lang w:val="en-US"/>
        </w:rPr>
        <w:t>b)</w:t>
      </w:r>
      <w:r>
        <w:rPr>
          <w:w w:val="95"/>
          <w:sz w:val="12"/>
        </w:rPr>
        <w:t>;</w:t>
      </w:r>
      <w:proofErr w:type="gramEnd"/>
      <w:r w:rsidRPr="00537489">
        <w:rPr>
          <w:spacing w:val="-7"/>
          <w:w w:val="95"/>
          <w:sz w:val="12"/>
          <w:lang w:val="en-US"/>
        </w:rPr>
        <w:t xml:space="preserve"> </w:t>
      </w:r>
      <w:r w:rsidRPr="00537489">
        <w:rPr>
          <w:sz w:val="12"/>
          <w:lang w:val="en-US"/>
        </w:rPr>
        <w:t>CRC/C/MDA/CO/4-5,</w:t>
      </w:r>
      <w:r w:rsidRPr="00537489">
        <w:rPr>
          <w:spacing w:val="-8"/>
          <w:sz w:val="12"/>
          <w:lang w:val="en-US"/>
        </w:rPr>
        <w:t xml:space="preserve"> </w:t>
      </w:r>
      <w:proofErr w:type="spellStart"/>
      <w:r w:rsidRPr="00537489">
        <w:rPr>
          <w:sz w:val="12"/>
          <w:lang w:val="en-US"/>
        </w:rPr>
        <w:t>párr</w:t>
      </w:r>
      <w:proofErr w:type="spellEnd"/>
      <w:r w:rsidRPr="00537489">
        <w:rPr>
          <w:sz w:val="12"/>
          <w:lang w:val="en-US"/>
        </w:rPr>
        <w:t>.</w:t>
      </w:r>
      <w:r w:rsidRPr="00537489">
        <w:rPr>
          <w:spacing w:val="-8"/>
          <w:sz w:val="12"/>
          <w:lang w:val="en-US"/>
        </w:rPr>
        <w:t xml:space="preserve"> </w:t>
      </w:r>
      <w:r w:rsidRPr="00537489">
        <w:rPr>
          <w:w w:val="95"/>
          <w:sz w:val="12"/>
          <w:lang w:val="en-US"/>
        </w:rPr>
        <w:t>29</w:t>
      </w:r>
      <w:proofErr w:type="gramStart"/>
      <w:r w:rsidRPr="00537489">
        <w:rPr>
          <w:w w:val="95"/>
          <w:sz w:val="12"/>
          <w:lang w:val="en-US"/>
        </w:rPr>
        <w:t>c)</w:t>
      </w:r>
      <w:r>
        <w:rPr>
          <w:w w:val="95"/>
          <w:sz w:val="12"/>
        </w:rPr>
        <w:t>;</w:t>
      </w:r>
      <w:proofErr w:type="gramEnd"/>
      <w:r w:rsidRPr="00537489">
        <w:rPr>
          <w:spacing w:val="-7"/>
          <w:w w:val="95"/>
          <w:sz w:val="12"/>
          <w:lang w:val="en-US"/>
        </w:rPr>
        <w:t xml:space="preserve"> </w:t>
      </w:r>
      <w:r w:rsidRPr="00537489">
        <w:rPr>
          <w:sz w:val="12"/>
          <w:lang w:val="en-US"/>
        </w:rPr>
        <w:t>CRC/C/QAT/CO/3-4,</w:t>
      </w:r>
      <w:r w:rsidRPr="00537489">
        <w:rPr>
          <w:spacing w:val="-8"/>
          <w:sz w:val="12"/>
          <w:lang w:val="en-US"/>
        </w:rPr>
        <w:t xml:space="preserve"> </w:t>
      </w:r>
      <w:proofErr w:type="spellStart"/>
      <w:r w:rsidRPr="00537489">
        <w:rPr>
          <w:sz w:val="12"/>
          <w:lang w:val="en-US"/>
        </w:rPr>
        <w:t>párr</w:t>
      </w:r>
      <w:proofErr w:type="spellEnd"/>
      <w:r w:rsidRPr="00537489">
        <w:rPr>
          <w:sz w:val="12"/>
          <w:lang w:val="en-US"/>
        </w:rPr>
        <w:t>.</w:t>
      </w:r>
      <w:r w:rsidRPr="00537489">
        <w:rPr>
          <w:spacing w:val="-9"/>
          <w:sz w:val="12"/>
          <w:lang w:val="en-US"/>
        </w:rPr>
        <w:t xml:space="preserve"> </w:t>
      </w:r>
      <w:r w:rsidRPr="00537489">
        <w:rPr>
          <w:w w:val="95"/>
          <w:sz w:val="12"/>
          <w:lang w:val="en-US"/>
        </w:rPr>
        <w:t>29</w:t>
      </w:r>
      <w:proofErr w:type="gramStart"/>
      <w:r w:rsidRPr="00537489">
        <w:rPr>
          <w:w w:val="95"/>
          <w:sz w:val="12"/>
          <w:lang w:val="en-US"/>
        </w:rPr>
        <w:t>c)</w:t>
      </w:r>
      <w:r>
        <w:rPr>
          <w:w w:val="95"/>
          <w:sz w:val="12"/>
        </w:rPr>
        <w:t>;</w:t>
      </w:r>
      <w:proofErr w:type="gramEnd"/>
      <w:r w:rsidRPr="00537489">
        <w:rPr>
          <w:spacing w:val="-6"/>
          <w:w w:val="95"/>
          <w:sz w:val="12"/>
          <w:lang w:val="en-US"/>
        </w:rPr>
        <w:t xml:space="preserve"> </w:t>
      </w:r>
      <w:r w:rsidRPr="00537489">
        <w:rPr>
          <w:sz w:val="12"/>
          <w:lang w:val="en-US"/>
        </w:rPr>
        <w:t>CRC/C/BRA/</w:t>
      </w:r>
      <w:r w:rsidRPr="00537489">
        <w:rPr>
          <w:spacing w:val="40"/>
          <w:sz w:val="12"/>
          <w:lang w:val="en-US"/>
        </w:rPr>
        <w:t xml:space="preserve"> </w:t>
      </w:r>
      <w:r w:rsidRPr="00537489">
        <w:rPr>
          <w:spacing w:val="-2"/>
          <w:sz w:val="12"/>
          <w:lang w:val="en-US"/>
        </w:rPr>
        <w:t xml:space="preserve">CO/2-4, </w:t>
      </w:r>
      <w:proofErr w:type="spellStart"/>
      <w:r w:rsidRPr="00537489">
        <w:rPr>
          <w:spacing w:val="-2"/>
          <w:sz w:val="12"/>
          <w:lang w:val="en-US"/>
        </w:rPr>
        <w:t>párr</w:t>
      </w:r>
      <w:proofErr w:type="spellEnd"/>
      <w:r w:rsidRPr="00537489">
        <w:rPr>
          <w:spacing w:val="-2"/>
          <w:sz w:val="12"/>
          <w:lang w:val="en-US"/>
        </w:rPr>
        <w:t xml:space="preserve">. </w:t>
      </w:r>
      <w:r w:rsidRPr="00537489">
        <w:rPr>
          <w:spacing w:val="-2"/>
          <w:w w:val="95"/>
          <w:sz w:val="12"/>
          <w:lang w:val="en-US"/>
        </w:rPr>
        <w:t>51</w:t>
      </w:r>
      <w:r>
        <w:rPr>
          <w:spacing w:val="-2"/>
          <w:w w:val="95"/>
          <w:sz w:val="12"/>
        </w:rPr>
        <w:t>;</w:t>
      </w:r>
      <w:r w:rsidRPr="00537489">
        <w:rPr>
          <w:spacing w:val="-2"/>
          <w:w w:val="95"/>
          <w:sz w:val="12"/>
          <w:lang w:val="en-US"/>
        </w:rPr>
        <w:t xml:space="preserve"> </w:t>
      </w:r>
      <w:r w:rsidRPr="00537489">
        <w:rPr>
          <w:spacing w:val="-2"/>
          <w:sz w:val="12"/>
          <w:lang w:val="en-US"/>
        </w:rPr>
        <w:t xml:space="preserve">CERD/C/CZE/CO/12-13, </w:t>
      </w:r>
      <w:proofErr w:type="spellStart"/>
      <w:r w:rsidRPr="00537489">
        <w:rPr>
          <w:spacing w:val="-2"/>
          <w:sz w:val="12"/>
          <w:lang w:val="en-US"/>
        </w:rPr>
        <w:t>párr</w:t>
      </w:r>
      <w:proofErr w:type="spellEnd"/>
      <w:r w:rsidRPr="00537489">
        <w:rPr>
          <w:spacing w:val="-2"/>
          <w:sz w:val="12"/>
          <w:lang w:val="en-US"/>
        </w:rPr>
        <w:t xml:space="preserve">. </w:t>
      </w:r>
      <w:r w:rsidRPr="005C01C5">
        <w:rPr>
          <w:spacing w:val="-2"/>
          <w:w w:val="95"/>
          <w:sz w:val="12"/>
          <w:lang w:val="es-CR"/>
        </w:rPr>
        <w:t>17</w:t>
      </w:r>
      <w:r>
        <w:rPr>
          <w:spacing w:val="-2"/>
          <w:w w:val="95"/>
          <w:sz w:val="12"/>
        </w:rPr>
        <w:t>;</w:t>
      </w:r>
      <w:r w:rsidRPr="005C01C5">
        <w:rPr>
          <w:spacing w:val="-2"/>
          <w:w w:val="95"/>
          <w:sz w:val="12"/>
          <w:lang w:val="es-CR"/>
        </w:rPr>
        <w:t xml:space="preserve"> </w:t>
      </w:r>
      <w:r w:rsidRPr="005C01C5">
        <w:rPr>
          <w:spacing w:val="-2"/>
          <w:sz w:val="12"/>
          <w:lang w:val="es-CR"/>
        </w:rPr>
        <w:t xml:space="preserve">CCPR/C/AZE/CO/4, párr. </w:t>
      </w:r>
      <w:r>
        <w:rPr>
          <w:spacing w:val="-2"/>
          <w:w w:val="95"/>
          <w:sz w:val="12"/>
        </w:rPr>
        <w:t xml:space="preserve">10; </w:t>
      </w:r>
      <w:r>
        <w:rPr>
          <w:spacing w:val="-2"/>
          <w:sz w:val="12"/>
        </w:rPr>
        <w:t xml:space="preserve">E/C.12/MEX/CO/5-6, </w:t>
      </w:r>
      <w:proofErr w:type="spellStart"/>
      <w:r>
        <w:rPr>
          <w:spacing w:val="-2"/>
          <w:sz w:val="12"/>
        </w:rPr>
        <w:t>párrs</w:t>
      </w:r>
      <w:proofErr w:type="spellEnd"/>
      <w:r>
        <w:rPr>
          <w:spacing w:val="-2"/>
          <w:sz w:val="12"/>
        </w:rPr>
        <w:t xml:space="preserve">. 65 (e) y 66 </w:t>
      </w:r>
      <w:r>
        <w:rPr>
          <w:spacing w:val="-2"/>
          <w:w w:val="95"/>
          <w:sz w:val="12"/>
        </w:rPr>
        <w:t xml:space="preserve">(e); </w:t>
      </w:r>
      <w:r>
        <w:rPr>
          <w:spacing w:val="-2"/>
          <w:sz w:val="12"/>
        </w:rPr>
        <w:t xml:space="preserve">E/C.12/VNM/CO/2-4, párr. </w:t>
      </w:r>
      <w:r>
        <w:rPr>
          <w:spacing w:val="-2"/>
          <w:w w:val="95"/>
          <w:sz w:val="12"/>
        </w:rPr>
        <w:t xml:space="preserve">15; </w:t>
      </w:r>
      <w:r>
        <w:rPr>
          <w:spacing w:val="-2"/>
          <w:sz w:val="12"/>
        </w:rPr>
        <w:t>y</w:t>
      </w:r>
      <w:r>
        <w:rPr>
          <w:spacing w:val="40"/>
          <w:sz w:val="12"/>
        </w:rPr>
        <w:t xml:space="preserve"> </w:t>
      </w:r>
      <w:r>
        <w:rPr>
          <w:sz w:val="12"/>
        </w:rPr>
        <w:t>CEDAW/C/AUL/CO/7, párr. 38.</w:t>
      </w:r>
    </w:p>
    <w:p w14:paraId="0EF3E02A" w14:textId="77777777" w:rsidR="0014798C" w:rsidRDefault="004E1F0B">
      <w:pPr>
        <w:spacing w:before="58" w:line="312" w:lineRule="auto"/>
        <w:ind w:left="77" w:right="1277" w:firstLine="3"/>
        <w:rPr>
          <w:sz w:val="12"/>
        </w:rPr>
      </w:pPr>
      <w:r>
        <w:rPr>
          <w:sz w:val="12"/>
        </w:rPr>
        <w:t xml:space="preserve">Véase, por ejemplo, CAT/C/BLR/CO/5, </w:t>
      </w:r>
      <w:proofErr w:type="spellStart"/>
      <w:r>
        <w:rPr>
          <w:sz w:val="12"/>
        </w:rPr>
        <w:t>párrs</w:t>
      </w:r>
      <w:proofErr w:type="spellEnd"/>
      <w:r>
        <w:rPr>
          <w:sz w:val="12"/>
        </w:rPr>
        <w:t>. 29–30. Véase también ACNUDH, Vivir libres e iguales: qué están haciendo los estados para abordar la violencia y la</w:t>
      </w:r>
      <w:r>
        <w:rPr>
          <w:spacing w:val="40"/>
          <w:sz w:val="12"/>
        </w:rPr>
        <w:t xml:space="preserve"> </w:t>
      </w:r>
      <w:r>
        <w:rPr>
          <w:sz w:val="12"/>
        </w:rPr>
        <w:t xml:space="preserve">discriminación contra las personas lesbianas, </w:t>
      </w:r>
      <w:proofErr w:type="spellStart"/>
      <w:r>
        <w:rPr>
          <w:sz w:val="12"/>
        </w:rPr>
        <w:t>gays</w:t>
      </w:r>
      <w:proofErr w:type="spellEnd"/>
      <w:r>
        <w:rPr>
          <w:sz w:val="12"/>
        </w:rPr>
        <w:t>, bisexuales, transgénero e intersexuales (Nueva York y Ginebra, 2016), pág. 42.</w:t>
      </w:r>
    </w:p>
    <w:p w14:paraId="3CEB5FC8" w14:textId="77777777" w:rsidR="0014798C" w:rsidRDefault="004E1F0B">
      <w:pPr>
        <w:spacing w:before="58"/>
        <w:ind w:left="81"/>
        <w:rPr>
          <w:sz w:val="12"/>
        </w:rPr>
      </w:pPr>
      <w:r>
        <w:rPr>
          <w:sz w:val="12"/>
        </w:rPr>
        <w:t>Véase,</w:t>
      </w:r>
      <w:r>
        <w:rPr>
          <w:spacing w:val="-8"/>
          <w:sz w:val="12"/>
        </w:rPr>
        <w:t xml:space="preserve"> </w:t>
      </w:r>
      <w:r>
        <w:rPr>
          <w:sz w:val="12"/>
        </w:rPr>
        <w:t>por</w:t>
      </w:r>
      <w:r>
        <w:rPr>
          <w:spacing w:val="-7"/>
          <w:sz w:val="12"/>
        </w:rPr>
        <w:t xml:space="preserve"> </w:t>
      </w:r>
      <w:r>
        <w:rPr>
          <w:sz w:val="12"/>
        </w:rPr>
        <w:t>ejemplo,</w:t>
      </w:r>
      <w:r>
        <w:rPr>
          <w:spacing w:val="-7"/>
          <w:sz w:val="12"/>
        </w:rPr>
        <w:t xml:space="preserve"> </w:t>
      </w:r>
      <w:r>
        <w:rPr>
          <w:sz w:val="12"/>
        </w:rPr>
        <w:t>CEDAW/C/KOR/CO/8,</w:t>
      </w:r>
      <w:r>
        <w:rPr>
          <w:spacing w:val="-7"/>
          <w:sz w:val="12"/>
        </w:rPr>
        <w:t xml:space="preserve"> </w:t>
      </w:r>
      <w:proofErr w:type="spellStart"/>
      <w:r>
        <w:rPr>
          <w:sz w:val="12"/>
        </w:rPr>
        <w:t>párrs</w:t>
      </w:r>
      <w:proofErr w:type="spellEnd"/>
      <w:r>
        <w:rPr>
          <w:sz w:val="12"/>
        </w:rPr>
        <w:t>.</w:t>
      </w:r>
      <w:r>
        <w:rPr>
          <w:spacing w:val="-7"/>
          <w:sz w:val="12"/>
        </w:rPr>
        <w:t xml:space="preserve"> </w:t>
      </w:r>
      <w:r w:rsidRPr="00537489">
        <w:rPr>
          <w:sz w:val="12"/>
          <w:lang w:val="en-US"/>
        </w:rPr>
        <w:t>30–31</w:t>
      </w:r>
      <w:r>
        <w:rPr>
          <w:sz w:val="12"/>
        </w:rPr>
        <w:t>;</w:t>
      </w:r>
      <w:r w:rsidRPr="00537489">
        <w:rPr>
          <w:spacing w:val="-7"/>
          <w:sz w:val="12"/>
          <w:lang w:val="en-US"/>
        </w:rPr>
        <w:t xml:space="preserve"> </w:t>
      </w:r>
      <w:r w:rsidRPr="00537489">
        <w:rPr>
          <w:sz w:val="12"/>
          <w:lang w:val="en-US"/>
        </w:rPr>
        <w:t>y</w:t>
      </w:r>
      <w:r w:rsidRPr="00537489">
        <w:rPr>
          <w:spacing w:val="-8"/>
          <w:sz w:val="12"/>
          <w:lang w:val="en-US"/>
        </w:rPr>
        <w:t xml:space="preserve"> </w:t>
      </w:r>
      <w:r w:rsidRPr="00537489">
        <w:rPr>
          <w:sz w:val="12"/>
          <w:lang w:val="en-US"/>
        </w:rPr>
        <w:t>CEDAW/C/EST/CO/5-6,</w:t>
      </w:r>
      <w:r w:rsidRPr="00537489">
        <w:rPr>
          <w:spacing w:val="-7"/>
          <w:sz w:val="12"/>
          <w:lang w:val="en-US"/>
        </w:rPr>
        <w:t xml:space="preserve"> </w:t>
      </w:r>
      <w:proofErr w:type="spellStart"/>
      <w:r w:rsidRPr="00537489">
        <w:rPr>
          <w:sz w:val="12"/>
          <w:lang w:val="en-US"/>
        </w:rPr>
        <w:t>párr</w:t>
      </w:r>
      <w:proofErr w:type="spellEnd"/>
      <w:r w:rsidRPr="00537489">
        <w:rPr>
          <w:sz w:val="12"/>
          <w:lang w:val="en-US"/>
        </w:rPr>
        <w:t>.</w:t>
      </w:r>
      <w:r w:rsidRPr="00537489">
        <w:rPr>
          <w:spacing w:val="-7"/>
          <w:sz w:val="12"/>
          <w:lang w:val="en-US"/>
        </w:rPr>
        <w:t xml:space="preserve"> </w:t>
      </w:r>
      <w:r>
        <w:rPr>
          <w:sz w:val="12"/>
        </w:rPr>
        <w:t>29;</w:t>
      </w:r>
      <w:r>
        <w:rPr>
          <w:spacing w:val="-8"/>
          <w:sz w:val="12"/>
        </w:rPr>
        <w:t xml:space="preserve"> </w:t>
      </w:r>
      <w:r>
        <w:rPr>
          <w:sz w:val="12"/>
        </w:rPr>
        <w:t>y</w:t>
      </w:r>
      <w:r>
        <w:rPr>
          <w:spacing w:val="-7"/>
          <w:sz w:val="12"/>
        </w:rPr>
        <w:t xml:space="preserve"> </w:t>
      </w:r>
      <w:r>
        <w:rPr>
          <w:sz w:val="12"/>
        </w:rPr>
        <w:t>CEDAW/C/SVK/CO/5-6,</w:t>
      </w:r>
      <w:r>
        <w:rPr>
          <w:spacing w:val="-7"/>
          <w:sz w:val="12"/>
        </w:rPr>
        <w:t xml:space="preserve"> </w:t>
      </w:r>
      <w:proofErr w:type="spellStart"/>
      <w:r>
        <w:rPr>
          <w:sz w:val="12"/>
        </w:rPr>
        <w:t>párrs</w:t>
      </w:r>
      <w:proofErr w:type="spellEnd"/>
      <w:r>
        <w:rPr>
          <w:sz w:val="12"/>
        </w:rPr>
        <w:t>.</w:t>
      </w:r>
      <w:r>
        <w:rPr>
          <w:spacing w:val="-7"/>
          <w:sz w:val="12"/>
        </w:rPr>
        <w:t xml:space="preserve"> </w:t>
      </w:r>
      <w:r>
        <w:rPr>
          <w:sz w:val="12"/>
        </w:rPr>
        <w:t>20,</w:t>
      </w:r>
      <w:r>
        <w:rPr>
          <w:spacing w:val="-7"/>
          <w:sz w:val="12"/>
        </w:rPr>
        <w:t xml:space="preserve"> </w:t>
      </w:r>
      <w:r>
        <w:rPr>
          <w:sz w:val="12"/>
        </w:rPr>
        <w:t>28</w:t>
      </w:r>
      <w:r>
        <w:rPr>
          <w:spacing w:val="-8"/>
          <w:sz w:val="12"/>
        </w:rPr>
        <w:t xml:space="preserve"> </w:t>
      </w:r>
      <w:r>
        <w:rPr>
          <w:sz w:val="12"/>
        </w:rPr>
        <w:t>y</w:t>
      </w:r>
      <w:r>
        <w:rPr>
          <w:spacing w:val="-7"/>
          <w:sz w:val="12"/>
        </w:rPr>
        <w:t xml:space="preserve"> </w:t>
      </w:r>
      <w:r>
        <w:rPr>
          <w:spacing w:val="-5"/>
          <w:sz w:val="12"/>
        </w:rPr>
        <w:t>30.</w:t>
      </w:r>
    </w:p>
    <w:p w14:paraId="2CC66229" w14:textId="77777777" w:rsidR="0014798C" w:rsidRDefault="0014798C">
      <w:pPr>
        <w:rPr>
          <w:sz w:val="12"/>
        </w:rPr>
        <w:sectPr w:rsidR="0014798C" w:rsidSect="00F265E4">
          <w:type w:val="continuous"/>
          <w:pgSz w:w="11900" w:h="16820"/>
          <w:pgMar w:top="40" w:right="0" w:bottom="280" w:left="200" w:header="121" w:footer="0" w:gutter="0"/>
          <w:cols w:num="2" w:space="720" w:equalWidth="0">
            <w:col w:w="1250" w:space="40"/>
            <w:col w:w="10410"/>
          </w:cols>
        </w:sectPr>
      </w:pPr>
    </w:p>
    <w:p w14:paraId="51B084F4" w14:textId="77777777" w:rsidR="0014798C" w:rsidRDefault="0014798C">
      <w:pPr>
        <w:pStyle w:val="Textoindependiente"/>
        <w:rPr>
          <w:sz w:val="12"/>
        </w:rPr>
      </w:pPr>
    </w:p>
    <w:p w14:paraId="7BE9581B" w14:textId="77777777" w:rsidR="0014798C" w:rsidRDefault="0014798C">
      <w:pPr>
        <w:pStyle w:val="Textoindependiente"/>
        <w:spacing w:before="2"/>
        <w:rPr>
          <w:sz w:val="12"/>
        </w:rPr>
      </w:pPr>
    </w:p>
    <w:p w14:paraId="41E61159" w14:textId="77777777" w:rsidR="0014798C" w:rsidRDefault="004E1F0B">
      <w:pPr>
        <w:ind w:left="1107"/>
        <w:rPr>
          <w:sz w:val="12"/>
        </w:rPr>
      </w:pPr>
      <w:r w:rsidRPr="00C666B0">
        <w:rPr>
          <w:sz w:val="12"/>
          <w:lang w:val="en-US"/>
        </w:rPr>
        <w:t>314</w:t>
      </w:r>
      <w:r w:rsidRPr="00C666B0">
        <w:rPr>
          <w:spacing w:val="3"/>
          <w:sz w:val="12"/>
          <w:lang w:val="en-US"/>
        </w:rPr>
        <w:t xml:space="preserve"> </w:t>
      </w:r>
      <w:proofErr w:type="spellStart"/>
      <w:r w:rsidRPr="00C666B0">
        <w:rPr>
          <w:sz w:val="12"/>
          <w:lang w:val="en-US"/>
        </w:rPr>
        <w:t>Véase</w:t>
      </w:r>
      <w:proofErr w:type="spellEnd"/>
      <w:r w:rsidRPr="00C666B0">
        <w:rPr>
          <w:spacing w:val="3"/>
          <w:sz w:val="12"/>
          <w:lang w:val="en-US"/>
        </w:rPr>
        <w:t xml:space="preserve"> </w:t>
      </w:r>
      <w:r w:rsidRPr="00C666B0">
        <w:rPr>
          <w:sz w:val="12"/>
          <w:lang w:val="en-US"/>
        </w:rPr>
        <w:t>CAT/C/BLR/CO/5,</w:t>
      </w:r>
      <w:r w:rsidRPr="00C666B0">
        <w:rPr>
          <w:spacing w:val="3"/>
          <w:sz w:val="12"/>
          <w:lang w:val="en-US"/>
        </w:rPr>
        <w:t xml:space="preserve"> </w:t>
      </w:r>
      <w:proofErr w:type="spellStart"/>
      <w:r w:rsidRPr="00C666B0">
        <w:rPr>
          <w:sz w:val="12"/>
          <w:lang w:val="en-US"/>
        </w:rPr>
        <w:t>párrs</w:t>
      </w:r>
      <w:proofErr w:type="spellEnd"/>
      <w:r w:rsidRPr="00C666B0">
        <w:rPr>
          <w:sz w:val="12"/>
          <w:lang w:val="en-US"/>
        </w:rPr>
        <w:t>.</w:t>
      </w:r>
      <w:r w:rsidRPr="00C666B0">
        <w:rPr>
          <w:spacing w:val="5"/>
          <w:sz w:val="12"/>
          <w:lang w:val="en-US"/>
        </w:rPr>
        <w:t xml:space="preserve"> </w:t>
      </w:r>
      <w:r>
        <w:rPr>
          <w:sz w:val="12"/>
        </w:rPr>
        <w:t>29–30.</w:t>
      </w:r>
      <w:r>
        <w:rPr>
          <w:spacing w:val="3"/>
          <w:sz w:val="12"/>
        </w:rPr>
        <w:t xml:space="preserve"> </w:t>
      </w:r>
      <w:r>
        <w:rPr>
          <w:sz w:val="12"/>
        </w:rPr>
        <w:t>Véase</w:t>
      </w:r>
      <w:r>
        <w:rPr>
          <w:spacing w:val="3"/>
          <w:sz w:val="12"/>
        </w:rPr>
        <w:t xml:space="preserve"> </w:t>
      </w:r>
      <w:r>
        <w:rPr>
          <w:sz w:val="12"/>
        </w:rPr>
        <w:t>también</w:t>
      </w:r>
      <w:r>
        <w:rPr>
          <w:spacing w:val="4"/>
          <w:sz w:val="12"/>
        </w:rPr>
        <w:t xml:space="preserve"> </w:t>
      </w:r>
      <w:r>
        <w:rPr>
          <w:sz w:val="12"/>
        </w:rPr>
        <w:t>ACNUDH,</w:t>
      </w:r>
      <w:r>
        <w:rPr>
          <w:spacing w:val="3"/>
          <w:sz w:val="12"/>
        </w:rPr>
        <w:t xml:space="preserve"> </w:t>
      </w:r>
      <w:r>
        <w:rPr>
          <w:sz w:val="12"/>
        </w:rPr>
        <w:t>Vivir</w:t>
      </w:r>
      <w:r>
        <w:rPr>
          <w:spacing w:val="3"/>
          <w:sz w:val="12"/>
        </w:rPr>
        <w:t xml:space="preserve"> </w:t>
      </w:r>
      <w:r>
        <w:rPr>
          <w:sz w:val="12"/>
        </w:rPr>
        <w:t>libres</w:t>
      </w:r>
      <w:r>
        <w:rPr>
          <w:spacing w:val="3"/>
          <w:sz w:val="12"/>
        </w:rPr>
        <w:t xml:space="preserve"> </w:t>
      </w:r>
      <w:r>
        <w:rPr>
          <w:sz w:val="12"/>
        </w:rPr>
        <w:t>e</w:t>
      </w:r>
      <w:r>
        <w:rPr>
          <w:spacing w:val="4"/>
          <w:sz w:val="12"/>
        </w:rPr>
        <w:t xml:space="preserve"> </w:t>
      </w:r>
      <w:r>
        <w:rPr>
          <w:sz w:val="12"/>
        </w:rPr>
        <w:t>iguales,</w:t>
      </w:r>
      <w:r>
        <w:rPr>
          <w:spacing w:val="4"/>
          <w:sz w:val="12"/>
        </w:rPr>
        <w:t xml:space="preserve"> </w:t>
      </w:r>
      <w:r>
        <w:rPr>
          <w:sz w:val="12"/>
        </w:rPr>
        <w:t>pág.</w:t>
      </w:r>
      <w:r>
        <w:rPr>
          <w:spacing w:val="3"/>
          <w:sz w:val="12"/>
        </w:rPr>
        <w:t xml:space="preserve"> </w:t>
      </w:r>
      <w:r>
        <w:rPr>
          <w:spacing w:val="-5"/>
          <w:sz w:val="12"/>
        </w:rPr>
        <w:t>42.</w:t>
      </w:r>
    </w:p>
    <w:p w14:paraId="323461D1" w14:textId="77777777" w:rsidR="0014798C" w:rsidRDefault="0014798C">
      <w:pPr>
        <w:pStyle w:val="Textoindependiente"/>
        <w:rPr>
          <w:sz w:val="19"/>
        </w:rPr>
      </w:pPr>
    </w:p>
    <w:p w14:paraId="61BCDA08" w14:textId="77777777" w:rsidR="0014798C" w:rsidRDefault="0014798C">
      <w:pPr>
        <w:rPr>
          <w:sz w:val="19"/>
        </w:rPr>
        <w:sectPr w:rsidR="0014798C" w:rsidSect="00F265E4">
          <w:type w:val="continuous"/>
          <w:pgSz w:w="11900" w:h="16820"/>
          <w:pgMar w:top="40" w:right="0" w:bottom="280" w:left="200" w:header="121" w:footer="0" w:gutter="0"/>
          <w:cols w:space="720"/>
        </w:sectPr>
      </w:pPr>
    </w:p>
    <w:p w14:paraId="25053CA6" w14:textId="77777777" w:rsidR="0014798C" w:rsidRDefault="0014798C">
      <w:pPr>
        <w:pStyle w:val="Textoindependiente"/>
        <w:spacing w:before="51"/>
        <w:rPr>
          <w:sz w:val="14"/>
        </w:rPr>
      </w:pPr>
    </w:p>
    <w:p w14:paraId="54F47AAE" w14:textId="77777777" w:rsidR="0014798C" w:rsidRDefault="004E1F0B">
      <w:pPr>
        <w:ind w:left="1111"/>
        <w:rPr>
          <w:sz w:val="14"/>
        </w:rPr>
      </w:pPr>
      <w:r>
        <w:rPr>
          <w:color w:val="00AC59"/>
          <w:sz w:val="14"/>
        </w:rPr>
        <w:t>SEGUNDA</w:t>
      </w:r>
      <w:r>
        <w:rPr>
          <w:color w:val="00AC59"/>
          <w:spacing w:val="-5"/>
          <w:sz w:val="14"/>
        </w:rPr>
        <w:t xml:space="preserve"> </w:t>
      </w:r>
      <w:r>
        <w:rPr>
          <w:color w:val="00AC59"/>
          <w:sz w:val="14"/>
        </w:rPr>
        <w:t>PARTE:</w:t>
      </w:r>
      <w:r>
        <w:rPr>
          <w:color w:val="00AC59"/>
          <w:spacing w:val="-5"/>
          <w:sz w:val="14"/>
        </w:rPr>
        <w:t xml:space="preserve"> </w:t>
      </w:r>
      <w:r>
        <w:rPr>
          <w:color w:val="00AC59"/>
          <w:sz w:val="14"/>
        </w:rPr>
        <w:t>CONTENIDO</w:t>
      </w:r>
      <w:r>
        <w:rPr>
          <w:color w:val="00AC59"/>
          <w:spacing w:val="-4"/>
          <w:sz w:val="14"/>
        </w:rPr>
        <w:t xml:space="preserve"> </w:t>
      </w:r>
      <w:r>
        <w:rPr>
          <w:color w:val="00AC59"/>
          <w:sz w:val="14"/>
        </w:rPr>
        <w:t>DE</w:t>
      </w:r>
      <w:r>
        <w:rPr>
          <w:color w:val="00AC59"/>
          <w:spacing w:val="-5"/>
          <w:sz w:val="14"/>
        </w:rPr>
        <w:t xml:space="preserve"> </w:t>
      </w:r>
      <w:r>
        <w:rPr>
          <w:color w:val="00AC59"/>
          <w:sz w:val="14"/>
        </w:rPr>
        <w:t>LA</w:t>
      </w:r>
      <w:r>
        <w:rPr>
          <w:color w:val="00AC59"/>
          <w:spacing w:val="-4"/>
          <w:sz w:val="14"/>
        </w:rPr>
        <w:t xml:space="preserve"> </w:t>
      </w:r>
      <w:r>
        <w:rPr>
          <w:color w:val="00AC59"/>
          <w:sz w:val="14"/>
        </w:rPr>
        <w:t>LEY</w:t>
      </w:r>
      <w:r>
        <w:rPr>
          <w:color w:val="00AC59"/>
          <w:spacing w:val="-4"/>
          <w:sz w:val="14"/>
        </w:rPr>
        <w:t xml:space="preserve"> </w:t>
      </w:r>
      <w:r>
        <w:rPr>
          <w:color w:val="00AC59"/>
          <w:sz w:val="14"/>
        </w:rPr>
        <w:t>INTEGRAL</w:t>
      </w:r>
      <w:r>
        <w:rPr>
          <w:color w:val="00AC59"/>
          <w:spacing w:val="-5"/>
          <w:sz w:val="14"/>
        </w:rPr>
        <w:t xml:space="preserve"> </w:t>
      </w:r>
      <w:r>
        <w:rPr>
          <w:color w:val="00AC59"/>
          <w:spacing w:val="-2"/>
          <w:sz w:val="14"/>
        </w:rPr>
        <w:t>ANTIDISCRIMINACIÓN</w:t>
      </w:r>
    </w:p>
    <w:p w14:paraId="42133EE6" w14:textId="77777777" w:rsidR="0014798C" w:rsidRDefault="0014798C">
      <w:pPr>
        <w:pStyle w:val="Textoindependiente"/>
      </w:pPr>
    </w:p>
    <w:p w14:paraId="7760E7A6" w14:textId="77777777" w:rsidR="0014798C" w:rsidRDefault="0014798C">
      <w:pPr>
        <w:pStyle w:val="Textoindependiente"/>
      </w:pPr>
    </w:p>
    <w:p w14:paraId="5BA3D34C" w14:textId="77777777" w:rsidR="0014798C" w:rsidRDefault="0014798C">
      <w:pPr>
        <w:pStyle w:val="Textoindependiente"/>
      </w:pPr>
    </w:p>
    <w:p w14:paraId="36EDFE86" w14:textId="77777777" w:rsidR="0014798C" w:rsidRDefault="0014798C">
      <w:pPr>
        <w:pStyle w:val="Textoindependiente"/>
      </w:pPr>
    </w:p>
    <w:p w14:paraId="634A3471" w14:textId="77777777" w:rsidR="0014798C" w:rsidRDefault="0014798C">
      <w:pPr>
        <w:pStyle w:val="Textoindependiente"/>
        <w:spacing w:before="61"/>
      </w:pPr>
    </w:p>
    <w:p w14:paraId="30CAC41E" w14:textId="77777777" w:rsidR="0014798C" w:rsidRDefault="004E1F0B">
      <w:pPr>
        <w:pStyle w:val="Textoindependiente"/>
        <w:spacing w:line="326" w:lineRule="auto"/>
        <w:ind w:left="1111" w:right="1553"/>
      </w:pPr>
      <w:r>
        <w:t>sobre el disfrute de todos los derechos humanos por las personas mayores, por ejemplo, ha declarado que la planificación espacial debe “facilitar la participación de las personas mayores...</w:t>
      </w:r>
      <w:r>
        <w:rPr>
          <w:spacing w:val="11"/>
        </w:rPr>
        <w:t xml:space="preserve"> </w:t>
      </w:r>
      <w:r>
        <w:t>y evitar la segregación”.315 El Experto Independiente sobre</w:t>
      </w:r>
      <w:r>
        <w:rPr>
          <w:spacing w:val="80"/>
        </w:rPr>
        <w:t xml:space="preserve"> </w:t>
      </w:r>
      <w:r>
        <w:t>la protección contra la violencia y la discriminación basada en la orientación sexual y la identidad de género ha recomendado</w:t>
      </w:r>
      <w:r>
        <w:rPr>
          <w:spacing w:val="40"/>
        </w:rPr>
        <w:t xml:space="preserve"> </w:t>
      </w:r>
      <w:r>
        <w:t>que los Estados revisen y actualicen “las políticas basadas en género sobre el uso del espacio público y las políticas que</w:t>
      </w:r>
      <w:r>
        <w:rPr>
          <w:spacing w:val="40"/>
        </w:rPr>
        <w:t xml:space="preserve"> </w:t>
      </w:r>
      <w:r>
        <w:t>orientan el acceso a espacios segregados, como instalaciones sanitarias y vestuarios”.316</w:t>
      </w:r>
    </w:p>
    <w:p w14:paraId="6DD29068" w14:textId="77777777" w:rsidR="0014798C" w:rsidRDefault="0014798C">
      <w:pPr>
        <w:pStyle w:val="Textoindependiente"/>
      </w:pPr>
    </w:p>
    <w:p w14:paraId="41FAD9FF" w14:textId="77777777" w:rsidR="0014798C" w:rsidRDefault="0014798C">
      <w:pPr>
        <w:pStyle w:val="Textoindependiente"/>
        <w:spacing w:before="99"/>
      </w:pPr>
    </w:p>
    <w:p w14:paraId="4F89DAFC" w14:textId="77777777" w:rsidR="0014798C" w:rsidRDefault="004E1F0B">
      <w:pPr>
        <w:pStyle w:val="Textoindependiente"/>
        <w:ind w:left="1335"/>
      </w:pPr>
      <w:r>
        <w:rPr>
          <w:noProof/>
        </w:rPr>
        <w:drawing>
          <wp:anchor distT="0" distB="0" distL="0" distR="0" simplePos="0" relativeHeight="251658392" behindDoc="1" locked="0" layoutInCell="1" allowOverlap="1" wp14:anchorId="1D0EA4D4" wp14:editId="55D62BBC">
            <wp:simplePos x="0" y="0"/>
            <wp:positionH relativeFrom="page">
              <wp:posOffset>790692</wp:posOffset>
            </wp:positionH>
            <wp:positionV relativeFrom="paragraph">
              <wp:posOffset>-169521</wp:posOffset>
            </wp:positionV>
            <wp:extent cx="6765807" cy="5360570"/>
            <wp:effectExtent l="0" t="0" r="0" b="0"/>
            <wp:wrapNone/>
            <wp:docPr id="127" name="Image 12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27" name="Image 127"/>
                    <pic:cNvPicPr/>
                  </pic:nvPicPr>
                  <pic:blipFill>
                    <a:blip r:embed="rId123" cstate="print"/>
                    <a:stretch>
                      <a:fillRect/>
                    </a:stretch>
                  </pic:blipFill>
                  <pic:spPr>
                    <a:xfrm>
                      <a:off x="0" y="0"/>
                      <a:ext cx="6765807" cy="5360570"/>
                    </a:xfrm>
                    <a:prstGeom prst="rect">
                      <a:avLst/>
                    </a:prstGeom>
                  </pic:spPr>
                </pic:pic>
              </a:graphicData>
            </a:graphic>
          </wp:anchor>
        </w:drawing>
      </w:r>
      <w:r>
        <w:t>SEGREGACIÓN</w:t>
      </w:r>
      <w:r>
        <w:rPr>
          <w:spacing w:val="7"/>
        </w:rPr>
        <w:t xml:space="preserve"> </w:t>
      </w:r>
      <w:r>
        <w:t>EN</w:t>
      </w:r>
      <w:r>
        <w:rPr>
          <w:spacing w:val="9"/>
        </w:rPr>
        <w:t xml:space="preserve"> </w:t>
      </w:r>
      <w:r>
        <w:t>ESTADOS</w:t>
      </w:r>
      <w:r>
        <w:rPr>
          <w:spacing w:val="9"/>
        </w:rPr>
        <w:t xml:space="preserve"> </w:t>
      </w:r>
      <w:r>
        <w:rPr>
          <w:spacing w:val="-2"/>
        </w:rPr>
        <w:t>UNIDOS</w:t>
      </w:r>
    </w:p>
    <w:p w14:paraId="76A2DD18" w14:textId="77777777" w:rsidR="0014798C" w:rsidRDefault="0014798C">
      <w:pPr>
        <w:pStyle w:val="Textoindependiente"/>
        <w:spacing w:before="15"/>
      </w:pPr>
    </w:p>
    <w:p w14:paraId="6108E2F8" w14:textId="77777777" w:rsidR="0014798C" w:rsidRDefault="004E1F0B">
      <w:pPr>
        <w:pStyle w:val="Textoindependiente"/>
        <w:ind w:left="1334"/>
      </w:pPr>
      <w:r>
        <w:rPr>
          <w:spacing w:val="-2"/>
          <w:w w:val="105"/>
        </w:rPr>
        <w:t>El</w:t>
      </w:r>
      <w:r>
        <w:rPr>
          <w:spacing w:val="-3"/>
          <w:w w:val="105"/>
        </w:rPr>
        <w:t xml:space="preserve"> </w:t>
      </w:r>
      <w:r>
        <w:rPr>
          <w:spacing w:val="-2"/>
          <w:w w:val="105"/>
        </w:rPr>
        <w:t>desafío</w:t>
      </w:r>
      <w:r>
        <w:rPr>
          <w:spacing w:val="-3"/>
          <w:w w:val="105"/>
        </w:rPr>
        <w:t xml:space="preserve"> </w:t>
      </w:r>
      <w:r>
        <w:rPr>
          <w:spacing w:val="-2"/>
          <w:w w:val="105"/>
        </w:rPr>
        <w:t>legal a</w:t>
      </w:r>
      <w:r>
        <w:rPr>
          <w:spacing w:val="-3"/>
          <w:w w:val="105"/>
        </w:rPr>
        <w:t xml:space="preserve"> </w:t>
      </w:r>
      <w:r>
        <w:rPr>
          <w:spacing w:val="-2"/>
          <w:w w:val="105"/>
        </w:rPr>
        <w:t>la</w:t>
      </w:r>
      <w:r>
        <w:rPr>
          <w:spacing w:val="-3"/>
          <w:w w:val="105"/>
        </w:rPr>
        <w:t xml:space="preserve"> </w:t>
      </w:r>
      <w:r>
        <w:rPr>
          <w:spacing w:val="-2"/>
          <w:w w:val="105"/>
        </w:rPr>
        <w:t>separación forzosa</w:t>
      </w:r>
      <w:r>
        <w:rPr>
          <w:spacing w:val="-3"/>
          <w:w w:val="105"/>
        </w:rPr>
        <w:t xml:space="preserve"> </w:t>
      </w:r>
      <w:r>
        <w:rPr>
          <w:spacing w:val="-2"/>
          <w:w w:val="105"/>
        </w:rPr>
        <w:t>basada</w:t>
      </w:r>
      <w:r>
        <w:rPr>
          <w:spacing w:val="-3"/>
          <w:w w:val="105"/>
        </w:rPr>
        <w:t xml:space="preserve"> </w:t>
      </w:r>
      <w:r>
        <w:rPr>
          <w:spacing w:val="-2"/>
          <w:w w:val="105"/>
        </w:rPr>
        <w:t>en la</w:t>
      </w:r>
      <w:r>
        <w:rPr>
          <w:spacing w:val="-3"/>
          <w:w w:val="105"/>
        </w:rPr>
        <w:t xml:space="preserve"> </w:t>
      </w:r>
      <w:r>
        <w:rPr>
          <w:spacing w:val="-2"/>
          <w:w w:val="105"/>
        </w:rPr>
        <w:t>raza</w:t>
      </w:r>
      <w:r>
        <w:rPr>
          <w:spacing w:val="-3"/>
          <w:w w:val="105"/>
        </w:rPr>
        <w:t xml:space="preserve"> </w:t>
      </w:r>
      <w:r>
        <w:rPr>
          <w:spacing w:val="-2"/>
          <w:w w:val="105"/>
        </w:rPr>
        <w:t>fue una</w:t>
      </w:r>
      <w:r>
        <w:rPr>
          <w:spacing w:val="-3"/>
          <w:w w:val="105"/>
        </w:rPr>
        <w:t xml:space="preserve"> </w:t>
      </w:r>
      <w:r>
        <w:rPr>
          <w:spacing w:val="-2"/>
          <w:w w:val="105"/>
        </w:rPr>
        <w:t>cuestión</w:t>
      </w:r>
      <w:r>
        <w:rPr>
          <w:spacing w:val="-3"/>
          <w:w w:val="105"/>
        </w:rPr>
        <w:t xml:space="preserve"> </w:t>
      </w:r>
      <w:r>
        <w:rPr>
          <w:spacing w:val="-2"/>
          <w:w w:val="105"/>
        </w:rPr>
        <w:t>central para</w:t>
      </w:r>
      <w:r>
        <w:rPr>
          <w:spacing w:val="-3"/>
          <w:w w:val="105"/>
        </w:rPr>
        <w:t xml:space="preserve"> </w:t>
      </w:r>
      <w:r>
        <w:rPr>
          <w:spacing w:val="-2"/>
          <w:w w:val="105"/>
        </w:rPr>
        <w:t>el</w:t>
      </w:r>
      <w:r>
        <w:rPr>
          <w:spacing w:val="-3"/>
          <w:w w:val="105"/>
        </w:rPr>
        <w:t xml:space="preserve"> </w:t>
      </w:r>
      <w:r>
        <w:rPr>
          <w:spacing w:val="-2"/>
          <w:w w:val="105"/>
        </w:rPr>
        <w:t>movimiento de</w:t>
      </w:r>
      <w:r>
        <w:rPr>
          <w:spacing w:val="-3"/>
          <w:w w:val="105"/>
        </w:rPr>
        <w:t xml:space="preserve"> </w:t>
      </w:r>
      <w:r>
        <w:rPr>
          <w:spacing w:val="-2"/>
          <w:w w:val="105"/>
        </w:rPr>
        <w:t>derechos</w:t>
      </w:r>
    </w:p>
    <w:p w14:paraId="2CF82AAC" w14:textId="77777777" w:rsidR="0014798C" w:rsidRDefault="004E1F0B">
      <w:pPr>
        <w:pStyle w:val="Textoindependiente"/>
        <w:spacing w:before="65"/>
        <w:ind w:left="1334"/>
      </w:pPr>
      <w:r>
        <w:rPr>
          <w:w w:val="105"/>
        </w:rPr>
        <w:t>civiles</w:t>
      </w:r>
      <w:r>
        <w:rPr>
          <w:spacing w:val="-11"/>
          <w:w w:val="105"/>
        </w:rPr>
        <w:t xml:space="preserve"> </w:t>
      </w:r>
      <w:r>
        <w:rPr>
          <w:w w:val="105"/>
        </w:rPr>
        <w:t>de</w:t>
      </w:r>
      <w:r>
        <w:rPr>
          <w:spacing w:val="-10"/>
          <w:w w:val="105"/>
        </w:rPr>
        <w:t xml:space="preserve"> </w:t>
      </w:r>
      <w:r>
        <w:rPr>
          <w:w w:val="105"/>
        </w:rPr>
        <w:t>Estados</w:t>
      </w:r>
      <w:r>
        <w:rPr>
          <w:spacing w:val="-11"/>
          <w:w w:val="105"/>
        </w:rPr>
        <w:t xml:space="preserve"> </w:t>
      </w:r>
      <w:proofErr w:type="gramStart"/>
      <w:r>
        <w:rPr>
          <w:w w:val="105"/>
        </w:rPr>
        <w:t>Unidos</w:t>
      </w:r>
      <w:r>
        <w:rPr>
          <w:spacing w:val="-10"/>
          <w:w w:val="105"/>
        </w:rPr>
        <w:t xml:space="preserve"> </w:t>
      </w:r>
      <w:r>
        <w:rPr>
          <w:w w:val="105"/>
        </w:rPr>
        <w:t>.</w:t>
      </w:r>
      <w:proofErr w:type="gramEnd"/>
      <w:r>
        <w:rPr>
          <w:spacing w:val="-11"/>
          <w:w w:val="105"/>
        </w:rPr>
        <w:t xml:space="preserve"> </w:t>
      </w:r>
      <w:r>
        <w:rPr>
          <w:w w:val="105"/>
        </w:rPr>
        <w:t>Allí,</w:t>
      </w:r>
      <w:r>
        <w:rPr>
          <w:spacing w:val="-10"/>
          <w:w w:val="105"/>
        </w:rPr>
        <w:t xml:space="preserve"> </w:t>
      </w:r>
      <w:r>
        <w:rPr>
          <w:w w:val="105"/>
        </w:rPr>
        <w:t>la</w:t>
      </w:r>
      <w:r>
        <w:rPr>
          <w:spacing w:val="-10"/>
          <w:w w:val="105"/>
        </w:rPr>
        <w:t xml:space="preserve"> </w:t>
      </w:r>
      <w:r>
        <w:rPr>
          <w:w w:val="105"/>
        </w:rPr>
        <w:t>doctrina</w:t>
      </w:r>
      <w:r>
        <w:rPr>
          <w:spacing w:val="-11"/>
          <w:w w:val="105"/>
        </w:rPr>
        <w:t xml:space="preserve"> </w:t>
      </w:r>
      <w:r>
        <w:rPr>
          <w:w w:val="105"/>
        </w:rPr>
        <w:t>jurídica</w:t>
      </w:r>
      <w:r>
        <w:rPr>
          <w:spacing w:val="-10"/>
          <w:w w:val="105"/>
        </w:rPr>
        <w:t xml:space="preserve"> </w:t>
      </w:r>
      <w:r>
        <w:rPr>
          <w:w w:val="105"/>
        </w:rPr>
        <w:t>–</w:t>
      </w:r>
      <w:r>
        <w:rPr>
          <w:spacing w:val="-10"/>
          <w:w w:val="105"/>
        </w:rPr>
        <w:t xml:space="preserve"> </w:t>
      </w:r>
      <w:r>
        <w:rPr>
          <w:w w:val="105"/>
        </w:rPr>
        <w:t>afirmada</w:t>
      </w:r>
      <w:r>
        <w:rPr>
          <w:spacing w:val="-10"/>
          <w:w w:val="105"/>
        </w:rPr>
        <w:t xml:space="preserve"> </w:t>
      </w:r>
      <w:r>
        <w:rPr>
          <w:w w:val="105"/>
        </w:rPr>
        <w:t>en</w:t>
      </w:r>
      <w:r>
        <w:rPr>
          <w:spacing w:val="-10"/>
          <w:w w:val="105"/>
        </w:rPr>
        <w:t xml:space="preserve"> </w:t>
      </w:r>
      <w:r>
        <w:rPr>
          <w:w w:val="105"/>
        </w:rPr>
        <w:t>particular</w:t>
      </w:r>
      <w:r>
        <w:rPr>
          <w:spacing w:val="-11"/>
          <w:w w:val="105"/>
        </w:rPr>
        <w:t xml:space="preserve"> </w:t>
      </w:r>
      <w:r>
        <w:rPr>
          <w:w w:val="105"/>
        </w:rPr>
        <w:t>en</w:t>
      </w:r>
      <w:r>
        <w:rPr>
          <w:spacing w:val="-11"/>
          <w:w w:val="105"/>
        </w:rPr>
        <w:t xml:space="preserve"> </w:t>
      </w:r>
      <w:r>
        <w:rPr>
          <w:w w:val="105"/>
        </w:rPr>
        <w:t>el</w:t>
      </w:r>
      <w:r>
        <w:rPr>
          <w:spacing w:val="-10"/>
          <w:w w:val="105"/>
        </w:rPr>
        <w:t xml:space="preserve"> </w:t>
      </w:r>
      <w:r>
        <w:rPr>
          <w:w w:val="105"/>
        </w:rPr>
        <w:t>caso</w:t>
      </w:r>
      <w:r>
        <w:rPr>
          <w:spacing w:val="-10"/>
          <w:w w:val="105"/>
        </w:rPr>
        <w:t xml:space="preserve"> </w:t>
      </w:r>
      <w:r>
        <w:rPr>
          <w:w w:val="105"/>
        </w:rPr>
        <w:t>de</w:t>
      </w:r>
      <w:r>
        <w:rPr>
          <w:spacing w:val="-10"/>
          <w:w w:val="105"/>
        </w:rPr>
        <w:t xml:space="preserve"> </w:t>
      </w:r>
      <w:r>
        <w:rPr>
          <w:w w:val="105"/>
        </w:rPr>
        <w:t>la</w:t>
      </w:r>
      <w:r>
        <w:rPr>
          <w:spacing w:val="-10"/>
          <w:w w:val="105"/>
        </w:rPr>
        <w:t xml:space="preserve"> </w:t>
      </w:r>
      <w:r>
        <w:rPr>
          <w:w w:val="105"/>
        </w:rPr>
        <w:t>Corte</w:t>
      </w:r>
      <w:r>
        <w:rPr>
          <w:spacing w:val="-11"/>
          <w:w w:val="105"/>
        </w:rPr>
        <w:t xml:space="preserve"> </w:t>
      </w:r>
      <w:r>
        <w:rPr>
          <w:w w:val="105"/>
        </w:rPr>
        <w:t>Suprema</w:t>
      </w:r>
      <w:r>
        <w:rPr>
          <w:spacing w:val="-10"/>
          <w:w w:val="105"/>
        </w:rPr>
        <w:t xml:space="preserve"> </w:t>
      </w:r>
      <w:r>
        <w:rPr>
          <w:w w:val="105"/>
        </w:rPr>
        <w:t>de</w:t>
      </w:r>
      <w:r>
        <w:rPr>
          <w:spacing w:val="-10"/>
          <w:w w:val="105"/>
        </w:rPr>
        <w:t xml:space="preserve"> </w:t>
      </w:r>
      <w:r>
        <w:rPr>
          <w:w w:val="105"/>
        </w:rPr>
        <w:t>1896,</w:t>
      </w:r>
      <w:r>
        <w:rPr>
          <w:spacing w:val="-10"/>
          <w:w w:val="105"/>
        </w:rPr>
        <w:t xml:space="preserve"> </w:t>
      </w:r>
      <w:proofErr w:type="spellStart"/>
      <w:r>
        <w:rPr>
          <w:w w:val="105"/>
        </w:rPr>
        <w:t>Plessy</w:t>
      </w:r>
      <w:proofErr w:type="spellEnd"/>
      <w:r>
        <w:rPr>
          <w:spacing w:val="-10"/>
          <w:w w:val="105"/>
        </w:rPr>
        <w:t xml:space="preserve"> </w:t>
      </w:r>
      <w:r>
        <w:rPr>
          <w:spacing w:val="-5"/>
          <w:w w:val="105"/>
        </w:rPr>
        <w:t>v.</w:t>
      </w:r>
    </w:p>
    <w:p w14:paraId="4789D583" w14:textId="77777777" w:rsidR="0014798C" w:rsidRDefault="004E1F0B">
      <w:pPr>
        <w:pStyle w:val="Textoindependiente"/>
        <w:spacing w:before="89"/>
        <w:ind w:left="1328"/>
      </w:pPr>
      <w:r>
        <w:rPr>
          <w:noProof/>
        </w:rPr>
        <mc:AlternateContent>
          <mc:Choice Requires="wps">
            <w:drawing>
              <wp:anchor distT="0" distB="0" distL="0" distR="0" simplePos="0" relativeHeight="251658262" behindDoc="0" locked="0" layoutInCell="1" allowOverlap="1" wp14:anchorId="1458B985" wp14:editId="2AD1DE36">
                <wp:simplePos x="0" y="0"/>
                <wp:positionH relativeFrom="page">
                  <wp:posOffset>7313138</wp:posOffset>
                </wp:positionH>
                <wp:positionV relativeFrom="paragraph">
                  <wp:posOffset>71470</wp:posOffset>
                </wp:positionV>
                <wp:extent cx="83820" cy="281940"/>
                <wp:effectExtent l="0" t="0" r="0" b="0"/>
                <wp:wrapNone/>
                <wp:docPr id="128" name="Textbox 12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83820" cy="281940"/>
                        </a:xfrm>
                        <a:prstGeom prst="rect">
                          <a:avLst/>
                        </a:prstGeom>
                      </wps:spPr>
                      <wps:txbx>
                        <w:txbxContent>
                          <w:p w14:paraId="6573BB16" w14:textId="77777777" w:rsidR="0014798C" w:rsidRDefault="004E1F0B">
                            <w:pPr>
                              <w:spacing w:before="19"/>
                              <w:ind w:left="20"/>
                              <w:rPr>
                                <w:sz w:val="8"/>
                              </w:rPr>
                            </w:pPr>
                            <w:r>
                              <w:rPr>
                                <w:color w:val="FFFFFF"/>
                                <w:spacing w:val="-24"/>
                                <w:sz w:val="8"/>
                              </w:rPr>
                              <w:t>I–P</w:t>
                            </w:r>
                            <w:r>
                              <w:rPr>
                                <w:spacing w:val="-24"/>
                                <w:sz w:val="8"/>
                              </w:rPr>
                              <w:t>S</w:t>
                            </w:r>
                            <w:r>
                              <w:rPr>
                                <w:color w:val="FFFFFF"/>
                                <w:spacing w:val="-24"/>
                                <w:sz w:val="8"/>
                              </w:rPr>
                              <w:t>A</w:t>
                            </w:r>
                            <w:r>
                              <w:rPr>
                                <w:spacing w:val="-24"/>
                                <w:sz w:val="8"/>
                              </w:rPr>
                              <w:t>E</w:t>
                            </w:r>
                            <w:r>
                              <w:rPr>
                                <w:color w:val="FFFFFF"/>
                                <w:spacing w:val="-24"/>
                                <w:sz w:val="8"/>
                              </w:rPr>
                              <w:t>R</w:t>
                            </w:r>
                            <w:r>
                              <w:rPr>
                                <w:spacing w:val="-24"/>
                                <w:sz w:val="8"/>
                              </w:rPr>
                              <w:t>G</w:t>
                            </w:r>
                            <w:r>
                              <w:rPr>
                                <w:color w:val="FFFFFF"/>
                                <w:spacing w:val="-24"/>
                                <w:sz w:val="8"/>
                              </w:rPr>
                              <w:t>T</w:t>
                            </w:r>
                            <w:r>
                              <w:rPr>
                                <w:spacing w:val="-24"/>
                                <w:sz w:val="8"/>
                              </w:rPr>
                              <w:t>U</w:t>
                            </w:r>
                            <w:r>
                              <w:rPr>
                                <w:color w:val="FFFFFF"/>
                                <w:spacing w:val="-24"/>
                                <w:sz w:val="8"/>
                              </w:rPr>
                              <w:t>E</w:t>
                            </w:r>
                            <w:r>
                              <w:rPr>
                                <w:spacing w:val="-24"/>
                                <w:sz w:val="8"/>
                              </w:rPr>
                              <w:t>NDA</w:t>
                            </w:r>
                          </w:p>
                        </w:txbxContent>
                      </wps:txbx>
                      <wps:bodyPr vert="vert270" wrap="square" lIns="0" tIns="0" rIns="0" bIns="0" rtlCol="0">
                        <a:noAutofit/>
                      </wps:bodyPr>
                    </wps:wsp>
                  </a:graphicData>
                </a:graphic>
              </wp:anchor>
            </w:drawing>
          </mc:Choice>
          <mc:Fallback>
            <w:pict>
              <v:shape w14:anchorId="1458B985" id="Textbox 128" o:spid="_x0000_s1076" type="#_x0000_t202" style="position:absolute;left:0;text-align:left;margin-left:575.85pt;margin-top:5.65pt;width:6.6pt;height:22.2pt;z-index:251658262;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" filled="f" stroked="f">
                <v:textbox style="layout-flow:vertical;mso-layout-flow-alt:bottom-to-top" inset="0,0,0,0">
                  <w:txbxContent>
                    <w:p w14:paraId="6573BB16" w14:textId="77777777" w:rsidR="0014798C" w:rsidRDefault="004E1F0B">
                      <w:pPr>
                        <w:spacing w:before="19"/>
                        <w:ind w:left="20"/>
                        <w:rPr>
                          <w:sz w:val="8"/>
                        </w:rPr>
                      </w:pPr>
                      <w:r>
                        <w:rPr>
                          <w:color w:val="FFFFFF"/>
                          <w:spacing w:val="-24"/>
                          <w:sz w:val="8"/>
                        </w:rPr>
                        <w:t>I–P</w:t>
                      </w:r>
                      <w:r>
                        <w:rPr>
                          <w:spacing w:val="-24"/>
                          <w:sz w:val="8"/>
                        </w:rPr>
                        <w:t>S</w:t>
                      </w:r>
                      <w:r>
                        <w:rPr>
                          <w:color w:val="FFFFFF"/>
                          <w:spacing w:val="-24"/>
                          <w:sz w:val="8"/>
                        </w:rPr>
                        <w:t>A</w:t>
                      </w:r>
                      <w:r>
                        <w:rPr>
                          <w:spacing w:val="-24"/>
                          <w:sz w:val="8"/>
                        </w:rPr>
                        <w:t>E</w:t>
                      </w:r>
                      <w:r>
                        <w:rPr>
                          <w:color w:val="FFFFFF"/>
                          <w:spacing w:val="-24"/>
                          <w:sz w:val="8"/>
                        </w:rPr>
                        <w:t>R</w:t>
                      </w:r>
                      <w:r>
                        <w:rPr>
                          <w:spacing w:val="-24"/>
                          <w:sz w:val="8"/>
                        </w:rPr>
                        <w:t>G</w:t>
                      </w:r>
                      <w:r>
                        <w:rPr>
                          <w:color w:val="FFFFFF"/>
                          <w:spacing w:val="-24"/>
                          <w:sz w:val="8"/>
                        </w:rPr>
                        <w:t>T</w:t>
                      </w:r>
                      <w:r>
                        <w:rPr>
                          <w:spacing w:val="-24"/>
                          <w:sz w:val="8"/>
                        </w:rPr>
                        <w:t>U</w:t>
                      </w:r>
                      <w:r>
                        <w:rPr>
                          <w:color w:val="FFFFFF"/>
                          <w:spacing w:val="-24"/>
                          <w:sz w:val="8"/>
                        </w:rPr>
                        <w:t>E</w:t>
                      </w:r>
                      <w:r>
                        <w:rPr>
                          <w:spacing w:val="-24"/>
                          <w:sz w:val="8"/>
                        </w:rPr>
                        <w:t>NDA</w:t>
                      </w:r>
                    </w:p>
                  </w:txbxContent>
                </v:textbox>
                <w10:wrap anchorx="page"/>
              </v:shape>
            </w:pict>
          </mc:Fallback>
        </mc:AlternateContent>
      </w:r>
      <w:r>
        <w:t>Ferguson,</w:t>
      </w:r>
      <w:r>
        <w:rPr>
          <w:spacing w:val="10"/>
        </w:rPr>
        <w:t xml:space="preserve"> </w:t>
      </w:r>
      <w:r>
        <w:t>permitió</w:t>
      </w:r>
      <w:r>
        <w:rPr>
          <w:spacing w:val="10"/>
        </w:rPr>
        <w:t xml:space="preserve"> </w:t>
      </w:r>
      <w:r>
        <w:t>las</w:t>
      </w:r>
      <w:r>
        <w:rPr>
          <w:spacing w:val="9"/>
        </w:rPr>
        <w:t xml:space="preserve"> </w:t>
      </w:r>
      <w:r>
        <w:t>llamadas</w:t>
      </w:r>
      <w:r>
        <w:rPr>
          <w:spacing w:val="9"/>
        </w:rPr>
        <w:t xml:space="preserve"> </w:t>
      </w:r>
      <w:r>
        <w:t>disposiciones</w:t>
      </w:r>
      <w:r>
        <w:rPr>
          <w:spacing w:val="10"/>
        </w:rPr>
        <w:t xml:space="preserve"> </w:t>
      </w:r>
      <w:r>
        <w:t>“separadas</w:t>
      </w:r>
      <w:r>
        <w:rPr>
          <w:spacing w:val="9"/>
        </w:rPr>
        <w:t xml:space="preserve"> </w:t>
      </w:r>
      <w:r>
        <w:t>pero</w:t>
      </w:r>
      <w:r>
        <w:rPr>
          <w:spacing w:val="10"/>
        </w:rPr>
        <w:t xml:space="preserve"> </w:t>
      </w:r>
      <w:r>
        <w:rPr>
          <w:spacing w:val="-2"/>
        </w:rPr>
        <w:t>iguales”:</w:t>
      </w:r>
    </w:p>
    <w:p w14:paraId="0DD0D1F1" w14:textId="77777777" w:rsidR="0014798C" w:rsidRDefault="004E1F0B">
      <w:pPr>
        <w:pStyle w:val="Textoindependiente"/>
        <w:spacing w:before="177" w:line="326" w:lineRule="auto"/>
        <w:ind w:left="1674" w:right="1917" w:hanging="2"/>
      </w:pPr>
      <w:r>
        <w:t>Un estatuto que implica meramente una distinción legal entre las razas blanca y de color... no tiene ninguna tendencia a destruir la igualdad legal de las dos razas.317</w:t>
      </w:r>
    </w:p>
    <w:p w14:paraId="1F12CBBE" w14:textId="77777777" w:rsidR="0014798C" w:rsidRDefault="004E1F0B">
      <w:pPr>
        <w:pStyle w:val="Textoindependiente"/>
        <w:spacing w:before="112" w:line="326" w:lineRule="auto"/>
        <w:ind w:left="1337" w:right="1463" w:hanging="5"/>
      </w:pPr>
      <w:r>
        <w:t>Casi 60 años después, este precedente discriminatorio fue revocado en el caso histórico de Brown contra la Junta de Educación de Topeka (1954), que se refería a la segregación racial en la educación pública. La cuestión abordada por el Tribunal en el caso Brown fue: “¿la segregación de los niños en las escuelas públicas únicamente por motivos de raza, aunque las instalaciones físicas y otros factores 'tangibles' puedan ser iguales, priva a los niños del grupo minoritario de igualdad educativa? oportunidades?”318 La Corte sostuvo: “creemos que sí”,319</w:t>
      </w:r>
    </w:p>
    <w:p w14:paraId="2F1EEC8D" w14:textId="77777777" w:rsidR="0014798C" w:rsidRDefault="004E1F0B">
      <w:pPr>
        <w:pStyle w:val="Textoindependiente"/>
        <w:spacing w:line="182" w:lineRule="exact"/>
        <w:ind w:left="1337"/>
      </w:pPr>
      <w:r>
        <w:t>continuando</w:t>
      </w:r>
      <w:r>
        <w:rPr>
          <w:spacing w:val="4"/>
        </w:rPr>
        <w:t xml:space="preserve"> </w:t>
      </w:r>
      <w:r>
        <w:t>que</w:t>
      </w:r>
      <w:r>
        <w:rPr>
          <w:spacing w:val="4"/>
        </w:rPr>
        <w:t xml:space="preserve"> </w:t>
      </w:r>
      <w:r>
        <w:t>“en</w:t>
      </w:r>
      <w:r>
        <w:rPr>
          <w:spacing w:val="4"/>
        </w:rPr>
        <w:t xml:space="preserve"> </w:t>
      </w:r>
      <w:r>
        <w:t>el</w:t>
      </w:r>
      <w:r>
        <w:rPr>
          <w:spacing w:val="4"/>
        </w:rPr>
        <w:t xml:space="preserve"> </w:t>
      </w:r>
      <w:r>
        <w:t>ámbito</w:t>
      </w:r>
      <w:r>
        <w:rPr>
          <w:spacing w:val="4"/>
        </w:rPr>
        <w:t xml:space="preserve"> </w:t>
      </w:r>
      <w:r>
        <w:t>de</w:t>
      </w:r>
      <w:r>
        <w:rPr>
          <w:spacing w:val="4"/>
        </w:rPr>
        <w:t xml:space="preserve"> </w:t>
      </w:r>
      <w:r>
        <w:t>la</w:t>
      </w:r>
      <w:r>
        <w:rPr>
          <w:spacing w:val="5"/>
        </w:rPr>
        <w:t xml:space="preserve"> </w:t>
      </w:r>
      <w:r>
        <w:t>educación</w:t>
      </w:r>
      <w:r>
        <w:rPr>
          <w:spacing w:val="4"/>
        </w:rPr>
        <w:t xml:space="preserve"> </w:t>
      </w:r>
      <w:r>
        <w:t>pública,</w:t>
      </w:r>
      <w:r>
        <w:rPr>
          <w:spacing w:val="5"/>
        </w:rPr>
        <w:t xml:space="preserve"> </w:t>
      </w:r>
      <w:r>
        <w:t>la</w:t>
      </w:r>
      <w:r>
        <w:rPr>
          <w:spacing w:val="4"/>
        </w:rPr>
        <w:t xml:space="preserve"> </w:t>
      </w:r>
      <w:r>
        <w:t>doctrina</w:t>
      </w:r>
      <w:r>
        <w:rPr>
          <w:spacing w:val="4"/>
        </w:rPr>
        <w:t xml:space="preserve"> </w:t>
      </w:r>
      <w:r>
        <w:t>de</w:t>
      </w:r>
      <w:r>
        <w:rPr>
          <w:spacing w:val="4"/>
        </w:rPr>
        <w:t xml:space="preserve"> </w:t>
      </w:r>
      <w:r>
        <w:t>'separados</w:t>
      </w:r>
      <w:r>
        <w:rPr>
          <w:spacing w:val="5"/>
        </w:rPr>
        <w:t xml:space="preserve"> </w:t>
      </w:r>
      <w:r>
        <w:t>pero</w:t>
      </w:r>
      <w:r>
        <w:rPr>
          <w:spacing w:val="4"/>
        </w:rPr>
        <w:t xml:space="preserve"> </w:t>
      </w:r>
      <w:r>
        <w:t>iguales'</w:t>
      </w:r>
      <w:r>
        <w:rPr>
          <w:spacing w:val="5"/>
        </w:rPr>
        <w:t xml:space="preserve"> </w:t>
      </w:r>
      <w:r>
        <w:t>no</w:t>
      </w:r>
      <w:r>
        <w:rPr>
          <w:spacing w:val="4"/>
        </w:rPr>
        <w:t xml:space="preserve"> </w:t>
      </w:r>
      <w:r>
        <w:t>tiene</w:t>
      </w:r>
      <w:r>
        <w:rPr>
          <w:spacing w:val="4"/>
        </w:rPr>
        <w:t xml:space="preserve"> </w:t>
      </w:r>
      <w:r>
        <w:rPr>
          <w:spacing w:val="-2"/>
        </w:rPr>
        <w:t>cabida”.320</w:t>
      </w:r>
    </w:p>
    <w:p w14:paraId="50659D5C" w14:textId="77777777" w:rsidR="0014798C" w:rsidRDefault="004E1F0B">
      <w:pPr>
        <w:pStyle w:val="Textoindependiente"/>
        <w:spacing w:before="179"/>
        <w:ind w:left="1332"/>
      </w:pPr>
      <w:r>
        <w:t>El</w:t>
      </w:r>
      <w:r>
        <w:rPr>
          <w:spacing w:val="7"/>
        </w:rPr>
        <w:t xml:space="preserve"> </w:t>
      </w:r>
      <w:r>
        <w:t>Tribunal</w:t>
      </w:r>
      <w:r>
        <w:rPr>
          <w:spacing w:val="8"/>
        </w:rPr>
        <w:t xml:space="preserve"> </w:t>
      </w:r>
      <w:r>
        <w:t>sostuvo</w:t>
      </w:r>
      <w:r>
        <w:rPr>
          <w:spacing w:val="8"/>
        </w:rPr>
        <w:t xml:space="preserve"> </w:t>
      </w:r>
      <w:r>
        <w:t>que</w:t>
      </w:r>
      <w:r>
        <w:rPr>
          <w:spacing w:val="8"/>
        </w:rPr>
        <w:t xml:space="preserve"> </w:t>
      </w:r>
      <w:r>
        <w:t>“las</w:t>
      </w:r>
      <w:r>
        <w:rPr>
          <w:spacing w:val="8"/>
        </w:rPr>
        <w:t xml:space="preserve"> </w:t>
      </w:r>
      <w:r>
        <w:t>instalaciones</w:t>
      </w:r>
      <w:r>
        <w:rPr>
          <w:spacing w:val="8"/>
        </w:rPr>
        <w:t xml:space="preserve"> </w:t>
      </w:r>
      <w:r>
        <w:t>educativas</w:t>
      </w:r>
      <w:r>
        <w:rPr>
          <w:spacing w:val="8"/>
        </w:rPr>
        <w:t xml:space="preserve"> </w:t>
      </w:r>
      <w:r>
        <w:t>separadas</w:t>
      </w:r>
      <w:r>
        <w:rPr>
          <w:spacing w:val="8"/>
        </w:rPr>
        <w:t xml:space="preserve"> </w:t>
      </w:r>
      <w:r>
        <w:t>son</w:t>
      </w:r>
      <w:r>
        <w:rPr>
          <w:spacing w:val="8"/>
        </w:rPr>
        <w:t xml:space="preserve"> </w:t>
      </w:r>
      <w:r>
        <w:t>inherentemente</w:t>
      </w:r>
      <w:r>
        <w:rPr>
          <w:spacing w:val="8"/>
        </w:rPr>
        <w:t xml:space="preserve"> </w:t>
      </w:r>
      <w:r>
        <w:t>desiguales”</w:t>
      </w:r>
      <w:r>
        <w:rPr>
          <w:spacing w:val="8"/>
        </w:rPr>
        <w:t xml:space="preserve"> </w:t>
      </w:r>
      <w:r>
        <w:t>y</w:t>
      </w:r>
      <w:r>
        <w:rPr>
          <w:spacing w:val="8"/>
        </w:rPr>
        <w:t xml:space="preserve"> </w:t>
      </w:r>
      <w:r>
        <w:t>los</w:t>
      </w:r>
      <w:r>
        <w:rPr>
          <w:spacing w:val="8"/>
        </w:rPr>
        <w:t xml:space="preserve"> </w:t>
      </w:r>
      <w:r>
        <w:rPr>
          <w:spacing w:val="-2"/>
        </w:rPr>
        <w:t>demandantes,</w:t>
      </w:r>
    </w:p>
    <w:p w14:paraId="6552BED7" w14:textId="77777777" w:rsidR="0014798C" w:rsidRDefault="004E1F0B">
      <w:pPr>
        <w:pStyle w:val="Textoindependiente"/>
        <w:spacing w:before="66" w:line="271" w:lineRule="auto"/>
        <w:ind w:left="1333" w:right="1272" w:hanging="1"/>
      </w:pPr>
      <w:r>
        <w:t>“debido a la segregación denunciada, fueron privados de la igual protección de las leyes garantizada por la Decimocuarta Enmienda”. 321</w:t>
      </w:r>
    </w:p>
    <w:p w14:paraId="327037F1" w14:textId="77777777" w:rsidR="0014798C" w:rsidRDefault="0014798C">
      <w:pPr>
        <w:pStyle w:val="Textoindependiente"/>
      </w:pPr>
    </w:p>
    <w:p w14:paraId="161ED95E" w14:textId="77777777" w:rsidR="0014798C" w:rsidRDefault="0014798C">
      <w:pPr>
        <w:pStyle w:val="Textoindependiente"/>
        <w:spacing w:before="169"/>
      </w:pPr>
    </w:p>
    <w:p w14:paraId="3885A332" w14:textId="77777777" w:rsidR="0014798C" w:rsidRDefault="004E1F0B">
      <w:pPr>
        <w:pStyle w:val="Textoindependiente"/>
        <w:spacing w:line="326" w:lineRule="auto"/>
        <w:ind w:left="1109" w:right="1272" w:firstLine="2"/>
      </w:pPr>
      <w:r>
        <w:t>La</w:t>
      </w:r>
      <w:r>
        <w:rPr>
          <w:spacing w:val="13"/>
        </w:rPr>
        <w:t xml:space="preserve"> </w:t>
      </w:r>
      <w:r>
        <w:t>segregación</w:t>
      </w:r>
      <w:r>
        <w:rPr>
          <w:spacing w:val="13"/>
        </w:rPr>
        <w:t xml:space="preserve"> </w:t>
      </w:r>
      <w:r>
        <w:t>está</w:t>
      </w:r>
      <w:r>
        <w:rPr>
          <w:spacing w:val="13"/>
        </w:rPr>
        <w:t xml:space="preserve"> </w:t>
      </w:r>
      <w:r>
        <w:t>explícitamente</w:t>
      </w:r>
      <w:r>
        <w:rPr>
          <w:spacing w:val="13"/>
        </w:rPr>
        <w:t xml:space="preserve"> </w:t>
      </w:r>
      <w:r>
        <w:t>prohibida</w:t>
      </w:r>
      <w:r>
        <w:rPr>
          <w:spacing w:val="13"/>
        </w:rPr>
        <w:t xml:space="preserve"> </w:t>
      </w:r>
      <w:r>
        <w:t>en</w:t>
      </w:r>
      <w:r>
        <w:rPr>
          <w:spacing w:val="13"/>
        </w:rPr>
        <w:t xml:space="preserve"> </w:t>
      </w:r>
      <w:r>
        <w:t>virtud</w:t>
      </w:r>
      <w:r>
        <w:rPr>
          <w:spacing w:val="13"/>
        </w:rPr>
        <w:t xml:space="preserve"> </w:t>
      </w:r>
      <w:r>
        <w:t>del</w:t>
      </w:r>
      <w:r>
        <w:rPr>
          <w:spacing w:val="13"/>
        </w:rPr>
        <w:t xml:space="preserve"> </w:t>
      </w:r>
      <w:r>
        <w:t>artículo</w:t>
      </w:r>
      <w:r>
        <w:rPr>
          <w:spacing w:val="13"/>
        </w:rPr>
        <w:t xml:space="preserve"> </w:t>
      </w:r>
      <w:r>
        <w:t>3</w:t>
      </w:r>
      <w:r>
        <w:rPr>
          <w:spacing w:val="13"/>
        </w:rPr>
        <w:t xml:space="preserve"> </w:t>
      </w:r>
      <w:r>
        <w:t>de</w:t>
      </w:r>
      <w:r>
        <w:rPr>
          <w:spacing w:val="13"/>
        </w:rPr>
        <w:t xml:space="preserve"> </w:t>
      </w:r>
      <w:r>
        <w:t>la</w:t>
      </w:r>
      <w:r>
        <w:rPr>
          <w:spacing w:val="13"/>
        </w:rPr>
        <w:t xml:space="preserve"> </w:t>
      </w:r>
      <w:r>
        <w:t>Convención</w:t>
      </w:r>
      <w:r>
        <w:rPr>
          <w:spacing w:val="13"/>
        </w:rPr>
        <w:t xml:space="preserve"> </w:t>
      </w:r>
      <w:r>
        <w:t>Internacional</w:t>
      </w:r>
      <w:r>
        <w:rPr>
          <w:spacing w:val="13"/>
        </w:rPr>
        <w:t xml:space="preserve"> </w:t>
      </w:r>
      <w:r>
        <w:t>sobre</w:t>
      </w:r>
      <w:r>
        <w:rPr>
          <w:spacing w:val="13"/>
        </w:rPr>
        <w:t xml:space="preserve"> </w:t>
      </w:r>
      <w:r>
        <w:t>la</w:t>
      </w:r>
      <w:r>
        <w:rPr>
          <w:spacing w:val="13"/>
        </w:rPr>
        <w:t xml:space="preserve"> </w:t>
      </w:r>
      <w:r>
        <w:t>Eliminación</w:t>
      </w:r>
      <w:r>
        <w:rPr>
          <w:spacing w:val="13"/>
        </w:rPr>
        <w:t xml:space="preserve"> </w:t>
      </w:r>
      <w:r>
        <w:t>de todas las Formas de Discriminación Racial, según el cual los Estados “condenan en particular la segregación racial y el apartheid</w:t>
      </w:r>
    </w:p>
    <w:p w14:paraId="79D289E8" w14:textId="77777777" w:rsidR="0014798C" w:rsidRDefault="004E1F0B">
      <w:pPr>
        <w:pStyle w:val="Textoindependiente"/>
        <w:spacing w:line="326" w:lineRule="auto"/>
        <w:ind w:left="1106" w:right="1272" w:firstLine="3"/>
      </w:pPr>
      <w:r>
        <w:t>y se comprometen a prevenir, prohibir y erradicar todas las prácticas de esta naturaleza en los territorios bajo su jurisdicción”.</w:t>
      </w:r>
      <w:r>
        <w:rPr>
          <w:spacing w:val="9"/>
        </w:rPr>
        <w:t xml:space="preserve"> </w:t>
      </w:r>
      <w:r>
        <w:t>.322</w:t>
      </w:r>
      <w:r>
        <w:rPr>
          <w:spacing w:val="80"/>
        </w:rPr>
        <w:t xml:space="preserve"> </w:t>
      </w:r>
      <w:r>
        <w:t xml:space="preserve">El Comité de Derechos Económicos, Sociales y Culturales, en su Observación general </w:t>
      </w:r>
      <w:proofErr w:type="spellStart"/>
      <w:r>
        <w:t>Nº</w:t>
      </w:r>
      <w:proofErr w:type="spellEnd"/>
      <w:r>
        <w:t xml:space="preserve"> 20 (2009), señaló que, en virtud del</w:t>
      </w:r>
      <w:r>
        <w:rPr>
          <w:spacing w:val="40"/>
        </w:rPr>
        <w:t xml:space="preserve"> </w:t>
      </w:r>
      <w:r>
        <w:t>artículo</w:t>
      </w:r>
      <w:r>
        <w:rPr>
          <w:spacing w:val="15"/>
        </w:rPr>
        <w:t xml:space="preserve"> </w:t>
      </w:r>
      <w:r>
        <w:t>2</w:t>
      </w:r>
      <w:r>
        <w:rPr>
          <w:spacing w:val="15"/>
        </w:rPr>
        <w:t xml:space="preserve"> </w:t>
      </w:r>
      <w:r>
        <w:t>(2)</w:t>
      </w:r>
      <w:r>
        <w:rPr>
          <w:spacing w:val="15"/>
        </w:rPr>
        <w:t xml:space="preserve"> </w:t>
      </w:r>
      <w:r>
        <w:t>del</w:t>
      </w:r>
      <w:r>
        <w:rPr>
          <w:spacing w:val="15"/>
        </w:rPr>
        <w:t xml:space="preserve"> </w:t>
      </w:r>
      <w:r>
        <w:t>Pacto</w:t>
      </w:r>
      <w:r>
        <w:rPr>
          <w:spacing w:val="15"/>
        </w:rPr>
        <w:t xml:space="preserve"> </w:t>
      </w:r>
      <w:r>
        <w:t>Internacional</w:t>
      </w:r>
      <w:r>
        <w:rPr>
          <w:spacing w:val="15"/>
        </w:rPr>
        <w:t xml:space="preserve"> </w:t>
      </w:r>
      <w:r>
        <w:t>de</w:t>
      </w:r>
      <w:r>
        <w:rPr>
          <w:spacing w:val="15"/>
        </w:rPr>
        <w:t xml:space="preserve"> </w:t>
      </w:r>
      <w:r>
        <w:t>Derechos</w:t>
      </w:r>
      <w:r>
        <w:rPr>
          <w:spacing w:val="15"/>
        </w:rPr>
        <w:t xml:space="preserve"> </w:t>
      </w:r>
      <w:r>
        <w:t>Económicos,</w:t>
      </w:r>
      <w:r>
        <w:rPr>
          <w:spacing w:val="16"/>
        </w:rPr>
        <w:t xml:space="preserve"> </w:t>
      </w:r>
      <w:r>
        <w:t>Sociales</w:t>
      </w:r>
      <w:r>
        <w:rPr>
          <w:spacing w:val="15"/>
        </w:rPr>
        <w:t xml:space="preserve"> </w:t>
      </w:r>
      <w:r>
        <w:t>y</w:t>
      </w:r>
      <w:r>
        <w:rPr>
          <w:spacing w:val="15"/>
        </w:rPr>
        <w:t xml:space="preserve"> </w:t>
      </w:r>
      <w:r>
        <w:t>Culturales,</w:t>
      </w:r>
      <w:r>
        <w:rPr>
          <w:spacing w:val="16"/>
        </w:rPr>
        <w:t xml:space="preserve"> </w:t>
      </w:r>
      <w:r>
        <w:t>los</w:t>
      </w:r>
      <w:r>
        <w:rPr>
          <w:spacing w:val="15"/>
        </w:rPr>
        <w:t xml:space="preserve"> </w:t>
      </w:r>
      <w:r>
        <w:t>Estados</w:t>
      </w:r>
      <w:r>
        <w:rPr>
          <w:spacing w:val="15"/>
        </w:rPr>
        <w:t xml:space="preserve"> </w:t>
      </w:r>
      <w:r>
        <w:t>“deben</w:t>
      </w:r>
      <w:r>
        <w:rPr>
          <w:spacing w:val="15"/>
        </w:rPr>
        <w:t xml:space="preserve"> </w:t>
      </w:r>
      <w:r>
        <w:t>adoptar</w:t>
      </w:r>
      <w:r>
        <w:rPr>
          <w:spacing w:val="15"/>
        </w:rPr>
        <w:t xml:space="preserve"> </w:t>
      </w:r>
      <w:r>
        <w:t>un</w:t>
      </w:r>
      <w:r>
        <w:rPr>
          <w:spacing w:val="15"/>
        </w:rPr>
        <w:t xml:space="preserve"> </w:t>
      </w:r>
      <w:r>
        <w:t>enfoque activo para eliminar… la segregación”.323 La Convención sobre los Derechos de las Personas con Discapacidad utiliza la</w:t>
      </w:r>
    </w:p>
    <w:p w14:paraId="1D0173D5" w14:textId="77777777" w:rsidR="0014798C" w:rsidRDefault="004E1F0B">
      <w:pPr>
        <w:pStyle w:val="Textoindependiente"/>
        <w:spacing w:line="326" w:lineRule="auto"/>
        <w:ind w:left="1107" w:right="1272" w:firstLine="2"/>
      </w:pPr>
      <w:r>
        <w:t>palabra “segregación” explícitamente en el artículo 19 sobre la vida independiente y en el artículo 23 sobre los niños con discapacidad.324 En términos más generales, el artículo 3 enumera la “inclusión” como una de ocho “principios generales” de la Convención;325 conforme a esto, el Comité sobre los Derechos de las Personas con Discapacidad ha declarado que “el derecho a</w:t>
      </w:r>
      <w:r>
        <w:rPr>
          <w:spacing w:val="11"/>
        </w:rPr>
        <w:t xml:space="preserve"> </w:t>
      </w:r>
      <w:r>
        <w:t>la</w:t>
      </w:r>
      <w:r>
        <w:rPr>
          <w:spacing w:val="11"/>
        </w:rPr>
        <w:t xml:space="preserve"> </w:t>
      </w:r>
      <w:r>
        <w:t>no</w:t>
      </w:r>
      <w:r>
        <w:rPr>
          <w:spacing w:val="11"/>
        </w:rPr>
        <w:t xml:space="preserve"> </w:t>
      </w:r>
      <w:r>
        <w:t>discriminación</w:t>
      </w:r>
      <w:r>
        <w:rPr>
          <w:spacing w:val="11"/>
        </w:rPr>
        <w:t xml:space="preserve"> </w:t>
      </w:r>
      <w:r>
        <w:t>incluye</w:t>
      </w:r>
      <w:r>
        <w:rPr>
          <w:spacing w:val="11"/>
        </w:rPr>
        <w:t xml:space="preserve"> </w:t>
      </w:r>
      <w:r>
        <w:t>el</w:t>
      </w:r>
      <w:r>
        <w:rPr>
          <w:spacing w:val="11"/>
        </w:rPr>
        <w:t xml:space="preserve"> </w:t>
      </w:r>
      <w:r>
        <w:t>derecho</w:t>
      </w:r>
      <w:r>
        <w:rPr>
          <w:spacing w:val="11"/>
        </w:rPr>
        <w:t xml:space="preserve"> </w:t>
      </w:r>
      <w:r>
        <w:t>a</w:t>
      </w:r>
      <w:r>
        <w:rPr>
          <w:spacing w:val="11"/>
        </w:rPr>
        <w:t xml:space="preserve"> </w:t>
      </w:r>
      <w:r>
        <w:t>no</w:t>
      </w:r>
      <w:r>
        <w:rPr>
          <w:spacing w:val="11"/>
        </w:rPr>
        <w:t xml:space="preserve"> </w:t>
      </w:r>
      <w:r>
        <w:t>ser</w:t>
      </w:r>
      <w:r>
        <w:rPr>
          <w:spacing w:val="11"/>
        </w:rPr>
        <w:t xml:space="preserve"> </w:t>
      </w:r>
      <w:r>
        <w:t>segregado”326</w:t>
      </w:r>
      <w:r>
        <w:rPr>
          <w:spacing w:val="11"/>
        </w:rPr>
        <w:t xml:space="preserve"> </w:t>
      </w:r>
      <w:r>
        <w:t>y</w:t>
      </w:r>
      <w:r>
        <w:rPr>
          <w:spacing w:val="11"/>
        </w:rPr>
        <w:t xml:space="preserve"> </w:t>
      </w:r>
      <w:r>
        <w:t>ha</w:t>
      </w:r>
      <w:r>
        <w:rPr>
          <w:spacing w:val="11"/>
        </w:rPr>
        <w:t xml:space="preserve"> </w:t>
      </w:r>
      <w:r>
        <w:t>afirmado</w:t>
      </w:r>
      <w:r>
        <w:rPr>
          <w:spacing w:val="11"/>
        </w:rPr>
        <w:t xml:space="preserve"> </w:t>
      </w:r>
      <w:r>
        <w:t>que</w:t>
      </w:r>
      <w:r>
        <w:rPr>
          <w:spacing w:val="11"/>
        </w:rPr>
        <w:t xml:space="preserve"> </w:t>
      </w:r>
      <w:r>
        <w:t>la</w:t>
      </w:r>
      <w:r>
        <w:rPr>
          <w:spacing w:val="11"/>
        </w:rPr>
        <w:t xml:space="preserve"> </w:t>
      </w:r>
      <w:r>
        <w:t>segregación</w:t>
      </w:r>
      <w:r>
        <w:rPr>
          <w:spacing w:val="11"/>
        </w:rPr>
        <w:t xml:space="preserve"> </w:t>
      </w:r>
      <w:r>
        <w:t>en</w:t>
      </w:r>
      <w:r>
        <w:rPr>
          <w:spacing w:val="11"/>
        </w:rPr>
        <w:t xml:space="preserve"> </w:t>
      </w:r>
      <w:r>
        <w:t>áreas</w:t>
      </w:r>
      <w:r>
        <w:rPr>
          <w:spacing w:val="11"/>
        </w:rPr>
        <w:t xml:space="preserve"> </w:t>
      </w:r>
      <w:r>
        <w:t>tales</w:t>
      </w:r>
      <w:r>
        <w:rPr>
          <w:spacing w:val="11"/>
        </w:rPr>
        <w:t xml:space="preserve"> </w:t>
      </w:r>
      <w:r>
        <w:t>como</w:t>
      </w:r>
      <w:r>
        <w:rPr>
          <w:spacing w:val="11"/>
        </w:rPr>
        <w:t xml:space="preserve"> </w:t>
      </w:r>
      <w:r>
        <w:t>el empleo y la educación violan las obligaciones generales de los Estados partes en materia de no discriminación e igualdad.327</w:t>
      </w:r>
    </w:p>
    <w:p w14:paraId="5BC5713E" w14:textId="77777777" w:rsidR="0014798C" w:rsidRDefault="0014798C">
      <w:pPr>
        <w:pStyle w:val="Textoindependiente"/>
        <w:rPr>
          <w:sz w:val="20"/>
        </w:rPr>
      </w:pPr>
    </w:p>
    <w:p w14:paraId="40964093" w14:textId="77777777" w:rsidR="0014798C" w:rsidRDefault="0014798C">
      <w:pPr>
        <w:pStyle w:val="Textoindependiente"/>
        <w:rPr>
          <w:sz w:val="20"/>
        </w:rPr>
      </w:pPr>
    </w:p>
    <w:p w14:paraId="5F381434" w14:textId="77777777" w:rsidR="0014798C" w:rsidRDefault="0014798C">
      <w:pPr>
        <w:pStyle w:val="Textoindependiente"/>
        <w:spacing w:before="23"/>
        <w:rPr>
          <w:sz w:val="20"/>
        </w:rPr>
      </w:pPr>
    </w:p>
    <w:p w14:paraId="056BEFB4" w14:textId="77777777" w:rsidR="0014798C" w:rsidRDefault="0014798C">
      <w:pPr>
        <w:rPr>
          <w:sz w:val="20"/>
        </w:rPr>
        <w:sectPr w:rsidR="0014798C" w:rsidSect="00F265E4">
          <w:pgSz w:w="11900" w:h="16820"/>
          <w:pgMar w:top="340" w:right="0" w:bottom="280" w:left="200" w:header="121" w:footer="0" w:gutter="0"/>
          <w:cols w:space="720"/>
        </w:sectPr>
      </w:pPr>
    </w:p>
    <w:p w14:paraId="18D77395" w14:textId="77777777" w:rsidR="0014798C" w:rsidRDefault="0014798C">
      <w:pPr>
        <w:pStyle w:val="Textoindependiente"/>
        <w:spacing w:before="9"/>
        <w:rPr>
          <w:sz w:val="8"/>
        </w:rPr>
      </w:pPr>
    </w:p>
    <w:p w14:paraId="1C79CE88" w14:textId="77777777" w:rsidR="0014798C" w:rsidRDefault="004E1F0B">
      <w:pPr>
        <w:spacing w:before="1"/>
        <w:jc w:val="right"/>
        <w:rPr>
          <w:sz w:val="8"/>
        </w:rPr>
      </w:pPr>
      <w:r>
        <w:rPr>
          <w:spacing w:val="-5"/>
          <w:w w:val="105"/>
          <w:sz w:val="8"/>
        </w:rPr>
        <w:t>315</w:t>
      </w:r>
    </w:p>
    <w:p w14:paraId="07F5021D" w14:textId="77777777" w:rsidR="0014798C" w:rsidRDefault="0014798C">
      <w:pPr>
        <w:pStyle w:val="Textoindependiente"/>
        <w:rPr>
          <w:sz w:val="8"/>
        </w:rPr>
      </w:pPr>
    </w:p>
    <w:p w14:paraId="5D5EC9AE" w14:textId="77777777" w:rsidR="0014798C" w:rsidRDefault="0014798C">
      <w:pPr>
        <w:pStyle w:val="Textoindependiente"/>
        <w:rPr>
          <w:sz w:val="8"/>
        </w:rPr>
      </w:pPr>
    </w:p>
    <w:p w14:paraId="186C0C6D" w14:textId="77777777" w:rsidR="0014798C" w:rsidRDefault="0014798C">
      <w:pPr>
        <w:pStyle w:val="Textoindependiente"/>
        <w:rPr>
          <w:sz w:val="8"/>
        </w:rPr>
      </w:pPr>
    </w:p>
    <w:p w14:paraId="042580E0" w14:textId="77777777" w:rsidR="0014798C" w:rsidRDefault="0014798C">
      <w:pPr>
        <w:pStyle w:val="Textoindependiente"/>
        <w:rPr>
          <w:sz w:val="8"/>
        </w:rPr>
      </w:pPr>
    </w:p>
    <w:p w14:paraId="2DCDCB99" w14:textId="77777777" w:rsidR="0014798C" w:rsidRDefault="0014798C">
      <w:pPr>
        <w:pStyle w:val="Textoindependiente"/>
        <w:spacing w:before="43"/>
        <w:rPr>
          <w:sz w:val="8"/>
        </w:rPr>
      </w:pPr>
    </w:p>
    <w:p w14:paraId="4B08653A" w14:textId="77777777" w:rsidR="0014798C" w:rsidRDefault="004E1F0B">
      <w:pPr>
        <w:spacing w:before="1"/>
        <w:jc w:val="right"/>
        <w:rPr>
          <w:sz w:val="8"/>
        </w:rPr>
      </w:pPr>
      <w:r>
        <w:rPr>
          <w:spacing w:val="-5"/>
          <w:w w:val="105"/>
          <w:sz w:val="8"/>
        </w:rPr>
        <w:t>316</w:t>
      </w:r>
    </w:p>
    <w:p w14:paraId="1C204833" w14:textId="77777777" w:rsidR="0014798C" w:rsidRDefault="004E1F0B">
      <w:pPr>
        <w:spacing w:before="131"/>
        <w:ind w:left="76"/>
        <w:rPr>
          <w:sz w:val="13"/>
        </w:rPr>
      </w:pPr>
      <w:r>
        <w:br w:type="column"/>
      </w:r>
      <w:r>
        <w:rPr>
          <w:spacing w:val="-2"/>
          <w:sz w:val="13"/>
        </w:rPr>
        <w:t>A/HRC/39/50, párr. 30. La</w:t>
      </w:r>
      <w:r>
        <w:rPr>
          <w:spacing w:val="-1"/>
          <w:sz w:val="13"/>
        </w:rPr>
        <w:t xml:space="preserve"> </w:t>
      </w:r>
      <w:r>
        <w:rPr>
          <w:spacing w:val="-2"/>
          <w:sz w:val="13"/>
        </w:rPr>
        <w:t>Asamblea General ha</w:t>
      </w:r>
      <w:r>
        <w:rPr>
          <w:spacing w:val="-1"/>
          <w:sz w:val="13"/>
        </w:rPr>
        <w:t xml:space="preserve"> </w:t>
      </w:r>
      <w:r>
        <w:rPr>
          <w:spacing w:val="-2"/>
          <w:sz w:val="13"/>
        </w:rPr>
        <w:t>encomendado al Grupo de</w:t>
      </w:r>
      <w:r>
        <w:rPr>
          <w:spacing w:val="-1"/>
          <w:sz w:val="13"/>
        </w:rPr>
        <w:t xml:space="preserve"> </w:t>
      </w:r>
      <w:r>
        <w:rPr>
          <w:spacing w:val="-2"/>
          <w:sz w:val="13"/>
        </w:rPr>
        <w:t>Trabajo de composición</w:t>
      </w:r>
      <w:r>
        <w:rPr>
          <w:spacing w:val="-1"/>
          <w:sz w:val="13"/>
        </w:rPr>
        <w:t xml:space="preserve"> </w:t>
      </w:r>
      <w:r>
        <w:rPr>
          <w:spacing w:val="-2"/>
          <w:sz w:val="13"/>
        </w:rPr>
        <w:t>abierta sobre el envejecimiento</w:t>
      </w:r>
      <w:r>
        <w:rPr>
          <w:spacing w:val="-1"/>
          <w:sz w:val="13"/>
        </w:rPr>
        <w:t xml:space="preserve"> </w:t>
      </w:r>
      <w:r>
        <w:rPr>
          <w:spacing w:val="-2"/>
          <w:sz w:val="13"/>
        </w:rPr>
        <w:t>que examine</w:t>
      </w:r>
    </w:p>
    <w:p w14:paraId="1D7E961C" w14:textId="77777777" w:rsidR="0014798C" w:rsidRDefault="004E1F0B">
      <w:pPr>
        <w:spacing w:before="30" w:line="288" w:lineRule="auto"/>
        <w:ind w:left="77" w:right="1784" w:firstLine="1"/>
        <w:rPr>
          <w:sz w:val="13"/>
        </w:rPr>
      </w:pPr>
      <w:r>
        <w:rPr>
          <w:sz w:val="13"/>
        </w:rPr>
        <w:t>el</w:t>
      </w:r>
      <w:r>
        <w:rPr>
          <w:spacing w:val="-8"/>
          <w:sz w:val="13"/>
        </w:rPr>
        <w:t xml:space="preserve"> </w:t>
      </w:r>
      <w:r>
        <w:rPr>
          <w:sz w:val="13"/>
        </w:rPr>
        <w:t>marco</w:t>
      </w:r>
      <w:r>
        <w:rPr>
          <w:spacing w:val="-8"/>
          <w:sz w:val="13"/>
        </w:rPr>
        <w:t xml:space="preserve"> </w:t>
      </w:r>
      <w:r>
        <w:rPr>
          <w:sz w:val="13"/>
        </w:rPr>
        <w:t>internacional</w:t>
      </w:r>
      <w:r>
        <w:rPr>
          <w:spacing w:val="-8"/>
          <w:sz w:val="13"/>
        </w:rPr>
        <w:t xml:space="preserve"> </w:t>
      </w:r>
      <w:r>
        <w:rPr>
          <w:sz w:val="13"/>
        </w:rPr>
        <w:t>existente</w:t>
      </w:r>
      <w:r>
        <w:rPr>
          <w:spacing w:val="-8"/>
          <w:sz w:val="13"/>
        </w:rPr>
        <w:t xml:space="preserve"> </w:t>
      </w:r>
      <w:r>
        <w:rPr>
          <w:sz w:val="13"/>
        </w:rPr>
        <w:t>sobre</w:t>
      </w:r>
      <w:r>
        <w:rPr>
          <w:spacing w:val="-8"/>
          <w:sz w:val="13"/>
        </w:rPr>
        <w:t xml:space="preserve"> </w:t>
      </w:r>
      <w:r>
        <w:rPr>
          <w:sz w:val="13"/>
        </w:rPr>
        <w:t>los</w:t>
      </w:r>
      <w:r>
        <w:rPr>
          <w:spacing w:val="-8"/>
          <w:sz w:val="13"/>
        </w:rPr>
        <w:t xml:space="preserve"> </w:t>
      </w:r>
      <w:r>
        <w:rPr>
          <w:sz w:val="13"/>
        </w:rPr>
        <w:t>derechos</w:t>
      </w:r>
      <w:r>
        <w:rPr>
          <w:spacing w:val="-8"/>
          <w:sz w:val="13"/>
        </w:rPr>
        <w:t xml:space="preserve"> </w:t>
      </w:r>
      <w:r>
        <w:rPr>
          <w:sz w:val="13"/>
        </w:rPr>
        <w:t>humanos</w:t>
      </w:r>
      <w:r>
        <w:rPr>
          <w:spacing w:val="-8"/>
          <w:sz w:val="13"/>
        </w:rPr>
        <w:t xml:space="preserve"> </w:t>
      </w:r>
      <w:r>
        <w:rPr>
          <w:sz w:val="13"/>
        </w:rPr>
        <w:t>de</w:t>
      </w:r>
      <w:r>
        <w:rPr>
          <w:spacing w:val="-8"/>
          <w:sz w:val="13"/>
        </w:rPr>
        <w:t xml:space="preserve"> </w:t>
      </w:r>
      <w:r>
        <w:rPr>
          <w:sz w:val="13"/>
        </w:rPr>
        <w:t>las</w:t>
      </w:r>
      <w:r>
        <w:rPr>
          <w:spacing w:val="-8"/>
          <w:sz w:val="13"/>
        </w:rPr>
        <w:t xml:space="preserve"> </w:t>
      </w:r>
      <w:r>
        <w:rPr>
          <w:sz w:val="13"/>
        </w:rPr>
        <w:t>personas</w:t>
      </w:r>
      <w:r>
        <w:rPr>
          <w:spacing w:val="-8"/>
          <w:sz w:val="13"/>
        </w:rPr>
        <w:t xml:space="preserve"> </w:t>
      </w:r>
      <w:r>
        <w:rPr>
          <w:sz w:val="13"/>
        </w:rPr>
        <w:t>de</w:t>
      </w:r>
      <w:r>
        <w:rPr>
          <w:spacing w:val="-8"/>
          <w:sz w:val="13"/>
        </w:rPr>
        <w:t xml:space="preserve"> </w:t>
      </w:r>
      <w:r>
        <w:rPr>
          <w:sz w:val="13"/>
        </w:rPr>
        <w:t>edad</w:t>
      </w:r>
      <w:r>
        <w:rPr>
          <w:spacing w:val="-8"/>
          <w:sz w:val="13"/>
        </w:rPr>
        <w:t xml:space="preserve"> </w:t>
      </w:r>
      <w:r>
        <w:rPr>
          <w:sz w:val="13"/>
        </w:rPr>
        <w:t>e</w:t>
      </w:r>
      <w:r>
        <w:rPr>
          <w:spacing w:val="-8"/>
          <w:sz w:val="13"/>
        </w:rPr>
        <w:t xml:space="preserve"> </w:t>
      </w:r>
      <w:r>
        <w:rPr>
          <w:sz w:val="13"/>
        </w:rPr>
        <w:t>identifique</w:t>
      </w:r>
      <w:r>
        <w:rPr>
          <w:spacing w:val="-8"/>
          <w:sz w:val="13"/>
        </w:rPr>
        <w:t xml:space="preserve"> </w:t>
      </w:r>
      <w:r>
        <w:rPr>
          <w:sz w:val="13"/>
        </w:rPr>
        <w:t>posibles</w:t>
      </w:r>
      <w:r>
        <w:rPr>
          <w:spacing w:val="-8"/>
          <w:sz w:val="13"/>
        </w:rPr>
        <w:t xml:space="preserve"> </w:t>
      </w:r>
      <w:r>
        <w:rPr>
          <w:sz w:val="13"/>
        </w:rPr>
        <w:t>lagunas</w:t>
      </w:r>
      <w:r>
        <w:rPr>
          <w:spacing w:val="-8"/>
          <w:sz w:val="13"/>
        </w:rPr>
        <w:t xml:space="preserve"> </w:t>
      </w:r>
      <w:r>
        <w:rPr>
          <w:sz w:val="13"/>
        </w:rPr>
        <w:t>y</w:t>
      </w:r>
      <w:r>
        <w:rPr>
          <w:spacing w:val="-8"/>
          <w:sz w:val="13"/>
        </w:rPr>
        <w:t xml:space="preserve"> </w:t>
      </w:r>
      <w:r>
        <w:rPr>
          <w:sz w:val="13"/>
        </w:rPr>
        <w:t>la</w:t>
      </w:r>
      <w:r>
        <w:rPr>
          <w:spacing w:val="-8"/>
          <w:sz w:val="13"/>
        </w:rPr>
        <w:t xml:space="preserve"> </w:t>
      </w:r>
      <w:r>
        <w:rPr>
          <w:sz w:val="13"/>
        </w:rPr>
        <w:t>mejor</w:t>
      </w:r>
      <w:r>
        <w:rPr>
          <w:spacing w:val="-8"/>
          <w:sz w:val="13"/>
        </w:rPr>
        <w:t xml:space="preserve"> </w:t>
      </w:r>
      <w:r>
        <w:rPr>
          <w:sz w:val="13"/>
        </w:rPr>
        <w:t>manera</w:t>
      </w:r>
      <w:r>
        <w:rPr>
          <w:spacing w:val="-8"/>
          <w:sz w:val="13"/>
        </w:rPr>
        <w:t xml:space="preserve"> </w:t>
      </w:r>
      <w:r>
        <w:rPr>
          <w:sz w:val="13"/>
        </w:rPr>
        <w:t>de</w:t>
      </w:r>
      <w:r>
        <w:rPr>
          <w:spacing w:val="-8"/>
          <w:sz w:val="13"/>
        </w:rPr>
        <w:t xml:space="preserve"> </w:t>
      </w:r>
      <w:r>
        <w:rPr>
          <w:sz w:val="13"/>
        </w:rPr>
        <w:t>abordarlas,</w:t>
      </w:r>
      <w:r>
        <w:rPr>
          <w:spacing w:val="40"/>
          <w:sz w:val="13"/>
        </w:rPr>
        <w:t xml:space="preserve"> </w:t>
      </w:r>
      <w:r>
        <w:rPr>
          <w:sz w:val="13"/>
        </w:rPr>
        <w:t>incluso</w:t>
      </w:r>
      <w:r>
        <w:rPr>
          <w:spacing w:val="-6"/>
          <w:sz w:val="13"/>
        </w:rPr>
        <w:t xml:space="preserve"> </w:t>
      </w:r>
      <w:r>
        <w:rPr>
          <w:sz w:val="13"/>
        </w:rPr>
        <w:t>considerando,</w:t>
      </w:r>
      <w:r>
        <w:rPr>
          <w:spacing w:val="-5"/>
          <w:sz w:val="13"/>
        </w:rPr>
        <w:t xml:space="preserve"> </w:t>
      </w:r>
      <w:r>
        <w:rPr>
          <w:sz w:val="13"/>
        </w:rPr>
        <w:t>según</w:t>
      </w:r>
      <w:r>
        <w:rPr>
          <w:spacing w:val="-6"/>
          <w:sz w:val="13"/>
        </w:rPr>
        <w:t xml:space="preserve"> </w:t>
      </w:r>
      <w:r>
        <w:rPr>
          <w:sz w:val="13"/>
        </w:rPr>
        <w:t>proceda,</w:t>
      </w:r>
      <w:r>
        <w:rPr>
          <w:spacing w:val="-6"/>
          <w:sz w:val="13"/>
        </w:rPr>
        <w:t xml:space="preserve"> </w:t>
      </w:r>
      <w:r>
        <w:rPr>
          <w:sz w:val="13"/>
        </w:rPr>
        <w:t>la</w:t>
      </w:r>
      <w:r>
        <w:rPr>
          <w:spacing w:val="-6"/>
          <w:sz w:val="13"/>
        </w:rPr>
        <w:t xml:space="preserve"> </w:t>
      </w:r>
      <w:r>
        <w:rPr>
          <w:sz w:val="13"/>
        </w:rPr>
        <w:t>viabilidad</w:t>
      </w:r>
      <w:r>
        <w:rPr>
          <w:spacing w:val="-6"/>
          <w:sz w:val="13"/>
        </w:rPr>
        <w:t xml:space="preserve"> </w:t>
      </w:r>
      <w:r>
        <w:rPr>
          <w:sz w:val="13"/>
        </w:rPr>
        <w:t>de</w:t>
      </w:r>
      <w:r>
        <w:rPr>
          <w:spacing w:val="-6"/>
          <w:sz w:val="13"/>
        </w:rPr>
        <w:t xml:space="preserve"> </w:t>
      </w:r>
      <w:r>
        <w:rPr>
          <w:sz w:val="13"/>
        </w:rPr>
        <w:t>nuevas</w:t>
      </w:r>
      <w:r>
        <w:rPr>
          <w:spacing w:val="-6"/>
          <w:sz w:val="13"/>
        </w:rPr>
        <w:t xml:space="preserve"> </w:t>
      </w:r>
      <w:r>
        <w:rPr>
          <w:sz w:val="13"/>
        </w:rPr>
        <w:t>instrumentos</w:t>
      </w:r>
      <w:r>
        <w:rPr>
          <w:spacing w:val="-6"/>
          <w:sz w:val="13"/>
        </w:rPr>
        <w:t xml:space="preserve"> </w:t>
      </w:r>
      <w:r>
        <w:rPr>
          <w:sz w:val="13"/>
        </w:rPr>
        <w:t>y</w:t>
      </w:r>
      <w:r>
        <w:rPr>
          <w:spacing w:val="-6"/>
          <w:sz w:val="13"/>
        </w:rPr>
        <w:t xml:space="preserve"> </w:t>
      </w:r>
      <w:r>
        <w:rPr>
          <w:sz w:val="13"/>
        </w:rPr>
        <w:t>medidas.</w:t>
      </w:r>
      <w:r>
        <w:rPr>
          <w:spacing w:val="-6"/>
          <w:sz w:val="13"/>
        </w:rPr>
        <w:t xml:space="preserve"> </w:t>
      </w:r>
      <w:r>
        <w:rPr>
          <w:sz w:val="13"/>
        </w:rPr>
        <w:t>Véase</w:t>
      </w:r>
      <w:r>
        <w:rPr>
          <w:spacing w:val="-6"/>
          <w:sz w:val="13"/>
        </w:rPr>
        <w:t xml:space="preserve"> </w:t>
      </w:r>
      <w:r>
        <w:rPr>
          <w:sz w:val="13"/>
        </w:rPr>
        <w:t>la</w:t>
      </w:r>
      <w:r>
        <w:rPr>
          <w:spacing w:val="-6"/>
          <w:sz w:val="13"/>
        </w:rPr>
        <w:t xml:space="preserve"> </w:t>
      </w:r>
      <w:r>
        <w:rPr>
          <w:sz w:val="13"/>
        </w:rPr>
        <w:t>resolución</w:t>
      </w:r>
      <w:r>
        <w:rPr>
          <w:spacing w:val="-6"/>
          <w:sz w:val="13"/>
        </w:rPr>
        <w:t xml:space="preserve"> </w:t>
      </w:r>
      <w:r>
        <w:rPr>
          <w:sz w:val="13"/>
        </w:rPr>
        <w:t>65/182</w:t>
      </w:r>
      <w:r>
        <w:rPr>
          <w:spacing w:val="-6"/>
          <w:sz w:val="13"/>
        </w:rPr>
        <w:t xml:space="preserve"> </w:t>
      </w:r>
      <w:r>
        <w:rPr>
          <w:sz w:val="13"/>
        </w:rPr>
        <w:t>de</w:t>
      </w:r>
      <w:r>
        <w:rPr>
          <w:spacing w:val="-6"/>
          <w:sz w:val="13"/>
        </w:rPr>
        <w:t xml:space="preserve"> </w:t>
      </w:r>
      <w:r>
        <w:rPr>
          <w:sz w:val="13"/>
        </w:rPr>
        <w:t>la</w:t>
      </w:r>
      <w:r>
        <w:rPr>
          <w:spacing w:val="-6"/>
          <w:sz w:val="13"/>
        </w:rPr>
        <w:t xml:space="preserve"> </w:t>
      </w:r>
      <w:r>
        <w:rPr>
          <w:sz w:val="13"/>
        </w:rPr>
        <w:t>Asamblea</w:t>
      </w:r>
      <w:r>
        <w:rPr>
          <w:spacing w:val="-6"/>
          <w:sz w:val="13"/>
        </w:rPr>
        <w:t xml:space="preserve"> </w:t>
      </w:r>
      <w:r>
        <w:rPr>
          <w:sz w:val="13"/>
        </w:rPr>
        <w:t>General,</w:t>
      </w:r>
      <w:r>
        <w:rPr>
          <w:spacing w:val="-6"/>
          <w:sz w:val="13"/>
        </w:rPr>
        <w:t xml:space="preserve"> </w:t>
      </w:r>
      <w:r>
        <w:rPr>
          <w:sz w:val="13"/>
        </w:rPr>
        <w:t>párr.</w:t>
      </w:r>
      <w:r>
        <w:rPr>
          <w:spacing w:val="-6"/>
          <w:sz w:val="13"/>
        </w:rPr>
        <w:t xml:space="preserve"> </w:t>
      </w:r>
      <w:r>
        <w:rPr>
          <w:sz w:val="13"/>
        </w:rPr>
        <w:t>28.</w:t>
      </w:r>
    </w:p>
    <w:p w14:paraId="1C5171E3" w14:textId="77777777" w:rsidR="0014798C" w:rsidRDefault="004E1F0B">
      <w:pPr>
        <w:spacing w:before="58"/>
        <w:ind w:left="76"/>
        <w:rPr>
          <w:sz w:val="13"/>
        </w:rPr>
      </w:pPr>
      <w:r>
        <w:rPr>
          <w:sz w:val="13"/>
        </w:rPr>
        <w:t>A/74/181,</w:t>
      </w:r>
      <w:r>
        <w:rPr>
          <w:spacing w:val="-9"/>
          <w:sz w:val="13"/>
        </w:rPr>
        <w:t xml:space="preserve"> </w:t>
      </w:r>
      <w:proofErr w:type="spellStart"/>
      <w:r>
        <w:rPr>
          <w:sz w:val="13"/>
        </w:rPr>
        <w:t>párrs</w:t>
      </w:r>
      <w:proofErr w:type="spellEnd"/>
      <w:r>
        <w:rPr>
          <w:sz w:val="13"/>
        </w:rPr>
        <w:t>.</w:t>
      </w:r>
      <w:r>
        <w:rPr>
          <w:spacing w:val="-9"/>
          <w:sz w:val="13"/>
        </w:rPr>
        <w:t xml:space="preserve"> </w:t>
      </w:r>
      <w:r>
        <w:rPr>
          <w:sz w:val="13"/>
        </w:rPr>
        <w:t>7</w:t>
      </w:r>
      <w:r>
        <w:rPr>
          <w:spacing w:val="-9"/>
          <w:sz w:val="13"/>
        </w:rPr>
        <w:t xml:space="preserve"> </w:t>
      </w:r>
      <w:r>
        <w:rPr>
          <w:sz w:val="13"/>
        </w:rPr>
        <w:t>y</w:t>
      </w:r>
      <w:r>
        <w:rPr>
          <w:spacing w:val="-9"/>
          <w:sz w:val="13"/>
        </w:rPr>
        <w:t xml:space="preserve"> </w:t>
      </w:r>
      <w:r>
        <w:rPr>
          <w:sz w:val="13"/>
        </w:rPr>
        <w:t>101</w:t>
      </w:r>
      <w:r>
        <w:rPr>
          <w:spacing w:val="-8"/>
          <w:sz w:val="13"/>
        </w:rPr>
        <w:t xml:space="preserve"> </w:t>
      </w:r>
      <w:r>
        <w:rPr>
          <w:spacing w:val="-4"/>
          <w:sz w:val="13"/>
        </w:rPr>
        <w:t>(e).</w:t>
      </w:r>
    </w:p>
    <w:p w14:paraId="7B8AD067" w14:textId="77777777" w:rsidR="0014798C" w:rsidRDefault="0014798C">
      <w:pPr>
        <w:rPr>
          <w:sz w:val="13"/>
        </w:rPr>
        <w:sectPr w:rsidR="0014798C" w:rsidSect="00F265E4">
          <w:type w:val="continuous"/>
          <w:pgSz w:w="11900" w:h="16820"/>
          <w:pgMar w:top="40" w:right="0" w:bottom="280" w:left="200" w:header="121" w:footer="0" w:gutter="0"/>
          <w:cols w:num="2" w:space="720" w:equalWidth="0">
            <w:col w:w="1250" w:space="40"/>
            <w:col w:w="10410"/>
          </w:cols>
        </w:sectPr>
      </w:pPr>
    </w:p>
    <w:p w14:paraId="1769EF70" w14:textId="77777777" w:rsidR="0014798C" w:rsidRPr="00537489" w:rsidRDefault="004E1F0B">
      <w:pPr>
        <w:pStyle w:val="Prrafodelista"/>
        <w:numPr>
          <w:ilvl w:val="0"/>
          <w:numId w:val="70"/>
        </w:numPr>
        <w:tabs>
          <w:tab w:val="left" w:pos="1354"/>
        </w:tabs>
        <w:spacing w:before="87"/>
        <w:ind w:left="1354" w:hanging="247"/>
        <w:rPr>
          <w:sz w:val="13"/>
          <w:lang w:val="en-US"/>
        </w:rPr>
      </w:pPr>
      <w:r w:rsidRPr="00537489">
        <w:rPr>
          <w:spacing w:val="-2"/>
          <w:sz w:val="13"/>
          <w:lang w:val="en-US"/>
        </w:rPr>
        <w:t>Plessy</w:t>
      </w:r>
      <w:r w:rsidRPr="00537489">
        <w:rPr>
          <w:spacing w:val="-1"/>
          <w:sz w:val="13"/>
          <w:lang w:val="en-US"/>
        </w:rPr>
        <w:t xml:space="preserve"> </w:t>
      </w:r>
      <w:r w:rsidRPr="00537489">
        <w:rPr>
          <w:spacing w:val="-2"/>
          <w:sz w:val="13"/>
          <w:lang w:val="en-US"/>
        </w:rPr>
        <w:t>contra</w:t>
      </w:r>
      <w:r w:rsidRPr="00537489">
        <w:rPr>
          <w:spacing w:val="-1"/>
          <w:sz w:val="13"/>
          <w:lang w:val="en-US"/>
        </w:rPr>
        <w:t xml:space="preserve"> </w:t>
      </w:r>
      <w:r w:rsidRPr="00537489">
        <w:rPr>
          <w:spacing w:val="-2"/>
          <w:sz w:val="13"/>
          <w:lang w:val="en-US"/>
        </w:rPr>
        <w:t>Ferguson,</w:t>
      </w:r>
      <w:r w:rsidRPr="00537489">
        <w:rPr>
          <w:spacing w:val="-1"/>
          <w:sz w:val="13"/>
          <w:lang w:val="en-US"/>
        </w:rPr>
        <w:t xml:space="preserve"> </w:t>
      </w:r>
      <w:r w:rsidRPr="00537489">
        <w:rPr>
          <w:spacing w:val="-2"/>
          <w:sz w:val="13"/>
          <w:lang w:val="en-US"/>
        </w:rPr>
        <w:t>163</w:t>
      </w:r>
      <w:r w:rsidRPr="00537489">
        <w:rPr>
          <w:spacing w:val="-1"/>
          <w:sz w:val="13"/>
          <w:lang w:val="en-US"/>
        </w:rPr>
        <w:t xml:space="preserve"> </w:t>
      </w:r>
      <w:r w:rsidRPr="00537489">
        <w:rPr>
          <w:spacing w:val="-2"/>
          <w:sz w:val="13"/>
          <w:lang w:val="en-US"/>
        </w:rPr>
        <w:t>US</w:t>
      </w:r>
      <w:r w:rsidRPr="00537489">
        <w:rPr>
          <w:spacing w:val="-1"/>
          <w:sz w:val="13"/>
          <w:lang w:val="en-US"/>
        </w:rPr>
        <w:t xml:space="preserve"> </w:t>
      </w:r>
      <w:r w:rsidRPr="00537489">
        <w:rPr>
          <w:spacing w:val="-2"/>
          <w:sz w:val="13"/>
          <w:lang w:val="en-US"/>
        </w:rPr>
        <w:t>537</w:t>
      </w:r>
      <w:r w:rsidRPr="00537489">
        <w:rPr>
          <w:spacing w:val="-1"/>
          <w:sz w:val="13"/>
          <w:lang w:val="en-US"/>
        </w:rPr>
        <w:t xml:space="preserve"> </w:t>
      </w:r>
      <w:r w:rsidRPr="00537489">
        <w:rPr>
          <w:spacing w:val="-2"/>
          <w:sz w:val="13"/>
          <w:lang w:val="en-US"/>
        </w:rPr>
        <w:t>(1896),</w:t>
      </w:r>
      <w:r w:rsidRPr="00537489">
        <w:rPr>
          <w:spacing w:val="-1"/>
          <w:sz w:val="13"/>
          <w:lang w:val="en-US"/>
        </w:rPr>
        <w:t xml:space="preserve"> </w:t>
      </w:r>
      <w:proofErr w:type="spellStart"/>
      <w:r w:rsidRPr="00537489">
        <w:rPr>
          <w:spacing w:val="-2"/>
          <w:sz w:val="13"/>
          <w:lang w:val="en-US"/>
        </w:rPr>
        <w:t>pág</w:t>
      </w:r>
      <w:proofErr w:type="spellEnd"/>
      <w:r w:rsidRPr="00537489">
        <w:rPr>
          <w:spacing w:val="-2"/>
          <w:sz w:val="13"/>
          <w:lang w:val="en-US"/>
        </w:rPr>
        <w:t>.</w:t>
      </w:r>
      <w:r w:rsidRPr="00537489">
        <w:rPr>
          <w:spacing w:val="-1"/>
          <w:sz w:val="13"/>
          <w:lang w:val="en-US"/>
        </w:rPr>
        <w:t xml:space="preserve"> </w:t>
      </w:r>
      <w:r w:rsidRPr="00537489">
        <w:rPr>
          <w:spacing w:val="-4"/>
          <w:sz w:val="13"/>
          <w:lang w:val="en-US"/>
        </w:rPr>
        <w:t>543.</w:t>
      </w:r>
    </w:p>
    <w:p w14:paraId="56136471" w14:textId="77777777" w:rsidR="0014798C" w:rsidRDefault="004E1F0B">
      <w:pPr>
        <w:pStyle w:val="Prrafodelista"/>
        <w:numPr>
          <w:ilvl w:val="0"/>
          <w:numId w:val="70"/>
        </w:numPr>
        <w:tabs>
          <w:tab w:val="left" w:pos="1354"/>
        </w:tabs>
        <w:spacing w:before="87"/>
        <w:ind w:left="1354" w:hanging="247"/>
        <w:rPr>
          <w:sz w:val="13"/>
        </w:rPr>
      </w:pPr>
      <w:r>
        <w:rPr>
          <w:spacing w:val="-2"/>
          <w:sz w:val="13"/>
        </w:rPr>
        <w:t>Brown contra</w:t>
      </w:r>
      <w:r>
        <w:rPr>
          <w:spacing w:val="-1"/>
          <w:sz w:val="13"/>
        </w:rPr>
        <w:t xml:space="preserve"> </w:t>
      </w:r>
      <w:r>
        <w:rPr>
          <w:spacing w:val="-2"/>
          <w:sz w:val="13"/>
        </w:rPr>
        <w:t>la Junta</w:t>
      </w:r>
      <w:r>
        <w:rPr>
          <w:spacing w:val="-1"/>
          <w:sz w:val="13"/>
        </w:rPr>
        <w:t xml:space="preserve"> </w:t>
      </w:r>
      <w:r>
        <w:rPr>
          <w:spacing w:val="-2"/>
          <w:sz w:val="13"/>
        </w:rPr>
        <w:t>de Educación</w:t>
      </w:r>
      <w:r>
        <w:rPr>
          <w:spacing w:val="-1"/>
          <w:sz w:val="13"/>
        </w:rPr>
        <w:t xml:space="preserve"> </w:t>
      </w:r>
      <w:r>
        <w:rPr>
          <w:spacing w:val="-2"/>
          <w:sz w:val="13"/>
        </w:rPr>
        <w:t>de Topeka,</w:t>
      </w:r>
      <w:r>
        <w:rPr>
          <w:spacing w:val="-1"/>
          <w:sz w:val="13"/>
        </w:rPr>
        <w:t xml:space="preserve"> </w:t>
      </w:r>
      <w:r>
        <w:rPr>
          <w:spacing w:val="-2"/>
          <w:sz w:val="13"/>
        </w:rPr>
        <w:t>347 US</w:t>
      </w:r>
      <w:r>
        <w:rPr>
          <w:spacing w:val="-1"/>
          <w:sz w:val="13"/>
        </w:rPr>
        <w:t xml:space="preserve"> </w:t>
      </w:r>
      <w:r>
        <w:rPr>
          <w:spacing w:val="-2"/>
          <w:sz w:val="13"/>
        </w:rPr>
        <w:t>483</w:t>
      </w:r>
      <w:r>
        <w:rPr>
          <w:spacing w:val="-1"/>
          <w:sz w:val="13"/>
        </w:rPr>
        <w:t xml:space="preserve"> </w:t>
      </w:r>
      <w:r>
        <w:rPr>
          <w:spacing w:val="-2"/>
          <w:sz w:val="13"/>
        </w:rPr>
        <w:t>(1954), pág.</w:t>
      </w:r>
      <w:r>
        <w:rPr>
          <w:spacing w:val="-1"/>
          <w:sz w:val="13"/>
        </w:rPr>
        <w:t xml:space="preserve"> </w:t>
      </w:r>
      <w:r>
        <w:rPr>
          <w:spacing w:val="-4"/>
          <w:sz w:val="13"/>
        </w:rPr>
        <w:t>493.</w:t>
      </w:r>
    </w:p>
    <w:p w14:paraId="41012B34" w14:textId="77777777" w:rsidR="0014798C" w:rsidRDefault="004E1F0B">
      <w:pPr>
        <w:pStyle w:val="Prrafodelista"/>
        <w:numPr>
          <w:ilvl w:val="0"/>
          <w:numId w:val="70"/>
        </w:numPr>
        <w:tabs>
          <w:tab w:val="left" w:pos="1353"/>
        </w:tabs>
        <w:spacing w:before="61"/>
        <w:ind w:left="1353" w:hanging="246"/>
        <w:rPr>
          <w:sz w:val="13"/>
        </w:rPr>
      </w:pPr>
      <w:proofErr w:type="spellStart"/>
      <w:r>
        <w:rPr>
          <w:spacing w:val="-2"/>
          <w:sz w:val="13"/>
        </w:rPr>
        <w:t>Ibíd</w:t>
      </w:r>
      <w:proofErr w:type="spellEnd"/>
      <w:r>
        <w:rPr>
          <w:spacing w:val="-2"/>
          <w:sz w:val="13"/>
        </w:rPr>
        <w:t>.</w:t>
      </w:r>
    </w:p>
    <w:p w14:paraId="64E32FCC" w14:textId="77777777" w:rsidR="0014798C" w:rsidRDefault="004E1F0B">
      <w:pPr>
        <w:pStyle w:val="Prrafodelista"/>
        <w:numPr>
          <w:ilvl w:val="0"/>
          <w:numId w:val="70"/>
        </w:numPr>
        <w:tabs>
          <w:tab w:val="left" w:pos="1353"/>
        </w:tabs>
        <w:spacing w:before="119"/>
        <w:ind w:left="1353" w:hanging="246"/>
        <w:rPr>
          <w:sz w:val="13"/>
        </w:rPr>
      </w:pPr>
      <w:proofErr w:type="spellStart"/>
      <w:r>
        <w:rPr>
          <w:spacing w:val="-2"/>
          <w:sz w:val="13"/>
        </w:rPr>
        <w:t>Ibíd</w:t>
      </w:r>
      <w:proofErr w:type="spellEnd"/>
      <w:r>
        <w:rPr>
          <w:spacing w:val="-2"/>
          <w:sz w:val="13"/>
        </w:rPr>
        <w:t>.,</w:t>
      </w:r>
      <w:r>
        <w:rPr>
          <w:spacing w:val="-1"/>
          <w:sz w:val="13"/>
        </w:rPr>
        <w:t xml:space="preserve"> </w:t>
      </w:r>
      <w:r>
        <w:rPr>
          <w:spacing w:val="-2"/>
          <w:sz w:val="13"/>
        </w:rPr>
        <w:t>pág.</w:t>
      </w:r>
      <w:r>
        <w:rPr>
          <w:sz w:val="13"/>
        </w:rPr>
        <w:t xml:space="preserve"> </w:t>
      </w:r>
      <w:r>
        <w:rPr>
          <w:spacing w:val="-4"/>
          <w:sz w:val="13"/>
        </w:rPr>
        <w:t>495.</w:t>
      </w:r>
    </w:p>
    <w:p w14:paraId="7AAD9101" w14:textId="77777777" w:rsidR="0014798C" w:rsidRDefault="004E1F0B">
      <w:pPr>
        <w:pStyle w:val="Prrafodelista"/>
        <w:numPr>
          <w:ilvl w:val="0"/>
          <w:numId w:val="70"/>
        </w:numPr>
        <w:tabs>
          <w:tab w:val="left" w:pos="1353"/>
        </w:tabs>
        <w:spacing w:before="55"/>
        <w:ind w:left="1353" w:hanging="246"/>
        <w:rPr>
          <w:sz w:val="13"/>
        </w:rPr>
      </w:pPr>
      <w:proofErr w:type="spellStart"/>
      <w:r>
        <w:rPr>
          <w:spacing w:val="-2"/>
          <w:sz w:val="13"/>
        </w:rPr>
        <w:t>Ibíd</w:t>
      </w:r>
      <w:proofErr w:type="spellEnd"/>
      <w:r>
        <w:rPr>
          <w:spacing w:val="-2"/>
          <w:sz w:val="13"/>
        </w:rPr>
        <w:t>.</w:t>
      </w:r>
    </w:p>
    <w:p w14:paraId="6FA0C2C7" w14:textId="77777777" w:rsidR="0014798C" w:rsidRDefault="004E1F0B">
      <w:pPr>
        <w:pStyle w:val="Prrafodelista"/>
        <w:numPr>
          <w:ilvl w:val="0"/>
          <w:numId w:val="70"/>
        </w:numPr>
        <w:tabs>
          <w:tab w:val="left" w:pos="1353"/>
          <w:tab w:val="left" w:pos="1368"/>
        </w:tabs>
        <w:spacing w:before="119" w:line="288" w:lineRule="auto"/>
        <w:ind w:left="1368" w:right="1543" w:hanging="261"/>
        <w:rPr>
          <w:sz w:val="13"/>
        </w:rPr>
      </w:pPr>
      <w:r>
        <w:rPr>
          <w:sz w:val="13"/>
        </w:rPr>
        <w:t>Además</w:t>
      </w:r>
      <w:r>
        <w:rPr>
          <w:spacing w:val="-5"/>
          <w:sz w:val="13"/>
        </w:rPr>
        <w:t xml:space="preserve"> </w:t>
      </w:r>
      <w:r>
        <w:rPr>
          <w:sz w:val="13"/>
        </w:rPr>
        <w:t>de</w:t>
      </w:r>
      <w:r>
        <w:rPr>
          <w:spacing w:val="-5"/>
          <w:sz w:val="13"/>
        </w:rPr>
        <w:t xml:space="preserve"> </w:t>
      </w:r>
      <w:r>
        <w:rPr>
          <w:sz w:val="13"/>
        </w:rPr>
        <w:t>esta</w:t>
      </w:r>
      <w:r>
        <w:rPr>
          <w:spacing w:val="-5"/>
          <w:sz w:val="13"/>
        </w:rPr>
        <w:t xml:space="preserve"> </w:t>
      </w:r>
      <w:r>
        <w:rPr>
          <w:sz w:val="13"/>
        </w:rPr>
        <w:t>disposición,</w:t>
      </w:r>
      <w:r>
        <w:rPr>
          <w:spacing w:val="-4"/>
          <w:sz w:val="13"/>
        </w:rPr>
        <w:t xml:space="preserve"> </w:t>
      </w:r>
      <w:r>
        <w:rPr>
          <w:sz w:val="13"/>
        </w:rPr>
        <w:t>el</w:t>
      </w:r>
      <w:r>
        <w:rPr>
          <w:spacing w:val="-5"/>
          <w:sz w:val="13"/>
        </w:rPr>
        <w:t xml:space="preserve"> </w:t>
      </w:r>
      <w:r>
        <w:rPr>
          <w:sz w:val="13"/>
        </w:rPr>
        <w:t>apartheid</w:t>
      </w:r>
      <w:r>
        <w:rPr>
          <w:spacing w:val="-5"/>
          <w:sz w:val="13"/>
        </w:rPr>
        <w:t xml:space="preserve"> </w:t>
      </w:r>
      <w:r>
        <w:rPr>
          <w:sz w:val="13"/>
        </w:rPr>
        <w:t>es</w:t>
      </w:r>
      <w:r>
        <w:rPr>
          <w:spacing w:val="-5"/>
          <w:sz w:val="13"/>
        </w:rPr>
        <w:t xml:space="preserve"> </w:t>
      </w:r>
      <w:r>
        <w:rPr>
          <w:sz w:val="13"/>
        </w:rPr>
        <w:t>un</w:t>
      </w:r>
      <w:r>
        <w:rPr>
          <w:spacing w:val="-5"/>
          <w:sz w:val="13"/>
        </w:rPr>
        <w:t xml:space="preserve"> </w:t>
      </w:r>
      <w:r>
        <w:rPr>
          <w:sz w:val="13"/>
        </w:rPr>
        <w:t>delito</w:t>
      </w:r>
      <w:r>
        <w:rPr>
          <w:spacing w:val="-5"/>
          <w:sz w:val="13"/>
        </w:rPr>
        <w:t xml:space="preserve"> </w:t>
      </w:r>
      <w:r>
        <w:rPr>
          <w:sz w:val="13"/>
        </w:rPr>
        <w:t>a</w:t>
      </w:r>
      <w:r>
        <w:rPr>
          <w:spacing w:val="-5"/>
          <w:sz w:val="13"/>
        </w:rPr>
        <w:t xml:space="preserve"> </w:t>
      </w:r>
      <w:r>
        <w:rPr>
          <w:sz w:val="13"/>
        </w:rPr>
        <w:t>los</w:t>
      </w:r>
      <w:r>
        <w:rPr>
          <w:spacing w:val="-5"/>
          <w:sz w:val="13"/>
        </w:rPr>
        <w:t xml:space="preserve"> </w:t>
      </w:r>
      <w:r>
        <w:rPr>
          <w:sz w:val="13"/>
        </w:rPr>
        <w:t>efectos</w:t>
      </w:r>
      <w:r>
        <w:rPr>
          <w:spacing w:val="-5"/>
          <w:sz w:val="13"/>
        </w:rPr>
        <w:t xml:space="preserve"> </w:t>
      </w:r>
      <w:r>
        <w:rPr>
          <w:sz w:val="13"/>
        </w:rPr>
        <w:t>del</w:t>
      </w:r>
      <w:r>
        <w:rPr>
          <w:spacing w:val="-5"/>
          <w:sz w:val="13"/>
        </w:rPr>
        <w:t xml:space="preserve"> </w:t>
      </w:r>
      <w:r>
        <w:rPr>
          <w:sz w:val="13"/>
        </w:rPr>
        <w:t>derecho</w:t>
      </w:r>
      <w:r>
        <w:rPr>
          <w:spacing w:val="-5"/>
          <w:sz w:val="13"/>
        </w:rPr>
        <w:t xml:space="preserve"> </w:t>
      </w:r>
      <w:r>
        <w:rPr>
          <w:sz w:val="13"/>
        </w:rPr>
        <w:t>penal</w:t>
      </w:r>
      <w:r>
        <w:rPr>
          <w:spacing w:val="-5"/>
          <w:sz w:val="13"/>
        </w:rPr>
        <w:t xml:space="preserve"> </w:t>
      </w:r>
      <w:r>
        <w:rPr>
          <w:sz w:val="13"/>
        </w:rPr>
        <w:t>internacional.</w:t>
      </w:r>
      <w:r>
        <w:rPr>
          <w:spacing w:val="-4"/>
          <w:sz w:val="13"/>
        </w:rPr>
        <w:t xml:space="preserve"> </w:t>
      </w:r>
      <w:r>
        <w:rPr>
          <w:sz w:val="13"/>
        </w:rPr>
        <w:t>El</w:t>
      </w:r>
      <w:r>
        <w:rPr>
          <w:spacing w:val="-5"/>
          <w:sz w:val="13"/>
        </w:rPr>
        <w:t xml:space="preserve"> </w:t>
      </w:r>
      <w:r>
        <w:rPr>
          <w:sz w:val="13"/>
        </w:rPr>
        <w:t>crimen</w:t>
      </w:r>
      <w:r>
        <w:rPr>
          <w:spacing w:val="-5"/>
          <w:sz w:val="13"/>
        </w:rPr>
        <w:t xml:space="preserve"> </w:t>
      </w:r>
      <w:r>
        <w:rPr>
          <w:sz w:val="13"/>
        </w:rPr>
        <w:t>de</w:t>
      </w:r>
      <w:r>
        <w:rPr>
          <w:spacing w:val="-5"/>
          <w:sz w:val="13"/>
        </w:rPr>
        <w:t xml:space="preserve"> </w:t>
      </w:r>
      <w:r>
        <w:rPr>
          <w:sz w:val="13"/>
        </w:rPr>
        <w:t>apartheid</w:t>
      </w:r>
      <w:r>
        <w:rPr>
          <w:spacing w:val="-5"/>
          <w:sz w:val="13"/>
        </w:rPr>
        <w:t xml:space="preserve"> </w:t>
      </w:r>
      <w:r>
        <w:rPr>
          <w:sz w:val="13"/>
        </w:rPr>
        <w:t>se</w:t>
      </w:r>
      <w:r>
        <w:rPr>
          <w:spacing w:val="-5"/>
          <w:sz w:val="13"/>
        </w:rPr>
        <w:t xml:space="preserve"> </w:t>
      </w:r>
      <w:r>
        <w:rPr>
          <w:sz w:val="13"/>
        </w:rPr>
        <w:t>define</w:t>
      </w:r>
      <w:r>
        <w:rPr>
          <w:spacing w:val="-5"/>
          <w:sz w:val="13"/>
        </w:rPr>
        <w:t xml:space="preserve"> </w:t>
      </w:r>
      <w:r>
        <w:rPr>
          <w:sz w:val="13"/>
        </w:rPr>
        <w:t>en</w:t>
      </w:r>
      <w:r>
        <w:rPr>
          <w:spacing w:val="-5"/>
          <w:sz w:val="13"/>
        </w:rPr>
        <w:t xml:space="preserve"> </w:t>
      </w:r>
      <w:r>
        <w:rPr>
          <w:sz w:val="13"/>
        </w:rPr>
        <w:t>el</w:t>
      </w:r>
      <w:r>
        <w:rPr>
          <w:spacing w:val="-5"/>
          <w:sz w:val="13"/>
        </w:rPr>
        <w:t xml:space="preserve"> </w:t>
      </w:r>
      <w:r>
        <w:rPr>
          <w:sz w:val="13"/>
        </w:rPr>
        <w:t>Estatuto</w:t>
      </w:r>
      <w:r>
        <w:rPr>
          <w:spacing w:val="-6"/>
          <w:sz w:val="13"/>
        </w:rPr>
        <w:t xml:space="preserve"> </w:t>
      </w:r>
      <w:r>
        <w:rPr>
          <w:sz w:val="13"/>
        </w:rPr>
        <w:t>de</w:t>
      </w:r>
      <w:r>
        <w:rPr>
          <w:spacing w:val="40"/>
          <w:sz w:val="13"/>
        </w:rPr>
        <w:t xml:space="preserve"> </w:t>
      </w:r>
      <w:r>
        <w:rPr>
          <w:sz w:val="13"/>
        </w:rPr>
        <w:t>Roma</w:t>
      </w:r>
      <w:r>
        <w:rPr>
          <w:spacing w:val="-9"/>
          <w:sz w:val="13"/>
        </w:rPr>
        <w:t xml:space="preserve"> </w:t>
      </w:r>
      <w:r>
        <w:rPr>
          <w:sz w:val="13"/>
        </w:rPr>
        <w:t>como</w:t>
      </w:r>
      <w:r>
        <w:rPr>
          <w:spacing w:val="-9"/>
          <w:sz w:val="13"/>
        </w:rPr>
        <w:t xml:space="preserve"> </w:t>
      </w:r>
      <w:r>
        <w:rPr>
          <w:sz w:val="13"/>
        </w:rPr>
        <w:t>“actos</w:t>
      </w:r>
      <w:r>
        <w:rPr>
          <w:spacing w:val="-9"/>
          <w:sz w:val="13"/>
        </w:rPr>
        <w:t xml:space="preserve"> </w:t>
      </w:r>
      <w:r>
        <w:rPr>
          <w:sz w:val="13"/>
        </w:rPr>
        <w:t>inhumanos...</w:t>
      </w:r>
      <w:r>
        <w:rPr>
          <w:spacing w:val="-8"/>
          <w:sz w:val="13"/>
        </w:rPr>
        <w:t xml:space="preserve"> </w:t>
      </w:r>
      <w:r>
        <w:rPr>
          <w:sz w:val="13"/>
        </w:rPr>
        <w:t>cometidos</w:t>
      </w:r>
      <w:r>
        <w:rPr>
          <w:spacing w:val="-9"/>
          <w:sz w:val="13"/>
        </w:rPr>
        <w:t xml:space="preserve"> </w:t>
      </w:r>
      <w:r>
        <w:rPr>
          <w:sz w:val="13"/>
        </w:rPr>
        <w:t>en</w:t>
      </w:r>
      <w:r>
        <w:rPr>
          <w:spacing w:val="-9"/>
          <w:sz w:val="13"/>
        </w:rPr>
        <w:t xml:space="preserve"> </w:t>
      </w:r>
      <w:r>
        <w:rPr>
          <w:sz w:val="13"/>
        </w:rPr>
        <w:t>el</w:t>
      </w:r>
      <w:r>
        <w:rPr>
          <w:spacing w:val="-9"/>
          <w:sz w:val="13"/>
        </w:rPr>
        <w:t xml:space="preserve"> </w:t>
      </w:r>
      <w:r>
        <w:rPr>
          <w:sz w:val="13"/>
        </w:rPr>
        <w:t>contexto</w:t>
      </w:r>
      <w:r>
        <w:rPr>
          <w:spacing w:val="-9"/>
          <w:sz w:val="13"/>
        </w:rPr>
        <w:t xml:space="preserve"> </w:t>
      </w:r>
      <w:r>
        <w:rPr>
          <w:sz w:val="13"/>
        </w:rPr>
        <w:t>de</w:t>
      </w:r>
      <w:r>
        <w:rPr>
          <w:spacing w:val="-9"/>
          <w:sz w:val="13"/>
        </w:rPr>
        <w:t xml:space="preserve"> </w:t>
      </w:r>
      <w:r>
        <w:rPr>
          <w:sz w:val="13"/>
        </w:rPr>
        <w:t>un</w:t>
      </w:r>
      <w:r>
        <w:rPr>
          <w:spacing w:val="-9"/>
          <w:sz w:val="13"/>
        </w:rPr>
        <w:t xml:space="preserve"> </w:t>
      </w:r>
      <w:r>
        <w:rPr>
          <w:sz w:val="13"/>
        </w:rPr>
        <w:t>régimen</w:t>
      </w:r>
      <w:r>
        <w:rPr>
          <w:spacing w:val="-9"/>
          <w:sz w:val="13"/>
        </w:rPr>
        <w:t xml:space="preserve"> </w:t>
      </w:r>
      <w:r>
        <w:rPr>
          <w:sz w:val="13"/>
        </w:rPr>
        <w:t>institucionalizado</w:t>
      </w:r>
      <w:r>
        <w:rPr>
          <w:spacing w:val="-9"/>
          <w:sz w:val="13"/>
        </w:rPr>
        <w:t xml:space="preserve"> </w:t>
      </w:r>
      <w:r>
        <w:rPr>
          <w:sz w:val="13"/>
        </w:rPr>
        <w:t>de</w:t>
      </w:r>
      <w:r>
        <w:rPr>
          <w:spacing w:val="-9"/>
          <w:sz w:val="13"/>
        </w:rPr>
        <w:t xml:space="preserve"> </w:t>
      </w:r>
      <w:r>
        <w:rPr>
          <w:sz w:val="13"/>
        </w:rPr>
        <w:t>opresión</w:t>
      </w:r>
      <w:r>
        <w:rPr>
          <w:spacing w:val="-9"/>
          <w:sz w:val="13"/>
        </w:rPr>
        <w:t xml:space="preserve"> </w:t>
      </w:r>
      <w:r>
        <w:rPr>
          <w:sz w:val="13"/>
        </w:rPr>
        <w:t>y</w:t>
      </w:r>
      <w:r>
        <w:rPr>
          <w:spacing w:val="-9"/>
          <w:sz w:val="13"/>
        </w:rPr>
        <w:t xml:space="preserve"> </w:t>
      </w:r>
      <w:r>
        <w:rPr>
          <w:sz w:val="13"/>
        </w:rPr>
        <w:t>dominación</w:t>
      </w:r>
      <w:r>
        <w:rPr>
          <w:spacing w:val="-9"/>
          <w:sz w:val="13"/>
        </w:rPr>
        <w:t xml:space="preserve"> </w:t>
      </w:r>
      <w:r>
        <w:rPr>
          <w:sz w:val="13"/>
        </w:rPr>
        <w:t>sistemática</w:t>
      </w:r>
      <w:r>
        <w:rPr>
          <w:spacing w:val="-9"/>
          <w:sz w:val="13"/>
        </w:rPr>
        <w:t xml:space="preserve"> </w:t>
      </w:r>
      <w:r>
        <w:rPr>
          <w:sz w:val="13"/>
        </w:rPr>
        <w:t>por</w:t>
      </w:r>
      <w:r>
        <w:rPr>
          <w:spacing w:val="-9"/>
          <w:sz w:val="13"/>
        </w:rPr>
        <w:t xml:space="preserve"> </w:t>
      </w:r>
      <w:r>
        <w:rPr>
          <w:sz w:val="13"/>
        </w:rPr>
        <w:t>un</w:t>
      </w:r>
      <w:r>
        <w:rPr>
          <w:spacing w:val="-9"/>
          <w:sz w:val="13"/>
        </w:rPr>
        <w:t xml:space="preserve"> </w:t>
      </w:r>
      <w:r>
        <w:rPr>
          <w:sz w:val="13"/>
        </w:rPr>
        <w:t>grupo</w:t>
      </w:r>
      <w:r>
        <w:rPr>
          <w:spacing w:val="-9"/>
          <w:sz w:val="13"/>
        </w:rPr>
        <w:t xml:space="preserve"> </w:t>
      </w:r>
      <w:r>
        <w:rPr>
          <w:sz w:val="13"/>
        </w:rPr>
        <w:t>racial</w:t>
      </w:r>
      <w:r>
        <w:rPr>
          <w:spacing w:val="-9"/>
          <w:sz w:val="13"/>
        </w:rPr>
        <w:t xml:space="preserve"> </w:t>
      </w:r>
      <w:r>
        <w:rPr>
          <w:sz w:val="13"/>
        </w:rPr>
        <w:t>sobre</w:t>
      </w:r>
      <w:r>
        <w:rPr>
          <w:spacing w:val="40"/>
          <w:sz w:val="13"/>
        </w:rPr>
        <w:t xml:space="preserve"> </w:t>
      </w:r>
      <w:r>
        <w:rPr>
          <w:sz w:val="13"/>
        </w:rPr>
        <w:t>cualquier</w:t>
      </w:r>
      <w:r>
        <w:rPr>
          <w:spacing w:val="-3"/>
          <w:sz w:val="13"/>
        </w:rPr>
        <w:t xml:space="preserve"> </w:t>
      </w:r>
      <w:r>
        <w:rPr>
          <w:sz w:val="13"/>
        </w:rPr>
        <w:t>otro</w:t>
      </w:r>
      <w:r>
        <w:rPr>
          <w:spacing w:val="-3"/>
          <w:sz w:val="13"/>
        </w:rPr>
        <w:t xml:space="preserve"> </w:t>
      </w:r>
      <w:r>
        <w:rPr>
          <w:sz w:val="13"/>
        </w:rPr>
        <w:t>grupo</w:t>
      </w:r>
      <w:r>
        <w:rPr>
          <w:spacing w:val="-3"/>
          <w:sz w:val="13"/>
        </w:rPr>
        <w:t xml:space="preserve"> </w:t>
      </w:r>
      <w:r>
        <w:rPr>
          <w:sz w:val="13"/>
        </w:rPr>
        <w:t>o</w:t>
      </w:r>
      <w:r>
        <w:rPr>
          <w:spacing w:val="-3"/>
          <w:sz w:val="13"/>
        </w:rPr>
        <w:t xml:space="preserve"> </w:t>
      </w:r>
      <w:r>
        <w:rPr>
          <w:sz w:val="13"/>
        </w:rPr>
        <w:t>grupos</w:t>
      </w:r>
      <w:r>
        <w:rPr>
          <w:spacing w:val="-3"/>
          <w:sz w:val="13"/>
        </w:rPr>
        <w:t xml:space="preserve"> </w:t>
      </w:r>
      <w:r>
        <w:rPr>
          <w:sz w:val="13"/>
        </w:rPr>
        <w:t>raciales”.</w:t>
      </w:r>
      <w:r>
        <w:rPr>
          <w:spacing w:val="-2"/>
          <w:sz w:val="13"/>
        </w:rPr>
        <w:t xml:space="preserve"> </w:t>
      </w:r>
      <w:r>
        <w:rPr>
          <w:sz w:val="13"/>
        </w:rPr>
        <w:t>Estatuto</w:t>
      </w:r>
      <w:r>
        <w:rPr>
          <w:spacing w:val="-4"/>
          <w:sz w:val="13"/>
        </w:rPr>
        <w:t xml:space="preserve"> </w:t>
      </w:r>
      <w:r>
        <w:rPr>
          <w:sz w:val="13"/>
        </w:rPr>
        <w:t>de</w:t>
      </w:r>
      <w:r>
        <w:rPr>
          <w:spacing w:val="-3"/>
          <w:sz w:val="13"/>
        </w:rPr>
        <w:t xml:space="preserve"> </w:t>
      </w:r>
      <w:r>
        <w:rPr>
          <w:sz w:val="13"/>
        </w:rPr>
        <w:t>Roma</w:t>
      </w:r>
      <w:r>
        <w:rPr>
          <w:spacing w:val="-3"/>
          <w:sz w:val="13"/>
        </w:rPr>
        <w:t xml:space="preserve"> </w:t>
      </w:r>
      <w:r>
        <w:rPr>
          <w:sz w:val="13"/>
        </w:rPr>
        <w:t>de</w:t>
      </w:r>
      <w:r>
        <w:rPr>
          <w:spacing w:val="-3"/>
          <w:sz w:val="13"/>
        </w:rPr>
        <w:t xml:space="preserve"> </w:t>
      </w:r>
      <w:r>
        <w:rPr>
          <w:sz w:val="13"/>
        </w:rPr>
        <w:t>la</w:t>
      </w:r>
      <w:r>
        <w:rPr>
          <w:spacing w:val="-3"/>
          <w:sz w:val="13"/>
        </w:rPr>
        <w:t xml:space="preserve"> </w:t>
      </w:r>
      <w:r>
        <w:rPr>
          <w:sz w:val="13"/>
        </w:rPr>
        <w:t>Corte</w:t>
      </w:r>
      <w:r>
        <w:rPr>
          <w:spacing w:val="-3"/>
          <w:sz w:val="13"/>
        </w:rPr>
        <w:t xml:space="preserve"> </w:t>
      </w:r>
      <w:r>
        <w:rPr>
          <w:sz w:val="13"/>
        </w:rPr>
        <w:t>Penal</w:t>
      </w:r>
      <w:r>
        <w:rPr>
          <w:spacing w:val="-3"/>
          <w:sz w:val="13"/>
        </w:rPr>
        <w:t xml:space="preserve"> </w:t>
      </w:r>
      <w:r>
        <w:rPr>
          <w:sz w:val="13"/>
        </w:rPr>
        <w:t>Internacional,</w:t>
      </w:r>
      <w:r>
        <w:rPr>
          <w:spacing w:val="-2"/>
          <w:sz w:val="13"/>
        </w:rPr>
        <w:t xml:space="preserve"> </w:t>
      </w:r>
      <w:r>
        <w:rPr>
          <w:sz w:val="13"/>
        </w:rPr>
        <w:t>art.</w:t>
      </w:r>
      <w:r>
        <w:rPr>
          <w:spacing w:val="-3"/>
          <w:sz w:val="13"/>
        </w:rPr>
        <w:t xml:space="preserve"> </w:t>
      </w:r>
      <w:r>
        <w:rPr>
          <w:sz w:val="13"/>
        </w:rPr>
        <w:t>7</w:t>
      </w:r>
      <w:r>
        <w:rPr>
          <w:spacing w:val="-3"/>
          <w:sz w:val="13"/>
        </w:rPr>
        <w:t xml:space="preserve"> </w:t>
      </w:r>
      <w:r>
        <w:rPr>
          <w:sz w:val="13"/>
        </w:rPr>
        <w:t>(2)</w:t>
      </w:r>
      <w:r>
        <w:rPr>
          <w:spacing w:val="-3"/>
          <w:sz w:val="13"/>
        </w:rPr>
        <w:t xml:space="preserve"> </w:t>
      </w:r>
      <w:r>
        <w:rPr>
          <w:sz w:val="13"/>
        </w:rPr>
        <w:t>(h).</w:t>
      </w:r>
    </w:p>
    <w:p w14:paraId="055D5065" w14:textId="77777777" w:rsidR="0014798C" w:rsidRDefault="004E1F0B">
      <w:pPr>
        <w:pStyle w:val="Prrafodelista"/>
        <w:numPr>
          <w:ilvl w:val="0"/>
          <w:numId w:val="70"/>
        </w:numPr>
        <w:tabs>
          <w:tab w:val="left" w:pos="1353"/>
        </w:tabs>
        <w:spacing w:before="58"/>
        <w:ind w:left="1353" w:hanging="246"/>
        <w:rPr>
          <w:sz w:val="13"/>
        </w:rPr>
      </w:pPr>
      <w:r>
        <w:rPr>
          <w:spacing w:val="-2"/>
          <w:sz w:val="13"/>
        </w:rPr>
        <w:t>Comité</w:t>
      </w:r>
      <w:r>
        <w:rPr>
          <w:spacing w:val="-1"/>
          <w:sz w:val="13"/>
        </w:rPr>
        <w:t xml:space="preserve"> </w:t>
      </w:r>
      <w:r>
        <w:rPr>
          <w:spacing w:val="-2"/>
          <w:sz w:val="13"/>
        </w:rPr>
        <w:t>de</w:t>
      </w:r>
      <w:r>
        <w:rPr>
          <w:spacing w:val="-1"/>
          <w:sz w:val="13"/>
        </w:rPr>
        <w:t xml:space="preserve"> </w:t>
      </w:r>
      <w:r>
        <w:rPr>
          <w:spacing w:val="-2"/>
          <w:sz w:val="13"/>
        </w:rPr>
        <w:t>Derechos</w:t>
      </w:r>
      <w:r>
        <w:rPr>
          <w:sz w:val="13"/>
        </w:rPr>
        <w:t xml:space="preserve"> </w:t>
      </w:r>
      <w:r>
        <w:rPr>
          <w:spacing w:val="-2"/>
          <w:sz w:val="13"/>
        </w:rPr>
        <w:t>Económicos,</w:t>
      </w:r>
      <w:r>
        <w:rPr>
          <w:sz w:val="13"/>
        </w:rPr>
        <w:t xml:space="preserve"> </w:t>
      </w:r>
      <w:r>
        <w:rPr>
          <w:spacing w:val="-2"/>
          <w:sz w:val="13"/>
        </w:rPr>
        <w:t>Sociales</w:t>
      </w:r>
      <w:r>
        <w:rPr>
          <w:spacing w:val="-1"/>
          <w:sz w:val="13"/>
        </w:rPr>
        <w:t xml:space="preserve"> </w:t>
      </w:r>
      <w:r>
        <w:rPr>
          <w:spacing w:val="-2"/>
          <w:sz w:val="13"/>
        </w:rPr>
        <w:t>y</w:t>
      </w:r>
      <w:r>
        <w:rPr>
          <w:sz w:val="13"/>
        </w:rPr>
        <w:t xml:space="preserve"> </w:t>
      </w:r>
      <w:r>
        <w:rPr>
          <w:spacing w:val="-2"/>
          <w:sz w:val="13"/>
        </w:rPr>
        <w:t>Culturales,</w:t>
      </w:r>
      <w:r>
        <w:rPr>
          <w:sz w:val="13"/>
        </w:rPr>
        <w:t xml:space="preserve"> </w:t>
      </w:r>
      <w:r>
        <w:rPr>
          <w:spacing w:val="-2"/>
          <w:sz w:val="13"/>
        </w:rPr>
        <w:t>observación</w:t>
      </w:r>
      <w:r>
        <w:rPr>
          <w:spacing w:val="-1"/>
          <w:sz w:val="13"/>
        </w:rPr>
        <w:t xml:space="preserve"> </w:t>
      </w:r>
      <w:r>
        <w:rPr>
          <w:spacing w:val="-2"/>
          <w:sz w:val="13"/>
        </w:rPr>
        <w:t>general</w:t>
      </w:r>
      <w:r>
        <w:rPr>
          <w:sz w:val="13"/>
        </w:rPr>
        <w:t xml:space="preserve"> </w:t>
      </w:r>
      <w:r>
        <w:rPr>
          <w:spacing w:val="-2"/>
          <w:sz w:val="13"/>
        </w:rPr>
        <w:t>núm.</w:t>
      </w:r>
      <w:r>
        <w:rPr>
          <w:spacing w:val="-1"/>
          <w:sz w:val="13"/>
        </w:rPr>
        <w:t xml:space="preserve"> </w:t>
      </w:r>
      <w:r>
        <w:rPr>
          <w:spacing w:val="-2"/>
          <w:sz w:val="13"/>
        </w:rPr>
        <w:t>20</w:t>
      </w:r>
      <w:r>
        <w:rPr>
          <w:spacing w:val="-1"/>
          <w:sz w:val="13"/>
        </w:rPr>
        <w:t xml:space="preserve"> </w:t>
      </w:r>
      <w:r>
        <w:rPr>
          <w:spacing w:val="-2"/>
          <w:sz w:val="13"/>
        </w:rPr>
        <w:t>(2009),</w:t>
      </w:r>
      <w:r>
        <w:rPr>
          <w:sz w:val="13"/>
        </w:rPr>
        <w:t xml:space="preserve"> </w:t>
      </w:r>
      <w:r>
        <w:rPr>
          <w:spacing w:val="-2"/>
          <w:sz w:val="13"/>
        </w:rPr>
        <w:t>párr.</w:t>
      </w:r>
      <w:r>
        <w:rPr>
          <w:spacing w:val="-1"/>
          <w:sz w:val="13"/>
        </w:rPr>
        <w:t xml:space="preserve"> </w:t>
      </w:r>
      <w:r>
        <w:rPr>
          <w:spacing w:val="-5"/>
          <w:sz w:val="13"/>
        </w:rPr>
        <w:t>39.</w:t>
      </w:r>
    </w:p>
    <w:p w14:paraId="67E1EF28" w14:textId="77777777" w:rsidR="0014798C" w:rsidRDefault="004E1F0B">
      <w:pPr>
        <w:pStyle w:val="Prrafodelista"/>
        <w:numPr>
          <w:ilvl w:val="0"/>
          <w:numId w:val="70"/>
        </w:numPr>
        <w:tabs>
          <w:tab w:val="left" w:pos="1353"/>
        </w:tabs>
        <w:spacing w:before="87"/>
        <w:ind w:left="1353" w:hanging="246"/>
        <w:rPr>
          <w:sz w:val="13"/>
        </w:rPr>
      </w:pPr>
      <w:r>
        <w:rPr>
          <w:spacing w:val="-2"/>
          <w:sz w:val="13"/>
        </w:rPr>
        <w:t>Convención</w:t>
      </w:r>
      <w:r>
        <w:rPr>
          <w:sz w:val="13"/>
        </w:rPr>
        <w:t xml:space="preserve"> </w:t>
      </w:r>
      <w:r>
        <w:rPr>
          <w:spacing w:val="-2"/>
          <w:sz w:val="13"/>
        </w:rPr>
        <w:t>sobre</w:t>
      </w:r>
      <w:r>
        <w:rPr>
          <w:sz w:val="13"/>
        </w:rPr>
        <w:t xml:space="preserve"> </w:t>
      </w:r>
      <w:r>
        <w:rPr>
          <w:spacing w:val="-2"/>
          <w:sz w:val="13"/>
        </w:rPr>
        <w:t>los</w:t>
      </w:r>
      <w:r>
        <w:rPr>
          <w:sz w:val="13"/>
        </w:rPr>
        <w:t xml:space="preserve"> </w:t>
      </w:r>
      <w:r>
        <w:rPr>
          <w:spacing w:val="-2"/>
          <w:sz w:val="13"/>
        </w:rPr>
        <w:t>Derechos</w:t>
      </w:r>
      <w:r>
        <w:rPr>
          <w:sz w:val="13"/>
        </w:rPr>
        <w:t xml:space="preserve"> </w:t>
      </w:r>
      <w:r>
        <w:rPr>
          <w:spacing w:val="-2"/>
          <w:sz w:val="13"/>
        </w:rPr>
        <w:t>de</w:t>
      </w:r>
      <w:r>
        <w:rPr>
          <w:sz w:val="13"/>
        </w:rPr>
        <w:t xml:space="preserve"> </w:t>
      </w:r>
      <w:r>
        <w:rPr>
          <w:spacing w:val="-2"/>
          <w:sz w:val="13"/>
        </w:rPr>
        <w:t>las</w:t>
      </w:r>
      <w:r>
        <w:rPr>
          <w:sz w:val="13"/>
        </w:rPr>
        <w:t xml:space="preserve"> </w:t>
      </w:r>
      <w:r>
        <w:rPr>
          <w:spacing w:val="-2"/>
          <w:sz w:val="13"/>
        </w:rPr>
        <w:t>Personas</w:t>
      </w:r>
      <w:r>
        <w:rPr>
          <w:sz w:val="13"/>
        </w:rPr>
        <w:t xml:space="preserve"> </w:t>
      </w:r>
      <w:r>
        <w:rPr>
          <w:spacing w:val="-2"/>
          <w:sz w:val="13"/>
        </w:rPr>
        <w:t>con</w:t>
      </w:r>
      <w:r>
        <w:rPr>
          <w:sz w:val="13"/>
        </w:rPr>
        <w:t xml:space="preserve"> </w:t>
      </w:r>
      <w:r>
        <w:rPr>
          <w:spacing w:val="-2"/>
          <w:sz w:val="13"/>
        </w:rPr>
        <w:t>Discapacidad,</w:t>
      </w:r>
      <w:r>
        <w:rPr>
          <w:spacing w:val="1"/>
          <w:sz w:val="13"/>
        </w:rPr>
        <w:t xml:space="preserve"> </w:t>
      </w:r>
      <w:r>
        <w:rPr>
          <w:spacing w:val="-2"/>
          <w:sz w:val="13"/>
        </w:rPr>
        <w:t>arts.</w:t>
      </w:r>
      <w:r>
        <w:rPr>
          <w:sz w:val="13"/>
        </w:rPr>
        <w:t xml:space="preserve"> </w:t>
      </w:r>
      <w:r>
        <w:rPr>
          <w:spacing w:val="-2"/>
          <w:sz w:val="13"/>
        </w:rPr>
        <w:t>19</w:t>
      </w:r>
      <w:r>
        <w:rPr>
          <w:sz w:val="13"/>
        </w:rPr>
        <w:t xml:space="preserve"> </w:t>
      </w:r>
      <w:r>
        <w:rPr>
          <w:spacing w:val="-2"/>
          <w:sz w:val="13"/>
        </w:rPr>
        <w:t>(b)</w:t>
      </w:r>
      <w:r>
        <w:rPr>
          <w:sz w:val="13"/>
        </w:rPr>
        <w:t xml:space="preserve"> </w:t>
      </w:r>
      <w:r>
        <w:rPr>
          <w:spacing w:val="-2"/>
          <w:sz w:val="13"/>
        </w:rPr>
        <w:t>y</w:t>
      </w:r>
      <w:r>
        <w:rPr>
          <w:sz w:val="13"/>
        </w:rPr>
        <w:t xml:space="preserve"> </w:t>
      </w:r>
      <w:r>
        <w:rPr>
          <w:spacing w:val="-2"/>
          <w:sz w:val="13"/>
        </w:rPr>
        <w:t>23</w:t>
      </w:r>
      <w:r>
        <w:rPr>
          <w:sz w:val="13"/>
        </w:rPr>
        <w:t xml:space="preserve"> </w:t>
      </w:r>
      <w:r>
        <w:rPr>
          <w:spacing w:val="-4"/>
          <w:sz w:val="13"/>
        </w:rPr>
        <w:t>(3).</w:t>
      </w:r>
    </w:p>
    <w:p w14:paraId="61A0C1C6" w14:textId="77777777" w:rsidR="0014798C" w:rsidRDefault="004E1F0B">
      <w:pPr>
        <w:pStyle w:val="Prrafodelista"/>
        <w:numPr>
          <w:ilvl w:val="0"/>
          <w:numId w:val="70"/>
        </w:numPr>
        <w:tabs>
          <w:tab w:val="left" w:pos="1353"/>
        </w:tabs>
        <w:spacing w:before="81"/>
        <w:ind w:left="1353" w:hanging="246"/>
        <w:rPr>
          <w:sz w:val="13"/>
        </w:rPr>
      </w:pPr>
      <w:proofErr w:type="spellStart"/>
      <w:r>
        <w:rPr>
          <w:spacing w:val="-2"/>
          <w:sz w:val="13"/>
        </w:rPr>
        <w:t>Ibíd</w:t>
      </w:r>
      <w:proofErr w:type="spellEnd"/>
      <w:r>
        <w:rPr>
          <w:spacing w:val="-2"/>
          <w:sz w:val="13"/>
        </w:rPr>
        <w:t>.,</w:t>
      </w:r>
      <w:r>
        <w:rPr>
          <w:sz w:val="13"/>
        </w:rPr>
        <w:t xml:space="preserve"> </w:t>
      </w:r>
      <w:r>
        <w:rPr>
          <w:spacing w:val="-2"/>
          <w:sz w:val="13"/>
        </w:rPr>
        <w:t>art.</w:t>
      </w:r>
      <w:r>
        <w:rPr>
          <w:sz w:val="13"/>
        </w:rPr>
        <w:t xml:space="preserve"> </w:t>
      </w:r>
      <w:r>
        <w:rPr>
          <w:spacing w:val="-4"/>
          <w:sz w:val="13"/>
        </w:rPr>
        <w:t>3c).</w:t>
      </w:r>
    </w:p>
    <w:p w14:paraId="6F36A683" w14:textId="77777777" w:rsidR="0014798C" w:rsidRDefault="004E1F0B">
      <w:pPr>
        <w:pStyle w:val="Prrafodelista"/>
        <w:numPr>
          <w:ilvl w:val="0"/>
          <w:numId w:val="70"/>
        </w:numPr>
        <w:tabs>
          <w:tab w:val="left" w:pos="1353"/>
        </w:tabs>
        <w:spacing w:before="93"/>
        <w:ind w:left="1353" w:hanging="246"/>
        <w:rPr>
          <w:sz w:val="13"/>
        </w:rPr>
      </w:pPr>
      <w:r>
        <w:rPr>
          <w:spacing w:val="-2"/>
          <w:sz w:val="13"/>
        </w:rPr>
        <w:t>Comité</w:t>
      </w:r>
      <w:r>
        <w:rPr>
          <w:spacing w:val="-1"/>
          <w:sz w:val="13"/>
        </w:rPr>
        <w:t xml:space="preserve"> </w:t>
      </w:r>
      <w:r>
        <w:rPr>
          <w:spacing w:val="-2"/>
          <w:sz w:val="13"/>
        </w:rPr>
        <w:t>sobre</w:t>
      </w:r>
      <w:r>
        <w:rPr>
          <w:sz w:val="13"/>
        </w:rPr>
        <w:t xml:space="preserve"> </w:t>
      </w:r>
      <w:r>
        <w:rPr>
          <w:spacing w:val="-2"/>
          <w:sz w:val="13"/>
        </w:rPr>
        <w:t>los</w:t>
      </w:r>
      <w:r>
        <w:rPr>
          <w:spacing w:val="-1"/>
          <w:sz w:val="13"/>
        </w:rPr>
        <w:t xml:space="preserve"> </w:t>
      </w:r>
      <w:r>
        <w:rPr>
          <w:spacing w:val="-2"/>
          <w:sz w:val="13"/>
        </w:rPr>
        <w:t>Derechos</w:t>
      </w:r>
      <w:r>
        <w:rPr>
          <w:sz w:val="13"/>
        </w:rPr>
        <w:t xml:space="preserve"> </w:t>
      </w:r>
      <w:r>
        <w:rPr>
          <w:spacing w:val="-2"/>
          <w:sz w:val="13"/>
        </w:rPr>
        <w:t>de</w:t>
      </w:r>
      <w:r>
        <w:rPr>
          <w:spacing w:val="-1"/>
          <w:sz w:val="13"/>
        </w:rPr>
        <w:t xml:space="preserve"> </w:t>
      </w:r>
      <w:r>
        <w:rPr>
          <w:spacing w:val="-2"/>
          <w:sz w:val="13"/>
        </w:rPr>
        <w:t>las</w:t>
      </w:r>
      <w:r>
        <w:rPr>
          <w:sz w:val="13"/>
        </w:rPr>
        <w:t xml:space="preserve"> </w:t>
      </w:r>
      <w:r>
        <w:rPr>
          <w:spacing w:val="-2"/>
          <w:sz w:val="13"/>
        </w:rPr>
        <w:t>Personas</w:t>
      </w:r>
      <w:r>
        <w:rPr>
          <w:sz w:val="13"/>
        </w:rPr>
        <w:t xml:space="preserve"> </w:t>
      </w:r>
      <w:r>
        <w:rPr>
          <w:spacing w:val="-2"/>
          <w:sz w:val="13"/>
        </w:rPr>
        <w:t>con</w:t>
      </w:r>
      <w:r>
        <w:rPr>
          <w:spacing w:val="-1"/>
          <w:sz w:val="13"/>
        </w:rPr>
        <w:t xml:space="preserve"> </w:t>
      </w:r>
      <w:r>
        <w:rPr>
          <w:spacing w:val="-2"/>
          <w:sz w:val="13"/>
        </w:rPr>
        <w:t>Discapacidad,</w:t>
      </w:r>
      <w:r>
        <w:rPr>
          <w:spacing w:val="1"/>
          <w:sz w:val="13"/>
        </w:rPr>
        <w:t xml:space="preserve"> </w:t>
      </w:r>
      <w:r>
        <w:rPr>
          <w:spacing w:val="-2"/>
          <w:sz w:val="13"/>
        </w:rPr>
        <w:t>observación</w:t>
      </w:r>
      <w:r>
        <w:rPr>
          <w:spacing w:val="-1"/>
          <w:sz w:val="13"/>
        </w:rPr>
        <w:t xml:space="preserve"> </w:t>
      </w:r>
      <w:r>
        <w:rPr>
          <w:spacing w:val="-2"/>
          <w:sz w:val="13"/>
        </w:rPr>
        <w:t>general</w:t>
      </w:r>
      <w:r>
        <w:rPr>
          <w:sz w:val="13"/>
        </w:rPr>
        <w:t xml:space="preserve"> </w:t>
      </w:r>
      <w:r>
        <w:rPr>
          <w:spacing w:val="-2"/>
          <w:sz w:val="13"/>
        </w:rPr>
        <w:t>núm.</w:t>
      </w:r>
      <w:r>
        <w:rPr>
          <w:spacing w:val="-1"/>
          <w:sz w:val="13"/>
        </w:rPr>
        <w:t xml:space="preserve"> </w:t>
      </w:r>
      <w:r>
        <w:rPr>
          <w:spacing w:val="-2"/>
          <w:sz w:val="13"/>
        </w:rPr>
        <w:t>4</w:t>
      </w:r>
      <w:r>
        <w:rPr>
          <w:sz w:val="13"/>
        </w:rPr>
        <w:t xml:space="preserve"> </w:t>
      </w:r>
      <w:r>
        <w:rPr>
          <w:spacing w:val="-2"/>
          <w:sz w:val="13"/>
        </w:rPr>
        <w:t>(2016),</w:t>
      </w:r>
      <w:r>
        <w:rPr>
          <w:sz w:val="13"/>
        </w:rPr>
        <w:t xml:space="preserve"> </w:t>
      </w:r>
      <w:r>
        <w:rPr>
          <w:spacing w:val="-2"/>
          <w:sz w:val="13"/>
        </w:rPr>
        <w:t>párr.</w:t>
      </w:r>
      <w:r>
        <w:rPr>
          <w:spacing w:val="-1"/>
          <w:sz w:val="13"/>
        </w:rPr>
        <w:t xml:space="preserve"> </w:t>
      </w:r>
      <w:r>
        <w:rPr>
          <w:spacing w:val="-5"/>
          <w:sz w:val="13"/>
        </w:rPr>
        <w:t>13.</w:t>
      </w:r>
    </w:p>
    <w:p w14:paraId="1E9EEAC6" w14:textId="77777777" w:rsidR="0014798C" w:rsidRDefault="004E1F0B">
      <w:pPr>
        <w:pStyle w:val="Prrafodelista"/>
        <w:numPr>
          <w:ilvl w:val="0"/>
          <w:numId w:val="70"/>
        </w:numPr>
        <w:tabs>
          <w:tab w:val="left" w:pos="1353"/>
        </w:tabs>
        <w:spacing w:before="87"/>
        <w:ind w:left="1353" w:hanging="246"/>
        <w:rPr>
          <w:sz w:val="13"/>
        </w:rPr>
      </w:pPr>
      <w:r>
        <w:rPr>
          <w:spacing w:val="-2"/>
          <w:sz w:val="13"/>
        </w:rPr>
        <w:t>Comité</w:t>
      </w:r>
      <w:r>
        <w:rPr>
          <w:spacing w:val="-1"/>
          <w:sz w:val="13"/>
        </w:rPr>
        <w:t xml:space="preserve"> </w:t>
      </w:r>
      <w:r>
        <w:rPr>
          <w:spacing w:val="-2"/>
          <w:sz w:val="13"/>
        </w:rPr>
        <w:t>sobre</w:t>
      </w:r>
      <w:r>
        <w:rPr>
          <w:sz w:val="13"/>
        </w:rPr>
        <w:t xml:space="preserve"> </w:t>
      </w:r>
      <w:r>
        <w:rPr>
          <w:spacing w:val="-2"/>
          <w:sz w:val="13"/>
        </w:rPr>
        <w:t>los</w:t>
      </w:r>
      <w:r>
        <w:rPr>
          <w:sz w:val="13"/>
        </w:rPr>
        <w:t xml:space="preserve"> </w:t>
      </w:r>
      <w:r>
        <w:rPr>
          <w:spacing w:val="-2"/>
          <w:sz w:val="13"/>
        </w:rPr>
        <w:t>Derechos</w:t>
      </w:r>
      <w:r>
        <w:rPr>
          <w:spacing w:val="-1"/>
          <w:sz w:val="13"/>
        </w:rPr>
        <w:t xml:space="preserve"> </w:t>
      </w:r>
      <w:r>
        <w:rPr>
          <w:spacing w:val="-2"/>
          <w:sz w:val="13"/>
        </w:rPr>
        <w:t>de</w:t>
      </w:r>
      <w:r>
        <w:rPr>
          <w:sz w:val="13"/>
        </w:rPr>
        <w:t xml:space="preserve"> </w:t>
      </w:r>
      <w:r>
        <w:rPr>
          <w:spacing w:val="-2"/>
          <w:sz w:val="13"/>
        </w:rPr>
        <w:t>las</w:t>
      </w:r>
      <w:r>
        <w:rPr>
          <w:sz w:val="13"/>
        </w:rPr>
        <w:t xml:space="preserve"> </w:t>
      </w:r>
      <w:r>
        <w:rPr>
          <w:spacing w:val="-2"/>
          <w:sz w:val="13"/>
        </w:rPr>
        <w:t>Personas</w:t>
      </w:r>
      <w:r>
        <w:rPr>
          <w:sz w:val="13"/>
        </w:rPr>
        <w:t xml:space="preserve"> </w:t>
      </w:r>
      <w:r>
        <w:rPr>
          <w:spacing w:val="-2"/>
          <w:sz w:val="13"/>
        </w:rPr>
        <w:t>con</w:t>
      </w:r>
      <w:r>
        <w:rPr>
          <w:spacing w:val="-1"/>
          <w:sz w:val="13"/>
        </w:rPr>
        <w:t xml:space="preserve"> </w:t>
      </w:r>
      <w:r>
        <w:rPr>
          <w:spacing w:val="-2"/>
          <w:sz w:val="13"/>
        </w:rPr>
        <w:t>Discapacidad,</w:t>
      </w:r>
      <w:r>
        <w:rPr>
          <w:spacing w:val="1"/>
          <w:sz w:val="13"/>
        </w:rPr>
        <w:t xml:space="preserve"> </w:t>
      </w:r>
      <w:r>
        <w:rPr>
          <w:spacing w:val="-2"/>
          <w:sz w:val="13"/>
        </w:rPr>
        <w:t>observación</w:t>
      </w:r>
      <w:r>
        <w:rPr>
          <w:sz w:val="13"/>
        </w:rPr>
        <w:t xml:space="preserve"> </w:t>
      </w:r>
      <w:r>
        <w:rPr>
          <w:spacing w:val="-2"/>
          <w:sz w:val="13"/>
        </w:rPr>
        <w:t>general</w:t>
      </w:r>
      <w:r>
        <w:rPr>
          <w:spacing w:val="-1"/>
          <w:sz w:val="13"/>
        </w:rPr>
        <w:t xml:space="preserve"> </w:t>
      </w:r>
      <w:r>
        <w:rPr>
          <w:spacing w:val="-2"/>
          <w:sz w:val="13"/>
        </w:rPr>
        <w:t>núm.</w:t>
      </w:r>
      <w:r>
        <w:rPr>
          <w:sz w:val="13"/>
        </w:rPr>
        <w:t xml:space="preserve"> </w:t>
      </w:r>
      <w:r>
        <w:rPr>
          <w:spacing w:val="-2"/>
          <w:sz w:val="13"/>
        </w:rPr>
        <w:t>6</w:t>
      </w:r>
      <w:r>
        <w:rPr>
          <w:sz w:val="13"/>
        </w:rPr>
        <w:t xml:space="preserve"> </w:t>
      </w:r>
      <w:r>
        <w:rPr>
          <w:spacing w:val="-2"/>
          <w:sz w:val="13"/>
        </w:rPr>
        <w:t>(2018),</w:t>
      </w:r>
      <w:r>
        <w:rPr>
          <w:sz w:val="13"/>
        </w:rPr>
        <w:t xml:space="preserve"> </w:t>
      </w:r>
      <w:proofErr w:type="spellStart"/>
      <w:r>
        <w:rPr>
          <w:spacing w:val="-2"/>
          <w:sz w:val="13"/>
        </w:rPr>
        <w:t>párrs</w:t>
      </w:r>
      <w:proofErr w:type="spellEnd"/>
      <w:r>
        <w:rPr>
          <w:spacing w:val="-2"/>
          <w:sz w:val="13"/>
        </w:rPr>
        <w:t>.</w:t>
      </w:r>
      <w:r>
        <w:rPr>
          <w:spacing w:val="-1"/>
          <w:sz w:val="13"/>
        </w:rPr>
        <w:t xml:space="preserve"> </w:t>
      </w:r>
      <w:r>
        <w:rPr>
          <w:spacing w:val="-2"/>
          <w:sz w:val="13"/>
        </w:rPr>
        <w:t>30,</w:t>
      </w:r>
      <w:r>
        <w:rPr>
          <w:sz w:val="13"/>
        </w:rPr>
        <w:t xml:space="preserve"> </w:t>
      </w:r>
      <w:r>
        <w:rPr>
          <w:spacing w:val="-2"/>
          <w:sz w:val="13"/>
        </w:rPr>
        <w:t>64,</w:t>
      </w:r>
      <w:r>
        <w:rPr>
          <w:sz w:val="13"/>
        </w:rPr>
        <w:t xml:space="preserve"> </w:t>
      </w:r>
      <w:r>
        <w:rPr>
          <w:spacing w:val="-2"/>
          <w:sz w:val="13"/>
        </w:rPr>
        <w:t>67(a)</w:t>
      </w:r>
      <w:r>
        <w:rPr>
          <w:spacing w:val="-1"/>
          <w:sz w:val="13"/>
        </w:rPr>
        <w:t xml:space="preserve"> </w:t>
      </w:r>
      <w:r>
        <w:rPr>
          <w:spacing w:val="-2"/>
          <w:sz w:val="13"/>
        </w:rPr>
        <w:t>y</w:t>
      </w:r>
      <w:r>
        <w:rPr>
          <w:sz w:val="13"/>
        </w:rPr>
        <w:t xml:space="preserve"> </w:t>
      </w:r>
      <w:r>
        <w:rPr>
          <w:spacing w:val="-2"/>
          <w:sz w:val="13"/>
        </w:rPr>
        <w:t>73(c).</w:t>
      </w:r>
    </w:p>
    <w:p w14:paraId="51A17915" w14:textId="77777777" w:rsidR="0014798C" w:rsidRDefault="0014798C">
      <w:pPr>
        <w:pStyle w:val="Textoindependiente"/>
        <w:rPr>
          <w:sz w:val="19"/>
        </w:rPr>
      </w:pPr>
    </w:p>
    <w:p w14:paraId="3AAEFB96" w14:textId="77777777" w:rsidR="0014798C" w:rsidRDefault="0014798C">
      <w:pPr>
        <w:pStyle w:val="Textoindependiente"/>
        <w:spacing w:before="194"/>
        <w:rPr>
          <w:sz w:val="19"/>
        </w:rPr>
      </w:pPr>
    </w:p>
    <w:p w14:paraId="65F684FA" w14:textId="77777777" w:rsidR="0014798C" w:rsidRDefault="004E1F0B">
      <w:pPr>
        <w:ind w:right="728"/>
        <w:jc w:val="right"/>
        <w:rPr>
          <w:sz w:val="19"/>
        </w:rPr>
      </w:pPr>
      <w:r>
        <w:rPr>
          <w:spacing w:val="-5"/>
          <w:sz w:val="19"/>
        </w:rPr>
        <w:t>43</w:t>
      </w:r>
    </w:p>
    <w:p w14:paraId="3D5862B5" w14:textId="77777777" w:rsidR="0014798C" w:rsidRDefault="0014798C">
      <w:pPr>
        <w:jc w:val="right"/>
        <w:rPr>
          <w:sz w:val="19"/>
        </w:rPr>
        <w:sectPr w:rsidR="0014798C" w:rsidSect="00F265E4">
          <w:type w:val="continuous"/>
          <w:pgSz w:w="11900" w:h="16820"/>
          <w:pgMar w:top="40" w:right="0" w:bottom="280" w:left="200" w:header="121" w:footer="0" w:gutter="0"/>
          <w:cols w:space="720"/>
        </w:sectPr>
      </w:pPr>
    </w:p>
    <w:p w14:paraId="02CF8536" w14:textId="77777777" w:rsidR="0014798C" w:rsidRDefault="0014798C">
      <w:pPr>
        <w:pStyle w:val="Textoindependiente"/>
        <w:spacing w:before="85"/>
        <w:rPr>
          <w:sz w:val="12"/>
        </w:rPr>
      </w:pPr>
    </w:p>
    <w:p w14:paraId="6E3618B8" w14:textId="77777777" w:rsidR="0014798C" w:rsidRDefault="004E1F0B">
      <w:pPr>
        <w:ind w:left="1111"/>
        <w:rPr>
          <w:sz w:val="12"/>
        </w:rPr>
      </w:pPr>
      <w:r>
        <w:rPr>
          <w:color w:val="00AC59"/>
          <w:sz w:val="12"/>
        </w:rPr>
        <w:t>PROTECCIÓN</w:t>
      </w:r>
      <w:r>
        <w:rPr>
          <w:color w:val="00AC59"/>
          <w:spacing w:val="6"/>
          <w:sz w:val="12"/>
        </w:rPr>
        <w:t xml:space="preserve"> </w:t>
      </w:r>
      <w:r>
        <w:rPr>
          <w:color w:val="00AC59"/>
          <w:sz w:val="12"/>
        </w:rPr>
        <w:t>DE</w:t>
      </w:r>
      <w:r>
        <w:rPr>
          <w:color w:val="00AC59"/>
          <w:spacing w:val="7"/>
          <w:sz w:val="12"/>
        </w:rPr>
        <w:t xml:space="preserve"> </w:t>
      </w:r>
      <w:r>
        <w:rPr>
          <w:color w:val="00AC59"/>
          <w:sz w:val="12"/>
        </w:rPr>
        <w:t>LOS</w:t>
      </w:r>
      <w:r>
        <w:rPr>
          <w:color w:val="00AC59"/>
          <w:spacing w:val="8"/>
          <w:sz w:val="12"/>
        </w:rPr>
        <w:t xml:space="preserve"> </w:t>
      </w:r>
      <w:r>
        <w:rPr>
          <w:color w:val="00AC59"/>
          <w:sz w:val="12"/>
        </w:rPr>
        <w:t>DERECHOS</w:t>
      </w:r>
      <w:r>
        <w:rPr>
          <w:color w:val="00AC59"/>
          <w:spacing w:val="8"/>
          <w:sz w:val="12"/>
        </w:rPr>
        <w:t xml:space="preserve"> </w:t>
      </w:r>
      <w:r>
        <w:rPr>
          <w:color w:val="00AC59"/>
          <w:sz w:val="12"/>
        </w:rPr>
        <w:t>DE</w:t>
      </w:r>
      <w:r>
        <w:rPr>
          <w:color w:val="00AC59"/>
          <w:spacing w:val="6"/>
          <w:sz w:val="12"/>
        </w:rPr>
        <w:t xml:space="preserve"> </w:t>
      </w:r>
      <w:r>
        <w:rPr>
          <w:color w:val="00AC59"/>
          <w:sz w:val="12"/>
        </w:rPr>
        <w:t>LAS</w:t>
      </w:r>
      <w:r>
        <w:rPr>
          <w:color w:val="00AC59"/>
          <w:spacing w:val="7"/>
          <w:sz w:val="12"/>
        </w:rPr>
        <w:t xml:space="preserve"> </w:t>
      </w:r>
      <w:r>
        <w:rPr>
          <w:color w:val="00AC59"/>
          <w:sz w:val="12"/>
        </w:rPr>
        <w:t>MINORÍAS:</w:t>
      </w:r>
      <w:r>
        <w:rPr>
          <w:color w:val="00AC59"/>
          <w:spacing w:val="8"/>
          <w:sz w:val="12"/>
        </w:rPr>
        <w:t xml:space="preserve"> </w:t>
      </w:r>
      <w:r>
        <w:rPr>
          <w:color w:val="00AC59"/>
          <w:sz w:val="12"/>
        </w:rPr>
        <w:t>una</w:t>
      </w:r>
      <w:r>
        <w:rPr>
          <w:color w:val="00AC59"/>
          <w:spacing w:val="7"/>
          <w:sz w:val="12"/>
        </w:rPr>
        <w:t xml:space="preserve"> </w:t>
      </w:r>
      <w:r>
        <w:rPr>
          <w:color w:val="00AC59"/>
          <w:sz w:val="12"/>
        </w:rPr>
        <w:t>guía</w:t>
      </w:r>
      <w:r>
        <w:rPr>
          <w:color w:val="00AC59"/>
          <w:spacing w:val="6"/>
          <w:sz w:val="12"/>
        </w:rPr>
        <w:t xml:space="preserve"> </w:t>
      </w:r>
      <w:r>
        <w:rPr>
          <w:color w:val="00AC59"/>
          <w:sz w:val="12"/>
        </w:rPr>
        <w:t>práctica</w:t>
      </w:r>
      <w:r>
        <w:rPr>
          <w:color w:val="00AC59"/>
          <w:spacing w:val="7"/>
          <w:sz w:val="12"/>
        </w:rPr>
        <w:t xml:space="preserve"> </w:t>
      </w:r>
      <w:r>
        <w:rPr>
          <w:color w:val="00AC59"/>
          <w:sz w:val="12"/>
        </w:rPr>
        <w:t>para</w:t>
      </w:r>
      <w:r>
        <w:rPr>
          <w:color w:val="00AC59"/>
          <w:spacing w:val="8"/>
          <w:sz w:val="12"/>
        </w:rPr>
        <w:t xml:space="preserve"> </w:t>
      </w:r>
      <w:r>
        <w:rPr>
          <w:color w:val="00AC59"/>
          <w:sz w:val="12"/>
        </w:rPr>
        <w:t>desarrollar</w:t>
      </w:r>
      <w:r>
        <w:rPr>
          <w:color w:val="00AC59"/>
          <w:spacing w:val="6"/>
          <w:sz w:val="12"/>
        </w:rPr>
        <w:t xml:space="preserve"> </w:t>
      </w:r>
      <w:r>
        <w:rPr>
          <w:color w:val="00AC59"/>
          <w:sz w:val="12"/>
        </w:rPr>
        <w:t>una</w:t>
      </w:r>
      <w:r>
        <w:rPr>
          <w:color w:val="00AC59"/>
          <w:spacing w:val="7"/>
          <w:sz w:val="12"/>
        </w:rPr>
        <w:t xml:space="preserve"> </w:t>
      </w:r>
      <w:r>
        <w:rPr>
          <w:color w:val="00AC59"/>
          <w:sz w:val="12"/>
        </w:rPr>
        <w:t>legislación</w:t>
      </w:r>
      <w:r>
        <w:rPr>
          <w:color w:val="00AC59"/>
          <w:spacing w:val="8"/>
          <w:sz w:val="12"/>
        </w:rPr>
        <w:t xml:space="preserve"> </w:t>
      </w:r>
      <w:r>
        <w:rPr>
          <w:color w:val="00AC59"/>
          <w:sz w:val="12"/>
        </w:rPr>
        <w:t>integral</w:t>
      </w:r>
      <w:r>
        <w:rPr>
          <w:color w:val="00AC59"/>
          <w:spacing w:val="7"/>
          <w:sz w:val="12"/>
        </w:rPr>
        <w:t xml:space="preserve"> </w:t>
      </w:r>
      <w:r>
        <w:rPr>
          <w:color w:val="00AC59"/>
          <w:sz w:val="12"/>
        </w:rPr>
        <w:t>contra</w:t>
      </w:r>
      <w:r>
        <w:rPr>
          <w:color w:val="00AC59"/>
          <w:spacing w:val="6"/>
          <w:sz w:val="12"/>
        </w:rPr>
        <w:t xml:space="preserve"> </w:t>
      </w:r>
      <w:r>
        <w:rPr>
          <w:color w:val="00AC59"/>
          <w:sz w:val="12"/>
        </w:rPr>
        <w:t>la</w:t>
      </w:r>
      <w:r>
        <w:rPr>
          <w:color w:val="00AC59"/>
          <w:spacing w:val="7"/>
          <w:sz w:val="12"/>
        </w:rPr>
        <w:t xml:space="preserve"> </w:t>
      </w:r>
      <w:r>
        <w:rPr>
          <w:color w:val="00AC59"/>
          <w:spacing w:val="-2"/>
          <w:sz w:val="12"/>
        </w:rPr>
        <w:t>discriminación</w:t>
      </w:r>
    </w:p>
    <w:p w14:paraId="2C5F3C37" w14:textId="77777777" w:rsidR="0014798C" w:rsidRDefault="0014798C">
      <w:pPr>
        <w:pStyle w:val="Textoindependiente"/>
      </w:pPr>
    </w:p>
    <w:p w14:paraId="5C95CDA4" w14:textId="77777777" w:rsidR="0014798C" w:rsidRDefault="0014798C">
      <w:pPr>
        <w:pStyle w:val="Textoindependiente"/>
      </w:pPr>
    </w:p>
    <w:p w14:paraId="79FEE73D" w14:textId="77777777" w:rsidR="0014798C" w:rsidRDefault="0014798C">
      <w:pPr>
        <w:pStyle w:val="Textoindependiente"/>
      </w:pPr>
    </w:p>
    <w:p w14:paraId="42FA071F" w14:textId="77777777" w:rsidR="0014798C" w:rsidRDefault="0014798C">
      <w:pPr>
        <w:pStyle w:val="Textoindependiente"/>
      </w:pPr>
    </w:p>
    <w:p w14:paraId="0CF002C3" w14:textId="77777777" w:rsidR="0014798C" w:rsidRDefault="0014798C">
      <w:pPr>
        <w:pStyle w:val="Textoindependiente"/>
        <w:spacing w:before="73"/>
      </w:pPr>
    </w:p>
    <w:p w14:paraId="6EA6A5CA" w14:textId="77777777" w:rsidR="0014798C" w:rsidRDefault="004E1F0B">
      <w:pPr>
        <w:pStyle w:val="Textoindependiente"/>
        <w:spacing w:line="271" w:lineRule="auto"/>
        <w:ind w:left="1111" w:right="1553" w:hanging="6"/>
      </w:pPr>
      <w:r>
        <w:t>El Comité para la Eliminación de la Discriminación Racial ha elaborado las obligaciones de los Estados en virtud del artículo 3</w:t>
      </w:r>
      <w:r>
        <w:rPr>
          <w:spacing w:val="40"/>
        </w:rPr>
        <w:t xml:space="preserve"> </w:t>
      </w:r>
      <w:r>
        <w:t>de la Convención Internacional sobre la Eliminación de todas las Formas de Discriminación Racial. Ha sostenido que la</w:t>
      </w:r>
    </w:p>
    <w:p w14:paraId="0A332402" w14:textId="77777777" w:rsidR="0014798C" w:rsidRDefault="004E1F0B">
      <w:pPr>
        <w:pStyle w:val="Textoindependiente"/>
        <w:spacing w:before="84" w:line="326" w:lineRule="auto"/>
        <w:ind w:left="1107" w:right="1272" w:firstLine="4"/>
      </w:pPr>
      <w:r>
        <w:t>segregación puede ocurrir “sin ninguna iniciativa o participación directa de las autoridades públicas”328 y ha señalado que los Estados tienen obligaciones positivas de poner fin a la segregación que surge durante gobiernos anteriores.329 Ha recomendado que los Estados deben:</w:t>
      </w:r>
      <w:r>
        <w:rPr>
          <w:spacing w:val="19"/>
        </w:rPr>
        <w:t xml:space="preserve"> </w:t>
      </w:r>
      <w:r>
        <w:t>monitorear las tendencias que dan lugar a la segregación</w:t>
      </w:r>
      <w:r>
        <w:rPr>
          <w:spacing w:val="19"/>
        </w:rPr>
        <w:t xml:space="preserve"> </w:t>
      </w:r>
      <w:r>
        <w:t>y trabajar para erradicar las consecuencias</w:t>
      </w:r>
    </w:p>
    <w:p w14:paraId="66F90A4F" w14:textId="77777777" w:rsidR="0014798C" w:rsidRDefault="004E1F0B">
      <w:pPr>
        <w:pStyle w:val="Textoindependiente"/>
        <w:spacing w:line="326" w:lineRule="auto"/>
        <w:ind w:left="1111" w:right="1450"/>
        <w:jc w:val="both"/>
      </w:pPr>
      <w:r>
        <w:t>de</w:t>
      </w:r>
      <w:r>
        <w:rPr>
          <w:spacing w:val="-4"/>
        </w:rPr>
        <w:t xml:space="preserve"> </w:t>
      </w:r>
      <w:r>
        <w:t>la</w:t>
      </w:r>
      <w:r>
        <w:rPr>
          <w:spacing w:val="-4"/>
        </w:rPr>
        <w:t xml:space="preserve"> </w:t>
      </w:r>
      <w:r>
        <w:t>segregación;</w:t>
      </w:r>
      <w:r>
        <w:rPr>
          <w:spacing w:val="-2"/>
        </w:rPr>
        <w:t xml:space="preserve"> </w:t>
      </w:r>
      <w:r>
        <w:t>comprometerse</w:t>
      </w:r>
      <w:r>
        <w:rPr>
          <w:spacing w:val="-4"/>
        </w:rPr>
        <w:t xml:space="preserve"> </w:t>
      </w:r>
      <w:r>
        <w:t>a</w:t>
      </w:r>
      <w:r>
        <w:rPr>
          <w:spacing w:val="-4"/>
        </w:rPr>
        <w:t xml:space="preserve"> </w:t>
      </w:r>
      <w:r>
        <w:t>prevenir,</w:t>
      </w:r>
      <w:r>
        <w:rPr>
          <w:spacing w:val="-3"/>
        </w:rPr>
        <w:t xml:space="preserve"> </w:t>
      </w:r>
      <w:r>
        <w:t>prohibir</w:t>
      </w:r>
      <w:r>
        <w:rPr>
          <w:spacing w:val="-4"/>
        </w:rPr>
        <w:t xml:space="preserve"> </w:t>
      </w:r>
      <w:r>
        <w:t>y</w:t>
      </w:r>
      <w:r>
        <w:rPr>
          <w:spacing w:val="-4"/>
        </w:rPr>
        <w:t xml:space="preserve"> </w:t>
      </w:r>
      <w:r>
        <w:t>eliminar</w:t>
      </w:r>
      <w:r>
        <w:rPr>
          <w:spacing w:val="-4"/>
        </w:rPr>
        <w:t xml:space="preserve"> </w:t>
      </w:r>
      <w:r>
        <w:t>la</w:t>
      </w:r>
      <w:r>
        <w:rPr>
          <w:spacing w:val="-4"/>
        </w:rPr>
        <w:t xml:space="preserve"> </w:t>
      </w:r>
      <w:r>
        <w:t>segregación;</w:t>
      </w:r>
      <w:r>
        <w:rPr>
          <w:spacing w:val="-2"/>
        </w:rPr>
        <w:t xml:space="preserve"> </w:t>
      </w:r>
      <w:r>
        <w:t>“garantizar</w:t>
      </w:r>
      <w:r>
        <w:rPr>
          <w:spacing w:val="-4"/>
        </w:rPr>
        <w:t xml:space="preserve"> </w:t>
      </w:r>
      <w:r>
        <w:t>para</w:t>
      </w:r>
      <w:r>
        <w:rPr>
          <w:spacing w:val="-4"/>
        </w:rPr>
        <w:t xml:space="preserve"> </w:t>
      </w:r>
      <w:r>
        <w:t>todos</w:t>
      </w:r>
      <w:r>
        <w:rPr>
          <w:spacing w:val="-4"/>
        </w:rPr>
        <w:t xml:space="preserve"> </w:t>
      </w:r>
      <w:r>
        <w:t>el</w:t>
      </w:r>
      <w:r>
        <w:rPr>
          <w:spacing w:val="-4"/>
        </w:rPr>
        <w:t xml:space="preserve"> </w:t>
      </w:r>
      <w:r>
        <w:t>derecho</w:t>
      </w:r>
      <w:r>
        <w:rPr>
          <w:spacing w:val="-4"/>
        </w:rPr>
        <w:t xml:space="preserve"> </w:t>
      </w:r>
      <w:r>
        <w:t>de</w:t>
      </w:r>
      <w:r>
        <w:rPr>
          <w:spacing w:val="-4"/>
        </w:rPr>
        <w:t xml:space="preserve"> </w:t>
      </w:r>
      <w:r>
        <w:t xml:space="preserve">acceso, en condiciones de igualdad y no discriminación, a cualquier lugar o servicio destinado al uso del público en </w:t>
      </w:r>
      <w:proofErr w:type="gramStart"/>
      <w:r>
        <w:t>general”;</w:t>
      </w:r>
      <w:proofErr w:type="gramEnd"/>
      <w:r>
        <w:t xml:space="preserve"> y “tomar medidas para promover comunidades mixtas”.330</w:t>
      </w:r>
    </w:p>
    <w:p w14:paraId="7B0D71A1" w14:textId="77777777" w:rsidR="0014798C" w:rsidRDefault="004E1F0B">
      <w:pPr>
        <w:pStyle w:val="Textoindependiente"/>
        <w:spacing w:before="167" w:line="326" w:lineRule="auto"/>
        <w:ind w:left="1107" w:right="1290" w:hanging="1"/>
      </w:pPr>
      <w:r>
        <w:t>Como se señaló, el artículo 19 (b) de la Convención sobre los Derechos de las Personas con Discapacidad establece que los Estados</w:t>
      </w:r>
      <w:r>
        <w:rPr>
          <w:spacing w:val="18"/>
        </w:rPr>
        <w:t xml:space="preserve"> </w:t>
      </w:r>
      <w:r>
        <w:t>deben</w:t>
      </w:r>
      <w:r>
        <w:rPr>
          <w:spacing w:val="18"/>
        </w:rPr>
        <w:t xml:space="preserve"> </w:t>
      </w:r>
      <w:r>
        <w:t>garantizar</w:t>
      </w:r>
      <w:r>
        <w:rPr>
          <w:spacing w:val="18"/>
        </w:rPr>
        <w:t xml:space="preserve"> </w:t>
      </w:r>
      <w:r>
        <w:t>que</w:t>
      </w:r>
      <w:r>
        <w:rPr>
          <w:spacing w:val="18"/>
        </w:rPr>
        <w:t xml:space="preserve"> </w:t>
      </w:r>
      <w:r>
        <w:t>las</w:t>
      </w:r>
      <w:r>
        <w:rPr>
          <w:spacing w:val="18"/>
        </w:rPr>
        <w:t xml:space="preserve"> </w:t>
      </w:r>
      <w:r>
        <w:t>personas</w:t>
      </w:r>
      <w:r>
        <w:rPr>
          <w:spacing w:val="18"/>
        </w:rPr>
        <w:t xml:space="preserve"> </w:t>
      </w:r>
      <w:r>
        <w:t>con</w:t>
      </w:r>
      <w:r>
        <w:rPr>
          <w:spacing w:val="18"/>
        </w:rPr>
        <w:t xml:space="preserve"> </w:t>
      </w:r>
      <w:r>
        <w:t>discapacidad</w:t>
      </w:r>
      <w:r>
        <w:rPr>
          <w:spacing w:val="19"/>
        </w:rPr>
        <w:t xml:space="preserve"> </w:t>
      </w:r>
      <w:r>
        <w:t>tengan</w:t>
      </w:r>
      <w:r>
        <w:rPr>
          <w:spacing w:val="18"/>
        </w:rPr>
        <w:t xml:space="preserve"> </w:t>
      </w:r>
      <w:r>
        <w:t>acceso</w:t>
      </w:r>
      <w:r>
        <w:rPr>
          <w:spacing w:val="19"/>
        </w:rPr>
        <w:t xml:space="preserve"> </w:t>
      </w:r>
      <w:r>
        <w:t>a</w:t>
      </w:r>
      <w:r>
        <w:rPr>
          <w:spacing w:val="18"/>
        </w:rPr>
        <w:t xml:space="preserve"> </w:t>
      </w:r>
      <w:r>
        <w:t>los</w:t>
      </w:r>
      <w:r>
        <w:rPr>
          <w:spacing w:val="18"/>
        </w:rPr>
        <w:t xml:space="preserve"> </w:t>
      </w:r>
      <w:r>
        <w:t>servicios</w:t>
      </w:r>
      <w:r>
        <w:rPr>
          <w:spacing w:val="18"/>
        </w:rPr>
        <w:t xml:space="preserve"> </w:t>
      </w:r>
      <w:r>
        <w:t>de</w:t>
      </w:r>
      <w:r>
        <w:rPr>
          <w:spacing w:val="18"/>
        </w:rPr>
        <w:t xml:space="preserve"> </w:t>
      </w:r>
      <w:r>
        <w:t>apoyo</w:t>
      </w:r>
      <w:r>
        <w:rPr>
          <w:spacing w:val="18"/>
        </w:rPr>
        <w:t xml:space="preserve"> </w:t>
      </w:r>
      <w:r>
        <w:t>“necesarios</w:t>
      </w:r>
      <w:r>
        <w:rPr>
          <w:spacing w:val="18"/>
        </w:rPr>
        <w:t xml:space="preserve"> </w:t>
      </w:r>
      <w:r>
        <w:t>para</w:t>
      </w:r>
      <w:r>
        <w:rPr>
          <w:spacing w:val="18"/>
        </w:rPr>
        <w:t xml:space="preserve"> </w:t>
      </w:r>
      <w:r>
        <w:t>apoyar la</w:t>
      </w:r>
      <w:r>
        <w:rPr>
          <w:spacing w:val="12"/>
        </w:rPr>
        <w:t xml:space="preserve"> </w:t>
      </w:r>
      <w:r>
        <w:t>vida</w:t>
      </w:r>
      <w:r>
        <w:rPr>
          <w:spacing w:val="12"/>
        </w:rPr>
        <w:t xml:space="preserve"> </w:t>
      </w:r>
      <w:r>
        <w:t>y</w:t>
      </w:r>
      <w:r>
        <w:rPr>
          <w:spacing w:val="12"/>
        </w:rPr>
        <w:t xml:space="preserve"> </w:t>
      </w:r>
      <w:r>
        <w:t>la</w:t>
      </w:r>
      <w:r>
        <w:rPr>
          <w:spacing w:val="12"/>
        </w:rPr>
        <w:t xml:space="preserve"> </w:t>
      </w:r>
      <w:r>
        <w:t>inclusión</w:t>
      </w:r>
      <w:r>
        <w:rPr>
          <w:spacing w:val="12"/>
        </w:rPr>
        <w:t xml:space="preserve"> </w:t>
      </w:r>
      <w:r>
        <w:t>en</w:t>
      </w:r>
      <w:r>
        <w:rPr>
          <w:spacing w:val="12"/>
        </w:rPr>
        <w:t xml:space="preserve"> </w:t>
      </w:r>
      <w:r>
        <w:t>la</w:t>
      </w:r>
      <w:r>
        <w:rPr>
          <w:spacing w:val="12"/>
        </w:rPr>
        <w:t xml:space="preserve"> </w:t>
      </w:r>
      <w:r>
        <w:t>comunidad,</w:t>
      </w:r>
      <w:r>
        <w:rPr>
          <w:spacing w:val="13"/>
        </w:rPr>
        <w:t xml:space="preserve"> </w:t>
      </w:r>
      <w:r>
        <w:t>y</w:t>
      </w:r>
      <w:r>
        <w:rPr>
          <w:spacing w:val="12"/>
        </w:rPr>
        <w:t xml:space="preserve"> </w:t>
      </w:r>
      <w:r>
        <w:t>para</w:t>
      </w:r>
      <w:r>
        <w:rPr>
          <w:spacing w:val="12"/>
        </w:rPr>
        <w:t xml:space="preserve"> </w:t>
      </w:r>
      <w:r>
        <w:t>prevenir</w:t>
      </w:r>
      <w:r>
        <w:rPr>
          <w:spacing w:val="12"/>
        </w:rPr>
        <w:t xml:space="preserve"> </w:t>
      </w:r>
      <w:r>
        <w:t>el</w:t>
      </w:r>
      <w:r>
        <w:rPr>
          <w:spacing w:val="12"/>
        </w:rPr>
        <w:t xml:space="preserve"> </w:t>
      </w:r>
      <w:r>
        <w:t>aislamiento</w:t>
      </w:r>
      <w:r>
        <w:rPr>
          <w:spacing w:val="12"/>
        </w:rPr>
        <w:t xml:space="preserve"> </w:t>
      </w:r>
      <w:r>
        <w:t>o</w:t>
      </w:r>
      <w:r>
        <w:rPr>
          <w:spacing w:val="12"/>
        </w:rPr>
        <w:t xml:space="preserve"> </w:t>
      </w:r>
      <w:r>
        <w:t>la</w:t>
      </w:r>
      <w:r>
        <w:rPr>
          <w:spacing w:val="12"/>
        </w:rPr>
        <w:t xml:space="preserve"> </w:t>
      </w:r>
      <w:r>
        <w:t>segregación</w:t>
      </w:r>
      <w:r>
        <w:rPr>
          <w:spacing w:val="13"/>
        </w:rPr>
        <w:t xml:space="preserve"> </w:t>
      </w:r>
      <w:r>
        <w:t>de</w:t>
      </w:r>
      <w:r>
        <w:rPr>
          <w:spacing w:val="12"/>
        </w:rPr>
        <w:t xml:space="preserve"> </w:t>
      </w:r>
      <w:r>
        <w:t>la</w:t>
      </w:r>
      <w:r>
        <w:rPr>
          <w:spacing w:val="12"/>
        </w:rPr>
        <w:t xml:space="preserve"> </w:t>
      </w:r>
      <w:r>
        <w:t>comunidad”.</w:t>
      </w:r>
      <w:r>
        <w:rPr>
          <w:spacing w:val="14"/>
        </w:rPr>
        <w:t xml:space="preserve"> </w:t>
      </w:r>
      <w:r>
        <w:t>la</w:t>
      </w:r>
      <w:r>
        <w:rPr>
          <w:spacing w:val="12"/>
        </w:rPr>
        <w:t xml:space="preserve"> </w:t>
      </w:r>
      <w:r>
        <w:t>comunidad".</w:t>
      </w:r>
      <w:r>
        <w:rPr>
          <w:spacing w:val="13"/>
        </w:rPr>
        <w:t xml:space="preserve"> </w:t>
      </w:r>
      <w:r>
        <w:t>El artículo 23 (3) de la Convención establece que los Estados deben “prevenir el ocultamiento, el abandono, el abandono y la segregación de los niños con discapacidad”. En términos más generales, el Comité sobre los Derechos de las Personas con Discapacidad ha determinado que la segregación constituye una violación de varias disposiciones de la Convención. Así, el</w:t>
      </w:r>
      <w:r>
        <w:rPr>
          <w:spacing w:val="80"/>
        </w:rPr>
        <w:t xml:space="preserve"> </w:t>
      </w:r>
      <w:r>
        <w:t>Comité</w:t>
      </w:r>
      <w:r>
        <w:rPr>
          <w:spacing w:val="12"/>
        </w:rPr>
        <w:t xml:space="preserve"> </w:t>
      </w:r>
      <w:r>
        <w:t>ha</w:t>
      </w:r>
      <w:r>
        <w:rPr>
          <w:spacing w:val="12"/>
        </w:rPr>
        <w:t xml:space="preserve"> </w:t>
      </w:r>
      <w:r>
        <w:t>observado</w:t>
      </w:r>
      <w:r>
        <w:rPr>
          <w:spacing w:val="14"/>
        </w:rPr>
        <w:t xml:space="preserve"> </w:t>
      </w:r>
      <w:r>
        <w:t>que</w:t>
      </w:r>
      <w:r>
        <w:rPr>
          <w:spacing w:val="12"/>
        </w:rPr>
        <w:t xml:space="preserve"> </w:t>
      </w:r>
      <w:r>
        <w:t>la</w:t>
      </w:r>
      <w:r>
        <w:rPr>
          <w:spacing w:val="12"/>
        </w:rPr>
        <w:t xml:space="preserve"> </w:t>
      </w:r>
      <w:r>
        <w:t>segregación</w:t>
      </w:r>
      <w:r>
        <w:rPr>
          <w:spacing w:val="14"/>
        </w:rPr>
        <w:t xml:space="preserve"> </w:t>
      </w:r>
      <w:r>
        <w:t>es</w:t>
      </w:r>
      <w:r>
        <w:rPr>
          <w:spacing w:val="12"/>
        </w:rPr>
        <w:t xml:space="preserve"> </w:t>
      </w:r>
      <w:r>
        <w:t>una</w:t>
      </w:r>
      <w:r>
        <w:rPr>
          <w:spacing w:val="12"/>
        </w:rPr>
        <w:t xml:space="preserve"> </w:t>
      </w:r>
      <w:r>
        <w:t>forma</w:t>
      </w:r>
      <w:r>
        <w:rPr>
          <w:spacing w:val="12"/>
        </w:rPr>
        <w:t xml:space="preserve"> </w:t>
      </w:r>
      <w:r>
        <w:t>de</w:t>
      </w:r>
      <w:r>
        <w:rPr>
          <w:spacing w:val="12"/>
        </w:rPr>
        <w:t xml:space="preserve"> </w:t>
      </w:r>
      <w:r>
        <w:t>violencia,</w:t>
      </w:r>
      <w:r>
        <w:rPr>
          <w:spacing w:val="14"/>
        </w:rPr>
        <w:t xml:space="preserve"> </w:t>
      </w:r>
      <w:r>
        <w:t>abuso</w:t>
      </w:r>
      <w:r>
        <w:rPr>
          <w:spacing w:val="12"/>
        </w:rPr>
        <w:t xml:space="preserve"> </w:t>
      </w:r>
      <w:r>
        <w:t>y</w:t>
      </w:r>
      <w:r>
        <w:rPr>
          <w:spacing w:val="12"/>
        </w:rPr>
        <w:t xml:space="preserve"> </w:t>
      </w:r>
      <w:r>
        <w:t>otras</w:t>
      </w:r>
      <w:r>
        <w:rPr>
          <w:spacing w:val="12"/>
        </w:rPr>
        <w:t xml:space="preserve"> </w:t>
      </w:r>
      <w:r>
        <w:t>penas</w:t>
      </w:r>
      <w:r>
        <w:rPr>
          <w:spacing w:val="12"/>
        </w:rPr>
        <w:t xml:space="preserve"> </w:t>
      </w:r>
      <w:r>
        <w:t>crueles</w:t>
      </w:r>
      <w:r>
        <w:rPr>
          <w:spacing w:val="12"/>
        </w:rPr>
        <w:t xml:space="preserve"> </w:t>
      </w:r>
      <w:r>
        <w:t>y</w:t>
      </w:r>
      <w:r>
        <w:rPr>
          <w:spacing w:val="12"/>
        </w:rPr>
        <w:t xml:space="preserve"> </w:t>
      </w:r>
      <w:r>
        <w:t>degradantes,</w:t>
      </w:r>
      <w:r>
        <w:rPr>
          <w:spacing w:val="15"/>
        </w:rPr>
        <w:t xml:space="preserve"> </w:t>
      </w:r>
      <w:r>
        <w:t>prohibidas</w:t>
      </w:r>
      <w:r>
        <w:rPr>
          <w:spacing w:val="12"/>
        </w:rPr>
        <w:t xml:space="preserve"> </w:t>
      </w:r>
      <w:r>
        <w:t>por los</w:t>
      </w:r>
      <w:r>
        <w:rPr>
          <w:spacing w:val="15"/>
        </w:rPr>
        <w:t xml:space="preserve"> </w:t>
      </w:r>
      <w:r>
        <w:t>artículos</w:t>
      </w:r>
      <w:r>
        <w:rPr>
          <w:spacing w:val="15"/>
        </w:rPr>
        <w:t xml:space="preserve"> </w:t>
      </w:r>
      <w:r>
        <w:t>15</w:t>
      </w:r>
      <w:r>
        <w:rPr>
          <w:spacing w:val="15"/>
        </w:rPr>
        <w:t xml:space="preserve"> </w:t>
      </w:r>
      <w:r>
        <w:t>y</w:t>
      </w:r>
      <w:r>
        <w:rPr>
          <w:spacing w:val="15"/>
        </w:rPr>
        <w:t xml:space="preserve"> </w:t>
      </w:r>
      <w:r>
        <w:t>16.331</w:t>
      </w:r>
      <w:r>
        <w:rPr>
          <w:spacing w:val="15"/>
        </w:rPr>
        <w:t xml:space="preserve"> </w:t>
      </w:r>
      <w:r>
        <w:t>El</w:t>
      </w:r>
      <w:r>
        <w:rPr>
          <w:spacing w:val="15"/>
        </w:rPr>
        <w:t xml:space="preserve"> </w:t>
      </w:r>
      <w:r>
        <w:t>Comité</w:t>
      </w:r>
      <w:r>
        <w:rPr>
          <w:spacing w:val="15"/>
        </w:rPr>
        <w:t xml:space="preserve"> </w:t>
      </w:r>
      <w:r>
        <w:t>también</w:t>
      </w:r>
      <w:r>
        <w:rPr>
          <w:spacing w:val="15"/>
        </w:rPr>
        <w:t xml:space="preserve"> </w:t>
      </w:r>
      <w:r>
        <w:t>ha</w:t>
      </w:r>
      <w:r>
        <w:rPr>
          <w:spacing w:val="15"/>
        </w:rPr>
        <w:t xml:space="preserve"> </w:t>
      </w:r>
      <w:r>
        <w:t>declarado</w:t>
      </w:r>
      <w:r>
        <w:rPr>
          <w:spacing w:val="15"/>
        </w:rPr>
        <w:t xml:space="preserve"> </w:t>
      </w:r>
      <w:r>
        <w:t>que</w:t>
      </w:r>
      <w:r>
        <w:rPr>
          <w:spacing w:val="15"/>
        </w:rPr>
        <w:t xml:space="preserve"> </w:t>
      </w:r>
      <w:r>
        <w:t>los</w:t>
      </w:r>
      <w:r>
        <w:rPr>
          <w:spacing w:val="15"/>
        </w:rPr>
        <w:t xml:space="preserve"> </w:t>
      </w:r>
      <w:r>
        <w:t>modelos</w:t>
      </w:r>
      <w:r>
        <w:rPr>
          <w:spacing w:val="15"/>
        </w:rPr>
        <w:t xml:space="preserve"> </w:t>
      </w:r>
      <w:r>
        <w:t>segregados</w:t>
      </w:r>
      <w:r>
        <w:rPr>
          <w:spacing w:val="15"/>
        </w:rPr>
        <w:t xml:space="preserve"> </w:t>
      </w:r>
      <w:r>
        <w:t>de</w:t>
      </w:r>
      <w:r>
        <w:rPr>
          <w:spacing w:val="15"/>
        </w:rPr>
        <w:t xml:space="preserve"> </w:t>
      </w:r>
      <w:r>
        <w:t>educación</w:t>
      </w:r>
      <w:r>
        <w:rPr>
          <w:spacing w:val="15"/>
        </w:rPr>
        <w:t xml:space="preserve"> </w:t>
      </w:r>
      <w:r>
        <w:t>contravienen</w:t>
      </w:r>
      <w:r>
        <w:rPr>
          <w:spacing w:val="15"/>
        </w:rPr>
        <w:t xml:space="preserve"> </w:t>
      </w:r>
      <w:r>
        <w:t>tanto</w:t>
      </w:r>
      <w:r>
        <w:rPr>
          <w:spacing w:val="15"/>
        </w:rPr>
        <w:t xml:space="preserve"> </w:t>
      </w:r>
      <w:r>
        <w:t>el artículo 5 como el artículo 24 de la Convención332 y ha expresado sistemáticamente su preocupación por la segregación en la educación</w:t>
      </w:r>
      <w:r>
        <w:rPr>
          <w:spacing w:val="19"/>
        </w:rPr>
        <w:t xml:space="preserve"> </w:t>
      </w:r>
      <w:r>
        <w:t>en</w:t>
      </w:r>
      <w:r>
        <w:rPr>
          <w:spacing w:val="19"/>
        </w:rPr>
        <w:t xml:space="preserve"> </w:t>
      </w:r>
      <w:r>
        <w:t>sus</w:t>
      </w:r>
      <w:r>
        <w:rPr>
          <w:spacing w:val="19"/>
        </w:rPr>
        <w:t xml:space="preserve"> </w:t>
      </w:r>
      <w:r>
        <w:t>exámenes</w:t>
      </w:r>
      <w:r>
        <w:rPr>
          <w:spacing w:val="19"/>
        </w:rPr>
        <w:t xml:space="preserve"> </w:t>
      </w:r>
      <w:r>
        <w:t>periódicos</w:t>
      </w:r>
      <w:r>
        <w:rPr>
          <w:spacing w:val="19"/>
        </w:rPr>
        <w:t xml:space="preserve"> </w:t>
      </w:r>
      <w:r>
        <w:t>de</w:t>
      </w:r>
      <w:r>
        <w:rPr>
          <w:spacing w:val="19"/>
        </w:rPr>
        <w:t xml:space="preserve"> </w:t>
      </w:r>
      <w:r>
        <w:t>los</w:t>
      </w:r>
      <w:r>
        <w:rPr>
          <w:spacing w:val="19"/>
        </w:rPr>
        <w:t xml:space="preserve"> </w:t>
      </w:r>
      <w:r>
        <w:t>Estados.333</w:t>
      </w:r>
      <w:r>
        <w:rPr>
          <w:spacing w:val="19"/>
        </w:rPr>
        <w:t xml:space="preserve"> </w:t>
      </w:r>
      <w:r>
        <w:t>El</w:t>
      </w:r>
      <w:r>
        <w:rPr>
          <w:spacing w:val="19"/>
        </w:rPr>
        <w:t xml:space="preserve"> </w:t>
      </w:r>
      <w:r>
        <w:t>Comité</w:t>
      </w:r>
      <w:r>
        <w:rPr>
          <w:spacing w:val="19"/>
        </w:rPr>
        <w:t xml:space="preserve"> </w:t>
      </w:r>
      <w:r>
        <w:t>ha</w:t>
      </w:r>
      <w:r>
        <w:rPr>
          <w:spacing w:val="19"/>
        </w:rPr>
        <w:t xml:space="preserve"> </w:t>
      </w:r>
      <w:r>
        <w:t>expresado</w:t>
      </w:r>
      <w:r>
        <w:rPr>
          <w:spacing w:val="20"/>
        </w:rPr>
        <w:t xml:space="preserve"> </w:t>
      </w:r>
      <w:r>
        <w:t>preocupación</w:t>
      </w:r>
      <w:r>
        <w:rPr>
          <w:spacing w:val="20"/>
        </w:rPr>
        <w:t xml:space="preserve"> </w:t>
      </w:r>
      <w:r>
        <w:t>por</w:t>
      </w:r>
      <w:r>
        <w:rPr>
          <w:spacing w:val="19"/>
        </w:rPr>
        <w:t xml:space="preserve"> </w:t>
      </w:r>
      <w:r>
        <w:t>las</w:t>
      </w:r>
      <w:r>
        <w:rPr>
          <w:spacing w:val="19"/>
        </w:rPr>
        <w:t xml:space="preserve"> </w:t>
      </w:r>
      <w:r>
        <w:t xml:space="preserve">disposiciones laborales segregadas, como la práctica de los llamados “talleres protegidos”.334 El Relator Especial sobre los derechos de las personas con discapacidad </w:t>
      </w:r>
      <w:proofErr w:type="spellStart"/>
      <w:r>
        <w:t>discapacidad</w:t>
      </w:r>
      <w:proofErr w:type="spellEnd"/>
      <w:r>
        <w:t xml:space="preserve"> también ha señalado que “las instalaciones segregadas y/o la falta de apoyo, incluidos</w:t>
      </w:r>
    </w:p>
    <w:p w14:paraId="4DCD3422" w14:textId="77777777" w:rsidR="0014798C" w:rsidRDefault="004E1F0B">
      <w:pPr>
        <w:pStyle w:val="Textoindependiente"/>
        <w:spacing w:line="178" w:lineRule="exact"/>
        <w:ind w:left="1111"/>
      </w:pPr>
      <w:r>
        <w:t>los</w:t>
      </w:r>
      <w:r>
        <w:rPr>
          <w:spacing w:val="6"/>
        </w:rPr>
        <w:t xml:space="preserve"> </w:t>
      </w:r>
      <w:r>
        <w:t>servicios</w:t>
      </w:r>
      <w:r>
        <w:rPr>
          <w:spacing w:val="6"/>
        </w:rPr>
        <w:t xml:space="preserve"> </w:t>
      </w:r>
      <w:r>
        <w:t>de</w:t>
      </w:r>
      <w:r>
        <w:rPr>
          <w:spacing w:val="7"/>
        </w:rPr>
        <w:t xml:space="preserve"> </w:t>
      </w:r>
      <w:r>
        <w:t>apoyo”</w:t>
      </w:r>
      <w:r>
        <w:rPr>
          <w:spacing w:val="6"/>
        </w:rPr>
        <w:t xml:space="preserve"> </w:t>
      </w:r>
      <w:r>
        <w:t>plantean</w:t>
      </w:r>
      <w:r>
        <w:rPr>
          <w:spacing w:val="7"/>
        </w:rPr>
        <w:t xml:space="preserve"> </w:t>
      </w:r>
      <w:r>
        <w:t>“desafíos</w:t>
      </w:r>
      <w:r>
        <w:rPr>
          <w:spacing w:val="6"/>
        </w:rPr>
        <w:t xml:space="preserve"> </w:t>
      </w:r>
      <w:r>
        <w:t>adicionales”</w:t>
      </w:r>
      <w:r>
        <w:rPr>
          <w:spacing w:val="7"/>
        </w:rPr>
        <w:t xml:space="preserve"> </w:t>
      </w:r>
      <w:r>
        <w:t>en</w:t>
      </w:r>
      <w:r>
        <w:rPr>
          <w:spacing w:val="6"/>
        </w:rPr>
        <w:t xml:space="preserve"> </w:t>
      </w:r>
      <w:r>
        <w:t>el</w:t>
      </w:r>
      <w:r>
        <w:rPr>
          <w:spacing w:val="7"/>
        </w:rPr>
        <w:t xml:space="preserve"> </w:t>
      </w:r>
      <w:r>
        <w:t>acceso</w:t>
      </w:r>
      <w:r>
        <w:rPr>
          <w:spacing w:val="7"/>
        </w:rPr>
        <w:t xml:space="preserve"> </w:t>
      </w:r>
      <w:r>
        <w:t>a</w:t>
      </w:r>
      <w:r>
        <w:rPr>
          <w:spacing w:val="7"/>
        </w:rPr>
        <w:t xml:space="preserve"> </w:t>
      </w:r>
      <w:r>
        <w:t>servicios</w:t>
      </w:r>
      <w:r>
        <w:rPr>
          <w:spacing w:val="6"/>
        </w:rPr>
        <w:t xml:space="preserve"> </w:t>
      </w:r>
      <w:r>
        <w:t>esenciales</w:t>
      </w:r>
      <w:r>
        <w:rPr>
          <w:spacing w:val="7"/>
        </w:rPr>
        <w:t xml:space="preserve"> </w:t>
      </w:r>
      <w:r>
        <w:t>como</w:t>
      </w:r>
      <w:r>
        <w:rPr>
          <w:spacing w:val="6"/>
        </w:rPr>
        <w:t xml:space="preserve"> </w:t>
      </w:r>
      <w:r>
        <w:t>la</w:t>
      </w:r>
      <w:r>
        <w:rPr>
          <w:spacing w:val="6"/>
        </w:rPr>
        <w:t xml:space="preserve"> </w:t>
      </w:r>
      <w:r>
        <w:t>atención</w:t>
      </w:r>
      <w:r>
        <w:rPr>
          <w:spacing w:val="7"/>
        </w:rPr>
        <w:t xml:space="preserve"> </w:t>
      </w:r>
      <w:r>
        <w:t>médica</w:t>
      </w:r>
      <w:r>
        <w:rPr>
          <w:spacing w:val="6"/>
        </w:rPr>
        <w:t xml:space="preserve"> </w:t>
      </w:r>
      <w:r>
        <w:t>y</w:t>
      </w:r>
      <w:r>
        <w:rPr>
          <w:spacing w:val="7"/>
        </w:rPr>
        <w:t xml:space="preserve"> </w:t>
      </w:r>
      <w:r>
        <w:t>la</w:t>
      </w:r>
      <w:r>
        <w:rPr>
          <w:spacing w:val="6"/>
        </w:rPr>
        <w:t xml:space="preserve"> </w:t>
      </w:r>
      <w:r>
        <w:rPr>
          <w:spacing w:val="-2"/>
        </w:rPr>
        <w:t>educación.335</w:t>
      </w:r>
    </w:p>
    <w:p w14:paraId="5455E5ED" w14:textId="77777777" w:rsidR="0014798C" w:rsidRDefault="004E1F0B">
      <w:pPr>
        <w:pStyle w:val="Textoindependiente"/>
        <w:spacing w:before="37"/>
        <w:rPr>
          <w:sz w:val="20"/>
        </w:rPr>
      </w:pPr>
      <w:r>
        <w:rPr>
          <w:noProof/>
        </w:rPr>
        <mc:AlternateContent>
          <mc:Choice Requires="wpg">
            <w:drawing>
              <wp:anchor distT="0" distB="0" distL="0" distR="0" simplePos="0" relativeHeight="251658526" behindDoc="1" locked="0" layoutInCell="1" allowOverlap="1" wp14:anchorId="50468E9D" wp14:editId="3DDA0470">
                <wp:simplePos x="0" y="0"/>
                <wp:positionH relativeFrom="page">
                  <wp:posOffset>790692</wp:posOffset>
                </wp:positionH>
                <wp:positionV relativeFrom="paragraph">
                  <wp:posOffset>184940</wp:posOffset>
                </wp:positionV>
                <wp:extent cx="5966460" cy="2952750"/>
                <wp:effectExtent l="0" t="0" r="0" b="0"/>
                <wp:wrapTopAndBottom/>
                <wp:docPr id="129" name="Group 12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966460" cy="2952750"/>
                          <a:chOff x="0" y="0"/>
                          <a:chExt cx="5966460" cy="2952750"/>
                        </a:xfrm>
                      </wpg:grpSpPr>
                      <pic:pic xmlns:pic="http://schemas.openxmlformats.org/drawingml/2006/picture">
                        <pic:nvPicPr>
                          <pic:cNvPr id="130" name="Image 130"/>
                          <pic:cNvPicPr/>
                        </pic:nvPicPr>
                        <pic:blipFill>
                          <a:blip r:embed="rId124" cstate="print"/>
                          <a:stretch>
                            <a:fillRect/>
                          </a:stretch>
                        </pic:blipFill>
                        <pic:spPr>
                          <a:xfrm>
                            <a:off x="0" y="0"/>
                            <a:ext cx="5966130" cy="2952132"/>
                          </a:xfrm>
                          <a:prstGeom prst="rect">
                            <a:avLst/>
                          </a:prstGeom>
                        </pic:spPr>
                      </pic:pic>
                      <wps:wsp>
                        <wps:cNvPr id="131" name="Textbox 131"/>
                        <wps:cNvSpPr txBox="1"/>
                        <wps:spPr>
                          <a:xfrm>
                            <a:off x="0" y="0"/>
                            <a:ext cx="5966460" cy="2952750"/>
                          </a:xfrm>
                          <a:prstGeom prst="rect">
                            <a:avLst/>
                          </a:prstGeom>
                        </wps:spPr>
                        <wps:txbx>
                          <w:txbxContent>
                            <w:p w14:paraId="76ADFBEE" w14:textId="77777777" w:rsidR="0014798C" w:rsidRDefault="0014798C">
                              <w:pPr>
                                <w:spacing w:before="60"/>
                                <w:rPr>
                                  <w:sz w:val="16"/>
                                </w:rPr>
                              </w:pPr>
                            </w:p>
                            <w:p w14:paraId="0BA6DFBC" w14:textId="77777777" w:rsidR="0014798C" w:rsidRDefault="004E1F0B">
                              <w:pPr>
                                <w:ind w:left="290"/>
                                <w:rPr>
                                  <w:sz w:val="16"/>
                                </w:rPr>
                              </w:pPr>
                              <w:r>
                                <w:rPr>
                                  <w:sz w:val="16"/>
                                </w:rPr>
                                <w:t>SEGREGACIÓN</w:t>
                              </w:r>
                              <w:r>
                                <w:rPr>
                                  <w:spacing w:val="7"/>
                                  <w:sz w:val="16"/>
                                </w:rPr>
                                <w:t xml:space="preserve"> </w:t>
                              </w:r>
                              <w:r>
                                <w:rPr>
                                  <w:sz w:val="16"/>
                                </w:rPr>
                                <w:t>DE</w:t>
                              </w:r>
                              <w:r>
                                <w:rPr>
                                  <w:spacing w:val="8"/>
                                  <w:sz w:val="16"/>
                                </w:rPr>
                                <w:t xml:space="preserve"> </w:t>
                              </w:r>
                              <w:r>
                                <w:rPr>
                                  <w:sz w:val="16"/>
                                </w:rPr>
                                <w:t>PERSONAS</w:t>
                              </w:r>
                              <w:r>
                                <w:rPr>
                                  <w:spacing w:val="9"/>
                                  <w:sz w:val="16"/>
                                </w:rPr>
                                <w:t xml:space="preserve"> </w:t>
                              </w:r>
                              <w:r>
                                <w:rPr>
                                  <w:sz w:val="16"/>
                                </w:rPr>
                                <w:t>CON</w:t>
                              </w:r>
                              <w:r>
                                <w:rPr>
                                  <w:spacing w:val="9"/>
                                  <w:sz w:val="16"/>
                                </w:rPr>
                                <w:t xml:space="preserve"> </w:t>
                              </w:r>
                              <w:r>
                                <w:rPr>
                                  <w:spacing w:val="-2"/>
                                  <w:sz w:val="16"/>
                                </w:rPr>
                                <w:t>DISCAPACIDAD</w:t>
                              </w:r>
                            </w:p>
                            <w:p w14:paraId="1BE1F5F5" w14:textId="77777777" w:rsidR="0014798C" w:rsidRDefault="0014798C">
                              <w:pPr>
                                <w:spacing w:before="35"/>
                                <w:rPr>
                                  <w:sz w:val="16"/>
                                </w:rPr>
                              </w:pPr>
                            </w:p>
                            <w:p w14:paraId="46A5767E" w14:textId="77777777" w:rsidR="0014798C" w:rsidRDefault="004E1F0B">
                              <w:pPr>
                                <w:spacing w:line="326" w:lineRule="auto"/>
                                <w:ind w:left="289" w:right="250" w:hanging="2"/>
                                <w:rPr>
                                  <w:sz w:val="16"/>
                                </w:rPr>
                              </w:pPr>
                              <w:r>
                                <w:rPr>
                                  <w:sz w:val="16"/>
                                </w:rPr>
                                <w:t>En</w:t>
                              </w:r>
                              <w:r>
                                <w:rPr>
                                  <w:spacing w:val="14"/>
                                  <w:sz w:val="16"/>
                                </w:rPr>
                                <w:t xml:space="preserve"> </w:t>
                              </w:r>
                              <w:r>
                                <w:rPr>
                                  <w:sz w:val="16"/>
                                </w:rPr>
                                <w:t>su</w:t>
                              </w:r>
                              <w:r>
                                <w:rPr>
                                  <w:spacing w:val="14"/>
                                  <w:sz w:val="16"/>
                                </w:rPr>
                                <w:t xml:space="preserve"> </w:t>
                              </w:r>
                              <w:r>
                                <w:rPr>
                                  <w:sz w:val="16"/>
                                </w:rPr>
                                <w:t>investigación</w:t>
                              </w:r>
                              <w:r>
                                <w:rPr>
                                  <w:spacing w:val="14"/>
                                  <w:sz w:val="16"/>
                                </w:rPr>
                                <w:t xml:space="preserve"> </w:t>
                              </w:r>
                              <w:r>
                                <w:rPr>
                                  <w:sz w:val="16"/>
                                </w:rPr>
                                <w:t>sobre</w:t>
                              </w:r>
                              <w:r>
                                <w:rPr>
                                  <w:spacing w:val="14"/>
                                  <w:sz w:val="16"/>
                                </w:rPr>
                                <w:t xml:space="preserve"> </w:t>
                              </w:r>
                              <w:r>
                                <w:rPr>
                                  <w:sz w:val="16"/>
                                </w:rPr>
                                <w:t>Hungría</w:t>
                              </w:r>
                              <w:r>
                                <w:rPr>
                                  <w:spacing w:val="14"/>
                                  <w:sz w:val="16"/>
                                </w:rPr>
                                <w:t xml:space="preserve"> </w:t>
                              </w:r>
                              <w:r>
                                <w:rPr>
                                  <w:sz w:val="16"/>
                                </w:rPr>
                                <w:t>en</w:t>
                              </w:r>
                              <w:r>
                                <w:rPr>
                                  <w:spacing w:val="14"/>
                                  <w:sz w:val="16"/>
                                </w:rPr>
                                <w:t xml:space="preserve"> </w:t>
                              </w:r>
                              <w:r>
                                <w:rPr>
                                  <w:sz w:val="16"/>
                                </w:rPr>
                                <w:t>virtud</w:t>
                              </w:r>
                              <w:r>
                                <w:rPr>
                                  <w:spacing w:val="14"/>
                                  <w:sz w:val="16"/>
                                </w:rPr>
                                <w:t xml:space="preserve"> </w:t>
                              </w:r>
                              <w:r>
                                <w:rPr>
                                  <w:sz w:val="16"/>
                                </w:rPr>
                                <w:t>del</w:t>
                              </w:r>
                              <w:r>
                                <w:rPr>
                                  <w:spacing w:val="14"/>
                                  <w:sz w:val="16"/>
                                </w:rPr>
                                <w:t xml:space="preserve"> </w:t>
                              </w:r>
                              <w:r>
                                <w:rPr>
                                  <w:sz w:val="16"/>
                                </w:rPr>
                                <w:t>artículo</w:t>
                              </w:r>
                              <w:r>
                                <w:rPr>
                                  <w:spacing w:val="14"/>
                                  <w:sz w:val="16"/>
                                </w:rPr>
                                <w:t xml:space="preserve"> </w:t>
                              </w:r>
                              <w:r>
                                <w:rPr>
                                  <w:sz w:val="16"/>
                                </w:rPr>
                                <w:t>6</w:t>
                              </w:r>
                              <w:r>
                                <w:rPr>
                                  <w:spacing w:val="14"/>
                                  <w:sz w:val="16"/>
                                </w:rPr>
                                <w:t xml:space="preserve"> </w:t>
                              </w:r>
                              <w:r>
                                <w:rPr>
                                  <w:sz w:val="16"/>
                                </w:rPr>
                                <w:t>del</w:t>
                              </w:r>
                              <w:r>
                                <w:rPr>
                                  <w:spacing w:val="14"/>
                                  <w:sz w:val="16"/>
                                </w:rPr>
                                <w:t xml:space="preserve"> </w:t>
                              </w:r>
                              <w:r>
                                <w:rPr>
                                  <w:sz w:val="16"/>
                                </w:rPr>
                                <w:t>Protocolo</w:t>
                              </w:r>
                              <w:r>
                                <w:rPr>
                                  <w:spacing w:val="14"/>
                                  <w:sz w:val="16"/>
                                </w:rPr>
                                <w:t xml:space="preserve"> </w:t>
                              </w:r>
                              <w:r>
                                <w:rPr>
                                  <w:sz w:val="16"/>
                                </w:rPr>
                                <w:t>Facultativo</w:t>
                              </w:r>
                              <w:r>
                                <w:rPr>
                                  <w:spacing w:val="14"/>
                                  <w:sz w:val="16"/>
                                </w:rPr>
                                <w:t xml:space="preserve"> </w:t>
                              </w:r>
                              <w:r>
                                <w:rPr>
                                  <w:sz w:val="16"/>
                                </w:rPr>
                                <w:t>de</w:t>
                              </w:r>
                              <w:r>
                                <w:rPr>
                                  <w:spacing w:val="14"/>
                                  <w:sz w:val="16"/>
                                </w:rPr>
                                <w:t xml:space="preserve"> </w:t>
                              </w:r>
                              <w:r>
                                <w:rPr>
                                  <w:sz w:val="16"/>
                                </w:rPr>
                                <w:t>la</w:t>
                              </w:r>
                              <w:r>
                                <w:rPr>
                                  <w:spacing w:val="14"/>
                                  <w:sz w:val="16"/>
                                </w:rPr>
                                <w:t xml:space="preserve"> </w:t>
                              </w:r>
                              <w:r>
                                <w:rPr>
                                  <w:sz w:val="16"/>
                                </w:rPr>
                                <w:t>Convención</w:t>
                              </w:r>
                              <w:r>
                                <w:rPr>
                                  <w:spacing w:val="14"/>
                                  <w:sz w:val="16"/>
                                </w:rPr>
                                <w:t xml:space="preserve"> </w:t>
                              </w:r>
                              <w:r>
                                <w:rPr>
                                  <w:sz w:val="16"/>
                                </w:rPr>
                                <w:t>sobre</w:t>
                              </w:r>
                              <w:r>
                                <w:rPr>
                                  <w:spacing w:val="14"/>
                                  <w:sz w:val="16"/>
                                </w:rPr>
                                <w:t xml:space="preserve"> </w:t>
                              </w:r>
                              <w:r>
                                <w:rPr>
                                  <w:sz w:val="16"/>
                                </w:rPr>
                                <w:t>los</w:t>
                              </w:r>
                              <w:r>
                                <w:rPr>
                                  <w:spacing w:val="14"/>
                                  <w:sz w:val="16"/>
                                </w:rPr>
                                <w:t xml:space="preserve"> </w:t>
                              </w:r>
                              <w:r>
                                <w:rPr>
                                  <w:sz w:val="16"/>
                                </w:rPr>
                                <w:t>Derechos de las Personas con Discapacidad, se pidió al Comité sobre los Derechos de las Personas con Discapacidad que</w:t>
                              </w:r>
                              <w:r>
                                <w:rPr>
                                  <w:spacing w:val="40"/>
                                  <w:sz w:val="16"/>
                                </w:rPr>
                                <w:t xml:space="preserve"> </w:t>
                              </w:r>
                              <w:r>
                                <w:rPr>
                                  <w:sz w:val="16"/>
                                </w:rPr>
                                <w:t>investigara si las disposiciones institucionales del país para las personas con discapacidad –y en particular para personas con</w:t>
                              </w:r>
                              <w:r>
                                <w:rPr>
                                  <w:spacing w:val="17"/>
                                  <w:sz w:val="16"/>
                                </w:rPr>
                                <w:t xml:space="preserve"> </w:t>
                              </w:r>
                              <w:r>
                                <w:rPr>
                                  <w:sz w:val="16"/>
                                </w:rPr>
                                <w:t>discapacidad</w:t>
                              </w:r>
                              <w:r>
                                <w:rPr>
                                  <w:spacing w:val="19"/>
                                  <w:sz w:val="16"/>
                                </w:rPr>
                                <w:t xml:space="preserve"> </w:t>
                              </w:r>
                              <w:r>
                                <w:rPr>
                                  <w:sz w:val="16"/>
                                </w:rPr>
                                <w:t>intelectual</w:t>
                              </w:r>
                              <w:r>
                                <w:rPr>
                                  <w:spacing w:val="17"/>
                                  <w:sz w:val="16"/>
                                </w:rPr>
                                <w:t xml:space="preserve"> </w:t>
                              </w:r>
                              <w:r>
                                <w:rPr>
                                  <w:sz w:val="16"/>
                                </w:rPr>
                                <w:t>o</w:t>
                              </w:r>
                              <w:r>
                                <w:rPr>
                                  <w:spacing w:val="17"/>
                                  <w:sz w:val="16"/>
                                </w:rPr>
                                <w:t xml:space="preserve"> </w:t>
                              </w:r>
                              <w:r>
                                <w:rPr>
                                  <w:sz w:val="16"/>
                                </w:rPr>
                                <w:t>psicosocial:</w:t>
                              </w:r>
                              <w:r>
                                <w:rPr>
                                  <w:spacing w:val="20"/>
                                  <w:sz w:val="16"/>
                                </w:rPr>
                                <w:t xml:space="preserve"> </w:t>
                              </w:r>
                              <w:r>
                                <w:rPr>
                                  <w:sz w:val="16"/>
                                </w:rPr>
                                <w:t>violaron</w:t>
                              </w:r>
                              <w:r>
                                <w:rPr>
                                  <w:spacing w:val="17"/>
                                  <w:sz w:val="16"/>
                                </w:rPr>
                                <w:t xml:space="preserve"> </w:t>
                              </w:r>
                              <w:r>
                                <w:rPr>
                                  <w:sz w:val="16"/>
                                </w:rPr>
                                <w:t>disposiciones</w:t>
                              </w:r>
                              <w:r>
                                <w:rPr>
                                  <w:spacing w:val="17"/>
                                  <w:sz w:val="16"/>
                                </w:rPr>
                                <w:t xml:space="preserve"> </w:t>
                              </w:r>
                              <w:r>
                                <w:rPr>
                                  <w:sz w:val="16"/>
                                </w:rPr>
                                <w:t>de</w:t>
                              </w:r>
                              <w:r>
                                <w:rPr>
                                  <w:spacing w:val="17"/>
                                  <w:sz w:val="16"/>
                                </w:rPr>
                                <w:t xml:space="preserve"> </w:t>
                              </w:r>
                              <w:r>
                                <w:rPr>
                                  <w:sz w:val="16"/>
                                </w:rPr>
                                <w:t>la</w:t>
                              </w:r>
                              <w:r>
                                <w:rPr>
                                  <w:spacing w:val="17"/>
                                  <w:sz w:val="16"/>
                                </w:rPr>
                                <w:t xml:space="preserve"> </w:t>
                              </w:r>
                              <w:r>
                                <w:rPr>
                                  <w:sz w:val="16"/>
                                </w:rPr>
                                <w:t>Convención.</w:t>
                              </w:r>
                              <w:r>
                                <w:rPr>
                                  <w:spacing w:val="19"/>
                                  <w:sz w:val="16"/>
                                </w:rPr>
                                <w:t xml:space="preserve"> </w:t>
                              </w:r>
                              <w:r>
                                <w:rPr>
                                  <w:sz w:val="16"/>
                                </w:rPr>
                                <w:t>La</w:t>
                              </w:r>
                              <w:r>
                                <w:rPr>
                                  <w:spacing w:val="17"/>
                                  <w:sz w:val="16"/>
                                </w:rPr>
                                <w:t xml:space="preserve"> </w:t>
                              </w:r>
                              <w:r>
                                <w:rPr>
                                  <w:sz w:val="16"/>
                                </w:rPr>
                                <w:t>denuncia</w:t>
                              </w:r>
                              <w:r>
                                <w:rPr>
                                  <w:spacing w:val="17"/>
                                  <w:sz w:val="16"/>
                                </w:rPr>
                                <w:t xml:space="preserve"> </w:t>
                              </w:r>
                              <w:r>
                                <w:rPr>
                                  <w:sz w:val="16"/>
                                </w:rPr>
                                <w:t>se</w:t>
                              </w:r>
                              <w:r>
                                <w:rPr>
                                  <w:spacing w:val="17"/>
                                  <w:sz w:val="16"/>
                                </w:rPr>
                                <w:t xml:space="preserve"> </w:t>
                              </w:r>
                              <w:r>
                                <w:rPr>
                                  <w:sz w:val="16"/>
                                </w:rPr>
                                <w:t>centró</w:t>
                              </w:r>
                              <w:r>
                                <w:rPr>
                                  <w:spacing w:val="17"/>
                                  <w:sz w:val="16"/>
                                </w:rPr>
                                <w:t xml:space="preserve"> </w:t>
                              </w:r>
                              <w:r>
                                <w:rPr>
                                  <w:sz w:val="16"/>
                                </w:rPr>
                                <w:t>en</w:t>
                              </w:r>
                              <w:r>
                                <w:rPr>
                                  <w:spacing w:val="17"/>
                                  <w:sz w:val="16"/>
                                </w:rPr>
                                <w:t xml:space="preserve"> </w:t>
                              </w:r>
                              <w:r>
                                <w:rPr>
                                  <w:sz w:val="16"/>
                                </w:rPr>
                                <w:t>particular en denuncias de violaciones del artículo 19 de la Convención sobre los derechos de las personas con discapacidad, que garantiza el derecho a vivir de forma independiente y a ser incluida en la comunidad.</w:t>
                              </w:r>
                            </w:p>
                            <w:p w14:paraId="54BFAC58" w14:textId="77777777" w:rsidR="0014798C" w:rsidRDefault="004E1F0B">
                              <w:pPr>
                                <w:spacing w:line="181" w:lineRule="exact"/>
                                <w:ind w:left="287"/>
                                <w:rPr>
                                  <w:sz w:val="16"/>
                                </w:rPr>
                              </w:pPr>
                              <w:r>
                                <w:rPr>
                                  <w:sz w:val="16"/>
                                </w:rPr>
                                <w:t>La</w:t>
                              </w:r>
                              <w:r>
                                <w:rPr>
                                  <w:spacing w:val="4"/>
                                  <w:sz w:val="16"/>
                                </w:rPr>
                                <w:t xml:space="preserve"> </w:t>
                              </w:r>
                              <w:r>
                                <w:rPr>
                                  <w:sz w:val="16"/>
                                </w:rPr>
                                <w:t>denuncia</w:t>
                              </w:r>
                              <w:r>
                                <w:rPr>
                                  <w:spacing w:val="5"/>
                                  <w:sz w:val="16"/>
                                </w:rPr>
                                <w:t xml:space="preserve"> </w:t>
                              </w:r>
                              <w:r>
                                <w:rPr>
                                  <w:sz w:val="16"/>
                                </w:rPr>
                                <w:t>destacó</w:t>
                              </w:r>
                              <w:r>
                                <w:rPr>
                                  <w:spacing w:val="5"/>
                                  <w:sz w:val="16"/>
                                </w:rPr>
                                <w:t xml:space="preserve"> </w:t>
                              </w:r>
                              <w:r>
                                <w:rPr>
                                  <w:sz w:val="16"/>
                                </w:rPr>
                                <w:t>hechos,</w:t>
                              </w:r>
                              <w:r>
                                <w:rPr>
                                  <w:spacing w:val="6"/>
                                  <w:sz w:val="16"/>
                                </w:rPr>
                                <w:t xml:space="preserve"> </w:t>
                              </w:r>
                              <w:r>
                                <w:rPr>
                                  <w:sz w:val="16"/>
                                </w:rPr>
                                <w:t>entre</w:t>
                              </w:r>
                              <w:r>
                                <w:rPr>
                                  <w:spacing w:val="5"/>
                                  <w:sz w:val="16"/>
                                </w:rPr>
                                <w:t xml:space="preserve"> </w:t>
                              </w:r>
                              <w:r>
                                <w:rPr>
                                  <w:sz w:val="16"/>
                                </w:rPr>
                                <w:t>ellos</w:t>
                              </w:r>
                              <w:r>
                                <w:rPr>
                                  <w:spacing w:val="5"/>
                                  <w:sz w:val="16"/>
                                </w:rPr>
                                <w:t xml:space="preserve"> </w:t>
                              </w:r>
                              <w:r>
                                <w:rPr>
                                  <w:sz w:val="16"/>
                                </w:rPr>
                                <w:t>que,</w:t>
                              </w:r>
                              <w:r>
                                <w:rPr>
                                  <w:spacing w:val="6"/>
                                  <w:sz w:val="16"/>
                                </w:rPr>
                                <w:t xml:space="preserve"> </w:t>
                              </w:r>
                              <w:r>
                                <w:rPr>
                                  <w:sz w:val="16"/>
                                </w:rPr>
                                <w:t>en</w:t>
                              </w:r>
                              <w:r>
                                <w:rPr>
                                  <w:spacing w:val="5"/>
                                  <w:sz w:val="16"/>
                                </w:rPr>
                                <w:t xml:space="preserve"> </w:t>
                              </w:r>
                              <w:r>
                                <w:rPr>
                                  <w:sz w:val="16"/>
                                </w:rPr>
                                <w:t>2018,</w:t>
                              </w:r>
                              <w:r>
                                <w:rPr>
                                  <w:spacing w:val="6"/>
                                  <w:sz w:val="16"/>
                                </w:rPr>
                                <w:t xml:space="preserve"> </w:t>
                              </w:r>
                              <w:r>
                                <w:rPr>
                                  <w:sz w:val="16"/>
                                </w:rPr>
                                <w:t>98.539</w:t>
                              </w:r>
                              <w:r>
                                <w:rPr>
                                  <w:spacing w:val="5"/>
                                  <w:sz w:val="16"/>
                                </w:rPr>
                                <w:t xml:space="preserve"> </w:t>
                              </w:r>
                              <w:r>
                                <w:rPr>
                                  <w:sz w:val="16"/>
                                </w:rPr>
                                <w:t>personas</w:t>
                              </w:r>
                              <w:r>
                                <w:rPr>
                                  <w:spacing w:val="5"/>
                                  <w:sz w:val="16"/>
                                </w:rPr>
                                <w:t xml:space="preserve"> </w:t>
                              </w:r>
                              <w:r>
                                <w:rPr>
                                  <w:sz w:val="16"/>
                                </w:rPr>
                                <w:t>habían</w:t>
                              </w:r>
                              <w:r>
                                <w:rPr>
                                  <w:spacing w:val="4"/>
                                  <w:sz w:val="16"/>
                                </w:rPr>
                                <w:t xml:space="preserve"> </w:t>
                              </w:r>
                              <w:r>
                                <w:rPr>
                                  <w:sz w:val="16"/>
                                </w:rPr>
                                <w:t>sido</w:t>
                              </w:r>
                              <w:r>
                                <w:rPr>
                                  <w:spacing w:val="5"/>
                                  <w:sz w:val="16"/>
                                </w:rPr>
                                <w:t xml:space="preserve"> </w:t>
                              </w:r>
                              <w:r>
                                <w:rPr>
                                  <w:sz w:val="16"/>
                                </w:rPr>
                                <w:t>institucionalizadas,</w:t>
                              </w:r>
                              <w:r>
                                <w:rPr>
                                  <w:spacing w:val="7"/>
                                  <w:sz w:val="16"/>
                                </w:rPr>
                                <w:t xml:space="preserve"> </w:t>
                              </w:r>
                              <w:r>
                                <w:rPr>
                                  <w:sz w:val="16"/>
                                </w:rPr>
                                <w:t>de</w:t>
                              </w:r>
                              <w:r>
                                <w:rPr>
                                  <w:spacing w:val="5"/>
                                  <w:sz w:val="16"/>
                                </w:rPr>
                                <w:t xml:space="preserve"> </w:t>
                              </w:r>
                              <w:r>
                                <w:rPr>
                                  <w:sz w:val="16"/>
                                </w:rPr>
                                <w:t>las</w:t>
                              </w:r>
                              <w:r>
                                <w:rPr>
                                  <w:spacing w:val="5"/>
                                  <w:sz w:val="16"/>
                                </w:rPr>
                                <w:t xml:space="preserve"> </w:t>
                              </w:r>
                              <w:r>
                                <w:rPr>
                                  <w:spacing w:val="-2"/>
                                  <w:sz w:val="16"/>
                                </w:rPr>
                                <w:t>cuales</w:t>
                              </w:r>
                            </w:p>
                            <w:p w14:paraId="58438D60" w14:textId="77777777" w:rsidR="0014798C" w:rsidRDefault="004E1F0B">
                              <w:pPr>
                                <w:spacing w:before="66" w:line="326" w:lineRule="auto"/>
                                <w:ind w:left="287" w:right="392" w:firstLine="1"/>
                                <w:rPr>
                                  <w:sz w:val="16"/>
                                </w:rPr>
                              </w:pPr>
                              <w:r>
                                <w:rPr>
                                  <w:sz w:val="16"/>
                                </w:rPr>
                                <w:t>24.553 eran personas con discapacidad. A finales de 2018, un total de 54.959 personas con discapacidad estaban bajo tutela, de las cuales 48.945 estaban privadas de su derecho de voto. En un informe sobre la investigación hecho público</w:t>
                              </w:r>
                              <w:r>
                                <w:rPr>
                                  <w:spacing w:val="40"/>
                                  <w:sz w:val="16"/>
                                </w:rPr>
                                <w:t xml:space="preserve"> </w:t>
                              </w:r>
                              <w:r>
                                <w:rPr>
                                  <w:sz w:val="16"/>
                                </w:rPr>
                                <w:t>en septiembre de 2020, el Comité encontró “graves violaciones de los derechos consagrados en la Convención y</w:t>
                              </w:r>
                              <w:r>
                                <w:rPr>
                                  <w:spacing w:val="40"/>
                                  <w:sz w:val="16"/>
                                </w:rPr>
                                <w:t xml:space="preserve"> </w:t>
                              </w:r>
                              <w:r>
                                <w:rPr>
                                  <w:sz w:val="16"/>
                                </w:rPr>
                                <w:t>considera que el sistema de tutela e institucionalización afecta profundamente la vida de un número sustancial de</w:t>
                              </w:r>
                              <w:r>
                                <w:rPr>
                                  <w:spacing w:val="40"/>
                                  <w:sz w:val="16"/>
                                </w:rPr>
                                <w:t xml:space="preserve"> </w:t>
                              </w:r>
                              <w:r>
                                <w:rPr>
                                  <w:sz w:val="16"/>
                                </w:rPr>
                                <w:t>personas con discapacidad, discriminando particularmente a las personas”. con discapacidad intelectual o psicosocial y perpetuando la segregación y el aislamiento de la sociedad”.336</w:t>
                              </w:r>
                            </w:p>
                          </w:txbxContent>
                        </wps:txbx>
                        <wps:bodyPr wrap="square" lIns="0" tIns="0" rIns="0" bIns="0" rtlCol="0">
                          <a:noAutofit/>
                        </wps:bodyPr>
                      </wps:wsp>
                    </wpg:wgp>
                  </a:graphicData>
                </a:graphic>
              </wp:anchor>
            </w:drawing>
          </mc:Choice>
          <mc:Fallback>
            <w:pict>
              <v:group w14:anchorId="50468E9D" id="Group 129" o:spid="_x0000_s1077" style="position:absolute;margin-left:62.25pt;margin-top:14.55pt;width:469.8pt;height:232.5pt;z-index:-251657954;mso-wrap-distance-left:0;mso-wrap-distance-right:0;mso-position-horizontal-relative:page" coordsize="59664,2952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">
                <v:shape id="Image 130" o:spid="_x0000_s1078" type="#_x0000_t75" style="position:absolute;width:59661;height:2952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">
                  <v:imagedata r:id="rId125" o:title=""/>
                </v:shape>
                <v:shape id="Textbox 131" o:spid="_x0000_s1079" type="#_x0000_t202" style="position:absolute;width:59664;height:2952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" filled="f" stroked="f">
                  <v:textbox inset="0,0,0,0">
                    <w:txbxContent>
                      <w:p w14:paraId="76ADFBEE" w14:textId="77777777" w:rsidR="0014798C" w:rsidRDefault="0014798C">
                        <w:pPr>
                          <w:spacing w:before="60"/>
                          <w:rPr>
                            <w:sz w:val="16"/>
                          </w:rPr>
                        </w:pPr>
                      </w:p>
                      <w:p w14:paraId="0BA6DFBC" w14:textId="77777777" w:rsidR="0014798C" w:rsidRDefault="004E1F0B">
                        <w:pPr>
                          <w:ind w:left="290"/>
                          <w:rPr>
                            <w:sz w:val="16"/>
                          </w:rPr>
                        </w:pPr>
                        <w:r>
                          <w:rPr>
                            <w:sz w:val="16"/>
                          </w:rPr>
                          <w:t>SEGREGACIÓN</w:t>
                        </w:r>
                        <w:r>
                          <w:rPr>
                            <w:spacing w:val="7"/>
                            <w:sz w:val="16"/>
                          </w:rPr>
                          <w:t xml:space="preserve"> </w:t>
                        </w:r>
                        <w:r>
                          <w:rPr>
                            <w:sz w:val="16"/>
                          </w:rPr>
                          <w:t>DE</w:t>
                        </w:r>
                        <w:r>
                          <w:rPr>
                            <w:spacing w:val="8"/>
                            <w:sz w:val="16"/>
                          </w:rPr>
                          <w:t xml:space="preserve"> </w:t>
                        </w:r>
                        <w:r>
                          <w:rPr>
                            <w:sz w:val="16"/>
                          </w:rPr>
                          <w:t>PERSONAS</w:t>
                        </w:r>
                        <w:r>
                          <w:rPr>
                            <w:spacing w:val="9"/>
                            <w:sz w:val="16"/>
                          </w:rPr>
                          <w:t xml:space="preserve"> </w:t>
                        </w:r>
                        <w:r>
                          <w:rPr>
                            <w:sz w:val="16"/>
                          </w:rPr>
                          <w:t>CON</w:t>
                        </w:r>
                        <w:r>
                          <w:rPr>
                            <w:spacing w:val="9"/>
                            <w:sz w:val="16"/>
                          </w:rPr>
                          <w:t xml:space="preserve"> </w:t>
                        </w:r>
                        <w:r>
                          <w:rPr>
                            <w:spacing w:val="-2"/>
                            <w:sz w:val="16"/>
                          </w:rPr>
                          <w:t>DISCAPACIDAD</w:t>
                        </w:r>
                      </w:p>
                      <w:p w14:paraId="1BE1F5F5" w14:textId="77777777" w:rsidR="0014798C" w:rsidRDefault="0014798C">
                        <w:pPr>
                          <w:spacing w:before="35"/>
                          <w:rPr>
                            <w:sz w:val="16"/>
                          </w:rPr>
                        </w:pPr>
                      </w:p>
                      <w:p w14:paraId="46A5767E" w14:textId="77777777" w:rsidR="0014798C" w:rsidRDefault="004E1F0B">
                        <w:pPr>
                          <w:spacing w:line="326" w:lineRule="auto"/>
                          <w:ind w:left="289" w:right="250" w:hanging="2"/>
                          <w:rPr>
                            <w:sz w:val="16"/>
                          </w:rPr>
                        </w:pPr>
                        <w:r>
                          <w:rPr>
                            <w:sz w:val="16"/>
                          </w:rPr>
                          <w:t>En</w:t>
                        </w:r>
                        <w:r>
                          <w:rPr>
                            <w:spacing w:val="14"/>
                            <w:sz w:val="16"/>
                          </w:rPr>
                          <w:t xml:space="preserve"> </w:t>
                        </w:r>
                        <w:r>
                          <w:rPr>
                            <w:sz w:val="16"/>
                          </w:rPr>
                          <w:t>su</w:t>
                        </w:r>
                        <w:r>
                          <w:rPr>
                            <w:spacing w:val="14"/>
                            <w:sz w:val="16"/>
                          </w:rPr>
                          <w:t xml:space="preserve"> </w:t>
                        </w:r>
                        <w:r>
                          <w:rPr>
                            <w:sz w:val="16"/>
                          </w:rPr>
                          <w:t>investigación</w:t>
                        </w:r>
                        <w:r>
                          <w:rPr>
                            <w:spacing w:val="14"/>
                            <w:sz w:val="16"/>
                          </w:rPr>
                          <w:t xml:space="preserve"> </w:t>
                        </w:r>
                        <w:r>
                          <w:rPr>
                            <w:sz w:val="16"/>
                          </w:rPr>
                          <w:t>sobre</w:t>
                        </w:r>
                        <w:r>
                          <w:rPr>
                            <w:spacing w:val="14"/>
                            <w:sz w:val="16"/>
                          </w:rPr>
                          <w:t xml:space="preserve"> </w:t>
                        </w:r>
                        <w:r>
                          <w:rPr>
                            <w:sz w:val="16"/>
                          </w:rPr>
                          <w:t>Hungría</w:t>
                        </w:r>
                        <w:r>
                          <w:rPr>
                            <w:spacing w:val="14"/>
                            <w:sz w:val="16"/>
                          </w:rPr>
                          <w:t xml:space="preserve"> </w:t>
                        </w:r>
                        <w:r>
                          <w:rPr>
                            <w:sz w:val="16"/>
                          </w:rPr>
                          <w:t>en</w:t>
                        </w:r>
                        <w:r>
                          <w:rPr>
                            <w:spacing w:val="14"/>
                            <w:sz w:val="16"/>
                          </w:rPr>
                          <w:t xml:space="preserve"> </w:t>
                        </w:r>
                        <w:r>
                          <w:rPr>
                            <w:sz w:val="16"/>
                          </w:rPr>
                          <w:t>virtud</w:t>
                        </w:r>
                        <w:r>
                          <w:rPr>
                            <w:spacing w:val="14"/>
                            <w:sz w:val="16"/>
                          </w:rPr>
                          <w:t xml:space="preserve"> </w:t>
                        </w:r>
                        <w:r>
                          <w:rPr>
                            <w:sz w:val="16"/>
                          </w:rPr>
                          <w:t>del</w:t>
                        </w:r>
                        <w:r>
                          <w:rPr>
                            <w:spacing w:val="14"/>
                            <w:sz w:val="16"/>
                          </w:rPr>
                          <w:t xml:space="preserve"> </w:t>
                        </w:r>
                        <w:r>
                          <w:rPr>
                            <w:sz w:val="16"/>
                          </w:rPr>
                          <w:t>artículo</w:t>
                        </w:r>
                        <w:r>
                          <w:rPr>
                            <w:spacing w:val="14"/>
                            <w:sz w:val="16"/>
                          </w:rPr>
                          <w:t xml:space="preserve"> </w:t>
                        </w:r>
                        <w:r>
                          <w:rPr>
                            <w:sz w:val="16"/>
                          </w:rPr>
                          <w:t>6</w:t>
                        </w:r>
                        <w:r>
                          <w:rPr>
                            <w:spacing w:val="14"/>
                            <w:sz w:val="16"/>
                          </w:rPr>
                          <w:t xml:space="preserve"> </w:t>
                        </w:r>
                        <w:r>
                          <w:rPr>
                            <w:sz w:val="16"/>
                          </w:rPr>
                          <w:t>del</w:t>
                        </w:r>
                        <w:r>
                          <w:rPr>
                            <w:spacing w:val="14"/>
                            <w:sz w:val="16"/>
                          </w:rPr>
                          <w:t xml:space="preserve"> </w:t>
                        </w:r>
                        <w:r>
                          <w:rPr>
                            <w:sz w:val="16"/>
                          </w:rPr>
                          <w:t>Protocolo</w:t>
                        </w:r>
                        <w:r>
                          <w:rPr>
                            <w:spacing w:val="14"/>
                            <w:sz w:val="16"/>
                          </w:rPr>
                          <w:t xml:space="preserve"> </w:t>
                        </w:r>
                        <w:r>
                          <w:rPr>
                            <w:sz w:val="16"/>
                          </w:rPr>
                          <w:t>Facultativo</w:t>
                        </w:r>
                        <w:r>
                          <w:rPr>
                            <w:spacing w:val="14"/>
                            <w:sz w:val="16"/>
                          </w:rPr>
                          <w:t xml:space="preserve"> </w:t>
                        </w:r>
                        <w:r>
                          <w:rPr>
                            <w:sz w:val="16"/>
                          </w:rPr>
                          <w:t>de</w:t>
                        </w:r>
                        <w:r>
                          <w:rPr>
                            <w:spacing w:val="14"/>
                            <w:sz w:val="16"/>
                          </w:rPr>
                          <w:t xml:space="preserve"> </w:t>
                        </w:r>
                        <w:r>
                          <w:rPr>
                            <w:sz w:val="16"/>
                          </w:rPr>
                          <w:t>la</w:t>
                        </w:r>
                        <w:r>
                          <w:rPr>
                            <w:spacing w:val="14"/>
                            <w:sz w:val="16"/>
                          </w:rPr>
                          <w:t xml:space="preserve"> </w:t>
                        </w:r>
                        <w:r>
                          <w:rPr>
                            <w:sz w:val="16"/>
                          </w:rPr>
                          <w:t>Convención</w:t>
                        </w:r>
                        <w:r>
                          <w:rPr>
                            <w:spacing w:val="14"/>
                            <w:sz w:val="16"/>
                          </w:rPr>
                          <w:t xml:space="preserve"> </w:t>
                        </w:r>
                        <w:r>
                          <w:rPr>
                            <w:sz w:val="16"/>
                          </w:rPr>
                          <w:t>sobre</w:t>
                        </w:r>
                        <w:r>
                          <w:rPr>
                            <w:spacing w:val="14"/>
                            <w:sz w:val="16"/>
                          </w:rPr>
                          <w:t xml:space="preserve"> </w:t>
                        </w:r>
                        <w:r>
                          <w:rPr>
                            <w:sz w:val="16"/>
                          </w:rPr>
                          <w:t>los</w:t>
                        </w:r>
                        <w:r>
                          <w:rPr>
                            <w:spacing w:val="14"/>
                            <w:sz w:val="16"/>
                          </w:rPr>
                          <w:t xml:space="preserve"> </w:t>
                        </w:r>
                        <w:r>
                          <w:rPr>
                            <w:sz w:val="16"/>
                          </w:rPr>
                          <w:t>Derechos de las Personas con Discapacidad, se pidió al Comité sobre los Derechos de las Personas con Discapacidad que</w:t>
                        </w:r>
                        <w:r>
                          <w:rPr>
                            <w:spacing w:val="40"/>
                            <w:sz w:val="16"/>
                          </w:rPr>
                          <w:t xml:space="preserve"> </w:t>
                        </w:r>
                        <w:r>
                          <w:rPr>
                            <w:sz w:val="16"/>
                          </w:rPr>
                          <w:t>investigara si las disposiciones institucionales del país para las personas con discapacidad –y en particular para personas con</w:t>
                        </w:r>
                        <w:r>
                          <w:rPr>
                            <w:spacing w:val="17"/>
                            <w:sz w:val="16"/>
                          </w:rPr>
                          <w:t xml:space="preserve"> </w:t>
                        </w:r>
                        <w:r>
                          <w:rPr>
                            <w:sz w:val="16"/>
                          </w:rPr>
                          <w:t>discapacidad</w:t>
                        </w:r>
                        <w:r>
                          <w:rPr>
                            <w:spacing w:val="19"/>
                            <w:sz w:val="16"/>
                          </w:rPr>
                          <w:t xml:space="preserve"> </w:t>
                        </w:r>
                        <w:r>
                          <w:rPr>
                            <w:sz w:val="16"/>
                          </w:rPr>
                          <w:t>intelectual</w:t>
                        </w:r>
                        <w:r>
                          <w:rPr>
                            <w:spacing w:val="17"/>
                            <w:sz w:val="16"/>
                          </w:rPr>
                          <w:t xml:space="preserve"> </w:t>
                        </w:r>
                        <w:r>
                          <w:rPr>
                            <w:sz w:val="16"/>
                          </w:rPr>
                          <w:t>o</w:t>
                        </w:r>
                        <w:r>
                          <w:rPr>
                            <w:spacing w:val="17"/>
                            <w:sz w:val="16"/>
                          </w:rPr>
                          <w:t xml:space="preserve"> </w:t>
                        </w:r>
                        <w:r>
                          <w:rPr>
                            <w:sz w:val="16"/>
                          </w:rPr>
                          <w:t>psicosocial:</w:t>
                        </w:r>
                        <w:r>
                          <w:rPr>
                            <w:spacing w:val="20"/>
                            <w:sz w:val="16"/>
                          </w:rPr>
                          <w:t xml:space="preserve"> </w:t>
                        </w:r>
                        <w:r>
                          <w:rPr>
                            <w:sz w:val="16"/>
                          </w:rPr>
                          <w:t>violaron</w:t>
                        </w:r>
                        <w:r>
                          <w:rPr>
                            <w:spacing w:val="17"/>
                            <w:sz w:val="16"/>
                          </w:rPr>
                          <w:t xml:space="preserve"> </w:t>
                        </w:r>
                        <w:r>
                          <w:rPr>
                            <w:sz w:val="16"/>
                          </w:rPr>
                          <w:t>disposiciones</w:t>
                        </w:r>
                        <w:r>
                          <w:rPr>
                            <w:spacing w:val="17"/>
                            <w:sz w:val="16"/>
                          </w:rPr>
                          <w:t xml:space="preserve"> </w:t>
                        </w:r>
                        <w:r>
                          <w:rPr>
                            <w:sz w:val="16"/>
                          </w:rPr>
                          <w:t>de</w:t>
                        </w:r>
                        <w:r>
                          <w:rPr>
                            <w:spacing w:val="17"/>
                            <w:sz w:val="16"/>
                          </w:rPr>
                          <w:t xml:space="preserve"> </w:t>
                        </w:r>
                        <w:r>
                          <w:rPr>
                            <w:sz w:val="16"/>
                          </w:rPr>
                          <w:t>la</w:t>
                        </w:r>
                        <w:r>
                          <w:rPr>
                            <w:spacing w:val="17"/>
                            <w:sz w:val="16"/>
                          </w:rPr>
                          <w:t xml:space="preserve"> </w:t>
                        </w:r>
                        <w:r>
                          <w:rPr>
                            <w:sz w:val="16"/>
                          </w:rPr>
                          <w:t>Convención.</w:t>
                        </w:r>
                        <w:r>
                          <w:rPr>
                            <w:spacing w:val="19"/>
                            <w:sz w:val="16"/>
                          </w:rPr>
                          <w:t xml:space="preserve"> </w:t>
                        </w:r>
                        <w:r>
                          <w:rPr>
                            <w:sz w:val="16"/>
                          </w:rPr>
                          <w:t>La</w:t>
                        </w:r>
                        <w:r>
                          <w:rPr>
                            <w:spacing w:val="17"/>
                            <w:sz w:val="16"/>
                          </w:rPr>
                          <w:t xml:space="preserve"> </w:t>
                        </w:r>
                        <w:r>
                          <w:rPr>
                            <w:sz w:val="16"/>
                          </w:rPr>
                          <w:t>denuncia</w:t>
                        </w:r>
                        <w:r>
                          <w:rPr>
                            <w:spacing w:val="17"/>
                            <w:sz w:val="16"/>
                          </w:rPr>
                          <w:t xml:space="preserve"> </w:t>
                        </w:r>
                        <w:r>
                          <w:rPr>
                            <w:sz w:val="16"/>
                          </w:rPr>
                          <w:t>se</w:t>
                        </w:r>
                        <w:r>
                          <w:rPr>
                            <w:spacing w:val="17"/>
                            <w:sz w:val="16"/>
                          </w:rPr>
                          <w:t xml:space="preserve"> </w:t>
                        </w:r>
                        <w:r>
                          <w:rPr>
                            <w:sz w:val="16"/>
                          </w:rPr>
                          <w:t>centró</w:t>
                        </w:r>
                        <w:r>
                          <w:rPr>
                            <w:spacing w:val="17"/>
                            <w:sz w:val="16"/>
                          </w:rPr>
                          <w:t xml:space="preserve"> </w:t>
                        </w:r>
                        <w:r>
                          <w:rPr>
                            <w:sz w:val="16"/>
                          </w:rPr>
                          <w:t>en</w:t>
                        </w:r>
                        <w:r>
                          <w:rPr>
                            <w:spacing w:val="17"/>
                            <w:sz w:val="16"/>
                          </w:rPr>
                          <w:t xml:space="preserve"> </w:t>
                        </w:r>
                        <w:r>
                          <w:rPr>
                            <w:sz w:val="16"/>
                          </w:rPr>
                          <w:t>particular en denuncias de violaciones del artículo 19 de la Convención sobre los derechos de las personas con discapacidad, que garantiza el derecho a vivir de forma independiente y a ser incluida en la comunidad.</w:t>
                        </w:r>
                      </w:p>
                      <w:p w14:paraId="54BFAC58" w14:textId="77777777" w:rsidR="0014798C" w:rsidRDefault="004E1F0B">
                        <w:pPr>
                          <w:spacing w:line="181" w:lineRule="exact"/>
                          <w:ind w:left="287"/>
                          <w:rPr>
                            <w:sz w:val="16"/>
                          </w:rPr>
                        </w:pPr>
                        <w:r>
                          <w:rPr>
                            <w:sz w:val="16"/>
                          </w:rPr>
                          <w:t>La</w:t>
                        </w:r>
                        <w:r>
                          <w:rPr>
                            <w:spacing w:val="4"/>
                            <w:sz w:val="16"/>
                          </w:rPr>
                          <w:t xml:space="preserve"> </w:t>
                        </w:r>
                        <w:r>
                          <w:rPr>
                            <w:sz w:val="16"/>
                          </w:rPr>
                          <w:t>denuncia</w:t>
                        </w:r>
                        <w:r>
                          <w:rPr>
                            <w:spacing w:val="5"/>
                            <w:sz w:val="16"/>
                          </w:rPr>
                          <w:t xml:space="preserve"> </w:t>
                        </w:r>
                        <w:r>
                          <w:rPr>
                            <w:sz w:val="16"/>
                          </w:rPr>
                          <w:t>destacó</w:t>
                        </w:r>
                        <w:r>
                          <w:rPr>
                            <w:spacing w:val="5"/>
                            <w:sz w:val="16"/>
                          </w:rPr>
                          <w:t xml:space="preserve"> </w:t>
                        </w:r>
                        <w:r>
                          <w:rPr>
                            <w:sz w:val="16"/>
                          </w:rPr>
                          <w:t>hechos,</w:t>
                        </w:r>
                        <w:r>
                          <w:rPr>
                            <w:spacing w:val="6"/>
                            <w:sz w:val="16"/>
                          </w:rPr>
                          <w:t xml:space="preserve"> </w:t>
                        </w:r>
                        <w:r>
                          <w:rPr>
                            <w:sz w:val="16"/>
                          </w:rPr>
                          <w:t>entre</w:t>
                        </w:r>
                        <w:r>
                          <w:rPr>
                            <w:spacing w:val="5"/>
                            <w:sz w:val="16"/>
                          </w:rPr>
                          <w:t xml:space="preserve"> </w:t>
                        </w:r>
                        <w:r>
                          <w:rPr>
                            <w:sz w:val="16"/>
                          </w:rPr>
                          <w:t>ellos</w:t>
                        </w:r>
                        <w:r>
                          <w:rPr>
                            <w:spacing w:val="5"/>
                            <w:sz w:val="16"/>
                          </w:rPr>
                          <w:t xml:space="preserve"> </w:t>
                        </w:r>
                        <w:r>
                          <w:rPr>
                            <w:sz w:val="16"/>
                          </w:rPr>
                          <w:t>que,</w:t>
                        </w:r>
                        <w:r>
                          <w:rPr>
                            <w:spacing w:val="6"/>
                            <w:sz w:val="16"/>
                          </w:rPr>
                          <w:t xml:space="preserve"> </w:t>
                        </w:r>
                        <w:r>
                          <w:rPr>
                            <w:sz w:val="16"/>
                          </w:rPr>
                          <w:t>en</w:t>
                        </w:r>
                        <w:r>
                          <w:rPr>
                            <w:spacing w:val="5"/>
                            <w:sz w:val="16"/>
                          </w:rPr>
                          <w:t xml:space="preserve"> </w:t>
                        </w:r>
                        <w:r>
                          <w:rPr>
                            <w:sz w:val="16"/>
                          </w:rPr>
                          <w:t>2018,</w:t>
                        </w:r>
                        <w:r>
                          <w:rPr>
                            <w:spacing w:val="6"/>
                            <w:sz w:val="16"/>
                          </w:rPr>
                          <w:t xml:space="preserve"> </w:t>
                        </w:r>
                        <w:r>
                          <w:rPr>
                            <w:sz w:val="16"/>
                          </w:rPr>
                          <w:t>98.539</w:t>
                        </w:r>
                        <w:r>
                          <w:rPr>
                            <w:spacing w:val="5"/>
                            <w:sz w:val="16"/>
                          </w:rPr>
                          <w:t xml:space="preserve"> </w:t>
                        </w:r>
                        <w:r>
                          <w:rPr>
                            <w:sz w:val="16"/>
                          </w:rPr>
                          <w:t>personas</w:t>
                        </w:r>
                        <w:r>
                          <w:rPr>
                            <w:spacing w:val="5"/>
                            <w:sz w:val="16"/>
                          </w:rPr>
                          <w:t xml:space="preserve"> </w:t>
                        </w:r>
                        <w:r>
                          <w:rPr>
                            <w:sz w:val="16"/>
                          </w:rPr>
                          <w:t>habían</w:t>
                        </w:r>
                        <w:r>
                          <w:rPr>
                            <w:spacing w:val="4"/>
                            <w:sz w:val="16"/>
                          </w:rPr>
                          <w:t xml:space="preserve"> </w:t>
                        </w:r>
                        <w:r>
                          <w:rPr>
                            <w:sz w:val="16"/>
                          </w:rPr>
                          <w:t>sido</w:t>
                        </w:r>
                        <w:r>
                          <w:rPr>
                            <w:spacing w:val="5"/>
                            <w:sz w:val="16"/>
                          </w:rPr>
                          <w:t xml:space="preserve"> </w:t>
                        </w:r>
                        <w:r>
                          <w:rPr>
                            <w:sz w:val="16"/>
                          </w:rPr>
                          <w:t>institucionalizadas,</w:t>
                        </w:r>
                        <w:r>
                          <w:rPr>
                            <w:spacing w:val="7"/>
                            <w:sz w:val="16"/>
                          </w:rPr>
                          <w:t xml:space="preserve"> </w:t>
                        </w:r>
                        <w:r>
                          <w:rPr>
                            <w:sz w:val="16"/>
                          </w:rPr>
                          <w:t>de</w:t>
                        </w:r>
                        <w:r>
                          <w:rPr>
                            <w:spacing w:val="5"/>
                            <w:sz w:val="16"/>
                          </w:rPr>
                          <w:t xml:space="preserve"> </w:t>
                        </w:r>
                        <w:r>
                          <w:rPr>
                            <w:sz w:val="16"/>
                          </w:rPr>
                          <w:t>las</w:t>
                        </w:r>
                        <w:r>
                          <w:rPr>
                            <w:spacing w:val="5"/>
                            <w:sz w:val="16"/>
                          </w:rPr>
                          <w:t xml:space="preserve"> </w:t>
                        </w:r>
                        <w:r>
                          <w:rPr>
                            <w:spacing w:val="-2"/>
                            <w:sz w:val="16"/>
                          </w:rPr>
                          <w:t>cuales</w:t>
                        </w:r>
                      </w:p>
                      <w:p w14:paraId="58438D60" w14:textId="77777777" w:rsidR="0014798C" w:rsidRDefault="004E1F0B">
                        <w:pPr>
                          <w:spacing w:before="66" w:line="326" w:lineRule="auto"/>
                          <w:ind w:left="287" w:right="392" w:firstLine="1"/>
                          <w:rPr>
                            <w:sz w:val="16"/>
                          </w:rPr>
                        </w:pPr>
                        <w:r>
                          <w:rPr>
                            <w:sz w:val="16"/>
                          </w:rPr>
                          <w:t>24.553 eran personas con discapacidad. A finales de 2018, un total de 54.959 personas con discapacidad estaban bajo tutela, de las cuales 48.945 estaban privadas de su derecho de voto. En un informe sobre la investigación hecho público</w:t>
                        </w:r>
                        <w:r>
                          <w:rPr>
                            <w:spacing w:val="40"/>
                            <w:sz w:val="16"/>
                          </w:rPr>
                          <w:t xml:space="preserve"> </w:t>
                        </w:r>
                        <w:r>
                          <w:rPr>
                            <w:sz w:val="16"/>
                          </w:rPr>
                          <w:t>en septiembre de 2020, el Comité encontró “graves violaciones de los derechos consagrados en la Convención y</w:t>
                        </w:r>
                        <w:r>
                          <w:rPr>
                            <w:spacing w:val="40"/>
                            <w:sz w:val="16"/>
                          </w:rPr>
                          <w:t xml:space="preserve"> </w:t>
                        </w:r>
                        <w:r>
                          <w:rPr>
                            <w:sz w:val="16"/>
                          </w:rPr>
                          <w:t>considera que el sistema de tutela e institucionalización afecta profundamente la vida de un número sustancial de</w:t>
                        </w:r>
                        <w:r>
                          <w:rPr>
                            <w:spacing w:val="40"/>
                            <w:sz w:val="16"/>
                          </w:rPr>
                          <w:t xml:space="preserve"> </w:t>
                        </w:r>
                        <w:r>
                          <w:rPr>
                            <w:sz w:val="16"/>
                          </w:rPr>
                          <w:t>personas con discapacidad, discriminando particularmente a las personas”. con discapacidad intelectual o psicosocial y perpetuando la segregación y el aislamiento de la sociedad”.336</w:t>
                        </w:r>
                      </w:p>
                    </w:txbxContent>
                  </v:textbox>
                </v:shape>
                <w10:wrap type="topAndBottom" anchorx="page"/>
              </v:group>
            </w:pict>
          </mc:Fallback>
        </mc:AlternateContent>
      </w:r>
    </w:p>
    <w:p w14:paraId="7E628C50" w14:textId="77777777" w:rsidR="0014798C" w:rsidRDefault="0014798C">
      <w:pPr>
        <w:pStyle w:val="Textoindependiente"/>
        <w:spacing w:before="9"/>
        <w:rPr>
          <w:sz w:val="13"/>
        </w:rPr>
      </w:pPr>
    </w:p>
    <w:p w14:paraId="25ADC363" w14:textId="77777777" w:rsidR="0014798C" w:rsidRDefault="004E1F0B">
      <w:pPr>
        <w:pStyle w:val="Prrafodelista"/>
        <w:numPr>
          <w:ilvl w:val="0"/>
          <w:numId w:val="70"/>
        </w:numPr>
        <w:tabs>
          <w:tab w:val="left" w:pos="1355"/>
        </w:tabs>
        <w:ind w:left="1355" w:hanging="248"/>
        <w:rPr>
          <w:sz w:val="13"/>
        </w:rPr>
      </w:pPr>
      <w:r>
        <w:rPr>
          <w:spacing w:val="-2"/>
          <w:sz w:val="13"/>
        </w:rPr>
        <w:t>Comité</w:t>
      </w:r>
      <w:r>
        <w:rPr>
          <w:spacing w:val="2"/>
          <w:sz w:val="13"/>
        </w:rPr>
        <w:t xml:space="preserve"> </w:t>
      </w:r>
      <w:r>
        <w:rPr>
          <w:spacing w:val="-2"/>
          <w:sz w:val="13"/>
        </w:rPr>
        <w:t>para</w:t>
      </w:r>
      <w:r>
        <w:rPr>
          <w:spacing w:val="2"/>
          <w:sz w:val="13"/>
        </w:rPr>
        <w:t xml:space="preserve"> </w:t>
      </w:r>
      <w:r>
        <w:rPr>
          <w:spacing w:val="-2"/>
          <w:sz w:val="13"/>
        </w:rPr>
        <w:t>la</w:t>
      </w:r>
      <w:r>
        <w:rPr>
          <w:spacing w:val="2"/>
          <w:sz w:val="13"/>
        </w:rPr>
        <w:t xml:space="preserve"> </w:t>
      </w:r>
      <w:r>
        <w:rPr>
          <w:spacing w:val="-2"/>
          <w:sz w:val="13"/>
        </w:rPr>
        <w:t>Eliminación</w:t>
      </w:r>
      <w:r>
        <w:rPr>
          <w:spacing w:val="3"/>
          <w:sz w:val="13"/>
        </w:rPr>
        <w:t xml:space="preserve"> </w:t>
      </w:r>
      <w:r>
        <w:rPr>
          <w:spacing w:val="-2"/>
          <w:sz w:val="13"/>
        </w:rPr>
        <w:t>de</w:t>
      </w:r>
      <w:r>
        <w:rPr>
          <w:spacing w:val="2"/>
          <w:sz w:val="13"/>
        </w:rPr>
        <w:t xml:space="preserve"> </w:t>
      </w:r>
      <w:r>
        <w:rPr>
          <w:spacing w:val="-2"/>
          <w:sz w:val="13"/>
        </w:rPr>
        <w:t>la</w:t>
      </w:r>
      <w:r>
        <w:rPr>
          <w:spacing w:val="2"/>
          <w:sz w:val="13"/>
        </w:rPr>
        <w:t xml:space="preserve"> </w:t>
      </w:r>
      <w:r>
        <w:rPr>
          <w:spacing w:val="-2"/>
          <w:sz w:val="13"/>
        </w:rPr>
        <w:t>Discriminación</w:t>
      </w:r>
      <w:r>
        <w:rPr>
          <w:spacing w:val="3"/>
          <w:sz w:val="13"/>
        </w:rPr>
        <w:t xml:space="preserve"> </w:t>
      </w:r>
      <w:r>
        <w:rPr>
          <w:spacing w:val="-2"/>
          <w:sz w:val="13"/>
        </w:rPr>
        <w:t>Racial,</w:t>
      </w:r>
      <w:r>
        <w:rPr>
          <w:spacing w:val="3"/>
          <w:sz w:val="13"/>
        </w:rPr>
        <w:t xml:space="preserve"> </w:t>
      </w:r>
      <w:r>
        <w:rPr>
          <w:spacing w:val="-2"/>
          <w:sz w:val="13"/>
        </w:rPr>
        <w:t>recomendación</w:t>
      </w:r>
      <w:r>
        <w:rPr>
          <w:spacing w:val="2"/>
          <w:sz w:val="13"/>
        </w:rPr>
        <w:t xml:space="preserve"> </w:t>
      </w:r>
      <w:r>
        <w:rPr>
          <w:spacing w:val="-2"/>
          <w:sz w:val="13"/>
        </w:rPr>
        <w:t>general</w:t>
      </w:r>
      <w:r>
        <w:rPr>
          <w:spacing w:val="3"/>
          <w:sz w:val="13"/>
        </w:rPr>
        <w:t xml:space="preserve"> </w:t>
      </w:r>
      <w:r>
        <w:rPr>
          <w:spacing w:val="-2"/>
          <w:sz w:val="13"/>
        </w:rPr>
        <w:t>núm.</w:t>
      </w:r>
      <w:r>
        <w:rPr>
          <w:spacing w:val="2"/>
          <w:sz w:val="13"/>
        </w:rPr>
        <w:t xml:space="preserve"> </w:t>
      </w:r>
      <w:r>
        <w:rPr>
          <w:spacing w:val="-2"/>
          <w:sz w:val="13"/>
        </w:rPr>
        <w:t>19</w:t>
      </w:r>
      <w:r>
        <w:rPr>
          <w:spacing w:val="2"/>
          <w:sz w:val="13"/>
        </w:rPr>
        <w:t xml:space="preserve"> </w:t>
      </w:r>
      <w:r>
        <w:rPr>
          <w:spacing w:val="-2"/>
          <w:sz w:val="13"/>
        </w:rPr>
        <w:t>(1995),</w:t>
      </w:r>
      <w:r>
        <w:rPr>
          <w:spacing w:val="4"/>
          <w:sz w:val="13"/>
        </w:rPr>
        <w:t xml:space="preserve"> </w:t>
      </w:r>
      <w:r>
        <w:rPr>
          <w:spacing w:val="-2"/>
          <w:sz w:val="13"/>
        </w:rPr>
        <w:t>párr.</w:t>
      </w:r>
      <w:r>
        <w:rPr>
          <w:spacing w:val="2"/>
          <w:sz w:val="13"/>
        </w:rPr>
        <w:t xml:space="preserve"> </w:t>
      </w:r>
      <w:r>
        <w:rPr>
          <w:spacing w:val="-5"/>
          <w:sz w:val="13"/>
        </w:rPr>
        <w:t>4.</w:t>
      </w:r>
    </w:p>
    <w:p w14:paraId="162D7D37" w14:textId="77777777" w:rsidR="0014798C" w:rsidRDefault="004E1F0B">
      <w:pPr>
        <w:pStyle w:val="Prrafodelista"/>
        <w:numPr>
          <w:ilvl w:val="0"/>
          <w:numId w:val="70"/>
        </w:numPr>
        <w:tabs>
          <w:tab w:val="left" w:pos="1355"/>
        </w:tabs>
        <w:spacing w:before="87"/>
        <w:ind w:left="1355" w:hanging="248"/>
        <w:rPr>
          <w:sz w:val="13"/>
        </w:rPr>
      </w:pPr>
      <w:proofErr w:type="spellStart"/>
      <w:r>
        <w:rPr>
          <w:sz w:val="13"/>
        </w:rPr>
        <w:t>Ibíd</w:t>
      </w:r>
      <w:proofErr w:type="spellEnd"/>
      <w:r>
        <w:rPr>
          <w:sz w:val="13"/>
        </w:rPr>
        <w:t>.,</w:t>
      </w:r>
      <w:r>
        <w:rPr>
          <w:spacing w:val="-9"/>
          <w:sz w:val="13"/>
        </w:rPr>
        <w:t xml:space="preserve"> </w:t>
      </w:r>
      <w:r>
        <w:rPr>
          <w:sz w:val="13"/>
        </w:rPr>
        <w:t>párr.</w:t>
      </w:r>
      <w:r>
        <w:rPr>
          <w:spacing w:val="-8"/>
          <w:sz w:val="13"/>
        </w:rPr>
        <w:t xml:space="preserve"> </w:t>
      </w:r>
      <w:r>
        <w:rPr>
          <w:spacing w:val="-5"/>
          <w:sz w:val="13"/>
        </w:rPr>
        <w:t>2.</w:t>
      </w:r>
    </w:p>
    <w:p w14:paraId="6A296F0F" w14:textId="77777777" w:rsidR="0014798C" w:rsidRDefault="004E1F0B">
      <w:pPr>
        <w:pStyle w:val="Prrafodelista"/>
        <w:numPr>
          <w:ilvl w:val="0"/>
          <w:numId w:val="70"/>
        </w:numPr>
        <w:tabs>
          <w:tab w:val="left" w:pos="1355"/>
        </w:tabs>
        <w:spacing w:before="87"/>
        <w:ind w:left="1355" w:hanging="248"/>
        <w:rPr>
          <w:sz w:val="13"/>
        </w:rPr>
      </w:pPr>
      <w:r>
        <w:rPr>
          <w:spacing w:val="-2"/>
          <w:sz w:val="13"/>
        </w:rPr>
        <w:t>Comité</w:t>
      </w:r>
      <w:r>
        <w:rPr>
          <w:spacing w:val="2"/>
          <w:sz w:val="13"/>
        </w:rPr>
        <w:t xml:space="preserve"> </w:t>
      </w:r>
      <w:r>
        <w:rPr>
          <w:spacing w:val="-2"/>
          <w:sz w:val="13"/>
        </w:rPr>
        <w:t>para</w:t>
      </w:r>
      <w:r>
        <w:rPr>
          <w:spacing w:val="2"/>
          <w:sz w:val="13"/>
        </w:rPr>
        <w:t xml:space="preserve"> </w:t>
      </w:r>
      <w:r>
        <w:rPr>
          <w:spacing w:val="-2"/>
          <w:sz w:val="13"/>
        </w:rPr>
        <w:t>la</w:t>
      </w:r>
      <w:r>
        <w:rPr>
          <w:spacing w:val="2"/>
          <w:sz w:val="13"/>
        </w:rPr>
        <w:t xml:space="preserve"> </w:t>
      </w:r>
      <w:r>
        <w:rPr>
          <w:spacing w:val="-2"/>
          <w:sz w:val="13"/>
        </w:rPr>
        <w:t>Eliminación</w:t>
      </w:r>
      <w:r>
        <w:rPr>
          <w:spacing w:val="3"/>
          <w:sz w:val="13"/>
        </w:rPr>
        <w:t xml:space="preserve"> </w:t>
      </w:r>
      <w:r>
        <w:rPr>
          <w:spacing w:val="-2"/>
          <w:sz w:val="13"/>
        </w:rPr>
        <w:t>de</w:t>
      </w:r>
      <w:r>
        <w:rPr>
          <w:spacing w:val="2"/>
          <w:sz w:val="13"/>
        </w:rPr>
        <w:t xml:space="preserve"> </w:t>
      </w:r>
      <w:r>
        <w:rPr>
          <w:spacing w:val="-2"/>
          <w:sz w:val="13"/>
        </w:rPr>
        <w:t>la</w:t>
      </w:r>
      <w:r>
        <w:rPr>
          <w:spacing w:val="2"/>
          <w:sz w:val="13"/>
        </w:rPr>
        <w:t xml:space="preserve"> </w:t>
      </w:r>
      <w:r>
        <w:rPr>
          <w:spacing w:val="-2"/>
          <w:sz w:val="13"/>
        </w:rPr>
        <w:t>Discriminación</w:t>
      </w:r>
      <w:r>
        <w:rPr>
          <w:spacing w:val="3"/>
          <w:sz w:val="13"/>
        </w:rPr>
        <w:t xml:space="preserve"> </w:t>
      </w:r>
      <w:r>
        <w:rPr>
          <w:spacing w:val="-2"/>
          <w:sz w:val="13"/>
        </w:rPr>
        <w:t>Racial,</w:t>
      </w:r>
      <w:r>
        <w:rPr>
          <w:spacing w:val="3"/>
          <w:sz w:val="13"/>
        </w:rPr>
        <w:t xml:space="preserve"> </w:t>
      </w:r>
      <w:r>
        <w:rPr>
          <w:spacing w:val="-2"/>
          <w:sz w:val="13"/>
        </w:rPr>
        <w:t>recomendación</w:t>
      </w:r>
      <w:r>
        <w:rPr>
          <w:spacing w:val="3"/>
          <w:sz w:val="13"/>
        </w:rPr>
        <w:t xml:space="preserve"> </w:t>
      </w:r>
      <w:r>
        <w:rPr>
          <w:spacing w:val="-2"/>
          <w:sz w:val="13"/>
        </w:rPr>
        <w:t>general</w:t>
      </w:r>
      <w:r>
        <w:rPr>
          <w:spacing w:val="2"/>
          <w:sz w:val="13"/>
        </w:rPr>
        <w:t xml:space="preserve"> </w:t>
      </w:r>
      <w:r>
        <w:rPr>
          <w:spacing w:val="-2"/>
          <w:sz w:val="13"/>
        </w:rPr>
        <w:t>núm.</w:t>
      </w:r>
      <w:r>
        <w:rPr>
          <w:spacing w:val="2"/>
          <w:sz w:val="13"/>
        </w:rPr>
        <w:t xml:space="preserve"> </w:t>
      </w:r>
      <w:r>
        <w:rPr>
          <w:spacing w:val="-2"/>
          <w:sz w:val="13"/>
        </w:rPr>
        <w:t>29</w:t>
      </w:r>
      <w:r>
        <w:rPr>
          <w:spacing w:val="3"/>
          <w:sz w:val="13"/>
        </w:rPr>
        <w:t xml:space="preserve"> </w:t>
      </w:r>
      <w:r>
        <w:rPr>
          <w:spacing w:val="-2"/>
          <w:sz w:val="13"/>
        </w:rPr>
        <w:t>(2002),</w:t>
      </w:r>
      <w:r>
        <w:rPr>
          <w:spacing w:val="3"/>
          <w:sz w:val="13"/>
        </w:rPr>
        <w:t xml:space="preserve"> </w:t>
      </w:r>
      <w:proofErr w:type="spellStart"/>
      <w:r>
        <w:rPr>
          <w:spacing w:val="-2"/>
          <w:sz w:val="13"/>
        </w:rPr>
        <w:t>párrs</w:t>
      </w:r>
      <w:proofErr w:type="spellEnd"/>
      <w:r>
        <w:rPr>
          <w:spacing w:val="-2"/>
          <w:sz w:val="13"/>
        </w:rPr>
        <w:t>.</w:t>
      </w:r>
      <w:r>
        <w:rPr>
          <w:spacing w:val="2"/>
          <w:sz w:val="13"/>
        </w:rPr>
        <w:t xml:space="preserve"> </w:t>
      </w:r>
      <w:r>
        <w:rPr>
          <w:spacing w:val="-2"/>
          <w:sz w:val="13"/>
        </w:rPr>
        <w:t>(p)–(q).</w:t>
      </w:r>
    </w:p>
    <w:p w14:paraId="5296889C" w14:textId="77777777" w:rsidR="0014798C" w:rsidRDefault="004E1F0B">
      <w:pPr>
        <w:pStyle w:val="Prrafodelista"/>
        <w:numPr>
          <w:ilvl w:val="0"/>
          <w:numId w:val="70"/>
        </w:numPr>
        <w:tabs>
          <w:tab w:val="left" w:pos="1355"/>
        </w:tabs>
        <w:spacing w:before="87"/>
        <w:ind w:left="1355" w:hanging="248"/>
        <w:rPr>
          <w:sz w:val="13"/>
        </w:rPr>
      </w:pPr>
      <w:r>
        <w:rPr>
          <w:sz w:val="13"/>
        </w:rPr>
        <w:t>Comité</w:t>
      </w:r>
      <w:r>
        <w:rPr>
          <w:spacing w:val="-9"/>
          <w:sz w:val="13"/>
        </w:rPr>
        <w:t xml:space="preserve"> </w:t>
      </w:r>
      <w:r>
        <w:rPr>
          <w:sz w:val="13"/>
        </w:rPr>
        <w:t>sobre</w:t>
      </w:r>
      <w:r>
        <w:rPr>
          <w:spacing w:val="-8"/>
          <w:sz w:val="13"/>
        </w:rPr>
        <w:t xml:space="preserve"> </w:t>
      </w:r>
      <w:r>
        <w:rPr>
          <w:sz w:val="13"/>
        </w:rPr>
        <w:t>los</w:t>
      </w:r>
      <w:r>
        <w:rPr>
          <w:spacing w:val="-8"/>
          <w:sz w:val="13"/>
        </w:rPr>
        <w:t xml:space="preserve"> </w:t>
      </w:r>
      <w:r>
        <w:rPr>
          <w:sz w:val="13"/>
        </w:rPr>
        <w:t>Derechos</w:t>
      </w:r>
      <w:r>
        <w:rPr>
          <w:spacing w:val="-8"/>
          <w:sz w:val="13"/>
        </w:rPr>
        <w:t xml:space="preserve"> </w:t>
      </w:r>
      <w:r>
        <w:rPr>
          <w:sz w:val="13"/>
        </w:rPr>
        <w:t>de</w:t>
      </w:r>
      <w:r>
        <w:rPr>
          <w:spacing w:val="-8"/>
          <w:sz w:val="13"/>
        </w:rPr>
        <w:t xml:space="preserve"> </w:t>
      </w:r>
      <w:r>
        <w:rPr>
          <w:sz w:val="13"/>
        </w:rPr>
        <w:t>las</w:t>
      </w:r>
      <w:r>
        <w:rPr>
          <w:spacing w:val="-9"/>
          <w:sz w:val="13"/>
        </w:rPr>
        <w:t xml:space="preserve"> </w:t>
      </w:r>
      <w:r>
        <w:rPr>
          <w:sz w:val="13"/>
        </w:rPr>
        <w:t>Personas</w:t>
      </w:r>
      <w:r>
        <w:rPr>
          <w:spacing w:val="-8"/>
          <w:sz w:val="13"/>
        </w:rPr>
        <w:t xml:space="preserve"> </w:t>
      </w:r>
      <w:r>
        <w:rPr>
          <w:sz w:val="13"/>
        </w:rPr>
        <w:t>con</w:t>
      </w:r>
      <w:r>
        <w:rPr>
          <w:spacing w:val="-8"/>
          <w:sz w:val="13"/>
        </w:rPr>
        <w:t xml:space="preserve"> </w:t>
      </w:r>
      <w:r>
        <w:rPr>
          <w:sz w:val="13"/>
        </w:rPr>
        <w:t>Discapacidad,</w:t>
      </w:r>
      <w:r>
        <w:rPr>
          <w:spacing w:val="-7"/>
          <w:sz w:val="13"/>
        </w:rPr>
        <w:t xml:space="preserve"> </w:t>
      </w:r>
      <w:r>
        <w:rPr>
          <w:sz w:val="13"/>
        </w:rPr>
        <w:t>observación</w:t>
      </w:r>
      <w:r>
        <w:rPr>
          <w:spacing w:val="-9"/>
          <w:sz w:val="13"/>
        </w:rPr>
        <w:t xml:space="preserve"> </w:t>
      </w:r>
      <w:r>
        <w:rPr>
          <w:sz w:val="13"/>
        </w:rPr>
        <w:t>general</w:t>
      </w:r>
      <w:r>
        <w:rPr>
          <w:spacing w:val="-8"/>
          <w:sz w:val="13"/>
        </w:rPr>
        <w:t xml:space="preserve"> </w:t>
      </w:r>
      <w:r>
        <w:rPr>
          <w:sz w:val="13"/>
        </w:rPr>
        <w:t>núm.</w:t>
      </w:r>
      <w:r>
        <w:rPr>
          <w:spacing w:val="-8"/>
          <w:sz w:val="13"/>
        </w:rPr>
        <w:t xml:space="preserve"> </w:t>
      </w:r>
      <w:r>
        <w:rPr>
          <w:sz w:val="13"/>
        </w:rPr>
        <w:t>6</w:t>
      </w:r>
      <w:r>
        <w:rPr>
          <w:spacing w:val="-8"/>
          <w:sz w:val="13"/>
        </w:rPr>
        <w:t xml:space="preserve"> </w:t>
      </w:r>
      <w:r>
        <w:rPr>
          <w:sz w:val="13"/>
        </w:rPr>
        <w:t>(2018),</w:t>
      </w:r>
      <w:r>
        <w:rPr>
          <w:spacing w:val="-8"/>
          <w:sz w:val="13"/>
        </w:rPr>
        <w:t xml:space="preserve"> </w:t>
      </w:r>
      <w:r>
        <w:rPr>
          <w:sz w:val="13"/>
        </w:rPr>
        <w:t>párr.</w:t>
      </w:r>
      <w:r>
        <w:rPr>
          <w:spacing w:val="-8"/>
          <w:sz w:val="13"/>
        </w:rPr>
        <w:t xml:space="preserve"> </w:t>
      </w:r>
      <w:r>
        <w:rPr>
          <w:spacing w:val="-5"/>
          <w:sz w:val="13"/>
        </w:rPr>
        <w:t>56.</w:t>
      </w:r>
    </w:p>
    <w:p w14:paraId="7403B3AB" w14:textId="77777777" w:rsidR="0014798C" w:rsidRDefault="004E1F0B">
      <w:pPr>
        <w:pStyle w:val="Prrafodelista"/>
        <w:numPr>
          <w:ilvl w:val="0"/>
          <w:numId w:val="70"/>
        </w:numPr>
        <w:tabs>
          <w:tab w:val="left" w:pos="1355"/>
        </w:tabs>
        <w:spacing w:before="87"/>
        <w:ind w:left="1355" w:hanging="248"/>
        <w:rPr>
          <w:sz w:val="13"/>
        </w:rPr>
      </w:pPr>
      <w:proofErr w:type="spellStart"/>
      <w:r>
        <w:rPr>
          <w:sz w:val="13"/>
        </w:rPr>
        <w:t>Ibíd</w:t>
      </w:r>
      <w:proofErr w:type="spellEnd"/>
      <w:r>
        <w:rPr>
          <w:sz w:val="13"/>
        </w:rPr>
        <w:t>.,</w:t>
      </w:r>
      <w:r>
        <w:rPr>
          <w:spacing w:val="-9"/>
          <w:sz w:val="13"/>
        </w:rPr>
        <w:t xml:space="preserve"> </w:t>
      </w:r>
      <w:r>
        <w:rPr>
          <w:sz w:val="13"/>
        </w:rPr>
        <w:t>párr.</w:t>
      </w:r>
      <w:r>
        <w:rPr>
          <w:spacing w:val="-8"/>
          <w:sz w:val="13"/>
        </w:rPr>
        <w:t xml:space="preserve"> </w:t>
      </w:r>
      <w:r>
        <w:rPr>
          <w:spacing w:val="-5"/>
          <w:sz w:val="13"/>
        </w:rPr>
        <w:t>64.</w:t>
      </w:r>
    </w:p>
    <w:p w14:paraId="4D108FA5" w14:textId="77777777" w:rsidR="0014798C" w:rsidRDefault="004E1F0B">
      <w:pPr>
        <w:spacing w:before="59"/>
        <w:ind w:left="1107"/>
        <w:rPr>
          <w:sz w:val="13"/>
        </w:rPr>
      </w:pPr>
      <w:proofErr w:type="gramStart"/>
      <w:r w:rsidRPr="00537489">
        <w:rPr>
          <w:sz w:val="13"/>
          <w:vertAlign w:val="superscript"/>
          <w:lang w:val="en-US"/>
        </w:rPr>
        <w:t>333</w:t>
      </w:r>
      <w:r w:rsidRPr="00537489">
        <w:rPr>
          <w:spacing w:val="32"/>
          <w:sz w:val="13"/>
          <w:lang w:val="en-US"/>
        </w:rPr>
        <w:t xml:space="preserve">  </w:t>
      </w:r>
      <w:r w:rsidRPr="00537489">
        <w:rPr>
          <w:sz w:val="13"/>
          <w:lang w:val="en-US"/>
        </w:rPr>
        <w:t>CRPD</w:t>
      </w:r>
      <w:proofErr w:type="gramEnd"/>
      <w:r w:rsidRPr="00537489">
        <w:rPr>
          <w:sz w:val="13"/>
          <w:lang w:val="en-US"/>
        </w:rPr>
        <w:t>/C/TUR/CO/1,</w:t>
      </w:r>
      <w:r w:rsidRPr="00537489">
        <w:rPr>
          <w:spacing w:val="5"/>
          <w:sz w:val="13"/>
          <w:lang w:val="en-US"/>
        </w:rPr>
        <w:t xml:space="preserve"> </w:t>
      </w:r>
      <w:proofErr w:type="spellStart"/>
      <w:r w:rsidRPr="00537489">
        <w:rPr>
          <w:sz w:val="13"/>
          <w:lang w:val="en-US"/>
        </w:rPr>
        <w:t>párr</w:t>
      </w:r>
      <w:proofErr w:type="spellEnd"/>
      <w:r w:rsidRPr="00537489">
        <w:rPr>
          <w:sz w:val="13"/>
          <w:lang w:val="en-US"/>
        </w:rPr>
        <w:t>.</w:t>
      </w:r>
      <w:r w:rsidRPr="00537489">
        <w:rPr>
          <w:spacing w:val="7"/>
          <w:sz w:val="13"/>
          <w:lang w:val="en-US"/>
        </w:rPr>
        <w:t xml:space="preserve"> </w:t>
      </w:r>
      <w:r>
        <w:rPr>
          <w:sz w:val="13"/>
        </w:rPr>
        <w:t>48;</w:t>
      </w:r>
      <w:r>
        <w:rPr>
          <w:spacing w:val="6"/>
          <w:sz w:val="13"/>
        </w:rPr>
        <w:t xml:space="preserve"> </w:t>
      </w:r>
      <w:r>
        <w:rPr>
          <w:sz w:val="13"/>
        </w:rPr>
        <w:t>y</w:t>
      </w:r>
      <w:r>
        <w:rPr>
          <w:spacing w:val="6"/>
          <w:sz w:val="13"/>
        </w:rPr>
        <w:t xml:space="preserve"> </w:t>
      </w:r>
      <w:r>
        <w:rPr>
          <w:sz w:val="13"/>
        </w:rPr>
        <w:t>CRPD/C/IND/CO/1,</w:t>
      </w:r>
      <w:r>
        <w:rPr>
          <w:spacing w:val="5"/>
          <w:sz w:val="13"/>
        </w:rPr>
        <w:t xml:space="preserve"> </w:t>
      </w:r>
      <w:r>
        <w:rPr>
          <w:sz w:val="13"/>
        </w:rPr>
        <w:t>párr.</w:t>
      </w:r>
      <w:r>
        <w:rPr>
          <w:spacing w:val="6"/>
          <w:sz w:val="13"/>
        </w:rPr>
        <w:t xml:space="preserve"> </w:t>
      </w:r>
      <w:r>
        <w:rPr>
          <w:spacing w:val="-5"/>
          <w:sz w:val="13"/>
        </w:rPr>
        <w:t>50.</w:t>
      </w:r>
    </w:p>
    <w:p w14:paraId="0F6395C5" w14:textId="77777777" w:rsidR="0014798C" w:rsidRPr="00537489" w:rsidRDefault="004E1F0B">
      <w:pPr>
        <w:spacing w:before="115" w:line="288" w:lineRule="auto"/>
        <w:ind w:left="1366" w:right="1590" w:hanging="259"/>
        <w:rPr>
          <w:sz w:val="13"/>
          <w:lang w:val="en-US"/>
        </w:rPr>
      </w:pPr>
      <w:r>
        <w:rPr>
          <w:sz w:val="13"/>
        </w:rPr>
        <w:t>334</w:t>
      </w:r>
      <w:r>
        <w:rPr>
          <w:spacing w:val="-3"/>
          <w:sz w:val="13"/>
        </w:rPr>
        <w:t xml:space="preserve"> </w:t>
      </w:r>
      <w:r>
        <w:rPr>
          <w:sz w:val="13"/>
        </w:rPr>
        <w:t>Así,</w:t>
      </w:r>
      <w:r>
        <w:rPr>
          <w:spacing w:val="-3"/>
          <w:sz w:val="13"/>
        </w:rPr>
        <w:t xml:space="preserve"> </w:t>
      </w:r>
      <w:r>
        <w:rPr>
          <w:sz w:val="13"/>
        </w:rPr>
        <w:t>por</w:t>
      </w:r>
      <w:r>
        <w:rPr>
          <w:spacing w:val="-3"/>
          <w:sz w:val="13"/>
        </w:rPr>
        <w:t xml:space="preserve"> </w:t>
      </w:r>
      <w:r>
        <w:rPr>
          <w:sz w:val="13"/>
        </w:rPr>
        <w:t>ejemplo,</w:t>
      </w:r>
      <w:r>
        <w:rPr>
          <w:spacing w:val="-2"/>
          <w:sz w:val="13"/>
        </w:rPr>
        <w:t xml:space="preserve"> </w:t>
      </w:r>
      <w:r>
        <w:rPr>
          <w:sz w:val="13"/>
        </w:rPr>
        <w:t>“los</w:t>
      </w:r>
      <w:r>
        <w:rPr>
          <w:spacing w:val="-3"/>
          <w:sz w:val="13"/>
        </w:rPr>
        <w:t xml:space="preserve"> </w:t>
      </w:r>
      <w:r>
        <w:rPr>
          <w:sz w:val="13"/>
        </w:rPr>
        <w:t>modelos</w:t>
      </w:r>
      <w:r>
        <w:rPr>
          <w:spacing w:val="-3"/>
          <w:sz w:val="13"/>
        </w:rPr>
        <w:t xml:space="preserve"> </w:t>
      </w:r>
      <w:r>
        <w:rPr>
          <w:sz w:val="13"/>
        </w:rPr>
        <w:t>y</w:t>
      </w:r>
      <w:r>
        <w:rPr>
          <w:spacing w:val="-3"/>
          <w:sz w:val="13"/>
        </w:rPr>
        <w:t xml:space="preserve"> </w:t>
      </w:r>
      <w:r>
        <w:rPr>
          <w:sz w:val="13"/>
        </w:rPr>
        <w:t>prácticas</w:t>
      </w:r>
      <w:r>
        <w:rPr>
          <w:spacing w:val="-3"/>
          <w:sz w:val="13"/>
        </w:rPr>
        <w:t xml:space="preserve"> </w:t>
      </w:r>
      <w:r>
        <w:rPr>
          <w:sz w:val="13"/>
        </w:rPr>
        <w:t>de</w:t>
      </w:r>
      <w:r>
        <w:rPr>
          <w:spacing w:val="-3"/>
          <w:sz w:val="13"/>
        </w:rPr>
        <w:t xml:space="preserve"> </w:t>
      </w:r>
      <w:r>
        <w:rPr>
          <w:sz w:val="13"/>
        </w:rPr>
        <w:t>prestación</w:t>
      </w:r>
      <w:r>
        <w:rPr>
          <w:spacing w:val="-3"/>
          <w:sz w:val="13"/>
        </w:rPr>
        <w:t xml:space="preserve"> </w:t>
      </w:r>
      <w:r>
        <w:rPr>
          <w:sz w:val="13"/>
        </w:rPr>
        <w:t>de</w:t>
      </w:r>
      <w:r>
        <w:rPr>
          <w:spacing w:val="-3"/>
          <w:sz w:val="13"/>
        </w:rPr>
        <w:t xml:space="preserve"> </w:t>
      </w:r>
      <w:r>
        <w:rPr>
          <w:sz w:val="13"/>
        </w:rPr>
        <w:t>servicios,</w:t>
      </w:r>
      <w:r>
        <w:rPr>
          <w:spacing w:val="-2"/>
          <w:sz w:val="13"/>
        </w:rPr>
        <w:t xml:space="preserve"> </w:t>
      </w:r>
      <w:r>
        <w:rPr>
          <w:sz w:val="13"/>
        </w:rPr>
        <w:t>especialmente</w:t>
      </w:r>
      <w:r>
        <w:rPr>
          <w:spacing w:val="-3"/>
          <w:sz w:val="13"/>
        </w:rPr>
        <w:t xml:space="preserve"> </w:t>
      </w:r>
      <w:r>
        <w:rPr>
          <w:sz w:val="13"/>
        </w:rPr>
        <w:t>en</w:t>
      </w:r>
      <w:r>
        <w:rPr>
          <w:spacing w:val="-3"/>
          <w:sz w:val="13"/>
        </w:rPr>
        <w:t xml:space="preserve"> </w:t>
      </w:r>
      <w:r>
        <w:rPr>
          <w:sz w:val="13"/>
        </w:rPr>
        <w:t>zonas</w:t>
      </w:r>
      <w:r>
        <w:rPr>
          <w:spacing w:val="-3"/>
          <w:sz w:val="13"/>
        </w:rPr>
        <w:t xml:space="preserve"> </w:t>
      </w:r>
      <w:r>
        <w:rPr>
          <w:sz w:val="13"/>
        </w:rPr>
        <w:t>rurales</w:t>
      </w:r>
      <w:r>
        <w:rPr>
          <w:spacing w:val="-3"/>
          <w:sz w:val="13"/>
        </w:rPr>
        <w:t xml:space="preserve"> </w:t>
      </w:r>
      <w:r>
        <w:rPr>
          <w:sz w:val="13"/>
        </w:rPr>
        <w:t>y</w:t>
      </w:r>
      <w:r>
        <w:rPr>
          <w:spacing w:val="-3"/>
          <w:sz w:val="13"/>
        </w:rPr>
        <w:t xml:space="preserve"> </w:t>
      </w:r>
      <w:r>
        <w:rPr>
          <w:sz w:val="13"/>
        </w:rPr>
        <w:t>remotas,</w:t>
      </w:r>
      <w:r>
        <w:rPr>
          <w:spacing w:val="-2"/>
          <w:sz w:val="13"/>
        </w:rPr>
        <w:t xml:space="preserve"> </w:t>
      </w:r>
      <w:r>
        <w:rPr>
          <w:sz w:val="13"/>
        </w:rPr>
        <w:t>continúan</w:t>
      </w:r>
      <w:r>
        <w:rPr>
          <w:spacing w:val="-3"/>
          <w:sz w:val="13"/>
        </w:rPr>
        <w:t xml:space="preserve"> </w:t>
      </w:r>
      <w:r>
        <w:rPr>
          <w:sz w:val="13"/>
        </w:rPr>
        <w:t>segregando</w:t>
      </w:r>
      <w:r>
        <w:rPr>
          <w:spacing w:val="-3"/>
          <w:sz w:val="13"/>
        </w:rPr>
        <w:t xml:space="preserve"> </w:t>
      </w:r>
      <w:r>
        <w:rPr>
          <w:sz w:val="13"/>
        </w:rPr>
        <w:t>a</w:t>
      </w:r>
      <w:r>
        <w:rPr>
          <w:spacing w:val="-3"/>
          <w:sz w:val="13"/>
        </w:rPr>
        <w:t xml:space="preserve"> </w:t>
      </w:r>
      <w:r>
        <w:rPr>
          <w:sz w:val="13"/>
        </w:rPr>
        <w:t>las</w:t>
      </w:r>
      <w:r>
        <w:rPr>
          <w:spacing w:val="-3"/>
          <w:sz w:val="13"/>
        </w:rPr>
        <w:t xml:space="preserve"> </w:t>
      </w:r>
      <w:r>
        <w:rPr>
          <w:sz w:val="13"/>
        </w:rPr>
        <w:t>personas</w:t>
      </w:r>
      <w:r>
        <w:rPr>
          <w:spacing w:val="40"/>
          <w:sz w:val="13"/>
        </w:rPr>
        <w:t xml:space="preserve"> </w:t>
      </w:r>
      <w:r>
        <w:rPr>
          <w:sz w:val="13"/>
        </w:rPr>
        <w:t>con</w:t>
      </w:r>
      <w:r>
        <w:rPr>
          <w:spacing w:val="-6"/>
          <w:sz w:val="13"/>
        </w:rPr>
        <w:t xml:space="preserve"> </w:t>
      </w:r>
      <w:r>
        <w:rPr>
          <w:sz w:val="13"/>
        </w:rPr>
        <w:t>discapacidad</w:t>
      </w:r>
      <w:r>
        <w:rPr>
          <w:spacing w:val="-6"/>
          <w:sz w:val="13"/>
        </w:rPr>
        <w:t xml:space="preserve"> </w:t>
      </w:r>
      <w:r>
        <w:rPr>
          <w:sz w:val="13"/>
        </w:rPr>
        <w:t>a</w:t>
      </w:r>
      <w:r>
        <w:rPr>
          <w:spacing w:val="-6"/>
          <w:sz w:val="13"/>
        </w:rPr>
        <w:t xml:space="preserve"> </w:t>
      </w:r>
      <w:r>
        <w:rPr>
          <w:sz w:val="13"/>
        </w:rPr>
        <w:t>través</w:t>
      </w:r>
      <w:r>
        <w:rPr>
          <w:spacing w:val="-6"/>
          <w:sz w:val="13"/>
        </w:rPr>
        <w:t xml:space="preserve"> </w:t>
      </w:r>
      <w:r>
        <w:rPr>
          <w:sz w:val="13"/>
        </w:rPr>
        <w:t>del</w:t>
      </w:r>
      <w:r>
        <w:rPr>
          <w:spacing w:val="-6"/>
          <w:sz w:val="13"/>
        </w:rPr>
        <w:t xml:space="preserve"> </w:t>
      </w:r>
      <w:r>
        <w:rPr>
          <w:sz w:val="13"/>
        </w:rPr>
        <w:t>empleo</w:t>
      </w:r>
      <w:r>
        <w:rPr>
          <w:spacing w:val="-6"/>
          <w:sz w:val="13"/>
        </w:rPr>
        <w:t xml:space="preserve"> </w:t>
      </w:r>
      <w:r>
        <w:rPr>
          <w:sz w:val="13"/>
        </w:rPr>
        <w:t>protegido,</w:t>
      </w:r>
      <w:r>
        <w:rPr>
          <w:spacing w:val="-5"/>
          <w:sz w:val="13"/>
        </w:rPr>
        <w:t xml:space="preserve"> </w:t>
      </w:r>
      <w:r>
        <w:rPr>
          <w:sz w:val="13"/>
        </w:rPr>
        <w:t>la</w:t>
      </w:r>
      <w:r>
        <w:rPr>
          <w:spacing w:val="-6"/>
          <w:sz w:val="13"/>
        </w:rPr>
        <w:t xml:space="preserve"> </w:t>
      </w:r>
      <w:r>
        <w:rPr>
          <w:sz w:val="13"/>
        </w:rPr>
        <w:t>educación</w:t>
      </w:r>
      <w:r>
        <w:rPr>
          <w:spacing w:val="-6"/>
          <w:sz w:val="13"/>
        </w:rPr>
        <w:t xml:space="preserve"> </w:t>
      </w:r>
      <w:r>
        <w:rPr>
          <w:sz w:val="13"/>
        </w:rPr>
        <w:t>segregada</w:t>
      </w:r>
      <w:r>
        <w:rPr>
          <w:spacing w:val="-6"/>
          <w:sz w:val="13"/>
        </w:rPr>
        <w:t xml:space="preserve"> </w:t>
      </w:r>
      <w:r>
        <w:rPr>
          <w:sz w:val="13"/>
        </w:rPr>
        <w:t>y</w:t>
      </w:r>
      <w:r>
        <w:rPr>
          <w:spacing w:val="-6"/>
          <w:sz w:val="13"/>
        </w:rPr>
        <w:t xml:space="preserve"> </w:t>
      </w:r>
      <w:r>
        <w:rPr>
          <w:sz w:val="13"/>
        </w:rPr>
        <w:t>el</w:t>
      </w:r>
      <w:r>
        <w:rPr>
          <w:spacing w:val="-6"/>
          <w:sz w:val="13"/>
        </w:rPr>
        <w:t xml:space="preserve"> </w:t>
      </w:r>
      <w:r>
        <w:rPr>
          <w:sz w:val="13"/>
        </w:rPr>
        <w:t>acceso</w:t>
      </w:r>
      <w:r>
        <w:rPr>
          <w:spacing w:val="-6"/>
          <w:sz w:val="13"/>
        </w:rPr>
        <w:t xml:space="preserve"> </w:t>
      </w:r>
      <w:r>
        <w:rPr>
          <w:sz w:val="13"/>
        </w:rPr>
        <w:t>limitado</w:t>
      </w:r>
      <w:r>
        <w:rPr>
          <w:spacing w:val="-6"/>
          <w:sz w:val="13"/>
        </w:rPr>
        <w:t xml:space="preserve"> </w:t>
      </w:r>
      <w:r>
        <w:rPr>
          <w:sz w:val="13"/>
        </w:rPr>
        <w:t>a</w:t>
      </w:r>
      <w:r>
        <w:rPr>
          <w:spacing w:val="-6"/>
          <w:sz w:val="13"/>
        </w:rPr>
        <w:t xml:space="preserve"> </w:t>
      </w:r>
      <w:r>
        <w:rPr>
          <w:sz w:val="13"/>
        </w:rPr>
        <w:t>la</w:t>
      </w:r>
      <w:r>
        <w:rPr>
          <w:spacing w:val="-6"/>
          <w:sz w:val="13"/>
        </w:rPr>
        <w:t xml:space="preserve"> </w:t>
      </w:r>
      <w:r>
        <w:rPr>
          <w:sz w:val="13"/>
        </w:rPr>
        <w:t>vivienda</w:t>
      </w:r>
      <w:r>
        <w:rPr>
          <w:spacing w:val="-6"/>
          <w:sz w:val="13"/>
        </w:rPr>
        <w:t xml:space="preserve"> </w:t>
      </w:r>
      <w:r>
        <w:rPr>
          <w:sz w:val="13"/>
        </w:rPr>
        <w:t>social”</w:t>
      </w:r>
      <w:r>
        <w:rPr>
          <w:spacing w:val="-6"/>
          <w:sz w:val="13"/>
        </w:rPr>
        <w:t xml:space="preserve"> </w:t>
      </w:r>
      <w:r>
        <w:rPr>
          <w:sz w:val="13"/>
        </w:rPr>
        <w:t>(CRPD/C/HUN/IR/1</w:t>
      </w:r>
      <w:r>
        <w:rPr>
          <w:spacing w:val="-6"/>
          <w:sz w:val="13"/>
        </w:rPr>
        <w:t xml:space="preserve"> </w:t>
      </w:r>
      <w:r>
        <w:rPr>
          <w:sz w:val="13"/>
        </w:rPr>
        <w:t>y</w:t>
      </w:r>
      <w:r>
        <w:rPr>
          <w:spacing w:val="-6"/>
          <w:sz w:val="13"/>
        </w:rPr>
        <w:t xml:space="preserve"> </w:t>
      </w:r>
      <w:r>
        <w:rPr>
          <w:sz w:val="13"/>
        </w:rPr>
        <w:t>Corr.1,</w:t>
      </w:r>
      <w:r>
        <w:rPr>
          <w:spacing w:val="-6"/>
          <w:sz w:val="13"/>
        </w:rPr>
        <w:t xml:space="preserve"> </w:t>
      </w:r>
      <w:r>
        <w:rPr>
          <w:sz w:val="13"/>
        </w:rPr>
        <w:t>párr.</w:t>
      </w:r>
      <w:r>
        <w:rPr>
          <w:spacing w:val="-6"/>
          <w:sz w:val="13"/>
        </w:rPr>
        <w:t xml:space="preserve"> </w:t>
      </w:r>
      <w:r>
        <w:rPr>
          <w:sz w:val="13"/>
        </w:rPr>
        <w:t>101</w:t>
      </w:r>
      <w:r>
        <w:rPr>
          <w:spacing w:val="40"/>
          <w:sz w:val="13"/>
        </w:rPr>
        <w:t xml:space="preserve"> </w:t>
      </w:r>
      <w:r>
        <w:rPr>
          <w:spacing w:val="-4"/>
          <w:sz w:val="13"/>
        </w:rPr>
        <w:t xml:space="preserve">j)). Véase también CRPD/C/CAN/CO/1, párr. 47; CRPD/C/SVK/CO/1, </w:t>
      </w:r>
      <w:proofErr w:type="spellStart"/>
      <w:r>
        <w:rPr>
          <w:spacing w:val="-4"/>
          <w:sz w:val="13"/>
        </w:rPr>
        <w:t>párrs</w:t>
      </w:r>
      <w:proofErr w:type="spellEnd"/>
      <w:r>
        <w:rPr>
          <w:spacing w:val="-4"/>
          <w:sz w:val="13"/>
        </w:rPr>
        <w:t xml:space="preserve">. 73–74; CRPD/C/SRB/CO/1, </w:t>
      </w:r>
      <w:proofErr w:type="spellStart"/>
      <w:r>
        <w:rPr>
          <w:spacing w:val="-4"/>
          <w:sz w:val="13"/>
        </w:rPr>
        <w:t>párrs</w:t>
      </w:r>
      <w:proofErr w:type="spellEnd"/>
      <w:r>
        <w:rPr>
          <w:spacing w:val="-4"/>
          <w:sz w:val="13"/>
        </w:rPr>
        <w:t xml:space="preserve">. </w:t>
      </w:r>
      <w:r w:rsidRPr="00537489">
        <w:rPr>
          <w:spacing w:val="-4"/>
          <w:sz w:val="13"/>
          <w:lang w:val="en-US"/>
        </w:rPr>
        <w:t>55–56</w:t>
      </w:r>
      <w:r>
        <w:rPr>
          <w:spacing w:val="-4"/>
          <w:sz w:val="13"/>
        </w:rPr>
        <w:t>;</w:t>
      </w:r>
    </w:p>
    <w:p w14:paraId="7A755E76" w14:textId="77777777" w:rsidR="0014798C" w:rsidRDefault="004E1F0B">
      <w:pPr>
        <w:spacing w:line="123" w:lineRule="exact"/>
        <w:ind w:left="1371"/>
        <w:rPr>
          <w:sz w:val="13"/>
        </w:rPr>
      </w:pPr>
      <w:r w:rsidRPr="00537489">
        <w:rPr>
          <w:sz w:val="13"/>
          <w:lang w:val="en-US"/>
        </w:rPr>
        <w:t>CRPD/C/BIH/CO/1,</w:t>
      </w:r>
      <w:r w:rsidRPr="00537489">
        <w:rPr>
          <w:spacing w:val="6"/>
          <w:sz w:val="13"/>
          <w:lang w:val="en-US"/>
        </w:rPr>
        <w:t xml:space="preserve"> </w:t>
      </w:r>
      <w:proofErr w:type="spellStart"/>
      <w:r w:rsidRPr="00537489">
        <w:rPr>
          <w:sz w:val="13"/>
          <w:lang w:val="en-US"/>
        </w:rPr>
        <w:t>párrs</w:t>
      </w:r>
      <w:proofErr w:type="spellEnd"/>
      <w:r w:rsidRPr="00537489">
        <w:rPr>
          <w:sz w:val="13"/>
          <w:lang w:val="en-US"/>
        </w:rPr>
        <w:t>.</w:t>
      </w:r>
      <w:r w:rsidRPr="00537489">
        <w:rPr>
          <w:spacing w:val="8"/>
          <w:sz w:val="13"/>
          <w:lang w:val="en-US"/>
        </w:rPr>
        <w:t xml:space="preserve"> </w:t>
      </w:r>
      <w:r w:rsidRPr="00537489">
        <w:rPr>
          <w:sz w:val="13"/>
          <w:lang w:val="en-US"/>
        </w:rPr>
        <w:t>47–48</w:t>
      </w:r>
      <w:r>
        <w:rPr>
          <w:sz w:val="13"/>
        </w:rPr>
        <w:t>;</w:t>
      </w:r>
      <w:r w:rsidRPr="00537489">
        <w:rPr>
          <w:spacing w:val="8"/>
          <w:sz w:val="13"/>
          <w:lang w:val="en-US"/>
        </w:rPr>
        <w:t xml:space="preserve"> </w:t>
      </w:r>
      <w:r w:rsidRPr="00537489">
        <w:rPr>
          <w:sz w:val="13"/>
          <w:lang w:val="en-US"/>
        </w:rPr>
        <w:t>CRPD/C/AUT/CO/1,</w:t>
      </w:r>
      <w:r w:rsidRPr="00537489">
        <w:rPr>
          <w:spacing w:val="7"/>
          <w:sz w:val="13"/>
          <w:lang w:val="en-US"/>
        </w:rPr>
        <w:t xml:space="preserve"> </w:t>
      </w:r>
      <w:proofErr w:type="spellStart"/>
      <w:r w:rsidRPr="00537489">
        <w:rPr>
          <w:sz w:val="13"/>
          <w:lang w:val="en-US"/>
        </w:rPr>
        <w:t>párr</w:t>
      </w:r>
      <w:proofErr w:type="spellEnd"/>
      <w:r w:rsidRPr="00537489">
        <w:rPr>
          <w:sz w:val="13"/>
          <w:lang w:val="en-US"/>
        </w:rPr>
        <w:t>.</w:t>
      </w:r>
      <w:r w:rsidRPr="00537489">
        <w:rPr>
          <w:spacing w:val="8"/>
          <w:sz w:val="13"/>
          <w:lang w:val="en-US"/>
        </w:rPr>
        <w:t xml:space="preserve"> </w:t>
      </w:r>
      <w:r>
        <w:rPr>
          <w:sz w:val="13"/>
        </w:rPr>
        <w:t>44;</w:t>
      </w:r>
      <w:r>
        <w:rPr>
          <w:spacing w:val="8"/>
          <w:sz w:val="13"/>
        </w:rPr>
        <w:t xml:space="preserve"> </w:t>
      </w:r>
      <w:r>
        <w:rPr>
          <w:sz w:val="13"/>
        </w:rPr>
        <w:t>y</w:t>
      </w:r>
      <w:r>
        <w:rPr>
          <w:spacing w:val="6"/>
          <w:sz w:val="13"/>
        </w:rPr>
        <w:t xml:space="preserve"> </w:t>
      </w:r>
      <w:r>
        <w:rPr>
          <w:sz w:val="13"/>
        </w:rPr>
        <w:t>CRPD/C/BOL/CO/1,</w:t>
      </w:r>
      <w:r>
        <w:rPr>
          <w:spacing w:val="7"/>
          <w:sz w:val="13"/>
        </w:rPr>
        <w:t xml:space="preserve"> </w:t>
      </w:r>
      <w:proofErr w:type="spellStart"/>
      <w:r>
        <w:rPr>
          <w:sz w:val="13"/>
        </w:rPr>
        <w:t>párrs</w:t>
      </w:r>
      <w:proofErr w:type="spellEnd"/>
      <w:r>
        <w:rPr>
          <w:sz w:val="13"/>
        </w:rPr>
        <w:t>.</w:t>
      </w:r>
      <w:r>
        <w:rPr>
          <w:spacing w:val="8"/>
          <w:sz w:val="13"/>
        </w:rPr>
        <w:t xml:space="preserve"> </w:t>
      </w:r>
      <w:r>
        <w:rPr>
          <w:sz w:val="13"/>
        </w:rPr>
        <w:t>61–62.</w:t>
      </w:r>
      <w:r>
        <w:rPr>
          <w:spacing w:val="8"/>
          <w:sz w:val="13"/>
        </w:rPr>
        <w:t xml:space="preserve"> </w:t>
      </w:r>
      <w:r>
        <w:rPr>
          <w:sz w:val="13"/>
        </w:rPr>
        <w:t>En</w:t>
      </w:r>
      <w:r>
        <w:rPr>
          <w:spacing w:val="7"/>
          <w:sz w:val="13"/>
        </w:rPr>
        <w:t xml:space="preserve"> </w:t>
      </w:r>
      <w:r>
        <w:rPr>
          <w:sz w:val="13"/>
        </w:rPr>
        <w:t>su</w:t>
      </w:r>
      <w:r>
        <w:rPr>
          <w:spacing w:val="6"/>
          <w:sz w:val="13"/>
        </w:rPr>
        <w:t xml:space="preserve"> </w:t>
      </w:r>
      <w:r>
        <w:rPr>
          <w:sz w:val="13"/>
        </w:rPr>
        <w:t>observación</w:t>
      </w:r>
      <w:r>
        <w:rPr>
          <w:spacing w:val="8"/>
          <w:sz w:val="13"/>
        </w:rPr>
        <w:t xml:space="preserve"> </w:t>
      </w:r>
      <w:r>
        <w:rPr>
          <w:sz w:val="13"/>
        </w:rPr>
        <w:t>general</w:t>
      </w:r>
      <w:r>
        <w:rPr>
          <w:spacing w:val="7"/>
          <w:sz w:val="13"/>
        </w:rPr>
        <w:t xml:space="preserve"> </w:t>
      </w:r>
      <w:r>
        <w:rPr>
          <w:sz w:val="13"/>
        </w:rPr>
        <w:t>núm.</w:t>
      </w:r>
      <w:r>
        <w:rPr>
          <w:spacing w:val="8"/>
          <w:sz w:val="13"/>
        </w:rPr>
        <w:t xml:space="preserve"> </w:t>
      </w:r>
      <w:r>
        <w:rPr>
          <w:sz w:val="13"/>
        </w:rPr>
        <w:t>6</w:t>
      </w:r>
      <w:r>
        <w:rPr>
          <w:spacing w:val="7"/>
          <w:sz w:val="13"/>
        </w:rPr>
        <w:t xml:space="preserve"> </w:t>
      </w:r>
      <w:r>
        <w:rPr>
          <w:spacing w:val="-2"/>
          <w:sz w:val="13"/>
        </w:rPr>
        <w:t>(2018),</w:t>
      </w:r>
    </w:p>
    <w:p w14:paraId="03B5C20B" w14:textId="77777777" w:rsidR="0014798C" w:rsidRDefault="004E1F0B">
      <w:pPr>
        <w:spacing w:before="30" w:line="288" w:lineRule="auto"/>
        <w:ind w:left="1369" w:right="1272" w:firstLine="5"/>
        <w:rPr>
          <w:sz w:val="13"/>
        </w:rPr>
      </w:pPr>
      <w:r>
        <w:rPr>
          <w:w w:val="105"/>
          <w:sz w:val="13"/>
        </w:rPr>
        <w:t>el Comité instó a los Estados a: “Facilitar la transición de los entornos laborales segregados para las personas con discapacidad y apoyar su</w:t>
      </w:r>
      <w:r>
        <w:rPr>
          <w:spacing w:val="40"/>
          <w:w w:val="105"/>
          <w:sz w:val="13"/>
        </w:rPr>
        <w:t xml:space="preserve"> </w:t>
      </w:r>
      <w:r>
        <w:rPr>
          <w:w w:val="105"/>
          <w:sz w:val="13"/>
        </w:rPr>
        <w:t>participación en el mercado laboral abierto, y mientras tanto también garantizar la aplicabilidad inmediata de derechos laborales en esos entornos”.</w:t>
      </w:r>
    </w:p>
    <w:p w14:paraId="6EE1C622" w14:textId="77777777" w:rsidR="0014798C" w:rsidRDefault="004E1F0B">
      <w:pPr>
        <w:spacing w:before="1" w:line="288" w:lineRule="auto"/>
        <w:ind w:left="1368" w:right="1642" w:firstLine="1"/>
        <w:rPr>
          <w:sz w:val="13"/>
        </w:rPr>
      </w:pPr>
      <w:r>
        <w:rPr>
          <w:w w:val="105"/>
          <w:sz w:val="13"/>
        </w:rPr>
        <w:t>Véase Comité sobre los Derechos de las Personas con Discapacidad, observación general núm. 6 (2018), párr. 67(a). Véase también Comité</w:t>
      </w:r>
      <w:r>
        <w:rPr>
          <w:spacing w:val="40"/>
          <w:w w:val="105"/>
          <w:sz w:val="13"/>
        </w:rPr>
        <w:t xml:space="preserve"> </w:t>
      </w:r>
      <w:r>
        <w:rPr>
          <w:w w:val="105"/>
          <w:sz w:val="13"/>
        </w:rPr>
        <w:t>de Derechos Económicos, Sociales y Culturales, observación general núm. 18 (2006), párr. 17.</w:t>
      </w:r>
    </w:p>
    <w:p w14:paraId="667AF1A6" w14:textId="77777777" w:rsidR="0014798C" w:rsidRDefault="004E1F0B">
      <w:pPr>
        <w:spacing w:before="57"/>
        <w:ind w:left="1107"/>
        <w:rPr>
          <w:sz w:val="13"/>
        </w:rPr>
      </w:pPr>
      <w:r>
        <w:rPr>
          <w:w w:val="105"/>
          <w:sz w:val="13"/>
          <w:vertAlign w:val="superscript"/>
        </w:rPr>
        <w:t>335</w:t>
      </w:r>
      <w:r>
        <w:rPr>
          <w:spacing w:val="75"/>
          <w:w w:val="105"/>
          <w:sz w:val="13"/>
        </w:rPr>
        <w:t xml:space="preserve"> </w:t>
      </w:r>
      <w:r>
        <w:rPr>
          <w:w w:val="105"/>
          <w:sz w:val="13"/>
        </w:rPr>
        <w:t>A/71/314,</w:t>
      </w:r>
      <w:r>
        <w:rPr>
          <w:spacing w:val="-1"/>
          <w:w w:val="105"/>
          <w:sz w:val="13"/>
        </w:rPr>
        <w:t xml:space="preserve"> </w:t>
      </w:r>
      <w:r>
        <w:rPr>
          <w:w w:val="105"/>
          <w:sz w:val="13"/>
        </w:rPr>
        <w:t>párr.</w:t>
      </w:r>
      <w:r>
        <w:rPr>
          <w:spacing w:val="-1"/>
          <w:w w:val="105"/>
          <w:sz w:val="13"/>
        </w:rPr>
        <w:t xml:space="preserve"> </w:t>
      </w:r>
      <w:r>
        <w:rPr>
          <w:spacing w:val="-5"/>
          <w:w w:val="105"/>
          <w:sz w:val="13"/>
        </w:rPr>
        <w:t>6.</w:t>
      </w:r>
    </w:p>
    <w:p w14:paraId="15954B58" w14:textId="77777777" w:rsidR="0014798C" w:rsidRDefault="004E1F0B">
      <w:pPr>
        <w:spacing w:before="115"/>
        <w:ind w:left="1107"/>
        <w:rPr>
          <w:sz w:val="13"/>
        </w:rPr>
      </w:pPr>
      <w:r>
        <w:rPr>
          <w:spacing w:val="-2"/>
          <w:sz w:val="13"/>
        </w:rPr>
        <w:t>336</w:t>
      </w:r>
      <w:r>
        <w:rPr>
          <w:spacing w:val="2"/>
          <w:sz w:val="13"/>
        </w:rPr>
        <w:t xml:space="preserve"> </w:t>
      </w:r>
      <w:r>
        <w:rPr>
          <w:spacing w:val="-2"/>
          <w:sz w:val="13"/>
        </w:rPr>
        <w:t>CRPD/C/HUN/IR/1</w:t>
      </w:r>
      <w:r>
        <w:rPr>
          <w:spacing w:val="3"/>
          <w:sz w:val="13"/>
        </w:rPr>
        <w:t xml:space="preserve"> </w:t>
      </w:r>
      <w:r>
        <w:rPr>
          <w:spacing w:val="-2"/>
          <w:sz w:val="13"/>
        </w:rPr>
        <w:t>y</w:t>
      </w:r>
      <w:r>
        <w:rPr>
          <w:spacing w:val="3"/>
          <w:sz w:val="13"/>
        </w:rPr>
        <w:t xml:space="preserve"> </w:t>
      </w:r>
      <w:r>
        <w:rPr>
          <w:spacing w:val="-2"/>
          <w:sz w:val="13"/>
        </w:rPr>
        <w:t>Corr.1,</w:t>
      </w:r>
      <w:r>
        <w:rPr>
          <w:spacing w:val="3"/>
          <w:sz w:val="13"/>
        </w:rPr>
        <w:t xml:space="preserve"> </w:t>
      </w:r>
      <w:r>
        <w:rPr>
          <w:spacing w:val="-2"/>
          <w:sz w:val="13"/>
        </w:rPr>
        <w:t>párr.</w:t>
      </w:r>
      <w:r>
        <w:rPr>
          <w:spacing w:val="3"/>
          <w:sz w:val="13"/>
        </w:rPr>
        <w:t xml:space="preserve"> </w:t>
      </w:r>
      <w:r>
        <w:rPr>
          <w:spacing w:val="-4"/>
          <w:sz w:val="13"/>
        </w:rPr>
        <w:t>107.</w:t>
      </w:r>
    </w:p>
    <w:p w14:paraId="1B7820E0" w14:textId="77777777" w:rsidR="0014798C" w:rsidRDefault="0014798C">
      <w:pPr>
        <w:pStyle w:val="Textoindependiente"/>
        <w:rPr>
          <w:sz w:val="19"/>
        </w:rPr>
      </w:pPr>
    </w:p>
    <w:p w14:paraId="6A91E3CD" w14:textId="77777777" w:rsidR="0014798C" w:rsidRDefault="0014798C">
      <w:pPr>
        <w:pStyle w:val="Textoindependiente"/>
        <w:spacing w:before="169"/>
        <w:rPr>
          <w:sz w:val="19"/>
        </w:rPr>
      </w:pPr>
    </w:p>
    <w:p w14:paraId="79DD12AD" w14:textId="77777777" w:rsidR="0014798C" w:rsidRDefault="004E1F0B">
      <w:pPr>
        <w:ind w:left="538"/>
        <w:rPr>
          <w:sz w:val="19"/>
        </w:rPr>
      </w:pPr>
      <w:r>
        <w:rPr>
          <w:spacing w:val="-5"/>
          <w:w w:val="105"/>
          <w:sz w:val="19"/>
        </w:rPr>
        <w:t>44</w:t>
      </w:r>
    </w:p>
    <w:p w14:paraId="31226392" w14:textId="77777777" w:rsidR="0014798C" w:rsidRDefault="0014798C">
      <w:pPr>
        <w:rPr>
          <w:sz w:val="19"/>
        </w:rPr>
        <w:sectPr w:rsidR="0014798C" w:rsidSect="00F265E4">
          <w:pgSz w:w="11900" w:h="16820"/>
          <w:pgMar w:top="340" w:right="0" w:bottom="280" w:left="200" w:header="121" w:footer="0" w:gutter="0"/>
          <w:cols w:space="720"/>
        </w:sectPr>
      </w:pPr>
    </w:p>
    <w:p w14:paraId="0F52A119" w14:textId="77777777" w:rsidR="0014798C" w:rsidRDefault="0014798C">
      <w:pPr>
        <w:pStyle w:val="Textoindependiente"/>
        <w:spacing w:before="51"/>
        <w:rPr>
          <w:sz w:val="14"/>
        </w:rPr>
      </w:pPr>
    </w:p>
    <w:p w14:paraId="6FFAF360" w14:textId="77777777" w:rsidR="0014798C" w:rsidRDefault="004E1F0B">
      <w:pPr>
        <w:ind w:left="1111"/>
        <w:rPr>
          <w:sz w:val="14"/>
        </w:rPr>
      </w:pPr>
      <w:r>
        <w:rPr>
          <w:color w:val="00AC59"/>
          <w:sz w:val="14"/>
        </w:rPr>
        <w:t>SEGUNDA</w:t>
      </w:r>
      <w:r>
        <w:rPr>
          <w:color w:val="00AC59"/>
          <w:spacing w:val="-5"/>
          <w:sz w:val="14"/>
        </w:rPr>
        <w:t xml:space="preserve"> </w:t>
      </w:r>
      <w:r>
        <w:rPr>
          <w:color w:val="00AC59"/>
          <w:sz w:val="14"/>
        </w:rPr>
        <w:t>PARTE:</w:t>
      </w:r>
      <w:r>
        <w:rPr>
          <w:color w:val="00AC59"/>
          <w:spacing w:val="-5"/>
          <w:sz w:val="14"/>
        </w:rPr>
        <w:t xml:space="preserve"> </w:t>
      </w:r>
      <w:r>
        <w:rPr>
          <w:color w:val="00AC59"/>
          <w:sz w:val="14"/>
        </w:rPr>
        <w:t>CONTENIDO</w:t>
      </w:r>
      <w:r>
        <w:rPr>
          <w:color w:val="00AC59"/>
          <w:spacing w:val="-4"/>
          <w:sz w:val="14"/>
        </w:rPr>
        <w:t xml:space="preserve"> </w:t>
      </w:r>
      <w:r>
        <w:rPr>
          <w:color w:val="00AC59"/>
          <w:sz w:val="14"/>
        </w:rPr>
        <w:t>DE</w:t>
      </w:r>
      <w:r>
        <w:rPr>
          <w:color w:val="00AC59"/>
          <w:spacing w:val="-5"/>
          <w:sz w:val="14"/>
        </w:rPr>
        <w:t xml:space="preserve"> </w:t>
      </w:r>
      <w:r>
        <w:rPr>
          <w:color w:val="00AC59"/>
          <w:sz w:val="14"/>
        </w:rPr>
        <w:t>LA</w:t>
      </w:r>
      <w:r>
        <w:rPr>
          <w:color w:val="00AC59"/>
          <w:spacing w:val="-4"/>
          <w:sz w:val="14"/>
        </w:rPr>
        <w:t xml:space="preserve"> </w:t>
      </w:r>
      <w:r>
        <w:rPr>
          <w:color w:val="00AC59"/>
          <w:sz w:val="14"/>
        </w:rPr>
        <w:t>LEY</w:t>
      </w:r>
      <w:r>
        <w:rPr>
          <w:color w:val="00AC59"/>
          <w:spacing w:val="-4"/>
          <w:sz w:val="14"/>
        </w:rPr>
        <w:t xml:space="preserve"> </w:t>
      </w:r>
      <w:r>
        <w:rPr>
          <w:color w:val="00AC59"/>
          <w:sz w:val="14"/>
        </w:rPr>
        <w:t>INTEGRAL</w:t>
      </w:r>
      <w:r>
        <w:rPr>
          <w:color w:val="00AC59"/>
          <w:spacing w:val="-5"/>
          <w:sz w:val="14"/>
        </w:rPr>
        <w:t xml:space="preserve"> </w:t>
      </w:r>
      <w:r>
        <w:rPr>
          <w:color w:val="00AC59"/>
          <w:spacing w:val="-2"/>
          <w:sz w:val="14"/>
        </w:rPr>
        <w:t>ANTIDISCRIMINACIÓN</w:t>
      </w:r>
    </w:p>
    <w:p w14:paraId="0957AC07" w14:textId="77777777" w:rsidR="0014798C" w:rsidRDefault="0014798C">
      <w:pPr>
        <w:pStyle w:val="Textoindependiente"/>
      </w:pPr>
    </w:p>
    <w:p w14:paraId="036F4FA7" w14:textId="77777777" w:rsidR="0014798C" w:rsidRDefault="0014798C">
      <w:pPr>
        <w:pStyle w:val="Textoindependiente"/>
      </w:pPr>
    </w:p>
    <w:p w14:paraId="604F7B9A" w14:textId="77777777" w:rsidR="0014798C" w:rsidRDefault="0014798C">
      <w:pPr>
        <w:pStyle w:val="Textoindependiente"/>
      </w:pPr>
    </w:p>
    <w:p w14:paraId="6445BD27" w14:textId="77777777" w:rsidR="0014798C" w:rsidRDefault="0014798C">
      <w:pPr>
        <w:pStyle w:val="Textoindependiente"/>
      </w:pPr>
    </w:p>
    <w:p w14:paraId="627664D2" w14:textId="77777777" w:rsidR="0014798C" w:rsidRDefault="0014798C">
      <w:pPr>
        <w:pStyle w:val="Textoindependiente"/>
        <w:spacing w:before="61"/>
      </w:pPr>
    </w:p>
    <w:p w14:paraId="7306BC74" w14:textId="77777777" w:rsidR="0014798C" w:rsidRDefault="004E1F0B">
      <w:pPr>
        <w:pStyle w:val="Textoindependiente"/>
        <w:spacing w:line="326" w:lineRule="auto"/>
        <w:ind w:left="1107" w:right="1443" w:hanging="1"/>
      </w:pPr>
      <w:r>
        <w:rPr>
          <w:noProof/>
        </w:rPr>
        <w:drawing>
          <wp:anchor distT="0" distB="0" distL="0" distR="0" simplePos="0" relativeHeight="251658393" behindDoc="1" locked="0" layoutInCell="1" allowOverlap="1" wp14:anchorId="6FE909A3" wp14:editId="5A23A0F5">
            <wp:simplePos x="0" y="0"/>
            <wp:positionH relativeFrom="page">
              <wp:posOffset>804169</wp:posOffset>
            </wp:positionH>
            <wp:positionV relativeFrom="paragraph">
              <wp:posOffset>1065235</wp:posOffset>
            </wp:positionV>
            <wp:extent cx="6752330" cy="5863825"/>
            <wp:effectExtent l="0" t="0" r="0" b="0"/>
            <wp:wrapNone/>
            <wp:docPr id="132" name="Image 13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32" name="Image 132"/>
                    <pic:cNvPicPr/>
                  </pic:nvPicPr>
                  <pic:blipFill>
                    <a:blip r:embed="rId126" cstate="print"/>
                    <a:stretch>
                      <a:fillRect/>
                    </a:stretch>
                  </pic:blipFill>
                  <pic:spPr>
                    <a:xfrm>
                      <a:off x="0" y="0"/>
                      <a:ext cx="6752330" cy="5863825"/>
                    </a:xfrm>
                    <a:prstGeom prst="rect">
                      <a:avLst/>
                    </a:prstGeom>
                  </pic:spPr>
                </pic:pic>
              </a:graphicData>
            </a:graphic>
          </wp:anchor>
        </w:drawing>
      </w:r>
      <w:r>
        <w:t xml:space="preserve">A nivel regional, la Comisión Europea contra el Racismo y la Intolerancia ha definido la “segregación” como: “el acto por el cual una persona (física o jurídica) separa a otras personas sobre la base de uno de los motivos enumerados sin un objetivo </w:t>
      </w:r>
      <w:proofErr w:type="spellStart"/>
      <w:r>
        <w:t>objetivo</w:t>
      </w:r>
      <w:proofErr w:type="spellEnd"/>
      <w:r>
        <w:rPr>
          <w:spacing w:val="80"/>
        </w:rPr>
        <w:t xml:space="preserve"> </w:t>
      </w:r>
      <w:r>
        <w:t xml:space="preserve">y razonable. justificación”.337 En el caso Mental </w:t>
      </w:r>
      <w:proofErr w:type="spellStart"/>
      <w:r>
        <w:t>Disability</w:t>
      </w:r>
      <w:proofErr w:type="spellEnd"/>
      <w:r>
        <w:t xml:space="preserve"> </w:t>
      </w:r>
      <w:proofErr w:type="spellStart"/>
      <w:r>
        <w:t>Advocacy</w:t>
      </w:r>
      <w:proofErr w:type="spellEnd"/>
      <w:r>
        <w:t xml:space="preserve"> Center (MDAC) c. Bélgica, el Comité Europeo de Derechos Sociales sostuvo que el artículo 15 (1) de la Carta Social Europea revisada exige “un recurso efectivo” para aquellos que se considera que han sido “ilegalmente excluidos”. o segregados” en la educación.338 La segregación también es un acto explícitamente prohibido en diversos instrumentos del Sistema Interamericano. Por ejemplo, el artículo 7 de la Convención Interamericana sobre la Protección de los Derechos Humanos de las Personas Mayores exige que los Estados garanticen que “las personas mayores tengan progresivamente acceso a una variedad de servicios de apoyo en el hogar, residenciales y otros servicios comunitarios, incluida la asistencia personal”. necesario para apoyar la vida y la inclusión en la comunidad y evitar su aislamiento o segregación de la comunidad”.</w:t>
      </w:r>
    </w:p>
    <w:p w14:paraId="6478AB1E" w14:textId="77777777" w:rsidR="0014798C" w:rsidRDefault="004E1F0B">
      <w:pPr>
        <w:pStyle w:val="Textoindependiente"/>
        <w:spacing w:line="326" w:lineRule="auto"/>
        <w:ind w:left="1108" w:right="1335" w:firstLine="2"/>
      </w:pPr>
      <w:r>
        <w:rPr>
          <w:noProof/>
        </w:rPr>
        <mc:AlternateContent>
          <mc:Choice Requires="wps">
            <w:drawing>
              <wp:anchor distT="0" distB="0" distL="0" distR="0" simplePos="0" relativeHeight="251658263" behindDoc="0" locked="0" layoutInCell="1" allowOverlap="1" wp14:anchorId="23E2C2D4" wp14:editId="4D59011A">
                <wp:simplePos x="0" y="0"/>
                <wp:positionH relativeFrom="page">
                  <wp:posOffset>7313138</wp:posOffset>
                </wp:positionH>
                <wp:positionV relativeFrom="paragraph">
                  <wp:posOffset>91671</wp:posOffset>
                </wp:positionV>
                <wp:extent cx="83820" cy="281940"/>
                <wp:effectExtent l="0" t="0" r="0" b="0"/>
                <wp:wrapNone/>
                <wp:docPr id="133" name="Textbox 13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83820" cy="281940"/>
                        </a:xfrm>
                        <a:prstGeom prst="rect">
                          <a:avLst/>
                        </a:prstGeom>
                      </wps:spPr>
                      <wps:txbx>
                        <w:txbxContent>
                          <w:p w14:paraId="5EDB365B" w14:textId="77777777" w:rsidR="0014798C" w:rsidRDefault="004E1F0B">
                            <w:pPr>
                              <w:spacing w:before="19"/>
                              <w:ind w:left="20"/>
                              <w:rPr>
                                <w:sz w:val="8"/>
                              </w:rPr>
                            </w:pPr>
                            <w:r>
                              <w:rPr>
                                <w:color w:val="FFFFFF"/>
                                <w:spacing w:val="-24"/>
                                <w:sz w:val="8"/>
                              </w:rPr>
                              <w:t>I–P</w:t>
                            </w:r>
                            <w:r>
                              <w:rPr>
                                <w:spacing w:val="-24"/>
                                <w:sz w:val="8"/>
                              </w:rPr>
                              <w:t>S</w:t>
                            </w:r>
                            <w:r>
                              <w:rPr>
                                <w:color w:val="FFFFFF"/>
                                <w:spacing w:val="-24"/>
                                <w:sz w:val="8"/>
                              </w:rPr>
                              <w:t>A</w:t>
                            </w:r>
                            <w:r>
                              <w:rPr>
                                <w:spacing w:val="-24"/>
                                <w:sz w:val="8"/>
                              </w:rPr>
                              <w:t>E</w:t>
                            </w:r>
                            <w:r>
                              <w:rPr>
                                <w:color w:val="FFFFFF"/>
                                <w:spacing w:val="-24"/>
                                <w:sz w:val="8"/>
                              </w:rPr>
                              <w:t>R</w:t>
                            </w:r>
                            <w:r>
                              <w:rPr>
                                <w:spacing w:val="-24"/>
                                <w:sz w:val="8"/>
                              </w:rPr>
                              <w:t>G</w:t>
                            </w:r>
                            <w:r>
                              <w:rPr>
                                <w:color w:val="FFFFFF"/>
                                <w:spacing w:val="-24"/>
                                <w:sz w:val="8"/>
                              </w:rPr>
                              <w:t>T</w:t>
                            </w:r>
                            <w:r>
                              <w:rPr>
                                <w:spacing w:val="-24"/>
                                <w:sz w:val="8"/>
                              </w:rPr>
                              <w:t>U</w:t>
                            </w:r>
                            <w:r>
                              <w:rPr>
                                <w:color w:val="FFFFFF"/>
                                <w:spacing w:val="-24"/>
                                <w:sz w:val="8"/>
                              </w:rPr>
                              <w:t>E</w:t>
                            </w:r>
                            <w:r>
                              <w:rPr>
                                <w:spacing w:val="-24"/>
                                <w:sz w:val="8"/>
                              </w:rPr>
                              <w:t>NDA</w:t>
                            </w:r>
                          </w:p>
                        </w:txbxContent>
                      </wps:txbx>
                      <wps:bodyPr vert="vert270" wrap="square" lIns="0" tIns="0" rIns="0" bIns="0" rtlCol="0">
                        <a:noAutofit/>
                      </wps:bodyPr>
                    </wps:wsp>
                  </a:graphicData>
                </a:graphic>
              </wp:anchor>
            </w:drawing>
          </mc:Choice>
          <mc:Fallback>
            <w:pict>
              <v:shape w14:anchorId="23E2C2D4" id="Textbox 133" o:spid="_x0000_s1080" type="#_x0000_t202" style="position:absolute;left:0;text-align:left;margin-left:575.85pt;margin-top:7.2pt;width:6.6pt;height:22.2pt;z-index:251658263;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" filled="f" stroked="f">
                <v:textbox style="layout-flow:vertical;mso-layout-flow-alt:bottom-to-top" inset="0,0,0,0">
                  <w:txbxContent>
                    <w:p w14:paraId="5EDB365B" w14:textId="77777777" w:rsidR="0014798C" w:rsidRDefault="004E1F0B">
                      <w:pPr>
                        <w:spacing w:before="19"/>
                        <w:ind w:left="20"/>
                        <w:rPr>
                          <w:sz w:val="8"/>
                        </w:rPr>
                      </w:pPr>
                      <w:r>
                        <w:rPr>
                          <w:color w:val="FFFFFF"/>
                          <w:spacing w:val="-24"/>
                          <w:sz w:val="8"/>
                        </w:rPr>
                        <w:t>I–P</w:t>
                      </w:r>
                      <w:r>
                        <w:rPr>
                          <w:spacing w:val="-24"/>
                          <w:sz w:val="8"/>
                        </w:rPr>
                        <w:t>S</w:t>
                      </w:r>
                      <w:r>
                        <w:rPr>
                          <w:color w:val="FFFFFF"/>
                          <w:spacing w:val="-24"/>
                          <w:sz w:val="8"/>
                        </w:rPr>
                        <w:t>A</w:t>
                      </w:r>
                      <w:r>
                        <w:rPr>
                          <w:spacing w:val="-24"/>
                          <w:sz w:val="8"/>
                        </w:rPr>
                        <w:t>E</w:t>
                      </w:r>
                      <w:r>
                        <w:rPr>
                          <w:color w:val="FFFFFF"/>
                          <w:spacing w:val="-24"/>
                          <w:sz w:val="8"/>
                        </w:rPr>
                        <w:t>R</w:t>
                      </w:r>
                      <w:r>
                        <w:rPr>
                          <w:spacing w:val="-24"/>
                          <w:sz w:val="8"/>
                        </w:rPr>
                        <w:t>G</w:t>
                      </w:r>
                      <w:r>
                        <w:rPr>
                          <w:color w:val="FFFFFF"/>
                          <w:spacing w:val="-24"/>
                          <w:sz w:val="8"/>
                        </w:rPr>
                        <w:t>T</w:t>
                      </w:r>
                      <w:r>
                        <w:rPr>
                          <w:spacing w:val="-24"/>
                          <w:sz w:val="8"/>
                        </w:rPr>
                        <w:t>U</w:t>
                      </w:r>
                      <w:r>
                        <w:rPr>
                          <w:color w:val="FFFFFF"/>
                          <w:spacing w:val="-24"/>
                          <w:sz w:val="8"/>
                        </w:rPr>
                        <w:t>E</w:t>
                      </w:r>
                      <w:r>
                        <w:rPr>
                          <w:spacing w:val="-24"/>
                          <w:sz w:val="8"/>
                        </w:rPr>
                        <w:t>NDA</w:t>
                      </w:r>
                    </w:p>
                  </w:txbxContent>
                </v:textbox>
                <w10:wrap anchorx="page"/>
              </v:shape>
            </w:pict>
          </mc:Fallback>
        </mc:AlternateContent>
      </w:r>
      <w:r>
        <w:t>Los considerandos de la Convención Interamericana contra el Racismo, la Discriminación Racial y Formas Conexas de Intolerancia y de la Convención Interamericana contra Todas las Formas de Discriminación e Intolerancia establecen que “la experiencia individual y colectiva de discriminación e intolerancia debe ser tomada en cuenta para combatir segregación y marginación” basada en diversos motivos protegidos. La Comisión Interamericana de Derechos Humanos también ha expresado preocupación por la segregación de personas transgénero en prisiones y centros de detención de inmigrantes, así como por motivos de discapacidad.339 La Comisión Africana de Derechos Humanos y de los Pueblos ha pedido que se ponga fin a la discriminación de género. segregación basada en el contexto de la escolarización y la formación profesional.340</w:t>
      </w:r>
    </w:p>
    <w:p w14:paraId="04499D35" w14:textId="77777777" w:rsidR="0014798C" w:rsidRDefault="0014798C">
      <w:pPr>
        <w:pStyle w:val="Textoindependiente"/>
      </w:pPr>
    </w:p>
    <w:p w14:paraId="17209EAC" w14:textId="77777777" w:rsidR="0014798C" w:rsidRDefault="0014798C">
      <w:pPr>
        <w:pStyle w:val="Textoindependiente"/>
      </w:pPr>
    </w:p>
    <w:p w14:paraId="5973EA99" w14:textId="77777777" w:rsidR="0014798C" w:rsidRDefault="0014798C">
      <w:pPr>
        <w:pStyle w:val="Textoindependiente"/>
        <w:spacing w:before="158"/>
      </w:pPr>
    </w:p>
    <w:p w14:paraId="4EFBDFAD" w14:textId="77777777" w:rsidR="0014798C" w:rsidRDefault="004E1F0B">
      <w:pPr>
        <w:pStyle w:val="Textoindependiente"/>
        <w:spacing w:before="1"/>
        <w:ind w:left="1342"/>
      </w:pPr>
      <w:r>
        <w:t>SEGREGACIÓN RACIAL</w:t>
      </w:r>
      <w:r>
        <w:rPr>
          <w:spacing w:val="1"/>
        </w:rPr>
        <w:t xml:space="preserve"> </w:t>
      </w:r>
      <w:r>
        <w:t>DE</w:t>
      </w:r>
      <w:r>
        <w:rPr>
          <w:spacing w:val="1"/>
        </w:rPr>
        <w:t xml:space="preserve"> </w:t>
      </w:r>
      <w:r>
        <w:t>LOS</w:t>
      </w:r>
      <w:r>
        <w:rPr>
          <w:spacing w:val="2"/>
        </w:rPr>
        <w:t xml:space="preserve"> </w:t>
      </w:r>
      <w:r>
        <w:rPr>
          <w:spacing w:val="-4"/>
        </w:rPr>
        <w:t>ROMA</w:t>
      </w:r>
    </w:p>
    <w:p w14:paraId="2FC0BF7F" w14:textId="77777777" w:rsidR="0014798C" w:rsidRDefault="0014798C">
      <w:pPr>
        <w:pStyle w:val="Textoindependiente"/>
        <w:spacing w:before="35"/>
      </w:pPr>
    </w:p>
    <w:p w14:paraId="107F4833" w14:textId="77777777" w:rsidR="0014798C" w:rsidRDefault="004E1F0B">
      <w:pPr>
        <w:pStyle w:val="Textoindependiente"/>
        <w:spacing w:line="326" w:lineRule="auto"/>
        <w:ind w:left="1334" w:right="1499" w:hanging="2"/>
      </w:pPr>
      <w:r>
        <w:t xml:space="preserve">La segregación racial de los romaníes, en particular en los campos de la educación, el empleo, la atención sanitaria, la vivienda y la planificación espacial, ha sido un foco particular de atención de los organismos europeos e internacionales de derechos humanos durante las últimas tres décadas. En su Recomendación general </w:t>
      </w:r>
      <w:proofErr w:type="spellStart"/>
      <w:r>
        <w:t>Nº</w:t>
      </w:r>
      <w:proofErr w:type="spellEnd"/>
      <w:r>
        <w:t xml:space="preserve"> 27 (2000), el Comité para la Eliminación</w:t>
      </w:r>
      <w:r>
        <w:rPr>
          <w:spacing w:val="8"/>
        </w:rPr>
        <w:t xml:space="preserve"> </w:t>
      </w:r>
      <w:r>
        <w:t>de</w:t>
      </w:r>
      <w:r>
        <w:rPr>
          <w:spacing w:val="8"/>
        </w:rPr>
        <w:t xml:space="preserve"> </w:t>
      </w:r>
      <w:r>
        <w:t>la</w:t>
      </w:r>
      <w:r>
        <w:rPr>
          <w:spacing w:val="8"/>
        </w:rPr>
        <w:t xml:space="preserve"> </w:t>
      </w:r>
      <w:r>
        <w:t>Discriminación</w:t>
      </w:r>
      <w:r>
        <w:rPr>
          <w:spacing w:val="8"/>
        </w:rPr>
        <w:t xml:space="preserve"> </w:t>
      </w:r>
      <w:r>
        <w:t>Racial</w:t>
      </w:r>
      <w:r>
        <w:rPr>
          <w:spacing w:val="8"/>
        </w:rPr>
        <w:t xml:space="preserve"> </w:t>
      </w:r>
      <w:r>
        <w:t>instó</w:t>
      </w:r>
      <w:r>
        <w:rPr>
          <w:spacing w:val="8"/>
        </w:rPr>
        <w:t xml:space="preserve"> </w:t>
      </w:r>
      <w:r>
        <w:t>a</w:t>
      </w:r>
      <w:r>
        <w:rPr>
          <w:spacing w:val="8"/>
        </w:rPr>
        <w:t xml:space="preserve"> </w:t>
      </w:r>
      <w:r>
        <w:t>poner</w:t>
      </w:r>
      <w:r>
        <w:rPr>
          <w:spacing w:val="8"/>
        </w:rPr>
        <w:t xml:space="preserve"> </w:t>
      </w:r>
      <w:r>
        <w:t>fin</w:t>
      </w:r>
      <w:r>
        <w:rPr>
          <w:spacing w:val="8"/>
        </w:rPr>
        <w:t xml:space="preserve"> </w:t>
      </w:r>
      <w:r>
        <w:t>a</w:t>
      </w:r>
      <w:r>
        <w:rPr>
          <w:spacing w:val="8"/>
        </w:rPr>
        <w:t xml:space="preserve"> </w:t>
      </w:r>
      <w:r>
        <w:t>la</w:t>
      </w:r>
      <w:r>
        <w:rPr>
          <w:spacing w:val="8"/>
        </w:rPr>
        <w:t xml:space="preserve"> </w:t>
      </w:r>
      <w:r>
        <w:t>segregación</w:t>
      </w:r>
      <w:r>
        <w:rPr>
          <w:spacing w:val="8"/>
        </w:rPr>
        <w:t xml:space="preserve"> </w:t>
      </w:r>
      <w:r>
        <w:t>de</w:t>
      </w:r>
      <w:r>
        <w:rPr>
          <w:spacing w:val="8"/>
        </w:rPr>
        <w:t xml:space="preserve"> </w:t>
      </w:r>
      <w:r>
        <w:t>los</w:t>
      </w:r>
      <w:r>
        <w:rPr>
          <w:spacing w:val="8"/>
        </w:rPr>
        <w:t xml:space="preserve"> </w:t>
      </w:r>
      <w:r>
        <w:t>romaníes,</w:t>
      </w:r>
      <w:r>
        <w:rPr>
          <w:spacing w:val="10"/>
        </w:rPr>
        <w:t xml:space="preserve"> </w:t>
      </w:r>
      <w:r>
        <w:t>en</w:t>
      </w:r>
      <w:r>
        <w:rPr>
          <w:spacing w:val="8"/>
        </w:rPr>
        <w:t xml:space="preserve"> </w:t>
      </w:r>
      <w:r>
        <w:t>particular</w:t>
      </w:r>
      <w:r>
        <w:rPr>
          <w:spacing w:val="8"/>
        </w:rPr>
        <w:t xml:space="preserve"> </w:t>
      </w:r>
      <w:r>
        <w:t>en</w:t>
      </w:r>
      <w:r>
        <w:rPr>
          <w:spacing w:val="8"/>
        </w:rPr>
        <w:t xml:space="preserve"> </w:t>
      </w:r>
      <w:r>
        <w:t>las</w:t>
      </w:r>
      <w:r>
        <w:rPr>
          <w:spacing w:val="8"/>
        </w:rPr>
        <w:t xml:space="preserve"> </w:t>
      </w:r>
      <w:r>
        <w:t>esferas</w:t>
      </w:r>
      <w:r>
        <w:rPr>
          <w:spacing w:val="8"/>
        </w:rPr>
        <w:t xml:space="preserve"> </w:t>
      </w:r>
      <w:r>
        <w:t>de la educación y la vivienda.</w:t>
      </w:r>
    </w:p>
    <w:p w14:paraId="7E0196ED" w14:textId="77777777" w:rsidR="0014798C" w:rsidRDefault="004E1F0B">
      <w:pPr>
        <w:pStyle w:val="Textoindependiente"/>
        <w:spacing w:before="113" w:line="326" w:lineRule="auto"/>
        <w:ind w:left="1329" w:right="1553" w:firstLine="2"/>
      </w:pPr>
      <w:r>
        <w:t xml:space="preserve">En el caso de LR et al. contra la República Eslovaca, las acciones del municipio de </w:t>
      </w:r>
      <w:proofErr w:type="spellStart"/>
      <w:r>
        <w:t>Dobšiná</w:t>
      </w:r>
      <w:proofErr w:type="spellEnd"/>
      <w:r>
        <w:t xml:space="preserve"> fueron impugnadas ante el Comité para la Eliminación de la Discriminación Racial. En concreto, el municipio había tomado la decisión de construir viviendas sociales para los romaníes locales que vivían en condiciones extremadamente deficientes en barrios marginales en las afueras de la ciudad. Después de una petición de aproximadamente 2.700 habitantes locales no romaníes contra el plan, el municipio revocó su decisión y decidió no construir viviendas sociales. El Comité dictaminó que Eslovaquia había violado múltiples disposiciones de la Convención Internacional sobre la Eliminación de todas las Formas de Discriminación Racial, incluidas las relativas a la discriminación en materia de vivienda y el derecho a un recurso efectivo.341 En el caso </w:t>
      </w:r>
      <w:proofErr w:type="spellStart"/>
      <w:r>
        <w:t>Koptova</w:t>
      </w:r>
      <w:proofErr w:type="spellEnd"/>
      <w:r>
        <w:t xml:space="preserve"> c. Eslovaquia, el Comité de la Eliminación de la Discriminación Racial dictaminó que prohibir la entrada de</w:t>
      </w:r>
    </w:p>
    <w:p w14:paraId="1E081077" w14:textId="77777777" w:rsidR="0014798C" w:rsidRDefault="004E1F0B">
      <w:pPr>
        <w:pStyle w:val="Textoindependiente"/>
        <w:spacing w:line="271" w:lineRule="auto"/>
        <w:ind w:left="1337" w:right="1463" w:hanging="1"/>
      </w:pPr>
      <w:r>
        <w:t>romaníes a varios municipios violaba las disposiciones de la Convención Internacional sobre la Eliminación de todas las Formas de Discriminación Racial.342</w:t>
      </w:r>
    </w:p>
    <w:p w14:paraId="366C5D34" w14:textId="77777777" w:rsidR="0014798C" w:rsidRDefault="0014798C">
      <w:pPr>
        <w:pStyle w:val="Textoindependiente"/>
        <w:spacing w:before="7"/>
      </w:pPr>
    </w:p>
    <w:p w14:paraId="764061AA" w14:textId="77777777" w:rsidR="0014798C" w:rsidRDefault="004E1F0B">
      <w:pPr>
        <w:pStyle w:val="Textoindependiente"/>
        <w:spacing w:line="326" w:lineRule="auto"/>
        <w:ind w:left="1332" w:right="1553"/>
      </w:pPr>
      <w:r>
        <w:t>La segregación de los romaníes en la educación ha sido objeto de numerosos litigios en los últimos años, con sentencias importantes en los tribunales nacionales, así como en el Tribunal Europeo de Derechos Humanos, en casos relacionados con Bulgaria, Chequia, Grecia, Hungría, Rumania y Eslovaquia. La primera sentencia histórica, dictada en 2007, DH y otros</w:t>
      </w:r>
    </w:p>
    <w:p w14:paraId="1EEFA56E" w14:textId="77777777" w:rsidR="0014798C" w:rsidRDefault="004E1F0B">
      <w:pPr>
        <w:pStyle w:val="Textoindependiente"/>
        <w:spacing w:before="1"/>
        <w:ind w:left="1334"/>
      </w:pPr>
      <w:r>
        <w:t>c.</w:t>
      </w:r>
      <w:r>
        <w:rPr>
          <w:spacing w:val="1"/>
        </w:rPr>
        <w:t xml:space="preserve"> </w:t>
      </w:r>
      <w:r>
        <w:t>la</w:t>
      </w:r>
      <w:r>
        <w:rPr>
          <w:spacing w:val="1"/>
        </w:rPr>
        <w:t xml:space="preserve"> </w:t>
      </w:r>
      <w:r>
        <w:t>República</w:t>
      </w:r>
      <w:r>
        <w:rPr>
          <w:spacing w:val="1"/>
        </w:rPr>
        <w:t xml:space="preserve"> </w:t>
      </w:r>
      <w:r>
        <w:t>Checa,</w:t>
      </w:r>
      <w:r>
        <w:rPr>
          <w:spacing w:val="1"/>
        </w:rPr>
        <w:t xml:space="preserve"> </w:t>
      </w:r>
      <w:r>
        <w:t>343</w:t>
      </w:r>
      <w:r>
        <w:rPr>
          <w:spacing w:val="1"/>
        </w:rPr>
        <w:t xml:space="preserve"> </w:t>
      </w:r>
      <w:r>
        <w:t>se</w:t>
      </w:r>
      <w:r>
        <w:rPr>
          <w:spacing w:val="1"/>
        </w:rPr>
        <w:t xml:space="preserve"> </w:t>
      </w:r>
      <w:r>
        <w:t>refería</w:t>
      </w:r>
      <w:r>
        <w:rPr>
          <w:spacing w:val="1"/>
        </w:rPr>
        <w:t xml:space="preserve"> </w:t>
      </w:r>
      <w:r>
        <w:t>a</w:t>
      </w:r>
      <w:r>
        <w:rPr>
          <w:spacing w:val="1"/>
        </w:rPr>
        <w:t xml:space="preserve"> </w:t>
      </w:r>
      <w:r>
        <w:t>una</w:t>
      </w:r>
      <w:r>
        <w:rPr>
          <w:spacing w:val="1"/>
        </w:rPr>
        <w:t xml:space="preserve"> </w:t>
      </w:r>
      <w:r>
        <w:t>política</w:t>
      </w:r>
      <w:r>
        <w:rPr>
          <w:spacing w:val="1"/>
        </w:rPr>
        <w:t xml:space="preserve"> </w:t>
      </w:r>
      <w:r>
        <w:t>estatal</w:t>
      </w:r>
      <w:r>
        <w:rPr>
          <w:spacing w:val="1"/>
        </w:rPr>
        <w:t xml:space="preserve"> </w:t>
      </w:r>
      <w:r>
        <w:t>de</w:t>
      </w:r>
      <w:r>
        <w:rPr>
          <w:spacing w:val="2"/>
        </w:rPr>
        <w:t xml:space="preserve"> </w:t>
      </w:r>
      <w:r>
        <w:t>segregar</w:t>
      </w:r>
      <w:r>
        <w:rPr>
          <w:spacing w:val="1"/>
        </w:rPr>
        <w:t xml:space="preserve"> </w:t>
      </w:r>
      <w:r>
        <w:t>a</w:t>
      </w:r>
      <w:r>
        <w:rPr>
          <w:spacing w:val="1"/>
        </w:rPr>
        <w:t xml:space="preserve"> </w:t>
      </w:r>
      <w:r>
        <w:t>los</w:t>
      </w:r>
      <w:r>
        <w:rPr>
          <w:spacing w:val="1"/>
        </w:rPr>
        <w:t xml:space="preserve"> </w:t>
      </w:r>
      <w:r>
        <w:t>niños</w:t>
      </w:r>
      <w:r>
        <w:rPr>
          <w:spacing w:val="1"/>
        </w:rPr>
        <w:t xml:space="preserve"> </w:t>
      </w:r>
      <w:r>
        <w:t>romaníes</w:t>
      </w:r>
      <w:r>
        <w:rPr>
          <w:spacing w:val="1"/>
        </w:rPr>
        <w:t xml:space="preserve"> </w:t>
      </w:r>
      <w:r>
        <w:rPr>
          <w:spacing w:val="-5"/>
        </w:rPr>
        <w:t>por</w:t>
      </w:r>
    </w:p>
    <w:p w14:paraId="6AAA2B60" w14:textId="77777777" w:rsidR="0014798C" w:rsidRDefault="0014798C">
      <w:pPr>
        <w:pStyle w:val="Textoindependiente"/>
        <w:rPr>
          <w:sz w:val="11"/>
        </w:rPr>
      </w:pPr>
    </w:p>
    <w:p w14:paraId="1D4EE77B" w14:textId="77777777" w:rsidR="0014798C" w:rsidRDefault="0014798C">
      <w:pPr>
        <w:pStyle w:val="Textoindependiente"/>
        <w:rPr>
          <w:sz w:val="11"/>
        </w:rPr>
      </w:pPr>
    </w:p>
    <w:p w14:paraId="771318D8" w14:textId="77777777" w:rsidR="0014798C" w:rsidRDefault="0014798C">
      <w:pPr>
        <w:pStyle w:val="Textoindependiente"/>
        <w:rPr>
          <w:sz w:val="11"/>
        </w:rPr>
      </w:pPr>
    </w:p>
    <w:p w14:paraId="32AD1B65" w14:textId="77777777" w:rsidR="0014798C" w:rsidRDefault="0014798C">
      <w:pPr>
        <w:pStyle w:val="Textoindependiente"/>
        <w:rPr>
          <w:sz w:val="11"/>
        </w:rPr>
      </w:pPr>
    </w:p>
    <w:p w14:paraId="3600AE29" w14:textId="77777777" w:rsidR="0014798C" w:rsidRDefault="0014798C">
      <w:pPr>
        <w:pStyle w:val="Textoindependiente"/>
        <w:rPr>
          <w:sz w:val="11"/>
        </w:rPr>
      </w:pPr>
    </w:p>
    <w:p w14:paraId="532624C6" w14:textId="77777777" w:rsidR="0014798C" w:rsidRDefault="0014798C">
      <w:pPr>
        <w:pStyle w:val="Textoindependiente"/>
        <w:spacing w:before="61"/>
        <w:rPr>
          <w:sz w:val="11"/>
        </w:rPr>
      </w:pPr>
    </w:p>
    <w:p w14:paraId="795D9D83" w14:textId="77777777" w:rsidR="0014798C" w:rsidRDefault="004E1F0B">
      <w:pPr>
        <w:ind w:left="1107"/>
        <w:rPr>
          <w:sz w:val="11"/>
        </w:rPr>
      </w:pPr>
      <w:r>
        <w:rPr>
          <w:w w:val="105"/>
          <w:sz w:val="11"/>
        </w:rPr>
        <w:t>337</w:t>
      </w:r>
      <w:r>
        <w:rPr>
          <w:spacing w:val="1"/>
          <w:w w:val="105"/>
          <w:sz w:val="11"/>
        </w:rPr>
        <w:t xml:space="preserve"> </w:t>
      </w:r>
      <w:r>
        <w:rPr>
          <w:w w:val="105"/>
          <w:sz w:val="11"/>
        </w:rPr>
        <w:t>Consejo</w:t>
      </w:r>
      <w:r>
        <w:rPr>
          <w:spacing w:val="1"/>
          <w:w w:val="105"/>
          <w:sz w:val="11"/>
        </w:rPr>
        <w:t xml:space="preserve"> </w:t>
      </w:r>
      <w:r>
        <w:rPr>
          <w:w w:val="105"/>
          <w:sz w:val="11"/>
        </w:rPr>
        <w:t>de</w:t>
      </w:r>
      <w:r>
        <w:rPr>
          <w:spacing w:val="2"/>
          <w:w w:val="105"/>
          <w:sz w:val="11"/>
        </w:rPr>
        <w:t xml:space="preserve"> </w:t>
      </w:r>
      <w:r>
        <w:rPr>
          <w:w w:val="105"/>
          <w:sz w:val="11"/>
        </w:rPr>
        <w:t>Europa,</w:t>
      </w:r>
      <w:r>
        <w:rPr>
          <w:spacing w:val="1"/>
          <w:w w:val="105"/>
          <w:sz w:val="11"/>
        </w:rPr>
        <w:t xml:space="preserve"> </w:t>
      </w:r>
      <w:r>
        <w:rPr>
          <w:w w:val="105"/>
          <w:sz w:val="11"/>
        </w:rPr>
        <w:t>Comisión</w:t>
      </w:r>
      <w:r>
        <w:rPr>
          <w:spacing w:val="1"/>
          <w:w w:val="105"/>
          <w:sz w:val="11"/>
        </w:rPr>
        <w:t xml:space="preserve"> </w:t>
      </w:r>
      <w:r>
        <w:rPr>
          <w:w w:val="105"/>
          <w:sz w:val="11"/>
        </w:rPr>
        <w:t>Europea</w:t>
      </w:r>
      <w:r>
        <w:rPr>
          <w:spacing w:val="1"/>
          <w:w w:val="105"/>
          <w:sz w:val="11"/>
        </w:rPr>
        <w:t xml:space="preserve"> </w:t>
      </w:r>
      <w:r>
        <w:rPr>
          <w:w w:val="105"/>
          <w:sz w:val="11"/>
        </w:rPr>
        <w:t>contra el</w:t>
      </w:r>
      <w:r>
        <w:rPr>
          <w:spacing w:val="1"/>
          <w:w w:val="105"/>
          <w:sz w:val="11"/>
        </w:rPr>
        <w:t xml:space="preserve"> </w:t>
      </w:r>
      <w:r>
        <w:rPr>
          <w:w w:val="105"/>
          <w:sz w:val="11"/>
        </w:rPr>
        <w:t>Racismo</w:t>
      </w:r>
      <w:r>
        <w:rPr>
          <w:spacing w:val="2"/>
          <w:w w:val="105"/>
          <w:sz w:val="11"/>
        </w:rPr>
        <w:t xml:space="preserve"> </w:t>
      </w:r>
      <w:r>
        <w:rPr>
          <w:w w:val="105"/>
          <w:sz w:val="11"/>
        </w:rPr>
        <w:t>y</w:t>
      </w:r>
      <w:r>
        <w:rPr>
          <w:spacing w:val="1"/>
          <w:w w:val="105"/>
          <w:sz w:val="11"/>
        </w:rPr>
        <w:t xml:space="preserve"> </w:t>
      </w:r>
      <w:r>
        <w:rPr>
          <w:w w:val="105"/>
          <w:sz w:val="11"/>
        </w:rPr>
        <w:t>la</w:t>
      </w:r>
      <w:r>
        <w:rPr>
          <w:spacing w:val="1"/>
          <w:w w:val="105"/>
          <w:sz w:val="11"/>
        </w:rPr>
        <w:t xml:space="preserve"> </w:t>
      </w:r>
      <w:r>
        <w:rPr>
          <w:w w:val="105"/>
          <w:sz w:val="11"/>
        </w:rPr>
        <w:t>Intolerancia,</w:t>
      </w:r>
      <w:r>
        <w:rPr>
          <w:spacing w:val="2"/>
          <w:w w:val="105"/>
          <w:sz w:val="11"/>
        </w:rPr>
        <w:t xml:space="preserve"> </w:t>
      </w:r>
      <w:r>
        <w:rPr>
          <w:w w:val="105"/>
          <w:sz w:val="11"/>
        </w:rPr>
        <w:t>recomendación</w:t>
      </w:r>
      <w:r>
        <w:rPr>
          <w:spacing w:val="1"/>
          <w:w w:val="105"/>
          <w:sz w:val="11"/>
        </w:rPr>
        <w:t xml:space="preserve"> </w:t>
      </w:r>
      <w:r>
        <w:rPr>
          <w:w w:val="105"/>
          <w:sz w:val="11"/>
        </w:rPr>
        <w:t>de</w:t>
      </w:r>
      <w:r>
        <w:rPr>
          <w:spacing w:val="1"/>
          <w:w w:val="105"/>
          <w:sz w:val="11"/>
        </w:rPr>
        <w:t xml:space="preserve"> </w:t>
      </w:r>
      <w:r>
        <w:rPr>
          <w:w w:val="105"/>
          <w:sz w:val="11"/>
        </w:rPr>
        <w:t>política</w:t>
      </w:r>
      <w:r>
        <w:rPr>
          <w:spacing w:val="1"/>
          <w:w w:val="105"/>
          <w:sz w:val="11"/>
        </w:rPr>
        <w:t xml:space="preserve"> </w:t>
      </w:r>
      <w:r>
        <w:rPr>
          <w:w w:val="105"/>
          <w:sz w:val="11"/>
        </w:rPr>
        <w:t>general</w:t>
      </w:r>
      <w:r>
        <w:rPr>
          <w:spacing w:val="1"/>
          <w:w w:val="105"/>
          <w:sz w:val="11"/>
        </w:rPr>
        <w:t xml:space="preserve"> </w:t>
      </w:r>
      <w:proofErr w:type="spellStart"/>
      <w:r>
        <w:rPr>
          <w:w w:val="105"/>
          <w:sz w:val="11"/>
        </w:rPr>
        <w:t>n.°</w:t>
      </w:r>
      <w:proofErr w:type="spellEnd"/>
      <w:r>
        <w:rPr>
          <w:w w:val="105"/>
          <w:sz w:val="11"/>
        </w:rPr>
        <w:t xml:space="preserve"> 7</w:t>
      </w:r>
      <w:r>
        <w:rPr>
          <w:spacing w:val="2"/>
          <w:w w:val="105"/>
          <w:sz w:val="11"/>
        </w:rPr>
        <w:t xml:space="preserve"> </w:t>
      </w:r>
      <w:r>
        <w:rPr>
          <w:w w:val="105"/>
          <w:sz w:val="11"/>
        </w:rPr>
        <w:t>sobre</w:t>
      </w:r>
      <w:r>
        <w:rPr>
          <w:spacing w:val="1"/>
          <w:w w:val="105"/>
          <w:sz w:val="11"/>
        </w:rPr>
        <w:t xml:space="preserve"> </w:t>
      </w:r>
      <w:r>
        <w:rPr>
          <w:w w:val="105"/>
          <w:sz w:val="11"/>
        </w:rPr>
        <w:t>legislación</w:t>
      </w:r>
      <w:r>
        <w:rPr>
          <w:spacing w:val="1"/>
          <w:w w:val="105"/>
          <w:sz w:val="11"/>
        </w:rPr>
        <w:t xml:space="preserve"> </w:t>
      </w:r>
      <w:r>
        <w:rPr>
          <w:w w:val="105"/>
          <w:sz w:val="11"/>
        </w:rPr>
        <w:t>nacional</w:t>
      </w:r>
      <w:r>
        <w:rPr>
          <w:spacing w:val="2"/>
          <w:w w:val="105"/>
          <w:sz w:val="11"/>
        </w:rPr>
        <w:t xml:space="preserve"> </w:t>
      </w:r>
      <w:r>
        <w:rPr>
          <w:spacing w:val="-4"/>
          <w:w w:val="105"/>
          <w:sz w:val="11"/>
        </w:rPr>
        <w:t>para</w:t>
      </w:r>
    </w:p>
    <w:p w14:paraId="1770A5C6" w14:textId="77777777" w:rsidR="0014798C" w:rsidRDefault="004E1F0B">
      <w:pPr>
        <w:spacing w:before="33"/>
        <w:ind w:left="1366"/>
        <w:rPr>
          <w:sz w:val="12"/>
        </w:rPr>
      </w:pPr>
      <w:r>
        <w:rPr>
          <w:w w:val="105"/>
          <w:sz w:val="12"/>
        </w:rPr>
        <w:t>combatir</w:t>
      </w:r>
      <w:r>
        <w:rPr>
          <w:spacing w:val="-6"/>
          <w:w w:val="105"/>
          <w:sz w:val="12"/>
        </w:rPr>
        <w:t xml:space="preserve"> </w:t>
      </w:r>
      <w:r>
        <w:rPr>
          <w:w w:val="105"/>
          <w:sz w:val="12"/>
        </w:rPr>
        <w:t>el</w:t>
      </w:r>
      <w:r>
        <w:rPr>
          <w:spacing w:val="-5"/>
          <w:w w:val="105"/>
          <w:sz w:val="12"/>
        </w:rPr>
        <w:t xml:space="preserve"> </w:t>
      </w:r>
      <w:r>
        <w:rPr>
          <w:w w:val="105"/>
          <w:sz w:val="12"/>
        </w:rPr>
        <w:t>racismo</w:t>
      </w:r>
      <w:r>
        <w:rPr>
          <w:spacing w:val="-5"/>
          <w:w w:val="105"/>
          <w:sz w:val="12"/>
        </w:rPr>
        <w:t xml:space="preserve"> </w:t>
      </w:r>
      <w:r>
        <w:rPr>
          <w:w w:val="105"/>
          <w:sz w:val="12"/>
        </w:rPr>
        <w:t>y</w:t>
      </w:r>
      <w:r>
        <w:rPr>
          <w:spacing w:val="-5"/>
          <w:w w:val="105"/>
          <w:sz w:val="12"/>
        </w:rPr>
        <w:t xml:space="preserve"> </w:t>
      </w:r>
      <w:r>
        <w:rPr>
          <w:w w:val="105"/>
          <w:sz w:val="12"/>
        </w:rPr>
        <w:t>la</w:t>
      </w:r>
      <w:r>
        <w:rPr>
          <w:spacing w:val="-5"/>
          <w:w w:val="105"/>
          <w:sz w:val="12"/>
        </w:rPr>
        <w:t xml:space="preserve"> </w:t>
      </w:r>
      <w:r>
        <w:rPr>
          <w:w w:val="105"/>
          <w:sz w:val="12"/>
        </w:rPr>
        <w:t>discriminación</w:t>
      </w:r>
      <w:r>
        <w:rPr>
          <w:spacing w:val="-5"/>
          <w:w w:val="105"/>
          <w:sz w:val="12"/>
        </w:rPr>
        <w:t xml:space="preserve"> </w:t>
      </w:r>
      <w:r>
        <w:rPr>
          <w:w w:val="105"/>
          <w:sz w:val="12"/>
        </w:rPr>
        <w:t>racial</w:t>
      </w:r>
      <w:r>
        <w:rPr>
          <w:spacing w:val="-5"/>
          <w:w w:val="105"/>
          <w:sz w:val="12"/>
        </w:rPr>
        <w:t xml:space="preserve"> </w:t>
      </w:r>
      <w:r>
        <w:rPr>
          <w:w w:val="105"/>
          <w:sz w:val="12"/>
        </w:rPr>
        <w:t>(</w:t>
      </w:r>
      <w:proofErr w:type="gramStart"/>
      <w:r>
        <w:rPr>
          <w:w w:val="105"/>
          <w:sz w:val="12"/>
        </w:rPr>
        <w:t>CRI(</w:t>
      </w:r>
      <w:proofErr w:type="gramEnd"/>
      <w:r>
        <w:rPr>
          <w:w w:val="105"/>
          <w:sz w:val="12"/>
        </w:rPr>
        <w:t>2003)8</w:t>
      </w:r>
      <w:r>
        <w:rPr>
          <w:spacing w:val="-5"/>
          <w:w w:val="105"/>
          <w:sz w:val="12"/>
        </w:rPr>
        <w:t xml:space="preserve"> </w:t>
      </w:r>
      <w:r>
        <w:rPr>
          <w:w w:val="105"/>
          <w:sz w:val="12"/>
        </w:rPr>
        <w:t>Rev.),</w:t>
      </w:r>
      <w:r>
        <w:rPr>
          <w:spacing w:val="-4"/>
          <w:w w:val="105"/>
          <w:sz w:val="12"/>
        </w:rPr>
        <w:t xml:space="preserve"> </w:t>
      </w:r>
      <w:r>
        <w:rPr>
          <w:w w:val="105"/>
          <w:sz w:val="12"/>
        </w:rPr>
        <w:t>2002,</w:t>
      </w:r>
      <w:r>
        <w:rPr>
          <w:spacing w:val="-5"/>
          <w:w w:val="105"/>
          <w:sz w:val="12"/>
        </w:rPr>
        <w:t xml:space="preserve"> </w:t>
      </w:r>
      <w:r>
        <w:rPr>
          <w:w w:val="105"/>
          <w:sz w:val="12"/>
        </w:rPr>
        <w:t>párr.</w:t>
      </w:r>
      <w:r>
        <w:rPr>
          <w:spacing w:val="-4"/>
          <w:w w:val="105"/>
          <w:sz w:val="12"/>
        </w:rPr>
        <w:t xml:space="preserve"> </w:t>
      </w:r>
      <w:r>
        <w:rPr>
          <w:spacing w:val="-2"/>
          <w:w w:val="105"/>
          <w:sz w:val="12"/>
        </w:rPr>
        <w:t>dieciséis.</w:t>
      </w:r>
    </w:p>
    <w:p w14:paraId="57946815" w14:textId="77777777" w:rsidR="0014798C" w:rsidRDefault="0014798C">
      <w:pPr>
        <w:rPr>
          <w:sz w:val="12"/>
        </w:rPr>
        <w:sectPr w:rsidR="0014798C" w:rsidSect="00F265E4">
          <w:pgSz w:w="11900" w:h="16820"/>
          <w:pgMar w:top="340" w:right="0" w:bottom="280" w:left="200" w:header="121" w:footer="0" w:gutter="0"/>
          <w:cols w:space="720"/>
        </w:sectPr>
      </w:pPr>
    </w:p>
    <w:p w14:paraId="7369CE95" w14:textId="77777777" w:rsidR="0014798C" w:rsidRDefault="004E1F0B">
      <w:pPr>
        <w:spacing w:before="64"/>
        <w:jc w:val="right"/>
        <w:rPr>
          <w:sz w:val="8"/>
        </w:rPr>
      </w:pPr>
      <w:r>
        <w:rPr>
          <w:spacing w:val="-5"/>
          <w:w w:val="105"/>
          <w:sz w:val="8"/>
        </w:rPr>
        <w:t>338</w:t>
      </w:r>
    </w:p>
    <w:p w14:paraId="3D272BFB" w14:textId="77777777" w:rsidR="0014798C" w:rsidRDefault="004E1F0B">
      <w:pPr>
        <w:spacing w:before="98" w:line="312" w:lineRule="auto"/>
        <w:ind w:left="87" w:right="1784" w:hanging="9"/>
        <w:rPr>
          <w:sz w:val="12"/>
        </w:rPr>
      </w:pPr>
      <w:r>
        <w:br w:type="column"/>
      </w:r>
      <w:r>
        <w:rPr>
          <w:w w:val="105"/>
          <w:sz w:val="12"/>
        </w:rPr>
        <w:t xml:space="preserve">Comité Europeo de Derechos Sociales, Mental </w:t>
      </w:r>
      <w:proofErr w:type="spellStart"/>
      <w:r>
        <w:rPr>
          <w:w w:val="105"/>
          <w:sz w:val="12"/>
        </w:rPr>
        <w:t>Disability</w:t>
      </w:r>
      <w:proofErr w:type="spellEnd"/>
      <w:r>
        <w:rPr>
          <w:w w:val="105"/>
          <w:sz w:val="12"/>
        </w:rPr>
        <w:t xml:space="preserve"> </w:t>
      </w:r>
      <w:proofErr w:type="spellStart"/>
      <w:r>
        <w:rPr>
          <w:w w:val="105"/>
          <w:sz w:val="12"/>
        </w:rPr>
        <w:t>Advocacy</w:t>
      </w:r>
      <w:proofErr w:type="spellEnd"/>
      <w:r>
        <w:rPr>
          <w:w w:val="105"/>
          <w:sz w:val="12"/>
        </w:rPr>
        <w:t xml:space="preserve"> Centre (MDAC) c. Bélgica, denuncia n.º 109/2014, decisión, 16 de octubre de 2017,</w:t>
      </w:r>
      <w:r>
        <w:rPr>
          <w:spacing w:val="40"/>
          <w:w w:val="105"/>
          <w:sz w:val="12"/>
        </w:rPr>
        <w:t xml:space="preserve"> </w:t>
      </w:r>
      <w:r>
        <w:rPr>
          <w:w w:val="105"/>
          <w:sz w:val="12"/>
        </w:rPr>
        <w:t>párr.</w:t>
      </w:r>
      <w:r>
        <w:rPr>
          <w:spacing w:val="-5"/>
          <w:w w:val="105"/>
          <w:sz w:val="12"/>
        </w:rPr>
        <w:t xml:space="preserve"> </w:t>
      </w:r>
      <w:r>
        <w:rPr>
          <w:w w:val="105"/>
          <w:sz w:val="12"/>
        </w:rPr>
        <w:t>84.</w:t>
      </w:r>
    </w:p>
    <w:p w14:paraId="22CF0DC8" w14:textId="77777777" w:rsidR="0014798C" w:rsidRDefault="0014798C">
      <w:pPr>
        <w:spacing w:line="312" w:lineRule="auto"/>
        <w:rPr>
          <w:sz w:val="12"/>
        </w:rPr>
        <w:sectPr w:rsidR="0014798C" w:rsidSect="00F265E4">
          <w:type w:val="continuous"/>
          <w:pgSz w:w="11900" w:h="16820"/>
          <w:pgMar w:top="40" w:right="0" w:bottom="280" w:left="200" w:header="121" w:footer="0" w:gutter="0"/>
          <w:cols w:num="2" w:space="720" w:equalWidth="0">
            <w:col w:w="1250" w:space="40"/>
            <w:col w:w="10410"/>
          </w:cols>
        </w:sectPr>
      </w:pPr>
    </w:p>
    <w:p w14:paraId="7C508413" w14:textId="77777777" w:rsidR="0014798C" w:rsidRDefault="004E1F0B">
      <w:pPr>
        <w:spacing w:before="78"/>
        <w:ind w:left="1107"/>
        <w:rPr>
          <w:sz w:val="11"/>
        </w:rPr>
      </w:pPr>
      <w:r>
        <w:rPr>
          <w:w w:val="105"/>
          <w:sz w:val="11"/>
        </w:rPr>
        <w:t>339</w:t>
      </w:r>
      <w:r>
        <w:rPr>
          <w:spacing w:val="3"/>
          <w:w w:val="105"/>
          <w:sz w:val="11"/>
        </w:rPr>
        <w:t xml:space="preserve"> </w:t>
      </w:r>
      <w:r>
        <w:rPr>
          <w:w w:val="105"/>
          <w:sz w:val="11"/>
        </w:rPr>
        <w:t>Comisión</w:t>
      </w:r>
      <w:r>
        <w:rPr>
          <w:spacing w:val="3"/>
          <w:w w:val="105"/>
          <w:sz w:val="11"/>
        </w:rPr>
        <w:t xml:space="preserve"> </w:t>
      </w:r>
      <w:r>
        <w:rPr>
          <w:w w:val="105"/>
          <w:sz w:val="11"/>
        </w:rPr>
        <w:t>Interamericana</w:t>
      </w:r>
      <w:r>
        <w:rPr>
          <w:spacing w:val="2"/>
          <w:w w:val="105"/>
          <w:sz w:val="11"/>
        </w:rPr>
        <w:t xml:space="preserve"> </w:t>
      </w:r>
      <w:r>
        <w:rPr>
          <w:w w:val="105"/>
          <w:sz w:val="11"/>
        </w:rPr>
        <w:t>de</w:t>
      </w:r>
      <w:r>
        <w:rPr>
          <w:spacing w:val="3"/>
          <w:w w:val="105"/>
          <w:sz w:val="11"/>
        </w:rPr>
        <w:t xml:space="preserve"> </w:t>
      </w:r>
      <w:r>
        <w:rPr>
          <w:w w:val="105"/>
          <w:sz w:val="11"/>
        </w:rPr>
        <w:t>Derechos</w:t>
      </w:r>
      <w:r>
        <w:rPr>
          <w:spacing w:val="3"/>
          <w:w w:val="105"/>
          <w:sz w:val="11"/>
        </w:rPr>
        <w:t xml:space="preserve"> </w:t>
      </w:r>
      <w:r>
        <w:rPr>
          <w:w w:val="105"/>
          <w:sz w:val="11"/>
        </w:rPr>
        <w:t>Humanos,</w:t>
      </w:r>
      <w:r>
        <w:rPr>
          <w:spacing w:val="3"/>
          <w:w w:val="105"/>
          <w:sz w:val="11"/>
        </w:rPr>
        <w:t xml:space="preserve"> </w:t>
      </w:r>
      <w:r>
        <w:rPr>
          <w:w w:val="105"/>
          <w:sz w:val="11"/>
        </w:rPr>
        <w:t>“CIDH</w:t>
      </w:r>
      <w:r>
        <w:rPr>
          <w:spacing w:val="2"/>
          <w:w w:val="105"/>
          <w:sz w:val="11"/>
        </w:rPr>
        <w:t xml:space="preserve"> </w:t>
      </w:r>
      <w:r>
        <w:rPr>
          <w:w w:val="105"/>
          <w:sz w:val="11"/>
        </w:rPr>
        <w:t>expresa</w:t>
      </w:r>
      <w:r>
        <w:rPr>
          <w:spacing w:val="3"/>
          <w:w w:val="105"/>
          <w:sz w:val="11"/>
        </w:rPr>
        <w:t xml:space="preserve"> </w:t>
      </w:r>
      <w:r>
        <w:rPr>
          <w:w w:val="105"/>
          <w:sz w:val="11"/>
        </w:rPr>
        <w:t>preocupación</w:t>
      </w:r>
      <w:r>
        <w:rPr>
          <w:spacing w:val="4"/>
          <w:w w:val="105"/>
          <w:sz w:val="11"/>
        </w:rPr>
        <w:t xml:space="preserve"> </w:t>
      </w:r>
      <w:r>
        <w:rPr>
          <w:w w:val="105"/>
          <w:sz w:val="11"/>
        </w:rPr>
        <w:t>por</w:t>
      </w:r>
      <w:r>
        <w:rPr>
          <w:spacing w:val="3"/>
          <w:w w:val="105"/>
          <w:sz w:val="11"/>
        </w:rPr>
        <w:t xml:space="preserve"> </w:t>
      </w:r>
      <w:r>
        <w:rPr>
          <w:w w:val="105"/>
          <w:sz w:val="11"/>
        </w:rPr>
        <w:t>violencia</w:t>
      </w:r>
      <w:r>
        <w:rPr>
          <w:spacing w:val="3"/>
          <w:w w:val="105"/>
          <w:sz w:val="11"/>
        </w:rPr>
        <w:t xml:space="preserve"> </w:t>
      </w:r>
      <w:r>
        <w:rPr>
          <w:w w:val="105"/>
          <w:sz w:val="11"/>
        </w:rPr>
        <w:t>y</w:t>
      </w:r>
      <w:r>
        <w:rPr>
          <w:spacing w:val="3"/>
          <w:w w:val="105"/>
          <w:sz w:val="11"/>
        </w:rPr>
        <w:t xml:space="preserve"> </w:t>
      </w:r>
      <w:r>
        <w:rPr>
          <w:w w:val="105"/>
          <w:sz w:val="11"/>
        </w:rPr>
        <w:t>discriminación</w:t>
      </w:r>
      <w:r>
        <w:rPr>
          <w:spacing w:val="4"/>
          <w:w w:val="105"/>
          <w:sz w:val="11"/>
        </w:rPr>
        <w:t xml:space="preserve"> </w:t>
      </w:r>
      <w:r>
        <w:rPr>
          <w:w w:val="105"/>
          <w:sz w:val="11"/>
        </w:rPr>
        <w:t>contra</w:t>
      </w:r>
      <w:r>
        <w:rPr>
          <w:spacing w:val="2"/>
          <w:w w:val="105"/>
          <w:sz w:val="11"/>
        </w:rPr>
        <w:t xml:space="preserve"> </w:t>
      </w:r>
      <w:r>
        <w:rPr>
          <w:w w:val="105"/>
          <w:sz w:val="11"/>
        </w:rPr>
        <w:t>personas</w:t>
      </w:r>
      <w:r>
        <w:rPr>
          <w:spacing w:val="2"/>
          <w:w w:val="105"/>
          <w:sz w:val="11"/>
        </w:rPr>
        <w:t xml:space="preserve"> </w:t>
      </w:r>
      <w:r>
        <w:rPr>
          <w:spacing w:val="-4"/>
          <w:w w:val="105"/>
          <w:sz w:val="11"/>
        </w:rPr>
        <w:t>LGBT</w:t>
      </w:r>
    </w:p>
    <w:p w14:paraId="37E7C59D" w14:textId="77777777" w:rsidR="0014798C" w:rsidRDefault="004E1F0B">
      <w:pPr>
        <w:spacing w:before="33"/>
        <w:ind w:left="1369"/>
        <w:rPr>
          <w:sz w:val="12"/>
        </w:rPr>
      </w:pPr>
      <w:r>
        <w:rPr>
          <w:w w:val="105"/>
          <w:sz w:val="12"/>
        </w:rPr>
        <w:t>privados</w:t>
      </w:r>
      <w:r>
        <w:rPr>
          <w:spacing w:val="-7"/>
          <w:w w:val="105"/>
          <w:sz w:val="12"/>
        </w:rPr>
        <w:t xml:space="preserve"> </w:t>
      </w:r>
      <w:r>
        <w:rPr>
          <w:w w:val="105"/>
          <w:sz w:val="12"/>
        </w:rPr>
        <w:t>de</w:t>
      </w:r>
      <w:r>
        <w:rPr>
          <w:spacing w:val="-4"/>
          <w:w w:val="105"/>
          <w:sz w:val="12"/>
        </w:rPr>
        <w:t xml:space="preserve"> </w:t>
      </w:r>
      <w:r>
        <w:rPr>
          <w:w w:val="105"/>
          <w:sz w:val="12"/>
        </w:rPr>
        <w:t>libertad”,</w:t>
      </w:r>
      <w:r>
        <w:rPr>
          <w:spacing w:val="-3"/>
          <w:w w:val="105"/>
          <w:sz w:val="12"/>
        </w:rPr>
        <w:t xml:space="preserve"> </w:t>
      </w:r>
      <w:r>
        <w:rPr>
          <w:w w:val="105"/>
          <w:sz w:val="12"/>
        </w:rPr>
        <w:t>Comunicado</w:t>
      </w:r>
      <w:r>
        <w:rPr>
          <w:spacing w:val="-4"/>
          <w:w w:val="105"/>
          <w:sz w:val="12"/>
        </w:rPr>
        <w:t xml:space="preserve"> </w:t>
      </w:r>
      <w:r>
        <w:rPr>
          <w:w w:val="105"/>
          <w:sz w:val="12"/>
        </w:rPr>
        <w:t>de</w:t>
      </w:r>
      <w:r>
        <w:rPr>
          <w:spacing w:val="-4"/>
          <w:w w:val="105"/>
          <w:sz w:val="12"/>
        </w:rPr>
        <w:t xml:space="preserve"> </w:t>
      </w:r>
      <w:r>
        <w:rPr>
          <w:w w:val="105"/>
          <w:sz w:val="12"/>
        </w:rPr>
        <w:t>Prensa</w:t>
      </w:r>
      <w:r>
        <w:rPr>
          <w:spacing w:val="-5"/>
          <w:w w:val="105"/>
          <w:sz w:val="12"/>
        </w:rPr>
        <w:t xml:space="preserve"> </w:t>
      </w:r>
      <w:r>
        <w:rPr>
          <w:w w:val="105"/>
          <w:sz w:val="12"/>
        </w:rPr>
        <w:t>No.</w:t>
      </w:r>
      <w:r>
        <w:rPr>
          <w:spacing w:val="-4"/>
          <w:w w:val="105"/>
          <w:sz w:val="12"/>
        </w:rPr>
        <w:t xml:space="preserve"> </w:t>
      </w:r>
      <w:r>
        <w:rPr>
          <w:w w:val="105"/>
          <w:sz w:val="12"/>
        </w:rPr>
        <w:t>053/15,</w:t>
      </w:r>
      <w:r>
        <w:rPr>
          <w:spacing w:val="-3"/>
          <w:w w:val="105"/>
          <w:sz w:val="12"/>
        </w:rPr>
        <w:t xml:space="preserve"> </w:t>
      </w:r>
      <w:r>
        <w:rPr>
          <w:w w:val="105"/>
          <w:sz w:val="12"/>
        </w:rPr>
        <w:t>21</w:t>
      </w:r>
      <w:r>
        <w:rPr>
          <w:spacing w:val="-4"/>
          <w:w w:val="105"/>
          <w:sz w:val="12"/>
        </w:rPr>
        <w:t xml:space="preserve"> </w:t>
      </w:r>
      <w:r>
        <w:rPr>
          <w:w w:val="105"/>
          <w:sz w:val="12"/>
        </w:rPr>
        <w:t>de</w:t>
      </w:r>
      <w:r>
        <w:rPr>
          <w:spacing w:val="-4"/>
          <w:w w:val="105"/>
          <w:sz w:val="12"/>
        </w:rPr>
        <w:t xml:space="preserve"> </w:t>
      </w:r>
      <w:r>
        <w:rPr>
          <w:w w:val="105"/>
          <w:sz w:val="12"/>
        </w:rPr>
        <w:t>mayo</w:t>
      </w:r>
      <w:r>
        <w:rPr>
          <w:spacing w:val="-5"/>
          <w:w w:val="105"/>
          <w:sz w:val="12"/>
        </w:rPr>
        <w:t xml:space="preserve"> </w:t>
      </w:r>
      <w:r>
        <w:rPr>
          <w:w w:val="105"/>
          <w:sz w:val="12"/>
        </w:rPr>
        <w:t>de</w:t>
      </w:r>
      <w:r>
        <w:rPr>
          <w:spacing w:val="-4"/>
          <w:w w:val="105"/>
          <w:sz w:val="12"/>
        </w:rPr>
        <w:t xml:space="preserve"> </w:t>
      </w:r>
      <w:r>
        <w:rPr>
          <w:w w:val="105"/>
          <w:sz w:val="12"/>
        </w:rPr>
        <w:t>2015.</w:t>
      </w:r>
      <w:r>
        <w:rPr>
          <w:spacing w:val="-3"/>
          <w:w w:val="105"/>
          <w:sz w:val="12"/>
        </w:rPr>
        <w:t xml:space="preserve"> </w:t>
      </w:r>
      <w:r>
        <w:rPr>
          <w:w w:val="105"/>
          <w:sz w:val="12"/>
        </w:rPr>
        <w:t>Disponible</w:t>
      </w:r>
      <w:r>
        <w:rPr>
          <w:spacing w:val="-4"/>
          <w:w w:val="105"/>
          <w:sz w:val="12"/>
        </w:rPr>
        <w:t xml:space="preserve"> </w:t>
      </w:r>
      <w:r>
        <w:rPr>
          <w:w w:val="105"/>
          <w:sz w:val="12"/>
        </w:rPr>
        <w:t>en</w:t>
      </w:r>
      <w:r>
        <w:rPr>
          <w:spacing w:val="-4"/>
          <w:w w:val="105"/>
          <w:sz w:val="12"/>
        </w:rPr>
        <w:t xml:space="preserve"> </w:t>
      </w:r>
      <w:hyperlink r:id="rId127">
        <w:r>
          <w:rPr>
            <w:color w:val="0075BF"/>
            <w:spacing w:val="-2"/>
            <w:w w:val="105"/>
            <w:sz w:val="12"/>
          </w:rPr>
          <w:t>www.oas.org/en/iachr/media_center/PReleases/2015/053.asp.</w:t>
        </w:r>
      </w:hyperlink>
    </w:p>
    <w:p w14:paraId="5194E37D" w14:textId="77777777" w:rsidR="0014798C" w:rsidRDefault="004E1F0B">
      <w:pPr>
        <w:spacing w:before="119"/>
        <w:ind w:left="1107"/>
        <w:rPr>
          <w:sz w:val="11"/>
        </w:rPr>
      </w:pPr>
      <w:r>
        <w:rPr>
          <w:w w:val="105"/>
          <w:sz w:val="11"/>
        </w:rPr>
        <w:t>340</w:t>
      </w:r>
      <w:r>
        <w:rPr>
          <w:spacing w:val="2"/>
          <w:w w:val="105"/>
          <w:sz w:val="11"/>
        </w:rPr>
        <w:t xml:space="preserve"> </w:t>
      </w:r>
      <w:r>
        <w:rPr>
          <w:w w:val="105"/>
          <w:sz w:val="11"/>
        </w:rPr>
        <w:t>Comisión</w:t>
      </w:r>
      <w:r>
        <w:rPr>
          <w:spacing w:val="3"/>
          <w:w w:val="105"/>
          <w:sz w:val="11"/>
        </w:rPr>
        <w:t xml:space="preserve"> </w:t>
      </w:r>
      <w:r>
        <w:rPr>
          <w:w w:val="105"/>
          <w:sz w:val="11"/>
        </w:rPr>
        <w:t>Africana</w:t>
      </w:r>
      <w:r>
        <w:rPr>
          <w:spacing w:val="1"/>
          <w:w w:val="105"/>
          <w:sz w:val="11"/>
        </w:rPr>
        <w:t xml:space="preserve"> </w:t>
      </w:r>
      <w:r>
        <w:rPr>
          <w:w w:val="105"/>
          <w:sz w:val="11"/>
        </w:rPr>
        <w:t>de</w:t>
      </w:r>
      <w:r>
        <w:rPr>
          <w:spacing w:val="3"/>
          <w:w w:val="105"/>
          <w:sz w:val="11"/>
        </w:rPr>
        <w:t xml:space="preserve"> </w:t>
      </w:r>
      <w:r>
        <w:rPr>
          <w:w w:val="105"/>
          <w:sz w:val="11"/>
        </w:rPr>
        <w:t>Derechos</w:t>
      </w:r>
      <w:r>
        <w:rPr>
          <w:spacing w:val="1"/>
          <w:w w:val="105"/>
          <w:sz w:val="11"/>
        </w:rPr>
        <w:t xml:space="preserve"> </w:t>
      </w:r>
      <w:r>
        <w:rPr>
          <w:w w:val="105"/>
          <w:sz w:val="11"/>
        </w:rPr>
        <w:t>Humanos</w:t>
      </w:r>
      <w:r>
        <w:rPr>
          <w:spacing w:val="2"/>
          <w:w w:val="105"/>
          <w:sz w:val="11"/>
        </w:rPr>
        <w:t xml:space="preserve"> </w:t>
      </w:r>
      <w:r>
        <w:rPr>
          <w:w w:val="105"/>
          <w:sz w:val="11"/>
        </w:rPr>
        <w:t>y</w:t>
      </w:r>
      <w:r>
        <w:rPr>
          <w:spacing w:val="2"/>
          <w:w w:val="105"/>
          <w:sz w:val="11"/>
        </w:rPr>
        <w:t xml:space="preserve"> </w:t>
      </w:r>
      <w:r>
        <w:rPr>
          <w:w w:val="105"/>
          <w:sz w:val="11"/>
        </w:rPr>
        <w:t>de</w:t>
      </w:r>
      <w:r>
        <w:rPr>
          <w:spacing w:val="3"/>
          <w:w w:val="105"/>
          <w:sz w:val="11"/>
        </w:rPr>
        <w:t xml:space="preserve"> </w:t>
      </w:r>
      <w:r>
        <w:rPr>
          <w:w w:val="105"/>
          <w:sz w:val="11"/>
        </w:rPr>
        <w:t>los</w:t>
      </w:r>
      <w:r>
        <w:rPr>
          <w:spacing w:val="2"/>
          <w:w w:val="105"/>
          <w:sz w:val="11"/>
        </w:rPr>
        <w:t xml:space="preserve"> </w:t>
      </w:r>
      <w:r>
        <w:rPr>
          <w:w w:val="105"/>
          <w:sz w:val="11"/>
        </w:rPr>
        <w:t>Pueblos,</w:t>
      </w:r>
      <w:r>
        <w:rPr>
          <w:spacing w:val="3"/>
          <w:w w:val="105"/>
          <w:sz w:val="11"/>
        </w:rPr>
        <w:t xml:space="preserve"> </w:t>
      </w:r>
      <w:r>
        <w:rPr>
          <w:w w:val="105"/>
          <w:sz w:val="11"/>
        </w:rPr>
        <w:t>“Declaración</w:t>
      </w:r>
      <w:r>
        <w:rPr>
          <w:spacing w:val="3"/>
          <w:w w:val="105"/>
          <w:sz w:val="11"/>
        </w:rPr>
        <w:t xml:space="preserve"> </w:t>
      </w:r>
      <w:r>
        <w:rPr>
          <w:w w:val="105"/>
          <w:sz w:val="11"/>
        </w:rPr>
        <w:t>conjunta</w:t>
      </w:r>
      <w:r>
        <w:rPr>
          <w:spacing w:val="1"/>
          <w:w w:val="105"/>
          <w:sz w:val="11"/>
        </w:rPr>
        <w:t xml:space="preserve"> </w:t>
      </w:r>
      <w:r>
        <w:rPr>
          <w:w w:val="105"/>
          <w:sz w:val="11"/>
        </w:rPr>
        <w:t>sobre</w:t>
      </w:r>
      <w:r>
        <w:rPr>
          <w:spacing w:val="3"/>
          <w:w w:val="105"/>
          <w:sz w:val="11"/>
        </w:rPr>
        <w:t xml:space="preserve"> </w:t>
      </w:r>
      <w:r>
        <w:rPr>
          <w:w w:val="105"/>
          <w:sz w:val="11"/>
        </w:rPr>
        <w:t>el</w:t>
      </w:r>
      <w:r>
        <w:rPr>
          <w:spacing w:val="2"/>
          <w:w w:val="105"/>
          <w:sz w:val="11"/>
        </w:rPr>
        <w:t xml:space="preserve"> </w:t>
      </w:r>
      <w:r>
        <w:rPr>
          <w:w w:val="105"/>
          <w:sz w:val="11"/>
        </w:rPr>
        <w:t>Día</w:t>
      </w:r>
      <w:r>
        <w:rPr>
          <w:spacing w:val="2"/>
          <w:w w:val="105"/>
          <w:sz w:val="11"/>
        </w:rPr>
        <w:t xml:space="preserve"> </w:t>
      </w:r>
      <w:r>
        <w:rPr>
          <w:w w:val="105"/>
          <w:sz w:val="11"/>
        </w:rPr>
        <w:t>Internacional</w:t>
      </w:r>
      <w:r>
        <w:rPr>
          <w:spacing w:val="1"/>
          <w:w w:val="105"/>
          <w:sz w:val="11"/>
        </w:rPr>
        <w:t xml:space="preserve"> </w:t>
      </w:r>
      <w:r>
        <w:rPr>
          <w:w w:val="105"/>
          <w:sz w:val="11"/>
        </w:rPr>
        <w:t>de</w:t>
      </w:r>
      <w:r>
        <w:rPr>
          <w:spacing w:val="3"/>
          <w:w w:val="105"/>
          <w:sz w:val="11"/>
        </w:rPr>
        <w:t xml:space="preserve"> </w:t>
      </w:r>
      <w:r>
        <w:rPr>
          <w:w w:val="105"/>
          <w:sz w:val="11"/>
        </w:rPr>
        <w:t>la</w:t>
      </w:r>
      <w:r>
        <w:rPr>
          <w:spacing w:val="2"/>
          <w:w w:val="105"/>
          <w:sz w:val="11"/>
        </w:rPr>
        <w:t xml:space="preserve"> </w:t>
      </w:r>
      <w:r>
        <w:rPr>
          <w:w w:val="105"/>
          <w:sz w:val="11"/>
        </w:rPr>
        <w:t>Niña”,</w:t>
      </w:r>
      <w:r>
        <w:rPr>
          <w:spacing w:val="3"/>
          <w:w w:val="105"/>
          <w:sz w:val="11"/>
        </w:rPr>
        <w:t xml:space="preserve"> </w:t>
      </w:r>
      <w:r>
        <w:rPr>
          <w:w w:val="105"/>
          <w:sz w:val="11"/>
        </w:rPr>
        <w:t>11</w:t>
      </w:r>
      <w:r>
        <w:rPr>
          <w:spacing w:val="2"/>
          <w:w w:val="105"/>
          <w:sz w:val="11"/>
        </w:rPr>
        <w:t xml:space="preserve"> </w:t>
      </w:r>
      <w:r>
        <w:rPr>
          <w:w w:val="105"/>
          <w:sz w:val="11"/>
        </w:rPr>
        <w:t>de</w:t>
      </w:r>
      <w:r>
        <w:rPr>
          <w:spacing w:val="3"/>
          <w:w w:val="105"/>
          <w:sz w:val="11"/>
        </w:rPr>
        <w:t xml:space="preserve"> </w:t>
      </w:r>
      <w:r>
        <w:rPr>
          <w:w w:val="105"/>
          <w:sz w:val="11"/>
        </w:rPr>
        <w:t>octubre</w:t>
      </w:r>
      <w:r>
        <w:rPr>
          <w:spacing w:val="2"/>
          <w:w w:val="105"/>
          <w:sz w:val="11"/>
        </w:rPr>
        <w:t xml:space="preserve"> </w:t>
      </w:r>
      <w:r>
        <w:rPr>
          <w:w w:val="105"/>
          <w:sz w:val="11"/>
        </w:rPr>
        <w:t>de</w:t>
      </w:r>
      <w:r>
        <w:rPr>
          <w:spacing w:val="2"/>
          <w:w w:val="105"/>
          <w:sz w:val="11"/>
        </w:rPr>
        <w:t xml:space="preserve"> </w:t>
      </w:r>
      <w:r>
        <w:rPr>
          <w:spacing w:val="-2"/>
          <w:w w:val="105"/>
          <w:sz w:val="11"/>
        </w:rPr>
        <w:t>2013.</w:t>
      </w:r>
    </w:p>
    <w:p w14:paraId="57E808E0" w14:textId="77777777" w:rsidR="0014798C" w:rsidRDefault="004E1F0B">
      <w:pPr>
        <w:spacing w:before="33" w:line="312" w:lineRule="auto"/>
        <w:ind w:left="1366" w:right="1928" w:hanging="1"/>
        <w:rPr>
          <w:sz w:val="12"/>
        </w:rPr>
      </w:pPr>
      <w:r>
        <w:rPr>
          <w:w w:val="105"/>
          <w:sz w:val="12"/>
        </w:rPr>
        <w:t xml:space="preserve">Disponible en </w:t>
      </w:r>
      <w:hyperlink r:id="rId128">
        <w:r>
          <w:rPr>
            <w:color w:val="0075BF"/>
            <w:w w:val="105"/>
            <w:sz w:val="12"/>
          </w:rPr>
          <w:t>www.achpr.org/pressrelease/detail?id=242.</w:t>
        </w:r>
      </w:hyperlink>
      <w:r>
        <w:rPr>
          <w:color w:val="0075BF"/>
          <w:w w:val="105"/>
          <w:sz w:val="12"/>
        </w:rPr>
        <w:t xml:space="preserve"> </w:t>
      </w:r>
      <w:r>
        <w:rPr>
          <w:w w:val="105"/>
          <w:sz w:val="12"/>
        </w:rPr>
        <w:t>Véase también Comité Africano de Expertos sobre los Derechos y el Bienestar del Niño,</w:t>
      </w:r>
      <w:r>
        <w:rPr>
          <w:spacing w:val="40"/>
          <w:w w:val="105"/>
          <w:sz w:val="12"/>
        </w:rPr>
        <w:t xml:space="preserve"> </w:t>
      </w:r>
      <w:r>
        <w:rPr>
          <w:w w:val="105"/>
          <w:sz w:val="12"/>
        </w:rPr>
        <w:t>comentario general sobre el artículo 30 de la Carta Africana sobre los Derechos y el Bienestar del Niño, 2013, párr. 28: “No se debe aplicar el castigo</w:t>
      </w:r>
      <w:r>
        <w:rPr>
          <w:spacing w:val="40"/>
          <w:w w:val="105"/>
          <w:sz w:val="12"/>
        </w:rPr>
        <w:t xml:space="preserve"> </w:t>
      </w:r>
      <w:r>
        <w:rPr>
          <w:w w:val="105"/>
          <w:sz w:val="12"/>
        </w:rPr>
        <w:t>de reclusión o segregación a las mujeres embarazadas, a las mujeres con bebés y a las madres lactantes en prisión”.</w:t>
      </w:r>
    </w:p>
    <w:p w14:paraId="7BA96ABD" w14:textId="77777777" w:rsidR="0014798C" w:rsidRDefault="004E1F0B">
      <w:pPr>
        <w:spacing w:before="58"/>
        <w:ind w:left="1107"/>
        <w:rPr>
          <w:sz w:val="12"/>
        </w:rPr>
      </w:pPr>
      <w:r>
        <w:rPr>
          <w:w w:val="105"/>
          <w:sz w:val="12"/>
        </w:rPr>
        <w:t>341</w:t>
      </w:r>
      <w:r>
        <w:rPr>
          <w:spacing w:val="-6"/>
          <w:w w:val="105"/>
          <w:sz w:val="12"/>
        </w:rPr>
        <w:t xml:space="preserve"> </w:t>
      </w:r>
      <w:r>
        <w:rPr>
          <w:w w:val="105"/>
          <w:sz w:val="12"/>
        </w:rPr>
        <w:t>Comité</w:t>
      </w:r>
      <w:r>
        <w:rPr>
          <w:spacing w:val="-5"/>
          <w:w w:val="105"/>
          <w:sz w:val="12"/>
        </w:rPr>
        <w:t xml:space="preserve"> </w:t>
      </w:r>
      <w:r>
        <w:rPr>
          <w:w w:val="105"/>
          <w:sz w:val="12"/>
        </w:rPr>
        <w:t>para</w:t>
      </w:r>
      <w:r>
        <w:rPr>
          <w:spacing w:val="-5"/>
          <w:w w:val="105"/>
          <w:sz w:val="12"/>
        </w:rPr>
        <w:t xml:space="preserve"> </w:t>
      </w:r>
      <w:r>
        <w:rPr>
          <w:w w:val="105"/>
          <w:sz w:val="12"/>
        </w:rPr>
        <w:t>la</w:t>
      </w:r>
      <w:r>
        <w:rPr>
          <w:spacing w:val="-5"/>
          <w:w w:val="105"/>
          <w:sz w:val="12"/>
        </w:rPr>
        <w:t xml:space="preserve"> </w:t>
      </w:r>
      <w:r>
        <w:rPr>
          <w:w w:val="105"/>
          <w:sz w:val="12"/>
        </w:rPr>
        <w:t>Eliminación</w:t>
      </w:r>
      <w:r>
        <w:rPr>
          <w:spacing w:val="-5"/>
          <w:w w:val="105"/>
          <w:sz w:val="12"/>
        </w:rPr>
        <w:t xml:space="preserve"> </w:t>
      </w:r>
      <w:r>
        <w:rPr>
          <w:w w:val="105"/>
          <w:sz w:val="12"/>
        </w:rPr>
        <w:t>de</w:t>
      </w:r>
      <w:r>
        <w:rPr>
          <w:spacing w:val="-5"/>
          <w:w w:val="105"/>
          <w:sz w:val="12"/>
        </w:rPr>
        <w:t xml:space="preserve"> </w:t>
      </w:r>
      <w:r>
        <w:rPr>
          <w:w w:val="105"/>
          <w:sz w:val="12"/>
        </w:rPr>
        <w:t>la</w:t>
      </w:r>
      <w:r>
        <w:rPr>
          <w:spacing w:val="-5"/>
          <w:w w:val="105"/>
          <w:sz w:val="12"/>
        </w:rPr>
        <w:t xml:space="preserve"> </w:t>
      </w:r>
      <w:r>
        <w:rPr>
          <w:w w:val="105"/>
          <w:sz w:val="12"/>
        </w:rPr>
        <w:t>Discriminación</w:t>
      </w:r>
      <w:r>
        <w:rPr>
          <w:spacing w:val="-5"/>
          <w:w w:val="105"/>
          <w:sz w:val="12"/>
        </w:rPr>
        <w:t xml:space="preserve"> </w:t>
      </w:r>
      <w:r>
        <w:rPr>
          <w:w w:val="105"/>
          <w:sz w:val="12"/>
        </w:rPr>
        <w:t>Racial,</w:t>
      </w:r>
      <w:r>
        <w:rPr>
          <w:spacing w:val="-5"/>
          <w:w w:val="105"/>
          <w:sz w:val="12"/>
        </w:rPr>
        <w:t xml:space="preserve"> </w:t>
      </w:r>
      <w:r>
        <w:rPr>
          <w:w w:val="105"/>
          <w:sz w:val="12"/>
        </w:rPr>
        <w:t>LR</w:t>
      </w:r>
      <w:r>
        <w:rPr>
          <w:spacing w:val="-5"/>
          <w:w w:val="105"/>
          <w:sz w:val="12"/>
        </w:rPr>
        <w:t xml:space="preserve"> </w:t>
      </w:r>
      <w:r>
        <w:rPr>
          <w:w w:val="105"/>
          <w:sz w:val="12"/>
        </w:rPr>
        <w:t>et</w:t>
      </w:r>
      <w:r>
        <w:rPr>
          <w:spacing w:val="-5"/>
          <w:w w:val="105"/>
          <w:sz w:val="12"/>
        </w:rPr>
        <w:t xml:space="preserve"> </w:t>
      </w:r>
      <w:r>
        <w:rPr>
          <w:w w:val="105"/>
          <w:sz w:val="12"/>
        </w:rPr>
        <w:t>al.</w:t>
      </w:r>
      <w:r>
        <w:rPr>
          <w:spacing w:val="-5"/>
          <w:w w:val="105"/>
          <w:sz w:val="12"/>
        </w:rPr>
        <w:t xml:space="preserve"> </w:t>
      </w:r>
      <w:r>
        <w:rPr>
          <w:w w:val="105"/>
          <w:sz w:val="12"/>
        </w:rPr>
        <w:t>c.</w:t>
      </w:r>
      <w:r>
        <w:rPr>
          <w:spacing w:val="-5"/>
          <w:w w:val="105"/>
          <w:sz w:val="12"/>
        </w:rPr>
        <w:t xml:space="preserve"> </w:t>
      </w:r>
      <w:r>
        <w:rPr>
          <w:w w:val="105"/>
          <w:sz w:val="12"/>
        </w:rPr>
        <w:t>República</w:t>
      </w:r>
      <w:r>
        <w:rPr>
          <w:spacing w:val="-5"/>
          <w:w w:val="105"/>
          <w:sz w:val="12"/>
        </w:rPr>
        <w:t xml:space="preserve"> </w:t>
      </w:r>
      <w:r>
        <w:rPr>
          <w:w w:val="105"/>
          <w:sz w:val="12"/>
        </w:rPr>
        <w:t>Eslovaca,</w:t>
      </w:r>
      <w:r>
        <w:rPr>
          <w:spacing w:val="-5"/>
          <w:w w:val="105"/>
          <w:sz w:val="12"/>
        </w:rPr>
        <w:t xml:space="preserve"> </w:t>
      </w:r>
      <w:r>
        <w:rPr>
          <w:w w:val="105"/>
          <w:sz w:val="12"/>
        </w:rPr>
        <w:t>comunicación</w:t>
      </w:r>
      <w:r>
        <w:rPr>
          <w:spacing w:val="-5"/>
          <w:w w:val="105"/>
          <w:sz w:val="12"/>
        </w:rPr>
        <w:t xml:space="preserve"> </w:t>
      </w:r>
      <w:r>
        <w:rPr>
          <w:w w:val="105"/>
          <w:sz w:val="12"/>
        </w:rPr>
        <w:t>No.</w:t>
      </w:r>
      <w:r>
        <w:rPr>
          <w:spacing w:val="-5"/>
          <w:w w:val="105"/>
          <w:sz w:val="12"/>
        </w:rPr>
        <w:t xml:space="preserve"> </w:t>
      </w:r>
      <w:r>
        <w:rPr>
          <w:spacing w:val="-2"/>
          <w:w w:val="105"/>
          <w:sz w:val="12"/>
        </w:rPr>
        <w:t>31/2003.</w:t>
      </w:r>
    </w:p>
    <w:p w14:paraId="2D70CE0C" w14:textId="77777777" w:rsidR="0014798C" w:rsidRDefault="004E1F0B">
      <w:pPr>
        <w:spacing w:before="98"/>
        <w:ind w:left="1107"/>
        <w:rPr>
          <w:sz w:val="12"/>
        </w:rPr>
      </w:pPr>
      <w:r>
        <w:rPr>
          <w:w w:val="105"/>
          <w:sz w:val="12"/>
        </w:rPr>
        <w:t>342</w:t>
      </w:r>
      <w:r>
        <w:rPr>
          <w:spacing w:val="-8"/>
          <w:w w:val="105"/>
          <w:sz w:val="12"/>
        </w:rPr>
        <w:t xml:space="preserve"> </w:t>
      </w:r>
      <w:r>
        <w:rPr>
          <w:w w:val="105"/>
          <w:sz w:val="12"/>
        </w:rPr>
        <w:t>Comité</w:t>
      </w:r>
      <w:r>
        <w:rPr>
          <w:spacing w:val="-6"/>
          <w:w w:val="105"/>
          <w:sz w:val="12"/>
        </w:rPr>
        <w:t xml:space="preserve"> </w:t>
      </w:r>
      <w:r>
        <w:rPr>
          <w:w w:val="105"/>
          <w:sz w:val="12"/>
        </w:rPr>
        <w:t>para</w:t>
      </w:r>
      <w:r>
        <w:rPr>
          <w:spacing w:val="-6"/>
          <w:w w:val="105"/>
          <w:sz w:val="12"/>
        </w:rPr>
        <w:t xml:space="preserve"> </w:t>
      </w:r>
      <w:r>
        <w:rPr>
          <w:w w:val="105"/>
          <w:sz w:val="12"/>
        </w:rPr>
        <w:t>la</w:t>
      </w:r>
      <w:r>
        <w:rPr>
          <w:spacing w:val="-6"/>
          <w:w w:val="105"/>
          <w:sz w:val="12"/>
        </w:rPr>
        <w:t xml:space="preserve"> </w:t>
      </w:r>
      <w:r>
        <w:rPr>
          <w:w w:val="105"/>
          <w:sz w:val="12"/>
        </w:rPr>
        <w:t>Eliminación</w:t>
      </w:r>
      <w:r>
        <w:rPr>
          <w:spacing w:val="-6"/>
          <w:w w:val="105"/>
          <w:sz w:val="12"/>
        </w:rPr>
        <w:t xml:space="preserve"> </w:t>
      </w:r>
      <w:r>
        <w:rPr>
          <w:w w:val="105"/>
          <w:sz w:val="12"/>
        </w:rPr>
        <w:t>de</w:t>
      </w:r>
      <w:r>
        <w:rPr>
          <w:spacing w:val="-6"/>
          <w:w w:val="105"/>
          <w:sz w:val="12"/>
        </w:rPr>
        <w:t xml:space="preserve"> </w:t>
      </w:r>
      <w:r>
        <w:rPr>
          <w:w w:val="105"/>
          <w:sz w:val="12"/>
        </w:rPr>
        <w:t>la</w:t>
      </w:r>
      <w:r>
        <w:rPr>
          <w:spacing w:val="-6"/>
          <w:w w:val="105"/>
          <w:sz w:val="12"/>
        </w:rPr>
        <w:t xml:space="preserve"> </w:t>
      </w:r>
      <w:r>
        <w:rPr>
          <w:w w:val="105"/>
          <w:sz w:val="12"/>
        </w:rPr>
        <w:t>Discriminación</w:t>
      </w:r>
      <w:r>
        <w:rPr>
          <w:spacing w:val="-6"/>
          <w:w w:val="105"/>
          <w:sz w:val="12"/>
        </w:rPr>
        <w:t xml:space="preserve"> </w:t>
      </w:r>
      <w:r>
        <w:rPr>
          <w:w w:val="105"/>
          <w:sz w:val="12"/>
        </w:rPr>
        <w:t>Racial,</w:t>
      </w:r>
      <w:r>
        <w:rPr>
          <w:spacing w:val="-5"/>
          <w:w w:val="105"/>
          <w:sz w:val="12"/>
        </w:rPr>
        <w:t xml:space="preserve"> </w:t>
      </w:r>
      <w:proofErr w:type="spellStart"/>
      <w:r>
        <w:rPr>
          <w:w w:val="105"/>
          <w:sz w:val="12"/>
        </w:rPr>
        <w:t>Koptova</w:t>
      </w:r>
      <w:proofErr w:type="spellEnd"/>
      <w:r>
        <w:rPr>
          <w:spacing w:val="-6"/>
          <w:w w:val="105"/>
          <w:sz w:val="12"/>
        </w:rPr>
        <w:t xml:space="preserve"> </w:t>
      </w:r>
      <w:r>
        <w:rPr>
          <w:w w:val="105"/>
          <w:sz w:val="12"/>
        </w:rPr>
        <w:t>c.</w:t>
      </w:r>
      <w:r>
        <w:rPr>
          <w:spacing w:val="-6"/>
          <w:w w:val="105"/>
          <w:sz w:val="12"/>
        </w:rPr>
        <w:t xml:space="preserve"> </w:t>
      </w:r>
      <w:r>
        <w:rPr>
          <w:w w:val="105"/>
          <w:sz w:val="12"/>
        </w:rPr>
        <w:t>República</w:t>
      </w:r>
      <w:r>
        <w:rPr>
          <w:spacing w:val="-6"/>
          <w:w w:val="105"/>
          <w:sz w:val="12"/>
        </w:rPr>
        <w:t xml:space="preserve"> </w:t>
      </w:r>
      <w:r>
        <w:rPr>
          <w:w w:val="105"/>
          <w:sz w:val="12"/>
        </w:rPr>
        <w:t>Eslovaca,</w:t>
      </w:r>
      <w:r>
        <w:rPr>
          <w:spacing w:val="-5"/>
          <w:w w:val="105"/>
          <w:sz w:val="12"/>
        </w:rPr>
        <w:t xml:space="preserve"> </w:t>
      </w:r>
      <w:r>
        <w:rPr>
          <w:w w:val="105"/>
          <w:sz w:val="12"/>
        </w:rPr>
        <w:t>comunicación</w:t>
      </w:r>
      <w:r>
        <w:rPr>
          <w:spacing w:val="-6"/>
          <w:w w:val="105"/>
          <w:sz w:val="12"/>
        </w:rPr>
        <w:t xml:space="preserve"> </w:t>
      </w:r>
      <w:r>
        <w:rPr>
          <w:w w:val="105"/>
          <w:sz w:val="12"/>
        </w:rPr>
        <w:t>núm.</w:t>
      </w:r>
      <w:r>
        <w:rPr>
          <w:spacing w:val="-5"/>
          <w:w w:val="105"/>
          <w:sz w:val="12"/>
        </w:rPr>
        <w:t xml:space="preserve"> </w:t>
      </w:r>
      <w:r>
        <w:rPr>
          <w:spacing w:val="-2"/>
          <w:w w:val="105"/>
          <w:sz w:val="12"/>
        </w:rPr>
        <w:t>13/1998.</w:t>
      </w:r>
    </w:p>
    <w:p w14:paraId="5B9D5FB9" w14:textId="77777777" w:rsidR="0014798C" w:rsidRDefault="0014798C">
      <w:pPr>
        <w:rPr>
          <w:sz w:val="12"/>
        </w:rPr>
        <w:sectPr w:rsidR="0014798C" w:rsidSect="00F265E4">
          <w:type w:val="continuous"/>
          <w:pgSz w:w="11900" w:h="16820"/>
          <w:pgMar w:top="40" w:right="0" w:bottom="280" w:left="200" w:header="121" w:footer="0" w:gutter="0"/>
          <w:cols w:space="720"/>
        </w:sectPr>
      </w:pPr>
    </w:p>
    <w:p w14:paraId="3F6E3358" w14:textId="77777777" w:rsidR="0014798C" w:rsidRDefault="004E1F0B">
      <w:pPr>
        <w:spacing w:before="65"/>
        <w:jc w:val="right"/>
        <w:rPr>
          <w:sz w:val="8"/>
        </w:rPr>
      </w:pPr>
      <w:r>
        <w:rPr>
          <w:spacing w:val="-5"/>
          <w:w w:val="105"/>
          <w:sz w:val="8"/>
        </w:rPr>
        <w:t>343</w:t>
      </w:r>
    </w:p>
    <w:p w14:paraId="01B48978" w14:textId="77777777" w:rsidR="0014798C" w:rsidRDefault="004E1F0B">
      <w:pPr>
        <w:spacing w:before="99"/>
        <w:ind w:left="78"/>
        <w:rPr>
          <w:sz w:val="12"/>
        </w:rPr>
      </w:pPr>
      <w:r>
        <w:br w:type="column"/>
      </w:r>
      <w:r>
        <w:rPr>
          <w:w w:val="105"/>
          <w:sz w:val="12"/>
        </w:rPr>
        <w:t>Tribunal</w:t>
      </w:r>
      <w:r>
        <w:rPr>
          <w:spacing w:val="-7"/>
          <w:w w:val="105"/>
          <w:sz w:val="12"/>
        </w:rPr>
        <w:t xml:space="preserve"> </w:t>
      </w:r>
      <w:r>
        <w:rPr>
          <w:w w:val="105"/>
          <w:sz w:val="12"/>
        </w:rPr>
        <w:t>Europeo</w:t>
      </w:r>
      <w:r>
        <w:rPr>
          <w:spacing w:val="-4"/>
          <w:w w:val="105"/>
          <w:sz w:val="12"/>
        </w:rPr>
        <w:t xml:space="preserve"> </w:t>
      </w:r>
      <w:r>
        <w:rPr>
          <w:w w:val="105"/>
          <w:sz w:val="12"/>
        </w:rPr>
        <w:t>de</w:t>
      </w:r>
      <w:r>
        <w:rPr>
          <w:spacing w:val="-5"/>
          <w:w w:val="105"/>
          <w:sz w:val="12"/>
        </w:rPr>
        <w:t xml:space="preserve"> </w:t>
      </w:r>
      <w:r>
        <w:rPr>
          <w:w w:val="105"/>
          <w:sz w:val="12"/>
        </w:rPr>
        <w:t>Derechos</w:t>
      </w:r>
      <w:r>
        <w:rPr>
          <w:spacing w:val="-4"/>
          <w:w w:val="105"/>
          <w:sz w:val="12"/>
        </w:rPr>
        <w:t xml:space="preserve"> </w:t>
      </w:r>
      <w:r>
        <w:rPr>
          <w:w w:val="105"/>
          <w:sz w:val="12"/>
        </w:rPr>
        <w:t>Humanos,</w:t>
      </w:r>
      <w:r>
        <w:rPr>
          <w:spacing w:val="-4"/>
          <w:w w:val="105"/>
          <w:sz w:val="12"/>
        </w:rPr>
        <w:t xml:space="preserve"> </w:t>
      </w:r>
      <w:r>
        <w:rPr>
          <w:w w:val="105"/>
          <w:sz w:val="12"/>
        </w:rPr>
        <w:t>DH</w:t>
      </w:r>
      <w:r>
        <w:rPr>
          <w:spacing w:val="-4"/>
          <w:w w:val="105"/>
          <w:sz w:val="12"/>
        </w:rPr>
        <w:t xml:space="preserve"> </w:t>
      </w:r>
      <w:r>
        <w:rPr>
          <w:w w:val="105"/>
          <w:sz w:val="12"/>
        </w:rPr>
        <w:t>y</w:t>
      </w:r>
      <w:r>
        <w:rPr>
          <w:spacing w:val="-4"/>
          <w:w w:val="105"/>
          <w:sz w:val="12"/>
        </w:rPr>
        <w:t xml:space="preserve"> </w:t>
      </w:r>
      <w:r>
        <w:rPr>
          <w:w w:val="105"/>
          <w:sz w:val="12"/>
        </w:rPr>
        <w:t>otros</w:t>
      </w:r>
      <w:r>
        <w:rPr>
          <w:spacing w:val="-5"/>
          <w:w w:val="105"/>
          <w:sz w:val="12"/>
        </w:rPr>
        <w:t xml:space="preserve"> </w:t>
      </w:r>
      <w:r>
        <w:rPr>
          <w:w w:val="105"/>
          <w:sz w:val="12"/>
        </w:rPr>
        <w:t>contra</w:t>
      </w:r>
      <w:r>
        <w:rPr>
          <w:spacing w:val="-4"/>
          <w:w w:val="105"/>
          <w:sz w:val="12"/>
        </w:rPr>
        <w:t xml:space="preserve"> </w:t>
      </w:r>
      <w:r>
        <w:rPr>
          <w:w w:val="105"/>
          <w:sz w:val="12"/>
        </w:rPr>
        <w:t>la</w:t>
      </w:r>
      <w:r>
        <w:rPr>
          <w:spacing w:val="-5"/>
          <w:w w:val="105"/>
          <w:sz w:val="12"/>
        </w:rPr>
        <w:t xml:space="preserve"> </w:t>
      </w:r>
      <w:r>
        <w:rPr>
          <w:w w:val="105"/>
          <w:sz w:val="12"/>
        </w:rPr>
        <w:t>República</w:t>
      </w:r>
      <w:r>
        <w:rPr>
          <w:spacing w:val="-4"/>
          <w:w w:val="105"/>
          <w:sz w:val="12"/>
        </w:rPr>
        <w:t xml:space="preserve"> </w:t>
      </w:r>
      <w:r>
        <w:rPr>
          <w:w w:val="105"/>
          <w:sz w:val="12"/>
        </w:rPr>
        <w:t>Checa,</w:t>
      </w:r>
      <w:r>
        <w:rPr>
          <w:spacing w:val="-4"/>
          <w:w w:val="105"/>
          <w:sz w:val="12"/>
        </w:rPr>
        <w:t xml:space="preserve"> </w:t>
      </w:r>
      <w:r>
        <w:rPr>
          <w:w w:val="105"/>
          <w:sz w:val="12"/>
        </w:rPr>
        <w:t>solicitud</w:t>
      </w:r>
      <w:r>
        <w:rPr>
          <w:spacing w:val="-4"/>
          <w:w w:val="105"/>
          <w:sz w:val="12"/>
        </w:rPr>
        <w:t xml:space="preserve"> </w:t>
      </w:r>
      <w:r>
        <w:rPr>
          <w:w w:val="105"/>
          <w:sz w:val="12"/>
        </w:rPr>
        <w:t>n.º</w:t>
      </w:r>
      <w:r>
        <w:rPr>
          <w:spacing w:val="-4"/>
          <w:w w:val="105"/>
          <w:sz w:val="12"/>
        </w:rPr>
        <w:t xml:space="preserve"> </w:t>
      </w:r>
      <w:r>
        <w:rPr>
          <w:w w:val="105"/>
          <w:sz w:val="12"/>
        </w:rPr>
        <w:t>57325/00,</w:t>
      </w:r>
      <w:r>
        <w:rPr>
          <w:spacing w:val="-4"/>
          <w:w w:val="105"/>
          <w:sz w:val="12"/>
        </w:rPr>
        <w:t xml:space="preserve"> </w:t>
      </w:r>
      <w:r>
        <w:rPr>
          <w:w w:val="105"/>
          <w:sz w:val="12"/>
        </w:rPr>
        <w:t>sentencia</w:t>
      </w:r>
      <w:r>
        <w:rPr>
          <w:spacing w:val="-4"/>
          <w:w w:val="105"/>
          <w:sz w:val="12"/>
        </w:rPr>
        <w:t xml:space="preserve"> </w:t>
      </w:r>
      <w:r>
        <w:rPr>
          <w:w w:val="105"/>
          <w:sz w:val="12"/>
        </w:rPr>
        <w:t>de</w:t>
      </w:r>
      <w:r>
        <w:rPr>
          <w:spacing w:val="-5"/>
          <w:w w:val="105"/>
          <w:sz w:val="12"/>
        </w:rPr>
        <w:t xml:space="preserve"> </w:t>
      </w:r>
      <w:r>
        <w:rPr>
          <w:w w:val="105"/>
          <w:sz w:val="12"/>
        </w:rPr>
        <w:t>13</w:t>
      </w:r>
      <w:r>
        <w:rPr>
          <w:spacing w:val="-4"/>
          <w:w w:val="105"/>
          <w:sz w:val="12"/>
        </w:rPr>
        <w:t xml:space="preserve"> </w:t>
      </w:r>
      <w:r>
        <w:rPr>
          <w:w w:val="105"/>
          <w:sz w:val="12"/>
        </w:rPr>
        <w:t>de</w:t>
      </w:r>
      <w:r>
        <w:rPr>
          <w:spacing w:val="-5"/>
          <w:w w:val="105"/>
          <w:sz w:val="12"/>
        </w:rPr>
        <w:t xml:space="preserve"> </w:t>
      </w:r>
      <w:r>
        <w:rPr>
          <w:w w:val="105"/>
          <w:sz w:val="12"/>
        </w:rPr>
        <w:t>noviembre</w:t>
      </w:r>
      <w:r>
        <w:rPr>
          <w:spacing w:val="-4"/>
          <w:w w:val="105"/>
          <w:sz w:val="12"/>
        </w:rPr>
        <w:t xml:space="preserve"> </w:t>
      </w:r>
      <w:r>
        <w:rPr>
          <w:w w:val="105"/>
          <w:sz w:val="12"/>
        </w:rPr>
        <w:t>de</w:t>
      </w:r>
      <w:r>
        <w:rPr>
          <w:spacing w:val="-4"/>
          <w:w w:val="105"/>
          <w:sz w:val="12"/>
        </w:rPr>
        <w:t xml:space="preserve"> </w:t>
      </w:r>
      <w:r>
        <w:rPr>
          <w:spacing w:val="-2"/>
          <w:w w:val="105"/>
          <w:sz w:val="12"/>
        </w:rPr>
        <w:t>2007.</w:t>
      </w:r>
    </w:p>
    <w:p w14:paraId="060A738D" w14:textId="77777777" w:rsidR="0014798C" w:rsidRDefault="0014798C">
      <w:pPr>
        <w:rPr>
          <w:sz w:val="12"/>
        </w:rPr>
        <w:sectPr w:rsidR="0014798C" w:rsidSect="00F265E4">
          <w:type w:val="continuous"/>
          <w:pgSz w:w="11900" w:h="16820"/>
          <w:pgMar w:top="40" w:right="0" w:bottom="280" w:left="200" w:header="121" w:footer="0" w:gutter="0"/>
          <w:cols w:num="2" w:space="720" w:equalWidth="0">
            <w:col w:w="1250" w:space="40"/>
            <w:col w:w="10410"/>
          </w:cols>
        </w:sectPr>
      </w:pPr>
    </w:p>
    <w:p w14:paraId="59FF891E" w14:textId="77777777" w:rsidR="0014798C" w:rsidRDefault="0014798C">
      <w:pPr>
        <w:pStyle w:val="Textoindependiente"/>
        <w:rPr>
          <w:sz w:val="19"/>
        </w:rPr>
      </w:pPr>
    </w:p>
    <w:p w14:paraId="3B3C2AC4" w14:textId="77777777" w:rsidR="0014798C" w:rsidRDefault="0014798C">
      <w:pPr>
        <w:pStyle w:val="Textoindependiente"/>
        <w:spacing w:before="204"/>
        <w:rPr>
          <w:sz w:val="19"/>
        </w:rPr>
      </w:pPr>
    </w:p>
    <w:p w14:paraId="0E417AD2" w14:textId="77777777" w:rsidR="0014798C" w:rsidRDefault="004E1F0B">
      <w:pPr>
        <w:spacing w:before="1"/>
        <w:ind w:right="726"/>
        <w:jc w:val="right"/>
        <w:rPr>
          <w:sz w:val="19"/>
        </w:rPr>
      </w:pPr>
      <w:r>
        <w:rPr>
          <w:spacing w:val="-5"/>
          <w:w w:val="105"/>
          <w:sz w:val="19"/>
        </w:rPr>
        <w:t>45</w:t>
      </w:r>
    </w:p>
    <w:p w14:paraId="0111870F" w14:textId="77777777" w:rsidR="0014798C" w:rsidRDefault="0014798C">
      <w:pPr>
        <w:jc w:val="right"/>
        <w:rPr>
          <w:sz w:val="19"/>
        </w:rPr>
        <w:sectPr w:rsidR="0014798C" w:rsidSect="00F265E4">
          <w:type w:val="continuous"/>
          <w:pgSz w:w="11900" w:h="16820"/>
          <w:pgMar w:top="40" w:right="0" w:bottom="280" w:left="200" w:header="121" w:footer="0" w:gutter="0"/>
          <w:cols w:space="720"/>
        </w:sectPr>
      </w:pPr>
    </w:p>
    <w:p w14:paraId="187709D7" w14:textId="77777777" w:rsidR="0014798C" w:rsidRDefault="0014798C">
      <w:pPr>
        <w:pStyle w:val="Textoindependiente"/>
        <w:spacing w:before="85"/>
        <w:rPr>
          <w:sz w:val="12"/>
        </w:rPr>
      </w:pPr>
    </w:p>
    <w:p w14:paraId="29C14A36" w14:textId="77777777" w:rsidR="0014798C" w:rsidRDefault="004E1F0B">
      <w:pPr>
        <w:ind w:left="1111"/>
        <w:rPr>
          <w:sz w:val="12"/>
        </w:rPr>
      </w:pPr>
      <w:r>
        <w:rPr>
          <w:color w:val="00AC59"/>
          <w:sz w:val="12"/>
        </w:rPr>
        <w:t>PROTECCIÓN</w:t>
      </w:r>
      <w:r>
        <w:rPr>
          <w:color w:val="00AC59"/>
          <w:spacing w:val="6"/>
          <w:sz w:val="12"/>
        </w:rPr>
        <w:t xml:space="preserve"> </w:t>
      </w:r>
      <w:r>
        <w:rPr>
          <w:color w:val="00AC59"/>
          <w:sz w:val="12"/>
        </w:rPr>
        <w:t>DE</w:t>
      </w:r>
      <w:r>
        <w:rPr>
          <w:color w:val="00AC59"/>
          <w:spacing w:val="7"/>
          <w:sz w:val="12"/>
        </w:rPr>
        <w:t xml:space="preserve"> </w:t>
      </w:r>
      <w:r>
        <w:rPr>
          <w:color w:val="00AC59"/>
          <w:sz w:val="12"/>
        </w:rPr>
        <w:t>LOS</w:t>
      </w:r>
      <w:r>
        <w:rPr>
          <w:color w:val="00AC59"/>
          <w:spacing w:val="8"/>
          <w:sz w:val="12"/>
        </w:rPr>
        <w:t xml:space="preserve"> </w:t>
      </w:r>
      <w:r>
        <w:rPr>
          <w:color w:val="00AC59"/>
          <w:sz w:val="12"/>
        </w:rPr>
        <w:t>DERECHOS</w:t>
      </w:r>
      <w:r>
        <w:rPr>
          <w:color w:val="00AC59"/>
          <w:spacing w:val="8"/>
          <w:sz w:val="12"/>
        </w:rPr>
        <w:t xml:space="preserve"> </w:t>
      </w:r>
      <w:r>
        <w:rPr>
          <w:color w:val="00AC59"/>
          <w:sz w:val="12"/>
        </w:rPr>
        <w:t>DE</w:t>
      </w:r>
      <w:r>
        <w:rPr>
          <w:color w:val="00AC59"/>
          <w:spacing w:val="6"/>
          <w:sz w:val="12"/>
        </w:rPr>
        <w:t xml:space="preserve"> </w:t>
      </w:r>
      <w:r>
        <w:rPr>
          <w:color w:val="00AC59"/>
          <w:sz w:val="12"/>
        </w:rPr>
        <w:t>LAS</w:t>
      </w:r>
      <w:r>
        <w:rPr>
          <w:color w:val="00AC59"/>
          <w:spacing w:val="7"/>
          <w:sz w:val="12"/>
        </w:rPr>
        <w:t xml:space="preserve"> </w:t>
      </w:r>
      <w:r>
        <w:rPr>
          <w:color w:val="00AC59"/>
          <w:sz w:val="12"/>
        </w:rPr>
        <w:t>MINORÍAS:</w:t>
      </w:r>
      <w:r>
        <w:rPr>
          <w:color w:val="00AC59"/>
          <w:spacing w:val="8"/>
          <w:sz w:val="12"/>
        </w:rPr>
        <w:t xml:space="preserve"> </w:t>
      </w:r>
      <w:r>
        <w:rPr>
          <w:color w:val="00AC59"/>
          <w:sz w:val="12"/>
        </w:rPr>
        <w:t>una</w:t>
      </w:r>
      <w:r>
        <w:rPr>
          <w:color w:val="00AC59"/>
          <w:spacing w:val="7"/>
          <w:sz w:val="12"/>
        </w:rPr>
        <w:t xml:space="preserve"> </w:t>
      </w:r>
      <w:r>
        <w:rPr>
          <w:color w:val="00AC59"/>
          <w:sz w:val="12"/>
        </w:rPr>
        <w:t>guía</w:t>
      </w:r>
      <w:r>
        <w:rPr>
          <w:color w:val="00AC59"/>
          <w:spacing w:val="6"/>
          <w:sz w:val="12"/>
        </w:rPr>
        <w:t xml:space="preserve"> </w:t>
      </w:r>
      <w:r>
        <w:rPr>
          <w:color w:val="00AC59"/>
          <w:sz w:val="12"/>
        </w:rPr>
        <w:t>práctica</w:t>
      </w:r>
      <w:r>
        <w:rPr>
          <w:color w:val="00AC59"/>
          <w:spacing w:val="7"/>
          <w:sz w:val="12"/>
        </w:rPr>
        <w:t xml:space="preserve"> </w:t>
      </w:r>
      <w:r>
        <w:rPr>
          <w:color w:val="00AC59"/>
          <w:sz w:val="12"/>
        </w:rPr>
        <w:t>para</w:t>
      </w:r>
      <w:r>
        <w:rPr>
          <w:color w:val="00AC59"/>
          <w:spacing w:val="8"/>
          <w:sz w:val="12"/>
        </w:rPr>
        <w:t xml:space="preserve"> </w:t>
      </w:r>
      <w:r>
        <w:rPr>
          <w:color w:val="00AC59"/>
          <w:sz w:val="12"/>
        </w:rPr>
        <w:t>desarrollar</w:t>
      </w:r>
      <w:r>
        <w:rPr>
          <w:color w:val="00AC59"/>
          <w:spacing w:val="6"/>
          <w:sz w:val="12"/>
        </w:rPr>
        <w:t xml:space="preserve"> </w:t>
      </w:r>
      <w:r>
        <w:rPr>
          <w:color w:val="00AC59"/>
          <w:sz w:val="12"/>
        </w:rPr>
        <w:t>una</w:t>
      </w:r>
      <w:r>
        <w:rPr>
          <w:color w:val="00AC59"/>
          <w:spacing w:val="7"/>
          <w:sz w:val="12"/>
        </w:rPr>
        <w:t xml:space="preserve"> </w:t>
      </w:r>
      <w:r>
        <w:rPr>
          <w:color w:val="00AC59"/>
          <w:sz w:val="12"/>
        </w:rPr>
        <w:t>legislación</w:t>
      </w:r>
      <w:r>
        <w:rPr>
          <w:color w:val="00AC59"/>
          <w:spacing w:val="8"/>
          <w:sz w:val="12"/>
        </w:rPr>
        <w:t xml:space="preserve"> </w:t>
      </w:r>
      <w:r>
        <w:rPr>
          <w:color w:val="00AC59"/>
          <w:sz w:val="12"/>
        </w:rPr>
        <w:t>integral</w:t>
      </w:r>
      <w:r>
        <w:rPr>
          <w:color w:val="00AC59"/>
          <w:spacing w:val="7"/>
          <w:sz w:val="12"/>
        </w:rPr>
        <w:t xml:space="preserve"> </w:t>
      </w:r>
      <w:r>
        <w:rPr>
          <w:color w:val="00AC59"/>
          <w:sz w:val="12"/>
        </w:rPr>
        <w:t>contra</w:t>
      </w:r>
      <w:r>
        <w:rPr>
          <w:color w:val="00AC59"/>
          <w:spacing w:val="6"/>
          <w:sz w:val="12"/>
        </w:rPr>
        <w:t xml:space="preserve"> </w:t>
      </w:r>
      <w:r>
        <w:rPr>
          <w:color w:val="00AC59"/>
          <w:sz w:val="12"/>
        </w:rPr>
        <w:t>la</w:t>
      </w:r>
      <w:r>
        <w:rPr>
          <w:color w:val="00AC59"/>
          <w:spacing w:val="7"/>
          <w:sz w:val="12"/>
        </w:rPr>
        <w:t xml:space="preserve"> </w:t>
      </w:r>
      <w:r>
        <w:rPr>
          <w:color w:val="00AC59"/>
          <w:spacing w:val="-2"/>
          <w:sz w:val="12"/>
        </w:rPr>
        <w:t>discriminación</w:t>
      </w:r>
    </w:p>
    <w:p w14:paraId="7748B512" w14:textId="77777777" w:rsidR="0014798C" w:rsidRDefault="0014798C">
      <w:pPr>
        <w:pStyle w:val="Textoindependiente"/>
      </w:pPr>
    </w:p>
    <w:p w14:paraId="3B57659E" w14:textId="77777777" w:rsidR="0014798C" w:rsidRDefault="0014798C">
      <w:pPr>
        <w:pStyle w:val="Textoindependiente"/>
      </w:pPr>
    </w:p>
    <w:p w14:paraId="22E23A30" w14:textId="77777777" w:rsidR="0014798C" w:rsidRDefault="0014798C">
      <w:pPr>
        <w:pStyle w:val="Textoindependiente"/>
      </w:pPr>
    </w:p>
    <w:p w14:paraId="5BDF0A78" w14:textId="77777777" w:rsidR="0014798C" w:rsidRDefault="0014798C">
      <w:pPr>
        <w:pStyle w:val="Textoindependiente"/>
      </w:pPr>
    </w:p>
    <w:p w14:paraId="16A17EEE" w14:textId="77777777" w:rsidR="0014798C" w:rsidRDefault="0014798C">
      <w:pPr>
        <w:pStyle w:val="Textoindependiente"/>
        <w:spacing w:before="26"/>
      </w:pPr>
    </w:p>
    <w:p w14:paraId="4C8F2210" w14:textId="77777777" w:rsidR="0014798C" w:rsidRDefault="004E1F0B">
      <w:pPr>
        <w:spacing w:line="307" w:lineRule="auto"/>
        <w:ind w:left="1337" w:right="1272" w:hanging="6"/>
        <w:rPr>
          <w:sz w:val="16"/>
        </w:rPr>
      </w:pPr>
      <w:r>
        <w:rPr>
          <w:noProof/>
        </w:rPr>
        <w:drawing>
          <wp:anchor distT="0" distB="0" distL="0" distR="0" simplePos="0" relativeHeight="251658394" behindDoc="1" locked="0" layoutInCell="1" allowOverlap="1" wp14:anchorId="6A8C2439" wp14:editId="1D56A07C">
            <wp:simplePos x="0" y="0"/>
            <wp:positionH relativeFrom="page">
              <wp:posOffset>786199</wp:posOffset>
            </wp:positionH>
            <wp:positionV relativeFrom="paragraph">
              <wp:posOffset>-127113</wp:posOffset>
            </wp:positionV>
            <wp:extent cx="5975115" cy="5576251"/>
            <wp:effectExtent l="0" t="0" r="0" b="0"/>
            <wp:wrapNone/>
            <wp:docPr id="134" name="Image 13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34" name="Image 134"/>
                    <pic:cNvPicPr/>
                  </pic:nvPicPr>
                  <pic:blipFill>
                    <a:blip r:embed="rId129" cstate="print"/>
                    <a:stretch>
                      <a:fillRect/>
                    </a:stretch>
                  </pic:blipFill>
                  <pic:spPr>
                    <a:xfrm>
                      <a:off x="0" y="0"/>
                      <a:ext cx="5975115" cy="5576251"/>
                    </a:xfrm>
                    <a:prstGeom prst="rect">
                      <a:avLst/>
                    </a:prstGeom>
                  </pic:spPr>
                </pic:pic>
              </a:graphicData>
            </a:graphic>
          </wp:anchor>
        </w:drawing>
      </w:r>
      <w:r>
        <w:rPr>
          <w:sz w:val="20"/>
        </w:rPr>
        <w:t xml:space="preserve">colocarlos en escuelas destinadas a niños con lo que se denominó “discapacidad mental leve”.344 </w:t>
      </w:r>
      <w:r>
        <w:rPr>
          <w:sz w:val="16"/>
        </w:rPr>
        <w:t xml:space="preserve">Posteriormente, los tribunales a nivel europeo y nacional han anulado prácticas como tolerar la completa exclusión de los romaníes de la escolarización, la colocación </w:t>
      </w:r>
      <w:proofErr w:type="spellStart"/>
      <w:r>
        <w:rPr>
          <w:sz w:val="16"/>
        </w:rPr>
        <w:t>pretextual</w:t>
      </w:r>
      <w:proofErr w:type="spellEnd"/>
      <w:r>
        <w:rPr>
          <w:sz w:val="16"/>
        </w:rPr>
        <w:t xml:space="preserve"> de los romaníes en clases separadas por su inadecuada capacidad</w:t>
      </w:r>
    </w:p>
    <w:p w14:paraId="2A1AA318" w14:textId="77777777" w:rsidR="0014798C" w:rsidRDefault="004E1F0B">
      <w:pPr>
        <w:pStyle w:val="Textoindependiente"/>
        <w:spacing w:before="10" w:line="326" w:lineRule="auto"/>
        <w:ind w:left="1339" w:right="1917" w:hanging="2"/>
      </w:pPr>
      <w:r>
        <w:t>lingüística, la incapacidad de superar los legados de la segregación pasada y el establecimiento de acuerdos de escolarización privada para los fines de mantener una escolarización separada por motivos étnicos.</w:t>
      </w:r>
    </w:p>
    <w:p w14:paraId="5AEF9D0B" w14:textId="77777777" w:rsidR="0014798C" w:rsidRDefault="0014798C">
      <w:pPr>
        <w:pStyle w:val="Textoindependiente"/>
      </w:pPr>
    </w:p>
    <w:p w14:paraId="35689A38" w14:textId="77777777" w:rsidR="0014798C" w:rsidRDefault="0014798C">
      <w:pPr>
        <w:pStyle w:val="Textoindependiente"/>
        <w:spacing w:before="84"/>
      </w:pPr>
    </w:p>
    <w:p w14:paraId="08F12D6A" w14:textId="77777777" w:rsidR="0014798C" w:rsidRDefault="004E1F0B">
      <w:pPr>
        <w:pStyle w:val="Textoindependiente"/>
        <w:spacing w:line="326" w:lineRule="auto"/>
        <w:ind w:left="1109" w:right="1335" w:hanging="2"/>
      </w:pPr>
      <w:r>
        <w:t>El</w:t>
      </w:r>
      <w:r>
        <w:rPr>
          <w:spacing w:val="17"/>
        </w:rPr>
        <w:t xml:space="preserve"> </w:t>
      </w:r>
      <w:r>
        <w:t>derecho</w:t>
      </w:r>
      <w:r>
        <w:rPr>
          <w:spacing w:val="19"/>
        </w:rPr>
        <w:t xml:space="preserve"> </w:t>
      </w:r>
      <w:r>
        <w:t>internacional</w:t>
      </w:r>
      <w:r>
        <w:rPr>
          <w:spacing w:val="17"/>
        </w:rPr>
        <w:t xml:space="preserve"> </w:t>
      </w:r>
      <w:r>
        <w:t>prevé</w:t>
      </w:r>
      <w:r>
        <w:rPr>
          <w:spacing w:val="19"/>
        </w:rPr>
        <w:t xml:space="preserve"> </w:t>
      </w:r>
      <w:r>
        <w:t>la</w:t>
      </w:r>
      <w:r>
        <w:rPr>
          <w:spacing w:val="19"/>
        </w:rPr>
        <w:t xml:space="preserve"> </w:t>
      </w:r>
      <w:r>
        <w:t>posibilidad</w:t>
      </w:r>
      <w:r>
        <w:rPr>
          <w:spacing w:val="19"/>
        </w:rPr>
        <w:t xml:space="preserve"> </w:t>
      </w:r>
      <w:r>
        <w:t>de</w:t>
      </w:r>
      <w:r>
        <w:rPr>
          <w:spacing w:val="19"/>
        </w:rPr>
        <w:t xml:space="preserve"> </w:t>
      </w:r>
      <w:r>
        <w:t>algunas</w:t>
      </w:r>
      <w:r>
        <w:rPr>
          <w:spacing w:val="17"/>
        </w:rPr>
        <w:t xml:space="preserve"> </w:t>
      </w:r>
      <w:r>
        <w:t>justificaciones</w:t>
      </w:r>
      <w:r>
        <w:rPr>
          <w:spacing w:val="17"/>
        </w:rPr>
        <w:t xml:space="preserve"> </w:t>
      </w:r>
      <w:r>
        <w:t>para</w:t>
      </w:r>
      <w:r>
        <w:rPr>
          <w:spacing w:val="19"/>
        </w:rPr>
        <w:t xml:space="preserve"> </w:t>
      </w:r>
      <w:r>
        <w:t>la</w:t>
      </w:r>
      <w:r>
        <w:rPr>
          <w:spacing w:val="19"/>
        </w:rPr>
        <w:t xml:space="preserve"> </w:t>
      </w:r>
      <w:r>
        <w:t>separación</w:t>
      </w:r>
      <w:r>
        <w:rPr>
          <w:spacing w:val="19"/>
        </w:rPr>
        <w:t xml:space="preserve"> </w:t>
      </w:r>
      <w:r>
        <w:t>por</w:t>
      </w:r>
      <w:r>
        <w:rPr>
          <w:spacing w:val="19"/>
        </w:rPr>
        <w:t xml:space="preserve"> </w:t>
      </w:r>
      <w:r>
        <w:t>motivos</w:t>
      </w:r>
      <w:r>
        <w:rPr>
          <w:spacing w:val="17"/>
        </w:rPr>
        <w:t xml:space="preserve"> </w:t>
      </w:r>
      <w:r>
        <w:t>de</w:t>
      </w:r>
      <w:r>
        <w:rPr>
          <w:spacing w:val="19"/>
        </w:rPr>
        <w:t xml:space="preserve"> </w:t>
      </w:r>
      <w:r>
        <w:t>sexo,</w:t>
      </w:r>
      <w:r>
        <w:rPr>
          <w:spacing w:val="19"/>
        </w:rPr>
        <w:t xml:space="preserve"> </w:t>
      </w:r>
      <w:r>
        <w:t>religión, creencias o idioma, particularmente en el campo de la educación.345 Sin embargo, las autoridades no pueden emprender la discriminación</w:t>
      </w:r>
      <w:r>
        <w:rPr>
          <w:spacing w:val="13"/>
        </w:rPr>
        <w:t xml:space="preserve"> </w:t>
      </w:r>
      <w:r>
        <w:t>racial</w:t>
      </w:r>
      <w:r>
        <w:rPr>
          <w:spacing w:val="13"/>
        </w:rPr>
        <w:t xml:space="preserve"> </w:t>
      </w:r>
      <w:r>
        <w:t>al</w:t>
      </w:r>
      <w:r>
        <w:rPr>
          <w:spacing w:val="13"/>
        </w:rPr>
        <w:t xml:space="preserve"> </w:t>
      </w:r>
      <w:r>
        <w:t>amparo</w:t>
      </w:r>
      <w:r>
        <w:rPr>
          <w:spacing w:val="13"/>
        </w:rPr>
        <w:t xml:space="preserve"> </w:t>
      </w:r>
      <w:r>
        <w:t>de</w:t>
      </w:r>
      <w:r>
        <w:rPr>
          <w:spacing w:val="13"/>
        </w:rPr>
        <w:t xml:space="preserve"> </w:t>
      </w:r>
      <w:r>
        <w:t>argumentos</w:t>
      </w:r>
      <w:r>
        <w:rPr>
          <w:spacing w:val="12"/>
        </w:rPr>
        <w:t xml:space="preserve"> </w:t>
      </w:r>
      <w:proofErr w:type="spellStart"/>
      <w:r>
        <w:t>pretextuales</w:t>
      </w:r>
      <w:proofErr w:type="spellEnd"/>
      <w:r>
        <w:rPr>
          <w:spacing w:val="12"/>
        </w:rPr>
        <w:t xml:space="preserve"> </w:t>
      </w:r>
      <w:r>
        <w:t>basados</w:t>
      </w:r>
      <w:r>
        <w:rPr>
          <w:spacing w:val="12"/>
        </w:rPr>
        <w:t xml:space="preserve"> </w:t>
      </w:r>
      <w:r>
        <w:t>en</w:t>
      </w:r>
      <w:r>
        <w:rPr>
          <w:spacing w:val="13"/>
        </w:rPr>
        <w:t xml:space="preserve"> </w:t>
      </w:r>
      <w:r>
        <w:t>una</w:t>
      </w:r>
      <w:r>
        <w:rPr>
          <w:spacing w:val="13"/>
        </w:rPr>
        <w:t xml:space="preserve"> </w:t>
      </w:r>
      <w:r>
        <w:t>supuesta</w:t>
      </w:r>
      <w:r>
        <w:rPr>
          <w:spacing w:val="12"/>
        </w:rPr>
        <w:t xml:space="preserve"> </w:t>
      </w:r>
      <w:r>
        <w:t>necesidad</w:t>
      </w:r>
      <w:r>
        <w:rPr>
          <w:spacing w:val="13"/>
        </w:rPr>
        <w:t xml:space="preserve"> </w:t>
      </w:r>
      <w:r>
        <w:t>de</w:t>
      </w:r>
      <w:r>
        <w:rPr>
          <w:spacing w:val="13"/>
        </w:rPr>
        <w:t xml:space="preserve"> </w:t>
      </w:r>
      <w:r>
        <w:t>reparación.</w:t>
      </w:r>
      <w:r>
        <w:rPr>
          <w:spacing w:val="14"/>
        </w:rPr>
        <w:t xml:space="preserve"> </w:t>
      </w:r>
      <w:r>
        <w:t>para</w:t>
      </w:r>
      <w:r>
        <w:rPr>
          <w:spacing w:val="13"/>
        </w:rPr>
        <w:t xml:space="preserve"> </w:t>
      </w:r>
      <w:r>
        <w:t>fortalecer la capacidad lingüística;346 la separación basada en el idioma se entiende permitida en los casos en que la instrucción sea en diferentes idiomas.347</w:t>
      </w:r>
    </w:p>
    <w:p w14:paraId="2767F188" w14:textId="77777777" w:rsidR="0014798C" w:rsidRDefault="004E1F0B">
      <w:pPr>
        <w:numPr>
          <w:ilvl w:val="0"/>
          <w:numId w:val="69"/>
        </w:numPr>
        <w:tabs>
          <w:tab w:val="left" w:pos="1308"/>
        </w:tabs>
        <w:spacing w:before="154"/>
        <w:ind w:left="1308" w:hanging="193"/>
      </w:pPr>
      <w:r>
        <w:t>Victimización</w:t>
      </w:r>
      <w:r>
        <w:rPr>
          <w:spacing w:val="-15"/>
        </w:rPr>
        <w:t xml:space="preserve"> </w:t>
      </w:r>
      <w:r>
        <w:t>o</w:t>
      </w:r>
      <w:r>
        <w:rPr>
          <w:spacing w:val="-14"/>
        </w:rPr>
        <w:t xml:space="preserve"> </w:t>
      </w:r>
      <w:r>
        <w:rPr>
          <w:spacing w:val="-2"/>
        </w:rPr>
        <w:t>represalias</w:t>
      </w:r>
    </w:p>
    <w:p w14:paraId="59A9C6D2" w14:textId="77777777" w:rsidR="0014798C" w:rsidRDefault="0014798C">
      <w:pPr>
        <w:pStyle w:val="Textoindependiente"/>
        <w:spacing w:before="174"/>
      </w:pPr>
    </w:p>
    <w:p w14:paraId="613D4D04" w14:textId="77777777" w:rsidR="0014798C" w:rsidRDefault="004E1F0B">
      <w:pPr>
        <w:pStyle w:val="Textoindependiente"/>
        <w:spacing w:before="1"/>
        <w:ind w:left="1335"/>
      </w:pPr>
      <w:r>
        <w:rPr>
          <w:color w:val="FFFFFF"/>
          <w:spacing w:val="-2"/>
        </w:rPr>
        <w:t>RESUMEN</w:t>
      </w:r>
    </w:p>
    <w:p w14:paraId="07C06D6B" w14:textId="77777777" w:rsidR="0014798C" w:rsidRDefault="0014798C">
      <w:pPr>
        <w:pStyle w:val="Textoindependiente"/>
        <w:spacing w:before="149"/>
      </w:pPr>
    </w:p>
    <w:p w14:paraId="7C3268FA" w14:textId="77777777" w:rsidR="0014798C" w:rsidRDefault="004E1F0B">
      <w:pPr>
        <w:pStyle w:val="Prrafodelista"/>
        <w:numPr>
          <w:ilvl w:val="1"/>
          <w:numId w:val="69"/>
        </w:numPr>
        <w:tabs>
          <w:tab w:val="left" w:pos="1460"/>
        </w:tabs>
        <w:ind w:left="1460" w:hanging="102"/>
        <w:rPr>
          <w:sz w:val="16"/>
        </w:rPr>
      </w:pPr>
      <w:r>
        <w:rPr>
          <w:sz w:val="16"/>
        </w:rPr>
        <w:t>La</w:t>
      </w:r>
      <w:r>
        <w:rPr>
          <w:spacing w:val="5"/>
          <w:sz w:val="16"/>
        </w:rPr>
        <w:t xml:space="preserve"> </w:t>
      </w:r>
      <w:r>
        <w:rPr>
          <w:sz w:val="16"/>
        </w:rPr>
        <w:t>legislación</w:t>
      </w:r>
      <w:r>
        <w:rPr>
          <w:spacing w:val="6"/>
          <w:sz w:val="16"/>
        </w:rPr>
        <w:t xml:space="preserve"> </w:t>
      </w:r>
      <w:r>
        <w:rPr>
          <w:sz w:val="16"/>
        </w:rPr>
        <w:t>contra</w:t>
      </w:r>
      <w:r>
        <w:rPr>
          <w:spacing w:val="5"/>
          <w:sz w:val="16"/>
        </w:rPr>
        <w:t xml:space="preserve"> </w:t>
      </w:r>
      <w:r>
        <w:rPr>
          <w:sz w:val="16"/>
        </w:rPr>
        <w:t>la</w:t>
      </w:r>
      <w:r>
        <w:rPr>
          <w:spacing w:val="6"/>
          <w:sz w:val="16"/>
        </w:rPr>
        <w:t xml:space="preserve"> </w:t>
      </w:r>
      <w:r>
        <w:rPr>
          <w:sz w:val="16"/>
        </w:rPr>
        <w:t>discriminación</w:t>
      </w:r>
      <w:r>
        <w:rPr>
          <w:spacing w:val="6"/>
          <w:sz w:val="16"/>
        </w:rPr>
        <w:t xml:space="preserve"> </w:t>
      </w:r>
      <w:r>
        <w:rPr>
          <w:sz w:val="16"/>
        </w:rPr>
        <w:t>debería</w:t>
      </w:r>
      <w:r>
        <w:rPr>
          <w:spacing w:val="4"/>
          <w:sz w:val="16"/>
        </w:rPr>
        <w:t xml:space="preserve"> </w:t>
      </w:r>
      <w:r>
        <w:rPr>
          <w:sz w:val="16"/>
        </w:rPr>
        <w:t>prohibir</w:t>
      </w:r>
      <w:r>
        <w:rPr>
          <w:spacing w:val="5"/>
          <w:sz w:val="16"/>
        </w:rPr>
        <w:t xml:space="preserve"> </w:t>
      </w:r>
      <w:r>
        <w:rPr>
          <w:sz w:val="16"/>
        </w:rPr>
        <w:t>la</w:t>
      </w:r>
      <w:r>
        <w:rPr>
          <w:spacing w:val="6"/>
          <w:sz w:val="16"/>
        </w:rPr>
        <w:t xml:space="preserve"> </w:t>
      </w:r>
      <w:r>
        <w:rPr>
          <w:sz w:val="16"/>
        </w:rPr>
        <w:t>victimización.</w:t>
      </w:r>
      <w:r>
        <w:rPr>
          <w:spacing w:val="7"/>
          <w:sz w:val="16"/>
        </w:rPr>
        <w:t xml:space="preserve"> </w:t>
      </w:r>
      <w:r>
        <w:rPr>
          <w:color w:val="0075BF"/>
          <w:spacing w:val="-10"/>
          <w:sz w:val="16"/>
        </w:rPr>
        <w:t>•</w:t>
      </w:r>
    </w:p>
    <w:p w14:paraId="34F2271F" w14:textId="77777777" w:rsidR="0014798C" w:rsidRDefault="004E1F0B">
      <w:pPr>
        <w:pStyle w:val="Textoindependiente"/>
        <w:spacing w:before="180" w:line="326" w:lineRule="auto"/>
        <w:ind w:left="1561" w:right="1166" w:hanging="203"/>
      </w:pPr>
      <w:r>
        <w:t>La</w:t>
      </w:r>
      <w:r>
        <w:rPr>
          <w:spacing w:val="20"/>
        </w:rPr>
        <w:t xml:space="preserve"> </w:t>
      </w:r>
      <w:r>
        <w:t>victimización</w:t>
      </w:r>
      <w:r>
        <w:rPr>
          <w:spacing w:val="20"/>
        </w:rPr>
        <w:t xml:space="preserve"> </w:t>
      </w:r>
      <w:r>
        <w:t>ocurre</w:t>
      </w:r>
      <w:r>
        <w:rPr>
          <w:spacing w:val="20"/>
        </w:rPr>
        <w:t xml:space="preserve"> </w:t>
      </w:r>
      <w:r>
        <w:t>cuando</w:t>
      </w:r>
      <w:r>
        <w:rPr>
          <w:spacing w:val="20"/>
        </w:rPr>
        <w:t xml:space="preserve"> </w:t>
      </w:r>
      <w:r>
        <w:t>las</w:t>
      </w:r>
      <w:r>
        <w:rPr>
          <w:spacing w:val="20"/>
        </w:rPr>
        <w:t xml:space="preserve"> </w:t>
      </w:r>
      <w:r>
        <w:t>personas</w:t>
      </w:r>
      <w:r>
        <w:rPr>
          <w:spacing w:val="18"/>
        </w:rPr>
        <w:t xml:space="preserve"> </w:t>
      </w:r>
      <w:r>
        <w:t>experimentan</w:t>
      </w:r>
      <w:r>
        <w:rPr>
          <w:spacing w:val="18"/>
        </w:rPr>
        <w:t xml:space="preserve"> </w:t>
      </w:r>
      <w:r>
        <w:t>un</w:t>
      </w:r>
      <w:r>
        <w:rPr>
          <w:spacing w:val="20"/>
        </w:rPr>
        <w:t xml:space="preserve"> </w:t>
      </w:r>
      <w:r>
        <w:t>trato</w:t>
      </w:r>
      <w:r>
        <w:rPr>
          <w:spacing w:val="18"/>
        </w:rPr>
        <w:t xml:space="preserve"> </w:t>
      </w:r>
      <w:r>
        <w:t>adverso</w:t>
      </w:r>
      <w:r>
        <w:rPr>
          <w:spacing w:val="20"/>
        </w:rPr>
        <w:t xml:space="preserve"> </w:t>
      </w:r>
      <w:r>
        <w:t>o</w:t>
      </w:r>
      <w:r>
        <w:rPr>
          <w:spacing w:val="20"/>
        </w:rPr>
        <w:t xml:space="preserve"> </w:t>
      </w:r>
      <w:r>
        <w:t>consecuencias</w:t>
      </w:r>
      <w:r>
        <w:rPr>
          <w:spacing w:val="18"/>
        </w:rPr>
        <w:t xml:space="preserve"> </w:t>
      </w:r>
      <w:r>
        <w:t>como</w:t>
      </w:r>
      <w:r>
        <w:rPr>
          <w:spacing w:val="20"/>
        </w:rPr>
        <w:t xml:space="preserve"> </w:t>
      </w:r>
      <w:r>
        <w:t>resultado</w:t>
      </w:r>
      <w:r>
        <w:rPr>
          <w:spacing w:val="18"/>
        </w:rPr>
        <w:t xml:space="preserve"> </w:t>
      </w:r>
      <w:r>
        <w:t>de</w:t>
      </w:r>
      <w:r>
        <w:rPr>
          <w:spacing w:val="20"/>
        </w:rPr>
        <w:t xml:space="preserve"> </w:t>
      </w:r>
      <w:r>
        <w:t>su participación en</w:t>
      </w:r>
      <w:r>
        <w:rPr>
          <w:spacing w:val="13"/>
        </w:rPr>
        <w:t xml:space="preserve"> </w:t>
      </w:r>
      <w:r>
        <w:t>una</w:t>
      </w:r>
      <w:r>
        <w:rPr>
          <w:spacing w:val="13"/>
        </w:rPr>
        <w:t xml:space="preserve"> </w:t>
      </w:r>
      <w:r>
        <w:t>denuncia</w:t>
      </w:r>
      <w:r>
        <w:rPr>
          <w:spacing w:val="13"/>
        </w:rPr>
        <w:t xml:space="preserve"> </w:t>
      </w:r>
      <w:r>
        <w:t>de</w:t>
      </w:r>
      <w:r>
        <w:rPr>
          <w:spacing w:val="13"/>
        </w:rPr>
        <w:t xml:space="preserve"> </w:t>
      </w:r>
      <w:r>
        <w:t>discriminación</w:t>
      </w:r>
      <w:r>
        <w:rPr>
          <w:spacing w:val="13"/>
        </w:rPr>
        <w:t xml:space="preserve"> </w:t>
      </w:r>
      <w:r>
        <w:t>o</w:t>
      </w:r>
      <w:r>
        <w:rPr>
          <w:spacing w:val="13"/>
        </w:rPr>
        <w:t xml:space="preserve"> </w:t>
      </w:r>
      <w:r>
        <w:t>procedimientos destinados a</w:t>
      </w:r>
      <w:r>
        <w:rPr>
          <w:spacing w:val="13"/>
        </w:rPr>
        <w:t xml:space="preserve"> </w:t>
      </w:r>
      <w:r>
        <w:t>hacer cumplir las</w:t>
      </w:r>
      <w:r>
        <w:rPr>
          <w:spacing w:val="13"/>
        </w:rPr>
        <w:t xml:space="preserve"> </w:t>
      </w:r>
      <w:r>
        <w:t>disposiciones de</w:t>
      </w:r>
      <w:r>
        <w:rPr>
          <w:spacing w:val="13"/>
        </w:rPr>
        <w:t xml:space="preserve"> </w:t>
      </w:r>
      <w:r>
        <w:t>igualdad.</w:t>
      </w:r>
    </w:p>
    <w:p w14:paraId="48D3A41B" w14:textId="77777777" w:rsidR="0014798C" w:rsidRDefault="0014798C">
      <w:pPr>
        <w:pStyle w:val="Textoindependiente"/>
      </w:pPr>
    </w:p>
    <w:p w14:paraId="7A4B8376" w14:textId="77777777" w:rsidR="0014798C" w:rsidRDefault="0014798C">
      <w:pPr>
        <w:pStyle w:val="Textoindependiente"/>
        <w:spacing w:before="140"/>
      </w:pPr>
    </w:p>
    <w:p w14:paraId="3DFF3609" w14:textId="77777777" w:rsidR="0014798C" w:rsidRDefault="004E1F0B">
      <w:pPr>
        <w:pStyle w:val="Textoindependiente"/>
        <w:spacing w:line="326" w:lineRule="auto"/>
        <w:ind w:left="1107" w:right="1281" w:hanging="3"/>
      </w:pPr>
      <w:r>
        <w:t>La victimización –en algunas jurisdicciones denominada represalia o represalia– ocurre cuando las personas experimentan un</w:t>
      </w:r>
      <w:r>
        <w:rPr>
          <w:spacing w:val="80"/>
        </w:rPr>
        <w:t xml:space="preserve"> </w:t>
      </w:r>
      <w:r>
        <w:t>trato adverso</w:t>
      </w:r>
      <w:r>
        <w:rPr>
          <w:spacing w:val="20"/>
        </w:rPr>
        <w:t xml:space="preserve"> </w:t>
      </w:r>
      <w:r>
        <w:t>o</w:t>
      </w:r>
      <w:r>
        <w:rPr>
          <w:spacing w:val="20"/>
        </w:rPr>
        <w:t xml:space="preserve"> </w:t>
      </w:r>
      <w:r>
        <w:t>consecuencias como</w:t>
      </w:r>
      <w:r>
        <w:rPr>
          <w:spacing w:val="20"/>
        </w:rPr>
        <w:t xml:space="preserve"> </w:t>
      </w:r>
      <w:r>
        <w:t>resultado de</w:t>
      </w:r>
      <w:r>
        <w:rPr>
          <w:spacing w:val="20"/>
        </w:rPr>
        <w:t xml:space="preserve"> </w:t>
      </w:r>
      <w:r>
        <w:t>su</w:t>
      </w:r>
      <w:r>
        <w:rPr>
          <w:spacing w:val="20"/>
        </w:rPr>
        <w:t xml:space="preserve"> </w:t>
      </w:r>
      <w:r>
        <w:t>participación en</w:t>
      </w:r>
      <w:r>
        <w:rPr>
          <w:spacing w:val="20"/>
        </w:rPr>
        <w:t xml:space="preserve"> </w:t>
      </w:r>
      <w:r>
        <w:t>una</w:t>
      </w:r>
      <w:r>
        <w:rPr>
          <w:spacing w:val="20"/>
        </w:rPr>
        <w:t xml:space="preserve"> </w:t>
      </w:r>
      <w:r>
        <w:t>denuncia</w:t>
      </w:r>
      <w:r>
        <w:rPr>
          <w:spacing w:val="20"/>
        </w:rPr>
        <w:t xml:space="preserve"> </w:t>
      </w:r>
      <w:r>
        <w:t>de</w:t>
      </w:r>
      <w:r>
        <w:rPr>
          <w:spacing w:val="20"/>
        </w:rPr>
        <w:t xml:space="preserve"> </w:t>
      </w:r>
      <w:r>
        <w:t>discriminación</w:t>
      </w:r>
      <w:r>
        <w:rPr>
          <w:spacing w:val="20"/>
        </w:rPr>
        <w:t xml:space="preserve"> </w:t>
      </w:r>
      <w:r>
        <w:t>o</w:t>
      </w:r>
      <w:r>
        <w:rPr>
          <w:spacing w:val="20"/>
        </w:rPr>
        <w:t xml:space="preserve"> </w:t>
      </w:r>
      <w:r>
        <w:t>procedimientos destinados</w:t>
      </w:r>
      <w:r>
        <w:rPr>
          <w:spacing w:val="12"/>
        </w:rPr>
        <w:t xml:space="preserve"> </w:t>
      </w:r>
      <w:r>
        <w:t>a</w:t>
      </w:r>
      <w:r>
        <w:rPr>
          <w:spacing w:val="13"/>
        </w:rPr>
        <w:t xml:space="preserve"> </w:t>
      </w:r>
      <w:r>
        <w:t>hacer</w:t>
      </w:r>
      <w:r>
        <w:rPr>
          <w:spacing w:val="12"/>
        </w:rPr>
        <w:t xml:space="preserve"> </w:t>
      </w:r>
      <w:r>
        <w:t>cumplir</w:t>
      </w:r>
      <w:r>
        <w:rPr>
          <w:spacing w:val="12"/>
        </w:rPr>
        <w:t xml:space="preserve"> </w:t>
      </w:r>
      <w:r>
        <w:t>las</w:t>
      </w:r>
      <w:r>
        <w:rPr>
          <w:spacing w:val="13"/>
        </w:rPr>
        <w:t xml:space="preserve"> </w:t>
      </w:r>
      <w:r>
        <w:t>disposiciones</w:t>
      </w:r>
      <w:r>
        <w:rPr>
          <w:spacing w:val="12"/>
        </w:rPr>
        <w:t xml:space="preserve"> </w:t>
      </w:r>
      <w:r>
        <w:t>de</w:t>
      </w:r>
      <w:r>
        <w:rPr>
          <w:spacing w:val="13"/>
        </w:rPr>
        <w:t xml:space="preserve"> </w:t>
      </w:r>
      <w:r>
        <w:t>igualdad.348</w:t>
      </w:r>
      <w:r>
        <w:rPr>
          <w:spacing w:val="12"/>
        </w:rPr>
        <w:t xml:space="preserve"> </w:t>
      </w:r>
      <w:r>
        <w:t>Esto</w:t>
      </w:r>
      <w:r>
        <w:rPr>
          <w:spacing w:val="12"/>
        </w:rPr>
        <w:t xml:space="preserve"> </w:t>
      </w:r>
      <w:r>
        <w:t>incluye</w:t>
      </w:r>
      <w:r>
        <w:rPr>
          <w:spacing w:val="13"/>
        </w:rPr>
        <w:t xml:space="preserve"> </w:t>
      </w:r>
      <w:r>
        <w:t>denuncias</w:t>
      </w:r>
      <w:r>
        <w:rPr>
          <w:spacing w:val="12"/>
        </w:rPr>
        <w:t xml:space="preserve"> </w:t>
      </w:r>
      <w:r>
        <w:t>formales</w:t>
      </w:r>
      <w:r>
        <w:rPr>
          <w:spacing w:val="12"/>
        </w:rPr>
        <w:t xml:space="preserve"> </w:t>
      </w:r>
      <w:r>
        <w:t>e</w:t>
      </w:r>
      <w:r>
        <w:rPr>
          <w:spacing w:val="13"/>
        </w:rPr>
        <w:t xml:space="preserve"> </w:t>
      </w:r>
      <w:r>
        <w:t>informales</w:t>
      </w:r>
      <w:r>
        <w:rPr>
          <w:spacing w:val="12"/>
        </w:rPr>
        <w:t xml:space="preserve"> </w:t>
      </w:r>
      <w:r>
        <w:t>y</w:t>
      </w:r>
      <w:r>
        <w:rPr>
          <w:spacing w:val="13"/>
        </w:rPr>
        <w:t xml:space="preserve"> </w:t>
      </w:r>
      <w:r>
        <w:t>demandas</w:t>
      </w:r>
      <w:r>
        <w:rPr>
          <w:spacing w:val="12"/>
        </w:rPr>
        <w:t xml:space="preserve"> </w:t>
      </w:r>
      <w:r>
        <w:t>legales o de otro tipo. procedimientos iniciados por una víctima o víctimas de discriminación, así como aquellos iniciados por otra persona.349 El término “victimización” utilizado en la presente guía se refiere a esta forma específica de daño en la legislación antidiscriminatoria</w:t>
      </w:r>
      <w:r>
        <w:rPr>
          <w:spacing w:val="16"/>
        </w:rPr>
        <w:t xml:space="preserve"> </w:t>
      </w:r>
      <w:r>
        <w:t>y</w:t>
      </w:r>
      <w:r>
        <w:rPr>
          <w:spacing w:val="17"/>
        </w:rPr>
        <w:t xml:space="preserve"> </w:t>
      </w:r>
      <w:r>
        <w:t>no</w:t>
      </w:r>
      <w:r>
        <w:rPr>
          <w:spacing w:val="17"/>
        </w:rPr>
        <w:t xml:space="preserve"> </w:t>
      </w:r>
      <w:r>
        <w:t>debe</w:t>
      </w:r>
      <w:r>
        <w:rPr>
          <w:spacing w:val="17"/>
        </w:rPr>
        <w:t xml:space="preserve"> </w:t>
      </w:r>
      <w:r>
        <w:t>confundirse</w:t>
      </w:r>
      <w:r>
        <w:rPr>
          <w:spacing w:val="16"/>
        </w:rPr>
        <w:t xml:space="preserve"> </w:t>
      </w:r>
      <w:r>
        <w:t>con</w:t>
      </w:r>
      <w:r>
        <w:rPr>
          <w:spacing w:val="17"/>
        </w:rPr>
        <w:t xml:space="preserve"> </w:t>
      </w:r>
      <w:r>
        <w:t>el</w:t>
      </w:r>
      <w:r>
        <w:rPr>
          <w:spacing w:val="17"/>
        </w:rPr>
        <w:t xml:space="preserve"> </w:t>
      </w:r>
      <w:r>
        <w:t>término</w:t>
      </w:r>
      <w:r>
        <w:rPr>
          <w:spacing w:val="16"/>
        </w:rPr>
        <w:t xml:space="preserve"> </w:t>
      </w:r>
      <w:r>
        <w:t>común</w:t>
      </w:r>
      <w:r>
        <w:rPr>
          <w:spacing w:val="17"/>
        </w:rPr>
        <w:t xml:space="preserve"> </w:t>
      </w:r>
      <w:r>
        <w:t>uso</w:t>
      </w:r>
      <w:r>
        <w:rPr>
          <w:spacing w:val="17"/>
        </w:rPr>
        <w:t xml:space="preserve"> </w:t>
      </w:r>
      <w:r>
        <w:t>del</w:t>
      </w:r>
      <w:r>
        <w:rPr>
          <w:spacing w:val="17"/>
        </w:rPr>
        <w:t xml:space="preserve"> </w:t>
      </w:r>
      <w:r>
        <w:t>término</w:t>
      </w:r>
      <w:r>
        <w:rPr>
          <w:spacing w:val="16"/>
        </w:rPr>
        <w:t xml:space="preserve"> </w:t>
      </w:r>
      <w:r>
        <w:t>para</w:t>
      </w:r>
      <w:r>
        <w:rPr>
          <w:spacing w:val="17"/>
        </w:rPr>
        <w:t xml:space="preserve"> </w:t>
      </w:r>
      <w:r>
        <w:t>referirse</w:t>
      </w:r>
      <w:r>
        <w:rPr>
          <w:spacing w:val="17"/>
        </w:rPr>
        <w:t xml:space="preserve"> </w:t>
      </w:r>
      <w:r>
        <w:t>al</w:t>
      </w:r>
      <w:r>
        <w:rPr>
          <w:spacing w:val="17"/>
        </w:rPr>
        <w:t xml:space="preserve"> </w:t>
      </w:r>
      <w:proofErr w:type="spellStart"/>
      <w:r>
        <w:t>desempoderamiento</w:t>
      </w:r>
      <w:proofErr w:type="spellEnd"/>
      <w:r>
        <w:rPr>
          <w:spacing w:val="17"/>
        </w:rPr>
        <w:t xml:space="preserve"> </w:t>
      </w:r>
      <w:r>
        <w:t>de personas expuestas a discriminación.</w:t>
      </w:r>
    </w:p>
    <w:p w14:paraId="02C8CDF7" w14:textId="77777777" w:rsidR="0014798C" w:rsidRDefault="004E1F0B">
      <w:pPr>
        <w:pStyle w:val="Textoindependiente"/>
        <w:spacing w:before="167" w:line="326" w:lineRule="auto"/>
        <w:ind w:left="1108" w:right="1290" w:hanging="2"/>
      </w:pPr>
      <w:r>
        <w:t>Al igual que con otras formas de trato diferenciado, la intención es irrelevante para determinar la victimización.350 No existen justificaciones válidas para un reclamo bien fundamentado de victimización.351</w:t>
      </w:r>
    </w:p>
    <w:p w14:paraId="6C923646" w14:textId="77777777" w:rsidR="0014798C" w:rsidRDefault="0014798C">
      <w:pPr>
        <w:pStyle w:val="Textoindependiente"/>
        <w:rPr>
          <w:sz w:val="11"/>
        </w:rPr>
      </w:pPr>
    </w:p>
    <w:p w14:paraId="40390874" w14:textId="77777777" w:rsidR="0014798C" w:rsidRDefault="0014798C">
      <w:pPr>
        <w:pStyle w:val="Textoindependiente"/>
        <w:rPr>
          <w:sz w:val="11"/>
        </w:rPr>
      </w:pPr>
    </w:p>
    <w:p w14:paraId="67061FA2" w14:textId="77777777" w:rsidR="0014798C" w:rsidRDefault="0014798C">
      <w:pPr>
        <w:pStyle w:val="Textoindependiente"/>
        <w:rPr>
          <w:sz w:val="11"/>
        </w:rPr>
      </w:pPr>
    </w:p>
    <w:p w14:paraId="70F86D5B" w14:textId="77777777" w:rsidR="0014798C" w:rsidRDefault="0014798C">
      <w:pPr>
        <w:pStyle w:val="Textoindependiente"/>
        <w:rPr>
          <w:sz w:val="11"/>
        </w:rPr>
      </w:pPr>
    </w:p>
    <w:p w14:paraId="05881E4B" w14:textId="77777777" w:rsidR="0014798C" w:rsidRDefault="0014798C">
      <w:pPr>
        <w:pStyle w:val="Textoindependiente"/>
        <w:spacing w:before="94"/>
        <w:rPr>
          <w:sz w:val="11"/>
        </w:rPr>
      </w:pPr>
    </w:p>
    <w:p w14:paraId="51FEDBD1" w14:textId="77777777" w:rsidR="0014798C" w:rsidRDefault="004E1F0B">
      <w:pPr>
        <w:pStyle w:val="Prrafodelista"/>
        <w:numPr>
          <w:ilvl w:val="0"/>
          <w:numId w:val="68"/>
        </w:numPr>
        <w:tabs>
          <w:tab w:val="left" w:pos="1332"/>
        </w:tabs>
        <w:ind w:left="1332" w:hanging="225"/>
        <w:rPr>
          <w:sz w:val="11"/>
        </w:rPr>
      </w:pPr>
      <w:r>
        <w:rPr>
          <w:w w:val="105"/>
          <w:sz w:val="11"/>
        </w:rPr>
        <w:t>El</w:t>
      </w:r>
      <w:r>
        <w:rPr>
          <w:spacing w:val="-1"/>
          <w:w w:val="105"/>
          <w:sz w:val="11"/>
        </w:rPr>
        <w:t xml:space="preserve"> </w:t>
      </w:r>
      <w:r>
        <w:rPr>
          <w:w w:val="105"/>
          <w:sz w:val="11"/>
        </w:rPr>
        <w:t>funcionamiento de</w:t>
      </w:r>
      <w:r>
        <w:rPr>
          <w:spacing w:val="-1"/>
          <w:w w:val="105"/>
          <w:sz w:val="11"/>
        </w:rPr>
        <w:t xml:space="preserve"> </w:t>
      </w:r>
      <w:r>
        <w:rPr>
          <w:w w:val="105"/>
          <w:sz w:val="11"/>
        </w:rPr>
        <w:t>dichas escuelas es</w:t>
      </w:r>
      <w:r>
        <w:rPr>
          <w:spacing w:val="-1"/>
          <w:w w:val="105"/>
          <w:sz w:val="11"/>
        </w:rPr>
        <w:t xml:space="preserve"> </w:t>
      </w:r>
      <w:r>
        <w:rPr>
          <w:w w:val="105"/>
          <w:sz w:val="11"/>
        </w:rPr>
        <w:t>en sí</w:t>
      </w:r>
      <w:r>
        <w:rPr>
          <w:spacing w:val="-1"/>
          <w:w w:val="105"/>
          <w:sz w:val="11"/>
        </w:rPr>
        <w:t xml:space="preserve"> </w:t>
      </w:r>
      <w:r>
        <w:rPr>
          <w:w w:val="105"/>
          <w:sz w:val="11"/>
        </w:rPr>
        <w:t>mismo contrario al</w:t>
      </w:r>
      <w:r>
        <w:rPr>
          <w:spacing w:val="-1"/>
          <w:w w:val="105"/>
          <w:sz w:val="11"/>
        </w:rPr>
        <w:t xml:space="preserve"> </w:t>
      </w:r>
      <w:r>
        <w:rPr>
          <w:w w:val="105"/>
          <w:sz w:val="11"/>
        </w:rPr>
        <w:t>artículo 24 de</w:t>
      </w:r>
      <w:r>
        <w:rPr>
          <w:spacing w:val="-1"/>
          <w:w w:val="105"/>
          <w:sz w:val="11"/>
        </w:rPr>
        <w:t xml:space="preserve"> </w:t>
      </w:r>
      <w:r>
        <w:rPr>
          <w:w w:val="105"/>
          <w:sz w:val="11"/>
        </w:rPr>
        <w:t>la Convención</w:t>
      </w:r>
      <w:r>
        <w:rPr>
          <w:spacing w:val="-1"/>
          <w:w w:val="105"/>
          <w:sz w:val="11"/>
        </w:rPr>
        <w:t xml:space="preserve"> </w:t>
      </w:r>
      <w:r>
        <w:rPr>
          <w:w w:val="105"/>
          <w:sz w:val="11"/>
        </w:rPr>
        <w:t>sobre los Derechos</w:t>
      </w:r>
      <w:r>
        <w:rPr>
          <w:spacing w:val="-1"/>
          <w:w w:val="105"/>
          <w:sz w:val="11"/>
        </w:rPr>
        <w:t xml:space="preserve"> </w:t>
      </w:r>
      <w:r>
        <w:rPr>
          <w:w w:val="105"/>
          <w:sz w:val="11"/>
        </w:rPr>
        <w:t>de las Personas</w:t>
      </w:r>
      <w:r>
        <w:rPr>
          <w:spacing w:val="-1"/>
          <w:w w:val="105"/>
          <w:sz w:val="11"/>
        </w:rPr>
        <w:t xml:space="preserve"> </w:t>
      </w:r>
      <w:r>
        <w:rPr>
          <w:w w:val="105"/>
          <w:sz w:val="11"/>
        </w:rPr>
        <w:t xml:space="preserve">con </w:t>
      </w:r>
      <w:r>
        <w:rPr>
          <w:spacing w:val="-2"/>
          <w:w w:val="105"/>
          <w:sz w:val="11"/>
        </w:rPr>
        <w:t>Discapacidad.</w:t>
      </w:r>
    </w:p>
    <w:p w14:paraId="3943C016" w14:textId="77777777" w:rsidR="0014798C" w:rsidRDefault="004E1F0B">
      <w:pPr>
        <w:pStyle w:val="Prrafodelista"/>
        <w:numPr>
          <w:ilvl w:val="0"/>
          <w:numId w:val="68"/>
        </w:numPr>
        <w:tabs>
          <w:tab w:val="left" w:pos="1332"/>
        </w:tabs>
        <w:spacing w:before="110"/>
        <w:ind w:left="1332" w:hanging="225"/>
        <w:rPr>
          <w:sz w:val="11"/>
        </w:rPr>
      </w:pPr>
      <w:r>
        <w:rPr>
          <w:w w:val="105"/>
          <w:sz w:val="11"/>
        </w:rPr>
        <w:t>Por</w:t>
      </w:r>
      <w:r>
        <w:rPr>
          <w:spacing w:val="-2"/>
          <w:w w:val="105"/>
          <w:sz w:val="11"/>
        </w:rPr>
        <w:t xml:space="preserve"> </w:t>
      </w:r>
      <w:r>
        <w:rPr>
          <w:w w:val="105"/>
          <w:sz w:val="11"/>
        </w:rPr>
        <w:t>ejemplo, la</w:t>
      </w:r>
      <w:r>
        <w:rPr>
          <w:spacing w:val="-1"/>
          <w:w w:val="105"/>
          <w:sz w:val="11"/>
        </w:rPr>
        <w:t xml:space="preserve"> </w:t>
      </w:r>
      <w:r>
        <w:rPr>
          <w:w w:val="105"/>
          <w:sz w:val="11"/>
        </w:rPr>
        <w:t>Convención</w:t>
      </w:r>
      <w:r>
        <w:rPr>
          <w:spacing w:val="-1"/>
          <w:w w:val="105"/>
          <w:sz w:val="11"/>
        </w:rPr>
        <w:t xml:space="preserve"> </w:t>
      </w:r>
      <w:r>
        <w:rPr>
          <w:w w:val="105"/>
          <w:sz w:val="11"/>
        </w:rPr>
        <w:t>contra</w:t>
      </w:r>
      <w:r>
        <w:rPr>
          <w:spacing w:val="-1"/>
          <w:w w:val="105"/>
          <w:sz w:val="11"/>
        </w:rPr>
        <w:t xml:space="preserve"> </w:t>
      </w:r>
      <w:r>
        <w:rPr>
          <w:w w:val="105"/>
          <w:sz w:val="11"/>
        </w:rPr>
        <w:t>la</w:t>
      </w:r>
      <w:r>
        <w:rPr>
          <w:spacing w:val="-1"/>
          <w:w w:val="105"/>
          <w:sz w:val="11"/>
        </w:rPr>
        <w:t xml:space="preserve"> </w:t>
      </w:r>
      <w:r>
        <w:rPr>
          <w:w w:val="105"/>
          <w:sz w:val="11"/>
        </w:rPr>
        <w:t>Discriminación en</w:t>
      </w:r>
      <w:r>
        <w:rPr>
          <w:spacing w:val="-1"/>
          <w:w w:val="105"/>
          <w:sz w:val="11"/>
        </w:rPr>
        <w:t xml:space="preserve"> </w:t>
      </w:r>
      <w:r>
        <w:rPr>
          <w:w w:val="105"/>
          <w:sz w:val="11"/>
        </w:rPr>
        <w:t>la</w:t>
      </w:r>
      <w:r>
        <w:rPr>
          <w:spacing w:val="-1"/>
          <w:w w:val="105"/>
          <w:sz w:val="11"/>
        </w:rPr>
        <w:t xml:space="preserve"> </w:t>
      </w:r>
      <w:r>
        <w:rPr>
          <w:w w:val="105"/>
          <w:sz w:val="11"/>
        </w:rPr>
        <w:t>Educación</w:t>
      </w:r>
      <w:r>
        <w:rPr>
          <w:spacing w:val="-1"/>
          <w:w w:val="105"/>
          <w:sz w:val="11"/>
        </w:rPr>
        <w:t xml:space="preserve"> </w:t>
      </w:r>
      <w:r>
        <w:rPr>
          <w:w w:val="105"/>
          <w:sz w:val="11"/>
        </w:rPr>
        <w:t>establece, en</w:t>
      </w:r>
      <w:r>
        <w:rPr>
          <w:spacing w:val="-1"/>
          <w:w w:val="105"/>
          <w:sz w:val="11"/>
        </w:rPr>
        <w:t xml:space="preserve"> </w:t>
      </w:r>
      <w:r>
        <w:rPr>
          <w:w w:val="105"/>
          <w:sz w:val="11"/>
        </w:rPr>
        <w:t>el</w:t>
      </w:r>
      <w:r>
        <w:rPr>
          <w:spacing w:val="-1"/>
          <w:w w:val="105"/>
          <w:sz w:val="11"/>
        </w:rPr>
        <w:t xml:space="preserve"> </w:t>
      </w:r>
      <w:r>
        <w:rPr>
          <w:w w:val="105"/>
          <w:sz w:val="11"/>
        </w:rPr>
        <w:t>artículo</w:t>
      </w:r>
      <w:r>
        <w:rPr>
          <w:spacing w:val="-1"/>
          <w:w w:val="105"/>
          <w:sz w:val="11"/>
        </w:rPr>
        <w:t xml:space="preserve"> </w:t>
      </w:r>
      <w:r>
        <w:rPr>
          <w:w w:val="105"/>
          <w:sz w:val="11"/>
        </w:rPr>
        <w:t>2,</w:t>
      </w:r>
      <w:r>
        <w:rPr>
          <w:spacing w:val="-1"/>
          <w:w w:val="105"/>
          <w:sz w:val="11"/>
        </w:rPr>
        <w:t xml:space="preserve"> </w:t>
      </w:r>
      <w:r>
        <w:rPr>
          <w:w w:val="105"/>
          <w:sz w:val="11"/>
        </w:rPr>
        <w:t>las</w:t>
      </w:r>
      <w:r>
        <w:rPr>
          <w:spacing w:val="-1"/>
          <w:w w:val="105"/>
          <w:sz w:val="11"/>
        </w:rPr>
        <w:t xml:space="preserve"> </w:t>
      </w:r>
      <w:r>
        <w:rPr>
          <w:w w:val="105"/>
          <w:sz w:val="11"/>
        </w:rPr>
        <w:t>siguientes</w:t>
      </w:r>
      <w:r>
        <w:rPr>
          <w:spacing w:val="-2"/>
          <w:w w:val="105"/>
          <w:sz w:val="11"/>
        </w:rPr>
        <w:t xml:space="preserve"> </w:t>
      </w:r>
      <w:r>
        <w:rPr>
          <w:w w:val="105"/>
          <w:sz w:val="11"/>
        </w:rPr>
        <w:t>situaciones</w:t>
      </w:r>
      <w:r>
        <w:rPr>
          <w:spacing w:val="-1"/>
          <w:w w:val="105"/>
          <w:sz w:val="11"/>
        </w:rPr>
        <w:t xml:space="preserve"> </w:t>
      </w:r>
      <w:r>
        <w:rPr>
          <w:w w:val="105"/>
          <w:sz w:val="11"/>
        </w:rPr>
        <w:t>que</w:t>
      </w:r>
      <w:r>
        <w:rPr>
          <w:spacing w:val="-1"/>
          <w:w w:val="105"/>
          <w:sz w:val="11"/>
        </w:rPr>
        <w:t xml:space="preserve"> </w:t>
      </w:r>
      <w:r>
        <w:rPr>
          <w:w w:val="105"/>
          <w:sz w:val="11"/>
        </w:rPr>
        <w:t>no</w:t>
      </w:r>
      <w:r>
        <w:rPr>
          <w:spacing w:val="-1"/>
          <w:w w:val="105"/>
          <w:sz w:val="11"/>
        </w:rPr>
        <w:t xml:space="preserve"> </w:t>
      </w:r>
      <w:r>
        <w:rPr>
          <w:spacing w:val="-2"/>
          <w:w w:val="105"/>
          <w:sz w:val="11"/>
        </w:rPr>
        <w:t>constituirán</w:t>
      </w:r>
    </w:p>
    <w:p w14:paraId="772CD9B1" w14:textId="77777777" w:rsidR="0014798C" w:rsidRDefault="004E1F0B">
      <w:pPr>
        <w:spacing w:before="5"/>
        <w:ind w:left="1369"/>
        <w:rPr>
          <w:sz w:val="13"/>
        </w:rPr>
      </w:pPr>
      <w:r>
        <w:rPr>
          <w:w w:val="105"/>
          <w:sz w:val="13"/>
        </w:rPr>
        <w:t>discriminación</w:t>
      </w:r>
      <w:r>
        <w:rPr>
          <w:spacing w:val="-8"/>
          <w:w w:val="105"/>
          <w:sz w:val="13"/>
        </w:rPr>
        <w:t xml:space="preserve"> </w:t>
      </w:r>
      <w:r>
        <w:rPr>
          <w:w w:val="105"/>
          <w:sz w:val="13"/>
        </w:rPr>
        <w:t>dentro</w:t>
      </w:r>
      <w:r>
        <w:rPr>
          <w:spacing w:val="-7"/>
          <w:w w:val="105"/>
          <w:sz w:val="13"/>
        </w:rPr>
        <w:t xml:space="preserve"> </w:t>
      </w:r>
      <w:r>
        <w:rPr>
          <w:w w:val="105"/>
          <w:sz w:val="13"/>
        </w:rPr>
        <w:t>de</w:t>
      </w:r>
      <w:r>
        <w:rPr>
          <w:spacing w:val="-7"/>
          <w:w w:val="105"/>
          <w:sz w:val="13"/>
        </w:rPr>
        <w:t xml:space="preserve"> </w:t>
      </w:r>
      <w:r>
        <w:rPr>
          <w:w w:val="105"/>
          <w:sz w:val="13"/>
        </w:rPr>
        <w:t>la</w:t>
      </w:r>
      <w:r>
        <w:rPr>
          <w:spacing w:val="-7"/>
          <w:w w:val="105"/>
          <w:sz w:val="13"/>
        </w:rPr>
        <w:t xml:space="preserve"> </w:t>
      </w:r>
      <w:r>
        <w:rPr>
          <w:w w:val="105"/>
          <w:sz w:val="13"/>
        </w:rPr>
        <w:t>definición</w:t>
      </w:r>
      <w:r>
        <w:rPr>
          <w:spacing w:val="-8"/>
          <w:w w:val="105"/>
          <w:sz w:val="13"/>
        </w:rPr>
        <w:t xml:space="preserve"> </w:t>
      </w:r>
      <w:r>
        <w:rPr>
          <w:w w:val="105"/>
          <w:sz w:val="13"/>
        </w:rPr>
        <w:t>del</w:t>
      </w:r>
      <w:r>
        <w:rPr>
          <w:spacing w:val="-7"/>
          <w:w w:val="105"/>
          <w:sz w:val="13"/>
        </w:rPr>
        <w:t xml:space="preserve"> </w:t>
      </w:r>
      <w:r>
        <w:rPr>
          <w:w w:val="105"/>
          <w:sz w:val="13"/>
        </w:rPr>
        <w:t>término</w:t>
      </w:r>
      <w:r>
        <w:rPr>
          <w:spacing w:val="-7"/>
          <w:w w:val="105"/>
          <w:sz w:val="13"/>
        </w:rPr>
        <w:t xml:space="preserve"> </w:t>
      </w:r>
      <w:r>
        <w:rPr>
          <w:w w:val="105"/>
          <w:sz w:val="13"/>
        </w:rPr>
        <w:t>dada</w:t>
      </w:r>
      <w:r>
        <w:rPr>
          <w:spacing w:val="-7"/>
          <w:w w:val="105"/>
          <w:sz w:val="13"/>
        </w:rPr>
        <w:t xml:space="preserve"> </w:t>
      </w:r>
      <w:r>
        <w:rPr>
          <w:w w:val="105"/>
          <w:sz w:val="13"/>
        </w:rPr>
        <w:t>en</w:t>
      </w:r>
      <w:r>
        <w:rPr>
          <w:spacing w:val="-7"/>
          <w:w w:val="105"/>
          <w:sz w:val="13"/>
        </w:rPr>
        <w:t xml:space="preserve"> </w:t>
      </w:r>
      <w:r>
        <w:rPr>
          <w:w w:val="105"/>
          <w:sz w:val="13"/>
        </w:rPr>
        <w:t>el</w:t>
      </w:r>
      <w:r>
        <w:rPr>
          <w:spacing w:val="-8"/>
          <w:w w:val="105"/>
          <w:sz w:val="13"/>
        </w:rPr>
        <w:t xml:space="preserve"> </w:t>
      </w:r>
      <w:r>
        <w:rPr>
          <w:w w:val="105"/>
          <w:sz w:val="13"/>
        </w:rPr>
        <w:t>artículo</w:t>
      </w:r>
      <w:r>
        <w:rPr>
          <w:spacing w:val="-7"/>
          <w:w w:val="105"/>
          <w:sz w:val="13"/>
        </w:rPr>
        <w:t xml:space="preserve"> </w:t>
      </w:r>
      <w:r>
        <w:rPr>
          <w:w w:val="105"/>
          <w:sz w:val="13"/>
        </w:rPr>
        <w:t>1</w:t>
      </w:r>
      <w:r>
        <w:rPr>
          <w:spacing w:val="-7"/>
          <w:w w:val="105"/>
          <w:sz w:val="13"/>
        </w:rPr>
        <w:t xml:space="preserve"> </w:t>
      </w:r>
      <w:r>
        <w:rPr>
          <w:w w:val="105"/>
          <w:sz w:val="13"/>
        </w:rPr>
        <w:t>de</w:t>
      </w:r>
      <w:r>
        <w:rPr>
          <w:spacing w:val="-7"/>
          <w:w w:val="105"/>
          <w:sz w:val="13"/>
        </w:rPr>
        <w:t xml:space="preserve"> </w:t>
      </w:r>
      <w:r>
        <w:rPr>
          <w:w w:val="105"/>
          <w:sz w:val="13"/>
        </w:rPr>
        <w:t>la</w:t>
      </w:r>
      <w:r>
        <w:rPr>
          <w:spacing w:val="-8"/>
          <w:w w:val="105"/>
          <w:sz w:val="13"/>
        </w:rPr>
        <w:t xml:space="preserve"> </w:t>
      </w:r>
      <w:r>
        <w:rPr>
          <w:spacing w:val="-2"/>
          <w:w w:val="105"/>
          <w:sz w:val="13"/>
        </w:rPr>
        <w:t>Convención:</w:t>
      </w:r>
    </w:p>
    <w:p w14:paraId="0EA84301" w14:textId="77777777" w:rsidR="0014798C" w:rsidRDefault="004E1F0B">
      <w:pPr>
        <w:pStyle w:val="Prrafodelista"/>
        <w:numPr>
          <w:ilvl w:val="1"/>
          <w:numId w:val="68"/>
        </w:numPr>
        <w:tabs>
          <w:tab w:val="left" w:pos="1952"/>
        </w:tabs>
        <w:spacing w:before="87" w:line="288" w:lineRule="auto"/>
        <w:ind w:right="2111" w:firstLine="8"/>
        <w:jc w:val="left"/>
        <w:rPr>
          <w:sz w:val="13"/>
        </w:rPr>
      </w:pPr>
      <w:r>
        <w:rPr>
          <w:w w:val="105"/>
          <w:sz w:val="13"/>
        </w:rPr>
        <w:t>El</w:t>
      </w:r>
      <w:r>
        <w:rPr>
          <w:spacing w:val="-7"/>
          <w:w w:val="105"/>
          <w:sz w:val="13"/>
        </w:rPr>
        <w:t xml:space="preserve"> </w:t>
      </w:r>
      <w:r>
        <w:rPr>
          <w:w w:val="105"/>
          <w:sz w:val="13"/>
        </w:rPr>
        <w:t>establecimiento</w:t>
      </w:r>
      <w:r>
        <w:rPr>
          <w:spacing w:val="-7"/>
          <w:w w:val="105"/>
          <w:sz w:val="13"/>
        </w:rPr>
        <w:t xml:space="preserve"> </w:t>
      </w:r>
      <w:r>
        <w:rPr>
          <w:w w:val="105"/>
          <w:sz w:val="13"/>
        </w:rPr>
        <w:t>o</w:t>
      </w:r>
      <w:r>
        <w:rPr>
          <w:spacing w:val="-7"/>
          <w:w w:val="105"/>
          <w:sz w:val="13"/>
        </w:rPr>
        <w:t xml:space="preserve"> </w:t>
      </w:r>
      <w:r>
        <w:rPr>
          <w:w w:val="105"/>
          <w:sz w:val="13"/>
        </w:rPr>
        <w:t>mantenimiento</w:t>
      </w:r>
      <w:r>
        <w:rPr>
          <w:spacing w:val="-7"/>
          <w:w w:val="105"/>
          <w:sz w:val="13"/>
        </w:rPr>
        <w:t xml:space="preserve"> </w:t>
      </w:r>
      <w:r>
        <w:rPr>
          <w:w w:val="105"/>
          <w:sz w:val="13"/>
        </w:rPr>
        <w:t>de</w:t>
      </w:r>
      <w:r>
        <w:rPr>
          <w:spacing w:val="-7"/>
          <w:w w:val="105"/>
          <w:sz w:val="13"/>
        </w:rPr>
        <w:t xml:space="preserve"> </w:t>
      </w:r>
      <w:r>
        <w:rPr>
          <w:w w:val="105"/>
          <w:sz w:val="13"/>
        </w:rPr>
        <w:t>sistemas</w:t>
      </w:r>
      <w:r>
        <w:rPr>
          <w:spacing w:val="-7"/>
          <w:w w:val="105"/>
          <w:sz w:val="13"/>
        </w:rPr>
        <w:t xml:space="preserve"> </w:t>
      </w:r>
      <w:r>
        <w:rPr>
          <w:w w:val="105"/>
          <w:sz w:val="13"/>
        </w:rPr>
        <w:t>o</w:t>
      </w:r>
      <w:r>
        <w:rPr>
          <w:spacing w:val="-7"/>
          <w:w w:val="105"/>
          <w:sz w:val="13"/>
        </w:rPr>
        <w:t xml:space="preserve"> </w:t>
      </w:r>
      <w:r>
        <w:rPr>
          <w:w w:val="105"/>
          <w:sz w:val="13"/>
        </w:rPr>
        <w:t>instituciones</w:t>
      </w:r>
      <w:r>
        <w:rPr>
          <w:spacing w:val="-7"/>
          <w:w w:val="105"/>
          <w:sz w:val="13"/>
        </w:rPr>
        <w:t xml:space="preserve"> </w:t>
      </w:r>
      <w:r>
        <w:rPr>
          <w:w w:val="105"/>
          <w:sz w:val="13"/>
        </w:rPr>
        <w:t>educativas</w:t>
      </w:r>
      <w:r>
        <w:rPr>
          <w:spacing w:val="-7"/>
          <w:w w:val="105"/>
          <w:sz w:val="13"/>
        </w:rPr>
        <w:t xml:space="preserve"> </w:t>
      </w:r>
      <w:r>
        <w:rPr>
          <w:w w:val="105"/>
          <w:sz w:val="13"/>
        </w:rPr>
        <w:t>separadas</w:t>
      </w:r>
      <w:r>
        <w:rPr>
          <w:spacing w:val="-7"/>
          <w:w w:val="105"/>
          <w:sz w:val="13"/>
        </w:rPr>
        <w:t xml:space="preserve"> </w:t>
      </w:r>
      <w:r>
        <w:rPr>
          <w:w w:val="105"/>
          <w:sz w:val="13"/>
        </w:rPr>
        <w:t>para</w:t>
      </w:r>
      <w:r>
        <w:rPr>
          <w:spacing w:val="-7"/>
          <w:w w:val="105"/>
          <w:sz w:val="13"/>
        </w:rPr>
        <w:t xml:space="preserve"> </w:t>
      </w:r>
      <w:r>
        <w:rPr>
          <w:w w:val="105"/>
          <w:sz w:val="13"/>
        </w:rPr>
        <w:t>alumnos</w:t>
      </w:r>
      <w:r>
        <w:rPr>
          <w:spacing w:val="-7"/>
          <w:w w:val="105"/>
          <w:sz w:val="13"/>
        </w:rPr>
        <w:t xml:space="preserve"> </w:t>
      </w:r>
      <w:r>
        <w:rPr>
          <w:w w:val="105"/>
          <w:sz w:val="13"/>
        </w:rPr>
        <w:t>de</w:t>
      </w:r>
      <w:r>
        <w:rPr>
          <w:spacing w:val="-7"/>
          <w:w w:val="105"/>
          <w:sz w:val="13"/>
        </w:rPr>
        <w:t xml:space="preserve"> </w:t>
      </w:r>
      <w:r>
        <w:rPr>
          <w:w w:val="105"/>
          <w:sz w:val="13"/>
        </w:rPr>
        <w:t>ambos</w:t>
      </w:r>
      <w:r>
        <w:rPr>
          <w:spacing w:val="-7"/>
          <w:w w:val="105"/>
          <w:sz w:val="13"/>
        </w:rPr>
        <w:t xml:space="preserve"> </w:t>
      </w:r>
      <w:r>
        <w:rPr>
          <w:w w:val="105"/>
          <w:sz w:val="13"/>
        </w:rPr>
        <w:t>sexos,</w:t>
      </w:r>
      <w:r>
        <w:rPr>
          <w:spacing w:val="-7"/>
          <w:w w:val="105"/>
          <w:sz w:val="13"/>
        </w:rPr>
        <w:t xml:space="preserve"> </w:t>
      </w:r>
      <w:r>
        <w:rPr>
          <w:w w:val="105"/>
          <w:sz w:val="13"/>
        </w:rPr>
        <w:t>si</w:t>
      </w:r>
      <w:r>
        <w:rPr>
          <w:spacing w:val="-7"/>
          <w:w w:val="105"/>
          <w:sz w:val="13"/>
        </w:rPr>
        <w:t xml:space="preserve"> </w:t>
      </w:r>
      <w:r>
        <w:rPr>
          <w:w w:val="105"/>
          <w:sz w:val="13"/>
        </w:rPr>
        <w:t>dichos</w:t>
      </w:r>
      <w:r>
        <w:rPr>
          <w:spacing w:val="40"/>
          <w:w w:val="105"/>
          <w:sz w:val="13"/>
        </w:rPr>
        <w:t xml:space="preserve"> </w:t>
      </w:r>
      <w:r>
        <w:rPr>
          <w:w w:val="105"/>
          <w:sz w:val="13"/>
        </w:rPr>
        <w:t>sistemas</w:t>
      </w:r>
      <w:r>
        <w:rPr>
          <w:spacing w:val="-2"/>
          <w:w w:val="105"/>
          <w:sz w:val="13"/>
        </w:rPr>
        <w:t xml:space="preserve"> </w:t>
      </w:r>
      <w:r>
        <w:rPr>
          <w:w w:val="105"/>
          <w:sz w:val="13"/>
        </w:rPr>
        <w:t>o</w:t>
      </w:r>
      <w:r>
        <w:rPr>
          <w:spacing w:val="-2"/>
          <w:w w:val="105"/>
          <w:sz w:val="13"/>
        </w:rPr>
        <w:t xml:space="preserve"> </w:t>
      </w:r>
      <w:r>
        <w:rPr>
          <w:w w:val="105"/>
          <w:sz w:val="13"/>
        </w:rPr>
        <w:t>instituciones</w:t>
      </w:r>
      <w:r>
        <w:rPr>
          <w:spacing w:val="-2"/>
          <w:w w:val="105"/>
          <w:sz w:val="13"/>
        </w:rPr>
        <w:t xml:space="preserve"> </w:t>
      </w:r>
      <w:r>
        <w:rPr>
          <w:w w:val="105"/>
          <w:sz w:val="13"/>
        </w:rPr>
        <w:t>ofrecen</w:t>
      </w:r>
      <w:r>
        <w:rPr>
          <w:spacing w:val="-2"/>
          <w:w w:val="105"/>
          <w:sz w:val="13"/>
        </w:rPr>
        <w:t xml:space="preserve"> </w:t>
      </w:r>
      <w:r>
        <w:rPr>
          <w:w w:val="105"/>
          <w:sz w:val="13"/>
        </w:rPr>
        <w:t>un</w:t>
      </w:r>
      <w:r>
        <w:rPr>
          <w:spacing w:val="-2"/>
          <w:w w:val="105"/>
          <w:sz w:val="13"/>
        </w:rPr>
        <w:t xml:space="preserve"> </w:t>
      </w:r>
      <w:r>
        <w:rPr>
          <w:w w:val="105"/>
          <w:sz w:val="13"/>
        </w:rPr>
        <w:t>acceso</w:t>
      </w:r>
      <w:r>
        <w:rPr>
          <w:spacing w:val="-2"/>
          <w:w w:val="105"/>
          <w:sz w:val="13"/>
        </w:rPr>
        <w:t xml:space="preserve"> </w:t>
      </w:r>
      <w:r>
        <w:rPr>
          <w:w w:val="105"/>
          <w:sz w:val="13"/>
        </w:rPr>
        <w:t>equivalente</w:t>
      </w:r>
      <w:r>
        <w:rPr>
          <w:spacing w:val="-2"/>
          <w:w w:val="105"/>
          <w:sz w:val="13"/>
        </w:rPr>
        <w:t xml:space="preserve"> </w:t>
      </w:r>
      <w:r>
        <w:rPr>
          <w:w w:val="105"/>
          <w:sz w:val="13"/>
        </w:rPr>
        <w:t>a</w:t>
      </w:r>
      <w:r>
        <w:rPr>
          <w:spacing w:val="-2"/>
          <w:w w:val="105"/>
          <w:sz w:val="13"/>
        </w:rPr>
        <w:t xml:space="preserve"> </w:t>
      </w:r>
      <w:r>
        <w:rPr>
          <w:w w:val="105"/>
          <w:sz w:val="13"/>
        </w:rPr>
        <w:t>la</w:t>
      </w:r>
      <w:r>
        <w:rPr>
          <w:spacing w:val="-2"/>
          <w:w w:val="105"/>
          <w:sz w:val="13"/>
        </w:rPr>
        <w:t xml:space="preserve"> </w:t>
      </w:r>
      <w:r>
        <w:rPr>
          <w:w w:val="105"/>
          <w:sz w:val="13"/>
        </w:rPr>
        <w:t>educación,</w:t>
      </w:r>
      <w:r>
        <w:rPr>
          <w:spacing w:val="-1"/>
          <w:w w:val="105"/>
          <w:sz w:val="13"/>
        </w:rPr>
        <w:t xml:space="preserve"> </w:t>
      </w:r>
      <w:r>
        <w:rPr>
          <w:w w:val="105"/>
          <w:sz w:val="13"/>
        </w:rPr>
        <w:t>proporcionan</w:t>
      </w:r>
      <w:r>
        <w:rPr>
          <w:spacing w:val="-2"/>
          <w:w w:val="105"/>
          <w:sz w:val="13"/>
        </w:rPr>
        <w:t xml:space="preserve"> </w:t>
      </w:r>
      <w:r>
        <w:rPr>
          <w:w w:val="105"/>
          <w:sz w:val="13"/>
        </w:rPr>
        <w:t>un</w:t>
      </w:r>
      <w:r>
        <w:rPr>
          <w:spacing w:val="-2"/>
          <w:w w:val="105"/>
          <w:sz w:val="13"/>
        </w:rPr>
        <w:t xml:space="preserve"> </w:t>
      </w:r>
      <w:r>
        <w:rPr>
          <w:w w:val="105"/>
          <w:sz w:val="13"/>
        </w:rPr>
        <w:t>personal</w:t>
      </w:r>
      <w:r>
        <w:rPr>
          <w:spacing w:val="-2"/>
          <w:w w:val="105"/>
          <w:sz w:val="13"/>
        </w:rPr>
        <w:t xml:space="preserve"> </w:t>
      </w:r>
      <w:r>
        <w:rPr>
          <w:w w:val="105"/>
          <w:sz w:val="13"/>
        </w:rPr>
        <w:t>docente</w:t>
      </w:r>
      <w:r>
        <w:rPr>
          <w:spacing w:val="-2"/>
          <w:w w:val="105"/>
          <w:sz w:val="13"/>
        </w:rPr>
        <w:t xml:space="preserve"> </w:t>
      </w:r>
      <w:r>
        <w:rPr>
          <w:w w:val="105"/>
          <w:sz w:val="13"/>
        </w:rPr>
        <w:t>con</w:t>
      </w:r>
      <w:r>
        <w:rPr>
          <w:spacing w:val="-2"/>
          <w:w w:val="105"/>
          <w:sz w:val="13"/>
        </w:rPr>
        <w:t xml:space="preserve"> </w:t>
      </w:r>
      <w:r>
        <w:rPr>
          <w:w w:val="105"/>
          <w:sz w:val="13"/>
        </w:rPr>
        <w:t>calificaciones</w:t>
      </w:r>
      <w:r>
        <w:rPr>
          <w:spacing w:val="-2"/>
          <w:w w:val="105"/>
          <w:sz w:val="13"/>
        </w:rPr>
        <w:t xml:space="preserve"> </w:t>
      </w:r>
      <w:r>
        <w:rPr>
          <w:w w:val="105"/>
          <w:sz w:val="13"/>
        </w:rPr>
        <w:t>del</w:t>
      </w:r>
      <w:r>
        <w:rPr>
          <w:spacing w:val="40"/>
          <w:w w:val="105"/>
          <w:sz w:val="13"/>
        </w:rPr>
        <w:t xml:space="preserve"> </w:t>
      </w:r>
      <w:r>
        <w:rPr>
          <w:w w:val="105"/>
          <w:sz w:val="13"/>
        </w:rPr>
        <w:t>mismo</w:t>
      </w:r>
      <w:r>
        <w:rPr>
          <w:spacing w:val="-1"/>
          <w:w w:val="105"/>
          <w:sz w:val="13"/>
        </w:rPr>
        <w:t xml:space="preserve"> </w:t>
      </w:r>
      <w:r>
        <w:rPr>
          <w:w w:val="105"/>
          <w:sz w:val="13"/>
        </w:rPr>
        <w:t>nivel,</w:t>
      </w:r>
      <w:r>
        <w:rPr>
          <w:spacing w:val="-1"/>
          <w:w w:val="105"/>
          <w:sz w:val="13"/>
        </w:rPr>
        <w:t xml:space="preserve"> </w:t>
      </w:r>
      <w:r>
        <w:rPr>
          <w:w w:val="105"/>
          <w:sz w:val="13"/>
        </w:rPr>
        <w:t>así</w:t>
      </w:r>
      <w:r>
        <w:rPr>
          <w:spacing w:val="-1"/>
          <w:w w:val="105"/>
          <w:sz w:val="13"/>
        </w:rPr>
        <w:t xml:space="preserve"> </w:t>
      </w:r>
      <w:r>
        <w:rPr>
          <w:w w:val="105"/>
          <w:sz w:val="13"/>
        </w:rPr>
        <w:t>como</w:t>
      </w:r>
      <w:r>
        <w:rPr>
          <w:spacing w:val="-1"/>
          <w:w w:val="105"/>
          <w:sz w:val="13"/>
        </w:rPr>
        <w:t xml:space="preserve"> </w:t>
      </w:r>
      <w:r>
        <w:rPr>
          <w:w w:val="105"/>
          <w:sz w:val="13"/>
        </w:rPr>
        <w:t>locales</w:t>
      </w:r>
      <w:r>
        <w:rPr>
          <w:spacing w:val="-1"/>
          <w:w w:val="105"/>
          <w:sz w:val="13"/>
        </w:rPr>
        <w:t xml:space="preserve"> </w:t>
      </w:r>
      <w:r>
        <w:rPr>
          <w:w w:val="105"/>
          <w:sz w:val="13"/>
        </w:rPr>
        <w:t>y</w:t>
      </w:r>
      <w:r>
        <w:rPr>
          <w:spacing w:val="-1"/>
          <w:w w:val="105"/>
          <w:sz w:val="13"/>
        </w:rPr>
        <w:t xml:space="preserve"> </w:t>
      </w:r>
      <w:r>
        <w:rPr>
          <w:w w:val="105"/>
          <w:sz w:val="13"/>
        </w:rPr>
        <w:t>equipos</w:t>
      </w:r>
      <w:r>
        <w:rPr>
          <w:spacing w:val="-1"/>
          <w:w w:val="105"/>
          <w:sz w:val="13"/>
        </w:rPr>
        <w:t xml:space="preserve"> </w:t>
      </w:r>
      <w:r>
        <w:rPr>
          <w:w w:val="105"/>
          <w:sz w:val="13"/>
        </w:rPr>
        <w:t>escolares</w:t>
      </w:r>
      <w:r>
        <w:rPr>
          <w:spacing w:val="-1"/>
          <w:w w:val="105"/>
          <w:sz w:val="13"/>
        </w:rPr>
        <w:t xml:space="preserve"> </w:t>
      </w:r>
      <w:r>
        <w:rPr>
          <w:w w:val="105"/>
          <w:sz w:val="13"/>
        </w:rPr>
        <w:t>de</w:t>
      </w:r>
      <w:r>
        <w:rPr>
          <w:spacing w:val="-1"/>
          <w:w w:val="105"/>
          <w:sz w:val="13"/>
        </w:rPr>
        <w:t xml:space="preserve"> </w:t>
      </w:r>
      <w:r>
        <w:rPr>
          <w:w w:val="105"/>
          <w:sz w:val="13"/>
        </w:rPr>
        <w:t>la</w:t>
      </w:r>
      <w:r>
        <w:rPr>
          <w:spacing w:val="-1"/>
          <w:w w:val="105"/>
          <w:sz w:val="13"/>
        </w:rPr>
        <w:t xml:space="preserve"> </w:t>
      </w:r>
      <w:proofErr w:type="spellStart"/>
      <w:r>
        <w:rPr>
          <w:w w:val="105"/>
          <w:sz w:val="13"/>
        </w:rPr>
        <w:t>la</w:t>
      </w:r>
      <w:proofErr w:type="spellEnd"/>
      <w:r>
        <w:rPr>
          <w:spacing w:val="-1"/>
          <w:w w:val="105"/>
          <w:sz w:val="13"/>
        </w:rPr>
        <w:t xml:space="preserve"> </w:t>
      </w:r>
      <w:r>
        <w:rPr>
          <w:w w:val="105"/>
          <w:sz w:val="13"/>
        </w:rPr>
        <w:t>misma</w:t>
      </w:r>
      <w:r>
        <w:rPr>
          <w:spacing w:val="-1"/>
          <w:w w:val="105"/>
          <w:sz w:val="13"/>
        </w:rPr>
        <w:t xml:space="preserve"> </w:t>
      </w:r>
      <w:r>
        <w:rPr>
          <w:w w:val="105"/>
          <w:sz w:val="13"/>
        </w:rPr>
        <w:t>calidad</w:t>
      </w:r>
      <w:r>
        <w:rPr>
          <w:spacing w:val="-1"/>
          <w:w w:val="105"/>
          <w:sz w:val="13"/>
        </w:rPr>
        <w:t xml:space="preserve"> </w:t>
      </w:r>
      <w:r>
        <w:rPr>
          <w:w w:val="105"/>
          <w:sz w:val="13"/>
        </w:rPr>
        <w:t>y</w:t>
      </w:r>
      <w:r>
        <w:rPr>
          <w:spacing w:val="-1"/>
          <w:w w:val="105"/>
          <w:sz w:val="13"/>
        </w:rPr>
        <w:t xml:space="preserve"> </w:t>
      </w:r>
      <w:r>
        <w:rPr>
          <w:w w:val="105"/>
          <w:sz w:val="13"/>
        </w:rPr>
        <w:t>brindar</w:t>
      </w:r>
      <w:r>
        <w:rPr>
          <w:spacing w:val="-1"/>
          <w:w w:val="105"/>
          <w:sz w:val="13"/>
        </w:rPr>
        <w:t xml:space="preserve"> </w:t>
      </w:r>
      <w:r>
        <w:rPr>
          <w:w w:val="105"/>
          <w:sz w:val="13"/>
        </w:rPr>
        <w:t>la</w:t>
      </w:r>
      <w:r>
        <w:rPr>
          <w:spacing w:val="-1"/>
          <w:w w:val="105"/>
          <w:sz w:val="13"/>
        </w:rPr>
        <w:t xml:space="preserve"> </w:t>
      </w:r>
      <w:r>
        <w:rPr>
          <w:w w:val="105"/>
          <w:sz w:val="13"/>
        </w:rPr>
        <w:t>oportunidad</w:t>
      </w:r>
      <w:r>
        <w:rPr>
          <w:spacing w:val="-1"/>
          <w:w w:val="105"/>
          <w:sz w:val="13"/>
        </w:rPr>
        <w:t xml:space="preserve"> </w:t>
      </w:r>
      <w:r>
        <w:rPr>
          <w:w w:val="105"/>
          <w:sz w:val="13"/>
        </w:rPr>
        <w:t>de</w:t>
      </w:r>
      <w:r>
        <w:rPr>
          <w:spacing w:val="-1"/>
          <w:w w:val="105"/>
          <w:sz w:val="13"/>
        </w:rPr>
        <w:t xml:space="preserve"> </w:t>
      </w:r>
      <w:r>
        <w:rPr>
          <w:w w:val="105"/>
          <w:sz w:val="13"/>
        </w:rPr>
        <w:t>seguir</w:t>
      </w:r>
      <w:r>
        <w:rPr>
          <w:spacing w:val="-1"/>
          <w:w w:val="105"/>
          <w:sz w:val="13"/>
        </w:rPr>
        <w:t xml:space="preserve"> </w:t>
      </w:r>
      <w:r>
        <w:rPr>
          <w:w w:val="105"/>
          <w:sz w:val="13"/>
        </w:rPr>
        <w:t>cursos</w:t>
      </w:r>
      <w:r>
        <w:rPr>
          <w:spacing w:val="-1"/>
          <w:w w:val="105"/>
          <w:sz w:val="13"/>
        </w:rPr>
        <w:t xml:space="preserve"> </w:t>
      </w:r>
      <w:r>
        <w:rPr>
          <w:w w:val="105"/>
          <w:sz w:val="13"/>
        </w:rPr>
        <w:t>de</w:t>
      </w:r>
      <w:r>
        <w:rPr>
          <w:spacing w:val="-1"/>
          <w:w w:val="105"/>
          <w:sz w:val="13"/>
        </w:rPr>
        <w:t xml:space="preserve"> </w:t>
      </w:r>
      <w:r>
        <w:rPr>
          <w:w w:val="105"/>
          <w:sz w:val="13"/>
        </w:rPr>
        <w:t>estudio</w:t>
      </w:r>
      <w:r>
        <w:rPr>
          <w:spacing w:val="40"/>
          <w:w w:val="105"/>
          <w:sz w:val="13"/>
        </w:rPr>
        <w:t xml:space="preserve"> </w:t>
      </w:r>
      <w:r>
        <w:rPr>
          <w:w w:val="105"/>
          <w:sz w:val="13"/>
        </w:rPr>
        <w:t>iguales</w:t>
      </w:r>
      <w:r>
        <w:rPr>
          <w:spacing w:val="-7"/>
          <w:w w:val="105"/>
          <w:sz w:val="13"/>
        </w:rPr>
        <w:t xml:space="preserve"> </w:t>
      </w:r>
      <w:r>
        <w:rPr>
          <w:w w:val="105"/>
          <w:sz w:val="13"/>
        </w:rPr>
        <w:t>o</w:t>
      </w:r>
      <w:r>
        <w:rPr>
          <w:spacing w:val="-7"/>
          <w:w w:val="105"/>
          <w:sz w:val="13"/>
        </w:rPr>
        <w:t xml:space="preserve"> </w:t>
      </w:r>
      <w:r>
        <w:rPr>
          <w:w w:val="105"/>
          <w:sz w:val="13"/>
        </w:rPr>
        <w:t>equivalentes;</w:t>
      </w:r>
    </w:p>
    <w:p w14:paraId="681F3FD3" w14:textId="77777777" w:rsidR="0014798C" w:rsidRDefault="004E1F0B">
      <w:pPr>
        <w:pStyle w:val="Prrafodelista"/>
        <w:numPr>
          <w:ilvl w:val="0"/>
          <w:numId w:val="67"/>
        </w:numPr>
        <w:tabs>
          <w:tab w:val="left" w:pos="1997"/>
        </w:tabs>
        <w:spacing w:before="58" w:line="288" w:lineRule="auto"/>
        <w:ind w:right="2005" w:firstLine="7"/>
        <w:rPr>
          <w:sz w:val="13"/>
        </w:rPr>
      </w:pPr>
      <w:r>
        <w:rPr>
          <w:w w:val="105"/>
          <w:sz w:val="13"/>
        </w:rPr>
        <w:t>El</w:t>
      </w:r>
      <w:r>
        <w:rPr>
          <w:spacing w:val="-8"/>
          <w:w w:val="105"/>
          <w:sz w:val="13"/>
        </w:rPr>
        <w:t xml:space="preserve"> </w:t>
      </w:r>
      <w:r>
        <w:rPr>
          <w:w w:val="105"/>
          <w:sz w:val="13"/>
        </w:rPr>
        <w:t>establecimiento</w:t>
      </w:r>
      <w:r>
        <w:rPr>
          <w:spacing w:val="-8"/>
          <w:w w:val="105"/>
          <w:sz w:val="13"/>
        </w:rPr>
        <w:t xml:space="preserve"> </w:t>
      </w:r>
      <w:r>
        <w:rPr>
          <w:w w:val="105"/>
          <w:sz w:val="13"/>
        </w:rPr>
        <w:t>o</w:t>
      </w:r>
      <w:r>
        <w:rPr>
          <w:spacing w:val="-8"/>
          <w:w w:val="105"/>
          <w:sz w:val="13"/>
        </w:rPr>
        <w:t xml:space="preserve"> </w:t>
      </w:r>
      <w:r>
        <w:rPr>
          <w:w w:val="105"/>
          <w:sz w:val="13"/>
        </w:rPr>
        <w:t>mantenimiento,</w:t>
      </w:r>
      <w:r>
        <w:rPr>
          <w:spacing w:val="-7"/>
          <w:w w:val="105"/>
          <w:sz w:val="13"/>
        </w:rPr>
        <w:t xml:space="preserve"> </w:t>
      </w:r>
      <w:r>
        <w:rPr>
          <w:w w:val="105"/>
          <w:sz w:val="13"/>
        </w:rPr>
        <w:t>por</w:t>
      </w:r>
      <w:r>
        <w:rPr>
          <w:spacing w:val="-8"/>
          <w:w w:val="105"/>
          <w:sz w:val="13"/>
        </w:rPr>
        <w:t xml:space="preserve"> </w:t>
      </w:r>
      <w:r>
        <w:rPr>
          <w:w w:val="105"/>
          <w:sz w:val="13"/>
        </w:rPr>
        <w:t>razones</w:t>
      </w:r>
      <w:r>
        <w:rPr>
          <w:spacing w:val="-8"/>
          <w:w w:val="105"/>
          <w:sz w:val="13"/>
        </w:rPr>
        <w:t xml:space="preserve"> </w:t>
      </w:r>
      <w:r>
        <w:rPr>
          <w:w w:val="105"/>
          <w:sz w:val="13"/>
        </w:rPr>
        <w:t>religiosas</w:t>
      </w:r>
      <w:r>
        <w:rPr>
          <w:spacing w:val="-8"/>
          <w:w w:val="105"/>
          <w:sz w:val="13"/>
        </w:rPr>
        <w:t xml:space="preserve"> </w:t>
      </w:r>
      <w:r>
        <w:rPr>
          <w:w w:val="105"/>
          <w:sz w:val="13"/>
        </w:rPr>
        <w:t>o</w:t>
      </w:r>
      <w:r>
        <w:rPr>
          <w:spacing w:val="-8"/>
          <w:w w:val="105"/>
          <w:sz w:val="13"/>
        </w:rPr>
        <w:t xml:space="preserve"> </w:t>
      </w:r>
      <w:r>
        <w:rPr>
          <w:w w:val="105"/>
          <w:sz w:val="13"/>
        </w:rPr>
        <w:t>lingüísticas,</w:t>
      </w:r>
      <w:r>
        <w:rPr>
          <w:spacing w:val="-7"/>
          <w:w w:val="105"/>
          <w:sz w:val="13"/>
        </w:rPr>
        <w:t xml:space="preserve"> </w:t>
      </w:r>
      <w:r>
        <w:rPr>
          <w:w w:val="105"/>
          <w:sz w:val="13"/>
        </w:rPr>
        <w:t>de</w:t>
      </w:r>
      <w:r>
        <w:rPr>
          <w:spacing w:val="-8"/>
          <w:w w:val="105"/>
          <w:sz w:val="13"/>
        </w:rPr>
        <w:t xml:space="preserve"> </w:t>
      </w:r>
      <w:r>
        <w:rPr>
          <w:w w:val="105"/>
          <w:sz w:val="13"/>
        </w:rPr>
        <w:t>sistemas</w:t>
      </w:r>
      <w:r>
        <w:rPr>
          <w:spacing w:val="-8"/>
          <w:w w:val="105"/>
          <w:sz w:val="13"/>
        </w:rPr>
        <w:t xml:space="preserve"> </w:t>
      </w:r>
      <w:r>
        <w:rPr>
          <w:w w:val="105"/>
          <w:sz w:val="13"/>
        </w:rPr>
        <w:t>o</w:t>
      </w:r>
      <w:r>
        <w:rPr>
          <w:spacing w:val="-8"/>
          <w:w w:val="105"/>
          <w:sz w:val="13"/>
        </w:rPr>
        <w:t xml:space="preserve"> </w:t>
      </w:r>
      <w:r>
        <w:rPr>
          <w:w w:val="105"/>
          <w:sz w:val="13"/>
        </w:rPr>
        <w:t>instituciones</w:t>
      </w:r>
      <w:r>
        <w:rPr>
          <w:spacing w:val="-8"/>
          <w:w w:val="105"/>
          <w:sz w:val="13"/>
        </w:rPr>
        <w:t xml:space="preserve"> </w:t>
      </w:r>
      <w:r>
        <w:rPr>
          <w:w w:val="105"/>
          <w:sz w:val="13"/>
        </w:rPr>
        <w:t>educativas</w:t>
      </w:r>
      <w:r>
        <w:rPr>
          <w:spacing w:val="-8"/>
          <w:w w:val="105"/>
          <w:sz w:val="13"/>
        </w:rPr>
        <w:t xml:space="preserve"> </w:t>
      </w:r>
      <w:r>
        <w:rPr>
          <w:w w:val="105"/>
          <w:sz w:val="13"/>
        </w:rPr>
        <w:t>independientes</w:t>
      </w:r>
      <w:r>
        <w:rPr>
          <w:spacing w:val="40"/>
          <w:w w:val="105"/>
          <w:sz w:val="13"/>
        </w:rPr>
        <w:t xml:space="preserve"> </w:t>
      </w:r>
      <w:r>
        <w:rPr>
          <w:w w:val="105"/>
          <w:sz w:val="13"/>
        </w:rPr>
        <w:t>que</w:t>
      </w:r>
      <w:r>
        <w:rPr>
          <w:spacing w:val="-1"/>
          <w:w w:val="105"/>
          <w:sz w:val="13"/>
        </w:rPr>
        <w:t xml:space="preserve"> </w:t>
      </w:r>
      <w:r>
        <w:rPr>
          <w:w w:val="105"/>
          <w:sz w:val="13"/>
        </w:rPr>
        <w:t>ofrezcan</w:t>
      </w:r>
      <w:r>
        <w:rPr>
          <w:spacing w:val="-1"/>
          <w:w w:val="105"/>
          <w:sz w:val="13"/>
        </w:rPr>
        <w:t xml:space="preserve"> </w:t>
      </w:r>
      <w:r>
        <w:rPr>
          <w:w w:val="105"/>
          <w:sz w:val="13"/>
        </w:rPr>
        <w:t>una</w:t>
      </w:r>
      <w:r>
        <w:rPr>
          <w:spacing w:val="-1"/>
          <w:w w:val="105"/>
          <w:sz w:val="13"/>
        </w:rPr>
        <w:t xml:space="preserve"> </w:t>
      </w:r>
      <w:r>
        <w:rPr>
          <w:w w:val="105"/>
          <w:sz w:val="13"/>
        </w:rPr>
        <w:t>educación</w:t>
      </w:r>
      <w:r>
        <w:rPr>
          <w:spacing w:val="-1"/>
          <w:w w:val="105"/>
          <w:sz w:val="13"/>
        </w:rPr>
        <w:t xml:space="preserve"> </w:t>
      </w:r>
      <w:r>
        <w:rPr>
          <w:w w:val="105"/>
          <w:sz w:val="13"/>
        </w:rPr>
        <w:t>que</w:t>
      </w:r>
      <w:r>
        <w:rPr>
          <w:spacing w:val="-1"/>
          <w:w w:val="105"/>
          <w:sz w:val="13"/>
        </w:rPr>
        <w:t xml:space="preserve"> </w:t>
      </w:r>
      <w:r>
        <w:rPr>
          <w:w w:val="105"/>
          <w:sz w:val="13"/>
        </w:rPr>
        <w:t>esté</w:t>
      </w:r>
      <w:r>
        <w:rPr>
          <w:spacing w:val="-1"/>
          <w:w w:val="105"/>
          <w:sz w:val="13"/>
        </w:rPr>
        <w:t xml:space="preserve"> </w:t>
      </w:r>
      <w:r>
        <w:rPr>
          <w:w w:val="105"/>
          <w:sz w:val="13"/>
        </w:rPr>
        <w:t>de</w:t>
      </w:r>
      <w:r>
        <w:rPr>
          <w:spacing w:val="-1"/>
          <w:w w:val="105"/>
          <w:sz w:val="13"/>
        </w:rPr>
        <w:t xml:space="preserve"> </w:t>
      </w:r>
      <w:r>
        <w:rPr>
          <w:w w:val="105"/>
          <w:sz w:val="13"/>
        </w:rPr>
        <w:t>acuerdo</w:t>
      </w:r>
      <w:r>
        <w:rPr>
          <w:spacing w:val="-1"/>
          <w:w w:val="105"/>
          <w:sz w:val="13"/>
        </w:rPr>
        <w:t xml:space="preserve"> </w:t>
      </w:r>
      <w:r>
        <w:rPr>
          <w:w w:val="105"/>
          <w:sz w:val="13"/>
        </w:rPr>
        <w:t>con</w:t>
      </w:r>
      <w:r>
        <w:rPr>
          <w:spacing w:val="-1"/>
          <w:w w:val="105"/>
          <w:sz w:val="13"/>
        </w:rPr>
        <w:t xml:space="preserve"> </w:t>
      </w:r>
      <w:r>
        <w:rPr>
          <w:w w:val="105"/>
          <w:sz w:val="13"/>
        </w:rPr>
        <w:t>los</w:t>
      </w:r>
      <w:r>
        <w:rPr>
          <w:spacing w:val="-1"/>
          <w:w w:val="105"/>
          <w:sz w:val="13"/>
        </w:rPr>
        <w:t xml:space="preserve"> </w:t>
      </w:r>
      <w:r>
        <w:rPr>
          <w:w w:val="105"/>
          <w:sz w:val="13"/>
        </w:rPr>
        <w:t>deseos</w:t>
      </w:r>
      <w:r>
        <w:rPr>
          <w:spacing w:val="-1"/>
          <w:w w:val="105"/>
          <w:sz w:val="13"/>
        </w:rPr>
        <w:t xml:space="preserve"> </w:t>
      </w:r>
      <w:r>
        <w:rPr>
          <w:w w:val="105"/>
          <w:sz w:val="13"/>
        </w:rPr>
        <w:t>de</w:t>
      </w:r>
      <w:r>
        <w:rPr>
          <w:spacing w:val="-1"/>
          <w:w w:val="105"/>
          <w:sz w:val="13"/>
        </w:rPr>
        <w:t xml:space="preserve"> </w:t>
      </w:r>
      <w:r>
        <w:rPr>
          <w:w w:val="105"/>
          <w:sz w:val="13"/>
        </w:rPr>
        <w:t>los</w:t>
      </w:r>
      <w:r>
        <w:rPr>
          <w:spacing w:val="-1"/>
          <w:w w:val="105"/>
          <w:sz w:val="13"/>
        </w:rPr>
        <w:t xml:space="preserve"> </w:t>
      </w:r>
      <w:r>
        <w:rPr>
          <w:w w:val="105"/>
          <w:sz w:val="13"/>
        </w:rPr>
        <w:t>padres</w:t>
      </w:r>
      <w:r>
        <w:rPr>
          <w:spacing w:val="-1"/>
          <w:w w:val="105"/>
          <w:sz w:val="13"/>
        </w:rPr>
        <w:t xml:space="preserve"> </w:t>
      </w:r>
      <w:r>
        <w:rPr>
          <w:w w:val="105"/>
          <w:sz w:val="13"/>
        </w:rPr>
        <w:t>o</w:t>
      </w:r>
      <w:r>
        <w:rPr>
          <w:spacing w:val="-1"/>
          <w:w w:val="105"/>
          <w:sz w:val="13"/>
        </w:rPr>
        <w:t xml:space="preserve"> </w:t>
      </w:r>
      <w:r>
        <w:rPr>
          <w:w w:val="105"/>
          <w:sz w:val="13"/>
        </w:rPr>
        <w:t>tutores</w:t>
      </w:r>
      <w:r>
        <w:rPr>
          <w:spacing w:val="-1"/>
          <w:w w:val="105"/>
          <w:sz w:val="13"/>
        </w:rPr>
        <w:t xml:space="preserve"> </w:t>
      </w:r>
      <w:r>
        <w:rPr>
          <w:w w:val="105"/>
          <w:sz w:val="13"/>
        </w:rPr>
        <w:t>legales</w:t>
      </w:r>
      <w:r>
        <w:rPr>
          <w:spacing w:val="-1"/>
          <w:w w:val="105"/>
          <w:sz w:val="13"/>
        </w:rPr>
        <w:t xml:space="preserve"> </w:t>
      </w:r>
      <w:r>
        <w:rPr>
          <w:w w:val="105"/>
          <w:sz w:val="13"/>
        </w:rPr>
        <w:t>del</w:t>
      </w:r>
      <w:r>
        <w:rPr>
          <w:spacing w:val="-1"/>
          <w:w w:val="105"/>
          <w:sz w:val="13"/>
        </w:rPr>
        <w:t xml:space="preserve"> </w:t>
      </w:r>
      <w:r>
        <w:rPr>
          <w:w w:val="105"/>
          <w:sz w:val="13"/>
        </w:rPr>
        <w:t>alumno,</w:t>
      </w:r>
      <w:r>
        <w:rPr>
          <w:spacing w:val="-1"/>
          <w:w w:val="105"/>
          <w:sz w:val="13"/>
        </w:rPr>
        <w:t xml:space="preserve"> </w:t>
      </w:r>
      <w:r>
        <w:rPr>
          <w:w w:val="105"/>
          <w:sz w:val="13"/>
        </w:rPr>
        <w:t>si</w:t>
      </w:r>
      <w:r>
        <w:rPr>
          <w:spacing w:val="-1"/>
          <w:w w:val="105"/>
          <w:sz w:val="13"/>
        </w:rPr>
        <w:t xml:space="preserve"> </w:t>
      </w:r>
      <w:r>
        <w:rPr>
          <w:w w:val="105"/>
          <w:sz w:val="13"/>
        </w:rPr>
        <w:t>la</w:t>
      </w:r>
      <w:r>
        <w:rPr>
          <w:spacing w:val="-1"/>
          <w:w w:val="105"/>
          <w:sz w:val="13"/>
        </w:rPr>
        <w:t xml:space="preserve"> </w:t>
      </w:r>
      <w:r>
        <w:rPr>
          <w:w w:val="105"/>
          <w:sz w:val="13"/>
        </w:rPr>
        <w:t>participación</w:t>
      </w:r>
      <w:r>
        <w:rPr>
          <w:spacing w:val="-1"/>
          <w:w w:val="105"/>
          <w:sz w:val="13"/>
        </w:rPr>
        <w:t xml:space="preserve"> </w:t>
      </w:r>
      <w:r>
        <w:rPr>
          <w:w w:val="105"/>
          <w:sz w:val="13"/>
        </w:rPr>
        <w:t>en</w:t>
      </w:r>
      <w:r>
        <w:rPr>
          <w:spacing w:val="40"/>
          <w:w w:val="105"/>
          <w:sz w:val="13"/>
        </w:rPr>
        <w:t xml:space="preserve"> </w:t>
      </w:r>
      <w:r>
        <w:rPr>
          <w:w w:val="105"/>
          <w:sz w:val="13"/>
        </w:rPr>
        <w:t>dichos sistemas o la asistencia a dichas instituciones es opcional y si la educación impartida se ajusta a las normas que</w:t>
      </w:r>
      <w:r>
        <w:rPr>
          <w:spacing w:val="40"/>
          <w:w w:val="105"/>
          <w:sz w:val="13"/>
        </w:rPr>
        <w:t xml:space="preserve"> </w:t>
      </w:r>
      <w:r>
        <w:rPr>
          <w:w w:val="105"/>
          <w:sz w:val="13"/>
        </w:rPr>
        <w:t>establezcan</w:t>
      </w:r>
      <w:r>
        <w:rPr>
          <w:spacing w:val="-8"/>
          <w:w w:val="105"/>
          <w:sz w:val="13"/>
        </w:rPr>
        <w:t xml:space="preserve"> </w:t>
      </w:r>
      <w:r>
        <w:rPr>
          <w:w w:val="105"/>
          <w:sz w:val="13"/>
        </w:rPr>
        <w:t>o</w:t>
      </w:r>
      <w:r>
        <w:rPr>
          <w:spacing w:val="-8"/>
          <w:w w:val="105"/>
          <w:sz w:val="13"/>
        </w:rPr>
        <w:t xml:space="preserve"> </w:t>
      </w:r>
      <w:r>
        <w:rPr>
          <w:w w:val="105"/>
          <w:sz w:val="13"/>
        </w:rPr>
        <w:t>aprueben</w:t>
      </w:r>
      <w:r>
        <w:rPr>
          <w:spacing w:val="-8"/>
          <w:w w:val="105"/>
          <w:sz w:val="13"/>
        </w:rPr>
        <w:t xml:space="preserve"> </w:t>
      </w:r>
      <w:r>
        <w:rPr>
          <w:w w:val="105"/>
          <w:sz w:val="13"/>
        </w:rPr>
        <w:t>las</w:t>
      </w:r>
      <w:r>
        <w:rPr>
          <w:spacing w:val="-8"/>
          <w:w w:val="105"/>
          <w:sz w:val="13"/>
        </w:rPr>
        <w:t xml:space="preserve"> </w:t>
      </w:r>
      <w:r>
        <w:rPr>
          <w:w w:val="105"/>
          <w:sz w:val="13"/>
        </w:rPr>
        <w:t>autoridades</w:t>
      </w:r>
      <w:r>
        <w:rPr>
          <w:spacing w:val="-8"/>
          <w:w w:val="105"/>
          <w:sz w:val="13"/>
        </w:rPr>
        <w:t xml:space="preserve"> </w:t>
      </w:r>
      <w:r>
        <w:rPr>
          <w:w w:val="105"/>
          <w:sz w:val="13"/>
        </w:rPr>
        <w:t>competentes,</w:t>
      </w:r>
      <w:r>
        <w:rPr>
          <w:spacing w:val="-7"/>
          <w:w w:val="105"/>
          <w:sz w:val="13"/>
        </w:rPr>
        <w:t xml:space="preserve"> </w:t>
      </w:r>
      <w:r>
        <w:rPr>
          <w:w w:val="105"/>
          <w:sz w:val="13"/>
        </w:rPr>
        <w:t>en</w:t>
      </w:r>
      <w:r>
        <w:rPr>
          <w:spacing w:val="-8"/>
          <w:w w:val="105"/>
          <w:sz w:val="13"/>
        </w:rPr>
        <w:t xml:space="preserve"> </w:t>
      </w:r>
      <w:r>
        <w:rPr>
          <w:w w:val="105"/>
          <w:sz w:val="13"/>
        </w:rPr>
        <w:t>particular</w:t>
      </w:r>
      <w:r>
        <w:rPr>
          <w:spacing w:val="-8"/>
          <w:w w:val="105"/>
          <w:sz w:val="13"/>
        </w:rPr>
        <w:t xml:space="preserve"> </w:t>
      </w:r>
      <w:r>
        <w:rPr>
          <w:w w:val="105"/>
          <w:sz w:val="13"/>
        </w:rPr>
        <w:t>para</w:t>
      </w:r>
      <w:r>
        <w:rPr>
          <w:spacing w:val="-8"/>
          <w:w w:val="105"/>
          <w:sz w:val="13"/>
        </w:rPr>
        <w:t xml:space="preserve"> </w:t>
      </w:r>
      <w:r>
        <w:rPr>
          <w:w w:val="105"/>
          <w:sz w:val="13"/>
        </w:rPr>
        <w:t>la</w:t>
      </w:r>
      <w:r>
        <w:rPr>
          <w:spacing w:val="-8"/>
          <w:w w:val="105"/>
          <w:sz w:val="13"/>
        </w:rPr>
        <w:t xml:space="preserve"> </w:t>
      </w:r>
      <w:r>
        <w:rPr>
          <w:w w:val="105"/>
          <w:sz w:val="13"/>
        </w:rPr>
        <w:t>educación</w:t>
      </w:r>
      <w:r>
        <w:rPr>
          <w:spacing w:val="-8"/>
          <w:w w:val="105"/>
          <w:sz w:val="13"/>
        </w:rPr>
        <w:t xml:space="preserve"> </w:t>
      </w:r>
      <w:r>
        <w:rPr>
          <w:w w:val="105"/>
          <w:sz w:val="13"/>
        </w:rPr>
        <w:t>del</w:t>
      </w:r>
      <w:r>
        <w:rPr>
          <w:spacing w:val="-8"/>
          <w:w w:val="105"/>
          <w:sz w:val="13"/>
        </w:rPr>
        <w:t xml:space="preserve"> </w:t>
      </w:r>
      <w:r>
        <w:rPr>
          <w:w w:val="105"/>
          <w:sz w:val="13"/>
        </w:rPr>
        <w:t>mismo</w:t>
      </w:r>
      <w:r>
        <w:rPr>
          <w:spacing w:val="-8"/>
          <w:w w:val="105"/>
          <w:sz w:val="13"/>
        </w:rPr>
        <w:t xml:space="preserve"> </w:t>
      </w:r>
      <w:r>
        <w:rPr>
          <w:w w:val="105"/>
          <w:sz w:val="13"/>
        </w:rPr>
        <w:t>nivel;</w:t>
      </w:r>
    </w:p>
    <w:p w14:paraId="11E05FEA" w14:textId="77777777" w:rsidR="0014798C" w:rsidRDefault="004E1F0B">
      <w:pPr>
        <w:pStyle w:val="Prrafodelista"/>
        <w:numPr>
          <w:ilvl w:val="0"/>
          <w:numId w:val="67"/>
        </w:numPr>
        <w:tabs>
          <w:tab w:val="left" w:pos="1989"/>
        </w:tabs>
        <w:spacing w:before="58" w:line="288" w:lineRule="auto"/>
        <w:ind w:left="1786" w:right="2087" w:firstLine="8"/>
        <w:rPr>
          <w:sz w:val="13"/>
        </w:rPr>
      </w:pPr>
      <w:r>
        <w:rPr>
          <w:w w:val="105"/>
          <w:sz w:val="13"/>
        </w:rPr>
        <w:t>El</w:t>
      </w:r>
      <w:r>
        <w:rPr>
          <w:spacing w:val="-1"/>
          <w:w w:val="105"/>
          <w:sz w:val="13"/>
        </w:rPr>
        <w:t xml:space="preserve"> </w:t>
      </w:r>
      <w:r>
        <w:rPr>
          <w:w w:val="105"/>
          <w:sz w:val="13"/>
        </w:rPr>
        <w:t>establecimiento</w:t>
      </w:r>
      <w:r>
        <w:rPr>
          <w:spacing w:val="-1"/>
          <w:w w:val="105"/>
          <w:sz w:val="13"/>
        </w:rPr>
        <w:t xml:space="preserve"> </w:t>
      </w:r>
      <w:r>
        <w:rPr>
          <w:w w:val="105"/>
          <w:sz w:val="13"/>
        </w:rPr>
        <w:t>o</w:t>
      </w:r>
      <w:r>
        <w:rPr>
          <w:spacing w:val="-1"/>
          <w:w w:val="105"/>
          <w:sz w:val="13"/>
        </w:rPr>
        <w:t xml:space="preserve"> </w:t>
      </w:r>
      <w:r>
        <w:rPr>
          <w:w w:val="105"/>
          <w:sz w:val="13"/>
        </w:rPr>
        <w:t>mantenimiento</w:t>
      </w:r>
      <w:r>
        <w:rPr>
          <w:spacing w:val="-1"/>
          <w:w w:val="105"/>
          <w:sz w:val="13"/>
        </w:rPr>
        <w:t xml:space="preserve"> </w:t>
      </w:r>
      <w:r>
        <w:rPr>
          <w:w w:val="105"/>
          <w:sz w:val="13"/>
        </w:rPr>
        <w:t>de</w:t>
      </w:r>
      <w:r>
        <w:rPr>
          <w:spacing w:val="-1"/>
          <w:w w:val="105"/>
          <w:sz w:val="13"/>
        </w:rPr>
        <w:t xml:space="preserve"> </w:t>
      </w:r>
      <w:r>
        <w:rPr>
          <w:w w:val="105"/>
          <w:sz w:val="13"/>
        </w:rPr>
        <w:t>instituciones</w:t>
      </w:r>
      <w:r>
        <w:rPr>
          <w:spacing w:val="-1"/>
          <w:w w:val="105"/>
          <w:sz w:val="13"/>
        </w:rPr>
        <w:t xml:space="preserve"> </w:t>
      </w:r>
      <w:r>
        <w:rPr>
          <w:w w:val="105"/>
          <w:sz w:val="13"/>
        </w:rPr>
        <w:t>educativas</w:t>
      </w:r>
      <w:r>
        <w:rPr>
          <w:spacing w:val="-1"/>
          <w:w w:val="105"/>
          <w:sz w:val="13"/>
        </w:rPr>
        <w:t xml:space="preserve"> </w:t>
      </w:r>
      <w:r>
        <w:rPr>
          <w:w w:val="105"/>
          <w:sz w:val="13"/>
        </w:rPr>
        <w:t>privadas, si</w:t>
      </w:r>
      <w:r>
        <w:rPr>
          <w:spacing w:val="-1"/>
          <w:w w:val="105"/>
          <w:sz w:val="13"/>
        </w:rPr>
        <w:t xml:space="preserve"> </w:t>
      </w:r>
      <w:r>
        <w:rPr>
          <w:w w:val="105"/>
          <w:sz w:val="13"/>
        </w:rPr>
        <w:t>el</w:t>
      </w:r>
      <w:r>
        <w:rPr>
          <w:spacing w:val="-1"/>
          <w:w w:val="105"/>
          <w:sz w:val="13"/>
        </w:rPr>
        <w:t xml:space="preserve"> </w:t>
      </w:r>
      <w:r>
        <w:rPr>
          <w:w w:val="105"/>
          <w:sz w:val="13"/>
        </w:rPr>
        <w:t>objeto</w:t>
      </w:r>
      <w:r>
        <w:rPr>
          <w:spacing w:val="-1"/>
          <w:w w:val="105"/>
          <w:sz w:val="13"/>
        </w:rPr>
        <w:t xml:space="preserve"> </w:t>
      </w:r>
      <w:r>
        <w:rPr>
          <w:w w:val="105"/>
          <w:sz w:val="13"/>
        </w:rPr>
        <w:t>de</w:t>
      </w:r>
      <w:r>
        <w:rPr>
          <w:spacing w:val="-1"/>
          <w:w w:val="105"/>
          <w:sz w:val="13"/>
        </w:rPr>
        <w:t xml:space="preserve"> </w:t>
      </w:r>
      <w:r>
        <w:rPr>
          <w:w w:val="105"/>
          <w:sz w:val="13"/>
        </w:rPr>
        <w:t>las</w:t>
      </w:r>
      <w:r>
        <w:rPr>
          <w:spacing w:val="-1"/>
          <w:w w:val="105"/>
          <w:sz w:val="13"/>
        </w:rPr>
        <w:t xml:space="preserve"> </w:t>
      </w:r>
      <w:r>
        <w:rPr>
          <w:w w:val="105"/>
          <w:sz w:val="13"/>
        </w:rPr>
        <w:t>instituciones</w:t>
      </w:r>
      <w:r>
        <w:rPr>
          <w:spacing w:val="-1"/>
          <w:w w:val="105"/>
          <w:sz w:val="13"/>
        </w:rPr>
        <w:t xml:space="preserve"> </w:t>
      </w:r>
      <w:r>
        <w:rPr>
          <w:w w:val="105"/>
          <w:sz w:val="13"/>
        </w:rPr>
        <w:t>no</w:t>
      </w:r>
      <w:r>
        <w:rPr>
          <w:spacing w:val="-1"/>
          <w:w w:val="105"/>
          <w:sz w:val="13"/>
        </w:rPr>
        <w:t xml:space="preserve"> </w:t>
      </w:r>
      <w:r>
        <w:rPr>
          <w:w w:val="105"/>
          <w:sz w:val="13"/>
        </w:rPr>
        <w:t>es</w:t>
      </w:r>
      <w:r>
        <w:rPr>
          <w:spacing w:val="-1"/>
          <w:w w:val="105"/>
          <w:sz w:val="13"/>
        </w:rPr>
        <w:t xml:space="preserve"> </w:t>
      </w:r>
      <w:r>
        <w:rPr>
          <w:w w:val="105"/>
          <w:sz w:val="13"/>
        </w:rPr>
        <w:t>asegurar</w:t>
      </w:r>
      <w:r>
        <w:rPr>
          <w:spacing w:val="-1"/>
          <w:w w:val="105"/>
          <w:sz w:val="13"/>
        </w:rPr>
        <w:t xml:space="preserve"> </w:t>
      </w:r>
      <w:r>
        <w:rPr>
          <w:w w:val="105"/>
          <w:sz w:val="13"/>
        </w:rPr>
        <w:t>la</w:t>
      </w:r>
      <w:r>
        <w:rPr>
          <w:spacing w:val="40"/>
          <w:w w:val="105"/>
          <w:sz w:val="13"/>
        </w:rPr>
        <w:t xml:space="preserve"> </w:t>
      </w:r>
      <w:r>
        <w:rPr>
          <w:w w:val="105"/>
          <w:sz w:val="13"/>
        </w:rPr>
        <w:t>exclusión</w:t>
      </w:r>
      <w:r>
        <w:rPr>
          <w:spacing w:val="-7"/>
          <w:w w:val="105"/>
          <w:sz w:val="13"/>
        </w:rPr>
        <w:t xml:space="preserve"> </w:t>
      </w:r>
      <w:r>
        <w:rPr>
          <w:w w:val="105"/>
          <w:sz w:val="13"/>
        </w:rPr>
        <w:t>de</w:t>
      </w:r>
      <w:r>
        <w:rPr>
          <w:spacing w:val="-7"/>
          <w:w w:val="105"/>
          <w:sz w:val="13"/>
        </w:rPr>
        <w:t xml:space="preserve"> </w:t>
      </w:r>
      <w:r>
        <w:rPr>
          <w:w w:val="105"/>
          <w:sz w:val="13"/>
        </w:rPr>
        <w:t>ningún</w:t>
      </w:r>
      <w:r>
        <w:rPr>
          <w:spacing w:val="-7"/>
          <w:w w:val="105"/>
          <w:sz w:val="13"/>
        </w:rPr>
        <w:t xml:space="preserve"> </w:t>
      </w:r>
      <w:r>
        <w:rPr>
          <w:w w:val="105"/>
          <w:sz w:val="13"/>
        </w:rPr>
        <w:t>grupo</w:t>
      </w:r>
      <w:r>
        <w:rPr>
          <w:spacing w:val="-7"/>
          <w:w w:val="105"/>
          <w:sz w:val="13"/>
        </w:rPr>
        <w:t xml:space="preserve"> </w:t>
      </w:r>
      <w:r>
        <w:rPr>
          <w:w w:val="105"/>
          <w:sz w:val="13"/>
        </w:rPr>
        <w:t>sino</w:t>
      </w:r>
      <w:r>
        <w:rPr>
          <w:spacing w:val="-7"/>
          <w:w w:val="105"/>
          <w:sz w:val="13"/>
        </w:rPr>
        <w:t xml:space="preserve"> </w:t>
      </w:r>
      <w:r>
        <w:rPr>
          <w:w w:val="105"/>
          <w:sz w:val="13"/>
        </w:rPr>
        <w:t>proporcionar</w:t>
      </w:r>
      <w:r>
        <w:rPr>
          <w:spacing w:val="-7"/>
          <w:w w:val="105"/>
          <w:sz w:val="13"/>
        </w:rPr>
        <w:t xml:space="preserve"> </w:t>
      </w:r>
      <w:r>
        <w:rPr>
          <w:w w:val="105"/>
          <w:sz w:val="13"/>
        </w:rPr>
        <w:t>instalaciones</w:t>
      </w:r>
      <w:r>
        <w:rPr>
          <w:spacing w:val="-7"/>
          <w:w w:val="105"/>
          <w:sz w:val="13"/>
        </w:rPr>
        <w:t xml:space="preserve"> </w:t>
      </w:r>
      <w:r>
        <w:rPr>
          <w:w w:val="105"/>
          <w:sz w:val="13"/>
        </w:rPr>
        <w:t>educativas</w:t>
      </w:r>
      <w:r>
        <w:rPr>
          <w:spacing w:val="-7"/>
          <w:w w:val="105"/>
          <w:sz w:val="13"/>
        </w:rPr>
        <w:t xml:space="preserve"> </w:t>
      </w:r>
      <w:r>
        <w:rPr>
          <w:w w:val="105"/>
          <w:sz w:val="13"/>
        </w:rPr>
        <w:t>además</w:t>
      </w:r>
      <w:r>
        <w:rPr>
          <w:spacing w:val="-7"/>
          <w:w w:val="105"/>
          <w:sz w:val="13"/>
        </w:rPr>
        <w:t xml:space="preserve"> </w:t>
      </w:r>
      <w:r>
        <w:rPr>
          <w:w w:val="105"/>
          <w:sz w:val="13"/>
        </w:rPr>
        <w:t>de</w:t>
      </w:r>
      <w:r>
        <w:rPr>
          <w:spacing w:val="-7"/>
          <w:w w:val="105"/>
          <w:sz w:val="13"/>
        </w:rPr>
        <w:t xml:space="preserve"> </w:t>
      </w:r>
      <w:r>
        <w:rPr>
          <w:w w:val="105"/>
          <w:sz w:val="13"/>
        </w:rPr>
        <w:t>las</w:t>
      </w:r>
      <w:r>
        <w:rPr>
          <w:spacing w:val="-7"/>
          <w:w w:val="105"/>
          <w:sz w:val="13"/>
        </w:rPr>
        <w:t xml:space="preserve"> </w:t>
      </w:r>
      <w:r>
        <w:rPr>
          <w:w w:val="105"/>
          <w:sz w:val="13"/>
        </w:rPr>
        <w:t>proporcionadas</w:t>
      </w:r>
      <w:r>
        <w:rPr>
          <w:spacing w:val="-7"/>
          <w:w w:val="105"/>
          <w:sz w:val="13"/>
        </w:rPr>
        <w:t xml:space="preserve"> </w:t>
      </w:r>
      <w:r>
        <w:rPr>
          <w:w w:val="105"/>
          <w:sz w:val="13"/>
        </w:rPr>
        <w:t>por</w:t>
      </w:r>
      <w:r>
        <w:rPr>
          <w:spacing w:val="-7"/>
          <w:w w:val="105"/>
          <w:sz w:val="13"/>
        </w:rPr>
        <w:t xml:space="preserve"> </w:t>
      </w:r>
      <w:r>
        <w:rPr>
          <w:w w:val="105"/>
          <w:sz w:val="13"/>
        </w:rPr>
        <w:t>las</w:t>
      </w:r>
      <w:r>
        <w:rPr>
          <w:spacing w:val="-7"/>
          <w:w w:val="105"/>
          <w:sz w:val="13"/>
        </w:rPr>
        <w:t xml:space="preserve"> </w:t>
      </w:r>
      <w:r>
        <w:rPr>
          <w:w w:val="105"/>
          <w:sz w:val="13"/>
        </w:rPr>
        <w:t>autoridades</w:t>
      </w:r>
      <w:r>
        <w:rPr>
          <w:spacing w:val="-7"/>
          <w:w w:val="105"/>
          <w:sz w:val="13"/>
        </w:rPr>
        <w:t xml:space="preserve"> </w:t>
      </w:r>
      <w:r>
        <w:rPr>
          <w:w w:val="105"/>
          <w:sz w:val="13"/>
        </w:rPr>
        <w:t>públicas,</w:t>
      </w:r>
      <w:r>
        <w:rPr>
          <w:spacing w:val="40"/>
          <w:w w:val="105"/>
          <w:sz w:val="13"/>
        </w:rPr>
        <w:t xml:space="preserve"> </w:t>
      </w:r>
      <w:r>
        <w:rPr>
          <w:w w:val="105"/>
          <w:sz w:val="13"/>
        </w:rPr>
        <w:t>si</w:t>
      </w:r>
      <w:r>
        <w:rPr>
          <w:spacing w:val="-1"/>
          <w:w w:val="105"/>
          <w:sz w:val="13"/>
        </w:rPr>
        <w:t xml:space="preserve"> </w:t>
      </w:r>
      <w:r>
        <w:rPr>
          <w:w w:val="105"/>
          <w:sz w:val="13"/>
        </w:rPr>
        <w:t>las</w:t>
      </w:r>
      <w:r>
        <w:rPr>
          <w:spacing w:val="-1"/>
          <w:w w:val="105"/>
          <w:sz w:val="13"/>
        </w:rPr>
        <w:t xml:space="preserve"> </w:t>
      </w:r>
      <w:r>
        <w:rPr>
          <w:w w:val="105"/>
          <w:sz w:val="13"/>
        </w:rPr>
        <w:t>instituciones</w:t>
      </w:r>
      <w:r>
        <w:rPr>
          <w:spacing w:val="-1"/>
          <w:w w:val="105"/>
          <w:sz w:val="13"/>
        </w:rPr>
        <w:t xml:space="preserve"> </w:t>
      </w:r>
      <w:r>
        <w:rPr>
          <w:w w:val="105"/>
          <w:sz w:val="13"/>
        </w:rPr>
        <w:t>se</w:t>
      </w:r>
      <w:r>
        <w:rPr>
          <w:spacing w:val="-1"/>
          <w:w w:val="105"/>
          <w:sz w:val="13"/>
        </w:rPr>
        <w:t xml:space="preserve"> </w:t>
      </w:r>
      <w:r>
        <w:rPr>
          <w:w w:val="105"/>
          <w:sz w:val="13"/>
        </w:rPr>
        <w:t>conducen</w:t>
      </w:r>
      <w:r>
        <w:rPr>
          <w:spacing w:val="-1"/>
          <w:w w:val="105"/>
          <w:sz w:val="13"/>
        </w:rPr>
        <w:t xml:space="preserve"> </w:t>
      </w:r>
      <w:r>
        <w:rPr>
          <w:w w:val="105"/>
          <w:sz w:val="13"/>
        </w:rPr>
        <w:t>de</w:t>
      </w:r>
      <w:r>
        <w:rPr>
          <w:spacing w:val="-1"/>
          <w:w w:val="105"/>
          <w:sz w:val="13"/>
        </w:rPr>
        <w:t xml:space="preserve"> </w:t>
      </w:r>
      <w:r>
        <w:rPr>
          <w:w w:val="105"/>
          <w:sz w:val="13"/>
        </w:rPr>
        <w:t>acuerdo</w:t>
      </w:r>
      <w:r>
        <w:rPr>
          <w:spacing w:val="-1"/>
          <w:w w:val="105"/>
          <w:sz w:val="13"/>
        </w:rPr>
        <w:t xml:space="preserve"> </w:t>
      </w:r>
      <w:r>
        <w:rPr>
          <w:w w:val="105"/>
          <w:sz w:val="13"/>
        </w:rPr>
        <w:t>con</w:t>
      </w:r>
      <w:r>
        <w:rPr>
          <w:spacing w:val="-1"/>
          <w:w w:val="105"/>
          <w:sz w:val="13"/>
        </w:rPr>
        <w:t xml:space="preserve"> </w:t>
      </w:r>
      <w:r>
        <w:rPr>
          <w:w w:val="105"/>
          <w:sz w:val="13"/>
        </w:rPr>
        <w:t>ese</w:t>
      </w:r>
      <w:r>
        <w:rPr>
          <w:spacing w:val="-1"/>
          <w:w w:val="105"/>
          <w:sz w:val="13"/>
        </w:rPr>
        <w:t xml:space="preserve"> </w:t>
      </w:r>
      <w:r>
        <w:rPr>
          <w:w w:val="105"/>
          <w:sz w:val="13"/>
        </w:rPr>
        <w:t>objeto,</w:t>
      </w:r>
      <w:r>
        <w:rPr>
          <w:spacing w:val="-1"/>
          <w:w w:val="105"/>
          <w:sz w:val="13"/>
        </w:rPr>
        <w:t xml:space="preserve"> </w:t>
      </w:r>
      <w:r>
        <w:rPr>
          <w:w w:val="105"/>
          <w:sz w:val="13"/>
        </w:rPr>
        <w:t>y</w:t>
      </w:r>
      <w:r>
        <w:rPr>
          <w:spacing w:val="-1"/>
          <w:w w:val="105"/>
          <w:sz w:val="13"/>
        </w:rPr>
        <w:t xml:space="preserve"> </w:t>
      </w:r>
      <w:r>
        <w:rPr>
          <w:w w:val="105"/>
          <w:sz w:val="13"/>
        </w:rPr>
        <w:t>si</w:t>
      </w:r>
      <w:r>
        <w:rPr>
          <w:spacing w:val="-1"/>
          <w:w w:val="105"/>
          <w:sz w:val="13"/>
        </w:rPr>
        <w:t xml:space="preserve"> </w:t>
      </w:r>
      <w:r>
        <w:rPr>
          <w:w w:val="105"/>
          <w:sz w:val="13"/>
        </w:rPr>
        <w:t>la</w:t>
      </w:r>
      <w:r>
        <w:rPr>
          <w:spacing w:val="-1"/>
          <w:w w:val="105"/>
          <w:sz w:val="13"/>
        </w:rPr>
        <w:t xml:space="preserve"> </w:t>
      </w:r>
      <w:r>
        <w:rPr>
          <w:w w:val="105"/>
          <w:sz w:val="13"/>
        </w:rPr>
        <w:t>enseñanza</w:t>
      </w:r>
      <w:r>
        <w:rPr>
          <w:spacing w:val="-1"/>
          <w:w w:val="105"/>
          <w:sz w:val="13"/>
        </w:rPr>
        <w:t xml:space="preserve"> </w:t>
      </w:r>
      <w:r>
        <w:rPr>
          <w:w w:val="105"/>
          <w:sz w:val="13"/>
        </w:rPr>
        <w:t>impartida</w:t>
      </w:r>
      <w:r>
        <w:rPr>
          <w:spacing w:val="-1"/>
          <w:w w:val="105"/>
          <w:sz w:val="13"/>
        </w:rPr>
        <w:t xml:space="preserve"> </w:t>
      </w:r>
      <w:r>
        <w:rPr>
          <w:w w:val="105"/>
          <w:sz w:val="13"/>
        </w:rPr>
        <w:t>se</w:t>
      </w:r>
      <w:r>
        <w:rPr>
          <w:spacing w:val="-1"/>
          <w:w w:val="105"/>
          <w:sz w:val="13"/>
        </w:rPr>
        <w:t xml:space="preserve"> </w:t>
      </w:r>
      <w:r>
        <w:rPr>
          <w:w w:val="105"/>
          <w:sz w:val="13"/>
        </w:rPr>
        <w:t>ajusta</w:t>
      </w:r>
      <w:r>
        <w:rPr>
          <w:spacing w:val="-1"/>
          <w:w w:val="105"/>
          <w:sz w:val="13"/>
        </w:rPr>
        <w:t xml:space="preserve"> </w:t>
      </w:r>
      <w:r>
        <w:rPr>
          <w:w w:val="105"/>
          <w:sz w:val="13"/>
        </w:rPr>
        <w:t>a</w:t>
      </w:r>
      <w:r>
        <w:rPr>
          <w:spacing w:val="-1"/>
          <w:w w:val="105"/>
          <w:sz w:val="13"/>
        </w:rPr>
        <w:t xml:space="preserve"> </w:t>
      </w:r>
      <w:r>
        <w:rPr>
          <w:w w:val="105"/>
          <w:sz w:val="13"/>
        </w:rPr>
        <w:t>las</w:t>
      </w:r>
      <w:r>
        <w:rPr>
          <w:spacing w:val="-1"/>
          <w:w w:val="105"/>
          <w:sz w:val="13"/>
        </w:rPr>
        <w:t xml:space="preserve"> </w:t>
      </w:r>
      <w:r>
        <w:rPr>
          <w:w w:val="105"/>
          <w:sz w:val="13"/>
        </w:rPr>
        <w:t>normas</w:t>
      </w:r>
      <w:r>
        <w:rPr>
          <w:spacing w:val="-1"/>
          <w:w w:val="105"/>
          <w:sz w:val="13"/>
        </w:rPr>
        <w:t xml:space="preserve"> </w:t>
      </w:r>
      <w:r>
        <w:rPr>
          <w:w w:val="105"/>
          <w:sz w:val="13"/>
        </w:rPr>
        <w:t>que</w:t>
      </w:r>
      <w:r>
        <w:rPr>
          <w:spacing w:val="-1"/>
          <w:w w:val="105"/>
          <w:sz w:val="13"/>
        </w:rPr>
        <w:t xml:space="preserve"> </w:t>
      </w:r>
      <w:r>
        <w:rPr>
          <w:w w:val="105"/>
          <w:sz w:val="13"/>
        </w:rPr>
        <w:t>puedan</w:t>
      </w:r>
      <w:r>
        <w:rPr>
          <w:spacing w:val="40"/>
          <w:w w:val="105"/>
          <w:sz w:val="13"/>
        </w:rPr>
        <w:t xml:space="preserve"> </w:t>
      </w:r>
      <w:r>
        <w:rPr>
          <w:w w:val="105"/>
          <w:sz w:val="13"/>
        </w:rPr>
        <w:t>establecer o aprobar las autoridades competentes, en particular para la enseñanza del mismo nivel.</w:t>
      </w:r>
    </w:p>
    <w:p w14:paraId="67CC5AD0" w14:textId="77777777" w:rsidR="0014798C" w:rsidRDefault="004E1F0B">
      <w:pPr>
        <w:spacing w:before="59"/>
        <w:ind w:left="1107"/>
        <w:rPr>
          <w:sz w:val="13"/>
        </w:rPr>
      </w:pPr>
      <w:r>
        <w:rPr>
          <w:w w:val="105"/>
          <w:sz w:val="13"/>
          <w:vertAlign w:val="superscript"/>
        </w:rPr>
        <w:t>346</w:t>
      </w:r>
      <w:r>
        <w:rPr>
          <w:spacing w:val="68"/>
          <w:w w:val="150"/>
          <w:sz w:val="13"/>
        </w:rPr>
        <w:t xml:space="preserve"> </w:t>
      </w:r>
      <w:r>
        <w:rPr>
          <w:w w:val="105"/>
          <w:sz w:val="13"/>
        </w:rPr>
        <w:t>Véase,</w:t>
      </w:r>
      <w:r>
        <w:rPr>
          <w:spacing w:val="-6"/>
          <w:w w:val="105"/>
          <w:sz w:val="13"/>
        </w:rPr>
        <w:t xml:space="preserve"> </w:t>
      </w:r>
      <w:r>
        <w:rPr>
          <w:w w:val="105"/>
          <w:sz w:val="13"/>
        </w:rPr>
        <w:t>por</w:t>
      </w:r>
      <w:r>
        <w:rPr>
          <w:spacing w:val="-6"/>
          <w:w w:val="105"/>
          <w:sz w:val="13"/>
        </w:rPr>
        <w:t xml:space="preserve"> </w:t>
      </w:r>
      <w:r>
        <w:rPr>
          <w:w w:val="105"/>
          <w:sz w:val="13"/>
        </w:rPr>
        <w:t>ejemplo,</w:t>
      </w:r>
      <w:r>
        <w:rPr>
          <w:spacing w:val="-6"/>
          <w:w w:val="105"/>
          <w:sz w:val="13"/>
        </w:rPr>
        <w:t xml:space="preserve"> </w:t>
      </w:r>
      <w:r>
        <w:rPr>
          <w:w w:val="105"/>
          <w:sz w:val="13"/>
        </w:rPr>
        <w:t>Tribunal</w:t>
      </w:r>
      <w:r>
        <w:rPr>
          <w:spacing w:val="-7"/>
          <w:w w:val="105"/>
          <w:sz w:val="13"/>
        </w:rPr>
        <w:t xml:space="preserve"> </w:t>
      </w:r>
      <w:r>
        <w:rPr>
          <w:w w:val="105"/>
          <w:sz w:val="13"/>
        </w:rPr>
        <w:t>Europeo</w:t>
      </w:r>
      <w:r>
        <w:rPr>
          <w:spacing w:val="-6"/>
          <w:w w:val="105"/>
          <w:sz w:val="13"/>
        </w:rPr>
        <w:t xml:space="preserve"> </w:t>
      </w:r>
      <w:r>
        <w:rPr>
          <w:w w:val="105"/>
          <w:sz w:val="13"/>
        </w:rPr>
        <w:t>de</w:t>
      </w:r>
      <w:r>
        <w:rPr>
          <w:spacing w:val="-6"/>
          <w:w w:val="105"/>
          <w:sz w:val="13"/>
        </w:rPr>
        <w:t xml:space="preserve"> </w:t>
      </w:r>
      <w:r>
        <w:rPr>
          <w:w w:val="105"/>
          <w:sz w:val="13"/>
        </w:rPr>
        <w:t>Derechos</w:t>
      </w:r>
      <w:r>
        <w:rPr>
          <w:spacing w:val="-7"/>
          <w:w w:val="105"/>
          <w:sz w:val="13"/>
        </w:rPr>
        <w:t xml:space="preserve"> </w:t>
      </w:r>
      <w:r>
        <w:rPr>
          <w:w w:val="105"/>
          <w:sz w:val="13"/>
        </w:rPr>
        <w:t>Humanos,</w:t>
      </w:r>
      <w:r>
        <w:rPr>
          <w:spacing w:val="-6"/>
          <w:w w:val="105"/>
          <w:sz w:val="13"/>
        </w:rPr>
        <w:t xml:space="preserve"> </w:t>
      </w:r>
      <w:proofErr w:type="spellStart"/>
      <w:r>
        <w:rPr>
          <w:w w:val="105"/>
          <w:sz w:val="13"/>
        </w:rPr>
        <w:t>Oršuš</w:t>
      </w:r>
      <w:proofErr w:type="spellEnd"/>
      <w:r>
        <w:rPr>
          <w:spacing w:val="-6"/>
          <w:w w:val="105"/>
          <w:sz w:val="13"/>
        </w:rPr>
        <w:t xml:space="preserve"> </w:t>
      </w:r>
      <w:r>
        <w:rPr>
          <w:w w:val="105"/>
          <w:sz w:val="13"/>
        </w:rPr>
        <w:t>y</w:t>
      </w:r>
      <w:r>
        <w:rPr>
          <w:spacing w:val="-7"/>
          <w:w w:val="105"/>
          <w:sz w:val="13"/>
        </w:rPr>
        <w:t xml:space="preserve"> </w:t>
      </w:r>
      <w:r>
        <w:rPr>
          <w:w w:val="105"/>
          <w:sz w:val="13"/>
        </w:rPr>
        <w:t>otros</w:t>
      </w:r>
      <w:r>
        <w:rPr>
          <w:spacing w:val="-6"/>
          <w:w w:val="105"/>
          <w:sz w:val="13"/>
        </w:rPr>
        <w:t xml:space="preserve"> </w:t>
      </w:r>
      <w:r>
        <w:rPr>
          <w:w w:val="105"/>
          <w:sz w:val="13"/>
        </w:rPr>
        <w:t>c.</w:t>
      </w:r>
      <w:r>
        <w:rPr>
          <w:spacing w:val="-6"/>
          <w:w w:val="105"/>
          <w:sz w:val="13"/>
        </w:rPr>
        <w:t xml:space="preserve"> </w:t>
      </w:r>
      <w:r>
        <w:rPr>
          <w:w w:val="105"/>
          <w:sz w:val="13"/>
        </w:rPr>
        <w:t>Croacia,</w:t>
      </w:r>
      <w:r>
        <w:rPr>
          <w:spacing w:val="-6"/>
          <w:w w:val="105"/>
          <w:sz w:val="13"/>
        </w:rPr>
        <w:t xml:space="preserve"> </w:t>
      </w:r>
      <w:r>
        <w:rPr>
          <w:w w:val="105"/>
          <w:sz w:val="13"/>
        </w:rPr>
        <w:t>solicitud</w:t>
      </w:r>
      <w:r>
        <w:rPr>
          <w:spacing w:val="-7"/>
          <w:w w:val="105"/>
          <w:sz w:val="13"/>
        </w:rPr>
        <w:t xml:space="preserve"> </w:t>
      </w:r>
      <w:r>
        <w:rPr>
          <w:w w:val="105"/>
          <w:sz w:val="13"/>
        </w:rPr>
        <w:t>n.º</w:t>
      </w:r>
      <w:r>
        <w:rPr>
          <w:spacing w:val="-6"/>
          <w:w w:val="105"/>
          <w:sz w:val="13"/>
        </w:rPr>
        <w:t xml:space="preserve"> </w:t>
      </w:r>
      <w:r>
        <w:rPr>
          <w:w w:val="105"/>
          <w:sz w:val="13"/>
        </w:rPr>
        <w:t>15766/03,</w:t>
      </w:r>
      <w:r>
        <w:rPr>
          <w:spacing w:val="-6"/>
          <w:w w:val="105"/>
          <w:sz w:val="13"/>
        </w:rPr>
        <w:t xml:space="preserve"> </w:t>
      </w:r>
      <w:r>
        <w:rPr>
          <w:w w:val="105"/>
          <w:sz w:val="13"/>
        </w:rPr>
        <w:t>sentencia</w:t>
      </w:r>
      <w:r>
        <w:rPr>
          <w:spacing w:val="-7"/>
          <w:w w:val="105"/>
          <w:sz w:val="13"/>
        </w:rPr>
        <w:t xml:space="preserve"> </w:t>
      </w:r>
      <w:r>
        <w:rPr>
          <w:w w:val="105"/>
          <w:sz w:val="13"/>
        </w:rPr>
        <w:t>de</w:t>
      </w:r>
      <w:r>
        <w:rPr>
          <w:spacing w:val="-6"/>
          <w:w w:val="105"/>
          <w:sz w:val="13"/>
        </w:rPr>
        <w:t xml:space="preserve"> </w:t>
      </w:r>
      <w:r>
        <w:rPr>
          <w:w w:val="105"/>
          <w:sz w:val="13"/>
        </w:rPr>
        <w:t>16</w:t>
      </w:r>
      <w:r>
        <w:rPr>
          <w:spacing w:val="-6"/>
          <w:w w:val="105"/>
          <w:sz w:val="13"/>
        </w:rPr>
        <w:t xml:space="preserve"> </w:t>
      </w:r>
      <w:r>
        <w:rPr>
          <w:w w:val="105"/>
          <w:sz w:val="13"/>
        </w:rPr>
        <w:t>de</w:t>
      </w:r>
      <w:r>
        <w:rPr>
          <w:spacing w:val="-7"/>
          <w:w w:val="105"/>
          <w:sz w:val="13"/>
        </w:rPr>
        <w:t xml:space="preserve"> </w:t>
      </w:r>
      <w:r>
        <w:rPr>
          <w:w w:val="105"/>
          <w:sz w:val="13"/>
        </w:rPr>
        <w:t>marzo</w:t>
      </w:r>
      <w:r>
        <w:rPr>
          <w:spacing w:val="-6"/>
          <w:w w:val="105"/>
          <w:sz w:val="13"/>
        </w:rPr>
        <w:t xml:space="preserve"> </w:t>
      </w:r>
      <w:r>
        <w:rPr>
          <w:w w:val="105"/>
          <w:sz w:val="13"/>
        </w:rPr>
        <w:t>de</w:t>
      </w:r>
      <w:r>
        <w:rPr>
          <w:spacing w:val="-6"/>
          <w:w w:val="105"/>
          <w:sz w:val="13"/>
        </w:rPr>
        <w:t xml:space="preserve"> </w:t>
      </w:r>
      <w:r>
        <w:rPr>
          <w:spacing w:val="-2"/>
          <w:w w:val="105"/>
          <w:sz w:val="13"/>
        </w:rPr>
        <w:t>2010.</w:t>
      </w:r>
    </w:p>
    <w:p w14:paraId="25C4D05B" w14:textId="77777777" w:rsidR="0014798C" w:rsidRDefault="004E1F0B">
      <w:pPr>
        <w:spacing w:before="87" w:line="288" w:lineRule="auto"/>
        <w:ind w:left="1370" w:right="1463" w:hanging="263"/>
        <w:rPr>
          <w:sz w:val="13"/>
        </w:rPr>
      </w:pPr>
      <w:r>
        <w:rPr>
          <w:sz w:val="13"/>
          <w:vertAlign w:val="superscript"/>
        </w:rPr>
        <w:t>347</w:t>
      </w:r>
      <w:r>
        <w:rPr>
          <w:spacing w:val="80"/>
          <w:sz w:val="13"/>
        </w:rPr>
        <w:t xml:space="preserve"> </w:t>
      </w:r>
      <w:r>
        <w:rPr>
          <w:sz w:val="13"/>
        </w:rPr>
        <w:t>A/HRC/43/47,</w:t>
      </w:r>
      <w:r>
        <w:rPr>
          <w:spacing w:val="-3"/>
          <w:sz w:val="13"/>
        </w:rPr>
        <w:t xml:space="preserve"> </w:t>
      </w:r>
      <w:proofErr w:type="spellStart"/>
      <w:r>
        <w:rPr>
          <w:sz w:val="13"/>
        </w:rPr>
        <w:t>párrs</w:t>
      </w:r>
      <w:proofErr w:type="spellEnd"/>
      <w:r>
        <w:rPr>
          <w:sz w:val="13"/>
        </w:rPr>
        <w:t>.</w:t>
      </w:r>
      <w:r>
        <w:rPr>
          <w:spacing w:val="-3"/>
          <w:sz w:val="13"/>
        </w:rPr>
        <w:t xml:space="preserve"> </w:t>
      </w:r>
      <w:r>
        <w:rPr>
          <w:sz w:val="13"/>
        </w:rPr>
        <w:t>41</w:t>
      </w:r>
      <w:r>
        <w:rPr>
          <w:spacing w:val="-3"/>
          <w:sz w:val="13"/>
        </w:rPr>
        <w:t xml:space="preserve"> </w:t>
      </w:r>
      <w:r>
        <w:rPr>
          <w:sz w:val="13"/>
        </w:rPr>
        <w:t>y</w:t>
      </w:r>
      <w:r>
        <w:rPr>
          <w:spacing w:val="-3"/>
          <w:sz w:val="13"/>
        </w:rPr>
        <w:t xml:space="preserve"> </w:t>
      </w:r>
      <w:r>
        <w:rPr>
          <w:sz w:val="13"/>
        </w:rPr>
        <w:t>44;</w:t>
      </w:r>
      <w:r>
        <w:rPr>
          <w:spacing w:val="-3"/>
          <w:sz w:val="13"/>
        </w:rPr>
        <w:t xml:space="preserve"> </w:t>
      </w:r>
      <w:r>
        <w:rPr>
          <w:sz w:val="13"/>
        </w:rPr>
        <w:t>A/HRC/10/11/Add.1,</w:t>
      </w:r>
      <w:r>
        <w:rPr>
          <w:spacing w:val="-3"/>
          <w:sz w:val="13"/>
        </w:rPr>
        <w:t xml:space="preserve"> </w:t>
      </w:r>
      <w:proofErr w:type="spellStart"/>
      <w:r>
        <w:rPr>
          <w:sz w:val="13"/>
        </w:rPr>
        <w:t>párrs</w:t>
      </w:r>
      <w:proofErr w:type="spellEnd"/>
      <w:r>
        <w:rPr>
          <w:sz w:val="13"/>
        </w:rPr>
        <w:t>.</w:t>
      </w:r>
      <w:r>
        <w:rPr>
          <w:spacing w:val="-3"/>
          <w:sz w:val="13"/>
        </w:rPr>
        <w:t xml:space="preserve"> </w:t>
      </w:r>
      <w:r>
        <w:rPr>
          <w:sz w:val="13"/>
        </w:rPr>
        <w:t>4,</w:t>
      </w:r>
      <w:r>
        <w:rPr>
          <w:spacing w:val="-3"/>
          <w:sz w:val="13"/>
        </w:rPr>
        <w:t xml:space="preserve"> </w:t>
      </w:r>
      <w:r>
        <w:rPr>
          <w:sz w:val="13"/>
        </w:rPr>
        <w:t>10</w:t>
      </w:r>
      <w:r>
        <w:rPr>
          <w:spacing w:val="-3"/>
          <w:sz w:val="13"/>
        </w:rPr>
        <w:t xml:space="preserve"> </w:t>
      </w:r>
      <w:r>
        <w:rPr>
          <w:sz w:val="13"/>
        </w:rPr>
        <w:t>y</w:t>
      </w:r>
      <w:r>
        <w:rPr>
          <w:spacing w:val="-3"/>
          <w:sz w:val="13"/>
        </w:rPr>
        <w:t xml:space="preserve"> </w:t>
      </w:r>
      <w:r>
        <w:rPr>
          <w:sz w:val="13"/>
        </w:rPr>
        <w:t>27;</w:t>
      </w:r>
      <w:r>
        <w:rPr>
          <w:spacing w:val="-3"/>
          <w:sz w:val="13"/>
        </w:rPr>
        <w:t xml:space="preserve"> </w:t>
      </w:r>
      <w:r>
        <w:rPr>
          <w:sz w:val="13"/>
        </w:rPr>
        <w:t>CCPR/C/MKD/CO/2,</w:t>
      </w:r>
      <w:r>
        <w:rPr>
          <w:spacing w:val="-3"/>
          <w:sz w:val="13"/>
        </w:rPr>
        <w:t xml:space="preserve"> </w:t>
      </w:r>
      <w:r>
        <w:rPr>
          <w:sz w:val="13"/>
        </w:rPr>
        <w:t>párr.</w:t>
      </w:r>
      <w:r>
        <w:rPr>
          <w:spacing w:val="-3"/>
          <w:sz w:val="13"/>
        </w:rPr>
        <w:t xml:space="preserve"> </w:t>
      </w:r>
      <w:r>
        <w:rPr>
          <w:sz w:val="13"/>
        </w:rPr>
        <w:t>19;</w:t>
      </w:r>
      <w:r>
        <w:rPr>
          <w:spacing w:val="-3"/>
          <w:sz w:val="13"/>
        </w:rPr>
        <w:t xml:space="preserve"> </w:t>
      </w:r>
      <w:r>
        <w:rPr>
          <w:sz w:val="13"/>
        </w:rPr>
        <w:t>CRC/C/KGZ/CO/3-4,</w:t>
      </w:r>
      <w:r>
        <w:rPr>
          <w:spacing w:val="-3"/>
          <w:sz w:val="13"/>
        </w:rPr>
        <w:t xml:space="preserve"> </w:t>
      </w:r>
      <w:r>
        <w:rPr>
          <w:sz w:val="13"/>
        </w:rPr>
        <w:t>párr.</w:t>
      </w:r>
      <w:r>
        <w:rPr>
          <w:spacing w:val="-3"/>
          <w:sz w:val="13"/>
        </w:rPr>
        <w:t xml:space="preserve"> </w:t>
      </w:r>
      <w:r>
        <w:rPr>
          <w:sz w:val="13"/>
        </w:rPr>
        <w:t>59;</w:t>
      </w:r>
      <w:r>
        <w:rPr>
          <w:spacing w:val="-3"/>
          <w:sz w:val="13"/>
        </w:rPr>
        <w:t xml:space="preserve"> </w:t>
      </w:r>
      <w:r>
        <w:rPr>
          <w:sz w:val="13"/>
        </w:rPr>
        <w:t>y</w:t>
      </w:r>
      <w:r>
        <w:rPr>
          <w:spacing w:val="-3"/>
          <w:sz w:val="13"/>
        </w:rPr>
        <w:t xml:space="preserve"> </w:t>
      </w:r>
      <w:r>
        <w:rPr>
          <w:sz w:val="13"/>
        </w:rPr>
        <w:t>CRC/C/15/</w:t>
      </w:r>
      <w:r>
        <w:rPr>
          <w:spacing w:val="40"/>
          <w:sz w:val="13"/>
        </w:rPr>
        <w:t xml:space="preserve"> </w:t>
      </w:r>
      <w:r>
        <w:rPr>
          <w:sz w:val="13"/>
        </w:rPr>
        <w:t>Add.191, párr. 75 b).</w:t>
      </w:r>
    </w:p>
    <w:p w14:paraId="0A79F107" w14:textId="77777777" w:rsidR="0014798C" w:rsidRDefault="004E1F0B">
      <w:pPr>
        <w:spacing w:before="106"/>
        <w:ind w:left="1107"/>
        <w:rPr>
          <w:sz w:val="11"/>
        </w:rPr>
      </w:pPr>
      <w:r>
        <w:rPr>
          <w:w w:val="105"/>
          <w:sz w:val="11"/>
        </w:rPr>
        <w:t>348</w:t>
      </w:r>
      <w:r>
        <w:rPr>
          <w:spacing w:val="-1"/>
          <w:w w:val="105"/>
          <w:sz w:val="11"/>
        </w:rPr>
        <w:t xml:space="preserve"> </w:t>
      </w:r>
      <w:r>
        <w:rPr>
          <w:w w:val="105"/>
          <w:sz w:val="11"/>
        </w:rPr>
        <w:t>Comité</w:t>
      </w:r>
      <w:r>
        <w:rPr>
          <w:spacing w:val="-1"/>
          <w:w w:val="105"/>
          <w:sz w:val="11"/>
        </w:rPr>
        <w:t xml:space="preserve"> </w:t>
      </w:r>
      <w:r>
        <w:rPr>
          <w:w w:val="105"/>
          <w:sz w:val="11"/>
        </w:rPr>
        <w:t>sobre</w:t>
      </w:r>
      <w:r>
        <w:rPr>
          <w:spacing w:val="-1"/>
          <w:w w:val="105"/>
          <w:sz w:val="11"/>
        </w:rPr>
        <w:t xml:space="preserve"> </w:t>
      </w:r>
      <w:r>
        <w:rPr>
          <w:w w:val="105"/>
          <w:sz w:val="11"/>
        </w:rPr>
        <w:t>los</w:t>
      </w:r>
      <w:r>
        <w:rPr>
          <w:spacing w:val="-1"/>
          <w:w w:val="105"/>
          <w:sz w:val="11"/>
        </w:rPr>
        <w:t xml:space="preserve"> </w:t>
      </w:r>
      <w:r>
        <w:rPr>
          <w:w w:val="105"/>
          <w:sz w:val="11"/>
        </w:rPr>
        <w:t>Derechos</w:t>
      </w:r>
      <w:r>
        <w:rPr>
          <w:spacing w:val="-1"/>
          <w:w w:val="105"/>
          <w:sz w:val="11"/>
        </w:rPr>
        <w:t xml:space="preserve"> </w:t>
      </w:r>
      <w:r>
        <w:rPr>
          <w:w w:val="105"/>
          <w:sz w:val="11"/>
        </w:rPr>
        <w:t>de</w:t>
      </w:r>
      <w:r>
        <w:rPr>
          <w:spacing w:val="-1"/>
          <w:w w:val="105"/>
          <w:sz w:val="11"/>
        </w:rPr>
        <w:t xml:space="preserve"> </w:t>
      </w:r>
      <w:r>
        <w:rPr>
          <w:w w:val="105"/>
          <w:sz w:val="11"/>
        </w:rPr>
        <w:t>las</w:t>
      </w:r>
      <w:r>
        <w:rPr>
          <w:spacing w:val="-1"/>
          <w:w w:val="105"/>
          <w:sz w:val="11"/>
        </w:rPr>
        <w:t xml:space="preserve"> </w:t>
      </w:r>
      <w:r>
        <w:rPr>
          <w:w w:val="105"/>
          <w:sz w:val="11"/>
        </w:rPr>
        <w:t>Personas</w:t>
      </w:r>
      <w:r>
        <w:rPr>
          <w:spacing w:val="-1"/>
          <w:w w:val="105"/>
          <w:sz w:val="11"/>
        </w:rPr>
        <w:t xml:space="preserve"> </w:t>
      </w:r>
      <w:r>
        <w:rPr>
          <w:w w:val="105"/>
          <w:sz w:val="11"/>
        </w:rPr>
        <w:t>con</w:t>
      </w:r>
      <w:r>
        <w:rPr>
          <w:spacing w:val="-1"/>
          <w:w w:val="105"/>
          <w:sz w:val="11"/>
        </w:rPr>
        <w:t xml:space="preserve"> </w:t>
      </w:r>
      <w:r>
        <w:rPr>
          <w:w w:val="105"/>
          <w:sz w:val="11"/>
        </w:rPr>
        <w:t>Discapacidad, observación general</w:t>
      </w:r>
      <w:r>
        <w:rPr>
          <w:spacing w:val="-1"/>
          <w:w w:val="105"/>
          <w:sz w:val="11"/>
        </w:rPr>
        <w:t xml:space="preserve"> </w:t>
      </w:r>
      <w:r>
        <w:rPr>
          <w:w w:val="105"/>
          <w:sz w:val="11"/>
        </w:rPr>
        <w:t>núm. 6</w:t>
      </w:r>
      <w:r>
        <w:rPr>
          <w:spacing w:val="-1"/>
          <w:w w:val="105"/>
          <w:sz w:val="11"/>
        </w:rPr>
        <w:t xml:space="preserve"> </w:t>
      </w:r>
      <w:r>
        <w:rPr>
          <w:w w:val="105"/>
          <w:sz w:val="11"/>
        </w:rPr>
        <w:t>(2018),</w:t>
      </w:r>
      <w:r>
        <w:rPr>
          <w:spacing w:val="1"/>
          <w:w w:val="105"/>
          <w:sz w:val="11"/>
        </w:rPr>
        <w:t xml:space="preserve"> </w:t>
      </w:r>
      <w:r>
        <w:rPr>
          <w:w w:val="105"/>
          <w:sz w:val="11"/>
        </w:rPr>
        <w:t xml:space="preserve">párr. </w:t>
      </w:r>
      <w:r>
        <w:rPr>
          <w:spacing w:val="-2"/>
          <w:w w:val="105"/>
          <w:sz w:val="11"/>
        </w:rPr>
        <w:t>73(i).</w:t>
      </w:r>
    </w:p>
    <w:p w14:paraId="03205557" w14:textId="77777777" w:rsidR="0014798C" w:rsidRDefault="004E1F0B">
      <w:pPr>
        <w:spacing w:before="61" w:line="288" w:lineRule="auto"/>
        <w:ind w:left="1366" w:right="1400" w:hanging="259"/>
        <w:rPr>
          <w:sz w:val="13"/>
        </w:rPr>
      </w:pPr>
      <w:r>
        <w:rPr>
          <w:w w:val="105"/>
          <w:sz w:val="13"/>
        </w:rPr>
        <w:t>349</w:t>
      </w:r>
      <w:r>
        <w:rPr>
          <w:spacing w:val="-5"/>
          <w:w w:val="105"/>
          <w:sz w:val="13"/>
        </w:rPr>
        <w:t xml:space="preserve"> </w:t>
      </w:r>
      <w:r>
        <w:rPr>
          <w:w w:val="105"/>
          <w:sz w:val="13"/>
        </w:rPr>
        <w:t>Esto</w:t>
      </w:r>
      <w:r>
        <w:rPr>
          <w:spacing w:val="-5"/>
          <w:w w:val="105"/>
          <w:sz w:val="13"/>
        </w:rPr>
        <w:t xml:space="preserve"> </w:t>
      </w:r>
      <w:r>
        <w:rPr>
          <w:w w:val="105"/>
          <w:sz w:val="13"/>
        </w:rPr>
        <w:t>se</w:t>
      </w:r>
      <w:r>
        <w:rPr>
          <w:spacing w:val="-5"/>
          <w:w w:val="105"/>
          <w:sz w:val="13"/>
        </w:rPr>
        <w:t xml:space="preserve"> </w:t>
      </w:r>
      <w:r>
        <w:rPr>
          <w:w w:val="105"/>
          <w:sz w:val="13"/>
        </w:rPr>
        <w:t>puede</w:t>
      </w:r>
      <w:r>
        <w:rPr>
          <w:spacing w:val="-5"/>
          <w:w w:val="105"/>
          <w:sz w:val="13"/>
        </w:rPr>
        <w:t xml:space="preserve"> </w:t>
      </w:r>
      <w:r>
        <w:rPr>
          <w:w w:val="105"/>
          <w:sz w:val="13"/>
        </w:rPr>
        <w:t>inferir</w:t>
      </w:r>
      <w:r>
        <w:rPr>
          <w:spacing w:val="-5"/>
          <w:w w:val="105"/>
          <w:sz w:val="13"/>
        </w:rPr>
        <w:t xml:space="preserve"> </w:t>
      </w:r>
      <w:r>
        <w:rPr>
          <w:w w:val="105"/>
          <w:sz w:val="13"/>
        </w:rPr>
        <w:t>de</w:t>
      </w:r>
      <w:r>
        <w:rPr>
          <w:spacing w:val="-5"/>
          <w:w w:val="105"/>
          <w:sz w:val="13"/>
        </w:rPr>
        <w:t xml:space="preserve"> </w:t>
      </w:r>
      <w:r>
        <w:rPr>
          <w:w w:val="105"/>
          <w:sz w:val="13"/>
        </w:rPr>
        <w:t>la</w:t>
      </w:r>
      <w:r>
        <w:rPr>
          <w:spacing w:val="-5"/>
          <w:w w:val="105"/>
          <w:sz w:val="13"/>
        </w:rPr>
        <w:t xml:space="preserve"> </w:t>
      </w:r>
      <w:r>
        <w:rPr>
          <w:w w:val="105"/>
          <w:sz w:val="13"/>
        </w:rPr>
        <w:t>prohibición</w:t>
      </w:r>
      <w:r>
        <w:rPr>
          <w:spacing w:val="-5"/>
          <w:w w:val="105"/>
          <w:sz w:val="13"/>
        </w:rPr>
        <w:t xml:space="preserve"> </w:t>
      </w:r>
      <w:r>
        <w:rPr>
          <w:w w:val="105"/>
          <w:sz w:val="13"/>
        </w:rPr>
        <w:t>de</w:t>
      </w:r>
      <w:r>
        <w:rPr>
          <w:spacing w:val="-5"/>
          <w:w w:val="105"/>
          <w:sz w:val="13"/>
        </w:rPr>
        <w:t xml:space="preserve"> </w:t>
      </w:r>
      <w:r>
        <w:rPr>
          <w:w w:val="105"/>
          <w:sz w:val="13"/>
        </w:rPr>
        <w:t>la</w:t>
      </w:r>
      <w:r>
        <w:rPr>
          <w:spacing w:val="-5"/>
          <w:w w:val="105"/>
          <w:sz w:val="13"/>
        </w:rPr>
        <w:t xml:space="preserve"> </w:t>
      </w:r>
      <w:r>
        <w:rPr>
          <w:w w:val="105"/>
          <w:sz w:val="13"/>
        </w:rPr>
        <w:t>discriminación</w:t>
      </w:r>
      <w:r>
        <w:rPr>
          <w:spacing w:val="-5"/>
          <w:w w:val="105"/>
          <w:sz w:val="13"/>
        </w:rPr>
        <w:t xml:space="preserve"> </w:t>
      </w:r>
      <w:r>
        <w:rPr>
          <w:w w:val="105"/>
          <w:sz w:val="13"/>
        </w:rPr>
        <w:t>basada</w:t>
      </w:r>
      <w:r>
        <w:rPr>
          <w:spacing w:val="-5"/>
          <w:w w:val="105"/>
          <w:sz w:val="13"/>
        </w:rPr>
        <w:t xml:space="preserve"> </w:t>
      </w:r>
      <w:r>
        <w:rPr>
          <w:w w:val="105"/>
          <w:sz w:val="13"/>
        </w:rPr>
        <w:t>en</w:t>
      </w:r>
      <w:r>
        <w:rPr>
          <w:spacing w:val="-5"/>
          <w:w w:val="105"/>
          <w:sz w:val="13"/>
        </w:rPr>
        <w:t xml:space="preserve"> </w:t>
      </w:r>
      <w:r>
        <w:rPr>
          <w:w w:val="105"/>
          <w:sz w:val="13"/>
        </w:rPr>
        <w:t>la</w:t>
      </w:r>
      <w:r>
        <w:rPr>
          <w:spacing w:val="-5"/>
          <w:w w:val="105"/>
          <w:sz w:val="13"/>
        </w:rPr>
        <w:t xml:space="preserve"> </w:t>
      </w:r>
      <w:r>
        <w:rPr>
          <w:w w:val="105"/>
          <w:sz w:val="13"/>
        </w:rPr>
        <w:t>asociación,</w:t>
      </w:r>
      <w:r>
        <w:rPr>
          <w:spacing w:val="-4"/>
          <w:w w:val="105"/>
          <w:sz w:val="13"/>
        </w:rPr>
        <w:t xml:space="preserve"> </w:t>
      </w:r>
      <w:r>
        <w:rPr>
          <w:w w:val="105"/>
          <w:sz w:val="13"/>
        </w:rPr>
        <w:t>analizada</w:t>
      </w:r>
      <w:r>
        <w:rPr>
          <w:spacing w:val="-5"/>
          <w:w w:val="105"/>
          <w:sz w:val="13"/>
        </w:rPr>
        <w:t xml:space="preserve"> </w:t>
      </w:r>
      <w:r>
        <w:rPr>
          <w:w w:val="105"/>
          <w:sz w:val="13"/>
        </w:rPr>
        <w:t>en</w:t>
      </w:r>
      <w:r>
        <w:rPr>
          <w:spacing w:val="-5"/>
          <w:w w:val="105"/>
          <w:sz w:val="13"/>
        </w:rPr>
        <w:t xml:space="preserve"> </w:t>
      </w:r>
      <w:r>
        <w:rPr>
          <w:w w:val="105"/>
          <w:sz w:val="13"/>
        </w:rPr>
        <w:t>la</w:t>
      </w:r>
      <w:r>
        <w:rPr>
          <w:spacing w:val="-5"/>
          <w:w w:val="105"/>
          <w:sz w:val="13"/>
        </w:rPr>
        <w:t xml:space="preserve"> </w:t>
      </w:r>
      <w:r>
        <w:rPr>
          <w:w w:val="105"/>
          <w:sz w:val="13"/>
        </w:rPr>
        <w:t>sección</w:t>
      </w:r>
      <w:r>
        <w:rPr>
          <w:spacing w:val="-5"/>
          <w:w w:val="105"/>
          <w:sz w:val="13"/>
        </w:rPr>
        <w:t xml:space="preserve"> </w:t>
      </w:r>
      <w:r>
        <w:rPr>
          <w:w w:val="105"/>
          <w:sz w:val="13"/>
        </w:rPr>
        <w:t>IA1(b)</w:t>
      </w:r>
      <w:r>
        <w:rPr>
          <w:spacing w:val="-5"/>
          <w:w w:val="105"/>
          <w:sz w:val="13"/>
        </w:rPr>
        <w:t xml:space="preserve"> </w:t>
      </w:r>
      <w:r>
        <w:rPr>
          <w:w w:val="105"/>
          <w:sz w:val="13"/>
        </w:rPr>
        <w:t>de</w:t>
      </w:r>
      <w:r>
        <w:rPr>
          <w:spacing w:val="-5"/>
          <w:w w:val="105"/>
          <w:sz w:val="13"/>
        </w:rPr>
        <w:t xml:space="preserve"> </w:t>
      </w:r>
      <w:r>
        <w:rPr>
          <w:w w:val="105"/>
          <w:sz w:val="13"/>
        </w:rPr>
        <w:t>esta</w:t>
      </w:r>
      <w:r>
        <w:rPr>
          <w:spacing w:val="-5"/>
          <w:w w:val="105"/>
          <w:sz w:val="13"/>
        </w:rPr>
        <w:t xml:space="preserve"> </w:t>
      </w:r>
      <w:r>
        <w:rPr>
          <w:w w:val="105"/>
          <w:sz w:val="13"/>
        </w:rPr>
        <w:t>parte,</w:t>
      </w:r>
      <w:r>
        <w:rPr>
          <w:spacing w:val="-5"/>
          <w:w w:val="105"/>
          <w:sz w:val="13"/>
        </w:rPr>
        <w:t xml:space="preserve"> </w:t>
      </w:r>
      <w:r>
        <w:rPr>
          <w:w w:val="105"/>
          <w:sz w:val="13"/>
        </w:rPr>
        <w:t>y</w:t>
      </w:r>
      <w:r>
        <w:rPr>
          <w:spacing w:val="-5"/>
          <w:w w:val="105"/>
          <w:sz w:val="13"/>
        </w:rPr>
        <w:t xml:space="preserve"> </w:t>
      </w:r>
      <w:r>
        <w:rPr>
          <w:w w:val="105"/>
          <w:sz w:val="13"/>
        </w:rPr>
        <w:t>de</w:t>
      </w:r>
      <w:r>
        <w:rPr>
          <w:spacing w:val="-5"/>
          <w:w w:val="105"/>
          <w:sz w:val="13"/>
        </w:rPr>
        <w:t xml:space="preserve"> </w:t>
      </w:r>
      <w:r>
        <w:rPr>
          <w:w w:val="105"/>
          <w:sz w:val="13"/>
        </w:rPr>
        <w:t>hecho</w:t>
      </w:r>
      <w:r>
        <w:rPr>
          <w:spacing w:val="-5"/>
          <w:w w:val="105"/>
          <w:sz w:val="13"/>
        </w:rPr>
        <w:t xml:space="preserve"> </w:t>
      </w:r>
      <w:r>
        <w:rPr>
          <w:w w:val="105"/>
          <w:sz w:val="13"/>
        </w:rPr>
        <w:t>es</w:t>
      </w:r>
      <w:r>
        <w:rPr>
          <w:spacing w:val="-5"/>
          <w:w w:val="105"/>
          <w:sz w:val="13"/>
        </w:rPr>
        <w:t xml:space="preserve"> </w:t>
      </w:r>
      <w:r>
        <w:rPr>
          <w:w w:val="105"/>
          <w:sz w:val="13"/>
        </w:rPr>
        <w:t>la</w:t>
      </w:r>
      <w:r>
        <w:rPr>
          <w:spacing w:val="40"/>
          <w:w w:val="105"/>
          <w:sz w:val="13"/>
        </w:rPr>
        <w:t xml:space="preserve"> </w:t>
      </w:r>
      <w:r>
        <w:rPr>
          <w:w w:val="105"/>
          <w:sz w:val="13"/>
        </w:rPr>
        <w:t>práctica</w:t>
      </w:r>
      <w:r>
        <w:rPr>
          <w:spacing w:val="-2"/>
          <w:w w:val="105"/>
          <w:sz w:val="13"/>
        </w:rPr>
        <w:t xml:space="preserve"> </w:t>
      </w:r>
      <w:r>
        <w:rPr>
          <w:w w:val="105"/>
          <w:sz w:val="13"/>
        </w:rPr>
        <w:t>en</w:t>
      </w:r>
      <w:r>
        <w:rPr>
          <w:spacing w:val="-2"/>
          <w:w w:val="105"/>
          <w:sz w:val="13"/>
        </w:rPr>
        <w:t xml:space="preserve"> </w:t>
      </w:r>
      <w:r>
        <w:rPr>
          <w:w w:val="105"/>
          <w:sz w:val="13"/>
        </w:rPr>
        <w:t>muchos</w:t>
      </w:r>
      <w:r>
        <w:rPr>
          <w:spacing w:val="-2"/>
          <w:w w:val="105"/>
          <w:sz w:val="13"/>
        </w:rPr>
        <w:t xml:space="preserve"> </w:t>
      </w:r>
      <w:r>
        <w:rPr>
          <w:w w:val="105"/>
          <w:sz w:val="13"/>
        </w:rPr>
        <w:t>países</w:t>
      </w:r>
      <w:r>
        <w:rPr>
          <w:spacing w:val="-2"/>
          <w:w w:val="105"/>
          <w:sz w:val="13"/>
        </w:rPr>
        <w:t xml:space="preserve"> </w:t>
      </w:r>
      <w:r>
        <w:rPr>
          <w:w w:val="105"/>
          <w:sz w:val="13"/>
        </w:rPr>
        <w:t>europeos.</w:t>
      </w:r>
      <w:r>
        <w:rPr>
          <w:spacing w:val="-1"/>
          <w:w w:val="105"/>
          <w:sz w:val="13"/>
        </w:rPr>
        <w:t xml:space="preserve"> </w:t>
      </w:r>
      <w:r>
        <w:rPr>
          <w:w w:val="105"/>
          <w:sz w:val="13"/>
        </w:rPr>
        <w:t>Véase</w:t>
      </w:r>
      <w:r>
        <w:rPr>
          <w:spacing w:val="-2"/>
          <w:w w:val="105"/>
          <w:sz w:val="13"/>
        </w:rPr>
        <w:t xml:space="preserve"> </w:t>
      </w:r>
      <w:r>
        <w:rPr>
          <w:w w:val="105"/>
          <w:sz w:val="13"/>
        </w:rPr>
        <w:t>Isabelle</w:t>
      </w:r>
      <w:r>
        <w:rPr>
          <w:spacing w:val="-2"/>
          <w:w w:val="105"/>
          <w:sz w:val="13"/>
        </w:rPr>
        <w:t xml:space="preserve"> </w:t>
      </w:r>
      <w:r>
        <w:rPr>
          <w:w w:val="105"/>
          <w:sz w:val="13"/>
        </w:rPr>
        <w:t>Chopin</w:t>
      </w:r>
      <w:r>
        <w:rPr>
          <w:spacing w:val="-2"/>
          <w:w w:val="105"/>
          <w:sz w:val="13"/>
        </w:rPr>
        <w:t xml:space="preserve"> </w:t>
      </w:r>
      <w:r>
        <w:rPr>
          <w:w w:val="105"/>
          <w:sz w:val="13"/>
        </w:rPr>
        <w:t>y</w:t>
      </w:r>
      <w:r>
        <w:rPr>
          <w:spacing w:val="-2"/>
          <w:w w:val="105"/>
          <w:sz w:val="13"/>
        </w:rPr>
        <w:t xml:space="preserve"> </w:t>
      </w:r>
      <w:r>
        <w:rPr>
          <w:w w:val="105"/>
          <w:sz w:val="13"/>
        </w:rPr>
        <w:t>Catharina</w:t>
      </w:r>
      <w:r>
        <w:rPr>
          <w:spacing w:val="-2"/>
          <w:w w:val="105"/>
          <w:sz w:val="13"/>
        </w:rPr>
        <w:t xml:space="preserve"> </w:t>
      </w:r>
      <w:r>
        <w:rPr>
          <w:w w:val="105"/>
          <w:sz w:val="13"/>
        </w:rPr>
        <w:t>Germaine</w:t>
      </w:r>
      <w:r>
        <w:rPr>
          <w:spacing w:val="-2"/>
          <w:w w:val="105"/>
          <w:sz w:val="13"/>
        </w:rPr>
        <w:t xml:space="preserve"> </w:t>
      </w:r>
      <w:r>
        <w:rPr>
          <w:w w:val="105"/>
          <w:sz w:val="13"/>
        </w:rPr>
        <w:t>(para</w:t>
      </w:r>
      <w:r>
        <w:rPr>
          <w:spacing w:val="-2"/>
          <w:w w:val="105"/>
          <w:sz w:val="13"/>
        </w:rPr>
        <w:t xml:space="preserve"> </w:t>
      </w:r>
      <w:r>
        <w:rPr>
          <w:w w:val="105"/>
          <w:sz w:val="13"/>
        </w:rPr>
        <w:t>la</w:t>
      </w:r>
      <w:r>
        <w:rPr>
          <w:spacing w:val="-2"/>
          <w:w w:val="105"/>
          <w:sz w:val="13"/>
        </w:rPr>
        <w:t xml:space="preserve"> </w:t>
      </w:r>
      <w:r>
        <w:rPr>
          <w:w w:val="105"/>
          <w:sz w:val="13"/>
        </w:rPr>
        <w:t>Red</w:t>
      </w:r>
      <w:r>
        <w:rPr>
          <w:spacing w:val="-2"/>
          <w:w w:val="105"/>
          <w:sz w:val="13"/>
        </w:rPr>
        <w:t xml:space="preserve"> </w:t>
      </w:r>
      <w:r>
        <w:rPr>
          <w:w w:val="105"/>
          <w:sz w:val="13"/>
        </w:rPr>
        <w:t>Europea</w:t>
      </w:r>
      <w:r>
        <w:rPr>
          <w:spacing w:val="-2"/>
          <w:w w:val="105"/>
          <w:sz w:val="13"/>
        </w:rPr>
        <w:t xml:space="preserve"> </w:t>
      </w:r>
      <w:r>
        <w:rPr>
          <w:w w:val="105"/>
          <w:sz w:val="13"/>
        </w:rPr>
        <w:t>de</w:t>
      </w:r>
      <w:r>
        <w:rPr>
          <w:spacing w:val="-2"/>
          <w:w w:val="105"/>
          <w:sz w:val="13"/>
        </w:rPr>
        <w:t xml:space="preserve"> </w:t>
      </w:r>
      <w:r>
        <w:rPr>
          <w:w w:val="105"/>
          <w:sz w:val="13"/>
        </w:rPr>
        <w:t>Expertos</w:t>
      </w:r>
      <w:r>
        <w:rPr>
          <w:spacing w:val="-2"/>
          <w:w w:val="105"/>
          <w:sz w:val="13"/>
        </w:rPr>
        <w:t xml:space="preserve"> </w:t>
      </w:r>
      <w:r>
        <w:rPr>
          <w:w w:val="105"/>
          <w:sz w:val="13"/>
        </w:rPr>
        <w:t>Legales</w:t>
      </w:r>
      <w:r>
        <w:rPr>
          <w:spacing w:val="-2"/>
          <w:w w:val="105"/>
          <w:sz w:val="13"/>
        </w:rPr>
        <w:t xml:space="preserve"> </w:t>
      </w:r>
      <w:r>
        <w:rPr>
          <w:w w:val="105"/>
          <w:sz w:val="13"/>
        </w:rPr>
        <w:t>en</w:t>
      </w:r>
      <w:r>
        <w:rPr>
          <w:spacing w:val="-2"/>
          <w:w w:val="105"/>
          <w:sz w:val="13"/>
        </w:rPr>
        <w:t xml:space="preserve"> </w:t>
      </w:r>
      <w:r>
        <w:rPr>
          <w:w w:val="105"/>
          <w:sz w:val="13"/>
        </w:rPr>
        <w:t>Igualdad</w:t>
      </w:r>
      <w:r>
        <w:rPr>
          <w:spacing w:val="-2"/>
          <w:w w:val="105"/>
          <w:sz w:val="13"/>
        </w:rPr>
        <w:t xml:space="preserve"> </w:t>
      </w:r>
      <w:r>
        <w:rPr>
          <w:w w:val="105"/>
          <w:sz w:val="13"/>
        </w:rPr>
        <w:t>de</w:t>
      </w:r>
      <w:r>
        <w:rPr>
          <w:spacing w:val="40"/>
          <w:w w:val="105"/>
          <w:sz w:val="13"/>
        </w:rPr>
        <w:t xml:space="preserve"> </w:t>
      </w:r>
      <w:r>
        <w:rPr>
          <w:w w:val="105"/>
          <w:sz w:val="13"/>
        </w:rPr>
        <w:t>Género</w:t>
      </w:r>
      <w:r>
        <w:rPr>
          <w:spacing w:val="-3"/>
          <w:w w:val="105"/>
          <w:sz w:val="13"/>
        </w:rPr>
        <w:t xml:space="preserve"> </w:t>
      </w:r>
      <w:r>
        <w:rPr>
          <w:w w:val="105"/>
          <w:sz w:val="13"/>
        </w:rPr>
        <w:t>y</w:t>
      </w:r>
      <w:r>
        <w:rPr>
          <w:spacing w:val="-3"/>
          <w:w w:val="105"/>
          <w:sz w:val="13"/>
        </w:rPr>
        <w:t xml:space="preserve"> </w:t>
      </w:r>
      <w:r>
        <w:rPr>
          <w:w w:val="105"/>
          <w:sz w:val="13"/>
        </w:rPr>
        <w:t>No</w:t>
      </w:r>
      <w:r>
        <w:rPr>
          <w:spacing w:val="-3"/>
          <w:w w:val="105"/>
          <w:sz w:val="13"/>
        </w:rPr>
        <w:t xml:space="preserve"> </w:t>
      </w:r>
      <w:r>
        <w:rPr>
          <w:w w:val="105"/>
          <w:sz w:val="13"/>
        </w:rPr>
        <w:t>Discriminación),</w:t>
      </w:r>
      <w:r>
        <w:rPr>
          <w:spacing w:val="-2"/>
          <w:w w:val="105"/>
          <w:sz w:val="13"/>
        </w:rPr>
        <w:t xml:space="preserve"> </w:t>
      </w:r>
      <w:r>
        <w:rPr>
          <w:w w:val="105"/>
          <w:sz w:val="13"/>
        </w:rPr>
        <w:t>A</w:t>
      </w:r>
      <w:r>
        <w:rPr>
          <w:spacing w:val="-3"/>
          <w:w w:val="105"/>
          <w:sz w:val="13"/>
        </w:rPr>
        <w:t xml:space="preserve"> </w:t>
      </w:r>
      <w:r>
        <w:rPr>
          <w:w w:val="105"/>
          <w:sz w:val="13"/>
        </w:rPr>
        <w:t>Comparative</w:t>
      </w:r>
      <w:r>
        <w:rPr>
          <w:spacing w:val="-3"/>
          <w:w w:val="105"/>
          <w:sz w:val="13"/>
        </w:rPr>
        <w:t xml:space="preserve"> </w:t>
      </w:r>
      <w:proofErr w:type="spellStart"/>
      <w:r>
        <w:rPr>
          <w:w w:val="105"/>
          <w:sz w:val="13"/>
        </w:rPr>
        <w:t>Analysis</w:t>
      </w:r>
      <w:proofErr w:type="spellEnd"/>
      <w:r>
        <w:rPr>
          <w:spacing w:val="-3"/>
          <w:w w:val="105"/>
          <w:sz w:val="13"/>
        </w:rPr>
        <w:t xml:space="preserve"> </w:t>
      </w:r>
      <w:r>
        <w:rPr>
          <w:w w:val="105"/>
          <w:sz w:val="13"/>
        </w:rPr>
        <w:t>of</w:t>
      </w:r>
      <w:r>
        <w:rPr>
          <w:spacing w:val="-3"/>
          <w:w w:val="105"/>
          <w:sz w:val="13"/>
        </w:rPr>
        <w:t xml:space="preserve"> </w:t>
      </w:r>
      <w:r>
        <w:rPr>
          <w:w w:val="105"/>
          <w:sz w:val="13"/>
        </w:rPr>
        <w:t>Non-</w:t>
      </w:r>
      <w:proofErr w:type="spellStart"/>
      <w:r>
        <w:rPr>
          <w:w w:val="105"/>
          <w:sz w:val="13"/>
        </w:rPr>
        <w:t>Discrimination</w:t>
      </w:r>
      <w:proofErr w:type="spellEnd"/>
      <w:r>
        <w:rPr>
          <w:spacing w:val="-3"/>
          <w:w w:val="105"/>
          <w:sz w:val="13"/>
        </w:rPr>
        <w:t xml:space="preserve"> </w:t>
      </w:r>
      <w:proofErr w:type="spellStart"/>
      <w:r>
        <w:rPr>
          <w:w w:val="105"/>
          <w:sz w:val="13"/>
        </w:rPr>
        <w:t>Law</w:t>
      </w:r>
      <w:proofErr w:type="spellEnd"/>
      <w:r>
        <w:rPr>
          <w:spacing w:val="-3"/>
          <w:w w:val="105"/>
          <w:sz w:val="13"/>
        </w:rPr>
        <w:t xml:space="preserve"> </w:t>
      </w:r>
      <w:r>
        <w:rPr>
          <w:w w:val="105"/>
          <w:sz w:val="13"/>
        </w:rPr>
        <w:t>in</w:t>
      </w:r>
      <w:r>
        <w:rPr>
          <w:spacing w:val="-3"/>
          <w:w w:val="105"/>
          <w:sz w:val="13"/>
        </w:rPr>
        <w:t xml:space="preserve"> </w:t>
      </w:r>
      <w:proofErr w:type="spellStart"/>
      <w:r>
        <w:rPr>
          <w:w w:val="105"/>
          <w:sz w:val="13"/>
        </w:rPr>
        <w:t>Europe</w:t>
      </w:r>
      <w:proofErr w:type="spellEnd"/>
      <w:r>
        <w:rPr>
          <w:w w:val="105"/>
          <w:sz w:val="13"/>
        </w:rPr>
        <w:t>,</w:t>
      </w:r>
      <w:r>
        <w:rPr>
          <w:spacing w:val="-3"/>
          <w:w w:val="105"/>
          <w:sz w:val="13"/>
        </w:rPr>
        <w:t xml:space="preserve"> </w:t>
      </w:r>
      <w:r>
        <w:rPr>
          <w:w w:val="105"/>
          <w:sz w:val="13"/>
        </w:rPr>
        <w:t>2019</w:t>
      </w:r>
      <w:r>
        <w:rPr>
          <w:spacing w:val="-3"/>
          <w:w w:val="105"/>
          <w:sz w:val="13"/>
        </w:rPr>
        <w:t xml:space="preserve"> </w:t>
      </w:r>
      <w:r>
        <w:rPr>
          <w:w w:val="105"/>
          <w:sz w:val="13"/>
        </w:rPr>
        <w:t>(Luxemburgo,</w:t>
      </w:r>
      <w:r>
        <w:rPr>
          <w:spacing w:val="-2"/>
          <w:w w:val="105"/>
          <w:sz w:val="13"/>
        </w:rPr>
        <w:t xml:space="preserve"> </w:t>
      </w:r>
      <w:r>
        <w:rPr>
          <w:w w:val="105"/>
          <w:sz w:val="13"/>
        </w:rPr>
        <w:t>Oficina</w:t>
      </w:r>
      <w:r>
        <w:rPr>
          <w:spacing w:val="-3"/>
          <w:w w:val="105"/>
          <w:sz w:val="13"/>
        </w:rPr>
        <w:t xml:space="preserve"> </w:t>
      </w:r>
      <w:r>
        <w:rPr>
          <w:w w:val="105"/>
          <w:sz w:val="13"/>
        </w:rPr>
        <w:t>de</w:t>
      </w:r>
      <w:r>
        <w:rPr>
          <w:spacing w:val="-3"/>
          <w:w w:val="105"/>
          <w:sz w:val="13"/>
        </w:rPr>
        <w:t xml:space="preserve"> </w:t>
      </w:r>
      <w:r>
        <w:rPr>
          <w:w w:val="105"/>
          <w:sz w:val="13"/>
        </w:rPr>
        <w:t>Publicaciones</w:t>
      </w:r>
      <w:r>
        <w:rPr>
          <w:spacing w:val="-3"/>
          <w:w w:val="105"/>
          <w:sz w:val="13"/>
        </w:rPr>
        <w:t xml:space="preserve"> </w:t>
      </w:r>
      <w:r>
        <w:rPr>
          <w:w w:val="105"/>
          <w:sz w:val="13"/>
        </w:rPr>
        <w:t>de</w:t>
      </w:r>
      <w:r>
        <w:rPr>
          <w:spacing w:val="-3"/>
          <w:w w:val="105"/>
          <w:sz w:val="13"/>
        </w:rPr>
        <w:t xml:space="preserve"> </w:t>
      </w:r>
      <w:r>
        <w:rPr>
          <w:w w:val="105"/>
          <w:sz w:val="13"/>
        </w:rPr>
        <w:t>la</w:t>
      </w:r>
      <w:r>
        <w:rPr>
          <w:spacing w:val="40"/>
          <w:w w:val="105"/>
          <w:sz w:val="13"/>
        </w:rPr>
        <w:t xml:space="preserve"> </w:t>
      </w:r>
      <w:r>
        <w:rPr>
          <w:w w:val="105"/>
          <w:sz w:val="13"/>
        </w:rPr>
        <w:t>Unión Europea, 2020), págs. 96–99.</w:t>
      </w:r>
    </w:p>
    <w:p w14:paraId="0A769C23" w14:textId="77777777" w:rsidR="0014798C" w:rsidRDefault="004E1F0B">
      <w:pPr>
        <w:spacing w:before="107"/>
        <w:ind w:left="1107"/>
        <w:rPr>
          <w:sz w:val="11"/>
        </w:rPr>
      </w:pPr>
      <w:r>
        <w:rPr>
          <w:w w:val="105"/>
          <w:sz w:val="11"/>
        </w:rPr>
        <w:t>350</w:t>
      </w:r>
      <w:r>
        <w:rPr>
          <w:spacing w:val="-1"/>
          <w:w w:val="105"/>
          <w:sz w:val="11"/>
        </w:rPr>
        <w:t xml:space="preserve"> </w:t>
      </w:r>
      <w:r>
        <w:rPr>
          <w:w w:val="105"/>
          <w:sz w:val="11"/>
        </w:rPr>
        <w:t>Véase</w:t>
      </w:r>
      <w:r>
        <w:rPr>
          <w:spacing w:val="-1"/>
          <w:w w:val="105"/>
          <w:sz w:val="11"/>
        </w:rPr>
        <w:t xml:space="preserve"> </w:t>
      </w:r>
      <w:r>
        <w:rPr>
          <w:w w:val="105"/>
          <w:sz w:val="11"/>
        </w:rPr>
        <w:t>el análisis</w:t>
      </w:r>
      <w:r>
        <w:rPr>
          <w:spacing w:val="-1"/>
          <w:w w:val="105"/>
          <w:sz w:val="11"/>
        </w:rPr>
        <w:t xml:space="preserve"> </w:t>
      </w:r>
      <w:r>
        <w:rPr>
          <w:w w:val="105"/>
          <w:sz w:val="11"/>
        </w:rPr>
        <w:t>de la</w:t>
      </w:r>
      <w:r>
        <w:rPr>
          <w:spacing w:val="-1"/>
          <w:w w:val="105"/>
          <w:sz w:val="11"/>
        </w:rPr>
        <w:t xml:space="preserve"> </w:t>
      </w:r>
      <w:r>
        <w:rPr>
          <w:w w:val="105"/>
          <w:sz w:val="11"/>
        </w:rPr>
        <w:t>intención</w:t>
      </w:r>
      <w:r>
        <w:rPr>
          <w:spacing w:val="-1"/>
          <w:w w:val="105"/>
          <w:sz w:val="11"/>
        </w:rPr>
        <w:t xml:space="preserve"> </w:t>
      </w:r>
      <w:r>
        <w:rPr>
          <w:w w:val="105"/>
          <w:sz w:val="11"/>
        </w:rPr>
        <w:t>en la</w:t>
      </w:r>
      <w:r>
        <w:rPr>
          <w:spacing w:val="-1"/>
          <w:w w:val="105"/>
          <w:sz w:val="11"/>
        </w:rPr>
        <w:t xml:space="preserve"> </w:t>
      </w:r>
      <w:r>
        <w:rPr>
          <w:w w:val="105"/>
          <w:sz w:val="11"/>
        </w:rPr>
        <w:t>sección IA2(a)</w:t>
      </w:r>
      <w:r>
        <w:rPr>
          <w:spacing w:val="-1"/>
          <w:w w:val="105"/>
          <w:sz w:val="11"/>
        </w:rPr>
        <w:t xml:space="preserve"> </w:t>
      </w:r>
      <w:r>
        <w:rPr>
          <w:w w:val="105"/>
          <w:sz w:val="11"/>
        </w:rPr>
        <w:t>de</w:t>
      </w:r>
      <w:r>
        <w:rPr>
          <w:spacing w:val="-1"/>
          <w:w w:val="105"/>
          <w:sz w:val="11"/>
        </w:rPr>
        <w:t xml:space="preserve"> </w:t>
      </w:r>
      <w:r>
        <w:rPr>
          <w:w w:val="105"/>
          <w:sz w:val="11"/>
        </w:rPr>
        <w:t xml:space="preserve">esta </w:t>
      </w:r>
      <w:r>
        <w:rPr>
          <w:spacing w:val="-2"/>
          <w:w w:val="105"/>
          <w:sz w:val="11"/>
        </w:rPr>
        <w:t>parte.</w:t>
      </w:r>
    </w:p>
    <w:p w14:paraId="0350A0AB" w14:textId="77777777" w:rsidR="0014798C" w:rsidRDefault="004E1F0B">
      <w:pPr>
        <w:spacing w:before="110"/>
        <w:ind w:left="1107"/>
        <w:rPr>
          <w:sz w:val="11"/>
        </w:rPr>
      </w:pPr>
      <w:r>
        <w:rPr>
          <w:w w:val="105"/>
          <w:sz w:val="11"/>
        </w:rPr>
        <w:t>351</w:t>
      </w:r>
      <w:r>
        <w:rPr>
          <w:spacing w:val="-2"/>
          <w:w w:val="105"/>
          <w:sz w:val="11"/>
        </w:rPr>
        <w:t xml:space="preserve"> </w:t>
      </w:r>
      <w:r>
        <w:rPr>
          <w:w w:val="105"/>
          <w:sz w:val="11"/>
        </w:rPr>
        <w:t>En</w:t>
      </w:r>
      <w:r>
        <w:rPr>
          <w:spacing w:val="-1"/>
          <w:w w:val="105"/>
          <w:sz w:val="11"/>
        </w:rPr>
        <w:t xml:space="preserve"> </w:t>
      </w:r>
      <w:r>
        <w:rPr>
          <w:w w:val="105"/>
          <w:sz w:val="11"/>
        </w:rPr>
        <w:t>particular,</w:t>
      </w:r>
      <w:r>
        <w:rPr>
          <w:spacing w:val="-1"/>
          <w:w w:val="105"/>
          <w:sz w:val="11"/>
        </w:rPr>
        <w:t xml:space="preserve"> </w:t>
      </w:r>
      <w:r>
        <w:rPr>
          <w:w w:val="105"/>
          <w:sz w:val="11"/>
        </w:rPr>
        <w:t>por</w:t>
      </w:r>
      <w:r>
        <w:rPr>
          <w:spacing w:val="-1"/>
          <w:w w:val="105"/>
          <w:sz w:val="11"/>
        </w:rPr>
        <w:t xml:space="preserve"> </w:t>
      </w:r>
      <w:r>
        <w:rPr>
          <w:w w:val="105"/>
          <w:sz w:val="11"/>
        </w:rPr>
        <w:t>la</w:t>
      </w:r>
      <w:r>
        <w:rPr>
          <w:spacing w:val="-1"/>
          <w:w w:val="105"/>
          <w:sz w:val="11"/>
        </w:rPr>
        <w:t xml:space="preserve"> </w:t>
      </w:r>
      <w:r>
        <w:rPr>
          <w:w w:val="105"/>
          <w:sz w:val="11"/>
        </w:rPr>
        <w:t>falta</w:t>
      </w:r>
      <w:r>
        <w:rPr>
          <w:spacing w:val="-2"/>
          <w:w w:val="105"/>
          <w:sz w:val="11"/>
        </w:rPr>
        <w:t xml:space="preserve"> </w:t>
      </w:r>
      <w:r>
        <w:rPr>
          <w:w w:val="105"/>
          <w:sz w:val="11"/>
        </w:rPr>
        <w:t>de</w:t>
      </w:r>
      <w:r>
        <w:rPr>
          <w:spacing w:val="-1"/>
          <w:w w:val="105"/>
          <w:sz w:val="11"/>
        </w:rPr>
        <w:t xml:space="preserve"> </w:t>
      </w:r>
      <w:r>
        <w:rPr>
          <w:w w:val="105"/>
          <w:sz w:val="11"/>
        </w:rPr>
        <w:t>un</w:t>
      </w:r>
      <w:r>
        <w:rPr>
          <w:spacing w:val="-1"/>
          <w:w w:val="105"/>
          <w:sz w:val="11"/>
        </w:rPr>
        <w:t xml:space="preserve"> </w:t>
      </w:r>
      <w:r>
        <w:rPr>
          <w:w w:val="105"/>
          <w:sz w:val="11"/>
        </w:rPr>
        <w:t>objetivo</w:t>
      </w:r>
      <w:r>
        <w:rPr>
          <w:spacing w:val="-2"/>
          <w:w w:val="105"/>
          <w:sz w:val="11"/>
        </w:rPr>
        <w:t xml:space="preserve"> </w:t>
      </w:r>
      <w:r>
        <w:rPr>
          <w:w w:val="105"/>
          <w:sz w:val="11"/>
        </w:rPr>
        <w:t>legítimo. Véase</w:t>
      </w:r>
      <w:r>
        <w:rPr>
          <w:spacing w:val="-1"/>
          <w:w w:val="105"/>
          <w:sz w:val="11"/>
        </w:rPr>
        <w:t xml:space="preserve"> </w:t>
      </w:r>
      <w:r>
        <w:rPr>
          <w:w w:val="105"/>
          <w:sz w:val="11"/>
        </w:rPr>
        <w:t>más</w:t>
      </w:r>
      <w:r>
        <w:rPr>
          <w:spacing w:val="-2"/>
          <w:w w:val="105"/>
          <w:sz w:val="11"/>
        </w:rPr>
        <w:t xml:space="preserve"> </w:t>
      </w:r>
      <w:r>
        <w:rPr>
          <w:w w:val="105"/>
          <w:sz w:val="11"/>
        </w:rPr>
        <w:t>adelante</w:t>
      </w:r>
      <w:r>
        <w:rPr>
          <w:spacing w:val="-1"/>
          <w:w w:val="105"/>
          <w:sz w:val="11"/>
        </w:rPr>
        <w:t xml:space="preserve"> </w:t>
      </w:r>
      <w:r>
        <w:rPr>
          <w:w w:val="105"/>
          <w:sz w:val="11"/>
        </w:rPr>
        <w:t>el</w:t>
      </w:r>
      <w:r>
        <w:rPr>
          <w:spacing w:val="-1"/>
          <w:w w:val="105"/>
          <w:sz w:val="11"/>
        </w:rPr>
        <w:t xml:space="preserve"> </w:t>
      </w:r>
      <w:r>
        <w:rPr>
          <w:w w:val="105"/>
          <w:sz w:val="11"/>
        </w:rPr>
        <w:t>análisis</w:t>
      </w:r>
      <w:r>
        <w:rPr>
          <w:spacing w:val="-2"/>
          <w:w w:val="105"/>
          <w:sz w:val="11"/>
        </w:rPr>
        <w:t xml:space="preserve"> </w:t>
      </w:r>
      <w:r>
        <w:rPr>
          <w:w w:val="105"/>
          <w:sz w:val="11"/>
        </w:rPr>
        <w:t>de</w:t>
      </w:r>
      <w:r>
        <w:rPr>
          <w:spacing w:val="-1"/>
          <w:w w:val="105"/>
          <w:sz w:val="11"/>
        </w:rPr>
        <w:t xml:space="preserve"> </w:t>
      </w:r>
      <w:r>
        <w:rPr>
          <w:w w:val="105"/>
          <w:sz w:val="11"/>
        </w:rPr>
        <w:t>la</w:t>
      </w:r>
      <w:r>
        <w:rPr>
          <w:spacing w:val="-1"/>
          <w:w w:val="105"/>
          <w:sz w:val="11"/>
        </w:rPr>
        <w:t xml:space="preserve"> </w:t>
      </w:r>
      <w:r>
        <w:rPr>
          <w:w w:val="105"/>
          <w:sz w:val="11"/>
        </w:rPr>
        <w:t>justificación</w:t>
      </w:r>
      <w:r>
        <w:rPr>
          <w:spacing w:val="-2"/>
          <w:w w:val="105"/>
          <w:sz w:val="11"/>
        </w:rPr>
        <w:t xml:space="preserve"> </w:t>
      </w:r>
      <w:r>
        <w:rPr>
          <w:w w:val="105"/>
          <w:sz w:val="11"/>
        </w:rPr>
        <w:t>en</w:t>
      </w:r>
      <w:r>
        <w:rPr>
          <w:spacing w:val="-1"/>
          <w:w w:val="105"/>
          <w:sz w:val="11"/>
        </w:rPr>
        <w:t xml:space="preserve"> </w:t>
      </w:r>
      <w:r>
        <w:rPr>
          <w:w w:val="105"/>
          <w:sz w:val="11"/>
        </w:rPr>
        <w:t>la</w:t>
      </w:r>
      <w:r>
        <w:rPr>
          <w:spacing w:val="-1"/>
          <w:w w:val="105"/>
          <w:sz w:val="11"/>
        </w:rPr>
        <w:t xml:space="preserve"> </w:t>
      </w:r>
      <w:r>
        <w:rPr>
          <w:w w:val="105"/>
          <w:sz w:val="11"/>
        </w:rPr>
        <w:t>sección</w:t>
      </w:r>
      <w:r>
        <w:rPr>
          <w:spacing w:val="-2"/>
          <w:w w:val="105"/>
          <w:sz w:val="11"/>
        </w:rPr>
        <w:t xml:space="preserve"> </w:t>
      </w:r>
      <w:r>
        <w:rPr>
          <w:w w:val="105"/>
          <w:sz w:val="11"/>
        </w:rPr>
        <w:t>IA4</w:t>
      </w:r>
      <w:r>
        <w:rPr>
          <w:spacing w:val="-1"/>
          <w:w w:val="105"/>
          <w:sz w:val="11"/>
        </w:rPr>
        <w:t xml:space="preserve"> </w:t>
      </w:r>
      <w:r>
        <w:rPr>
          <w:w w:val="105"/>
          <w:sz w:val="11"/>
        </w:rPr>
        <w:t>de</w:t>
      </w:r>
      <w:r>
        <w:rPr>
          <w:spacing w:val="-1"/>
          <w:w w:val="105"/>
          <w:sz w:val="11"/>
        </w:rPr>
        <w:t xml:space="preserve"> </w:t>
      </w:r>
      <w:r>
        <w:rPr>
          <w:w w:val="105"/>
          <w:sz w:val="11"/>
        </w:rPr>
        <w:t>esta</w:t>
      </w:r>
      <w:r>
        <w:rPr>
          <w:spacing w:val="-2"/>
          <w:w w:val="105"/>
          <w:sz w:val="11"/>
        </w:rPr>
        <w:t xml:space="preserve"> parte.</w:t>
      </w:r>
    </w:p>
    <w:p w14:paraId="47308233" w14:textId="77777777" w:rsidR="0014798C" w:rsidRDefault="0014798C">
      <w:pPr>
        <w:pStyle w:val="Textoindependiente"/>
        <w:rPr>
          <w:sz w:val="19"/>
        </w:rPr>
      </w:pPr>
    </w:p>
    <w:p w14:paraId="2AFFB10E" w14:textId="77777777" w:rsidR="0014798C" w:rsidRDefault="0014798C">
      <w:pPr>
        <w:pStyle w:val="Textoindependiente"/>
        <w:spacing w:before="175"/>
        <w:rPr>
          <w:sz w:val="19"/>
        </w:rPr>
      </w:pPr>
    </w:p>
    <w:p w14:paraId="2E383776" w14:textId="77777777" w:rsidR="0014798C" w:rsidRDefault="004E1F0B">
      <w:pPr>
        <w:ind w:left="541"/>
        <w:rPr>
          <w:sz w:val="19"/>
        </w:rPr>
      </w:pPr>
      <w:r>
        <w:rPr>
          <w:spacing w:val="-5"/>
          <w:w w:val="105"/>
          <w:sz w:val="19"/>
        </w:rPr>
        <w:t>46</w:t>
      </w:r>
    </w:p>
    <w:p w14:paraId="3DB46762" w14:textId="77777777" w:rsidR="0014798C" w:rsidRDefault="0014798C">
      <w:pPr>
        <w:rPr>
          <w:sz w:val="19"/>
        </w:rPr>
        <w:sectPr w:rsidR="0014798C" w:rsidSect="00F265E4">
          <w:pgSz w:w="11900" w:h="16820"/>
          <w:pgMar w:top="340" w:right="0" w:bottom="280" w:left="200" w:header="121" w:footer="0" w:gutter="0"/>
          <w:cols w:space="720"/>
        </w:sectPr>
      </w:pPr>
    </w:p>
    <w:p w14:paraId="4CEEF94F" w14:textId="77777777" w:rsidR="0014798C" w:rsidRDefault="0014798C">
      <w:pPr>
        <w:pStyle w:val="Textoindependiente"/>
        <w:spacing w:before="51"/>
        <w:rPr>
          <w:sz w:val="14"/>
        </w:rPr>
      </w:pPr>
    </w:p>
    <w:p w14:paraId="06DF3C52" w14:textId="77777777" w:rsidR="0014798C" w:rsidRDefault="004E1F0B">
      <w:pPr>
        <w:ind w:left="1111"/>
        <w:rPr>
          <w:sz w:val="14"/>
        </w:rPr>
      </w:pPr>
      <w:r>
        <w:rPr>
          <w:color w:val="00AC59"/>
          <w:sz w:val="14"/>
        </w:rPr>
        <w:t>SEGUNDA</w:t>
      </w:r>
      <w:r>
        <w:rPr>
          <w:color w:val="00AC59"/>
          <w:spacing w:val="-5"/>
          <w:sz w:val="14"/>
        </w:rPr>
        <w:t xml:space="preserve"> </w:t>
      </w:r>
      <w:r>
        <w:rPr>
          <w:color w:val="00AC59"/>
          <w:sz w:val="14"/>
        </w:rPr>
        <w:t>PARTE:</w:t>
      </w:r>
      <w:r>
        <w:rPr>
          <w:color w:val="00AC59"/>
          <w:spacing w:val="-5"/>
          <w:sz w:val="14"/>
        </w:rPr>
        <w:t xml:space="preserve"> </w:t>
      </w:r>
      <w:r>
        <w:rPr>
          <w:color w:val="00AC59"/>
          <w:sz w:val="14"/>
        </w:rPr>
        <w:t>CONTENIDO</w:t>
      </w:r>
      <w:r>
        <w:rPr>
          <w:color w:val="00AC59"/>
          <w:spacing w:val="-4"/>
          <w:sz w:val="14"/>
        </w:rPr>
        <w:t xml:space="preserve"> </w:t>
      </w:r>
      <w:r>
        <w:rPr>
          <w:color w:val="00AC59"/>
          <w:sz w:val="14"/>
        </w:rPr>
        <w:t>DE</w:t>
      </w:r>
      <w:r>
        <w:rPr>
          <w:color w:val="00AC59"/>
          <w:spacing w:val="-5"/>
          <w:sz w:val="14"/>
        </w:rPr>
        <w:t xml:space="preserve"> </w:t>
      </w:r>
      <w:r>
        <w:rPr>
          <w:color w:val="00AC59"/>
          <w:sz w:val="14"/>
        </w:rPr>
        <w:t>LA</w:t>
      </w:r>
      <w:r>
        <w:rPr>
          <w:color w:val="00AC59"/>
          <w:spacing w:val="-4"/>
          <w:sz w:val="14"/>
        </w:rPr>
        <w:t xml:space="preserve"> </w:t>
      </w:r>
      <w:r>
        <w:rPr>
          <w:color w:val="00AC59"/>
          <w:sz w:val="14"/>
        </w:rPr>
        <w:t>LEY</w:t>
      </w:r>
      <w:r>
        <w:rPr>
          <w:color w:val="00AC59"/>
          <w:spacing w:val="-4"/>
          <w:sz w:val="14"/>
        </w:rPr>
        <w:t xml:space="preserve"> </w:t>
      </w:r>
      <w:r>
        <w:rPr>
          <w:color w:val="00AC59"/>
          <w:sz w:val="14"/>
        </w:rPr>
        <w:t>INTEGRAL</w:t>
      </w:r>
      <w:r>
        <w:rPr>
          <w:color w:val="00AC59"/>
          <w:spacing w:val="-5"/>
          <w:sz w:val="14"/>
        </w:rPr>
        <w:t xml:space="preserve"> </w:t>
      </w:r>
      <w:r>
        <w:rPr>
          <w:color w:val="00AC59"/>
          <w:spacing w:val="-2"/>
          <w:sz w:val="14"/>
        </w:rPr>
        <w:t>ANTIDISCRIMINACIÓN</w:t>
      </w:r>
    </w:p>
    <w:p w14:paraId="3D19C97D" w14:textId="77777777" w:rsidR="0014798C" w:rsidRDefault="0014798C">
      <w:pPr>
        <w:pStyle w:val="Textoindependiente"/>
      </w:pPr>
    </w:p>
    <w:p w14:paraId="2153A6FD" w14:textId="77777777" w:rsidR="0014798C" w:rsidRDefault="0014798C">
      <w:pPr>
        <w:pStyle w:val="Textoindependiente"/>
      </w:pPr>
    </w:p>
    <w:p w14:paraId="213A04F0" w14:textId="77777777" w:rsidR="0014798C" w:rsidRDefault="0014798C">
      <w:pPr>
        <w:pStyle w:val="Textoindependiente"/>
      </w:pPr>
    </w:p>
    <w:p w14:paraId="49DC3A89" w14:textId="77777777" w:rsidR="0014798C" w:rsidRDefault="0014798C">
      <w:pPr>
        <w:pStyle w:val="Textoindependiente"/>
      </w:pPr>
    </w:p>
    <w:p w14:paraId="20BE8153" w14:textId="77777777" w:rsidR="0014798C" w:rsidRDefault="0014798C">
      <w:pPr>
        <w:pStyle w:val="Textoindependiente"/>
        <w:spacing w:before="68"/>
      </w:pPr>
    </w:p>
    <w:p w14:paraId="477401AD" w14:textId="77777777" w:rsidR="0014798C" w:rsidRDefault="004E1F0B">
      <w:pPr>
        <w:pStyle w:val="Textoindependiente"/>
        <w:spacing w:before="1" w:line="276" w:lineRule="auto"/>
        <w:ind w:left="1342" w:right="2765"/>
      </w:pPr>
      <w:r>
        <w:rPr>
          <w:noProof/>
        </w:rPr>
        <w:drawing>
          <wp:anchor distT="0" distB="0" distL="0" distR="0" simplePos="0" relativeHeight="251658395" behindDoc="1" locked="0" layoutInCell="1" allowOverlap="1" wp14:anchorId="1F577F9A" wp14:editId="7AC70684">
            <wp:simplePos x="0" y="0"/>
            <wp:positionH relativeFrom="page">
              <wp:posOffset>786199</wp:posOffset>
            </wp:positionH>
            <wp:positionV relativeFrom="paragraph">
              <wp:posOffset>-161401</wp:posOffset>
            </wp:positionV>
            <wp:extent cx="6770300" cy="6654655"/>
            <wp:effectExtent l="0" t="0" r="0" b="0"/>
            <wp:wrapNone/>
            <wp:docPr id="135" name="Image 13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35" name="Image 135"/>
                    <pic:cNvPicPr/>
                  </pic:nvPicPr>
                  <pic:blipFill>
                    <a:blip r:embed="rId130" cstate="print"/>
                    <a:stretch>
                      <a:fillRect/>
                    </a:stretch>
                  </pic:blipFill>
                  <pic:spPr>
                    <a:xfrm>
                      <a:off x="0" y="0"/>
                      <a:ext cx="6770300" cy="6654655"/>
                    </a:xfrm>
                    <a:prstGeom prst="rect">
                      <a:avLst/>
                    </a:prstGeom>
                  </pic:spPr>
                </pic:pic>
              </a:graphicData>
            </a:graphic>
          </wp:anchor>
        </w:drawing>
      </w:r>
      <w:r>
        <w:t>KIRGUISTÁN: ARTÍCULO 1 (8) DEL PROYECTO DE LEY PARA GARANTIZAR EL DERECHO A IGUALDAD Y PROTECCIÓN CONTRA LA DISCRIMINACIÓN</w:t>
      </w:r>
    </w:p>
    <w:p w14:paraId="48713059" w14:textId="77777777" w:rsidR="0014798C" w:rsidRDefault="0014798C">
      <w:pPr>
        <w:pStyle w:val="Textoindependiente"/>
        <w:spacing w:before="3"/>
      </w:pPr>
    </w:p>
    <w:p w14:paraId="3958B2C1" w14:textId="77777777" w:rsidR="0014798C" w:rsidRDefault="004E1F0B">
      <w:pPr>
        <w:pStyle w:val="Textoindependiente"/>
        <w:spacing w:line="326" w:lineRule="auto"/>
        <w:ind w:left="1332" w:right="1463" w:hanging="2"/>
      </w:pPr>
      <w:r>
        <w:t>La victimización es una forma de discriminación, expresada en forma de consecuencias adversas, trato adverso a una persona o un grupo de personas que han denunciado o pretenden denunciar voluntariamente una discriminación; presenciaron discriminación; no obedeció instrucciones para aplicar discriminación o participó de otra manera en procedimientos en casos de discriminación; o informar al público sobre la discriminación.</w:t>
      </w:r>
    </w:p>
    <w:p w14:paraId="1ACE6996" w14:textId="77777777" w:rsidR="0014798C" w:rsidRDefault="0014798C">
      <w:pPr>
        <w:pStyle w:val="Textoindependiente"/>
      </w:pPr>
    </w:p>
    <w:p w14:paraId="7BB5604D" w14:textId="77777777" w:rsidR="0014798C" w:rsidRDefault="0014798C">
      <w:pPr>
        <w:pStyle w:val="Textoindependiente"/>
        <w:spacing w:before="83"/>
      </w:pPr>
    </w:p>
    <w:p w14:paraId="783C6EBE" w14:textId="77777777" w:rsidR="0014798C" w:rsidRDefault="004E1F0B">
      <w:pPr>
        <w:pStyle w:val="Textoindependiente"/>
        <w:spacing w:line="326" w:lineRule="auto"/>
        <w:ind w:left="1107" w:right="1378" w:hanging="1"/>
      </w:pPr>
      <w:r>
        <w:rPr>
          <w:noProof/>
        </w:rPr>
        <mc:AlternateContent>
          <mc:Choice Requires="wps">
            <w:drawing>
              <wp:anchor distT="0" distB="0" distL="0" distR="0" simplePos="0" relativeHeight="251658264" behindDoc="0" locked="0" layoutInCell="1" allowOverlap="1" wp14:anchorId="4051F269" wp14:editId="22CD74BF">
                <wp:simplePos x="0" y="0"/>
                <wp:positionH relativeFrom="page">
                  <wp:posOffset>7313138</wp:posOffset>
                </wp:positionH>
                <wp:positionV relativeFrom="paragraph">
                  <wp:posOffset>366115</wp:posOffset>
                </wp:positionV>
                <wp:extent cx="83820" cy="281940"/>
                <wp:effectExtent l="0" t="0" r="0" b="0"/>
                <wp:wrapNone/>
                <wp:docPr id="136" name="Textbox 13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83820" cy="281940"/>
                        </a:xfrm>
                        <a:prstGeom prst="rect">
                          <a:avLst/>
                        </a:prstGeom>
                      </wps:spPr>
                      <wps:txbx>
                        <w:txbxContent>
                          <w:p w14:paraId="011FCDF7" w14:textId="77777777" w:rsidR="0014798C" w:rsidRDefault="004E1F0B">
                            <w:pPr>
                              <w:spacing w:before="19"/>
                              <w:ind w:left="20"/>
                              <w:rPr>
                                <w:sz w:val="8"/>
                              </w:rPr>
                            </w:pPr>
                            <w:r>
                              <w:rPr>
                                <w:color w:val="FFFFFF"/>
                                <w:spacing w:val="-24"/>
                                <w:sz w:val="8"/>
                              </w:rPr>
                              <w:t>I–P</w:t>
                            </w:r>
                            <w:r>
                              <w:rPr>
                                <w:spacing w:val="-24"/>
                                <w:sz w:val="8"/>
                              </w:rPr>
                              <w:t>S</w:t>
                            </w:r>
                            <w:r>
                              <w:rPr>
                                <w:color w:val="FFFFFF"/>
                                <w:spacing w:val="-24"/>
                                <w:sz w:val="8"/>
                              </w:rPr>
                              <w:t>A</w:t>
                            </w:r>
                            <w:r>
                              <w:rPr>
                                <w:spacing w:val="-24"/>
                                <w:sz w:val="8"/>
                              </w:rPr>
                              <w:t>E</w:t>
                            </w:r>
                            <w:r>
                              <w:rPr>
                                <w:color w:val="FFFFFF"/>
                                <w:spacing w:val="-24"/>
                                <w:sz w:val="8"/>
                              </w:rPr>
                              <w:t>R</w:t>
                            </w:r>
                            <w:r>
                              <w:rPr>
                                <w:spacing w:val="-24"/>
                                <w:sz w:val="8"/>
                              </w:rPr>
                              <w:t>G</w:t>
                            </w:r>
                            <w:r>
                              <w:rPr>
                                <w:color w:val="FFFFFF"/>
                                <w:spacing w:val="-24"/>
                                <w:sz w:val="8"/>
                              </w:rPr>
                              <w:t>T</w:t>
                            </w:r>
                            <w:r>
                              <w:rPr>
                                <w:spacing w:val="-24"/>
                                <w:sz w:val="8"/>
                              </w:rPr>
                              <w:t>U</w:t>
                            </w:r>
                            <w:r>
                              <w:rPr>
                                <w:color w:val="FFFFFF"/>
                                <w:spacing w:val="-24"/>
                                <w:sz w:val="8"/>
                              </w:rPr>
                              <w:t>E</w:t>
                            </w:r>
                            <w:r>
                              <w:rPr>
                                <w:spacing w:val="-24"/>
                                <w:sz w:val="8"/>
                              </w:rPr>
                              <w:t>NDA</w:t>
                            </w:r>
                          </w:p>
                        </w:txbxContent>
                      </wps:txbx>
                      <wps:bodyPr vert="vert270" wrap="square" lIns="0" tIns="0" rIns="0" bIns="0" rtlCol="0">
                        <a:noAutofit/>
                      </wps:bodyPr>
                    </wps:wsp>
                  </a:graphicData>
                </a:graphic>
              </wp:anchor>
            </w:drawing>
          </mc:Choice>
          <mc:Fallback>
            <w:pict>
              <v:shape w14:anchorId="4051F269" id="Textbox 136" o:spid="_x0000_s1081" type="#_x0000_t202" style="position:absolute;left:0;text-align:left;margin-left:575.85pt;margin-top:28.85pt;width:6.6pt;height:22.2pt;z-index:251658264;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" filled="f" stroked="f">
                <v:textbox style="layout-flow:vertical;mso-layout-flow-alt:bottom-to-top" inset="0,0,0,0">
                  <w:txbxContent>
                    <w:p w14:paraId="011FCDF7" w14:textId="77777777" w:rsidR="0014798C" w:rsidRDefault="004E1F0B">
                      <w:pPr>
                        <w:spacing w:before="19"/>
                        <w:ind w:left="20"/>
                        <w:rPr>
                          <w:sz w:val="8"/>
                        </w:rPr>
                      </w:pPr>
                      <w:r>
                        <w:rPr>
                          <w:color w:val="FFFFFF"/>
                          <w:spacing w:val="-24"/>
                          <w:sz w:val="8"/>
                        </w:rPr>
                        <w:t>I–P</w:t>
                      </w:r>
                      <w:r>
                        <w:rPr>
                          <w:spacing w:val="-24"/>
                          <w:sz w:val="8"/>
                        </w:rPr>
                        <w:t>S</w:t>
                      </w:r>
                      <w:r>
                        <w:rPr>
                          <w:color w:val="FFFFFF"/>
                          <w:spacing w:val="-24"/>
                          <w:sz w:val="8"/>
                        </w:rPr>
                        <w:t>A</w:t>
                      </w:r>
                      <w:r>
                        <w:rPr>
                          <w:spacing w:val="-24"/>
                          <w:sz w:val="8"/>
                        </w:rPr>
                        <w:t>E</w:t>
                      </w:r>
                      <w:r>
                        <w:rPr>
                          <w:color w:val="FFFFFF"/>
                          <w:spacing w:val="-24"/>
                          <w:sz w:val="8"/>
                        </w:rPr>
                        <w:t>R</w:t>
                      </w:r>
                      <w:r>
                        <w:rPr>
                          <w:spacing w:val="-24"/>
                          <w:sz w:val="8"/>
                        </w:rPr>
                        <w:t>G</w:t>
                      </w:r>
                      <w:r>
                        <w:rPr>
                          <w:color w:val="FFFFFF"/>
                          <w:spacing w:val="-24"/>
                          <w:sz w:val="8"/>
                        </w:rPr>
                        <w:t>T</w:t>
                      </w:r>
                      <w:r>
                        <w:rPr>
                          <w:spacing w:val="-24"/>
                          <w:sz w:val="8"/>
                        </w:rPr>
                        <w:t>U</w:t>
                      </w:r>
                      <w:r>
                        <w:rPr>
                          <w:color w:val="FFFFFF"/>
                          <w:spacing w:val="-24"/>
                          <w:sz w:val="8"/>
                        </w:rPr>
                        <w:t>E</w:t>
                      </w:r>
                      <w:r>
                        <w:rPr>
                          <w:spacing w:val="-24"/>
                          <w:sz w:val="8"/>
                        </w:rPr>
                        <w:t>NDA</w:t>
                      </w:r>
                    </w:p>
                  </w:txbxContent>
                </v:textbox>
                <w10:wrap anchorx="page"/>
              </v:shape>
            </w:pict>
          </mc:Fallback>
        </mc:AlternateContent>
      </w:r>
      <w:r>
        <w:t>En diversos grados, los órganos de tratados de derechos humanos han reconocido la obligación de abordar la victimización, generalmente, como parte del requisito más amplio de garantizar el acceso a la justicia. En este sentido, el Comité para la Eliminación de la Discriminación contra la Mujer ha afirmado las obligaciones de los Estados de proteger a las mujeres “contra amenazas, acoso y otras formas de daño antes, durante y después de los procedimientos judiciales”.352 De manera similar, en sus</w:t>
      </w:r>
      <w:r>
        <w:rPr>
          <w:spacing w:val="15"/>
        </w:rPr>
        <w:t xml:space="preserve"> </w:t>
      </w:r>
      <w:r>
        <w:t>observaciones</w:t>
      </w:r>
      <w:r>
        <w:rPr>
          <w:spacing w:val="15"/>
        </w:rPr>
        <w:t xml:space="preserve"> </w:t>
      </w:r>
      <w:r>
        <w:t>finales,</w:t>
      </w:r>
      <w:r>
        <w:rPr>
          <w:spacing w:val="16"/>
        </w:rPr>
        <w:t xml:space="preserve"> </w:t>
      </w:r>
      <w:r>
        <w:t>el</w:t>
      </w:r>
      <w:r>
        <w:rPr>
          <w:spacing w:val="15"/>
        </w:rPr>
        <w:t xml:space="preserve"> </w:t>
      </w:r>
      <w:r>
        <w:t>Comité</w:t>
      </w:r>
      <w:r>
        <w:rPr>
          <w:spacing w:val="15"/>
        </w:rPr>
        <w:t xml:space="preserve"> </w:t>
      </w:r>
      <w:r>
        <w:t>de</w:t>
      </w:r>
      <w:r>
        <w:rPr>
          <w:spacing w:val="15"/>
        </w:rPr>
        <w:t xml:space="preserve"> </w:t>
      </w:r>
      <w:r>
        <w:t>Derechos</w:t>
      </w:r>
      <w:r>
        <w:rPr>
          <w:spacing w:val="15"/>
        </w:rPr>
        <w:t xml:space="preserve"> </w:t>
      </w:r>
      <w:r>
        <w:t>Humanos</w:t>
      </w:r>
      <w:r>
        <w:rPr>
          <w:spacing w:val="15"/>
        </w:rPr>
        <w:t xml:space="preserve"> </w:t>
      </w:r>
      <w:r>
        <w:t>El</w:t>
      </w:r>
      <w:r>
        <w:rPr>
          <w:spacing w:val="15"/>
        </w:rPr>
        <w:t xml:space="preserve"> </w:t>
      </w:r>
      <w:r>
        <w:t>Comité</w:t>
      </w:r>
      <w:r>
        <w:rPr>
          <w:spacing w:val="15"/>
        </w:rPr>
        <w:t xml:space="preserve"> </w:t>
      </w:r>
      <w:r>
        <w:t>de</w:t>
      </w:r>
      <w:r>
        <w:rPr>
          <w:spacing w:val="15"/>
        </w:rPr>
        <w:t xml:space="preserve"> </w:t>
      </w:r>
      <w:r>
        <w:t>Derechos</w:t>
      </w:r>
      <w:r>
        <w:rPr>
          <w:spacing w:val="15"/>
        </w:rPr>
        <w:t xml:space="preserve"> </w:t>
      </w:r>
      <w:r>
        <w:t>Humanos</w:t>
      </w:r>
      <w:r>
        <w:rPr>
          <w:spacing w:val="15"/>
        </w:rPr>
        <w:t xml:space="preserve"> </w:t>
      </w:r>
      <w:r>
        <w:t>ha</w:t>
      </w:r>
      <w:r>
        <w:rPr>
          <w:spacing w:val="15"/>
        </w:rPr>
        <w:t xml:space="preserve"> </w:t>
      </w:r>
      <w:r>
        <w:t>instado</w:t>
      </w:r>
      <w:r>
        <w:rPr>
          <w:spacing w:val="15"/>
        </w:rPr>
        <w:t xml:space="preserve"> </w:t>
      </w:r>
      <w:r>
        <w:t>a</w:t>
      </w:r>
      <w:r>
        <w:rPr>
          <w:spacing w:val="15"/>
        </w:rPr>
        <w:t xml:space="preserve"> </w:t>
      </w:r>
      <w:r>
        <w:t>los</w:t>
      </w:r>
      <w:r>
        <w:rPr>
          <w:spacing w:val="15"/>
        </w:rPr>
        <w:t xml:space="preserve"> </w:t>
      </w:r>
      <w:r>
        <w:t>Estados</w:t>
      </w:r>
      <w:r>
        <w:rPr>
          <w:spacing w:val="15"/>
        </w:rPr>
        <w:t xml:space="preserve"> </w:t>
      </w:r>
      <w:r>
        <w:t>a “facilitar las quejas de las mujeres víctimas de discriminación en el trabajo y tomar medidas apropiadas para protegerlas de represalias”.353 El Comité para la Eliminación de la Discriminación Racial también ha expresado preocupación por el hecho de que se disuade a las víctimas de discriminación racial de presentar denuncias. por “temor a represalias”, recomendando que los Estados adopten “todas las medidas necesarias” para garantizar el acceso a la justicia, incluso mediante la adopción de leyes contra la discriminación.354 En términos más generales, el Comité de Derechos Económicos, Sociales y Culturales ha señalado</w:t>
      </w:r>
      <w:r>
        <w:rPr>
          <w:spacing w:val="80"/>
        </w:rPr>
        <w:t xml:space="preserve"> </w:t>
      </w:r>
      <w:r>
        <w:t>la obligación de los Estados de tomar medidas para proteger a todas las personas –incluidos los defensores de los derechos humanos y los activistas laborales, y sus representantes legales– de actos de “intimidación” o “represalias” por presentar casos relacionados con violaciones de derechos económicos, sociales y culturales.355 El Comité de Derechos de las Personas con Discapacidad ha ido más lejos al articular la prohibición de la victimización,356 reflejando en gran medida la redacción de las directivas de igualdad de trato de la Unión Europea, que definen la victimización como “un trato adverso o una consecuencia adversa como reacción a una queja o a un procedimiento dirigido a para hacer cumplir el principio de igualdad de trato”.357</w:t>
      </w:r>
    </w:p>
    <w:p w14:paraId="41716A22" w14:textId="77777777" w:rsidR="0014798C" w:rsidRDefault="004E1F0B">
      <w:pPr>
        <w:pStyle w:val="Textoindependiente"/>
        <w:spacing w:before="162" w:line="326" w:lineRule="auto"/>
        <w:ind w:left="1104" w:right="1361" w:firstLine="2"/>
        <w:jc w:val="both"/>
      </w:pPr>
      <w:r>
        <w:t>La obligación de garantizar la protección contra la victimización también queda clara en el reciente Convenio de la OIT sobre la violencia y el acoso, 2019 (núm. 190), que exige que los Estados impidan “las represalias contra los denunciantes, las víctimas, los testigos y los denunciantes”358.</w:t>
      </w:r>
    </w:p>
    <w:p w14:paraId="37015E9D" w14:textId="77777777" w:rsidR="0014798C" w:rsidRDefault="0014798C">
      <w:pPr>
        <w:pStyle w:val="Textoindependiente"/>
        <w:spacing w:before="2"/>
        <w:rPr>
          <w:sz w:val="23"/>
        </w:rPr>
      </w:pPr>
    </w:p>
    <w:p w14:paraId="4A9772B8" w14:textId="77777777" w:rsidR="0014798C" w:rsidRDefault="004E1F0B">
      <w:pPr>
        <w:numPr>
          <w:ilvl w:val="0"/>
          <w:numId w:val="85"/>
        </w:numPr>
        <w:tabs>
          <w:tab w:val="left" w:pos="1375"/>
        </w:tabs>
        <w:spacing w:before="1"/>
        <w:ind w:left="1375"/>
        <w:rPr>
          <w:color w:val="00AC59"/>
          <w:sz w:val="23"/>
        </w:rPr>
      </w:pPr>
      <w:r>
        <w:rPr>
          <w:color w:val="00AC59"/>
          <w:sz w:val="23"/>
        </w:rPr>
        <w:t>Alcance</w:t>
      </w:r>
      <w:r>
        <w:rPr>
          <w:color w:val="00AC59"/>
          <w:spacing w:val="1"/>
          <w:sz w:val="23"/>
        </w:rPr>
        <w:t xml:space="preserve"> </w:t>
      </w:r>
      <w:r>
        <w:rPr>
          <w:color w:val="00AC59"/>
          <w:sz w:val="23"/>
        </w:rPr>
        <w:t>material</w:t>
      </w:r>
      <w:r>
        <w:rPr>
          <w:color w:val="00AC59"/>
          <w:spacing w:val="1"/>
          <w:sz w:val="23"/>
        </w:rPr>
        <w:t xml:space="preserve"> </w:t>
      </w:r>
      <w:r>
        <w:rPr>
          <w:color w:val="00AC59"/>
          <w:sz w:val="23"/>
        </w:rPr>
        <w:t>del</w:t>
      </w:r>
      <w:r>
        <w:rPr>
          <w:color w:val="00AC59"/>
          <w:spacing w:val="2"/>
          <w:sz w:val="23"/>
        </w:rPr>
        <w:t xml:space="preserve"> </w:t>
      </w:r>
      <w:r>
        <w:rPr>
          <w:color w:val="00AC59"/>
          <w:sz w:val="23"/>
        </w:rPr>
        <w:t>derecho</w:t>
      </w:r>
      <w:r>
        <w:rPr>
          <w:color w:val="00AC59"/>
          <w:spacing w:val="2"/>
          <w:sz w:val="23"/>
        </w:rPr>
        <w:t xml:space="preserve"> </w:t>
      </w:r>
      <w:r>
        <w:rPr>
          <w:color w:val="00AC59"/>
          <w:sz w:val="23"/>
        </w:rPr>
        <w:t>a</w:t>
      </w:r>
      <w:r>
        <w:rPr>
          <w:color w:val="00AC59"/>
          <w:spacing w:val="2"/>
          <w:sz w:val="23"/>
        </w:rPr>
        <w:t xml:space="preserve"> </w:t>
      </w:r>
      <w:r>
        <w:rPr>
          <w:color w:val="00AC59"/>
          <w:sz w:val="23"/>
        </w:rPr>
        <w:t>la</w:t>
      </w:r>
      <w:r>
        <w:rPr>
          <w:color w:val="00AC59"/>
          <w:spacing w:val="1"/>
          <w:sz w:val="23"/>
        </w:rPr>
        <w:t xml:space="preserve"> </w:t>
      </w:r>
      <w:r>
        <w:rPr>
          <w:color w:val="00AC59"/>
          <w:sz w:val="23"/>
        </w:rPr>
        <w:t>no</w:t>
      </w:r>
      <w:r>
        <w:rPr>
          <w:color w:val="00AC59"/>
          <w:spacing w:val="2"/>
          <w:sz w:val="23"/>
        </w:rPr>
        <w:t xml:space="preserve"> </w:t>
      </w:r>
      <w:r>
        <w:rPr>
          <w:color w:val="00AC59"/>
          <w:spacing w:val="-2"/>
          <w:sz w:val="23"/>
        </w:rPr>
        <w:t>discriminación</w:t>
      </w:r>
    </w:p>
    <w:p w14:paraId="2F18D3D6" w14:textId="77777777" w:rsidR="0014798C" w:rsidRDefault="0014798C">
      <w:pPr>
        <w:pStyle w:val="Textoindependiente"/>
      </w:pPr>
    </w:p>
    <w:p w14:paraId="66838E29" w14:textId="77777777" w:rsidR="0014798C" w:rsidRDefault="0014798C">
      <w:pPr>
        <w:pStyle w:val="Textoindependiente"/>
        <w:spacing w:before="36"/>
      </w:pPr>
    </w:p>
    <w:p w14:paraId="5FF1976E" w14:textId="77777777" w:rsidR="0014798C" w:rsidRDefault="004E1F0B">
      <w:pPr>
        <w:pStyle w:val="Textoindependiente"/>
        <w:spacing w:before="1"/>
        <w:ind w:left="1335"/>
      </w:pPr>
      <w:r>
        <w:rPr>
          <w:color w:val="FFFFFF"/>
          <w:spacing w:val="-2"/>
        </w:rPr>
        <w:t>RESUMEN</w:t>
      </w:r>
    </w:p>
    <w:p w14:paraId="524B3D50" w14:textId="77777777" w:rsidR="0014798C" w:rsidRDefault="0014798C">
      <w:pPr>
        <w:pStyle w:val="Textoindependiente"/>
        <w:spacing w:before="149"/>
      </w:pPr>
    </w:p>
    <w:p w14:paraId="2B7C048C" w14:textId="77777777" w:rsidR="0014798C" w:rsidRDefault="004E1F0B">
      <w:pPr>
        <w:pStyle w:val="Prrafodelista"/>
        <w:numPr>
          <w:ilvl w:val="0"/>
          <w:numId w:val="66"/>
        </w:numPr>
        <w:tabs>
          <w:tab w:val="left" w:pos="1459"/>
          <w:tab w:val="left" w:pos="1561"/>
        </w:tabs>
        <w:spacing w:line="312" w:lineRule="auto"/>
        <w:ind w:right="2092" w:hanging="203"/>
        <w:rPr>
          <w:sz w:val="16"/>
        </w:rPr>
      </w:pPr>
      <w:r>
        <w:rPr>
          <w:sz w:val="16"/>
        </w:rPr>
        <w:t>La legislación contra la discriminación debe garantizar el disfrute igualitario de todos los derechos protegidos por derecho internacional y nacional, sin discriminación.</w:t>
      </w:r>
    </w:p>
    <w:p w14:paraId="4FC74A92" w14:textId="77777777" w:rsidR="0014798C" w:rsidRDefault="004E1F0B">
      <w:pPr>
        <w:pStyle w:val="Prrafodelista"/>
        <w:numPr>
          <w:ilvl w:val="0"/>
          <w:numId w:val="66"/>
        </w:numPr>
        <w:tabs>
          <w:tab w:val="left" w:pos="1461"/>
          <w:tab w:val="left" w:pos="1564"/>
        </w:tabs>
        <w:spacing w:before="135" w:line="326" w:lineRule="auto"/>
        <w:ind w:left="1564" w:right="1518" w:hanging="204"/>
        <w:rPr>
          <w:sz w:val="16"/>
        </w:rPr>
      </w:pPr>
      <w:r>
        <w:rPr>
          <w:sz w:val="16"/>
        </w:rPr>
        <w:t>La prohibición de la discriminación se aplica en todos los ámbitos de la vida regulados por la ley. El deber de abstenerse de discriminar se aplica a todas las personas, incluidas (entre otras) las autoridades públicas y las entidades privadas.</w:t>
      </w:r>
    </w:p>
    <w:p w14:paraId="2B84A978" w14:textId="77777777" w:rsidR="0014798C" w:rsidRDefault="0014798C">
      <w:pPr>
        <w:pStyle w:val="Textoindependiente"/>
        <w:rPr>
          <w:sz w:val="12"/>
        </w:rPr>
      </w:pPr>
    </w:p>
    <w:p w14:paraId="1B661FB0" w14:textId="77777777" w:rsidR="0014798C" w:rsidRDefault="0014798C">
      <w:pPr>
        <w:pStyle w:val="Textoindependiente"/>
        <w:rPr>
          <w:sz w:val="12"/>
        </w:rPr>
      </w:pPr>
    </w:p>
    <w:p w14:paraId="37DA542B" w14:textId="77777777" w:rsidR="0014798C" w:rsidRDefault="0014798C">
      <w:pPr>
        <w:pStyle w:val="Textoindependiente"/>
        <w:rPr>
          <w:sz w:val="12"/>
        </w:rPr>
      </w:pPr>
    </w:p>
    <w:p w14:paraId="4DDBB60F" w14:textId="77777777" w:rsidR="0014798C" w:rsidRDefault="0014798C">
      <w:pPr>
        <w:pStyle w:val="Textoindependiente"/>
        <w:rPr>
          <w:sz w:val="12"/>
        </w:rPr>
      </w:pPr>
    </w:p>
    <w:p w14:paraId="00E43F62" w14:textId="77777777" w:rsidR="0014798C" w:rsidRDefault="0014798C">
      <w:pPr>
        <w:pStyle w:val="Textoindependiente"/>
        <w:spacing w:before="120"/>
        <w:rPr>
          <w:sz w:val="12"/>
        </w:rPr>
      </w:pPr>
    </w:p>
    <w:p w14:paraId="4F605596" w14:textId="77777777" w:rsidR="0014798C" w:rsidRPr="00537489" w:rsidRDefault="004E1F0B">
      <w:pPr>
        <w:ind w:left="1107"/>
        <w:rPr>
          <w:sz w:val="12"/>
          <w:lang w:val="en-US"/>
        </w:rPr>
      </w:pPr>
      <w:r>
        <w:rPr>
          <w:spacing w:val="-2"/>
          <w:sz w:val="12"/>
        </w:rPr>
        <w:t>352</w:t>
      </w:r>
      <w:r>
        <w:rPr>
          <w:spacing w:val="2"/>
          <w:sz w:val="12"/>
        </w:rPr>
        <w:t xml:space="preserve"> </w:t>
      </w:r>
      <w:r>
        <w:rPr>
          <w:spacing w:val="-2"/>
          <w:sz w:val="12"/>
        </w:rPr>
        <w:t>Comité</w:t>
      </w:r>
      <w:r>
        <w:rPr>
          <w:spacing w:val="2"/>
          <w:sz w:val="12"/>
        </w:rPr>
        <w:t xml:space="preserve"> </w:t>
      </w:r>
      <w:r>
        <w:rPr>
          <w:spacing w:val="-2"/>
          <w:sz w:val="12"/>
        </w:rPr>
        <w:t>para</w:t>
      </w:r>
      <w:r>
        <w:rPr>
          <w:spacing w:val="2"/>
          <w:sz w:val="12"/>
        </w:rPr>
        <w:t xml:space="preserve"> </w:t>
      </w:r>
      <w:r>
        <w:rPr>
          <w:spacing w:val="-2"/>
          <w:sz w:val="12"/>
        </w:rPr>
        <w:t>la</w:t>
      </w:r>
      <w:r>
        <w:rPr>
          <w:spacing w:val="3"/>
          <w:sz w:val="12"/>
        </w:rPr>
        <w:t xml:space="preserve"> </w:t>
      </w:r>
      <w:r>
        <w:rPr>
          <w:spacing w:val="-2"/>
          <w:sz w:val="12"/>
        </w:rPr>
        <w:t>Eliminación</w:t>
      </w:r>
      <w:r>
        <w:rPr>
          <w:spacing w:val="2"/>
          <w:sz w:val="12"/>
        </w:rPr>
        <w:t xml:space="preserve"> </w:t>
      </w:r>
      <w:r>
        <w:rPr>
          <w:spacing w:val="-2"/>
          <w:sz w:val="12"/>
        </w:rPr>
        <w:t>de</w:t>
      </w:r>
      <w:r>
        <w:rPr>
          <w:spacing w:val="2"/>
          <w:sz w:val="12"/>
        </w:rPr>
        <w:t xml:space="preserve"> </w:t>
      </w:r>
      <w:r>
        <w:rPr>
          <w:spacing w:val="-2"/>
          <w:sz w:val="12"/>
        </w:rPr>
        <w:t>la</w:t>
      </w:r>
      <w:r>
        <w:rPr>
          <w:spacing w:val="2"/>
          <w:sz w:val="12"/>
        </w:rPr>
        <w:t xml:space="preserve"> </w:t>
      </w:r>
      <w:r>
        <w:rPr>
          <w:spacing w:val="-2"/>
          <w:sz w:val="12"/>
        </w:rPr>
        <w:t>Discriminación</w:t>
      </w:r>
      <w:r>
        <w:rPr>
          <w:spacing w:val="3"/>
          <w:sz w:val="12"/>
        </w:rPr>
        <w:t xml:space="preserve"> </w:t>
      </w:r>
      <w:r>
        <w:rPr>
          <w:spacing w:val="-2"/>
          <w:sz w:val="12"/>
        </w:rPr>
        <w:t>contra</w:t>
      </w:r>
      <w:r>
        <w:rPr>
          <w:spacing w:val="2"/>
          <w:sz w:val="12"/>
        </w:rPr>
        <w:t xml:space="preserve"> </w:t>
      </w:r>
      <w:r>
        <w:rPr>
          <w:spacing w:val="-2"/>
          <w:sz w:val="12"/>
        </w:rPr>
        <w:t>la</w:t>
      </w:r>
      <w:r>
        <w:rPr>
          <w:spacing w:val="2"/>
          <w:sz w:val="12"/>
        </w:rPr>
        <w:t xml:space="preserve"> </w:t>
      </w:r>
      <w:r>
        <w:rPr>
          <w:spacing w:val="-2"/>
          <w:sz w:val="12"/>
        </w:rPr>
        <w:t>Mujer,</w:t>
      </w:r>
      <w:r>
        <w:rPr>
          <w:spacing w:val="4"/>
          <w:sz w:val="12"/>
        </w:rPr>
        <w:t xml:space="preserve"> </w:t>
      </w:r>
      <w:r>
        <w:rPr>
          <w:spacing w:val="-2"/>
          <w:sz w:val="12"/>
        </w:rPr>
        <w:t>recomendación</w:t>
      </w:r>
      <w:r>
        <w:rPr>
          <w:spacing w:val="2"/>
          <w:sz w:val="12"/>
        </w:rPr>
        <w:t xml:space="preserve"> </w:t>
      </w:r>
      <w:r>
        <w:rPr>
          <w:spacing w:val="-2"/>
          <w:sz w:val="12"/>
        </w:rPr>
        <w:t>general</w:t>
      </w:r>
      <w:r>
        <w:rPr>
          <w:spacing w:val="2"/>
          <w:sz w:val="12"/>
        </w:rPr>
        <w:t xml:space="preserve"> </w:t>
      </w:r>
      <w:r>
        <w:rPr>
          <w:spacing w:val="-2"/>
          <w:sz w:val="12"/>
        </w:rPr>
        <w:t>núm.</w:t>
      </w:r>
      <w:r>
        <w:rPr>
          <w:spacing w:val="2"/>
          <w:sz w:val="12"/>
        </w:rPr>
        <w:t xml:space="preserve"> </w:t>
      </w:r>
      <w:r>
        <w:rPr>
          <w:spacing w:val="-2"/>
          <w:sz w:val="12"/>
        </w:rPr>
        <w:t>33</w:t>
      </w:r>
      <w:r>
        <w:rPr>
          <w:spacing w:val="3"/>
          <w:sz w:val="12"/>
        </w:rPr>
        <w:t xml:space="preserve"> </w:t>
      </w:r>
      <w:r>
        <w:rPr>
          <w:spacing w:val="-2"/>
          <w:sz w:val="12"/>
        </w:rPr>
        <w:t>(2015),</w:t>
      </w:r>
      <w:r>
        <w:rPr>
          <w:spacing w:val="3"/>
          <w:sz w:val="12"/>
        </w:rPr>
        <w:t xml:space="preserve"> </w:t>
      </w:r>
      <w:r>
        <w:rPr>
          <w:spacing w:val="-2"/>
          <w:sz w:val="12"/>
        </w:rPr>
        <w:t>párr.</w:t>
      </w:r>
      <w:r>
        <w:rPr>
          <w:spacing w:val="3"/>
          <w:sz w:val="12"/>
        </w:rPr>
        <w:t xml:space="preserve"> </w:t>
      </w:r>
      <w:r w:rsidRPr="00537489">
        <w:rPr>
          <w:spacing w:val="-2"/>
          <w:sz w:val="12"/>
          <w:lang w:val="en-US"/>
        </w:rPr>
        <w:t>18</w:t>
      </w:r>
      <w:r w:rsidRPr="00537489">
        <w:rPr>
          <w:spacing w:val="3"/>
          <w:sz w:val="12"/>
          <w:lang w:val="en-US"/>
        </w:rPr>
        <w:t xml:space="preserve"> </w:t>
      </w:r>
      <w:r w:rsidRPr="00537489">
        <w:rPr>
          <w:spacing w:val="-4"/>
          <w:sz w:val="12"/>
          <w:lang w:val="en-US"/>
        </w:rPr>
        <w:t>(g).</w:t>
      </w:r>
    </w:p>
    <w:p w14:paraId="3DC0442B" w14:textId="77777777" w:rsidR="0014798C" w:rsidRPr="00537489" w:rsidRDefault="0014798C">
      <w:pPr>
        <w:rPr>
          <w:sz w:val="12"/>
          <w:lang w:val="en-US"/>
        </w:rPr>
        <w:sectPr w:rsidR="0014798C" w:rsidRPr="00537489" w:rsidSect="00F265E4">
          <w:pgSz w:w="11900" w:h="16820"/>
          <w:pgMar w:top="340" w:right="0" w:bottom="280" w:left="200" w:header="121" w:footer="0" w:gutter="0"/>
          <w:cols w:space="720"/>
        </w:sectPr>
      </w:pPr>
    </w:p>
    <w:p w14:paraId="14040169" w14:textId="77777777" w:rsidR="0014798C" w:rsidRPr="00537489" w:rsidRDefault="004E1F0B">
      <w:pPr>
        <w:spacing w:before="54"/>
        <w:jc w:val="right"/>
        <w:rPr>
          <w:sz w:val="8"/>
          <w:lang w:val="en-US"/>
        </w:rPr>
      </w:pPr>
      <w:r w:rsidRPr="00537489">
        <w:rPr>
          <w:spacing w:val="-5"/>
          <w:w w:val="105"/>
          <w:sz w:val="8"/>
          <w:lang w:val="en-US"/>
        </w:rPr>
        <w:t>353</w:t>
      </w:r>
    </w:p>
    <w:p w14:paraId="78B6E02C" w14:textId="77777777" w:rsidR="0014798C" w:rsidRPr="00537489" w:rsidRDefault="0014798C">
      <w:pPr>
        <w:pStyle w:val="Textoindependiente"/>
        <w:spacing w:before="52"/>
        <w:rPr>
          <w:sz w:val="8"/>
          <w:lang w:val="en-US"/>
        </w:rPr>
      </w:pPr>
    </w:p>
    <w:p w14:paraId="1AC2FFAF" w14:textId="77777777" w:rsidR="0014798C" w:rsidRPr="00537489" w:rsidRDefault="004E1F0B">
      <w:pPr>
        <w:jc w:val="right"/>
        <w:rPr>
          <w:sz w:val="8"/>
          <w:lang w:val="en-US"/>
        </w:rPr>
      </w:pPr>
      <w:r w:rsidRPr="00537489">
        <w:rPr>
          <w:spacing w:val="-5"/>
          <w:w w:val="105"/>
          <w:sz w:val="8"/>
          <w:lang w:val="en-US"/>
        </w:rPr>
        <w:t>354</w:t>
      </w:r>
    </w:p>
    <w:p w14:paraId="45D78E40" w14:textId="77777777" w:rsidR="0014798C" w:rsidRPr="00537489" w:rsidRDefault="004E1F0B">
      <w:pPr>
        <w:spacing w:before="93"/>
        <w:ind w:left="82"/>
        <w:rPr>
          <w:sz w:val="12"/>
          <w:lang w:val="en-US"/>
        </w:rPr>
      </w:pPr>
      <w:r w:rsidRPr="00537489">
        <w:rPr>
          <w:lang w:val="en-US"/>
        </w:rPr>
        <w:br w:type="column"/>
      </w:r>
      <w:r w:rsidRPr="00537489">
        <w:rPr>
          <w:sz w:val="12"/>
          <w:lang w:val="en-US"/>
        </w:rPr>
        <w:t>CCPR/C/MUS/CO/5,</w:t>
      </w:r>
      <w:r w:rsidRPr="00537489">
        <w:rPr>
          <w:spacing w:val="-1"/>
          <w:sz w:val="12"/>
          <w:lang w:val="en-US"/>
        </w:rPr>
        <w:t xml:space="preserve"> </w:t>
      </w:r>
      <w:proofErr w:type="spellStart"/>
      <w:r w:rsidRPr="00537489">
        <w:rPr>
          <w:sz w:val="12"/>
          <w:lang w:val="en-US"/>
        </w:rPr>
        <w:t>párr</w:t>
      </w:r>
      <w:proofErr w:type="spellEnd"/>
      <w:r w:rsidRPr="00537489">
        <w:rPr>
          <w:sz w:val="12"/>
          <w:lang w:val="en-US"/>
        </w:rPr>
        <w:t>.</w:t>
      </w:r>
      <w:r w:rsidRPr="00537489">
        <w:rPr>
          <w:spacing w:val="-1"/>
          <w:sz w:val="12"/>
          <w:lang w:val="en-US"/>
        </w:rPr>
        <w:t xml:space="preserve"> </w:t>
      </w:r>
      <w:r w:rsidRPr="00537489">
        <w:rPr>
          <w:spacing w:val="-5"/>
          <w:sz w:val="12"/>
          <w:lang w:val="en-US"/>
        </w:rPr>
        <w:t>12.</w:t>
      </w:r>
    </w:p>
    <w:p w14:paraId="7979177F" w14:textId="77777777" w:rsidR="0014798C" w:rsidRDefault="004E1F0B">
      <w:pPr>
        <w:spacing w:before="99"/>
        <w:ind w:left="82"/>
        <w:rPr>
          <w:sz w:val="12"/>
        </w:rPr>
      </w:pPr>
      <w:r w:rsidRPr="00537489">
        <w:rPr>
          <w:sz w:val="12"/>
          <w:lang w:val="en-US"/>
        </w:rPr>
        <w:t>CERD/C/KGZ/CO/8-10,</w:t>
      </w:r>
      <w:r w:rsidRPr="00537489">
        <w:rPr>
          <w:spacing w:val="-2"/>
          <w:sz w:val="12"/>
          <w:lang w:val="en-US"/>
        </w:rPr>
        <w:t xml:space="preserve"> </w:t>
      </w:r>
      <w:proofErr w:type="spellStart"/>
      <w:r w:rsidRPr="00537489">
        <w:rPr>
          <w:sz w:val="12"/>
          <w:lang w:val="en-US"/>
        </w:rPr>
        <w:t>párr</w:t>
      </w:r>
      <w:proofErr w:type="spellEnd"/>
      <w:r w:rsidRPr="00537489">
        <w:rPr>
          <w:sz w:val="12"/>
          <w:lang w:val="en-US"/>
        </w:rPr>
        <w:t>.</w:t>
      </w:r>
      <w:r w:rsidRPr="00537489">
        <w:rPr>
          <w:spacing w:val="-1"/>
          <w:sz w:val="12"/>
          <w:lang w:val="en-US"/>
        </w:rPr>
        <w:t xml:space="preserve"> </w:t>
      </w:r>
      <w:r>
        <w:rPr>
          <w:spacing w:val="-5"/>
          <w:sz w:val="12"/>
        </w:rPr>
        <w:t>14.</w:t>
      </w:r>
    </w:p>
    <w:p w14:paraId="358752B5" w14:textId="77777777" w:rsidR="0014798C" w:rsidRDefault="0014798C">
      <w:pPr>
        <w:rPr>
          <w:sz w:val="12"/>
        </w:rPr>
        <w:sectPr w:rsidR="0014798C" w:rsidSect="00F265E4">
          <w:type w:val="continuous"/>
          <w:pgSz w:w="11900" w:h="16820"/>
          <w:pgMar w:top="40" w:right="0" w:bottom="280" w:left="200" w:header="121" w:footer="0" w:gutter="0"/>
          <w:cols w:num="2" w:space="720" w:equalWidth="0">
            <w:col w:w="1250" w:space="40"/>
            <w:col w:w="10410"/>
          </w:cols>
        </w:sectPr>
      </w:pPr>
    </w:p>
    <w:p w14:paraId="237CAF11" w14:textId="77777777" w:rsidR="0014798C" w:rsidRDefault="004E1F0B">
      <w:pPr>
        <w:spacing w:before="104" w:line="307" w:lineRule="auto"/>
        <w:ind w:left="1367" w:right="1997" w:hanging="260"/>
        <w:rPr>
          <w:sz w:val="12"/>
        </w:rPr>
      </w:pPr>
      <w:r>
        <w:rPr>
          <w:sz w:val="12"/>
        </w:rPr>
        <w:t>355</w:t>
      </w:r>
      <w:r>
        <w:rPr>
          <w:spacing w:val="-3"/>
          <w:sz w:val="12"/>
        </w:rPr>
        <w:t xml:space="preserve"> </w:t>
      </w:r>
      <w:r>
        <w:rPr>
          <w:sz w:val="12"/>
        </w:rPr>
        <w:t>Aplicando</w:t>
      </w:r>
      <w:r>
        <w:rPr>
          <w:spacing w:val="-3"/>
          <w:sz w:val="12"/>
        </w:rPr>
        <w:t xml:space="preserve"> </w:t>
      </w:r>
      <w:r>
        <w:rPr>
          <w:sz w:val="12"/>
        </w:rPr>
        <w:t>este</w:t>
      </w:r>
      <w:r>
        <w:rPr>
          <w:spacing w:val="-3"/>
          <w:sz w:val="12"/>
        </w:rPr>
        <w:t xml:space="preserve"> </w:t>
      </w:r>
      <w:r>
        <w:rPr>
          <w:sz w:val="12"/>
        </w:rPr>
        <w:t>razonamiento</w:t>
      </w:r>
      <w:r>
        <w:rPr>
          <w:spacing w:val="-3"/>
          <w:sz w:val="12"/>
        </w:rPr>
        <w:t xml:space="preserve"> </w:t>
      </w:r>
      <w:r>
        <w:rPr>
          <w:sz w:val="12"/>
        </w:rPr>
        <w:t>en</w:t>
      </w:r>
      <w:r>
        <w:rPr>
          <w:spacing w:val="-3"/>
          <w:sz w:val="12"/>
        </w:rPr>
        <w:t xml:space="preserve"> </w:t>
      </w:r>
      <w:r>
        <w:rPr>
          <w:sz w:val="12"/>
        </w:rPr>
        <w:t>un</w:t>
      </w:r>
      <w:r>
        <w:rPr>
          <w:spacing w:val="-3"/>
          <w:sz w:val="12"/>
        </w:rPr>
        <w:t xml:space="preserve"> </w:t>
      </w:r>
      <w:r>
        <w:rPr>
          <w:sz w:val="12"/>
        </w:rPr>
        <w:t>contexto</w:t>
      </w:r>
      <w:r>
        <w:rPr>
          <w:spacing w:val="-3"/>
          <w:sz w:val="12"/>
        </w:rPr>
        <w:t xml:space="preserve"> </w:t>
      </w:r>
      <w:r>
        <w:rPr>
          <w:sz w:val="12"/>
        </w:rPr>
        <w:t>de</w:t>
      </w:r>
      <w:r>
        <w:rPr>
          <w:spacing w:val="-3"/>
          <w:sz w:val="12"/>
        </w:rPr>
        <w:t xml:space="preserve"> </w:t>
      </w:r>
      <w:r>
        <w:rPr>
          <w:sz w:val="12"/>
        </w:rPr>
        <w:t>discriminación,</w:t>
      </w:r>
      <w:r>
        <w:rPr>
          <w:spacing w:val="-2"/>
          <w:sz w:val="12"/>
        </w:rPr>
        <w:t xml:space="preserve"> </w:t>
      </w:r>
      <w:r>
        <w:rPr>
          <w:sz w:val="12"/>
        </w:rPr>
        <w:t>el</w:t>
      </w:r>
      <w:r>
        <w:rPr>
          <w:spacing w:val="-3"/>
          <w:sz w:val="12"/>
        </w:rPr>
        <w:t xml:space="preserve"> </w:t>
      </w:r>
      <w:r>
        <w:rPr>
          <w:sz w:val="12"/>
        </w:rPr>
        <w:t>Comité</w:t>
      </w:r>
      <w:r>
        <w:rPr>
          <w:spacing w:val="-3"/>
          <w:sz w:val="12"/>
        </w:rPr>
        <w:t xml:space="preserve"> </w:t>
      </w:r>
      <w:r>
        <w:rPr>
          <w:sz w:val="12"/>
        </w:rPr>
        <w:t>ha</w:t>
      </w:r>
      <w:r>
        <w:rPr>
          <w:spacing w:val="-3"/>
          <w:sz w:val="12"/>
        </w:rPr>
        <w:t xml:space="preserve"> </w:t>
      </w:r>
      <w:r>
        <w:rPr>
          <w:sz w:val="12"/>
        </w:rPr>
        <w:t>instado</w:t>
      </w:r>
      <w:r>
        <w:rPr>
          <w:spacing w:val="-3"/>
          <w:sz w:val="12"/>
        </w:rPr>
        <w:t xml:space="preserve"> </w:t>
      </w:r>
      <w:r>
        <w:rPr>
          <w:sz w:val="12"/>
        </w:rPr>
        <w:t>a</w:t>
      </w:r>
      <w:r>
        <w:rPr>
          <w:spacing w:val="-3"/>
          <w:sz w:val="12"/>
        </w:rPr>
        <w:t xml:space="preserve"> </w:t>
      </w:r>
      <w:r>
        <w:rPr>
          <w:sz w:val="12"/>
        </w:rPr>
        <w:t>los</w:t>
      </w:r>
      <w:r>
        <w:rPr>
          <w:spacing w:val="-3"/>
          <w:sz w:val="12"/>
        </w:rPr>
        <w:t xml:space="preserve"> </w:t>
      </w:r>
      <w:r>
        <w:rPr>
          <w:sz w:val="12"/>
        </w:rPr>
        <w:t>Estados</w:t>
      </w:r>
      <w:r>
        <w:rPr>
          <w:spacing w:val="-3"/>
          <w:sz w:val="12"/>
        </w:rPr>
        <w:t xml:space="preserve"> </w:t>
      </w:r>
      <w:r>
        <w:rPr>
          <w:sz w:val="12"/>
        </w:rPr>
        <w:t>a</w:t>
      </w:r>
      <w:r>
        <w:rPr>
          <w:spacing w:val="-3"/>
          <w:sz w:val="12"/>
        </w:rPr>
        <w:t xml:space="preserve"> </w:t>
      </w:r>
      <w:r>
        <w:rPr>
          <w:sz w:val="12"/>
        </w:rPr>
        <w:t>garantizar</w:t>
      </w:r>
      <w:r>
        <w:rPr>
          <w:spacing w:val="-3"/>
          <w:sz w:val="12"/>
        </w:rPr>
        <w:t xml:space="preserve"> </w:t>
      </w:r>
      <w:r>
        <w:rPr>
          <w:sz w:val="12"/>
        </w:rPr>
        <w:t>la</w:t>
      </w:r>
      <w:r>
        <w:rPr>
          <w:spacing w:val="-3"/>
          <w:sz w:val="12"/>
        </w:rPr>
        <w:t xml:space="preserve"> </w:t>
      </w:r>
      <w:r>
        <w:rPr>
          <w:sz w:val="12"/>
        </w:rPr>
        <w:t>protección</w:t>
      </w:r>
      <w:r>
        <w:rPr>
          <w:spacing w:val="-3"/>
          <w:sz w:val="12"/>
        </w:rPr>
        <w:t xml:space="preserve"> </w:t>
      </w:r>
      <w:r>
        <w:rPr>
          <w:sz w:val="12"/>
        </w:rPr>
        <w:t>de</w:t>
      </w:r>
      <w:r>
        <w:rPr>
          <w:spacing w:val="-3"/>
          <w:sz w:val="12"/>
        </w:rPr>
        <w:t xml:space="preserve"> </w:t>
      </w:r>
      <w:r>
        <w:rPr>
          <w:sz w:val="12"/>
        </w:rPr>
        <w:t>las</w:t>
      </w:r>
      <w:r>
        <w:rPr>
          <w:spacing w:val="-3"/>
          <w:sz w:val="12"/>
        </w:rPr>
        <w:t xml:space="preserve"> </w:t>
      </w:r>
      <w:r>
        <w:rPr>
          <w:sz w:val="12"/>
        </w:rPr>
        <w:t>víctimas</w:t>
      </w:r>
      <w:r>
        <w:rPr>
          <w:spacing w:val="-3"/>
          <w:sz w:val="12"/>
        </w:rPr>
        <w:t xml:space="preserve"> </w:t>
      </w:r>
      <w:r>
        <w:rPr>
          <w:sz w:val="12"/>
        </w:rPr>
        <w:t>de</w:t>
      </w:r>
      <w:r>
        <w:rPr>
          <w:spacing w:val="-3"/>
          <w:sz w:val="12"/>
        </w:rPr>
        <w:t xml:space="preserve"> </w:t>
      </w:r>
      <w:r>
        <w:rPr>
          <w:sz w:val="12"/>
        </w:rPr>
        <w:t>acoso</w:t>
      </w:r>
      <w:r>
        <w:rPr>
          <w:spacing w:val="-3"/>
          <w:sz w:val="12"/>
        </w:rPr>
        <w:t xml:space="preserve"> </w:t>
      </w:r>
      <w:r>
        <w:rPr>
          <w:sz w:val="12"/>
        </w:rPr>
        <w:t>sexual,</w:t>
      </w:r>
      <w:r>
        <w:rPr>
          <w:spacing w:val="40"/>
          <w:sz w:val="12"/>
        </w:rPr>
        <w:t xml:space="preserve"> </w:t>
      </w:r>
      <w:r>
        <w:rPr>
          <w:sz w:val="12"/>
        </w:rPr>
        <w:t>incluso</w:t>
      </w:r>
      <w:r>
        <w:rPr>
          <w:spacing w:val="-1"/>
          <w:sz w:val="12"/>
        </w:rPr>
        <w:t xml:space="preserve"> </w:t>
      </w:r>
      <w:r>
        <w:rPr>
          <w:sz w:val="12"/>
        </w:rPr>
        <w:t>mediante</w:t>
      </w:r>
      <w:r>
        <w:rPr>
          <w:spacing w:val="-1"/>
          <w:sz w:val="12"/>
        </w:rPr>
        <w:t xml:space="preserve"> </w:t>
      </w:r>
      <w:r>
        <w:rPr>
          <w:sz w:val="12"/>
        </w:rPr>
        <w:t>la</w:t>
      </w:r>
      <w:r>
        <w:rPr>
          <w:spacing w:val="-1"/>
          <w:sz w:val="12"/>
        </w:rPr>
        <w:t xml:space="preserve"> </w:t>
      </w:r>
      <w:r>
        <w:rPr>
          <w:sz w:val="12"/>
        </w:rPr>
        <w:t>“prohibición</w:t>
      </w:r>
      <w:r>
        <w:rPr>
          <w:spacing w:val="-1"/>
          <w:sz w:val="12"/>
        </w:rPr>
        <w:t xml:space="preserve"> </w:t>
      </w:r>
      <w:r>
        <w:rPr>
          <w:sz w:val="12"/>
        </w:rPr>
        <w:t>explícita</w:t>
      </w:r>
      <w:r>
        <w:rPr>
          <w:spacing w:val="-1"/>
          <w:sz w:val="12"/>
        </w:rPr>
        <w:t xml:space="preserve"> </w:t>
      </w:r>
      <w:r>
        <w:rPr>
          <w:sz w:val="12"/>
        </w:rPr>
        <w:t>de</w:t>
      </w:r>
      <w:r>
        <w:rPr>
          <w:spacing w:val="-1"/>
          <w:sz w:val="12"/>
        </w:rPr>
        <w:t xml:space="preserve"> </w:t>
      </w:r>
      <w:r>
        <w:rPr>
          <w:sz w:val="12"/>
        </w:rPr>
        <w:t>represalias”</w:t>
      </w:r>
      <w:r>
        <w:rPr>
          <w:spacing w:val="-1"/>
          <w:sz w:val="12"/>
        </w:rPr>
        <w:t xml:space="preserve"> </w:t>
      </w:r>
      <w:r>
        <w:rPr>
          <w:sz w:val="12"/>
        </w:rPr>
        <w:t>en</w:t>
      </w:r>
      <w:r>
        <w:rPr>
          <w:spacing w:val="-1"/>
          <w:sz w:val="12"/>
        </w:rPr>
        <w:t xml:space="preserve"> </w:t>
      </w:r>
      <w:r>
        <w:rPr>
          <w:sz w:val="12"/>
        </w:rPr>
        <w:t>las</w:t>
      </w:r>
      <w:r>
        <w:rPr>
          <w:spacing w:val="-1"/>
          <w:sz w:val="12"/>
        </w:rPr>
        <w:t xml:space="preserve"> </w:t>
      </w:r>
      <w:r>
        <w:rPr>
          <w:sz w:val="12"/>
        </w:rPr>
        <w:t>políticas</w:t>
      </w:r>
      <w:r>
        <w:rPr>
          <w:spacing w:val="-1"/>
          <w:sz w:val="12"/>
        </w:rPr>
        <w:t xml:space="preserve"> </w:t>
      </w:r>
      <w:r>
        <w:rPr>
          <w:sz w:val="12"/>
        </w:rPr>
        <w:t>nacionales</w:t>
      </w:r>
      <w:r>
        <w:rPr>
          <w:spacing w:val="-1"/>
          <w:sz w:val="12"/>
        </w:rPr>
        <w:t xml:space="preserve"> </w:t>
      </w:r>
      <w:r>
        <w:rPr>
          <w:sz w:val="12"/>
        </w:rPr>
        <w:t>sobre</w:t>
      </w:r>
      <w:r>
        <w:rPr>
          <w:spacing w:val="-1"/>
          <w:sz w:val="12"/>
        </w:rPr>
        <w:t xml:space="preserve"> </w:t>
      </w:r>
      <w:r>
        <w:rPr>
          <w:sz w:val="12"/>
        </w:rPr>
        <w:t>acoso</w:t>
      </w:r>
      <w:r>
        <w:rPr>
          <w:spacing w:val="-1"/>
          <w:sz w:val="12"/>
        </w:rPr>
        <w:t xml:space="preserve"> </w:t>
      </w:r>
      <w:r>
        <w:rPr>
          <w:sz w:val="12"/>
        </w:rPr>
        <w:t>en</w:t>
      </w:r>
      <w:r>
        <w:rPr>
          <w:spacing w:val="-1"/>
          <w:sz w:val="12"/>
        </w:rPr>
        <w:t xml:space="preserve"> </w:t>
      </w:r>
      <w:r>
        <w:rPr>
          <w:sz w:val="12"/>
        </w:rPr>
        <w:t>el</w:t>
      </w:r>
      <w:r>
        <w:rPr>
          <w:spacing w:val="-1"/>
          <w:sz w:val="12"/>
        </w:rPr>
        <w:t xml:space="preserve"> </w:t>
      </w:r>
      <w:r>
        <w:rPr>
          <w:sz w:val="12"/>
        </w:rPr>
        <w:t>lugar</w:t>
      </w:r>
      <w:r>
        <w:rPr>
          <w:spacing w:val="-1"/>
          <w:sz w:val="12"/>
        </w:rPr>
        <w:t xml:space="preserve"> </w:t>
      </w:r>
      <w:r>
        <w:rPr>
          <w:sz w:val="12"/>
        </w:rPr>
        <w:t>de</w:t>
      </w:r>
      <w:r>
        <w:rPr>
          <w:spacing w:val="-1"/>
          <w:sz w:val="12"/>
        </w:rPr>
        <w:t xml:space="preserve"> </w:t>
      </w:r>
      <w:r>
        <w:rPr>
          <w:sz w:val="12"/>
        </w:rPr>
        <w:t>trabajo. Véase, respectivamente,</w:t>
      </w:r>
      <w:r>
        <w:rPr>
          <w:spacing w:val="40"/>
          <w:sz w:val="12"/>
        </w:rPr>
        <w:t xml:space="preserve"> </w:t>
      </w:r>
      <w:r>
        <w:rPr>
          <w:sz w:val="12"/>
        </w:rPr>
        <w:t>E/C.12/VNM/CO/2-4,</w:t>
      </w:r>
      <w:r>
        <w:rPr>
          <w:spacing w:val="-3"/>
          <w:sz w:val="12"/>
        </w:rPr>
        <w:t xml:space="preserve"> </w:t>
      </w:r>
      <w:r>
        <w:rPr>
          <w:sz w:val="12"/>
        </w:rPr>
        <w:t>párr.</w:t>
      </w:r>
      <w:r>
        <w:rPr>
          <w:spacing w:val="-3"/>
          <w:sz w:val="12"/>
        </w:rPr>
        <w:t xml:space="preserve"> </w:t>
      </w:r>
      <w:r>
        <w:rPr>
          <w:w w:val="95"/>
          <w:sz w:val="12"/>
        </w:rPr>
        <w:t>9;</w:t>
      </w:r>
      <w:r>
        <w:rPr>
          <w:spacing w:val="-1"/>
          <w:w w:val="95"/>
          <w:sz w:val="12"/>
        </w:rPr>
        <w:t xml:space="preserve"> </w:t>
      </w:r>
      <w:r>
        <w:rPr>
          <w:sz w:val="12"/>
        </w:rPr>
        <w:t>E/C.12/CHN/CO/2,</w:t>
      </w:r>
      <w:r>
        <w:rPr>
          <w:spacing w:val="-3"/>
          <w:sz w:val="12"/>
        </w:rPr>
        <w:t xml:space="preserve"> </w:t>
      </w:r>
      <w:r>
        <w:rPr>
          <w:sz w:val="12"/>
        </w:rPr>
        <w:t>párr.</w:t>
      </w:r>
      <w:r>
        <w:rPr>
          <w:spacing w:val="-3"/>
          <w:sz w:val="12"/>
        </w:rPr>
        <w:t xml:space="preserve"> </w:t>
      </w:r>
      <w:r>
        <w:rPr>
          <w:w w:val="95"/>
          <w:sz w:val="12"/>
        </w:rPr>
        <w:t>38;</w:t>
      </w:r>
      <w:r>
        <w:rPr>
          <w:spacing w:val="-1"/>
          <w:w w:val="95"/>
          <w:sz w:val="12"/>
        </w:rPr>
        <w:t xml:space="preserve"> </w:t>
      </w:r>
      <w:r>
        <w:rPr>
          <w:sz w:val="12"/>
        </w:rPr>
        <w:t>y</w:t>
      </w:r>
      <w:r>
        <w:rPr>
          <w:spacing w:val="-3"/>
          <w:sz w:val="12"/>
        </w:rPr>
        <w:t xml:space="preserve"> </w:t>
      </w:r>
      <w:r>
        <w:rPr>
          <w:sz w:val="12"/>
        </w:rPr>
        <w:t>observación</w:t>
      </w:r>
      <w:r>
        <w:rPr>
          <w:spacing w:val="-3"/>
          <w:sz w:val="12"/>
        </w:rPr>
        <w:t xml:space="preserve"> </w:t>
      </w:r>
      <w:r>
        <w:rPr>
          <w:sz w:val="12"/>
        </w:rPr>
        <w:t>general</w:t>
      </w:r>
      <w:r>
        <w:rPr>
          <w:spacing w:val="-3"/>
          <w:sz w:val="12"/>
        </w:rPr>
        <w:t xml:space="preserve"> </w:t>
      </w:r>
      <w:r>
        <w:rPr>
          <w:sz w:val="12"/>
        </w:rPr>
        <w:t>núm.</w:t>
      </w:r>
      <w:r>
        <w:rPr>
          <w:spacing w:val="-3"/>
          <w:sz w:val="12"/>
        </w:rPr>
        <w:t xml:space="preserve"> </w:t>
      </w:r>
      <w:r>
        <w:rPr>
          <w:sz w:val="12"/>
        </w:rPr>
        <w:t>23</w:t>
      </w:r>
      <w:r>
        <w:rPr>
          <w:spacing w:val="-3"/>
          <w:sz w:val="12"/>
        </w:rPr>
        <w:t xml:space="preserve"> </w:t>
      </w:r>
      <w:r>
        <w:rPr>
          <w:sz w:val="12"/>
        </w:rPr>
        <w:t>(2016),</w:t>
      </w:r>
      <w:r>
        <w:rPr>
          <w:spacing w:val="-3"/>
          <w:sz w:val="12"/>
        </w:rPr>
        <w:t xml:space="preserve"> </w:t>
      </w:r>
      <w:r>
        <w:rPr>
          <w:sz w:val="12"/>
        </w:rPr>
        <w:t>párr.</w:t>
      </w:r>
      <w:r>
        <w:rPr>
          <w:spacing w:val="-3"/>
          <w:sz w:val="12"/>
        </w:rPr>
        <w:t xml:space="preserve"> </w:t>
      </w:r>
      <w:r>
        <w:rPr>
          <w:sz w:val="12"/>
        </w:rPr>
        <w:t>48.</w:t>
      </w:r>
    </w:p>
    <w:p w14:paraId="0154D354" w14:textId="77777777" w:rsidR="0014798C" w:rsidRDefault="004E1F0B">
      <w:pPr>
        <w:spacing w:before="66"/>
        <w:ind w:left="1107"/>
        <w:rPr>
          <w:sz w:val="12"/>
        </w:rPr>
      </w:pPr>
      <w:r>
        <w:rPr>
          <w:spacing w:val="-2"/>
          <w:sz w:val="12"/>
        </w:rPr>
        <w:t>356</w:t>
      </w:r>
      <w:r>
        <w:rPr>
          <w:spacing w:val="3"/>
          <w:sz w:val="12"/>
        </w:rPr>
        <w:t xml:space="preserve"> </w:t>
      </w:r>
      <w:r>
        <w:rPr>
          <w:spacing w:val="-2"/>
          <w:sz w:val="12"/>
        </w:rPr>
        <w:t>Aunque</w:t>
      </w:r>
      <w:r>
        <w:rPr>
          <w:spacing w:val="4"/>
          <w:sz w:val="12"/>
        </w:rPr>
        <w:t xml:space="preserve"> </w:t>
      </w:r>
      <w:r>
        <w:rPr>
          <w:spacing w:val="-2"/>
          <w:sz w:val="12"/>
        </w:rPr>
        <w:t>sin</w:t>
      </w:r>
      <w:r>
        <w:rPr>
          <w:spacing w:val="4"/>
          <w:sz w:val="12"/>
        </w:rPr>
        <w:t xml:space="preserve"> </w:t>
      </w:r>
      <w:r>
        <w:rPr>
          <w:spacing w:val="-2"/>
          <w:sz w:val="12"/>
        </w:rPr>
        <w:t>utilizar</w:t>
      </w:r>
      <w:r>
        <w:rPr>
          <w:spacing w:val="4"/>
          <w:sz w:val="12"/>
        </w:rPr>
        <w:t xml:space="preserve"> </w:t>
      </w:r>
      <w:r>
        <w:rPr>
          <w:spacing w:val="-2"/>
          <w:sz w:val="12"/>
        </w:rPr>
        <w:t>explícitamente</w:t>
      </w:r>
      <w:r>
        <w:rPr>
          <w:spacing w:val="4"/>
          <w:sz w:val="12"/>
        </w:rPr>
        <w:t xml:space="preserve"> </w:t>
      </w:r>
      <w:r>
        <w:rPr>
          <w:spacing w:val="-2"/>
          <w:sz w:val="12"/>
        </w:rPr>
        <w:t>el</w:t>
      </w:r>
      <w:r>
        <w:rPr>
          <w:spacing w:val="4"/>
          <w:sz w:val="12"/>
        </w:rPr>
        <w:t xml:space="preserve"> </w:t>
      </w:r>
      <w:r>
        <w:rPr>
          <w:spacing w:val="-2"/>
          <w:sz w:val="12"/>
        </w:rPr>
        <w:t>término</w:t>
      </w:r>
      <w:r>
        <w:rPr>
          <w:spacing w:val="4"/>
          <w:sz w:val="12"/>
        </w:rPr>
        <w:t xml:space="preserve"> </w:t>
      </w:r>
      <w:r>
        <w:rPr>
          <w:spacing w:val="-2"/>
          <w:sz w:val="12"/>
        </w:rPr>
        <w:t>“victimización”.</w:t>
      </w:r>
      <w:r>
        <w:rPr>
          <w:spacing w:val="5"/>
          <w:sz w:val="12"/>
        </w:rPr>
        <w:t xml:space="preserve"> </w:t>
      </w:r>
      <w:r>
        <w:rPr>
          <w:spacing w:val="-2"/>
          <w:sz w:val="12"/>
        </w:rPr>
        <w:t>Véase</w:t>
      </w:r>
      <w:r>
        <w:rPr>
          <w:spacing w:val="4"/>
          <w:sz w:val="12"/>
        </w:rPr>
        <w:t xml:space="preserve"> </w:t>
      </w:r>
      <w:r>
        <w:rPr>
          <w:spacing w:val="-2"/>
          <w:sz w:val="12"/>
        </w:rPr>
        <w:t>Comité</w:t>
      </w:r>
      <w:r>
        <w:rPr>
          <w:spacing w:val="4"/>
          <w:sz w:val="12"/>
        </w:rPr>
        <w:t xml:space="preserve"> </w:t>
      </w:r>
      <w:r>
        <w:rPr>
          <w:spacing w:val="-2"/>
          <w:sz w:val="12"/>
        </w:rPr>
        <w:t>sobre</w:t>
      </w:r>
      <w:r>
        <w:rPr>
          <w:spacing w:val="4"/>
          <w:sz w:val="12"/>
        </w:rPr>
        <w:t xml:space="preserve"> </w:t>
      </w:r>
      <w:r>
        <w:rPr>
          <w:spacing w:val="-2"/>
          <w:sz w:val="12"/>
        </w:rPr>
        <w:t>los</w:t>
      </w:r>
      <w:r>
        <w:rPr>
          <w:spacing w:val="4"/>
          <w:sz w:val="12"/>
        </w:rPr>
        <w:t xml:space="preserve"> </w:t>
      </w:r>
      <w:r>
        <w:rPr>
          <w:spacing w:val="-2"/>
          <w:sz w:val="12"/>
        </w:rPr>
        <w:t>Derechos</w:t>
      </w:r>
      <w:r>
        <w:rPr>
          <w:spacing w:val="4"/>
          <w:sz w:val="12"/>
        </w:rPr>
        <w:t xml:space="preserve"> </w:t>
      </w:r>
      <w:r>
        <w:rPr>
          <w:spacing w:val="-2"/>
          <w:sz w:val="12"/>
        </w:rPr>
        <w:t>de</w:t>
      </w:r>
      <w:r>
        <w:rPr>
          <w:spacing w:val="4"/>
          <w:sz w:val="12"/>
        </w:rPr>
        <w:t xml:space="preserve"> </w:t>
      </w:r>
      <w:r>
        <w:rPr>
          <w:spacing w:val="-2"/>
          <w:sz w:val="12"/>
        </w:rPr>
        <w:t>las</w:t>
      </w:r>
      <w:r>
        <w:rPr>
          <w:spacing w:val="4"/>
          <w:sz w:val="12"/>
        </w:rPr>
        <w:t xml:space="preserve"> </w:t>
      </w:r>
      <w:r>
        <w:rPr>
          <w:spacing w:val="-2"/>
          <w:sz w:val="12"/>
        </w:rPr>
        <w:t>Personas</w:t>
      </w:r>
      <w:r>
        <w:rPr>
          <w:spacing w:val="4"/>
          <w:sz w:val="12"/>
        </w:rPr>
        <w:t xml:space="preserve"> </w:t>
      </w:r>
      <w:r>
        <w:rPr>
          <w:spacing w:val="-2"/>
          <w:sz w:val="12"/>
        </w:rPr>
        <w:t>con</w:t>
      </w:r>
      <w:r>
        <w:rPr>
          <w:spacing w:val="3"/>
          <w:sz w:val="12"/>
        </w:rPr>
        <w:t xml:space="preserve"> </w:t>
      </w:r>
      <w:r>
        <w:rPr>
          <w:spacing w:val="-2"/>
          <w:sz w:val="12"/>
        </w:rPr>
        <w:t>Discapacidad,</w:t>
      </w:r>
      <w:r>
        <w:rPr>
          <w:spacing w:val="6"/>
          <w:sz w:val="12"/>
        </w:rPr>
        <w:t xml:space="preserve"> </w:t>
      </w:r>
      <w:r>
        <w:rPr>
          <w:spacing w:val="-2"/>
          <w:sz w:val="12"/>
        </w:rPr>
        <w:t>observación</w:t>
      </w:r>
      <w:r>
        <w:rPr>
          <w:spacing w:val="3"/>
          <w:sz w:val="12"/>
        </w:rPr>
        <w:t xml:space="preserve"> </w:t>
      </w:r>
      <w:r>
        <w:rPr>
          <w:spacing w:val="-2"/>
          <w:sz w:val="12"/>
        </w:rPr>
        <w:t>general</w:t>
      </w:r>
      <w:r>
        <w:rPr>
          <w:spacing w:val="4"/>
          <w:sz w:val="12"/>
        </w:rPr>
        <w:t xml:space="preserve"> </w:t>
      </w:r>
      <w:r>
        <w:rPr>
          <w:spacing w:val="-2"/>
          <w:sz w:val="12"/>
        </w:rPr>
        <w:t>núm.</w:t>
      </w:r>
      <w:r>
        <w:rPr>
          <w:spacing w:val="4"/>
          <w:sz w:val="12"/>
        </w:rPr>
        <w:t xml:space="preserve"> </w:t>
      </w:r>
      <w:r>
        <w:rPr>
          <w:spacing w:val="-10"/>
          <w:sz w:val="12"/>
        </w:rPr>
        <w:t>6</w:t>
      </w:r>
    </w:p>
    <w:p w14:paraId="2E3C012D" w14:textId="77777777" w:rsidR="0014798C" w:rsidRDefault="004E1F0B">
      <w:pPr>
        <w:spacing w:before="36"/>
        <w:ind w:left="1375"/>
        <w:rPr>
          <w:sz w:val="12"/>
        </w:rPr>
      </w:pPr>
      <w:r>
        <w:rPr>
          <w:sz w:val="12"/>
        </w:rPr>
        <w:t>(2018),</w:t>
      </w:r>
      <w:r>
        <w:rPr>
          <w:spacing w:val="-2"/>
          <w:sz w:val="12"/>
        </w:rPr>
        <w:t xml:space="preserve"> </w:t>
      </w:r>
      <w:r>
        <w:rPr>
          <w:sz w:val="12"/>
        </w:rPr>
        <w:t>párr.</w:t>
      </w:r>
      <w:r>
        <w:rPr>
          <w:spacing w:val="-2"/>
          <w:sz w:val="12"/>
        </w:rPr>
        <w:t xml:space="preserve"> 73(i).</w:t>
      </w:r>
    </w:p>
    <w:p w14:paraId="4F05F603" w14:textId="77777777" w:rsidR="0014798C" w:rsidRDefault="004E1F0B">
      <w:pPr>
        <w:spacing w:before="104" w:line="307" w:lineRule="auto"/>
        <w:ind w:left="1369" w:right="1840" w:hanging="262"/>
        <w:rPr>
          <w:sz w:val="12"/>
        </w:rPr>
      </w:pPr>
      <w:r>
        <w:rPr>
          <w:sz w:val="12"/>
        </w:rPr>
        <w:t>357</w:t>
      </w:r>
      <w:r>
        <w:rPr>
          <w:spacing w:val="-1"/>
          <w:sz w:val="12"/>
        </w:rPr>
        <w:t xml:space="preserve"> </w:t>
      </w:r>
      <w:r>
        <w:rPr>
          <w:sz w:val="12"/>
        </w:rPr>
        <w:t>El</w:t>
      </w:r>
      <w:r>
        <w:rPr>
          <w:spacing w:val="-1"/>
          <w:sz w:val="12"/>
        </w:rPr>
        <w:t xml:space="preserve"> </w:t>
      </w:r>
      <w:r>
        <w:rPr>
          <w:sz w:val="12"/>
        </w:rPr>
        <w:t>Comité</w:t>
      </w:r>
      <w:r>
        <w:rPr>
          <w:spacing w:val="-1"/>
          <w:sz w:val="12"/>
        </w:rPr>
        <w:t xml:space="preserve"> </w:t>
      </w:r>
      <w:r>
        <w:rPr>
          <w:sz w:val="12"/>
        </w:rPr>
        <w:t>sobre</w:t>
      </w:r>
      <w:r>
        <w:rPr>
          <w:spacing w:val="-1"/>
          <w:sz w:val="12"/>
        </w:rPr>
        <w:t xml:space="preserve"> </w:t>
      </w:r>
      <w:r>
        <w:rPr>
          <w:sz w:val="12"/>
        </w:rPr>
        <w:t>los</w:t>
      </w:r>
      <w:r>
        <w:rPr>
          <w:spacing w:val="-1"/>
          <w:sz w:val="12"/>
        </w:rPr>
        <w:t xml:space="preserve"> </w:t>
      </w:r>
      <w:r>
        <w:rPr>
          <w:sz w:val="12"/>
        </w:rPr>
        <w:t>Derechos</w:t>
      </w:r>
      <w:r>
        <w:rPr>
          <w:spacing w:val="-1"/>
          <w:sz w:val="12"/>
        </w:rPr>
        <w:t xml:space="preserve"> </w:t>
      </w:r>
      <w:r>
        <w:rPr>
          <w:sz w:val="12"/>
        </w:rPr>
        <w:t>de</w:t>
      </w:r>
      <w:r>
        <w:rPr>
          <w:spacing w:val="-1"/>
          <w:sz w:val="12"/>
        </w:rPr>
        <w:t xml:space="preserve"> </w:t>
      </w:r>
      <w:r>
        <w:rPr>
          <w:sz w:val="12"/>
        </w:rPr>
        <w:t>las</w:t>
      </w:r>
      <w:r>
        <w:rPr>
          <w:spacing w:val="-1"/>
          <w:sz w:val="12"/>
        </w:rPr>
        <w:t xml:space="preserve"> </w:t>
      </w:r>
      <w:r>
        <w:rPr>
          <w:sz w:val="12"/>
        </w:rPr>
        <w:t>Personas</w:t>
      </w:r>
      <w:r>
        <w:rPr>
          <w:spacing w:val="-1"/>
          <w:sz w:val="12"/>
        </w:rPr>
        <w:t xml:space="preserve"> </w:t>
      </w:r>
      <w:r>
        <w:rPr>
          <w:sz w:val="12"/>
        </w:rPr>
        <w:t>con</w:t>
      </w:r>
      <w:r>
        <w:rPr>
          <w:spacing w:val="-1"/>
          <w:sz w:val="12"/>
        </w:rPr>
        <w:t xml:space="preserve"> </w:t>
      </w:r>
      <w:r>
        <w:rPr>
          <w:sz w:val="12"/>
        </w:rPr>
        <w:t>Discapacidad</w:t>
      </w:r>
      <w:r>
        <w:rPr>
          <w:spacing w:val="-1"/>
          <w:sz w:val="12"/>
        </w:rPr>
        <w:t xml:space="preserve"> </w:t>
      </w:r>
      <w:r>
        <w:rPr>
          <w:sz w:val="12"/>
        </w:rPr>
        <w:t>utiliza</w:t>
      </w:r>
      <w:r>
        <w:rPr>
          <w:spacing w:val="-1"/>
          <w:sz w:val="12"/>
        </w:rPr>
        <w:t xml:space="preserve"> </w:t>
      </w:r>
      <w:r>
        <w:rPr>
          <w:sz w:val="12"/>
        </w:rPr>
        <w:t>la</w:t>
      </w:r>
      <w:r>
        <w:rPr>
          <w:spacing w:val="-1"/>
          <w:sz w:val="12"/>
        </w:rPr>
        <w:t xml:space="preserve"> </w:t>
      </w:r>
      <w:r>
        <w:rPr>
          <w:sz w:val="12"/>
        </w:rPr>
        <w:t>frase</w:t>
      </w:r>
      <w:r>
        <w:rPr>
          <w:spacing w:val="-1"/>
          <w:sz w:val="12"/>
        </w:rPr>
        <w:t xml:space="preserve"> </w:t>
      </w:r>
      <w:r>
        <w:rPr>
          <w:sz w:val="12"/>
        </w:rPr>
        <w:t>más</w:t>
      </w:r>
      <w:r>
        <w:rPr>
          <w:spacing w:val="-1"/>
          <w:sz w:val="12"/>
        </w:rPr>
        <w:t xml:space="preserve"> </w:t>
      </w:r>
      <w:r>
        <w:rPr>
          <w:sz w:val="12"/>
        </w:rPr>
        <w:t>corta</w:t>
      </w:r>
      <w:r>
        <w:rPr>
          <w:spacing w:val="-1"/>
          <w:sz w:val="12"/>
        </w:rPr>
        <w:t xml:space="preserve"> </w:t>
      </w:r>
      <w:r>
        <w:rPr>
          <w:sz w:val="12"/>
        </w:rPr>
        <w:t>“garantizar</w:t>
      </w:r>
      <w:r>
        <w:rPr>
          <w:spacing w:val="-1"/>
          <w:sz w:val="12"/>
        </w:rPr>
        <w:t xml:space="preserve"> </w:t>
      </w:r>
      <w:r>
        <w:rPr>
          <w:sz w:val="12"/>
        </w:rPr>
        <w:t>el</w:t>
      </w:r>
      <w:r>
        <w:rPr>
          <w:spacing w:val="-1"/>
          <w:sz w:val="12"/>
        </w:rPr>
        <w:t xml:space="preserve"> </w:t>
      </w:r>
      <w:r>
        <w:rPr>
          <w:sz w:val="12"/>
        </w:rPr>
        <w:t>cumplimiento</w:t>
      </w:r>
      <w:r>
        <w:rPr>
          <w:spacing w:val="-1"/>
          <w:sz w:val="12"/>
        </w:rPr>
        <w:t xml:space="preserve"> </w:t>
      </w:r>
      <w:r>
        <w:rPr>
          <w:sz w:val="12"/>
        </w:rPr>
        <w:t>de</w:t>
      </w:r>
      <w:r>
        <w:rPr>
          <w:spacing w:val="-1"/>
          <w:sz w:val="12"/>
        </w:rPr>
        <w:t xml:space="preserve"> </w:t>
      </w:r>
      <w:r>
        <w:rPr>
          <w:sz w:val="12"/>
        </w:rPr>
        <w:t>las</w:t>
      </w:r>
      <w:r>
        <w:rPr>
          <w:spacing w:val="-1"/>
          <w:sz w:val="12"/>
        </w:rPr>
        <w:t xml:space="preserve"> </w:t>
      </w:r>
      <w:r>
        <w:rPr>
          <w:sz w:val="12"/>
        </w:rPr>
        <w:t>disposiciones</w:t>
      </w:r>
      <w:r>
        <w:rPr>
          <w:spacing w:val="-1"/>
          <w:sz w:val="12"/>
        </w:rPr>
        <w:t xml:space="preserve"> </w:t>
      </w:r>
      <w:r>
        <w:rPr>
          <w:sz w:val="12"/>
        </w:rPr>
        <w:t>de</w:t>
      </w:r>
      <w:r>
        <w:rPr>
          <w:spacing w:val="-1"/>
          <w:sz w:val="12"/>
        </w:rPr>
        <w:t xml:space="preserve"> </w:t>
      </w:r>
      <w:r>
        <w:rPr>
          <w:sz w:val="12"/>
        </w:rPr>
        <w:t>igualdad”. Ver</w:t>
      </w:r>
      <w:r>
        <w:rPr>
          <w:spacing w:val="40"/>
          <w:sz w:val="12"/>
        </w:rPr>
        <w:t xml:space="preserve"> </w:t>
      </w:r>
      <w:r>
        <w:rPr>
          <w:sz w:val="12"/>
        </w:rPr>
        <w:t>Comité sobre los Derechos de las Personas con Discapacidad, observación general núm. 6 (2018), párr. 73(i). Véase también la Directiva 2000/43/CE del</w:t>
      </w:r>
      <w:r>
        <w:rPr>
          <w:spacing w:val="40"/>
          <w:sz w:val="12"/>
        </w:rPr>
        <w:t xml:space="preserve"> </w:t>
      </w:r>
      <w:r>
        <w:rPr>
          <w:sz w:val="12"/>
        </w:rPr>
        <w:t>Consejo, de 29 de junio de 2000, por la que se aplica el principio de igualdad de trato entre las personas independientemente de su origen racial o étnico, art.</w:t>
      </w:r>
    </w:p>
    <w:p w14:paraId="32BBAE30" w14:textId="77777777" w:rsidR="0014798C" w:rsidRDefault="004E1F0B">
      <w:pPr>
        <w:spacing w:before="4" w:line="312" w:lineRule="auto"/>
        <w:ind w:left="1369" w:right="1272" w:hanging="2"/>
        <w:rPr>
          <w:sz w:val="12"/>
        </w:rPr>
      </w:pPr>
      <w:r>
        <w:rPr>
          <w:w w:val="90"/>
          <w:sz w:val="12"/>
        </w:rPr>
        <w:t xml:space="preserve">9; </w:t>
      </w:r>
      <w:r>
        <w:rPr>
          <w:sz w:val="12"/>
        </w:rPr>
        <w:t>Directiva 2000/78/CE del Consejo, de 27 de noviembre de 2000, por la que se establece un marco general para la igualdad de trato en el empleo y la ocupación, art.</w:t>
      </w:r>
      <w:r>
        <w:rPr>
          <w:spacing w:val="40"/>
          <w:sz w:val="12"/>
        </w:rPr>
        <w:t xml:space="preserve"> </w:t>
      </w:r>
      <w:r>
        <w:rPr>
          <w:w w:val="90"/>
          <w:sz w:val="12"/>
        </w:rPr>
        <w:t xml:space="preserve">11; </w:t>
      </w:r>
      <w:r>
        <w:rPr>
          <w:sz w:val="12"/>
        </w:rPr>
        <w:t>Directiva 2004/113/CE del Consejo, de 13 de diciembre de 2004, por la que se aplica el principio de igualdad de trato entre hombres y mujeres en el acceso y</w:t>
      </w:r>
      <w:r>
        <w:rPr>
          <w:spacing w:val="40"/>
          <w:sz w:val="12"/>
        </w:rPr>
        <w:t xml:space="preserve"> </w:t>
      </w:r>
      <w:r>
        <w:rPr>
          <w:sz w:val="12"/>
        </w:rPr>
        <w:t xml:space="preserve">suministro de bienes y servicios, art. </w:t>
      </w:r>
      <w:r>
        <w:rPr>
          <w:w w:val="90"/>
          <w:sz w:val="12"/>
        </w:rPr>
        <w:t xml:space="preserve">10; </w:t>
      </w:r>
      <w:r>
        <w:rPr>
          <w:sz w:val="12"/>
        </w:rPr>
        <w:t>y Directiva 2006/54/CE del Parlamento Europeo y del Consejo, de 5 de julio de 2006, sobre la aplicación del principio</w:t>
      </w:r>
    </w:p>
    <w:p w14:paraId="6516488B" w14:textId="77777777" w:rsidR="0014798C" w:rsidRDefault="004E1F0B">
      <w:pPr>
        <w:spacing w:before="1"/>
        <w:ind w:left="1366"/>
        <w:rPr>
          <w:sz w:val="12"/>
        </w:rPr>
      </w:pPr>
      <w:r>
        <w:rPr>
          <w:sz w:val="12"/>
        </w:rPr>
        <w:t>de</w:t>
      </w:r>
      <w:r>
        <w:rPr>
          <w:spacing w:val="-1"/>
          <w:sz w:val="12"/>
        </w:rPr>
        <w:t xml:space="preserve"> </w:t>
      </w:r>
      <w:r>
        <w:rPr>
          <w:sz w:val="12"/>
        </w:rPr>
        <w:t>igualdad de oportunidades e igualdad de trato entre hombres y mujeres en materia de empleo y ocupación (refundición),</w:t>
      </w:r>
      <w:r>
        <w:rPr>
          <w:spacing w:val="1"/>
          <w:sz w:val="12"/>
        </w:rPr>
        <w:t xml:space="preserve"> </w:t>
      </w:r>
      <w:r>
        <w:rPr>
          <w:sz w:val="12"/>
        </w:rPr>
        <w:t xml:space="preserve">art. </w:t>
      </w:r>
      <w:r>
        <w:rPr>
          <w:spacing w:val="-5"/>
          <w:sz w:val="12"/>
        </w:rPr>
        <w:t>24.</w:t>
      </w:r>
    </w:p>
    <w:p w14:paraId="22E9E5EC" w14:textId="77777777" w:rsidR="0014798C" w:rsidRDefault="0014798C">
      <w:pPr>
        <w:pStyle w:val="Textoindependiente"/>
        <w:rPr>
          <w:sz w:val="12"/>
        </w:rPr>
      </w:pPr>
    </w:p>
    <w:p w14:paraId="02265805" w14:textId="77777777" w:rsidR="0014798C" w:rsidRDefault="0014798C">
      <w:pPr>
        <w:pStyle w:val="Textoindependiente"/>
        <w:spacing w:before="3"/>
        <w:rPr>
          <w:sz w:val="12"/>
        </w:rPr>
      </w:pPr>
    </w:p>
    <w:p w14:paraId="140B5DA9" w14:textId="77777777" w:rsidR="0014798C" w:rsidRDefault="004E1F0B">
      <w:pPr>
        <w:ind w:left="1107"/>
        <w:rPr>
          <w:sz w:val="12"/>
        </w:rPr>
      </w:pPr>
      <w:r>
        <w:rPr>
          <w:sz w:val="12"/>
        </w:rPr>
        <w:t>358</w:t>
      </w:r>
      <w:r>
        <w:rPr>
          <w:spacing w:val="-5"/>
          <w:sz w:val="12"/>
        </w:rPr>
        <w:t xml:space="preserve"> </w:t>
      </w:r>
      <w:r>
        <w:rPr>
          <w:sz w:val="12"/>
        </w:rPr>
        <w:t>arte.</w:t>
      </w:r>
      <w:r>
        <w:rPr>
          <w:spacing w:val="-5"/>
          <w:sz w:val="12"/>
        </w:rPr>
        <w:t xml:space="preserve"> </w:t>
      </w:r>
      <w:r>
        <w:rPr>
          <w:sz w:val="12"/>
        </w:rPr>
        <w:t>10</w:t>
      </w:r>
      <w:r>
        <w:rPr>
          <w:spacing w:val="-4"/>
          <w:sz w:val="12"/>
        </w:rPr>
        <w:t xml:space="preserve"> </w:t>
      </w:r>
      <w:r>
        <w:rPr>
          <w:sz w:val="12"/>
        </w:rPr>
        <w:t>(b)</w:t>
      </w:r>
      <w:r>
        <w:rPr>
          <w:spacing w:val="-5"/>
          <w:sz w:val="12"/>
        </w:rPr>
        <w:t xml:space="preserve"> </w:t>
      </w:r>
      <w:r>
        <w:rPr>
          <w:spacing w:val="-2"/>
          <w:sz w:val="12"/>
        </w:rPr>
        <w:t>(</w:t>
      </w:r>
      <w:proofErr w:type="spellStart"/>
      <w:r>
        <w:rPr>
          <w:spacing w:val="-2"/>
          <w:sz w:val="12"/>
        </w:rPr>
        <w:t>iv</w:t>
      </w:r>
      <w:proofErr w:type="spellEnd"/>
      <w:r>
        <w:rPr>
          <w:spacing w:val="-2"/>
          <w:sz w:val="12"/>
        </w:rPr>
        <w:t>).</w:t>
      </w:r>
    </w:p>
    <w:p w14:paraId="1314C576" w14:textId="77777777" w:rsidR="0014798C" w:rsidRDefault="0014798C">
      <w:pPr>
        <w:pStyle w:val="Textoindependiente"/>
        <w:rPr>
          <w:sz w:val="20"/>
        </w:rPr>
      </w:pPr>
    </w:p>
    <w:p w14:paraId="1EE7F8AA" w14:textId="77777777" w:rsidR="0014798C" w:rsidRDefault="0014798C">
      <w:pPr>
        <w:pStyle w:val="Textoindependiente"/>
        <w:spacing w:before="172"/>
        <w:rPr>
          <w:sz w:val="20"/>
        </w:rPr>
      </w:pPr>
    </w:p>
    <w:p w14:paraId="443B5F75" w14:textId="77777777" w:rsidR="0014798C" w:rsidRDefault="004E1F0B">
      <w:pPr>
        <w:ind w:right="716"/>
        <w:jc w:val="right"/>
        <w:rPr>
          <w:sz w:val="20"/>
        </w:rPr>
      </w:pPr>
      <w:r>
        <w:rPr>
          <w:spacing w:val="-5"/>
          <w:sz w:val="20"/>
        </w:rPr>
        <w:t>47</w:t>
      </w:r>
    </w:p>
    <w:p w14:paraId="34C9F335" w14:textId="77777777" w:rsidR="0014798C" w:rsidRDefault="0014798C">
      <w:pPr>
        <w:jc w:val="right"/>
        <w:rPr>
          <w:sz w:val="20"/>
        </w:rPr>
        <w:sectPr w:rsidR="0014798C" w:rsidSect="00F265E4">
          <w:type w:val="continuous"/>
          <w:pgSz w:w="11900" w:h="16820"/>
          <w:pgMar w:top="40" w:right="0" w:bottom="280" w:left="200" w:header="121" w:footer="0" w:gutter="0"/>
          <w:cols w:space="720"/>
        </w:sectPr>
      </w:pPr>
    </w:p>
    <w:p w14:paraId="4283FAB7" w14:textId="77777777" w:rsidR="0014798C" w:rsidRDefault="0014798C">
      <w:pPr>
        <w:pStyle w:val="Textoindependiente"/>
        <w:spacing w:before="85"/>
        <w:rPr>
          <w:sz w:val="12"/>
        </w:rPr>
      </w:pPr>
    </w:p>
    <w:p w14:paraId="5C361CBD" w14:textId="77777777" w:rsidR="0014798C" w:rsidRDefault="004E1F0B">
      <w:pPr>
        <w:ind w:left="1111"/>
        <w:rPr>
          <w:sz w:val="12"/>
        </w:rPr>
      </w:pPr>
      <w:r>
        <w:rPr>
          <w:color w:val="00AC59"/>
          <w:sz w:val="12"/>
        </w:rPr>
        <w:t>PROTECCIÓN</w:t>
      </w:r>
      <w:r>
        <w:rPr>
          <w:color w:val="00AC59"/>
          <w:spacing w:val="6"/>
          <w:sz w:val="12"/>
        </w:rPr>
        <w:t xml:space="preserve"> </w:t>
      </w:r>
      <w:r>
        <w:rPr>
          <w:color w:val="00AC59"/>
          <w:sz w:val="12"/>
        </w:rPr>
        <w:t>DE</w:t>
      </w:r>
      <w:r>
        <w:rPr>
          <w:color w:val="00AC59"/>
          <w:spacing w:val="7"/>
          <w:sz w:val="12"/>
        </w:rPr>
        <w:t xml:space="preserve"> </w:t>
      </w:r>
      <w:r>
        <w:rPr>
          <w:color w:val="00AC59"/>
          <w:sz w:val="12"/>
        </w:rPr>
        <w:t>LOS</w:t>
      </w:r>
      <w:r>
        <w:rPr>
          <w:color w:val="00AC59"/>
          <w:spacing w:val="8"/>
          <w:sz w:val="12"/>
        </w:rPr>
        <w:t xml:space="preserve"> </w:t>
      </w:r>
      <w:r>
        <w:rPr>
          <w:color w:val="00AC59"/>
          <w:sz w:val="12"/>
        </w:rPr>
        <w:t>DERECHOS</w:t>
      </w:r>
      <w:r>
        <w:rPr>
          <w:color w:val="00AC59"/>
          <w:spacing w:val="8"/>
          <w:sz w:val="12"/>
        </w:rPr>
        <w:t xml:space="preserve"> </w:t>
      </w:r>
      <w:r>
        <w:rPr>
          <w:color w:val="00AC59"/>
          <w:sz w:val="12"/>
        </w:rPr>
        <w:t>DE</w:t>
      </w:r>
      <w:r>
        <w:rPr>
          <w:color w:val="00AC59"/>
          <w:spacing w:val="6"/>
          <w:sz w:val="12"/>
        </w:rPr>
        <w:t xml:space="preserve"> </w:t>
      </w:r>
      <w:r>
        <w:rPr>
          <w:color w:val="00AC59"/>
          <w:sz w:val="12"/>
        </w:rPr>
        <w:t>LAS</w:t>
      </w:r>
      <w:r>
        <w:rPr>
          <w:color w:val="00AC59"/>
          <w:spacing w:val="7"/>
          <w:sz w:val="12"/>
        </w:rPr>
        <w:t xml:space="preserve"> </w:t>
      </w:r>
      <w:r>
        <w:rPr>
          <w:color w:val="00AC59"/>
          <w:sz w:val="12"/>
        </w:rPr>
        <w:t>MINORÍAS:</w:t>
      </w:r>
      <w:r>
        <w:rPr>
          <w:color w:val="00AC59"/>
          <w:spacing w:val="8"/>
          <w:sz w:val="12"/>
        </w:rPr>
        <w:t xml:space="preserve"> </w:t>
      </w:r>
      <w:r>
        <w:rPr>
          <w:color w:val="00AC59"/>
          <w:sz w:val="12"/>
        </w:rPr>
        <w:t>una</w:t>
      </w:r>
      <w:r>
        <w:rPr>
          <w:color w:val="00AC59"/>
          <w:spacing w:val="7"/>
          <w:sz w:val="12"/>
        </w:rPr>
        <w:t xml:space="preserve"> </w:t>
      </w:r>
      <w:r>
        <w:rPr>
          <w:color w:val="00AC59"/>
          <w:sz w:val="12"/>
        </w:rPr>
        <w:t>guía</w:t>
      </w:r>
      <w:r>
        <w:rPr>
          <w:color w:val="00AC59"/>
          <w:spacing w:val="6"/>
          <w:sz w:val="12"/>
        </w:rPr>
        <w:t xml:space="preserve"> </w:t>
      </w:r>
      <w:r>
        <w:rPr>
          <w:color w:val="00AC59"/>
          <w:sz w:val="12"/>
        </w:rPr>
        <w:t>práctica</w:t>
      </w:r>
      <w:r>
        <w:rPr>
          <w:color w:val="00AC59"/>
          <w:spacing w:val="7"/>
          <w:sz w:val="12"/>
        </w:rPr>
        <w:t xml:space="preserve"> </w:t>
      </w:r>
      <w:r>
        <w:rPr>
          <w:color w:val="00AC59"/>
          <w:sz w:val="12"/>
        </w:rPr>
        <w:t>para</w:t>
      </w:r>
      <w:r>
        <w:rPr>
          <w:color w:val="00AC59"/>
          <w:spacing w:val="8"/>
          <w:sz w:val="12"/>
        </w:rPr>
        <w:t xml:space="preserve"> </w:t>
      </w:r>
      <w:r>
        <w:rPr>
          <w:color w:val="00AC59"/>
          <w:sz w:val="12"/>
        </w:rPr>
        <w:t>desarrollar</w:t>
      </w:r>
      <w:r>
        <w:rPr>
          <w:color w:val="00AC59"/>
          <w:spacing w:val="6"/>
          <w:sz w:val="12"/>
        </w:rPr>
        <w:t xml:space="preserve"> </w:t>
      </w:r>
      <w:r>
        <w:rPr>
          <w:color w:val="00AC59"/>
          <w:sz w:val="12"/>
        </w:rPr>
        <w:t>una</w:t>
      </w:r>
      <w:r>
        <w:rPr>
          <w:color w:val="00AC59"/>
          <w:spacing w:val="7"/>
          <w:sz w:val="12"/>
        </w:rPr>
        <w:t xml:space="preserve"> </w:t>
      </w:r>
      <w:r>
        <w:rPr>
          <w:color w:val="00AC59"/>
          <w:sz w:val="12"/>
        </w:rPr>
        <w:t>legislación</w:t>
      </w:r>
      <w:r>
        <w:rPr>
          <w:color w:val="00AC59"/>
          <w:spacing w:val="8"/>
          <w:sz w:val="12"/>
        </w:rPr>
        <w:t xml:space="preserve"> </w:t>
      </w:r>
      <w:r>
        <w:rPr>
          <w:color w:val="00AC59"/>
          <w:sz w:val="12"/>
        </w:rPr>
        <w:t>integral</w:t>
      </w:r>
      <w:r>
        <w:rPr>
          <w:color w:val="00AC59"/>
          <w:spacing w:val="7"/>
          <w:sz w:val="12"/>
        </w:rPr>
        <w:t xml:space="preserve"> </w:t>
      </w:r>
      <w:r>
        <w:rPr>
          <w:color w:val="00AC59"/>
          <w:sz w:val="12"/>
        </w:rPr>
        <w:t>contra</w:t>
      </w:r>
      <w:r>
        <w:rPr>
          <w:color w:val="00AC59"/>
          <w:spacing w:val="6"/>
          <w:sz w:val="12"/>
        </w:rPr>
        <w:t xml:space="preserve"> </w:t>
      </w:r>
      <w:r>
        <w:rPr>
          <w:color w:val="00AC59"/>
          <w:sz w:val="12"/>
        </w:rPr>
        <w:t>la</w:t>
      </w:r>
      <w:r>
        <w:rPr>
          <w:color w:val="00AC59"/>
          <w:spacing w:val="7"/>
          <w:sz w:val="12"/>
        </w:rPr>
        <w:t xml:space="preserve"> </w:t>
      </w:r>
      <w:r>
        <w:rPr>
          <w:color w:val="00AC59"/>
          <w:spacing w:val="-2"/>
          <w:sz w:val="12"/>
        </w:rPr>
        <w:t>discriminación</w:t>
      </w:r>
    </w:p>
    <w:p w14:paraId="22F96BD5" w14:textId="77777777" w:rsidR="0014798C" w:rsidRDefault="0014798C">
      <w:pPr>
        <w:pStyle w:val="Textoindependiente"/>
      </w:pPr>
    </w:p>
    <w:p w14:paraId="55AA96CE" w14:textId="77777777" w:rsidR="0014798C" w:rsidRDefault="0014798C">
      <w:pPr>
        <w:pStyle w:val="Textoindependiente"/>
      </w:pPr>
    </w:p>
    <w:p w14:paraId="0C68412B" w14:textId="77777777" w:rsidR="0014798C" w:rsidRDefault="0014798C">
      <w:pPr>
        <w:pStyle w:val="Textoindependiente"/>
      </w:pPr>
    </w:p>
    <w:p w14:paraId="1698CA6B" w14:textId="77777777" w:rsidR="0014798C" w:rsidRDefault="0014798C">
      <w:pPr>
        <w:pStyle w:val="Textoindependiente"/>
      </w:pPr>
    </w:p>
    <w:p w14:paraId="7E9A1C65" w14:textId="77777777" w:rsidR="0014798C" w:rsidRDefault="0014798C">
      <w:pPr>
        <w:pStyle w:val="Textoindependiente"/>
        <w:spacing w:before="68"/>
      </w:pPr>
    </w:p>
    <w:p w14:paraId="7940515D" w14:textId="77777777" w:rsidR="0014798C" w:rsidRDefault="004E1F0B">
      <w:pPr>
        <w:pStyle w:val="Textoindependiente"/>
        <w:spacing w:line="326" w:lineRule="auto"/>
        <w:ind w:left="1107" w:right="1335" w:hanging="1"/>
      </w:pPr>
      <w:r>
        <w:t>El</w:t>
      </w:r>
      <w:r>
        <w:rPr>
          <w:spacing w:val="9"/>
        </w:rPr>
        <w:t xml:space="preserve"> </w:t>
      </w:r>
      <w:r>
        <w:t>alcance</w:t>
      </w:r>
      <w:r>
        <w:rPr>
          <w:spacing w:val="9"/>
        </w:rPr>
        <w:t xml:space="preserve"> </w:t>
      </w:r>
      <w:r>
        <w:t>material</w:t>
      </w:r>
      <w:r>
        <w:rPr>
          <w:spacing w:val="9"/>
        </w:rPr>
        <w:t xml:space="preserve"> </w:t>
      </w:r>
      <w:r>
        <w:t>de</w:t>
      </w:r>
      <w:r>
        <w:rPr>
          <w:spacing w:val="9"/>
        </w:rPr>
        <w:t xml:space="preserve"> </w:t>
      </w:r>
      <w:r>
        <w:t>la</w:t>
      </w:r>
      <w:r>
        <w:rPr>
          <w:spacing w:val="9"/>
        </w:rPr>
        <w:t xml:space="preserve"> </w:t>
      </w:r>
      <w:r>
        <w:t>legislación</w:t>
      </w:r>
      <w:r>
        <w:rPr>
          <w:spacing w:val="9"/>
        </w:rPr>
        <w:t xml:space="preserve"> </w:t>
      </w:r>
      <w:r>
        <w:t>contra</w:t>
      </w:r>
      <w:r>
        <w:rPr>
          <w:spacing w:val="9"/>
        </w:rPr>
        <w:t xml:space="preserve"> </w:t>
      </w:r>
      <w:r>
        <w:t>la</w:t>
      </w:r>
      <w:r>
        <w:rPr>
          <w:spacing w:val="9"/>
        </w:rPr>
        <w:t xml:space="preserve"> </w:t>
      </w:r>
      <w:r>
        <w:t>discriminación</w:t>
      </w:r>
      <w:r>
        <w:rPr>
          <w:spacing w:val="9"/>
        </w:rPr>
        <w:t xml:space="preserve"> </w:t>
      </w:r>
      <w:r>
        <w:t>está</w:t>
      </w:r>
      <w:r>
        <w:rPr>
          <w:spacing w:val="9"/>
        </w:rPr>
        <w:t xml:space="preserve"> </w:t>
      </w:r>
      <w:r>
        <w:t>determinado</w:t>
      </w:r>
      <w:r>
        <w:rPr>
          <w:spacing w:val="9"/>
        </w:rPr>
        <w:t xml:space="preserve"> </w:t>
      </w:r>
      <w:r>
        <w:t>por</w:t>
      </w:r>
      <w:r>
        <w:rPr>
          <w:spacing w:val="9"/>
        </w:rPr>
        <w:t xml:space="preserve"> </w:t>
      </w:r>
      <w:r>
        <w:t>su</w:t>
      </w:r>
      <w:r>
        <w:rPr>
          <w:spacing w:val="9"/>
        </w:rPr>
        <w:t xml:space="preserve"> </w:t>
      </w:r>
      <w:r>
        <w:t>doble</w:t>
      </w:r>
      <w:r>
        <w:rPr>
          <w:spacing w:val="9"/>
        </w:rPr>
        <w:t xml:space="preserve"> </w:t>
      </w:r>
      <w:r>
        <w:t>función:</w:t>
      </w:r>
      <w:r>
        <w:rPr>
          <w:spacing w:val="10"/>
        </w:rPr>
        <w:t xml:space="preserve"> </w:t>
      </w:r>
      <w:r>
        <w:t>en</w:t>
      </w:r>
      <w:r>
        <w:rPr>
          <w:spacing w:val="9"/>
        </w:rPr>
        <w:t xml:space="preserve"> </w:t>
      </w:r>
      <w:r>
        <w:t>primer</w:t>
      </w:r>
      <w:r>
        <w:rPr>
          <w:spacing w:val="9"/>
        </w:rPr>
        <w:t xml:space="preserve"> </w:t>
      </w:r>
      <w:r>
        <w:t>lugar,</w:t>
      </w:r>
      <w:r>
        <w:rPr>
          <w:spacing w:val="10"/>
        </w:rPr>
        <w:t xml:space="preserve"> </w:t>
      </w:r>
      <w:r>
        <w:t>el</w:t>
      </w:r>
      <w:r>
        <w:rPr>
          <w:spacing w:val="9"/>
        </w:rPr>
        <w:t xml:space="preserve"> </w:t>
      </w:r>
      <w:r>
        <w:t>derecho a</w:t>
      </w:r>
      <w:r>
        <w:rPr>
          <w:spacing w:val="-1"/>
        </w:rPr>
        <w:t xml:space="preserve"> </w:t>
      </w:r>
      <w:r>
        <w:t>la</w:t>
      </w:r>
      <w:r>
        <w:rPr>
          <w:spacing w:val="-1"/>
        </w:rPr>
        <w:t xml:space="preserve"> </w:t>
      </w:r>
      <w:r>
        <w:t>no</w:t>
      </w:r>
      <w:r>
        <w:rPr>
          <w:spacing w:val="-1"/>
        </w:rPr>
        <w:t xml:space="preserve"> </w:t>
      </w:r>
      <w:r>
        <w:t>discriminación</w:t>
      </w:r>
      <w:r>
        <w:rPr>
          <w:spacing w:val="-1"/>
        </w:rPr>
        <w:t xml:space="preserve"> </w:t>
      </w:r>
      <w:r>
        <w:t>es</w:t>
      </w:r>
      <w:r>
        <w:rPr>
          <w:spacing w:val="-1"/>
        </w:rPr>
        <w:t xml:space="preserve"> </w:t>
      </w:r>
      <w:r>
        <w:t>aplicable</w:t>
      </w:r>
      <w:r>
        <w:rPr>
          <w:spacing w:val="-1"/>
        </w:rPr>
        <w:t xml:space="preserve"> </w:t>
      </w:r>
      <w:r>
        <w:t>con</w:t>
      </w:r>
      <w:r>
        <w:rPr>
          <w:spacing w:val="-1"/>
        </w:rPr>
        <w:t xml:space="preserve"> </w:t>
      </w:r>
      <w:r>
        <w:t>respecto</w:t>
      </w:r>
      <w:r>
        <w:rPr>
          <w:spacing w:val="-1"/>
        </w:rPr>
        <w:t xml:space="preserve"> </w:t>
      </w:r>
      <w:r>
        <w:t>a</w:t>
      </w:r>
      <w:r>
        <w:rPr>
          <w:spacing w:val="-1"/>
        </w:rPr>
        <w:t xml:space="preserve"> </w:t>
      </w:r>
      <w:r>
        <w:t>todos</w:t>
      </w:r>
      <w:r>
        <w:rPr>
          <w:spacing w:val="-1"/>
        </w:rPr>
        <w:t xml:space="preserve"> </w:t>
      </w:r>
      <w:r>
        <w:t>los</w:t>
      </w:r>
      <w:r>
        <w:rPr>
          <w:spacing w:val="-1"/>
        </w:rPr>
        <w:t xml:space="preserve"> </w:t>
      </w:r>
      <w:r>
        <w:t>demás</w:t>
      </w:r>
      <w:r>
        <w:rPr>
          <w:spacing w:val="-1"/>
        </w:rPr>
        <w:t xml:space="preserve"> </w:t>
      </w:r>
      <w:r>
        <w:t>derechos</w:t>
      </w:r>
      <w:r>
        <w:rPr>
          <w:spacing w:val="-1"/>
        </w:rPr>
        <w:t xml:space="preserve"> </w:t>
      </w:r>
      <w:r>
        <w:t>humanos;359</w:t>
      </w:r>
      <w:r>
        <w:rPr>
          <w:spacing w:val="-1"/>
        </w:rPr>
        <w:t xml:space="preserve"> </w:t>
      </w:r>
      <w:r>
        <w:t>en</w:t>
      </w:r>
      <w:r>
        <w:rPr>
          <w:spacing w:val="-1"/>
        </w:rPr>
        <w:t xml:space="preserve"> </w:t>
      </w:r>
      <w:r>
        <w:t>segundo</w:t>
      </w:r>
      <w:r>
        <w:rPr>
          <w:spacing w:val="-1"/>
        </w:rPr>
        <w:t xml:space="preserve"> </w:t>
      </w:r>
      <w:r>
        <w:t>lugar, existe</w:t>
      </w:r>
      <w:r>
        <w:rPr>
          <w:spacing w:val="-1"/>
        </w:rPr>
        <w:t xml:space="preserve"> </w:t>
      </w:r>
      <w:r>
        <w:t>un</w:t>
      </w:r>
      <w:r>
        <w:rPr>
          <w:spacing w:val="-1"/>
        </w:rPr>
        <w:t xml:space="preserve"> </w:t>
      </w:r>
      <w:r>
        <w:t>derecho autónomo</w:t>
      </w:r>
      <w:r>
        <w:rPr>
          <w:spacing w:val="10"/>
        </w:rPr>
        <w:t xml:space="preserve"> </w:t>
      </w:r>
      <w:r>
        <w:t>a</w:t>
      </w:r>
      <w:r>
        <w:rPr>
          <w:spacing w:val="10"/>
        </w:rPr>
        <w:t xml:space="preserve"> </w:t>
      </w:r>
      <w:r>
        <w:t>la</w:t>
      </w:r>
      <w:r>
        <w:rPr>
          <w:spacing w:val="10"/>
        </w:rPr>
        <w:t xml:space="preserve"> </w:t>
      </w:r>
      <w:r>
        <w:t>no</w:t>
      </w:r>
      <w:r>
        <w:rPr>
          <w:spacing w:val="10"/>
        </w:rPr>
        <w:t xml:space="preserve"> </w:t>
      </w:r>
      <w:r>
        <w:t>discriminación</w:t>
      </w:r>
      <w:r>
        <w:rPr>
          <w:spacing w:val="10"/>
        </w:rPr>
        <w:t xml:space="preserve"> </w:t>
      </w:r>
      <w:r>
        <w:t>que</w:t>
      </w:r>
      <w:r>
        <w:rPr>
          <w:spacing w:val="10"/>
        </w:rPr>
        <w:t xml:space="preserve"> </w:t>
      </w:r>
      <w:r>
        <w:t>se</w:t>
      </w:r>
      <w:r>
        <w:rPr>
          <w:spacing w:val="10"/>
        </w:rPr>
        <w:t xml:space="preserve"> </w:t>
      </w:r>
      <w:r>
        <w:t>aplica</w:t>
      </w:r>
      <w:r>
        <w:rPr>
          <w:spacing w:val="10"/>
        </w:rPr>
        <w:t xml:space="preserve"> </w:t>
      </w:r>
      <w:r>
        <w:t>en</w:t>
      </w:r>
      <w:r>
        <w:rPr>
          <w:spacing w:val="10"/>
        </w:rPr>
        <w:t xml:space="preserve"> </w:t>
      </w:r>
      <w:r>
        <w:t>relación</w:t>
      </w:r>
      <w:r>
        <w:rPr>
          <w:spacing w:val="10"/>
        </w:rPr>
        <w:t xml:space="preserve"> </w:t>
      </w:r>
      <w:r>
        <w:t>con</w:t>
      </w:r>
      <w:r>
        <w:rPr>
          <w:spacing w:val="10"/>
        </w:rPr>
        <w:t xml:space="preserve"> </w:t>
      </w:r>
      <w:r>
        <w:t>todas</w:t>
      </w:r>
      <w:r>
        <w:rPr>
          <w:spacing w:val="10"/>
        </w:rPr>
        <w:t xml:space="preserve"> </w:t>
      </w:r>
      <w:r>
        <w:t>las</w:t>
      </w:r>
      <w:r>
        <w:rPr>
          <w:spacing w:val="10"/>
        </w:rPr>
        <w:t xml:space="preserve"> </w:t>
      </w:r>
      <w:r>
        <w:t>áreas</w:t>
      </w:r>
      <w:r>
        <w:rPr>
          <w:spacing w:val="10"/>
        </w:rPr>
        <w:t xml:space="preserve"> </w:t>
      </w:r>
      <w:r>
        <w:t>de</w:t>
      </w:r>
      <w:r>
        <w:rPr>
          <w:spacing w:val="10"/>
        </w:rPr>
        <w:t xml:space="preserve"> </w:t>
      </w:r>
      <w:r>
        <w:t>actividad</w:t>
      </w:r>
      <w:r>
        <w:rPr>
          <w:spacing w:val="10"/>
        </w:rPr>
        <w:t xml:space="preserve"> </w:t>
      </w:r>
      <w:r>
        <w:t>reguladas</w:t>
      </w:r>
      <w:r>
        <w:rPr>
          <w:spacing w:val="10"/>
        </w:rPr>
        <w:t xml:space="preserve"> </w:t>
      </w:r>
      <w:r>
        <w:t>por</w:t>
      </w:r>
      <w:r>
        <w:rPr>
          <w:spacing w:val="10"/>
        </w:rPr>
        <w:t xml:space="preserve"> </w:t>
      </w:r>
      <w:r>
        <w:t>la</w:t>
      </w:r>
      <w:r>
        <w:rPr>
          <w:spacing w:val="10"/>
        </w:rPr>
        <w:t xml:space="preserve"> </w:t>
      </w:r>
      <w:r>
        <w:t>ley.360</w:t>
      </w:r>
      <w:r>
        <w:rPr>
          <w:spacing w:val="10"/>
        </w:rPr>
        <w:t xml:space="preserve"> </w:t>
      </w:r>
      <w:r>
        <w:t>El</w:t>
      </w:r>
      <w:r>
        <w:rPr>
          <w:spacing w:val="10"/>
        </w:rPr>
        <w:t xml:space="preserve"> </w:t>
      </w:r>
      <w:r>
        <w:t>alcance de la ley antidiscriminatoria se extiende tanto a la esfera pública como a la privada e implica obligaciones relacionadas con las acciones de los actores privados.361</w:t>
      </w:r>
    </w:p>
    <w:p w14:paraId="337E5499" w14:textId="77777777" w:rsidR="0014798C" w:rsidRDefault="0014798C">
      <w:pPr>
        <w:pStyle w:val="Textoindependiente"/>
      </w:pPr>
    </w:p>
    <w:p w14:paraId="10803625" w14:textId="77777777" w:rsidR="0014798C" w:rsidRDefault="0014798C">
      <w:pPr>
        <w:pStyle w:val="Textoindependiente"/>
        <w:spacing w:before="103"/>
      </w:pPr>
    </w:p>
    <w:p w14:paraId="21A9E4A3" w14:textId="77777777" w:rsidR="0014798C" w:rsidRDefault="004E1F0B">
      <w:pPr>
        <w:pStyle w:val="Textoindependiente"/>
        <w:spacing w:line="319" w:lineRule="auto"/>
        <w:ind w:left="1342" w:right="4198" w:hanging="7"/>
      </w:pPr>
      <w:r>
        <w:rPr>
          <w:noProof/>
        </w:rPr>
        <w:drawing>
          <wp:anchor distT="0" distB="0" distL="0" distR="0" simplePos="0" relativeHeight="251658396" behindDoc="1" locked="0" layoutInCell="1" allowOverlap="1" wp14:anchorId="3F048B9E" wp14:editId="2C6D0A23">
            <wp:simplePos x="0" y="0"/>
            <wp:positionH relativeFrom="page">
              <wp:posOffset>808662</wp:posOffset>
            </wp:positionH>
            <wp:positionV relativeFrom="paragraph">
              <wp:posOffset>-168888</wp:posOffset>
            </wp:positionV>
            <wp:extent cx="5952653" cy="5108942"/>
            <wp:effectExtent l="0" t="0" r="0" b="0"/>
            <wp:wrapNone/>
            <wp:docPr id="137" name="Image 13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37" name="Image 137"/>
                    <pic:cNvPicPr/>
                  </pic:nvPicPr>
                  <pic:blipFill>
                    <a:blip r:embed="rId131" cstate="print"/>
                    <a:stretch>
                      <a:fillRect/>
                    </a:stretch>
                  </pic:blipFill>
                  <pic:spPr>
                    <a:xfrm>
                      <a:off x="0" y="0"/>
                      <a:ext cx="5952653" cy="5108942"/>
                    </a:xfrm>
                    <a:prstGeom prst="rect">
                      <a:avLst/>
                    </a:prstGeom>
                  </pic:spPr>
                </pic:pic>
              </a:graphicData>
            </a:graphic>
          </wp:anchor>
        </w:drawing>
      </w:r>
      <w:r>
        <w:t>SUDÁFRICA: PROMOCIÓN DE LA IGUALDAD Y PREVENCIÓN DE DESAJUSTES LEY DE DISCRIMINACIÓN</w:t>
      </w:r>
    </w:p>
    <w:p w14:paraId="0DB507BA" w14:textId="77777777" w:rsidR="0014798C" w:rsidRDefault="004E1F0B">
      <w:pPr>
        <w:spacing w:before="120"/>
        <w:ind w:left="1337"/>
        <w:rPr>
          <w:sz w:val="19"/>
        </w:rPr>
      </w:pPr>
      <w:r>
        <w:rPr>
          <w:sz w:val="19"/>
        </w:rPr>
        <w:t>Sección</w:t>
      </w:r>
      <w:r>
        <w:rPr>
          <w:spacing w:val="7"/>
          <w:sz w:val="19"/>
        </w:rPr>
        <w:t xml:space="preserve"> </w:t>
      </w:r>
      <w:r>
        <w:rPr>
          <w:spacing w:val="-10"/>
          <w:sz w:val="19"/>
        </w:rPr>
        <w:t>5</w:t>
      </w:r>
    </w:p>
    <w:p w14:paraId="74F61B1F" w14:textId="77777777" w:rsidR="0014798C" w:rsidRDefault="0014798C">
      <w:pPr>
        <w:pStyle w:val="Textoindependiente"/>
      </w:pPr>
    </w:p>
    <w:p w14:paraId="207B6914" w14:textId="77777777" w:rsidR="0014798C" w:rsidRDefault="004E1F0B">
      <w:pPr>
        <w:pStyle w:val="Textoindependiente"/>
        <w:ind w:left="1346"/>
      </w:pPr>
      <w:r>
        <w:t>“(1)</w:t>
      </w:r>
      <w:r>
        <w:rPr>
          <w:spacing w:val="1"/>
        </w:rPr>
        <w:t xml:space="preserve"> </w:t>
      </w:r>
      <w:r>
        <w:t>Esta</w:t>
      </w:r>
      <w:r>
        <w:rPr>
          <w:spacing w:val="1"/>
        </w:rPr>
        <w:t xml:space="preserve"> </w:t>
      </w:r>
      <w:r>
        <w:t>Ley</w:t>
      </w:r>
      <w:r>
        <w:rPr>
          <w:spacing w:val="1"/>
        </w:rPr>
        <w:t xml:space="preserve"> </w:t>
      </w:r>
      <w:r>
        <w:t>obliga</w:t>
      </w:r>
      <w:r>
        <w:rPr>
          <w:spacing w:val="1"/>
        </w:rPr>
        <w:t xml:space="preserve"> </w:t>
      </w:r>
      <w:r>
        <w:t>al</w:t>
      </w:r>
      <w:r>
        <w:rPr>
          <w:spacing w:val="2"/>
        </w:rPr>
        <w:t xml:space="preserve"> </w:t>
      </w:r>
      <w:r>
        <w:t>Estado</w:t>
      </w:r>
      <w:r>
        <w:rPr>
          <w:spacing w:val="1"/>
        </w:rPr>
        <w:t xml:space="preserve"> </w:t>
      </w:r>
      <w:r>
        <w:t>y</w:t>
      </w:r>
      <w:r>
        <w:rPr>
          <w:spacing w:val="1"/>
        </w:rPr>
        <w:t xml:space="preserve"> </w:t>
      </w:r>
      <w:r>
        <w:t>a</w:t>
      </w:r>
      <w:r>
        <w:rPr>
          <w:spacing w:val="1"/>
        </w:rPr>
        <w:t xml:space="preserve"> </w:t>
      </w:r>
      <w:r>
        <w:t>todas</w:t>
      </w:r>
      <w:r>
        <w:rPr>
          <w:spacing w:val="2"/>
        </w:rPr>
        <w:t xml:space="preserve"> </w:t>
      </w:r>
      <w:r>
        <w:t>las</w:t>
      </w:r>
      <w:r>
        <w:rPr>
          <w:spacing w:val="1"/>
        </w:rPr>
        <w:t xml:space="preserve"> </w:t>
      </w:r>
      <w:r>
        <w:rPr>
          <w:spacing w:val="-2"/>
        </w:rPr>
        <w:t>personas”.</w:t>
      </w:r>
    </w:p>
    <w:p w14:paraId="397ADEA3" w14:textId="77777777" w:rsidR="0014798C" w:rsidRDefault="0014798C">
      <w:pPr>
        <w:pStyle w:val="Textoindependiente"/>
        <w:rPr>
          <w:sz w:val="19"/>
        </w:rPr>
      </w:pPr>
    </w:p>
    <w:p w14:paraId="39BBD9CC" w14:textId="77777777" w:rsidR="0014798C" w:rsidRDefault="0014798C">
      <w:pPr>
        <w:pStyle w:val="Textoindependiente"/>
        <w:spacing w:before="148"/>
        <w:rPr>
          <w:sz w:val="19"/>
        </w:rPr>
      </w:pPr>
    </w:p>
    <w:p w14:paraId="769F44FE" w14:textId="77777777" w:rsidR="0014798C" w:rsidRDefault="004E1F0B">
      <w:pPr>
        <w:numPr>
          <w:ilvl w:val="0"/>
          <w:numId w:val="65"/>
        </w:numPr>
        <w:tabs>
          <w:tab w:val="left" w:pos="1341"/>
        </w:tabs>
        <w:ind w:left="1341" w:hanging="226"/>
        <w:rPr>
          <w:sz w:val="19"/>
        </w:rPr>
      </w:pPr>
      <w:r>
        <w:rPr>
          <w:sz w:val="19"/>
        </w:rPr>
        <w:t>No</w:t>
      </w:r>
      <w:r>
        <w:rPr>
          <w:spacing w:val="7"/>
          <w:sz w:val="19"/>
        </w:rPr>
        <w:t xml:space="preserve"> </w:t>
      </w:r>
      <w:r>
        <w:rPr>
          <w:sz w:val="19"/>
        </w:rPr>
        <w:t>discriminación</w:t>
      </w:r>
      <w:r>
        <w:rPr>
          <w:spacing w:val="7"/>
          <w:sz w:val="19"/>
        </w:rPr>
        <w:t xml:space="preserve"> </w:t>
      </w:r>
      <w:r>
        <w:rPr>
          <w:sz w:val="19"/>
        </w:rPr>
        <w:t>en</w:t>
      </w:r>
      <w:r>
        <w:rPr>
          <w:spacing w:val="7"/>
          <w:sz w:val="19"/>
        </w:rPr>
        <w:t xml:space="preserve"> </w:t>
      </w:r>
      <w:r>
        <w:rPr>
          <w:sz w:val="19"/>
        </w:rPr>
        <w:t>el</w:t>
      </w:r>
      <w:r>
        <w:rPr>
          <w:spacing w:val="7"/>
          <w:sz w:val="19"/>
        </w:rPr>
        <w:t xml:space="preserve"> </w:t>
      </w:r>
      <w:r>
        <w:rPr>
          <w:sz w:val="19"/>
        </w:rPr>
        <w:t>disfrute</w:t>
      </w:r>
      <w:r>
        <w:rPr>
          <w:spacing w:val="6"/>
          <w:sz w:val="19"/>
        </w:rPr>
        <w:t xml:space="preserve"> </w:t>
      </w:r>
      <w:r>
        <w:rPr>
          <w:sz w:val="19"/>
        </w:rPr>
        <w:t>de</w:t>
      </w:r>
      <w:r>
        <w:rPr>
          <w:spacing w:val="8"/>
          <w:sz w:val="19"/>
        </w:rPr>
        <w:t xml:space="preserve"> </w:t>
      </w:r>
      <w:r>
        <w:rPr>
          <w:sz w:val="19"/>
        </w:rPr>
        <w:t>los</w:t>
      </w:r>
      <w:r>
        <w:rPr>
          <w:spacing w:val="7"/>
          <w:sz w:val="19"/>
        </w:rPr>
        <w:t xml:space="preserve"> </w:t>
      </w:r>
      <w:r>
        <w:rPr>
          <w:sz w:val="19"/>
        </w:rPr>
        <w:t>derechos</w:t>
      </w:r>
      <w:r>
        <w:rPr>
          <w:spacing w:val="6"/>
          <w:sz w:val="19"/>
        </w:rPr>
        <w:t xml:space="preserve"> </w:t>
      </w:r>
      <w:r>
        <w:rPr>
          <w:spacing w:val="-2"/>
          <w:sz w:val="19"/>
        </w:rPr>
        <w:t>humanos</w:t>
      </w:r>
    </w:p>
    <w:p w14:paraId="5726B4F7" w14:textId="77777777" w:rsidR="0014798C" w:rsidRDefault="004E1F0B">
      <w:pPr>
        <w:pStyle w:val="Textoindependiente"/>
        <w:spacing w:before="113" w:line="326" w:lineRule="auto"/>
        <w:ind w:left="1114" w:right="1553" w:hanging="9"/>
      </w:pPr>
      <w:r>
        <w:t>La no discriminación en el disfrute de los derechos es un principio definitorio del derecho de los derechos humanos.362 El Pacto</w:t>
      </w:r>
      <w:r>
        <w:rPr>
          <w:spacing w:val="12"/>
        </w:rPr>
        <w:t xml:space="preserve"> </w:t>
      </w:r>
      <w:r>
        <w:t>Internacional</w:t>
      </w:r>
      <w:r>
        <w:rPr>
          <w:spacing w:val="13"/>
        </w:rPr>
        <w:t xml:space="preserve"> </w:t>
      </w:r>
      <w:r>
        <w:t>de</w:t>
      </w:r>
      <w:r>
        <w:rPr>
          <w:spacing w:val="13"/>
        </w:rPr>
        <w:t xml:space="preserve"> </w:t>
      </w:r>
      <w:r>
        <w:t>Derechos</w:t>
      </w:r>
      <w:r>
        <w:rPr>
          <w:spacing w:val="13"/>
        </w:rPr>
        <w:t xml:space="preserve"> </w:t>
      </w:r>
      <w:r>
        <w:t>Civiles</w:t>
      </w:r>
      <w:r>
        <w:rPr>
          <w:spacing w:val="13"/>
        </w:rPr>
        <w:t xml:space="preserve"> </w:t>
      </w:r>
      <w:r>
        <w:t>y</w:t>
      </w:r>
      <w:r>
        <w:rPr>
          <w:spacing w:val="13"/>
        </w:rPr>
        <w:t xml:space="preserve"> </w:t>
      </w:r>
      <w:r>
        <w:t>Políticos</w:t>
      </w:r>
      <w:r>
        <w:rPr>
          <w:spacing w:val="12"/>
        </w:rPr>
        <w:t xml:space="preserve"> </w:t>
      </w:r>
      <w:r>
        <w:t>y</w:t>
      </w:r>
      <w:r>
        <w:rPr>
          <w:spacing w:val="13"/>
        </w:rPr>
        <w:t xml:space="preserve"> </w:t>
      </w:r>
      <w:r>
        <w:t>el</w:t>
      </w:r>
      <w:r>
        <w:rPr>
          <w:spacing w:val="13"/>
        </w:rPr>
        <w:t xml:space="preserve"> </w:t>
      </w:r>
      <w:r>
        <w:t>Pacto</w:t>
      </w:r>
      <w:r>
        <w:rPr>
          <w:spacing w:val="12"/>
        </w:rPr>
        <w:t xml:space="preserve"> </w:t>
      </w:r>
      <w:r>
        <w:t>Internacional</w:t>
      </w:r>
      <w:r>
        <w:rPr>
          <w:spacing w:val="13"/>
        </w:rPr>
        <w:t xml:space="preserve"> </w:t>
      </w:r>
      <w:r>
        <w:t>de</w:t>
      </w:r>
      <w:r>
        <w:rPr>
          <w:spacing w:val="13"/>
        </w:rPr>
        <w:t xml:space="preserve"> </w:t>
      </w:r>
      <w:r>
        <w:t>Derechos</w:t>
      </w:r>
      <w:r>
        <w:rPr>
          <w:spacing w:val="13"/>
        </w:rPr>
        <w:t xml:space="preserve"> </w:t>
      </w:r>
      <w:r>
        <w:t>Económicos,</w:t>
      </w:r>
      <w:r>
        <w:rPr>
          <w:spacing w:val="15"/>
        </w:rPr>
        <w:t xml:space="preserve"> </w:t>
      </w:r>
      <w:r>
        <w:t>Sociales</w:t>
      </w:r>
      <w:r>
        <w:rPr>
          <w:spacing w:val="12"/>
        </w:rPr>
        <w:t xml:space="preserve"> </w:t>
      </w:r>
      <w:r>
        <w:t>y</w:t>
      </w:r>
      <w:r>
        <w:rPr>
          <w:spacing w:val="13"/>
        </w:rPr>
        <w:t xml:space="preserve"> </w:t>
      </w:r>
      <w:r>
        <w:t>Culturales</w:t>
      </w:r>
    </w:p>
    <w:p w14:paraId="02F948C4" w14:textId="77777777" w:rsidR="0014798C" w:rsidRDefault="004E1F0B">
      <w:pPr>
        <w:pStyle w:val="Textoindependiente"/>
        <w:spacing w:line="333" w:lineRule="auto"/>
        <w:ind w:left="1105" w:right="992" w:firstLine="4"/>
      </w:pPr>
      <w:r>
        <w:t>prohíben</w:t>
      </w:r>
      <w:r>
        <w:rPr>
          <w:spacing w:val="23"/>
        </w:rPr>
        <w:t xml:space="preserve"> </w:t>
      </w:r>
      <w:r>
        <w:t>la</w:t>
      </w:r>
      <w:r>
        <w:rPr>
          <w:spacing w:val="23"/>
        </w:rPr>
        <w:t xml:space="preserve"> </w:t>
      </w:r>
      <w:r>
        <w:t>discriminación</w:t>
      </w:r>
      <w:r>
        <w:rPr>
          <w:spacing w:val="23"/>
        </w:rPr>
        <w:t xml:space="preserve"> </w:t>
      </w:r>
      <w:r>
        <w:t>con</w:t>
      </w:r>
      <w:r>
        <w:rPr>
          <w:spacing w:val="23"/>
        </w:rPr>
        <w:t xml:space="preserve"> </w:t>
      </w:r>
      <w:r>
        <w:t>respecto</w:t>
      </w:r>
      <w:r>
        <w:rPr>
          <w:spacing w:val="23"/>
        </w:rPr>
        <w:t xml:space="preserve"> </w:t>
      </w:r>
      <w:r>
        <w:t>a</w:t>
      </w:r>
      <w:r>
        <w:rPr>
          <w:spacing w:val="23"/>
        </w:rPr>
        <w:t xml:space="preserve"> </w:t>
      </w:r>
      <w:r>
        <w:t>los</w:t>
      </w:r>
      <w:r>
        <w:rPr>
          <w:spacing w:val="23"/>
        </w:rPr>
        <w:t xml:space="preserve"> </w:t>
      </w:r>
      <w:r>
        <w:t>derechos</w:t>
      </w:r>
      <w:r>
        <w:rPr>
          <w:spacing w:val="23"/>
        </w:rPr>
        <w:t xml:space="preserve"> </w:t>
      </w:r>
      <w:r>
        <w:t>civiles,</w:t>
      </w:r>
      <w:r>
        <w:rPr>
          <w:spacing w:val="23"/>
        </w:rPr>
        <w:t xml:space="preserve"> </w:t>
      </w:r>
      <w:r>
        <w:t>culturales,</w:t>
      </w:r>
      <w:r>
        <w:rPr>
          <w:spacing w:val="24"/>
        </w:rPr>
        <w:t xml:space="preserve"> </w:t>
      </w:r>
      <w:r>
        <w:t>económicos,</w:t>
      </w:r>
      <w:r>
        <w:rPr>
          <w:spacing w:val="24"/>
        </w:rPr>
        <w:t xml:space="preserve"> </w:t>
      </w:r>
      <w:r>
        <w:t>políticos</w:t>
      </w:r>
      <w:r>
        <w:rPr>
          <w:spacing w:val="21"/>
        </w:rPr>
        <w:t xml:space="preserve"> </w:t>
      </w:r>
      <w:r>
        <w:t>y</w:t>
      </w:r>
      <w:r>
        <w:rPr>
          <w:spacing w:val="23"/>
        </w:rPr>
        <w:t xml:space="preserve"> </w:t>
      </w:r>
      <w:r>
        <w:t>derechos</w:t>
      </w:r>
      <w:r>
        <w:rPr>
          <w:spacing w:val="23"/>
        </w:rPr>
        <w:t xml:space="preserve"> </w:t>
      </w:r>
      <w:r>
        <w:t>sociales</w:t>
      </w:r>
      <w:r>
        <w:rPr>
          <w:spacing w:val="23"/>
        </w:rPr>
        <w:t xml:space="preserve"> </w:t>
      </w:r>
      <w:r>
        <w:t>establecidos en los respectivos Pactos.363 Se encuentran prohibiciones similares en muchos instrumentos regionales de derechos humanos.364</w:t>
      </w:r>
      <w:r>
        <w:rPr>
          <w:spacing w:val="80"/>
        </w:rPr>
        <w:t xml:space="preserve"> </w:t>
      </w:r>
      <w:r>
        <w:t>Además, si bien el alcance material tanto de la Convención sobre los derechos de las personas con discapacidad como de la Convención sobre la eliminación de todas las formas de discriminación contra la mujer se extiende más allá del disfrute igualitario</w:t>
      </w:r>
    </w:p>
    <w:p w14:paraId="3069434C" w14:textId="77777777" w:rsidR="0014798C" w:rsidRDefault="004E1F0B">
      <w:pPr>
        <w:pStyle w:val="Textoindependiente"/>
        <w:spacing w:line="326" w:lineRule="auto"/>
        <w:ind w:left="1111" w:right="1272" w:hanging="2"/>
      </w:pPr>
      <w:r>
        <w:t>de los derechos humanos, ambas también contienen una obligación explícita de garantizar el ejercicio y disfrute de los derechos humanos sin discriminación.365</w:t>
      </w:r>
    </w:p>
    <w:p w14:paraId="51478803" w14:textId="77777777" w:rsidR="0014798C" w:rsidRDefault="0014798C">
      <w:pPr>
        <w:pStyle w:val="Textoindependiente"/>
      </w:pPr>
    </w:p>
    <w:p w14:paraId="4039BDEC" w14:textId="77777777" w:rsidR="0014798C" w:rsidRDefault="0014798C">
      <w:pPr>
        <w:pStyle w:val="Textoindependiente"/>
        <w:spacing w:before="95"/>
      </w:pPr>
    </w:p>
    <w:p w14:paraId="0237D09E" w14:textId="77777777" w:rsidR="0014798C" w:rsidRDefault="004E1F0B">
      <w:pPr>
        <w:pStyle w:val="Textoindependiente"/>
        <w:spacing w:line="319" w:lineRule="auto"/>
        <w:ind w:left="1331" w:right="3960"/>
      </w:pPr>
      <w:r>
        <w:t>EL GOCE IGUAL DE DERECHOS BAJO LA CONVENCIÓN INTERNACIONAL SOBRE LA ELIMINACIÓN DE TODAS LAS FORMAS DE DISCRIMINACIÓN RACIAL</w:t>
      </w:r>
    </w:p>
    <w:p w14:paraId="324AF49F" w14:textId="77777777" w:rsidR="0014798C" w:rsidRDefault="004E1F0B">
      <w:pPr>
        <w:pStyle w:val="Textoindependiente"/>
        <w:spacing w:before="160" w:line="324" w:lineRule="auto"/>
        <w:ind w:left="1333" w:right="1553" w:hanging="1"/>
      </w:pPr>
      <w:r>
        <w:t>En cierto contraste con el Pacto Internacional de Derechos Civiles y Políticos y el Pacto Internacional de Derechos Económicos, Sociales y Culturales –que establecen que todos los derechos contenidos en ellos deben garantizarse sin discriminación–</w:t>
      </w:r>
      <w:r>
        <w:rPr>
          <w:spacing w:val="12"/>
        </w:rPr>
        <w:t xml:space="preserve"> </w:t>
      </w:r>
      <w:r>
        <w:t>y</w:t>
      </w:r>
      <w:r>
        <w:rPr>
          <w:spacing w:val="12"/>
        </w:rPr>
        <w:t xml:space="preserve"> </w:t>
      </w:r>
      <w:r>
        <w:t>la</w:t>
      </w:r>
      <w:r>
        <w:rPr>
          <w:spacing w:val="12"/>
        </w:rPr>
        <w:t xml:space="preserve"> </w:t>
      </w:r>
      <w:r>
        <w:t>Convención</w:t>
      </w:r>
      <w:r>
        <w:rPr>
          <w:spacing w:val="12"/>
        </w:rPr>
        <w:t xml:space="preserve"> </w:t>
      </w:r>
      <w:r>
        <w:t>sobre</w:t>
      </w:r>
      <w:r>
        <w:rPr>
          <w:spacing w:val="12"/>
        </w:rPr>
        <w:t xml:space="preserve"> </w:t>
      </w:r>
      <w:r>
        <w:t>la</w:t>
      </w:r>
      <w:r>
        <w:rPr>
          <w:spacing w:val="12"/>
        </w:rPr>
        <w:t xml:space="preserve"> </w:t>
      </w:r>
      <w:r>
        <w:t>Eliminación</w:t>
      </w:r>
      <w:r>
        <w:rPr>
          <w:spacing w:val="12"/>
        </w:rPr>
        <w:t xml:space="preserve"> </w:t>
      </w:r>
      <w:r>
        <w:t>de</w:t>
      </w:r>
      <w:r>
        <w:rPr>
          <w:spacing w:val="12"/>
        </w:rPr>
        <w:t xml:space="preserve"> </w:t>
      </w:r>
      <w:r>
        <w:t>todas</w:t>
      </w:r>
      <w:r>
        <w:rPr>
          <w:spacing w:val="12"/>
        </w:rPr>
        <w:t xml:space="preserve"> </w:t>
      </w:r>
      <w:r>
        <w:t>las</w:t>
      </w:r>
      <w:r>
        <w:rPr>
          <w:spacing w:val="12"/>
        </w:rPr>
        <w:t xml:space="preserve"> </w:t>
      </w:r>
      <w:r>
        <w:t>Formas</w:t>
      </w:r>
      <w:r>
        <w:rPr>
          <w:spacing w:val="12"/>
        </w:rPr>
        <w:t xml:space="preserve"> </w:t>
      </w:r>
      <w:r>
        <w:t>de</w:t>
      </w:r>
      <w:r>
        <w:rPr>
          <w:spacing w:val="12"/>
        </w:rPr>
        <w:t xml:space="preserve"> </w:t>
      </w:r>
      <w:r>
        <w:t>Discriminación</w:t>
      </w:r>
      <w:r>
        <w:rPr>
          <w:spacing w:val="12"/>
        </w:rPr>
        <w:t xml:space="preserve"> </w:t>
      </w:r>
      <w:r>
        <w:t>contra</w:t>
      </w:r>
      <w:r>
        <w:rPr>
          <w:spacing w:val="12"/>
        </w:rPr>
        <w:t xml:space="preserve"> </w:t>
      </w:r>
      <w:r>
        <w:t>la</w:t>
      </w:r>
      <w:r>
        <w:rPr>
          <w:spacing w:val="12"/>
        </w:rPr>
        <w:t xml:space="preserve"> </w:t>
      </w:r>
      <w:r>
        <w:t>Mujer</w:t>
      </w:r>
      <w:r>
        <w:rPr>
          <w:spacing w:val="12"/>
        </w:rPr>
        <w:t xml:space="preserve"> </w:t>
      </w:r>
      <w:r>
        <w:t>y</w:t>
      </w:r>
      <w:r>
        <w:rPr>
          <w:spacing w:val="12"/>
        </w:rPr>
        <w:t xml:space="preserve"> </w:t>
      </w:r>
      <w:r>
        <w:t>la Convención sobre los Derechos de las Personas con Discapacidad, que incluyen disposiciones detalladas sobre las obligaciones de los Estados de garantizar la no discriminación en áreas como el trabajo, la educación y la atención médica,</w:t>
      </w:r>
      <w:r>
        <w:rPr>
          <w:spacing w:val="40"/>
        </w:rPr>
        <w:t xml:space="preserve"> </w:t>
      </w:r>
      <w:r>
        <w:t>la Convención Internacional sobre la Eliminación de todas las Formas de Discriminación Racial incluye una Artículo único</w:t>
      </w:r>
    </w:p>
    <w:p w14:paraId="00974C96" w14:textId="77777777" w:rsidR="0014798C" w:rsidRDefault="004E1F0B">
      <w:pPr>
        <w:pStyle w:val="Textoindependiente"/>
        <w:spacing w:before="8" w:line="326" w:lineRule="auto"/>
        <w:ind w:left="1334" w:right="1463" w:hanging="1"/>
      </w:pPr>
      <w:r>
        <w:t xml:space="preserve">–artículo 5– que contiene una lista de derechos que los Estados deben garantizar sin discriminación. El artículo 5 establece </w:t>
      </w:r>
      <w:r>
        <w:rPr>
          <w:spacing w:val="-4"/>
        </w:rPr>
        <w:t>que:</w:t>
      </w:r>
    </w:p>
    <w:p w14:paraId="4761D249" w14:textId="77777777" w:rsidR="0014798C" w:rsidRDefault="0014798C">
      <w:pPr>
        <w:pStyle w:val="Textoindependiente"/>
        <w:rPr>
          <w:sz w:val="20"/>
        </w:rPr>
      </w:pPr>
    </w:p>
    <w:p w14:paraId="0ECD126A" w14:textId="77777777" w:rsidR="0014798C" w:rsidRDefault="0014798C">
      <w:pPr>
        <w:pStyle w:val="Textoindependiente"/>
        <w:spacing w:before="105"/>
        <w:rPr>
          <w:sz w:val="20"/>
        </w:rPr>
      </w:pPr>
    </w:p>
    <w:p w14:paraId="6C482DEB" w14:textId="77777777" w:rsidR="0014798C" w:rsidRDefault="0014798C">
      <w:pPr>
        <w:rPr>
          <w:sz w:val="20"/>
        </w:rPr>
        <w:sectPr w:rsidR="0014798C" w:rsidSect="00F265E4">
          <w:pgSz w:w="11900" w:h="16820"/>
          <w:pgMar w:top="340" w:right="0" w:bottom="280" w:left="200" w:header="121" w:footer="0" w:gutter="0"/>
          <w:cols w:space="720"/>
        </w:sectPr>
      </w:pPr>
    </w:p>
    <w:p w14:paraId="2816802A" w14:textId="77777777" w:rsidR="0014798C" w:rsidRDefault="0014798C">
      <w:pPr>
        <w:pStyle w:val="Textoindependiente"/>
        <w:spacing w:before="10"/>
        <w:rPr>
          <w:sz w:val="8"/>
        </w:rPr>
      </w:pPr>
    </w:p>
    <w:p w14:paraId="023FA567" w14:textId="77777777" w:rsidR="0014798C" w:rsidRDefault="004E1F0B">
      <w:pPr>
        <w:jc w:val="right"/>
        <w:rPr>
          <w:sz w:val="8"/>
        </w:rPr>
      </w:pPr>
      <w:r>
        <w:rPr>
          <w:spacing w:val="-5"/>
          <w:w w:val="105"/>
          <w:sz w:val="8"/>
        </w:rPr>
        <w:t>359</w:t>
      </w:r>
    </w:p>
    <w:p w14:paraId="5EB9013C" w14:textId="77777777" w:rsidR="0014798C" w:rsidRDefault="0014798C">
      <w:pPr>
        <w:pStyle w:val="Textoindependiente"/>
        <w:rPr>
          <w:sz w:val="8"/>
        </w:rPr>
      </w:pPr>
    </w:p>
    <w:p w14:paraId="7A714A11" w14:textId="77777777" w:rsidR="0014798C" w:rsidRDefault="0014798C">
      <w:pPr>
        <w:pStyle w:val="Textoindependiente"/>
        <w:rPr>
          <w:sz w:val="8"/>
        </w:rPr>
      </w:pPr>
    </w:p>
    <w:p w14:paraId="673354E7" w14:textId="77777777" w:rsidR="0014798C" w:rsidRDefault="0014798C">
      <w:pPr>
        <w:pStyle w:val="Textoindependiente"/>
        <w:rPr>
          <w:sz w:val="8"/>
        </w:rPr>
      </w:pPr>
    </w:p>
    <w:p w14:paraId="374CFCF5" w14:textId="77777777" w:rsidR="0014798C" w:rsidRDefault="0014798C">
      <w:pPr>
        <w:pStyle w:val="Textoindependiente"/>
        <w:rPr>
          <w:sz w:val="8"/>
        </w:rPr>
      </w:pPr>
    </w:p>
    <w:p w14:paraId="1F911115" w14:textId="77777777" w:rsidR="0014798C" w:rsidRDefault="0014798C">
      <w:pPr>
        <w:pStyle w:val="Textoindependiente"/>
        <w:spacing w:before="44"/>
        <w:rPr>
          <w:sz w:val="8"/>
        </w:rPr>
      </w:pPr>
    </w:p>
    <w:p w14:paraId="1B491073" w14:textId="77777777" w:rsidR="0014798C" w:rsidRDefault="004E1F0B">
      <w:pPr>
        <w:jc w:val="right"/>
        <w:rPr>
          <w:sz w:val="8"/>
        </w:rPr>
      </w:pPr>
      <w:r>
        <w:rPr>
          <w:spacing w:val="-5"/>
          <w:w w:val="105"/>
          <w:sz w:val="8"/>
        </w:rPr>
        <w:t>360</w:t>
      </w:r>
    </w:p>
    <w:p w14:paraId="5D08B9A2" w14:textId="77777777" w:rsidR="0014798C" w:rsidRDefault="0014798C">
      <w:pPr>
        <w:pStyle w:val="Textoindependiente"/>
        <w:rPr>
          <w:sz w:val="8"/>
        </w:rPr>
      </w:pPr>
    </w:p>
    <w:p w14:paraId="32C65BFC" w14:textId="77777777" w:rsidR="0014798C" w:rsidRDefault="0014798C">
      <w:pPr>
        <w:pStyle w:val="Textoindependiente"/>
        <w:rPr>
          <w:sz w:val="8"/>
        </w:rPr>
      </w:pPr>
    </w:p>
    <w:p w14:paraId="7EC3AE1B" w14:textId="77777777" w:rsidR="0014798C" w:rsidRDefault="0014798C">
      <w:pPr>
        <w:pStyle w:val="Textoindependiente"/>
        <w:rPr>
          <w:sz w:val="8"/>
        </w:rPr>
      </w:pPr>
    </w:p>
    <w:p w14:paraId="33FB40AA" w14:textId="77777777" w:rsidR="0014798C" w:rsidRDefault="0014798C">
      <w:pPr>
        <w:pStyle w:val="Textoindependiente"/>
        <w:rPr>
          <w:sz w:val="8"/>
        </w:rPr>
      </w:pPr>
    </w:p>
    <w:p w14:paraId="48EC812A" w14:textId="77777777" w:rsidR="0014798C" w:rsidRDefault="0014798C">
      <w:pPr>
        <w:pStyle w:val="Textoindependiente"/>
        <w:spacing w:before="44"/>
        <w:rPr>
          <w:sz w:val="8"/>
        </w:rPr>
      </w:pPr>
    </w:p>
    <w:p w14:paraId="34240612" w14:textId="77777777" w:rsidR="0014798C" w:rsidRDefault="004E1F0B">
      <w:pPr>
        <w:jc w:val="right"/>
        <w:rPr>
          <w:sz w:val="8"/>
        </w:rPr>
      </w:pPr>
      <w:r>
        <w:rPr>
          <w:spacing w:val="-5"/>
          <w:w w:val="105"/>
          <w:sz w:val="8"/>
        </w:rPr>
        <w:t>361</w:t>
      </w:r>
    </w:p>
    <w:p w14:paraId="6509A3E6" w14:textId="77777777" w:rsidR="0014798C" w:rsidRDefault="004E1F0B">
      <w:pPr>
        <w:spacing w:before="122"/>
        <w:ind w:left="81"/>
        <w:rPr>
          <w:sz w:val="12"/>
        </w:rPr>
      </w:pPr>
      <w:r>
        <w:br w:type="column"/>
      </w:r>
      <w:r>
        <w:rPr>
          <w:sz w:val="12"/>
        </w:rPr>
        <w:t>Véase,</w:t>
      </w:r>
      <w:r>
        <w:rPr>
          <w:spacing w:val="-1"/>
          <w:sz w:val="12"/>
        </w:rPr>
        <w:t xml:space="preserve"> </w:t>
      </w:r>
      <w:r>
        <w:rPr>
          <w:sz w:val="12"/>
        </w:rPr>
        <w:t>por</w:t>
      </w:r>
      <w:r>
        <w:rPr>
          <w:spacing w:val="-1"/>
          <w:sz w:val="12"/>
        </w:rPr>
        <w:t xml:space="preserve"> </w:t>
      </w:r>
      <w:r>
        <w:rPr>
          <w:sz w:val="12"/>
        </w:rPr>
        <w:t>ejemplo, Pacto</w:t>
      </w:r>
      <w:r>
        <w:rPr>
          <w:spacing w:val="-1"/>
          <w:sz w:val="12"/>
        </w:rPr>
        <w:t xml:space="preserve"> </w:t>
      </w:r>
      <w:r>
        <w:rPr>
          <w:sz w:val="12"/>
        </w:rPr>
        <w:t>Internacional de</w:t>
      </w:r>
      <w:r>
        <w:rPr>
          <w:spacing w:val="-1"/>
          <w:sz w:val="12"/>
        </w:rPr>
        <w:t xml:space="preserve"> </w:t>
      </w:r>
      <w:r>
        <w:rPr>
          <w:sz w:val="12"/>
        </w:rPr>
        <w:t>Derechos</w:t>
      </w:r>
      <w:r>
        <w:rPr>
          <w:spacing w:val="-1"/>
          <w:sz w:val="12"/>
        </w:rPr>
        <w:t xml:space="preserve"> </w:t>
      </w:r>
      <w:r>
        <w:rPr>
          <w:sz w:val="12"/>
        </w:rPr>
        <w:t>Civiles</w:t>
      </w:r>
      <w:r>
        <w:rPr>
          <w:spacing w:val="-1"/>
          <w:sz w:val="12"/>
        </w:rPr>
        <w:t xml:space="preserve"> </w:t>
      </w:r>
      <w:r>
        <w:rPr>
          <w:sz w:val="12"/>
        </w:rPr>
        <w:t>y</w:t>
      </w:r>
      <w:r>
        <w:rPr>
          <w:spacing w:val="-1"/>
          <w:sz w:val="12"/>
        </w:rPr>
        <w:t xml:space="preserve"> </w:t>
      </w:r>
      <w:r>
        <w:rPr>
          <w:sz w:val="12"/>
        </w:rPr>
        <w:t>Políticos,</w:t>
      </w:r>
      <w:r>
        <w:rPr>
          <w:spacing w:val="1"/>
          <w:sz w:val="12"/>
        </w:rPr>
        <w:t xml:space="preserve"> </w:t>
      </w:r>
      <w:r>
        <w:rPr>
          <w:sz w:val="12"/>
        </w:rPr>
        <w:t>art.</w:t>
      </w:r>
      <w:r>
        <w:rPr>
          <w:spacing w:val="-1"/>
          <w:sz w:val="12"/>
        </w:rPr>
        <w:t xml:space="preserve"> </w:t>
      </w:r>
      <w:r>
        <w:rPr>
          <w:sz w:val="12"/>
        </w:rPr>
        <w:t>2</w:t>
      </w:r>
      <w:r>
        <w:rPr>
          <w:spacing w:val="-1"/>
          <w:sz w:val="12"/>
        </w:rPr>
        <w:t xml:space="preserve"> </w:t>
      </w:r>
      <w:r>
        <w:rPr>
          <w:sz w:val="12"/>
        </w:rPr>
        <w:t>(</w:t>
      </w:r>
      <w:proofErr w:type="gramStart"/>
      <w:r>
        <w:rPr>
          <w:sz w:val="12"/>
        </w:rPr>
        <w:t>1);</w:t>
      </w:r>
      <w:proofErr w:type="gramEnd"/>
      <w:r>
        <w:rPr>
          <w:spacing w:val="-1"/>
          <w:sz w:val="12"/>
        </w:rPr>
        <w:t xml:space="preserve"> </w:t>
      </w:r>
      <w:r>
        <w:rPr>
          <w:sz w:val="12"/>
        </w:rPr>
        <w:t>y Pacto</w:t>
      </w:r>
      <w:r>
        <w:rPr>
          <w:spacing w:val="-1"/>
          <w:sz w:val="12"/>
        </w:rPr>
        <w:t xml:space="preserve"> </w:t>
      </w:r>
      <w:r>
        <w:rPr>
          <w:sz w:val="12"/>
        </w:rPr>
        <w:t>Internacional</w:t>
      </w:r>
      <w:r>
        <w:rPr>
          <w:spacing w:val="-1"/>
          <w:sz w:val="12"/>
        </w:rPr>
        <w:t xml:space="preserve"> </w:t>
      </w:r>
      <w:r>
        <w:rPr>
          <w:sz w:val="12"/>
        </w:rPr>
        <w:t>de</w:t>
      </w:r>
      <w:r>
        <w:rPr>
          <w:spacing w:val="-1"/>
          <w:sz w:val="12"/>
        </w:rPr>
        <w:t xml:space="preserve"> </w:t>
      </w:r>
      <w:r>
        <w:rPr>
          <w:sz w:val="12"/>
        </w:rPr>
        <w:t>Derechos</w:t>
      </w:r>
      <w:r>
        <w:rPr>
          <w:spacing w:val="-1"/>
          <w:sz w:val="12"/>
        </w:rPr>
        <w:t xml:space="preserve"> </w:t>
      </w:r>
      <w:r>
        <w:rPr>
          <w:sz w:val="12"/>
        </w:rPr>
        <w:t>Económicos,</w:t>
      </w:r>
      <w:r>
        <w:rPr>
          <w:spacing w:val="1"/>
          <w:sz w:val="12"/>
        </w:rPr>
        <w:t xml:space="preserve"> </w:t>
      </w:r>
      <w:r>
        <w:rPr>
          <w:sz w:val="12"/>
        </w:rPr>
        <w:t>Sociales</w:t>
      </w:r>
      <w:r>
        <w:rPr>
          <w:spacing w:val="-1"/>
          <w:sz w:val="12"/>
        </w:rPr>
        <w:t xml:space="preserve"> </w:t>
      </w:r>
      <w:r>
        <w:rPr>
          <w:sz w:val="12"/>
        </w:rPr>
        <w:t>y</w:t>
      </w:r>
      <w:r>
        <w:rPr>
          <w:spacing w:val="-1"/>
          <w:sz w:val="12"/>
        </w:rPr>
        <w:t xml:space="preserve"> </w:t>
      </w:r>
      <w:r>
        <w:rPr>
          <w:sz w:val="12"/>
        </w:rPr>
        <w:t>Culturales, art.</w:t>
      </w:r>
      <w:r>
        <w:rPr>
          <w:spacing w:val="-1"/>
          <w:sz w:val="12"/>
        </w:rPr>
        <w:t xml:space="preserve"> </w:t>
      </w:r>
      <w:r>
        <w:rPr>
          <w:spacing w:val="-10"/>
          <w:sz w:val="12"/>
        </w:rPr>
        <w:t>2</w:t>
      </w:r>
    </w:p>
    <w:p w14:paraId="3DE193B5" w14:textId="77777777" w:rsidR="0014798C" w:rsidRDefault="004E1F0B">
      <w:pPr>
        <w:spacing w:before="42" w:line="312" w:lineRule="auto"/>
        <w:ind w:left="80" w:right="1277" w:firstLine="2"/>
        <w:rPr>
          <w:sz w:val="12"/>
        </w:rPr>
      </w:pPr>
      <w:r>
        <w:rPr>
          <w:sz w:val="12"/>
        </w:rPr>
        <w:t>(2). Véase también Convención sobre la protección de los derechos de todos los trabajadores migratorios y de sus familiares, art. 1 (</w:t>
      </w:r>
      <w:proofErr w:type="gramStart"/>
      <w:r>
        <w:rPr>
          <w:sz w:val="12"/>
        </w:rPr>
        <w:t>1);</w:t>
      </w:r>
      <w:proofErr w:type="gramEnd"/>
      <w:r>
        <w:rPr>
          <w:sz w:val="12"/>
        </w:rPr>
        <w:t xml:space="preserve"> y Convención sobre los</w:t>
      </w:r>
      <w:r>
        <w:rPr>
          <w:spacing w:val="40"/>
          <w:sz w:val="12"/>
        </w:rPr>
        <w:t xml:space="preserve"> </w:t>
      </w:r>
      <w:r>
        <w:rPr>
          <w:sz w:val="12"/>
        </w:rPr>
        <w:t>Derechos del Niño, art. 2 (1).</w:t>
      </w:r>
    </w:p>
    <w:p w14:paraId="11EC68D7" w14:textId="77777777" w:rsidR="0014798C" w:rsidRDefault="004E1F0B">
      <w:pPr>
        <w:spacing w:before="58" w:line="312" w:lineRule="auto"/>
        <w:ind w:left="78" w:right="1413" w:firstLine="2"/>
        <w:rPr>
          <w:sz w:val="12"/>
        </w:rPr>
      </w:pPr>
      <w:r>
        <w:rPr>
          <w:sz w:val="12"/>
        </w:rPr>
        <w:t xml:space="preserve">Véase, por ejemplo, Pacto Internacional de Derechos Civiles y Políticos, art. </w:t>
      </w:r>
      <w:r>
        <w:rPr>
          <w:w w:val="95"/>
          <w:sz w:val="12"/>
        </w:rPr>
        <w:t xml:space="preserve">26; </w:t>
      </w:r>
      <w:r>
        <w:rPr>
          <w:sz w:val="12"/>
        </w:rPr>
        <w:t>y Comité de Derechos Humanos, observación general núm. 18 (1989), párr. 12.</w:t>
      </w:r>
      <w:r>
        <w:rPr>
          <w:spacing w:val="40"/>
          <w:sz w:val="12"/>
        </w:rPr>
        <w:t xml:space="preserve"> </w:t>
      </w:r>
      <w:r>
        <w:rPr>
          <w:sz w:val="12"/>
        </w:rPr>
        <w:t xml:space="preserve">Véase también Convención sobre los Derechos de las Personas con Discapacidad, art. </w:t>
      </w:r>
      <w:r>
        <w:rPr>
          <w:w w:val="95"/>
          <w:sz w:val="12"/>
        </w:rPr>
        <w:t xml:space="preserve">5; </w:t>
      </w:r>
      <w:r>
        <w:rPr>
          <w:sz w:val="12"/>
        </w:rPr>
        <w:t>y Comité sobre los Derechos de las Personas con Discapacidad,</w:t>
      </w:r>
      <w:r>
        <w:rPr>
          <w:spacing w:val="40"/>
          <w:sz w:val="12"/>
        </w:rPr>
        <w:t xml:space="preserve"> </w:t>
      </w:r>
      <w:r>
        <w:rPr>
          <w:sz w:val="12"/>
        </w:rPr>
        <w:t>observación general núm. 6 (2018), párr. 13.</w:t>
      </w:r>
    </w:p>
    <w:p w14:paraId="357EAAAA" w14:textId="77777777" w:rsidR="0014798C" w:rsidRDefault="004E1F0B">
      <w:pPr>
        <w:spacing w:before="58" w:line="312" w:lineRule="auto"/>
        <w:ind w:left="82" w:right="1277" w:hanging="2"/>
        <w:rPr>
          <w:sz w:val="12"/>
        </w:rPr>
      </w:pPr>
      <w:r>
        <w:rPr>
          <w:sz w:val="12"/>
        </w:rPr>
        <w:t xml:space="preserve">Véase, por ejemplo, Comité de Derechos Económicos, Sociales y Culturales, observación general núm. 20 (2009), </w:t>
      </w:r>
      <w:proofErr w:type="spellStart"/>
      <w:r>
        <w:rPr>
          <w:sz w:val="12"/>
        </w:rPr>
        <w:t>párrs</w:t>
      </w:r>
      <w:proofErr w:type="spellEnd"/>
      <w:r>
        <w:rPr>
          <w:sz w:val="12"/>
        </w:rPr>
        <w:t xml:space="preserve">. 11 y </w:t>
      </w:r>
      <w:r>
        <w:rPr>
          <w:w w:val="95"/>
          <w:sz w:val="12"/>
        </w:rPr>
        <w:t xml:space="preserve">37; </w:t>
      </w:r>
      <w:r>
        <w:rPr>
          <w:sz w:val="12"/>
        </w:rPr>
        <w:t>Comité de Derechos Humanos,</w:t>
      </w:r>
      <w:r>
        <w:rPr>
          <w:spacing w:val="40"/>
          <w:sz w:val="12"/>
        </w:rPr>
        <w:t xml:space="preserve"> </w:t>
      </w:r>
      <w:r>
        <w:rPr>
          <w:sz w:val="12"/>
        </w:rPr>
        <w:t xml:space="preserve">observación general núm. 31 (2004), párr. </w:t>
      </w:r>
      <w:r>
        <w:rPr>
          <w:w w:val="95"/>
          <w:sz w:val="12"/>
        </w:rPr>
        <w:t xml:space="preserve">8; </w:t>
      </w:r>
      <w:r>
        <w:rPr>
          <w:sz w:val="12"/>
        </w:rPr>
        <w:t xml:space="preserve">Comité sobre los Derechos de las Personas con Discapacidad, observación general núm. 6 (2018), </w:t>
      </w:r>
      <w:proofErr w:type="spellStart"/>
      <w:r>
        <w:rPr>
          <w:sz w:val="12"/>
        </w:rPr>
        <w:t>párrs</w:t>
      </w:r>
      <w:proofErr w:type="spellEnd"/>
      <w:r>
        <w:rPr>
          <w:sz w:val="12"/>
        </w:rPr>
        <w:t>. 13 y</w:t>
      </w:r>
    </w:p>
    <w:p w14:paraId="57661C30" w14:textId="77777777" w:rsidR="0014798C" w:rsidRDefault="004E1F0B">
      <w:pPr>
        <w:spacing w:before="1" w:line="312" w:lineRule="auto"/>
        <w:ind w:left="76" w:right="1784" w:firstLine="9"/>
        <w:rPr>
          <w:sz w:val="12"/>
        </w:rPr>
      </w:pPr>
      <w:r>
        <w:rPr>
          <w:sz w:val="12"/>
        </w:rPr>
        <w:t xml:space="preserve">73 (c) y </w:t>
      </w:r>
      <w:r>
        <w:rPr>
          <w:w w:val="90"/>
          <w:sz w:val="12"/>
        </w:rPr>
        <w:t xml:space="preserve">(h); </w:t>
      </w:r>
      <w:r>
        <w:rPr>
          <w:sz w:val="12"/>
        </w:rPr>
        <w:t xml:space="preserve">Comité para la Eliminación de la Discriminación Racial, recomendación general núm. 32 (2009), párr. </w:t>
      </w:r>
      <w:r>
        <w:rPr>
          <w:w w:val="90"/>
          <w:sz w:val="12"/>
        </w:rPr>
        <w:t xml:space="preserve">9; </w:t>
      </w:r>
      <w:r>
        <w:rPr>
          <w:sz w:val="12"/>
        </w:rPr>
        <w:t>y Comité para la Eliminación de la</w:t>
      </w:r>
      <w:r>
        <w:rPr>
          <w:spacing w:val="40"/>
          <w:sz w:val="12"/>
        </w:rPr>
        <w:t xml:space="preserve"> </w:t>
      </w:r>
      <w:r>
        <w:rPr>
          <w:sz w:val="12"/>
        </w:rPr>
        <w:t xml:space="preserve">Discriminación contra la Mujer, recomendación general núm. 28 (2010), </w:t>
      </w:r>
      <w:proofErr w:type="spellStart"/>
      <w:r>
        <w:rPr>
          <w:sz w:val="12"/>
        </w:rPr>
        <w:t>párrs</w:t>
      </w:r>
      <w:proofErr w:type="spellEnd"/>
      <w:r>
        <w:rPr>
          <w:sz w:val="12"/>
        </w:rPr>
        <w:t>. 9–10, 13 y 17.</w:t>
      </w:r>
    </w:p>
    <w:p w14:paraId="035454E1" w14:textId="77777777" w:rsidR="0014798C" w:rsidRDefault="0014798C">
      <w:pPr>
        <w:spacing w:line="312" w:lineRule="auto"/>
        <w:rPr>
          <w:sz w:val="12"/>
        </w:rPr>
        <w:sectPr w:rsidR="0014798C" w:rsidSect="00F265E4">
          <w:type w:val="continuous"/>
          <w:pgSz w:w="11900" w:h="16820"/>
          <w:pgMar w:top="40" w:right="0" w:bottom="280" w:left="200" w:header="121" w:footer="0" w:gutter="0"/>
          <w:cols w:num="2" w:space="720" w:equalWidth="0">
            <w:col w:w="1250" w:space="40"/>
            <w:col w:w="10410"/>
          </w:cols>
        </w:sectPr>
      </w:pPr>
    </w:p>
    <w:p w14:paraId="5548DD61" w14:textId="77777777" w:rsidR="0014798C" w:rsidRDefault="0014798C">
      <w:pPr>
        <w:pStyle w:val="Textoindependiente"/>
        <w:spacing w:before="99"/>
        <w:rPr>
          <w:sz w:val="12"/>
        </w:rPr>
      </w:pPr>
    </w:p>
    <w:p w14:paraId="6761C16F" w14:textId="77777777" w:rsidR="0014798C" w:rsidRDefault="004E1F0B">
      <w:pPr>
        <w:spacing w:line="312" w:lineRule="auto"/>
        <w:ind w:left="1368" w:right="1463" w:hanging="261"/>
        <w:rPr>
          <w:sz w:val="12"/>
        </w:rPr>
      </w:pPr>
      <w:r>
        <w:rPr>
          <w:sz w:val="12"/>
        </w:rPr>
        <w:t>362 Tal como se plasma en la afirmación de que: “Todos los seres humanos nacen libres e iguales en dignidad y derechos”. Véase Declaración Universal de Derechos</w:t>
      </w:r>
      <w:r>
        <w:rPr>
          <w:spacing w:val="40"/>
          <w:sz w:val="12"/>
        </w:rPr>
        <w:t xml:space="preserve"> </w:t>
      </w:r>
      <w:r>
        <w:rPr>
          <w:sz w:val="12"/>
        </w:rPr>
        <w:t xml:space="preserve">Humanos, art. 1. Véase también Comité de Derechos Económicos, Sociales y Culturales, observación general núm. 20 (2009), párr. </w:t>
      </w:r>
      <w:r>
        <w:rPr>
          <w:w w:val="95"/>
          <w:sz w:val="12"/>
        </w:rPr>
        <w:t xml:space="preserve">2; </w:t>
      </w:r>
      <w:r>
        <w:rPr>
          <w:sz w:val="12"/>
        </w:rPr>
        <w:t>y Comité de Derechos</w:t>
      </w:r>
      <w:r>
        <w:rPr>
          <w:spacing w:val="40"/>
          <w:sz w:val="12"/>
        </w:rPr>
        <w:t xml:space="preserve"> </w:t>
      </w:r>
      <w:r>
        <w:rPr>
          <w:sz w:val="12"/>
        </w:rPr>
        <w:t>Humanos, observación general núm. 18 (1989), párr. 1.</w:t>
      </w:r>
    </w:p>
    <w:p w14:paraId="2C469F16" w14:textId="77777777" w:rsidR="0014798C" w:rsidRDefault="004E1F0B">
      <w:pPr>
        <w:spacing w:before="58" w:line="312" w:lineRule="auto"/>
        <w:ind w:left="1369" w:right="1626" w:hanging="262"/>
        <w:rPr>
          <w:sz w:val="12"/>
        </w:rPr>
      </w:pPr>
      <w:r>
        <w:rPr>
          <w:sz w:val="12"/>
        </w:rPr>
        <w:t>363 Pacto Internacional de Derechos Civiles y Políticos, art. 2 (</w:t>
      </w:r>
      <w:proofErr w:type="gramStart"/>
      <w:r>
        <w:rPr>
          <w:sz w:val="12"/>
        </w:rPr>
        <w:t>1);</w:t>
      </w:r>
      <w:proofErr w:type="gramEnd"/>
      <w:r>
        <w:rPr>
          <w:sz w:val="12"/>
        </w:rPr>
        <w:t xml:space="preserve"> y Pacto Internacional de Derechos Económicos, Sociales y Culturales, art. 2 (2). Véase también</w:t>
      </w:r>
      <w:r>
        <w:rPr>
          <w:spacing w:val="40"/>
          <w:sz w:val="12"/>
        </w:rPr>
        <w:t xml:space="preserve"> </w:t>
      </w:r>
      <w:r>
        <w:rPr>
          <w:sz w:val="12"/>
        </w:rPr>
        <w:t>Convención Internacional sobre la protección de los derechos de todos los trabajadores migratorios y de sus familiares, art. 1 (</w:t>
      </w:r>
      <w:proofErr w:type="gramStart"/>
      <w:r>
        <w:rPr>
          <w:sz w:val="12"/>
        </w:rPr>
        <w:t>1);</w:t>
      </w:r>
      <w:proofErr w:type="gramEnd"/>
      <w:r>
        <w:rPr>
          <w:sz w:val="12"/>
        </w:rPr>
        <w:t xml:space="preserve"> y Convención sobre los</w:t>
      </w:r>
      <w:r>
        <w:rPr>
          <w:spacing w:val="40"/>
          <w:sz w:val="12"/>
        </w:rPr>
        <w:t xml:space="preserve"> </w:t>
      </w:r>
      <w:r>
        <w:rPr>
          <w:sz w:val="12"/>
        </w:rPr>
        <w:t>Derechos del Niño, art. 2 (1).</w:t>
      </w:r>
    </w:p>
    <w:p w14:paraId="2C51C7B7" w14:textId="77777777" w:rsidR="0014798C" w:rsidRDefault="0014798C">
      <w:pPr>
        <w:spacing w:line="312" w:lineRule="auto"/>
        <w:rPr>
          <w:sz w:val="12"/>
        </w:rPr>
        <w:sectPr w:rsidR="0014798C" w:rsidSect="00F265E4">
          <w:type w:val="continuous"/>
          <w:pgSz w:w="11900" w:h="16820"/>
          <w:pgMar w:top="40" w:right="0" w:bottom="280" w:left="200" w:header="121" w:footer="0" w:gutter="0"/>
          <w:cols w:space="720"/>
        </w:sectPr>
      </w:pPr>
    </w:p>
    <w:p w14:paraId="58677E36" w14:textId="77777777" w:rsidR="0014798C" w:rsidRDefault="004E1F0B">
      <w:pPr>
        <w:spacing w:before="37"/>
        <w:jc w:val="right"/>
        <w:rPr>
          <w:sz w:val="8"/>
        </w:rPr>
      </w:pPr>
      <w:r>
        <w:rPr>
          <w:spacing w:val="-5"/>
          <w:w w:val="105"/>
          <w:sz w:val="8"/>
        </w:rPr>
        <w:t>364</w:t>
      </w:r>
    </w:p>
    <w:p w14:paraId="1561C971" w14:textId="77777777" w:rsidR="0014798C" w:rsidRDefault="0014798C">
      <w:pPr>
        <w:pStyle w:val="Textoindependiente"/>
        <w:rPr>
          <w:sz w:val="8"/>
        </w:rPr>
      </w:pPr>
    </w:p>
    <w:p w14:paraId="6379B623" w14:textId="77777777" w:rsidR="0014798C" w:rsidRDefault="0014798C">
      <w:pPr>
        <w:pStyle w:val="Textoindependiente"/>
        <w:rPr>
          <w:sz w:val="8"/>
        </w:rPr>
      </w:pPr>
    </w:p>
    <w:p w14:paraId="4F4D3E7F" w14:textId="77777777" w:rsidR="0014798C" w:rsidRDefault="0014798C">
      <w:pPr>
        <w:pStyle w:val="Textoindependiente"/>
        <w:spacing w:before="48"/>
        <w:rPr>
          <w:sz w:val="8"/>
        </w:rPr>
      </w:pPr>
    </w:p>
    <w:p w14:paraId="6163698C" w14:textId="77777777" w:rsidR="0014798C" w:rsidRDefault="004E1F0B">
      <w:pPr>
        <w:jc w:val="right"/>
        <w:rPr>
          <w:sz w:val="8"/>
        </w:rPr>
      </w:pPr>
      <w:r>
        <w:rPr>
          <w:spacing w:val="-5"/>
          <w:w w:val="105"/>
          <w:sz w:val="8"/>
        </w:rPr>
        <w:t>365</w:t>
      </w:r>
    </w:p>
    <w:p w14:paraId="3DD510C7" w14:textId="77777777" w:rsidR="0014798C" w:rsidRDefault="004E1F0B">
      <w:pPr>
        <w:spacing w:before="58" w:line="312" w:lineRule="auto"/>
        <w:ind w:left="82" w:right="1784" w:hanging="2"/>
        <w:rPr>
          <w:sz w:val="12"/>
        </w:rPr>
      </w:pPr>
      <w:r>
        <w:br w:type="column"/>
      </w:r>
      <w:r>
        <w:rPr>
          <w:sz w:val="12"/>
        </w:rPr>
        <w:t>Véase,</w:t>
      </w:r>
      <w:r>
        <w:rPr>
          <w:spacing w:val="-1"/>
          <w:sz w:val="12"/>
        </w:rPr>
        <w:t xml:space="preserve"> </w:t>
      </w:r>
      <w:r>
        <w:rPr>
          <w:sz w:val="12"/>
        </w:rPr>
        <w:t>por</w:t>
      </w:r>
      <w:r>
        <w:rPr>
          <w:spacing w:val="-1"/>
          <w:sz w:val="12"/>
        </w:rPr>
        <w:t xml:space="preserve"> </w:t>
      </w:r>
      <w:r>
        <w:rPr>
          <w:sz w:val="12"/>
        </w:rPr>
        <w:t>ejemplo, Convenio</w:t>
      </w:r>
      <w:r>
        <w:rPr>
          <w:spacing w:val="-1"/>
          <w:sz w:val="12"/>
        </w:rPr>
        <w:t xml:space="preserve"> </w:t>
      </w:r>
      <w:r>
        <w:rPr>
          <w:sz w:val="12"/>
        </w:rPr>
        <w:t>Europeo</w:t>
      </w:r>
      <w:r>
        <w:rPr>
          <w:spacing w:val="-1"/>
          <w:sz w:val="12"/>
        </w:rPr>
        <w:t xml:space="preserve"> </w:t>
      </w:r>
      <w:r>
        <w:rPr>
          <w:sz w:val="12"/>
        </w:rPr>
        <w:t>de</w:t>
      </w:r>
      <w:r>
        <w:rPr>
          <w:spacing w:val="-1"/>
          <w:sz w:val="12"/>
        </w:rPr>
        <w:t xml:space="preserve"> </w:t>
      </w:r>
      <w:r>
        <w:rPr>
          <w:sz w:val="12"/>
        </w:rPr>
        <w:t>Derechos</w:t>
      </w:r>
      <w:r>
        <w:rPr>
          <w:spacing w:val="-1"/>
          <w:sz w:val="12"/>
        </w:rPr>
        <w:t xml:space="preserve"> </w:t>
      </w:r>
      <w:r>
        <w:rPr>
          <w:sz w:val="12"/>
        </w:rPr>
        <w:t>Humanos, art.</w:t>
      </w:r>
      <w:r>
        <w:rPr>
          <w:spacing w:val="-1"/>
          <w:sz w:val="12"/>
        </w:rPr>
        <w:t xml:space="preserve"> </w:t>
      </w:r>
      <w:r>
        <w:rPr>
          <w:sz w:val="12"/>
        </w:rPr>
        <w:t>14;</w:t>
      </w:r>
      <w:r>
        <w:rPr>
          <w:spacing w:val="-1"/>
          <w:sz w:val="12"/>
        </w:rPr>
        <w:t xml:space="preserve"> </w:t>
      </w:r>
      <w:r>
        <w:rPr>
          <w:sz w:val="12"/>
        </w:rPr>
        <w:t>Convención</w:t>
      </w:r>
      <w:r>
        <w:rPr>
          <w:spacing w:val="-1"/>
          <w:sz w:val="12"/>
        </w:rPr>
        <w:t xml:space="preserve"> </w:t>
      </w:r>
      <w:r>
        <w:rPr>
          <w:sz w:val="12"/>
        </w:rPr>
        <w:t>Americana</w:t>
      </w:r>
      <w:r>
        <w:rPr>
          <w:spacing w:val="-1"/>
          <w:sz w:val="12"/>
        </w:rPr>
        <w:t xml:space="preserve"> </w:t>
      </w:r>
      <w:r>
        <w:rPr>
          <w:sz w:val="12"/>
        </w:rPr>
        <w:t>sobre</w:t>
      </w:r>
      <w:r>
        <w:rPr>
          <w:spacing w:val="-1"/>
          <w:sz w:val="12"/>
        </w:rPr>
        <w:t xml:space="preserve"> </w:t>
      </w:r>
      <w:r>
        <w:rPr>
          <w:sz w:val="12"/>
        </w:rPr>
        <w:t>Derechos</w:t>
      </w:r>
      <w:r>
        <w:rPr>
          <w:spacing w:val="-1"/>
          <w:sz w:val="12"/>
        </w:rPr>
        <w:t xml:space="preserve"> </w:t>
      </w:r>
      <w:r>
        <w:rPr>
          <w:sz w:val="12"/>
        </w:rPr>
        <w:t>Humanos, art.</w:t>
      </w:r>
      <w:r>
        <w:rPr>
          <w:spacing w:val="-1"/>
          <w:sz w:val="12"/>
        </w:rPr>
        <w:t xml:space="preserve"> </w:t>
      </w:r>
      <w:r>
        <w:rPr>
          <w:sz w:val="12"/>
        </w:rPr>
        <w:t>1</w:t>
      </w:r>
      <w:r>
        <w:rPr>
          <w:spacing w:val="-1"/>
          <w:sz w:val="12"/>
        </w:rPr>
        <w:t xml:space="preserve"> </w:t>
      </w:r>
      <w:r>
        <w:rPr>
          <w:sz w:val="12"/>
        </w:rPr>
        <w:t>(</w:t>
      </w:r>
      <w:proofErr w:type="gramStart"/>
      <w:r>
        <w:rPr>
          <w:sz w:val="12"/>
        </w:rPr>
        <w:t>1);</w:t>
      </w:r>
      <w:proofErr w:type="gramEnd"/>
      <w:r>
        <w:rPr>
          <w:spacing w:val="-1"/>
          <w:sz w:val="12"/>
        </w:rPr>
        <w:t xml:space="preserve"> </w:t>
      </w:r>
      <w:r>
        <w:rPr>
          <w:sz w:val="12"/>
        </w:rPr>
        <w:t>y</w:t>
      </w:r>
      <w:r>
        <w:rPr>
          <w:spacing w:val="-1"/>
          <w:sz w:val="12"/>
        </w:rPr>
        <w:t xml:space="preserve"> </w:t>
      </w:r>
      <w:r>
        <w:rPr>
          <w:sz w:val="12"/>
        </w:rPr>
        <w:t>Carta</w:t>
      </w:r>
      <w:r>
        <w:rPr>
          <w:spacing w:val="-1"/>
          <w:sz w:val="12"/>
        </w:rPr>
        <w:t xml:space="preserve"> </w:t>
      </w:r>
      <w:r>
        <w:rPr>
          <w:sz w:val="12"/>
        </w:rPr>
        <w:t>Africana</w:t>
      </w:r>
      <w:r>
        <w:rPr>
          <w:spacing w:val="-1"/>
          <w:sz w:val="12"/>
        </w:rPr>
        <w:t xml:space="preserve"> </w:t>
      </w:r>
      <w:r>
        <w:rPr>
          <w:sz w:val="12"/>
        </w:rPr>
        <w:t>de</w:t>
      </w:r>
      <w:r>
        <w:rPr>
          <w:spacing w:val="40"/>
          <w:sz w:val="12"/>
        </w:rPr>
        <w:t xml:space="preserve"> </w:t>
      </w:r>
      <w:r>
        <w:rPr>
          <w:sz w:val="12"/>
        </w:rPr>
        <w:t>Derechos Humanos y de los Pueblos, art. 2.</w:t>
      </w:r>
    </w:p>
    <w:p w14:paraId="31F171DE" w14:textId="77777777" w:rsidR="0014798C" w:rsidRDefault="004E1F0B">
      <w:pPr>
        <w:spacing w:before="57" w:line="312" w:lineRule="auto"/>
        <w:ind w:left="80" w:right="1277"/>
        <w:rPr>
          <w:sz w:val="12"/>
        </w:rPr>
      </w:pPr>
      <w:r>
        <w:rPr>
          <w:sz w:val="12"/>
        </w:rPr>
        <w:t>Véase, en particular, Convención sobre los Derechos de las Personas con Discapacidad, arts. 2 y 4 (</w:t>
      </w:r>
      <w:proofErr w:type="gramStart"/>
      <w:r>
        <w:rPr>
          <w:sz w:val="12"/>
        </w:rPr>
        <w:t>1);</w:t>
      </w:r>
      <w:proofErr w:type="gramEnd"/>
      <w:r>
        <w:rPr>
          <w:sz w:val="12"/>
        </w:rPr>
        <w:t xml:space="preserve"> y Convención sobre la eliminación de todas las formas de</w:t>
      </w:r>
      <w:r>
        <w:rPr>
          <w:spacing w:val="40"/>
          <w:sz w:val="12"/>
        </w:rPr>
        <w:t xml:space="preserve"> </w:t>
      </w:r>
      <w:r>
        <w:rPr>
          <w:sz w:val="12"/>
        </w:rPr>
        <w:t>discriminación contra la mujer, art. 2.</w:t>
      </w:r>
    </w:p>
    <w:p w14:paraId="16AA27BE" w14:textId="77777777" w:rsidR="0014798C" w:rsidRDefault="0014798C">
      <w:pPr>
        <w:spacing w:line="312" w:lineRule="auto"/>
        <w:rPr>
          <w:sz w:val="12"/>
        </w:rPr>
        <w:sectPr w:rsidR="0014798C" w:rsidSect="00F265E4">
          <w:type w:val="continuous"/>
          <w:pgSz w:w="11900" w:h="16820"/>
          <w:pgMar w:top="40" w:right="0" w:bottom="280" w:left="200" w:header="121" w:footer="0" w:gutter="0"/>
          <w:cols w:num="2" w:space="720" w:equalWidth="0">
            <w:col w:w="1250" w:space="40"/>
            <w:col w:w="10410"/>
          </w:cols>
        </w:sectPr>
      </w:pPr>
    </w:p>
    <w:p w14:paraId="18C3728D" w14:textId="77777777" w:rsidR="0014798C" w:rsidRDefault="0014798C">
      <w:pPr>
        <w:pStyle w:val="Textoindependiente"/>
        <w:rPr>
          <w:sz w:val="19"/>
        </w:rPr>
      </w:pPr>
    </w:p>
    <w:p w14:paraId="1D0E4C7D" w14:textId="77777777" w:rsidR="0014798C" w:rsidRDefault="0014798C">
      <w:pPr>
        <w:pStyle w:val="Textoindependiente"/>
        <w:spacing w:before="149"/>
        <w:rPr>
          <w:sz w:val="19"/>
        </w:rPr>
      </w:pPr>
    </w:p>
    <w:p w14:paraId="489912E7" w14:textId="77777777" w:rsidR="0014798C" w:rsidRDefault="004E1F0B">
      <w:pPr>
        <w:ind w:left="544"/>
        <w:rPr>
          <w:sz w:val="19"/>
        </w:rPr>
      </w:pPr>
      <w:r>
        <w:rPr>
          <w:spacing w:val="-5"/>
          <w:sz w:val="19"/>
        </w:rPr>
        <w:t>48</w:t>
      </w:r>
    </w:p>
    <w:p w14:paraId="33770A4D" w14:textId="77777777" w:rsidR="0014798C" w:rsidRDefault="0014798C">
      <w:pPr>
        <w:rPr>
          <w:sz w:val="19"/>
        </w:rPr>
        <w:sectPr w:rsidR="0014798C" w:rsidSect="00F265E4">
          <w:type w:val="continuous"/>
          <w:pgSz w:w="11900" w:h="16820"/>
          <w:pgMar w:top="40" w:right="0" w:bottom="280" w:left="200" w:header="121" w:footer="0" w:gutter="0"/>
          <w:cols w:space="720"/>
        </w:sectPr>
      </w:pPr>
    </w:p>
    <w:p w14:paraId="78D2F267" w14:textId="77777777" w:rsidR="0014798C" w:rsidRDefault="0014798C">
      <w:pPr>
        <w:pStyle w:val="Textoindependiente"/>
        <w:spacing w:before="51"/>
        <w:rPr>
          <w:sz w:val="14"/>
        </w:rPr>
      </w:pPr>
    </w:p>
    <w:p w14:paraId="4FAA4FBB" w14:textId="77777777" w:rsidR="0014798C" w:rsidRDefault="004E1F0B">
      <w:pPr>
        <w:ind w:left="1111"/>
        <w:rPr>
          <w:sz w:val="14"/>
        </w:rPr>
      </w:pPr>
      <w:r>
        <w:rPr>
          <w:color w:val="00AC59"/>
          <w:sz w:val="14"/>
        </w:rPr>
        <w:t>SEGUNDA</w:t>
      </w:r>
      <w:r>
        <w:rPr>
          <w:color w:val="00AC59"/>
          <w:spacing w:val="-5"/>
          <w:sz w:val="14"/>
        </w:rPr>
        <w:t xml:space="preserve"> </w:t>
      </w:r>
      <w:r>
        <w:rPr>
          <w:color w:val="00AC59"/>
          <w:sz w:val="14"/>
        </w:rPr>
        <w:t>PARTE:</w:t>
      </w:r>
      <w:r>
        <w:rPr>
          <w:color w:val="00AC59"/>
          <w:spacing w:val="-5"/>
          <w:sz w:val="14"/>
        </w:rPr>
        <w:t xml:space="preserve"> </w:t>
      </w:r>
      <w:r>
        <w:rPr>
          <w:color w:val="00AC59"/>
          <w:sz w:val="14"/>
        </w:rPr>
        <w:t>CONTENIDO</w:t>
      </w:r>
      <w:r>
        <w:rPr>
          <w:color w:val="00AC59"/>
          <w:spacing w:val="-4"/>
          <w:sz w:val="14"/>
        </w:rPr>
        <w:t xml:space="preserve"> </w:t>
      </w:r>
      <w:r>
        <w:rPr>
          <w:color w:val="00AC59"/>
          <w:sz w:val="14"/>
        </w:rPr>
        <w:t>DE</w:t>
      </w:r>
      <w:r>
        <w:rPr>
          <w:color w:val="00AC59"/>
          <w:spacing w:val="-5"/>
          <w:sz w:val="14"/>
        </w:rPr>
        <w:t xml:space="preserve"> </w:t>
      </w:r>
      <w:r>
        <w:rPr>
          <w:color w:val="00AC59"/>
          <w:sz w:val="14"/>
        </w:rPr>
        <w:t>LA</w:t>
      </w:r>
      <w:r>
        <w:rPr>
          <w:color w:val="00AC59"/>
          <w:spacing w:val="-4"/>
          <w:sz w:val="14"/>
        </w:rPr>
        <w:t xml:space="preserve"> </w:t>
      </w:r>
      <w:r>
        <w:rPr>
          <w:color w:val="00AC59"/>
          <w:sz w:val="14"/>
        </w:rPr>
        <w:t>LEY</w:t>
      </w:r>
      <w:r>
        <w:rPr>
          <w:color w:val="00AC59"/>
          <w:spacing w:val="-4"/>
          <w:sz w:val="14"/>
        </w:rPr>
        <w:t xml:space="preserve"> </w:t>
      </w:r>
      <w:r>
        <w:rPr>
          <w:color w:val="00AC59"/>
          <w:sz w:val="14"/>
        </w:rPr>
        <w:t>INTEGRAL</w:t>
      </w:r>
      <w:r>
        <w:rPr>
          <w:color w:val="00AC59"/>
          <w:spacing w:val="-5"/>
          <w:sz w:val="14"/>
        </w:rPr>
        <w:t xml:space="preserve"> </w:t>
      </w:r>
      <w:r>
        <w:rPr>
          <w:color w:val="00AC59"/>
          <w:spacing w:val="-2"/>
          <w:sz w:val="14"/>
        </w:rPr>
        <w:t>ANTIDISCRIMINACIÓN</w:t>
      </w:r>
    </w:p>
    <w:p w14:paraId="53C18B94" w14:textId="77777777" w:rsidR="0014798C" w:rsidRDefault="0014798C">
      <w:pPr>
        <w:pStyle w:val="Textoindependiente"/>
        <w:rPr>
          <w:sz w:val="15"/>
        </w:rPr>
      </w:pPr>
    </w:p>
    <w:p w14:paraId="43149404" w14:textId="77777777" w:rsidR="0014798C" w:rsidRDefault="0014798C">
      <w:pPr>
        <w:pStyle w:val="Textoindependiente"/>
        <w:rPr>
          <w:sz w:val="15"/>
        </w:rPr>
      </w:pPr>
    </w:p>
    <w:p w14:paraId="077F42D6" w14:textId="77777777" w:rsidR="0014798C" w:rsidRDefault="0014798C">
      <w:pPr>
        <w:pStyle w:val="Textoindependiente"/>
        <w:rPr>
          <w:sz w:val="15"/>
        </w:rPr>
      </w:pPr>
    </w:p>
    <w:p w14:paraId="3833B601" w14:textId="77777777" w:rsidR="0014798C" w:rsidRDefault="0014798C">
      <w:pPr>
        <w:pStyle w:val="Textoindependiente"/>
        <w:rPr>
          <w:sz w:val="15"/>
        </w:rPr>
      </w:pPr>
    </w:p>
    <w:p w14:paraId="32DA08EC" w14:textId="77777777" w:rsidR="0014798C" w:rsidRDefault="0014798C">
      <w:pPr>
        <w:pStyle w:val="Textoindependiente"/>
        <w:spacing w:before="111"/>
        <w:rPr>
          <w:sz w:val="15"/>
        </w:rPr>
      </w:pPr>
    </w:p>
    <w:p w14:paraId="7195274A" w14:textId="77777777" w:rsidR="0014798C" w:rsidRDefault="004E1F0B">
      <w:pPr>
        <w:spacing w:line="348" w:lineRule="auto"/>
        <w:ind w:left="1674" w:right="1771" w:firstLine="4"/>
        <w:jc w:val="both"/>
        <w:rPr>
          <w:sz w:val="15"/>
        </w:rPr>
      </w:pPr>
      <w:r>
        <w:rPr>
          <w:noProof/>
        </w:rPr>
        <w:drawing>
          <wp:anchor distT="0" distB="0" distL="0" distR="0" simplePos="0" relativeHeight="251658397" behindDoc="1" locked="0" layoutInCell="1" allowOverlap="1" wp14:anchorId="6E2A9D1B" wp14:editId="73D9FE14">
            <wp:simplePos x="0" y="0"/>
            <wp:positionH relativeFrom="page">
              <wp:posOffset>795184</wp:posOffset>
            </wp:positionH>
            <wp:positionV relativeFrom="paragraph">
              <wp:posOffset>-152197</wp:posOffset>
            </wp:positionV>
            <wp:extent cx="6761315" cy="7409539"/>
            <wp:effectExtent l="0" t="0" r="0" b="0"/>
            <wp:wrapNone/>
            <wp:docPr id="138" name="Image 13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38" name="Image 138"/>
                    <pic:cNvPicPr/>
                  </pic:nvPicPr>
                  <pic:blipFill>
                    <a:blip r:embed="rId132" cstate="print"/>
                    <a:stretch>
                      <a:fillRect/>
                    </a:stretch>
                  </pic:blipFill>
                  <pic:spPr>
                    <a:xfrm>
                      <a:off x="0" y="0"/>
                      <a:ext cx="6761315" cy="7409539"/>
                    </a:xfrm>
                    <a:prstGeom prst="rect">
                      <a:avLst/>
                    </a:prstGeom>
                  </pic:spPr>
                </pic:pic>
              </a:graphicData>
            </a:graphic>
          </wp:anchor>
        </w:drawing>
      </w:r>
      <w:r>
        <w:rPr>
          <w:w w:val="105"/>
          <w:sz w:val="15"/>
        </w:rPr>
        <w:t>Los</w:t>
      </w:r>
      <w:r>
        <w:rPr>
          <w:spacing w:val="-2"/>
          <w:w w:val="105"/>
          <w:sz w:val="15"/>
        </w:rPr>
        <w:t xml:space="preserve"> </w:t>
      </w:r>
      <w:proofErr w:type="gramStart"/>
      <w:r>
        <w:rPr>
          <w:w w:val="105"/>
          <w:sz w:val="15"/>
        </w:rPr>
        <w:t>Estados</w:t>
      </w:r>
      <w:r>
        <w:rPr>
          <w:spacing w:val="-2"/>
          <w:w w:val="105"/>
          <w:sz w:val="15"/>
        </w:rPr>
        <w:t xml:space="preserve"> </w:t>
      </w:r>
      <w:r>
        <w:rPr>
          <w:w w:val="105"/>
          <w:sz w:val="15"/>
        </w:rPr>
        <w:t>partes</w:t>
      </w:r>
      <w:proofErr w:type="gramEnd"/>
      <w:r>
        <w:rPr>
          <w:spacing w:val="-2"/>
          <w:w w:val="105"/>
          <w:sz w:val="15"/>
        </w:rPr>
        <w:t xml:space="preserve"> </w:t>
      </w:r>
      <w:r>
        <w:rPr>
          <w:w w:val="105"/>
          <w:sz w:val="15"/>
        </w:rPr>
        <w:t>se</w:t>
      </w:r>
      <w:r>
        <w:rPr>
          <w:spacing w:val="-2"/>
          <w:w w:val="105"/>
          <w:sz w:val="15"/>
        </w:rPr>
        <w:t xml:space="preserve"> </w:t>
      </w:r>
      <w:r>
        <w:rPr>
          <w:w w:val="105"/>
          <w:sz w:val="15"/>
        </w:rPr>
        <w:t>comprometen</w:t>
      </w:r>
      <w:r>
        <w:rPr>
          <w:spacing w:val="-2"/>
          <w:w w:val="105"/>
          <w:sz w:val="15"/>
        </w:rPr>
        <w:t xml:space="preserve"> </w:t>
      </w:r>
      <w:r>
        <w:rPr>
          <w:w w:val="105"/>
          <w:sz w:val="15"/>
        </w:rPr>
        <w:t>a</w:t>
      </w:r>
      <w:r>
        <w:rPr>
          <w:spacing w:val="-2"/>
          <w:w w:val="105"/>
          <w:sz w:val="15"/>
        </w:rPr>
        <w:t xml:space="preserve"> </w:t>
      </w:r>
      <w:r>
        <w:rPr>
          <w:w w:val="105"/>
          <w:sz w:val="15"/>
        </w:rPr>
        <w:t>prohibir</w:t>
      </w:r>
      <w:r>
        <w:rPr>
          <w:spacing w:val="-2"/>
          <w:w w:val="105"/>
          <w:sz w:val="15"/>
        </w:rPr>
        <w:t xml:space="preserve"> </w:t>
      </w:r>
      <w:r>
        <w:rPr>
          <w:w w:val="105"/>
          <w:sz w:val="15"/>
        </w:rPr>
        <w:t>y</w:t>
      </w:r>
      <w:r>
        <w:rPr>
          <w:spacing w:val="-2"/>
          <w:w w:val="105"/>
          <w:sz w:val="15"/>
        </w:rPr>
        <w:t xml:space="preserve"> </w:t>
      </w:r>
      <w:r>
        <w:rPr>
          <w:w w:val="105"/>
          <w:sz w:val="15"/>
        </w:rPr>
        <w:t>eliminar</w:t>
      </w:r>
      <w:r>
        <w:rPr>
          <w:spacing w:val="-2"/>
          <w:w w:val="105"/>
          <w:sz w:val="15"/>
        </w:rPr>
        <w:t xml:space="preserve"> </w:t>
      </w:r>
      <w:r>
        <w:rPr>
          <w:w w:val="105"/>
          <w:sz w:val="15"/>
        </w:rPr>
        <w:t>la</w:t>
      </w:r>
      <w:r>
        <w:rPr>
          <w:spacing w:val="-2"/>
          <w:w w:val="105"/>
          <w:sz w:val="15"/>
        </w:rPr>
        <w:t xml:space="preserve"> </w:t>
      </w:r>
      <w:r>
        <w:rPr>
          <w:w w:val="105"/>
          <w:sz w:val="15"/>
        </w:rPr>
        <w:t>discriminación</w:t>
      </w:r>
      <w:r>
        <w:rPr>
          <w:spacing w:val="-2"/>
          <w:w w:val="105"/>
          <w:sz w:val="15"/>
        </w:rPr>
        <w:t xml:space="preserve"> </w:t>
      </w:r>
      <w:r>
        <w:rPr>
          <w:w w:val="105"/>
          <w:sz w:val="15"/>
        </w:rPr>
        <w:t>racial</w:t>
      </w:r>
      <w:r>
        <w:rPr>
          <w:spacing w:val="-2"/>
          <w:w w:val="105"/>
          <w:sz w:val="15"/>
        </w:rPr>
        <w:t xml:space="preserve"> </w:t>
      </w:r>
      <w:r>
        <w:rPr>
          <w:w w:val="105"/>
          <w:sz w:val="15"/>
        </w:rPr>
        <w:t>en</w:t>
      </w:r>
      <w:r>
        <w:rPr>
          <w:spacing w:val="-2"/>
          <w:w w:val="105"/>
          <w:sz w:val="15"/>
        </w:rPr>
        <w:t xml:space="preserve"> </w:t>
      </w:r>
      <w:r>
        <w:rPr>
          <w:w w:val="105"/>
          <w:sz w:val="15"/>
        </w:rPr>
        <w:t>todas</w:t>
      </w:r>
      <w:r>
        <w:rPr>
          <w:spacing w:val="-2"/>
          <w:w w:val="105"/>
          <w:sz w:val="15"/>
        </w:rPr>
        <w:t xml:space="preserve"> </w:t>
      </w:r>
      <w:r>
        <w:rPr>
          <w:w w:val="105"/>
          <w:sz w:val="15"/>
        </w:rPr>
        <w:t>sus</w:t>
      </w:r>
      <w:r>
        <w:rPr>
          <w:spacing w:val="-2"/>
          <w:w w:val="105"/>
          <w:sz w:val="15"/>
        </w:rPr>
        <w:t xml:space="preserve"> </w:t>
      </w:r>
      <w:r>
        <w:rPr>
          <w:w w:val="105"/>
          <w:sz w:val="15"/>
        </w:rPr>
        <w:t>formas</w:t>
      </w:r>
      <w:r>
        <w:rPr>
          <w:spacing w:val="-2"/>
          <w:w w:val="105"/>
          <w:sz w:val="15"/>
        </w:rPr>
        <w:t xml:space="preserve"> </w:t>
      </w:r>
      <w:r>
        <w:rPr>
          <w:w w:val="105"/>
          <w:sz w:val="15"/>
        </w:rPr>
        <w:t>y</w:t>
      </w:r>
      <w:r>
        <w:rPr>
          <w:spacing w:val="-2"/>
          <w:w w:val="105"/>
          <w:sz w:val="15"/>
        </w:rPr>
        <w:t xml:space="preserve"> </w:t>
      </w:r>
      <w:r>
        <w:rPr>
          <w:w w:val="105"/>
          <w:sz w:val="15"/>
        </w:rPr>
        <w:t>a</w:t>
      </w:r>
      <w:r>
        <w:rPr>
          <w:spacing w:val="-2"/>
          <w:w w:val="105"/>
          <w:sz w:val="15"/>
        </w:rPr>
        <w:t xml:space="preserve"> </w:t>
      </w:r>
      <w:r>
        <w:rPr>
          <w:w w:val="105"/>
          <w:sz w:val="15"/>
        </w:rPr>
        <w:t>garantizar</w:t>
      </w:r>
      <w:r>
        <w:rPr>
          <w:spacing w:val="-2"/>
          <w:w w:val="105"/>
          <w:sz w:val="15"/>
        </w:rPr>
        <w:t xml:space="preserve"> </w:t>
      </w:r>
      <w:r>
        <w:rPr>
          <w:w w:val="105"/>
          <w:sz w:val="15"/>
        </w:rPr>
        <w:t>el derecho</w:t>
      </w:r>
      <w:r>
        <w:rPr>
          <w:spacing w:val="-3"/>
          <w:w w:val="105"/>
          <w:sz w:val="15"/>
        </w:rPr>
        <w:t xml:space="preserve"> </w:t>
      </w:r>
      <w:r>
        <w:rPr>
          <w:w w:val="105"/>
          <w:sz w:val="15"/>
        </w:rPr>
        <w:t>de</w:t>
      </w:r>
      <w:r>
        <w:rPr>
          <w:spacing w:val="-3"/>
          <w:w w:val="105"/>
          <w:sz w:val="15"/>
        </w:rPr>
        <w:t xml:space="preserve"> </w:t>
      </w:r>
      <w:r>
        <w:rPr>
          <w:w w:val="105"/>
          <w:sz w:val="15"/>
        </w:rPr>
        <w:t>toda</w:t>
      </w:r>
      <w:r>
        <w:rPr>
          <w:spacing w:val="-4"/>
          <w:w w:val="105"/>
          <w:sz w:val="15"/>
        </w:rPr>
        <w:t xml:space="preserve"> </w:t>
      </w:r>
      <w:r>
        <w:rPr>
          <w:w w:val="105"/>
          <w:sz w:val="15"/>
        </w:rPr>
        <w:t>persona,</w:t>
      </w:r>
      <w:r>
        <w:rPr>
          <w:spacing w:val="-3"/>
          <w:w w:val="105"/>
          <w:sz w:val="15"/>
        </w:rPr>
        <w:t xml:space="preserve"> </w:t>
      </w:r>
      <w:r>
        <w:rPr>
          <w:w w:val="105"/>
          <w:sz w:val="15"/>
        </w:rPr>
        <w:t>sin</w:t>
      </w:r>
      <w:r>
        <w:rPr>
          <w:spacing w:val="-3"/>
          <w:w w:val="105"/>
          <w:sz w:val="15"/>
        </w:rPr>
        <w:t xml:space="preserve"> </w:t>
      </w:r>
      <w:r>
        <w:rPr>
          <w:w w:val="105"/>
          <w:sz w:val="15"/>
        </w:rPr>
        <w:t>distinción</w:t>
      </w:r>
      <w:r>
        <w:rPr>
          <w:spacing w:val="-3"/>
          <w:w w:val="105"/>
          <w:sz w:val="15"/>
        </w:rPr>
        <w:t xml:space="preserve"> </w:t>
      </w:r>
      <w:r>
        <w:rPr>
          <w:w w:val="105"/>
          <w:sz w:val="15"/>
        </w:rPr>
        <w:t>de</w:t>
      </w:r>
      <w:r>
        <w:rPr>
          <w:spacing w:val="-4"/>
          <w:w w:val="105"/>
          <w:sz w:val="15"/>
        </w:rPr>
        <w:t xml:space="preserve"> </w:t>
      </w:r>
      <w:r>
        <w:rPr>
          <w:w w:val="105"/>
          <w:sz w:val="15"/>
        </w:rPr>
        <w:t>raza,</w:t>
      </w:r>
      <w:r>
        <w:rPr>
          <w:spacing w:val="-3"/>
          <w:w w:val="105"/>
          <w:sz w:val="15"/>
        </w:rPr>
        <w:t xml:space="preserve"> </w:t>
      </w:r>
      <w:r>
        <w:rPr>
          <w:w w:val="105"/>
          <w:sz w:val="15"/>
        </w:rPr>
        <w:t>color</w:t>
      </w:r>
      <w:r>
        <w:rPr>
          <w:spacing w:val="-3"/>
          <w:w w:val="105"/>
          <w:sz w:val="15"/>
        </w:rPr>
        <w:t xml:space="preserve"> </w:t>
      </w:r>
      <w:r>
        <w:rPr>
          <w:w w:val="105"/>
          <w:sz w:val="15"/>
        </w:rPr>
        <w:t>u</w:t>
      </w:r>
      <w:r>
        <w:rPr>
          <w:spacing w:val="-3"/>
          <w:w w:val="105"/>
          <w:sz w:val="15"/>
        </w:rPr>
        <w:t xml:space="preserve"> </w:t>
      </w:r>
      <w:r>
        <w:rPr>
          <w:w w:val="105"/>
          <w:sz w:val="15"/>
        </w:rPr>
        <w:t>origen</w:t>
      </w:r>
      <w:r>
        <w:rPr>
          <w:spacing w:val="-4"/>
          <w:w w:val="105"/>
          <w:sz w:val="15"/>
        </w:rPr>
        <w:t xml:space="preserve"> </w:t>
      </w:r>
      <w:r>
        <w:rPr>
          <w:w w:val="105"/>
          <w:sz w:val="15"/>
        </w:rPr>
        <w:t>nacional</w:t>
      </w:r>
      <w:r>
        <w:rPr>
          <w:spacing w:val="-3"/>
          <w:w w:val="105"/>
          <w:sz w:val="15"/>
        </w:rPr>
        <w:t xml:space="preserve"> </w:t>
      </w:r>
      <w:r>
        <w:rPr>
          <w:w w:val="105"/>
          <w:sz w:val="15"/>
        </w:rPr>
        <w:t>o</w:t>
      </w:r>
      <w:r>
        <w:rPr>
          <w:spacing w:val="-3"/>
          <w:w w:val="105"/>
          <w:sz w:val="15"/>
        </w:rPr>
        <w:t xml:space="preserve"> </w:t>
      </w:r>
      <w:r>
        <w:rPr>
          <w:w w:val="105"/>
          <w:sz w:val="15"/>
        </w:rPr>
        <w:t>étnico,</w:t>
      </w:r>
      <w:r>
        <w:rPr>
          <w:spacing w:val="-3"/>
          <w:w w:val="105"/>
          <w:sz w:val="15"/>
        </w:rPr>
        <w:t xml:space="preserve"> </w:t>
      </w:r>
      <w:r>
        <w:rPr>
          <w:w w:val="105"/>
          <w:sz w:val="15"/>
        </w:rPr>
        <w:t>a</w:t>
      </w:r>
      <w:r>
        <w:rPr>
          <w:spacing w:val="-3"/>
          <w:w w:val="105"/>
          <w:sz w:val="15"/>
        </w:rPr>
        <w:t xml:space="preserve"> </w:t>
      </w:r>
      <w:r>
        <w:rPr>
          <w:w w:val="105"/>
          <w:sz w:val="15"/>
        </w:rPr>
        <w:t>la</w:t>
      </w:r>
      <w:r>
        <w:rPr>
          <w:spacing w:val="-3"/>
          <w:w w:val="105"/>
          <w:sz w:val="15"/>
        </w:rPr>
        <w:t xml:space="preserve"> </w:t>
      </w:r>
      <w:r>
        <w:rPr>
          <w:w w:val="105"/>
          <w:sz w:val="15"/>
        </w:rPr>
        <w:t>igualdad</w:t>
      </w:r>
      <w:r>
        <w:rPr>
          <w:spacing w:val="-4"/>
          <w:w w:val="105"/>
          <w:sz w:val="15"/>
        </w:rPr>
        <w:t xml:space="preserve"> </w:t>
      </w:r>
      <w:r>
        <w:rPr>
          <w:w w:val="105"/>
          <w:sz w:val="15"/>
        </w:rPr>
        <w:t>ante</w:t>
      </w:r>
      <w:r>
        <w:rPr>
          <w:spacing w:val="-3"/>
          <w:w w:val="105"/>
          <w:sz w:val="15"/>
        </w:rPr>
        <w:t xml:space="preserve"> </w:t>
      </w:r>
      <w:r>
        <w:rPr>
          <w:w w:val="105"/>
          <w:sz w:val="15"/>
        </w:rPr>
        <w:t>la</w:t>
      </w:r>
      <w:r>
        <w:rPr>
          <w:spacing w:val="-3"/>
          <w:w w:val="105"/>
          <w:sz w:val="15"/>
        </w:rPr>
        <w:t xml:space="preserve"> </w:t>
      </w:r>
      <w:r>
        <w:rPr>
          <w:w w:val="105"/>
          <w:sz w:val="15"/>
        </w:rPr>
        <w:t>ley,</w:t>
      </w:r>
      <w:r>
        <w:rPr>
          <w:spacing w:val="-3"/>
          <w:w w:val="105"/>
          <w:sz w:val="15"/>
        </w:rPr>
        <w:t xml:space="preserve"> </w:t>
      </w:r>
      <w:r>
        <w:rPr>
          <w:w w:val="105"/>
          <w:sz w:val="15"/>
        </w:rPr>
        <w:t>en</w:t>
      </w:r>
      <w:r>
        <w:rPr>
          <w:spacing w:val="-3"/>
          <w:w w:val="105"/>
          <w:sz w:val="15"/>
        </w:rPr>
        <w:t xml:space="preserve"> </w:t>
      </w:r>
      <w:r>
        <w:rPr>
          <w:w w:val="105"/>
          <w:sz w:val="15"/>
        </w:rPr>
        <w:t xml:space="preserve">particular en el disfrute de los siguientes </w:t>
      </w:r>
      <w:proofErr w:type="gramStart"/>
      <w:r>
        <w:rPr>
          <w:w w:val="105"/>
          <w:sz w:val="15"/>
        </w:rPr>
        <w:t>derechos :</w:t>
      </w:r>
      <w:proofErr w:type="gramEnd"/>
    </w:p>
    <w:p w14:paraId="02112EC2" w14:textId="77777777" w:rsidR="0014798C" w:rsidRDefault="004E1F0B">
      <w:pPr>
        <w:pStyle w:val="Prrafodelista"/>
        <w:numPr>
          <w:ilvl w:val="0"/>
          <w:numId w:val="64"/>
        </w:numPr>
        <w:tabs>
          <w:tab w:val="left" w:pos="1866"/>
        </w:tabs>
        <w:spacing w:before="112"/>
        <w:ind w:left="1866" w:hanging="182"/>
        <w:jc w:val="both"/>
        <w:rPr>
          <w:sz w:val="15"/>
        </w:rPr>
      </w:pPr>
      <w:r>
        <w:rPr>
          <w:w w:val="105"/>
          <w:sz w:val="15"/>
        </w:rPr>
        <w:t>El</w:t>
      </w:r>
      <w:r>
        <w:rPr>
          <w:spacing w:val="-7"/>
          <w:w w:val="105"/>
          <w:sz w:val="15"/>
        </w:rPr>
        <w:t xml:space="preserve"> </w:t>
      </w:r>
      <w:r>
        <w:rPr>
          <w:w w:val="105"/>
          <w:sz w:val="15"/>
        </w:rPr>
        <w:t>derecho</w:t>
      </w:r>
      <w:r>
        <w:rPr>
          <w:spacing w:val="-6"/>
          <w:w w:val="105"/>
          <w:sz w:val="15"/>
        </w:rPr>
        <w:t xml:space="preserve"> </w:t>
      </w:r>
      <w:r>
        <w:rPr>
          <w:w w:val="105"/>
          <w:sz w:val="15"/>
        </w:rPr>
        <w:t>a</w:t>
      </w:r>
      <w:r>
        <w:rPr>
          <w:spacing w:val="-7"/>
          <w:w w:val="105"/>
          <w:sz w:val="15"/>
        </w:rPr>
        <w:t xml:space="preserve"> </w:t>
      </w:r>
      <w:r>
        <w:rPr>
          <w:w w:val="105"/>
          <w:sz w:val="15"/>
        </w:rPr>
        <w:t>la</w:t>
      </w:r>
      <w:r>
        <w:rPr>
          <w:spacing w:val="-6"/>
          <w:w w:val="105"/>
          <w:sz w:val="15"/>
        </w:rPr>
        <w:t xml:space="preserve"> </w:t>
      </w:r>
      <w:r>
        <w:rPr>
          <w:w w:val="105"/>
          <w:sz w:val="15"/>
        </w:rPr>
        <w:t>igualdad</w:t>
      </w:r>
      <w:r>
        <w:rPr>
          <w:spacing w:val="-7"/>
          <w:w w:val="105"/>
          <w:sz w:val="15"/>
        </w:rPr>
        <w:t xml:space="preserve"> </w:t>
      </w:r>
      <w:r>
        <w:rPr>
          <w:w w:val="105"/>
          <w:sz w:val="15"/>
        </w:rPr>
        <w:t>de</w:t>
      </w:r>
      <w:r>
        <w:rPr>
          <w:spacing w:val="-6"/>
          <w:w w:val="105"/>
          <w:sz w:val="15"/>
        </w:rPr>
        <w:t xml:space="preserve"> </w:t>
      </w:r>
      <w:r>
        <w:rPr>
          <w:w w:val="105"/>
          <w:sz w:val="15"/>
        </w:rPr>
        <w:t>trato</w:t>
      </w:r>
      <w:r>
        <w:rPr>
          <w:spacing w:val="-7"/>
          <w:w w:val="105"/>
          <w:sz w:val="15"/>
        </w:rPr>
        <w:t xml:space="preserve"> </w:t>
      </w:r>
      <w:r>
        <w:rPr>
          <w:w w:val="105"/>
          <w:sz w:val="15"/>
        </w:rPr>
        <w:t>ante</w:t>
      </w:r>
      <w:r>
        <w:rPr>
          <w:spacing w:val="-6"/>
          <w:w w:val="105"/>
          <w:sz w:val="15"/>
        </w:rPr>
        <w:t xml:space="preserve"> </w:t>
      </w:r>
      <w:r>
        <w:rPr>
          <w:w w:val="105"/>
          <w:sz w:val="15"/>
        </w:rPr>
        <w:t>los</w:t>
      </w:r>
      <w:r>
        <w:rPr>
          <w:spacing w:val="-7"/>
          <w:w w:val="105"/>
          <w:sz w:val="15"/>
        </w:rPr>
        <w:t xml:space="preserve"> </w:t>
      </w:r>
      <w:r>
        <w:rPr>
          <w:w w:val="105"/>
          <w:sz w:val="15"/>
        </w:rPr>
        <w:t>tribunales</w:t>
      </w:r>
      <w:r>
        <w:rPr>
          <w:spacing w:val="-6"/>
          <w:w w:val="105"/>
          <w:sz w:val="15"/>
        </w:rPr>
        <w:t xml:space="preserve"> </w:t>
      </w:r>
      <w:r>
        <w:rPr>
          <w:w w:val="105"/>
          <w:sz w:val="15"/>
        </w:rPr>
        <w:t>y</w:t>
      </w:r>
      <w:r>
        <w:rPr>
          <w:spacing w:val="-7"/>
          <w:w w:val="105"/>
          <w:sz w:val="15"/>
        </w:rPr>
        <w:t xml:space="preserve"> </w:t>
      </w:r>
      <w:r>
        <w:rPr>
          <w:w w:val="105"/>
          <w:sz w:val="15"/>
        </w:rPr>
        <w:t>todos</w:t>
      </w:r>
      <w:r>
        <w:rPr>
          <w:spacing w:val="-6"/>
          <w:w w:val="105"/>
          <w:sz w:val="15"/>
        </w:rPr>
        <w:t xml:space="preserve"> </w:t>
      </w:r>
      <w:r>
        <w:rPr>
          <w:w w:val="105"/>
          <w:sz w:val="15"/>
        </w:rPr>
        <w:t>los</w:t>
      </w:r>
      <w:r>
        <w:rPr>
          <w:spacing w:val="-7"/>
          <w:w w:val="105"/>
          <w:sz w:val="15"/>
        </w:rPr>
        <w:t xml:space="preserve"> </w:t>
      </w:r>
      <w:r>
        <w:rPr>
          <w:w w:val="105"/>
          <w:sz w:val="15"/>
        </w:rPr>
        <w:t>demás</w:t>
      </w:r>
      <w:r>
        <w:rPr>
          <w:spacing w:val="-6"/>
          <w:w w:val="105"/>
          <w:sz w:val="15"/>
        </w:rPr>
        <w:t xml:space="preserve"> </w:t>
      </w:r>
      <w:r>
        <w:rPr>
          <w:w w:val="105"/>
          <w:sz w:val="15"/>
        </w:rPr>
        <w:t>órganos</w:t>
      </w:r>
      <w:r>
        <w:rPr>
          <w:spacing w:val="-7"/>
          <w:w w:val="105"/>
          <w:sz w:val="15"/>
        </w:rPr>
        <w:t xml:space="preserve"> </w:t>
      </w:r>
      <w:r>
        <w:rPr>
          <w:w w:val="105"/>
          <w:sz w:val="15"/>
        </w:rPr>
        <w:t>que</w:t>
      </w:r>
      <w:r>
        <w:rPr>
          <w:spacing w:val="-6"/>
          <w:w w:val="105"/>
          <w:sz w:val="15"/>
        </w:rPr>
        <w:t xml:space="preserve"> </w:t>
      </w:r>
      <w:r>
        <w:rPr>
          <w:w w:val="105"/>
          <w:sz w:val="15"/>
        </w:rPr>
        <w:t>administran</w:t>
      </w:r>
      <w:r>
        <w:rPr>
          <w:spacing w:val="-7"/>
          <w:w w:val="105"/>
          <w:sz w:val="15"/>
        </w:rPr>
        <w:t xml:space="preserve"> </w:t>
      </w:r>
      <w:r>
        <w:rPr>
          <w:spacing w:val="-2"/>
          <w:w w:val="105"/>
          <w:sz w:val="15"/>
        </w:rPr>
        <w:t>justicia;</w:t>
      </w:r>
    </w:p>
    <w:p w14:paraId="683B791A" w14:textId="77777777" w:rsidR="0014798C" w:rsidRDefault="004E1F0B">
      <w:pPr>
        <w:pStyle w:val="Prrafodelista"/>
        <w:numPr>
          <w:ilvl w:val="0"/>
          <w:numId w:val="64"/>
        </w:numPr>
        <w:tabs>
          <w:tab w:val="left" w:pos="1865"/>
          <w:tab w:val="left" w:pos="2012"/>
        </w:tabs>
        <w:spacing w:before="162" w:line="348" w:lineRule="auto"/>
        <w:ind w:left="2012" w:right="1902" w:hanging="329"/>
        <w:jc w:val="both"/>
        <w:rPr>
          <w:sz w:val="15"/>
        </w:rPr>
      </w:pPr>
      <w:r>
        <w:rPr>
          <w:w w:val="105"/>
          <w:sz w:val="15"/>
        </w:rPr>
        <w:t>El</w:t>
      </w:r>
      <w:r>
        <w:rPr>
          <w:spacing w:val="-3"/>
          <w:w w:val="105"/>
          <w:sz w:val="15"/>
        </w:rPr>
        <w:t xml:space="preserve"> </w:t>
      </w:r>
      <w:r>
        <w:rPr>
          <w:w w:val="105"/>
          <w:sz w:val="15"/>
        </w:rPr>
        <w:t>derecho</w:t>
      </w:r>
      <w:r>
        <w:rPr>
          <w:spacing w:val="-3"/>
          <w:w w:val="105"/>
          <w:sz w:val="15"/>
        </w:rPr>
        <w:t xml:space="preserve"> </w:t>
      </w:r>
      <w:r>
        <w:rPr>
          <w:w w:val="105"/>
          <w:sz w:val="15"/>
        </w:rPr>
        <w:t>a</w:t>
      </w:r>
      <w:r>
        <w:rPr>
          <w:spacing w:val="-3"/>
          <w:w w:val="105"/>
          <w:sz w:val="15"/>
        </w:rPr>
        <w:t xml:space="preserve"> </w:t>
      </w:r>
      <w:r>
        <w:rPr>
          <w:w w:val="105"/>
          <w:sz w:val="15"/>
        </w:rPr>
        <w:t>la</w:t>
      </w:r>
      <w:r>
        <w:rPr>
          <w:spacing w:val="-3"/>
          <w:w w:val="105"/>
          <w:sz w:val="15"/>
        </w:rPr>
        <w:t xml:space="preserve"> </w:t>
      </w:r>
      <w:r>
        <w:rPr>
          <w:w w:val="105"/>
          <w:sz w:val="15"/>
        </w:rPr>
        <w:t>seguridad</w:t>
      </w:r>
      <w:r>
        <w:rPr>
          <w:spacing w:val="-3"/>
          <w:w w:val="105"/>
          <w:sz w:val="15"/>
        </w:rPr>
        <w:t xml:space="preserve"> </w:t>
      </w:r>
      <w:r>
        <w:rPr>
          <w:w w:val="105"/>
          <w:sz w:val="15"/>
        </w:rPr>
        <w:t>de</w:t>
      </w:r>
      <w:r>
        <w:rPr>
          <w:spacing w:val="-3"/>
          <w:w w:val="105"/>
          <w:sz w:val="15"/>
        </w:rPr>
        <w:t xml:space="preserve"> </w:t>
      </w:r>
      <w:r>
        <w:rPr>
          <w:w w:val="105"/>
          <w:sz w:val="15"/>
        </w:rPr>
        <w:t>la</w:t>
      </w:r>
      <w:r>
        <w:rPr>
          <w:spacing w:val="-3"/>
          <w:w w:val="105"/>
          <w:sz w:val="15"/>
        </w:rPr>
        <w:t xml:space="preserve"> </w:t>
      </w:r>
      <w:r>
        <w:rPr>
          <w:w w:val="105"/>
          <w:sz w:val="15"/>
        </w:rPr>
        <w:t>persona</w:t>
      </w:r>
      <w:r>
        <w:rPr>
          <w:spacing w:val="-3"/>
          <w:w w:val="105"/>
          <w:sz w:val="15"/>
        </w:rPr>
        <w:t xml:space="preserve"> </w:t>
      </w:r>
      <w:r>
        <w:rPr>
          <w:w w:val="105"/>
          <w:sz w:val="15"/>
        </w:rPr>
        <w:t>y</w:t>
      </w:r>
      <w:r>
        <w:rPr>
          <w:spacing w:val="-3"/>
          <w:w w:val="105"/>
          <w:sz w:val="15"/>
        </w:rPr>
        <w:t xml:space="preserve"> </w:t>
      </w:r>
      <w:r>
        <w:rPr>
          <w:w w:val="105"/>
          <w:sz w:val="15"/>
        </w:rPr>
        <w:t>a</w:t>
      </w:r>
      <w:r>
        <w:rPr>
          <w:spacing w:val="-3"/>
          <w:w w:val="105"/>
          <w:sz w:val="15"/>
        </w:rPr>
        <w:t xml:space="preserve"> </w:t>
      </w:r>
      <w:r>
        <w:rPr>
          <w:w w:val="105"/>
          <w:sz w:val="15"/>
        </w:rPr>
        <w:t>la</w:t>
      </w:r>
      <w:r>
        <w:rPr>
          <w:spacing w:val="-3"/>
          <w:w w:val="105"/>
          <w:sz w:val="15"/>
        </w:rPr>
        <w:t xml:space="preserve"> </w:t>
      </w:r>
      <w:r>
        <w:rPr>
          <w:w w:val="105"/>
          <w:sz w:val="15"/>
        </w:rPr>
        <w:t>protección</w:t>
      </w:r>
      <w:r>
        <w:rPr>
          <w:spacing w:val="-3"/>
          <w:w w:val="105"/>
          <w:sz w:val="15"/>
        </w:rPr>
        <w:t xml:space="preserve"> </w:t>
      </w:r>
      <w:r>
        <w:rPr>
          <w:w w:val="105"/>
          <w:sz w:val="15"/>
        </w:rPr>
        <w:t>del</w:t>
      </w:r>
      <w:r>
        <w:rPr>
          <w:spacing w:val="-3"/>
          <w:w w:val="105"/>
          <w:sz w:val="15"/>
        </w:rPr>
        <w:t xml:space="preserve"> </w:t>
      </w:r>
      <w:r>
        <w:rPr>
          <w:w w:val="105"/>
          <w:sz w:val="15"/>
        </w:rPr>
        <w:t>Estado</w:t>
      </w:r>
      <w:r>
        <w:rPr>
          <w:spacing w:val="-3"/>
          <w:w w:val="105"/>
          <w:sz w:val="15"/>
        </w:rPr>
        <w:t xml:space="preserve"> </w:t>
      </w:r>
      <w:r>
        <w:rPr>
          <w:w w:val="105"/>
          <w:sz w:val="15"/>
        </w:rPr>
        <w:t>contra</w:t>
      </w:r>
      <w:r>
        <w:rPr>
          <w:spacing w:val="-3"/>
          <w:w w:val="105"/>
          <w:sz w:val="15"/>
        </w:rPr>
        <w:t xml:space="preserve"> </w:t>
      </w:r>
      <w:r>
        <w:rPr>
          <w:w w:val="105"/>
          <w:sz w:val="15"/>
        </w:rPr>
        <w:t>la</w:t>
      </w:r>
      <w:r>
        <w:rPr>
          <w:spacing w:val="-3"/>
          <w:w w:val="105"/>
          <w:sz w:val="15"/>
        </w:rPr>
        <w:t xml:space="preserve"> </w:t>
      </w:r>
      <w:r>
        <w:rPr>
          <w:w w:val="105"/>
          <w:sz w:val="15"/>
        </w:rPr>
        <w:t>violencia</w:t>
      </w:r>
      <w:r>
        <w:rPr>
          <w:spacing w:val="-3"/>
          <w:w w:val="105"/>
          <w:sz w:val="15"/>
        </w:rPr>
        <w:t xml:space="preserve"> </w:t>
      </w:r>
      <w:r>
        <w:rPr>
          <w:w w:val="105"/>
          <w:sz w:val="15"/>
        </w:rPr>
        <w:t>o</w:t>
      </w:r>
      <w:r>
        <w:rPr>
          <w:spacing w:val="-3"/>
          <w:w w:val="105"/>
          <w:sz w:val="15"/>
        </w:rPr>
        <w:t xml:space="preserve"> </w:t>
      </w:r>
      <w:r>
        <w:rPr>
          <w:w w:val="105"/>
          <w:sz w:val="15"/>
        </w:rPr>
        <w:t>los</w:t>
      </w:r>
      <w:r>
        <w:rPr>
          <w:spacing w:val="-3"/>
          <w:w w:val="105"/>
          <w:sz w:val="15"/>
        </w:rPr>
        <w:t xml:space="preserve"> </w:t>
      </w:r>
      <w:r>
        <w:rPr>
          <w:w w:val="105"/>
          <w:sz w:val="15"/>
        </w:rPr>
        <w:t>daños</w:t>
      </w:r>
      <w:r>
        <w:rPr>
          <w:spacing w:val="-3"/>
          <w:w w:val="105"/>
          <w:sz w:val="15"/>
        </w:rPr>
        <w:t xml:space="preserve"> </w:t>
      </w:r>
      <w:r>
        <w:rPr>
          <w:w w:val="105"/>
          <w:sz w:val="15"/>
        </w:rPr>
        <w:t>corporales,</w:t>
      </w:r>
      <w:r>
        <w:rPr>
          <w:spacing w:val="-2"/>
          <w:w w:val="105"/>
          <w:sz w:val="15"/>
        </w:rPr>
        <w:t xml:space="preserve"> </w:t>
      </w:r>
      <w:r>
        <w:rPr>
          <w:w w:val="105"/>
          <w:sz w:val="15"/>
        </w:rPr>
        <w:t>ya sean</w:t>
      </w:r>
      <w:r>
        <w:rPr>
          <w:spacing w:val="-4"/>
          <w:w w:val="105"/>
          <w:sz w:val="15"/>
        </w:rPr>
        <w:t xml:space="preserve"> </w:t>
      </w:r>
      <w:r>
        <w:rPr>
          <w:w w:val="105"/>
          <w:sz w:val="15"/>
        </w:rPr>
        <w:t>infligidos</w:t>
      </w:r>
      <w:r>
        <w:rPr>
          <w:spacing w:val="-4"/>
          <w:w w:val="105"/>
          <w:sz w:val="15"/>
        </w:rPr>
        <w:t xml:space="preserve"> </w:t>
      </w:r>
      <w:r>
        <w:rPr>
          <w:w w:val="105"/>
          <w:sz w:val="15"/>
        </w:rPr>
        <w:t>por</w:t>
      </w:r>
      <w:r>
        <w:rPr>
          <w:spacing w:val="-4"/>
          <w:w w:val="105"/>
          <w:sz w:val="15"/>
        </w:rPr>
        <w:t xml:space="preserve"> </w:t>
      </w:r>
      <w:r>
        <w:rPr>
          <w:w w:val="105"/>
          <w:sz w:val="15"/>
        </w:rPr>
        <w:t>funcionarios</w:t>
      </w:r>
      <w:r>
        <w:rPr>
          <w:spacing w:val="-4"/>
          <w:w w:val="105"/>
          <w:sz w:val="15"/>
        </w:rPr>
        <w:t xml:space="preserve"> </w:t>
      </w:r>
      <w:r>
        <w:rPr>
          <w:w w:val="105"/>
          <w:sz w:val="15"/>
        </w:rPr>
        <w:t>gubernamentales</w:t>
      </w:r>
      <w:r>
        <w:rPr>
          <w:spacing w:val="-4"/>
          <w:w w:val="105"/>
          <w:sz w:val="15"/>
        </w:rPr>
        <w:t xml:space="preserve"> </w:t>
      </w:r>
      <w:r>
        <w:rPr>
          <w:w w:val="105"/>
          <w:sz w:val="15"/>
        </w:rPr>
        <w:t>o</w:t>
      </w:r>
      <w:r>
        <w:rPr>
          <w:spacing w:val="-4"/>
          <w:w w:val="105"/>
          <w:sz w:val="15"/>
        </w:rPr>
        <w:t xml:space="preserve"> </w:t>
      </w:r>
      <w:r>
        <w:rPr>
          <w:w w:val="105"/>
          <w:sz w:val="15"/>
        </w:rPr>
        <w:t>por</w:t>
      </w:r>
      <w:r>
        <w:rPr>
          <w:spacing w:val="-4"/>
          <w:w w:val="105"/>
          <w:sz w:val="15"/>
        </w:rPr>
        <w:t xml:space="preserve"> </w:t>
      </w:r>
      <w:r>
        <w:rPr>
          <w:w w:val="105"/>
          <w:sz w:val="15"/>
        </w:rPr>
        <w:t>cualquier</w:t>
      </w:r>
      <w:r>
        <w:rPr>
          <w:spacing w:val="-4"/>
          <w:w w:val="105"/>
          <w:sz w:val="15"/>
        </w:rPr>
        <w:t xml:space="preserve"> </w:t>
      </w:r>
      <w:r>
        <w:rPr>
          <w:w w:val="105"/>
          <w:sz w:val="15"/>
        </w:rPr>
        <w:t>grupo</w:t>
      </w:r>
      <w:r>
        <w:rPr>
          <w:spacing w:val="-4"/>
          <w:w w:val="105"/>
          <w:sz w:val="15"/>
        </w:rPr>
        <w:t xml:space="preserve"> </w:t>
      </w:r>
      <w:r>
        <w:rPr>
          <w:w w:val="105"/>
          <w:sz w:val="15"/>
        </w:rPr>
        <w:t>o</w:t>
      </w:r>
      <w:r>
        <w:rPr>
          <w:spacing w:val="-4"/>
          <w:w w:val="105"/>
          <w:sz w:val="15"/>
        </w:rPr>
        <w:t xml:space="preserve"> </w:t>
      </w:r>
      <w:r>
        <w:rPr>
          <w:w w:val="105"/>
          <w:sz w:val="15"/>
        </w:rPr>
        <w:t>institución</w:t>
      </w:r>
      <w:r>
        <w:rPr>
          <w:spacing w:val="-4"/>
          <w:w w:val="105"/>
          <w:sz w:val="15"/>
        </w:rPr>
        <w:t xml:space="preserve"> </w:t>
      </w:r>
      <w:r>
        <w:rPr>
          <w:w w:val="105"/>
          <w:sz w:val="15"/>
        </w:rPr>
        <w:t>individual;</w:t>
      </w:r>
    </w:p>
    <w:p w14:paraId="4CA1D63B" w14:textId="77777777" w:rsidR="0014798C" w:rsidRDefault="004E1F0B">
      <w:pPr>
        <w:pStyle w:val="Prrafodelista"/>
        <w:numPr>
          <w:ilvl w:val="0"/>
          <w:numId w:val="64"/>
        </w:numPr>
        <w:tabs>
          <w:tab w:val="left" w:pos="1856"/>
          <w:tab w:val="left" w:pos="2017"/>
        </w:tabs>
        <w:spacing w:before="84" w:line="348" w:lineRule="auto"/>
        <w:ind w:left="2017" w:right="1812" w:hanging="334"/>
        <w:jc w:val="both"/>
        <w:rPr>
          <w:sz w:val="15"/>
        </w:rPr>
      </w:pPr>
      <w:r>
        <w:rPr>
          <w:w w:val="105"/>
          <w:sz w:val="15"/>
        </w:rPr>
        <w:t>Los</w:t>
      </w:r>
      <w:r>
        <w:rPr>
          <w:spacing w:val="-3"/>
          <w:w w:val="105"/>
          <w:sz w:val="15"/>
        </w:rPr>
        <w:t xml:space="preserve"> </w:t>
      </w:r>
      <w:r>
        <w:rPr>
          <w:w w:val="105"/>
          <w:sz w:val="15"/>
        </w:rPr>
        <w:t>derechos</w:t>
      </w:r>
      <w:r>
        <w:rPr>
          <w:spacing w:val="-3"/>
          <w:w w:val="105"/>
          <w:sz w:val="15"/>
        </w:rPr>
        <w:t xml:space="preserve"> </w:t>
      </w:r>
      <w:r>
        <w:rPr>
          <w:w w:val="105"/>
          <w:sz w:val="15"/>
        </w:rPr>
        <w:t>políticos,</w:t>
      </w:r>
      <w:r>
        <w:rPr>
          <w:spacing w:val="-2"/>
          <w:w w:val="105"/>
          <w:sz w:val="15"/>
        </w:rPr>
        <w:t xml:space="preserve"> </w:t>
      </w:r>
      <w:r>
        <w:rPr>
          <w:w w:val="105"/>
          <w:sz w:val="15"/>
        </w:rPr>
        <w:t>en</w:t>
      </w:r>
      <w:r>
        <w:rPr>
          <w:spacing w:val="-3"/>
          <w:w w:val="105"/>
          <w:sz w:val="15"/>
        </w:rPr>
        <w:t xml:space="preserve"> </w:t>
      </w:r>
      <w:r>
        <w:rPr>
          <w:w w:val="105"/>
          <w:sz w:val="15"/>
        </w:rPr>
        <w:t>particular</w:t>
      </w:r>
      <w:r>
        <w:rPr>
          <w:spacing w:val="-3"/>
          <w:w w:val="105"/>
          <w:sz w:val="15"/>
        </w:rPr>
        <w:t xml:space="preserve"> </w:t>
      </w:r>
      <w:r>
        <w:rPr>
          <w:w w:val="105"/>
          <w:sz w:val="15"/>
        </w:rPr>
        <w:t>el</w:t>
      </w:r>
      <w:r>
        <w:rPr>
          <w:spacing w:val="-3"/>
          <w:w w:val="105"/>
          <w:sz w:val="15"/>
        </w:rPr>
        <w:t xml:space="preserve"> </w:t>
      </w:r>
      <w:r>
        <w:rPr>
          <w:w w:val="105"/>
          <w:sz w:val="15"/>
        </w:rPr>
        <w:t>derecho</w:t>
      </w:r>
      <w:r>
        <w:rPr>
          <w:spacing w:val="-3"/>
          <w:w w:val="105"/>
          <w:sz w:val="15"/>
        </w:rPr>
        <w:t xml:space="preserve"> </w:t>
      </w:r>
      <w:r>
        <w:rPr>
          <w:w w:val="105"/>
          <w:sz w:val="15"/>
        </w:rPr>
        <w:t>a</w:t>
      </w:r>
      <w:r>
        <w:rPr>
          <w:spacing w:val="-3"/>
          <w:w w:val="105"/>
          <w:sz w:val="15"/>
        </w:rPr>
        <w:t xml:space="preserve"> </w:t>
      </w:r>
      <w:r>
        <w:rPr>
          <w:w w:val="105"/>
          <w:sz w:val="15"/>
        </w:rPr>
        <w:t>participar</w:t>
      </w:r>
      <w:r>
        <w:rPr>
          <w:spacing w:val="-3"/>
          <w:w w:val="105"/>
          <w:sz w:val="15"/>
        </w:rPr>
        <w:t xml:space="preserve"> </w:t>
      </w:r>
      <w:r>
        <w:rPr>
          <w:w w:val="105"/>
          <w:sz w:val="15"/>
        </w:rPr>
        <w:t>en</w:t>
      </w:r>
      <w:r>
        <w:rPr>
          <w:spacing w:val="-3"/>
          <w:w w:val="105"/>
          <w:sz w:val="15"/>
        </w:rPr>
        <w:t xml:space="preserve"> </w:t>
      </w:r>
      <w:r>
        <w:rPr>
          <w:w w:val="105"/>
          <w:sz w:val="15"/>
        </w:rPr>
        <w:t>las</w:t>
      </w:r>
      <w:r>
        <w:rPr>
          <w:spacing w:val="-3"/>
          <w:w w:val="105"/>
          <w:sz w:val="15"/>
        </w:rPr>
        <w:t xml:space="preserve"> </w:t>
      </w:r>
      <w:r>
        <w:rPr>
          <w:w w:val="105"/>
          <w:sz w:val="15"/>
        </w:rPr>
        <w:t>elecciones</w:t>
      </w:r>
      <w:r>
        <w:rPr>
          <w:spacing w:val="-3"/>
          <w:w w:val="105"/>
          <w:sz w:val="15"/>
        </w:rPr>
        <w:t xml:space="preserve"> </w:t>
      </w:r>
      <w:r>
        <w:rPr>
          <w:w w:val="105"/>
          <w:sz w:val="15"/>
        </w:rPr>
        <w:t>(votar</w:t>
      </w:r>
      <w:r>
        <w:rPr>
          <w:spacing w:val="-3"/>
          <w:w w:val="105"/>
          <w:sz w:val="15"/>
        </w:rPr>
        <w:t xml:space="preserve"> </w:t>
      </w:r>
      <w:r>
        <w:rPr>
          <w:w w:val="105"/>
          <w:sz w:val="15"/>
        </w:rPr>
        <w:t>y</w:t>
      </w:r>
      <w:r>
        <w:rPr>
          <w:spacing w:val="-3"/>
          <w:w w:val="105"/>
          <w:sz w:val="15"/>
        </w:rPr>
        <w:t xml:space="preserve"> </w:t>
      </w:r>
      <w:r>
        <w:rPr>
          <w:w w:val="105"/>
          <w:sz w:val="15"/>
        </w:rPr>
        <w:t>presentarse</w:t>
      </w:r>
      <w:r>
        <w:rPr>
          <w:spacing w:val="-3"/>
          <w:w w:val="105"/>
          <w:sz w:val="15"/>
        </w:rPr>
        <w:t xml:space="preserve"> </w:t>
      </w:r>
      <w:r>
        <w:rPr>
          <w:w w:val="105"/>
          <w:sz w:val="15"/>
        </w:rPr>
        <w:t>a</w:t>
      </w:r>
      <w:r>
        <w:rPr>
          <w:spacing w:val="-3"/>
          <w:w w:val="105"/>
          <w:sz w:val="15"/>
        </w:rPr>
        <w:t xml:space="preserve"> </w:t>
      </w:r>
      <w:r>
        <w:rPr>
          <w:w w:val="105"/>
          <w:sz w:val="15"/>
        </w:rPr>
        <w:t>las</w:t>
      </w:r>
      <w:r>
        <w:rPr>
          <w:spacing w:val="-3"/>
          <w:w w:val="105"/>
          <w:sz w:val="15"/>
        </w:rPr>
        <w:t xml:space="preserve"> </w:t>
      </w:r>
      <w:r>
        <w:rPr>
          <w:w w:val="105"/>
          <w:sz w:val="15"/>
        </w:rPr>
        <w:t>elecciones) sobre</w:t>
      </w:r>
      <w:r>
        <w:rPr>
          <w:spacing w:val="-3"/>
          <w:w w:val="105"/>
          <w:sz w:val="15"/>
        </w:rPr>
        <w:t xml:space="preserve"> </w:t>
      </w:r>
      <w:r>
        <w:rPr>
          <w:w w:val="105"/>
          <w:sz w:val="15"/>
        </w:rPr>
        <w:t>la</w:t>
      </w:r>
      <w:r>
        <w:rPr>
          <w:spacing w:val="-3"/>
          <w:w w:val="105"/>
          <w:sz w:val="15"/>
        </w:rPr>
        <w:t xml:space="preserve"> </w:t>
      </w:r>
      <w:r>
        <w:rPr>
          <w:w w:val="105"/>
          <w:sz w:val="15"/>
        </w:rPr>
        <w:t>base</w:t>
      </w:r>
      <w:r>
        <w:rPr>
          <w:spacing w:val="-3"/>
          <w:w w:val="105"/>
          <w:sz w:val="15"/>
        </w:rPr>
        <w:t xml:space="preserve"> </w:t>
      </w:r>
      <w:r>
        <w:rPr>
          <w:w w:val="105"/>
          <w:sz w:val="15"/>
        </w:rPr>
        <w:t>del</w:t>
      </w:r>
      <w:r>
        <w:rPr>
          <w:spacing w:val="-3"/>
          <w:w w:val="105"/>
          <w:sz w:val="15"/>
        </w:rPr>
        <w:t xml:space="preserve"> </w:t>
      </w:r>
      <w:r>
        <w:rPr>
          <w:w w:val="105"/>
          <w:sz w:val="15"/>
        </w:rPr>
        <w:t>sufragio</w:t>
      </w:r>
      <w:r>
        <w:rPr>
          <w:spacing w:val="-3"/>
          <w:w w:val="105"/>
          <w:sz w:val="15"/>
        </w:rPr>
        <w:t xml:space="preserve"> </w:t>
      </w:r>
      <w:r>
        <w:rPr>
          <w:w w:val="105"/>
          <w:sz w:val="15"/>
        </w:rPr>
        <w:t>universal</w:t>
      </w:r>
      <w:r>
        <w:rPr>
          <w:spacing w:val="-3"/>
          <w:w w:val="105"/>
          <w:sz w:val="15"/>
        </w:rPr>
        <w:t xml:space="preserve"> </w:t>
      </w:r>
      <w:r>
        <w:rPr>
          <w:w w:val="105"/>
          <w:sz w:val="15"/>
        </w:rPr>
        <w:t>e</w:t>
      </w:r>
      <w:r>
        <w:rPr>
          <w:spacing w:val="-3"/>
          <w:w w:val="105"/>
          <w:sz w:val="15"/>
        </w:rPr>
        <w:t xml:space="preserve"> </w:t>
      </w:r>
      <w:r>
        <w:rPr>
          <w:w w:val="105"/>
          <w:sz w:val="15"/>
        </w:rPr>
        <w:t>igual,</w:t>
      </w:r>
      <w:r>
        <w:rPr>
          <w:spacing w:val="-2"/>
          <w:w w:val="105"/>
          <w:sz w:val="15"/>
        </w:rPr>
        <w:t xml:space="preserve"> </w:t>
      </w:r>
      <w:r>
        <w:rPr>
          <w:w w:val="105"/>
          <w:sz w:val="15"/>
        </w:rPr>
        <w:t>a</w:t>
      </w:r>
      <w:r>
        <w:rPr>
          <w:spacing w:val="-3"/>
          <w:w w:val="105"/>
          <w:sz w:val="15"/>
        </w:rPr>
        <w:t xml:space="preserve"> </w:t>
      </w:r>
      <w:r>
        <w:rPr>
          <w:w w:val="105"/>
          <w:sz w:val="15"/>
        </w:rPr>
        <w:t>participar</w:t>
      </w:r>
      <w:r>
        <w:rPr>
          <w:spacing w:val="-3"/>
          <w:w w:val="105"/>
          <w:sz w:val="15"/>
        </w:rPr>
        <w:t xml:space="preserve"> </w:t>
      </w:r>
      <w:r>
        <w:rPr>
          <w:w w:val="105"/>
          <w:sz w:val="15"/>
        </w:rPr>
        <w:t>en</w:t>
      </w:r>
      <w:r>
        <w:rPr>
          <w:spacing w:val="-3"/>
          <w:w w:val="105"/>
          <w:sz w:val="15"/>
        </w:rPr>
        <w:t xml:space="preserve"> </w:t>
      </w:r>
      <w:r>
        <w:rPr>
          <w:w w:val="105"/>
          <w:sz w:val="15"/>
        </w:rPr>
        <w:t>el</w:t>
      </w:r>
      <w:r>
        <w:rPr>
          <w:spacing w:val="-3"/>
          <w:w w:val="105"/>
          <w:sz w:val="15"/>
        </w:rPr>
        <w:t xml:space="preserve"> </w:t>
      </w:r>
      <w:r>
        <w:rPr>
          <w:w w:val="105"/>
          <w:sz w:val="15"/>
        </w:rPr>
        <w:t>gobierno</w:t>
      </w:r>
      <w:r>
        <w:rPr>
          <w:spacing w:val="-3"/>
          <w:w w:val="105"/>
          <w:sz w:val="15"/>
        </w:rPr>
        <w:t xml:space="preserve"> </w:t>
      </w:r>
      <w:r>
        <w:rPr>
          <w:w w:val="105"/>
          <w:sz w:val="15"/>
        </w:rPr>
        <w:t>y</w:t>
      </w:r>
      <w:r>
        <w:rPr>
          <w:spacing w:val="-3"/>
          <w:w w:val="105"/>
          <w:sz w:val="15"/>
        </w:rPr>
        <w:t xml:space="preserve"> </w:t>
      </w:r>
      <w:r>
        <w:rPr>
          <w:w w:val="105"/>
          <w:sz w:val="15"/>
        </w:rPr>
        <w:t>en</w:t>
      </w:r>
      <w:r>
        <w:rPr>
          <w:spacing w:val="-3"/>
          <w:w w:val="105"/>
          <w:sz w:val="15"/>
        </w:rPr>
        <w:t xml:space="preserve"> </w:t>
      </w:r>
      <w:r>
        <w:rPr>
          <w:w w:val="105"/>
          <w:sz w:val="15"/>
        </w:rPr>
        <w:t>la</w:t>
      </w:r>
      <w:r>
        <w:rPr>
          <w:spacing w:val="-3"/>
          <w:w w:val="105"/>
          <w:sz w:val="15"/>
        </w:rPr>
        <w:t xml:space="preserve"> </w:t>
      </w:r>
      <w:r>
        <w:rPr>
          <w:w w:val="105"/>
          <w:sz w:val="15"/>
        </w:rPr>
        <w:t>dirección</w:t>
      </w:r>
      <w:r>
        <w:rPr>
          <w:spacing w:val="-3"/>
          <w:w w:val="105"/>
          <w:sz w:val="15"/>
        </w:rPr>
        <w:t xml:space="preserve"> </w:t>
      </w:r>
      <w:r>
        <w:rPr>
          <w:w w:val="105"/>
          <w:sz w:val="15"/>
        </w:rPr>
        <w:t>de</w:t>
      </w:r>
      <w:r>
        <w:rPr>
          <w:spacing w:val="-3"/>
          <w:w w:val="105"/>
          <w:sz w:val="15"/>
        </w:rPr>
        <w:t xml:space="preserve"> </w:t>
      </w:r>
      <w:r>
        <w:rPr>
          <w:w w:val="105"/>
          <w:sz w:val="15"/>
        </w:rPr>
        <w:t>los</w:t>
      </w:r>
      <w:r>
        <w:rPr>
          <w:spacing w:val="-3"/>
          <w:w w:val="105"/>
          <w:sz w:val="15"/>
        </w:rPr>
        <w:t xml:space="preserve"> </w:t>
      </w:r>
      <w:r>
        <w:rPr>
          <w:w w:val="105"/>
          <w:sz w:val="15"/>
        </w:rPr>
        <w:t>asuntos</w:t>
      </w:r>
      <w:r>
        <w:rPr>
          <w:spacing w:val="-3"/>
          <w:w w:val="105"/>
          <w:sz w:val="15"/>
        </w:rPr>
        <w:t xml:space="preserve"> </w:t>
      </w:r>
      <w:r>
        <w:rPr>
          <w:w w:val="105"/>
          <w:sz w:val="15"/>
        </w:rPr>
        <w:t>públicos</w:t>
      </w:r>
      <w:r>
        <w:rPr>
          <w:spacing w:val="-3"/>
          <w:w w:val="105"/>
          <w:sz w:val="15"/>
        </w:rPr>
        <w:t xml:space="preserve"> </w:t>
      </w:r>
      <w:r>
        <w:rPr>
          <w:w w:val="105"/>
          <w:sz w:val="15"/>
        </w:rPr>
        <w:t>a cualquier</w:t>
      </w:r>
      <w:r>
        <w:rPr>
          <w:spacing w:val="-4"/>
          <w:w w:val="105"/>
          <w:sz w:val="15"/>
        </w:rPr>
        <w:t xml:space="preserve"> </w:t>
      </w:r>
      <w:r>
        <w:rPr>
          <w:w w:val="105"/>
          <w:sz w:val="15"/>
        </w:rPr>
        <w:t>nivel.</w:t>
      </w:r>
      <w:r>
        <w:rPr>
          <w:spacing w:val="-3"/>
          <w:w w:val="105"/>
          <w:sz w:val="15"/>
        </w:rPr>
        <w:t xml:space="preserve"> </w:t>
      </w:r>
      <w:r>
        <w:rPr>
          <w:w w:val="105"/>
          <w:sz w:val="15"/>
        </w:rPr>
        <w:t>y</w:t>
      </w:r>
      <w:r>
        <w:rPr>
          <w:spacing w:val="-4"/>
          <w:w w:val="105"/>
          <w:sz w:val="15"/>
        </w:rPr>
        <w:t xml:space="preserve"> </w:t>
      </w:r>
      <w:r>
        <w:rPr>
          <w:w w:val="105"/>
          <w:sz w:val="15"/>
        </w:rPr>
        <w:t>tener</w:t>
      </w:r>
      <w:r>
        <w:rPr>
          <w:spacing w:val="-4"/>
          <w:w w:val="105"/>
          <w:sz w:val="15"/>
        </w:rPr>
        <w:t xml:space="preserve"> </w:t>
      </w:r>
      <w:r>
        <w:rPr>
          <w:w w:val="105"/>
          <w:sz w:val="15"/>
        </w:rPr>
        <w:t>igual</w:t>
      </w:r>
      <w:r>
        <w:rPr>
          <w:spacing w:val="-4"/>
          <w:w w:val="105"/>
          <w:sz w:val="15"/>
        </w:rPr>
        <w:t xml:space="preserve"> </w:t>
      </w:r>
      <w:r>
        <w:rPr>
          <w:w w:val="105"/>
          <w:sz w:val="15"/>
        </w:rPr>
        <w:t>acceso</w:t>
      </w:r>
      <w:r>
        <w:rPr>
          <w:spacing w:val="-4"/>
          <w:w w:val="105"/>
          <w:sz w:val="15"/>
        </w:rPr>
        <w:t xml:space="preserve"> </w:t>
      </w:r>
      <w:r>
        <w:rPr>
          <w:w w:val="105"/>
          <w:sz w:val="15"/>
        </w:rPr>
        <w:t>al</w:t>
      </w:r>
      <w:r>
        <w:rPr>
          <w:spacing w:val="-4"/>
          <w:w w:val="105"/>
          <w:sz w:val="15"/>
        </w:rPr>
        <w:t xml:space="preserve"> </w:t>
      </w:r>
      <w:r>
        <w:rPr>
          <w:w w:val="105"/>
          <w:sz w:val="15"/>
        </w:rPr>
        <w:t>servicio</w:t>
      </w:r>
      <w:r>
        <w:rPr>
          <w:spacing w:val="-4"/>
          <w:w w:val="105"/>
          <w:sz w:val="15"/>
        </w:rPr>
        <w:t xml:space="preserve"> </w:t>
      </w:r>
      <w:r>
        <w:rPr>
          <w:w w:val="105"/>
          <w:sz w:val="15"/>
        </w:rPr>
        <w:t>público;</w:t>
      </w:r>
    </w:p>
    <w:p w14:paraId="77A4629B" w14:textId="77777777" w:rsidR="0014798C" w:rsidRDefault="004E1F0B">
      <w:pPr>
        <w:pStyle w:val="Prrafodelista"/>
        <w:numPr>
          <w:ilvl w:val="0"/>
          <w:numId w:val="64"/>
        </w:numPr>
        <w:tabs>
          <w:tab w:val="left" w:pos="1866"/>
        </w:tabs>
        <w:spacing w:before="84"/>
        <w:ind w:left="1866" w:hanging="182"/>
        <w:jc w:val="both"/>
        <w:rPr>
          <w:sz w:val="15"/>
        </w:rPr>
      </w:pPr>
      <w:r>
        <w:rPr>
          <w:noProof/>
        </w:rPr>
        <mc:AlternateContent>
          <mc:Choice Requires="wps">
            <w:drawing>
              <wp:anchor distT="0" distB="0" distL="0" distR="0" simplePos="0" relativeHeight="251658265" behindDoc="0" locked="0" layoutInCell="1" allowOverlap="1" wp14:anchorId="0CF54D6A" wp14:editId="39A790A2">
                <wp:simplePos x="0" y="0"/>
                <wp:positionH relativeFrom="page">
                  <wp:posOffset>7313138</wp:posOffset>
                </wp:positionH>
                <wp:positionV relativeFrom="paragraph">
                  <wp:posOffset>77934</wp:posOffset>
                </wp:positionV>
                <wp:extent cx="83820" cy="281940"/>
                <wp:effectExtent l="0" t="0" r="0" b="0"/>
                <wp:wrapNone/>
                <wp:docPr id="139" name="Textbox 13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83820" cy="281940"/>
                        </a:xfrm>
                        <a:prstGeom prst="rect">
                          <a:avLst/>
                        </a:prstGeom>
                      </wps:spPr>
                      <wps:txbx>
                        <w:txbxContent>
                          <w:p w14:paraId="2EDE1910" w14:textId="77777777" w:rsidR="0014798C" w:rsidRDefault="004E1F0B">
                            <w:pPr>
                              <w:spacing w:before="19"/>
                              <w:ind w:left="20"/>
                              <w:rPr>
                                <w:sz w:val="8"/>
                              </w:rPr>
                            </w:pPr>
                            <w:r>
                              <w:rPr>
                                <w:color w:val="FFFFFF"/>
                                <w:spacing w:val="-24"/>
                                <w:sz w:val="8"/>
                              </w:rPr>
                              <w:t>I–P</w:t>
                            </w:r>
                            <w:r>
                              <w:rPr>
                                <w:spacing w:val="-24"/>
                                <w:sz w:val="8"/>
                              </w:rPr>
                              <w:t>S</w:t>
                            </w:r>
                            <w:r>
                              <w:rPr>
                                <w:color w:val="FFFFFF"/>
                                <w:spacing w:val="-24"/>
                                <w:sz w:val="8"/>
                              </w:rPr>
                              <w:t>A</w:t>
                            </w:r>
                            <w:r>
                              <w:rPr>
                                <w:spacing w:val="-24"/>
                                <w:sz w:val="8"/>
                              </w:rPr>
                              <w:t>E</w:t>
                            </w:r>
                            <w:r>
                              <w:rPr>
                                <w:color w:val="FFFFFF"/>
                                <w:spacing w:val="-24"/>
                                <w:sz w:val="8"/>
                              </w:rPr>
                              <w:t>R</w:t>
                            </w:r>
                            <w:r>
                              <w:rPr>
                                <w:spacing w:val="-24"/>
                                <w:sz w:val="8"/>
                              </w:rPr>
                              <w:t>G</w:t>
                            </w:r>
                            <w:r>
                              <w:rPr>
                                <w:color w:val="FFFFFF"/>
                                <w:spacing w:val="-24"/>
                                <w:sz w:val="8"/>
                              </w:rPr>
                              <w:t>T</w:t>
                            </w:r>
                            <w:r>
                              <w:rPr>
                                <w:spacing w:val="-24"/>
                                <w:sz w:val="8"/>
                              </w:rPr>
                              <w:t>U</w:t>
                            </w:r>
                            <w:r>
                              <w:rPr>
                                <w:color w:val="FFFFFF"/>
                                <w:spacing w:val="-24"/>
                                <w:sz w:val="8"/>
                              </w:rPr>
                              <w:t>E</w:t>
                            </w:r>
                            <w:r>
                              <w:rPr>
                                <w:spacing w:val="-24"/>
                                <w:sz w:val="8"/>
                              </w:rPr>
                              <w:t>NDA</w:t>
                            </w:r>
                          </w:p>
                        </w:txbxContent>
                      </wps:txbx>
                      <wps:bodyPr vert="vert270" wrap="square" lIns="0" tIns="0" rIns="0" bIns="0" rtlCol="0">
                        <a:noAutofit/>
                      </wps:bodyPr>
                    </wps:wsp>
                  </a:graphicData>
                </a:graphic>
              </wp:anchor>
            </w:drawing>
          </mc:Choice>
          <mc:Fallback>
            <w:pict>
              <v:shape w14:anchorId="0CF54D6A" id="Textbox 139" o:spid="_x0000_s1082" type="#_x0000_t202" style="position:absolute;left:0;text-align:left;margin-left:575.85pt;margin-top:6.15pt;width:6.6pt;height:22.2pt;z-index:251658265;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" filled="f" stroked="f">
                <v:textbox style="layout-flow:vertical;mso-layout-flow-alt:bottom-to-top" inset="0,0,0,0">
                  <w:txbxContent>
                    <w:p w14:paraId="2EDE1910" w14:textId="77777777" w:rsidR="0014798C" w:rsidRDefault="004E1F0B">
                      <w:pPr>
                        <w:spacing w:before="19"/>
                        <w:ind w:left="20"/>
                        <w:rPr>
                          <w:sz w:val="8"/>
                        </w:rPr>
                      </w:pPr>
                      <w:r>
                        <w:rPr>
                          <w:color w:val="FFFFFF"/>
                          <w:spacing w:val="-24"/>
                          <w:sz w:val="8"/>
                        </w:rPr>
                        <w:t>I–P</w:t>
                      </w:r>
                      <w:r>
                        <w:rPr>
                          <w:spacing w:val="-24"/>
                          <w:sz w:val="8"/>
                        </w:rPr>
                        <w:t>S</w:t>
                      </w:r>
                      <w:r>
                        <w:rPr>
                          <w:color w:val="FFFFFF"/>
                          <w:spacing w:val="-24"/>
                          <w:sz w:val="8"/>
                        </w:rPr>
                        <w:t>A</w:t>
                      </w:r>
                      <w:r>
                        <w:rPr>
                          <w:spacing w:val="-24"/>
                          <w:sz w:val="8"/>
                        </w:rPr>
                        <w:t>E</w:t>
                      </w:r>
                      <w:r>
                        <w:rPr>
                          <w:color w:val="FFFFFF"/>
                          <w:spacing w:val="-24"/>
                          <w:sz w:val="8"/>
                        </w:rPr>
                        <w:t>R</w:t>
                      </w:r>
                      <w:r>
                        <w:rPr>
                          <w:spacing w:val="-24"/>
                          <w:sz w:val="8"/>
                        </w:rPr>
                        <w:t>G</w:t>
                      </w:r>
                      <w:r>
                        <w:rPr>
                          <w:color w:val="FFFFFF"/>
                          <w:spacing w:val="-24"/>
                          <w:sz w:val="8"/>
                        </w:rPr>
                        <w:t>T</w:t>
                      </w:r>
                      <w:r>
                        <w:rPr>
                          <w:spacing w:val="-24"/>
                          <w:sz w:val="8"/>
                        </w:rPr>
                        <w:t>U</w:t>
                      </w:r>
                      <w:r>
                        <w:rPr>
                          <w:color w:val="FFFFFF"/>
                          <w:spacing w:val="-24"/>
                          <w:sz w:val="8"/>
                        </w:rPr>
                        <w:t>E</w:t>
                      </w:r>
                      <w:r>
                        <w:rPr>
                          <w:spacing w:val="-24"/>
                          <w:sz w:val="8"/>
                        </w:rPr>
                        <w:t>NDA</w:t>
                      </w:r>
                    </w:p>
                  </w:txbxContent>
                </v:textbox>
                <w10:wrap anchorx="page"/>
              </v:shape>
            </w:pict>
          </mc:Fallback>
        </mc:AlternateContent>
      </w:r>
      <w:r>
        <w:rPr>
          <w:w w:val="105"/>
          <w:sz w:val="15"/>
        </w:rPr>
        <w:t>Otros</w:t>
      </w:r>
      <w:r>
        <w:rPr>
          <w:spacing w:val="-8"/>
          <w:w w:val="105"/>
          <w:sz w:val="15"/>
        </w:rPr>
        <w:t xml:space="preserve"> </w:t>
      </w:r>
      <w:r>
        <w:rPr>
          <w:w w:val="105"/>
          <w:sz w:val="15"/>
        </w:rPr>
        <w:t>derechos</w:t>
      </w:r>
      <w:r>
        <w:rPr>
          <w:spacing w:val="-7"/>
          <w:w w:val="105"/>
          <w:sz w:val="15"/>
        </w:rPr>
        <w:t xml:space="preserve"> </w:t>
      </w:r>
      <w:r>
        <w:rPr>
          <w:w w:val="105"/>
          <w:sz w:val="15"/>
        </w:rPr>
        <w:t>civiles,</w:t>
      </w:r>
      <w:r>
        <w:rPr>
          <w:spacing w:val="-6"/>
          <w:w w:val="105"/>
          <w:sz w:val="15"/>
        </w:rPr>
        <w:t xml:space="preserve"> </w:t>
      </w:r>
      <w:r>
        <w:rPr>
          <w:w w:val="105"/>
          <w:sz w:val="15"/>
        </w:rPr>
        <w:t>en</w:t>
      </w:r>
      <w:r>
        <w:rPr>
          <w:spacing w:val="-7"/>
          <w:w w:val="105"/>
          <w:sz w:val="15"/>
        </w:rPr>
        <w:t xml:space="preserve"> </w:t>
      </w:r>
      <w:r>
        <w:rPr>
          <w:spacing w:val="-2"/>
          <w:w w:val="105"/>
          <w:sz w:val="15"/>
        </w:rPr>
        <w:t>particular:</w:t>
      </w:r>
    </w:p>
    <w:p w14:paraId="7867D7F4" w14:textId="77777777" w:rsidR="0014798C" w:rsidRDefault="0014798C">
      <w:pPr>
        <w:pStyle w:val="Textoindependiente"/>
        <w:spacing w:before="18"/>
        <w:rPr>
          <w:sz w:val="15"/>
        </w:rPr>
      </w:pPr>
    </w:p>
    <w:p w14:paraId="42D4B163" w14:textId="77777777" w:rsidR="0014798C" w:rsidRDefault="004E1F0B">
      <w:pPr>
        <w:pStyle w:val="Prrafodelista"/>
        <w:numPr>
          <w:ilvl w:val="1"/>
          <w:numId w:val="64"/>
        </w:numPr>
        <w:tabs>
          <w:tab w:val="left" w:pos="2166"/>
        </w:tabs>
        <w:ind w:left="2166" w:hanging="129"/>
        <w:rPr>
          <w:sz w:val="15"/>
        </w:rPr>
      </w:pPr>
      <w:r>
        <w:rPr>
          <w:w w:val="105"/>
          <w:sz w:val="15"/>
        </w:rPr>
        <w:t>El</w:t>
      </w:r>
      <w:r>
        <w:rPr>
          <w:spacing w:val="-8"/>
          <w:w w:val="105"/>
          <w:sz w:val="15"/>
        </w:rPr>
        <w:t xml:space="preserve"> </w:t>
      </w:r>
      <w:r>
        <w:rPr>
          <w:w w:val="105"/>
          <w:sz w:val="15"/>
        </w:rPr>
        <w:t>derecho</w:t>
      </w:r>
      <w:r>
        <w:rPr>
          <w:spacing w:val="-7"/>
          <w:w w:val="105"/>
          <w:sz w:val="15"/>
        </w:rPr>
        <w:t xml:space="preserve"> </w:t>
      </w:r>
      <w:r>
        <w:rPr>
          <w:w w:val="105"/>
          <w:sz w:val="15"/>
        </w:rPr>
        <w:t>a</w:t>
      </w:r>
      <w:r>
        <w:rPr>
          <w:spacing w:val="-8"/>
          <w:w w:val="105"/>
          <w:sz w:val="15"/>
        </w:rPr>
        <w:t xml:space="preserve"> </w:t>
      </w:r>
      <w:r>
        <w:rPr>
          <w:w w:val="105"/>
          <w:sz w:val="15"/>
        </w:rPr>
        <w:t>la</w:t>
      </w:r>
      <w:r>
        <w:rPr>
          <w:spacing w:val="-7"/>
          <w:w w:val="105"/>
          <w:sz w:val="15"/>
        </w:rPr>
        <w:t xml:space="preserve"> </w:t>
      </w:r>
      <w:r>
        <w:rPr>
          <w:w w:val="105"/>
          <w:sz w:val="15"/>
        </w:rPr>
        <w:t>libertad</w:t>
      </w:r>
      <w:r>
        <w:rPr>
          <w:spacing w:val="-8"/>
          <w:w w:val="105"/>
          <w:sz w:val="15"/>
        </w:rPr>
        <w:t xml:space="preserve"> </w:t>
      </w:r>
      <w:r>
        <w:rPr>
          <w:w w:val="105"/>
          <w:sz w:val="15"/>
        </w:rPr>
        <w:t>de</w:t>
      </w:r>
      <w:r>
        <w:rPr>
          <w:spacing w:val="-7"/>
          <w:w w:val="105"/>
          <w:sz w:val="15"/>
        </w:rPr>
        <w:t xml:space="preserve"> </w:t>
      </w:r>
      <w:r>
        <w:rPr>
          <w:w w:val="105"/>
          <w:sz w:val="15"/>
        </w:rPr>
        <w:t>circulación</w:t>
      </w:r>
      <w:r>
        <w:rPr>
          <w:spacing w:val="-7"/>
          <w:w w:val="105"/>
          <w:sz w:val="15"/>
        </w:rPr>
        <w:t xml:space="preserve"> </w:t>
      </w:r>
      <w:r>
        <w:rPr>
          <w:w w:val="105"/>
          <w:sz w:val="15"/>
        </w:rPr>
        <w:t>y</w:t>
      </w:r>
      <w:r>
        <w:rPr>
          <w:spacing w:val="-8"/>
          <w:w w:val="105"/>
          <w:sz w:val="15"/>
        </w:rPr>
        <w:t xml:space="preserve"> </w:t>
      </w:r>
      <w:r>
        <w:rPr>
          <w:w w:val="105"/>
          <w:sz w:val="15"/>
        </w:rPr>
        <w:t>residencia</w:t>
      </w:r>
      <w:r>
        <w:rPr>
          <w:spacing w:val="-7"/>
          <w:w w:val="105"/>
          <w:sz w:val="15"/>
        </w:rPr>
        <w:t xml:space="preserve"> </w:t>
      </w:r>
      <w:r>
        <w:rPr>
          <w:w w:val="105"/>
          <w:sz w:val="15"/>
        </w:rPr>
        <w:t>dentro</w:t>
      </w:r>
      <w:r>
        <w:rPr>
          <w:spacing w:val="-8"/>
          <w:w w:val="105"/>
          <w:sz w:val="15"/>
        </w:rPr>
        <w:t xml:space="preserve"> </w:t>
      </w:r>
      <w:r>
        <w:rPr>
          <w:w w:val="105"/>
          <w:sz w:val="15"/>
        </w:rPr>
        <w:t>de</w:t>
      </w:r>
      <w:r>
        <w:rPr>
          <w:spacing w:val="-7"/>
          <w:w w:val="105"/>
          <w:sz w:val="15"/>
        </w:rPr>
        <w:t xml:space="preserve"> </w:t>
      </w:r>
      <w:r>
        <w:rPr>
          <w:w w:val="105"/>
          <w:sz w:val="15"/>
        </w:rPr>
        <w:t>las</w:t>
      </w:r>
      <w:r>
        <w:rPr>
          <w:spacing w:val="-8"/>
          <w:w w:val="105"/>
          <w:sz w:val="15"/>
        </w:rPr>
        <w:t xml:space="preserve"> </w:t>
      </w:r>
      <w:r>
        <w:rPr>
          <w:w w:val="105"/>
          <w:sz w:val="15"/>
        </w:rPr>
        <w:t>fronteras</w:t>
      </w:r>
      <w:r>
        <w:rPr>
          <w:spacing w:val="-7"/>
          <w:w w:val="105"/>
          <w:sz w:val="15"/>
        </w:rPr>
        <w:t xml:space="preserve"> </w:t>
      </w:r>
      <w:r>
        <w:rPr>
          <w:w w:val="105"/>
          <w:sz w:val="15"/>
        </w:rPr>
        <w:t>del</w:t>
      </w:r>
      <w:r>
        <w:rPr>
          <w:spacing w:val="-7"/>
          <w:w w:val="105"/>
          <w:sz w:val="15"/>
        </w:rPr>
        <w:t xml:space="preserve"> </w:t>
      </w:r>
      <w:r>
        <w:rPr>
          <w:spacing w:val="-2"/>
          <w:w w:val="105"/>
          <w:sz w:val="15"/>
        </w:rPr>
        <w:t>Estado;</w:t>
      </w:r>
    </w:p>
    <w:p w14:paraId="74A605A4" w14:textId="77777777" w:rsidR="0014798C" w:rsidRDefault="004E1F0B">
      <w:pPr>
        <w:pStyle w:val="Prrafodelista"/>
        <w:numPr>
          <w:ilvl w:val="0"/>
          <w:numId w:val="63"/>
        </w:numPr>
        <w:tabs>
          <w:tab w:val="left" w:pos="2254"/>
        </w:tabs>
        <w:spacing w:before="162"/>
        <w:ind w:left="2254" w:hanging="217"/>
        <w:rPr>
          <w:sz w:val="15"/>
        </w:rPr>
      </w:pPr>
      <w:r>
        <w:rPr>
          <w:w w:val="105"/>
          <w:sz w:val="15"/>
        </w:rPr>
        <w:t>El</w:t>
      </w:r>
      <w:r>
        <w:rPr>
          <w:spacing w:val="-6"/>
          <w:w w:val="105"/>
          <w:sz w:val="15"/>
        </w:rPr>
        <w:t xml:space="preserve"> </w:t>
      </w:r>
      <w:r>
        <w:rPr>
          <w:w w:val="105"/>
          <w:sz w:val="15"/>
        </w:rPr>
        <w:t>derecho</w:t>
      </w:r>
      <w:r>
        <w:rPr>
          <w:spacing w:val="-6"/>
          <w:w w:val="105"/>
          <w:sz w:val="15"/>
        </w:rPr>
        <w:t xml:space="preserve"> </w:t>
      </w:r>
      <w:r>
        <w:rPr>
          <w:w w:val="105"/>
          <w:sz w:val="15"/>
        </w:rPr>
        <w:t>a</w:t>
      </w:r>
      <w:r>
        <w:rPr>
          <w:spacing w:val="-6"/>
          <w:w w:val="105"/>
          <w:sz w:val="15"/>
        </w:rPr>
        <w:t xml:space="preserve"> </w:t>
      </w:r>
      <w:r>
        <w:rPr>
          <w:w w:val="105"/>
          <w:sz w:val="15"/>
        </w:rPr>
        <w:t>salir</w:t>
      </w:r>
      <w:r>
        <w:rPr>
          <w:spacing w:val="-6"/>
          <w:w w:val="105"/>
          <w:sz w:val="15"/>
        </w:rPr>
        <w:t xml:space="preserve"> </w:t>
      </w:r>
      <w:r>
        <w:rPr>
          <w:w w:val="105"/>
          <w:sz w:val="15"/>
        </w:rPr>
        <w:t>de</w:t>
      </w:r>
      <w:r>
        <w:rPr>
          <w:spacing w:val="-6"/>
          <w:w w:val="105"/>
          <w:sz w:val="15"/>
        </w:rPr>
        <w:t xml:space="preserve"> </w:t>
      </w:r>
      <w:r>
        <w:rPr>
          <w:w w:val="105"/>
          <w:sz w:val="15"/>
        </w:rPr>
        <w:t>cualquier</w:t>
      </w:r>
      <w:r>
        <w:rPr>
          <w:spacing w:val="-6"/>
          <w:w w:val="105"/>
          <w:sz w:val="15"/>
        </w:rPr>
        <w:t xml:space="preserve"> </w:t>
      </w:r>
      <w:r>
        <w:rPr>
          <w:w w:val="105"/>
          <w:sz w:val="15"/>
        </w:rPr>
        <w:t>país,</w:t>
      </w:r>
      <w:r>
        <w:rPr>
          <w:spacing w:val="-5"/>
          <w:w w:val="105"/>
          <w:sz w:val="15"/>
        </w:rPr>
        <w:t xml:space="preserve"> </w:t>
      </w:r>
      <w:r>
        <w:rPr>
          <w:w w:val="105"/>
          <w:sz w:val="15"/>
        </w:rPr>
        <w:t>incluido</w:t>
      </w:r>
      <w:r>
        <w:rPr>
          <w:spacing w:val="-6"/>
          <w:w w:val="105"/>
          <w:sz w:val="15"/>
        </w:rPr>
        <w:t xml:space="preserve"> </w:t>
      </w:r>
      <w:r>
        <w:rPr>
          <w:w w:val="105"/>
          <w:sz w:val="15"/>
        </w:rPr>
        <w:t>el</w:t>
      </w:r>
      <w:r>
        <w:rPr>
          <w:spacing w:val="-6"/>
          <w:w w:val="105"/>
          <w:sz w:val="15"/>
        </w:rPr>
        <w:t xml:space="preserve"> </w:t>
      </w:r>
      <w:r>
        <w:rPr>
          <w:w w:val="105"/>
          <w:sz w:val="15"/>
        </w:rPr>
        <w:t>propio,</w:t>
      </w:r>
      <w:r>
        <w:rPr>
          <w:spacing w:val="-5"/>
          <w:w w:val="105"/>
          <w:sz w:val="15"/>
        </w:rPr>
        <w:t xml:space="preserve"> </w:t>
      </w:r>
      <w:r>
        <w:rPr>
          <w:w w:val="105"/>
          <w:sz w:val="15"/>
        </w:rPr>
        <w:t>y</w:t>
      </w:r>
      <w:r>
        <w:rPr>
          <w:spacing w:val="-6"/>
          <w:w w:val="105"/>
          <w:sz w:val="15"/>
        </w:rPr>
        <w:t xml:space="preserve"> </w:t>
      </w:r>
      <w:r>
        <w:rPr>
          <w:w w:val="105"/>
          <w:sz w:val="15"/>
        </w:rPr>
        <w:t>a</w:t>
      </w:r>
      <w:r>
        <w:rPr>
          <w:spacing w:val="-5"/>
          <w:w w:val="105"/>
          <w:sz w:val="15"/>
        </w:rPr>
        <w:t xml:space="preserve"> </w:t>
      </w:r>
      <w:r>
        <w:rPr>
          <w:w w:val="105"/>
          <w:sz w:val="15"/>
        </w:rPr>
        <w:t>regresar</w:t>
      </w:r>
      <w:r>
        <w:rPr>
          <w:spacing w:val="-6"/>
          <w:w w:val="105"/>
          <w:sz w:val="15"/>
        </w:rPr>
        <w:t xml:space="preserve"> </w:t>
      </w:r>
      <w:r>
        <w:rPr>
          <w:w w:val="105"/>
          <w:sz w:val="15"/>
        </w:rPr>
        <w:t>al</w:t>
      </w:r>
      <w:r>
        <w:rPr>
          <w:spacing w:val="-6"/>
          <w:w w:val="105"/>
          <w:sz w:val="15"/>
        </w:rPr>
        <w:t xml:space="preserve"> </w:t>
      </w:r>
      <w:r>
        <w:rPr>
          <w:spacing w:val="-2"/>
          <w:w w:val="105"/>
          <w:sz w:val="15"/>
        </w:rPr>
        <w:t>propio;</w:t>
      </w:r>
    </w:p>
    <w:p w14:paraId="20336D40" w14:textId="77777777" w:rsidR="0014798C" w:rsidRDefault="004E1F0B">
      <w:pPr>
        <w:pStyle w:val="Prrafodelista"/>
        <w:numPr>
          <w:ilvl w:val="0"/>
          <w:numId w:val="63"/>
        </w:numPr>
        <w:tabs>
          <w:tab w:val="left" w:pos="2289"/>
        </w:tabs>
        <w:spacing w:before="162"/>
        <w:ind w:left="2289" w:hanging="252"/>
        <w:rPr>
          <w:sz w:val="15"/>
        </w:rPr>
      </w:pPr>
      <w:r>
        <w:rPr>
          <w:sz w:val="15"/>
        </w:rPr>
        <w:t>El</w:t>
      </w:r>
      <w:r>
        <w:rPr>
          <w:spacing w:val="7"/>
          <w:sz w:val="15"/>
        </w:rPr>
        <w:t xml:space="preserve"> </w:t>
      </w:r>
      <w:r>
        <w:rPr>
          <w:sz w:val="15"/>
        </w:rPr>
        <w:t>derecho</w:t>
      </w:r>
      <w:r>
        <w:rPr>
          <w:spacing w:val="8"/>
          <w:sz w:val="15"/>
        </w:rPr>
        <w:t xml:space="preserve"> </w:t>
      </w:r>
      <w:r>
        <w:rPr>
          <w:sz w:val="15"/>
        </w:rPr>
        <w:t>a</w:t>
      </w:r>
      <w:r>
        <w:rPr>
          <w:spacing w:val="8"/>
          <w:sz w:val="15"/>
        </w:rPr>
        <w:t xml:space="preserve"> </w:t>
      </w:r>
      <w:r>
        <w:rPr>
          <w:sz w:val="15"/>
        </w:rPr>
        <w:t>la</w:t>
      </w:r>
      <w:r>
        <w:rPr>
          <w:spacing w:val="8"/>
          <w:sz w:val="15"/>
        </w:rPr>
        <w:t xml:space="preserve"> </w:t>
      </w:r>
      <w:r>
        <w:rPr>
          <w:spacing w:val="-2"/>
          <w:sz w:val="15"/>
        </w:rPr>
        <w:t>nacionalidad;</w:t>
      </w:r>
    </w:p>
    <w:p w14:paraId="6FF2EFB6" w14:textId="77777777" w:rsidR="0014798C" w:rsidRDefault="004E1F0B">
      <w:pPr>
        <w:pStyle w:val="Prrafodelista"/>
        <w:numPr>
          <w:ilvl w:val="0"/>
          <w:numId w:val="63"/>
        </w:numPr>
        <w:tabs>
          <w:tab w:val="left" w:pos="2297"/>
        </w:tabs>
        <w:spacing w:before="163"/>
        <w:ind w:left="2297" w:hanging="260"/>
        <w:rPr>
          <w:sz w:val="15"/>
        </w:rPr>
      </w:pPr>
      <w:r>
        <w:rPr>
          <w:w w:val="105"/>
          <w:sz w:val="15"/>
        </w:rPr>
        <w:t>El</w:t>
      </w:r>
      <w:r>
        <w:rPr>
          <w:spacing w:val="-7"/>
          <w:w w:val="105"/>
          <w:sz w:val="15"/>
        </w:rPr>
        <w:t xml:space="preserve"> </w:t>
      </w:r>
      <w:r>
        <w:rPr>
          <w:w w:val="105"/>
          <w:sz w:val="15"/>
        </w:rPr>
        <w:t>derecho</w:t>
      </w:r>
      <w:r>
        <w:rPr>
          <w:spacing w:val="-7"/>
          <w:w w:val="105"/>
          <w:sz w:val="15"/>
        </w:rPr>
        <w:t xml:space="preserve"> </w:t>
      </w:r>
      <w:r>
        <w:rPr>
          <w:w w:val="105"/>
          <w:sz w:val="15"/>
        </w:rPr>
        <w:t>al</w:t>
      </w:r>
      <w:r>
        <w:rPr>
          <w:spacing w:val="-7"/>
          <w:w w:val="105"/>
          <w:sz w:val="15"/>
        </w:rPr>
        <w:t xml:space="preserve"> </w:t>
      </w:r>
      <w:r>
        <w:rPr>
          <w:w w:val="105"/>
          <w:sz w:val="15"/>
        </w:rPr>
        <w:t>matrimonio</w:t>
      </w:r>
      <w:r>
        <w:rPr>
          <w:spacing w:val="-7"/>
          <w:w w:val="105"/>
          <w:sz w:val="15"/>
        </w:rPr>
        <w:t xml:space="preserve"> </w:t>
      </w:r>
      <w:r>
        <w:rPr>
          <w:w w:val="105"/>
          <w:sz w:val="15"/>
        </w:rPr>
        <w:t>y</w:t>
      </w:r>
      <w:r>
        <w:rPr>
          <w:spacing w:val="-6"/>
          <w:w w:val="105"/>
          <w:sz w:val="15"/>
        </w:rPr>
        <w:t xml:space="preserve"> </w:t>
      </w:r>
      <w:r>
        <w:rPr>
          <w:w w:val="105"/>
          <w:sz w:val="15"/>
        </w:rPr>
        <w:t>a</w:t>
      </w:r>
      <w:r>
        <w:rPr>
          <w:spacing w:val="-7"/>
          <w:w w:val="105"/>
          <w:sz w:val="15"/>
        </w:rPr>
        <w:t xml:space="preserve"> </w:t>
      </w:r>
      <w:r>
        <w:rPr>
          <w:w w:val="105"/>
          <w:sz w:val="15"/>
        </w:rPr>
        <w:t>la</w:t>
      </w:r>
      <w:r>
        <w:rPr>
          <w:spacing w:val="-7"/>
          <w:w w:val="105"/>
          <w:sz w:val="15"/>
        </w:rPr>
        <w:t xml:space="preserve"> </w:t>
      </w:r>
      <w:r>
        <w:rPr>
          <w:w w:val="105"/>
          <w:sz w:val="15"/>
        </w:rPr>
        <w:t>elección</w:t>
      </w:r>
      <w:r>
        <w:rPr>
          <w:spacing w:val="-7"/>
          <w:w w:val="105"/>
          <w:sz w:val="15"/>
        </w:rPr>
        <w:t xml:space="preserve"> </w:t>
      </w:r>
      <w:r>
        <w:rPr>
          <w:w w:val="105"/>
          <w:sz w:val="15"/>
        </w:rPr>
        <w:t>de</w:t>
      </w:r>
      <w:r>
        <w:rPr>
          <w:spacing w:val="-7"/>
          <w:w w:val="105"/>
          <w:sz w:val="15"/>
        </w:rPr>
        <w:t xml:space="preserve"> </w:t>
      </w:r>
      <w:r>
        <w:rPr>
          <w:spacing w:val="-2"/>
          <w:w w:val="105"/>
          <w:sz w:val="15"/>
        </w:rPr>
        <w:t>cónyuge;</w:t>
      </w:r>
    </w:p>
    <w:p w14:paraId="55E3138D" w14:textId="77777777" w:rsidR="0014798C" w:rsidRDefault="004E1F0B">
      <w:pPr>
        <w:pStyle w:val="Prrafodelista"/>
        <w:numPr>
          <w:ilvl w:val="0"/>
          <w:numId w:val="63"/>
        </w:numPr>
        <w:tabs>
          <w:tab w:val="left" w:pos="2262"/>
        </w:tabs>
        <w:spacing w:before="162"/>
        <w:ind w:left="2262" w:hanging="225"/>
        <w:rPr>
          <w:sz w:val="15"/>
        </w:rPr>
      </w:pPr>
      <w:r>
        <w:rPr>
          <w:sz w:val="15"/>
        </w:rPr>
        <w:t>El</w:t>
      </w:r>
      <w:r>
        <w:rPr>
          <w:spacing w:val="11"/>
          <w:sz w:val="15"/>
        </w:rPr>
        <w:t xml:space="preserve"> </w:t>
      </w:r>
      <w:r>
        <w:rPr>
          <w:sz w:val="15"/>
        </w:rPr>
        <w:t>derecho</w:t>
      </w:r>
      <w:r>
        <w:rPr>
          <w:spacing w:val="12"/>
          <w:sz w:val="15"/>
        </w:rPr>
        <w:t xml:space="preserve"> </w:t>
      </w:r>
      <w:r>
        <w:rPr>
          <w:sz w:val="15"/>
        </w:rPr>
        <w:t>a</w:t>
      </w:r>
      <w:r>
        <w:rPr>
          <w:spacing w:val="12"/>
          <w:sz w:val="15"/>
        </w:rPr>
        <w:t xml:space="preserve"> </w:t>
      </w:r>
      <w:r>
        <w:rPr>
          <w:sz w:val="15"/>
        </w:rPr>
        <w:t>poseer</w:t>
      </w:r>
      <w:r>
        <w:rPr>
          <w:spacing w:val="12"/>
          <w:sz w:val="15"/>
        </w:rPr>
        <w:t xml:space="preserve"> </w:t>
      </w:r>
      <w:r>
        <w:rPr>
          <w:sz w:val="15"/>
        </w:rPr>
        <w:t>bienes</w:t>
      </w:r>
      <w:r>
        <w:rPr>
          <w:spacing w:val="12"/>
          <w:sz w:val="15"/>
        </w:rPr>
        <w:t xml:space="preserve"> </w:t>
      </w:r>
      <w:r>
        <w:rPr>
          <w:sz w:val="15"/>
        </w:rPr>
        <w:t>solos</w:t>
      </w:r>
      <w:r>
        <w:rPr>
          <w:spacing w:val="12"/>
          <w:sz w:val="15"/>
        </w:rPr>
        <w:t xml:space="preserve"> </w:t>
      </w:r>
      <w:r>
        <w:rPr>
          <w:sz w:val="15"/>
        </w:rPr>
        <w:t>o</w:t>
      </w:r>
      <w:r>
        <w:rPr>
          <w:spacing w:val="12"/>
          <w:sz w:val="15"/>
        </w:rPr>
        <w:t xml:space="preserve"> </w:t>
      </w:r>
      <w:r>
        <w:rPr>
          <w:sz w:val="15"/>
        </w:rPr>
        <w:t>en</w:t>
      </w:r>
      <w:r>
        <w:rPr>
          <w:spacing w:val="12"/>
          <w:sz w:val="15"/>
        </w:rPr>
        <w:t xml:space="preserve"> </w:t>
      </w:r>
      <w:r>
        <w:rPr>
          <w:sz w:val="15"/>
        </w:rPr>
        <w:t>asociación</w:t>
      </w:r>
      <w:r>
        <w:rPr>
          <w:spacing w:val="12"/>
          <w:sz w:val="15"/>
        </w:rPr>
        <w:t xml:space="preserve"> </w:t>
      </w:r>
      <w:r>
        <w:rPr>
          <w:sz w:val="15"/>
        </w:rPr>
        <w:t>con</w:t>
      </w:r>
      <w:r>
        <w:rPr>
          <w:spacing w:val="12"/>
          <w:sz w:val="15"/>
        </w:rPr>
        <w:t xml:space="preserve"> </w:t>
      </w:r>
      <w:r>
        <w:rPr>
          <w:spacing w:val="-2"/>
          <w:sz w:val="15"/>
        </w:rPr>
        <w:t>otros;</w:t>
      </w:r>
    </w:p>
    <w:p w14:paraId="0371DA93" w14:textId="77777777" w:rsidR="0014798C" w:rsidRDefault="004E1F0B">
      <w:pPr>
        <w:pStyle w:val="Prrafodelista"/>
        <w:numPr>
          <w:ilvl w:val="0"/>
          <w:numId w:val="63"/>
        </w:numPr>
        <w:tabs>
          <w:tab w:val="left" w:pos="2297"/>
        </w:tabs>
        <w:spacing w:before="162"/>
        <w:ind w:left="2297" w:hanging="260"/>
        <w:rPr>
          <w:sz w:val="15"/>
        </w:rPr>
      </w:pPr>
      <w:r>
        <w:rPr>
          <w:sz w:val="15"/>
        </w:rPr>
        <w:t>El</w:t>
      </w:r>
      <w:r>
        <w:rPr>
          <w:spacing w:val="8"/>
          <w:sz w:val="15"/>
        </w:rPr>
        <w:t xml:space="preserve"> </w:t>
      </w:r>
      <w:r>
        <w:rPr>
          <w:sz w:val="15"/>
        </w:rPr>
        <w:t>derecho</w:t>
      </w:r>
      <w:r>
        <w:rPr>
          <w:spacing w:val="9"/>
          <w:sz w:val="15"/>
        </w:rPr>
        <w:t xml:space="preserve"> </w:t>
      </w:r>
      <w:r>
        <w:rPr>
          <w:sz w:val="15"/>
        </w:rPr>
        <w:t>a</w:t>
      </w:r>
      <w:r>
        <w:rPr>
          <w:spacing w:val="9"/>
          <w:sz w:val="15"/>
        </w:rPr>
        <w:t xml:space="preserve"> </w:t>
      </w:r>
      <w:r>
        <w:rPr>
          <w:spacing w:val="-2"/>
          <w:sz w:val="15"/>
        </w:rPr>
        <w:t>heredar;</w:t>
      </w:r>
    </w:p>
    <w:p w14:paraId="41DADE6B" w14:textId="77777777" w:rsidR="0014798C" w:rsidRDefault="004E1F0B">
      <w:pPr>
        <w:pStyle w:val="Prrafodelista"/>
        <w:numPr>
          <w:ilvl w:val="0"/>
          <w:numId w:val="63"/>
        </w:numPr>
        <w:tabs>
          <w:tab w:val="left" w:pos="2332"/>
        </w:tabs>
        <w:spacing w:before="162"/>
        <w:ind w:left="2332" w:hanging="295"/>
        <w:rPr>
          <w:sz w:val="15"/>
        </w:rPr>
      </w:pPr>
      <w:r>
        <w:rPr>
          <w:w w:val="105"/>
          <w:sz w:val="15"/>
        </w:rPr>
        <w:t>El</w:t>
      </w:r>
      <w:r>
        <w:rPr>
          <w:spacing w:val="-8"/>
          <w:w w:val="105"/>
          <w:sz w:val="15"/>
        </w:rPr>
        <w:t xml:space="preserve"> </w:t>
      </w:r>
      <w:r>
        <w:rPr>
          <w:w w:val="105"/>
          <w:sz w:val="15"/>
        </w:rPr>
        <w:t>derecho</w:t>
      </w:r>
      <w:r>
        <w:rPr>
          <w:spacing w:val="-8"/>
          <w:w w:val="105"/>
          <w:sz w:val="15"/>
        </w:rPr>
        <w:t xml:space="preserve"> </w:t>
      </w:r>
      <w:r>
        <w:rPr>
          <w:w w:val="105"/>
          <w:sz w:val="15"/>
        </w:rPr>
        <w:t>a</w:t>
      </w:r>
      <w:r>
        <w:rPr>
          <w:spacing w:val="-8"/>
          <w:w w:val="105"/>
          <w:sz w:val="15"/>
        </w:rPr>
        <w:t xml:space="preserve"> </w:t>
      </w:r>
      <w:r>
        <w:rPr>
          <w:w w:val="105"/>
          <w:sz w:val="15"/>
        </w:rPr>
        <w:t>la</w:t>
      </w:r>
      <w:r>
        <w:rPr>
          <w:spacing w:val="-8"/>
          <w:w w:val="105"/>
          <w:sz w:val="15"/>
        </w:rPr>
        <w:t xml:space="preserve"> </w:t>
      </w:r>
      <w:r>
        <w:rPr>
          <w:w w:val="105"/>
          <w:sz w:val="15"/>
        </w:rPr>
        <w:t>libertad</w:t>
      </w:r>
      <w:r>
        <w:rPr>
          <w:spacing w:val="-7"/>
          <w:w w:val="105"/>
          <w:sz w:val="15"/>
        </w:rPr>
        <w:t xml:space="preserve"> </w:t>
      </w:r>
      <w:r>
        <w:rPr>
          <w:w w:val="105"/>
          <w:sz w:val="15"/>
        </w:rPr>
        <w:t>de</w:t>
      </w:r>
      <w:r>
        <w:rPr>
          <w:spacing w:val="-8"/>
          <w:w w:val="105"/>
          <w:sz w:val="15"/>
        </w:rPr>
        <w:t xml:space="preserve"> </w:t>
      </w:r>
      <w:r>
        <w:rPr>
          <w:w w:val="105"/>
          <w:sz w:val="15"/>
        </w:rPr>
        <w:t>pensamiento,</w:t>
      </w:r>
      <w:r>
        <w:rPr>
          <w:spacing w:val="-7"/>
          <w:w w:val="105"/>
          <w:sz w:val="15"/>
        </w:rPr>
        <w:t xml:space="preserve"> </w:t>
      </w:r>
      <w:r>
        <w:rPr>
          <w:w w:val="105"/>
          <w:sz w:val="15"/>
        </w:rPr>
        <w:t>de</w:t>
      </w:r>
      <w:r>
        <w:rPr>
          <w:spacing w:val="-8"/>
          <w:w w:val="105"/>
          <w:sz w:val="15"/>
        </w:rPr>
        <w:t xml:space="preserve"> </w:t>
      </w:r>
      <w:r>
        <w:rPr>
          <w:w w:val="105"/>
          <w:sz w:val="15"/>
        </w:rPr>
        <w:t>conciencia</w:t>
      </w:r>
      <w:r>
        <w:rPr>
          <w:spacing w:val="-7"/>
          <w:w w:val="105"/>
          <w:sz w:val="15"/>
        </w:rPr>
        <w:t xml:space="preserve"> </w:t>
      </w:r>
      <w:r>
        <w:rPr>
          <w:w w:val="105"/>
          <w:sz w:val="15"/>
        </w:rPr>
        <w:t>y</w:t>
      </w:r>
      <w:r>
        <w:rPr>
          <w:spacing w:val="-8"/>
          <w:w w:val="105"/>
          <w:sz w:val="15"/>
        </w:rPr>
        <w:t xml:space="preserve"> </w:t>
      </w:r>
      <w:r>
        <w:rPr>
          <w:w w:val="105"/>
          <w:sz w:val="15"/>
        </w:rPr>
        <w:t>de</w:t>
      </w:r>
      <w:r>
        <w:rPr>
          <w:spacing w:val="-8"/>
          <w:w w:val="105"/>
          <w:sz w:val="15"/>
        </w:rPr>
        <w:t xml:space="preserve"> </w:t>
      </w:r>
      <w:r>
        <w:rPr>
          <w:spacing w:val="-2"/>
          <w:w w:val="105"/>
          <w:sz w:val="15"/>
        </w:rPr>
        <w:t>religión;</w:t>
      </w:r>
    </w:p>
    <w:p w14:paraId="04937E60" w14:textId="77777777" w:rsidR="0014798C" w:rsidRDefault="004E1F0B">
      <w:pPr>
        <w:pStyle w:val="Prrafodelista"/>
        <w:numPr>
          <w:ilvl w:val="0"/>
          <w:numId w:val="63"/>
        </w:numPr>
        <w:tabs>
          <w:tab w:val="left" w:pos="2367"/>
        </w:tabs>
        <w:spacing w:before="162"/>
        <w:ind w:left="2367" w:hanging="330"/>
        <w:rPr>
          <w:sz w:val="15"/>
        </w:rPr>
      </w:pPr>
      <w:r>
        <w:rPr>
          <w:sz w:val="15"/>
        </w:rPr>
        <w:t>El</w:t>
      </w:r>
      <w:r>
        <w:rPr>
          <w:spacing w:val="8"/>
          <w:sz w:val="15"/>
        </w:rPr>
        <w:t xml:space="preserve"> </w:t>
      </w:r>
      <w:r>
        <w:rPr>
          <w:sz w:val="15"/>
        </w:rPr>
        <w:t>derecho</w:t>
      </w:r>
      <w:r>
        <w:rPr>
          <w:spacing w:val="9"/>
          <w:sz w:val="15"/>
        </w:rPr>
        <w:t xml:space="preserve"> </w:t>
      </w:r>
      <w:r>
        <w:rPr>
          <w:sz w:val="15"/>
        </w:rPr>
        <w:t>a</w:t>
      </w:r>
      <w:r>
        <w:rPr>
          <w:spacing w:val="9"/>
          <w:sz w:val="15"/>
        </w:rPr>
        <w:t xml:space="preserve"> </w:t>
      </w:r>
      <w:r>
        <w:rPr>
          <w:sz w:val="15"/>
        </w:rPr>
        <w:t>la</w:t>
      </w:r>
      <w:r>
        <w:rPr>
          <w:spacing w:val="8"/>
          <w:sz w:val="15"/>
        </w:rPr>
        <w:t xml:space="preserve"> </w:t>
      </w:r>
      <w:r>
        <w:rPr>
          <w:sz w:val="15"/>
        </w:rPr>
        <w:t>libertad</w:t>
      </w:r>
      <w:r>
        <w:rPr>
          <w:spacing w:val="9"/>
          <w:sz w:val="15"/>
        </w:rPr>
        <w:t xml:space="preserve"> </w:t>
      </w:r>
      <w:r>
        <w:rPr>
          <w:sz w:val="15"/>
        </w:rPr>
        <w:t>de</w:t>
      </w:r>
      <w:r>
        <w:rPr>
          <w:spacing w:val="9"/>
          <w:sz w:val="15"/>
        </w:rPr>
        <w:t xml:space="preserve"> </w:t>
      </w:r>
      <w:r>
        <w:rPr>
          <w:sz w:val="15"/>
        </w:rPr>
        <w:t>opinión</w:t>
      </w:r>
      <w:r>
        <w:rPr>
          <w:spacing w:val="9"/>
          <w:sz w:val="15"/>
        </w:rPr>
        <w:t xml:space="preserve"> </w:t>
      </w:r>
      <w:r>
        <w:rPr>
          <w:sz w:val="15"/>
        </w:rPr>
        <w:t>y</w:t>
      </w:r>
      <w:r>
        <w:rPr>
          <w:spacing w:val="8"/>
          <w:sz w:val="15"/>
        </w:rPr>
        <w:t xml:space="preserve"> </w:t>
      </w:r>
      <w:r>
        <w:rPr>
          <w:spacing w:val="-2"/>
          <w:sz w:val="15"/>
        </w:rPr>
        <w:t>expresión;</w:t>
      </w:r>
    </w:p>
    <w:p w14:paraId="2963D1A3" w14:textId="77777777" w:rsidR="0014798C" w:rsidRDefault="004E1F0B">
      <w:pPr>
        <w:pStyle w:val="Prrafodelista"/>
        <w:numPr>
          <w:ilvl w:val="0"/>
          <w:numId w:val="63"/>
        </w:numPr>
        <w:tabs>
          <w:tab w:val="left" w:pos="2297"/>
        </w:tabs>
        <w:spacing w:before="162"/>
        <w:ind w:left="2297" w:hanging="260"/>
        <w:rPr>
          <w:sz w:val="15"/>
        </w:rPr>
      </w:pPr>
      <w:r>
        <w:rPr>
          <w:w w:val="105"/>
          <w:sz w:val="15"/>
        </w:rPr>
        <w:t>El</w:t>
      </w:r>
      <w:r>
        <w:rPr>
          <w:spacing w:val="-8"/>
          <w:w w:val="105"/>
          <w:sz w:val="15"/>
        </w:rPr>
        <w:t xml:space="preserve"> </w:t>
      </w:r>
      <w:r>
        <w:rPr>
          <w:w w:val="105"/>
          <w:sz w:val="15"/>
        </w:rPr>
        <w:t>derecho</w:t>
      </w:r>
      <w:r>
        <w:rPr>
          <w:spacing w:val="-8"/>
          <w:w w:val="105"/>
          <w:sz w:val="15"/>
        </w:rPr>
        <w:t xml:space="preserve"> </w:t>
      </w:r>
      <w:r>
        <w:rPr>
          <w:w w:val="105"/>
          <w:sz w:val="15"/>
        </w:rPr>
        <w:t>a</w:t>
      </w:r>
      <w:r>
        <w:rPr>
          <w:spacing w:val="-7"/>
          <w:w w:val="105"/>
          <w:sz w:val="15"/>
        </w:rPr>
        <w:t xml:space="preserve"> </w:t>
      </w:r>
      <w:r>
        <w:rPr>
          <w:w w:val="105"/>
          <w:sz w:val="15"/>
        </w:rPr>
        <w:t>la</w:t>
      </w:r>
      <w:r>
        <w:rPr>
          <w:spacing w:val="-8"/>
          <w:w w:val="105"/>
          <w:sz w:val="15"/>
        </w:rPr>
        <w:t xml:space="preserve"> </w:t>
      </w:r>
      <w:r>
        <w:rPr>
          <w:w w:val="105"/>
          <w:sz w:val="15"/>
        </w:rPr>
        <w:t>libertad</w:t>
      </w:r>
      <w:r>
        <w:rPr>
          <w:spacing w:val="-8"/>
          <w:w w:val="105"/>
          <w:sz w:val="15"/>
        </w:rPr>
        <w:t xml:space="preserve"> </w:t>
      </w:r>
      <w:r>
        <w:rPr>
          <w:w w:val="105"/>
          <w:sz w:val="15"/>
        </w:rPr>
        <w:t>de</w:t>
      </w:r>
      <w:r>
        <w:rPr>
          <w:spacing w:val="-7"/>
          <w:w w:val="105"/>
          <w:sz w:val="15"/>
        </w:rPr>
        <w:t xml:space="preserve"> </w:t>
      </w:r>
      <w:r>
        <w:rPr>
          <w:w w:val="105"/>
          <w:sz w:val="15"/>
        </w:rPr>
        <w:t>reunión</w:t>
      </w:r>
      <w:r>
        <w:rPr>
          <w:spacing w:val="-8"/>
          <w:w w:val="105"/>
          <w:sz w:val="15"/>
        </w:rPr>
        <w:t xml:space="preserve"> </w:t>
      </w:r>
      <w:r>
        <w:rPr>
          <w:w w:val="105"/>
          <w:sz w:val="15"/>
        </w:rPr>
        <w:t>y</w:t>
      </w:r>
      <w:r>
        <w:rPr>
          <w:spacing w:val="-8"/>
          <w:w w:val="105"/>
          <w:sz w:val="15"/>
        </w:rPr>
        <w:t xml:space="preserve"> </w:t>
      </w:r>
      <w:r>
        <w:rPr>
          <w:w w:val="105"/>
          <w:sz w:val="15"/>
        </w:rPr>
        <w:t>asociación</w:t>
      </w:r>
      <w:r>
        <w:rPr>
          <w:spacing w:val="-7"/>
          <w:w w:val="105"/>
          <w:sz w:val="15"/>
        </w:rPr>
        <w:t xml:space="preserve"> </w:t>
      </w:r>
      <w:r>
        <w:rPr>
          <w:spacing w:val="-2"/>
          <w:w w:val="105"/>
          <w:sz w:val="15"/>
        </w:rPr>
        <w:t>pacíficas;</w:t>
      </w:r>
    </w:p>
    <w:p w14:paraId="756E2CDC" w14:textId="77777777" w:rsidR="0014798C" w:rsidRDefault="0014798C">
      <w:pPr>
        <w:pStyle w:val="Textoindependiente"/>
        <w:spacing w:before="18"/>
        <w:rPr>
          <w:sz w:val="15"/>
        </w:rPr>
      </w:pPr>
    </w:p>
    <w:p w14:paraId="1EBBDB2D" w14:textId="77777777" w:rsidR="0014798C" w:rsidRDefault="004E1F0B">
      <w:pPr>
        <w:pStyle w:val="Prrafodelista"/>
        <w:numPr>
          <w:ilvl w:val="0"/>
          <w:numId w:val="64"/>
        </w:numPr>
        <w:tabs>
          <w:tab w:val="left" w:pos="1866"/>
        </w:tabs>
        <w:ind w:left="1866" w:hanging="182"/>
        <w:rPr>
          <w:sz w:val="15"/>
        </w:rPr>
      </w:pPr>
      <w:r>
        <w:rPr>
          <w:w w:val="105"/>
          <w:sz w:val="15"/>
        </w:rPr>
        <w:t>Los</w:t>
      </w:r>
      <w:r>
        <w:rPr>
          <w:spacing w:val="-9"/>
          <w:w w:val="105"/>
          <w:sz w:val="15"/>
        </w:rPr>
        <w:t xml:space="preserve"> </w:t>
      </w:r>
      <w:r>
        <w:rPr>
          <w:w w:val="105"/>
          <w:sz w:val="15"/>
        </w:rPr>
        <w:t>derechos</w:t>
      </w:r>
      <w:r>
        <w:rPr>
          <w:spacing w:val="-9"/>
          <w:w w:val="105"/>
          <w:sz w:val="15"/>
        </w:rPr>
        <w:t xml:space="preserve"> </w:t>
      </w:r>
      <w:r>
        <w:rPr>
          <w:w w:val="105"/>
          <w:sz w:val="15"/>
        </w:rPr>
        <w:t>económicos,</w:t>
      </w:r>
      <w:r>
        <w:rPr>
          <w:spacing w:val="-7"/>
          <w:w w:val="105"/>
          <w:sz w:val="15"/>
        </w:rPr>
        <w:t xml:space="preserve"> </w:t>
      </w:r>
      <w:r>
        <w:rPr>
          <w:w w:val="105"/>
          <w:sz w:val="15"/>
        </w:rPr>
        <w:t>sociales</w:t>
      </w:r>
      <w:r>
        <w:rPr>
          <w:spacing w:val="-9"/>
          <w:w w:val="105"/>
          <w:sz w:val="15"/>
        </w:rPr>
        <w:t xml:space="preserve"> </w:t>
      </w:r>
      <w:r>
        <w:rPr>
          <w:w w:val="105"/>
          <w:sz w:val="15"/>
        </w:rPr>
        <w:t>y</w:t>
      </w:r>
      <w:r>
        <w:rPr>
          <w:spacing w:val="-8"/>
          <w:w w:val="105"/>
          <w:sz w:val="15"/>
        </w:rPr>
        <w:t xml:space="preserve"> </w:t>
      </w:r>
      <w:r>
        <w:rPr>
          <w:w w:val="105"/>
          <w:sz w:val="15"/>
        </w:rPr>
        <w:t>culturales,</w:t>
      </w:r>
      <w:r>
        <w:rPr>
          <w:spacing w:val="-8"/>
          <w:w w:val="105"/>
          <w:sz w:val="15"/>
        </w:rPr>
        <w:t xml:space="preserve"> </w:t>
      </w:r>
      <w:r>
        <w:rPr>
          <w:w w:val="105"/>
          <w:sz w:val="15"/>
        </w:rPr>
        <w:t>en</w:t>
      </w:r>
      <w:r>
        <w:rPr>
          <w:spacing w:val="-9"/>
          <w:w w:val="105"/>
          <w:sz w:val="15"/>
        </w:rPr>
        <w:t xml:space="preserve"> </w:t>
      </w:r>
      <w:r>
        <w:rPr>
          <w:spacing w:val="-2"/>
          <w:w w:val="105"/>
          <w:sz w:val="15"/>
        </w:rPr>
        <w:t>particular:</w:t>
      </w:r>
    </w:p>
    <w:p w14:paraId="27D40C84" w14:textId="77777777" w:rsidR="0014798C" w:rsidRDefault="0014798C">
      <w:pPr>
        <w:pStyle w:val="Textoindependiente"/>
        <w:spacing w:before="18"/>
        <w:rPr>
          <w:sz w:val="15"/>
        </w:rPr>
      </w:pPr>
    </w:p>
    <w:p w14:paraId="0CF0DC27" w14:textId="77777777" w:rsidR="0014798C" w:rsidRDefault="004E1F0B">
      <w:pPr>
        <w:pStyle w:val="Prrafodelista"/>
        <w:numPr>
          <w:ilvl w:val="1"/>
          <w:numId w:val="64"/>
        </w:numPr>
        <w:tabs>
          <w:tab w:val="left" w:pos="2165"/>
          <w:tab w:val="left" w:pos="2485"/>
        </w:tabs>
        <w:spacing w:before="1" w:line="348" w:lineRule="auto"/>
        <w:ind w:left="2485" w:right="2088" w:hanging="449"/>
        <w:rPr>
          <w:sz w:val="15"/>
        </w:rPr>
      </w:pPr>
      <w:r>
        <w:rPr>
          <w:w w:val="105"/>
          <w:sz w:val="15"/>
        </w:rPr>
        <w:t>Los derechos al trabajo, a la libre elección de empleo, a condiciones de trabajo justas y satisfactorias, a la protección</w:t>
      </w:r>
      <w:r>
        <w:rPr>
          <w:spacing w:val="-11"/>
          <w:w w:val="105"/>
          <w:sz w:val="15"/>
        </w:rPr>
        <w:t xml:space="preserve"> </w:t>
      </w:r>
      <w:r>
        <w:rPr>
          <w:w w:val="105"/>
          <w:sz w:val="15"/>
        </w:rPr>
        <w:t>contra</w:t>
      </w:r>
      <w:r>
        <w:rPr>
          <w:spacing w:val="-11"/>
          <w:w w:val="105"/>
          <w:sz w:val="15"/>
        </w:rPr>
        <w:t xml:space="preserve"> </w:t>
      </w:r>
      <w:r>
        <w:rPr>
          <w:w w:val="105"/>
          <w:sz w:val="15"/>
        </w:rPr>
        <w:t>el</w:t>
      </w:r>
      <w:r>
        <w:rPr>
          <w:spacing w:val="-11"/>
          <w:w w:val="105"/>
          <w:sz w:val="15"/>
        </w:rPr>
        <w:t xml:space="preserve"> </w:t>
      </w:r>
      <w:r>
        <w:rPr>
          <w:w w:val="105"/>
          <w:sz w:val="15"/>
        </w:rPr>
        <w:t>desempleo,</w:t>
      </w:r>
      <w:r>
        <w:rPr>
          <w:spacing w:val="-11"/>
          <w:w w:val="105"/>
          <w:sz w:val="15"/>
        </w:rPr>
        <w:t xml:space="preserve"> </w:t>
      </w:r>
      <w:r>
        <w:rPr>
          <w:w w:val="105"/>
          <w:sz w:val="15"/>
        </w:rPr>
        <w:t>a</w:t>
      </w:r>
      <w:r>
        <w:rPr>
          <w:spacing w:val="-11"/>
          <w:w w:val="105"/>
          <w:sz w:val="15"/>
        </w:rPr>
        <w:t xml:space="preserve"> </w:t>
      </w:r>
      <w:r>
        <w:rPr>
          <w:w w:val="105"/>
          <w:sz w:val="15"/>
        </w:rPr>
        <w:t>igual</w:t>
      </w:r>
      <w:r>
        <w:rPr>
          <w:spacing w:val="-11"/>
          <w:w w:val="105"/>
          <w:sz w:val="15"/>
        </w:rPr>
        <w:t xml:space="preserve"> </w:t>
      </w:r>
      <w:r>
        <w:rPr>
          <w:w w:val="105"/>
          <w:sz w:val="15"/>
        </w:rPr>
        <w:t>salario</w:t>
      </w:r>
      <w:r>
        <w:rPr>
          <w:spacing w:val="-11"/>
          <w:w w:val="105"/>
          <w:sz w:val="15"/>
        </w:rPr>
        <w:t xml:space="preserve"> </w:t>
      </w:r>
      <w:r>
        <w:rPr>
          <w:w w:val="105"/>
          <w:sz w:val="15"/>
        </w:rPr>
        <w:t>por</w:t>
      </w:r>
      <w:r>
        <w:rPr>
          <w:spacing w:val="-11"/>
          <w:w w:val="105"/>
          <w:sz w:val="15"/>
        </w:rPr>
        <w:t xml:space="preserve"> </w:t>
      </w:r>
      <w:r>
        <w:rPr>
          <w:w w:val="105"/>
          <w:sz w:val="15"/>
        </w:rPr>
        <w:t>igual</w:t>
      </w:r>
      <w:r>
        <w:rPr>
          <w:spacing w:val="-11"/>
          <w:w w:val="105"/>
          <w:sz w:val="15"/>
        </w:rPr>
        <w:t xml:space="preserve"> </w:t>
      </w:r>
      <w:r>
        <w:rPr>
          <w:w w:val="105"/>
          <w:sz w:val="15"/>
        </w:rPr>
        <w:t>trabajo,</w:t>
      </w:r>
      <w:r>
        <w:rPr>
          <w:spacing w:val="-11"/>
          <w:w w:val="105"/>
          <w:sz w:val="15"/>
        </w:rPr>
        <w:t xml:space="preserve"> </w:t>
      </w:r>
      <w:r>
        <w:rPr>
          <w:w w:val="105"/>
          <w:sz w:val="15"/>
        </w:rPr>
        <w:t>a</w:t>
      </w:r>
      <w:r>
        <w:rPr>
          <w:spacing w:val="-11"/>
          <w:w w:val="105"/>
          <w:sz w:val="15"/>
        </w:rPr>
        <w:t xml:space="preserve"> </w:t>
      </w:r>
      <w:r>
        <w:rPr>
          <w:w w:val="105"/>
          <w:sz w:val="15"/>
        </w:rPr>
        <w:t>una</w:t>
      </w:r>
      <w:r>
        <w:rPr>
          <w:spacing w:val="-11"/>
          <w:w w:val="105"/>
          <w:sz w:val="15"/>
        </w:rPr>
        <w:t xml:space="preserve"> </w:t>
      </w:r>
      <w:r>
        <w:rPr>
          <w:w w:val="105"/>
          <w:sz w:val="15"/>
        </w:rPr>
        <w:t>remuneración</w:t>
      </w:r>
      <w:r>
        <w:rPr>
          <w:spacing w:val="-11"/>
          <w:w w:val="105"/>
          <w:sz w:val="15"/>
        </w:rPr>
        <w:t xml:space="preserve"> </w:t>
      </w:r>
      <w:r>
        <w:rPr>
          <w:w w:val="105"/>
          <w:sz w:val="15"/>
        </w:rPr>
        <w:t>justa</w:t>
      </w:r>
      <w:r>
        <w:rPr>
          <w:spacing w:val="-11"/>
          <w:w w:val="105"/>
          <w:sz w:val="15"/>
        </w:rPr>
        <w:t xml:space="preserve"> </w:t>
      </w:r>
      <w:r>
        <w:rPr>
          <w:w w:val="105"/>
          <w:sz w:val="15"/>
        </w:rPr>
        <w:t>y</w:t>
      </w:r>
      <w:r>
        <w:rPr>
          <w:spacing w:val="-11"/>
          <w:w w:val="105"/>
          <w:sz w:val="15"/>
        </w:rPr>
        <w:t xml:space="preserve"> </w:t>
      </w:r>
      <w:r>
        <w:rPr>
          <w:w w:val="105"/>
          <w:sz w:val="15"/>
        </w:rPr>
        <w:t>favorable;</w:t>
      </w:r>
    </w:p>
    <w:p w14:paraId="0F3A807D" w14:textId="77777777" w:rsidR="0014798C" w:rsidRDefault="0014798C">
      <w:pPr>
        <w:pStyle w:val="Textoindependiente"/>
        <w:spacing w:before="161"/>
        <w:rPr>
          <w:sz w:val="15"/>
        </w:rPr>
      </w:pPr>
    </w:p>
    <w:p w14:paraId="525FF75A" w14:textId="77777777" w:rsidR="0014798C" w:rsidRDefault="004E1F0B">
      <w:pPr>
        <w:pStyle w:val="Prrafodelista"/>
        <w:numPr>
          <w:ilvl w:val="0"/>
          <w:numId w:val="62"/>
        </w:numPr>
        <w:tabs>
          <w:tab w:val="left" w:pos="2254"/>
        </w:tabs>
        <w:ind w:left="2254" w:hanging="217"/>
        <w:rPr>
          <w:sz w:val="15"/>
        </w:rPr>
      </w:pPr>
      <w:r>
        <w:rPr>
          <w:sz w:val="15"/>
        </w:rPr>
        <w:t>El</w:t>
      </w:r>
      <w:r>
        <w:rPr>
          <w:spacing w:val="11"/>
          <w:sz w:val="15"/>
        </w:rPr>
        <w:t xml:space="preserve"> </w:t>
      </w:r>
      <w:r>
        <w:rPr>
          <w:sz w:val="15"/>
        </w:rPr>
        <w:t>derecho</w:t>
      </w:r>
      <w:r>
        <w:rPr>
          <w:spacing w:val="12"/>
          <w:sz w:val="15"/>
        </w:rPr>
        <w:t xml:space="preserve"> </w:t>
      </w:r>
      <w:r>
        <w:rPr>
          <w:sz w:val="15"/>
        </w:rPr>
        <w:t>a</w:t>
      </w:r>
      <w:r>
        <w:rPr>
          <w:spacing w:val="12"/>
          <w:sz w:val="15"/>
        </w:rPr>
        <w:t xml:space="preserve"> </w:t>
      </w:r>
      <w:r>
        <w:rPr>
          <w:sz w:val="15"/>
        </w:rPr>
        <w:t>formar</w:t>
      </w:r>
      <w:r>
        <w:rPr>
          <w:spacing w:val="12"/>
          <w:sz w:val="15"/>
        </w:rPr>
        <w:t xml:space="preserve"> </w:t>
      </w:r>
      <w:r>
        <w:rPr>
          <w:sz w:val="15"/>
        </w:rPr>
        <w:t>sindicatos</w:t>
      </w:r>
      <w:r>
        <w:rPr>
          <w:spacing w:val="11"/>
          <w:sz w:val="15"/>
        </w:rPr>
        <w:t xml:space="preserve"> </w:t>
      </w:r>
      <w:r>
        <w:rPr>
          <w:sz w:val="15"/>
        </w:rPr>
        <w:t>y</w:t>
      </w:r>
      <w:r>
        <w:rPr>
          <w:spacing w:val="12"/>
          <w:sz w:val="15"/>
        </w:rPr>
        <w:t xml:space="preserve"> </w:t>
      </w:r>
      <w:r>
        <w:rPr>
          <w:sz w:val="15"/>
        </w:rPr>
        <w:t>afiliarse</w:t>
      </w:r>
      <w:r>
        <w:rPr>
          <w:spacing w:val="12"/>
          <w:sz w:val="15"/>
        </w:rPr>
        <w:t xml:space="preserve"> </w:t>
      </w:r>
      <w:r>
        <w:rPr>
          <w:sz w:val="15"/>
        </w:rPr>
        <w:t>a</w:t>
      </w:r>
      <w:r>
        <w:rPr>
          <w:spacing w:val="12"/>
          <w:sz w:val="15"/>
        </w:rPr>
        <w:t xml:space="preserve"> </w:t>
      </w:r>
      <w:r>
        <w:rPr>
          <w:spacing w:val="-2"/>
          <w:sz w:val="15"/>
        </w:rPr>
        <w:t>ellos;</w:t>
      </w:r>
    </w:p>
    <w:p w14:paraId="46A11D86" w14:textId="77777777" w:rsidR="0014798C" w:rsidRDefault="004E1F0B">
      <w:pPr>
        <w:pStyle w:val="Prrafodelista"/>
        <w:numPr>
          <w:ilvl w:val="0"/>
          <w:numId w:val="62"/>
        </w:numPr>
        <w:tabs>
          <w:tab w:val="left" w:pos="2289"/>
        </w:tabs>
        <w:spacing w:before="162"/>
        <w:ind w:left="2289" w:hanging="252"/>
        <w:rPr>
          <w:sz w:val="15"/>
        </w:rPr>
      </w:pPr>
      <w:r>
        <w:rPr>
          <w:sz w:val="15"/>
        </w:rPr>
        <w:t>El</w:t>
      </w:r>
      <w:r>
        <w:rPr>
          <w:spacing w:val="7"/>
          <w:sz w:val="15"/>
        </w:rPr>
        <w:t xml:space="preserve"> </w:t>
      </w:r>
      <w:r>
        <w:rPr>
          <w:sz w:val="15"/>
        </w:rPr>
        <w:t>derecho</w:t>
      </w:r>
      <w:r>
        <w:rPr>
          <w:spacing w:val="8"/>
          <w:sz w:val="15"/>
        </w:rPr>
        <w:t xml:space="preserve"> </w:t>
      </w:r>
      <w:r>
        <w:rPr>
          <w:sz w:val="15"/>
        </w:rPr>
        <w:t>a</w:t>
      </w:r>
      <w:r>
        <w:rPr>
          <w:spacing w:val="8"/>
          <w:sz w:val="15"/>
        </w:rPr>
        <w:t xml:space="preserve"> </w:t>
      </w:r>
      <w:r>
        <w:rPr>
          <w:sz w:val="15"/>
        </w:rPr>
        <w:t>la</w:t>
      </w:r>
      <w:r>
        <w:rPr>
          <w:spacing w:val="8"/>
          <w:sz w:val="15"/>
        </w:rPr>
        <w:t xml:space="preserve"> </w:t>
      </w:r>
      <w:r>
        <w:rPr>
          <w:spacing w:val="-2"/>
          <w:sz w:val="15"/>
        </w:rPr>
        <w:t>vivienda;</w:t>
      </w:r>
    </w:p>
    <w:p w14:paraId="2DF671C0" w14:textId="77777777" w:rsidR="0014798C" w:rsidRDefault="004E1F0B">
      <w:pPr>
        <w:pStyle w:val="Prrafodelista"/>
        <w:numPr>
          <w:ilvl w:val="0"/>
          <w:numId w:val="62"/>
        </w:numPr>
        <w:tabs>
          <w:tab w:val="left" w:pos="2297"/>
        </w:tabs>
        <w:spacing w:before="162"/>
        <w:ind w:left="2297" w:hanging="260"/>
        <w:rPr>
          <w:sz w:val="15"/>
        </w:rPr>
      </w:pPr>
      <w:r>
        <w:rPr>
          <w:w w:val="105"/>
          <w:sz w:val="15"/>
        </w:rPr>
        <w:t>El</w:t>
      </w:r>
      <w:r>
        <w:rPr>
          <w:spacing w:val="-8"/>
          <w:w w:val="105"/>
          <w:sz w:val="15"/>
        </w:rPr>
        <w:t xml:space="preserve"> </w:t>
      </w:r>
      <w:r>
        <w:rPr>
          <w:w w:val="105"/>
          <w:sz w:val="15"/>
        </w:rPr>
        <w:t>derecho</w:t>
      </w:r>
      <w:r>
        <w:rPr>
          <w:spacing w:val="-8"/>
          <w:w w:val="105"/>
          <w:sz w:val="15"/>
        </w:rPr>
        <w:t xml:space="preserve"> </w:t>
      </w:r>
      <w:r>
        <w:rPr>
          <w:w w:val="105"/>
          <w:sz w:val="15"/>
        </w:rPr>
        <w:t>a</w:t>
      </w:r>
      <w:r>
        <w:rPr>
          <w:spacing w:val="-7"/>
          <w:w w:val="105"/>
          <w:sz w:val="15"/>
        </w:rPr>
        <w:t xml:space="preserve"> </w:t>
      </w:r>
      <w:r>
        <w:rPr>
          <w:w w:val="105"/>
          <w:sz w:val="15"/>
        </w:rPr>
        <w:t>la</w:t>
      </w:r>
      <w:r>
        <w:rPr>
          <w:spacing w:val="-8"/>
          <w:w w:val="105"/>
          <w:sz w:val="15"/>
        </w:rPr>
        <w:t xml:space="preserve"> </w:t>
      </w:r>
      <w:r>
        <w:rPr>
          <w:w w:val="105"/>
          <w:sz w:val="15"/>
        </w:rPr>
        <w:t>salud</w:t>
      </w:r>
      <w:r>
        <w:rPr>
          <w:spacing w:val="-7"/>
          <w:w w:val="105"/>
          <w:sz w:val="15"/>
        </w:rPr>
        <w:t xml:space="preserve"> </w:t>
      </w:r>
      <w:r>
        <w:rPr>
          <w:w w:val="105"/>
          <w:sz w:val="15"/>
        </w:rPr>
        <w:t>pública,</w:t>
      </w:r>
      <w:r>
        <w:rPr>
          <w:spacing w:val="-7"/>
          <w:w w:val="105"/>
          <w:sz w:val="15"/>
        </w:rPr>
        <w:t xml:space="preserve"> </w:t>
      </w:r>
      <w:r>
        <w:rPr>
          <w:w w:val="105"/>
          <w:sz w:val="15"/>
        </w:rPr>
        <w:t>la</w:t>
      </w:r>
      <w:r>
        <w:rPr>
          <w:spacing w:val="-7"/>
          <w:w w:val="105"/>
          <w:sz w:val="15"/>
        </w:rPr>
        <w:t xml:space="preserve"> </w:t>
      </w:r>
      <w:r>
        <w:rPr>
          <w:w w:val="105"/>
          <w:sz w:val="15"/>
        </w:rPr>
        <w:t>atención</w:t>
      </w:r>
      <w:r>
        <w:rPr>
          <w:spacing w:val="-8"/>
          <w:w w:val="105"/>
          <w:sz w:val="15"/>
        </w:rPr>
        <w:t xml:space="preserve"> </w:t>
      </w:r>
      <w:r>
        <w:rPr>
          <w:w w:val="105"/>
          <w:sz w:val="15"/>
        </w:rPr>
        <w:t>médica,</w:t>
      </w:r>
      <w:r>
        <w:rPr>
          <w:spacing w:val="-6"/>
          <w:w w:val="105"/>
          <w:sz w:val="15"/>
        </w:rPr>
        <w:t xml:space="preserve"> </w:t>
      </w:r>
      <w:r>
        <w:rPr>
          <w:w w:val="105"/>
          <w:sz w:val="15"/>
        </w:rPr>
        <w:t>la</w:t>
      </w:r>
      <w:r>
        <w:rPr>
          <w:spacing w:val="-8"/>
          <w:w w:val="105"/>
          <w:sz w:val="15"/>
        </w:rPr>
        <w:t xml:space="preserve"> </w:t>
      </w:r>
      <w:r>
        <w:rPr>
          <w:w w:val="105"/>
          <w:sz w:val="15"/>
        </w:rPr>
        <w:t>seguridad</w:t>
      </w:r>
      <w:r>
        <w:rPr>
          <w:spacing w:val="-7"/>
          <w:w w:val="105"/>
          <w:sz w:val="15"/>
        </w:rPr>
        <w:t xml:space="preserve"> </w:t>
      </w:r>
      <w:r>
        <w:rPr>
          <w:w w:val="105"/>
          <w:sz w:val="15"/>
        </w:rPr>
        <w:t>social</w:t>
      </w:r>
      <w:r>
        <w:rPr>
          <w:spacing w:val="-8"/>
          <w:w w:val="105"/>
          <w:sz w:val="15"/>
        </w:rPr>
        <w:t xml:space="preserve"> </w:t>
      </w:r>
      <w:r>
        <w:rPr>
          <w:w w:val="105"/>
          <w:sz w:val="15"/>
        </w:rPr>
        <w:t>y</w:t>
      </w:r>
      <w:r>
        <w:rPr>
          <w:spacing w:val="-7"/>
          <w:w w:val="105"/>
          <w:sz w:val="15"/>
        </w:rPr>
        <w:t xml:space="preserve"> </w:t>
      </w:r>
      <w:r>
        <w:rPr>
          <w:w w:val="105"/>
          <w:sz w:val="15"/>
        </w:rPr>
        <w:t>los</w:t>
      </w:r>
      <w:r>
        <w:rPr>
          <w:spacing w:val="-8"/>
          <w:w w:val="105"/>
          <w:sz w:val="15"/>
        </w:rPr>
        <w:t xml:space="preserve"> </w:t>
      </w:r>
      <w:r>
        <w:rPr>
          <w:w w:val="105"/>
          <w:sz w:val="15"/>
        </w:rPr>
        <w:t>servicios</w:t>
      </w:r>
      <w:r>
        <w:rPr>
          <w:spacing w:val="-7"/>
          <w:w w:val="105"/>
          <w:sz w:val="15"/>
        </w:rPr>
        <w:t xml:space="preserve"> </w:t>
      </w:r>
      <w:r>
        <w:rPr>
          <w:spacing w:val="-2"/>
          <w:w w:val="105"/>
          <w:sz w:val="15"/>
        </w:rPr>
        <w:t>sociales;</w:t>
      </w:r>
    </w:p>
    <w:p w14:paraId="6276A4F2" w14:textId="77777777" w:rsidR="0014798C" w:rsidRDefault="004E1F0B">
      <w:pPr>
        <w:spacing w:before="162"/>
        <w:ind w:left="2037"/>
        <w:rPr>
          <w:sz w:val="15"/>
        </w:rPr>
      </w:pPr>
      <w:r>
        <w:rPr>
          <w:w w:val="105"/>
          <w:sz w:val="15"/>
        </w:rPr>
        <w:t>v)</w:t>
      </w:r>
      <w:r>
        <w:rPr>
          <w:spacing w:val="-6"/>
          <w:w w:val="105"/>
          <w:sz w:val="15"/>
        </w:rPr>
        <w:t xml:space="preserve"> </w:t>
      </w:r>
      <w:r>
        <w:rPr>
          <w:w w:val="105"/>
          <w:sz w:val="15"/>
        </w:rPr>
        <w:t>El</w:t>
      </w:r>
      <w:r>
        <w:rPr>
          <w:spacing w:val="-6"/>
          <w:w w:val="105"/>
          <w:sz w:val="15"/>
        </w:rPr>
        <w:t xml:space="preserve"> </w:t>
      </w:r>
      <w:r>
        <w:rPr>
          <w:w w:val="105"/>
          <w:sz w:val="15"/>
        </w:rPr>
        <w:t>derecho</w:t>
      </w:r>
      <w:r>
        <w:rPr>
          <w:spacing w:val="-5"/>
          <w:w w:val="105"/>
          <w:sz w:val="15"/>
        </w:rPr>
        <w:t xml:space="preserve"> </w:t>
      </w:r>
      <w:r>
        <w:rPr>
          <w:w w:val="105"/>
          <w:sz w:val="15"/>
        </w:rPr>
        <w:t>a</w:t>
      </w:r>
      <w:r>
        <w:rPr>
          <w:spacing w:val="-6"/>
          <w:w w:val="105"/>
          <w:sz w:val="15"/>
        </w:rPr>
        <w:t xml:space="preserve"> </w:t>
      </w:r>
      <w:r>
        <w:rPr>
          <w:w w:val="105"/>
          <w:sz w:val="15"/>
        </w:rPr>
        <w:t>la</w:t>
      </w:r>
      <w:r>
        <w:rPr>
          <w:spacing w:val="-5"/>
          <w:w w:val="105"/>
          <w:sz w:val="15"/>
        </w:rPr>
        <w:t xml:space="preserve"> </w:t>
      </w:r>
      <w:r>
        <w:rPr>
          <w:w w:val="105"/>
          <w:sz w:val="15"/>
        </w:rPr>
        <w:t>educación</w:t>
      </w:r>
      <w:r>
        <w:rPr>
          <w:spacing w:val="-6"/>
          <w:w w:val="105"/>
          <w:sz w:val="15"/>
        </w:rPr>
        <w:t xml:space="preserve"> </w:t>
      </w:r>
      <w:r>
        <w:rPr>
          <w:w w:val="105"/>
          <w:sz w:val="15"/>
        </w:rPr>
        <w:t>y</w:t>
      </w:r>
      <w:r>
        <w:rPr>
          <w:spacing w:val="-5"/>
          <w:w w:val="105"/>
          <w:sz w:val="15"/>
        </w:rPr>
        <w:t xml:space="preserve"> </w:t>
      </w:r>
      <w:r>
        <w:rPr>
          <w:w w:val="105"/>
          <w:sz w:val="15"/>
        </w:rPr>
        <w:t>la</w:t>
      </w:r>
      <w:r>
        <w:rPr>
          <w:spacing w:val="-6"/>
          <w:w w:val="105"/>
          <w:sz w:val="15"/>
        </w:rPr>
        <w:t xml:space="preserve"> </w:t>
      </w:r>
      <w:r>
        <w:rPr>
          <w:spacing w:val="-2"/>
          <w:w w:val="105"/>
          <w:sz w:val="15"/>
        </w:rPr>
        <w:t>formación;</w:t>
      </w:r>
    </w:p>
    <w:p w14:paraId="7CA2BBB7" w14:textId="77777777" w:rsidR="0014798C" w:rsidRDefault="004E1F0B">
      <w:pPr>
        <w:spacing w:before="163"/>
        <w:ind w:left="2037"/>
        <w:rPr>
          <w:sz w:val="15"/>
        </w:rPr>
      </w:pPr>
      <w:r>
        <w:rPr>
          <w:w w:val="105"/>
          <w:sz w:val="15"/>
        </w:rPr>
        <w:t>(vi)</w:t>
      </w:r>
      <w:r>
        <w:rPr>
          <w:spacing w:val="-8"/>
          <w:w w:val="105"/>
          <w:sz w:val="15"/>
        </w:rPr>
        <w:t xml:space="preserve"> </w:t>
      </w:r>
      <w:r>
        <w:rPr>
          <w:w w:val="105"/>
          <w:sz w:val="15"/>
        </w:rPr>
        <w:t>El</w:t>
      </w:r>
      <w:r>
        <w:rPr>
          <w:spacing w:val="-8"/>
          <w:w w:val="105"/>
          <w:sz w:val="15"/>
        </w:rPr>
        <w:t xml:space="preserve"> </w:t>
      </w:r>
      <w:r>
        <w:rPr>
          <w:w w:val="105"/>
          <w:sz w:val="15"/>
        </w:rPr>
        <w:t>derecho</w:t>
      </w:r>
      <w:r>
        <w:rPr>
          <w:spacing w:val="-8"/>
          <w:w w:val="105"/>
          <w:sz w:val="15"/>
        </w:rPr>
        <w:t xml:space="preserve"> </w:t>
      </w:r>
      <w:r>
        <w:rPr>
          <w:w w:val="105"/>
          <w:sz w:val="15"/>
        </w:rPr>
        <w:t>a</w:t>
      </w:r>
      <w:r>
        <w:rPr>
          <w:spacing w:val="-8"/>
          <w:w w:val="105"/>
          <w:sz w:val="15"/>
        </w:rPr>
        <w:t xml:space="preserve"> </w:t>
      </w:r>
      <w:r>
        <w:rPr>
          <w:w w:val="105"/>
          <w:sz w:val="15"/>
        </w:rPr>
        <w:t>la</w:t>
      </w:r>
      <w:r>
        <w:rPr>
          <w:spacing w:val="-8"/>
          <w:w w:val="105"/>
          <w:sz w:val="15"/>
        </w:rPr>
        <w:t xml:space="preserve"> </w:t>
      </w:r>
      <w:r>
        <w:rPr>
          <w:w w:val="105"/>
          <w:sz w:val="15"/>
        </w:rPr>
        <w:t>participación</w:t>
      </w:r>
      <w:r>
        <w:rPr>
          <w:spacing w:val="-8"/>
          <w:w w:val="105"/>
          <w:sz w:val="15"/>
        </w:rPr>
        <w:t xml:space="preserve"> </w:t>
      </w:r>
      <w:r>
        <w:rPr>
          <w:w w:val="105"/>
          <w:sz w:val="15"/>
        </w:rPr>
        <w:t>igualitaria</w:t>
      </w:r>
      <w:r>
        <w:rPr>
          <w:spacing w:val="-8"/>
          <w:w w:val="105"/>
          <w:sz w:val="15"/>
        </w:rPr>
        <w:t xml:space="preserve"> </w:t>
      </w:r>
      <w:r>
        <w:rPr>
          <w:w w:val="105"/>
          <w:sz w:val="15"/>
        </w:rPr>
        <w:t>en</w:t>
      </w:r>
      <w:r>
        <w:rPr>
          <w:spacing w:val="-7"/>
          <w:w w:val="105"/>
          <w:sz w:val="15"/>
        </w:rPr>
        <w:t xml:space="preserve"> </w:t>
      </w:r>
      <w:r>
        <w:rPr>
          <w:w w:val="105"/>
          <w:sz w:val="15"/>
        </w:rPr>
        <w:t>las</w:t>
      </w:r>
      <w:r>
        <w:rPr>
          <w:spacing w:val="-8"/>
          <w:w w:val="105"/>
          <w:sz w:val="15"/>
        </w:rPr>
        <w:t xml:space="preserve"> </w:t>
      </w:r>
      <w:r>
        <w:rPr>
          <w:w w:val="105"/>
          <w:sz w:val="15"/>
        </w:rPr>
        <w:t>actividades</w:t>
      </w:r>
      <w:r>
        <w:rPr>
          <w:spacing w:val="-8"/>
          <w:w w:val="105"/>
          <w:sz w:val="15"/>
        </w:rPr>
        <w:t xml:space="preserve"> </w:t>
      </w:r>
      <w:r>
        <w:rPr>
          <w:spacing w:val="-2"/>
          <w:w w:val="105"/>
          <w:sz w:val="15"/>
        </w:rPr>
        <w:t>culturales;</w:t>
      </w:r>
    </w:p>
    <w:p w14:paraId="0A085997" w14:textId="77777777" w:rsidR="0014798C" w:rsidRDefault="004E1F0B">
      <w:pPr>
        <w:spacing w:before="162" w:line="348" w:lineRule="auto"/>
        <w:ind w:left="2014" w:right="2765" w:hanging="331"/>
        <w:rPr>
          <w:sz w:val="15"/>
        </w:rPr>
      </w:pPr>
      <w:r>
        <w:rPr>
          <w:w w:val="105"/>
          <w:sz w:val="15"/>
        </w:rPr>
        <w:t>(f)</w:t>
      </w:r>
      <w:r>
        <w:rPr>
          <w:spacing w:val="-4"/>
          <w:w w:val="105"/>
          <w:sz w:val="15"/>
        </w:rPr>
        <w:t xml:space="preserve"> </w:t>
      </w:r>
      <w:r>
        <w:rPr>
          <w:w w:val="105"/>
          <w:sz w:val="15"/>
        </w:rPr>
        <w:t>El</w:t>
      </w:r>
      <w:r>
        <w:rPr>
          <w:spacing w:val="-4"/>
          <w:w w:val="105"/>
          <w:sz w:val="15"/>
        </w:rPr>
        <w:t xml:space="preserve"> </w:t>
      </w:r>
      <w:r>
        <w:rPr>
          <w:w w:val="105"/>
          <w:sz w:val="15"/>
        </w:rPr>
        <w:t>derecho</w:t>
      </w:r>
      <w:r>
        <w:rPr>
          <w:spacing w:val="-4"/>
          <w:w w:val="105"/>
          <w:sz w:val="15"/>
        </w:rPr>
        <w:t xml:space="preserve"> </w:t>
      </w:r>
      <w:r>
        <w:rPr>
          <w:w w:val="105"/>
          <w:sz w:val="15"/>
        </w:rPr>
        <w:t>de</w:t>
      </w:r>
      <w:r>
        <w:rPr>
          <w:spacing w:val="-4"/>
          <w:w w:val="105"/>
          <w:sz w:val="15"/>
        </w:rPr>
        <w:t xml:space="preserve"> </w:t>
      </w:r>
      <w:r>
        <w:rPr>
          <w:w w:val="105"/>
          <w:sz w:val="15"/>
        </w:rPr>
        <w:t>acceso</w:t>
      </w:r>
      <w:r>
        <w:rPr>
          <w:spacing w:val="-4"/>
          <w:w w:val="105"/>
          <w:sz w:val="15"/>
        </w:rPr>
        <w:t xml:space="preserve"> </w:t>
      </w:r>
      <w:r>
        <w:rPr>
          <w:w w:val="105"/>
          <w:sz w:val="15"/>
        </w:rPr>
        <w:t>a</w:t>
      </w:r>
      <w:r>
        <w:rPr>
          <w:spacing w:val="-4"/>
          <w:w w:val="105"/>
          <w:sz w:val="15"/>
        </w:rPr>
        <w:t xml:space="preserve"> </w:t>
      </w:r>
      <w:r>
        <w:rPr>
          <w:w w:val="105"/>
          <w:sz w:val="15"/>
        </w:rPr>
        <w:t>cualquier</w:t>
      </w:r>
      <w:r>
        <w:rPr>
          <w:spacing w:val="-4"/>
          <w:w w:val="105"/>
          <w:sz w:val="15"/>
        </w:rPr>
        <w:t xml:space="preserve"> </w:t>
      </w:r>
      <w:r>
        <w:rPr>
          <w:w w:val="105"/>
          <w:sz w:val="15"/>
        </w:rPr>
        <w:t>lugar</w:t>
      </w:r>
      <w:r>
        <w:rPr>
          <w:spacing w:val="-4"/>
          <w:w w:val="105"/>
          <w:sz w:val="15"/>
        </w:rPr>
        <w:t xml:space="preserve"> </w:t>
      </w:r>
      <w:r>
        <w:rPr>
          <w:w w:val="105"/>
          <w:sz w:val="15"/>
        </w:rPr>
        <w:t>o</w:t>
      </w:r>
      <w:r>
        <w:rPr>
          <w:spacing w:val="-4"/>
          <w:w w:val="105"/>
          <w:sz w:val="15"/>
        </w:rPr>
        <w:t xml:space="preserve"> </w:t>
      </w:r>
      <w:r>
        <w:rPr>
          <w:w w:val="105"/>
          <w:sz w:val="15"/>
        </w:rPr>
        <w:t>servicio</w:t>
      </w:r>
      <w:r>
        <w:rPr>
          <w:spacing w:val="-4"/>
          <w:w w:val="105"/>
          <w:sz w:val="15"/>
        </w:rPr>
        <w:t xml:space="preserve"> </w:t>
      </w:r>
      <w:r>
        <w:rPr>
          <w:w w:val="105"/>
          <w:sz w:val="15"/>
        </w:rPr>
        <w:t>destinado</w:t>
      </w:r>
      <w:r>
        <w:rPr>
          <w:spacing w:val="-4"/>
          <w:w w:val="105"/>
          <w:sz w:val="15"/>
        </w:rPr>
        <w:t xml:space="preserve"> </w:t>
      </w:r>
      <w:r>
        <w:rPr>
          <w:w w:val="105"/>
          <w:sz w:val="15"/>
        </w:rPr>
        <w:t>al</w:t>
      </w:r>
      <w:r>
        <w:rPr>
          <w:spacing w:val="-4"/>
          <w:w w:val="105"/>
          <w:sz w:val="15"/>
        </w:rPr>
        <w:t xml:space="preserve"> </w:t>
      </w:r>
      <w:r>
        <w:rPr>
          <w:w w:val="105"/>
          <w:sz w:val="15"/>
        </w:rPr>
        <w:t>uso</w:t>
      </w:r>
      <w:r>
        <w:rPr>
          <w:spacing w:val="-4"/>
          <w:w w:val="105"/>
          <w:sz w:val="15"/>
        </w:rPr>
        <w:t xml:space="preserve"> </w:t>
      </w:r>
      <w:r>
        <w:rPr>
          <w:w w:val="105"/>
          <w:sz w:val="15"/>
        </w:rPr>
        <w:t>del</w:t>
      </w:r>
      <w:r>
        <w:rPr>
          <w:spacing w:val="-4"/>
          <w:w w:val="105"/>
          <w:sz w:val="15"/>
        </w:rPr>
        <w:t xml:space="preserve"> </w:t>
      </w:r>
      <w:r>
        <w:rPr>
          <w:w w:val="105"/>
          <w:sz w:val="15"/>
        </w:rPr>
        <w:t>público</w:t>
      </w:r>
      <w:r>
        <w:rPr>
          <w:spacing w:val="-4"/>
          <w:w w:val="105"/>
          <w:sz w:val="15"/>
        </w:rPr>
        <w:t xml:space="preserve"> </w:t>
      </w:r>
      <w:r>
        <w:rPr>
          <w:w w:val="105"/>
          <w:sz w:val="15"/>
        </w:rPr>
        <w:t>en</w:t>
      </w:r>
      <w:r>
        <w:rPr>
          <w:spacing w:val="-4"/>
          <w:w w:val="105"/>
          <w:sz w:val="15"/>
        </w:rPr>
        <w:t xml:space="preserve"> </w:t>
      </w:r>
      <w:r>
        <w:rPr>
          <w:w w:val="105"/>
          <w:sz w:val="15"/>
        </w:rPr>
        <w:t>general,</w:t>
      </w:r>
      <w:r>
        <w:rPr>
          <w:spacing w:val="-3"/>
          <w:w w:val="105"/>
          <w:sz w:val="15"/>
        </w:rPr>
        <w:t xml:space="preserve"> </w:t>
      </w:r>
      <w:r>
        <w:rPr>
          <w:w w:val="105"/>
          <w:sz w:val="15"/>
        </w:rPr>
        <w:t>tales</w:t>
      </w:r>
      <w:r>
        <w:rPr>
          <w:spacing w:val="-4"/>
          <w:w w:val="105"/>
          <w:sz w:val="15"/>
        </w:rPr>
        <w:t xml:space="preserve"> </w:t>
      </w:r>
      <w:r>
        <w:rPr>
          <w:w w:val="105"/>
          <w:sz w:val="15"/>
        </w:rPr>
        <w:t>como transporte, hoteles, restaurantes, cafeterías, teatros y parques.</w:t>
      </w:r>
    </w:p>
    <w:p w14:paraId="7D619DF0" w14:textId="77777777" w:rsidR="0014798C" w:rsidRDefault="004E1F0B">
      <w:pPr>
        <w:pStyle w:val="Textoindependiente"/>
        <w:spacing w:before="103" w:line="326" w:lineRule="auto"/>
        <w:ind w:left="1334" w:right="1626" w:hanging="2"/>
      </w:pPr>
      <w:r>
        <w:t>El Comité para la Eliminación de la Discriminación Racial ha señalado que: “La lista de derechos humanos a los que se aplica [el principio de no discriminación] en virtud de la Convención no es cerrada y se extiende a cualquier campo de derechos</w:t>
      </w:r>
      <w:r>
        <w:rPr>
          <w:spacing w:val="-3"/>
        </w:rPr>
        <w:t xml:space="preserve"> </w:t>
      </w:r>
      <w:r>
        <w:t>humanos</w:t>
      </w:r>
      <w:r>
        <w:rPr>
          <w:spacing w:val="-3"/>
        </w:rPr>
        <w:t xml:space="preserve"> </w:t>
      </w:r>
      <w:r>
        <w:t>regulado</w:t>
      </w:r>
      <w:r>
        <w:rPr>
          <w:spacing w:val="-3"/>
        </w:rPr>
        <w:t xml:space="preserve"> </w:t>
      </w:r>
      <w:r>
        <w:t>por</w:t>
      </w:r>
      <w:r>
        <w:rPr>
          <w:spacing w:val="-3"/>
        </w:rPr>
        <w:t xml:space="preserve"> </w:t>
      </w:r>
      <w:r>
        <w:t>las</w:t>
      </w:r>
      <w:r>
        <w:rPr>
          <w:spacing w:val="-3"/>
        </w:rPr>
        <w:t xml:space="preserve"> </w:t>
      </w:r>
      <w:r>
        <w:t>autoridades</w:t>
      </w:r>
      <w:r>
        <w:rPr>
          <w:spacing w:val="-3"/>
        </w:rPr>
        <w:t xml:space="preserve"> </w:t>
      </w:r>
      <w:r>
        <w:t>públicas</w:t>
      </w:r>
      <w:r>
        <w:rPr>
          <w:spacing w:val="-3"/>
        </w:rPr>
        <w:t xml:space="preserve"> </w:t>
      </w:r>
      <w:r>
        <w:t>en</w:t>
      </w:r>
      <w:r>
        <w:rPr>
          <w:spacing w:val="-3"/>
        </w:rPr>
        <w:t xml:space="preserve"> </w:t>
      </w:r>
      <w:r>
        <w:t>el</w:t>
      </w:r>
      <w:r>
        <w:rPr>
          <w:spacing w:val="-3"/>
        </w:rPr>
        <w:t xml:space="preserve"> </w:t>
      </w:r>
      <w:r>
        <w:t>Estado</w:t>
      </w:r>
      <w:r>
        <w:rPr>
          <w:spacing w:val="-3"/>
        </w:rPr>
        <w:t xml:space="preserve"> </w:t>
      </w:r>
      <w:r>
        <w:t>parte.”366</w:t>
      </w:r>
      <w:r>
        <w:rPr>
          <w:spacing w:val="-3"/>
        </w:rPr>
        <w:t xml:space="preserve"> </w:t>
      </w:r>
      <w:r>
        <w:t>En</w:t>
      </w:r>
      <w:r>
        <w:rPr>
          <w:spacing w:val="-3"/>
        </w:rPr>
        <w:t xml:space="preserve"> </w:t>
      </w:r>
      <w:r>
        <w:t>la</w:t>
      </w:r>
      <w:r>
        <w:rPr>
          <w:spacing w:val="-3"/>
        </w:rPr>
        <w:t xml:space="preserve"> </w:t>
      </w:r>
      <w:r>
        <w:t>práctica,</w:t>
      </w:r>
      <w:r>
        <w:rPr>
          <w:spacing w:val="-2"/>
        </w:rPr>
        <w:t xml:space="preserve"> </w:t>
      </w:r>
      <w:r>
        <w:t>como</w:t>
      </w:r>
      <w:r>
        <w:rPr>
          <w:spacing w:val="-3"/>
        </w:rPr>
        <w:t xml:space="preserve"> </w:t>
      </w:r>
      <w:r>
        <w:t>se</w:t>
      </w:r>
      <w:r>
        <w:rPr>
          <w:spacing w:val="-3"/>
        </w:rPr>
        <w:t xml:space="preserve"> </w:t>
      </w:r>
      <w:r>
        <w:t>señaló</w:t>
      </w:r>
      <w:r>
        <w:rPr>
          <w:spacing w:val="-3"/>
        </w:rPr>
        <w:t xml:space="preserve"> </w:t>
      </w:r>
      <w:r>
        <w:t>en</w:t>
      </w:r>
      <w:r>
        <w:rPr>
          <w:spacing w:val="-3"/>
        </w:rPr>
        <w:t xml:space="preserve"> </w:t>
      </w:r>
      <w:r>
        <w:t>otra parte, la lista de derechos a los que el Comité ha aplicado el derecho a la no discriminación es extensa.367</w:t>
      </w:r>
    </w:p>
    <w:p w14:paraId="24F50736" w14:textId="77777777" w:rsidR="0014798C" w:rsidRDefault="0014798C">
      <w:pPr>
        <w:pStyle w:val="Textoindependiente"/>
        <w:rPr>
          <w:sz w:val="11"/>
        </w:rPr>
      </w:pPr>
    </w:p>
    <w:p w14:paraId="67226261" w14:textId="77777777" w:rsidR="0014798C" w:rsidRDefault="0014798C">
      <w:pPr>
        <w:pStyle w:val="Textoindependiente"/>
        <w:rPr>
          <w:sz w:val="11"/>
        </w:rPr>
      </w:pPr>
    </w:p>
    <w:p w14:paraId="2D25132F" w14:textId="77777777" w:rsidR="0014798C" w:rsidRDefault="0014798C">
      <w:pPr>
        <w:pStyle w:val="Textoindependiente"/>
        <w:rPr>
          <w:sz w:val="11"/>
        </w:rPr>
      </w:pPr>
    </w:p>
    <w:p w14:paraId="025DB3CA" w14:textId="77777777" w:rsidR="0014798C" w:rsidRDefault="0014798C">
      <w:pPr>
        <w:pStyle w:val="Textoindependiente"/>
        <w:rPr>
          <w:sz w:val="11"/>
        </w:rPr>
      </w:pPr>
    </w:p>
    <w:p w14:paraId="5FC70B52" w14:textId="77777777" w:rsidR="0014798C" w:rsidRDefault="0014798C">
      <w:pPr>
        <w:pStyle w:val="Textoindependiente"/>
        <w:rPr>
          <w:sz w:val="11"/>
        </w:rPr>
      </w:pPr>
    </w:p>
    <w:p w14:paraId="720A38CE" w14:textId="77777777" w:rsidR="0014798C" w:rsidRDefault="0014798C">
      <w:pPr>
        <w:pStyle w:val="Textoindependiente"/>
        <w:rPr>
          <w:sz w:val="11"/>
        </w:rPr>
      </w:pPr>
    </w:p>
    <w:p w14:paraId="0D323CE3" w14:textId="77777777" w:rsidR="0014798C" w:rsidRDefault="0014798C">
      <w:pPr>
        <w:pStyle w:val="Textoindependiente"/>
        <w:rPr>
          <w:sz w:val="11"/>
        </w:rPr>
      </w:pPr>
    </w:p>
    <w:p w14:paraId="5B56824A" w14:textId="77777777" w:rsidR="0014798C" w:rsidRDefault="0014798C">
      <w:pPr>
        <w:pStyle w:val="Textoindependiente"/>
        <w:spacing w:before="45"/>
        <w:rPr>
          <w:sz w:val="11"/>
        </w:rPr>
      </w:pPr>
    </w:p>
    <w:p w14:paraId="20D14912" w14:textId="77777777" w:rsidR="0014798C" w:rsidRDefault="004E1F0B">
      <w:pPr>
        <w:spacing w:before="1" w:line="340" w:lineRule="auto"/>
        <w:ind w:left="1371" w:right="2004" w:hanging="265"/>
        <w:rPr>
          <w:sz w:val="11"/>
        </w:rPr>
      </w:pPr>
      <w:r>
        <w:rPr>
          <w:sz w:val="11"/>
        </w:rPr>
        <w:t>366 Comité para la Eliminación de la Discriminación Racial, recomendación general núm. 32 (2009), párr. 9. En un sentido similar, el Comité para la Eliminación de la</w:t>
      </w:r>
      <w:r>
        <w:rPr>
          <w:spacing w:val="40"/>
          <w:sz w:val="11"/>
        </w:rPr>
        <w:t xml:space="preserve"> </w:t>
      </w:r>
      <w:r>
        <w:rPr>
          <w:sz w:val="11"/>
        </w:rPr>
        <w:t>Discriminación contra la Mujer ha observado que la lista de áreas de derechos cubiertas</w:t>
      </w:r>
      <w:r>
        <w:rPr>
          <w:spacing w:val="-1"/>
          <w:sz w:val="11"/>
        </w:rPr>
        <w:t xml:space="preserve"> </w:t>
      </w:r>
      <w:r>
        <w:rPr>
          <w:sz w:val="11"/>
        </w:rPr>
        <w:t>por la Convención pertinente</w:t>
      </w:r>
      <w:r>
        <w:rPr>
          <w:spacing w:val="-1"/>
          <w:sz w:val="11"/>
        </w:rPr>
        <w:t xml:space="preserve"> </w:t>
      </w:r>
      <w:r>
        <w:rPr>
          <w:sz w:val="11"/>
        </w:rPr>
        <w:t>no es exhaustiva y se extiende, entre otras</w:t>
      </w:r>
      <w:r>
        <w:rPr>
          <w:spacing w:val="-1"/>
          <w:sz w:val="11"/>
        </w:rPr>
        <w:t xml:space="preserve"> </w:t>
      </w:r>
      <w:r>
        <w:rPr>
          <w:sz w:val="11"/>
        </w:rPr>
        <w:t>cosas,</w:t>
      </w:r>
    </w:p>
    <w:p w14:paraId="17ECF881" w14:textId="77777777" w:rsidR="0014798C" w:rsidRDefault="004E1F0B">
      <w:pPr>
        <w:spacing w:line="340" w:lineRule="auto"/>
        <w:ind w:left="1368" w:right="1463" w:firstLine="3"/>
        <w:rPr>
          <w:sz w:val="11"/>
        </w:rPr>
      </w:pPr>
      <w:r>
        <w:rPr>
          <w:sz w:val="11"/>
        </w:rPr>
        <w:t xml:space="preserve">a cualquier “área nacional o de cualquier otra índole”. Además de este entendimiento, los </w:t>
      </w:r>
      <w:proofErr w:type="gramStart"/>
      <w:r>
        <w:rPr>
          <w:sz w:val="11"/>
        </w:rPr>
        <w:t>Estados partes</w:t>
      </w:r>
      <w:proofErr w:type="gramEnd"/>
      <w:r>
        <w:rPr>
          <w:sz w:val="11"/>
        </w:rPr>
        <w:t xml:space="preserve"> deben “promulgar legislación que prohíba la discriminación en todos los</w:t>
      </w:r>
      <w:r>
        <w:rPr>
          <w:spacing w:val="40"/>
          <w:sz w:val="11"/>
        </w:rPr>
        <w:t xml:space="preserve"> </w:t>
      </w:r>
      <w:r>
        <w:rPr>
          <w:sz w:val="11"/>
        </w:rPr>
        <w:t>ámbitos</w:t>
      </w:r>
      <w:r>
        <w:rPr>
          <w:spacing w:val="-1"/>
          <w:sz w:val="11"/>
        </w:rPr>
        <w:t xml:space="preserve"> </w:t>
      </w:r>
      <w:r>
        <w:rPr>
          <w:sz w:val="11"/>
        </w:rPr>
        <w:t xml:space="preserve">de la vida de las mujeres en virtud de la Convención”. Véase Comité para la Eliminación de la Discriminación contra la Mujer, recomendación general núm. 28 (2010), </w:t>
      </w:r>
      <w:proofErr w:type="spellStart"/>
      <w:r>
        <w:rPr>
          <w:sz w:val="11"/>
        </w:rPr>
        <w:t>párrs</w:t>
      </w:r>
      <w:proofErr w:type="spellEnd"/>
      <w:r>
        <w:rPr>
          <w:sz w:val="11"/>
        </w:rPr>
        <w:t>.</w:t>
      </w:r>
      <w:r>
        <w:rPr>
          <w:spacing w:val="40"/>
          <w:sz w:val="11"/>
        </w:rPr>
        <w:t xml:space="preserve"> </w:t>
      </w:r>
      <w:r>
        <w:rPr>
          <w:sz w:val="11"/>
        </w:rPr>
        <w:t>4, 7 y 31.</w:t>
      </w:r>
    </w:p>
    <w:p w14:paraId="790632D8" w14:textId="77777777" w:rsidR="0014798C" w:rsidRDefault="004E1F0B">
      <w:pPr>
        <w:spacing w:before="57" w:line="316" w:lineRule="auto"/>
        <w:ind w:left="1366" w:right="1626" w:hanging="259"/>
        <w:rPr>
          <w:sz w:val="12"/>
        </w:rPr>
      </w:pPr>
      <w:r>
        <w:rPr>
          <w:sz w:val="11"/>
        </w:rPr>
        <w:t>367 Por ejemplo, sobre la base de una evaluación de la práctica en virtud de la Convención Internacional sobre la Eliminación de todas las Formas de Discriminación Racial</w:t>
      </w:r>
      <w:r>
        <w:rPr>
          <w:spacing w:val="40"/>
          <w:w w:val="105"/>
          <w:sz w:val="11"/>
        </w:rPr>
        <w:t xml:space="preserve"> </w:t>
      </w:r>
      <w:r>
        <w:rPr>
          <w:w w:val="105"/>
          <w:sz w:val="12"/>
        </w:rPr>
        <w:t xml:space="preserve">Discriminación, Patrick </w:t>
      </w:r>
      <w:proofErr w:type="spellStart"/>
      <w:r>
        <w:rPr>
          <w:w w:val="105"/>
          <w:sz w:val="12"/>
        </w:rPr>
        <w:t>Thornbury</w:t>
      </w:r>
      <w:proofErr w:type="spellEnd"/>
      <w:r>
        <w:rPr>
          <w:w w:val="105"/>
          <w:sz w:val="12"/>
        </w:rPr>
        <w:t xml:space="preserve"> identifica los siguientes derechos: “derechos lingüísticos, derecho a un nombre y derechos de identidad en términos</w:t>
      </w:r>
      <w:r>
        <w:rPr>
          <w:spacing w:val="40"/>
          <w:w w:val="105"/>
          <w:sz w:val="12"/>
        </w:rPr>
        <w:t xml:space="preserve"> </w:t>
      </w:r>
      <w:r>
        <w:rPr>
          <w:sz w:val="12"/>
        </w:rPr>
        <w:t>generales; los derechos de participación se ampliaron más allá de la esfera "política"; Derechos reproductivos; el derecho a la vida familiar; el derecho a la</w:t>
      </w:r>
      <w:r>
        <w:rPr>
          <w:spacing w:val="40"/>
          <w:w w:val="105"/>
          <w:sz w:val="12"/>
        </w:rPr>
        <w:t xml:space="preserve"> </w:t>
      </w:r>
      <w:r>
        <w:rPr>
          <w:w w:val="105"/>
          <w:sz w:val="12"/>
        </w:rPr>
        <w:t>alimentación; una</w:t>
      </w:r>
      <w:r>
        <w:rPr>
          <w:spacing w:val="-1"/>
          <w:w w:val="105"/>
          <w:sz w:val="12"/>
        </w:rPr>
        <w:t xml:space="preserve"> </w:t>
      </w:r>
      <w:r>
        <w:rPr>
          <w:w w:val="105"/>
          <w:sz w:val="12"/>
        </w:rPr>
        <w:t>batería</w:t>
      </w:r>
      <w:r>
        <w:rPr>
          <w:spacing w:val="-1"/>
          <w:w w:val="105"/>
          <w:sz w:val="12"/>
        </w:rPr>
        <w:t xml:space="preserve"> </w:t>
      </w:r>
      <w:r>
        <w:rPr>
          <w:w w:val="105"/>
          <w:sz w:val="12"/>
        </w:rPr>
        <w:t>de</w:t>
      </w:r>
      <w:r>
        <w:rPr>
          <w:spacing w:val="-1"/>
          <w:w w:val="105"/>
          <w:sz w:val="12"/>
        </w:rPr>
        <w:t xml:space="preserve"> </w:t>
      </w:r>
      <w:r>
        <w:rPr>
          <w:w w:val="105"/>
          <w:sz w:val="12"/>
        </w:rPr>
        <w:t>derechos</w:t>
      </w:r>
      <w:r>
        <w:rPr>
          <w:spacing w:val="-1"/>
          <w:w w:val="105"/>
          <w:sz w:val="12"/>
        </w:rPr>
        <w:t xml:space="preserve"> </w:t>
      </w:r>
      <w:r>
        <w:rPr>
          <w:w w:val="105"/>
          <w:sz w:val="12"/>
        </w:rPr>
        <w:t>asociados</w:t>
      </w:r>
      <w:r>
        <w:rPr>
          <w:spacing w:val="-1"/>
          <w:w w:val="105"/>
          <w:sz w:val="12"/>
        </w:rPr>
        <w:t xml:space="preserve"> </w:t>
      </w:r>
      <w:r>
        <w:rPr>
          <w:w w:val="105"/>
          <w:sz w:val="12"/>
        </w:rPr>
        <w:t>con</w:t>
      </w:r>
      <w:r>
        <w:rPr>
          <w:spacing w:val="-1"/>
          <w:w w:val="105"/>
          <w:sz w:val="12"/>
        </w:rPr>
        <w:t xml:space="preserve"> </w:t>
      </w:r>
      <w:r>
        <w:rPr>
          <w:w w:val="105"/>
          <w:sz w:val="12"/>
        </w:rPr>
        <w:t>los</w:t>
      </w:r>
      <w:r>
        <w:rPr>
          <w:spacing w:val="-1"/>
          <w:w w:val="105"/>
          <w:sz w:val="12"/>
        </w:rPr>
        <w:t xml:space="preserve"> </w:t>
      </w:r>
      <w:r>
        <w:rPr>
          <w:w w:val="105"/>
          <w:sz w:val="12"/>
        </w:rPr>
        <w:t>refugiados</w:t>
      </w:r>
      <w:r>
        <w:rPr>
          <w:spacing w:val="-1"/>
          <w:w w:val="105"/>
          <w:sz w:val="12"/>
        </w:rPr>
        <w:t xml:space="preserve"> </w:t>
      </w:r>
      <w:r>
        <w:rPr>
          <w:w w:val="105"/>
          <w:sz w:val="12"/>
        </w:rPr>
        <w:t>y</w:t>
      </w:r>
      <w:r>
        <w:rPr>
          <w:spacing w:val="-1"/>
          <w:w w:val="105"/>
          <w:sz w:val="12"/>
        </w:rPr>
        <w:t xml:space="preserve"> </w:t>
      </w:r>
      <w:r>
        <w:rPr>
          <w:w w:val="105"/>
          <w:sz w:val="12"/>
        </w:rPr>
        <w:t>solicitantes</w:t>
      </w:r>
      <w:r>
        <w:rPr>
          <w:spacing w:val="-1"/>
          <w:w w:val="105"/>
          <w:sz w:val="12"/>
        </w:rPr>
        <w:t xml:space="preserve"> </w:t>
      </w:r>
      <w:r>
        <w:rPr>
          <w:w w:val="105"/>
          <w:sz w:val="12"/>
        </w:rPr>
        <w:t>de</w:t>
      </w:r>
      <w:r>
        <w:rPr>
          <w:spacing w:val="-1"/>
          <w:w w:val="105"/>
          <w:sz w:val="12"/>
        </w:rPr>
        <w:t xml:space="preserve"> </w:t>
      </w:r>
      <w:r>
        <w:rPr>
          <w:w w:val="105"/>
          <w:sz w:val="12"/>
        </w:rPr>
        <w:t>asilo, incluida</w:t>
      </w:r>
      <w:r>
        <w:rPr>
          <w:spacing w:val="-1"/>
          <w:w w:val="105"/>
          <w:sz w:val="12"/>
        </w:rPr>
        <w:t xml:space="preserve"> </w:t>
      </w:r>
      <w:r>
        <w:rPr>
          <w:w w:val="105"/>
          <w:sz w:val="12"/>
        </w:rPr>
        <w:t>la</w:t>
      </w:r>
      <w:r>
        <w:rPr>
          <w:spacing w:val="-1"/>
          <w:w w:val="105"/>
          <w:sz w:val="12"/>
        </w:rPr>
        <w:t xml:space="preserve"> </w:t>
      </w:r>
      <w:r>
        <w:rPr>
          <w:w w:val="105"/>
          <w:sz w:val="12"/>
        </w:rPr>
        <w:t>no</w:t>
      </w:r>
      <w:r>
        <w:rPr>
          <w:spacing w:val="-1"/>
          <w:w w:val="105"/>
          <w:sz w:val="12"/>
        </w:rPr>
        <w:t xml:space="preserve"> </w:t>
      </w:r>
      <w:r>
        <w:rPr>
          <w:w w:val="105"/>
          <w:sz w:val="12"/>
        </w:rPr>
        <w:t>devolución, el</w:t>
      </w:r>
      <w:r>
        <w:rPr>
          <w:spacing w:val="-1"/>
          <w:w w:val="105"/>
          <w:sz w:val="12"/>
        </w:rPr>
        <w:t xml:space="preserve"> </w:t>
      </w:r>
      <w:r>
        <w:rPr>
          <w:w w:val="105"/>
          <w:sz w:val="12"/>
        </w:rPr>
        <w:t>derecho</w:t>
      </w:r>
      <w:r>
        <w:rPr>
          <w:spacing w:val="-1"/>
          <w:w w:val="105"/>
          <w:sz w:val="12"/>
        </w:rPr>
        <w:t xml:space="preserve"> </w:t>
      </w:r>
      <w:r>
        <w:rPr>
          <w:w w:val="105"/>
          <w:sz w:val="12"/>
        </w:rPr>
        <w:t>de</w:t>
      </w:r>
      <w:r>
        <w:rPr>
          <w:spacing w:val="-1"/>
          <w:w w:val="105"/>
          <w:sz w:val="12"/>
        </w:rPr>
        <w:t xml:space="preserve"> </w:t>
      </w:r>
      <w:r>
        <w:rPr>
          <w:w w:val="105"/>
          <w:sz w:val="12"/>
        </w:rPr>
        <w:t>asilo</w:t>
      </w:r>
      <w:r>
        <w:rPr>
          <w:spacing w:val="-1"/>
          <w:w w:val="105"/>
          <w:sz w:val="12"/>
        </w:rPr>
        <w:t xml:space="preserve"> </w:t>
      </w:r>
      <w:r>
        <w:rPr>
          <w:w w:val="105"/>
          <w:sz w:val="12"/>
        </w:rPr>
        <w:t>y</w:t>
      </w:r>
      <w:r>
        <w:rPr>
          <w:spacing w:val="-1"/>
          <w:w w:val="105"/>
          <w:sz w:val="12"/>
        </w:rPr>
        <w:t xml:space="preserve"> </w:t>
      </w:r>
      <w:r>
        <w:rPr>
          <w:w w:val="105"/>
          <w:sz w:val="12"/>
        </w:rPr>
        <w:t>el</w:t>
      </w:r>
      <w:r>
        <w:rPr>
          <w:spacing w:val="-1"/>
          <w:w w:val="105"/>
          <w:sz w:val="12"/>
        </w:rPr>
        <w:t xml:space="preserve"> </w:t>
      </w:r>
      <w:r>
        <w:rPr>
          <w:w w:val="105"/>
          <w:sz w:val="12"/>
        </w:rPr>
        <w:t>derecho</w:t>
      </w:r>
      <w:r>
        <w:rPr>
          <w:spacing w:val="-1"/>
          <w:w w:val="105"/>
          <w:sz w:val="12"/>
        </w:rPr>
        <w:t xml:space="preserve"> </w:t>
      </w:r>
      <w:r>
        <w:rPr>
          <w:w w:val="105"/>
          <w:sz w:val="12"/>
        </w:rPr>
        <w:t>a</w:t>
      </w:r>
      <w:r>
        <w:rPr>
          <w:spacing w:val="40"/>
          <w:w w:val="105"/>
          <w:sz w:val="12"/>
        </w:rPr>
        <w:t xml:space="preserve"> </w:t>
      </w:r>
      <w:r>
        <w:rPr>
          <w:w w:val="105"/>
          <w:sz w:val="12"/>
        </w:rPr>
        <w:t>apelar</w:t>
      </w:r>
      <w:r>
        <w:rPr>
          <w:spacing w:val="-3"/>
          <w:w w:val="105"/>
          <w:sz w:val="12"/>
        </w:rPr>
        <w:t xml:space="preserve"> </w:t>
      </w:r>
      <w:r>
        <w:rPr>
          <w:w w:val="105"/>
          <w:sz w:val="12"/>
        </w:rPr>
        <w:t>contra</w:t>
      </w:r>
      <w:r>
        <w:rPr>
          <w:spacing w:val="-3"/>
          <w:w w:val="105"/>
          <w:sz w:val="12"/>
        </w:rPr>
        <w:t xml:space="preserve"> </w:t>
      </w:r>
      <w:r>
        <w:rPr>
          <w:w w:val="105"/>
          <w:sz w:val="12"/>
        </w:rPr>
        <w:t>las</w:t>
      </w:r>
      <w:r>
        <w:rPr>
          <w:spacing w:val="-3"/>
          <w:w w:val="105"/>
          <w:sz w:val="12"/>
        </w:rPr>
        <w:t xml:space="preserve"> </w:t>
      </w:r>
      <w:r>
        <w:rPr>
          <w:w w:val="105"/>
          <w:sz w:val="12"/>
        </w:rPr>
        <w:t>denegaciones</w:t>
      </w:r>
      <w:r>
        <w:rPr>
          <w:spacing w:val="-3"/>
          <w:w w:val="105"/>
          <w:sz w:val="12"/>
        </w:rPr>
        <w:t xml:space="preserve"> </w:t>
      </w:r>
      <w:r>
        <w:rPr>
          <w:w w:val="105"/>
          <w:sz w:val="12"/>
        </w:rPr>
        <w:t>de</w:t>
      </w:r>
      <w:r>
        <w:rPr>
          <w:spacing w:val="-3"/>
          <w:w w:val="105"/>
          <w:sz w:val="12"/>
        </w:rPr>
        <w:t xml:space="preserve"> </w:t>
      </w:r>
      <w:r>
        <w:rPr>
          <w:w w:val="105"/>
          <w:sz w:val="12"/>
        </w:rPr>
        <w:t>la</w:t>
      </w:r>
      <w:r>
        <w:rPr>
          <w:spacing w:val="-3"/>
          <w:w w:val="105"/>
          <w:sz w:val="12"/>
        </w:rPr>
        <w:t xml:space="preserve"> </w:t>
      </w:r>
      <w:r>
        <w:rPr>
          <w:w w:val="105"/>
          <w:sz w:val="12"/>
        </w:rPr>
        <w:t>condición</w:t>
      </w:r>
      <w:r>
        <w:rPr>
          <w:spacing w:val="-3"/>
          <w:w w:val="105"/>
          <w:sz w:val="12"/>
        </w:rPr>
        <w:t xml:space="preserve"> </w:t>
      </w:r>
      <w:r>
        <w:rPr>
          <w:w w:val="105"/>
          <w:sz w:val="12"/>
        </w:rPr>
        <w:t>de</w:t>
      </w:r>
      <w:r>
        <w:rPr>
          <w:spacing w:val="-3"/>
          <w:w w:val="105"/>
          <w:sz w:val="12"/>
        </w:rPr>
        <w:t xml:space="preserve"> </w:t>
      </w:r>
      <w:r>
        <w:rPr>
          <w:w w:val="105"/>
          <w:sz w:val="12"/>
        </w:rPr>
        <w:t>refugiado;</w:t>
      </w:r>
      <w:r>
        <w:rPr>
          <w:spacing w:val="-2"/>
          <w:w w:val="105"/>
          <w:sz w:val="12"/>
        </w:rPr>
        <w:t xml:space="preserve"> </w:t>
      </w:r>
      <w:r>
        <w:rPr>
          <w:w w:val="105"/>
          <w:sz w:val="12"/>
        </w:rPr>
        <w:t>derechos</w:t>
      </w:r>
      <w:r>
        <w:rPr>
          <w:spacing w:val="-3"/>
          <w:w w:val="105"/>
          <w:sz w:val="12"/>
        </w:rPr>
        <w:t xml:space="preserve"> </w:t>
      </w:r>
      <w:r>
        <w:rPr>
          <w:w w:val="105"/>
          <w:sz w:val="12"/>
        </w:rPr>
        <w:t>económicos,</w:t>
      </w:r>
      <w:r>
        <w:rPr>
          <w:spacing w:val="-2"/>
          <w:w w:val="105"/>
          <w:sz w:val="12"/>
        </w:rPr>
        <w:t xml:space="preserve"> </w:t>
      </w:r>
      <w:r>
        <w:rPr>
          <w:w w:val="105"/>
          <w:sz w:val="12"/>
        </w:rPr>
        <w:t>sociales</w:t>
      </w:r>
      <w:r>
        <w:rPr>
          <w:spacing w:val="-3"/>
          <w:w w:val="105"/>
          <w:sz w:val="12"/>
        </w:rPr>
        <w:t xml:space="preserve"> </w:t>
      </w:r>
      <w:r>
        <w:rPr>
          <w:w w:val="105"/>
          <w:sz w:val="12"/>
        </w:rPr>
        <w:t>y</w:t>
      </w:r>
      <w:r>
        <w:rPr>
          <w:spacing w:val="-3"/>
          <w:w w:val="105"/>
          <w:sz w:val="12"/>
        </w:rPr>
        <w:t xml:space="preserve"> </w:t>
      </w:r>
      <w:r>
        <w:rPr>
          <w:w w:val="105"/>
          <w:sz w:val="12"/>
        </w:rPr>
        <w:t>culturales,</w:t>
      </w:r>
      <w:r>
        <w:rPr>
          <w:spacing w:val="-2"/>
          <w:w w:val="105"/>
          <w:sz w:val="12"/>
        </w:rPr>
        <w:t xml:space="preserve"> </w:t>
      </w:r>
      <w:r>
        <w:rPr>
          <w:w w:val="105"/>
          <w:sz w:val="12"/>
        </w:rPr>
        <w:t>incluido</w:t>
      </w:r>
      <w:r>
        <w:rPr>
          <w:spacing w:val="-3"/>
          <w:w w:val="105"/>
          <w:sz w:val="12"/>
        </w:rPr>
        <w:t xml:space="preserve"> </w:t>
      </w:r>
      <w:r>
        <w:rPr>
          <w:w w:val="105"/>
          <w:sz w:val="12"/>
        </w:rPr>
        <w:t>el</w:t>
      </w:r>
      <w:r>
        <w:rPr>
          <w:spacing w:val="-3"/>
          <w:w w:val="105"/>
          <w:sz w:val="12"/>
        </w:rPr>
        <w:t xml:space="preserve"> </w:t>
      </w:r>
      <w:r>
        <w:rPr>
          <w:w w:val="105"/>
          <w:sz w:val="12"/>
        </w:rPr>
        <w:t>derecho</w:t>
      </w:r>
      <w:r>
        <w:rPr>
          <w:spacing w:val="-3"/>
          <w:w w:val="105"/>
          <w:sz w:val="12"/>
        </w:rPr>
        <w:t xml:space="preserve"> </w:t>
      </w:r>
      <w:r>
        <w:rPr>
          <w:w w:val="105"/>
          <w:sz w:val="12"/>
        </w:rPr>
        <w:t>a</w:t>
      </w:r>
      <w:r>
        <w:rPr>
          <w:spacing w:val="-3"/>
          <w:w w:val="105"/>
          <w:sz w:val="12"/>
        </w:rPr>
        <w:t xml:space="preserve"> </w:t>
      </w:r>
      <w:r>
        <w:rPr>
          <w:w w:val="105"/>
          <w:sz w:val="12"/>
        </w:rPr>
        <w:t>un</w:t>
      </w:r>
      <w:r>
        <w:rPr>
          <w:spacing w:val="-3"/>
          <w:w w:val="105"/>
          <w:sz w:val="12"/>
        </w:rPr>
        <w:t xml:space="preserve"> </w:t>
      </w:r>
      <w:r>
        <w:rPr>
          <w:w w:val="105"/>
          <w:sz w:val="12"/>
        </w:rPr>
        <w:t>nivel</w:t>
      </w:r>
      <w:r>
        <w:rPr>
          <w:spacing w:val="-3"/>
          <w:w w:val="105"/>
          <w:sz w:val="12"/>
        </w:rPr>
        <w:t xml:space="preserve"> </w:t>
      </w:r>
      <w:r>
        <w:rPr>
          <w:w w:val="105"/>
          <w:sz w:val="12"/>
        </w:rPr>
        <w:t>de</w:t>
      </w:r>
      <w:r>
        <w:rPr>
          <w:spacing w:val="-3"/>
          <w:w w:val="105"/>
          <w:sz w:val="12"/>
        </w:rPr>
        <w:t xml:space="preserve"> </w:t>
      </w:r>
      <w:r>
        <w:rPr>
          <w:w w:val="105"/>
          <w:sz w:val="12"/>
        </w:rPr>
        <w:t>vida</w:t>
      </w:r>
      <w:r>
        <w:rPr>
          <w:spacing w:val="-3"/>
          <w:w w:val="105"/>
          <w:sz w:val="12"/>
        </w:rPr>
        <w:t xml:space="preserve"> </w:t>
      </w:r>
      <w:r>
        <w:rPr>
          <w:w w:val="105"/>
          <w:sz w:val="12"/>
        </w:rPr>
        <w:t>adecuado,</w:t>
      </w:r>
      <w:r>
        <w:rPr>
          <w:spacing w:val="40"/>
          <w:w w:val="105"/>
          <w:sz w:val="12"/>
        </w:rPr>
        <w:t xml:space="preserve"> </w:t>
      </w:r>
      <w:r>
        <w:rPr>
          <w:w w:val="105"/>
          <w:sz w:val="12"/>
        </w:rPr>
        <w:t xml:space="preserve">el derecho al agua y el derecho a registrar los nacimientos de los niños”. Véase Patrick </w:t>
      </w:r>
      <w:proofErr w:type="spellStart"/>
      <w:r>
        <w:rPr>
          <w:w w:val="105"/>
          <w:sz w:val="12"/>
        </w:rPr>
        <w:t>Thornberry</w:t>
      </w:r>
      <w:proofErr w:type="spellEnd"/>
      <w:r>
        <w:rPr>
          <w:w w:val="105"/>
          <w:sz w:val="12"/>
        </w:rPr>
        <w:t>, La Convención Internacional sobre la Eliminación</w:t>
      </w:r>
    </w:p>
    <w:p w14:paraId="7DD97B55" w14:textId="77777777" w:rsidR="0014798C" w:rsidRDefault="004E1F0B">
      <w:pPr>
        <w:spacing w:line="134" w:lineRule="exact"/>
        <w:ind w:left="1366"/>
        <w:rPr>
          <w:sz w:val="12"/>
        </w:rPr>
      </w:pPr>
      <w:r>
        <w:rPr>
          <w:w w:val="105"/>
          <w:sz w:val="12"/>
        </w:rPr>
        <w:t>de</w:t>
      </w:r>
      <w:r>
        <w:rPr>
          <w:spacing w:val="-5"/>
          <w:w w:val="105"/>
          <w:sz w:val="12"/>
        </w:rPr>
        <w:t xml:space="preserve"> </w:t>
      </w:r>
      <w:r>
        <w:rPr>
          <w:w w:val="105"/>
          <w:sz w:val="12"/>
        </w:rPr>
        <w:t>Todas</w:t>
      </w:r>
      <w:r>
        <w:rPr>
          <w:spacing w:val="-4"/>
          <w:w w:val="105"/>
          <w:sz w:val="12"/>
        </w:rPr>
        <w:t xml:space="preserve"> </w:t>
      </w:r>
      <w:r>
        <w:rPr>
          <w:w w:val="105"/>
          <w:sz w:val="12"/>
        </w:rPr>
        <w:t>las</w:t>
      </w:r>
      <w:r>
        <w:rPr>
          <w:spacing w:val="-5"/>
          <w:w w:val="105"/>
          <w:sz w:val="12"/>
        </w:rPr>
        <w:t xml:space="preserve"> </w:t>
      </w:r>
      <w:r>
        <w:rPr>
          <w:w w:val="105"/>
          <w:sz w:val="12"/>
        </w:rPr>
        <w:t>Formas</w:t>
      </w:r>
      <w:r>
        <w:rPr>
          <w:spacing w:val="-4"/>
          <w:w w:val="105"/>
          <w:sz w:val="12"/>
        </w:rPr>
        <w:t xml:space="preserve"> </w:t>
      </w:r>
      <w:r>
        <w:rPr>
          <w:w w:val="105"/>
          <w:sz w:val="12"/>
        </w:rPr>
        <w:t>de</w:t>
      </w:r>
      <w:r>
        <w:rPr>
          <w:spacing w:val="-5"/>
          <w:w w:val="105"/>
          <w:sz w:val="12"/>
        </w:rPr>
        <w:t xml:space="preserve"> </w:t>
      </w:r>
      <w:r>
        <w:rPr>
          <w:w w:val="105"/>
          <w:sz w:val="12"/>
        </w:rPr>
        <w:t>Discriminación</w:t>
      </w:r>
      <w:r>
        <w:rPr>
          <w:spacing w:val="-4"/>
          <w:w w:val="105"/>
          <w:sz w:val="12"/>
        </w:rPr>
        <w:t xml:space="preserve"> </w:t>
      </w:r>
      <w:r>
        <w:rPr>
          <w:w w:val="105"/>
          <w:sz w:val="12"/>
        </w:rPr>
        <w:t>Racial:</w:t>
      </w:r>
      <w:r>
        <w:rPr>
          <w:spacing w:val="-4"/>
          <w:w w:val="105"/>
          <w:sz w:val="12"/>
        </w:rPr>
        <w:t xml:space="preserve"> </w:t>
      </w:r>
      <w:r>
        <w:rPr>
          <w:w w:val="105"/>
          <w:sz w:val="12"/>
        </w:rPr>
        <w:t>Un</w:t>
      </w:r>
      <w:r>
        <w:rPr>
          <w:spacing w:val="-4"/>
          <w:w w:val="105"/>
          <w:sz w:val="12"/>
        </w:rPr>
        <w:t xml:space="preserve"> </w:t>
      </w:r>
      <w:r>
        <w:rPr>
          <w:w w:val="105"/>
          <w:sz w:val="12"/>
        </w:rPr>
        <w:t>comentario</w:t>
      </w:r>
      <w:r>
        <w:rPr>
          <w:spacing w:val="-4"/>
          <w:w w:val="105"/>
          <w:sz w:val="12"/>
        </w:rPr>
        <w:t xml:space="preserve"> </w:t>
      </w:r>
      <w:r>
        <w:rPr>
          <w:w w:val="105"/>
          <w:sz w:val="12"/>
        </w:rPr>
        <w:t>(Oxford,</w:t>
      </w:r>
      <w:r>
        <w:rPr>
          <w:spacing w:val="-4"/>
          <w:w w:val="105"/>
          <w:sz w:val="12"/>
        </w:rPr>
        <w:t xml:space="preserve"> </w:t>
      </w:r>
      <w:r>
        <w:rPr>
          <w:w w:val="105"/>
          <w:sz w:val="12"/>
        </w:rPr>
        <w:t>Oxford</w:t>
      </w:r>
      <w:r>
        <w:rPr>
          <w:spacing w:val="-4"/>
          <w:w w:val="105"/>
          <w:sz w:val="12"/>
        </w:rPr>
        <w:t xml:space="preserve"> </w:t>
      </w:r>
      <w:proofErr w:type="spellStart"/>
      <w:r>
        <w:rPr>
          <w:w w:val="105"/>
          <w:sz w:val="12"/>
        </w:rPr>
        <w:t>University</w:t>
      </w:r>
      <w:proofErr w:type="spellEnd"/>
      <w:r>
        <w:rPr>
          <w:spacing w:val="-5"/>
          <w:w w:val="105"/>
          <w:sz w:val="12"/>
        </w:rPr>
        <w:t xml:space="preserve"> </w:t>
      </w:r>
      <w:proofErr w:type="spellStart"/>
      <w:r>
        <w:rPr>
          <w:w w:val="105"/>
          <w:sz w:val="12"/>
        </w:rPr>
        <w:t>Press</w:t>
      </w:r>
      <w:proofErr w:type="spellEnd"/>
      <w:r>
        <w:rPr>
          <w:w w:val="105"/>
          <w:sz w:val="12"/>
        </w:rPr>
        <w:t>,</w:t>
      </w:r>
      <w:r>
        <w:rPr>
          <w:spacing w:val="-3"/>
          <w:w w:val="105"/>
          <w:sz w:val="12"/>
        </w:rPr>
        <w:t xml:space="preserve"> </w:t>
      </w:r>
      <w:r>
        <w:rPr>
          <w:w w:val="105"/>
          <w:sz w:val="12"/>
        </w:rPr>
        <w:t>2018),</w:t>
      </w:r>
      <w:r>
        <w:rPr>
          <w:spacing w:val="-4"/>
          <w:w w:val="105"/>
          <w:sz w:val="12"/>
        </w:rPr>
        <w:t xml:space="preserve"> </w:t>
      </w:r>
      <w:r>
        <w:rPr>
          <w:spacing w:val="-2"/>
          <w:w w:val="105"/>
          <w:sz w:val="12"/>
        </w:rPr>
        <w:t>págs.</w:t>
      </w:r>
    </w:p>
    <w:p w14:paraId="1B5D5741" w14:textId="77777777" w:rsidR="0014798C" w:rsidRDefault="0014798C">
      <w:pPr>
        <w:pStyle w:val="Textoindependiente"/>
        <w:rPr>
          <w:sz w:val="19"/>
        </w:rPr>
      </w:pPr>
    </w:p>
    <w:p w14:paraId="66E91754" w14:textId="77777777" w:rsidR="0014798C" w:rsidRDefault="0014798C">
      <w:pPr>
        <w:pStyle w:val="Textoindependiente"/>
        <w:spacing w:before="205"/>
        <w:rPr>
          <w:sz w:val="19"/>
        </w:rPr>
      </w:pPr>
    </w:p>
    <w:p w14:paraId="1730CCA2" w14:textId="77777777" w:rsidR="0014798C" w:rsidRDefault="004E1F0B">
      <w:pPr>
        <w:ind w:right="719"/>
        <w:jc w:val="right"/>
        <w:rPr>
          <w:sz w:val="19"/>
        </w:rPr>
      </w:pPr>
      <w:r>
        <w:rPr>
          <w:spacing w:val="-5"/>
          <w:sz w:val="19"/>
        </w:rPr>
        <w:t>49</w:t>
      </w:r>
    </w:p>
    <w:p w14:paraId="46271188" w14:textId="77777777" w:rsidR="0014798C" w:rsidRDefault="0014798C">
      <w:pPr>
        <w:jc w:val="right"/>
        <w:rPr>
          <w:sz w:val="19"/>
        </w:rPr>
        <w:sectPr w:rsidR="0014798C" w:rsidSect="00F265E4">
          <w:pgSz w:w="11900" w:h="16820"/>
          <w:pgMar w:top="340" w:right="0" w:bottom="280" w:left="200" w:header="121" w:footer="0" w:gutter="0"/>
          <w:cols w:space="720"/>
        </w:sectPr>
      </w:pPr>
    </w:p>
    <w:p w14:paraId="63D86E76" w14:textId="77777777" w:rsidR="0014798C" w:rsidRDefault="0014798C">
      <w:pPr>
        <w:pStyle w:val="Textoindependiente"/>
        <w:spacing w:before="85"/>
        <w:rPr>
          <w:sz w:val="12"/>
        </w:rPr>
      </w:pPr>
    </w:p>
    <w:p w14:paraId="01129FD4" w14:textId="77777777" w:rsidR="0014798C" w:rsidRDefault="004E1F0B">
      <w:pPr>
        <w:ind w:left="1111"/>
        <w:rPr>
          <w:sz w:val="12"/>
        </w:rPr>
      </w:pPr>
      <w:r>
        <w:rPr>
          <w:color w:val="00AC59"/>
          <w:sz w:val="12"/>
        </w:rPr>
        <w:t>PROTECCIÓN</w:t>
      </w:r>
      <w:r>
        <w:rPr>
          <w:color w:val="00AC59"/>
          <w:spacing w:val="6"/>
          <w:sz w:val="12"/>
        </w:rPr>
        <w:t xml:space="preserve"> </w:t>
      </w:r>
      <w:r>
        <w:rPr>
          <w:color w:val="00AC59"/>
          <w:sz w:val="12"/>
        </w:rPr>
        <w:t>DE</w:t>
      </w:r>
      <w:r>
        <w:rPr>
          <w:color w:val="00AC59"/>
          <w:spacing w:val="7"/>
          <w:sz w:val="12"/>
        </w:rPr>
        <w:t xml:space="preserve"> </w:t>
      </w:r>
      <w:r>
        <w:rPr>
          <w:color w:val="00AC59"/>
          <w:sz w:val="12"/>
        </w:rPr>
        <w:t>LOS</w:t>
      </w:r>
      <w:r>
        <w:rPr>
          <w:color w:val="00AC59"/>
          <w:spacing w:val="8"/>
          <w:sz w:val="12"/>
        </w:rPr>
        <w:t xml:space="preserve"> </w:t>
      </w:r>
      <w:r>
        <w:rPr>
          <w:color w:val="00AC59"/>
          <w:sz w:val="12"/>
        </w:rPr>
        <w:t>DERECHOS</w:t>
      </w:r>
      <w:r>
        <w:rPr>
          <w:color w:val="00AC59"/>
          <w:spacing w:val="8"/>
          <w:sz w:val="12"/>
        </w:rPr>
        <w:t xml:space="preserve"> </w:t>
      </w:r>
      <w:r>
        <w:rPr>
          <w:color w:val="00AC59"/>
          <w:sz w:val="12"/>
        </w:rPr>
        <w:t>DE</w:t>
      </w:r>
      <w:r>
        <w:rPr>
          <w:color w:val="00AC59"/>
          <w:spacing w:val="6"/>
          <w:sz w:val="12"/>
        </w:rPr>
        <w:t xml:space="preserve"> </w:t>
      </w:r>
      <w:r>
        <w:rPr>
          <w:color w:val="00AC59"/>
          <w:sz w:val="12"/>
        </w:rPr>
        <w:t>LAS</w:t>
      </w:r>
      <w:r>
        <w:rPr>
          <w:color w:val="00AC59"/>
          <w:spacing w:val="7"/>
          <w:sz w:val="12"/>
        </w:rPr>
        <w:t xml:space="preserve"> </w:t>
      </w:r>
      <w:r>
        <w:rPr>
          <w:color w:val="00AC59"/>
          <w:sz w:val="12"/>
        </w:rPr>
        <w:t>MINORÍAS:</w:t>
      </w:r>
      <w:r>
        <w:rPr>
          <w:color w:val="00AC59"/>
          <w:spacing w:val="8"/>
          <w:sz w:val="12"/>
        </w:rPr>
        <w:t xml:space="preserve"> </w:t>
      </w:r>
      <w:r>
        <w:rPr>
          <w:color w:val="00AC59"/>
          <w:sz w:val="12"/>
        </w:rPr>
        <w:t>una</w:t>
      </w:r>
      <w:r>
        <w:rPr>
          <w:color w:val="00AC59"/>
          <w:spacing w:val="7"/>
          <w:sz w:val="12"/>
        </w:rPr>
        <w:t xml:space="preserve"> </w:t>
      </w:r>
      <w:r>
        <w:rPr>
          <w:color w:val="00AC59"/>
          <w:sz w:val="12"/>
        </w:rPr>
        <w:t>guía</w:t>
      </w:r>
      <w:r>
        <w:rPr>
          <w:color w:val="00AC59"/>
          <w:spacing w:val="6"/>
          <w:sz w:val="12"/>
        </w:rPr>
        <w:t xml:space="preserve"> </w:t>
      </w:r>
      <w:r>
        <w:rPr>
          <w:color w:val="00AC59"/>
          <w:sz w:val="12"/>
        </w:rPr>
        <w:t>práctica</w:t>
      </w:r>
      <w:r>
        <w:rPr>
          <w:color w:val="00AC59"/>
          <w:spacing w:val="7"/>
          <w:sz w:val="12"/>
        </w:rPr>
        <w:t xml:space="preserve"> </w:t>
      </w:r>
      <w:r>
        <w:rPr>
          <w:color w:val="00AC59"/>
          <w:sz w:val="12"/>
        </w:rPr>
        <w:t>para</w:t>
      </w:r>
      <w:r>
        <w:rPr>
          <w:color w:val="00AC59"/>
          <w:spacing w:val="8"/>
          <w:sz w:val="12"/>
        </w:rPr>
        <w:t xml:space="preserve"> </w:t>
      </w:r>
      <w:r>
        <w:rPr>
          <w:color w:val="00AC59"/>
          <w:sz w:val="12"/>
        </w:rPr>
        <w:t>desarrollar</w:t>
      </w:r>
      <w:r>
        <w:rPr>
          <w:color w:val="00AC59"/>
          <w:spacing w:val="6"/>
          <w:sz w:val="12"/>
        </w:rPr>
        <w:t xml:space="preserve"> </w:t>
      </w:r>
      <w:r>
        <w:rPr>
          <w:color w:val="00AC59"/>
          <w:sz w:val="12"/>
        </w:rPr>
        <w:t>una</w:t>
      </w:r>
      <w:r>
        <w:rPr>
          <w:color w:val="00AC59"/>
          <w:spacing w:val="7"/>
          <w:sz w:val="12"/>
        </w:rPr>
        <w:t xml:space="preserve"> </w:t>
      </w:r>
      <w:r>
        <w:rPr>
          <w:color w:val="00AC59"/>
          <w:sz w:val="12"/>
        </w:rPr>
        <w:t>legislación</w:t>
      </w:r>
      <w:r>
        <w:rPr>
          <w:color w:val="00AC59"/>
          <w:spacing w:val="8"/>
          <w:sz w:val="12"/>
        </w:rPr>
        <w:t xml:space="preserve"> </w:t>
      </w:r>
      <w:r>
        <w:rPr>
          <w:color w:val="00AC59"/>
          <w:sz w:val="12"/>
        </w:rPr>
        <w:t>integral</w:t>
      </w:r>
      <w:r>
        <w:rPr>
          <w:color w:val="00AC59"/>
          <w:spacing w:val="7"/>
          <w:sz w:val="12"/>
        </w:rPr>
        <w:t xml:space="preserve"> </w:t>
      </w:r>
      <w:r>
        <w:rPr>
          <w:color w:val="00AC59"/>
          <w:sz w:val="12"/>
        </w:rPr>
        <w:t>contra</w:t>
      </w:r>
      <w:r>
        <w:rPr>
          <w:color w:val="00AC59"/>
          <w:spacing w:val="6"/>
          <w:sz w:val="12"/>
        </w:rPr>
        <w:t xml:space="preserve"> </w:t>
      </w:r>
      <w:r>
        <w:rPr>
          <w:color w:val="00AC59"/>
          <w:sz w:val="12"/>
        </w:rPr>
        <w:t>la</w:t>
      </w:r>
      <w:r>
        <w:rPr>
          <w:color w:val="00AC59"/>
          <w:spacing w:val="7"/>
          <w:sz w:val="12"/>
        </w:rPr>
        <w:t xml:space="preserve"> </w:t>
      </w:r>
      <w:r>
        <w:rPr>
          <w:color w:val="00AC59"/>
          <w:spacing w:val="-2"/>
          <w:sz w:val="12"/>
        </w:rPr>
        <w:t>discriminación</w:t>
      </w:r>
    </w:p>
    <w:p w14:paraId="428A3E44" w14:textId="77777777" w:rsidR="0014798C" w:rsidRDefault="0014798C">
      <w:pPr>
        <w:pStyle w:val="Textoindependiente"/>
        <w:rPr>
          <w:sz w:val="20"/>
        </w:rPr>
      </w:pPr>
    </w:p>
    <w:p w14:paraId="4C837DA9" w14:textId="77777777" w:rsidR="0014798C" w:rsidRDefault="0014798C">
      <w:pPr>
        <w:pStyle w:val="Textoindependiente"/>
        <w:rPr>
          <w:sz w:val="20"/>
        </w:rPr>
      </w:pPr>
    </w:p>
    <w:p w14:paraId="6B78A238" w14:textId="77777777" w:rsidR="0014798C" w:rsidRDefault="0014798C">
      <w:pPr>
        <w:pStyle w:val="Textoindependiente"/>
        <w:rPr>
          <w:sz w:val="20"/>
        </w:rPr>
      </w:pPr>
    </w:p>
    <w:p w14:paraId="0DF438C8" w14:textId="77777777" w:rsidR="0014798C" w:rsidRDefault="0014798C">
      <w:pPr>
        <w:pStyle w:val="Textoindependiente"/>
        <w:spacing w:before="39"/>
        <w:rPr>
          <w:sz w:val="20"/>
        </w:rPr>
      </w:pPr>
    </w:p>
    <w:p w14:paraId="6D32FCA3" w14:textId="77777777" w:rsidR="0014798C" w:rsidRDefault="004E1F0B">
      <w:pPr>
        <w:numPr>
          <w:ilvl w:val="0"/>
          <w:numId w:val="65"/>
        </w:numPr>
        <w:tabs>
          <w:tab w:val="left" w:pos="1349"/>
        </w:tabs>
        <w:ind w:left="1349" w:hanging="234"/>
        <w:rPr>
          <w:sz w:val="20"/>
        </w:rPr>
      </w:pPr>
      <w:r>
        <w:rPr>
          <w:sz w:val="20"/>
        </w:rPr>
        <w:t>La</w:t>
      </w:r>
      <w:r>
        <w:rPr>
          <w:spacing w:val="-5"/>
          <w:sz w:val="20"/>
        </w:rPr>
        <w:t xml:space="preserve"> </w:t>
      </w:r>
      <w:r>
        <w:rPr>
          <w:sz w:val="20"/>
        </w:rPr>
        <w:t>no</w:t>
      </w:r>
      <w:r>
        <w:rPr>
          <w:spacing w:val="-5"/>
          <w:sz w:val="20"/>
        </w:rPr>
        <w:t xml:space="preserve"> </w:t>
      </w:r>
      <w:r>
        <w:rPr>
          <w:sz w:val="20"/>
        </w:rPr>
        <w:t>discriminación</w:t>
      </w:r>
      <w:r>
        <w:rPr>
          <w:spacing w:val="-5"/>
          <w:sz w:val="20"/>
        </w:rPr>
        <w:t xml:space="preserve"> </w:t>
      </w:r>
      <w:r>
        <w:rPr>
          <w:sz w:val="20"/>
        </w:rPr>
        <w:t>como</w:t>
      </w:r>
      <w:r>
        <w:rPr>
          <w:spacing w:val="-5"/>
          <w:sz w:val="20"/>
        </w:rPr>
        <w:t xml:space="preserve"> </w:t>
      </w:r>
      <w:r>
        <w:rPr>
          <w:sz w:val="20"/>
        </w:rPr>
        <w:t>derecho</w:t>
      </w:r>
      <w:r>
        <w:rPr>
          <w:spacing w:val="-4"/>
          <w:sz w:val="20"/>
        </w:rPr>
        <w:t xml:space="preserve"> </w:t>
      </w:r>
      <w:r>
        <w:rPr>
          <w:spacing w:val="-2"/>
          <w:sz w:val="20"/>
        </w:rPr>
        <w:t>autónomo</w:t>
      </w:r>
    </w:p>
    <w:p w14:paraId="5812EAF4" w14:textId="77777777" w:rsidR="0014798C" w:rsidRDefault="0014798C">
      <w:pPr>
        <w:pStyle w:val="Textoindependiente"/>
        <w:spacing w:before="12"/>
      </w:pPr>
    </w:p>
    <w:p w14:paraId="68CC88A7" w14:textId="77777777" w:rsidR="0014798C" w:rsidRDefault="004E1F0B">
      <w:pPr>
        <w:pStyle w:val="Textoindependiente"/>
        <w:spacing w:line="326" w:lineRule="auto"/>
        <w:ind w:left="1105" w:right="1626"/>
      </w:pPr>
      <w:r>
        <w:t>El artículo 26 del Pacto Internacional de Derechos Civiles y Políticos establece un derecho autónomo a la no discriminación</w:t>
      </w:r>
      <w:r>
        <w:rPr>
          <w:spacing w:val="80"/>
        </w:rPr>
        <w:t xml:space="preserve"> </w:t>
      </w:r>
      <w:r>
        <w:t>que se extiende más allá del requisito de garantizar la igualdad en el disfrute de otros derechos humanos, para prohibir la discriminación “de derecho o de hecho en cualquier ámbito regulado y protegido por las autoridades públicas.”368 El alcance material del derecho a la no discriminación bajo el artículo 5 de la Convención sobre los Derechos de las Personas con Discapacidad es igualmente amplio y, al igual que el Comité de Derechos Humanos, el Comité sobre los Derechos de las</w:t>
      </w:r>
    </w:p>
    <w:p w14:paraId="09A34BBC" w14:textId="77777777" w:rsidR="0014798C" w:rsidRDefault="004E1F0B">
      <w:pPr>
        <w:pStyle w:val="Textoindependiente"/>
        <w:spacing w:line="326" w:lineRule="auto"/>
        <w:ind w:left="1110" w:right="629" w:firstLine="1"/>
      </w:pPr>
      <w:r>
        <w:t xml:space="preserve">Personas con Discapacidad </w:t>
      </w:r>
      <w:proofErr w:type="spellStart"/>
      <w:r>
        <w:t>Discapacidad</w:t>
      </w:r>
      <w:proofErr w:type="spellEnd"/>
      <w:r>
        <w:t xml:space="preserve"> lo ha interpretado como el establecimiento de un “derecho autónomo” a la no discriminación.369 Asimismo, se ha interpretado que el artículo 15 de la Convención sobre la eliminación de todas las formas de discriminación</w:t>
      </w:r>
    </w:p>
    <w:p w14:paraId="589D0F56" w14:textId="77777777" w:rsidR="0014798C" w:rsidRDefault="004E1F0B">
      <w:pPr>
        <w:pStyle w:val="Textoindependiente"/>
        <w:spacing w:line="183" w:lineRule="exact"/>
        <w:ind w:left="1112"/>
      </w:pPr>
      <w:r>
        <w:t>contra</w:t>
      </w:r>
      <w:r>
        <w:rPr>
          <w:spacing w:val="6"/>
        </w:rPr>
        <w:t xml:space="preserve"> </w:t>
      </w:r>
      <w:r>
        <w:t>la</w:t>
      </w:r>
      <w:r>
        <w:rPr>
          <w:spacing w:val="6"/>
        </w:rPr>
        <w:t xml:space="preserve"> </w:t>
      </w:r>
      <w:r>
        <w:t>mujer</w:t>
      </w:r>
      <w:r>
        <w:rPr>
          <w:spacing w:val="7"/>
        </w:rPr>
        <w:t xml:space="preserve"> </w:t>
      </w:r>
      <w:r>
        <w:t>abarca</w:t>
      </w:r>
      <w:r>
        <w:rPr>
          <w:spacing w:val="6"/>
        </w:rPr>
        <w:t xml:space="preserve"> </w:t>
      </w:r>
      <w:r>
        <w:t>“las</w:t>
      </w:r>
      <w:r>
        <w:rPr>
          <w:spacing w:val="7"/>
        </w:rPr>
        <w:t xml:space="preserve"> </w:t>
      </w:r>
      <w:r>
        <w:t>obligaciones</w:t>
      </w:r>
      <w:r>
        <w:rPr>
          <w:spacing w:val="6"/>
        </w:rPr>
        <w:t xml:space="preserve"> </w:t>
      </w:r>
      <w:r>
        <w:t>de</w:t>
      </w:r>
      <w:r>
        <w:rPr>
          <w:spacing w:val="6"/>
        </w:rPr>
        <w:t xml:space="preserve"> </w:t>
      </w:r>
      <w:r>
        <w:t>los</w:t>
      </w:r>
      <w:r>
        <w:rPr>
          <w:spacing w:val="7"/>
        </w:rPr>
        <w:t xml:space="preserve"> </w:t>
      </w:r>
      <w:proofErr w:type="gramStart"/>
      <w:r>
        <w:t>Estados</w:t>
      </w:r>
      <w:r>
        <w:rPr>
          <w:spacing w:val="6"/>
        </w:rPr>
        <w:t xml:space="preserve"> </w:t>
      </w:r>
      <w:r>
        <w:t>partes</w:t>
      </w:r>
      <w:proofErr w:type="gramEnd"/>
      <w:r>
        <w:rPr>
          <w:spacing w:val="7"/>
        </w:rPr>
        <w:t xml:space="preserve"> </w:t>
      </w:r>
      <w:r>
        <w:t>de</w:t>
      </w:r>
      <w:r>
        <w:rPr>
          <w:spacing w:val="6"/>
        </w:rPr>
        <w:t xml:space="preserve"> </w:t>
      </w:r>
      <w:r>
        <w:t>garantizar</w:t>
      </w:r>
      <w:r>
        <w:rPr>
          <w:spacing w:val="6"/>
        </w:rPr>
        <w:t xml:space="preserve"> </w:t>
      </w:r>
      <w:r>
        <w:t>que</w:t>
      </w:r>
      <w:r>
        <w:rPr>
          <w:spacing w:val="7"/>
        </w:rPr>
        <w:t xml:space="preserve"> </w:t>
      </w:r>
      <w:r>
        <w:t>las</w:t>
      </w:r>
      <w:r>
        <w:rPr>
          <w:spacing w:val="6"/>
        </w:rPr>
        <w:t xml:space="preserve"> </w:t>
      </w:r>
      <w:r>
        <w:t>mujeres</w:t>
      </w:r>
      <w:r>
        <w:rPr>
          <w:spacing w:val="7"/>
        </w:rPr>
        <w:t xml:space="preserve"> </w:t>
      </w:r>
      <w:r>
        <w:t>gocen</w:t>
      </w:r>
      <w:r>
        <w:rPr>
          <w:spacing w:val="6"/>
        </w:rPr>
        <w:t xml:space="preserve"> </w:t>
      </w:r>
      <w:r>
        <w:t>de</w:t>
      </w:r>
      <w:r>
        <w:rPr>
          <w:spacing w:val="6"/>
        </w:rPr>
        <w:t xml:space="preserve"> </w:t>
      </w:r>
      <w:r>
        <w:t>igualdad</w:t>
      </w:r>
      <w:r>
        <w:rPr>
          <w:spacing w:val="7"/>
        </w:rPr>
        <w:t xml:space="preserve"> </w:t>
      </w:r>
      <w:r>
        <w:t>sustantiva</w:t>
      </w:r>
      <w:r>
        <w:rPr>
          <w:spacing w:val="6"/>
        </w:rPr>
        <w:t xml:space="preserve"> </w:t>
      </w:r>
      <w:r>
        <w:rPr>
          <w:spacing w:val="-5"/>
        </w:rPr>
        <w:t>con</w:t>
      </w:r>
    </w:p>
    <w:p w14:paraId="1C623E3F" w14:textId="77777777" w:rsidR="0014798C" w:rsidRDefault="004E1F0B">
      <w:pPr>
        <w:pStyle w:val="Textoindependiente"/>
        <w:spacing w:before="63"/>
        <w:ind w:left="1103" w:firstLine="2"/>
      </w:pPr>
      <w:r>
        <w:t>los</w:t>
      </w:r>
      <w:r>
        <w:rPr>
          <w:spacing w:val="5"/>
        </w:rPr>
        <w:t xml:space="preserve"> </w:t>
      </w:r>
      <w:r>
        <w:t>hombres</w:t>
      </w:r>
      <w:r>
        <w:rPr>
          <w:spacing w:val="5"/>
        </w:rPr>
        <w:t xml:space="preserve"> </w:t>
      </w:r>
      <w:r>
        <w:t>en</w:t>
      </w:r>
      <w:r>
        <w:rPr>
          <w:spacing w:val="5"/>
        </w:rPr>
        <w:t xml:space="preserve"> </w:t>
      </w:r>
      <w:r>
        <w:t>todos</w:t>
      </w:r>
      <w:r>
        <w:rPr>
          <w:spacing w:val="5"/>
        </w:rPr>
        <w:t xml:space="preserve"> </w:t>
      </w:r>
      <w:r>
        <w:t>los</w:t>
      </w:r>
      <w:r>
        <w:rPr>
          <w:spacing w:val="5"/>
        </w:rPr>
        <w:t xml:space="preserve"> </w:t>
      </w:r>
      <w:r>
        <w:t>ámbitos</w:t>
      </w:r>
      <w:r>
        <w:rPr>
          <w:spacing w:val="5"/>
        </w:rPr>
        <w:t xml:space="preserve"> </w:t>
      </w:r>
      <w:r>
        <w:t>de</w:t>
      </w:r>
      <w:r>
        <w:rPr>
          <w:spacing w:val="5"/>
        </w:rPr>
        <w:t xml:space="preserve"> </w:t>
      </w:r>
      <w:r>
        <w:t>la</w:t>
      </w:r>
      <w:r>
        <w:rPr>
          <w:spacing w:val="5"/>
        </w:rPr>
        <w:t xml:space="preserve"> </w:t>
      </w:r>
      <w:r>
        <w:t>ley”370.</w:t>
      </w:r>
      <w:r>
        <w:rPr>
          <w:spacing w:val="6"/>
        </w:rPr>
        <w:t xml:space="preserve"> </w:t>
      </w:r>
      <w:r>
        <w:t>En</w:t>
      </w:r>
      <w:r>
        <w:rPr>
          <w:spacing w:val="5"/>
        </w:rPr>
        <w:t xml:space="preserve"> </w:t>
      </w:r>
      <w:r>
        <w:t>términos</w:t>
      </w:r>
      <w:r>
        <w:rPr>
          <w:spacing w:val="5"/>
        </w:rPr>
        <w:t xml:space="preserve"> </w:t>
      </w:r>
      <w:r>
        <w:t>más</w:t>
      </w:r>
      <w:r>
        <w:rPr>
          <w:spacing w:val="5"/>
        </w:rPr>
        <w:t xml:space="preserve"> </w:t>
      </w:r>
      <w:r>
        <w:t>generales,</w:t>
      </w:r>
      <w:r>
        <w:rPr>
          <w:spacing w:val="6"/>
        </w:rPr>
        <w:t xml:space="preserve"> </w:t>
      </w:r>
      <w:r>
        <w:t>el</w:t>
      </w:r>
      <w:r>
        <w:rPr>
          <w:spacing w:val="5"/>
        </w:rPr>
        <w:t xml:space="preserve"> </w:t>
      </w:r>
      <w:r>
        <w:t>Comité</w:t>
      </w:r>
      <w:r>
        <w:rPr>
          <w:spacing w:val="5"/>
        </w:rPr>
        <w:t xml:space="preserve"> </w:t>
      </w:r>
      <w:r>
        <w:t>sobre</w:t>
      </w:r>
      <w:r>
        <w:rPr>
          <w:spacing w:val="5"/>
        </w:rPr>
        <w:t xml:space="preserve"> </w:t>
      </w:r>
      <w:r>
        <w:t>la</w:t>
      </w:r>
      <w:r>
        <w:rPr>
          <w:spacing w:val="5"/>
        </w:rPr>
        <w:t xml:space="preserve"> </w:t>
      </w:r>
      <w:r>
        <w:t>Eliminación</w:t>
      </w:r>
      <w:r>
        <w:rPr>
          <w:spacing w:val="5"/>
        </w:rPr>
        <w:t xml:space="preserve"> </w:t>
      </w:r>
      <w:r>
        <w:t>de</w:t>
      </w:r>
      <w:r>
        <w:rPr>
          <w:spacing w:val="5"/>
        </w:rPr>
        <w:t xml:space="preserve"> </w:t>
      </w:r>
      <w:r>
        <w:t>la</w:t>
      </w:r>
      <w:r>
        <w:rPr>
          <w:spacing w:val="5"/>
        </w:rPr>
        <w:t xml:space="preserve"> </w:t>
      </w:r>
      <w:r>
        <w:rPr>
          <w:spacing w:val="-2"/>
        </w:rPr>
        <w:t>Discriminación</w:t>
      </w:r>
    </w:p>
    <w:p w14:paraId="7FFAAEDB" w14:textId="77777777" w:rsidR="0014798C" w:rsidRDefault="004E1F0B">
      <w:pPr>
        <w:pStyle w:val="Textoindependiente"/>
        <w:spacing w:before="66" w:line="271" w:lineRule="auto"/>
        <w:ind w:left="1111" w:right="1272" w:hanging="8"/>
      </w:pPr>
      <w:r>
        <w:t>contra la Mujer ha señalado que la Convención exige que los Estados “promulguen legislación que prohíba la discriminación en todos los ámbitos de la vida de las mujeres”.371 Si bien la Convención Internacional sobre la Eliminación de todas las Formas</w:t>
      </w:r>
    </w:p>
    <w:p w14:paraId="4F12FBB2" w14:textId="77777777" w:rsidR="0014798C" w:rsidRDefault="004E1F0B">
      <w:pPr>
        <w:pStyle w:val="Textoindependiente"/>
        <w:spacing w:before="84" w:line="326" w:lineRule="auto"/>
        <w:ind w:left="1108" w:right="1335"/>
      </w:pPr>
      <w:r>
        <w:t>de</w:t>
      </w:r>
      <w:r>
        <w:rPr>
          <w:spacing w:val="16"/>
        </w:rPr>
        <w:t xml:space="preserve"> </w:t>
      </w:r>
      <w:r>
        <w:t>Discriminación</w:t>
      </w:r>
      <w:r>
        <w:rPr>
          <w:spacing w:val="17"/>
        </w:rPr>
        <w:t xml:space="preserve"> </w:t>
      </w:r>
      <w:r>
        <w:t>Racial</w:t>
      </w:r>
      <w:r>
        <w:rPr>
          <w:spacing w:val="16"/>
        </w:rPr>
        <w:t xml:space="preserve"> </w:t>
      </w:r>
      <w:r>
        <w:t>es</w:t>
      </w:r>
      <w:r>
        <w:rPr>
          <w:spacing w:val="16"/>
        </w:rPr>
        <w:t xml:space="preserve"> </w:t>
      </w:r>
      <w:r>
        <w:t>menos</w:t>
      </w:r>
      <w:r>
        <w:rPr>
          <w:spacing w:val="16"/>
        </w:rPr>
        <w:t xml:space="preserve"> </w:t>
      </w:r>
      <w:r>
        <w:t>explícita</w:t>
      </w:r>
      <w:r>
        <w:rPr>
          <w:spacing w:val="16"/>
        </w:rPr>
        <w:t xml:space="preserve"> </w:t>
      </w:r>
      <w:r>
        <w:t>a</w:t>
      </w:r>
      <w:r>
        <w:rPr>
          <w:spacing w:val="16"/>
        </w:rPr>
        <w:t xml:space="preserve"> </w:t>
      </w:r>
      <w:r>
        <w:t>este</w:t>
      </w:r>
      <w:r>
        <w:rPr>
          <w:spacing w:val="16"/>
        </w:rPr>
        <w:t xml:space="preserve"> </w:t>
      </w:r>
      <w:r>
        <w:t>respecto,</w:t>
      </w:r>
      <w:r>
        <w:rPr>
          <w:spacing w:val="17"/>
        </w:rPr>
        <w:t xml:space="preserve"> </w:t>
      </w:r>
      <w:r>
        <w:t>En</w:t>
      </w:r>
      <w:r>
        <w:rPr>
          <w:spacing w:val="16"/>
        </w:rPr>
        <w:t xml:space="preserve"> </w:t>
      </w:r>
      <w:r>
        <w:t>sus</w:t>
      </w:r>
      <w:r>
        <w:rPr>
          <w:spacing w:val="16"/>
        </w:rPr>
        <w:t xml:space="preserve"> </w:t>
      </w:r>
      <w:r>
        <w:t>comunicaciones</w:t>
      </w:r>
      <w:r>
        <w:rPr>
          <w:spacing w:val="16"/>
        </w:rPr>
        <w:t xml:space="preserve"> </w:t>
      </w:r>
      <w:r>
        <w:t>recientes,</w:t>
      </w:r>
      <w:r>
        <w:rPr>
          <w:spacing w:val="17"/>
        </w:rPr>
        <w:t xml:space="preserve"> </w:t>
      </w:r>
      <w:r>
        <w:t>el</w:t>
      </w:r>
      <w:r>
        <w:rPr>
          <w:spacing w:val="16"/>
        </w:rPr>
        <w:t xml:space="preserve"> </w:t>
      </w:r>
      <w:r>
        <w:t>Comité</w:t>
      </w:r>
      <w:r>
        <w:rPr>
          <w:spacing w:val="16"/>
        </w:rPr>
        <w:t xml:space="preserve"> </w:t>
      </w:r>
      <w:r>
        <w:t>para</w:t>
      </w:r>
      <w:r>
        <w:rPr>
          <w:spacing w:val="16"/>
        </w:rPr>
        <w:t xml:space="preserve"> </w:t>
      </w:r>
      <w:r>
        <w:t>la</w:t>
      </w:r>
      <w:r>
        <w:rPr>
          <w:spacing w:val="16"/>
        </w:rPr>
        <w:t xml:space="preserve"> </w:t>
      </w:r>
      <w:r>
        <w:t>Eliminación de la Discriminación Racial ha recomendado la adopción de una legislación integral contra la discriminación que abarque “todos</w:t>
      </w:r>
      <w:r>
        <w:rPr>
          <w:spacing w:val="40"/>
        </w:rPr>
        <w:t xml:space="preserve"> </w:t>
      </w:r>
      <w:r>
        <w:t>los campos del derecho y la vida pública de conformidad con el artículo 1 (1) de la Convención”. 372</w:t>
      </w:r>
    </w:p>
    <w:p w14:paraId="264ECA7C" w14:textId="77777777" w:rsidR="0014798C" w:rsidRDefault="004E1F0B">
      <w:pPr>
        <w:pStyle w:val="Textoindependiente"/>
        <w:spacing w:before="148" w:line="326" w:lineRule="auto"/>
        <w:ind w:left="1108" w:right="1166" w:hanging="1"/>
      </w:pPr>
      <w:r>
        <w:rPr>
          <w:w w:val="105"/>
        </w:rPr>
        <w:t>Muchos</w:t>
      </w:r>
      <w:r>
        <w:rPr>
          <w:spacing w:val="-11"/>
          <w:w w:val="105"/>
        </w:rPr>
        <w:t xml:space="preserve"> </w:t>
      </w:r>
      <w:r>
        <w:rPr>
          <w:w w:val="105"/>
        </w:rPr>
        <w:t>instrumentos</w:t>
      </w:r>
      <w:r>
        <w:rPr>
          <w:spacing w:val="-11"/>
          <w:w w:val="105"/>
        </w:rPr>
        <w:t xml:space="preserve"> </w:t>
      </w:r>
      <w:r>
        <w:rPr>
          <w:w w:val="105"/>
        </w:rPr>
        <w:t>regionales</w:t>
      </w:r>
      <w:r>
        <w:rPr>
          <w:spacing w:val="-11"/>
          <w:w w:val="105"/>
        </w:rPr>
        <w:t xml:space="preserve"> </w:t>
      </w:r>
      <w:r>
        <w:rPr>
          <w:w w:val="105"/>
        </w:rPr>
        <w:t>de</w:t>
      </w:r>
      <w:r>
        <w:rPr>
          <w:spacing w:val="-11"/>
          <w:w w:val="105"/>
        </w:rPr>
        <w:t xml:space="preserve"> </w:t>
      </w:r>
      <w:r>
        <w:rPr>
          <w:w w:val="105"/>
        </w:rPr>
        <w:t>derechos</w:t>
      </w:r>
      <w:r>
        <w:rPr>
          <w:spacing w:val="-11"/>
          <w:w w:val="105"/>
        </w:rPr>
        <w:t xml:space="preserve"> </w:t>
      </w:r>
      <w:r>
        <w:rPr>
          <w:w w:val="105"/>
        </w:rPr>
        <w:t>humanos</w:t>
      </w:r>
      <w:r>
        <w:rPr>
          <w:spacing w:val="-11"/>
          <w:w w:val="105"/>
        </w:rPr>
        <w:t xml:space="preserve"> </w:t>
      </w:r>
      <w:r>
        <w:rPr>
          <w:w w:val="105"/>
        </w:rPr>
        <w:t>adoptan</w:t>
      </w:r>
      <w:r>
        <w:rPr>
          <w:spacing w:val="-11"/>
          <w:w w:val="105"/>
        </w:rPr>
        <w:t xml:space="preserve"> </w:t>
      </w:r>
      <w:r>
        <w:rPr>
          <w:w w:val="105"/>
        </w:rPr>
        <w:t>un</w:t>
      </w:r>
      <w:r>
        <w:rPr>
          <w:spacing w:val="-11"/>
          <w:w w:val="105"/>
        </w:rPr>
        <w:t xml:space="preserve"> </w:t>
      </w:r>
      <w:r>
        <w:rPr>
          <w:w w:val="105"/>
        </w:rPr>
        <w:t>enfoque</w:t>
      </w:r>
      <w:r>
        <w:rPr>
          <w:spacing w:val="-11"/>
          <w:w w:val="105"/>
        </w:rPr>
        <w:t xml:space="preserve"> </w:t>
      </w:r>
      <w:r>
        <w:rPr>
          <w:w w:val="105"/>
        </w:rPr>
        <w:t>dual</w:t>
      </w:r>
      <w:r>
        <w:rPr>
          <w:spacing w:val="-11"/>
          <w:w w:val="105"/>
        </w:rPr>
        <w:t xml:space="preserve"> </w:t>
      </w:r>
      <w:r>
        <w:rPr>
          <w:w w:val="105"/>
        </w:rPr>
        <w:t>similar</w:t>
      </w:r>
      <w:r>
        <w:rPr>
          <w:spacing w:val="-11"/>
          <w:w w:val="105"/>
        </w:rPr>
        <w:t xml:space="preserve"> </w:t>
      </w:r>
      <w:r>
        <w:rPr>
          <w:w w:val="105"/>
        </w:rPr>
        <w:t>al</w:t>
      </w:r>
      <w:r>
        <w:rPr>
          <w:spacing w:val="-11"/>
          <w:w w:val="105"/>
        </w:rPr>
        <w:t xml:space="preserve"> </w:t>
      </w:r>
      <w:r>
        <w:rPr>
          <w:w w:val="105"/>
        </w:rPr>
        <w:t>establecido</w:t>
      </w:r>
      <w:r>
        <w:rPr>
          <w:spacing w:val="-11"/>
          <w:w w:val="105"/>
        </w:rPr>
        <w:t xml:space="preserve"> </w:t>
      </w:r>
      <w:r>
        <w:rPr>
          <w:w w:val="105"/>
        </w:rPr>
        <w:t>en</w:t>
      </w:r>
      <w:r>
        <w:rPr>
          <w:spacing w:val="-11"/>
          <w:w w:val="105"/>
        </w:rPr>
        <w:t xml:space="preserve"> </w:t>
      </w:r>
      <w:r>
        <w:rPr>
          <w:w w:val="105"/>
        </w:rPr>
        <w:t>el</w:t>
      </w:r>
      <w:r>
        <w:rPr>
          <w:spacing w:val="-11"/>
          <w:w w:val="105"/>
        </w:rPr>
        <w:t xml:space="preserve"> </w:t>
      </w:r>
      <w:r>
        <w:rPr>
          <w:w w:val="105"/>
        </w:rPr>
        <w:t>Pacto</w:t>
      </w:r>
      <w:r>
        <w:rPr>
          <w:spacing w:val="-11"/>
          <w:w w:val="105"/>
        </w:rPr>
        <w:t xml:space="preserve"> </w:t>
      </w:r>
      <w:r>
        <w:rPr>
          <w:w w:val="105"/>
        </w:rPr>
        <w:t>Internacional de</w:t>
      </w:r>
      <w:r>
        <w:rPr>
          <w:spacing w:val="-10"/>
          <w:w w:val="105"/>
        </w:rPr>
        <w:t xml:space="preserve"> </w:t>
      </w:r>
      <w:r>
        <w:rPr>
          <w:w w:val="105"/>
        </w:rPr>
        <w:t>Derechos</w:t>
      </w:r>
      <w:r>
        <w:rPr>
          <w:spacing w:val="-10"/>
          <w:w w:val="105"/>
        </w:rPr>
        <w:t xml:space="preserve"> </w:t>
      </w:r>
      <w:r>
        <w:rPr>
          <w:w w:val="105"/>
        </w:rPr>
        <w:t>Civiles</w:t>
      </w:r>
      <w:r>
        <w:rPr>
          <w:spacing w:val="-10"/>
          <w:w w:val="105"/>
        </w:rPr>
        <w:t xml:space="preserve"> </w:t>
      </w:r>
      <w:r>
        <w:rPr>
          <w:w w:val="105"/>
        </w:rPr>
        <w:t>y</w:t>
      </w:r>
      <w:r>
        <w:rPr>
          <w:spacing w:val="-10"/>
          <w:w w:val="105"/>
        </w:rPr>
        <w:t xml:space="preserve"> </w:t>
      </w:r>
      <w:r>
        <w:rPr>
          <w:w w:val="105"/>
        </w:rPr>
        <w:t>Políticos,</w:t>
      </w:r>
      <w:r>
        <w:rPr>
          <w:spacing w:val="-9"/>
          <w:w w:val="105"/>
        </w:rPr>
        <w:t xml:space="preserve"> </w:t>
      </w:r>
      <w:r>
        <w:rPr>
          <w:w w:val="105"/>
        </w:rPr>
        <w:t>que</w:t>
      </w:r>
      <w:r>
        <w:rPr>
          <w:spacing w:val="-10"/>
          <w:w w:val="105"/>
        </w:rPr>
        <w:t xml:space="preserve"> </w:t>
      </w:r>
      <w:r>
        <w:rPr>
          <w:w w:val="105"/>
        </w:rPr>
        <w:t>prohíbe</w:t>
      </w:r>
      <w:r>
        <w:rPr>
          <w:spacing w:val="-10"/>
          <w:w w:val="105"/>
        </w:rPr>
        <w:t xml:space="preserve"> </w:t>
      </w:r>
      <w:r>
        <w:rPr>
          <w:w w:val="105"/>
        </w:rPr>
        <w:t>la</w:t>
      </w:r>
      <w:r>
        <w:rPr>
          <w:spacing w:val="-10"/>
          <w:w w:val="105"/>
        </w:rPr>
        <w:t xml:space="preserve"> </w:t>
      </w:r>
      <w:r>
        <w:rPr>
          <w:w w:val="105"/>
        </w:rPr>
        <w:t>discriminación</w:t>
      </w:r>
      <w:r>
        <w:rPr>
          <w:spacing w:val="-10"/>
          <w:w w:val="105"/>
        </w:rPr>
        <w:t xml:space="preserve"> </w:t>
      </w:r>
      <w:r>
        <w:rPr>
          <w:w w:val="105"/>
        </w:rPr>
        <w:t>con</w:t>
      </w:r>
      <w:r>
        <w:rPr>
          <w:spacing w:val="-10"/>
          <w:w w:val="105"/>
        </w:rPr>
        <w:t xml:space="preserve"> </w:t>
      </w:r>
      <w:r>
        <w:rPr>
          <w:w w:val="105"/>
        </w:rPr>
        <w:t>respecto</w:t>
      </w:r>
      <w:r>
        <w:rPr>
          <w:spacing w:val="-10"/>
          <w:w w:val="105"/>
        </w:rPr>
        <w:t xml:space="preserve"> </w:t>
      </w:r>
      <w:r>
        <w:rPr>
          <w:w w:val="105"/>
        </w:rPr>
        <w:t>a</w:t>
      </w:r>
      <w:r>
        <w:rPr>
          <w:spacing w:val="-10"/>
          <w:w w:val="105"/>
        </w:rPr>
        <w:t xml:space="preserve"> </w:t>
      </w:r>
      <w:r>
        <w:rPr>
          <w:w w:val="105"/>
        </w:rPr>
        <w:t>los</w:t>
      </w:r>
      <w:r>
        <w:rPr>
          <w:spacing w:val="-10"/>
          <w:w w:val="105"/>
        </w:rPr>
        <w:t xml:space="preserve"> </w:t>
      </w:r>
      <w:r>
        <w:rPr>
          <w:w w:val="105"/>
        </w:rPr>
        <w:t>derechos</w:t>
      </w:r>
      <w:r>
        <w:rPr>
          <w:spacing w:val="-10"/>
          <w:w w:val="105"/>
        </w:rPr>
        <w:t xml:space="preserve"> </w:t>
      </w:r>
      <w:r>
        <w:rPr>
          <w:w w:val="105"/>
        </w:rPr>
        <w:t>establecidos</w:t>
      </w:r>
      <w:r>
        <w:rPr>
          <w:spacing w:val="-10"/>
          <w:w w:val="105"/>
        </w:rPr>
        <w:t xml:space="preserve"> </w:t>
      </w:r>
      <w:r>
        <w:rPr>
          <w:w w:val="105"/>
        </w:rPr>
        <w:t>en</w:t>
      </w:r>
      <w:r>
        <w:rPr>
          <w:spacing w:val="-10"/>
          <w:w w:val="105"/>
        </w:rPr>
        <w:t xml:space="preserve"> </w:t>
      </w:r>
      <w:r>
        <w:rPr>
          <w:w w:val="105"/>
        </w:rPr>
        <w:t>el</w:t>
      </w:r>
      <w:r>
        <w:rPr>
          <w:spacing w:val="-10"/>
          <w:w w:val="105"/>
        </w:rPr>
        <w:t xml:space="preserve"> </w:t>
      </w:r>
      <w:r>
        <w:rPr>
          <w:w w:val="105"/>
        </w:rPr>
        <w:t>Convenio;373</w:t>
      </w:r>
      <w:r>
        <w:rPr>
          <w:spacing w:val="-10"/>
          <w:w w:val="105"/>
        </w:rPr>
        <w:t xml:space="preserve"> </w:t>
      </w:r>
      <w:r>
        <w:rPr>
          <w:w w:val="105"/>
        </w:rPr>
        <w:t>y con</w:t>
      </w:r>
      <w:r>
        <w:rPr>
          <w:spacing w:val="-2"/>
          <w:w w:val="105"/>
        </w:rPr>
        <w:t xml:space="preserve"> </w:t>
      </w:r>
      <w:r>
        <w:rPr>
          <w:w w:val="105"/>
        </w:rPr>
        <w:t>respecto</w:t>
      </w:r>
      <w:r>
        <w:rPr>
          <w:spacing w:val="-2"/>
          <w:w w:val="105"/>
        </w:rPr>
        <w:t xml:space="preserve"> </w:t>
      </w:r>
      <w:r>
        <w:rPr>
          <w:w w:val="105"/>
        </w:rPr>
        <w:t>a</w:t>
      </w:r>
      <w:r>
        <w:rPr>
          <w:spacing w:val="-3"/>
          <w:w w:val="105"/>
        </w:rPr>
        <w:t xml:space="preserve"> </w:t>
      </w:r>
      <w:r>
        <w:rPr>
          <w:w w:val="105"/>
        </w:rPr>
        <w:t>todas</w:t>
      </w:r>
      <w:r>
        <w:rPr>
          <w:spacing w:val="-2"/>
          <w:w w:val="105"/>
        </w:rPr>
        <w:t xml:space="preserve"> </w:t>
      </w:r>
      <w:r>
        <w:rPr>
          <w:w w:val="105"/>
        </w:rPr>
        <w:t>las</w:t>
      </w:r>
      <w:r>
        <w:rPr>
          <w:spacing w:val="-2"/>
          <w:w w:val="105"/>
        </w:rPr>
        <w:t xml:space="preserve"> </w:t>
      </w:r>
      <w:r>
        <w:rPr>
          <w:w w:val="105"/>
        </w:rPr>
        <w:t>demás</w:t>
      </w:r>
      <w:r>
        <w:rPr>
          <w:spacing w:val="-3"/>
          <w:w w:val="105"/>
        </w:rPr>
        <w:t xml:space="preserve"> </w:t>
      </w:r>
      <w:r>
        <w:rPr>
          <w:w w:val="105"/>
        </w:rPr>
        <w:t>áreas</w:t>
      </w:r>
      <w:r>
        <w:rPr>
          <w:spacing w:val="-2"/>
          <w:w w:val="105"/>
        </w:rPr>
        <w:t xml:space="preserve"> </w:t>
      </w:r>
      <w:r>
        <w:rPr>
          <w:w w:val="105"/>
        </w:rPr>
        <w:t>de</w:t>
      </w:r>
      <w:r>
        <w:rPr>
          <w:spacing w:val="-2"/>
          <w:w w:val="105"/>
        </w:rPr>
        <w:t xml:space="preserve"> </w:t>
      </w:r>
      <w:r>
        <w:rPr>
          <w:w w:val="105"/>
        </w:rPr>
        <w:t>la</w:t>
      </w:r>
      <w:r>
        <w:rPr>
          <w:spacing w:val="-3"/>
          <w:w w:val="105"/>
        </w:rPr>
        <w:t xml:space="preserve"> </w:t>
      </w:r>
      <w:r>
        <w:rPr>
          <w:w w:val="105"/>
        </w:rPr>
        <w:t>vida</w:t>
      </w:r>
      <w:r>
        <w:rPr>
          <w:spacing w:val="-2"/>
          <w:w w:val="105"/>
        </w:rPr>
        <w:t xml:space="preserve"> </w:t>
      </w:r>
      <w:r>
        <w:rPr>
          <w:w w:val="105"/>
        </w:rPr>
        <w:t>reguladas</w:t>
      </w:r>
      <w:r>
        <w:rPr>
          <w:spacing w:val="-2"/>
          <w:w w:val="105"/>
        </w:rPr>
        <w:t xml:space="preserve"> </w:t>
      </w:r>
      <w:r>
        <w:rPr>
          <w:w w:val="105"/>
        </w:rPr>
        <w:t>por</w:t>
      </w:r>
      <w:r>
        <w:rPr>
          <w:spacing w:val="-3"/>
          <w:w w:val="105"/>
        </w:rPr>
        <w:t xml:space="preserve"> </w:t>
      </w:r>
      <w:r>
        <w:rPr>
          <w:w w:val="105"/>
        </w:rPr>
        <w:t>la</w:t>
      </w:r>
      <w:r>
        <w:rPr>
          <w:spacing w:val="-2"/>
          <w:w w:val="105"/>
        </w:rPr>
        <w:t xml:space="preserve"> </w:t>
      </w:r>
      <w:r>
        <w:rPr>
          <w:w w:val="105"/>
        </w:rPr>
        <w:t>ley,</w:t>
      </w:r>
      <w:r>
        <w:rPr>
          <w:spacing w:val="-2"/>
          <w:w w:val="105"/>
        </w:rPr>
        <w:t xml:space="preserve"> </w:t>
      </w:r>
      <w:r>
        <w:rPr>
          <w:w w:val="105"/>
        </w:rPr>
        <w:t>a</w:t>
      </w:r>
      <w:r>
        <w:rPr>
          <w:spacing w:val="-3"/>
          <w:w w:val="105"/>
        </w:rPr>
        <w:t xml:space="preserve"> </w:t>
      </w:r>
      <w:r>
        <w:rPr>
          <w:w w:val="105"/>
        </w:rPr>
        <w:t>través</w:t>
      </w:r>
      <w:r>
        <w:rPr>
          <w:spacing w:val="-2"/>
          <w:w w:val="105"/>
        </w:rPr>
        <w:t xml:space="preserve"> </w:t>
      </w:r>
      <w:r>
        <w:rPr>
          <w:w w:val="105"/>
        </w:rPr>
        <w:t>de</w:t>
      </w:r>
      <w:r>
        <w:rPr>
          <w:spacing w:val="-2"/>
          <w:w w:val="105"/>
        </w:rPr>
        <w:t xml:space="preserve"> </w:t>
      </w:r>
      <w:r>
        <w:rPr>
          <w:w w:val="105"/>
        </w:rPr>
        <w:t>una</w:t>
      </w:r>
      <w:r>
        <w:rPr>
          <w:spacing w:val="-3"/>
          <w:w w:val="105"/>
        </w:rPr>
        <w:t xml:space="preserve"> </w:t>
      </w:r>
      <w:r>
        <w:rPr>
          <w:w w:val="105"/>
        </w:rPr>
        <w:t>disposición</w:t>
      </w:r>
      <w:r>
        <w:rPr>
          <w:spacing w:val="-2"/>
          <w:w w:val="105"/>
        </w:rPr>
        <w:t xml:space="preserve"> </w:t>
      </w:r>
      <w:r>
        <w:rPr>
          <w:w w:val="105"/>
        </w:rPr>
        <w:t>autónoma</w:t>
      </w:r>
      <w:r>
        <w:rPr>
          <w:spacing w:val="-2"/>
          <w:w w:val="105"/>
        </w:rPr>
        <w:t xml:space="preserve"> </w:t>
      </w:r>
      <w:r>
        <w:rPr>
          <w:w w:val="105"/>
        </w:rPr>
        <w:t>de</w:t>
      </w:r>
      <w:r>
        <w:rPr>
          <w:spacing w:val="-3"/>
          <w:w w:val="105"/>
        </w:rPr>
        <w:t xml:space="preserve"> </w:t>
      </w:r>
      <w:r>
        <w:rPr>
          <w:w w:val="105"/>
        </w:rPr>
        <w:t>igualdad.374</w:t>
      </w:r>
    </w:p>
    <w:p w14:paraId="37BAC353" w14:textId="77777777" w:rsidR="0014798C" w:rsidRDefault="004E1F0B">
      <w:pPr>
        <w:pStyle w:val="Textoindependiente"/>
        <w:spacing w:before="19" w:line="326" w:lineRule="auto"/>
        <w:ind w:left="1106" w:right="1335" w:hanging="1"/>
      </w:pPr>
      <w:r>
        <w:t>La Comisión Interamericana de Derechos Humanos, por ejemplo, ha aclarado que la cláusula de igualdad de protección prevista</w:t>
      </w:r>
      <w:r>
        <w:rPr>
          <w:spacing w:val="80"/>
        </w:rPr>
        <w:t xml:space="preserve"> </w:t>
      </w:r>
      <w:r>
        <w:t>en el artículo 24 de la Convención Americana sobre Derechos Humanos se aplica a todas las leyes nacionales y a su implementación.375 La Comisión Africana de Derechos Humanos y de los Pueblos ha señalado que “el artículo 3 de la Carta Africana contiene una garantía general de igualdad que complementa la prohibición de discriminación</w:t>
      </w:r>
      <w:r>
        <w:rPr>
          <w:spacing w:val="16"/>
        </w:rPr>
        <w:t xml:space="preserve"> </w:t>
      </w:r>
      <w:r>
        <w:t>prevista en el artículo 2”.</w:t>
      </w:r>
      <w:r>
        <w:rPr>
          <w:spacing w:val="80"/>
        </w:rPr>
        <w:t xml:space="preserve"> </w:t>
      </w:r>
      <w:r>
        <w:t>376 Para que se aplique el artículo 3, cualquier “desigualdad alegada por el demandante debe derivarse de la 'ley'”. 377 Esto</w:t>
      </w:r>
    </w:p>
    <w:p w14:paraId="12E41D8C" w14:textId="77777777" w:rsidR="0014798C" w:rsidRDefault="004E1F0B">
      <w:pPr>
        <w:pStyle w:val="Textoindependiente"/>
        <w:spacing w:line="326" w:lineRule="auto"/>
        <w:ind w:left="1107" w:right="1335" w:firstLine="8"/>
      </w:pPr>
      <w:r>
        <w:t>no requiere la existencia de una ley discriminatoria per se; más bien, el artículo 3 de la Carta prohíbe la desigualdad que surge de la aplicación desigual del marco jurídico de un Estado.378</w:t>
      </w:r>
    </w:p>
    <w:p w14:paraId="544E47E5" w14:textId="77777777" w:rsidR="0014798C" w:rsidRDefault="004E1F0B">
      <w:pPr>
        <w:pStyle w:val="Textoindependiente"/>
        <w:spacing w:before="166" w:line="326" w:lineRule="auto"/>
        <w:ind w:left="1108" w:right="1378" w:hanging="2"/>
      </w:pPr>
      <w:r>
        <w:t>El</w:t>
      </w:r>
      <w:r>
        <w:rPr>
          <w:spacing w:val="14"/>
        </w:rPr>
        <w:t xml:space="preserve"> </w:t>
      </w:r>
      <w:r>
        <w:t>Convenio</w:t>
      </w:r>
      <w:r>
        <w:rPr>
          <w:spacing w:val="14"/>
        </w:rPr>
        <w:t xml:space="preserve"> </w:t>
      </w:r>
      <w:r>
        <w:t>Europeo</w:t>
      </w:r>
      <w:r>
        <w:rPr>
          <w:spacing w:val="14"/>
        </w:rPr>
        <w:t xml:space="preserve"> </w:t>
      </w:r>
      <w:r>
        <w:t>de</w:t>
      </w:r>
      <w:r>
        <w:rPr>
          <w:spacing w:val="14"/>
        </w:rPr>
        <w:t xml:space="preserve"> </w:t>
      </w:r>
      <w:r>
        <w:t>Derechos</w:t>
      </w:r>
      <w:r>
        <w:rPr>
          <w:spacing w:val="14"/>
        </w:rPr>
        <w:t xml:space="preserve"> </w:t>
      </w:r>
      <w:r>
        <w:t>Humanos</w:t>
      </w:r>
      <w:r>
        <w:rPr>
          <w:spacing w:val="14"/>
        </w:rPr>
        <w:t xml:space="preserve"> </w:t>
      </w:r>
      <w:r>
        <w:t>es</w:t>
      </w:r>
      <w:r>
        <w:rPr>
          <w:spacing w:val="14"/>
        </w:rPr>
        <w:t xml:space="preserve"> </w:t>
      </w:r>
      <w:r>
        <w:t>algo</w:t>
      </w:r>
      <w:r>
        <w:rPr>
          <w:spacing w:val="14"/>
        </w:rPr>
        <w:t xml:space="preserve"> </w:t>
      </w:r>
      <w:r>
        <w:t>atípico</w:t>
      </w:r>
      <w:r>
        <w:rPr>
          <w:spacing w:val="14"/>
        </w:rPr>
        <w:t xml:space="preserve"> </w:t>
      </w:r>
      <w:r>
        <w:t>en</w:t>
      </w:r>
      <w:r>
        <w:rPr>
          <w:spacing w:val="14"/>
        </w:rPr>
        <w:t xml:space="preserve"> </w:t>
      </w:r>
      <w:r>
        <w:t>el</w:t>
      </w:r>
      <w:r>
        <w:rPr>
          <w:spacing w:val="14"/>
        </w:rPr>
        <w:t xml:space="preserve"> </w:t>
      </w:r>
      <w:r>
        <w:t>sentido</w:t>
      </w:r>
      <w:r>
        <w:rPr>
          <w:spacing w:val="14"/>
        </w:rPr>
        <w:t xml:space="preserve"> </w:t>
      </w:r>
      <w:r>
        <w:t>de</w:t>
      </w:r>
      <w:r>
        <w:rPr>
          <w:spacing w:val="14"/>
        </w:rPr>
        <w:t xml:space="preserve"> </w:t>
      </w:r>
      <w:r>
        <w:t>que,</w:t>
      </w:r>
      <w:r>
        <w:rPr>
          <w:spacing w:val="16"/>
        </w:rPr>
        <w:t xml:space="preserve"> </w:t>
      </w:r>
      <w:r>
        <w:t>a</w:t>
      </w:r>
      <w:r>
        <w:rPr>
          <w:spacing w:val="14"/>
        </w:rPr>
        <w:t xml:space="preserve"> </w:t>
      </w:r>
      <w:r>
        <w:t>diferencia</w:t>
      </w:r>
      <w:r>
        <w:rPr>
          <w:spacing w:val="14"/>
        </w:rPr>
        <w:t xml:space="preserve"> </w:t>
      </w:r>
      <w:r>
        <w:t>de</w:t>
      </w:r>
      <w:r>
        <w:rPr>
          <w:spacing w:val="14"/>
        </w:rPr>
        <w:t xml:space="preserve"> </w:t>
      </w:r>
      <w:r>
        <w:t>sus</w:t>
      </w:r>
      <w:r>
        <w:rPr>
          <w:spacing w:val="14"/>
        </w:rPr>
        <w:t xml:space="preserve"> </w:t>
      </w:r>
      <w:r>
        <w:t>homólogos</w:t>
      </w:r>
      <w:r>
        <w:rPr>
          <w:spacing w:val="14"/>
        </w:rPr>
        <w:t xml:space="preserve"> </w:t>
      </w:r>
      <w:r>
        <w:t>regionales, no establece un derecho independiente a la no discriminación. El artículo 14 de la Convención prohíbe la discriminación en “el disfrute</w:t>
      </w:r>
      <w:r>
        <w:rPr>
          <w:spacing w:val="12"/>
        </w:rPr>
        <w:t xml:space="preserve"> </w:t>
      </w:r>
      <w:r>
        <w:t>de</w:t>
      </w:r>
      <w:r>
        <w:rPr>
          <w:spacing w:val="12"/>
        </w:rPr>
        <w:t xml:space="preserve"> </w:t>
      </w:r>
      <w:r>
        <w:t>los</w:t>
      </w:r>
      <w:r>
        <w:rPr>
          <w:spacing w:val="12"/>
        </w:rPr>
        <w:t xml:space="preserve"> </w:t>
      </w:r>
      <w:r>
        <w:t>derechos</w:t>
      </w:r>
      <w:r>
        <w:rPr>
          <w:spacing w:val="12"/>
        </w:rPr>
        <w:t xml:space="preserve"> </w:t>
      </w:r>
      <w:r>
        <w:t>y</w:t>
      </w:r>
      <w:r>
        <w:rPr>
          <w:spacing w:val="12"/>
        </w:rPr>
        <w:t xml:space="preserve"> </w:t>
      </w:r>
      <w:r>
        <w:t>libertades</w:t>
      </w:r>
      <w:r>
        <w:rPr>
          <w:spacing w:val="12"/>
        </w:rPr>
        <w:t xml:space="preserve"> </w:t>
      </w:r>
      <w:r>
        <w:t>establecidos</w:t>
      </w:r>
      <w:r>
        <w:rPr>
          <w:spacing w:val="12"/>
        </w:rPr>
        <w:t xml:space="preserve"> </w:t>
      </w:r>
      <w:r>
        <w:t>en</w:t>
      </w:r>
      <w:r>
        <w:rPr>
          <w:spacing w:val="12"/>
        </w:rPr>
        <w:t xml:space="preserve"> </w:t>
      </w:r>
      <w:r>
        <w:t>[la]</w:t>
      </w:r>
      <w:r>
        <w:rPr>
          <w:spacing w:val="13"/>
        </w:rPr>
        <w:t xml:space="preserve"> </w:t>
      </w:r>
      <w:r>
        <w:t>Convención”.</w:t>
      </w:r>
      <w:r>
        <w:rPr>
          <w:spacing w:val="14"/>
        </w:rPr>
        <w:t xml:space="preserve"> </w:t>
      </w:r>
      <w:r>
        <w:t>Sin</w:t>
      </w:r>
      <w:r>
        <w:rPr>
          <w:spacing w:val="12"/>
        </w:rPr>
        <w:t xml:space="preserve"> </w:t>
      </w:r>
      <w:r>
        <w:t>embargo,</w:t>
      </w:r>
      <w:r>
        <w:rPr>
          <w:spacing w:val="13"/>
        </w:rPr>
        <w:t xml:space="preserve"> </w:t>
      </w:r>
      <w:r>
        <w:t>si</w:t>
      </w:r>
      <w:r>
        <w:rPr>
          <w:spacing w:val="12"/>
        </w:rPr>
        <w:t xml:space="preserve"> </w:t>
      </w:r>
      <w:r>
        <w:t>bien</w:t>
      </w:r>
      <w:r>
        <w:rPr>
          <w:spacing w:val="12"/>
        </w:rPr>
        <w:t xml:space="preserve"> </w:t>
      </w:r>
      <w:r>
        <w:t>el</w:t>
      </w:r>
      <w:r>
        <w:rPr>
          <w:spacing w:val="12"/>
        </w:rPr>
        <w:t xml:space="preserve"> </w:t>
      </w:r>
      <w:r>
        <w:t>alcance</w:t>
      </w:r>
      <w:r>
        <w:rPr>
          <w:spacing w:val="12"/>
        </w:rPr>
        <w:t xml:space="preserve"> </w:t>
      </w:r>
      <w:r>
        <w:t>material</w:t>
      </w:r>
      <w:r>
        <w:rPr>
          <w:spacing w:val="12"/>
        </w:rPr>
        <w:t xml:space="preserve"> </w:t>
      </w:r>
      <w:r>
        <w:t>del</w:t>
      </w:r>
      <w:r>
        <w:rPr>
          <w:spacing w:val="12"/>
        </w:rPr>
        <w:t xml:space="preserve"> </w:t>
      </w:r>
      <w:r>
        <w:t>artículo</w:t>
      </w:r>
      <w:r>
        <w:rPr>
          <w:spacing w:val="12"/>
        </w:rPr>
        <w:t xml:space="preserve"> </w:t>
      </w:r>
      <w:r>
        <w:t>14 es más limitado que el de las disposiciones de la mayoría de los instrumentos internacionales y regionales, su campo de aplicación se ha ampliado gradualmente a través de las sentencias del Tribunal Europeo de Derechos Humanos.</w:t>
      </w:r>
    </w:p>
    <w:p w14:paraId="5A28F355" w14:textId="77777777" w:rsidR="0014798C" w:rsidRDefault="004E1F0B">
      <w:pPr>
        <w:pStyle w:val="Textoindependiente"/>
        <w:spacing w:line="326" w:lineRule="auto"/>
        <w:ind w:left="1108" w:right="1463"/>
      </w:pPr>
      <w:r>
        <w:t>Es importante destacar que la Corte ha sostenido que no es necesario demostrar una violación de otro derecho del Convenio para encontrar una violación del artículo 14. Es suficiente que tal discriminación caiga “dentro del alcance general de la ley”.</w:t>
      </w:r>
    </w:p>
    <w:p w14:paraId="700BE73B" w14:textId="77777777" w:rsidR="0014798C" w:rsidRDefault="0014798C">
      <w:pPr>
        <w:pStyle w:val="Textoindependiente"/>
        <w:rPr>
          <w:sz w:val="20"/>
        </w:rPr>
      </w:pPr>
    </w:p>
    <w:p w14:paraId="13B2BD18" w14:textId="77777777" w:rsidR="0014798C" w:rsidRDefault="0014798C">
      <w:pPr>
        <w:pStyle w:val="Textoindependiente"/>
        <w:rPr>
          <w:sz w:val="20"/>
        </w:rPr>
      </w:pPr>
    </w:p>
    <w:p w14:paraId="4B0D0288" w14:textId="77777777" w:rsidR="0014798C" w:rsidRDefault="0014798C">
      <w:pPr>
        <w:pStyle w:val="Textoindependiente"/>
        <w:rPr>
          <w:sz w:val="20"/>
        </w:rPr>
      </w:pPr>
    </w:p>
    <w:p w14:paraId="4D26F9D1" w14:textId="77777777" w:rsidR="0014798C" w:rsidRDefault="0014798C">
      <w:pPr>
        <w:pStyle w:val="Textoindependiente"/>
        <w:rPr>
          <w:sz w:val="20"/>
        </w:rPr>
      </w:pPr>
    </w:p>
    <w:p w14:paraId="6B4A9BAB" w14:textId="77777777" w:rsidR="0014798C" w:rsidRDefault="004E1F0B">
      <w:pPr>
        <w:pStyle w:val="Textoindependiente"/>
        <w:spacing w:before="72"/>
        <w:rPr>
          <w:sz w:val="20"/>
        </w:rPr>
      </w:pPr>
      <w:r>
        <w:rPr>
          <w:noProof/>
        </w:rPr>
        <w:drawing>
          <wp:anchor distT="0" distB="0" distL="0" distR="0" simplePos="0" relativeHeight="251658527" behindDoc="1" locked="0" layoutInCell="1" allowOverlap="1" wp14:anchorId="6C64685F" wp14:editId="6304F653">
            <wp:simplePos x="0" y="0"/>
            <wp:positionH relativeFrom="page">
              <wp:posOffset>826632</wp:posOffset>
            </wp:positionH>
            <wp:positionV relativeFrom="paragraph">
              <wp:posOffset>207334</wp:posOffset>
            </wp:positionV>
            <wp:extent cx="931001" cy="35813"/>
            <wp:effectExtent l="0" t="0" r="0" b="0"/>
            <wp:wrapTopAndBottom/>
            <wp:docPr id="140" name="Image 14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40" name="Image 140"/>
                    <pic:cNvPicPr/>
                  </pic:nvPicPr>
                  <pic:blipFill>
                    <a:blip r:embed="rId133" cstate="print"/>
                    <a:stretch>
                      <a:fillRect/>
                    </a:stretch>
                  </pic:blipFill>
                  <pic:spPr>
                    <a:xfrm>
                      <a:off x="0" y="0"/>
                      <a:ext cx="931001" cy="35813"/>
                    </a:xfrm>
                    <a:prstGeom prst="rect">
                      <a:avLst/>
                    </a:prstGeom>
                  </pic:spPr>
                </pic:pic>
              </a:graphicData>
            </a:graphic>
          </wp:anchor>
        </w:drawing>
      </w:r>
    </w:p>
    <w:p w14:paraId="2842D9AC" w14:textId="77777777" w:rsidR="0014798C" w:rsidRDefault="0014798C">
      <w:pPr>
        <w:pStyle w:val="Textoindependiente"/>
        <w:spacing w:before="44"/>
        <w:rPr>
          <w:sz w:val="12"/>
        </w:rPr>
      </w:pPr>
    </w:p>
    <w:p w14:paraId="27A55A5A" w14:textId="77777777" w:rsidR="0014798C" w:rsidRDefault="004E1F0B">
      <w:pPr>
        <w:spacing w:before="1"/>
        <w:ind w:left="1107"/>
        <w:rPr>
          <w:sz w:val="12"/>
        </w:rPr>
      </w:pPr>
      <w:r>
        <w:rPr>
          <w:sz w:val="12"/>
        </w:rPr>
        <w:t>368</w:t>
      </w:r>
      <w:r>
        <w:rPr>
          <w:spacing w:val="-1"/>
          <w:sz w:val="12"/>
        </w:rPr>
        <w:t xml:space="preserve"> </w:t>
      </w:r>
      <w:r>
        <w:rPr>
          <w:sz w:val="12"/>
        </w:rPr>
        <w:t>Comité</w:t>
      </w:r>
      <w:r>
        <w:rPr>
          <w:spacing w:val="-1"/>
          <w:sz w:val="12"/>
        </w:rPr>
        <w:t xml:space="preserve"> </w:t>
      </w:r>
      <w:r>
        <w:rPr>
          <w:sz w:val="12"/>
        </w:rPr>
        <w:t>de Derechos</w:t>
      </w:r>
      <w:r>
        <w:rPr>
          <w:spacing w:val="-1"/>
          <w:sz w:val="12"/>
        </w:rPr>
        <w:t xml:space="preserve"> </w:t>
      </w:r>
      <w:r>
        <w:rPr>
          <w:sz w:val="12"/>
        </w:rPr>
        <w:t>Humanos, observación</w:t>
      </w:r>
      <w:r>
        <w:rPr>
          <w:spacing w:val="-1"/>
          <w:sz w:val="12"/>
        </w:rPr>
        <w:t xml:space="preserve"> </w:t>
      </w:r>
      <w:r>
        <w:rPr>
          <w:sz w:val="12"/>
        </w:rPr>
        <w:t>general</w:t>
      </w:r>
      <w:r>
        <w:rPr>
          <w:spacing w:val="-1"/>
          <w:sz w:val="12"/>
        </w:rPr>
        <w:t xml:space="preserve"> </w:t>
      </w:r>
      <w:r>
        <w:rPr>
          <w:sz w:val="12"/>
        </w:rPr>
        <w:t>núm. 18</w:t>
      </w:r>
      <w:r>
        <w:rPr>
          <w:spacing w:val="-1"/>
          <w:sz w:val="12"/>
        </w:rPr>
        <w:t xml:space="preserve"> </w:t>
      </w:r>
      <w:r>
        <w:rPr>
          <w:sz w:val="12"/>
        </w:rPr>
        <w:t>(1989), párr.</w:t>
      </w:r>
      <w:r>
        <w:rPr>
          <w:spacing w:val="-1"/>
          <w:sz w:val="12"/>
        </w:rPr>
        <w:t xml:space="preserve"> </w:t>
      </w:r>
      <w:r>
        <w:rPr>
          <w:spacing w:val="-5"/>
          <w:sz w:val="12"/>
        </w:rPr>
        <w:t>12.</w:t>
      </w:r>
    </w:p>
    <w:p w14:paraId="0D87F163" w14:textId="77777777" w:rsidR="0014798C" w:rsidRDefault="004E1F0B">
      <w:pPr>
        <w:spacing w:before="98"/>
        <w:ind w:left="1107"/>
        <w:rPr>
          <w:sz w:val="12"/>
        </w:rPr>
      </w:pPr>
      <w:r>
        <w:rPr>
          <w:sz w:val="12"/>
        </w:rPr>
        <w:t>369</w:t>
      </w:r>
      <w:r>
        <w:rPr>
          <w:spacing w:val="-1"/>
          <w:sz w:val="12"/>
        </w:rPr>
        <w:t xml:space="preserve"> </w:t>
      </w:r>
      <w:r>
        <w:rPr>
          <w:sz w:val="12"/>
        </w:rPr>
        <w:t>Comité sobre los Derechos de las Personas</w:t>
      </w:r>
      <w:r>
        <w:rPr>
          <w:spacing w:val="-1"/>
          <w:sz w:val="12"/>
        </w:rPr>
        <w:t xml:space="preserve"> </w:t>
      </w:r>
      <w:r>
        <w:rPr>
          <w:sz w:val="12"/>
        </w:rPr>
        <w:t>con Discapacidad,</w:t>
      </w:r>
      <w:r>
        <w:rPr>
          <w:spacing w:val="1"/>
          <w:sz w:val="12"/>
        </w:rPr>
        <w:t xml:space="preserve"> </w:t>
      </w:r>
      <w:r>
        <w:rPr>
          <w:sz w:val="12"/>
        </w:rPr>
        <w:t>observación general núm. 6 (2018), párr.</w:t>
      </w:r>
      <w:r>
        <w:rPr>
          <w:spacing w:val="-1"/>
          <w:sz w:val="12"/>
        </w:rPr>
        <w:t xml:space="preserve"> </w:t>
      </w:r>
      <w:r>
        <w:rPr>
          <w:spacing w:val="-5"/>
          <w:sz w:val="12"/>
        </w:rPr>
        <w:t>13.</w:t>
      </w:r>
    </w:p>
    <w:p w14:paraId="33440967" w14:textId="77777777" w:rsidR="0014798C" w:rsidRDefault="004E1F0B">
      <w:pPr>
        <w:spacing w:before="99"/>
        <w:ind w:left="1107"/>
        <w:rPr>
          <w:sz w:val="12"/>
        </w:rPr>
      </w:pPr>
      <w:r>
        <w:rPr>
          <w:sz w:val="12"/>
        </w:rPr>
        <w:t>370</w:t>
      </w:r>
      <w:r>
        <w:rPr>
          <w:spacing w:val="-2"/>
          <w:sz w:val="12"/>
        </w:rPr>
        <w:t xml:space="preserve"> </w:t>
      </w:r>
      <w:r>
        <w:rPr>
          <w:sz w:val="12"/>
        </w:rPr>
        <w:t>Comité</w:t>
      </w:r>
      <w:r>
        <w:rPr>
          <w:spacing w:val="-1"/>
          <w:sz w:val="12"/>
        </w:rPr>
        <w:t xml:space="preserve"> </w:t>
      </w:r>
      <w:r>
        <w:rPr>
          <w:sz w:val="12"/>
        </w:rPr>
        <w:t>para</w:t>
      </w:r>
      <w:r>
        <w:rPr>
          <w:spacing w:val="-1"/>
          <w:sz w:val="12"/>
        </w:rPr>
        <w:t xml:space="preserve"> </w:t>
      </w:r>
      <w:r>
        <w:rPr>
          <w:sz w:val="12"/>
        </w:rPr>
        <w:t>la</w:t>
      </w:r>
      <w:r>
        <w:rPr>
          <w:spacing w:val="-1"/>
          <w:sz w:val="12"/>
        </w:rPr>
        <w:t xml:space="preserve"> </w:t>
      </w:r>
      <w:r>
        <w:rPr>
          <w:sz w:val="12"/>
        </w:rPr>
        <w:t>Eliminación</w:t>
      </w:r>
      <w:r>
        <w:rPr>
          <w:spacing w:val="-1"/>
          <w:sz w:val="12"/>
        </w:rPr>
        <w:t xml:space="preserve"> </w:t>
      </w:r>
      <w:r>
        <w:rPr>
          <w:sz w:val="12"/>
        </w:rPr>
        <w:t>de</w:t>
      </w:r>
      <w:r>
        <w:rPr>
          <w:spacing w:val="-2"/>
          <w:sz w:val="12"/>
        </w:rPr>
        <w:t xml:space="preserve"> </w:t>
      </w:r>
      <w:r>
        <w:rPr>
          <w:sz w:val="12"/>
        </w:rPr>
        <w:t>la</w:t>
      </w:r>
      <w:r>
        <w:rPr>
          <w:spacing w:val="-1"/>
          <w:sz w:val="12"/>
        </w:rPr>
        <w:t xml:space="preserve"> </w:t>
      </w:r>
      <w:r>
        <w:rPr>
          <w:sz w:val="12"/>
        </w:rPr>
        <w:t>Discriminación</w:t>
      </w:r>
      <w:r>
        <w:rPr>
          <w:spacing w:val="-1"/>
          <w:sz w:val="12"/>
        </w:rPr>
        <w:t xml:space="preserve"> </w:t>
      </w:r>
      <w:r>
        <w:rPr>
          <w:sz w:val="12"/>
        </w:rPr>
        <w:t>contra</w:t>
      </w:r>
      <w:r>
        <w:rPr>
          <w:spacing w:val="-1"/>
          <w:sz w:val="12"/>
        </w:rPr>
        <w:t xml:space="preserve"> </w:t>
      </w:r>
      <w:r>
        <w:rPr>
          <w:sz w:val="12"/>
        </w:rPr>
        <w:t>la</w:t>
      </w:r>
      <w:r>
        <w:rPr>
          <w:spacing w:val="-1"/>
          <w:sz w:val="12"/>
        </w:rPr>
        <w:t xml:space="preserve"> </w:t>
      </w:r>
      <w:r>
        <w:rPr>
          <w:sz w:val="12"/>
        </w:rPr>
        <w:t>Mujer,</w:t>
      </w:r>
      <w:r>
        <w:rPr>
          <w:spacing w:val="-2"/>
          <w:sz w:val="12"/>
        </w:rPr>
        <w:t xml:space="preserve"> </w:t>
      </w:r>
      <w:r>
        <w:rPr>
          <w:sz w:val="12"/>
        </w:rPr>
        <w:t>recomendación</w:t>
      </w:r>
      <w:r>
        <w:rPr>
          <w:spacing w:val="-1"/>
          <w:sz w:val="12"/>
        </w:rPr>
        <w:t xml:space="preserve"> </w:t>
      </w:r>
      <w:r>
        <w:rPr>
          <w:sz w:val="12"/>
        </w:rPr>
        <w:t>general</w:t>
      </w:r>
      <w:r>
        <w:rPr>
          <w:spacing w:val="-1"/>
          <w:sz w:val="12"/>
        </w:rPr>
        <w:t xml:space="preserve"> </w:t>
      </w:r>
      <w:r>
        <w:rPr>
          <w:sz w:val="12"/>
        </w:rPr>
        <w:t>núm.</w:t>
      </w:r>
      <w:r>
        <w:rPr>
          <w:spacing w:val="-1"/>
          <w:sz w:val="12"/>
        </w:rPr>
        <w:t xml:space="preserve"> </w:t>
      </w:r>
      <w:r>
        <w:rPr>
          <w:sz w:val="12"/>
        </w:rPr>
        <w:t>33</w:t>
      </w:r>
      <w:r>
        <w:rPr>
          <w:spacing w:val="-1"/>
          <w:sz w:val="12"/>
        </w:rPr>
        <w:t xml:space="preserve"> </w:t>
      </w:r>
      <w:r>
        <w:rPr>
          <w:sz w:val="12"/>
        </w:rPr>
        <w:t>(2015),</w:t>
      </w:r>
      <w:r>
        <w:rPr>
          <w:spacing w:val="-2"/>
          <w:sz w:val="12"/>
        </w:rPr>
        <w:t xml:space="preserve"> </w:t>
      </w:r>
      <w:proofErr w:type="spellStart"/>
      <w:r>
        <w:rPr>
          <w:sz w:val="12"/>
        </w:rPr>
        <w:t>párrs</w:t>
      </w:r>
      <w:proofErr w:type="spellEnd"/>
      <w:r>
        <w:rPr>
          <w:sz w:val="12"/>
        </w:rPr>
        <w:t>.</w:t>
      </w:r>
      <w:r>
        <w:rPr>
          <w:spacing w:val="-1"/>
          <w:sz w:val="12"/>
        </w:rPr>
        <w:t xml:space="preserve"> </w:t>
      </w:r>
      <w:r>
        <w:rPr>
          <w:sz w:val="12"/>
        </w:rPr>
        <w:t>6</w:t>
      </w:r>
      <w:r>
        <w:rPr>
          <w:spacing w:val="-1"/>
          <w:sz w:val="12"/>
        </w:rPr>
        <w:t xml:space="preserve"> </w:t>
      </w:r>
      <w:r>
        <w:rPr>
          <w:sz w:val="12"/>
        </w:rPr>
        <w:t>y</w:t>
      </w:r>
      <w:r>
        <w:rPr>
          <w:spacing w:val="-1"/>
          <w:sz w:val="12"/>
        </w:rPr>
        <w:t xml:space="preserve"> </w:t>
      </w:r>
      <w:r>
        <w:rPr>
          <w:spacing w:val="-5"/>
          <w:sz w:val="12"/>
        </w:rPr>
        <w:t>22.</w:t>
      </w:r>
    </w:p>
    <w:p w14:paraId="54299539" w14:textId="77777777" w:rsidR="0014798C" w:rsidRDefault="004E1F0B">
      <w:pPr>
        <w:spacing w:before="98"/>
        <w:ind w:left="1107"/>
        <w:rPr>
          <w:sz w:val="12"/>
        </w:rPr>
      </w:pPr>
      <w:r>
        <w:rPr>
          <w:sz w:val="12"/>
        </w:rPr>
        <w:t>371</w:t>
      </w:r>
      <w:r>
        <w:rPr>
          <w:spacing w:val="-2"/>
          <w:sz w:val="12"/>
        </w:rPr>
        <w:t xml:space="preserve"> </w:t>
      </w:r>
      <w:r>
        <w:rPr>
          <w:sz w:val="12"/>
        </w:rPr>
        <w:t>Comité</w:t>
      </w:r>
      <w:r>
        <w:rPr>
          <w:spacing w:val="-1"/>
          <w:sz w:val="12"/>
        </w:rPr>
        <w:t xml:space="preserve"> </w:t>
      </w:r>
      <w:r>
        <w:rPr>
          <w:sz w:val="12"/>
        </w:rPr>
        <w:t>para</w:t>
      </w:r>
      <w:r>
        <w:rPr>
          <w:spacing w:val="-2"/>
          <w:sz w:val="12"/>
        </w:rPr>
        <w:t xml:space="preserve"> </w:t>
      </w:r>
      <w:r>
        <w:rPr>
          <w:sz w:val="12"/>
        </w:rPr>
        <w:t>la</w:t>
      </w:r>
      <w:r>
        <w:rPr>
          <w:spacing w:val="-1"/>
          <w:sz w:val="12"/>
        </w:rPr>
        <w:t xml:space="preserve"> </w:t>
      </w:r>
      <w:r>
        <w:rPr>
          <w:sz w:val="12"/>
        </w:rPr>
        <w:t>Eliminación</w:t>
      </w:r>
      <w:r>
        <w:rPr>
          <w:spacing w:val="-1"/>
          <w:sz w:val="12"/>
        </w:rPr>
        <w:t xml:space="preserve"> </w:t>
      </w:r>
      <w:r>
        <w:rPr>
          <w:sz w:val="12"/>
        </w:rPr>
        <w:t>de</w:t>
      </w:r>
      <w:r>
        <w:rPr>
          <w:spacing w:val="-2"/>
          <w:sz w:val="12"/>
        </w:rPr>
        <w:t xml:space="preserve"> </w:t>
      </w:r>
      <w:r>
        <w:rPr>
          <w:sz w:val="12"/>
        </w:rPr>
        <w:t>la</w:t>
      </w:r>
      <w:r>
        <w:rPr>
          <w:spacing w:val="-1"/>
          <w:sz w:val="12"/>
        </w:rPr>
        <w:t xml:space="preserve"> </w:t>
      </w:r>
      <w:r>
        <w:rPr>
          <w:sz w:val="12"/>
        </w:rPr>
        <w:t>Discriminación</w:t>
      </w:r>
      <w:r>
        <w:rPr>
          <w:spacing w:val="-2"/>
          <w:sz w:val="12"/>
        </w:rPr>
        <w:t xml:space="preserve"> </w:t>
      </w:r>
      <w:r>
        <w:rPr>
          <w:sz w:val="12"/>
        </w:rPr>
        <w:t>contra</w:t>
      </w:r>
      <w:r>
        <w:rPr>
          <w:spacing w:val="-1"/>
          <w:sz w:val="12"/>
        </w:rPr>
        <w:t xml:space="preserve"> </w:t>
      </w:r>
      <w:r>
        <w:rPr>
          <w:sz w:val="12"/>
        </w:rPr>
        <w:t>la</w:t>
      </w:r>
      <w:r>
        <w:rPr>
          <w:spacing w:val="-1"/>
          <w:sz w:val="12"/>
        </w:rPr>
        <w:t xml:space="preserve"> </w:t>
      </w:r>
      <w:r>
        <w:rPr>
          <w:sz w:val="12"/>
        </w:rPr>
        <w:t>Mujer,</w:t>
      </w:r>
      <w:r>
        <w:rPr>
          <w:spacing w:val="-2"/>
          <w:sz w:val="12"/>
        </w:rPr>
        <w:t xml:space="preserve"> </w:t>
      </w:r>
      <w:r>
        <w:rPr>
          <w:sz w:val="12"/>
        </w:rPr>
        <w:t>recomendación</w:t>
      </w:r>
      <w:r>
        <w:rPr>
          <w:spacing w:val="-1"/>
          <w:sz w:val="12"/>
        </w:rPr>
        <w:t xml:space="preserve"> </w:t>
      </w:r>
      <w:r>
        <w:rPr>
          <w:sz w:val="12"/>
        </w:rPr>
        <w:t>general</w:t>
      </w:r>
      <w:r>
        <w:rPr>
          <w:spacing w:val="-2"/>
          <w:sz w:val="12"/>
        </w:rPr>
        <w:t xml:space="preserve"> </w:t>
      </w:r>
      <w:r>
        <w:rPr>
          <w:sz w:val="12"/>
        </w:rPr>
        <w:t>núm.</w:t>
      </w:r>
      <w:r>
        <w:rPr>
          <w:spacing w:val="-1"/>
          <w:sz w:val="12"/>
        </w:rPr>
        <w:t xml:space="preserve"> </w:t>
      </w:r>
      <w:r>
        <w:rPr>
          <w:sz w:val="12"/>
        </w:rPr>
        <w:t>28</w:t>
      </w:r>
      <w:r>
        <w:rPr>
          <w:spacing w:val="-1"/>
          <w:sz w:val="12"/>
        </w:rPr>
        <w:t xml:space="preserve"> </w:t>
      </w:r>
      <w:r>
        <w:rPr>
          <w:sz w:val="12"/>
        </w:rPr>
        <w:t>(2010),</w:t>
      </w:r>
      <w:r>
        <w:rPr>
          <w:spacing w:val="-2"/>
          <w:sz w:val="12"/>
        </w:rPr>
        <w:t xml:space="preserve"> </w:t>
      </w:r>
      <w:r>
        <w:rPr>
          <w:sz w:val="12"/>
        </w:rPr>
        <w:t>párr.</w:t>
      </w:r>
      <w:r>
        <w:rPr>
          <w:spacing w:val="-1"/>
          <w:sz w:val="12"/>
        </w:rPr>
        <w:t xml:space="preserve"> </w:t>
      </w:r>
      <w:r>
        <w:rPr>
          <w:spacing w:val="-5"/>
          <w:sz w:val="12"/>
        </w:rPr>
        <w:t>31.</w:t>
      </w:r>
    </w:p>
    <w:p w14:paraId="5A4E9F9F" w14:textId="77777777" w:rsidR="0014798C" w:rsidRDefault="0014798C">
      <w:pPr>
        <w:rPr>
          <w:sz w:val="12"/>
        </w:rPr>
        <w:sectPr w:rsidR="0014798C" w:rsidSect="00F265E4">
          <w:pgSz w:w="11900" w:h="16820"/>
          <w:pgMar w:top="340" w:right="0" w:bottom="280" w:left="200" w:header="121" w:footer="0" w:gutter="0"/>
          <w:cols w:space="720"/>
        </w:sectPr>
      </w:pPr>
    </w:p>
    <w:p w14:paraId="154E7087" w14:textId="77777777" w:rsidR="0014798C" w:rsidRDefault="004E1F0B">
      <w:pPr>
        <w:spacing w:before="53"/>
        <w:jc w:val="right"/>
        <w:rPr>
          <w:sz w:val="8"/>
        </w:rPr>
      </w:pPr>
      <w:r>
        <w:rPr>
          <w:spacing w:val="-5"/>
          <w:w w:val="105"/>
          <w:sz w:val="8"/>
        </w:rPr>
        <w:t>372</w:t>
      </w:r>
    </w:p>
    <w:p w14:paraId="7D3FB5BE" w14:textId="77777777" w:rsidR="0014798C" w:rsidRDefault="0014798C">
      <w:pPr>
        <w:pStyle w:val="Textoindependiente"/>
        <w:spacing w:before="53"/>
        <w:rPr>
          <w:sz w:val="8"/>
        </w:rPr>
      </w:pPr>
    </w:p>
    <w:p w14:paraId="102C3DE7" w14:textId="77777777" w:rsidR="0014798C" w:rsidRDefault="004E1F0B">
      <w:pPr>
        <w:jc w:val="right"/>
        <w:rPr>
          <w:sz w:val="8"/>
        </w:rPr>
      </w:pPr>
      <w:r>
        <w:rPr>
          <w:spacing w:val="-5"/>
          <w:w w:val="105"/>
          <w:sz w:val="8"/>
        </w:rPr>
        <w:t>373</w:t>
      </w:r>
    </w:p>
    <w:p w14:paraId="0C4F6E69" w14:textId="77777777" w:rsidR="0014798C" w:rsidRDefault="0014798C">
      <w:pPr>
        <w:pStyle w:val="Textoindependiente"/>
        <w:rPr>
          <w:sz w:val="8"/>
        </w:rPr>
      </w:pPr>
    </w:p>
    <w:p w14:paraId="5E4B5B0E" w14:textId="77777777" w:rsidR="0014798C" w:rsidRDefault="0014798C">
      <w:pPr>
        <w:pStyle w:val="Textoindependiente"/>
        <w:rPr>
          <w:sz w:val="8"/>
        </w:rPr>
      </w:pPr>
    </w:p>
    <w:p w14:paraId="0BF108AC" w14:textId="77777777" w:rsidR="0014798C" w:rsidRDefault="0014798C">
      <w:pPr>
        <w:pStyle w:val="Textoindependiente"/>
        <w:spacing w:before="48"/>
        <w:rPr>
          <w:sz w:val="8"/>
        </w:rPr>
      </w:pPr>
    </w:p>
    <w:p w14:paraId="38E66722" w14:textId="77777777" w:rsidR="0014798C" w:rsidRDefault="004E1F0B">
      <w:pPr>
        <w:jc w:val="right"/>
        <w:rPr>
          <w:sz w:val="8"/>
        </w:rPr>
      </w:pPr>
      <w:r>
        <w:rPr>
          <w:spacing w:val="-5"/>
          <w:w w:val="105"/>
          <w:sz w:val="8"/>
        </w:rPr>
        <w:t>374</w:t>
      </w:r>
    </w:p>
    <w:p w14:paraId="7A0F431D" w14:textId="77777777" w:rsidR="0014798C" w:rsidRDefault="004E1F0B">
      <w:pPr>
        <w:spacing w:before="91"/>
        <w:ind w:left="82"/>
        <w:rPr>
          <w:sz w:val="12"/>
        </w:rPr>
      </w:pPr>
      <w:r>
        <w:br w:type="column"/>
      </w:r>
      <w:r>
        <w:rPr>
          <w:sz w:val="12"/>
        </w:rPr>
        <w:t>CERD/C/RUS/CO/23-24,</w:t>
      </w:r>
      <w:r>
        <w:rPr>
          <w:spacing w:val="-2"/>
          <w:sz w:val="12"/>
        </w:rPr>
        <w:t xml:space="preserve"> </w:t>
      </w:r>
      <w:r>
        <w:rPr>
          <w:sz w:val="12"/>
        </w:rPr>
        <w:t>párr.</w:t>
      </w:r>
      <w:r>
        <w:rPr>
          <w:spacing w:val="-2"/>
          <w:sz w:val="12"/>
        </w:rPr>
        <w:t xml:space="preserve"> </w:t>
      </w:r>
      <w:r>
        <w:rPr>
          <w:spacing w:val="-5"/>
          <w:sz w:val="12"/>
        </w:rPr>
        <w:t>10.</w:t>
      </w:r>
    </w:p>
    <w:p w14:paraId="368E9F7B" w14:textId="77777777" w:rsidR="0014798C" w:rsidRDefault="004E1F0B">
      <w:pPr>
        <w:spacing w:before="99" w:line="312" w:lineRule="auto"/>
        <w:ind w:left="82" w:right="1413" w:hanging="2"/>
        <w:rPr>
          <w:sz w:val="12"/>
        </w:rPr>
      </w:pPr>
      <w:r>
        <w:rPr>
          <w:sz w:val="12"/>
        </w:rPr>
        <w:t>Véase,</w:t>
      </w:r>
      <w:r>
        <w:rPr>
          <w:spacing w:val="-2"/>
          <w:sz w:val="12"/>
        </w:rPr>
        <w:t xml:space="preserve"> </w:t>
      </w:r>
      <w:r>
        <w:rPr>
          <w:sz w:val="12"/>
        </w:rPr>
        <w:t>por</w:t>
      </w:r>
      <w:r>
        <w:rPr>
          <w:spacing w:val="-2"/>
          <w:sz w:val="12"/>
        </w:rPr>
        <w:t xml:space="preserve"> </w:t>
      </w:r>
      <w:r>
        <w:rPr>
          <w:sz w:val="12"/>
        </w:rPr>
        <w:t>ejemplo,</w:t>
      </w:r>
      <w:r>
        <w:rPr>
          <w:spacing w:val="-2"/>
          <w:sz w:val="12"/>
        </w:rPr>
        <w:t xml:space="preserve"> </w:t>
      </w:r>
      <w:r>
        <w:rPr>
          <w:sz w:val="12"/>
        </w:rPr>
        <w:t>Carta</w:t>
      </w:r>
      <w:r>
        <w:rPr>
          <w:spacing w:val="-2"/>
          <w:sz w:val="12"/>
        </w:rPr>
        <w:t xml:space="preserve"> </w:t>
      </w:r>
      <w:r>
        <w:rPr>
          <w:sz w:val="12"/>
        </w:rPr>
        <w:t>Africana</w:t>
      </w:r>
      <w:r>
        <w:rPr>
          <w:spacing w:val="-2"/>
          <w:sz w:val="12"/>
        </w:rPr>
        <w:t xml:space="preserve"> </w:t>
      </w:r>
      <w:r>
        <w:rPr>
          <w:sz w:val="12"/>
        </w:rPr>
        <w:t>de</w:t>
      </w:r>
      <w:r>
        <w:rPr>
          <w:spacing w:val="-2"/>
          <w:sz w:val="12"/>
        </w:rPr>
        <w:t xml:space="preserve"> </w:t>
      </w:r>
      <w:r>
        <w:rPr>
          <w:sz w:val="12"/>
        </w:rPr>
        <w:t>Derechos</w:t>
      </w:r>
      <w:r>
        <w:rPr>
          <w:spacing w:val="-2"/>
          <w:sz w:val="12"/>
        </w:rPr>
        <w:t xml:space="preserve"> </w:t>
      </w:r>
      <w:r>
        <w:rPr>
          <w:sz w:val="12"/>
        </w:rPr>
        <w:t>Humanos</w:t>
      </w:r>
      <w:r>
        <w:rPr>
          <w:spacing w:val="-2"/>
          <w:sz w:val="12"/>
        </w:rPr>
        <w:t xml:space="preserve"> </w:t>
      </w:r>
      <w:r>
        <w:rPr>
          <w:sz w:val="12"/>
        </w:rPr>
        <w:t>y</w:t>
      </w:r>
      <w:r>
        <w:rPr>
          <w:spacing w:val="-2"/>
          <w:sz w:val="12"/>
        </w:rPr>
        <w:t xml:space="preserve"> </w:t>
      </w:r>
      <w:r>
        <w:rPr>
          <w:sz w:val="12"/>
        </w:rPr>
        <w:t>de</w:t>
      </w:r>
      <w:r>
        <w:rPr>
          <w:spacing w:val="-2"/>
          <w:sz w:val="12"/>
        </w:rPr>
        <w:t xml:space="preserve"> </w:t>
      </w:r>
      <w:r>
        <w:rPr>
          <w:sz w:val="12"/>
        </w:rPr>
        <w:t>los</w:t>
      </w:r>
      <w:r>
        <w:rPr>
          <w:spacing w:val="-2"/>
          <w:sz w:val="12"/>
        </w:rPr>
        <w:t xml:space="preserve"> </w:t>
      </w:r>
      <w:r>
        <w:rPr>
          <w:sz w:val="12"/>
        </w:rPr>
        <w:t>Pueblos,</w:t>
      </w:r>
      <w:r>
        <w:rPr>
          <w:spacing w:val="-2"/>
          <w:sz w:val="12"/>
        </w:rPr>
        <w:t xml:space="preserve"> </w:t>
      </w:r>
      <w:r>
        <w:rPr>
          <w:sz w:val="12"/>
        </w:rPr>
        <w:t>art.</w:t>
      </w:r>
      <w:r>
        <w:rPr>
          <w:spacing w:val="-2"/>
          <w:sz w:val="12"/>
        </w:rPr>
        <w:t xml:space="preserve"> </w:t>
      </w:r>
      <w:r>
        <w:rPr>
          <w:w w:val="90"/>
          <w:sz w:val="12"/>
        </w:rPr>
        <w:t xml:space="preserve">2; </w:t>
      </w:r>
      <w:r>
        <w:rPr>
          <w:sz w:val="12"/>
        </w:rPr>
        <w:t>Convención</w:t>
      </w:r>
      <w:r>
        <w:rPr>
          <w:spacing w:val="-2"/>
          <w:sz w:val="12"/>
        </w:rPr>
        <w:t xml:space="preserve"> </w:t>
      </w:r>
      <w:r>
        <w:rPr>
          <w:sz w:val="12"/>
        </w:rPr>
        <w:t>Americana</w:t>
      </w:r>
      <w:r>
        <w:rPr>
          <w:spacing w:val="-2"/>
          <w:sz w:val="12"/>
        </w:rPr>
        <w:t xml:space="preserve"> </w:t>
      </w:r>
      <w:r>
        <w:rPr>
          <w:sz w:val="12"/>
        </w:rPr>
        <w:t>sobre</w:t>
      </w:r>
      <w:r>
        <w:rPr>
          <w:spacing w:val="-2"/>
          <w:sz w:val="12"/>
        </w:rPr>
        <w:t xml:space="preserve"> </w:t>
      </w:r>
      <w:r>
        <w:rPr>
          <w:sz w:val="12"/>
        </w:rPr>
        <w:t>Derechos</w:t>
      </w:r>
      <w:r>
        <w:rPr>
          <w:spacing w:val="-2"/>
          <w:sz w:val="12"/>
        </w:rPr>
        <w:t xml:space="preserve"> </w:t>
      </w:r>
      <w:r>
        <w:rPr>
          <w:sz w:val="12"/>
        </w:rPr>
        <w:t>Humanos,</w:t>
      </w:r>
      <w:r>
        <w:rPr>
          <w:spacing w:val="-2"/>
          <w:sz w:val="12"/>
        </w:rPr>
        <w:t xml:space="preserve"> </w:t>
      </w:r>
      <w:r>
        <w:rPr>
          <w:sz w:val="12"/>
        </w:rPr>
        <w:t>art.</w:t>
      </w:r>
      <w:r>
        <w:rPr>
          <w:spacing w:val="-2"/>
          <w:sz w:val="12"/>
        </w:rPr>
        <w:t xml:space="preserve"> </w:t>
      </w:r>
      <w:r>
        <w:rPr>
          <w:sz w:val="12"/>
        </w:rPr>
        <w:t>1</w:t>
      </w:r>
      <w:r>
        <w:rPr>
          <w:spacing w:val="-2"/>
          <w:sz w:val="12"/>
        </w:rPr>
        <w:t xml:space="preserve"> </w:t>
      </w:r>
      <w:r>
        <w:rPr>
          <w:w w:val="90"/>
          <w:sz w:val="12"/>
        </w:rPr>
        <w:t>(</w:t>
      </w:r>
      <w:proofErr w:type="gramStart"/>
      <w:r>
        <w:rPr>
          <w:w w:val="90"/>
          <w:sz w:val="12"/>
        </w:rPr>
        <w:t>1);</w:t>
      </w:r>
      <w:proofErr w:type="gramEnd"/>
      <w:r>
        <w:rPr>
          <w:w w:val="90"/>
          <w:sz w:val="12"/>
        </w:rPr>
        <w:t xml:space="preserve"> </w:t>
      </w:r>
      <w:r>
        <w:rPr>
          <w:sz w:val="12"/>
        </w:rPr>
        <w:t>y</w:t>
      </w:r>
      <w:r>
        <w:rPr>
          <w:spacing w:val="-2"/>
          <w:sz w:val="12"/>
        </w:rPr>
        <w:t xml:space="preserve"> </w:t>
      </w:r>
      <w:r>
        <w:rPr>
          <w:sz w:val="12"/>
        </w:rPr>
        <w:t>Convenio</w:t>
      </w:r>
      <w:r>
        <w:rPr>
          <w:spacing w:val="-2"/>
          <w:sz w:val="12"/>
        </w:rPr>
        <w:t xml:space="preserve"> </w:t>
      </w:r>
      <w:r>
        <w:rPr>
          <w:sz w:val="12"/>
        </w:rPr>
        <w:t>Europeo</w:t>
      </w:r>
      <w:r>
        <w:rPr>
          <w:spacing w:val="40"/>
          <w:sz w:val="12"/>
        </w:rPr>
        <w:t xml:space="preserve"> </w:t>
      </w:r>
      <w:r>
        <w:rPr>
          <w:sz w:val="12"/>
        </w:rPr>
        <w:t>de Derechos Humanos, art. 14.</w:t>
      </w:r>
    </w:p>
    <w:p w14:paraId="1888F38C" w14:textId="77777777" w:rsidR="0014798C" w:rsidRDefault="004E1F0B">
      <w:pPr>
        <w:spacing w:before="57" w:line="312" w:lineRule="auto"/>
        <w:ind w:left="76" w:right="1550" w:firstLine="4"/>
        <w:rPr>
          <w:sz w:val="12"/>
        </w:rPr>
      </w:pPr>
      <w:r>
        <w:rPr>
          <w:sz w:val="12"/>
        </w:rPr>
        <w:t>Véase,</w:t>
      </w:r>
      <w:r>
        <w:rPr>
          <w:spacing w:val="-3"/>
          <w:sz w:val="12"/>
        </w:rPr>
        <w:t xml:space="preserve"> </w:t>
      </w:r>
      <w:r>
        <w:rPr>
          <w:sz w:val="12"/>
        </w:rPr>
        <w:t>por</w:t>
      </w:r>
      <w:r>
        <w:rPr>
          <w:spacing w:val="-3"/>
          <w:sz w:val="12"/>
        </w:rPr>
        <w:t xml:space="preserve"> </w:t>
      </w:r>
      <w:r>
        <w:rPr>
          <w:sz w:val="12"/>
        </w:rPr>
        <w:t>ejemplo,</w:t>
      </w:r>
      <w:r>
        <w:rPr>
          <w:spacing w:val="-3"/>
          <w:sz w:val="12"/>
        </w:rPr>
        <w:t xml:space="preserve"> </w:t>
      </w:r>
      <w:r>
        <w:rPr>
          <w:sz w:val="12"/>
        </w:rPr>
        <w:t>Carta</w:t>
      </w:r>
      <w:r>
        <w:rPr>
          <w:spacing w:val="-3"/>
          <w:sz w:val="12"/>
        </w:rPr>
        <w:t xml:space="preserve"> </w:t>
      </w:r>
      <w:r>
        <w:rPr>
          <w:sz w:val="12"/>
        </w:rPr>
        <w:t>Africana</w:t>
      </w:r>
      <w:r>
        <w:rPr>
          <w:spacing w:val="-3"/>
          <w:sz w:val="12"/>
        </w:rPr>
        <w:t xml:space="preserve"> </w:t>
      </w:r>
      <w:r>
        <w:rPr>
          <w:sz w:val="12"/>
        </w:rPr>
        <w:t>de</w:t>
      </w:r>
      <w:r>
        <w:rPr>
          <w:spacing w:val="-3"/>
          <w:sz w:val="12"/>
        </w:rPr>
        <w:t xml:space="preserve"> </w:t>
      </w:r>
      <w:r>
        <w:rPr>
          <w:sz w:val="12"/>
        </w:rPr>
        <w:t>Derechos</w:t>
      </w:r>
      <w:r>
        <w:rPr>
          <w:spacing w:val="-3"/>
          <w:sz w:val="12"/>
        </w:rPr>
        <w:t xml:space="preserve"> </w:t>
      </w:r>
      <w:r>
        <w:rPr>
          <w:sz w:val="12"/>
        </w:rPr>
        <w:t>Humanos</w:t>
      </w:r>
      <w:r>
        <w:rPr>
          <w:spacing w:val="-3"/>
          <w:sz w:val="12"/>
        </w:rPr>
        <w:t xml:space="preserve"> </w:t>
      </w:r>
      <w:r>
        <w:rPr>
          <w:sz w:val="12"/>
        </w:rPr>
        <w:t>y</w:t>
      </w:r>
      <w:r>
        <w:rPr>
          <w:spacing w:val="-3"/>
          <w:sz w:val="12"/>
        </w:rPr>
        <w:t xml:space="preserve"> </w:t>
      </w:r>
      <w:r>
        <w:rPr>
          <w:sz w:val="12"/>
        </w:rPr>
        <w:t>de</w:t>
      </w:r>
      <w:r>
        <w:rPr>
          <w:spacing w:val="-3"/>
          <w:sz w:val="12"/>
        </w:rPr>
        <w:t xml:space="preserve"> </w:t>
      </w:r>
      <w:r>
        <w:rPr>
          <w:sz w:val="12"/>
        </w:rPr>
        <w:t>los</w:t>
      </w:r>
      <w:r>
        <w:rPr>
          <w:spacing w:val="-3"/>
          <w:sz w:val="12"/>
        </w:rPr>
        <w:t xml:space="preserve"> </w:t>
      </w:r>
      <w:r>
        <w:rPr>
          <w:sz w:val="12"/>
        </w:rPr>
        <w:t>Pueblos,</w:t>
      </w:r>
      <w:r>
        <w:rPr>
          <w:spacing w:val="-3"/>
          <w:sz w:val="12"/>
        </w:rPr>
        <w:t xml:space="preserve"> </w:t>
      </w:r>
      <w:r>
        <w:rPr>
          <w:sz w:val="12"/>
        </w:rPr>
        <w:t>art.</w:t>
      </w:r>
      <w:r>
        <w:rPr>
          <w:spacing w:val="-3"/>
          <w:sz w:val="12"/>
        </w:rPr>
        <w:t xml:space="preserve"> </w:t>
      </w:r>
      <w:r>
        <w:rPr>
          <w:w w:val="95"/>
          <w:sz w:val="12"/>
        </w:rPr>
        <w:t>3;</w:t>
      </w:r>
      <w:r>
        <w:rPr>
          <w:spacing w:val="-1"/>
          <w:w w:val="95"/>
          <w:sz w:val="12"/>
        </w:rPr>
        <w:t xml:space="preserve"> </w:t>
      </w:r>
      <w:r>
        <w:rPr>
          <w:sz w:val="12"/>
        </w:rPr>
        <w:t>Convención</w:t>
      </w:r>
      <w:r>
        <w:rPr>
          <w:spacing w:val="-3"/>
          <w:sz w:val="12"/>
        </w:rPr>
        <w:t xml:space="preserve"> </w:t>
      </w:r>
      <w:r>
        <w:rPr>
          <w:sz w:val="12"/>
        </w:rPr>
        <w:t>Americana</w:t>
      </w:r>
      <w:r>
        <w:rPr>
          <w:spacing w:val="-3"/>
          <w:sz w:val="12"/>
        </w:rPr>
        <w:t xml:space="preserve"> </w:t>
      </w:r>
      <w:r>
        <w:rPr>
          <w:sz w:val="12"/>
        </w:rPr>
        <w:t>sobre</w:t>
      </w:r>
      <w:r>
        <w:rPr>
          <w:spacing w:val="-3"/>
          <w:sz w:val="12"/>
        </w:rPr>
        <w:t xml:space="preserve"> </w:t>
      </w:r>
      <w:r>
        <w:rPr>
          <w:sz w:val="12"/>
        </w:rPr>
        <w:t>Derechos</w:t>
      </w:r>
      <w:r>
        <w:rPr>
          <w:spacing w:val="-3"/>
          <w:sz w:val="12"/>
        </w:rPr>
        <w:t xml:space="preserve"> </w:t>
      </w:r>
      <w:r>
        <w:rPr>
          <w:sz w:val="12"/>
        </w:rPr>
        <w:t>Humanos,</w:t>
      </w:r>
      <w:r>
        <w:rPr>
          <w:spacing w:val="-3"/>
          <w:sz w:val="12"/>
        </w:rPr>
        <w:t xml:space="preserve"> </w:t>
      </w:r>
      <w:r>
        <w:rPr>
          <w:sz w:val="12"/>
        </w:rPr>
        <w:t>art.</w:t>
      </w:r>
      <w:r>
        <w:rPr>
          <w:spacing w:val="-3"/>
          <w:sz w:val="12"/>
        </w:rPr>
        <w:t xml:space="preserve"> </w:t>
      </w:r>
      <w:r>
        <w:rPr>
          <w:w w:val="95"/>
          <w:sz w:val="12"/>
        </w:rPr>
        <w:t>24;</w:t>
      </w:r>
      <w:r>
        <w:rPr>
          <w:spacing w:val="-1"/>
          <w:w w:val="95"/>
          <w:sz w:val="12"/>
        </w:rPr>
        <w:t xml:space="preserve"> </w:t>
      </w:r>
      <w:r>
        <w:rPr>
          <w:sz w:val="12"/>
        </w:rPr>
        <w:t>y</w:t>
      </w:r>
      <w:r>
        <w:rPr>
          <w:spacing w:val="-3"/>
          <w:sz w:val="12"/>
        </w:rPr>
        <w:t xml:space="preserve"> </w:t>
      </w:r>
      <w:r>
        <w:rPr>
          <w:sz w:val="12"/>
        </w:rPr>
        <w:t>Protocolo</w:t>
      </w:r>
      <w:r>
        <w:rPr>
          <w:spacing w:val="-3"/>
          <w:sz w:val="12"/>
        </w:rPr>
        <w:t xml:space="preserve"> </w:t>
      </w:r>
      <w:r>
        <w:rPr>
          <w:sz w:val="12"/>
        </w:rPr>
        <w:t>núm.</w:t>
      </w:r>
      <w:r>
        <w:rPr>
          <w:spacing w:val="-3"/>
          <w:sz w:val="12"/>
        </w:rPr>
        <w:t xml:space="preserve"> </w:t>
      </w:r>
      <w:r>
        <w:rPr>
          <w:sz w:val="12"/>
        </w:rPr>
        <w:t>12</w:t>
      </w:r>
      <w:r>
        <w:rPr>
          <w:spacing w:val="40"/>
          <w:sz w:val="12"/>
        </w:rPr>
        <w:t xml:space="preserve"> </w:t>
      </w:r>
      <w:r>
        <w:rPr>
          <w:sz w:val="12"/>
        </w:rPr>
        <w:t>del Convenio para la Protección de los Derechos Humanos y de las Libertades Fundamentales, art. 1.</w:t>
      </w:r>
    </w:p>
    <w:p w14:paraId="58F40EBC" w14:textId="77777777" w:rsidR="0014798C" w:rsidRDefault="0014798C">
      <w:pPr>
        <w:spacing w:line="312" w:lineRule="auto"/>
        <w:rPr>
          <w:sz w:val="12"/>
        </w:rPr>
        <w:sectPr w:rsidR="0014798C" w:rsidSect="00F265E4">
          <w:type w:val="continuous"/>
          <w:pgSz w:w="11900" w:h="16820"/>
          <w:pgMar w:top="40" w:right="0" w:bottom="280" w:left="200" w:header="121" w:footer="0" w:gutter="0"/>
          <w:cols w:num="2" w:space="720" w:equalWidth="0">
            <w:col w:w="1250" w:space="40"/>
            <w:col w:w="10410"/>
          </w:cols>
        </w:sectPr>
      </w:pPr>
    </w:p>
    <w:p w14:paraId="25E62A13" w14:textId="77777777" w:rsidR="0014798C" w:rsidRDefault="004E1F0B">
      <w:pPr>
        <w:spacing w:before="57"/>
        <w:ind w:left="1107"/>
        <w:rPr>
          <w:sz w:val="12"/>
        </w:rPr>
      </w:pPr>
      <w:r>
        <w:rPr>
          <w:sz w:val="12"/>
        </w:rPr>
        <w:t>375</w:t>
      </w:r>
      <w:r>
        <w:rPr>
          <w:spacing w:val="-1"/>
          <w:sz w:val="12"/>
        </w:rPr>
        <w:t xml:space="preserve"> </w:t>
      </w:r>
      <w:r>
        <w:rPr>
          <w:sz w:val="12"/>
        </w:rPr>
        <w:t>Corte</w:t>
      </w:r>
      <w:r>
        <w:rPr>
          <w:spacing w:val="-1"/>
          <w:sz w:val="12"/>
        </w:rPr>
        <w:t xml:space="preserve"> </w:t>
      </w:r>
      <w:r>
        <w:rPr>
          <w:sz w:val="12"/>
        </w:rPr>
        <w:t>Interamericana</w:t>
      </w:r>
      <w:r>
        <w:rPr>
          <w:spacing w:val="-1"/>
          <w:sz w:val="12"/>
        </w:rPr>
        <w:t xml:space="preserve"> </w:t>
      </w:r>
      <w:r>
        <w:rPr>
          <w:sz w:val="12"/>
        </w:rPr>
        <w:t>de</w:t>
      </w:r>
      <w:r>
        <w:rPr>
          <w:spacing w:val="-1"/>
          <w:sz w:val="12"/>
        </w:rPr>
        <w:t xml:space="preserve"> </w:t>
      </w:r>
      <w:r>
        <w:rPr>
          <w:sz w:val="12"/>
        </w:rPr>
        <w:t>Derechos Humanos,</w:t>
      </w:r>
      <w:r>
        <w:rPr>
          <w:spacing w:val="-1"/>
          <w:sz w:val="12"/>
        </w:rPr>
        <w:t xml:space="preserve"> </w:t>
      </w:r>
      <w:r>
        <w:rPr>
          <w:sz w:val="12"/>
        </w:rPr>
        <w:t>Duque</w:t>
      </w:r>
      <w:r>
        <w:rPr>
          <w:spacing w:val="-1"/>
          <w:sz w:val="12"/>
        </w:rPr>
        <w:t xml:space="preserve"> </w:t>
      </w:r>
      <w:r>
        <w:rPr>
          <w:sz w:val="12"/>
        </w:rPr>
        <w:t>vs.</w:t>
      </w:r>
      <w:r>
        <w:rPr>
          <w:spacing w:val="-1"/>
          <w:sz w:val="12"/>
        </w:rPr>
        <w:t xml:space="preserve"> </w:t>
      </w:r>
      <w:r>
        <w:rPr>
          <w:sz w:val="12"/>
        </w:rPr>
        <w:t>Colombia, Sentencia, 26</w:t>
      </w:r>
      <w:r>
        <w:rPr>
          <w:spacing w:val="-1"/>
          <w:sz w:val="12"/>
        </w:rPr>
        <w:t xml:space="preserve"> </w:t>
      </w:r>
      <w:r>
        <w:rPr>
          <w:sz w:val="12"/>
        </w:rPr>
        <w:t>de</w:t>
      </w:r>
      <w:r>
        <w:rPr>
          <w:spacing w:val="-1"/>
          <w:sz w:val="12"/>
        </w:rPr>
        <w:t xml:space="preserve"> </w:t>
      </w:r>
      <w:r>
        <w:rPr>
          <w:sz w:val="12"/>
        </w:rPr>
        <w:t>febrero</w:t>
      </w:r>
      <w:r>
        <w:rPr>
          <w:spacing w:val="-1"/>
          <w:sz w:val="12"/>
        </w:rPr>
        <w:t xml:space="preserve"> </w:t>
      </w:r>
      <w:r>
        <w:rPr>
          <w:sz w:val="12"/>
        </w:rPr>
        <w:t>de</w:t>
      </w:r>
      <w:r>
        <w:rPr>
          <w:spacing w:val="-1"/>
          <w:sz w:val="12"/>
        </w:rPr>
        <w:t xml:space="preserve"> </w:t>
      </w:r>
      <w:r>
        <w:rPr>
          <w:sz w:val="12"/>
        </w:rPr>
        <w:t>2016, párr.</w:t>
      </w:r>
      <w:r>
        <w:rPr>
          <w:spacing w:val="-1"/>
          <w:sz w:val="12"/>
        </w:rPr>
        <w:t xml:space="preserve"> </w:t>
      </w:r>
      <w:r>
        <w:rPr>
          <w:spacing w:val="-5"/>
          <w:sz w:val="12"/>
        </w:rPr>
        <w:t>94.</w:t>
      </w:r>
    </w:p>
    <w:p w14:paraId="09E8E456" w14:textId="77777777" w:rsidR="0014798C" w:rsidRDefault="004E1F0B">
      <w:pPr>
        <w:spacing w:before="99" w:line="312" w:lineRule="auto"/>
        <w:ind w:left="1376" w:right="3114" w:hanging="269"/>
        <w:rPr>
          <w:sz w:val="12"/>
        </w:rPr>
      </w:pPr>
      <w:r>
        <w:rPr>
          <w:sz w:val="12"/>
        </w:rPr>
        <w:t xml:space="preserve">376 Comisión Africana de Derechos Humanos y de los Pueblos, </w:t>
      </w:r>
      <w:proofErr w:type="spellStart"/>
      <w:r>
        <w:rPr>
          <w:sz w:val="12"/>
        </w:rPr>
        <w:t>Bissangou</w:t>
      </w:r>
      <w:proofErr w:type="spellEnd"/>
      <w:r>
        <w:rPr>
          <w:sz w:val="12"/>
        </w:rPr>
        <w:t xml:space="preserve"> c. República del Congo, comunicación No. 253/2002, Decisión,</w:t>
      </w:r>
      <w:r>
        <w:rPr>
          <w:spacing w:val="40"/>
          <w:sz w:val="12"/>
        </w:rPr>
        <w:t xml:space="preserve"> </w:t>
      </w:r>
      <w:r>
        <w:rPr>
          <w:sz w:val="12"/>
        </w:rPr>
        <w:t>15 a 29 de noviembre de 2006, párr. 70.</w:t>
      </w:r>
    </w:p>
    <w:p w14:paraId="468C6B04" w14:textId="77777777" w:rsidR="0014798C" w:rsidRDefault="004E1F0B">
      <w:pPr>
        <w:spacing w:before="65"/>
        <w:ind w:left="1107"/>
        <w:rPr>
          <w:sz w:val="12"/>
        </w:rPr>
      </w:pPr>
      <w:r>
        <w:rPr>
          <w:sz w:val="12"/>
        </w:rPr>
        <w:t>377</w:t>
      </w:r>
      <w:r>
        <w:rPr>
          <w:spacing w:val="-2"/>
          <w:sz w:val="12"/>
        </w:rPr>
        <w:t xml:space="preserve"> </w:t>
      </w:r>
      <w:proofErr w:type="spellStart"/>
      <w:r>
        <w:rPr>
          <w:sz w:val="12"/>
        </w:rPr>
        <w:t>Ibíd</w:t>
      </w:r>
      <w:proofErr w:type="spellEnd"/>
      <w:r>
        <w:rPr>
          <w:sz w:val="12"/>
        </w:rPr>
        <w:t>.,</w:t>
      </w:r>
      <w:r>
        <w:rPr>
          <w:spacing w:val="-1"/>
          <w:sz w:val="12"/>
        </w:rPr>
        <w:t xml:space="preserve"> </w:t>
      </w:r>
      <w:r>
        <w:rPr>
          <w:sz w:val="12"/>
        </w:rPr>
        <w:t>párr.</w:t>
      </w:r>
      <w:r>
        <w:rPr>
          <w:spacing w:val="-1"/>
          <w:sz w:val="12"/>
        </w:rPr>
        <w:t xml:space="preserve"> </w:t>
      </w:r>
      <w:r>
        <w:rPr>
          <w:spacing w:val="-5"/>
          <w:sz w:val="12"/>
        </w:rPr>
        <w:t>71.</w:t>
      </w:r>
    </w:p>
    <w:p w14:paraId="13F26600" w14:textId="77777777" w:rsidR="0014798C" w:rsidRDefault="004E1F0B">
      <w:pPr>
        <w:spacing w:before="91"/>
        <w:ind w:left="1107"/>
        <w:rPr>
          <w:sz w:val="12"/>
        </w:rPr>
      </w:pPr>
      <w:r>
        <w:rPr>
          <w:sz w:val="12"/>
        </w:rPr>
        <w:t>378</w:t>
      </w:r>
      <w:r>
        <w:rPr>
          <w:spacing w:val="-1"/>
          <w:sz w:val="12"/>
        </w:rPr>
        <w:t xml:space="preserve"> </w:t>
      </w:r>
      <w:proofErr w:type="spellStart"/>
      <w:r>
        <w:rPr>
          <w:sz w:val="12"/>
        </w:rPr>
        <w:t>Ibíd</w:t>
      </w:r>
      <w:proofErr w:type="spellEnd"/>
      <w:r>
        <w:rPr>
          <w:sz w:val="12"/>
        </w:rPr>
        <w:t>. Véase también</w:t>
      </w:r>
      <w:r>
        <w:rPr>
          <w:spacing w:val="-1"/>
          <w:sz w:val="12"/>
        </w:rPr>
        <w:t xml:space="preserve"> </w:t>
      </w:r>
      <w:r>
        <w:rPr>
          <w:sz w:val="12"/>
        </w:rPr>
        <w:t>Comisión Africana de Derechos</w:t>
      </w:r>
      <w:r>
        <w:rPr>
          <w:spacing w:val="-1"/>
          <w:sz w:val="12"/>
        </w:rPr>
        <w:t xml:space="preserve"> </w:t>
      </w:r>
      <w:r>
        <w:rPr>
          <w:sz w:val="12"/>
        </w:rPr>
        <w:t>Humanos y de</w:t>
      </w:r>
      <w:r>
        <w:rPr>
          <w:spacing w:val="-1"/>
          <w:sz w:val="12"/>
        </w:rPr>
        <w:t xml:space="preserve"> </w:t>
      </w:r>
      <w:r>
        <w:rPr>
          <w:sz w:val="12"/>
        </w:rPr>
        <w:t xml:space="preserve">los Pueblos, </w:t>
      </w:r>
      <w:proofErr w:type="spellStart"/>
      <w:r>
        <w:rPr>
          <w:sz w:val="12"/>
        </w:rPr>
        <w:t>Purohit</w:t>
      </w:r>
      <w:proofErr w:type="spellEnd"/>
      <w:r>
        <w:rPr>
          <w:sz w:val="12"/>
        </w:rPr>
        <w:t xml:space="preserve"> y</w:t>
      </w:r>
      <w:r>
        <w:rPr>
          <w:spacing w:val="-1"/>
          <w:sz w:val="12"/>
        </w:rPr>
        <w:t xml:space="preserve"> </w:t>
      </w:r>
      <w:r>
        <w:rPr>
          <w:sz w:val="12"/>
        </w:rPr>
        <w:t>Moore c. Gambia, comunicación</w:t>
      </w:r>
      <w:r>
        <w:rPr>
          <w:spacing w:val="-1"/>
          <w:sz w:val="12"/>
        </w:rPr>
        <w:t xml:space="preserve"> </w:t>
      </w:r>
      <w:r>
        <w:rPr>
          <w:sz w:val="12"/>
        </w:rPr>
        <w:t xml:space="preserve">núm. </w:t>
      </w:r>
      <w:r>
        <w:rPr>
          <w:spacing w:val="-2"/>
          <w:sz w:val="12"/>
        </w:rPr>
        <w:t>241/01,</w:t>
      </w:r>
    </w:p>
    <w:p w14:paraId="553FD6E7" w14:textId="77777777" w:rsidR="0014798C" w:rsidRDefault="004E1F0B">
      <w:pPr>
        <w:spacing w:before="42" w:line="312" w:lineRule="auto"/>
        <w:ind w:left="1368" w:right="1463" w:hanging="1"/>
        <w:rPr>
          <w:sz w:val="12"/>
        </w:rPr>
      </w:pPr>
      <w:r>
        <w:rPr>
          <w:sz w:val="12"/>
        </w:rPr>
        <w:t>Decisión, 15 a 29 de mayo de 2003, párr. 49, en el que la Comisión distingue entre los artículos 2 y 3 de la Carta Africana de la siguiente manera: “El artículo 2</w:t>
      </w:r>
      <w:r>
        <w:rPr>
          <w:spacing w:val="40"/>
          <w:sz w:val="12"/>
        </w:rPr>
        <w:t xml:space="preserve"> </w:t>
      </w:r>
      <w:r>
        <w:rPr>
          <w:sz w:val="12"/>
        </w:rPr>
        <w:t>establece un principio que es esencial para el espíritu de la Carta Africana y, por lo tanto, es necesario para erradicar la discriminación en todas sus formas, mientras</w:t>
      </w:r>
      <w:r>
        <w:rPr>
          <w:spacing w:val="40"/>
          <w:sz w:val="12"/>
        </w:rPr>
        <w:t xml:space="preserve"> </w:t>
      </w:r>
      <w:r>
        <w:rPr>
          <w:sz w:val="12"/>
        </w:rPr>
        <w:t>que el artículo 3 es importante porque garantiza un trato justo y equitativo a las personas dentro del sistema legal de un país determinado”.</w:t>
      </w:r>
    </w:p>
    <w:p w14:paraId="0D245202" w14:textId="77777777" w:rsidR="0014798C" w:rsidRDefault="0014798C">
      <w:pPr>
        <w:pStyle w:val="Textoindependiente"/>
        <w:rPr>
          <w:sz w:val="19"/>
        </w:rPr>
      </w:pPr>
    </w:p>
    <w:p w14:paraId="456AD464" w14:textId="77777777" w:rsidR="0014798C" w:rsidRDefault="0014798C">
      <w:pPr>
        <w:pStyle w:val="Textoindependiente"/>
        <w:rPr>
          <w:sz w:val="19"/>
        </w:rPr>
      </w:pPr>
    </w:p>
    <w:p w14:paraId="2E62ECFA" w14:textId="77777777" w:rsidR="0014798C" w:rsidRDefault="0014798C">
      <w:pPr>
        <w:pStyle w:val="Textoindependiente"/>
        <w:spacing w:before="121"/>
        <w:rPr>
          <w:sz w:val="19"/>
        </w:rPr>
      </w:pPr>
    </w:p>
    <w:p w14:paraId="2429F4D6" w14:textId="77777777" w:rsidR="0014798C" w:rsidRDefault="004E1F0B">
      <w:pPr>
        <w:ind w:left="548"/>
        <w:rPr>
          <w:sz w:val="19"/>
        </w:rPr>
      </w:pPr>
      <w:r>
        <w:rPr>
          <w:spacing w:val="-5"/>
          <w:sz w:val="19"/>
        </w:rPr>
        <w:t>50</w:t>
      </w:r>
    </w:p>
    <w:p w14:paraId="78A26A30" w14:textId="77777777" w:rsidR="0014798C" w:rsidRDefault="0014798C">
      <w:pPr>
        <w:rPr>
          <w:sz w:val="19"/>
        </w:rPr>
        <w:sectPr w:rsidR="0014798C" w:rsidSect="00F265E4">
          <w:type w:val="continuous"/>
          <w:pgSz w:w="11900" w:h="16820"/>
          <w:pgMar w:top="40" w:right="0" w:bottom="280" w:left="200" w:header="121" w:footer="0" w:gutter="0"/>
          <w:cols w:space="720"/>
        </w:sectPr>
      </w:pPr>
    </w:p>
    <w:p w14:paraId="09D0B957" w14:textId="77777777" w:rsidR="0014798C" w:rsidRDefault="0014798C">
      <w:pPr>
        <w:pStyle w:val="Textoindependiente"/>
        <w:spacing w:before="51"/>
        <w:rPr>
          <w:sz w:val="14"/>
        </w:rPr>
      </w:pPr>
    </w:p>
    <w:p w14:paraId="2762E27F" w14:textId="77777777" w:rsidR="0014798C" w:rsidRDefault="004E1F0B">
      <w:pPr>
        <w:ind w:left="1111"/>
        <w:rPr>
          <w:sz w:val="14"/>
        </w:rPr>
      </w:pPr>
      <w:r>
        <w:rPr>
          <w:color w:val="00AC59"/>
          <w:sz w:val="14"/>
        </w:rPr>
        <w:t>SEGUNDA</w:t>
      </w:r>
      <w:r>
        <w:rPr>
          <w:color w:val="00AC59"/>
          <w:spacing w:val="-5"/>
          <w:sz w:val="14"/>
        </w:rPr>
        <w:t xml:space="preserve"> </w:t>
      </w:r>
      <w:r>
        <w:rPr>
          <w:color w:val="00AC59"/>
          <w:sz w:val="14"/>
        </w:rPr>
        <w:t>PARTE:</w:t>
      </w:r>
      <w:r>
        <w:rPr>
          <w:color w:val="00AC59"/>
          <w:spacing w:val="-5"/>
          <w:sz w:val="14"/>
        </w:rPr>
        <w:t xml:space="preserve"> </w:t>
      </w:r>
      <w:r>
        <w:rPr>
          <w:color w:val="00AC59"/>
          <w:sz w:val="14"/>
        </w:rPr>
        <w:t>CONTENIDO</w:t>
      </w:r>
      <w:r>
        <w:rPr>
          <w:color w:val="00AC59"/>
          <w:spacing w:val="-4"/>
          <w:sz w:val="14"/>
        </w:rPr>
        <w:t xml:space="preserve"> </w:t>
      </w:r>
      <w:r>
        <w:rPr>
          <w:color w:val="00AC59"/>
          <w:sz w:val="14"/>
        </w:rPr>
        <w:t>DE</w:t>
      </w:r>
      <w:r>
        <w:rPr>
          <w:color w:val="00AC59"/>
          <w:spacing w:val="-5"/>
          <w:sz w:val="14"/>
        </w:rPr>
        <w:t xml:space="preserve"> </w:t>
      </w:r>
      <w:r>
        <w:rPr>
          <w:color w:val="00AC59"/>
          <w:sz w:val="14"/>
        </w:rPr>
        <w:t>LA</w:t>
      </w:r>
      <w:r>
        <w:rPr>
          <w:color w:val="00AC59"/>
          <w:spacing w:val="-4"/>
          <w:sz w:val="14"/>
        </w:rPr>
        <w:t xml:space="preserve"> </w:t>
      </w:r>
      <w:r>
        <w:rPr>
          <w:color w:val="00AC59"/>
          <w:sz w:val="14"/>
        </w:rPr>
        <w:t>LEY</w:t>
      </w:r>
      <w:r>
        <w:rPr>
          <w:color w:val="00AC59"/>
          <w:spacing w:val="-4"/>
          <w:sz w:val="14"/>
        </w:rPr>
        <w:t xml:space="preserve"> </w:t>
      </w:r>
      <w:r>
        <w:rPr>
          <w:color w:val="00AC59"/>
          <w:sz w:val="14"/>
        </w:rPr>
        <w:t>INTEGRAL</w:t>
      </w:r>
      <w:r>
        <w:rPr>
          <w:color w:val="00AC59"/>
          <w:spacing w:val="-5"/>
          <w:sz w:val="14"/>
        </w:rPr>
        <w:t xml:space="preserve"> </w:t>
      </w:r>
      <w:r>
        <w:rPr>
          <w:color w:val="00AC59"/>
          <w:spacing w:val="-2"/>
          <w:sz w:val="14"/>
        </w:rPr>
        <w:t>ANTIDISCRIMINACIÓN</w:t>
      </w:r>
    </w:p>
    <w:p w14:paraId="1797FC34" w14:textId="77777777" w:rsidR="0014798C" w:rsidRDefault="0014798C">
      <w:pPr>
        <w:pStyle w:val="Textoindependiente"/>
      </w:pPr>
    </w:p>
    <w:p w14:paraId="3CB3171B" w14:textId="77777777" w:rsidR="0014798C" w:rsidRDefault="0014798C">
      <w:pPr>
        <w:pStyle w:val="Textoindependiente"/>
      </w:pPr>
    </w:p>
    <w:p w14:paraId="3D8A33D6" w14:textId="77777777" w:rsidR="0014798C" w:rsidRDefault="0014798C">
      <w:pPr>
        <w:pStyle w:val="Textoindependiente"/>
      </w:pPr>
    </w:p>
    <w:p w14:paraId="79F36817" w14:textId="77777777" w:rsidR="0014798C" w:rsidRDefault="0014798C">
      <w:pPr>
        <w:pStyle w:val="Textoindependiente"/>
      </w:pPr>
    </w:p>
    <w:p w14:paraId="09ED21E9" w14:textId="77777777" w:rsidR="0014798C" w:rsidRDefault="0014798C">
      <w:pPr>
        <w:pStyle w:val="Textoindependiente"/>
        <w:spacing w:before="38"/>
      </w:pPr>
    </w:p>
    <w:p w14:paraId="693A9C51" w14:textId="77777777" w:rsidR="0014798C" w:rsidRDefault="004E1F0B">
      <w:pPr>
        <w:pStyle w:val="Textoindependiente"/>
        <w:spacing w:before="1" w:line="326" w:lineRule="auto"/>
        <w:ind w:left="1109" w:right="1272" w:firstLine="1"/>
      </w:pPr>
      <w:r>
        <w:t>cualquier</w:t>
      </w:r>
      <w:r>
        <w:rPr>
          <w:spacing w:val="-2"/>
        </w:rPr>
        <w:t xml:space="preserve"> </w:t>
      </w:r>
      <w:r>
        <w:t>artículo</w:t>
      </w:r>
      <w:r>
        <w:rPr>
          <w:spacing w:val="-2"/>
        </w:rPr>
        <w:t xml:space="preserve"> </w:t>
      </w:r>
      <w:r>
        <w:t>de</w:t>
      </w:r>
      <w:r>
        <w:rPr>
          <w:spacing w:val="-2"/>
        </w:rPr>
        <w:t xml:space="preserve"> </w:t>
      </w:r>
      <w:r>
        <w:t>la</w:t>
      </w:r>
      <w:r>
        <w:rPr>
          <w:spacing w:val="-2"/>
        </w:rPr>
        <w:t xml:space="preserve"> </w:t>
      </w:r>
      <w:r>
        <w:t>Convención”.379</w:t>
      </w:r>
      <w:r>
        <w:rPr>
          <w:spacing w:val="-2"/>
        </w:rPr>
        <w:t xml:space="preserve"> </w:t>
      </w:r>
      <w:r>
        <w:t>En</w:t>
      </w:r>
      <w:r>
        <w:rPr>
          <w:spacing w:val="-2"/>
        </w:rPr>
        <w:t xml:space="preserve"> </w:t>
      </w:r>
      <w:r>
        <w:t>esta</w:t>
      </w:r>
      <w:r>
        <w:rPr>
          <w:spacing w:val="-2"/>
        </w:rPr>
        <w:t xml:space="preserve"> </w:t>
      </w:r>
      <w:r>
        <w:t>medida,</w:t>
      </w:r>
      <w:r>
        <w:rPr>
          <w:spacing w:val="-2"/>
        </w:rPr>
        <w:t xml:space="preserve"> </w:t>
      </w:r>
      <w:r>
        <w:t>el</w:t>
      </w:r>
      <w:r>
        <w:rPr>
          <w:spacing w:val="-2"/>
        </w:rPr>
        <w:t xml:space="preserve"> </w:t>
      </w:r>
      <w:r>
        <w:t>artículo</w:t>
      </w:r>
      <w:r>
        <w:rPr>
          <w:spacing w:val="-2"/>
        </w:rPr>
        <w:t xml:space="preserve"> </w:t>
      </w:r>
      <w:r>
        <w:t>14</w:t>
      </w:r>
      <w:r>
        <w:rPr>
          <w:spacing w:val="-2"/>
        </w:rPr>
        <w:t xml:space="preserve"> </w:t>
      </w:r>
      <w:r>
        <w:t>“es</w:t>
      </w:r>
      <w:r>
        <w:rPr>
          <w:spacing w:val="-2"/>
        </w:rPr>
        <w:t xml:space="preserve"> </w:t>
      </w:r>
      <w:r>
        <w:t>autónomo”.380</w:t>
      </w:r>
      <w:r>
        <w:rPr>
          <w:spacing w:val="-2"/>
        </w:rPr>
        <w:t xml:space="preserve"> </w:t>
      </w:r>
      <w:r>
        <w:t>La</w:t>
      </w:r>
      <w:r>
        <w:rPr>
          <w:spacing w:val="-2"/>
        </w:rPr>
        <w:t xml:space="preserve"> </w:t>
      </w:r>
      <w:r>
        <w:t>Corte</w:t>
      </w:r>
      <w:r>
        <w:rPr>
          <w:spacing w:val="-2"/>
        </w:rPr>
        <w:t xml:space="preserve"> </w:t>
      </w:r>
      <w:r>
        <w:t>ha</w:t>
      </w:r>
      <w:r>
        <w:rPr>
          <w:spacing w:val="-2"/>
        </w:rPr>
        <w:t xml:space="preserve"> </w:t>
      </w:r>
      <w:r>
        <w:t>aclarado</w:t>
      </w:r>
      <w:r>
        <w:rPr>
          <w:spacing w:val="-2"/>
        </w:rPr>
        <w:t xml:space="preserve"> </w:t>
      </w:r>
      <w:r>
        <w:t>que</w:t>
      </w:r>
      <w:r>
        <w:rPr>
          <w:spacing w:val="-2"/>
        </w:rPr>
        <w:t xml:space="preserve"> </w:t>
      </w:r>
      <w:r>
        <w:t>el</w:t>
      </w:r>
      <w:r>
        <w:rPr>
          <w:spacing w:val="-2"/>
        </w:rPr>
        <w:t xml:space="preserve"> </w:t>
      </w:r>
      <w:r>
        <w:t>artículo</w:t>
      </w:r>
      <w:r>
        <w:rPr>
          <w:spacing w:val="-2"/>
        </w:rPr>
        <w:t xml:space="preserve"> </w:t>
      </w:r>
      <w:r>
        <w:t>14 también</w:t>
      </w:r>
      <w:r>
        <w:rPr>
          <w:spacing w:val="-2"/>
        </w:rPr>
        <w:t xml:space="preserve"> </w:t>
      </w:r>
      <w:r>
        <w:t>se</w:t>
      </w:r>
      <w:r>
        <w:rPr>
          <w:spacing w:val="-2"/>
        </w:rPr>
        <w:t xml:space="preserve"> </w:t>
      </w:r>
      <w:r>
        <w:t>extiende</w:t>
      </w:r>
      <w:r>
        <w:rPr>
          <w:spacing w:val="-2"/>
        </w:rPr>
        <w:t xml:space="preserve"> </w:t>
      </w:r>
      <w:r>
        <w:t>“a</w:t>
      </w:r>
      <w:r>
        <w:rPr>
          <w:spacing w:val="-2"/>
        </w:rPr>
        <w:t xml:space="preserve"> </w:t>
      </w:r>
      <w:r>
        <w:t>aquellos</w:t>
      </w:r>
      <w:r>
        <w:rPr>
          <w:spacing w:val="-2"/>
        </w:rPr>
        <w:t xml:space="preserve"> </w:t>
      </w:r>
      <w:r>
        <w:t>derechos</w:t>
      </w:r>
      <w:r>
        <w:rPr>
          <w:spacing w:val="-2"/>
        </w:rPr>
        <w:t xml:space="preserve"> </w:t>
      </w:r>
      <w:r>
        <w:t>adicionales,</w:t>
      </w:r>
      <w:r>
        <w:rPr>
          <w:spacing w:val="-1"/>
        </w:rPr>
        <w:t xml:space="preserve"> </w:t>
      </w:r>
      <w:r>
        <w:t>que</w:t>
      </w:r>
      <w:r>
        <w:rPr>
          <w:spacing w:val="-2"/>
        </w:rPr>
        <w:t xml:space="preserve"> </w:t>
      </w:r>
      <w:r>
        <w:t>caen</w:t>
      </w:r>
      <w:r>
        <w:rPr>
          <w:spacing w:val="-2"/>
        </w:rPr>
        <w:t xml:space="preserve"> </w:t>
      </w:r>
      <w:r>
        <w:t>dentro</w:t>
      </w:r>
      <w:r>
        <w:rPr>
          <w:spacing w:val="-2"/>
        </w:rPr>
        <w:t xml:space="preserve"> </w:t>
      </w:r>
      <w:r>
        <w:t>del</w:t>
      </w:r>
      <w:r>
        <w:rPr>
          <w:spacing w:val="-2"/>
        </w:rPr>
        <w:t xml:space="preserve"> </w:t>
      </w:r>
      <w:r>
        <w:t>alcance</w:t>
      </w:r>
      <w:r>
        <w:rPr>
          <w:spacing w:val="-2"/>
        </w:rPr>
        <w:t xml:space="preserve"> </w:t>
      </w:r>
      <w:r>
        <w:t>general</w:t>
      </w:r>
      <w:r>
        <w:rPr>
          <w:spacing w:val="-2"/>
        </w:rPr>
        <w:t xml:space="preserve"> </w:t>
      </w:r>
      <w:r>
        <w:t>de</w:t>
      </w:r>
      <w:r>
        <w:rPr>
          <w:spacing w:val="-2"/>
        </w:rPr>
        <w:t xml:space="preserve"> </w:t>
      </w:r>
      <w:r>
        <w:t>cualquier</w:t>
      </w:r>
      <w:r>
        <w:rPr>
          <w:spacing w:val="-2"/>
        </w:rPr>
        <w:t xml:space="preserve"> </w:t>
      </w:r>
      <w:r>
        <w:t>artículo</w:t>
      </w:r>
      <w:r>
        <w:rPr>
          <w:spacing w:val="-2"/>
        </w:rPr>
        <w:t xml:space="preserve"> </w:t>
      </w:r>
      <w:r>
        <w:t>de</w:t>
      </w:r>
      <w:r>
        <w:rPr>
          <w:spacing w:val="-2"/>
        </w:rPr>
        <w:t xml:space="preserve"> </w:t>
      </w:r>
      <w:r>
        <w:t>la</w:t>
      </w:r>
      <w:r>
        <w:rPr>
          <w:spacing w:val="-2"/>
        </w:rPr>
        <w:t xml:space="preserve"> </w:t>
      </w:r>
      <w:r>
        <w:t>Convención, para</w:t>
      </w:r>
      <w:r>
        <w:rPr>
          <w:spacing w:val="-9"/>
        </w:rPr>
        <w:t xml:space="preserve"> </w:t>
      </w:r>
      <w:r>
        <w:t>los</w:t>
      </w:r>
      <w:r>
        <w:rPr>
          <w:spacing w:val="-9"/>
        </w:rPr>
        <w:t xml:space="preserve"> </w:t>
      </w:r>
      <w:r>
        <w:t>cuales</w:t>
      </w:r>
      <w:r>
        <w:rPr>
          <w:spacing w:val="-9"/>
        </w:rPr>
        <w:t xml:space="preserve"> </w:t>
      </w:r>
      <w:r>
        <w:t>el</w:t>
      </w:r>
      <w:r>
        <w:rPr>
          <w:spacing w:val="-9"/>
        </w:rPr>
        <w:t xml:space="preserve"> </w:t>
      </w:r>
      <w:r>
        <w:t>Estado</w:t>
      </w:r>
      <w:r>
        <w:rPr>
          <w:spacing w:val="-9"/>
        </w:rPr>
        <w:t xml:space="preserve"> </w:t>
      </w:r>
      <w:r>
        <w:t>ha</w:t>
      </w:r>
      <w:r>
        <w:rPr>
          <w:spacing w:val="-9"/>
        </w:rPr>
        <w:t xml:space="preserve"> </w:t>
      </w:r>
      <w:r>
        <w:t>decidió</w:t>
      </w:r>
      <w:r>
        <w:rPr>
          <w:spacing w:val="-9"/>
        </w:rPr>
        <w:t xml:space="preserve"> </w:t>
      </w:r>
      <w:r>
        <w:t>proporcionar</w:t>
      </w:r>
      <w:r>
        <w:rPr>
          <w:spacing w:val="-9"/>
        </w:rPr>
        <w:t xml:space="preserve"> </w:t>
      </w:r>
      <w:r>
        <w:t>voluntariamente”.381</w:t>
      </w:r>
      <w:r>
        <w:rPr>
          <w:spacing w:val="-9"/>
        </w:rPr>
        <w:t xml:space="preserve"> </w:t>
      </w:r>
      <w:r>
        <w:t>Aplicando</w:t>
      </w:r>
      <w:r>
        <w:rPr>
          <w:spacing w:val="-9"/>
        </w:rPr>
        <w:t xml:space="preserve"> </w:t>
      </w:r>
      <w:r>
        <w:t>estos</w:t>
      </w:r>
      <w:r>
        <w:rPr>
          <w:spacing w:val="-9"/>
        </w:rPr>
        <w:t xml:space="preserve"> </w:t>
      </w:r>
      <w:r>
        <w:t>principios,</w:t>
      </w:r>
      <w:r>
        <w:rPr>
          <w:spacing w:val="-8"/>
        </w:rPr>
        <w:t xml:space="preserve"> </w:t>
      </w:r>
      <w:r>
        <w:t>se</w:t>
      </w:r>
      <w:r>
        <w:rPr>
          <w:spacing w:val="-9"/>
        </w:rPr>
        <w:t xml:space="preserve"> </w:t>
      </w:r>
      <w:r>
        <w:t>han</w:t>
      </w:r>
      <w:r>
        <w:rPr>
          <w:spacing w:val="-9"/>
        </w:rPr>
        <w:t xml:space="preserve"> </w:t>
      </w:r>
      <w:r>
        <w:t>identificado</w:t>
      </w:r>
      <w:r>
        <w:rPr>
          <w:spacing w:val="-9"/>
        </w:rPr>
        <w:t xml:space="preserve"> </w:t>
      </w:r>
      <w:r>
        <w:t>amplias</w:t>
      </w:r>
      <w:r>
        <w:rPr>
          <w:spacing w:val="-9"/>
        </w:rPr>
        <w:t xml:space="preserve"> </w:t>
      </w:r>
      <w:r>
        <w:t>áreas de</w:t>
      </w:r>
      <w:r>
        <w:rPr>
          <w:spacing w:val="-4"/>
        </w:rPr>
        <w:t xml:space="preserve"> </w:t>
      </w:r>
      <w:r>
        <w:t>la</w:t>
      </w:r>
      <w:r>
        <w:rPr>
          <w:spacing w:val="-4"/>
        </w:rPr>
        <w:t xml:space="preserve"> </w:t>
      </w:r>
      <w:r>
        <w:t>vida</w:t>
      </w:r>
      <w:r>
        <w:rPr>
          <w:spacing w:val="-4"/>
        </w:rPr>
        <w:t xml:space="preserve"> </w:t>
      </w:r>
      <w:r>
        <w:t>que</w:t>
      </w:r>
      <w:r>
        <w:rPr>
          <w:spacing w:val="-4"/>
        </w:rPr>
        <w:t xml:space="preserve"> </w:t>
      </w:r>
      <w:r>
        <w:t>caen</w:t>
      </w:r>
      <w:r>
        <w:rPr>
          <w:spacing w:val="-4"/>
        </w:rPr>
        <w:t xml:space="preserve"> </w:t>
      </w:r>
      <w:r>
        <w:t>dentro</w:t>
      </w:r>
      <w:r>
        <w:rPr>
          <w:spacing w:val="-4"/>
        </w:rPr>
        <w:t xml:space="preserve"> </w:t>
      </w:r>
      <w:r>
        <w:t>del</w:t>
      </w:r>
      <w:r>
        <w:rPr>
          <w:spacing w:val="-4"/>
        </w:rPr>
        <w:t xml:space="preserve"> </w:t>
      </w:r>
      <w:r>
        <w:t>alcance</w:t>
      </w:r>
      <w:r>
        <w:rPr>
          <w:spacing w:val="-4"/>
        </w:rPr>
        <w:t xml:space="preserve"> </w:t>
      </w:r>
      <w:r>
        <w:t>del</w:t>
      </w:r>
      <w:r>
        <w:rPr>
          <w:spacing w:val="-4"/>
        </w:rPr>
        <w:t xml:space="preserve"> </w:t>
      </w:r>
      <w:r>
        <w:t>artículo</w:t>
      </w:r>
      <w:r>
        <w:rPr>
          <w:spacing w:val="-4"/>
        </w:rPr>
        <w:t xml:space="preserve"> </w:t>
      </w:r>
      <w:r>
        <w:t>14,</w:t>
      </w:r>
      <w:r>
        <w:rPr>
          <w:spacing w:val="-4"/>
        </w:rPr>
        <w:t xml:space="preserve"> </w:t>
      </w:r>
      <w:r>
        <w:t>incluyendo</w:t>
      </w:r>
      <w:r>
        <w:rPr>
          <w:spacing w:val="-4"/>
        </w:rPr>
        <w:t xml:space="preserve"> </w:t>
      </w:r>
      <w:r>
        <w:t>(a</w:t>
      </w:r>
      <w:r>
        <w:rPr>
          <w:spacing w:val="-4"/>
        </w:rPr>
        <w:t xml:space="preserve"> </w:t>
      </w:r>
      <w:r>
        <w:t>modo</w:t>
      </w:r>
      <w:r>
        <w:rPr>
          <w:spacing w:val="-4"/>
        </w:rPr>
        <w:t xml:space="preserve"> </w:t>
      </w:r>
      <w:r>
        <w:t>ilustrativo):</w:t>
      </w:r>
      <w:r>
        <w:rPr>
          <w:spacing w:val="-3"/>
        </w:rPr>
        <w:t xml:space="preserve"> </w:t>
      </w:r>
      <w:r>
        <w:t>procedimientos</w:t>
      </w:r>
      <w:r>
        <w:rPr>
          <w:spacing w:val="-4"/>
        </w:rPr>
        <w:t xml:space="preserve"> </w:t>
      </w:r>
      <w:r>
        <w:t>de</w:t>
      </w:r>
      <w:r>
        <w:rPr>
          <w:spacing w:val="-4"/>
        </w:rPr>
        <w:t xml:space="preserve"> </w:t>
      </w:r>
      <w:r>
        <w:t>adopción,382</w:t>
      </w:r>
      <w:r>
        <w:rPr>
          <w:spacing w:val="-4"/>
        </w:rPr>
        <w:t xml:space="preserve"> </w:t>
      </w:r>
      <w:r>
        <w:t>vida</w:t>
      </w:r>
      <w:r>
        <w:rPr>
          <w:spacing w:val="-4"/>
        </w:rPr>
        <w:t xml:space="preserve"> </w:t>
      </w:r>
      <w:r>
        <w:t>familiar</w:t>
      </w:r>
    </w:p>
    <w:p w14:paraId="088BC3DE" w14:textId="77777777" w:rsidR="0014798C" w:rsidRDefault="004E1F0B">
      <w:pPr>
        <w:pStyle w:val="Textoindependiente"/>
        <w:spacing w:line="326" w:lineRule="auto"/>
        <w:ind w:left="1108" w:right="1272" w:firstLine="1"/>
      </w:pPr>
      <w:r>
        <w:rPr>
          <w:noProof/>
        </w:rPr>
        <w:drawing>
          <wp:anchor distT="0" distB="0" distL="0" distR="0" simplePos="0" relativeHeight="251658398" behindDoc="1" locked="0" layoutInCell="1" allowOverlap="1" wp14:anchorId="506ACB0F" wp14:editId="2BFCD06C">
            <wp:simplePos x="0" y="0"/>
            <wp:positionH relativeFrom="page">
              <wp:posOffset>786199</wp:posOffset>
            </wp:positionH>
            <wp:positionV relativeFrom="paragraph">
              <wp:posOffset>443649</wp:posOffset>
            </wp:positionV>
            <wp:extent cx="6770300" cy="3958643"/>
            <wp:effectExtent l="0" t="0" r="0" b="0"/>
            <wp:wrapNone/>
            <wp:docPr id="141" name="Image 14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41" name="Image 141"/>
                    <pic:cNvPicPr/>
                  </pic:nvPicPr>
                  <pic:blipFill>
                    <a:blip r:embed="rId134" cstate="print"/>
                    <a:stretch>
                      <a:fillRect/>
                    </a:stretch>
                  </pic:blipFill>
                  <pic:spPr>
                    <a:xfrm>
                      <a:off x="0" y="0"/>
                      <a:ext cx="6770300" cy="3958643"/>
                    </a:xfrm>
                    <a:prstGeom prst="rect">
                      <a:avLst/>
                    </a:prstGeom>
                  </pic:spPr>
                </pic:pic>
              </a:graphicData>
            </a:graphic>
          </wp:anchor>
        </w:drawing>
      </w:r>
      <w:r>
        <w:t>,383</w:t>
      </w:r>
      <w:r>
        <w:rPr>
          <w:spacing w:val="-10"/>
        </w:rPr>
        <w:t xml:space="preserve"> </w:t>
      </w:r>
      <w:r>
        <w:t>vivienda,384</w:t>
      </w:r>
      <w:r>
        <w:rPr>
          <w:spacing w:val="-10"/>
        </w:rPr>
        <w:t xml:space="preserve"> </w:t>
      </w:r>
      <w:r>
        <w:t>cobertura</w:t>
      </w:r>
      <w:r>
        <w:rPr>
          <w:spacing w:val="-10"/>
        </w:rPr>
        <w:t xml:space="preserve"> </w:t>
      </w:r>
      <w:r>
        <w:t>de</w:t>
      </w:r>
      <w:r>
        <w:rPr>
          <w:spacing w:val="-10"/>
        </w:rPr>
        <w:t xml:space="preserve"> </w:t>
      </w:r>
      <w:r>
        <w:t>seguros,385</w:t>
      </w:r>
      <w:r>
        <w:rPr>
          <w:spacing w:val="-10"/>
        </w:rPr>
        <w:t xml:space="preserve"> </w:t>
      </w:r>
      <w:r>
        <w:t>pensiones,386</w:t>
      </w:r>
      <w:r>
        <w:rPr>
          <w:spacing w:val="-10"/>
        </w:rPr>
        <w:t xml:space="preserve"> </w:t>
      </w:r>
      <w:r>
        <w:t>procedimientos</w:t>
      </w:r>
      <w:r>
        <w:rPr>
          <w:spacing w:val="-10"/>
        </w:rPr>
        <w:t xml:space="preserve"> </w:t>
      </w:r>
      <w:r>
        <w:t>para</w:t>
      </w:r>
      <w:r>
        <w:rPr>
          <w:spacing w:val="-10"/>
        </w:rPr>
        <w:t xml:space="preserve"> </w:t>
      </w:r>
      <w:r>
        <w:t>adquirir</w:t>
      </w:r>
      <w:r>
        <w:rPr>
          <w:spacing w:val="-10"/>
        </w:rPr>
        <w:t xml:space="preserve"> </w:t>
      </w:r>
      <w:r>
        <w:t>la</w:t>
      </w:r>
      <w:r>
        <w:rPr>
          <w:spacing w:val="-10"/>
        </w:rPr>
        <w:t xml:space="preserve"> </w:t>
      </w:r>
      <w:r>
        <w:t>ciudadanía,387</w:t>
      </w:r>
      <w:r>
        <w:rPr>
          <w:spacing w:val="-10"/>
        </w:rPr>
        <w:t xml:space="preserve"> </w:t>
      </w:r>
      <w:r>
        <w:t>disposiciones</w:t>
      </w:r>
      <w:r>
        <w:rPr>
          <w:spacing w:val="-10"/>
        </w:rPr>
        <w:t xml:space="preserve"> </w:t>
      </w:r>
      <w:r>
        <w:t>para</w:t>
      </w:r>
      <w:r>
        <w:rPr>
          <w:spacing w:val="-10"/>
        </w:rPr>
        <w:t xml:space="preserve"> </w:t>
      </w:r>
      <w:r>
        <w:t>el reconocimiento</w:t>
      </w:r>
      <w:r>
        <w:rPr>
          <w:spacing w:val="-1"/>
        </w:rPr>
        <w:t xml:space="preserve"> </w:t>
      </w:r>
      <w:r>
        <w:t>legal</w:t>
      </w:r>
      <w:r>
        <w:rPr>
          <w:spacing w:val="-1"/>
        </w:rPr>
        <w:t xml:space="preserve"> </w:t>
      </w:r>
      <w:r>
        <w:t>de</w:t>
      </w:r>
      <w:r>
        <w:rPr>
          <w:spacing w:val="-1"/>
        </w:rPr>
        <w:t xml:space="preserve"> </w:t>
      </w:r>
      <w:r>
        <w:t>las</w:t>
      </w:r>
      <w:r>
        <w:rPr>
          <w:spacing w:val="-1"/>
        </w:rPr>
        <w:t xml:space="preserve"> </w:t>
      </w:r>
      <w:r>
        <w:t>parejas</w:t>
      </w:r>
      <w:r>
        <w:rPr>
          <w:spacing w:val="-1"/>
        </w:rPr>
        <w:t xml:space="preserve"> </w:t>
      </w:r>
      <w:r>
        <w:t>de</w:t>
      </w:r>
      <w:r>
        <w:rPr>
          <w:spacing w:val="-1"/>
        </w:rPr>
        <w:t xml:space="preserve"> </w:t>
      </w:r>
      <w:r>
        <w:t>hecho,388</w:t>
      </w:r>
      <w:r>
        <w:rPr>
          <w:spacing w:val="-1"/>
        </w:rPr>
        <w:t xml:space="preserve"> </w:t>
      </w:r>
      <w:r>
        <w:t>medidas</w:t>
      </w:r>
      <w:r>
        <w:rPr>
          <w:spacing w:val="-1"/>
        </w:rPr>
        <w:t xml:space="preserve"> </w:t>
      </w:r>
      <w:r>
        <w:t>de</w:t>
      </w:r>
      <w:r>
        <w:rPr>
          <w:spacing w:val="-1"/>
        </w:rPr>
        <w:t xml:space="preserve"> </w:t>
      </w:r>
      <w:r>
        <w:t>seguridad</w:t>
      </w:r>
      <w:r>
        <w:rPr>
          <w:spacing w:val="-1"/>
        </w:rPr>
        <w:t xml:space="preserve"> </w:t>
      </w:r>
      <w:r>
        <w:t>social389</w:t>
      </w:r>
      <w:r>
        <w:rPr>
          <w:spacing w:val="-1"/>
        </w:rPr>
        <w:t xml:space="preserve"> </w:t>
      </w:r>
      <w:r>
        <w:t>y</w:t>
      </w:r>
      <w:r>
        <w:rPr>
          <w:spacing w:val="-1"/>
        </w:rPr>
        <w:t xml:space="preserve"> </w:t>
      </w:r>
      <w:r>
        <w:t>la</w:t>
      </w:r>
      <w:r>
        <w:rPr>
          <w:spacing w:val="-1"/>
        </w:rPr>
        <w:t xml:space="preserve"> </w:t>
      </w:r>
      <w:r>
        <w:t>investigación</w:t>
      </w:r>
      <w:r>
        <w:rPr>
          <w:spacing w:val="-1"/>
        </w:rPr>
        <w:t xml:space="preserve"> </w:t>
      </w:r>
      <w:r>
        <w:t>de</w:t>
      </w:r>
      <w:r>
        <w:rPr>
          <w:spacing w:val="-1"/>
        </w:rPr>
        <w:t xml:space="preserve"> </w:t>
      </w:r>
      <w:r>
        <w:t>delitos</w:t>
      </w:r>
      <w:r>
        <w:rPr>
          <w:spacing w:val="-1"/>
        </w:rPr>
        <w:t xml:space="preserve"> </w:t>
      </w:r>
      <w:r>
        <w:t>motivados</w:t>
      </w:r>
      <w:r>
        <w:rPr>
          <w:spacing w:val="-1"/>
        </w:rPr>
        <w:t xml:space="preserve"> </w:t>
      </w:r>
      <w:r>
        <w:t>por prejuicios.390</w:t>
      </w:r>
      <w:r>
        <w:rPr>
          <w:spacing w:val="-2"/>
        </w:rPr>
        <w:t xml:space="preserve"> </w:t>
      </w:r>
      <w:r>
        <w:t>También</w:t>
      </w:r>
      <w:r>
        <w:rPr>
          <w:spacing w:val="-2"/>
        </w:rPr>
        <w:t xml:space="preserve"> </w:t>
      </w:r>
      <w:r>
        <w:t>cabe</w:t>
      </w:r>
      <w:r>
        <w:rPr>
          <w:spacing w:val="-2"/>
        </w:rPr>
        <w:t xml:space="preserve"> </w:t>
      </w:r>
      <w:r>
        <w:t>señalar</w:t>
      </w:r>
      <w:r>
        <w:rPr>
          <w:spacing w:val="-2"/>
        </w:rPr>
        <w:t xml:space="preserve"> </w:t>
      </w:r>
      <w:r>
        <w:t>que</w:t>
      </w:r>
      <w:r>
        <w:rPr>
          <w:spacing w:val="-2"/>
        </w:rPr>
        <w:t xml:space="preserve"> </w:t>
      </w:r>
      <w:r>
        <w:t>el</w:t>
      </w:r>
      <w:r>
        <w:rPr>
          <w:spacing w:val="-2"/>
        </w:rPr>
        <w:t xml:space="preserve"> </w:t>
      </w:r>
      <w:r>
        <w:t>artículo</w:t>
      </w:r>
      <w:r>
        <w:rPr>
          <w:spacing w:val="-2"/>
        </w:rPr>
        <w:t xml:space="preserve"> </w:t>
      </w:r>
      <w:r>
        <w:t>1</w:t>
      </w:r>
      <w:r>
        <w:rPr>
          <w:spacing w:val="-2"/>
        </w:rPr>
        <w:t xml:space="preserve"> </w:t>
      </w:r>
      <w:r>
        <w:t>del</w:t>
      </w:r>
      <w:r>
        <w:rPr>
          <w:spacing w:val="-2"/>
        </w:rPr>
        <w:t xml:space="preserve"> </w:t>
      </w:r>
      <w:r>
        <w:t>Protocolo</w:t>
      </w:r>
      <w:r>
        <w:rPr>
          <w:spacing w:val="-2"/>
        </w:rPr>
        <w:t xml:space="preserve"> </w:t>
      </w:r>
      <w:r>
        <w:t>núm.</w:t>
      </w:r>
      <w:r>
        <w:rPr>
          <w:spacing w:val="-2"/>
        </w:rPr>
        <w:t xml:space="preserve"> </w:t>
      </w:r>
      <w:r>
        <w:t>12</w:t>
      </w:r>
      <w:r>
        <w:rPr>
          <w:spacing w:val="-2"/>
        </w:rPr>
        <w:t xml:space="preserve"> </w:t>
      </w:r>
      <w:r>
        <w:t>de</w:t>
      </w:r>
      <w:r>
        <w:rPr>
          <w:spacing w:val="-2"/>
        </w:rPr>
        <w:t xml:space="preserve"> </w:t>
      </w:r>
      <w:r>
        <w:t>la</w:t>
      </w:r>
      <w:r>
        <w:rPr>
          <w:spacing w:val="-2"/>
        </w:rPr>
        <w:t xml:space="preserve"> </w:t>
      </w:r>
      <w:r>
        <w:t>Convención</w:t>
      </w:r>
      <w:r>
        <w:rPr>
          <w:spacing w:val="-2"/>
        </w:rPr>
        <w:t xml:space="preserve"> </w:t>
      </w:r>
      <w:r>
        <w:t>establece</w:t>
      </w:r>
      <w:r>
        <w:rPr>
          <w:spacing w:val="-2"/>
        </w:rPr>
        <w:t xml:space="preserve"> </w:t>
      </w:r>
      <w:r>
        <w:t>el</w:t>
      </w:r>
      <w:r>
        <w:rPr>
          <w:spacing w:val="-2"/>
        </w:rPr>
        <w:t xml:space="preserve"> </w:t>
      </w:r>
      <w:r>
        <w:t>derecho</w:t>
      </w:r>
      <w:r>
        <w:rPr>
          <w:spacing w:val="-2"/>
        </w:rPr>
        <w:t xml:space="preserve"> </w:t>
      </w:r>
      <w:r>
        <w:t>a</w:t>
      </w:r>
      <w:r>
        <w:rPr>
          <w:spacing w:val="-2"/>
        </w:rPr>
        <w:t xml:space="preserve"> </w:t>
      </w:r>
      <w:r>
        <w:t>la</w:t>
      </w:r>
      <w:r>
        <w:rPr>
          <w:spacing w:val="-2"/>
        </w:rPr>
        <w:t xml:space="preserve"> </w:t>
      </w:r>
      <w:r>
        <w:t>no</w:t>
      </w:r>
    </w:p>
    <w:p w14:paraId="74E5D976" w14:textId="77777777" w:rsidR="0014798C" w:rsidRDefault="004E1F0B">
      <w:pPr>
        <w:pStyle w:val="Textoindependiente"/>
        <w:spacing w:line="183" w:lineRule="exact"/>
        <w:ind w:left="1109"/>
      </w:pPr>
      <w:r>
        <w:t>discriminación.</w:t>
      </w:r>
      <w:r>
        <w:rPr>
          <w:spacing w:val="-8"/>
        </w:rPr>
        <w:t xml:space="preserve"> </w:t>
      </w:r>
      <w:r>
        <w:t>con</w:t>
      </w:r>
      <w:r>
        <w:rPr>
          <w:spacing w:val="-7"/>
        </w:rPr>
        <w:t xml:space="preserve"> </w:t>
      </w:r>
      <w:r>
        <w:t>respecto</w:t>
      </w:r>
      <w:r>
        <w:rPr>
          <w:spacing w:val="-8"/>
        </w:rPr>
        <w:t xml:space="preserve"> </w:t>
      </w:r>
      <w:r>
        <w:t>a</w:t>
      </w:r>
      <w:r>
        <w:rPr>
          <w:spacing w:val="-8"/>
        </w:rPr>
        <w:t xml:space="preserve"> </w:t>
      </w:r>
      <w:r>
        <w:t>todos</w:t>
      </w:r>
      <w:r>
        <w:rPr>
          <w:spacing w:val="-8"/>
        </w:rPr>
        <w:t xml:space="preserve"> </w:t>
      </w:r>
      <w:r>
        <w:t>los</w:t>
      </w:r>
      <w:r>
        <w:rPr>
          <w:spacing w:val="-8"/>
        </w:rPr>
        <w:t xml:space="preserve"> </w:t>
      </w:r>
      <w:r>
        <w:t>ámbitos</w:t>
      </w:r>
      <w:r>
        <w:rPr>
          <w:spacing w:val="-8"/>
        </w:rPr>
        <w:t xml:space="preserve"> </w:t>
      </w:r>
      <w:r>
        <w:t>de</w:t>
      </w:r>
      <w:r>
        <w:rPr>
          <w:spacing w:val="-8"/>
        </w:rPr>
        <w:t xml:space="preserve"> </w:t>
      </w:r>
      <w:r>
        <w:t>la</w:t>
      </w:r>
      <w:r>
        <w:rPr>
          <w:spacing w:val="-8"/>
        </w:rPr>
        <w:t xml:space="preserve"> </w:t>
      </w:r>
      <w:r>
        <w:t>vida,</w:t>
      </w:r>
      <w:r>
        <w:rPr>
          <w:spacing w:val="-8"/>
        </w:rPr>
        <w:t xml:space="preserve"> </w:t>
      </w:r>
      <w:r>
        <w:t>aunque</w:t>
      </w:r>
      <w:r>
        <w:rPr>
          <w:spacing w:val="-7"/>
        </w:rPr>
        <w:t xml:space="preserve"> </w:t>
      </w:r>
      <w:r>
        <w:t>el</w:t>
      </w:r>
      <w:r>
        <w:rPr>
          <w:spacing w:val="-8"/>
        </w:rPr>
        <w:t xml:space="preserve"> </w:t>
      </w:r>
      <w:r>
        <w:t>Protocolo</w:t>
      </w:r>
      <w:r>
        <w:rPr>
          <w:spacing w:val="-8"/>
        </w:rPr>
        <w:t xml:space="preserve"> </w:t>
      </w:r>
      <w:r>
        <w:t>requiere</w:t>
      </w:r>
      <w:r>
        <w:rPr>
          <w:spacing w:val="-8"/>
        </w:rPr>
        <w:t xml:space="preserve"> </w:t>
      </w:r>
      <w:r>
        <w:t>la</w:t>
      </w:r>
      <w:r>
        <w:rPr>
          <w:spacing w:val="-8"/>
        </w:rPr>
        <w:t xml:space="preserve"> </w:t>
      </w:r>
      <w:r>
        <w:t>ratificación</w:t>
      </w:r>
      <w:r>
        <w:rPr>
          <w:spacing w:val="-8"/>
        </w:rPr>
        <w:t xml:space="preserve"> </w:t>
      </w:r>
      <w:r>
        <w:t>por</w:t>
      </w:r>
      <w:r>
        <w:rPr>
          <w:spacing w:val="-8"/>
        </w:rPr>
        <w:t xml:space="preserve"> </w:t>
      </w:r>
      <w:r>
        <w:t>separado</w:t>
      </w:r>
      <w:r>
        <w:rPr>
          <w:spacing w:val="-8"/>
        </w:rPr>
        <w:t xml:space="preserve"> </w:t>
      </w:r>
      <w:r>
        <w:t>de</w:t>
      </w:r>
      <w:r>
        <w:rPr>
          <w:spacing w:val="-8"/>
        </w:rPr>
        <w:t xml:space="preserve"> </w:t>
      </w:r>
      <w:r>
        <w:t>las</w:t>
      </w:r>
      <w:r>
        <w:rPr>
          <w:spacing w:val="-8"/>
        </w:rPr>
        <w:t xml:space="preserve"> </w:t>
      </w:r>
      <w:r>
        <w:t>Partes</w:t>
      </w:r>
      <w:r>
        <w:rPr>
          <w:spacing w:val="-7"/>
        </w:rPr>
        <w:t xml:space="preserve"> </w:t>
      </w:r>
      <w:r>
        <w:t>en</w:t>
      </w:r>
      <w:r>
        <w:rPr>
          <w:spacing w:val="-8"/>
        </w:rPr>
        <w:t xml:space="preserve"> </w:t>
      </w:r>
      <w:r>
        <w:t>el</w:t>
      </w:r>
      <w:r>
        <w:rPr>
          <w:spacing w:val="-8"/>
        </w:rPr>
        <w:t xml:space="preserve"> </w:t>
      </w:r>
      <w:r>
        <w:rPr>
          <w:spacing w:val="-2"/>
        </w:rPr>
        <w:t>Convenio.391</w:t>
      </w:r>
    </w:p>
    <w:p w14:paraId="30D47E73" w14:textId="77777777" w:rsidR="0014798C" w:rsidRDefault="0014798C">
      <w:pPr>
        <w:pStyle w:val="Textoindependiente"/>
        <w:spacing w:before="68"/>
        <w:rPr>
          <w:sz w:val="22"/>
        </w:rPr>
      </w:pPr>
    </w:p>
    <w:p w14:paraId="6303E1E9" w14:textId="77777777" w:rsidR="0014798C" w:rsidRDefault="004E1F0B">
      <w:pPr>
        <w:numPr>
          <w:ilvl w:val="0"/>
          <w:numId w:val="85"/>
        </w:numPr>
        <w:tabs>
          <w:tab w:val="left" w:pos="1350"/>
        </w:tabs>
        <w:ind w:left="1350" w:hanging="245"/>
        <w:rPr>
          <w:color w:val="00AC59"/>
        </w:rPr>
      </w:pPr>
      <w:r>
        <w:rPr>
          <w:color w:val="00AC59"/>
          <w:spacing w:val="-2"/>
        </w:rPr>
        <w:t>Justificaciones</w:t>
      </w:r>
    </w:p>
    <w:p w14:paraId="26FE8335" w14:textId="77777777" w:rsidR="0014798C" w:rsidRDefault="0014798C">
      <w:pPr>
        <w:pStyle w:val="Textoindependiente"/>
      </w:pPr>
    </w:p>
    <w:p w14:paraId="0CFC60BF" w14:textId="77777777" w:rsidR="0014798C" w:rsidRDefault="0014798C">
      <w:pPr>
        <w:pStyle w:val="Textoindependiente"/>
        <w:spacing w:before="61"/>
      </w:pPr>
    </w:p>
    <w:p w14:paraId="491846B8" w14:textId="77777777" w:rsidR="0014798C" w:rsidRDefault="004E1F0B">
      <w:pPr>
        <w:pStyle w:val="Textoindependiente"/>
        <w:spacing w:before="1"/>
        <w:ind w:left="1335"/>
      </w:pPr>
      <w:r>
        <w:rPr>
          <w:noProof/>
        </w:rPr>
        <mc:AlternateContent>
          <mc:Choice Requires="wps">
            <w:drawing>
              <wp:anchor distT="0" distB="0" distL="0" distR="0" simplePos="0" relativeHeight="251658266" behindDoc="0" locked="0" layoutInCell="1" allowOverlap="1" wp14:anchorId="1CD48E23" wp14:editId="215D9275">
                <wp:simplePos x="0" y="0"/>
                <wp:positionH relativeFrom="page">
                  <wp:posOffset>7313138</wp:posOffset>
                </wp:positionH>
                <wp:positionV relativeFrom="paragraph">
                  <wp:posOffset>-170459</wp:posOffset>
                </wp:positionV>
                <wp:extent cx="83820" cy="281940"/>
                <wp:effectExtent l="0" t="0" r="0" b="0"/>
                <wp:wrapNone/>
                <wp:docPr id="142" name="Textbox 14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83820" cy="281940"/>
                        </a:xfrm>
                        <a:prstGeom prst="rect">
                          <a:avLst/>
                        </a:prstGeom>
                      </wps:spPr>
                      <wps:txbx>
                        <w:txbxContent>
                          <w:p w14:paraId="1DBE0967" w14:textId="77777777" w:rsidR="0014798C" w:rsidRDefault="004E1F0B">
                            <w:pPr>
                              <w:spacing w:before="19"/>
                              <w:ind w:left="20"/>
                              <w:rPr>
                                <w:sz w:val="8"/>
                              </w:rPr>
                            </w:pPr>
                            <w:r>
                              <w:rPr>
                                <w:color w:val="FFFFFF"/>
                                <w:spacing w:val="-24"/>
                                <w:sz w:val="8"/>
                              </w:rPr>
                              <w:t>I–P</w:t>
                            </w:r>
                            <w:r>
                              <w:rPr>
                                <w:spacing w:val="-24"/>
                                <w:sz w:val="8"/>
                              </w:rPr>
                              <w:t>S</w:t>
                            </w:r>
                            <w:r>
                              <w:rPr>
                                <w:color w:val="FFFFFF"/>
                                <w:spacing w:val="-24"/>
                                <w:sz w:val="8"/>
                              </w:rPr>
                              <w:t>A</w:t>
                            </w:r>
                            <w:r>
                              <w:rPr>
                                <w:spacing w:val="-24"/>
                                <w:sz w:val="8"/>
                              </w:rPr>
                              <w:t>E</w:t>
                            </w:r>
                            <w:r>
                              <w:rPr>
                                <w:color w:val="FFFFFF"/>
                                <w:spacing w:val="-24"/>
                                <w:sz w:val="8"/>
                              </w:rPr>
                              <w:t>R</w:t>
                            </w:r>
                            <w:r>
                              <w:rPr>
                                <w:spacing w:val="-24"/>
                                <w:sz w:val="8"/>
                              </w:rPr>
                              <w:t>G</w:t>
                            </w:r>
                            <w:r>
                              <w:rPr>
                                <w:color w:val="FFFFFF"/>
                                <w:spacing w:val="-24"/>
                                <w:sz w:val="8"/>
                              </w:rPr>
                              <w:t>T</w:t>
                            </w:r>
                            <w:r>
                              <w:rPr>
                                <w:spacing w:val="-24"/>
                                <w:sz w:val="8"/>
                              </w:rPr>
                              <w:t>U</w:t>
                            </w:r>
                            <w:r>
                              <w:rPr>
                                <w:color w:val="FFFFFF"/>
                                <w:spacing w:val="-24"/>
                                <w:sz w:val="8"/>
                              </w:rPr>
                              <w:t>E</w:t>
                            </w:r>
                            <w:r>
                              <w:rPr>
                                <w:spacing w:val="-24"/>
                                <w:sz w:val="8"/>
                              </w:rPr>
                              <w:t>NDA</w:t>
                            </w:r>
                          </w:p>
                        </w:txbxContent>
                      </wps:txbx>
                      <wps:bodyPr vert="vert270" wrap="square" lIns="0" tIns="0" rIns="0" bIns="0" rtlCol="0">
                        <a:noAutofit/>
                      </wps:bodyPr>
                    </wps:wsp>
                  </a:graphicData>
                </a:graphic>
              </wp:anchor>
            </w:drawing>
          </mc:Choice>
          <mc:Fallback>
            <w:pict>
              <v:shape w14:anchorId="1CD48E23" id="Textbox 142" o:spid="_x0000_s1083" type="#_x0000_t202" style="position:absolute;left:0;text-align:left;margin-left:575.85pt;margin-top:-13.4pt;width:6.6pt;height:22.2pt;z-index:251658266;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" filled="f" stroked="f">
                <v:textbox style="layout-flow:vertical;mso-layout-flow-alt:bottom-to-top" inset="0,0,0,0">
                  <w:txbxContent>
                    <w:p w14:paraId="1DBE0967" w14:textId="77777777" w:rsidR="0014798C" w:rsidRDefault="004E1F0B">
                      <w:pPr>
                        <w:spacing w:before="19"/>
                        <w:ind w:left="20"/>
                        <w:rPr>
                          <w:sz w:val="8"/>
                        </w:rPr>
                      </w:pPr>
                      <w:r>
                        <w:rPr>
                          <w:color w:val="FFFFFF"/>
                          <w:spacing w:val="-24"/>
                          <w:sz w:val="8"/>
                        </w:rPr>
                        <w:t>I–P</w:t>
                      </w:r>
                      <w:r>
                        <w:rPr>
                          <w:spacing w:val="-24"/>
                          <w:sz w:val="8"/>
                        </w:rPr>
                        <w:t>S</w:t>
                      </w:r>
                      <w:r>
                        <w:rPr>
                          <w:color w:val="FFFFFF"/>
                          <w:spacing w:val="-24"/>
                          <w:sz w:val="8"/>
                        </w:rPr>
                        <w:t>A</w:t>
                      </w:r>
                      <w:r>
                        <w:rPr>
                          <w:spacing w:val="-24"/>
                          <w:sz w:val="8"/>
                        </w:rPr>
                        <w:t>E</w:t>
                      </w:r>
                      <w:r>
                        <w:rPr>
                          <w:color w:val="FFFFFF"/>
                          <w:spacing w:val="-24"/>
                          <w:sz w:val="8"/>
                        </w:rPr>
                        <w:t>R</w:t>
                      </w:r>
                      <w:r>
                        <w:rPr>
                          <w:spacing w:val="-24"/>
                          <w:sz w:val="8"/>
                        </w:rPr>
                        <w:t>G</w:t>
                      </w:r>
                      <w:r>
                        <w:rPr>
                          <w:color w:val="FFFFFF"/>
                          <w:spacing w:val="-24"/>
                          <w:sz w:val="8"/>
                        </w:rPr>
                        <w:t>T</w:t>
                      </w:r>
                      <w:r>
                        <w:rPr>
                          <w:spacing w:val="-24"/>
                          <w:sz w:val="8"/>
                        </w:rPr>
                        <w:t>U</w:t>
                      </w:r>
                      <w:r>
                        <w:rPr>
                          <w:color w:val="FFFFFF"/>
                          <w:spacing w:val="-24"/>
                          <w:sz w:val="8"/>
                        </w:rPr>
                        <w:t>E</w:t>
                      </w:r>
                      <w:r>
                        <w:rPr>
                          <w:spacing w:val="-24"/>
                          <w:sz w:val="8"/>
                        </w:rPr>
                        <w:t>NDA</w:t>
                      </w:r>
                    </w:p>
                  </w:txbxContent>
                </v:textbox>
                <w10:wrap anchorx="page"/>
              </v:shape>
            </w:pict>
          </mc:Fallback>
        </mc:AlternateContent>
      </w:r>
      <w:r>
        <w:rPr>
          <w:color w:val="FFFFFF"/>
          <w:spacing w:val="-2"/>
          <w:w w:val="105"/>
        </w:rPr>
        <w:t>RESUMEN</w:t>
      </w:r>
    </w:p>
    <w:p w14:paraId="435DD7B0" w14:textId="77777777" w:rsidR="0014798C" w:rsidRDefault="0014798C">
      <w:pPr>
        <w:pStyle w:val="Textoindependiente"/>
        <w:spacing w:before="149"/>
      </w:pPr>
    </w:p>
    <w:p w14:paraId="0228426C" w14:textId="77777777" w:rsidR="0014798C" w:rsidRDefault="004E1F0B">
      <w:pPr>
        <w:pStyle w:val="Prrafodelista"/>
        <w:numPr>
          <w:ilvl w:val="0"/>
          <w:numId w:val="61"/>
        </w:numPr>
        <w:tabs>
          <w:tab w:val="left" w:pos="1461"/>
          <w:tab w:val="left" w:pos="1561"/>
        </w:tabs>
        <w:spacing w:before="1" w:line="326" w:lineRule="auto"/>
        <w:ind w:right="1487" w:hanging="203"/>
        <w:rPr>
          <w:sz w:val="16"/>
        </w:rPr>
      </w:pPr>
      <w:r>
        <w:rPr>
          <w:w w:val="105"/>
          <w:sz w:val="16"/>
        </w:rPr>
        <w:t>Cualquier disposición, criterio o práctica adoptada en cumplimiento de un objetivo legítimo que sea apropiado, necesario</w:t>
      </w:r>
      <w:r>
        <w:rPr>
          <w:spacing w:val="-6"/>
          <w:w w:val="105"/>
          <w:sz w:val="16"/>
        </w:rPr>
        <w:t xml:space="preserve"> </w:t>
      </w:r>
      <w:r>
        <w:rPr>
          <w:w w:val="105"/>
          <w:sz w:val="16"/>
        </w:rPr>
        <w:t>y</w:t>
      </w:r>
      <w:r>
        <w:rPr>
          <w:spacing w:val="-6"/>
          <w:w w:val="105"/>
          <w:sz w:val="16"/>
        </w:rPr>
        <w:t xml:space="preserve"> </w:t>
      </w:r>
      <w:r>
        <w:rPr>
          <w:w w:val="105"/>
          <w:sz w:val="16"/>
        </w:rPr>
        <w:t>proporcionado</w:t>
      </w:r>
      <w:r>
        <w:rPr>
          <w:spacing w:val="-6"/>
          <w:w w:val="105"/>
          <w:sz w:val="16"/>
        </w:rPr>
        <w:t xml:space="preserve"> </w:t>
      </w:r>
      <w:r>
        <w:rPr>
          <w:w w:val="105"/>
          <w:sz w:val="16"/>
        </w:rPr>
        <w:t>a</w:t>
      </w:r>
      <w:r>
        <w:rPr>
          <w:spacing w:val="-6"/>
          <w:w w:val="105"/>
          <w:sz w:val="16"/>
        </w:rPr>
        <w:t xml:space="preserve"> </w:t>
      </w:r>
      <w:r>
        <w:rPr>
          <w:w w:val="105"/>
          <w:sz w:val="16"/>
        </w:rPr>
        <w:t>ese</w:t>
      </w:r>
      <w:r>
        <w:rPr>
          <w:spacing w:val="-6"/>
          <w:w w:val="105"/>
          <w:sz w:val="16"/>
        </w:rPr>
        <w:t xml:space="preserve"> </w:t>
      </w:r>
      <w:r>
        <w:rPr>
          <w:w w:val="105"/>
          <w:sz w:val="16"/>
        </w:rPr>
        <w:t>objetivo</w:t>
      </w:r>
      <w:r>
        <w:rPr>
          <w:spacing w:val="-6"/>
          <w:w w:val="105"/>
          <w:sz w:val="16"/>
        </w:rPr>
        <w:t xml:space="preserve"> </w:t>
      </w:r>
      <w:r>
        <w:rPr>
          <w:w w:val="105"/>
          <w:sz w:val="16"/>
        </w:rPr>
        <w:t>no</w:t>
      </w:r>
      <w:r>
        <w:rPr>
          <w:spacing w:val="-6"/>
          <w:w w:val="105"/>
          <w:sz w:val="16"/>
        </w:rPr>
        <w:t xml:space="preserve"> </w:t>
      </w:r>
      <w:r>
        <w:rPr>
          <w:w w:val="105"/>
          <w:sz w:val="16"/>
        </w:rPr>
        <w:t>dará</w:t>
      </w:r>
      <w:r>
        <w:rPr>
          <w:spacing w:val="-6"/>
          <w:w w:val="105"/>
          <w:sz w:val="16"/>
        </w:rPr>
        <w:t xml:space="preserve"> </w:t>
      </w:r>
      <w:r>
        <w:rPr>
          <w:w w:val="105"/>
          <w:sz w:val="16"/>
        </w:rPr>
        <w:t>lugar</w:t>
      </w:r>
      <w:r>
        <w:rPr>
          <w:spacing w:val="-6"/>
          <w:w w:val="105"/>
          <w:sz w:val="16"/>
        </w:rPr>
        <w:t xml:space="preserve"> </w:t>
      </w:r>
      <w:r>
        <w:rPr>
          <w:w w:val="105"/>
          <w:sz w:val="16"/>
        </w:rPr>
        <w:t>a</w:t>
      </w:r>
      <w:r>
        <w:rPr>
          <w:spacing w:val="-6"/>
          <w:w w:val="105"/>
          <w:sz w:val="16"/>
        </w:rPr>
        <w:t xml:space="preserve"> </w:t>
      </w:r>
      <w:r>
        <w:rPr>
          <w:w w:val="105"/>
          <w:sz w:val="16"/>
        </w:rPr>
        <w:t>una</w:t>
      </w:r>
      <w:r>
        <w:rPr>
          <w:spacing w:val="-6"/>
          <w:w w:val="105"/>
          <w:sz w:val="16"/>
        </w:rPr>
        <w:t xml:space="preserve"> </w:t>
      </w:r>
      <w:r>
        <w:rPr>
          <w:w w:val="105"/>
          <w:sz w:val="16"/>
        </w:rPr>
        <w:t>conclusión</w:t>
      </w:r>
      <w:r>
        <w:rPr>
          <w:spacing w:val="-6"/>
          <w:w w:val="105"/>
          <w:sz w:val="16"/>
        </w:rPr>
        <w:t xml:space="preserve"> </w:t>
      </w:r>
      <w:r>
        <w:rPr>
          <w:w w:val="105"/>
          <w:sz w:val="16"/>
        </w:rPr>
        <w:t>de</w:t>
      </w:r>
      <w:r>
        <w:rPr>
          <w:spacing w:val="-6"/>
          <w:w w:val="105"/>
          <w:sz w:val="16"/>
        </w:rPr>
        <w:t xml:space="preserve"> </w:t>
      </w:r>
      <w:r>
        <w:rPr>
          <w:w w:val="105"/>
          <w:sz w:val="16"/>
        </w:rPr>
        <w:t>discriminación.</w:t>
      </w:r>
      <w:r>
        <w:rPr>
          <w:spacing w:val="-4"/>
          <w:w w:val="105"/>
          <w:sz w:val="16"/>
        </w:rPr>
        <w:t xml:space="preserve"> </w:t>
      </w:r>
      <w:r>
        <w:rPr>
          <w:w w:val="105"/>
          <w:sz w:val="16"/>
        </w:rPr>
        <w:t>La</w:t>
      </w:r>
      <w:r>
        <w:rPr>
          <w:spacing w:val="-6"/>
          <w:w w:val="105"/>
          <w:sz w:val="16"/>
        </w:rPr>
        <w:t xml:space="preserve"> </w:t>
      </w:r>
      <w:r>
        <w:rPr>
          <w:w w:val="105"/>
          <w:sz w:val="16"/>
        </w:rPr>
        <w:t>discriminación</w:t>
      </w:r>
      <w:r>
        <w:rPr>
          <w:spacing w:val="-6"/>
          <w:w w:val="105"/>
          <w:sz w:val="16"/>
        </w:rPr>
        <w:t xml:space="preserve"> </w:t>
      </w:r>
      <w:r>
        <w:rPr>
          <w:w w:val="105"/>
          <w:sz w:val="16"/>
        </w:rPr>
        <w:t>directa sólo puede justificarse en casos muy excepcionales.</w:t>
      </w:r>
    </w:p>
    <w:p w14:paraId="5D88E7A6" w14:textId="77777777" w:rsidR="0014798C" w:rsidRDefault="0014798C">
      <w:pPr>
        <w:pStyle w:val="Textoindependiente"/>
      </w:pPr>
    </w:p>
    <w:p w14:paraId="682BB0E8" w14:textId="77777777" w:rsidR="0014798C" w:rsidRDefault="0014798C">
      <w:pPr>
        <w:pStyle w:val="Textoindependiente"/>
        <w:spacing w:before="140"/>
      </w:pPr>
    </w:p>
    <w:p w14:paraId="6F2EB0CF" w14:textId="77777777" w:rsidR="0014798C" w:rsidRDefault="004E1F0B">
      <w:pPr>
        <w:pStyle w:val="Textoindependiente"/>
        <w:spacing w:line="326" w:lineRule="auto"/>
        <w:ind w:left="1109" w:right="1210" w:hanging="2"/>
      </w:pPr>
      <w:r>
        <w:rPr>
          <w:w w:val="105"/>
        </w:rPr>
        <w:t>En algunos casos, puede ser necesario y apropiado diferenciar entre grupos o implementar una política o práctica que tenga el</w:t>
      </w:r>
      <w:r>
        <w:rPr>
          <w:spacing w:val="-5"/>
          <w:w w:val="105"/>
        </w:rPr>
        <w:t xml:space="preserve"> </w:t>
      </w:r>
      <w:r>
        <w:rPr>
          <w:w w:val="105"/>
        </w:rPr>
        <w:t>efecto</w:t>
      </w:r>
      <w:r>
        <w:rPr>
          <w:spacing w:val="-5"/>
          <w:w w:val="105"/>
        </w:rPr>
        <w:t xml:space="preserve"> </w:t>
      </w:r>
      <w:r>
        <w:rPr>
          <w:w w:val="105"/>
        </w:rPr>
        <w:t>de</w:t>
      </w:r>
      <w:r>
        <w:rPr>
          <w:spacing w:val="-5"/>
          <w:w w:val="105"/>
        </w:rPr>
        <w:t xml:space="preserve"> </w:t>
      </w:r>
      <w:r>
        <w:rPr>
          <w:w w:val="105"/>
        </w:rPr>
        <w:t>desfavorecer</w:t>
      </w:r>
      <w:r>
        <w:rPr>
          <w:spacing w:val="-5"/>
          <w:w w:val="105"/>
        </w:rPr>
        <w:t xml:space="preserve"> </w:t>
      </w:r>
      <w:r>
        <w:rPr>
          <w:w w:val="105"/>
        </w:rPr>
        <w:t>a</w:t>
      </w:r>
      <w:r>
        <w:rPr>
          <w:spacing w:val="-5"/>
          <w:w w:val="105"/>
        </w:rPr>
        <w:t xml:space="preserve"> </w:t>
      </w:r>
      <w:r>
        <w:rPr>
          <w:w w:val="105"/>
        </w:rPr>
        <w:t>un</w:t>
      </w:r>
      <w:r>
        <w:rPr>
          <w:spacing w:val="-5"/>
          <w:w w:val="105"/>
        </w:rPr>
        <w:t xml:space="preserve"> </w:t>
      </w:r>
      <w:r>
        <w:rPr>
          <w:w w:val="105"/>
        </w:rPr>
        <w:t>grupo</w:t>
      </w:r>
      <w:r>
        <w:rPr>
          <w:spacing w:val="-5"/>
          <w:w w:val="105"/>
        </w:rPr>
        <w:t xml:space="preserve"> </w:t>
      </w:r>
      <w:r>
        <w:rPr>
          <w:w w:val="105"/>
        </w:rPr>
        <w:t>más</w:t>
      </w:r>
      <w:r>
        <w:rPr>
          <w:spacing w:val="-5"/>
          <w:w w:val="105"/>
        </w:rPr>
        <w:t xml:space="preserve"> </w:t>
      </w:r>
      <w:r>
        <w:rPr>
          <w:w w:val="105"/>
        </w:rPr>
        <w:t>que</w:t>
      </w:r>
      <w:r>
        <w:rPr>
          <w:spacing w:val="-5"/>
          <w:w w:val="105"/>
        </w:rPr>
        <w:t xml:space="preserve"> </w:t>
      </w:r>
      <w:r>
        <w:rPr>
          <w:w w:val="105"/>
        </w:rPr>
        <w:t>a</w:t>
      </w:r>
      <w:r>
        <w:rPr>
          <w:spacing w:val="-5"/>
          <w:w w:val="105"/>
        </w:rPr>
        <w:t xml:space="preserve"> </w:t>
      </w:r>
      <w:r>
        <w:rPr>
          <w:w w:val="105"/>
        </w:rPr>
        <w:t>otros.</w:t>
      </w:r>
      <w:r>
        <w:rPr>
          <w:spacing w:val="-4"/>
          <w:w w:val="105"/>
        </w:rPr>
        <w:t xml:space="preserve"> </w:t>
      </w:r>
      <w:r>
        <w:rPr>
          <w:w w:val="105"/>
        </w:rPr>
        <w:t>Como</w:t>
      </w:r>
      <w:r>
        <w:rPr>
          <w:spacing w:val="-5"/>
          <w:w w:val="105"/>
        </w:rPr>
        <w:t xml:space="preserve"> </w:t>
      </w:r>
      <w:r>
        <w:rPr>
          <w:w w:val="105"/>
        </w:rPr>
        <w:t>tal,</w:t>
      </w:r>
      <w:r>
        <w:rPr>
          <w:spacing w:val="-5"/>
          <w:w w:val="105"/>
        </w:rPr>
        <w:t xml:space="preserve"> </w:t>
      </w:r>
      <w:r>
        <w:rPr>
          <w:w w:val="105"/>
        </w:rPr>
        <w:t>el</w:t>
      </w:r>
      <w:r>
        <w:rPr>
          <w:spacing w:val="-5"/>
          <w:w w:val="105"/>
        </w:rPr>
        <w:t xml:space="preserve"> </w:t>
      </w:r>
      <w:r>
        <w:rPr>
          <w:w w:val="105"/>
        </w:rPr>
        <w:t>derecho</w:t>
      </w:r>
      <w:r>
        <w:rPr>
          <w:spacing w:val="-5"/>
          <w:w w:val="105"/>
        </w:rPr>
        <w:t xml:space="preserve"> </w:t>
      </w:r>
      <w:r>
        <w:rPr>
          <w:w w:val="105"/>
        </w:rPr>
        <w:t>internacional</w:t>
      </w:r>
      <w:r>
        <w:rPr>
          <w:spacing w:val="-5"/>
          <w:w w:val="105"/>
        </w:rPr>
        <w:t xml:space="preserve"> </w:t>
      </w:r>
      <w:r>
        <w:rPr>
          <w:w w:val="105"/>
        </w:rPr>
        <w:t>reconoce</w:t>
      </w:r>
      <w:r>
        <w:rPr>
          <w:spacing w:val="-5"/>
          <w:w w:val="105"/>
        </w:rPr>
        <w:t xml:space="preserve"> </w:t>
      </w:r>
      <w:r>
        <w:rPr>
          <w:w w:val="105"/>
        </w:rPr>
        <w:t>el</w:t>
      </w:r>
      <w:r>
        <w:rPr>
          <w:spacing w:val="-5"/>
          <w:w w:val="105"/>
        </w:rPr>
        <w:t xml:space="preserve"> </w:t>
      </w:r>
      <w:r>
        <w:rPr>
          <w:w w:val="105"/>
        </w:rPr>
        <w:t>potencial</w:t>
      </w:r>
      <w:r>
        <w:rPr>
          <w:spacing w:val="-5"/>
          <w:w w:val="105"/>
        </w:rPr>
        <w:t xml:space="preserve"> </w:t>
      </w:r>
      <w:r>
        <w:rPr>
          <w:w w:val="105"/>
        </w:rPr>
        <w:t>de</w:t>
      </w:r>
      <w:r>
        <w:rPr>
          <w:spacing w:val="-5"/>
          <w:w w:val="105"/>
        </w:rPr>
        <w:t xml:space="preserve"> </w:t>
      </w:r>
      <w:r>
        <w:rPr>
          <w:w w:val="105"/>
        </w:rPr>
        <w:t>justificación en casos de discriminación, aunque es notable que el potencial de justificación de una conducta que de otro modo sería discriminatoria varía significativamente según la forma de discriminación y el motivo.</w:t>
      </w:r>
    </w:p>
    <w:p w14:paraId="6D41F10E" w14:textId="77777777" w:rsidR="0014798C" w:rsidRDefault="0014798C">
      <w:pPr>
        <w:pStyle w:val="Textoindependiente"/>
      </w:pPr>
    </w:p>
    <w:p w14:paraId="15C989AB" w14:textId="77777777" w:rsidR="0014798C" w:rsidRDefault="0014798C">
      <w:pPr>
        <w:pStyle w:val="Textoindependiente"/>
        <w:spacing w:before="49"/>
      </w:pPr>
    </w:p>
    <w:p w14:paraId="6FB32808" w14:textId="77777777" w:rsidR="0014798C" w:rsidRDefault="004E1F0B">
      <w:pPr>
        <w:pStyle w:val="Textoindependiente"/>
        <w:spacing w:before="1" w:line="326" w:lineRule="auto"/>
        <w:ind w:left="1107" w:right="1272" w:hanging="4"/>
      </w:pPr>
      <w:r>
        <w:rPr>
          <w:w w:val="105"/>
        </w:rPr>
        <w:t>Si bien ninguno de los tratados fundamentales de derechos humanos de las Naciones Unidas establece una prueba de justificación explícita (con algunas pequeñas divergencias en el enfoque y la redacción, que se detallan más adelante), ha surgido</w:t>
      </w:r>
      <w:r>
        <w:rPr>
          <w:spacing w:val="-1"/>
          <w:w w:val="105"/>
        </w:rPr>
        <w:t xml:space="preserve"> </w:t>
      </w:r>
      <w:r>
        <w:rPr>
          <w:w w:val="105"/>
        </w:rPr>
        <w:t>un</w:t>
      </w:r>
      <w:r>
        <w:rPr>
          <w:spacing w:val="-1"/>
          <w:w w:val="105"/>
        </w:rPr>
        <w:t xml:space="preserve"> </w:t>
      </w:r>
      <w:r>
        <w:rPr>
          <w:w w:val="105"/>
        </w:rPr>
        <w:t>alto</w:t>
      </w:r>
      <w:r>
        <w:rPr>
          <w:spacing w:val="-1"/>
          <w:w w:val="105"/>
        </w:rPr>
        <w:t xml:space="preserve"> </w:t>
      </w:r>
      <w:r>
        <w:rPr>
          <w:w w:val="105"/>
        </w:rPr>
        <w:t>grado</w:t>
      </w:r>
      <w:r>
        <w:rPr>
          <w:spacing w:val="-1"/>
          <w:w w:val="105"/>
        </w:rPr>
        <w:t xml:space="preserve"> </w:t>
      </w:r>
      <w:r>
        <w:rPr>
          <w:w w:val="105"/>
        </w:rPr>
        <w:t>de</w:t>
      </w:r>
      <w:r>
        <w:rPr>
          <w:spacing w:val="-1"/>
          <w:w w:val="105"/>
        </w:rPr>
        <w:t xml:space="preserve"> </w:t>
      </w:r>
      <w:r>
        <w:rPr>
          <w:w w:val="105"/>
        </w:rPr>
        <w:t>consenso</w:t>
      </w:r>
      <w:r>
        <w:rPr>
          <w:spacing w:val="-1"/>
          <w:w w:val="105"/>
        </w:rPr>
        <w:t xml:space="preserve"> </w:t>
      </w:r>
      <w:r>
        <w:rPr>
          <w:w w:val="105"/>
        </w:rPr>
        <w:t>en</w:t>
      </w:r>
      <w:r>
        <w:rPr>
          <w:spacing w:val="-1"/>
          <w:w w:val="105"/>
        </w:rPr>
        <w:t xml:space="preserve"> </w:t>
      </w:r>
      <w:r>
        <w:rPr>
          <w:w w:val="105"/>
        </w:rPr>
        <w:t>esta</w:t>
      </w:r>
      <w:r>
        <w:rPr>
          <w:spacing w:val="-1"/>
          <w:w w:val="105"/>
        </w:rPr>
        <w:t xml:space="preserve"> </w:t>
      </w:r>
      <w:r>
        <w:rPr>
          <w:w w:val="105"/>
        </w:rPr>
        <w:t>área. Que</w:t>
      </w:r>
      <w:r>
        <w:rPr>
          <w:spacing w:val="-1"/>
          <w:w w:val="105"/>
        </w:rPr>
        <w:t xml:space="preserve"> </w:t>
      </w:r>
      <w:r>
        <w:rPr>
          <w:w w:val="105"/>
        </w:rPr>
        <w:t>una</w:t>
      </w:r>
      <w:r>
        <w:rPr>
          <w:spacing w:val="-1"/>
          <w:w w:val="105"/>
        </w:rPr>
        <w:t xml:space="preserve"> </w:t>
      </w:r>
      <w:r>
        <w:rPr>
          <w:w w:val="105"/>
        </w:rPr>
        <w:t>distinción</w:t>
      </w:r>
      <w:r>
        <w:rPr>
          <w:spacing w:val="-1"/>
          <w:w w:val="105"/>
        </w:rPr>
        <w:t xml:space="preserve"> </w:t>
      </w:r>
      <w:r>
        <w:rPr>
          <w:w w:val="105"/>
        </w:rPr>
        <w:t>equivalga</w:t>
      </w:r>
      <w:r>
        <w:rPr>
          <w:spacing w:val="-1"/>
          <w:w w:val="105"/>
        </w:rPr>
        <w:t xml:space="preserve"> </w:t>
      </w:r>
      <w:r>
        <w:rPr>
          <w:w w:val="105"/>
        </w:rPr>
        <w:t>a</w:t>
      </w:r>
      <w:r>
        <w:rPr>
          <w:spacing w:val="-1"/>
          <w:w w:val="105"/>
        </w:rPr>
        <w:t xml:space="preserve"> </w:t>
      </w:r>
      <w:r>
        <w:rPr>
          <w:w w:val="105"/>
        </w:rPr>
        <w:t>discriminación</w:t>
      </w:r>
      <w:r>
        <w:rPr>
          <w:spacing w:val="-1"/>
          <w:w w:val="105"/>
        </w:rPr>
        <w:t xml:space="preserve"> </w:t>
      </w:r>
      <w:r>
        <w:rPr>
          <w:w w:val="105"/>
        </w:rPr>
        <w:t>dependerá</w:t>
      </w:r>
      <w:r>
        <w:rPr>
          <w:spacing w:val="-1"/>
          <w:w w:val="105"/>
        </w:rPr>
        <w:t xml:space="preserve"> </w:t>
      </w:r>
      <w:r>
        <w:rPr>
          <w:w w:val="105"/>
        </w:rPr>
        <w:t>de</w:t>
      </w:r>
      <w:r>
        <w:rPr>
          <w:spacing w:val="-1"/>
          <w:w w:val="105"/>
        </w:rPr>
        <w:t xml:space="preserve"> </w:t>
      </w:r>
      <w:r>
        <w:rPr>
          <w:w w:val="105"/>
        </w:rPr>
        <w:t>si</w:t>
      </w:r>
      <w:r>
        <w:rPr>
          <w:spacing w:val="-1"/>
          <w:w w:val="105"/>
        </w:rPr>
        <w:t xml:space="preserve"> </w:t>
      </w:r>
      <w:r>
        <w:rPr>
          <w:w w:val="105"/>
        </w:rPr>
        <w:t>persigue</w:t>
      </w:r>
      <w:r>
        <w:rPr>
          <w:spacing w:val="-1"/>
          <w:w w:val="105"/>
        </w:rPr>
        <w:t xml:space="preserve"> </w:t>
      </w:r>
      <w:r>
        <w:rPr>
          <w:w w:val="105"/>
        </w:rPr>
        <w:t>un objetivo</w:t>
      </w:r>
      <w:r>
        <w:rPr>
          <w:spacing w:val="-3"/>
          <w:w w:val="105"/>
        </w:rPr>
        <w:t xml:space="preserve"> </w:t>
      </w:r>
      <w:r>
        <w:rPr>
          <w:w w:val="105"/>
        </w:rPr>
        <w:t>legítimo</w:t>
      </w:r>
      <w:r>
        <w:rPr>
          <w:spacing w:val="-3"/>
          <w:w w:val="105"/>
        </w:rPr>
        <w:t xml:space="preserve"> </w:t>
      </w:r>
      <w:r>
        <w:rPr>
          <w:w w:val="105"/>
        </w:rPr>
        <w:t>y</w:t>
      </w:r>
      <w:r>
        <w:rPr>
          <w:spacing w:val="-3"/>
          <w:w w:val="105"/>
        </w:rPr>
        <w:t xml:space="preserve"> </w:t>
      </w:r>
      <w:r>
        <w:rPr>
          <w:w w:val="105"/>
        </w:rPr>
        <w:t>puede</w:t>
      </w:r>
      <w:r>
        <w:rPr>
          <w:spacing w:val="-3"/>
          <w:w w:val="105"/>
        </w:rPr>
        <w:t xml:space="preserve"> </w:t>
      </w:r>
      <w:r>
        <w:rPr>
          <w:w w:val="105"/>
        </w:rPr>
        <w:t>justificarse</w:t>
      </w:r>
      <w:r>
        <w:rPr>
          <w:spacing w:val="-3"/>
          <w:w w:val="105"/>
        </w:rPr>
        <w:t xml:space="preserve"> </w:t>
      </w:r>
      <w:r>
        <w:rPr>
          <w:w w:val="105"/>
        </w:rPr>
        <w:t>con</w:t>
      </w:r>
      <w:r>
        <w:rPr>
          <w:spacing w:val="-3"/>
          <w:w w:val="105"/>
        </w:rPr>
        <w:t xml:space="preserve"> </w:t>
      </w:r>
      <w:r>
        <w:rPr>
          <w:w w:val="105"/>
        </w:rPr>
        <w:t>referencia</w:t>
      </w:r>
      <w:r>
        <w:rPr>
          <w:spacing w:val="-3"/>
          <w:w w:val="105"/>
        </w:rPr>
        <w:t xml:space="preserve"> </w:t>
      </w:r>
      <w:r>
        <w:rPr>
          <w:w w:val="105"/>
        </w:rPr>
        <w:t>a</w:t>
      </w:r>
      <w:r>
        <w:rPr>
          <w:spacing w:val="-3"/>
          <w:w w:val="105"/>
        </w:rPr>
        <w:t xml:space="preserve"> </w:t>
      </w:r>
      <w:r>
        <w:rPr>
          <w:w w:val="105"/>
        </w:rPr>
        <w:t>criterios</w:t>
      </w:r>
      <w:r>
        <w:rPr>
          <w:spacing w:val="-3"/>
          <w:w w:val="105"/>
        </w:rPr>
        <w:t xml:space="preserve"> </w:t>
      </w:r>
      <w:r>
        <w:rPr>
          <w:w w:val="105"/>
        </w:rPr>
        <w:t>razonables</w:t>
      </w:r>
      <w:r>
        <w:rPr>
          <w:spacing w:val="-3"/>
          <w:w w:val="105"/>
        </w:rPr>
        <w:t xml:space="preserve"> </w:t>
      </w:r>
      <w:r>
        <w:rPr>
          <w:w w:val="105"/>
        </w:rPr>
        <w:t>y</w:t>
      </w:r>
      <w:r>
        <w:rPr>
          <w:spacing w:val="-3"/>
          <w:w w:val="105"/>
        </w:rPr>
        <w:t xml:space="preserve"> </w:t>
      </w:r>
      <w:r>
        <w:rPr>
          <w:w w:val="105"/>
        </w:rPr>
        <w:t>objetivos.</w:t>
      </w:r>
      <w:r>
        <w:rPr>
          <w:spacing w:val="-2"/>
          <w:w w:val="105"/>
        </w:rPr>
        <w:t xml:space="preserve"> </w:t>
      </w:r>
      <w:r>
        <w:rPr>
          <w:w w:val="105"/>
        </w:rPr>
        <w:t>Esto,</w:t>
      </w:r>
      <w:r>
        <w:rPr>
          <w:spacing w:val="-3"/>
          <w:w w:val="105"/>
        </w:rPr>
        <w:t xml:space="preserve"> </w:t>
      </w:r>
      <w:r>
        <w:rPr>
          <w:w w:val="105"/>
        </w:rPr>
        <w:t>a</w:t>
      </w:r>
      <w:r>
        <w:rPr>
          <w:spacing w:val="-3"/>
          <w:w w:val="105"/>
        </w:rPr>
        <w:t xml:space="preserve"> </w:t>
      </w:r>
      <w:r>
        <w:rPr>
          <w:w w:val="105"/>
        </w:rPr>
        <w:t>su</w:t>
      </w:r>
      <w:r>
        <w:rPr>
          <w:spacing w:val="-3"/>
          <w:w w:val="105"/>
        </w:rPr>
        <w:t xml:space="preserve"> </w:t>
      </w:r>
      <w:r>
        <w:rPr>
          <w:w w:val="105"/>
        </w:rPr>
        <w:t>vez,</w:t>
      </w:r>
      <w:r>
        <w:rPr>
          <w:spacing w:val="-2"/>
          <w:w w:val="105"/>
        </w:rPr>
        <w:t xml:space="preserve"> </w:t>
      </w:r>
      <w:r>
        <w:rPr>
          <w:w w:val="105"/>
        </w:rPr>
        <w:t>requiere</w:t>
      </w:r>
      <w:r>
        <w:rPr>
          <w:spacing w:val="-3"/>
          <w:w w:val="105"/>
        </w:rPr>
        <w:t xml:space="preserve"> </w:t>
      </w:r>
      <w:r>
        <w:rPr>
          <w:w w:val="105"/>
        </w:rPr>
        <w:t>una</w:t>
      </w:r>
      <w:r>
        <w:rPr>
          <w:spacing w:val="-3"/>
          <w:w w:val="105"/>
        </w:rPr>
        <w:t xml:space="preserve"> </w:t>
      </w:r>
      <w:r>
        <w:rPr>
          <w:w w:val="105"/>
        </w:rPr>
        <w:t>evaluación de</w:t>
      </w:r>
      <w:r>
        <w:rPr>
          <w:spacing w:val="-6"/>
          <w:w w:val="105"/>
        </w:rPr>
        <w:t xml:space="preserve"> </w:t>
      </w:r>
      <w:r>
        <w:rPr>
          <w:w w:val="105"/>
        </w:rPr>
        <w:t>la</w:t>
      </w:r>
      <w:r>
        <w:rPr>
          <w:spacing w:val="-6"/>
          <w:w w:val="105"/>
        </w:rPr>
        <w:t xml:space="preserve"> </w:t>
      </w:r>
      <w:r>
        <w:rPr>
          <w:w w:val="105"/>
        </w:rPr>
        <w:t>proporcionalidad</w:t>
      </w:r>
      <w:r>
        <w:rPr>
          <w:spacing w:val="-6"/>
          <w:w w:val="105"/>
        </w:rPr>
        <w:t xml:space="preserve"> </w:t>
      </w:r>
      <w:r>
        <w:rPr>
          <w:w w:val="105"/>
        </w:rPr>
        <w:t>de</w:t>
      </w:r>
      <w:r>
        <w:rPr>
          <w:spacing w:val="-6"/>
          <w:w w:val="105"/>
        </w:rPr>
        <w:t xml:space="preserve"> </w:t>
      </w:r>
      <w:r>
        <w:rPr>
          <w:w w:val="105"/>
        </w:rPr>
        <w:t>una</w:t>
      </w:r>
      <w:r>
        <w:rPr>
          <w:spacing w:val="-6"/>
          <w:w w:val="105"/>
        </w:rPr>
        <w:t xml:space="preserve"> </w:t>
      </w:r>
      <w:r>
        <w:rPr>
          <w:w w:val="105"/>
        </w:rPr>
        <w:t>medida</w:t>
      </w:r>
      <w:r>
        <w:rPr>
          <w:spacing w:val="-6"/>
          <w:w w:val="105"/>
        </w:rPr>
        <w:t xml:space="preserve"> </w:t>
      </w:r>
      <w:r>
        <w:rPr>
          <w:w w:val="105"/>
        </w:rPr>
        <w:t>o</w:t>
      </w:r>
      <w:r>
        <w:rPr>
          <w:spacing w:val="-6"/>
          <w:w w:val="105"/>
        </w:rPr>
        <w:t xml:space="preserve"> </w:t>
      </w:r>
      <w:r>
        <w:rPr>
          <w:w w:val="105"/>
        </w:rPr>
        <w:t>práctica</w:t>
      </w:r>
      <w:r>
        <w:rPr>
          <w:spacing w:val="-6"/>
          <w:w w:val="105"/>
        </w:rPr>
        <w:t xml:space="preserve"> </w:t>
      </w:r>
      <w:r>
        <w:rPr>
          <w:w w:val="105"/>
        </w:rPr>
        <w:t>adoptada.</w:t>
      </w:r>
      <w:r>
        <w:rPr>
          <w:spacing w:val="-5"/>
          <w:w w:val="105"/>
        </w:rPr>
        <w:t xml:space="preserve"> </w:t>
      </w:r>
      <w:r>
        <w:rPr>
          <w:w w:val="105"/>
        </w:rPr>
        <w:t>Como</w:t>
      </w:r>
      <w:r>
        <w:rPr>
          <w:spacing w:val="-6"/>
          <w:w w:val="105"/>
        </w:rPr>
        <w:t xml:space="preserve"> </w:t>
      </w:r>
      <w:r>
        <w:rPr>
          <w:w w:val="105"/>
        </w:rPr>
        <w:t>se</w:t>
      </w:r>
      <w:r>
        <w:rPr>
          <w:spacing w:val="-6"/>
          <w:w w:val="105"/>
        </w:rPr>
        <w:t xml:space="preserve"> </w:t>
      </w:r>
      <w:r>
        <w:rPr>
          <w:w w:val="105"/>
        </w:rPr>
        <w:t>señala</w:t>
      </w:r>
      <w:r>
        <w:rPr>
          <w:spacing w:val="-6"/>
          <w:w w:val="105"/>
        </w:rPr>
        <w:t xml:space="preserve"> </w:t>
      </w:r>
      <w:r>
        <w:rPr>
          <w:w w:val="105"/>
        </w:rPr>
        <w:t>a</w:t>
      </w:r>
      <w:r>
        <w:rPr>
          <w:spacing w:val="-6"/>
          <w:w w:val="105"/>
        </w:rPr>
        <w:t xml:space="preserve"> </w:t>
      </w:r>
      <w:r>
        <w:rPr>
          <w:w w:val="105"/>
        </w:rPr>
        <w:t>continuación,</w:t>
      </w:r>
      <w:r>
        <w:rPr>
          <w:spacing w:val="-4"/>
          <w:w w:val="105"/>
        </w:rPr>
        <w:t xml:space="preserve"> </w:t>
      </w:r>
      <w:r>
        <w:rPr>
          <w:w w:val="105"/>
        </w:rPr>
        <w:t>esta</w:t>
      </w:r>
      <w:r>
        <w:rPr>
          <w:spacing w:val="-6"/>
          <w:w w:val="105"/>
        </w:rPr>
        <w:t xml:space="preserve"> </w:t>
      </w:r>
      <w:r>
        <w:rPr>
          <w:w w:val="105"/>
        </w:rPr>
        <w:t>prueba</w:t>
      </w:r>
      <w:r>
        <w:rPr>
          <w:spacing w:val="-6"/>
          <w:w w:val="105"/>
        </w:rPr>
        <w:t xml:space="preserve"> </w:t>
      </w:r>
      <w:r>
        <w:rPr>
          <w:w w:val="105"/>
        </w:rPr>
        <w:t>de</w:t>
      </w:r>
      <w:r>
        <w:rPr>
          <w:spacing w:val="-6"/>
          <w:w w:val="105"/>
        </w:rPr>
        <w:t xml:space="preserve"> </w:t>
      </w:r>
      <w:r>
        <w:rPr>
          <w:w w:val="105"/>
        </w:rPr>
        <w:t>justificación</w:t>
      </w:r>
      <w:r>
        <w:rPr>
          <w:spacing w:val="-6"/>
          <w:w w:val="105"/>
        </w:rPr>
        <w:t xml:space="preserve"> </w:t>
      </w:r>
      <w:r>
        <w:rPr>
          <w:w w:val="105"/>
        </w:rPr>
        <w:t>opera de</w:t>
      </w:r>
      <w:r>
        <w:rPr>
          <w:spacing w:val="-1"/>
          <w:w w:val="105"/>
        </w:rPr>
        <w:t xml:space="preserve"> </w:t>
      </w:r>
      <w:r>
        <w:rPr>
          <w:w w:val="105"/>
        </w:rPr>
        <w:t>manera</w:t>
      </w:r>
      <w:r>
        <w:rPr>
          <w:spacing w:val="-1"/>
          <w:w w:val="105"/>
        </w:rPr>
        <w:t xml:space="preserve"> </w:t>
      </w:r>
      <w:r>
        <w:rPr>
          <w:w w:val="105"/>
        </w:rPr>
        <w:t>diferente</w:t>
      </w:r>
      <w:r>
        <w:rPr>
          <w:spacing w:val="-1"/>
          <w:w w:val="105"/>
        </w:rPr>
        <w:t xml:space="preserve"> </w:t>
      </w:r>
      <w:r>
        <w:rPr>
          <w:w w:val="105"/>
        </w:rPr>
        <w:t>con</w:t>
      </w:r>
      <w:r>
        <w:rPr>
          <w:spacing w:val="-1"/>
          <w:w w:val="105"/>
        </w:rPr>
        <w:t xml:space="preserve"> </w:t>
      </w:r>
      <w:r>
        <w:rPr>
          <w:w w:val="105"/>
        </w:rPr>
        <w:t>respecto</w:t>
      </w:r>
      <w:r>
        <w:rPr>
          <w:spacing w:val="-1"/>
          <w:w w:val="105"/>
        </w:rPr>
        <w:t xml:space="preserve"> </w:t>
      </w:r>
      <w:r>
        <w:rPr>
          <w:w w:val="105"/>
        </w:rPr>
        <w:t>a</w:t>
      </w:r>
      <w:r>
        <w:rPr>
          <w:spacing w:val="-1"/>
          <w:w w:val="105"/>
        </w:rPr>
        <w:t xml:space="preserve"> </w:t>
      </w:r>
      <w:r>
        <w:rPr>
          <w:w w:val="105"/>
        </w:rPr>
        <w:t>la</w:t>
      </w:r>
      <w:r>
        <w:rPr>
          <w:spacing w:val="-1"/>
          <w:w w:val="105"/>
        </w:rPr>
        <w:t xml:space="preserve"> </w:t>
      </w:r>
      <w:r>
        <w:rPr>
          <w:w w:val="105"/>
        </w:rPr>
        <w:t>discriminación</w:t>
      </w:r>
      <w:r>
        <w:rPr>
          <w:spacing w:val="-1"/>
          <w:w w:val="105"/>
        </w:rPr>
        <w:t xml:space="preserve"> </w:t>
      </w:r>
      <w:r>
        <w:rPr>
          <w:w w:val="105"/>
        </w:rPr>
        <w:t>directa</w:t>
      </w:r>
      <w:r>
        <w:rPr>
          <w:spacing w:val="-1"/>
          <w:w w:val="105"/>
        </w:rPr>
        <w:t xml:space="preserve"> </w:t>
      </w:r>
      <w:r>
        <w:rPr>
          <w:w w:val="105"/>
        </w:rPr>
        <w:t>o</w:t>
      </w:r>
      <w:r>
        <w:rPr>
          <w:spacing w:val="-1"/>
          <w:w w:val="105"/>
        </w:rPr>
        <w:t xml:space="preserve"> </w:t>
      </w:r>
      <w:r>
        <w:rPr>
          <w:w w:val="105"/>
        </w:rPr>
        <w:t>indirecta</w:t>
      </w:r>
      <w:r>
        <w:rPr>
          <w:spacing w:val="-1"/>
          <w:w w:val="105"/>
        </w:rPr>
        <w:t xml:space="preserve"> </w:t>
      </w:r>
      <w:r>
        <w:rPr>
          <w:w w:val="105"/>
        </w:rPr>
        <w:t>y</w:t>
      </w:r>
      <w:r>
        <w:rPr>
          <w:spacing w:val="-1"/>
          <w:w w:val="105"/>
        </w:rPr>
        <w:t xml:space="preserve"> </w:t>
      </w:r>
      <w:r>
        <w:rPr>
          <w:w w:val="105"/>
        </w:rPr>
        <w:t>no</w:t>
      </w:r>
      <w:r>
        <w:rPr>
          <w:spacing w:val="-1"/>
          <w:w w:val="105"/>
        </w:rPr>
        <w:t xml:space="preserve"> </w:t>
      </w:r>
      <w:r>
        <w:rPr>
          <w:w w:val="105"/>
        </w:rPr>
        <w:t>es</w:t>
      </w:r>
      <w:r>
        <w:rPr>
          <w:spacing w:val="-1"/>
          <w:w w:val="105"/>
        </w:rPr>
        <w:t xml:space="preserve"> </w:t>
      </w:r>
      <w:r>
        <w:rPr>
          <w:w w:val="105"/>
        </w:rPr>
        <w:t>aplicable</w:t>
      </w:r>
      <w:r>
        <w:rPr>
          <w:spacing w:val="-1"/>
          <w:w w:val="105"/>
        </w:rPr>
        <w:t xml:space="preserve"> </w:t>
      </w:r>
      <w:r>
        <w:rPr>
          <w:w w:val="105"/>
        </w:rPr>
        <w:t>en</w:t>
      </w:r>
      <w:r>
        <w:rPr>
          <w:spacing w:val="-1"/>
          <w:w w:val="105"/>
        </w:rPr>
        <w:t xml:space="preserve"> </w:t>
      </w:r>
      <w:r>
        <w:rPr>
          <w:w w:val="105"/>
        </w:rPr>
        <w:t>casos</w:t>
      </w:r>
      <w:r>
        <w:rPr>
          <w:spacing w:val="-1"/>
          <w:w w:val="105"/>
        </w:rPr>
        <w:t xml:space="preserve"> </w:t>
      </w:r>
      <w:r>
        <w:rPr>
          <w:w w:val="105"/>
        </w:rPr>
        <w:t>de</w:t>
      </w:r>
      <w:r>
        <w:rPr>
          <w:spacing w:val="-1"/>
          <w:w w:val="105"/>
        </w:rPr>
        <w:t xml:space="preserve"> </w:t>
      </w:r>
      <w:r>
        <w:rPr>
          <w:w w:val="105"/>
        </w:rPr>
        <w:t>acoso</w:t>
      </w:r>
      <w:r>
        <w:rPr>
          <w:spacing w:val="-1"/>
          <w:w w:val="105"/>
        </w:rPr>
        <w:t xml:space="preserve"> </w:t>
      </w:r>
      <w:r>
        <w:rPr>
          <w:w w:val="105"/>
        </w:rPr>
        <w:t>o</w:t>
      </w:r>
      <w:r>
        <w:rPr>
          <w:spacing w:val="-1"/>
          <w:w w:val="105"/>
        </w:rPr>
        <w:t xml:space="preserve"> </w:t>
      </w:r>
      <w:r>
        <w:rPr>
          <w:w w:val="105"/>
        </w:rPr>
        <w:t>victimización.</w:t>
      </w:r>
    </w:p>
    <w:p w14:paraId="47139C9D" w14:textId="77777777" w:rsidR="0014798C" w:rsidRDefault="0014798C">
      <w:pPr>
        <w:pStyle w:val="Textoindependiente"/>
        <w:spacing w:before="88"/>
        <w:rPr>
          <w:sz w:val="20"/>
        </w:rPr>
      </w:pPr>
    </w:p>
    <w:p w14:paraId="566C077A" w14:textId="77777777" w:rsidR="0014798C" w:rsidRDefault="0014798C">
      <w:pPr>
        <w:rPr>
          <w:sz w:val="20"/>
        </w:rPr>
        <w:sectPr w:rsidR="0014798C" w:rsidSect="00F265E4">
          <w:pgSz w:w="11900" w:h="16820"/>
          <w:pgMar w:top="340" w:right="0" w:bottom="280" w:left="200" w:header="121" w:footer="0" w:gutter="0"/>
          <w:cols w:space="720"/>
        </w:sectPr>
      </w:pPr>
    </w:p>
    <w:p w14:paraId="0967C85D" w14:textId="77777777" w:rsidR="0014798C" w:rsidRDefault="0014798C">
      <w:pPr>
        <w:pStyle w:val="Textoindependiente"/>
        <w:spacing w:before="10"/>
        <w:rPr>
          <w:sz w:val="8"/>
        </w:rPr>
      </w:pPr>
    </w:p>
    <w:p w14:paraId="6D7E409E" w14:textId="77777777" w:rsidR="0014798C" w:rsidRDefault="004E1F0B">
      <w:pPr>
        <w:jc w:val="right"/>
        <w:rPr>
          <w:sz w:val="8"/>
        </w:rPr>
      </w:pPr>
      <w:r>
        <w:rPr>
          <w:spacing w:val="-5"/>
          <w:w w:val="105"/>
          <w:sz w:val="8"/>
        </w:rPr>
        <w:t>379</w:t>
      </w:r>
    </w:p>
    <w:p w14:paraId="1F81ED61" w14:textId="77777777" w:rsidR="0014798C" w:rsidRDefault="004E1F0B">
      <w:pPr>
        <w:spacing w:before="112"/>
        <w:ind w:left="78"/>
        <w:rPr>
          <w:sz w:val="12"/>
        </w:rPr>
      </w:pPr>
      <w:r>
        <w:br w:type="column"/>
      </w:r>
      <w:r>
        <w:rPr>
          <w:w w:val="105"/>
          <w:sz w:val="12"/>
        </w:rPr>
        <w:t>Tribunal</w:t>
      </w:r>
      <w:r>
        <w:rPr>
          <w:spacing w:val="-8"/>
          <w:w w:val="105"/>
          <w:sz w:val="12"/>
        </w:rPr>
        <w:t xml:space="preserve"> </w:t>
      </w:r>
      <w:r>
        <w:rPr>
          <w:w w:val="105"/>
          <w:sz w:val="12"/>
        </w:rPr>
        <w:t>Europeo</w:t>
      </w:r>
      <w:r>
        <w:rPr>
          <w:spacing w:val="-8"/>
          <w:w w:val="105"/>
          <w:sz w:val="12"/>
        </w:rPr>
        <w:t xml:space="preserve"> </w:t>
      </w:r>
      <w:r>
        <w:rPr>
          <w:w w:val="105"/>
          <w:sz w:val="12"/>
        </w:rPr>
        <w:t>de</w:t>
      </w:r>
      <w:r>
        <w:rPr>
          <w:spacing w:val="-7"/>
          <w:w w:val="105"/>
          <w:sz w:val="12"/>
        </w:rPr>
        <w:t xml:space="preserve"> </w:t>
      </w:r>
      <w:r>
        <w:rPr>
          <w:w w:val="105"/>
          <w:sz w:val="12"/>
        </w:rPr>
        <w:t>Derechos</w:t>
      </w:r>
      <w:r>
        <w:rPr>
          <w:spacing w:val="-8"/>
          <w:w w:val="105"/>
          <w:sz w:val="12"/>
        </w:rPr>
        <w:t xml:space="preserve"> </w:t>
      </w:r>
      <w:r>
        <w:rPr>
          <w:w w:val="105"/>
          <w:sz w:val="12"/>
        </w:rPr>
        <w:t>Humanos,</w:t>
      </w:r>
      <w:r>
        <w:rPr>
          <w:spacing w:val="-7"/>
          <w:w w:val="105"/>
          <w:sz w:val="12"/>
        </w:rPr>
        <w:t xml:space="preserve"> </w:t>
      </w:r>
      <w:r>
        <w:rPr>
          <w:w w:val="105"/>
          <w:sz w:val="12"/>
        </w:rPr>
        <w:t>Carson</w:t>
      </w:r>
      <w:r>
        <w:rPr>
          <w:spacing w:val="-8"/>
          <w:w w:val="105"/>
          <w:sz w:val="12"/>
        </w:rPr>
        <w:t xml:space="preserve"> </w:t>
      </w:r>
      <w:r>
        <w:rPr>
          <w:w w:val="105"/>
          <w:sz w:val="12"/>
        </w:rPr>
        <w:t>y</w:t>
      </w:r>
      <w:r>
        <w:rPr>
          <w:spacing w:val="-8"/>
          <w:w w:val="105"/>
          <w:sz w:val="12"/>
        </w:rPr>
        <w:t xml:space="preserve"> </w:t>
      </w:r>
      <w:r>
        <w:rPr>
          <w:w w:val="105"/>
          <w:sz w:val="12"/>
        </w:rPr>
        <w:t>otros</w:t>
      </w:r>
      <w:r>
        <w:rPr>
          <w:spacing w:val="-7"/>
          <w:w w:val="105"/>
          <w:sz w:val="12"/>
        </w:rPr>
        <w:t xml:space="preserve"> </w:t>
      </w:r>
      <w:r>
        <w:rPr>
          <w:w w:val="105"/>
          <w:sz w:val="12"/>
        </w:rPr>
        <w:t>contra</w:t>
      </w:r>
      <w:r>
        <w:rPr>
          <w:spacing w:val="-8"/>
          <w:w w:val="105"/>
          <w:sz w:val="12"/>
        </w:rPr>
        <w:t xml:space="preserve"> </w:t>
      </w:r>
      <w:r>
        <w:rPr>
          <w:w w:val="105"/>
          <w:sz w:val="12"/>
        </w:rPr>
        <w:t>el</w:t>
      </w:r>
      <w:r>
        <w:rPr>
          <w:spacing w:val="-7"/>
          <w:w w:val="105"/>
          <w:sz w:val="12"/>
        </w:rPr>
        <w:t xml:space="preserve"> </w:t>
      </w:r>
      <w:r>
        <w:rPr>
          <w:w w:val="105"/>
          <w:sz w:val="12"/>
        </w:rPr>
        <w:t>Reino</w:t>
      </w:r>
      <w:r>
        <w:rPr>
          <w:spacing w:val="-8"/>
          <w:w w:val="105"/>
          <w:sz w:val="12"/>
        </w:rPr>
        <w:t xml:space="preserve"> </w:t>
      </w:r>
      <w:r>
        <w:rPr>
          <w:w w:val="105"/>
          <w:sz w:val="12"/>
        </w:rPr>
        <w:t>Unido,</w:t>
      </w:r>
      <w:r>
        <w:rPr>
          <w:spacing w:val="-7"/>
          <w:w w:val="105"/>
          <w:sz w:val="12"/>
        </w:rPr>
        <w:t xml:space="preserve"> </w:t>
      </w:r>
      <w:r>
        <w:rPr>
          <w:w w:val="105"/>
          <w:sz w:val="12"/>
        </w:rPr>
        <w:t>Solicitud</w:t>
      </w:r>
      <w:r>
        <w:rPr>
          <w:spacing w:val="-8"/>
          <w:w w:val="105"/>
          <w:sz w:val="12"/>
        </w:rPr>
        <w:t xml:space="preserve"> </w:t>
      </w:r>
      <w:r>
        <w:rPr>
          <w:w w:val="105"/>
          <w:sz w:val="12"/>
        </w:rPr>
        <w:t>No.</w:t>
      </w:r>
      <w:r>
        <w:rPr>
          <w:spacing w:val="-8"/>
          <w:w w:val="105"/>
          <w:sz w:val="12"/>
        </w:rPr>
        <w:t xml:space="preserve"> </w:t>
      </w:r>
      <w:r>
        <w:rPr>
          <w:w w:val="105"/>
          <w:sz w:val="12"/>
        </w:rPr>
        <w:t>42184/05,</w:t>
      </w:r>
      <w:r>
        <w:rPr>
          <w:spacing w:val="-7"/>
          <w:w w:val="105"/>
          <w:sz w:val="12"/>
        </w:rPr>
        <w:t xml:space="preserve"> </w:t>
      </w:r>
      <w:r>
        <w:rPr>
          <w:w w:val="105"/>
          <w:sz w:val="12"/>
        </w:rPr>
        <w:t>Sentencia,</w:t>
      </w:r>
      <w:r>
        <w:rPr>
          <w:spacing w:val="-8"/>
          <w:w w:val="105"/>
          <w:sz w:val="12"/>
        </w:rPr>
        <w:t xml:space="preserve"> </w:t>
      </w:r>
      <w:r>
        <w:rPr>
          <w:w w:val="105"/>
          <w:sz w:val="12"/>
        </w:rPr>
        <w:t>16</w:t>
      </w:r>
      <w:r>
        <w:rPr>
          <w:spacing w:val="-7"/>
          <w:w w:val="105"/>
          <w:sz w:val="12"/>
        </w:rPr>
        <w:t xml:space="preserve"> </w:t>
      </w:r>
      <w:r>
        <w:rPr>
          <w:w w:val="105"/>
          <w:sz w:val="12"/>
        </w:rPr>
        <w:t>de</w:t>
      </w:r>
      <w:r>
        <w:rPr>
          <w:spacing w:val="-8"/>
          <w:w w:val="105"/>
          <w:sz w:val="12"/>
        </w:rPr>
        <w:t xml:space="preserve"> </w:t>
      </w:r>
      <w:r>
        <w:rPr>
          <w:w w:val="105"/>
          <w:sz w:val="12"/>
        </w:rPr>
        <w:t>marzo</w:t>
      </w:r>
      <w:r>
        <w:rPr>
          <w:spacing w:val="-7"/>
          <w:w w:val="105"/>
          <w:sz w:val="12"/>
        </w:rPr>
        <w:t xml:space="preserve"> </w:t>
      </w:r>
      <w:r>
        <w:rPr>
          <w:w w:val="105"/>
          <w:sz w:val="12"/>
        </w:rPr>
        <w:t>de</w:t>
      </w:r>
      <w:r>
        <w:rPr>
          <w:spacing w:val="-8"/>
          <w:w w:val="105"/>
          <w:sz w:val="12"/>
        </w:rPr>
        <w:t xml:space="preserve"> </w:t>
      </w:r>
      <w:r>
        <w:rPr>
          <w:w w:val="105"/>
          <w:sz w:val="12"/>
        </w:rPr>
        <w:t>2010,</w:t>
      </w:r>
      <w:r>
        <w:rPr>
          <w:spacing w:val="-8"/>
          <w:w w:val="105"/>
          <w:sz w:val="12"/>
        </w:rPr>
        <w:t xml:space="preserve"> </w:t>
      </w:r>
      <w:r>
        <w:rPr>
          <w:w w:val="105"/>
          <w:sz w:val="12"/>
        </w:rPr>
        <w:t>párr.</w:t>
      </w:r>
      <w:r>
        <w:rPr>
          <w:spacing w:val="-7"/>
          <w:w w:val="105"/>
          <w:sz w:val="12"/>
        </w:rPr>
        <w:t xml:space="preserve"> </w:t>
      </w:r>
      <w:r>
        <w:rPr>
          <w:spacing w:val="-5"/>
          <w:w w:val="105"/>
          <w:sz w:val="12"/>
        </w:rPr>
        <w:t>63.</w:t>
      </w:r>
    </w:p>
    <w:p w14:paraId="567C5F01" w14:textId="77777777" w:rsidR="0014798C" w:rsidRDefault="0014798C">
      <w:pPr>
        <w:rPr>
          <w:sz w:val="12"/>
        </w:rPr>
        <w:sectPr w:rsidR="0014798C" w:rsidSect="00F265E4">
          <w:type w:val="continuous"/>
          <w:pgSz w:w="11900" w:h="16820"/>
          <w:pgMar w:top="40" w:right="0" w:bottom="280" w:left="200" w:header="121" w:footer="0" w:gutter="0"/>
          <w:cols w:num="2" w:space="720" w:equalWidth="0">
            <w:col w:w="1250" w:space="40"/>
            <w:col w:w="10410"/>
          </w:cols>
        </w:sectPr>
      </w:pPr>
    </w:p>
    <w:p w14:paraId="7C558F1D" w14:textId="77777777" w:rsidR="0014798C" w:rsidRDefault="0014798C">
      <w:pPr>
        <w:pStyle w:val="Textoindependiente"/>
        <w:spacing w:before="6"/>
        <w:rPr>
          <w:sz w:val="14"/>
        </w:rPr>
      </w:pPr>
    </w:p>
    <w:p w14:paraId="79603EFF" w14:textId="77777777" w:rsidR="0014798C" w:rsidRDefault="0014798C">
      <w:pPr>
        <w:rPr>
          <w:sz w:val="14"/>
        </w:rPr>
        <w:sectPr w:rsidR="0014798C" w:rsidSect="00F265E4">
          <w:type w:val="continuous"/>
          <w:pgSz w:w="11900" w:h="16820"/>
          <w:pgMar w:top="40" w:right="0" w:bottom="280" w:left="200" w:header="121" w:footer="0" w:gutter="0"/>
          <w:cols w:space="720"/>
        </w:sectPr>
      </w:pPr>
    </w:p>
    <w:p w14:paraId="7C5DB964" w14:textId="77777777" w:rsidR="0014798C" w:rsidRDefault="0014798C">
      <w:pPr>
        <w:pStyle w:val="Textoindependiente"/>
        <w:spacing w:before="9"/>
        <w:rPr>
          <w:sz w:val="8"/>
        </w:rPr>
      </w:pPr>
    </w:p>
    <w:p w14:paraId="329E1BCD" w14:textId="77777777" w:rsidR="0014798C" w:rsidRDefault="004E1F0B">
      <w:pPr>
        <w:jc w:val="right"/>
        <w:rPr>
          <w:sz w:val="8"/>
        </w:rPr>
      </w:pPr>
      <w:r>
        <w:rPr>
          <w:spacing w:val="-5"/>
          <w:w w:val="105"/>
          <w:sz w:val="8"/>
        </w:rPr>
        <w:t>380</w:t>
      </w:r>
    </w:p>
    <w:p w14:paraId="769D65A8" w14:textId="77777777" w:rsidR="0014798C" w:rsidRDefault="0014798C">
      <w:pPr>
        <w:pStyle w:val="Textoindependiente"/>
        <w:rPr>
          <w:sz w:val="8"/>
        </w:rPr>
      </w:pPr>
    </w:p>
    <w:p w14:paraId="0F51C43D" w14:textId="77777777" w:rsidR="0014798C" w:rsidRDefault="0014798C">
      <w:pPr>
        <w:pStyle w:val="Textoindependiente"/>
        <w:rPr>
          <w:sz w:val="8"/>
        </w:rPr>
      </w:pPr>
    </w:p>
    <w:p w14:paraId="4EE20258" w14:textId="77777777" w:rsidR="0014798C" w:rsidRDefault="0014798C">
      <w:pPr>
        <w:pStyle w:val="Textoindependiente"/>
        <w:spacing w:before="48"/>
        <w:rPr>
          <w:sz w:val="8"/>
        </w:rPr>
      </w:pPr>
    </w:p>
    <w:p w14:paraId="4F80CDEC" w14:textId="77777777" w:rsidR="0014798C" w:rsidRDefault="004E1F0B">
      <w:pPr>
        <w:spacing w:before="1"/>
        <w:jc w:val="right"/>
        <w:rPr>
          <w:sz w:val="8"/>
        </w:rPr>
      </w:pPr>
      <w:r>
        <w:rPr>
          <w:spacing w:val="-5"/>
          <w:w w:val="105"/>
          <w:sz w:val="8"/>
        </w:rPr>
        <w:t>381</w:t>
      </w:r>
    </w:p>
    <w:p w14:paraId="1B68BC6A" w14:textId="77777777" w:rsidR="0014798C" w:rsidRDefault="0014798C">
      <w:pPr>
        <w:pStyle w:val="Textoindependiente"/>
        <w:spacing w:before="52"/>
        <w:rPr>
          <w:sz w:val="8"/>
        </w:rPr>
      </w:pPr>
    </w:p>
    <w:p w14:paraId="1C10F4A5" w14:textId="77777777" w:rsidR="0014798C" w:rsidRDefault="004E1F0B">
      <w:pPr>
        <w:jc w:val="right"/>
        <w:rPr>
          <w:sz w:val="8"/>
        </w:rPr>
      </w:pPr>
      <w:r>
        <w:rPr>
          <w:spacing w:val="-5"/>
          <w:w w:val="105"/>
          <w:sz w:val="8"/>
        </w:rPr>
        <w:t>382</w:t>
      </w:r>
    </w:p>
    <w:p w14:paraId="51861204" w14:textId="77777777" w:rsidR="0014798C" w:rsidRDefault="0014798C">
      <w:pPr>
        <w:pStyle w:val="Textoindependiente"/>
        <w:rPr>
          <w:sz w:val="8"/>
        </w:rPr>
      </w:pPr>
    </w:p>
    <w:p w14:paraId="1F6E0683" w14:textId="77777777" w:rsidR="0014798C" w:rsidRDefault="0014798C">
      <w:pPr>
        <w:pStyle w:val="Textoindependiente"/>
        <w:rPr>
          <w:sz w:val="8"/>
        </w:rPr>
      </w:pPr>
    </w:p>
    <w:p w14:paraId="5AFC8802" w14:textId="77777777" w:rsidR="0014798C" w:rsidRDefault="0014798C">
      <w:pPr>
        <w:pStyle w:val="Textoindependiente"/>
        <w:rPr>
          <w:sz w:val="8"/>
        </w:rPr>
      </w:pPr>
    </w:p>
    <w:p w14:paraId="24FAAC50" w14:textId="77777777" w:rsidR="0014798C" w:rsidRDefault="0014798C">
      <w:pPr>
        <w:pStyle w:val="Textoindependiente"/>
        <w:rPr>
          <w:sz w:val="8"/>
        </w:rPr>
      </w:pPr>
    </w:p>
    <w:p w14:paraId="3FB14F01" w14:textId="77777777" w:rsidR="0014798C" w:rsidRDefault="0014798C">
      <w:pPr>
        <w:pStyle w:val="Textoindependiente"/>
        <w:spacing w:before="44"/>
        <w:rPr>
          <w:sz w:val="8"/>
        </w:rPr>
      </w:pPr>
    </w:p>
    <w:p w14:paraId="1030C051" w14:textId="77777777" w:rsidR="0014798C" w:rsidRDefault="004E1F0B">
      <w:pPr>
        <w:jc w:val="right"/>
        <w:rPr>
          <w:sz w:val="8"/>
        </w:rPr>
      </w:pPr>
      <w:r>
        <w:rPr>
          <w:spacing w:val="-5"/>
          <w:w w:val="105"/>
          <w:sz w:val="8"/>
        </w:rPr>
        <w:t>383</w:t>
      </w:r>
    </w:p>
    <w:p w14:paraId="394EACEE" w14:textId="77777777" w:rsidR="0014798C" w:rsidRDefault="0014798C">
      <w:pPr>
        <w:pStyle w:val="Textoindependiente"/>
        <w:spacing w:before="52"/>
        <w:rPr>
          <w:sz w:val="8"/>
        </w:rPr>
      </w:pPr>
    </w:p>
    <w:p w14:paraId="1A4D0792" w14:textId="77777777" w:rsidR="0014798C" w:rsidRDefault="004E1F0B">
      <w:pPr>
        <w:spacing w:before="1"/>
        <w:jc w:val="right"/>
        <w:rPr>
          <w:sz w:val="8"/>
        </w:rPr>
      </w:pPr>
      <w:r>
        <w:rPr>
          <w:spacing w:val="-5"/>
          <w:w w:val="105"/>
          <w:sz w:val="8"/>
        </w:rPr>
        <w:t>384</w:t>
      </w:r>
    </w:p>
    <w:p w14:paraId="18282F1A" w14:textId="77777777" w:rsidR="0014798C" w:rsidRDefault="0014798C">
      <w:pPr>
        <w:pStyle w:val="Textoindependiente"/>
        <w:rPr>
          <w:sz w:val="8"/>
        </w:rPr>
      </w:pPr>
    </w:p>
    <w:p w14:paraId="58A3C1B9" w14:textId="77777777" w:rsidR="0014798C" w:rsidRDefault="0014798C">
      <w:pPr>
        <w:pStyle w:val="Textoindependiente"/>
        <w:rPr>
          <w:sz w:val="8"/>
        </w:rPr>
      </w:pPr>
    </w:p>
    <w:p w14:paraId="1D4BC8C6" w14:textId="77777777" w:rsidR="0014798C" w:rsidRDefault="0014798C">
      <w:pPr>
        <w:pStyle w:val="Textoindependiente"/>
        <w:spacing w:before="48"/>
        <w:rPr>
          <w:sz w:val="8"/>
        </w:rPr>
      </w:pPr>
    </w:p>
    <w:p w14:paraId="7F62235A" w14:textId="77777777" w:rsidR="0014798C" w:rsidRDefault="004E1F0B">
      <w:pPr>
        <w:jc w:val="right"/>
        <w:rPr>
          <w:sz w:val="8"/>
        </w:rPr>
      </w:pPr>
      <w:r>
        <w:rPr>
          <w:spacing w:val="-5"/>
          <w:w w:val="105"/>
          <w:sz w:val="8"/>
        </w:rPr>
        <w:t>385</w:t>
      </w:r>
    </w:p>
    <w:p w14:paraId="72F32236" w14:textId="77777777" w:rsidR="0014798C" w:rsidRDefault="0014798C">
      <w:pPr>
        <w:pStyle w:val="Textoindependiente"/>
        <w:spacing w:before="52"/>
        <w:rPr>
          <w:sz w:val="8"/>
        </w:rPr>
      </w:pPr>
    </w:p>
    <w:p w14:paraId="74746ED2" w14:textId="77777777" w:rsidR="0014798C" w:rsidRDefault="004E1F0B">
      <w:pPr>
        <w:jc w:val="right"/>
        <w:rPr>
          <w:sz w:val="8"/>
        </w:rPr>
      </w:pPr>
      <w:r>
        <w:rPr>
          <w:spacing w:val="-5"/>
          <w:w w:val="105"/>
          <w:sz w:val="8"/>
        </w:rPr>
        <w:t>386</w:t>
      </w:r>
    </w:p>
    <w:p w14:paraId="31CC5C36" w14:textId="77777777" w:rsidR="0014798C" w:rsidRDefault="0014798C">
      <w:pPr>
        <w:pStyle w:val="Textoindependiente"/>
        <w:rPr>
          <w:sz w:val="8"/>
        </w:rPr>
      </w:pPr>
    </w:p>
    <w:p w14:paraId="07FA4914" w14:textId="77777777" w:rsidR="0014798C" w:rsidRDefault="0014798C">
      <w:pPr>
        <w:pStyle w:val="Textoindependiente"/>
        <w:rPr>
          <w:sz w:val="8"/>
        </w:rPr>
      </w:pPr>
    </w:p>
    <w:p w14:paraId="27D2465B" w14:textId="77777777" w:rsidR="0014798C" w:rsidRDefault="0014798C">
      <w:pPr>
        <w:pStyle w:val="Textoindependiente"/>
        <w:rPr>
          <w:sz w:val="8"/>
        </w:rPr>
      </w:pPr>
    </w:p>
    <w:p w14:paraId="48E1CC7A" w14:textId="77777777" w:rsidR="0014798C" w:rsidRDefault="0014798C">
      <w:pPr>
        <w:pStyle w:val="Textoindependiente"/>
        <w:rPr>
          <w:sz w:val="8"/>
        </w:rPr>
      </w:pPr>
    </w:p>
    <w:p w14:paraId="196E3FBC" w14:textId="77777777" w:rsidR="0014798C" w:rsidRDefault="0014798C">
      <w:pPr>
        <w:pStyle w:val="Textoindependiente"/>
        <w:rPr>
          <w:sz w:val="8"/>
        </w:rPr>
      </w:pPr>
    </w:p>
    <w:p w14:paraId="358FD9DA" w14:textId="77777777" w:rsidR="0014798C" w:rsidRDefault="0014798C">
      <w:pPr>
        <w:pStyle w:val="Textoindependiente"/>
        <w:rPr>
          <w:sz w:val="8"/>
        </w:rPr>
      </w:pPr>
    </w:p>
    <w:p w14:paraId="6AA54FC4" w14:textId="77777777" w:rsidR="0014798C" w:rsidRDefault="0014798C">
      <w:pPr>
        <w:pStyle w:val="Textoindependiente"/>
        <w:spacing w:before="40"/>
        <w:rPr>
          <w:sz w:val="8"/>
        </w:rPr>
      </w:pPr>
    </w:p>
    <w:p w14:paraId="62F20EA8" w14:textId="77777777" w:rsidR="0014798C" w:rsidRDefault="004E1F0B">
      <w:pPr>
        <w:jc w:val="right"/>
        <w:rPr>
          <w:sz w:val="8"/>
        </w:rPr>
      </w:pPr>
      <w:r>
        <w:rPr>
          <w:spacing w:val="-5"/>
          <w:w w:val="105"/>
          <w:sz w:val="8"/>
        </w:rPr>
        <w:t>387</w:t>
      </w:r>
    </w:p>
    <w:p w14:paraId="7B2937EB" w14:textId="77777777" w:rsidR="0014798C" w:rsidRDefault="0014798C">
      <w:pPr>
        <w:pStyle w:val="Textoindependiente"/>
        <w:spacing w:before="53"/>
        <w:rPr>
          <w:sz w:val="8"/>
        </w:rPr>
      </w:pPr>
    </w:p>
    <w:p w14:paraId="775319FE" w14:textId="77777777" w:rsidR="0014798C" w:rsidRDefault="004E1F0B">
      <w:pPr>
        <w:jc w:val="right"/>
        <w:rPr>
          <w:sz w:val="8"/>
        </w:rPr>
      </w:pPr>
      <w:r>
        <w:rPr>
          <w:spacing w:val="-5"/>
          <w:w w:val="105"/>
          <w:sz w:val="8"/>
        </w:rPr>
        <w:t>388</w:t>
      </w:r>
    </w:p>
    <w:p w14:paraId="4A192D91" w14:textId="77777777" w:rsidR="0014798C" w:rsidRDefault="0014798C">
      <w:pPr>
        <w:pStyle w:val="Textoindependiente"/>
        <w:rPr>
          <w:sz w:val="8"/>
        </w:rPr>
      </w:pPr>
    </w:p>
    <w:p w14:paraId="42F5FD1A" w14:textId="77777777" w:rsidR="0014798C" w:rsidRDefault="0014798C">
      <w:pPr>
        <w:pStyle w:val="Textoindependiente"/>
        <w:rPr>
          <w:sz w:val="8"/>
        </w:rPr>
      </w:pPr>
    </w:p>
    <w:p w14:paraId="71FB97B9" w14:textId="77777777" w:rsidR="0014798C" w:rsidRDefault="0014798C">
      <w:pPr>
        <w:pStyle w:val="Textoindependiente"/>
        <w:rPr>
          <w:sz w:val="8"/>
        </w:rPr>
      </w:pPr>
    </w:p>
    <w:p w14:paraId="5BF886C5" w14:textId="77777777" w:rsidR="0014798C" w:rsidRDefault="0014798C">
      <w:pPr>
        <w:pStyle w:val="Textoindependiente"/>
        <w:rPr>
          <w:sz w:val="8"/>
        </w:rPr>
      </w:pPr>
    </w:p>
    <w:p w14:paraId="6857296D" w14:textId="77777777" w:rsidR="0014798C" w:rsidRDefault="0014798C">
      <w:pPr>
        <w:pStyle w:val="Textoindependiente"/>
        <w:spacing w:before="44"/>
        <w:rPr>
          <w:sz w:val="8"/>
        </w:rPr>
      </w:pPr>
    </w:p>
    <w:p w14:paraId="72DD3015" w14:textId="77777777" w:rsidR="0014798C" w:rsidRDefault="004E1F0B">
      <w:pPr>
        <w:jc w:val="right"/>
        <w:rPr>
          <w:sz w:val="8"/>
        </w:rPr>
      </w:pPr>
      <w:r>
        <w:rPr>
          <w:spacing w:val="-5"/>
          <w:w w:val="105"/>
          <w:sz w:val="8"/>
        </w:rPr>
        <w:t>389</w:t>
      </w:r>
    </w:p>
    <w:p w14:paraId="2A8A8EA4" w14:textId="77777777" w:rsidR="0014798C" w:rsidRDefault="0014798C">
      <w:pPr>
        <w:pStyle w:val="Textoindependiente"/>
        <w:spacing w:before="52"/>
        <w:rPr>
          <w:sz w:val="8"/>
        </w:rPr>
      </w:pPr>
    </w:p>
    <w:p w14:paraId="208EEA8B" w14:textId="77777777" w:rsidR="0014798C" w:rsidRDefault="004E1F0B">
      <w:pPr>
        <w:jc w:val="right"/>
        <w:rPr>
          <w:sz w:val="8"/>
        </w:rPr>
      </w:pPr>
      <w:r>
        <w:rPr>
          <w:spacing w:val="-5"/>
          <w:w w:val="105"/>
          <w:sz w:val="8"/>
        </w:rPr>
        <w:t>390</w:t>
      </w:r>
    </w:p>
    <w:p w14:paraId="25C89C7B" w14:textId="77777777" w:rsidR="0014798C" w:rsidRDefault="004E1F0B">
      <w:pPr>
        <w:spacing w:before="111" w:line="312" w:lineRule="auto"/>
        <w:ind w:left="77" w:right="2320" w:firstLine="1"/>
        <w:rPr>
          <w:sz w:val="12"/>
        </w:rPr>
      </w:pPr>
      <w:r>
        <w:br w:type="column"/>
      </w:r>
      <w:r>
        <w:rPr>
          <w:w w:val="105"/>
          <w:sz w:val="12"/>
        </w:rPr>
        <w:t>Tribunal</w:t>
      </w:r>
      <w:r>
        <w:rPr>
          <w:spacing w:val="-7"/>
          <w:w w:val="105"/>
          <w:sz w:val="12"/>
        </w:rPr>
        <w:t xml:space="preserve"> </w:t>
      </w:r>
      <w:r>
        <w:rPr>
          <w:w w:val="105"/>
          <w:sz w:val="12"/>
        </w:rPr>
        <w:t>Europeo</w:t>
      </w:r>
      <w:r>
        <w:rPr>
          <w:spacing w:val="-7"/>
          <w:w w:val="105"/>
          <w:sz w:val="12"/>
        </w:rPr>
        <w:t xml:space="preserve"> </w:t>
      </w:r>
      <w:r>
        <w:rPr>
          <w:w w:val="105"/>
          <w:sz w:val="12"/>
        </w:rPr>
        <w:t>de</w:t>
      </w:r>
      <w:r>
        <w:rPr>
          <w:spacing w:val="-7"/>
          <w:w w:val="105"/>
          <w:sz w:val="12"/>
        </w:rPr>
        <w:t xml:space="preserve"> </w:t>
      </w:r>
      <w:r>
        <w:rPr>
          <w:w w:val="105"/>
          <w:sz w:val="12"/>
        </w:rPr>
        <w:t>Derechos</w:t>
      </w:r>
      <w:r>
        <w:rPr>
          <w:spacing w:val="-7"/>
          <w:w w:val="105"/>
          <w:sz w:val="12"/>
        </w:rPr>
        <w:t xml:space="preserve"> </w:t>
      </w:r>
      <w:r>
        <w:rPr>
          <w:w w:val="105"/>
          <w:sz w:val="12"/>
        </w:rPr>
        <w:t>Humanos,</w:t>
      </w:r>
      <w:r>
        <w:rPr>
          <w:spacing w:val="-7"/>
          <w:w w:val="105"/>
          <w:sz w:val="12"/>
        </w:rPr>
        <w:t xml:space="preserve"> </w:t>
      </w:r>
      <w:proofErr w:type="spellStart"/>
      <w:r>
        <w:rPr>
          <w:w w:val="105"/>
          <w:sz w:val="12"/>
        </w:rPr>
        <w:t>Sidabras</w:t>
      </w:r>
      <w:proofErr w:type="spellEnd"/>
      <w:r>
        <w:rPr>
          <w:spacing w:val="-7"/>
          <w:w w:val="105"/>
          <w:sz w:val="12"/>
        </w:rPr>
        <w:t xml:space="preserve"> </w:t>
      </w:r>
      <w:r>
        <w:rPr>
          <w:w w:val="105"/>
          <w:sz w:val="12"/>
        </w:rPr>
        <w:t>y</w:t>
      </w:r>
      <w:r>
        <w:rPr>
          <w:spacing w:val="-7"/>
          <w:w w:val="105"/>
          <w:sz w:val="12"/>
        </w:rPr>
        <w:t xml:space="preserve"> </w:t>
      </w:r>
      <w:proofErr w:type="spellStart"/>
      <w:r>
        <w:rPr>
          <w:w w:val="105"/>
          <w:sz w:val="12"/>
        </w:rPr>
        <w:t>Džiautas</w:t>
      </w:r>
      <w:proofErr w:type="spellEnd"/>
      <w:r>
        <w:rPr>
          <w:spacing w:val="-7"/>
          <w:w w:val="105"/>
          <w:sz w:val="12"/>
        </w:rPr>
        <w:t xml:space="preserve"> </w:t>
      </w:r>
      <w:r>
        <w:rPr>
          <w:w w:val="105"/>
          <w:sz w:val="12"/>
        </w:rPr>
        <w:t>c.</w:t>
      </w:r>
      <w:r>
        <w:rPr>
          <w:spacing w:val="-7"/>
          <w:w w:val="105"/>
          <w:sz w:val="12"/>
        </w:rPr>
        <w:t xml:space="preserve"> </w:t>
      </w:r>
      <w:r>
        <w:rPr>
          <w:w w:val="105"/>
          <w:sz w:val="12"/>
        </w:rPr>
        <w:t>Lituania,</w:t>
      </w:r>
      <w:r>
        <w:rPr>
          <w:spacing w:val="-7"/>
          <w:w w:val="105"/>
          <w:sz w:val="12"/>
        </w:rPr>
        <w:t xml:space="preserve"> </w:t>
      </w:r>
      <w:r>
        <w:rPr>
          <w:w w:val="105"/>
          <w:sz w:val="12"/>
        </w:rPr>
        <w:t>solicitudes</w:t>
      </w:r>
      <w:r>
        <w:rPr>
          <w:spacing w:val="-7"/>
          <w:w w:val="105"/>
          <w:sz w:val="12"/>
        </w:rPr>
        <w:t xml:space="preserve"> </w:t>
      </w:r>
      <w:proofErr w:type="spellStart"/>
      <w:r>
        <w:rPr>
          <w:w w:val="105"/>
          <w:sz w:val="12"/>
        </w:rPr>
        <w:t>núms</w:t>
      </w:r>
      <w:proofErr w:type="spellEnd"/>
      <w:r>
        <w:rPr>
          <w:w w:val="105"/>
          <w:sz w:val="12"/>
        </w:rPr>
        <w:t>.</w:t>
      </w:r>
      <w:r>
        <w:rPr>
          <w:spacing w:val="-7"/>
          <w:w w:val="105"/>
          <w:sz w:val="12"/>
        </w:rPr>
        <w:t xml:space="preserve"> </w:t>
      </w:r>
      <w:r>
        <w:rPr>
          <w:w w:val="105"/>
          <w:sz w:val="12"/>
        </w:rPr>
        <w:t>55480/00</w:t>
      </w:r>
      <w:r>
        <w:rPr>
          <w:spacing w:val="-7"/>
          <w:w w:val="105"/>
          <w:sz w:val="12"/>
        </w:rPr>
        <w:t xml:space="preserve"> </w:t>
      </w:r>
      <w:r>
        <w:rPr>
          <w:w w:val="105"/>
          <w:sz w:val="12"/>
        </w:rPr>
        <w:t>y</w:t>
      </w:r>
      <w:r>
        <w:rPr>
          <w:spacing w:val="-7"/>
          <w:w w:val="105"/>
          <w:sz w:val="12"/>
        </w:rPr>
        <w:t xml:space="preserve"> </w:t>
      </w:r>
      <w:r>
        <w:rPr>
          <w:w w:val="105"/>
          <w:sz w:val="12"/>
        </w:rPr>
        <w:t>59330/00,</w:t>
      </w:r>
      <w:r>
        <w:rPr>
          <w:spacing w:val="-7"/>
          <w:w w:val="105"/>
          <w:sz w:val="12"/>
        </w:rPr>
        <w:t xml:space="preserve"> </w:t>
      </w:r>
      <w:r>
        <w:rPr>
          <w:w w:val="105"/>
          <w:sz w:val="12"/>
        </w:rPr>
        <w:t>sentencia</w:t>
      </w:r>
      <w:r>
        <w:rPr>
          <w:spacing w:val="-7"/>
          <w:w w:val="105"/>
          <w:sz w:val="12"/>
        </w:rPr>
        <w:t xml:space="preserve"> </w:t>
      </w:r>
      <w:r>
        <w:rPr>
          <w:w w:val="105"/>
          <w:sz w:val="12"/>
        </w:rPr>
        <w:t>de</w:t>
      </w:r>
      <w:r>
        <w:rPr>
          <w:spacing w:val="-7"/>
          <w:w w:val="105"/>
          <w:sz w:val="12"/>
        </w:rPr>
        <w:t xml:space="preserve"> </w:t>
      </w:r>
      <w:r>
        <w:rPr>
          <w:w w:val="105"/>
          <w:sz w:val="12"/>
        </w:rPr>
        <w:t>27</w:t>
      </w:r>
      <w:r>
        <w:rPr>
          <w:spacing w:val="-7"/>
          <w:w w:val="105"/>
          <w:sz w:val="12"/>
        </w:rPr>
        <w:t xml:space="preserve"> </w:t>
      </w:r>
      <w:r>
        <w:rPr>
          <w:w w:val="105"/>
          <w:sz w:val="12"/>
        </w:rPr>
        <w:t>de</w:t>
      </w:r>
      <w:r>
        <w:rPr>
          <w:spacing w:val="-7"/>
          <w:w w:val="105"/>
          <w:sz w:val="12"/>
        </w:rPr>
        <w:t xml:space="preserve"> </w:t>
      </w:r>
      <w:r>
        <w:rPr>
          <w:w w:val="105"/>
          <w:sz w:val="12"/>
        </w:rPr>
        <w:t>julio</w:t>
      </w:r>
      <w:r>
        <w:rPr>
          <w:spacing w:val="-7"/>
          <w:w w:val="105"/>
          <w:sz w:val="12"/>
        </w:rPr>
        <w:t xml:space="preserve"> </w:t>
      </w:r>
      <w:r>
        <w:rPr>
          <w:w w:val="105"/>
          <w:sz w:val="12"/>
        </w:rPr>
        <w:t>de</w:t>
      </w:r>
      <w:r>
        <w:rPr>
          <w:spacing w:val="40"/>
          <w:w w:val="105"/>
          <w:sz w:val="12"/>
        </w:rPr>
        <w:t xml:space="preserve"> </w:t>
      </w:r>
      <w:r>
        <w:rPr>
          <w:w w:val="105"/>
          <w:sz w:val="12"/>
        </w:rPr>
        <w:t>2004, párr. 38.</w:t>
      </w:r>
    </w:p>
    <w:p w14:paraId="1C27E730" w14:textId="77777777" w:rsidR="0014798C" w:rsidRDefault="004E1F0B">
      <w:pPr>
        <w:spacing w:before="57"/>
        <w:ind w:left="78"/>
        <w:rPr>
          <w:sz w:val="12"/>
        </w:rPr>
      </w:pPr>
      <w:r>
        <w:rPr>
          <w:w w:val="105"/>
          <w:sz w:val="12"/>
        </w:rPr>
        <w:t>Tribunal</w:t>
      </w:r>
      <w:r>
        <w:rPr>
          <w:spacing w:val="-9"/>
          <w:w w:val="105"/>
          <w:sz w:val="12"/>
        </w:rPr>
        <w:t xml:space="preserve"> </w:t>
      </w:r>
      <w:r>
        <w:rPr>
          <w:w w:val="105"/>
          <w:sz w:val="12"/>
        </w:rPr>
        <w:t>Europeo</w:t>
      </w:r>
      <w:r>
        <w:rPr>
          <w:spacing w:val="-8"/>
          <w:w w:val="105"/>
          <w:sz w:val="12"/>
        </w:rPr>
        <w:t xml:space="preserve"> </w:t>
      </w:r>
      <w:r>
        <w:rPr>
          <w:w w:val="105"/>
          <w:sz w:val="12"/>
        </w:rPr>
        <w:t>de</w:t>
      </w:r>
      <w:r>
        <w:rPr>
          <w:spacing w:val="-8"/>
          <w:w w:val="105"/>
          <w:sz w:val="12"/>
        </w:rPr>
        <w:t xml:space="preserve"> </w:t>
      </w:r>
      <w:r>
        <w:rPr>
          <w:w w:val="105"/>
          <w:sz w:val="12"/>
        </w:rPr>
        <w:t>Derechos</w:t>
      </w:r>
      <w:r>
        <w:rPr>
          <w:spacing w:val="-8"/>
          <w:w w:val="105"/>
          <w:sz w:val="12"/>
        </w:rPr>
        <w:t xml:space="preserve"> </w:t>
      </w:r>
      <w:r>
        <w:rPr>
          <w:w w:val="105"/>
          <w:sz w:val="12"/>
        </w:rPr>
        <w:t>Humanos,</w:t>
      </w:r>
      <w:r>
        <w:rPr>
          <w:spacing w:val="-8"/>
          <w:w w:val="105"/>
          <w:sz w:val="12"/>
        </w:rPr>
        <w:t xml:space="preserve"> </w:t>
      </w:r>
      <w:proofErr w:type="spellStart"/>
      <w:r>
        <w:rPr>
          <w:w w:val="105"/>
          <w:sz w:val="12"/>
        </w:rPr>
        <w:t>Fábián</w:t>
      </w:r>
      <w:proofErr w:type="spellEnd"/>
      <w:r>
        <w:rPr>
          <w:spacing w:val="-9"/>
          <w:w w:val="105"/>
          <w:sz w:val="12"/>
        </w:rPr>
        <w:t xml:space="preserve"> </w:t>
      </w:r>
      <w:r>
        <w:rPr>
          <w:w w:val="105"/>
          <w:sz w:val="12"/>
        </w:rPr>
        <w:t>c.</w:t>
      </w:r>
      <w:r>
        <w:rPr>
          <w:spacing w:val="-8"/>
          <w:w w:val="105"/>
          <w:sz w:val="12"/>
        </w:rPr>
        <w:t xml:space="preserve"> </w:t>
      </w:r>
      <w:r>
        <w:rPr>
          <w:w w:val="105"/>
          <w:sz w:val="12"/>
        </w:rPr>
        <w:t>Hungría,</w:t>
      </w:r>
      <w:r>
        <w:rPr>
          <w:spacing w:val="-8"/>
          <w:w w:val="105"/>
          <w:sz w:val="12"/>
        </w:rPr>
        <w:t xml:space="preserve"> </w:t>
      </w:r>
      <w:r>
        <w:rPr>
          <w:w w:val="105"/>
          <w:sz w:val="12"/>
        </w:rPr>
        <w:t>Solicitud</w:t>
      </w:r>
      <w:r>
        <w:rPr>
          <w:spacing w:val="-8"/>
          <w:w w:val="105"/>
          <w:sz w:val="12"/>
        </w:rPr>
        <w:t xml:space="preserve"> </w:t>
      </w:r>
      <w:r>
        <w:rPr>
          <w:w w:val="105"/>
          <w:sz w:val="12"/>
        </w:rPr>
        <w:t>n.º</w:t>
      </w:r>
      <w:r>
        <w:rPr>
          <w:spacing w:val="-8"/>
          <w:w w:val="105"/>
          <w:sz w:val="12"/>
        </w:rPr>
        <w:t xml:space="preserve"> </w:t>
      </w:r>
      <w:r>
        <w:rPr>
          <w:w w:val="105"/>
          <w:sz w:val="12"/>
        </w:rPr>
        <w:t>78117/13,</w:t>
      </w:r>
      <w:r>
        <w:rPr>
          <w:spacing w:val="-8"/>
          <w:w w:val="105"/>
          <w:sz w:val="12"/>
        </w:rPr>
        <w:t xml:space="preserve"> </w:t>
      </w:r>
      <w:r>
        <w:rPr>
          <w:w w:val="105"/>
          <w:sz w:val="12"/>
        </w:rPr>
        <w:t>Sentencia</w:t>
      </w:r>
      <w:r>
        <w:rPr>
          <w:spacing w:val="-9"/>
          <w:w w:val="105"/>
          <w:sz w:val="12"/>
        </w:rPr>
        <w:t xml:space="preserve"> </w:t>
      </w:r>
      <w:r>
        <w:rPr>
          <w:w w:val="105"/>
          <w:sz w:val="12"/>
        </w:rPr>
        <w:t>de</w:t>
      </w:r>
      <w:r>
        <w:rPr>
          <w:spacing w:val="-8"/>
          <w:w w:val="105"/>
          <w:sz w:val="12"/>
        </w:rPr>
        <w:t xml:space="preserve"> </w:t>
      </w:r>
      <w:r>
        <w:rPr>
          <w:w w:val="105"/>
          <w:sz w:val="12"/>
        </w:rPr>
        <w:t>5</w:t>
      </w:r>
      <w:r>
        <w:rPr>
          <w:spacing w:val="-8"/>
          <w:w w:val="105"/>
          <w:sz w:val="12"/>
        </w:rPr>
        <w:t xml:space="preserve"> </w:t>
      </w:r>
      <w:r>
        <w:rPr>
          <w:w w:val="105"/>
          <w:sz w:val="12"/>
        </w:rPr>
        <w:t>de</w:t>
      </w:r>
      <w:r>
        <w:rPr>
          <w:spacing w:val="-8"/>
          <w:w w:val="105"/>
          <w:sz w:val="12"/>
        </w:rPr>
        <w:t xml:space="preserve"> </w:t>
      </w:r>
      <w:r>
        <w:rPr>
          <w:w w:val="105"/>
          <w:sz w:val="12"/>
        </w:rPr>
        <w:t>septiembre</w:t>
      </w:r>
      <w:r>
        <w:rPr>
          <w:spacing w:val="-8"/>
          <w:w w:val="105"/>
          <w:sz w:val="12"/>
        </w:rPr>
        <w:t xml:space="preserve"> </w:t>
      </w:r>
      <w:r>
        <w:rPr>
          <w:w w:val="105"/>
          <w:sz w:val="12"/>
        </w:rPr>
        <w:t>de</w:t>
      </w:r>
      <w:r>
        <w:rPr>
          <w:spacing w:val="-9"/>
          <w:w w:val="105"/>
          <w:sz w:val="12"/>
        </w:rPr>
        <w:t xml:space="preserve"> </w:t>
      </w:r>
      <w:r>
        <w:rPr>
          <w:w w:val="105"/>
          <w:sz w:val="12"/>
        </w:rPr>
        <w:t>2017,</w:t>
      </w:r>
      <w:r>
        <w:rPr>
          <w:spacing w:val="-8"/>
          <w:w w:val="105"/>
          <w:sz w:val="12"/>
        </w:rPr>
        <w:t xml:space="preserve"> </w:t>
      </w:r>
      <w:r>
        <w:rPr>
          <w:w w:val="105"/>
          <w:sz w:val="12"/>
        </w:rPr>
        <w:t>párr.</w:t>
      </w:r>
      <w:r>
        <w:rPr>
          <w:spacing w:val="-8"/>
          <w:w w:val="105"/>
          <w:sz w:val="12"/>
        </w:rPr>
        <w:t xml:space="preserve"> </w:t>
      </w:r>
      <w:r>
        <w:rPr>
          <w:spacing w:val="-4"/>
          <w:w w:val="105"/>
          <w:sz w:val="12"/>
        </w:rPr>
        <w:t>112.</w:t>
      </w:r>
    </w:p>
    <w:p w14:paraId="41DCE15F" w14:textId="77777777" w:rsidR="0014798C" w:rsidRDefault="004E1F0B">
      <w:pPr>
        <w:spacing w:before="99"/>
        <w:ind w:left="81"/>
        <w:rPr>
          <w:sz w:val="12"/>
        </w:rPr>
      </w:pPr>
      <w:r>
        <w:rPr>
          <w:w w:val="105"/>
          <w:sz w:val="12"/>
        </w:rPr>
        <w:t>Véase,</w:t>
      </w:r>
      <w:r>
        <w:rPr>
          <w:spacing w:val="-7"/>
          <w:w w:val="105"/>
          <w:sz w:val="12"/>
        </w:rPr>
        <w:t xml:space="preserve"> </w:t>
      </w:r>
      <w:r>
        <w:rPr>
          <w:w w:val="105"/>
          <w:sz w:val="12"/>
        </w:rPr>
        <w:t>por</w:t>
      </w:r>
      <w:r>
        <w:rPr>
          <w:spacing w:val="-7"/>
          <w:w w:val="105"/>
          <w:sz w:val="12"/>
        </w:rPr>
        <w:t xml:space="preserve"> </w:t>
      </w:r>
      <w:r>
        <w:rPr>
          <w:w w:val="105"/>
          <w:sz w:val="12"/>
        </w:rPr>
        <w:t>ejemplo,</w:t>
      </w:r>
      <w:r>
        <w:rPr>
          <w:spacing w:val="-7"/>
          <w:w w:val="105"/>
          <w:sz w:val="12"/>
        </w:rPr>
        <w:t xml:space="preserve"> </w:t>
      </w:r>
      <w:r>
        <w:rPr>
          <w:w w:val="105"/>
          <w:sz w:val="12"/>
        </w:rPr>
        <w:t>Tribunal</w:t>
      </w:r>
      <w:r>
        <w:rPr>
          <w:spacing w:val="-7"/>
          <w:w w:val="105"/>
          <w:sz w:val="12"/>
        </w:rPr>
        <w:t xml:space="preserve"> </w:t>
      </w:r>
      <w:r>
        <w:rPr>
          <w:w w:val="105"/>
          <w:sz w:val="12"/>
        </w:rPr>
        <w:t>Europeo</w:t>
      </w:r>
      <w:r>
        <w:rPr>
          <w:spacing w:val="-7"/>
          <w:w w:val="105"/>
          <w:sz w:val="12"/>
        </w:rPr>
        <w:t xml:space="preserve"> </w:t>
      </w:r>
      <w:r>
        <w:rPr>
          <w:w w:val="105"/>
          <w:sz w:val="12"/>
        </w:rPr>
        <w:t>de</w:t>
      </w:r>
      <w:r>
        <w:rPr>
          <w:spacing w:val="-7"/>
          <w:w w:val="105"/>
          <w:sz w:val="12"/>
        </w:rPr>
        <w:t xml:space="preserve"> </w:t>
      </w:r>
      <w:r>
        <w:rPr>
          <w:w w:val="105"/>
          <w:sz w:val="12"/>
        </w:rPr>
        <w:t>Derechos</w:t>
      </w:r>
      <w:r>
        <w:rPr>
          <w:spacing w:val="-7"/>
          <w:w w:val="105"/>
          <w:sz w:val="12"/>
        </w:rPr>
        <w:t xml:space="preserve"> </w:t>
      </w:r>
      <w:r>
        <w:rPr>
          <w:w w:val="105"/>
          <w:sz w:val="12"/>
        </w:rPr>
        <w:t>Humanos,</w:t>
      </w:r>
      <w:r>
        <w:rPr>
          <w:spacing w:val="-6"/>
          <w:w w:val="105"/>
          <w:sz w:val="12"/>
        </w:rPr>
        <w:t xml:space="preserve"> </w:t>
      </w:r>
      <w:r>
        <w:rPr>
          <w:w w:val="105"/>
          <w:sz w:val="12"/>
        </w:rPr>
        <w:t>AH</w:t>
      </w:r>
      <w:r>
        <w:rPr>
          <w:spacing w:val="-7"/>
          <w:w w:val="105"/>
          <w:sz w:val="12"/>
        </w:rPr>
        <w:t xml:space="preserve"> </w:t>
      </w:r>
      <w:r>
        <w:rPr>
          <w:w w:val="105"/>
          <w:sz w:val="12"/>
        </w:rPr>
        <w:t>y</w:t>
      </w:r>
      <w:r>
        <w:rPr>
          <w:spacing w:val="-7"/>
          <w:w w:val="105"/>
          <w:sz w:val="12"/>
        </w:rPr>
        <w:t xml:space="preserve"> </w:t>
      </w:r>
      <w:r>
        <w:rPr>
          <w:w w:val="105"/>
          <w:sz w:val="12"/>
        </w:rPr>
        <w:t>otros</w:t>
      </w:r>
      <w:r>
        <w:rPr>
          <w:spacing w:val="-7"/>
          <w:w w:val="105"/>
          <w:sz w:val="12"/>
        </w:rPr>
        <w:t xml:space="preserve"> </w:t>
      </w:r>
      <w:r>
        <w:rPr>
          <w:w w:val="105"/>
          <w:sz w:val="12"/>
        </w:rPr>
        <w:t>c.</w:t>
      </w:r>
      <w:r>
        <w:rPr>
          <w:spacing w:val="-7"/>
          <w:w w:val="105"/>
          <w:sz w:val="12"/>
        </w:rPr>
        <w:t xml:space="preserve"> </w:t>
      </w:r>
      <w:r>
        <w:rPr>
          <w:w w:val="105"/>
          <w:sz w:val="12"/>
        </w:rPr>
        <w:t>Rusia,</w:t>
      </w:r>
      <w:r>
        <w:rPr>
          <w:spacing w:val="-7"/>
          <w:w w:val="105"/>
          <w:sz w:val="12"/>
        </w:rPr>
        <w:t xml:space="preserve"> </w:t>
      </w:r>
      <w:r>
        <w:rPr>
          <w:w w:val="105"/>
          <w:sz w:val="12"/>
        </w:rPr>
        <w:t>solicitud</w:t>
      </w:r>
      <w:r>
        <w:rPr>
          <w:spacing w:val="-7"/>
          <w:w w:val="105"/>
          <w:sz w:val="12"/>
        </w:rPr>
        <w:t xml:space="preserve"> </w:t>
      </w:r>
      <w:r>
        <w:rPr>
          <w:w w:val="105"/>
          <w:sz w:val="12"/>
        </w:rPr>
        <w:t>n.º</w:t>
      </w:r>
      <w:r>
        <w:rPr>
          <w:spacing w:val="-6"/>
          <w:w w:val="105"/>
          <w:sz w:val="12"/>
        </w:rPr>
        <w:t xml:space="preserve"> </w:t>
      </w:r>
      <w:r>
        <w:rPr>
          <w:w w:val="105"/>
          <w:sz w:val="12"/>
        </w:rPr>
        <w:t>6033/13</w:t>
      </w:r>
      <w:r>
        <w:rPr>
          <w:spacing w:val="-7"/>
          <w:w w:val="105"/>
          <w:sz w:val="12"/>
        </w:rPr>
        <w:t xml:space="preserve"> </w:t>
      </w:r>
      <w:r>
        <w:rPr>
          <w:w w:val="105"/>
          <w:sz w:val="12"/>
        </w:rPr>
        <w:t>y</w:t>
      </w:r>
      <w:r>
        <w:rPr>
          <w:spacing w:val="-7"/>
          <w:w w:val="105"/>
          <w:sz w:val="12"/>
        </w:rPr>
        <w:t xml:space="preserve"> </w:t>
      </w:r>
      <w:r>
        <w:rPr>
          <w:w w:val="105"/>
          <w:sz w:val="12"/>
        </w:rPr>
        <w:t>otras</w:t>
      </w:r>
      <w:r>
        <w:rPr>
          <w:spacing w:val="-7"/>
          <w:w w:val="105"/>
          <w:sz w:val="12"/>
        </w:rPr>
        <w:t xml:space="preserve"> </w:t>
      </w:r>
      <w:r>
        <w:rPr>
          <w:w w:val="105"/>
          <w:sz w:val="12"/>
        </w:rPr>
        <w:t>15</w:t>
      </w:r>
      <w:r>
        <w:rPr>
          <w:spacing w:val="-7"/>
          <w:w w:val="105"/>
          <w:sz w:val="12"/>
        </w:rPr>
        <w:t xml:space="preserve"> </w:t>
      </w:r>
      <w:r>
        <w:rPr>
          <w:w w:val="105"/>
          <w:sz w:val="12"/>
        </w:rPr>
        <w:t>solicitudes,</w:t>
      </w:r>
      <w:r>
        <w:rPr>
          <w:spacing w:val="-6"/>
          <w:w w:val="105"/>
          <w:sz w:val="12"/>
        </w:rPr>
        <w:t xml:space="preserve"> </w:t>
      </w:r>
      <w:r>
        <w:rPr>
          <w:w w:val="105"/>
          <w:sz w:val="12"/>
        </w:rPr>
        <w:t>sentencia</w:t>
      </w:r>
      <w:r>
        <w:rPr>
          <w:spacing w:val="-7"/>
          <w:w w:val="105"/>
          <w:sz w:val="12"/>
        </w:rPr>
        <w:t xml:space="preserve"> </w:t>
      </w:r>
      <w:r>
        <w:rPr>
          <w:w w:val="105"/>
          <w:sz w:val="12"/>
        </w:rPr>
        <w:t>de</w:t>
      </w:r>
      <w:r>
        <w:rPr>
          <w:spacing w:val="-7"/>
          <w:w w:val="105"/>
          <w:sz w:val="12"/>
        </w:rPr>
        <w:t xml:space="preserve"> </w:t>
      </w:r>
      <w:r>
        <w:rPr>
          <w:w w:val="105"/>
          <w:sz w:val="12"/>
        </w:rPr>
        <w:t>17</w:t>
      </w:r>
      <w:r>
        <w:rPr>
          <w:spacing w:val="-7"/>
          <w:w w:val="105"/>
          <w:sz w:val="12"/>
        </w:rPr>
        <w:t xml:space="preserve"> </w:t>
      </w:r>
      <w:r>
        <w:rPr>
          <w:w w:val="105"/>
          <w:sz w:val="12"/>
        </w:rPr>
        <w:t>de</w:t>
      </w:r>
      <w:r>
        <w:rPr>
          <w:spacing w:val="-6"/>
          <w:w w:val="105"/>
          <w:sz w:val="12"/>
        </w:rPr>
        <w:t xml:space="preserve"> </w:t>
      </w:r>
      <w:r>
        <w:rPr>
          <w:spacing w:val="-2"/>
          <w:w w:val="105"/>
          <w:sz w:val="12"/>
        </w:rPr>
        <w:t>enero</w:t>
      </w:r>
    </w:p>
    <w:p w14:paraId="51BED78C" w14:textId="77777777" w:rsidR="0014798C" w:rsidRDefault="004E1F0B">
      <w:pPr>
        <w:spacing w:before="42" w:line="312" w:lineRule="auto"/>
        <w:ind w:left="76" w:right="1663" w:hanging="7"/>
        <w:rPr>
          <w:sz w:val="12"/>
        </w:rPr>
      </w:pPr>
      <w:r>
        <w:rPr>
          <w:w w:val="105"/>
          <w:sz w:val="12"/>
        </w:rPr>
        <w:t>de</w:t>
      </w:r>
      <w:r>
        <w:rPr>
          <w:spacing w:val="-9"/>
          <w:w w:val="105"/>
          <w:sz w:val="12"/>
        </w:rPr>
        <w:t xml:space="preserve"> </w:t>
      </w:r>
      <w:r>
        <w:rPr>
          <w:w w:val="105"/>
          <w:sz w:val="12"/>
        </w:rPr>
        <w:t>2017</w:t>
      </w:r>
      <w:r>
        <w:rPr>
          <w:spacing w:val="-9"/>
          <w:w w:val="105"/>
          <w:sz w:val="12"/>
        </w:rPr>
        <w:t xml:space="preserve"> </w:t>
      </w:r>
      <w:r>
        <w:rPr>
          <w:w w:val="105"/>
          <w:sz w:val="12"/>
        </w:rPr>
        <w:t>(rectificada</w:t>
      </w:r>
      <w:r>
        <w:rPr>
          <w:spacing w:val="-9"/>
          <w:w w:val="105"/>
          <w:sz w:val="12"/>
        </w:rPr>
        <w:t xml:space="preserve"> </w:t>
      </w:r>
      <w:r>
        <w:rPr>
          <w:w w:val="105"/>
          <w:sz w:val="12"/>
        </w:rPr>
        <w:t>el</w:t>
      </w:r>
      <w:r>
        <w:rPr>
          <w:spacing w:val="-8"/>
          <w:w w:val="105"/>
          <w:sz w:val="12"/>
        </w:rPr>
        <w:t xml:space="preserve"> </w:t>
      </w:r>
      <w:r>
        <w:rPr>
          <w:w w:val="105"/>
          <w:sz w:val="12"/>
        </w:rPr>
        <w:t>12</w:t>
      </w:r>
      <w:r>
        <w:rPr>
          <w:spacing w:val="-9"/>
          <w:w w:val="105"/>
          <w:sz w:val="12"/>
        </w:rPr>
        <w:t xml:space="preserve"> </w:t>
      </w:r>
      <w:r>
        <w:rPr>
          <w:w w:val="105"/>
          <w:sz w:val="12"/>
        </w:rPr>
        <w:t>de</w:t>
      </w:r>
      <w:r>
        <w:rPr>
          <w:spacing w:val="-9"/>
          <w:w w:val="105"/>
          <w:sz w:val="12"/>
        </w:rPr>
        <w:t xml:space="preserve"> </w:t>
      </w:r>
      <w:r>
        <w:rPr>
          <w:w w:val="105"/>
          <w:sz w:val="12"/>
        </w:rPr>
        <w:t>diciembre</w:t>
      </w:r>
      <w:r>
        <w:rPr>
          <w:spacing w:val="-9"/>
          <w:w w:val="105"/>
          <w:sz w:val="12"/>
        </w:rPr>
        <w:t xml:space="preserve"> </w:t>
      </w:r>
      <w:r>
        <w:rPr>
          <w:w w:val="105"/>
          <w:sz w:val="12"/>
        </w:rPr>
        <w:t>de</w:t>
      </w:r>
      <w:r>
        <w:rPr>
          <w:spacing w:val="-9"/>
          <w:w w:val="105"/>
          <w:sz w:val="12"/>
        </w:rPr>
        <w:t xml:space="preserve"> </w:t>
      </w:r>
      <w:proofErr w:type="gramStart"/>
      <w:r>
        <w:rPr>
          <w:w w:val="105"/>
          <w:sz w:val="12"/>
        </w:rPr>
        <w:t>2017);</w:t>
      </w:r>
      <w:proofErr w:type="gramEnd"/>
      <w:r>
        <w:rPr>
          <w:spacing w:val="-8"/>
          <w:w w:val="105"/>
          <w:sz w:val="12"/>
        </w:rPr>
        <w:t xml:space="preserve"> </w:t>
      </w:r>
      <w:r>
        <w:rPr>
          <w:w w:val="105"/>
          <w:sz w:val="12"/>
        </w:rPr>
        <w:t>EB</w:t>
      </w:r>
      <w:r>
        <w:rPr>
          <w:spacing w:val="-9"/>
          <w:w w:val="105"/>
          <w:sz w:val="12"/>
        </w:rPr>
        <w:t xml:space="preserve"> </w:t>
      </w:r>
      <w:r>
        <w:rPr>
          <w:w w:val="105"/>
          <w:sz w:val="12"/>
        </w:rPr>
        <w:t>c.</w:t>
      </w:r>
      <w:r>
        <w:rPr>
          <w:spacing w:val="-9"/>
          <w:w w:val="105"/>
          <w:sz w:val="12"/>
        </w:rPr>
        <w:t xml:space="preserve"> </w:t>
      </w:r>
      <w:r>
        <w:rPr>
          <w:w w:val="105"/>
          <w:sz w:val="12"/>
        </w:rPr>
        <w:t>Francia,</w:t>
      </w:r>
      <w:r>
        <w:rPr>
          <w:spacing w:val="-9"/>
          <w:w w:val="105"/>
          <w:sz w:val="12"/>
        </w:rPr>
        <w:t xml:space="preserve"> </w:t>
      </w:r>
      <w:r>
        <w:rPr>
          <w:w w:val="105"/>
          <w:sz w:val="12"/>
        </w:rPr>
        <w:t>solicitud</w:t>
      </w:r>
      <w:r>
        <w:rPr>
          <w:spacing w:val="-8"/>
          <w:w w:val="105"/>
          <w:sz w:val="12"/>
        </w:rPr>
        <w:t xml:space="preserve"> </w:t>
      </w:r>
      <w:proofErr w:type="spellStart"/>
      <w:r>
        <w:rPr>
          <w:w w:val="105"/>
          <w:sz w:val="12"/>
        </w:rPr>
        <w:t>n.°</w:t>
      </w:r>
      <w:proofErr w:type="spellEnd"/>
      <w:r>
        <w:rPr>
          <w:spacing w:val="-9"/>
          <w:w w:val="105"/>
          <w:sz w:val="12"/>
        </w:rPr>
        <w:t xml:space="preserve"> </w:t>
      </w:r>
      <w:r>
        <w:rPr>
          <w:w w:val="105"/>
          <w:sz w:val="12"/>
        </w:rPr>
        <w:t>43546/02,</w:t>
      </w:r>
      <w:r>
        <w:rPr>
          <w:spacing w:val="-9"/>
          <w:w w:val="105"/>
          <w:sz w:val="12"/>
        </w:rPr>
        <w:t xml:space="preserve"> </w:t>
      </w:r>
      <w:r>
        <w:rPr>
          <w:w w:val="105"/>
          <w:sz w:val="12"/>
        </w:rPr>
        <w:t>sentencia</w:t>
      </w:r>
      <w:r>
        <w:rPr>
          <w:spacing w:val="-9"/>
          <w:w w:val="105"/>
          <w:sz w:val="12"/>
        </w:rPr>
        <w:t xml:space="preserve"> </w:t>
      </w:r>
      <w:r>
        <w:rPr>
          <w:w w:val="105"/>
          <w:sz w:val="12"/>
        </w:rPr>
        <w:t>de</w:t>
      </w:r>
      <w:r>
        <w:rPr>
          <w:spacing w:val="-8"/>
          <w:w w:val="105"/>
          <w:sz w:val="12"/>
        </w:rPr>
        <w:t xml:space="preserve"> </w:t>
      </w:r>
      <w:r>
        <w:rPr>
          <w:w w:val="105"/>
          <w:sz w:val="12"/>
        </w:rPr>
        <w:t>22</w:t>
      </w:r>
      <w:r>
        <w:rPr>
          <w:spacing w:val="-9"/>
          <w:w w:val="105"/>
          <w:sz w:val="12"/>
        </w:rPr>
        <w:t xml:space="preserve"> </w:t>
      </w:r>
      <w:r>
        <w:rPr>
          <w:w w:val="105"/>
          <w:sz w:val="12"/>
        </w:rPr>
        <w:t>de</w:t>
      </w:r>
      <w:r>
        <w:rPr>
          <w:spacing w:val="-9"/>
          <w:w w:val="105"/>
          <w:sz w:val="12"/>
        </w:rPr>
        <w:t xml:space="preserve"> </w:t>
      </w:r>
      <w:r>
        <w:rPr>
          <w:w w:val="105"/>
          <w:sz w:val="12"/>
        </w:rPr>
        <w:t>enero</w:t>
      </w:r>
      <w:r>
        <w:rPr>
          <w:spacing w:val="-9"/>
          <w:w w:val="105"/>
          <w:sz w:val="12"/>
        </w:rPr>
        <w:t xml:space="preserve"> </w:t>
      </w:r>
      <w:r>
        <w:rPr>
          <w:w w:val="105"/>
          <w:sz w:val="12"/>
        </w:rPr>
        <w:t>de</w:t>
      </w:r>
      <w:r>
        <w:rPr>
          <w:spacing w:val="-8"/>
          <w:w w:val="105"/>
          <w:sz w:val="12"/>
        </w:rPr>
        <w:t xml:space="preserve"> </w:t>
      </w:r>
      <w:r>
        <w:rPr>
          <w:w w:val="105"/>
          <w:sz w:val="12"/>
        </w:rPr>
        <w:t>2008;</w:t>
      </w:r>
      <w:r>
        <w:rPr>
          <w:spacing w:val="-9"/>
          <w:w w:val="105"/>
          <w:sz w:val="12"/>
        </w:rPr>
        <w:t xml:space="preserve"> </w:t>
      </w:r>
      <w:r>
        <w:rPr>
          <w:w w:val="105"/>
          <w:sz w:val="12"/>
        </w:rPr>
        <w:t>y</w:t>
      </w:r>
      <w:r>
        <w:rPr>
          <w:spacing w:val="-9"/>
          <w:w w:val="105"/>
          <w:sz w:val="12"/>
        </w:rPr>
        <w:t xml:space="preserve"> </w:t>
      </w:r>
      <w:r>
        <w:rPr>
          <w:w w:val="105"/>
          <w:sz w:val="12"/>
        </w:rPr>
        <w:t>X</w:t>
      </w:r>
      <w:r>
        <w:rPr>
          <w:spacing w:val="-9"/>
          <w:w w:val="105"/>
          <w:sz w:val="12"/>
        </w:rPr>
        <w:t xml:space="preserve"> </w:t>
      </w:r>
      <w:r>
        <w:rPr>
          <w:w w:val="105"/>
          <w:sz w:val="12"/>
        </w:rPr>
        <w:t>y</w:t>
      </w:r>
      <w:r>
        <w:rPr>
          <w:spacing w:val="-8"/>
          <w:w w:val="105"/>
          <w:sz w:val="12"/>
        </w:rPr>
        <w:t xml:space="preserve"> </w:t>
      </w:r>
      <w:r>
        <w:rPr>
          <w:w w:val="105"/>
          <w:sz w:val="12"/>
        </w:rPr>
        <w:t>otros</w:t>
      </w:r>
      <w:r>
        <w:rPr>
          <w:spacing w:val="-9"/>
          <w:w w:val="105"/>
          <w:sz w:val="12"/>
        </w:rPr>
        <w:t xml:space="preserve"> </w:t>
      </w:r>
      <w:r>
        <w:rPr>
          <w:w w:val="105"/>
          <w:sz w:val="12"/>
        </w:rPr>
        <w:t>c.</w:t>
      </w:r>
      <w:r>
        <w:rPr>
          <w:spacing w:val="-9"/>
          <w:w w:val="105"/>
          <w:sz w:val="12"/>
        </w:rPr>
        <w:t xml:space="preserve"> </w:t>
      </w:r>
      <w:r>
        <w:rPr>
          <w:w w:val="105"/>
          <w:sz w:val="12"/>
        </w:rPr>
        <w:t>Austria,</w:t>
      </w:r>
      <w:r>
        <w:rPr>
          <w:spacing w:val="-9"/>
          <w:w w:val="105"/>
          <w:sz w:val="12"/>
        </w:rPr>
        <w:t xml:space="preserve"> </w:t>
      </w:r>
      <w:r>
        <w:rPr>
          <w:w w:val="105"/>
          <w:sz w:val="12"/>
        </w:rPr>
        <w:t>solicitud</w:t>
      </w:r>
      <w:r>
        <w:rPr>
          <w:spacing w:val="-8"/>
          <w:w w:val="105"/>
          <w:sz w:val="12"/>
        </w:rPr>
        <w:t xml:space="preserve"> </w:t>
      </w:r>
      <w:proofErr w:type="spellStart"/>
      <w:r>
        <w:rPr>
          <w:w w:val="105"/>
          <w:sz w:val="12"/>
        </w:rPr>
        <w:t>n.°</w:t>
      </w:r>
      <w:proofErr w:type="spellEnd"/>
      <w:r>
        <w:rPr>
          <w:spacing w:val="40"/>
          <w:w w:val="105"/>
          <w:sz w:val="12"/>
        </w:rPr>
        <w:t xml:space="preserve"> </w:t>
      </w:r>
      <w:r>
        <w:rPr>
          <w:w w:val="105"/>
          <w:sz w:val="12"/>
        </w:rPr>
        <w:t>19010/07, sentencia de 19 de febrero de 2013.</w:t>
      </w:r>
    </w:p>
    <w:p w14:paraId="215FEE21" w14:textId="77777777" w:rsidR="0014798C" w:rsidRDefault="004E1F0B">
      <w:pPr>
        <w:spacing w:before="57"/>
        <w:ind w:left="78"/>
        <w:rPr>
          <w:sz w:val="12"/>
        </w:rPr>
      </w:pPr>
      <w:r>
        <w:rPr>
          <w:w w:val="105"/>
          <w:sz w:val="12"/>
        </w:rPr>
        <w:t>Tribunal</w:t>
      </w:r>
      <w:r>
        <w:rPr>
          <w:spacing w:val="-8"/>
          <w:w w:val="105"/>
          <w:sz w:val="12"/>
        </w:rPr>
        <w:t xml:space="preserve"> </w:t>
      </w:r>
      <w:r>
        <w:rPr>
          <w:w w:val="105"/>
          <w:sz w:val="12"/>
        </w:rPr>
        <w:t>Europeo</w:t>
      </w:r>
      <w:r>
        <w:rPr>
          <w:spacing w:val="-8"/>
          <w:w w:val="105"/>
          <w:sz w:val="12"/>
        </w:rPr>
        <w:t xml:space="preserve"> </w:t>
      </w:r>
      <w:r>
        <w:rPr>
          <w:w w:val="105"/>
          <w:sz w:val="12"/>
        </w:rPr>
        <w:t>de</w:t>
      </w:r>
      <w:r>
        <w:rPr>
          <w:spacing w:val="-8"/>
          <w:w w:val="105"/>
          <w:sz w:val="12"/>
        </w:rPr>
        <w:t xml:space="preserve"> </w:t>
      </w:r>
      <w:r>
        <w:rPr>
          <w:w w:val="105"/>
          <w:sz w:val="12"/>
        </w:rPr>
        <w:t>Derechos</w:t>
      </w:r>
      <w:r>
        <w:rPr>
          <w:spacing w:val="-8"/>
          <w:w w:val="105"/>
          <w:sz w:val="12"/>
        </w:rPr>
        <w:t xml:space="preserve"> </w:t>
      </w:r>
      <w:r>
        <w:rPr>
          <w:w w:val="105"/>
          <w:sz w:val="12"/>
        </w:rPr>
        <w:t>Humanos,</w:t>
      </w:r>
      <w:r>
        <w:rPr>
          <w:spacing w:val="-8"/>
          <w:w w:val="105"/>
          <w:sz w:val="12"/>
        </w:rPr>
        <w:t xml:space="preserve"> </w:t>
      </w:r>
      <w:r>
        <w:rPr>
          <w:w w:val="105"/>
          <w:sz w:val="12"/>
        </w:rPr>
        <w:t>Biao</w:t>
      </w:r>
      <w:r>
        <w:rPr>
          <w:spacing w:val="-7"/>
          <w:w w:val="105"/>
          <w:sz w:val="12"/>
        </w:rPr>
        <w:t xml:space="preserve"> </w:t>
      </w:r>
      <w:r>
        <w:rPr>
          <w:w w:val="105"/>
          <w:sz w:val="12"/>
        </w:rPr>
        <w:t>c.</w:t>
      </w:r>
      <w:r>
        <w:rPr>
          <w:spacing w:val="-8"/>
          <w:w w:val="105"/>
          <w:sz w:val="12"/>
        </w:rPr>
        <w:t xml:space="preserve"> </w:t>
      </w:r>
      <w:r>
        <w:rPr>
          <w:w w:val="105"/>
          <w:sz w:val="12"/>
        </w:rPr>
        <w:t>Dinamarca,</w:t>
      </w:r>
      <w:r>
        <w:rPr>
          <w:spacing w:val="-7"/>
          <w:w w:val="105"/>
          <w:sz w:val="12"/>
        </w:rPr>
        <w:t xml:space="preserve"> </w:t>
      </w:r>
      <w:r>
        <w:rPr>
          <w:w w:val="105"/>
          <w:sz w:val="12"/>
        </w:rPr>
        <w:t>solicitud</w:t>
      </w:r>
      <w:r>
        <w:rPr>
          <w:spacing w:val="-8"/>
          <w:w w:val="105"/>
          <w:sz w:val="12"/>
        </w:rPr>
        <w:t xml:space="preserve"> </w:t>
      </w:r>
      <w:r>
        <w:rPr>
          <w:w w:val="105"/>
          <w:sz w:val="12"/>
        </w:rPr>
        <w:t>n.º</w:t>
      </w:r>
      <w:r>
        <w:rPr>
          <w:spacing w:val="-8"/>
          <w:w w:val="105"/>
          <w:sz w:val="12"/>
        </w:rPr>
        <w:t xml:space="preserve"> </w:t>
      </w:r>
      <w:r>
        <w:rPr>
          <w:w w:val="105"/>
          <w:sz w:val="12"/>
        </w:rPr>
        <w:t>38590/10,</w:t>
      </w:r>
      <w:r>
        <w:rPr>
          <w:spacing w:val="-8"/>
          <w:w w:val="105"/>
          <w:sz w:val="12"/>
        </w:rPr>
        <w:t xml:space="preserve"> </w:t>
      </w:r>
      <w:r>
        <w:rPr>
          <w:w w:val="105"/>
          <w:sz w:val="12"/>
        </w:rPr>
        <w:t>sentencia</w:t>
      </w:r>
      <w:r>
        <w:rPr>
          <w:spacing w:val="-8"/>
          <w:w w:val="105"/>
          <w:sz w:val="12"/>
        </w:rPr>
        <w:t xml:space="preserve"> </w:t>
      </w:r>
      <w:r>
        <w:rPr>
          <w:w w:val="105"/>
          <w:sz w:val="12"/>
        </w:rPr>
        <w:t>de</w:t>
      </w:r>
      <w:r>
        <w:rPr>
          <w:spacing w:val="-7"/>
          <w:w w:val="105"/>
          <w:sz w:val="12"/>
        </w:rPr>
        <w:t xml:space="preserve"> </w:t>
      </w:r>
      <w:r>
        <w:rPr>
          <w:w w:val="105"/>
          <w:sz w:val="12"/>
        </w:rPr>
        <w:t>24</w:t>
      </w:r>
      <w:r>
        <w:rPr>
          <w:spacing w:val="-8"/>
          <w:w w:val="105"/>
          <w:sz w:val="12"/>
        </w:rPr>
        <w:t xml:space="preserve"> </w:t>
      </w:r>
      <w:r>
        <w:rPr>
          <w:w w:val="105"/>
          <w:sz w:val="12"/>
        </w:rPr>
        <w:t>de</w:t>
      </w:r>
      <w:r>
        <w:rPr>
          <w:spacing w:val="-8"/>
          <w:w w:val="105"/>
          <w:sz w:val="12"/>
        </w:rPr>
        <w:t xml:space="preserve"> </w:t>
      </w:r>
      <w:r>
        <w:rPr>
          <w:w w:val="105"/>
          <w:sz w:val="12"/>
        </w:rPr>
        <w:t>mayo</w:t>
      </w:r>
      <w:r>
        <w:rPr>
          <w:spacing w:val="-8"/>
          <w:w w:val="105"/>
          <w:sz w:val="12"/>
        </w:rPr>
        <w:t xml:space="preserve"> </w:t>
      </w:r>
      <w:r>
        <w:rPr>
          <w:w w:val="105"/>
          <w:sz w:val="12"/>
        </w:rPr>
        <w:t>de</w:t>
      </w:r>
      <w:r>
        <w:rPr>
          <w:spacing w:val="-8"/>
          <w:w w:val="105"/>
          <w:sz w:val="12"/>
        </w:rPr>
        <w:t xml:space="preserve"> </w:t>
      </w:r>
      <w:r>
        <w:rPr>
          <w:spacing w:val="-2"/>
          <w:w w:val="105"/>
          <w:sz w:val="12"/>
        </w:rPr>
        <w:t>2016.</w:t>
      </w:r>
    </w:p>
    <w:p w14:paraId="783F1A69" w14:textId="77777777" w:rsidR="0014798C" w:rsidRDefault="004E1F0B">
      <w:pPr>
        <w:spacing w:before="99" w:line="312" w:lineRule="auto"/>
        <w:ind w:left="87" w:right="1916" w:hanging="9"/>
        <w:rPr>
          <w:sz w:val="12"/>
        </w:rPr>
      </w:pPr>
      <w:r>
        <w:rPr>
          <w:w w:val="105"/>
          <w:sz w:val="12"/>
        </w:rPr>
        <w:t>Tribunal</w:t>
      </w:r>
      <w:r>
        <w:rPr>
          <w:spacing w:val="-8"/>
          <w:w w:val="105"/>
          <w:sz w:val="12"/>
        </w:rPr>
        <w:t xml:space="preserve"> </w:t>
      </w:r>
      <w:r>
        <w:rPr>
          <w:w w:val="105"/>
          <w:sz w:val="12"/>
        </w:rPr>
        <w:t>Europeo</w:t>
      </w:r>
      <w:r>
        <w:rPr>
          <w:spacing w:val="-8"/>
          <w:w w:val="105"/>
          <w:sz w:val="12"/>
        </w:rPr>
        <w:t xml:space="preserve"> </w:t>
      </w:r>
      <w:r>
        <w:rPr>
          <w:w w:val="105"/>
          <w:sz w:val="12"/>
        </w:rPr>
        <w:t>de</w:t>
      </w:r>
      <w:r>
        <w:rPr>
          <w:spacing w:val="-8"/>
          <w:w w:val="105"/>
          <w:sz w:val="12"/>
        </w:rPr>
        <w:t xml:space="preserve"> </w:t>
      </w:r>
      <w:r>
        <w:rPr>
          <w:w w:val="105"/>
          <w:sz w:val="12"/>
        </w:rPr>
        <w:t>Derechos</w:t>
      </w:r>
      <w:r>
        <w:rPr>
          <w:spacing w:val="-8"/>
          <w:w w:val="105"/>
          <w:sz w:val="12"/>
        </w:rPr>
        <w:t xml:space="preserve"> </w:t>
      </w:r>
      <w:r>
        <w:rPr>
          <w:w w:val="105"/>
          <w:sz w:val="12"/>
        </w:rPr>
        <w:t>Humanos,</w:t>
      </w:r>
      <w:r>
        <w:rPr>
          <w:spacing w:val="-8"/>
          <w:w w:val="105"/>
          <w:sz w:val="12"/>
        </w:rPr>
        <w:t xml:space="preserve"> </w:t>
      </w:r>
      <w:proofErr w:type="spellStart"/>
      <w:r>
        <w:rPr>
          <w:w w:val="105"/>
          <w:sz w:val="12"/>
        </w:rPr>
        <w:t>Moldovan</w:t>
      </w:r>
      <w:proofErr w:type="spellEnd"/>
      <w:r>
        <w:rPr>
          <w:spacing w:val="-8"/>
          <w:w w:val="105"/>
          <w:sz w:val="12"/>
        </w:rPr>
        <w:t xml:space="preserve"> </w:t>
      </w:r>
      <w:r>
        <w:rPr>
          <w:w w:val="105"/>
          <w:sz w:val="12"/>
        </w:rPr>
        <w:t>y</w:t>
      </w:r>
      <w:r>
        <w:rPr>
          <w:spacing w:val="-8"/>
          <w:w w:val="105"/>
          <w:sz w:val="12"/>
        </w:rPr>
        <w:t xml:space="preserve"> </w:t>
      </w:r>
      <w:r>
        <w:rPr>
          <w:w w:val="105"/>
          <w:sz w:val="12"/>
        </w:rPr>
        <w:t>otros</w:t>
      </w:r>
      <w:r>
        <w:rPr>
          <w:spacing w:val="-8"/>
          <w:w w:val="105"/>
          <w:sz w:val="12"/>
        </w:rPr>
        <w:t xml:space="preserve"> </w:t>
      </w:r>
      <w:r>
        <w:rPr>
          <w:w w:val="105"/>
          <w:sz w:val="12"/>
        </w:rPr>
        <w:t>c.</w:t>
      </w:r>
      <w:r>
        <w:rPr>
          <w:spacing w:val="-8"/>
          <w:w w:val="105"/>
          <w:sz w:val="12"/>
        </w:rPr>
        <w:t xml:space="preserve"> </w:t>
      </w:r>
      <w:r>
        <w:rPr>
          <w:w w:val="105"/>
          <w:sz w:val="12"/>
        </w:rPr>
        <w:t>Rumania,</w:t>
      </w:r>
      <w:r>
        <w:rPr>
          <w:spacing w:val="-8"/>
          <w:w w:val="105"/>
          <w:sz w:val="12"/>
        </w:rPr>
        <w:t xml:space="preserve"> </w:t>
      </w:r>
      <w:r>
        <w:rPr>
          <w:w w:val="105"/>
          <w:sz w:val="12"/>
        </w:rPr>
        <w:t>solicitudes</w:t>
      </w:r>
      <w:r>
        <w:rPr>
          <w:spacing w:val="-8"/>
          <w:w w:val="105"/>
          <w:sz w:val="12"/>
        </w:rPr>
        <w:t xml:space="preserve"> </w:t>
      </w:r>
      <w:proofErr w:type="spellStart"/>
      <w:r>
        <w:rPr>
          <w:w w:val="105"/>
          <w:sz w:val="12"/>
        </w:rPr>
        <w:t>núms</w:t>
      </w:r>
      <w:proofErr w:type="spellEnd"/>
      <w:r>
        <w:rPr>
          <w:w w:val="105"/>
          <w:sz w:val="12"/>
        </w:rPr>
        <w:t>.</w:t>
      </w:r>
      <w:r>
        <w:rPr>
          <w:spacing w:val="-8"/>
          <w:w w:val="105"/>
          <w:sz w:val="12"/>
        </w:rPr>
        <w:t xml:space="preserve"> </w:t>
      </w:r>
      <w:r>
        <w:rPr>
          <w:w w:val="105"/>
          <w:sz w:val="12"/>
        </w:rPr>
        <w:t>41138/98</w:t>
      </w:r>
      <w:r>
        <w:rPr>
          <w:spacing w:val="-8"/>
          <w:w w:val="105"/>
          <w:sz w:val="12"/>
        </w:rPr>
        <w:t xml:space="preserve"> </w:t>
      </w:r>
      <w:r>
        <w:rPr>
          <w:w w:val="105"/>
          <w:sz w:val="12"/>
        </w:rPr>
        <w:t>y</w:t>
      </w:r>
      <w:r>
        <w:rPr>
          <w:spacing w:val="-8"/>
          <w:w w:val="105"/>
          <w:sz w:val="12"/>
        </w:rPr>
        <w:t xml:space="preserve"> </w:t>
      </w:r>
      <w:r>
        <w:rPr>
          <w:w w:val="105"/>
          <w:sz w:val="12"/>
        </w:rPr>
        <w:t>64320/01,</w:t>
      </w:r>
      <w:r>
        <w:rPr>
          <w:spacing w:val="-8"/>
          <w:w w:val="105"/>
          <w:sz w:val="12"/>
        </w:rPr>
        <w:t xml:space="preserve"> </w:t>
      </w:r>
      <w:r>
        <w:rPr>
          <w:w w:val="105"/>
          <w:sz w:val="12"/>
        </w:rPr>
        <w:t>sentencia</w:t>
      </w:r>
      <w:r>
        <w:rPr>
          <w:spacing w:val="-8"/>
          <w:w w:val="105"/>
          <w:sz w:val="12"/>
        </w:rPr>
        <w:t xml:space="preserve"> </w:t>
      </w:r>
      <w:r>
        <w:rPr>
          <w:w w:val="105"/>
          <w:sz w:val="12"/>
        </w:rPr>
        <w:t>núm.</w:t>
      </w:r>
      <w:r>
        <w:rPr>
          <w:spacing w:val="-8"/>
          <w:w w:val="105"/>
          <w:sz w:val="12"/>
        </w:rPr>
        <w:t xml:space="preserve"> </w:t>
      </w:r>
      <w:r>
        <w:rPr>
          <w:w w:val="105"/>
          <w:sz w:val="12"/>
        </w:rPr>
        <w:t>2,</w:t>
      </w:r>
      <w:r>
        <w:rPr>
          <w:spacing w:val="-8"/>
          <w:w w:val="105"/>
          <w:sz w:val="12"/>
        </w:rPr>
        <w:t xml:space="preserve"> </w:t>
      </w:r>
      <w:r>
        <w:rPr>
          <w:w w:val="105"/>
          <w:sz w:val="12"/>
        </w:rPr>
        <w:t>12</w:t>
      </w:r>
      <w:r>
        <w:rPr>
          <w:spacing w:val="-8"/>
          <w:w w:val="105"/>
          <w:sz w:val="12"/>
        </w:rPr>
        <w:t xml:space="preserve"> </w:t>
      </w:r>
      <w:r>
        <w:rPr>
          <w:w w:val="105"/>
          <w:sz w:val="12"/>
        </w:rPr>
        <w:t>de</w:t>
      </w:r>
      <w:r>
        <w:rPr>
          <w:spacing w:val="-8"/>
          <w:w w:val="105"/>
          <w:sz w:val="12"/>
        </w:rPr>
        <w:t xml:space="preserve"> </w:t>
      </w:r>
      <w:r>
        <w:rPr>
          <w:w w:val="105"/>
          <w:sz w:val="12"/>
        </w:rPr>
        <w:t>julio</w:t>
      </w:r>
      <w:r>
        <w:rPr>
          <w:spacing w:val="-8"/>
          <w:w w:val="105"/>
          <w:sz w:val="12"/>
        </w:rPr>
        <w:t xml:space="preserve"> </w:t>
      </w:r>
      <w:r>
        <w:rPr>
          <w:w w:val="105"/>
          <w:sz w:val="12"/>
        </w:rPr>
        <w:t>de</w:t>
      </w:r>
      <w:r>
        <w:rPr>
          <w:spacing w:val="-8"/>
          <w:w w:val="105"/>
          <w:sz w:val="12"/>
        </w:rPr>
        <w:t xml:space="preserve"> </w:t>
      </w:r>
      <w:r>
        <w:rPr>
          <w:w w:val="105"/>
          <w:sz w:val="12"/>
        </w:rPr>
        <w:t>2005;</w:t>
      </w:r>
      <w:r>
        <w:rPr>
          <w:spacing w:val="40"/>
          <w:w w:val="105"/>
          <w:sz w:val="12"/>
        </w:rPr>
        <w:t xml:space="preserve"> </w:t>
      </w:r>
      <w:r>
        <w:rPr>
          <w:w w:val="105"/>
          <w:sz w:val="12"/>
        </w:rPr>
        <w:t>y</w:t>
      </w:r>
      <w:r>
        <w:rPr>
          <w:spacing w:val="-1"/>
          <w:w w:val="105"/>
          <w:sz w:val="12"/>
        </w:rPr>
        <w:t xml:space="preserve"> </w:t>
      </w:r>
      <w:r>
        <w:rPr>
          <w:w w:val="105"/>
          <w:sz w:val="12"/>
        </w:rPr>
        <w:t>Tribunal</w:t>
      </w:r>
      <w:r>
        <w:rPr>
          <w:spacing w:val="-1"/>
          <w:w w:val="105"/>
          <w:sz w:val="12"/>
        </w:rPr>
        <w:t xml:space="preserve"> </w:t>
      </w:r>
      <w:r>
        <w:rPr>
          <w:w w:val="105"/>
          <w:sz w:val="12"/>
        </w:rPr>
        <w:t>Europeo</w:t>
      </w:r>
      <w:r>
        <w:rPr>
          <w:spacing w:val="-1"/>
          <w:w w:val="105"/>
          <w:sz w:val="12"/>
        </w:rPr>
        <w:t xml:space="preserve"> </w:t>
      </w:r>
      <w:r>
        <w:rPr>
          <w:w w:val="105"/>
          <w:sz w:val="12"/>
        </w:rPr>
        <w:t>de</w:t>
      </w:r>
      <w:r>
        <w:rPr>
          <w:spacing w:val="-1"/>
          <w:w w:val="105"/>
          <w:sz w:val="12"/>
        </w:rPr>
        <w:t xml:space="preserve"> </w:t>
      </w:r>
      <w:r>
        <w:rPr>
          <w:w w:val="105"/>
          <w:sz w:val="12"/>
        </w:rPr>
        <w:t>Derechos</w:t>
      </w:r>
      <w:r>
        <w:rPr>
          <w:spacing w:val="-1"/>
          <w:w w:val="105"/>
          <w:sz w:val="12"/>
        </w:rPr>
        <w:t xml:space="preserve"> </w:t>
      </w:r>
      <w:r>
        <w:rPr>
          <w:w w:val="105"/>
          <w:sz w:val="12"/>
        </w:rPr>
        <w:t>Humanos,</w:t>
      </w:r>
      <w:r>
        <w:rPr>
          <w:spacing w:val="-1"/>
          <w:w w:val="105"/>
          <w:sz w:val="12"/>
        </w:rPr>
        <w:t xml:space="preserve"> </w:t>
      </w:r>
      <w:proofErr w:type="spellStart"/>
      <w:r>
        <w:rPr>
          <w:w w:val="105"/>
          <w:sz w:val="12"/>
        </w:rPr>
        <w:t>Vrountou</w:t>
      </w:r>
      <w:proofErr w:type="spellEnd"/>
      <w:r>
        <w:rPr>
          <w:spacing w:val="-1"/>
          <w:w w:val="105"/>
          <w:sz w:val="12"/>
        </w:rPr>
        <w:t xml:space="preserve"> </w:t>
      </w:r>
      <w:r>
        <w:rPr>
          <w:w w:val="105"/>
          <w:sz w:val="12"/>
        </w:rPr>
        <w:t>v.</w:t>
      </w:r>
      <w:r>
        <w:rPr>
          <w:spacing w:val="-1"/>
          <w:w w:val="105"/>
          <w:sz w:val="12"/>
        </w:rPr>
        <w:t xml:space="preserve"> </w:t>
      </w:r>
      <w:r>
        <w:rPr>
          <w:w w:val="105"/>
          <w:sz w:val="12"/>
        </w:rPr>
        <w:t>Chipre,</w:t>
      </w:r>
      <w:r>
        <w:rPr>
          <w:spacing w:val="-1"/>
          <w:w w:val="105"/>
          <w:sz w:val="12"/>
        </w:rPr>
        <w:t xml:space="preserve"> </w:t>
      </w:r>
      <w:r>
        <w:rPr>
          <w:w w:val="105"/>
          <w:sz w:val="12"/>
        </w:rPr>
        <w:t>solicitud</w:t>
      </w:r>
      <w:r>
        <w:rPr>
          <w:spacing w:val="-1"/>
          <w:w w:val="105"/>
          <w:sz w:val="12"/>
        </w:rPr>
        <w:t xml:space="preserve"> </w:t>
      </w:r>
      <w:r>
        <w:rPr>
          <w:w w:val="105"/>
          <w:sz w:val="12"/>
        </w:rPr>
        <w:t>n.º</w:t>
      </w:r>
      <w:r>
        <w:rPr>
          <w:spacing w:val="-1"/>
          <w:w w:val="105"/>
          <w:sz w:val="12"/>
        </w:rPr>
        <w:t xml:space="preserve"> </w:t>
      </w:r>
      <w:r>
        <w:rPr>
          <w:w w:val="105"/>
          <w:sz w:val="12"/>
        </w:rPr>
        <w:t>33631/06,</w:t>
      </w:r>
      <w:r>
        <w:rPr>
          <w:spacing w:val="-1"/>
          <w:w w:val="105"/>
          <w:sz w:val="12"/>
        </w:rPr>
        <w:t xml:space="preserve"> </w:t>
      </w:r>
      <w:r>
        <w:rPr>
          <w:w w:val="105"/>
          <w:sz w:val="12"/>
        </w:rPr>
        <w:t>sentencia</w:t>
      </w:r>
      <w:r>
        <w:rPr>
          <w:spacing w:val="-1"/>
          <w:w w:val="105"/>
          <w:sz w:val="12"/>
        </w:rPr>
        <w:t xml:space="preserve"> </w:t>
      </w:r>
      <w:r>
        <w:rPr>
          <w:w w:val="105"/>
          <w:sz w:val="12"/>
        </w:rPr>
        <w:t>de</w:t>
      </w:r>
      <w:r>
        <w:rPr>
          <w:spacing w:val="-1"/>
          <w:w w:val="105"/>
          <w:sz w:val="12"/>
        </w:rPr>
        <w:t xml:space="preserve"> </w:t>
      </w:r>
      <w:r>
        <w:rPr>
          <w:w w:val="105"/>
          <w:sz w:val="12"/>
        </w:rPr>
        <w:t>13</w:t>
      </w:r>
      <w:r>
        <w:rPr>
          <w:spacing w:val="-1"/>
          <w:w w:val="105"/>
          <w:sz w:val="12"/>
        </w:rPr>
        <w:t xml:space="preserve"> </w:t>
      </w:r>
      <w:r>
        <w:rPr>
          <w:w w:val="105"/>
          <w:sz w:val="12"/>
        </w:rPr>
        <w:t>de</w:t>
      </w:r>
      <w:r>
        <w:rPr>
          <w:spacing w:val="-1"/>
          <w:w w:val="105"/>
          <w:sz w:val="12"/>
        </w:rPr>
        <w:t xml:space="preserve"> </w:t>
      </w:r>
      <w:r>
        <w:rPr>
          <w:w w:val="105"/>
          <w:sz w:val="12"/>
        </w:rPr>
        <w:t>octubre</w:t>
      </w:r>
      <w:r>
        <w:rPr>
          <w:spacing w:val="-1"/>
          <w:w w:val="105"/>
          <w:sz w:val="12"/>
        </w:rPr>
        <w:t xml:space="preserve"> </w:t>
      </w:r>
      <w:r>
        <w:rPr>
          <w:w w:val="105"/>
          <w:sz w:val="12"/>
        </w:rPr>
        <w:t>de</w:t>
      </w:r>
      <w:r>
        <w:rPr>
          <w:spacing w:val="-1"/>
          <w:w w:val="105"/>
          <w:sz w:val="12"/>
        </w:rPr>
        <w:t xml:space="preserve"> </w:t>
      </w:r>
      <w:r>
        <w:rPr>
          <w:w w:val="105"/>
          <w:sz w:val="12"/>
        </w:rPr>
        <w:t>2015.</w:t>
      </w:r>
    </w:p>
    <w:p w14:paraId="27E537B7" w14:textId="77777777" w:rsidR="0014798C" w:rsidRDefault="004E1F0B">
      <w:pPr>
        <w:spacing w:before="57"/>
        <w:ind w:left="78"/>
        <w:rPr>
          <w:sz w:val="12"/>
        </w:rPr>
      </w:pPr>
      <w:r>
        <w:rPr>
          <w:w w:val="105"/>
          <w:sz w:val="12"/>
        </w:rPr>
        <w:t>Tribunal</w:t>
      </w:r>
      <w:r>
        <w:rPr>
          <w:spacing w:val="-7"/>
          <w:w w:val="105"/>
          <w:sz w:val="12"/>
        </w:rPr>
        <w:t xml:space="preserve"> </w:t>
      </w:r>
      <w:r>
        <w:rPr>
          <w:w w:val="105"/>
          <w:sz w:val="12"/>
        </w:rPr>
        <w:t>Europeo</w:t>
      </w:r>
      <w:r>
        <w:rPr>
          <w:spacing w:val="-7"/>
          <w:w w:val="105"/>
          <w:sz w:val="12"/>
        </w:rPr>
        <w:t xml:space="preserve"> </w:t>
      </w:r>
      <w:r>
        <w:rPr>
          <w:w w:val="105"/>
          <w:sz w:val="12"/>
        </w:rPr>
        <w:t>de</w:t>
      </w:r>
      <w:r>
        <w:rPr>
          <w:spacing w:val="-7"/>
          <w:w w:val="105"/>
          <w:sz w:val="12"/>
        </w:rPr>
        <w:t xml:space="preserve"> </w:t>
      </w:r>
      <w:r>
        <w:rPr>
          <w:w w:val="105"/>
          <w:sz w:val="12"/>
        </w:rPr>
        <w:t>Derechos</w:t>
      </w:r>
      <w:r>
        <w:rPr>
          <w:spacing w:val="-7"/>
          <w:w w:val="105"/>
          <w:sz w:val="12"/>
        </w:rPr>
        <w:t xml:space="preserve"> </w:t>
      </w:r>
      <w:r>
        <w:rPr>
          <w:w w:val="105"/>
          <w:sz w:val="12"/>
        </w:rPr>
        <w:t>Humanos,</w:t>
      </w:r>
      <w:r>
        <w:rPr>
          <w:spacing w:val="-7"/>
          <w:w w:val="105"/>
          <w:sz w:val="12"/>
        </w:rPr>
        <w:t xml:space="preserve"> </w:t>
      </w:r>
      <w:r>
        <w:rPr>
          <w:w w:val="105"/>
          <w:sz w:val="12"/>
        </w:rPr>
        <w:t>PB</w:t>
      </w:r>
      <w:r>
        <w:rPr>
          <w:spacing w:val="-7"/>
          <w:w w:val="105"/>
          <w:sz w:val="12"/>
        </w:rPr>
        <w:t xml:space="preserve"> </w:t>
      </w:r>
      <w:r>
        <w:rPr>
          <w:w w:val="105"/>
          <w:sz w:val="12"/>
        </w:rPr>
        <w:t>y</w:t>
      </w:r>
      <w:r>
        <w:rPr>
          <w:spacing w:val="-7"/>
          <w:w w:val="105"/>
          <w:sz w:val="12"/>
        </w:rPr>
        <w:t xml:space="preserve"> </w:t>
      </w:r>
      <w:r>
        <w:rPr>
          <w:w w:val="105"/>
          <w:sz w:val="12"/>
        </w:rPr>
        <w:t>JS</w:t>
      </w:r>
      <w:r>
        <w:rPr>
          <w:spacing w:val="-7"/>
          <w:w w:val="105"/>
          <w:sz w:val="12"/>
        </w:rPr>
        <w:t xml:space="preserve"> </w:t>
      </w:r>
      <w:r>
        <w:rPr>
          <w:w w:val="105"/>
          <w:sz w:val="12"/>
        </w:rPr>
        <w:t>c.</w:t>
      </w:r>
      <w:r>
        <w:rPr>
          <w:spacing w:val="-6"/>
          <w:w w:val="105"/>
          <w:sz w:val="12"/>
        </w:rPr>
        <w:t xml:space="preserve"> </w:t>
      </w:r>
      <w:r>
        <w:rPr>
          <w:w w:val="105"/>
          <w:sz w:val="12"/>
        </w:rPr>
        <w:t>Austria,</w:t>
      </w:r>
      <w:r>
        <w:rPr>
          <w:spacing w:val="-7"/>
          <w:w w:val="105"/>
          <w:sz w:val="12"/>
        </w:rPr>
        <w:t xml:space="preserve"> </w:t>
      </w:r>
      <w:r>
        <w:rPr>
          <w:w w:val="105"/>
          <w:sz w:val="12"/>
        </w:rPr>
        <w:t>solicitud</w:t>
      </w:r>
      <w:r>
        <w:rPr>
          <w:spacing w:val="-7"/>
          <w:w w:val="105"/>
          <w:sz w:val="12"/>
        </w:rPr>
        <w:t xml:space="preserve"> </w:t>
      </w:r>
      <w:r>
        <w:rPr>
          <w:w w:val="105"/>
          <w:sz w:val="12"/>
        </w:rPr>
        <w:t>n.º</w:t>
      </w:r>
      <w:r>
        <w:rPr>
          <w:spacing w:val="-7"/>
          <w:w w:val="105"/>
          <w:sz w:val="12"/>
        </w:rPr>
        <w:t xml:space="preserve"> </w:t>
      </w:r>
      <w:r>
        <w:rPr>
          <w:w w:val="105"/>
          <w:sz w:val="12"/>
        </w:rPr>
        <w:t>18984/02,</w:t>
      </w:r>
      <w:r>
        <w:rPr>
          <w:spacing w:val="-7"/>
          <w:w w:val="105"/>
          <w:sz w:val="12"/>
        </w:rPr>
        <w:t xml:space="preserve"> </w:t>
      </w:r>
      <w:r>
        <w:rPr>
          <w:w w:val="105"/>
          <w:sz w:val="12"/>
        </w:rPr>
        <w:t>sentencia</w:t>
      </w:r>
      <w:r>
        <w:rPr>
          <w:spacing w:val="-7"/>
          <w:w w:val="105"/>
          <w:sz w:val="12"/>
        </w:rPr>
        <w:t xml:space="preserve"> </w:t>
      </w:r>
      <w:r>
        <w:rPr>
          <w:w w:val="105"/>
          <w:sz w:val="12"/>
        </w:rPr>
        <w:t>de</w:t>
      </w:r>
      <w:r>
        <w:rPr>
          <w:spacing w:val="-7"/>
          <w:w w:val="105"/>
          <w:sz w:val="12"/>
        </w:rPr>
        <w:t xml:space="preserve"> </w:t>
      </w:r>
      <w:r>
        <w:rPr>
          <w:w w:val="105"/>
          <w:sz w:val="12"/>
        </w:rPr>
        <w:t>22</w:t>
      </w:r>
      <w:r>
        <w:rPr>
          <w:spacing w:val="-7"/>
          <w:w w:val="105"/>
          <w:sz w:val="12"/>
        </w:rPr>
        <w:t xml:space="preserve"> </w:t>
      </w:r>
      <w:r>
        <w:rPr>
          <w:w w:val="105"/>
          <w:sz w:val="12"/>
        </w:rPr>
        <w:t>de</w:t>
      </w:r>
      <w:r>
        <w:rPr>
          <w:spacing w:val="-7"/>
          <w:w w:val="105"/>
          <w:sz w:val="12"/>
        </w:rPr>
        <w:t xml:space="preserve"> </w:t>
      </w:r>
      <w:r>
        <w:rPr>
          <w:w w:val="105"/>
          <w:sz w:val="12"/>
        </w:rPr>
        <w:t>julio</w:t>
      </w:r>
      <w:r>
        <w:rPr>
          <w:spacing w:val="-6"/>
          <w:w w:val="105"/>
          <w:sz w:val="12"/>
        </w:rPr>
        <w:t xml:space="preserve"> </w:t>
      </w:r>
      <w:r>
        <w:rPr>
          <w:w w:val="105"/>
          <w:sz w:val="12"/>
        </w:rPr>
        <w:t>de</w:t>
      </w:r>
      <w:r>
        <w:rPr>
          <w:spacing w:val="-7"/>
          <w:w w:val="105"/>
          <w:sz w:val="12"/>
        </w:rPr>
        <w:t xml:space="preserve"> </w:t>
      </w:r>
      <w:r>
        <w:rPr>
          <w:spacing w:val="-2"/>
          <w:w w:val="105"/>
          <w:sz w:val="12"/>
        </w:rPr>
        <w:t>2010.</w:t>
      </w:r>
    </w:p>
    <w:p w14:paraId="1F972DD7" w14:textId="77777777" w:rsidR="0014798C" w:rsidRDefault="004E1F0B">
      <w:pPr>
        <w:spacing w:before="99" w:line="312" w:lineRule="auto"/>
        <w:ind w:left="77" w:right="1965" w:firstLine="1"/>
        <w:rPr>
          <w:sz w:val="12"/>
        </w:rPr>
      </w:pPr>
      <w:r>
        <w:rPr>
          <w:w w:val="105"/>
          <w:sz w:val="12"/>
        </w:rPr>
        <w:t>Tribunal</w:t>
      </w:r>
      <w:r>
        <w:rPr>
          <w:spacing w:val="-6"/>
          <w:w w:val="105"/>
          <w:sz w:val="12"/>
        </w:rPr>
        <w:t xml:space="preserve"> </w:t>
      </w:r>
      <w:r>
        <w:rPr>
          <w:w w:val="105"/>
          <w:sz w:val="12"/>
        </w:rPr>
        <w:t>Europeo</w:t>
      </w:r>
      <w:r>
        <w:rPr>
          <w:spacing w:val="-6"/>
          <w:w w:val="105"/>
          <w:sz w:val="12"/>
        </w:rPr>
        <w:t xml:space="preserve"> </w:t>
      </w:r>
      <w:r>
        <w:rPr>
          <w:w w:val="105"/>
          <w:sz w:val="12"/>
        </w:rPr>
        <w:t>de</w:t>
      </w:r>
      <w:r>
        <w:rPr>
          <w:spacing w:val="-6"/>
          <w:w w:val="105"/>
          <w:sz w:val="12"/>
        </w:rPr>
        <w:t xml:space="preserve"> </w:t>
      </w:r>
      <w:r>
        <w:rPr>
          <w:w w:val="105"/>
          <w:sz w:val="12"/>
        </w:rPr>
        <w:t>Derechos</w:t>
      </w:r>
      <w:r>
        <w:rPr>
          <w:spacing w:val="-6"/>
          <w:w w:val="105"/>
          <w:sz w:val="12"/>
        </w:rPr>
        <w:t xml:space="preserve"> </w:t>
      </w:r>
      <w:r>
        <w:rPr>
          <w:w w:val="105"/>
          <w:sz w:val="12"/>
        </w:rPr>
        <w:t>Humanos,</w:t>
      </w:r>
      <w:r>
        <w:rPr>
          <w:spacing w:val="-6"/>
          <w:w w:val="105"/>
          <w:sz w:val="12"/>
        </w:rPr>
        <w:t xml:space="preserve"> </w:t>
      </w:r>
      <w:r>
        <w:rPr>
          <w:w w:val="105"/>
          <w:sz w:val="12"/>
        </w:rPr>
        <w:t>Willis</w:t>
      </w:r>
      <w:r>
        <w:rPr>
          <w:spacing w:val="-6"/>
          <w:w w:val="105"/>
          <w:sz w:val="12"/>
        </w:rPr>
        <w:t xml:space="preserve"> </w:t>
      </w:r>
      <w:r>
        <w:rPr>
          <w:w w:val="105"/>
          <w:sz w:val="12"/>
        </w:rPr>
        <w:t>contra</w:t>
      </w:r>
      <w:r>
        <w:rPr>
          <w:spacing w:val="-6"/>
          <w:w w:val="105"/>
          <w:sz w:val="12"/>
        </w:rPr>
        <w:t xml:space="preserve"> </w:t>
      </w:r>
      <w:r>
        <w:rPr>
          <w:w w:val="105"/>
          <w:sz w:val="12"/>
        </w:rPr>
        <w:t>el</w:t>
      </w:r>
      <w:r>
        <w:rPr>
          <w:spacing w:val="-6"/>
          <w:w w:val="105"/>
          <w:sz w:val="12"/>
        </w:rPr>
        <w:t xml:space="preserve"> </w:t>
      </w:r>
      <w:r>
        <w:rPr>
          <w:w w:val="105"/>
          <w:sz w:val="12"/>
        </w:rPr>
        <w:t>Reino</w:t>
      </w:r>
      <w:r>
        <w:rPr>
          <w:spacing w:val="-6"/>
          <w:w w:val="105"/>
          <w:sz w:val="12"/>
        </w:rPr>
        <w:t xml:space="preserve"> </w:t>
      </w:r>
      <w:r>
        <w:rPr>
          <w:w w:val="105"/>
          <w:sz w:val="12"/>
        </w:rPr>
        <w:t>Unido,</w:t>
      </w:r>
      <w:r>
        <w:rPr>
          <w:spacing w:val="-6"/>
          <w:w w:val="105"/>
          <w:sz w:val="12"/>
        </w:rPr>
        <w:t xml:space="preserve"> </w:t>
      </w:r>
      <w:r>
        <w:rPr>
          <w:w w:val="105"/>
          <w:sz w:val="12"/>
        </w:rPr>
        <w:t>solicitud</w:t>
      </w:r>
      <w:r>
        <w:rPr>
          <w:spacing w:val="-6"/>
          <w:w w:val="105"/>
          <w:sz w:val="12"/>
        </w:rPr>
        <w:t xml:space="preserve"> </w:t>
      </w:r>
      <w:proofErr w:type="spellStart"/>
      <w:r>
        <w:rPr>
          <w:w w:val="105"/>
          <w:sz w:val="12"/>
        </w:rPr>
        <w:t>n.°</w:t>
      </w:r>
      <w:proofErr w:type="spellEnd"/>
      <w:r>
        <w:rPr>
          <w:spacing w:val="-6"/>
          <w:w w:val="105"/>
          <w:sz w:val="12"/>
        </w:rPr>
        <w:t xml:space="preserve"> </w:t>
      </w:r>
      <w:r>
        <w:rPr>
          <w:w w:val="105"/>
          <w:sz w:val="12"/>
        </w:rPr>
        <w:t>36042/97,</w:t>
      </w:r>
      <w:r>
        <w:rPr>
          <w:spacing w:val="-6"/>
          <w:w w:val="105"/>
          <w:sz w:val="12"/>
        </w:rPr>
        <w:t xml:space="preserve"> </w:t>
      </w:r>
      <w:r>
        <w:rPr>
          <w:w w:val="105"/>
          <w:sz w:val="12"/>
        </w:rPr>
        <w:t>sentencia</w:t>
      </w:r>
      <w:r>
        <w:rPr>
          <w:spacing w:val="-6"/>
          <w:w w:val="105"/>
          <w:sz w:val="12"/>
        </w:rPr>
        <w:t xml:space="preserve"> </w:t>
      </w:r>
      <w:r>
        <w:rPr>
          <w:w w:val="105"/>
          <w:sz w:val="12"/>
        </w:rPr>
        <w:t>de</w:t>
      </w:r>
      <w:r>
        <w:rPr>
          <w:spacing w:val="-6"/>
          <w:w w:val="105"/>
          <w:sz w:val="12"/>
        </w:rPr>
        <w:t xml:space="preserve"> </w:t>
      </w:r>
      <w:r>
        <w:rPr>
          <w:w w:val="105"/>
          <w:sz w:val="12"/>
        </w:rPr>
        <w:t>11</w:t>
      </w:r>
      <w:r>
        <w:rPr>
          <w:spacing w:val="-6"/>
          <w:w w:val="105"/>
          <w:sz w:val="12"/>
        </w:rPr>
        <w:t xml:space="preserve"> </w:t>
      </w:r>
      <w:r>
        <w:rPr>
          <w:w w:val="105"/>
          <w:sz w:val="12"/>
        </w:rPr>
        <w:t>de</w:t>
      </w:r>
      <w:r>
        <w:rPr>
          <w:spacing w:val="-6"/>
          <w:w w:val="105"/>
          <w:sz w:val="12"/>
        </w:rPr>
        <w:t xml:space="preserve"> </w:t>
      </w:r>
      <w:r>
        <w:rPr>
          <w:w w:val="105"/>
          <w:sz w:val="12"/>
        </w:rPr>
        <w:t>junio</w:t>
      </w:r>
      <w:r>
        <w:rPr>
          <w:spacing w:val="-6"/>
          <w:w w:val="105"/>
          <w:sz w:val="12"/>
        </w:rPr>
        <w:t xml:space="preserve"> </w:t>
      </w:r>
      <w:r>
        <w:rPr>
          <w:w w:val="105"/>
          <w:sz w:val="12"/>
        </w:rPr>
        <w:t>de</w:t>
      </w:r>
      <w:r>
        <w:rPr>
          <w:spacing w:val="-6"/>
          <w:w w:val="105"/>
          <w:sz w:val="12"/>
        </w:rPr>
        <w:t xml:space="preserve"> </w:t>
      </w:r>
      <w:r>
        <w:rPr>
          <w:w w:val="105"/>
          <w:sz w:val="12"/>
        </w:rPr>
        <w:t>2002;</w:t>
      </w:r>
      <w:r>
        <w:rPr>
          <w:spacing w:val="-6"/>
          <w:w w:val="105"/>
          <w:sz w:val="12"/>
        </w:rPr>
        <w:t xml:space="preserve"> </w:t>
      </w:r>
      <w:r>
        <w:rPr>
          <w:w w:val="105"/>
          <w:sz w:val="12"/>
        </w:rPr>
        <w:t>Muñoz</w:t>
      </w:r>
      <w:r>
        <w:rPr>
          <w:spacing w:val="-6"/>
          <w:w w:val="105"/>
          <w:sz w:val="12"/>
        </w:rPr>
        <w:t xml:space="preserve"> </w:t>
      </w:r>
      <w:r>
        <w:rPr>
          <w:w w:val="105"/>
          <w:sz w:val="12"/>
        </w:rPr>
        <w:t>Díaz</w:t>
      </w:r>
      <w:r>
        <w:rPr>
          <w:spacing w:val="-6"/>
          <w:w w:val="105"/>
          <w:sz w:val="12"/>
        </w:rPr>
        <w:t xml:space="preserve"> </w:t>
      </w:r>
      <w:r>
        <w:rPr>
          <w:w w:val="105"/>
          <w:sz w:val="12"/>
        </w:rPr>
        <w:t>c.</w:t>
      </w:r>
      <w:r>
        <w:rPr>
          <w:spacing w:val="40"/>
          <w:w w:val="105"/>
          <w:sz w:val="12"/>
        </w:rPr>
        <w:t xml:space="preserve"> </w:t>
      </w:r>
      <w:r>
        <w:rPr>
          <w:spacing w:val="-2"/>
          <w:w w:val="105"/>
          <w:sz w:val="12"/>
        </w:rPr>
        <w:t xml:space="preserve">España, Solicitud No. 49151/07, Sentencia, 8 de diciembre de 2009; </w:t>
      </w:r>
      <w:proofErr w:type="spellStart"/>
      <w:r>
        <w:rPr>
          <w:spacing w:val="-2"/>
          <w:w w:val="105"/>
          <w:sz w:val="12"/>
        </w:rPr>
        <w:t>Andrejeva</w:t>
      </w:r>
      <w:proofErr w:type="spellEnd"/>
      <w:r>
        <w:rPr>
          <w:spacing w:val="-2"/>
          <w:w w:val="105"/>
          <w:sz w:val="12"/>
        </w:rPr>
        <w:t xml:space="preserve"> c. Letonia, solicitud n.º 55707/00, sentencia de 18 de febrero de 2009;</w:t>
      </w:r>
    </w:p>
    <w:p w14:paraId="05C65A17" w14:textId="77777777" w:rsidR="0014798C" w:rsidRDefault="004E1F0B">
      <w:pPr>
        <w:spacing w:line="312" w:lineRule="auto"/>
        <w:ind w:left="76" w:right="2109" w:firstLine="10"/>
        <w:rPr>
          <w:sz w:val="12"/>
        </w:rPr>
      </w:pPr>
      <w:proofErr w:type="spellStart"/>
      <w:r>
        <w:rPr>
          <w:w w:val="105"/>
          <w:sz w:val="12"/>
        </w:rPr>
        <w:t>Gaygusuz</w:t>
      </w:r>
      <w:proofErr w:type="spellEnd"/>
      <w:r>
        <w:rPr>
          <w:spacing w:val="-9"/>
          <w:w w:val="105"/>
          <w:sz w:val="12"/>
        </w:rPr>
        <w:t xml:space="preserve"> </w:t>
      </w:r>
      <w:r>
        <w:rPr>
          <w:w w:val="105"/>
          <w:sz w:val="12"/>
        </w:rPr>
        <w:t>c.</w:t>
      </w:r>
      <w:r>
        <w:rPr>
          <w:spacing w:val="-8"/>
          <w:w w:val="105"/>
          <w:sz w:val="12"/>
        </w:rPr>
        <w:t xml:space="preserve"> </w:t>
      </w:r>
      <w:r>
        <w:rPr>
          <w:w w:val="105"/>
          <w:sz w:val="12"/>
        </w:rPr>
        <w:t>Austria,</w:t>
      </w:r>
      <w:r>
        <w:rPr>
          <w:spacing w:val="-9"/>
          <w:w w:val="105"/>
          <w:sz w:val="12"/>
        </w:rPr>
        <w:t xml:space="preserve"> </w:t>
      </w:r>
      <w:r>
        <w:rPr>
          <w:w w:val="105"/>
          <w:sz w:val="12"/>
        </w:rPr>
        <w:t>solicitud</w:t>
      </w:r>
      <w:r>
        <w:rPr>
          <w:spacing w:val="-8"/>
          <w:w w:val="105"/>
          <w:sz w:val="12"/>
        </w:rPr>
        <w:t xml:space="preserve"> </w:t>
      </w:r>
      <w:r>
        <w:rPr>
          <w:w w:val="105"/>
          <w:sz w:val="12"/>
        </w:rPr>
        <w:t>núm.</w:t>
      </w:r>
      <w:r>
        <w:rPr>
          <w:spacing w:val="-9"/>
          <w:w w:val="105"/>
          <w:sz w:val="12"/>
        </w:rPr>
        <w:t xml:space="preserve"> </w:t>
      </w:r>
      <w:r>
        <w:rPr>
          <w:w w:val="105"/>
          <w:sz w:val="12"/>
        </w:rPr>
        <w:t>17371/90,</w:t>
      </w:r>
      <w:r>
        <w:rPr>
          <w:spacing w:val="-8"/>
          <w:w w:val="105"/>
          <w:sz w:val="12"/>
        </w:rPr>
        <w:t xml:space="preserve"> </w:t>
      </w:r>
      <w:r>
        <w:rPr>
          <w:w w:val="105"/>
          <w:sz w:val="12"/>
        </w:rPr>
        <w:t>sentencia</w:t>
      </w:r>
      <w:r>
        <w:rPr>
          <w:spacing w:val="-9"/>
          <w:w w:val="105"/>
          <w:sz w:val="12"/>
        </w:rPr>
        <w:t xml:space="preserve"> </w:t>
      </w:r>
      <w:r>
        <w:rPr>
          <w:w w:val="105"/>
          <w:sz w:val="12"/>
        </w:rPr>
        <w:t>de</w:t>
      </w:r>
      <w:r>
        <w:rPr>
          <w:spacing w:val="-8"/>
          <w:w w:val="105"/>
          <w:sz w:val="12"/>
        </w:rPr>
        <w:t xml:space="preserve"> </w:t>
      </w:r>
      <w:r>
        <w:rPr>
          <w:w w:val="105"/>
          <w:sz w:val="12"/>
        </w:rPr>
        <w:t>16</w:t>
      </w:r>
      <w:r>
        <w:rPr>
          <w:spacing w:val="-9"/>
          <w:w w:val="105"/>
          <w:sz w:val="12"/>
        </w:rPr>
        <w:t xml:space="preserve"> </w:t>
      </w:r>
      <w:r>
        <w:rPr>
          <w:w w:val="105"/>
          <w:sz w:val="12"/>
        </w:rPr>
        <w:t>de</w:t>
      </w:r>
      <w:r>
        <w:rPr>
          <w:spacing w:val="-8"/>
          <w:w w:val="105"/>
          <w:sz w:val="12"/>
        </w:rPr>
        <w:t xml:space="preserve"> </w:t>
      </w:r>
      <w:r>
        <w:rPr>
          <w:w w:val="105"/>
          <w:sz w:val="12"/>
        </w:rPr>
        <w:t>septiembre</w:t>
      </w:r>
      <w:r>
        <w:rPr>
          <w:spacing w:val="-9"/>
          <w:w w:val="105"/>
          <w:sz w:val="12"/>
        </w:rPr>
        <w:t xml:space="preserve"> </w:t>
      </w:r>
      <w:r>
        <w:rPr>
          <w:w w:val="105"/>
          <w:sz w:val="12"/>
        </w:rPr>
        <w:t>de</w:t>
      </w:r>
      <w:r>
        <w:rPr>
          <w:spacing w:val="-8"/>
          <w:w w:val="105"/>
          <w:sz w:val="12"/>
        </w:rPr>
        <w:t xml:space="preserve"> </w:t>
      </w:r>
      <w:r>
        <w:rPr>
          <w:w w:val="105"/>
          <w:sz w:val="12"/>
        </w:rPr>
        <w:t>1996;</w:t>
      </w:r>
      <w:r>
        <w:rPr>
          <w:spacing w:val="-9"/>
          <w:w w:val="105"/>
          <w:sz w:val="12"/>
        </w:rPr>
        <w:t xml:space="preserve"> </w:t>
      </w:r>
      <w:r>
        <w:rPr>
          <w:w w:val="105"/>
          <w:sz w:val="12"/>
        </w:rPr>
        <w:t>y</w:t>
      </w:r>
      <w:r>
        <w:rPr>
          <w:spacing w:val="-8"/>
          <w:w w:val="105"/>
          <w:sz w:val="12"/>
        </w:rPr>
        <w:t xml:space="preserve"> </w:t>
      </w:r>
      <w:proofErr w:type="spellStart"/>
      <w:r>
        <w:rPr>
          <w:w w:val="105"/>
          <w:sz w:val="12"/>
        </w:rPr>
        <w:t>Koua</w:t>
      </w:r>
      <w:proofErr w:type="spellEnd"/>
      <w:r>
        <w:rPr>
          <w:spacing w:val="-9"/>
          <w:w w:val="105"/>
          <w:sz w:val="12"/>
        </w:rPr>
        <w:t xml:space="preserve"> </w:t>
      </w:r>
      <w:proofErr w:type="spellStart"/>
      <w:r>
        <w:rPr>
          <w:w w:val="105"/>
          <w:sz w:val="12"/>
        </w:rPr>
        <w:t>Poirrez</w:t>
      </w:r>
      <w:proofErr w:type="spellEnd"/>
      <w:r>
        <w:rPr>
          <w:spacing w:val="-8"/>
          <w:w w:val="105"/>
          <w:sz w:val="12"/>
        </w:rPr>
        <w:t xml:space="preserve"> </w:t>
      </w:r>
      <w:r>
        <w:rPr>
          <w:w w:val="105"/>
          <w:sz w:val="12"/>
        </w:rPr>
        <w:t>c.</w:t>
      </w:r>
      <w:r>
        <w:rPr>
          <w:spacing w:val="-9"/>
          <w:w w:val="105"/>
          <w:sz w:val="12"/>
        </w:rPr>
        <w:t xml:space="preserve"> </w:t>
      </w:r>
      <w:r>
        <w:rPr>
          <w:w w:val="105"/>
          <w:sz w:val="12"/>
        </w:rPr>
        <w:t>Francia,</w:t>
      </w:r>
      <w:r>
        <w:rPr>
          <w:spacing w:val="-8"/>
          <w:w w:val="105"/>
          <w:sz w:val="12"/>
        </w:rPr>
        <w:t xml:space="preserve"> </w:t>
      </w:r>
      <w:r>
        <w:rPr>
          <w:w w:val="105"/>
          <w:sz w:val="12"/>
        </w:rPr>
        <w:t>solicitud</w:t>
      </w:r>
      <w:r>
        <w:rPr>
          <w:spacing w:val="-9"/>
          <w:w w:val="105"/>
          <w:sz w:val="12"/>
        </w:rPr>
        <w:t xml:space="preserve"> </w:t>
      </w:r>
      <w:proofErr w:type="spellStart"/>
      <w:r>
        <w:rPr>
          <w:w w:val="105"/>
          <w:sz w:val="12"/>
        </w:rPr>
        <w:t>n.°</w:t>
      </w:r>
      <w:proofErr w:type="spellEnd"/>
      <w:r>
        <w:rPr>
          <w:spacing w:val="-8"/>
          <w:w w:val="105"/>
          <w:sz w:val="12"/>
        </w:rPr>
        <w:t xml:space="preserve"> </w:t>
      </w:r>
      <w:r>
        <w:rPr>
          <w:w w:val="105"/>
          <w:sz w:val="12"/>
        </w:rPr>
        <w:t>40892/98,</w:t>
      </w:r>
      <w:r>
        <w:rPr>
          <w:spacing w:val="-9"/>
          <w:w w:val="105"/>
          <w:sz w:val="12"/>
        </w:rPr>
        <w:t xml:space="preserve"> </w:t>
      </w:r>
      <w:r>
        <w:rPr>
          <w:w w:val="105"/>
          <w:sz w:val="12"/>
        </w:rPr>
        <w:t>sentencia</w:t>
      </w:r>
      <w:r>
        <w:rPr>
          <w:spacing w:val="40"/>
          <w:w w:val="105"/>
          <w:sz w:val="12"/>
        </w:rPr>
        <w:t xml:space="preserve"> </w:t>
      </w:r>
      <w:r>
        <w:rPr>
          <w:w w:val="105"/>
          <w:sz w:val="12"/>
        </w:rPr>
        <w:t>de 30 de septiembre de 2003.</w:t>
      </w:r>
    </w:p>
    <w:p w14:paraId="257AD4B0" w14:textId="77777777" w:rsidR="0014798C" w:rsidRDefault="004E1F0B">
      <w:pPr>
        <w:spacing w:before="58"/>
        <w:ind w:left="78"/>
        <w:rPr>
          <w:sz w:val="12"/>
        </w:rPr>
      </w:pPr>
      <w:r>
        <w:rPr>
          <w:w w:val="105"/>
          <w:sz w:val="12"/>
        </w:rPr>
        <w:t>Tribunal</w:t>
      </w:r>
      <w:r>
        <w:rPr>
          <w:spacing w:val="-8"/>
          <w:w w:val="105"/>
          <w:sz w:val="12"/>
        </w:rPr>
        <w:t xml:space="preserve"> </w:t>
      </w:r>
      <w:r>
        <w:rPr>
          <w:w w:val="105"/>
          <w:sz w:val="12"/>
        </w:rPr>
        <w:t>Europeo</w:t>
      </w:r>
      <w:r>
        <w:rPr>
          <w:spacing w:val="-8"/>
          <w:w w:val="105"/>
          <w:sz w:val="12"/>
        </w:rPr>
        <w:t xml:space="preserve"> </w:t>
      </w:r>
      <w:r>
        <w:rPr>
          <w:w w:val="105"/>
          <w:sz w:val="12"/>
        </w:rPr>
        <w:t>de</w:t>
      </w:r>
      <w:r>
        <w:rPr>
          <w:spacing w:val="-8"/>
          <w:w w:val="105"/>
          <w:sz w:val="12"/>
        </w:rPr>
        <w:t xml:space="preserve"> </w:t>
      </w:r>
      <w:r>
        <w:rPr>
          <w:w w:val="105"/>
          <w:sz w:val="12"/>
        </w:rPr>
        <w:t>Derechos</w:t>
      </w:r>
      <w:r>
        <w:rPr>
          <w:spacing w:val="-8"/>
          <w:w w:val="105"/>
          <w:sz w:val="12"/>
        </w:rPr>
        <w:t xml:space="preserve"> </w:t>
      </w:r>
      <w:r>
        <w:rPr>
          <w:w w:val="105"/>
          <w:sz w:val="12"/>
        </w:rPr>
        <w:t>Humanos,</w:t>
      </w:r>
      <w:r>
        <w:rPr>
          <w:spacing w:val="-8"/>
          <w:w w:val="105"/>
          <w:sz w:val="12"/>
        </w:rPr>
        <w:t xml:space="preserve"> </w:t>
      </w:r>
      <w:r>
        <w:rPr>
          <w:w w:val="105"/>
          <w:sz w:val="12"/>
        </w:rPr>
        <w:t>Biao</w:t>
      </w:r>
      <w:r>
        <w:rPr>
          <w:spacing w:val="-7"/>
          <w:w w:val="105"/>
          <w:sz w:val="12"/>
        </w:rPr>
        <w:t xml:space="preserve"> </w:t>
      </w:r>
      <w:r>
        <w:rPr>
          <w:w w:val="105"/>
          <w:sz w:val="12"/>
        </w:rPr>
        <w:t>c.</w:t>
      </w:r>
      <w:r>
        <w:rPr>
          <w:spacing w:val="-8"/>
          <w:w w:val="105"/>
          <w:sz w:val="12"/>
        </w:rPr>
        <w:t xml:space="preserve"> </w:t>
      </w:r>
      <w:r>
        <w:rPr>
          <w:w w:val="105"/>
          <w:sz w:val="12"/>
        </w:rPr>
        <w:t>Dinamarca,</w:t>
      </w:r>
      <w:r>
        <w:rPr>
          <w:spacing w:val="-7"/>
          <w:w w:val="105"/>
          <w:sz w:val="12"/>
        </w:rPr>
        <w:t xml:space="preserve"> </w:t>
      </w:r>
      <w:r>
        <w:rPr>
          <w:w w:val="105"/>
          <w:sz w:val="12"/>
        </w:rPr>
        <w:t>solicitud</w:t>
      </w:r>
      <w:r>
        <w:rPr>
          <w:spacing w:val="-8"/>
          <w:w w:val="105"/>
          <w:sz w:val="12"/>
        </w:rPr>
        <w:t xml:space="preserve"> </w:t>
      </w:r>
      <w:r>
        <w:rPr>
          <w:w w:val="105"/>
          <w:sz w:val="12"/>
        </w:rPr>
        <w:t>n.º</w:t>
      </w:r>
      <w:r>
        <w:rPr>
          <w:spacing w:val="-8"/>
          <w:w w:val="105"/>
          <w:sz w:val="12"/>
        </w:rPr>
        <w:t xml:space="preserve"> </w:t>
      </w:r>
      <w:r>
        <w:rPr>
          <w:w w:val="105"/>
          <w:sz w:val="12"/>
        </w:rPr>
        <w:t>38590/10,</w:t>
      </w:r>
      <w:r>
        <w:rPr>
          <w:spacing w:val="-8"/>
          <w:w w:val="105"/>
          <w:sz w:val="12"/>
        </w:rPr>
        <w:t xml:space="preserve"> </w:t>
      </w:r>
      <w:r>
        <w:rPr>
          <w:w w:val="105"/>
          <w:sz w:val="12"/>
        </w:rPr>
        <w:t>sentencia</w:t>
      </w:r>
      <w:r>
        <w:rPr>
          <w:spacing w:val="-8"/>
          <w:w w:val="105"/>
          <w:sz w:val="12"/>
        </w:rPr>
        <w:t xml:space="preserve"> </w:t>
      </w:r>
      <w:r>
        <w:rPr>
          <w:w w:val="105"/>
          <w:sz w:val="12"/>
        </w:rPr>
        <w:t>de</w:t>
      </w:r>
      <w:r>
        <w:rPr>
          <w:spacing w:val="-7"/>
          <w:w w:val="105"/>
          <w:sz w:val="12"/>
        </w:rPr>
        <w:t xml:space="preserve"> </w:t>
      </w:r>
      <w:r>
        <w:rPr>
          <w:w w:val="105"/>
          <w:sz w:val="12"/>
        </w:rPr>
        <w:t>24</w:t>
      </w:r>
      <w:r>
        <w:rPr>
          <w:spacing w:val="-8"/>
          <w:w w:val="105"/>
          <w:sz w:val="12"/>
        </w:rPr>
        <w:t xml:space="preserve"> </w:t>
      </w:r>
      <w:r>
        <w:rPr>
          <w:w w:val="105"/>
          <w:sz w:val="12"/>
        </w:rPr>
        <w:t>de</w:t>
      </w:r>
      <w:r>
        <w:rPr>
          <w:spacing w:val="-8"/>
          <w:w w:val="105"/>
          <w:sz w:val="12"/>
        </w:rPr>
        <w:t xml:space="preserve"> </w:t>
      </w:r>
      <w:r>
        <w:rPr>
          <w:w w:val="105"/>
          <w:sz w:val="12"/>
        </w:rPr>
        <w:t>mayo</w:t>
      </w:r>
      <w:r>
        <w:rPr>
          <w:spacing w:val="-8"/>
          <w:w w:val="105"/>
          <w:sz w:val="12"/>
        </w:rPr>
        <w:t xml:space="preserve"> </w:t>
      </w:r>
      <w:r>
        <w:rPr>
          <w:w w:val="105"/>
          <w:sz w:val="12"/>
        </w:rPr>
        <w:t>de</w:t>
      </w:r>
      <w:r>
        <w:rPr>
          <w:spacing w:val="-8"/>
          <w:w w:val="105"/>
          <w:sz w:val="12"/>
        </w:rPr>
        <w:t xml:space="preserve"> </w:t>
      </w:r>
      <w:r>
        <w:rPr>
          <w:spacing w:val="-2"/>
          <w:w w:val="105"/>
          <w:sz w:val="12"/>
        </w:rPr>
        <w:t>2016.</w:t>
      </w:r>
    </w:p>
    <w:p w14:paraId="743E1D7B" w14:textId="77777777" w:rsidR="0014798C" w:rsidRDefault="004E1F0B">
      <w:pPr>
        <w:spacing w:before="98" w:line="312" w:lineRule="auto"/>
        <w:ind w:left="77" w:right="1742" w:firstLine="1"/>
        <w:rPr>
          <w:sz w:val="12"/>
        </w:rPr>
      </w:pPr>
      <w:r>
        <w:rPr>
          <w:w w:val="105"/>
          <w:sz w:val="12"/>
        </w:rPr>
        <w:t>Tribunal</w:t>
      </w:r>
      <w:r>
        <w:rPr>
          <w:spacing w:val="-9"/>
          <w:w w:val="105"/>
          <w:sz w:val="12"/>
        </w:rPr>
        <w:t xml:space="preserve"> </w:t>
      </w:r>
      <w:r>
        <w:rPr>
          <w:w w:val="105"/>
          <w:sz w:val="12"/>
        </w:rPr>
        <w:t>Europeo</w:t>
      </w:r>
      <w:r>
        <w:rPr>
          <w:spacing w:val="-9"/>
          <w:w w:val="105"/>
          <w:sz w:val="12"/>
        </w:rPr>
        <w:t xml:space="preserve"> </w:t>
      </w:r>
      <w:r>
        <w:rPr>
          <w:w w:val="105"/>
          <w:sz w:val="12"/>
        </w:rPr>
        <w:t>de</w:t>
      </w:r>
      <w:r>
        <w:rPr>
          <w:spacing w:val="-9"/>
          <w:w w:val="105"/>
          <w:sz w:val="12"/>
        </w:rPr>
        <w:t xml:space="preserve"> </w:t>
      </w:r>
      <w:r>
        <w:rPr>
          <w:w w:val="105"/>
          <w:sz w:val="12"/>
        </w:rPr>
        <w:t>Derechos</w:t>
      </w:r>
      <w:r>
        <w:rPr>
          <w:spacing w:val="-8"/>
          <w:w w:val="105"/>
          <w:sz w:val="12"/>
        </w:rPr>
        <w:t xml:space="preserve"> </w:t>
      </w:r>
      <w:r>
        <w:rPr>
          <w:w w:val="105"/>
          <w:sz w:val="12"/>
        </w:rPr>
        <w:t>Humanos,</w:t>
      </w:r>
      <w:r>
        <w:rPr>
          <w:spacing w:val="-9"/>
          <w:w w:val="105"/>
          <w:sz w:val="12"/>
        </w:rPr>
        <w:t xml:space="preserve"> </w:t>
      </w:r>
      <w:proofErr w:type="spellStart"/>
      <w:r>
        <w:rPr>
          <w:w w:val="105"/>
          <w:sz w:val="12"/>
        </w:rPr>
        <w:t>Oliari</w:t>
      </w:r>
      <w:proofErr w:type="spellEnd"/>
      <w:r>
        <w:rPr>
          <w:spacing w:val="-9"/>
          <w:w w:val="105"/>
          <w:sz w:val="12"/>
        </w:rPr>
        <w:t xml:space="preserve"> </w:t>
      </w:r>
      <w:r>
        <w:rPr>
          <w:w w:val="105"/>
          <w:sz w:val="12"/>
        </w:rPr>
        <w:t>y</w:t>
      </w:r>
      <w:r>
        <w:rPr>
          <w:spacing w:val="-9"/>
          <w:w w:val="105"/>
          <w:sz w:val="12"/>
        </w:rPr>
        <w:t xml:space="preserve"> </w:t>
      </w:r>
      <w:r>
        <w:rPr>
          <w:w w:val="105"/>
          <w:sz w:val="12"/>
        </w:rPr>
        <w:t>otros</w:t>
      </w:r>
      <w:r>
        <w:rPr>
          <w:spacing w:val="-9"/>
          <w:w w:val="105"/>
          <w:sz w:val="12"/>
        </w:rPr>
        <w:t xml:space="preserve"> </w:t>
      </w:r>
      <w:r>
        <w:rPr>
          <w:w w:val="105"/>
          <w:sz w:val="12"/>
        </w:rPr>
        <w:t>c.</w:t>
      </w:r>
      <w:r>
        <w:rPr>
          <w:spacing w:val="-8"/>
          <w:w w:val="105"/>
          <w:sz w:val="12"/>
        </w:rPr>
        <w:t xml:space="preserve"> </w:t>
      </w:r>
      <w:r>
        <w:rPr>
          <w:w w:val="105"/>
          <w:sz w:val="12"/>
        </w:rPr>
        <w:t>Italia,</w:t>
      </w:r>
      <w:r>
        <w:rPr>
          <w:spacing w:val="-9"/>
          <w:w w:val="105"/>
          <w:sz w:val="12"/>
        </w:rPr>
        <w:t xml:space="preserve"> </w:t>
      </w:r>
      <w:r>
        <w:rPr>
          <w:w w:val="105"/>
          <w:sz w:val="12"/>
        </w:rPr>
        <w:t>solicitudes</w:t>
      </w:r>
      <w:r>
        <w:rPr>
          <w:spacing w:val="-9"/>
          <w:w w:val="105"/>
          <w:sz w:val="12"/>
        </w:rPr>
        <w:t xml:space="preserve"> </w:t>
      </w:r>
      <w:proofErr w:type="spellStart"/>
      <w:r>
        <w:rPr>
          <w:w w:val="105"/>
          <w:sz w:val="12"/>
        </w:rPr>
        <w:t>núms</w:t>
      </w:r>
      <w:proofErr w:type="spellEnd"/>
      <w:r>
        <w:rPr>
          <w:w w:val="105"/>
          <w:sz w:val="12"/>
        </w:rPr>
        <w:t>.</w:t>
      </w:r>
      <w:r>
        <w:rPr>
          <w:spacing w:val="-9"/>
          <w:w w:val="105"/>
          <w:sz w:val="12"/>
        </w:rPr>
        <w:t xml:space="preserve"> </w:t>
      </w:r>
      <w:r>
        <w:rPr>
          <w:w w:val="105"/>
          <w:sz w:val="12"/>
        </w:rPr>
        <w:t>18766/11</w:t>
      </w:r>
      <w:r>
        <w:rPr>
          <w:spacing w:val="-8"/>
          <w:w w:val="105"/>
          <w:sz w:val="12"/>
        </w:rPr>
        <w:t xml:space="preserve"> </w:t>
      </w:r>
      <w:r>
        <w:rPr>
          <w:w w:val="105"/>
          <w:sz w:val="12"/>
        </w:rPr>
        <w:t>y</w:t>
      </w:r>
      <w:r>
        <w:rPr>
          <w:spacing w:val="-9"/>
          <w:w w:val="105"/>
          <w:sz w:val="12"/>
        </w:rPr>
        <w:t xml:space="preserve"> </w:t>
      </w:r>
      <w:r>
        <w:rPr>
          <w:w w:val="105"/>
          <w:sz w:val="12"/>
        </w:rPr>
        <w:t>36030/11,</w:t>
      </w:r>
      <w:r>
        <w:rPr>
          <w:spacing w:val="-9"/>
          <w:w w:val="105"/>
          <w:sz w:val="12"/>
        </w:rPr>
        <w:t xml:space="preserve"> </w:t>
      </w:r>
      <w:r>
        <w:rPr>
          <w:w w:val="105"/>
          <w:sz w:val="12"/>
        </w:rPr>
        <w:t>sentencia</w:t>
      </w:r>
      <w:r>
        <w:rPr>
          <w:spacing w:val="-9"/>
          <w:w w:val="105"/>
          <w:sz w:val="12"/>
        </w:rPr>
        <w:t xml:space="preserve"> </w:t>
      </w:r>
      <w:r>
        <w:rPr>
          <w:w w:val="105"/>
          <w:sz w:val="12"/>
        </w:rPr>
        <w:t>de</w:t>
      </w:r>
      <w:r>
        <w:rPr>
          <w:spacing w:val="-8"/>
          <w:w w:val="105"/>
          <w:sz w:val="12"/>
        </w:rPr>
        <w:t xml:space="preserve"> </w:t>
      </w:r>
      <w:r>
        <w:rPr>
          <w:w w:val="105"/>
          <w:sz w:val="12"/>
        </w:rPr>
        <w:t>21</w:t>
      </w:r>
      <w:r>
        <w:rPr>
          <w:spacing w:val="-9"/>
          <w:w w:val="105"/>
          <w:sz w:val="12"/>
        </w:rPr>
        <w:t xml:space="preserve"> </w:t>
      </w:r>
      <w:r>
        <w:rPr>
          <w:w w:val="105"/>
          <w:sz w:val="12"/>
        </w:rPr>
        <w:t>de</w:t>
      </w:r>
      <w:r>
        <w:rPr>
          <w:spacing w:val="-9"/>
          <w:w w:val="105"/>
          <w:sz w:val="12"/>
        </w:rPr>
        <w:t xml:space="preserve"> </w:t>
      </w:r>
      <w:r>
        <w:rPr>
          <w:w w:val="105"/>
          <w:sz w:val="12"/>
        </w:rPr>
        <w:t>julio</w:t>
      </w:r>
      <w:r>
        <w:rPr>
          <w:spacing w:val="-9"/>
          <w:w w:val="105"/>
          <w:sz w:val="12"/>
        </w:rPr>
        <w:t xml:space="preserve"> </w:t>
      </w:r>
      <w:r>
        <w:rPr>
          <w:w w:val="105"/>
          <w:sz w:val="12"/>
        </w:rPr>
        <w:t>de</w:t>
      </w:r>
      <w:r>
        <w:rPr>
          <w:spacing w:val="-8"/>
          <w:w w:val="105"/>
          <w:sz w:val="12"/>
        </w:rPr>
        <w:t xml:space="preserve"> </w:t>
      </w:r>
      <w:r>
        <w:rPr>
          <w:w w:val="105"/>
          <w:sz w:val="12"/>
        </w:rPr>
        <w:t>2015;</w:t>
      </w:r>
      <w:r>
        <w:rPr>
          <w:spacing w:val="-9"/>
          <w:w w:val="105"/>
          <w:sz w:val="12"/>
        </w:rPr>
        <w:t xml:space="preserve"> </w:t>
      </w:r>
      <w:proofErr w:type="spellStart"/>
      <w:r>
        <w:rPr>
          <w:w w:val="105"/>
          <w:sz w:val="12"/>
        </w:rPr>
        <w:t>Pajić</w:t>
      </w:r>
      <w:proofErr w:type="spellEnd"/>
      <w:r>
        <w:rPr>
          <w:spacing w:val="-9"/>
          <w:w w:val="105"/>
          <w:sz w:val="12"/>
        </w:rPr>
        <w:t xml:space="preserve"> </w:t>
      </w:r>
      <w:r>
        <w:rPr>
          <w:w w:val="105"/>
          <w:sz w:val="12"/>
        </w:rPr>
        <w:t>c.</w:t>
      </w:r>
      <w:r>
        <w:rPr>
          <w:spacing w:val="-9"/>
          <w:w w:val="105"/>
          <w:sz w:val="12"/>
        </w:rPr>
        <w:t xml:space="preserve"> </w:t>
      </w:r>
      <w:r>
        <w:rPr>
          <w:w w:val="105"/>
          <w:sz w:val="12"/>
        </w:rPr>
        <w:t>Croacia,</w:t>
      </w:r>
      <w:r>
        <w:rPr>
          <w:spacing w:val="40"/>
          <w:w w:val="105"/>
          <w:sz w:val="12"/>
        </w:rPr>
        <w:t xml:space="preserve"> </w:t>
      </w:r>
      <w:r>
        <w:rPr>
          <w:w w:val="105"/>
          <w:sz w:val="12"/>
        </w:rPr>
        <w:t>solicitud</w:t>
      </w:r>
      <w:r>
        <w:rPr>
          <w:spacing w:val="-9"/>
          <w:w w:val="105"/>
          <w:sz w:val="12"/>
        </w:rPr>
        <w:t xml:space="preserve"> </w:t>
      </w:r>
      <w:r>
        <w:rPr>
          <w:w w:val="105"/>
          <w:sz w:val="12"/>
        </w:rPr>
        <w:t>n.º</w:t>
      </w:r>
      <w:r>
        <w:rPr>
          <w:spacing w:val="-9"/>
          <w:w w:val="105"/>
          <w:sz w:val="12"/>
        </w:rPr>
        <w:t xml:space="preserve"> </w:t>
      </w:r>
      <w:r>
        <w:rPr>
          <w:w w:val="105"/>
          <w:sz w:val="12"/>
        </w:rPr>
        <w:t>68453/13,</w:t>
      </w:r>
      <w:r>
        <w:rPr>
          <w:spacing w:val="-9"/>
          <w:w w:val="105"/>
          <w:sz w:val="12"/>
        </w:rPr>
        <w:t xml:space="preserve"> </w:t>
      </w:r>
      <w:r>
        <w:rPr>
          <w:w w:val="105"/>
          <w:sz w:val="12"/>
        </w:rPr>
        <w:t>sentencia</w:t>
      </w:r>
      <w:r>
        <w:rPr>
          <w:spacing w:val="-8"/>
          <w:w w:val="105"/>
          <w:sz w:val="12"/>
        </w:rPr>
        <w:t xml:space="preserve"> </w:t>
      </w:r>
      <w:r>
        <w:rPr>
          <w:w w:val="105"/>
          <w:sz w:val="12"/>
        </w:rPr>
        <w:t>de</w:t>
      </w:r>
      <w:r>
        <w:rPr>
          <w:spacing w:val="-9"/>
          <w:w w:val="105"/>
          <w:sz w:val="12"/>
        </w:rPr>
        <w:t xml:space="preserve"> </w:t>
      </w:r>
      <w:r>
        <w:rPr>
          <w:w w:val="105"/>
          <w:sz w:val="12"/>
        </w:rPr>
        <w:t>23</w:t>
      </w:r>
      <w:r>
        <w:rPr>
          <w:spacing w:val="-9"/>
          <w:w w:val="105"/>
          <w:sz w:val="12"/>
        </w:rPr>
        <w:t xml:space="preserve"> </w:t>
      </w:r>
      <w:r>
        <w:rPr>
          <w:w w:val="105"/>
          <w:sz w:val="12"/>
        </w:rPr>
        <w:t>de</w:t>
      </w:r>
      <w:r>
        <w:rPr>
          <w:spacing w:val="-9"/>
          <w:w w:val="105"/>
          <w:sz w:val="12"/>
        </w:rPr>
        <w:t xml:space="preserve"> </w:t>
      </w:r>
      <w:r>
        <w:rPr>
          <w:w w:val="105"/>
          <w:sz w:val="12"/>
        </w:rPr>
        <w:t>febrero</w:t>
      </w:r>
      <w:r>
        <w:rPr>
          <w:spacing w:val="-8"/>
          <w:w w:val="105"/>
          <w:sz w:val="12"/>
        </w:rPr>
        <w:t xml:space="preserve"> </w:t>
      </w:r>
      <w:r>
        <w:rPr>
          <w:w w:val="105"/>
          <w:sz w:val="12"/>
        </w:rPr>
        <w:t>de</w:t>
      </w:r>
      <w:r>
        <w:rPr>
          <w:spacing w:val="-9"/>
          <w:w w:val="105"/>
          <w:sz w:val="12"/>
        </w:rPr>
        <w:t xml:space="preserve"> </w:t>
      </w:r>
      <w:r>
        <w:rPr>
          <w:w w:val="105"/>
          <w:sz w:val="12"/>
        </w:rPr>
        <w:t>2016;</w:t>
      </w:r>
      <w:r>
        <w:rPr>
          <w:spacing w:val="-9"/>
          <w:w w:val="105"/>
          <w:sz w:val="12"/>
        </w:rPr>
        <w:t xml:space="preserve"> </w:t>
      </w:r>
      <w:r>
        <w:rPr>
          <w:w w:val="105"/>
          <w:sz w:val="12"/>
        </w:rPr>
        <w:t>X</w:t>
      </w:r>
      <w:r>
        <w:rPr>
          <w:spacing w:val="-9"/>
          <w:w w:val="105"/>
          <w:sz w:val="12"/>
        </w:rPr>
        <w:t xml:space="preserve"> </w:t>
      </w:r>
      <w:r>
        <w:rPr>
          <w:w w:val="105"/>
          <w:sz w:val="12"/>
        </w:rPr>
        <w:t>y</w:t>
      </w:r>
      <w:r>
        <w:rPr>
          <w:spacing w:val="-8"/>
          <w:w w:val="105"/>
          <w:sz w:val="12"/>
        </w:rPr>
        <w:t xml:space="preserve"> </w:t>
      </w:r>
      <w:r>
        <w:rPr>
          <w:w w:val="105"/>
          <w:sz w:val="12"/>
        </w:rPr>
        <w:t>otros</w:t>
      </w:r>
      <w:r>
        <w:rPr>
          <w:spacing w:val="-9"/>
          <w:w w:val="105"/>
          <w:sz w:val="12"/>
        </w:rPr>
        <w:t xml:space="preserve"> </w:t>
      </w:r>
      <w:r>
        <w:rPr>
          <w:w w:val="105"/>
          <w:sz w:val="12"/>
        </w:rPr>
        <w:t>c.</w:t>
      </w:r>
      <w:r>
        <w:rPr>
          <w:spacing w:val="-9"/>
          <w:w w:val="105"/>
          <w:sz w:val="12"/>
        </w:rPr>
        <w:t xml:space="preserve"> </w:t>
      </w:r>
      <w:r>
        <w:rPr>
          <w:w w:val="105"/>
          <w:sz w:val="12"/>
        </w:rPr>
        <w:t>Austria,</w:t>
      </w:r>
      <w:r>
        <w:rPr>
          <w:spacing w:val="-9"/>
          <w:w w:val="105"/>
          <w:sz w:val="12"/>
        </w:rPr>
        <w:t xml:space="preserve"> </w:t>
      </w:r>
      <w:r>
        <w:rPr>
          <w:w w:val="105"/>
          <w:sz w:val="12"/>
        </w:rPr>
        <w:t>demanda</w:t>
      </w:r>
      <w:r>
        <w:rPr>
          <w:spacing w:val="-8"/>
          <w:w w:val="105"/>
          <w:sz w:val="12"/>
        </w:rPr>
        <w:t xml:space="preserve"> </w:t>
      </w:r>
      <w:proofErr w:type="spellStart"/>
      <w:r>
        <w:rPr>
          <w:w w:val="105"/>
          <w:sz w:val="12"/>
        </w:rPr>
        <w:t>n.°</w:t>
      </w:r>
      <w:proofErr w:type="spellEnd"/>
      <w:r>
        <w:rPr>
          <w:spacing w:val="-9"/>
          <w:w w:val="105"/>
          <w:sz w:val="12"/>
        </w:rPr>
        <w:t xml:space="preserve"> </w:t>
      </w:r>
      <w:r>
        <w:rPr>
          <w:w w:val="105"/>
          <w:sz w:val="12"/>
        </w:rPr>
        <w:t>19010/07,</w:t>
      </w:r>
      <w:r>
        <w:rPr>
          <w:spacing w:val="-9"/>
          <w:w w:val="105"/>
          <w:sz w:val="12"/>
        </w:rPr>
        <w:t xml:space="preserve"> </w:t>
      </w:r>
      <w:r>
        <w:rPr>
          <w:w w:val="105"/>
          <w:sz w:val="12"/>
        </w:rPr>
        <w:t>sentencia</w:t>
      </w:r>
      <w:r>
        <w:rPr>
          <w:spacing w:val="-9"/>
          <w:w w:val="105"/>
          <w:sz w:val="12"/>
        </w:rPr>
        <w:t xml:space="preserve"> </w:t>
      </w:r>
      <w:r>
        <w:rPr>
          <w:w w:val="105"/>
          <w:sz w:val="12"/>
        </w:rPr>
        <w:t>de</w:t>
      </w:r>
      <w:r>
        <w:rPr>
          <w:spacing w:val="-8"/>
          <w:w w:val="105"/>
          <w:sz w:val="12"/>
        </w:rPr>
        <w:t xml:space="preserve"> </w:t>
      </w:r>
      <w:r>
        <w:rPr>
          <w:w w:val="105"/>
          <w:sz w:val="12"/>
        </w:rPr>
        <w:t>19</w:t>
      </w:r>
      <w:r>
        <w:rPr>
          <w:spacing w:val="-9"/>
          <w:w w:val="105"/>
          <w:sz w:val="12"/>
        </w:rPr>
        <w:t xml:space="preserve"> </w:t>
      </w:r>
      <w:r>
        <w:rPr>
          <w:w w:val="105"/>
          <w:sz w:val="12"/>
        </w:rPr>
        <w:t>de</w:t>
      </w:r>
      <w:r>
        <w:rPr>
          <w:spacing w:val="-9"/>
          <w:w w:val="105"/>
          <w:sz w:val="12"/>
        </w:rPr>
        <w:t xml:space="preserve"> </w:t>
      </w:r>
      <w:r>
        <w:rPr>
          <w:w w:val="105"/>
          <w:sz w:val="12"/>
        </w:rPr>
        <w:t>febrero</w:t>
      </w:r>
      <w:r>
        <w:rPr>
          <w:spacing w:val="-9"/>
          <w:w w:val="105"/>
          <w:sz w:val="12"/>
        </w:rPr>
        <w:t xml:space="preserve"> </w:t>
      </w:r>
      <w:r>
        <w:rPr>
          <w:w w:val="105"/>
          <w:sz w:val="12"/>
        </w:rPr>
        <w:t>de</w:t>
      </w:r>
      <w:r>
        <w:rPr>
          <w:spacing w:val="-8"/>
          <w:w w:val="105"/>
          <w:sz w:val="12"/>
        </w:rPr>
        <w:t xml:space="preserve"> </w:t>
      </w:r>
      <w:r>
        <w:rPr>
          <w:w w:val="105"/>
          <w:sz w:val="12"/>
        </w:rPr>
        <w:t>2013;</w:t>
      </w:r>
      <w:r>
        <w:rPr>
          <w:spacing w:val="-9"/>
          <w:w w:val="105"/>
          <w:sz w:val="12"/>
        </w:rPr>
        <w:t xml:space="preserve"> </w:t>
      </w:r>
      <w:r>
        <w:rPr>
          <w:w w:val="105"/>
          <w:sz w:val="12"/>
        </w:rPr>
        <w:t>y</w:t>
      </w:r>
      <w:r>
        <w:rPr>
          <w:spacing w:val="-9"/>
          <w:w w:val="105"/>
          <w:sz w:val="12"/>
        </w:rPr>
        <w:t xml:space="preserve"> </w:t>
      </w:r>
      <w:proofErr w:type="spellStart"/>
      <w:r>
        <w:rPr>
          <w:w w:val="105"/>
          <w:sz w:val="12"/>
        </w:rPr>
        <w:t>Vallianatos</w:t>
      </w:r>
      <w:proofErr w:type="spellEnd"/>
      <w:r>
        <w:rPr>
          <w:spacing w:val="40"/>
          <w:w w:val="105"/>
          <w:sz w:val="12"/>
        </w:rPr>
        <w:t xml:space="preserve"> </w:t>
      </w:r>
      <w:r>
        <w:rPr>
          <w:w w:val="105"/>
          <w:sz w:val="12"/>
        </w:rPr>
        <w:t xml:space="preserve">y otros c. Grecia, solicitudes </w:t>
      </w:r>
      <w:proofErr w:type="spellStart"/>
      <w:r>
        <w:rPr>
          <w:w w:val="105"/>
          <w:sz w:val="12"/>
        </w:rPr>
        <w:t>núms</w:t>
      </w:r>
      <w:proofErr w:type="spellEnd"/>
      <w:r>
        <w:rPr>
          <w:w w:val="105"/>
          <w:sz w:val="12"/>
        </w:rPr>
        <w:t>. 29381/09 y 32684/09, sentencia de 7 de noviembre de 2013.</w:t>
      </w:r>
    </w:p>
    <w:p w14:paraId="0DFDE4B5" w14:textId="77777777" w:rsidR="0014798C" w:rsidRDefault="004E1F0B">
      <w:pPr>
        <w:spacing w:before="58"/>
        <w:ind w:left="78"/>
        <w:rPr>
          <w:sz w:val="12"/>
        </w:rPr>
      </w:pPr>
      <w:r>
        <w:rPr>
          <w:w w:val="105"/>
          <w:sz w:val="12"/>
        </w:rPr>
        <w:t>Tribunal</w:t>
      </w:r>
      <w:r>
        <w:rPr>
          <w:spacing w:val="-8"/>
          <w:w w:val="105"/>
          <w:sz w:val="12"/>
        </w:rPr>
        <w:t xml:space="preserve"> </w:t>
      </w:r>
      <w:r>
        <w:rPr>
          <w:w w:val="105"/>
          <w:sz w:val="12"/>
        </w:rPr>
        <w:t>Europeo</w:t>
      </w:r>
      <w:r>
        <w:rPr>
          <w:spacing w:val="-8"/>
          <w:w w:val="105"/>
          <w:sz w:val="12"/>
        </w:rPr>
        <w:t xml:space="preserve"> </w:t>
      </w:r>
      <w:r>
        <w:rPr>
          <w:w w:val="105"/>
          <w:sz w:val="12"/>
        </w:rPr>
        <w:t>de</w:t>
      </w:r>
      <w:r>
        <w:rPr>
          <w:spacing w:val="-8"/>
          <w:w w:val="105"/>
          <w:sz w:val="12"/>
        </w:rPr>
        <w:t xml:space="preserve"> </w:t>
      </w:r>
      <w:r>
        <w:rPr>
          <w:w w:val="105"/>
          <w:sz w:val="12"/>
        </w:rPr>
        <w:t>Derechos</w:t>
      </w:r>
      <w:r>
        <w:rPr>
          <w:spacing w:val="-8"/>
          <w:w w:val="105"/>
          <w:sz w:val="12"/>
        </w:rPr>
        <w:t xml:space="preserve"> </w:t>
      </w:r>
      <w:r>
        <w:rPr>
          <w:w w:val="105"/>
          <w:sz w:val="12"/>
        </w:rPr>
        <w:t>Humanos,</w:t>
      </w:r>
      <w:r>
        <w:rPr>
          <w:spacing w:val="-8"/>
          <w:w w:val="105"/>
          <w:sz w:val="12"/>
        </w:rPr>
        <w:t xml:space="preserve"> </w:t>
      </w:r>
      <w:proofErr w:type="spellStart"/>
      <w:r>
        <w:rPr>
          <w:w w:val="105"/>
          <w:sz w:val="12"/>
        </w:rPr>
        <w:t>Gaygusuz</w:t>
      </w:r>
      <w:proofErr w:type="spellEnd"/>
      <w:r>
        <w:rPr>
          <w:spacing w:val="-8"/>
          <w:w w:val="105"/>
          <w:sz w:val="12"/>
        </w:rPr>
        <w:t xml:space="preserve"> </w:t>
      </w:r>
      <w:r>
        <w:rPr>
          <w:w w:val="105"/>
          <w:sz w:val="12"/>
        </w:rPr>
        <w:t>c.</w:t>
      </w:r>
      <w:r>
        <w:rPr>
          <w:spacing w:val="-8"/>
          <w:w w:val="105"/>
          <w:sz w:val="12"/>
        </w:rPr>
        <w:t xml:space="preserve"> </w:t>
      </w:r>
      <w:r>
        <w:rPr>
          <w:w w:val="105"/>
          <w:sz w:val="12"/>
        </w:rPr>
        <w:t>Austria,</w:t>
      </w:r>
      <w:r>
        <w:rPr>
          <w:spacing w:val="-8"/>
          <w:w w:val="105"/>
          <w:sz w:val="12"/>
        </w:rPr>
        <w:t xml:space="preserve"> </w:t>
      </w:r>
      <w:r>
        <w:rPr>
          <w:w w:val="105"/>
          <w:sz w:val="12"/>
        </w:rPr>
        <w:t>núm.</w:t>
      </w:r>
      <w:r>
        <w:rPr>
          <w:spacing w:val="-8"/>
          <w:w w:val="105"/>
          <w:sz w:val="12"/>
        </w:rPr>
        <w:t xml:space="preserve"> </w:t>
      </w:r>
      <w:r>
        <w:rPr>
          <w:w w:val="105"/>
          <w:sz w:val="12"/>
        </w:rPr>
        <w:t>17371/90,</w:t>
      </w:r>
      <w:r>
        <w:rPr>
          <w:spacing w:val="-8"/>
          <w:w w:val="105"/>
          <w:sz w:val="12"/>
        </w:rPr>
        <w:t xml:space="preserve"> </w:t>
      </w:r>
      <w:r>
        <w:rPr>
          <w:w w:val="105"/>
          <w:sz w:val="12"/>
        </w:rPr>
        <w:t>sentencia</w:t>
      </w:r>
      <w:r>
        <w:rPr>
          <w:spacing w:val="-8"/>
          <w:w w:val="105"/>
          <w:sz w:val="12"/>
        </w:rPr>
        <w:t xml:space="preserve"> </w:t>
      </w:r>
      <w:r>
        <w:rPr>
          <w:w w:val="105"/>
          <w:sz w:val="12"/>
        </w:rPr>
        <w:t>de</w:t>
      </w:r>
      <w:r>
        <w:rPr>
          <w:spacing w:val="-8"/>
          <w:w w:val="105"/>
          <w:sz w:val="12"/>
        </w:rPr>
        <w:t xml:space="preserve"> </w:t>
      </w:r>
      <w:r>
        <w:rPr>
          <w:w w:val="105"/>
          <w:sz w:val="12"/>
        </w:rPr>
        <w:t>16</w:t>
      </w:r>
      <w:r>
        <w:rPr>
          <w:spacing w:val="-8"/>
          <w:w w:val="105"/>
          <w:sz w:val="12"/>
        </w:rPr>
        <w:t xml:space="preserve"> </w:t>
      </w:r>
      <w:r>
        <w:rPr>
          <w:w w:val="105"/>
          <w:sz w:val="12"/>
        </w:rPr>
        <w:t>de</w:t>
      </w:r>
      <w:r>
        <w:rPr>
          <w:spacing w:val="-8"/>
          <w:w w:val="105"/>
          <w:sz w:val="12"/>
        </w:rPr>
        <w:t xml:space="preserve"> </w:t>
      </w:r>
      <w:r>
        <w:rPr>
          <w:w w:val="105"/>
          <w:sz w:val="12"/>
        </w:rPr>
        <w:t>septiembre</w:t>
      </w:r>
      <w:r>
        <w:rPr>
          <w:spacing w:val="-8"/>
          <w:w w:val="105"/>
          <w:sz w:val="12"/>
        </w:rPr>
        <w:t xml:space="preserve"> </w:t>
      </w:r>
      <w:r>
        <w:rPr>
          <w:w w:val="105"/>
          <w:sz w:val="12"/>
        </w:rPr>
        <w:t>de</w:t>
      </w:r>
      <w:r>
        <w:rPr>
          <w:spacing w:val="-8"/>
          <w:w w:val="105"/>
          <w:sz w:val="12"/>
        </w:rPr>
        <w:t xml:space="preserve"> </w:t>
      </w:r>
      <w:r>
        <w:rPr>
          <w:spacing w:val="-2"/>
          <w:w w:val="105"/>
          <w:sz w:val="12"/>
        </w:rPr>
        <w:t>1996.</w:t>
      </w:r>
    </w:p>
    <w:p w14:paraId="603BB251" w14:textId="77777777" w:rsidR="0014798C" w:rsidRDefault="004E1F0B">
      <w:pPr>
        <w:spacing w:before="99" w:line="312" w:lineRule="auto"/>
        <w:ind w:left="76" w:right="1605" w:firstLine="2"/>
        <w:rPr>
          <w:sz w:val="12"/>
        </w:rPr>
      </w:pPr>
      <w:r>
        <w:rPr>
          <w:sz w:val="12"/>
        </w:rPr>
        <w:t>Tribunal</w:t>
      </w:r>
      <w:r>
        <w:rPr>
          <w:spacing w:val="10"/>
          <w:sz w:val="12"/>
        </w:rPr>
        <w:t xml:space="preserve"> </w:t>
      </w:r>
      <w:r>
        <w:rPr>
          <w:sz w:val="12"/>
        </w:rPr>
        <w:t>Europeo</w:t>
      </w:r>
      <w:r>
        <w:rPr>
          <w:spacing w:val="10"/>
          <w:sz w:val="12"/>
        </w:rPr>
        <w:t xml:space="preserve"> </w:t>
      </w:r>
      <w:r>
        <w:rPr>
          <w:sz w:val="12"/>
        </w:rPr>
        <w:t>de</w:t>
      </w:r>
      <w:r>
        <w:rPr>
          <w:spacing w:val="10"/>
          <w:sz w:val="12"/>
        </w:rPr>
        <w:t xml:space="preserve"> </w:t>
      </w:r>
      <w:r>
        <w:rPr>
          <w:sz w:val="12"/>
        </w:rPr>
        <w:t>Derechos</w:t>
      </w:r>
      <w:r>
        <w:rPr>
          <w:spacing w:val="10"/>
          <w:sz w:val="12"/>
        </w:rPr>
        <w:t xml:space="preserve"> </w:t>
      </w:r>
      <w:r>
        <w:rPr>
          <w:sz w:val="12"/>
        </w:rPr>
        <w:t>Humanos,</w:t>
      </w:r>
      <w:r>
        <w:rPr>
          <w:spacing w:val="10"/>
          <w:sz w:val="12"/>
        </w:rPr>
        <w:t xml:space="preserve"> </w:t>
      </w:r>
      <w:proofErr w:type="spellStart"/>
      <w:r>
        <w:rPr>
          <w:sz w:val="12"/>
        </w:rPr>
        <w:t>Identoba</w:t>
      </w:r>
      <w:proofErr w:type="spellEnd"/>
      <w:r>
        <w:rPr>
          <w:spacing w:val="10"/>
          <w:sz w:val="12"/>
        </w:rPr>
        <w:t xml:space="preserve"> </w:t>
      </w:r>
      <w:r>
        <w:rPr>
          <w:sz w:val="12"/>
        </w:rPr>
        <w:t>y</w:t>
      </w:r>
      <w:r>
        <w:rPr>
          <w:spacing w:val="10"/>
          <w:sz w:val="12"/>
        </w:rPr>
        <w:t xml:space="preserve"> </w:t>
      </w:r>
      <w:r>
        <w:rPr>
          <w:sz w:val="12"/>
        </w:rPr>
        <w:t>otros</w:t>
      </w:r>
      <w:r>
        <w:rPr>
          <w:spacing w:val="10"/>
          <w:sz w:val="12"/>
        </w:rPr>
        <w:t xml:space="preserve"> </w:t>
      </w:r>
      <w:r>
        <w:rPr>
          <w:sz w:val="12"/>
        </w:rPr>
        <w:t>c.</w:t>
      </w:r>
      <w:r>
        <w:rPr>
          <w:spacing w:val="10"/>
          <w:sz w:val="12"/>
        </w:rPr>
        <w:t xml:space="preserve"> </w:t>
      </w:r>
      <w:r>
        <w:rPr>
          <w:sz w:val="12"/>
        </w:rPr>
        <w:t>Georgia,</w:t>
      </w:r>
      <w:r>
        <w:rPr>
          <w:spacing w:val="10"/>
          <w:sz w:val="12"/>
        </w:rPr>
        <w:t xml:space="preserve"> </w:t>
      </w:r>
      <w:r>
        <w:rPr>
          <w:sz w:val="12"/>
        </w:rPr>
        <w:t>Solicitud</w:t>
      </w:r>
      <w:r>
        <w:rPr>
          <w:spacing w:val="10"/>
          <w:sz w:val="12"/>
        </w:rPr>
        <w:t xml:space="preserve"> </w:t>
      </w:r>
      <w:r>
        <w:rPr>
          <w:sz w:val="12"/>
        </w:rPr>
        <w:t>n.º</w:t>
      </w:r>
      <w:r>
        <w:rPr>
          <w:spacing w:val="10"/>
          <w:sz w:val="12"/>
        </w:rPr>
        <w:t xml:space="preserve"> </w:t>
      </w:r>
      <w:r>
        <w:rPr>
          <w:sz w:val="12"/>
        </w:rPr>
        <w:t>73235/12,</w:t>
      </w:r>
      <w:r>
        <w:rPr>
          <w:spacing w:val="10"/>
          <w:sz w:val="12"/>
        </w:rPr>
        <w:t xml:space="preserve"> </w:t>
      </w:r>
      <w:r>
        <w:rPr>
          <w:sz w:val="12"/>
        </w:rPr>
        <w:t>Sentencia</w:t>
      </w:r>
      <w:r>
        <w:rPr>
          <w:spacing w:val="10"/>
          <w:sz w:val="12"/>
        </w:rPr>
        <w:t xml:space="preserve"> </w:t>
      </w:r>
      <w:r>
        <w:rPr>
          <w:sz w:val="12"/>
        </w:rPr>
        <w:t>de</w:t>
      </w:r>
      <w:r>
        <w:rPr>
          <w:spacing w:val="10"/>
          <w:sz w:val="12"/>
        </w:rPr>
        <w:t xml:space="preserve"> </w:t>
      </w:r>
      <w:r>
        <w:rPr>
          <w:sz w:val="12"/>
        </w:rPr>
        <w:t>12</w:t>
      </w:r>
      <w:r>
        <w:rPr>
          <w:spacing w:val="10"/>
          <w:sz w:val="12"/>
        </w:rPr>
        <w:t xml:space="preserve"> </w:t>
      </w:r>
      <w:r>
        <w:rPr>
          <w:sz w:val="12"/>
        </w:rPr>
        <w:t>de</w:t>
      </w:r>
      <w:r>
        <w:rPr>
          <w:spacing w:val="10"/>
          <w:sz w:val="12"/>
        </w:rPr>
        <w:t xml:space="preserve"> </w:t>
      </w:r>
      <w:r>
        <w:rPr>
          <w:sz w:val="12"/>
        </w:rPr>
        <w:t>mayo</w:t>
      </w:r>
      <w:r>
        <w:rPr>
          <w:spacing w:val="10"/>
          <w:sz w:val="12"/>
        </w:rPr>
        <w:t xml:space="preserve"> </w:t>
      </w:r>
      <w:r>
        <w:rPr>
          <w:sz w:val="12"/>
        </w:rPr>
        <w:t>de</w:t>
      </w:r>
      <w:r>
        <w:rPr>
          <w:spacing w:val="10"/>
          <w:sz w:val="12"/>
        </w:rPr>
        <w:t xml:space="preserve"> </w:t>
      </w:r>
      <w:r>
        <w:rPr>
          <w:sz w:val="12"/>
        </w:rPr>
        <w:t>2015,</w:t>
      </w:r>
      <w:r>
        <w:rPr>
          <w:spacing w:val="10"/>
          <w:sz w:val="12"/>
        </w:rPr>
        <w:t xml:space="preserve"> </w:t>
      </w:r>
      <w:r>
        <w:rPr>
          <w:sz w:val="12"/>
        </w:rPr>
        <w:t>párr.</w:t>
      </w:r>
      <w:r>
        <w:rPr>
          <w:spacing w:val="10"/>
          <w:sz w:val="12"/>
        </w:rPr>
        <w:t xml:space="preserve"> </w:t>
      </w:r>
      <w:r>
        <w:rPr>
          <w:sz w:val="12"/>
        </w:rPr>
        <w:t>sesenta</w:t>
      </w:r>
      <w:r>
        <w:rPr>
          <w:spacing w:val="10"/>
          <w:sz w:val="12"/>
        </w:rPr>
        <w:t xml:space="preserve"> </w:t>
      </w:r>
      <w:r>
        <w:rPr>
          <w:sz w:val="12"/>
        </w:rPr>
        <w:t>y</w:t>
      </w:r>
      <w:r>
        <w:rPr>
          <w:spacing w:val="10"/>
          <w:sz w:val="12"/>
        </w:rPr>
        <w:t xml:space="preserve"> </w:t>
      </w:r>
      <w:r>
        <w:rPr>
          <w:sz w:val="12"/>
        </w:rPr>
        <w:t>cinco;</w:t>
      </w:r>
      <w:r>
        <w:rPr>
          <w:spacing w:val="10"/>
          <w:sz w:val="12"/>
        </w:rPr>
        <w:t xml:space="preserve"> </w:t>
      </w:r>
      <w:r>
        <w:rPr>
          <w:sz w:val="12"/>
        </w:rPr>
        <w:t>MC</w:t>
      </w:r>
      <w:r>
        <w:rPr>
          <w:spacing w:val="10"/>
          <w:sz w:val="12"/>
        </w:rPr>
        <w:t xml:space="preserve"> </w:t>
      </w:r>
      <w:r>
        <w:rPr>
          <w:sz w:val="12"/>
        </w:rPr>
        <w:t>y</w:t>
      </w:r>
      <w:r>
        <w:rPr>
          <w:spacing w:val="40"/>
          <w:sz w:val="12"/>
        </w:rPr>
        <w:t xml:space="preserve"> </w:t>
      </w:r>
      <w:r>
        <w:rPr>
          <w:sz w:val="12"/>
        </w:rPr>
        <w:t>AC</w:t>
      </w:r>
      <w:r>
        <w:rPr>
          <w:spacing w:val="10"/>
          <w:sz w:val="12"/>
        </w:rPr>
        <w:t xml:space="preserve"> </w:t>
      </w:r>
      <w:r>
        <w:rPr>
          <w:sz w:val="12"/>
        </w:rPr>
        <w:t>c.</w:t>
      </w:r>
      <w:r>
        <w:rPr>
          <w:spacing w:val="10"/>
          <w:sz w:val="12"/>
        </w:rPr>
        <w:t xml:space="preserve"> </w:t>
      </w:r>
      <w:r>
        <w:rPr>
          <w:sz w:val="12"/>
        </w:rPr>
        <w:t>Rumania,</w:t>
      </w:r>
      <w:r>
        <w:rPr>
          <w:spacing w:val="10"/>
          <w:sz w:val="12"/>
        </w:rPr>
        <w:t xml:space="preserve"> </w:t>
      </w:r>
      <w:r>
        <w:rPr>
          <w:sz w:val="12"/>
        </w:rPr>
        <w:t>Solicitud</w:t>
      </w:r>
      <w:r>
        <w:rPr>
          <w:spacing w:val="10"/>
          <w:sz w:val="12"/>
        </w:rPr>
        <w:t xml:space="preserve"> </w:t>
      </w:r>
      <w:proofErr w:type="spellStart"/>
      <w:r>
        <w:rPr>
          <w:sz w:val="12"/>
        </w:rPr>
        <w:t>n.°</w:t>
      </w:r>
      <w:proofErr w:type="spellEnd"/>
      <w:r>
        <w:rPr>
          <w:spacing w:val="10"/>
          <w:sz w:val="12"/>
        </w:rPr>
        <w:t xml:space="preserve"> </w:t>
      </w:r>
      <w:r>
        <w:rPr>
          <w:sz w:val="12"/>
        </w:rPr>
        <w:t>12060/12,</w:t>
      </w:r>
      <w:r>
        <w:rPr>
          <w:spacing w:val="10"/>
          <w:sz w:val="12"/>
        </w:rPr>
        <w:t xml:space="preserve"> </w:t>
      </w:r>
      <w:r>
        <w:rPr>
          <w:sz w:val="12"/>
        </w:rPr>
        <w:t>Sentencia</w:t>
      </w:r>
      <w:r>
        <w:rPr>
          <w:spacing w:val="10"/>
          <w:sz w:val="12"/>
        </w:rPr>
        <w:t xml:space="preserve"> </w:t>
      </w:r>
      <w:r>
        <w:rPr>
          <w:sz w:val="12"/>
        </w:rPr>
        <w:t>de</w:t>
      </w:r>
      <w:r>
        <w:rPr>
          <w:spacing w:val="10"/>
          <w:sz w:val="12"/>
        </w:rPr>
        <w:t xml:space="preserve"> </w:t>
      </w:r>
      <w:r>
        <w:rPr>
          <w:sz w:val="12"/>
        </w:rPr>
        <w:t>12</w:t>
      </w:r>
      <w:r>
        <w:rPr>
          <w:spacing w:val="10"/>
          <w:sz w:val="12"/>
        </w:rPr>
        <w:t xml:space="preserve"> </w:t>
      </w:r>
      <w:r>
        <w:rPr>
          <w:sz w:val="12"/>
        </w:rPr>
        <w:t>de</w:t>
      </w:r>
      <w:r>
        <w:rPr>
          <w:spacing w:val="10"/>
          <w:sz w:val="12"/>
        </w:rPr>
        <w:t xml:space="preserve"> </w:t>
      </w:r>
      <w:r>
        <w:rPr>
          <w:sz w:val="12"/>
        </w:rPr>
        <w:t>abril</w:t>
      </w:r>
      <w:r>
        <w:rPr>
          <w:spacing w:val="10"/>
          <w:sz w:val="12"/>
        </w:rPr>
        <w:t xml:space="preserve"> </w:t>
      </w:r>
      <w:r>
        <w:rPr>
          <w:sz w:val="12"/>
        </w:rPr>
        <w:t>de</w:t>
      </w:r>
      <w:r>
        <w:rPr>
          <w:spacing w:val="10"/>
          <w:sz w:val="12"/>
        </w:rPr>
        <w:t xml:space="preserve"> </w:t>
      </w:r>
      <w:r>
        <w:rPr>
          <w:sz w:val="12"/>
        </w:rPr>
        <w:t>2016,</w:t>
      </w:r>
      <w:r>
        <w:rPr>
          <w:spacing w:val="10"/>
          <w:sz w:val="12"/>
        </w:rPr>
        <w:t xml:space="preserve"> </w:t>
      </w:r>
      <w:r>
        <w:rPr>
          <w:sz w:val="12"/>
        </w:rPr>
        <w:t>párr.</w:t>
      </w:r>
      <w:r>
        <w:rPr>
          <w:spacing w:val="10"/>
          <w:sz w:val="12"/>
        </w:rPr>
        <w:t xml:space="preserve"> </w:t>
      </w:r>
      <w:r>
        <w:rPr>
          <w:sz w:val="12"/>
        </w:rPr>
        <w:t>113;</w:t>
      </w:r>
      <w:r>
        <w:rPr>
          <w:spacing w:val="10"/>
          <w:sz w:val="12"/>
        </w:rPr>
        <w:t xml:space="preserve"> </w:t>
      </w:r>
      <w:proofErr w:type="spellStart"/>
      <w:r>
        <w:rPr>
          <w:sz w:val="12"/>
        </w:rPr>
        <w:t>Nachova</w:t>
      </w:r>
      <w:proofErr w:type="spellEnd"/>
      <w:r>
        <w:rPr>
          <w:spacing w:val="10"/>
          <w:sz w:val="12"/>
        </w:rPr>
        <w:t xml:space="preserve"> </w:t>
      </w:r>
      <w:r>
        <w:rPr>
          <w:sz w:val="12"/>
        </w:rPr>
        <w:t>y</w:t>
      </w:r>
      <w:r>
        <w:rPr>
          <w:spacing w:val="10"/>
          <w:sz w:val="12"/>
        </w:rPr>
        <w:t xml:space="preserve"> </w:t>
      </w:r>
      <w:r>
        <w:rPr>
          <w:sz w:val="12"/>
        </w:rPr>
        <w:t>otros</w:t>
      </w:r>
      <w:r>
        <w:rPr>
          <w:spacing w:val="10"/>
          <w:sz w:val="12"/>
        </w:rPr>
        <w:t xml:space="preserve"> </w:t>
      </w:r>
      <w:r>
        <w:rPr>
          <w:sz w:val="12"/>
        </w:rPr>
        <w:t>c.</w:t>
      </w:r>
      <w:r>
        <w:rPr>
          <w:spacing w:val="10"/>
          <w:sz w:val="12"/>
        </w:rPr>
        <w:t xml:space="preserve"> </w:t>
      </w:r>
      <w:r>
        <w:rPr>
          <w:sz w:val="12"/>
        </w:rPr>
        <w:t>Bulgaria,</w:t>
      </w:r>
      <w:r>
        <w:rPr>
          <w:spacing w:val="10"/>
          <w:sz w:val="12"/>
        </w:rPr>
        <w:t xml:space="preserve"> </w:t>
      </w:r>
      <w:r>
        <w:rPr>
          <w:sz w:val="12"/>
        </w:rPr>
        <w:t>solicitud</w:t>
      </w:r>
      <w:r>
        <w:rPr>
          <w:spacing w:val="10"/>
          <w:sz w:val="12"/>
        </w:rPr>
        <w:t xml:space="preserve"> </w:t>
      </w:r>
      <w:proofErr w:type="spellStart"/>
      <w:r>
        <w:rPr>
          <w:sz w:val="12"/>
        </w:rPr>
        <w:t>n.°</w:t>
      </w:r>
      <w:proofErr w:type="spellEnd"/>
      <w:r>
        <w:rPr>
          <w:spacing w:val="10"/>
          <w:sz w:val="12"/>
        </w:rPr>
        <w:t xml:space="preserve"> </w:t>
      </w:r>
      <w:r>
        <w:rPr>
          <w:sz w:val="12"/>
        </w:rPr>
        <w:t>43577/98,</w:t>
      </w:r>
      <w:r>
        <w:rPr>
          <w:spacing w:val="10"/>
          <w:sz w:val="12"/>
        </w:rPr>
        <w:t xml:space="preserve"> </w:t>
      </w:r>
      <w:r>
        <w:rPr>
          <w:sz w:val="12"/>
        </w:rPr>
        <w:t>sentencia</w:t>
      </w:r>
      <w:r>
        <w:rPr>
          <w:spacing w:val="10"/>
          <w:sz w:val="12"/>
        </w:rPr>
        <w:t xml:space="preserve"> </w:t>
      </w:r>
      <w:r>
        <w:rPr>
          <w:sz w:val="12"/>
        </w:rPr>
        <w:t>de</w:t>
      </w:r>
      <w:r>
        <w:rPr>
          <w:spacing w:val="10"/>
          <w:sz w:val="12"/>
        </w:rPr>
        <w:t xml:space="preserve"> </w:t>
      </w:r>
      <w:r>
        <w:rPr>
          <w:sz w:val="12"/>
        </w:rPr>
        <w:t>6</w:t>
      </w:r>
      <w:r>
        <w:rPr>
          <w:spacing w:val="10"/>
          <w:sz w:val="12"/>
        </w:rPr>
        <w:t xml:space="preserve"> </w:t>
      </w:r>
      <w:r>
        <w:rPr>
          <w:sz w:val="12"/>
        </w:rPr>
        <w:t>de</w:t>
      </w:r>
      <w:r>
        <w:rPr>
          <w:spacing w:val="40"/>
          <w:sz w:val="12"/>
        </w:rPr>
        <w:t xml:space="preserve"> </w:t>
      </w:r>
      <w:r>
        <w:rPr>
          <w:sz w:val="12"/>
        </w:rPr>
        <w:t xml:space="preserve">julio de 2005, párr. 160; 97 miembros de la Congregación </w:t>
      </w:r>
      <w:proofErr w:type="spellStart"/>
      <w:r>
        <w:rPr>
          <w:sz w:val="12"/>
        </w:rPr>
        <w:t>Gldani</w:t>
      </w:r>
      <w:proofErr w:type="spellEnd"/>
      <w:r>
        <w:rPr>
          <w:sz w:val="12"/>
        </w:rPr>
        <w:t xml:space="preserve"> de los Testigos de Jehová y 4 personas más v.</w:t>
      </w:r>
    </w:p>
    <w:p w14:paraId="6D34C0F6" w14:textId="77777777" w:rsidR="0014798C" w:rsidRDefault="004E1F0B">
      <w:pPr>
        <w:spacing w:before="1" w:line="312" w:lineRule="auto"/>
        <w:ind w:left="87" w:right="1550" w:hanging="1"/>
        <w:rPr>
          <w:sz w:val="12"/>
        </w:rPr>
      </w:pPr>
      <w:r>
        <w:rPr>
          <w:w w:val="105"/>
          <w:sz w:val="12"/>
        </w:rPr>
        <w:t>Georgia,</w:t>
      </w:r>
      <w:r>
        <w:rPr>
          <w:spacing w:val="-7"/>
          <w:w w:val="105"/>
          <w:sz w:val="12"/>
        </w:rPr>
        <w:t xml:space="preserve"> </w:t>
      </w:r>
      <w:r>
        <w:rPr>
          <w:w w:val="105"/>
          <w:sz w:val="12"/>
        </w:rPr>
        <w:t>Solicitud</w:t>
      </w:r>
      <w:r>
        <w:rPr>
          <w:spacing w:val="-7"/>
          <w:w w:val="105"/>
          <w:sz w:val="12"/>
        </w:rPr>
        <w:t xml:space="preserve"> </w:t>
      </w:r>
      <w:r>
        <w:rPr>
          <w:w w:val="105"/>
          <w:sz w:val="12"/>
        </w:rPr>
        <w:t>No.</w:t>
      </w:r>
      <w:r>
        <w:rPr>
          <w:spacing w:val="-7"/>
          <w:w w:val="105"/>
          <w:sz w:val="12"/>
        </w:rPr>
        <w:t xml:space="preserve"> </w:t>
      </w:r>
      <w:r>
        <w:rPr>
          <w:w w:val="105"/>
          <w:sz w:val="12"/>
        </w:rPr>
        <w:t>71156/01,</w:t>
      </w:r>
      <w:r>
        <w:rPr>
          <w:spacing w:val="-7"/>
          <w:w w:val="105"/>
          <w:sz w:val="12"/>
        </w:rPr>
        <w:t xml:space="preserve"> </w:t>
      </w:r>
      <w:r>
        <w:rPr>
          <w:w w:val="105"/>
          <w:sz w:val="12"/>
        </w:rPr>
        <w:t>Sentencia,</w:t>
      </w:r>
      <w:r>
        <w:rPr>
          <w:spacing w:val="-7"/>
          <w:w w:val="105"/>
          <w:sz w:val="12"/>
        </w:rPr>
        <w:t xml:space="preserve"> </w:t>
      </w:r>
      <w:r>
        <w:rPr>
          <w:w w:val="105"/>
          <w:sz w:val="12"/>
        </w:rPr>
        <w:t>3</w:t>
      </w:r>
      <w:r>
        <w:rPr>
          <w:spacing w:val="-7"/>
          <w:w w:val="105"/>
          <w:sz w:val="12"/>
        </w:rPr>
        <w:t xml:space="preserve"> </w:t>
      </w:r>
      <w:r>
        <w:rPr>
          <w:w w:val="105"/>
          <w:sz w:val="12"/>
        </w:rPr>
        <w:t>de</w:t>
      </w:r>
      <w:r>
        <w:rPr>
          <w:spacing w:val="-7"/>
          <w:w w:val="105"/>
          <w:sz w:val="12"/>
        </w:rPr>
        <w:t xml:space="preserve"> </w:t>
      </w:r>
      <w:r>
        <w:rPr>
          <w:w w:val="105"/>
          <w:sz w:val="12"/>
        </w:rPr>
        <w:t>mayo</w:t>
      </w:r>
      <w:r>
        <w:rPr>
          <w:spacing w:val="-7"/>
          <w:w w:val="105"/>
          <w:sz w:val="12"/>
        </w:rPr>
        <w:t xml:space="preserve"> </w:t>
      </w:r>
      <w:r>
        <w:rPr>
          <w:w w:val="105"/>
          <w:sz w:val="12"/>
        </w:rPr>
        <w:t>de</w:t>
      </w:r>
      <w:r>
        <w:rPr>
          <w:spacing w:val="-7"/>
          <w:w w:val="105"/>
          <w:sz w:val="12"/>
        </w:rPr>
        <w:t xml:space="preserve"> </w:t>
      </w:r>
      <w:r>
        <w:rPr>
          <w:w w:val="105"/>
          <w:sz w:val="12"/>
        </w:rPr>
        <w:t>2007,</w:t>
      </w:r>
      <w:r>
        <w:rPr>
          <w:spacing w:val="-7"/>
          <w:w w:val="105"/>
          <w:sz w:val="12"/>
        </w:rPr>
        <w:t xml:space="preserve"> </w:t>
      </w:r>
      <w:proofErr w:type="spellStart"/>
      <w:r>
        <w:rPr>
          <w:w w:val="105"/>
          <w:sz w:val="12"/>
        </w:rPr>
        <w:t>párrs</w:t>
      </w:r>
      <w:proofErr w:type="spellEnd"/>
      <w:r>
        <w:rPr>
          <w:w w:val="105"/>
          <w:sz w:val="12"/>
        </w:rPr>
        <w:t>.</w:t>
      </w:r>
      <w:r>
        <w:rPr>
          <w:spacing w:val="-7"/>
          <w:w w:val="105"/>
          <w:sz w:val="12"/>
        </w:rPr>
        <w:t xml:space="preserve"> </w:t>
      </w:r>
      <w:r>
        <w:rPr>
          <w:w w:val="105"/>
          <w:sz w:val="12"/>
        </w:rPr>
        <w:t>138–142;</w:t>
      </w:r>
      <w:r>
        <w:rPr>
          <w:spacing w:val="-7"/>
          <w:w w:val="105"/>
          <w:sz w:val="12"/>
        </w:rPr>
        <w:t xml:space="preserve"> </w:t>
      </w:r>
      <w:r>
        <w:rPr>
          <w:w w:val="105"/>
          <w:sz w:val="12"/>
        </w:rPr>
        <w:t>RB</w:t>
      </w:r>
      <w:r>
        <w:rPr>
          <w:spacing w:val="-7"/>
          <w:w w:val="105"/>
          <w:sz w:val="12"/>
        </w:rPr>
        <w:t xml:space="preserve"> </w:t>
      </w:r>
      <w:r>
        <w:rPr>
          <w:w w:val="105"/>
          <w:sz w:val="12"/>
        </w:rPr>
        <w:t>c.</w:t>
      </w:r>
      <w:r>
        <w:rPr>
          <w:spacing w:val="-7"/>
          <w:w w:val="105"/>
          <w:sz w:val="12"/>
        </w:rPr>
        <w:t xml:space="preserve"> </w:t>
      </w:r>
      <w:r>
        <w:rPr>
          <w:w w:val="105"/>
          <w:sz w:val="12"/>
        </w:rPr>
        <w:t>Hungría,</w:t>
      </w:r>
      <w:r>
        <w:rPr>
          <w:spacing w:val="-7"/>
          <w:w w:val="105"/>
          <w:sz w:val="12"/>
        </w:rPr>
        <w:t xml:space="preserve"> </w:t>
      </w:r>
      <w:r>
        <w:rPr>
          <w:w w:val="105"/>
          <w:sz w:val="12"/>
        </w:rPr>
        <w:t>Solicitud</w:t>
      </w:r>
      <w:r>
        <w:rPr>
          <w:spacing w:val="-7"/>
          <w:w w:val="105"/>
          <w:sz w:val="12"/>
        </w:rPr>
        <w:t xml:space="preserve"> </w:t>
      </w:r>
      <w:r>
        <w:rPr>
          <w:w w:val="105"/>
          <w:sz w:val="12"/>
        </w:rPr>
        <w:t>n.º</w:t>
      </w:r>
      <w:r>
        <w:rPr>
          <w:spacing w:val="-7"/>
          <w:w w:val="105"/>
          <w:sz w:val="12"/>
        </w:rPr>
        <w:t xml:space="preserve"> </w:t>
      </w:r>
      <w:r>
        <w:rPr>
          <w:w w:val="105"/>
          <w:sz w:val="12"/>
        </w:rPr>
        <w:t>64602/12,</w:t>
      </w:r>
      <w:r>
        <w:rPr>
          <w:spacing w:val="-7"/>
          <w:w w:val="105"/>
          <w:sz w:val="12"/>
        </w:rPr>
        <w:t xml:space="preserve"> </w:t>
      </w:r>
      <w:r>
        <w:rPr>
          <w:w w:val="105"/>
          <w:sz w:val="12"/>
        </w:rPr>
        <w:t>Sentencia</w:t>
      </w:r>
      <w:r>
        <w:rPr>
          <w:spacing w:val="-7"/>
          <w:w w:val="105"/>
          <w:sz w:val="12"/>
        </w:rPr>
        <w:t xml:space="preserve"> </w:t>
      </w:r>
      <w:r>
        <w:rPr>
          <w:w w:val="105"/>
          <w:sz w:val="12"/>
        </w:rPr>
        <w:t>de</w:t>
      </w:r>
      <w:r>
        <w:rPr>
          <w:spacing w:val="-7"/>
          <w:w w:val="105"/>
          <w:sz w:val="12"/>
        </w:rPr>
        <w:t xml:space="preserve"> </w:t>
      </w:r>
      <w:r>
        <w:rPr>
          <w:w w:val="105"/>
          <w:sz w:val="12"/>
        </w:rPr>
        <w:t>12</w:t>
      </w:r>
      <w:r>
        <w:rPr>
          <w:spacing w:val="-7"/>
          <w:w w:val="105"/>
          <w:sz w:val="12"/>
        </w:rPr>
        <w:t xml:space="preserve"> </w:t>
      </w:r>
      <w:r>
        <w:rPr>
          <w:w w:val="105"/>
          <w:sz w:val="12"/>
        </w:rPr>
        <w:t>de</w:t>
      </w:r>
      <w:r>
        <w:rPr>
          <w:spacing w:val="-7"/>
          <w:w w:val="105"/>
          <w:sz w:val="12"/>
        </w:rPr>
        <w:t xml:space="preserve"> </w:t>
      </w:r>
      <w:r>
        <w:rPr>
          <w:w w:val="105"/>
          <w:sz w:val="12"/>
        </w:rPr>
        <w:t>abril</w:t>
      </w:r>
      <w:r>
        <w:rPr>
          <w:spacing w:val="-7"/>
          <w:w w:val="105"/>
          <w:sz w:val="12"/>
        </w:rPr>
        <w:t xml:space="preserve"> </w:t>
      </w:r>
      <w:r>
        <w:rPr>
          <w:w w:val="105"/>
          <w:sz w:val="12"/>
        </w:rPr>
        <w:t>de</w:t>
      </w:r>
      <w:r>
        <w:rPr>
          <w:spacing w:val="-7"/>
          <w:w w:val="105"/>
          <w:sz w:val="12"/>
        </w:rPr>
        <w:t xml:space="preserve"> </w:t>
      </w:r>
      <w:r>
        <w:rPr>
          <w:w w:val="105"/>
          <w:sz w:val="12"/>
        </w:rPr>
        <w:t>2016,</w:t>
      </w:r>
      <w:r>
        <w:rPr>
          <w:spacing w:val="40"/>
          <w:w w:val="105"/>
          <w:sz w:val="12"/>
        </w:rPr>
        <w:t xml:space="preserve"> </w:t>
      </w:r>
      <w:proofErr w:type="spellStart"/>
      <w:r>
        <w:rPr>
          <w:w w:val="105"/>
          <w:sz w:val="12"/>
        </w:rPr>
        <w:t>párrs</w:t>
      </w:r>
      <w:proofErr w:type="spellEnd"/>
      <w:r>
        <w:rPr>
          <w:w w:val="105"/>
          <w:sz w:val="12"/>
        </w:rPr>
        <w:t>.</w:t>
      </w:r>
      <w:r>
        <w:rPr>
          <w:spacing w:val="-4"/>
          <w:w w:val="105"/>
          <w:sz w:val="12"/>
        </w:rPr>
        <w:t xml:space="preserve"> </w:t>
      </w:r>
      <w:r>
        <w:rPr>
          <w:w w:val="105"/>
          <w:sz w:val="12"/>
        </w:rPr>
        <w:t>80</w:t>
      </w:r>
      <w:r>
        <w:rPr>
          <w:spacing w:val="-4"/>
          <w:w w:val="105"/>
          <w:sz w:val="12"/>
        </w:rPr>
        <w:t xml:space="preserve"> </w:t>
      </w:r>
      <w:r>
        <w:rPr>
          <w:w w:val="105"/>
          <w:sz w:val="12"/>
        </w:rPr>
        <w:t>y</w:t>
      </w:r>
      <w:r>
        <w:rPr>
          <w:spacing w:val="-4"/>
          <w:w w:val="105"/>
          <w:sz w:val="12"/>
        </w:rPr>
        <w:t xml:space="preserve"> </w:t>
      </w:r>
      <w:r>
        <w:rPr>
          <w:sz w:val="12"/>
        </w:rPr>
        <w:t>84;</w:t>
      </w:r>
      <w:r>
        <w:rPr>
          <w:spacing w:val="-3"/>
          <w:sz w:val="12"/>
        </w:rPr>
        <w:t xml:space="preserve"> </w:t>
      </w:r>
      <w:r>
        <w:rPr>
          <w:w w:val="105"/>
          <w:sz w:val="12"/>
        </w:rPr>
        <w:t>y</w:t>
      </w:r>
      <w:r>
        <w:rPr>
          <w:spacing w:val="-4"/>
          <w:w w:val="105"/>
          <w:sz w:val="12"/>
        </w:rPr>
        <w:t xml:space="preserve"> </w:t>
      </w:r>
      <w:proofErr w:type="spellStart"/>
      <w:r>
        <w:rPr>
          <w:w w:val="105"/>
          <w:sz w:val="12"/>
        </w:rPr>
        <w:t>Bayev</w:t>
      </w:r>
      <w:proofErr w:type="spellEnd"/>
      <w:r>
        <w:rPr>
          <w:spacing w:val="-4"/>
          <w:w w:val="105"/>
          <w:sz w:val="12"/>
        </w:rPr>
        <w:t xml:space="preserve"> </w:t>
      </w:r>
      <w:r>
        <w:rPr>
          <w:w w:val="105"/>
          <w:sz w:val="12"/>
        </w:rPr>
        <w:t>y</w:t>
      </w:r>
      <w:r>
        <w:rPr>
          <w:spacing w:val="-4"/>
          <w:w w:val="105"/>
          <w:sz w:val="12"/>
        </w:rPr>
        <w:t xml:space="preserve"> </w:t>
      </w:r>
      <w:r>
        <w:rPr>
          <w:w w:val="105"/>
          <w:sz w:val="12"/>
        </w:rPr>
        <w:t>otros</w:t>
      </w:r>
      <w:r>
        <w:rPr>
          <w:spacing w:val="-4"/>
          <w:w w:val="105"/>
          <w:sz w:val="12"/>
        </w:rPr>
        <w:t xml:space="preserve"> </w:t>
      </w:r>
      <w:r>
        <w:rPr>
          <w:w w:val="105"/>
          <w:sz w:val="12"/>
        </w:rPr>
        <w:t>c.</w:t>
      </w:r>
      <w:r>
        <w:rPr>
          <w:spacing w:val="-4"/>
          <w:w w:val="105"/>
          <w:sz w:val="12"/>
        </w:rPr>
        <w:t xml:space="preserve"> </w:t>
      </w:r>
      <w:r>
        <w:rPr>
          <w:w w:val="105"/>
          <w:sz w:val="12"/>
        </w:rPr>
        <w:t>Rusia,</w:t>
      </w:r>
      <w:r>
        <w:rPr>
          <w:spacing w:val="-4"/>
          <w:w w:val="105"/>
          <w:sz w:val="12"/>
        </w:rPr>
        <w:t xml:space="preserve"> </w:t>
      </w:r>
      <w:r>
        <w:rPr>
          <w:w w:val="105"/>
          <w:sz w:val="12"/>
        </w:rPr>
        <w:t>solicitudes</w:t>
      </w:r>
      <w:r>
        <w:rPr>
          <w:spacing w:val="-4"/>
          <w:w w:val="105"/>
          <w:sz w:val="12"/>
        </w:rPr>
        <w:t xml:space="preserve"> </w:t>
      </w:r>
      <w:proofErr w:type="spellStart"/>
      <w:r>
        <w:rPr>
          <w:w w:val="105"/>
          <w:sz w:val="12"/>
        </w:rPr>
        <w:t>núms</w:t>
      </w:r>
      <w:proofErr w:type="spellEnd"/>
      <w:r>
        <w:rPr>
          <w:w w:val="105"/>
          <w:sz w:val="12"/>
        </w:rPr>
        <w:t>.</w:t>
      </w:r>
      <w:r>
        <w:rPr>
          <w:spacing w:val="-4"/>
          <w:w w:val="105"/>
          <w:sz w:val="12"/>
        </w:rPr>
        <w:t xml:space="preserve"> </w:t>
      </w:r>
      <w:r>
        <w:rPr>
          <w:w w:val="105"/>
          <w:sz w:val="12"/>
        </w:rPr>
        <w:t>67667/09,</w:t>
      </w:r>
      <w:r>
        <w:rPr>
          <w:spacing w:val="-4"/>
          <w:w w:val="105"/>
          <w:sz w:val="12"/>
        </w:rPr>
        <w:t xml:space="preserve"> </w:t>
      </w:r>
      <w:r>
        <w:rPr>
          <w:w w:val="105"/>
          <w:sz w:val="12"/>
        </w:rPr>
        <w:t>44092/12</w:t>
      </w:r>
      <w:r>
        <w:rPr>
          <w:spacing w:val="-4"/>
          <w:w w:val="105"/>
          <w:sz w:val="12"/>
        </w:rPr>
        <w:t xml:space="preserve"> </w:t>
      </w:r>
      <w:r>
        <w:rPr>
          <w:w w:val="105"/>
          <w:sz w:val="12"/>
        </w:rPr>
        <w:t>y</w:t>
      </w:r>
      <w:r>
        <w:rPr>
          <w:spacing w:val="-4"/>
          <w:w w:val="105"/>
          <w:sz w:val="12"/>
        </w:rPr>
        <w:t xml:space="preserve"> </w:t>
      </w:r>
      <w:r>
        <w:rPr>
          <w:w w:val="105"/>
          <w:sz w:val="12"/>
        </w:rPr>
        <w:t>56717/12,</w:t>
      </w:r>
      <w:r>
        <w:rPr>
          <w:spacing w:val="-4"/>
          <w:w w:val="105"/>
          <w:sz w:val="12"/>
        </w:rPr>
        <w:t xml:space="preserve"> </w:t>
      </w:r>
      <w:r>
        <w:rPr>
          <w:w w:val="105"/>
          <w:sz w:val="12"/>
        </w:rPr>
        <w:t>sentencia</w:t>
      </w:r>
      <w:r>
        <w:rPr>
          <w:spacing w:val="-4"/>
          <w:w w:val="105"/>
          <w:sz w:val="12"/>
        </w:rPr>
        <w:t xml:space="preserve"> </w:t>
      </w:r>
      <w:r>
        <w:rPr>
          <w:w w:val="105"/>
          <w:sz w:val="12"/>
        </w:rPr>
        <w:t>de</w:t>
      </w:r>
      <w:r>
        <w:rPr>
          <w:spacing w:val="-4"/>
          <w:w w:val="105"/>
          <w:sz w:val="12"/>
        </w:rPr>
        <w:t xml:space="preserve"> </w:t>
      </w:r>
      <w:r>
        <w:rPr>
          <w:w w:val="105"/>
          <w:sz w:val="12"/>
        </w:rPr>
        <w:t>20</w:t>
      </w:r>
      <w:r>
        <w:rPr>
          <w:spacing w:val="-4"/>
          <w:w w:val="105"/>
          <w:sz w:val="12"/>
        </w:rPr>
        <w:t xml:space="preserve"> </w:t>
      </w:r>
      <w:r>
        <w:rPr>
          <w:w w:val="105"/>
          <w:sz w:val="12"/>
        </w:rPr>
        <w:t>de</w:t>
      </w:r>
      <w:r>
        <w:rPr>
          <w:spacing w:val="-4"/>
          <w:w w:val="105"/>
          <w:sz w:val="12"/>
        </w:rPr>
        <w:t xml:space="preserve"> </w:t>
      </w:r>
      <w:r>
        <w:rPr>
          <w:w w:val="105"/>
          <w:sz w:val="12"/>
        </w:rPr>
        <w:t>junio</w:t>
      </w:r>
      <w:r>
        <w:rPr>
          <w:spacing w:val="-4"/>
          <w:w w:val="105"/>
          <w:sz w:val="12"/>
        </w:rPr>
        <w:t xml:space="preserve"> </w:t>
      </w:r>
      <w:r>
        <w:rPr>
          <w:w w:val="105"/>
          <w:sz w:val="12"/>
        </w:rPr>
        <w:t>de</w:t>
      </w:r>
      <w:r>
        <w:rPr>
          <w:spacing w:val="-4"/>
          <w:w w:val="105"/>
          <w:sz w:val="12"/>
        </w:rPr>
        <w:t xml:space="preserve"> </w:t>
      </w:r>
      <w:r>
        <w:rPr>
          <w:w w:val="105"/>
          <w:sz w:val="12"/>
        </w:rPr>
        <w:t>2017,</w:t>
      </w:r>
      <w:r>
        <w:rPr>
          <w:spacing w:val="-4"/>
          <w:w w:val="105"/>
          <w:sz w:val="12"/>
        </w:rPr>
        <w:t xml:space="preserve"> </w:t>
      </w:r>
      <w:proofErr w:type="spellStart"/>
      <w:r>
        <w:rPr>
          <w:w w:val="105"/>
          <w:sz w:val="12"/>
        </w:rPr>
        <w:t>párrs</w:t>
      </w:r>
      <w:proofErr w:type="spellEnd"/>
      <w:r>
        <w:rPr>
          <w:w w:val="105"/>
          <w:sz w:val="12"/>
        </w:rPr>
        <w:t>.</w:t>
      </w:r>
      <w:r>
        <w:rPr>
          <w:spacing w:val="-4"/>
          <w:w w:val="105"/>
          <w:sz w:val="12"/>
        </w:rPr>
        <w:t xml:space="preserve"> </w:t>
      </w:r>
      <w:r>
        <w:rPr>
          <w:w w:val="105"/>
          <w:sz w:val="12"/>
        </w:rPr>
        <w:t>81–84.</w:t>
      </w:r>
    </w:p>
    <w:p w14:paraId="1BDBA105" w14:textId="77777777" w:rsidR="0014798C" w:rsidRDefault="0014798C">
      <w:pPr>
        <w:spacing w:line="312" w:lineRule="auto"/>
        <w:rPr>
          <w:sz w:val="12"/>
        </w:rPr>
        <w:sectPr w:rsidR="0014798C" w:rsidSect="00F265E4">
          <w:type w:val="continuous"/>
          <w:pgSz w:w="11900" w:h="16820"/>
          <w:pgMar w:top="40" w:right="0" w:bottom="280" w:left="200" w:header="121" w:footer="0" w:gutter="0"/>
          <w:cols w:num="2" w:space="720" w:equalWidth="0">
            <w:col w:w="1250" w:space="40"/>
            <w:col w:w="10410"/>
          </w:cols>
        </w:sectPr>
      </w:pPr>
    </w:p>
    <w:p w14:paraId="53BCF5D6" w14:textId="77777777" w:rsidR="0014798C" w:rsidRDefault="0014798C">
      <w:pPr>
        <w:pStyle w:val="Textoindependiente"/>
        <w:rPr>
          <w:sz w:val="8"/>
        </w:rPr>
      </w:pPr>
    </w:p>
    <w:p w14:paraId="132FF55A" w14:textId="77777777" w:rsidR="0014798C" w:rsidRDefault="0014798C">
      <w:pPr>
        <w:pStyle w:val="Textoindependiente"/>
        <w:rPr>
          <w:sz w:val="8"/>
        </w:rPr>
      </w:pPr>
    </w:p>
    <w:p w14:paraId="31E432AC" w14:textId="77777777" w:rsidR="0014798C" w:rsidRDefault="0014798C">
      <w:pPr>
        <w:pStyle w:val="Textoindependiente"/>
        <w:spacing w:before="34"/>
        <w:rPr>
          <w:sz w:val="8"/>
        </w:rPr>
      </w:pPr>
    </w:p>
    <w:p w14:paraId="1A78B413" w14:textId="77777777" w:rsidR="0014798C" w:rsidRDefault="004E1F0B">
      <w:pPr>
        <w:ind w:left="1107"/>
        <w:rPr>
          <w:sz w:val="8"/>
        </w:rPr>
      </w:pPr>
      <w:r>
        <w:rPr>
          <w:w w:val="105"/>
          <w:sz w:val="8"/>
        </w:rPr>
        <w:t>391</w:t>
      </w:r>
      <w:r>
        <w:rPr>
          <w:spacing w:val="-3"/>
          <w:w w:val="105"/>
          <w:sz w:val="8"/>
        </w:rPr>
        <w:t xml:space="preserve"> </w:t>
      </w:r>
      <w:r>
        <w:rPr>
          <w:w w:val="105"/>
          <w:sz w:val="8"/>
        </w:rPr>
        <w:t>Protocolo</w:t>
      </w:r>
      <w:r>
        <w:rPr>
          <w:spacing w:val="-3"/>
          <w:w w:val="105"/>
          <w:sz w:val="8"/>
        </w:rPr>
        <w:t xml:space="preserve"> </w:t>
      </w:r>
      <w:r>
        <w:rPr>
          <w:w w:val="105"/>
          <w:sz w:val="8"/>
        </w:rPr>
        <w:t>núm.</w:t>
      </w:r>
      <w:r>
        <w:rPr>
          <w:spacing w:val="-3"/>
          <w:w w:val="105"/>
          <w:sz w:val="8"/>
        </w:rPr>
        <w:t xml:space="preserve"> </w:t>
      </w:r>
      <w:r>
        <w:rPr>
          <w:w w:val="105"/>
          <w:sz w:val="8"/>
        </w:rPr>
        <w:t>12</w:t>
      </w:r>
      <w:r>
        <w:rPr>
          <w:spacing w:val="-3"/>
          <w:w w:val="105"/>
          <w:sz w:val="8"/>
        </w:rPr>
        <w:t xml:space="preserve"> </w:t>
      </w:r>
      <w:r>
        <w:rPr>
          <w:w w:val="105"/>
          <w:sz w:val="8"/>
        </w:rPr>
        <w:t>del</w:t>
      </w:r>
      <w:r>
        <w:rPr>
          <w:spacing w:val="-3"/>
          <w:w w:val="105"/>
          <w:sz w:val="8"/>
        </w:rPr>
        <w:t xml:space="preserve"> </w:t>
      </w:r>
      <w:r>
        <w:rPr>
          <w:w w:val="105"/>
          <w:sz w:val="8"/>
        </w:rPr>
        <w:t>Convenio</w:t>
      </w:r>
      <w:r>
        <w:rPr>
          <w:spacing w:val="-3"/>
          <w:w w:val="105"/>
          <w:sz w:val="8"/>
        </w:rPr>
        <w:t xml:space="preserve"> </w:t>
      </w:r>
      <w:r>
        <w:rPr>
          <w:w w:val="105"/>
          <w:sz w:val="8"/>
        </w:rPr>
        <w:t>para</w:t>
      </w:r>
      <w:r>
        <w:rPr>
          <w:spacing w:val="-3"/>
          <w:w w:val="105"/>
          <w:sz w:val="8"/>
        </w:rPr>
        <w:t xml:space="preserve"> </w:t>
      </w:r>
      <w:r>
        <w:rPr>
          <w:w w:val="105"/>
          <w:sz w:val="8"/>
        </w:rPr>
        <w:t>la</w:t>
      </w:r>
      <w:r>
        <w:rPr>
          <w:spacing w:val="-3"/>
          <w:w w:val="105"/>
          <w:sz w:val="8"/>
        </w:rPr>
        <w:t xml:space="preserve"> </w:t>
      </w:r>
      <w:r>
        <w:rPr>
          <w:w w:val="105"/>
          <w:sz w:val="8"/>
        </w:rPr>
        <w:t>Protección</w:t>
      </w:r>
      <w:r>
        <w:rPr>
          <w:spacing w:val="-3"/>
          <w:w w:val="105"/>
          <w:sz w:val="8"/>
        </w:rPr>
        <w:t xml:space="preserve"> </w:t>
      </w:r>
      <w:r>
        <w:rPr>
          <w:w w:val="105"/>
          <w:sz w:val="8"/>
        </w:rPr>
        <w:t>de</w:t>
      </w:r>
      <w:r>
        <w:rPr>
          <w:spacing w:val="-3"/>
          <w:w w:val="105"/>
          <w:sz w:val="8"/>
        </w:rPr>
        <w:t xml:space="preserve"> </w:t>
      </w:r>
      <w:r>
        <w:rPr>
          <w:w w:val="105"/>
          <w:sz w:val="8"/>
        </w:rPr>
        <w:t>los</w:t>
      </w:r>
      <w:r>
        <w:rPr>
          <w:spacing w:val="-3"/>
          <w:w w:val="105"/>
          <w:sz w:val="8"/>
        </w:rPr>
        <w:t xml:space="preserve"> </w:t>
      </w:r>
      <w:r>
        <w:rPr>
          <w:w w:val="105"/>
          <w:sz w:val="8"/>
        </w:rPr>
        <w:t>Derechos</w:t>
      </w:r>
      <w:r>
        <w:rPr>
          <w:spacing w:val="-3"/>
          <w:w w:val="105"/>
          <w:sz w:val="8"/>
        </w:rPr>
        <w:t xml:space="preserve"> </w:t>
      </w:r>
      <w:r>
        <w:rPr>
          <w:w w:val="105"/>
          <w:sz w:val="8"/>
        </w:rPr>
        <w:t>Humanos</w:t>
      </w:r>
      <w:r>
        <w:rPr>
          <w:spacing w:val="-3"/>
          <w:w w:val="105"/>
          <w:sz w:val="8"/>
        </w:rPr>
        <w:t xml:space="preserve"> </w:t>
      </w:r>
      <w:r>
        <w:rPr>
          <w:w w:val="105"/>
          <w:sz w:val="8"/>
        </w:rPr>
        <w:t>y</w:t>
      </w:r>
      <w:r>
        <w:rPr>
          <w:spacing w:val="-3"/>
          <w:w w:val="105"/>
          <w:sz w:val="8"/>
        </w:rPr>
        <w:t xml:space="preserve"> </w:t>
      </w:r>
      <w:r>
        <w:rPr>
          <w:w w:val="105"/>
          <w:sz w:val="8"/>
        </w:rPr>
        <w:t>de</w:t>
      </w:r>
      <w:r>
        <w:rPr>
          <w:spacing w:val="-3"/>
          <w:w w:val="105"/>
          <w:sz w:val="8"/>
        </w:rPr>
        <w:t xml:space="preserve"> </w:t>
      </w:r>
      <w:r>
        <w:rPr>
          <w:w w:val="105"/>
          <w:sz w:val="8"/>
        </w:rPr>
        <w:t>las</w:t>
      </w:r>
      <w:r>
        <w:rPr>
          <w:spacing w:val="-3"/>
          <w:w w:val="105"/>
          <w:sz w:val="8"/>
        </w:rPr>
        <w:t xml:space="preserve"> </w:t>
      </w:r>
      <w:r>
        <w:rPr>
          <w:w w:val="105"/>
          <w:sz w:val="8"/>
        </w:rPr>
        <w:t>Libertades</w:t>
      </w:r>
      <w:r>
        <w:rPr>
          <w:spacing w:val="-3"/>
          <w:w w:val="105"/>
          <w:sz w:val="8"/>
        </w:rPr>
        <w:t xml:space="preserve"> </w:t>
      </w:r>
      <w:r>
        <w:rPr>
          <w:w w:val="105"/>
          <w:sz w:val="8"/>
        </w:rPr>
        <w:t>Fundamentales,</w:t>
      </w:r>
      <w:r>
        <w:rPr>
          <w:spacing w:val="-3"/>
          <w:w w:val="105"/>
          <w:sz w:val="8"/>
        </w:rPr>
        <w:t xml:space="preserve"> </w:t>
      </w:r>
      <w:r>
        <w:rPr>
          <w:w w:val="105"/>
          <w:sz w:val="8"/>
        </w:rPr>
        <w:t>art.</w:t>
      </w:r>
      <w:r>
        <w:rPr>
          <w:spacing w:val="-3"/>
          <w:w w:val="105"/>
          <w:sz w:val="8"/>
        </w:rPr>
        <w:t xml:space="preserve"> </w:t>
      </w:r>
      <w:r>
        <w:rPr>
          <w:spacing w:val="-5"/>
          <w:w w:val="105"/>
          <w:sz w:val="8"/>
        </w:rPr>
        <w:t>4.</w:t>
      </w:r>
    </w:p>
    <w:p w14:paraId="23A0EA3C" w14:textId="77777777" w:rsidR="0014798C" w:rsidRDefault="0014798C">
      <w:pPr>
        <w:pStyle w:val="Textoindependiente"/>
        <w:rPr>
          <w:sz w:val="18"/>
        </w:rPr>
      </w:pPr>
    </w:p>
    <w:p w14:paraId="6F46D583" w14:textId="77777777" w:rsidR="0014798C" w:rsidRDefault="0014798C">
      <w:pPr>
        <w:pStyle w:val="Textoindependiente"/>
        <w:spacing w:before="205"/>
        <w:rPr>
          <w:sz w:val="18"/>
        </w:rPr>
      </w:pPr>
    </w:p>
    <w:p w14:paraId="0B79FB01" w14:textId="77777777" w:rsidR="0014798C" w:rsidRDefault="004E1F0B">
      <w:pPr>
        <w:ind w:right="725"/>
        <w:jc w:val="right"/>
        <w:rPr>
          <w:sz w:val="18"/>
        </w:rPr>
      </w:pPr>
      <w:r>
        <w:rPr>
          <w:spacing w:val="-5"/>
          <w:sz w:val="18"/>
        </w:rPr>
        <w:t>51</w:t>
      </w:r>
    </w:p>
    <w:p w14:paraId="619F04F1" w14:textId="77777777" w:rsidR="0014798C" w:rsidRDefault="0014798C">
      <w:pPr>
        <w:jc w:val="right"/>
        <w:rPr>
          <w:sz w:val="18"/>
        </w:rPr>
        <w:sectPr w:rsidR="0014798C" w:rsidSect="00F265E4">
          <w:type w:val="continuous"/>
          <w:pgSz w:w="11900" w:h="16820"/>
          <w:pgMar w:top="40" w:right="0" w:bottom="280" w:left="200" w:header="121" w:footer="0" w:gutter="0"/>
          <w:cols w:space="720"/>
        </w:sectPr>
      </w:pPr>
    </w:p>
    <w:p w14:paraId="2C8D7881" w14:textId="77777777" w:rsidR="0014798C" w:rsidRDefault="0014798C">
      <w:pPr>
        <w:pStyle w:val="Textoindependiente"/>
        <w:spacing w:before="85"/>
        <w:rPr>
          <w:sz w:val="12"/>
        </w:rPr>
      </w:pPr>
    </w:p>
    <w:p w14:paraId="4A54B65E" w14:textId="77777777" w:rsidR="0014798C" w:rsidRDefault="004E1F0B">
      <w:pPr>
        <w:ind w:left="1111"/>
        <w:rPr>
          <w:sz w:val="12"/>
        </w:rPr>
      </w:pPr>
      <w:r>
        <w:rPr>
          <w:color w:val="00AC59"/>
          <w:sz w:val="12"/>
        </w:rPr>
        <w:t>PROTECCIÓN</w:t>
      </w:r>
      <w:r>
        <w:rPr>
          <w:color w:val="00AC59"/>
          <w:spacing w:val="6"/>
          <w:sz w:val="12"/>
        </w:rPr>
        <w:t xml:space="preserve"> </w:t>
      </w:r>
      <w:r>
        <w:rPr>
          <w:color w:val="00AC59"/>
          <w:sz w:val="12"/>
        </w:rPr>
        <w:t>DE</w:t>
      </w:r>
      <w:r>
        <w:rPr>
          <w:color w:val="00AC59"/>
          <w:spacing w:val="7"/>
          <w:sz w:val="12"/>
        </w:rPr>
        <w:t xml:space="preserve"> </w:t>
      </w:r>
      <w:r>
        <w:rPr>
          <w:color w:val="00AC59"/>
          <w:sz w:val="12"/>
        </w:rPr>
        <w:t>LOS</w:t>
      </w:r>
      <w:r>
        <w:rPr>
          <w:color w:val="00AC59"/>
          <w:spacing w:val="8"/>
          <w:sz w:val="12"/>
        </w:rPr>
        <w:t xml:space="preserve"> </w:t>
      </w:r>
      <w:r>
        <w:rPr>
          <w:color w:val="00AC59"/>
          <w:sz w:val="12"/>
        </w:rPr>
        <w:t>DERECHOS</w:t>
      </w:r>
      <w:r>
        <w:rPr>
          <w:color w:val="00AC59"/>
          <w:spacing w:val="8"/>
          <w:sz w:val="12"/>
        </w:rPr>
        <w:t xml:space="preserve"> </w:t>
      </w:r>
      <w:r>
        <w:rPr>
          <w:color w:val="00AC59"/>
          <w:sz w:val="12"/>
        </w:rPr>
        <w:t>DE</w:t>
      </w:r>
      <w:r>
        <w:rPr>
          <w:color w:val="00AC59"/>
          <w:spacing w:val="6"/>
          <w:sz w:val="12"/>
        </w:rPr>
        <w:t xml:space="preserve"> </w:t>
      </w:r>
      <w:r>
        <w:rPr>
          <w:color w:val="00AC59"/>
          <w:sz w:val="12"/>
        </w:rPr>
        <w:t>LAS</w:t>
      </w:r>
      <w:r>
        <w:rPr>
          <w:color w:val="00AC59"/>
          <w:spacing w:val="7"/>
          <w:sz w:val="12"/>
        </w:rPr>
        <w:t xml:space="preserve"> </w:t>
      </w:r>
      <w:r>
        <w:rPr>
          <w:color w:val="00AC59"/>
          <w:sz w:val="12"/>
        </w:rPr>
        <w:t>MINORÍAS:</w:t>
      </w:r>
      <w:r>
        <w:rPr>
          <w:color w:val="00AC59"/>
          <w:spacing w:val="8"/>
          <w:sz w:val="12"/>
        </w:rPr>
        <w:t xml:space="preserve"> </w:t>
      </w:r>
      <w:r>
        <w:rPr>
          <w:color w:val="00AC59"/>
          <w:sz w:val="12"/>
        </w:rPr>
        <w:t>una</w:t>
      </w:r>
      <w:r>
        <w:rPr>
          <w:color w:val="00AC59"/>
          <w:spacing w:val="7"/>
          <w:sz w:val="12"/>
        </w:rPr>
        <w:t xml:space="preserve"> </w:t>
      </w:r>
      <w:r>
        <w:rPr>
          <w:color w:val="00AC59"/>
          <w:sz w:val="12"/>
        </w:rPr>
        <w:t>guía</w:t>
      </w:r>
      <w:r>
        <w:rPr>
          <w:color w:val="00AC59"/>
          <w:spacing w:val="6"/>
          <w:sz w:val="12"/>
        </w:rPr>
        <w:t xml:space="preserve"> </w:t>
      </w:r>
      <w:r>
        <w:rPr>
          <w:color w:val="00AC59"/>
          <w:sz w:val="12"/>
        </w:rPr>
        <w:t>práctica</w:t>
      </w:r>
      <w:r>
        <w:rPr>
          <w:color w:val="00AC59"/>
          <w:spacing w:val="7"/>
          <w:sz w:val="12"/>
        </w:rPr>
        <w:t xml:space="preserve"> </w:t>
      </w:r>
      <w:r>
        <w:rPr>
          <w:color w:val="00AC59"/>
          <w:sz w:val="12"/>
        </w:rPr>
        <w:t>para</w:t>
      </w:r>
      <w:r>
        <w:rPr>
          <w:color w:val="00AC59"/>
          <w:spacing w:val="8"/>
          <w:sz w:val="12"/>
        </w:rPr>
        <w:t xml:space="preserve"> </w:t>
      </w:r>
      <w:r>
        <w:rPr>
          <w:color w:val="00AC59"/>
          <w:sz w:val="12"/>
        </w:rPr>
        <w:t>desarrollar</w:t>
      </w:r>
      <w:r>
        <w:rPr>
          <w:color w:val="00AC59"/>
          <w:spacing w:val="6"/>
          <w:sz w:val="12"/>
        </w:rPr>
        <w:t xml:space="preserve"> </w:t>
      </w:r>
      <w:r>
        <w:rPr>
          <w:color w:val="00AC59"/>
          <w:sz w:val="12"/>
        </w:rPr>
        <w:t>una</w:t>
      </w:r>
      <w:r>
        <w:rPr>
          <w:color w:val="00AC59"/>
          <w:spacing w:val="7"/>
          <w:sz w:val="12"/>
        </w:rPr>
        <w:t xml:space="preserve"> </w:t>
      </w:r>
      <w:r>
        <w:rPr>
          <w:color w:val="00AC59"/>
          <w:sz w:val="12"/>
        </w:rPr>
        <w:t>legislación</w:t>
      </w:r>
      <w:r>
        <w:rPr>
          <w:color w:val="00AC59"/>
          <w:spacing w:val="8"/>
          <w:sz w:val="12"/>
        </w:rPr>
        <w:t xml:space="preserve"> </w:t>
      </w:r>
      <w:r>
        <w:rPr>
          <w:color w:val="00AC59"/>
          <w:sz w:val="12"/>
        </w:rPr>
        <w:t>integral</w:t>
      </w:r>
      <w:r>
        <w:rPr>
          <w:color w:val="00AC59"/>
          <w:spacing w:val="7"/>
          <w:sz w:val="12"/>
        </w:rPr>
        <w:t xml:space="preserve"> </w:t>
      </w:r>
      <w:r>
        <w:rPr>
          <w:color w:val="00AC59"/>
          <w:sz w:val="12"/>
        </w:rPr>
        <w:t>contra</w:t>
      </w:r>
      <w:r>
        <w:rPr>
          <w:color w:val="00AC59"/>
          <w:spacing w:val="6"/>
          <w:sz w:val="12"/>
        </w:rPr>
        <w:t xml:space="preserve"> </w:t>
      </w:r>
      <w:r>
        <w:rPr>
          <w:color w:val="00AC59"/>
          <w:sz w:val="12"/>
        </w:rPr>
        <w:t>la</w:t>
      </w:r>
      <w:r>
        <w:rPr>
          <w:color w:val="00AC59"/>
          <w:spacing w:val="7"/>
          <w:sz w:val="12"/>
        </w:rPr>
        <w:t xml:space="preserve"> </w:t>
      </w:r>
      <w:r>
        <w:rPr>
          <w:color w:val="00AC59"/>
          <w:spacing w:val="-2"/>
          <w:sz w:val="12"/>
        </w:rPr>
        <w:t>discriminación</w:t>
      </w:r>
    </w:p>
    <w:p w14:paraId="2EE51542" w14:textId="77777777" w:rsidR="0014798C" w:rsidRDefault="0014798C">
      <w:pPr>
        <w:pStyle w:val="Textoindependiente"/>
        <w:rPr>
          <w:sz w:val="20"/>
        </w:rPr>
      </w:pPr>
    </w:p>
    <w:p w14:paraId="256D480A" w14:textId="77777777" w:rsidR="0014798C" w:rsidRDefault="0014798C">
      <w:pPr>
        <w:pStyle w:val="Textoindependiente"/>
        <w:rPr>
          <w:sz w:val="20"/>
        </w:rPr>
      </w:pPr>
    </w:p>
    <w:p w14:paraId="6C7170E9" w14:textId="77777777" w:rsidR="0014798C" w:rsidRDefault="0014798C">
      <w:pPr>
        <w:pStyle w:val="Textoindependiente"/>
        <w:rPr>
          <w:sz w:val="20"/>
        </w:rPr>
      </w:pPr>
    </w:p>
    <w:p w14:paraId="57058D35" w14:textId="77777777" w:rsidR="0014798C" w:rsidRDefault="0014798C">
      <w:pPr>
        <w:pStyle w:val="Textoindependiente"/>
        <w:spacing w:before="40"/>
        <w:rPr>
          <w:sz w:val="20"/>
        </w:rPr>
      </w:pPr>
    </w:p>
    <w:p w14:paraId="0B07201F" w14:textId="77777777" w:rsidR="0014798C" w:rsidRDefault="004E1F0B">
      <w:pPr>
        <w:ind w:left="1115"/>
        <w:rPr>
          <w:sz w:val="20"/>
        </w:rPr>
      </w:pPr>
      <w:r>
        <w:rPr>
          <w:sz w:val="20"/>
        </w:rPr>
        <w:t>(a)</w:t>
      </w:r>
      <w:r>
        <w:rPr>
          <w:spacing w:val="-12"/>
          <w:sz w:val="20"/>
        </w:rPr>
        <w:t xml:space="preserve"> </w:t>
      </w:r>
      <w:r>
        <w:rPr>
          <w:sz w:val="20"/>
        </w:rPr>
        <w:t>Derecho</w:t>
      </w:r>
      <w:r>
        <w:rPr>
          <w:spacing w:val="-11"/>
          <w:sz w:val="20"/>
        </w:rPr>
        <w:t xml:space="preserve"> </w:t>
      </w:r>
      <w:r>
        <w:rPr>
          <w:sz w:val="20"/>
        </w:rPr>
        <w:t>internacional</w:t>
      </w:r>
      <w:r>
        <w:rPr>
          <w:spacing w:val="-11"/>
          <w:sz w:val="20"/>
        </w:rPr>
        <w:t xml:space="preserve"> </w:t>
      </w:r>
      <w:r>
        <w:rPr>
          <w:sz w:val="20"/>
        </w:rPr>
        <w:t>y</w:t>
      </w:r>
      <w:r>
        <w:rPr>
          <w:spacing w:val="-11"/>
          <w:sz w:val="20"/>
        </w:rPr>
        <w:t xml:space="preserve"> </w:t>
      </w:r>
      <w:r>
        <w:rPr>
          <w:spacing w:val="-2"/>
          <w:sz w:val="20"/>
        </w:rPr>
        <w:t>regional</w:t>
      </w:r>
    </w:p>
    <w:p w14:paraId="2B67EE06" w14:textId="77777777" w:rsidR="0014798C" w:rsidRDefault="004E1F0B">
      <w:pPr>
        <w:spacing w:before="171" w:line="307" w:lineRule="auto"/>
        <w:ind w:left="1107" w:right="1312" w:hanging="1"/>
        <w:rPr>
          <w:sz w:val="17"/>
        </w:rPr>
      </w:pPr>
      <w:r>
        <w:rPr>
          <w:sz w:val="17"/>
        </w:rPr>
        <w:t xml:space="preserve">El Comité de Derechos Humanos ha observado que “no toda diferenciación de trato constituirá discriminación, si los criterios para tal diferenciación son razonables y objetivos y el objetivo es lograr un fin legítimo conforme al Pacto”.392 Como lo confirmó el Comité en </w:t>
      </w:r>
      <w:proofErr w:type="spellStart"/>
      <w:r>
        <w:rPr>
          <w:sz w:val="17"/>
        </w:rPr>
        <w:t>En</w:t>
      </w:r>
      <w:proofErr w:type="spellEnd"/>
      <w:r>
        <w:rPr>
          <w:sz w:val="17"/>
        </w:rPr>
        <w:t xml:space="preserve"> casos individuales, la prueba de justificación objetiva y razonable implica una</w:t>
      </w:r>
      <w:r>
        <w:rPr>
          <w:spacing w:val="40"/>
          <w:sz w:val="17"/>
        </w:rPr>
        <w:t xml:space="preserve"> </w:t>
      </w:r>
      <w:r>
        <w:rPr>
          <w:sz w:val="17"/>
        </w:rPr>
        <w:t>evaluación</w:t>
      </w:r>
      <w:r>
        <w:rPr>
          <w:spacing w:val="15"/>
          <w:sz w:val="17"/>
        </w:rPr>
        <w:t xml:space="preserve"> </w:t>
      </w:r>
      <w:r>
        <w:rPr>
          <w:sz w:val="17"/>
        </w:rPr>
        <w:t>de</w:t>
      </w:r>
      <w:r>
        <w:rPr>
          <w:spacing w:val="15"/>
          <w:sz w:val="17"/>
        </w:rPr>
        <w:t xml:space="preserve"> </w:t>
      </w:r>
      <w:r>
        <w:rPr>
          <w:sz w:val="17"/>
        </w:rPr>
        <w:t>proporcionalidad.393</w:t>
      </w:r>
      <w:r>
        <w:rPr>
          <w:spacing w:val="15"/>
          <w:sz w:val="17"/>
        </w:rPr>
        <w:t xml:space="preserve"> </w:t>
      </w:r>
      <w:r>
        <w:rPr>
          <w:sz w:val="17"/>
        </w:rPr>
        <w:t>Con</w:t>
      </w:r>
      <w:r>
        <w:rPr>
          <w:spacing w:val="15"/>
          <w:sz w:val="17"/>
        </w:rPr>
        <w:t xml:space="preserve"> </w:t>
      </w:r>
      <w:r>
        <w:rPr>
          <w:sz w:val="17"/>
        </w:rPr>
        <w:t>algunos</w:t>
      </w:r>
      <w:r>
        <w:rPr>
          <w:spacing w:val="15"/>
          <w:sz w:val="17"/>
        </w:rPr>
        <w:t xml:space="preserve"> </w:t>
      </w:r>
      <w:r>
        <w:rPr>
          <w:sz w:val="17"/>
        </w:rPr>
        <w:t>matices,</w:t>
      </w:r>
      <w:r>
        <w:rPr>
          <w:spacing w:val="15"/>
          <w:sz w:val="17"/>
        </w:rPr>
        <w:t xml:space="preserve"> </w:t>
      </w:r>
      <w:r>
        <w:rPr>
          <w:sz w:val="17"/>
        </w:rPr>
        <w:t>el</w:t>
      </w:r>
      <w:r>
        <w:rPr>
          <w:spacing w:val="15"/>
          <w:sz w:val="17"/>
        </w:rPr>
        <w:t xml:space="preserve"> </w:t>
      </w:r>
      <w:r>
        <w:rPr>
          <w:sz w:val="17"/>
        </w:rPr>
        <w:t>Comité</w:t>
      </w:r>
      <w:r>
        <w:rPr>
          <w:spacing w:val="15"/>
          <w:sz w:val="17"/>
        </w:rPr>
        <w:t xml:space="preserve"> </w:t>
      </w:r>
      <w:r>
        <w:rPr>
          <w:sz w:val="17"/>
        </w:rPr>
        <w:t>para</w:t>
      </w:r>
      <w:r>
        <w:rPr>
          <w:spacing w:val="15"/>
          <w:sz w:val="17"/>
        </w:rPr>
        <w:t xml:space="preserve"> </w:t>
      </w:r>
      <w:r>
        <w:rPr>
          <w:sz w:val="17"/>
        </w:rPr>
        <w:t>la</w:t>
      </w:r>
      <w:r>
        <w:rPr>
          <w:spacing w:val="15"/>
          <w:sz w:val="17"/>
        </w:rPr>
        <w:t xml:space="preserve"> </w:t>
      </w:r>
      <w:r>
        <w:rPr>
          <w:sz w:val="17"/>
        </w:rPr>
        <w:t>Eliminación</w:t>
      </w:r>
      <w:r>
        <w:rPr>
          <w:spacing w:val="15"/>
          <w:sz w:val="17"/>
        </w:rPr>
        <w:t xml:space="preserve"> </w:t>
      </w:r>
      <w:r>
        <w:rPr>
          <w:sz w:val="17"/>
        </w:rPr>
        <w:t>de</w:t>
      </w:r>
      <w:r>
        <w:rPr>
          <w:spacing w:val="15"/>
          <w:sz w:val="17"/>
        </w:rPr>
        <w:t xml:space="preserve"> </w:t>
      </w:r>
      <w:r>
        <w:rPr>
          <w:sz w:val="17"/>
        </w:rPr>
        <w:t>la</w:t>
      </w:r>
      <w:r>
        <w:rPr>
          <w:spacing w:val="15"/>
          <w:sz w:val="17"/>
        </w:rPr>
        <w:t xml:space="preserve"> </w:t>
      </w:r>
      <w:r>
        <w:rPr>
          <w:sz w:val="17"/>
        </w:rPr>
        <w:t>Discriminación</w:t>
      </w:r>
      <w:r>
        <w:rPr>
          <w:spacing w:val="15"/>
          <w:sz w:val="17"/>
        </w:rPr>
        <w:t xml:space="preserve"> </w:t>
      </w:r>
      <w:r>
        <w:rPr>
          <w:sz w:val="17"/>
        </w:rPr>
        <w:t>Racial,394 el Comité de Derechos Económicos, Sociales y Culturales395 y el Comité sobre los Derechos de las Personas con Discapacidad,396</w:t>
      </w:r>
      <w:r>
        <w:rPr>
          <w:spacing w:val="29"/>
          <w:sz w:val="17"/>
        </w:rPr>
        <w:t xml:space="preserve"> </w:t>
      </w:r>
      <w:r>
        <w:rPr>
          <w:sz w:val="17"/>
        </w:rPr>
        <w:t>Junto</w:t>
      </w:r>
      <w:r>
        <w:rPr>
          <w:spacing w:val="29"/>
          <w:sz w:val="17"/>
        </w:rPr>
        <w:t xml:space="preserve"> </w:t>
      </w:r>
      <w:r>
        <w:rPr>
          <w:sz w:val="17"/>
        </w:rPr>
        <w:t>con</w:t>
      </w:r>
      <w:r>
        <w:rPr>
          <w:spacing w:val="29"/>
          <w:sz w:val="17"/>
        </w:rPr>
        <w:t xml:space="preserve"> </w:t>
      </w:r>
      <w:r>
        <w:rPr>
          <w:sz w:val="17"/>
        </w:rPr>
        <w:t>los</w:t>
      </w:r>
      <w:r>
        <w:rPr>
          <w:spacing w:val="29"/>
          <w:sz w:val="17"/>
        </w:rPr>
        <w:t xml:space="preserve"> </w:t>
      </w:r>
      <w:r>
        <w:rPr>
          <w:sz w:val="17"/>
        </w:rPr>
        <w:t>principales</w:t>
      </w:r>
      <w:r>
        <w:rPr>
          <w:spacing w:val="27"/>
          <w:sz w:val="17"/>
        </w:rPr>
        <w:t xml:space="preserve"> </w:t>
      </w:r>
      <w:r>
        <w:rPr>
          <w:sz w:val="17"/>
        </w:rPr>
        <w:t>mecanismos</w:t>
      </w:r>
      <w:r>
        <w:rPr>
          <w:spacing w:val="29"/>
          <w:sz w:val="17"/>
        </w:rPr>
        <w:t xml:space="preserve"> </w:t>
      </w:r>
      <w:r>
        <w:rPr>
          <w:sz w:val="17"/>
        </w:rPr>
        <w:t>regionales</w:t>
      </w:r>
      <w:r>
        <w:rPr>
          <w:spacing w:val="27"/>
          <w:sz w:val="17"/>
        </w:rPr>
        <w:t xml:space="preserve"> </w:t>
      </w:r>
      <w:r>
        <w:rPr>
          <w:sz w:val="17"/>
        </w:rPr>
        <w:t>de</w:t>
      </w:r>
      <w:r>
        <w:rPr>
          <w:spacing w:val="29"/>
          <w:sz w:val="17"/>
        </w:rPr>
        <w:t xml:space="preserve"> </w:t>
      </w:r>
      <w:r>
        <w:rPr>
          <w:sz w:val="17"/>
        </w:rPr>
        <w:t>derechos</w:t>
      </w:r>
      <w:r>
        <w:rPr>
          <w:spacing w:val="29"/>
          <w:sz w:val="17"/>
        </w:rPr>
        <w:t xml:space="preserve"> </w:t>
      </w:r>
      <w:r>
        <w:rPr>
          <w:sz w:val="17"/>
        </w:rPr>
        <w:t>humanos,397</w:t>
      </w:r>
      <w:r>
        <w:rPr>
          <w:spacing w:val="29"/>
          <w:sz w:val="17"/>
        </w:rPr>
        <w:t xml:space="preserve"> </w:t>
      </w:r>
      <w:r>
        <w:rPr>
          <w:sz w:val="17"/>
        </w:rPr>
        <w:t>han</w:t>
      </w:r>
      <w:r>
        <w:rPr>
          <w:spacing w:val="29"/>
          <w:sz w:val="17"/>
        </w:rPr>
        <w:t xml:space="preserve"> </w:t>
      </w:r>
      <w:r>
        <w:rPr>
          <w:sz w:val="17"/>
        </w:rPr>
        <w:t>adoptado</w:t>
      </w:r>
      <w:r>
        <w:rPr>
          <w:spacing w:val="29"/>
          <w:sz w:val="17"/>
        </w:rPr>
        <w:t xml:space="preserve"> </w:t>
      </w:r>
      <w:r>
        <w:rPr>
          <w:sz w:val="17"/>
        </w:rPr>
        <w:t>este modelo marco. Si bien el Comité para la Eliminación de la Discriminación contra la Mujer no ha abordado el tema de la justificación en sus recomendaciones generales, miembros individuales han expresado su apoyo a una prueba de justificación general en virtud de la Convención pertinente.398</w:t>
      </w:r>
    </w:p>
    <w:p w14:paraId="4D232ED3" w14:textId="77777777" w:rsidR="0014798C" w:rsidRDefault="004E1F0B">
      <w:pPr>
        <w:spacing w:before="166" w:line="307" w:lineRule="auto"/>
        <w:ind w:left="1111" w:right="1272" w:hanging="5"/>
        <w:rPr>
          <w:sz w:val="17"/>
        </w:rPr>
      </w:pPr>
      <w:r>
        <w:rPr>
          <w:sz w:val="17"/>
        </w:rPr>
        <w:t>A nivel internacional, la prueba de justificación se ha citado con mayor frecuencia con respecto a la discriminación indirecta;399 aunque la referencia al “trato diferenciado”400 indica su igual aplicabilidad en casos de discriminación directa.401 De</w:t>
      </w:r>
      <w:r>
        <w:rPr>
          <w:spacing w:val="13"/>
          <w:sz w:val="17"/>
        </w:rPr>
        <w:t xml:space="preserve"> </w:t>
      </w:r>
      <w:r>
        <w:rPr>
          <w:sz w:val="17"/>
        </w:rPr>
        <w:t>hecho,</w:t>
      </w:r>
      <w:r>
        <w:rPr>
          <w:spacing w:val="13"/>
          <w:sz w:val="17"/>
        </w:rPr>
        <w:t xml:space="preserve"> </w:t>
      </w:r>
      <w:r>
        <w:rPr>
          <w:sz w:val="17"/>
        </w:rPr>
        <w:t>tanto el</w:t>
      </w:r>
      <w:r>
        <w:rPr>
          <w:spacing w:val="13"/>
          <w:sz w:val="17"/>
        </w:rPr>
        <w:t xml:space="preserve"> </w:t>
      </w:r>
      <w:r>
        <w:rPr>
          <w:sz w:val="17"/>
        </w:rPr>
        <w:t>Comité</w:t>
      </w:r>
      <w:r>
        <w:rPr>
          <w:spacing w:val="13"/>
          <w:sz w:val="17"/>
        </w:rPr>
        <w:t xml:space="preserve"> </w:t>
      </w:r>
      <w:r>
        <w:rPr>
          <w:sz w:val="17"/>
        </w:rPr>
        <w:t>de</w:t>
      </w:r>
      <w:r>
        <w:rPr>
          <w:spacing w:val="13"/>
          <w:sz w:val="17"/>
        </w:rPr>
        <w:t xml:space="preserve"> </w:t>
      </w:r>
      <w:r>
        <w:rPr>
          <w:sz w:val="17"/>
        </w:rPr>
        <w:t>Asuntos Económicos,</w:t>
      </w:r>
      <w:r>
        <w:rPr>
          <w:spacing w:val="14"/>
          <w:sz w:val="17"/>
        </w:rPr>
        <w:t xml:space="preserve"> </w:t>
      </w:r>
      <w:r>
        <w:rPr>
          <w:sz w:val="17"/>
        </w:rPr>
        <w:t>Sociales y</w:t>
      </w:r>
      <w:r>
        <w:rPr>
          <w:spacing w:val="13"/>
          <w:sz w:val="17"/>
        </w:rPr>
        <w:t xml:space="preserve"> </w:t>
      </w:r>
      <w:r>
        <w:rPr>
          <w:sz w:val="17"/>
        </w:rPr>
        <w:t>Culturales Derechos</w:t>
      </w:r>
      <w:r>
        <w:rPr>
          <w:spacing w:val="13"/>
          <w:sz w:val="17"/>
        </w:rPr>
        <w:t xml:space="preserve"> </w:t>
      </w:r>
      <w:r>
        <w:rPr>
          <w:sz w:val="17"/>
        </w:rPr>
        <w:t>Humanos</w:t>
      </w:r>
      <w:r>
        <w:rPr>
          <w:spacing w:val="13"/>
          <w:sz w:val="17"/>
        </w:rPr>
        <w:t xml:space="preserve"> </w:t>
      </w:r>
      <w:r>
        <w:rPr>
          <w:sz w:val="17"/>
        </w:rPr>
        <w:t>y</w:t>
      </w:r>
      <w:r>
        <w:rPr>
          <w:spacing w:val="13"/>
          <w:sz w:val="17"/>
        </w:rPr>
        <w:t xml:space="preserve"> </w:t>
      </w:r>
      <w:r>
        <w:rPr>
          <w:sz w:val="17"/>
        </w:rPr>
        <w:t>el</w:t>
      </w:r>
      <w:r>
        <w:rPr>
          <w:spacing w:val="13"/>
          <w:sz w:val="17"/>
        </w:rPr>
        <w:t xml:space="preserve"> </w:t>
      </w:r>
      <w:r>
        <w:rPr>
          <w:sz w:val="17"/>
        </w:rPr>
        <w:t>Comité</w:t>
      </w:r>
    </w:p>
    <w:p w14:paraId="59C83BE7" w14:textId="77777777" w:rsidR="0014798C" w:rsidRDefault="004E1F0B">
      <w:pPr>
        <w:spacing w:line="307" w:lineRule="auto"/>
        <w:ind w:left="1108" w:right="1335"/>
        <w:rPr>
          <w:sz w:val="17"/>
        </w:rPr>
      </w:pPr>
      <w:r>
        <w:rPr>
          <w:sz w:val="17"/>
        </w:rPr>
        <w:t>de Derechos Humanos han aplicado la prueba de esta manera.402 Sin embargo, en la práctica, la discriminación directa rara vez se justifica y la discriminación directa basada en ciertas características, como la raza y el origen étnico, nunca puede justificarse.403 Por el contrario, las políticas y prácticas neutrales que prima facie son indirectamente</w:t>
      </w:r>
      <w:r>
        <w:rPr>
          <w:spacing w:val="40"/>
          <w:sz w:val="17"/>
        </w:rPr>
        <w:t xml:space="preserve"> </w:t>
      </w:r>
      <w:r>
        <w:rPr>
          <w:sz w:val="17"/>
        </w:rPr>
        <w:t>discriminatorias a menudo sirven a objetivos legítimos, aunque los medios empleados no siempre son proporcionados;</w:t>
      </w:r>
    </w:p>
    <w:p w14:paraId="71AEF24B" w14:textId="77777777" w:rsidR="0014798C" w:rsidRDefault="004E1F0B">
      <w:pPr>
        <w:spacing w:line="194" w:lineRule="exact"/>
        <w:ind w:left="1108"/>
        <w:rPr>
          <w:sz w:val="17"/>
        </w:rPr>
      </w:pPr>
      <w:r>
        <w:rPr>
          <w:sz w:val="17"/>
        </w:rPr>
        <w:t>y</w:t>
      </w:r>
      <w:r>
        <w:rPr>
          <w:spacing w:val="9"/>
          <w:sz w:val="17"/>
        </w:rPr>
        <w:t xml:space="preserve"> </w:t>
      </w:r>
      <w:r>
        <w:rPr>
          <w:sz w:val="17"/>
        </w:rPr>
        <w:t>podrán</w:t>
      </w:r>
      <w:r>
        <w:rPr>
          <w:spacing w:val="9"/>
          <w:sz w:val="17"/>
        </w:rPr>
        <w:t xml:space="preserve"> </w:t>
      </w:r>
      <w:r>
        <w:rPr>
          <w:sz w:val="17"/>
        </w:rPr>
        <w:t>identificarse</w:t>
      </w:r>
      <w:r>
        <w:rPr>
          <w:spacing w:val="9"/>
          <w:sz w:val="17"/>
        </w:rPr>
        <w:t xml:space="preserve"> </w:t>
      </w:r>
      <w:r>
        <w:rPr>
          <w:sz w:val="17"/>
        </w:rPr>
        <w:t>medidas</w:t>
      </w:r>
      <w:r>
        <w:rPr>
          <w:spacing w:val="9"/>
          <w:sz w:val="17"/>
        </w:rPr>
        <w:t xml:space="preserve"> </w:t>
      </w:r>
      <w:r>
        <w:rPr>
          <w:sz w:val="17"/>
        </w:rPr>
        <w:t>menos</w:t>
      </w:r>
      <w:r>
        <w:rPr>
          <w:spacing w:val="10"/>
          <w:sz w:val="17"/>
        </w:rPr>
        <w:t xml:space="preserve"> </w:t>
      </w:r>
      <w:r>
        <w:rPr>
          <w:sz w:val="17"/>
        </w:rPr>
        <w:t>restrictivas</w:t>
      </w:r>
      <w:r>
        <w:rPr>
          <w:spacing w:val="8"/>
          <w:sz w:val="17"/>
        </w:rPr>
        <w:t xml:space="preserve"> </w:t>
      </w:r>
      <w:r>
        <w:rPr>
          <w:sz w:val="17"/>
        </w:rPr>
        <w:t>para</w:t>
      </w:r>
      <w:r>
        <w:rPr>
          <w:spacing w:val="10"/>
          <w:sz w:val="17"/>
        </w:rPr>
        <w:t xml:space="preserve"> </w:t>
      </w:r>
      <w:r>
        <w:rPr>
          <w:sz w:val="17"/>
        </w:rPr>
        <w:t>eliminar</w:t>
      </w:r>
      <w:r>
        <w:rPr>
          <w:spacing w:val="9"/>
          <w:sz w:val="17"/>
        </w:rPr>
        <w:t xml:space="preserve"> </w:t>
      </w:r>
      <w:r>
        <w:rPr>
          <w:sz w:val="17"/>
        </w:rPr>
        <w:t>cualquier</w:t>
      </w:r>
      <w:r>
        <w:rPr>
          <w:spacing w:val="9"/>
          <w:sz w:val="17"/>
        </w:rPr>
        <w:t xml:space="preserve"> </w:t>
      </w:r>
      <w:r>
        <w:rPr>
          <w:sz w:val="17"/>
        </w:rPr>
        <w:t>posible</w:t>
      </w:r>
      <w:r>
        <w:rPr>
          <w:spacing w:val="10"/>
          <w:sz w:val="17"/>
        </w:rPr>
        <w:t xml:space="preserve"> </w:t>
      </w:r>
      <w:r>
        <w:rPr>
          <w:sz w:val="17"/>
        </w:rPr>
        <w:t>impacto</w:t>
      </w:r>
      <w:r>
        <w:rPr>
          <w:spacing w:val="9"/>
          <w:sz w:val="17"/>
        </w:rPr>
        <w:t xml:space="preserve"> </w:t>
      </w:r>
      <w:r>
        <w:rPr>
          <w:spacing w:val="-2"/>
          <w:sz w:val="17"/>
        </w:rPr>
        <w:t>discriminatorio.</w:t>
      </w:r>
    </w:p>
    <w:p w14:paraId="5F921E3B" w14:textId="77777777" w:rsidR="0014798C" w:rsidRDefault="0014798C">
      <w:pPr>
        <w:pStyle w:val="Textoindependiente"/>
        <w:rPr>
          <w:sz w:val="20"/>
        </w:rPr>
      </w:pPr>
    </w:p>
    <w:p w14:paraId="039EA85C" w14:textId="77777777" w:rsidR="0014798C" w:rsidRDefault="0014798C">
      <w:pPr>
        <w:pStyle w:val="Textoindependiente"/>
        <w:rPr>
          <w:sz w:val="20"/>
        </w:rPr>
      </w:pPr>
    </w:p>
    <w:p w14:paraId="78AD8C9D" w14:textId="77777777" w:rsidR="0014798C" w:rsidRDefault="004E1F0B">
      <w:pPr>
        <w:pStyle w:val="Textoindependiente"/>
        <w:spacing w:before="89"/>
        <w:rPr>
          <w:sz w:val="20"/>
        </w:rPr>
      </w:pPr>
      <w:r>
        <w:rPr>
          <w:noProof/>
        </w:rPr>
        <w:drawing>
          <wp:anchor distT="0" distB="0" distL="0" distR="0" simplePos="0" relativeHeight="251658528" behindDoc="1" locked="0" layoutInCell="1" allowOverlap="1" wp14:anchorId="1DC85FC2" wp14:editId="2B0E535E">
            <wp:simplePos x="0" y="0"/>
            <wp:positionH relativeFrom="page">
              <wp:posOffset>826632</wp:posOffset>
            </wp:positionH>
            <wp:positionV relativeFrom="paragraph">
              <wp:posOffset>217830</wp:posOffset>
            </wp:positionV>
            <wp:extent cx="931001" cy="35813"/>
            <wp:effectExtent l="0" t="0" r="0" b="0"/>
            <wp:wrapTopAndBottom/>
            <wp:docPr id="143" name="Image 14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43" name="Image 143"/>
                    <pic:cNvPicPr/>
                  </pic:nvPicPr>
                  <pic:blipFill>
                    <a:blip r:embed="rId135" cstate="print"/>
                    <a:stretch>
                      <a:fillRect/>
                    </a:stretch>
                  </pic:blipFill>
                  <pic:spPr>
                    <a:xfrm>
                      <a:off x="0" y="0"/>
                      <a:ext cx="931001" cy="35813"/>
                    </a:xfrm>
                    <a:prstGeom prst="rect">
                      <a:avLst/>
                    </a:prstGeom>
                  </pic:spPr>
                </pic:pic>
              </a:graphicData>
            </a:graphic>
          </wp:anchor>
        </w:drawing>
      </w:r>
    </w:p>
    <w:p w14:paraId="34F84FE8" w14:textId="77777777" w:rsidR="0014798C" w:rsidRDefault="0014798C">
      <w:pPr>
        <w:pStyle w:val="Textoindependiente"/>
        <w:spacing w:before="107"/>
        <w:rPr>
          <w:sz w:val="10"/>
        </w:rPr>
      </w:pPr>
    </w:p>
    <w:p w14:paraId="351E4E46" w14:textId="77777777" w:rsidR="0014798C" w:rsidRDefault="004E1F0B">
      <w:pPr>
        <w:ind w:left="1107"/>
        <w:rPr>
          <w:sz w:val="10"/>
        </w:rPr>
      </w:pPr>
      <w:r>
        <w:rPr>
          <w:w w:val="105"/>
          <w:sz w:val="10"/>
        </w:rPr>
        <w:t>392</w:t>
      </w:r>
      <w:r>
        <w:rPr>
          <w:spacing w:val="-5"/>
          <w:w w:val="105"/>
          <w:sz w:val="10"/>
        </w:rPr>
        <w:t xml:space="preserve"> </w:t>
      </w:r>
      <w:r>
        <w:rPr>
          <w:w w:val="105"/>
          <w:sz w:val="10"/>
        </w:rPr>
        <w:t>Comité</w:t>
      </w:r>
      <w:r>
        <w:rPr>
          <w:spacing w:val="-4"/>
          <w:w w:val="105"/>
          <w:sz w:val="10"/>
        </w:rPr>
        <w:t xml:space="preserve"> </w:t>
      </w:r>
      <w:r>
        <w:rPr>
          <w:w w:val="105"/>
          <w:sz w:val="10"/>
        </w:rPr>
        <w:t>de</w:t>
      </w:r>
      <w:r>
        <w:rPr>
          <w:spacing w:val="-5"/>
          <w:w w:val="105"/>
          <w:sz w:val="10"/>
        </w:rPr>
        <w:t xml:space="preserve"> </w:t>
      </w:r>
      <w:r>
        <w:rPr>
          <w:w w:val="105"/>
          <w:sz w:val="10"/>
        </w:rPr>
        <w:t>Derechos</w:t>
      </w:r>
      <w:r>
        <w:rPr>
          <w:spacing w:val="-4"/>
          <w:w w:val="105"/>
          <w:sz w:val="10"/>
        </w:rPr>
        <w:t xml:space="preserve"> </w:t>
      </w:r>
      <w:r>
        <w:rPr>
          <w:w w:val="105"/>
          <w:sz w:val="10"/>
        </w:rPr>
        <w:t>Humanos,</w:t>
      </w:r>
      <w:r>
        <w:rPr>
          <w:spacing w:val="-5"/>
          <w:w w:val="105"/>
          <w:sz w:val="10"/>
        </w:rPr>
        <w:t xml:space="preserve"> </w:t>
      </w:r>
      <w:r>
        <w:rPr>
          <w:w w:val="105"/>
          <w:sz w:val="10"/>
        </w:rPr>
        <w:t>observación</w:t>
      </w:r>
      <w:r>
        <w:rPr>
          <w:spacing w:val="-4"/>
          <w:w w:val="105"/>
          <w:sz w:val="10"/>
        </w:rPr>
        <w:t xml:space="preserve"> </w:t>
      </w:r>
      <w:r>
        <w:rPr>
          <w:w w:val="105"/>
          <w:sz w:val="10"/>
        </w:rPr>
        <w:t>general</w:t>
      </w:r>
      <w:r>
        <w:rPr>
          <w:spacing w:val="-5"/>
          <w:w w:val="105"/>
          <w:sz w:val="10"/>
        </w:rPr>
        <w:t xml:space="preserve"> </w:t>
      </w:r>
      <w:r>
        <w:rPr>
          <w:w w:val="105"/>
          <w:sz w:val="10"/>
        </w:rPr>
        <w:t>núm.</w:t>
      </w:r>
      <w:r>
        <w:rPr>
          <w:spacing w:val="-4"/>
          <w:w w:val="105"/>
          <w:sz w:val="10"/>
        </w:rPr>
        <w:t xml:space="preserve"> </w:t>
      </w:r>
      <w:r>
        <w:rPr>
          <w:w w:val="105"/>
          <w:sz w:val="10"/>
        </w:rPr>
        <w:t>18</w:t>
      </w:r>
      <w:r>
        <w:rPr>
          <w:spacing w:val="-5"/>
          <w:w w:val="105"/>
          <w:sz w:val="10"/>
        </w:rPr>
        <w:t xml:space="preserve"> </w:t>
      </w:r>
      <w:r>
        <w:rPr>
          <w:w w:val="105"/>
          <w:sz w:val="10"/>
        </w:rPr>
        <w:t>(1989),</w:t>
      </w:r>
      <w:r>
        <w:rPr>
          <w:spacing w:val="-4"/>
          <w:w w:val="105"/>
          <w:sz w:val="10"/>
        </w:rPr>
        <w:t xml:space="preserve"> </w:t>
      </w:r>
      <w:r>
        <w:rPr>
          <w:w w:val="105"/>
          <w:sz w:val="10"/>
        </w:rPr>
        <w:t>párr.</w:t>
      </w:r>
      <w:r>
        <w:rPr>
          <w:spacing w:val="-5"/>
          <w:w w:val="105"/>
          <w:sz w:val="10"/>
        </w:rPr>
        <w:t xml:space="preserve"> 13.</w:t>
      </w:r>
    </w:p>
    <w:p w14:paraId="66ADA8D9" w14:textId="77777777" w:rsidR="0014798C" w:rsidRDefault="004E1F0B">
      <w:pPr>
        <w:spacing w:before="62"/>
        <w:ind w:left="1107"/>
        <w:rPr>
          <w:sz w:val="13"/>
        </w:rPr>
      </w:pPr>
      <w:r>
        <w:rPr>
          <w:sz w:val="13"/>
          <w:vertAlign w:val="superscript"/>
        </w:rPr>
        <w:t>393</w:t>
      </w:r>
      <w:r>
        <w:rPr>
          <w:spacing w:val="68"/>
          <w:w w:val="150"/>
          <w:sz w:val="13"/>
        </w:rPr>
        <w:t xml:space="preserve"> </w:t>
      </w:r>
      <w:r>
        <w:rPr>
          <w:sz w:val="13"/>
        </w:rPr>
        <w:t>Véase,</w:t>
      </w:r>
      <w:r>
        <w:rPr>
          <w:spacing w:val="1"/>
          <w:sz w:val="13"/>
        </w:rPr>
        <w:t xml:space="preserve"> </w:t>
      </w:r>
      <w:r>
        <w:rPr>
          <w:sz w:val="13"/>
        </w:rPr>
        <w:t>por</w:t>
      </w:r>
      <w:r>
        <w:rPr>
          <w:spacing w:val="1"/>
          <w:sz w:val="13"/>
        </w:rPr>
        <w:t xml:space="preserve"> </w:t>
      </w:r>
      <w:r>
        <w:rPr>
          <w:sz w:val="13"/>
        </w:rPr>
        <w:t>ejemplo,</w:t>
      </w:r>
      <w:r>
        <w:rPr>
          <w:spacing w:val="1"/>
          <w:sz w:val="13"/>
        </w:rPr>
        <w:t xml:space="preserve"> </w:t>
      </w:r>
      <w:r>
        <w:rPr>
          <w:sz w:val="13"/>
        </w:rPr>
        <w:t>Comité</w:t>
      </w:r>
      <w:r>
        <w:rPr>
          <w:spacing w:val="1"/>
          <w:sz w:val="13"/>
        </w:rPr>
        <w:t xml:space="preserve"> </w:t>
      </w:r>
      <w:r>
        <w:rPr>
          <w:sz w:val="13"/>
        </w:rPr>
        <w:t>de</w:t>
      </w:r>
      <w:r>
        <w:rPr>
          <w:spacing w:val="1"/>
          <w:sz w:val="13"/>
        </w:rPr>
        <w:t xml:space="preserve"> </w:t>
      </w:r>
      <w:r>
        <w:rPr>
          <w:sz w:val="13"/>
        </w:rPr>
        <w:t>Derechos</w:t>
      </w:r>
      <w:r>
        <w:rPr>
          <w:spacing w:val="1"/>
          <w:sz w:val="13"/>
        </w:rPr>
        <w:t xml:space="preserve"> </w:t>
      </w:r>
      <w:r>
        <w:rPr>
          <w:sz w:val="13"/>
        </w:rPr>
        <w:t>Humanos,</w:t>
      </w:r>
      <w:r>
        <w:rPr>
          <w:spacing w:val="2"/>
          <w:sz w:val="13"/>
        </w:rPr>
        <w:t xml:space="preserve"> </w:t>
      </w:r>
      <w:proofErr w:type="spellStart"/>
      <w:r>
        <w:rPr>
          <w:sz w:val="13"/>
        </w:rPr>
        <w:t>Yaker</w:t>
      </w:r>
      <w:proofErr w:type="spellEnd"/>
      <w:r>
        <w:rPr>
          <w:sz w:val="13"/>
        </w:rPr>
        <w:t xml:space="preserve"> c.</w:t>
      </w:r>
      <w:r>
        <w:rPr>
          <w:spacing w:val="1"/>
          <w:sz w:val="13"/>
        </w:rPr>
        <w:t xml:space="preserve"> </w:t>
      </w:r>
      <w:r>
        <w:rPr>
          <w:sz w:val="13"/>
        </w:rPr>
        <w:t>Francia</w:t>
      </w:r>
      <w:r>
        <w:rPr>
          <w:spacing w:val="1"/>
          <w:sz w:val="13"/>
        </w:rPr>
        <w:t xml:space="preserve"> </w:t>
      </w:r>
      <w:r>
        <w:rPr>
          <w:sz w:val="13"/>
        </w:rPr>
        <w:t>(CCPR/C/123/D/2747/2016),</w:t>
      </w:r>
      <w:r>
        <w:rPr>
          <w:spacing w:val="2"/>
          <w:sz w:val="13"/>
        </w:rPr>
        <w:t xml:space="preserve"> </w:t>
      </w:r>
      <w:proofErr w:type="spellStart"/>
      <w:r>
        <w:rPr>
          <w:sz w:val="13"/>
        </w:rPr>
        <w:t>párrs</w:t>
      </w:r>
      <w:proofErr w:type="spellEnd"/>
      <w:r>
        <w:rPr>
          <w:sz w:val="13"/>
        </w:rPr>
        <w:t>.</w:t>
      </w:r>
      <w:r>
        <w:rPr>
          <w:spacing w:val="1"/>
          <w:sz w:val="13"/>
        </w:rPr>
        <w:t xml:space="preserve"> </w:t>
      </w:r>
      <w:r>
        <w:rPr>
          <w:spacing w:val="-2"/>
          <w:sz w:val="13"/>
        </w:rPr>
        <w:t>8.15–8.17.</w:t>
      </w:r>
    </w:p>
    <w:p w14:paraId="2F33695F" w14:textId="77777777" w:rsidR="0014798C" w:rsidRDefault="004E1F0B">
      <w:pPr>
        <w:spacing w:before="87" w:line="288" w:lineRule="auto"/>
        <w:ind w:left="1366" w:right="2004" w:hanging="259"/>
        <w:rPr>
          <w:sz w:val="13"/>
        </w:rPr>
      </w:pPr>
      <w:r>
        <w:rPr>
          <w:sz w:val="13"/>
          <w:vertAlign w:val="superscript"/>
        </w:rPr>
        <w:t>394</w:t>
      </w:r>
      <w:r>
        <w:rPr>
          <w:spacing w:val="80"/>
          <w:sz w:val="13"/>
        </w:rPr>
        <w:t xml:space="preserve"> </w:t>
      </w:r>
      <w:r>
        <w:rPr>
          <w:sz w:val="13"/>
        </w:rPr>
        <w:t xml:space="preserve">Véase, por ejemplo, Comité para la Eliminación de la Discriminación Racial, recomendación general núm. 14 (1993), párr. </w:t>
      </w:r>
      <w:r>
        <w:rPr>
          <w:w w:val="95"/>
          <w:sz w:val="13"/>
        </w:rPr>
        <w:t xml:space="preserve">2; </w:t>
      </w:r>
      <w:r>
        <w:rPr>
          <w:sz w:val="13"/>
        </w:rPr>
        <w:t>recomendación</w:t>
      </w:r>
      <w:r>
        <w:rPr>
          <w:spacing w:val="40"/>
          <w:sz w:val="13"/>
        </w:rPr>
        <w:t xml:space="preserve"> </w:t>
      </w:r>
      <w:r>
        <w:rPr>
          <w:sz w:val="13"/>
        </w:rPr>
        <w:t xml:space="preserve">general núm. 30 (2005), párr. </w:t>
      </w:r>
      <w:r>
        <w:rPr>
          <w:w w:val="95"/>
          <w:sz w:val="13"/>
        </w:rPr>
        <w:t xml:space="preserve">4; </w:t>
      </w:r>
      <w:r>
        <w:rPr>
          <w:sz w:val="13"/>
        </w:rPr>
        <w:t>y recomendación general núm. 32 (2009), párr. 8. Aunque las recomendaciones generales del Comité para la</w:t>
      </w:r>
    </w:p>
    <w:p w14:paraId="625E2180" w14:textId="77777777" w:rsidR="0014798C" w:rsidRDefault="004E1F0B">
      <w:pPr>
        <w:spacing w:before="1" w:line="288" w:lineRule="auto"/>
        <w:ind w:left="1366" w:right="1530" w:firstLine="2"/>
        <w:rPr>
          <w:sz w:val="13"/>
        </w:rPr>
      </w:pPr>
      <w:r>
        <w:rPr>
          <w:sz w:val="13"/>
        </w:rPr>
        <w:t>Eliminación</w:t>
      </w:r>
      <w:r>
        <w:rPr>
          <w:spacing w:val="5"/>
          <w:sz w:val="13"/>
        </w:rPr>
        <w:t xml:space="preserve"> </w:t>
      </w:r>
      <w:r>
        <w:rPr>
          <w:sz w:val="13"/>
        </w:rPr>
        <w:t>de</w:t>
      </w:r>
      <w:r>
        <w:rPr>
          <w:spacing w:val="5"/>
          <w:sz w:val="13"/>
        </w:rPr>
        <w:t xml:space="preserve"> </w:t>
      </w:r>
      <w:r>
        <w:rPr>
          <w:sz w:val="13"/>
        </w:rPr>
        <w:t>la</w:t>
      </w:r>
      <w:r>
        <w:rPr>
          <w:spacing w:val="5"/>
          <w:sz w:val="13"/>
        </w:rPr>
        <w:t xml:space="preserve"> </w:t>
      </w:r>
      <w:r>
        <w:rPr>
          <w:sz w:val="13"/>
        </w:rPr>
        <w:t>Discriminación</w:t>
      </w:r>
      <w:r>
        <w:rPr>
          <w:spacing w:val="5"/>
          <w:sz w:val="13"/>
        </w:rPr>
        <w:t xml:space="preserve"> </w:t>
      </w:r>
      <w:r>
        <w:rPr>
          <w:sz w:val="13"/>
        </w:rPr>
        <w:t>Racial</w:t>
      </w:r>
      <w:r>
        <w:rPr>
          <w:spacing w:val="5"/>
          <w:sz w:val="13"/>
        </w:rPr>
        <w:t xml:space="preserve"> </w:t>
      </w:r>
      <w:r>
        <w:rPr>
          <w:sz w:val="13"/>
        </w:rPr>
        <w:t>no</w:t>
      </w:r>
      <w:r>
        <w:rPr>
          <w:spacing w:val="5"/>
          <w:sz w:val="13"/>
        </w:rPr>
        <w:t xml:space="preserve"> </w:t>
      </w:r>
      <w:r>
        <w:rPr>
          <w:sz w:val="13"/>
        </w:rPr>
        <w:t>tienden</w:t>
      </w:r>
      <w:r>
        <w:rPr>
          <w:spacing w:val="5"/>
          <w:sz w:val="13"/>
        </w:rPr>
        <w:t xml:space="preserve"> </w:t>
      </w:r>
      <w:r>
        <w:rPr>
          <w:sz w:val="13"/>
        </w:rPr>
        <w:t>a</w:t>
      </w:r>
      <w:r>
        <w:rPr>
          <w:spacing w:val="5"/>
          <w:sz w:val="13"/>
        </w:rPr>
        <w:t xml:space="preserve"> </w:t>
      </w:r>
      <w:r>
        <w:rPr>
          <w:sz w:val="13"/>
        </w:rPr>
        <w:t>utilizar</w:t>
      </w:r>
      <w:r>
        <w:rPr>
          <w:spacing w:val="5"/>
          <w:sz w:val="13"/>
        </w:rPr>
        <w:t xml:space="preserve"> </w:t>
      </w:r>
      <w:r>
        <w:rPr>
          <w:sz w:val="13"/>
        </w:rPr>
        <w:t>el</w:t>
      </w:r>
      <w:r>
        <w:rPr>
          <w:spacing w:val="5"/>
          <w:sz w:val="13"/>
        </w:rPr>
        <w:t xml:space="preserve"> </w:t>
      </w:r>
      <w:r>
        <w:rPr>
          <w:sz w:val="13"/>
        </w:rPr>
        <w:t>término</w:t>
      </w:r>
      <w:r>
        <w:rPr>
          <w:spacing w:val="5"/>
          <w:sz w:val="13"/>
        </w:rPr>
        <w:t xml:space="preserve"> </w:t>
      </w:r>
      <w:r>
        <w:rPr>
          <w:sz w:val="13"/>
        </w:rPr>
        <w:t>"justificación</w:t>
      </w:r>
      <w:r>
        <w:rPr>
          <w:spacing w:val="5"/>
          <w:sz w:val="13"/>
        </w:rPr>
        <w:t xml:space="preserve"> </w:t>
      </w:r>
      <w:r>
        <w:rPr>
          <w:sz w:val="13"/>
        </w:rPr>
        <w:t>objetiva</w:t>
      </w:r>
      <w:r>
        <w:rPr>
          <w:spacing w:val="5"/>
          <w:sz w:val="13"/>
        </w:rPr>
        <w:t xml:space="preserve"> </w:t>
      </w:r>
      <w:r>
        <w:rPr>
          <w:sz w:val="13"/>
        </w:rPr>
        <w:t>y</w:t>
      </w:r>
      <w:r>
        <w:rPr>
          <w:spacing w:val="5"/>
          <w:sz w:val="13"/>
        </w:rPr>
        <w:t xml:space="preserve"> </w:t>
      </w:r>
      <w:r>
        <w:rPr>
          <w:sz w:val="13"/>
        </w:rPr>
        <w:t>razonable",</w:t>
      </w:r>
      <w:r>
        <w:rPr>
          <w:spacing w:val="6"/>
          <w:sz w:val="13"/>
        </w:rPr>
        <w:t xml:space="preserve"> </w:t>
      </w:r>
      <w:r>
        <w:rPr>
          <w:sz w:val="13"/>
        </w:rPr>
        <w:t>el</w:t>
      </w:r>
      <w:r>
        <w:rPr>
          <w:spacing w:val="5"/>
          <w:sz w:val="13"/>
        </w:rPr>
        <w:t xml:space="preserve"> </w:t>
      </w:r>
      <w:r>
        <w:rPr>
          <w:sz w:val="13"/>
        </w:rPr>
        <w:t>Comité</w:t>
      </w:r>
      <w:r>
        <w:rPr>
          <w:spacing w:val="5"/>
          <w:sz w:val="13"/>
        </w:rPr>
        <w:t xml:space="preserve"> </w:t>
      </w:r>
      <w:r>
        <w:rPr>
          <w:sz w:val="13"/>
        </w:rPr>
        <w:t>ha</w:t>
      </w:r>
      <w:r>
        <w:rPr>
          <w:spacing w:val="5"/>
          <w:sz w:val="13"/>
        </w:rPr>
        <w:t xml:space="preserve"> </w:t>
      </w:r>
      <w:r>
        <w:rPr>
          <w:sz w:val="13"/>
        </w:rPr>
        <w:t>identificado</w:t>
      </w:r>
      <w:r>
        <w:rPr>
          <w:spacing w:val="5"/>
          <w:sz w:val="13"/>
        </w:rPr>
        <w:t xml:space="preserve"> </w:t>
      </w:r>
      <w:r>
        <w:rPr>
          <w:sz w:val="13"/>
        </w:rPr>
        <w:t>la</w:t>
      </w:r>
      <w:r>
        <w:rPr>
          <w:spacing w:val="5"/>
          <w:sz w:val="13"/>
        </w:rPr>
        <w:t xml:space="preserve"> </w:t>
      </w:r>
      <w:r>
        <w:rPr>
          <w:sz w:val="13"/>
        </w:rPr>
        <w:t>proporcionalidad</w:t>
      </w:r>
      <w:r>
        <w:rPr>
          <w:spacing w:val="40"/>
          <w:sz w:val="13"/>
        </w:rPr>
        <w:t xml:space="preserve"> </w:t>
      </w:r>
      <w:r>
        <w:rPr>
          <w:sz w:val="13"/>
        </w:rPr>
        <w:t>y el objetivo legítimo como componentes centrales de la prueba de justificación. El Comité también ha hecho referencia a “criterios objetivos” y</w:t>
      </w:r>
      <w:r>
        <w:rPr>
          <w:spacing w:val="40"/>
          <w:sz w:val="13"/>
        </w:rPr>
        <w:t xml:space="preserve"> </w:t>
      </w:r>
      <w:r>
        <w:rPr>
          <w:sz w:val="13"/>
        </w:rPr>
        <w:t>“justificación razonable” en contextos relacionados. Véanse, por ejemplo, los “elementos comunes” del Comité en materia de elaboración de perfiles</w:t>
      </w:r>
      <w:r>
        <w:rPr>
          <w:spacing w:val="40"/>
          <w:sz w:val="13"/>
        </w:rPr>
        <w:t xml:space="preserve"> </w:t>
      </w:r>
      <w:r>
        <w:rPr>
          <w:sz w:val="13"/>
        </w:rPr>
        <w:t>raciales (recomendación general núm. 36 (2020), párr. 13).</w:t>
      </w:r>
    </w:p>
    <w:p w14:paraId="503809FC" w14:textId="77777777" w:rsidR="0014798C" w:rsidRDefault="0014798C">
      <w:pPr>
        <w:pStyle w:val="Textoindependiente"/>
        <w:spacing w:before="3"/>
        <w:rPr>
          <w:sz w:val="10"/>
        </w:rPr>
      </w:pPr>
    </w:p>
    <w:p w14:paraId="10E3E443" w14:textId="77777777" w:rsidR="0014798C" w:rsidRDefault="004E1F0B">
      <w:pPr>
        <w:ind w:left="1107"/>
        <w:rPr>
          <w:sz w:val="10"/>
        </w:rPr>
      </w:pPr>
      <w:r>
        <w:rPr>
          <w:w w:val="105"/>
          <w:sz w:val="10"/>
        </w:rPr>
        <w:t>395</w:t>
      </w:r>
      <w:r>
        <w:rPr>
          <w:spacing w:val="-5"/>
          <w:w w:val="105"/>
          <w:sz w:val="10"/>
        </w:rPr>
        <w:t xml:space="preserve"> </w:t>
      </w:r>
      <w:r>
        <w:rPr>
          <w:w w:val="105"/>
          <w:sz w:val="10"/>
        </w:rPr>
        <w:t>Comité</w:t>
      </w:r>
      <w:r>
        <w:rPr>
          <w:spacing w:val="-5"/>
          <w:w w:val="105"/>
          <w:sz w:val="10"/>
        </w:rPr>
        <w:t xml:space="preserve"> </w:t>
      </w:r>
      <w:r>
        <w:rPr>
          <w:w w:val="105"/>
          <w:sz w:val="10"/>
        </w:rPr>
        <w:t>de</w:t>
      </w:r>
      <w:r>
        <w:rPr>
          <w:spacing w:val="-4"/>
          <w:w w:val="105"/>
          <w:sz w:val="10"/>
        </w:rPr>
        <w:t xml:space="preserve"> </w:t>
      </w:r>
      <w:r>
        <w:rPr>
          <w:w w:val="105"/>
          <w:sz w:val="10"/>
        </w:rPr>
        <w:t>Derechos</w:t>
      </w:r>
      <w:r>
        <w:rPr>
          <w:spacing w:val="-5"/>
          <w:w w:val="105"/>
          <w:sz w:val="10"/>
        </w:rPr>
        <w:t xml:space="preserve"> </w:t>
      </w:r>
      <w:r>
        <w:rPr>
          <w:w w:val="105"/>
          <w:sz w:val="10"/>
        </w:rPr>
        <w:t>Económicos,</w:t>
      </w:r>
      <w:r>
        <w:rPr>
          <w:spacing w:val="-3"/>
          <w:w w:val="105"/>
          <w:sz w:val="10"/>
        </w:rPr>
        <w:t xml:space="preserve"> </w:t>
      </w:r>
      <w:r>
        <w:rPr>
          <w:w w:val="105"/>
          <w:sz w:val="10"/>
        </w:rPr>
        <w:t>Sociales</w:t>
      </w:r>
      <w:r>
        <w:rPr>
          <w:spacing w:val="-5"/>
          <w:w w:val="105"/>
          <w:sz w:val="10"/>
        </w:rPr>
        <w:t xml:space="preserve"> </w:t>
      </w:r>
      <w:r>
        <w:rPr>
          <w:w w:val="105"/>
          <w:sz w:val="10"/>
        </w:rPr>
        <w:t>y</w:t>
      </w:r>
      <w:r>
        <w:rPr>
          <w:spacing w:val="-4"/>
          <w:w w:val="105"/>
          <w:sz w:val="10"/>
        </w:rPr>
        <w:t xml:space="preserve"> </w:t>
      </w:r>
      <w:r>
        <w:rPr>
          <w:w w:val="105"/>
          <w:sz w:val="10"/>
        </w:rPr>
        <w:t>Culturales,</w:t>
      </w:r>
      <w:r>
        <w:rPr>
          <w:spacing w:val="-4"/>
          <w:w w:val="105"/>
          <w:sz w:val="10"/>
        </w:rPr>
        <w:t xml:space="preserve"> </w:t>
      </w:r>
      <w:r>
        <w:rPr>
          <w:w w:val="105"/>
          <w:sz w:val="10"/>
        </w:rPr>
        <w:t>observación</w:t>
      </w:r>
      <w:r>
        <w:rPr>
          <w:spacing w:val="-4"/>
          <w:w w:val="105"/>
          <w:sz w:val="10"/>
        </w:rPr>
        <w:t xml:space="preserve"> </w:t>
      </w:r>
      <w:r>
        <w:rPr>
          <w:w w:val="105"/>
          <w:sz w:val="10"/>
        </w:rPr>
        <w:t>general</w:t>
      </w:r>
      <w:r>
        <w:rPr>
          <w:spacing w:val="-5"/>
          <w:w w:val="105"/>
          <w:sz w:val="10"/>
        </w:rPr>
        <w:t xml:space="preserve"> </w:t>
      </w:r>
      <w:r>
        <w:rPr>
          <w:w w:val="105"/>
          <w:sz w:val="10"/>
        </w:rPr>
        <w:t>núm.</w:t>
      </w:r>
      <w:r>
        <w:rPr>
          <w:spacing w:val="-4"/>
          <w:w w:val="105"/>
          <w:sz w:val="10"/>
        </w:rPr>
        <w:t xml:space="preserve"> </w:t>
      </w:r>
      <w:r>
        <w:rPr>
          <w:w w:val="105"/>
          <w:sz w:val="10"/>
        </w:rPr>
        <w:t>20</w:t>
      </w:r>
      <w:r>
        <w:rPr>
          <w:spacing w:val="-5"/>
          <w:w w:val="105"/>
          <w:sz w:val="10"/>
        </w:rPr>
        <w:t xml:space="preserve"> </w:t>
      </w:r>
      <w:r>
        <w:rPr>
          <w:w w:val="105"/>
          <w:sz w:val="10"/>
        </w:rPr>
        <w:t>(2009),</w:t>
      </w:r>
      <w:r>
        <w:rPr>
          <w:spacing w:val="-4"/>
          <w:w w:val="105"/>
          <w:sz w:val="10"/>
        </w:rPr>
        <w:t xml:space="preserve"> </w:t>
      </w:r>
      <w:r>
        <w:rPr>
          <w:w w:val="105"/>
          <w:sz w:val="10"/>
        </w:rPr>
        <w:t>párr.</w:t>
      </w:r>
      <w:r>
        <w:rPr>
          <w:spacing w:val="-5"/>
          <w:w w:val="105"/>
          <w:sz w:val="10"/>
        </w:rPr>
        <w:t xml:space="preserve"> 13.</w:t>
      </w:r>
    </w:p>
    <w:p w14:paraId="11B89E68" w14:textId="77777777" w:rsidR="0014798C" w:rsidRDefault="004E1F0B">
      <w:pPr>
        <w:spacing w:before="62" w:line="288" w:lineRule="auto"/>
        <w:ind w:left="1365" w:right="1691" w:hanging="258"/>
        <w:jc w:val="both"/>
        <w:rPr>
          <w:sz w:val="13"/>
        </w:rPr>
      </w:pPr>
      <w:r>
        <w:rPr>
          <w:sz w:val="13"/>
        </w:rPr>
        <w:t xml:space="preserve">396 En Domina y </w:t>
      </w:r>
      <w:proofErr w:type="spellStart"/>
      <w:r>
        <w:rPr>
          <w:sz w:val="13"/>
        </w:rPr>
        <w:t>Bendtsen</w:t>
      </w:r>
      <w:proofErr w:type="spellEnd"/>
      <w:r>
        <w:rPr>
          <w:sz w:val="13"/>
        </w:rPr>
        <w:t xml:space="preserve"> c. Dinamarca, el Comité sobre los Derechos de las Personas con Discapacidad hace referencia a la prueba de “justificación</w:t>
      </w:r>
      <w:r>
        <w:rPr>
          <w:spacing w:val="40"/>
          <w:sz w:val="13"/>
        </w:rPr>
        <w:t xml:space="preserve"> </w:t>
      </w:r>
      <w:r>
        <w:rPr>
          <w:sz w:val="13"/>
        </w:rPr>
        <w:t>objetiva y razonable” sin detallar más sus requisitos. En Noble c. Australia, el Comité reconoció la relevancia de la proporcionalidad y legitimidad de</w:t>
      </w:r>
      <w:r>
        <w:rPr>
          <w:spacing w:val="40"/>
          <w:sz w:val="13"/>
        </w:rPr>
        <w:t xml:space="preserve"> </w:t>
      </w:r>
      <w:r>
        <w:rPr>
          <w:sz w:val="13"/>
        </w:rPr>
        <w:t>las medidas adoptadas, al tiempo que evaluó la diferencia de trato dentro de un marco de “razonabilidad”.</w:t>
      </w:r>
    </w:p>
    <w:p w14:paraId="72A1BADE" w14:textId="77777777" w:rsidR="0014798C" w:rsidRDefault="004E1F0B">
      <w:pPr>
        <w:spacing w:before="1" w:line="288" w:lineRule="auto"/>
        <w:ind w:left="1369" w:right="1272" w:hanging="3"/>
        <w:rPr>
          <w:sz w:val="13"/>
        </w:rPr>
      </w:pPr>
      <w:r>
        <w:rPr>
          <w:sz w:val="13"/>
        </w:rPr>
        <w:t>En VFC c. España, el Comité concluyó que, si bien las medidas adoptadas por el Estado parte perseguían un objetivo legítimo, eran, no obstante,</w:t>
      </w:r>
      <w:r>
        <w:rPr>
          <w:spacing w:val="40"/>
          <w:sz w:val="13"/>
        </w:rPr>
        <w:t xml:space="preserve"> </w:t>
      </w:r>
      <w:r>
        <w:rPr>
          <w:sz w:val="13"/>
        </w:rPr>
        <w:t xml:space="preserve">discriminatorias. Véase, respectivamente, Comité sobre los Derechos de las Personas con Discapacidad, Domina y </w:t>
      </w:r>
      <w:proofErr w:type="spellStart"/>
      <w:r>
        <w:rPr>
          <w:sz w:val="13"/>
        </w:rPr>
        <w:t>Bendtsen</w:t>
      </w:r>
      <w:proofErr w:type="spellEnd"/>
      <w:r>
        <w:rPr>
          <w:sz w:val="13"/>
        </w:rPr>
        <w:t xml:space="preserve"> c. Dinamarca.</w:t>
      </w:r>
      <w:r>
        <w:rPr>
          <w:spacing w:val="40"/>
          <w:sz w:val="13"/>
        </w:rPr>
        <w:t xml:space="preserve"> </w:t>
      </w:r>
      <w:r>
        <w:rPr>
          <w:sz w:val="13"/>
        </w:rPr>
        <w:t>(CRPD/C/20/D/39/2017),</w:t>
      </w:r>
      <w:r>
        <w:rPr>
          <w:spacing w:val="-4"/>
          <w:sz w:val="13"/>
        </w:rPr>
        <w:t xml:space="preserve"> </w:t>
      </w:r>
      <w:r>
        <w:rPr>
          <w:sz w:val="13"/>
        </w:rPr>
        <w:t>párr.</w:t>
      </w:r>
      <w:r>
        <w:rPr>
          <w:spacing w:val="-5"/>
          <w:sz w:val="13"/>
        </w:rPr>
        <w:t xml:space="preserve"> </w:t>
      </w:r>
      <w:r>
        <w:rPr>
          <w:sz w:val="13"/>
        </w:rPr>
        <w:t>8.3;</w:t>
      </w:r>
      <w:r>
        <w:rPr>
          <w:spacing w:val="-5"/>
          <w:sz w:val="13"/>
        </w:rPr>
        <w:t xml:space="preserve"> </w:t>
      </w:r>
      <w:r>
        <w:rPr>
          <w:sz w:val="13"/>
        </w:rPr>
        <w:t>Noble</w:t>
      </w:r>
      <w:r>
        <w:rPr>
          <w:spacing w:val="-5"/>
          <w:sz w:val="13"/>
        </w:rPr>
        <w:t xml:space="preserve"> </w:t>
      </w:r>
      <w:r>
        <w:rPr>
          <w:sz w:val="13"/>
        </w:rPr>
        <w:t>c.</w:t>
      </w:r>
      <w:r>
        <w:rPr>
          <w:spacing w:val="-5"/>
          <w:sz w:val="13"/>
        </w:rPr>
        <w:t xml:space="preserve"> </w:t>
      </w:r>
      <w:r>
        <w:rPr>
          <w:sz w:val="13"/>
        </w:rPr>
        <w:t>Australia</w:t>
      </w:r>
      <w:r>
        <w:rPr>
          <w:spacing w:val="-5"/>
          <w:sz w:val="13"/>
        </w:rPr>
        <w:t xml:space="preserve"> </w:t>
      </w:r>
      <w:r>
        <w:rPr>
          <w:sz w:val="13"/>
        </w:rPr>
        <w:t>(CRPD/C/16/D/7/2012),</w:t>
      </w:r>
      <w:r>
        <w:rPr>
          <w:spacing w:val="-5"/>
          <w:sz w:val="13"/>
        </w:rPr>
        <w:t xml:space="preserve"> </w:t>
      </w:r>
      <w:proofErr w:type="spellStart"/>
      <w:r>
        <w:rPr>
          <w:sz w:val="13"/>
        </w:rPr>
        <w:t>párrs</w:t>
      </w:r>
      <w:proofErr w:type="spellEnd"/>
      <w:r>
        <w:rPr>
          <w:sz w:val="13"/>
        </w:rPr>
        <w:t>.</w:t>
      </w:r>
      <w:r>
        <w:rPr>
          <w:spacing w:val="-5"/>
          <w:sz w:val="13"/>
        </w:rPr>
        <w:t xml:space="preserve"> </w:t>
      </w:r>
      <w:r>
        <w:rPr>
          <w:sz w:val="13"/>
        </w:rPr>
        <w:t>8,2–8,3;</w:t>
      </w:r>
      <w:r>
        <w:rPr>
          <w:spacing w:val="-5"/>
          <w:sz w:val="13"/>
        </w:rPr>
        <w:t xml:space="preserve"> </w:t>
      </w:r>
      <w:r>
        <w:rPr>
          <w:sz w:val="13"/>
        </w:rPr>
        <w:t>y</w:t>
      </w:r>
      <w:r>
        <w:rPr>
          <w:spacing w:val="-5"/>
          <w:sz w:val="13"/>
        </w:rPr>
        <w:t xml:space="preserve"> </w:t>
      </w:r>
      <w:r>
        <w:rPr>
          <w:sz w:val="13"/>
        </w:rPr>
        <w:t>VFC</w:t>
      </w:r>
      <w:r>
        <w:rPr>
          <w:spacing w:val="-5"/>
          <w:sz w:val="13"/>
        </w:rPr>
        <w:t xml:space="preserve"> </w:t>
      </w:r>
      <w:r>
        <w:rPr>
          <w:sz w:val="13"/>
        </w:rPr>
        <w:t>contra</w:t>
      </w:r>
      <w:r>
        <w:rPr>
          <w:spacing w:val="-5"/>
          <w:sz w:val="13"/>
        </w:rPr>
        <w:t xml:space="preserve"> </w:t>
      </w:r>
      <w:r>
        <w:rPr>
          <w:sz w:val="13"/>
        </w:rPr>
        <w:t>España</w:t>
      </w:r>
    </w:p>
    <w:p w14:paraId="418AD49A" w14:textId="77777777" w:rsidR="0014798C" w:rsidRDefault="004E1F0B">
      <w:pPr>
        <w:spacing w:before="1"/>
        <w:ind w:left="1375"/>
        <w:rPr>
          <w:sz w:val="13"/>
        </w:rPr>
      </w:pPr>
      <w:r>
        <w:rPr>
          <w:sz w:val="13"/>
        </w:rPr>
        <w:t>(CRPD/C/21/D/34/2015),</w:t>
      </w:r>
      <w:r>
        <w:rPr>
          <w:spacing w:val="-1"/>
          <w:sz w:val="13"/>
        </w:rPr>
        <w:t xml:space="preserve"> </w:t>
      </w:r>
      <w:r>
        <w:rPr>
          <w:sz w:val="13"/>
        </w:rPr>
        <w:t>párr.</w:t>
      </w:r>
      <w:r>
        <w:rPr>
          <w:spacing w:val="-2"/>
          <w:sz w:val="13"/>
        </w:rPr>
        <w:t xml:space="preserve"> 8.10.</w:t>
      </w:r>
    </w:p>
    <w:p w14:paraId="060AFED3" w14:textId="77777777" w:rsidR="0014798C" w:rsidRDefault="004E1F0B">
      <w:pPr>
        <w:spacing w:before="87" w:line="288" w:lineRule="auto"/>
        <w:ind w:left="1358" w:right="1781" w:hanging="251"/>
        <w:rPr>
          <w:sz w:val="13"/>
        </w:rPr>
      </w:pPr>
      <w:r>
        <w:rPr>
          <w:sz w:val="13"/>
          <w:vertAlign w:val="superscript"/>
        </w:rPr>
        <w:t>397</w:t>
      </w:r>
      <w:r>
        <w:rPr>
          <w:spacing w:val="80"/>
          <w:sz w:val="13"/>
        </w:rPr>
        <w:t xml:space="preserve"> </w:t>
      </w:r>
      <w:r>
        <w:rPr>
          <w:sz w:val="13"/>
        </w:rPr>
        <w:t xml:space="preserve">Véase, por ejemplo, Comisión Africana de Derechos Humanos y de los Pueblos, Good v. </w:t>
      </w:r>
      <w:proofErr w:type="spellStart"/>
      <w:r>
        <w:rPr>
          <w:sz w:val="13"/>
        </w:rPr>
        <w:t>Republic</w:t>
      </w:r>
      <w:proofErr w:type="spellEnd"/>
      <w:r>
        <w:rPr>
          <w:sz w:val="13"/>
        </w:rPr>
        <w:t xml:space="preserve"> of </w:t>
      </w:r>
      <w:proofErr w:type="spellStart"/>
      <w:r>
        <w:rPr>
          <w:sz w:val="13"/>
        </w:rPr>
        <w:t>Botswana</w:t>
      </w:r>
      <w:proofErr w:type="spellEnd"/>
      <w:r>
        <w:rPr>
          <w:sz w:val="13"/>
        </w:rPr>
        <w:t>, comunicación núm. 313/05,</w:t>
      </w:r>
      <w:r>
        <w:rPr>
          <w:spacing w:val="40"/>
          <w:sz w:val="13"/>
        </w:rPr>
        <w:t xml:space="preserve"> </w:t>
      </w:r>
      <w:r>
        <w:rPr>
          <w:sz w:val="13"/>
        </w:rPr>
        <w:t>Decisión, 12 a 26 de mayo de 2010, párr. 219; Comisión Interamericana de Derechos Humanos, Morales de Sierra vs. Guatemala, Caso 11.625,</w:t>
      </w:r>
      <w:r>
        <w:rPr>
          <w:spacing w:val="40"/>
          <w:sz w:val="13"/>
        </w:rPr>
        <w:t xml:space="preserve"> </w:t>
      </w:r>
      <w:r>
        <w:rPr>
          <w:sz w:val="13"/>
        </w:rPr>
        <w:t>Informe No. 4/01, 19 de enero de 2001, párr. 31; y Tribunal Europeo de Derechos Humanos, Biao c. Dinamarca, solicitud n.º 38590/10, sentencia</w:t>
      </w:r>
      <w:r>
        <w:rPr>
          <w:spacing w:val="40"/>
          <w:sz w:val="13"/>
        </w:rPr>
        <w:t xml:space="preserve"> </w:t>
      </w:r>
      <w:r>
        <w:rPr>
          <w:sz w:val="13"/>
        </w:rPr>
        <w:t>de 24 de mayo de 2016, párr. 90.</w:t>
      </w:r>
    </w:p>
    <w:p w14:paraId="6EDEA730" w14:textId="77777777" w:rsidR="0014798C" w:rsidRDefault="004E1F0B">
      <w:pPr>
        <w:spacing w:before="59"/>
        <w:ind w:left="1107"/>
        <w:rPr>
          <w:sz w:val="13"/>
        </w:rPr>
      </w:pPr>
      <w:r>
        <w:rPr>
          <w:sz w:val="13"/>
        </w:rPr>
        <w:t>398</w:t>
      </w:r>
      <w:r>
        <w:rPr>
          <w:spacing w:val="-1"/>
          <w:sz w:val="13"/>
        </w:rPr>
        <w:t xml:space="preserve"> </w:t>
      </w:r>
      <w:r>
        <w:rPr>
          <w:sz w:val="13"/>
        </w:rPr>
        <w:t>Comité</w:t>
      </w:r>
      <w:r>
        <w:rPr>
          <w:spacing w:val="-1"/>
          <w:sz w:val="13"/>
        </w:rPr>
        <w:t xml:space="preserve"> </w:t>
      </w:r>
      <w:r>
        <w:rPr>
          <w:sz w:val="13"/>
        </w:rPr>
        <w:t>para</w:t>
      </w:r>
      <w:r>
        <w:rPr>
          <w:spacing w:val="-1"/>
          <w:sz w:val="13"/>
        </w:rPr>
        <w:t xml:space="preserve"> </w:t>
      </w:r>
      <w:r>
        <w:rPr>
          <w:sz w:val="13"/>
        </w:rPr>
        <w:t>la</w:t>
      </w:r>
      <w:r>
        <w:rPr>
          <w:spacing w:val="-1"/>
          <w:sz w:val="13"/>
        </w:rPr>
        <w:t xml:space="preserve"> </w:t>
      </w:r>
      <w:r>
        <w:rPr>
          <w:sz w:val="13"/>
        </w:rPr>
        <w:t>Eliminación</w:t>
      </w:r>
      <w:r>
        <w:rPr>
          <w:spacing w:val="-1"/>
          <w:sz w:val="13"/>
        </w:rPr>
        <w:t xml:space="preserve"> </w:t>
      </w:r>
      <w:r>
        <w:rPr>
          <w:sz w:val="13"/>
        </w:rPr>
        <w:t>de la</w:t>
      </w:r>
      <w:r>
        <w:rPr>
          <w:spacing w:val="-1"/>
          <w:sz w:val="13"/>
        </w:rPr>
        <w:t xml:space="preserve"> </w:t>
      </w:r>
      <w:r>
        <w:rPr>
          <w:sz w:val="13"/>
        </w:rPr>
        <w:t>Discriminación</w:t>
      </w:r>
      <w:r>
        <w:rPr>
          <w:spacing w:val="-1"/>
          <w:sz w:val="13"/>
        </w:rPr>
        <w:t xml:space="preserve"> </w:t>
      </w:r>
      <w:r>
        <w:rPr>
          <w:sz w:val="13"/>
        </w:rPr>
        <w:t>contra</w:t>
      </w:r>
      <w:r>
        <w:rPr>
          <w:spacing w:val="-1"/>
          <w:sz w:val="13"/>
        </w:rPr>
        <w:t xml:space="preserve"> </w:t>
      </w:r>
      <w:r>
        <w:rPr>
          <w:sz w:val="13"/>
        </w:rPr>
        <w:t>la</w:t>
      </w:r>
      <w:r>
        <w:rPr>
          <w:spacing w:val="-1"/>
          <w:sz w:val="13"/>
        </w:rPr>
        <w:t xml:space="preserve"> </w:t>
      </w:r>
      <w:r>
        <w:rPr>
          <w:sz w:val="13"/>
        </w:rPr>
        <w:t>Mujer, GD</w:t>
      </w:r>
      <w:r>
        <w:rPr>
          <w:spacing w:val="-1"/>
          <w:sz w:val="13"/>
        </w:rPr>
        <w:t xml:space="preserve"> </w:t>
      </w:r>
      <w:r>
        <w:rPr>
          <w:sz w:val="13"/>
        </w:rPr>
        <w:t>y</w:t>
      </w:r>
      <w:r>
        <w:rPr>
          <w:spacing w:val="-1"/>
          <w:sz w:val="13"/>
        </w:rPr>
        <w:t xml:space="preserve"> </w:t>
      </w:r>
      <w:r>
        <w:rPr>
          <w:sz w:val="13"/>
        </w:rPr>
        <w:t>SF</w:t>
      </w:r>
      <w:r>
        <w:rPr>
          <w:spacing w:val="-1"/>
          <w:sz w:val="13"/>
        </w:rPr>
        <w:t xml:space="preserve"> </w:t>
      </w:r>
      <w:r>
        <w:rPr>
          <w:sz w:val="13"/>
        </w:rPr>
        <w:t>c.</w:t>
      </w:r>
      <w:r>
        <w:rPr>
          <w:spacing w:val="-1"/>
          <w:sz w:val="13"/>
        </w:rPr>
        <w:t xml:space="preserve"> </w:t>
      </w:r>
      <w:r>
        <w:rPr>
          <w:sz w:val="13"/>
        </w:rPr>
        <w:t>Francia (CEDAW/C/44/D/12/2007), párr.</w:t>
      </w:r>
      <w:r>
        <w:rPr>
          <w:spacing w:val="-1"/>
          <w:sz w:val="13"/>
        </w:rPr>
        <w:t xml:space="preserve"> </w:t>
      </w:r>
      <w:r>
        <w:rPr>
          <w:spacing w:val="-2"/>
          <w:sz w:val="13"/>
        </w:rPr>
        <w:t>12.15.</w:t>
      </w:r>
    </w:p>
    <w:p w14:paraId="6EC0C1AA" w14:textId="77777777" w:rsidR="0014798C" w:rsidRDefault="004E1F0B">
      <w:pPr>
        <w:spacing w:before="87" w:line="288" w:lineRule="auto"/>
        <w:ind w:left="1366" w:right="1463" w:hanging="259"/>
        <w:rPr>
          <w:sz w:val="13"/>
        </w:rPr>
      </w:pPr>
      <w:r>
        <w:rPr>
          <w:sz w:val="13"/>
          <w:vertAlign w:val="superscript"/>
        </w:rPr>
        <w:t>399</w:t>
      </w:r>
      <w:r>
        <w:rPr>
          <w:spacing w:val="80"/>
          <w:sz w:val="13"/>
        </w:rPr>
        <w:t xml:space="preserve"> </w:t>
      </w:r>
      <w:r>
        <w:rPr>
          <w:sz w:val="13"/>
        </w:rPr>
        <w:t xml:space="preserve">Véase, por ejemplo, Comité de Derechos Humanos, </w:t>
      </w:r>
      <w:proofErr w:type="spellStart"/>
      <w:r>
        <w:rPr>
          <w:sz w:val="13"/>
        </w:rPr>
        <w:t>Yaker</w:t>
      </w:r>
      <w:proofErr w:type="spellEnd"/>
      <w:r>
        <w:rPr>
          <w:sz w:val="13"/>
        </w:rPr>
        <w:t xml:space="preserve"> c. Francia (CCPR/C/123/D/2747/</w:t>
      </w:r>
      <w:proofErr w:type="gramStart"/>
      <w:r>
        <w:rPr>
          <w:sz w:val="13"/>
        </w:rPr>
        <w:t>2016);</w:t>
      </w:r>
      <w:proofErr w:type="gramEnd"/>
      <w:r>
        <w:rPr>
          <w:sz w:val="13"/>
        </w:rPr>
        <w:t xml:space="preserve"> Comité de Derechos Económicos, Sociales y</w:t>
      </w:r>
      <w:r>
        <w:rPr>
          <w:spacing w:val="40"/>
          <w:sz w:val="13"/>
        </w:rPr>
        <w:t xml:space="preserve"> </w:t>
      </w:r>
      <w:r>
        <w:rPr>
          <w:sz w:val="13"/>
        </w:rPr>
        <w:t>Culturales, Trujillo Calero c. Ecuador (E/C.12/63/D/10/</w:t>
      </w:r>
      <w:proofErr w:type="gramStart"/>
      <w:r>
        <w:rPr>
          <w:sz w:val="13"/>
        </w:rPr>
        <w:t>2015);</w:t>
      </w:r>
      <w:proofErr w:type="gramEnd"/>
      <w:r>
        <w:rPr>
          <w:sz w:val="13"/>
        </w:rPr>
        <w:t xml:space="preserve"> Comité sobre los Derechos de las Personas con Discapacidad, Domina y </w:t>
      </w:r>
      <w:proofErr w:type="spellStart"/>
      <w:r>
        <w:rPr>
          <w:sz w:val="13"/>
        </w:rPr>
        <w:t>Bendtsen</w:t>
      </w:r>
      <w:proofErr w:type="spellEnd"/>
      <w:r>
        <w:rPr>
          <w:sz w:val="13"/>
        </w:rPr>
        <w:t xml:space="preserve"> v.</w:t>
      </w:r>
      <w:r>
        <w:rPr>
          <w:spacing w:val="40"/>
          <w:sz w:val="13"/>
        </w:rPr>
        <w:t xml:space="preserve"> </w:t>
      </w:r>
      <w:r>
        <w:rPr>
          <w:sz w:val="13"/>
        </w:rPr>
        <w:t>Dinamarca (CRPD/C/20/D/39/</w:t>
      </w:r>
      <w:proofErr w:type="gramStart"/>
      <w:r>
        <w:rPr>
          <w:sz w:val="13"/>
        </w:rPr>
        <w:t>2017);</w:t>
      </w:r>
      <w:proofErr w:type="gramEnd"/>
      <w:r>
        <w:rPr>
          <w:sz w:val="13"/>
        </w:rPr>
        <w:t xml:space="preserve"> y CERD/C/CHE/CO/7-9, párr. dieciséis.</w:t>
      </w:r>
    </w:p>
    <w:p w14:paraId="73D27FE1" w14:textId="77777777" w:rsidR="0014798C" w:rsidRDefault="0014798C">
      <w:pPr>
        <w:pStyle w:val="Textoindependiente"/>
        <w:spacing w:before="2"/>
        <w:rPr>
          <w:sz w:val="10"/>
        </w:rPr>
      </w:pPr>
    </w:p>
    <w:p w14:paraId="6D80D4F2" w14:textId="77777777" w:rsidR="0014798C" w:rsidRDefault="004E1F0B">
      <w:pPr>
        <w:ind w:left="1105"/>
        <w:rPr>
          <w:sz w:val="10"/>
        </w:rPr>
      </w:pPr>
      <w:r>
        <w:rPr>
          <w:sz w:val="10"/>
        </w:rPr>
        <w:t>400</w:t>
      </w:r>
      <w:r>
        <w:rPr>
          <w:spacing w:val="7"/>
          <w:sz w:val="10"/>
        </w:rPr>
        <w:t xml:space="preserve"> </w:t>
      </w:r>
      <w:r>
        <w:rPr>
          <w:sz w:val="10"/>
        </w:rPr>
        <w:t>Comité</w:t>
      </w:r>
      <w:r>
        <w:rPr>
          <w:spacing w:val="7"/>
          <w:sz w:val="10"/>
        </w:rPr>
        <w:t xml:space="preserve"> </w:t>
      </w:r>
      <w:r>
        <w:rPr>
          <w:sz w:val="10"/>
        </w:rPr>
        <w:t>de</w:t>
      </w:r>
      <w:r>
        <w:rPr>
          <w:spacing w:val="7"/>
          <w:sz w:val="10"/>
        </w:rPr>
        <w:t xml:space="preserve"> </w:t>
      </w:r>
      <w:r>
        <w:rPr>
          <w:sz w:val="10"/>
        </w:rPr>
        <w:t>Derechos</w:t>
      </w:r>
      <w:r>
        <w:rPr>
          <w:spacing w:val="7"/>
          <w:sz w:val="10"/>
        </w:rPr>
        <w:t xml:space="preserve"> </w:t>
      </w:r>
      <w:r>
        <w:rPr>
          <w:sz w:val="10"/>
        </w:rPr>
        <w:t>Humanos,</w:t>
      </w:r>
      <w:r>
        <w:rPr>
          <w:spacing w:val="7"/>
          <w:sz w:val="10"/>
        </w:rPr>
        <w:t xml:space="preserve"> </w:t>
      </w:r>
      <w:r>
        <w:rPr>
          <w:sz w:val="10"/>
        </w:rPr>
        <w:t>observación</w:t>
      </w:r>
      <w:r>
        <w:rPr>
          <w:spacing w:val="7"/>
          <w:sz w:val="10"/>
        </w:rPr>
        <w:t xml:space="preserve"> </w:t>
      </w:r>
      <w:r>
        <w:rPr>
          <w:sz w:val="10"/>
        </w:rPr>
        <w:t>general</w:t>
      </w:r>
      <w:r>
        <w:rPr>
          <w:spacing w:val="7"/>
          <w:sz w:val="10"/>
        </w:rPr>
        <w:t xml:space="preserve"> </w:t>
      </w:r>
      <w:r>
        <w:rPr>
          <w:sz w:val="10"/>
        </w:rPr>
        <w:t>núm.</w:t>
      </w:r>
      <w:r>
        <w:rPr>
          <w:spacing w:val="7"/>
          <w:sz w:val="10"/>
        </w:rPr>
        <w:t xml:space="preserve"> </w:t>
      </w:r>
      <w:r>
        <w:rPr>
          <w:sz w:val="10"/>
        </w:rPr>
        <w:t>18</w:t>
      </w:r>
      <w:r>
        <w:rPr>
          <w:spacing w:val="7"/>
          <w:sz w:val="10"/>
        </w:rPr>
        <w:t xml:space="preserve"> </w:t>
      </w:r>
      <w:r>
        <w:rPr>
          <w:sz w:val="10"/>
        </w:rPr>
        <w:t>(1989),</w:t>
      </w:r>
      <w:r>
        <w:rPr>
          <w:spacing w:val="7"/>
          <w:sz w:val="10"/>
        </w:rPr>
        <w:t xml:space="preserve"> </w:t>
      </w:r>
      <w:r>
        <w:rPr>
          <w:sz w:val="10"/>
        </w:rPr>
        <w:t>párr.</w:t>
      </w:r>
      <w:r>
        <w:rPr>
          <w:spacing w:val="7"/>
          <w:sz w:val="10"/>
        </w:rPr>
        <w:t xml:space="preserve"> </w:t>
      </w:r>
      <w:r>
        <w:rPr>
          <w:sz w:val="10"/>
        </w:rPr>
        <w:t>13;</w:t>
      </w:r>
      <w:r>
        <w:rPr>
          <w:spacing w:val="7"/>
          <w:sz w:val="10"/>
        </w:rPr>
        <w:t xml:space="preserve"> </w:t>
      </w:r>
      <w:r>
        <w:rPr>
          <w:sz w:val="10"/>
        </w:rPr>
        <w:t>Comité</w:t>
      </w:r>
      <w:r>
        <w:rPr>
          <w:spacing w:val="7"/>
          <w:sz w:val="10"/>
        </w:rPr>
        <w:t xml:space="preserve"> </w:t>
      </w:r>
      <w:r>
        <w:rPr>
          <w:sz w:val="10"/>
        </w:rPr>
        <w:t>para</w:t>
      </w:r>
      <w:r>
        <w:rPr>
          <w:spacing w:val="7"/>
          <w:sz w:val="10"/>
        </w:rPr>
        <w:t xml:space="preserve"> </w:t>
      </w:r>
      <w:r>
        <w:rPr>
          <w:sz w:val="10"/>
        </w:rPr>
        <w:t>la</w:t>
      </w:r>
      <w:r>
        <w:rPr>
          <w:spacing w:val="7"/>
          <w:sz w:val="10"/>
        </w:rPr>
        <w:t xml:space="preserve"> </w:t>
      </w:r>
      <w:r>
        <w:rPr>
          <w:sz w:val="10"/>
        </w:rPr>
        <w:t>Eliminación</w:t>
      </w:r>
      <w:r>
        <w:rPr>
          <w:spacing w:val="7"/>
          <w:sz w:val="10"/>
        </w:rPr>
        <w:t xml:space="preserve"> </w:t>
      </w:r>
      <w:r>
        <w:rPr>
          <w:sz w:val="10"/>
        </w:rPr>
        <w:t>de</w:t>
      </w:r>
      <w:r>
        <w:rPr>
          <w:spacing w:val="7"/>
          <w:sz w:val="10"/>
        </w:rPr>
        <w:t xml:space="preserve"> </w:t>
      </w:r>
      <w:r>
        <w:rPr>
          <w:sz w:val="10"/>
        </w:rPr>
        <w:t>la</w:t>
      </w:r>
      <w:r>
        <w:rPr>
          <w:spacing w:val="7"/>
          <w:sz w:val="10"/>
        </w:rPr>
        <w:t xml:space="preserve"> </w:t>
      </w:r>
      <w:r>
        <w:rPr>
          <w:sz w:val="10"/>
        </w:rPr>
        <w:t>Discriminación</w:t>
      </w:r>
      <w:r>
        <w:rPr>
          <w:spacing w:val="7"/>
          <w:sz w:val="10"/>
        </w:rPr>
        <w:t xml:space="preserve"> </w:t>
      </w:r>
      <w:r>
        <w:rPr>
          <w:sz w:val="10"/>
        </w:rPr>
        <w:t>Racial,</w:t>
      </w:r>
      <w:r>
        <w:rPr>
          <w:spacing w:val="7"/>
          <w:sz w:val="10"/>
        </w:rPr>
        <w:t xml:space="preserve"> </w:t>
      </w:r>
      <w:r>
        <w:rPr>
          <w:spacing w:val="-2"/>
          <w:sz w:val="10"/>
        </w:rPr>
        <w:t>general</w:t>
      </w:r>
    </w:p>
    <w:p w14:paraId="02762BA6" w14:textId="77777777" w:rsidR="0014798C" w:rsidRDefault="004E1F0B">
      <w:pPr>
        <w:spacing w:before="5" w:line="288" w:lineRule="auto"/>
        <w:ind w:left="1366" w:right="1463"/>
        <w:rPr>
          <w:sz w:val="13"/>
        </w:rPr>
      </w:pPr>
      <w:r>
        <w:rPr>
          <w:sz w:val="13"/>
        </w:rPr>
        <w:t>recomendación</w:t>
      </w:r>
      <w:r>
        <w:rPr>
          <w:spacing w:val="-4"/>
          <w:sz w:val="13"/>
        </w:rPr>
        <w:t xml:space="preserve"> </w:t>
      </w:r>
      <w:r>
        <w:rPr>
          <w:sz w:val="13"/>
        </w:rPr>
        <w:t>núm.</w:t>
      </w:r>
      <w:r>
        <w:rPr>
          <w:spacing w:val="-4"/>
          <w:sz w:val="13"/>
        </w:rPr>
        <w:t xml:space="preserve"> </w:t>
      </w:r>
      <w:r>
        <w:rPr>
          <w:sz w:val="13"/>
        </w:rPr>
        <w:t>32</w:t>
      </w:r>
      <w:r>
        <w:rPr>
          <w:spacing w:val="-4"/>
          <w:sz w:val="13"/>
        </w:rPr>
        <w:t xml:space="preserve"> </w:t>
      </w:r>
      <w:r>
        <w:rPr>
          <w:sz w:val="13"/>
        </w:rPr>
        <w:t>(2009),</w:t>
      </w:r>
      <w:r>
        <w:rPr>
          <w:spacing w:val="-4"/>
          <w:sz w:val="13"/>
        </w:rPr>
        <w:t xml:space="preserve"> </w:t>
      </w:r>
      <w:r>
        <w:rPr>
          <w:sz w:val="13"/>
        </w:rPr>
        <w:t>párr.</w:t>
      </w:r>
      <w:r>
        <w:rPr>
          <w:spacing w:val="-4"/>
          <w:sz w:val="13"/>
        </w:rPr>
        <w:t xml:space="preserve"> </w:t>
      </w:r>
      <w:r>
        <w:rPr>
          <w:w w:val="95"/>
          <w:sz w:val="13"/>
        </w:rPr>
        <w:t>8;</w:t>
      </w:r>
      <w:r>
        <w:rPr>
          <w:spacing w:val="-3"/>
          <w:w w:val="95"/>
          <w:sz w:val="13"/>
        </w:rPr>
        <w:t xml:space="preserve"> </w:t>
      </w:r>
      <w:r>
        <w:rPr>
          <w:sz w:val="13"/>
        </w:rPr>
        <w:t>Comité</w:t>
      </w:r>
      <w:r>
        <w:rPr>
          <w:spacing w:val="-4"/>
          <w:sz w:val="13"/>
        </w:rPr>
        <w:t xml:space="preserve"> </w:t>
      </w:r>
      <w:r>
        <w:rPr>
          <w:sz w:val="13"/>
        </w:rPr>
        <w:t>de</w:t>
      </w:r>
      <w:r>
        <w:rPr>
          <w:spacing w:val="-4"/>
          <w:sz w:val="13"/>
        </w:rPr>
        <w:t xml:space="preserve"> </w:t>
      </w:r>
      <w:r>
        <w:rPr>
          <w:sz w:val="13"/>
        </w:rPr>
        <w:t>Derechos</w:t>
      </w:r>
      <w:r>
        <w:rPr>
          <w:spacing w:val="-4"/>
          <w:sz w:val="13"/>
        </w:rPr>
        <w:t xml:space="preserve"> </w:t>
      </w:r>
      <w:r>
        <w:rPr>
          <w:sz w:val="13"/>
        </w:rPr>
        <w:t>Económicos,</w:t>
      </w:r>
      <w:r>
        <w:rPr>
          <w:spacing w:val="-3"/>
          <w:sz w:val="13"/>
        </w:rPr>
        <w:t xml:space="preserve"> </w:t>
      </w:r>
      <w:r>
        <w:rPr>
          <w:sz w:val="13"/>
        </w:rPr>
        <w:t>Sociales</w:t>
      </w:r>
      <w:r>
        <w:rPr>
          <w:spacing w:val="-4"/>
          <w:sz w:val="13"/>
        </w:rPr>
        <w:t xml:space="preserve"> </w:t>
      </w:r>
      <w:r>
        <w:rPr>
          <w:sz w:val="13"/>
        </w:rPr>
        <w:t>y</w:t>
      </w:r>
      <w:r>
        <w:rPr>
          <w:spacing w:val="-4"/>
          <w:sz w:val="13"/>
        </w:rPr>
        <w:t xml:space="preserve"> </w:t>
      </w:r>
      <w:r>
        <w:rPr>
          <w:sz w:val="13"/>
        </w:rPr>
        <w:t>Culturales,</w:t>
      </w:r>
      <w:r>
        <w:rPr>
          <w:spacing w:val="-3"/>
          <w:sz w:val="13"/>
        </w:rPr>
        <w:t xml:space="preserve"> </w:t>
      </w:r>
      <w:r>
        <w:rPr>
          <w:sz w:val="13"/>
        </w:rPr>
        <w:t>observación</w:t>
      </w:r>
      <w:r>
        <w:rPr>
          <w:spacing w:val="-4"/>
          <w:sz w:val="13"/>
        </w:rPr>
        <w:t xml:space="preserve"> </w:t>
      </w:r>
      <w:r>
        <w:rPr>
          <w:sz w:val="13"/>
        </w:rPr>
        <w:t>general</w:t>
      </w:r>
      <w:r>
        <w:rPr>
          <w:spacing w:val="-4"/>
          <w:sz w:val="13"/>
        </w:rPr>
        <w:t xml:space="preserve"> </w:t>
      </w:r>
      <w:r>
        <w:rPr>
          <w:sz w:val="13"/>
        </w:rPr>
        <w:t>núm.</w:t>
      </w:r>
      <w:r>
        <w:rPr>
          <w:spacing w:val="-4"/>
          <w:sz w:val="13"/>
        </w:rPr>
        <w:t xml:space="preserve"> </w:t>
      </w:r>
      <w:r>
        <w:rPr>
          <w:sz w:val="13"/>
        </w:rPr>
        <w:t>20</w:t>
      </w:r>
      <w:r>
        <w:rPr>
          <w:spacing w:val="-4"/>
          <w:sz w:val="13"/>
        </w:rPr>
        <w:t xml:space="preserve"> </w:t>
      </w:r>
      <w:r>
        <w:rPr>
          <w:sz w:val="13"/>
        </w:rPr>
        <w:t>(2009),</w:t>
      </w:r>
      <w:r>
        <w:rPr>
          <w:spacing w:val="-4"/>
          <w:sz w:val="13"/>
        </w:rPr>
        <w:t xml:space="preserve"> </w:t>
      </w:r>
      <w:r>
        <w:rPr>
          <w:sz w:val="13"/>
        </w:rPr>
        <w:t>párr.</w:t>
      </w:r>
      <w:r>
        <w:rPr>
          <w:spacing w:val="-4"/>
          <w:sz w:val="13"/>
        </w:rPr>
        <w:t xml:space="preserve"> </w:t>
      </w:r>
      <w:r>
        <w:rPr>
          <w:sz w:val="13"/>
        </w:rPr>
        <w:t>13;</w:t>
      </w:r>
      <w:r>
        <w:rPr>
          <w:spacing w:val="-4"/>
          <w:sz w:val="13"/>
        </w:rPr>
        <w:t xml:space="preserve"> </w:t>
      </w:r>
      <w:r>
        <w:rPr>
          <w:sz w:val="13"/>
        </w:rPr>
        <w:t>Comité</w:t>
      </w:r>
      <w:r>
        <w:rPr>
          <w:spacing w:val="40"/>
          <w:sz w:val="13"/>
        </w:rPr>
        <w:t xml:space="preserve"> </w:t>
      </w:r>
      <w:r>
        <w:rPr>
          <w:sz w:val="13"/>
        </w:rPr>
        <w:t xml:space="preserve">sobre los Derechos de las Personas con Discapacidad, Domina y </w:t>
      </w:r>
      <w:proofErr w:type="spellStart"/>
      <w:r>
        <w:rPr>
          <w:sz w:val="13"/>
        </w:rPr>
        <w:t>Bendtsen</w:t>
      </w:r>
      <w:proofErr w:type="spellEnd"/>
      <w:r>
        <w:rPr>
          <w:sz w:val="13"/>
        </w:rPr>
        <w:t xml:space="preserve"> c. Dinamarca (CRPD/C/20/D/39/2017), párr. 8.3; Comisión Africana de</w:t>
      </w:r>
      <w:r>
        <w:rPr>
          <w:spacing w:val="40"/>
          <w:sz w:val="13"/>
        </w:rPr>
        <w:t xml:space="preserve"> </w:t>
      </w:r>
      <w:r>
        <w:rPr>
          <w:sz w:val="13"/>
        </w:rPr>
        <w:t xml:space="preserve">Derechos Humanos y de los Pueblos, Good v. </w:t>
      </w:r>
      <w:proofErr w:type="spellStart"/>
      <w:r>
        <w:rPr>
          <w:sz w:val="13"/>
        </w:rPr>
        <w:t>Republic</w:t>
      </w:r>
      <w:proofErr w:type="spellEnd"/>
      <w:r>
        <w:rPr>
          <w:sz w:val="13"/>
        </w:rPr>
        <w:t xml:space="preserve"> of </w:t>
      </w:r>
      <w:proofErr w:type="spellStart"/>
      <w:r>
        <w:rPr>
          <w:sz w:val="13"/>
        </w:rPr>
        <w:t>Botswana</w:t>
      </w:r>
      <w:proofErr w:type="spellEnd"/>
      <w:r>
        <w:rPr>
          <w:sz w:val="13"/>
        </w:rPr>
        <w:t>, comunicación No. 313/05, Decisión, 12 a 26 de mayo de 2010, párr. 219; y</w:t>
      </w:r>
      <w:r>
        <w:rPr>
          <w:spacing w:val="40"/>
          <w:sz w:val="13"/>
        </w:rPr>
        <w:t xml:space="preserve"> </w:t>
      </w:r>
      <w:r>
        <w:rPr>
          <w:sz w:val="13"/>
        </w:rPr>
        <w:t>Tribunal Europeo de Derechos Humanos, Biao c. Dinamarca, solicitud n.º 38590/10, sentencia de 24 de mayo de 2016, párr. 90.</w:t>
      </w:r>
    </w:p>
    <w:p w14:paraId="0A7529CB" w14:textId="77777777" w:rsidR="0014798C" w:rsidRDefault="004E1F0B">
      <w:pPr>
        <w:spacing w:before="2"/>
        <w:ind w:left="1365"/>
        <w:rPr>
          <w:sz w:val="13"/>
        </w:rPr>
      </w:pPr>
      <w:r>
        <w:rPr>
          <w:sz w:val="13"/>
        </w:rPr>
        <w:t>La</w:t>
      </w:r>
      <w:r>
        <w:rPr>
          <w:spacing w:val="-1"/>
          <w:sz w:val="13"/>
        </w:rPr>
        <w:t xml:space="preserve"> </w:t>
      </w:r>
      <w:r>
        <w:rPr>
          <w:sz w:val="13"/>
        </w:rPr>
        <w:t>Comisión</w:t>
      </w:r>
      <w:r>
        <w:rPr>
          <w:spacing w:val="-1"/>
          <w:sz w:val="13"/>
        </w:rPr>
        <w:t xml:space="preserve"> </w:t>
      </w:r>
      <w:r>
        <w:rPr>
          <w:sz w:val="13"/>
        </w:rPr>
        <w:t>Interamericana</w:t>
      </w:r>
      <w:r>
        <w:rPr>
          <w:spacing w:val="-1"/>
          <w:sz w:val="13"/>
        </w:rPr>
        <w:t xml:space="preserve"> </w:t>
      </w:r>
      <w:r>
        <w:rPr>
          <w:sz w:val="13"/>
        </w:rPr>
        <w:t>tiende</w:t>
      </w:r>
      <w:r>
        <w:rPr>
          <w:spacing w:val="-1"/>
          <w:sz w:val="13"/>
        </w:rPr>
        <w:t xml:space="preserve"> </w:t>
      </w:r>
      <w:r>
        <w:rPr>
          <w:sz w:val="13"/>
        </w:rPr>
        <w:t>a</w:t>
      </w:r>
      <w:r>
        <w:rPr>
          <w:spacing w:val="-1"/>
          <w:sz w:val="13"/>
        </w:rPr>
        <w:t xml:space="preserve"> </w:t>
      </w:r>
      <w:r>
        <w:rPr>
          <w:sz w:val="13"/>
        </w:rPr>
        <w:t>referirse</w:t>
      </w:r>
      <w:r>
        <w:rPr>
          <w:spacing w:val="-1"/>
          <w:sz w:val="13"/>
        </w:rPr>
        <w:t xml:space="preserve"> </w:t>
      </w:r>
      <w:r>
        <w:rPr>
          <w:sz w:val="13"/>
        </w:rPr>
        <w:t>a</w:t>
      </w:r>
      <w:r>
        <w:rPr>
          <w:spacing w:val="-1"/>
          <w:sz w:val="13"/>
        </w:rPr>
        <w:t xml:space="preserve"> </w:t>
      </w:r>
      <w:r>
        <w:rPr>
          <w:sz w:val="13"/>
        </w:rPr>
        <w:t>“distinciones”</w:t>
      </w:r>
      <w:r>
        <w:rPr>
          <w:spacing w:val="-1"/>
          <w:sz w:val="13"/>
        </w:rPr>
        <w:t xml:space="preserve"> </w:t>
      </w:r>
      <w:r>
        <w:rPr>
          <w:sz w:val="13"/>
        </w:rPr>
        <w:t>injustificadas,</w:t>
      </w:r>
      <w:r>
        <w:rPr>
          <w:spacing w:val="1"/>
          <w:sz w:val="13"/>
        </w:rPr>
        <w:t xml:space="preserve"> </w:t>
      </w:r>
      <w:r>
        <w:rPr>
          <w:sz w:val="13"/>
        </w:rPr>
        <w:t>pero</w:t>
      </w:r>
      <w:r>
        <w:rPr>
          <w:spacing w:val="-1"/>
          <w:sz w:val="13"/>
        </w:rPr>
        <w:t xml:space="preserve"> </w:t>
      </w:r>
      <w:r>
        <w:rPr>
          <w:sz w:val="13"/>
        </w:rPr>
        <w:t>también</w:t>
      </w:r>
      <w:r>
        <w:rPr>
          <w:spacing w:val="-1"/>
          <w:sz w:val="13"/>
        </w:rPr>
        <w:t xml:space="preserve"> </w:t>
      </w:r>
      <w:r>
        <w:rPr>
          <w:sz w:val="13"/>
        </w:rPr>
        <w:t>se</w:t>
      </w:r>
      <w:r>
        <w:rPr>
          <w:spacing w:val="-1"/>
          <w:sz w:val="13"/>
        </w:rPr>
        <w:t xml:space="preserve"> </w:t>
      </w:r>
      <w:r>
        <w:rPr>
          <w:sz w:val="13"/>
        </w:rPr>
        <w:t>ha</w:t>
      </w:r>
      <w:r>
        <w:rPr>
          <w:spacing w:val="-1"/>
          <w:sz w:val="13"/>
        </w:rPr>
        <w:t xml:space="preserve"> </w:t>
      </w:r>
      <w:r>
        <w:rPr>
          <w:sz w:val="13"/>
        </w:rPr>
        <w:t>utilizado</w:t>
      </w:r>
      <w:r>
        <w:rPr>
          <w:spacing w:val="-1"/>
          <w:sz w:val="13"/>
        </w:rPr>
        <w:t xml:space="preserve"> </w:t>
      </w:r>
      <w:r>
        <w:rPr>
          <w:sz w:val="13"/>
        </w:rPr>
        <w:t>el</w:t>
      </w:r>
      <w:r>
        <w:rPr>
          <w:spacing w:val="-1"/>
          <w:sz w:val="13"/>
        </w:rPr>
        <w:t xml:space="preserve"> </w:t>
      </w:r>
      <w:r>
        <w:rPr>
          <w:sz w:val="13"/>
        </w:rPr>
        <w:t>término</w:t>
      </w:r>
      <w:r>
        <w:rPr>
          <w:spacing w:val="-1"/>
          <w:sz w:val="13"/>
        </w:rPr>
        <w:t xml:space="preserve"> </w:t>
      </w:r>
      <w:r>
        <w:rPr>
          <w:sz w:val="13"/>
        </w:rPr>
        <w:t>“trato</w:t>
      </w:r>
      <w:r>
        <w:rPr>
          <w:spacing w:val="-1"/>
          <w:sz w:val="13"/>
        </w:rPr>
        <w:t xml:space="preserve"> </w:t>
      </w:r>
      <w:r>
        <w:rPr>
          <w:spacing w:val="-2"/>
          <w:sz w:val="13"/>
        </w:rPr>
        <w:t>diferenciado”.</w:t>
      </w:r>
    </w:p>
    <w:p w14:paraId="4BD103D9" w14:textId="77777777" w:rsidR="0014798C" w:rsidRDefault="004E1F0B">
      <w:pPr>
        <w:spacing w:before="30" w:line="288" w:lineRule="auto"/>
        <w:ind w:left="1366" w:right="1626" w:firstLine="3"/>
        <w:rPr>
          <w:sz w:val="13"/>
        </w:rPr>
      </w:pPr>
      <w:r>
        <w:rPr>
          <w:sz w:val="13"/>
        </w:rPr>
        <w:t>Véase Comisión Interamericana de Derechos Humanos, San Miguel Sosa y otros vs. Venezuela, Caso 12.923, Informe No. 75/15, Fondo, 28 de</w:t>
      </w:r>
      <w:r>
        <w:rPr>
          <w:spacing w:val="40"/>
          <w:sz w:val="13"/>
        </w:rPr>
        <w:t xml:space="preserve"> </w:t>
      </w:r>
      <w:r>
        <w:rPr>
          <w:sz w:val="13"/>
        </w:rPr>
        <w:t>octubre de 2015, párr. 169.</w:t>
      </w:r>
    </w:p>
    <w:p w14:paraId="2C8D8805" w14:textId="77777777" w:rsidR="0014798C" w:rsidRDefault="0014798C">
      <w:pPr>
        <w:pStyle w:val="Textoindependiente"/>
        <w:spacing w:before="2"/>
        <w:rPr>
          <w:sz w:val="10"/>
        </w:rPr>
      </w:pPr>
    </w:p>
    <w:p w14:paraId="4CA7FD76" w14:textId="77777777" w:rsidR="0014798C" w:rsidRDefault="004E1F0B">
      <w:pPr>
        <w:ind w:left="1105"/>
        <w:rPr>
          <w:sz w:val="10"/>
        </w:rPr>
      </w:pPr>
      <w:r>
        <w:rPr>
          <w:w w:val="105"/>
          <w:sz w:val="10"/>
        </w:rPr>
        <w:t>401</w:t>
      </w:r>
      <w:r>
        <w:rPr>
          <w:spacing w:val="-4"/>
          <w:w w:val="105"/>
          <w:sz w:val="10"/>
        </w:rPr>
        <w:t xml:space="preserve"> </w:t>
      </w:r>
      <w:r>
        <w:rPr>
          <w:w w:val="105"/>
          <w:sz w:val="10"/>
        </w:rPr>
        <w:t>Véase</w:t>
      </w:r>
      <w:r>
        <w:rPr>
          <w:spacing w:val="-3"/>
          <w:w w:val="105"/>
          <w:sz w:val="10"/>
        </w:rPr>
        <w:t xml:space="preserve"> </w:t>
      </w:r>
      <w:r>
        <w:rPr>
          <w:w w:val="105"/>
          <w:sz w:val="10"/>
        </w:rPr>
        <w:t>el</w:t>
      </w:r>
      <w:r>
        <w:rPr>
          <w:spacing w:val="-3"/>
          <w:w w:val="105"/>
          <w:sz w:val="10"/>
        </w:rPr>
        <w:t xml:space="preserve"> </w:t>
      </w:r>
      <w:r>
        <w:rPr>
          <w:w w:val="105"/>
          <w:sz w:val="10"/>
        </w:rPr>
        <w:t>análisis</w:t>
      </w:r>
      <w:r>
        <w:rPr>
          <w:spacing w:val="-3"/>
          <w:w w:val="105"/>
          <w:sz w:val="10"/>
        </w:rPr>
        <w:t xml:space="preserve"> </w:t>
      </w:r>
      <w:r>
        <w:rPr>
          <w:w w:val="105"/>
          <w:sz w:val="10"/>
        </w:rPr>
        <w:t>de</w:t>
      </w:r>
      <w:r>
        <w:rPr>
          <w:spacing w:val="-4"/>
          <w:w w:val="105"/>
          <w:sz w:val="10"/>
        </w:rPr>
        <w:t xml:space="preserve"> </w:t>
      </w:r>
      <w:r>
        <w:rPr>
          <w:w w:val="105"/>
          <w:sz w:val="10"/>
        </w:rPr>
        <w:t>la</w:t>
      </w:r>
      <w:r>
        <w:rPr>
          <w:spacing w:val="-3"/>
          <w:w w:val="105"/>
          <w:sz w:val="10"/>
        </w:rPr>
        <w:t xml:space="preserve"> </w:t>
      </w:r>
      <w:r>
        <w:rPr>
          <w:w w:val="105"/>
          <w:sz w:val="10"/>
        </w:rPr>
        <w:t>discriminación</w:t>
      </w:r>
      <w:r>
        <w:rPr>
          <w:spacing w:val="-3"/>
          <w:w w:val="105"/>
          <w:sz w:val="10"/>
        </w:rPr>
        <w:t xml:space="preserve"> </w:t>
      </w:r>
      <w:r>
        <w:rPr>
          <w:w w:val="105"/>
          <w:sz w:val="10"/>
        </w:rPr>
        <w:t>directa</w:t>
      </w:r>
      <w:r>
        <w:rPr>
          <w:spacing w:val="-3"/>
          <w:w w:val="105"/>
          <w:sz w:val="10"/>
        </w:rPr>
        <w:t xml:space="preserve"> </w:t>
      </w:r>
      <w:r>
        <w:rPr>
          <w:w w:val="105"/>
          <w:sz w:val="10"/>
        </w:rPr>
        <w:t>en</w:t>
      </w:r>
      <w:r>
        <w:rPr>
          <w:spacing w:val="-4"/>
          <w:w w:val="105"/>
          <w:sz w:val="10"/>
        </w:rPr>
        <w:t xml:space="preserve"> </w:t>
      </w:r>
      <w:r>
        <w:rPr>
          <w:w w:val="105"/>
          <w:sz w:val="10"/>
        </w:rPr>
        <w:t>la</w:t>
      </w:r>
      <w:r>
        <w:rPr>
          <w:spacing w:val="-3"/>
          <w:w w:val="105"/>
          <w:sz w:val="10"/>
        </w:rPr>
        <w:t xml:space="preserve"> </w:t>
      </w:r>
      <w:r>
        <w:rPr>
          <w:w w:val="105"/>
          <w:sz w:val="10"/>
        </w:rPr>
        <w:t>sección</w:t>
      </w:r>
      <w:r>
        <w:rPr>
          <w:spacing w:val="-3"/>
          <w:w w:val="105"/>
          <w:sz w:val="10"/>
        </w:rPr>
        <w:t xml:space="preserve"> </w:t>
      </w:r>
      <w:r>
        <w:rPr>
          <w:w w:val="105"/>
          <w:sz w:val="10"/>
        </w:rPr>
        <w:t>IA2(a)</w:t>
      </w:r>
      <w:r>
        <w:rPr>
          <w:spacing w:val="-3"/>
          <w:w w:val="105"/>
          <w:sz w:val="10"/>
        </w:rPr>
        <w:t xml:space="preserve"> </w:t>
      </w:r>
      <w:r>
        <w:rPr>
          <w:w w:val="105"/>
          <w:sz w:val="10"/>
        </w:rPr>
        <w:t>de</w:t>
      </w:r>
      <w:r>
        <w:rPr>
          <w:spacing w:val="-4"/>
          <w:w w:val="105"/>
          <w:sz w:val="10"/>
        </w:rPr>
        <w:t xml:space="preserve"> </w:t>
      </w:r>
      <w:r>
        <w:rPr>
          <w:w w:val="105"/>
          <w:sz w:val="10"/>
        </w:rPr>
        <w:t>esta</w:t>
      </w:r>
      <w:r>
        <w:rPr>
          <w:spacing w:val="-3"/>
          <w:w w:val="105"/>
          <w:sz w:val="10"/>
        </w:rPr>
        <w:t xml:space="preserve"> </w:t>
      </w:r>
      <w:r>
        <w:rPr>
          <w:spacing w:val="-2"/>
          <w:w w:val="105"/>
          <w:sz w:val="10"/>
        </w:rPr>
        <w:t>parte.</w:t>
      </w:r>
    </w:p>
    <w:p w14:paraId="63B362F2" w14:textId="77777777" w:rsidR="0014798C" w:rsidRDefault="004E1F0B">
      <w:pPr>
        <w:spacing w:before="62" w:line="288" w:lineRule="auto"/>
        <w:ind w:left="1366" w:right="1626" w:hanging="262"/>
        <w:rPr>
          <w:sz w:val="13"/>
        </w:rPr>
      </w:pPr>
      <w:r>
        <w:rPr>
          <w:sz w:val="13"/>
          <w:vertAlign w:val="superscript"/>
        </w:rPr>
        <w:t>402</w:t>
      </w:r>
      <w:r>
        <w:rPr>
          <w:spacing w:val="80"/>
          <w:sz w:val="13"/>
        </w:rPr>
        <w:t xml:space="preserve"> </w:t>
      </w:r>
      <w:r>
        <w:rPr>
          <w:sz w:val="13"/>
        </w:rPr>
        <w:t>Véase, a modo de ejemplo, Comité de Derechos Económicos, Sociales y Culturales, observación general núm. 16 (2005), párr. 12; y Comité de</w:t>
      </w:r>
      <w:r>
        <w:rPr>
          <w:spacing w:val="40"/>
          <w:sz w:val="13"/>
        </w:rPr>
        <w:t xml:space="preserve"> </w:t>
      </w:r>
      <w:r>
        <w:rPr>
          <w:sz w:val="13"/>
        </w:rPr>
        <w:t xml:space="preserve">Derechos Humanos, </w:t>
      </w:r>
      <w:proofErr w:type="spellStart"/>
      <w:r>
        <w:rPr>
          <w:sz w:val="13"/>
        </w:rPr>
        <w:t>Fedotova</w:t>
      </w:r>
      <w:proofErr w:type="spellEnd"/>
      <w:r>
        <w:rPr>
          <w:sz w:val="13"/>
        </w:rPr>
        <w:t xml:space="preserve"> c. Federación de Rusia (CCPR/C/106/D/1932/2010), párr. 10.6. Asimismo, el Tribunal Europeo de Derechos Humanos</w:t>
      </w:r>
      <w:r>
        <w:rPr>
          <w:spacing w:val="40"/>
          <w:sz w:val="13"/>
        </w:rPr>
        <w:t xml:space="preserve"> </w:t>
      </w:r>
      <w:r>
        <w:rPr>
          <w:sz w:val="13"/>
        </w:rPr>
        <w:t>ha dejado claro que el criterio de justificación se aplica respecto de la discriminación directa e indirecta. Véase, por ejemplo, Tribunal Europeo de</w:t>
      </w:r>
      <w:r>
        <w:rPr>
          <w:spacing w:val="40"/>
          <w:sz w:val="13"/>
        </w:rPr>
        <w:t xml:space="preserve"> </w:t>
      </w:r>
      <w:r>
        <w:rPr>
          <w:sz w:val="13"/>
        </w:rPr>
        <w:t xml:space="preserve">Derechos Humanos, Biao c. Dinamarca, solicitud n.º 38590/10, sentencia de 24 de mayo de 2016, </w:t>
      </w:r>
      <w:proofErr w:type="spellStart"/>
      <w:r>
        <w:rPr>
          <w:sz w:val="13"/>
        </w:rPr>
        <w:t>párrs</w:t>
      </w:r>
      <w:proofErr w:type="spellEnd"/>
      <w:r>
        <w:rPr>
          <w:sz w:val="13"/>
        </w:rPr>
        <w:t>. 90–91.</w:t>
      </w:r>
    </w:p>
    <w:p w14:paraId="73E7B7E6" w14:textId="77777777" w:rsidR="0014798C" w:rsidRDefault="004E1F0B">
      <w:pPr>
        <w:spacing w:before="59" w:line="288" w:lineRule="auto"/>
        <w:ind w:left="1367" w:right="1626" w:hanging="262"/>
        <w:rPr>
          <w:sz w:val="13"/>
        </w:rPr>
      </w:pPr>
      <w:r>
        <w:rPr>
          <w:sz w:val="13"/>
          <w:vertAlign w:val="superscript"/>
        </w:rPr>
        <w:t>403</w:t>
      </w:r>
      <w:r>
        <w:rPr>
          <w:spacing w:val="80"/>
          <w:w w:val="150"/>
          <w:sz w:val="13"/>
        </w:rPr>
        <w:t xml:space="preserve"> </w:t>
      </w:r>
      <w:r>
        <w:rPr>
          <w:sz w:val="13"/>
        </w:rPr>
        <w:t>Véase,</w:t>
      </w:r>
      <w:r>
        <w:rPr>
          <w:spacing w:val="6"/>
          <w:sz w:val="13"/>
        </w:rPr>
        <w:t xml:space="preserve"> </w:t>
      </w:r>
      <w:r>
        <w:rPr>
          <w:sz w:val="13"/>
        </w:rPr>
        <w:t>por</w:t>
      </w:r>
      <w:r>
        <w:rPr>
          <w:spacing w:val="6"/>
          <w:sz w:val="13"/>
        </w:rPr>
        <w:t xml:space="preserve"> </w:t>
      </w:r>
      <w:r>
        <w:rPr>
          <w:sz w:val="13"/>
        </w:rPr>
        <w:t>ejemplo,</w:t>
      </w:r>
      <w:r>
        <w:rPr>
          <w:spacing w:val="7"/>
          <w:sz w:val="13"/>
        </w:rPr>
        <w:t xml:space="preserve"> </w:t>
      </w:r>
      <w:r>
        <w:rPr>
          <w:sz w:val="13"/>
        </w:rPr>
        <w:t>Tribunal</w:t>
      </w:r>
      <w:r>
        <w:rPr>
          <w:spacing w:val="6"/>
          <w:sz w:val="13"/>
        </w:rPr>
        <w:t xml:space="preserve"> </w:t>
      </w:r>
      <w:r>
        <w:rPr>
          <w:sz w:val="13"/>
        </w:rPr>
        <w:t>Europeo</w:t>
      </w:r>
      <w:r>
        <w:rPr>
          <w:spacing w:val="6"/>
          <w:sz w:val="13"/>
        </w:rPr>
        <w:t xml:space="preserve"> </w:t>
      </w:r>
      <w:r>
        <w:rPr>
          <w:sz w:val="13"/>
        </w:rPr>
        <w:t>de</w:t>
      </w:r>
      <w:r>
        <w:rPr>
          <w:spacing w:val="6"/>
          <w:sz w:val="13"/>
        </w:rPr>
        <w:t xml:space="preserve"> </w:t>
      </w:r>
      <w:r>
        <w:rPr>
          <w:sz w:val="13"/>
        </w:rPr>
        <w:t>Derechos</w:t>
      </w:r>
      <w:r>
        <w:rPr>
          <w:spacing w:val="6"/>
          <w:sz w:val="13"/>
        </w:rPr>
        <w:t xml:space="preserve"> </w:t>
      </w:r>
      <w:r>
        <w:rPr>
          <w:sz w:val="13"/>
        </w:rPr>
        <w:t>Humanos,</w:t>
      </w:r>
      <w:r>
        <w:rPr>
          <w:spacing w:val="7"/>
          <w:sz w:val="13"/>
        </w:rPr>
        <w:t xml:space="preserve"> </w:t>
      </w:r>
      <w:r>
        <w:rPr>
          <w:sz w:val="13"/>
        </w:rPr>
        <w:t>DH</w:t>
      </w:r>
      <w:r>
        <w:rPr>
          <w:spacing w:val="6"/>
          <w:sz w:val="13"/>
        </w:rPr>
        <w:t xml:space="preserve"> </w:t>
      </w:r>
      <w:r>
        <w:rPr>
          <w:sz w:val="13"/>
        </w:rPr>
        <w:t>y</w:t>
      </w:r>
      <w:r>
        <w:rPr>
          <w:spacing w:val="6"/>
          <w:sz w:val="13"/>
        </w:rPr>
        <w:t xml:space="preserve"> </w:t>
      </w:r>
      <w:r>
        <w:rPr>
          <w:sz w:val="13"/>
        </w:rPr>
        <w:t>otros</w:t>
      </w:r>
      <w:r>
        <w:rPr>
          <w:spacing w:val="6"/>
          <w:sz w:val="13"/>
        </w:rPr>
        <w:t xml:space="preserve"> </w:t>
      </w:r>
      <w:r>
        <w:rPr>
          <w:sz w:val="13"/>
        </w:rPr>
        <w:t>c.</w:t>
      </w:r>
      <w:r>
        <w:rPr>
          <w:spacing w:val="6"/>
          <w:sz w:val="13"/>
        </w:rPr>
        <w:t xml:space="preserve"> </w:t>
      </w:r>
      <w:r>
        <w:rPr>
          <w:sz w:val="13"/>
        </w:rPr>
        <w:t>la</w:t>
      </w:r>
      <w:r>
        <w:rPr>
          <w:spacing w:val="6"/>
          <w:sz w:val="13"/>
        </w:rPr>
        <w:t xml:space="preserve"> </w:t>
      </w:r>
      <w:r>
        <w:rPr>
          <w:sz w:val="13"/>
        </w:rPr>
        <w:t>República</w:t>
      </w:r>
      <w:r>
        <w:rPr>
          <w:spacing w:val="6"/>
          <w:sz w:val="13"/>
        </w:rPr>
        <w:t xml:space="preserve"> </w:t>
      </w:r>
      <w:r>
        <w:rPr>
          <w:sz w:val="13"/>
        </w:rPr>
        <w:t>Checa,</w:t>
      </w:r>
      <w:r>
        <w:rPr>
          <w:spacing w:val="6"/>
          <w:sz w:val="13"/>
        </w:rPr>
        <w:t xml:space="preserve"> </w:t>
      </w:r>
      <w:r>
        <w:rPr>
          <w:sz w:val="13"/>
        </w:rPr>
        <w:t>solicitud</w:t>
      </w:r>
      <w:r>
        <w:rPr>
          <w:spacing w:val="6"/>
          <w:sz w:val="13"/>
        </w:rPr>
        <w:t xml:space="preserve"> </w:t>
      </w:r>
      <w:r>
        <w:rPr>
          <w:sz w:val="13"/>
        </w:rPr>
        <w:t>n.º</w:t>
      </w:r>
      <w:r>
        <w:rPr>
          <w:spacing w:val="6"/>
          <w:sz w:val="13"/>
        </w:rPr>
        <w:t xml:space="preserve"> </w:t>
      </w:r>
      <w:r>
        <w:rPr>
          <w:sz w:val="13"/>
        </w:rPr>
        <w:t>57325/00,</w:t>
      </w:r>
      <w:r>
        <w:rPr>
          <w:spacing w:val="7"/>
          <w:sz w:val="13"/>
        </w:rPr>
        <w:t xml:space="preserve"> </w:t>
      </w:r>
      <w:r>
        <w:rPr>
          <w:sz w:val="13"/>
        </w:rPr>
        <w:t>sentencia</w:t>
      </w:r>
      <w:r>
        <w:rPr>
          <w:spacing w:val="6"/>
          <w:sz w:val="13"/>
        </w:rPr>
        <w:t xml:space="preserve"> </w:t>
      </w:r>
      <w:r>
        <w:rPr>
          <w:sz w:val="13"/>
        </w:rPr>
        <w:t>de</w:t>
      </w:r>
      <w:r>
        <w:rPr>
          <w:spacing w:val="6"/>
          <w:sz w:val="13"/>
        </w:rPr>
        <w:t xml:space="preserve"> </w:t>
      </w:r>
      <w:r>
        <w:rPr>
          <w:sz w:val="13"/>
        </w:rPr>
        <w:t>13</w:t>
      </w:r>
      <w:r>
        <w:rPr>
          <w:spacing w:val="6"/>
          <w:sz w:val="13"/>
        </w:rPr>
        <w:t xml:space="preserve"> </w:t>
      </w:r>
      <w:r>
        <w:rPr>
          <w:sz w:val="13"/>
        </w:rPr>
        <w:t>de</w:t>
      </w:r>
      <w:r>
        <w:rPr>
          <w:spacing w:val="40"/>
          <w:sz w:val="13"/>
        </w:rPr>
        <w:t xml:space="preserve"> </w:t>
      </w:r>
      <w:r>
        <w:rPr>
          <w:sz w:val="13"/>
        </w:rPr>
        <w:t>noviembre de 2007, párr. 176, en el que el Tribunal Europeo de Derechos Humanos señaló que “la discriminación racial es un tipo de discriminación</w:t>
      </w:r>
      <w:r>
        <w:rPr>
          <w:spacing w:val="40"/>
          <w:sz w:val="13"/>
        </w:rPr>
        <w:t xml:space="preserve"> </w:t>
      </w:r>
      <w:r>
        <w:rPr>
          <w:sz w:val="13"/>
        </w:rPr>
        <w:t>particularmente odiosa”, sosteniendo que “ninguna diferencia de trato que se base exclusiva o en medida decisiva en el origen étnico de una persona</w:t>
      </w:r>
      <w:r>
        <w:rPr>
          <w:spacing w:val="40"/>
          <w:sz w:val="13"/>
        </w:rPr>
        <w:t xml:space="preserve"> </w:t>
      </w:r>
      <w:r>
        <w:rPr>
          <w:sz w:val="13"/>
        </w:rPr>
        <w:t>puede ser objetivamente justificado".</w:t>
      </w:r>
    </w:p>
    <w:p w14:paraId="1B86F887" w14:textId="77777777" w:rsidR="0014798C" w:rsidRDefault="0014798C">
      <w:pPr>
        <w:pStyle w:val="Textoindependiente"/>
        <w:rPr>
          <w:sz w:val="19"/>
        </w:rPr>
      </w:pPr>
    </w:p>
    <w:p w14:paraId="23F92431" w14:textId="77777777" w:rsidR="0014798C" w:rsidRDefault="0014798C">
      <w:pPr>
        <w:pStyle w:val="Textoindependiente"/>
        <w:spacing w:before="169"/>
        <w:rPr>
          <w:sz w:val="19"/>
        </w:rPr>
      </w:pPr>
    </w:p>
    <w:p w14:paraId="27EE3AC7" w14:textId="77777777" w:rsidR="0014798C" w:rsidRDefault="004E1F0B">
      <w:pPr>
        <w:ind w:left="553"/>
        <w:rPr>
          <w:sz w:val="19"/>
        </w:rPr>
      </w:pPr>
      <w:r>
        <w:rPr>
          <w:spacing w:val="-5"/>
          <w:sz w:val="19"/>
        </w:rPr>
        <w:t>52</w:t>
      </w:r>
    </w:p>
    <w:p w14:paraId="7951A900" w14:textId="77777777" w:rsidR="0014798C" w:rsidRDefault="0014798C">
      <w:pPr>
        <w:rPr>
          <w:sz w:val="19"/>
        </w:rPr>
        <w:sectPr w:rsidR="0014798C" w:rsidSect="00F265E4">
          <w:pgSz w:w="11900" w:h="16820"/>
          <w:pgMar w:top="340" w:right="0" w:bottom="280" w:left="200" w:header="121" w:footer="0" w:gutter="0"/>
          <w:cols w:space="720"/>
        </w:sectPr>
      </w:pPr>
    </w:p>
    <w:p w14:paraId="4CCD547E" w14:textId="77777777" w:rsidR="0014798C" w:rsidRDefault="0014798C">
      <w:pPr>
        <w:pStyle w:val="Textoindependiente"/>
        <w:spacing w:before="51"/>
        <w:rPr>
          <w:sz w:val="14"/>
        </w:rPr>
      </w:pPr>
    </w:p>
    <w:p w14:paraId="7C2F4A66" w14:textId="77777777" w:rsidR="0014798C" w:rsidRDefault="004E1F0B">
      <w:pPr>
        <w:ind w:left="1111"/>
        <w:rPr>
          <w:sz w:val="14"/>
        </w:rPr>
      </w:pPr>
      <w:r>
        <w:rPr>
          <w:color w:val="00AC59"/>
          <w:sz w:val="14"/>
        </w:rPr>
        <w:t>SEGUNDA</w:t>
      </w:r>
      <w:r>
        <w:rPr>
          <w:color w:val="00AC59"/>
          <w:spacing w:val="-5"/>
          <w:sz w:val="14"/>
        </w:rPr>
        <w:t xml:space="preserve"> </w:t>
      </w:r>
      <w:r>
        <w:rPr>
          <w:color w:val="00AC59"/>
          <w:sz w:val="14"/>
        </w:rPr>
        <w:t>PARTE:</w:t>
      </w:r>
      <w:r>
        <w:rPr>
          <w:color w:val="00AC59"/>
          <w:spacing w:val="-5"/>
          <w:sz w:val="14"/>
        </w:rPr>
        <w:t xml:space="preserve"> </w:t>
      </w:r>
      <w:r>
        <w:rPr>
          <w:color w:val="00AC59"/>
          <w:sz w:val="14"/>
        </w:rPr>
        <w:t>CONTENIDO</w:t>
      </w:r>
      <w:r>
        <w:rPr>
          <w:color w:val="00AC59"/>
          <w:spacing w:val="-4"/>
          <w:sz w:val="14"/>
        </w:rPr>
        <w:t xml:space="preserve"> </w:t>
      </w:r>
      <w:r>
        <w:rPr>
          <w:color w:val="00AC59"/>
          <w:sz w:val="14"/>
        </w:rPr>
        <w:t>DE</w:t>
      </w:r>
      <w:r>
        <w:rPr>
          <w:color w:val="00AC59"/>
          <w:spacing w:val="-5"/>
          <w:sz w:val="14"/>
        </w:rPr>
        <w:t xml:space="preserve"> </w:t>
      </w:r>
      <w:r>
        <w:rPr>
          <w:color w:val="00AC59"/>
          <w:sz w:val="14"/>
        </w:rPr>
        <w:t>LA</w:t>
      </w:r>
      <w:r>
        <w:rPr>
          <w:color w:val="00AC59"/>
          <w:spacing w:val="-4"/>
          <w:sz w:val="14"/>
        </w:rPr>
        <w:t xml:space="preserve"> </w:t>
      </w:r>
      <w:r>
        <w:rPr>
          <w:color w:val="00AC59"/>
          <w:sz w:val="14"/>
        </w:rPr>
        <w:t>LEY</w:t>
      </w:r>
      <w:r>
        <w:rPr>
          <w:color w:val="00AC59"/>
          <w:spacing w:val="-4"/>
          <w:sz w:val="14"/>
        </w:rPr>
        <w:t xml:space="preserve"> </w:t>
      </w:r>
      <w:r>
        <w:rPr>
          <w:color w:val="00AC59"/>
          <w:sz w:val="14"/>
        </w:rPr>
        <w:t>INTEGRAL</w:t>
      </w:r>
      <w:r>
        <w:rPr>
          <w:color w:val="00AC59"/>
          <w:spacing w:val="-5"/>
          <w:sz w:val="14"/>
        </w:rPr>
        <w:t xml:space="preserve"> </w:t>
      </w:r>
      <w:r>
        <w:rPr>
          <w:color w:val="00AC59"/>
          <w:spacing w:val="-2"/>
          <w:sz w:val="14"/>
        </w:rPr>
        <w:t>ANTIDISCRIMINACIÓN</w:t>
      </w:r>
    </w:p>
    <w:p w14:paraId="3D462916" w14:textId="77777777" w:rsidR="0014798C" w:rsidRDefault="0014798C">
      <w:pPr>
        <w:pStyle w:val="Textoindependiente"/>
        <w:rPr>
          <w:sz w:val="15"/>
        </w:rPr>
      </w:pPr>
    </w:p>
    <w:p w14:paraId="47A2F88C" w14:textId="77777777" w:rsidR="0014798C" w:rsidRDefault="0014798C">
      <w:pPr>
        <w:pStyle w:val="Textoindependiente"/>
        <w:rPr>
          <w:sz w:val="15"/>
        </w:rPr>
      </w:pPr>
    </w:p>
    <w:p w14:paraId="5225FE9B" w14:textId="77777777" w:rsidR="0014798C" w:rsidRDefault="0014798C">
      <w:pPr>
        <w:pStyle w:val="Textoindependiente"/>
        <w:rPr>
          <w:sz w:val="15"/>
        </w:rPr>
      </w:pPr>
    </w:p>
    <w:p w14:paraId="16A561CB" w14:textId="77777777" w:rsidR="0014798C" w:rsidRDefault="0014798C">
      <w:pPr>
        <w:pStyle w:val="Textoindependiente"/>
        <w:rPr>
          <w:sz w:val="15"/>
        </w:rPr>
      </w:pPr>
    </w:p>
    <w:p w14:paraId="61A56849" w14:textId="77777777" w:rsidR="0014798C" w:rsidRDefault="0014798C">
      <w:pPr>
        <w:pStyle w:val="Textoindependiente"/>
        <w:spacing w:before="121"/>
        <w:rPr>
          <w:sz w:val="15"/>
        </w:rPr>
      </w:pPr>
    </w:p>
    <w:p w14:paraId="219E938F" w14:textId="77777777" w:rsidR="0014798C" w:rsidRDefault="004E1F0B">
      <w:pPr>
        <w:spacing w:before="1" w:line="348" w:lineRule="auto"/>
        <w:ind w:left="1108" w:right="1418" w:firstLine="6"/>
        <w:rPr>
          <w:sz w:val="15"/>
        </w:rPr>
      </w:pPr>
      <w:r>
        <w:rPr>
          <w:w w:val="105"/>
          <w:sz w:val="15"/>
        </w:rPr>
        <w:t>Por su definición, el acoso nunca está justificado, porque una conducta que viola la dignidad o crea un ambiente hostil basado en una</w:t>
      </w:r>
      <w:r>
        <w:rPr>
          <w:spacing w:val="-11"/>
          <w:w w:val="105"/>
          <w:sz w:val="15"/>
        </w:rPr>
        <w:t xml:space="preserve"> </w:t>
      </w:r>
      <w:r>
        <w:rPr>
          <w:w w:val="105"/>
          <w:sz w:val="15"/>
        </w:rPr>
        <w:t>característica</w:t>
      </w:r>
      <w:r>
        <w:rPr>
          <w:spacing w:val="-11"/>
          <w:w w:val="105"/>
          <w:sz w:val="15"/>
        </w:rPr>
        <w:t xml:space="preserve"> </w:t>
      </w:r>
      <w:r>
        <w:rPr>
          <w:w w:val="105"/>
          <w:sz w:val="15"/>
        </w:rPr>
        <w:t>protegida</w:t>
      </w:r>
      <w:r>
        <w:rPr>
          <w:spacing w:val="-11"/>
          <w:w w:val="105"/>
          <w:sz w:val="15"/>
        </w:rPr>
        <w:t xml:space="preserve"> </w:t>
      </w:r>
      <w:r>
        <w:rPr>
          <w:w w:val="105"/>
          <w:sz w:val="15"/>
        </w:rPr>
        <w:t>nunca</w:t>
      </w:r>
      <w:r>
        <w:rPr>
          <w:spacing w:val="-11"/>
          <w:w w:val="105"/>
          <w:sz w:val="15"/>
        </w:rPr>
        <w:t xml:space="preserve"> </w:t>
      </w:r>
      <w:r>
        <w:rPr>
          <w:w w:val="105"/>
          <w:sz w:val="15"/>
        </w:rPr>
        <w:t>responde</w:t>
      </w:r>
      <w:r>
        <w:rPr>
          <w:spacing w:val="-11"/>
          <w:w w:val="105"/>
          <w:sz w:val="15"/>
        </w:rPr>
        <w:t xml:space="preserve"> </w:t>
      </w:r>
      <w:r>
        <w:rPr>
          <w:w w:val="105"/>
          <w:sz w:val="15"/>
        </w:rPr>
        <w:t>a</w:t>
      </w:r>
      <w:r>
        <w:rPr>
          <w:spacing w:val="-11"/>
          <w:w w:val="105"/>
          <w:sz w:val="15"/>
        </w:rPr>
        <w:t xml:space="preserve"> </w:t>
      </w:r>
      <w:r>
        <w:rPr>
          <w:w w:val="105"/>
          <w:sz w:val="15"/>
        </w:rPr>
        <w:t>un</w:t>
      </w:r>
      <w:r>
        <w:rPr>
          <w:spacing w:val="-11"/>
          <w:w w:val="105"/>
          <w:sz w:val="15"/>
        </w:rPr>
        <w:t xml:space="preserve"> </w:t>
      </w:r>
      <w:r>
        <w:rPr>
          <w:w w:val="105"/>
          <w:sz w:val="15"/>
        </w:rPr>
        <w:t>objetivo</w:t>
      </w:r>
      <w:r>
        <w:rPr>
          <w:spacing w:val="-11"/>
          <w:w w:val="105"/>
          <w:sz w:val="15"/>
        </w:rPr>
        <w:t xml:space="preserve"> </w:t>
      </w:r>
      <w:r>
        <w:rPr>
          <w:w w:val="105"/>
          <w:sz w:val="15"/>
        </w:rPr>
        <w:t>legítimo;404</w:t>
      </w:r>
      <w:r>
        <w:rPr>
          <w:spacing w:val="-11"/>
          <w:w w:val="105"/>
          <w:sz w:val="15"/>
        </w:rPr>
        <w:t xml:space="preserve"> </w:t>
      </w:r>
      <w:r>
        <w:rPr>
          <w:w w:val="105"/>
          <w:sz w:val="15"/>
        </w:rPr>
        <w:t>por</w:t>
      </w:r>
      <w:r>
        <w:rPr>
          <w:spacing w:val="-11"/>
          <w:w w:val="105"/>
          <w:sz w:val="15"/>
        </w:rPr>
        <w:t xml:space="preserve"> </w:t>
      </w:r>
      <w:r>
        <w:rPr>
          <w:w w:val="105"/>
          <w:sz w:val="15"/>
        </w:rPr>
        <w:t>razones</w:t>
      </w:r>
      <w:r>
        <w:rPr>
          <w:spacing w:val="-11"/>
          <w:w w:val="105"/>
          <w:sz w:val="15"/>
        </w:rPr>
        <w:t xml:space="preserve"> </w:t>
      </w:r>
      <w:r>
        <w:rPr>
          <w:w w:val="105"/>
          <w:sz w:val="15"/>
        </w:rPr>
        <w:t>similares,</w:t>
      </w:r>
      <w:r>
        <w:rPr>
          <w:spacing w:val="-11"/>
          <w:w w:val="105"/>
          <w:sz w:val="15"/>
        </w:rPr>
        <w:t xml:space="preserve"> </w:t>
      </w:r>
      <w:r>
        <w:rPr>
          <w:w w:val="105"/>
          <w:sz w:val="15"/>
        </w:rPr>
        <w:t>la</w:t>
      </w:r>
      <w:r>
        <w:rPr>
          <w:spacing w:val="-11"/>
          <w:w w:val="105"/>
          <w:sz w:val="15"/>
        </w:rPr>
        <w:t xml:space="preserve"> </w:t>
      </w:r>
      <w:r>
        <w:rPr>
          <w:w w:val="105"/>
          <w:sz w:val="15"/>
        </w:rPr>
        <w:t>victimización</w:t>
      </w:r>
      <w:r>
        <w:rPr>
          <w:spacing w:val="-11"/>
          <w:w w:val="105"/>
          <w:sz w:val="15"/>
        </w:rPr>
        <w:t xml:space="preserve"> </w:t>
      </w:r>
      <w:r>
        <w:rPr>
          <w:w w:val="105"/>
          <w:sz w:val="15"/>
        </w:rPr>
        <w:t>no</w:t>
      </w:r>
      <w:r>
        <w:rPr>
          <w:spacing w:val="-11"/>
          <w:w w:val="105"/>
          <w:sz w:val="15"/>
        </w:rPr>
        <w:t xml:space="preserve"> </w:t>
      </w:r>
      <w:r>
        <w:rPr>
          <w:w w:val="105"/>
          <w:sz w:val="15"/>
        </w:rPr>
        <w:t>puede</w:t>
      </w:r>
      <w:r>
        <w:rPr>
          <w:spacing w:val="-11"/>
          <w:w w:val="105"/>
          <w:sz w:val="15"/>
        </w:rPr>
        <w:t xml:space="preserve"> </w:t>
      </w:r>
      <w:r>
        <w:rPr>
          <w:w w:val="105"/>
          <w:sz w:val="15"/>
        </w:rPr>
        <w:t>justificarse. A</w:t>
      </w:r>
      <w:r>
        <w:rPr>
          <w:spacing w:val="-2"/>
          <w:w w:val="105"/>
          <w:sz w:val="15"/>
        </w:rPr>
        <w:t xml:space="preserve"> </w:t>
      </w:r>
      <w:r>
        <w:rPr>
          <w:w w:val="105"/>
          <w:sz w:val="15"/>
        </w:rPr>
        <w:t>continuación</w:t>
      </w:r>
      <w:r>
        <w:rPr>
          <w:spacing w:val="-2"/>
          <w:w w:val="105"/>
          <w:sz w:val="15"/>
        </w:rPr>
        <w:t xml:space="preserve"> </w:t>
      </w:r>
      <w:r>
        <w:rPr>
          <w:w w:val="105"/>
          <w:sz w:val="15"/>
        </w:rPr>
        <w:t>se</w:t>
      </w:r>
      <w:r>
        <w:rPr>
          <w:spacing w:val="-2"/>
          <w:w w:val="105"/>
          <w:sz w:val="15"/>
        </w:rPr>
        <w:t xml:space="preserve"> </w:t>
      </w:r>
      <w:r>
        <w:rPr>
          <w:w w:val="105"/>
          <w:sz w:val="15"/>
        </w:rPr>
        <w:t>abordan</w:t>
      </w:r>
      <w:r>
        <w:rPr>
          <w:spacing w:val="-2"/>
          <w:w w:val="105"/>
          <w:sz w:val="15"/>
        </w:rPr>
        <w:t xml:space="preserve"> </w:t>
      </w:r>
      <w:r>
        <w:rPr>
          <w:w w:val="105"/>
          <w:sz w:val="15"/>
        </w:rPr>
        <w:t>las</w:t>
      </w:r>
      <w:r>
        <w:rPr>
          <w:spacing w:val="-2"/>
          <w:w w:val="105"/>
          <w:sz w:val="15"/>
        </w:rPr>
        <w:t xml:space="preserve"> </w:t>
      </w:r>
      <w:r>
        <w:rPr>
          <w:w w:val="105"/>
          <w:sz w:val="15"/>
        </w:rPr>
        <w:t>cuestiones</w:t>
      </w:r>
      <w:r>
        <w:rPr>
          <w:spacing w:val="-2"/>
          <w:w w:val="105"/>
          <w:sz w:val="15"/>
        </w:rPr>
        <w:t xml:space="preserve"> </w:t>
      </w:r>
      <w:r>
        <w:rPr>
          <w:w w:val="105"/>
          <w:sz w:val="15"/>
        </w:rPr>
        <w:t>relacionadas</w:t>
      </w:r>
      <w:r>
        <w:rPr>
          <w:spacing w:val="-2"/>
          <w:w w:val="105"/>
          <w:sz w:val="15"/>
        </w:rPr>
        <w:t xml:space="preserve"> </w:t>
      </w:r>
      <w:r>
        <w:rPr>
          <w:w w:val="105"/>
          <w:sz w:val="15"/>
        </w:rPr>
        <w:t>con</w:t>
      </w:r>
      <w:r>
        <w:rPr>
          <w:spacing w:val="-2"/>
          <w:w w:val="105"/>
          <w:sz w:val="15"/>
        </w:rPr>
        <w:t xml:space="preserve"> </w:t>
      </w:r>
      <w:r>
        <w:rPr>
          <w:w w:val="105"/>
          <w:sz w:val="15"/>
        </w:rPr>
        <w:t>la</w:t>
      </w:r>
      <w:r>
        <w:rPr>
          <w:spacing w:val="-2"/>
          <w:w w:val="105"/>
          <w:sz w:val="15"/>
        </w:rPr>
        <w:t xml:space="preserve"> </w:t>
      </w:r>
      <w:r>
        <w:rPr>
          <w:w w:val="105"/>
          <w:sz w:val="15"/>
        </w:rPr>
        <w:t>incitación</w:t>
      </w:r>
      <w:r>
        <w:rPr>
          <w:spacing w:val="-2"/>
          <w:w w:val="105"/>
          <w:sz w:val="15"/>
        </w:rPr>
        <w:t xml:space="preserve"> </w:t>
      </w:r>
      <w:r>
        <w:rPr>
          <w:w w:val="105"/>
          <w:sz w:val="15"/>
        </w:rPr>
        <w:t>a</w:t>
      </w:r>
      <w:r>
        <w:rPr>
          <w:spacing w:val="-2"/>
          <w:w w:val="105"/>
          <w:sz w:val="15"/>
        </w:rPr>
        <w:t xml:space="preserve"> </w:t>
      </w:r>
      <w:r>
        <w:rPr>
          <w:w w:val="105"/>
          <w:sz w:val="15"/>
        </w:rPr>
        <w:t>la</w:t>
      </w:r>
      <w:r>
        <w:rPr>
          <w:spacing w:val="-2"/>
          <w:w w:val="105"/>
          <w:sz w:val="15"/>
        </w:rPr>
        <w:t xml:space="preserve"> </w:t>
      </w:r>
      <w:r>
        <w:rPr>
          <w:w w:val="105"/>
          <w:sz w:val="15"/>
        </w:rPr>
        <w:t>discriminación, que</w:t>
      </w:r>
      <w:r>
        <w:rPr>
          <w:spacing w:val="-2"/>
          <w:w w:val="105"/>
          <w:sz w:val="15"/>
        </w:rPr>
        <w:t xml:space="preserve"> </w:t>
      </w:r>
      <w:r>
        <w:rPr>
          <w:w w:val="105"/>
          <w:sz w:val="15"/>
        </w:rPr>
        <w:t>tampoco</w:t>
      </w:r>
      <w:r>
        <w:rPr>
          <w:spacing w:val="-2"/>
          <w:w w:val="105"/>
          <w:sz w:val="15"/>
        </w:rPr>
        <w:t xml:space="preserve"> </w:t>
      </w:r>
      <w:r>
        <w:rPr>
          <w:w w:val="105"/>
          <w:sz w:val="15"/>
        </w:rPr>
        <w:t>puede</w:t>
      </w:r>
      <w:r>
        <w:rPr>
          <w:spacing w:val="-2"/>
          <w:w w:val="105"/>
          <w:sz w:val="15"/>
        </w:rPr>
        <w:t xml:space="preserve"> </w:t>
      </w:r>
      <w:r>
        <w:rPr>
          <w:w w:val="105"/>
          <w:sz w:val="15"/>
        </w:rPr>
        <w:t>justificarse.</w:t>
      </w:r>
      <w:r>
        <w:rPr>
          <w:spacing w:val="-1"/>
          <w:w w:val="105"/>
          <w:sz w:val="15"/>
        </w:rPr>
        <w:t xml:space="preserve"> </w:t>
      </w:r>
      <w:r>
        <w:rPr>
          <w:w w:val="105"/>
          <w:sz w:val="15"/>
        </w:rPr>
        <w:t>Como se explica con más detalle a continuación, en virtud de la Convención sobre los Derechos de las Personas con Discapacidad, el Comité</w:t>
      </w:r>
      <w:r>
        <w:rPr>
          <w:spacing w:val="-1"/>
          <w:w w:val="105"/>
          <w:sz w:val="15"/>
        </w:rPr>
        <w:t xml:space="preserve"> </w:t>
      </w:r>
      <w:r>
        <w:rPr>
          <w:w w:val="105"/>
          <w:sz w:val="15"/>
        </w:rPr>
        <w:t>respectivo</w:t>
      </w:r>
      <w:r>
        <w:rPr>
          <w:spacing w:val="-1"/>
          <w:w w:val="105"/>
          <w:sz w:val="15"/>
        </w:rPr>
        <w:t xml:space="preserve"> </w:t>
      </w:r>
      <w:r>
        <w:rPr>
          <w:w w:val="105"/>
          <w:sz w:val="15"/>
        </w:rPr>
        <w:t>ha</w:t>
      </w:r>
      <w:r>
        <w:rPr>
          <w:spacing w:val="-1"/>
          <w:w w:val="105"/>
          <w:sz w:val="15"/>
        </w:rPr>
        <w:t xml:space="preserve"> </w:t>
      </w:r>
      <w:r>
        <w:rPr>
          <w:w w:val="105"/>
          <w:sz w:val="15"/>
        </w:rPr>
        <w:t>establecido</w:t>
      </w:r>
      <w:r>
        <w:rPr>
          <w:spacing w:val="-1"/>
          <w:w w:val="105"/>
          <w:sz w:val="15"/>
        </w:rPr>
        <w:t xml:space="preserve"> </w:t>
      </w:r>
      <w:r>
        <w:rPr>
          <w:w w:val="105"/>
          <w:sz w:val="15"/>
        </w:rPr>
        <w:t>una</w:t>
      </w:r>
      <w:r>
        <w:rPr>
          <w:spacing w:val="-1"/>
          <w:w w:val="105"/>
          <w:sz w:val="15"/>
        </w:rPr>
        <w:t xml:space="preserve"> </w:t>
      </w:r>
      <w:r>
        <w:rPr>
          <w:w w:val="105"/>
          <w:sz w:val="15"/>
        </w:rPr>
        <w:t>prueba</w:t>
      </w:r>
      <w:r>
        <w:rPr>
          <w:spacing w:val="-1"/>
          <w:w w:val="105"/>
          <w:sz w:val="15"/>
        </w:rPr>
        <w:t xml:space="preserve"> </w:t>
      </w:r>
      <w:r>
        <w:rPr>
          <w:w w:val="105"/>
          <w:sz w:val="15"/>
        </w:rPr>
        <w:t>específica</w:t>
      </w:r>
      <w:r>
        <w:rPr>
          <w:spacing w:val="-1"/>
          <w:w w:val="105"/>
          <w:sz w:val="15"/>
        </w:rPr>
        <w:t xml:space="preserve"> </w:t>
      </w:r>
      <w:r>
        <w:rPr>
          <w:w w:val="105"/>
          <w:sz w:val="15"/>
        </w:rPr>
        <w:t>que</w:t>
      </w:r>
      <w:r>
        <w:rPr>
          <w:spacing w:val="-1"/>
          <w:w w:val="105"/>
          <w:sz w:val="15"/>
        </w:rPr>
        <w:t xml:space="preserve"> </w:t>
      </w:r>
      <w:r>
        <w:rPr>
          <w:w w:val="105"/>
          <w:sz w:val="15"/>
        </w:rPr>
        <w:t>se</w:t>
      </w:r>
      <w:r>
        <w:rPr>
          <w:spacing w:val="-1"/>
          <w:w w:val="105"/>
          <w:sz w:val="15"/>
        </w:rPr>
        <w:t xml:space="preserve"> </w:t>
      </w:r>
      <w:r>
        <w:rPr>
          <w:w w:val="105"/>
          <w:sz w:val="15"/>
        </w:rPr>
        <w:t>aplicará</w:t>
      </w:r>
      <w:r>
        <w:rPr>
          <w:spacing w:val="-1"/>
          <w:w w:val="105"/>
          <w:sz w:val="15"/>
        </w:rPr>
        <w:t xml:space="preserve"> </w:t>
      </w:r>
      <w:r>
        <w:rPr>
          <w:w w:val="105"/>
          <w:sz w:val="15"/>
        </w:rPr>
        <w:t>en</w:t>
      </w:r>
      <w:r>
        <w:rPr>
          <w:spacing w:val="-1"/>
          <w:w w:val="105"/>
          <w:sz w:val="15"/>
        </w:rPr>
        <w:t xml:space="preserve"> </w:t>
      </w:r>
      <w:r>
        <w:rPr>
          <w:w w:val="105"/>
          <w:sz w:val="15"/>
        </w:rPr>
        <w:t>los</w:t>
      </w:r>
      <w:r>
        <w:rPr>
          <w:spacing w:val="-1"/>
          <w:w w:val="105"/>
          <w:sz w:val="15"/>
        </w:rPr>
        <w:t xml:space="preserve"> </w:t>
      </w:r>
      <w:r>
        <w:rPr>
          <w:w w:val="105"/>
          <w:sz w:val="15"/>
        </w:rPr>
        <w:t>casos</w:t>
      </w:r>
      <w:r>
        <w:rPr>
          <w:spacing w:val="-1"/>
          <w:w w:val="105"/>
          <w:sz w:val="15"/>
        </w:rPr>
        <w:t xml:space="preserve"> </w:t>
      </w:r>
      <w:r>
        <w:rPr>
          <w:w w:val="105"/>
          <w:sz w:val="15"/>
        </w:rPr>
        <w:t>relacionados</w:t>
      </w:r>
      <w:r>
        <w:rPr>
          <w:spacing w:val="-1"/>
          <w:w w:val="105"/>
          <w:sz w:val="15"/>
        </w:rPr>
        <w:t xml:space="preserve"> </w:t>
      </w:r>
      <w:r>
        <w:rPr>
          <w:w w:val="105"/>
          <w:sz w:val="15"/>
        </w:rPr>
        <w:t>con</w:t>
      </w:r>
      <w:r>
        <w:rPr>
          <w:spacing w:val="-1"/>
          <w:w w:val="105"/>
          <w:sz w:val="15"/>
        </w:rPr>
        <w:t xml:space="preserve"> </w:t>
      </w:r>
      <w:r>
        <w:rPr>
          <w:w w:val="105"/>
          <w:sz w:val="15"/>
        </w:rPr>
        <w:t>la</w:t>
      </w:r>
      <w:r>
        <w:rPr>
          <w:spacing w:val="-1"/>
          <w:w w:val="105"/>
          <w:sz w:val="15"/>
        </w:rPr>
        <w:t xml:space="preserve"> </w:t>
      </w:r>
      <w:r>
        <w:rPr>
          <w:w w:val="105"/>
          <w:sz w:val="15"/>
        </w:rPr>
        <w:t>provisión</w:t>
      </w:r>
      <w:r>
        <w:rPr>
          <w:spacing w:val="-1"/>
          <w:w w:val="105"/>
          <w:sz w:val="15"/>
        </w:rPr>
        <w:t xml:space="preserve"> </w:t>
      </w:r>
      <w:r>
        <w:rPr>
          <w:w w:val="105"/>
          <w:sz w:val="15"/>
        </w:rPr>
        <w:t>(o</w:t>
      </w:r>
      <w:r>
        <w:rPr>
          <w:spacing w:val="-1"/>
          <w:w w:val="105"/>
          <w:sz w:val="15"/>
        </w:rPr>
        <w:t xml:space="preserve"> </w:t>
      </w:r>
      <w:r>
        <w:rPr>
          <w:w w:val="105"/>
          <w:sz w:val="15"/>
        </w:rPr>
        <w:t>denegación) de ajustes razonables.</w:t>
      </w:r>
    </w:p>
    <w:p w14:paraId="5B8FA306" w14:textId="77777777" w:rsidR="0014798C" w:rsidRDefault="0014798C">
      <w:pPr>
        <w:pStyle w:val="Textoindependiente"/>
        <w:rPr>
          <w:sz w:val="15"/>
        </w:rPr>
      </w:pPr>
    </w:p>
    <w:p w14:paraId="306E015C" w14:textId="77777777" w:rsidR="0014798C" w:rsidRDefault="0014798C">
      <w:pPr>
        <w:pStyle w:val="Textoindependiente"/>
        <w:spacing w:before="121"/>
        <w:rPr>
          <w:sz w:val="15"/>
        </w:rPr>
      </w:pPr>
    </w:p>
    <w:p w14:paraId="0736FAA5" w14:textId="77777777" w:rsidR="0014798C" w:rsidRDefault="004E1F0B">
      <w:pPr>
        <w:spacing w:before="1" w:line="348" w:lineRule="auto"/>
        <w:ind w:left="1331" w:right="4743" w:hanging="4"/>
        <w:rPr>
          <w:sz w:val="15"/>
        </w:rPr>
      </w:pPr>
      <w:r>
        <w:rPr>
          <w:noProof/>
        </w:rPr>
        <w:drawing>
          <wp:anchor distT="0" distB="0" distL="0" distR="0" simplePos="0" relativeHeight="251658399" behindDoc="1" locked="0" layoutInCell="1" allowOverlap="1" wp14:anchorId="5FA11856" wp14:editId="422F7741">
            <wp:simplePos x="0" y="0"/>
            <wp:positionH relativeFrom="page">
              <wp:posOffset>813154</wp:posOffset>
            </wp:positionH>
            <wp:positionV relativeFrom="paragraph">
              <wp:posOffset>-185776</wp:posOffset>
            </wp:positionV>
            <wp:extent cx="6743345" cy="5648144"/>
            <wp:effectExtent l="0" t="0" r="0" b="0"/>
            <wp:wrapNone/>
            <wp:docPr id="144" name="Image 14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44" name="Image 144"/>
                    <pic:cNvPicPr/>
                  </pic:nvPicPr>
                  <pic:blipFill>
                    <a:blip r:embed="rId136" cstate="print"/>
                    <a:stretch>
                      <a:fillRect/>
                    </a:stretch>
                  </pic:blipFill>
                  <pic:spPr>
                    <a:xfrm>
                      <a:off x="0" y="0"/>
                      <a:ext cx="6743345" cy="5648144"/>
                    </a:xfrm>
                    <a:prstGeom prst="rect">
                      <a:avLst/>
                    </a:prstGeom>
                  </pic:spPr>
                </pic:pic>
              </a:graphicData>
            </a:graphic>
          </wp:anchor>
        </w:drawing>
      </w:r>
      <w:r>
        <w:rPr>
          <w:w w:val="105"/>
          <w:sz w:val="15"/>
        </w:rPr>
        <w:t>JUSTIFICACIÓN</w:t>
      </w:r>
      <w:r>
        <w:rPr>
          <w:spacing w:val="-10"/>
          <w:w w:val="105"/>
          <w:sz w:val="15"/>
        </w:rPr>
        <w:t xml:space="preserve"> </w:t>
      </w:r>
      <w:r>
        <w:rPr>
          <w:w w:val="105"/>
          <w:sz w:val="15"/>
        </w:rPr>
        <w:t>Y</w:t>
      </w:r>
      <w:r>
        <w:rPr>
          <w:spacing w:val="-9"/>
          <w:w w:val="105"/>
          <w:sz w:val="15"/>
        </w:rPr>
        <w:t xml:space="preserve"> </w:t>
      </w:r>
      <w:r>
        <w:rPr>
          <w:w w:val="105"/>
          <w:sz w:val="15"/>
        </w:rPr>
        <w:t>AJUSTES</w:t>
      </w:r>
      <w:r>
        <w:rPr>
          <w:spacing w:val="-8"/>
          <w:w w:val="105"/>
          <w:sz w:val="15"/>
        </w:rPr>
        <w:t xml:space="preserve"> </w:t>
      </w:r>
      <w:r>
        <w:rPr>
          <w:w w:val="105"/>
          <w:sz w:val="15"/>
        </w:rPr>
        <w:t>RAZONABLES</w:t>
      </w:r>
      <w:r>
        <w:rPr>
          <w:spacing w:val="-8"/>
          <w:w w:val="105"/>
          <w:sz w:val="15"/>
        </w:rPr>
        <w:t xml:space="preserve"> </w:t>
      </w:r>
      <w:r>
        <w:rPr>
          <w:w w:val="105"/>
          <w:sz w:val="15"/>
        </w:rPr>
        <w:t>BAJO</w:t>
      </w:r>
      <w:r>
        <w:rPr>
          <w:spacing w:val="-9"/>
          <w:w w:val="105"/>
          <w:sz w:val="15"/>
        </w:rPr>
        <w:t xml:space="preserve"> </w:t>
      </w:r>
      <w:r>
        <w:rPr>
          <w:w w:val="105"/>
          <w:sz w:val="15"/>
        </w:rPr>
        <w:t>LA</w:t>
      </w:r>
      <w:r>
        <w:rPr>
          <w:spacing w:val="-9"/>
          <w:w w:val="105"/>
          <w:sz w:val="15"/>
        </w:rPr>
        <w:t xml:space="preserve"> </w:t>
      </w:r>
      <w:r>
        <w:rPr>
          <w:w w:val="105"/>
          <w:sz w:val="15"/>
        </w:rPr>
        <w:t>CONVENCIÓN</w:t>
      </w:r>
      <w:r>
        <w:rPr>
          <w:spacing w:val="-9"/>
          <w:w w:val="105"/>
          <w:sz w:val="15"/>
        </w:rPr>
        <w:t xml:space="preserve"> </w:t>
      </w:r>
      <w:r>
        <w:rPr>
          <w:w w:val="105"/>
          <w:sz w:val="15"/>
        </w:rPr>
        <w:t>SOBRE LOS DERECHOS DE LAS PERSONAS CON DISCAPACIDAD</w:t>
      </w:r>
    </w:p>
    <w:p w14:paraId="633A45B6" w14:textId="77777777" w:rsidR="0014798C" w:rsidRDefault="004E1F0B">
      <w:pPr>
        <w:spacing w:before="153" w:line="348" w:lineRule="auto"/>
        <w:ind w:left="1334" w:right="1400" w:hanging="2"/>
        <w:rPr>
          <w:sz w:val="15"/>
        </w:rPr>
      </w:pPr>
      <w:r>
        <w:rPr>
          <w:noProof/>
        </w:rPr>
        <mc:AlternateContent>
          <mc:Choice Requires="wps">
            <w:drawing>
              <wp:anchor distT="0" distB="0" distL="0" distR="0" simplePos="0" relativeHeight="251658267" behindDoc="0" locked="0" layoutInCell="1" allowOverlap="1" wp14:anchorId="31FED48D" wp14:editId="182CFA32">
                <wp:simplePos x="0" y="0"/>
                <wp:positionH relativeFrom="page">
                  <wp:posOffset>7313138</wp:posOffset>
                </wp:positionH>
                <wp:positionV relativeFrom="paragraph">
                  <wp:posOffset>111280</wp:posOffset>
                </wp:positionV>
                <wp:extent cx="83820" cy="281940"/>
                <wp:effectExtent l="0" t="0" r="0" b="0"/>
                <wp:wrapNone/>
                <wp:docPr id="145" name="Textbox 14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83820" cy="281940"/>
                        </a:xfrm>
                        <a:prstGeom prst="rect">
                          <a:avLst/>
                        </a:prstGeom>
                      </wps:spPr>
                      <wps:txbx>
                        <w:txbxContent>
                          <w:p w14:paraId="041EB663" w14:textId="77777777" w:rsidR="0014798C" w:rsidRDefault="004E1F0B">
                            <w:pPr>
                              <w:spacing w:before="19"/>
                              <w:ind w:left="20"/>
                              <w:rPr>
                                <w:sz w:val="8"/>
                              </w:rPr>
                            </w:pPr>
                            <w:r>
                              <w:rPr>
                                <w:color w:val="FFFFFF"/>
                                <w:spacing w:val="-24"/>
                                <w:sz w:val="8"/>
                              </w:rPr>
                              <w:t>I–P</w:t>
                            </w:r>
                            <w:r>
                              <w:rPr>
                                <w:spacing w:val="-24"/>
                                <w:sz w:val="8"/>
                              </w:rPr>
                              <w:t>S</w:t>
                            </w:r>
                            <w:r>
                              <w:rPr>
                                <w:color w:val="FFFFFF"/>
                                <w:spacing w:val="-24"/>
                                <w:sz w:val="8"/>
                              </w:rPr>
                              <w:t>A</w:t>
                            </w:r>
                            <w:r>
                              <w:rPr>
                                <w:spacing w:val="-24"/>
                                <w:sz w:val="8"/>
                              </w:rPr>
                              <w:t>E</w:t>
                            </w:r>
                            <w:r>
                              <w:rPr>
                                <w:color w:val="FFFFFF"/>
                                <w:spacing w:val="-24"/>
                                <w:sz w:val="8"/>
                              </w:rPr>
                              <w:t>R</w:t>
                            </w:r>
                            <w:r>
                              <w:rPr>
                                <w:spacing w:val="-24"/>
                                <w:sz w:val="8"/>
                              </w:rPr>
                              <w:t>G</w:t>
                            </w:r>
                            <w:r>
                              <w:rPr>
                                <w:color w:val="FFFFFF"/>
                                <w:spacing w:val="-24"/>
                                <w:sz w:val="8"/>
                              </w:rPr>
                              <w:t>T</w:t>
                            </w:r>
                            <w:r>
                              <w:rPr>
                                <w:spacing w:val="-24"/>
                                <w:sz w:val="8"/>
                              </w:rPr>
                              <w:t>U</w:t>
                            </w:r>
                            <w:r>
                              <w:rPr>
                                <w:color w:val="FFFFFF"/>
                                <w:spacing w:val="-24"/>
                                <w:sz w:val="8"/>
                              </w:rPr>
                              <w:t>E</w:t>
                            </w:r>
                            <w:r>
                              <w:rPr>
                                <w:spacing w:val="-24"/>
                                <w:sz w:val="8"/>
                              </w:rPr>
                              <w:t>NDA</w:t>
                            </w:r>
                          </w:p>
                        </w:txbxContent>
                      </wps:txbx>
                      <wps:bodyPr vert="vert270" wrap="square" lIns="0" tIns="0" rIns="0" bIns="0" rtlCol="0">
                        <a:noAutofit/>
                      </wps:bodyPr>
                    </wps:wsp>
                  </a:graphicData>
                </a:graphic>
              </wp:anchor>
            </w:drawing>
          </mc:Choice>
          <mc:Fallback>
            <w:pict>
              <v:shape w14:anchorId="31FED48D" id="Textbox 145" o:spid="_x0000_s1084" type="#_x0000_t202" style="position:absolute;left:0;text-align:left;margin-left:575.85pt;margin-top:8.75pt;width:6.6pt;height:22.2pt;z-index:251658267;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" filled="f" stroked="f">
                <v:textbox style="layout-flow:vertical;mso-layout-flow-alt:bottom-to-top" inset="0,0,0,0">
                  <w:txbxContent>
                    <w:p w14:paraId="041EB663" w14:textId="77777777" w:rsidR="0014798C" w:rsidRDefault="004E1F0B">
                      <w:pPr>
                        <w:spacing w:before="19"/>
                        <w:ind w:left="20"/>
                        <w:rPr>
                          <w:sz w:val="8"/>
                        </w:rPr>
                      </w:pPr>
                      <w:r>
                        <w:rPr>
                          <w:color w:val="FFFFFF"/>
                          <w:spacing w:val="-24"/>
                          <w:sz w:val="8"/>
                        </w:rPr>
                        <w:t>I–P</w:t>
                      </w:r>
                      <w:r>
                        <w:rPr>
                          <w:spacing w:val="-24"/>
                          <w:sz w:val="8"/>
                        </w:rPr>
                        <w:t>S</w:t>
                      </w:r>
                      <w:r>
                        <w:rPr>
                          <w:color w:val="FFFFFF"/>
                          <w:spacing w:val="-24"/>
                          <w:sz w:val="8"/>
                        </w:rPr>
                        <w:t>A</w:t>
                      </w:r>
                      <w:r>
                        <w:rPr>
                          <w:spacing w:val="-24"/>
                          <w:sz w:val="8"/>
                        </w:rPr>
                        <w:t>E</w:t>
                      </w:r>
                      <w:r>
                        <w:rPr>
                          <w:color w:val="FFFFFF"/>
                          <w:spacing w:val="-24"/>
                          <w:sz w:val="8"/>
                        </w:rPr>
                        <w:t>R</w:t>
                      </w:r>
                      <w:r>
                        <w:rPr>
                          <w:spacing w:val="-24"/>
                          <w:sz w:val="8"/>
                        </w:rPr>
                        <w:t>G</w:t>
                      </w:r>
                      <w:r>
                        <w:rPr>
                          <w:color w:val="FFFFFF"/>
                          <w:spacing w:val="-24"/>
                          <w:sz w:val="8"/>
                        </w:rPr>
                        <w:t>T</w:t>
                      </w:r>
                      <w:r>
                        <w:rPr>
                          <w:spacing w:val="-24"/>
                          <w:sz w:val="8"/>
                        </w:rPr>
                        <w:t>U</w:t>
                      </w:r>
                      <w:r>
                        <w:rPr>
                          <w:color w:val="FFFFFF"/>
                          <w:spacing w:val="-24"/>
                          <w:sz w:val="8"/>
                        </w:rPr>
                        <w:t>E</w:t>
                      </w:r>
                      <w:r>
                        <w:rPr>
                          <w:spacing w:val="-24"/>
                          <w:sz w:val="8"/>
                        </w:rPr>
                        <w:t>NDA</w:t>
                      </w:r>
                    </w:p>
                  </w:txbxContent>
                </v:textbox>
                <w10:wrap anchorx="page"/>
              </v:shape>
            </w:pict>
          </mc:Fallback>
        </mc:AlternateContent>
      </w:r>
      <w:r>
        <w:rPr>
          <w:w w:val="105"/>
          <w:sz w:val="15"/>
        </w:rPr>
        <w:t>El Comité sobre los Derechos de las Personas con Discapacidad ha brindado orientación detallada sobre la prueba de justificación</w:t>
      </w:r>
      <w:r>
        <w:rPr>
          <w:spacing w:val="-5"/>
          <w:w w:val="105"/>
          <w:sz w:val="15"/>
        </w:rPr>
        <w:t xml:space="preserve"> </w:t>
      </w:r>
      <w:r>
        <w:rPr>
          <w:w w:val="105"/>
          <w:sz w:val="15"/>
        </w:rPr>
        <w:t>que</w:t>
      </w:r>
      <w:r>
        <w:rPr>
          <w:spacing w:val="-5"/>
          <w:w w:val="105"/>
          <w:sz w:val="15"/>
        </w:rPr>
        <w:t xml:space="preserve"> </w:t>
      </w:r>
      <w:r>
        <w:rPr>
          <w:w w:val="105"/>
          <w:sz w:val="15"/>
        </w:rPr>
        <w:t>debe</w:t>
      </w:r>
      <w:r>
        <w:rPr>
          <w:spacing w:val="-5"/>
          <w:w w:val="105"/>
          <w:sz w:val="15"/>
        </w:rPr>
        <w:t xml:space="preserve"> </w:t>
      </w:r>
      <w:r>
        <w:rPr>
          <w:w w:val="105"/>
          <w:sz w:val="15"/>
        </w:rPr>
        <w:t>aplicarse</w:t>
      </w:r>
      <w:r>
        <w:rPr>
          <w:spacing w:val="-5"/>
          <w:w w:val="105"/>
          <w:sz w:val="15"/>
        </w:rPr>
        <w:t xml:space="preserve"> </w:t>
      </w:r>
      <w:r>
        <w:rPr>
          <w:w w:val="105"/>
          <w:sz w:val="15"/>
        </w:rPr>
        <w:t>en</w:t>
      </w:r>
      <w:r>
        <w:rPr>
          <w:spacing w:val="-5"/>
          <w:w w:val="105"/>
          <w:sz w:val="15"/>
        </w:rPr>
        <w:t xml:space="preserve"> </w:t>
      </w:r>
      <w:r>
        <w:rPr>
          <w:w w:val="105"/>
          <w:sz w:val="15"/>
        </w:rPr>
        <w:t>casos</w:t>
      </w:r>
      <w:r>
        <w:rPr>
          <w:spacing w:val="-5"/>
          <w:w w:val="105"/>
          <w:sz w:val="15"/>
        </w:rPr>
        <w:t xml:space="preserve"> </w:t>
      </w:r>
      <w:r>
        <w:rPr>
          <w:w w:val="105"/>
          <w:sz w:val="15"/>
        </w:rPr>
        <w:t>relacionados</w:t>
      </w:r>
      <w:r>
        <w:rPr>
          <w:spacing w:val="-5"/>
          <w:w w:val="105"/>
          <w:sz w:val="15"/>
        </w:rPr>
        <w:t xml:space="preserve"> </w:t>
      </w:r>
      <w:r>
        <w:rPr>
          <w:w w:val="105"/>
          <w:sz w:val="15"/>
        </w:rPr>
        <w:t>con</w:t>
      </w:r>
      <w:r>
        <w:rPr>
          <w:spacing w:val="-5"/>
          <w:w w:val="105"/>
          <w:sz w:val="15"/>
        </w:rPr>
        <w:t xml:space="preserve"> </w:t>
      </w:r>
      <w:r>
        <w:rPr>
          <w:w w:val="105"/>
          <w:sz w:val="15"/>
        </w:rPr>
        <w:t>ajustes</w:t>
      </w:r>
      <w:r>
        <w:rPr>
          <w:spacing w:val="-5"/>
          <w:w w:val="105"/>
          <w:sz w:val="15"/>
        </w:rPr>
        <w:t xml:space="preserve"> </w:t>
      </w:r>
      <w:r>
        <w:rPr>
          <w:w w:val="105"/>
          <w:sz w:val="15"/>
        </w:rPr>
        <w:t>razonables.405</w:t>
      </w:r>
      <w:r>
        <w:rPr>
          <w:spacing w:val="-5"/>
          <w:w w:val="105"/>
          <w:sz w:val="15"/>
        </w:rPr>
        <w:t xml:space="preserve"> </w:t>
      </w:r>
      <w:r>
        <w:rPr>
          <w:w w:val="105"/>
          <w:sz w:val="15"/>
        </w:rPr>
        <w:t>El</w:t>
      </w:r>
      <w:r>
        <w:rPr>
          <w:spacing w:val="-5"/>
          <w:w w:val="105"/>
          <w:sz w:val="15"/>
        </w:rPr>
        <w:t xml:space="preserve"> </w:t>
      </w:r>
      <w:r>
        <w:rPr>
          <w:w w:val="105"/>
          <w:sz w:val="15"/>
        </w:rPr>
        <w:t>término</w:t>
      </w:r>
      <w:r>
        <w:rPr>
          <w:spacing w:val="-5"/>
          <w:w w:val="105"/>
          <w:sz w:val="15"/>
        </w:rPr>
        <w:t xml:space="preserve"> </w:t>
      </w:r>
      <w:r>
        <w:rPr>
          <w:w w:val="105"/>
          <w:sz w:val="15"/>
        </w:rPr>
        <w:t>“razonable”,</w:t>
      </w:r>
      <w:r>
        <w:rPr>
          <w:spacing w:val="-4"/>
          <w:w w:val="105"/>
          <w:sz w:val="15"/>
        </w:rPr>
        <w:t xml:space="preserve"> </w:t>
      </w:r>
      <w:r>
        <w:rPr>
          <w:w w:val="105"/>
          <w:sz w:val="15"/>
        </w:rPr>
        <w:t>según</w:t>
      </w:r>
      <w:r>
        <w:rPr>
          <w:spacing w:val="-5"/>
          <w:w w:val="105"/>
          <w:sz w:val="15"/>
        </w:rPr>
        <w:t xml:space="preserve"> </w:t>
      </w:r>
      <w:r>
        <w:rPr>
          <w:w w:val="105"/>
          <w:sz w:val="15"/>
        </w:rPr>
        <w:t>el</w:t>
      </w:r>
      <w:r>
        <w:rPr>
          <w:spacing w:val="-5"/>
          <w:w w:val="105"/>
          <w:sz w:val="15"/>
        </w:rPr>
        <w:t xml:space="preserve"> </w:t>
      </w:r>
      <w:r>
        <w:rPr>
          <w:w w:val="105"/>
          <w:sz w:val="15"/>
        </w:rPr>
        <w:t>Comité,</w:t>
      </w:r>
      <w:r>
        <w:rPr>
          <w:spacing w:val="-4"/>
          <w:w w:val="105"/>
          <w:sz w:val="15"/>
        </w:rPr>
        <w:t xml:space="preserve"> </w:t>
      </w:r>
      <w:r>
        <w:rPr>
          <w:w w:val="105"/>
          <w:sz w:val="15"/>
        </w:rPr>
        <w:t>no está vinculado al deber de proporcionar ajustes, sino más bien se relaciona con la “pertinencia, idoneidad y eficacia” de una adaptación.406 Dicho de otra manera, el concepto de “razonabilidad” implica una evaluación de si una medida cumple (o es capaz de cumplir) su propósito previsto de garantizar la participación igualitaria.407</w:t>
      </w:r>
    </w:p>
    <w:p w14:paraId="4D9132AE" w14:textId="77777777" w:rsidR="0014798C" w:rsidRDefault="0014798C">
      <w:pPr>
        <w:pStyle w:val="Textoindependiente"/>
        <w:rPr>
          <w:sz w:val="15"/>
        </w:rPr>
      </w:pPr>
    </w:p>
    <w:p w14:paraId="565215B3" w14:textId="77777777" w:rsidR="0014798C" w:rsidRDefault="0014798C">
      <w:pPr>
        <w:pStyle w:val="Textoindependiente"/>
        <w:spacing w:before="16"/>
        <w:rPr>
          <w:sz w:val="15"/>
        </w:rPr>
      </w:pPr>
    </w:p>
    <w:p w14:paraId="261761B9" w14:textId="77777777" w:rsidR="0014798C" w:rsidRDefault="004E1F0B">
      <w:pPr>
        <w:spacing w:line="348" w:lineRule="auto"/>
        <w:ind w:left="1329" w:right="1479" w:firstLine="2"/>
        <w:rPr>
          <w:sz w:val="15"/>
        </w:rPr>
      </w:pPr>
      <w:r>
        <w:rPr>
          <w:w w:val="105"/>
          <w:sz w:val="15"/>
        </w:rPr>
        <w:t>Un</w:t>
      </w:r>
      <w:r>
        <w:rPr>
          <w:spacing w:val="-4"/>
          <w:w w:val="105"/>
          <w:sz w:val="15"/>
        </w:rPr>
        <w:t xml:space="preserve"> </w:t>
      </w:r>
      <w:r>
        <w:rPr>
          <w:w w:val="105"/>
          <w:sz w:val="15"/>
        </w:rPr>
        <w:t>ajuste</w:t>
      </w:r>
      <w:r>
        <w:rPr>
          <w:spacing w:val="-4"/>
          <w:w w:val="105"/>
          <w:sz w:val="15"/>
        </w:rPr>
        <w:t xml:space="preserve"> </w:t>
      </w:r>
      <w:r>
        <w:rPr>
          <w:w w:val="105"/>
          <w:sz w:val="15"/>
        </w:rPr>
        <w:t>razonable</w:t>
      </w:r>
      <w:r>
        <w:rPr>
          <w:spacing w:val="-4"/>
          <w:w w:val="105"/>
          <w:sz w:val="15"/>
        </w:rPr>
        <w:t xml:space="preserve"> </w:t>
      </w:r>
      <w:r>
        <w:rPr>
          <w:w w:val="105"/>
          <w:sz w:val="15"/>
        </w:rPr>
        <w:t>no</w:t>
      </w:r>
      <w:r>
        <w:rPr>
          <w:spacing w:val="-4"/>
          <w:w w:val="105"/>
          <w:sz w:val="15"/>
        </w:rPr>
        <w:t xml:space="preserve"> </w:t>
      </w:r>
      <w:r>
        <w:rPr>
          <w:w w:val="105"/>
          <w:sz w:val="15"/>
        </w:rPr>
        <w:t>debe</w:t>
      </w:r>
      <w:r>
        <w:rPr>
          <w:spacing w:val="-4"/>
          <w:w w:val="105"/>
          <w:sz w:val="15"/>
        </w:rPr>
        <w:t xml:space="preserve"> </w:t>
      </w:r>
      <w:r>
        <w:rPr>
          <w:w w:val="105"/>
          <w:sz w:val="15"/>
        </w:rPr>
        <w:t>imponer</w:t>
      </w:r>
      <w:r>
        <w:rPr>
          <w:spacing w:val="-4"/>
          <w:w w:val="105"/>
          <w:sz w:val="15"/>
        </w:rPr>
        <w:t xml:space="preserve"> </w:t>
      </w:r>
      <w:r>
        <w:rPr>
          <w:w w:val="105"/>
          <w:sz w:val="15"/>
        </w:rPr>
        <w:t>una</w:t>
      </w:r>
      <w:r>
        <w:rPr>
          <w:spacing w:val="-4"/>
          <w:w w:val="105"/>
          <w:sz w:val="15"/>
        </w:rPr>
        <w:t xml:space="preserve"> </w:t>
      </w:r>
      <w:r>
        <w:rPr>
          <w:w w:val="105"/>
          <w:sz w:val="15"/>
        </w:rPr>
        <w:t>“carga</w:t>
      </w:r>
      <w:r>
        <w:rPr>
          <w:spacing w:val="-4"/>
          <w:w w:val="105"/>
          <w:sz w:val="15"/>
        </w:rPr>
        <w:t xml:space="preserve"> </w:t>
      </w:r>
      <w:r>
        <w:rPr>
          <w:w w:val="105"/>
          <w:sz w:val="15"/>
        </w:rPr>
        <w:t>desproporcionada</w:t>
      </w:r>
      <w:r>
        <w:rPr>
          <w:spacing w:val="-4"/>
          <w:w w:val="105"/>
          <w:sz w:val="15"/>
        </w:rPr>
        <w:t xml:space="preserve"> </w:t>
      </w:r>
      <w:r>
        <w:rPr>
          <w:w w:val="105"/>
          <w:sz w:val="15"/>
        </w:rPr>
        <w:t>o</w:t>
      </w:r>
      <w:r>
        <w:rPr>
          <w:spacing w:val="-4"/>
          <w:w w:val="105"/>
          <w:sz w:val="15"/>
        </w:rPr>
        <w:t xml:space="preserve"> </w:t>
      </w:r>
      <w:r>
        <w:rPr>
          <w:w w:val="105"/>
          <w:sz w:val="15"/>
        </w:rPr>
        <w:t>indebida”</w:t>
      </w:r>
      <w:r>
        <w:rPr>
          <w:spacing w:val="-4"/>
          <w:w w:val="105"/>
          <w:sz w:val="15"/>
        </w:rPr>
        <w:t xml:space="preserve"> </w:t>
      </w:r>
      <w:r>
        <w:rPr>
          <w:w w:val="105"/>
          <w:sz w:val="15"/>
        </w:rPr>
        <w:t>a</w:t>
      </w:r>
      <w:r>
        <w:rPr>
          <w:spacing w:val="-4"/>
          <w:w w:val="105"/>
          <w:sz w:val="15"/>
        </w:rPr>
        <w:t xml:space="preserve"> </w:t>
      </w:r>
      <w:r>
        <w:rPr>
          <w:w w:val="105"/>
          <w:sz w:val="15"/>
        </w:rPr>
        <w:t>la</w:t>
      </w:r>
      <w:r>
        <w:rPr>
          <w:spacing w:val="-4"/>
          <w:w w:val="105"/>
          <w:sz w:val="15"/>
        </w:rPr>
        <w:t xml:space="preserve"> </w:t>
      </w:r>
      <w:r>
        <w:rPr>
          <w:w w:val="105"/>
          <w:sz w:val="15"/>
        </w:rPr>
        <w:t>parte</w:t>
      </w:r>
      <w:r>
        <w:rPr>
          <w:spacing w:val="-4"/>
          <w:w w:val="105"/>
          <w:sz w:val="15"/>
        </w:rPr>
        <w:t xml:space="preserve"> </w:t>
      </w:r>
      <w:r>
        <w:rPr>
          <w:w w:val="105"/>
          <w:sz w:val="15"/>
        </w:rPr>
        <w:t>que</w:t>
      </w:r>
      <w:r>
        <w:rPr>
          <w:spacing w:val="-4"/>
          <w:w w:val="105"/>
          <w:sz w:val="15"/>
        </w:rPr>
        <w:t xml:space="preserve"> </w:t>
      </w:r>
      <w:r>
        <w:rPr>
          <w:w w:val="105"/>
          <w:sz w:val="15"/>
        </w:rPr>
        <w:t>lo</w:t>
      </w:r>
      <w:r>
        <w:rPr>
          <w:spacing w:val="-4"/>
          <w:w w:val="105"/>
          <w:sz w:val="15"/>
        </w:rPr>
        <w:t xml:space="preserve"> </w:t>
      </w:r>
      <w:r>
        <w:rPr>
          <w:w w:val="105"/>
          <w:sz w:val="15"/>
        </w:rPr>
        <w:t>acomoda.408</w:t>
      </w:r>
      <w:r>
        <w:rPr>
          <w:spacing w:val="-4"/>
          <w:w w:val="105"/>
          <w:sz w:val="15"/>
        </w:rPr>
        <w:t xml:space="preserve"> </w:t>
      </w:r>
      <w:r>
        <w:rPr>
          <w:w w:val="105"/>
          <w:sz w:val="15"/>
        </w:rPr>
        <w:t>La</w:t>
      </w:r>
      <w:r>
        <w:rPr>
          <w:spacing w:val="-4"/>
          <w:w w:val="105"/>
          <w:sz w:val="15"/>
        </w:rPr>
        <w:t xml:space="preserve"> </w:t>
      </w:r>
      <w:r>
        <w:rPr>
          <w:w w:val="105"/>
          <w:sz w:val="15"/>
        </w:rPr>
        <w:t>prueba</w:t>
      </w:r>
      <w:r>
        <w:rPr>
          <w:spacing w:val="-4"/>
          <w:w w:val="105"/>
          <w:sz w:val="15"/>
        </w:rPr>
        <w:t xml:space="preserve"> </w:t>
      </w:r>
      <w:r>
        <w:rPr>
          <w:w w:val="105"/>
          <w:sz w:val="15"/>
        </w:rPr>
        <w:t>de</w:t>
      </w:r>
      <w:r>
        <w:rPr>
          <w:spacing w:val="-4"/>
          <w:w w:val="105"/>
          <w:sz w:val="15"/>
        </w:rPr>
        <w:t xml:space="preserve"> </w:t>
      </w:r>
      <w:r>
        <w:rPr>
          <w:w w:val="105"/>
          <w:sz w:val="15"/>
        </w:rPr>
        <w:t>la “carga indebida” implica una evaluación de proporcionalidad, que busca equilibrar la conveniencia de garantizar el disfrute igualitario</w:t>
      </w:r>
      <w:r>
        <w:rPr>
          <w:spacing w:val="-1"/>
          <w:w w:val="105"/>
          <w:sz w:val="15"/>
        </w:rPr>
        <w:t xml:space="preserve"> </w:t>
      </w:r>
      <w:r>
        <w:rPr>
          <w:w w:val="105"/>
          <w:sz w:val="15"/>
        </w:rPr>
        <w:t>de</w:t>
      </w:r>
      <w:r>
        <w:rPr>
          <w:spacing w:val="-1"/>
          <w:w w:val="105"/>
          <w:sz w:val="15"/>
        </w:rPr>
        <w:t xml:space="preserve"> </w:t>
      </w:r>
      <w:r>
        <w:rPr>
          <w:w w:val="105"/>
          <w:sz w:val="15"/>
        </w:rPr>
        <w:t>un</w:t>
      </w:r>
      <w:r>
        <w:rPr>
          <w:spacing w:val="-1"/>
          <w:w w:val="105"/>
          <w:sz w:val="15"/>
        </w:rPr>
        <w:t xml:space="preserve"> </w:t>
      </w:r>
      <w:r>
        <w:rPr>
          <w:w w:val="105"/>
          <w:sz w:val="15"/>
        </w:rPr>
        <w:t>derecho</w:t>
      </w:r>
      <w:r>
        <w:rPr>
          <w:spacing w:val="-1"/>
          <w:w w:val="105"/>
          <w:sz w:val="15"/>
        </w:rPr>
        <w:t xml:space="preserve"> </w:t>
      </w:r>
      <w:r>
        <w:rPr>
          <w:w w:val="105"/>
          <w:sz w:val="15"/>
        </w:rPr>
        <w:t>(por</w:t>
      </w:r>
      <w:r>
        <w:rPr>
          <w:spacing w:val="-1"/>
          <w:w w:val="105"/>
          <w:sz w:val="15"/>
        </w:rPr>
        <w:t xml:space="preserve"> </w:t>
      </w:r>
      <w:r>
        <w:rPr>
          <w:w w:val="105"/>
          <w:sz w:val="15"/>
        </w:rPr>
        <w:t>ejemplo, a</w:t>
      </w:r>
      <w:r>
        <w:rPr>
          <w:spacing w:val="-1"/>
          <w:w w:val="105"/>
          <w:sz w:val="15"/>
        </w:rPr>
        <w:t xml:space="preserve"> </w:t>
      </w:r>
      <w:r>
        <w:rPr>
          <w:w w:val="105"/>
          <w:sz w:val="15"/>
        </w:rPr>
        <w:t>la</w:t>
      </w:r>
      <w:r>
        <w:rPr>
          <w:spacing w:val="-1"/>
          <w:w w:val="105"/>
          <w:sz w:val="15"/>
        </w:rPr>
        <w:t xml:space="preserve"> </w:t>
      </w:r>
      <w:r>
        <w:rPr>
          <w:w w:val="105"/>
          <w:sz w:val="15"/>
        </w:rPr>
        <w:t>libertad</w:t>
      </w:r>
      <w:r>
        <w:rPr>
          <w:spacing w:val="-1"/>
          <w:w w:val="105"/>
          <w:sz w:val="15"/>
        </w:rPr>
        <w:t xml:space="preserve"> </w:t>
      </w:r>
      <w:r>
        <w:rPr>
          <w:w w:val="105"/>
          <w:sz w:val="15"/>
        </w:rPr>
        <w:t>política). participación)</w:t>
      </w:r>
      <w:r>
        <w:rPr>
          <w:spacing w:val="-1"/>
          <w:w w:val="105"/>
          <w:sz w:val="15"/>
        </w:rPr>
        <w:t xml:space="preserve"> </w:t>
      </w:r>
      <w:r>
        <w:rPr>
          <w:w w:val="105"/>
          <w:sz w:val="15"/>
        </w:rPr>
        <w:t>con</w:t>
      </w:r>
      <w:r>
        <w:rPr>
          <w:spacing w:val="-1"/>
          <w:w w:val="105"/>
          <w:sz w:val="15"/>
        </w:rPr>
        <w:t xml:space="preserve"> </w:t>
      </w:r>
      <w:r>
        <w:rPr>
          <w:w w:val="105"/>
          <w:sz w:val="15"/>
        </w:rPr>
        <w:t>la</w:t>
      </w:r>
      <w:r>
        <w:rPr>
          <w:spacing w:val="-1"/>
          <w:w w:val="105"/>
          <w:sz w:val="15"/>
        </w:rPr>
        <w:t xml:space="preserve"> </w:t>
      </w:r>
      <w:r>
        <w:rPr>
          <w:w w:val="105"/>
          <w:sz w:val="15"/>
        </w:rPr>
        <w:t>carga</w:t>
      </w:r>
      <w:r>
        <w:rPr>
          <w:spacing w:val="-1"/>
          <w:w w:val="105"/>
          <w:sz w:val="15"/>
        </w:rPr>
        <w:t xml:space="preserve"> </w:t>
      </w:r>
      <w:r>
        <w:rPr>
          <w:w w:val="105"/>
          <w:sz w:val="15"/>
        </w:rPr>
        <w:t>o</w:t>
      </w:r>
      <w:r>
        <w:rPr>
          <w:spacing w:val="-1"/>
          <w:w w:val="105"/>
          <w:sz w:val="15"/>
        </w:rPr>
        <w:t xml:space="preserve"> </w:t>
      </w:r>
      <w:r>
        <w:rPr>
          <w:w w:val="105"/>
          <w:sz w:val="15"/>
        </w:rPr>
        <w:t>el</w:t>
      </w:r>
      <w:r>
        <w:rPr>
          <w:spacing w:val="-1"/>
          <w:w w:val="105"/>
          <w:sz w:val="15"/>
        </w:rPr>
        <w:t xml:space="preserve"> </w:t>
      </w:r>
      <w:r>
        <w:rPr>
          <w:w w:val="105"/>
          <w:sz w:val="15"/>
        </w:rPr>
        <w:t>impacto</w:t>
      </w:r>
      <w:r>
        <w:rPr>
          <w:spacing w:val="-1"/>
          <w:w w:val="105"/>
          <w:sz w:val="15"/>
        </w:rPr>
        <w:t xml:space="preserve"> </w:t>
      </w:r>
      <w:r>
        <w:rPr>
          <w:w w:val="105"/>
          <w:sz w:val="15"/>
        </w:rPr>
        <w:t>de</w:t>
      </w:r>
      <w:r>
        <w:rPr>
          <w:spacing w:val="-1"/>
          <w:w w:val="105"/>
          <w:sz w:val="15"/>
        </w:rPr>
        <w:t xml:space="preserve"> </w:t>
      </w:r>
      <w:r>
        <w:rPr>
          <w:w w:val="105"/>
          <w:sz w:val="15"/>
        </w:rPr>
        <w:t>hacer</w:t>
      </w:r>
      <w:r>
        <w:rPr>
          <w:spacing w:val="-1"/>
          <w:w w:val="105"/>
          <w:sz w:val="15"/>
        </w:rPr>
        <w:t xml:space="preserve"> </w:t>
      </w:r>
      <w:r>
        <w:rPr>
          <w:w w:val="105"/>
          <w:sz w:val="15"/>
        </w:rPr>
        <w:t>un</w:t>
      </w:r>
      <w:r>
        <w:rPr>
          <w:spacing w:val="-1"/>
          <w:w w:val="105"/>
          <w:sz w:val="15"/>
        </w:rPr>
        <w:t xml:space="preserve"> </w:t>
      </w:r>
      <w:r>
        <w:rPr>
          <w:w w:val="105"/>
          <w:sz w:val="15"/>
        </w:rPr>
        <w:t>acuerdo</w:t>
      </w:r>
      <w:r>
        <w:rPr>
          <w:spacing w:val="-1"/>
          <w:w w:val="105"/>
          <w:sz w:val="15"/>
        </w:rPr>
        <w:t xml:space="preserve"> </w:t>
      </w:r>
      <w:r>
        <w:rPr>
          <w:w w:val="105"/>
          <w:sz w:val="15"/>
        </w:rPr>
        <w:t>para la parte acomodaticia.409 Los factores que pueden considerarse como parte de esta evaluación incluyen, entre otros, “los costos financieros, los recursos disponibles (incluidos los subsidios públicos), el tamaño de la parte acomodaticia (en su totalidad), el efecto de la modificación en la institución o la empresa, los beneficios para terceros, los impactos negativos en otras personas y los requisitos razonables de salud y seguridad”.410</w:t>
      </w:r>
    </w:p>
    <w:p w14:paraId="6A0CCD0C" w14:textId="77777777" w:rsidR="0014798C" w:rsidRDefault="0014798C">
      <w:pPr>
        <w:pStyle w:val="Textoindependiente"/>
        <w:spacing w:before="60"/>
        <w:rPr>
          <w:sz w:val="21"/>
        </w:rPr>
      </w:pPr>
    </w:p>
    <w:p w14:paraId="08233335" w14:textId="77777777" w:rsidR="0014798C" w:rsidRDefault="004E1F0B">
      <w:pPr>
        <w:ind w:left="1332"/>
        <w:rPr>
          <w:sz w:val="21"/>
        </w:rPr>
      </w:pPr>
      <w:r>
        <w:rPr>
          <w:sz w:val="21"/>
        </w:rPr>
        <w:t>El</w:t>
      </w:r>
      <w:r>
        <w:rPr>
          <w:spacing w:val="-11"/>
          <w:sz w:val="21"/>
        </w:rPr>
        <w:t xml:space="preserve"> </w:t>
      </w:r>
      <w:r>
        <w:rPr>
          <w:sz w:val="21"/>
        </w:rPr>
        <w:t>Comité</w:t>
      </w:r>
      <w:r>
        <w:rPr>
          <w:spacing w:val="-11"/>
          <w:sz w:val="21"/>
        </w:rPr>
        <w:t xml:space="preserve"> </w:t>
      </w:r>
      <w:r>
        <w:rPr>
          <w:sz w:val="21"/>
        </w:rPr>
        <w:t>distingue</w:t>
      </w:r>
      <w:r>
        <w:rPr>
          <w:spacing w:val="-11"/>
          <w:sz w:val="21"/>
        </w:rPr>
        <w:t xml:space="preserve"> </w:t>
      </w:r>
      <w:r>
        <w:rPr>
          <w:sz w:val="21"/>
        </w:rPr>
        <w:t>entre</w:t>
      </w:r>
      <w:r>
        <w:rPr>
          <w:spacing w:val="-11"/>
          <w:sz w:val="21"/>
        </w:rPr>
        <w:t xml:space="preserve"> </w:t>
      </w:r>
      <w:r>
        <w:rPr>
          <w:sz w:val="21"/>
        </w:rPr>
        <w:t>“adaptaciones</w:t>
      </w:r>
      <w:r>
        <w:rPr>
          <w:spacing w:val="-10"/>
          <w:sz w:val="21"/>
        </w:rPr>
        <w:t xml:space="preserve"> </w:t>
      </w:r>
      <w:r>
        <w:rPr>
          <w:sz w:val="21"/>
        </w:rPr>
        <w:t>razonables”</w:t>
      </w:r>
      <w:r>
        <w:rPr>
          <w:spacing w:val="-11"/>
          <w:sz w:val="21"/>
        </w:rPr>
        <w:t xml:space="preserve"> </w:t>
      </w:r>
      <w:r>
        <w:rPr>
          <w:sz w:val="21"/>
        </w:rPr>
        <w:t>y</w:t>
      </w:r>
      <w:r>
        <w:rPr>
          <w:spacing w:val="-11"/>
          <w:sz w:val="21"/>
        </w:rPr>
        <w:t xml:space="preserve"> </w:t>
      </w:r>
      <w:r>
        <w:rPr>
          <w:sz w:val="21"/>
        </w:rPr>
        <w:t>“adaptaciones</w:t>
      </w:r>
      <w:r>
        <w:rPr>
          <w:spacing w:val="-11"/>
          <w:sz w:val="21"/>
        </w:rPr>
        <w:t xml:space="preserve"> </w:t>
      </w:r>
      <w:r>
        <w:rPr>
          <w:spacing w:val="-2"/>
          <w:sz w:val="21"/>
        </w:rPr>
        <w:t>procesales”411.</w:t>
      </w:r>
    </w:p>
    <w:p w14:paraId="497036AB" w14:textId="77777777" w:rsidR="0014798C" w:rsidRDefault="004E1F0B">
      <w:pPr>
        <w:spacing w:before="67" w:line="348" w:lineRule="auto"/>
        <w:ind w:left="1334" w:right="1272"/>
        <w:rPr>
          <w:sz w:val="15"/>
        </w:rPr>
      </w:pPr>
      <w:r>
        <w:rPr>
          <w:w w:val="105"/>
          <w:sz w:val="15"/>
        </w:rPr>
        <w:t>Las adaptaciones procesales son aquellas “modificaciones y ajustes necesarios y apropiados en el contexto del acceso a la justicia... necesarios en un caso particular” para garantizar una participación equitativa.412 Si bien la denegación de una adaptación razonable puede justificarse mediante la aplicación de la prueba de la carga indebida, la denegación de una adaptación razonable puede justificarse mediante la aplicación de la prueba de la carga indebida. de una adaptación procesal –como</w:t>
      </w:r>
      <w:r>
        <w:rPr>
          <w:spacing w:val="-4"/>
          <w:w w:val="105"/>
          <w:sz w:val="15"/>
        </w:rPr>
        <w:t xml:space="preserve"> </w:t>
      </w:r>
      <w:r>
        <w:rPr>
          <w:w w:val="105"/>
          <w:sz w:val="15"/>
        </w:rPr>
        <w:t>la</w:t>
      </w:r>
      <w:r>
        <w:rPr>
          <w:spacing w:val="-4"/>
          <w:w w:val="105"/>
          <w:sz w:val="15"/>
        </w:rPr>
        <w:t xml:space="preserve"> </w:t>
      </w:r>
      <w:r>
        <w:rPr>
          <w:w w:val="105"/>
          <w:sz w:val="15"/>
        </w:rPr>
        <w:t>provisión</w:t>
      </w:r>
      <w:r>
        <w:rPr>
          <w:spacing w:val="-4"/>
          <w:w w:val="105"/>
          <w:sz w:val="15"/>
        </w:rPr>
        <w:t xml:space="preserve"> </w:t>
      </w:r>
      <w:r>
        <w:rPr>
          <w:w w:val="105"/>
          <w:sz w:val="15"/>
        </w:rPr>
        <w:t>de</w:t>
      </w:r>
      <w:r>
        <w:rPr>
          <w:spacing w:val="-4"/>
          <w:w w:val="105"/>
          <w:sz w:val="15"/>
        </w:rPr>
        <w:t xml:space="preserve"> </w:t>
      </w:r>
      <w:r>
        <w:rPr>
          <w:w w:val="105"/>
          <w:sz w:val="15"/>
        </w:rPr>
        <w:t>interpretación</w:t>
      </w:r>
      <w:r>
        <w:rPr>
          <w:spacing w:val="-4"/>
          <w:w w:val="105"/>
          <w:sz w:val="15"/>
        </w:rPr>
        <w:t xml:space="preserve"> </w:t>
      </w:r>
      <w:r>
        <w:rPr>
          <w:w w:val="105"/>
          <w:sz w:val="15"/>
        </w:rPr>
        <w:t>en</w:t>
      </w:r>
      <w:r>
        <w:rPr>
          <w:spacing w:val="-4"/>
          <w:w w:val="105"/>
          <w:sz w:val="15"/>
        </w:rPr>
        <w:t xml:space="preserve"> </w:t>
      </w:r>
      <w:r>
        <w:rPr>
          <w:w w:val="105"/>
          <w:sz w:val="15"/>
        </w:rPr>
        <w:t>lengua</w:t>
      </w:r>
      <w:r>
        <w:rPr>
          <w:spacing w:val="-4"/>
          <w:w w:val="105"/>
          <w:sz w:val="15"/>
        </w:rPr>
        <w:t xml:space="preserve"> </w:t>
      </w:r>
      <w:r>
        <w:rPr>
          <w:w w:val="105"/>
          <w:sz w:val="15"/>
        </w:rPr>
        <w:t>de</w:t>
      </w:r>
      <w:r>
        <w:rPr>
          <w:spacing w:val="-4"/>
          <w:w w:val="105"/>
          <w:sz w:val="15"/>
        </w:rPr>
        <w:t xml:space="preserve"> </w:t>
      </w:r>
      <w:r>
        <w:rPr>
          <w:w w:val="105"/>
          <w:sz w:val="15"/>
        </w:rPr>
        <w:t>señas</w:t>
      </w:r>
      <w:r>
        <w:rPr>
          <w:spacing w:val="-4"/>
          <w:w w:val="105"/>
          <w:sz w:val="15"/>
        </w:rPr>
        <w:t xml:space="preserve"> </w:t>
      </w:r>
      <w:r>
        <w:rPr>
          <w:w w:val="105"/>
          <w:sz w:val="15"/>
        </w:rPr>
        <w:t>para</w:t>
      </w:r>
      <w:r>
        <w:rPr>
          <w:spacing w:val="-4"/>
          <w:w w:val="105"/>
          <w:sz w:val="15"/>
        </w:rPr>
        <w:t xml:space="preserve"> </w:t>
      </w:r>
      <w:r>
        <w:rPr>
          <w:w w:val="105"/>
          <w:sz w:val="15"/>
        </w:rPr>
        <w:t>una</w:t>
      </w:r>
      <w:r>
        <w:rPr>
          <w:spacing w:val="-4"/>
          <w:w w:val="105"/>
          <w:sz w:val="15"/>
        </w:rPr>
        <w:t xml:space="preserve"> </w:t>
      </w:r>
      <w:r>
        <w:rPr>
          <w:w w:val="105"/>
          <w:sz w:val="15"/>
        </w:rPr>
        <w:t>persona</w:t>
      </w:r>
      <w:r>
        <w:rPr>
          <w:spacing w:val="-4"/>
          <w:w w:val="105"/>
          <w:sz w:val="15"/>
        </w:rPr>
        <w:t xml:space="preserve"> </w:t>
      </w:r>
      <w:r>
        <w:rPr>
          <w:w w:val="105"/>
          <w:sz w:val="15"/>
        </w:rPr>
        <w:t>sorda</w:t>
      </w:r>
      <w:r>
        <w:rPr>
          <w:spacing w:val="-4"/>
          <w:w w:val="105"/>
          <w:sz w:val="15"/>
        </w:rPr>
        <w:t xml:space="preserve"> </w:t>
      </w:r>
      <w:r>
        <w:rPr>
          <w:w w:val="105"/>
          <w:sz w:val="15"/>
        </w:rPr>
        <w:t>en</w:t>
      </w:r>
      <w:r>
        <w:rPr>
          <w:spacing w:val="-4"/>
          <w:w w:val="105"/>
          <w:sz w:val="15"/>
        </w:rPr>
        <w:t xml:space="preserve"> </w:t>
      </w:r>
      <w:r>
        <w:rPr>
          <w:w w:val="105"/>
          <w:sz w:val="15"/>
        </w:rPr>
        <w:t>un</w:t>
      </w:r>
      <w:r>
        <w:rPr>
          <w:spacing w:val="-4"/>
          <w:w w:val="105"/>
          <w:sz w:val="15"/>
        </w:rPr>
        <w:t xml:space="preserve"> </w:t>
      </w:r>
      <w:r>
        <w:rPr>
          <w:w w:val="105"/>
          <w:sz w:val="15"/>
        </w:rPr>
        <w:t>proceso</w:t>
      </w:r>
      <w:r>
        <w:rPr>
          <w:spacing w:val="-4"/>
          <w:w w:val="105"/>
          <w:sz w:val="15"/>
        </w:rPr>
        <w:t xml:space="preserve"> </w:t>
      </w:r>
      <w:r>
        <w:rPr>
          <w:w w:val="105"/>
          <w:sz w:val="15"/>
        </w:rPr>
        <w:t>judicial–</w:t>
      </w:r>
      <w:r>
        <w:rPr>
          <w:spacing w:val="-4"/>
          <w:w w:val="105"/>
          <w:sz w:val="15"/>
        </w:rPr>
        <w:t xml:space="preserve"> </w:t>
      </w:r>
      <w:r>
        <w:rPr>
          <w:w w:val="105"/>
          <w:sz w:val="15"/>
        </w:rPr>
        <w:t>no</w:t>
      </w:r>
      <w:r>
        <w:rPr>
          <w:spacing w:val="-4"/>
          <w:w w:val="105"/>
          <w:sz w:val="15"/>
        </w:rPr>
        <w:t xml:space="preserve"> </w:t>
      </w:r>
      <w:r>
        <w:rPr>
          <w:w w:val="105"/>
          <w:sz w:val="15"/>
        </w:rPr>
        <w:t>puede</w:t>
      </w:r>
      <w:r>
        <w:rPr>
          <w:spacing w:val="-4"/>
          <w:w w:val="105"/>
          <w:sz w:val="15"/>
        </w:rPr>
        <w:t xml:space="preserve"> </w:t>
      </w:r>
      <w:r>
        <w:rPr>
          <w:w w:val="105"/>
          <w:sz w:val="15"/>
        </w:rPr>
        <w:t>justificarse, debido a la relación entre la adaptación y su papel en el logro del acceso a la justicia.413</w:t>
      </w:r>
    </w:p>
    <w:p w14:paraId="70EE23B9" w14:textId="77777777" w:rsidR="0014798C" w:rsidRDefault="0014798C">
      <w:pPr>
        <w:pStyle w:val="Textoindependiente"/>
        <w:rPr>
          <w:sz w:val="11"/>
        </w:rPr>
      </w:pPr>
    </w:p>
    <w:p w14:paraId="7ADD55BB" w14:textId="77777777" w:rsidR="0014798C" w:rsidRDefault="0014798C">
      <w:pPr>
        <w:pStyle w:val="Textoindependiente"/>
        <w:rPr>
          <w:sz w:val="11"/>
        </w:rPr>
      </w:pPr>
    </w:p>
    <w:p w14:paraId="182EEBEF" w14:textId="77777777" w:rsidR="0014798C" w:rsidRDefault="0014798C">
      <w:pPr>
        <w:pStyle w:val="Textoindependiente"/>
        <w:rPr>
          <w:sz w:val="11"/>
        </w:rPr>
      </w:pPr>
    </w:p>
    <w:p w14:paraId="5B1DF32F" w14:textId="77777777" w:rsidR="0014798C" w:rsidRDefault="0014798C">
      <w:pPr>
        <w:pStyle w:val="Textoindependiente"/>
        <w:rPr>
          <w:sz w:val="11"/>
        </w:rPr>
      </w:pPr>
    </w:p>
    <w:p w14:paraId="2707373B" w14:textId="77777777" w:rsidR="0014798C" w:rsidRDefault="0014798C">
      <w:pPr>
        <w:pStyle w:val="Textoindependiente"/>
        <w:rPr>
          <w:sz w:val="11"/>
        </w:rPr>
      </w:pPr>
    </w:p>
    <w:p w14:paraId="5ADE8E26" w14:textId="77777777" w:rsidR="0014798C" w:rsidRDefault="0014798C">
      <w:pPr>
        <w:pStyle w:val="Textoindependiente"/>
        <w:rPr>
          <w:sz w:val="11"/>
        </w:rPr>
      </w:pPr>
    </w:p>
    <w:p w14:paraId="27003F18" w14:textId="77777777" w:rsidR="0014798C" w:rsidRDefault="0014798C">
      <w:pPr>
        <w:pStyle w:val="Textoindependiente"/>
        <w:rPr>
          <w:sz w:val="11"/>
        </w:rPr>
      </w:pPr>
    </w:p>
    <w:p w14:paraId="4F8135CA" w14:textId="77777777" w:rsidR="0014798C" w:rsidRDefault="0014798C">
      <w:pPr>
        <w:pStyle w:val="Textoindependiente"/>
        <w:rPr>
          <w:sz w:val="11"/>
        </w:rPr>
      </w:pPr>
    </w:p>
    <w:p w14:paraId="2AF95775" w14:textId="77777777" w:rsidR="0014798C" w:rsidRDefault="0014798C">
      <w:pPr>
        <w:pStyle w:val="Textoindependiente"/>
        <w:rPr>
          <w:sz w:val="11"/>
        </w:rPr>
      </w:pPr>
    </w:p>
    <w:p w14:paraId="3A9CEB83" w14:textId="77777777" w:rsidR="0014798C" w:rsidRDefault="0014798C">
      <w:pPr>
        <w:pStyle w:val="Textoindependiente"/>
        <w:rPr>
          <w:sz w:val="11"/>
        </w:rPr>
      </w:pPr>
    </w:p>
    <w:p w14:paraId="3103C96C" w14:textId="77777777" w:rsidR="0014798C" w:rsidRDefault="0014798C">
      <w:pPr>
        <w:pStyle w:val="Textoindependiente"/>
        <w:rPr>
          <w:sz w:val="11"/>
        </w:rPr>
      </w:pPr>
    </w:p>
    <w:p w14:paraId="7952FCFD" w14:textId="77777777" w:rsidR="0014798C" w:rsidRDefault="0014798C">
      <w:pPr>
        <w:pStyle w:val="Textoindependiente"/>
        <w:rPr>
          <w:sz w:val="11"/>
        </w:rPr>
      </w:pPr>
    </w:p>
    <w:p w14:paraId="7FC05E0F" w14:textId="77777777" w:rsidR="0014798C" w:rsidRDefault="0014798C">
      <w:pPr>
        <w:pStyle w:val="Textoindependiente"/>
        <w:rPr>
          <w:sz w:val="11"/>
        </w:rPr>
      </w:pPr>
    </w:p>
    <w:p w14:paraId="11E551E0" w14:textId="77777777" w:rsidR="0014798C" w:rsidRDefault="0014798C">
      <w:pPr>
        <w:pStyle w:val="Textoindependiente"/>
        <w:rPr>
          <w:sz w:val="11"/>
        </w:rPr>
      </w:pPr>
    </w:p>
    <w:p w14:paraId="2582AB8F" w14:textId="77777777" w:rsidR="0014798C" w:rsidRDefault="0014798C">
      <w:pPr>
        <w:pStyle w:val="Textoindependiente"/>
        <w:rPr>
          <w:sz w:val="11"/>
        </w:rPr>
      </w:pPr>
    </w:p>
    <w:p w14:paraId="20FC54BC" w14:textId="77777777" w:rsidR="0014798C" w:rsidRDefault="0014798C">
      <w:pPr>
        <w:pStyle w:val="Textoindependiente"/>
        <w:rPr>
          <w:sz w:val="11"/>
        </w:rPr>
      </w:pPr>
    </w:p>
    <w:p w14:paraId="0B4B643A" w14:textId="77777777" w:rsidR="0014798C" w:rsidRDefault="0014798C">
      <w:pPr>
        <w:pStyle w:val="Textoindependiente"/>
        <w:rPr>
          <w:sz w:val="11"/>
        </w:rPr>
      </w:pPr>
    </w:p>
    <w:p w14:paraId="6650B3D3" w14:textId="77777777" w:rsidR="0014798C" w:rsidRDefault="0014798C">
      <w:pPr>
        <w:pStyle w:val="Textoindependiente"/>
        <w:rPr>
          <w:sz w:val="11"/>
        </w:rPr>
      </w:pPr>
    </w:p>
    <w:p w14:paraId="410F8CAE" w14:textId="77777777" w:rsidR="0014798C" w:rsidRDefault="0014798C">
      <w:pPr>
        <w:pStyle w:val="Textoindependiente"/>
        <w:rPr>
          <w:sz w:val="11"/>
        </w:rPr>
      </w:pPr>
    </w:p>
    <w:p w14:paraId="0C94BFB0" w14:textId="77777777" w:rsidR="0014798C" w:rsidRDefault="0014798C">
      <w:pPr>
        <w:pStyle w:val="Textoindependiente"/>
        <w:spacing w:before="105"/>
        <w:rPr>
          <w:sz w:val="11"/>
        </w:rPr>
      </w:pPr>
    </w:p>
    <w:p w14:paraId="418A798F" w14:textId="77777777" w:rsidR="0014798C" w:rsidRDefault="004E1F0B">
      <w:pPr>
        <w:pStyle w:val="Prrafodelista"/>
        <w:numPr>
          <w:ilvl w:val="0"/>
          <w:numId w:val="60"/>
        </w:numPr>
        <w:tabs>
          <w:tab w:val="left" w:pos="1328"/>
        </w:tabs>
        <w:ind w:left="1328" w:hanging="223"/>
        <w:rPr>
          <w:sz w:val="11"/>
        </w:rPr>
      </w:pPr>
      <w:r>
        <w:rPr>
          <w:w w:val="105"/>
          <w:sz w:val="11"/>
        </w:rPr>
        <w:t>Véase</w:t>
      </w:r>
      <w:r>
        <w:rPr>
          <w:spacing w:val="-4"/>
          <w:w w:val="105"/>
          <w:sz w:val="11"/>
        </w:rPr>
        <w:t xml:space="preserve"> </w:t>
      </w:r>
      <w:r>
        <w:rPr>
          <w:w w:val="105"/>
          <w:sz w:val="11"/>
        </w:rPr>
        <w:t>la</w:t>
      </w:r>
      <w:r>
        <w:rPr>
          <w:spacing w:val="-4"/>
          <w:w w:val="105"/>
          <w:sz w:val="11"/>
        </w:rPr>
        <w:t xml:space="preserve"> </w:t>
      </w:r>
      <w:r>
        <w:rPr>
          <w:w w:val="105"/>
          <w:sz w:val="11"/>
        </w:rPr>
        <w:t>definición</w:t>
      </w:r>
      <w:r>
        <w:rPr>
          <w:spacing w:val="-3"/>
          <w:w w:val="105"/>
          <w:sz w:val="11"/>
        </w:rPr>
        <w:t xml:space="preserve"> </w:t>
      </w:r>
      <w:r>
        <w:rPr>
          <w:w w:val="105"/>
          <w:sz w:val="11"/>
        </w:rPr>
        <w:t>de</w:t>
      </w:r>
      <w:r>
        <w:rPr>
          <w:spacing w:val="-4"/>
          <w:w w:val="105"/>
          <w:sz w:val="11"/>
        </w:rPr>
        <w:t xml:space="preserve"> </w:t>
      </w:r>
      <w:r>
        <w:rPr>
          <w:w w:val="105"/>
          <w:sz w:val="11"/>
        </w:rPr>
        <w:t>acoso</w:t>
      </w:r>
      <w:r>
        <w:rPr>
          <w:spacing w:val="-3"/>
          <w:w w:val="105"/>
          <w:sz w:val="11"/>
        </w:rPr>
        <w:t xml:space="preserve"> </w:t>
      </w:r>
      <w:r>
        <w:rPr>
          <w:w w:val="105"/>
          <w:sz w:val="11"/>
        </w:rPr>
        <w:t>en</w:t>
      </w:r>
      <w:r>
        <w:rPr>
          <w:spacing w:val="-4"/>
          <w:w w:val="105"/>
          <w:sz w:val="11"/>
        </w:rPr>
        <w:t xml:space="preserve"> </w:t>
      </w:r>
      <w:r>
        <w:rPr>
          <w:w w:val="105"/>
          <w:sz w:val="11"/>
        </w:rPr>
        <w:t>la</w:t>
      </w:r>
      <w:r>
        <w:rPr>
          <w:spacing w:val="-3"/>
          <w:w w:val="105"/>
          <w:sz w:val="11"/>
        </w:rPr>
        <w:t xml:space="preserve"> </w:t>
      </w:r>
      <w:r>
        <w:rPr>
          <w:w w:val="105"/>
          <w:sz w:val="11"/>
        </w:rPr>
        <w:t>sección</w:t>
      </w:r>
      <w:r>
        <w:rPr>
          <w:spacing w:val="-4"/>
          <w:w w:val="105"/>
          <w:sz w:val="11"/>
        </w:rPr>
        <w:t xml:space="preserve"> </w:t>
      </w:r>
      <w:r>
        <w:rPr>
          <w:w w:val="105"/>
          <w:sz w:val="11"/>
        </w:rPr>
        <w:t>IA2(c)</w:t>
      </w:r>
      <w:r>
        <w:rPr>
          <w:spacing w:val="-3"/>
          <w:w w:val="105"/>
          <w:sz w:val="11"/>
        </w:rPr>
        <w:t xml:space="preserve"> </w:t>
      </w:r>
      <w:r>
        <w:rPr>
          <w:w w:val="105"/>
          <w:sz w:val="11"/>
        </w:rPr>
        <w:t>de</w:t>
      </w:r>
      <w:r>
        <w:rPr>
          <w:spacing w:val="-4"/>
          <w:w w:val="105"/>
          <w:sz w:val="11"/>
        </w:rPr>
        <w:t xml:space="preserve"> </w:t>
      </w:r>
      <w:r>
        <w:rPr>
          <w:w w:val="105"/>
          <w:sz w:val="11"/>
        </w:rPr>
        <w:t>la</w:t>
      </w:r>
      <w:r>
        <w:rPr>
          <w:spacing w:val="-3"/>
          <w:w w:val="105"/>
          <w:sz w:val="11"/>
        </w:rPr>
        <w:t xml:space="preserve"> </w:t>
      </w:r>
      <w:r>
        <w:rPr>
          <w:w w:val="105"/>
          <w:sz w:val="11"/>
        </w:rPr>
        <w:t>segunda</w:t>
      </w:r>
      <w:r>
        <w:rPr>
          <w:spacing w:val="-4"/>
          <w:w w:val="105"/>
          <w:sz w:val="11"/>
        </w:rPr>
        <w:t xml:space="preserve"> </w:t>
      </w:r>
      <w:r>
        <w:rPr>
          <w:w w:val="105"/>
          <w:sz w:val="11"/>
        </w:rPr>
        <w:t>parte</w:t>
      </w:r>
      <w:r>
        <w:rPr>
          <w:spacing w:val="-3"/>
          <w:w w:val="105"/>
          <w:sz w:val="11"/>
        </w:rPr>
        <w:t xml:space="preserve"> </w:t>
      </w:r>
      <w:r>
        <w:rPr>
          <w:w w:val="105"/>
          <w:sz w:val="11"/>
        </w:rPr>
        <w:t>de</w:t>
      </w:r>
      <w:r>
        <w:rPr>
          <w:spacing w:val="-4"/>
          <w:w w:val="105"/>
          <w:sz w:val="11"/>
        </w:rPr>
        <w:t xml:space="preserve"> </w:t>
      </w:r>
      <w:r>
        <w:rPr>
          <w:w w:val="105"/>
          <w:sz w:val="11"/>
        </w:rPr>
        <w:t>la</w:t>
      </w:r>
      <w:r>
        <w:rPr>
          <w:spacing w:val="-3"/>
          <w:w w:val="105"/>
          <w:sz w:val="11"/>
        </w:rPr>
        <w:t xml:space="preserve"> </w:t>
      </w:r>
      <w:r>
        <w:rPr>
          <w:w w:val="105"/>
          <w:sz w:val="11"/>
        </w:rPr>
        <w:t>presente</w:t>
      </w:r>
      <w:r>
        <w:rPr>
          <w:spacing w:val="-4"/>
          <w:w w:val="105"/>
          <w:sz w:val="11"/>
        </w:rPr>
        <w:t xml:space="preserve"> </w:t>
      </w:r>
      <w:r>
        <w:rPr>
          <w:spacing w:val="-2"/>
          <w:w w:val="105"/>
          <w:sz w:val="11"/>
        </w:rPr>
        <w:t>guía.</w:t>
      </w:r>
    </w:p>
    <w:p w14:paraId="78664CBF" w14:textId="77777777" w:rsidR="0014798C" w:rsidRDefault="004E1F0B">
      <w:pPr>
        <w:pStyle w:val="Prrafodelista"/>
        <w:numPr>
          <w:ilvl w:val="0"/>
          <w:numId w:val="60"/>
        </w:numPr>
        <w:tabs>
          <w:tab w:val="left" w:pos="1327"/>
          <w:tab w:val="left" w:pos="1369"/>
        </w:tabs>
        <w:spacing w:before="110" w:line="300" w:lineRule="auto"/>
        <w:ind w:left="1369" w:right="1537" w:hanging="265"/>
        <w:rPr>
          <w:sz w:val="13"/>
        </w:rPr>
      </w:pPr>
      <w:r>
        <w:rPr>
          <w:sz w:val="11"/>
        </w:rPr>
        <w:t>Si</w:t>
      </w:r>
      <w:r>
        <w:rPr>
          <w:spacing w:val="18"/>
          <w:sz w:val="11"/>
        </w:rPr>
        <w:t xml:space="preserve"> </w:t>
      </w:r>
      <w:r>
        <w:rPr>
          <w:sz w:val="11"/>
        </w:rPr>
        <w:t>bien</w:t>
      </w:r>
      <w:r>
        <w:rPr>
          <w:spacing w:val="18"/>
          <w:sz w:val="11"/>
        </w:rPr>
        <w:t xml:space="preserve"> </w:t>
      </w:r>
      <w:r>
        <w:rPr>
          <w:sz w:val="11"/>
        </w:rPr>
        <w:t>la</w:t>
      </w:r>
      <w:r>
        <w:rPr>
          <w:spacing w:val="18"/>
          <w:sz w:val="11"/>
        </w:rPr>
        <w:t xml:space="preserve"> </w:t>
      </w:r>
      <w:r>
        <w:rPr>
          <w:sz w:val="11"/>
        </w:rPr>
        <w:t>jurisprudencia</w:t>
      </w:r>
      <w:r>
        <w:rPr>
          <w:spacing w:val="18"/>
          <w:sz w:val="11"/>
        </w:rPr>
        <w:t xml:space="preserve"> </w:t>
      </w:r>
      <w:r>
        <w:rPr>
          <w:sz w:val="11"/>
        </w:rPr>
        <w:t>del</w:t>
      </w:r>
      <w:r>
        <w:rPr>
          <w:spacing w:val="18"/>
          <w:sz w:val="11"/>
        </w:rPr>
        <w:t xml:space="preserve"> </w:t>
      </w:r>
      <w:r>
        <w:rPr>
          <w:sz w:val="11"/>
        </w:rPr>
        <w:t>Comité</w:t>
      </w:r>
      <w:r>
        <w:rPr>
          <w:spacing w:val="18"/>
          <w:sz w:val="11"/>
        </w:rPr>
        <w:t xml:space="preserve"> </w:t>
      </w:r>
      <w:r>
        <w:rPr>
          <w:sz w:val="11"/>
        </w:rPr>
        <w:t>es</w:t>
      </w:r>
      <w:r>
        <w:rPr>
          <w:spacing w:val="18"/>
          <w:sz w:val="11"/>
        </w:rPr>
        <w:t xml:space="preserve"> </w:t>
      </w:r>
      <w:r>
        <w:rPr>
          <w:sz w:val="11"/>
        </w:rPr>
        <w:t>específica</w:t>
      </w:r>
      <w:r>
        <w:rPr>
          <w:spacing w:val="18"/>
          <w:sz w:val="11"/>
        </w:rPr>
        <w:t xml:space="preserve"> </w:t>
      </w:r>
      <w:r>
        <w:rPr>
          <w:sz w:val="11"/>
        </w:rPr>
        <w:t>de</w:t>
      </w:r>
      <w:r>
        <w:rPr>
          <w:spacing w:val="18"/>
          <w:sz w:val="11"/>
        </w:rPr>
        <w:t xml:space="preserve"> </w:t>
      </w:r>
      <w:r>
        <w:rPr>
          <w:sz w:val="11"/>
        </w:rPr>
        <w:t>la</w:t>
      </w:r>
      <w:r>
        <w:rPr>
          <w:spacing w:val="18"/>
          <w:sz w:val="11"/>
        </w:rPr>
        <w:t xml:space="preserve"> </w:t>
      </w:r>
      <w:r>
        <w:rPr>
          <w:sz w:val="11"/>
        </w:rPr>
        <w:t>discriminación</w:t>
      </w:r>
      <w:r>
        <w:rPr>
          <w:spacing w:val="18"/>
          <w:sz w:val="11"/>
        </w:rPr>
        <w:t xml:space="preserve"> </w:t>
      </w:r>
      <w:r>
        <w:rPr>
          <w:sz w:val="11"/>
        </w:rPr>
        <w:t>por</w:t>
      </w:r>
      <w:r>
        <w:rPr>
          <w:spacing w:val="18"/>
          <w:sz w:val="11"/>
        </w:rPr>
        <w:t xml:space="preserve"> </w:t>
      </w:r>
      <w:r>
        <w:rPr>
          <w:sz w:val="11"/>
        </w:rPr>
        <w:t>discapacidad,</w:t>
      </w:r>
      <w:r>
        <w:rPr>
          <w:spacing w:val="19"/>
          <w:sz w:val="11"/>
        </w:rPr>
        <w:t xml:space="preserve"> </w:t>
      </w:r>
      <w:r>
        <w:rPr>
          <w:sz w:val="11"/>
        </w:rPr>
        <w:t>se</w:t>
      </w:r>
      <w:r>
        <w:rPr>
          <w:spacing w:val="18"/>
          <w:sz w:val="11"/>
        </w:rPr>
        <w:t xml:space="preserve"> </w:t>
      </w:r>
      <w:r>
        <w:rPr>
          <w:sz w:val="11"/>
        </w:rPr>
        <w:t>podría</w:t>
      </w:r>
      <w:r>
        <w:rPr>
          <w:spacing w:val="18"/>
          <w:sz w:val="11"/>
        </w:rPr>
        <w:t xml:space="preserve"> </w:t>
      </w:r>
      <w:r>
        <w:rPr>
          <w:sz w:val="11"/>
        </w:rPr>
        <w:t>aplicar</w:t>
      </w:r>
      <w:r>
        <w:rPr>
          <w:spacing w:val="18"/>
          <w:sz w:val="11"/>
        </w:rPr>
        <w:t xml:space="preserve"> </w:t>
      </w:r>
      <w:r>
        <w:rPr>
          <w:sz w:val="11"/>
        </w:rPr>
        <w:t>una</w:t>
      </w:r>
      <w:r>
        <w:rPr>
          <w:spacing w:val="18"/>
          <w:sz w:val="11"/>
        </w:rPr>
        <w:t xml:space="preserve"> </w:t>
      </w:r>
      <w:r>
        <w:rPr>
          <w:sz w:val="11"/>
        </w:rPr>
        <w:t>prueba</w:t>
      </w:r>
      <w:r>
        <w:rPr>
          <w:spacing w:val="18"/>
          <w:sz w:val="11"/>
        </w:rPr>
        <w:t xml:space="preserve"> </w:t>
      </w:r>
      <w:r>
        <w:rPr>
          <w:sz w:val="11"/>
        </w:rPr>
        <w:t>similar</w:t>
      </w:r>
      <w:r>
        <w:rPr>
          <w:spacing w:val="18"/>
          <w:sz w:val="11"/>
        </w:rPr>
        <w:t xml:space="preserve"> </w:t>
      </w:r>
      <w:r>
        <w:rPr>
          <w:sz w:val="11"/>
        </w:rPr>
        <w:t>a</w:t>
      </w:r>
      <w:r>
        <w:rPr>
          <w:spacing w:val="18"/>
          <w:sz w:val="11"/>
        </w:rPr>
        <w:t xml:space="preserve"> </w:t>
      </w:r>
      <w:r>
        <w:rPr>
          <w:sz w:val="11"/>
        </w:rPr>
        <w:t>otros</w:t>
      </w:r>
      <w:r>
        <w:rPr>
          <w:spacing w:val="18"/>
          <w:sz w:val="11"/>
        </w:rPr>
        <w:t xml:space="preserve"> </w:t>
      </w:r>
      <w:r>
        <w:rPr>
          <w:sz w:val="11"/>
        </w:rPr>
        <w:t>motivos</w:t>
      </w:r>
      <w:r>
        <w:rPr>
          <w:spacing w:val="18"/>
          <w:sz w:val="11"/>
        </w:rPr>
        <w:t xml:space="preserve"> </w:t>
      </w:r>
      <w:r>
        <w:rPr>
          <w:sz w:val="11"/>
        </w:rPr>
        <w:t>de</w:t>
      </w:r>
      <w:r>
        <w:rPr>
          <w:spacing w:val="18"/>
          <w:sz w:val="11"/>
        </w:rPr>
        <w:t xml:space="preserve"> </w:t>
      </w:r>
      <w:r>
        <w:rPr>
          <w:sz w:val="11"/>
        </w:rPr>
        <w:t>discriminación.</w:t>
      </w:r>
      <w:r>
        <w:rPr>
          <w:spacing w:val="40"/>
          <w:sz w:val="11"/>
        </w:rPr>
        <w:t xml:space="preserve"> </w:t>
      </w:r>
      <w:r>
        <w:rPr>
          <w:sz w:val="13"/>
        </w:rPr>
        <w:t>discriminación. Como</w:t>
      </w:r>
      <w:r>
        <w:rPr>
          <w:spacing w:val="-1"/>
          <w:sz w:val="13"/>
        </w:rPr>
        <w:t xml:space="preserve"> </w:t>
      </w:r>
      <w:r>
        <w:rPr>
          <w:sz w:val="13"/>
        </w:rPr>
        <w:t>se</w:t>
      </w:r>
      <w:r>
        <w:rPr>
          <w:spacing w:val="-1"/>
          <w:sz w:val="13"/>
        </w:rPr>
        <w:t xml:space="preserve"> </w:t>
      </w:r>
      <w:r>
        <w:rPr>
          <w:sz w:val="13"/>
        </w:rPr>
        <w:t>analiza</w:t>
      </w:r>
      <w:r>
        <w:rPr>
          <w:spacing w:val="-1"/>
          <w:sz w:val="13"/>
        </w:rPr>
        <w:t xml:space="preserve"> </w:t>
      </w:r>
      <w:r>
        <w:rPr>
          <w:sz w:val="13"/>
        </w:rPr>
        <w:t>en</w:t>
      </w:r>
      <w:r>
        <w:rPr>
          <w:spacing w:val="-1"/>
          <w:sz w:val="13"/>
        </w:rPr>
        <w:t xml:space="preserve"> </w:t>
      </w:r>
      <w:r>
        <w:rPr>
          <w:sz w:val="13"/>
        </w:rPr>
        <w:t>la</w:t>
      </w:r>
      <w:r>
        <w:rPr>
          <w:spacing w:val="-1"/>
          <w:sz w:val="13"/>
        </w:rPr>
        <w:t xml:space="preserve"> </w:t>
      </w:r>
      <w:r>
        <w:rPr>
          <w:sz w:val="13"/>
        </w:rPr>
        <w:t>sección</w:t>
      </w:r>
      <w:r>
        <w:rPr>
          <w:spacing w:val="-1"/>
          <w:sz w:val="13"/>
        </w:rPr>
        <w:t xml:space="preserve"> </w:t>
      </w:r>
      <w:r>
        <w:rPr>
          <w:sz w:val="13"/>
        </w:rPr>
        <w:t>IA2(d)</w:t>
      </w:r>
      <w:r>
        <w:rPr>
          <w:spacing w:val="-2"/>
          <w:sz w:val="13"/>
        </w:rPr>
        <w:t xml:space="preserve"> </w:t>
      </w:r>
      <w:r>
        <w:rPr>
          <w:sz w:val="13"/>
        </w:rPr>
        <w:t>de</w:t>
      </w:r>
      <w:r>
        <w:rPr>
          <w:spacing w:val="-1"/>
          <w:sz w:val="13"/>
        </w:rPr>
        <w:t xml:space="preserve"> </w:t>
      </w:r>
      <w:r>
        <w:rPr>
          <w:sz w:val="13"/>
        </w:rPr>
        <w:t>esta</w:t>
      </w:r>
      <w:r>
        <w:rPr>
          <w:spacing w:val="-2"/>
          <w:sz w:val="13"/>
        </w:rPr>
        <w:t xml:space="preserve"> </w:t>
      </w:r>
      <w:r>
        <w:rPr>
          <w:sz w:val="13"/>
        </w:rPr>
        <w:t>parte,</w:t>
      </w:r>
      <w:r>
        <w:rPr>
          <w:spacing w:val="-1"/>
          <w:sz w:val="13"/>
        </w:rPr>
        <w:t xml:space="preserve"> </w:t>
      </w:r>
      <w:r>
        <w:rPr>
          <w:sz w:val="13"/>
        </w:rPr>
        <w:t>el</w:t>
      </w:r>
      <w:r>
        <w:rPr>
          <w:spacing w:val="-1"/>
          <w:sz w:val="13"/>
        </w:rPr>
        <w:t xml:space="preserve"> </w:t>
      </w:r>
      <w:r>
        <w:rPr>
          <w:sz w:val="13"/>
        </w:rPr>
        <w:t>concepto</w:t>
      </w:r>
      <w:r>
        <w:rPr>
          <w:spacing w:val="-2"/>
          <w:sz w:val="13"/>
        </w:rPr>
        <w:t xml:space="preserve"> </w:t>
      </w:r>
      <w:r>
        <w:rPr>
          <w:sz w:val="13"/>
        </w:rPr>
        <w:t>de</w:t>
      </w:r>
      <w:r>
        <w:rPr>
          <w:spacing w:val="-1"/>
          <w:sz w:val="13"/>
        </w:rPr>
        <w:t xml:space="preserve"> </w:t>
      </w:r>
      <w:r>
        <w:rPr>
          <w:sz w:val="13"/>
        </w:rPr>
        <w:t>“ajustes</w:t>
      </w:r>
      <w:r>
        <w:rPr>
          <w:spacing w:val="-2"/>
          <w:sz w:val="13"/>
        </w:rPr>
        <w:t xml:space="preserve"> </w:t>
      </w:r>
      <w:r>
        <w:rPr>
          <w:sz w:val="13"/>
        </w:rPr>
        <w:t>razonables”</w:t>
      </w:r>
      <w:r>
        <w:rPr>
          <w:spacing w:val="-2"/>
          <w:sz w:val="13"/>
        </w:rPr>
        <w:t xml:space="preserve"> </w:t>
      </w:r>
      <w:r>
        <w:rPr>
          <w:sz w:val="13"/>
        </w:rPr>
        <w:t>se</w:t>
      </w:r>
      <w:r>
        <w:rPr>
          <w:spacing w:val="-1"/>
          <w:sz w:val="13"/>
        </w:rPr>
        <w:t xml:space="preserve"> </w:t>
      </w:r>
      <w:r>
        <w:rPr>
          <w:sz w:val="13"/>
        </w:rPr>
        <w:t>ha</w:t>
      </w:r>
      <w:r>
        <w:rPr>
          <w:spacing w:val="-1"/>
          <w:sz w:val="13"/>
        </w:rPr>
        <w:t xml:space="preserve"> </w:t>
      </w:r>
      <w:r>
        <w:rPr>
          <w:sz w:val="13"/>
        </w:rPr>
        <w:t>aplicado</w:t>
      </w:r>
      <w:r>
        <w:rPr>
          <w:spacing w:val="-1"/>
          <w:sz w:val="13"/>
        </w:rPr>
        <w:t xml:space="preserve"> </w:t>
      </w:r>
      <w:r>
        <w:rPr>
          <w:sz w:val="13"/>
        </w:rPr>
        <w:t>con</w:t>
      </w:r>
      <w:r>
        <w:rPr>
          <w:spacing w:val="-1"/>
          <w:sz w:val="13"/>
        </w:rPr>
        <w:t xml:space="preserve"> </w:t>
      </w:r>
      <w:r>
        <w:rPr>
          <w:sz w:val="13"/>
        </w:rPr>
        <w:t>respecto</w:t>
      </w:r>
      <w:r>
        <w:rPr>
          <w:spacing w:val="-2"/>
          <w:sz w:val="13"/>
        </w:rPr>
        <w:t xml:space="preserve"> </w:t>
      </w:r>
      <w:r>
        <w:rPr>
          <w:sz w:val="13"/>
        </w:rPr>
        <w:t>a</w:t>
      </w:r>
      <w:r>
        <w:rPr>
          <w:spacing w:val="-1"/>
          <w:sz w:val="13"/>
        </w:rPr>
        <w:t xml:space="preserve"> </w:t>
      </w:r>
      <w:r>
        <w:rPr>
          <w:sz w:val="13"/>
        </w:rPr>
        <w:t>una</w:t>
      </w:r>
      <w:r>
        <w:rPr>
          <w:spacing w:val="-1"/>
          <w:sz w:val="13"/>
        </w:rPr>
        <w:t xml:space="preserve"> </w:t>
      </w:r>
      <w:r>
        <w:rPr>
          <w:sz w:val="13"/>
        </w:rPr>
        <w:t>amplia</w:t>
      </w:r>
      <w:r>
        <w:rPr>
          <w:spacing w:val="-1"/>
          <w:sz w:val="13"/>
        </w:rPr>
        <w:t xml:space="preserve"> </w:t>
      </w:r>
      <w:r>
        <w:rPr>
          <w:sz w:val="13"/>
        </w:rPr>
        <w:t>gama</w:t>
      </w:r>
      <w:r>
        <w:rPr>
          <w:spacing w:val="40"/>
          <w:sz w:val="13"/>
        </w:rPr>
        <w:t xml:space="preserve"> </w:t>
      </w:r>
      <w:r>
        <w:rPr>
          <w:sz w:val="13"/>
        </w:rPr>
        <w:t>de motivos a nivel internacional y nacional, incluidas la religión o creencias y la identidad de género.</w:t>
      </w:r>
    </w:p>
    <w:p w14:paraId="079B2783" w14:textId="77777777" w:rsidR="0014798C" w:rsidRDefault="004E1F0B">
      <w:pPr>
        <w:pStyle w:val="Prrafodelista"/>
        <w:numPr>
          <w:ilvl w:val="0"/>
          <w:numId w:val="60"/>
        </w:numPr>
        <w:tabs>
          <w:tab w:val="left" w:pos="1328"/>
        </w:tabs>
        <w:spacing w:before="64"/>
        <w:ind w:left="1328" w:hanging="223"/>
        <w:rPr>
          <w:sz w:val="11"/>
        </w:rPr>
      </w:pPr>
      <w:r>
        <w:rPr>
          <w:w w:val="105"/>
          <w:sz w:val="11"/>
        </w:rPr>
        <w:t>Comité</w:t>
      </w:r>
      <w:r>
        <w:rPr>
          <w:spacing w:val="-5"/>
          <w:w w:val="105"/>
          <w:sz w:val="11"/>
        </w:rPr>
        <w:t xml:space="preserve"> </w:t>
      </w:r>
      <w:r>
        <w:rPr>
          <w:w w:val="105"/>
          <w:sz w:val="11"/>
        </w:rPr>
        <w:t>sobre</w:t>
      </w:r>
      <w:r>
        <w:rPr>
          <w:spacing w:val="-4"/>
          <w:w w:val="105"/>
          <w:sz w:val="11"/>
        </w:rPr>
        <w:t xml:space="preserve"> </w:t>
      </w:r>
      <w:r>
        <w:rPr>
          <w:w w:val="105"/>
          <w:sz w:val="11"/>
        </w:rPr>
        <w:t>los</w:t>
      </w:r>
      <w:r>
        <w:rPr>
          <w:spacing w:val="-4"/>
          <w:w w:val="105"/>
          <w:sz w:val="11"/>
        </w:rPr>
        <w:t xml:space="preserve"> </w:t>
      </w:r>
      <w:r>
        <w:rPr>
          <w:w w:val="105"/>
          <w:sz w:val="11"/>
        </w:rPr>
        <w:t>Derechos</w:t>
      </w:r>
      <w:r>
        <w:rPr>
          <w:spacing w:val="-4"/>
          <w:w w:val="105"/>
          <w:sz w:val="11"/>
        </w:rPr>
        <w:t xml:space="preserve"> </w:t>
      </w:r>
      <w:r>
        <w:rPr>
          <w:w w:val="105"/>
          <w:sz w:val="11"/>
        </w:rPr>
        <w:t>de</w:t>
      </w:r>
      <w:r>
        <w:rPr>
          <w:spacing w:val="-4"/>
          <w:w w:val="105"/>
          <w:sz w:val="11"/>
        </w:rPr>
        <w:t xml:space="preserve"> </w:t>
      </w:r>
      <w:r>
        <w:rPr>
          <w:w w:val="105"/>
          <w:sz w:val="11"/>
        </w:rPr>
        <w:t>las</w:t>
      </w:r>
      <w:r>
        <w:rPr>
          <w:spacing w:val="-4"/>
          <w:w w:val="105"/>
          <w:sz w:val="11"/>
        </w:rPr>
        <w:t xml:space="preserve"> </w:t>
      </w:r>
      <w:r>
        <w:rPr>
          <w:w w:val="105"/>
          <w:sz w:val="11"/>
        </w:rPr>
        <w:t>Personas</w:t>
      </w:r>
      <w:r>
        <w:rPr>
          <w:spacing w:val="-4"/>
          <w:w w:val="105"/>
          <w:sz w:val="11"/>
        </w:rPr>
        <w:t xml:space="preserve"> </w:t>
      </w:r>
      <w:r>
        <w:rPr>
          <w:w w:val="105"/>
          <w:sz w:val="11"/>
        </w:rPr>
        <w:t>con</w:t>
      </w:r>
      <w:r>
        <w:rPr>
          <w:spacing w:val="-4"/>
          <w:w w:val="105"/>
          <w:sz w:val="11"/>
        </w:rPr>
        <w:t xml:space="preserve"> </w:t>
      </w:r>
      <w:r>
        <w:rPr>
          <w:w w:val="105"/>
          <w:sz w:val="11"/>
        </w:rPr>
        <w:t>Discapacidad,</w:t>
      </w:r>
      <w:r>
        <w:rPr>
          <w:spacing w:val="-3"/>
          <w:w w:val="105"/>
          <w:sz w:val="11"/>
        </w:rPr>
        <w:t xml:space="preserve"> </w:t>
      </w:r>
      <w:r>
        <w:rPr>
          <w:w w:val="105"/>
          <w:sz w:val="11"/>
        </w:rPr>
        <w:t>observación</w:t>
      </w:r>
      <w:r>
        <w:rPr>
          <w:spacing w:val="-4"/>
          <w:w w:val="105"/>
          <w:sz w:val="11"/>
        </w:rPr>
        <w:t xml:space="preserve"> </w:t>
      </w:r>
      <w:r>
        <w:rPr>
          <w:w w:val="105"/>
          <w:sz w:val="11"/>
        </w:rPr>
        <w:t>general</w:t>
      </w:r>
      <w:r>
        <w:rPr>
          <w:spacing w:val="-4"/>
          <w:w w:val="105"/>
          <w:sz w:val="11"/>
        </w:rPr>
        <w:t xml:space="preserve"> </w:t>
      </w:r>
      <w:r>
        <w:rPr>
          <w:w w:val="105"/>
          <w:sz w:val="11"/>
        </w:rPr>
        <w:t>núm.</w:t>
      </w:r>
      <w:r>
        <w:rPr>
          <w:spacing w:val="-4"/>
          <w:w w:val="105"/>
          <w:sz w:val="11"/>
        </w:rPr>
        <w:t xml:space="preserve"> </w:t>
      </w:r>
      <w:r>
        <w:rPr>
          <w:w w:val="105"/>
          <w:sz w:val="11"/>
        </w:rPr>
        <w:t>6</w:t>
      </w:r>
      <w:r>
        <w:rPr>
          <w:spacing w:val="-4"/>
          <w:w w:val="105"/>
          <w:sz w:val="11"/>
        </w:rPr>
        <w:t xml:space="preserve"> </w:t>
      </w:r>
      <w:r>
        <w:rPr>
          <w:w w:val="105"/>
          <w:sz w:val="11"/>
        </w:rPr>
        <w:t>(2018),</w:t>
      </w:r>
      <w:r>
        <w:rPr>
          <w:spacing w:val="-3"/>
          <w:w w:val="105"/>
          <w:sz w:val="11"/>
        </w:rPr>
        <w:t xml:space="preserve"> </w:t>
      </w:r>
      <w:r>
        <w:rPr>
          <w:w w:val="105"/>
          <w:sz w:val="11"/>
        </w:rPr>
        <w:t>párr.</w:t>
      </w:r>
      <w:r>
        <w:rPr>
          <w:spacing w:val="-4"/>
          <w:w w:val="105"/>
          <w:sz w:val="11"/>
        </w:rPr>
        <w:t xml:space="preserve"> </w:t>
      </w:r>
      <w:r>
        <w:rPr>
          <w:spacing w:val="-2"/>
          <w:w w:val="105"/>
          <w:sz w:val="11"/>
        </w:rPr>
        <w:t>25(a).</w:t>
      </w:r>
    </w:p>
    <w:p w14:paraId="66478442" w14:textId="77777777" w:rsidR="0014798C" w:rsidRDefault="004E1F0B">
      <w:pPr>
        <w:pStyle w:val="Prrafodelista"/>
        <w:numPr>
          <w:ilvl w:val="0"/>
          <w:numId w:val="60"/>
        </w:numPr>
        <w:tabs>
          <w:tab w:val="left" w:pos="1328"/>
        </w:tabs>
        <w:spacing w:before="78"/>
        <w:ind w:left="1328" w:hanging="223"/>
        <w:rPr>
          <w:sz w:val="11"/>
        </w:rPr>
      </w:pPr>
      <w:proofErr w:type="spellStart"/>
      <w:r>
        <w:rPr>
          <w:spacing w:val="-2"/>
          <w:w w:val="105"/>
          <w:sz w:val="11"/>
        </w:rPr>
        <w:t>Ibíd</w:t>
      </w:r>
      <w:proofErr w:type="spellEnd"/>
      <w:r>
        <w:rPr>
          <w:spacing w:val="-2"/>
          <w:w w:val="105"/>
          <w:sz w:val="11"/>
        </w:rPr>
        <w:t>.</w:t>
      </w:r>
    </w:p>
    <w:p w14:paraId="60A9D69B" w14:textId="77777777" w:rsidR="0014798C" w:rsidRDefault="0014798C">
      <w:pPr>
        <w:pStyle w:val="Textoindependiente"/>
        <w:spacing w:before="16"/>
        <w:rPr>
          <w:sz w:val="11"/>
        </w:rPr>
      </w:pPr>
    </w:p>
    <w:p w14:paraId="6E9AD119" w14:textId="77777777" w:rsidR="0014798C" w:rsidRDefault="004E1F0B">
      <w:pPr>
        <w:pStyle w:val="Prrafodelista"/>
        <w:numPr>
          <w:ilvl w:val="0"/>
          <w:numId w:val="60"/>
        </w:numPr>
        <w:tabs>
          <w:tab w:val="left" w:pos="1328"/>
        </w:tabs>
        <w:ind w:left="1328" w:hanging="223"/>
        <w:rPr>
          <w:sz w:val="11"/>
        </w:rPr>
      </w:pPr>
      <w:proofErr w:type="spellStart"/>
      <w:r>
        <w:rPr>
          <w:w w:val="105"/>
          <w:sz w:val="11"/>
        </w:rPr>
        <w:t>Ibíd</w:t>
      </w:r>
      <w:proofErr w:type="spellEnd"/>
      <w:r>
        <w:rPr>
          <w:w w:val="105"/>
          <w:sz w:val="11"/>
        </w:rPr>
        <w:t>.,</w:t>
      </w:r>
      <w:r>
        <w:rPr>
          <w:spacing w:val="-4"/>
          <w:w w:val="105"/>
          <w:sz w:val="11"/>
        </w:rPr>
        <w:t xml:space="preserve"> </w:t>
      </w:r>
      <w:r>
        <w:rPr>
          <w:w w:val="105"/>
          <w:sz w:val="11"/>
        </w:rPr>
        <w:t>párr.</w:t>
      </w:r>
      <w:r>
        <w:rPr>
          <w:spacing w:val="-4"/>
          <w:w w:val="105"/>
          <w:sz w:val="11"/>
        </w:rPr>
        <w:t xml:space="preserve"> </w:t>
      </w:r>
      <w:r>
        <w:rPr>
          <w:w w:val="105"/>
          <w:sz w:val="11"/>
        </w:rPr>
        <w:t>25</w:t>
      </w:r>
      <w:r>
        <w:rPr>
          <w:spacing w:val="-4"/>
          <w:w w:val="105"/>
          <w:sz w:val="11"/>
        </w:rPr>
        <w:t xml:space="preserve"> (b).</w:t>
      </w:r>
    </w:p>
    <w:p w14:paraId="44548F4A" w14:textId="77777777" w:rsidR="0014798C" w:rsidRDefault="004E1F0B">
      <w:pPr>
        <w:pStyle w:val="Prrafodelista"/>
        <w:numPr>
          <w:ilvl w:val="0"/>
          <w:numId w:val="60"/>
        </w:numPr>
        <w:tabs>
          <w:tab w:val="left" w:pos="1328"/>
        </w:tabs>
        <w:spacing w:before="110"/>
        <w:ind w:left="1328" w:hanging="223"/>
        <w:rPr>
          <w:sz w:val="11"/>
        </w:rPr>
      </w:pPr>
      <w:proofErr w:type="spellStart"/>
      <w:r>
        <w:rPr>
          <w:w w:val="105"/>
          <w:sz w:val="11"/>
        </w:rPr>
        <w:t>Ibíd</w:t>
      </w:r>
      <w:proofErr w:type="spellEnd"/>
      <w:r>
        <w:rPr>
          <w:w w:val="105"/>
          <w:sz w:val="11"/>
        </w:rPr>
        <w:t>.,</w:t>
      </w:r>
      <w:r>
        <w:rPr>
          <w:spacing w:val="-4"/>
          <w:w w:val="105"/>
          <w:sz w:val="11"/>
        </w:rPr>
        <w:t xml:space="preserve"> </w:t>
      </w:r>
      <w:r>
        <w:rPr>
          <w:w w:val="105"/>
          <w:sz w:val="11"/>
        </w:rPr>
        <w:t>párr.</w:t>
      </w:r>
      <w:r>
        <w:rPr>
          <w:spacing w:val="-4"/>
          <w:w w:val="105"/>
          <w:sz w:val="11"/>
        </w:rPr>
        <w:t xml:space="preserve"> </w:t>
      </w:r>
      <w:r>
        <w:rPr>
          <w:w w:val="105"/>
          <w:sz w:val="11"/>
        </w:rPr>
        <w:t>26</w:t>
      </w:r>
      <w:r>
        <w:rPr>
          <w:spacing w:val="-4"/>
          <w:w w:val="105"/>
          <w:sz w:val="11"/>
        </w:rPr>
        <w:t xml:space="preserve"> </w:t>
      </w:r>
      <w:r>
        <w:rPr>
          <w:spacing w:val="-5"/>
          <w:w w:val="105"/>
          <w:sz w:val="11"/>
        </w:rPr>
        <w:t>d).</w:t>
      </w:r>
    </w:p>
    <w:p w14:paraId="7B09D03D" w14:textId="77777777" w:rsidR="0014798C" w:rsidRDefault="004E1F0B">
      <w:pPr>
        <w:pStyle w:val="Prrafodelista"/>
        <w:numPr>
          <w:ilvl w:val="0"/>
          <w:numId w:val="60"/>
        </w:numPr>
        <w:tabs>
          <w:tab w:val="left" w:pos="1328"/>
        </w:tabs>
        <w:spacing w:before="110"/>
        <w:ind w:left="1328" w:hanging="223"/>
        <w:rPr>
          <w:sz w:val="11"/>
        </w:rPr>
      </w:pPr>
      <w:proofErr w:type="spellStart"/>
      <w:r>
        <w:rPr>
          <w:w w:val="105"/>
          <w:sz w:val="11"/>
        </w:rPr>
        <w:t>Ibíd</w:t>
      </w:r>
      <w:proofErr w:type="spellEnd"/>
      <w:r>
        <w:rPr>
          <w:w w:val="105"/>
          <w:sz w:val="11"/>
        </w:rPr>
        <w:t>.,</w:t>
      </w:r>
      <w:r>
        <w:rPr>
          <w:spacing w:val="-6"/>
          <w:w w:val="105"/>
          <w:sz w:val="11"/>
        </w:rPr>
        <w:t xml:space="preserve"> </w:t>
      </w:r>
      <w:r>
        <w:rPr>
          <w:w w:val="105"/>
          <w:sz w:val="11"/>
        </w:rPr>
        <w:t>párr.</w:t>
      </w:r>
      <w:r>
        <w:rPr>
          <w:spacing w:val="-5"/>
          <w:w w:val="105"/>
          <w:sz w:val="11"/>
        </w:rPr>
        <w:t xml:space="preserve"> </w:t>
      </w:r>
      <w:r>
        <w:rPr>
          <w:spacing w:val="-2"/>
          <w:w w:val="105"/>
          <w:sz w:val="11"/>
        </w:rPr>
        <w:t>26(e).</w:t>
      </w:r>
    </w:p>
    <w:p w14:paraId="4286A381" w14:textId="77777777" w:rsidR="0014798C" w:rsidRDefault="004E1F0B">
      <w:pPr>
        <w:pStyle w:val="Prrafodelista"/>
        <w:numPr>
          <w:ilvl w:val="0"/>
          <w:numId w:val="60"/>
        </w:numPr>
        <w:tabs>
          <w:tab w:val="left" w:pos="1328"/>
        </w:tabs>
        <w:spacing w:before="110"/>
        <w:ind w:left="1328" w:hanging="223"/>
        <w:rPr>
          <w:sz w:val="11"/>
        </w:rPr>
      </w:pPr>
      <w:proofErr w:type="spellStart"/>
      <w:r>
        <w:rPr>
          <w:w w:val="105"/>
          <w:sz w:val="11"/>
        </w:rPr>
        <w:t>Ibíd</w:t>
      </w:r>
      <w:proofErr w:type="spellEnd"/>
      <w:r>
        <w:rPr>
          <w:w w:val="105"/>
          <w:sz w:val="11"/>
        </w:rPr>
        <w:t>.,</w:t>
      </w:r>
      <w:r>
        <w:rPr>
          <w:spacing w:val="-4"/>
          <w:w w:val="105"/>
          <w:sz w:val="11"/>
        </w:rPr>
        <w:t xml:space="preserve"> </w:t>
      </w:r>
      <w:r>
        <w:rPr>
          <w:w w:val="105"/>
          <w:sz w:val="11"/>
        </w:rPr>
        <w:t>párr.</w:t>
      </w:r>
      <w:r>
        <w:rPr>
          <w:spacing w:val="-4"/>
          <w:w w:val="105"/>
          <w:sz w:val="11"/>
        </w:rPr>
        <w:t xml:space="preserve"> </w:t>
      </w:r>
      <w:r>
        <w:rPr>
          <w:w w:val="105"/>
          <w:sz w:val="11"/>
        </w:rPr>
        <w:t>25</w:t>
      </w:r>
      <w:r>
        <w:rPr>
          <w:spacing w:val="-4"/>
          <w:w w:val="105"/>
          <w:sz w:val="11"/>
        </w:rPr>
        <w:t xml:space="preserve"> (d).</w:t>
      </w:r>
    </w:p>
    <w:p w14:paraId="423B62B5" w14:textId="77777777" w:rsidR="0014798C" w:rsidRDefault="004E1F0B">
      <w:pPr>
        <w:pStyle w:val="Prrafodelista"/>
        <w:numPr>
          <w:ilvl w:val="0"/>
          <w:numId w:val="60"/>
        </w:numPr>
        <w:tabs>
          <w:tab w:val="left" w:pos="1328"/>
        </w:tabs>
        <w:spacing w:before="110"/>
        <w:ind w:left="1328" w:hanging="223"/>
        <w:rPr>
          <w:sz w:val="11"/>
        </w:rPr>
      </w:pPr>
      <w:r>
        <w:rPr>
          <w:w w:val="105"/>
          <w:sz w:val="11"/>
        </w:rPr>
        <w:t>Relator</w:t>
      </w:r>
      <w:r>
        <w:rPr>
          <w:spacing w:val="-3"/>
          <w:w w:val="105"/>
          <w:sz w:val="11"/>
        </w:rPr>
        <w:t xml:space="preserve"> </w:t>
      </w:r>
      <w:r>
        <w:rPr>
          <w:w w:val="105"/>
          <w:sz w:val="11"/>
        </w:rPr>
        <w:t>Especial</w:t>
      </w:r>
      <w:r>
        <w:rPr>
          <w:spacing w:val="-3"/>
          <w:w w:val="105"/>
          <w:sz w:val="11"/>
        </w:rPr>
        <w:t xml:space="preserve"> </w:t>
      </w:r>
      <w:r>
        <w:rPr>
          <w:w w:val="105"/>
          <w:sz w:val="11"/>
        </w:rPr>
        <w:t>sobre</w:t>
      </w:r>
      <w:r>
        <w:rPr>
          <w:spacing w:val="-3"/>
          <w:w w:val="105"/>
          <w:sz w:val="11"/>
        </w:rPr>
        <w:t xml:space="preserve"> </w:t>
      </w:r>
      <w:r>
        <w:rPr>
          <w:w w:val="105"/>
          <w:sz w:val="11"/>
        </w:rPr>
        <w:t>los</w:t>
      </w:r>
      <w:r>
        <w:rPr>
          <w:spacing w:val="-3"/>
          <w:w w:val="105"/>
          <w:sz w:val="11"/>
        </w:rPr>
        <w:t xml:space="preserve"> </w:t>
      </w:r>
      <w:r>
        <w:rPr>
          <w:w w:val="105"/>
          <w:sz w:val="11"/>
        </w:rPr>
        <w:t>derechos</w:t>
      </w:r>
      <w:r>
        <w:rPr>
          <w:spacing w:val="-3"/>
          <w:w w:val="105"/>
          <w:sz w:val="11"/>
        </w:rPr>
        <w:t xml:space="preserve"> </w:t>
      </w:r>
      <w:r>
        <w:rPr>
          <w:w w:val="105"/>
          <w:sz w:val="11"/>
        </w:rPr>
        <w:t>de</w:t>
      </w:r>
      <w:r>
        <w:rPr>
          <w:spacing w:val="-3"/>
          <w:w w:val="105"/>
          <w:sz w:val="11"/>
        </w:rPr>
        <w:t xml:space="preserve"> </w:t>
      </w:r>
      <w:r>
        <w:rPr>
          <w:w w:val="105"/>
          <w:sz w:val="11"/>
        </w:rPr>
        <w:t>las</w:t>
      </w:r>
      <w:r>
        <w:rPr>
          <w:spacing w:val="-3"/>
          <w:w w:val="105"/>
          <w:sz w:val="11"/>
        </w:rPr>
        <w:t xml:space="preserve"> </w:t>
      </w:r>
      <w:r>
        <w:rPr>
          <w:w w:val="105"/>
          <w:sz w:val="11"/>
        </w:rPr>
        <w:t>personas</w:t>
      </w:r>
      <w:r>
        <w:rPr>
          <w:spacing w:val="-3"/>
          <w:w w:val="105"/>
          <w:sz w:val="11"/>
        </w:rPr>
        <w:t xml:space="preserve"> </w:t>
      </w:r>
      <w:r>
        <w:rPr>
          <w:w w:val="105"/>
          <w:sz w:val="11"/>
        </w:rPr>
        <w:t>con</w:t>
      </w:r>
      <w:r>
        <w:rPr>
          <w:spacing w:val="-3"/>
          <w:w w:val="105"/>
          <w:sz w:val="11"/>
        </w:rPr>
        <w:t xml:space="preserve"> </w:t>
      </w:r>
      <w:r>
        <w:rPr>
          <w:w w:val="105"/>
          <w:sz w:val="11"/>
        </w:rPr>
        <w:t>discapacidad,</w:t>
      </w:r>
      <w:r>
        <w:rPr>
          <w:spacing w:val="-2"/>
          <w:w w:val="105"/>
          <w:sz w:val="11"/>
        </w:rPr>
        <w:t xml:space="preserve"> </w:t>
      </w:r>
      <w:r>
        <w:rPr>
          <w:w w:val="105"/>
          <w:sz w:val="11"/>
        </w:rPr>
        <w:t>el</w:t>
      </w:r>
      <w:r>
        <w:rPr>
          <w:spacing w:val="-3"/>
          <w:w w:val="105"/>
          <w:sz w:val="11"/>
        </w:rPr>
        <w:t xml:space="preserve"> </w:t>
      </w:r>
      <w:r>
        <w:rPr>
          <w:w w:val="105"/>
          <w:sz w:val="11"/>
        </w:rPr>
        <w:t>Comité</w:t>
      </w:r>
      <w:r>
        <w:rPr>
          <w:spacing w:val="-3"/>
          <w:w w:val="105"/>
          <w:sz w:val="11"/>
        </w:rPr>
        <w:t xml:space="preserve"> </w:t>
      </w:r>
      <w:r>
        <w:rPr>
          <w:w w:val="105"/>
          <w:sz w:val="11"/>
        </w:rPr>
        <w:t>sobre</w:t>
      </w:r>
      <w:r>
        <w:rPr>
          <w:spacing w:val="-3"/>
          <w:w w:val="105"/>
          <w:sz w:val="11"/>
        </w:rPr>
        <w:t xml:space="preserve"> </w:t>
      </w:r>
      <w:r>
        <w:rPr>
          <w:w w:val="105"/>
          <w:sz w:val="11"/>
        </w:rPr>
        <w:t>los</w:t>
      </w:r>
      <w:r>
        <w:rPr>
          <w:spacing w:val="-3"/>
          <w:w w:val="105"/>
          <w:sz w:val="11"/>
        </w:rPr>
        <w:t xml:space="preserve"> </w:t>
      </w:r>
      <w:r>
        <w:rPr>
          <w:w w:val="105"/>
          <w:sz w:val="11"/>
        </w:rPr>
        <w:t>Derechos</w:t>
      </w:r>
      <w:r>
        <w:rPr>
          <w:spacing w:val="-3"/>
          <w:w w:val="105"/>
          <w:sz w:val="11"/>
        </w:rPr>
        <w:t xml:space="preserve"> </w:t>
      </w:r>
      <w:r>
        <w:rPr>
          <w:w w:val="105"/>
          <w:sz w:val="11"/>
        </w:rPr>
        <w:t>de</w:t>
      </w:r>
      <w:r>
        <w:rPr>
          <w:spacing w:val="-3"/>
          <w:w w:val="105"/>
          <w:sz w:val="11"/>
        </w:rPr>
        <w:t xml:space="preserve"> </w:t>
      </w:r>
      <w:r>
        <w:rPr>
          <w:w w:val="105"/>
          <w:sz w:val="11"/>
        </w:rPr>
        <w:t>las</w:t>
      </w:r>
      <w:r>
        <w:rPr>
          <w:spacing w:val="-3"/>
          <w:w w:val="105"/>
          <w:sz w:val="11"/>
        </w:rPr>
        <w:t xml:space="preserve"> </w:t>
      </w:r>
      <w:r>
        <w:rPr>
          <w:w w:val="105"/>
          <w:sz w:val="11"/>
        </w:rPr>
        <w:t>Personas</w:t>
      </w:r>
      <w:r>
        <w:rPr>
          <w:spacing w:val="-3"/>
          <w:w w:val="105"/>
          <w:sz w:val="11"/>
        </w:rPr>
        <w:t xml:space="preserve"> </w:t>
      </w:r>
      <w:r>
        <w:rPr>
          <w:w w:val="105"/>
          <w:sz w:val="11"/>
        </w:rPr>
        <w:t>con</w:t>
      </w:r>
      <w:r>
        <w:rPr>
          <w:spacing w:val="-3"/>
          <w:w w:val="105"/>
          <w:sz w:val="11"/>
        </w:rPr>
        <w:t xml:space="preserve"> </w:t>
      </w:r>
      <w:r>
        <w:rPr>
          <w:w w:val="105"/>
          <w:sz w:val="11"/>
        </w:rPr>
        <w:t>Discapacidad</w:t>
      </w:r>
      <w:r>
        <w:rPr>
          <w:spacing w:val="-3"/>
          <w:w w:val="105"/>
          <w:sz w:val="11"/>
        </w:rPr>
        <w:t xml:space="preserve"> </w:t>
      </w:r>
      <w:r>
        <w:rPr>
          <w:w w:val="105"/>
          <w:sz w:val="11"/>
        </w:rPr>
        <w:t>y</w:t>
      </w:r>
      <w:r>
        <w:rPr>
          <w:spacing w:val="-3"/>
          <w:w w:val="105"/>
          <w:sz w:val="11"/>
        </w:rPr>
        <w:t xml:space="preserve"> </w:t>
      </w:r>
      <w:r>
        <w:rPr>
          <w:w w:val="105"/>
          <w:sz w:val="11"/>
        </w:rPr>
        <w:t>el</w:t>
      </w:r>
      <w:r>
        <w:rPr>
          <w:spacing w:val="-3"/>
          <w:w w:val="105"/>
          <w:sz w:val="11"/>
        </w:rPr>
        <w:t xml:space="preserve"> </w:t>
      </w:r>
      <w:r>
        <w:rPr>
          <w:w w:val="105"/>
          <w:sz w:val="11"/>
        </w:rPr>
        <w:t>Comité</w:t>
      </w:r>
      <w:r>
        <w:rPr>
          <w:spacing w:val="-3"/>
          <w:w w:val="105"/>
          <w:sz w:val="11"/>
        </w:rPr>
        <w:t xml:space="preserve"> </w:t>
      </w:r>
      <w:r>
        <w:rPr>
          <w:spacing w:val="-2"/>
          <w:w w:val="105"/>
          <w:sz w:val="11"/>
        </w:rPr>
        <w:t>Especial</w:t>
      </w:r>
    </w:p>
    <w:p w14:paraId="7B46813B" w14:textId="77777777" w:rsidR="0014798C" w:rsidRDefault="004E1F0B">
      <w:pPr>
        <w:spacing w:before="38" w:line="288" w:lineRule="auto"/>
        <w:ind w:left="1358" w:right="1418" w:firstLine="9"/>
        <w:rPr>
          <w:sz w:val="13"/>
        </w:rPr>
      </w:pPr>
      <w:r>
        <w:rPr>
          <w:sz w:val="13"/>
        </w:rPr>
        <w:t>Enviado</w:t>
      </w:r>
      <w:r>
        <w:rPr>
          <w:spacing w:val="-2"/>
          <w:sz w:val="13"/>
        </w:rPr>
        <w:t xml:space="preserve"> </w:t>
      </w:r>
      <w:r>
        <w:rPr>
          <w:sz w:val="13"/>
        </w:rPr>
        <w:t>del</w:t>
      </w:r>
      <w:r>
        <w:rPr>
          <w:spacing w:val="-1"/>
          <w:sz w:val="13"/>
        </w:rPr>
        <w:t xml:space="preserve"> </w:t>
      </w:r>
      <w:r>
        <w:rPr>
          <w:sz w:val="13"/>
        </w:rPr>
        <w:t>Secretario</w:t>
      </w:r>
      <w:r>
        <w:rPr>
          <w:spacing w:val="-2"/>
          <w:sz w:val="13"/>
        </w:rPr>
        <w:t xml:space="preserve"> </w:t>
      </w:r>
      <w:r>
        <w:rPr>
          <w:sz w:val="13"/>
        </w:rPr>
        <w:t>General</w:t>
      </w:r>
      <w:r>
        <w:rPr>
          <w:spacing w:val="-2"/>
          <w:sz w:val="13"/>
        </w:rPr>
        <w:t xml:space="preserve"> </w:t>
      </w:r>
      <w:r>
        <w:rPr>
          <w:sz w:val="13"/>
        </w:rPr>
        <w:t>de</w:t>
      </w:r>
      <w:r>
        <w:rPr>
          <w:spacing w:val="-1"/>
          <w:sz w:val="13"/>
        </w:rPr>
        <w:t xml:space="preserve"> </w:t>
      </w:r>
      <w:r>
        <w:rPr>
          <w:sz w:val="13"/>
        </w:rPr>
        <w:t>las</w:t>
      </w:r>
      <w:r>
        <w:rPr>
          <w:spacing w:val="-2"/>
          <w:sz w:val="13"/>
        </w:rPr>
        <w:t xml:space="preserve"> </w:t>
      </w:r>
      <w:r>
        <w:rPr>
          <w:sz w:val="13"/>
        </w:rPr>
        <w:t>Naciones</w:t>
      </w:r>
      <w:r>
        <w:rPr>
          <w:spacing w:val="-2"/>
          <w:sz w:val="13"/>
        </w:rPr>
        <w:t xml:space="preserve"> </w:t>
      </w:r>
      <w:r>
        <w:rPr>
          <w:sz w:val="13"/>
        </w:rPr>
        <w:t>Unidas</w:t>
      </w:r>
      <w:r>
        <w:rPr>
          <w:spacing w:val="-2"/>
          <w:sz w:val="13"/>
        </w:rPr>
        <w:t xml:space="preserve"> </w:t>
      </w:r>
      <w:r>
        <w:rPr>
          <w:sz w:val="13"/>
        </w:rPr>
        <w:t>para</w:t>
      </w:r>
      <w:r>
        <w:rPr>
          <w:spacing w:val="-1"/>
          <w:sz w:val="13"/>
        </w:rPr>
        <w:t xml:space="preserve"> </w:t>
      </w:r>
      <w:r>
        <w:rPr>
          <w:sz w:val="13"/>
        </w:rPr>
        <w:t>la</w:t>
      </w:r>
      <w:r>
        <w:rPr>
          <w:spacing w:val="-1"/>
          <w:sz w:val="13"/>
        </w:rPr>
        <w:t xml:space="preserve"> </w:t>
      </w:r>
      <w:r>
        <w:rPr>
          <w:sz w:val="13"/>
        </w:rPr>
        <w:t>Discapacidad</w:t>
      </w:r>
      <w:r>
        <w:rPr>
          <w:spacing w:val="-1"/>
          <w:sz w:val="13"/>
        </w:rPr>
        <w:t xml:space="preserve"> </w:t>
      </w:r>
      <w:r>
        <w:rPr>
          <w:sz w:val="13"/>
        </w:rPr>
        <w:t>y</w:t>
      </w:r>
      <w:r>
        <w:rPr>
          <w:spacing w:val="-1"/>
          <w:sz w:val="13"/>
        </w:rPr>
        <w:t xml:space="preserve"> </w:t>
      </w:r>
      <w:r>
        <w:rPr>
          <w:sz w:val="13"/>
        </w:rPr>
        <w:t>la</w:t>
      </w:r>
      <w:r>
        <w:rPr>
          <w:spacing w:val="-1"/>
          <w:sz w:val="13"/>
        </w:rPr>
        <w:t xml:space="preserve"> </w:t>
      </w:r>
      <w:r>
        <w:rPr>
          <w:sz w:val="13"/>
        </w:rPr>
        <w:t>Accesibilidad, “Principios</w:t>
      </w:r>
      <w:r>
        <w:rPr>
          <w:spacing w:val="-2"/>
          <w:sz w:val="13"/>
        </w:rPr>
        <w:t xml:space="preserve"> </w:t>
      </w:r>
      <w:r>
        <w:rPr>
          <w:sz w:val="13"/>
        </w:rPr>
        <w:t>y</w:t>
      </w:r>
      <w:r>
        <w:rPr>
          <w:spacing w:val="-1"/>
          <w:sz w:val="13"/>
        </w:rPr>
        <w:t xml:space="preserve"> </w:t>
      </w:r>
      <w:r>
        <w:rPr>
          <w:sz w:val="13"/>
        </w:rPr>
        <w:t>directrices</w:t>
      </w:r>
      <w:r>
        <w:rPr>
          <w:spacing w:val="-2"/>
          <w:sz w:val="13"/>
        </w:rPr>
        <w:t xml:space="preserve"> </w:t>
      </w:r>
      <w:r>
        <w:rPr>
          <w:sz w:val="13"/>
        </w:rPr>
        <w:t>internacionales</w:t>
      </w:r>
      <w:r>
        <w:rPr>
          <w:spacing w:val="-2"/>
          <w:sz w:val="13"/>
        </w:rPr>
        <w:t xml:space="preserve"> </w:t>
      </w:r>
      <w:r>
        <w:rPr>
          <w:sz w:val="13"/>
        </w:rPr>
        <w:t>sobre</w:t>
      </w:r>
      <w:r>
        <w:rPr>
          <w:spacing w:val="-1"/>
          <w:sz w:val="13"/>
        </w:rPr>
        <w:t xml:space="preserve"> </w:t>
      </w:r>
      <w:r>
        <w:rPr>
          <w:sz w:val="13"/>
        </w:rPr>
        <w:t>el</w:t>
      </w:r>
      <w:r>
        <w:rPr>
          <w:spacing w:val="-1"/>
          <w:sz w:val="13"/>
        </w:rPr>
        <w:t xml:space="preserve"> </w:t>
      </w:r>
      <w:r>
        <w:rPr>
          <w:sz w:val="13"/>
        </w:rPr>
        <w:t>acceso</w:t>
      </w:r>
      <w:r>
        <w:rPr>
          <w:spacing w:val="-1"/>
          <w:sz w:val="13"/>
        </w:rPr>
        <w:t xml:space="preserve"> </w:t>
      </w:r>
      <w:r>
        <w:rPr>
          <w:sz w:val="13"/>
        </w:rPr>
        <w:t>a</w:t>
      </w:r>
      <w:r>
        <w:rPr>
          <w:spacing w:val="40"/>
          <w:sz w:val="13"/>
        </w:rPr>
        <w:t xml:space="preserve"> </w:t>
      </w:r>
      <w:r>
        <w:rPr>
          <w:sz w:val="13"/>
        </w:rPr>
        <w:t>la justicia de las personas con discapacidad” (Ginebra, 2020), p. 9.</w:t>
      </w:r>
    </w:p>
    <w:p w14:paraId="5AD8BF93" w14:textId="77777777" w:rsidR="0014798C" w:rsidRDefault="004E1F0B">
      <w:pPr>
        <w:pStyle w:val="Prrafodelista"/>
        <w:numPr>
          <w:ilvl w:val="0"/>
          <w:numId w:val="60"/>
        </w:numPr>
        <w:tabs>
          <w:tab w:val="left" w:pos="1328"/>
        </w:tabs>
        <w:spacing w:before="72"/>
        <w:ind w:left="1328" w:hanging="223"/>
        <w:rPr>
          <w:sz w:val="11"/>
        </w:rPr>
      </w:pPr>
      <w:r>
        <w:rPr>
          <w:w w:val="105"/>
          <w:sz w:val="11"/>
        </w:rPr>
        <w:t>Comité</w:t>
      </w:r>
      <w:r>
        <w:rPr>
          <w:spacing w:val="-4"/>
          <w:w w:val="105"/>
          <w:sz w:val="11"/>
        </w:rPr>
        <w:t xml:space="preserve"> </w:t>
      </w:r>
      <w:r>
        <w:rPr>
          <w:w w:val="105"/>
          <w:sz w:val="11"/>
        </w:rPr>
        <w:t>sobre</w:t>
      </w:r>
      <w:r>
        <w:rPr>
          <w:spacing w:val="-4"/>
          <w:w w:val="105"/>
          <w:sz w:val="11"/>
        </w:rPr>
        <w:t xml:space="preserve"> </w:t>
      </w:r>
      <w:r>
        <w:rPr>
          <w:w w:val="105"/>
          <w:sz w:val="11"/>
        </w:rPr>
        <w:t>los</w:t>
      </w:r>
      <w:r>
        <w:rPr>
          <w:spacing w:val="-4"/>
          <w:w w:val="105"/>
          <w:sz w:val="11"/>
        </w:rPr>
        <w:t xml:space="preserve"> </w:t>
      </w:r>
      <w:r>
        <w:rPr>
          <w:w w:val="105"/>
          <w:sz w:val="11"/>
        </w:rPr>
        <w:t>Derechos</w:t>
      </w:r>
      <w:r>
        <w:rPr>
          <w:spacing w:val="-3"/>
          <w:w w:val="105"/>
          <w:sz w:val="11"/>
        </w:rPr>
        <w:t xml:space="preserve"> </w:t>
      </w:r>
      <w:r>
        <w:rPr>
          <w:w w:val="105"/>
          <w:sz w:val="11"/>
        </w:rPr>
        <w:t>de</w:t>
      </w:r>
      <w:r>
        <w:rPr>
          <w:spacing w:val="-4"/>
          <w:w w:val="105"/>
          <w:sz w:val="11"/>
        </w:rPr>
        <w:t xml:space="preserve"> </w:t>
      </w:r>
      <w:r>
        <w:rPr>
          <w:w w:val="105"/>
          <w:sz w:val="11"/>
        </w:rPr>
        <w:t>las</w:t>
      </w:r>
      <w:r>
        <w:rPr>
          <w:spacing w:val="-4"/>
          <w:w w:val="105"/>
          <w:sz w:val="11"/>
        </w:rPr>
        <w:t xml:space="preserve"> </w:t>
      </w:r>
      <w:r>
        <w:rPr>
          <w:w w:val="105"/>
          <w:sz w:val="11"/>
        </w:rPr>
        <w:t>Personas</w:t>
      </w:r>
      <w:r>
        <w:rPr>
          <w:spacing w:val="-4"/>
          <w:w w:val="105"/>
          <w:sz w:val="11"/>
        </w:rPr>
        <w:t xml:space="preserve"> </w:t>
      </w:r>
      <w:r>
        <w:rPr>
          <w:w w:val="105"/>
          <w:sz w:val="11"/>
        </w:rPr>
        <w:t>con</w:t>
      </w:r>
      <w:r>
        <w:rPr>
          <w:spacing w:val="-3"/>
          <w:w w:val="105"/>
          <w:sz w:val="11"/>
        </w:rPr>
        <w:t xml:space="preserve"> </w:t>
      </w:r>
      <w:r>
        <w:rPr>
          <w:w w:val="105"/>
          <w:sz w:val="11"/>
        </w:rPr>
        <w:t>Discapacidad,</w:t>
      </w:r>
      <w:r>
        <w:rPr>
          <w:spacing w:val="-3"/>
          <w:w w:val="105"/>
          <w:sz w:val="11"/>
        </w:rPr>
        <w:t xml:space="preserve"> </w:t>
      </w:r>
      <w:r>
        <w:rPr>
          <w:w w:val="105"/>
          <w:sz w:val="11"/>
        </w:rPr>
        <w:t>observación</w:t>
      </w:r>
      <w:r>
        <w:rPr>
          <w:spacing w:val="-4"/>
          <w:w w:val="105"/>
          <w:sz w:val="11"/>
        </w:rPr>
        <w:t xml:space="preserve"> </w:t>
      </w:r>
      <w:r>
        <w:rPr>
          <w:w w:val="105"/>
          <w:sz w:val="11"/>
        </w:rPr>
        <w:t>general</w:t>
      </w:r>
      <w:r>
        <w:rPr>
          <w:spacing w:val="-4"/>
          <w:w w:val="105"/>
          <w:sz w:val="11"/>
        </w:rPr>
        <w:t xml:space="preserve"> </w:t>
      </w:r>
      <w:r>
        <w:rPr>
          <w:w w:val="105"/>
          <w:sz w:val="11"/>
        </w:rPr>
        <w:t>núm.</w:t>
      </w:r>
      <w:r>
        <w:rPr>
          <w:spacing w:val="-3"/>
          <w:w w:val="105"/>
          <w:sz w:val="11"/>
        </w:rPr>
        <w:t xml:space="preserve"> </w:t>
      </w:r>
      <w:r>
        <w:rPr>
          <w:w w:val="105"/>
          <w:sz w:val="11"/>
        </w:rPr>
        <w:t>6</w:t>
      </w:r>
      <w:r>
        <w:rPr>
          <w:spacing w:val="-4"/>
          <w:w w:val="105"/>
          <w:sz w:val="11"/>
        </w:rPr>
        <w:t xml:space="preserve"> </w:t>
      </w:r>
      <w:r>
        <w:rPr>
          <w:w w:val="105"/>
          <w:sz w:val="11"/>
        </w:rPr>
        <w:t>(2018),</w:t>
      </w:r>
      <w:r>
        <w:rPr>
          <w:spacing w:val="-3"/>
          <w:w w:val="105"/>
          <w:sz w:val="11"/>
        </w:rPr>
        <w:t xml:space="preserve"> </w:t>
      </w:r>
      <w:proofErr w:type="spellStart"/>
      <w:r>
        <w:rPr>
          <w:w w:val="105"/>
          <w:sz w:val="11"/>
        </w:rPr>
        <w:t>párrs</w:t>
      </w:r>
      <w:proofErr w:type="spellEnd"/>
      <w:r>
        <w:rPr>
          <w:w w:val="105"/>
          <w:sz w:val="11"/>
        </w:rPr>
        <w:t>.</w:t>
      </w:r>
      <w:r>
        <w:rPr>
          <w:spacing w:val="-4"/>
          <w:w w:val="105"/>
          <w:sz w:val="11"/>
        </w:rPr>
        <w:t xml:space="preserve"> </w:t>
      </w:r>
      <w:r>
        <w:rPr>
          <w:w w:val="105"/>
          <w:sz w:val="11"/>
        </w:rPr>
        <w:t>25</w:t>
      </w:r>
      <w:r>
        <w:rPr>
          <w:spacing w:val="-4"/>
          <w:w w:val="105"/>
          <w:sz w:val="11"/>
        </w:rPr>
        <w:t xml:space="preserve"> </w:t>
      </w:r>
      <w:r>
        <w:rPr>
          <w:w w:val="105"/>
          <w:sz w:val="11"/>
        </w:rPr>
        <w:t>(d),</w:t>
      </w:r>
      <w:r>
        <w:rPr>
          <w:spacing w:val="-3"/>
          <w:w w:val="105"/>
          <w:sz w:val="11"/>
        </w:rPr>
        <w:t xml:space="preserve"> </w:t>
      </w:r>
      <w:r>
        <w:rPr>
          <w:w w:val="105"/>
          <w:sz w:val="11"/>
        </w:rPr>
        <w:t>y</w:t>
      </w:r>
      <w:r>
        <w:rPr>
          <w:spacing w:val="-4"/>
          <w:w w:val="105"/>
          <w:sz w:val="11"/>
        </w:rPr>
        <w:t xml:space="preserve"> </w:t>
      </w:r>
      <w:r>
        <w:rPr>
          <w:spacing w:val="-5"/>
          <w:w w:val="105"/>
          <w:sz w:val="11"/>
        </w:rPr>
        <w:t>51.</w:t>
      </w:r>
    </w:p>
    <w:p w14:paraId="483A5014" w14:textId="77777777" w:rsidR="0014798C" w:rsidRDefault="0014798C">
      <w:pPr>
        <w:pStyle w:val="Textoindependiente"/>
        <w:rPr>
          <w:sz w:val="19"/>
        </w:rPr>
      </w:pPr>
    </w:p>
    <w:p w14:paraId="001EFBC4" w14:textId="77777777" w:rsidR="0014798C" w:rsidRDefault="0014798C">
      <w:pPr>
        <w:pStyle w:val="Textoindependiente"/>
        <w:spacing w:before="210"/>
        <w:rPr>
          <w:sz w:val="19"/>
        </w:rPr>
      </w:pPr>
    </w:p>
    <w:p w14:paraId="3FAD4247" w14:textId="77777777" w:rsidR="0014798C" w:rsidRDefault="004E1F0B">
      <w:pPr>
        <w:spacing w:before="1"/>
        <w:ind w:right="725"/>
        <w:jc w:val="right"/>
        <w:rPr>
          <w:sz w:val="19"/>
        </w:rPr>
      </w:pPr>
      <w:r>
        <w:rPr>
          <w:spacing w:val="-5"/>
          <w:sz w:val="19"/>
        </w:rPr>
        <w:t>53</w:t>
      </w:r>
    </w:p>
    <w:p w14:paraId="74D480D9" w14:textId="77777777" w:rsidR="0014798C" w:rsidRDefault="0014798C">
      <w:pPr>
        <w:jc w:val="right"/>
        <w:rPr>
          <w:sz w:val="19"/>
        </w:rPr>
        <w:sectPr w:rsidR="0014798C" w:rsidSect="00F265E4">
          <w:pgSz w:w="11900" w:h="16820"/>
          <w:pgMar w:top="340" w:right="0" w:bottom="280" w:left="200" w:header="121" w:footer="0" w:gutter="0"/>
          <w:cols w:space="720"/>
        </w:sectPr>
      </w:pPr>
    </w:p>
    <w:p w14:paraId="175FF201" w14:textId="77777777" w:rsidR="0014798C" w:rsidRDefault="0014798C">
      <w:pPr>
        <w:pStyle w:val="Textoindependiente"/>
        <w:spacing w:before="85"/>
        <w:rPr>
          <w:sz w:val="12"/>
        </w:rPr>
      </w:pPr>
    </w:p>
    <w:p w14:paraId="56D3DCDD" w14:textId="77777777" w:rsidR="0014798C" w:rsidRDefault="004E1F0B">
      <w:pPr>
        <w:ind w:left="1111"/>
        <w:rPr>
          <w:sz w:val="12"/>
        </w:rPr>
      </w:pPr>
      <w:r>
        <w:rPr>
          <w:color w:val="00AC59"/>
          <w:sz w:val="12"/>
        </w:rPr>
        <w:t>PROTECCIÓN</w:t>
      </w:r>
      <w:r>
        <w:rPr>
          <w:color w:val="00AC59"/>
          <w:spacing w:val="6"/>
          <w:sz w:val="12"/>
        </w:rPr>
        <w:t xml:space="preserve"> </w:t>
      </w:r>
      <w:r>
        <w:rPr>
          <w:color w:val="00AC59"/>
          <w:sz w:val="12"/>
        </w:rPr>
        <w:t>DE</w:t>
      </w:r>
      <w:r>
        <w:rPr>
          <w:color w:val="00AC59"/>
          <w:spacing w:val="7"/>
          <w:sz w:val="12"/>
        </w:rPr>
        <w:t xml:space="preserve"> </w:t>
      </w:r>
      <w:r>
        <w:rPr>
          <w:color w:val="00AC59"/>
          <w:sz w:val="12"/>
        </w:rPr>
        <w:t>LOS</w:t>
      </w:r>
      <w:r>
        <w:rPr>
          <w:color w:val="00AC59"/>
          <w:spacing w:val="8"/>
          <w:sz w:val="12"/>
        </w:rPr>
        <w:t xml:space="preserve"> </w:t>
      </w:r>
      <w:r>
        <w:rPr>
          <w:color w:val="00AC59"/>
          <w:sz w:val="12"/>
        </w:rPr>
        <w:t>DERECHOS</w:t>
      </w:r>
      <w:r>
        <w:rPr>
          <w:color w:val="00AC59"/>
          <w:spacing w:val="8"/>
          <w:sz w:val="12"/>
        </w:rPr>
        <w:t xml:space="preserve"> </w:t>
      </w:r>
      <w:r>
        <w:rPr>
          <w:color w:val="00AC59"/>
          <w:sz w:val="12"/>
        </w:rPr>
        <w:t>DE</w:t>
      </w:r>
      <w:r>
        <w:rPr>
          <w:color w:val="00AC59"/>
          <w:spacing w:val="6"/>
          <w:sz w:val="12"/>
        </w:rPr>
        <w:t xml:space="preserve"> </w:t>
      </w:r>
      <w:r>
        <w:rPr>
          <w:color w:val="00AC59"/>
          <w:sz w:val="12"/>
        </w:rPr>
        <w:t>LAS</w:t>
      </w:r>
      <w:r>
        <w:rPr>
          <w:color w:val="00AC59"/>
          <w:spacing w:val="7"/>
          <w:sz w:val="12"/>
        </w:rPr>
        <w:t xml:space="preserve"> </w:t>
      </w:r>
      <w:r>
        <w:rPr>
          <w:color w:val="00AC59"/>
          <w:sz w:val="12"/>
        </w:rPr>
        <w:t>MINORÍAS:</w:t>
      </w:r>
      <w:r>
        <w:rPr>
          <w:color w:val="00AC59"/>
          <w:spacing w:val="8"/>
          <w:sz w:val="12"/>
        </w:rPr>
        <w:t xml:space="preserve"> </w:t>
      </w:r>
      <w:r>
        <w:rPr>
          <w:color w:val="00AC59"/>
          <w:sz w:val="12"/>
        </w:rPr>
        <w:t>una</w:t>
      </w:r>
      <w:r>
        <w:rPr>
          <w:color w:val="00AC59"/>
          <w:spacing w:val="7"/>
          <w:sz w:val="12"/>
        </w:rPr>
        <w:t xml:space="preserve"> </w:t>
      </w:r>
      <w:r>
        <w:rPr>
          <w:color w:val="00AC59"/>
          <w:sz w:val="12"/>
        </w:rPr>
        <w:t>guía</w:t>
      </w:r>
      <w:r>
        <w:rPr>
          <w:color w:val="00AC59"/>
          <w:spacing w:val="6"/>
          <w:sz w:val="12"/>
        </w:rPr>
        <w:t xml:space="preserve"> </w:t>
      </w:r>
      <w:r>
        <w:rPr>
          <w:color w:val="00AC59"/>
          <w:sz w:val="12"/>
        </w:rPr>
        <w:t>práctica</w:t>
      </w:r>
      <w:r>
        <w:rPr>
          <w:color w:val="00AC59"/>
          <w:spacing w:val="7"/>
          <w:sz w:val="12"/>
        </w:rPr>
        <w:t xml:space="preserve"> </w:t>
      </w:r>
      <w:r>
        <w:rPr>
          <w:color w:val="00AC59"/>
          <w:sz w:val="12"/>
        </w:rPr>
        <w:t>para</w:t>
      </w:r>
      <w:r>
        <w:rPr>
          <w:color w:val="00AC59"/>
          <w:spacing w:val="8"/>
          <w:sz w:val="12"/>
        </w:rPr>
        <w:t xml:space="preserve"> </w:t>
      </w:r>
      <w:r>
        <w:rPr>
          <w:color w:val="00AC59"/>
          <w:sz w:val="12"/>
        </w:rPr>
        <w:t>desarrollar</w:t>
      </w:r>
      <w:r>
        <w:rPr>
          <w:color w:val="00AC59"/>
          <w:spacing w:val="6"/>
          <w:sz w:val="12"/>
        </w:rPr>
        <w:t xml:space="preserve"> </w:t>
      </w:r>
      <w:r>
        <w:rPr>
          <w:color w:val="00AC59"/>
          <w:sz w:val="12"/>
        </w:rPr>
        <w:t>una</w:t>
      </w:r>
      <w:r>
        <w:rPr>
          <w:color w:val="00AC59"/>
          <w:spacing w:val="7"/>
          <w:sz w:val="12"/>
        </w:rPr>
        <w:t xml:space="preserve"> </w:t>
      </w:r>
      <w:r>
        <w:rPr>
          <w:color w:val="00AC59"/>
          <w:sz w:val="12"/>
        </w:rPr>
        <w:t>legislación</w:t>
      </w:r>
      <w:r>
        <w:rPr>
          <w:color w:val="00AC59"/>
          <w:spacing w:val="8"/>
          <w:sz w:val="12"/>
        </w:rPr>
        <w:t xml:space="preserve"> </w:t>
      </w:r>
      <w:r>
        <w:rPr>
          <w:color w:val="00AC59"/>
          <w:sz w:val="12"/>
        </w:rPr>
        <w:t>integral</w:t>
      </w:r>
      <w:r>
        <w:rPr>
          <w:color w:val="00AC59"/>
          <w:spacing w:val="7"/>
          <w:sz w:val="12"/>
        </w:rPr>
        <w:t xml:space="preserve"> </w:t>
      </w:r>
      <w:r>
        <w:rPr>
          <w:color w:val="00AC59"/>
          <w:sz w:val="12"/>
        </w:rPr>
        <w:t>contra</w:t>
      </w:r>
      <w:r>
        <w:rPr>
          <w:color w:val="00AC59"/>
          <w:spacing w:val="6"/>
          <w:sz w:val="12"/>
        </w:rPr>
        <w:t xml:space="preserve"> </w:t>
      </w:r>
      <w:r>
        <w:rPr>
          <w:color w:val="00AC59"/>
          <w:sz w:val="12"/>
        </w:rPr>
        <w:t>la</w:t>
      </w:r>
      <w:r>
        <w:rPr>
          <w:color w:val="00AC59"/>
          <w:spacing w:val="7"/>
          <w:sz w:val="12"/>
        </w:rPr>
        <w:t xml:space="preserve"> </w:t>
      </w:r>
      <w:r>
        <w:rPr>
          <w:color w:val="00AC59"/>
          <w:spacing w:val="-2"/>
          <w:sz w:val="12"/>
        </w:rPr>
        <w:t>discriminación</w:t>
      </w:r>
    </w:p>
    <w:p w14:paraId="18CCF596" w14:textId="77777777" w:rsidR="0014798C" w:rsidRDefault="0014798C">
      <w:pPr>
        <w:pStyle w:val="Textoindependiente"/>
        <w:rPr>
          <w:sz w:val="17"/>
        </w:rPr>
      </w:pPr>
    </w:p>
    <w:p w14:paraId="09F6332B" w14:textId="77777777" w:rsidR="0014798C" w:rsidRDefault="0014798C">
      <w:pPr>
        <w:pStyle w:val="Textoindependiente"/>
        <w:rPr>
          <w:sz w:val="17"/>
        </w:rPr>
      </w:pPr>
    </w:p>
    <w:p w14:paraId="4515AA86" w14:textId="77777777" w:rsidR="0014798C" w:rsidRDefault="0014798C">
      <w:pPr>
        <w:pStyle w:val="Textoindependiente"/>
        <w:rPr>
          <w:sz w:val="17"/>
        </w:rPr>
      </w:pPr>
    </w:p>
    <w:p w14:paraId="6B3BAF78" w14:textId="77777777" w:rsidR="0014798C" w:rsidRDefault="0014798C">
      <w:pPr>
        <w:pStyle w:val="Textoindependiente"/>
        <w:spacing w:before="183"/>
        <w:rPr>
          <w:sz w:val="17"/>
        </w:rPr>
      </w:pPr>
    </w:p>
    <w:p w14:paraId="6BC771CC" w14:textId="77777777" w:rsidR="0014798C" w:rsidRDefault="004E1F0B">
      <w:pPr>
        <w:spacing w:line="307" w:lineRule="auto"/>
        <w:ind w:left="1106" w:right="1272"/>
        <w:rPr>
          <w:sz w:val="17"/>
        </w:rPr>
      </w:pPr>
      <w:r>
        <w:rPr>
          <w:sz w:val="17"/>
        </w:rPr>
        <w:t>El enfoque de la justificación conforme a las directivas de igualdad de trato de la Unión Europea es quizás el más distinto entre los instrumentos internacionales y regionales: según las directivas, la discriminación directa no puede justificarse.414 En cambio, se establecen una serie de excepciones limitadas al marco legal antidiscriminación, que sólo permiten un</w:t>
      </w:r>
    </w:p>
    <w:p w14:paraId="5D658BD4" w14:textId="77777777" w:rsidR="0014798C" w:rsidRDefault="004E1F0B">
      <w:pPr>
        <w:spacing w:line="307" w:lineRule="auto"/>
        <w:ind w:left="1107" w:right="1403" w:hanging="2"/>
        <w:rPr>
          <w:sz w:val="17"/>
        </w:rPr>
      </w:pPr>
      <w:r>
        <w:rPr>
          <w:sz w:val="17"/>
        </w:rPr>
        <w:t>trato diferenciado cuando se cumplen los criterios establecidos en las directivas. Estas incluyen algunas excepciones limitadas,</w:t>
      </w:r>
      <w:r>
        <w:rPr>
          <w:spacing w:val="-1"/>
          <w:sz w:val="17"/>
        </w:rPr>
        <w:t xml:space="preserve"> </w:t>
      </w:r>
      <w:r>
        <w:rPr>
          <w:sz w:val="17"/>
        </w:rPr>
        <w:t>específicas</w:t>
      </w:r>
      <w:r>
        <w:rPr>
          <w:spacing w:val="-2"/>
          <w:sz w:val="17"/>
        </w:rPr>
        <w:t xml:space="preserve"> </w:t>
      </w:r>
      <w:r>
        <w:rPr>
          <w:sz w:val="17"/>
        </w:rPr>
        <w:t>de</w:t>
      </w:r>
      <w:r>
        <w:rPr>
          <w:spacing w:val="-2"/>
          <w:sz w:val="17"/>
        </w:rPr>
        <w:t xml:space="preserve"> </w:t>
      </w:r>
      <w:r>
        <w:rPr>
          <w:sz w:val="17"/>
        </w:rPr>
        <w:t>cada</w:t>
      </w:r>
      <w:r>
        <w:rPr>
          <w:spacing w:val="-2"/>
          <w:sz w:val="17"/>
        </w:rPr>
        <w:t xml:space="preserve"> </w:t>
      </w:r>
      <w:r>
        <w:rPr>
          <w:sz w:val="17"/>
        </w:rPr>
        <w:t>terreno,</w:t>
      </w:r>
      <w:r>
        <w:rPr>
          <w:spacing w:val="-1"/>
          <w:sz w:val="17"/>
        </w:rPr>
        <w:t xml:space="preserve"> </w:t>
      </w:r>
      <w:r>
        <w:rPr>
          <w:sz w:val="17"/>
        </w:rPr>
        <w:t>establecidas</w:t>
      </w:r>
      <w:r>
        <w:rPr>
          <w:spacing w:val="-2"/>
          <w:sz w:val="17"/>
        </w:rPr>
        <w:t xml:space="preserve"> </w:t>
      </w:r>
      <w:r>
        <w:rPr>
          <w:sz w:val="17"/>
        </w:rPr>
        <w:t>en</w:t>
      </w:r>
      <w:r>
        <w:rPr>
          <w:spacing w:val="-2"/>
          <w:sz w:val="17"/>
        </w:rPr>
        <w:t xml:space="preserve"> </w:t>
      </w:r>
      <w:r>
        <w:rPr>
          <w:sz w:val="17"/>
        </w:rPr>
        <w:t>función</w:t>
      </w:r>
      <w:r>
        <w:rPr>
          <w:spacing w:val="-2"/>
          <w:sz w:val="17"/>
        </w:rPr>
        <w:t xml:space="preserve"> </w:t>
      </w:r>
      <w:r>
        <w:rPr>
          <w:sz w:val="17"/>
        </w:rPr>
        <w:t>de</w:t>
      </w:r>
      <w:r>
        <w:rPr>
          <w:spacing w:val="-2"/>
          <w:sz w:val="17"/>
        </w:rPr>
        <w:t xml:space="preserve"> </w:t>
      </w:r>
      <w:r>
        <w:rPr>
          <w:sz w:val="17"/>
        </w:rPr>
        <w:t>la</w:t>
      </w:r>
      <w:r>
        <w:rPr>
          <w:spacing w:val="-2"/>
          <w:sz w:val="17"/>
        </w:rPr>
        <w:t xml:space="preserve"> </w:t>
      </w:r>
      <w:r>
        <w:rPr>
          <w:sz w:val="17"/>
        </w:rPr>
        <w:t>edad</w:t>
      </w:r>
      <w:r>
        <w:rPr>
          <w:spacing w:val="-2"/>
          <w:sz w:val="17"/>
        </w:rPr>
        <w:t xml:space="preserve"> </w:t>
      </w:r>
      <w:r>
        <w:rPr>
          <w:sz w:val="17"/>
        </w:rPr>
        <w:t>y</w:t>
      </w:r>
      <w:r>
        <w:rPr>
          <w:spacing w:val="-2"/>
          <w:sz w:val="17"/>
        </w:rPr>
        <w:t xml:space="preserve"> </w:t>
      </w:r>
      <w:r>
        <w:rPr>
          <w:sz w:val="17"/>
        </w:rPr>
        <w:t>la</w:t>
      </w:r>
      <w:r>
        <w:rPr>
          <w:spacing w:val="-2"/>
          <w:sz w:val="17"/>
        </w:rPr>
        <w:t xml:space="preserve"> </w:t>
      </w:r>
      <w:r>
        <w:rPr>
          <w:sz w:val="17"/>
        </w:rPr>
        <w:t>religión</w:t>
      </w:r>
      <w:r>
        <w:rPr>
          <w:spacing w:val="-2"/>
          <w:sz w:val="17"/>
        </w:rPr>
        <w:t xml:space="preserve"> </w:t>
      </w:r>
      <w:r>
        <w:rPr>
          <w:sz w:val="17"/>
        </w:rPr>
        <w:t>o</w:t>
      </w:r>
      <w:r>
        <w:rPr>
          <w:spacing w:val="-2"/>
          <w:sz w:val="17"/>
        </w:rPr>
        <w:t xml:space="preserve"> </w:t>
      </w:r>
      <w:r>
        <w:rPr>
          <w:sz w:val="17"/>
        </w:rPr>
        <w:t>creencias;</w:t>
      </w:r>
      <w:r>
        <w:rPr>
          <w:spacing w:val="-1"/>
          <w:sz w:val="17"/>
        </w:rPr>
        <w:t xml:space="preserve"> </w:t>
      </w:r>
      <w:r>
        <w:rPr>
          <w:sz w:val="17"/>
        </w:rPr>
        <w:t>y</w:t>
      </w:r>
      <w:r>
        <w:rPr>
          <w:spacing w:val="-2"/>
          <w:sz w:val="17"/>
        </w:rPr>
        <w:t xml:space="preserve"> </w:t>
      </w:r>
      <w:r>
        <w:rPr>
          <w:sz w:val="17"/>
        </w:rPr>
        <w:t>una</w:t>
      </w:r>
      <w:r>
        <w:rPr>
          <w:spacing w:val="-2"/>
          <w:sz w:val="17"/>
        </w:rPr>
        <w:t xml:space="preserve"> </w:t>
      </w:r>
      <w:r>
        <w:rPr>
          <w:sz w:val="17"/>
        </w:rPr>
        <w:t>excepción</w:t>
      </w:r>
      <w:r>
        <w:rPr>
          <w:spacing w:val="-2"/>
          <w:sz w:val="17"/>
        </w:rPr>
        <w:t xml:space="preserve"> </w:t>
      </w:r>
      <w:r>
        <w:rPr>
          <w:sz w:val="17"/>
        </w:rPr>
        <w:t>más amplia que cubre los “requisitos ocupacionales genuinos”, que puede aplicarse a todos los motivos enumerados en las directivas (y se aplica tanto a la discriminación directa como a la indirecta).415 En la práctica, este enfoque sirve para limitar las áreas en las que (de otro modo) directamente podrán adoptarse medidas discriminatorias. En situaciones en</w:t>
      </w:r>
      <w:r>
        <w:rPr>
          <w:spacing w:val="80"/>
          <w:sz w:val="17"/>
        </w:rPr>
        <w:t xml:space="preserve"> </w:t>
      </w:r>
      <w:r>
        <w:rPr>
          <w:sz w:val="17"/>
        </w:rPr>
        <w:t xml:space="preserve">las que una política o medida cae dentro del alcance de una excepción según la legislación nacional, </w:t>
      </w:r>
      <w:proofErr w:type="spellStart"/>
      <w:r>
        <w:rPr>
          <w:sz w:val="17"/>
        </w:rPr>
        <w:t>aún</w:t>
      </w:r>
      <w:proofErr w:type="spellEnd"/>
      <w:r>
        <w:rPr>
          <w:sz w:val="17"/>
        </w:rPr>
        <w:t xml:space="preserve"> así se debe demostrar que es necesaria y proporcionada a su objetivo.416</w:t>
      </w:r>
    </w:p>
    <w:p w14:paraId="1BB23370" w14:textId="77777777" w:rsidR="0014798C" w:rsidRDefault="0014798C">
      <w:pPr>
        <w:pStyle w:val="Textoindependiente"/>
        <w:spacing w:before="33"/>
        <w:rPr>
          <w:sz w:val="17"/>
        </w:rPr>
      </w:pPr>
    </w:p>
    <w:p w14:paraId="1E6C06FD" w14:textId="77777777" w:rsidR="0014798C" w:rsidRDefault="004E1F0B">
      <w:pPr>
        <w:ind w:left="1115"/>
        <w:rPr>
          <w:sz w:val="17"/>
        </w:rPr>
      </w:pPr>
      <w:r>
        <w:rPr>
          <w:sz w:val="17"/>
        </w:rPr>
        <w:t>(b)</w:t>
      </w:r>
      <w:r>
        <w:rPr>
          <w:spacing w:val="-1"/>
          <w:sz w:val="17"/>
        </w:rPr>
        <w:t xml:space="preserve"> </w:t>
      </w:r>
      <w:r>
        <w:rPr>
          <w:sz w:val="17"/>
        </w:rPr>
        <w:t xml:space="preserve">Objetivo legítimo y evaluación de la proporcionalidad </w:t>
      </w:r>
      <w:r>
        <w:rPr>
          <w:spacing w:val="-5"/>
          <w:sz w:val="17"/>
        </w:rPr>
        <w:t>El</w:t>
      </w:r>
    </w:p>
    <w:p w14:paraId="3154CD56" w14:textId="77777777" w:rsidR="0014798C" w:rsidRDefault="004E1F0B">
      <w:pPr>
        <w:spacing w:before="154"/>
        <w:ind w:left="1106"/>
        <w:rPr>
          <w:sz w:val="17"/>
        </w:rPr>
      </w:pPr>
      <w:r>
        <w:rPr>
          <w:sz w:val="17"/>
        </w:rPr>
        <w:t>Comité</w:t>
      </w:r>
      <w:r>
        <w:rPr>
          <w:spacing w:val="1"/>
          <w:sz w:val="17"/>
        </w:rPr>
        <w:t xml:space="preserve"> </w:t>
      </w:r>
      <w:r>
        <w:rPr>
          <w:sz w:val="17"/>
        </w:rPr>
        <w:t>de</w:t>
      </w:r>
      <w:r>
        <w:rPr>
          <w:spacing w:val="1"/>
          <w:sz w:val="17"/>
        </w:rPr>
        <w:t xml:space="preserve"> </w:t>
      </w:r>
      <w:r>
        <w:rPr>
          <w:sz w:val="17"/>
        </w:rPr>
        <w:t>Derechos</w:t>
      </w:r>
      <w:r>
        <w:rPr>
          <w:spacing w:val="1"/>
          <w:sz w:val="17"/>
        </w:rPr>
        <w:t xml:space="preserve"> </w:t>
      </w:r>
      <w:r>
        <w:rPr>
          <w:sz w:val="17"/>
        </w:rPr>
        <w:t>Humanos</w:t>
      </w:r>
      <w:r>
        <w:rPr>
          <w:spacing w:val="1"/>
          <w:sz w:val="17"/>
        </w:rPr>
        <w:t xml:space="preserve"> </w:t>
      </w:r>
      <w:r>
        <w:rPr>
          <w:sz w:val="17"/>
        </w:rPr>
        <w:t>ha</w:t>
      </w:r>
      <w:r>
        <w:rPr>
          <w:spacing w:val="1"/>
          <w:sz w:val="17"/>
        </w:rPr>
        <w:t xml:space="preserve"> </w:t>
      </w:r>
      <w:r>
        <w:rPr>
          <w:sz w:val="17"/>
        </w:rPr>
        <w:t>sostenido</w:t>
      </w:r>
      <w:r>
        <w:rPr>
          <w:spacing w:val="1"/>
          <w:sz w:val="17"/>
        </w:rPr>
        <w:t xml:space="preserve"> </w:t>
      </w:r>
      <w:r>
        <w:rPr>
          <w:sz w:val="17"/>
        </w:rPr>
        <w:t>sistemáticamente</w:t>
      </w:r>
      <w:r>
        <w:rPr>
          <w:spacing w:val="1"/>
          <w:sz w:val="17"/>
        </w:rPr>
        <w:t xml:space="preserve"> </w:t>
      </w:r>
      <w:r>
        <w:rPr>
          <w:sz w:val="17"/>
        </w:rPr>
        <w:t>que</w:t>
      </w:r>
      <w:r>
        <w:rPr>
          <w:spacing w:val="1"/>
          <w:sz w:val="17"/>
        </w:rPr>
        <w:t xml:space="preserve"> </w:t>
      </w:r>
      <w:r>
        <w:rPr>
          <w:sz w:val="17"/>
        </w:rPr>
        <w:t>para</w:t>
      </w:r>
      <w:r>
        <w:rPr>
          <w:spacing w:val="1"/>
          <w:sz w:val="17"/>
        </w:rPr>
        <w:t xml:space="preserve"> </w:t>
      </w:r>
      <w:r>
        <w:rPr>
          <w:sz w:val="17"/>
        </w:rPr>
        <w:t>que</w:t>
      </w:r>
      <w:r>
        <w:rPr>
          <w:spacing w:val="2"/>
          <w:sz w:val="17"/>
        </w:rPr>
        <w:t xml:space="preserve"> </w:t>
      </w:r>
      <w:r>
        <w:rPr>
          <w:sz w:val="17"/>
        </w:rPr>
        <w:t>un</w:t>
      </w:r>
      <w:r>
        <w:rPr>
          <w:spacing w:val="1"/>
          <w:sz w:val="17"/>
        </w:rPr>
        <w:t xml:space="preserve"> </w:t>
      </w:r>
      <w:r>
        <w:rPr>
          <w:sz w:val="17"/>
        </w:rPr>
        <w:t>objetivo</w:t>
      </w:r>
      <w:r>
        <w:rPr>
          <w:spacing w:val="1"/>
          <w:sz w:val="17"/>
        </w:rPr>
        <w:t xml:space="preserve"> </w:t>
      </w:r>
      <w:r>
        <w:rPr>
          <w:sz w:val="17"/>
        </w:rPr>
        <w:t>sea</w:t>
      </w:r>
      <w:r>
        <w:rPr>
          <w:spacing w:val="1"/>
          <w:sz w:val="17"/>
        </w:rPr>
        <w:t xml:space="preserve"> </w:t>
      </w:r>
      <w:r>
        <w:rPr>
          <w:sz w:val="17"/>
        </w:rPr>
        <w:t>legítimo</w:t>
      </w:r>
      <w:r>
        <w:rPr>
          <w:spacing w:val="1"/>
          <w:sz w:val="17"/>
        </w:rPr>
        <w:t xml:space="preserve"> </w:t>
      </w:r>
      <w:r>
        <w:rPr>
          <w:sz w:val="17"/>
        </w:rPr>
        <w:t>debe</w:t>
      </w:r>
      <w:r>
        <w:rPr>
          <w:spacing w:val="1"/>
          <w:sz w:val="17"/>
        </w:rPr>
        <w:t xml:space="preserve"> </w:t>
      </w:r>
      <w:r>
        <w:rPr>
          <w:spacing w:val="-2"/>
          <w:sz w:val="17"/>
        </w:rPr>
        <w:t>estar</w:t>
      </w:r>
    </w:p>
    <w:p w14:paraId="1D562347" w14:textId="77777777" w:rsidR="0014798C" w:rsidRDefault="004E1F0B">
      <w:pPr>
        <w:spacing w:before="55"/>
        <w:ind w:left="1122"/>
        <w:rPr>
          <w:sz w:val="17"/>
        </w:rPr>
      </w:pPr>
      <w:r>
        <w:rPr>
          <w:sz w:val="17"/>
        </w:rPr>
        <w:t>establecido</w:t>
      </w:r>
      <w:r>
        <w:rPr>
          <w:spacing w:val="1"/>
          <w:sz w:val="17"/>
        </w:rPr>
        <w:t xml:space="preserve"> </w:t>
      </w:r>
      <w:r>
        <w:rPr>
          <w:sz w:val="17"/>
        </w:rPr>
        <w:t>“con</w:t>
      </w:r>
      <w:r>
        <w:rPr>
          <w:spacing w:val="1"/>
          <w:sz w:val="17"/>
        </w:rPr>
        <w:t xml:space="preserve"> </w:t>
      </w:r>
      <w:r>
        <w:rPr>
          <w:sz w:val="17"/>
        </w:rPr>
        <w:t>arreglo</w:t>
      </w:r>
      <w:r>
        <w:rPr>
          <w:spacing w:val="1"/>
          <w:sz w:val="17"/>
        </w:rPr>
        <w:t xml:space="preserve"> </w:t>
      </w:r>
      <w:r>
        <w:rPr>
          <w:sz w:val="17"/>
        </w:rPr>
        <w:t>al</w:t>
      </w:r>
      <w:r>
        <w:rPr>
          <w:spacing w:val="2"/>
          <w:sz w:val="17"/>
        </w:rPr>
        <w:t xml:space="preserve"> </w:t>
      </w:r>
      <w:r>
        <w:rPr>
          <w:sz w:val="17"/>
        </w:rPr>
        <w:t>Pacto”.417</w:t>
      </w:r>
      <w:r>
        <w:rPr>
          <w:spacing w:val="1"/>
          <w:sz w:val="17"/>
        </w:rPr>
        <w:t xml:space="preserve"> </w:t>
      </w:r>
      <w:r>
        <w:rPr>
          <w:sz w:val="17"/>
        </w:rPr>
        <w:t>El</w:t>
      </w:r>
      <w:r>
        <w:rPr>
          <w:spacing w:val="1"/>
          <w:sz w:val="17"/>
        </w:rPr>
        <w:t xml:space="preserve"> </w:t>
      </w:r>
      <w:r>
        <w:rPr>
          <w:sz w:val="17"/>
        </w:rPr>
        <w:t>Comité</w:t>
      </w:r>
      <w:r>
        <w:rPr>
          <w:spacing w:val="2"/>
          <w:sz w:val="17"/>
        </w:rPr>
        <w:t xml:space="preserve"> </w:t>
      </w:r>
      <w:r>
        <w:rPr>
          <w:sz w:val="17"/>
        </w:rPr>
        <w:t>de</w:t>
      </w:r>
      <w:r>
        <w:rPr>
          <w:spacing w:val="1"/>
          <w:sz w:val="17"/>
        </w:rPr>
        <w:t xml:space="preserve"> </w:t>
      </w:r>
      <w:r>
        <w:rPr>
          <w:sz w:val="17"/>
        </w:rPr>
        <w:t>Derechos</w:t>
      </w:r>
      <w:r>
        <w:rPr>
          <w:spacing w:val="1"/>
          <w:sz w:val="17"/>
        </w:rPr>
        <w:t xml:space="preserve"> </w:t>
      </w:r>
      <w:r>
        <w:rPr>
          <w:sz w:val="17"/>
        </w:rPr>
        <w:t>Económicos,</w:t>
      </w:r>
      <w:r>
        <w:rPr>
          <w:spacing w:val="2"/>
          <w:sz w:val="17"/>
        </w:rPr>
        <w:t xml:space="preserve"> </w:t>
      </w:r>
      <w:r>
        <w:rPr>
          <w:sz w:val="17"/>
        </w:rPr>
        <w:t>Sociales</w:t>
      </w:r>
      <w:r>
        <w:rPr>
          <w:spacing w:val="2"/>
          <w:sz w:val="17"/>
        </w:rPr>
        <w:t xml:space="preserve"> </w:t>
      </w:r>
      <w:r>
        <w:rPr>
          <w:sz w:val="17"/>
        </w:rPr>
        <w:t>y</w:t>
      </w:r>
      <w:r>
        <w:rPr>
          <w:spacing w:val="1"/>
          <w:sz w:val="17"/>
        </w:rPr>
        <w:t xml:space="preserve"> </w:t>
      </w:r>
      <w:r>
        <w:rPr>
          <w:sz w:val="17"/>
        </w:rPr>
        <w:t>Culturales</w:t>
      </w:r>
      <w:r>
        <w:rPr>
          <w:spacing w:val="1"/>
          <w:sz w:val="17"/>
        </w:rPr>
        <w:t xml:space="preserve"> </w:t>
      </w:r>
      <w:r>
        <w:rPr>
          <w:sz w:val="17"/>
        </w:rPr>
        <w:t>ha</w:t>
      </w:r>
      <w:r>
        <w:rPr>
          <w:spacing w:val="2"/>
          <w:sz w:val="17"/>
        </w:rPr>
        <w:t xml:space="preserve"> </w:t>
      </w:r>
      <w:r>
        <w:rPr>
          <w:sz w:val="17"/>
        </w:rPr>
        <w:t>utilizado</w:t>
      </w:r>
      <w:r>
        <w:rPr>
          <w:spacing w:val="1"/>
          <w:sz w:val="17"/>
        </w:rPr>
        <w:t xml:space="preserve"> </w:t>
      </w:r>
      <w:r>
        <w:rPr>
          <w:sz w:val="17"/>
        </w:rPr>
        <w:t>la</w:t>
      </w:r>
      <w:r>
        <w:rPr>
          <w:spacing w:val="1"/>
          <w:sz w:val="17"/>
        </w:rPr>
        <w:t xml:space="preserve"> </w:t>
      </w:r>
      <w:r>
        <w:rPr>
          <w:sz w:val="17"/>
        </w:rPr>
        <w:t>misma</w:t>
      </w:r>
      <w:r>
        <w:rPr>
          <w:spacing w:val="1"/>
          <w:sz w:val="17"/>
        </w:rPr>
        <w:t xml:space="preserve"> </w:t>
      </w:r>
      <w:r>
        <w:rPr>
          <w:spacing w:val="-2"/>
          <w:sz w:val="17"/>
        </w:rPr>
        <w:t>redacción418.</w:t>
      </w:r>
    </w:p>
    <w:p w14:paraId="0C9415C4" w14:textId="77777777" w:rsidR="0014798C" w:rsidRDefault="004E1F0B">
      <w:pPr>
        <w:spacing w:before="54" w:line="307" w:lineRule="auto"/>
        <w:ind w:left="1109" w:right="1463" w:hanging="4"/>
        <w:rPr>
          <w:sz w:val="17"/>
        </w:rPr>
      </w:pPr>
      <w:r>
        <w:rPr>
          <w:sz w:val="17"/>
        </w:rPr>
        <w:t>al tiempo que señala que los objetivos legítimos deben tener “únicamente el propósito de promover el bienestar general en una sociedad democrática”419 y “compatibles con la naturaleza de los derechos establecidos en el Pacto”.420 Asimismo, el Comité para la Eliminación de la Discriminación Racial ha comentado que los objetivos legítimos deben evaluarse “a la luz de los objetivos y propósitos de la Convención”421.</w:t>
      </w:r>
    </w:p>
    <w:p w14:paraId="2813B1CF" w14:textId="77777777" w:rsidR="0014798C" w:rsidRDefault="004E1F0B">
      <w:pPr>
        <w:spacing w:before="168" w:line="307" w:lineRule="auto"/>
        <w:ind w:left="1109" w:right="1272" w:hanging="4"/>
        <w:rPr>
          <w:sz w:val="17"/>
        </w:rPr>
      </w:pPr>
      <w:r>
        <w:rPr>
          <w:sz w:val="17"/>
        </w:rPr>
        <w:t>Los órganos de tratados no han emitido más orientaciones en esta área; Sin embargo, en su práctica, el Comité de Derechos Humanos ha reconocido como legítimos una amplia gama de objetivos de política, incluidos, entre otros, la protección</w:t>
      </w:r>
      <w:r>
        <w:rPr>
          <w:spacing w:val="13"/>
          <w:sz w:val="17"/>
        </w:rPr>
        <w:t xml:space="preserve"> </w:t>
      </w:r>
      <w:r>
        <w:rPr>
          <w:sz w:val="17"/>
        </w:rPr>
        <w:t>del</w:t>
      </w:r>
      <w:r>
        <w:rPr>
          <w:spacing w:val="13"/>
          <w:sz w:val="17"/>
        </w:rPr>
        <w:t xml:space="preserve"> </w:t>
      </w:r>
      <w:r>
        <w:rPr>
          <w:sz w:val="17"/>
        </w:rPr>
        <w:t>bienestar</w:t>
      </w:r>
      <w:r>
        <w:rPr>
          <w:spacing w:val="13"/>
          <w:sz w:val="17"/>
        </w:rPr>
        <w:t xml:space="preserve"> </w:t>
      </w:r>
      <w:r>
        <w:rPr>
          <w:sz w:val="17"/>
        </w:rPr>
        <w:t>de</w:t>
      </w:r>
      <w:r>
        <w:rPr>
          <w:spacing w:val="13"/>
          <w:sz w:val="17"/>
        </w:rPr>
        <w:t xml:space="preserve"> </w:t>
      </w:r>
      <w:r>
        <w:rPr>
          <w:sz w:val="17"/>
        </w:rPr>
        <w:t>los</w:t>
      </w:r>
      <w:r>
        <w:rPr>
          <w:spacing w:val="13"/>
          <w:sz w:val="17"/>
        </w:rPr>
        <w:t xml:space="preserve"> </w:t>
      </w:r>
      <w:r>
        <w:rPr>
          <w:sz w:val="17"/>
        </w:rPr>
        <w:t>menores,</w:t>
      </w:r>
      <w:r>
        <w:rPr>
          <w:spacing w:val="14"/>
          <w:sz w:val="17"/>
        </w:rPr>
        <w:t xml:space="preserve"> </w:t>
      </w:r>
      <w:r>
        <w:rPr>
          <w:sz w:val="17"/>
        </w:rPr>
        <w:t>la</w:t>
      </w:r>
      <w:r>
        <w:rPr>
          <w:spacing w:val="13"/>
          <w:sz w:val="17"/>
        </w:rPr>
        <w:t xml:space="preserve"> </w:t>
      </w:r>
      <w:r>
        <w:rPr>
          <w:sz w:val="17"/>
        </w:rPr>
        <w:t>protección</w:t>
      </w:r>
      <w:r>
        <w:rPr>
          <w:spacing w:val="13"/>
          <w:sz w:val="17"/>
        </w:rPr>
        <w:t xml:space="preserve"> </w:t>
      </w:r>
      <w:r>
        <w:rPr>
          <w:sz w:val="17"/>
        </w:rPr>
        <w:t>del</w:t>
      </w:r>
      <w:r>
        <w:rPr>
          <w:spacing w:val="13"/>
          <w:sz w:val="17"/>
        </w:rPr>
        <w:t xml:space="preserve"> </w:t>
      </w:r>
      <w:r>
        <w:rPr>
          <w:sz w:val="17"/>
        </w:rPr>
        <w:t>orden</w:t>
      </w:r>
      <w:r>
        <w:rPr>
          <w:spacing w:val="13"/>
          <w:sz w:val="17"/>
        </w:rPr>
        <w:t xml:space="preserve"> </w:t>
      </w:r>
      <w:r>
        <w:rPr>
          <w:sz w:val="17"/>
        </w:rPr>
        <w:t>y</w:t>
      </w:r>
      <w:r>
        <w:rPr>
          <w:spacing w:val="13"/>
          <w:sz w:val="17"/>
        </w:rPr>
        <w:t xml:space="preserve"> </w:t>
      </w:r>
      <w:r>
        <w:rPr>
          <w:sz w:val="17"/>
        </w:rPr>
        <w:t>la</w:t>
      </w:r>
      <w:r>
        <w:rPr>
          <w:spacing w:val="13"/>
          <w:sz w:val="17"/>
        </w:rPr>
        <w:t xml:space="preserve"> </w:t>
      </w:r>
      <w:r>
        <w:rPr>
          <w:sz w:val="17"/>
        </w:rPr>
        <w:t>seguridad</w:t>
      </w:r>
      <w:r>
        <w:rPr>
          <w:spacing w:val="13"/>
          <w:sz w:val="17"/>
        </w:rPr>
        <w:t xml:space="preserve"> </w:t>
      </w:r>
      <w:r>
        <w:rPr>
          <w:sz w:val="17"/>
        </w:rPr>
        <w:t>públicos,</w:t>
      </w:r>
      <w:r>
        <w:rPr>
          <w:spacing w:val="14"/>
          <w:sz w:val="17"/>
        </w:rPr>
        <w:t xml:space="preserve"> </w:t>
      </w:r>
      <w:r>
        <w:rPr>
          <w:sz w:val="17"/>
        </w:rPr>
        <w:t>la</w:t>
      </w:r>
      <w:r>
        <w:rPr>
          <w:spacing w:val="13"/>
          <w:sz w:val="17"/>
        </w:rPr>
        <w:t xml:space="preserve"> </w:t>
      </w:r>
      <w:r>
        <w:rPr>
          <w:sz w:val="17"/>
        </w:rPr>
        <w:t>prevención</w:t>
      </w:r>
      <w:r>
        <w:rPr>
          <w:spacing w:val="13"/>
          <w:sz w:val="17"/>
        </w:rPr>
        <w:t xml:space="preserve"> </w:t>
      </w:r>
      <w:r>
        <w:rPr>
          <w:sz w:val="17"/>
        </w:rPr>
        <w:t>del</w:t>
      </w:r>
      <w:r>
        <w:rPr>
          <w:spacing w:val="13"/>
          <w:sz w:val="17"/>
        </w:rPr>
        <w:t xml:space="preserve"> </w:t>
      </w:r>
      <w:r>
        <w:rPr>
          <w:sz w:val="17"/>
        </w:rPr>
        <w:t>delito,</w:t>
      </w:r>
      <w:r>
        <w:rPr>
          <w:spacing w:val="14"/>
          <w:sz w:val="17"/>
        </w:rPr>
        <w:t xml:space="preserve"> </w:t>
      </w:r>
      <w:r>
        <w:rPr>
          <w:sz w:val="17"/>
        </w:rPr>
        <w:t>el control de la inmigración ilegal y la evitación de superposiciones en la asignación de prestaciones de seguridad social.422</w:t>
      </w:r>
      <w:r>
        <w:rPr>
          <w:spacing w:val="40"/>
          <w:sz w:val="17"/>
        </w:rPr>
        <w:t xml:space="preserve"> </w:t>
      </w:r>
      <w:r>
        <w:rPr>
          <w:sz w:val="17"/>
        </w:rPr>
        <w:t>El Tribunal Europeo de Derechos Humanos ha adoptado un enfoque igualmente amplio.423</w:t>
      </w:r>
    </w:p>
    <w:p w14:paraId="16990F1E" w14:textId="77777777" w:rsidR="0014798C" w:rsidRDefault="004E1F0B">
      <w:pPr>
        <w:spacing w:before="167" w:line="307" w:lineRule="auto"/>
        <w:ind w:left="1107" w:right="1443" w:hanging="4"/>
        <w:rPr>
          <w:sz w:val="17"/>
        </w:rPr>
      </w:pPr>
      <w:r>
        <w:rPr>
          <w:sz w:val="17"/>
        </w:rPr>
        <w:t>Si bien no se abordan explícitamente a nivel internacional, a nivel nacional los tribunales han encontrado que una amplia gama de políticas y prácticas aplicadas por entidades privadas constituyen objetivos legítimos, particularmente en el contexto del examen de casos de discriminación indirecta. Los objetivos legítimos podrían incluir, por ejemplo, asegurar</w:t>
      </w:r>
      <w:r>
        <w:rPr>
          <w:spacing w:val="80"/>
          <w:sz w:val="17"/>
        </w:rPr>
        <w:t xml:space="preserve"> </w:t>
      </w:r>
      <w:r>
        <w:rPr>
          <w:sz w:val="17"/>
        </w:rPr>
        <w:t>la rentabilidad del negocio, asegurar la gestión eficaz de los recursos o proteger la reputación.</w:t>
      </w:r>
    </w:p>
    <w:p w14:paraId="08E5BF3A" w14:textId="77777777" w:rsidR="0014798C" w:rsidRDefault="004E1F0B">
      <w:pPr>
        <w:pStyle w:val="Textoindependiente"/>
        <w:spacing w:before="64"/>
        <w:rPr>
          <w:sz w:val="20"/>
        </w:rPr>
      </w:pPr>
      <w:r>
        <w:rPr>
          <w:noProof/>
        </w:rPr>
        <w:drawing>
          <wp:anchor distT="0" distB="0" distL="0" distR="0" simplePos="0" relativeHeight="251658529" behindDoc="1" locked="0" layoutInCell="1" allowOverlap="1" wp14:anchorId="108702E5" wp14:editId="2686BD8C">
            <wp:simplePos x="0" y="0"/>
            <wp:positionH relativeFrom="page">
              <wp:posOffset>826632</wp:posOffset>
            </wp:positionH>
            <wp:positionV relativeFrom="paragraph">
              <wp:posOffset>202417</wp:posOffset>
            </wp:positionV>
            <wp:extent cx="931001" cy="35813"/>
            <wp:effectExtent l="0" t="0" r="0" b="0"/>
            <wp:wrapTopAndBottom/>
            <wp:docPr id="146" name="Image 14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46" name="Image 146"/>
                    <pic:cNvPicPr/>
                  </pic:nvPicPr>
                  <pic:blipFill>
                    <a:blip r:embed="rId137" cstate="print"/>
                    <a:stretch>
                      <a:fillRect/>
                    </a:stretch>
                  </pic:blipFill>
                  <pic:spPr>
                    <a:xfrm>
                      <a:off x="0" y="0"/>
                      <a:ext cx="931001" cy="35813"/>
                    </a:xfrm>
                    <a:prstGeom prst="rect">
                      <a:avLst/>
                    </a:prstGeom>
                  </pic:spPr>
                </pic:pic>
              </a:graphicData>
            </a:graphic>
          </wp:anchor>
        </w:drawing>
      </w:r>
    </w:p>
    <w:p w14:paraId="70E5D8ED" w14:textId="77777777" w:rsidR="0014798C" w:rsidRDefault="0014798C">
      <w:pPr>
        <w:pStyle w:val="Textoindependiente"/>
        <w:spacing w:before="71"/>
        <w:rPr>
          <w:sz w:val="11"/>
        </w:rPr>
      </w:pPr>
    </w:p>
    <w:p w14:paraId="3CBFF987" w14:textId="77777777" w:rsidR="0014798C" w:rsidRDefault="004E1F0B">
      <w:pPr>
        <w:pStyle w:val="Prrafodelista"/>
        <w:numPr>
          <w:ilvl w:val="0"/>
          <w:numId w:val="60"/>
        </w:numPr>
        <w:tabs>
          <w:tab w:val="left" w:pos="1315"/>
        </w:tabs>
        <w:spacing w:before="1"/>
        <w:ind w:left="1315" w:hanging="210"/>
        <w:rPr>
          <w:sz w:val="11"/>
        </w:rPr>
      </w:pPr>
      <w:r>
        <w:rPr>
          <w:spacing w:val="-2"/>
          <w:sz w:val="11"/>
        </w:rPr>
        <w:t>En</w:t>
      </w:r>
      <w:r>
        <w:rPr>
          <w:spacing w:val="3"/>
          <w:sz w:val="11"/>
        </w:rPr>
        <w:t xml:space="preserve"> </w:t>
      </w:r>
      <w:r>
        <w:rPr>
          <w:spacing w:val="-2"/>
          <w:sz w:val="11"/>
        </w:rPr>
        <w:t>particular,</w:t>
      </w:r>
      <w:r>
        <w:rPr>
          <w:spacing w:val="6"/>
          <w:sz w:val="11"/>
        </w:rPr>
        <w:t xml:space="preserve"> </w:t>
      </w:r>
      <w:r>
        <w:rPr>
          <w:spacing w:val="-2"/>
          <w:sz w:val="11"/>
        </w:rPr>
        <w:t>la</w:t>
      </w:r>
      <w:r>
        <w:rPr>
          <w:spacing w:val="4"/>
          <w:sz w:val="11"/>
        </w:rPr>
        <w:t xml:space="preserve"> </w:t>
      </w:r>
      <w:r>
        <w:rPr>
          <w:spacing w:val="-2"/>
          <w:sz w:val="11"/>
        </w:rPr>
        <w:t>definición</w:t>
      </w:r>
      <w:r>
        <w:rPr>
          <w:spacing w:val="4"/>
          <w:sz w:val="11"/>
        </w:rPr>
        <w:t xml:space="preserve"> </w:t>
      </w:r>
      <w:r>
        <w:rPr>
          <w:spacing w:val="-2"/>
          <w:sz w:val="11"/>
        </w:rPr>
        <w:t>de</w:t>
      </w:r>
      <w:r>
        <w:rPr>
          <w:spacing w:val="3"/>
          <w:sz w:val="11"/>
        </w:rPr>
        <w:t xml:space="preserve"> </w:t>
      </w:r>
      <w:r>
        <w:rPr>
          <w:spacing w:val="-2"/>
          <w:sz w:val="11"/>
        </w:rPr>
        <w:t>discriminación</w:t>
      </w:r>
      <w:r>
        <w:rPr>
          <w:spacing w:val="4"/>
          <w:sz w:val="11"/>
        </w:rPr>
        <w:t xml:space="preserve"> </w:t>
      </w:r>
      <w:r>
        <w:rPr>
          <w:spacing w:val="-2"/>
          <w:sz w:val="11"/>
        </w:rPr>
        <w:t>indirecta</w:t>
      </w:r>
      <w:r>
        <w:rPr>
          <w:spacing w:val="4"/>
          <w:sz w:val="11"/>
        </w:rPr>
        <w:t xml:space="preserve"> </w:t>
      </w:r>
      <w:r>
        <w:rPr>
          <w:spacing w:val="-2"/>
          <w:sz w:val="11"/>
        </w:rPr>
        <w:t>establecida</w:t>
      </w:r>
      <w:r>
        <w:rPr>
          <w:spacing w:val="4"/>
          <w:sz w:val="11"/>
        </w:rPr>
        <w:t xml:space="preserve"> </w:t>
      </w:r>
      <w:r>
        <w:rPr>
          <w:spacing w:val="-2"/>
          <w:sz w:val="11"/>
        </w:rPr>
        <w:t>en</w:t>
      </w:r>
      <w:r>
        <w:rPr>
          <w:spacing w:val="4"/>
          <w:sz w:val="11"/>
        </w:rPr>
        <w:t xml:space="preserve"> </w:t>
      </w:r>
      <w:r>
        <w:rPr>
          <w:spacing w:val="-2"/>
          <w:sz w:val="11"/>
        </w:rPr>
        <w:t>las</w:t>
      </w:r>
      <w:r>
        <w:rPr>
          <w:spacing w:val="4"/>
          <w:sz w:val="11"/>
        </w:rPr>
        <w:t xml:space="preserve"> </w:t>
      </w:r>
      <w:r>
        <w:rPr>
          <w:spacing w:val="-2"/>
          <w:sz w:val="11"/>
        </w:rPr>
        <w:t>directivas</w:t>
      </w:r>
      <w:r>
        <w:rPr>
          <w:spacing w:val="4"/>
          <w:sz w:val="11"/>
        </w:rPr>
        <w:t xml:space="preserve"> </w:t>
      </w:r>
      <w:r>
        <w:rPr>
          <w:spacing w:val="-2"/>
          <w:sz w:val="11"/>
        </w:rPr>
        <w:t>establece</w:t>
      </w:r>
      <w:r>
        <w:rPr>
          <w:spacing w:val="4"/>
          <w:sz w:val="11"/>
        </w:rPr>
        <w:t xml:space="preserve"> </w:t>
      </w:r>
      <w:r>
        <w:rPr>
          <w:spacing w:val="-2"/>
          <w:sz w:val="11"/>
        </w:rPr>
        <w:t>que</w:t>
      </w:r>
      <w:r>
        <w:rPr>
          <w:spacing w:val="4"/>
          <w:sz w:val="11"/>
        </w:rPr>
        <w:t xml:space="preserve"> </w:t>
      </w:r>
      <w:r>
        <w:rPr>
          <w:spacing w:val="-2"/>
          <w:sz w:val="11"/>
        </w:rPr>
        <w:t>una</w:t>
      </w:r>
      <w:r>
        <w:rPr>
          <w:spacing w:val="4"/>
          <w:sz w:val="11"/>
        </w:rPr>
        <w:t xml:space="preserve"> </w:t>
      </w:r>
      <w:r>
        <w:rPr>
          <w:spacing w:val="-2"/>
          <w:sz w:val="11"/>
        </w:rPr>
        <w:t>“disposición,</w:t>
      </w:r>
      <w:r>
        <w:rPr>
          <w:spacing w:val="5"/>
          <w:sz w:val="11"/>
        </w:rPr>
        <w:t xml:space="preserve"> </w:t>
      </w:r>
      <w:r>
        <w:rPr>
          <w:spacing w:val="-2"/>
          <w:sz w:val="11"/>
        </w:rPr>
        <w:t>criterio</w:t>
      </w:r>
      <w:r>
        <w:rPr>
          <w:spacing w:val="4"/>
          <w:sz w:val="11"/>
        </w:rPr>
        <w:t xml:space="preserve"> </w:t>
      </w:r>
      <w:r>
        <w:rPr>
          <w:spacing w:val="-2"/>
          <w:sz w:val="11"/>
        </w:rPr>
        <w:t>o</w:t>
      </w:r>
      <w:r>
        <w:rPr>
          <w:spacing w:val="4"/>
          <w:sz w:val="11"/>
        </w:rPr>
        <w:t xml:space="preserve"> </w:t>
      </w:r>
      <w:r>
        <w:rPr>
          <w:spacing w:val="-2"/>
          <w:sz w:val="11"/>
        </w:rPr>
        <w:t>práctica</w:t>
      </w:r>
      <w:r>
        <w:rPr>
          <w:spacing w:val="4"/>
          <w:sz w:val="11"/>
        </w:rPr>
        <w:t xml:space="preserve"> </w:t>
      </w:r>
      <w:r>
        <w:rPr>
          <w:spacing w:val="-2"/>
          <w:sz w:val="11"/>
        </w:rPr>
        <w:t>[puede</w:t>
      </w:r>
      <w:r>
        <w:rPr>
          <w:spacing w:val="4"/>
          <w:sz w:val="11"/>
        </w:rPr>
        <w:t xml:space="preserve"> </w:t>
      </w:r>
      <w:r>
        <w:rPr>
          <w:spacing w:val="-4"/>
          <w:sz w:val="11"/>
        </w:rPr>
        <w:t>ser]</w:t>
      </w:r>
    </w:p>
    <w:p w14:paraId="2BD48C95" w14:textId="77777777" w:rsidR="0014798C" w:rsidRDefault="004E1F0B">
      <w:pPr>
        <w:spacing w:before="23" w:line="312" w:lineRule="auto"/>
        <w:ind w:left="1366" w:right="1840" w:firstLine="3"/>
        <w:rPr>
          <w:sz w:val="12"/>
        </w:rPr>
      </w:pPr>
      <w:r>
        <w:rPr>
          <w:sz w:val="12"/>
        </w:rPr>
        <w:t>objetivamente justificado por un fin legítimo [siempre que] los medios para alcanzar ese fin sean apropiados y necesarios”. Esta cláusula está ausente en la</w:t>
      </w:r>
      <w:r>
        <w:rPr>
          <w:spacing w:val="40"/>
          <w:sz w:val="12"/>
        </w:rPr>
        <w:t xml:space="preserve"> </w:t>
      </w:r>
      <w:r>
        <w:rPr>
          <w:sz w:val="12"/>
        </w:rPr>
        <w:t>definición de discriminación directa. Véase la Directiva 2000/43/CE del Consejo, de 29 de junio de 2000, por la que se aplica el principio de igualdad de trato</w:t>
      </w:r>
      <w:r>
        <w:rPr>
          <w:spacing w:val="40"/>
          <w:sz w:val="12"/>
        </w:rPr>
        <w:t xml:space="preserve"> </w:t>
      </w:r>
      <w:r>
        <w:rPr>
          <w:sz w:val="12"/>
        </w:rPr>
        <w:t>entre las personas independientemente de su origen racial o étnico, art. 2 (2) (b); Directiva 2000/78/CE del Consejo, de 27 de noviembre de 2000, por la que</w:t>
      </w:r>
      <w:r>
        <w:rPr>
          <w:spacing w:val="40"/>
          <w:sz w:val="12"/>
        </w:rPr>
        <w:t xml:space="preserve"> </w:t>
      </w:r>
      <w:r>
        <w:rPr>
          <w:sz w:val="12"/>
        </w:rPr>
        <w:t>se establece un marco general para la igualdad de trato en el empleo y la ocupación, art. 2 (2) (b) (i); Directiva 2004/113/CE del Consejo, de 13 de diciembre</w:t>
      </w:r>
      <w:r>
        <w:rPr>
          <w:spacing w:val="40"/>
          <w:sz w:val="12"/>
        </w:rPr>
        <w:t xml:space="preserve"> </w:t>
      </w:r>
      <w:r>
        <w:rPr>
          <w:sz w:val="12"/>
        </w:rPr>
        <w:t>de 2004, por la que se aplica el principio de igualdad de trato entre hombres y mujeres en el acceso y suministro de bienes y servicios, art. 2</w:t>
      </w:r>
      <w:proofErr w:type="gramStart"/>
      <w:r>
        <w:rPr>
          <w:sz w:val="12"/>
        </w:rPr>
        <w:t>b);</w:t>
      </w:r>
      <w:proofErr w:type="gramEnd"/>
      <w:r>
        <w:rPr>
          <w:sz w:val="12"/>
        </w:rPr>
        <w:t xml:space="preserve"> y Directiva</w:t>
      </w:r>
    </w:p>
    <w:p w14:paraId="1421F01F" w14:textId="77777777" w:rsidR="0014798C" w:rsidRDefault="004E1F0B">
      <w:pPr>
        <w:spacing w:before="3" w:line="312" w:lineRule="auto"/>
        <w:ind w:left="1366" w:right="1463" w:firstLine="3"/>
        <w:rPr>
          <w:sz w:val="12"/>
        </w:rPr>
      </w:pPr>
      <w:r>
        <w:rPr>
          <w:sz w:val="12"/>
        </w:rPr>
        <w:t>2006/54/CE del Parlamento Europeo y del Consejo, de 5 de julio de 2006, sobre la aplicación del principio de igualdad de oportunidades e igualdad de trato entre</w:t>
      </w:r>
      <w:r>
        <w:rPr>
          <w:spacing w:val="40"/>
          <w:sz w:val="12"/>
        </w:rPr>
        <w:t xml:space="preserve"> </w:t>
      </w:r>
      <w:r>
        <w:rPr>
          <w:sz w:val="12"/>
        </w:rPr>
        <w:t>hombres y mujeres en materia de empleo y ocupación (refundición), art. 2 (1) (b).</w:t>
      </w:r>
    </w:p>
    <w:p w14:paraId="75058D61" w14:textId="77777777" w:rsidR="0014798C" w:rsidRDefault="004E1F0B">
      <w:pPr>
        <w:pStyle w:val="Prrafodelista"/>
        <w:numPr>
          <w:ilvl w:val="0"/>
          <w:numId w:val="60"/>
        </w:numPr>
        <w:tabs>
          <w:tab w:val="left" w:pos="1315"/>
        </w:tabs>
        <w:spacing w:before="86"/>
        <w:ind w:left="1315" w:hanging="210"/>
        <w:rPr>
          <w:sz w:val="11"/>
        </w:rPr>
      </w:pPr>
      <w:r>
        <w:rPr>
          <w:sz w:val="11"/>
        </w:rPr>
        <w:t>Para</w:t>
      </w:r>
      <w:r>
        <w:rPr>
          <w:spacing w:val="-7"/>
          <w:sz w:val="11"/>
        </w:rPr>
        <w:t xml:space="preserve"> </w:t>
      </w:r>
      <w:r>
        <w:rPr>
          <w:sz w:val="11"/>
        </w:rPr>
        <w:t>un</w:t>
      </w:r>
      <w:r>
        <w:rPr>
          <w:spacing w:val="-6"/>
          <w:sz w:val="11"/>
        </w:rPr>
        <w:t xml:space="preserve"> </w:t>
      </w:r>
      <w:r>
        <w:rPr>
          <w:sz w:val="11"/>
        </w:rPr>
        <w:t>análisis</w:t>
      </w:r>
      <w:r>
        <w:rPr>
          <w:spacing w:val="-6"/>
          <w:sz w:val="11"/>
        </w:rPr>
        <w:t xml:space="preserve"> </w:t>
      </w:r>
      <w:r>
        <w:rPr>
          <w:sz w:val="11"/>
        </w:rPr>
        <w:t>más</w:t>
      </w:r>
      <w:r>
        <w:rPr>
          <w:spacing w:val="-7"/>
          <w:sz w:val="11"/>
        </w:rPr>
        <w:t xml:space="preserve"> </w:t>
      </w:r>
      <w:r>
        <w:rPr>
          <w:sz w:val="11"/>
        </w:rPr>
        <w:t>detallado</w:t>
      </w:r>
      <w:r>
        <w:rPr>
          <w:spacing w:val="-6"/>
          <w:sz w:val="11"/>
        </w:rPr>
        <w:t xml:space="preserve"> </w:t>
      </w:r>
      <w:r>
        <w:rPr>
          <w:sz w:val="11"/>
        </w:rPr>
        <w:t>de</w:t>
      </w:r>
      <w:r>
        <w:rPr>
          <w:spacing w:val="-6"/>
          <w:sz w:val="11"/>
        </w:rPr>
        <w:t xml:space="preserve"> </w:t>
      </w:r>
      <w:r>
        <w:rPr>
          <w:sz w:val="11"/>
        </w:rPr>
        <w:t>la</w:t>
      </w:r>
      <w:r>
        <w:rPr>
          <w:spacing w:val="-7"/>
          <w:sz w:val="11"/>
        </w:rPr>
        <w:t xml:space="preserve"> </w:t>
      </w:r>
      <w:r>
        <w:rPr>
          <w:sz w:val="11"/>
        </w:rPr>
        <w:t>justificación</w:t>
      </w:r>
      <w:r>
        <w:rPr>
          <w:spacing w:val="-6"/>
          <w:sz w:val="11"/>
        </w:rPr>
        <w:t xml:space="preserve"> </w:t>
      </w:r>
      <w:r>
        <w:rPr>
          <w:sz w:val="11"/>
        </w:rPr>
        <w:t>en</w:t>
      </w:r>
      <w:r>
        <w:rPr>
          <w:spacing w:val="-6"/>
          <w:sz w:val="11"/>
        </w:rPr>
        <w:t xml:space="preserve"> </w:t>
      </w:r>
      <w:r>
        <w:rPr>
          <w:sz w:val="11"/>
        </w:rPr>
        <w:t>virtud</w:t>
      </w:r>
      <w:r>
        <w:rPr>
          <w:spacing w:val="-6"/>
          <w:sz w:val="11"/>
        </w:rPr>
        <w:t xml:space="preserve"> </w:t>
      </w:r>
      <w:r>
        <w:rPr>
          <w:sz w:val="11"/>
        </w:rPr>
        <w:t>de</w:t>
      </w:r>
      <w:r>
        <w:rPr>
          <w:spacing w:val="-7"/>
          <w:sz w:val="11"/>
        </w:rPr>
        <w:t xml:space="preserve"> </w:t>
      </w:r>
      <w:r>
        <w:rPr>
          <w:sz w:val="11"/>
        </w:rPr>
        <w:t>las</w:t>
      </w:r>
      <w:r>
        <w:rPr>
          <w:spacing w:val="-6"/>
          <w:sz w:val="11"/>
        </w:rPr>
        <w:t xml:space="preserve"> </w:t>
      </w:r>
      <w:r>
        <w:rPr>
          <w:sz w:val="11"/>
        </w:rPr>
        <w:t>directivas</w:t>
      </w:r>
      <w:r>
        <w:rPr>
          <w:spacing w:val="-6"/>
          <w:sz w:val="11"/>
        </w:rPr>
        <w:t xml:space="preserve"> </w:t>
      </w:r>
      <w:r>
        <w:rPr>
          <w:sz w:val="11"/>
        </w:rPr>
        <w:t>de</w:t>
      </w:r>
      <w:r>
        <w:rPr>
          <w:spacing w:val="-7"/>
          <w:sz w:val="11"/>
        </w:rPr>
        <w:t xml:space="preserve"> </w:t>
      </w:r>
      <w:r>
        <w:rPr>
          <w:sz w:val="11"/>
        </w:rPr>
        <w:t>igualdad</w:t>
      </w:r>
      <w:r>
        <w:rPr>
          <w:spacing w:val="-6"/>
          <w:sz w:val="11"/>
        </w:rPr>
        <w:t xml:space="preserve"> </w:t>
      </w:r>
      <w:r>
        <w:rPr>
          <w:sz w:val="11"/>
        </w:rPr>
        <w:t>de</w:t>
      </w:r>
      <w:r>
        <w:rPr>
          <w:spacing w:val="-6"/>
          <w:sz w:val="11"/>
        </w:rPr>
        <w:t xml:space="preserve"> </w:t>
      </w:r>
      <w:r>
        <w:rPr>
          <w:sz w:val="11"/>
        </w:rPr>
        <w:t>trato,</w:t>
      </w:r>
      <w:r>
        <w:rPr>
          <w:spacing w:val="-6"/>
          <w:sz w:val="11"/>
        </w:rPr>
        <w:t xml:space="preserve"> </w:t>
      </w:r>
      <w:r>
        <w:rPr>
          <w:sz w:val="11"/>
        </w:rPr>
        <w:t>véase</w:t>
      </w:r>
      <w:r>
        <w:rPr>
          <w:spacing w:val="-7"/>
          <w:sz w:val="11"/>
        </w:rPr>
        <w:t xml:space="preserve"> </w:t>
      </w:r>
      <w:r>
        <w:rPr>
          <w:sz w:val="11"/>
        </w:rPr>
        <w:t>Agencia</w:t>
      </w:r>
      <w:r>
        <w:rPr>
          <w:spacing w:val="-6"/>
          <w:sz w:val="11"/>
        </w:rPr>
        <w:t xml:space="preserve"> </w:t>
      </w:r>
      <w:r>
        <w:rPr>
          <w:sz w:val="11"/>
        </w:rPr>
        <w:t>de</w:t>
      </w:r>
      <w:r>
        <w:rPr>
          <w:spacing w:val="-6"/>
          <w:sz w:val="11"/>
        </w:rPr>
        <w:t xml:space="preserve"> </w:t>
      </w:r>
      <w:r>
        <w:rPr>
          <w:sz w:val="11"/>
        </w:rPr>
        <w:t>los</w:t>
      </w:r>
      <w:r>
        <w:rPr>
          <w:spacing w:val="-7"/>
          <w:sz w:val="11"/>
        </w:rPr>
        <w:t xml:space="preserve"> </w:t>
      </w:r>
      <w:r>
        <w:rPr>
          <w:sz w:val="11"/>
        </w:rPr>
        <w:t>Derechos</w:t>
      </w:r>
      <w:r>
        <w:rPr>
          <w:spacing w:val="-6"/>
          <w:sz w:val="11"/>
        </w:rPr>
        <w:t xml:space="preserve"> </w:t>
      </w:r>
      <w:r>
        <w:rPr>
          <w:sz w:val="11"/>
        </w:rPr>
        <w:t>Fundamentales</w:t>
      </w:r>
      <w:r>
        <w:rPr>
          <w:spacing w:val="-6"/>
          <w:sz w:val="11"/>
        </w:rPr>
        <w:t xml:space="preserve"> </w:t>
      </w:r>
      <w:r>
        <w:rPr>
          <w:sz w:val="11"/>
        </w:rPr>
        <w:t>de</w:t>
      </w:r>
      <w:r>
        <w:rPr>
          <w:spacing w:val="-6"/>
          <w:sz w:val="11"/>
        </w:rPr>
        <w:t xml:space="preserve"> </w:t>
      </w:r>
      <w:r>
        <w:rPr>
          <w:sz w:val="11"/>
        </w:rPr>
        <w:t>la</w:t>
      </w:r>
      <w:r>
        <w:rPr>
          <w:spacing w:val="-7"/>
          <w:sz w:val="11"/>
        </w:rPr>
        <w:t xml:space="preserve"> </w:t>
      </w:r>
      <w:r>
        <w:rPr>
          <w:sz w:val="11"/>
        </w:rPr>
        <w:t>Unión</w:t>
      </w:r>
      <w:r>
        <w:rPr>
          <w:spacing w:val="-6"/>
          <w:sz w:val="11"/>
        </w:rPr>
        <w:t xml:space="preserve"> </w:t>
      </w:r>
      <w:r>
        <w:rPr>
          <w:sz w:val="11"/>
        </w:rPr>
        <w:t>Europea</w:t>
      </w:r>
      <w:r>
        <w:rPr>
          <w:spacing w:val="-6"/>
          <w:sz w:val="11"/>
        </w:rPr>
        <w:t xml:space="preserve"> </w:t>
      </w:r>
      <w:r>
        <w:rPr>
          <w:spacing w:val="-10"/>
          <w:sz w:val="11"/>
        </w:rPr>
        <w:t>y</w:t>
      </w:r>
    </w:p>
    <w:p w14:paraId="710DC450" w14:textId="77777777" w:rsidR="0014798C" w:rsidRDefault="004E1F0B">
      <w:pPr>
        <w:spacing w:before="24" w:line="312" w:lineRule="auto"/>
        <w:ind w:left="1370" w:right="1553" w:firstLine="1"/>
        <w:rPr>
          <w:sz w:val="12"/>
        </w:rPr>
      </w:pPr>
      <w:r>
        <w:rPr>
          <w:sz w:val="12"/>
        </w:rPr>
        <w:t>Consejo de Europa, Manual sobre el derecho europeo contra la discriminación, págs. 91 a 108; y Chopin y Germaine, Un enfoque comparativo del derecho de no</w:t>
      </w:r>
      <w:r>
        <w:rPr>
          <w:spacing w:val="40"/>
          <w:sz w:val="12"/>
        </w:rPr>
        <w:t xml:space="preserve"> </w:t>
      </w:r>
      <w:r>
        <w:rPr>
          <w:sz w:val="12"/>
        </w:rPr>
        <w:t>discriminación en Europa, 2019, págs. 68–80. El Convenio de la OIT sobre la discriminación (empleo y ocupación), 1958 (núm. 111) adopta un enfoque</w:t>
      </w:r>
      <w:r>
        <w:rPr>
          <w:spacing w:val="40"/>
          <w:sz w:val="12"/>
        </w:rPr>
        <w:t xml:space="preserve"> </w:t>
      </w:r>
      <w:r>
        <w:rPr>
          <w:sz w:val="12"/>
        </w:rPr>
        <w:t>materialmente similar respecto de las justificaciones y excepciones en el ámbito del empleo. Según el artículo 1, párrafo 2, de la Convención, "no se</w:t>
      </w:r>
    </w:p>
    <w:p w14:paraId="3831177E" w14:textId="77777777" w:rsidR="0014798C" w:rsidRDefault="004E1F0B">
      <w:pPr>
        <w:spacing w:before="2" w:line="256" w:lineRule="auto"/>
        <w:ind w:left="1369" w:right="1463" w:firstLine="2"/>
        <w:rPr>
          <w:sz w:val="12"/>
        </w:rPr>
      </w:pPr>
      <w:r>
        <w:rPr>
          <w:sz w:val="12"/>
        </w:rPr>
        <w:t>considerará discriminación ninguna distinción, exclusión o preferencia con respecto a un determinado puesto de trabajo basada en las necesidades inherentes al</w:t>
      </w:r>
      <w:r>
        <w:rPr>
          <w:spacing w:val="40"/>
          <w:sz w:val="12"/>
        </w:rPr>
        <w:t xml:space="preserve"> </w:t>
      </w:r>
      <w:r>
        <w:rPr>
          <w:spacing w:val="-2"/>
          <w:sz w:val="12"/>
        </w:rPr>
        <w:t>mismo".</w:t>
      </w:r>
    </w:p>
    <w:p w14:paraId="4E5EFBF0" w14:textId="77777777" w:rsidR="0014798C" w:rsidRDefault="0014798C">
      <w:pPr>
        <w:spacing w:line="256" w:lineRule="auto"/>
        <w:rPr>
          <w:sz w:val="12"/>
        </w:rPr>
        <w:sectPr w:rsidR="0014798C" w:rsidSect="00F265E4">
          <w:pgSz w:w="11900" w:h="16820"/>
          <w:pgMar w:top="340" w:right="0" w:bottom="280" w:left="200" w:header="121" w:footer="0" w:gutter="0"/>
          <w:cols w:space="720"/>
        </w:sectPr>
      </w:pPr>
    </w:p>
    <w:p w14:paraId="2CF404C0" w14:textId="77777777" w:rsidR="0014798C" w:rsidRDefault="0014798C">
      <w:pPr>
        <w:pStyle w:val="Textoindependiente"/>
        <w:spacing w:before="3"/>
        <w:rPr>
          <w:sz w:val="8"/>
        </w:rPr>
      </w:pPr>
    </w:p>
    <w:p w14:paraId="2866F612" w14:textId="77777777" w:rsidR="0014798C" w:rsidRDefault="004E1F0B">
      <w:pPr>
        <w:jc w:val="right"/>
        <w:rPr>
          <w:sz w:val="8"/>
        </w:rPr>
      </w:pPr>
      <w:r>
        <w:rPr>
          <w:spacing w:val="-5"/>
          <w:w w:val="105"/>
          <w:sz w:val="8"/>
        </w:rPr>
        <w:t>416</w:t>
      </w:r>
    </w:p>
    <w:p w14:paraId="10FACC7C" w14:textId="77777777" w:rsidR="0014798C" w:rsidRDefault="0014798C">
      <w:pPr>
        <w:pStyle w:val="Textoindependiente"/>
        <w:rPr>
          <w:sz w:val="8"/>
        </w:rPr>
      </w:pPr>
    </w:p>
    <w:p w14:paraId="00837084" w14:textId="77777777" w:rsidR="0014798C" w:rsidRDefault="0014798C">
      <w:pPr>
        <w:pStyle w:val="Textoindependiente"/>
        <w:rPr>
          <w:sz w:val="8"/>
        </w:rPr>
      </w:pPr>
    </w:p>
    <w:p w14:paraId="4D8025A9" w14:textId="77777777" w:rsidR="0014798C" w:rsidRDefault="0014798C">
      <w:pPr>
        <w:pStyle w:val="Textoindependiente"/>
        <w:rPr>
          <w:sz w:val="8"/>
        </w:rPr>
      </w:pPr>
    </w:p>
    <w:p w14:paraId="48319698" w14:textId="77777777" w:rsidR="0014798C" w:rsidRDefault="0014798C">
      <w:pPr>
        <w:pStyle w:val="Textoindependiente"/>
        <w:rPr>
          <w:sz w:val="8"/>
        </w:rPr>
      </w:pPr>
    </w:p>
    <w:p w14:paraId="316B0E20" w14:textId="77777777" w:rsidR="0014798C" w:rsidRDefault="0014798C">
      <w:pPr>
        <w:pStyle w:val="Textoindependiente"/>
        <w:rPr>
          <w:sz w:val="8"/>
        </w:rPr>
      </w:pPr>
    </w:p>
    <w:p w14:paraId="7309B159" w14:textId="77777777" w:rsidR="0014798C" w:rsidRDefault="0014798C">
      <w:pPr>
        <w:pStyle w:val="Textoindependiente"/>
        <w:rPr>
          <w:sz w:val="8"/>
        </w:rPr>
      </w:pPr>
    </w:p>
    <w:p w14:paraId="55E5875C" w14:textId="77777777" w:rsidR="0014798C" w:rsidRDefault="0014798C">
      <w:pPr>
        <w:pStyle w:val="Textoindependiente"/>
        <w:rPr>
          <w:sz w:val="8"/>
        </w:rPr>
      </w:pPr>
    </w:p>
    <w:p w14:paraId="6186C124" w14:textId="77777777" w:rsidR="0014798C" w:rsidRDefault="0014798C">
      <w:pPr>
        <w:pStyle w:val="Textoindependiente"/>
        <w:rPr>
          <w:sz w:val="8"/>
        </w:rPr>
      </w:pPr>
    </w:p>
    <w:p w14:paraId="09AC716D" w14:textId="77777777" w:rsidR="0014798C" w:rsidRDefault="0014798C">
      <w:pPr>
        <w:pStyle w:val="Textoindependiente"/>
        <w:spacing w:before="36"/>
        <w:rPr>
          <w:sz w:val="8"/>
        </w:rPr>
      </w:pPr>
    </w:p>
    <w:p w14:paraId="378812ED" w14:textId="77777777" w:rsidR="0014798C" w:rsidRDefault="004E1F0B">
      <w:pPr>
        <w:jc w:val="right"/>
        <w:rPr>
          <w:sz w:val="8"/>
        </w:rPr>
      </w:pPr>
      <w:r>
        <w:rPr>
          <w:spacing w:val="-5"/>
          <w:w w:val="105"/>
          <w:sz w:val="8"/>
        </w:rPr>
        <w:t>417</w:t>
      </w:r>
    </w:p>
    <w:p w14:paraId="7A4AEE01" w14:textId="77777777" w:rsidR="0014798C" w:rsidRDefault="004E1F0B">
      <w:pPr>
        <w:spacing w:before="121" w:line="312" w:lineRule="auto"/>
        <w:ind w:left="77" w:right="1896" w:firstLine="4"/>
        <w:rPr>
          <w:sz w:val="12"/>
        </w:rPr>
      </w:pPr>
      <w:r>
        <w:br w:type="column"/>
      </w:r>
      <w:r>
        <w:rPr>
          <w:sz w:val="12"/>
        </w:rPr>
        <w:t>Véase, por ejemplo,</w:t>
      </w:r>
      <w:r>
        <w:rPr>
          <w:spacing w:val="10"/>
          <w:sz w:val="12"/>
        </w:rPr>
        <w:t xml:space="preserve"> </w:t>
      </w:r>
      <w:r>
        <w:rPr>
          <w:sz w:val="12"/>
        </w:rPr>
        <w:t>Tribunal de Justicia de la Unión Europea,</w:t>
      </w:r>
      <w:r>
        <w:rPr>
          <w:spacing w:val="10"/>
          <w:sz w:val="12"/>
        </w:rPr>
        <w:t xml:space="preserve"> </w:t>
      </w:r>
      <w:proofErr w:type="spellStart"/>
      <w:r>
        <w:rPr>
          <w:sz w:val="12"/>
        </w:rPr>
        <w:t>Egenberger</w:t>
      </w:r>
      <w:proofErr w:type="spellEnd"/>
      <w:r>
        <w:rPr>
          <w:sz w:val="12"/>
        </w:rPr>
        <w:t xml:space="preserve"> c. </w:t>
      </w:r>
      <w:proofErr w:type="spellStart"/>
      <w:r>
        <w:rPr>
          <w:sz w:val="12"/>
        </w:rPr>
        <w:t>Evangelisches</w:t>
      </w:r>
      <w:proofErr w:type="spellEnd"/>
      <w:r>
        <w:rPr>
          <w:sz w:val="12"/>
        </w:rPr>
        <w:t xml:space="preserve"> </w:t>
      </w:r>
      <w:proofErr w:type="spellStart"/>
      <w:r>
        <w:rPr>
          <w:sz w:val="12"/>
        </w:rPr>
        <w:t>Werk</w:t>
      </w:r>
      <w:proofErr w:type="spellEnd"/>
      <w:r>
        <w:rPr>
          <w:sz w:val="12"/>
        </w:rPr>
        <w:t xml:space="preserve"> </w:t>
      </w:r>
      <w:proofErr w:type="spellStart"/>
      <w:r>
        <w:rPr>
          <w:sz w:val="12"/>
        </w:rPr>
        <w:t>für</w:t>
      </w:r>
      <w:proofErr w:type="spellEnd"/>
      <w:r>
        <w:rPr>
          <w:sz w:val="12"/>
        </w:rPr>
        <w:t xml:space="preserve"> </w:t>
      </w:r>
      <w:proofErr w:type="spellStart"/>
      <w:r>
        <w:rPr>
          <w:sz w:val="12"/>
        </w:rPr>
        <w:t>Diakonie</w:t>
      </w:r>
      <w:proofErr w:type="spellEnd"/>
      <w:r>
        <w:rPr>
          <w:sz w:val="12"/>
        </w:rPr>
        <w:t xml:space="preserve"> </w:t>
      </w:r>
      <w:proofErr w:type="spellStart"/>
      <w:r>
        <w:rPr>
          <w:sz w:val="12"/>
        </w:rPr>
        <w:t>und</w:t>
      </w:r>
      <w:proofErr w:type="spellEnd"/>
      <w:r>
        <w:rPr>
          <w:sz w:val="12"/>
        </w:rPr>
        <w:t xml:space="preserve"> </w:t>
      </w:r>
      <w:proofErr w:type="spellStart"/>
      <w:r>
        <w:rPr>
          <w:sz w:val="12"/>
        </w:rPr>
        <w:t>Entwicklung</w:t>
      </w:r>
      <w:proofErr w:type="spellEnd"/>
      <w:r>
        <w:rPr>
          <w:sz w:val="12"/>
        </w:rPr>
        <w:t xml:space="preserve"> eV, asunto C-414/16,</w:t>
      </w:r>
      <w:r>
        <w:rPr>
          <w:spacing w:val="80"/>
          <w:sz w:val="12"/>
        </w:rPr>
        <w:t xml:space="preserve"> </w:t>
      </w:r>
      <w:r>
        <w:rPr>
          <w:sz w:val="12"/>
        </w:rPr>
        <w:t>sentencia</w:t>
      </w:r>
      <w:r>
        <w:rPr>
          <w:spacing w:val="8"/>
          <w:sz w:val="12"/>
        </w:rPr>
        <w:t xml:space="preserve"> </w:t>
      </w:r>
      <w:r>
        <w:rPr>
          <w:sz w:val="12"/>
        </w:rPr>
        <w:t>de</w:t>
      </w:r>
      <w:r>
        <w:rPr>
          <w:spacing w:val="8"/>
          <w:sz w:val="12"/>
        </w:rPr>
        <w:t xml:space="preserve"> </w:t>
      </w:r>
      <w:r>
        <w:rPr>
          <w:sz w:val="12"/>
        </w:rPr>
        <w:t>17</w:t>
      </w:r>
      <w:r>
        <w:rPr>
          <w:spacing w:val="8"/>
          <w:sz w:val="12"/>
        </w:rPr>
        <w:t xml:space="preserve"> </w:t>
      </w:r>
      <w:r>
        <w:rPr>
          <w:sz w:val="12"/>
        </w:rPr>
        <w:t>de</w:t>
      </w:r>
      <w:r>
        <w:rPr>
          <w:spacing w:val="8"/>
          <w:sz w:val="12"/>
        </w:rPr>
        <w:t xml:space="preserve"> </w:t>
      </w:r>
      <w:r>
        <w:rPr>
          <w:sz w:val="12"/>
        </w:rPr>
        <w:t>abril</w:t>
      </w:r>
      <w:r>
        <w:rPr>
          <w:spacing w:val="8"/>
          <w:sz w:val="12"/>
        </w:rPr>
        <w:t xml:space="preserve"> </w:t>
      </w:r>
      <w:r>
        <w:rPr>
          <w:sz w:val="12"/>
        </w:rPr>
        <w:t>de</w:t>
      </w:r>
      <w:r>
        <w:rPr>
          <w:spacing w:val="8"/>
          <w:sz w:val="12"/>
        </w:rPr>
        <w:t xml:space="preserve"> </w:t>
      </w:r>
      <w:r>
        <w:rPr>
          <w:sz w:val="12"/>
        </w:rPr>
        <w:t>2018,</w:t>
      </w:r>
      <w:r>
        <w:rPr>
          <w:spacing w:val="8"/>
          <w:sz w:val="12"/>
        </w:rPr>
        <w:t xml:space="preserve"> </w:t>
      </w:r>
      <w:proofErr w:type="spellStart"/>
      <w:r>
        <w:rPr>
          <w:sz w:val="12"/>
        </w:rPr>
        <w:t>párrs</w:t>
      </w:r>
      <w:proofErr w:type="spellEnd"/>
      <w:r>
        <w:rPr>
          <w:sz w:val="12"/>
        </w:rPr>
        <w:t>.</w:t>
      </w:r>
      <w:r>
        <w:rPr>
          <w:spacing w:val="9"/>
          <w:sz w:val="12"/>
        </w:rPr>
        <w:t xml:space="preserve"> </w:t>
      </w:r>
      <w:r>
        <w:rPr>
          <w:sz w:val="12"/>
        </w:rPr>
        <w:t>66–68.</w:t>
      </w:r>
      <w:r>
        <w:rPr>
          <w:spacing w:val="8"/>
          <w:sz w:val="12"/>
        </w:rPr>
        <w:t xml:space="preserve"> </w:t>
      </w:r>
      <w:r>
        <w:rPr>
          <w:sz w:val="12"/>
        </w:rPr>
        <w:t>A</w:t>
      </w:r>
      <w:r>
        <w:rPr>
          <w:spacing w:val="8"/>
          <w:sz w:val="12"/>
        </w:rPr>
        <w:t xml:space="preserve"> </w:t>
      </w:r>
      <w:r>
        <w:rPr>
          <w:sz w:val="12"/>
        </w:rPr>
        <w:t>este</w:t>
      </w:r>
      <w:r>
        <w:rPr>
          <w:spacing w:val="8"/>
          <w:sz w:val="12"/>
        </w:rPr>
        <w:t xml:space="preserve"> </w:t>
      </w:r>
      <w:r>
        <w:rPr>
          <w:sz w:val="12"/>
        </w:rPr>
        <w:t>respecto,</w:t>
      </w:r>
      <w:r>
        <w:rPr>
          <w:spacing w:val="9"/>
          <w:sz w:val="12"/>
        </w:rPr>
        <w:t xml:space="preserve"> </w:t>
      </w:r>
      <w:r>
        <w:rPr>
          <w:sz w:val="12"/>
        </w:rPr>
        <w:t>los</w:t>
      </w:r>
      <w:r>
        <w:rPr>
          <w:spacing w:val="8"/>
          <w:sz w:val="12"/>
        </w:rPr>
        <w:t xml:space="preserve"> </w:t>
      </w:r>
      <w:r>
        <w:rPr>
          <w:sz w:val="12"/>
        </w:rPr>
        <w:t>comentaristas</w:t>
      </w:r>
      <w:r>
        <w:rPr>
          <w:spacing w:val="8"/>
          <w:sz w:val="12"/>
        </w:rPr>
        <w:t xml:space="preserve"> </w:t>
      </w:r>
      <w:r>
        <w:rPr>
          <w:sz w:val="12"/>
        </w:rPr>
        <w:t>han</w:t>
      </w:r>
      <w:r>
        <w:rPr>
          <w:spacing w:val="8"/>
          <w:sz w:val="12"/>
        </w:rPr>
        <w:t xml:space="preserve"> </w:t>
      </w:r>
      <w:r>
        <w:rPr>
          <w:sz w:val="12"/>
        </w:rPr>
        <w:t>señalado</w:t>
      </w:r>
      <w:r>
        <w:rPr>
          <w:spacing w:val="8"/>
          <w:sz w:val="12"/>
        </w:rPr>
        <w:t xml:space="preserve"> </w:t>
      </w:r>
      <w:r>
        <w:rPr>
          <w:sz w:val="12"/>
        </w:rPr>
        <w:t>que</w:t>
      </w:r>
      <w:r>
        <w:rPr>
          <w:spacing w:val="8"/>
          <w:sz w:val="12"/>
        </w:rPr>
        <w:t xml:space="preserve"> </w:t>
      </w:r>
      <w:r>
        <w:rPr>
          <w:sz w:val="12"/>
        </w:rPr>
        <w:t>“la</w:t>
      </w:r>
      <w:r>
        <w:rPr>
          <w:spacing w:val="8"/>
          <w:sz w:val="12"/>
        </w:rPr>
        <w:t xml:space="preserve"> </w:t>
      </w:r>
      <w:r>
        <w:rPr>
          <w:sz w:val="12"/>
        </w:rPr>
        <w:t>prueba</w:t>
      </w:r>
      <w:r>
        <w:rPr>
          <w:spacing w:val="8"/>
          <w:sz w:val="12"/>
        </w:rPr>
        <w:t xml:space="preserve"> </w:t>
      </w:r>
      <w:r>
        <w:rPr>
          <w:sz w:val="12"/>
        </w:rPr>
        <w:t>de</w:t>
      </w:r>
      <w:r>
        <w:rPr>
          <w:spacing w:val="8"/>
          <w:sz w:val="12"/>
        </w:rPr>
        <w:t xml:space="preserve"> </w:t>
      </w:r>
      <w:r>
        <w:rPr>
          <w:sz w:val="12"/>
        </w:rPr>
        <w:t>justificación</w:t>
      </w:r>
      <w:r>
        <w:rPr>
          <w:spacing w:val="8"/>
          <w:sz w:val="12"/>
        </w:rPr>
        <w:t xml:space="preserve"> </w:t>
      </w:r>
      <w:r>
        <w:rPr>
          <w:sz w:val="12"/>
        </w:rPr>
        <w:t>por</w:t>
      </w:r>
      <w:r>
        <w:rPr>
          <w:spacing w:val="8"/>
          <w:sz w:val="12"/>
        </w:rPr>
        <w:t xml:space="preserve"> </w:t>
      </w:r>
      <w:r>
        <w:rPr>
          <w:sz w:val="12"/>
        </w:rPr>
        <w:t>motivos</w:t>
      </w:r>
      <w:r>
        <w:rPr>
          <w:spacing w:val="8"/>
          <w:sz w:val="12"/>
        </w:rPr>
        <w:t xml:space="preserve"> </w:t>
      </w:r>
      <w:r>
        <w:rPr>
          <w:sz w:val="12"/>
        </w:rPr>
        <w:t>objetivos</w:t>
      </w:r>
      <w:r>
        <w:rPr>
          <w:spacing w:val="8"/>
          <w:sz w:val="12"/>
        </w:rPr>
        <w:t xml:space="preserve"> </w:t>
      </w:r>
      <w:r>
        <w:rPr>
          <w:sz w:val="12"/>
        </w:rPr>
        <w:t>en</w:t>
      </w:r>
      <w:r>
        <w:rPr>
          <w:spacing w:val="40"/>
          <w:sz w:val="12"/>
        </w:rPr>
        <w:t xml:space="preserve"> </w:t>
      </w:r>
      <w:r>
        <w:rPr>
          <w:sz w:val="12"/>
        </w:rPr>
        <w:t>virtud del [Convenio Europeo de Derechos Humanos] y la prueba de justificación en virtud de las excepciones a las directivas de no discriminación son muy</w:t>
      </w:r>
      <w:r>
        <w:rPr>
          <w:spacing w:val="40"/>
          <w:sz w:val="12"/>
        </w:rPr>
        <w:t xml:space="preserve"> </w:t>
      </w:r>
      <w:r>
        <w:rPr>
          <w:sz w:val="12"/>
        </w:rPr>
        <w:t>similares”. Véase, por ejemplo, Agencia de Derechos Fundamentales de la Unión Europea y Consejo de Europa, Manual sobre el derecho europeo contra la</w:t>
      </w:r>
      <w:r>
        <w:rPr>
          <w:spacing w:val="40"/>
          <w:sz w:val="12"/>
        </w:rPr>
        <w:t xml:space="preserve"> </w:t>
      </w:r>
      <w:r>
        <w:rPr>
          <w:sz w:val="12"/>
        </w:rPr>
        <w:t>discriminación, pág. 92.</w:t>
      </w:r>
    </w:p>
    <w:p w14:paraId="27998963" w14:textId="77777777" w:rsidR="0014798C" w:rsidRDefault="004E1F0B">
      <w:pPr>
        <w:spacing w:before="58" w:line="312" w:lineRule="auto"/>
        <w:ind w:left="86" w:right="1378" w:hanging="6"/>
        <w:rPr>
          <w:sz w:val="12"/>
        </w:rPr>
      </w:pPr>
      <w:r>
        <w:rPr>
          <w:sz w:val="12"/>
        </w:rPr>
        <w:t xml:space="preserve">Véase, por ejemplo, Comité de Derechos Humanos, observación general núm. 18 (1989), párr. 13; </w:t>
      </w:r>
      <w:proofErr w:type="spellStart"/>
      <w:r>
        <w:rPr>
          <w:sz w:val="12"/>
        </w:rPr>
        <w:t>Fedotova</w:t>
      </w:r>
      <w:proofErr w:type="spellEnd"/>
      <w:r>
        <w:rPr>
          <w:sz w:val="12"/>
        </w:rPr>
        <w:t xml:space="preserve"> contra la Federación de Rusia</w:t>
      </w:r>
      <w:r>
        <w:rPr>
          <w:spacing w:val="40"/>
          <w:sz w:val="12"/>
        </w:rPr>
        <w:t xml:space="preserve"> </w:t>
      </w:r>
      <w:r>
        <w:rPr>
          <w:sz w:val="12"/>
        </w:rPr>
        <w:t xml:space="preserve">(CCPR/C/106/D/1932/2010), párr. 10,6; y </w:t>
      </w:r>
      <w:proofErr w:type="spellStart"/>
      <w:r>
        <w:rPr>
          <w:sz w:val="12"/>
        </w:rPr>
        <w:t>Yaker</w:t>
      </w:r>
      <w:proofErr w:type="spellEnd"/>
      <w:r>
        <w:rPr>
          <w:sz w:val="12"/>
        </w:rPr>
        <w:t xml:space="preserve"> c. Francia (CCPR/C/123/D/2747/2016), párr. 8.14.</w:t>
      </w:r>
    </w:p>
    <w:p w14:paraId="48385988" w14:textId="77777777" w:rsidR="0014798C" w:rsidRDefault="0014798C">
      <w:pPr>
        <w:spacing w:line="312" w:lineRule="auto"/>
        <w:rPr>
          <w:sz w:val="12"/>
        </w:rPr>
        <w:sectPr w:rsidR="0014798C" w:rsidSect="00F265E4">
          <w:type w:val="continuous"/>
          <w:pgSz w:w="11900" w:h="16820"/>
          <w:pgMar w:top="40" w:right="0" w:bottom="280" w:left="200" w:header="121" w:footer="0" w:gutter="0"/>
          <w:cols w:num="2" w:space="720" w:equalWidth="0">
            <w:col w:w="1249" w:space="40"/>
            <w:col w:w="10411"/>
          </w:cols>
        </w:sectPr>
      </w:pPr>
    </w:p>
    <w:p w14:paraId="34CF8395" w14:textId="77777777" w:rsidR="0014798C" w:rsidRDefault="004E1F0B">
      <w:pPr>
        <w:spacing w:before="58"/>
        <w:ind w:left="1105"/>
        <w:rPr>
          <w:sz w:val="12"/>
        </w:rPr>
      </w:pPr>
      <w:r>
        <w:rPr>
          <w:sz w:val="12"/>
        </w:rPr>
        <w:t>418</w:t>
      </w:r>
      <w:r>
        <w:rPr>
          <w:spacing w:val="4"/>
          <w:sz w:val="12"/>
        </w:rPr>
        <w:t xml:space="preserve"> </w:t>
      </w:r>
      <w:r>
        <w:rPr>
          <w:sz w:val="12"/>
        </w:rPr>
        <w:t>Comité</w:t>
      </w:r>
      <w:r>
        <w:rPr>
          <w:spacing w:val="4"/>
          <w:sz w:val="12"/>
        </w:rPr>
        <w:t xml:space="preserve"> </w:t>
      </w:r>
      <w:r>
        <w:rPr>
          <w:sz w:val="12"/>
        </w:rPr>
        <w:t>de</w:t>
      </w:r>
      <w:r>
        <w:rPr>
          <w:spacing w:val="4"/>
          <w:sz w:val="12"/>
        </w:rPr>
        <w:t xml:space="preserve"> </w:t>
      </w:r>
      <w:r>
        <w:rPr>
          <w:sz w:val="12"/>
        </w:rPr>
        <w:t>Derechos</w:t>
      </w:r>
      <w:r>
        <w:rPr>
          <w:spacing w:val="5"/>
          <w:sz w:val="12"/>
        </w:rPr>
        <w:t xml:space="preserve"> </w:t>
      </w:r>
      <w:r>
        <w:rPr>
          <w:sz w:val="12"/>
        </w:rPr>
        <w:t>Económicos,</w:t>
      </w:r>
      <w:r>
        <w:rPr>
          <w:spacing w:val="5"/>
          <w:sz w:val="12"/>
        </w:rPr>
        <w:t xml:space="preserve"> </w:t>
      </w:r>
      <w:r>
        <w:rPr>
          <w:sz w:val="12"/>
        </w:rPr>
        <w:t>Sociales</w:t>
      </w:r>
      <w:r>
        <w:rPr>
          <w:spacing w:val="5"/>
          <w:sz w:val="12"/>
        </w:rPr>
        <w:t xml:space="preserve"> </w:t>
      </w:r>
      <w:r>
        <w:rPr>
          <w:sz w:val="12"/>
        </w:rPr>
        <w:t>y</w:t>
      </w:r>
      <w:r>
        <w:rPr>
          <w:spacing w:val="4"/>
          <w:sz w:val="12"/>
        </w:rPr>
        <w:t xml:space="preserve"> </w:t>
      </w:r>
      <w:r>
        <w:rPr>
          <w:sz w:val="12"/>
        </w:rPr>
        <w:t>Culturales,</w:t>
      </w:r>
      <w:r>
        <w:rPr>
          <w:spacing w:val="5"/>
          <w:sz w:val="12"/>
        </w:rPr>
        <w:t xml:space="preserve"> </w:t>
      </w:r>
      <w:r>
        <w:rPr>
          <w:sz w:val="12"/>
        </w:rPr>
        <w:t>López</w:t>
      </w:r>
      <w:r>
        <w:rPr>
          <w:spacing w:val="5"/>
          <w:sz w:val="12"/>
        </w:rPr>
        <w:t xml:space="preserve"> </w:t>
      </w:r>
      <w:r>
        <w:rPr>
          <w:sz w:val="12"/>
        </w:rPr>
        <w:t>Rodríguez</w:t>
      </w:r>
      <w:r>
        <w:rPr>
          <w:spacing w:val="4"/>
          <w:sz w:val="12"/>
        </w:rPr>
        <w:t xml:space="preserve"> </w:t>
      </w:r>
      <w:r>
        <w:rPr>
          <w:sz w:val="12"/>
        </w:rPr>
        <w:t>c.</w:t>
      </w:r>
      <w:r>
        <w:rPr>
          <w:spacing w:val="4"/>
          <w:sz w:val="12"/>
        </w:rPr>
        <w:t xml:space="preserve"> </w:t>
      </w:r>
      <w:r>
        <w:rPr>
          <w:sz w:val="12"/>
        </w:rPr>
        <w:t>España</w:t>
      </w:r>
      <w:r>
        <w:rPr>
          <w:spacing w:val="5"/>
          <w:sz w:val="12"/>
        </w:rPr>
        <w:t xml:space="preserve"> </w:t>
      </w:r>
      <w:r>
        <w:rPr>
          <w:sz w:val="12"/>
        </w:rPr>
        <w:t>(E/C.12/57/D/1/2013),</w:t>
      </w:r>
      <w:r>
        <w:rPr>
          <w:spacing w:val="5"/>
          <w:sz w:val="12"/>
        </w:rPr>
        <w:t xml:space="preserve"> </w:t>
      </w:r>
      <w:r>
        <w:rPr>
          <w:sz w:val="12"/>
        </w:rPr>
        <w:t>párr.</w:t>
      </w:r>
      <w:r>
        <w:rPr>
          <w:spacing w:val="4"/>
          <w:sz w:val="12"/>
        </w:rPr>
        <w:t xml:space="preserve"> </w:t>
      </w:r>
      <w:r>
        <w:rPr>
          <w:spacing w:val="-2"/>
          <w:sz w:val="12"/>
        </w:rPr>
        <w:t>14.1.</w:t>
      </w:r>
    </w:p>
    <w:p w14:paraId="17F7C86B" w14:textId="77777777" w:rsidR="0014798C" w:rsidRDefault="004E1F0B">
      <w:pPr>
        <w:spacing w:before="98" w:line="312" w:lineRule="auto"/>
        <w:ind w:left="1369" w:right="1463" w:hanging="265"/>
        <w:rPr>
          <w:sz w:val="12"/>
        </w:rPr>
      </w:pPr>
      <w:r>
        <w:rPr>
          <w:sz w:val="12"/>
        </w:rPr>
        <w:t>419 Comité de Derechos Económicos, Sociales y Culturales, observación general núm. 20 (2009), párr. 13. Véase, en relación con esto, Comisión Interamericana de</w:t>
      </w:r>
      <w:r>
        <w:rPr>
          <w:spacing w:val="40"/>
          <w:sz w:val="12"/>
        </w:rPr>
        <w:t xml:space="preserve"> </w:t>
      </w:r>
      <w:r>
        <w:rPr>
          <w:sz w:val="12"/>
        </w:rPr>
        <w:t>Derechos Humanos, Trabajadores Indocumentados vs. Estados Unidos de América, Caso 12.834, Informe No. 50/16, 30 de noviembre de 2016, párr. 74.</w:t>
      </w:r>
    </w:p>
    <w:p w14:paraId="17D069D2" w14:textId="77777777" w:rsidR="0014798C" w:rsidRDefault="004E1F0B">
      <w:pPr>
        <w:spacing w:before="87"/>
        <w:ind w:left="1105"/>
        <w:rPr>
          <w:sz w:val="11"/>
        </w:rPr>
      </w:pPr>
      <w:r>
        <w:rPr>
          <w:spacing w:val="-2"/>
          <w:sz w:val="11"/>
        </w:rPr>
        <w:t>420</w:t>
      </w:r>
      <w:r>
        <w:rPr>
          <w:spacing w:val="3"/>
          <w:sz w:val="11"/>
        </w:rPr>
        <w:t xml:space="preserve"> </w:t>
      </w:r>
      <w:r>
        <w:rPr>
          <w:spacing w:val="-2"/>
          <w:sz w:val="11"/>
        </w:rPr>
        <w:t>Comité</w:t>
      </w:r>
      <w:r>
        <w:rPr>
          <w:spacing w:val="4"/>
          <w:sz w:val="11"/>
        </w:rPr>
        <w:t xml:space="preserve"> </w:t>
      </w:r>
      <w:r>
        <w:rPr>
          <w:spacing w:val="-2"/>
          <w:sz w:val="11"/>
        </w:rPr>
        <w:t>de</w:t>
      </w:r>
      <w:r>
        <w:rPr>
          <w:spacing w:val="4"/>
          <w:sz w:val="11"/>
        </w:rPr>
        <w:t xml:space="preserve"> </w:t>
      </w:r>
      <w:r>
        <w:rPr>
          <w:spacing w:val="-2"/>
          <w:sz w:val="11"/>
        </w:rPr>
        <w:t>Derechos</w:t>
      </w:r>
      <w:r>
        <w:rPr>
          <w:spacing w:val="4"/>
          <w:sz w:val="11"/>
        </w:rPr>
        <w:t xml:space="preserve"> </w:t>
      </w:r>
      <w:r>
        <w:rPr>
          <w:spacing w:val="-2"/>
          <w:sz w:val="11"/>
        </w:rPr>
        <w:t>Económicos,</w:t>
      </w:r>
      <w:r>
        <w:rPr>
          <w:spacing w:val="5"/>
          <w:sz w:val="11"/>
        </w:rPr>
        <w:t xml:space="preserve"> </w:t>
      </w:r>
      <w:r>
        <w:rPr>
          <w:spacing w:val="-2"/>
          <w:sz w:val="11"/>
        </w:rPr>
        <w:t>Sociales</w:t>
      </w:r>
      <w:r>
        <w:rPr>
          <w:spacing w:val="3"/>
          <w:sz w:val="11"/>
        </w:rPr>
        <w:t xml:space="preserve"> </w:t>
      </w:r>
      <w:r>
        <w:rPr>
          <w:spacing w:val="-2"/>
          <w:sz w:val="11"/>
        </w:rPr>
        <w:t>y</w:t>
      </w:r>
      <w:r>
        <w:rPr>
          <w:spacing w:val="4"/>
          <w:sz w:val="11"/>
        </w:rPr>
        <w:t xml:space="preserve"> </w:t>
      </w:r>
      <w:r>
        <w:rPr>
          <w:spacing w:val="-2"/>
          <w:sz w:val="11"/>
        </w:rPr>
        <w:t>Culturales,</w:t>
      </w:r>
      <w:r>
        <w:rPr>
          <w:spacing w:val="5"/>
          <w:sz w:val="11"/>
        </w:rPr>
        <w:t xml:space="preserve"> </w:t>
      </w:r>
      <w:r>
        <w:rPr>
          <w:spacing w:val="-2"/>
          <w:sz w:val="11"/>
        </w:rPr>
        <w:t>observación</w:t>
      </w:r>
      <w:r>
        <w:rPr>
          <w:spacing w:val="4"/>
          <w:sz w:val="11"/>
        </w:rPr>
        <w:t xml:space="preserve"> </w:t>
      </w:r>
      <w:r>
        <w:rPr>
          <w:spacing w:val="-2"/>
          <w:sz w:val="11"/>
        </w:rPr>
        <w:t>general</w:t>
      </w:r>
      <w:r>
        <w:rPr>
          <w:spacing w:val="4"/>
          <w:sz w:val="11"/>
        </w:rPr>
        <w:t xml:space="preserve"> </w:t>
      </w:r>
      <w:r>
        <w:rPr>
          <w:spacing w:val="-2"/>
          <w:sz w:val="11"/>
        </w:rPr>
        <w:t>núm.</w:t>
      </w:r>
      <w:r>
        <w:rPr>
          <w:spacing w:val="3"/>
          <w:sz w:val="11"/>
        </w:rPr>
        <w:t xml:space="preserve"> </w:t>
      </w:r>
      <w:r>
        <w:rPr>
          <w:spacing w:val="-2"/>
          <w:sz w:val="11"/>
        </w:rPr>
        <w:t>20</w:t>
      </w:r>
      <w:r>
        <w:rPr>
          <w:spacing w:val="4"/>
          <w:sz w:val="11"/>
        </w:rPr>
        <w:t xml:space="preserve"> </w:t>
      </w:r>
      <w:r>
        <w:rPr>
          <w:spacing w:val="-2"/>
          <w:sz w:val="11"/>
        </w:rPr>
        <w:t>(2009),</w:t>
      </w:r>
      <w:r>
        <w:rPr>
          <w:spacing w:val="5"/>
          <w:sz w:val="11"/>
        </w:rPr>
        <w:t xml:space="preserve"> </w:t>
      </w:r>
      <w:r>
        <w:rPr>
          <w:spacing w:val="-2"/>
          <w:sz w:val="11"/>
        </w:rPr>
        <w:t>párr.</w:t>
      </w:r>
      <w:r>
        <w:rPr>
          <w:spacing w:val="5"/>
          <w:sz w:val="11"/>
        </w:rPr>
        <w:t xml:space="preserve"> </w:t>
      </w:r>
      <w:r>
        <w:rPr>
          <w:spacing w:val="-5"/>
          <w:sz w:val="11"/>
        </w:rPr>
        <w:t>13.</w:t>
      </w:r>
    </w:p>
    <w:p w14:paraId="31785290" w14:textId="77777777" w:rsidR="0014798C" w:rsidRDefault="004E1F0B">
      <w:pPr>
        <w:spacing w:before="110"/>
        <w:ind w:left="1105"/>
        <w:rPr>
          <w:sz w:val="11"/>
        </w:rPr>
      </w:pPr>
      <w:r>
        <w:rPr>
          <w:spacing w:val="-2"/>
          <w:sz w:val="11"/>
        </w:rPr>
        <w:t>421</w:t>
      </w:r>
      <w:r>
        <w:rPr>
          <w:spacing w:val="2"/>
          <w:sz w:val="11"/>
        </w:rPr>
        <w:t xml:space="preserve"> </w:t>
      </w:r>
      <w:r>
        <w:rPr>
          <w:spacing w:val="-2"/>
          <w:sz w:val="11"/>
        </w:rPr>
        <w:t>Comité</w:t>
      </w:r>
      <w:r>
        <w:rPr>
          <w:spacing w:val="3"/>
          <w:sz w:val="11"/>
        </w:rPr>
        <w:t xml:space="preserve"> </w:t>
      </w:r>
      <w:r>
        <w:rPr>
          <w:spacing w:val="-2"/>
          <w:sz w:val="11"/>
        </w:rPr>
        <w:t>para</w:t>
      </w:r>
      <w:r>
        <w:rPr>
          <w:spacing w:val="3"/>
          <w:sz w:val="11"/>
        </w:rPr>
        <w:t xml:space="preserve"> </w:t>
      </w:r>
      <w:r>
        <w:rPr>
          <w:spacing w:val="-2"/>
          <w:sz w:val="11"/>
        </w:rPr>
        <w:t>la</w:t>
      </w:r>
      <w:r>
        <w:rPr>
          <w:spacing w:val="3"/>
          <w:sz w:val="11"/>
        </w:rPr>
        <w:t xml:space="preserve"> </w:t>
      </w:r>
      <w:r>
        <w:rPr>
          <w:spacing w:val="-2"/>
          <w:sz w:val="11"/>
        </w:rPr>
        <w:t>Eliminación</w:t>
      </w:r>
      <w:r>
        <w:rPr>
          <w:spacing w:val="2"/>
          <w:sz w:val="11"/>
        </w:rPr>
        <w:t xml:space="preserve"> </w:t>
      </w:r>
      <w:r>
        <w:rPr>
          <w:spacing w:val="-2"/>
          <w:sz w:val="11"/>
        </w:rPr>
        <w:t>de</w:t>
      </w:r>
      <w:r>
        <w:rPr>
          <w:spacing w:val="3"/>
          <w:sz w:val="11"/>
        </w:rPr>
        <w:t xml:space="preserve"> </w:t>
      </w:r>
      <w:r>
        <w:rPr>
          <w:spacing w:val="-2"/>
          <w:sz w:val="11"/>
        </w:rPr>
        <w:t>la</w:t>
      </w:r>
      <w:r>
        <w:rPr>
          <w:spacing w:val="3"/>
          <w:sz w:val="11"/>
        </w:rPr>
        <w:t xml:space="preserve"> </w:t>
      </w:r>
      <w:r>
        <w:rPr>
          <w:spacing w:val="-2"/>
          <w:sz w:val="11"/>
        </w:rPr>
        <w:t>Discriminación</w:t>
      </w:r>
      <w:r>
        <w:rPr>
          <w:spacing w:val="3"/>
          <w:sz w:val="11"/>
        </w:rPr>
        <w:t xml:space="preserve"> </w:t>
      </w:r>
      <w:r>
        <w:rPr>
          <w:spacing w:val="-2"/>
          <w:sz w:val="11"/>
        </w:rPr>
        <w:t>Racial,</w:t>
      </w:r>
      <w:r>
        <w:rPr>
          <w:spacing w:val="3"/>
          <w:sz w:val="11"/>
        </w:rPr>
        <w:t xml:space="preserve"> </w:t>
      </w:r>
      <w:r>
        <w:rPr>
          <w:spacing w:val="-2"/>
          <w:sz w:val="11"/>
        </w:rPr>
        <w:t>recomendación</w:t>
      </w:r>
      <w:r>
        <w:rPr>
          <w:spacing w:val="3"/>
          <w:sz w:val="11"/>
        </w:rPr>
        <w:t xml:space="preserve"> </w:t>
      </w:r>
      <w:r>
        <w:rPr>
          <w:spacing w:val="-2"/>
          <w:sz w:val="11"/>
        </w:rPr>
        <w:t>general</w:t>
      </w:r>
      <w:r>
        <w:rPr>
          <w:spacing w:val="3"/>
          <w:sz w:val="11"/>
        </w:rPr>
        <w:t xml:space="preserve"> </w:t>
      </w:r>
      <w:r>
        <w:rPr>
          <w:spacing w:val="-2"/>
          <w:sz w:val="11"/>
        </w:rPr>
        <w:t>núm.</w:t>
      </w:r>
      <w:r>
        <w:rPr>
          <w:spacing w:val="3"/>
          <w:sz w:val="11"/>
        </w:rPr>
        <w:t xml:space="preserve"> </w:t>
      </w:r>
      <w:r>
        <w:rPr>
          <w:spacing w:val="-2"/>
          <w:sz w:val="11"/>
        </w:rPr>
        <w:t>32</w:t>
      </w:r>
      <w:r>
        <w:rPr>
          <w:spacing w:val="3"/>
          <w:sz w:val="11"/>
        </w:rPr>
        <w:t xml:space="preserve"> </w:t>
      </w:r>
      <w:r>
        <w:rPr>
          <w:spacing w:val="-2"/>
          <w:sz w:val="11"/>
        </w:rPr>
        <w:t>(2009),</w:t>
      </w:r>
      <w:r>
        <w:rPr>
          <w:spacing w:val="3"/>
          <w:sz w:val="11"/>
        </w:rPr>
        <w:t xml:space="preserve"> </w:t>
      </w:r>
      <w:r>
        <w:rPr>
          <w:spacing w:val="-2"/>
          <w:sz w:val="11"/>
        </w:rPr>
        <w:t>párr.</w:t>
      </w:r>
      <w:r>
        <w:rPr>
          <w:spacing w:val="4"/>
          <w:sz w:val="11"/>
        </w:rPr>
        <w:t xml:space="preserve"> </w:t>
      </w:r>
      <w:r>
        <w:rPr>
          <w:spacing w:val="-5"/>
          <w:sz w:val="11"/>
        </w:rPr>
        <w:t>8.</w:t>
      </w:r>
    </w:p>
    <w:p w14:paraId="70043DC5" w14:textId="77777777" w:rsidR="0014798C" w:rsidRDefault="0014798C">
      <w:pPr>
        <w:rPr>
          <w:sz w:val="11"/>
        </w:rPr>
        <w:sectPr w:rsidR="0014798C" w:rsidSect="00F265E4">
          <w:type w:val="continuous"/>
          <w:pgSz w:w="11900" w:h="16820"/>
          <w:pgMar w:top="40" w:right="0" w:bottom="280" w:left="200" w:header="121" w:footer="0" w:gutter="0"/>
          <w:cols w:space="720"/>
        </w:sectPr>
      </w:pPr>
    </w:p>
    <w:p w14:paraId="6DC29823" w14:textId="77777777" w:rsidR="0014798C" w:rsidRDefault="004E1F0B">
      <w:pPr>
        <w:spacing w:before="54"/>
        <w:jc w:val="right"/>
        <w:rPr>
          <w:sz w:val="8"/>
        </w:rPr>
      </w:pPr>
      <w:r>
        <w:rPr>
          <w:spacing w:val="-5"/>
          <w:w w:val="105"/>
          <w:sz w:val="8"/>
        </w:rPr>
        <w:t>422</w:t>
      </w:r>
    </w:p>
    <w:p w14:paraId="5D53745E" w14:textId="77777777" w:rsidR="0014798C" w:rsidRDefault="0014798C">
      <w:pPr>
        <w:pStyle w:val="Textoindependiente"/>
        <w:rPr>
          <w:sz w:val="8"/>
        </w:rPr>
      </w:pPr>
    </w:p>
    <w:p w14:paraId="65A42B83" w14:textId="77777777" w:rsidR="0014798C" w:rsidRDefault="0014798C">
      <w:pPr>
        <w:pStyle w:val="Textoindependiente"/>
        <w:rPr>
          <w:sz w:val="8"/>
        </w:rPr>
      </w:pPr>
    </w:p>
    <w:p w14:paraId="662639F9" w14:textId="77777777" w:rsidR="0014798C" w:rsidRDefault="0014798C">
      <w:pPr>
        <w:pStyle w:val="Textoindependiente"/>
        <w:rPr>
          <w:sz w:val="8"/>
        </w:rPr>
      </w:pPr>
    </w:p>
    <w:p w14:paraId="638AE92F" w14:textId="77777777" w:rsidR="0014798C" w:rsidRDefault="0014798C">
      <w:pPr>
        <w:pStyle w:val="Textoindependiente"/>
        <w:rPr>
          <w:sz w:val="8"/>
        </w:rPr>
      </w:pPr>
    </w:p>
    <w:p w14:paraId="6320A735" w14:textId="77777777" w:rsidR="0014798C" w:rsidRDefault="0014798C">
      <w:pPr>
        <w:pStyle w:val="Textoindependiente"/>
        <w:spacing w:before="46"/>
        <w:rPr>
          <w:sz w:val="8"/>
        </w:rPr>
      </w:pPr>
    </w:p>
    <w:p w14:paraId="76BB951C" w14:textId="77777777" w:rsidR="0014798C" w:rsidRDefault="004E1F0B">
      <w:pPr>
        <w:jc w:val="right"/>
        <w:rPr>
          <w:sz w:val="8"/>
        </w:rPr>
      </w:pPr>
      <w:r>
        <w:rPr>
          <w:spacing w:val="-5"/>
          <w:w w:val="105"/>
          <w:sz w:val="8"/>
        </w:rPr>
        <w:t>423</w:t>
      </w:r>
    </w:p>
    <w:p w14:paraId="155452DA" w14:textId="77777777" w:rsidR="0014798C" w:rsidRDefault="004E1F0B">
      <w:pPr>
        <w:spacing w:before="81" w:line="312" w:lineRule="auto"/>
        <w:ind w:left="79" w:right="1359" w:firstLine="1"/>
        <w:rPr>
          <w:sz w:val="12"/>
        </w:rPr>
      </w:pPr>
      <w:r>
        <w:br w:type="column"/>
      </w:r>
      <w:r>
        <w:rPr>
          <w:sz w:val="12"/>
        </w:rPr>
        <w:t>Sin</w:t>
      </w:r>
      <w:r>
        <w:rPr>
          <w:spacing w:val="7"/>
          <w:sz w:val="12"/>
        </w:rPr>
        <w:t xml:space="preserve"> </w:t>
      </w:r>
      <w:r>
        <w:rPr>
          <w:sz w:val="12"/>
        </w:rPr>
        <w:t>embargo,</w:t>
      </w:r>
      <w:r>
        <w:rPr>
          <w:spacing w:val="9"/>
          <w:sz w:val="12"/>
        </w:rPr>
        <w:t xml:space="preserve"> </w:t>
      </w:r>
      <w:r>
        <w:rPr>
          <w:sz w:val="12"/>
        </w:rPr>
        <w:t>en</w:t>
      </w:r>
      <w:r>
        <w:rPr>
          <w:spacing w:val="7"/>
          <w:sz w:val="12"/>
        </w:rPr>
        <w:t xml:space="preserve"> </w:t>
      </w:r>
      <w:r>
        <w:rPr>
          <w:sz w:val="12"/>
        </w:rPr>
        <w:t>la</w:t>
      </w:r>
      <w:r>
        <w:rPr>
          <w:spacing w:val="7"/>
          <w:sz w:val="12"/>
        </w:rPr>
        <w:t xml:space="preserve"> </w:t>
      </w:r>
      <w:r>
        <w:rPr>
          <w:sz w:val="12"/>
        </w:rPr>
        <w:t>mayoría</w:t>
      </w:r>
      <w:r>
        <w:rPr>
          <w:spacing w:val="7"/>
          <w:sz w:val="12"/>
        </w:rPr>
        <w:t xml:space="preserve"> </w:t>
      </w:r>
      <w:r>
        <w:rPr>
          <w:sz w:val="12"/>
        </w:rPr>
        <w:t>de</w:t>
      </w:r>
      <w:r>
        <w:rPr>
          <w:spacing w:val="7"/>
          <w:sz w:val="12"/>
        </w:rPr>
        <w:t xml:space="preserve"> </w:t>
      </w:r>
      <w:r>
        <w:rPr>
          <w:sz w:val="12"/>
        </w:rPr>
        <w:t>los</w:t>
      </w:r>
      <w:r>
        <w:rPr>
          <w:spacing w:val="7"/>
          <w:sz w:val="12"/>
        </w:rPr>
        <w:t xml:space="preserve"> </w:t>
      </w:r>
      <w:r>
        <w:rPr>
          <w:sz w:val="12"/>
        </w:rPr>
        <w:t>casos</w:t>
      </w:r>
      <w:r>
        <w:rPr>
          <w:spacing w:val="7"/>
          <w:sz w:val="12"/>
        </w:rPr>
        <w:t xml:space="preserve"> </w:t>
      </w:r>
      <w:r>
        <w:rPr>
          <w:sz w:val="12"/>
        </w:rPr>
        <w:t>pertinentes,</w:t>
      </w:r>
      <w:r>
        <w:rPr>
          <w:spacing w:val="9"/>
          <w:sz w:val="12"/>
        </w:rPr>
        <w:t xml:space="preserve"> </w:t>
      </w:r>
      <w:r>
        <w:rPr>
          <w:sz w:val="12"/>
        </w:rPr>
        <w:t>el</w:t>
      </w:r>
      <w:r>
        <w:rPr>
          <w:spacing w:val="7"/>
          <w:sz w:val="12"/>
        </w:rPr>
        <w:t xml:space="preserve"> </w:t>
      </w:r>
      <w:r>
        <w:rPr>
          <w:sz w:val="12"/>
        </w:rPr>
        <w:t>trato</w:t>
      </w:r>
      <w:r>
        <w:rPr>
          <w:spacing w:val="7"/>
          <w:sz w:val="12"/>
        </w:rPr>
        <w:t xml:space="preserve"> </w:t>
      </w:r>
      <w:r>
        <w:rPr>
          <w:sz w:val="12"/>
        </w:rPr>
        <w:t>diferenciado</w:t>
      </w:r>
      <w:r>
        <w:rPr>
          <w:spacing w:val="7"/>
          <w:sz w:val="12"/>
        </w:rPr>
        <w:t xml:space="preserve"> </w:t>
      </w:r>
      <w:r>
        <w:rPr>
          <w:sz w:val="12"/>
        </w:rPr>
        <w:t>no</w:t>
      </w:r>
      <w:r>
        <w:rPr>
          <w:spacing w:val="7"/>
          <w:sz w:val="12"/>
        </w:rPr>
        <w:t xml:space="preserve"> </w:t>
      </w:r>
      <w:r>
        <w:rPr>
          <w:sz w:val="12"/>
        </w:rPr>
        <w:t>estaba</w:t>
      </w:r>
      <w:r>
        <w:rPr>
          <w:spacing w:val="7"/>
          <w:sz w:val="12"/>
        </w:rPr>
        <w:t xml:space="preserve"> </w:t>
      </w:r>
      <w:r>
        <w:rPr>
          <w:sz w:val="12"/>
        </w:rPr>
        <w:t>justificado.</w:t>
      </w:r>
      <w:r>
        <w:rPr>
          <w:spacing w:val="9"/>
          <w:sz w:val="12"/>
        </w:rPr>
        <w:t xml:space="preserve"> </w:t>
      </w:r>
      <w:r>
        <w:rPr>
          <w:sz w:val="12"/>
        </w:rPr>
        <w:t>Véase,</w:t>
      </w:r>
      <w:r>
        <w:rPr>
          <w:spacing w:val="7"/>
          <w:sz w:val="12"/>
        </w:rPr>
        <w:t xml:space="preserve"> </w:t>
      </w:r>
      <w:r>
        <w:rPr>
          <w:sz w:val="12"/>
        </w:rPr>
        <w:t>a</w:t>
      </w:r>
      <w:r>
        <w:rPr>
          <w:spacing w:val="7"/>
          <w:sz w:val="12"/>
        </w:rPr>
        <w:t xml:space="preserve"> </w:t>
      </w:r>
      <w:r>
        <w:rPr>
          <w:sz w:val="12"/>
        </w:rPr>
        <w:t>modo</w:t>
      </w:r>
      <w:r>
        <w:rPr>
          <w:spacing w:val="7"/>
          <w:sz w:val="12"/>
        </w:rPr>
        <w:t xml:space="preserve"> </w:t>
      </w:r>
      <w:r>
        <w:rPr>
          <w:sz w:val="12"/>
        </w:rPr>
        <w:t>de</w:t>
      </w:r>
      <w:r>
        <w:rPr>
          <w:spacing w:val="7"/>
          <w:sz w:val="12"/>
        </w:rPr>
        <w:t xml:space="preserve"> </w:t>
      </w:r>
      <w:r>
        <w:rPr>
          <w:sz w:val="12"/>
        </w:rPr>
        <w:t>ejemplo,</w:t>
      </w:r>
      <w:r>
        <w:rPr>
          <w:spacing w:val="9"/>
          <w:sz w:val="12"/>
        </w:rPr>
        <w:t xml:space="preserve"> </w:t>
      </w:r>
      <w:r>
        <w:rPr>
          <w:sz w:val="12"/>
        </w:rPr>
        <w:t>Comité</w:t>
      </w:r>
      <w:r>
        <w:rPr>
          <w:spacing w:val="7"/>
          <w:sz w:val="12"/>
        </w:rPr>
        <w:t xml:space="preserve"> </w:t>
      </w:r>
      <w:r>
        <w:rPr>
          <w:sz w:val="12"/>
        </w:rPr>
        <w:t>de</w:t>
      </w:r>
      <w:r>
        <w:rPr>
          <w:spacing w:val="7"/>
          <w:sz w:val="12"/>
        </w:rPr>
        <w:t xml:space="preserve"> </w:t>
      </w:r>
      <w:r>
        <w:rPr>
          <w:sz w:val="12"/>
        </w:rPr>
        <w:t>Derechos</w:t>
      </w:r>
      <w:r>
        <w:rPr>
          <w:spacing w:val="7"/>
          <w:sz w:val="12"/>
        </w:rPr>
        <w:t xml:space="preserve"> </w:t>
      </w:r>
      <w:r>
        <w:rPr>
          <w:sz w:val="12"/>
        </w:rPr>
        <w:t>Humanos,</w:t>
      </w:r>
      <w:r>
        <w:rPr>
          <w:spacing w:val="40"/>
          <w:sz w:val="12"/>
        </w:rPr>
        <w:t xml:space="preserve"> </w:t>
      </w:r>
      <w:proofErr w:type="spellStart"/>
      <w:r>
        <w:rPr>
          <w:sz w:val="12"/>
        </w:rPr>
        <w:t>Fedotova</w:t>
      </w:r>
      <w:proofErr w:type="spellEnd"/>
      <w:r>
        <w:rPr>
          <w:spacing w:val="-1"/>
          <w:sz w:val="12"/>
        </w:rPr>
        <w:t xml:space="preserve"> </w:t>
      </w:r>
      <w:r>
        <w:rPr>
          <w:sz w:val="12"/>
        </w:rPr>
        <w:t>c.</w:t>
      </w:r>
      <w:r>
        <w:rPr>
          <w:spacing w:val="-1"/>
          <w:sz w:val="12"/>
        </w:rPr>
        <w:t xml:space="preserve"> </w:t>
      </w:r>
      <w:r>
        <w:rPr>
          <w:sz w:val="12"/>
        </w:rPr>
        <w:t>Federación</w:t>
      </w:r>
      <w:r>
        <w:rPr>
          <w:spacing w:val="-1"/>
          <w:sz w:val="12"/>
        </w:rPr>
        <w:t xml:space="preserve"> </w:t>
      </w:r>
      <w:r>
        <w:rPr>
          <w:sz w:val="12"/>
        </w:rPr>
        <w:t>de</w:t>
      </w:r>
      <w:r>
        <w:rPr>
          <w:spacing w:val="-1"/>
          <w:sz w:val="12"/>
        </w:rPr>
        <w:t xml:space="preserve"> </w:t>
      </w:r>
      <w:r>
        <w:rPr>
          <w:sz w:val="12"/>
        </w:rPr>
        <w:t>Rusia</w:t>
      </w:r>
      <w:r>
        <w:rPr>
          <w:spacing w:val="-1"/>
          <w:sz w:val="12"/>
        </w:rPr>
        <w:t xml:space="preserve"> </w:t>
      </w:r>
      <w:r>
        <w:rPr>
          <w:sz w:val="12"/>
        </w:rPr>
        <w:t>(CCPR/C/106/D/1932/2010), párr.</w:t>
      </w:r>
      <w:r>
        <w:rPr>
          <w:spacing w:val="-1"/>
          <w:sz w:val="12"/>
        </w:rPr>
        <w:t xml:space="preserve"> </w:t>
      </w:r>
      <w:r>
        <w:rPr>
          <w:sz w:val="12"/>
        </w:rPr>
        <w:t>10,8;</w:t>
      </w:r>
      <w:r>
        <w:rPr>
          <w:spacing w:val="-1"/>
          <w:sz w:val="12"/>
        </w:rPr>
        <w:t xml:space="preserve"> </w:t>
      </w:r>
      <w:proofErr w:type="spellStart"/>
      <w:r>
        <w:rPr>
          <w:sz w:val="12"/>
        </w:rPr>
        <w:t>Yaker</w:t>
      </w:r>
      <w:proofErr w:type="spellEnd"/>
      <w:r>
        <w:rPr>
          <w:spacing w:val="-1"/>
          <w:sz w:val="12"/>
        </w:rPr>
        <w:t xml:space="preserve"> </w:t>
      </w:r>
      <w:r>
        <w:rPr>
          <w:sz w:val="12"/>
        </w:rPr>
        <w:t>c.</w:t>
      </w:r>
      <w:r>
        <w:rPr>
          <w:spacing w:val="-1"/>
          <w:sz w:val="12"/>
        </w:rPr>
        <w:t xml:space="preserve"> </w:t>
      </w:r>
      <w:r>
        <w:rPr>
          <w:sz w:val="12"/>
        </w:rPr>
        <w:t>Francia</w:t>
      </w:r>
      <w:r>
        <w:rPr>
          <w:spacing w:val="-1"/>
          <w:sz w:val="12"/>
        </w:rPr>
        <w:t xml:space="preserve"> </w:t>
      </w:r>
      <w:r>
        <w:rPr>
          <w:sz w:val="12"/>
        </w:rPr>
        <w:t>(CCPR/C/123/D/2747/2016), párr.</w:t>
      </w:r>
      <w:r>
        <w:rPr>
          <w:spacing w:val="-1"/>
          <w:sz w:val="12"/>
        </w:rPr>
        <w:t xml:space="preserve"> </w:t>
      </w:r>
      <w:r>
        <w:rPr>
          <w:sz w:val="12"/>
        </w:rPr>
        <w:t>8,7;</w:t>
      </w:r>
      <w:r>
        <w:rPr>
          <w:spacing w:val="-1"/>
          <w:sz w:val="12"/>
        </w:rPr>
        <w:t xml:space="preserve"> </w:t>
      </w:r>
      <w:r>
        <w:rPr>
          <w:sz w:val="12"/>
        </w:rPr>
        <w:t>Williams</w:t>
      </w:r>
      <w:r>
        <w:rPr>
          <w:spacing w:val="-1"/>
          <w:sz w:val="12"/>
        </w:rPr>
        <w:t xml:space="preserve"> </w:t>
      </w:r>
      <w:proofErr w:type="spellStart"/>
      <w:r>
        <w:rPr>
          <w:sz w:val="12"/>
        </w:rPr>
        <w:t>Lecraft</w:t>
      </w:r>
      <w:proofErr w:type="spellEnd"/>
      <w:r>
        <w:rPr>
          <w:sz w:val="12"/>
        </w:rPr>
        <w:t xml:space="preserve"> c.</w:t>
      </w:r>
      <w:r>
        <w:rPr>
          <w:spacing w:val="-1"/>
          <w:sz w:val="12"/>
        </w:rPr>
        <w:t xml:space="preserve"> </w:t>
      </w:r>
      <w:r>
        <w:rPr>
          <w:sz w:val="12"/>
        </w:rPr>
        <w:t>España</w:t>
      </w:r>
      <w:r>
        <w:rPr>
          <w:spacing w:val="-1"/>
          <w:sz w:val="12"/>
        </w:rPr>
        <w:t xml:space="preserve"> </w:t>
      </w:r>
      <w:r>
        <w:rPr>
          <w:sz w:val="12"/>
        </w:rPr>
        <w:t>(CCPR/</w:t>
      </w:r>
      <w:r>
        <w:rPr>
          <w:spacing w:val="40"/>
          <w:sz w:val="12"/>
        </w:rPr>
        <w:t xml:space="preserve"> </w:t>
      </w:r>
      <w:r>
        <w:rPr>
          <w:sz w:val="12"/>
        </w:rPr>
        <w:t>C/96/D/1493/2006), párr. 7,2; y Vos c. Países Bajos, comunicación No. 218/1986, párr. 12.</w:t>
      </w:r>
    </w:p>
    <w:p w14:paraId="5EFB3C73" w14:textId="77777777" w:rsidR="0014798C" w:rsidRDefault="004E1F0B">
      <w:pPr>
        <w:spacing w:before="58" w:line="312" w:lineRule="auto"/>
        <w:ind w:left="83" w:right="1553" w:hanging="1"/>
        <w:rPr>
          <w:sz w:val="12"/>
        </w:rPr>
      </w:pPr>
      <w:r>
        <w:rPr>
          <w:sz w:val="12"/>
        </w:rPr>
        <w:t>Véase, por ejemplo, Tribunal Europeo de Derechos Humanos, Guía sobre el artículo 14 del Convenio Europeo de Derechos Humanos y sobre el artículo 1 del</w:t>
      </w:r>
      <w:r>
        <w:rPr>
          <w:spacing w:val="40"/>
          <w:sz w:val="12"/>
        </w:rPr>
        <w:t xml:space="preserve"> </w:t>
      </w:r>
      <w:r>
        <w:rPr>
          <w:sz w:val="12"/>
        </w:rPr>
        <w:t>Protocolo núm. 12 del Convenio: Prohibición de la discriminación, págs. 18-19.</w:t>
      </w:r>
    </w:p>
    <w:p w14:paraId="674AFE03" w14:textId="77777777" w:rsidR="0014798C" w:rsidRDefault="0014798C">
      <w:pPr>
        <w:spacing w:line="312" w:lineRule="auto"/>
        <w:rPr>
          <w:sz w:val="12"/>
        </w:rPr>
        <w:sectPr w:rsidR="0014798C" w:rsidSect="00F265E4">
          <w:type w:val="continuous"/>
          <w:pgSz w:w="11900" w:h="16820"/>
          <w:pgMar w:top="40" w:right="0" w:bottom="280" w:left="200" w:header="121" w:footer="0" w:gutter="0"/>
          <w:cols w:num="2" w:space="720" w:equalWidth="0">
            <w:col w:w="1247" w:space="40"/>
            <w:col w:w="10413"/>
          </w:cols>
        </w:sectPr>
      </w:pPr>
    </w:p>
    <w:p w14:paraId="42FFAB0E" w14:textId="77777777" w:rsidR="0014798C" w:rsidRDefault="0014798C">
      <w:pPr>
        <w:pStyle w:val="Textoindependiente"/>
        <w:rPr>
          <w:sz w:val="19"/>
        </w:rPr>
      </w:pPr>
    </w:p>
    <w:p w14:paraId="65521C7D" w14:textId="77777777" w:rsidR="0014798C" w:rsidRDefault="0014798C">
      <w:pPr>
        <w:pStyle w:val="Textoindependiente"/>
        <w:spacing w:before="149"/>
        <w:rPr>
          <w:sz w:val="19"/>
        </w:rPr>
      </w:pPr>
    </w:p>
    <w:p w14:paraId="1A1BD08A" w14:textId="77777777" w:rsidR="0014798C" w:rsidRDefault="004E1F0B">
      <w:pPr>
        <w:ind w:left="547"/>
        <w:rPr>
          <w:sz w:val="19"/>
        </w:rPr>
      </w:pPr>
      <w:r>
        <w:rPr>
          <w:spacing w:val="-5"/>
          <w:w w:val="105"/>
          <w:sz w:val="19"/>
        </w:rPr>
        <w:t>54</w:t>
      </w:r>
    </w:p>
    <w:p w14:paraId="381BEB8A" w14:textId="77777777" w:rsidR="0014798C" w:rsidRDefault="0014798C">
      <w:pPr>
        <w:rPr>
          <w:sz w:val="19"/>
        </w:rPr>
        <w:sectPr w:rsidR="0014798C" w:rsidSect="00F265E4">
          <w:type w:val="continuous"/>
          <w:pgSz w:w="11900" w:h="16820"/>
          <w:pgMar w:top="40" w:right="0" w:bottom="280" w:left="200" w:header="121" w:footer="0" w:gutter="0"/>
          <w:cols w:space="720"/>
        </w:sectPr>
      </w:pPr>
    </w:p>
    <w:p w14:paraId="2227E9D2" w14:textId="77777777" w:rsidR="0014798C" w:rsidRDefault="0014798C">
      <w:pPr>
        <w:pStyle w:val="Textoindependiente"/>
        <w:spacing w:before="51"/>
        <w:rPr>
          <w:sz w:val="14"/>
        </w:rPr>
      </w:pPr>
    </w:p>
    <w:p w14:paraId="7041EB36" w14:textId="77777777" w:rsidR="0014798C" w:rsidRDefault="004E1F0B">
      <w:pPr>
        <w:ind w:left="1111"/>
        <w:rPr>
          <w:sz w:val="14"/>
        </w:rPr>
      </w:pPr>
      <w:r>
        <w:rPr>
          <w:color w:val="00AC59"/>
          <w:sz w:val="14"/>
        </w:rPr>
        <w:t>SEGUNDA</w:t>
      </w:r>
      <w:r>
        <w:rPr>
          <w:color w:val="00AC59"/>
          <w:spacing w:val="-5"/>
          <w:sz w:val="14"/>
        </w:rPr>
        <w:t xml:space="preserve"> </w:t>
      </w:r>
      <w:r>
        <w:rPr>
          <w:color w:val="00AC59"/>
          <w:sz w:val="14"/>
        </w:rPr>
        <w:t>PARTE:</w:t>
      </w:r>
      <w:r>
        <w:rPr>
          <w:color w:val="00AC59"/>
          <w:spacing w:val="-5"/>
          <w:sz w:val="14"/>
        </w:rPr>
        <w:t xml:space="preserve"> </w:t>
      </w:r>
      <w:r>
        <w:rPr>
          <w:color w:val="00AC59"/>
          <w:sz w:val="14"/>
        </w:rPr>
        <w:t>CONTENIDO</w:t>
      </w:r>
      <w:r>
        <w:rPr>
          <w:color w:val="00AC59"/>
          <w:spacing w:val="-4"/>
          <w:sz w:val="14"/>
        </w:rPr>
        <w:t xml:space="preserve"> </w:t>
      </w:r>
      <w:r>
        <w:rPr>
          <w:color w:val="00AC59"/>
          <w:sz w:val="14"/>
        </w:rPr>
        <w:t>DE</w:t>
      </w:r>
      <w:r>
        <w:rPr>
          <w:color w:val="00AC59"/>
          <w:spacing w:val="-5"/>
          <w:sz w:val="14"/>
        </w:rPr>
        <w:t xml:space="preserve"> </w:t>
      </w:r>
      <w:r>
        <w:rPr>
          <w:color w:val="00AC59"/>
          <w:sz w:val="14"/>
        </w:rPr>
        <w:t>LA</w:t>
      </w:r>
      <w:r>
        <w:rPr>
          <w:color w:val="00AC59"/>
          <w:spacing w:val="-4"/>
          <w:sz w:val="14"/>
        </w:rPr>
        <w:t xml:space="preserve"> </w:t>
      </w:r>
      <w:r>
        <w:rPr>
          <w:color w:val="00AC59"/>
          <w:sz w:val="14"/>
        </w:rPr>
        <w:t>LEY</w:t>
      </w:r>
      <w:r>
        <w:rPr>
          <w:color w:val="00AC59"/>
          <w:spacing w:val="-4"/>
          <w:sz w:val="14"/>
        </w:rPr>
        <w:t xml:space="preserve"> </w:t>
      </w:r>
      <w:r>
        <w:rPr>
          <w:color w:val="00AC59"/>
          <w:sz w:val="14"/>
        </w:rPr>
        <w:t>INTEGRAL</w:t>
      </w:r>
      <w:r>
        <w:rPr>
          <w:color w:val="00AC59"/>
          <w:spacing w:val="-5"/>
          <w:sz w:val="14"/>
        </w:rPr>
        <w:t xml:space="preserve"> </w:t>
      </w:r>
      <w:r>
        <w:rPr>
          <w:color w:val="00AC59"/>
          <w:spacing w:val="-2"/>
          <w:sz w:val="14"/>
        </w:rPr>
        <w:t>ANTIDISCRIMINACIÓN</w:t>
      </w:r>
    </w:p>
    <w:p w14:paraId="2BE97339" w14:textId="77777777" w:rsidR="0014798C" w:rsidRDefault="0014798C">
      <w:pPr>
        <w:pStyle w:val="Textoindependiente"/>
        <w:rPr>
          <w:sz w:val="18"/>
        </w:rPr>
      </w:pPr>
    </w:p>
    <w:p w14:paraId="35F62E3F" w14:textId="77777777" w:rsidR="0014798C" w:rsidRDefault="0014798C">
      <w:pPr>
        <w:pStyle w:val="Textoindependiente"/>
        <w:rPr>
          <w:sz w:val="18"/>
        </w:rPr>
      </w:pPr>
    </w:p>
    <w:p w14:paraId="4058E6E0" w14:textId="77777777" w:rsidR="0014798C" w:rsidRDefault="0014798C">
      <w:pPr>
        <w:pStyle w:val="Textoindependiente"/>
        <w:rPr>
          <w:sz w:val="18"/>
        </w:rPr>
      </w:pPr>
    </w:p>
    <w:p w14:paraId="2D9DFDDC" w14:textId="77777777" w:rsidR="0014798C" w:rsidRDefault="0014798C">
      <w:pPr>
        <w:pStyle w:val="Textoindependiente"/>
        <w:spacing w:before="118"/>
        <w:rPr>
          <w:sz w:val="18"/>
        </w:rPr>
      </w:pPr>
    </w:p>
    <w:p w14:paraId="2120BCA3" w14:textId="77777777" w:rsidR="0014798C" w:rsidRDefault="004E1F0B">
      <w:pPr>
        <w:spacing w:before="1" w:line="290" w:lineRule="auto"/>
        <w:ind w:left="1109" w:right="1272" w:firstLine="2"/>
        <w:rPr>
          <w:sz w:val="18"/>
        </w:rPr>
      </w:pPr>
      <w:r>
        <w:rPr>
          <w:sz w:val="18"/>
        </w:rPr>
        <w:t>de la entidad en cuestión; la cuestión clave para determinar si las políticas que persiguen tales objetivos son justificables es si los medios para lograrlos son estrictamente necesarios y proporcionados.</w:t>
      </w:r>
    </w:p>
    <w:p w14:paraId="7FF17946" w14:textId="77777777" w:rsidR="0014798C" w:rsidRDefault="004E1F0B">
      <w:pPr>
        <w:spacing w:before="173" w:line="307" w:lineRule="auto"/>
        <w:ind w:left="1103" w:right="1335" w:firstLine="2"/>
        <w:rPr>
          <w:sz w:val="17"/>
        </w:rPr>
      </w:pPr>
      <w:r>
        <w:rPr>
          <w:noProof/>
        </w:rPr>
        <w:drawing>
          <wp:anchor distT="0" distB="0" distL="0" distR="0" simplePos="0" relativeHeight="251658400" behindDoc="1" locked="0" layoutInCell="1" allowOverlap="1" wp14:anchorId="1A2259BC" wp14:editId="32D94BC7">
            <wp:simplePos x="0" y="0"/>
            <wp:positionH relativeFrom="page">
              <wp:posOffset>826632</wp:posOffset>
            </wp:positionH>
            <wp:positionV relativeFrom="paragraph">
              <wp:posOffset>768750</wp:posOffset>
            </wp:positionV>
            <wp:extent cx="6729867" cy="3419441"/>
            <wp:effectExtent l="0" t="0" r="0" b="0"/>
            <wp:wrapNone/>
            <wp:docPr id="147" name="Image 14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47" name="Image 147"/>
                    <pic:cNvPicPr/>
                  </pic:nvPicPr>
                  <pic:blipFill>
                    <a:blip r:embed="rId138" cstate="print"/>
                    <a:stretch>
                      <a:fillRect/>
                    </a:stretch>
                  </pic:blipFill>
                  <pic:spPr>
                    <a:xfrm>
                      <a:off x="0" y="0"/>
                      <a:ext cx="6729867" cy="3419441"/>
                    </a:xfrm>
                    <a:prstGeom prst="rect">
                      <a:avLst/>
                    </a:prstGeom>
                  </pic:spPr>
                </pic:pic>
              </a:graphicData>
            </a:graphic>
          </wp:anchor>
        </w:drawing>
      </w:r>
      <w:r>
        <w:rPr>
          <w:noProof/>
        </w:rPr>
        <mc:AlternateContent>
          <mc:Choice Requires="wps">
            <w:drawing>
              <wp:anchor distT="0" distB="0" distL="0" distR="0" simplePos="0" relativeHeight="251658268" behindDoc="0" locked="0" layoutInCell="1" allowOverlap="1" wp14:anchorId="553CD9E6" wp14:editId="1A8026C5">
                <wp:simplePos x="0" y="0"/>
                <wp:positionH relativeFrom="page">
                  <wp:posOffset>7313138</wp:posOffset>
                </wp:positionH>
                <wp:positionV relativeFrom="paragraph">
                  <wp:posOffset>1384075</wp:posOffset>
                </wp:positionV>
                <wp:extent cx="83820" cy="281940"/>
                <wp:effectExtent l="0" t="0" r="0" b="0"/>
                <wp:wrapNone/>
                <wp:docPr id="148" name="Textbox 14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83820" cy="281940"/>
                        </a:xfrm>
                        <a:prstGeom prst="rect">
                          <a:avLst/>
                        </a:prstGeom>
                      </wps:spPr>
                      <wps:txbx>
                        <w:txbxContent>
                          <w:p w14:paraId="3C62920F" w14:textId="77777777" w:rsidR="0014798C" w:rsidRDefault="004E1F0B">
                            <w:pPr>
                              <w:spacing w:before="19"/>
                              <w:ind w:left="20"/>
                              <w:rPr>
                                <w:sz w:val="8"/>
                              </w:rPr>
                            </w:pPr>
                            <w:r>
                              <w:rPr>
                                <w:color w:val="FFFFFF"/>
                                <w:spacing w:val="-24"/>
                                <w:sz w:val="8"/>
                              </w:rPr>
                              <w:t>I–P</w:t>
                            </w:r>
                            <w:r>
                              <w:rPr>
                                <w:spacing w:val="-24"/>
                                <w:sz w:val="8"/>
                              </w:rPr>
                              <w:t>S</w:t>
                            </w:r>
                            <w:r>
                              <w:rPr>
                                <w:color w:val="FFFFFF"/>
                                <w:spacing w:val="-24"/>
                                <w:sz w:val="8"/>
                              </w:rPr>
                              <w:t>A</w:t>
                            </w:r>
                            <w:r>
                              <w:rPr>
                                <w:spacing w:val="-24"/>
                                <w:sz w:val="8"/>
                              </w:rPr>
                              <w:t>E</w:t>
                            </w:r>
                            <w:r>
                              <w:rPr>
                                <w:color w:val="FFFFFF"/>
                                <w:spacing w:val="-24"/>
                                <w:sz w:val="8"/>
                              </w:rPr>
                              <w:t>R</w:t>
                            </w:r>
                            <w:r>
                              <w:rPr>
                                <w:spacing w:val="-24"/>
                                <w:sz w:val="8"/>
                              </w:rPr>
                              <w:t>G</w:t>
                            </w:r>
                            <w:r>
                              <w:rPr>
                                <w:color w:val="FFFFFF"/>
                                <w:spacing w:val="-24"/>
                                <w:sz w:val="8"/>
                              </w:rPr>
                              <w:t>T</w:t>
                            </w:r>
                            <w:r>
                              <w:rPr>
                                <w:spacing w:val="-24"/>
                                <w:sz w:val="8"/>
                              </w:rPr>
                              <w:t>U</w:t>
                            </w:r>
                            <w:r>
                              <w:rPr>
                                <w:color w:val="FFFFFF"/>
                                <w:spacing w:val="-24"/>
                                <w:sz w:val="8"/>
                              </w:rPr>
                              <w:t>E</w:t>
                            </w:r>
                            <w:r>
                              <w:rPr>
                                <w:spacing w:val="-24"/>
                                <w:sz w:val="8"/>
                              </w:rPr>
                              <w:t>NDA</w:t>
                            </w:r>
                          </w:p>
                        </w:txbxContent>
                      </wps:txbx>
                      <wps:bodyPr vert="vert270" wrap="square" lIns="0" tIns="0" rIns="0" bIns="0" rtlCol="0">
                        <a:noAutofit/>
                      </wps:bodyPr>
                    </wps:wsp>
                  </a:graphicData>
                </a:graphic>
              </wp:anchor>
            </w:drawing>
          </mc:Choice>
          <mc:Fallback>
            <w:pict>
              <v:shape w14:anchorId="553CD9E6" id="Textbox 148" o:spid="_x0000_s1085" type="#_x0000_t202" style="position:absolute;left:0;text-align:left;margin-left:575.85pt;margin-top:109pt;width:6.6pt;height:22.2pt;z-index:251658268;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" filled="f" stroked="f">
                <v:textbox style="layout-flow:vertical;mso-layout-flow-alt:bottom-to-top" inset="0,0,0,0">
                  <w:txbxContent>
                    <w:p w14:paraId="3C62920F" w14:textId="77777777" w:rsidR="0014798C" w:rsidRDefault="004E1F0B">
                      <w:pPr>
                        <w:spacing w:before="19"/>
                        <w:ind w:left="20"/>
                        <w:rPr>
                          <w:sz w:val="8"/>
                        </w:rPr>
                      </w:pPr>
                      <w:r>
                        <w:rPr>
                          <w:color w:val="FFFFFF"/>
                          <w:spacing w:val="-24"/>
                          <w:sz w:val="8"/>
                        </w:rPr>
                        <w:t>I–P</w:t>
                      </w:r>
                      <w:r>
                        <w:rPr>
                          <w:spacing w:val="-24"/>
                          <w:sz w:val="8"/>
                        </w:rPr>
                        <w:t>S</w:t>
                      </w:r>
                      <w:r>
                        <w:rPr>
                          <w:color w:val="FFFFFF"/>
                          <w:spacing w:val="-24"/>
                          <w:sz w:val="8"/>
                        </w:rPr>
                        <w:t>A</w:t>
                      </w:r>
                      <w:r>
                        <w:rPr>
                          <w:spacing w:val="-24"/>
                          <w:sz w:val="8"/>
                        </w:rPr>
                        <w:t>E</w:t>
                      </w:r>
                      <w:r>
                        <w:rPr>
                          <w:color w:val="FFFFFF"/>
                          <w:spacing w:val="-24"/>
                          <w:sz w:val="8"/>
                        </w:rPr>
                        <w:t>R</w:t>
                      </w:r>
                      <w:r>
                        <w:rPr>
                          <w:spacing w:val="-24"/>
                          <w:sz w:val="8"/>
                        </w:rPr>
                        <w:t>G</w:t>
                      </w:r>
                      <w:r>
                        <w:rPr>
                          <w:color w:val="FFFFFF"/>
                          <w:spacing w:val="-24"/>
                          <w:sz w:val="8"/>
                        </w:rPr>
                        <w:t>T</w:t>
                      </w:r>
                      <w:r>
                        <w:rPr>
                          <w:spacing w:val="-24"/>
                          <w:sz w:val="8"/>
                        </w:rPr>
                        <w:t>U</w:t>
                      </w:r>
                      <w:r>
                        <w:rPr>
                          <w:color w:val="FFFFFF"/>
                          <w:spacing w:val="-24"/>
                          <w:sz w:val="8"/>
                        </w:rPr>
                        <w:t>E</w:t>
                      </w:r>
                      <w:r>
                        <w:rPr>
                          <w:spacing w:val="-24"/>
                          <w:sz w:val="8"/>
                        </w:rPr>
                        <w:t>NDA</w:t>
                      </w:r>
                    </w:p>
                  </w:txbxContent>
                </v:textbox>
                <w10:wrap anchorx="page"/>
              </v:shape>
            </w:pict>
          </mc:Fallback>
        </mc:AlternateContent>
      </w:r>
      <w:r>
        <w:rPr>
          <w:sz w:val="17"/>
        </w:rPr>
        <w:t>Esta posición general está sujeta a dos salvedades importantes. En primer lugar, un objetivo que en sí mismo es discriminatorio o se basa en estereotipos</w:t>
      </w:r>
      <w:r>
        <w:rPr>
          <w:spacing w:val="-1"/>
          <w:sz w:val="17"/>
        </w:rPr>
        <w:t xml:space="preserve"> </w:t>
      </w:r>
      <w:r>
        <w:rPr>
          <w:sz w:val="17"/>
        </w:rPr>
        <w:t>discriminatorios (por ejemplo, relacionado con la “función reproductiva” de una mujer)</w:t>
      </w:r>
      <w:r>
        <w:rPr>
          <w:spacing w:val="-1"/>
          <w:sz w:val="17"/>
        </w:rPr>
        <w:t xml:space="preserve"> </w:t>
      </w:r>
      <w:r>
        <w:rPr>
          <w:sz w:val="17"/>
        </w:rPr>
        <w:t>no</w:t>
      </w:r>
      <w:r>
        <w:rPr>
          <w:spacing w:val="-1"/>
          <w:sz w:val="17"/>
        </w:rPr>
        <w:t xml:space="preserve"> </w:t>
      </w:r>
      <w:r>
        <w:rPr>
          <w:sz w:val="17"/>
        </w:rPr>
        <w:t>es</w:t>
      </w:r>
      <w:r>
        <w:rPr>
          <w:spacing w:val="-1"/>
          <w:sz w:val="17"/>
        </w:rPr>
        <w:t xml:space="preserve"> </w:t>
      </w:r>
      <w:r>
        <w:rPr>
          <w:sz w:val="17"/>
        </w:rPr>
        <w:t>legítimo.424</w:t>
      </w:r>
      <w:r>
        <w:rPr>
          <w:spacing w:val="-1"/>
          <w:sz w:val="17"/>
        </w:rPr>
        <w:t xml:space="preserve"> </w:t>
      </w:r>
      <w:r>
        <w:rPr>
          <w:sz w:val="17"/>
        </w:rPr>
        <w:t>Esta</w:t>
      </w:r>
      <w:r>
        <w:rPr>
          <w:spacing w:val="-1"/>
          <w:sz w:val="17"/>
        </w:rPr>
        <w:t xml:space="preserve"> </w:t>
      </w:r>
      <w:r>
        <w:rPr>
          <w:sz w:val="17"/>
        </w:rPr>
        <w:t>condición</w:t>
      </w:r>
      <w:r>
        <w:rPr>
          <w:spacing w:val="-1"/>
          <w:sz w:val="17"/>
        </w:rPr>
        <w:t xml:space="preserve"> </w:t>
      </w:r>
      <w:r>
        <w:rPr>
          <w:sz w:val="17"/>
        </w:rPr>
        <w:t>puede</w:t>
      </w:r>
      <w:r>
        <w:rPr>
          <w:spacing w:val="-1"/>
          <w:sz w:val="17"/>
        </w:rPr>
        <w:t xml:space="preserve"> </w:t>
      </w:r>
      <w:r>
        <w:rPr>
          <w:sz w:val="17"/>
        </w:rPr>
        <w:t>leerse</w:t>
      </w:r>
      <w:r>
        <w:rPr>
          <w:spacing w:val="-1"/>
          <w:sz w:val="17"/>
        </w:rPr>
        <w:t xml:space="preserve"> </w:t>
      </w:r>
      <w:r>
        <w:rPr>
          <w:sz w:val="17"/>
        </w:rPr>
        <w:t>en</w:t>
      </w:r>
      <w:r>
        <w:rPr>
          <w:spacing w:val="-1"/>
          <w:sz w:val="17"/>
        </w:rPr>
        <w:t xml:space="preserve"> </w:t>
      </w:r>
      <w:r>
        <w:rPr>
          <w:sz w:val="17"/>
        </w:rPr>
        <w:t>la</w:t>
      </w:r>
      <w:r>
        <w:rPr>
          <w:spacing w:val="-1"/>
          <w:sz w:val="17"/>
        </w:rPr>
        <w:t xml:space="preserve"> </w:t>
      </w:r>
      <w:r>
        <w:rPr>
          <w:sz w:val="17"/>
        </w:rPr>
        <w:t>Convención</w:t>
      </w:r>
      <w:r>
        <w:rPr>
          <w:spacing w:val="-1"/>
          <w:sz w:val="17"/>
        </w:rPr>
        <w:t xml:space="preserve"> </w:t>
      </w:r>
      <w:r>
        <w:rPr>
          <w:sz w:val="17"/>
        </w:rPr>
        <w:t>Internacional</w:t>
      </w:r>
      <w:r>
        <w:rPr>
          <w:spacing w:val="-1"/>
          <w:sz w:val="17"/>
        </w:rPr>
        <w:t xml:space="preserve"> </w:t>
      </w:r>
      <w:r>
        <w:rPr>
          <w:sz w:val="17"/>
        </w:rPr>
        <w:t>sobre</w:t>
      </w:r>
      <w:r>
        <w:rPr>
          <w:spacing w:val="-1"/>
          <w:sz w:val="17"/>
        </w:rPr>
        <w:t xml:space="preserve"> </w:t>
      </w:r>
      <w:r>
        <w:rPr>
          <w:sz w:val="17"/>
        </w:rPr>
        <w:t>la</w:t>
      </w:r>
      <w:r>
        <w:rPr>
          <w:spacing w:val="-1"/>
          <w:sz w:val="17"/>
        </w:rPr>
        <w:t xml:space="preserve"> </w:t>
      </w:r>
      <w:r>
        <w:rPr>
          <w:sz w:val="17"/>
        </w:rPr>
        <w:t>Eliminación</w:t>
      </w:r>
      <w:r>
        <w:rPr>
          <w:spacing w:val="-1"/>
          <w:sz w:val="17"/>
        </w:rPr>
        <w:t xml:space="preserve"> </w:t>
      </w:r>
      <w:r>
        <w:rPr>
          <w:sz w:val="17"/>
        </w:rPr>
        <w:t>de</w:t>
      </w:r>
      <w:r>
        <w:rPr>
          <w:spacing w:val="-1"/>
          <w:sz w:val="17"/>
        </w:rPr>
        <w:t xml:space="preserve"> </w:t>
      </w:r>
      <w:r>
        <w:rPr>
          <w:sz w:val="17"/>
        </w:rPr>
        <w:t>todas</w:t>
      </w:r>
      <w:r>
        <w:rPr>
          <w:spacing w:val="-1"/>
          <w:sz w:val="17"/>
        </w:rPr>
        <w:t xml:space="preserve"> </w:t>
      </w:r>
      <w:r>
        <w:rPr>
          <w:sz w:val="17"/>
        </w:rPr>
        <w:t>las Formas</w:t>
      </w:r>
      <w:r>
        <w:rPr>
          <w:spacing w:val="-8"/>
          <w:sz w:val="17"/>
        </w:rPr>
        <w:t xml:space="preserve"> </w:t>
      </w:r>
      <w:r>
        <w:rPr>
          <w:sz w:val="17"/>
        </w:rPr>
        <w:t>de</w:t>
      </w:r>
      <w:r>
        <w:rPr>
          <w:spacing w:val="-8"/>
          <w:sz w:val="17"/>
        </w:rPr>
        <w:t xml:space="preserve"> </w:t>
      </w:r>
      <w:r>
        <w:rPr>
          <w:sz w:val="17"/>
        </w:rPr>
        <w:t>Discriminación</w:t>
      </w:r>
      <w:r>
        <w:rPr>
          <w:spacing w:val="-8"/>
          <w:sz w:val="17"/>
        </w:rPr>
        <w:t xml:space="preserve"> </w:t>
      </w:r>
      <w:r>
        <w:rPr>
          <w:sz w:val="17"/>
        </w:rPr>
        <w:t>Racial,</w:t>
      </w:r>
      <w:r>
        <w:rPr>
          <w:spacing w:val="-8"/>
          <w:sz w:val="17"/>
        </w:rPr>
        <w:t xml:space="preserve"> </w:t>
      </w:r>
      <w:r>
        <w:rPr>
          <w:sz w:val="17"/>
        </w:rPr>
        <w:t>la</w:t>
      </w:r>
      <w:r>
        <w:rPr>
          <w:spacing w:val="-8"/>
          <w:sz w:val="17"/>
        </w:rPr>
        <w:t xml:space="preserve"> </w:t>
      </w:r>
      <w:r>
        <w:rPr>
          <w:sz w:val="17"/>
        </w:rPr>
        <w:t>Convención</w:t>
      </w:r>
      <w:r>
        <w:rPr>
          <w:spacing w:val="-8"/>
          <w:sz w:val="17"/>
        </w:rPr>
        <w:t xml:space="preserve"> </w:t>
      </w:r>
      <w:r>
        <w:rPr>
          <w:sz w:val="17"/>
        </w:rPr>
        <w:t>sobre</w:t>
      </w:r>
      <w:r>
        <w:rPr>
          <w:spacing w:val="-8"/>
          <w:sz w:val="17"/>
        </w:rPr>
        <w:t xml:space="preserve"> </w:t>
      </w:r>
      <w:r>
        <w:rPr>
          <w:sz w:val="17"/>
        </w:rPr>
        <w:t>la</w:t>
      </w:r>
      <w:r>
        <w:rPr>
          <w:spacing w:val="-8"/>
          <w:sz w:val="17"/>
        </w:rPr>
        <w:t xml:space="preserve"> </w:t>
      </w:r>
      <w:r>
        <w:rPr>
          <w:sz w:val="17"/>
        </w:rPr>
        <w:t>eliminación</w:t>
      </w:r>
      <w:r>
        <w:rPr>
          <w:spacing w:val="-8"/>
          <w:sz w:val="17"/>
        </w:rPr>
        <w:t xml:space="preserve"> </w:t>
      </w:r>
      <w:r>
        <w:rPr>
          <w:sz w:val="17"/>
        </w:rPr>
        <w:t>de</w:t>
      </w:r>
      <w:r>
        <w:rPr>
          <w:spacing w:val="-8"/>
          <w:sz w:val="17"/>
        </w:rPr>
        <w:t xml:space="preserve"> </w:t>
      </w:r>
      <w:r>
        <w:rPr>
          <w:sz w:val="17"/>
        </w:rPr>
        <w:t>todas</w:t>
      </w:r>
      <w:r>
        <w:rPr>
          <w:spacing w:val="-8"/>
          <w:sz w:val="17"/>
        </w:rPr>
        <w:t xml:space="preserve"> </w:t>
      </w:r>
      <w:r>
        <w:rPr>
          <w:sz w:val="17"/>
        </w:rPr>
        <w:t>las</w:t>
      </w:r>
      <w:r>
        <w:rPr>
          <w:spacing w:val="-8"/>
          <w:sz w:val="17"/>
        </w:rPr>
        <w:t xml:space="preserve"> </w:t>
      </w:r>
      <w:r>
        <w:rPr>
          <w:sz w:val="17"/>
        </w:rPr>
        <w:t>formas</w:t>
      </w:r>
      <w:r>
        <w:rPr>
          <w:spacing w:val="-8"/>
          <w:sz w:val="17"/>
        </w:rPr>
        <w:t xml:space="preserve"> </w:t>
      </w:r>
      <w:r>
        <w:rPr>
          <w:sz w:val="17"/>
        </w:rPr>
        <w:t>de</w:t>
      </w:r>
      <w:r>
        <w:rPr>
          <w:spacing w:val="-8"/>
          <w:sz w:val="17"/>
        </w:rPr>
        <w:t xml:space="preserve"> </w:t>
      </w:r>
      <w:r>
        <w:rPr>
          <w:sz w:val="17"/>
        </w:rPr>
        <w:t>discriminación</w:t>
      </w:r>
      <w:r>
        <w:rPr>
          <w:spacing w:val="-8"/>
          <w:sz w:val="17"/>
        </w:rPr>
        <w:t xml:space="preserve"> </w:t>
      </w:r>
      <w:r>
        <w:rPr>
          <w:sz w:val="17"/>
        </w:rPr>
        <w:t>contra</w:t>
      </w:r>
      <w:r>
        <w:rPr>
          <w:spacing w:val="-8"/>
          <w:sz w:val="17"/>
        </w:rPr>
        <w:t xml:space="preserve"> </w:t>
      </w:r>
      <w:r>
        <w:rPr>
          <w:sz w:val="17"/>
        </w:rPr>
        <w:t>la</w:t>
      </w:r>
      <w:r>
        <w:rPr>
          <w:spacing w:val="-8"/>
          <w:sz w:val="17"/>
        </w:rPr>
        <w:t xml:space="preserve"> </w:t>
      </w:r>
      <w:r>
        <w:rPr>
          <w:sz w:val="17"/>
        </w:rPr>
        <w:t>mujer, la Convención sobre los derechos de las personas con discapacidad, el Pacto Internacional de Derechos Económicos, Sociales y Culturales y el Pacto Internacional de Derechos Civiles y Políticos: la eliminación de la discriminación es fundamental para el “objeto y propósitos” de cada uno de esos instrumentos.425 Así, por ejemplo, el Comité de Derechos Humanos</w:t>
      </w:r>
      <w:r>
        <w:rPr>
          <w:spacing w:val="-3"/>
          <w:sz w:val="17"/>
        </w:rPr>
        <w:t xml:space="preserve"> </w:t>
      </w:r>
      <w:r>
        <w:rPr>
          <w:sz w:val="17"/>
        </w:rPr>
        <w:t>ha</w:t>
      </w:r>
      <w:r>
        <w:rPr>
          <w:spacing w:val="-3"/>
          <w:sz w:val="17"/>
        </w:rPr>
        <w:t xml:space="preserve"> </w:t>
      </w:r>
      <w:r>
        <w:rPr>
          <w:sz w:val="17"/>
        </w:rPr>
        <w:t>señalado</w:t>
      </w:r>
      <w:r>
        <w:rPr>
          <w:spacing w:val="-3"/>
          <w:sz w:val="17"/>
        </w:rPr>
        <w:t xml:space="preserve"> </w:t>
      </w:r>
      <w:r>
        <w:rPr>
          <w:sz w:val="17"/>
        </w:rPr>
        <w:t>que</w:t>
      </w:r>
      <w:r>
        <w:rPr>
          <w:spacing w:val="-3"/>
          <w:sz w:val="17"/>
        </w:rPr>
        <w:t xml:space="preserve"> </w:t>
      </w:r>
      <w:r>
        <w:rPr>
          <w:sz w:val="17"/>
        </w:rPr>
        <w:t>–si</w:t>
      </w:r>
      <w:r>
        <w:rPr>
          <w:spacing w:val="-3"/>
          <w:sz w:val="17"/>
        </w:rPr>
        <w:t xml:space="preserve"> </w:t>
      </w:r>
      <w:r>
        <w:rPr>
          <w:sz w:val="17"/>
        </w:rPr>
        <w:t>bien</w:t>
      </w:r>
      <w:r>
        <w:rPr>
          <w:spacing w:val="-3"/>
          <w:sz w:val="17"/>
        </w:rPr>
        <w:t xml:space="preserve"> </w:t>
      </w:r>
      <w:r>
        <w:rPr>
          <w:sz w:val="17"/>
        </w:rPr>
        <w:t>los</w:t>
      </w:r>
      <w:r>
        <w:rPr>
          <w:spacing w:val="-3"/>
          <w:sz w:val="17"/>
        </w:rPr>
        <w:t xml:space="preserve"> </w:t>
      </w:r>
      <w:r>
        <w:rPr>
          <w:sz w:val="17"/>
        </w:rPr>
        <w:t>controles</w:t>
      </w:r>
      <w:r>
        <w:rPr>
          <w:spacing w:val="-3"/>
          <w:sz w:val="17"/>
        </w:rPr>
        <w:t xml:space="preserve"> </w:t>
      </w:r>
      <w:r>
        <w:rPr>
          <w:sz w:val="17"/>
        </w:rPr>
        <w:t>de</w:t>
      </w:r>
      <w:r>
        <w:rPr>
          <w:spacing w:val="-3"/>
          <w:sz w:val="17"/>
        </w:rPr>
        <w:t xml:space="preserve"> </w:t>
      </w:r>
      <w:r>
        <w:rPr>
          <w:sz w:val="17"/>
        </w:rPr>
        <w:t>identidad</w:t>
      </w:r>
      <w:r>
        <w:rPr>
          <w:spacing w:val="-3"/>
          <w:sz w:val="17"/>
        </w:rPr>
        <w:t xml:space="preserve"> </w:t>
      </w:r>
      <w:r>
        <w:rPr>
          <w:sz w:val="17"/>
        </w:rPr>
        <w:t>pueden</w:t>
      </w:r>
      <w:r>
        <w:rPr>
          <w:spacing w:val="-3"/>
          <w:sz w:val="17"/>
        </w:rPr>
        <w:t xml:space="preserve"> </w:t>
      </w:r>
      <w:r>
        <w:rPr>
          <w:sz w:val="17"/>
        </w:rPr>
        <w:t>tener</w:t>
      </w:r>
      <w:r>
        <w:rPr>
          <w:spacing w:val="-3"/>
          <w:sz w:val="17"/>
        </w:rPr>
        <w:t xml:space="preserve"> </w:t>
      </w:r>
      <w:r>
        <w:rPr>
          <w:sz w:val="17"/>
        </w:rPr>
        <w:t>un</w:t>
      </w:r>
      <w:r>
        <w:rPr>
          <w:spacing w:val="-3"/>
          <w:sz w:val="17"/>
        </w:rPr>
        <w:t xml:space="preserve"> </w:t>
      </w:r>
      <w:r>
        <w:rPr>
          <w:sz w:val="17"/>
        </w:rPr>
        <w:t>propósito</w:t>
      </w:r>
      <w:r>
        <w:rPr>
          <w:spacing w:val="-3"/>
          <w:sz w:val="17"/>
        </w:rPr>
        <w:t xml:space="preserve"> </w:t>
      </w:r>
      <w:r>
        <w:rPr>
          <w:sz w:val="17"/>
        </w:rPr>
        <w:t>legítimo–</w:t>
      </w:r>
      <w:r>
        <w:rPr>
          <w:spacing w:val="-3"/>
          <w:sz w:val="17"/>
        </w:rPr>
        <w:t xml:space="preserve"> </w:t>
      </w:r>
      <w:r>
        <w:rPr>
          <w:sz w:val="17"/>
        </w:rPr>
        <w:t>no</w:t>
      </w:r>
      <w:r>
        <w:rPr>
          <w:spacing w:val="-3"/>
          <w:sz w:val="17"/>
        </w:rPr>
        <w:t xml:space="preserve"> </w:t>
      </w:r>
      <w:r>
        <w:rPr>
          <w:sz w:val="17"/>
        </w:rPr>
        <w:t>deben</w:t>
      </w:r>
      <w:r>
        <w:rPr>
          <w:spacing w:val="-3"/>
          <w:sz w:val="17"/>
        </w:rPr>
        <w:t xml:space="preserve"> </w:t>
      </w:r>
      <w:r>
        <w:rPr>
          <w:sz w:val="17"/>
        </w:rPr>
        <w:t>“realizarse</w:t>
      </w:r>
      <w:r>
        <w:rPr>
          <w:spacing w:val="-3"/>
          <w:sz w:val="17"/>
        </w:rPr>
        <w:t xml:space="preserve"> </w:t>
      </w:r>
      <w:r>
        <w:rPr>
          <w:sz w:val="17"/>
        </w:rPr>
        <w:t>de tal manera que se dirijan únicamente a personas con características físicas o étnicas específicas”.426</w:t>
      </w:r>
    </w:p>
    <w:p w14:paraId="6DC67E3E" w14:textId="77777777" w:rsidR="0014798C" w:rsidRDefault="004E1F0B">
      <w:pPr>
        <w:spacing w:line="307" w:lineRule="auto"/>
        <w:ind w:left="1105" w:right="1239" w:firstLine="4"/>
        <w:rPr>
          <w:sz w:val="17"/>
        </w:rPr>
      </w:pPr>
      <w:r>
        <w:rPr>
          <w:sz w:val="17"/>
        </w:rPr>
        <w:t>En relación con esto, las “actitudes tradicionales, históricas, religiosas o culturales” no deben “utilizarse para justificar violaciones del derecho de las mujeres a la igualdad ante la ley”.427 El Comité de Derechos Económicos, Sociales y Culturales ha señalado que una negativa a contratar mujeres basada en supuestos estereotipados constituye discriminación.428</w:t>
      </w:r>
      <w:r>
        <w:rPr>
          <w:spacing w:val="-2"/>
          <w:sz w:val="17"/>
        </w:rPr>
        <w:t xml:space="preserve"> </w:t>
      </w:r>
      <w:r>
        <w:rPr>
          <w:sz w:val="17"/>
        </w:rPr>
        <w:t>Existe</w:t>
      </w:r>
      <w:r>
        <w:rPr>
          <w:spacing w:val="-2"/>
          <w:sz w:val="17"/>
        </w:rPr>
        <w:t xml:space="preserve"> </w:t>
      </w:r>
      <w:r>
        <w:rPr>
          <w:sz w:val="17"/>
        </w:rPr>
        <w:t>jurisprudencia</w:t>
      </w:r>
      <w:r>
        <w:rPr>
          <w:spacing w:val="-2"/>
          <w:sz w:val="17"/>
        </w:rPr>
        <w:t xml:space="preserve"> </w:t>
      </w:r>
      <w:r>
        <w:rPr>
          <w:sz w:val="17"/>
        </w:rPr>
        <w:t>similar</w:t>
      </w:r>
      <w:r>
        <w:rPr>
          <w:spacing w:val="-2"/>
          <w:sz w:val="17"/>
        </w:rPr>
        <w:t xml:space="preserve"> </w:t>
      </w:r>
      <w:r>
        <w:rPr>
          <w:sz w:val="17"/>
        </w:rPr>
        <w:t>a</w:t>
      </w:r>
      <w:r>
        <w:rPr>
          <w:spacing w:val="-2"/>
          <w:sz w:val="17"/>
        </w:rPr>
        <w:t xml:space="preserve"> </w:t>
      </w:r>
      <w:r>
        <w:rPr>
          <w:sz w:val="17"/>
        </w:rPr>
        <w:t>nivel</w:t>
      </w:r>
      <w:r>
        <w:rPr>
          <w:spacing w:val="-2"/>
          <w:sz w:val="17"/>
        </w:rPr>
        <w:t xml:space="preserve"> </w:t>
      </w:r>
      <w:r>
        <w:rPr>
          <w:sz w:val="17"/>
        </w:rPr>
        <w:t>regional.429</w:t>
      </w:r>
      <w:r>
        <w:rPr>
          <w:spacing w:val="-2"/>
          <w:sz w:val="17"/>
        </w:rPr>
        <w:t xml:space="preserve"> </w:t>
      </w:r>
      <w:r>
        <w:rPr>
          <w:sz w:val="17"/>
        </w:rPr>
        <w:t>En</w:t>
      </w:r>
      <w:r>
        <w:rPr>
          <w:spacing w:val="-2"/>
          <w:sz w:val="17"/>
        </w:rPr>
        <w:t xml:space="preserve"> </w:t>
      </w:r>
      <w:r>
        <w:rPr>
          <w:sz w:val="17"/>
        </w:rPr>
        <w:t>este</w:t>
      </w:r>
      <w:r>
        <w:rPr>
          <w:spacing w:val="-2"/>
          <w:sz w:val="17"/>
        </w:rPr>
        <w:t xml:space="preserve"> </w:t>
      </w:r>
      <w:r>
        <w:rPr>
          <w:sz w:val="17"/>
        </w:rPr>
        <w:t>sentido,</w:t>
      </w:r>
      <w:r>
        <w:rPr>
          <w:spacing w:val="-2"/>
          <w:sz w:val="17"/>
        </w:rPr>
        <w:t xml:space="preserve"> </w:t>
      </w:r>
      <w:r>
        <w:rPr>
          <w:sz w:val="17"/>
        </w:rPr>
        <w:t>está</w:t>
      </w:r>
      <w:r>
        <w:rPr>
          <w:spacing w:val="-2"/>
          <w:sz w:val="17"/>
        </w:rPr>
        <w:t xml:space="preserve"> </w:t>
      </w:r>
      <w:r>
        <w:rPr>
          <w:sz w:val="17"/>
        </w:rPr>
        <w:t>claro</w:t>
      </w:r>
      <w:r>
        <w:rPr>
          <w:spacing w:val="-2"/>
          <w:sz w:val="17"/>
        </w:rPr>
        <w:t xml:space="preserve"> </w:t>
      </w:r>
      <w:r>
        <w:rPr>
          <w:sz w:val="17"/>
        </w:rPr>
        <w:t>que</w:t>
      </w:r>
      <w:r>
        <w:rPr>
          <w:spacing w:val="-2"/>
          <w:sz w:val="17"/>
        </w:rPr>
        <w:t xml:space="preserve"> </w:t>
      </w:r>
      <w:r>
        <w:rPr>
          <w:sz w:val="17"/>
        </w:rPr>
        <w:t>la</w:t>
      </w:r>
      <w:r>
        <w:rPr>
          <w:spacing w:val="-2"/>
          <w:sz w:val="17"/>
        </w:rPr>
        <w:t xml:space="preserve"> </w:t>
      </w:r>
      <w:r>
        <w:rPr>
          <w:sz w:val="17"/>
        </w:rPr>
        <w:t>intención</w:t>
      </w:r>
      <w:r>
        <w:rPr>
          <w:spacing w:val="-2"/>
          <w:sz w:val="17"/>
        </w:rPr>
        <w:t xml:space="preserve"> </w:t>
      </w:r>
      <w:r>
        <w:rPr>
          <w:sz w:val="17"/>
        </w:rPr>
        <w:t>de</w:t>
      </w:r>
      <w:r>
        <w:rPr>
          <w:spacing w:val="-2"/>
          <w:sz w:val="17"/>
        </w:rPr>
        <w:t xml:space="preserve"> </w:t>
      </w:r>
      <w:r>
        <w:rPr>
          <w:sz w:val="17"/>
        </w:rPr>
        <w:t>un individuo no es relevante para determinar la existencia de discriminación, y ceder ante las preferencias discriminatorias de un</w:t>
      </w:r>
      <w:r>
        <w:rPr>
          <w:spacing w:val="-8"/>
          <w:sz w:val="17"/>
        </w:rPr>
        <w:t xml:space="preserve"> </w:t>
      </w:r>
      <w:r>
        <w:rPr>
          <w:sz w:val="17"/>
        </w:rPr>
        <w:t>cliente</w:t>
      </w:r>
      <w:r>
        <w:rPr>
          <w:spacing w:val="-8"/>
          <w:sz w:val="17"/>
        </w:rPr>
        <w:t xml:space="preserve"> </w:t>
      </w:r>
      <w:r>
        <w:rPr>
          <w:sz w:val="17"/>
        </w:rPr>
        <w:t>no</w:t>
      </w:r>
      <w:r>
        <w:rPr>
          <w:spacing w:val="-8"/>
          <w:sz w:val="17"/>
        </w:rPr>
        <w:t xml:space="preserve"> </w:t>
      </w:r>
      <w:r>
        <w:rPr>
          <w:sz w:val="17"/>
        </w:rPr>
        <w:t>constituirá</w:t>
      </w:r>
      <w:r>
        <w:rPr>
          <w:spacing w:val="-8"/>
          <w:sz w:val="17"/>
        </w:rPr>
        <w:t xml:space="preserve"> </w:t>
      </w:r>
      <w:r>
        <w:rPr>
          <w:sz w:val="17"/>
        </w:rPr>
        <w:t>un</w:t>
      </w:r>
      <w:r>
        <w:rPr>
          <w:spacing w:val="-8"/>
          <w:sz w:val="17"/>
        </w:rPr>
        <w:t xml:space="preserve"> </w:t>
      </w:r>
      <w:r>
        <w:rPr>
          <w:sz w:val="17"/>
        </w:rPr>
        <w:t>objetivo</w:t>
      </w:r>
      <w:r>
        <w:rPr>
          <w:spacing w:val="-8"/>
          <w:sz w:val="17"/>
        </w:rPr>
        <w:t xml:space="preserve"> </w:t>
      </w:r>
      <w:r>
        <w:rPr>
          <w:sz w:val="17"/>
        </w:rPr>
        <w:t>legítimo.</w:t>
      </w:r>
      <w:r>
        <w:rPr>
          <w:spacing w:val="-8"/>
          <w:sz w:val="17"/>
        </w:rPr>
        <w:t xml:space="preserve"> </w:t>
      </w:r>
      <w:r>
        <w:rPr>
          <w:sz w:val="17"/>
        </w:rPr>
        <w:t>.430</w:t>
      </w:r>
      <w:r>
        <w:rPr>
          <w:spacing w:val="-8"/>
          <w:sz w:val="17"/>
        </w:rPr>
        <w:t xml:space="preserve"> </w:t>
      </w:r>
      <w:r>
        <w:rPr>
          <w:sz w:val="17"/>
        </w:rPr>
        <w:t>En</w:t>
      </w:r>
      <w:r>
        <w:rPr>
          <w:spacing w:val="-8"/>
          <w:sz w:val="17"/>
        </w:rPr>
        <w:t xml:space="preserve"> </w:t>
      </w:r>
      <w:r>
        <w:rPr>
          <w:sz w:val="17"/>
        </w:rPr>
        <w:t>segundo</w:t>
      </w:r>
      <w:r>
        <w:rPr>
          <w:spacing w:val="-8"/>
          <w:sz w:val="17"/>
        </w:rPr>
        <w:t xml:space="preserve"> </w:t>
      </w:r>
      <w:r>
        <w:rPr>
          <w:sz w:val="17"/>
        </w:rPr>
        <w:t>lugar,</w:t>
      </w:r>
      <w:r>
        <w:rPr>
          <w:spacing w:val="-8"/>
          <w:sz w:val="17"/>
        </w:rPr>
        <w:t xml:space="preserve"> </w:t>
      </w:r>
      <w:r>
        <w:rPr>
          <w:sz w:val="17"/>
        </w:rPr>
        <w:t>las</w:t>
      </w:r>
      <w:r>
        <w:rPr>
          <w:spacing w:val="-8"/>
          <w:sz w:val="17"/>
        </w:rPr>
        <w:t xml:space="preserve"> </w:t>
      </w:r>
      <w:r>
        <w:rPr>
          <w:sz w:val="17"/>
        </w:rPr>
        <w:t>medidas</w:t>
      </w:r>
      <w:r>
        <w:rPr>
          <w:spacing w:val="-8"/>
          <w:sz w:val="17"/>
        </w:rPr>
        <w:t xml:space="preserve"> </w:t>
      </w:r>
      <w:r>
        <w:rPr>
          <w:sz w:val="17"/>
        </w:rPr>
        <w:t>adoptadas</w:t>
      </w:r>
      <w:r>
        <w:rPr>
          <w:spacing w:val="-8"/>
          <w:sz w:val="17"/>
        </w:rPr>
        <w:t xml:space="preserve"> </w:t>
      </w:r>
      <w:r>
        <w:rPr>
          <w:sz w:val="17"/>
        </w:rPr>
        <w:t>deben</w:t>
      </w:r>
      <w:r>
        <w:rPr>
          <w:spacing w:val="-8"/>
          <w:sz w:val="17"/>
        </w:rPr>
        <w:t xml:space="preserve"> </w:t>
      </w:r>
      <w:r>
        <w:rPr>
          <w:sz w:val="17"/>
        </w:rPr>
        <w:t>ser</w:t>
      </w:r>
      <w:r>
        <w:rPr>
          <w:spacing w:val="-8"/>
          <w:sz w:val="17"/>
        </w:rPr>
        <w:t xml:space="preserve"> </w:t>
      </w:r>
      <w:r>
        <w:rPr>
          <w:sz w:val="17"/>
        </w:rPr>
        <w:t>apropiadas:</w:t>
      </w:r>
      <w:r>
        <w:rPr>
          <w:spacing w:val="-7"/>
          <w:sz w:val="17"/>
        </w:rPr>
        <w:t xml:space="preserve"> </w:t>
      </w:r>
      <w:r>
        <w:rPr>
          <w:sz w:val="17"/>
        </w:rPr>
        <w:t>se</w:t>
      </w:r>
      <w:r>
        <w:rPr>
          <w:spacing w:val="-8"/>
          <w:sz w:val="17"/>
        </w:rPr>
        <w:t xml:space="preserve"> </w:t>
      </w:r>
      <w:r>
        <w:rPr>
          <w:sz w:val="17"/>
        </w:rPr>
        <w:t>deben proporcionar pruebas para demostrar que una medida adoptada es de hecho capaz de alcanzar el objetivo previsto.431</w:t>
      </w:r>
    </w:p>
    <w:p w14:paraId="72E60EA0" w14:textId="77777777" w:rsidR="0014798C" w:rsidRDefault="004E1F0B">
      <w:pPr>
        <w:spacing w:before="163" w:line="307" w:lineRule="auto"/>
        <w:ind w:left="1107" w:right="1272" w:firstLine="1"/>
        <w:rPr>
          <w:sz w:val="17"/>
        </w:rPr>
      </w:pPr>
      <w:r>
        <w:rPr>
          <w:sz w:val="17"/>
        </w:rPr>
        <w:t>Además,</w:t>
      </w:r>
      <w:r>
        <w:rPr>
          <w:spacing w:val="-10"/>
          <w:sz w:val="17"/>
        </w:rPr>
        <w:t xml:space="preserve"> </w:t>
      </w:r>
      <w:r>
        <w:rPr>
          <w:sz w:val="17"/>
        </w:rPr>
        <w:t>deberá</w:t>
      </w:r>
      <w:r>
        <w:rPr>
          <w:spacing w:val="-10"/>
          <w:sz w:val="17"/>
        </w:rPr>
        <w:t xml:space="preserve"> </w:t>
      </w:r>
      <w:r>
        <w:rPr>
          <w:sz w:val="17"/>
        </w:rPr>
        <w:t>demostrarse</w:t>
      </w:r>
      <w:r>
        <w:rPr>
          <w:spacing w:val="-10"/>
          <w:sz w:val="17"/>
        </w:rPr>
        <w:t xml:space="preserve"> </w:t>
      </w:r>
      <w:r>
        <w:rPr>
          <w:sz w:val="17"/>
        </w:rPr>
        <w:t>que</w:t>
      </w:r>
      <w:r>
        <w:rPr>
          <w:spacing w:val="-10"/>
          <w:sz w:val="17"/>
        </w:rPr>
        <w:t xml:space="preserve"> </w:t>
      </w:r>
      <w:r>
        <w:rPr>
          <w:sz w:val="17"/>
        </w:rPr>
        <w:t>cualquier</w:t>
      </w:r>
      <w:r>
        <w:rPr>
          <w:spacing w:val="-10"/>
          <w:sz w:val="17"/>
        </w:rPr>
        <w:t xml:space="preserve"> </w:t>
      </w:r>
      <w:r>
        <w:rPr>
          <w:sz w:val="17"/>
        </w:rPr>
        <w:t>medida</w:t>
      </w:r>
      <w:r>
        <w:rPr>
          <w:spacing w:val="-10"/>
          <w:sz w:val="17"/>
        </w:rPr>
        <w:t xml:space="preserve"> </w:t>
      </w:r>
      <w:r>
        <w:rPr>
          <w:sz w:val="17"/>
        </w:rPr>
        <w:t>adoptada</w:t>
      </w:r>
      <w:r>
        <w:rPr>
          <w:spacing w:val="-10"/>
          <w:sz w:val="17"/>
        </w:rPr>
        <w:t xml:space="preserve"> </w:t>
      </w:r>
      <w:r>
        <w:rPr>
          <w:sz w:val="17"/>
        </w:rPr>
        <w:t>es</w:t>
      </w:r>
      <w:r>
        <w:rPr>
          <w:spacing w:val="-10"/>
          <w:sz w:val="17"/>
        </w:rPr>
        <w:t xml:space="preserve"> </w:t>
      </w:r>
      <w:r>
        <w:rPr>
          <w:sz w:val="17"/>
        </w:rPr>
        <w:t>proporcionada</w:t>
      </w:r>
      <w:r>
        <w:rPr>
          <w:spacing w:val="-10"/>
          <w:sz w:val="17"/>
        </w:rPr>
        <w:t xml:space="preserve"> </w:t>
      </w:r>
      <w:r>
        <w:rPr>
          <w:sz w:val="17"/>
        </w:rPr>
        <w:t>al</w:t>
      </w:r>
      <w:r>
        <w:rPr>
          <w:spacing w:val="-10"/>
          <w:sz w:val="17"/>
        </w:rPr>
        <w:t xml:space="preserve"> </w:t>
      </w:r>
      <w:r>
        <w:rPr>
          <w:sz w:val="17"/>
        </w:rPr>
        <w:t>objetivo</w:t>
      </w:r>
      <w:r>
        <w:rPr>
          <w:spacing w:val="-10"/>
          <w:sz w:val="17"/>
        </w:rPr>
        <w:t xml:space="preserve"> </w:t>
      </w:r>
      <w:r>
        <w:rPr>
          <w:sz w:val="17"/>
        </w:rPr>
        <w:t>perseguido.</w:t>
      </w:r>
      <w:r>
        <w:rPr>
          <w:spacing w:val="-9"/>
          <w:sz w:val="17"/>
        </w:rPr>
        <w:t xml:space="preserve"> </w:t>
      </w:r>
      <w:r>
        <w:rPr>
          <w:sz w:val="17"/>
        </w:rPr>
        <w:t>No</w:t>
      </w:r>
      <w:r>
        <w:rPr>
          <w:spacing w:val="-10"/>
          <w:sz w:val="17"/>
        </w:rPr>
        <w:t xml:space="preserve"> </w:t>
      </w:r>
      <w:r>
        <w:rPr>
          <w:sz w:val="17"/>
        </w:rPr>
        <w:t>puede</w:t>
      </w:r>
      <w:r>
        <w:rPr>
          <w:spacing w:val="-10"/>
          <w:sz w:val="17"/>
        </w:rPr>
        <w:t xml:space="preserve"> </w:t>
      </w:r>
      <w:r>
        <w:rPr>
          <w:sz w:val="17"/>
        </w:rPr>
        <w:t>justificarse un</w:t>
      </w:r>
      <w:r>
        <w:rPr>
          <w:spacing w:val="-1"/>
          <w:sz w:val="17"/>
        </w:rPr>
        <w:t xml:space="preserve"> </w:t>
      </w:r>
      <w:r>
        <w:rPr>
          <w:sz w:val="17"/>
        </w:rPr>
        <w:t>objetivo</w:t>
      </w:r>
      <w:r>
        <w:rPr>
          <w:spacing w:val="-1"/>
          <w:sz w:val="17"/>
        </w:rPr>
        <w:t xml:space="preserve"> </w:t>
      </w:r>
      <w:r>
        <w:rPr>
          <w:sz w:val="17"/>
        </w:rPr>
        <w:t>legítimo</w:t>
      </w:r>
      <w:r>
        <w:rPr>
          <w:spacing w:val="-1"/>
          <w:sz w:val="17"/>
        </w:rPr>
        <w:t xml:space="preserve"> </w:t>
      </w:r>
      <w:r>
        <w:rPr>
          <w:sz w:val="17"/>
        </w:rPr>
        <w:t>perseguido</w:t>
      </w:r>
      <w:r>
        <w:rPr>
          <w:spacing w:val="-1"/>
          <w:sz w:val="17"/>
        </w:rPr>
        <w:t xml:space="preserve"> </w:t>
      </w:r>
      <w:r>
        <w:rPr>
          <w:sz w:val="17"/>
        </w:rPr>
        <w:t>por</w:t>
      </w:r>
      <w:r>
        <w:rPr>
          <w:spacing w:val="-1"/>
          <w:sz w:val="17"/>
        </w:rPr>
        <w:t xml:space="preserve"> </w:t>
      </w:r>
      <w:r>
        <w:rPr>
          <w:sz w:val="17"/>
        </w:rPr>
        <w:t>medios</w:t>
      </w:r>
      <w:r>
        <w:rPr>
          <w:spacing w:val="-1"/>
          <w:sz w:val="17"/>
        </w:rPr>
        <w:t xml:space="preserve"> </w:t>
      </w:r>
      <w:r>
        <w:rPr>
          <w:sz w:val="17"/>
        </w:rPr>
        <w:t>que</w:t>
      </w:r>
      <w:r>
        <w:rPr>
          <w:spacing w:val="-1"/>
          <w:sz w:val="17"/>
        </w:rPr>
        <w:t xml:space="preserve"> </w:t>
      </w:r>
      <w:r>
        <w:rPr>
          <w:sz w:val="17"/>
        </w:rPr>
        <w:t>no</w:t>
      </w:r>
      <w:r>
        <w:rPr>
          <w:spacing w:val="-1"/>
          <w:sz w:val="17"/>
        </w:rPr>
        <w:t xml:space="preserve"> </w:t>
      </w:r>
      <w:r>
        <w:rPr>
          <w:sz w:val="17"/>
        </w:rPr>
        <w:t>sean</w:t>
      </w:r>
      <w:r>
        <w:rPr>
          <w:spacing w:val="-1"/>
          <w:sz w:val="17"/>
        </w:rPr>
        <w:t xml:space="preserve"> </w:t>
      </w:r>
      <w:r>
        <w:rPr>
          <w:sz w:val="17"/>
        </w:rPr>
        <w:t>proporcionados. En</w:t>
      </w:r>
      <w:r>
        <w:rPr>
          <w:spacing w:val="-1"/>
          <w:sz w:val="17"/>
        </w:rPr>
        <w:t xml:space="preserve"> </w:t>
      </w:r>
      <w:r>
        <w:rPr>
          <w:sz w:val="17"/>
        </w:rPr>
        <w:t>términos</w:t>
      </w:r>
      <w:r>
        <w:rPr>
          <w:spacing w:val="-1"/>
          <w:sz w:val="17"/>
        </w:rPr>
        <w:t xml:space="preserve"> </w:t>
      </w:r>
      <w:r>
        <w:rPr>
          <w:sz w:val="17"/>
        </w:rPr>
        <w:t>generales, esto</w:t>
      </w:r>
      <w:r>
        <w:rPr>
          <w:spacing w:val="-1"/>
          <w:sz w:val="17"/>
        </w:rPr>
        <w:t xml:space="preserve"> </w:t>
      </w:r>
      <w:r>
        <w:rPr>
          <w:sz w:val="17"/>
        </w:rPr>
        <w:t>requiere</w:t>
      </w:r>
      <w:r>
        <w:rPr>
          <w:spacing w:val="-1"/>
          <w:sz w:val="17"/>
        </w:rPr>
        <w:t xml:space="preserve"> </w:t>
      </w:r>
      <w:r>
        <w:rPr>
          <w:sz w:val="17"/>
        </w:rPr>
        <w:t>que</w:t>
      </w:r>
      <w:r>
        <w:rPr>
          <w:spacing w:val="-1"/>
          <w:sz w:val="17"/>
        </w:rPr>
        <w:t xml:space="preserve"> </w:t>
      </w:r>
      <w:r>
        <w:rPr>
          <w:sz w:val="17"/>
        </w:rPr>
        <w:t>el</w:t>
      </w:r>
      <w:r>
        <w:rPr>
          <w:spacing w:val="-1"/>
          <w:sz w:val="17"/>
        </w:rPr>
        <w:t xml:space="preserve"> </w:t>
      </w:r>
      <w:r>
        <w:rPr>
          <w:sz w:val="17"/>
        </w:rPr>
        <w:t>daño causado</w:t>
      </w:r>
      <w:r>
        <w:rPr>
          <w:spacing w:val="-1"/>
          <w:sz w:val="17"/>
        </w:rPr>
        <w:t xml:space="preserve"> </w:t>
      </w:r>
      <w:r>
        <w:rPr>
          <w:sz w:val="17"/>
        </w:rPr>
        <w:t>por</w:t>
      </w:r>
      <w:r>
        <w:rPr>
          <w:spacing w:val="-1"/>
          <w:sz w:val="17"/>
        </w:rPr>
        <w:t xml:space="preserve"> </w:t>
      </w:r>
      <w:r>
        <w:rPr>
          <w:sz w:val="17"/>
        </w:rPr>
        <w:t>tal</w:t>
      </w:r>
      <w:r>
        <w:rPr>
          <w:spacing w:val="-1"/>
          <w:sz w:val="17"/>
        </w:rPr>
        <w:t xml:space="preserve"> </w:t>
      </w:r>
      <w:r>
        <w:rPr>
          <w:sz w:val="17"/>
        </w:rPr>
        <w:t>medida</w:t>
      </w:r>
      <w:r>
        <w:rPr>
          <w:spacing w:val="-1"/>
          <w:sz w:val="17"/>
        </w:rPr>
        <w:t xml:space="preserve"> </w:t>
      </w:r>
      <w:r>
        <w:rPr>
          <w:sz w:val="17"/>
        </w:rPr>
        <w:t>no</w:t>
      </w:r>
      <w:r>
        <w:rPr>
          <w:spacing w:val="-1"/>
          <w:sz w:val="17"/>
        </w:rPr>
        <w:t xml:space="preserve"> </w:t>
      </w:r>
      <w:r>
        <w:rPr>
          <w:sz w:val="17"/>
        </w:rPr>
        <w:t>supere</w:t>
      </w:r>
      <w:r>
        <w:rPr>
          <w:spacing w:val="-1"/>
          <w:sz w:val="17"/>
        </w:rPr>
        <w:t xml:space="preserve"> </w:t>
      </w:r>
      <w:r>
        <w:rPr>
          <w:sz w:val="17"/>
        </w:rPr>
        <w:t>el</w:t>
      </w:r>
      <w:r>
        <w:rPr>
          <w:spacing w:val="-1"/>
          <w:sz w:val="17"/>
        </w:rPr>
        <w:t xml:space="preserve"> </w:t>
      </w:r>
      <w:r>
        <w:rPr>
          <w:sz w:val="17"/>
        </w:rPr>
        <w:t>beneficio</w:t>
      </w:r>
      <w:r>
        <w:rPr>
          <w:spacing w:val="-1"/>
          <w:sz w:val="17"/>
        </w:rPr>
        <w:t xml:space="preserve"> </w:t>
      </w:r>
      <w:r>
        <w:rPr>
          <w:sz w:val="17"/>
        </w:rPr>
        <w:t>de</w:t>
      </w:r>
      <w:r>
        <w:rPr>
          <w:spacing w:val="-1"/>
          <w:sz w:val="17"/>
        </w:rPr>
        <w:t xml:space="preserve"> </w:t>
      </w:r>
      <w:r>
        <w:rPr>
          <w:sz w:val="17"/>
        </w:rPr>
        <w:t>lograr</w:t>
      </w:r>
      <w:r>
        <w:rPr>
          <w:spacing w:val="-1"/>
          <w:sz w:val="17"/>
        </w:rPr>
        <w:t xml:space="preserve"> </w:t>
      </w:r>
      <w:r>
        <w:rPr>
          <w:sz w:val="17"/>
        </w:rPr>
        <w:t>su</w:t>
      </w:r>
      <w:r>
        <w:rPr>
          <w:spacing w:val="-1"/>
          <w:sz w:val="17"/>
        </w:rPr>
        <w:t xml:space="preserve"> </w:t>
      </w:r>
      <w:r>
        <w:rPr>
          <w:sz w:val="17"/>
        </w:rPr>
        <w:t>objetivo. También</w:t>
      </w:r>
      <w:r>
        <w:rPr>
          <w:spacing w:val="-1"/>
          <w:sz w:val="17"/>
        </w:rPr>
        <w:t xml:space="preserve"> </w:t>
      </w:r>
      <w:r>
        <w:rPr>
          <w:sz w:val="17"/>
        </w:rPr>
        <w:t>requiere</w:t>
      </w:r>
      <w:r>
        <w:rPr>
          <w:spacing w:val="-1"/>
          <w:sz w:val="17"/>
        </w:rPr>
        <w:t xml:space="preserve"> </w:t>
      </w:r>
      <w:r>
        <w:rPr>
          <w:sz w:val="17"/>
        </w:rPr>
        <w:t>una</w:t>
      </w:r>
      <w:r>
        <w:rPr>
          <w:spacing w:val="-1"/>
          <w:sz w:val="17"/>
        </w:rPr>
        <w:t xml:space="preserve"> </w:t>
      </w:r>
      <w:r>
        <w:rPr>
          <w:sz w:val="17"/>
        </w:rPr>
        <w:t>evaluación</w:t>
      </w:r>
      <w:r>
        <w:rPr>
          <w:spacing w:val="-1"/>
          <w:sz w:val="17"/>
        </w:rPr>
        <w:t xml:space="preserve"> </w:t>
      </w:r>
      <w:r>
        <w:rPr>
          <w:sz w:val="17"/>
        </w:rPr>
        <w:t>de</w:t>
      </w:r>
      <w:r>
        <w:rPr>
          <w:spacing w:val="-1"/>
          <w:sz w:val="17"/>
        </w:rPr>
        <w:t xml:space="preserve"> </w:t>
      </w:r>
      <w:r>
        <w:rPr>
          <w:sz w:val="17"/>
        </w:rPr>
        <w:t>si</w:t>
      </w:r>
      <w:r>
        <w:rPr>
          <w:spacing w:val="-1"/>
          <w:sz w:val="17"/>
        </w:rPr>
        <w:t xml:space="preserve"> </w:t>
      </w:r>
      <w:r>
        <w:rPr>
          <w:sz w:val="17"/>
        </w:rPr>
        <w:t>la</w:t>
      </w:r>
      <w:r>
        <w:rPr>
          <w:spacing w:val="-1"/>
          <w:sz w:val="17"/>
        </w:rPr>
        <w:t xml:space="preserve"> </w:t>
      </w:r>
      <w:r>
        <w:rPr>
          <w:sz w:val="17"/>
        </w:rPr>
        <w:t xml:space="preserve">medida excede lo necesario para lograr el propósito. Así, por ejemplo, en </w:t>
      </w:r>
      <w:proofErr w:type="spellStart"/>
      <w:r>
        <w:rPr>
          <w:sz w:val="17"/>
        </w:rPr>
        <w:t>Yaker</w:t>
      </w:r>
      <w:proofErr w:type="spellEnd"/>
      <w:r>
        <w:rPr>
          <w:sz w:val="17"/>
        </w:rPr>
        <w:t xml:space="preserve"> c. Francia, el Comité de Derechos Humanos concluyó</w:t>
      </w:r>
      <w:r>
        <w:rPr>
          <w:spacing w:val="-1"/>
          <w:sz w:val="17"/>
        </w:rPr>
        <w:t xml:space="preserve"> </w:t>
      </w:r>
      <w:r>
        <w:rPr>
          <w:sz w:val="17"/>
        </w:rPr>
        <w:t>que</w:t>
      </w:r>
      <w:r>
        <w:rPr>
          <w:spacing w:val="-1"/>
          <w:sz w:val="17"/>
        </w:rPr>
        <w:t xml:space="preserve"> </w:t>
      </w:r>
      <w:r>
        <w:rPr>
          <w:sz w:val="17"/>
        </w:rPr>
        <w:t>una</w:t>
      </w:r>
      <w:r>
        <w:rPr>
          <w:spacing w:val="-1"/>
          <w:sz w:val="17"/>
        </w:rPr>
        <w:t xml:space="preserve"> </w:t>
      </w:r>
      <w:r>
        <w:rPr>
          <w:sz w:val="17"/>
        </w:rPr>
        <w:t>prohibición</w:t>
      </w:r>
      <w:r>
        <w:rPr>
          <w:spacing w:val="-1"/>
          <w:sz w:val="17"/>
        </w:rPr>
        <w:t xml:space="preserve"> </w:t>
      </w:r>
      <w:r>
        <w:rPr>
          <w:sz w:val="17"/>
        </w:rPr>
        <w:t>de</w:t>
      </w:r>
      <w:r>
        <w:rPr>
          <w:spacing w:val="-1"/>
          <w:sz w:val="17"/>
        </w:rPr>
        <w:t xml:space="preserve"> </w:t>
      </w:r>
      <w:r>
        <w:rPr>
          <w:sz w:val="17"/>
        </w:rPr>
        <w:t>facto</w:t>
      </w:r>
      <w:r>
        <w:rPr>
          <w:spacing w:val="-1"/>
          <w:sz w:val="17"/>
        </w:rPr>
        <w:t xml:space="preserve"> </w:t>
      </w:r>
      <w:r>
        <w:rPr>
          <w:sz w:val="17"/>
        </w:rPr>
        <w:t>del</w:t>
      </w:r>
      <w:r>
        <w:rPr>
          <w:spacing w:val="-1"/>
          <w:sz w:val="17"/>
        </w:rPr>
        <w:t xml:space="preserve"> </w:t>
      </w:r>
      <w:r>
        <w:rPr>
          <w:sz w:val="17"/>
        </w:rPr>
        <w:t>velo</w:t>
      </w:r>
      <w:r>
        <w:rPr>
          <w:spacing w:val="-1"/>
          <w:sz w:val="17"/>
        </w:rPr>
        <w:t xml:space="preserve"> </w:t>
      </w:r>
      <w:r>
        <w:rPr>
          <w:sz w:val="17"/>
        </w:rPr>
        <w:t>que</w:t>
      </w:r>
      <w:r>
        <w:rPr>
          <w:spacing w:val="-1"/>
          <w:sz w:val="17"/>
        </w:rPr>
        <w:t xml:space="preserve"> </w:t>
      </w:r>
      <w:r>
        <w:rPr>
          <w:sz w:val="17"/>
        </w:rPr>
        <w:t>cubría</w:t>
      </w:r>
      <w:r>
        <w:rPr>
          <w:spacing w:val="-1"/>
          <w:sz w:val="17"/>
        </w:rPr>
        <w:t xml:space="preserve"> </w:t>
      </w:r>
      <w:r>
        <w:rPr>
          <w:sz w:val="17"/>
        </w:rPr>
        <w:t>todo</w:t>
      </w:r>
      <w:r>
        <w:rPr>
          <w:spacing w:val="-1"/>
          <w:sz w:val="17"/>
        </w:rPr>
        <w:t xml:space="preserve"> </w:t>
      </w:r>
      <w:r>
        <w:rPr>
          <w:sz w:val="17"/>
        </w:rPr>
        <w:t>el</w:t>
      </w:r>
      <w:r>
        <w:rPr>
          <w:spacing w:val="-1"/>
          <w:sz w:val="17"/>
        </w:rPr>
        <w:t xml:space="preserve"> </w:t>
      </w:r>
      <w:r>
        <w:rPr>
          <w:sz w:val="17"/>
        </w:rPr>
        <w:t>rostro</w:t>
      </w:r>
      <w:r>
        <w:rPr>
          <w:spacing w:val="-1"/>
          <w:sz w:val="17"/>
        </w:rPr>
        <w:t xml:space="preserve"> </w:t>
      </w:r>
      <w:r>
        <w:rPr>
          <w:sz w:val="17"/>
        </w:rPr>
        <w:t>no</w:t>
      </w:r>
      <w:r>
        <w:rPr>
          <w:spacing w:val="-1"/>
          <w:sz w:val="17"/>
        </w:rPr>
        <w:t xml:space="preserve"> </w:t>
      </w:r>
      <w:r>
        <w:rPr>
          <w:sz w:val="17"/>
        </w:rPr>
        <w:t>podía</w:t>
      </w:r>
      <w:r>
        <w:rPr>
          <w:spacing w:val="-1"/>
          <w:sz w:val="17"/>
        </w:rPr>
        <w:t xml:space="preserve"> </w:t>
      </w:r>
      <w:r>
        <w:rPr>
          <w:sz w:val="17"/>
        </w:rPr>
        <w:t>justificarse</w:t>
      </w:r>
      <w:r>
        <w:rPr>
          <w:spacing w:val="-1"/>
          <w:sz w:val="17"/>
        </w:rPr>
        <w:t xml:space="preserve"> </w:t>
      </w:r>
      <w:r>
        <w:rPr>
          <w:sz w:val="17"/>
        </w:rPr>
        <w:t>por</w:t>
      </w:r>
      <w:r>
        <w:rPr>
          <w:spacing w:val="-1"/>
          <w:sz w:val="17"/>
        </w:rPr>
        <w:t xml:space="preserve"> </w:t>
      </w:r>
      <w:r>
        <w:rPr>
          <w:sz w:val="17"/>
        </w:rPr>
        <w:t>motivos</w:t>
      </w:r>
      <w:r>
        <w:rPr>
          <w:spacing w:val="-1"/>
          <w:sz w:val="17"/>
        </w:rPr>
        <w:t xml:space="preserve"> </w:t>
      </w:r>
      <w:r>
        <w:rPr>
          <w:sz w:val="17"/>
        </w:rPr>
        <w:t>de</w:t>
      </w:r>
      <w:r>
        <w:rPr>
          <w:spacing w:val="-1"/>
          <w:sz w:val="17"/>
        </w:rPr>
        <w:t xml:space="preserve"> </w:t>
      </w:r>
      <w:r>
        <w:rPr>
          <w:sz w:val="17"/>
        </w:rPr>
        <w:t>seguridad pública debido a “su considerable impacto en la autora como mujer”. 432</w:t>
      </w:r>
    </w:p>
    <w:p w14:paraId="7ECC04EF" w14:textId="77777777" w:rsidR="0014798C" w:rsidRDefault="0014798C">
      <w:pPr>
        <w:pStyle w:val="Textoindependiente"/>
        <w:rPr>
          <w:sz w:val="13"/>
        </w:rPr>
      </w:pPr>
    </w:p>
    <w:p w14:paraId="73E64BEB" w14:textId="77777777" w:rsidR="0014798C" w:rsidRDefault="0014798C">
      <w:pPr>
        <w:pStyle w:val="Textoindependiente"/>
        <w:rPr>
          <w:sz w:val="13"/>
        </w:rPr>
      </w:pPr>
    </w:p>
    <w:p w14:paraId="64FB6364" w14:textId="77777777" w:rsidR="0014798C" w:rsidRDefault="0014798C">
      <w:pPr>
        <w:pStyle w:val="Textoindependiente"/>
        <w:rPr>
          <w:sz w:val="13"/>
        </w:rPr>
      </w:pPr>
    </w:p>
    <w:p w14:paraId="1B20D842" w14:textId="77777777" w:rsidR="0014798C" w:rsidRDefault="0014798C">
      <w:pPr>
        <w:pStyle w:val="Textoindependiente"/>
        <w:rPr>
          <w:sz w:val="13"/>
        </w:rPr>
      </w:pPr>
    </w:p>
    <w:p w14:paraId="56152927" w14:textId="77777777" w:rsidR="0014798C" w:rsidRDefault="0014798C">
      <w:pPr>
        <w:pStyle w:val="Textoindependiente"/>
        <w:spacing w:before="122"/>
        <w:rPr>
          <w:sz w:val="13"/>
        </w:rPr>
      </w:pPr>
    </w:p>
    <w:p w14:paraId="04D89A75" w14:textId="77777777" w:rsidR="0014798C" w:rsidRDefault="004E1F0B">
      <w:pPr>
        <w:spacing w:line="288" w:lineRule="auto"/>
        <w:ind w:left="1368" w:right="1463" w:hanging="263"/>
        <w:rPr>
          <w:sz w:val="13"/>
        </w:rPr>
      </w:pPr>
      <w:r>
        <w:rPr>
          <w:sz w:val="13"/>
          <w:vertAlign w:val="superscript"/>
        </w:rPr>
        <w:t>424</w:t>
      </w:r>
      <w:r>
        <w:rPr>
          <w:spacing w:val="69"/>
          <w:sz w:val="13"/>
        </w:rPr>
        <w:t xml:space="preserve"> </w:t>
      </w:r>
      <w:r>
        <w:rPr>
          <w:sz w:val="13"/>
        </w:rPr>
        <w:t>Véase,</w:t>
      </w:r>
      <w:r>
        <w:rPr>
          <w:spacing w:val="-6"/>
          <w:sz w:val="13"/>
        </w:rPr>
        <w:t xml:space="preserve"> </w:t>
      </w:r>
      <w:r>
        <w:rPr>
          <w:sz w:val="13"/>
        </w:rPr>
        <w:t>por</w:t>
      </w:r>
      <w:r>
        <w:rPr>
          <w:spacing w:val="-6"/>
          <w:sz w:val="13"/>
        </w:rPr>
        <w:t xml:space="preserve"> </w:t>
      </w:r>
      <w:r>
        <w:rPr>
          <w:sz w:val="13"/>
        </w:rPr>
        <w:t>ejemplo,</w:t>
      </w:r>
      <w:r>
        <w:rPr>
          <w:spacing w:val="-6"/>
          <w:sz w:val="13"/>
        </w:rPr>
        <w:t xml:space="preserve"> </w:t>
      </w:r>
      <w:r>
        <w:rPr>
          <w:sz w:val="13"/>
        </w:rPr>
        <w:t>Comité</w:t>
      </w:r>
      <w:r>
        <w:rPr>
          <w:spacing w:val="-6"/>
          <w:sz w:val="13"/>
        </w:rPr>
        <w:t xml:space="preserve"> </w:t>
      </w:r>
      <w:r>
        <w:rPr>
          <w:sz w:val="13"/>
        </w:rPr>
        <w:t>de</w:t>
      </w:r>
      <w:r>
        <w:rPr>
          <w:spacing w:val="-6"/>
          <w:sz w:val="13"/>
        </w:rPr>
        <w:t xml:space="preserve"> </w:t>
      </w:r>
      <w:r>
        <w:rPr>
          <w:sz w:val="13"/>
        </w:rPr>
        <w:t>Derechos</w:t>
      </w:r>
      <w:r>
        <w:rPr>
          <w:spacing w:val="-6"/>
          <w:sz w:val="13"/>
        </w:rPr>
        <w:t xml:space="preserve"> </w:t>
      </w:r>
      <w:r>
        <w:rPr>
          <w:sz w:val="13"/>
        </w:rPr>
        <w:t>Económicos,</w:t>
      </w:r>
      <w:r>
        <w:rPr>
          <w:spacing w:val="-6"/>
          <w:sz w:val="13"/>
        </w:rPr>
        <w:t xml:space="preserve"> </w:t>
      </w:r>
      <w:r>
        <w:rPr>
          <w:sz w:val="13"/>
        </w:rPr>
        <w:t>Sociales</w:t>
      </w:r>
      <w:r>
        <w:rPr>
          <w:spacing w:val="-6"/>
          <w:sz w:val="13"/>
        </w:rPr>
        <w:t xml:space="preserve"> </w:t>
      </w:r>
      <w:r>
        <w:rPr>
          <w:sz w:val="13"/>
        </w:rPr>
        <w:t>y</w:t>
      </w:r>
      <w:r>
        <w:rPr>
          <w:spacing w:val="-6"/>
          <w:sz w:val="13"/>
        </w:rPr>
        <w:t xml:space="preserve"> </w:t>
      </w:r>
      <w:r>
        <w:rPr>
          <w:sz w:val="13"/>
        </w:rPr>
        <w:t>Culturales,</w:t>
      </w:r>
      <w:r>
        <w:rPr>
          <w:spacing w:val="-6"/>
          <w:sz w:val="13"/>
        </w:rPr>
        <w:t xml:space="preserve"> </w:t>
      </w:r>
      <w:r>
        <w:rPr>
          <w:sz w:val="13"/>
        </w:rPr>
        <w:t>observación</w:t>
      </w:r>
      <w:r>
        <w:rPr>
          <w:spacing w:val="-6"/>
          <w:sz w:val="13"/>
        </w:rPr>
        <w:t xml:space="preserve"> </w:t>
      </w:r>
      <w:r>
        <w:rPr>
          <w:sz w:val="13"/>
        </w:rPr>
        <w:t>general</w:t>
      </w:r>
      <w:r>
        <w:rPr>
          <w:spacing w:val="-6"/>
          <w:sz w:val="13"/>
        </w:rPr>
        <w:t xml:space="preserve"> </w:t>
      </w:r>
      <w:r>
        <w:rPr>
          <w:sz w:val="13"/>
        </w:rPr>
        <w:t>núm.</w:t>
      </w:r>
      <w:r>
        <w:rPr>
          <w:spacing w:val="-6"/>
          <w:sz w:val="13"/>
        </w:rPr>
        <w:t xml:space="preserve"> </w:t>
      </w:r>
      <w:r>
        <w:rPr>
          <w:sz w:val="13"/>
        </w:rPr>
        <w:t>20</w:t>
      </w:r>
      <w:r>
        <w:rPr>
          <w:spacing w:val="-6"/>
          <w:sz w:val="13"/>
        </w:rPr>
        <w:t xml:space="preserve"> </w:t>
      </w:r>
      <w:r>
        <w:rPr>
          <w:sz w:val="13"/>
        </w:rPr>
        <w:t>(2009),</w:t>
      </w:r>
      <w:r>
        <w:rPr>
          <w:spacing w:val="-6"/>
          <w:sz w:val="13"/>
        </w:rPr>
        <w:t xml:space="preserve"> </w:t>
      </w:r>
      <w:r>
        <w:rPr>
          <w:sz w:val="13"/>
        </w:rPr>
        <w:t>párr.</w:t>
      </w:r>
      <w:r>
        <w:rPr>
          <w:spacing w:val="-6"/>
          <w:sz w:val="13"/>
        </w:rPr>
        <w:t xml:space="preserve"> </w:t>
      </w:r>
      <w:r>
        <w:rPr>
          <w:sz w:val="13"/>
        </w:rPr>
        <w:t>20;</w:t>
      </w:r>
      <w:r>
        <w:rPr>
          <w:spacing w:val="-6"/>
          <w:sz w:val="13"/>
        </w:rPr>
        <w:t xml:space="preserve"> </w:t>
      </w:r>
      <w:r>
        <w:rPr>
          <w:sz w:val="13"/>
        </w:rPr>
        <w:t>y</w:t>
      </w:r>
      <w:r>
        <w:rPr>
          <w:spacing w:val="-6"/>
          <w:sz w:val="13"/>
        </w:rPr>
        <w:t xml:space="preserve"> </w:t>
      </w:r>
      <w:r>
        <w:rPr>
          <w:sz w:val="13"/>
        </w:rPr>
        <w:t>Comité</w:t>
      </w:r>
      <w:r>
        <w:rPr>
          <w:spacing w:val="-6"/>
          <w:sz w:val="13"/>
        </w:rPr>
        <w:t xml:space="preserve"> </w:t>
      </w:r>
      <w:r>
        <w:rPr>
          <w:sz w:val="13"/>
        </w:rPr>
        <w:t>para</w:t>
      </w:r>
      <w:r>
        <w:rPr>
          <w:spacing w:val="-6"/>
          <w:sz w:val="13"/>
        </w:rPr>
        <w:t xml:space="preserve"> </w:t>
      </w:r>
      <w:r>
        <w:rPr>
          <w:sz w:val="13"/>
        </w:rPr>
        <w:t>la</w:t>
      </w:r>
      <w:r>
        <w:rPr>
          <w:spacing w:val="-6"/>
          <w:sz w:val="13"/>
        </w:rPr>
        <w:t xml:space="preserve"> </w:t>
      </w:r>
      <w:r>
        <w:rPr>
          <w:sz w:val="13"/>
        </w:rPr>
        <w:t>Eliminación</w:t>
      </w:r>
      <w:r>
        <w:rPr>
          <w:spacing w:val="40"/>
          <w:sz w:val="13"/>
        </w:rPr>
        <w:t xml:space="preserve"> </w:t>
      </w:r>
      <w:r>
        <w:rPr>
          <w:sz w:val="13"/>
        </w:rPr>
        <w:t xml:space="preserve">de la Discriminación contra la Mujer, </w:t>
      </w:r>
      <w:proofErr w:type="spellStart"/>
      <w:r>
        <w:rPr>
          <w:sz w:val="13"/>
        </w:rPr>
        <w:t>Medvedeva</w:t>
      </w:r>
      <w:proofErr w:type="spellEnd"/>
      <w:r>
        <w:rPr>
          <w:sz w:val="13"/>
        </w:rPr>
        <w:t xml:space="preserve"> c. Rusia (CEDAW/C/63/D/60/2013), párr. 11.3.</w:t>
      </w:r>
    </w:p>
    <w:p w14:paraId="04AA3374" w14:textId="77777777" w:rsidR="0014798C" w:rsidRDefault="0014798C">
      <w:pPr>
        <w:pStyle w:val="Textoindependiente"/>
        <w:spacing w:before="7"/>
        <w:rPr>
          <w:sz w:val="10"/>
        </w:rPr>
      </w:pPr>
    </w:p>
    <w:p w14:paraId="10849E6B" w14:textId="77777777" w:rsidR="0014798C" w:rsidRDefault="004E1F0B">
      <w:pPr>
        <w:spacing w:line="364" w:lineRule="auto"/>
        <w:ind w:left="1367" w:right="1863" w:hanging="262"/>
        <w:rPr>
          <w:sz w:val="10"/>
        </w:rPr>
      </w:pPr>
      <w:r>
        <w:rPr>
          <w:w w:val="105"/>
          <w:sz w:val="10"/>
        </w:rPr>
        <w:t>425 De hecho,</w:t>
      </w:r>
      <w:r>
        <w:rPr>
          <w:spacing w:val="3"/>
          <w:w w:val="105"/>
          <w:sz w:val="10"/>
        </w:rPr>
        <w:t xml:space="preserve"> </w:t>
      </w:r>
      <w:r>
        <w:rPr>
          <w:w w:val="105"/>
          <w:sz w:val="10"/>
        </w:rPr>
        <w:t>esto es evidente a la luz de la Convención sobre la Eliminación de Todas las Formas de Discriminación contra la Mujer y la Convención Internacional sobre la Eliminación</w:t>
      </w:r>
      <w:r>
        <w:rPr>
          <w:spacing w:val="80"/>
          <w:w w:val="105"/>
          <w:sz w:val="10"/>
        </w:rPr>
        <w:t xml:space="preserve"> </w:t>
      </w:r>
      <w:r>
        <w:rPr>
          <w:w w:val="105"/>
          <w:sz w:val="10"/>
        </w:rPr>
        <w:t>de todas las Formas de Discriminación Racial, que se centran en la eliminación de “todas las formas de discriminación”</w:t>
      </w:r>
      <w:proofErr w:type="gramStart"/>
      <w:r>
        <w:rPr>
          <w:w w:val="105"/>
          <w:sz w:val="10"/>
        </w:rPr>
        <w:t>. .</w:t>
      </w:r>
      <w:proofErr w:type="gramEnd"/>
      <w:r>
        <w:rPr>
          <w:w w:val="105"/>
          <w:sz w:val="10"/>
        </w:rPr>
        <w:t xml:space="preserve"> El Comité de Derechos Económicos, Sociales y Culturales</w:t>
      </w:r>
    </w:p>
    <w:p w14:paraId="4ABE27F7" w14:textId="77777777" w:rsidR="0014798C" w:rsidRDefault="004E1F0B">
      <w:pPr>
        <w:spacing w:before="10" w:line="374" w:lineRule="auto"/>
        <w:ind w:left="1366" w:right="1626" w:firstLine="3"/>
        <w:rPr>
          <w:sz w:val="10"/>
        </w:rPr>
      </w:pPr>
      <w:r>
        <w:rPr>
          <w:w w:val="105"/>
          <w:sz w:val="10"/>
        </w:rPr>
        <w:t>ha señalado que el derecho a la no discriminación es “esencial para el ejercicio y disfrute de los derechos económicos,</w:t>
      </w:r>
      <w:r>
        <w:rPr>
          <w:spacing w:val="4"/>
          <w:w w:val="105"/>
          <w:sz w:val="10"/>
        </w:rPr>
        <w:t xml:space="preserve"> </w:t>
      </w:r>
      <w:r>
        <w:rPr>
          <w:w w:val="105"/>
          <w:sz w:val="10"/>
        </w:rPr>
        <w:t>sociales y culturales”,</w:t>
      </w:r>
      <w:r>
        <w:rPr>
          <w:spacing w:val="4"/>
          <w:w w:val="105"/>
          <w:sz w:val="10"/>
        </w:rPr>
        <w:t xml:space="preserve"> </w:t>
      </w:r>
      <w:r>
        <w:rPr>
          <w:w w:val="105"/>
          <w:sz w:val="10"/>
        </w:rPr>
        <w:t>mientras que el Comité sobre los Derechos</w:t>
      </w:r>
      <w:r>
        <w:rPr>
          <w:spacing w:val="40"/>
          <w:w w:val="105"/>
          <w:sz w:val="10"/>
        </w:rPr>
        <w:t xml:space="preserve"> </w:t>
      </w:r>
      <w:r>
        <w:rPr>
          <w:w w:val="105"/>
          <w:sz w:val="10"/>
        </w:rPr>
        <w:t>de</w:t>
      </w:r>
      <w:r>
        <w:rPr>
          <w:spacing w:val="-1"/>
          <w:w w:val="105"/>
          <w:sz w:val="10"/>
        </w:rPr>
        <w:t xml:space="preserve"> </w:t>
      </w:r>
      <w:r>
        <w:rPr>
          <w:w w:val="105"/>
          <w:sz w:val="10"/>
        </w:rPr>
        <w:t>las</w:t>
      </w:r>
      <w:r>
        <w:rPr>
          <w:spacing w:val="-1"/>
          <w:w w:val="105"/>
          <w:sz w:val="10"/>
        </w:rPr>
        <w:t xml:space="preserve"> </w:t>
      </w:r>
      <w:r>
        <w:rPr>
          <w:w w:val="105"/>
          <w:sz w:val="10"/>
        </w:rPr>
        <w:t>Personas</w:t>
      </w:r>
      <w:r>
        <w:rPr>
          <w:spacing w:val="-1"/>
          <w:w w:val="105"/>
          <w:sz w:val="10"/>
        </w:rPr>
        <w:t xml:space="preserve"> </w:t>
      </w:r>
      <w:r>
        <w:rPr>
          <w:w w:val="105"/>
          <w:sz w:val="10"/>
        </w:rPr>
        <w:t>con</w:t>
      </w:r>
      <w:r>
        <w:rPr>
          <w:spacing w:val="-1"/>
          <w:w w:val="105"/>
          <w:sz w:val="10"/>
        </w:rPr>
        <w:t xml:space="preserve"> </w:t>
      </w:r>
      <w:r>
        <w:rPr>
          <w:w w:val="105"/>
          <w:sz w:val="10"/>
        </w:rPr>
        <w:t>Discapacidad</w:t>
      </w:r>
      <w:r>
        <w:rPr>
          <w:spacing w:val="-1"/>
          <w:w w:val="105"/>
          <w:sz w:val="10"/>
        </w:rPr>
        <w:t xml:space="preserve"> </w:t>
      </w:r>
      <w:r>
        <w:rPr>
          <w:w w:val="105"/>
          <w:sz w:val="10"/>
        </w:rPr>
        <w:t>ha descrito</w:t>
      </w:r>
      <w:r>
        <w:rPr>
          <w:spacing w:val="-1"/>
          <w:w w:val="105"/>
          <w:sz w:val="10"/>
        </w:rPr>
        <w:t xml:space="preserve"> </w:t>
      </w:r>
      <w:r>
        <w:rPr>
          <w:w w:val="105"/>
          <w:sz w:val="10"/>
        </w:rPr>
        <w:t>los</w:t>
      </w:r>
      <w:r>
        <w:rPr>
          <w:spacing w:val="-1"/>
          <w:w w:val="105"/>
          <w:sz w:val="10"/>
        </w:rPr>
        <w:t xml:space="preserve"> </w:t>
      </w:r>
      <w:r>
        <w:rPr>
          <w:w w:val="105"/>
          <w:sz w:val="10"/>
        </w:rPr>
        <w:t>derechos</w:t>
      </w:r>
      <w:r>
        <w:rPr>
          <w:spacing w:val="-1"/>
          <w:w w:val="105"/>
          <w:sz w:val="10"/>
        </w:rPr>
        <w:t xml:space="preserve"> </w:t>
      </w:r>
      <w:r>
        <w:rPr>
          <w:w w:val="105"/>
          <w:sz w:val="10"/>
        </w:rPr>
        <w:t>a</w:t>
      </w:r>
      <w:r>
        <w:rPr>
          <w:spacing w:val="-1"/>
          <w:w w:val="105"/>
          <w:sz w:val="10"/>
        </w:rPr>
        <w:t xml:space="preserve"> </w:t>
      </w:r>
      <w:r>
        <w:rPr>
          <w:w w:val="105"/>
          <w:sz w:val="10"/>
        </w:rPr>
        <w:t>la igualdad</w:t>
      </w:r>
      <w:r>
        <w:rPr>
          <w:spacing w:val="-1"/>
          <w:w w:val="105"/>
          <w:sz w:val="10"/>
        </w:rPr>
        <w:t xml:space="preserve"> </w:t>
      </w:r>
      <w:r>
        <w:rPr>
          <w:w w:val="105"/>
          <w:sz w:val="10"/>
        </w:rPr>
        <w:t>y</w:t>
      </w:r>
      <w:r>
        <w:rPr>
          <w:spacing w:val="-1"/>
          <w:w w:val="105"/>
          <w:sz w:val="10"/>
        </w:rPr>
        <w:t xml:space="preserve"> </w:t>
      </w:r>
      <w:r>
        <w:rPr>
          <w:w w:val="105"/>
          <w:sz w:val="10"/>
        </w:rPr>
        <w:t>la</w:t>
      </w:r>
      <w:r>
        <w:rPr>
          <w:spacing w:val="-1"/>
          <w:w w:val="105"/>
          <w:sz w:val="10"/>
        </w:rPr>
        <w:t xml:space="preserve"> </w:t>
      </w:r>
      <w:r>
        <w:rPr>
          <w:w w:val="105"/>
          <w:sz w:val="10"/>
        </w:rPr>
        <w:t>no</w:t>
      </w:r>
      <w:r>
        <w:rPr>
          <w:spacing w:val="-1"/>
          <w:w w:val="105"/>
          <w:sz w:val="10"/>
        </w:rPr>
        <w:t xml:space="preserve"> </w:t>
      </w:r>
      <w:r>
        <w:rPr>
          <w:w w:val="105"/>
          <w:sz w:val="10"/>
        </w:rPr>
        <w:t>discriminación como</w:t>
      </w:r>
      <w:r>
        <w:rPr>
          <w:spacing w:val="-1"/>
          <w:w w:val="105"/>
          <w:sz w:val="10"/>
        </w:rPr>
        <w:t xml:space="preserve"> </w:t>
      </w:r>
      <w:r>
        <w:rPr>
          <w:w w:val="105"/>
          <w:sz w:val="10"/>
        </w:rPr>
        <w:t>elementos</w:t>
      </w:r>
      <w:r>
        <w:rPr>
          <w:spacing w:val="-1"/>
          <w:w w:val="105"/>
          <w:sz w:val="10"/>
        </w:rPr>
        <w:t xml:space="preserve"> </w:t>
      </w:r>
      <w:r>
        <w:rPr>
          <w:w w:val="105"/>
          <w:sz w:val="10"/>
        </w:rPr>
        <w:t>“centrales</w:t>
      </w:r>
      <w:r>
        <w:rPr>
          <w:spacing w:val="-1"/>
          <w:w w:val="105"/>
          <w:sz w:val="10"/>
        </w:rPr>
        <w:t xml:space="preserve"> </w:t>
      </w:r>
      <w:r>
        <w:rPr>
          <w:w w:val="105"/>
          <w:sz w:val="10"/>
        </w:rPr>
        <w:t>de</w:t>
      </w:r>
      <w:r>
        <w:rPr>
          <w:spacing w:val="-1"/>
          <w:w w:val="105"/>
          <w:sz w:val="10"/>
        </w:rPr>
        <w:t xml:space="preserve"> </w:t>
      </w:r>
      <w:r>
        <w:rPr>
          <w:w w:val="105"/>
          <w:sz w:val="10"/>
        </w:rPr>
        <w:t>la Convención”. Debido</w:t>
      </w:r>
      <w:r>
        <w:rPr>
          <w:spacing w:val="-1"/>
          <w:w w:val="105"/>
          <w:sz w:val="10"/>
        </w:rPr>
        <w:t xml:space="preserve"> </w:t>
      </w:r>
      <w:r>
        <w:rPr>
          <w:w w:val="105"/>
          <w:sz w:val="10"/>
        </w:rPr>
        <w:t>a</w:t>
      </w:r>
      <w:r>
        <w:rPr>
          <w:spacing w:val="-1"/>
          <w:w w:val="105"/>
          <w:sz w:val="10"/>
        </w:rPr>
        <w:t xml:space="preserve"> </w:t>
      </w:r>
      <w:r>
        <w:rPr>
          <w:w w:val="105"/>
          <w:sz w:val="10"/>
        </w:rPr>
        <w:t>su</w:t>
      </w:r>
      <w:r>
        <w:rPr>
          <w:spacing w:val="-1"/>
          <w:w w:val="105"/>
          <w:sz w:val="10"/>
        </w:rPr>
        <w:t xml:space="preserve"> </w:t>
      </w:r>
      <w:r>
        <w:rPr>
          <w:w w:val="105"/>
          <w:sz w:val="10"/>
        </w:rPr>
        <w:t>objeto y</w:t>
      </w:r>
      <w:r>
        <w:rPr>
          <w:spacing w:val="-1"/>
          <w:w w:val="105"/>
          <w:sz w:val="10"/>
        </w:rPr>
        <w:t xml:space="preserve"> </w:t>
      </w:r>
      <w:r>
        <w:rPr>
          <w:w w:val="105"/>
          <w:sz w:val="10"/>
        </w:rPr>
        <w:t>propósitos, el</w:t>
      </w:r>
      <w:r>
        <w:rPr>
          <w:spacing w:val="-1"/>
          <w:w w:val="105"/>
          <w:sz w:val="10"/>
        </w:rPr>
        <w:t xml:space="preserve"> </w:t>
      </w:r>
      <w:r>
        <w:rPr>
          <w:spacing w:val="-2"/>
          <w:w w:val="105"/>
          <w:sz w:val="10"/>
        </w:rPr>
        <w:t>Comité</w:t>
      </w:r>
    </w:p>
    <w:p w14:paraId="7C10184D" w14:textId="77777777" w:rsidR="0014798C" w:rsidRDefault="004E1F0B">
      <w:pPr>
        <w:spacing w:before="1" w:line="374" w:lineRule="auto"/>
        <w:ind w:left="1366" w:right="1272" w:firstLine="3"/>
        <w:rPr>
          <w:sz w:val="10"/>
        </w:rPr>
      </w:pPr>
      <w:r>
        <w:rPr>
          <w:w w:val="105"/>
          <w:sz w:val="10"/>
        </w:rPr>
        <w:t>de Derechos Humanos ha subrayado que no se permiten reservas al artículo 2 (1) del Pacto. Véase, respectivamente, Comité de Derechos Económicos, Sociales y Culturales, observación</w:t>
      </w:r>
      <w:r>
        <w:rPr>
          <w:spacing w:val="40"/>
          <w:w w:val="105"/>
          <w:sz w:val="10"/>
        </w:rPr>
        <w:t xml:space="preserve"> </w:t>
      </w:r>
      <w:r>
        <w:rPr>
          <w:w w:val="105"/>
          <w:sz w:val="10"/>
        </w:rPr>
        <w:t>general</w:t>
      </w:r>
      <w:r>
        <w:rPr>
          <w:spacing w:val="-2"/>
          <w:w w:val="105"/>
          <w:sz w:val="10"/>
        </w:rPr>
        <w:t xml:space="preserve"> </w:t>
      </w:r>
      <w:r>
        <w:rPr>
          <w:w w:val="105"/>
          <w:sz w:val="10"/>
        </w:rPr>
        <w:t>núm.</w:t>
      </w:r>
      <w:r>
        <w:rPr>
          <w:spacing w:val="-2"/>
          <w:w w:val="105"/>
          <w:sz w:val="10"/>
        </w:rPr>
        <w:t xml:space="preserve"> </w:t>
      </w:r>
      <w:r>
        <w:rPr>
          <w:w w:val="105"/>
          <w:sz w:val="10"/>
        </w:rPr>
        <w:t>20</w:t>
      </w:r>
      <w:r>
        <w:rPr>
          <w:spacing w:val="-2"/>
          <w:w w:val="105"/>
          <w:sz w:val="10"/>
        </w:rPr>
        <w:t xml:space="preserve"> </w:t>
      </w:r>
      <w:r>
        <w:rPr>
          <w:w w:val="105"/>
          <w:sz w:val="10"/>
        </w:rPr>
        <w:t>(2009),</w:t>
      </w:r>
      <w:r>
        <w:rPr>
          <w:spacing w:val="-1"/>
          <w:w w:val="105"/>
          <w:sz w:val="10"/>
        </w:rPr>
        <w:t xml:space="preserve"> </w:t>
      </w:r>
      <w:r>
        <w:rPr>
          <w:w w:val="105"/>
          <w:sz w:val="10"/>
        </w:rPr>
        <w:t>párr.</w:t>
      </w:r>
      <w:r>
        <w:rPr>
          <w:spacing w:val="-2"/>
          <w:w w:val="105"/>
          <w:sz w:val="10"/>
        </w:rPr>
        <w:t xml:space="preserve"> </w:t>
      </w:r>
      <w:r>
        <w:rPr>
          <w:w w:val="95"/>
          <w:sz w:val="10"/>
        </w:rPr>
        <w:t xml:space="preserve">2; </w:t>
      </w:r>
      <w:r>
        <w:rPr>
          <w:w w:val="105"/>
          <w:sz w:val="10"/>
        </w:rPr>
        <w:t>Comité</w:t>
      </w:r>
      <w:r>
        <w:rPr>
          <w:spacing w:val="-2"/>
          <w:w w:val="105"/>
          <w:sz w:val="10"/>
        </w:rPr>
        <w:t xml:space="preserve"> </w:t>
      </w:r>
      <w:r>
        <w:rPr>
          <w:w w:val="105"/>
          <w:sz w:val="10"/>
        </w:rPr>
        <w:t>sobre</w:t>
      </w:r>
      <w:r>
        <w:rPr>
          <w:spacing w:val="-2"/>
          <w:w w:val="105"/>
          <w:sz w:val="10"/>
        </w:rPr>
        <w:t xml:space="preserve"> </w:t>
      </w:r>
      <w:r>
        <w:rPr>
          <w:w w:val="105"/>
          <w:sz w:val="10"/>
        </w:rPr>
        <w:t>los</w:t>
      </w:r>
      <w:r>
        <w:rPr>
          <w:spacing w:val="-2"/>
          <w:w w:val="105"/>
          <w:sz w:val="10"/>
        </w:rPr>
        <w:t xml:space="preserve"> </w:t>
      </w:r>
      <w:r>
        <w:rPr>
          <w:w w:val="105"/>
          <w:sz w:val="10"/>
        </w:rPr>
        <w:t>Derechos</w:t>
      </w:r>
      <w:r>
        <w:rPr>
          <w:spacing w:val="-2"/>
          <w:w w:val="105"/>
          <w:sz w:val="10"/>
        </w:rPr>
        <w:t xml:space="preserve"> </w:t>
      </w:r>
      <w:r>
        <w:rPr>
          <w:w w:val="105"/>
          <w:sz w:val="10"/>
        </w:rPr>
        <w:t>de</w:t>
      </w:r>
      <w:r>
        <w:rPr>
          <w:spacing w:val="-2"/>
          <w:w w:val="105"/>
          <w:sz w:val="10"/>
        </w:rPr>
        <w:t xml:space="preserve"> </w:t>
      </w:r>
      <w:r>
        <w:rPr>
          <w:w w:val="105"/>
          <w:sz w:val="10"/>
        </w:rPr>
        <w:t>las</w:t>
      </w:r>
      <w:r>
        <w:rPr>
          <w:spacing w:val="-2"/>
          <w:w w:val="105"/>
          <w:sz w:val="10"/>
        </w:rPr>
        <w:t xml:space="preserve"> </w:t>
      </w:r>
      <w:r>
        <w:rPr>
          <w:w w:val="105"/>
          <w:sz w:val="10"/>
        </w:rPr>
        <w:t>Personas</w:t>
      </w:r>
      <w:r>
        <w:rPr>
          <w:spacing w:val="-2"/>
          <w:w w:val="105"/>
          <w:sz w:val="10"/>
        </w:rPr>
        <w:t xml:space="preserve"> </w:t>
      </w:r>
      <w:r>
        <w:rPr>
          <w:w w:val="105"/>
          <w:sz w:val="10"/>
        </w:rPr>
        <w:t>con</w:t>
      </w:r>
      <w:r>
        <w:rPr>
          <w:spacing w:val="-2"/>
          <w:w w:val="105"/>
          <w:sz w:val="10"/>
        </w:rPr>
        <w:t xml:space="preserve"> </w:t>
      </w:r>
      <w:r>
        <w:rPr>
          <w:w w:val="105"/>
          <w:sz w:val="10"/>
        </w:rPr>
        <w:t>Discapacidad,</w:t>
      </w:r>
      <w:r>
        <w:rPr>
          <w:spacing w:val="-1"/>
          <w:w w:val="105"/>
          <w:sz w:val="10"/>
        </w:rPr>
        <w:t xml:space="preserve"> </w:t>
      </w:r>
      <w:r>
        <w:rPr>
          <w:w w:val="105"/>
          <w:sz w:val="10"/>
        </w:rPr>
        <w:t>observación</w:t>
      </w:r>
      <w:r>
        <w:rPr>
          <w:spacing w:val="-2"/>
          <w:w w:val="105"/>
          <w:sz w:val="10"/>
        </w:rPr>
        <w:t xml:space="preserve"> </w:t>
      </w:r>
      <w:r>
        <w:rPr>
          <w:w w:val="105"/>
          <w:sz w:val="10"/>
        </w:rPr>
        <w:t>general</w:t>
      </w:r>
      <w:r>
        <w:rPr>
          <w:spacing w:val="-2"/>
          <w:w w:val="105"/>
          <w:sz w:val="10"/>
        </w:rPr>
        <w:t xml:space="preserve"> </w:t>
      </w:r>
      <w:r>
        <w:rPr>
          <w:w w:val="105"/>
          <w:sz w:val="10"/>
        </w:rPr>
        <w:t>núm.</w:t>
      </w:r>
      <w:r>
        <w:rPr>
          <w:spacing w:val="-2"/>
          <w:w w:val="105"/>
          <w:sz w:val="10"/>
        </w:rPr>
        <w:t xml:space="preserve"> </w:t>
      </w:r>
      <w:r>
        <w:rPr>
          <w:w w:val="105"/>
          <w:sz w:val="10"/>
        </w:rPr>
        <w:t>6</w:t>
      </w:r>
      <w:r>
        <w:rPr>
          <w:spacing w:val="-2"/>
          <w:w w:val="105"/>
          <w:sz w:val="10"/>
        </w:rPr>
        <w:t xml:space="preserve"> </w:t>
      </w:r>
      <w:r>
        <w:rPr>
          <w:w w:val="105"/>
          <w:sz w:val="10"/>
        </w:rPr>
        <w:t>(2018),</w:t>
      </w:r>
      <w:r>
        <w:rPr>
          <w:spacing w:val="-1"/>
          <w:w w:val="105"/>
          <w:sz w:val="10"/>
        </w:rPr>
        <w:t xml:space="preserve"> </w:t>
      </w:r>
      <w:proofErr w:type="spellStart"/>
      <w:r>
        <w:rPr>
          <w:w w:val="105"/>
          <w:sz w:val="10"/>
        </w:rPr>
        <w:t>párrs</w:t>
      </w:r>
      <w:proofErr w:type="spellEnd"/>
      <w:r>
        <w:rPr>
          <w:w w:val="105"/>
          <w:sz w:val="10"/>
        </w:rPr>
        <w:t>.</w:t>
      </w:r>
      <w:r>
        <w:rPr>
          <w:spacing w:val="-1"/>
          <w:w w:val="105"/>
          <w:sz w:val="10"/>
        </w:rPr>
        <w:t xml:space="preserve"> </w:t>
      </w:r>
      <w:r>
        <w:rPr>
          <w:w w:val="105"/>
          <w:sz w:val="10"/>
        </w:rPr>
        <w:t>4–5</w:t>
      </w:r>
      <w:r>
        <w:rPr>
          <w:spacing w:val="-2"/>
          <w:w w:val="105"/>
          <w:sz w:val="10"/>
        </w:rPr>
        <w:t xml:space="preserve"> </w:t>
      </w:r>
      <w:r>
        <w:rPr>
          <w:w w:val="105"/>
          <w:sz w:val="10"/>
        </w:rPr>
        <w:t>y</w:t>
      </w:r>
      <w:r>
        <w:rPr>
          <w:spacing w:val="-2"/>
          <w:w w:val="105"/>
          <w:sz w:val="10"/>
        </w:rPr>
        <w:t xml:space="preserve"> </w:t>
      </w:r>
      <w:r>
        <w:rPr>
          <w:w w:val="95"/>
          <w:sz w:val="10"/>
        </w:rPr>
        <w:t xml:space="preserve">7; </w:t>
      </w:r>
      <w:r>
        <w:rPr>
          <w:w w:val="105"/>
          <w:sz w:val="10"/>
        </w:rPr>
        <w:t>y</w:t>
      </w:r>
      <w:r>
        <w:rPr>
          <w:spacing w:val="-2"/>
          <w:w w:val="105"/>
          <w:sz w:val="10"/>
        </w:rPr>
        <w:t xml:space="preserve"> </w:t>
      </w:r>
      <w:r>
        <w:rPr>
          <w:w w:val="105"/>
          <w:sz w:val="10"/>
        </w:rPr>
        <w:t>Comité</w:t>
      </w:r>
      <w:r>
        <w:rPr>
          <w:spacing w:val="-2"/>
          <w:w w:val="105"/>
          <w:sz w:val="10"/>
        </w:rPr>
        <w:t xml:space="preserve"> </w:t>
      </w:r>
      <w:r>
        <w:rPr>
          <w:w w:val="105"/>
          <w:sz w:val="10"/>
        </w:rPr>
        <w:t>de</w:t>
      </w:r>
      <w:r>
        <w:rPr>
          <w:spacing w:val="-2"/>
          <w:w w:val="105"/>
          <w:sz w:val="10"/>
        </w:rPr>
        <w:t xml:space="preserve"> </w:t>
      </w:r>
      <w:r>
        <w:rPr>
          <w:w w:val="105"/>
          <w:sz w:val="10"/>
        </w:rPr>
        <w:t>Derechos</w:t>
      </w:r>
    </w:p>
    <w:p w14:paraId="10813F8E" w14:textId="77777777" w:rsidR="0014798C" w:rsidRDefault="004E1F0B">
      <w:pPr>
        <w:spacing w:before="1" w:line="374" w:lineRule="auto"/>
        <w:ind w:left="1367" w:right="1463" w:firstLine="4"/>
        <w:rPr>
          <w:sz w:val="10"/>
        </w:rPr>
      </w:pPr>
      <w:r>
        <w:rPr>
          <w:w w:val="105"/>
          <w:sz w:val="10"/>
        </w:rPr>
        <w:t>Humanos, observación general núm. 24 (1994), párr. 9. Véase también Comité para la Eliminación de la Discriminación contra la Mujer, “Declaraciones sobre las reservas a la Convención</w:t>
      </w:r>
      <w:r>
        <w:rPr>
          <w:spacing w:val="40"/>
          <w:w w:val="105"/>
          <w:sz w:val="10"/>
        </w:rPr>
        <w:t xml:space="preserve"> </w:t>
      </w:r>
      <w:r>
        <w:rPr>
          <w:w w:val="105"/>
          <w:sz w:val="10"/>
        </w:rPr>
        <w:t xml:space="preserve">sobre la eliminación de todas las formas de discriminación contra la mujer” (A/53/38/Rev.1, págs. 47 a 50), </w:t>
      </w:r>
      <w:proofErr w:type="spellStart"/>
      <w:r>
        <w:rPr>
          <w:w w:val="105"/>
          <w:sz w:val="10"/>
        </w:rPr>
        <w:t>párrs</w:t>
      </w:r>
      <w:proofErr w:type="spellEnd"/>
      <w:proofErr w:type="gramStart"/>
      <w:r>
        <w:rPr>
          <w:w w:val="105"/>
          <w:sz w:val="10"/>
        </w:rPr>
        <w:t>. .</w:t>
      </w:r>
      <w:proofErr w:type="gramEnd"/>
      <w:r>
        <w:rPr>
          <w:w w:val="105"/>
          <w:sz w:val="10"/>
        </w:rPr>
        <w:t xml:space="preserve"> 6 y 16.</w:t>
      </w:r>
    </w:p>
    <w:p w14:paraId="496FEE8C" w14:textId="77777777" w:rsidR="0014798C" w:rsidRDefault="0014798C">
      <w:pPr>
        <w:pStyle w:val="Textoindependiente"/>
        <w:rPr>
          <w:sz w:val="13"/>
        </w:rPr>
      </w:pPr>
    </w:p>
    <w:p w14:paraId="661F4108" w14:textId="77777777" w:rsidR="0014798C" w:rsidRDefault="0014798C">
      <w:pPr>
        <w:pStyle w:val="Textoindependiente"/>
        <w:spacing w:before="53"/>
        <w:rPr>
          <w:sz w:val="13"/>
        </w:rPr>
      </w:pPr>
    </w:p>
    <w:p w14:paraId="580EB762" w14:textId="77777777" w:rsidR="0014798C" w:rsidRDefault="004E1F0B">
      <w:pPr>
        <w:spacing w:before="1" w:line="288" w:lineRule="auto"/>
        <w:ind w:left="1371" w:right="2004" w:hanging="267"/>
        <w:rPr>
          <w:sz w:val="13"/>
        </w:rPr>
      </w:pPr>
      <w:r>
        <w:rPr>
          <w:sz w:val="13"/>
        </w:rPr>
        <w:t>426</w:t>
      </w:r>
      <w:r>
        <w:rPr>
          <w:spacing w:val="-3"/>
          <w:sz w:val="13"/>
        </w:rPr>
        <w:t xml:space="preserve"> </w:t>
      </w:r>
      <w:r>
        <w:rPr>
          <w:sz w:val="13"/>
        </w:rPr>
        <w:t>Comité</w:t>
      </w:r>
      <w:r>
        <w:rPr>
          <w:spacing w:val="-3"/>
          <w:sz w:val="13"/>
        </w:rPr>
        <w:t xml:space="preserve"> </w:t>
      </w:r>
      <w:r>
        <w:rPr>
          <w:sz w:val="13"/>
        </w:rPr>
        <w:t>de</w:t>
      </w:r>
      <w:r>
        <w:rPr>
          <w:spacing w:val="-3"/>
          <w:sz w:val="13"/>
        </w:rPr>
        <w:t xml:space="preserve"> </w:t>
      </w:r>
      <w:r>
        <w:rPr>
          <w:sz w:val="13"/>
        </w:rPr>
        <w:t>Derechos</w:t>
      </w:r>
      <w:r>
        <w:rPr>
          <w:spacing w:val="-3"/>
          <w:sz w:val="13"/>
        </w:rPr>
        <w:t xml:space="preserve"> </w:t>
      </w:r>
      <w:r>
        <w:rPr>
          <w:sz w:val="13"/>
        </w:rPr>
        <w:t>Humanos,</w:t>
      </w:r>
      <w:r>
        <w:rPr>
          <w:spacing w:val="-2"/>
          <w:sz w:val="13"/>
        </w:rPr>
        <w:t xml:space="preserve"> </w:t>
      </w:r>
      <w:r>
        <w:rPr>
          <w:sz w:val="13"/>
        </w:rPr>
        <w:t>Williams</w:t>
      </w:r>
      <w:r>
        <w:rPr>
          <w:spacing w:val="-3"/>
          <w:sz w:val="13"/>
        </w:rPr>
        <w:t xml:space="preserve"> </w:t>
      </w:r>
      <w:proofErr w:type="spellStart"/>
      <w:r>
        <w:rPr>
          <w:sz w:val="13"/>
        </w:rPr>
        <w:t>Lecraft</w:t>
      </w:r>
      <w:proofErr w:type="spellEnd"/>
      <w:r>
        <w:rPr>
          <w:spacing w:val="-2"/>
          <w:sz w:val="13"/>
        </w:rPr>
        <w:t xml:space="preserve"> </w:t>
      </w:r>
      <w:r>
        <w:rPr>
          <w:sz w:val="13"/>
        </w:rPr>
        <w:t>c.</w:t>
      </w:r>
      <w:r>
        <w:rPr>
          <w:spacing w:val="-3"/>
          <w:sz w:val="13"/>
        </w:rPr>
        <w:t xml:space="preserve"> </w:t>
      </w:r>
      <w:r>
        <w:rPr>
          <w:sz w:val="13"/>
        </w:rPr>
        <w:t>España</w:t>
      </w:r>
      <w:r>
        <w:rPr>
          <w:spacing w:val="-3"/>
          <w:sz w:val="13"/>
        </w:rPr>
        <w:t xml:space="preserve"> </w:t>
      </w:r>
      <w:r>
        <w:rPr>
          <w:sz w:val="13"/>
        </w:rPr>
        <w:t>(CCPR/C/96/D/1493/2006),</w:t>
      </w:r>
      <w:r>
        <w:rPr>
          <w:spacing w:val="-2"/>
          <w:sz w:val="13"/>
        </w:rPr>
        <w:t xml:space="preserve"> </w:t>
      </w:r>
      <w:r>
        <w:rPr>
          <w:sz w:val="13"/>
        </w:rPr>
        <w:t>párr.</w:t>
      </w:r>
      <w:r>
        <w:rPr>
          <w:spacing w:val="-2"/>
          <w:sz w:val="13"/>
        </w:rPr>
        <w:t xml:space="preserve"> </w:t>
      </w:r>
      <w:r>
        <w:rPr>
          <w:sz w:val="13"/>
        </w:rPr>
        <w:t>7.2.</w:t>
      </w:r>
      <w:r>
        <w:rPr>
          <w:spacing w:val="-3"/>
          <w:sz w:val="13"/>
        </w:rPr>
        <w:t xml:space="preserve"> </w:t>
      </w:r>
      <w:r>
        <w:rPr>
          <w:sz w:val="13"/>
        </w:rPr>
        <w:t>Para</w:t>
      </w:r>
      <w:r>
        <w:rPr>
          <w:spacing w:val="-3"/>
          <w:sz w:val="13"/>
        </w:rPr>
        <w:t xml:space="preserve"> </w:t>
      </w:r>
      <w:r>
        <w:rPr>
          <w:sz w:val="13"/>
        </w:rPr>
        <w:t>un</w:t>
      </w:r>
      <w:r>
        <w:rPr>
          <w:spacing w:val="-3"/>
          <w:sz w:val="13"/>
        </w:rPr>
        <w:t xml:space="preserve"> </w:t>
      </w:r>
      <w:r>
        <w:rPr>
          <w:sz w:val="13"/>
        </w:rPr>
        <w:t>debate</w:t>
      </w:r>
      <w:r>
        <w:rPr>
          <w:spacing w:val="-3"/>
          <w:sz w:val="13"/>
        </w:rPr>
        <w:t xml:space="preserve"> </w:t>
      </w:r>
      <w:r>
        <w:rPr>
          <w:sz w:val="13"/>
        </w:rPr>
        <w:t>más</w:t>
      </w:r>
      <w:r>
        <w:rPr>
          <w:spacing w:val="-3"/>
          <w:sz w:val="13"/>
        </w:rPr>
        <w:t xml:space="preserve"> </w:t>
      </w:r>
      <w:r>
        <w:rPr>
          <w:sz w:val="13"/>
        </w:rPr>
        <w:t>detallado</w:t>
      </w:r>
      <w:r>
        <w:rPr>
          <w:spacing w:val="-3"/>
          <w:sz w:val="13"/>
        </w:rPr>
        <w:t xml:space="preserve"> </w:t>
      </w:r>
      <w:r>
        <w:rPr>
          <w:sz w:val="13"/>
        </w:rPr>
        <w:t>sobre</w:t>
      </w:r>
      <w:r>
        <w:rPr>
          <w:spacing w:val="-3"/>
          <w:sz w:val="13"/>
        </w:rPr>
        <w:t xml:space="preserve"> </w:t>
      </w:r>
      <w:r>
        <w:rPr>
          <w:sz w:val="13"/>
        </w:rPr>
        <w:t>este</w:t>
      </w:r>
      <w:r>
        <w:rPr>
          <w:spacing w:val="-3"/>
          <w:sz w:val="13"/>
        </w:rPr>
        <w:t xml:space="preserve"> </w:t>
      </w:r>
      <w:r>
        <w:rPr>
          <w:sz w:val="13"/>
        </w:rPr>
        <w:t>tema,</w:t>
      </w:r>
      <w:r>
        <w:rPr>
          <w:spacing w:val="40"/>
          <w:sz w:val="13"/>
        </w:rPr>
        <w:t xml:space="preserve"> </w:t>
      </w:r>
      <w:r>
        <w:rPr>
          <w:sz w:val="13"/>
        </w:rPr>
        <w:t>véase Comité para la Eliminación de la Discriminación Racial, recomendación general núm. 36 (2020).</w:t>
      </w:r>
    </w:p>
    <w:p w14:paraId="479DFE85" w14:textId="77777777" w:rsidR="0014798C" w:rsidRDefault="004E1F0B">
      <w:pPr>
        <w:spacing w:before="57" w:line="288" w:lineRule="auto"/>
        <w:ind w:left="1366" w:right="1443" w:hanging="261"/>
        <w:rPr>
          <w:sz w:val="13"/>
        </w:rPr>
      </w:pPr>
      <w:r>
        <w:rPr>
          <w:sz w:val="13"/>
        </w:rPr>
        <w:t>427</w:t>
      </w:r>
      <w:r>
        <w:rPr>
          <w:spacing w:val="-1"/>
          <w:sz w:val="13"/>
        </w:rPr>
        <w:t xml:space="preserve"> </w:t>
      </w:r>
      <w:r>
        <w:rPr>
          <w:sz w:val="13"/>
        </w:rPr>
        <w:t>Comité</w:t>
      </w:r>
      <w:r>
        <w:rPr>
          <w:spacing w:val="-1"/>
          <w:sz w:val="13"/>
        </w:rPr>
        <w:t xml:space="preserve"> </w:t>
      </w:r>
      <w:r>
        <w:rPr>
          <w:sz w:val="13"/>
        </w:rPr>
        <w:t>de</w:t>
      </w:r>
      <w:r>
        <w:rPr>
          <w:spacing w:val="-1"/>
          <w:sz w:val="13"/>
        </w:rPr>
        <w:t xml:space="preserve"> </w:t>
      </w:r>
      <w:r>
        <w:rPr>
          <w:sz w:val="13"/>
        </w:rPr>
        <w:t>Derechos</w:t>
      </w:r>
      <w:r>
        <w:rPr>
          <w:spacing w:val="-1"/>
          <w:sz w:val="13"/>
        </w:rPr>
        <w:t xml:space="preserve"> </w:t>
      </w:r>
      <w:r>
        <w:rPr>
          <w:sz w:val="13"/>
        </w:rPr>
        <w:t>Humanos, observación</w:t>
      </w:r>
      <w:r>
        <w:rPr>
          <w:spacing w:val="-1"/>
          <w:sz w:val="13"/>
        </w:rPr>
        <w:t xml:space="preserve"> </w:t>
      </w:r>
      <w:r>
        <w:rPr>
          <w:sz w:val="13"/>
        </w:rPr>
        <w:t>general</w:t>
      </w:r>
      <w:r>
        <w:rPr>
          <w:spacing w:val="-1"/>
          <w:sz w:val="13"/>
        </w:rPr>
        <w:t xml:space="preserve"> </w:t>
      </w:r>
      <w:r>
        <w:rPr>
          <w:sz w:val="13"/>
        </w:rPr>
        <w:t>núm. 28</w:t>
      </w:r>
      <w:r>
        <w:rPr>
          <w:spacing w:val="-1"/>
          <w:sz w:val="13"/>
        </w:rPr>
        <w:t xml:space="preserve"> </w:t>
      </w:r>
      <w:r>
        <w:rPr>
          <w:sz w:val="13"/>
        </w:rPr>
        <w:t>(2000), párr. 5.</w:t>
      </w:r>
      <w:r>
        <w:rPr>
          <w:spacing w:val="-1"/>
          <w:sz w:val="13"/>
        </w:rPr>
        <w:t xml:space="preserve"> </w:t>
      </w:r>
      <w:r>
        <w:rPr>
          <w:sz w:val="13"/>
        </w:rPr>
        <w:t>En</w:t>
      </w:r>
      <w:r>
        <w:rPr>
          <w:spacing w:val="-1"/>
          <w:sz w:val="13"/>
        </w:rPr>
        <w:t xml:space="preserve"> </w:t>
      </w:r>
      <w:r>
        <w:rPr>
          <w:sz w:val="13"/>
        </w:rPr>
        <w:t>relación</w:t>
      </w:r>
      <w:r>
        <w:rPr>
          <w:spacing w:val="-1"/>
          <w:sz w:val="13"/>
        </w:rPr>
        <w:t xml:space="preserve"> </w:t>
      </w:r>
      <w:r>
        <w:rPr>
          <w:sz w:val="13"/>
        </w:rPr>
        <w:t>con</w:t>
      </w:r>
      <w:r>
        <w:rPr>
          <w:spacing w:val="-1"/>
          <w:sz w:val="13"/>
        </w:rPr>
        <w:t xml:space="preserve"> </w:t>
      </w:r>
      <w:r>
        <w:rPr>
          <w:sz w:val="13"/>
        </w:rPr>
        <w:t>esto, en</w:t>
      </w:r>
      <w:r>
        <w:rPr>
          <w:spacing w:val="-1"/>
          <w:sz w:val="13"/>
        </w:rPr>
        <w:t xml:space="preserve"> </w:t>
      </w:r>
      <w:r>
        <w:rPr>
          <w:sz w:val="13"/>
        </w:rPr>
        <w:t>Müller</w:t>
      </w:r>
      <w:r>
        <w:rPr>
          <w:spacing w:val="-1"/>
          <w:sz w:val="13"/>
        </w:rPr>
        <w:t xml:space="preserve"> </w:t>
      </w:r>
      <w:r>
        <w:rPr>
          <w:sz w:val="13"/>
        </w:rPr>
        <w:t>y</w:t>
      </w:r>
      <w:r>
        <w:rPr>
          <w:spacing w:val="-1"/>
          <w:sz w:val="13"/>
        </w:rPr>
        <w:t xml:space="preserve"> </w:t>
      </w:r>
      <w:proofErr w:type="spellStart"/>
      <w:r>
        <w:rPr>
          <w:sz w:val="13"/>
        </w:rPr>
        <w:t>Engelhard</w:t>
      </w:r>
      <w:proofErr w:type="spellEnd"/>
      <w:r>
        <w:rPr>
          <w:spacing w:val="-1"/>
          <w:sz w:val="13"/>
        </w:rPr>
        <w:t xml:space="preserve"> </w:t>
      </w:r>
      <w:r>
        <w:rPr>
          <w:sz w:val="13"/>
        </w:rPr>
        <w:t>c.</w:t>
      </w:r>
      <w:r>
        <w:rPr>
          <w:spacing w:val="-1"/>
          <w:sz w:val="13"/>
        </w:rPr>
        <w:t xml:space="preserve"> </w:t>
      </w:r>
      <w:r>
        <w:rPr>
          <w:sz w:val="13"/>
        </w:rPr>
        <w:t>Namibia, el</w:t>
      </w:r>
      <w:r>
        <w:rPr>
          <w:spacing w:val="-1"/>
          <w:sz w:val="13"/>
        </w:rPr>
        <w:t xml:space="preserve"> </w:t>
      </w:r>
      <w:r>
        <w:rPr>
          <w:sz w:val="13"/>
        </w:rPr>
        <w:t>Comité</w:t>
      </w:r>
      <w:r>
        <w:rPr>
          <w:spacing w:val="-1"/>
          <w:sz w:val="13"/>
        </w:rPr>
        <w:t xml:space="preserve"> </w:t>
      </w:r>
      <w:r>
        <w:rPr>
          <w:sz w:val="13"/>
        </w:rPr>
        <w:t>sostuvo</w:t>
      </w:r>
      <w:r>
        <w:rPr>
          <w:spacing w:val="40"/>
          <w:sz w:val="13"/>
        </w:rPr>
        <w:t xml:space="preserve"> </w:t>
      </w:r>
      <w:r>
        <w:rPr>
          <w:sz w:val="13"/>
        </w:rPr>
        <w:t>que</w:t>
      </w:r>
      <w:r>
        <w:rPr>
          <w:spacing w:val="-3"/>
          <w:sz w:val="13"/>
        </w:rPr>
        <w:t xml:space="preserve"> </w:t>
      </w:r>
      <w:r>
        <w:rPr>
          <w:sz w:val="13"/>
        </w:rPr>
        <w:t>“una</w:t>
      </w:r>
      <w:r>
        <w:rPr>
          <w:spacing w:val="-3"/>
          <w:sz w:val="13"/>
        </w:rPr>
        <w:t xml:space="preserve"> </w:t>
      </w:r>
      <w:r>
        <w:rPr>
          <w:sz w:val="13"/>
        </w:rPr>
        <w:t>larga</w:t>
      </w:r>
      <w:r>
        <w:rPr>
          <w:spacing w:val="-3"/>
          <w:sz w:val="13"/>
        </w:rPr>
        <w:t xml:space="preserve"> </w:t>
      </w:r>
      <w:r>
        <w:rPr>
          <w:sz w:val="13"/>
        </w:rPr>
        <w:t>tradición</w:t>
      </w:r>
      <w:r>
        <w:rPr>
          <w:spacing w:val="-3"/>
          <w:sz w:val="13"/>
        </w:rPr>
        <w:t xml:space="preserve"> </w:t>
      </w:r>
      <w:r>
        <w:rPr>
          <w:sz w:val="13"/>
        </w:rPr>
        <w:t>no</w:t>
      </w:r>
      <w:r>
        <w:rPr>
          <w:spacing w:val="-3"/>
          <w:sz w:val="13"/>
        </w:rPr>
        <w:t xml:space="preserve"> </w:t>
      </w:r>
      <w:r>
        <w:rPr>
          <w:sz w:val="13"/>
        </w:rPr>
        <w:t>puede</w:t>
      </w:r>
      <w:r>
        <w:rPr>
          <w:spacing w:val="-3"/>
          <w:sz w:val="13"/>
        </w:rPr>
        <w:t xml:space="preserve"> </w:t>
      </w:r>
      <w:r>
        <w:rPr>
          <w:sz w:val="13"/>
        </w:rPr>
        <w:t>mantenerse</w:t>
      </w:r>
      <w:r>
        <w:rPr>
          <w:spacing w:val="-3"/>
          <w:sz w:val="13"/>
        </w:rPr>
        <w:t xml:space="preserve"> </w:t>
      </w:r>
      <w:r>
        <w:rPr>
          <w:sz w:val="13"/>
        </w:rPr>
        <w:t>como</w:t>
      </w:r>
      <w:r>
        <w:rPr>
          <w:spacing w:val="-3"/>
          <w:sz w:val="13"/>
        </w:rPr>
        <w:t xml:space="preserve"> </w:t>
      </w:r>
      <w:r>
        <w:rPr>
          <w:sz w:val="13"/>
        </w:rPr>
        <w:t>justificación</w:t>
      </w:r>
      <w:r>
        <w:rPr>
          <w:spacing w:val="-3"/>
          <w:sz w:val="13"/>
        </w:rPr>
        <w:t xml:space="preserve"> </w:t>
      </w:r>
      <w:r>
        <w:rPr>
          <w:sz w:val="13"/>
        </w:rPr>
        <w:t>general</w:t>
      </w:r>
      <w:r>
        <w:rPr>
          <w:spacing w:val="-3"/>
          <w:sz w:val="13"/>
        </w:rPr>
        <w:t xml:space="preserve"> </w:t>
      </w:r>
      <w:r>
        <w:rPr>
          <w:sz w:val="13"/>
        </w:rPr>
        <w:t>para</w:t>
      </w:r>
      <w:r>
        <w:rPr>
          <w:spacing w:val="-3"/>
          <w:sz w:val="13"/>
        </w:rPr>
        <w:t xml:space="preserve"> </w:t>
      </w:r>
      <w:r>
        <w:rPr>
          <w:sz w:val="13"/>
        </w:rPr>
        <w:t>un</w:t>
      </w:r>
      <w:r>
        <w:rPr>
          <w:spacing w:val="-3"/>
          <w:sz w:val="13"/>
        </w:rPr>
        <w:t xml:space="preserve"> </w:t>
      </w:r>
      <w:r>
        <w:rPr>
          <w:sz w:val="13"/>
        </w:rPr>
        <w:t>trato</w:t>
      </w:r>
      <w:r>
        <w:rPr>
          <w:spacing w:val="-3"/>
          <w:sz w:val="13"/>
        </w:rPr>
        <w:t xml:space="preserve"> </w:t>
      </w:r>
      <w:r>
        <w:rPr>
          <w:sz w:val="13"/>
        </w:rPr>
        <w:t>diferente</w:t>
      </w:r>
      <w:r>
        <w:rPr>
          <w:spacing w:val="-3"/>
          <w:sz w:val="13"/>
        </w:rPr>
        <w:t xml:space="preserve"> </w:t>
      </w:r>
      <w:r>
        <w:rPr>
          <w:sz w:val="13"/>
        </w:rPr>
        <w:t>a</w:t>
      </w:r>
      <w:r>
        <w:rPr>
          <w:spacing w:val="-3"/>
          <w:sz w:val="13"/>
        </w:rPr>
        <w:t xml:space="preserve"> </w:t>
      </w:r>
      <w:r>
        <w:rPr>
          <w:sz w:val="13"/>
        </w:rPr>
        <w:t>hombres</w:t>
      </w:r>
      <w:r>
        <w:rPr>
          <w:spacing w:val="-3"/>
          <w:sz w:val="13"/>
        </w:rPr>
        <w:t xml:space="preserve"> </w:t>
      </w:r>
      <w:r>
        <w:rPr>
          <w:sz w:val="13"/>
        </w:rPr>
        <w:t>y</w:t>
      </w:r>
      <w:r>
        <w:rPr>
          <w:spacing w:val="-3"/>
          <w:sz w:val="13"/>
        </w:rPr>
        <w:t xml:space="preserve"> </w:t>
      </w:r>
      <w:r>
        <w:rPr>
          <w:sz w:val="13"/>
        </w:rPr>
        <w:t>mujeres,</w:t>
      </w:r>
      <w:r>
        <w:rPr>
          <w:spacing w:val="-2"/>
          <w:sz w:val="13"/>
        </w:rPr>
        <w:t xml:space="preserve"> </w:t>
      </w:r>
      <w:r>
        <w:rPr>
          <w:sz w:val="13"/>
        </w:rPr>
        <w:t>lo</w:t>
      </w:r>
      <w:r>
        <w:rPr>
          <w:spacing w:val="-3"/>
          <w:sz w:val="13"/>
        </w:rPr>
        <w:t xml:space="preserve"> </w:t>
      </w:r>
      <w:r>
        <w:rPr>
          <w:sz w:val="13"/>
        </w:rPr>
        <w:t>cual</w:t>
      </w:r>
      <w:r>
        <w:rPr>
          <w:spacing w:val="-3"/>
          <w:sz w:val="13"/>
        </w:rPr>
        <w:t xml:space="preserve"> </w:t>
      </w:r>
      <w:r>
        <w:rPr>
          <w:sz w:val="13"/>
        </w:rPr>
        <w:t>es</w:t>
      </w:r>
      <w:r>
        <w:rPr>
          <w:spacing w:val="-3"/>
          <w:sz w:val="13"/>
        </w:rPr>
        <w:t xml:space="preserve"> </w:t>
      </w:r>
      <w:r>
        <w:rPr>
          <w:sz w:val="13"/>
        </w:rPr>
        <w:t>contrario</w:t>
      </w:r>
      <w:r>
        <w:rPr>
          <w:spacing w:val="-3"/>
          <w:sz w:val="13"/>
        </w:rPr>
        <w:t xml:space="preserve"> </w:t>
      </w:r>
      <w:r>
        <w:rPr>
          <w:sz w:val="13"/>
        </w:rPr>
        <w:t>al</w:t>
      </w:r>
      <w:r>
        <w:rPr>
          <w:spacing w:val="-3"/>
          <w:sz w:val="13"/>
        </w:rPr>
        <w:t xml:space="preserve"> </w:t>
      </w:r>
      <w:r>
        <w:rPr>
          <w:sz w:val="13"/>
        </w:rPr>
        <w:t>Pacto”.</w:t>
      </w:r>
      <w:r>
        <w:rPr>
          <w:spacing w:val="-2"/>
          <w:sz w:val="13"/>
        </w:rPr>
        <w:t xml:space="preserve"> </w:t>
      </w:r>
      <w:r>
        <w:rPr>
          <w:sz w:val="13"/>
        </w:rPr>
        <w:t>Véase</w:t>
      </w:r>
      <w:r>
        <w:rPr>
          <w:spacing w:val="40"/>
          <w:sz w:val="13"/>
        </w:rPr>
        <w:t xml:space="preserve"> </w:t>
      </w:r>
      <w:r>
        <w:rPr>
          <w:sz w:val="13"/>
        </w:rPr>
        <w:t xml:space="preserve">Comité de Derechos Humanos, Müller y </w:t>
      </w:r>
      <w:proofErr w:type="spellStart"/>
      <w:r>
        <w:rPr>
          <w:sz w:val="13"/>
        </w:rPr>
        <w:t>Engelhard</w:t>
      </w:r>
      <w:proofErr w:type="spellEnd"/>
      <w:r>
        <w:rPr>
          <w:sz w:val="13"/>
        </w:rPr>
        <w:t xml:space="preserve"> c. Namibia (CCPR/C/74/D/919/2000), párr. 6.8.</w:t>
      </w:r>
    </w:p>
    <w:p w14:paraId="133A1EF1" w14:textId="77777777" w:rsidR="0014798C" w:rsidRDefault="0014798C">
      <w:pPr>
        <w:pStyle w:val="Textoindependiente"/>
        <w:spacing w:before="7"/>
        <w:rPr>
          <w:sz w:val="10"/>
        </w:rPr>
      </w:pPr>
    </w:p>
    <w:p w14:paraId="37C1C93C" w14:textId="77777777" w:rsidR="0014798C" w:rsidRDefault="004E1F0B">
      <w:pPr>
        <w:spacing w:before="1" w:line="374" w:lineRule="auto"/>
        <w:ind w:left="1369" w:right="1463" w:hanging="265"/>
        <w:rPr>
          <w:sz w:val="10"/>
        </w:rPr>
      </w:pPr>
      <w:r>
        <w:rPr>
          <w:w w:val="105"/>
          <w:sz w:val="10"/>
        </w:rPr>
        <w:t>428 Comité de Derechos Económicos, Sociales y Culturales, observación general núm. 20 (2009), párr. 20. Véase también Comité de Derechos Económicos, Sociales y Culturales, observación</w:t>
      </w:r>
      <w:r>
        <w:rPr>
          <w:spacing w:val="40"/>
          <w:w w:val="105"/>
          <w:sz w:val="10"/>
        </w:rPr>
        <w:t xml:space="preserve"> </w:t>
      </w:r>
      <w:r>
        <w:rPr>
          <w:w w:val="105"/>
          <w:sz w:val="10"/>
        </w:rPr>
        <w:t>general núm. 16 (2005), párr. 11.</w:t>
      </w:r>
    </w:p>
    <w:p w14:paraId="2051D9CA" w14:textId="77777777" w:rsidR="0014798C" w:rsidRDefault="004E1F0B">
      <w:pPr>
        <w:spacing w:line="288" w:lineRule="auto"/>
        <w:ind w:left="1366" w:right="1272" w:hanging="262"/>
        <w:rPr>
          <w:sz w:val="13"/>
        </w:rPr>
      </w:pPr>
      <w:r>
        <w:rPr>
          <w:sz w:val="13"/>
        </w:rPr>
        <w:t>429 Por ejemplo, el Tribunal Europeo de Derechos Humanos ha enfatizado que “las referencias a tradiciones, supuestos generales o actitudes sociales</w:t>
      </w:r>
      <w:r>
        <w:rPr>
          <w:spacing w:val="40"/>
          <w:sz w:val="13"/>
        </w:rPr>
        <w:t xml:space="preserve"> </w:t>
      </w:r>
      <w:r>
        <w:rPr>
          <w:sz w:val="13"/>
        </w:rPr>
        <w:t>predominantes</w:t>
      </w:r>
      <w:r>
        <w:rPr>
          <w:spacing w:val="-3"/>
          <w:sz w:val="13"/>
        </w:rPr>
        <w:t xml:space="preserve"> </w:t>
      </w:r>
      <w:r>
        <w:rPr>
          <w:sz w:val="13"/>
        </w:rPr>
        <w:t>en</w:t>
      </w:r>
      <w:r>
        <w:rPr>
          <w:spacing w:val="-3"/>
          <w:sz w:val="13"/>
        </w:rPr>
        <w:t xml:space="preserve"> </w:t>
      </w:r>
      <w:r>
        <w:rPr>
          <w:sz w:val="13"/>
        </w:rPr>
        <w:t>un</w:t>
      </w:r>
      <w:r>
        <w:rPr>
          <w:spacing w:val="-3"/>
          <w:sz w:val="13"/>
        </w:rPr>
        <w:t xml:space="preserve"> </w:t>
      </w:r>
      <w:r>
        <w:rPr>
          <w:sz w:val="13"/>
        </w:rPr>
        <w:t>país</w:t>
      </w:r>
      <w:r>
        <w:rPr>
          <w:spacing w:val="-3"/>
          <w:sz w:val="13"/>
        </w:rPr>
        <w:t xml:space="preserve"> </w:t>
      </w:r>
      <w:r>
        <w:rPr>
          <w:sz w:val="13"/>
        </w:rPr>
        <w:t>en</w:t>
      </w:r>
      <w:r>
        <w:rPr>
          <w:spacing w:val="-3"/>
          <w:sz w:val="13"/>
        </w:rPr>
        <w:t xml:space="preserve"> </w:t>
      </w:r>
      <w:r>
        <w:rPr>
          <w:sz w:val="13"/>
        </w:rPr>
        <w:t>particular”</w:t>
      </w:r>
      <w:r>
        <w:rPr>
          <w:spacing w:val="-3"/>
          <w:sz w:val="13"/>
        </w:rPr>
        <w:t xml:space="preserve"> </w:t>
      </w:r>
      <w:r>
        <w:rPr>
          <w:sz w:val="13"/>
        </w:rPr>
        <w:t>son</w:t>
      </w:r>
      <w:r>
        <w:rPr>
          <w:spacing w:val="-3"/>
          <w:sz w:val="13"/>
        </w:rPr>
        <w:t xml:space="preserve"> </w:t>
      </w:r>
      <w:r>
        <w:rPr>
          <w:sz w:val="13"/>
        </w:rPr>
        <w:t>insuficientes</w:t>
      </w:r>
      <w:r>
        <w:rPr>
          <w:spacing w:val="-3"/>
          <w:sz w:val="13"/>
        </w:rPr>
        <w:t xml:space="preserve"> </w:t>
      </w:r>
      <w:r>
        <w:rPr>
          <w:sz w:val="13"/>
        </w:rPr>
        <w:t>para</w:t>
      </w:r>
      <w:r>
        <w:rPr>
          <w:spacing w:val="-3"/>
          <w:sz w:val="13"/>
        </w:rPr>
        <w:t xml:space="preserve"> </w:t>
      </w:r>
      <w:r>
        <w:rPr>
          <w:sz w:val="13"/>
        </w:rPr>
        <w:t>justificar</w:t>
      </w:r>
      <w:r>
        <w:rPr>
          <w:spacing w:val="-3"/>
          <w:sz w:val="13"/>
        </w:rPr>
        <w:t xml:space="preserve"> </w:t>
      </w:r>
      <w:r>
        <w:rPr>
          <w:sz w:val="13"/>
        </w:rPr>
        <w:t>una</w:t>
      </w:r>
      <w:r>
        <w:rPr>
          <w:spacing w:val="-3"/>
          <w:sz w:val="13"/>
        </w:rPr>
        <w:t xml:space="preserve"> </w:t>
      </w:r>
      <w:r>
        <w:rPr>
          <w:sz w:val="13"/>
        </w:rPr>
        <w:t>medida</w:t>
      </w:r>
      <w:r>
        <w:rPr>
          <w:spacing w:val="-3"/>
          <w:sz w:val="13"/>
        </w:rPr>
        <w:t xml:space="preserve"> </w:t>
      </w:r>
      <w:r>
        <w:rPr>
          <w:sz w:val="13"/>
        </w:rPr>
        <w:t>que</w:t>
      </w:r>
      <w:r>
        <w:rPr>
          <w:spacing w:val="-3"/>
          <w:sz w:val="13"/>
        </w:rPr>
        <w:t xml:space="preserve"> </w:t>
      </w:r>
      <w:r>
        <w:rPr>
          <w:sz w:val="13"/>
        </w:rPr>
        <w:t>de</w:t>
      </w:r>
      <w:r>
        <w:rPr>
          <w:spacing w:val="-3"/>
          <w:sz w:val="13"/>
        </w:rPr>
        <w:t xml:space="preserve"> </w:t>
      </w:r>
      <w:r>
        <w:rPr>
          <w:sz w:val="13"/>
        </w:rPr>
        <w:t>otro</w:t>
      </w:r>
      <w:r>
        <w:rPr>
          <w:spacing w:val="-3"/>
          <w:sz w:val="13"/>
        </w:rPr>
        <w:t xml:space="preserve"> </w:t>
      </w:r>
      <w:r>
        <w:rPr>
          <w:sz w:val="13"/>
        </w:rPr>
        <w:t>modo</w:t>
      </w:r>
      <w:r>
        <w:rPr>
          <w:spacing w:val="-3"/>
          <w:sz w:val="13"/>
        </w:rPr>
        <w:t xml:space="preserve"> </w:t>
      </w:r>
      <w:r>
        <w:rPr>
          <w:sz w:val="13"/>
        </w:rPr>
        <w:t>sería</w:t>
      </w:r>
      <w:r>
        <w:rPr>
          <w:spacing w:val="-3"/>
          <w:sz w:val="13"/>
        </w:rPr>
        <w:t xml:space="preserve"> </w:t>
      </w:r>
      <w:r>
        <w:rPr>
          <w:sz w:val="13"/>
        </w:rPr>
        <w:t>discriminatoria.</w:t>
      </w:r>
      <w:r>
        <w:rPr>
          <w:spacing w:val="-1"/>
          <w:sz w:val="13"/>
        </w:rPr>
        <w:t xml:space="preserve"> </w:t>
      </w:r>
      <w:r>
        <w:rPr>
          <w:sz w:val="13"/>
        </w:rPr>
        <w:t>Véase</w:t>
      </w:r>
      <w:r>
        <w:rPr>
          <w:spacing w:val="-3"/>
          <w:sz w:val="13"/>
        </w:rPr>
        <w:t xml:space="preserve"> </w:t>
      </w:r>
      <w:r>
        <w:rPr>
          <w:sz w:val="13"/>
        </w:rPr>
        <w:t>Tribunal</w:t>
      </w:r>
      <w:r>
        <w:rPr>
          <w:spacing w:val="-3"/>
          <w:sz w:val="13"/>
        </w:rPr>
        <w:t xml:space="preserve"> </w:t>
      </w:r>
      <w:r>
        <w:rPr>
          <w:sz w:val="13"/>
        </w:rPr>
        <w:t>Europeo</w:t>
      </w:r>
      <w:r>
        <w:rPr>
          <w:spacing w:val="-3"/>
          <w:sz w:val="13"/>
        </w:rPr>
        <w:t xml:space="preserve"> </w:t>
      </w:r>
      <w:r>
        <w:rPr>
          <w:sz w:val="13"/>
        </w:rPr>
        <w:t>de</w:t>
      </w:r>
      <w:r>
        <w:rPr>
          <w:spacing w:val="40"/>
          <w:sz w:val="13"/>
        </w:rPr>
        <w:t xml:space="preserve"> </w:t>
      </w:r>
      <w:r>
        <w:rPr>
          <w:sz w:val="13"/>
        </w:rPr>
        <w:t xml:space="preserve">Derechos Humanos, </w:t>
      </w:r>
      <w:proofErr w:type="spellStart"/>
      <w:r>
        <w:rPr>
          <w:sz w:val="13"/>
        </w:rPr>
        <w:t>Konstantin</w:t>
      </w:r>
      <w:proofErr w:type="spellEnd"/>
      <w:r>
        <w:rPr>
          <w:sz w:val="13"/>
        </w:rPr>
        <w:t xml:space="preserve"> </w:t>
      </w:r>
      <w:proofErr w:type="spellStart"/>
      <w:r>
        <w:rPr>
          <w:sz w:val="13"/>
        </w:rPr>
        <w:t>Markin</w:t>
      </w:r>
      <w:proofErr w:type="spellEnd"/>
      <w:r>
        <w:rPr>
          <w:sz w:val="13"/>
        </w:rPr>
        <w:t xml:space="preserve"> c. Rusia, solicitud n.º 30078/06, sentencia de 22 de marzo de 2012, párr. 127. En Morales de Sierra vs.</w:t>
      </w:r>
    </w:p>
    <w:p w14:paraId="7F1CEFCC" w14:textId="77777777" w:rsidR="0014798C" w:rsidRDefault="004E1F0B">
      <w:pPr>
        <w:spacing w:line="288" w:lineRule="auto"/>
        <w:ind w:left="1366" w:right="1626" w:firstLine="1"/>
        <w:rPr>
          <w:sz w:val="13"/>
        </w:rPr>
      </w:pPr>
      <w:r>
        <w:rPr>
          <w:sz w:val="13"/>
        </w:rPr>
        <w:t>Guatemala,</w:t>
      </w:r>
      <w:r>
        <w:rPr>
          <w:spacing w:val="-2"/>
          <w:sz w:val="13"/>
        </w:rPr>
        <w:t xml:space="preserve"> </w:t>
      </w:r>
      <w:r>
        <w:rPr>
          <w:sz w:val="13"/>
        </w:rPr>
        <w:t>la</w:t>
      </w:r>
      <w:r>
        <w:rPr>
          <w:spacing w:val="-3"/>
          <w:sz w:val="13"/>
        </w:rPr>
        <w:t xml:space="preserve"> </w:t>
      </w:r>
      <w:r>
        <w:rPr>
          <w:sz w:val="13"/>
        </w:rPr>
        <w:t>Comisión</w:t>
      </w:r>
      <w:r>
        <w:rPr>
          <w:spacing w:val="-3"/>
          <w:sz w:val="13"/>
        </w:rPr>
        <w:t xml:space="preserve"> </w:t>
      </w:r>
      <w:r>
        <w:rPr>
          <w:sz w:val="13"/>
        </w:rPr>
        <w:t>Interamericana</w:t>
      </w:r>
      <w:r>
        <w:rPr>
          <w:spacing w:val="-3"/>
          <w:sz w:val="13"/>
        </w:rPr>
        <w:t xml:space="preserve"> </w:t>
      </w:r>
      <w:r>
        <w:rPr>
          <w:sz w:val="13"/>
        </w:rPr>
        <w:t>sostuvo</w:t>
      </w:r>
      <w:r>
        <w:rPr>
          <w:spacing w:val="-3"/>
          <w:sz w:val="13"/>
        </w:rPr>
        <w:t xml:space="preserve"> </w:t>
      </w:r>
      <w:r>
        <w:rPr>
          <w:sz w:val="13"/>
        </w:rPr>
        <w:t>que</w:t>
      </w:r>
      <w:r>
        <w:rPr>
          <w:spacing w:val="-3"/>
          <w:sz w:val="13"/>
        </w:rPr>
        <w:t xml:space="preserve"> </w:t>
      </w:r>
      <w:r>
        <w:rPr>
          <w:sz w:val="13"/>
        </w:rPr>
        <w:t>las</w:t>
      </w:r>
      <w:r>
        <w:rPr>
          <w:spacing w:val="-3"/>
          <w:sz w:val="13"/>
        </w:rPr>
        <w:t xml:space="preserve"> </w:t>
      </w:r>
      <w:r>
        <w:rPr>
          <w:sz w:val="13"/>
        </w:rPr>
        <w:t>“distinciones</w:t>
      </w:r>
      <w:r>
        <w:rPr>
          <w:spacing w:val="-3"/>
          <w:sz w:val="13"/>
        </w:rPr>
        <w:t xml:space="preserve"> </w:t>
      </w:r>
      <w:r>
        <w:rPr>
          <w:sz w:val="13"/>
        </w:rPr>
        <w:t>basadas</w:t>
      </w:r>
      <w:r>
        <w:rPr>
          <w:spacing w:val="-3"/>
          <w:sz w:val="13"/>
        </w:rPr>
        <w:t xml:space="preserve"> </w:t>
      </w:r>
      <w:r>
        <w:rPr>
          <w:sz w:val="13"/>
        </w:rPr>
        <w:t>en</w:t>
      </w:r>
      <w:r>
        <w:rPr>
          <w:spacing w:val="-3"/>
          <w:sz w:val="13"/>
        </w:rPr>
        <w:t xml:space="preserve"> </w:t>
      </w:r>
      <w:r>
        <w:rPr>
          <w:sz w:val="13"/>
        </w:rPr>
        <w:t>género”</w:t>
      </w:r>
      <w:r>
        <w:rPr>
          <w:spacing w:val="-3"/>
          <w:sz w:val="13"/>
        </w:rPr>
        <w:t xml:space="preserve"> </w:t>
      </w:r>
      <w:r>
        <w:rPr>
          <w:sz w:val="13"/>
        </w:rPr>
        <w:t>que</w:t>
      </w:r>
      <w:r>
        <w:rPr>
          <w:spacing w:val="-3"/>
          <w:sz w:val="13"/>
        </w:rPr>
        <w:t xml:space="preserve"> </w:t>
      </w:r>
      <w:r>
        <w:rPr>
          <w:sz w:val="13"/>
        </w:rPr>
        <w:t>habían</w:t>
      </w:r>
      <w:r>
        <w:rPr>
          <w:spacing w:val="-3"/>
          <w:sz w:val="13"/>
        </w:rPr>
        <w:t xml:space="preserve"> </w:t>
      </w:r>
      <w:r>
        <w:rPr>
          <w:sz w:val="13"/>
        </w:rPr>
        <w:t>sido</w:t>
      </w:r>
      <w:r>
        <w:rPr>
          <w:spacing w:val="-3"/>
          <w:sz w:val="13"/>
        </w:rPr>
        <w:t xml:space="preserve"> </w:t>
      </w:r>
      <w:r>
        <w:rPr>
          <w:sz w:val="13"/>
        </w:rPr>
        <w:t>mantenidas</w:t>
      </w:r>
      <w:r>
        <w:rPr>
          <w:spacing w:val="-3"/>
          <w:sz w:val="13"/>
        </w:rPr>
        <w:t xml:space="preserve"> </w:t>
      </w:r>
      <w:r>
        <w:rPr>
          <w:sz w:val="13"/>
        </w:rPr>
        <w:t>“como</w:t>
      </w:r>
      <w:r>
        <w:rPr>
          <w:spacing w:val="-3"/>
          <w:sz w:val="13"/>
        </w:rPr>
        <w:t xml:space="preserve"> </w:t>
      </w:r>
      <w:r>
        <w:rPr>
          <w:sz w:val="13"/>
        </w:rPr>
        <w:t>una</w:t>
      </w:r>
      <w:r>
        <w:rPr>
          <w:spacing w:val="-3"/>
          <w:sz w:val="13"/>
        </w:rPr>
        <w:t xml:space="preserve"> </w:t>
      </w:r>
      <w:r>
        <w:rPr>
          <w:sz w:val="13"/>
        </w:rPr>
        <w:t>cuestión</w:t>
      </w:r>
      <w:r>
        <w:rPr>
          <w:spacing w:val="-3"/>
          <w:sz w:val="13"/>
        </w:rPr>
        <w:t xml:space="preserve"> </w:t>
      </w:r>
      <w:r>
        <w:rPr>
          <w:sz w:val="13"/>
        </w:rPr>
        <w:t>de</w:t>
      </w:r>
      <w:r>
        <w:rPr>
          <w:spacing w:val="-3"/>
          <w:sz w:val="13"/>
        </w:rPr>
        <w:t xml:space="preserve"> </w:t>
      </w:r>
      <w:r>
        <w:rPr>
          <w:sz w:val="13"/>
        </w:rPr>
        <w:t>derecho</w:t>
      </w:r>
      <w:r>
        <w:rPr>
          <w:spacing w:val="40"/>
          <w:sz w:val="13"/>
        </w:rPr>
        <w:t xml:space="preserve"> </w:t>
      </w:r>
      <w:r>
        <w:rPr>
          <w:sz w:val="13"/>
        </w:rPr>
        <w:t>interno esencialmente sobre la base de... el respeto a los valores tradicionales guatemaltecos, y... "La necesidad de proteger a las mujeres en su</w:t>
      </w:r>
      <w:r>
        <w:rPr>
          <w:spacing w:val="40"/>
          <w:sz w:val="13"/>
        </w:rPr>
        <w:t xml:space="preserve"> </w:t>
      </w:r>
      <w:r>
        <w:rPr>
          <w:sz w:val="13"/>
        </w:rPr>
        <w:t>calidad de esposas y madres" no podría justificarse. Véase Comisión Interamericana de Derechos Humanos, Morales de Sierra vs. Guatemala, Caso</w:t>
      </w:r>
      <w:r>
        <w:rPr>
          <w:spacing w:val="40"/>
          <w:sz w:val="13"/>
        </w:rPr>
        <w:t xml:space="preserve"> </w:t>
      </w:r>
      <w:r>
        <w:rPr>
          <w:sz w:val="13"/>
        </w:rPr>
        <w:t xml:space="preserve">11.625, Informe No. 4/01, 19 de enero de 2001, </w:t>
      </w:r>
      <w:proofErr w:type="spellStart"/>
      <w:r>
        <w:rPr>
          <w:sz w:val="13"/>
        </w:rPr>
        <w:t>párrs</w:t>
      </w:r>
      <w:proofErr w:type="spellEnd"/>
      <w:r>
        <w:rPr>
          <w:sz w:val="13"/>
        </w:rPr>
        <w:t>. 31, 37 y 39, en 37.</w:t>
      </w:r>
    </w:p>
    <w:p w14:paraId="14286803" w14:textId="77777777" w:rsidR="0014798C" w:rsidRDefault="004E1F0B">
      <w:pPr>
        <w:spacing w:before="52" w:line="288" w:lineRule="auto"/>
        <w:ind w:left="1366" w:right="1648" w:hanging="261"/>
        <w:rPr>
          <w:sz w:val="13"/>
        </w:rPr>
      </w:pPr>
      <w:r>
        <w:rPr>
          <w:sz w:val="13"/>
          <w:vertAlign w:val="superscript"/>
        </w:rPr>
        <w:t>430</w:t>
      </w:r>
      <w:r>
        <w:rPr>
          <w:spacing w:val="80"/>
          <w:sz w:val="13"/>
        </w:rPr>
        <w:t xml:space="preserve"> </w:t>
      </w:r>
      <w:r>
        <w:rPr>
          <w:sz w:val="13"/>
        </w:rPr>
        <w:t>Véase,</w:t>
      </w:r>
      <w:r>
        <w:rPr>
          <w:spacing w:val="-1"/>
          <w:sz w:val="13"/>
        </w:rPr>
        <w:t xml:space="preserve"> </w:t>
      </w:r>
      <w:r>
        <w:rPr>
          <w:sz w:val="13"/>
        </w:rPr>
        <w:t>por</w:t>
      </w:r>
      <w:r>
        <w:rPr>
          <w:spacing w:val="-2"/>
          <w:sz w:val="13"/>
        </w:rPr>
        <w:t xml:space="preserve"> </w:t>
      </w:r>
      <w:r>
        <w:rPr>
          <w:sz w:val="13"/>
        </w:rPr>
        <w:t>ejemplo,</w:t>
      </w:r>
      <w:r>
        <w:rPr>
          <w:spacing w:val="-1"/>
          <w:sz w:val="13"/>
        </w:rPr>
        <w:t xml:space="preserve"> </w:t>
      </w:r>
      <w:r>
        <w:rPr>
          <w:sz w:val="13"/>
        </w:rPr>
        <w:t>Tribunal</w:t>
      </w:r>
      <w:r>
        <w:rPr>
          <w:spacing w:val="-2"/>
          <w:sz w:val="13"/>
        </w:rPr>
        <w:t xml:space="preserve"> </w:t>
      </w:r>
      <w:r>
        <w:rPr>
          <w:sz w:val="13"/>
        </w:rPr>
        <w:t>de</w:t>
      </w:r>
      <w:r>
        <w:rPr>
          <w:spacing w:val="-2"/>
          <w:sz w:val="13"/>
        </w:rPr>
        <w:t xml:space="preserve"> </w:t>
      </w:r>
      <w:r>
        <w:rPr>
          <w:sz w:val="13"/>
        </w:rPr>
        <w:t>Justicia</w:t>
      </w:r>
      <w:r>
        <w:rPr>
          <w:spacing w:val="-2"/>
          <w:sz w:val="13"/>
        </w:rPr>
        <w:t xml:space="preserve"> </w:t>
      </w:r>
      <w:r>
        <w:rPr>
          <w:sz w:val="13"/>
        </w:rPr>
        <w:t>de</w:t>
      </w:r>
      <w:r>
        <w:rPr>
          <w:spacing w:val="-2"/>
          <w:sz w:val="13"/>
        </w:rPr>
        <w:t xml:space="preserve"> </w:t>
      </w:r>
      <w:r>
        <w:rPr>
          <w:sz w:val="13"/>
        </w:rPr>
        <w:t>la</w:t>
      </w:r>
      <w:r>
        <w:rPr>
          <w:spacing w:val="-2"/>
          <w:sz w:val="13"/>
        </w:rPr>
        <w:t xml:space="preserve"> </w:t>
      </w:r>
      <w:r>
        <w:rPr>
          <w:sz w:val="13"/>
        </w:rPr>
        <w:t>Unión</w:t>
      </w:r>
      <w:r>
        <w:rPr>
          <w:spacing w:val="-2"/>
          <w:sz w:val="13"/>
        </w:rPr>
        <w:t xml:space="preserve"> </w:t>
      </w:r>
      <w:r>
        <w:rPr>
          <w:sz w:val="13"/>
        </w:rPr>
        <w:t>Europea,</w:t>
      </w:r>
      <w:r>
        <w:rPr>
          <w:spacing w:val="-1"/>
          <w:sz w:val="13"/>
        </w:rPr>
        <w:t xml:space="preserve"> </w:t>
      </w:r>
      <w:proofErr w:type="spellStart"/>
      <w:r>
        <w:rPr>
          <w:sz w:val="13"/>
        </w:rPr>
        <w:t>Centrum</w:t>
      </w:r>
      <w:proofErr w:type="spellEnd"/>
      <w:r>
        <w:rPr>
          <w:spacing w:val="-2"/>
          <w:sz w:val="13"/>
        </w:rPr>
        <w:t xml:space="preserve"> </w:t>
      </w:r>
      <w:proofErr w:type="spellStart"/>
      <w:r>
        <w:rPr>
          <w:sz w:val="13"/>
        </w:rPr>
        <w:t>voor</w:t>
      </w:r>
      <w:proofErr w:type="spellEnd"/>
      <w:r>
        <w:rPr>
          <w:spacing w:val="-2"/>
          <w:sz w:val="13"/>
        </w:rPr>
        <w:t xml:space="preserve"> </w:t>
      </w:r>
      <w:proofErr w:type="spellStart"/>
      <w:r>
        <w:rPr>
          <w:sz w:val="13"/>
        </w:rPr>
        <w:t>gelijkheid</w:t>
      </w:r>
      <w:proofErr w:type="spellEnd"/>
      <w:r>
        <w:rPr>
          <w:spacing w:val="-2"/>
          <w:sz w:val="13"/>
        </w:rPr>
        <w:t xml:space="preserve"> </w:t>
      </w:r>
      <w:r>
        <w:rPr>
          <w:sz w:val="13"/>
        </w:rPr>
        <w:t>van</w:t>
      </w:r>
      <w:r>
        <w:rPr>
          <w:spacing w:val="-2"/>
          <w:sz w:val="13"/>
        </w:rPr>
        <w:t xml:space="preserve"> </w:t>
      </w:r>
      <w:proofErr w:type="spellStart"/>
      <w:r>
        <w:rPr>
          <w:sz w:val="13"/>
        </w:rPr>
        <w:t>kansen</w:t>
      </w:r>
      <w:proofErr w:type="spellEnd"/>
      <w:r>
        <w:rPr>
          <w:spacing w:val="-2"/>
          <w:sz w:val="13"/>
        </w:rPr>
        <w:t xml:space="preserve"> </w:t>
      </w:r>
      <w:r>
        <w:rPr>
          <w:sz w:val="13"/>
        </w:rPr>
        <w:t>en</w:t>
      </w:r>
      <w:r>
        <w:rPr>
          <w:spacing w:val="-2"/>
          <w:sz w:val="13"/>
        </w:rPr>
        <w:t xml:space="preserve"> </w:t>
      </w:r>
      <w:proofErr w:type="spellStart"/>
      <w:r>
        <w:rPr>
          <w:sz w:val="13"/>
        </w:rPr>
        <w:t>voor</w:t>
      </w:r>
      <w:proofErr w:type="spellEnd"/>
      <w:r>
        <w:rPr>
          <w:spacing w:val="-2"/>
          <w:sz w:val="13"/>
        </w:rPr>
        <w:t xml:space="preserve"> </w:t>
      </w:r>
      <w:proofErr w:type="spellStart"/>
      <w:r>
        <w:rPr>
          <w:sz w:val="13"/>
        </w:rPr>
        <w:t>racismebestrijding</w:t>
      </w:r>
      <w:proofErr w:type="spellEnd"/>
      <w:r>
        <w:rPr>
          <w:spacing w:val="-2"/>
          <w:sz w:val="13"/>
        </w:rPr>
        <w:t xml:space="preserve"> </w:t>
      </w:r>
      <w:r>
        <w:rPr>
          <w:sz w:val="13"/>
        </w:rPr>
        <w:t>v.</w:t>
      </w:r>
      <w:r>
        <w:rPr>
          <w:spacing w:val="-2"/>
          <w:sz w:val="13"/>
        </w:rPr>
        <w:t xml:space="preserve"> </w:t>
      </w:r>
      <w:r>
        <w:rPr>
          <w:sz w:val="13"/>
        </w:rPr>
        <w:t>Firma</w:t>
      </w:r>
      <w:r>
        <w:rPr>
          <w:spacing w:val="-2"/>
          <w:sz w:val="13"/>
        </w:rPr>
        <w:t xml:space="preserve"> </w:t>
      </w:r>
      <w:proofErr w:type="spellStart"/>
      <w:r>
        <w:rPr>
          <w:sz w:val="13"/>
        </w:rPr>
        <w:t>Feryn</w:t>
      </w:r>
      <w:proofErr w:type="spellEnd"/>
      <w:r>
        <w:rPr>
          <w:spacing w:val="-2"/>
          <w:sz w:val="13"/>
        </w:rPr>
        <w:t xml:space="preserve"> </w:t>
      </w:r>
      <w:r>
        <w:rPr>
          <w:sz w:val="13"/>
        </w:rPr>
        <w:t>NV,</w:t>
      </w:r>
      <w:r>
        <w:rPr>
          <w:spacing w:val="-2"/>
          <w:sz w:val="13"/>
        </w:rPr>
        <w:t xml:space="preserve"> </w:t>
      </w:r>
      <w:r>
        <w:rPr>
          <w:sz w:val="13"/>
        </w:rPr>
        <w:t>Caso</w:t>
      </w:r>
      <w:r>
        <w:rPr>
          <w:spacing w:val="40"/>
          <w:sz w:val="13"/>
        </w:rPr>
        <w:t xml:space="preserve"> </w:t>
      </w:r>
      <w:r>
        <w:rPr>
          <w:sz w:val="13"/>
        </w:rPr>
        <w:t>C-54/07, Sentencia de 10 de julio de 2008. Véase también el análisis de la intención en la sección IA</w:t>
      </w:r>
      <w:proofErr w:type="gramStart"/>
      <w:r>
        <w:rPr>
          <w:sz w:val="13"/>
        </w:rPr>
        <w:t>2( b</w:t>
      </w:r>
      <w:proofErr w:type="gramEnd"/>
      <w:r>
        <w:rPr>
          <w:sz w:val="13"/>
        </w:rPr>
        <w:t>) de la segunda parte de la presente guía.</w:t>
      </w:r>
    </w:p>
    <w:p w14:paraId="6D2AFB27" w14:textId="77777777" w:rsidR="0014798C" w:rsidRDefault="004E1F0B">
      <w:pPr>
        <w:spacing w:before="58" w:line="288" w:lineRule="auto"/>
        <w:ind w:left="1366" w:right="1725" w:hanging="261"/>
        <w:rPr>
          <w:sz w:val="13"/>
        </w:rPr>
      </w:pPr>
      <w:r>
        <w:rPr>
          <w:sz w:val="13"/>
          <w:vertAlign w:val="superscript"/>
        </w:rPr>
        <w:t>431</w:t>
      </w:r>
      <w:r>
        <w:rPr>
          <w:spacing w:val="79"/>
          <w:sz w:val="13"/>
        </w:rPr>
        <w:t xml:space="preserve"> </w:t>
      </w:r>
      <w:r>
        <w:rPr>
          <w:sz w:val="13"/>
        </w:rPr>
        <w:t>Véase,</w:t>
      </w:r>
      <w:r>
        <w:rPr>
          <w:spacing w:val="-3"/>
          <w:sz w:val="13"/>
        </w:rPr>
        <w:t xml:space="preserve"> </w:t>
      </w:r>
      <w:r>
        <w:rPr>
          <w:sz w:val="13"/>
        </w:rPr>
        <w:t>por</w:t>
      </w:r>
      <w:r>
        <w:rPr>
          <w:spacing w:val="-4"/>
          <w:sz w:val="13"/>
        </w:rPr>
        <w:t xml:space="preserve"> </w:t>
      </w:r>
      <w:r>
        <w:rPr>
          <w:sz w:val="13"/>
        </w:rPr>
        <w:t>ejemplo,</w:t>
      </w:r>
      <w:r>
        <w:rPr>
          <w:spacing w:val="-3"/>
          <w:sz w:val="13"/>
        </w:rPr>
        <w:t xml:space="preserve"> </w:t>
      </w:r>
      <w:r>
        <w:rPr>
          <w:sz w:val="13"/>
        </w:rPr>
        <w:t>Comité</w:t>
      </w:r>
      <w:r>
        <w:rPr>
          <w:spacing w:val="-4"/>
          <w:sz w:val="13"/>
        </w:rPr>
        <w:t xml:space="preserve"> </w:t>
      </w:r>
      <w:r>
        <w:rPr>
          <w:sz w:val="13"/>
        </w:rPr>
        <w:t>de</w:t>
      </w:r>
      <w:r>
        <w:rPr>
          <w:spacing w:val="-4"/>
          <w:sz w:val="13"/>
        </w:rPr>
        <w:t xml:space="preserve"> </w:t>
      </w:r>
      <w:r>
        <w:rPr>
          <w:sz w:val="13"/>
        </w:rPr>
        <w:t>Derechos</w:t>
      </w:r>
      <w:r>
        <w:rPr>
          <w:spacing w:val="-4"/>
          <w:sz w:val="13"/>
        </w:rPr>
        <w:t xml:space="preserve"> </w:t>
      </w:r>
      <w:r>
        <w:rPr>
          <w:sz w:val="13"/>
        </w:rPr>
        <w:t>Humanos,</w:t>
      </w:r>
      <w:r>
        <w:rPr>
          <w:spacing w:val="-3"/>
          <w:sz w:val="13"/>
        </w:rPr>
        <w:t xml:space="preserve"> </w:t>
      </w:r>
      <w:proofErr w:type="spellStart"/>
      <w:r>
        <w:rPr>
          <w:sz w:val="13"/>
        </w:rPr>
        <w:t>Yaker</w:t>
      </w:r>
      <w:proofErr w:type="spellEnd"/>
      <w:r>
        <w:rPr>
          <w:spacing w:val="-4"/>
          <w:sz w:val="13"/>
        </w:rPr>
        <w:t xml:space="preserve"> </w:t>
      </w:r>
      <w:r>
        <w:rPr>
          <w:sz w:val="13"/>
        </w:rPr>
        <w:t>c.</w:t>
      </w:r>
      <w:r>
        <w:rPr>
          <w:spacing w:val="-4"/>
          <w:sz w:val="13"/>
        </w:rPr>
        <w:t xml:space="preserve"> </w:t>
      </w:r>
      <w:r>
        <w:rPr>
          <w:sz w:val="13"/>
        </w:rPr>
        <w:t>Francia</w:t>
      </w:r>
      <w:r>
        <w:rPr>
          <w:spacing w:val="-4"/>
          <w:sz w:val="13"/>
        </w:rPr>
        <w:t xml:space="preserve"> </w:t>
      </w:r>
      <w:r>
        <w:rPr>
          <w:sz w:val="13"/>
        </w:rPr>
        <w:t>(CCPR/C/123/D/2747/2016),</w:t>
      </w:r>
      <w:r>
        <w:rPr>
          <w:spacing w:val="-3"/>
          <w:sz w:val="13"/>
        </w:rPr>
        <w:t xml:space="preserve"> </w:t>
      </w:r>
      <w:proofErr w:type="spellStart"/>
      <w:r>
        <w:rPr>
          <w:sz w:val="13"/>
        </w:rPr>
        <w:t>párrs</w:t>
      </w:r>
      <w:proofErr w:type="spellEnd"/>
      <w:r>
        <w:rPr>
          <w:sz w:val="13"/>
        </w:rPr>
        <w:t>.</w:t>
      </w:r>
      <w:r>
        <w:rPr>
          <w:spacing w:val="-3"/>
          <w:sz w:val="13"/>
        </w:rPr>
        <w:t xml:space="preserve"> </w:t>
      </w:r>
      <w:r>
        <w:rPr>
          <w:sz w:val="13"/>
        </w:rPr>
        <w:t>8,7</w:t>
      </w:r>
      <w:r>
        <w:rPr>
          <w:spacing w:val="-4"/>
          <w:sz w:val="13"/>
        </w:rPr>
        <w:t xml:space="preserve"> </w:t>
      </w:r>
      <w:r>
        <w:rPr>
          <w:sz w:val="13"/>
        </w:rPr>
        <w:t>y</w:t>
      </w:r>
      <w:r>
        <w:rPr>
          <w:spacing w:val="-4"/>
          <w:sz w:val="13"/>
        </w:rPr>
        <w:t xml:space="preserve"> </w:t>
      </w:r>
      <w:r>
        <w:rPr>
          <w:sz w:val="13"/>
        </w:rPr>
        <w:t>8,15;</w:t>
      </w:r>
      <w:r>
        <w:rPr>
          <w:spacing w:val="-3"/>
          <w:sz w:val="13"/>
        </w:rPr>
        <w:t xml:space="preserve"> </w:t>
      </w:r>
      <w:r>
        <w:rPr>
          <w:sz w:val="13"/>
        </w:rPr>
        <w:t>Comité</w:t>
      </w:r>
      <w:r>
        <w:rPr>
          <w:spacing w:val="-4"/>
          <w:sz w:val="13"/>
        </w:rPr>
        <w:t xml:space="preserve"> </w:t>
      </w:r>
      <w:r>
        <w:rPr>
          <w:sz w:val="13"/>
        </w:rPr>
        <w:t>de</w:t>
      </w:r>
      <w:r>
        <w:rPr>
          <w:spacing w:val="-4"/>
          <w:sz w:val="13"/>
        </w:rPr>
        <w:t xml:space="preserve"> </w:t>
      </w:r>
      <w:r>
        <w:rPr>
          <w:sz w:val="13"/>
        </w:rPr>
        <w:t>Derechos</w:t>
      </w:r>
      <w:r>
        <w:rPr>
          <w:spacing w:val="-4"/>
          <w:sz w:val="13"/>
        </w:rPr>
        <w:t xml:space="preserve"> </w:t>
      </w:r>
      <w:r>
        <w:rPr>
          <w:sz w:val="13"/>
        </w:rPr>
        <w:t>Humanos,</w:t>
      </w:r>
      <w:r>
        <w:rPr>
          <w:spacing w:val="40"/>
          <w:sz w:val="13"/>
        </w:rPr>
        <w:t xml:space="preserve"> </w:t>
      </w:r>
      <w:proofErr w:type="spellStart"/>
      <w:r>
        <w:rPr>
          <w:sz w:val="13"/>
        </w:rPr>
        <w:t>Fedotova</w:t>
      </w:r>
      <w:proofErr w:type="spellEnd"/>
      <w:r>
        <w:rPr>
          <w:spacing w:val="-5"/>
          <w:sz w:val="13"/>
        </w:rPr>
        <w:t xml:space="preserve"> </w:t>
      </w:r>
      <w:r>
        <w:rPr>
          <w:sz w:val="13"/>
        </w:rPr>
        <w:t>c.</w:t>
      </w:r>
      <w:r>
        <w:rPr>
          <w:spacing w:val="-5"/>
          <w:sz w:val="13"/>
        </w:rPr>
        <w:t xml:space="preserve"> </w:t>
      </w:r>
      <w:r>
        <w:rPr>
          <w:sz w:val="13"/>
        </w:rPr>
        <w:t>Federación</w:t>
      </w:r>
      <w:r>
        <w:rPr>
          <w:spacing w:val="-5"/>
          <w:sz w:val="13"/>
        </w:rPr>
        <w:t xml:space="preserve"> </w:t>
      </w:r>
      <w:r>
        <w:rPr>
          <w:sz w:val="13"/>
        </w:rPr>
        <w:t>de</w:t>
      </w:r>
      <w:r>
        <w:rPr>
          <w:spacing w:val="-5"/>
          <w:sz w:val="13"/>
        </w:rPr>
        <w:t xml:space="preserve"> </w:t>
      </w:r>
      <w:r>
        <w:rPr>
          <w:sz w:val="13"/>
        </w:rPr>
        <w:t>Rusia</w:t>
      </w:r>
      <w:r>
        <w:rPr>
          <w:spacing w:val="-5"/>
          <w:sz w:val="13"/>
        </w:rPr>
        <w:t xml:space="preserve"> </w:t>
      </w:r>
      <w:r>
        <w:rPr>
          <w:sz w:val="13"/>
        </w:rPr>
        <w:t>(CCPR/C/106/D/1932/2010),</w:t>
      </w:r>
      <w:r>
        <w:rPr>
          <w:spacing w:val="-4"/>
          <w:sz w:val="13"/>
        </w:rPr>
        <w:t xml:space="preserve"> </w:t>
      </w:r>
      <w:r>
        <w:rPr>
          <w:sz w:val="13"/>
        </w:rPr>
        <w:t>párr.</w:t>
      </w:r>
      <w:r>
        <w:rPr>
          <w:spacing w:val="-4"/>
          <w:sz w:val="13"/>
        </w:rPr>
        <w:t xml:space="preserve"> </w:t>
      </w:r>
      <w:r>
        <w:rPr>
          <w:sz w:val="13"/>
        </w:rPr>
        <w:t>10,6;</w:t>
      </w:r>
      <w:r>
        <w:rPr>
          <w:spacing w:val="-4"/>
          <w:sz w:val="13"/>
        </w:rPr>
        <w:t xml:space="preserve"> </w:t>
      </w:r>
      <w:r>
        <w:rPr>
          <w:sz w:val="13"/>
        </w:rPr>
        <w:t>Comisión</w:t>
      </w:r>
      <w:r>
        <w:rPr>
          <w:spacing w:val="-5"/>
          <w:sz w:val="13"/>
        </w:rPr>
        <w:t xml:space="preserve"> </w:t>
      </w:r>
      <w:r>
        <w:rPr>
          <w:sz w:val="13"/>
        </w:rPr>
        <w:t>Africana</w:t>
      </w:r>
      <w:r>
        <w:rPr>
          <w:spacing w:val="-5"/>
          <w:sz w:val="13"/>
        </w:rPr>
        <w:t xml:space="preserve"> </w:t>
      </w:r>
      <w:r>
        <w:rPr>
          <w:sz w:val="13"/>
        </w:rPr>
        <w:t>de</w:t>
      </w:r>
      <w:r>
        <w:rPr>
          <w:spacing w:val="-5"/>
          <w:sz w:val="13"/>
        </w:rPr>
        <w:t xml:space="preserve"> </w:t>
      </w:r>
      <w:r>
        <w:rPr>
          <w:sz w:val="13"/>
        </w:rPr>
        <w:t>Derechos</w:t>
      </w:r>
      <w:r>
        <w:rPr>
          <w:spacing w:val="-5"/>
          <w:sz w:val="13"/>
        </w:rPr>
        <w:t xml:space="preserve"> </w:t>
      </w:r>
      <w:r>
        <w:rPr>
          <w:sz w:val="13"/>
        </w:rPr>
        <w:t>Humanos</w:t>
      </w:r>
      <w:r>
        <w:rPr>
          <w:spacing w:val="-5"/>
          <w:sz w:val="13"/>
        </w:rPr>
        <w:t xml:space="preserve"> </w:t>
      </w:r>
      <w:r>
        <w:rPr>
          <w:sz w:val="13"/>
        </w:rPr>
        <w:t>y</w:t>
      </w:r>
      <w:r>
        <w:rPr>
          <w:spacing w:val="-5"/>
          <w:sz w:val="13"/>
        </w:rPr>
        <w:t xml:space="preserve"> </w:t>
      </w:r>
      <w:r>
        <w:rPr>
          <w:sz w:val="13"/>
        </w:rPr>
        <w:t>de</w:t>
      </w:r>
      <w:r>
        <w:rPr>
          <w:spacing w:val="-5"/>
          <w:sz w:val="13"/>
        </w:rPr>
        <w:t xml:space="preserve"> </w:t>
      </w:r>
      <w:r>
        <w:rPr>
          <w:sz w:val="13"/>
        </w:rPr>
        <w:t>los</w:t>
      </w:r>
      <w:r>
        <w:rPr>
          <w:spacing w:val="-5"/>
          <w:sz w:val="13"/>
        </w:rPr>
        <w:t xml:space="preserve"> </w:t>
      </w:r>
      <w:r>
        <w:rPr>
          <w:sz w:val="13"/>
        </w:rPr>
        <w:t>Pueblos,</w:t>
      </w:r>
      <w:r>
        <w:rPr>
          <w:spacing w:val="-4"/>
          <w:sz w:val="13"/>
        </w:rPr>
        <w:t xml:space="preserve"> </w:t>
      </w:r>
      <w:r>
        <w:rPr>
          <w:sz w:val="13"/>
        </w:rPr>
        <w:t>Good</w:t>
      </w:r>
      <w:r>
        <w:rPr>
          <w:spacing w:val="-5"/>
          <w:sz w:val="13"/>
        </w:rPr>
        <w:t xml:space="preserve"> </w:t>
      </w:r>
      <w:r>
        <w:rPr>
          <w:sz w:val="13"/>
        </w:rPr>
        <w:t>v.</w:t>
      </w:r>
      <w:r>
        <w:rPr>
          <w:spacing w:val="40"/>
          <w:sz w:val="13"/>
        </w:rPr>
        <w:t xml:space="preserve"> </w:t>
      </w:r>
      <w:proofErr w:type="spellStart"/>
      <w:r>
        <w:rPr>
          <w:sz w:val="13"/>
        </w:rPr>
        <w:t>Republic</w:t>
      </w:r>
      <w:proofErr w:type="spellEnd"/>
      <w:r>
        <w:rPr>
          <w:spacing w:val="-9"/>
          <w:sz w:val="13"/>
        </w:rPr>
        <w:t xml:space="preserve"> </w:t>
      </w:r>
      <w:r>
        <w:rPr>
          <w:sz w:val="13"/>
        </w:rPr>
        <w:t>of</w:t>
      </w:r>
      <w:r>
        <w:rPr>
          <w:spacing w:val="-9"/>
          <w:sz w:val="13"/>
        </w:rPr>
        <w:t xml:space="preserve"> </w:t>
      </w:r>
      <w:proofErr w:type="spellStart"/>
      <w:r>
        <w:rPr>
          <w:sz w:val="13"/>
        </w:rPr>
        <w:t>Botswana</w:t>
      </w:r>
      <w:proofErr w:type="spellEnd"/>
      <w:r>
        <w:rPr>
          <w:sz w:val="13"/>
        </w:rPr>
        <w:t>,</w:t>
      </w:r>
      <w:r>
        <w:rPr>
          <w:spacing w:val="-8"/>
          <w:sz w:val="13"/>
        </w:rPr>
        <w:t xml:space="preserve"> </w:t>
      </w:r>
      <w:r>
        <w:rPr>
          <w:sz w:val="13"/>
        </w:rPr>
        <w:t>comunicación</w:t>
      </w:r>
      <w:r>
        <w:rPr>
          <w:spacing w:val="-9"/>
          <w:sz w:val="13"/>
        </w:rPr>
        <w:t xml:space="preserve"> </w:t>
      </w:r>
      <w:r>
        <w:rPr>
          <w:sz w:val="13"/>
        </w:rPr>
        <w:t>No.</w:t>
      </w:r>
      <w:r>
        <w:rPr>
          <w:spacing w:val="-8"/>
          <w:sz w:val="13"/>
        </w:rPr>
        <w:t xml:space="preserve"> </w:t>
      </w:r>
      <w:r>
        <w:rPr>
          <w:sz w:val="13"/>
        </w:rPr>
        <w:t>313/05,</w:t>
      </w:r>
      <w:r>
        <w:rPr>
          <w:spacing w:val="-8"/>
          <w:sz w:val="13"/>
        </w:rPr>
        <w:t xml:space="preserve"> </w:t>
      </w:r>
      <w:r>
        <w:rPr>
          <w:sz w:val="13"/>
        </w:rPr>
        <w:t>Decisión,</w:t>
      </w:r>
      <w:r>
        <w:rPr>
          <w:spacing w:val="-8"/>
          <w:sz w:val="13"/>
        </w:rPr>
        <w:t xml:space="preserve"> </w:t>
      </w:r>
      <w:r>
        <w:rPr>
          <w:sz w:val="13"/>
        </w:rPr>
        <w:t>12</w:t>
      </w:r>
      <w:r>
        <w:rPr>
          <w:spacing w:val="-9"/>
          <w:sz w:val="13"/>
        </w:rPr>
        <w:t xml:space="preserve"> </w:t>
      </w:r>
      <w:r>
        <w:rPr>
          <w:sz w:val="13"/>
        </w:rPr>
        <w:t>a</w:t>
      </w:r>
      <w:r>
        <w:rPr>
          <w:spacing w:val="-9"/>
          <w:sz w:val="13"/>
        </w:rPr>
        <w:t xml:space="preserve"> </w:t>
      </w:r>
      <w:r>
        <w:rPr>
          <w:sz w:val="13"/>
        </w:rPr>
        <w:t>26</w:t>
      </w:r>
      <w:r>
        <w:rPr>
          <w:spacing w:val="-8"/>
          <w:sz w:val="13"/>
        </w:rPr>
        <w:t xml:space="preserve"> </w:t>
      </w:r>
      <w:r>
        <w:rPr>
          <w:sz w:val="13"/>
        </w:rPr>
        <w:t>de</w:t>
      </w:r>
      <w:r>
        <w:rPr>
          <w:spacing w:val="-9"/>
          <w:sz w:val="13"/>
        </w:rPr>
        <w:t xml:space="preserve"> </w:t>
      </w:r>
      <w:r>
        <w:rPr>
          <w:sz w:val="13"/>
        </w:rPr>
        <w:t>mayo</w:t>
      </w:r>
      <w:r>
        <w:rPr>
          <w:spacing w:val="-9"/>
          <w:sz w:val="13"/>
        </w:rPr>
        <w:t xml:space="preserve"> </w:t>
      </w:r>
      <w:r>
        <w:rPr>
          <w:sz w:val="13"/>
        </w:rPr>
        <w:t>de</w:t>
      </w:r>
      <w:r>
        <w:rPr>
          <w:spacing w:val="-9"/>
          <w:sz w:val="13"/>
        </w:rPr>
        <w:t xml:space="preserve"> </w:t>
      </w:r>
      <w:r>
        <w:rPr>
          <w:sz w:val="13"/>
        </w:rPr>
        <w:t>2010,</w:t>
      </w:r>
      <w:r>
        <w:rPr>
          <w:spacing w:val="-7"/>
          <w:sz w:val="13"/>
        </w:rPr>
        <w:t xml:space="preserve"> </w:t>
      </w:r>
      <w:r>
        <w:rPr>
          <w:sz w:val="13"/>
        </w:rPr>
        <w:t>párr.</w:t>
      </w:r>
      <w:r>
        <w:rPr>
          <w:spacing w:val="-8"/>
          <w:sz w:val="13"/>
        </w:rPr>
        <w:t xml:space="preserve"> </w:t>
      </w:r>
      <w:r>
        <w:rPr>
          <w:sz w:val="13"/>
        </w:rPr>
        <w:t>224;</w:t>
      </w:r>
      <w:r>
        <w:rPr>
          <w:spacing w:val="-8"/>
          <w:sz w:val="13"/>
        </w:rPr>
        <w:t xml:space="preserve"> </w:t>
      </w:r>
      <w:r>
        <w:rPr>
          <w:sz w:val="13"/>
        </w:rPr>
        <w:t>Tribunal</w:t>
      </w:r>
      <w:r>
        <w:rPr>
          <w:spacing w:val="-9"/>
          <w:sz w:val="13"/>
        </w:rPr>
        <w:t xml:space="preserve"> </w:t>
      </w:r>
      <w:r>
        <w:rPr>
          <w:sz w:val="13"/>
        </w:rPr>
        <w:t>de</w:t>
      </w:r>
      <w:r>
        <w:rPr>
          <w:spacing w:val="-9"/>
          <w:sz w:val="13"/>
        </w:rPr>
        <w:t xml:space="preserve"> </w:t>
      </w:r>
      <w:r>
        <w:rPr>
          <w:sz w:val="13"/>
        </w:rPr>
        <w:t>Justicia</w:t>
      </w:r>
      <w:r>
        <w:rPr>
          <w:spacing w:val="-9"/>
          <w:sz w:val="13"/>
        </w:rPr>
        <w:t xml:space="preserve"> </w:t>
      </w:r>
      <w:r>
        <w:rPr>
          <w:sz w:val="13"/>
        </w:rPr>
        <w:t>de</w:t>
      </w:r>
      <w:r>
        <w:rPr>
          <w:spacing w:val="-8"/>
          <w:sz w:val="13"/>
        </w:rPr>
        <w:t xml:space="preserve"> </w:t>
      </w:r>
      <w:r>
        <w:rPr>
          <w:sz w:val="13"/>
        </w:rPr>
        <w:t>la</w:t>
      </w:r>
      <w:r>
        <w:rPr>
          <w:spacing w:val="-9"/>
          <w:sz w:val="13"/>
        </w:rPr>
        <w:t xml:space="preserve"> </w:t>
      </w:r>
      <w:r>
        <w:rPr>
          <w:sz w:val="13"/>
        </w:rPr>
        <w:t>Unión</w:t>
      </w:r>
      <w:r>
        <w:rPr>
          <w:spacing w:val="-9"/>
          <w:sz w:val="13"/>
        </w:rPr>
        <w:t xml:space="preserve"> </w:t>
      </w:r>
      <w:r>
        <w:rPr>
          <w:sz w:val="13"/>
        </w:rPr>
        <w:t>Europea,</w:t>
      </w:r>
      <w:r>
        <w:rPr>
          <w:spacing w:val="-8"/>
          <w:sz w:val="13"/>
        </w:rPr>
        <w:t xml:space="preserve"> </w:t>
      </w:r>
      <w:proofErr w:type="spellStart"/>
      <w:r>
        <w:rPr>
          <w:spacing w:val="-2"/>
          <w:sz w:val="13"/>
        </w:rPr>
        <w:t>Egenberger</w:t>
      </w:r>
      <w:proofErr w:type="spellEnd"/>
    </w:p>
    <w:p w14:paraId="24F1EC9F" w14:textId="77777777" w:rsidR="0014798C" w:rsidRDefault="004E1F0B">
      <w:pPr>
        <w:spacing w:before="1" w:line="288" w:lineRule="auto"/>
        <w:ind w:left="1371" w:right="1272" w:hanging="6"/>
        <w:rPr>
          <w:sz w:val="13"/>
        </w:rPr>
      </w:pPr>
      <w:r>
        <w:rPr>
          <w:sz w:val="13"/>
        </w:rPr>
        <w:t>c.</w:t>
      </w:r>
      <w:r>
        <w:rPr>
          <w:spacing w:val="-7"/>
          <w:sz w:val="13"/>
        </w:rPr>
        <w:t xml:space="preserve"> </w:t>
      </w:r>
      <w:proofErr w:type="spellStart"/>
      <w:r>
        <w:rPr>
          <w:sz w:val="13"/>
        </w:rPr>
        <w:t>Evangelisches</w:t>
      </w:r>
      <w:proofErr w:type="spellEnd"/>
      <w:r>
        <w:rPr>
          <w:spacing w:val="-7"/>
          <w:sz w:val="13"/>
        </w:rPr>
        <w:t xml:space="preserve"> </w:t>
      </w:r>
      <w:proofErr w:type="spellStart"/>
      <w:r>
        <w:rPr>
          <w:sz w:val="13"/>
        </w:rPr>
        <w:t>Werk</w:t>
      </w:r>
      <w:proofErr w:type="spellEnd"/>
      <w:r>
        <w:rPr>
          <w:spacing w:val="-7"/>
          <w:sz w:val="13"/>
        </w:rPr>
        <w:t xml:space="preserve"> </w:t>
      </w:r>
      <w:proofErr w:type="spellStart"/>
      <w:r>
        <w:rPr>
          <w:sz w:val="13"/>
        </w:rPr>
        <w:t>für</w:t>
      </w:r>
      <w:proofErr w:type="spellEnd"/>
      <w:r>
        <w:rPr>
          <w:spacing w:val="-7"/>
          <w:sz w:val="13"/>
        </w:rPr>
        <w:t xml:space="preserve"> </w:t>
      </w:r>
      <w:proofErr w:type="spellStart"/>
      <w:r>
        <w:rPr>
          <w:sz w:val="13"/>
        </w:rPr>
        <w:t>Diakonie</w:t>
      </w:r>
      <w:proofErr w:type="spellEnd"/>
      <w:r>
        <w:rPr>
          <w:spacing w:val="-7"/>
          <w:sz w:val="13"/>
        </w:rPr>
        <w:t xml:space="preserve"> </w:t>
      </w:r>
      <w:proofErr w:type="spellStart"/>
      <w:r>
        <w:rPr>
          <w:sz w:val="13"/>
        </w:rPr>
        <w:t>und</w:t>
      </w:r>
      <w:proofErr w:type="spellEnd"/>
      <w:r>
        <w:rPr>
          <w:spacing w:val="-7"/>
          <w:sz w:val="13"/>
        </w:rPr>
        <w:t xml:space="preserve"> </w:t>
      </w:r>
      <w:proofErr w:type="spellStart"/>
      <w:r>
        <w:rPr>
          <w:sz w:val="13"/>
        </w:rPr>
        <w:t>Entwicklung</w:t>
      </w:r>
      <w:proofErr w:type="spellEnd"/>
      <w:r>
        <w:rPr>
          <w:spacing w:val="-7"/>
          <w:sz w:val="13"/>
        </w:rPr>
        <w:t xml:space="preserve"> </w:t>
      </w:r>
      <w:r>
        <w:rPr>
          <w:sz w:val="13"/>
        </w:rPr>
        <w:t>eV,</w:t>
      </w:r>
      <w:r>
        <w:rPr>
          <w:spacing w:val="-7"/>
          <w:sz w:val="13"/>
        </w:rPr>
        <w:t xml:space="preserve"> </w:t>
      </w:r>
      <w:r>
        <w:rPr>
          <w:sz w:val="13"/>
        </w:rPr>
        <w:t>asunto</w:t>
      </w:r>
      <w:r>
        <w:rPr>
          <w:spacing w:val="-7"/>
          <w:sz w:val="13"/>
        </w:rPr>
        <w:t xml:space="preserve"> </w:t>
      </w:r>
      <w:r>
        <w:rPr>
          <w:sz w:val="13"/>
        </w:rPr>
        <w:t>C-414/16,</w:t>
      </w:r>
      <w:r>
        <w:rPr>
          <w:spacing w:val="-6"/>
          <w:sz w:val="13"/>
        </w:rPr>
        <w:t xml:space="preserve"> </w:t>
      </w:r>
      <w:r>
        <w:rPr>
          <w:sz w:val="13"/>
        </w:rPr>
        <w:t>sentencia</w:t>
      </w:r>
      <w:r>
        <w:rPr>
          <w:spacing w:val="-7"/>
          <w:sz w:val="13"/>
        </w:rPr>
        <w:t xml:space="preserve"> </w:t>
      </w:r>
      <w:r>
        <w:rPr>
          <w:sz w:val="13"/>
        </w:rPr>
        <w:t>de</w:t>
      </w:r>
      <w:r>
        <w:rPr>
          <w:spacing w:val="-7"/>
          <w:sz w:val="13"/>
        </w:rPr>
        <w:t xml:space="preserve"> </w:t>
      </w:r>
      <w:r>
        <w:rPr>
          <w:sz w:val="13"/>
        </w:rPr>
        <w:t>17</w:t>
      </w:r>
      <w:r>
        <w:rPr>
          <w:spacing w:val="-7"/>
          <w:sz w:val="13"/>
        </w:rPr>
        <w:t xml:space="preserve"> </w:t>
      </w:r>
      <w:r>
        <w:rPr>
          <w:sz w:val="13"/>
        </w:rPr>
        <w:t>de</w:t>
      </w:r>
      <w:r>
        <w:rPr>
          <w:spacing w:val="-7"/>
          <w:sz w:val="13"/>
        </w:rPr>
        <w:t xml:space="preserve"> </w:t>
      </w:r>
      <w:r>
        <w:rPr>
          <w:sz w:val="13"/>
        </w:rPr>
        <w:t>abril</w:t>
      </w:r>
      <w:r>
        <w:rPr>
          <w:spacing w:val="-7"/>
          <w:sz w:val="13"/>
        </w:rPr>
        <w:t xml:space="preserve"> </w:t>
      </w:r>
      <w:r>
        <w:rPr>
          <w:sz w:val="13"/>
        </w:rPr>
        <w:t>de</w:t>
      </w:r>
      <w:r>
        <w:rPr>
          <w:spacing w:val="-7"/>
          <w:sz w:val="13"/>
        </w:rPr>
        <w:t xml:space="preserve"> </w:t>
      </w:r>
      <w:r>
        <w:rPr>
          <w:sz w:val="13"/>
        </w:rPr>
        <w:t>2018,</w:t>
      </w:r>
      <w:r>
        <w:rPr>
          <w:spacing w:val="-6"/>
          <w:sz w:val="13"/>
        </w:rPr>
        <w:t xml:space="preserve"> </w:t>
      </w:r>
      <w:r>
        <w:rPr>
          <w:sz w:val="13"/>
        </w:rPr>
        <w:t>párr.</w:t>
      </w:r>
      <w:r>
        <w:rPr>
          <w:spacing w:val="-6"/>
          <w:sz w:val="13"/>
        </w:rPr>
        <w:t xml:space="preserve"> </w:t>
      </w:r>
      <w:r>
        <w:rPr>
          <w:sz w:val="13"/>
        </w:rPr>
        <w:t>66;</w:t>
      </w:r>
      <w:r>
        <w:rPr>
          <w:spacing w:val="-7"/>
          <w:sz w:val="13"/>
        </w:rPr>
        <w:t xml:space="preserve"> </w:t>
      </w:r>
      <w:r>
        <w:rPr>
          <w:sz w:val="13"/>
        </w:rPr>
        <w:t>y</w:t>
      </w:r>
      <w:r>
        <w:rPr>
          <w:spacing w:val="-7"/>
          <w:sz w:val="13"/>
        </w:rPr>
        <w:t xml:space="preserve"> </w:t>
      </w:r>
      <w:r>
        <w:rPr>
          <w:sz w:val="13"/>
        </w:rPr>
        <w:t>Tribunal</w:t>
      </w:r>
      <w:r>
        <w:rPr>
          <w:spacing w:val="-7"/>
          <w:sz w:val="13"/>
        </w:rPr>
        <w:t xml:space="preserve"> </w:t>
      </w:r>
      <w:r>
        <w:rPr>
          <w:sz w:val="13"/>
        </w:rPr>
        <w:t>Europeo</w:t>
      </w:r>
      <w:r>
        <w:rPr>
          <w:spacing w:val="-7"/>
          <w:sz w:val="13"/>
        </w:rPr>
        <w:t xml:space="preserve"> </w:t>
      </w:r>
      <w:r>
        <w:rPr>
          <w:sz w:val="13"/>
        </w:rPr>
        <w:t>de</w:t>
      </w:r>
      <w:r>
        <w:rPr>
          <w:spacing w:val="-7"/>
          <w:sz w:val="13"/>
        </w:rPr>
        <w:t xml:space="preserve"> </w:t>
      </w:r>
      <w:r>
        <w:rPr>
          <w:sz w:val="13"/>
        </w:rPr>
        <w:t>Derechos</w:t>
      </w:r>
      <w:r>
        <w:rPr>
          <w:spacing w:val="40"/>
          <w:sz w:val="13"/>
        </w:rPr>
        <w:t xml:space="preserve"> </w:t>
      </w:r>
      <w:r>
        <w:rPr>
          <w:sz w:val="13"/>
        </w:rPr>
        <w:t xml:space="preserve">Humanos, </w:t>
      </w:r>
      <w:proofErr w:type="spellStart"/>
      <w:r>
        <w:rPr>
          <w:sz w:val="13"/>
        </w:rPr>
        <w:t>Konstantin</w:t>
      </w:r>
      <w:proofErr w:type="spellEnd"/>
      <w:r>
        <w:rPr>
          <w:sz w:val="13"/>
        </w:rPr>
        <w:t xml:space="preserve"> </w:t>
      </w:r>
      <w:proofErr w:type="spellStart"/>
      <w:r>
        <w:rPr>
          <w:sz w:val="13"/>
        </w:rPr>
        <w:t>Markin</w:t>
      </w:r>
      <w:proofErr w:type="spellEnd"/>
      <w:r>
        <w:rPr>
          <w:sz w:val="13"/>
        </w:rPr>
        <w:t xml:space="preserve"> c. Rusia, solicitud n.º 30078/06, sentencia de 22 de marzo de 2012, párr. 144.</w:t>
      </w:r>
    </w:p>
    <w:p w14:paraId="700F6780" w14:textId="77777777" w:rsidR="0014798C" w:rsidRDefault="004E1F0B">
      <w:pPr>
        <w:spacing w:before="57"/>
        <w:ind w:left="1105"/>
        <w:rPr>
          <w:sz w:val="13"/>
        </w:rPr>
      </w:pPr>
      <w:r>
        <w:rPr>
          <w:sz w:val="13"/>
        </w:rPr>
        <w:t>432</w:t>
      </w:r>
      <w:r>
        <w:rPr>
          <w:spacing w:val="-8"/>
          <w:sz w:val="13"/>
        </w:rPr>
        <w:t xml:space="preserve"> </w:t>
      </w:r>
      <w:r>
        <w:rPr>
          <w:sz w:val="13"/>
        </w:rPr>
        <w:t>Comité</w:t>
      </w:r>
      <w:r>
        <w:rPr>
          <w:spacing w:val="-6"/>
          <w:sz w:val="13"/>
        </w:rPr>
        <w:t xml:space="preserve"> </w:t>
      </w:r>
      <w:r>
        <w:rPr>
          <w:sz w:val="13"/>
        </w:rPr>
        <w:t>de</w:t>
      </w:r>
      <w:r>
        <w:rPr>
          <w:spacing w:val="-5"/>
          <w:sz w:val="13"/>
        </w:rPr>
        <w:t xml:space="preserve"> </w:t>
      </w:r>
      <w:r>
        <w:rPr>
          <w:sz w:val="13"/>
        </w:rPr>
        <w:t>Derechos</w:t>
      </w:r>
      <w:r>
        <w:rPr>
          <w:spacing w:val="-6"/>
          <w:sz w:val="13"/>
        </w:rPr>
        <w:t xml:space="preserve"> </w:t>
      </w:r>
      <w:r>
        <w:rPr>
          <w:sz w:val="13"/>
        </w:rPr>
        <w:t>Humanos,</w:t>
      </w:r>
      <w:r>
        <w:rPr>
          <w:spacing w:val="-4"/>
          <w:sz w:val="13"/>
        </w:rPr>
        <w:t xml:space="preserve"> </w:t>
      </w:r>
      <w:proofErr w:type="spellStart"/>
      <w:r>
        <w:rPr>
          <w:sz w:val="13"/>
        </w:rPr>
        <w:t>Yaker</w:t>
      </w:r>
      <w:proofErr w:type="spellEnd"/>
      <w:r>
        <w:rPr>
          <w:spacing w:val="-6"/>
          <w:sz w:val="13"/>
        </w:rPr>
        <w:t xml:space="preserve"> </w:t>
      </w:r>
      <w:r>
        <w:rPr>
          <w:sz w:val="13"/>
        </w:rPr>
        <w:t>c.</w:t>
      </w:r>
      <w:r>
        <w:rPr>
          <w:spacing w:val="-6"/>
          <w:sz w:val="13"/>
        </w:rPr>
        <w:t xml:space="preserve"> </w:t>
      </w:r>
      <w:r>
        <w:rPr>
          <w:sz w:val="13"/>
        </w:rPr>
        <w:t>Francia</w:t>
      </w:r>
      <w:r>
        <w:rPr>
          <w:spacing w:val="-5"/>
          <w:sz w:val="13"/>
        </w:rPr>
        <w:t xml:space="preserve"> </w:t>
      </w:r>
      <w:r>
        <w:rPr>
          <w:sz w:val="13"/>
        </w:rPr>
        <w:t>(CCPR/C/123/D/2747/2016),</w:t>
      </w:r>
      <w:r>
        <w:rPr>
          <w:spacing w:val="-5"/>
          <w:sz w:val="13"/>
        </w:rPr>
        <w:t xml:space="preserve"> </w:t>
      </w:r>
      <w:r>
        <w:rPr>
          <w:sz w:val="13"/>
        </w:rPr>
        <w:t>párr.</w:t>
      </w:r>
      <w:r>
        <w:rPr>
          <w:spacing w:val="-4"/>
          <w:sz w:val="13"/>
        </w:rPr>
        <w:t xml:space="preserve"> 8.8.</w:t>
      </w:r>
    </w:p>
    <w:p w14:paraId="1A028E3E" w14:textId="77777777" w:rsidR="0014798C" w:rsidRDefault="0014798C">
      <w:pPr>
        <w:pStyle w:val="Textoindependiente"/>
        <w:rPr>
          <w:sz w:val="19"/>
        </w:rPr>
      </w:pPr>
    </w:p>
    <w:p w14:paraId="6F1793FF" w14:textId="77777777" w:rsidR="0014798C" w:rsidRDefault="0014798C">
      <w:pPr>
        <w:pStyle w:val="Textoindependiente"/>
        <w:spacing w:before="203"/>
        <w:rPr>
          <w:sz w:val="19"/>
        </w:rPr>
      </w:pPr>
    </w:p>
    <w:p w14:paraId="769595AB" w14:textId="77777777" w:rsidR="0014798C" w:rsidRDefault="004E1F0B">
      <w:pPr>
        <w:ind w:right="725"/>
        <w:jc w:val="right"/>
        <w:rPr>
          <w:sz w:val="19"/>
        </w:rPr>
      </w:pPr>
      <w:r>
        <w:rPr>
          <w:spacing w:val="-5"/>
          <w:sz w:val="19"/>
        </w:rPr>
        <w:t>55</w:t>
      </w:r>
    </w:p>
    <w:p w14:paraId="639BC106" w14:textId="77777777" w:rsidR="0014798C" w:rsidRDefault="0014798C">
      <w:pPr>
        <w:jc w:val="right"/>
        <w:rPr>
          <w:sz w:val="19"/>
        </w:rPr>
        <w:sectPr w:rsidR="0014798C" w:rsidSect="00F265E4">
          <w:pgSz w:w="11900" w:h="16820"/>
          <w:pgMar w:top="340" w:right="0" w:bottom="280" w:left="200" w:header="121" w:footer="0" w:gutter="0"/>
          <w:cols w:space="720"/>
        </w:sectPr>
      </w:pPr>
    </w:p>
    <w:p w14:paraId="6948DF6A" w14:textId="77777777" w:rsidR="0014798C" w:rsidRDefault="0014798C">
      <w:pPr>
        <w:pStyle w:val="Textoindependiente"/>
        <w:spacing w:before="85"/>
        <w:rPr>
          <w:sz w:val="12"/>
        </w:rPr>
      </w:pPr>
    </w:p>
    <w:p w14:paraId="2BAFD65A" w14:textId="77777777" w:rsidR="0014798C" w:rsidRDefault="004E1F0B">
      <w:pPr>
        <w:ind w:left="1111"/>
        <w:rPr>
          <w:sz w:val="12"/>
        </w:rPr>
      </w:pPr>
      <w:r>
        <w:rPr>
          <w:color w:val="00AC59"/>
          <w:sz w:val="12"/>
        </w:rPr>
        <w:t>PROTECCIÓN</w:t>
      </w:r>
      <w:r>
        <w:rPr>
          <w:color w:val="00AC59"/>
          <w:spacing w:val="6"/>
          <w:sz w:val="12"/>
        </w:rPr>
        <w:t xml:space="preserve"> </w:t>
      </w:r>
      <w:r>
        <w:rPr>
          <w:color w:val="00AC59"/>
          <w:sz w:val="12"/>
        </w:rPr>
        <w:t>DE</w:t>
      </w:r>
      <w:r>
        <w:rPr>
          <w:color w:val="00AC59"/>
          <w:spacing w:val="7"/>
          <w:sz w:val="12"/>
        </w:rPr>
        <w:t xml:space="preserve"> </w:t>
      </w:r>
      <w:r>
        <w:rPr>
          <w:color w:val="00AC59"/>
          <w:sz w:val="12"/>
        </w:rPr>
        <w:t>LOS</w:t>
      </w:r>
      <w:r>
        <w:rPr>
          <w:color w:val="00AC59"/>
          <w:spacing w:val="8"/>
          <w:sz w:val="12"/>
        </w:rPr>
        <w:t xml:space="preserve"> </w:t>
      </w:r>
      <w:r>
        <w:rPr>
          <w:color w:val="00AC59"/>
          <w:sz w:val="12"/>
        </w:rPr>
        <w:t>DERECHOS</w:t>
      </w:r>
      <w:r>
        <w:rPr>
          <w:color w:val="00AC59"/>
          <w:spacing w:val="8"/>
          <w:sz w:val="12"/>
        </w:rPr>
        <w:t xml:space="preserve"> </w:t>
      </w:r>
      <w:r>
        <w:rPr>
          <w:color w:val="00AC59"/>
          <w:sz w:val="12"/>
        </w:rPr>
        <w:t>DE</w:t>
      </w:r>
      <w:r>
        <w:rPr>
          <w:color w:val="00AC59"/>
          <w:spacing w:val="6"/>
          <w:sz w:val="12"/>
        </w:rPr>
        <w:t xml:space="preserve"> </w:t>
      </w:r>
      <w:r>
        <w:rPr>
          <w:color w:val="00AC59"/>
          <w:sz w:val="12"/>
        </w:rPr>
        <w:t>LAS</w:t>
      </w:r>
      <w:r>
        <w:rPr>
          <w:color w:val="00AC59"/>
          <w:spacing w:val="7"/>
          <w:sz w:val="12"/>
        </w:rPr>
        <w:t xml:space="preserve"> </w:t>
      </w:r>
      <w:r>
        <w:rPr>
          <w:color w:val="00AC59"/>
          <w:sz w:val="12"/>
        </w:rPr>
        <w:t>MINORÍAS:</w:t>
      </w:r>
      <w:r>
        <w:rPr>
          <w:color w:val="00AC59"/>
          <w:spacing w:val="8"/>
          <w:sz w:val="12"/>
        </w:rPr>
        <w:t xml:space="preserve"> </w:t>
      </w:r>
      <w:r>
        <w:rPr>
          <w:color w:val="00AC59"/>
          <w:sz w:val="12"/>
        </w:rPr>
        <w:t>una</w:t>
      </w:r>
      <w:r>
        <w:rPr>
          <w:color w:val="00AC59"/>
          <w:spacing w:val="7"/>
          <w:sz w:val="12"/>
        </w:rPr>
        <w:t xml:space="preserve"> </w:t>
      </w:r>
      <w:r>
        <w:rPr>
          <w:color w:val="00AC59"/>
          <w:sz w:val="12"/>
        </w:rPr>
        <w:t>guía</w:t>
      </w:r>
      <w:r>
        <w:rPr>
          <w:color w:val="00AC59"/>
          <w:spacing w:val="6"/>
          <w:sz w:val="12"/>
        </w:rPr>
        <w:t xml:space="preserve"> </w:t>
      </w:r>
      <w:r>
        <w:rPr>
          <w:color w:val="00AC59"/>
          <w:sz w:val="12"/>
        </w:rPr>
        <w:t>práctica</w:t>
      </w:r>
      <w:r>
        <w:rPr>
          <w:color w:val="00AC59"/>
          <w:spacing w:val="7"/>
          <w:sz w:val="12"/>
        </w:rPr>
        <w:t xml:space="preserve"> </w:t>
      </w:r>
      <w:r>
        <w:rPr>
          <w:color w:val="00AC59"/>
          <w:sz w:val="12"/>
        </w:rPr>
        <w:t>para</w:t>
      </w:r>
      <w:r>
        <w:rPr>
          <w:color w:val="00AC59"/>
          <w:spacing w:val="8"/>
          <w:sz w:val="12"/>
        </w:rPr>
        <w:t xml:space="preserve"> </w:t>
      </w:r>
      <w:r>
        <w:rPr>
          <w:color w:val="00AC59"/>
          <w:sz w:val="12"/>
        </w:rPr>
        <w:t>desarrollar</w:t>
      </w:r>
      <w:r>
        <w:rPr>
          <w:color w:val="00AC59"/>
          <w:spacing w:val="6"/>
          <w:sz w:val="12"/>
        </w:rPr>
        <w:t xml:space="preserve"> </w:t>
      </w:r>
      <w:r>
        <w:rPr>
          <w:color w:val="00AC59"/>
          <w:sz w:val="12"/>
        </w:rPr>
        <w:t>una</w:t>
      </w:r>
      <w:r>
        <w:rPr>
          <w:color w:val="00AC59"/>
          <w:spacing w:val="7"/>
          <w:sz w:val="12"/>
        </w:rPr>
        <w:t xml:space="preserve"> </w:t>
      </w:r>
      <w:r>
        <w:rPr>
          <w:color w:val="00AC59"/>
          <w:sz w:val="12"/>
        </w:rPr>
        <w:t>legislación</w:t>
      </w:r>
      <w:r>
        <w:rPr>
          <w:color w:val="00AC59"/>
          <w:spacing w:val="8"/>
          <w:sz w:val="12"/>
        </w:rPr>
        <w:t xml:space="preserve"> </w:t>
      </w:r>
      <w:r>
        <w:rPr>
          <w:color w:val="00AC59"/>
          <w:sz w:val="12"/>
        </w:rPr>
        <w:t>integral</w:t>
      </w:r>
      <w:r>
        <w:rPr>
          <w:color w:val="00AC59"/>
          <w:spacing w:val="7"/>
          <w:sz w:val="12"/>
        </w:rPr>
        <w:t xml:space="preserve"> </w:t>
      </w:r>
      <w:r>
        <w:rPr>
          <w:color w:val="00AC59"/>
          <w:sz w:val="12"/>
        </w:rPr>
        <w:t>contra</w:t>
      </w:r>
      <w:r>
        <w:rPr>
          <w:color w:val="00AC59"/>
          <w:spacing w:val="6"/>
          <w:sz w:val="12"/>
        </w:rPr>
        <w:t xml:space="preserve"> </w:t>
      </w:r>
      <w:r>
        <w:rPr>
          <w:color w:val="00AC59"/>
          <w:sz w:val="12"/>
        </w:rPr>
        <w:t>la</w:t>
      </w:r>
      <w:r>
        <w:rPr>
          <w:color w:val="00AC59"/>
          <w:spacing w:val="7"/>
          <w:sz w:val="12"/>
        </w:rPr>
        <w:t xml:space="preserve"> </w:t>
      </w:r>
      <w:r>
        <w:rPr>
          <w:color w:val="00AC59"/>
          <w:spacing w:val="-2"/>
          <w:sz w:val="12"/>
        </w:rPr>
        <w:t>discriminación</w:t>
      </w:r>
    </w:p>
    <w:p w14:paraId="13BF034E" w14:textId="77777777" w:rsidR="0014798C" w:rsidRDefault="0014798C">
      <w:pPr>
        <w:pStyle w:val="Textoindependiente"/>
      </w:pPr>
    </w:p>
    <w:p w14:paraId="21EE7B30" w14:textId="77777777" w:rsidR="0014798C" w:rsidRDefault="0014798C">
      <w:pPr>
        <w:pStyle w:val="Textoindependiente"/>
      </w:pPr>
    </w:p>
    <w:p w14:paraId="54F8AE96" w14:textId="77777777" w:rsidR="0014798C" w:rsidRDefault="0014798C">
      <w:pPr>
        <w:pStyle w:val="Textoindependiente"/>
      </w:pPr>
    </w:p>
    <w:p w14:paraId="634E9BA3" w14:textId="77777777" w:rsidR="0014798C" w:rsidRDefault="0014798C">
      <w:pPr>
        <w:pStyle w:val="Textoindependiente"/>
      </w:pPr>
    </w:p>
    <w:p w14:paraId="59B5B2AD" w14:textId="77777777" w:rsidR="0014798C" w:rsidRDefault="0014798C">
      <w:pPr>
        <w:pStyle w:val="Textoindependiente"/>
        <w:spacing w:before="72"/>
      </w:pPr>
    </w:p>
    <w:p w14:paraId="2A94775B" w14:textId="77777777" w:rsidR="0014798C" w:rsidRDefault="004E1F0B">
      <w:pPr>
        <w:pStyle w:val="Textoindependiente"/>
        <w:spacing w:line="326" w:lineRule="auto"/>
        <w:ind w:left="1107" w:right="1463" w:firstLine="1"/>
      </w:pPr>
      <w:r>
        <w:t>En</w:t>
      </w:r>
      <w:r>
        <w:rPr>
          <w:spacing w:val="-2"/>
        </w:rPr>
        <w:t xml:space="preserve"> </w:t>
      </w:r>
      <w:r>
        <w:t>el</w:t>
      </w:r>
      <w:r>
        <w:rPr>
          <w:spacing w:val="-2"/>
        </w:rPr>
        <w:t xml:space="preserve"> </w:t>
      </w:r>
      <w:r>
        <w:t>mismo</w:t>
      </w:r>
      <w:r>
        <w:rPr>
          <w:spacing w:val="-1"/>
        </w:rPr>
        <w:t xml:space="preserve"> </w:t>
      </w:r>
      <w:r>
        <w:t>caso,</w:t>
      </w:r>
      <w:r>
        <w:rPr>
          <w:spacing w:val="-1"/>
        </w:rPr>
        <w:t xml:space="preserve"> </w:t>
      </w:r>
      <w:r>
        <w:t>el</w:t>
      </w:r>
      <w:r>
        <w:rPr>
          <w:spacing w:val="-2"/>
        </w:rPr>
        <w:t xml:space="preserve"> </w:t>
      </w:r>
      <w:r>
        <w:t>Comité</w:t>
      </w:r>
      <w:r>
        <w:rPr>
          <w:spacing w:val="-2"/>
        </w:rPr>
        <w:t xml:space="preserve"> </w:t>
      </w:r>
      <w:r>
        <w:t>también</w:t>
      </w:r>
      <w:r>
        <w:rPr>
          <w:spacing w:val="-2"/>
        </w:rPr>
        <w:t xml:space="preserve"> </w:t>
      </w:r>
      <w:r>
        <w:t>sostuvo</w:t>
      </w:r>
      <w:r>
        <w:rPr>
          <w:spacing w:val="-2"/>
        </w:rPr>
        <w:t xml:space="preserve"> </w:t>
      </w:r>
      <w:r>
        <w:t>que</w:t>
      </w:r>
      <w:r>
        <w:rPr>
          <w:spacing w:val="-2"/>
        </w:rPr>
        <w:t xml:space="preserve"> </w:t>
      </w:r>
      <w:r>
        <w:t>las</w:t>
      </w:r>
      <w:r>
        <w:rPr>
          <w:spacing w:val="-2"/>
        </w:rPr>
        <w:t xml:space="preserve"> </w:t>
      </w:r>
      <w:r>
        <w:t>medidas</w:t>
      </w:r>
      <w:r>
        <w:rPr>
          <w:spacing w:val="-2"/>
        </w:rPr>
        <w:t xml:space="preserve"> </w:t>
      </w:r>
      <w:r>
        <w:t>adoptadas</w:t>
      </w:r>
      <w:r>
        <w:rPr>
          <w:spacing w:val="-2"/>
        </w:rPr>
        <w:t xml:space="preserve"> </w:t>
      </w:r>
      <w:r>
        <w:t>por</w:t>
      </w:r>
      <w:r>
        <w:rPr>
          <w:spacing w:val="-2"/>
        </w:rPr>
        <w:t xml:space="preserve"> </w:t>
      </w:r>
      <w:r>
        <w:t>Francia</w:t>
      </w:r>
      <w:r>
        <w:rPr>
          <w:spacing w:val="-2"/>
        </w:rPr>
        <w:t xml:space="preserve"> </w:t>
      </w:r>
      <w:r>
        <w:t>no</w:t>
      </w:r>
      <w:r>
        <w:rPr>
          <w:spacing w:val="-2"/>
        </w:rPr>
        <w:t xml:space="preserve"> </w:t>
      </w:r>
      <w:r>
        <w:t>eran</w:t>
      </w:r>
      <w:r>
        <w:rPr>
          <w:spacing w:val="-1"/>
        </w:rPr>
        <w:t xml:space="preserve"> </w:t>
      </w:r>
      <w:r>
        <w:t>“necesarias”433</w:t>
      </w:r>
      <w:r>
        <w:rPr>
          <w:spacing w:val="-1"/>
        </w:rPr>
        <w:t xml:space="preserve"> </w:t>
      </w:r>
      <w:r>
        <w:t>ya</w:t>
      </w:r>
      <w:r>
        <w:rPr>
          <w:spacing w:val="-1"/>
        </w:rPr>
        <w:t xml:space="preserve"> </w:t>
      </w:r>
      <w:r>
        <w:t>que</w:t>
      </w:r>
      <w:r>
        <w:rPr>
          <w:spacing w:val="-2"/>
        </w:rPr>
        <w:t xml:space="preserve"> </w:t>
      </w:r>
      <w:r>
        <w:t>el</w:t>
      </w:r>
      <w:r>
        <w:rPr>
          <w:spacing w:val="-2"/>
        </w:rPr>
        <w:t xml:space="preserve"> </w:t>
      </w:r>
      <w:r>
        <w:t xml:space="preserve">Estado podría haber implementado medios menos restrictivos.434 La condición de necesidad puede considerarse implícita en la evaluación de proporcionalidad: si el Si se puede lograr el mismo objetivo mediante la adopción de medidas diferentes que no impliquen crear una distinción entre grupos, o que lo hagan de manera menos dañina, entonces los medios empleados no son </w:t>
      </w:r>
      <w:r>
        <w:rPr>
          <w:spacing w:val="-2"/>
        </w:rPr>
        <w:t>proporcionados.435</w:t>
      </w:r>
    </w:p>
    <w:p w14:paraId="1CB3B61A" w14:textId="77777777" w:rsidR="0014798C" w:rsidRDefault="0014798C">
      <w:pPr>
        <w:pStyle w:val="Textoindependiente"/>
        <w:spacing w:before="85"/>
      </w:pPr>
    </w:p>
    <w:p w14:paraId="355DC755" w14:textId="77777777" w:rsidR="0014798C" w:rsidRDefault="004E1F0B">
      <w:pPr>
        <w:numPr>
          <w:ilvl w:val="1"/>
          <w:numId w:val="3"/>
        </w:numPr>
        <w:tabs>
          <w:tab w:val="left" w:pos="1453"/>
        </w:tabs>
        <w:ind w:left="1453" w:hanging="333"/>
        <w:rPr>
          <w:color w:val="00AC59"/>
          <w:sz w:val="27"/>
        </w:rPr>
      </w:pPr>
      <w:r>
        <w:rPr>
          <w:color w:val="00AC59"/>
          <w:sz w:val="27"/>
        </w:rPr>
        <w:t>Acción</w:t>
      </w:r>
      <w:r>
        <w:rPr>
          <w:color w:val="00AC59"/>
          <w:spacing w:val="3"/>
          <w:sz w:val="27"/>
        </w:rPr>
        <w:t xml:space="preserve"> </w:t>
      </w:r>
      <w:r>
        <w:rPr>
          <w:color w:val="00AC59"/>
          <w:spacing w:val="-2"/>
          <w:sz w:val="27"/>
        </w:rPr>
        <w:t>positiva</w:t>
      </w:r>
    </w:p>
    <w:p w14:paraId="69B4D115" w14:textId="77777777" w:rsidR="0014798C" w:rsidRDefault="0014798C">
      <w:pPr>
        <w:pStyle w:val="Textoindependiente"/>
      </w:pPr>
    </w:p>
    <w:p w14:paraId="58C5FE3A" w14:textId="77777777" w:rsidR="0014798C" w:rsidRDefault="0014798C">
      <w:pPr>
        <w:pStyle w:val="Textoindependiente"/>
        <w:spacing w:before="88"/>
      </w:pPr>
    </w:p>
    <w:p w14:paraId="3EB6CA9E" w14:textId="77777777" w:rsidR="0014798C" w:rsidRDefault="004E1F0B">
      <w:pPr>
        <w:pStyle w:val="Textoindependiente"/>
        <w:ind w:left="1335"/>
      </w:pPr>
      <w:r>
        <w:rPr>
          <w:noProof/>
        </w:rPr>
        <w:drawing>
          <wp:anchor distT="0" distB="0" distL="0" distR="0" simplePos="0" relativeHeight="251658401" behindDoc="1" locked="0" layoutInCell="1" allowOverlap="1" wp14:anchorId="415C21B8" wp14:editId="068654A2">
            <wp:simplePos x="0" y="0"/>
            <wp:positionH relativeFrom="page">
              <wp:posOffset>786199</wp:posOffset>
            </wp:positionH>
            <wp:positionV relativeFrom="paragraph">
              <wp:posOffset>-170391</wp:posOffset>
            </wp:positionV>
            <wp:extent cx="5975115" cy="4749474"/>
            <wp:effectExtent l="0" t="0" r="0" b="0"/>
            <wp:wrapNone/>
            <wp:docPr id="149" name="Image 14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49" name="Image 149"/>
                    <pic:cNvPicPr/>
                  </pic:nvPicPr>
                  <pic:blipFill>
                    <a:blip r:embed="rId139" cstate="print"/>
                    <a:stretch>
                      <a:fillRect/>
                    </a:stretch>
                  </pic:blipFill>
                  <pic:spPr>
                    <a:xfrm>
                      <a:off x="0" y="0"/>
                      <a:ext cx="5975115" cy="4749474"/>
                    </a:xfrm>
                    <a:prstGeom prst="rect">
                      <a:avLst/>
                    </a:prstGeom>
                  </pic:spPr>
                </pic:pic>
              </a:graphicData>
            </a:graphic>
          </wp:anchor>
        </w:drawing>
      </w:r>
      <w:r>
        <w:rPr>
          <w:color w:val="FFFFFF"/>
          <w:spacing w:val="-2"/>
        </w:rPr>
        <w:t>RESUMEN</w:t>
      </w:r>
    </w:p>
    <w:p w14:paraId="0587D72F" w14:textId="77777777" w:rsidR="0014798C" w:rsidRDefault="0014798C">
      <w:pPr>
        <w:pStyle w:val="Textoindependiente"/>
        <w:spacing w:before="150"/>
      </w:pPr>
    </w:p>
    <w:p w14:paraId="4756DA00" w14:textId="77777777" w:rsidR="0014798C" w:rsidRDefault="004E1F0B">
      <w:pPr>
        <w:pStyle w:val="Prrafodelista"/>
        <w:numPr>
          <w:ilvl w:val="2"/>
          <w:numId w:val="3"/>
        </w:numPr>
        <w:tabs>
          <w:tab w:val="left" w:pos="1457"/>
        </w:tabs>
        <w:ind w:left="1457" w:hanging="99"/>
        <w:rPr>
          <w:color w:val="0075BF"/>
          <w:sz w:val="16"/>
        </w:rPr>
      </w:pPr>
      <w:r>
        <w:rPr>
          <w:sz w:val="16"/>
        </w:rPr>
        <w:t>El</w:t>
      </w:r>
      <w:r>
        <w:rPr>
          <w:spacing w:val="-5"/>
          <w:sz w:val="16"/>
        </w:rPr>
        <w:t xml:space="preserve"> </w:t>
      </w:r>
      <w:r>
        <w:rPr>
          <w:sz w:val="16"/>
        </w:rPr>
        <w:t>derecho</w:t>
      </w:r>
      <w:r>
        <w:rPr>
          <w:spacing w:val="-3"/>
          <w:sz w:val="16"/>
        </w:rPr>
        <w:t xml:space="preserve"> </w:t>
      </w:r>
      <w:r>
        <w:rPr>
          <w:sz w:val="16"/>
        </w:rPr>
        <w:t>a</w:t>
      </w:r>
      <w:r>
        <w:rPr>
          <w:spacing w:val="-4"/>
          <w:sz w:val="16"/>
        </w:rPr>
        <w:t xml:space="preserve"> </w:t>
      </w:r>
      <w:r>
        <w:rPr>
          <w:sz w:val="16"/>
        </w:rPr>
        <w:t>la</w:t>
      </w:r>
      <w:r>
        <w:rPr>
          <w:spacing w:val="-4"/>
          <w:sz w:val="16"/>
        </w:rPr>
        <w:t xml:space="preserve"> </w:t>
      </w:r>
      <w:r>
        <w:rPr>
          <w:sz w:val="16"/>
        </w:rPr>
        <w:t>igualdad</w:t>
      </w:r>
      <w:r>
        <w:rPr>
          <w:spacing w:val="-4"/>
          <w:sz w:val="16"/>
        </w:rPr>
        <w:t xml:space="preserve"> </w:t>
      </w:r>
      <w:r>
        <w:rPr>
          <w:sz w:val="16"/>
        </w:rPr>
        <w:t>requiere</w:t>
      </w:r>
      <w:r>
        <w:rPr>
          <w:spacing w:val="-3"/>
          <w:sz w:val="16"/>
        </w:rPr>
        <w:t xml:space="preserve"> </w:t>
      </w:r>
      <w:r>
        <w:rPr>
          <w:sz w:val="16"/>
        </w:rPr>
        <w:t>la</w:t>
      </w:r>
      <w:r>
        <w:rPr>
          <w:spacing w:val="-4"/>
          <w:sz w:val="16"/>
        </w:rPr>
        <w:t xml:space="preserve"> </w:t>
      </w:r>
      <w:r>
        <w:rPr>
          <w:sz w:val="16"/>
        </w:rPr>
        <w:t>adopción</w:t>
      </w:r>
      <w:r>
        <w:rPr>
          <w:spacing w:val="-3"/>
          <w:sz w:val="16"/>
        </w:rPr>
        <w:t xml:space="preserve"> </w:t>
      </w:r>
      <w:r>
        <w:rPr>
          <w:sz w:val="16"/>
        </w:rPr>
        <w:t>de</w:t>
      </w:r>
      <w:r>
        <w:rPr>
          <w:spacing w:val="-4"/>
          <w:sz w:val="16"/>
        </w:rPr>
        <w:t xml:space="preserve"> </w:t>
      </w:r>
      <w:r>
        <w:rPr>
          <w:sz w:val="16"/>
        </w:rPr>
        <w:t>acciones</w:t>
      </w:r>
      <w:r>
        <w:rPr>
          <w:spacing w:val="-4"/>
          <w:sz w:val="16"/>
        </w:rPr>
        <w:t xml:space="preserve"> </w:t>
      </w:r>
      <w:r>
        <w:rPr>
          <w:spacing w:val="-2"/>
          <w:sz w:val="16"/>
        </w:rPr>
        <w:t>positivas.</w:t>
      </w:r>
    </w:p>
    <w:p w14:paraId="69F6071E" w14:textId="77777777" w:rsidR="0014798C" w:rsidRDefault="004E1F0B">
      <w:pPr>
        <w:pStyle w:val="Prrafodelista"/>
        <w:numPr>
          <w:ilvl w:val="2"/>
          <w:numId w:val="3"/>
        </w:numPr>
        <w:tabs>
          <w:tab w:val="left" w:pos="1456"/>
          <w:tab w:val="left" w:pos="1559"/>
        </w:tabs>
        <w:spacing w:before="179" w:line="326" w:lineRule="auto"/>
        <w:ind w:left="1559" w:right="1609" w:hanging="202"/>
        <w:rPr>
          <w:color w:val="0075BF"/>
          <w:sz w:val="16"/>
        </w:rPr>
      </w:pPr>
      <w:r>
        <w:rPr>
          <w:sz w:val="16"/>
        </w:rPr>
        <w:t>La</w:t>
      </w:r>
      <w:r>
        <w:rPr>
          <w:spacing w:val="-2"/>
          <w:sz w:val="16"/>
        </w:rPr>
        <w:t xml:space="preserve"> </w:t>
      </w:r>
      <w:r>
        <w:rPr>
          <w:sz w:val="16"/>
        </w:rPr>
        <w:t>acción</w:t>
      </w:r>
      <w:r>
        <w:rPr>
          <w:spacing w:val="-1"/>
          <w:sz w:val="16"/>
        </w:rPr>
        <w:t xml:space="preserve"> </w:t>
      </w:r>
      <w:r>
        <w:rPr>
          <w:sz w:val="16"/>
        </w:rPr>
        <w:t>positiva</w:t>
      </w:r>
      <w:r>
        <w:rPr>
          <w:spacing w:val="-2"/>
          <w:sz w:val="16"/>
        </w:rPr>
        <w:t xml:space="preserve"> </w:t>
      </w:r>
      <w:r>
        <w:rPr>
          <w:sz w:val="16"/>
        </w:rPr>
        <w:t>incluye</w:t>
      </w:r>
      <w:r>
        <w:rPr>
          <w:spacing w:val="-1"/>
          <w:sz w:val="16"/>
        </w:rPr>
        <w:t xml:space="preserve"> </w:t>
      </w:r>
      <w:r>
        <w:rPr>
          <w:sz w:val="16"/>
        </w:rPr>
        <w:t>cualquier</w:t>
      </w:r>
      <w:r>
        <w:rPr>
          <w:spacing w:val="-2"/>
          <w:sz w:val="16"/>
        </w:rPr>
        <w:t xml:space="preserve"> </w:t>
      </w:r>
      <w:r>
        <w:rPr>
          <w:sz w:val="16"/>
        </w:rPr>
        <w:t>medida</w:t>
      </w:r>
      <w:r>
        <w:rPr>
          <w:spacing w:val="-1"/>
          <w:sz w:val="16"/>
        </w:rPr>
        <w:t xml:space="preserve"> </w:t>
      </w:r>
      <w:r>
        <w:rPr>
          <w:sz w:val="16"/>
        </w:rPr>
        <w:t>legislativa, administrativa</w:t>
      </w:r>
      <w:r>
        <w:rPr>
          <w:spacing w:val="-2"/>
          <w:sz w:val="16"/>
        </w:rPr>
        <w:t xml:space="preserve"> </w:t>
      </w:r>
      <w:r>
        <w:rPr>
          <w:sz w:val="16"/>
        </w:rPr>
        <w:t>o</w:t>
      </w:r>
      <w:r>
        <w:rPr>
          <w:spacing w:val="-2"/>
          <w:sz w:val="16"/>
        </w:rPr>
        <w:t xml:space="preserve"> </w:t>
      </w:r>
      <w:r>
        <w:rPr>
          <w:sz w:val="16"/>
        </w:rPr>
        <w:t>política</w:t>
      </w:r>
      <w:r>
        <w:rPr>
          <w:spacing w:val="-2"/>
          <w:sz w:val="16"/>
        </w:rPr>
        <w:t xml:space="preserve"> </w:t>
      </w:r>
      <w:r>
        <w:rPr>
          <w:sz w:val="16"/>
        </w:rPr>
        <w:t>dirigida</w:t>
      </w:r>
      <w:r>
        <w:rPr>
          <w:spacing w:val="-2"/>
          <w:sz w:val="16"/>
        </w:rPr>
        <w:t xml:space="preserve"> </w:t>
      </w:r>
      <w:r>
        <w:rPr>
          <w:sz w:val="16"/>
        </w:rPr>
        <w:t>a</w:t>
      </w:r>
      <w:r>
        <w:rPr>
          <w:spacing w:val="-2"/>
          <w:sz w:val="16"/>
        </w:rPr>
        <w:t xml:space="preserve"> </w:t>
      </w:r>
      <w:r>
        <w:rPr>
          <w:sz w:val="16"/>
        </w:rPr>
        <w:t>reducir</w:t>
      </w:r>
      <w:r>
        <w:rPr>
          <w:spacing w:val="-2"/>
          <w:sz w:val="16"/>
        </w:rPr>
        <w:t xml:space="preserve"> </w:t>
      </w:r>
      <w:r>
        <w:rPr>
          <w:sz w:val="16"/>
        </w:rPr>
        <w:t>o</w:t>
      </w:r>
      <w:r>
        <w:rPr>
          <w:spacing w:val="-2"/>
          <w:sz w:val="16"/>
        </w:rPr>
        <w:t xml:space="preserve"> </w:t>
      </w:r>
      <w:r>
        <w:rPr>
          <w:sz w:val="16"/>
        </w:rPr>
        <w:t>superar</w:t>
      </w:r>
      <w:r>
        <w:rPr>
          <w:spacing w:val="-2"/>
          <w:sz w:val="16"/>
        </w:rPr>
        <w:t xml:space="preserve"> </w:t>
      </w:r>
      <w:r>
        <w:rPr>
          <w:sz w:val="16"/>
        </w:rPr>
        <w:t>la</w:t>
      </w:r>
      <w:r>
        <w:rPr>
          <w:spacing w:val="-2"/>
          <w:sz w:val="16"/>
        </w:rPr>
        <w:t xml:space="preserve"> </w:t>
      </w:r>
      <w:r>
        <w:rPr>
          <w:sz w:val="16"/>
        </w:rPr>
        <w:t>desigualdad y lograr la igualdad. Dichas medidas deben tener una duración limitada, estar sujetas a revisión periódica y ser proporcionales a su propósito de promover o lograr la igualdad.</w:t>
      </w:r>
    </w:p>
    <w:p w14:paraId="1E7BF0ED" w14:textId="77777777" w:rsidR="0014798C" w:rsidRDefault="004E1F0B">
      <w:pPr>
        <w:pStyle w:val="Prrafodelista"/>
        <w:numPr>
          <w:ilvl w:val="2"/>
          <w:numId w:val="3"/>
        </w:numPr>
        <w:tabs>
          <w:tab w:val="left" w:pos="1457"/>
          <w:tab w:val="left" w:pos="1561"/>
        </w:tabs>
        <w:spacing w:before="112" w:line="326" w:lineRule="auto"/>
        <w:ind w:left="1561" w:right="1521" w:hanging="203"/>
        <w:rPr>
          <w:color w:val="0075BF"/>
          <w:sz w:val="16"/>
        </w:rPr>
      </w:pPr>
      <w:r>
        <w:rPr>
          <w:sz w:val="16"/>
        </w:rPr>
        <w:t>La adopción de medidas de acción positiva es requerida por el derecho internacional de los derechos humanos. La legislación</w:t>
      </w:r>
      <w:r>
        <w:rPr>
          <w:spacing w:val="-1"/>
          <w:sz w:val="16"/>
        </w:rPr>
        <w:t xml:space="preserve"> </w:t>
      </w:r>
      <w:r>
        <w:rPr>
          <w:sz w:val="16"/>
        </w:rPr>
        <w:t>antidiscriminación</w:t>
      </w:r>
      <w:r>
        <w:rPr>
          <w:spacing w:val="-2"/>
          <w:sz w:val="16"/>
        </w:rPr>
        <w:t xml:space="preserve"> </w:t>
      </w:r>
      <w:r>
        <w:rPr>
          <w:sz w:val="16"/>
        </w:rPr>
        <w:t>debería</w:t>
      </w:r>
      <w:r>
        <w:rPr>
          <w:spacing w:val="-2"/>
          <w:sz w:val="16"/>
        </w:rPr>
        <w:t xml:space="preserve"> </w:t>
      </w:r>
      <w:r>
        <w:rPr>
          <w:sz w:val="16"/>
        </w:rPr>
        <w:t>exigir</w:t>
      </w:r>
      <w:r>
        <w:rPr>
          <w:spacing w:val="-2"/>
          <w:sz w:val="16"/>
        </w:rPr>
        <w:t xml:space="preserve"> </w:t>
      </w:r>
      <w:r>
        <w:rPr>
          <w:sz w:val="16"/>
        </w:rPr>
        <w:t>y</w:t>
      </w:r>
      <w:r>
        <w:rPr>
          <w:spacing w:val="-1"/>
          <w:sz w:val="16"/>
        </w:rPr>
        <w:t xml:space="preserve"> </w:t>
      </w:r>
      <w:r>
        <w:rPr>
          <w:sz w:val="16"/>
        </w:rPr>
        <w:t>prever</w:t>
      </w:r>
      <w:r>
        <w:rPr>
          <w:spacing w:val="-2"/>
          <w:sz w:val="16"/>
        </w:rPr>
        <w:t xml:space="preserve"> </w:t>
      </w:r>
      <w:r>
        <w:rPr>
          <w:sz w:val="16"/>
        </w:rPr>
        <w:t>medidas</w:t>
      </w:r>
      <w:r>
        <w:rPr>
          <w:spacing w:val="-2"/>
          <w:sz w:val="16"/>
        </w:rPr>
        <w:t xml:space="preserve"> </w:t>
      </w:r>
      <w:r>
        <w:rPr>
          <w:sz w:val="16"/>
        </w:rPr>
        <w:t>de</w:t>
      </w:r>
      <w:r>
        <w:rPr>
          <w:spacing w:val="-2"/>
          <w:sz w:val="16"/>
        </w:rPr>
        <w:t xml:space="preserve"> </w:t>
      </w:r>
      <w:r>
        <w:rPr>
          <w:sz w:val="16"/>
        </w:rPr>
        <w:t>acción</w:t>
      </w:r>
      <w:r>
        <w:rPr>
          <w:spacing w:val="-1"/>
          <w:sz w:val="16"/>
        </w:rPr>
        <w:t xml:space="preserve"> </w:t>
      </w:r>
      <w:r>
        <w:rPr>
          <w:sz w:val="16"/>
        </w:rPr>
        <w:t>positiva</w:t>
      </w:r>
      <w:r>
        <w:rPr>
          <w:spacing w:val="-2"/>
          <w:sz w:val="16"/>
        </w:rPr>
        <w:t xml:space="preserve"> </w:t>
      </w:r>
      <w:r>
        <w:rPr>
          <w:sz w:val="16"/>
        </w:rPr>
        <w:t>en</w:t>
      </w:r>
      <w:r>
        <w:rPr>
          <w:spacing w:val="-2"/>
          <w:sz w:val="16"/>
        </w:rPr>
        <w:t xml:space="preserve"> </w:t>
      </w:r>
      <w:r>
        <w:rPr>
          <w:sz w:val="16"/>
        </w:rPr>
        <w:t>situaciones</w:t>
      </w:r>
      <w:r>
        <w:rPr>
          <w:spacing w:val="-2"/>
          <w:sz w:val="16"/>
        </w:rPr>
        <w:t xml:space="preserve"> </w:t>
      </w:r>
      <w:r>
        <w:rPr>
          <w:sz w:val="16"/>
        </w:rPr>
        <w:t>en</w:t>
      </w:r>
      <w:r>
        <w:rPr>
          <w:spacing w:val="-2"/>
          <w:sz w:val="16"/>
        </w:rPr>
        <w:t xml:space="preserve"> </w:t>
      </w:r>
      <w:r>
        <w:rPr>
          <w:sz w:val="16"/>
        </w:rPr>
        <w:t>las</w:t>
      </w:r>
      <w:r>
        <w:rPr>
          <w:spacing w:val="-2"/>
          <w:sz w:val="16"/>
        </w:rPr>
        <w:t xml:space="preserve"> </w:t>
      </w:r>
      <w:r>
        <w:rPr>
          <w:sz w:val="16"/>
        </w:rPr>
        <w:t>que</w:t>
      </w:r>
      <w:r>
        <w:rPr>
          <w:spacing w:val="-2"/>
          <w:sz w:val="16"/>
        </w:rPr>
        <w:t xml:space="preserve"> </w:t>
      </w:r>
      <w:r>
        <w:rPr>
          <w:sz w:val="16"/>
        </w:rPr>
        <w:t>se</w:t>
      </w:r>
      <w:r>
        <w:rPr>
          <w:spacing w:val="-1"/>
          <w:sz w:val="16"/>
        </w:rPr>
        <w:t xml:space="preserve"> </w:t>
      </w:r>
      <w:r>
        <w:rPr>
          <w:sz w:val="16"/>
        </w:rPr>
        <w:t xml:space="preserve">identifiquen desigualdades sustantivas. También debería permitir el desarrollo, adopción e implementación de medidas y programas de acción positiva por parte del Estado y de entidades privadas en situaciones en las que se identifique una necesidad </w:t>
      </w:r>
      <w:r>
        <w:rPr>
          <w:spacing w:val="-2"/>
          <w:sz w:val="16"/>
        </w:rPr>
        <w:t>particular.</w:t>
      </w:r>
    </w:p>
    <w:p w14:paraId="13D68493" w14:textId="77777777" w:rsidR="0014798C" w:rsidRDefault="004E1F0B">
      <w:pPr>
        <w:pStyle w:val="Prrafodelista"/>
        <w:numPr>
          <w:ilvl w:val="2"/>
          <w:numId w:val="3"/>
        </w:numPr>
        <w:tabs>
          <w:tab w:val="left" w:pos="1456"/>
          <w:tab w:val="left" w:pos="1556"/>
        </w:tabs>
        <w:spacing w:before="111" w:line="326" w:lineRule="auto"/>
        <w:ind w:left="1556" w:right="1635" w:hanging="199"/>
        <w:rPr>
          <w:color w:val="0075BF"/>
          <w:sz w:val="16"/>
        </w:rPr>
      </w:pPr>
      <w:r>
        <w:rPr>
          <w:sz w:val="16"/>
        </w:rPr>
        <w:t>Las</w:t>
      </w:r>
      <w:r>
        <w:rPr>
          <w:spacing w:val="-1"/>
          <w:sz w:val="16"/>
        </w:rPr>
        <w:t xml:space="preserve"> </w:t>
      </w:r>
      <w:r>
        <w:rPr>
          <w:sz w:val="16"/>
        </w:rPr>
        <w:t>medidas</w:t>
      </w:r>
      <w:r>
        <w:rPr>
          <w:spacing w:val="-1"/>
          <w:sz w:val="16"/>
        </w:rPr>
        <w:t xml:space="preserve"> </w:t>
      </w:r>
      <w:r>
        <w:rPr>
          <w:sz w:val="16"/>
        </w:rPr>
        <w:t>de</w:t>
      </w:r>
      <w:r>
        <w:rPr>
          <w:spacing w:val="-1"/>
          <w:sz w:val="16"/>
        </w:rPr>
        <w:t xml:space="preserve"> </w:t>
      </w:r>
      <w:r>
        <w:rPr>
          <w:sz w:val="16"/>
        </w:rPr>
        <w:t>acción positiva</w:t>
      </w:r>
      <w:r>
        <w:rPr>
          <w:spacing w:val="-1"/>
          <w:sz w:val="16"/>
        </w:rPr>
        <w:t xml:space="preserve"> </w:t>
      </w:r>
      <w:r>
        <w:rPr>
          <w:sz w:val="16"/>
        </w:rPr>
        <w:t>deben</w:t>
      </w:r>
      <w:r>
        <w:rPr>
          <w:spacing w:val="-1"/>
          <w:sz w:val="16"/>
        </w:rPr>
        <w:t xml:space="preserve"> </w:t>
      </w:r>
      <w:r>
        <w:rPr>
          <w:sz w:val="16"/>
        </w:rPr>
        <w:t>perseguir</w:t>
      </w:r>
      <w:r>
        <w:rPr>
          <w:spacing w:val="-1"/>
          <w:sz w:val="16"/>
        </w:rPr>
        <w:t xml:space="preserve"> </w:t>
      </w:r>
      <w:r>
        <w:rPr>
          <w:sz w:val="16"/>
        </w:rPr>
        <w:t>el</w:t>
      </w:r>
      <w:r>
        <w:rPr>
          <w:spacing w:val="-1"/>
          <w:sz w:val="16"/>
        </w:rPr>
        <w:t xml:space="preserve"> </w:t>
      </w:r>
      <w:r>
        <w:rPr>
          <w:sz w:val="16"/>
        </w:rPr>
        <w:t>propósito</w:t>
      </w:r>
      <w:r>
        <w:rPr>
          <w:spacing w:val="-1"/>
          <w:sz w:val="16"/>
        </w:rPr>
        <w:t xml:space="preserve"> </w:t>
      </w:r>
      <w:r>
        <w:rPr>
          <w:sz w:val="16"/>
        </w:rPr>
        <w:t>de</w:t>
      </w:r>
      <w:r>
        <w:rPr>
          <w:spacing w:val="-1"/>
          <w:sz w:val="16"/>
        </w:rPr>
        <w:t xml:space="preserve"> </w:t>
      </w:r>
      <w:r>
        <w:rPr>
          <w:sz w:val="16"/>
        </w:rPr>
        <w:t>promover</w:t>
      </w:r>
      <w:r>
        <w:rPr>
          <w:spacing w:val="-1"/>
          <w:sz w:val="16"/>
        </w:rPr>
        <w:t xml:space="preserve"> </w:t>
      </w:r>
      <w:r>
        <w:rPr>
          <w:sz w:val="16"/>
        </w:rPr>
        <w:t>o</w:t>
      </w:r>
      <w:r>
        <w:rPr>
          <w:spacing w:val="-1"/>
          <w:sz w:val="16"/>
        </w:rPr>
        <w:t xml:space="preserve"> </w:t>
      </w:r>
      <w:r>
        <w:rPr>
          <w:sz w:val="16"/>
        </w:rPr>
        <w:t>lograr</w:t>
      </w:r>
      <w:r>
        <w:rPr>
          <w:spacing w:val="-1"/>
          <w:sz w:val="16"/>
        </w:rPr>
        <w:t xml:space="preserve"> </w:t>
      </w:r>
      <w:r>
        <w:rPr>
          <w:sz w:val="16"/>
        </w:rPr>
        <w:t>la</w:t>
      </w:r>
      <w:r>
        <w:rPr>
          <w:spacing w:val="-1"/>
          <w:sz w:val="16"/>
        </w:rPr>
        <w:t xml:space="preserve"> </w:t>
      </w:r>
      <w:r>
        <w:rPr>
          <w:sz w:val="16"/>
        </w:rPr>
        <w:t>igualdad</w:t>
      </w:r>
      <w:r>
        <w:rPr>
          <w:spacing w:val="-1"/>
          <w:sz w:val="16"/>
        </w:rPr>
        <w:t xml:space="preserve"> </w:t>
      </w:r>
      <w:r>
        <w:rPr>
          <w:sz w:val="16"/>
        </w:rPr>
        <w:t>y no</w:t>
      </w:r>
      <w:r>
        <w:rPr>
          <w:spacing w:val="-1"/>
          <w:sz w:val="16"/>
        </w:rPr>
        <w:t xml:space="preserve"> </w:t>
      </w:r>
      <w:r>
        <w:rPr>
          <w:sz w:val="16"/>
        </w:rPr>
        <w:t>deben</w:t>
      </w:r>
      <w:r>
        <w:rPr>
          <w:spacing w:val="-1"/>
          <w:sz w:val="16"/>
        </w:rPr>
        <w:t xml:space="preserve"> </w:t>
      </w:r>
      <w:r>
        <w:rPr>
          <w:sz w:val="16"/>
        </w:rPr>
        <w:t>justificarse</w:t>
      </w:r>
      <w:r>
        <w:rPr>
          <w:spacing w:val="-1"/>
          <w:sz w:val="16"/>
        </w:rPr>
        <w:t xml:space="preserve"> </w:t>
      </w:r>
      <w:r>
        <w:rPr>
          <w:sz w:val="16"/>
        </w:rPr>
        <w:t>con referencia a criterios o estereotipos discriminatorios.</w:t>
      </w:r>
    </w:p>
    <w:p w14:paraId="27A8B207" w14:textId="77777777" w:rsidR="0014798C" w:rsidRDefault="004E1F0B">
      <w:pPr>
        <w:pStyle w:val="Prrafodelista"/>
        <w:numPr>
          <w:ilvl w:val="2"/>
          <w:numId w:val="3"/>
        </w:numPr>
        <w:tabs>
          <w:tab w:val="left" w:pos="1457"/>
          <w:tab w:val="left" w:pos="1559"/>
        </w:tabs>
        <w:spacing w:before="112" w:line="326" w:lineRule="auto"/>
        <w:ind w:left="1559" w:right="1582" w:hanging="201"/>
        <w:rPr>
          <w:color w:val="0075BF"/>
          <w:sz w:val="16"/>
        </w:rPr>
      </w:pPr>
      <w:r>
        <w:rPr>
          <w:sz w:val="16"/>
        </w:rPr>
        <w:t>La</w:t>
      </w:r>
      <w:r>
        <w:rPr>
          <w:spacing w:val="-2"/>
          <w:sz w:val="16"/>
        </w:rPr>
        <w:t xml:space="preserve"> </w:t>
      </w:r>
      <w:r>
        <w:rPr>
          <w:sz w:val="16"/>
        </w:rPr>
        <w:t>acción</w:t>
      </w:r>
      <w:r>
        <w:rPr>
          <w:spacing w:val="-1"/>
          <w:sz w:val="16"/>
        </w:rPr>
        <w:t xml:space="preserve"> </w:t>
      </w:r>
      <w:r>
        <w:rPr>
          <w:sz w:val="16"/>
        </w:rPr>
        <w:t>positiva</w:t>
      </w:r>
      <w:r>
        <w:rPr>
          <w:spacing w:val="-2"/>
          <w:sz w:val="16"/>
        </w:rPr>
        <w:t xml:space="preserve"> </w:t>
      </w:r>
      <w:r>
        <w:rPr>
          <w:sz w:val="16"/>
        </w:rPr>
        <w:t>no</w:t>
      </w:r>
      <w:r>
        <w:rPr>
          <w:spacing w:val="-2"/>
          <w:sz w:val="16"/>
        </w:rPr>
        <w:t xml:space="preserve"> </w:t>
      </w:r>
      <w:r>
        <w:rPr>
          <w:sz w:val="16"/>
        </w:rPr>
        <w:t>debería</w:t>
      </w:r>
      <w:r>
        <w:rPr>
          <w:spacing w:val="-2"/>
          <w:sz w:val="16"/>
        </w:rPr>
        <w:t xml:space="preserve"> </w:t>
      </w:r>
      <w:r>
        <w:rPr>
          <w:sz w:val="16"/>
        </w:rPr>
        <w:t>conducir</w:t>
      </w:r>
      <w:r>
        <w:rPr>
          <w:spacing w:val="-2"/>
          <w:sz w:val="16"/>
        </w:rPr>
        <w:t xml:space="preserve"> </w:t>
      </w:r>
      <w:r>
        <w:rPr>
          <w:sz w:val="16"/>
        </w:rPr>
        <w:t>al</w:t>
      </w:r>
      <w:r>
        <w:rPr>
          <w:spacing w:val="-2"/>
          <w:sz w:val="16"/>
        </w:rPr>
        <w:t xml:space="preserve"> </w:t>
      </w:r>
      <w:r>
        <w:rPr>
          <w:sz w:val="16"/>
        </w:rPr>
        <w:t>mantenimiento</w:t>
      </w:r>
      <w:r>
        <w:rPr>
          <w:spacing w:val="-2"/>
          <w:sz w:val="16"/>
        </w:rPr>
        <w:t xml:space="preserve"> </w:t>
      </w:r>
      <w:r>
        <w:rPr>
          <w:sz w:val="16"/>
        </w:rPr>
        <w:t>de</w:t>
      </w:r>
      <w:r>
        <w:rPr>
          <w:spacing w:val="-2"/>
          <w:sz w:val="16"/>
        </w:rPr>
        <w:t xml:space="preserve"> </w:t>
      </w:r>
      <w:r>
        <w:rPr>
          <w:sz w:val="16"/>
        </w:rPr>
        <w:t>normas</w:t>
      </w:r>
      <w:r>
        <w:rPr>
          <w:spacing w:val="-2"/>
          <w:sz w:val="16"/>
        </w:rPr>
        <w:t xml:space="preserve"> </w:t>
      </w:r>
      <w:r>
        <w:rPr>
          <w:sz w:val="16"/>
        </w:rPr>
        <w:t>desiguales</w:t>
      </w:r>
      <w:r>
        <w:rPr>
          <w:spacing w:val="-2"/>
          <w:sz w:val="16"/>
        </w:rPr>
        <w:t xml:space="preserve"> </w:t>
      </w:r>
      <w:r>
        <w:rPr>
          <w:sz w:val="16"/>
        </w:rPr>
        <w:t>o</w:t>
      </w:r>
      <w:r>
        <w:rPr>
          <w:spacing w:val="-2"/>
          <w:sz w:val="16"/>
        </w:rPr>
        <w:t xml:space="preserve"> </w:t>
      </w:r>
      <w:r>
        <w:rPr>
          <w:sz w:val="16"/>
        </w:rPr>
        <w:t>separadas.</w:t>
      </w:r>
      <w:r>
        <w:rPr>
          <w:spacing w:val="-1"/>
          <w:sz w:val="16"/>
        </w:rPr>
        <w:t xml:space="preserve"> </w:t>
      </w:r>
      <w:r>
        <w:rPr>
          <w:sz w:val="16"/>
        </w:rPr>
        <w:t>Con</w:t>
      </w:r>
      <w:r>
        <w:rPr>
          <w:spacing w:val="-2"/>
          <w:sz w:val="16"/>
        </w:rPr>
        <w:t xml:space="preserve"> </w:t>
      </w:r>
      <w:r>
        <w:rPr>
          <w:sz w:val="16"/>
        </w:rPr>
        <w:t>este</w:t>
      </w:r>
      <w:r>
        <w:rPr>
          <w:spacing w:val="-2"/>
          <w:sz w:val="16"/>
        </w:rPr>
        <w:t xml:space="preserve"> </w:t>
      </w:r>
      <w:r>
        <w:rPr>
          <w:sz w:val="16"/>
        </w:rPr>
        <w:t>fin,</w:t>
      </w:r>
      <w:r>
        <w:rPr>
          <w:spacing w:val="-1"/>
          <w:sz w:val="16"/>
        </w:rPr>
        <w:t xml:space="preserve"> </w:t>
      </w:r>
      <w:r>
        <w:rPr>
          <w:sz w:val="16"/>
        </w:rPr>
        <w:t>las</w:t>
      </w:r>
      <w:r>
        <w:rPr>
          <w:spacing w:val="-2"/>
          <w:sz w:val="16"/>
        </w:rPr>
        <w:t xml:space="preserve"> </w:t>
      </w:r>
      <w:r>
        <w:rPr>
          <w:sz w:val="16"/>
        </w:rPr>
        <w:t>medidas</w:t>
      </w:r>
      <w:r>
        <w:rPr>
          <w:spacing w:val="-2"/>
          <w:sz w:val="16"/>
        </w:rPr>
        <w:t xml:space="preserve"> </w:t>
      </w:r>
      <w:r>
        <w:rPr>
          <w:sz w:val="16"/>
        </w:rPr>
        <w:t>de acción positiva adoptadas deben tener una duración limitada, estar sujetas a revisión periódica y suspenderse cuando</w:t>
      </w:r>
    </w:p>
    <w:p w14:paraId="0DC279FB" w14:textId="77777777" w:rsidR="0014798C" w:rsidRDefault="004E1F0B">
      <w:pPr>
        <w:pStyle w:val="Textoindependiente"/>
        <w:spacing w:line="271" w:lineRule="auto"/>
        <w:ind w:left="1565" w:right="1463" w:hanging="7"/>
      </w:pPr>
      <w:r>
        <w:t>se</w:t>
      </w:r>
      <w:r>
        <w:rPr>
          <w:spacing w:val="-1"/>
        </w:rPr>
        <w:t xml:space="preserve"> </w:t>
      </w:r>
      <w:r>
        <w:t>logren</w:t>
      </w:r>
      <w:r>
        <w:rPr>
          <w:spacing w:val="-1"/>
        </w:rPr>
        <w:t xml:space="preserve"> </w:t>
      </w:r>
      <w:r>
        <w:t>los</w:t>
      </w:r>
      <w:r>
        <w:rPr>
          <w:spacing w:val="-2"/>
        </w:rPr>
        <w:t xml:space="preserve"> </w:t>
      </w:r>
      <w:r>
        <w:t>propósitos</w:t>
      </w:r>
      <w:r>
        <w:rPr>
          <w:spacing w:val="-2"/>
        </w:rPr>
        <w:t xml:space="preserve"> </w:t>
      </w:r>
      <w:r>
        <w:t>de</w:t>
      </w:r>
      <w:r>
        <w:rPr>
          <w:spacing w:val="-2"/>
        </w:rPr>
        <w:t xml:space="preserve"> </w:t>
      </w:r>
      <w:r>
        <w:t>igualdad.</w:t>
      </w:r>
      <w:r>
        <w:rPr>
          <w:spacing w:val="-1"/>
        </w:rPr>
        <w:t xml:space="preserve"> </w:t>
      </w:r>
      <w:r>
        <w:t>Limitado</w:t>
      </w:r>
      <w:r>
        <w:rPr>
          <w:spacing w:val="-2"/>
        </w:rPr>
        <w:t xml:space="preserve"> </w:t>
      </w:r>
      <w:r>
        <w:t>en</w:t>
      </w:r>
      <w:r>
        <w:rPr>
          <w:spacing w:val="-2"/>
        </w:rPr>
        <w:t xml:space="preserve"> </w:t>
      </w:r>
      <w:r>
        <w:t>el</w:t>
      </w:r>
      <w:r>
        <w:rPr>
          <w:spacing w:val="-2"/>
        </w:rPr>
        <w:t xml:space="preserve"> </w:t>
      </w:r>
      <w:r>
        <w:t>tiempo</w:t>
      </w:r>
      <w:r>
        <w:rPr>
          <w:spacing w:val="-2"/>
        </w:rPr>
        <w:t xml:space="preserve"> </w:t>
      </w:r>
      <w:r>
        <w:t>no</w:t>
      </w:r>
      <w:r>
        <w:rPr>
          <w:spacing w:val="-2"/>
        </w:rPr>
        <w:t xml:space="preserve"> </w:t>
      </w:r>
      <w:r>
        <w:t>debe</w:t>
      </w:r>
      <w:r>
        <w:rPr>
          <w:spacing w:val="-2"/>
        </w:rPr>
        <w:t xml:space="preserve"> </w:t>
      </w:r>
      <w:r>
        <w:t>interpretarse</w:t>
      </w:r>
      <w:r>
        <w:rPr>
          <w:spacing w:val="-2"/>
        </w:rPr>
        <w:t xml:space="preserve"> </w:t>
      </w:r>
      <w:r>
        <w:t>en</w:t>
      </w:r>
      <w:r>
        <w:rPr>
          <w:spacing w:val="-2"/>
        </w:rPr>
        <w:t xml:space="preserve"> </w:t>
      </w:r>
      <w:r>
        <w:t>el</w:t>
      </w:r>
      <w:r>
        <w:rPr>
          <w:spacing w:val="-2"/>
        </w:rPr>
        <w:t xml:space="preserve"> </w:t>
      </w:r>
      <w:r>
        <w:t>sentido</w:t>
      </w:r>
      <w:r>
        <w:rPr>
          <w:spacing w:val="-2"/>
        </w:rPr>
        <w:t xml:space="preserve"> </w:t>
      </w:r>
      <w:r>
        <w:t>de</w:t>
      </w:r>
      <w:r>
        <w:rPr>
          <w:spacing w:val="-2"/>
        </w:rPr>
        <w:t xml:space="preserve"> </w:t>
      </w:r>
      <w:r>
        <w:t>que</w:t>
      </w:r>
      <w:r>
        <w:rPr>
          <w:spacing w:val="-2"/>
        </w:rPr>
        <w:t xml:space="preserve"> </w:t>
      </w:r>
      <w:r>
        <w:t>necesariamente tenga una duración corta.</w:t>
      </w:r>
    </w:p>
    <w:p w14:paraId="78CE57F0" w14:textId="77777777" w:rsidR="0014798C" w:rsidRDefault="0014798C">
      <w:pPr>
        <w:pStyle w:val="Textoindependiente"/>
      </w:pPr>
    </w:p>
    <w:p w14:paraId="1F109683" w14:textId="77777777" w:rsidR="0014798C" w:rsidRDefault="0014798C">
      <w:pPr>
        <w:pStyle w:val="Textoindependiente"/>
      </w:pPr>
    </w:p>
    <w:p w14:paraId="5A6AF109" w14:textId="77777777" w:rsidR="0014798C" w:rsidRDefault="0014798C">
      <w:pPr>
        <w:pStyle w:val="Textoindependiente"/>
        <w:spacing w:before="40"/>
      </w:pPr>
    </w:p>
    <w:p w14:paraId="53ADD11E" w14:textId="77777777" w:rsidR="0014798C" w:rsidRDefault="004E1F0B">
      <w:pPr>
        <w:pStyle w:val="Textoindependiente"/>
        <w:spacing w:before="1" w:line="326" w:lineRule="auto"/>
        <w:ind w:left="1108" w:right="1272" w:hanging="2"/>
      </w:pPr>
      <w:r>
        <w:t>La obligación de los Estados de adoptar e implementar medidas de acción positiva está firmemente establecida en el derecho internacional</w:t>
      </w:r>
      <w:r>
        <w:rPr>
          <w:spacing w:val="-2"/>
        </w:rPr>
        <w:t xml:space="preserve"> </w:t>
      </w:r>
      <w:r>
        <w:t>de</w:t>
      </w:r>
      <w:r>
        <w:rPr>
          <w:spacing w:val="-2"/>
        </w:rPr>
        <w:t xml:space="preserve"> </w:t>
      </w:r>
      <w:r>
        <w:t>los</w:t>
      </w:r>
      <w:r>
        <w:rPr>
          <w:spacing w:val="-2"/>
        </w:rPr>
        <w:t xml:space="preserve"> </w:t>
      </w:r>
      <w:r>
        <w:t>derechos</w:t>
      </w:r>
      <w:r>
        <w:rPr>
          <w:spacing w:val="-2"/>
        </w:rPr>
        <w:t xml:space="preserve"> </w:t>
      </w:r>
      <w:r>
        <w:t>humanos.436</w:t>
      </w:r>
      <w:r>
        <w:rPr>
          <w:spacing w:val="-2"/>
        </w:rPr>
        <w:t xml:space="preserve"> </w:t>
      </w:r>
      <w:r>
        <w:t>La</w:t>
      </w:r>
      <w:r>
        <w:rPr>
          <w:spacing w:val="-2"/>
        </w:rPr>
        <w:t xml:space="preserve"> </w:t>
      </w:r>
      <w:r>
        <w:t>acción</w:t>
      </w:r>
      <w:r>
        <w:rPr>
          <w:spacing w:val="-1"/>
        </w:rPr>
        <w:t xml:space="preserve"> </w:t>
      </w:r>
      <w:r>
        <w:t>positiva,</w:t>
      </w:r>
      <w:r>
        <w:rPr>
          <w:spacing w:val="-1"/>
        </w:rPr>
        <w:t xml:space="preserve"> </w:t>
      </w:r>
      <w:r>
        <w:t>también</w:t>
      </w:r>
      <w:r>
        <w:rPr>
          <w:spacing w:val="-2"/>
        </w:rPr>
        <w:t xml:space="preserve"> </w:t>
      </w:r>
      <w:r>
        <w:t>denominada</w:t>
      </w:r>
      <w:r>
        <w:rPr>
          <w:spacing w:val="-1"/>
        </w:rPr>
        <w:t xml:space="preserve"> </w:t>
      </w:r>
      <w:r>
        <w:t>“acción</w:t>
      </w:r>
      <w:r>
        <w:rPr>
          <w:spacing w:val="-1"/>
        </w:rPr>
        <w:t xml:space="preserve"> </w:t>
      </w:r>
      <w:r>
        <w:t>afirmativa”,437</w:t>
      </w:r>
      <w:r>
        <w:rPr>
          <w:spacing w:val="-2"/>
        </w:rPr>
        <w:t xml:space="preserve"> </w:t>
      </w:r>
      <w:r>
        <w:t>“medidas</w:t>
      </w:r>
      <w:r>
        <w:rPr>
          <w:spacing w:val="-2"/>
        </w:rPr>
        <w:t xml:space="preserve"> </w:t>
      </w:r>
      <w:r>
        <w:t>especiales temporales”438 o “medidas específicas”,439 es una término general que se refiere a las medidas necesarias para acelerar o</w:t>
      </w:r>
    </w:p>
    <w:p w14:paraId="4E3C467C" w14:textId="77777777" w:rsidR="0014798C" w:rsidRDefault="0014798C">
      <w:pPr>
        <w:pStyle w:val="Textoindependiente"/>
        <w:rPr>
          <w:sz w:val="12"/>
        </w:rPr>
      </w:pPr>
    </w:p>
    <w:p w14:paraId="7968F409" w14:textId="77777777" w:rsidR="0014798C" w:rsidRDefault="0014798C">
      <w:pPr>
        <w:pStyle w:val="Textoindependiente"/>
        <w:rPr>
          <w:sz w:val="12"/>
        </w:rPr>
      </w:pPr>
    </w:p>
    <w:p w14:paraId="4A66FA2D" w14:textId="77777777" w:rsidR="0014798C" w:rsidRDefault="0014798C">
      <w:pPr>
        <w:pStyle w:val="Textoindependiente"/>
        <w:rPr>
          <w:sz w:val="12"/>
        </w:rPr>
      </w:pPr>
    </w:p>
    <w:p w14:paraId="6B986264" w14:textId="77777777" w:rsidR="0014798C" w:rsidRDefault="0014798C">
      <w:pPr>
        <w:pStyle w:val="Textoindependiente"/>
        <w:rPr>
          <w:sz w:val="12"/>
        </w:rPr>
      </w:pPr>
    </w:p>
    <w:p w14:paraId="5003928F" w14:textId="77777777" w:rsidR="0014798C" w:rsidRDefault="0014798C">
      <w:pPr>
        <w:pStyle w:val="Textoindependiente"/>
        <w:rPr>
          <w:sz w:val="12"/>
        </w:rPr>
      </w:pPr>
    </w:p>
    <w:p w14:paraId="341A5815" w14:textId="77777777" w:rsidR="0014798C" w:rsidRDefault="0014798C">
      <w:pPr>
        <w:pStyle w:val="Textoindependiente"/>
        <w:rPr>
          <w:sz w:val="12"/>
        </w:rPr>
      </w:pPr>
    </w:p>
    <w:p w14:paraId="71B1F930" w14:textId="77777777" w:rsidR="0014798C" w:rsidRDefault="0014798C">
      <w:pPr>
        <w:pStyle w:val="Textoindependiente"/>
        <w:rPr>
          <w:sz w:val="12"/>
        </w:rPr>
      </w:pPr>
    </w:p>
    <w:p w14:paraId="53B1A54A" w14:textId="77777777" w:rsidR="0014798C" w:rsidRDefault="0014798C">
      <w:pPr>
        <w:pStyle w:val="Textoindependiente"/>
        <w:rPr>
          <w:sz w:val="12"/>
        </w:rPr>
      </w:pPr>
    </w:p>
    <w:p w14:paraId="611EF5A7" w14:textId="77777777" w:rsidR="0014798C" w:rsidRDefault="0014798C">
      <w:pPr>
        <w:pStyle w:val="Textoindependiente"/>
        <w:rPr>
          <w:sz w:val="12"/>
        </w:rPr>
      </w:pPr>
    </w:p>
    <w:p w14:paraId="7BC2E57A" w14:textId="77777777" w:rsidR="0014798C" w:rsidRDefault="0014798C">
      <w:pPr>
        <w:pStyle w:val="Textoindependiente"/>
        <w:spacing w:before="2"/>
        <w:rPr>
          <w:sz w:val="12"/>
        </w:rPr>
      </w:pPr>
    </w:p>
    <w:p w14:paraId="7EEA630A" w14:textId="77777777" w:rsidR="0014798C" w:rsidRDefault="004E1F0B">
      <w:pPr>
        <w:ind w:left="1105"/>
        <w:rPr>
          <w:sz w:val="12"/>
        </w:rPr>
      </w:pPr>
      <w:r>
        <w:rPr>
          <w:sz w:val="12"/>
        </w:rPr>
        <w:t>433</w:t>
      </w:r>
      <w:r>
        <w:rPr>
          <w:spacing w:val="-2"/>
          <w:sz w:val="12"/>
        </w:rPr>
        <w:t xml:space="preserve"> </w:t>
      </w:r>
      <w:proofErr w:type="spellStart"/>
      <w:r>
        <w:rPr>
          <w:sz w:val="12"/>
        </w:rPr>
        <w:t>Ibíd</w:t>
      </w:r>
      <w:proofErr w:type="spellEnd"/>
      <w:r>
        <w:rPr>
          <w:sz w:val="12"/>
        </w:rPr>
        <w:t>.,</w:t>
      </w:r>
      <w:r>
        <w:rPr>
          <w:spacing w:val="-1"/>
          <w:sz w:val="12"/>
        </w:rPr>
        <w:t xml:space="preserve"> </w:t>
      </w:r>
      <w:r>
        <w:rPr>
          <w:sz w:val="12"/>
        </w:rPr>
        <w:t>párr.</w:t>
      </w:r>
      <w:r>
        <w:rPr>
          <w:spacing w:val="-1"/>
          <w:sz w:val="12"/>
        </w:rPr>
        <w:t xml:space="preserve"> </w:t>
      </w:r>
      <w:r>
        <w:rPr>
          <w:spacing w:val="-2"/>
          <w:sz w:val="12"/>
        </w:rPr>
        <w:t>8.17.</w:t>
      </w:r>
    </w:p>
    <w:p w14:paraId="00E6823A" w14:textId="77777777" w:rsidR="0014798C" w:rsidRDefault="004E1F0B">
      <w:pPr>
        <w:spacing w:before="98"/>
        <w:ind w:left="1105"/>
        <w:rPr>
          <w:sz w:val="12"/>
        </w:rPr>
      </w:pPr>
      <w:r>
        <w:rPr>
          <w:sz w:val="12"/>
        </w:rPr>
        <w:t>434</w:t>
      </w:r>
      <w:r>
        <w:rPr>
          <w:spacing w:val="-2"/>
          <w:sz w:val="12"/>
        </w:rPr>
        <w:t xml:space="preserve"> </w:t>
      </w:r>
      <w:proofErr w:type="spellStart"/>
      <w:r>
        <w:rPr>
          <w:sz w:val="12"/>
        </w:rPr>
        <w:t>Ibíd</w:t>
      </w:r>
      <w:proofErr w:type="spellEnd"/>
      <w:r>
        <w:rPr>
          <w:sz w:val="12"/>
        </w:rPr>
        <w:t>.,</w:t>
      </w:r>
      <w:r>
        <w:rPr>
          <w:spacing w:val="-1"/>
          <w:sz w:val="12"/>
        </w:rPr>
        <w:t xml:space="preserve"> </w:t>
      </w:r>
      <w:r>
        <w:rPr>
          <w:sz w:val="12"/>
        </w:rPr>
        <w:t>párr.</w:t>
      </w:r>
      <w:r>
        <w:rPr>
          <w:spacing w:val="-1"/>
          <w:sz w:val="12"/>
        </w:rPr>
        <w:t xml:space="preserve"> </w:t>
      </w:r>
      <w:r>
        <w:rPr>
          <w:spacing w:val="-4"/>
          <w:sz w:val="12"/>
        </w:rPr>
        <w:t>8.8.</w:t>
      </w:r>
    </w:p>
    <w:p w14:paraId="261EADD5" w14:textId="77777777" w:rsidR="0014798C" w:rsidRDefault="004E1F0B">
      <w:pPr>
        <w:spacing w:before="53" w:line="53" w:lineRule="exact"/>
        <w:ind w:left="1105"/>
        <w:rPr>
          <w:sz w:val="8"/>
        </w:rPr>
      </w:pPr>
      <w:r>
        <w:rPr>
          <w:spacing w:val="-5"/>
          <w:w w:val="105"/>
          <w:sz w:val="8"/>
        </w:rPr>
        <w:t>435</w:t>
      </w:r>
    </w:p>
    <w:p w14:paraId="01FF9827" w14:textId="77777777" w:rsidR="0014798C" w:rsidRDefault="004E1F0B">
      <w:pPr>
        <w:spacing w:line="312" w:lineRule="auto"/>
        <w:ind w:left="1366" w:right="1272" w:firstLine="4"/>
        <w:rPr>
          <w:sz w:val="12"/>
        </w:rPr>
      </w:pPr>
      <w:r>
        <w:rPr>
          <w:sz w:val="12"/>
        </w:rPr>
        <w:t xml:space="preserve">Véase, a modo de ejemplo, Tribunal de Justicia de la Unión Europea, </w:t>
      </w:r>
      <w:proofErr w:type="spellStart"/>
      <w:r>
        <w:rPr>
          <w:sz w:val="12"/>
        </w:rPr>
        <w:t>Léger</w:t>
      </w:r>
      <w:proofErr w:type="spellEnd"/>
      <w:r>
        <w:rPr>
          <w:sz w:val="12"/>
        </w:rPr>
        <w:t xml:space="preserve"> c. Ministre des Affaires sociales, de la </w:t>
      </w:r>
      <w:proofErr w:type="spellStart"/>
      <w:r>
        <w:rPr>
          <w:sz w:val="12"/>
        </w:rPr>
        <w:t>Santé</w:t>
      </w:r>
      <w:proofErr w:type="spellEnd"/>
      <w:r>
        <w:rPr>
          <w:sz w:val="12"/>
        </w:rPr>
        <w:t xml:space="preserve"> et des </w:t>
      </w:r>
      <w:proofErr w:type="spellStart"/>
      <w:r>
        <w:rPr>
          <w:sz w:val="12"/>
        </w:rPr>
        <w:t>Droits</w:t>
      </w:r>
      <w:proofErr w:type="spellEnd"/>
      <w:r>
        <w:rPr>
          <w:sz w:val="12"/>
        </w:rPr>
        <w:t xml:space="preserve"> des femmes y </w:t>
      </w:r>
      <w:proofErr w:type="spellStart"/>
      <w:r>
        <w:rPr>
          <w:sz w:val="12"/>
        </w:rPr>
        <w:t>Etablissement</w:t>
      </w:r>
      <w:proofErr w:type="spellEnd"/>
      <w:r>
        <w:rPr>
          <w:spacing w:val="40"/>
          <w:sz w:val="12"/>
        </w:rPr>
        <w:t xml:space="preserve"> </w:t>
      </w:r>
      <w:proofErr w:type="spellStart"/>
      <w:r>
        <w:rPr>
          <w:sz w:val="12"/>
        </w:rPr>
        <w:t>français</w:t>
      </w:r>
      <w:proofErr w:type="spellEnd"/>
      <w:r>
        <w:rPr>
          <w:sz w:val="12"/>
        </w:rPr>
        <w:t xml:space="preserve"> du </w:t>
      </w:r>
      <w:proofErr w:type="spellStart"/>
      <w:r>
        <w:rPr>
          <w:sz w:val="12"/>
        </w:rPr>
        <w:t>sang</w:t>
      </w:r>
      <w:proofErr w:type="spellEnd"/>
      <w:r>
        <w:rPr>
          <w:sz w:val="12"/>
        </w:rPr>
        <w:t xml:space="preserve">, asunto C-528/13, sentencia de 29 de abril de 2015, párr. 58; y CHEZ </w:t>
      </w:r>
      <w:proofErr w:type="spellStart"/>
      <w:r>
        <w:rPr>
          <w:sz w:val="12"/>
        </w:rPr>
        <w:t>Razpredelenie</w:t>
      </w:r>
      <w:proofErr w:type="spellEnd"/>
      <w:r>
        <w:rPr>
          <w:sz w:val="12"/>
        </w:rPr>
        <w:t xml:space="preserve"> Bulgaria AD c. </w:t>
      </w:r>
      <w:proofErr w:type="spellStart"/>
      <w:r>
        <w:rPr>
          <w:sz w:val="12"/>
        </w:rPr>
        <w:t>Komisia</w:t>
      </w:r>
      <w:proofErr w:type="spellEnd"/>
      <w:r>
        <w:rPr>
          <w:sz w:val="12"/>
        </w:rPr>
        <w:t xml:space="preserve"> </w:t>
      </w:r>
      <w:proofErr w:type="spellStart"/>
      <w:r>
        <w:rPr>
          <w:sz w:val="12"/>
        </w:rPr>
        <w:t>za</w:t>
      </w:r>
      <w:proofErr w:type="spellEnd"/>
      <w:r>
        <w:rPr>
          <w:sz w:val="12"/>
        </w:rPr>
        <w:t xml:space="preserve"> </w:t>
      </w:r>
      <w:proofErr w:type="spellStart"/>
      <w:r>
        <w:rPr>
          <w:sz w:val="12"/>
        </w:rPr>
        <w:t>zashtita</w:t>
      </w:r>
      <w:proofErr w:type="spellEnd"/>
      <w:r>
        <w:rPr>
          <w:sz w:val="12"/>
        </w:rPr>
        <w:t xml:space="preserve"> </w:t>
      </w:r>
      <w:proofErr w:type="spellStart"/>
      <w:r>
        <w:rPr>
          <w:sz w:val="12"/>
        </w:rPr>
        <w:t>ot</w:t>
      </w:r>
      <w:proofErr w:type="spellEnd"/>
      <w:r>
        <w:rPr>
          <w:sz w:val="12"/>
        </w:rPr>
        <w:t xml:space="preserve"> </w:t>
      </w:r>
      <w:proofErr w:type="spellStart"/>
      <w:r>
        <w:rPr>
          <w:sz w:val="12"/>
        </w:rPr>
        <w:t>diskriminatsia</w:t>
      </w:r>
      <w:proofErr w:type="spellEnd"/>
      <w:r>
        <w:rPr>
          <w:sz w:val="12"/>
        </w:rPr>
        <w:t>, Caso</w:t>
      </w:r>
    </w:p>
    <w:p w14:paraId="457CD1FE" w14:textId="77777777" w:rsidR="0014798C" w:rsidRDefault="004E1F0B">
      <w:pPr>
        <w:ind w:left="1365"/>
        <w:rPr>
          <w:sz w:val="12"/>
        </w:rPr>
      </w:pPr>
      <w:r>
        <w:rPr>
          <w:sz w:val="12"/>
        </w:rPr>
        <w:t>C-83/14,</w:t>
      </w:r>
      <w:r>
        <w:rPr>
          <w:spacing w:val="2"/>
          <w:sz w:val="12"/>
        </w:rPr>
        <w:t xml:space="preserve"> </w:t>
      </w:r>
      <w:r>
        <w:rPr>
          <w:sz w:val="12"/>
        </w:rPr>
        <w:t>Sentencia</w:t>
      </w:r>
      <w:r>
        <w:rPr>
          <w:spacing w:val="2"/>
          <w:sz w:val="12"/>
        </w:rPr>
        <w:t xml:space="preserve"> </w:t>
      </w:r>
      <w:r>
        <w:rPr>
          <w:sz w:val="12"/>
        </w:rPr>
        <w:t>de</w:t>
      </w:r>
      <w:r>
        <w:rPr>
          <w:spacing w:val="1"/>
          <w:sz w:val="12"/>
        </w:rPr>
        <w:t xml:space="preserve"> </w:t>
      </w:r>
      <w:r>
        <w:rPr>
          <w:sz w:val="12"/>
        </w:rPr>
        <w:t>16</w:t>
      </w:r>
      <w:r>
        <w:rPr>
          <w:spacing w:val="2"/>
          <w:sz w:val="12"/>
        </w:rPr>
        <w:t xml:space="preserve"> </w:t>
      </w:r>
      <w:r>
        <w:rPr>
          <w:sz w:val="12"/>
        </w:rPr>
        <w:t>de</w:t>
      </w:r>
      <w:r>
        <w:rPr>
          <w:spacing w:val="2"/>
          <w:sz w:val="12"/>
        </w:rPr>
        <w:t xml:space="preserve"> </w:t>
      </w:r>
      <w:r>
        <w:rPr>
          <w:sz w:val="12"/>
        </w:rPr>
        <w:t>julio</w:t>
      </w:r>
      <w:r>
        <w:rPr>
          <w:spacing w:val="1"/>
          <w:sz w:val="12"/>
        </w:rPr>
        <w:t xml:space="preserve"> </w:t>
      </w:r>
      <w:r>
        <w:rPr>
          <w:sz w:val="12"/>
        </w:rPr>
        <w:t>de</w:t>
      </w:r>
      <w:r>
        <w:rPr>
          <w:spacing w:val="2"/>
          <w:sz w:val="12"/>
        </w:rPr>
        <w:t xml:space="preserve"> </w:t>
      </w:r>
      <w:r>
        <w:rPr>
          <w:sz w:val="12"/>
        </w:rPr>
        <w:t>2015,</w:t>
      </w:r>
      <w:r>
        <w:rPr>
          <w:spacing w:val="2"/>
          <w:sz w:val="12"/>
        </w:rPr>
        <w:t xml:space="preserve"> </w:t>
      </w:r>
      <w:r>
        <w:rPr>
          <w:sz w:val="12"/>
        </w:rPr>
        <w:t>párr.</w:t>
      </w:r>
      <w:r>
        <w:rPr>
          <w:spacing w:val="2"/>
          <w:sz w:val="12"/>
        </w:rPr>
        <w:t xml:space="preserve"> </w:t>
      </w:r>
      <w:r>
        <w:rPr>
          <w:spacing w:val="-4"/>
          <w:sz w:val="12"/>
        </w:rPr>
        <w:t>128.</w:t>
      </w:r>
    </w:p>
    <w:p w14:paraId="6090D9D9" w14:textId="77777777" w:rsidR="0014798C" w:rsidRDefault="004E1F0B">
      <w:pPr>
        <w:spacing w:before="87"/>
        <w:ind w:left="1105"/>
        <w:rPr>
          <w:sz w:val="12"/>
        </w:rPr>
      </w:pPr>
      <w:r>
        <w:rPr>
          <w:sz w:val="12"/>
        </w:rPr>
        <w:t>436</w:t>
      </w:r>
      <w:r>
        <w:rPr>
          <w:spacing w:val="-5"/>
          <w:sz w:val="12"/>
        </w:rPr>
        <w:t xml:space="preserve"> </w:t>
      </w:r>
      <w:r>
        <w:rPr>
          <w:sz w:val="12"/>
        </w:rPr>
        <w:t>Convención</w:t>
      </w:r>
      <w:r>
        <w:rPr>
          <w:spacing w:val="-4"/>
          <w:sz w:val="12"/>
        </w:rPr>
        <w:t xml:space="preserve"> </w:t>
      </w:r>
      <w:r>
        <w:rPr>
          <w:sz w:val="12"/>
        </w:rPr>
        <w:t>Internacional</w:t>
      </w:r>
      <w:r>
        <w:rPr>
          <w:spacing w:val="-5"/>
          <w:sz w:val="12"/>
        </w:rPr>
        <w:t xml:space="preserve"> </w:t>
      </w:r>
      <w:r>
        <w:rPr>
          <w:sz w:val="12"/>
        </w:rPr>
        <w:t>sobre</w:t>
      </w:r>
      <w:r>
        <w:rPr>
          <w:spacing w:val="-4"/>
          <w:sz w:val="12"/>
        </w:rPr>
        <w:t xml:space="preserve"> </w:t>
      </w:r>
      <w:r>
        <w:rPr>
          <w:sz w:val="12"/>
        </w:rPr>
        <w:t>la</w:t>
      </w:r>
      <w:r>
        <w:rPr>
          <w:spacing w:val="-5"/>
          <w:sz w:val="12"/>
        </w:rPr>
        <w:t xml:space="preserve"> </w:t>
      </w:r>
      <w:r>
        <w:rPr>
          <w:sz w:val="12"/>
        </w:rPr>
        <w:t>Eliminación</w:t>
      </w:r>
      <w:r>
        <w:rPr>
          <w:spacing w:val="-4"/>
          <w:sz w:val="12"/>
        </w:rPr>
        <w:t xml:space="preserve"> </w:t>
      </w:r>
      <w:r>
        <w:rPr>
          <w:sz w:val="12"/>
        </w:rPr>
        <w:t>de</w:t>
      </w:r>
      <w:r>
        <w:rPr>
          <w:spacing w:val="-5"/>
          <w:sz w:val="12"/>
        </w:rPr>
        <w:t xml:space="preserve"> </w:t>
      </w:r>
      <w:r>
        <w:rPr>
          <w:sz w:val="12"/>
        </w:rPr>
        <w:t>todas</w:t>
      </w:r>
      <w:r>
        <w:rPr>
          <w:spacing w:val="-4"/>
          <w:sz w:val="12"/>
        </w:rPr>
        <w:t xml:space="preserve"> </w:t>
      </w:r>
      <w:r>
        <w:rPr>
          <w:sz w:val="12"/>
        </w:rPr>
        <w:t>las</w:t>
      </w:r>
      <w:r>
        <w:rPr>
          <w:spacing w:val="-5"/>
          <w:sz w:val="12"/>
        </w:rPr>
        <w:t xml:space="preserve"> </w:t>
      </w:r>
      <w:r>
        <w:rPr>
          <w:sz w:val="12"/>
        </w:rPr>
        <w:t>Formas</w:t>
      </w:r>
      <w:r>
        <w:rPr>
          <w:spacing w:val="-4"/>
          <w:sz w:val="12"/>
        </w:rPr>
        <w:t xml:space="preserve"> </w:t>
      </w:r>
      <w:r>
        <w:rPr>
          <w:sz w:val="12"/>
        </w:rPr>
        <w:t>de</w:t>
      </w:r>
      <w:r>
        <w:rPr>
          <w:spacing w:val="-5"/>
          <w:sz w:val="12"/>
        </w:rPr>
        <w:t xml:space="preserve"> </w:t>
      </w:r>
      <w:r>
        <w:rPr>
          <w:sz w:val="12"/>
        </w:rPr>
        <w:t>Discriminación</w:t>
      </w:r>
      <w:r>
        <w:rPr>
          <w:spacing w:val="-4"/>
          <w:sz w:val="12"/>
        </w:rPr>
        <w:t xml:space="preserve"> </w:t>
      </w:r>
      <w:r>
        <w:rPr>
          <w:sz w:val="12"/>
        </w:rPr>
        <w:t>Racial,</w:t>
      </w:r>
      <w:r>
        <w:rPr>
          <w:spacing w:val="-5"/>
          <w:sz w:val="12"/>
        </w:rPr>
        <w:t xml:space="preserve"> </w:t>
      </w:r>
      <w:r>
        <w:rPr>
          <w:sz w:val="12"/>
        </w:rPr>
        <w:t>arts.</w:t>
      </w:r>
      <w:r>
        <w:rPr>
          <w:spacing w:val="-4"/>
          <w:sz w:val="12"/>
        </w:rPr>
        <w:t xml:space="preserve"> </w:t>
      </w:r>
      <w:r>
        <w:rPr>
          <w:sz w:val="12"/>
        </w:rPr>
        <w:t>1</w:t>
      </w:r>
      <w:r>
        <w:rPr>
          <w:spacing w:val="-5"/>
          <w:sz w:val="12"/>
        </w:rPr>
        <w:t xml:space="preserve"> </w:t>
      </w:r>
      <w:r>
        <w:rPr>
          <w:sz w:val="12"/>
        </w:rPr>
        <w:t>(4)</w:t>
      </w:r>
      <w:r>
        <w:rPr>
          <w:spacing w:val="-4"/>
          <w:sz w:val="12"/>
        </w:rPr>
        <w:t xml:space="preserve"> </w:t>
      </w:r>
      <w:r>
        <w:rPr>
          <w:sz w:val="12"/>
        </w:rPr>
        <w:t>y</w:t>
      </w:r>
      <w:r>
        <w:rPr>
          <w:spacing w:val="-5"/>
          <w:sz w:val="12"/>
        </w:rPr>
        <w:t xml:space="preserve"> </w:t>
      </w:r>
      <w:r>
        <w:rPr>
          <w:sz w:val="12"/>
        </w:rPr>
        <w:t>2</w:t>
      </w:r>
      <w:r>
        <w:rPr>
          <w:spacing w:val="-4"/>
          <w:sz w:val="12"/>
        </w:rPr>
        <w:t xml:space="preserve"> </w:t>
      </w:r>
      <w:r>
        <w:rPr>
          <w:sz w:val="12"/>
        </w:rPr>
        <w:t>(</w:t>
      </w:r>
      <w:proofErr w:type="gramStart"/>
      <w:r>
        <w:rPr>
          <w:sz w:val="12"/>
        </w:rPr>
        <w:t>2);</w:t>
      </w:r>
      <w:proofErr w:type="gramEnd"/>
      <w:r>
        <w:rPr>
          <w:spacing w:val="-5"/>
          <w:sz w:val="12"/>
        </w:rPr>
        <w:t xml:space="preserve"> </w:t>
      </w:r>
      <w:r>
        <w:rPr>
          <w:sz w:val="12"/>
        </w:rPr>
        <w:t>Comité</w:t>
      </w:r>
      <w:r>
        <w:rPr>
          <w:spacing w:val="-4"/>
          <w:sz w:val="12"/>
        </w:rPr>
        <w:t xml:space="preserve"> </w:t>
      </w:r>
      <w:r>
        <w:rPr>
          <w:sz w:val="12"/>
        </w:rPr>
        <w:t>para</w:t>
      </w:r>
      <w:r>
        <w:rPr>
          <w:spacing w:val="-5"/>
          <w:sz w:val="12"/>
        </w:rPr>
        <w:t xml:space="preserve"> </w:t>
      </w:r>
      <w:r>
        <w:rPr>
          <w:sz w:val="12"/>
        </w:rPr>
        <w:t>la</w:t>
      </w:r>
      <w:r>
        <w:rPr>
          <w:spacing w:val="-4"/>
          <w:sz w:val="12"/>
        </w:rPr>
        <w:t xml:space="preserve"> </w:t>
      </w:r>
      <w:r>
        <w:rPr>
          <w:sz w:val="12"/>
        </w:rPr>
        <w:t>Eliminación</w:t>
      </w:r>
      <w:r>
        <w:rPr>
          <w:spacing w:val="-5"/>
          <w:sz w:val="12"/>
        </w:rPr>
        <w:t xml:space="preserve"> de</w:t>
      </w:r>
    </w:p>
    <w:p w14:paraId="30024774" w14:textId="77777777" w:rsidR="0014798C" w:rsidRDefault="004E1F0B">
      <w:pPr>
        <w:spacing w:before="53" w:line="312" w:lineRule="auto"/>
        <w:ind w:left="1366" w:right="1378" w:firstLine="1"/>
        <w:rPr>
          <w:sz w:val="12"/>
        </w:rPr>
      </w:pPr>
      <w:r>
        <w:rPr>
          <w:sz w:val="12"/>
        </w:rPr>
        <w:t xml:space="preserve">Discriminación racial, recomendación general núm. 32 (2009), </w:t>
      </w:r>
      <w:proofErr w:type="spellStart"/>
      <w:r>
        <w:rPr>
          <w:sz w:val="12"/>
        </w:rPr>
        <w:t>párrs</w:t>
      </w:r>
      <w:proofErr w:type="spellEnd"/>
      <w:r>
        <w:rPr>
          <w:sz w:val="12"/>
        </w:rPr>
        <w:t xml:space="preserve">. 11 y </w:t>
      </w:r>
      <w:r>
        <w:rPr>
          <w:w w:val="90"/>
          <w:sz w:val="12"/>
        </w:rPr>
        <w:t xml:space="preserve">14; </w:t>
      </w:r>
      <w:r>
        <w:rPr>
          <w:sz w:val="12"/>
        </w:rPr>
        <w:t>Convención sobre la eliminación de todas las formas de discriminación contra la mujer,</w:t>
      </w:r>
      <w:r>
        <w:rPr>
          <w:spacing w:val="40"/>
          <w:sz w:val="12"/>
        </w:rPr>
        <w:t xml:space="preserve"> </w:t>
      </w:r>
      <w:r>
        <w:rPr>
          <w:sz w:val="12"/>
        </w:rPr>
        <w:t xml:space="preserve">art. 4 </w:t>
      </w:r>
      <w:r>
        <w:rPr>
          <w:w w:val="90"/>
          <w:sz w:val="12"/>
        </w:rPr>
        <w:t>(</w:t>
      </w:r>
      <w:proofErr w:type="gramStart"/>
      <w:r>
        <w:rPr>
          <w:w w:val="90"/>
          <w:sz w:val="12"/>
        </w:rPr>
        <w:t>1);</w:t>
      </w:r>
      <w:proofErr w:type="gramEnd"/>
      <w:r>
        <w:rPr>
          <w:w w:val="90"/>
          <w:sz w:val="12"/>
        </w:rPr>
        <w:t xml:space="preserve"> </w:t>
      </w:r>
      <w:r>
        <w:rPr>
          <w:sz w:val="12"/>
        </w:rPr>
        <w:t xml:space="preserve">Comité para la Eliminación de la Discriminación contra la Mujer, recomendación general núm. 25 (2004), párr. </w:t>
      </w:r>
      <w:r>
        <w:rPr>
          <w:w w:val="90"/>
          <w:sz w:val="12"/>
        </w:rPr>
        <w:t xml:space="preserve">24; </w:t>
      </w:r>
      <w:r>
        <w:rPr>
          <w:sz w:val="12"/>
        </w:rPr>
        <w:t>Convención sobre los Derechos de las</w:t>
      </w:r>
      <w:r>
        <w:rPr>
          <w:spacing w:val="40"/>
          <w:sz w:val="12"/>
        </w:rPr>
        <w:t xml:space="preserve"> </w:t>
      </w:r>
      <w:r>
        <w:rPr>
          <w:sz w:val="12"/>
        </w:rPr>
        <w:t xml:space="preserve">Personas con Discapacidad, arts. 5 (4) y 27 (1) </w:t>
      </w:r>
      <w:r>
        <w:rPr>
          <w:w w:val="90"/>
          <w:sz w:val="12"/>
        </w:rPr>
        <w:t>(h);</w:t>
      </w:r>
      <w:r>
        <w:rPr>
          <w:sz w:val="12"/>
        </w:rPr>
        <w:t xml:space="preserve"> Comité sobre los Derechos de las Personas con Discapacidad, observación general núm. 6 (2018), párr.</w:t>
      </w:r>
      <w:r>
        <w:rPr>
          <w:spacing w:val="40"/>
          <w:sz w:val="12"/>
        </w:rPr>
        <w:t xml:space="preserve"> </w:t>
      </w:r>
      <w:r>
        <w:rPr>
          <w:sz w:val="12"/>
        </w:rPr>
        <w:t xml:space="preserve">dieciséis; Comité de Derechos Económicos, Sociales y Culturales, observación general núm. 20 (2009), párr. </w:t>
      </w:r>
      <w:r>
        <w:rPr>
          <w:w w:val="90"/>
          <w:sz w:val="12"/>
        </w:rPr>
        <w:t xml:space="preserve">9; </w:t>
      </w:r>
      <w:r>
        <w:rPr>
          <w:sz w:val="12"/>
        </w:rPr>
        <w:t>Comité de Derechos Humanos, observación general</w:t>
      </w:r>
      <w:r>
        <w:rPr>
          <w:spacing w:val="40"/>
          <w:sz w:val="12"/>
        </w:rPr>
        <w:t xml:space="preserve"> </w:t>
      </w:r>
      <w:r>
        <w:rPr>
          <w:sz w:val="12"/>
        </w:rPr>
        <w:t xml:space="preserve">núm. 18 (1989), párr. </w:t>
      </w:r>
      <w:r>
        <w:rPr>
          <w:w w:val="90"/>
          <w:sz w:val="12"/>
        </w:rPr>
        <w:t xml:space="preserve">10; </w:t>
      </w:r>
      <w:r>
        <w:rPr>
          <w:sz w:val="12"/>
        </w:rPr>
        <w:t>y Comité de Derechos Humanos, observación general núm. 28 (2000), párr. 3.</w:t>
      </w:r>
    </w:p>
    <w:p w14:paraId="627BFD03" w14:textId="77777777" w:rsidR="0014798C" w:rsidRDefault="0014798C">
      <w:pPr>
        <w:spacing w:line="312" w:lineRule="auto"/>
        <w:rPr>
          <w:sz w:val="12"/>
        </w:rPr>
        <w:sectPr w:rsidR="0014798C" w:rsidSect="00F265E4">
          <w:pgSz w:w="11900" w:h="16820"/>
          <w:pgMar w:top="340" w:right="0" w:bottom="280" w:left="200" w:header="121" w:footer="0" w:gutter="0"/>
          <w:cols w:space="720"/>
        </w:sectPr>
      </w:pPr>
    </w:p>
    <w:p w14:paraId="49A64E0E" w14:textId="77777777" w:rsidR="0014798C" w:rsidRDefault="004E1F0B">
      <w:pPr>
        <w:spacing w:before="7"/>
        <w:jc w:val="right"/>
        <w:rPr>
          <w:sz w:val="8"/>
        </w:rPr>
      </w:pPr>
      <w:r>
        <w:rPr>
          <w:spacing w:val="-5"/>
          <w:w w:val="105"/>
          <w:sz w:val="8"/>
        </w:rPr>
        <w:t>437</w:t>
      </w:r>
    </w:p>
    <w:p w14:paraId="0C0D537E" w14:textId="77777777" w:rsidR="0014798C" w:rsidRDefault="004E1F0B">
      <w:pPr>
        <w:spacing w:before="59"/>
        <w:ind w:left="83"/>
        <w:rPr>
          <w:sz w:val="12"/>
        </w:rPr>
      </w:pPr>
      <w:r>
        <w:br w:type="column"/>
      </w:r>
      <w:r>
        <w:rPr>
          <w:sz w:val="12"/>
        </w:rPr>
        <w:t>Véase,</w:t>
      </w:r>
      <w:r>
        <w:rPr>
          <w:spacing w:val="2"/>
          <w:sz w:val="12"/>
        </w:rPr>
        <w:t xml:space="preserve"> </w:t>
      </w:r>
      <w:r>
        <w:rPr>
          <w:sz w:val="12"/>
        </w:rPr>
        <w:t>por</w:t>
      </w:r>
      <w:r>
        <w:rPr>
          <w:spacing w:val="3"/>
          <w:sz w:val="12"/>
        </w:rPr>
        <w:t xml:space="preserve"> </w:t>
      </w:r>
      <w:r>
        <w:rPr>
          <w:sz w:val="12"/>
        </w:rPr>
        <w:t>ejemplo,</w:t>
      </w:r>
      <w:r>
        <w:rPr>
          <w:spacing w:val="3"/>
          <w:sz w:val="12"/>
        </w:rPr>
        <w:t xml:space="preserve"> </w:t>
      </w:r>
      <w:r>
        <w:rPr>
          <w:sz w:val="12"/>
        </w:rPr>
        <w:t>Comité</w:t>
      </w:r>
      <w:r>
        <w:rPr>
          <w:spacing w:val="3"/>
          <w:sz w:val="12"/>
        </w:rPr>
        <w:t xml:space="preserve"> </w:t>
      </w:r>
      <w:r>
        <w:rPr>
          <w:sz w:val="12"/>
        </w:rPr>
        <w:t>de</w:t>
      </w:r>
      <w:r>
        <w:rPr>
          <w:spacing w:val="2"/>
          <w:sz w:val="12"/>
        </w:rPr>
        <w:t xml:space="preserve"> </w:t>
      </w:r>
      <w:r>
        <w:rPr>
          <w:sz w:val="12"/>
        </w:rPr>
        <w:t>Derechos</w:t>
      </w:r>
      <w:r>
        <w:rPr>
          <w:spacing w:val="3"/>
          <w:sz w:val="12"/>
        </w:rPr>
        <w:t xml:space="preserve"> </w:t>
      </w:r>
      <w:r>
        <w:rPr>
          <w:sz w:val="12"/>
        </w:rPr>
        <w:t>Humanos,</w:t>
      </w:r>
      <w:r>
        <w:rPr>
          <w:spacing w:val="4"/>
          <w:sz w:val="12"/>
        </w:rPr>
        <w:t xml:space="preserve"> </w:t>
      </w:r>
      <w:r>
        <w:rPr>
          <w:sz w:val="12"/>
        </w:rPr>
        <w:t>observación</w:t>
      </w:r>
      <w:r>
        <w:rPr>
          <w:spacing w:val="2"/>
          <w:sz w:val="12"/>
        </w:rPr>
        <w:t xml:space="preserve"> </w:t>
      </w:r>
      <w:r>
        <w:rPr>
          <w:sz w:val="12"/>
        </w:rPr>
        <w:t>general</w:t>
      </w:r>
      <w:r>
        <w:rPr>
          <w:spacing w:val="3"/>
          <w:sz w:val="12"/>
        </w:rPr>
        <w:t xml:space="preserve"> </w:t>
      </w:r>
      <w:r>
        <w:rPr>
          <w:sz w:val="12"/>
        </w:rPr>
        <w:t>núm.</w:t>
      </w:r>
      <w:r>
        <w:rPr>
          <w:spacing w:val="2"/>
          <w:sz w:val="12"/>
        </w:rPr>
        <w:t xml:space="preserve"> </w:t>
      </w:r>
      <w:r>
        <w:rPr>
          <w:sz w:val="12"/>
        </w:rPr>
        <w:t>18</w:t>
      </w:r>
      <w:r>
        <w:rPr>
          <w:spacing w:val="3"/>
          <w:sz w:val="12"/>
        </w:rPr>
        <w:t xml:space="preserve"> </w:t>
      </w:r>
      <w:r>
        <w:rPr>
          <w:sz w:val="12"/>
        </w:rPr>
        <w:t>(1989),</w:t>
      </w:r>
      <w:r>
        <w:rPr>
          <w:spacing w:val="3"/>
          <w:sz w:val="12"/>
        </w:rPr>
        <w:t xml:space="preserve"> </w:t>
      </w:r>
      <w:r>
        <w:rPr>
          <w:sz w:val="12"/>
        </w:rPr>
        <w:t>párr.</w:t>
      </w:r>
      <w:r>
        <w:rPr>
          <w:spacing w:val="4"/>
          <w:sz w:val="12"/>
        </w:rPr>
        <w:t xml:space="preserve"> </w:t>
      </w:r>
      <w:r>
        <w:rPr>
          <w:sz w:val="12"/>
        </w:rPr>
        <w:t>10.</w:t>
      </w:r>
      <w:r>
        <w:rPr>
          <w:spacing w:val="3"/>
          <w:sz w:val="12"/>
        </w:rPr>
        <w:t xml:space="preserve"> </w:t>
      </w:r>
      <w:r>
        <w:rPr>
          <w:sz w:val="12"/>
        </w:rPr>
        <w:t>Véase</w:t>
      </w:r>
      <w:r>
        <w:rPr>
          <w:spacing w:val="2"/>
          <w:sz w:val="12"/>
        </w:rPr>
        <w:t xml:space="preserve"> </w:t>
      </w:r>
      <w:r>
        <w:rPr>
          <w:sz w:val="12"/>
        </w:rPr>
        <w:t>también</w:t>
      </w:r>
      <w:r>
        <w:rPr>
          <w:spacing w:val="3"/>
          <w:sz w:val="12"/>
        </w:rPr>
        <w:t xml:space="preserve"> </w:t>
      </w:r>
      <w:r>
        <w:rPr>
          <w:sz w:val="12"/>
        </w:rPr>
        <w:t>Comité</w:t>
      </w:r>
      <w:r>
        <w:rPr>
          <w:spacing w:val="2"/>
          <w:sz w:val="12"/>
        </w:rPr>
        <w:t xml:space="preserve"> </w:t>
      </w:r>
      <w:r>
        <w:rPr>
          <w:sz w:val="12"/>
        </w:rPr>
        <w:t>para</w:t>
      </w:r>
      <w:r>
        <w:rPr>
          <w:spacing w:val="3"/>
          <w:sz w:val="12"/>
        </w:rPr>
        <w:t xml:space="preserve"> </w:t>
      </w:r>
      <w:r>
        <w:rPr>
          <w:sz w:val="12"/>
        </w:rPr>
        <w:t>la</w:t>
      </w:r>
      <w:r>
        <w:rPr>
          <w:spacing w:val="2"/>
          <w:sz w:val="12"/>
        </w:rPr>
        <w:t xml:space="preserve"> </w:t>
      </w:r>
      <w:r>
        <w:rPr>
          <w:sz w:val="12"/>
        </w:rPr>
        <w:t>Eliminación</w:t>
      </w:r>
      <w:r>
        <w:rPr>
          <w:spacing w:val="3"/>
          <w:sz w:val="12"/>
        </w:rPr>
        <w:t xml:space="preserve"> </w:t>
      </w:r>
      <w:r>
        <w:rPr>
          <w:sz w:val="12"/>
        </w:rPr>
        <w:t>de</w:t>
      </w:r>
      <w:r>
        <w:rPr>
          <w:spacing w:val="2"/>
          <w:sz w:val="12"/>
        </w:rPr>
        <w:t xml:space="preserve"> </w:t>
      </w:r>
      <w:r>
        <w:rPr>
          <w:spacing w:val="-5"/>
          <w:sz w:val="12"/>
        </w:rPr>
        <w:t>la</w:t>
      </w:r>
    </w:p>
    <w:p w14:paraId="7648CB88" w14:textId="77777777" w:rsidR="0014798C" w:rsidRDefault="004E1F0B">
      <w:pPr>
        <w:spacing w:before="42" w:line="256" w:lineRule="auto"/>
        <w:ind w:left="83" w:right="1553" w:hanging="3"/>
        <w:rPr>
          <w:sz w:val="12"/>
        </w:rPr>
      </w:pPr>
      <w:r>
        <w:rPr>
          <w:sz w:val="12"/>
        </w:rPr>
        <w:t>Discriminación</w:t>
      </w:r>
      <w:r>
        <w:rPr>
          <w:spacing w:val="6"/>
          <w:sz w:val="12"/>
        </w:rPr>
        <w:t xml:space="preserve"> </w:t>
      </w:r>
      <w:r>
        <w:rPr>
          <w:sz w:val="12"/>
        </w:rPr>
        <w:t>contra</w:t>
      </w:r>
      <w:r>
        <w:rPr>
          <w:spacing w:val="6"/>
          <w:sz w:val="12"/>
        </w:rPr>
        <w:t xml:space="preserve"> </w:t>
      </w:r>
      <w:r>
        <w:rPr>
          <w:sz w:val="12"/>
        </w:rPr>
        <w:t>la</w:t>
      </w:r>
      <w:r>
        <w:rPr>
          <w:spacing w:val="6"/>
          <w:sz w:val="12"/>
        </w:rPr>
        <w:t xml:space="preserve"> </w:t>
      </w:r>
      <w:r>
        <w:rPr>
          <w:sz w:val="12"/>
        </w:rPr>
        <w:t>Mujer,</w:t>
      </w:r>
      <w:r>
        <w:rPr>
          <w:spacing w:val="8"/>
          <w:sz w:val="12"/>
        </w:rPr>
        <w:t xml:space="preserve"> </w:t>
      </w:r>
      <w:r>
        <w:rPr>
          <w:sz w:val="12"/>
        </w:rPr>
        <w:t>recomendación</w:t>
      </w:r>
      <w:r>
        <w:rPr>
          <w:spacing w:val="6"/>
          <w:sz w:val="12"/>
        </w:rPr>
        <w:t xml:space="preserve"> </w:t>
      </w:r>
      <w:r>
        <w:rPr>
          <w:sz w:val="12"/>
        </w:rPr>
        <w:t>general</w:t>
      </w:r>
      <w:r>
        <w:rPr>
          <w:spacing w:val="6"/>
          <w:sz w:val="12"/>
        </w:rPr>
        <w:t xml:space="preserve"> </w:t>
      </w:r>
      <w:r>
        <w:rPr>
          <w:sz w:val="12"/>
        </w:rPr>
        <w:t>núm.</w:t>
      </w:r>
      <w:r>
        <w:rPr>
          <w:spacing w:val="6"/>
          <w:sz w:val="12"/>
        </w:rPr>
        <w:t xml:space="preserve"> </w:t>
      </w:r>
      <w:r>
        <w:rPr>
          <w:sz w:val="12"/>
        </w:rPr>
        <w:t>25</w:t>
      </w:r>
      <w:r>
        <w:rPr>
          <w:spacing w:val="6"/>
          <w:sz w:val="12"/>
        </w:rPr>
        <w:t xml:space="preserve"> </w:t>
      </w:r>
      <w:r>
        <w:rPr>
          <w:sz w:val="12"/>
        </w:rPr>
        <w:t>(2004),</w:t>
      </w:r>
      <w:r>
        <w:rPr>
          <w:spacing w:val="8"/>
          <w:sz w:val="12"/>
        </w:rPr>
        <w:t xml:space="preserve"> </w:t>
      </w:r>
      <w:r>
        <w:rPr>
          <w:sz w:val="12"/>
        </w:rPr>
        <w:t>nota</w:t>
      </w:r>
      <w:r>
        <w:rPr>
          <w:spacing w:val="6"/>
          <w:sz w:val="12"/>
        </w:rPr>
        <w:t xml:space="preserve"> </w:t>
      </w:r>
      <w:r>
        <w:rPr>
          <w:sz w:val="12"/>
        </w:rPr>
        <w:t>final</w:t>
      </w:r>
      <w:r>
        <w:rPr>
          <w:spacing w:val="6"/>
          <w:sz w:val="12"/>
        </w:rPr>
        <w:t xml:space="preserve"> </w:t>
      </w:r>
      <w:r>
        <w:rPr>
          <w:sz w:val="12"/>
        </w:rPr>
        <w:t>4:</w:t>
      </w:r>
      <w:r>
        <w:rPr>
          <w:spacing w:val="6"/>
          <w:sz w:val="12"/>
        </w:rPr>
        <w:t xml:space="preserve"> </w:t>
      </w:r>
      <w:r>
        <w:rPr>
          <w:sz w:val="12"/>
        </w:rPr>
        <w:t>“El</w:t>
      </w:r>
      <w:r>
        <w:rPr>
          <w:spacing w:val="6"/>
          <w:sz w:val="12"/>
        </w:rPr>
        <w:t xml:space="preserve"> </w:t>
      </w:r>
      <w:r>
        <w:rPr>
          <w:sz w:val="12"/>
        </w:rPr>
        <w:t>término</w:t>
      </w:r>
      <w:r>
        <w:rPr>
          <w:spacing w:val="6"/>
          <w:sz w:val="12"/>
        </w:rPr>
        <w:t xml:space="preserve"> </w:t>
      </w:r>
      <w:r>
        <w:rPr>
          <w:sz w:val="12"/>
        </w:rPr>
        <w:t>'acción</w:t>
      </w:r>
      <w:r>
        <w:rPr>
          <w:spacing w:val="6"/>
          <w:sz w:val="12"/>
        </w:rPr>
        <w:t xml:space="preserve"> </w:t>
      </w:r>
      <w:r>
        <w:rPr>
          <w:sz w:val="12"/>
        </w:rPr>
        <w:t>afirmativa'</w:t>
      </w:r>
      <w:r>
        <w:rPr>
          <w:spacing w:val="8"/>
          <w:sz w:val="12"/>
        </w:rPr>
        <w:t xml:space="preserve"> </w:t>
      </w:r>
      <w:r>
        <w:rPr>
          <w:sz w:val="12"/>
        </w:rPr>
        <w:t>se</w:t>
      </w:r>
      <w:r>
        <w:rPr>
          <w:spacing w:val="6"/>
          <w:sz w:val="12"/>
        </w:rPr>
        <w:t xml:space="preserve"> </w:t>
      </w:r>
      <w:r>
        <w:rPr>
          <w:sz w:val="12"/>
        </w:rPr>
        <w:t>utiliza</w:t>
      </w:r>
      <w:r>
        <w:rPr>
          <w:spacing w:val="6"/>
          <w:sz w:val="12"/>
        </w:rPr>
        <w:t xml:space="preserve"> </w:t>
      </w:r>
      <w:r>
        <w:rPr>
          <w:sz w:val="12"/>
        </w:rPr>
        <w:t>en</w:t>
      </w:r>
      <w:r>
        <w:rPr>
          <w:spacing w:val="6"/>
          <w:sz w:val="12"/>
        </w:rPr>
        <w:t xml:space="preserve"> </w:t>
      </w:r>
      <w:r>
        <w:rPr>
          <w:sz w:val="12"/>
        </w:rPr>
        <w:t>los</w:t>
      </w:r>
      <w:r>
        <w:rPr>
          <w:spacing w:val="6"/>
          <w:sz w:val="12"/>
        </w:rPr>
        <w:t xml:space="preserve"> </w:t>
      </w:r>
      <w:r>
        <w:rPr>
          <w:sz w:val="12"/>
        </w:rPr>
        <w:t>Estados</w:t>
      </w:r>
      <w:r>
        <w:rPr>
          <w:spacing w:val="6"/>
          <w:sz w:val="12"/>
        </w:rPr>
        <w:t xml:space="preserve"> </w:t>
      </w:r>
      <w:r>
        <w:rPr>
          <w:sz w:val="12"/>
        </w:rPr>
        <w:t>Unidos</w:t>
      </w:r>
      <w:r>
        <w:rPr>
          <w:spacing w:val="6"/>
          <w:sz w:val="12"/>
        </w:rPr>
        <w:t xml:space="preserve"> </w:t>
      </w:r>
      <w:r>
        <w:rPr>
          <w:sz w:val="12"/>
        </w:rPr>
        <w:t>de</w:t>
      </w:r>
      <w:r>
        <w:rPr>
          <w:spacing w:val="6"/>
          <w:sz w:val="12"/>
        </w:rPr>
        <w:t xml:space="preserve"> </w:t>
      </w:r>
      <w:r>
        <w:rPr>
          <w:sz w:val="12"/>
        </w:rPr>
        <w:t>América</w:t>
      </w:r>
      <w:r>
        <w:rPr>
          <w:spacing w:val="6"/>
          <w:sz w:val="12"/>
        </w:rPr>
        <w:t xml:space="preserve"> </w:t>
      </w:r>
      <w:r>
        <w:rPr>
          <w:sz w:val="12"/>
        </w:rPr>
        <w:t>y</w:t>
      </w:r>
      <w:r>
        <w:rPr>
          <w:spacing w:val="40"/>
          <w:sz w:val="12"/>
        </w:rPr>
        <w:t xml:space="preserve"> </w:t>
      </w:r>
      <w:r>
        <w:rPr>
          <w:sz w:val="12"/>
        </w:rPr>
        <w:t>en varios documentos de las Naciones Unidas”.</w:t>
      </w:r>
    </w:p>
    <w:p w14:paraId="61B51A8A" w14:textId="77777777" w:rsidR="0014798C" w:rsidRDefault="0014798C">
      <w:pPr>
        <w:spacing w:line="256" w:lineRule="auto"/>
        <w:rPr>
          <w:sz w:val="12"/>
        </w:rPr>
        <w:sectPr w:rsidR="0014798C" w:rsidSect="00F265E4">
          <w:type w:val="continuous"/>
          <w:pgSz w:w="11900" w:h="16820"/>
          <w:pgMar w:top="40" w:right="0" w:bottom="280" w:left="200" w:header="121" w:footer="0" w:gutter="0"/>
          <w:cols w:num="2" w:space="720" w:equalWidth="0">
            <w:col w:w="1247" w:space="40"/>
            <w:col w:w="10413"/>
          </w:cols>
        </w:sectPr>
      </w:pPr>
    </w:p>
    <w:p w14:paraId="7BC7FCF7" w14:textId="77777777" w:rsidR="0014798C" w:rsidRDefault="004E1F0B">
      <w:pPr>
        <w:spacing w:before="114"/>
        <w:ind w:left="1105"/>
        <w:rPr>
          <w:sz w:val="12"/>
        </w:rPr>
      </w:pPr>
      <w:r>
        <w:rPr>
          <w:sz w:val="12"/>
        </w:rPr>
        <w:t>438</w:t>
      </w:r>
      <w:r>
        <w:rPr>
          <w:spacing w:val="-1"/>
          <w:sz w:val="12"/>
        </w:rPr>
        <w:t xml:space="preserve"> </w:t>
      </w:r>
      <w:r>
        <w:rPr>
          <w:sz w:val="12"/>
        </w:rPr>
        <w:t>Convención</w:t>
      </w:r>
      <w:r>
        <w:rPr>
          <w:spacing w:val="-1"/>
          <w:sz w:val="12"/>
        </w:rPr>
        <w:t xml:space="preserve"> </w:t>
      </w:r>
      <w:r>
        <w:rPr>
          <w:sz w:val="12"/>
        </w:rPr>
        <w:t>sobre</w:t>
      </w:r>
      <w:r>
        <w:rPr>
          <w:spacing w:val="-1"/>
          <w:sz w:val="12"/>
        </w:rPr>
        <w:t xml:space="preserve"> </w:t>
      </w:r>
      <w:r>
        <w:rPr>
          <w:sz w:val="12"/>
        </w:rPr>
        <w:t>la eliminación</w:t>
      </w:r>
      <w:r>
        <w:rPr>
          <w:spacing w:val="-1"/>
          <w:sz w:val="12"/>
        </w:rPr>
        <w:t xml:space="preserve"> </w:t>
      </w:r>
      <w:r>
        <w:rPr>
          <w:sz w:val="12"/>
        </w:rPr>
        <w:t>de</w:t>
      </w:r>
      <w:r>
        <w:rPr>
          <w:spacing w:val="-1"/>
          <w:sz w:val="12"/>
        </w:rPr>
        <w:t xml:space="preserve"> </w:t>
      </w:r>
      <w:r>
        <w:rPr>
          <w:sz w:val="12"/>
        </w:rPr>
        <w:t>todas las</w:t>
      </w:r>
      <w:r>
        <w:rPr>
          <w:spacing w:val="-1"/>
          <w:sz w:val="12"/>
        </w:rPr>
        <w:t xml:space="preserve"> </w:t>
      </w:r>
      <w:r>
        <w:rPr>
          <w:sz w:val="12"/>
        </w:rPr>
        <w:t>formas</w:t>
      </w:r>
      <w:r>
        <w:rPr>
          <w:spacing w:val="-1"/>
          <w:sz w:val="12"/>
        </w:rPr>
        <w:t xml:space="preserve"> </w:t>
      </w:r>
      <w:r>
        <w:rPr>
          <w:sz w:val="12"/>
        </w:rPr>
        <w:t>de discriminación</w:t>
      </w:r>
      <w:r>
        <w:rPr>
          <w:spacing w:val="-1"/>
          <w:sz w:val="12"/>
        </w:rPr>
        <w:t xml:space="preserve"> </w:t>
      </w:r>
      <w:r>
        <w:rPr>
          <w:sz w:val="12"/>
        </w:rPr>
        <w:t>contra</w:t>
      </w:r>
      <w:r>
        <w:rPr>
          <w:spacing w:val="-1"/>
          <w:sz w:val="12"/>
        </w:rPr>
        <w:t xml:space="preserve"> </w:t>
      </w:r>
      <w:r>
        <w:rPr>
          <w:sz w:val="12"/>
        </w:rPr>
        <w:t>la mujer,</w:t>
      </w:r>
      <w:r>
        <w:rPr>
          <w:spacing w:val="-1"/>
          <w:sz w:val="12"/>
        </w:rPr>
        <w:t xml:space="preserve"> </w:t>
      </w:r>
      <w:r>
        <w:rPr>
          <w:sz w:val="12"/>
        </w:rPr>
        <w:t>art.</w:t>
      </w:r>
      <w:r>
        <w:rPr>
          <w:spacing w:val="-1"/>
          <w:sz w:val="12"/>
        </w:rPr>
        <w:t xml:space="preserve"> </w:t>
      </w:r>
      <w:r>
        <w:rPr>
          <w:sz w:val="12"/>
        </w:rPr>
        <w:t>4</w:t>
      </w:r>
      <w:r>
        <w:rPr>
          <w:spacing w:val="-1"/>
          <w:sz w:val="12"/>
        </w:rPr>
        <w:t xml:space="preserve"> </w:t>
      </w:r>
      <w:r>
        <w:rPr>
          <w:sz w:val="12"/>
        </w:rPr>
        <w:t>(1). El</w:t>
      </w:r>
      <w:r>
        <w:rPr>
          <w:spacing w:val="-1"/>
          <w:sz w:val="12"/>
        </w:rPr>
        <w:t xml:space="preserve"> </w:t>
      </w:r>
      <w:r>
        <w:rPr>
          <w:sz w:val="12"/>
        </w:rPr>
        <w:t>Comité</w:t>
      </w:r>
      <w:r>
        <w:rPr>
          <w:spacing w:val="-1"/>
          <w:sz w:val="12"/>
        </w:rPr>
        <w:t xml:space="preserve"> </w:t>
      </w:r>
      <w:r>
        <w:rPr>
          <w:sz w:val="12"/>
        </w:rPr>
        <w:t>para la</w:t>
      </w:r>
      <w:r>
        <w:rPr>
          <w:spacing w:val="-1"/>
          <w:sz w:val="12"/>
        </w:rPr>
        <w:t xml:space="preserve"> </w:t>
      </w:r>
      <w:r>
        <w:rPr>
          <w:sz w:val="12"/>
        </w:rPr>
        <w:t>Eliminación</w:t>
      </w:r>
      <w:r>
        <w:rPr>
          <w:spacing w:val="-1"/>
          <w:sz w:val="12"/>
        </w:rPr>
        <w:t xml:space="preserve"> </w:t>
      </w:r>
      <w:r>
        <w:rPr>
          <w:spacing w:val="-5"/>
          <w:sz w:val="12"/>
        </w:rPr>
        <w:t>de</w:t>
      </w:r>
    </w:p>
    <w:p w14:paraId="424091F5" w14:textId="77777777" w:rsidR="0014798C" w:rsidRDefault="004E1F0B">
      <w:pPr>
        <w:spacing w:before="49" w:line="312" w:lineRule="auto"/>
        <w:ind w:left="1363" w:right="1626" w:firstLine="4"/>
        <w:rPr>
          <w:sz w:val="12"/>
        </w:rPr>
      </w:pPr>
      <w:r>
        <w:rPr>
          <w:sz w:val="12"/>
        </w:rPr>
        <w:t>Discriminación contra la Mujer ha señalado que: “El término 'especial', aunque está en conformidad con el discurso de derechos humanos, también necesita ser</w:t>
      </w:r>
      <w:r>
        <w:rPr>
          <w:spacing w:val="40"/>
          <w:sz w:val="12"/>
        </w:rPr>
        <w:t xml:space="preserve"> </w:t>
      </w:r>
      <w:r>
        <w:rPr>
          <w:sz w:val="12"/>
        </w:rPr>
        <w:t>explicado cuidadosamente. Su uso a veces presenta a las mujeres y otros grupos que están sujetos a discriminación como débiles, vulnerables y necesitados de</w:t>
      </w:r>
      <w:r>
        <w:rPr>
          <w:spacing w:val="40"/>
          <w:sz w:val="12"/>
        </w:rPr>
        <w:t xml:space="preserve"> </w:t>
      </w:r>
      <w:r>
        <w:rPr>
          <w:sz w:val="12"/>
        </w:rPr>
        <w:t>medidas adicionales o "especiales" para poder participar o competir en la sociedad. Sin embargo, el verdadero significado de "especiales" en la formulación del</w:t>
      </w:r>
      <w:r>
        <w:rPr>
          <w:spacing w:val="40"/>
          <w:sz w:val="12"/>
        </w:rPr>
        <w:t xml:space="preserve"> </w:t>
      </w:r>
      <w:r>
        <w:rPr>
          <w:sz w:val="12"/>
        </w:rPr>
        <w:t>párrafo 1 del artículo 4 es que las medidas están diseñadas para alcanzar un objetivo específico”. Comité para la Eliminación de la Discriminación contra la Mujer,</w:t>
      </w:r>
      <w:r>
        <w:rPr>
          <w:spacing w:val="40"/>
          <w:sz w:val="12"/>
        </w:rPr>
        <w:t xml:space="preserve"> </w:t>
      </w:r>
      <w:r>
        <w:rPr>
          <w:sz w:val="12"/>
        </w:rPr>
        <w:t>recomendación general núm. 25 (2004), párr. 21.</w:t>
      </w:r>
    </w:p>
    <w:p w14:paraId="422C3228" w14:textId="77777777" w:rsidR="0014798C" w:rsidRDefault="004E1F0B">
      <w:pPr>
        <w:spacing w:before="52"/>
        <w:ind w:left="1105"/>
        <w:rPr>
          <w:sz w:val="12"/>
        </w:rPr>
      </w:pPr>
      <w:r>
        <w:rPr>
          <w:sz w:val="12"/>
        </w:rPr>
        <w:t>439 Convención sobre</w:t>
      </w:r>
      <w:r>
        <w:rPr>
          <w:spacing w:val="1"/>
          <w:sz w:val="12"/>
        </w:rPr>
        <w:t xml:space="preserve"> </w:t>
      </w:r>
      <w:r>
        <w:rPr>
          <w:sz w:val="12"/>
        </w:rPr>
        <w:t>los Derechos</w:t>
      </w:r>
      <w:r>
        <w:rPr>
          <w:spacing w:val="1"/>
          <w:sz w:val="12"/>
        </w:rPr>
        <w:t xml:space="preserve"> </w:t>
      </w:r>
      <w:r>
        <w:rPr>
          <w:sz w:val="12"/>
        </w:rPr>
        <w:t>de las Personas</w:t>
      </w:r>
      <w:r>
        <w:rPr>
          <w:spacing w:val="1"/>
          <w:sz w:val="12"/>
        </w:rPr>
        <w:t xml:space="preserve"> </w:t>
      </w:r>
      <w:r>
        <w:rPr>
          <w:sz w:val="12"/>
        </w:rPr>
        <w:t>con Discapacidad,</w:t>
      </w:r>
      <w:r>
        <w:rPr>
          <w:spacing w:val="2"/>
          <w:sz w:val="12"/>
        </w:rPr>
        <w:t xml:space="preserve"> </w:t>
      </w:r>
      <w:r>
        <w:rPr>
          <w:sz w:val="12"/>
        </w:rPr>
        <w:t xml:space="preserve">art. 5 </w:t>
      </w:r>
      <w:r>
        <w:rPr>
          <w:spacing w:val="-4"/>
          <w:sz w:val="12"/>
        </w:rPr>
        <w:t>(4).</w:t>
      </w:r>
    </w:p>
    <w:p w14:paraId="348CED51" w14:textId="77777777" w:rsidR="0014798C" w:rsidRDefault="0014798C">
      <w:pPr>
        <w:pStyle w:val="Textoindependiente"/>
        <w:rPr>
          <w:sz w:val="19"/>
        </w:rPr>
      </w:pPr>
    </w:p>
    <w:p w14:paraId="1D790C87" w14:textId="77777777" w:rsidR="0014798C" w:rsidRDefault="0014798C">
      <w:pPr>
        <w:pStyle w:val="Textoindependiente"/>
        <w:spacing w:before="197"/>
        <w:rPr>
          <w:sz w:val="19"/>
        </w:rPr>
      </w:pPr>
    </w:p>
    <w:p w14:paraId="47E25130" w14:textId="77777777" w:rsidR="0014798C" w:rsidRDefault="004E1F0B">
      <w:pPr>
        <w:ind w:left="548"/>
        <w:rPr>
          <w:sz w:val="19"/>
        </w:rPr>
      </w:pPr>
      <w:r>
        <w:rPr>
          <w:spacing w:val="-5"/>
          <w:sz w:val="19"/>
        </w:rPr>
        <w:t>56</w:t>
      </w:r>
    </w:p>
    <w:p w14:paraId="5051767A" w14:textId="77777777" w:rsidR="0014798C" w:rsidRDefault="0014798C">
      <w:pPr>
        <w:rPr>
          <w:sz w:val="19"/>
        </w:rPr>
        <w:sectPr w:rsidR="0014798C" w:rsidSect="00F265E4">
          <w:type w:val="continuous"/>
          <w:pgSz w:w="11900" w:h="16820"/>
          <w:pgMar w:top="40" w:right="0" w:bottom="280" w:left="200" w:header="121" w:footer="0" w:gutter="0"/>
          <w:cols w:space="720"/>
        </w:sectPr>
      </w:pPr>
    </w:p>
    <w:p w14:paraId="603B1091" w14:textId="77777777" w:rsidR="0014798C" w:rsidRDefault="0014798C">
      <w:pPr>
        <w:pStyle w:val="Textoindependiente"/>
        <w:spacing w:before="51"/>
        <w:rPr>
          <w:sz w:val="14"/>
        </w:rPr>
      </w:pPr>
    </w:p>
    <w:p w14:paraId="54F77A3E" w14:textId="77777777" w:rsidR="0014798C" w:rsidRDefault="004E1F0B">
      <w:pPr>
        <w:ind w:left="1111"/>
        <w:rPr>
          <w:sz w:val="14"/>
        </w:rPr>
      </w:pPr>
      <w:r>
        <w:rPr>
          <w:color w:val="00AC59"/>
          <w:sz w:val="14"/>
        </w:rPr>
        <w:t>SEGUNDA</w:t>
      </w:r>
      <w:r>
        <w:rPr>
          <w:color w:val="00AC59"/>
          <w:spacing w:val="-5"/>
          <w:sz w:val="14"/>
        </w:rPr>
        <w:t xml:space="preserve"> </w:t>
      </w:r>
      <w:r>
        <w:rPr>
          <w:color w:val="00AC59"/>
          <w:sz w:val="14"/>
        </w:rPr>
        <w:t>PARTE:</w:t>
      </w:r>
      <w:r>
        <w:rPr>
          <w:color w:val="00AC59"/>
          <w:spacing w:val="-5"/>
          <w:sz w:val="14"/>
        </w:rPr>
        <w:t xml:space="preserve"> </w:t>
      </w:r>
      <w:r>
        <w:rPr>
          <w:color w:val="00AC59"/>
          <w:sz w:val="14"/>
        </w:rPr>
        <w:t>CONTENIDO</w:t>
      </w:r>
      <w:r>
        <w:rPr>
          <w:color w:val="00AC59"/>
          <w:spacing w:val="-4"/>
          <w:sz w:val="14"/>
        </w:rPr>
        <w:t xml:space="preserve"> </w:t>
      </w:r>
      <w:r>
        <w:rPr>
          <w:color w:val="00AC59"/>
          <w:sz w:val="14"/>
        </w:rPr>
        <w:t>DE</w:t>
      </w:r>
      <w:r>
        <w:rPr>
          <w:color w:val="00AC59"/>
          <w:spacing w:val="-5"/>
          <w:sz w:val="14"/>
        </w:rPr>
        <w:t xml:space="preserve"> </w:t>
      </w:r>
      <w:r>
        <w:rPr>
          <w:color w:val="00AC59"/>
          <w:sz w:val="14"/>
        </w:rPr>
        <w:t>LA</w:t>
      </w:r>
      <w:r>
        <w:rPr>
          <w:color w:val="00AC59"/>
          <w:spacing w:val="-4"/>
          <w:sz w:val="14"/>
        </w:rPr>
        <w:t xml:space="preserve"> </w:t>
      </w:r>
      <w:r>
        <w:rPr>
          <w:color w:val="00AC59"/>
          <w:sz w:val="14"/>
        </w:rPr>
        <w:t>LEY</w:t>
      </w:r>
      <w:r>
        <w:rPr>
          <w:color w:val="00AC59"/>
          <w:spacing w:val="-4"/>
          <w:sz w:val="14"/>
        </w:rPr>
        <w:t xml:space="preserve"> </w:t>
      </w:r>
      <w:r>
        <w:rPr>
          <w:color w:val="00AC59"/>
          <w:sz w:val="14"/>
        </w:rPr>
        <w:t>INTEGRAL</w:t>
      </w:r>
      <w:r>
        <w:rPr>
          <w:color w:val="00AC59"/>
          <w:spacing w:val="-5"/>
          <w:sz w:val="14"/>
        </w:rPr>
        <w:t xml:space="preserve"> </w:t>
      </w:r>
      <w:r>
        <w:rPr>
          <w:color w:val="00AC59"/>
          <w:spacing w:val="-2"/>
          <w:sz w:val="14"/>
        </w:rPr>
        <w:t>ANTIDISCRIMINACIÓN</w:t>
      </w:r>
    </w:p>
    <w:p w14:paraId="3519881F" w14:textId="77777777" w:rsidR="0014798C" w:rsidRDefault="0014798C">
      <w:pPr>
        <w:pStyle w:val="Textoindependiente"/>
        <w:rPr>
          <w:sz w:val="15"/>
        </w:rPr>
      </w:pPr>
    </w:p>
    <w:p w14:paraId="2F87E0CF" w14:textId="77777777" w:rsidR="0014798C" w:rsidRDefault="0014798C">
      <w:pPr>
        <w:pStyle w:val="Textoindependiente"/>
        <w:rPr>
          <w:sz w:val="15"/>
        </w:rPr>
      </w:pPr>
    </w:p>
    <w:p w14:paraId="0AC82CFC" w14:textId="77777777" w:rsidR="0014798C" w:rsidRDefault="0014798C">
      <w:pPr>
        <w:pStyle w:val="Textoindependiente"/>
        <w:rPr>
          <w:sz w:val="15"/>
        </w:rPr>
      </w:pPr>
    </w:p>
    <w:p w14:paraId="3C727379" w14:textId="77777777" w:rsidR="0014798C" w:rsidRDefault="0014798C">
      <w:pPr>
        <w:pStyle w:val="Textoindependiente"/>
        <w:rPr>
          <w:sz w:val="15"/>
        </w:rPr>
      </w:pPr>
    </w:p>
    <w:p w14:paraId="0DC4BE14" w14:textId="77777777" w:rsidR="0014798C" w:rsidRDefault="0014798C">
      <w:pPr>
        <w:pStyle w:val="Textoindependiente"/>
        <w:spacing w:before="121"/>
        <w:rPr>
          <w:sz w:val="15"/>
        </w:rPr>
      </w:pPr>
    </w:p>
    <w:p w14:paraId="4FBCC5EE" w14:textId="77777777" w:rsidR="0014798C" w:rsidRDefault="004E1F0B">
      <w:pPr>
        <w:spacing w:line="348" w:lineRule="auto"/>
        <w:ind w:left="1108" w:right="1272" w:firstLine="3"/>
        <w:rPr>
          <w:sz w:val="15"/>
        </w:rPr>
      </w:pPr>
      <w:r>
        <w:rPr>
          <w:w w:val="105"/>
          <w:sz w:val="15"/>
        </w:rPr>
        <w:t>lograr</w:t>
      </w:r>
      <w:r>
        <w:rPr>
          <w:spacing w:val="-10"/>
          <w:w w:val="105"/>
          <w:sz w:val="15"/>
        </w:rPr>
        <w:t xml:space="preserve"> </w:t>
      </w:r>
      <w:r>
        <w:rPr>
          <w:w w:val="105"/>
          <w:sz w:val="15"/>
        </w:rPr>
        <w:t>la</w:t>
      </w:r>
      <w:r>
        <w:rPr>
          <w:spacing w:val="-10"/>
          <w:w w:val="105"/>
          <w:sz w:val="15"/>
        </w:rPr>
        <w:t xml:space="preserve"> </w:t>
      </w:r>
      <w:r>
        <w:rPr>
          <w:w w:val="105"/>
          <w:sz w:val="15"/>
        </w:rPr>
        <w:t>igualdad</w:t>
      </w:r>
      <w:r>
        <w:rPr>
          <w:spacing w:val="-10"/>
          <w:w w:val="105"/>
          <w:sz w:val="15"/>
        </w:rPr>
        <w:t xml:space="preserve"> </w:t>
      </w:r>
      <w:r>
        <w:rPr>
          <w:w w:val="105"/>
          <w:sz w:val="15"/>
        </w:rPr>
        <w:t>para</w:t>
      </w:r>
      <w:r>
        <w:rPr>
          <w:spacing w:val="-10"/>
          <w:w w:val="105"/>
          <w:sz w:val="15"/>
        </w:rPr>
        <w:t xml:space="preserve"> </w:t>
      </w:r>
      <w:r>
        <w:rPr>
          <w:w w:val="105"/>
          <w:sz w:val="15"/>
        </w:rPr>
        <w:t>los</w:t>
      </w:r>
      <w:r>
        <w:rPr>
          <w:spacing w:val="-10"/>
          <w:w w:val="105"/>
          <w:sz w:val="15"/>
        </w:rPr>
        <w:t xml:space="preserve"> </w:t>
      </w:r>
      <w:r>
        <w:rPr>
          <w:w w:val="105"/>
          <w:sz w:val="15"/>
        </w:rPr>
        <w:t>grupos</w:t>
      </w:r>
      <w:r>
        <w:rPr>
          <w:spacing w:val="-10"/>
          <w:w w:val="105"/>
          <w:sz w:val="15"/>
        </w:rPr>
        <w:t xml:space="preserve"> </w:t>
      </w:r>
      <w:r>
        <w:rPr>
          <w:w w:val="105"/>
          <w:sz w:val="15"/>
        </w:rPr>
        <w:t>que</w:t>
      </w:r>
      <w:r>
        <w:rPr>
          <w:spacing w:val="-10"/>
          <w:w w:val="105"/>
          <w:sz w:val="15"/>
        </w:rPr>
        <w:t xml:space="preserve"> </w:t>
      </w:r>
      <w:r>
        <w:rPr>
          <w:w w:val="105"/>
          <w:sz w:val="15"/>
        </w:rPr>
        <w:t>han</w:t>
      </w:r>
      <w:r>
        <w:rPr>
          <w:spacing w:val="-10"/>
          <w:w w:val="105"/>
          <w:sz w:val="15"/>
        </w:rPr>
        <w:t xml:space="preserve"> </w:t>
      </w:r>
      <w:r>
        <w:rPr>
          <w:w w:val="105"/>
          <w:sz w:val="15"/>
        </w:rPr>
        <w:t>sido</w:t>
      </w:r>
      <w:r>
        <w:rPr>
          <w:spacing w:val="-10"/>
          <w:w w:val="105"/>
          <w:sz w:val="15"/>
        </w:rPr>
        <w:t xml:space="preserve"> </w:t>
      </w:r>
      <w:r>
        <w:rPr>
          <w:w w:val="105"/>
          <w:sz w:val="15"/>
        </w:rPr>
        <w:t>o</w:t>
      </w:r>
      <w:r>
        <w:rPr>
          <w:spacing w:val="-10"/>
          <w:w w:val="105"/>
          <w:sz w:val="15"/>
        </w:rPr>
        <w:t xml:space="preserve"> </w:t>
      </w:r>
      <w:r>
        <w:rPr>
          <w:w w:val="105"/>
          <w:sz w:val="15"/>
        </w:rPr>
        <w:t>están</w:t>
      </w:r>
      <w:r>
        <w:rPr>
          <w:spacing w:val="-10"/>
          <w:w w:val="105"/>
          <w:sz w:val="15"/>
        </w:rPr>
        <w:t xml:space="preserve"> </w:t>
      </w:r>
      <w:r>
        <w:rPr>
          <w:w w:val="105"/>
          <w:sz w:val="15"/>
        </w:rPr>
        <w:t>sujetos</w:t>
      </w:r>
      <w:r>
        <w:rPr>
          <w:spacing w:val="-10"/>
          <w:w w:val="105"/>
          <w:sz w:val="15"/>
        </w:rPr>
        <w:t xml:space="preserve"> </w:t>
      </w:r>
      <w:r>
        <w:rPr>
          <w:w w:val="105"/>
          <w:sz w:val="15"/>
        </w:rPr>
        <w:t>a</w:t>
      </w:r>
      <w:r>
        <w:rPr>
          <w:spacing w:val="-10"/>
          <w:w w:val="105"/>
          <w:sz w:val="15"/>
        </w:rPr>
        <w:t xml:space="preserve"> </w:t>
      </w:r>
      <w:r>
        <w:rPr>
          <w:w w:val="105"/>
          <w:sz w:val="15"/>
        </w:rPr>
        <w:t>discriminación</w:t>
      </w:r>
      <w:r>
        <w:rPr>
          <w:spacing w:val="-10"/>
          <w:w w:val="105"/>
          <w:sz w:val="15"/>
        </w:rPr>
        <w:t xml:space="preserve"> </w:t>
      </w:r>
      <w:r>
        <w:rPr>
          <w:w w:val="105"/>
          <w:sz w:val="15"/>
        </w:rPr>
        <w:t>o</w:t>
      </w:r>
      <w:r>
        <w:rPr>
          <w:spacing w:val="-10"/>
          <w:w w:val="105"/>
          <w:sz w:val="15"/>
        </w:rPr>
        <w:t xml:space="preserve"> </w:t>
      </w:r>
      <w:r>
        <w:rPr>
          <w:w w:val="105"/>
          <w:sz w:val="15"/>
        </w:rPr>
        <w:t>desventaja.</w:t>
      </w:r>
      <w:r>
        <w:rPr>
          <w:spacing w:val="-9"/>
          <w:w w:val="105"/>
          <w:sz w:val="15"/>
        </w:rPr>
        <w:t xml:space="preserve"> </w:t>
      </w:r>
      <w:r>
        <w:rPr>
          <w:w w:val="105"/>
          <w:sz w:val="15"/>
        </w:rPr>
        <w:t>Los</w:t>
      </w:r>
      <w:r>
        <w:rPr>
          <w:spacing w:val="-10"/>
          <w:w w:val="105"/>
          <w:sz w:val="15"/>
        </w:rPr>
        <w:t xml:space="preserve"> </w:t>
      </w:r>
      <w:r>
        <w:rPr>
          <w:w w:val="105"/>
          <w:sz w:val="15"/>
        </w:rPr>
        <w:t>órganos</w:t>
      </w:r>
      <w:r>
        <w:rPr>
          <w:spacing w:val="-10"/>
          <w:w w:val="105"/>
          <w:sz w:val="15"/>
        </w:rPr>
        <w:t xml:space="preserve"> </w:t>
      </w:r>
      <w:r>
        <w:rPr>
          <w:w w:val="105"/>
          <w:sz w:val="15"/>
        </w:rPr>
        <w:t>de</w:t>
      </w:r>
      <w:r>
        <w:rPr>
          <w:spacing w:val="-10"/>
          <w:w w:val="105"/>
          <w:sz w:val="15"/>
        </w:rPr>
        <w:t xml:space="preserve"> </w:t>
      </w:r>
      <w:r>
        <w:rPr>
          <w:w w:val="105"/>
          <w:sz w:val="15"/>
        </w:rPr>
        <w:t>tratados</w:t>
      </w:r>
      <w:r>
        <w:rPr>
          <w:spacing w:val="-11"/>
          <w:w w:val="105"/>
          <w:sz w:val="15"/>
        </w:rPr>
        <w:t xml:space="preserve"> </w:t>
      </w:r>
      <w:r>
        <w:rPr>
          <w:w w:val="105"/>
          <w:sz w:val="15"/>
        </w:rPr>
        <w:t>han desaconsejado llamar a tales medidas “discriminación positiva”.440</w:t>
      </w:r>
    </w:p>
    <w:p w14:paraId="18020BF0" w14:textId="77777777" w:rsidR="0014798C" w:rsidRDefault="004E1F0B">
      <w:pPr>
        <w:spacing w:before="169" w:line="348" w:lineRule="auto"/>
        <w:ind w:left="1107" w:right="1327" w:hanging="4"/>
        <w:rPr>
          <w:sz w:val="15"/>
        </w:rPr>
      </w:pPr>
      <w:r>
        <w:rPr>
          <w:noProof/>
        </w:rPr>
        <w:drawing>
          <wp:anchor distT="0" distB="0" distL="0" distR="0" simplePos="0" relativeHeight="251658402" behindDoc="1" locked="0" layoutInCell="1" allowOverlap="1" wp14:anchorId="6A697496" wp14:editId="6AAA7EFF">
            <wp:simplePos x="0" y="0"/>
            <wp:positionH relativeFrom="page">
              <wp:posOffset>808662</wp:posOffset>
            </wp:positionH>
            <wp:positionV relativeFrom="paragraph">
              <wp:posOffset>746013</wp:posOffset>
            </wp:positionV>
            <wp:extent cx="6747837" cy="5432463"/>
            <wp:effectExtent l="0" t="0" r="0" b="0"/>
            <wp:wrapNone/>
            <wp:docPr id="150" name="Image 15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50" name="Image 150"/>
                    <pic:cNvPicPr/>
                  </pic:nvPicPr>
                  <pic:blipFill>
                    <a:blip r:embed="rId140" cstate="print"/>
                    <a:stretch>
                      <a:fillRect/>
                    </a:stretch>
                  </pic:blipFill>
                  <pic:spPr>
                    <a:xfrm>
                      <a:off x="0" y="0"/>
                      <a:ext cx="6747837" cy="5432463"/>
                    </a:xfrm>
                    <a:prstGeom prst="rect">
                      <a:avLst/>
                    </a:prstGeom>
                  </pic:spPr>
                </pic:pic>
              </a:graphicData>
            </a:graphic>
          </wp:anchor>
        </w:drawing>
      </w:r>
      <w:r>
        <w:rPr>
          <w:w w:val="105"/>
          <w:sz w:val="15"/>
        </w:rPr>
        <w:t>Si</w:t>
      </w:r>
      <w:r>
        <w:rPr>
          <w:spacing w:val="-6"/>
          <w:w w:val="105"/>
          <w:sz w:val="15"/>
        </w:rPr>
        <w:t xml:space="preserve"> </w:t>
      </w:r>
      <w:r>
        <w:rPr>
          <w:w w:val="105"/>
          <w:sz w:val="15"/>
        </w:rPr>
        <w:t>bien</w:t>
      </w:r>
      <w:r>
        <w:rPr>
          <w:spacing w:val="-6"/>
          <w:w w:val="105"/>
          <w:sz w:val="15"/>
        </w:rPr>
        <w:t xml:space="preserve"> </w:t>
      </w:r>
      <w:proofErr w:type="gramStart"/>
      <w:r>
        <w:rPr>
          <w:w w:val="105"/>
          <w:sz w:val="15"/>
        </w:rPr>
        <w:t>una</w:t>
      </w:r>
      <w:r>
        <w:rPr>
          <w:spacing w:val="-6"/>
          <w:w w:val="105"/>
          <w:sz w:val="15"/>
        </w:rPr>
        <w:t xml:space="preserve"> </w:t>
      </w:r>
      <w:r>
        <w:rPr>
          <w:w w:val="105"/>
          <w:sz w:val="15"/>
        </w:rPr>
        <w:t>amplia</w:t>
      </w:r>
      <w:r>
        <w:rPr>
          <w:spacing w:val="-6"/>
          <w:w w:val="105"/>
          <w:sz w:val="15"/>
        </w:rPr>
        <w:t xml:space="preserve"> </w:t>
      </w:r>
      <w:r>
        <w:rPr>
          <w:w w:val="105"/>
          <w:sz w:val="15"/>
        </w:rPr>
        <w:t>gama</w:t>
      </w:r>
      <w:r>
        <w:rPr>
          <w:spacing w:val="-6"/>
          <w:w w:val="105"/>
          <w:sz w:val="15"/>
        </w:rPr>
        <w:t xml:space="preserve"> </w:t>
      </w:r>
      <w:r>
        <w:rPr>
          <w:w w:val="105"/>
          <w:sz w:val="15"/>
        </w:rPr>
        <w:t>de</w:t>
      </w:r>
      <w:r>
        <w:rPr>
          <w:spacing w:val="-6"/>
          <w:w w:val="105"/>
          <w:sz w:val="15"/>
        </w:rPr>
        <w:t xml:space="preserve"> </w:t>
      </w:r>
      <w:r>
        <w:rPr>
          <w:w w:val="105"/>
          <w:sz w:val="15"/>
        </w:rPr>
        <w:t>medidas</w:t>
      </w:r>
      <w:r>
        <w:rPr>
          <w:spacing w:val="-6"/>
          <w:w w:val="105"/>
          <w:sz w:val="15"/>
        </w:rPr>
        <w:t xml:space="preserve"> </w:t>
      </w:r>
      <w:r>
        <w:rPr>
          <w:w w:val="105"/>
          <w:sz w:val="15"/>
        </w:rPr>
        <w:t>diferentes</w:t>
      </w:r>
      <w:r>
        <w:rPr>
          <w:spacing w:val="-7"/>
          <w:w w:val="105"/>
          <w:sz w:val="15"/>
        </w:rPr>
        <w:t xml:space="preserve"> </w:t>
      </w:r>
      <w:r>
        <w:rPr>
          <w:w w:val="105"/>
          <w:sz w:val="15"/>
        </w:rPr>
        <w:t>pueden</w:t>
      </w:r>
      <w:proofErr w:type="gramEnd"/>
      <w:r>
        <w:rPr>
          <w:spacing w:val="-6"/>
          <w:w w:val="105"/>
          <w:sz w:val="15"/>
        </w:rPr>
        <w:t xml:space="preserve"> </w:t>
      </w:r>
      <w:r>
        <w:rPr>
          <w:w w:val="105"/>
          <w:sz w:val="15"/>
        </w:rPr>
        <w:t>calificarse</w:t>
      </w:r>
      <w:r>
        <w:rPr>
          <w:spacing w:val="-6"/>
          <w:w w:val="105"/>
          <w:sz w:val="15"/>
        </w:rPr>
        <w:t xml:space="preserve"> </w:t>
      </w:r>
      <w:r>
        <w:rPr>
          <w:w w:val="105"/>
          <w:sz w:val="15"/>
        </w:rPr>
        <w:t>como</w:t>
      </w:r>
      <w:r>
        <w:rPr>
          <w:spacing w:val="-6"/>
          <w:w w:val="105"/>
          <w:sz w:val="15"/>
        </w:rPr>
        <w:t xml:space="preserve"> </w:t>
      </w:r>
      <w:r>
        <w:rPr>
          <w:w w:val="105"/>
          <w:sz w:val="15"/>
        </w:rPr>
        <w:t>acción</w:t>
      </w:r>
      <w:r>
        <w:rPr>
          <w:spacing w:val="-6"/>
          <w:w w:val="105"/>
          <w:sz w:val="15"/>
        </w:rPr>
        <w:t xml:space="preserve"> </w:t>
      </w:r>
      <w:r>
        <w:rPr>
          <w:w w:val="105"/>
          <w:sz w:val="15"/>
        </w:rPr>
        <w:t>positiva,</w:t>
      </w:r>
      <w:r>
        <w:rPr>
          <w:spacing w:val="-6"/>
          <w:w w:val="105"/>
          <w:sz w:val="15"/>
        </w:rPr>
        <w:t xml:space="preserve"> </w:t>
      </w:r>
      <w:r>
        <w:rPr>
          <w:w w:val="105"/>
          <w:sz w:val="15"/>
        </w:rPr>
        <w:t>toda</w:t>
      </w:r>
      <w:r>
        <w:rPr>
          <w:spacing w:val="-6"/>
          <w:w w:val="105"/>
          <w:sz w:val="15"/>
        </w:rPr>
        <w:t xml:space="preserve"> </w:t>
      </w:r>
      <w:r>
        <w:rPr>
          <w:w w:val="105"/>
          <w:sz w:val="15"/>
        </w:rPr>
        <w:t>acción</w:t>
      </w:r>
      <w:r>
        <w:rPr>
          <w:spacing w:val="-6"/>
          <w:w w:val="105"/>
          <w:sz w:val="15"/>
        </w:rPr>
        <w:t xml:space="preserve"> </w:t>
      </w:r>
      <w:r>
        <w:rPr>
          <w:w w:val="105"/>
          <w:sz w:val="15"/>
        </w:rPr>
        <w:t>positiva</w:t>
      </w:r>
      <w:r>
        <w:rPr>
          <w:spacing w:val="-6"/>
          <w:w w:val="105"/>
          <w:sz w:val="15"/>
        </w:rPr>
        <w:t xml:space="preserve"> </w:t>
      </w:r>
      <w:r>
        <w:rPr>
          <w:w w:val="105"/>
          <w:sz w:val="15"/>
        </w:rPr>
        <w:t>implica</w:t>
      </w:r>
      <w:r>
        <w:rPr>
          <w:spacing w:val="-6"/>
          <w:w w:val="105"/>
          <w:sz w:val="15"/>
        </w:rPr>
        <w:t xml:space="preserve"> </w:t>
      </w:r>
      <w:r>
        <w:rPr>
          <w:w w:val="105"/>
          <w:sz w:val="15"/>
        </w:rPr>
        <w:t>medidas específicas</w:t>
      </w:r>
      <w:r>
        <w:rPr>
          <w:spacing w:val="-11"/>
          <w:w w:val="105"/>
          <w:sz w:val="15"/>
        </w:rPr>
        <w:t xml:space="preserve"> </w:t>
      </w:r>
      <w:r>
        <w:rPr>
          <w:w w:val="105"/>
          <w:sz w:val="15"/>
        </w:rPr>
        <w:t>para</w:t>
      </w:r>
      <w:r>
        <w:rPr>
          <w:spacing w:val="-11"/>
          <w:w w:val="105"/>
          <w:sz w:val="15"/>
        </w:rPr>
        <w:t xml:space="preserve"> </w:t>
      </w:r>
      <w:r>
        <w:rPr>
          <w:w w:val="105"/>
          <w:sz w:val="15"/>
        </w:rPr>
        <w:t>superar</w:t>
      </w:r>
      <w:r>
        <w:rPr>
          <w:spacing w:val="-11"/>
          <w:w w:val="105"/>
          <w:sz w:val="15"/>
        </w:rPr>
        <w:t xml:space="preserve"> </w:t>
      </w:r>
      <w:r>
        <w:rPr>
          <w:w w:val="105"/>
          <w:sz w:val="15"/>
        </w:rPr>
        <w:t>la</w:t>
      </w:r>
      <w:r>
        <w:rPr>
          <w:spacing w:val="-11"/>
          <w:w w:val="105"/>
          <w:sz w:val="15"/>
        </w:rPr>
        <w:t xml:space="preserve"> </w:t>
      </w:r>
      <w:r>
        <w:rPr>
          <w:w w:val="105"/>
          <w:sz w:val="15"/>
        </w:rPr>
        <w:t>desigualdad;</w:t>
      </w:r>
      <w:r>
        <w:rPr>
          <w:spacing w:val="-10"/>
          <w:w w:val="105"/>
          <w:sz w:val="15"/>
        </w:rPr>
        <w:t xml:space="preserve"> </w:t>
      </w:r>
      <w:r>
        <w:rPr>
          <w:w w:val="105"/>
          <w:sz w:val="15"/>
        </w:rPr>
        <w:t>o,</w:t>
      </w:r>
      <w:r>
        <w:rPr>
          <w:spacing w:val="-11"/>
          <w:w w:val="105"/>
          <w:sz w:val="15"/>
        </w:rPr>
        <w:t xml:space="preserve"> </w:t>
      </w:r>
      <w:r>
        <w:rPr>
          <w:w w:val="105"/>
          <w:sz w:val="15"/>
        </w:rPr>
        <w:t>como</w:t>
      </w:r>
      <w:r>
        <w:rPr>
          <w:spacing w:val="-11"/>
          <w:w w:val="105"/>
          <w:sz w:val="15"/>
        </w:rPr>
        <w:t xml:space="preserve"> </w:t>
      </w:r>
      <w:r>
        <w:rPr>
          <w:w w:val="105"/>
          <w:sz w:val="15"/>
        </w:rPr>
        <w:t>lo</w:t>
      </w:r>
      <w:r>
        <w:rPr>
          <w:spacing w:val="-10"/>
          <w:w w:val="105"/>
          <w:sz w:val="15"/>
        </w:rPr>
        <w:t xml:space="preserve"> </w:t>
      </w:r>
      <w:r>
        <w:rPr>
          <w:w w:val="105"/>
          <w:sz w:val="15"/>
        </w:rPr>
        <w:t>ha</w:t>
      </w:r>
      <w:r>
        <w:rPr>
          <w:spacing w:val="-11"/>
          <w:w w:val="105"/>
          <w:sz w:val="15"/>
        </w:rPr>
        <w:t xml:space="preserve"> </w:t>
      </w:r>
      <w:r>
        <w:rPr>
          <w:w w:val="105"/>
          <w:sz w:val="15"/>
        </w:rPr>
        <w:t>expresado</w:t>
      </w:r>
      <w:r>
        <w:rPr>
          <w:spacing w:val="-11"/>
          <w:w w:val="105"/>
          <w:sz w:val="15"/>
        </w:rPr>
        <w:t xml:space="preserve"> </w:t>
      </w:r>
      <w:r>
        <w:rPr>
          <w:w w:val="105"/>
          <w:sz w:val="15"/>
        </w:rPr>
        <w:t>el</w:t>
      </w:r>
      <w:r>
        <w:rPr>
          <w:spacing w:val="-11"/>
          <w:w w:val="105"/>
          <w:sz w:val="15"/>
        </w:rPr>
        <w:t xml:space="preserve"> </w:t>
      </w:r>
      <w:r>
        <w:rPr>
          <w:w w:val="105"/>
          <w:sz w:val="15"/>
        </w:rPr>
        <w:t>Comité</w:t>
      </w:r>
      <w:r>
        <w:rPr>
          <w:spacing w:val="-11"/>
          <w:w w:val="105"/>
          <w:sz w:val="15"/>
        </w:rPr>
        <w:t xml:space="preserve"> </w:t>
      </w:r>
      <w:r>
        <w:rPr>
          <w:w w:val="105"/>
          <w:sz w:val="15"/>
        </w:rPr>
        <w:t>sobre</w:t>
      </w:r>
      <w:r>
        <w:rPr>
          <w:spacing w:val="-10"/>
          <w:w w:val="105"/>
          <w:sz w:val="15"/>
        </w:rPr>
        <w:t xml:space="preserve"> </w:t>
      </w:r>
      <w:r>
        <w:rPr>
          <w:w w:val="105"/>
          <w:sz w:val="15"/>
        </w:rPr>
        <w:t>los</w:t>
      </w:r>
      <w:r>
        <w:rPr>
          <w:spacing w:val="-11"/>
          <w:w w:val="105"/>
          <w:sz w:val="15"/>
        </w:rPr>
        <w:t xml:space="preserve"> </w:t>
      </w:r>
      <w:r>
        <w:rPr>
          <w:w w:val="105"/>
          <w:sz w:val="15"/>
        </w:rPr>
        <w:t>Derechos</w:t>
      </w:r>
      <w:r>
        <w:rPr>
          <w:spacing w:val="-11"/>
          <w:w w:val="105"/>
          <w:sz w:val="15"/>
        </w:rPr>
        <w:t xml:space="preserve"> </w:t>
      </w:r>
      <w:r>
        <w:rPr>
          <w:w w:val="105"/>
          <w:sz w:val="15"/>
        </w:rPr>
        <w:t>de</w:t>
      </w:r>
      <w:r>
        <w:rPr>
          <w:spacing w:val="-11"/>
          <w:w w:val="105"/>
          <w:sz w:val="15"/>
        </w:rPr>
        <w:t xml:space="preserve"> </w:t>
      </w:r>
      <w:r>
        <w:rPr>
          <w:w w:val="105"/>
          <w:sz w:val="15"/>
        </w:rPr>
        <w:t>las</w:t>
      </w:r>
      <w:r>
        <w:rPr>
          <w:spacing w:val="-11"/>
          <w:w w:val="105"/>
          <w:sz w:val="15"/>
        </w:rPr>
        <w:t xml:space="preserve"> </w:t>
      </w:r>
      <w:r>
        <w:rPr>
          <w:w w:val="105"/>
          <w:sz w:val="15"/>
        </w:rPr>
        <w:t>Personas</w:t>
      </w:r>
      <w:r>
        <w:rPr>
          <w:spacing w:val="-11"/>
          <w:w w:val="105"/>
          <w:sz w:val="15"/>
        </w:rPr>
        <w:t xml:space="preserve"> </w:t>
      </w:r>
      <w:r>
        <w:rPr>
          <w:w w:val="105"/>
          <w:sz w:val="15"/>
        </w:rPr>
        <w:t>con</w:t>
      </w:r>
      <w:r>
        <w:rPr>
          <w:spacing w:val="-10"/>
          <w:w w:val="105"/>
          <w:sz w:val="15"/>
        </w:rPr>
        <w:t xml:space="preserve"> </w:t>
      </w:r>
      <w:r>
        <w:rPr>
          <w:w w:val="105"/>
          <w:sz w:val="15"/>
        </w:rPr>
        <w:t>Discapacidad: “adoptar</w:t>
      </w:r>
      <w:r>
        <w:rPr>
          <w:spacing w:val="-6"/>
          <w:w w:val="105"/>
          <w:sz w:val="15"/>
        </w:rPr>
        <w:t xml:space="preserve"> </w:t>
      </w:r>
      <w:r>
        <w:rPr>
          <w:w w:val="105"/>
          <w:sz w:val="15"/>
        </w:rPr>
        <w:t>o</w:t>
      </w:r>
      <w:r>
        <w:rPr>
          <w:spacing w:val="-5"/>
          <w:w w:val="105"/>
          <w:sz w:val="15"/>
        </w:rPr>
        <w:t xml:space="preserve"> </w:t>
      </w:r>
      <w:r>
        <w:rPr>
          <w:w w:val="105"/>
          <w:sz w:val="15"/>
        </w:rPr>
        <w:t>mantener</w:t>
      </w:r>
      <w:r>
        <w:rPr>
          <w:spacing w:val="-6"/>
          <w:w w:val="105"/>
          <w:sz w:val="15"/>
        </w:rPr>
        <w:t xml:space="preserve"> </w:t>
      </w:r>
      <w:r>
        <w:rPr>
          <w:w w:val="105"/>
          <w:sz w:val="15"/>
        </w:rPr>
        <w:t>ciertas</w:t>
      </w:r>
      <w:r>
        <w:rPr>
          <w:spacing w:val="-5"/>
          <w:w w:val="105"/>
          <w:sz w:val="15"/>
        </w:rPr>
        <w:t xml:space="preserve"> </w:t>
      </w:r>
      <w:r>
        <w:rPr>
          <w:w w:val="105"/>
          <w:sz w:val="15"/>
        </w:rPr>
        <w:t>ventajas</w:t>
      </w:r>
      <w:r>
        <w:rPr>
          <w:spacing w:val="-6"/>
          <w:w w:val="105"/>
          <w:sz w:val="15"/>
        </w:rPr>
        <w:t xml:space="preserve"> </w:t>
      </w:r>
      <w:r>
        <w:rPr>
          <w:w w:val="105"/>
          <w:sz w:val="15"/>
        </w:rPr>
        <w:t>a</w:t>
      </w:r>
      <w:r>
        <w:rPr>
          <w:spacing w:val="-5"/>
          <w:w w:val="105"/>
          <w:sz w:val="15"/>
        </w:rPr>
        <w:t xml:space="preserve"> </w:t>
      </w:r>
      <w:r>
        <w:rPr>
          <w:w w:val="105"/>
          <w:sz w:val="15"/>
        </w:rPr>
        <w:t>favor</w:t>
      </w:r>
      <w:r>
        <w:rPr>
          <w:spacing w:val="-5"/>
          <w:w w:val="105"/>
          <w:sz w:val="15"/>
        </w:rPr>
        <w:t xml:space="preserve"> </w:t>
      </w:r>
      <w:r>
        <w:rPr>
          <w:w w:val="105"/>
          <w:sz w:val="15"/>
        </w:rPr>
        <w:t>de</w:t>
      </w:r>
      <w:r>
        <w:rPr>
          <w:spacing w:val="-5"/>
          <w:w w:val="105"/>
          <w:sz w:val="15"/>
        </w:rPr>
        <w:t xml:space="preserve"> </w:t>
      </w:r>
      <w:r>
        <w:rPr>
          <w:w w:val="105"/>
          <w:sz w:val="15"/>
        </w:rPr>
        <w:t>un</w:t>
      </w:r>
      <w:r>
        <w:rPr>
          <w:spacing w:val="-5"/>
          <w:w w:val="105"/>
          <w:sz w:val="15"/>
        </w:rPr>
        <w:t xml:space="preserve"> </w:t>
      </w:r>
      <w:r>
        <w:rPr>
          <w:w w:val="105"/>
          <w:sz w:val="15"/>
        </w:rPr>
        <w:t>grupo</w:t>
      </w:r>
      <w:r>
        <w:rPr>
          <w:spacing w:val="-5"/>
          <w:w w:val="105"/>
          <w:sz w:val="15"/>
        </w:rPr>
        <w:t xml:space="preserve"> </w:t>
      </w:r>
      <w:r>
        <w:rPr>
          <w:w w:val="105"/>
          <w:sz w:val="15"/>
        </w:rPr>
        <w:t>subrepresentado</w:t>
      </w:r>
      <w:r>
        <w:rPr>
          <w:spacing w:val="-5"/>
          <w:w w:val="105"/>
          <w:sz w:val="15"/>
        </w:rPr>
        <w:t xml:space="preserve"> </w:t>
      </w:r>
      <w:r>
        <w:rPr>
          <w:w w:val="105"/>
          <w:sz w:val="15"/>
        </w:rPr>
        <w:t>o</w:t>
      </w:r>
      <w:r>
        <w:rPr>
          <w:spacing w:val="-5"/>
          <w:w w:val="105"/>
          <w:sz w:val="15"/>
        </w:rPr>
        <w:t xml:space="preserve"> </w:t>
      </w:r>
      <w:r>
        <w:rPr>
          <w:w w:val="105"/>
          <w:sz w:val="15"/>
        </w:rPr>
        <w:t>marginado”.441</w:t>
      </w:r>
      <w:r>
        <w:rPr>
          <w:spacing w:val="-5"/>
          <w:w w:val="105"/>
          <w:sz w:val="15"/>
        </w:rPr>
        <w:t xml:space="preserve"> </w:t>
      </w:r>
      <w:r>
        <w:rPr>
          <w:w w:val="105"/>
          <w:sz w:val="15"/>
        </w:rPr>
        <w:t>Como</w:t>
      </w:r>
      <w:r>
        <w:rPr>
          <w:spacing w:val="-5"/>
          <w:w w:val="105"/>
          <w:sz w:val="15"/>
        </w:rPr>
        <w:t xml:space="preserve"> </w:t>
      </w:r>
      <w:r>
        <w:rPr>
          <w:w w:val="105"/>
          <w:sz w:val="15"/>
        </w:rPr>
        <w:t>se</w:t>
      </w:r>
      <w:r>
        <w:rPr>
          <w:spacing w:val="-5"/>
          <w:w w:val="105"/>
          <w:sz w:val="15"/>
        </w:rPr>
        <w:t xml:space="preserve"> </w:t>
      </w:r>
      <w:r>
        <w:rPr>
          <w:w w:val="105"/>
          <w:sz w:val="15"/>
        </w:rPr>
        <w:t>señala</w:t>
      </w:r>
      <w:r>
        <w:rPr>
          <w:spacing w:val="-5"/>
          <w:w w:val="105"/>
          <w:sz w:val="15"/>
        </w:rPr>
        <w:t xml:space="preserve"> </w:t>
      </w:r>
      <w:r>
        <w:rPr>
          <w:w w:val="105"/>
          <w:sz w:val="15"/>
        </w:rPr>
        <w:t>más</w:t>
      </w:r>
      <w:r>
        <w:rPr>
          <w:spacing w:val="-5"/>
          <w:w w:val="105"/>
          <w:sz w:val="15"/>
        </w:rPr>
        <w:t xml:space="preserve"> </w:t>
      </w:r>
      <w:r>
        <w:rPr>
          <w:w w:val="105"/>
          <w:sz w:val="15"/>
        </w:rPr>
        <w:t>adelante,</w:t>
      </w:r>
      <w:r>
        <w:rPr>
          <w:spacing w:val="-5"/>
          <w:w w:val="105"/>
          <w:sz w:val="15"/>
        </w:rPr>
        <w:t xml:space="preserve"> </w:t>
      </w:r>
      <w:r>
        <w:rPr>
          <w:w w:val="105"/>
          <w:sz w:val="15"/>
        </w:rPr>
        <w:t>las medidas</w:t>
      </w:r>
      <w:r>
        <w:rPr>
          <w:spacing w:val="-5"/>
          <w:w w:val="105"/>
          <w:sz w:val="15"/>
        </w:rPr>
        <w:t xml:space="preserve"> </w:t>
      </w:r>
      <w:r>
        <w:rPr>
          <w:w w:val="105"/>
          <w:sz w:val="15"/>
        </w:rPr>
        <w:t>de</w:t>
      </w:r>
      <w:r>
        <w:rPr>
          <w:spacing w:val="-5"/>
          <w:w w:val="105"/>
          <w:sz w:val="15"/>
        </w:rPr>
        <w:t xml:space="preserve"> </w:t>
      </w:r>
      <w:r>
        <w:rPr>
          <w:w w:val="105"/>
          <w:sz w:val="15"/>
        </w:rPr>
        <w:t>acción</w:t>
      </w:r>
      <w:r>
        <w:rPr>
          <w:spacing w:val="-5"/>
          <w:w w:val="105"/>
          <w:sz w:val="15"/>
        </w:rPr>
        <w:t xml:space="preserve"> </w:t>
      </w:r>
      <w:r>
        <w:rPr>
          <w:w w:val="105"/>
          <w:sz w:val="15"/>
        </w:rPr>
        <w:t>positiva</w:t>
      </w:r>
      <w:r>
        <w:rPr>
          <w:spacing w:val="-5"/>
          <w:w w:val="105"/>
          <w:sz w:val="15"/>
        </w:rPr>
        <w:t xml:space="preserve"> </w:t>
      </w:r>
      <w:r>
        <w:rPr>
          <w:w w:val="105"/>
          <w:sz w:val="15"/>
        </w:rPr>
        <w:t>a</w:t>
      </w:r>
      <w:r>
        <w:rPr>
          <w:spacing w:val="-5"/>
          <w:w w:val="105"/>
          <w:sz w:val="15"/>
        </w:rPr>
        <w:t xml:space="preserve"> </w:t>
      </w:r>
      <w:r>
        <w:rPr>
          <w:w w:val="105"/>
          <w:sz w:val="15"/>
        </w:rPr>
        <w:t>veces</w:t>
      </w:r>
      <w:r>
        <w:rPr>
          <w:spacing w:val="-5"/>
          <w:w w:val="105"/>
          <w:sz w:val="15"/>
        </w:rPr>
        <w:t xml:space="preserve"> </w:t>
      </w:r>
      <w:r>
        <w:rPr>
          <w:w w:val="105"/>
          <w:sz w:val="15"/>
        </w:rPr>
        <w:t>se</w:t>
      </w:r>
      <w:r>
        <w:rPr>
          <w:spacing w:val="-5"/>
          <w:w w:val="105"/>
          <w:sz w:val="15"/>
        </w:rPr>
        <w:t xml:space="preserve"> </w:t>
      </w:r>
      <w:r>
        <w:rPr>
          <w:w w:val="105"/>
          <w:sz w:val="15"/>
        </w:rPr>
        <w:t>consideran</w:t>
      </w:r>
      <w:r>
        <w:rPr>
          <w:spacing w:val="-5"/>
          <w:w w:val="105"/>
          <w:sz w:val="15"/>
        </w:rPr>
        <w:t xml:space="preserve"> </w:t>
      </w:r>
      <w:r>
        <w:rPr>
          <w:w w:val="105"/>
          <w:sz w:val="15"/>
        </w:rPr>
        <w:t>una</w:t>
      </w:r>
      <w:r>
        <w:rPr>
          <w:spacing w:val="-5"/>
          <w:w w:val="105"/>
          <w:sz w:val="15"/>
        </w:rPr>
        <w:t xml:space="preserve"> </w:t>
      </w:r>
      <w:r>
        <w:rPr>
          <w:w w:val="105"/>
          <w:sz w:val="15"/>
        </w:rPr>
        <w:t>solución</w:t>
      </w:r>
      <w:r>
        <w:rPr>
          <w:spacing w:val="-5"/>
          <w:w w:val="105"/>
          <w:sz w:val="15"/>
        </w:rPr>
        <w:t xml:space="preserve"> </w:t>
      </w:r>
      <w:r>
        <w:rPr>
          <w:w w:val="105"/>
          <w:sz w:val="15"/>
        </w:rPr>
        <w:t>a</w:t>
      </w:r>
      <w:r>
        <w:rPr>
          <w:spacing w:val="-5"/>
          <w:w w:val="105"/>
          <w:sz w:val="15"/>
        </w:rPr>
        <w:t xml:space="preserve"> </w:t>
      </w:r>
      <w:r>
        <w:rPr>
          <w:w w:val="105"/>
          <w:sz w:val="15"/>
        </w:rPr>
        <w:t>problemas</w:t>
      </w:r>
      <w:r>
        <w:rPr>
          <w:spacing w:val="-5"/>
          <w:w w:val="105"/>
          <w:sz w:val="15"/>
        </w:rPr>
        <w:t xml:space="preserve"> </w:t>
      </w:r>
      <w:r>
        <w:rPr>
          <w:w w:val="105"/>
          <w:sz w:val="15"/>
        </w:rPr>
        <w:t>sistémicos</w:t>
      </w:r>
      <w:r>
        <w:rPr>
          <w:spacing w:val="-5"/>
          <w:w w:val="105"/>
          <w:sz w:val="15"/>
        </w:rPr>
        <w:t xml:space="preserve"> </w:t>
      </w:r>
      <w:r>
        <w:rPr>
          <w:w w:val="105"/>
          <w:sz w:val="15"/>
        </w:rPr>
        <w:t>pasados</w:t>
      </w:r>
      <w:r>
        <w:rPr>
          <w:spacing w:val="-5"/>
          <w:w w:val="105"/>
          <w:sz w:val="15"/>
        </w:rPr>
        <w:t xml:space="preserve"> </w:t>
      </w:r>
      <w:r>
        <w:rPr>
          <w:w w:val="105"/>
          <w:sz w:val="15"/>
        </w:rPr>
        <w:t>o</w:t>
      </w:r>
      <w:r>
        <w:rPr>
          <w:spacing w:val="-5"/>
          <w:w w:val="105"/>
          <w:sz w:val="15"/>
        </w:rPr>
        <w:t xml:space="preserve"> </w:t>
      </w:r>
      <w:r>
        <w:rPr>
          <w:w w:val="105"/>
          <w:sz w:val="15"/>
        </w:rPr>
        <w:t>actuales.</w:t>
      </w:r>
      <w:r>
        <w:rPr>
          <w:spacing w:val="-5"/>
          <w:w w:val="105"/>
          <w:sz w:val="15"/>
        </w:rPr>
        <w:t xml:space="preserve"> </w:t>
      </w:r>
      <w:r>
        <w:rPr>
          <w:w w:val="105"/>
          <w:sz w:val="15"/>
        </w:rPr>
        <w:t>daño442</w:t>
      </w:r>
      <w:r>
        <w:rPr>
          <w:spacing w:val="-5"/>
          <w:w w:val="105"/>
          <w:sz w:val="15"/>
        </w:rPr>
        <w:t xml:space="preserve"> </w:t>
      </w:r>
      <w:r>
        <w:rPr>
          <w:w w:val="105"/>
          <w:sz w:val="15"/>
        </w:rPr>
        <w:t>y,</w:t>
      </w:r>
      <w:r>
        <w:rPr>
          <w:spacing w:val="-5"/>
          <w:w w:val="105"/>
          <w:sz w:val="15"/>
        </w:rPr>
        <w:t xml:space="preserve"> </w:t>
      </w:r>
      <w:r>
        <w:rPr>
          <w:w w:val="105"/>
          <w:sz w:val="15"/>
        </w:rPr>
        <w:t>por</w:t>
      </w:r>
      <w:r>
        <w:rPr>
          <w:spacing w:val="-5"/>
          <w:w w:val="105"/>
          <w:sz w:val="15"/>
        </w:rPr>
        <w:t xml:space="preserve"> </w:t>
      </w:r>
      <w:r>
        <w:rPr>
          <w:w w:val="105"/>
          <w:sz w:val="15"/>
        </w:rPr>
        <w:t>lo</w:t>
      </w:r>
      <w:r>
        <w:rPr>
          <w:spacing w:val="-5"/>
          <w:w w:val="105"/>
          <w:sz w:val="15"/>
        </w:rPr>
        <w:t xml:space="preserve"> </w:t>
      </w:r>
      <w:r>
        <w:rPr>
          <w:w w:val="105"/>
          <w:sz w:val="15"/>
        </w:rPr>
        <w:t>tanto, puede</w:t>
      </w:r>
      <w:r>
        <w:rPr>
          <w:spacing w:val="-5"/>
          <w:w w:val="105"/>
          <w:sz w:val="15"/>
        </w:rPr>
        <w:t xml:space="preserve"> </w:t>
      </w:r>
      <w:r>
        <w:rPr>
          <w:w w:val="105"/>
          <w:sz w:val="15"/>
        </w:rPr>
        <w:t>derivarse,</w:t>
      </w:r>
      <w:r>
        <w:rPr>
          <w:spacing w:val="-4"/>
          <w:w w:val="105"/>
          <w:sz w:val="15"/>
        </w:rPr>
        <w:t xml:space="preserve"> </w:t>
      </w:r>
      <w:r>
        <w:rPr>
          <w:w w:val="105"/>
          <w:sz w:val="15"/>
        </w:rPr>
        <w:t>al</w:t>
      </w:r>
      <w:r>
        <w:rPr>
          <w:spacing w:val="-5"/>
          <w:w w:val="105"/>
          <w:sz w:val="15"/>
        </w:rPr>
        <w:t xml:space="preserve"> </w:t>
      </w:r>
      <w:r>
        <w:rPr>
          <w:w w:val="105"/>
          <w:sz w:val="15"/>
        </w:rPr>
        <w:t>menos</w:t>
      </w:r>
      <w:r>
        <w:rPr>
          <w:spacing w:val="-5"/>
          <w:w w:val="105"/>
          <w:sz w:val="15"/>
        </w:rPr>
        <w:t xml:space="preserve"> </w:t>
      </w:r>
      <w:r>
        <w:rPr>
          <w:w w:val="105"/>
          <w:sz w:val="15"/>
        </w:rPr>
        <w:t>en</w:t>
      </w:r>
      <w:r>
        <w:rPr>
          <w:spacing w:val="-5"/>
          <w:w w:val="105"/>
          <w:sz w:val="15"/>
        </w:rPr>
        <w:t xml:space="preserve"> </w:t>
      </w:r>
      <w:r>
        <w:rPr>
          <w:w w:val="105"/>
          <w:sz w:val="15"/>
        </w:rPr>
        <w:t>parte,</w:t>
      </w:r>
      <w:r>
        <w:rPr>
          <w:spacing w:val="-5"/>
          <w:w w:val="105"/>
          <w:sz w:val="15"/>
        </w:rPr>
        <w:t xml:space="preserve"> </w:t>
      </w:r>
      <w:r>
        <w:rPr>
          <w:w w:val="105"/>
          <w:sz w:val="15"/>
        </w:rPr>
        <w:t>de</w:t>
      </w:r>
      <w:r>
        <w:rPr>
          <w:spacing w:val="-5"/>
          <w:w w:val="105"/>
          <w:sz w:val="15"/>
        </w:rPr>
        <w:t xml:space="preserve"> </w:t>
      </w:r>
      <w:r>
        <w:rPr>
          <w:w w:val="105"/>
          <w:sz w:val="15"/>
        </w:rPr>
        <w:t>la</w:t>
      </w:r>
      <w:r>
        <w:rPr>
          <w:spacing w:val="-5"/>
          <w:w w:val="105"/>
          <w:sz w:val="15"/>
        </w:rPr>
        <w:t xml:space="preserve"> </w:t>
      </w:r>
      <w:r>
        <w:rPr>
          <w:w w:val="105"/>
          <w:sz w:val="15"/>
        </w:rPr>
        <w:t>obligación</w:t>
      </w:r>
      <w:r>
        <w:rPr>
          <w:spacing w:val="-5"/>
          <w:w w:val="105"/>
          <w:sz w:val="15"/>
        </w:rPr>
        <w:t xml:space="preserve"> </w:t>
      </w:r>
      <w:r>
        <w:rPr>
          <w:w w:val="105"/>
          <w:sz w:val="15"/>
        </w:rPr>
        <w:t>de</w:t>
      </w:r>
      <w:r>
        <w:rPr>
          <w:spacing w:val="-5"/>
          <w:w w:val="105"/>
          <w:sz w:val="15"/>
        </w:rPr>
        <w:t xml:space="preserve"> </w:t>
      </w:r>
      <w:r>
        <w:rPr>
          <w:w w:val="105"/>
          <w:sz w:val="15"/>
        </w:rPr>
        <w:t>garantizar</w:t>
      </w:r>
      <w:r>
        <w:rPr>
          <w:spacing w:val="-6"/>
          <w:w w:val="105"/>
          <w:sz w:val="15"/>
        </w:rPr>
        <w:t xml:space="preserve"> </w:t>
      </w:r>
      <w:r>
        <w:rPr>
          <w:w w:val="105"/>
          <w:sz w:val="15"/>
        </w:rPr>
        <w:t>un</w:t>
      </w:r>
      <w:r>
        <w:rPr>
          <w:spacing w:val="-5"/>
          <w:w w:val="105"/>
          <w:sz w:val="15"/>
        </w:rPr>
        <w:t xml:space="preserve"> </w:t>
      </w:r>
      <w:r>
        <w:rPr>
          <w:w w:val="105"/>
          <w:sz w:val="15"/>
        </w:rPr>
        <w:t>recurso</w:t>
      </w:r>
      <w:r>
        <w:rPr>
          <w:spacing w:val="-5"/>
          <w:w w:val="105"/>
          <w:sz w:val="15"/>
        </w:rPr>
        <w:t xml:space="preserve"> </w:t>
      </w:r>
      <w:r>
        <w:rPr>
          <w:w w:val="105"/>
          <w:sz w:val="15"/>
        </w:rPr>
        <w:t>efectivo.</w:t>
      </w:r>
      <w:r>
        <w:rPr>
          <w:spacing w:val="-5"/>
          <w:w w:val="105"/>
          <w:sz w:val="15"/>
        </w:rPr>
        <w:t xml:space="preserve"> </w:t>
      </w:r>
      <w:r>
        <w:rPr>
          <w:w w:val="105"/>
          <w:sz w:val="15"/>
        </w:rPr>
        <w:t>Dicho</w:t>
      </w:r>
      <w:r>
        <w:rPr>
          <w:spacing w:val="-5"/>
          <w:w w:val="105"/>
          <w:sz w:val="15"/>
        </w:rPr>
        <w:t xml:space="preserve"> </w:t>
      </w:r>
      <w:r>
        <w:rPr>
          <w:w w:val="105"/>
          <w:sz w:val="15"/>
        </w:rPr>
        <w:t>esto,</w:t>
      </w:r>
      <w:r>
        <w:rPr>
          <w:spacing w:val="-5"/>
          <w:w w:val="105"/>
          <w:sz w:val="15"/>
        </w:rPr>
        <w:t xml:space="preserve"> </w:t>
      </w:r>
      <w:r>
        <w:rPr>
          <w:w w:val="105"/>
          <w:sz w:val="15"/>
        </w:rPr>
        <w:t>la</w:t>
      </w:r>
      <w:r>
        <w:rPr>
          <w:spacing w:val="-5"/>
          <w:w w:val="105"/>
          <w:sz w:val="15"/>
        </w:rPr>
        <w:t xml:space="preserve"> </w:t>
      </w:r>
      <w:r>
        <w:rPr>
          <w:w w:val="105"/>
          <w:sz w:val="15"/>
        </w:rPr>
        <w:t>obligación</w:t>
      </w:r>
      <w:r>
        <w:rPr>
          <w:spacing w:val="-5"/>
          <w:w w:val="105"/>
          <w:sz w:val="15"/>
        </w:rPr>
        <w:t xml:space="preserve"> </w:t>
      </w:r>
      <w:r>
        <w:rPr>
          <w:w w:val="105"/>
          <w:sz w:val="15"/>
        </w:rPr>
        <w:t>de</w:t>
      </w:r>
      <w:r>
        <w:rPr>
          <w:spacing w:val="-5"/>
          <w:w w:val="105"/>
          <w:sz w:val="15"/>
        </w:rPr>
        <w:t xml:space="preserve"> </w:t>
      </w:r>
      <w:r>
        <w:rPr>
          <w:w w:val="105"/>
          <w:sz w:val="15"/>
        </w:rPr>
        <w:t>implementar medidas</w:t>
      </w:r>
      <w:r>
        <w:rPr>
          <w:spacing w:val="-11"/>
          <w:w w:val="105"/>
          <w:sz w:val="15"/>
        </w:rPr>
        <w:t xml:space="preserve"> </w:t>
      </w:r>
      <w:r>
        <w:rPr>
          <w:w w:val="105"/>
          <w:sz w:val="15"/>
        </w:rPr>
        <w:t>de</w:t>
      </w:r>
      <w:r>
        <w:rPr>
          <w:spacing w:val="-11"/>
          <w:w w:val="105"/>
          <w:sz w:val="15"/>
        </w:rPr>
        <w:t xml:space="preserve"> </w:t>
      </w:r>
      <w:r>
        <w:rPr>
          <w:w w:val="105"/>
          <w:sz w:val="15"/>
        </w:rPr>
        <w:t>acción</w:t>
      </w:r>
      <w:r>
        <w:rPr>
          <w:spacing w:val="-11"/>
          <w:w w:val="105"/>
          <w:sz w:val="15"/>
        </w:rPr>
        <w:t xml:space="preserve"> </w:t>
      </w:r>
      <w:r>
        <w:rPr>
          <w:w w:val="105"/>
          <w:sz w:val="15"/>
        </w:rPr>
        <w:t>positiva</w:t>
      </w:r>
      <w:r>
        <w:rPr>
          <w:spacing w:val="-11"/>
          <w:w w:val="105"/>
          <w:sz w:val="15"/>
        </w:rPr>
        <w:t xml:space="preserve"> </w:t>
      </w:r>
      <w:r>
        <w:rPr>
          <w:w w:val="105"/>
          <w:sz w:val="15"/>
        </w:rPr>
        <w:t>surge</w:t>
      </w:r>
      <w:r>
        <w:rPr>
          <w:spacing w:val="-11"/>
          <w:w w:val="105"/>
          <w:sz w:val="15"/>
        </w:rPr>
        <w:t xml:space="preserve"> </w:t>
      </w:r>
      <w:r>
        <w:rPr>
          <w:w w:val="105"/>
          <w:sz w:val="15"/>
        </w:rPr>
        <w:t>en</w:t>
      </w:r>
      <w:r>
        <w:rPr>
          <w:spacing w:val="-11"/>
          <w:w w:val="105"/>
          <w:sz w:val="15"/>
        </w:rPr>
        <w:t xml:space="preserve"> </w:t>
      </w:r>
      <w:r>
        <w:rPr>
          <w:w w:val="105"/>
          <w:sz w:val="15"/>
        </w:rPr>
        <w:t>situaciones</w:t>
      </w:r>
      <w:r>
        <w:rPr>
          <w:spacing w:val="-11"/>
          <w:w w:val="105"/>
          <w:sz w:val="15"/>
        </w:rPr>
        <w:t xml:space="preserve"> </w:t>
      </w:r>
      <w:r>
        <w:rPr>
          <w:w w:val="105"/>
          <w:sz w:val="15"/>
        </w:rPr>
        <w:t>en</w:t>
      </w:r>
      <w:r>
        <w:rPr>
          <w:spacing w:val="-11"/>
          <w:w w:val="105"/>
          <w:sz w:val="15"/>
        </w:rPr>
        <w:t xml:space="preserve"> </w:t>
      </w:r>
      <w:r>
        <w:rPr>
          <w:w w:val="105"/>
          <w:sz w:val="15"/>
        </w:rPr>
        <w:t>las</w:t>
      </w:r>
      <w:r>
        <w:rPr>
          <w:spacing w:val="-11"/>
          <w:w w:val="105"/>
          <w:sz w:val="15"/>
        </w:rPr>
        <w:t xml:space="preserve"> </w:t>
      </w:r>
      <w:r>
        <w:rPr>
          <w:w w:val="105"/>
          <w:sz w:val="15"/>
        </w:rPr>
        <w:t>que</w:t>
      </w:r>
      <w:r>
        <w:rPr>
          <w:spacing w:val="-11"/>
          <w:w w:val="105"/>
          <w:sz w:val="15"/>
        </w:rPr>
        <w:t xml:space="preserve"> </w:t>
      </w:r>
      <w:r>
        <w:rPr>
          <w:w w:val="105"/>
          <w:sz w:val="15"/>
        </w:rPr>
        <w:t>se</w:t>
      </w:r>
      <w:r>
        <w:rPr>
          <w:spacing w:val="-11"/>
          <w:w w:val="105"/>
          <w:sz w:val="15"/>
        </w:rPr>
        <w:t xml:space="preserve"> </w:t>
      </w:r>
      <w:r>
        <w:rPr>
          <w:w w:val="105"/>
          <w:sz w:val="15"/>
        </w:rPr>
        <w:t>identifican</w:t>
      </w:r>
      <w:r>
        <w:rPr>
          <w:spacing w:val="-11"/>
          <w:w w:val="105"/>
          <w:sz w:val="15"/>
        </w:rPr>
        <w:t xml:space="preserve"> </w:t>
      </w:r>
      <w:r>
        <w:rPr>
          <w:w w:val="105"/>
          <w:sz w:val="15"/>
        </w:rPr>
        <w:t>desigualdades</w:t>
      </w:r>
      <w:r>
        <w:rPr>
          <w:spacing w:val="-11"/>
          <w:w w:val="105"/>
          <w:sz w:val="15"/>
        </w:rPr>
        <w:t xml:space="preserve"> </w:t>
      </w:r>
      <w:r>
        <w:rPr>
          <w:w w:val="105"/>
          <w:sz w:val="15"/>
        </w:rPr>
        <w:t>sustantivas,</w:t>
      </w:r>
      <w:r>
        <w:rPr>
          <w:spacing w:val="-11"/>
          <w:w w:val="105"/>
          <w:sz w:val="15"/>
        </w:rPr>
        <w:t xml:space="preserve"> </w:t>
      </w:r>
      <w:r>
        <w:rPr>
          <w:w w:val="105"/>
          <w:sz w:val="15"/>
        </w:rPr>
        <w:t>independientemente</w:t>
      </w:r>
      <w:r>
        <w:rPr>
          <w:spacing w:val="-11"/>
          <w:w w:val="105"/>
          <w:sz w:val="15"/>
        </w:rPr>
        <w:t xml:space="preserve"> </w:t>
      </w:r>
      <w:r>
        <w:rPr>
          <w:w w:val="105"/>
          <w:sz w:val="15"/>
        </w:rPr>
        <w:t>de</w:t>
      </w:r>
      <w:r>
        <w:rPr>
          <w:spacing w:val="-11"/>
          <w:w w:val="105"/>
          <w:sz w:val="15"/>
        </w:rPr>
        <w:t xml:space="preserve"> </w:t>
      </w:r>
      <w:r>
        <w:rPr>
          <w:w w:val="105"/>
          <w:sz w:val="15"/>
        </w:rPr>
        <w:t>cualquier evidencia de discriminación pasada o presente.</w:t>
      </w:r>
    </w:p>
    <w:p w14:paraId="2190ACD0" w14:textId="77777777" w:rsidR="0014798C" w:rsidRDefault="004E1F0B">
      <w:pPr>
        <w:spacing w:before="167" w:line="348" w:lineRule="auto"/>
        <w:ind w:left="1107" w:right="1272" w:hanging="1"/>
        <w:rPr>
          <w:sz w:val="15"/>
        </w:rPr>
      </w:pPr>
      <w:r>
        <w:rPr>
          <w:noProof/>
        </w:rPr>
        <mc:AlternateContent>
          <mc:Choice Requires="wps">
            <w:drawing>
              <wp:anchor distT="0" distB="0" distL="0" distR="0" simplePos="0" relativeHeight="251658269" behindDoc="0" locked="0" layoutInCell="1" allowOverlap="1" wp14:anchorId="29D6FB0B" wp14:editId="376998E2">
                <wp:simplePos x="0" y="0"/>
                <wp:positionH relativeFrom="page">
                  <wp:posOffset>7313138</wp:posOffset>
                </wp:positionH>
                <wp:positionV relativeFrom="paragraph">
                  <wp:posOffset>142311</wp:posOffset>
                </wp:positionV>
                <wp:extent cx="83820" cy="281940"/>
                <wp:effectExtent l="0" t="0" r="0" b="0"/>
                <wp:wrapNone/>
                <wp:docPr id="151" name="Textbox 15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83820" cy="281940"/>
                        </a:xfrm>
                        <a:prstGeom prst="rect">
                          <a:avLst/>
                        </a:prstGeom>
                      </wps:spPr>
                      <wps:txbx>
                        <w:txbxContent>
                          <w:p w14:paraId="4BEB6EDF" w14:textId="77777777" w:rsidR="0014798C" w:rsidRDefault="004E1F0B">
                            <w:pPr>
                              <w:spacing w:before="19"/>
                              <w:ind w:left="20"/>
                              <w:rPr>
                                <w:sz w:val="8"/>
                              </w:rPr>
                            </w:pPr>
                            <w:r>
                              <w:rPr>
                                <w:color w:val="FFFFFF"/>
                                <w:spacing w:val="-24"/>
                                <w:sz w:val="8"/>
                              </w:rPr>
                              <w:t>I–P</w:t>
                            </w:r>
                            <w:r>
                              <w:rPr>
                                <w:spacing w:val="-24"/>
                                <w:sz w:val="8"/>
                              </w:rPr>
                              <w:t>S</w:t>
                            </w:r>
                            <w:r>
                              <w:rPr>
                                <w:color w:val="FFFFFF"/>
                                <w:spacing w:val="-24"/>
                                <w:sz w:val="8"/>
                              </w:rPr>
                              <w:t>A</w:t>
                            </w:r>
                            <w:r>
                              <w:rPr>
                                <w:spacing w:val="-24"/>
                                <w:sz w:val="8"/>
                              </w:rPr>
                              <w:t>E</w:t>
                            </w:r>
                            <w:r>
                              <w:rPr>
                                <w:color w:val="FFFFFF"/>
                                <w:spacing w:val="-24"/>
                                <w:sz w:val="8"/>
                              </w:rPr>
                              <w:t>R</w:t>
                            </w:r>
                            <w:r>
                              <w:rPr>
                                <w:spacing w:val="-24"/>
                                <w:sz w:val="8"/>
                              </w:rPr>
                              <w:t>G</w:t>
                            </w:r>
                            <w:r>
                              <w:rPr>
                                <w:color w:val="FFFFFF"/>
                                <w:spacing w:val="-24"/>
                                <w:sz w:val="8"/>
                              </w:rPr>
                              <w:t>T</w:t>
                            </w:r>
                            <w:r>
                              <w:rPr>
                                <w:spacing w:val="-24"/>
                                <w:sz w:val="8"/>
                              </w:rPr>
                              <w:t>U</w:t>
                            </w:r>
                            <w:r>
                              <w:rPr>
                                <w:color w:val="FFFFFF"/>
                                <w:spacing w:val="-24"/>
                                <w:sz w:val="8"/>
                              </w:rPr>
                              <w:t>E</w:t>
                            </w:r>
                            <w:r>
                              <w:rPr>
                                <w:spacing w:val="-24"/>
                                <w:sz w:val="8"/>
                              </w:rPr>
                              <w:t>NDA</w:t>
                            </w:r>
                          </w:p>
                        </w:txbxContent>
                      </wps:txbx>
                      <wps:bodyPr vert="vert270" wrap="square" lIns="0" tIns="0" rIns="0" bIns="0" rtlCol="0">
                        <a:noAutofit/>
                      </wps:bodyPr>
                    </wps:wsp>
                  </a:graphicData>
                </a:graphic>
              </wp:anchor>
            </w:drawing>
          </mc:Choice>
          <mc:Fallback>
            <w:pict>
              <v:shape w14:anchorId="29D6FB0B" id="Textbox 151" o:spid="_x0000_s1086" type="#_x0000_t202" style="position:absolute;left:0;text-align:left;margin-left:575.85pt;margin-top:11.2pt;width:6.6pt;height:22.2pt;z-index:251658269;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" filled="f" stroked="f">
                <v:textbox style="layout-flow:vertical;mso-layout-flow-alt:bottom-to-top" inset="0,0,0,0">
                  <w:txbxContent>
                    <w:p w14:paraId="4BEB6EDF" w14:textId="77777777" w:rsidR="0014798C" w:rsidRDefault="004E1F0B">
                      <w:pPr>
                        <w:spacing w:before="19"/>
                        <w:ind w:left="20"/>
                        <w:rPr>
                          <w:sz w:val="8"/>
                        </w:rPr>
                      </w:pPr>
                      <w:r>
                        <w:rPr>
                          <w:color w:val="FFFFFF"/>
                          <w:spacing w:val="-24"/>
                          <w:sz w:val="8"/>
                        </w:rPr>
                        <w:t>I–P</w:t>
                      </w:r>
                      <w:r>
                        <w:rPr>
                          <w:spacing w:val="-24"/>
                          <w:sz w:val="8"/>
                        </w:rPr>
                        <w:t>S</w:t>
                      </w:r>
                      <w:r>
                        <w:rPr>
                          <w:color w:val="FFFFFF"/>
                          <w:spacing w:val="-24"/>
                          <w:sz w:val="8"/>
                        </w:rPr>
                        <w:t>A</w:t>
                      </w:r>
                      <w:r>
                        <w:rPr>
                          <w:spacing w:val="-24"/>
                          <w:sz w:val="8"/>
                        </w:rPr>
                        <w:t>E</w:t>
                      </w:r>
                      <w:r>
                        <w:rPr>
                          <w:color w:val="FFFFFF"/>
                          <w:spacing w:val="-24"/>
                          <w:sz w:val="8"/>
                        </w:rPr>
                        <w:t>R</w:t>
                      </w:r>
                      <w:r>
                        <w:rPr>
                          <w:spacing w:val="-24"/>
                          <w:sz w:val="8"/>
                        </w:rPr>
                        <w:t>G</w:t>
                      </w:r>
                      <w:r>
                        <w:rPr>
                          <w:color w:val="FFFFFF"/>
                          <w:spacing w:val="-24"/>
                          <w:sz w:val="8"/>
                        </w:rPr>
                        <w:t>T</w:t>
                      </w:r>
                      <w:r>
                        <w:rPr>
                          <w:spacing w:val="-24"/>
                          <w:sz w:val="8"/>
                        </w:rPr>
                        <w:t>U</w:t>
                      </w:r>
                      <w:r>
                        <w:rPr>
                          <w:color w:val="FFFFFF"/>
                          <w:spacing w:val="-24"/>
                          <w:sz w:val="8"/>
                        </w:rPr>
                        <w:t>E</w:t>
                      </w:r>
                      <w:r>
                        <w:rPr>
                          <w:spacing w:val="-24"/>
                          <w:sz w:val="8"/>
                        </w:rPr>
                        <w:t>NDA</w:t>
                      </w:r>
                    </w:p>
                  </w:txbxContent>
                </v:textbox>
                <w10:wrap anchorx="page"/>
              </v:shape>
            </w:pict>
          </mc:Fallback>
        </mc:AlternateContent>
      </w:r>
      <w:r>
        <w:rPr>
          <w:w w:val="105"/>
          <w:sz w:val="15"/>
        </w:rPr>
        <w:t>Se</w:t>
      </w:r>
      <w:r>
        <w:rPr>
          <w:spacing w:val="-5"/>
          <w:w w:val="105"/>
          <w:sz w:val="15"/>
        </w:rPr>
        <w:t xml:space="preserve"> </w:t>
      </w:r>
      <w:r>
        <w:rPr>
          <w:w w:val="105"/>
          <w:sz w:val="15"/>
        </w:rPr>
        <w:t>ha</w:t>
      </w:r>
      <w:r>
        <w:rPr>
          <w:spacing w:val="-5"/>
          <w:w w:val="105"/>
          <w:sz w:val="15"/>
        </w:rPr>
        <w:t xml:space="preserve"> </w:t>
      </w:r>
      <w:r>
        <w:rPr>
          <w:w w:val="105"/>
          <w:sz w:val="15"/>
        </w:rPr>
        <w:t>argumentado</w:t>
      </w:r>
      <w:r>
        <w:rPr>
          <w:spacing w:val="-5"/>
          <w:w w:val="105"/>
          <w:sz w:val="15"/>
        </w:rPr>
        <w:t xml:space="preserve"> </w:t>
      </w:r>
      <w:r>
        <w:rPr>
          <w:w w:val="105"/>
          <w:sz w:val="15"/>
        </w:rPr>
        <w:t>que</w:t>
      </w:r>
      <w:r>
        <w:rPr>
          <w:spacing w:val="-5"/>
          <w:w w:val="105"/>
          <w:sz w:val="15"/>
        </w:rPr>
        <w:t xml:space="preserve"> </w:t>
      </w:r>
      <w:r>
        <w:rPr>
          <w:w w:val="105"/>
          <w:sz w:val="15"/>
        </w:rPr>
        <w:t>la</w:t>
      </w:r>
      <w:r>
        <w:rPr>
          <w:spacing w:val="-5"/>
          <w:w w:val="105"/>
          <w:sz w:val="15"/>
        </w:rPr>
        <w:t xml:space="preserve"> </w:t>
      </w:r>
      <w:r>
        <w:rPr>
          <w:w w:val="105"/>
          <w:sz w:val="15"/>
        </w:rPr>
        <w:t>“acción</w:t>
      </w:r>
      <w:r>
        <w:rPr>
          <w:spacing w:val="-5"/>
          <w:w w:val="105"/>
          <w:sz w:val="15"/>
        </w:rPr>
        <w:t xml:space="preserve"> </w:t>
      </w:r>
      <w:r>
        <w:rPr>
          <w:w w:val="105"/>
          <w:sz w:val="15"/>
        </w:rPr>
        <w:t>positiva”</w:t>
      </w:r>
      <w:r>
        <w:rPr>
          <w:spacing w:val="-6"/>
          <w:w w:val="105"/>
          <w:sz w:val="15"/>
        </w:rPr>
        <w:t xml:space="preserve"> </w:t>
      </w:r>
      <w:r>
        <w:rPr>
          <w:w w:val="105"/>
          <w:sz w:val="15"/>
        </w:rPr>
        <w:t>debe</w:t>
      </w:r>
      <w:r>
        <w:rPr>
          <w:spacing w:val="-5"/>
          <w:w w:val="105"/>
          <w:sz w:val="15"/>
        </w:rPr>
        <w:t xml:space="preserve"> </w:t>
      </w:r>
      <w:r>
        <w:rPr>
          <w:w w:val="105"/>
          <w:sz w:val="15"/>
        </w:rPr>
        <w:t>entenderse</w:t>
      </w:r>
      <w:r>
        <w:rPr>
          <w:spacing w:val="-5"/>
          <w:w w:val="105"/>
          <w:sz w:val="15"/>
        </w:rPr>
        <w:t xml:space="preserve"> </w:t>
      </w:r>
      <w:r>
        <w:rPr>
          <w:w w:val="105"/>
          <w:sz w:val="15"/>
        </w:rPr>
        <w:t>de</w:t>
      </w:r>
      <w:r>
        <w:rPr>
          <w:spacing w:val="-5"/>
          <w:w w:val="105"/>
          <w:sz w:val="15"/>
        </w:rPr>
        <w:t xml:space="preserve"> </w:t>
      </w:r>
      <w:r>
        <w:rPr>
          <w:w w:val="105"/>
          <w:sz w:val="15"/>
        </w:rPr>
        <w:t>manera</w:t>
      </w:r>
      <w:r>
        <w:rPr>
          <w:spacing w:val="-5"/>
          <w:w w:val="105"/>
          <w:sz w:val="15"/>
        </w:rPr>
        <w:t xml:space="preserve"> </w:t>
      </w:r>
      <w:r>
        <w:rPr>
          <w:w w:val="105"/>
          <w:sz w:val="15"/>
        </w:rPr>
        <w:t>amplia,</w:t>
      </w:r>
      <w:r>
        <w:rPr>
          <w:spacing w:val="-5"/>
          <w:w w:val="105"/>
          <w:sz w:val="15"/>
        </w:rPr>
        <w:t xml:space="preserve"> </w:t>
      </w:r>
      <w:r>
        <w:rPr>
          <w:w w:val="105"/>
          <w:sz w:val="15"/>
        </w:rPr>
        <w:t>incluyendo</w:t>
      </w:r>
      <w:r>
        <w:rPr>
          <w:spacing w:val="-5"/>
          <w:w w:val="105"/>
          <w:sz w:val="15"/>
        </w:rPr>
        <w:t xml:space="preserve"> </w:t>
      </w:r>
      <w:r>
        <w:rPr>
          <w:w w:val="105"/>
          <w:sz w:val="15"/>
        </w:rPr>
        <w:t>todas</w:t>
      </w:r>
      <w:r>
        <w:rPr>
          <w:spacing w:val="-5"/>
          <w:w w:val="105"/>
          <w:sz w:val="15"/>
        </w:rPr>
        <w:t xml:space="preserve"> </w:t>
      </w:r>
      <w:r>
        <w:rPr>
          <w:w w:val="105"/>
          <w:sz w:val="15"/>
        </w:rPr>
        <w:t>las</w:t>
      </w:r>
      <w:r>
        <w:rPr>
          <w:spacing w:val="-5"/>
          <w:w w:val="105"/>
          <w:sz w:val="15"/>
        </w:rPr>
        <w:t xml:space="preserve"> </w:t>
      </w:r>
      <w:r>
        <w:rPr>
          <w:w w:val="105"/>
          <w:sz w:val="15"/>
        </w:rPr>
        <w:t>iniciativas</w:t>
      </w:r>
      <w:r>
        <w:rPr>
          <w:spacing w:val="-6"/>
          <w:w w:val="105"/>
          <w:sz w:val="15"/>
        </w:rPr>
        <w:t xml:space="preserve"> </w:t>
      </w:r>
      <w:r>
        <w:rPr>
          <w:w w:val="105"/>
          <w:sz w:val="15"/>
        </w:rPr>
        <w:t>proactivas</w:t>
      </w:r>
      <w:r>
        <w:rPr>
          <w:spacing w:val="-6"/>
          <w:w w:val="105"/>
          <w:sz w:val="15"/>
        </w:rPr>
        <w:t xml:space="preserve"> </w:t>
      </w:r>
      <w:r>
        <w:rPr>
          <w:w w:val="105"/>
          <w:sz w:val="15"/>
        </w:rPr>
        <w:t>tomadas para</w:t>
      </w:r>
      <w:r>
        <w:rPr>
          <w:spacing w:val="-8"/>
          <w:w w:val="105"/>
          <w:sz w:val="15"/>
        </w:rPr>
        <w:t xml:space="preserve"> </w:t>
      </w:r>
      <w:r>
        <w:rPr>
          <w:w w:val="105"/>
          <w:sz w:val="15"/>
        </w:rPr>
        <w:t>lograr</w:t>
      </w:r>
      <w:r>
        <w:rPr>
          <w:spacing w:val="-8"/>
          <w:w w:val="105"/>
          <w:sz w:val="15"/>
        </w:rPr>
        <w:t xml:space="preserve"> </w:t>
      </w:r>
      <w:r>
        <w:rPr>
          <w:w w:val="105"/>
          <w:sz w:val="15"/>
        </w:rPr>
        <w:t>avances</w:t>
      </w:r>
      <w:r>
        <w:rPr>
          <w:spacing w:val="-8"/>
          <w:w w:val="105"/>
          <w:sz w:val="15"/>
        </w:rPr>
        <w:t xml:space="preserve"> </w:t>
      </w:r>
      <w:r>
        <w:rPr>
          <w:w w:val="105"/>
          <w:sz w:val="15"/>
        </w:rPr>
        <w:t>hacia</w:t>
      </w:r>
      <w:r>
        <w:rPr>
          <w:spacing w:val="-8"/>
          <w:w w:val="105"/>
          <w:sz w:val="15"/>
        </w:rPr>
        <w:t xml:space="preserve"> </w:t>
      </w:r>
      <w:r>
        <w:rPr>
          <w:w w:val="105"/>
          <w:sz w:val="15"/>
        </w:rPr>
        <w:t>la</w:t>
      </w:r>
      <w:r>
        <w:rPr>
          <w:spacing w:val="-8"/>
          <w:w w:val="105"/>
          <w:sz w:val="15"/>
        </w:rPr>
        <w:t xml:space="preserve"> </w:t>
      </w:r>
      <w:r>
        <w:rPr>
          <w:w w:val="105"/>
          <w:sz w:val="15"/>
        </w:rPr>
        <w:t>igualdad</w:t>
      </w:r>
      <w:r>
        <w:rPr>
          <w:spacing w:val="-8"/>
          <w:w w:val="105"/>
          <w:sz w:val="15"/>
        </w:rPr>
        <w:t xml:space="preserve"> </w:t>
      </w:r>
      <w:r>
        <w:rPr>
          <w:w w:val="105"/>
          <w:sz w:val="15"/>
        </w:rPr>
        <w:t>y</w:t>
      </w:r>
      <w:r>
        <w:rPr>
          <w:spacing w:val="-8"/>
          <w:w w:val="105"/>
          <w:sz w:val="15"/>
        </w:rPr>
        <w:t xml:space="preserve"> </w:t>
      </w:r>
      <w:r>
        <w:rPr>
          <w:w w:val="105"/>
          <w:sz w:val="15"/>
        </w:rPr>
        <w:t>eliminar</w:t>
      </w:r>
      <w:r>
        <w:rPr>
          <w:spacing w:val="-8"/>
          <w:w w:val="105"/>
          <w:sz w:val="15"/>
        </w:rPr>
        <w:t xml:space="preserve"> </w:t>
      </w:r>
      <w:r>
        <w:rPr>
          <w:w w:val="105"/>
          <w:sz w:val="15"/>
        </w:rPr>
        <w:t>la</w:t>
      </w:r>
      <w:r>
        <w:rPr>
          <w:spacing w:val="-8"/>
          <w:w w:val="105"/>
          <w:sz w:val="15"/>
        </w:rPr>
        <w:t xml:space="preserve"> </w:t>
      </w:r>
      <w:r>
        <w:rPr>
          <w:w w:val="105"/>
          <w:sz w:val="15"/>
        </w:rPr>
        <w:t>discriminación.443</w:t>
      </w:r>
      <w:r>
        <w:rPr>
          <w:spacing w:val="-8"/>
          <w:w w:val="105"/>
          <w:sz w:val="15"/>
        </w:rPr>
        <w:t xml:space="preserve"> </w:t>
      </w:r>
      <w:r>
        <w:rPr>
          <w:w w:val="105"/>
          <w:sz w:val="15"/>
        </w:rPr>
        <w:t>Sin</w:t>
      </w:r>
      <w:r>
        <w:rPr>
          <w:spacing w:val="-8"/>
          <w:w w:val="105"/>
          <w:sz w:val="15"/>
        </w:rPr>
        <w:t xml:space="preserve"> </w:t>
      </w:r>
      <w:r>
        <w:rPr>
          <w:w w:val="105"/>
          <w:sz w:val="15"/>
        </w:rPr>
        <w:t>embargo,</w:t>
      </w:r>
      <w:r>
        <w:rPr>
          <w:spacing w:val="-8"/>
          <w:w w:val="105"/>
          <w:sz w:val="15"/>
        </w:rPr>
        <w:t xml:space="preserve"> </w:t>
      </w:r>
      <w:r>
        <w:rPr>
          <w:w w:val="105"/>
          <w:sz w:val="15"/>
        </w:rPr>
        <w:t>la</w:t>
      </w:r>
      <w:r>
        <w:rPr>
          <w:spacing w:val="-8"/>
          <w:w w:val="105"/>
          <w:sz w:val="15"/>
        </w:rPr>
        <w:t xml:space="preserve"> </w:t>
      </w:r>
      <w:r>
        <w:rPr>
          <w:w w:val="105"/>
          <w:sz w:val="15"/>
        </w:rPr>
        <w:t>opinión</w:t>
      </w:r>
      <w:r>
        <w:rPr>
          <w:spacing w:val="-8"/>
          <w:w w:val="105"/>
          <w:sz w:val="15"/>
        </w:rPr>
        <w:t xml:space="preserve"> </w:t>
      </w:r>
      <w:r>
        <w:rPr>
          <w:w w:val="105"/>
          <w:sz w:val="15"/>
        </w:rPr>
        <w:t>establecida</w:t>
      </w:r>
      <w:r>
        <w:rPr>
          <w:spacing w:val="-8"/>
          <w:w w:val="105"/>
          <w:sz w:val="15"/>
        </w:rPr>
        <w:t xml:space="preserve"> </w:t>
      </w:r>
      <w:r>
        <w:rPr>
          <w:w w:val="105"/>
          <w:sz w:val="15"/>
        </w:rPr>
        <w:t>es</w:t>
      </w:r>
      <w:r>
        <w:rPr>
          <w:spacing w:val="-8"/>
          <w:w w:val="105"/>
          <w:sz w:val="15"/>
        </w:rPr>
        <w:t xml:space="preserve"> </w:t>
      </w:r>
      <w:r>
        <w:rPr>
          <w:w w:val="105"/>
          <w:sz w:val="15"/>
        </w:rPr>
        <w:t>que</w:t>
      </w:r>
      <w:r>
        <w:rPr>
          <w:spacing w:val="-8"/>
          <w:w w:val="105"/>
          <w:sz w:val="15"/>
        </w:rPr>
        <w:t xml:space="preserve"> </w:t>
      </w:r>
      <w:r>
        <w:rPr>
          <w:w w:val="105"/>
          <w:sz w:val="15"/>
        </w:rPr>
        <w:t>–a</w:t>
      </w:r>
      <w:r>
        <w:rPr>
          <w:spacing w:val="-8"/>
          <w:w w:val="105"/>
          <w:sz w:val="15"/>
        </w:rPr>
        <w:t xml:space="preserve"> </w:t>
      </w:r>
      <w:r>
        <w:rPr>
          <w:w w:val="105"/>
          <w:sz w:val="15"/>
        </w:rPr>
        <w:t>diferencia</w:t>
      </w:r>
      <w:r>
        <w:rPr>
          <w:spacing w:val="-8"/>
          <w:w w:val="105"/>
          <w:sz w:val="15"/>
        </w:rPr>
        <w:t xml:space="preserve"> </w:t>
      </w:r>
      <w:r>
        <w:rPr>
          <w:w w:val="105"/>
          <w:sz w:val="15"/>
        </w:rPr>
        <w:t>de</w:t>
      </w:r>
      <w:r>
        <w:rPr>
          <w:spacing w:val="-8"/>
          <w:w w:val="105"/>
          <w:sz w:val="15"/>
        </w:rPr>
        <w:t xml:space="preserve"> </w:t>
      </w:r>
      <w:r>
        <w:rPr>
          <w:w w:val="105"/>
          <w:sz w:val="15"/>
        </w:rPr>
        <w:t>las medidas</w:t>
      </w:r>
      <w:r>
        <w:rPr>
          <w:spacing w:val="-11"/>
          <w:w w:val="105"/>
          <w:sz w:val="15"/>
        </w:rPr>
        <w:t xml:space="preserve"> </w:t>
      </w:r>
      <w:r>
        <w:rPr>
          <w:w w:val="105"/>
          <w:sz w:val="15"/>
        </w:rPr>
        <w:t>generales</w:t>
      </w:r>
      <w:r>
        <w:rPr>
          <w:spacing w:val="-11"/>
          <w:w w:val="105"/>
          <w:sz w:val="15"/>
        </w:rPr>
        <w:t xml:space="preserve"> </w:t>
      </w:r>
      <w:r>
        <w:rPr>
          <w:w w:val="105"/>
          <w:sz w:val="15"/>
        </w:rPr>
        <w:t>para</w:t>
      </w:r>
      <w:r>
        <w:rPr>
          <w:spacing w:val="-11"/>
          <w:w w:val="105"/>
          <w:sz w:val="15"/>
        </w:rPr>
        <w:t xml:space="preserve"> </w:t>
      </w:r>
      <w:r>
        <w:rPr>
          <w:w w:val="105"/>
          <w:sz w:val="15"/>
        </w:rPr>
        <w:t>promover</w:t>
      </w:r>
      <w:r>
        <w:rPr>
          <w:spacing w:val="-11"/>
          <w:w w:val="105"/>
          <w:sz w:val="15"/>
        </w:rPr>
        <w:t xml:space="preserve"> </w:t>
      </w:r>
      <w:r>
        <w:rPr>
          <w:w w:val="105"/>
          <w:sz w:val="15"/>
        </w:rPr>
        <w:t>la</w:t>
      </w:r>
      <w:r>
        <w:rPr>
          <w:spacing w:val="-11"/>
          <w:w w:val="105"/>
          <w:sz w:val="15"/>
        </w:rPr>
        <w:t xml:space="preserve"> </w:t>
      </w:r>
      <w:r>
        <w:rPr>
          <w:w w:val="105"/>
          <w:sz w:val="15"/>
        </w:rPr>
        <w:t>igualdad</w:t>
      </w:r>
      <w:r>
        <w:rPr>
          <w:spacing w:val="-11"/>
          <w:w w:val="105"/>
          <w:sz w:val="15"/>
        </w:rPr>
        <w:t xml:space="preserve"> </w:t>
      </w:r>
      <w:r>
        <w:rPr>
          <w:w w:val="105"/>
          <w:sz w:val="15"/>
        </w:rPr>
        <w:t>y</w:t>
      </w:r>
      <w:r>
        <w:rPr>
          <w:spacing w:val="-11"/>
          <w:w w:val="105"/>
          <w:sz w:val="15"/>
        </w:rPr>
        <w:t xml:space="preserve"> </w:t>
      </w:r>
      <w:r>
        <w:rPr>
          <w:w w:val="105"/>
          <w:sz w:val="15"/>
        </w:rPr>
        <w:t>combatir</w:t>
      </w:r>
      <w:r>
        <w:rPr>
          <w:spacing w:val="-11"/>
          <w:w w:val="105"/>
          <w:sz w:val="15"/>
        </w:rPr>
        <w:t xml:space="preserve"> </w:t>
      </w:r>
      <w:r>
        <w:rPr>
          <w:w w:val="105"/>
          <w:sz w:val="15"/>
        </w:rPr>
        <w:t>la</w:t>
      </w:r>
      <w:r>
        <w:rPr>
          <w:spacing w:val="-11"/>
          <w:w w:val="105"/>
          <w:sz w:val="15"/>
        </w:rPr>
        <w:t xml:space="preserve"> </w:t>
      </w:r>
      <w:r>
        <w:rPr>
          <w:w w:val="105"/>
          <w:sz w:val="15"/>
        </w:rPr>
        <w:t>discriminación–</w:t>
      </w:r>
      <w:r>
        <w:rPr>
          <w:spacing w:val="-11"/>
          <w:w w:val="105"/>
          <w:sz w:val="15"/>
        </w:rPr>
        <w:t xml:space="preserve"> </w:t>
      </w:r>
      <w:r>
        <w:rPr>
          <w:w w:val="105"/>
          <w:sz w:val="15"/>
        </w:rPr>
        <w:t>la</w:t>
      </w:r>
      <w:r>
        <w:rPr>
          <w:spacing w:val="-11"/>
          <w:w w:val="105"/>
          <w:sz w:val="15"/>
        </w:rPr>
        <w:t xml:space="preserve"> </w:t>
      </w:r>
      <w:r>
        <w:rPr>
          <w:w w:val="105"/>
          <w:sz w:val="15"/>
        </w:rPr>
        <w:t>acción</w:t>
      </w:r>
      <w:r>
        <w:rPr>
          <w:spacing w:val="-11"/>
          <w:w w:val="105"/>
          <w:sz w:val="15"/>
        </w:rPr>
        <w:t xml:space="preserve"> </w:t>
      </w:r>
      <w:r>
        <w:rPr>
          <w:w w:val="105"/>
          <w:sz w:val="15"/>
        </w:rPr>
        <w:t>positiva</w:t>
      </w:r>
      <w:r>
        <w:rPr>
          <w:spacing w:val="-11"/>
          <w:w w:val="105"/>
          <w:sz w:val="15"/>
        </w:rPr>
        <w:t xml:space="preserve"> </w:t>
      </w:r>
      <w:r>
        <w:rPr>
          <w:w w:val="105"/>
          <w:sz w:val="15"/>
        </w:rPr>
        <w:t>implica</w:t>
      </w:r>
      <w:r>
        <w:rPr>
          <w:spacing w:val="-11"/>
          <w:w w:val="105"/>
          <w:sz w:val="15"/>
        </w:rPr>
        <w:t xml:space="preserve"> </w:t>
      </w:r>
      <w:r>
        <w:rPr>
          <w:w w:val="105"/>
          <w:sz w:val="15"/>
        </w:rPr>
        <w:t>un</w:t>
      </w:r>
      <w:r>
        <w:rPr>
          <w:spacing w:val="-11"/>
          <w:w w:val="105"/>
          <w:sz w:val="15"/>
        </w:rPr>
        <w:t xml:space="preserve"> </w:t>
      </w:r>
      <w:r>
        <w:rPr>
          <w:w w:val="105"/>
          <w:sz w:val="15"/>
        </w:rPr>
        <w:t>tratamiento</w:t>
      </w:r>
      <w:r>
        <w:rPr>
          <w:spacing w:val="-11"/>
          <w:w w:val="105"/>
          <w:sz w:val="15"/>
        </w:rPr>
        <w:t xml:space="preserve"> </w:t>
      </w:r>
      <w:r>
        <w:rPr>
          <w:w w:val="105"/>
          <w:sz w:val="15"/>
        </w:rPr>
        <w:t>dirigido</w:t>
      </w:r>
      <w:r>
        <w:rPr>
          <w:spacing w:val="-10"/>
          <w:w w:val="105"/>
          <w:sz w:val="15"/>
        </w:rPr>
        <w:t xml:space="preserve"> </w:t>
      </w:r>
      <w:r>
        <w:rPr>
          <w:w w:val="105"/>
          <w:sz w:val="15"/>
        </w:rPr>
        <w:t>a</w:t>
      </w:r>
      <w:r>
        <w:rPr>
          <w:spacing w:val="-11"/>
          <w:w w:val="105"/>
          <w:sz w:val="15"/>
        </w:rPr>
        <w:t xml:space="preserve"> </w:t>
      </w:r>
      <w:r>
        <w:rPr>
          <w:w w:val="105"/>
          <w:sz w:val="15"/>
        </w:rPr>
        <w:t>corregir las desventajas de personas y grupos determinados identificados.444</w:t>
      </w:r>
    </w:p>
    <w:p w14:paraId="46426AFF" w14:textId="77777777" w:rsidR="0014798C" w:rsidRDefault="004E1F0B">
      <w:pPr>
        <w:spacing w:line="348" w:lineRule="auto"/>
        <w:ind w:left="1107" w:right="1272" w:firstLine="3"/>
        <w:rPr>
          <w:sz w:val="15"/>
        </w:rPr>
      </w:pPr>
      <w:r>
        <w:rPr>
          <w:w w:val="105"/>
          <w:sz w:val="15"/>
        </w:rPr>
        <w:t>Debido</w:t>
      </w:r>
      <w:r>
        <w:rPr>
          <w:spacing w:val="-11"/>
          <w:w w:val="105"/>
          <w:sz w:val="15"/>
        </w:rPr>
        <w:t xml:space="preserve"> </w:t>
      </w:r>
      <w:r>
        <w:rPr>
          <w:w w:val="105"/>
          <w:sz w:val="15"/>
        </w:rPr>
        <w:t>a</w:t>
      </w:r>
      <w:r>
        <w:rPr>
          <w:spacing w:val="-11"/>
          <w:w w:val="105"/>
          <w:sz w:val="15"/>
        </w:rPr>
        <w:t xml:space="preserve"> </w:t>
      </w:r>
      <w:r>
        <w:rPr>
          <w:w w:val="105"/>
          <w:sz w:val="15"/>
        </w:rPr>
        <w:t>que</w:t>
      </w:r>
      <w:r>
        <w:rPr>
          <w:spacing w:val="-11"/>
          <w:w w:val="105"/>
          <w:sz w:val="15"/>
        </w:rPr>
        <w:t xml:space="preserve"> </w:t>
      </w:r>
      <w:r>
        <w:rPr>
          <w:w w:val="105"/>
          <w:sz w:val="15"/>
        </w:rPr>
        <w:t>tales</w:t>
      </w:r>
      <w:r>
        <w:rPr>
          <w:spacing w:val="-11"/>
          <w:w w:val="105"/>
          <w:sz w:val="15"/>
        </w:rPr>
        <w:t xml:space="preserve"> </w:t>
      </w:r>
      <w:r>
        <w:rPr>
          <w:w w:val="105"/>
          <w:sz w:val="15"/>
        </w:rPr>
        <w:t>medidas</w:t>
      </w:r>
      <w:r>
        <w:rPr>
          <w:spacing w:val="-11"/>
          <w:w w:val="105"/>
          <w:sz w:val="15"/>
        </w:rPr>
        <w:t xml:space="preserve"> </w:t>
      </w:r>
      <w:r>
        <w:rPr>
          <w:w w:val="105"/>
          <w:sz w:val="15"/>
        </w:rPr>
        <w:t>implican</w:t>
      </w:r>
      <w:r>
        <w:rPr>
          <w:spacing w:val="-11"/>
          <w:w w:val="105"/>
          <w:sz w:val="15"/>
        </w:rPr>
        <w:t xml:space="preserve"> </w:t>
      </w:r>
      <w:r>
        <w:rPr>
          <w:w w:val="105"/>
          <w:sz w:val="15"/>
        </w:rPr>
        <w:t>tratar</w:t>
      </w:r>
      <w:r>
        <w:rPr>
          <w:spacing w:val="-11"/>
          <w:w w:val="105"/>
          <w:sz w:val="15"/>
        </w:rPr>
        <w:t xml:space="preserve"> </w:t>
      </w:r>
      <w:r>
        <w:rPr>
          <w:w w:val="105"/>
          <w:sz w:val="15"/>
        </w:rPr>
        <w:t>de</w:t>
      </w:r>
      <w:r>
        <w:rPr>
          <w:spacing w:val="-11"/>
          <w:w w:val="105"/>
          <w:sz w:val="15"/>
        </w:rPr>
        <w:t xml:space="preserve"> </w:t>
      </w:r>
      <w:r>
        <w:rPr>
          <w:w w:val="105"/>
          <w:sz w:val="15"/>
        </w:rPr>
        <w:t>manera</w:t>
      </w:r>
      <w:r>
        <w:rPr>
          <w:spacing w:val="-11"/>
          <w:w w:val="105"/>
          <w:sz w:val="15"/>
        </w:rPr>
        <w:t xml:space="preserve"> </w:t>
      </w:r>
      <w:r>
        <w:rPr>
          <w:w w:val="105"/>
          <w:sz w:val="15"/>
        </w:rPr>
        <w:t>diferente</w:t>
      </w:r>
      <w:r>
        <w:rPr>
          <w:spacing w:val="-11"/>
          <w:w w:val="105"/>
          <w:sz w:val="15"/>
        </w:rPr>
        <w:t xml:space="preserve"> </w:t>
      </w:r>
      <w:r>
        <w:rPr>
          <w:w w:val="105"/>
          <w:sz w:val="15"/>
        </w:rPr>
        <w:t>a</w:t>
      </w:r>
      <w:r>
        <w:rPr>
          <w:spacing w:val="-11"/>
          <w:w w:val="105"/>
          <w:sz w:val="15"/>
        </w:rPr>
        <w:t xml:space="preserve"> </w:t>
      </w:r>
      <w:r>
        <w:rPr>
          <w:w w:val="105"/>
          <w:sz w:val="15"/>
        </w:rPr>
        <w:t>personas</w:t>
      </w:r>
      <w:r>
        <w:rPr>
          <w:spacing w:val="-11"/>
          <w:w w:val="105"/>
          <w:sz w:val="15"/>
        </w:rPr>
        <w:t xml:space="preserve"> </w:t>
      </w:r>
      <w:r>
        <w:rPr>
          <w:w w:val="105"/>
          <w:sz w:val="15"/>
        </w:rPr>
        <w:t>y</w:t>
      </w:r>
      <w:r>
        <w:rPr>
          <w:spacing w:val="-11"/>
          <w:w w:val="105"/>
          <w:sz w:val="15"/>
        </w:rPr>
        <w:t xml:space="preserve"> </w:t>
      </w:r>
      <w:r>
        <w:rPr>
          <w:w w:val="105"/>
          <w:sz w:val="15"/>
        </w:rPr>
        <w:t>grupos</w:t>
      </w:r>
      <w:r>
        <w:rPr>
          <w:spacing w:val="-11"/>
          <w:w w:val="105"/>
          <w:sz w:val="15"/>
        </w:rPr>
        <w:t xml:space="preserve"> </w:t>
      </w:r>
      <w:r>
        <w:rPr>
          <w:w w:val="105"/>
          <w:sz w:val="15"/>
        </w:rPr>
        <w:t>que</w:t>
      </w:r>
      <w:r>
        <w:rPr>
          <w:spacing w:val="-11"/>
          <w:w w:val="105"/>
          <w:sz w:val="15"/>
        </w:rPr>
        <w:t xml:space="preserve"> </w:t>
      </w:r>
      <w:r>
        <w:rPr>
          <w:w w:val="105"/>
          <w:sz w:val="15"/>
        </w:rPr>
        <w:t>comparten</w:t>
      </w:r>
      <w:r>
        <w:rPr>
          <w:spacing w:val="-11"/>
          <w:w w:val="105"/>
          <w:sz w:val="15"/>
        </w:rPr>
        <w:t xml:space="preserve"> </w:t>
      </w:r>
      <w:r>
        <w:rPr>
          <w:w w:val="105"/>
          <w:sz w:val="15"/>
        </w:rPr>
        <w:t>características</w:t>
      </w:r>
      <w:r>
        <w:rPr>
          <w:spacing w:val="-10"/>
          <w:w w:val="105"/>
          <w:sz w:val="15"/>
        </w:rPr>
        <w:t xml:space="preserve"> </w:t>
      </w:r>
      <w:r>
        <w:rPr>
          <w:w w:val="105"/>
          <w:sz w:val="15"/>
        </w:rPr>
        <w:t>particulares,</w:t>
      </w:r>
      <w:r>
        <w:rPr>
          <w:spacing w:val="-11"/>
          <w:w w:val="105"/>
          <w:sz w:val="15"/>
        </w:rPr>
        <w:t xml:space="preserve"> </w:t>
      </w:r>
      <w:r>
        <w:rPr>
          <w:w w:val="105"/>
          <w:sz w:val="15"/>
        </w:rPr>
        <w:t>los órganos</w:t>
      </w:r>
      <w:r>
        <w:rPr>
          <w:spacing w:val="-5"/>
          <w:w w:val="105"/>
          <w:sz w:val="15"/>
        </w:rPr>
        <w:t xml:space="preserve"> </w:t>
      </w:r>
      <w:r>
        <w:rPr>
          <w:w w:val="105"/>
          <w:sz w:val="15"/>
        </w:rPr>
        <w:t>creados</w:t>
      </w:r>
      <w:r>
        <w:rPr>
          <w:spacing w:val="-5"/>
          <w:w w:val="105"/>
          <w:sz w:val="15"/>
        </w:rPr>
        <w:t xml:space="preserve"> </w:t>
      </w:r>
      <w:r>
        <w:rPr>
          <w:w w:val="105"/>
          <w:sz w:val="15"/>
        </w:rPr>
        <w:t>en</w:t>
      </w:r>
      <w:r>
        <w:rPr>
          <w:spacing w:val="-5"/>
          <w:w w:val="105"/>
          <w:sz w:val="15"/>
        </w:rPr>
        <w:t xml:space="preserve"> </w:t>
      </w:r>
      <w:r>
        <w:rPr>
          <w:w w:val="105"/>
          <w:sz w:val="15"/>
        </w:rPr>
        <w:t>virtud</w:t>
      </w:r>
      <w:r>
        <w:rPr>
          <w:spacing w:val="-5"/>
          <w:w w:val="105"/>
          <w:sz w:val="15"/>
        </w:rPr>
        <w:t xml:space="preserve"> </w:t>
      </w:r>
      <w:r>
        <w:rPr>
          <w:w w:val="105"/>
          <w:sz w:val="15"/>
        </w:rPr>
        <w:t>de</w:t>
      </w:r>
      <w:r>
        <w:rPr>
          <w:spacing w:val="-5"/>
          <w:w w:val="105"/>
          <w:sz w:val="15"/>
        </w:rPr>
        <w:t xml:space="preserve"> </w:t>
      </w:r>
      <w:r>
        <w:rPr>
          <w:w w:val="105"/>
          <w:sz w:val="15"/>
        </w:rPr>
        <w:t>tratados</w:t>
      </w:r>
      <w:r>
        <w:rPr>
          <w:spacing w:val="-6"/>
          <w:w w:val="105"/>
          <w:sz w:val="15"/>
        </w:rPr>
        <w:t xml:space="preserve"> </w:t>
      </w:r>
      <w:r>
        <w:rPr>
          <w:w w:val="105"/>
          <w:sz w:val="15"/>
        </w:rPr>
        <w:t>han</w:t>
      </w:r>
      <w:r>
        <w:rPr>
          <w:spacing w:val="-5"/>
          <w:w w:val="105"/>
          <w:sz w:val="15"/>
        </w:rPr>
        <w:t xml:space="preserve"> </w:t>
      </w:r>
      <w:r>
        <w:rPr>
          <w:w w:val="105"/>
          <w:sz w:val="15"/>
        </w:rPr>
        <w:t>brindado</w:t>
      </w:r>
      <w:r>
        <w:rPr>
          <w:spacing w:val="-5"/>
          <w:w w:val="105"/>
          <w:sz w:val="15"/>
        </w:rPr>
        <w:t xml:space="preserve"> </w:t>
      </w:r>
      <w:r>
        <w:rPr>
          <w:w w:val="105"/>
          <w:sz w:val="15"/>
        </w:rPr>
        <w:t>orientación</w:t>
      </w:r>
      <w:r>
        <w:rPr>
          <w:spacing w:val="-5"/>
          <w:w w:val="105"/>
          <w:sz w:val="15"/>
        </w:rPr>
        <w:t xml:space="preserve"> </w:t>
      </w:r>
      <w:r>
        <w:rPr>
          <w:w w:val="105"/>
          <w:sz w:val="15"/>
        </w:rPr>
        <w:t>sobre</w:t>
      </w:r>
      <w:r>
        <w:rPr>
          <w:spacing w:val="-5"/>
          <w:w w:val="105"/>
          <w:sz w:val="15"/>
        </w:rPr>
        <w:t xml:space="preserve"> </w:t>
      </w:r>
      <w:r>
        <w:rPr>
          <w:w w:val="105"/>
          <w:sz w:val="15"/>
        </w:rPr>
        <w:t>cómo</w:t>
      </w:r>
      <w:r>
        <w:rPr>
          <w:spacing w:val="-5"/>
          <w:w w:val="105"/>
          <w:sz w:val="15"/>
        </w:rPr>
        <w:t xml:space="preserve"> </w:t>
      </w:r>
      <w:r>
        <w:rPr>
          <w:w w:val="105"/>
          <w:sz w:val="15"/>
        </w:rPr>
        <w:t>distinguir</w:t>
      </w:r>
      <w:r>
        <w:rPr>
          <w:spacing w:val="-6"/>
          <w:w w:val="105"/>
          <w:sz w:val="15"/>
        </w:rPr>
        <w:t xml:space="preserve"> </w:t>
      </w:r>
      <w:r>
        <w:rPr>
          <w:w w:val="105"/>
          <w:sz w:val="15"/>
        </w:rPr>
        <w:t>la</w:t>
      </w:r>
      <w:r>
        <w:rPr>
          <w:spacing w:val="-5"/>
          <w:w w:val="105"/>
          <w:sz w:val="15"/>
        </w:rPr>
        <w:t xml:space="preserve"> </w:t>
      </w:r>
      <w:r>
        <w:rPr>
          <w:w w:val="105"/>
          <w:sz w:val="15"/>
        </w:rPr>
        <w:t>acción</w:t>
      </w:r>
      <w:r>
        <w:rPr>
          <w:spacing w:val="-5"/>
          <w:w w:val="105"/>
          <w:sz w:val="15"/>
        </w:rPr>
        <w:t xml:space="preserve"> </w:t>
      </w:r>
      <w:r>
        <w:rPr>
          <w:w w:val="105"/>
          <w:sz w:val="15"/>
        </w:rPr>
        <w:t>positiva</w:t>
      </w:r>
      <w:r>
        <w:rPr>
          <w:spacing w:val="-5"/>
          <w:w w:val="105"/>
          <w:sz w:val="15"/>
        </w:rPr>
        <w:t xml:space="preserve"> </w:t>
      </w:r>
      <w:r>
        <w:rPr>
          <w:w w:val="105"/>
          <w:sz w:val="15"/>
        </w:rPr>
        <w:t>de</w:t>
      </w:r>
      <w:r>
        <w:rPr>
          <w:spacing w:val="-5"/>
          <w:w w:val="105"/>
          <w:sz w:val="15"/>
        </w:rPr>
        <w:t xml:space="preserve"> </w:t>
      </w:r>
      <w:r>
        <w:rPr>
          <w:w w:val="105"/>
          <w:sz w:val="15"/>
        </w:rPr>
        <w:t>la</w:t>
      </w:r>
      <w:r>
        <w:rPr>
          <w:spacing w:val="-5"/>
          <w:w w:val="105"/>
          <w:sz w:val="15"/>
        </w:rPr>
        <w:t xml:space="preserve"> </w:t>
      </w:r>
      <w:r>
        <w:rPr>
          <w:w w:val="105"/>
          <w:sz w:val="15"/>
        </w:rPr>
        <w:t>diferenciación (discriminación)</w:t>
      </w:r>
      <w:r>
        <w:rPr>
          <w:spacing w:val="-2"/>
          <w:w w:val="105"/>
          <w:sz w:val="15"/>
        </w:rPr>
        <w:t xml:space="preserve"> </w:t>
      </w:r>
      <w:r>
        <w:rPr>
          <w:w w:val="105"/>
          <w:sz w:val="15"/>
        </w:rPr>
        <w:t>injustificada</w:t>
      </w:r>
      <w:r>
        <w:rPr>
          <w:spacing w:val="-2"/>
          <w:w w:val="105"/>
          <w:sz w:val="15"/>
        </w:rPr>
        <w:t xml:space="preserve"> </w:t>
      </w:r>
      <w:r>
        <w:rPr>
          <w:w w:val="105"/>
          <w:sz w:val="15"/>
        </w:rPr>
        <w:t>y</w:t>
      </w:r>
      <w:r>
        <w:rPr>
          <w:spacing w:val="-2"/>
          <w:w w:val="105"/>
          <w:sz w:val="15"/>
        </w:rPr>
        <w:t xml:space="preserve"> </w:t>
      </w:r>
      <w:r>
        <w:rPr>
          <w:w w:val="105"/>
          <w:sz w:val="15"/>
        </w:rPr>
        <w:t>han</w:t>
      </w:r>
      <w:r>
        <w:rPr>
          <w:spacing w:val="-2"/>
          <w:w w:val="105"/>
          <w:sz w:val="15"/>
        </w:rPr>
        <w:t xml:space="preserve"> </w:t>
      </w:r>
      <w:r>
        <w:rPr>
          <w:w w:val="105"/>
          <w:sz w:val="15"/>
        </w:rPr>
        <w:t>establecido</w:t>
      </w:r>
      <w:r>
        <w:rPr>
          <w:spacing w:val="-2"/>
          <w:w w:val="105"/>
          <w:sz w:val="15"/>
        </w:rPr>
        <w:t xml:space="preserve"> </w:t>
      </w:r>
      <w:r>
        <w:rPr>
          <w:w w:val="105"/>
          <w:sz w:val="15"/>
        </w:rPr>
        <w:t>estándares</w:t>
      </w:r>
      <w:r>
        <w:rPr>
          <w:spacing w:val="-3"/>
          <w:w w:val="105"/>
          <w:sz w:val="15"/>
        </w:rPr>
        <w:t xml:space="preserve"> </w:t>
      </w:r>
      <w:r>
        <w:rPr>
          <w:w w:val="105"/>
          <w:sz w:val="15"/>
        </w:rPr>
        <w:t>para</w:t>
      </w:r>
      <w:r>
        <w:rPr>
          <w:spacing w:val="-2"/>
          <w:w w:val="105"/>
          <w:sz w:val="15"/>
        </w:rPr>
        <w:t xml:space="preserve"> </w:t>
      </w:r>
      <w:r>
        <w:rPr>
          <w:w w:val="105"/>
          <w:sz w:val="15"/>
        </w:rPr>
        <w:t>regular</w:t>
      </w:r>
      <w:r>
        <w:rPr>
          <w:spacing w:val="-2"/>
          <w:w w:val="105"/>
          <w:sz w:val="15"/>
        </w:rPr>
        <w:t xml:space="preserve"> </w:t>
      </w:r>
      <w:r>
        <w:rPr>
          <w:w w:val="105"/>
          <w:sz w:val="15"/>
        </w:rPr>
        <w:t>su</w:t>
      </w:r>
      <w:r>
        <w:rPr>
          <w:spacing w:val="-2"/>
          <w:w w:val="105"/>
          <w:sz w:val="15"/>
        </w:rPr>
        <w:t xml:space="preserve"> </w:t>
      </w:r>
      <w:r>
        <w:rPr>
          <w:w w:val="105"/>
          <w:sz w:val="15"/>
        </w:rPr>
        <w:t>aplicación.</w:t>
      </w:r>
    </w:p>
    <w:p w14:paraId="7D0FA4C1" w14:textId="77777777" w:rsidR="0014798C" w:rsidRDefault="004E1F0B">
      <w:pPr>
        <w:spacing w:before="168" w:line="348" w:lineRule="auto"/>
        <w:ind w:left="1107" w:right="1272" w:hanging="1"/>
        <w:rPr>
          <w:sz w:val="15"/>
        </w:rPr>
      </w:pPr>
      <w:r>
        <w:rPr>
          <w:w w:val="105"/>
          <w:sz w:val="15"/>
        </w:rPr>
        <w:t>Para</w:t>
      </w:r>
      <w:r>
        <w:rPr>
          <w:spacing w:val="-6"/>
          <w:w w:val="105"/>
          <w:sz w:val="15"/>
        </w:rPr>
        <w:t xml:space="preserve"> </w:t>
      </w:r>
      <w:r>
        <w:rPr>
          <w:w w:val="105"/>
          <w:sz w:val="15"/>
        </w:rPr>
        <w:t>cumplir</w:t>
      </w:r>
      <w:r>
        <w:rPr>
          <w:spacing w:val="-6"/>
          <w:w w:val="105"/>
          <w:sz w:val="15"/>
        </w:rPr>
        <w:t xml:space="preserve"> </w:t>
      </w:r>
      <w:r>
        <w:rPr>
          <w:w w:val="105"/>
          <w:sz w:val="15"/>
        </w:rPr>
        <w:t>con</w:t>
      </w:r>
      <w:r>
        <w:rPr>
          <w:spacing w:val="-6"/>
          <w:w w:val="105"/>
          <w:sz w:val="15"/>
        </w:rPr>
        <w:t xml:space="preserve"> </w:t>
      </w:r>
      <w:r>
        <w:rPr>
          <w:w w:val="105"/>
          <w:sz w:val="15"/>
        </w:rPr>
        <w:t>las</w:t>
      </w:r>
      <w:r>
        <w:rPr>
          <w:spacing w:val="-6"/>
          <w:w w:val="105"/>
          <w:sz w:val="15"/>
        </w:rPr>
        <w:t xml:space="preserve"> </w:t>
      </w:r>
      <w:r>
        <w:rPr>
          <w:w w:val="105"/>
          <w:sz w:val="15"/>
        </w:rPr>
        <w:t>obligaciones</w:t>
      </w:r>
      <w:r>
        <w:rPr>
          <w:spacing w:val="-7"/>
          <w:w w:val="105"/>
          <w:sz w:val="15"/>
        </w:rPr>
        <w:t xml:space="preserve"> </w:t>
      </w:r>
      <w:r>
        <w:rPr>
          <w:w w:val="105"/>
          <w:sz w:val="15"/>
        </w:rPr>
        <w:t>de</w:t>
      </w:r>
      <w:r>
        <w:rPr>
          <w:spacing w:val="-6"/>
          <w:w w:val="105"/>
          <w:sz w:val="15"/>
        </w:rPr>
        <w:t xml:space="preserve"> </w:t>
      </w:r>
      <w:r>
        <w:rPr>
          <w:w w:val="105"/>
          <w:sz w:val="15"/>
        </w:rPr>
        <w:t>los</w:t>
      </w:r>
      <w:r>
        <w:rPr>
          <w:spacing w:val="-6"/>
          <w:w w:val="105"/>
          <w:sz w:val="15"/>
        </w:rPr>
        <w:t xml:space="preserve"> </w:t>
      </w:r>
      <w:r>
        <w:rPr>
          <w:w w:val="105"/>
          <w:sz w:val="15"/>
        </w:rPr>
        <w:t>Estados</w:t>
      </w:r>
      <w:r>
        <w:rPr>
          <w:spacing w:val="-7"/>
          <w:w w:val="105"/>
          <w:sz w:val="15"/>
        </w:rPr>
        <w:t xml:space="preserve"> </w:t>
      </w:r>
      <w:r>
        <w:rPr>
          <w:w w:val="105"/>
          <w:sz w:val="15"/>
        </w:rPr>
        <w:t>en</w:t>
      </w:r>
      <w:r>
        <w:rPr>
          <w:spacing w:val="-6"/>
          <w:w w:val="105"/>
          <w:sz w:val="15"/>
        </w:rPr>
        <w:t xml:space="preserve"> </w:t>
      </w:r>
      <w:r>
        <w:rPr>
          <w:w w:val="105"/>
          <w:sz w:val="15"/>
        </w:rPr>
        <w:t>materia</w:t>
      </w:r>
      <w:r>
        <w:rPr>
          <w:spacing w:val="-6"/>
          <w:w w:val="105"/>
          <w:sz w:val="15"/>
        </w:rPr>
        <w:t xml:space="preserve"> </w:t>
      </w:r>
      <w:r>
        <w:rPr>
          <w:w w:val="105"/>
          <w:sz w:val="15"/>
        </w:rPr>
        <w:t>de</w:t>
      </w:r>
      <w:r>
        <w:rPr>
          <w:spacing w:val="-6"/>
          <w:w w:val="105"/>
          <w:sz w:val="15"/>
        </w:rPr>
        <w:t xml:space="preserve"> </w:t>
      </w:r>
      <w:r>
        <w:rPr>
          <w:w w:val="105"/>
          <w:sz w:val="15"/>
        </w:rPr>
        <w:t>derecho</w:t>
      </w:r>
      <w:r>
        <w:rPr>
          <w:spacing w:val="-6"/>
          <w:w w:val="105"/>
          <w:sz w:val="15"/>
        </w:rPr>
        <w:t xml:space="preserve"> </w:t>
      </w:r>
      <w:r>
        <w:rPr>
          <w:w w:val="105"/>
          <w:sz w:val="15"/>
        </w:rPr>
        <w:t>internacional,</w:t>
      </w:r>
      <w:r>
        <w:rPr>
          <w:spacing w:val="-5"/>
          <w:w w:val="105"/>
          <w:sz w:val="15"/>
        </w:rPr>
        <w:t xml:space="preserve"> </w:t>
      </w:r>
      <w:r>
        <w:rPr>
          <w:w w:val="105"/>
          <w:sz w:val="15"/>
        </w:rPr>
        <w:t>una</w:t>
      </w:r>
      <w:r>
        <w:rPr>
          <w:spacing w:val="-6"/>
          <w:w w:val="105"/>
          <w:sz w:val="15"/>
        </w:rPr>
        <w:t xml:space="preserve"> </w:t>
      </w:r>
      <w:r>
        <w:rPr>
          <w:w w:val="105"/>
          <w:sz w:val="15"/>
        </w:rPr>
        <w:t>legislación</w:t>
      </w:r>
      <w:r>
        <w:rPr>
          <w:spacing w:val="-6"/>
          <w:w w:val="105"/>
          <w:sz w:val="15"/>
        </w:rPr>
        <w:t xml:space="preserve"> </w:t>
      </w:r>
      <w:r>
        <w:rPr>
          <w:w w:val="105"/>
          <w:sz w:val="15"/>
        </w:rPr>
        <w:t>integral</w:t>
      </w:r>
      <w:r>
        <w:rPr>
          <w:spacing w:val="-6"/>
          <w:w w:val="105"/>
          <w:sz w:val="15"/>
        </w:rPr>
        <w:t xml:space="preserve"> </w:t>
      </w:r>
      <w:r>
        <w:rPr>
          <w:w w:val="105"/>
          <w:sz w:val="15"/>
        </w:rPr>
        <w:t>contra</w:t>
      </w:r>
      <w:r>
        <w:rPr>
          <w:spacing w:val="-6"/>
          <w:w w:val="105"/>
          <w:sz w:val="15"/>
        </w:rPr>
        <w:t xml:space="preserve"> </w:t>
      </w:r>
      <w:r>
        <w:rPr>
          <w:w w:val="105"/>
          <w:sz w:val="15"/>
        </w:rPr>
        <w:t>la</w:t>
      </w:r>
      <w:r>
        <w:rPr>
          <w:spacing w:val="-6"/>
          <w:w w:val="105"/>
          <w:sz w:val="15"/>
        </w:rPr>
        <w:t xml:space="preserve"> </w:t>
      </w:r>
      <w:r>
        <w:rPr>
          <w:w w:val="105"/>
          <w:sz w:val="15"/>
        </w:rPr>
        <w:t>discriminación debería</w:t>
      </w:r>
      <w:r>
        <w:rPr>
          <w:spacing w:val="-11"/>
          <w:w w:val="105"/>
          <w:sz w:val="15"/>
        </w:rPr>
        <w:t xml:space="preserve"> </w:t>
      </w:r>
      <w:r>
        <w:rPr>
          <w:w w:val="105"/>
          <w:sz w:val="15"/>
        </w:rPr>
        <w:t>exigir</w:t>
      </w:r>
      <w:r>
        <w:rPr>
          <w:spacing w:val="-10"/>
          <w:w w:val="105"/>
          <w:sz w:val="15"/>
        </w:rPr>
        <w:t xml:space="preserve"> </w:t>
      </w:r>
      <w:r>
        <w:rPr>
          <w:w w:val="105"/>
          <w:sz w:val="15"/>
        </w:rPr>
        <w:t>la</w:t>
      </w:r>
      <w:r>
        <w:rPr>
          <w:spacing w:val="-11"/>
          <w:w w:val="105"/>
          <w:sz w:val="15"/>
        </w:rPr>
        <w:t xml:space="preserve"> </w:t>
      </w:r>
      <w:r>
        <w:rPr>
          <w:w w:val="105"/>
          <w:sz w:val="15"/>
        </w:rPr>
        <w:t>adopción</w:t>
      </w:r>
      <w:r>
        <w:rPr>
          <w:spacing w:val="-10"/>
          <w:w w:val="105"/>
          <w:sz w:val="15"/>
        </w:rPr>
        <w:t xml:space="preserve"> </w:t>
      </w:r>
      <w:r>
        <w:rPr>
          <w:w w:val="105"/>
          <w:sz w:val="15"/>
        </w:rPr>
        <w:t>de</w:t>
      </w:r>
      <w:r>
        <w:rPr>
          <w:spacing w:val="-11"/>
          <w:w w:val="105"/>
          <w:sz w:val="15"/>
        </w:rPr>
        <w:t xml:space="preserve"> </w:t>
      </w:r>
      <w:r>
        <w:rPr>
          <w:w w:val="105"/>
          <w:sz w:val="15"/>
        </w:rPr>
        <w:t>medidas</w:t>
      </w:r>
      <w:r>
        <w:rPr>
          <w:spacing w:val="-10"/>
          <w:w w:val="105"/>
          <w:sz w:val="15"/>
        </w:rPr>
        <w:t xml:space="preserve"> </w:t>
      </w:r>
      <w:r>
        <w:rPr>
          <w:w w:val="105"/>
          <w:sz w:val="15"/>
        </w:rPr>
        <w:t>positivas</w:t>
      </w:r>
      <w:r>
        <w:rPr>
          <w:spacing w:val="-11"/>
          <w:w w:val="105"/>
          <w:sz w:val="15"/>
        </w:rPr>
        <w:t xml:space="preserve"> </w:t>
      </w:r>
      <w:r>
        <w:rPr>
          <w:w w:val="105"/>
          <w:sz w:val="15"/>
        </w:rPr>
        <w:t>en</w:t>
      </w:r>
      <w:r>
        <w:rPr>
          <w:spacing w:val="-11"/>
          <w:w w:val="105"/>
          <w:sz w:val="15"/>
        </w:rPr>
        <w:t xml:space="preserve"> </w:t>
      </w:r>
      <w:r>
        <w:rPr>
          <w:w w:val="105"/>
          <w:sz w:val="15"/>
        </w:rPr>
        <w:t>situaciones</w:t>
      </w:r>
      <w:r>
        <w:rPr>
          <w:spacing w:val="-11"/>
          <w:w w:val="105"/>
          <w:sz w:val="15"/>
        </w:rPr>
        <w:t xml:space="preserve"> </w:t>
      </w:r>
      <w:r>
        <w:rPr>
          <w:w w:val="105"/>
          <w:sz w:val="15"/>
        </w:rPr>
        <w:t>en</w:t>
      </w:r>
      <w:r>
        <w:rPr>
          <w:spacing w:val="-10"/>
          <w:w w:val="105"/>
          <w:sz w:val="15"/>
        </w:rPr>
        <w:t xml:space="preserve"> </w:t>
      </w:r>
      <w:r>
        <w:rPr>
          <w:w w:val="105"/>
          <w:sz w:val="15"/>
        </w:rPr>
        <w:t>las</w:t>
      </w:r>
      <w:r>
        <w:rPr>
          <w:spacing w:val="-11"/>
          <w:w w:val="105"/>
          <w:sz w:val="15"/>
        </w:rPr>
        <w:t xml:space="preserve"> </w:t>
      </w:r>
      <w:r>
        <w:rPr>
          <w:w w:val="105"/>
          <w:sz w:val="15"/>
        </w:rPr>
        <w:t>que</w:t>
      </w:r>
      <w:r>
        <w:rPr>
          <w:spacing w:val="-10"/>
          <w:w w:val="105"/>
          <w:sz w:val="15"/>
        </w:rPr>
        <w:t xml:space="preserve"> </w:t>
      </w:r>
      <w:r>
        <w:rPr>
          <w:w w:val="105"/>
          <w:sz w:val="15"/>
        </w:rPr>
        <w:t>existen</w:t>
      </w:r>
      <w:r>
        <w:rPr>
          <w:spacing w:val="-11"/>
          <w:w w:val="105"/>
          <w:sz w:val="15"/>
        </w:rPr>
        <w:t xml:space="preserve"> </w:t>
      </w:r>
      <w:r>
        <w:rPr>
          <w:w w:val="105"/>
          <w:sz w:val="15"/>
        </w:rPr>
        <w:t>desigualdades</w:t>
      </w:r>
      <w:r>
        <w:rPr>
          <w:spacing w:val="-11"/>
          <w:w w:val="105"/>
          <w:sz w:val="15"/>
        </w:rPr>
        <w:t xml:space="preserve"> </w:t>
      </w:r>
      <w:r>
        <w:rPr>
          <w:w w:val="105"/>
          <w:sz w:val="15"/>
        </w:rPr>
        <w:t>sustanciales</w:t>
      </w:r>
      <w:r>
        <w:rPr>
          <w:spacing w:val="-11"/>
          <w:w w:val="105"/>
          <w:sz w:val="15"/>
        </w:rPr>
        <w:t xml:space="preserve"> </w:t>
      </w:r>
      <w:r>
        <w:rPr>
          <w:w w:val="105"/>
          <w:sz w:val="15"/>
        </w:rPr>
        <w:t>y</w:t>
      </w:r>
      <w:r>
        <w:rPr>
          <w:spacing w:val="-10"/>
          <w:w w:val="105"/>
          <w:sz w:val="15"/>
        </w:rPr>
        <w:t xml:space="preserve"> </w:t>
      </w:r>
      <w:r>
        <w:rPr>
          <w:w w:val="105"/>
          <w:sz w:val="15"/>
        </w:rPr>
        <w:t>permitir</w:t>
      </w:r>
      <w:r>
        <w:rPr>
          <w:spacing w:val="-11"/>
          <w:w w:val="105"/>
          <w:sz w:val="15"/>
        </w:rPr>
        <w:t xml:space="preserve"> </w:t>
      </w:r>
      <w:r>
        <w:rPr>
          <w:w w:val="105"/>
          <w:sz w:val="15"/>
        </w:rPr>
        <w:t>que</w:t>
      </w:r>
      <w:r>
        <w:rPr>
          <w:spacing w:val="-10"/>
          <w:w w:val="105"/>
          <w:sz w:val="15"/>
        </w:rPr>
        <w:t xml:space="preserve"> </w:t>
      </w:r>
      <w:r>
        <w:rPr>
          <w:w w:val="105"/>
          <w:sz w:val="15"/>
        </w:rPr>
        <w:t>los</w:t>
      </w:r>
      <w:r>
        <w:rPr>
          <w:spacing w:val="-11"/>
          <w:w w:val="105"/>
          <w:sz w:val="15"/>
        </w:rPr>
        <w:t xml:space="preserve"> </w:t>
      </w:r>
      <w:r>
        <w:rPr>
          <w:w w:val="105"/>
          <w:sz w:val="15"/>
        </w:rPr>
        <w:t>actores estatales</w:t>
      </w:r>
      <w:r>
        <w:rPr>
          <w:spacing w:val="-6"/>
          <w:w w:val="105"/>
          <w:sz w:val="15"/>
        </w:rPr>
        <w:t xml:space="preserve"> </w:t>
      </w:r>
      <w:r>
        <w:rPr>
          <w:w w:val="105"/>
          <w:sz w:val="15"/>
        </w:rPr>
        <w:t>y</w:t>
      </w:r>
      <w:r>
        <w:rPr>
          <w:spacing w:val="-5"/>
          <w:w w:val="105"/>
          <w:sz w:val="15"/>
        </w:rPr>
        <w:t xml:space="preserve"> </w:t>
      </w:r>
      <w:r>
        <w:rPr>
          <w:w w:val="105"/>
          <w:sz w:val="15"/>
        </w:rPr>
        <w:t>privados</w:t>
      </w:r>
      <w:r>
        <w:rPr>
          <w:spacing w:val="-5"/>
          <w:w w:val="105"/>
          <w:sz w:val="15"/>
        </w:rPr>
        <w:t xml:space="preserve"> </w:t>
      </w:r>
      <w:r>
        <w:rPr>
          <w:w w:val="105"/>
          <w:sz w:val="15"/>
        </w:rPr>
        <w:t>desarrollen</w:t>
      </w:r>
      <w:r>
        <w:rPr>
          <w:spacing w:val="-5"/>
          <w:w w:val="105"/>
          <w:sz w:val="15"/>
        </w:rPr>
        <w:t xml:space="preserve"> </w:t>
      </w:r>
      <w:r>
        <w:rPr>
          <w:w w:val="105"/>
          <w:sz w:val="15"/>
        </w:rPr>
        <w:t>e</w:t>
      </w:r>
      <w:r>
        <w:rPr>
          <w:spacing w:val="-5"/>
          <w:w w:val="105"/>
          <w:sz w:val="15"/>
        </w:rPr>
        <w:t xml:space="preserve"> </w:t>
      </w:r>
      <w:r>
        <w:rPr>
          <w:w w:val="105"/>
          <w:sz w:val="15"/>
        </w:rPr>
        <w:t>implementen</w:t>
      </w:r>
      <w:r>
        <w:rPr>
          <w:spacing w:val="-5"/>
          <w:w w:val="105"/>
          <w:sz w:val="15"/>
        </w:rPr>
        <w:t xml:space="preserve"> </w:t>
      </w:r>
      <w:r>
        <w:rPr>
          <w:w w:val="105"/>
          <w:sz w:val="15"/>
        </w:rPr>
        <w:t>dichas</w:t>
      </w:r>
      <w:r>
        <w:rPr>
          <w:spacing w:val="-5"/>
          <w:w w:val="105"/>
          <w:sz w:val="15"/>
        </w:rPr>
        <w:t xml:space="preserve"> </w:t>
      </w:r>
      <w:r>
        <w:rPr>
          <w:w w:val="105"/>
          <w:sz w:val="15"/>
        </w:rPr>
        <w:t>medidas</w:t>
      </w:r>
      <w:r>
        <w:rPr>
          <w:spacing w:val="-5"/>
          <w:w w:val="105"/>
          <w:sz w:val="15"/>
        </w:rPr>
        <w:t xml:space="preserve"> </w:t>
      </w:r>
      <w:r>
        <w:rPr>
          <w:w w:val="105"/>
          <w:sz w:val="15"/>
        </w:rPr>
        <w:t>cuando</w:t>
      </w:r>
      <w:r>
        <w:rPr>
          <w:spacing w:val="-5"/>
          <w:w w:val="105"/>
          <w:sz w:val="15"/>
        </w:rPr>
        <w:t xml:space="preserve"> </w:t>
      </w:r>
      <w:r>
        <w:rPr>
          <w:w w:val="105"/>
          <w:sz w:val="15"/>
        </w:rPr>
        <w:t>se</w:t>
      </w:r>
      <w:r>
        <w:rPr>
          <w:spacing w:val="-5"/>
          <w:w w:val="105"/>
          <w:sz w:val="15"/>
        </w:rPr>
        <w:t xml:space="preserve"> </w:t>
      </w:r>
      <w:r>
        <w:rPr>
          <w:w w:val="105"/>
          <w:sz w:val="15"/>
        </w:rPr>
        <w:t>identifique</w:t>
      </w:r>
      <w:r>
        <w:rPr>
          <w:spacing w:val="-6"/>
          <w:w w:val="105"/>
          <w:sz w:val="15"/>
        </w:rPr>
        <w:t xml:space="preserve"> </w:t>
      </w:r>
      <w:r>
        <w:rPr>
          <w:w w:val="105"/>
          <w:sz w:val="15"/>
        </w:rPr>
        <w:t>una</w:t>
      </w:r>
      <w:r>
        <w:rPr>
          <w:spacing w:val="-5"/>
          <w:w w:val="105"/>
          <w:sz w:val="15"/>
        </w:rPr>
        <w:t xml:space="preserve"> </w:t>
      </w:r>
      <w:r>
        <w:rPr>
          <w:w w:val="105"/>
          <w:sz w:val="15"/>
        </w:rPr>
        <w:t>necesidad.</w:t>
      </w:r>
      <w:r>
        <w:rPr>
          <w:spacing w:val="-4"/>
          <w:w w:val="105"/>
          <w:sz w:val="15"/>
        </w:rPr>
        <w:t xml:space="preserve"> </w:t>
      </w:r>
      <w:r>
        <w:rPr>
          <w:w w:val="105"/>
          <w:sz w:val="15"/>
        </w:rPr>
        <w:t>Si</w:t>
      </w:r>
      <w:r>
        <w:rPr>
          <w:spacing w:val="-5"/>
          <w:w w:val="105"/>
          <w:sz w:val="15"/>
        </w:rPr>
        <w:t xml:space="preserve"> </w:t>
      </w:r>
      <w:r>
        <w:rPr>
          <w:w w:val="105"/>
          <w:sz w:val="15"/>
        </w:rPr>
        <w:t>bien</w:t>
      </w:r>
      <w:r>
        <w:rPr>
          <w:spacing w:val="-5"/>
          <w:w w:val="105"/>
          <w:sz w:val="15"/>
        </w:rPr>
        <w:t xml:space="preserve"> </w:t>
      </w:r>
      <w:r>
        <w:rPr>
          <w:w w:val="105"/>
          <w:sz w:val="15"/>
        </w:rPr>
        <w:t>las</w:t>
      </w:r>
      <w:r>
        <w:rPr>
          <w:spacing w:val="-5"/>
          <w:w w:val="105"/>
          <w:sz w:val="15"/>
        </w:rPr>
        <w:t xml:space="preserve"> </w:t>
      </w:r>
      <w:r>
        <w:rPr>
          <w:w w:val="105"/>
          <w:sz w:val="15"/>
        </w:rPr>
        <w:t>leyes</w:t>
      </w:r>
      <w:r>
        <w:rPr>
          <w:spacing w:val="-5"/>
          <w:w w:val="105"/>
          <w:sz w:val="15"/>
        </w:rPr>
        <w:t xml:space="preserve"> </w:t>
      </w:r>
      <w:r>
        <w:rPr>
          <w:w w:val="105"/>
          <w:sz w:val="15"/>
        </w:rPr>
        <w:t>contra</w:t>
      </w:r>
      <w:r>
        <w:rPr>
          <w:spacing w:val="-5"/>
          <w:w w:val="105"/>
          <w:sz w:val="15"/>
        </w:rPr>
        <w:t xml:space="preserve"> </w:t>
      </w:r>
      <w:r>
        <w:rPr>
          <w:w w:val="105"/>
          <w:sz w:val="15"/>
        </w:rPr>
        <w:t>la discriminación</w:t>
      </w:r>
      <w:r>
        <w:rPr>
          <w:spacing w:val="-5"/>
          <w:w w:val="105"/>
          <w:sz w:val="15"/>
        </w:rPr>
        <w:t xml:space="preserve"> </w:t>
      </w:r>
      <w:r>
        <w:rPr>
          <w:w w:val="105"/>
          <w:sz w:val="15"/>
        </w:rPr>
        <w:t>deberían</w:t>
      </w:r>
      <w:r>
        <w:rPr>
          <w:spacing w:val="-5"/>
          <w:w w:val="105"/>
          <w:sz w:val="15"/>
        </w:rPr>
        <w:t xml:space="preserve"> </w:t>
      </w:r>
      <w:r>
        <w:rPr>
          <w:w w:val="105"/>
          <w:sz w:val="15"/>
        </w:rPr>
        <w:t>exigir</w:t>
      </w:r>
      <w:r>
        <w:rPr>
          <w:spacing w:val="-5"/>
          <w:w w:val="105"/>
          <w:sz w:val="15"/>
        </w:rPr>
        <w:t xml:space="preserve"> </w:t>
      </w:r>
      <w:r>
        <w:rPr>
          <w:w w:val="105"/>
          <w:sz w:val="15"/>
        </w:rPr>
        <w:t>y</w:t>
      </w:r>
      <w:r>
        <w:rPr>
          <w:spacing w:val="-5"/>
          <w:w w:val="105"/>
          <w:sz w:val="15"/>
        </w:rPr>
        <w:t xml:space="preserve"> </w:t>
      </w:r>
      <w:r>
        <w:rPr>
          <w:w w:val="105"/>
          <w:sz w:val="15"/>
        </w:rPr>
        <w:t>permitir</w:t>
      </w:r>
      <w:r>
        <w:rPr>
          <w:spacing w:val="-5"/>
          <w:w w:val="105"/>
          <w:sz w:val="15"/>
        </w:rPr>
        <w:t xml:space="preserve"> </w:t>
      </w:r>
      <w:r>
        <w:rPr>
          <w:w w:val="105"/>
          <w:sz w:val="15"/>
        </w:rPr>
        <w:t>acciones</w:t>
      </w:r>
      <w:r>
        <w:rPr>
          <w:spacing w:val="-5"/>
          <w:w w:val="105"/>
          <w:sz w:val="15"/>
        </w:rPr>
        <w:t xml:space="preserve"> </w:t>
      </w:r>
      <w:r>
        <w:rPr>
          <w:w w:val="105"/>
          <w:sz w:val="15"/>
        </w:rPr>
        <w:t>positivas,</w:t>
      </w:r>
      <w:r>
        <w:rPr>
          <w:spacing w:val="-4"/>
          <w:w w:val="105"/>
          <w:sz w:val="15"/>
        </w:rPr>
        <w:t xml:space="preserve"> </w:t>
      </w:r>
      <w:r>
        <w:rPr>
          <w:w w:val="105"/>
          <w:sz w:val="15"/>
        </w:rPr>
        <w:t>los</w:t>
      </w:r>
      <w:r>
        <w:rPr>
          <w:spacing w:val="-5"/>
          <w:w w:val="105"/>
          <w:sz w:val="15"/>
        </w:rPr>
        <w:t xml:space="preserve"> </w:t>
      </w:r>
      <w:r>
        <w:rPr>
          <w:w w:val="105"/>
          <w:sz w:val="15"/>
        </w:rPr>
        <w:t>detalles</w:t>
      </w:r>
      <w:r>
        <w:rPr>
          <w:spacing w:val="-6"/>
          <w:w w:val="105"/>
          <w:sz w:val="15"/>
        </w:rPr>
        <w:t xml:space="preserve"> </w:t>
      </w:r>
      <w:r>
        <w:rPr>
          <w:w w:val="105"/>
          <w:sz w:val="15"/>
        </w:rPr>
        <w:t>de</w:t>
      </w:r>
      <w:r>
        <w:rPr>
          <w:spacing w:val="-5"/>
          <w:w w:val="105"/>
          <w:sz w:val="15"/>
        </w:rPr>
        <w:t xml:space="preserve"> </w:t>
      </w:r>
      <w:r>
        <w:rPr>
          <w:w w:val="105"/>
          <w:sz w:val="15"/>
        </w:rPr>
        <w:t>dichas</w:t>
      </w:r>
      <w:r>
        <w:rPr>
          <w:spacing w:val="-5"/>
          <w:w w:val="105"/>
          <w:sz w:val="15"/>
        </w:rPr>
        <w:t xml:space="preserve"> </w:t>
      </w:r>
      <w:r>
        <w:rPr>
          <w:w w:val="105"/>
          <w:sz w:val="15"/>
        </w:rPr>
        <w:t>medidas</w:t>
      </w:r>
      <w:r>
        <w:rPr>
          <w:spacing w:val="-5"/>
          <w:w w:val="105"/>
          <w:sz w:val="15"/>
        </w:rPr>
        <w:t xml:space="preserve"> </w:t>
      </w:r>
      <w:r>
        <w:rPr>
          <w:w w:val="105"/>
          <w:sz w:val="15"/>
        </w:rPr>
        <w:t>pueden</w:t>
      </w:r>
      <w:r>
        <w:rPr>
          <w:spacing w:val="-5"/>
          <w:w w:val="105"/>
          <w:sz w:val="15"/>
        </w:rPr>
        <w:t xml:space="preserve"> </w:t>
      </w:r>
      <w:r>
        <w:rPr>
          <w:w w:val="105"/>
          <w:sz w:val="15"/>
        </w:rPr>
        <w:t>establecerse</w:t>
      </w:r>
      <w:r>
        <w:rPr>
          <w:spacing w:val="-5"/>
          <w:w w:val="105"/>
          <w:sz w:val="15"/>
        </w:rPr>
        <w:t xml:space="preserve"> </w:t>
      </w:r>
      <w:r>
        <w:rPr>
          <w:w w:val="105"/>
          <w:sz w:val="15"/>
        </w:rPr>
        <w:t>en</w:t>
      </w:r>
      <w:r>
        <w:rPr>
          <w:spacing w:val="-5"/>
          <w:w w:val="105"/>
          <w:sz w:val="15"/>
        </w:rPr>
        <w:t xml:space="preserve"> </w:t>
      </w:r>
      <w:r>
        <w:rPr>
          <w:w w:val="105"/>
          <w:sz w:val="15"/>
        </w:rPr>
        <w:t>otras</w:t>
      </w:r>
      <w:r>
        <w:rPr>
          <w:spacing w:val="-5"/>
          <w:w w:val="105"/>
          <w:sz w:val="15"/>
        </w:rPr>
        <w:t xml:space="preserve"> </w:t>
      </w:r>
      <w:r>
        <w:rPr>
          <w:w w:val="105"/>
          <w:sz w:val="15"/>
        </w:rPr>
        <w:t>leyes</w:t>
      </w:r>
      <w:r>
        <w:rPr>
          <w:spacing w:val="-5"/>
          <w:w w:val="105"/>
          <w:sz w:val="15"/>
        </w:rPr>
        <w:t xml:space="preserve"> </w:t>
      </w:r>
      <w:r>
        <w:rPr>
          <w:w w:val="105"/>
          <w:sz w:val="15"/>
        </w:rPr>
        <w:t>y documentos</w:t>
      </w:r>
      <w:r>
        <w:rPr>
          <w:spacing w:val="-1"/>
          <w:w w:val="105"/>
          <w:sz w:val="15"/>
        </w:rPr>
        <w:t xml:space="preserve"> </w:t>
      </w:r>
      <w:r>
        <w:rPr>
          <w:w w:val="105"/>
          <w:sz w:val="15"/>
        </w:rPr>
        <w:t>políticos.</w:t>
      </w:r>
    </w:p>
    <w:p w14:paraId="5C30846F" w14:textId="77777777" w:rsidR="0014798C" w:rsidRDefault="0014798C">
      <w:pPr>
        <w:pStyle w:val="Textoindependiente"/>
        <w:rPr>
          <w:sz w:val="15"/>
        </w:rPr>
      </w:pPr>
    </w:p>
    <w:p w14:paraId="4C558E22" w14:textId="77777777" w:rsidR="0014798C" w:rsidRDefault="0014798C">
      <w:pPr>
        <w:pStyle w:val="Textoindependiente"/>
        <w:spacing w:before="122"/>
        <w:rPr>
          <w:sz w:val="15"/>
        </w:rPr>
      </w:pPr>
    </w:p>
    <w:p w14:paraId="093A9934" w14:textId="77777777" w:rsidR="0014798C" w:rsidRDefault="004E1F0B">
      <w:pPr>
        <w:spacing w:line="348" w:lineRule="auto"/>
        <w:ind w:left="1333" w:right="2004" w:firstLine="9"/>
        <w:rPr>
          <w:sz w:val="15"/>
        </w:rPr>
      </w:pPr>
      <w:r>
        <w:rPr>
          <w:spacing w:val="-2"/>
          <w:w w:val="105"/>
          <w:sz w:val="15"/>
        </w:rPr>
        <w:t>MEDIDAS</w:t>
      </w:r>
      <w:r>
        <w:rPr>
          <w:spacing w:val="-3"/>
          <w:w w:val="105"/>
          <w:sz w:val="15"/>
        </w:rPr>
        <w:t xml:space="preserve"> </w:t>
      </w:r>
      <w:r>
        <w:rPr>
          <w:spacing w:val="-2"/>
          <w:w w:val="105"/>
          <w:sz w:val="15"/>
        </w:rPr>
        <w:t>DE</w:t>
      </w:r>
      <w:r>
        <w:rPr>
          <w:spacing w:val="-3"/>
          <w:w w:val="105"/>
          <w:sz w:val="15"/>
        </w:rPr>
        <w:t xml:space="preserve"> </w:t>
      </w:r>
      <w:r>
        <w:rPr>
          <w:spacing w:val="-2"/>
          <w:w w:val="105"/>
          <w:sz w:val="15"/>
        </w:rPr>
        <w:t>ACCIÓN</w:t>
      </w:r>
      <w:r>
        <w:rPr>
          <w:spacing w:val="-4"/>
          <w:w w:val="105"/>
          <w:sz w:val="15"/>
        </w:rPr>
        <w:t xml:space="preserve"> </w:t>
      </w:r>
      <w:r>
        <w:rPr>
          <w:spacing w:val="-2"/>
          <w:w w:val="105"/>
          <w:sz w:val="15"/>
        </w:rPr>
        <w:t>POSITIVAS:</w:t>
      </w:r>
      <w:r>
        <w:rPr>
          <w:spacing w:val="-4"/>
          <w:w w:val="105"/>
          <w:sz w:val="15"/>
        </w:rPr>
        <w:t xml:space="preserve"> </w:t>
      </w:r>
      <w:r>
        <w:rPr>
          <w:spacing w:val="-2"/>
          <w:w w:val="105"/>
          <w:sz w:val="15"/>
        </w:rPr>
        <w:t>GARANTIZAR</w:t>
      </w:r>
      <w:r>
        <w:rPr>
          <w:spacing w:val="-4"/>
          <w:w w:val="105"/>
          <w:sz w:val="15"/>
        </w:rPr>
        <w:t xml:space="preserve"> </w:t>
      </w:r>
      <w:r>
        <w:rPr>
          <w:spacing w:val="-2"/>
          <w:w w:val="105"/>
          <w:sz w:val="15"/>
        </w:rPr>
        <w:t>LA</w:t>
      </w:r>
      <w:r>
        <w:rPr>
          <w:spacing w:val="-3"/>
          <w:w w:val="105"/>
          <w:sz w:val="15"/>
        </w:rPr>
        <w:t xml:space="preserve"> </w:t>
      </w:r>
      <w:r>
        <w:rPr>
          <w:spacing w:val="-2"/>
          <w:w w:val="105"/>
          <w:sz w:val="15"/>
        </w:rPr>
        <w:t>PARTICIPACIÓN</w:t>
      </w:r>
      <w:r>
        <w:rPr>
          <w:spacing w:val="-4"/>
          <w:w w:val="105"/>
          <w:sz w:val="15"/>
        </w:rPr>
        <w:t xml:space="preserve"> </w:t>
      </w:r>
      <w:r>
        <w:rPr>
          <w:spacing w:val="-2"/>
          <w:w w:val="105"/>
          <w:sz w:val="15"/>
        </w:rPr>
        <w:t>DE</w:t>
      </w:r>
      <w:r>
        <w:rPr>
          <w:spacing w:val="-3"/>
          <w:w w:val="105"/>
          <w:sz w:val="15"/>
        </w:rPr>
        <w:t xml:space="preserve"> </w:t>
      </w:r>
      <w:r>
        <w:rPr>
          <w:spacing w:val="-2"/>
          <w:w w:val="105"/>
          <w:sz w:val="15"/>
        </w:rPr>
        <w:t>LAS</w:t>
      </w:r>
      <w:r>
        <w:rPr>
          <w:spacing w:val="-3"/>
          <w:w w:val="105"/>
          <w:sz w:val="15"/>
        </w:rPr>
        <w:t xml:space="preserve"> </w:t>
      </w:r>
      <w:r>
        <w:rPr>
          <w:spacing w:val="-2"/>
          <w:w w:val="105"/>
          <w:sz w:val="15"/>
        </w:rPr>
        <w:t>MUJERES</w:t>
      </w:r>
      <w:r>
        <w:rPr>
          <w:spacing w:val="-3"/>
          <w:w w:val="105"/>
          <w:sz w:val="15"/>
        </w:rPr>
        <w:t xml:space="preserve"> </w:t>
      </w:r>
      <w:r>
        <w:rPr>
          <w:spacing w:val="-2"/>
          <w:w w:val="105"/>
          <w:sz w:val="15"/>
        </w:rPr>
        <w:t>EN</w:t>
      </w:r>
      <w:r>
        <w:rPr>
          <w:spacing w:val="-3"/>
          <w:w w:val="105"/>
          <w:sz w:val="15"/>
        </w:rPr>
        <w:t xml:space="preserve"> </w:t>
      </w:r>
      <w:r>
        <w:rPr>
          <w:spacing w:val="-2"/>
          <w:w w:val="105"/>
          <w:sz w:val="15"/>
        </w:rPr>
        <w:t>LAS</w:t>
      </w:r>
      <w:r>
        <w:rPr>
          <w:spacing w:val="-3"/>
          <w:w w:val="105"/>
          <w:sz w:val="15"/>
        </w:rPr>
        <w:t xml:space="preserve"> </w:t>
      </w:r>
      <w:r>
        <w:rPr>
          <w:spacing w:val="-2"/>
          <w:w w:val="105"/>
          <w:sz w:val="15"/>
        </w:rPr>
        <w:t xml:space="preserve">DECISIONES </w:t>
      </w:r>
      <w:r>
        <w:rPr>
          <w:w w:val="105"/>
          <w:sz w:val="15"/>
        </w:rPr>
        <w:t>FABRICANDO EN RUANDA</w:t>
      </w:r>
    </w:p>
    <w:p w14:paraId="2814141E" w14:textId="77777777" w:rsidR="0014798C" w:rsidRDefault="004E1F0B">
      <w:pPr>
        <w:spacing w:before="153" w:line="348" w:lineRule="auto"/>
        <w:ind w:left="1334" w:right="1290" w:hanging="2"/>
        <w:rPr>
          <w:sz w:val="15"/>
        </w:rPr>
      </w:pPr>
      <w:r>
        <w:rPr>
          <w:w w:val="105"/>
          <w:sz w:val="15"/>
        </w:rPr>
        <w:t>En</w:t>
      </w:r>
      <w:r>
        <w:rPr>
          <w:spacing w:val="-4"/>
          <w:w w:val="105"/>
          <w:sz w:val="15"/>
        </w:rPr>
        <w:t xml:space="preserve"> </w:t>
      </w:r>
      <w:r>
        <w:rPr>
          <w:w w:val="105"/>
          <w:sz w:val="15"/>
        </w:rPr>
        <w:t>2018,</w:t>
      </w:r>
      <w:r>
        <w:rPr>
          <w:spacing w:val="-4"/>
          <w:w w:val="105"/>
          <w:sz w:val="15"/>
        </w:rPr>
        <w:t xml:space="preserve"> </w:t>
      </w:r>
      <w:r>
        <w:rPr>
          <w:w w:val="105"/>
          <w:sz w:val="15"/>
        </w:rPr>
        <w:t>la</w:t>
      </w:r>
      <w:r>
        <w:rPr>
          <w:spacing w:val="-4"/>
          <w:w w:val="105"/>
          <w:sz w:val="15"/>
        </w:rPr>
        <w:t xml:space="preserve"> </w:t>
      </w:r>
      <w:r>
        <w:rPr>
          <w:w w:val="105"/>
          <w:sz w:val="15"/>
        </w:rPr>
        <w:t>Entidad</w:t>
      </w:r>
      <w:r>
        <w:rPr>
          <w:spacing w:val="-5"/>
          <w:w w:val="105"/>
          <w:sz w:val="15"/>
        </w:rPr>
        <w:t xml:space="preserve"> </w:t>
      </w:r>
      <w:r>
        <w:rPr>
          <w:w w:val="105"/>
          <w:sz w:val="15"/>
        </w:rPr>
        <w:t>de</w:t>
      </w:r>
      <w:r>
        <w:rPr>
          <w:spacing w:val="-4"/>
          <w:w w:val="105"/>
          <w:sz w:val="15"/>
        </w:rPr>
        <w:t xml:space="preserve"> </w:t>
      </w:r>
      <w:r>
        <w:rPr>
          <w:w w:val="105"/>
          <w:sz w:val="15"/>
        </w:rPr>
        <w:t>las</w:t>
      </w:r>
      <w:r>
        <w:rPr>
          <w:spacing w:val="-4"/>
          <w:w w:val="105"/>
          <w:sz w:val="15"/>
        </w:rPr>
        <w:t xml:space="preserve"> </w:t>
      </w:r>
      <w:r>
        <w:rPr>
          <w:w w:val="105"/>
          <w:sz w:val="15"/>
        </w:rPr>
        <w:t>Naciones</w:t>
      </w:r>
      <w:r>
        <w:rPr>
          <w:spacing w:val="-4"/>
          <w:w w:val="105"/>
          <w:sz w:val="15"/>
        </w:rPr>
        <w:t xml:space="preserve"> </w:t>
      </w:r>
      <w:r>
        <w:rPr>
          <w:w w:val="105"/>
          <w:sz w:val="15"/>
        </w:rPr>
        <w:t>Unidas</w:t>
      </w:r>
      <w:r>
        <w:rPr>
          <w:spacing w:val="-4"/>
          <w:w w:val="105"/>
          <w:sz w:val="15"/>
        </w:rPr>
        <w:t xml:space="preserve"> </w:t>
      </w:r>
      <w:r>
        <w:rPr>
          <w:w w:val="105"/>
          <w:sz w:val="15"/>
        </w:rPr>
        <w:t>para</w:t>
      </w:r>
      <w:r>
        <w:rPr>
          <w:spacing w:val="-4"/>
          <w:w w:val="105"/>
          <w:sz w:val="15"/>
        </w:rPr>
        <w:t xml:space="preserve"> </w:t>
      </w:r>
      <w:r>
        <w:rPr>
          <w:w w:val="105"/>
          <w:sz w:val="15"/>
        </w:rPr>
        <w:t>la</w:t>
      </w:r>
      <w:r>
        <w:rPr>
          <w:spacing w:val="-4"/>
          <w:w w:val="105"/>
          <w:sz w:val="15"/>
        </w:rPr>
        <w:t xml:space="preserve"> </w:t>
      </w:r>
      <w:r>
        <w:rPr>
          <w:w w:val="105"/>
          <w:sz w:val="15"/>
        </w:rPr>
        <w:t>Igualdad</w:t>
      </w:r>
      <w:r>
        <w:rPr>
          <w:spacing w:val="-4"/>
          <w:w w:val="105"/>
          <w:sz w:val="15"/>
        </w:rPr>
        <w:t xml:space="preserve"> </w:t>
      </w:r>
      <w:r>
        <w:rPr>
          <w:w w:val="105"/>
          <w:sz w:val="15"/>
        </w:rPr>
        <w:t>de</w:t>
      </w:r>
      <w:r>
        <w:rPr>
          <w:spacing w:val="-4"/>
          <w:w w:val="105"/>
          <w:sz w:val="15"/>
        </w:rPr>
        <w:t xml:space="preserve"> </w:t>
      </w:r>
      <w:r>
        <w:rPr>
          <w:w w:val="105"/>
          <w:sz w:val="15"/>
        </w:rPr>
        <w:t>Género</w:t>
      </w:r>
      <w:r>
        <w:rPr>
          <w:spacing w:val="-4"/>
          <w:w w:val="105"/>
          <w:sz w:val="15"/>
        </w:rPr>
        <w:t xml:space="preserve"> </w:t>
      </w:r>
      <w:r>
        <w:rPr>
          <w:w w:val="105"/>
          <w:sz w:val="15"/>
        </w:rPr>
        <w:t>y</w:t>
      </w:r>
      <w:r>
        <w:rPr>
          <w:spacing w:val="-4"/>
          <w:w w:val="105"/>
          <w:sz w:val="15"/>
        </w:rPr>
        <w:t xml:space="preserve"> </w:t>
      </w:r>
      <w:r>
        <w:rPr>
          <w:w w:val="105"/>
          <w:sz w:val="15"/>
        </w:rPr>
        <w:t>el</w:t>
      </w:r>
      <w:r>
        <w:rPr>
          <w:spacing w:val="-4"/>
          <w:w w:val="105"/>
          <w:sz w:val="15"/>
        </w:rPr>
        <w:t xml:space="preserve"> </w:t>
      </w:r>
      <w:r>
        <w:rPr>
          <w:w w:val="105"/>
          <w:sz w:val="15"/>
        </w:rPr>
        <w:t>Empoderamiento</w:t>
      </w:r>
      <w:r>
        <w:rPr>
          <w:spacing w:val="-4"/>
          <w:w w:val="105"/>
          <w:sz w:val="15"/>
        </w:rPr>
        <w:t xml:space="preserve"> </w:t>
      </w:r>
      <w:r>
        <w:rPr>
          <w:w w:val="105"/>
          <w:sz w:val="15"/>
        </w:rPr>
        <w:t>de</w:t>
      </w:r>
      <w:r>
        <w:rPr>
          <w:spacing w:val="-4"/>
          <w:w w:val="105"/>
          <w:sz w:val="15"/>
        </w:rPr>
        <w:t xml:space="preserve"> </w:t>
      </w:r>
      <w:r>
        <w:rPr>
          <w:w w:val="105"/>
          <w:sz w:val="15"/>
        </w:rPr>
        <w:t>las</w:t>
      </w:r>
      <w:r>
        <w:rPr>
          <w:spacing w:val="-4"/>
          <w:w w:val="105"/>
          <w:sz w:val="15"/>
        </w:rPr>
        <w:t xml:space="preserve"> </w:t>
      </w:r>
      <w:r>
        <w:rPr>
          <w:w w:val="105"/>
          <w:sz w:val="15"/>
        </w:rPr>
        <w:t>Mujeres</w:t>
      </w:r>
      <w:r>
        <w:rPr>
          <w:spacing w:val="-4"/>
          <w:w w:val="105"/>
          <w:sz w:val="15"/>
        </w:rPr>
        <w:t xml:space="preserve"> </w:t>
      </w:r>
      <w:r>
        <w:rPr>
          <w:w w:val="105"/>
          <w:sz w:val="15"/>
        </w:rPr>
        <w:t>(ONU-Mujeres) señaló</w:t>
      </w:r>
      <w:r>
        <w:rPr>
          <w:spacing w:val="-11"/>
          <w:w w:val="105"/>
          <w:sz w:val="15"/>
        </w:rPr>
        <w:t xml:space="preserve"> </w:t>
      </w:r>
      <w:r>
        <w:rPr>
          <w:w w:val="105"/>
          <w:sz w:val="15"/>
        </w:rPr>
        <w:t>que</w:t>
      </w:r>
      <w:r>
        <w:rPr>
          <w:spacing w:val="-11"/>
          <w:w w:val="105"/>
          <w:sz w:val="15"/>
        </w:rPr>
        <w:t xml:space="preserve"> </w:t>
      </w:r>
      <w:r>
        <w:rPr>
          <w:w w:val="105"/>
          <w:sz w:val="15"/>
        </w:rPr>
        <w:t>Ruanda</w:t>
      </w:r>
      <w:r>
        <w:rPr>
          <w:spacing w:val="-11"/>
          <w:w w:val="105"/>
          <w:sz w:val="15"/>
        </w:rPr>
        <w:t xml:space="preserve"> </w:t>
      </w:r>
      <w:r>
        <w:rPr>
          <w:w w:val="105"/>
          <w:sz w:val="15"/>
        </w:rPr>
        <w:t>había</w:t>
      </w:r>
      <w:r>
        <w:rPr>
          <w:spacing w:val="-11"/>
          <w:w w:val="105"/>
          <w:sz w:val="15"/>
        </w:rPr>
        <w:t xml:space="preserve"> </w:t>
      </w:r>
      <w:r>
        <w:rPr>
          <w:w w:val="105"/>
          <w:sz w:val="15"/>
        </w:rPr>
        <w:t>logrado</w:t>
      </w:r>
      <w:r>
        <w:rPr>
          <w:spacing w:val="-11"/>
          <w:w w:val="105"/>
          <w:sz w:val="15"/>
        </w:rPr>
        <w:t xml:space="preserve"> </w:t>
      </w:r>
      <w:r>
        <w:rPr>
          <w:w w:val="105"/>
          <w:sz w:val="15"/>
        </w:rPr>
        <w:t>“progresos</w:t>
      </w:r>
      <w:r>
        <w:rPr>
          <w:spacing w:val="-11"/>
          <w:w w:val="105"/>
          <w:sz w:val="15"/>
        </w:rPr>
        <w:t xml:space="preserve"> </w:t>
      </w:r>
      <w:r>
        <w:rPr>
          <w:w w:val="105"/>
          <w:sz w:val="15"/>
        </w:rPr>
        <w:t>increíbles”</w:t>
      </w:r>
      <w:r>
        <w:rPr>
          <w:spacing w:val="-11"/>
          <w:w w:val="105"/>
          <w:sz w:val="15"/>
        </w:rPr>
        <w:t xml:space="preserve"> </w:t>
      </w:r>
      <w:r>
        <w:rPr>
          <w:w w:val="105"/>
          <w:sz w:val="15"/>
        </w:rPr>
        <w:t>para</w:t>
      </w:r>
      <w:r>
        <w:rPr>
          <w:spacing w:val="-10"/>
          <w:w w:val="105"/>
          <w:sz w:val="15"/>
        </w:rPr>
        <w:t xml:space="preserve"> </w:t>
      </w:r>
      <w:r>
        <w:rPr>
          <w:w w:val="105"/>
          <w:sz w:val="15"/>
        </w:rPr>
        <w:t>garantizar</w:t>
      </w:r>
      <w:r>
        <w:rPr>
          <w:spacing w:val="-11"/>
          <w:w w:val="105"/>
          <w:sz w:val="15"/>
        </w:rPr>
        <w:t xml:space="preserve"> </w:t>
      </w:r>
      <w:r>
        <w:rPr>
          <w:w w:val="105"/>
          <w:sz w:val="15"/>
        </w:rPr>
        <w:t>la</w:t>
      </w:r>
      <w:r>
        <w:rPr>
          <w:spacing w:val="-11"/>
          <w:w w:val="105"/>
          <w:sz w:val="15"/>
        </w:rPr>
        <w:t xml:space="preserve"> </w:t>
      </w:r>
      <w:r>
        <w:rPr>
          <w:w w:val="105"/>
          <w:sz w:val="15"/>
        </w:rPr>
        <w:t>participación</w:t>
      </w:r>
      <w:r>
        <w:rPr>
          <w:spacing w:val="-11"/>
          <w:w w:val="105"/>
          <w:sz w:val="15"/>
        </w:rPr>
        <w:t xml:space="preserve"> </w:t>
      </w:r>
      <w:r>
        <w:rPr>
          <w:w w:val="105"/>
          <w:sz w:val="15"/>
        </w:rPr>
        <w:t>de</w:t>
      </w:r>
      <w:r>
        <w:rPr>
          <w:spacing w:val="-11"/>
          <w:w w:val="105"/>
          <w:sz w:val="15"/>
        </w:rPr>
        <w:t xml:space="preserve"> </w:t>
      </w:r>
      <w:r>
        <w:rPr>
          <w:w w:val="105"/>
          <w:sz w:val="15"/>
        </w:rPr>
        <w:t>las</w:t>
      </w:r>
      <w:r>
        <w:rPr>
          <w:spacing w:val="-11"/>
          <w:w w:val="105"/>
          <w:sz w:val="15"/>
        </w:rPr>
        <w:t xml:space="preserve"> </w:t>
      </w:r>
      <w:r>
        <w:rPr>
          <w:w w:val="105"/>
          <w:sz w:val="15"/>
        </w:rPr>
        <w:t>mujeres</w:t>
      </w:r>
      <w:r>
        <w:rPr>
          <w:spacing w:val="-10"/>
          <w:w w:val="105"/>
          <w:sz w:val="15"/>
        </w:rPr>
        <w:t xml:space="preserve"> </w:t>
      </w:r>
      <w:r>
        <w:rPr>
          <w:w w:val="105"/>
          <w:sz w:val="15"/>
        </w:rPr>
        <w:t>en</w:t>
      </w:r>
      <w:r>
        <w:rPr>
          <w:spacing w:val="-11"/>
          <w:w w:val="105"/>
          <w:sz w:val="15"/>
        </w:rPr>
        <w:t xml:space="preserve"> </w:t>
      </w:r>
      <w:r>
        <w:rPr>
          <w:w w:val="105"/>
          <w:sz w:val="15"/>
        </w:rPr>
        <w:t>la</w:t>
      </w:r>
      <w:r>
        <w:rPr>
          <w:spacing w:val="-11"/>
          <w:w w:val="105"/>
          <w:sz w:val="15"/>
        </w:rPr>
        <w:t xml:space="preserve"> </w:t>
      </w:r>
      <w:r>
        <w:rPr>
          <w:w w:val="105"/>
          <w:sz w:val="15"/>
        </w:rPr>
        <w:t>toma</w:t>
      </w:r>
      <w:r>
        <w:rPr>
          <w:spacing w:val="-11"/>
          <w:w w:val="105"/>
          <w:sz w:val="15"/>
        </w:rPr>
        <w:t xml:space="preserve"> </w:t>
      </w:r>
      <w:r>
        <w:rPr>
          <w:w w:val="105"/>
          <w:sz w:val="15"/>
        </w:rPr>
        <w:t>de</w:t>
      </w:r>
      <w:r>
        <w:rPr>
          <w:spacing w:val="-11"/>
          <w:w w:val="105"/>
          <w:sz w:val="15"/>
        </w:rPr>
        <w:t xml:space="preserve"> </w:t>
      </w:r>
      <w:r>
        <w:rPr>
          <w:w w:val="105"/>
          <w:sz w:val="15"/>
        </w:rPr>
        <w:t>decisiones como resultado de una serie de medidas especiales adoptadas</w:t>
      </w:r>
      <w:r>
        <w:rPr>
          <w:spacing w:val="-1"/>
          <w:w w:val="105"/>
          <w:sz w:val="15"/>
        </w:rPr>
        <w:t xml:space="preserve"> </w:t>
      </w:r>
      <w:r>
        <w:rPr>
          <w:w w:val="105"/>
          <w:sz w:val="15"/>
        </w:rPr>
        <w:t>por el Estado. .445</w:t>
      </w:r>
    </w:p>
    <w:p w14:paraId="25548D87" w14:textId="77777777" w:rsidR="0014798C" w:rsidRDefault="004E1F0B">
      <w:pPr>
        <w:spacing w:before="112" w:line="348" w:lineRule="auto"/>
        <w:ind w:left="1334" w:right="1463" w:hanging="2"/>
        <w:rPr>
          <w:sz w:val="15"/>
        </w:rPr>
      </w:pPr>
      <w:r>
        <w:rPr>
          <w:w w:val="105"/>
          <w:sz w:val="15"/>
        </w:rPr>
        <w:t>El</w:t>
      </w:r>
      <w:r>
        <w:rPr>
          <w:spacing w:val="-5"/>
          <w:w w:val="105"/>
          <w:sz w:val="15"/>
        </w:rPr>
        <w:t xml:space="preserve"> </w:t>
      </w:r>
      <w:r>
        <w:rPr>
          <w:w w:val="105"/>
          <w:sz w:val="15"/>
        </w:rPr>
        <w:t>camino</w:t>
      </w:r>
      <w:r>
        <w:rPr>
          <w:spacing w:val="-5"/>
          <w:w w:val="105"/>
          <w:sz w:val="15"/>
        </w:rPr>
        <w:t xml:space="preserve"> </w:t>
      </w:r>
      <w:r>
        <w:rPr>
          <w:w w:val="105"/>
          <w:sz w:val="15"/>
        </w:rPr>
        <w:t>hacia</w:t>
      </w:r>
      <w:r>
        <w:rPr>
          <w:spacing w:val="-5"/>
          <w:w w:val="105"/>
          <w:sz w:val="15"/>
        </w:rPr>
        <w:t xml:space="preserve"> </w:t>
      </w:r>
      <w:r>
        <w:rPr>
          <w:w w:val="105"/>
          <w:sz w:val="15"/>
        </w:rPr>
        <w:t>una</w:t>
      </w:r>
      <w:r>
        <w:rPr>
          <w:spacing w:val="-5"/>
          <w:w w:val="105"/>
          <w:sz w:val="15"/>
        </w:rPr>
        <w:t xml:space="preserve"> </w:t>
      </w:r>
      <w:r>
        <w:rPr>
          <w:w w:val="105"/>
          <w:sz w:val="15"/>
        </w:rPr>
        <w:t>mayor</w:t>
      </w:r>
      <w:r>
        <w:rPr>
          <w:spacing w:val="-5"/>
          <w:w w:val="105"/>
          <w:sz w:val="15"/>
        </w:rPr>
        <w:t xml:space="preserve"> </w:t>
      </w:r>
      <w:r>
        <w:rPr>
          <w:w w:val="105"/>
          <w:sz w:val="15"/>
        </w:rPr>
        <w:t>participación</w:t>
      </w:r>
      <w:r>
        <w:rPr>
          <w:spacing w:val="-5"/>
          <w:w w:val="105"/>
          <w:sz w:val="15"/>
        </w:rPr>
        <w:t xml:space="preserve"> </w:t>
      </w:r>
      <w:r>
        <w:rPr>
          <w:w w:val="105"/>
          <w:sz w:val="15"/>
        </w:rPr>
        <w:t>comenzó</w:t>
      </w:r>
      <w:r>
        <w:rPr>
          <w:spacing w:val="-5"/>
          <w:w w:val="105"/>
          <w:sz w:val="15"/>
        </w:rPr>
        <w:t xml:space="preserve"> </w:t>
      </w:r>
      <w:r>
        <w:rPr>
          <w:w w:val="105"/>
          <w:sz w:val="15"/>
        </w:rPr>
        <w:t>con</w:t>
      </w:r>
      <w:r>
        <w:rPr>
          <w:spacing w:val="-5"/>
          <w:w w:val="105"/>
          <w:sz w:val="15"/>
        </w:rPr>
        <w:t xml:space="preserve"> </w:t>
      </w:r>
      <w:r>
        <w:rPr>
          <w:w w:val="105"/>
          <w:sz w:val="15"/>
        </w:rPr>
        <w:t>la</w:t>
      </w:r>
      <w:r>
        <w:rPr>
          <w:spacing w:val="-5"/>
          <w:w w:val="105"/>
          <w:sz w:val="15"/>
        </w:rPr>
        <w:t xml:space="preserve"> </w:t>
      </w:r>
      <w:r>
        <w:rPr>
          <w:w w:val="105"/>
          <w:sz w:val="15"/>
        </w:rPr>
        <w:t>Constitución</w:t>
      </w:r>
      <w:r>
        <w:rPr>
          <w:spacing w:val="-5"/>
          <w:w w:val="105"/>
          <w:sz w:val="15"/>
        </w:rPr>
        <w:t xml:space="preserve"> </w:t>
      </w:r>
      <w:r>
        <w:rPr>
          <w:w w:val="105"/>
          <w:sz w:val="15"/>
        </w:rPr>
        <w:t>del</w:t>
      </w:r>
      <w:r>
        <w:rPr>
          <w:spacing w:val="-5"/>
          <w:w w:val="105"/>
          <w:sz w:val="15"/>
        </w:rPr>
        <w:t xml:space="preserve"> </w:t>
      </w:r>
      <w:r>
        <w:rPr>
          <w:w w:val="105"/>
          <w:sz w:val="15"/>
        </w:rPr>
        <w:t>país</w:t>
      </w:r>
      <w:r>
        <w:rPr>
          <w:spacing w:val="-5"/>
          <w:w w:val="105"/>
          <w:sz w:val="15"/>
        </w:rPr>
        <w:t xml:space="preserve"> </w:t>
      </w:r>
      <w:r>
        <w:rPr>
          <w:w w:val="105"/>
          <w:sz w:val="15"/>
        </w:rPr>
        <w:t>de</w:t>
      </w:r>
      <w:r>
        <w:rPr>
          <w:spacing w:val="-5"/>
          <w:w w:val="105"/>
          <w:sz w:val="15"/>
        </w:rPr>
        <w:t xml:space="preserve"> </w:t>
      </w:r>
      <w:r>
        <w:rPr>
          <w:w w:val="105"/>
          <w:sz w:val="15"/>
        </w:rPr>
        <w:t>2003.</w:t>
      </w:r>
      <w:r>
        <w:rPr>
          <w:spacing w:val="-5"/>
          <w:w w:val="105"/>
          <w:sz w:val="15"/>
        </w:rPr>
        <w:t xml:space="preserve"> </w:t>
      </w:r>
      <w:r>
        <w:rPr>
          <w:w w:val="105"/>
          <w:sz w:val="15"/>
        </w:rPr>
        <w:t>El</w:t>
      </w:r>
      <w:r>
        <w:rPr>
          <w:spacing w:val="-5"/>
          <w:w w:val="105"/>
          <w:sz w:val="15"/>
        </w:rPr>
        <w:t xml:space="preserve"> </w:t>
      </w:r>
      <w:r>
        <w:rPr>
          <w:w w:val="105"/>
          <w:sz w:val="15"/>
        </w:rPr>
        <w:t>artículo</w:t>
      </w:r>
      <w:r>
        <w:rPr>
          <w:spacing w:val="-5"/>
          <w:w w:val="105"/>
          <w:sz w:val="15"/>
        </w:rPr>
        <w:t xml:space="preserve"> </w:t>
      </w:r>
      <w:r>
        <w:rPr>
          <w:w w:val="105"/>
          <w:sz w:val="15"/>
        </w:rPr>
        <w:t>9</w:t>
      </w:r>
      <w:r>
        <w:rPr>
          <w:spacing w:val="-5"/>
          <w:w w:val="105"/>
          <w:sz w:val="15"/>
        </w:rPr>
        <w:t xml:space="preserve"> </w:t>
      </w:r>
      <w:r>
        <w:rPr>
          <w:w w:val="105"/>
          <w:sz w:val="15"/>
        </w:rPr>
        <w:t>(4)</w:t>
      </w:r>
      <w:r>
        <w:rPr>
          <w:spacing w:val="-5"/>
          <w:w w:val="105"/>
          <w:sz w:val="15"/>
        </w:rPr>
        <w:t xml:space="preserve"> </w:t>
      </w:r>
      <w:r>
        <w:rPr>
          <w:w w:val="105"/>
          <w:sz w:val="15"/>
        </w:rPr>
        <w:t>de</w:t>
      </w:r>
      <w:r>
        <w:rPr>
          <w:spacing w:val="-5"/>
          <w:w w:val="105"/>
          <w:sz w:val="15"/>
        </w:rPr>
        <w:t xml:space="preserve"> </w:t>
      </w:r>
      <w:r>
        <w:rPr>
          <w:w w:val="105"/>
          <w:sz w:val="15"/>
        </w:rPr>
        <w:t>la</w:t>
      </w:r>
      <w:r>
        <w:rPr>
          <w:spacing w:val="-5"/>
          <w:w w:val="105"/>
          <w:sz w:val="15"/>
        </w:rPr>
        <w:t xml:space="preserve"> </w:t>
      </w:r>
      <w:r>
        <w:rPr>
          <w:w w:val="105"/>
          <w:sz w:val="15"/>
        </w:rPr>
        <w:t>Constitución</w:t>
      </w:r>
      <w:r>
        <w:rPr>
          <w:spacing w:val="-5"/>
          <w:w w:val="105"/>
          <w:sz w:val="15"/>
        </w:rPr>
        <w:t xml:space="preserve"> </w:t>
      </w:r>
      <w:r>
        <w:rPr>
          <w:w w:val="105"/>
          <w:sz w:val="15"/>
        </w:rPr>
        <w:t>de 2003</w:t>
      </w:r>
      <w:r>
        <w:rPr>
          <w:spacing w:val="-3"/>
          <w:w w:val="105"/>
          <w:sz w:val="15"/>
        </w:rPr>
        <w:t xml:space="preserve"> </w:t>
      </w:r>
      <w:r>
        <w:rPr>
          <w:w w:val="105"/>
          <w:sz w:val="15"/>
        </w:rPr>
        <w:t>disponía</w:t>
      </w:r>
      <w:r>
        <w:rPr>
          <w:spacing w:val="-3"/>
          <w:w w:val="105"/>
          <w:sz w:val="15"/>
        </w:rPr>
        <w:t xml:space="preserve"> </w:t>
      </w:r>
      <w:r>
        <w:rPr>
          <w:w w:val="105"/>
          <w:sz w:val="15"/>
        </w:rPr>
        <w:t>que</w:t>
      </w:r>
      <w:r>
        <w:rPr>
          <w:spacing w:val="-3"/>
          <w:w w:val="105"/>
          <w:sz w:val="15"/>
        </w:rPr>
        <w:t xml:space="preserve"> </w:t>
      </w:r>
      <w:r>
        <w:rPr>
          <w:w w:val="105"/>
          <w:sz w:val="15"/>
        </w:rPr>
        <w:t>a</w:t>
      </w:r>
      <w:r>
        <w:rPr>
          <w:spacing w:val="-3"/>
          <w:w w:val="105"/>
          <w:sz w:val="15"/>
        </w:rPr>
        <w:t xml:space="preserve"> </w:t>
      </w:r>
      <w:r>
        <w:rPr>
          <w:w w:val="105"/>
          <w:sz w:val="15"/>
        </w:rPr>
        <w:t>las</w:t>
      </w:r>
      <w:r>
        <w:rPr>
          <w:spacing w:val="-3"/>
          <w:w w:val="105"/>
          <w:sz w:val="15"/>
        </w:rPr>
        <w:t xml:space="preserve"> </w:t>
      </w:r>
      <w:r>
        <w:rPr>
          <w:w w:val="105"/>
          <w:sz w:val="15"/>
        </w:rPr>
        <w:t>mujeres</w:t>
      </w:r>
      <w:r>
        <w:rPr>
          <w:spacing w:val="-3"/>
          <w:w w:val="105"/>
          <w:sz w:val="15"/>
        </w:rPr>
        <w:t xml:space="preserve"> </w:t>
      </w:r>
      <w:r>
        <w:rPr>
          <w:w w:val="105"/>
          <w:sz w:val="15"/>
        </w:rPr>
        <w:t>se</w:t>
      </w:r>
      <w:r>
        <w:rPr>
          <w:spacing w:val="-3"/>
          <w:w w:val="105"/>
          <w:sz w:val="15"/>
        </w:rPr>
        <w:t xml:space="preserve"> </w:t>
      </w:r>
      <w:r>
        <w:rPr>
          <w:w w:val="105"/>
          <w:sz w:val="15"/>
        </w:rPr>
        <w:t>les</w:t>
      </w:r>
      <w:r>
        <w:rPr>
          <w:spacing w:val="-3"/>
          <w:w w:val="105"/>
          <w:sz w:val="15"/>
        </w:rPr>
        <w:t xml:space="preserve"> </w:t>
      </w:r>
      <w:r>
        <w:rPr>
          <w:w w:val="105"/>
          <w:sz w:val="15"/>
        </w:rPr>
        <w:t>debía</w:t>
      </w:r>
      <w:r>
        <w:rPr>
          <w:spacing w:val="-3"/>
          <w:w w:val="105"/>
          <w:sz w:val="15"/>
        </w:rPr>
        <w:t xml:space="preserve"> </w:t>
      </w:r>
      <w:r>
        <w:rPr>
          <w:w w:val="105"/>
          <w:sz w:val="15"/>
        </w:rPr>
        <w:t>conceder</w:t>
      </w:r>
      <w:r>
        <w:rPr>
          <w:spacing w:val="-3"/>
          <w:w w:val="105"/>
          <w:sz w:val="15"/>
        </w:rPr>
        <w:t xml:space="preserve"> </w:t>
      </w:r>
      <w:r>
        <w:rPr>
          <w:w w:val="105"/>
          <w:sz w:val="15"/>
        </w:rPr>
        <w:t>al</w:t>
      </w:r>
      <w:r>
        <w:rPr>
          <w:spacing w:val="-3"/>
          <w:w w:val="105"/>
          <w:sz w:val="15"/>
        </w:rPr>
        <w:t xml:space="preserve"> </w:t>
      </w:r>
      <w:r>
        <w:rPr>
          <w:w w:val="105"/>
          <w:sz w:val="15"/>
        </w:rPr>
        <w:t>menos</w:t>
      </w:r>
      <w:r>
        <w:rPr>
          <w:spacing w:val="-3"/>
          <w:w w:val="105"/>
          <w:sz w:val="15"/>
        </w:rPr>
        <w:t xml:space="preserve"> </w:t>
      </w:r>
      <w:r>
        <w:rPr>
          <w:w w:val="105"/>
          <w:sz w:val="15"/>
        </w:rPr>
        <w:t>el</w:t>
      </w:r>
      <w:r>
        <w:rPr>
          <w:spacing w:val="-3"/>
          <w:w w:val="105"/>
          <w:sz w:val="15"/>
        </w:rPr>
        <w:t xml:space="preserve"> </w:t>
      </w:r>
      <w:r>
        <w:rPr>
          <w:w w:val="105"/>
          <w:sz w:val="15"/>
        </w:rPr>
        <w:t>30</w:t>
      </w:r>
      <w:r>
        <w:rPr>
          <w:spacing w:val="-3"/>
          <w:w w:val="105"/>
          <w:sz w:val="15"/>
        </w:rPr>
        <w:t xml:space="preserve"> </w:t>
      </w:r>
      <w:r>
        <w:rPr>
          <w:w w:val="105"/>
          <w:sz w:val="15"/>
        </w:rPr>
        <w:t>por</w:t>
      </w:r>
      <w:r>
        <w:rPr>
          <w:spacing w:val="-3"/>
          <w:w w:val="105"/>
          <w:sz w:val="15"/>
        </w:rPr>
        <w:t xml:space="preserve"> </w:t>
      </w:r>
      <w:r>
        <w:rPr>
          <w:w w:val="105"/>
          <w:sz w:val="15"/>
        </w:rPr>
        <w:t>ciento</w:t>
      </w:r>
      <w:r>
        <w:rPr>
          <w:spacing w:val="-3"/>
          <w:w w:val="105"/>
          <w:sz w:val="15"/>
        </w:rPr>
        <w:t xml:space="preserve"> </w:t>
      </w:r>
      <w:r>
        <w:rPr>
          <w:w w:val="105"/>
          <w:sz w:val="15"/>
        </w:rPr>
        <w:t>de</w:t>
      </w:r>
      <w:r>
        <w:rPr>
          <w:spacing w:val="-3"/>
          <w:w w:val="105"/>
          <w:sz w:val="15"/>
        </w:rPr>
        <w:t xml:space="preserve"> </w:t>
      </w:r>
      <w:r>
        <w:rPr>
          <w:w w:val="105"/>
          <w:sz w:val="15"/>
        </w:rPr>
        <w:t>los</w:t>
      </w:r>
      <w:r>
        <w:rPr>
          <w:spacing w:val="-3"/>
          <w:w w:val="105"/>
          <w:sz w:val="15"/>
        </w:rPr>
        <w:t xml:space="preserve"> </w:t>
      </w:r>
      <w:r>
        <w:rPr>
          <w:w w:val="105"/>
          <w:sz w:val="15"/>
        </w:rPr>
        <w:t>puestos</w:t>
      </w:r>
      <w:r>
        <w:rPr>
          <w:spacing w:val="-3"/>
          <w:w w:val="105"/>
          <w:sz w:val="15"/>
        </w:rPr>
        <w:t xml:space="preserve"> </w:t>
      </w:r>
      <w:r>
        <w:rPr>
          <w:w w:val="105"/>
          <w:sz w:val="15"/>
        </w:rPr>
        <w:t>en</w:t>
      </w:r>
      <w:r>
        <w:rPr>
          <w:spacing w:val="-3"/>
          <w:w w:val="105"/>
          <w:sz w:val="15"/>
        </w:rPr>
        <w:t xml:space="preserve"> </w:t>
      </w:r>
      <w:r>
        <w:rPr>
          <w:w w:val="105"/>
          <w:sz w:val="15"/>
        </w:rPr>
        <w:t>los</w:t>
      </w:r>
      <w:r>
        <w:rPr>
          <w:spacing w:val="-3"/>
          <w:w w:val="105"/>
          <w:sz w:val="15"/>
        </w:rPr>
        <w:t xml:space="preserve"> </w:t>
      </w:r>
      <w:r>
        <w:rPr>
          <w:w w:val="105"/>
          <w:sz w:val="15"/>
        </w:rPr>
        <w:t>órganos</w:t>
      </w:r>
      <w:r>
        <w:rPr>
          <w:spacing w:val="-3"/>
          <w:w w:val="105"/>
          <w:sz w:val="15"/>
        </w:rPr>
        <w:t xml:space="preserve"> </w:t>
      </w:r>
      <w:r>
        <w:rPr>
          <w:w w:val="105"/>
          <w:sz w:val="15"/>
        </w:rPr>
        <w:t>de</w:t>
      </w:r>
      <w:r>
        <w:rPr>
          <w:spacing w:val="-3"/>
          <w:w w:val="105"/>
          <w:sz w:val="15"/>
        </w:rPr>
        <w:t xml:space="preserve"> </w:t>
      </w:r>
      <w:r>
        <w:rPr>
          <w:w w:val="105"/>
          <w:sz w:val="15"/>
        </w:rPr>
        <w:t>toma</w:t>
      </w:r>
      <w:r>
        <w:rPr>
          <w:spacing w:val="-3"/>
          <w:w w:val="105"/>
          <w:sz w:val="15"/>
        </w:rPr>
        <w:t xml:space="preserve"> </w:t>
      </w:r>
      <w:r>
        <w:rPr>
          <w:w w:val="105"/>
          <w:sz w:val="15"/>
        </w:rPr>
        <w:t>de decisiones,</w:t>
      </w:r>
      <w:r>
        <w:rPr>
          <w:spacing w:val="-7"/>
          <w:w w:val="105"/>
          <w:sz w:val="15"/>
        </w:rPr>
        <w:t xml:space="preserve"> </w:t>
      </w:r>
      <w:r>
        <w:rPr>
          <w:w w:val="105"/>
          <w:sz w:val="15"/>
        </w:rPr>
        <w:t>mientras</w:t>
      </w:r>
      <w:r>
        <w:rPr>
          <w:spacing w:val="-8"/>
          <w:w w:val="105"/>
          <w:sz w:val="15"/>
        </w:rPr>
        <w:t xml:space="preserve"> </w:t>
      </w:r>
      <w:r>
        <w:rPr>
          <w:w w:val="105"/>
          <w:sz w:val="15"/>
        </w:rPr>
        <w:t>que</w:t>
      </w:r>
      <w:r>
        <w:rPr>
          <w:spacing w:val="-8"/>
          <w:w w:val="105"/>
          <w:sz w:val="15"/>
        </w:rPr>
        <w:t xml:space="preserve"> </w:t>
      </w:r>
      <w:r>
        <w:rPr>
          <w:w w:val="105"/>
          <w:sz w:val="15"/>
        </w:rPr>
        <w:t>el</w:t>
      </w:r>
      <w:r>
        <w:rPr>
          <w:spacing w:val="-8"/>
          <w:w w:val="105"/>
          <w:sz w:val="15"/>
        </w:rPr>
        <w:t xml:space="preserve"> </w:t>
      </w:r>
      <w:r>
        <w:rPr>
          <w:w w:val="105"/>
          <w:sz w:val="15"/>
        </w:rPr>
        <w:t>artículo</w:t>
      </w:r>
      <w:r>
        <w:rPr>
          <w:spacing w:val="-8"/>
          <w:w w:val="105"/>
          <w:sz w:val="15"/>
        </w:rPr>
        <w:t xml:space="preserve"> </w:t>
      </w:r>
      <w:r>
        <w:rPr>
          <w:w w:val="105"/>
          <w:sz w:val="15"/>
        </w:rPr>
        <w:t>76</w:t>
      </w:r>
      <w:r>
        <w:rPr>
          <w:spacing w:val="-8"/>
          <w:w w:val="105"/>
          <w:sz w:val="15"/>
        </w:rPr>
        <w:t xml:space="preserve"> </w:t>
      </w:r>
      <w:r>
        <w:rPr>
          <w:w w:val="105"/>
          <w:sz w:val="15"/>
        </w:rPr>
        <w:t>exigía</w:t>
      </w:r>
      <w:r>
        <w:rPr>
          <w:spacing w:val="-8"/>
          <w:w w:val="105"/>
          <w:sz w:val="15"/>
        </w:rPr>
        <w:t xml:space="preserve"> </w:t>
      </w:r>
      <w:r>
        <w:rPr>
          <w:w w:val="105"/>
          <w:sz w:val="15"/>
        </w:rPr>
        <w:t>que</w:t>
      </w:r>
      <w:r>
        <w:rPr>
          <w:spacing w:val="-8"/>
          <w:w w:val="105"/>
          <w:sz w:val="15"/>
        </w:rPr>
        <w:t xml:space="preserve"> </w:t>
      </w:r>
      <w:r>
        <w:rPr>
          <w:w w:val="105"/>
          <w:sz w:val="15"/>
        </w:rPr>
        <w:t>24</w:t>
      </w:r>
      <w:r>
        <w:rPr>
          <w:spacing w:val="-8"/>
          <w:w w:val="105"/>
          <w:sz w:val="15"/>
        </w:rPr>
        <w:t xml:space="preserve"> </w:t>
      </w:r>
      <w:r>
        <w:rPr>
          <w:w w:val="105"/>
          <w:sz w:val="15"/>
        </w:rPr>
        <w:t>de</w:t>
      </w:r>
      <w:r>
        <w:rPr>
          <w:spacing w:val="-8"/>
          <w:w w:val="105"/>
          <w:sz w:val="15"/>
        </w:rPr>
        <w:t xml:space="preserve"> </w:t>
      </w:r>
      <w:r>
        <w:rPr>
          <w:w w:val="105"/>
          <w:sz w:val="15"/>
        </w:rPr>
        <w:t>los</w:t>
      </w:r>
      <w:r>
        <w:rPr>
          <w:spacing w:val="-8"/>
          <w:w w:val="105"/>
          <w:sz w:val="15"/>
        </w:rPr>
        <w:t xml:space="preserve"> </w:t>
      </w:r>
      <w:r>
        <w:rPr>
          <w:w w:val="105"/>
          <w:sz w:val="15"/>
        </w:rPr>
        <w:t>80</w:t>
      </w:r>
      <w:r>
        <w:rPr>
          <w:spacing w:val="-8"/>
          <w:w w:val="105"/>
          <w:sz w:val="15"/>
        </w:rPr>
        <w:t xml:space="preserve"> </w:t>
      </w:r>
      <w:r>
        <w:rPr>
          <w:w w:val="105"/>
          <w:sz w:val="15"/>
        </w:rPr>
        <w:t>escaños</w:t>
      </w:r>
      <w:r>
        <w:rPr>
          <w:spacing w:val="-8"/>
          <w:w w:val="105"/>
          <w:sz w:val="15"/>
        </w:rPr>
        <w:t xml:space="preserve"> </w:t>
      </w:r>
      <w:r>
        <w:rPr>
          <w:w w:val="105"/>
          <w:sz w:val="15"/>
        </w:rPr>
        <w:t>de</w:t>
      </w:r>
      <w:r>
        <w:rPr>
          <w:spacing w:val="-8"/>
          <w:w w:val="105"/>
          <w:sz w:val="15"/>
        </w:rPr>
        <w:t xml:space="preserve"> </w:t>
      </w:r>
      <w:r>
        <w:rPr>
          <w:w w:val="105"/>
          <w:sz w:val="15"/>
        </w:rPr>
        <w:t>la</w:t>
      </w:r>
      <w:r>
        <w:rPr>
          <w:spacing w:val="-8"/>
          <w:w w:val="105"/>
          <w:sz w:val="15"/>
        </w:rPr>
        <w:t xml:space="preserve"> </w:t>
      </w:r>
      <w:r>
        <w:rPr>
          <w:w w:val="105"/>
          <w:sz w:val="15"/>
        </w:rPr>
        <w:t>Cámara</w:t>
      </w:r>
      <w:r>
        <w:rPr>
          <w:spacing w:val="-8"/>
          <w:w w:val="105"/>
          <w:sz w:val="15"/>
        </w:rPr>
        <w:t xml:space="preserve"> </w:t>
      </w:r>
      <w:r>
        <w:rPr>
          <w:w w:val="105"/>
          <w:sz w:val="15"/>
        </w:rPr>
        <w:t>de</w:t>
      </w:r>
      <w:r>
        <w:rPr>
          <w:spacing w:val="-8"/>
          <w:w w:val="105"/>
          <w:sz w:val="15"/>
        </w:rPr>
        <w:t xml:space="preserve"> </w:t>
      </w:r>
      <w:r>
        <w:rPr>
          <w:w w:val="105"/>
          <w:sz w:val="15"/>
        </w:rPr>
        <w:t>Diputados</w:t>
      </w:r>
      <w:r>
        <w:rPr>
          <w:spacing w:val="-9"/>
          <w:w w:val="105"/>
          <w:sz w:val="15"/>
        </w:rPr>
        <w:t xml:space="preserve"> </w:t>
      </w:r>
      <w:r>
        <w:rPr>
          <w:w w:val="105"/>
          <w:sz w:val="15"/>
        </w:rPr>
        <w:t>estuvieran</w:t>
      </w:r>
      <w:r>
        <w:rPr>
          <w:spacing w:val="-8"/>
          <w:w w:val="105"/>
          <w:sz w:val="15"/>
        </w:rPr>
        <w:t xml:space="preserve"> </w:t>
      </w:r>
      <w:r>
        <w:rPr>
          <w:w w:val="105"/>
          <w:sz w:val="15"/>
        </w:rPr>
        <w:t>reservados</w:t>
      </w:r>
      <w:r>
        <w:rPr>
          <w:spacing w:val="-8"/>
          <w:w w:val="105"/>
          <w:sz w:val="15"/>
        </w:rPr>
        <w:t xml:space="preserve"> </w:t>
      </w:r>
      <w:r>
        <w:rPr>
          <w:w w:val="105"/>
          <w:sz w:val="15"/>
        </w:rPr>
        <w:t>para mujeres,</w:t>
      </w:r>
      <w:r>
        <w:rPr>
          <w:spacing w:val="-8"/>
          <w:w w:val="105"/>
          <w:sz w:val="15"/>
        </w:rPr>
        <w:t xml:space="preserve"> </w:t>
      </w:r>
      <w:r>
        <w:rPr>
          <w:w w:val="105"/>
          <w:sz w:val="15"/>
        </w:rPr>
        <w:t>elegidas</w:t>
      </w:r>
      <w:r>
        <w:rPr>
          <w:spacing w:val="-8"/>
          <w:w w:val="105"/>
          <w:sz w:val="15"/>
        </w:rPr>
        <w:t xml:space="preserve"> </w:t>
      </w:r>
      <w:r>
        <w:rPr>
          <w:w w:val="105"/>
          <w:sz w:val="15"/>
        </w:rPr>
        <w:t>por</w:t>
      </w:r>
      <w:r>
        <w:rPr>
          <w:spacing w:val="-8"/>
          <w:w w:val="105"/>
          <w:sz w:val="15"/>
        </w:rPr>
        <w:t xml:space="preserve"> </w:t>
      </w:r>
      <w:r>
        <w:rPr>
          <w:w w:val="105"/>
          <w:sz w:val="15"/>
        </w:rPr>
        <w:t>un</w:t>
      </w:r>
      <w:r>
        <w:rPr>
          <w:spacing w:val="-8"/>
          <w:w w:val="105"/>
          <w:sz w:val="15"/>
        </w:rPr>
        <w:t xml:space="preserve"> </w:t>
      </w:r>
      <w:r>
        <w:rPr>
          <w:w w:val="105"/>
          <w:sz w:val="15"/>
        </w:rPr>
        <w:t>sistema</w:t>
      </w:r>
      <w:r>
        <w:rPr>
          <w:spacing w:val="-8"/>
          <w:w w:val="105"/>
          <w:sz w:val="15"/>
        </w:rPr>
        <w:t xml:space="preserve"> </w:t>
      </w:r>
      <w:r>
        <w:rPr>
          <w:w w:val="105"/>
          <w:sz w:val="15"/>
        </w:rPr>
        <w:t>de</w:t>
      </w:r>
      <w:r>
        <w:rPr>
          <w:spacing w:val="-8"/>
          <w:w w:val="105"/>
          <w:sz w:val="15"/>
        </w:rPr>
        <w:t xml:space="preserve"> </w:t>
      </w:r>
      <w:r>
        <w:rPr>
          <w:w w:val="105"/>
          <w:sz w:val="15"/>
        </w:rPr>
        <w:t>colegio</w:t>
      </w:r>
      <w:r>
        <w:rPr>
          <w:spacing w:val="-8"/>
          <w:w w:val="105"/>
          <w:sz w:val="15"/>
        </w:rPr>
        <w:t xml:space="preserve"> </w:t>
      </w:r>
      <w:r>
        <w:rPr>
          <w:w w:val="105"/>
          <w:sz w:val="15"/>
        </w:rPr>
        <w:t>electoral</w:t>
      </w:r>
      <w:r>
        <w:rPr>
          <w:spacing w:val="-8"/>
          <w:w w:val="105"/>
          <w:sz w:val="15"/>
        </w:rPr>
        <w:t xml:space="preserve"> </w:t>
      </w:r>
      <w:r>
        <w:rPr>
          <w:w w:val="105"/>
          <w:sz w:val="15"/>
        </w:rPr>
        <w:t>especial</w:t>
      </w:r>
      <w:r>
        <w:rPr>
          <w:spacing w:val="-8"/>
          <w:w w:val="105"/>
          <w:sz w:val="15"/>
        </w:rPr>
        <w:t xml:space="preserve"> </w:t>
      </w:r>
      <w:r>
        <w:rPr>
          <w:w w:val="105"/>
          <w:sz w:val="15"/>
        </w:rPr>
        <w:t>compuesto</w:t>
      </w:r>
      <w:r>
        <w:rPr>
          <w:spacing w:val="-8"/>
          <w:w w:val="105"/>
          <w:sz w:val="15"/>
        </w:rPr>
        <w:t xml:space="preserve"> </w:t>
      </w:r>
      <w:r>
        <w:rPr>
          <w:w w:val="105"/>
          <w:sz w:val="15"/>
        </w:rPr>
        <w:t>por</w:t>
      </w:r>
      <w:r>
        <w:rPr>
          <w:spacing w:val="-8"/>
          <w:w w:val="105"/>
          <w:sz w:val="15"/>
        </w:rPr>
        <w:t xml:space="preserve"> </w:t>
      </w:r>
      <w:r>
        <w:rPr>
          <w:w w:val="105"/>
          <w:sz w:val="15"/>
        </w:rPr>
        <w:t>votantes</w:t>
      </w:r>
      <w:r>
        <w:rPr>
          <w:spacing w:val="-8"/>
          <w:w w:val="105"/>
          <w:sz w:val="15"/>
        </w:rPr>
        <w:t xml:space="preserve"> </w:t>
      </w:r>
      <w:r>
        <w:rPr>
          <w:w w:val="105"/>
          <w:sz w:val="15"/>
        </w:rPr>
        <w:t>de</w:t>
      </w:r>
      <w:r>
        <w:rPr>
          <w:spacing w:val="-8"/>
          <w:w w:val="105"/>
          <w:sz w:val="15"/>
        </w:rPr>
        <w:t xml:space="preserve"> </w:t>
      </w:r>
      <w:r>
        <w:rPr>
          <w:w w:val="105"/>
          <w:sz w:val="15"/>
        </w:rPr>
        <w:t>los</w:t>
      </w:r>
      <w:r>
        <w:rPr>
          <w:spacing w:val="-8"/>
          <w:w w:val="105"/>
          <w:sz w:val="15"/>
        </w:rPr>
        <w:t xml:space="preserve"> </w:t>
      </w:r>
      <w:r>
        <w:rPr>
          <w:w w:val="105"/>
          <w:sz w:val="15"/>
        </w:rPr>
        <w:t>consejos</w:t>
      </w:r>
      <w:r>
        <w:rPr>
          <w:spacing w:val="-8"/>
          <w:w w:val="105"/>
          <w:sz w:val="15"/>
        </w:rPr>
        <w:t xml:space="preserve"> </w:t>
      </w:r>
      <w:r>
        <w:rPr>
          <w:w w:val="105"/>
          <w:sz w:val="15"/>
        </w:rPr>
        <w:t>locales</w:t>
      </w:r>
      <w:r>
        <w:rPr>
          <w:spacing w:val="-8"/>
          <w:w w:val="105"/>
          <w:sz w:val="15"/>
        </w:rPr>
        <w:t xml:space="preserve"> </w:t>
      </w:r>
      <w:r>
        <w:rPr>
          <w:w w:val="105"/>
          <w:sz w:val="15"/>
        </w:rPr>
        <w:t>de</w:t>
      </w:r>
      <w:r>
        <w:rPr>
          <w:spacing w:val="-8"/>
          <w:w w:val="105"/>
          <w:sz w:val="15"/>
        </w:rPr>
        <w:t xml:space="preserve"> </w:t>
      </w:r>
      <w:r>
        <w:rPr>
          <w:w w:val="105"/>
          <w:sz w:val="15"/>
        </w:rPr>
        <w:t>mujeres</w:t>
      </w:r>
      <w:r>
        <w:rPr>
          <w:spacing w:val="-8"/>
          <w:w w:val="105"/>
          <w:sz w:val="15"/>
        </w:rPr>
        <w:t xml:space="preserve"> </w:t>
      </w:r>
      <w:r>
        <w:rPr>
          <w:w w:val="105"/>
          <w:sz w:val="15"/>
        </w:rPr>
        <w:t>y</w:t>
      </w:r>
      <w:r>
        <w:rPr>
          <w:spacing w:val="-8"/>
          <w:w w:val="105"/>
          <w:sz w:val="15"/>
        </w:rPr>
        <w:t xml:space="preserve"> </w:t>
      </w:r>
      <w:r>
        <w:rPr>
          <w:w w:val="105"/>
          <w:sz w:val="15"/>
        </w:rPr>
        <w:t>de los</w:t>
      </w:r>
      <w:r>
        <w:rPr>
          <w:spacing w:val="-8"/>
          <w:w w:val="105"/>
          <w:sz w:val="15"/>
        </w:rPr>
        <w:t xml:space="preserve"> </w:t>
      </w:r>
      <w:r>
        <w:rPr>
          <w:w w:val="105"/>
          <w:sz w:val="15"/>
        </w:rPr>
        <w:t>consejos</w:t>
      </w:r>
      <w:r>
        <w:rPr>
          <w:spacing w:val="-8"/>
          <w:w w:val="105"/>
          <w:sz w:val="15"/>
        </w:rPr>
        <w:t xml:space="preserve"> </w:t>
      </w:r>
      <w:r>
        <w:rPr>
          <w:w w:val="105"/>
          <w:sz w:val="15"/>
        </w:rPr>
        <w:t>de</w:t>
      </w:r>
      <w:r>
        <w:rPr>
          <w:spacing w:val="-8"/>
          <w:w w:val="105"/>
          <w:sz w:val="15"/>
        </w:rPr>
        <w:t xml:space="preserve"> </w:t>
      </w:r>
      <w:r>
        <w:rPr>
          <w:w w:val="105"/>
          <w:sz w:val="15"/>
        </w:rPr>
        <w:t>distrito.</w:t>
      </w:r>
      <w:r>
        <w:rPr>
          <w:spacing w:val="-8"/>
          <w:w w:val="105"/>
          <w:sz w:val="15"/>
        </w:rPr>
        <w:t xml:space="preserve"> </w:t>
      </w:r>
      <w:r>
        <w:rPr>
          <w:w w:val="105"/>
          <w:sz w:val="15"/>
        </w:rPr>
        <w:t>El</w:t>
      </w:r>
      <w:r>
        <w:rPr>
          <w:spacing w:val="-8"/>
          <w:w w:val="105"/>
          <w:sz w:val="15"/>
        </w:rPr>
        <w:t xml:space="preserve"> </w:t>
      </w:r>
      <w:r>
        <w:rPr>
          <w:w w:val="105"/>
          <w:sz w:val="15"/>
        </w:rPr>
        <w:t>19</w:t>
      </w:r>
      <w:r>
        <w:rPr>
          <w:spacing w:val="-8"/>
          <w:w w:val="105"/>
          <w:sz w:val="15"/>
        </w:rPr>
        <w:t xml:space="preserve"> </w:t>
      </w:r>
      <w:r>
        <w:rPr>
          <w:w w:val="105"/>
          <w:sz w:val="15"/>
        </w:rPr>
        <w:t>de</w:t>
      </w:r>
      <w:r>
        <w:rPr>
          <w:spacing w:val="-8"/>
          <w:w w:val="105"/>
          <w:sz w:val="15"/>
        </w:rPr>
        <w:t xml:space="preserve"> </w:t>
      </w:r>
      <w:r>
        <w:rPr>
          <w:w w:val="105"/>
          <w:sz w:val="15"/>
        </w:rPr>
        <w:t>junio</w:t>
      </w:r>
      <w:r>
        <w:rPr>
          <w:spacing w:val="-8"/>
          <w:w w:val="105"/>
          <w:sz w:val="15"/>
        </w:rPr>
        <w:t xml:space="preserve"> </w:t>
      </w:r>
      <w:r>
        <w:rPr>
          <w:w w:val="105"/>
          <w:sz w:val="15"/>
        </w:rPr>
        <w:t>de</w:t>
      </w:r>
      <w:r>
        <w:rPr>
          <w:spacing w:val="-8"/>
          <w:w w:val="105"/>
          <w:sz w:val="15"/>
        </w:rPr>
        <w:t xml:space="preserve"> </w:t>
      </w:r>
      <w:r>
        <w:rPr>
          <w:w w:val="105"/>
          <w:sz w:val="15"/>
        </w:rPr>
        <w:t>2010,</w:t>
      </w:r>
      <w:r>
        <w:rPr>
          <w:spacing w:val="-8"/>
          <w:w w:val="105"/>
          <w:sz w:val="15"/>
        </w:rPr>
        <w:t xml:space="preserve"> </w:t>
      </w:r>
      <w:r>
        <w:rPr>
          <w:w w:val="105"/>
          <w:sz w:val="15"/>
        </w:rPr>
        <w:t>Ruanda</w:t>
      </w:r>
      <w:r>
        <w:rPr>
          <w:spacing w:val="-8"/>
          <w:w w:val="105"/>
          <w:sz w:val="15"/>
        </w:rPr>
        <w:t xml:space="preserve"> </w:t>
      </w:r>
      <w:r>
        <w:rPr>
          <w:w w:val="105"/>
          <w:sz w:val="15"/>
        </w:rPr>
        <w:t>promulgó</w:t>
      </w:r>
      <w:r>
        <w:rPr>
          <w:spacing w:val="-8"/>
          <w:w w:val="105"/>
          <w:sz w:val="15"/>
        </w:rPr>
        <w:t xml:space="preserve"> </w:t>
      </w:r>
      <w:r>
        <w:rPr>
          <w:w w:val="105"/>
          <w:sz w:val="15"/>
        </w:rPr>
        <w:t>la</w:t>
      </w:r>
      <w:r>
        <w:rPr>
          <w:spacing w:val="-8"/>
          <w:w w:val="105"/>
          <w:sz w:val="15"/>
        </w:rPr>
        <w:t xml:space="preserve"> </w:t>
      </w:r>
      <w:r>
        <w:rPr>
          <w:w w:val="105"/>
          <w:sz w:val="15"/>
        </w:rPr>
        <w:t>Ley</w:t>
      </w:r>
      <w:r>
        <w:rPr>
          <w:spacing w:val="-8"/>
          <w:w w:val="105"/>
          <w:sz w:val="15"/>
        </w:rPr>
        <w:t xml:space="preserve"> </w:t>
      </w:r>
      <w:r>
        <w:rPr>
          <w:w w:val="105"/>
          <w:sz w:val="15"/>
        </w:rPr>
        <w:t>núm.</w:t>
      </w:r>
      <w:r>
        <w:rPr>
          <w:spacing w:val="-8"/>
          <w:w w:val="105"/>
          <w:sz w:val="15"/>
        </w:rPr>
        <w:t xml:space="preserve"> </w:t>
      </w:r>
      <w:r>
        <w:rPr>
          <w:w w:val="105"/>
          <w:sz w:val="15"/>
        </w:rPr>
        <w:t>27/2010,</w:t>
      </w:r>
      <w:r>
        <w:rPr>
          <w:spacing w:val="-8"/>
          <w:w w:val="105"/>
          <w:sz w:val="15"/>
        </w:rPr>
        <w:t xml:space="preserve"> </w:t>
      </w:r>
      <w:r>
        <w:rPr>
          <w:w w:val="105"/>
          <w:sz w:val="15"/>
        </w:rPr>
        <w:t>que</w:t>
      </w:r>
      <w:r>
        <w:rPr>
          <w:spacing w:val="-8"/>
          <w:w w:val="105"/>
          <w:sz w:val="15"/>
        </w:rPr>
        <w:t xml:space="preserve"> </w:t>
      </w:r>
      <w:r>
        <w:rPr>
          <w:w w:val="105"/>
          <w:sz w:val="15"/>
        </w:rPr>
        <w:t>exige</w:t>
      </w:r>
      <w:r>
        <w:rPr>
          <w:spacing w:val="-8"/>
          <w:w w:val="105"/>
          <w:sz w:val="15"/>
        </w:rPr>
        <w:t xml:space="preserve"> </w:t>
      </w:r>
      <w:r>
        <w:rPr>
          <w:w w:val="105"/>
          <w:sz w:val="15"/>
        </w:rPr>
        <w:t>que</w:t>
      </w:r>
      <w:r>
        <w:rPr>
          <w:spacing w:val="-8"/>
          <w:w w:val="105"/>
          <w:sz w:val="15"/>
        </w:rPr>
        <w:t xml:space="preserve"> </w:t>
      </w:r>
      <w:r>
        <w:rPr>
          <w:w w:val="105"/>
          <w:sz w:val="15"/>
        </w:rPr>
        <w:t>al</w:t>
      </w:r>
      <w:r>
        <w:rPr>
          <w:spacing w:val="-8"/>
          <w:w w:val="105"/>
          <w:sz w:val="15"/>
        </w:rPr>
        <w:t xml:space="preserve"> </w:t>
      </w:r>
      <w:r>
        <w:rPr>
          <w:w w:val="105"/>
          <w:sz w:val="15"/>
        </w:rPr>
        <w:t>menos</w:t>
      </w:r>
      <w:r>
        <w:rPr>
          <w:spacing w:val="-8"/>
          <w:w w:val="105"/>
          <w:sz w:val="15"/>
        </w:rPr>
        <w:t xml:space="preserve"> </w:t>
      </w:r>
      <w:r>
        <w:rPr>
          <w:w w:val="105"/>
          <w:sz w:val="15"/>
        </w:rPr>
        <w:t>el</w:t>
      </w:r>
      <w:r>
        <w:rPr>
          <w:spacing w:val="-8"/>
          <w:w w:val="105"/>
          <w:sz w:val="15"/>
        </w:rPr>
        <w:t xml:space="preserve"> </w:t>
      </w:r>
      <w:r>
        <w:rPr>
          <w:w w:val="105"/>
          <w:sz w:val="15"/>
        </w:rPr>
        <w:t>30</w:t>
      </w:r>
      <w:r>
        <w:rPr>
          <w:spacing w:val="-8"/>
          <w:w w:val="105"/>
          <w:sz w:val="15"/>
        </w:rPr>
        <w:t xml:space="preserve"> </w:t>
      </w:r>
      <w:r>
        <w:rPr>
          <w:w w:val="105"/>
          <w:sz w:val="15"/>
        </w:rPr>
        <w:t>por</w:t>
      </w:r>
      <w:r>
        <w:rPr>
          <w:spacing w:val="-8"/>
          <w:w w:val="105"/>
          <w:sz w:val="15"/>
        </w:rPr>
        <w:t xml:space="preserve"> </w:t>
      </w:r>
      <w:r>
        <w:rPr>
          <w:w w:val="105"/>
          <w:sz w:val="15"/>
        </w:rPr>
        <w:t>ciento de</w:t>
      </w:r>
      <w:r>
        <w:rPr>
          <w:spacing w:val="-1"/>
          <w:w w:val="105"/>
          <w:sz w:val="15"/>
        </w:rPr>
        <w:t xml:space="preserve"> </w:t>
      </w:r>
      <w:r>
        <w:rPr>
          <w:w w:val="105"/>
          <w:sz w:val="15"/>
        </w:rPr>
        <w:t>los</w:t>
      </w:r>
      <w:r>
        <w:rPr>
          <w:spacing w:val="-1"/>
          <w:w w:val="105"/>
          <w:sz w:val="15"/>
        </w:rPr>
        <w:t xml:space="preserve"> </w:t>
      </w:r>
      <w:r>
        <w:rPr>
          <w:w w:val="105"/>
          <w:sz w:val="15"/>
        </w:rPr>
        <w:t>candidatos</w:t>
      </w:r>
      <w:r>
        <w:rPr>
          <w:spacing w:val="-2"/>
          <w:w w:val="105"/>
          <w:sz w:val="15"/>
        </w:rPr>
        <w:t xml:space="preserve"> </w:t>
      </w:r>
      <w:r>
        <w:rPr>
          <w:w w:val="105"/>
          <w:sz w:val="15"/>
        </w:rPr>
        <w:t>a</w:t>
      </w:r>
      <w:r>
        <w:rPr>
          <w:spacing w:val="-1"/>
          <w:w w:val="105"/>
          <w:sz w:val="15"/>
        </w:rPr>
        <w:t xml:space="preserve"> </w:t>
      </w:r>
      <w:r>
        <w:rPr>
          <w:w w:val="105"/>
          <w:sz w:val="15"/>
        </w:rPr>
        <w:t>las</w:t>
      </w:r>
      <w:r>
        <w:rPr>
          <w:spacing w:val="-1"/>
          <w:w w:val="105"/>
          <w:sz w:val="15"/>
        </w:rPr>
        <w:t xml:space="preserve"> </w:t>
      </w:r>
      <w:r>
        <w:rPr>
          <w:w w:val="105"/>
          <w:sz w:val="15"/>
        </w:rPr>
        <w:t>elecciones</w:t>
      </w:r>
      <w:r>
        <w:rPr>
          <w:spacing w:val="-1"/>
          <w:w w:val="105"/>
          <w:sz w:val="15"/>
        </w:rPr>
        <w:t xml:space="preserve"> </w:t>
      </w:r>
      <w:r>
        <w:rPr>
          <w:w w:val="105"/>
          <w:sz w:val="15"/>
        </w:rPr>
        <w:t>parlamentarias</w:t>
      </w:r>
      <w:r>
        <w:rPr>
          <w:spacing w:val="-2"/>
          <w:w w:val="105"/>
          <w:sz w:val="15"/>
        </w:rPr>
        <w:t xml:space="preserve"> </w:t>
      </w:r>
      <w:r>
        <w:rPr>
          <w:w w:val="105"/>
          <w:sz w:val="15"/>
        </w:rPr>
        <w:t>en</w:t>
      </w:r>
      <w:r>
        <w:rPr>
          <w:spacing w:val="-1"/>
          <w:w w:val="105"/>
          <w:sz w:val="15"/>
        </w:rPr>
        <w:t xml:space="preserve"> </w:t>
      </w:r>
      <w:r>
        <w:rPr>
          <w:w w:val="105"/>
          <w:sz w:val="15"/>
        </w:rPr>
        <w:t>las</w:t>
      </w:r>
      <w:r>
        <w:rPr>
          <w:spacing w:val="-1"/>
          <w:w w:val="105"/>
          <w:sz w:val="15"/>
        </w:rPr>
        <w:t xml:space="preserve"> </w:t>
      </w:r>
      <w:r>
        <w:rPr>
          <w:w w:val="105"/>
          <w:sz w:val="15"/>
        </w:rPr>
        <w:t>listas</w:t>
      </w:r>
      <w:r>
        <w:rPr>
          <w:spacing w:val="-1"/>
          <w:w w:val="105"/>
          <w:sz w:val="15"/>
        </w:rPr>
        <w:t xml:space="preserve"> </w:t>
      </w:r>
      <w:r>
        <w:rPr>
          <w:w w:val="105"/>
          <w:sz w:val="15"/>
        </w:rPr>
        <w:t>de</w:t>
      </w:r>
      <w:r>
        <w:rPr>
          <w:spacing w:val="-1"/>
          <w:w w:val="105"/>
          <w:sz w:val="15"/>
        </w:rPr>
        <w:t xml:space="preserve"> </w:t>
      </w:r>
      <w:r>
        <w:rPr>
          <w:w w:val="105"/>
          <w:sz w:val="15"/>
        </w:rPr>
        <w:t>los</w:t>
      </w:r>
      <w:r>
        <w:rPr>
          <w:spacing w:val="-1"/>
          <w:w w:val="105"/>
          <w:sz w:val="15"/>
        </w:rPr>
        <w:t xml:space="preserve"> </w:t>
      </w:r>
      <w:r>
        <w:rPr>
          <w:w w:val="105"/>
          <w:sz w:val="15"/>
        </w:rPr>
        <w:t>partidos</w:t>
      </w:r>
      <w:r>
        <w:rPr>
          <w:spacing w:val="-2"/>
          <w:w w:val="105"/>
          <w:sz w:val="15"/>
        </w:rPr>
        <w:t xml:space="preserve"> </w:t>
      </w:r>
      <w:r>
        <w:rPr>
          <w:w w:val="105"/>
          <w:sz w:val="15"/>
        </w:rPr>
        <w:t>políticos</w:t>
      </w:r>
      <w:r>
        <w:rPr>
          <w:spacing w:val="-2"/>
          <w:w w:val="105"/>
          <w:sz w:val="15"/>
        </w:rPr>
        <w:t xml:space="preserve"> </w:t>
      </w:r>
      <w:r>
        <w:rPr>
          <w:w w:val="105"/>
          <w:sz w:val="15"/>
        </w:rPr>
        <w:t>sean</w:t>
      </w:r>
      <w:r>
        <w:rPr>
          <w:spacing w:val="-1"/>
          <w:w w:val="105"/>
          <w:sz w:val="15"/>
        </w:rPr>
        <w:t xml:space="preserve"> </w:t>
      </w:r>
      <w:r>
        <w:rPr>
          <w:w w:val="105"/>
          <w:sz w:val="15"/>
        </w:rPr>
        <w:t>mujeres.446</w:t>
      </w:r>
    </w:p>
    <w:p w14:paraId="37C64A96" w14:textId="77777777" w:rsidR="0014798C" w:rsidRDefault="004E1F0B">
      <w:pPr>
        <w:spacing w:before="63"/>
        <w:ind w:left="1332"/>
        <w:rPr>
          <w:sz w:val="20"/>
        </w:rPr>
      </w:pPr>
      <w:r>
        <w:rPr>
          <w:w w:val="105"/>
          <w:sz w:val="20"/>
        </w:rPr>
        <w:t>En</w:t>
      </w:r>
      <w:r>
        <w:rPr>
          <w:spacing w:val="-15"/>
          <w:w w:val="105"/>
          <w:sz w:val="20"/>
        </w:rPr>
        <w:t xml:space="preserve"> </w:t>
      </w:r>
      <w:r>
        <w:rPr>
          <w:w w:val="105"/>
          <w:sz w:val="20"/>
        </w:rPr>
        <w:t>sus</w:t>
      </w:r>
      <w:r>
        <w:rPr>
          <w:spacing w:val="-15"/>
          <w:w w:val="105"/>
          <w:sz w:val="20"/>
        </w:rPr>
        <w:t xml:space="preserve"> </w:t>
      </w:r>
      <w:r>
        <w:rPr>
          <w:w w:val="105"/>
          <w:sz w:val="20"/>
        </w:rPr>
        <w:t>observaciones</w:t>
      </w:r>
      <w:r>
        <w:rPr>
          <w:spacing w:val="-14"/>
          <w:w w:val="105"/>
          <w:sz w:val="20"/>
        </w:rPr>
        <w:t xml:space="preserve"> </w:t>
      </w:r>
      <w:r>
        <w:rPr>
          <w:w w:val="105"/>
          <w:sz w:val="20"/>
        </w:rPr>
        <w:t>finales</w:t>
      </w:r>
      <w:r>
        <w:rPr>
          <w:spacing w:val="-15"/>
          <w:w w:val="105"/>
          <w:sz w:val="20"/>
        </w:rPr>
        <w:t xml:space="preserve"> </w:t>
      </w:r>
      <w:r>
        <w:rPr>
          <w:w w:val="105"/>
          <w:sz w:val="20"/>
        </w:rPr>
        <w:t>de</w:t>
      </w:r>
      <w:r>
        <w:rPr>
          <w:spacing w:val="-14"/>
          <w:w w:val="105"/>
          <w:sz w:val="20"/>
        </w:rPr>
        <w:t xml:space="preserve"> </w:t>
      </w:r>
      <w:r>
        <w:rPr>
          <w:w w:val="105"/>
          <w:sz w:val="20"/>
        </w:rPr>
        <w:t>2017,</w:t>
      </w:r>
      <w:r>
        <w:rPr>
          <w:spacing w:val="-15"/>
          <w:w w:val="105"/>
          <w:sz w:val="20"/>
        </w:rPr>
        <w:t xml:space="preserve"> </w:t>
      </w:r>
      <w:r>
        <w:rPr>
          <w:w w:val="105"/>
          <w:sz w:val="20"/>
        </w:rPr>
        <w:t>el</w:t>
      </w:r>
      <w:r>
        <w:rPr>
          <w:spacing w:val="-15"/>
          <w:w w:val="105"/>
          <w:sz w:val="20"/>
        </w:rPr>
        <w:t xml:space="preserve"> </w:t>
      </w:r>
      <w:r>
        <w:rPr>
          <w:w w:val="105"/>
          <w:sz w:val="20"/>
        </w:rPr>
        <w:t>Comité</w:t>
      </w:r>
      <w:r>
        <w:rPr>
          <w:spacing w:val="-14"/>
          <w:w w:val="105"/>
          <w:sz w:val="20"/>
        </w:rPr>
        <w:t xml:space="preserve"> </w:t>
      </w:r>
      <w:r>
        <w:rPr>
          <w:w w:val="105"/>
          <w:sz w:val="20"/>
        </w:rPr>
        <w:t>para</w:t>
      </w:r>
      <w:r>
        <w:rPr>
          <w:spacing w:val="-14"/>
          <w:w w:val="105"/>
          <w:sz w:val="20"/>
        </w:rPr>
        <w:t xml:space="preserve"> </w:t>
      </w:r>
      <w:r>
        <w:rPr>
          <w:w w:val="105"/>
          <w:sz w:val="20"/>
        </w:rPr>
        <w:t>la</w:t>
      </w:r>
      <w:r>
        <w:rPr>
          <w:spacing w:val="-15"/>
          <w:w w:val="105"/>
          <w:sz w:val="20"/>
        </w:rPr>
        <w:t xml:space="preserve"> </w:t>
      </w:r>
      <w:r>
        <w:rPr>
          <w:w w:val="105"/>
          <w:sz w:val="20"/>
        </w:rPr>
        <w:t>Eliminación</w:t>
      </w:r>
      <w:r>
        <w:rPr>
          <w:spacing w:val="-14"/>
          <w:w w:val="105"/>
          <w:sz w:val="20"/>
        </w:rPr>
        <w:t xml:space="preserve"> </w:t>
      </w:r>
      <w:r>
        <w:rPr>
          <w:w w:val="105"/>
          <w:sz w:val="20"/>
        </w:rPr>
        <w:t>de</w:t>
      </w:r>
      <w:r>
        <w:rPr>
          <w:spacing w:val="-15"/>
          <w:w w:val="105"/>
          <w:sz w:val="20"/>
        </w:rPr>
        <w:t xml:space="preserve"> </w:t>
      </w:r>
      <w:r>
        <w:rPr>
          <w:w w:val="105"/>
          <w:sz w:val="20"/>
        </w:rPr>
        <w:t>la</w:t>
      </w:r>
      <w:r>
        <w:rPr>
          <w:spacing w:val="-14"/>
          <w:w w:val="105"/>
          <w:sz w:val="20"/>
        </w:rPr>
        <w:t xml:space="preserve"> </w:t>
      </w:r>
      <w:r>
        <w:rPr>
          <w:w w:val="105"/>
          <w:sz w:val="20"/>
        </w:rPr>
        <w:t>Discriminación</w:t>
      </w:r>
      <w:r>
        <w:rPr>
          <w:spacing w:val="-14"/>
          <w:w w:val="105"/>
          <w:sz w:val="20"/>
        </w:rPr>
        <w:t xml:space="preserve"> </w:t>
      </w:r>
      <w:r>
        <w:rPr>
          <w:spacing w:val="-2"/>
          <w:w w:val="105"/>
          <w:sz w:val="20"/>
        </w:rPr>
        <w:t>contra</w:t>
      </w:r>
    </w:p>
    <w:p w14:paraId="4D282E77" w14:textId="77777777" w:rsidR="0014798C" w:rsidRDefault="004E1F0B">
      <w:pPr>
        <w:spacing w:before="68"/>
        <w:ind w:left="1330"/>
        <w:rPr>
          <w:sz w:val="15"/>
        </w:rPr>
      </w:pPr>
      <w:r>
        <w:rPr>
          <w:spacing w:val="-2"/>
          <w:w w:val="105"/>
          <w:sz w:val="15"/>
        </w:rPr>
        <w:t>Las</w:t>
      </w:r>
      <w:r>
        <w:rPr>
          <w:spacing w:val="-4"/>
          <w:w w:val="105"/>
          <w:sz w:val="15"/>
        </w:rPr>
        <w:t xml:space="preserve"> </w:t>
      </w:r>
      <w:r>
        <w:rPr>
          <w:spacing w:val="-2"/>
          <w:w w:val="105"/>
          <w:sz w:val="15"/>
        </w:rPr>
        <w:t>mujeres</w:t>
      </w:r>
      <w:r>
        <w:rPr>
          <w:spacing w:val="-1"/>
          <w:w w:val="105"/>
          <w:sz w:val="15"/>
        </w:rPr>
        <w:t xml:space="preserve"> </w:t>
      </w:r>
      <w:r>
        <w:rPr>
          <w:spacing w:val="-2"/>
          <w:w w:val="105"/>
          <w:sz w:val="15"/>
        </w:rPr>
        <w:t>celebraron el</w:t>
      </w:r>
      <w:r>
        <w:rPr>
          <w:spacing w:val="-1"/>
          <w:w w:val="105"/>
          <w:sz w:val="15"/>
        </w:rPr>
        <w:t xml:space="preserve"> </w:t>
      </w:r>
      <w:r>
        <w:rPr>
          <w:spacing w:val="-2"/>
          <w:w w:val="105"/>
          <w:sz w:val="15"/>
        </w:rPr>
        <w:t>“papel protagónico</w:t>
      </w:r>
      <w:r>
        <w:rPr>
          <w:spacing w:val="-1"/>
          <w:w w:val="105"/>
          <w:sz w:val="15"/>
        </w:rPr>
        <w:t xml:space="preserve"> </w:t>
      </w:r>
      <w:r>
        <w:rPr>
          <w:spacing w:val="-2"/>
          <w:w w:val="105"/>
          <w:sz w:val="15"/>
        </w:rPr>
        <w:t>del Estado en la</w:t>
      </w:r>
      <w:r>
        <w:rPr>
          <w:spacing w:val="-1"/>
          <w:w w:val="105"/>
          <w:sz w:val="15"/>
        </w:rPr>
        <w:t xml:space="preserve"> </w:t>
      </w:r>
      <w:r>
        <w:rPr>
          <w:spacing w:val="-2"/>
          <w:w w:val="105"/>
          <w:sz w:val="15"/>
        </w:rPr>
        <w:t>participación de</w:t>
      </w:r>
      <w:r>
        <w:rPr>
          <w:spacing w:val="-1"/>
          <w:w w:val="105"/>
          <w:sz w:val="15"/>
        </w:rPr>
        <w:t xml:space="preserve"> </w:t>
      </w:r>
      <w:r>
        <w:rPr>
          <w:spacing w:val="-2"/>
          <w:w w:val="105"/>
          <w:sz w:val="15"/>
        </w:rPr>
        <w:t>las mujeres</w:t>
      </w:r>
      <w:r>
        <w:rPr>
          <w:spacing w:val="-1"/>
          <w:w w:val="105"/>
          <w:sz w:val="15"/>
        </w:rPr>
        <w:t xml:space="preserve"> </w:t>
      </w:r>
      <w:r>
        <w:rPr>
          <w:spacing w:val="-2"/>
          <w:w w:val="105"/>
          <w:sz w:val="15"/>
        </w:rPr>
        <w:t>en el</w:t>
      </w:r>
      <w:r>
        <w:rPr>
          <w:spacing w:val="-1"/>
          <w:w w:val="105"/>
          <w:sz w:val="15"/>
        </w:rPr>
        <w:t xml:space="preserve"> </w:t>
      </w:r>
      <w:r>
        <w:rPr>
          <w:spacing w:val="-2"/>
          <w:w w:val="105"/>
          <w:sz w:val="15"/>
        </w:rPr>
        <w:t>Parlamento,</w:t>
      </w:r>
      <w:r>
        <w:rPr>
          <w:spacing w:val="-1"/>
          <w:w w:val="105"/>
          <w:sz w:val="15"/>
        </w:rPr>
        <w:t xml:space="preserve"> </w:t>
      </w:r>
      <w:r>
        <w:rPr>
          <w:spacing w:val="-2"/>
          <w:w w:val="105"/>
          <w:sz w:val="15"/>
        </w:rPr>
        <w:t>habiendo</w:t>
      </w:r>
    </w:p>
    <w:p w14:paraId="198B5A22" w14:textId="77777777" w:rsidR="0014798C" w:rsidRDefault="0014798C">
      <w:pPr>
        <w:pStyle w:val="Textoindependiente"/>
        <w:rPr>
          <w:sz w:val="10"/>
        </w:rPr>
      </w:pPr>
    </w:p>
    <w:p w14:paraId="120D8818" w14:textId="77777777" w:rsidR="0014798C" w:rsidRDefault="0014798C">
      <w:pPr>
        <w:pStyle w:val="Textoindependiente"/>
        <w:rPr>
          <w:sz w:val="10"/>
        </w:rPr>
      </w:pPr>
    </w:p>
    <w:p w14:paraId="2C2ACDF9" w14:textId="77777777" w:rsidR="0014798C" w:rsidRDefault="0014798C">
      <w:pPr>
        <w:pStyle w:val="Textoindependiente"/>
        <w:rPr>
          <w:sz w:val="10"/>
        </w:rPr>
      </w:pPr>
    </w:p>
    <w:p w14:paraId="012C875A" w14:textId="77777777" w:rsidR="0014798C" w:rsidRDefault="0014798C">
      <w:pPr>
        <w:pStyle w:val="Textoindependiente"/>
        <w:rPr>
          <w:sz w:val="10"/>
        </w:rPr>
      </w:pPr>
    </w:p>
    <w:p w14:paraId="24513C86" w14:textId="77777777" w:rsidR="0014798C" w:rsidRDefault="0014798C">
      <w:pPr>
        <w:pStyle w:val="Textoindependiente"/>
        <w:spacing w:before="61"/>
        <w:rPr>
          <w:sz w:val="10"/>
        </w:rPr>
      </w:pPr>
    </w:p>
    <w:p w14:paraId="5B8B9654" w14:textId="77777777" w:rsidR="0014798C" w:rsidRDefault="004E1F0B">
      <w:pPr>
        <w:spacing w:line="374" w:lineRule="auto"/>
        <w:ind w:left="1369" w:right="2004" w:hanging="265"/>
        <w:rPr>
          <w:sz w:val="10"/>
        </w:rPr>
      </w:pPr>
      <w:r>
        <w:rPr>
          <w:w w:val="105"/>
          <w:sz w:val="10"/>
        </w:rPr>
        <w:t>440</w:t>
      </w:r>
      <w:r>
        <w:rPr>
          <w:spacing w:val="-3"/>
          <w:w w:val="105"/>
          <w:sz w:val="10"/>
        </w:rPr>
        <w:t xml:space="preserve"> </w:t>
      </w:r>
      <w:r>
        <w:rPr>
          <w:w w:val="105"/>
          <w:sz w:val="10"/>
        </w:rPr>
        <w:t>El</w:t>
      </w:r>
      <w:r>
        <w:rPr>
          <w:spacing w:val="-3"/>
          <w:w w:val="105"/>
          <w:sz w:val="10"/>
        </w:rPr>
        <w:t xml:space="preserve"> </w:t>
      </w:r>
      <w:r>
        <w:rPr>
          <w:w w:val="105"/>
          <w:sz w:val="10"/>
        </w:rPr>
        <w:t>Comité</w:t>
      </w:r>
      <w:r>
        <w:rPr>
          <w:spacing w:val="-3"/>
          <w:w w:val="105"/>
          <w:sz w:val="10"/>
        </w:rPr>
        <w:t xml:space="preserve"> </w:t>
      </w:r>
      <w:r>
        <w:rPr>
          <w:w w:val="105"/>
          <w:sz w:val="10"/>
        </w:rPr>
        <w:t>para</w:t>
      </w:r>
      <w:r>
        <w:rPr>
          <w:spacing w:val="-3"/>
          <w:w w:val="105"/>
          <w:sz w:val="10"/>
        </w:rPr>
        <w:t xml:space="preserve"> </w:t>
      </w:r>
      <w:r>
        <w:rPr>
          <w:w w:val="105"/>
          <w:sz w:val="10"/>
        </w:rPr>
        <w:t>la</w:t>
      </w:r>
      <w:r>
        <w:rPr>
          <w:spacing w:val="-3"/>
          <w:w w:val="105"/>
          <w:sz w:val="10"/>
        </w:rPr>
        <w:t xml:space="preserve"> </w:t>
      </w:r>
      <w:r>
        <w:rPr>
          <w:w w:val="105"/>
          <w:sz w:val="10"/>
        </w:rPr>
        <w:t>Eliminación</w:t>
      </w:r>
      <w:r>
        <w:rPr>
          <w:spacing w:val="-3"/>
          <w:w w:val="105"/>
          <w:sz w:val="10"/>
        </w:rPr>
        <w:t xml:space="preserve"> </w:t>
      </w:r>
      <w:r>
        <w:rPr>
          <w:w w:val="105"/>
          <w:sz w:val="10"/>
        </w:rPr>
        <w:t>de</w:t>
      </w:r>
      <w:r>
        <w:rPr>
          <w:spacing w:val="-3"/>
          <w:w w:val="105"/>
          <w:sz w:val="10"/>
        </w:rPr>
        <w:t xml:space="preserve"> </w:t>
      </w:r>
      <w:r>
        <w:rPr>
          <w:w w:val="105"/>
          <w:sz w:val="10"/>
        </w:rPr>
        <w:t>la</w:t>
      </w:r>
      <w:r>
        <w:rPr>
          <w:spacing w:val="-3"/>
          <w:w w:val="105"/>
          <w:sz w:val="10"/>
        </w:rPr>
        <w:t xml:space="preserve"> </w:t>
      </w:r>
      <w:r>
        <w:rPr>
          <w:w w:val="105"/>
          <w:sz w:val="10"/>
        </w:rPr>
        <w:t>Discriminación</w:t>
      </w:r>
      <w:r>
        <w:rPr>
          <w:spacing w:val="-3"/>
          <w:w w:val="105"/>
          <w:sz w:val="10"/>
        </w:rPr>
        <w:t xml:space="preserve"> </w:t>
      </w:r>
      <w:r>
        <w:rPr>
          <w:w w:val="105"/>
          <w:sz w:val="10"/>
        </w:rPr>
        <w:t>Racial</w:t>
      </w:r>
      <w:r>
        <w:rPr>
          <w:spacing w:val="-3"/>
          <w:w w:val="105"/>
          <w:sz w:val="10"/>
        </w:rPr>
        <w:t xml:space="preserve"> </w:t>
      </w:r>
      <w:r>
        <w:rPr>
          <w:w w:val="105"/>
          <w:sz w:val="10"/>
        </w:rPr>
        <w:t>ha</w:t>
      </w:r>
      <w:r>
        <w:rPr>
          <w:spacing w:val="-3"/>
          <w:w w:val="105"/>
          <w:sz w:val="10"/>
        </w:rPr>
        <w:t xml:space="preserve"> </w:t>
      </w:r>
      <w:r>
        <w:rPr>
          <w:w w:val="105"/>
          <w:sz w:val="10"/>
        </w:rPr>
        <w:t>señalado</w:t>
      </w:r>
      <w:r>
        <w:rPr>
          <w:spacing w:val="-3"/>
          <w:w w:val="105"/>
          <w:sz w:val="10"/>
        </w:rPr>
        <w:t xml:space="preserve"> </w:t>
      </w:r>
      <w:r>
        <w:rPr>
          <w:w w:val="105"/>
          <w:sz w:val="10"/>
        </w:rPr>
        <w:t>que</w:t>
      </w:r>
      <w:r>
        <w:rPr>
          <w:spacing w:val="-3"/>
          <w:w w:val="105"/>
          <w:sz w:val="10"/>
        </w:rPr>
        <w:t xml:space="preserve"> </w:t>
      </w:r>
      <w:r>
        <w:rPr>
          <w:w w:val="105"/>
          <w:sz w:val="10"/>
        </w:rPr>
        <w:t>la</w:t>
      </w:r>
      <w:r>
        <w:rPr>
          <w:spacing w:val="-3"/>
          <w:w w:val="105"/>
          <w:sz w:val="10"/>
        </w:rPr>
        <w:t xml:space="preserve"> </w:t>
      </w:r>
      <w:r>
        <w:rPr>
          <w:w w:val="105"/>
          <w:sz w:val="10"/>
        </w:rPr>
        <w:t>frase</w:t>
      </w:r>
      <w:r>
        <w:rPr>
          <w:spacing w:val="-3"/>
          <w:w w:val="105"/>
          <w:sz w:val="10"/>
        </w:rPr>
        <w:t xml:space="preserve"> </w:t>
      </w:r>
      <w:r>
        <w:rPr>
          <w:w w:val="105"/>
          <w:sz w:val="10"/>
        </w:rPr>
        <w:t>“discriminación</w:t>
      </w:r>
      <w:r>
        <w:rPr>
          <w:spacing w:val="-3"/>
          <w:w w:val="105"/>
          <w:sz w:val="10"/>
        </w:rPr>
        <w:t xml:space="preserve"> </w:t>
      </w:r>
      <w:r>
        <w:rPr>
          <w:w w:val="105"/>
          <w:sz w:val="10"/>
        </w:rPr>
        <w:t>positiva”</w:t>
      </w:r>
      <w:r>
        <w:rPr>
          <w:spacing w:val="-3"/>
          <w:w w:val="105"/>
          <w:sz w:val="10"/>
        </w:rPr>
        <w:t xml:space="preserve"> </w:t>
      </w:r>
      <w:r>
        <w:rPr>
          <w:w w:val="105"/>
          <w:sz w:val="10"/>
        </w:rPr>
        <w:t>es,</w:t>
      </w:r>
      <w:r>
        <w:rPr>
          <w:spacing w:val="-3"/>
          <w:w w:val="105"/>
          <w:sz w:val="10"/>
        </w:rPr>
        <w:t xml:space="preserve"> </w:t>
      </w:r>
      <w:r>
        <w:rPr>
          <w:w w:val="105"/>
          <w:sz w:val="10"/>
        </w:rPr>
        <w:t>en</w:t>
      </w:r>
      <w:r>
        <w:rPr>
          <w:spacing w:val="-3"/>
          <w:w w:val="105"/>
          <w:sz w:val="10"/>
        </w:rPr>
        <w:t xml:space="preserve"> </w:t>
      </w:r>
      <w:r>
        <w:rPr>
          <w:w w:val="105"/>
          <w:sz w:val="10"/>
        </w:rPr>
        <w:t>el</w:t>
      </w:r>
      <w:r>
        <w:rPr>
          <w:spacing w:val="-3"/>
          <w:w w:val="105"/>
          <w:sz w:val="10"/>
        </w:rPr>
        <w:t xml:space="preserve"> </w:t>
      </w:r>
      <w:r>
        <w:rPr>
          <w:w w:val="105"/>
          <w:sz w:val="10"/>
        </w:rPr>
        <w:t>contexto</w:t>
      </w:r>
      <w:r>
        <w:rPr>
          <w:spacing w:val="-3"/>
          <w:w w:val="105"/>
          <w:sz w:val="10"/>
        </w:rPr>
        <w:t xml:space="preserve"> </w:t>
      </w:r>
      <w:r>
        <w:rPr>
          <w:w w:val="105"/>
          <w:sz w:val="10"/>
        </w:rPr>
        <w:t>del</w:t>
      </w:r>
      <w:r>
        <w:rPr>
          <w:spacing w:val="-3"/>
          <w:w w:val="105"/>
          <w:sz w:val="10"/>
        </w:rPr>
        <w:t xml:space="preserve"> </w:t>
      </w:r>
      <w:r>
        <w:rPr>
          <w:w w:val="105"/>
          <w:sz w:val="10"/>
        </w:rPr>
        <w:t>derecho</w:t>
      </w:r>
      <w:r>
        <w:rPr>
          <w:spacing w:val="-3"/>
          <w:w w:val="105"/>
          <w:sz w:val="10"/>
        </w:rPr>
        <w:t xml:space="preserve"> </w:t>
      </w:r>
      <w:r>
        <w:rPr>
          <w:w w:val="105"/>
          <w:sz w:val="10"/>
        </w:rPr>
        <w:t>internacional</w:t>
      </w:r>
      <w:r>
        <w:rPr>
          <w:spacing w:val="-3"/>
          <w:w w:val="105"/>
          <w:sz w:val="10"/>
        </w:rPr>
        <w:t xml:space="preserve"> </w:t>
      </w:r>
      <w:r>
        <w:rPr>
          <w:w w:val="105"/>
          <w:sz w:val="10"/>
        </w:rPr>
        <w:t>de</w:t>
      </w:r>
      <w:r>
        <w:rPr>
          <w:spacing w:val="-3"/>
          <w:w w:val="105"/>
          <w:sz w:val="10"/>
        </w:rPr>
        <w:t xml:space="preserve"> </w:t>
      </w:r>
      <w:r>
        <w:rPr>
          <w:w w:val="105"/>
          <w:sz w:val="10"/>
        </w:rPr>
        <w:t>derechos</w:t>
      </w:r>
      <w:r>
        <w:rPr>
          <w:spacing w:val="-3"/>
          <w:w w:val="105"/>
          <w:sz w:val="10"/>
        </w:rPr>
        <w:t xml:space="preserve"> </w:t>
      </w:r>
      <w:r>
        <w:rPr>
          <w:w w:val="105"/>
          <w:sz w:val="10"/>
        </w:rPr>
        <w:t>humanos,</w:t>
      </w:r>
      <w:r>
        <w:rPr>
          <w:spacing w:val="-3"/>
          <w:w w:val="105"/>
          <w:sz w:val="10"/>
        </w:rPr>
        <w:t xml:space="preserve"> </w:t>
      </w:r>
      <w:r>
        <w:rPr>
          <w:w w:val="105"/>
          <w:sz w:val="10"/>
        </w:rPr>
        <w:t>una</w:t>
      </w:r>
      <w:r>
        <w:rPr>
          <w:spacing w:val="40"/>
          <w:w w:val="105"/>
          <w:sz w:val="10"/>
        </w:rPr>
        <w:t xml:space="preserve"> </w:t>
      </w:r>
      <w:r>
        <w:rPr>
          <w:w w:val="105"/>
          <w:sz w:val="10"/>
        </w:rPr>
        <w:t>contradicción</w:t>
      </w:r>
      <w:r>
        <w:rPr>
          <w:spacing w:val="-3"/>
          <w:w w:val="105"/>
          <w:sz w:val="10"/>
        </w:rPr>
        <w:t xml:space="preserve"> </w:t>
      </w:r>
      <w:r>
        <w:rPr>
          <w:w w:val="105"/>
          <w:sz w:val="10"/>
        </w:rPr>
        <w:t>en</w:t>
      </w:r>
      <w:r>
        <w:rPr>
          <w:spacing w:val="-3"/>
          <w:w w:val="105"/>
          <w:sz w:val="10"/>
        </w:rPr>
        <w:t xml:space="preserve"> </w:t>
      </w:r>
      <w:r>
        <w:rPr>
          <w:w w:val="105"/>
          <w:sz w:val="10"/>
        </w:rPr>
        <w:t>los</w:t>
      </w:r>
      <w:r>
        <w:rPr>
          <w:spacing w:val="-3"/>
          <w:w w:val="105"/>
          <w:sz w:val="10"/>
        </w:rPr>
        <w:t xml:space="preserve"> </w:t>
      </w:r>
      <w:r>
        <w:rPr>
          <w:w w:val="105"/>
          <w:sz w:val="10"/>
        </w:rPr>
        <w:t>términos</w:t>
      </w:r>
      <w:r>
        <w:rPr>
          <w:spacing w:val="-3"/>
          <w:w w:val="105"/>
          <w:sz w:val="10"/>
        </w:rPr>
        <w:t xml:space="preserve"> </w:t>
      </w:r>
      <w:r>
        <w:rPr>
          <w:w w:val="105"/>
          <w:sz w:val="10"/>
        </w:rPr>
        <w:t>y,</w:t>
      </w:r>
      <w:r>
        <w:rPr>
          <w:spacing w:val="-3"/>
          <w:w w:val="105"/>
          <w:sz w:val="10"/>
        </w:rPr>
        <w:t xml:space="preserve"> </w:t>
      </w:r>
      <w:r>
        <w:rPr>
          <w:w w:val="105"/>
          <w:sz w:val="10"/>
        </w:rPr>
        <w:t>por</w:t>
      </w:r>
      <w:r>
        <w:rPr>
          <w:spacing w:val="-3"/>
          <w:w w:val="105"/>
          <w:sz w:val="10"/>
        </w:rPr>
        <w:t xml:space="preserve"> </w:t>
      </w:r>
      <w:r>
        <w:rPr>
          <w:w w:val="105"/>
          <w:sz w:val="10"/>
        </w:rPr>
        <w:t>lo</w:t>
      </w:r>
      <w:r>
        <w:rPr>
          <w:spacing w:val="-3"/>
          <w:w w:val="105"/>
          <w:sz w:val="10"/>
        </w:rPr>
        <w:t xml:space="preserve"> </w:t>
      </w:r>
      <w:r>
        <w:rPr>
          <w:w w:val="105"/>
          <w:sz w:val="10"/>
        </w:rPr>
        <w:t>tanto,</w:t>
      </w:r>
      <w:r>
        <w:rPr>
          <w:spacing w:val="-3"/>
          <w:w w:val="105"/>
          <w:sz w:val="10"/>
        </w:rPr>
        <w:t xml:space="preserve"> </w:t>
      </w:r>
      <w:r>
        <w:rPr>
          <w:w w:val="105"/>
          <w:sz w:val="10"/>
        </w:rPr>
        <w:t>debe</w:t>
      </w:r>
      <w:r>
        <w:rPr>
          <w:spacing w:val="-3"/>
          <w:w w:val="105"/>
          <w:sz w:val="10"/>
        </w:rPr>
        <w:t xml:space="preserve"> </w:t>
      </w:r>
      <w:r>
        <w:rPr>
          <w:w w:val="105"/>
          <w:sz w:val="10"/>
        </w:rPr>
        <w:t>evitarse.</w:t>
      </w:r>
      <w:r>
        <w:rPr>
          <w:spacing w:val="-3"/>
          <w:w w:val="105"/>
          <w:sz w:val="10"/>
        </w:rPr>
        <w:t xml:space="preserve"> </w:t>
      </w:r>
      <w:r>
        <w:rPr>
          <w:w w:val="105"/>
          <w:sz w:val="10"/>
        </w:rPr>
        <w:t>Véase</w:t>
      </w:r>
      <w:r>
        <w:rPr>
          <w:spacing w:val="-3"/>
          <w:w w:val="105"/>
          <w:sz w:val="10"/>
        </w:rPr>
        <w:t xml:space="preserve"> </w:t>
      </w:r>
      <w:r>
        <w:rPr>
          <w:w w:val="105"/>
          <w:sz w:val="10"/>
        </w:rPr>
        <w:t>Comité</w:t>
      </w:r>
      <w:r>
        <w:rPr>
          <w:spacing w:val="-3"/>
          <w:w w:val="105"/>
          <w:sz w:val="10"/>
        </w:rPr>
        <w:t xml:space="preserve"> </w:t>
      </w:r>
      <w:r>
        <w:rPr>
          <w:w w:val="105"/>
          <w:sz w:val="10"/>
        </w:rPr>
        <w:t>para</w:t>
      </w:r>
      <w:r>
        <w:rPr>
          <w:spacing w:val="-3"/>
          <w:w w:val="105"/>
          <w:sz w:val="10"/>
        </w:rPr>
        <w:t xml:space="preserve"> </w:t>
      </w:r>
      <w:r>
        <w:rPr>
          <w:w w:val="105"/>
          <w:sz w:val="10"/>
        </w:rPr>
        <w:t>la</w:t>
      </w:r>
      <w:r>
        <w:rPr>
          <w:spacing w:val="-3"/>
          <w:w w:val="105"/>
          <w:sz w:val="10"/>
        </w:rPr>
        <w:t xml:space="preserve"> </w:t>
      </w:r>
      <w:r>
        <w:rPr>
          <w:w w:val="105"/>
          <w:sz w:val="10"/>
        </w:rPr>
        <w:t>Eliminación</w:t>
      </w:r>
      <w:r>
        <w:rPr>
          <w:spacing w:val="-3"/>
          <w:w w:val="105"/>
          <w:sz w:val="10"/>
        </w:rPr>
        <w:t xml:space="preserve"> </w:t>
      </w:r>
      <w:r>
        <w:rPr>
          <w:w w:val="105"/>
          <w:sz w:val="10"/>
        </w:rPr>
        <w:t>de</w:t>
      </w:r>
      <w:r>
        <w:rPr>
          <w:spacing w:val="-3"/>
          <w:w w:val="105"/>
          <w:sz w:val="10"/>
        </w:rPr>
        <w:t xml:space="preserve"> </w:t>
      </w:r>
      <w:r>
        <w:rPr>
          <w:w w:val="105"/>
          <w:sz w:val="10"/>
        </w:rPr>
        <w:t>la</w:t>
      </w:r>
      <w:r>
        <w:rPr>
          <w:spacing w:val="-3"/>
          <w:w w:val="105"/>
          <w:sz w:val="10"/>
        </w:rPr>
        <w:t xml:space="preserve"> </w:t>
      </w:r>
      <w:r>
        <w:rPr>
          <w:w w:val="105"/>
          <w:sz w:val="10"/>
        </w:rPr>
        <w:t>Discriminación</w:t>
      </w:r>
      <w:r>
        <w:rPr>
          <w:spacing w:val="-3"/>
          <w:w w:val="105"/>
          <w:sz w:val="10"/>
        </w:rPr>
        <w:t xml:space="preserve"> </w:t>
      </w:r>
      <w:r>
        <w:rPr>
          <w:w w:val="105"/>
          <w:sz w:val="10"/>
        </w:rPr>
        <w:t>Racial,</w:t>
      </w:r>
      <w:r>
        <w:rPr>
          <w:spacing w:val="-3"/>
          <w:w w:val="105"/>
          <w:sz w:val="10"/>
        </w:rPr>
        <w:t xml:space="preserve"> </w:t>
      </w:r>
      <w:r>
        <w:rPr>
          <w:w w:val="105"/>
          <w:sz w:val="10"/>
        </w:rPr>
        <w:t>recomendación</w:t>
      </w:r>
      <w:r>
        <w:rPr>
          <w:spacing w:val="-3"/>
          <w:w w:val="105"/>
          <w:sz w:val="10"/>
        </w:rPr>
        <w:t xml:space="preserve"> </w:t>
      </w:r>
      <w:r>
        <w:rPr>
          <w:w w:val="105"/>
          <w:sz w:val="10"/>
        </w:rPr>
        <w:t>general</w:t>
      </w:r>
      <w:r>
        <w:rPr>
          <w:spacing w:val="-3"/>
          <w:w w:val="105"/>
          <w:sz w:val="10"/>
        </w:rPr>
        <w:t xml:space="preserve"> </w:t>
      </w:r>
      <w:r>
        <w:rPr>
          <w:w w:val="105"/>
          <w:sz w:val="10"/>
        </w:rPr>
        <w:t>núm.</w:t>
      </w:r>
      <w:r>
        <w:rPr>
          <w:spacing w:val="-3"/>
          <w:w w:val="105"/>
          <w:sz w:val="10"/>
        </w:rPr>
        <w:t xml:space="preserve"> </w:t>
      </w:r>
      <w:r>
        <w:rPr>
          <w:w w:val="105"/>
          <w:sz w:val="10"/>
        </w:rPr>
        <w:t>32</w:t>
      </w:r>
      <w:r>
        <w:rPr>
          <w:spacing w:val="-3"/>
          <w:w w:val="105"/>
          <w:sz w:val="10"/>
        </w:rPr>
        <w:t xml:space="preserve"> </w:t>
      </w:r>
      <w:r>
        <w:rPr>
          <w:w w:val="105"/>
          <w:sz w:val="10"/>
        </w:rPr>
        <w:t>(2009),</w:t>
      </w:r>
      <w:r>
        <w:rPr>
          <w:spacing w:val="-3"/>
          <w:w w:val="105"/>
          <w:sz w:val="10"/>
        </w:rPr>
        <w:t xml:space="preserve"> </w:t>
      </w:r>
      <w:r>
        <w:rPr>
          <w:w w:val="105"/>
          <w:sz w:val="10"/>
        </w:rPr>
        <w:t>párr.</w:t>
      </w:r>
      <w:r>
        <w:rPr>
          <w:spacing w:val="-3"/>
          <w:w w:val="105"/>
          <w:sz w:val="10"/>
        </w:rPr>
        <w:t xml:space="preserve"> </w:t>
      </w:r>
      <w:r>
        <w:rPr>
          <w:w w:val="105"/>
          <w:sz w:val="10"/>
        </w:rPr>
        <w:t>12.</w:t>
      </w:r>
    </w:p>
    <w:p w14:paraId="1512FBF5" w14:textId="77777777" w:rsidR="0014798C" w:rsidRDefault="0014798C">
      <w:pPr>
        <w:pStyle w:val="Textoindependiente"/>
        <w:rPr>
          <w:sz w:val="10"/>
        </w:rPr>
      </w:pPr>
    </w:p>
    <w:p w14:paraId="1458A34C" w14:textId="77777777" w:rsidR="0014798C" w:rsidRDefault="0014798C">
      <w:pPr>
        <w:pStyle w:val="Textoindependiente"/>
        <w:spacing w:before="7"/>
        <w:rPr>
          <w:sz w:val="10"/>
        </w:rPr>
      </w:pPr>
    </w:p>
    <w:p w14:paraId="277D646A" w14:textId="77777777" w:rsidR="0014798C" w:rsidRDefault="004E1F0B">
      <w:pPr>
        <w:ind w:left="1105"/>
        <w:rPr>
          <w:sz w:val="10"/>
        </w:rPr>
      </w:pPr>
      <w:r>
        <w:rPr>
          <w:w w:val="105"/>
          <w:sz w:val="10"/>
        </w:rPr>
        <w:t>441</w:t>
      </w:r>
      <w:r>
        <w:rPr>
          <w:spacing w:val="-7"/>
          <w:w w:val="105"/>
          <w:sz w:val="10"/>
        </w:rPr>
        <w:t xml:space="preserve"> </w:t>
      </w:r>
      <w:r>
        <w:rPr>
          <w:w w:val="105"/>
          <w:sz w:val="10"/>
        </w:rPr>
        <w:t>Comité</w:t>
      </w:r>
      <w:r>
        <w:rPr>
          <w:spacing w:val="-7"/>
          <w:w w:val="105"/>
          <w:sz w:val="10"/>
        </w:rPr>
        <w:t xml:space="preserve"> </w:t>
      </w:r>
      <w:r>
        <w:rPr>
          <w:w w:val="105"/>
          <w:sz w:val="10"/>
        </w:rPr>
        <w:t>sobre</w:t>
      </w:r>
      <w:r>
        <w:rPr>
          <w:spacing w:val="-6"/>
          <w:w w:val="105"/>
          <w:sz w:val="10"/>
        </w:rPr>
        <w:t xml:space="preserve"> </w:t>
      </w:r>
      <w:r>
        <w:rPr>
          <w:w w:val="105"/>
          <w:sz w:val="10"/>
        </w:rPr>
        <w:t>los</w:t>
      </w:r>
      <w:r>
        <w:rPr>
          <w:spacing w:val="-7"/>
          <w:w w:val="105"/>
          <w:sz w:val="10"/>
        </w:rPr>
        <w:t xml:space="preserve"> </w:t>
      </w:r>
      <w:r>
        <w:rPr>
          <w:w w:val="105"/>
          <w:sz w:val="10"/>
        </w:rPr>
        <w:t>Derechos</w:t>
      </w:r>
      <w:r>
        <w:rPr>
          <w:spacing w:val="-6"/>
          <w:w w:val="105"/>
          <w:sz w:val="10"/>
        </w:rPr>
        <w:t xml:space="preserve"> </w:t>
      </w:r>
      <w:r>
        <w:rPr>
          <w:w w:val="105"/>
          <w:sz w:val="10"/>
        </w:rPr>
        <w:t>de</w:t>
      </w:r>
      <w:r>
        <w:rPr>
          <w:spacing w:val="-7"/>
          <w:w w:val="105"/>
          <w:sz w:val="10"/>
        </w:rPr>
        <w:t xml:space="preserve"> </w:t>
      </w:r>
      <w:r>
        <w:rPr>
          <w:w w:val="105"/>
          <w:sz w:val="10"/>
        </w:rPr>
        <w:t>las</w:t>
      </w:r>
      <w:r>
        <w:rPr>
          <w:spacing w:val="-6"/>
          <w:w w:val="105"/>
          <w:sz w:val="10"/>
        </w:rPr>
        <w:t xml:space="preserve"> </w:t>
      </w:r>
      <w:r>
        <w:rPr>
          <w:w w:val="105"/>
          <w:sz w:val="10"/>
        </w:rPr>
        <w:t>Personas</w:t>
      </w:r>
      <w:r>
        <w:rPr>
          <w:spacing w:val="-7"/>
          <w:w w:val="105"/>
          <w:sz w:val="10"/>
        </w:rPr>
        <w:t xml:space="preserve"> </w:t>
      </w:r>
      <w:r>
        <w:rPr>
          <w:w w:val="105"/>
          <w:sz w:val="10"/>
        </w:rPr>
        <w:t>con</w:t>
      </w:r>
      <w:r>
        <w:rPr>
          <w:spacing w:val="-7"/>
          <w:w w:val="105"/>
          <w:sz w:val="10"/>
        </w:rPr>
        <w:t xml:space="preserve"> </w:t>
      </w:r>
      <w:r>
        <w:rPr>
          <w:w w:val="105"/>
          <w:sz w:val="10"/>
        </w:rPr>
        <w:t>Discapacidad,</w:t>
      </w:r>
      <w:r>
        <w:rPr>
          <w:spacing w:val="-5"/>
          <w:w w:val="105"/>
          <w:sz w:val="10"/>
        </w:rPr>
        <w:t xml:space="preserve"> </w:t>
      </w:r>
      <w:r>
        <w:rPr>
          <w:w w:val="105"/>
          <w:sz w:val="10"/>
        </w:rPr>
        <w:t>observación</w:t>
      </w:r>
      <w:r>
        <w:rPr>
          <w:spacing w:val="-7"/>
          <w:w w:val="105"/>
          <w:sz w:val="10"/>
        </w:rPr>
        <w:t xml:space="preserve"> </w:t>
      </w:r>
      <w:r>
        <w:rPr>
          <w:w w:val="105"/>
          <w:sz w:val="10"/>
        </w:rPr>
        <w:t>general</w:t>
      </w:r>
      <w:r>
        <w:rPr>
          <w:spacing w:val="-7"/>
          <w:w w:val="105"/>
          <w:sz w:val="10"/>
        </w:rPr>
        <w:t xml:space="preserve"> </w:t>
      </w:r>
      <w:r>
        <w:rPr>
          <w:w w:val="105"/>
          <w:sz w:val="10"/>
        </w:rPr>
        <w:t>núm.</w:t>
      </w:r>
      <w:r>
        <w:rPr>
          <w:spacing w:val="-6"/>
          <w:w w:val="105"/>
          <w:sz w:val="10"/>
        </w:rPr>
        <w:t xml:space="preserve"> </w:t>
      </w:r>
      <w:r>
        <w:rPr>
          <w:w w:val="105"/>
          <w:sz w:val="10"/>
        </w:rPr>
        <w:t>6</w:t>
      </w:r>
      <w:r>
        <w:rPr>
          <w:spacing w:val="-7"/>
          <w:w w:val="105"/>
          <w:sz w:val="10"/>
        </w:rPr>
        <w:t xml:space="preserve"> </w:t>
      </w:r>
      <w:r>
        <w:rPr>
          <w:w w:val="105"/>
          <w:sz w:val="10"/>
        </w:rPr>
        <w:t>(2018),</w:t>
      </w:r>
      <w:r>
        <w:rPr>
          <w:spacing w:val="-6"/>
          <w:w w:val="105"/>
          <w:sz w:val="10"/>
        </w:rPr>
        <w:t xml:space="preserve"> </w:t>
      </w:r>
      <w:r>
        <w:rPr>
          <w:w w:val="105"/>
          <w:sz w:val="10"/>
        </w:rPr>
        <w:t>párr.</w:t>
      </w:r>
      <w:r>
        <w:rPr>
          <w:spacing w:val="-7"/>
          <w:w w:val="105"/>
          <w:sz w:val="10"/>
        </w:rPr>
        <w:t xml:space="preserve"> </w:t>
      </w:r>
      <w:r>
        <w:rPr>
          <w:spacing w:val="-5"/>
          <w:w w:val="105"/>
          <w:sz w:val="10"/>
        </w:rPr>
        <w:t>28.</w:t>
      </w:r>
    </w:p>
    <w:p w14:paraId="10820D21" w14:textId="77777777" w:rsidR="0014798C" w:rsidRDefault="004E1F0B">
      <w:pPr>
        <w:spacing w:before="81" w:line="312" w:lineRule="auto"/>
        <w:ind w:left="1366" w:right="1516" w:hanging="261"/>
        <w:rPr>
          <w:sz w:val="12"/>
        </w:rPr>
      </w:pPr>
      <w:r>
        <w:rPr>
          <w:sz w:val="12"/>
        </w:rPr>
        <w:t>442</w:t>
      </w:r>
      <w:r>
        <w:rPr>
          <w:spacing w:val="8"/>
          <w:sz w:val="12"/>
        </w:rPr>
        <w:t xml:space="preserve"> </w:t>
      </w:r>
      <w:r>
        <w:rPr>
          <w:sz w:val="12"/>
        </w:rPr>
        <w:t>Por</w:t>
      </w:r>
      <w:r>
        <w:rPr>
          <w:spacing w:val="7"/>
          <w:sz w:val="12"/>
        </w:rPr>
        <w:t xml:space="preserve"> </w:t>
      </w:r>
      <w:r>
        <w:rPr>
          <w:sz w:val="12"/>
        </w:rPr>
        <w:t>ejemplo,</w:t>
      </w:r>
      <w:r>
        <w:rPr>
          <w:spacing w:val="9"/>
          <w:sz w:val="12"/>
        </w:rPr>
        <w:t xml:space="preserve"> </w:t>
      </w:r>
      <w:r>
        <w:rPr>
          <w:sz w:val="12"/>
        </w:rPr>
        <w:t>la</w:t>
      </w:r>
      <w:r>
        <w:rPr>
          <w:spacing w:val="8"/>
          <w:sz w:val="12"/>
        </w:rPr>
        <w:t xml:space="preserve"> </w:t>
      </w:r>
      <w:r>
        <w:rPr>
          <w:sz w:val="12"/>
        </w:rPr>
        <w:t>Comisión</w:t>
      </w:r>
      <w:r>
        <w:rPr>
          <w:spacing w:val="7"/>
          <w:sz w:val="12"/>
        </w:rPr>
        <w:t xml:space="preserve"> </w:t>
      </w:r>
      <w:r>
        <w:rPr>
          <w:sz w:val="12"/>
        </w:rPr>
        <w:t>Interamericana</w:t>
      </w:r>
      <w:r>
        <w:rPr>
          <w:spacing w:val="8"/>
          <w:sz w:val="12"/>
        </w:rPr>
        <w:t xml:space="preserve"> </w:t>
      </w:r>
      <w:r>
        <w:rPr>
          <w:sz w:val="12"/>
        </w:rPr>
        <w:t>de</w:t>
      </w:r>
      <w:r>
        <w:rPr>
          <w:spacing w:val="7"/>
          <w:sz w:val="12"/>
        </w:rPr>
        <w:t xml:space="preserve"> </w:t>
      </w:r>
      <w:r>
        <w:rPr>
          <w:sz w:val="12"/>
        </w:rPr>
        <w:t>Derechos</w:t>
      </w:r>
      <w:r>
        <w:rPr>
          <w:spacing w:val="8"/>
          <w:sz w:val="12"/>
        </w:rPr>
        <w:t xml:space="preserve"> </w:t>
      </w:r>
      <w:r>
        <w:rPr>
          <w:sz w:val="12"/>
        </w:rPr>
        <w:t>Humanos</w:t>
      </w:r>
      <w:r>
        <w:rPr>
          <w:spacing w:val="7"/>
          <w:sz w:val="12"/>
        </w:rPr>
        <w:t xml:space="preserve"> </w:t>
      </w:r>
      <w:r>
        <w:rPr>
          <w:sz w:val="12"/>
        </w:rPr>
        <w:t>ha</w:t>
      </w:r>
      <w:r>
        <w:rPr>
          <w:spacing w:val="8"/>
          <w:sz w:val="12"/>
        </w:rPr>
        <w:t xml:space="preserve"> </w:t>
      </w:r>
      <w:r>
        <w:rPr>
          <w:sz w:val="12"/>
        </w:rPr>
        <w:t>reconocido</w:t>
      </w:r>
      <w:r>
        <w:rPr>
          <w:spacing w:val="7"/>
          <w:sz w:val="12"/>
        </w:rPr>
        <w:t xml:space="preserve"> </w:t>
      </w:r>
      <w:r>
        <w:rPr>
          <w:sz w:val="12"/>
        </w:rPr>
        <w:t>que</w:t>
      </w:r>
      <w:r>
        <w:rPr>
          <w:spacing w:val="8"/>
          <w:sz w:val="12"/>
        </w:rPr>
        <w:t xml:space="preserve"> </w:t>
      </w:r>
      <w:r>
        <w:rPr>
          <w:sz w:val="12"/>
        </w:rPr>
        <w:t>la</w:t>
      </w:r>
      <w:r>
        <w:rPr>
          <w:spacing w:val="7"/>
          <w:sz w:val="12"/>
        </w:rPr>
        <w:t xml:space="preserve"> </w:t>
      </w:r>
      <w:r>
        <w:rPr>
          <w:sz w:val="12"/>
        </w:rPr>
        <w:t>implementación</w:t>
      </w:r>
      <w:r>
        <w:rPr>
          <w:spacing w:val="8"/>
          <w:sz w:val="12"/>
        </w:rPr>
        <w:t xml:space="preserve"> </w:t>
      </w:r>
      <w:r>
        <w:rPr>
          <w:sz w:val="12"/>
        </w:rPr>
        <w:t>de</w:t>
      </w:r>
      <w:r>
        <w:rPr>
          <w:spacing w:val="7"/>
          <w:sz w:val="12"/>
        </w:rPr>
        <w:t xml:space="preserve"> </w:t>
      </w:r>
      <w:r>
        <w:rPr>
          <w:sz w:val="12"/>
        </w:rPr>
        <w:t>cuotas</w:t>
      </w:r>
      <w:r>
        <w:rPr>
          <w:spacing w:val="8"/>
          <w:sz w:val="12"/>
        </w:rPr>
        <w:t xml:space="preserve"> </w:t>
      </w:r>
      <w:r>
        <w:rPr>
          <w:sz w:val="12"/>
        </w:rPr>
        <w:t>de</w:t>
      </w:r>
      <w:r>
        <w:rPr>
          <w:spacing w:val="7"/>
          <w:sz w:val="12"/>
        </w:rPr>
        <w:t xml:space="preserve"> </w:t>
      </w:r>
      <w:r>
        <w:rPr>
          <w:sz w:val="12"/>
        </w:rPr>
        <w:t>género</w:t>
      </w:r>
      <w:r>
        <w:rPr>
          <w:spacing w:val="8"/>
          <w:sz w:val="12"/>
        </w:rPr>
        <w:t xml:space="preserve"> </w:t>
      </w:r>
      <w:r>
        <w:rPr>
          <w:sz w:val="12"/>
        </w:rPr>
        <w:t>para</w:t>
      </w:r>
      <w:r>
        <w:rPr>
          <w:spacing w:val="7"/>
          <w:sz w:val="12"/>
        </w:rPr>
        <w:t xml:space="preserve"> </w:t>
      </w:r>
      <w:r>
        <w:rPr>
          <w:sz w:val="12"/>
        </w:rPr>
        <w:t>aumentar</w:t>
      </w:r>
      <w:r>
        <w:rPr>
          <w:spacing w:val="8"/>
          <w:sz w:val="12"/>
        </w:rPr>
        <w:t xml:space="preserve"> </w:t>
      </w:r>
      <w:r>
        <w:rPr>
          <w:sz w:val="12"/>
        </w:rPr>
        <w:t>la</w:t>
      </w:r>
      <w:r>
        <w:rPr>
          <w:spacing w:val="7"/>
          <w:sz w:val="12"/>
        </w:rPr>
        <w:t xml:space="preserve"> </w:t>
      </w:r>
      <w:r>
        <w:rPr>
          <w:sz w:val="12"/>
        </w:rPr>
        <w:t>participación</w:t>
      </w:r>
      <w:r>
        <w:rPr>
          <w:spacing w:val="8"/>
          <w:sz w:val="12"/>
        </w:rPr>
        <w:t xml:space="preserve"> </w:t>
      </w:r>
      <w:r>
        <w:rPr>
          <w:sz w:val="12"/>
        </w:rPr>
        <w:t>política</w:t>
      </w:r>
      <w:r>
        <w:rPr>
          <w:spacing w:val="40"/>
          <w:sz w:val="12"/>
        </w:rPr>
        <w:t xml:space="preserve"> </w:t>
      </w:r>
      <w:r>
        <w:rPr>
          <w:sz w:val="12"/>
        </w:rPr>
        <w:t>de</w:t>
      </w:r>
      <w:r>
        <w:rPr>
          <w:spacing w:val="9"/>
          <w:sz w:val="12"/>
        </w:rPr>
        <w:t xml:space="preserve"> </w:t>
      </w:r>
      <w:r>
        <w:rPr>
          <w:sz w:val="12"/>
        </w:rPr>
        <w:t>las</w:t>
      </w:r>
      <w:r>
        <w:rPr>
          <w:spacing w:val="9"/>
          <w:sz w:val="12"/>
        </w:rPr>
        <w:t xml:space="preserve"> </w:t>
      </w:r>
      <w:r>
        <w:rPr>
          <w:sz w:val="12"/>
        </w:rPr>
        <w:t>mujeres</w:t>
      </w:r>
      <w:r>
        <w:rPr>
          <w:spacing w:val="9"/>
          <w:sz w:val="12"/>
        </w:rPr>
        <w:t xml:space="preserve"> </w:t>
      </w:r>
      <w:r>
        <w:rPr>
          <w:sz w:val="12"/>
        </w:rPr>
        <w:t>en</w:t>
      </w:r>
      <w:r>
        <w:rPr>
          <w:spacing w:val="9"/>
          <w:sz w:val="12"/>
        </w:rPr>
        <w:t xml:space="preserve"> </w:t>
      </w:r>
      <w:r>
        <w:rPr>
          <w:sz w:val="12"/>
        </w:rPr>
        <w:t>el</w:t>
      </w:r>
      <w:r>
        <w:rPr>
          <w:spacing w:val="9"/>
          <w:sz w:val="12"/>
        </w:rPr>
        <w:t xml:space="preserve"> </w:t>
      </w:r>
      <w:r>
        <w:rPr>
          <w:sz w:val="12"/>
        </w:rPr>
        <w:t>gobierno</w:t>
      </w:r>
      <w:r>
        <w:rPr>
          <w:spacing w:val="9"/>
          <w:sz w:val="12"/>
        </w:rPr>
        <w:t xml:space="preserve"> </w:t>
      </w:r>
      <w:r>
        <w:rPr>
          <w:sz w:val="12"/>
        </w:rPr>
        <w:t>es</w:t>
      </w:r>
      <w:r>
        <w:rPr>
          <w:spacing w:val="9"/>
          <w:sz w:val="12"/>
        </w:rPr>
        <w:t xml:space="preserve"> </w:t>
      </w:r>
      <w:r>
        <w:rPr>
          <w:sz w:val="12"/>
        </w:rPr>
        <w:t>parte</w:t>
      </w:r>
      <w:r>
        <w:rPr>
          <w:spacing w:val="9"/>
          <w:sz w:val="12"/>
        </w:rPr>
        <w:t xml:space="preserve"> </w:t>
      </w:r>
      <w:r>
        <w:rPr>
          <w:sz w:val="12"/>
        </w:rPr>
        <w:t>de</w:t>
      </w:r>
      <w:r>
        <w:rPr>
          <w:spacing w:val="9"/>
          <w:sz w:val="12"/>
        </w:rPr>
        <w:t xml:space="preserve"> </w:t>
      </w:r>
      <w:r>
        <w:rPr>
          <w:sz w:val="12"/>
        </w:rPr>
        <w:t>otras</w:t>
      </w:r>
      <w:r>
        <w:rPr>
          <w:spacing w:val="9"/>
          <w:sz w:val="12"/>
        </w:rPr>
        <w:t xml:space="preserve"> </w:t>
      </w:r>
      <w:r>
        <w:rPr>
          <w:sz w:val="12"/>
        </w:rPr>
        <w:t>medidas</w:t>
      </w:r>
      <w:r>
        <w:rPr>
          <w:spacing w:val="9"/>
          <w:sz w:val="12"/>
        </w:rPr>
        <w:t xml:space="preserve"> </w:t>
      </w:r>
      <w:r>
        <w:rPr>
          <w:sz w:val="12"/>
        </w:rPr>
        <w:t>que</w:t>
      </w:r>
      <w:r>
        <w:rPr>
          <w:spacing w:val="9"/>
          <w:sz w:val="12"/>
        </w:rPr>
        <w:t xml:space="preserve"> </w:t>
      </w:r>
      <w:r>
        <w:rPr>
          <w:sz w:val="12"/>
        </w:rPr>
        <w:t>buscan</w:t>
      </w:r>
      <w:r>
        <w:rPr>
          <w:spacing w:val="9"/>
          <w:sz w:val="12"/>
        </w:rPr>
        <w:t xml:space="preserve"> </w:t>
      </w:r>
      <w:r>
        <w:rPr>
          <w:sz w:val="12"/>
        </w:rPr>
        <w:t>abordar</w:t>
      </w:r>
      <w:r>
        <w:rPr>
          <w:spacing w:val="9"/>
          <w:sz w:val="12"/>
        </w:rPr>
        <w:t xml:space="preserve"> </w:t>
      </w:r>
      <w:r>
        <w:rPr>
          <w:sz w:val="12"/>
        </w:rPr>
        <w:t>las</w:t>
      </w:r>
      <w:r>
        <w:rPr>
          <w:spacing w:val="9"/>
          <w:sz w:val="12"/>
        </w:rPr>
        <w:t xml:space="preserve"> </w:t>
      </w:r>
      <w:r>
        <w:rPr>
          <w:sz w:val="12"/>
        </w:rPr>
        <w:t>barreras</w:t>
      </w:r>
      <w:r>
        <w:rPr>
          <w:spacing w:val="9"/>
          <w:sz w:val="12"/>
        </w:rPr>
        <w:t xml:space="preserve"> </w:t>
      </w:r>
      <w:r>
        <w:rPr>
          <w:sz w:val="12"/>
        </w:rPr>
        <w:t>sistémicas</w:t>
      </w:r>
      <w:r>
        <w:rPr>
          <w:spacing w:val="9"/>
          <w:sz w:val="12"/>
        </w:rPr>
        <w:t xml:space="preserve"> </w:t>
      </w:r>
      <w:r>
        <w:rPr>
          <w:sz w:val="12"/>
        </w:rPr>
        <w:t>históricas</w:t>
      </w:r>
      <w:r>
        <w:rPr>
          <w:spacing w:val="9"/>
          <w:sz w:val="12"/>
        </w:rPr>
        <w:t xml:space="preserve"> </w:t>
      </w:r>
      <w:r>
        <w:rPr>
          <w:sz w:val="12"/>
        </w:rPr>
        <w:t>que</w:t>
      </w:r>
      <w:r>
        <w:rPr>
          <w:spacing w:val="9"/>
          <w:sz w:val="12"/>
        </w:rPr>
        <w:t xml:space="preserve"> </w:t>
      </w:r>
      <w:r>
        <w:rPr>
          <w:sz w:val="12"/>
        </w:rPr>
        <w:t>enfrentan</w:t>
      </w:r>
      <w:r>
        <w:rPr>
          <w:spacing w:val="9"/>
          <w:sz w:val="12"/>
        </w:rPr>
        <w:t xml:space="preserve"> </w:t>
      </w:r>
      <w:r>
        <w:rPr>
          <w:sz w:val="12"/>
        </w:rPr>
        <w:t>las</w:t>
      </w:r>
      <w:r>
        <w:rPr>
          <w:spacing w:val="9"/>
          <w:sz w:val="12"/>
        </w:rPr>
        <w:t xml:space="preserve"> </w:t>
      </w:r>
      <w:r>
        <w:rPr>
          <w:sz w:val="12"/>
        </w:rPr>
        <w:t>mujeres</w:t>
      </w:r>
      <w:r>
        <w:rPr>
          <w:spacing w:val="9"/>
          <w:sz w:val="12"/>
        </w:rPr>
        <w:t xml:space="preserve"> </w:t>
      </w:r>
      <w:r>
        <w:rPr>
          <w:sz w:val="12"/>
        </w:rPr>
        <w:t>para</w:t>
      </w:r>
      <w:r>
        <w:rPr>
          <w:spacing w:val="9"/>
          <w:sz w:val="12"/>
        </w:rPr>
        <w:t xml:space="preserve"> </w:t>
      </w:r>
      <w:r>
        <w:rPr>
          <w:sz w:val="12"/>
        </w:rPr>
        <w:t>acceder</w:t>
      </w:r>
      <w:r>
        <w:rPr>
          <w:spacing w:val="9"/>
          <w:sz w:val="12"/>
        </w:rPr>
        <w:t xml:space="preserve"> </w:t>
      </w:r>
      <w:r>
        <w:rPr>
          <w:sz w:val="12"/>
        </w:rPr>
        <w:t>a</w:t>
      </w:r>
      <w:r>
        <w:rPr>
          <w:spacing w:val="9"/>
          <w:sz w:val="12"/>
        </w:rPr>
        <w:t xml:space="preserve"> </w:t>
      </w:r>
      <w:r>
        <w:rPr>
          <w:sz w:val="12"/>
        </w:rPr>
        <w:t>su</w:t>
      </w:r>
      <w:r>
        <w:rPr>
          <w:spacing w:val="40"/>
          <w:sz w:val="12"/>
        </w:rPr>
        <w:t xml:space="preserve"> </w:t>
      </w:r>
      <w:r>
        <w:rPr>
          <w:sz w:val="12"/>
        </w:rPr>
        <w:t>derecho a la participación política. participación. Ver más: Comisión Interamericana de Derechos Humanos, El camino hacia la democracia sustantiva: la</w:t>
      </w:r>
      <w:r>
        <w:rPr>
          <w:spacing w:val="40"/>
          <w:sz w:val="12"/>
        </w:rPr>
        <w:t xml:space="preserve"> </w:t>
      </w:r>
      <w:r>
        <w:rPr>
          <w:sz w:val="12"/>
        </w:rPr>
        <w:t>participación política de las mujeres en las Américas (OEA/</w:t>
      </w:r>
      <w:proofErr w:type="spellStart"/>
      <w:r>
        <w:rPr>
          <w:sz w:val="12"/>
        </w:rPr>
        <w:t>Ser.L</w:t>
      </w:r>
      <w:proofErr w:type="spellEnd"/>
      <w:r>
        <w:rPr>
          <w:sz w:val="12"/>
        </w:rPr>
        <w:t xml:space="preserve">/V/II, Doc. 79) (2011), </w:t>
      </w:r>
      <w:proofErr w:type="spellStart"/>
      <w:r>
        <w:rPr>
          <w:sz w:val="12"/>
        </w:rPr>
        <w:t>párrs</w:t>
      </w:r>
      <w:proofErr w:type="spellEnd"/>
      <w:r>
        <w:rPr>
          <w:sz w:val="12"/>
        </w:rPr>
        <w:t>. 62 y 82.</w:t>
      </w:r>
    </w:p>
    <w:p w14:paraId="683E5D90" w14:textId="77777777" w:rsidR="0014798C" w:rsidRDefault="004E1F0B">
      <w:pPr>
        <w:spacing w:before="59" w:line="312" w:lineRule="auto"/>
        <w:ind w:left="1368" w:right="2004" w:hanging="263"/>
        <w:rPr>
          <w:sz w:val="12"/>
        </w:rPr>
      </w:pPr>
      <w:r>
        <w:rPr>
          <w:sz w:val="12"/>
        </w:rPr>
        <w:t xml:space="preserve">443 Para un análisis más detallado sobre este punto, véase Chantal Davies, </w:t>
      </w:r>
      <w:proofErr w:type="spellStart"/>
      <w:r>
        <w:rPr>
          <w:sz w:val="12"/>
        </w:rPr>
        <w:t>Research</w:t>
      </w:r>
      <w:proofErr w:type="spellEnd"/>
      <w:r>
        <w:rPr>
          <w:sz w:val="12"/>
        </w:rPr>
        <w:t xml:space="preserve"> </w:t>
      </w:r>
      <w:proofErr w:type="spellStart"/>
      <w:r>
        <w:rPr>
          <w:sz w:val="12"/>
        </w:rPr>
        <w:t>Report</w:t>
      </w:r>
      <w:proofErr w:type="spellEnd"/>
      <w:r>
        <w:rPr>
          <w:sz w:val="12"/>
        </w:rPr>
        <w:t xml:space="preserve"> 123: </w:t>
      </w:r>
      <w:proofErr w:type="spellStart"/>
      <w:r>
        <w:rPr>
          <w:sz w:val="12"/>
        </w:rPr>
        <w:t>Exploring</w:t>
      </w:r>
      <w:proofErr w:type="spellEnd"/>
      <w:r>
        <w:rPr>
          <w:sz w:val="12"/>
        </w:rPr>
        <w:t xml:space="preserve"> Positive </w:t>
      </w:r>
      <w:proofErr w:type="spellStart"/>
      <w:r>
        <w:rPr>
          <w:sz w:val="12"/>
        </w:rPr>
        <w:t>Action</w:t>
      </w:r>
      <w:proofErr w:type="spellEnd"/>
      <w:r>
        <w:rPr>
          <w:sz w:val="12"/>
        </w:rPr>
        <w:t xml:space="preserve"> as a Tool </w:t>
      </w:r>
      <w:proofErr w:type="spellStart"/>
      <w:r>
        <w:rPr>
          <w:sz w:val="12"/>
        </w:rPr>
        <w:t>to</w:t>
      </w:r>
      <w:proofErr w:type="spellEnd"/>
      <w:r>
        <w:rPr>
          <w:sz w:val="12"/>
        </w:rPr>
        <w:t xml:space="preserve"> </w:t>
      </w:r>
      <w:proofErr w:type="spellStart"/>
      <w:r>
        <w:rPr>
          <w:sz w:val="12"/>
        </w:rPr>
        <w:t>Address</w:t>
      </w:r>
      <w:proofErr w:type="spellEnd"/>
      <w:r>
        <w:rPr>
          <w:sz w:val="12"/>
        </w:rPr>
        <w:t xml:space="preserve"> </w:t>
      </w:r>
      <w:proofErr w:type="spellStart"/>
      <w:r>
        <w:rPr>
          <w:sz w:val="12"/>
        </w:rPr>
        <w:t>Under</w:t>
      </w:r>
      <w:proofErr w:type="spellEnd"/>
      <w:r>
        <w:rPr>
          <w:sz w:val="12"/>
        </w:rPr>
        <w:t>-</w:t>
      </w:r>
      <w:r>
        <w:rPr>
          <w:spacing w:val="40"/>
          <w:sz w:val="12"/>
        </w:rPr>
        <w:t xml:space="preserve"> </w:t>
      </w:r>
      <w:proofErr w:type="spellStart"/>
      <w:r>
        <w:rPr>
          <w:sz w:val="12"/>
        </w:rPr>
        <w:t>Representation</w:t>
      </w:r>
      <w:proofErr w:type="spellEnd"/>
      <w:r>
        <w:rPr>
          <w:sz w:val="12"/>
        </w:rPr>
        <w:t xml:space="preserve"> in </w:t>
      </w:r>
      <w:proofErr w:type="spellStart"/>
      <w:r>
        <w:rPr>
          <w:sz w:val="12"/>
        </w:rPr>
        <w:t>Apprenticeships</w:t>
      </w:r>
      <w:proofErr w:type="spellEnd"/>
      <w:r>
        <w:rPr>
          <w:sz w:val="12"/>
        </w:rPr>
        <w:t xml:space="preserve"> (Manchester, Comisión de Igualdad y Derechos Humanos, 2019), págs. 26-28, y los materiales citado en el mismo.</w:t>
      </w:r>
    </w:p>
    <w:p w14:paraId="3B984E74" w14:textId="77777777" w:rsidR="0014798C" w:rsidRDefault="0014798C">
      <w:pPr>
        <w:pStyle w:val="Textoindependiente"/>
        <w:spacing w:before="7"/>
        <w:rPr>
          <w:sz w:val="9"/>
        </w:rPr>
      </w:pPr>
    </w:p>
    <w:p w14:paraId="5D069C9E" w14:textId="77777777" w:rsidR="0014798C" w:rsidRDefault="0014798C">
      <w:pPr>
        <w:rPr>
          <w:sz w:val="9"/>
        </w:rPr>
        <w:sectPr w:rsidR="0014798C" w:rsidSect="00F265E4">
          <w:pgSz w:w="11900" w:h="16820"/>
          <w:pgMar w:top="340" w:right="0" w:bottom="280" w:left="200" w:header="121" w:footer="0" w:gutter="0"/>
          <w:cols w:space="720"/>
        </w:sectPr>
      </w:pPr>
    </w:p>
    <w:p w14:paraId="61B3497D" w14:textId="77777777" w:rsidR="0014798C" w:rsidRDefault="0014798C">
      <w:pPr>
        <w:pStyle w:val="Textoindependiente"/>
        <w:spacing w:before="9"/>
        <w:rPr>
          <w:sz w:val="8"/>
        </w:rPr>
      </w:pPr>
    </w:p>
    <w:p w14:paraId="3617366C" w14:textId="77777777" w:rsidR="0014798C" w:rsidRDefault="004E1F0B">
      <w:pPr>
        <w:jc w:val="right"/>
        <w:rPr>
          <w:sz w:val="8"/>
        </w:rPr>
      </w:pPr>
      <w:r>
        <w:rPr>
          <w:spacing w:val="-5"/>
          <w:w w:val="105"/>
          <w:sz w:val="8"/>
        </w:rPr>
        <w:t>444</w:t>
      </w:r>
    </w:p>
    <w:p w14:paraId="338FAA4C" w14:textId="77777777" w:rsidR="0014798C" w:rsidRDefault="0014798C">
      <w:pPr>
        <w:pStyle w:val="Textoindependiente"/>
        <w:rPr>
          <w:sz w:val="8"/>
        </w:rPr>
      </w:pPr>
    </w:p>
    <w:p w14:paraId="2984F004" w14:textId="77777777" w:rsidR="0014798C" w:rsidRDefault="0014798C">
      <w:pPr>
        <w:pStyle w:val="Textoindependiente"/>
        <w:rPr>
          <w:sz w:val="8"/>
        </w:rPr>
      </w:pPr>
    </w:p>
    <w:p w14:paraId="6BF88B17" w14:textId="77777777" w:rsidR="0014798C" w:rsidRDefault="0014798C">
      <w:pPr>
        <w:pStyle w:val="Textoindependiente"/>
        <w:rPr>
          <w:sz w:val="8"/>
        </w:rPr>
      </w:pPr>
    </w:p>
    <w:p w14:paraId="38FCCFB1" w14:textId="77777777" w:rsidR="0014798C" w:rsidRDefault="0014798C">
      <w:pPr>
        <w:pStyle w:val="Textoindependiente"/>
        <w:rPr>
          <w:sz w:val="8"/>
        </w:rPr>
      </w:pPr>
    </w:p>
    <w:p w14:paraId="55B88726" w14:textId="77777777" w:rsidR="0014798C" w:rsidRDefault="0014798C">
      <w:pPr>
        <w:pStyle w:val="Textoindependiente"/>
        <w:rPr>
          <w:sz w:val="8"/>
        </w:rPr>
      </w:pPr>
    </w:p>
    <w:p w14:paraId="2325B272" w14:textId="77777777" w:rsidR="0014798C" w:rsidRDefault="0014798C">
      <w:pPr>
        <w:pStyle w:val="Textoindependiente"/>
        <w:rPr>
          <w:sz w:val="8"/>
        </w:rPr>
      </w:pPr>
    </w:p>
    <w:p w14:paraId="783B79A1" w14:textId="77777777" w:rsidR="0014798C" w:rsidRDefault="0014798C">
      <w:pPr>
        <w:pStyle w:val="Textoindependiente"/>
        <w:spacing w:before="41"/>
        <w:rPr>
          <w:sz w:val="8"/>
        </w:rPr>
      </w:pPr>
    </w:p>
    <w:p w14:paraId="1CB61ADD" w14:textId="77777777" w:rsidR="0014798C" w:rsidRDefault="004E1F0B">
      <w:pPr>
        <w:spacing w:before="1"/>
        <w:jc w:val="right"/>
        <w:rPr>
          <w:sz w:val="8"/>
        </w:rPr>
      </w:pPr>
      <w:r>
        <w:rPr>
          <w:spacing w:val="-5"/>
          <w:w w:val="105"/>
          <w:sz w:val="8"/>
        </w:rPr>
        <w:t>445</w:t>
      </w:r>
    </w:p>
    <w:p w14:paraId="1131500D" w14:textId="77777777" w:rsidR="0014798C" w:rsidRDefault="0014798C">
      <w:pPr>
        <w:pStyle w:val="Textoindependiente"/>
        <w:spacing w:before="52"/>
        <w:rPr>
          <w:sz w:val="8"/>
        </w:rPr>
      </w:pPr>
    </w:p>
    <w:p w14:paraId="2BD8CC4E" w14:textId="77777777" w:rsidR="0014798C" w:rsidRDefault="004E1F0B">
      <w:pPr>
        <w:jc w:val="right"/>
        <w:rPr>
          <w:sz w:val="8"/>
        </w:rPr>
      </w:pPr>
      <w:r>
        <w:rPr>
          <w:spacing w:val="-5"/>
          <w:w w:val="105"/>
          <w:sz w:val="8"/>
        </w:rPr>
        <w:t>446</w:t>
      </w:r>
    </w:p>
    <w:p w14:paraId="37228E0D" w14:textId="77777777" w:rsidR="0014798C" w:rsidRDefault="004E1F0B">
      <w:pPr>
        <w:spacing w:before="127"/>
        <w:ind w:left="82"/>
        <w:rPr>
          <w:sz w:val="12"/>
        </w:rPr>
      </w:pPr>
      <w:r>
        <w:br w:type="column"/>
      </w:r>
      <w:r>
        <w:rPr>
          <w:sz w:val="12"/>
        </w:rPr>
        <w:t>Véase,</w:t>
      </w:r>
      <w:r>
        <w:rPr>
          <w:spacing w:val="3"/>
          <w:sz w:val="12"/>
        </w:rPr>
        <w:t xml:space="preserve"> </w:t>
      </w:r>
      <w:r>
        <w:rPr>
          <w:sz w:val="12"/>
        </w:rPr>
        <w:t>por</w:t>
      </w:r>
      <w:r>
        <w:rPr>
          <w:spacing w:val="3"/>
          <w:sz w:val="12"/>
        </w:rPr>
        <w:t xml:space="preserve"> </w:t>
      </w:r>
      <w:r>
        <w:rPr>
          <w:sz w:val="12"/>
        </w:rPr>
        <w:t>ejemplo,</w:t>
      </w:r>
      <w:r>
        <w:rPr>
          <w:spacing w:val="4"/>
          <w:sz w:val="12"/>
        </w:rPr>
        <w:t xml:space="preserve"> </w:t>
      </w:r>
      <w:r>
        <w:rPr>
          <w:sz w:val="12"/>
        </w:rPr>
        <w:t>Comité</w:t>
      </w:r>
      <w:r>
        <w:rPr>
          <w:spacing w:val="3"/>
          <w:sz w:val="12"/>
        </w:rPr>
        <w:t xml:space="preserve"> </w:t>
      </w:r>
      <w:r>
        <w:rPr>
          <w:sz w:val="12"/>
        </w:rPr>
        <w:t>de</w:t>
      </w:r>
      <w:r>
        <w:rPr>
          <w:spacing w:val="3"/>
          <w:sz w:val="12"/>
        </w:rPr>
        <w:t xml:space="preserve"> </w:t>
      </w:r>
      <w:r>
        <w:rPr>
          <w:sz w:val="12"/>
        </w:rPr>
        <w:t>Derechos</w:t>
      </w:r>
      <w:r>
        <w:rPr>
          <w:spacing w:val="3"/>
          <w:sz w:val="12"/>
        </w:rPr>
        <w:t xml:space="preserve"> </w:t>
      </w:r>
      <w:r>
        <w:rPr>
          <w:sz w:val="12"/>
        </w:rPr>
        <w:t>Humanos,</w:t>
      </w:r>
      <w:r>
        <w:rPr>
          <w:spacing w:val="5"/>
          <w:sz w:val="12"/>
        </w:rPr>
        <w:t xml:space="preserve"> </w:t>
      </w:r>
      <w:r>
        <w:rPr>
          <w:sz w:val="12"/>
        </w:rPr>
        <w:t>observación</w:t>
      </w:r>
      <w:r>
        <w:rPr>
          <w:spacing w:val="3"/>
          <w:sz w:val="12"/>
        </w:rPr>
        <w:t xml:space="preserve"> </w:t>
      </w:r>
      <w:r>
        <w:rPr>
          <w:sz w:val="12"/>
        </w:rPr>
        <w:t>general</w:t>
      </w:r>
      <w:r>
        <w:rPr>
          <w:spacing w:val="3"/>
          <w:sz w:val="12"/>
        </w:rPr>
        <w:t xml:space="preserve"> </w:t>
      </w:r>
      <w:r>
        <w:rPr>
          <w:sz w:val="12"/>
        </w:rPr>
        <w:t>núm.</w:t>
      </w:r>
      <w:r>
        <w:rPr>
          <w:spacing w:val="3"/>
          <w:sz w:val="12"/>
        </w:rPr>
        <w:t xml:space="preserve"> </w:t>
      </w:r>
      <w:r>
        <w:rPr>
          <w:sz w:val="12"/>
        </w:rPr>
        <w:t>18</w:t>
      </w:r>
      <w:r>
        <w:rPr>
          <w:spacing w:val="3"/>
          <w:sz w:val="12"/>
        </w:rPr>
        <w:t xml:space="preserve"> </w:t>
      </w:r>
      <w:r>
        <w:rPr>
          <w:sz w:val="12"/>
        </w:rPr>
        <w:t>(1989),</w:t>
      </w:r>
      <w:r>
        <w:rPr>
          <w:spacing w:val="4"/>
          <w:sz w:val="12"/>
        </w:rPr>
        <w:t xml:space="preserve"> </w:t>
      </w:r>
      <w:r>
        <w:rPr>
          <w:sz w:val="12"/>
        </w:rPr>
        <w:t>párr.</w:t>
      </w:r>
      <w:r>
        <w:rPr>
          <w:spacing w:val="5"/>
          <w:sz w:val="12"/>
        </w:rPr>
        <w:t xml:space="preserve"> </w:t>
      </w:r>
      <w:r>
        <w:rPr>
          <w:sz w:val="12"/>
        </w:rPr>
        <w:t>10</w:t>
      </w:r>
      <w:r>
        <w:rPr>
          <w:spacing w:val="3"/>
          <w:sz w:val="12"/>
        </w:rPr>
        <w:t xml:space="preserve"> </w:t>
      </w:r>
      <w:r>
        <w:rPr>
          <w:sz w:val="12"/>
        </w:rPr>
        <w:t>(“dicha</w:t>
      </w:r>
      <w:r>
        <w:rPr>
          <w:spacing w:val="3"/>
          <w:sz w:val="12"/>
        </w:rPr>
        <w:t xml:space="preserve"> </w:t>
      </w:r>
      <w:r>
        <w:rPr>
          <w:sz w:val="12"/>
        </w:rPr>
        <w:t>acción</w:t>
      </w:r>
      <w:r>
        <w:rPr>
          <w:spacing w:val="3"/>
          <w:sz w:val="12"/>
        </w:rPr>
        <w:t xml:space="preserve"> </w:t>
      </w:r>
      <w:r>
        <w:rPr>
          <w:sz w:val="12"/>
        </w:rPr>
        <w:t>puede</w:t>
      </w:r>
      <w:r>
        <w:rPr>
          <w:spacing w:val="3"/>
          <w:sz w:val="12"/>
        </w:rPr>
        <w:t xml:space="preserve"> </w:t>
      </w:r>
      <w:r>
        <w:rPr>
          <w:sz w:val="12"/>
        </w:rPr>
        <w:t>implicar</w:t>
      </w:r>
      <w:r>
        <w:rPr>
          <w:spacing w:val="3"/>
          <w:sz w:val="12"/>
        </w:rPr>
        <w:t xml:space="preserve"> </w:t>
      </w:r>
      <w:r>
        <w:rPr>
          <w:sz w:val="12"/>
        </w:rPr>
        <w:t>conceder</w:t>
      </w:r>
      <w:r>
        <w:rPr>
          <w:spacing w:val="3"/>
          <w:sz w:val="12"/>
        </w:rPr>
        <w:t xml:space="preserve"> </w:t>
      </w:r>
      <w:r>
        <w:rPr>
          <w:sz w:val="12"/>
        </w:rPr>
        <w:t>por</w:t>
      </w:r>
      <w:r>
        <w:rPr>
          <w:spacing w:val="4"/>
          <w:sz w:val="12"/>
        </w:rPr>
        <w:t xml:space="preserve"> </w:t>
      </w:r>
      <w:r>
        <w:rPr>
          <w:sz w:val="12"/>
        </w:rPr>
        <w:t>un</w:t>
      </w:r>
      <w:r>
        <w:rPr>
          <w:spacing w:val="3"/>
          <w:sz w:val="12"/>
        </w:rPr>
        <w:t xml:space="preserve"> </w:t>
      </w:r>
      <w:r>
        <w:rPr>
          <w:sz w:val="12"/>
        </w:rPr>
        <w:t>tiempo</w:t>
      </w:r>
      <w:r>
        <w:rPr>
          <w:spacing w:val="3"/>
          <w:sz w:val="12"/>
        </w:rPr>
        <w:t xml:space="preserve"> </w:t>
      </w:r>
      <w:r>
        <w:rPr>
          <w:sz w:val="12"/>
        </w:rPr>
        <w:t>a</w:t>
      </w:r>
      <w:r>
        <w:rPr>
          <w:spacing w:val="3"/>
          <w:sz w:val="12"/>
        </w:rPr>
        <w:t xml:space="preserve"> </w:t>
      </w:r>
      <w:r>
        <w:rPr>
          <w:spacing w:val="-5"/>
          <w:sz w:val="12"/>
        </w:rPr>
        <w:t>la</w:t>
      </w:r>
    </w:p>
    <w:p w14:paraId="43B047AA" w14:textId="77777777" w:rsidR="0014798C" w:rsidRDefault="004E1F0B">
      <w:pPr>
        <w:spacing w:before="41" w:line="312" w:lineRule="auto"/>
        <w:ind w:left="79" w:right="1402" w:hanging="1"/>
        <w:rPr>
          <w:sz w:val="12"/>
        </w:rPr>
      </w:pPr>
      <w:r>
        <w:rPr>
          <w:sz w:val="12"/>
        </w:rPr>
        <w:t>parte de la población interesada cierto trato preferencial en materias específicas respecto del resto de la población</w:t>
      </w:r>
      <w:proofErr w:type="gramStart"/>
      <w:r>
        <w:rPr>
          <w:sz w:val="12"/>
        </w:rPr>
        <w:t>”);</w:t>
      </w:r>
      <w:proofErr w:type="gramEnd"/>
      <w:r>
        <w:rPr>
          <w:sz w:val="12"/>
        </w:rPr>
        <w:t xml:space="preserve"> y Comité sobre los Derechos de las Personas</w:t>
      </w:r>
      <w:r>
        <w:rPr>
          <w:spacing w:val="40"/>
          <w:sz w:val="12"/>
        </w:rPr>
        <w:t xml:space="preserve"> </w:t>
      </w:r>
      <w:r>
        <w:rPr>
          <w:sz w:val="12"/>
        </w:rPr>
        <w:t>con Discapacidad, observación general núm. 6 (2018), párr. 28 (“medidas específicas… implican adoptar o mantener ciertas ventajas a favor de un grupo</w:t>
      </w:r>
      <w:r>
        <w:rPr>
          <w:spacing w:val="40"/>
          <w:sz w:val="12"/>
        </w:rPr>
        <w:t xml:space="preserve"> </w:t>
      </w:r>
      <w:r>
        <w:rPr>
          <w:sz w:val="12"/>
        </w:rPr>
        <w:t>subrepresentado o marginado” para lograr la igualdad).</w:t>
      </w:r>
    </w:p>
    <w:p w14:paraId="5CBA0E69" w14:textId="77777777" w:rsidR="0014798C" w:rsidRDefault="004E1F0B">
      <w:pPr>
        <w:spacing w:before="58" w:line="410" w:lineRule="auto"/>
        <w:ind w:left="84" w:right="3901" w:hanging="7"/>
        <w:rPr>
          <w:sz w:val="12"/>
        </w:rPr>
      </w:pPr>
      <w:r>
        <w:rPr>
          <w:sz w:val="12"/>
        </w:rPr>
        <w:t>ONU-Mujeres, “Revisitando Ruanda cinco años después de elecciones parlamentarias récord”, 13 de agosto de 2018.</w:t>
      </w:r>
      <w:r>
        <w:rPr>
          <w:spacing w:val="40"/>
          <w:sz w:val="12"/>
        </w:rPr>
        <w:t xml:space="preserve"> </w:t>
      </w:r>
      <w:r>
        <w:rPr>
          <w:sz w:val="12"/>
        </w:rPr>
        <w:t>CEDAW/C/RWA/CO/7-9, párr. 4(i).</w:t>
      </w:r>
    </w:p>
    <w:p w14:paraId="68C7C130" w14:textId="77777777" w:rsidR="0014798C" w:rsidRDefault="0014798C">
      <w:pPr>
        <w:spacing w:line="410" w:lineRule="auto"/>
        <w:rPr>
          <w:sz w:val="12"/>
        </w:rPr>
        <w:sectPr w:rsidR="0014798C" w:rsidSect="00F265E4">
          <w:type w:val="continuous"/>
          <w:pgSz w:w="11900" w:h="16820"/>
          <w:pgMar w:top="40" w:right="0" w:bottom="280" w:left="200" w:header="121" w:footer="0" w:gutter="0"/>
          <w:cols w:num="2" w:space="720" w:equalWidth="0">
            <w:col w:w="1248" w:space="40"/>
            <w:col w:w="10412"/>
          </w:cols>
        </w:sectPr>
      </w:pPr>
    </w:p>
    <w:p w14:paraId="524B2F9E" w14:textId="77777777" w:rsidR="0014798C" w:rsidRDefault="0014798C">
      <w:pPr>
        <w:pStyle w:val="Textoindependiente"/>
        <w:rPr>
          <w:sz w:val="19"/>
        </w:rPr>
      </w:pPr>
    </w:p>
    <w:p w14:paraId="296EB0CB" w14:textId="77777777" w:rsidR="0014798C" w:rsidRDefault="0014798C">
      <w:pPr>
        <w:pStyle w:val="Textoindependiente"/>
        <w:spacing w:before="93"/>
        <w:rPr>
          <w:sz w:val="19"/>
        </w:rPr>
      </w:pPr>
    </w:p>
    <w:p w14:paraId="168120E8" w14:textId="77777777" w:rsidR="0014798C" w:rsidRDefault="004E1F0B">
      <w:pPr>
        <w:ind w:right="725"/>
        <w:jc w:val="right"/>
        <w:rPr>
          <w:sz w:val="19"/>
        </w:rPr>
      </w:pPr>
      <w:r>
        <w:rPr>
          <w:spacing w:val="-5"/>
          <w:sz w:val="19"/>
        </w:rPr>
        <w:t>57</w:t>
      </w:r>
    </w:p>
    <w:p w14:paraId="72D830DB" w14:textId="77777777" w:rsidR="0014798C" w:rsidRDefault="0014798C">
      <w:pPr>
        <w:jc w:val="right"/>
        <w:rPr>
          <w:sz w:val="19"/>
        </w:rPr>
        <w:sectPr w:rsidR="0014798C" w:rsidSect="00F265E4">
          <w:type w:val="continuous"/>
          <w:pgSz w:w="11900" w:h="16820"/>
          <w:pgMar w:top="40" w:right="0" w:bottom="280" w:left="200" w:header="121" w:footer="0" w:gutter="0"/>
          <w:cols w:space="720"/>
        </w:sectPr>
      </w:pPr>
    </w:p>
    <w:p w14:paraId="6AD733D2" w14:textId="77777777" w:rsidR="0014798C" w:rsidRDefault="0014798C">
      <w:pPr>
        <w:pStyle w:val="Textoindependiente"/>
        <w:spacing w:before="85"/>
        <w:rPr>
          <w:sz w:val="12"/>
        </w:rPr>
      </w:pPr>
    </w:p>
    <w:p w14:paraId="5CEBFFA4" w14:textId="77777777" w:rsidR="0014798C" w:rsidRDefault="004E1F0B">
      <w:pPr>
        <w:ind w:left="1111"/>
        <w:rPr>
          <w:sz w:val="12"/>
        </w:rPr>
      </w:pPr>
      <w:r>
        <w:rPr>
          <w:color w:val="00AC59"/>
          <w:sz w:val="12"/>
        </w:rPr>
        <w:t>PROTECCIÓN</w:t>
      </w:r>
      <w:r>
        <w:rPr>
          <w:color w:val="00AC59"/>
          <w:spacing w:val="6"/>
          <w:sz w:val="12"/>
        </w:rPr>
        <w:t xml:space="preserve"> </w:t>
      </w:r>
      <w:r>
        <w:rPr>
          <w:color w:val="00AC59"/>
          <w:sz w:val="12"/>
        </w:rPr>
        <w:t>DE</w:t>
      </w:r>
      <w:r>
        <w:rPr>
          <w:color w:val="00AC59"/>
          <w:spacing w:val="7"/>
          <w:sz w:val="12"/>
        </w:rPr>
        <w:t xml:space="preserve"> </w:t>
      </w:r>
      <w:r>
        <w:rPr>
          <w:color w:val="00AC59"/>
          <w:sz w:val="12"/>
        </w:rPr>
        <w:t>LOS</w:t>
      </w:r>
      <w:r>
        <w:rPr>
          <w:color w:val="00AC59"/>
          <w:spacing w:val="8"/>
          <w:sz w:val="12"/>
        </w:rPr>
        <w:t xml:space="preserve"> </w:t>
      </w:r>
      <w:r>
        <w:rPr>
          <w:color w:val="00AC59"/>
          <w:sz w:val="12"/>
        </w:rPr>
        <w:t>DERECHOS</w:t>
      </w:r>
      <w:r>
        <w:rPr>
          <w:color w:val="00AC59"/>
          <w:spacing w:val="8"/>
          <w:sz w:val="12"/>
        </w:rPr>
        <w:t xml:space="preserve"> </w:t>
      </w:r>
      <w:r>
        <w:rPr>
          <w:color w:val="00AC59"/>
          <w:sz w:val="12"/>
        </w:rPr>
        <w:t>DE</w:t>
      </w:r>
      <w:r>
        <w:rPr>
          <w:color w:val="00AC59"/>
          <w:spacing w:val="6"/>
          <w:sz w:val="12"/>
        </w:rPr>
        <w:t xml:space="preserve"> </w:t>
      </w:r>
      <w:r>
        <w:rPr>
          <w:color w:val="00AC59"/>
          <w:sz w:val="12"/>
        </w:rPr>
        <w:t>LAS</w:t>
      </w:r>
      <w:r>
        <w:rPr>
          <w:color w:val="00AC59"/>
          <w:spacing w:val="7"/>
          <w:sz w:val="12"/>
        </w:rPr>
        <w:t xml:space="preserve"> </w:t>
      </w:r>
      <w:r>
        <w:rPr>
          <w:color w:val="00AC59"/>
          <w:sz w:val="12"/>
        </w:rPr>
        <w:t>MINORÍAS:</w:t>
      </w:r>
      <w:r>
        <w:rPr>
          <w:color w:val="00AC59"/>
          <w:spacing w:val="8"/>
          <w:sz w:val="12"/>
        </w:rPr>
        <w:t xml:space="preserve"> </w:t>
      </w:r>
      <w:r>
        <w:rPr>
          <w:color w:val="00AC59"/>
          <w:sz w:val="12"/>
        </w:rPr>
        <w:t>una</w:t>
      </w:r>
      <w:r>
        <w:rPr>
          <w:color w:val="00AC59"/>
          <w:spacing w:val="7"/>
          <w:sz w:val="12"/>
        </w:rPr>
        <w:t xml:space="preserve"> </w:t>
      </w:r>
      <w:r>
        <w:rPr>
          <w:color w:val="00AC59"/>
          <w:sz w:val="12"/>
        </w:rPr>
        <w:t>guía</w:t>
      </w:r>
      <w:r>
        <w:rPr>
          <w:color w:val="00AC59"/>
          <w:spacing w:val="6"/>
          <w:sz w:val="12"/>
        </w:rPr>
        <w:t xml:space="preserve"> </w:t>
      </w:r>
      <w:r>
        <w:rPr>
          <w:color w:val="00AC59"/>
          <w:sz w:val="12"/>
        </w:rPr>
        <w:t>práctica</w:t>
      </w:r>
      <w:r>
        <w:rPr>
          <w:color w:val="00AC59"/>
          <w:spacing w:val="7"/>
          <w:sz w:val="12"/>
        </w:rPr>
        <w:t xml:space="preserve"> </w:t>
      </w:r>
      <w:r>
        <w:rPr>
          <w:color w:val="00AC59"/>
          <w:sz w:val="12"/>
        </w:rPr>
        <w:t>para</w:t>
      </w:r>
      <w:r>
        <w:rPr>
          <w:color w:val="00AC59"/>
          <w:spacing w:val="8"/>
          <w:sz w:val="12"/>
        </w:rPr>
        <w:t xml:space="preserve"> </w:t>
      </w:r>
      <w:r>
        <w:rPr>
          <w:color w:val="00AC59"/>
          <w:sz w:val="12"/>
        </w:rPr>
        <w:t>desarrollar</w:t>
      </w:r>
      <w:r>
        <w:rPr>
          <w:color w:val="00AC59"/>
          <w:spacing w:val="6"/>
          <w:sz w:val="12"/>
        </w:rPr>
        <w:t xml:space="preserve"> </w:t>
      </w:r>
      <w:r>
        <w:rPr>
          <w:color w:val="00AC59"/>
          <w:sz w:val="12"/>
        </w:rPr>
        <w:t>una</w:t>
      </w:r>
      <w:r>
        <w:rPr>
          <w:color w:val="00AC59"/>
          <w:spacing w:val="7"/>
          <w:sz w:val="12"/>
        </w:rPr>
        <w:t xml:space="preserve"> </w:t>
      </w:r>
      <w:r>
        <w:rPr>
          <w:color w:val="00AC59"/>
          <w:sz w:val="12"/>
        </w:rPr>
        <w:t>legislación</w:t>
      </w:r>
      <w:r>
        <w:rPr>
          <w:color w:val="00AC59"/>
          <w:spacing w:val="8"/>
          <w:sz w:val="12"/>
        </w:rPr>
        <w:t xml:space="preserve"> </w:t>
      </w:r>
      <w:r>
        <w:rPr>
          <w:color w:val="00AC59"/>
          <w:sz w:val="12"/>
        </w:rPr>
        <w:t>integral</w:t>
      </w:r>
      <w:r>
        <w:rPr>
          <w:color w:val="00AC59"/>
          <w:spacing w:val="7"/>
          <w:sz w:val="12"/>
        </w:rPr>
        <w:t xml:space="preserve"> </w:t>
      </w:r>
      <w:r>
        <w:rPr>
          <w:color w:val="00AC59"/>
          <w:sz w:val="12"/>
        </w:rPr>
        <w:t>contra</w:t>
      </w:r>
      <w:r>
        <w:rPr>
          <w:color w:val="00AC59"/>
          <w:spacing w:val="6"/>
          <w:sz w:val="12"/>
        </w:rPr>
        <w:t xml:space="preserve"> </w:t>
      </w:r>
      <w:r>
        <w:rPr>
          <w:color w:val="00AC59"/>
          <w:sz w:val="12"/>
        </w:rPr>
        <w:t>la</w:t>
      </w:r>
      <w:r>
        <w:rPr>
          <w:color w:val="00AC59"/>
          <w:spacing w:val="7"/>
          <w:sz w:val="12"/>
        </w:rPr>
        <w:t xml:space="preserve"> </w:t>
      </w:r>
      <w:r>
        <w:rPr>
          <w:color w:val="00AC59"/>
          <w:spacing w:val="-2"/>
          <w:sz w:val="12"/>
        </w:rPr>
        <w:t>discriminación</w:t>
      </w:r>
    </w:p>
    <w:p w14:paraId="64BB1642" w14:textId="77777777" w:rsidR="0014798C" w:rsidRDefault="0014798C">
      <w:pPr>
        <w:pStyle w:val="Textoindependiente"/>
      </w:pPr>
    </w:p>
    <w:p w14:paraId="7851E074" w14:textId="77777777" w:rsidR="0014798C" w:rsidRDefault="0014798C">
      <w:pPr>
        <w:pStyle w:val="Textoindependiente"/>
      </w:pPr>
    </w:p>
    <w:p w14:paraId="781CB35B" w14:textId="77777777" w:rsidR="0014798C" w:rsidRDefault="0014798C">
      <w:pPr>
        <w:pStyle w:val="Textoindependiente"/>
      </w:pPr>
    </w:p>
    <w:p w14:paraId="00199596" w14:textId="77777777" w:rsidR="0014798C" w:rsidRDefault="0014798C">
      <w:pPr>
        <w:pStyle w:val="Textoindependiente"/>
      </w:pPr>
    </w:p>
    <w:p w14:paraId="708C41C7" w14:textId="77777777" w:rsidR="0014798C" w:rsidRDefault="0014798C">
      <w:pPr>
        <w:pStyle w:val="Textoindependiente"/>
        <w:spacing w:before="52"/>
      </w:pPr>
    </w:p>
    <w:p w14:paraId="4FC46887" w14:textId="77777777" w:rsidR="0014798C" w:rsidRDefault="004E1F0B">
      <w:pPr>
        <w:pStyle w:val="Textoindependiente"/>
        <w:spacing w:line="326" w:lineRule="auto"/>
        <w:ind w:left="1337" w:right="2004" w:hanging="4"/>
      </w:pPr>
      <w:r>
        <w:rPr>
          <w:noProof/>
        </w:rPr>
        <w:drawing>
          <wp:anchor distT="0" distB="0" distL="0" distR="0" simplePos="0" relativeHeight="251658403" behindDoc="1" locked="0" layoutInCell="1" allowOverlap="1" wp14:anchorId="691ADF4E" wp14:editId="46F59EEF">
            <wp:simplePos x="0" y="0"/>
            <wp:positionH relativeFrom="page">
              <wp:posOffset>813154</wp:posOffset>
            </wp:positionH>
            <wp:positionV relativeFrom="paragraph">
              <wp:posOffset>-139130</wp:posOffset>
            </wp:positionV>
            <wp:extent cx="5943667" cy="6290694"/>
            <wp:effectExtent l="0" t="0" r="0" b="0"/>
            <wp:wrapNone/>
            <wp:docPr id="152" name="Image 15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52" name="Image 152"/>
                    <pic:cNvPicPr/>
                  </pic:nvPicPr>
                  <pic:blipFill>
                    <a:blip r:embed="rId141" cstate="print"/>
                    <a:stretch>
                      <a:fillRect/>
                    </a:stretch>
                  </pic:blipFill>
                  <pic:spPr>
                    <a:xfrm>
                      <a:off x="0" y="0"/>
                      <a:ext cx="5943667" cy="6290694"/>
                    </a:xfrm>
                    <a:prstGeom prst="rect">
                      <a:avLst/>
                    </a:prstGeom>
                  </pic:spPr>
                </pic:pic>
              </a:graphicData>
            </a:graphic>
          </wp:anchor>
        </w:drawing>
      </w:r>
      <w:r>
        <w:t>la mayor representación femenina en todo el mundo, así como la representación relativamente alta de mujeres en puestos de toma de decisiones, incluso entre los gobernadores provinciales y en el poder judicial”.447</w:t>
      </w:r>
    </w:p>
    <w:p w14:paraId="3CEAE6A0" w14:textId="77777777" w:rsidR="0014798C" w:rsidRDefault="004E1F0B">
      <w:pPr>
        <w:pStyle w:val="Textoindependiente"/>
        <w:spacing w:before="113" w:line="326" w:lineRule="auto"/>
        <w:ind w:left="1329" w:right="1505" w:firstLine="2"/>
      </w:pPr>
      <w:r>
        <w:t>En</w:t>
      </w:r>
      <w:r>
        <w:rPr>
          <w:spacing w:val="18"/>
        </w:rPr>
        <w:t xml:space="preserve"> </w:t>
      </w:r>
      <w:r>
        <w:t>su</w:t>
      </w:r>
      <w:r>
        <w:rPr>
          <w:spacing w:val="18"/>
        </w:rPr>
        <w:t xml:space="preserve"> </w:t>
      </w:r>
      <w:r>
        <w:t>informe</w:t>
      </w:r>
      <w:r>
        <w:rPr>
          <w:spacing w:val="18"/>
        </w:rPr>
        <w:t xml:space="preserve"> </w:t>
      </w:r>
      <w:r>
        <w:t>nacional</w:t>
      </w:r>
      <w:r>
        <w:rPr>
          <w:spacing w:val="18"/>
        </w:rPr>
        <w:t xml:space="preserve"> </w:t>
      </w:r>
      <w:r>
        <w:t>presentado</w:t>
      </w:r>
      <w:r>
        <w:rPr>
          <w:spacing w:val="18"/>
        </w:rPr>
        <w:t xml:space="preserve"> </w:t>
      </w:r>
      <w:r>
        <w:t>como</w:t>
      </w:r>
      <w:r>
        <w:rPr>
          <w:spacing w:val="18"/>
        </w:rPr>
        <w:t xml:space="preserve"> </w:t>
      </w:r>
      <w:r>
        <w:t>parte</w:t>
      </w:r>
      <w:r>
        <w:rPr>
          <w:spacing w:val="18"/>
        </w:rPr>
        <w:t xml:space="preserve"> </w:t>
      </w:r>
      <w:r>
        <w:t>del</w:t>
      </w:r>
      <w:r>
        <w:rPr>
          <w:spacing w:val="18"/>
        </w:rPr>
        <w:t xml:space="preserve"> </w:t>
      </w:r>
      <w:r>
        <w:t>tercer</w:t>
      </w:r>
      <w:r>
        <w:rPr>
          <w:spacing w:val="16"/>
        </w:rPr>
        <w:t xml:space="preserve"> </w:t>
      </w:r>
      <w:r>
        <w:t>ciclo</w:t>
      </w:r>
      <w:r>
        <w:rPr>
          <w:spacing w:val="18"/>
        </w:rPr>
        <w:t xml:space="preserve"> </w:t>
      </w:r>
      <w:r>
        <w:t>del</w:t>
      </w:r>
      <w:r>
        <w:rPr>
          <w:spacing w:val="18"/>
        </w:rPr>
        <w:t xml:space="preserve"> </w:t>
      </w:r>
      <w:r>
        <w:t>examen</w:t>
      </w:r>
      <w:r>
        <w:rPr>
          <w:spacing w:val="18"/>
        </w:rPr>
        <w:t xml:space="preserve"> </w:t>
      </w:r>
      <w:r>
        <w:t>periódico</w:t>
      </w:r>
      <w:r>
        <w:rPr>
          <w:spacing w:val="18"/>
        </w:rPr>
        <w:t xml:space="preserve"> </w:t>
      </w:r>
      <w:r>
        <w:t>universal</w:t>
      </w:r>
      <w:r>
        <w:rPr>
          <w:spacing w:val="18"/>
        </w:rPr>
        <w:t xml:space="preserve"> </w:t>
      </w:r>
      <w:r>
        <w:t>en</w:t>
      </w:r>
      <w:r>
        <w:rPr>
          <w:spacing w:val="18"/>
        </w:rPr>
        <w:t xml:space="preserve"> </w:t>
      </w:r>
      <w:r>
        <w:t>2020,</w:t>
      </w:r>
      <w:r>
        <w:rPr>
          <w:spacing w:val="18"/>
        </w:rPr>
        <w:t xml:space="preserve"> </w:t>
      </w:r>
      <w:r>
        <w:t>Ruanda</w:t>
      </w:r>
      <w:r>
        <w:rPr>
          <w:spacing w:val="18"/>
        </w:rPr>
        <w:t xml:space="preserve"> </w:t>
      </w:r>
      <w:r>
        <w:t>afirmó que: “El empoderamiento y la participación de las mujeres en la toma de decisiones se reflejan principalmente en las proporciones de mujeres en el parlamento, los cargos ministeriales y otros puestos en diversos cargos. estructuras de</w:t>
      </w:r>
      <w:r>
        <w:rPr>
          <w:spacing w:val="40"/>
        </w:rPr>
        <w:t xml:space="preserve"> </w:t>
      </w:r>
      <w:r>
        <w:t>gobernanza tanto en entidades públicas, privadas como de la sociedad civil”. 448 Destacó el impacto de las medidas adoptadas para garantizar la participación de las mujeres en la toma de decisiones: en 2020, la representación de las mujeres en el gabinete alcanzó el 52 por ciento en comparación con el 36,8 por ciento. en 2014.449 Además, en el actual mandato</w:t>
      </w:r>
      <w:r>
        <w:rPr>
          <w:spacing w:val="19"/>
        </w:rPr>
        <w:t xml:space="preserve"> </w:t>
      </w:r>
      <w:r>
        <w:t>parlamentario</w:t>
      </w:r>
      <w:r>
        <w:rPr>
          <w:spacing w:val="19"/>
        </w:rPr>
        <w:t xml:space="preserve"> </w:t>
      </w:r>
      <w:r>
        <w:t>de</w:t>
      </w:r>
      <w:r>
        <w:rPr>
          <w:spacing w:val="19"/>
        </w:rPr>
        <w:t xml:space="preserve"> </w:t>
      </w:r>
      <w:r>
        <w:t>2018-2023,</w:t>
      </w:r>
      <w:r>
        <w:rPr>
          <w:spacing w:val="20"/>
        </w:rPr>
        <w:t xml:space="preserve"> </w:t>
      </w:r>
      <w:r>
        <w:t>las</w:t>
      </w:r>
      <w:r>
        <w:rPr>
          <w:spacing w:val="19"/>
        </w:rPr>
        <w:t xml:space="preserve"> </w:t>
      </w:r>
      <w:r>
        <w:t>mujeres</w:t>
      </w:r>
      <w:r>
        <w:rPr>
          <w:spacing w:val="19"/>
        </w:rPr>
        <w:t xml:space="preserve"> </w:t>
      </w:r>
      <w:r>
        <w:t>parlamentarias</w:t>
      </w:r>
      <w:r>
        <w:rPr>
          <w:spacing w:val="17"/>
        </w:rPr>
        <w:t xml:space="preserve"> </w:t>
      </w:r>
      <w:r>
        <w:t>representan</w:t>
      </w:r>
      <w:r>
        <w:rPr>
          <w:spacing w:val="19"/>
        </w:rPr>
        <w:t xml:space="preserve"> </w:t>
      </w:r>
      <w:r>
        <w:t>el</w:t>
      </w:r>
      <w:r>
        <w:rPr>
          <w:spacing w:val="19"/>
        </w:rPr>
        <w:t xml:space="preserve"> </w:t>
      </w:r>
      <w:r>
        <w:t>61,2</w:t>
      </w:r>
      <w:r>
        <w:rPr>
          <w:spacing w:val="19"/>
        </w:rPr>
        <w:t xml:space="preserve"> </w:t>
      </w:r>
      <w:r>
        <w:t>por</w:t>
      </w:r>
      <w:r>
        <w:rPr>
          <w:spacing w:val="19"/>
        </w:rPr>
        <w:t xml:space="preserve"> </w:t>
      </w:r>
      <w:r>
        <w:t>ciento</w:t>
      </w:r>
      <w:r>
        <w:rPr>
          <w:spacing w:val="19"/>
        </w:rPr>
        <w:t xml:space="preserve"> </w:t>
      </w:r>
      <w:r>
        <w:t>en</w:t>
      </w:r>
      <w:r>
        <w:rPr>
          <w:spacing w:val="19"/>
        </w:rPr>
        <w:t xml:space="preserve"> </w:t>
      </w:r>
      <w:r>
        <w:t>la</w:t>
      </w:r>
      <w:r>
        <w:rPr>
          <w:spacing w:val="19"/>
        </w:rPr>
        <w:t xml:space="preserve"> </w:t>
      </w:r>
      <w:r>
        <w:t>cámara</w:t>
      </w:r>
      <w:r>
        <w:rPr>
          <w:spacing w:val="19"/>
        </w:rPr>
        <w:t xml:space="preserve"> </w:t>
      </w:r>
      <w:r>
        <w:t>baja</w:t>
      </w:r>
      <w:r>
        <w:rPr>
          <w:spacing w:val="19"/>
        </w:rPr>
        <w:t xml:space="preserve"> </w:t>
      </w:r>
      <w:r>
        <w:t>y</w:t>
      </w:r>
      <w:r>
        <w:rPr>
          <w:spacing w:val="19"/>
        </w:rPr>
        <w:t xml:space="preserve"> </w:t>
      </w:r>
      <w:r>
        <w:t>el 38 por ciento en el Senado.450 A niveles descentralizados, la proporción de mujeres en puestos de liderazgo como alcaldesas</w:t>
      </w:r>
      <w:r>
        <w:rPr>
          <w:spacing w:val="14"/>
        </w:rPr>
        <w:t xml:space="preserve"> </w:t>
      </w:r>
      <w:r>
        <w:t>de</w:t>
      </w:r>
      <w:r>
        <w:rPr>
          <w:spacing w:val="15"/>
        </w:rPr>
        <w:t xml:space="preserve"> </w:t>
      </w:r>
      <w:r>
        <w:t>distrito</w:t>
      </w:r>
      <w:r>
        <w:rPr>
          <w:spacing w:val="14"/>
        </w:rPr>
        <w:t xml:space="preserve"> </w:t>
      </w:r>
      <w:r>
        <w:t>mejoró</w:t>
      </w:r>
      <w:r>
        <w:rPr>
          <w:spacing w:val="15"/>
        </w:rPr>
        <w:t xml:space="preserve"> </w:t>
      </w:r>
      <w:r>
        <w:t>desde</w:t>
      </w:r>
      <w:r>
        <w:rPr>
          <w:spacing w:val="15"/>
        </w:rPr>
        <w:t xml:space="preserve"> </w:t>
      </w:r>
      <w:r>
        <w:t>16,7</w:t>
      </w:r>
      <w:r>
        <w:rPr>
          <w:spacing w:val="15"/>
        </w:rPr>
        <w:t xml:space="preserve"> </w:t>
      </w:r>
      <w:r>
        <w:t>por</w:t>
      </w:r>
      <w:r>
        <w:rPr>
          <w:spacing w:val="15"/>
        </w:rPr>
        <w:t xml:space="preserve"> </w:t>
      </w:r>
      <w:r>
        <w:t>ciento</w:t>
      </w:r>
      <w:r>
        <w:rPr>
          <w:spacing w:val="15"/>
        </w:rPr>
        <w:t xml:space="preserve"> </w:t>
      </w:r>
      <w:r>
        <w:t>a</w:t>
      </w:r>
      <w:r>
        <w:rPr>
          <w:spacing w:val="15"/>
        </w:rPr>
        <w:t xml:space="preserve"> </w:t>
      </w:r>
      <w:r>
        <w:t>30</w:t>
      </w:r>
      <w:r>
        <w:rPr>
          <w:spacing w:val="15"/>
        </w:rPr>
        <w:t xml:space="preserve"> </w:t>
      </w:r>
      <w:r>
        <w:t>por</w:t>
      </w:r>
      <w:r>
        <w:rPr>
          <w:spacing w:val="15"/>
        </w:rPr>
        <w:t xml:space="preserve"> </w:t>
      </w:r>
      <w:r>
        <w:t>ciento</w:t>
      </w:r>
      <w:r>
        <w:rPr>
          <w:spacing w:val="15"/>
        </w:rPr>
        <w:t xml:space="preserve"> </w:t>
      </w:r>
      <w:r>
        <w:t>y</w:t>
      </w:r>
      <w:r>
        <w:rPr>
          <w:spacing w:val="15"/>
        </w:rPr>
        <w:t xml:space="preserve"> </w:t>
      </w:r>
      <w:r>
        <w:t>45,6</w:t>
      </w:r>
      <w:r>
        <w:rPr>
          <w:spacing w:val="15"/>
        </w:rPr>
        <w:t xml:space="preserve"> </w:t>
      </w:r>
      <w:r>
        <w:t>por</w:t>
      </w:r>
      <w:r>
        <w:rPr>
          <w:spacing w:val="15"/>
        </w:rPr>
        <w:t xml:space="preserve"> </w:t>
      </w:r>
      <w:r>
        <w:t>ciento</w:t>
      </w:r>
      <w:r>
        <w:rPr>
          <w:spacing w:val="15"/>
        </w:rPr>
        <w:t xml:space="preserve"> </w:t>
      </w:r>
      <w:r>
        <w:t>en</w:t>
      </w:r>
      <w:r>
        <w:rPr>
          <w:spacing w:val="15"/>
        </w:rPr>
        <w:t xml:space="preserve"> </w:t>
      </w:r>
      <w:r>
        <w:t>los</w:t>
      </w:r>
      <w:r>
        <w:rPr>
          <w:spacing w:val="15"/>
        </w:rPr>
        <w:t xml:space="preserve"> </w:t>
      </w:r>
      <w:r>
        <w:t>consejos</w:t>
      </w:r>
      <w:r>
        <w:rPr>
          <w:spacing w:val="15"/>
        </w:rPr>
        <w:t xml:space="preserve"> </w:t>
      </w:r>
      <w:r>
        <w:t>de</w:t>
      </w:r>
      <w:r>
        <w:rPr>
          <w:spacing w:val="15"/>
        </w:rPr>
        <w:t xml:space="preserve"> </w:t>
      </w:r>
      <w:r>
        <w:t>distrito</w:t>
      </w:r>
      <w:r>
        <w:rPr>
          <w:spacing w:val="14"/>
        </w:rPr>
        <w:t xml:space="preserve"> </w:t>
      </w:r>
      <w:r>
        <w:t>entre 2016 y 2018.451 Señaló además que estaba monitoreando el progreso de la representación de las mujeres en el sector privado</w:t>
      </w:r>
      <w:r>
        <w:rPr>
          <w:spacing w:val="22"/>
        </w:rPr>
        <w:t xml:space="preserve"> </w:t>
      </w:r>
      <w:r>
        <w:t>y</w:t>
      </w:r>
      <w:r>
        <w:rPr>
          <w:spacing w:val="22"/>
        </w:rPr>
        <w:t xml:space="preserve"> </w:t>
      </w:r>
      <w:r>
        <w:t>que</w:t>
      </w:r>
      <w:r>
        <w:rPr>
          <w:spacing w:val="22"/>
        </w:rPr>
        <w:t xml:space="preserve"> </w:t>
      </w:r>
      <w:r>
        <w:t>continuarían los</w:t>
      </w:r>
      <w:r>
        <w:rPr>
          <w:spacing w:val="22"/>
        </w:rPr>
        <w:t xml:space="preserve"> </w:t>
      </w:r>
      <w:r>
        <w:t>esfuerzos para</w:t>
      </w:r>
      <w:r>
        <w:rPr>
          <w:spacing w:val="22"/>
        </w:rPr>
        <w:t xml:space="preserve"> </w:t>
      </w:r>
      <w:r>
        <w:t>“aumentar la</w:t>
      </w:r>
      <w:r>
        <w:rPr>
          <w:spacing w:val="22"/>
        </w:rPr>
        <w:t xml:space="preserve"> </w:t>
      </w:r>
      <w:r>
        <w:t>representación</w:t>
      </w:r>
      <w:r>
        <w:rPr>
          <w:spacing w:val="22"/>
        </w:rPr>
        <w:t xml:space="preserve"> </w:t>
      </w:r>
      <w:r>
        <w:t>de</w:t>
      </w:r>
      <w:r>
        <w:rPr>
          <w:spacing w:val="22"/>
        </w:rPr>
        <w:t xml:space="preserve"> </w:t>
      </w:r>
      <w:r>
        <w:t>las</w:t>
      </w:r>
      <w:r>
        <w:rPr>
          <w:spacing w:val="22"/>
        </w:rPr>
        <w:t xml:space="preserve"> </w:t>
      </w:r>
      <w:r>
        <w:t>mujeres</w:t>
      </w:r>
      <w:r>
        <w:rPr>
          <w:spacing w:val="22"/>
        </w:rPr>
        <w:t xml:space="preserve"> </w:t>
      </w:r>
      <w:r>
        <w:t>en</w:t>
      </w:r>
      <w:r>
        <w:rPr>
          <w:spacing w:val="22"/>
        </w:rPr>
        <w:t xml:space="preserve"> </w:t>
      </w:r>
      <w:r>
        <w:t>puestos directivos”.452</w:t>
      </w:r>
    </w:p>
    <w:p w14:paraId="1A9E4AF7" w14:textId="77777777" w:rsidR="0014798C" w:rsidRDefault="0014798C">
      <w:pPr>
        <w:pStyle w:val="Textoindependiente"/>
        <w:spacing w:before="180"/>
        <w:rPr>
          <w:sz w:val="22"/>
        </w:rPr>
      </w:pPr>
    </w:p>
    <w:p w14:paraId="45AE9A1B" w14:textId="77777777" w:rsidR="0014798C" w:rsidRDefault="004E1F0B">
      <w:pPr>
        <w:numPr>
          <w:ilvl w:val="0"/>
          <w:numId w:val="59"/>
        </w:numPr>
        <w:tabs>
          <w:tab w:val="left" w:pos="1384"/>
        </w:tabs>
        <w:ind w:left="1384" w:hanging="249"/>
        <w:rPr>
          <w:color w:val="00AC59"/>
        </w:rPr>
      </w:pPr>
      <w:r>
        <w:rPr>
          <w:color w:val="00AC59"/>
        </w:rPr>
        <w:t>Obligación</w:t>
      </w:r>
      <w:r>
        <w:rPr>
          <w:color w:val="00AC59"/>
          <w:spacing w:val="10"/>
        </w:rPr>
        <w:t xml:space="preserve"> </w:t>
      </w:r>
      <w:r>
        <w:rPr>
          <w:color w:val="00AC59"/>
        </w:rPr>
        <w:t>de</w:t>
      </w:r>
      <w:r>
        <w:rPr>
          <w:color w:val="00AC59"/>
          <w:spacing w:val="11"/>
        </w:rPr>
        <w:t xml:space="preserve"> </w:t>
      </w:r>
      <w:r>
        <w:rPr>
          <w:color w:val="00AC59"/>
        </w:rPr>
        <w:t>adoptar</w:t>
      </w:r>
      <w:r>
        <w:rPr>
          <w:color w:val="00AC59"/>
          <w:spacing w:val="11"/>
        </w:rPr>
        <w:t xml:space="preserve"> </w:t>
      </w:r>
      <w:r>
        <w:rPr>
          <w:color w:val="00AC59"/>
        </w:rPr>
        <w:t>medidas</w:t>
      </w:r>
      <w:r>
        <w:rPr>
          <w:color w:val="00AC59"/>
          <w:spacing w:val="11"/>
        </w:rPr>
        <w:t xml:space="preserve"> </w:t>
      </w:r>
      <w:r>
        <w:rPr>
          <w:color w:val="00AC59"/>
        </w:rPr>
        <w:t>de</w:t>
      </w:r>
      <w:r>
        <w:rPr>
          <w:color w:val="00AC59"/>
          <w:spacing w:val="11"/>
        </w:rPr>
        <w:t xml:space="preserve"> </w:t>
      </w:r>
      <w:r>
        <w:rPr>
          <w:color w:val="00AC59"/>
        </w:rPr>
        <w:t>acción</w:t>
      </w:r>
      <w:r>
        <w:rPr>
          <w:color w:val="00AC59"/>
          <w:spacing w:val="10"/>
        </w:rPr>
        <w:t xml:space="preserve"> </w:t>
      </w:r>
      <w:r>
        <w:rPr>
          <w:color w:val="00AC59"/>
          <w:spacing w:val="-2"/>
        </w:rPr>
        <w:t>positiva</w:t>
      </w:r>
    </w:p>
    <w:p w14:paraId="565AD65F" w14:textId="77777777" w:rsidR="0014798C" w:rsidRDefault="004E1F0B">
      <w:pPr>
        <w:spacing w:before="216" w:line="290" w:lineRule="auto"/>
        <w:ind w:left="1109" w:right="1059" w:hanging="3"/>
        <w:rPr>
          <w:sz w:val="18"/>
        </w:rPr>
      </w:pPr>
      <w:r>
        <w:rPr>
          <w:sz w:val="18"/>
        </w:rPr>
        <w:t>El artículo 1 (4) de la Convención Internacional sobre la Eliminación de todas las Formas de Discriminación Racial prevé</w:t>
      </w:r>
      <w:r>
        <w:rPr>
          <w:spacing w:val="-7"/>
          <w:sz w:val="18"/>
        </w:rPr>
        <w:t xml:space="preserve"> </w:t>
      </w:r>
      <w:r>
        <w:rPr>
          <w:sz w:val="18"/>
        </w:rPr>
        <w:t>la</w:t>
      </w:r>
      <w:r>
        <w:rPr>
          <w:spacing w:val="-7"/>
          <w:sz w:val="18"/>
        </w:rPr>
        <w:t xml:space="preserve"> </w:t>
      </w:r>
      <w:r>
        <w:rPr>
          <w:sz w:val="18"/>
        </w:rPr>
        <w:t>adopción</w:t>
      </w:r>
      <w:r>
        <w:rPr>
          <w:spacing w:val="-7"/>
          <w:sz w:val="18"/>
        </w:rPr>
        <w:t xml:space="preserve"> </w:t>
      </w:r>
      <w:r>
        <w:rPr>
          <w:sz w:val="18"/>
        </w:rPr>
        <w:t>de</w:t>
      </w:r>
      <w:r>
        <w:rPr>
          <w:spacing w:val="-7"/>
          <w:sz w:val="18"/>
        </w:rPr>
        <w:t xml:space="preserve"> </w:t>
      </w:r>
      <w:r>
        <w:rPr>
          <w:sz w:val="18"/>
        </w:rPr>
        <w:t>“medidas</w:t>
      </w:r>
      <w:r>
        <w:rPr>
          <w:spacing w:val="-7"/>
          <w:sz w:val="18"/>
        </w:rPr>
        <w:t xml:space="preserve"> </w:t>
      </w:r>
      <w:r>
        <w:rPr>
          <w:sz w:val="18"/>
        </w:rPr>
        <w:t>especiales”</w:t>
      </w:r>
      <w:r>
        <w:rPr>
          <w:spacing w:val="-7"/>
          <w:sz w:val="18"/>
        </w:rPr>
        <w:t xml:space="preserve"> </w:t>
      </w:r>
      <w:r>
        <w:rPr>
          <w:sz w:val="18"/>
        </w:rPr>
        <w:t>por</w:t>
      </w:r>
      <w:r>
        <w:rPr>
          <w:spacing w:val="-7"/>
          <w:sz w:val="18"/>
        </w:rPr>
        <w:t xml:space="preserve"> </w:t>
      </w:r>
      <w:r>
        <w:rPr>
          <w:sz w:val="18"/>
        </w:rPr>
        <w:t>los</w:t>
      </w:r>
      <w:r>
        <w:rPr>
          <w:spacing w:val="-7"/>
          <w:sz w:val="18"/>
        </w:rPr>
        <w:t xml:space="preserve"> </w:t>
      </w:r>
      <w:r>
        <w:rPr>
          <w:sz w:val="18"/>
        </w:rPr>
        <w:t>Estados</w:t>
      </w:r>
      <w:r>
        <w:rPr>
          <w:spacing w:val="-7"/>
          <w:sz w:val="18"/>
        </w:rPr>
        <w:t xml:space="preserve"> </w:t>
      </w:r>
      <w:r>
        <w:rPr>
          <w:sz w:val="18"/>
        </w:rPr>
        <w:t>para</w:t>
      </w:r>
      <w:r>
        <w:rPr>
          <w:spacing w:val="-7"/>
          <w:sz w:val="18"/>
        </w:rPr>
        <w:t xml:space="preserve"> </w:t>
      </w:r>
      <w:r>
        <w:rPr>
          <w:sz w:val="18"/>
        </w:rPr>
        <w:t>garantizar</w:t>
      </w:r>
      <w:r>
        <w:rPr>
          <w:spacing w:val="-7"/>
          <w:sz w:val="18"/>
        </w:rPr>
        <w:t xml:space="preserve"> </w:t>
      </w:r>
      <w:r>
        <w:rPr>
          <w:sz w:val="18"/>
        </w:rPr>
        <w:t>el</w:t>
      </w:r>
      <w:r>
        <w:rPr>
          <w:spacing w:val="-7"/>
          <w:sz w:val="18"/>
        </w:rPr>
        <w:t xml:space="preserve"> </w:t>
      </w:r>
      <w:r>
        <w:rPr>
          <w:sz w:val="18"/>
        </w:rPr>
        <w:t>disfrute</w:t>
      </w:r>
      <w:r>
        <w:rPr>
          <w:spacing w:val="-7"/>
          <w:sz w:val="18"/>
        </w:rPr>
        <w:t xml:space="preserve"> </w:t>
      </w:r>
      <w:r>
        <w:rPr>
          <w:sz w:val="18"/>
        </w:rPr>
        <w:t>igual</w:t>
      </w:r>
      <w:r>
        <w:rPr>
          <w:spacing w:val="-7"/>
          <w:sz w:val="18"/>
        </w:rPr>
        <w:t xml:space="preserve"> </w:t>
      </w:r>
      <w:r>
        <w:rPr>
          <w:sz w:val="18"/>
        </w:rPr>
        <w:t>de</w:t>
      </w:r>
      <w:r>
        <w:rPr>
          <w:spacing w:val="-7"/>
          <w:sz w:val="18"/>
        </w:rPr>
        <w:t xml:space="preserve"> </w:t>
      </w:r>
      <w:r>
        <w:rPr>
          <w:sz w:val="18"/>
        </w:rPr>
        <w:t>los</w:t>
      </w:r>
      <w:r>
        <w:rPr>
          <w:spacing w:val="-7"/>
          <w:sz w:val="18"/>
        </w:rPr>
        <w:t xml:space="preserve"> </w:t>
      </w:r>
      <w:r>
        <w:rPr>
          <w:sz w:val="18"/>
        </w:rPr>
        <w:t>derechos</w:t>
      </w:r>
      <w:r>
        <w:rPr>
          <w:spacing w:val="-7"/>
          <w:sz w:val="18"/>
        </w:rPr>
        <w:t xml:space="preserve"> </w:t>
      </w:r>
      <w:r>
        <w:rPr>
          <w:sz w:val="18"/>
        </w:rPr>
        <w:t>y</w:t>
      </w:r>
      <w:r>
        <w:rPr>
          <w:spacing w:val="-7"/>
          <w:sz w:val="18"/>
        </w:rPr>
        <w:t xml:space="preserve"> </w:t>
      </w:r>
      <w:r>
        <w:rPr>
          <w:sz w:val="18"/>
        </w:rPr>
        <w:t>libertades.</w:t>
      </w:r>
    </w:p>
    <w:p w14:paraId="75DEEF2C" w14:textId="77777777" w:rsidR="0014798C" w:rsidRDefault="004E1F0B">
      <w:pPr>
        <w:pStyle w:val="Textoindependiente"/>
        <w:spacing w:before="14" w:line="326" w:lineRule="auto"/>
        <w:ind w:left="1103" w:right="1418" w:firstLine="8"/>
      </w:pPr>
      <w:r>
        <w:t>Disposiciones</w:t>
      </w:r>
      <w:r>
        <w:rPr>
          <w:spacing w:val="11"/>
        </w:rPr>
        <w:t xml:space="preserve"> </w:t>
      </w:r>
      <w:r>
        <w:t>similares</w:t>
      </w:r>
      <w:r>
        <w:rPr>
          <w:spacing w:val="12"/>
        </w:rPr>
        <w:t xml:space="preserve"> </w:t>
      </w:r>
      <w:r>
        <w:t>figuran</w:t>
      </w:r>
      <w:r>
        <w:rPr>
          <w:spacing w:val="12"/>
        </w:rPr>
        <w:t xml:space="preserve"> </w:t>
      </w:r>
      <w:r>
        <w:t>en</w:t>
      </w:r>
      <w:r>
        <w:rPr>
          <w:spacing w:val="12"/>
        </w:rPr>
        <w:t xml:space="preserve"> </w:t>
      </w:r>
      <w:r>
        <w:t>la</w:t>
      </w:r>
      <w:r>
        <w:rPr>
          <w:spacing w:val="12"/>
        </w:rPr>
        <w:t xml:space="preserve"> </w:t>
      </w:r>
      <w:r>
        <w:t>Convención</w:t>
      </w:r>
      <w:r>
        <w:rPr>
          <w:spacing w:val="12"/>
        </w:rPr>
        <w:t xml:space="preserve"> </w:t>
      </w:r>
      <w:r>
        <w:t>sobre</w:t>
      </w:r>
      <w:r>
        <w:rPr>
          <w:spacing w:val="12"/>
        </w:rPr>
        <w:t xml:space="preserve"> </w:t>
      </w:r>
      <w:r>
        <w:t>la</w:t>
      </w:r>
      <w:r>
        <w:rPr>
          <w:spacing w:val="12"/>
        </w:rPr>
        <w:t xml:space="preserve"> </w:t>
      </w:r>
      <w:r>
        <w:t>eliminación</w:t>
      </w:r>
      <w:r>
        <w:rPr>
          <w:spacing w:val="12"/>
        </w:rPr>
        <w:t xml:space="preserve"> </w:t>
      </w:r>
      <w:r>
        <w:t>de</w:t>
      </w:r>
      <w:r>
        <w:rPr>
          <w:spacing w:val="12"/>
        </w:rPr>
        <w:t xml:space="preserve"> </w:t>
      </w:r>
      <w:r>
        <w:t>todas</w:t>
      </w:r>
      <w:r>
        <w:rPr>
          <w:spacing w:val="11"/>
        </w:rPr>
        <w:t xml:space="preserve"> </w:t>
      </w:r>
      <w:r>
        <w:t>las</w:t>
      </w:r>
      <w:r>
        <w:rPr>
          <w:spacing w:val="12"/>
        </w:rPr>
        <w:t xml:space="preserve"> </w:t>
      </w:r>
      <w:r>
        <w:t>formas</w:t>
      </w:r>
      <w:r>
        <w:rPr>
          <w:spacing w:val="11"/>
        </w:rPr>
        <w:t xml:space="preserve"> </w:t>
      </w:r>
      <w:r>
        <w:t>de</w:t>
      </w:r>
      <w:r>
        <w:rPr>
          <w:spacing w:val="12"/>
        </w:rPr>
        <w:t xml:space="preserve"> </w:t>
      </w:r>
      <w:r>
        <w:t>discriminación</w:t>
      </w:r>
      <w:r>
        <w:rPr>
          <w:spacing w:val="12"/>
        </w:rPr>
        <w:t xml:space="preserve"> </w:t>
      </w:r>
      <w:r>
        <w:t>contra</w:t>
      </w:r>
      <w:r>
        <w:rPr>
          <w:spacing w:val="12"/>
        </w:rPr>
        <w:t xml:space="preserve"> </w:t>
      </w:r>
      <w:r>
        <w:t>la</w:t>
      </w:r>
      <w:r>
        <w:rPr>
          <w:spacing w:val="12"/>
        </w:rPr>
        <w:t xml:space="preserve"> </w:t>
      </w:r>
      <w:r>
        <w:t>mujer</w:t>
      </w:r>
      <w:r>
        <w:rPr>
          <w:spacing w:val="12"/>
        </w:rPr>
        <w:t xml:space="preserve"> </w:t>
      </w:r>
      <w:r>
        <w:t>y la</w:t>
      </w:r>
      <w:r>
        <w:rPr>
          <w:spacing w:val="16"/>
        </w:rPr>
        <w:t xml:space="preserve"> </w:t>
      </w:r>
      <w:r>
        <w:t>Convención</w:t>
      </w:r>
      <w:r>
        <w:rPr>
          <w:spacing w:val="16"/>
        </w:rPr>
        <w:t xml:space="preserve"> </w:t>
      </w:r>
      <w:r>
        <w:t>sobre</w:t>
      </w:r>
      <w:r>
        <w:rPr>
          <w:spacing w:val="16"/>
        </w:rPr>
        <w:t xml:space="preserve"> </w:t>
      </w:r>
      <w:r>
        <w:t>los</w:t>
      </w:r>
      <w:r>
        <w:rPr>
          <w:spacing w:val="16"/>
        </w:rPr>
        <w:t xml:space="preserve"> </w:t>
      </w:r>
      <w:r>
        <w:t>derechos</w:t>
      </w:r>
      <w:r>
        <w:rPr>
          <w:spacing w:val="16"/>
        </w:rPr>
        <w:t xml:space="preserve"> </w:t>
      </w:r>
      <w:r>
        <w:t>de</w:t>
      </w:r>
      <w:r>
        <w:rPr>
          <w:spacing w:val="16"/>
        </w:rPr>
        <w:t xml:space="preserve"> </w:t>
      </w:r>
      <w:r>
        <w:t>las</w:t>
      </w:r>
      <w:r>
        <w:rPr>
          <w:spacing w:val="16"/>
        </w:rPr>
        <w:t xml:space="preserve"> </w:t>
      </w:r>
      <w:r>
        <w:t>personas</w:t>
      </w:r>
      <w:r>
        <w:rPr>
          <w:spacing w:val="16"/>
        </w:rPr>
        <w:t xml:space="preserve"> </w:t>
      </w:r>
      <w:r>
        <w:t>con</w:t>
      </w:r>
      <w:r>
        <w:rPr>
          <w:spacing w:val="16"/>
        </w:rPr>
        <w:t xml:space="preserve"> </w:t>
      </w:r>
      <w:r>
        <w:t>discapacidad.453</w:t>
      </w:r>
      <w:r>
        <w:rPr>
          <w:spacing w:val="16"/>
        </w:rPr>
        <w:t xml:space="preserve"> </w:t>
      </w:r>
      <w:r>
        <w:t>El</w:t>
      </w:r>
      <w:r>
        <w:rPr>
          <w:spacing w:val="16"/>
        </w:rPr>
        <w:t xml:space="preserve"> </w:t>
      </w:r>
      <w:r>
        <w:t>Comité</w:t>
      </w:r>
      <w:r>
        <w:rPr>
          <w:spacing w:val="16"/>
        </w:rPr>
        <w:t xml:space="preserve"> </w:t>
      </w:r>
      <w:r>
        <w:t>de</w:t>
      </w:r>
      <w:r>
        <w:rPr>
          <w:spacing w:val="16"/>
        </w:rPr>
        <w:t xml:space="preserve"> </w:t>
      </w:r>
      <w:r>
        <w:t>Derechos</w:t>
      </w:r>
      <w:r>
        <w:rPr>
          <w:spacing w:val="16"/>
        </w:rPr>
        <w:t xml:space="preserve"> </w:t>
      </w:r>
      <w:r>
        <w:t>Humanos</w:t>
      </w:r>
      <w:r>
        <w:rPr>
          <w:spacing w:val="16"/>
        </w:rPr>
        <w:t xml:space="preserve"> </w:t>
      </w:r>
      <w:r>
        <w:t>ha</w:t>
      </w:r>
      <w:r>
        <w:rPr>
          <w:spacing w:val="16"/>
        </w:rPr>
        <w:t xml:space="preserve"> </w:t>
      </w:r>
      <w:r>
        <w:t>señalado</w:t>
      </w:r>
      <w:r>
        <w:rPr>
          <w:spacing w:val="16"/>
        </w:rPr>
        <w:t xml:space="preserve"> </w:t>
      </w:r>
      <w:r>
        <w:t>que</w:t>
      </w:r>
    </w:p>
    <w:p w14:paraId="048A6413" w14:textId="77777777" w:rsidR="0014798C" w:rsidRDefault="004E1F0B">
      <w:pPr>
        <w:pStyle w:val="Textoindependiente"/>
        <w:spacing w:line="326" w:lineRule="auto"/>
        <w:ind w:left="1105" w:right="1272" w:firstLine="2"/>
      </w:pPr>
      <w:r>
        <w:t>se</w:t>
      </w:r>
      <w:r>
        <w:rPr>
          <w:spacing w:val="12"/>
        </w:rPr>
        <w:t xml:space="preserve"> </w:t>
      </w:r>
      <w:r>
        <w:t>puede</w:t>
      </w:r>
      <w:r>
        <w:rPr>
          <w:spacing w:val="12"/>
        </w:rPr>
        <w:t xml:space="preserve"> </w:t>
      </w:r>
      <w:r>
        <w:t>exigir</w:t>
      </w:r>
      <w:r>
        <w:rPr>
          <w:spacing w:val="12"/>
        </w:rPr>
        <w:t xml:space="preserve"> </w:t>
      </w:r>
      <w:r>
        <w:t>a</w:t>
      </w:r>
      <w:r>
        <w:rPr>
          <w:spacing w:val="12"/>
        </w:rPr>
        <w:t xml:space="preserve"> </w:t>
      </w:r>
      <w:r>
        <w:t>los</w:t>
      </w:r>
      <w:r>
        <w:rPr>
          <w:spacing w:val="12"/>
        </w:rPr>
        <w:t xml:space="preserve"> </w:t>
      </w:r>
      <w:r>
        <w:t>Estados</w:t>
      </w:r>
      <w:r>
        <w:rPr>
          <w:spacing w:val="10"/>
        </w:rPr>
        <w:t xml:space="preserve"> </w:t>
      </w:r>
      <w:r>
        <w:t>que</w:t>
      </w:r>
      <w:r>
        <w:rPr>
          <w:spacing w:val="12"/>
        </w:rPr>
        <w:t xml:space="preserve"> </w:t>
      </w:r>
      <w:r>
        <w:t>“adopten</w:t>
      </w:r>
      <w:r>
        <w:rPr>
          <w:spacing w:val="12"/>
        </w:rPr>
        <w:t xml:space="preserve"> </w:t>
      </w:r>
      <w:r>
        <w:t>medidas</w:t>
      </w:r>
      <w:r>
        <w:rPr>
          <w:spacing w:val="12"/>
        </w:rPr>
        <w:t xml:space="preserve"> </w:t>
      </w:r>
      <w:r>
        <w:t>afirmativas</w:t>
      </w:r>
      <w:r>
        <w:rPr>
          <w:spacing w:val="10"/>
        </w:rPr>
        <w:t xml:space="preserve"> </w:t>
      </w:r>
      <w:r>
        <w:t>para</w:t>
      </w:r>
      <w:r>
        <w:rPr>
          <w:spacing w:val="12"/>
        </w:rPr>
        <w:t xml:space="preserve"> </w:t>
      </w:r>
      <w:r>
        <w:t>disminuir</w:t>
      </w:r>
      <w:r>
        <w:rPr>
          <w:spacing w:val="12"/>
        </w:rPr>
        <w:t xml:space="preserve"> </w:t>
      </w:r>
      <w:r>
        <w:t>o</w:t>
      </w:r>
      <w:r>
        <w:rPr>
          <w:spacing w:val="12"/>
        </w:rPr>
        <w:t xml:space="preserve"> </w:t>
      </w:r>
      <w:r>
        <w:t>eliminar</w:t>
      </w:r>
      <w:r>
        <w:rPr>
          <w:spacing w:val="12"/>
        </w:rPr>
        <w:t xml:space="preserve"> </w:t>
      </w:r>
      <w:r>
        <w:t>las</w:t>
      </w:r>
      <w:r>
        <w:rPr>
          <w:spacing w:val="12"/>
        </w:rPr>
        <w:t xml:space="preserve"> </w:t>
      </w:r>
      <w:r>
        <w:t>condiciones</w:t>
      </w:r>
      <w:r>
        <w:rPr>
          <w:spacing w:val="10"/>
        </w:rPr>
        <w:t xml:space="preserve"> </w:t>
      </w:r>
      <w:r>
        <w:t>que</w:t>
      </w:r>
      <w:r>
        <w:rPr>
          <w:spacing w:val="12"/>
        </w:rPr>
        <w:t xml:space="preserve"> </w:t>
      </w:r>
      <w:r>
        <w:t>causan</w:t>
      </w:r>
      <w:r>
        <w:rPr>
          <w:spacing w:val="12"/>
        </w:rPr>
        <w:t xml:space="preserve"> </w:t>
      </w:r>
      <w:r>
        <w:t>o</w:t>
      </w:r>
      <w:r>
        <w:rPr>
          <w:spacing w:val="12"/>
        </w:rPr>
        <w:t xml:space="preserve"> </w:t>
      </w:r>
      <w:r>
        <w:t>ayudan a perpetuar la discriminación prohibida por el Pacto”.454 De manera similar, el Comité de Derechos Económicos, Sociales y</w:t>
      </w:r>
      <w:r>
        <w:rPr>
          <w:spacing w:val="40"/>
        </w:rPr>
        <w:t xml:space="preserve"> </w:t>
      </w:r>
      <w:r>
        <w:t>Culturales</w:t>
      </w:r>
      <w:r>
        <w:rPr>
          <w:spacing w:val="18"/>
        </w:rPr>
        <w:t xml:space="preserve"> </w:t>
      </w:r>
      <w:r>
        <w:t>ha</w:t>
      </w:r>
      <w:r>
        <w:rPr>
          <w:spacing w:val="19"/>
        </w:rPr>
        <w:t xml:space="preserve"> </w:t>
      </w:r>
      <w:r>
        <w:t>enfatizado</w:t>
      </w:r>
      <w:r>
        <w:rPr>
          <w:spacing w:val="18"/>
        </w:rPr>
        <w:t xml:space="preserve"> </w:t>
      </w:r>
      <w:r>
        <w:t>que</w:t>
      </w:r>
      <w:r>
        <w:rPr>
          <w:spacing w:val="19"/>
        </w:rPr>
        <w:t xml:space="preserve"> </w:t>
      </w:r>
      <w:r>
        <w:t>el</w:t>
      </w:r>
      <w:r>
        <w:rPr>
          <w:spacing w:val="19"/>
        </w:rPr>
        <w:t xml:space="preserve"> </w:t>
      </w:r>
      <w:r>
        <w:t>artículo</w:t>
      </w:r>
      <w:r>
        <w:rPr>
          <w:spacing w:val="18"/>
        </w:rPr>
        <w:t xml:space="preserve"> </w:t>
      </w:r>
      <w:r>
        <w:t>2</w:t>
      </w:r>
      <w:r>
        <w:rPr>
          <w:spacing w:val="19"/>
        </w:rPr>
        <w:t xml:space="preserve"> </w:t>
      </w:r>
      <w:r>
        <w:t>(2)</w:t>
      </w:r>
      <w:r>
        <w:rPr>
          <w:spacing w:val="19"/>
        </w:rPr>
        <w:t xml:space="preserve"> </w:t>
      </w:r>
      <w:r>
        <w:t>del</w:t>
      </w:r>
      <w:r>
        <w:rPr>
          <w:spacing w:val="19"/>
        </w:rPr>
        <w:t xml:space="preserve"> </w:t>
      </w:r>
      <w:r>
        <w:t>Pacto</w:t>
      </w:r>
      <w:r>
        <w:rPr>
          <w:spacing w:val="18"/>
        </w:rPr>
        <w:t xml:space="preserve"> </w:t>
      </w:r>
      <w:r>
        <w:t>Internacional</w:t>
      </w:r>
      <w:r>
        <w:rPr>
          <w:spacing w:val="19"/>
        </w:rPr>
        <w:t xml:space="preserve"> </w:t>
      </w:r>
      <w:r>
        <w:t>de</w:t>
      </w:r>
      <w:r>
        <w:rPr>
          <w:spacing w:val="19"/>
        </w:rPr>
        <w:t xml:space="preserve"> </w:t>
      </w:r>
      <w:r>
        <w:t>Derechos</w:t>
      </w:r>
      <w:r>
        <w:rPr>
          <w:spacing w:val="19"/>
        </w:rPr>
        <w:t xml:space="preserve"> </w:t>
      </w:r>
      <w:r>
        <w:t>Económicos,</w:t>
      </w:r>
      <w:r>
        <w:rPr>
          <w:spacing w:val="20"/>
        </w:rPr>
        <w:t xml:space="preserve"> </w:t>
      </w:r>
      <w:r>
        <w:t>Sociales</w:t>
      </w:r>
      <w:r>
        <w:rPr>
          <w:spacing w:val="18"/>
        </w:rPr>
        <w:t xml:space="preserve"> </w:t>
      </w:r>
      <w:r>
        <w:t>y</w:t>
      </w:r>
      <w:r>
        <w:rPr>
          <w:spacing w:val="19"/>
        </w:rPr>
        <w:t xml:space="preserve"> </w:t>
      </w:r>
      <w:r>
        <w:t>Culturales</w:t>
      </w:r>
      <w:r>
        <w:rPr>
          <w:spacing w:val="18"/>
        </w:rPr>
        <w:t xml:space="preserve"> </w:t>
      </w:r>
      <w:r>
        <w:t>da</w:t>
      </w:r>
      <w:r>
        <w:rPr>
          <w:spacing w:val="19"/>
        </w:rPr>
        <w:t xml:space="preserve"> </w:t>
      </w:r>
      <w:r>
        <w:t>lugar</w:t>
      </w:r>
    </w:p>
    <w:p w14:paraId="4C2DCE65" w14:textId="77777777" w:rsidR="0014798C" w:rsidRDefault="004E1F0B">
      <w:pPr>
        <w:pStyle w:val="Textoindependiente"/>
        <w:spacing w:line="183" w:lineRule="exact"/>
        <w:ind w:left="1109"/>
      </w:pPr>
      <w:r>
        <w:t>a</w:t>
      </w:r>
      <w:r>
        <w:rPr>
          <w:spacing w:val="8"/>
        </w:rPr>
        <w:t xml:space="preserve"> </w:t>
      </w:r>
      <w:r>
        <w:t>una</w:t>
      </w:r>
      <w:r>
        <w:rPr>
          <w:spacing w:val="8"/>
        </w:rPr>
        <w:t xml:space="preserve"> </w:t>
      </w:r>
      <w:r>
        <w:t>obligación</w:t>
      </w:r>
      <w:r>
        <w:rPr>
          <w:spacing w:val="8"/>
        </w:rPr>
        <w:t xml:space="preserve"> </w:t>
      </w:r>
      <w:r>
        <w:t>de</w:t>
      </w:r>
      <w:r>
        <w:rPr>
          <w:spacing w:val="8"/>
        </w:rPr>
        <w:t xml:space="preserve"> </w:t>
      </w:r>
      <w:r>
        <w:t>“adoptar</w:t>
      </w:r>
      <w:r>
        <w:rPr>
          <w:spacing w:val="7"/>
        </w:rPr>
        <w:t xml:space="preserve"> </w:t>
      </w:r>
      <w:r>
        <w:t>medidas</w:t>
      </w:r>
      <w:r>
        <w:rPr>
          <w:spacing w:val="8"/>
        </w:rPr>
        <w:t xml:space="preserve"> </w:t>
      </w:r>
      <w:r>
        <w:t>especiales</w:t>
      </w:r>
      <w:r>
        <w:rPr>
          <w:spacing w:val="6"/>
        </w:rPr>
        <w:t xml:space="preserve"> </w:t>
      </w:r>
      <w:r>
        <w:t>para</w:t>
      </w:r>
      <w:r>
        <w:rPr>
          <w:spacing w:val="8"/>
        </w:rPr>
        <w:t xml:space="preserve"> </w:t>
      </w:r>
      <w:r>
        <w:t>atenuar</w:t>
      </w:r>
      <w:r>
        <w:rPr>
          <w:spacing w:val="7"/>
        </w:rPr>
        <w:t xml:space="preserve"> </w:t>
      </w:r>
      <w:r>
        <w:t>o</w:t>
      </w:r>
      <w:r>
        <w:rPr>
          <w:spacing w:val="8"/>
        </w:rPr>
        <w:t xml:space="preserve"> </w:t>
      </w:r>
      <w:r>
        <w:t>suprimir</w:t>
      </w:r>
      <w:r>
        <w:rPr>
          <w:spacing w:val="8"/>
        </w:rPr>
        <w:t xml:space="preserve"> </w:t>
      </w:r>
      <w:r>
        <w:t>las</w:t>
      </w:r>
      <w:r>
        <w:rPr>
          <w:spacing w:val="8"/>
        </w:rPr>
        <w:t xml:space="preserve"> </w:t>
      </w:r>
      <w:r>
        <w:t>condiciones</w:t>
      </w:r>
      <w:r>
        <w:rPr>
          <w:spacing w:val="7"/>
        </w:rPr>
        <w:t xml:space="preserve"> </w:t>
      </w:r>
      <w:r>
        <w:t>que</w:t>
      </w:r>
      <w:r>
        <w:rPr>
          <w:spacing w:val="8"/>
        </w:rPr>
        <w:t xml:space="preserve"> </w:t>
      </w:r>
      <w:r>
        <w:t>perpetúan</w:t>
      </w:r>
      <w:r>
        <w:rPr>
          <w:spacing w:val="8"/>
        </w:rPr>
        <w:t xml:space="preserve"> </w:t>
      </w:r>
      <w:r>
        <w:t>la</w:t>
      </w:r>
      <w:r>
        <w:rPr>
          <w:spacing w:val="8"/>
        </w:rPr>
        <w:t xml:space="preserve"> </w:t>
      </w:r>
      <w:r>
        <w:rPr>
          <w:spacing w:val="-2"/>
        </w:rPr>
        <w:t>discriminación”455.</w:t>
      </w:r>
    </w:p>
    <w:p w14:paraId="1453D9F4" w14:textId="77777777" w:rsidR="0014798C" w:rsidRDefault="0014798C">
      <w:pPr>
        <w:pStyle w:val="Textoindependiente"/>
      </w:pPr>
    </w:p>
    <w:p w14:paraId="6FDD1046" w14:textId="77777777" w:rsidR="0014798C" w:rsidRDefault="0014798C">
      <w:pPr>
        <w:pStyle w:val="Textoindependiente"/>
        <w:spacing w:before="135"/>
      </w:pPr>
    </w:p>
    <w:p w14:paraId="0EC634D6" w14:textId="77777777" w:rsidR="0014798C" w:rsidRDefault="004E1F0B">
      <w:pPr>
        <w:spacing w:before="1" w:line="348" w:lineRule="auto"/>
        <w:ind w:left="1106" w:right="1272" w:hanging="1"/>
        <w:rPr>
          <w:sz w:val="16"/>
        </w:rPr>
      </w:pPr>
      <w:r>
        <w:rPr>
          <w:sz w:val="13"/>
        </w:rPr>
        <w:t>Existe un</w:t>
      </w:r>
      <w:r>
        <w:rPr>
          <w:spacing w:val="10"/>
          <w:sz w:val="13"/>
        </w:rPr>
        <w:t xml:space="preserve"> </w:t>
      </w:r>
      <w:r>
        <w:rPr>
          <w:sz w:val="13"/>
        </w:rPr>
        <w:t>claro</w:t>
      </w:r>
      <w:r>
        <w:rPr>
          <w:spacing w:val="10"/>
          <w:sz w:val="13"/>
        </w:rPr>
        <w:t xml:space="preserve"> </w:t>
      </w:r>
      <w:r>
        <w:rPr>
          <w:sz w:val="13"/>
        </w:rPr>
        <w:t>consenso</w:t>
      </w:r>
      <w:r>
        <w:rPr>
          <w:spacing w:val="10"/>
          <w:sz w:val="13"/>
        </w:rPr>
        <w:t xml:space="preserve"> </w:t>
      </w:r>
      <w:r>
        <w:rPr>
          <w:sz w:val="13"/>
        </w:rPr>
        <w:t>entre</w:t>
      </w:r>
      <w:r>
        <w:rPr>
          <w:spacing w:val="10"/>
          <w:sz w:val="13"/>
        </w:rPr>
        <w:t xml:space="preserve"> </w:t>
      </w:r>
      <w:r>
        <w:rPr>
          <w:sz w:val="13"/>
        </w:rPr>
        <w:t>los</w:t>
      </w:r>
      <w:r>
        <w:rPr>
          <w:spacing w:val="10"/>
          <w:sz w:val="13"/>
        </w:rPr>
        <w:t xml:space="preserve"> </w:t>
      </w:r>
      <w:r>
        <w:rPr>
          <w:sz w:val="13"/>
        </w:rPr>
        <w:t>órganos</w:t>
      </w:r>
      <w:r>
        <w:rPr>
          <w:spacing w:val="10"/>
          <w:sz w:val="13"/>
        </w:rPr>
        <w:t xml:space="preserve"> </w:t>
      </w:r>
      <w:r>
        <w:rPr>
          <w:sz w:val="13"/>
        </w:rPr>
        <w:t>creados</w:t>
      </w:r>
      <w:r>
        <w:rPr>
          <w:spacing w:val="10"/>
          <w:sz w:val="13"/>
        </w:rPr>
        <w:t xml:space="preserve"> </w:t>
      </w:r>
      <w:r>
        <w:rPr>
          <w:sz w:val="13"/>
        </w:rPr>
        <w:t>en</w:t>
      </w:r>
      <w:r>
        <w:rPr>
          <w:spacing w:val="10"/>
          <w:sz w:val="13"/>
        </w:rPr>
        <w:t xml:space="preserve"> </w:t>
      </w:r>
      <w:r>
        <w:rPr>
          <w:sz w:val="13"/>
        </w:rPr>
        <w:t>virtud</w:t>
      </w:r>
      <w:r>
        <w:rPr>
          <w:spacing w:val="10"/>
          <w:sz w:val="13"/>
        </w:rPr>
        <w:t xml:space="preserve"> </w:t>
      </w:r>
      <w:r>
        <w:rPr>
          <w:sz w:val="13"/>
        </w:rPr>
        <w:t>de</w:t>
      </w:r>
      <w:r>
        <w:rPr>
          <w:spacing w:val="10"/>
          <w:sz w:val="13"/>
        </w:rPr>
        <w:t xml:space="preserve"> </w:t>
      </w:r>
      <w:r>
        <w:rPr>
          <w:sz w:val="13"/>
        </w:rPr>
        <w:t>tratados en</w:t>
      </w:r>
      <w:r>
        <w:rPr>
          <w:spacing w:val="10"/>
          <w:sz w:val="13"/>
        </w:rPr>
        <w:t xml:space="preserve"> </w:t>
      </w:r>
      <w:r>
        <w:rPr>
          <w:sz w:val="13"/>
        </w:rPr>
        <w:t>el</w:t>
      </w:r>
      <w:r>
        <w:rPr>
          <w:spacing w:val="10"/>
          <w:sz w:val="13"/>
        </w:rPr>
        <w:t xml:space="preserve"> </w:t>
      </w:r>
      <w:r>
        <w:rPr>
          <w:sz w:val="13"/>
        </w:rPr>
        <w:t>sentido</w:t>
      </w:r>
      <w:r>
        <w:rPr>
          <w:spacing w:val="10"/>
          <w:sz w:val="13"/>
        </w:rPr>
        <w:t xml:space="preserve"> </w:t>
      </w:r>
      <w:r>
        <w:rPr>
          <w:sz w:val="13"/>
        </w:rPr>
        <w:t>de</w:t>
      </w:r>
      <w:r>
        <w:rPr>
          <w:spacing w:val="10"/>
          <w:sz w:val="13"/>
        </w:rPr>
        <w:t xml:space="preserve"> </w:t>
      </w:r>
      <w:r>
        <w:rPr>
          <w:sz w:val="13"/>
        </w:rPr>
        <w:t>que</w:t>
      </w:r>
      <w:r>
        <w:rPr>
          <w:spacing w:val="10"/>
          <w:sz w:val="13"/>
        </w:rPr>
        <w:t xml:space="preserve"> </w:t>
      </w:r>
      <w:r>
        <w:rPr>
          <w:sz w:val="13"/>
        </w:rPr>
        <w:t>se</w:t>
      </w:r>
      <w:r>
        <w:rPr>
          <w:spacing w:val="10"/>
          <w:sz w:val="13"/>
        </w:rPr>
        <w:t xml:space="preserve"> </w:t>
      </w:r>
      <w:r>
        <w:rPr>
          <w:sz w:val="13"/>
        </w:rPr>
        <w:t>requiere</w:t>
      </w:r>
      <w:r>
        <w:rPr>
          <w:spacing w:val="10"/>
          <w:sz w:val="13"/>
        </w:rPr>
        <w:t xml:space="preserve"> </w:t>
      </w:r>
      <w:r>
        <w:rPr>
          <w:sz w:val="13"/>
        </w:rPr>
        <w:t>una</w:t>
      </w:r>
      <w:r>
        <w:rPr>
          <w:spacing w:val="10"/>
          <w:sz w:val="13"/>
        </w:rPr>
        <w:t xml:space="preserve"> </w:t>
      </w:r>
      <w:r>
        <w:rPr>
          <w:sz w:val="13"/>
        </w:rPr>
        <w:t>acción</w:t>
      </w:r>
      <w:r>
        <w:rPr>
          <w:spacing w:val="10"/>
          <w:sz w:val="13"/>
        </w:rPr>
        <w:t xml:space="preserve"> </w:t>
      </w:r>
      <w:r>
        <w:rPr>
          <w:sz w:val="13"/>
        </w:rPr>
        <w:t>positiva,</w:t>
      </w:r>
      <w:r>
        <w:rPr>
          <w:spacing w:val="10"/>
          <w:sz w:val="13"/>
        </w:rPr>
        <w:t xml:space="preserve"> </w:t>
      </w:r>
      <w:r>
        <w:rPr>
          <w:sz w:val="13"/>
        </w:rPr>
        <w:t>y</w:t>
      </w:r>
      <w:r>
        <w:rPr>
          <w:spacing w:val="10"/>
          <w:sz w:val="13"/>
        </w:rPr>
        <w:t xml:space="preserve"> </w:t>
      </w:r>
      <w:r>
        <w:rPr>
          <w:sz w:val="13"/>
        </w:rPr>
        <w:t>no</w:t>
      </w:r>
      <w:r>
        <w:rPr>
          <w:spacing w:val="10"/>
          <w:sz w:val="13"/>
        </w:rPr>
        <w:t xml:space="preserve"> </w:t>
      </w:r>
      <w:r>
        <w:rPr>
          <w:sz w:val="13"/>
        </w:rPr>
        <w:t>simplemente</w:t>
      </w:r>
      <w:r>
        <w:rPr>
          <w:spacing w:val="10"/>
          <w:sz w:val="13"/>
        </w:rPr>
        <w:t xml:space="preserve"> </w:t>
      </w:r>
      <w:r>
        <w:rPr>
          <w:sz w:val="13"/>
        </w:rPr>
        <w:t>permisible.</w:t>
      </w:r>
      <w:r>
        <w:rPr>
          <w:spacing w:val="40"/>
          <w:sz w:val="13"/>
        </w:rPr>
        <w:t xml:space="preserve"> </w:t>
      </w:r>
      <w:r>
        <w:rPr>
          <w:sz w:val="16"/>
        </w:rPr>
        <w:t>Como se señaló, tanto el Comité de Derechos Humanos como el Comité de Derechos Económicos, Sociales y Culturales han</w:t>
      </w:r>
      <w:r>
        <w:rPr>
          <w:spacing w:val="40"/>
          <w:sz w:val="16"/>
        </w:rPr>
        <w:t xml:space="preserve"> </w:t>
      </w:r>
      <w:r>
        <w:rPr>
          <w:sz w:val="16"/>
        </w:rPr>
        <w:t>declarado que se requieren medidas de acción positiva en situaciones de desigualdad sustantiva.456 Artículo 2 (2) de la</w:t>
      </w:r>
    </w:p>
    <w:p w14:paraId="64E59C54" w14:textId="77777777" w:rsidR="0014798C" w:rsidRDefault="004E1F0B">
      <w:pPr>
        <w:pStyle w:val="Textoindependiente"/>
        <w:spacing w:line="163" w:lineRule="exact"/>
        <w:ind w:left="1111"/>
      </w:pPr>
      <w:r>
        <w:t>Convención</w:t>
      </w:r>
      <w:r>
        <w:rPr>
          <w:spacing w:val="6"/>
        </w:rPr>
        <w:t xml:space="preserve"> </w:t>
      </w:r>
      <w:r>
        <w:t>Internacional</w:t>
      </w:r>
      <w:r>
        <w:rPr>
          <w:spacing w:val="7"/>
        </w:rPr>
        <w:t xml:space="preserve"> </w:t>
      </w:r>
      <w:r>
        <w:t>sobre</w:t>
      </w:r>
      <w:r>
        <w:rPr>
          <w:spacing w:val="6"/>
        </w:rPr>
        <w:t xml:space="preserve"> </w:t>
      </w:r>
      <w:r>
        <w:t>la</w:t>
      </w:r>
      <w:r>
        <w:rPr>
          <w:spacing w:val="7"/>
        </w:rPr>
        <w:t xml:space="preserve"> </w:t>
      </w:r>
      <w:r>
        <w:t>Eliminación</w:t>
      </w:r>
      <w:r>
        <w:rPr>
          <w:spacing w:val="6"/>
        </w:rPr>
        <w:t xml:space="preserve"> </w:t>
      </w:r>
      <w:r>
        <w:t>de</w:t>
      </w:r>
      <w:r>
        <w:rPr>
          <w:spacing w:val="7"/>
        </w:rPr>
        <w:t xml:space="preserve"> </w:t>
      </w:r>
      <w:r>
        <w:t>todas</w:t>
      </w:r>
      <w:r>
        <w:rPr>
          <w:spacing w:val="5"/>
        </w:rPr>
        <w:t xml:space="preserve"> </w:t>
      </w:r>
      <w:r>
        <w:t>las</w:t>
      </w:r>
      <w:r>
        <w:rPr>
          <w:spacing w:val="7"/>
        </w:rPr>
        <w:t xml:space="preserve"> </w:t>
      </w:r>
      <w:r>
        <w:t>Formas</w:t>
      </w:r>
      <w:r>
        <w:rPr>
          <w:spacing w:val="5"/>
        </w:rPr>
        <w:t xml:space="preserve"> </w:t>
      </w:r>
      <w:r>
        <w:t>de</w:t>
      </w:r>
      <w:r>
        <w:rPr>
          <w:spacing w:val="7"/>
        </w:rPr>
        <w:t xml:space="preserve"> </w:t>
      </w:r>
      <w:r>
        <w:t>Discriminación</w:t>
      </w:r>
      <w:r>
        <w:rPr>
          <w:spacing w:val="6"/>
        </w:rPr>
        <w:t xml:space="preserve"> </w:t>
      </w:r>
      <w:r>
        <w:t>Racial</w:t>
      </w:r>
      <w:r>
        <w:rPr>
          <w:spacing w:val="7"/>
        </w:rPr>
        <w:t xml:space="preserve"> </w:t>
      </w:r>
      <w:r>
        <w:t>Discriminación</w:t>
      </w:r>
      <w:r>
        <w:rPr>
          <w:spacing w:val="6"/>
        </w:rPr>
        <w:t xml:space="preserve"> </w:t>
      </w:r>
      <w:r>
        <w:t>Racial</w:t>
      </w:r>
      <w:r>
        <w:rPr>
          <w:spacing w:val="7"/>
        </w:rPr>
        <w:t xml:space="preserve"> </w:t>
      </w:r>
      <w:r>
        <w:rPr>
          <w:spacing w:val="-2"/>
        </w:rPr>
        <w:t>establece</w:t>
      </w:r>
    </w:p>
    <w:p w14:paraId="57AB3142" w14:textId="77777777" w:rsidR="0014798C" w:rsidRDefault="004E1F0B">
      <w:pPr>
        <w:pStyle w:val="Textoindependiente"/>
        <w:spacing w:before="65" w:line="326" w:lineRule="auto"/>
        <w:ind w:left="1105" w:right="1463" w:firstLine="17"/>
      </w:pPr>
      <w:r>
        <w:t>que los Estados “deberán, cuando las circunstancias así lo justifiquen, adoptar... medidas especiales y concretas” con el fin de</w:t>
      </w:r>
      <w:r>
        <w:rPr>
          <w:spacing w:val="40"/>
        </w:rPr>
        <w:t xml:space="preserve"> </w:t>
      </w:r>
      <w:r>
        <w:t>garantizar el disfrute igualitario de los derechos y libertades” y en su debate sobre la disposición pertinente, el Comité para la</w:t>
      </w:r>
      <w:r>
        <w:rPr>
          <w:spacing w:val="40"/>
        </w:rPr>
        <w:t xml:space="preserve"> </w:t>
      </w:r>
      <w:r>
        <w:t>Eliminación de la Discriminación Racial se refiere a una “obligación” de tomar medidas especiales.457 El Comité para la Eliminación de la Discriminación contra la Mujer ha declarado que “los Estados partes están obligados a adoptar e implementar</w:t>
      </w:r>
      <w:r>
        <w:rPr>
          <w:spacing w:val="40"/>
        </w:rPr>
        <w:t xml:space="preserve"> </w:t>
      </w:r>
      <w:r>
        <w:t>medidas especiales de carácter temporal”.458 Más recientemente, en 2018, el Comité sobre los Derechos de las Mujeres Las</w:t>
      </w:r>
      <w:r>
        <w:rPr>
          <w:spacing w:val="40"/>
        </w:rPr>
        <w:t xml:space="preserve"> </w:t>
      </w:r>
      <w:r>
        <w:t>Personas con Discapacidad afirmaron claramente que “los Estados partes deben tomar medidas positivas”459.</w:t>
      </w:r>
    </w:p>
    <w:p w14:paraId="5D8D9CA6" w14:textId="77777777" w:rsidR="0014798C" w:rsidRDefault="0014798C">
      <w:pPr>
        <w:pStyle w:val="Textoindependiente"/>
        <w:rPr>
          <w:sz w:val="12"/>
        </w:rPr>
      </w:pPr>
    </w:p>
    <w:p w14:paraId="1CBF66D2" w14:textId="77777777" w:rsidR="0014798C" w:rsidRDefault="0014798C">
      <w:pPr>
        <w:pStyle w:val="Textoindependiente"/>
        <w:rPr>
          <w:sz w:val="12"/>
        </w:rPr>
      </w:pPr>
    </w:p>
    <w:p w14:paraId="75D849F2" w14:textId="77777777" w:rsidR="0014798C" w:rsidRDefault="0014798C">
      <w:pPr>
        <w:pStyle w:val="Textoindependiente"/>
        <w:rPr>
          <w:sz w:val="12"/>
        </w:rPr>
      </w:pPr>
    </w:p>
    <w:p w14:paraId="0599C9F2" w14:textId="77777777" w:rsidR="0014798C" w:rsidRDefault="0014798C">
      <w:pPr>
        <w:pStyle w:val="Textoindependiente"/>
        <w:spacing w:before="106"/>
        <w:rPr>
          <w:sz w:val="12"/>
        </w:rPr>
      </w:pPr>
    </w:p>
    <w:p w14:paraId="77E4F44B" w14:textId="77777777" w:rsidR="0014798C" w:rsidRDefault="004E1F0B">
      <w:pPr>
        <w:ind w:left="1105"/>
        <w:rPr>
          <w:sz w:val="12"/>
        </w:rPr>
      </w:pPr>
      <w:r>
        <w:rPr>
          <w:sz w:val="12"/>
        </w:rPr>
        <w:t>447</w:t>
      </w:r>
      <w:r>
        <w:rPr>
          <w:spacing w:val="-2"/>
          <w:sz w:val="12"/>
        </w:rPr>
        <w:t xml:space="preserve"> </w:t>
      </w:r>
      <w:proofErr w:type="spellStart"/>
      <w:r>
        <w:rPr>
          <w:sz w:val="12"/>
        </w:rPr>
        <w:t>Ibíd</w:t>
      </w:r>
      <w:proofErr w:type="spellEnd"/>
      <w:r>
        <w:rPr>
          <w:sz w:val="12"/>
        </w:rPr>
        <w:t>.,</w:t>
      </w:r>
      <w:r>
        <w:rPr>
          <w:spacing w:val="-1"/>
          <w:sz w:val="12"/>
        </w:rPr>
        <w:t xml:space="preserve"> </w:t>
      </w:r>
      <w:r>
        <w:rPr>
          <w:sz w:val="12"/>
        </w:rPr>
        <w:t>párr.</w:t>
      </w:r>
      <w:r>
        <w:rPr>
          <w:spacing w:val="-1"/>
          <w:sz w:val="12"/>
        </w:rPr>
        <w:t xml:space="preserve"> </w:t>
      </w:r>
      <w:r>
        <w:rPr>
          <w:spacing w:val="-5"/>
          <w:sz w:val="12"/>
        </w:rPr>
        <w:t>30.</w:t>
      </w:r>
    </w:p>
    <w:p w14:paraId="257CE7F8" w14:textId="77777777" w:rsidR="0014798C" w:rsidRDefault="0014798C">
      <w:pPr>
        <w:rPr>
          <w:sz w:val="12"/>
        </w:rPr>
        <w:sectPr w:rsidR="0014798C" w:rsidSect="00F265E4">
          <w:pgSz w:w="11900" w:h="16820"/>
          <w:pgMar w:top="340" w:right="0" w:bottom="280" w:left="200" w:header="121" w:footer="0" w:gutter="0"/>
          <w:cols w:space="720"/>
        </w:sectPr>
      </w:pPr>
    </w:p>
    <w:p w14:paraId="43DBDF59" w14:textId="77777777" w:rsidR="0014798C" w:rsidRDefault="004E1F0B">
      <w:pPr>
        <w:spacing w:before="54"/>
        <w:jc w:val="right"/>
        <w:rPr>
          <w:sz w:val="8"/>
        </w:rPr>
      </w:pPr>
      <w:r>
        <w:rPr>
          <w:spacing w:val="-5"/>
          <w:w w:val="105"/>
          <w:sz w:val="8"/>
        </w:rPr>
        <w:t>448</w:t>
      </w:r>
    </w:p>
    <w:p w14:paraId="65143365" w14:textId="77777777" w:rsidR="0014798C" w:rsidRDefault="004E1F0B">
      <w:pPr>
        <w:spacing w:before="86"/>
        <w:ind w:left="79"/>
        <w:rPr>
          <w:sz w:val="14"/>
        </w:rPr>
      </w:pPr>
      <w:r>
        <w:br w:type="column"/>
      </w:r>
      <w:r>
        <w:rPr>
          <w:spacing w:val="-2"/>
          <w:sz w:val="14"/>
        </w:rPr>
        <w:t>A/HRC/WG.6/37/RWA/1,</w:t>
      </w:r>
      <w:r>
        <w:rPr>
          <w:spacing w:val="-4"/>
          <w:sz w:val="14"/>
        </w:rPr>
        <w:t xml:space="preserve"> </w:t>
      </w:r>
      <w:r>
        <w:rPr>
          <w:spacing w:val="-2"/>
          <w:sz w:val="14"/>
        </w:rPr>
        <w:t>párr.</w:t>
      </w:r>
      <w:r>
        <w:rPr>
          <w:spacing w:val="-4"/>
          <w:sz w:val="14"/>
        </w:rPr>
        <w:t xml:space="preserve"> </w:t>
      </w:r>
      <w:r>
        <w:rPr>
          <w:spacing w:val="-5"/>
          <w:sz w:val="14"/>
        </w:rPr>
        <w:t>51.</w:t>
      </w:r>
    </w:p>
    <w:p w14:paraId="53049044" w14:textId="77777777" w:rsidR="0014798C" w:rsidRDefault="0014798C">
      <w:pPr>
        <w:rPr>
          <w:sz w:val="14"/>
        </w:rPr>
        <w:sectPr w:rsidR="0014798C" w:rsidSect="00F265E4">
          <w:type w:val="continuous"/>
          <w:pgSz w:w="11900" w:h="16820"/>
          <w:pgMar w:top="40" w:right="0" w:bottom="280" w:left="200" w:header="121" w:footer="0" w:gutter="0"/>
          <w:cols w:num="2" w:space="720" w:equalWidth="0">
            <w:col w:w="1247" w:space="40"/>
            <w:col w:w="10413"/>
          </w:cols>
        </w:sectPr>
      </w:pPr>
    </w:p>
    <w:p w14:paraId="711F7417" w14:textId="77777777" w:rsidR="0014798C" w:rsidRDefault="004E1F0B">
      <w:pPr>
        <w:pStyle w:val="Prrafodelista"/>
        <w:numPr>
          <w:ilvl w:val="0"/>
          <w:numId w:val="58"/>
        </w:numPr>
        <w:tabs>
          <w:tab w:val="left" w:pos="1340"/>
        </w:tabs>
        <w:spacing w:before="56"/>
        <w:ind w:left="1340" w:hanging="235"/>
        <w:rPr>
          <w:sz w:val="12"/>
        </w:rPr>
      </w:pPr>
      <w:proofErr w:type="spellStart"/>
      <w:r>
        <w:rPr>
          <w:spacing w:val="-2"/>
          <w:sz w:val="12"/>
        </w:rPr>
        <w:t>Ibíd</w:t>
      </w:r>
      <w:proofErr w:type="spellEnd"/>
      <w:r>
        <w:rPr>
          <w:spacing w:val="-2"/>
          <w:sz w:val="12"/>
        </w:rPr>
        <w:t>.</w:t>
      </w:r>
    </w:p>
    <w:p w14:paraId="5EB58C11" w14:textId="77777777" w:rsidR="0014798C" w:rsidRDefault="004E1F0B">
      <w:pPr>
        <w:pStyle w:val="Prrafodelista"/>
        <w:numPr>
          <w:ilvl w:val="0"/>
          <w:numId w:val="58"/>
        </w:numPr>
        <w:tabs>
          <w:tab w:val="left" w:pos="1340"/>
        </w:tabs>
        <w:spacing w:before="99"/>
        <w:ind w:left="1340" w:hanging="235"/>
        <w:rPr>
          <w:sz w:val="12"/>
        </w:rPr>
      </w:pPr>
      <w:proofErr w:type="spellStart"/>
      <w:r>
        <w:rPr>
          <w:spacing w:val="-2"/>
          <w:sz w:val="12"/>
        </w:rPr>
        <w:t>Ibíd</w:t>
      </w:r>
      <w:proofErr w:type="spellEnd"/>
      <w:r>
        <w:rPr>
          <w:spacing w:val="-2"/>
          <w:sz w:val="12"/>
        </w:rPr>
        <w:t>.</w:t>
      </w:r>
    </w:p>
    <w:p w14:paraId="75CB4FCC" w14:textId="77777777" w:rsidR="0014798C" w:rsidRDefault="004E1F0B">
      <w:pPr>
        <w:pStyle w:val="Prrafodelista"/>
        <w:numPr>
          <w:ilvl w:val="0"/>
          <w:numId w:val="58"/>
        </w:numPr>
        <w:tabs>
          <w:tab w:val="left" w:pos="1340"/>
        </w:tabs>
        <w:spacing w:before="98"/>
        <w:ind w:left="1340" w:hanging="235"/>
        <w:rPr>
          <w:sz w:val="12"/>
        </w:rPr>
      </w:pPr>
      <w:proofErr w:type="spellStart"/>
      <w:r>
        <w:rPr>
          <w:spacing w:val="-2"/>
          <w:sz w:val="12"/>
        </w:rPr>
        <w:t>Ibíd</w:t>
      </w:r>
      <w:proofErr w:type="spellEnd"/>
      <w:r>
        <w:rPr>
          <w:spacing w:val="-2"/>
          <w:sz w:val="12"/>
        </w:rPr>
        <w:t>.</w:t>
      </w:r>
    </w:p>
    <w:p w14:paraId="13C14D55" w14:textId="77777777" w:rsidR="0014798C" w:rsidRDefault="004E1F0B">
      <w:pPr>
        <w:pStyle w:val="Prrafodelista"/>
        <w:numPr>
          <w:ilvl w:val="0"/>
          <w:numId w:val="58"/>
        </w:numPr>
        <w:tabs>
          <w:tab w:val="left" w:pos="1340"/>
        </w:tabs>
        <w:spacing w:before="131"/>
        <w:ind w:left="1340" w:hanging="235"/>
        <w:rPr>
          <w:sz w:val="12"/>
        </w:rPr>
      </w:pPr>
      <w:proofErr w:type="spellStart"/>
      <w:r>
        <w:rPr>
          <w:sz w:val="12"/>
        </w:rPr>
        <w:t>Ibíd</w:t>
      </w:r>
      <w:proofErr w:type="spellEnd"/>
      <w:r>
        <w:rPr>
          <w:sz w:val="12"/>
        </w:rPr>
        <w:t>.,</w:t>
      </w:r>
      <w:r>
        <w:rPr>
          <w:spacing w:val="-2"/>
          <w:sz w:val="12"/>
        </w:rPr>
        <w:t xml:space="preserve"> </w:t>
      </w:r>
      <w:r>
        <w:rPr>
          <w:sz w:val="12"/>
        </w:rPr>
        <w:t>párr.</w:t>
      </w:r>
      <w:r>
        <w:rPr>
          <w:spacing w:val="-2"/>
          <w:sz w:val="12"/>
        </w:rPr>
        <w:t xml:space="preserve"> </w:t>
      </w:r>
      <w:r>
        <w:rPr>
          <w:spacing w:val="-5"/>
          <w:sz w:val="12"/>
        </w:rPr>
        <w:t>52.</w:t>
      </w:r>
    </w:p>
    <w:p w14:paraId="79C0720B" w14:textId="77777777" w:rsidR="0014798C" w:rsidRDefault="004E1F0B">
      <w:pPr>
        <w:pStyle w:val="Prrafodelista"/>
        <w:numPr>
          <w:ilvl w:val="0"/>
          <w:numId w:val="58"/>
        </w:numPr>
        <w:tabs>
          <w:tab w:val="left" w:pos="1339"/>
          <w:tab w:val="left" w:pos="1367"/>
        </w:tabs>
        <w:spacing w:before="98" w:line="312" w:lineRule="auto"/>
        <w:ind w:left="1367" w:right="1341" w:hanging="263"/>
        <w:rPr>
          <w:sz w:val="12"/>
        </w:rPr>
      </w:pPr>
      <w:r>
        <w:rPr>
          <w:sz w:val="12"/>
        </w:rPr>
        <w:t>Convención</w:t>
      </w:r>
      <w:r>
        <w:rPr>
          <w:spacing w:val="2"/>
          <w:sz w:val="12"/>
        </w:rPr>
        <w:t xml:space="preserve"> </w:t>
      </w:r>
      <w:r>
        <w:rPr>
          <w:sz w:val="12"/>
        </w:rPr>
        <w:t>sobre</w:t>
      </w:r>
      <w:r>
        <w:rPr>
          <w:spacing w:val="2"/>
          <w:sz w:val="12"/>
        </w:rPr>
        <w:t xml:space="preserve"> </w:t>
      </w:r>
      <w:r>
        <w:rPr>
          <w:sz w:val="12"/>
        </w:rPr>
        <w:t>la</w:t>
      </w:r>
      <w:r>
        <w:rPr>
          <w:spacing w:val="2"/>
          <w:sz w:val="12"/>
        </w:rPr>
        <w:t xml:space="preserve"> </w:t>
      </w:r>
      <w:r>
        <w:rPr>
          <w:sz w:val="12"/>
        </w:rPr>
        <w:t>eliminación</w:t>
      </w:r>
      <w:r>
        <w:rPr>
          <w:spacing w:val="2"/>
          <w:sz w:val="12"/>
        </w:rPr>
        <w:t xml:space="preserve"> </w:t>
      </w:r>
      <w:r>
        <w:rPr>
          <w:sz w:val="12"/>
        </w:rPr>
        <w:t>de</w:t>
      </w:r>
      <w:r>
        <w:rPr>
          <w:spacing w:val="2"/>
          <w:sz w:val="12"/>
        </w:rPr>
        <w:t xml:space="preserve"> </w:t>
      </w:r>
      <w:r>
        <w:rPr>
          <w:sz w:val="12"/>
        </w:rPr>
        <w:t>todas</w:t>
      </w:r>
      <w:r>
        <w:rPr>
          <w:spacing w:val="2"/>
          <w:sz w:val="12"/>
        </w:rPr>
        <w:t xml:space="preserve"> </w:t>
      </w:r>
      <w:r>
        <w:rPr>
          <w:sz w:val="12"/>
        </w:rPr>
        <w:t>las</w:t>
      </w:r>
      <w:r>
        <w:rPr>
          <w:spacing w:val="2"/>
          <w:sz w:val="12"/>
        </w:rPr>
        <w:t xml:space="preserve"> </w:t>
      </w:r>
      <w:r>
        <w:rPr>
          <w:sz w:val="12"/>
        </w:rPr>
        <w:t>formas</w:t>
      </w:r>
      <w:r>
        <w:rPr>
          <w:spacing w:val="2"/>
          <w:sz w:val="12"/>
        </w:rPr>
        <w:t xml:space="preserve"> </w:t>
      </w:r>
      <w:r>
        <w:rPr>
          <w:sz w:val="12"/>
        </w:rPr>
        <w:t>de</w:t>
      </w:r>
      <w:r>
        <w:rPr>
          <w:spacing w:val="2"/>
          <w:sz w:val="12"/>
        </w:rPr>
        <w:t xml:space="preserve"> </w:t>
      </w:r>
      <w:r>
        <w:rPr>
          <w:sz w:val="12"/>
        </w:rPr>
        <w:t>discriminación</w:t>
      </w:r>
      <w:r>
        <w:rPr>
          <w:spacing w:val="2"/>
          <w:sz w:val="12"/>
        </w:rPr>
        <w:t xml:space="preserve"> </w:t>
      </w:r>
      <w:r>
        <w:rPr>
          <w:sz w:val="12"/>
        </w:rPr>
        <w:t>contra</w:t>
      </w:r>
      <w:r>
        <w:rPr>
          <w:spacing w:val="2"/>
          <w:sz w:val="12"/>
        </w:rPr>
        <w:t xml:space="preserve"> </w:t>
      </w:r>
      <w:r>
        <w:rPr>
          <w:sz w:val="12"/>
        </w:rPr>
        <w:t>la</w:t>
      </w:r>
      <w:r>
        <w:rPr>
          <w:spacing w:val="2"/>
          <w:sz w:val="12"/>
        </w:rPr>
        <w:t xml:space="preserve"> </w:t>
      </w:r>
      <w:r>
        <w:rPr>
          <w:sz w:val="12"/>
        </w:rPr>
        <w:t>mujer,</w:t>
      </w:r>
      <w:r>
        <w:rPr>
          <w:spacing w:val="2"/>
          <w:sz w:val="12"/>
        </w:rPr>
        <w:t xml:space="preserve"> </w:t>
      </w:r>
      <w:r>
        <w:rPr>
          <w:sz w:val="12"/>
        </w:rPr>
        <w:t>art.</w:t>
      </w:r>
      <w:r>
        <w:rPr>
          <w:spacing w:val="2"/>
          <w:sz w:val="12"/>
        </w:rPr>
        <w:t xml:space="preserve"> </w:t>
      </w:r>
      <w:r>
        <w:rPr>
          <w:sz w:val="12"/>
        </w:rPr>
        <w:t>4</w:t>
      </w:r>
      <w:r>
        <w:rPr>
          <w:spacing w:val="2"/>
          <w:sz w:val="12"/>
        </w:rPr>
        <w:t xml:space="preserve"> </w:t>
      </w:r>
      <w:r>
        <w:rPr>
          <w:sz w:val="12"/>
        </w:rPr>
        <w:t>(</w:t>
      </w:r>
      <w:proofErr w:type="gramStart"/>
      <w:r>
        <w:rPr>
          <w:sz w:val="12"/>
        </w:rPr>
        <w:t>1);</w:t>
      </w:r>
      <w:proofErr w:type="gramEnd"/>
      <w:r>
        <w:rPr>
          <w:spacing w:val="2"/>
          <w:sz w:val="12"/>
        </w:rPr>
        <w:t xml:space="preserve"> </w:t>
      </w:r>
      <w:r>
        <w:rPr>
          <w:sz w:val="12"/>
        </w:rPr>
        <w:t>y</w:t>
      </w:r>
      <w:r>
        <w:rPr>
          <w:spacing w:val="2"/>
          <w:sz w:val="12"/>
        </w:rPr>
        <w:t xml:space="preserve"> </w:t>
      </w:r>
      <w:r>
        <w:rPr>
          <w:sz w:val="12"/>
        </w:rPr>
        <w:t>Convención</w:t>
      </w:r>
      <w:r>
        <w:rPr>
          <w:spacing w:val="2"/>
          <w:sz w:val="12"/>
        </w:rPr>
        <w:t xml:space="preserve"> </w:t>
      </w:r>
      <w:r>
        <w:rPr>
          <w:sz w:val="12"/>
        </w:rPr>
        <w:t>sobre</w:t>
      </w:r>
      <w:r>
        <w:rPr>
          <w:spacing w:val="2"/>
          <w:sz w:val="12"/>
        </w:rPr>
        <w:t xml:space="preserve"> </w:t>
      </w:r>
      <w:r>
        <w:rPr>
          <w:sz w:val="12"/>
        </w:rPr>
        <w:t>los</w:t>
      </w:r>
      <w:r>
        <w:rPr>
          <w:spacing w:val="2"/>
          <w:sz w:val="12"/>
        </w:rPr>
        <w:t xml:space="preserve"> </w:t>
      </w:r>
      <w:r>
        <w:rPr>
          <w:sz w:val="12"/>
        </w:rPr>
        <w:t>Derechos</w:t>
      </w:r>
      <w:r>
        <w:rPr>
          <w:spacing w:val="2"/>
          <w:sz w:val="12"/>
        </w:rPr>
        <w:t xml:space="preserve"> </w:t>
      </w:r>
      <w:r>
        <w:rPr>
          <w:sz w:val="12"/>
        </w:rPr>
        <w:t>de</w:t>
      </w:r>
      <w:r>
        <w:rPr>
          <w:spacing w:val="2"/>
          <w:sz w:val="12"/>
        </w:rPr>
        <w:t xml:space="preserve"> </w:t>
      </w:r>
      <w:r>
        <w:rPr>
          <w:sz w:val="12"/>
        </w:rPr>
        <w:t>las</w:t>
      </w:r>
      <w:r>
        <w:rPr>
          <w:spacing w:val="2"/>
          <w:sz w:val="12"/>
        </w:rPr>
        <w:t xml:space="preserve"> </w:t>
      </w:r>
      <w:r>
        <w:rPr>
          <w:sz w:val="12"/>
        </w:rPr>
        <w:t>Personas</w:t>
      </w:r>
      <w:r>
        <w:rPr>
          <w:spacing w:val="2"/>
          <w:sz w:val="12"/>
        </w:rPr>
        <w:t xml:space="preserve"> </w:t>
      </w:r>
      <w:r>
        <w:rPr>
          <w:sz w:val="12"/>
        </w:rPr>
        <w:t>con</w:t>
      </w:r>
      <w:r>
        <w:rPr>
          <w:spacing w:val="80"/>
          <w:sz w:val="12"/>
        </w:rPr>
        <w:t xml:space="preserve"> </w:t>
      </w:r>
      <w:r>
        <w:rPr>
          <w:sz w:val="12"/>
        </w:rPr>
        <w:t>Discapacidad,</w:t>
      </w:r>
      <w:r>
        <w:rPr>
          <w:spacing w:val="5"/>
          <w:sz w:val="12"/>
        </w:rPr>
        <w:t xml:space="preserve"> </w:t>
      </w:r>
      <w:r>
        <w:rPr>
          <w:sz w:val="12"/>
        </w:rPr>
        <w:t>art.</w:t>
      </w:r>
      <w:r>
        <w:rPr>
          <w:spacing w:val="4"/>
          <w:sz w:val="12"/>
        </w:rPr>
        <w:t xml:space="preserve"> </w:t>
      </w:r>
      <w:r>
        <w:rPr>
          <w:sz w:val="12"/>
        </w:rPr>
        <w:t>5</w:t>
      </w:r>
      <w:r>
        <w:rPr>
          <w:spacing w:val="4"/>
          <w:sz w:val="12"/>
        </w:rPr>
        <w:t xml:space="preserve"> </w:t>
      </w:r>
      <w:r>
        <w:rPr>
          <w:sz w:val="12"/>
        </w:rPr>
        <w:t>(4).</w:t>
      </w:r>
      <w:r>
        <w:rPr>
          <w:spacing w:val="4"/>
          <w:sz w:val="12"/>
        </w:rPr>
        <w:t xml:space="preserve"> </w:t>
      </w:r>
      <w:r>
        <w:rPr>
          <w:sz w:val="12"/>
        </w:rPr>
        <w:t>Véase</w:t>
      </w:r>
      <w:r>
        <w:rPr>
          <w:spacing w:val="4"/>
          <w:sz w:val="12"/>
        </w:rPr>
        <w:t xml:space="preserve"> </w:t>
      </w:r>
      <w:r>
        <w:rPr>
          <w:sz w:val="12"/>
        </w:rPr>
        <w:t>también</w:t>
      </w:r>
      <w:r>
        <w:rPr>
          <w:spacing w:val="4"/>
          <w:sz w:val="12"/>
        </w:rPr>
        <w:t xml:space="preserve"> </w:t>
      </w:r>
      <w:r>
        <w:rPr>
          <w:sz w:val="12"/>
        </w:rPr>
        <w:t>Convención</w:t>
      </w:r>
      <w:r>
        <w:rPr>
          <w:spacing w:val="4"/>
          <w:sz w:val="12"/>
        </w:rPr>
        <w:t xml:space="preserve"> </w:t>
      </w:r>
      <w:r>
        <w:rPr>
          <w:sz w:val="12"/>
        </w:rPr>
        <w:t>sobre</w:t>
      </w:r>
      <w:r>
        <w:rPr>
          <w:spacing w:val="4"/>
          <w:sz w:val="12"/>
        </w:rPr>
        <w:t xml:space="preserve"> </w:t>
      </w:r>
      <w:r>
        <w:rPr>
          <w:sz w:val="12"/>
        </w:rPr>
        <w:t>los</w:t>
      </w:r>
      <w:r>
        <w:rPr>
          <w:spacing w:val="4"/>
          <w:sz w:val="12"/>
        </w:rPr>
        <w:t xml:space="preserve"> </w:t>
      </w:r>
      <w:r>
        <w:rPr>
          <w:sz w:val="12"/>
        </w:rPr>
        <w:t>Derechos</w:t>
      </w:r>
      <w:r>
        <w:rPr>
          <w:spacing w:val="4"/>
          <w:sz w:val="12"/>
        </w:rPr>
        <w:t xml:space="preserve"> </w:t>
      </w:r>
      <w:r>
        <w:rPr>
          <w:sz w:val="12"/>
        </w:rPr>
        <w:t>de</w:t>
      </w:r>
      <w:r>
        <w:rPr>
          <w:spacing w:val="4"/>
          <w:sz w:val="12"/>
        </w:rPr>
        <w:t xml:space="preserve"> </w:t>
      </w:r>
      <w:r>
        <w:rPr>
          <w:sz w:val="12"/>
        </w:rPr>
        <w:t>las</w:t>
      </w:r>
      <w:r>
        <w:rPr>
          <w:spacing w:val="4"/>
          <w:sz w:val="12"/>
        </w:rPr>
        <w:t xml:space="preserve"> </w:t>
      </w:r>
      <w:r>
        <w:rPr>
          <w:sz w:val="12"/>
        </w:rPr>
        <w:t>Personas</w:t>
      </w:r>
      <w:r>
        <w:rPr>
          <w:spacing w:val="4"/>
          <w:sz w:val="12"/>
        </w:rPr>
        <w:t xml:space="preserve"> </w:t>
      </w:r>
      <w:r>
        <w:rPr>
          <w:sz w:val="12"/>
        </w:rPr>
        <w:t>con</w:t>
      </w:r>
      <w:r>
        <w:rPr>
          <w:spacing w:val="4"/>
          <w:sz w:val="12"/>
        </w:rPr>
        <w:t xml:space="preserve"> </w:t>
      </w:r>
      <w:r>
        <w:rPr>
          <w:sz w:val="12"/>
        </w:rPr>
        <w:t>Discapacidad,</w:t>
      </w:r>
      <w:r>
        <w:rPr>
          <w:spacing w:val="5"/>
          <w:sz w:val="12"/>
        </w:rPr>
        <w:t xml:space="preserve"> </w:t>
      </w:r>
      <w:r>
        <w:rPr>
          <w:sz w:val="12"/>
        </w:rPr>
        <w:t>art.</w:t>
      </w:r>
      <w:r>
        <w:rPr>
          <w:spacing w:val="4"/>
          <w:sz w:val="12"/>
        </w:rPr>
        <w:t xml:space="preserve"> </w:t>
      </w:r>
      <w:r>
        <w:rPr>
          <w:sz w:val="12"/>
        </w:rPr>
        <w:t>27</w:t>
      </w:r>
      <w:r>
        <w:rPr>
          <w:spacing w:val="4"/>
          <w:sz w:val="12"/>
        </w:rPr>
        <w:t xml:space="preserve"> </w:t>
      </w:r>
      <w:r>
        <w:rPr>
          <w:sz w:val="12"/>
        </w:rPr>
        <w:t>(1)</w:t>
      </w:r>
      <w:r>
        <w:rPr>
          <w:spacing w:val="4"/>
          <w:sz w:val="12"/>
        </w:rPr>
        <w:t xml:space="preserve"> </w:t>
      </w:r>
      <w:r>
        <w:rPr>
          <w:sz w:val="12"/>
        </w:rPr>
        <w:t>(h),</w:t>
      </w:r>
      <w:r>
        <w:rPr>
          <w:spacing w:val="4"/>
          <w:sz w:val="12"/>
        </w:rPr>
        <w:t xml:space="preserve"> </w:t>
      </w:r>
      <w:r>
        <w:rPr>
          <w:sz w:val="12"/>
        </w:rPr>
        <w:t>según</w:t>
      </w:r>
      <w:r>
        <w:rPr>
          <w:spacing w:val="4"/>
          <w:sz w:val="12"/>
        </w:rPr>
        <w:t xml:space="preserve"> </w:t>
      </w:r>
      <w:r>
        <w:rPr>
          <w:sz w:val="12"/>
        </w:rPr>
        <w:t>el</w:t>
      </w:r>
      <w:r>
        <w:rPr>
          <w:spacing w:val="4"/>
          <w:sz w:val="12"/>
        </w:rPr>
        <w:t xml:space="preserve"> </w:t>
      </w:r>
      <w:r>
        <w:rPr>
          <w:sz w:val="12"/>
        </w:rPr>
        <w:t>cual</w:t>
      </w:r>
      <w:r>
        <w:rPr>
          <w:spacing w:val="4"/>
          <w:sz w:val="12"/>
        </w:rPr>
        <w:t xml:space="preserve"> </w:t>
      </w:r>
      <w:r>
        <w:rPr>
          <w:sz w:val="12"/>
        </w:rPr>
        <w:t>los</w:t>
      </w:r>
      <w:r>
        <w:rPr>
          <w:spacing w:val="4"/>
          <w:sz w:val="12"/>
        </w:rPr>
        <w:t xml:space="preserve"> </w:t>
      </w:r>
      <w:r>
        <w:rPr>
          <w:sz w:val="12"/>
        </w:rPr>
        <w:t>Estados</w:t>
      </w:r>
      <w:r>
        <w:rPr>
          <w:spacing w:val="4"/>
          <w:sz w:val="12"/>
        </w:rPr>
        <w:t xml:space="preserve"> </w:t>
      </w:r>
      <w:r>
        <w:rPr>
          <w:sz w:val="12"/>
        </w:rPr>
        <w:t>se</w:t>
      </w:r>
      <w:r>
        <w:rPr>
          <w:spacing w:val="4"/>
          <w:sz w:val="12"/>
        </w:rPr>
        <w:t xml:space="preserve"> </w:t>
      </w:r>
      <w:r>
        <w:rPr>
          <w:sz w:val="12"/>
        </w:rPr>
        <w:t>comprometen</w:t>
      </w:r>
      <w:r>
        <w:rPr>
          <w:spacing w:val="40"/>
          <w:sz w:val="12"/>
        </w:rPr>
        <w:t xml:space="preserve"> </w:t>
      </w:r>
      <w:r>
        <w:rPr>
          <w:sz w:val="12"/>
        </w:rPr>
        <w:t>a</w:t>
      </w:r>
      <w:r>
        <w:rPr>
          <w:spacing w:val="7"/>
          <w:sz w:val="12"/>
        </w:rPr>
        <w:t xml:space="preserve"> </w:t>
      </w:r>
      <w:r>
        <w:rPr>
          <w:sz w:val="12"/>
        </w:rPr>
        <w:t>“promover</w:t>
      </w:r>
      <w:r>
        <w:rPr>
          <w:spacing w:val="7"/>
          <w:sz w:val="12"/>
        </w:rPr>
        <w:t xml:space="preserve"> </w:t>
      </w:r>
      <w:r>
        <w:rPr>
          <w:sz w:val="12"/>
        </w:rPr>
        <w:t>el</w:t>
      </w:r>
      <w:r>
        <w:rPr>
          <w:spacing w:val="7"/>
          <w:sz w:val="12"/>
        </w:rPr>
        <w:t xml:space="preserve"> </w:t>
      </w:r>
      <w:r>
        <w:rPr>
          <w:sz w:val="12"/>
        </w:rPr>
        <w:t>empleo</w:t>
      </w:r>
      <w:r>
        <w:rPr>
          <w:spacing w:val="7"/>
          <w:sz w:val="12"/>
        </w:rPr>
        <w:t xml:space="preserve"> </w:t>
      </w:r>
      <w:r>
        <w:rPr>
          <w:sz w:val="12"/>
        </w:rPr>
        <w:t>de</w:t>
      </w:r>
      <w:r>
        <w:rPr>
          <w:spacing w:val="7"/>
          <w:sz w:val="12"/>
        </w:rPr>
        <w:t xml:space="preserve"> </w:t>
      </w:r>
      <w:r>
        <w:rPr>
          <w:sz w:val="12"/>
        </w:rPr>
        <w:t>personas</w:t>
      </w:r>
      <w:r>
        <w:rPr>
          <w:spacing w:val="7"/>
          <w:sz w:val="12"/>
        </w:rPr>
        <w:t xml:space="preserve"> </w:t>
      </w:r>
      <w:r>
        <w:rPr>
          <w:sz w:val="12"/>
        </w:rPr>
        <w:t>con</w:t>
      </w:r>
      <w:r>
        <w:rPr>
          <w:spacing w:val="7"/>
          <w:sz w:val="12"/>
        </w:rPr>
        <w:t xml:space="preserve"> </w:t>
      </w:r>
      <w:r>
        <w:rPr>
          <w:sz w:val="12"/>
        </w:rPr>
        <w:t>discapacidad</w:t>
      </w:r>
      <w:r>
        <w:rPr>
          <w:spacing w:val="7"/>
          <w:sz w:val="12"/>
        </w:rPr>
        <w:t xml:space="preserve"> </w:t>
      </w:r>
      <w:r>
        <w:rPr>
          <w:sz w:val="12"/>
        </w:rPr>
        <w:t>en</w:t>
      </w:r>
      <w:r>
        <w:rPr>
          <w:spacing w:val="7"/>
          <w:sz w:val="12"/>
        </w:rPr>
        <w:t xml:space="preserve"> </w:t>
      </w:r>
      <w:r>
        <w:rPr>
          <w:sz w:val="12"/>
        </w:rPr>
        <w:t>el</w:t>
      </w:r>
      <w:r>
        <w:rPr>
          <w:spacing w:val="7"/>
          <w:sz w:val="12"/>
        </w:rPr>
        <w:t xml:space="preserve"> </w:t>
      </w:r>
      <w:r>
        <w:rPr>
          <w:sz w:val="12"/>
        </w:rPr>
        <w:t>sector</w:t>
      </w:r>
      <w:r>
        <w:rPr>
          <w:spacing w:val="7"/>
          <w:sz w:val="12"/>
        </w:rPr>
        <w:t xml:space="preserve"> </w:t>
      </w:r>
      <w:r>
        <w:rPr>
          <w:sz w:val="12"/>
        </w:rPr>
        <w:t>privado</w:t>
      </w:r>
      <w:r>
        <w:rPr>
          <w:spacing w:val="7"/>
          <w:sz w:val="12"/>
        </w:rPr>
        <w:t xml:space="preserve"> </w:t>
      </w:r>
      <w:r>
        <w:rPr>
          <w:sz w:val="12"/>
        </w:rPr>
        <w:t>mediante</w:t>
      </w:r>
      <w:r>
        <w:rPr>
          <w:spacing w:val="7"/>
          <w:sz w:val="12"/>
        </w:rPr>
        <w:t xml:space="preserve"> </w:t>
      </w:r>
      <w:r>
        <w:rPr>
          <w:sz w:val="12"/>
        </w:rPr>
        <w:t>políticas</w:t>
      </w:r>
      <w:r>
        <w:rPr>
          <w:spacing w:val="7"/>
          <w:sz w:val="12"/>
        </w:rPr>
        <w:t xml:space="preserve"> </w:t>
      </w:r>
      <w:r>
        <w:rPr>
          <w:sz w:val="12"/>
        </w:rPr>
        <w:t>y</w:t>
      </w:r>
      <w:r>
        <w:rPr>
          <w:spacing w:val="7"/>
          <w:sz w:val="12"/>
        </w:rPr>
        <w:t xml:space="preserve"> </w:t>
      </w:r>
      <w:r>
        <w:rPr>
          <w:sz w:val="12"/>
        </w:rPr>
        <w:t>medidas</w:t>
      </w:r>
      <w:r>
        <w:rPr>
          <w:spacing w:val="7"/>
          <w:sz w:val="12"/>
        </w:rPr>
        <w:t xml:space="preserve"> </w:t>
      </w:r>
      <w:r>
        <w:rPr>
          <w:sz w:val="12"/>
        </w:rPr>
        <w:t>apropiadas,</w:t>
      </w:r>
      <w:r>
        <w:rPr>
          <w:spacing w:val="9"/>
          <w:sz w:val="12"/>
        </w:rPr>
        <w:t xml:space="preserve"> </w:t>
      </w:r>
      <w:r>
        <w:rPr>
          <w:sz w:val="12"/>
        </w:rPr>
        <w:t>que</w:t>
      </w:r>
      <w:r>
        <w:rPr>
          <w:spacing w:val="7"/>
          <w:sz w:val="12"/>
        </w:rPr>
        <w:t xml:space="preserve"> </w:t>
      </w:r>
      <w:r>
        <w:rPr>
          <w:sz w:val="12"/>
        </w:rPr>
        <w:t>pueden</w:t>
      </w:r>
      <w:r>
        <w:rPr>
          <w:spacing w:val="7"/>
          <w:sz w:val="12"/>
        </w:rPr>
        <w:t xml:space="preserve"> </w:t>
      </w:r>
      <w:r>
        <w:rPr>
          <w:sz w:val="12"/>
        </w:rPr>
        <w:t>incluir</w:t>
      </w:r>
      <w:r>
        <w:rPr>
          <w:spacing w:val="7"/>
          <w:sz w:val="12"/>
        </w:rPr>
        <w:t xml:space="preserve"> </w:t>
      </w:r>
      <w:r>
        <w:rPr>
          <w:sz w:val="12"/>
        </w:rPr>
        <w:t>programas</w:t>
      </w:r>
      <w:r>
        <w:rPr>
          <w:spacing w:val="7"/>
          <w:sz w:val="12"/>
        </w:rPr>
        <w:t xml:space="preserve"> </w:t>
      </w:r>
      <w:r>
        <w:rPr>
          <w:sz w:val="12"/>
        </w:rPr>
        <w:t>de</w:t>
      </w:r>
      <w:r>
        <w:rPr>
          <w:spacing w:val="7"/>
          <w:sz w:val="12"/>
        </w:rPr>
        <w:t xml:space="preserve"> </w:t>
      </w:r>
      <w:r>
        <w:rPr>
          <w:sz w:val="12"/>
        </w:rPr>
        <w:t>acción</w:t>
      </w:r>
      <w:r>
        <w:rPr>
          <w:spacing w:val="40"/>
          <w:sz w:val="12"/>
        </w:rPr>
        <w:t xml:space="preserve"> </w:t>
      </w:r>
      <w:r>
        <w:rPr>
          <w:sz w:val="12"/>
        </w:rPr>
        <w:t>afirmativa, incentivos y otras medidas”.</w:t>
      </w:r>
    </w:p>
    <w:p w14:paraId="66E40ABA" w14:textId="77777777" w:rsidR="0014798C" w:rsidRDefault="004E1F0B">
      <w:pPr>
        <w:pStyle w:val="Prrafodelista"/>
        <w:numPr>
          <w:ilvl w:val="0"/>
          <w:numId w:val="58"/>
        </w:numPr>
        <w:tabs>
          <w:tab w:val="left" w:pos="1340"/>
        </w:tabs>
        <w:spacing w:before="58"/>
        <w:ind w:left="1340" w:hanging="235"/>
        <w:rPr>
          <w:sz w:val="12"/>
        </w:rPr>
      </w:pPr>
      <w:r>
        <w:rPr>
          <w:sz w:val="12"/>
        </w:rPr>
        <w:t>Comité</w:t>
      </w:r>
      <w:r>
        <w:rPr>
          <w:spacing w:val="-1"/>
          <w:sz w:val="12"/>
        </w:rPr>
        <w:t xml:space="preserve"> </w:t>
      </w:r>
      <w:r>
        <w:rPr>
          <w:sz w:val="12"/>
        </w:rPr>
        <w:t>de</w:t>
      </w:r>
      <w:r>
        <w:rPr>
          <w:spacing w:val="-1"/>
          <w:sz w:val="12"/>
        </w:rPr>
        <w:t xml:space="preserve"> </w:t>
      </w:r>
      <w:r>
        <w:rPr>
          <w:sz w:val="12"/>
        </w:rPr>
        <w:t>Derechos Humanos, observación</w:t>
      </w:r>
      <w:r>
        <w:rPr>
          <w:spacing w:val="-1"/>
          <w:sz w:val="12"/>
        </w:rPr>
        <w:t xml:space="preserve"> </w:t>
      </w:r>
      <w:r>
        <w:rPr>
          <w:sz w:val="12"/>
        </w:rPr>
        <w:t>general núm.</w:t>
      </w:r>
      <w:r>
        <w:rPr>
          <w:spacing w:val="-1"/>
          <w:sz w:val="12"/>
        </w:rPr>
        <w:t xml:space="preserve"> </w:t>
      </w:r>
      <w:r>
        <w:rPr>
          <w:sz w:val="12"/>
        </w:rPr>
        <w:t>18</w:t>
      </w:r>
      <w:r>
        <w:rPr>
          <w:spacing w:val="-1"/>
          <w:sz w:val="12"/>
        </w:rPr>
        <w:t xml:space="preserve"> </w:t>
      </w:r>
      <w:r>
        <w:rPr>
          <w:sz w:val="12"/>
        </w:rPr>
        <w:t>(1989), párr.</w:t>
      </w:r>
      <w:r>
        <w:rPr>
          <w:spacing w:val="-1"/>
          <w:sz w:val="12"/>
        </w:rPr>
        <w:t xml:space="preserve"> </w:t>
      </w:r>
      <w:r>
        <w:rPr>
          <w:spacing w:val="-5"/>
          <w:sz w:val="12"/>
        </w:rPr>
        <w:t>10.</w:t>
      </w:r>
    </w:p>
    <w:p w14:paraId="557C6FCA" w14:textId="77777777" w:rsidR="0014798C" w:rsidRDefault="004E1F0B">
      <w:pPr>
        <w:pStyle w:val="Prrafodelista"/>
        <w:numPr>
          <w:ilvl w:val="0"/>
          <w:numId w:val="58"/>
        </w:numPr>
        <w:tabs>
          <w:tab w:val="left" w:pos="1340"/>
        </w:tabs>
        <w:spacing w:before="99"/>
        <w:ind w:left="1340" w:hanging="235"/>
        <w:rPr>
          <w:sz w:val="12"/>
        </w:rPr>
      </w:pPr>
      <w:r>
        <w:rPr>
          <w:sz w:val="12"/>
        </w:rPr>
        <w:t>Comité</w:t>
      </w:r>
      <w:r>
        <w:rPr>
          <w:spacing w:val="-1"/>
          <w:sz w:val="12"/>
        </w:rPr>
        <w:t xml:space="preserve"> </w:t>
      </w:r>
      <w:r>
        <w:rPr>
          <w:sz w:val="12"/>
        </w:rPr>
        <w:t>de</w:t>
      </w:r>
      <w:r>
        <w:rPr>
          <w:spacing w:val="-1"/>
          <w:sz w:val="12"/>
        </w:rPr>
        <w:t xml:space="preserve"> </w:t>
      </w:r>
      <w:r>
        <w:rPr>
          <w:sz w:val="12"/>
        </w:rPr>
        <w:t>Derechos Económicos, Sociales y</w:t>
      </w:r>
      <w:r>
        <w:rPr>
          <w:spacing w:val="-1"/>
          <w:sz w:val="12"/>
        </w:rPr>
        <w:t xml:space="preserve"> </w:t>
      </w:r>
      <w:r>
        <w:rPr>
          <w:sz w:val="12"/>
        </w:rPr>
        <w:t>Culturales,</w:t>
      </w:r>
      <w:r>
        <w:rPr>
          <w:spacing w:val="1"/>
          <w:sz w:val="12"/>
        </w:rPr>
        <w:t xml:space="preserve"> </w:t>
      </w:r>
      <w:r>
        <w:rPr>
          <w:sz w:val="12"/>
        </w:rPr>
        <w:t>observación</w:t>
      </w:r>
      <w:r>
        <w:rPr>
          <w:spacing w:val="-1"/>
          <w:sz w:val="12"/>
        </w:rPr>
        <w:t xml:space="preserve"> </w:t>
      </w:r>
      <w:r>
        <w:rPr>
          <w:sz w:val="12"/>
        </w:rPr>
        <w:t>general</w:t>
      </w:r>
      <w:r>
        <w:rPr>
          <w:spacing w:val="-1"/>
          <w:sz w:val="12"/>
        </w:rPr>
        <w:t xml:space="preserve"> </w:t>
      </w:r>
      <w:r>
        <w:rPr>
          <w:sz w:val="12"/>
        </w:rPr>
        <w:t>núm. 20</w:t>
      </w:r>
      <w:r>
        <w:rPr>
          <w:spacing w:val="-1"/>
          <w:sz w:val="12"/>
        </w:rPr>
        <w:t xml:space="preserve"> </w:t>
      </w:r>
      <w:r>
        <w:rPr>
          <w:sz w:val="12"/>
        </w:rPr>
        <w:t>(2009), párr.</w:t>
      </w:r>
      <w:r>
        <w:rPr>
          <w:spacing w:val="-1"/>
          <w:sz w:val="12"/>
        </w:rPr>
        <w:t xml:space="preserve"> </w:t>
      </w:r>
      <w:r>
        <w:rPr>
          <w:spacing w:val="-5"/>
          <w:sz w:val="12"/>
        </w:rPr>
        <w:t>9.</w:t>
      </w:r>
    </w:p>
    <w:p w14:paraId="21D979A4" w14:textId="77777777" w:rsidR="0014798C" w:rsidRDefault="004E1F0B">
      <w:pPr>
        <w:pStyle w:val="Prrafodelista"/>
        <w:numPr>
          <w:ilvl w:val="0"/>
          <w:numId w:val="58"/>
        </w:numPr>
        <w:tabs>
          <w:tab w:val="left" w:pos="1340"/>
        </w:tabs>
        <w:spacing w:before="98"/>
        <w:ind w:left="1340" w:hanging="235"/>
        <w:rPr>
          <w:sz w:val="12"/>
        </w:rPr>
      </w:pPr>
      <w:r>
        <w:rPr>
          <w:sz w:val="12"/>
        </w:rPr>
        <w:t>Comité</w:t>
      </w:r>
      <w:r>
        <w:rPr>
          <w:spacing w:val="-5"/>
          <w:sz w:val="12"/>
        </w:rPr>
        <w:t xml:space="preserve"> </w:t>
      </w:r>
      <w:r>
        <w:rPr>
          <w:sz w:val="12"/>
        </w:rPr>
        <w:t>de</w:t>
      </w:r>
      <w:r>
        <w:rPr>
          <w:spacing w:val="-5"/>
          <w:sz w:val="12"/>
        </w:rPr>
        <w:t xml:space="preserve"> </w:t>
      </w:r>
      <w:r>
        <w:rPr>
          <w:sz w:val="12"/>
        </w:rPr>
        <w:t>Derechos</w:t>
      </w:r>
      <w:r>
        <w:rPr>
          <w:spacing w:val="-5"/>
          <w:sz w:val="12"/>
        </w:rPr>
        <w:t xml:space="preserve"> </w:t>
      </w:r>
      <w:r>
        <w:rPr>
          <w:sz w:val="12"/>
        </w:rPr>
        <w:t>Humanos,</w:t>
      </w:r>
      <w:r>
        <w:rPr>
          <w:spacing w:val="-4"/>
          <w:sz w:val="12"/>
        </w:rPr>
        <w:t xml:space="preserve"> </w:t>
      </w:r>
      <w:r>
        <w:rPr>
          <w:sz w:val="12"/>
        </w:rPr>
        <w:t>observación</w:t>
      </w:r>
      <w:r>
        <w:rPr>
          <w:spacing w:val="-5"/>
          <w:sz w:val="12"/>
        </w:rPr>
        <w:t xml:space="preserve"> </w:t>
      </w:r>
      <w:r>
        <w:rPr>
          <w:sz w:val="12"/>
        </w:rPr>
        <w:t>general</w:t>
      </w:r>
      <w:r>
        <w:rPr>
          <w:spacing w:val="-5"/>
          <w:sz w:val="12"/>
        </w:rPr>
        <w:t xml:space="preserve"> </w:t>
      </w:r>
      <w:r>
        <w:rPr>
          <w:sz w:val="12"/>
        </w:rPr>
        <w:t>núm.</w:t>
      </w:r>
      <w:r>
        <w:rPr>
          <w:spacing w:val="-4"/>
          <w:sz w:val="12"/>
        </w:rPr>
        <w:t xml:space="preserve"> </w:t>
      </w:r>
      <w:r>
        <w:rPr>
          <w:sz w:val="12"/>
        </w:rPr>
        <w:t>18</w:t>
      </w:r>
      <w:r>
        <w:rPr>
          <w:spacing w:val="-5"/>
          <w:sz w:val="12"/>
        </w:rPr>
        <w:t xml:space="preserve"> </w:t>
      </w:r>
      <w:r>
        <w:rPr>
          <w:sz w:val="12"/>
        </w:rPr>
        <w:t>(1989),</w:t>
      </w:r>
      <w:r>
        <w:rPr>
          <w:spacing w:val="-5"/>
          <w:sz w:val="12"/>
        </w:rPr>
        <w:t xml:space="preserve"> </w:t>
      </w:r>
      <w:r>
        <w:rPr>
          <w:sz w:val="12"/>
        </w:rPr>
        <w:t>párr.</w:t>
      </w:r>
      <w:r>
        <w:rPr>
          <w:spacing w:val="-5"/>
          <w:sz w:val="12"/>
        </w:rPr>
        <w:t xml:space="preserve"> </w:t>
      </w:r>
      <w:r>
        <w:rPr>
          <w:sz w:val="12"/>
        </w:rPr>
        <w:t>10;</w:t>
      </w:r>
      <w:r>
        <w:rPr>
          <w:spacing w:val="-5"/>
          <w:sz w:val="12"/>
        </w:rPr>
        <w:t xml:space="preserve"> </w:t>
      </w:r>
      <w:r>
        <w:rPr>
          <w:sz w:val="12"/>
        </w:rPr>
        <w:t>y</w:t>
      </w:r>
      <w:r>
        <w:rPr>
          <w:spacing w:val="-5"/>
          <w:sz w:val="12"/>
        </w:rPr>
        <w:t xml:space="preserve"> </w:t>
      </w:r>
      <w:r>
        <w:rPr>
          <w:sz w:val="12"/>
        </w:rPr>
        <w:t>Comité</w:t>
      </w:r>
      <w:r>
        <w:rPr>
          <w:spacing w:val="-4"/>
          <w:sz w:val="12"/>
        </w:rPr>
        <w:t xml:space="preserve"> </w:t>
      </w:r>
      <w:r>
        <w:rPr>
          <w:sz w:val="12"/>
        </w:rPr>
        <w:t>de</w:t>
      </w:r>
      <w:r>
        <w:rPr>
          <w:spacing w:val="-5"/>
          <w:sz w:val="12"/>
        </w:rPr>
        <w:t xml:space="preserve"> </w:t>
      </w:r>
      <w:r>
        <w:rPr>
          <w:sz w:val="12"/>
        </w:rPr>
        <w:t>Derechos</w:t>
      </w:r>
      <w:r>
        <w:rPr>
          <w:spacing w:val="-5"/>
          <w:sz w:val="12"/>
        </w:rPr>
        <w:t xml:space="preserve"> </w:t>
      </w:r>
      <w:r>
        <w:rPr>
          <w:sz w:val="12"/>
        </w:rPr>
        <w:t>Económicos,</w:t>
      </w:r>
      <w:r>
        <w:rPr>
          <w:spacing w:val="-4"/>
          <w:sz w:val="12"/>
        </w:rPr>
        <w:t xml:space="preserve"> </w:t>
      </w:r>
      <w:r>
        <w:rPr>
          <w:sz w:val="12"/>
        </w:rPr>
        <w:t>Sociales</w:t>
      </w:r>
      <w:r>
        <w:rPr>
          <w:spacing w:val="-5"/>
          <w:sz w:val="12"/>
        </w:rPr>
        <w:t xml:space="preserve"> </w:t>
      </w:r>
      <w:r>
        <w:rPr>
          <w:sz w:val="12"/>
        </w:rPr>
        <w:t>y</w:t>
      </w:r>
      <w:r>
        <w:rPr>
          <w:spacing w:val="-5"/>
          <w:sz w:val="12"/>
        </w:rPr>
        <w:t xml:space="preserve"> </w:t>
      </w:r>
      <w:r>
        <w:rPr>
          <w:sz w:val="12"/>
        </w:rPr>
        <w:t>Culturales,</w:t>
      </w:r>
      <w:r>
        <w:rPr>
          <w:spacing w:val="-4"/>
          <w:sz w:val="12"/>
        </w:rPr>
        <w:t xml:space="preserve"> </w:t>
      </w:r>
      <w:r>
        <w:rPr>
          <w:spacing w:val="-2"/>
          <w:sz w:val="12"/>
        </w:rPr>
        <w:t>general</w:t>
      </w:r>
    </w:p>
    <w:p w14:paraId="2F1C5994" w14:textId="77777777" w:rsidR="0014798C" w:rsidRDefault="004E1F0B">
      <w:pPr>
        <w:spacing w:before="29" w:line="268" w:lineRule="auto"/>
        <w:ind w:left="1366" w:right="1272"/>
        <w:rPr>
          <w:sz w:val="14"/>
        </w:rPr>
      </w:pPr>
      <w:r>
        <w:rPr>
          <w:sz w:val="14"/>
        </w:rPr>
        <w:t>comentario</w:t>
      </w:r>
      <w:r>
        <w:rPr>
          <w:spacing w:val="-8"/>
          <w:sz w:val="14"/>
        </w:rPr>
        <w:t xml:space="preserve"> </w:t>
      </w:r>
      <w:r>
        <w:rPr>
          <w:sz w:val="14"/>
        </w:rPr>
        <w:t>núm.</w:t>
      </w:r>
      <w:r>
        <w:rPr>
          <w:spacing w:val="-8"/>
          <w:sz w:val="14"/>
        </w:rPr>
        <w:t xml:space="preserve"> </w:t>
      </w:r>
      <w:r>
        <w:rPr>
          <w:sz w:val="14"/>
        </w:rPr>
        <w:t>20</w:t>
      </w:r>
      <w:r>
        <w:rPr>
          <w:spacing w:val="-8"/>
          <w:sz w:val="14"/>
        </w:rPr>
        <w:t xml:space="preserve"> </w:t>
      </w:r>
      <w:r>
        <w:rPr>
          <w:sz w:val="14"/>
        </w:rPr>
        <w:t>(2009),</w:t>
      </w:r>
      <w:r>
        <w:rPr>
          <w:spacing w:val="-8"/>
          <w:sz w:val="14"/>
        </w:rPr>
        <w:t xml:space="preserve"> </w:t>
      </w:r>
      <w:r>
        <w:rPr>
          <w:sz w:val="14"/>
        </w:rPr>
        <w:t>párr.</w:t>
      </w:r>
      <w:r>
        <w:rPr>
          <w:spacing w:val="-8"/>
          <w:sz w:val="14"/>
        </w:rPr>
        <w:t xml:space="preserve"> </w:t>
      </w:r>
      <w:r>
        <w:rPr>
          <w:sz w:val="14"/>
        </w:rPr>
        <w:t>9,</w:t>
      </w:r>
      <w:r>
        <w:rPr>
          <w:spacing w:val="-8"/>
          <w:sz w:val="14"/>
        </w:rPr>
        <w:t xml:space="preserve"> </w:t>
      </w:r>
      <w:r>
        <w:rPr>
          <w:sz w:val="14"/>
        </w:rPr>
        <w:t>que</w:t>
      </w:r>
      <w:r>
        <w:rPr>
          <w:spacing w:val="-8"/>
          <w:sz w:val="14"/>
        </w:rPr>
        <w:t xml:space="preserve"> </w:t>
      </w:r>
      <w:r>
        <w:rPr>
          <w:sz w:val="14"/>
        </w:rPr>
        <w:t>establece</w:t>
      </w:r>
      <w:r>
        <w:rPr>
          <w:spacing w:val="-8"/>
          <w:sz w:val="14"/>
        </w:rPr>
        <w:t xml:space="preserve"> </w:t>
      </w:r>
      <w:r>
        <w:rPr>
          <w:sz w:val="14"/>
        </w:rPr>
        <w:t>que</w:t>
      </w:r>
      <w:r>
        <w:rPr>
          <w:spacing w:val="-8"/>
          <w:sz w:val="14"/>
        </w:rPr>
        <w:t xml:space="preserve"> </w:t>
      </w:r>
      <w:r>
        <w:rPr>
          <w:sz w:val="14"/>
        </w:rPr>
        <w:t>“a</w:t>
      </w:r>
      <w:r>
        <w:rPr>
          <w:spacing w:val="-8"/>
          <w:sz w:val="14"/>
        </w:rPr>
        <w:t xml:space="preserve"> </w:t>
      </w:r>
      <w:r>
        <w:rPr>
          <w:sz w:val="14"/>
        </w:rPr>
        <w:t>fin</w:t>
      </w:r>
      <w:r>
        <w:rPr>
          <w:spacing w:val="-8"/>
          <w:sz w:val="14"/>
        </w:rPr>
        <w:t xml:space="preserve"> </w:t>
      </w:r>
      <w:r>
        <w:rPr>
          <w:sz w:val="14"/>
        </w:rPr>
        <w:t>de</w:t>
      </w:r>
      <w:r>
        <w:rPr>
          <w:spacing w:val="-8"/>
          <w:sz w:val="14"/>
        </w:rPr>
        <w:t xml:space="preserve"> </w:t>
      </w:r>
      <w:r>
        <w:rPr>
          <w:sz w:val="14"/>
        </w:rPr>
        <w:t>eliminar</w:t>
      </w:r>
      <w:r>
        <w:rPr>
          <w:spacing w:val="-8"/>
          <w:sz w:val="14"/>
        </w:rPr>
        <w:t xml:space="preserve"> </w:t>
      </w:r>
      <w:r>
        <w:rPr>
          <w:sz w:val="14"/>
        </w:rPr>
        <w:t>la</w:t>
      </w:r>
      <w:r>
        <w:rPr>
          <w:spacing w:val="-8"/>
          <w:sz w:val="14"/>
        </w:rPr>
        <w:t xml:space="preserve"> </w:t>
      </w:r>
      <w:r>
        <w:rPr>
          <w:sz w:val="14"/>
        </w:rPr>
        <w:t>discriminación</w:t>
      </w:r>
      <w:r>
        <w:rPr>
          <w:spacing w:val="-8"/>
          <w:sz w:val="14"/>
        </w:rPr>
        <w:t xml:space="preserve"> </w:t>
      </w:r>
      <w:r>
        <w:rPr>
          <w:sz w:val="14"/>
        </w:rPr>
        <w:t>sustantiva,</w:t>
      </w:r>
      <w:r>
        <w:rPr>
          <w:spacing w:val="-7"/>
          <w:sz w:val="14"/>
        </w:rPr>
        <w:t xml:space="preserve"> </w:t>
      </w:r>
      <w:r>
        <w:rPr>
          <w:sz w:val="14"/>
        </w:rPr>
        <w:t>los</w:t>
      </w:r>
      <w:r>
        <w:rPr>
          <w:spacing w:val="-8"/>
          <w:sz w:val="14"/>
        </w:rPr>
        <w:t xml:space="preserve"> </w:t>
      </w:r>
      <w:proofErr w:type="gramStart"/>
      <w:r>
        <w:rPr>
          <w:sz w:val="14"/>
        </w:rPr>
        <w:t>Estados</w:t>
      </w:r>
      <w:r>
        <w:rPr>
          <w:spacing w:val="-8"/>
          <w:sz w:val="14"/>
        </w:rPr>
        <w:t xml:space="preserve"> </w:t>
      </w:r>
      <w:r>
        <w:rPr>
          <w:sz w:val="14"/>
        </w:rPr>
        <w:t>partes</w:t>
      </w:r>
      <w:proofErr w:type="gramEnd"/>
      <w:r>
        <w:rPr>
          <w:spacing w:val="-8"/>
          <w:sz w:val="14"/>
        </w:rPr>
        <w:t xml:space="preserve"> </w:t>
      </w:r>
      <w:r>
        <w:rPr>
          <w:sz w:val="14"/>
        </w:rPr>
        <w:t>pueden</w:t>
      </w:r>
      <w:r>
        <w:rPr>
          <w:spacing w:val="-8"/>
          <w:sz w:val="14"/>
        </w:rPr>
        <w:t xml:space="preserve"> </w:t>
      </w:r>
      <w:r>
        <w:rPr>
          <w:sz w:val="14"/>
        </w:rPr>
        <w:t>tener,</w:t>
      </w:r>
      <w:r>
        <w:rPr>
          <w:spacing w:val="-8"/>
          <w:sz w:val="14"/>
        </w:rPr>
        <w:t xml:space="preserve"> </w:t>
      </w:r>
      <w:r>
        <w:rPr>
          <w:sz w:val="14"/>
        </w:rPr>
        <w:t>y</w:t>
      </w:r>
      <w:r>
        <w:rPr>
          <w:spacing w:val="-8"/>
          <w:sz w:val="14"/>
        </w:rPr>
        <w:t xml:space="preserve"> </w:t>
      </w:r>
      <w:r>
        <w:rPr>
          <w:sz w:val="14"/>
        </w:rPr>
        <w:t>en</w:t>
      </w:r>
      <w:r>
        <w:rPr>
          <w:spacing w:val="-8"/>
          <w:sz w:val="14"/>
        </w:rPr>
        <w:t xml:space="preserve"> </w:t>
      </w:r>
      <w:r>
        <w:rPr>
          <w:sz w:val="14"/>
        </w:rPr>
        <w:t>algunos</w:t>
      </w:r>
      <w:r>
        <w:rPr>
          <w:spacing w:val="40"/>
          <w:sz w:val="14"/>
        </w:rPr>
        <w:t xml:space="preserve"> </w:t>
      </w:r>
      <w:r>
        <w:rPr>
          <w:sz w:val="14"/>
        </w:rPr>
        <w:t>casos tienen, la obligación de adoptar medidas especiales”.</w:t>
      </w:r>
    </w:p>
    <w:p w14:paraId="6DA543CD" w14:textId="77777777" w:rsidR="0014798C" w:rsidRDefault="004E1F0B">
      <w:pPr>
        <w:pStyle w:val="Prrafodelista"/>
        <w:numPr>
          <w:ilvl w:val="0"/>
          <w:numId w:val="58"/>
        </w:numPr>
        <w:tabs>
          <w:tab w:val="left" w:pos="1340"/>
        </w:tabs>
        <w:spacing w:before="69"/>
        <w:ind w:left="1340" w:hanging="235"/>
        <w:rPr>
          <w:sz w:val="12"/>
        </w:rPr>
      </w:pPr>
      <w:r>
        <w:rPr>
          <w:sz w:val="12"/>
        </w:rPr>
        <w:t>Comité</w:t>
      </w:r>
      <w:r>
        <w:rPr>
          <w:spacing w:val="-2"/>
          <w:sz w:val="12"/>
        </w:rPr>
        <w:t xml:space="preserve"> </w:t>
      </w:r>
      <w:r>
        <w:rPr>
          <w:sz w:val="12"/>
        </w:rPr>
        <w:t>para</w:t>
      </w:r>
      <w:r>
        <w:rPr>
          <w:spacing w:val="-1"/>
          <w:sz w:val="12"/>
        </w:rPr>
        <w:t xml:space="preserve"> </w:t>
      </w:r>
      <w:r>
        <w:rPr>
          <w:sz w:val="12"/>
        </w:rPr>
        <w:t>la</w:t>
      </w:r>
      <w:r>
        <w:rPr>
          <w:spacing w:val="-2"/>
          <w:sz w:val="12"/>
        </w:rPr>
        <w:t xml:space="preserve"> </w:t>
      </w:r>
      <w:r>
        <w:rPr>
          <w:sz w:val="12"/>
        </w:rPr>
        <w:t>Eliminación</w:t>
      </w:r>
      <w:r>
        <w:rPr>
          <w:spacing w:val="-1"/>
          <w:sz w:val="12"/>
        </w:rPr>
        <w:t xml:space="preserve"> </w:t>
      </w:r>
      <w:r>
        <w:rPr>
          <w:sz w:val="12"/>
        </w:rPr>
        <w:t>de</w:t>
      </w:r>
      <w:r>
        <w:rPr>
          <w:spacing w:val="-1"/>
          <w:sz w:val="12"/>
        </w:rPr>
        <w:t xml:space="preserve"> </w:t>
      </w:r>
      <w:r>
        <w:rPr>
          <w:sz w:val="12"/>
        </w:rPr>
        <w:t>la</w:t>
      </w:r>
      <w:r>
        <w:rPr>
          <w:spacing w:val="-2"/>
          <w:sz w:val="12"/>
        </w:rPr>
        <w:t xml:space="preserve"> </w:t>
      </w:r>
      <w:r>
        <w:rPr>
          <w:sz w:val="12"/>
        </w:rPr>
        <w:t>Discriminación</w:t>
      </w:r>
      <w:r>
        <w:rPr>
          <w:spacing w:val="-1"/>
          <w:sz w:val="12"/>
        </w:rPr>
        <w:t xml:space="preserve"> </w:t>
      </w:r>
      <w:r>
        <w:rPr>
          <w:sz w:val="12"/>
        </w:rPr>
        <w:t>Racial,</w:t>
      </w:r>
      <w:r>
        <w:rPr>
          <w:spacing w:val="-1"/>
          <w:sz w:val="12"/>
        </w:rPr>
        <w:t xml:space="preserve"> </w:t>
      </w:r>
      <w:r>
        <w:rPr>
          <w:sz w:val="12"/>
        </w:rPr>
        <w:t>recomendación</w:t>
      </w:r>
      <w:r>
        <w:rPr>
          <w:spacing w:val="-2"/>
          <w:sz w:val="12"/>
        </w:rPr>
        <w:t xml:space="preserve"> </w:t>
      </w:r>
      <w:r>
        <w:rPr>
          <w:sz w:val="12"/>
        </w:rPr>
        <w:t>general</w:t>
      </w:r>
      <w:r>
        <w:rPr>
          <w:spacing w:val="-1"/>
          <w:sz w:val="12"/>
        </w:rPr>
        <w:t xml:space="preserve"> </w:t>
      </w:r>
      <w:r>
        <w:rPr>
          <w:sz w:val="12"/>
        </w:rPr>
        <w:t>núm.</w:t>
      </w:r>
      <w:r>
        <w:rPr>
          <w:spacing w:val="-2"/>
          <w:sz w:val="12"/>
        </w:rPr>
        <w:t xml:space="preserve"> </w:t>
      </w:r>
      <w:r>
        <w:rPr>
          <w:sz w:val="12"/>
        </w:rPr>
        <w:t>32</w:t>
      </w:r>
      <w:r>
        <w:rPr>
          <w:spacing w:val="-1"/>
          <w:sz w:val="12"/>
        </w:rPr>
        <w:t xml:space="preserve"> </w:t>
      </w:r>
      <w:r>
        <w:rPr>
          <w:sz w:val="12"/>
        </w:rPr>
        <w:t>(2009),</w:t>
      </w:r>
      <w:r>
        <w:rPr>
          <w:spacing w:val="-1"/>
          <w:sz w:val="12"/>
        </w:rPr>
        <w:t xml:space="preserve"> </w:t>
      </w:r>
      <w:proofErr w:type="spellStart"/>
      <w:r>
        <w:rPr>
          <w:sz w:val="12"/>
        </w:rPr>
        <w:t>párrs</w:t>
      </w:r>
      <w:proofErr w:type="spellEnd"/>
      <w:r>
        <w:rPr>
          <w:sz w:val="12"/>
        </w:rPr>
        <w:t>.</w:t>
      </w:r>
      <w:r>
        <w:rPr>
          <w:spacing w:val="-2"/>
          <w:sz w:val="12"/>
        </w:rPr>
        <w:t xml:space="preserve"> </w:t>
      </w:r>
      <w:r>
        <w:rPr>
          <w:sz w:val="12"/>
        </w:rPr>
        <w:t>11</w:t>
      </w:r>
      <w:r>
        <w:rPr>
          <w:spacing w:val="-1"/>
          <w:sz w:val="12"/>
        </w:rPr>
        <w:t xml:space="preserve"> </w:t>
      </w:r>
      <w:r>
        <w:rPr>
          <w:sz w:val="12"/>
        </w:rPr>
        <w:t>y</w:t>
      </w:r>
      <w:r>
        <w:rPr>
          <w:spacing w:val="-1"/>
          <w:sz w:val="12"/>
        </w:rPr>
        <w:t xml:space="preserve"> </w:t>
      </w:r>
      <w:r>
        <w:rPr>
          <w:spacing w:val="-5"/>
          <w:sz w:val="12"/>
        </w:rPr>
        <w:t>14.</w:t>
      </w:r>
    </w:p>
    <w:p w14:paraId="782702C9" w14:textId="77777777" w:rsidR="0014798C" w:rsidRDefault="004E1F0B">
      <w:pPr>
        <w:pStyle w:val="Prrafodelista"/>
        <w:numPr>
          <w:ilvl w:val="0"/>
          <w:numId w:val="58"/>
        </w:numPr>
        <w:tabs>
          <w:tab w:val="left" w:pos="1340"/>
        </w:tabs>
        <w:spacing w:before="98"/>
        <w:ind w:left="1340" w:hanging="235"/>
        <w:rPr>
          <w:sz w:val="12"/>
        </w:rPr>
      </w:pPr>
      <w:r>
        <w:rPr>
          <w:sz w:val="12"/>
        </w:rPr>
        <w:t>Comité</w:t>
      </w:r>
      <w:r>
        <w:rPr>
          <w:spacing w:val="-2"/>
          <w:sz w:val="12"/>
        </w:rPr>
        <w:t xml:space="preserve"> </w:t>
      </w:r>
      <w:r>
        <w:rPr>
          <w:sz w:val="12"/>
        </w:rPr>
        <w:t>para</w:t>
      </w:r>
      <w:r>
        <w:rPr>
          <w:spacing w:val="-1"/>
          <w:sz w:val="12"/>
        </w:rPr>
        <w:t xml:space="preserve"> </w:t>
      </w:r>
      <w:r>
        <w:rPr>
          <w:sz w:val="12"/>
        </w:rPr>
        <w:t>la</w:t>
      </w:r>
      <w:r>
        <w:rPr>
          <w:spacing w:val="-2"/>
          <w:sz w:val="12"/>
        </w:rPr>
        <w:t xml:space="preserve"> </w:t>
      </w:r>
      <w:r>
        <w:rPr>
          <w:sz w:val="12"/>
        </w:rPr>
        <w:t>Eliminación</w:t>
      </w:r>
      <w:r>
        <w:rPr>
          <w:spacing w:val="-1"/>
          <w:sz w:val="12"/>
        </w:rPr>
        <w:t xml:space="preserve"> </w:t>
      </w:r>
      <w:r>
        <w:rPr>
          <w:sz w:val="12"/>
        </w:rPr>
        <w:t>de</w:t>
      </w:r>
      <w:r>
        <w:rPr>
          <w:spacing w:val="-2"/>
          <w:sz w:val="12"/>
        </w:rPr>
        <w:t xml:space="preserve"> </w:t>
      </w:r>
      <w:r>
        <w:rPr>
          <w:sz w:val="12"/>
        </w:rPr>
        <w:t>la</w:t>
      </w:r>
      <w:r>
        <w:rPr>
          <w:spacing w:val="-1"/>
          <w:sz w:val="12"/>
        </w:rPr>
        <w:t xml:space="preserve"> </w:t>
      </w:r>
      <w:r>
        <w:rPr>
          <w:sz w:val="12"/>
        </w:rPr>
        <w:t>Discriminación</w:t>
      </w:r>
      <w:r>
        <w:rPr>
          <w:spacing w:val="-2"/>
          <w:sz w:val="12"/>
        </w:rPr>
        <w:t xml:space="preserve"> </w:t>
      </w:r>
      <w:r>
        <w:rPr>
          <w:sz w:val="12"/>
        </w:rPr>
        <w:t>contra</w:t>
      </w:r>
      <w:r>
        <w:rPr>
          <w:spacing w:val="-1"/>
          <w:sz w:val="12"/>
        </w:rPr>
        <w:t xml:space="preserve"> </w:t>
      </w:r>
      <w:r>
        <w:rPr>
          <w:sz w:val="12"/>
        </w:rPr>
        <w:t>la</w:t>
      </w:r>
      <w:r>
        <w:rPr>
          <w:spacing w:val="-2"/>
          <w:sz w:val="12"/>
        </w:rPr>
        <w:t xml:space="preserve"> </w:t>
      </w:r>
      <w:r>
        <w:rPr>
          <w:sz w:val="12"/>
        </w:rPr>
        <w:t>Mujer,</w:t>
      </w:r>
      <w:r>
        <w:rPr>
          <w:spacing w:val="-1"/>
          <w:sz w:val="12"/>
        </w:rPr>
        <w:t xml:space="preserve"> </w:t>
      </w:r>
      <w:r>
        <w:rPr>
          <w:sz w:val="12"/>
        </w:rPr>
        <w:t>recomendación</w:t>
      </w:r>
      <w:r>
        <w:rPr>
          <w:spacing w:val="-2"/>
          <w:sz w:val="12"/>
        </w:rPr>
        <w:t xml:space="preserve"> </w:t>
      </w:r>
      <w:r>
        <w:rPr>
          <w:sz w:val="12"/>
        </w:rPr>
        <w:t>general</w:t>
      </w:r>
      <w:r>
        <w:rPr>
          <w:spacing w:val="-1"/>
          <w:sz w:val="12"/>
        </w:rPr>
        <w:t xml:space="preserve"> </w:t>
      </w:r>
      <w:r>
        <w:rPr>
          <w:sz w:val="12"/>
        </w:rPr>
        <w:t>núm.</w:t>
      </w:r>
      <w:r>
        <w:rPr>
          <w:spacing w:val="-2"/>
          <w:sz w:val="12"/>
        </w:rPr>
        <w:t xml:space="preserve"> </w:t>
      </w:r>
      <w:r>
        <w:rPr>
          <w:sz w:val="12"/>
        </w:rPr>
        <w:t>25</w:t>
      </w:r>
      <w:r>
        <w:rPr>
          <w:spacing w:val="-1"/>
          <w:sz w:val="12"/>
        </w:rPr>
        <w:t xml:space="preserve"> </w:t>
      </w:r>
      <w:r>
        <w:rPr>
          <w:sz w:val="12"/>
        </w:rPr>
        <w:t>(2004),</w:t>
      </w:r>
      <w:r>
        <w:rPr>
          <w:spacing w:val="-2"/>
          <w:sz w:val="12"/>
        </w:rPr>
        <w:t xml:space="preserve"> </w:t>
      </w:r>
      <w:r>
        <w:rPr>
          <w:sz w:val="12"/>
        </w:rPr>
        <w:t>párr.</w:t>
      </w:r>
      <w:r>
        <w:rPr>
          <w:spacing w:val="-1"/>
          <w:sz w:val="12"/>
        </w:rPr>
        <w:t xml:space="preserve"> </w:t>
      </w:r>
      <w:r>
        <w:rPr>
          <w:spacing w:val="-5"/>
          <w:sz w:val="12"/>
        </w:rPr>
        <w:t>24.</w:t>
      </w:r>
    </w:p>
    <w:p w14:paraId="0BA2C7D8" w14:textId="77777777" w:rsidR="0014798C" w:rsidRDefault="004E1F0B">
      <w:pPr>
        <w:pStyle w:val="Prrafodelista"/>
        <w:numPr>
          <w:ilvl w:val="0"/>
          <w:numId w:val="58"/>
        </w:numPr>
        <w:tabs>
          <w:tab w:val="left" w:pos="1340"/>
        </w:tabs>
        <w:spacing w:before="99"/>
        <w:ind w:left="1340" w:hanging="235"/>
        <w:rPr>
          <w:sz w:val="12"/>
        </w:rPr>
      </w:pPr>
      <w:r>
        <w:rPr>
          <w:sz w:val="12"/>
        </w:rPr>
        <w:t>Comité</w:t>
      </w:r>
      <w:r>
        <w:rPr>
          <w:spacing w:val="-1"/>
          <w:sz w:val="12"/>
        </w:rPr>
        <w:t xml:space="preserve"> </w:t>
      </w:r>
      <w:r>
        <w:rPr>
          <w:sz w:val="12"/>
        </w:rPr>
        <w:t>sobre los Derechos de las Personas con</w:t>
      </w:r>
      <w:r>
        <w:rPr>
          <w:spacing w:val="-1"/>
          <w:sz w:val="12"/>
        </w:rPr>
        <w:t xml:space="preserve"> </w:t>
      </w:r>
      <w:r>
        <w:rPr>
          <w:sz w:val="12"/>
        </w:rPr>
        <w:t>Discapacidad,</w:t>
      </w:r>
      <w:r>
        <w:rPr>
          <w:spacing w:val="1"/>
          <w:sz w:val="12"/>
        </w:rPr>
        <w:t xml:space="preserve"> </w:t>
      </w:r>
      <w:r>
        <w:rPr>
          <w:sz w:val="12"/>
        </w:rPr>
        <w:t>observación general núm. 6 (2018), párr.</w:t>
      </w:r>
      <w:r>
        <w:rPr>
          <w:spacing w:val="-1"/>
          <w:sz w:val="12"/>
        </w:rPr>
        <w:t xml:space="preserve"> </w:t>
      </w:r>
      <w:r>
        <w:rPr>
          <w:spacing w:val="-2"/>
          <w:sz w:val="12"/>
        </w:rPr>
        <w:t>dieciséis.</w:t>
      </w:r>
    </w:p>
    <w:p w14:paraId="7ED94F74" w14:textId="77777777" w:rsidR="0014798C" w:rsidRDefault="0014798C">
      <w:pPr>
        <w:pStyle w:val="Textoindependiente"/>
        <w:rPr>
          <w:sz w:val="19"/>
        </w:rPr>
      </w:pPr>
    </w:p>
    <w:p w14:paraId="71CA18DD" w14:textId="77777777" w:rsidR="0014798C" w:rsidRDefault="0014798C">
      <w:pPr>
        <w:pStyle w:val="Textoindependiente"/>
        <w:spacing w:before="204"/>
        <w:rPr>
          <w:sz w:val="19"/>
        </w:rPr>
      </w:pPr>
    </w:p>
    <w:p w14:paraId="7128BCB6" w14:textId="77777777" w:rsidR="0014798C" w:rsidRDefault="004E1F0B">
      <w:pPr>
        <w:ind w:left="551"/>
        <w:rPr>
          <w:sz w:val="19"/>
        </w:rPr>
      </w:pPr>
      <w:r>
        <w:rPr>
          <w:spacing w:val="-5"/>
          <w:sz w:val="19"/>
        </w:rPr>
        <w:t>58</w:t>
      </w:r>
    </w:p>
    <w:p w14:paraId="42DC77A5" w14:textId="77777777" w:rsidR="0014798C" w:rsidRDefault="0014798C">
      <w:pPr>
        <w:rPr>
          <w:sz w:val="19"/>
        </w:rPr>
        <w:sectPr w:rsidR="0014798C" w:rsidSect="00F265E4">
          <w:type w:val="continuous"/>
          <w:pgSz w:w="11900" w:h="16820"/>
          <w:pgMar w:top="40" w:right="0" w:bottom="280" w:left="200" w:header="121" w:footer="0" w:gutter="0"/>
          <w:cols w:space="720"/>
        </w:sectPr>
      </w:pPr>
    </w:p>
    <w:p w14:paraId="1EE6D394" w14:textId="77777777" w:rsidR="0014798C" w:rsidRDefault="0014798C">
      <w:pPr>
        <w:pStyle w:val="Textoindependiente"/>
        <w:spacing w:before="51"/>
        <w:rPr>
          <w:sz w:val="14"/>
        </w:rPr>
      </w:pPr>
    </w:p>
    <w:p w14:paraId="184F980E" w14:textId="77777777" w:rsidR="0014798C" w:rsidRDefault="004E1F0B">
      <w:pPr>
        <w:ind w:left="1111"/>
        <w:rPr>
          <w:sz w:val="14"/>
        </w:rPr>
      </w:pPr>
      <w:r>
        <w:rPr>
          <w:color w:val="00AC59"/>
          <w:sz w:val="14"/>
        </w:rPr>
        <w:t>SEGUNDA</w:t>
      </w:r>
      <w:r>
        <w:rPr>
          <w:color w:val="00AC59"/>
          <w:spacing w:val="-5"/>
          <w:sz w:val="14"/>
        </w:rPr>
        <w:t xml:space="preserve"> </w:t>
      </w:r>
      <w:r>
        <w:rPr>
          <w:color w:val="00AC59"/>
          <w:sz w:val="14"/>
        </w:rPr>
        <w:t>PARTE:</w:t>
      </w:r>
      <w:r>
        <w:rPr>
          <w:color w:val="00AC59"/>
          <w:spacing w:val="-5"/>
          <w:sz w:val="14"/>
        </w:rPr>
        <w:t xml:space="preserve"> </w:t>
      </w:r>
      <w:r>
        <w:rPr>
          <w:color w:val="00AC59"/>
          <w:sz w:val="14"/>
        </w:rPr>
        <w:t>CONTENIDO</w:t>
      </w:r>
      <w:r>
        <w:rPr>
          <w:color w:val="00AC59"/>
          <w:spacing w:val="-4"/>
          <w:sz w:val="14"/>
        </w:rPr>
        <w:t xml:space="preserve"> </w:t>
      </w:r>
      <w:r>
        <w:rPr>
          <w:color w:val="00AC59"/>
          <w:sz w:val="14"/>
        </w:rPr>
        <w:t>DE</w:t>
      </w:r>
      <w:r>
        <w:rPr>
          <w:color w:val="00AC59"/>
          <w:spacing w:val="-5"/>
          <w:sz w:val="14"/>
        </w:rPr>
        <w:t xml:space="preserve"> </w:t>
      </w:r>
      <w:r>
        <w:rPr>
          <w:color w:val="00AC59"/>
          <w:sz w:val="14"/>
        </w:rPr>
        <w:t>LA</w:t>
      </w:r>
      <w:r>
        <w:rPr>
          <w:color w:val="00AC59"/>
          <w:spacing w:val="-4"/>
          <w:sz w:val="14"/>
        </w:rPr>
        <w:t xml:space="preserve"> </w:t>
      </w:r>
      <w:r>
        <w:rPr>
          <w:color w:val="00AC59"/>
          <w:sz w:val="14"/>
        </w:rPr>
        <w:t>LEY</w:t>
      </w:r>
      <w:r>
        <w:rPr>
          <w:color w:val="00AC59"/>
          <w:spacing w:val="-4"/>
          <w:sz w:val="14"/>
        </w:rPr>
        <w:t xml:space="preserve"> </w:t>
      </w:r>
      <w:r>
        <w:rPr>
          <w:color w:val="00AC59"/>
          <w:sz w:val="14"/>
        </w:rPr>
        <w:t>INTEGRAL</w:t>
      </w:r>
      <w:r>
        <w:rPr>
          <w:color w:val="00AC59"/>
          <w:spacing w:val="-5"/>
          <w:sz w:val="14"/>
        </w:rPr>
        <w:t xml:space="preserve"> </w:t>
      </w:r>
      <w:r>
        <w:rPr>
          <w:color w:val="00AC59"/>
          <w:spacing w:val="-2"/>
          <w:sz w:val="14"/>
        </w:rPr>
        <w:t>ANTIDISCRIMINACIÓN</w:t>
      </w:r>
    </w:p>
    <w:p w14:paraId="408908E8" w14:textId="77777777" w:rsidR="0014798C" w:rsidRDefault="0014798C">
      <w:pPr>
        <w:pStyle w:val="Textoindependiente"/>
        <w:rPr>
          <w:sz w:val="15"/>
        </w:rPr>
      </w:pPr>
    </w:p>
    <w:p w14:paraId="6427927B" w14:textId="77777777" w:rsidR="0014798C" w:rsidRDefault="0014798C">
      <w:pPr>
        <w:pStyle w:val="Textoindependiente"/>
        <w:rPr>
          <w:sz w:val="15"/>
        </w:rPr>
      </w:pPr>
    </w:p>
    <w:p w14:paraId="5D2B6F98" w14:textId="77777777" w:rsidR="0014798C" w:rsidRDefault="0014798C">
      <w:pPr>
        <w:pStyle w:val="Textoindependiente"/>
        <w:rPr>
          <w:sz w:val="15"/>
        </w:rPr>
      </w:pPr>
    </w:p>
    <w:p w14:paraId="6664FE2C" w14:textId="77777777" w:rsidR="0014798C" w:rsidRDefault="0014798C">
      <w:pPr>
        <w:pStyle w:val="Textoindependiente"/>
        <w:rPr>
          <w:sz w:val="15"/>
        </w:rPr>
      </w:pPr>
    </w:p>
    <w:p w14:paraId="4B77C3A9" w14:textId="77777777" w:rsidR="0014798C" w:rsidRDefault="0014798C">
      <w:pPr>
        <w:pStyle w:val="Textoindependiente"/>
        <w:spacing w:before="119"/>
        <w:rPr>
          <w:sz w:val="15"/>
        </w:rPr>
      </w:pPr>
    </w:p>
    <w:p w14:paraId="4C9A16E4" w14:textId="77777777" w:rsidR="0014798C" w:rsidRDefault="004E1F0B">
      <w:pPr>
        <w:spacing w:line="348" w:lineRule="auto"/>
        <w:ind w:left="1103" w:right="1403" w:firstLine="3"/>
        <w:rPr>
          <w:sz w:val="15"/>
        </w:rPr>
      </w:pPr>
      <w:r>
        <w:rPr>
          <w:noProof/>
        </w:rPr>
        <w:drawing>
          <wp:anchor distT="0" distB="0" distL="0" distR="0" simplePos="0" relativeHeight="251658404" behindDoc="1" locked="0" layoutInCell="1" allowOverlap="1" wp14:anchorId="57DF0A5E" wp14:editId="229DA64C">
            <wp:simplePos x="0" y="0"/>
            <wp:positionH relativeFrom="page">
              <wp:posOffset>826632</wp:posOffset>
            </wp:positionH>
            <wp:positionV relativeFrom="paragraph">
              <wp:posOffset>1064914</wp:posOffset>
            </wp:positionV>
            <wp:extent cx="6729867" cy="4605686"/>
            <wp:effectExtent l="0" t="0" r="0" b="0"/>
            <wp:wrapNone/>
            <wp:docPr id="153" name="Image 15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53" name="Image 153"/>
                    <pic:cNvPicPr/>
                  </pic:nvPicPr>
                  <pic:blipFill>
                    <a:blip r:embed="rId142" cstate="print"/>
                    <a:stretch>
                      <a:fillRect/>
                    </a:stretch>
                  </pic:blipFill>
                  <pic:spPr>
                    <a:xfrm>
                      <a:off x="0" y="0"/>
                      <a:ext cx="6729867" cy="4605686"/>
                    </a:xfrm>
                    <a:prstGeom prst="rect">
                      <a:avLst/>
                    </a:prstGeom>
                  </pic:spPr>
                </pic:pic>
              </a:graphicData>
            </a:graphic>
          </wp:anchor>
        </w:drawing>
      </w:r>
      <w:r>
        <w:rPr>
          <w:noProof/>
        </w:rPr>
        <mc:AlternateContent>
          <mc:Choice Requires="wps">
            <w:drawing>
              <wp:anchor distT="0" distB="0" distL="0" distR="0" simplePos="0" relativeHeight="251658270" behindDoc="0" locked="0" layoutInCell="1" allowOverlap="1" wp14:anchorId="1501658A" wp14:editId="71A10DE3">
                <wp:simplePos x="0" y="0"/>
                <wp:positionH relativeFrom="page">
                  <wp:posOffset>7313138</wp:posOffset>
                </wp:positionH>
                <wp:positionV relativeFrom="paragraph">
                  <wp:posOffset>1680239</wp:posOffset>
                </wp:positionV>
                <wp:extent cx="83820" cy="281940"/>
                <wp:effectExtent l="0" t="0" r="0" b="0"/>
                <wp:wrapNone/>
                <wp:docPr id="154" name="Textbox 15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83820" cy="281940"/>
                        </a:xfrm>
                        <a:prstGeom prst="rect">
                          <a:avLst/>
                        </a:prstGeom>
                      </wps:spPr>
                      <wps:txbx>
                        <w:txbxContent>
                          <w:p w14:paraId="57E42634" w14:textId="77777777" w:rsidR="0014798C" w:rsidRDefault="004E1F0B">
                            <w:pPr>
                              <w:spacing w:before="19"/>
                              <w:ind w:left="20"/>
                              <w:rPr>
                                <w:sz w:val="8"/>
                              </w:rPr>
                            </w:pPr>
                            <w:r>
                              <w:rPr>
                                <w:color w:val="FFFFFF"/>
                                <w:spacing w:val="-24"/>
                                <w:sz w:val="8"/>
                              </w:rPr>
                              <w:t>I–P</w:t>
                            </w:r>
                            <w:r>
                              <w:rPr>
                                <w:spacing w:val="-24"/>
                                <w:sz w:val="8"/>
                              </w:rPr>
                              <w:t>S</w:t>
                            </w:r>
                            <w:r>
                              <w:rPr>
                                <w:color w:val="FFFFFF"/>
                                <w:spacing w:val="-24"/>
                                <w:sz w:val="8"/>
                              </w:rPr>
                              <w:t>A</w:t>
                            </w:r>
                            <w:r>
                              <w:rPr>
                                <w:spacing w:val="-24"/>
                                <w:sz w:val="8"/>
                              </w:rPr>
                              <w:t>E</w:t>
                            </w:r>
                            <w:r>
                              <w:rPr>
                                <w:color w:val="FFFFFF"/>
                                <w:spacing w:val="-24"/>
                                <w:sz w:val="8"/>
                              </w:rPr>
                              <w:t>R</w:t>
                            </w:r>
                            <w:r>
                              <w:rPr>
                                <w:spacing w:val="-24"/>
                                <w:sz w:val="8"/>
                              </w:rPr>
                              <w:t>G</w:t>
                            </w:r>
                            <w:r>
                              <w:rPr>
                                <w:color w:val="FFFFFF"/>
                                <w:spacing w:val="-24"/>
                                <w:sz w:val="8"/>
                              </w:rPr>
                              <w:t>T</w:t>
                            </w:r>
                            <w:r>
                              <w:rPr>
                                <w:spacing w:val="-24"/>
                                <w:sz w:val="8"/>
                              </w:rPr>
                              <w:t>U</w:t>
                            </w:r>
                            <w:r>
                              <w:rPr>
                                <w:color w:val="FFFFFF"/>
                                <w:spacing w:val="-24"/>
                                <w:sz w:val="8"/>
                              </w:rPr>
                              <w:t>E</w:t>
                            </w:r>
                            <w:r>
                              <w:rPr>
                                <w:spacing w:val="-24"/>
                                <w:sz w:val="8"/>
                              </w:rPr>
                              <w:t>NDA</w:t>
                            </w:r>
                          </w:p>
                        </w:txbxContent>
                      </wps:txbx>
                      <wps:bodyPr vert="vert270" wrap="square" lIns="0" tIns="0" rIns="0" bIns="0" rtlCol="0">
                        <a:noAutofit/>
                      </wps:bodyPr>
                    </wps:wsp>
                  </a:graphicData>
                </a:graphic>
              </wp:anchor>
            </w:drawing>
          </mc:Choice>
          <mc:Fallback>
            <w:pict>
              <v:shape w14:anchorId="1501658A" id="Textbox 154" o:spid="_x0000_s1087" type="#_x0000_t202" style="position:absolute;left:0;text-align:left;margin-left:575.85pt;margin-top:132.3pt;width:6.6pt;height:22.2pt;z-index:251658270;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" filled="f" stroked="f">
                <v:textbox style="layout-flow:vertical;mso-layout-flow-alt:bottom-to-top" inset="0,0,0,0">
                  <w:txbxContent>
                    <w:p w14:paraId="57E42634" w14:textId="77777777" w:rsidR="0014798C" w:rsidRDefault="004E1F0B">
                      <w:pPr>
                        <w:spacing w:before="19"/>
                        <w:ind w:left="20"/>
                        <w:rPr>
                          <w:sz w:val="8"/>
                        </w:rPr>
                      </w:pPr>
                      <w:r>
                        <w:rPr>
                          <w:color w:val="FFFFFF"/>
                          <w:spacing w:val="-24"/>
                          <w:sz w:val="8"/>
                        </w:rPr>
                        <w:t>I–P</w:t>
                      </w:r>
                      <w:r>
                        <w:rPr>
                          <w:spacing w:val="-24"/>
                          <w:sz w:val="8"/>
                        </w:rPr>
                        <w:t>S</w:t>
                      </w:r>
                      <w:r>
                        <w:rPr>
                          <w:color w:val="FFFFFF"/>
                          <w:spacing w:val="-24"/>
                          <w:sz w:val="8"/>
                        </w:rPr>
                        <w:t>A</w:t>
                      </w:r>
                      <w:r>
                        <w:rPr>
                          <w:spacing w:val="-24"/>
                          <w:sz w:val="8"/>
                        </w:rPr>
                        <w:t>E</w:t>
                      </w:r>
                      <w:r>
                        <w:rPr>
                          <w:color w:val="FFFFFF"/>
                          <w:spacing w:val="-24"/>
                          <w:sz w:val="8"/>
                        </w:rPr>
                        <w:t>R</w:t>
                      </w:r>
                      <w:r>
                        <w:rPr>
                          <w:spacing w:val="-24"/>
                          <w:sz w:val="8"/>
                        </w:rPr>
                        <w:t>G</w:t>
                      </w:r>
                      <w:r>
                        <w:rPr>
                          <w:color w:val="FFFFFF"/>
                          <w:spacing w:val="-24"/>
                          <w:sz w:val="8"/>
                        </w:rPr>
                        <w:t>T</w:t>
                      </w:r>
                      <w:r>
                        <w:rPr>
                          <w:spacing w:val="-24"/>
                          <w:sz w:val="8"/>
                        </w:rPr>
                        <w:t>U</w:t>
                      </w:r>
                      <w:r>
                        <w:rPr>
                          <w:color w:val="FFFFFF"/>
                          <w:spacing w:val="-24"/>
                          <w:sz w:val="8"/>
                        </w:rPr>
                        <w:t>E</w:t>
                      </w:r>
                      <w:r>
                        <w:rPr>
                          <w:spacing w:val="-24"/>
                          <w:sz w:val="8"/>
                        </w:rPr>
                        <w:t>NDA</w:t>
                      </w:r>
                    </w:p>
                  </w:txbxContent>
                </v:textbox>
                <w10:wrap anchorx="page"/>
              </v:shape>
            </w:pict>
          </mc:Fallback>
        </mc:AlternateContent>
      </w:r>
      <w:r>
        <w:rPr>
          <w:sz w:val="15"/>
        </w:rPr>
        <w:t xml:space="preserve">A nivel regional, las obligaciones de acción positiva se reconocen tanto en el sistema de derechos humanos africano como en el </w:t>
      </w:r>
      <w:proofErr w:type="gramStart"/>
      <w:r>
        <w:rPr>
          <w:sz w:val="15"/>
        </w:rPr>
        <w:t>interamericano</w:t>
      </w:r>
      <w:r>
        <w:rPr>
          <w:spacing w:val="12"/>
          <w:sz w:val="15"/>
        </w:rPr>
        <w:t xml:space="preserve"> </w:t>
      </w:r>
      <w:r>
        <w:rPr>
          <w:sz w:val="15"/>
        </w:rPr>
        <w:t>.</w:t>
      </w:r>
      <w:proofErr w:type="gramEnd"/>
      <w:r>
        <w:rPr>
          <w:spacing w:val="12"/>
          <w:sz w:val="15"/>
        </w:rPr>
        <w:t xml:space="preserve"> </w:t>
      </w:r>
      <w:r>
        <w:rPr>
          <w:sz w:val="15"/>
        </w:rPr>
        <w:t>Tanto</w:t>
      </w:r>
      <w:r>
        <w:rPr>
          <w:spacing w:val="12"/>
          <w:sz w:val="15"/>
        </w:rPr>
        <w:t xml:space="preserve"> </w:t>
      </w:r>
      <w:r>
        <w:rPr>
          <w:sz w:val="15"/>
        </w:rPr>
        <w:t>los</w:t>
      </w:r>
      <w:r>
        <w:rPr>
          <w:spacing w:val="12"/>
          <w:sz w:val="15"/>
        </w:rPr>
        <w:t xml:space="preserve"> </w:t>
      </w:r>
      <w:r>
        <w:rPr>
          <w:sz w:val="15"/>
        </w:rPr>
        <w:t>Protocolos</w:t>
      </w:r>
      <w:r>
        <w:rPr>
          <w:spacing w:val="12"/>
          <w:sz w:val="15"/>
        </w:rPr>
        <w:t xml:space="preserve"> </w:t>
      </w:r>
      <w:r>
        <w:rPr>
          <w:sz w:val="15"/>
        </w:rPr>
        <w:t>de</w:t>
      </w:r>
      <w:r>
        <w:rPr>
          <w:spacing w:val="12"/>
          <w:sz w:val="15"/>
        </w:rPr>
        <w:t xml:space="preserve"> </w:t>
      </w:r>
      <w:r>
        <w:rPr>
          <w:sz w:val="15"/>
        </w:rPr>
        <w:t>la</w:t>
      </w:r>
      <w:r>
        <w:rPr>
          <w:spacing w:val="12"/>
          <w:sz w:val="15"/>
        </w:rPr>
        <w:t xml:space="preserve"> </w:t>
      </w:r>
      <w:r>
        <w:rPr>
          <w:sz w:val="15"/>
        </w:rPr>
        <w:t>Carta</w:t>
      </w:r>
      <w:r>
        <w:rPr>
          <w:spacing w:val="12"/>
          <w:sz w:val="15"/>
        </w:rPr>
        <w:t xml:space="preserve"> </w:t>
      </w:r>
      <w:r>
        <w:rPr>
          <w:sz w:val="15"/>
        </w:rPr>
        <w:t>Africana</w:t>
      </w:r>
      <w:r>
        <w:rPr>
          <w:spacing w:val="12"/>
          <w:sz w:val="15"/>
        </w:rPr>
        <w:t xml:space="preserve"> </w:t>
      </w:r>
      <w:r>
        <w:rPr>
          <w:sz w:val="15"/>
        </w:rPr>
        <w:t>de</w:t>
      </w:r>
      <w:r>
        <w:rPr>
          <w:spacing w:val="12"/>
          <w:sz w:val="15"/>
        </w:rPr>
        <w:t xml:space="preserve"> </w:t>
      </w:r>
      <w:r>
        <w:rPr>
          <w:sz w:val="15"/>
        </w:rPr>
        <w:t>Derechos</w:t>
      </w:r>
      <w:r>
        <w:rPr>
          <w:spacing w:val="12"/>
          <w:sz w:val="15"/>
        </w:rPr>
        <w:t xml:space="preserve"> </w:t>
      </w:r>
      <w:r>
        <w:rPr>
          <w:sz w:val="15"/>
        </w:rPr>
        <w:t>Humanos</w:t>
      </w:r>
      <w:r>
        <w:rPr>
          <w:spacing w:val="12"/>
          <w:sz w:val="15"/>
        </w:rPr>
        <w:t xml:space="preserve"> </w:t>
      </w:r>
      <w:r>
        <w:rPr>
          <w:sz w:val="15"/>
        </w:rPr>
        <w:t>y</w:t>
      </w:r>
      <w:r>
        <w:rPr>
          <w:spacing w:val="12"/>
          <w:sz w:val="15"/>
        </w:rPr>
        <w:t xml:space="preserve"> </w:t>
      </w:r>
      <w:r>
        <w:rPr>
          <w:sz w:val="15"/>
        </w:rPr>
        <w:t>de</w:t>
      </w:r>
      <w:r>
        <w:rPr>
          <w:spacing w:val="12"/>
          <w:sz w:val="15"/>
        </w:rPr>
        <w:t xml:space="preserve"> </w:t>
      </w:r>
      <w:r>
        <w:rPr>
          <w:sz w:val="15"/>
        </w:rPr>
        <w:t>los</w:t>
      </w:r>
      <w:r>
        <w:rPr>
          <w:spacing w:val="12"/>
          <w:sz w:val="15"/>
        </w:rPr>
        <w:t xml:space="preserve"> </w:t>
      </w:r>
      <w:r>
        <w:rPr>
          <w:sz w:val="15"/>
        </w:rPr>
        <w:t>Pueblos</w:t>
      </w:r>
      <w:r>
        <w:rPr>
          <w:spacing w:val="12"/>
          <w:sz w:val="15"/>
        </w:rPr>
        <w:t xml:space="preserve"> </w:t>
      </w:r>
      <w:r>
        <w:rPr>
          <w:sz w:val="15"/>
        </w:rPr>
        <w:t>sobre</w:t>
      </w:r>
      <w:r>
        <w:rPr>
          <w:spacing w:val="12"/>
          <w:sz w:val="15"/>
        </w:rPr>
        <w:t xml:space="preserve"> </w:t>
      </w:r>
      <w:r>
        <w:rPr>
          <w:sz w:val="15"/>
        </w:rPr>
        <w:t>los</w:t>
      </w:r>
      <w:r>
        <w:rPr>
          <w:spacing w:val="12"/>
          <w:sz w:val="15"/>
        </w:rPr>
        <w:t xml:space="preserve"> </w:t>
      </w:r>
      <w:r>
        <w:rPr>
          <w:sz w:val="15"/>
        </w:rPr>
        <w:t>Derechos</w:t>
      </w:r>
      <w:r>
        <w:rPr>
          <w:spacing w:val="12"/>
          <w:sz w:val="15"/>
        </w:rPr>
        <w:t xml:space="preserve"> </w:t>
      </w:r>
      <w:r>
        <w:rPr>
          <w:sz w:val="15"/>
        </w:rPr>
        <w:t>de</w:t>
      </w:r>
      <w:r>
        <w:rPr>
          <w:spacing w:val="12"/>
          <w:sz w:val="15"/>
        </w:rPr>
        <w:t xml:space="preserve"> </w:t>
      </w:r>
      <w:r>
        <w:rPr>
          <w:sz w:val="15"/>
        </w:rPr>
        <w:t>las</w:t>
      </w:r>
      <w:r>
        <w:rPr>
          <w:spacing w:val="12"/>
          <w:sz w:val="15"/>
        </w:rPr>
        <w:t xml:space="preserve"> </w:t>
      </w:r>
      <w:r>
        <w:rPr>
          <w:sz w:val="15"/>
        </w:rPr>
        <w:t>Mujeres en África como sobre los Derechos de las Personas con Discapacidad en África incluyen disposiciones obligatorias de acción positiva, aunque el Protocolo sobre los Derechos de la Mujer limita el requisito a las áreas de educación y participación política.460 La Comisión Interamericana de Derechos Humanos ha concluido que los Estados “deben adoptar las medidas afirmativas necesarias para garantizar</w:t>
      </w:r>
      <w:r>
        <w:rPr>
          <w:spacing w:val="80"/>
          <w:sz w:val="15"/>
        </w:rPr>
        <w:t xml:space="preserve"> </w:t>
      </w:r>
      <w:r>
        <w:rPr>
          <w:sz w:val="15"/>
        </w:rPr>
        <w:t>el derecho efectivo a igual protección para todas las personas”461 a fin de cumplir con sus obligaciones bajo la Convención Americana sobre Derechos Humanos, mientras que la Convención Interamericana para la Eliminación de Todas las Formas de Discriminación e Intolerancia establece que los Estados “se comprometen a adoptar las políticas especiales y acciones afirmativas necesarias para asegurar el goce o ejercicio de los derechos y libertades fundamentales”.462 El Consejo de El Convenio Marco Europeo para la</w:t>
      </w:r>
      <w:r>
        <w:rPr>
          <w:spacing w:val="40"/>
          <w:sz w:val="15"/>
        </w:rPr>
        <w:t xml:space="preserve"> </w:t>
      </w:r>
      <w:r>
        <w:rPr>
          <w:sz w:val="15"/>
        </w:rPr>
        <w:t>Protección de las Minorías Nacionales exige que los Estados “se comprometan a adoptar, cuando sea necesario, medidas adecuadas</w:t>
      </w:r>
      <w:r>
        <w:rPr>
          <w:spacing w:val="40"/>
          <w:sz w:val="15"/>
        </w:rPr>
        <w:t xml:space="preserve"> </w:t>
      </w:r>
      <w:r>
        <w:rPr>
          <w:sz w:val="15"/>
        </w:rPr>
        <w:t>para promover, en todos los ámbitos de la vida económica, social, política y cultural, la igualdad plena y efectiva”463.</w:t>
      </w:r>
    </w:p>
    <w:p w14:paraId="4E6D0344" w14:textId="77777777" w:rsidR="0014798C" w:rsidRDefault="0014798C">
      <w:pPr>
        <w:pStyle w:val="Textoindependiente"/>
        <w:rPr>
          <w:sz w:val="15"/>
        </w:rPr>
      </w:pPr>
    </w:p>
    <w:p w14:paraId="47232AC2" w14:textId="77777777" w:rsidR="0014798C" w:rsidRDefault="0014798C">
      <w:pPr>
        <w:pStyle w:val="Textoindependiente"/>
        <w:spacing w:before="71"/>
        <w:rPr>
          <w:sz w:val="15"/>
        </w:rPr>
      </w:pPr>
    </w:p>
    <w:p w14:paraId="2B2C3343" w14:textId="77777777" w:rsidR="0014798C" w:rsidRDefault="004E1F0B">
      <w:pPr>
        <w:spacing w:line="348" w:lineRule="auto"/>
        <w:ind w:left="1108" w:right="1335" w:firstLine="2"/>
        <w:rPr>
          <w:sz w:val="15"/>
        </w:rPr>
      </w:pPr>
      <w:r>
        <w:rPr>
          <w:sz w:val="15"/>
        </w:rPr>
        <w:t>Tanto el Comité para la Eliminación de la Discriminación contra la Mujer como el Comité para la Eliminación de la Discriminación Racial</w:t>
      </w:r>
      <w:r>
        <w:rPr>
          <w:spacing w:val="80"/>
          <w:sz w:val="15"/>
        </w:rPr>
        <w:t xml:space="preserve"> </w:t>
      </w:r>
      <w:r>
        <w:rPr>
          <w:sz w:val="15"/>
        </w:rPr>
        <w:t>han señalado que, para dar efecto a sus obligaciones, los Estados deben incluir disposiciones sobre medidas especiales en sus sistemas jurídicos nacionales.464 El Comité para la Eliminación de la Discriminación contra la Mujer y el Comité para la Eliminación de la Discriminación Racial Eliminación de la Discriminación contra la Mujer también ha señalado que la legislación “puede brindar orientación sobre el tipo de medidas especiales temporales que deben aplicarse para lograr uno o varios objetivos establecidos en áreas</w:t>
      </w:r>
      <w:r>
        <w:rPr>
          <w:spacing w:val="40"/>
          <w:sz w:val="15"/>
        </w:rPr>
        <w:t xml:space="preserve"> </w:t>
      </w:r>
      <w:r>
        <w:rPr>
          <w:sz w:val="15"/>
        </w:rPr>
        <w:t>determinadas”. 465 Sin embargo, ambos órganos también han señalado que la acción positiva Las medidas pueden adoptarse o implementarse a través de medios no legislativos, como directivas, programas y directrices de política.466</w:t>
      </w:r>
    </w:p>
    <w:p w14:paraId="59B76290" w14:textId="77777777" w:rsidR="0014798C" w:rsidRDefault="004E1F0B">
      <w:pPr>
        <w:numPr>
          <w:ilvl w:val="0"/>
          <w:numId w:val="59"/>
        </w:numPr>
        <w:tabs>
          <w:tab w:val="left" w:pos="1367"/>
        </w:tabs>
        <w:spacing w:before="121"/>
        <w:ind w:left="1367" w:hanging="252"/>
        <w:rPr>
          <w:color w:val="00AC59"/>
          <w:sz w:val="23"/>
        </w:rPr>
      </w:pPr>
      <w:r>
        <w:rPr>
          <w:color w:val="00AC59"/>
          <w:sz w:val="23"/>
        </w:rPr>
        <w:t>Objeto</w:t>
      </w:r>
      <w:r>
        <w:rPr>
          <w:color w:val="00AC59"/>
          <w:spacing w:val="-10"/>
          <w:sz w:val="23"/>
        </w:rPr>
        <w:t xml:space="preserve"> </w:t>
      </w:r>
      <w:r>
        <w:rPr>
          <w:color w:val="00AC59"/>
          <w:sz w:val="23"/>
        </w:rPr>
        <w:t>y</w:t>
      </w:r>
      <w:r>
        <w:rPr>
          <w:color w:val="00AC59"/>
          <w:spacing w:val="-8"/>
          <w:sz w:val="23"/>
        </w:rPr>
        <w:t xml:space="preserve"> </w:t>
      </w:r>
      <w:r>
        <w:rPr>
          <w:color w:val="00AC59"/>
          <w:sz w:val="23"/>
        </w:rPr>
        <w:t>alcance</w:t>
      </w:r>
      <w:r>
        <w:rPr>
          <w:color w:val="00AC59"/>
          <w:spacing w:val="-8"/>
          <w:sz w:val="23"/>
        </w:rPr>
        <w:t xml:space="preserve"> </w:t>
      </w:r>
      <w:r>
        <w:rPr>
          <w:color w:val="00AC59"/>
          <w:sz w:val="23"/>
        </w:rPr>
        <w:t>de</w:t>
      </w:r>
      <w:r>
        <w:rPr>
          <w:color w:val="00AC59"/>
          <w:spacing w:val="-8"/>
          <w:sz w:val="23"/>
        </w:rPr>
        <w:t xml:space="preserve"> </w:t>
      </w:r>
      <w:r>
        <w:rPr>
          <w:color w:val="00AC59"/>
          <w:sz w:val="23"/>
        </w:rPr>
        <w:t>las</w:t>
      </w:r>
      <w:r>
        <w:rPr>
          <w:color w:val="00AC59"/>
          <w:spacing w:val="-8"/>
          <w:sz w:val="23"/>
        </w:rPr>
        <w:t xml:space="preserve"> </w:t>
      </w:r>
      <w:r>
        <w:rPr>
          <w:color w:val="00AC59"/>
          <w:sz w:val="23"/>
        </w:rPr>
        <w:t>medidas</w:t>
      </w:r>
      <w:r>
        <w:rPr>
          <w:color w:val="00AC59"/>
          <w:spacing w:val="-8"/>
          <w:sz w:val="23"/>
        </w:rPr>
        <w:t xml:space="preserve"> </w:t>
      </w:r>
      <w:r>
        <w:rPr>
          <w:color w:val="00AC59"/>
          <w:sz w:val="23"/>
        </w:rPr>
        <w:t>de</w:t>
      </w:r>
      <w:r>
        <w:rPr>
          <w:color w:val="00AC59"/>
          <w:spacing w:val="-9"/>
          <w:sz w:val="23"/>
        </w:rPr>
        <w:t xml:space="preserve"> </w:t>
      </w:r>
      <w:r>
        <w:rPr>
          <w:color w:val="00AC59"/>
          <w:sz w:val="23"/>
        </w:rPr>
        <w:t>acción</w:t>
      </w:r>
      <w:r>
        <w:rPr>
          <w:color w:val="00AC59"/>
          <w:spacing w:val="-8"/>
          <w:sz w:val="23"/>
        </w:rPr>
        <w:t xml:space="preserve"> </w:t>
      </w:r>
      <w:r>
        <w:rPr>
          <w:color w:val="00AC59"/>
          <w:spacing w:val="-2"/>
          <w:sz w:val="23"/>
        </w:rPr>
        <w:t>positiva</w:t>
      </w:r>
    </w:p>
    <w:p w14:paraId="6B4D0441" w14:textId="77777777" w:rsidR="0014798C" w:rsidRDefault="004E1F0B">
      <w:pPr>
        <w:spacing w:before="251" w:line="348" w:lineRule="auto"/>
        <w:ind w:left="1107" w:right="1463" w:hanging="1"/>
        <w:rPr>
          <w:sz w:val="15"/>
        </w:rPr>
      </w:pPr>
      <w:r>
        <w:rPr>
          <w:sz w:val="15"/>
        </w:rPr>
        <w:t>Existe un amplio consenso entre los órganos creados en virtud de tratados en que la acción positiva incluye cualquier medida adoptada con el fin de promover la igualdad de un grupo expuesto a la discriminación.</w:t>
      </w:r>
    </w:p>
    <w:p w14:paraId="04A91892" w14:textId="77777777" w:rsidR="0014798C" w:rsidRDefault="004E1F0B">
      <w:pPr>
        <w:spacing w:before="156"/>
        <w:ind w:left="1115"/>
        <w:rPr>
          <w:sz w:val="20"/>
        </w:rPr>
      </w:pPr>
      <w:r>
        <w:rPr>
          <w:sz w:val="20"/>
        </w:rPr>
        <w:t>a)</w:t>
      </w:r>
      <w:r>
        <w:rPr>
          <w:spacing w:val="-6"/>
          <w:sz w:val="20"/>
        </w:rPr>
        <w:t xml:space="preserve"> </w:t>
      </w:r>
      <w:r>
        <w:rPr>
          <w:sz w:val="20"/>
        </w:rPr>
        <w:t>Los</w:t>
      </w:r>
      <w:r>
        <w:rPr>
          <w:spacing w:val="-6"/>
          <w:sz w:val="20"/>
        </w:rPr>
        <w:t xml:space="preserve"> </w:t>
      </w:r>
      <w:r>
        <w:rPr>
          <w:sz w:val="20"/>
        </w:rPr>
        <w:t>objetivos</w:t>
      </w:r>
      <w:r>
        <w:rPr>
          <w:spacing w:val="-6"/>
          <w:sz w:val="20"/>
        </w:rPr>
        <w:t xml:space="preserve"> </w:t>
      </w:r>
      <w:r>
        <w:rPr>
          <w:sz w:val="20"/>
        </w:rPr>
        <w:t>de</w:t>
      </w:r>
      <w:r>
        <w:rPr>
          <w:spacing w:val="-6"/>
          <w:sz w:val="20"/>
        </w:rPr>
        <w:t xml:space="preserve"> </w:t>
      </w:r>
      <w:r>
        <w:rPr>
          <w:sz w:val="20"/>
        </w:rPr>
        <w:t>la</w:t>
      </w:r>
      <w:r>
        <w:rPr>
          <w:spacing w:val="-6"/>
          <w:sz w:val="20"/>
        </w:rPr>
        <w:t xml:space="preserve"> </w:t>
      </w:r>
      <w:r>
        <w:rPr>
          <w:sz w:val="20"/>
        </w:rPr>
        <w:t>acción</w:t>
      </w:r>
      <w:r>
        <w:rPr>
          <w:spacing w:val="-6"/>
          <w:sz w:val="20"/>
        </w:rPr>
        <w:t xml:space="preserve"> </w:t>
      </w:r>
      <w:r>
        <w:rPr>
          <w:spacing w:val="-2"/>
          <w:sz w:val="20"/>
        </w:rPr>
        <w:t>positiva</w:t>
      </w:r>
    </w:p>
    <w:p w14:paraId="66203C54" w14:textId="77777777" w:rsidR="0014798C" w:rsidRDefault="0014798C">
      <w:pPr>
        <w:pStyle w:val="Textoindependiente"/>
        <w:spacing w:before="16"/>
        <w:rPr>
          <w:sz w:val="15"/>
        </w:rPr>
      </w:pPr>
    </w:p>
    <w:p w14:paraId="7DB7518E" w14:textId="77777777" w:rsidR="0014798C" w:rsidRDefault="004E1F0B">
      <w:pPr>
        <w:spacing w:before="1" w:line="350" w:lineRule="auto"/>
        <w:ind w:left="1105" w:right="1463"/>
        <w:rPr>
          <w:sz w:val="15"/>
        </w:rPr>
      </w:pPr>
      <w:r>
        <w:rPr>
          <w:sz w:val="15"/>
        </w:rPr>
        <w:t xml:space="preserve">La Convención Internacional sobre la Eliminación de todas las Formas de Discriminación Racial, la Convención sobre la Eliminación de Todas las Formas de Discriminación contra la Mujer y la Convención sobre los Derechos de las Personas con Discapacidad definen las medidas especiales como “necesarias para garantizar… igual goce o </w:t>
      </w:r>
      <w:proofErr w:type="gramStart"/>
      <w:r>
        <w:rPr>
          <w:sz w:val="15"/>
        </w:rPr>
        <w:t>ejercicio ”</w:t>
      </w:r>
      <w:proofErr w:type="gramEnd"/>
      <w:r>
        <w:rPr>
          <w:sz w:val="15"/>
        </w:rPr>
        <w:t xml:space="preserve"> de derechos,467 “destinados a acelerar la igualdad de facto”468 y “necesarios para acelerar o lograr la igualdad de </w:t>
      </w:r>
      <w:proofErr w:type="gramStart"/>
      <w:r>
        <w:rPr>
          <w:sz w:val="15"/>
        </w:rPr>
        <w:t>facto ”</w:t>
      </w:r>
      <w:proofErr w:type="gramEnd"/>
      <w:r>
        <w:rPr>
          <w:sz w:val="15"/>
        </w:rPr>
        <w:t>,469 respectivamente. El Comité para la Eliminación de la Discriminación Racial ha enfatizado que “las medidas especiales no son una excepción al principio de no discriminación, sino que son parte integral de su significado” y del objetivo de promover la “igualdad efectiva”.470 El Comité sobre los Derechos de Personas con Discapacidad ha definido medidas de acción positiva en términos similares, señalando que “implican adoptar o mantener ciertas</w:t>
      </w:r>
    </w:p>
    <w:p w14:paraId="7CC0BC21" w14:textId="77777777" w:rsidR="0014798C" w:rsidRDefault="0014798C">
      <w:pPr>
        <w:pStyle w:val="Textoindependiente"/>
        <w:rPr>
          <w:sz w:val="20"/>
        </w:rPr>
      </w:pPr>
    </w:p>
    <w:p w14:paraId="08FE2E76" w14:textId="77777777" w:rsidR="0014798C" w:rsidRDefault="0014798C">
      <w:pPr>
        <w:pStyle w:val="Textoindependiente"/>
        <w:spacing w:before="52"/>
        <w:rPr>
          <w:sz w:val="20"/>
        </w:rPr>
      </w:pPr>
    </w:p>
    <w:p w14:paraId="1A490AB5" w14:textId="77777777" w:rsidR="0014798C" w:rsidRDefault="0014798C">
      <w:pPr>
        <w:rPr>
          <w:sz w:val="20"/>
        </w:rPr>
        <w:sectPr w:rsidR="0014798C" w:rsidSect="00F265E4">
          <w:pgSz w:w="11900" w:h="16820"/>
          <w:pgMar w:top="340" w:right="0" w:bottom="280" w:left="200" w:header="121" w:footer="0" w:gutter="0"/>
          <w:cols w:space="720"/>
        </w:sectPr>
      </w:pPr>
    </w:p>
    <w:p w14:paraId="7F2C912D" w14:textId="77777777" w:rsidR="0014798C" w:rsidRDefault="0014798C">
      <w:pPr>
        <w:pStyle w:val="Textoindependiente"/>
        <w:spacing w:before="10"/>
        <w:rPr>
          <w:sz w:val="8"/>
        </w:rPr>
      </w:pPr>
    </w:p>
    <w:p w14:paraId="6BCA59DD" w14:textId="77777777" w:rsidR="0014798C" w:rsidRDefault="004E1F0B">
      <w:pPr>
        <w:jc w:val="right"/>
        <w:rPr>
          <w:sz w:val="8"/>
        </w:rPr>
      </w:pPr>
      <w:r>
        <w:rPr>
          <w:spacing w:val="-5"/>
          <w:w w:val="105"/>
          <w:sz w:val="8"/>
        </w:rPr>
        <w:t>460</w:t>
      </w:r>
    </w:p>
    <w:p w14:paraId="4CE6707D" w14:textId="77777777" w:rsidR="0014798C" w:rsidRDefault="004E1F0B">
      <w:pPr>
        <w:spacing w:before="53"/>
        <w:rPr>
          <w:sz w:val="10"/>
        </w:rPr>
      </w:pPr>
      <w:r>
        <w:br w:type="column"/>
      </w:r>
    </w:p>
    <w:p w14:paraId="3F765955" w14:textId="77777777" w:rsidR="0014798C" w:rsidRDefault="004E1F0B">
      <w:pPr>
        <w:spacing w:line="374" w:lineRule="auto"/>
        <w:ind w:left="79" w:right="1340" w:firstLine="4"/>
        <w:rPr>
          <w:sz w:val="10"/>
        </w:rPr>
      </w:pPr>
      <w:r>
        <w:rPr>
          <w:w w:val="105"/>
          <w:sz w:val="10"/>
        </w:rPr>
        <w:t>Véase,</w:t>
      </w:r>
      <w:r>
        <w:rPr>
          <w:spacing w:val="-3"/>
          <w:w w:val="105"/>
          <w:sz w:val="10"/>
        </w:rPr>
        <w:t xml:space="preserve"> </w:t>
      </w:r>
      <w:r>
        <w:rPr>
          <w:w w:val="105"/>
          <w:sz w:val="10"/>
        </w:rPr>
        <w:t>por</w:t>
      </w:r>
      <w:r>
        <w:rPr>
          <w:spacing w:val="-3"/>
          <w:w w:val="105"/>
          <w:sz w:val="10"/>
        </w:rPr>
        <w:t xml:space="preserve"> </w:t>
      </w:r>
      <w:r>
        <w:rPr>
          <w:w w:val="105"/>
          <w:sz w:val="10"/>
        </w:rPr>
        <w:t>ejemplo,</w:t>
      </w:r>
      <w:r>
        <w:rPr>
          <w:spacing w:val="-3"/>
          <w:w w:val="105"/>
          <w:sz w:val="10"/>
        </w:rPr>
        <w:t xml:space="preserve"> </w:t>
      </w:r>
      <w:r>
        <w:rPr>
          <w:w w:val="105"/>
          <w:sz w:val="10"/>
        </w:rPr>
        <w:t>Protocolo</w:t>
      </w:r>
      <w:r>
        <w:rPr>
          <w:spacing w:val="-4"/>
          <w:w w:val="105"/>
          <w:sz w:val="10"/>
        </w:rPr>
        <w:t xml:space="preserve"> </w:t>
      </w:r>
      <w:r>
        <w:rPr>
          <w:w w:val="105"/>
          <w:sz w:val="10"/>
        </w:rPr>
        <w:t>de</w:t>
      </w:r>
      <w:r>
        <w:rPr>
          <w:spacing w:val="-3"/>
          <w:w w:val="105"/>
          <w:sz w:val="10"/>
        </w:rPr>
        <w:t xml:space="preserve"> </w:t>
      </w:r>
      <w:r>
        <w:rPr>
          <w:w w:val="105"/>
          <w:sz w:val="10"/>
        </w:rPr>
        <w:t>la</w:t>
      </w:r>
      <w:r>
        <w:rPr>
          <w:spacing w:val="-3"/>
          <w:w w:val="105"/>
          <w:sz w:val="10"/>
        </w:rPr>
        <w:t xml:space="preserve"> </w:t>
      </w:r>
      <w:r>
        <w:rPr>
          <w:w w:val="105"/>
          <w:sz w:val="10"/>
        </w:rPr>
        <w:t>Carta</w:t>
      </w:r>
      <w:r>
        <w:rPr>
          <w:spacing w:val="-3"/>
          <w:w w:val="105"/>
          <w:sz w:val="10"/>
        </w:rPr>
        <w:t xml:space="preserve"> </w:t>
      </w:r>
      <w:r>
        <w:rPr>
          <w:w w:val="105"/>
          <w:sz w:val="10"/>
        </w:rPr>
        <w:t>Africana</w:t>
      </w:r>
      <w:r>
        <w:rPr>
          <w:spacing w:val="-4"/>
          <w:w w:val="105"/>
          <w:sz w:val="10"/>
        </w:rPr>
        <w:t xml:space="preserve"> </w:t>
      </w:r>
      <w:r>
        <w:rPr>
          <w:w w:val="105"/>
          <w:sz w:val="10"/>
        </w:rPr>
        <w:t>de</w:t>
      </w:r>
      <w:r>
        <w:rPr>
          <w:spacing w:val="-3"/>
          <w:w w:val="105"/>
          <w:sz w:val="10"/>
        </w:rPr>
        <w:t xml:space="preserve"> </w:t>
      </w:r>
      <w:r>
        <w:rPr>
          <w:w w:val="105"/>
          <w:sz w:val="10"/>
        </w:rPr>
        <w:t>Derechos</w:t>
      </w:r>
      <w:r>
        <w:rPr>
          <w:spacing w:val="-3"/>
          <w:w w:val="105"/>
          <w:sz w:val="10"/>
        </w:rPr>
        <w:t xml:space="preserve"> </w:t>
      </w:r>
      <w:r>
        <w:rPr>
          <w:w w:val="105"/>
          <w:sz w:val="10"/>
        </w:rPr>
        <w:t>Humanos</w:t>
      </w:r>
      <w:r>
        <w:rPr>
          <w:spacing w:val="-3"/>
          <w:w w:val="105"/>
          <w:sz w:val="10"/>
        </w:rPr>
        <w:t xml:space="preserve"> </w:t>
      </w:r>
      <w:r>
        <w:rPr>
          <w:w w:val="105"/>
          <w:sz w:val="10"/>
        </w:rPr>
        <w:t>y</w:t>
      </w:r>
      <w:r>
        <w:rPr>
          <w:spacing w:val="-3"/>
          <w:w w:val="105"/>
          <w:sz w:val="10"/>
        </w:rPr>
        <w:t xml:space="preserve"> </w:t>
      </w:r>
      <w:r>
        <w:rPr>
          <w:w w:val="105"/>
          <w:sz w:val="10"/>
        </w:rPr>
        <w:t>de</w:t>
      </w:r>
      <w:r>
        <w:rPr>
          <w:spacing w:val="-3"/>
          <w:w w:val="105"/>
          <w:sz w:val="10"/>
        </w:rPr>
        <w:t xml:space="preserve"> </w:t>
      </w:r>
      <w:r>
        <w:rPr>
          <w:w w:val="105"/>
          <w:sz w:val="10"/>
        </w:rPr>
        <w:t>los</w:t>
      </w:r>
      <w:r>
        <w:rPr>
          <w:spacing w:val="-3"/>
          <w:w w:val="105"/>
          <w:sz w:val="10"/>
        </w:rPr>
        <w:t xml:space="preserve"> </w:t>
      </w:r>
      <w:r>
        <w:rPr>
          <w:w w:val="105"/>
          <w:sz w:val="10"/>
        </w:rPr>
        <w:t>Pueblos</w:t>
      </w:r>
      <w:r>
        <w:rPr>
          <w:spacing w:val="-4"/>
          <w:w w:val="105"/>
          <w:sz w:val="10"/>
        </w:rPr>
        <w:t xml:space="preserve"> </w:t>
      </w:r>
      <w:r>
        <w:rPr>
          <w:w w:val="105"/>
          <w:sz w:val="10"/>
        </w:rPr>
        <w:t>relativo</w:t>
      </w:r>
      <w:r>
        <w:rPr>
          <w:spacing w:val="-3"/>
          <w:w w:val="105"/>
          <w:sz w:val="10"/>
        </w:rPr>
        <w:t xml:space="preserve"> </w:t>
      </w:r>
      <w:r>
        <w:rPr>
          <w:w w:val="105"/>
          <w:sz w:val="10"/>
        </w:rPr>
        <w:t>a</w:t>
      </w:r>
      <w:r>
        <w:rPr>
          <w:spacing w:val="-3"/>
          <w:w w:val="105"/>
          <w:sz w:val="10"/>
        </w:rPr>
        <w:t xml:space="preserve"> </w:t>
      </w:r>
      <w:r>
        <w:rPr>
          <w:w w:val="105"/>
          <w:sz w:val="10"/>
        </w:rPr>
        <w:t>los</w:t>
      </w:r>
      <w:r>
        <w:rPr>
          <w:spacing w:val="-3"/>
          <w:w w:val="105"/>
          <w:sz w:val="10"/>
        </w:rPr>
        <w:t xml:space="preserve"> </w:t>
      </w:r>
      <w:r>
        <w:rPr>
          <w:w w:val="105"/>
          <w:sz w:val="10"/>
        </w:rPr>
        <w:t>derechos</w:t>
      </w:r>
      <w:r>
        <w:rPr>
          <w:spacing w:val="-3"/>
          <w:w w:val="105"/>
          <w:sz w:val="10"/>
        </w:rPr>
        <w:t xml:space="preserve"> </w:t>
      </w:r>
      <w:r>
        <w:rPr>
          <w:w w:val="105"/>
          <w:sz w:val="10"/>
        </w:rPr>
        <w:t>de</w:t>
      </w:r>
      <w:r>
        <w:rPr>
          <w:spacing w:val="-3"/>
          <w:w w:val="105"/>
          <w:sz w:val="10"/>
        </w:rPr>
        <w:t xml:space="preserve"> </w:t>
      </w:r>
      <w:r>
        <w:rPr>
          <w:w w:val="105"/>
          <w:sz w:val="10"/>
        </w:rPr>
        <w:t>la</w:t>
      </w:r>
      <w:r>
        <w:rPr>
          <w:spacing w:val="-3"/>
          <w:w w:val="105"/>
          <w:sz w:val="10"/>
        </w:rPr>
        <w:t xml:space="preserve"> </w:t>
      </w:r>
      <w:r>
        <w:rPr>
          <w:w w:val="105"/>
          <w:sz w:val="10"/>
        </w:rPr>
        <w:t>mujer</w:t>
      </w:r>
      <w:r>
        <w:rPr>
          <w:spacing w:val="-3"/>
          <w:w w:val="105"/>
          <w:sz w:val="10"/>
        </w:rPr>
        <w:t xml:space="preserve"> </w:t>
      </w:r>
      <w:r>
        <w:rPr>
          <w:w w:val="105"/>
          <w:sz w:val="10"/>
        </w:rPr>
        <w:t>en</w:t>
      </w:r>
      <w:r>
        <w:rPr>
          <w:spacing w:val="-3"/>
          <w:w w:val="105"/>
          <w:sz w:val="10"/>
        </w:rPr>
        <w:t xml:space="preserve"> </w:t>
      </w:r>
      <w:r>
        <w:rPr>
          <w:w w:val="105"/>
          <w:sz w:val="10"/>
        </w:rPr>
        <w:t>África</w:t>
      </w:r>
      <w:r>
        <w:rPr>
          <w:spacing w:val="-4"/>
          <w:w w:val="105"/>
          <w:sz w:val="10"/>
        </w:rPr>
        <w:t xml:space="preserve"> </w:t>
      </w:r>
      <w:r>
        <w:rPr>
          <w:w w:val="105"/>
          <w:sz w:val="10"/>
        </w:rPr>
        <w:t>(Protocolo</w:t>
      </w:r>
      <w:r>
        <w:rPr>
          <w:spacing w:val="-4"/>
          <w:w w:val="105"/>
          <w:sz w:val="10"/>
        </w:rPr>
        <w:t xml:space="preserve"> </w:t>
      </w:r>
      <w:r>
        <w:rPr>
          <w:w w:val="105"/>
          <w:sz w:val="10"/>
        </w:rPr>
        <w:t>de</w:t>
      </w:r>
      <w:r>
        <w:rPr>
          <w:spacing w:val="-3"/>
          <w:w w:val="105"/>
          <w:sz w:val="10"/>
        </w:rPr>
        <w:t xml:space="preserve"> </w:t>
      </w:r>
      <w:r>
        <w:rPr>
          <w:w w:val="105"/>
          <w:sz w:val="10"/>
        </w:rPr>
        <w:t>Maputo),</w:t>
      </w:r>
      <w:r>
        <w:rPr>
          <w:spacing w:val="-3"/>
          <w:w w:val="105"/>
          <w:sz w:val="10"/>
        </w:rPr>
        <w:t xml:space="preserve"> </w:t>
      </w:r>
      <w:r>
        <w:rPr>
          <w:w w:val="105"/>
          <w:sz w:val="10"/>
        </w:rPr>
        <w:t>arts.</w:t>
      </w:r>
      <w:r>
        <w:rPr>
          <w:spacing w:val="-3"/>
          <w:w w:val="105"/>
          <w:sz w:val="10"/>
        </w:rPr>
        <w:t xml:space="preserve"> </w:t>
      </w:r>
      <w:r>
        <w:rPr>
          <w:w w:val="105"/>
          <w:sz w:val="10"/>
        </w:rPr>
        <w:t>2</w:t>
      </w:r>
      <w:r>
        <w:rPr>
          <w:spacing w:val="-3"/>
          <w:w w:val="105"/>
          <w:sz w:val="10"/>
        </w:rPr>
        <w:t xml:space="preserve"> </w:t>
      </w:r>
      <w:r>
        <w:rPr>
          <w:w w:val="105"/>
          <w:sz w:val="10"/>
        </w:rPr>
        <w:t>(d),</w:t>
      </w:r>
      <w:r>
        <w:rPr>
          <w:spacing w:val="-3"/>
          <w:w w:val="105"/>
          <w:sz w:val="10"/>
        </w:rPr>
        <w:t xml:space="preserve"> </w:t>
      </w:r>
      <w:r>
        <w:rPr>
          <w:w w:val="105"/>
          <w:sz w:val="10"/>
        </w:rPr>
        <w:t>9</w:t>
      </w:r>
      <w:r>
        <w:rPr>
          <w:spacing w:val="-3"/>
          <w:w w:val="105"/>
          <w:sz w:val="10"/>
        </w:rPr>
        <w:t xml:space="preserve"> </w:t>
      </w:r>
      <w:r>
        <w:rPr>
          <w:w w:val="105"/>
          <w:sz w:val="10"/>
        </w:rPr>
        <w:t>(1)</w:t>
      </w:r>
      <w:r>
        <w:rPr>
          <w:spacing w:val="-3"/>
          <w:w w:val="105"/>
          <w:sz w:val="10"/>
        </w:rPr>
        <w:t xml:space="preserve"> </w:t>
      </w:r>
      <w:r>
        <w:rPr>
          <w:w w:val="105"/>
          <w:sz w:val="10"/>
        </w:rPr>
        <w:t>y</w:t>
      </w:r>
      <w:r>
        <w:rPr>
          <w:spacing w:val="-3"/>
          <w:w w:val="105"/>
          <w:sz w:val="10"/>
        </w:rPr>
        <w:t xml:space="preserve"> </w:t>
      </w:r>
      <w:r>
        <w:rPr>
          <w:w w:val="105"/>
          <w:sz w:val="10"/>
        </w:rPr>
        <w:t>12</w:t>
      </w:r>
      <w:r>
        <w:rPr>
          <w:spacing w:val="-3"/>
          <w:w w:val="105"/>
          <w:sz w:val="10"/>
        </w:rPr>
        <w:t xml:space="preserve"> </w:t>
      </w:r>
      <w:r>
        <w:rPr>
          <w:w w:val="105"/>
          <w:sz w:val="10"/>
        </w:rPr>
        <w:t>(2),</w:t>
      </w:r>
      <w:r>
        <w:rPr>
          <w:spacing w:val="-3"/>
          <w:w w:val="105"/>
          <w:sz w:val="10"/>
        </w:rPr>
        <w:t xml:space="preserve"> </w:t>
      </w:r>
      <w:r>
        <w:rPr>
          <w:w w:val="105"/>
          <w:sz w:val="10"/>
        </w:rPr>
        <w:t>que</w:t>
      </w:r>
      <w:r>
        <w:rPr>
          <w:spacing w:val="40"/>
          <w:w w:val="105"/>
          <w:sz w:val="10"/>
        </w:rPr>
        <w:t xml:space="preserve"> </w:t>
      </w:r>
      <w:r>
        <w:rPr>
          <w:w w:val="105"/>
          <w:sz w:val="10"/>
        </w:rPr>
        <w:t>ordenan</w:t>
      </w:r>
      <w:r>
        <w:rPr>
          <w:spacing w:val="-6"/>
          <w:w w:val="105"/>
          <w:sz w:val="10"/>
        </w:rPr>
        <w:t xml:space="preserve"> </w:t>
      </w:r>
      <w:r>
        <w:rPr>
          <w:w w:val="105"/>
          <w:sz w:val="10"/>
        </w:rPr>
        <w:t>la</w:t>
      </w:r>
      <w:r>
        <w:rPr>
          <w:spacing w:val="-6"/>
          <w:w w:val="105"/>
          <w:sz w:val="10"/>
        </w:rPr>
        <w:t xml:space="preserve"> </w:t>
      </w:r>
      <w:r>
        <w:rPr>
          <w:w w:val="105"/>
          <w:sz w:val="10"/>
        </w:rPr>
        <w:t>adopción</w:t>
      </w:r>
      <w:r>
        <w:rPr>
          <w:spacing w:val="-6"/>
          <w:w w:val="105"/>
          <w:sz w:val="10"/>
        </w:rPr>
        <w:t xml:space="preserve"> </w:t>
      </w:r>
      <w:r>
        <w:rPr>
          <w:w w:val="105"/>
          <w:sz w:val="10"/>
        </w:rPr>
        <w:t>de</w:t>
      </w:r>
      <w:r>
        <w:rPr>
          <w:spacing w:val="-6"/>
          <w:w w:val="105"/>
          <w:sz w:val="10"/>
        </w:rPr>
        <w:t xml:space="preserve"> </w:t>
      </w:r>
      <w:r>
        <w:rPr>
          <w:w w:val="105"/>
          <w:sz w:val="10"/>
        </w:rPr>
        <w:t>acciones</w:t>
      </w:r>
      <w:r>
        <w:rPr>
          <w:spacing w:val="-6"/>
          <w:w w:val="105"/>
          <w:sz w:val="10"/>
        </w:rPr>
        <w:t xml:space="preserve"> </w:t>
      </w:r>
      <w:r>
        <w:rPr>
          <w:w w:val="105"/>
          <w:sz w:val="10"/>
        </w:rPr>
        <w:t>positivas</w:t>
      </w:r>
      <w:r>
        <w:rPr>
          <w:spacing w:val="-7"/>
          <w:w w:val="105"/>
          <w:sz w:val="10"/>
        </w:rPr>
        <w:t xml:space="preserve"> </w:t>
      </w:r>
      <w:r>
        <w:rPr>
          <w:w w:val="105"/>
          <w:sz w:val="10"/>
        </w:rPr>
        <w:t>con</w:t>
      </w:r>
      <w:r>
        <w:rPr>
          <w:spacing w:val="-6"/>
          <w:w w:val="105"/>
          <w:sz w:val="10"/>
        </w:rPr>
        <w:t xml:space="preserve"> </w:t>
      </w:r>
      <w:r>
        <w:rPr>
          <w:w w:val="105"/>
          <w:sz w:val="10"/>
        </w:rPr>
        <w:t>respecto</w:t>
      </w:r>
      <w:r>
        <w:rPr>
          <w:spacing w:val="-6"/>
          <w:w w:val="105"/>
          <w:sz w:val="10"/>
        </w:rPr>
        <w:t xml:space="preserve"> </w:t>
      </w:r>
      <w:r>
        <w:rPr>
          <w:w w:val="105"/>
          <w:sz w:val="10"/>
        </w:rPr>
        <w:t>a</w:t>
      </w:r>
      <w:r>
        <w:rPr>
          <w:spacing w:val="-6"/>
          <w:w w:val="105"/>
          <w:sz w:val="10"/>
        </w:rPr>
        <w:t xml:space="preserve"> </w:t>
      </w:r>
      <w:r>
        <w:rPr>
          <w:w w:val="105"/>
          <w:sz w:val="10"/>
        </w:rPr>
        <w:t>la</w:t>
      </w:r>
      <w:r>
        <w:rPr>
          <w:spacing w:val="-6"/>
          <w:w w:val="105"/>
          <w:sz w:val="10"/>
        </w:rPr>
        <w:t xml:space="preserve"> </w:t>
      </w:r>
      <w:r>
        <w:rPr>
          <w:w w:val="105"/>
          <w:sz w:val="10"/>
        </w:rPr>
        <w:t>participación</w:t>
      </w:r>
      <w:r>
        <w:rPr>
          <w:spacing w:val="-6"/>
          <w:w w:val="105"/>
          <w:sz w:val="10"/>
        </w:rPr>
        <w:t xml:space="preserve"> </w:t>
      </w:r>
      <w:r>
        <w:rPr>
          <w:w w:val="105"/>
          <w:sz w:val="10"/>
        </w:rPr>
        <w:t>política</w:t>
      </w:r>
      <w:r>
        <w:rPr>
          <w:spacing w:val="-7"/>
          <w:w w:val="105"/>
          <w:sz w:val="10"/>
        </w:rPr>
        <w:t xml:space="preserve"> </w:t>
      </w:r>
      <w:r>
        <w:rPr>
          <w:w w:val="105"/>
          <w:sz w:val="10"/>
        </w:rPr>
        <w:t>y</w:t>
      </w:r>
      <w:r>
        <w:rPr>
          <w:spacing w:val="-6"/>
          <w:w w:val="105"/>
          <w:sz w:val="10"/>
        </w:rPr>
        <w:t xml:space="preserve"> </w:t>
      </w:r>
      <w:r>
        <w:rPr>
          <w:w w:val="105"/>
          <w:sz w:val="10"/>
        </w:rPr>
        <w:t>la</w:t>
      </w:r>
      <w:r>
        <w:rPr>
          <w:spacing w:val="-6"/>
          <w:w w:val="105"/>
          <w:sz w:val="10"/>
        </w:rPr>
        <w:t xml:space="preserve"> </w:t>
      </w:r>
      <w:r>
        <w:rPr>
          <w:w w:val="105"/>
          <w:sz w:val="10"/>
        </w:rPr>
        <w:t>educación;</w:t>
      </w:r>
      <w:r>
        <w:rPr>
          <w:spacing w:val="-6"/>
          <w:w w:val="105"/>
          <w:sz w:val="10"/>
        </w:rPr>
        <w:t xml:space="preserve"> </w:t>
      </w:r>
      <w:r>
        <w:rPr>
          <w:w w:val="105"/>
          <w:sz w:val="10"/>
        </w:rPr>
        <w:t>y</w:t>
      </w:r>
      <w:r>
        <w:rPr>
          <w:spacing w:val="-6"/>
          <w:w w:val="105"/>
          <w:sz w:val="10"/>
        </w:rPr>
        <w:t xml:space="preserve"> </w:t>
      </w:r>
      <w:r>
        <w:rPr>
          <w:w w:val="105"/>
          <w:sz w:val="10"/>
        </w:rPr>
        <w:t>Protocolo</w:t>
      </w:r>
      <w:r>
        <w:rPr>
          <w:spacing w:val="-7"/>
          <w:w w:val="105"/>
          <w:sz w:val="10"/>
        </w:rPr>
        <w:t xml:space="preserve"> </w:t>
      </w:r>
      <w:r>
        <w:rPr>
          <w:w w:val="105"/>
          <w:sz w:val="10"/>
        </w:rPr>
        <w:t>de</w:t>
      </w:r>
      <w:r>
        <w:rPr>
          <w:spacing w:val="-6"/>
          <w:w w:val="105"/>
          <w:sz w:val="10"/>
        </w:rPr>
        <w:t xml:space="preserve"> </w:t>
      </w:r>
      <w:r>
        <w:rPr>
          <w:w w:val="105"/>
          <w:sz w:val="10"/>
        </w:rPr>
        <w:t>la</w:t>
      </w:r>
      <w:r>
        <w:rPr>
          <w:spacing w:val="-6"/>
          <w:w w:val="105"/>
          <w:sz w:val="10"/>
        </w:rPr>
        <w:t xml:space="preserve"> </w:t>
      </w:r>
      <w:r>
        <w:rPr>
          <w:w w:val="105"/>
          <w:sz w:val="10"/>
        </w:rPr>
        <w:t>Carta</w:t>
      </w:r>
      <w:r>
        <w:rPr>
          <w:spacing w:val="-6"/>
          <w:w w:val="105"/>
          <w:sz w:val="10"/>
        </w:rPr>
        <w:t xml:space="preserve"> </w:t>
      </w:r>
      <w:r>
        <w:rPr>
          <w:w w:val="105"/>
          <w:sz w:val="10"/>
        </w:rPr>
        <w:t>Africana</w:t>
      </w:r>
      <w:r>
        <w:rPr>
          <w:spacing w:val="-7"/>
          <w:w w:val="105"/>
          <w:sz w:val="10"/>
        </w:rPr>
        <w:t xml:space="preserve"> </w:t>
      </w:r>
      <w:r>
        <w:rPr>
          <w:w w:val="105"/>
          <w:sz w:val="10"/>
        </w:rPr>
        <w:t>de</w:t>
      </w:r>
      <w:r>
        <w:rPr>
          <w:spacing w:val="-6"/>
          <w:w w:val="105"/>
          <w:sz w:val="10"/>
        </w:rPr>
        <w:t xml:space="preserve"> </w:t>
      </w:r>
      <w:r>
        <w:rPr>
          <w:w w:val="105"/>
          <w:sz w:val="10"/>
        </w:rPr>
        <w:t>Derechos</w:t>
      </w:r>
      <w:r>
        <w:rPr>
          <w:spacing w:val="-6"/>
          <w:w w:val="105"/>
          <w:sz w:val="10"/>
        </w:rPr>
        <w:t xml:space="preserve"> </w:t>
      </w:r>
      <w:r>
        <w:rPr>
          <w:w w:val="105"/>
          <w:sz w:val="10"/>
        </w:rPr>
        <w:t>Humanos</w:t>
      </w:r>
      <w:r>
        <w:rPr>
          <w:spacing w:val="-6"/>
          <w:w w:val="105"/>
          <w:sz w:val="10"/>
        </w:rPr>
        <w:t xml:space="preserve"> </w:t>
      </w:r>
      <w:r>
        <w:rPr>
          <w:w w:val="105"/>
          <w:sz w:val="10"/>
        </w:rPr>
        <w:t>y</w:t>
      </w:r>
      <w:r>
        <w:rPr>
          <w:spacing w:val="-6"/>
          <w:w w:val="105"/>
          <w:sz w:val="10"/>
        </w:rPr>
        <w:t xml:space="preserve"> </w:t>
      </w:r>
      <w:r>
        <w:rPr>
          <w:w w:val="105"/>
          <w:sz w:val="10"/>
        </w:rPr>
        <w:t>de</w:t>
      </w:r>
      <w:r>
        <w:rPr>
          <w:spacing w:val="-6"/>
          <w:w w:val="105"/>
          <w:sz w:val="10"/>
        </w:rPr>
        <w:t xml:space="preserve"> </w:t>
      </w:r>
      <w:r>
        <w:rPr>
          <w:w w:val="105"/>
          <w:sz w:val="10"/>
        </w:rPr>
        <w:t>los</w:t>
      </w:r>
      <w:r>
        <w:rPr>
          <w:spacing w:val="-6"/>
          <w:w w:val="105"/>
          <w:sz w:val="10"/>
        </w:rPr>
        <w:t xml:space="preserve"> </w:t>
      </w:r>
      <w:r>
        <w:rPr>
          <w:w w:val="105"/>
          <w:sz w:val="10"/>
        </w:rPr>
        <w:t>Pueblos</w:t>
      </w:r>
      <w:r>
        <w:rPr>
          <w:spacing w:val="-7"/>
          <w:w w:val="105"/>
          <w:sz w:val="10"/>
        </w:rPr>
        <w:t xml:space="preserve"> </w:t>
      </w:r>
      <w:r>
        <w:rPr>
          <w:w w:val="105"/>
          <w:sz w:val="10"/>
        </w:rPr>
        <w:t>sobre</w:t>
      </w:r>
      <w:r>
        <w:rPr>
          <w:spacing w:val="-6"/>
          <w:w w:val="105"/>
          <w:sz w:val="10"/>
        </w:rPr>
        <w:t xml:space="preserve"> </w:t>
      </w:r>
      <w:r>
        <w:rPr>
          <w:w w:val="105"/>
          <w:sz w:val="10"/>
        </w:rPr>
        <w:t>los</w:t>
      </w:r>
      <w:r>
        <w:rPr>
          <w:spacing w:val="-6"/>
          <w:w w:val="105"/>
          <w:sz w:val="10"/>
        </w:rPr>
        <w:t xml:space="preserve"> </w:t>
      </w:r>
      <w:r>
        <w:rPr>
          <w:w w:val="105"/>
          <w:sz w:val="10"/>
        </w:rPr>
        <w:t>derechos</w:t>
      </w:r>
      <w:r>
        <w:rPr>
          <w:spacing w:val="-6"/>
          <w:w w:val="105"/>
          <w:sz w:val="10"/>
        </w:rPr>
        <w:t xml:space="preserve"> </w:t>
      </w:r>
      <w:r>
        <w:rPr>
          <w:w w:val="105"/>
          <w:sz w:val="10"/>
        </w:rPr>
        <w:t>de</w:t>
      </w:r>
      <w:r>
        <w:rPr>
          <w:spacing w:val="40"/>
          <w:w w:val="105"/>
          <w:sz w:val="10"/>
        </w:rPr>
        <w:t xml:space="preserve"> </w:t>
      </w:r>
      <w:r>
        <w:rPr>
          <w:w w:val="105"/>
          <w:sz w:val="10"/>
        </w:rPr>
        <w:t>las</w:t>
      </w:r>
      <w:r>
        <w:rPr>
          <w:spacing w:val="-3"/>
          <w:w w:val="105"/>
          <w:sz w:val="10"/>
        </w:rPr>
        <w:t xml:space="preserve"> </w:t>
      </w:r>
      <w:r>
        <w:rPr>
          <w:w w:val="105"/>
          <w:sz w:val="10"/>
        </w:rPr>
        <w:t>personas</w:t>
      </w:r>
      <w:r>
        <w:rPr>
          <w:spacing w:val="-3"/>
          <w:w w:val="105"/>
          <w:sz w:val="10"/>
        </w:rPr>
        <w:t xml:space="preserve"> </w:t>
      </w:r>
      <w:r>
        <w:rPr>
          <w:w w:val="105"/>
          <w:sz w:val="10"/>
        </w:rPr>
        <w:t>con</w:t>
      </w:r>
      <w:r>
        <w:rPr>
          <w:spacing w:val="-3"/>
          <w:w w:val="105"/>
          <w:sz w:val="10"/>
        </w:rPr>
        <w:t xml:space="preserve"> </w:t>
      </w:r>
      <w:r>
        <w:rPr>
          <w:w w:val="105"/>
          <w:sz w:val="10"/>
        </w:rPr>
        <w:t>discapacidad</w:t>
      </w:r>
      <w:r>
        <w:rPr>
          <w:spacing w:val="-3"/>
          <w:w w:val="105"/>
          <w:sz w:val="10"/>
        </w:rPr>
        <w:t xml:space="preserve"> </w:t>
      </w:r>
      <w:r>
        <w:rPr>
          <w:w w:val="105"/>
          <w:sz w:val="10"/>
        </w:rPr>
        <w:t>en</w:t>
      </w:r>
      <w:r>
        <w:rPr>
          <w:spacing w:val="-3"/>
          <w:w w:val="105"/>
          <w:sz w:val="10"/>
        </w:rPr>
        <w:t xml:space="preserve"> </w:t>
      </w:r>
      <w:r>
        <w:rPr>
          <w:w w:val="105"/>
          <w:sz w:val="10"/>
        </w:rPr>
        <w:t>África,</w:t>
      </w:r>
      <w:r>
        <w:rPr>
          <w:spacing w:val="-3"/>
          <w:w w:val="105"/>
          <w:sz w:val="10"/>
        </w:rPr>
        <w:t xml:space="preserve"> </w:t>
      </w:r>
      <w:r>
        <w:rPr>
          <w:w w:val="105"/>
          <w:sz w:val="10"/>
        </w:rPr>
        <w:t>art.</w:t>
      </w:r>
      <w:r>
        <w:rPr>
          <w:spacing w:val="-3"/>
          <w:w w:val="105"/>
          <w:sz w:val="10"/>
        </w:rPr>
        <w:t xml:space="preserve"> </w:t>
      </w:r>
      <w:r>
        <w:rPr>
          <w:w w:val="105"/>
          <w:sz w:val="10"/>
        </w:rPr>
        <w:t>5</w:t>
      </w:r>
      <w:r>
        <w:rPr>
          <w:spacing w:val="-3"/>
          <w:w w:val="105"/>
          <w:sz w:val="10"/>
        </w:rPr>
        <w:t xml:space="preserve"> </w:t>
      </w:r>
      <w:r>
        <w:rPr>
          <w:w w:val="105"/>
          <w:sz w:val="10"/>
        </w:rPr>
        <w:t>(2)</w:t>
      </w:r>
      <w:r>
        <w:rPr>
          <w:spacing w:val="-3"/>
          <w:w w:val="105"/>
          <w:sz w:val="10"/>
        </w:rPr>
        <w:t xml:space="preserve"> </w:t>
      </w:r>
      <w:r>
        <w:rPr>
          <w:w w:val="105"/>
          <w:sz w:val="10"/>
        </w:rPr>
        <w:t>(b),</w:t>
      </w:r>
      <w:r>
        <w:rPr>
          <w:spacing w:val="-3"/>
          <w:w w:val="105"/>
          <w:sz w:val="10"/>
        </w:rPr>
        <w:t xml:space="preserve"> </w:t>
      </w:r>
      <w:r>
        <w:rPr>
          <w:w w:val="105"/>
          <w:sz w:val="10"/>
        </w:rPr>
        <w:t>que</w:t>
      </w:r>
      <w:r>
        <w:rPr>
          <w:spacing w:val="-3"/>
          <w:w w:val="105"/>
          <w:sz w:val="10"/>
        </w:rPr>
        <w:t xml:space="preserve"> </w:t>
      </w:r>
      <w:r>
        <w:rPr>
          <w:w w:val="105"/>
          <w:sz w:val="10"/>
        </w:rPr>
        <w:t>exige</w:t>
      </w:r>
      <w:r>
        <w:rPr>
          <w:spacing w:val="-3"/>
          <w:w w:val="105"/>
          <w:sz w:val="10"/>
        </w:rPr>
        <w:t xml:space="preserve"> </w:t>
      </w:r>
      <w:r>
        <w:rPr>
          <w:w w:val="105"/>
          <w:sz w:val="10"/>
        </w:rPr>
        <w:t>que</w:t>
      </w:r>
      <w:r>
        <w:rPr>
          <w:spacing w:val="-3"/>
          <w:w w:val="105"/>
          <w:sz w:val="10"/>
        </w:rPr>
        <w:t xml:space="preserve"> </w:t>
      </w:r>
      <w:r>
        <w:rPr>
          <w:w w:val="105"/>
          <w:sz w:val="10"/>
        </w:rPr>
        <w:t>los</w:t>
      </w:r>
      <w:r>
        <w:rPr>
          <w:spacing w:val="-3"/>
          <w:w w:val="105"/>
          <w:sz w:val="10"/>
        </w:rPr>
        <w:t xml:space="preserve"> </w:t>
      </w:r>
      <w:r>
        <w:rPr>
          <w:w w:val="105"/>
          <w:sz w:val="10"/>
        </w:rPr>
        <w:t>Estados</w:t>
      </w:r>
      <w:r>
        <w:rPr>
          <w:spacing w:val="-4"/>
          <w:w w:val="105"/>
          <w:sz w:val="10"/>
        </w:rPr>
        <w:t xml:space="preserve"> </w:t>
      </w:r>
      <w:r>
        <w:rPr>
          <w:w w:val="105"/>
          <w:sz w:val="10"/>
        </w:rPr>
        <w:t>partes</w:t>
      </w:r>
      <w:r>
        <w:rPr>
          <w:spacing w:val="-4"/>
          <w:w w:val="105"/>
          <w:sz w:val="10"/>
        </w:rPr>
        <w:t xml:space="preserve"> </w:t>
      </w:r>
      <w:r>
        <w:rPr>
          <w:w w:val="105"/>
          <w:sz w:val="10"/>
        </w:rPr>
        <w:t>“tomen</w:t>
      </w:r>
      <w:r>
        <w:rPr>
          <w:spacing w:val="-3"/>
          <w:w w:val="105"/>
          <w:sz w:val="10"/>
        </w:rPr>
        <w:t xml:space="preserve"> </w:t>
      </w:r>
      <w:r>
        <w:rPr>
          <w:w w:val="105"/>
          <w:sz w:val="10"/>
        </w:rPr>
        <w:t>medidas</w:t>
      </w:r>
      <w:r>
        <w:rPr>
          <w:spacing w:val="-3"/>
          <w:w w:val="105"/>
          <w:sz w:val="10"/>
        </w:rPr>
        <w:t xml:space="preserve"> </w:t>
      </w:r>
      <w:r>
        <w:rPr>
          <w:w w:val="105"/>
          <w:sz w:val="10"/>
        </w:rPr>
        <w:t>para</w:t>
      </w:r>
      <w:r>
        <w:rPr>
          <w:spacing w:val="-3"/>
          <w:w w:val="105"/>
          <w:sz w:val="10"/>
        </w:rPr>
        <w:t xml:space="preserve"> </w:t>
      </w:r>
      <w:r>
        <w:rPr>
          <w:w w:val="105"/>
          <w:sz w:val="10"/>
        </w:rPr>
        <w:t>garantizar</w:t>
      </w:r>
      <w:r>
        <w:rPr>
          <w:spacing w:val="-4"/>
          <w:w w:val="105"/>
          <w:sz w:val="10"/>
        </w:rPr>
        <w:t xml:space="preserve"> </w:t>
      </w:r>
      <w:r>
        <w:rPr>
          <w:w w:val="105"/>
          <w:sz w:val="10"/>
        </w:rPr>
        <w:t>que</w:t>
      </w:r>
      <w:r>
        <w:rPr>
          <w:spacing w:val="-3"/>
          <w:w w:val="105"/>
          <w:sz w:val="10"/>
        </w:rPr>
        <w:t xml:space="preserve"> </w:t>
      </w:r>
      <w:r>
        <w:rPr>
          <w:w w:val="105"/>
          <w:sz w:val="10"/>
        </w:rPr>
        <w:t>se</w:t>
      </w:r>
      <w:r>
        <w:rPr>
          <w:spacing w:val="-3"/>
          <w:w w:val="105"/>
          <w:sz w:val="10"/>
        </w:rPr>
        <w:t xml:space="preserve"> </w:t>
      </w:r>
      <w:r>
        <w:rPr>
          <w:w w:val="105"/>
          <w:sz w:val="10"/>
        </w:rPr>
        <w:t>proporcionen</w:t>
      </w:r>
      <w:r>
        <w:rPr>
          <w:spacing w:val="-3"/>
          <w:w w:val="105"/>
          <w:sz w:val="10"/>
        </w:rPr>
        <w:t xml:space="preserve"> </w:t>
      </w:r>
      <w:r>
        <w:rPr>
          <w:w w:val="105"/>
          <w:sz w:val="10"/>
        </w:rPr>
        <w:t>medidas</w:t>
      </w:r>
      <w:r>
        <w:rPr>
          <w:spacing w:val="-3"/>
          <w:w w:val="105"/>
          <w:sz w:val="10"/>
        </w:rPr>
        <w:t xml:space="preserve"> </w:t>
      </w:r>
      <w:r>
        <w:rPr>
          <w:w w:val="105"/>
          <w:sz w:val="10"/>
        </w:rPr>
        <w:t>específicas,</w:t>
      </w:r>
      <w:r>
        <w:rPr>
          <w:spacing w:val="-3"/>
          <w:w w:val="105"/>
          <w:sz w:val="10"/>
        </w:rPr>
        <w:t xml:space="preserve"> </w:t>
      </w:r>
      <w:r>
        <w:rPr>
          <w:w w:val="105"/>
          <w:sz w:val="10"/>
        </w:rPr>
        <w:t>según</w:t>
      </w:r>
      <w:r>
        <w:rPr>
          <w:spacing w:val="-3"/>
          <w:w w:val="105"/>
          <w:sz w:val="10"/>
        </w:rPr>
        <w:t xml:space="preserve"> </w:t>
      </w:r>
      <w:r>
        <w:rPr>
          <w:w w:val="105"/>
          <w:sz w:val="10"/>
        </w:rPr>
        <w:t>corresponda,</w:t>
      </w:r>
      <w:r>
        <w:rPr>
          <w:spacing w:val="-3"/>
          <w:w w:val="105"/>
          <w:sz w:val="10"/>
        </w:rPr>
        <w:t xml:space="preserve"> </w:t>
      </w:r>
      <w:r>
        <w:rPr>
          <w:w w:val="105"/>
          <w:sz w:val="10"/>
        </w:rPr>
        <w:t>a</w:t>
      </w:r>
    </w:p>
    <w:p w14:paraId="3A4DD743" w14:textId="77777777" w:rsidR="0014798C" w:rsidRDefault="004E1F0B">
      <w:pPr>
        <w:spacing w:before="1"/>
        <w:ind w:left="79"/>
        <w:rPr>
          <w:sz w:val="10"/>
        </w:rPr>
      </w:pPr>
      <w:r>
        <w:rPr>
          <w:w w:val="105"/>
          <w:sz w:val="10"/>
        </w:rPr>
        <w:t>las</w:t>
      </w:r>
      <w:r>
        <w:rPr>
          <w:spacing w:val="-6"/>
          <w:w w:val="105"/>
          <w:sz w:val="10"/>
        </w:rPr>
        <w:t xml:space="preserve"> </w:t>
      </w:r>
      <w:r>
        <w:rPr>
          <w:w w:val="105"/>
          <w:sz w:val="10"/>
        </w:rPr>
        <w:t>personas</w:t>
      </w:r>
      <w:r>
        <w:rPr>
          <w:spacing w:val="-6"/>
          <w:w w:val="105"/>
          <w:sz w:val="10"/>
        </w:rPr>
        <w:t xml:space="preserve"> </w:t>
      </w:r>
      <w:r>
        <w:rPr>
          <w:w w:val="105"/>
          <w:sz w:val="10"/>
        </w:rPr>
        <w:t>con</w:t>
      </w:r>
      <w:r>
        <w:rPr>
          <w:spacing w:val="-6"/>
          <w:w w:val="105"/>
          <w:sz w:val="10"/>
        </w:rPr>
        <w:t xml:space="preserve"> </w:t>
      </w:r>
      <w:r>
        <w:rPr>
          <w:w w:val="105"/>
          <w:sz w:val="10"/>
        </w:rPr>
        <w:t>discapacidad</w:t>
      </w:r>
      <w:r>
        <w:rPr>
          <w:spacing w:val="-5"/>
          <w:w w:val="105"/>
          <w:sz w:val="10"/>
        </w:rPr>
        <w:t xml:space="preserve"> </w:t>
      </w:r>
      <w:r>
        <w:rPr>
          <w:w w:val="105"/>
          <w:sz w:val="10"/>
        </w:rPr>
        <w:t>a</w:t>
      </w:r>
      <w:r>
        <w:rPr>
          <w:spacing w:val="-6"/>
          <w:w w:val="105"/>
          <w:sz w:val="10"/>
        </w:rPr>
        <w:t xml:space="preserve"> </w:t>
      </w:r>
      <w:r>
        <w:rPr>
          <w:w w:val="105"/>
          <w:sz w:val="10"/>
        </w:rPr>
        <w:t>fin</w:t>
      </w:r>
      <w:r>
        <w:rPr>
          <w:spacing w:val="-6"/>
          <w:w w:val="105"/>
          <w:sz w:val="10"/>
        </w:rPr>
        <w:t xml:space="preserve"> </w:t>
      </w:r>
      <w:r>
        <w:rPr>
          <w:w w:val="105"/>
          <w:sz w:val="10"/>
        </w:rPr>
        <w:t>de</w:t>
      </w:r>
      <w:r>
        <w:rPr>
          <w:spacing w:val="-6"/>
          <w:w w:val="105"/>
          <w:sz w:val="10"/>
        </w:rPr>
        <w:t xml:space="preserve"> </w:t>
      </w:r>
      <w:r>
        <w:rPr>
          <w:w w:val="105"/>
          <w:sz w:val="10"/>
        </w:rPr>
        <w:t>eliminar</w:t>
      </w:r>
      <w:r>
        <w:rPr>
          <w:spacing w:val="-7"/>
          <w:w w:val="105"/>
          <w:sz w:val="10"/>
        </w:rPr>
        <w:t xml:space="preserve"> </w:t>
      </w:r>
      <w:r>
        <w:rPr>
          <w:w w:val="105"/>
          <w:sz w:val="10"/>
        </w:rPr>
        <w:t>la</w:t>
      </w:r>
      <w:r>
        <w:rPr>
          <w:spacing w:val="-5"/>
          <w:w w:val="105"/>
          <w:sz w:val="10"/>
        </w:rPr>
        <w:t xml:space="preserve"> </w:t>
      </w:r>
      <w:r>
        <w:rPr>
          <w:w w:val="105"/>
          <w:sz w:val="10"/>
        </w:rPr>
        <w:t>discriminación</w:t>
      </w:r>
      <w:r>
        <w:rPr>
          <w:spacing w:val="-6"/>
          <w:w w:val="105"/>
          <w:sz w:val="10"/>
        </w:rPr>
        <w:t xml:space="preserve"> </w:t>
      </w:r>
      <w:r>
        <w:rPr>
          <w:w w:val="105"/>
          <w:sz w:val="10"/>
        </w:rPr>
        <w:t>y</w:t>
      </w:r>
      <w:r>
        <w:rPr>
          <w:spacing w:val="-6"/>
          <w:w w:val="105"/>
          <w:sz w:val="10"/>
        </w:rPr>
        <w:t xml:space="preserve"> </w:t>
      </w:r>
      <w:r>
        <w:rPr>
          <w:w w:val="105"/>
          <w:sz w:val="10"/>
        </w:rPr>
        <w:t>dichas</w:t>
      </w:r>
      <w:r>
        <w:rPr>
          <w:spacing w:val="-5"/>
          <w:w w:val="105"/>
          <w:sz w:val="10"/>
        </w:rPr>
        <w:t xml:space="preserve"> </w:t>
      </w:r>
      <w:r>
        <w:rPr>
          <w:w w:val="105"/>
          <w:sz w:val="10"/>
        </w:rPr>
        <w:t>medidas</w:t>
      </w:r>
      <w:r>
        <w:rPr>
          <w:spacing w:val="-6"/>
          <w:w w:val="105"/>
          <w:sz w:val="10"/>
        </w:rPr>
        <w:t xml:space="preserve"> </w:t>
      </w:r>
      <w:r>
        <w:rPr>
          <w:w w:val="105"/>
          <w:sz w:val="10"/>
        </w:rPr>
        <w:t>no</w:t>
      </w:r>
      <w:r>
        <w:rPr>
          <w:spacing w:val="-6"/>
          <w:w w:val="105"/>
          <w:sz w:val="10"/>
        </w:rPr>
        <w:t xml:space="preserve"> </w:t>
      </w:r>
      <w:r>
        <w:rPr>
          <w:w w:val="105"/>
          <w:sz w:val="10"/>
        </w:rPr>
        <w:t>se</w:t>
      </w:r>
      <w:r>
        <w:rPr>
          <w:spacing w:val="-5"/>
          <w:w w:val="105"/>
          <w:sz w:val="10"/>
        </w:rPr>
        <w:t xml:space="preserve"> </w:t>
      </w:r>
      <w:r>
        <w:rPr>
          <w:w w:val="105"/>
          <w:sz w:val="10"/>
        </w:rPr>
        <w:t>considerarán</w:t>
      </w:r>
      <w:r>
        <w:rPr>
          <w:spacing w:val="-6"/>
          <w:w w:val="105"/>
          <w:sz w:val="10"/>
        </w:rPr>
        <w:t xml:space="preserve"> </w:t>
      </w:r>
      <w:r>
        <w:rPr>
          <w:spacing w:val="-2"/>
          <w:w w:val="105"/>
          <w:sz w:val="10"/>
        </w:rPr>
        <w:t>discriminación”.</w:t>
      </w:r>
    </w:p>
    <w:p w14:paraId="574806D2" w14:textId="77777777" w:rsidR="0014798C" w:rsidRDefault="0014798C">
      <w:pPr>
        <w:rPr>
          <w:sz w:val="10"/>
        </w:rPr>
        <w:sectPr w:rsidR="0014798C" w:rsidSect="00F265E4">
          <w:type w:val="continuous"/>
          <w:pgSz w:w="11900" w:h="16820"/>
          <w:pgMar w:top="40" w:right="0" w:bottom="280" w:left="200" w:header="121" w:footer="0" w:gutter="0"/>
          <w:cols w:num="2" w:space="720" w:equalWidth="0">
            <w:col w:w="1247" w:space="40"/>
            <w:col w:w="10413"/>
          </w:cols>
        </w:sectPr>
      </w:pPr>
    </w:p>
    <w:p w14:paraId="013A8C32" w14:textId="77777777" w:rsidR="0014798C" w:rsidRDefault="0014798C">
      <w:pPr>
        <w:pStyle w:val="Textoindependiente"/>
        <w:rPr>
          <w:sz w:val="12"/>
        </w:rPr>
      </w:pPr>
    </w:p>
    <w:p w14:paraId="3E210ED7" w14:textId="77777777" w:rsidR="0014798C" w:rsidRDefault="0014798C">
      <w:pPr>
        <w:pStyle w:val="Textoindependiente"/>
        <w:spacing w:before="7"/>
        <w:rPr>
          <w:sz w:val="12"/>
        </w:rPr>
      </w:pPr>
    </w:p>
    <w:p w14:paraId="15431C2F" w14:textId="77777777" w:rsidR="0014798C" w:rsidRDefault="004E1F0B">
      <w:pPr>
        <w:pStyle w:val="Prrafodelista"/>
        <w:numPr>
          <w:ilvl w:val="0"/>
          <w:numId w:val="57"/>
        </w:numPr>
        <w:tabs>
          <w:tab w:val="left" w:pos="1337"/>
          <w:tab w:val="left" w:pos="1375"/>
        </w:tabs>
        <w:spacing w:line="312" w:lineRule="auto"/>
        <w:ind w:right="3392" w:hanging="270"/>
        <w:rPr>
          <w:sz w:val="12"/>
        </w:rPr>
      </w:pPr>
      <w:r>
        <w:rPr>
          <w:sz w:val="12"/>
        </w:rPr>
        <w:t>Comisión</w:t>
      </w:r>
      <w:r>
        <w:rPr>
          <w:spacing w:val="-1"/>
          <w:sz w:val="12"/>
        </w:rPr>
        <w:t xml:space="preserve"> </w:t>
      </w:r>
      <w:r>
        <w:rPr>
          <w:sz w:val="12"/>
        </w:rPr>
        <w:t>Interamericana</w:t>
      </w:r>
      <w:r>
        <w:rPr>
          <w:spacing w:val="-2"/>
          <w:sz w:val="12"/>
        </w:rPr>
        <w:t xml:space="preserve"> </w:t>
      </w:r>
      <w:r>
        <w:rPr>
          <w:sz w:val="12"/>
        </w:rPr>
        <w:t>de</w:t>
      </w:r>
      <w:r>
        <w:rPr>
          <w:spacing w:val="-1"/>
          <w:sz w:val="12"/>
        </w:rPr>
        <w:t xml:space="preserve"> </w:t>
      </w:r>
      <w:r>
        <w:rPr>
          <w:sz w:val="12"/>
        </w:rPr>
        <w:t>Derechos</w:t>
      </w:r>
      <w:r>
        <w:rPr>
          <w:spacing w:val="-2"/>
          <w:sz w:val="12"/>
        </w:rPr>
        <w:t xml:space="preserve"> </w:t>
      </w:r>
      <w:r>
        <w:rPr>
          <w:sz w:val="12"/>
        </w:rPr>
        <w:t>Humanos,</w:t>
      </w:r>
      <w:r>
        <w:rPr>
          <w:spacing w:val="-1"/>
          <w:sz w:val="12"/>
        </w:rPr>
        <w:t xml:space="preserve"> </w:t>
      </w:r>
      <w:r>
        <w:rPr>
          <w:sz w:val="12"/>
        </w:rPr>
        <w:t>La</w:t>
      </w:r>
      <w:r>
        <w:rPr>
          <w:spacing w:val="-1"/>
          <w:sz w:val="12"/>
        </w:rPr>
        <w:t xml:space="preserve"> </w:t>
      </w:r>
      <w:r>
        <w:rPr>
          <w:sz w:val="12"/>
        </w:rPr>
        <w:t>situación</w:t>
      </w:r>
      <w:r>
        <w:rPr>
          <w:spacing w:val="-1"/>
          <w:sz w:val="12"/>
        </w:rPr>
        <w:t xml:space="preserve"> </w:t>
      </w:r>
      <w:r>
        <w:rPr>
          <w:sz w:val="12"/>
        </w:rPr>
        <w:t>de</w:t>
      </w:r>
      <w:r>
        <w:rPr>
          <w:spacing w:val="-1"/>
          <w:sz w:val="12"/>
        </w:rPr>
        <w:t xml:space="preserve"> </w:t>
      </w:r>
      <w:r>
        <w:rPr>
          <w:sz w:val="12"/>
        </w:rPr>
        <w:t>los</w:t>
      </w:r>
      <w:r>
        <w:rPr>
          <w:spacing w:val="-1"/>
          <w:sz w:val="12"/>
        </w:rPr>
        <w:t xml:space="preserve"> </w:t>
      </w:r>
      <w:r>
        <w:rPr>
          <w:sz w:val="12"/>
        </w:rPr>
        <w:t>afrodescendientes</w:t>
      </w:r>
      <w:r>
        <w:rPr>
          <w:spacing w:val="-2"/>
          <w:sz w:val="12"/>
        </w:rPr>
        <w:t xml:space="preserve"> </w:t>
      </w:r>
      <w:r>
        <w:rPr>
          <w:sz w:val="12"/>
        </w:rPr>
        <w:t>en</w:t>
      </w:r>
      <w:r>
        <w:rPr>
          <w:spacing w:val="-1"/>
          <w:sz w:val="12"/>
        </w:rPr>
        <w:t xml:space="preserve"> </w:t>
      </w:r>
      <w:r>
        <w:rPr>
          <w:sz w:val="12"/>
        </w:rPr>
        <w:t>las</w:t>
      </w:r>
      <w:r>
        <w:rPr>
          <w:spacing w:val="-1"/>
          <w:sz w:val="12"/>
        </w:rPr>
        <w:t xml:space="preserve"> </w:t>
      </w:r>
      <w:r>
        <w:rPr>
          <w:sz w:val="12"/>
        </w:rPr>
        <w:t>Américas</w:t>
      </w:r>
      <w:r>
        <w:rPr>
          <w:spacing w:val="-2"/>
          <w:sz w:val="12"/>
        </w:rPr>
        <w:t xml:space="preserve"> </w:t>
      </w:r>
      <w:r>
        <w:rPr>
          <w:sz w:val="12"/>
        </w:rPr>
        <w:t>(OEA/</w:t>
      </w:r>
      <w:proofErr w:type="spellStart"/>
      <w:r>
        <w:rPr>
          <w:sz w:val="12"/>
        </w:rPr>
        <w:t>Ser.L</w:t>
      </w:r>
      <w:proofErr w:type="spellEnd"/>
      <w:r>
        <w:rPr>
          <w:sz w:val="12"/>
        </w:rPr>
        <w:t>/V/II,</w:t>
      </w:r>
      <w:r>
        <w:rPr>
          <w:spacing w:val="-2"/>
          <w:sz w:val="12"/>
        </w:rPr>
        <w:t xml:space="preserve"> </w:t>
      </w:r>
      <w:r>
        <w:rPr>
          <w:sz w:val="12"/>
        </w:rPr>
        <w:t>Doc.</w:t>
      </w:r>
      <w:r>
        <w:rPr>
          <w:spacing w:val="-1"/>
          <w:sz w:val="12"/>
        </w:rPr>
        <w:t xml:space="preserve"> </w:t>
      </w:r>
      <w:r>
        <w:rPr>
          <w:sz w:val="12"/>
        </w:rPr>
        <w:t>62)</w:t>
      </w:r>
      <w:r>
        <w:rPr>
          <w:spacing w:val="40"/>
          <w:sz w:val="12"/>
        </w:rPr>
        <w:t xml:space="preserve"> </w:t>
      </w:r>
      <w:r>
        <w:rPr>
          <w:sz w:val="12"/>
        </w:rPr>
        <w:t>(2011), párr. 232.</w:t>
      </w:r>
    </w:p>
    <w:p w14:paraId="4A9D005B" w14:textId="77777777" w:rsidR="0014798C" w:rsidRDefault="004E1F0B">
      <w:pPr>
        <w:pStyle w:val="Prrafodelista"/>
        <w:numPr>
          <w:ilvl w:val="0"/>
          <w:numId w:val="57"/>
        </w:numPr>
        <w:tabs>
          <w:tab w:val="left" w:pos="1339"/>
        </w:tabs>
        <w:spacing w:before="55"/>
        <w:ind w:left="1339" w:hanging="234"/>
        <w:rPr>
          <w:sz w:val="12"/>
        </w:rPr>
      </w:pPr>
      <w:r>
        <w:rPr>
          <w:sz w:val="12"/>
        </w:rPr>
        <w:t>Convención</w:t>
      </w:r>
      <w:r>
        <w:rPr>
          <w:spacing w:val="-2"/>
          <w:sz w:val="12"/>
        </w:rPr>
        <w:t xml:space="preserve"> </w:t>
      </w:r>
      <w:r>
        <w:rPr>
          <w:sz w:val="12"/>
        </w:rPr>
        <w:t>Interamericana</w:t>
      </w:r>
      <w:r>
        <w:rPr>
          <w:spacing w:val="-1"/>
          <w:sz w:val="12"/>
        </w:rPr>
        <w:t xml:space="preserve"> </w:t>
      </w:r>
      <w:r>
        <w:rPr>
          <w:sz w:val="12"/>
        </w:rPr>
        <w:t>contra</w:t>
      </w:r>
      <w:r>
        <w:rPr>
          <w:spacing w:val="-1"/>
          <w:sz w:val="12"/>
        </w:rPr>
        <w:t xml:space="preserve"> </w:t>
      </w:r>
      <w:r>
        <w:rPr>
          <w:sz w:val="12"/>
        </w:rPr>
        <w:t>Todas</w:t>
      </w:r>
      <w:r>
        <w:rPr>
          <w:spacing w:val="-1"/>
          <w:sz w:val="12"/>
        </w:rPr>
        <w:t xml:space="preserve"> </w:t>
      </w:r>
      <w:r>
        <w:rPr>
          <w:sz w:val="12"/>
        </w:rPr>
        <w:t>las</w:t>
      </w:r>
      <w:r>
        <w:rPr>
          <w:spacing w:val="-1"/>
          <w:sz w:val="12"/>
        </w:rPr>
        <w:t xml:space="preserve"> </w:t>
      </w:r>
      <w:r>
        <w:rPr>
          <w:sz w:val="12"/>
        </w:rPr>
        <w:t>Formas</w:t>
      </w:r>
      <w:r>
        <w:rPr>
          <w:spacing w:val="-1"/>
          <w:sz w:val="12"/>
        </w:rPr>
        <w:t xml:space="preserve"> </w:t>
      </w:r>
      <w:r>
        <w:rPr>
          <w:sz w:val="12"/>
        </w:rPr>
        <w:t>de</w:t>
      </w:r>
      <w:r>
        <w:rPr>
          <w:spacing w:val="-1"/>
          <w:sz w:val="12"/>
        </w:rPr>
        <w:t xml:space="preserve"> </w:t>
      </w:r>
      <w:r>
        <w:rPr>
          <w:sz w:val="12"/>
        </w:rPr>
        <w:t>Discriminación</w:t>
      </w:r>
      <w:r>
        <w:rPr>
          <w:spacing w:val="-1"/>
          <w:sz w:val="12"/>
        </w:rPr>
        <w:t xml:space="preserve"> </w:t>
      </w:r>
      <w:r>
        <w:rPr>
          <w:sz w:val="12"/>
        </w:rPr>
        <w:t>e</w:t>
      </w:r>
      <w:r>
        <w:rPr>
          <w:spacing w:val="-1"/>
          <w:sz w:val="12"/>
        </w:rPr>
        <w:t xml:space="preserve"> </w:t>
      </w:r>
      <w:r>
        <w:rPr>
          <w:sz w:val="12"/>
        </w:rPr>
        <w:t>Intolerancia, art.</w:t>
      </w:r>
      <w:r>
        <w:rPr>
          <w:spacing w:val="-1"/>
          <w:sz w:val="12"/>
        </w:rPr>
        <w:t xml:space="preserve"> </w:t>
      </w:r>
      <w:r>
        <w:rPr>
          <w:spacing w:val="-5"/>
          <w:sz w:val="12"/>
        </w:rPr>
        <w:t>5.</w:t>
      </w:r>
    </w:p>
    <w:p w14:paraId="04236F44" w14:textId="77777777" w:rsidR="0014798C" w:rsidRDefault="004E1F0B">
      <w:pPr>
        <w:pStyle w:val="Prrafodelista"/>
        <w:numPr>
          <w:ilvl w:val="0"/>
          <w:numId w:val="57"/>
        </w:numPr>
        <w:tabs>
          <w:tab w:val="left" w:pos="1339"/>
        </w:tabs>
        <w:spacing w:before="99"/>
        <w:ind w:left="1339" w:hanging="234"/>
        <w:rPr>
          <w:sz w:val="12"/>
        </w:rPr>
      </w:pPr>
      <w:r>
        <w:rPr>
          <w:sz w:val="12"/>
        </w:rPr>
        <w:t>Convenio</w:t>
      </w:r>
      <w:r>
        <w:rPr>
          <w:spacing w:val="-1"/>
          <w:sz w:val="12"/>
        </w:rPr>
        <w:t xml:space="preserve"> </w:t>
      </w:r>
      <w:r>
        <w:rPr>
          <w:sz w:val="12"/>
        </w:rPr>
        <w:t>Marco</w:t>
      </w:r>
      <w:r>
        <w:rPr>
          <w:spacing w:val="-1"/>
          <w:sz w:val="12"/>
        </w:rPr>
        <w:t xml:space="preserve"> </w:t>
      </w:r>
      <w:r>
        <w:rPr>
          <w:sz w:val="12"/>
        </w:rPr>
        <w:t>del</w:t>
      </w:r>
      <w:r>
        <w:rPr>
          <w:spacing w:val="-1"/>
          <w:sz w:val="12"/>
        </w:rPr>
        <w:t xml:space="preserve"> </w:t>
      </w:r>
      <w:r>
        <w:rPr>
          <w:sz w:val="12"/>
        </w:rPr>
        <w:t>Consejo de</w:t>
      </w:r>
      <w:r>
        <w:rPr>
          <w:spacing w:val="-1"/>
          <w:sz w:val="12"/>
        </w:rPr>
        <w:t xml:space="preserve"> </w:t>
      </w:r>
      <w:r>
        <w:rPr>
          <w:sz w:val="12"/>
        </w:rPr>
        <w:t>Europa</w:t>
      </w:r>
      <w:r>
        <w:rPr>
          <w:spacing w:val="-1"/>
          <w:sz w:val="12"/>
        </w:rPr>
        <w:t xml:space="preserve"> </w:t>
      </w:r>
      <w:r>
        <w:rPr>
          <w:sz w:val="12"/>
        </w:rPr>
        <w:t>para la</w:t>
      </w:r>
      <w:r>
        <w:rPr>
          <w:spacing w:val="-1"/>
          <w:sz w:val="12"/>
        </w:rPr>
        <w:t xml:space="preserve"> </w:t>
      </w:r>
      <w:r>
        <w:rPr>
          <w:sz w:val="12"/>
        </w:rPr>
        <w:t>Protección</w:t>
      </w:r>
      <w:r>
        <w:rPr>
          <w:spacing w:val="-1"/>
          <w:sz w:val="12"/>
        </w:rPr>
        <w:t xml:space="preserve"> </w:t>
      </w:r>
      <w:r>
        <w:rPr>
          <w:sz w:val="12"/>
        </w:rPr>
        <w:t>de las</w:t>
      </w:r>
      <w:r>
        <w:rPr>
          <w:spacing w:val="-1"/>
          <w:sz w:val="12"/>
        </w:rPr>
        <w:t xml:space="preserve"> </w:t>
      </w:r>
      <w:r>
        <w:rPr>
          <w:sz w:val="12"/>
        </w:rPr>
        <w:t>Minorías</w:t>
      </w:r>
      <w:r>
        <w:rPr>
          <w:spacing w:val="-1"/>
          <w:sz w:val="12"/>
        </w:rPr>
        <w:t xml:space="preserve"> </w:t>
      </w:r>
      <w:r>
        <w:rPr>
          <w:sz w:val="12"/>
        </w:rPr>
        <w:t>Nacionales, art. 4</w:t>
      </w:r>
      <w:r>
        <w:rPr>
          <w:spacing w:val="-1"/>
          <w:sz w:val="12"/>
        </w:rPr>
        <w:t xml:space="preserve"> </w:t>
      </w:r>
      <w:r>
        <w:rPr>
          <w:sz w:val="12"/>
        </w:rPr>
        <w:t>(2).</w:t>
      </w:r>
      <w:r>
        <w:rPr>
          <w:spacing w:val="-1"/>
          <w:sz w:val="12"/>
        </w:rPr>
        <w:t xml:space="preserve"> </w:t>
      </w:r>
      <w:r>
        <w:rPr>
          <w:sz w:val="12"/>
        </w:rPr>
        <w:t>La legislación</w:t>
      </w:r>
      <w:r>
        <w:rPr>
          <w:spacing w:val="-1"/>
          <w:sz w:val="12"/>
        </w:rPr>
        <w:t xml:space="preserve"> </w:t>
      </w:r>
      <w:r>
        <w:rPr>
          <w:sz w:val="12"/>
        </w:rPr>
        <w:t>de</w:t>
      </w:r>
      <w:r>
        <w:rPr>
          <w:spacing w:val="-1"/>
          <w:sz w:val="12"/>
        </w:rPr>
        <w:t xml:space="preserve"> </w:t>
      </w:r>
      <w:r>
        <w:rPr>
          <w:sz w:val="12"/>
        </w:rPr>
        <w:t>la Unión</w:t>
      </w:r>
      <w:r>
        <w:rPr>
          <w:spacing w:val="-1"/>
          <w:sz w:val="12"/>
        </w:rPr>
        <w:t xml:space="preserve"> </w:t>
      </w:r>
      <w:r>
        <w:rPr>
          <w:sz w:val="12"/>
        </w:rPr>
        <w:t>Europea</w:t>
      </w:r>
      <w:r>
        <w:rPr>
          <w:spacing w:val="-1"/>
          <w:sz w:val="12"/>
        </w:rPr>
        <w:t xml:space="preserve"> </w:t>
      </w:r>
      <w:r>
        <w:rPr>
          <w:sz w:val="12"/>
        </w:rPr>
        <w:t>sitúa</w:t>
      </w:r>
      <w:r>
        <w:rPr>
          <w:spacing w:val="-1"/>
          <w:sz w:val="12"/>
        </w:rPr>
        <w:t xml:space="preserve"> </w:t>
      </w:r>
      <w:r>
        <w:rPr>
          <w:spacing w:val="-2"/>
          <w:sz w:val="12"/>
        </w:rPr>
        <w:t>ligeramente</w:t>
      </w:r>
    </w:p>
    <w:p w14:paraId="5E702CC3" w14:textId="77777777" w:rsidR="0014798C" w:rsidRDefault="004E1F0B">
      <w:pPr>
        <w:spacing w:before="44" w:line="312" w:lineRule="auto"/>
        <w:ind w:left="1368" w:right="1626" w:hanging="1"/>
        <w:rPr>
          <w:sz w:val="12"/>
        </w:rPr>
      </w:pPr>
      <w:r>
        <w:rPr>
          <w:sz w:val="12"/>
        </w:rPr>
        <w:t>requisitos</w:t>
      </w:r>
      <w:r>
        <w:rPr>
          <w:spacing w:val="-1"/>
          <w:sz w:val="12"/>
        </w:rPr>
        <w:t xml:space="preserve"> </w:t>
      </w:r>
      <w:r>
        <w:rPr>
          <w:sz w:val="12"/>
        </w:rPr>
        <w:t>menos estrictos</w:t>
      </w:r>
      <w:r>
        <w:rPr>
          <w:spacing w:val="-1"/>
          <w:sz w:val="12"/>
        </w:rPr>
        <w:t xml:space="preserve"> </w:t>
      </w:r>
      <w:r>
        <w:rPr>
          <w:sz w:val="12"/>
        </w:rPr>
        <w:t>para los Estados</w:t>
      </w:r>
      <w:r>
        <w:rPr>
          <w:spacing w:val="-1"/>
          <w:sz w:val="12"/>
        </w:rPr>
        <w:t xml:space="preserve"> </w:t>
      </w:r>
      <w:r>
        <w:rPr>
          <w:sz w:val="12"/>
        </w:rPr>
        <w:t>miembros</w:t>
      </w:r>
      <w:r>
        <w:rPr>
          <w:spacing w:val="-1"/>
          <w:sz w:val="12"/>
        </w:rPr>
        <w:t xml:space="preserve"> </w:t>
      </w:r>
      <w:r>
        <w:rPr>
          <w:sz w:val="12"/>
        </w:rPr>
        <w:t>de la Unión Europea</w:t>
      </w:r>
      <w:r>
        <w:rPr>
          <w:spacing w:val="-1"/>
          <w:sz w:val="12"/>
        </w:rPr>
        <w:t xml:space="preserve"> </w:t>
      </w:r>
      <w:r>
        <w:rPr>
          <w:sz w:val="12"/>
        </w:rPr>
        <w:t>(véase, por ejemplo, la Directiva 2000/78/CE del Consejo de 27 de noviembre de 2000</w:t>
      </w:r>
      <w:r>
        <w:rPr>
          <w:spacing w:val="40"/>
          <w:sz w:val="12"/>
        </w:rPr>
        <w:t xml:space="preserve"> </w:t>
      </w:r>
      <w:r>
        <w:rPr>
          <w:sz w:val="12"/>
        </w:rPr>
        <w:t>por</w:t>
      </w:r>
      <w:r>
        <w:rPr>
          <w:spacing w:val="-2"/>
          <w:sz w:val="12"/>
        </w:rPr>
        <w:t xml:space="preserve"> </w:t>
      </w:r>
      <w:r>
        <w:rPr>
          <w:sz w:val="12"/>
        </w:rPr>
        <w:t>el</w:t>
      </w:r>
      <w:r>
        <w:rPr>
          <w:spacing w:val="-2"/>
          <w:sz w:val="12"/>
        </w:rPr>
        <w:t xml:space="preserve"> </w:t>
      </w:r>
      <w:r>
        <w:rPr>
          <w:sz w:val="12"/>
        </w:rPr>
        <w:t>que</w:t>
      </w:r>
      <w:r>
        <w:rPr>
          <w:spacing w:val="-2"/>
          <w:sz w:val="12"/>
        </w:rPr>
        <w:t xml:space="preserve"> </w:t>
      </w:r>
      <w:r>
        <w:rPr>
          <w:sz w:val="12"/>
        </w:rPr>
        <w:t>se</w:t>
      </w:r>
      <w:r>
        <w:rPr>
          <w:spacing w:val="-2"/>
          <w:sz w:val="12"/>
        </w:rPr>
        <w:t xml:space="preserve"> </w:t>
      </w:r>
      <w:r>
        <w:rPr>
          <w:sz w:val="12"/>
        </w:rPr>
        <w:t>establece</w:t>
      </w:r>
      <w:r>
        <w:rPr>
          <w:spacing w:val="-2"/>
          <w:sz w:val="12"/>
        </w:rPr>
        <w:t xml:space="preserve"> </w:t>
      </w:r>
      <w:r>
        <w:rPr>
          <w:sz w:val="12"/>
        </w:rPr>
        <w:t>un</w:t>
      </w:r>
      <w:r>
        <w:rPr>
          <w:spacing w:val="-2"/>
          <w:sz w:val="12"/>
        </w:rPr>
        <w:t xml:space="preserve"> </w:t>
      </w:r>
      <w:r>
        <w:rPr>
          <w:sz w:val="12"/>
        </w:rPr>
        <w:t>marco</w:t>
      </w:r>
      <w:r>
        <w:rPr>
          <w:spacing w:val="-2"/>
          <w:sz w:val="12"/>
        </w:rPr>
        <w:t xml:space="preserve"> </w:t>
      </w:r>
      <w:r>
        <w:rPr>
          <w:sz w:val="12"/>
        </w:rPr>
        <w:t>general</w:t>
      </w:r>
      <w:r>
        <w:rPr>
          <w:spacing w:val="-2"/>
          <w:sz w:val="12"/>
        </w:rPr>
        <w:t xml:space="preserve"> </w:t>
      </w:r>
      <w:r>
        <w:rPr>
          <w:sz w:val="12"/>
        </w:rPr>
        <w:t>para</w:t>
      </w:r>
      <w:r>
        <w:rPr>
          <w:spacing w:val="-2"/>
          <w:sz w:val="12"/>
        </w:rPr>
        <w:t xml:space="preserve"> </w:t>
      </w:r>
      <w:r>
        <w:rPr>
          <w:sz w:val="12"/>
        </w:rPr>
        <w:t>la</w:t>
      </w:r>
      <w:r>
        <w:rPr>
          <w:spacing w:val="-2"/>
          <w:sz w:val="12"/>
        </w:rPr>
        <w:t xml:space="preserve"> </w:t>
      </w:r>
      <w:r>
        <w:rPr>
          <w:sz w:val="12"/>
        </w:rPr>
        <w:t>igualdad</w:t>
      </w:r>
      <w:r>
        <w:rPr>
          <w:spacing w:val="-2"/>
          <w:sz w:val="12"/>
        </w:rPr>
        <w:t xml:space="preserve"> </w:t>
      </w:r>
      <w:r>
        <w:rPr>
          <w:sz w:val="12"/>
        </w:rPr>
        <w:t>de</w:t>
      </w:r>
      <w:r>
        <w:rPr>
          <w:spacing w:val="-2"/>
          <w:sz w:val="12"/>
        </w:rPr>
        <w:t xml:space="preserve"> </w:t>
      </w:r>
      <w:r>
        <w:rPr>
          <w:sz w:val="12"/>
        </w:rPr>
        <w:t>trato</w:t>
      </w:r>
      <w:r>
        <w:rPr>
          <w:spacing w:val="-3"/>
          <w:sz w:val="12"/>
        </w:rPr>
        <w:t xml:space="preserve"> </w:t>
      </w:r>
      <w:r>
        <w:rPr>
          <w:sz w:val="12"/>
        </w:rPr>
        <w:t>en</w:t>
      </w:r>
      <w:r>
        <w:rPr>
          <w:spacing w:val="-2"/>
          <w:sz w:val="12"/>
        </w:rPr>
        <w:t xml:space="preserve"> </w:t>
      </w:r>
      <w:r>
        <w:rPr>
          <w:sz w:val="12"/>
        </w:rPr>
        <w:t>el</w:t>
      </w:r>
      <w:r>
        <w:rPr>
          <w:spacing w:val="-2"/>
          <w:sz w:val="12"/>
        </w:rPr>
        <w:t xml:space="preserve"> </w:t>
      </w:r>
      <w:r>
        <w:rPr>
          <w:sz w:val="12"/>
        </w:rPr>
        <w:t>empleo</w:t>
      </w:r>
      <w:r>
        <w:rPr>
          <w:spacing w:val="-2"/>
          <w:sz w:val="12"/>
        </w:rPr>
        <w:t xml:space="preserve"> </w:t>
      </w:r>
      <w:r>
        <w:rPr>
          <w:sz w:val="12"/>
        </w:rPr>
        <w:t>y</w:t>
      </w:r>
      <w:r>
        <w:rPr>
          <w:spacing w:val="-2"/>
          <w:sz w:val="12"/>
        </w:rPr>
        <w:t xml:space="preserve"> </w:t>
      </w:r>
      <w:r>
        <w:rPr>
          <w:sz w:val="12"/>
        </w:rPr>
        <w:t>ocupación,</w:t>
      </w:r>
      <w:r>
        <w:rPr>
          <w:spacing w:val="-2"/>
          <w:sz w:val="12"/>
        </w:rPr>
        <w:t xml:space="preserve"> </w:t>
      </w:r>
      <w:r>
        <w:rPr>
          <w:sz w:val="12"/>
        </w:rPr>
        <w:t>art.</w:t>
      </w:r>
      <w:r>
        <w:rPr>
          <w:spacing w:val="-2"/>
          <w:sz w:val="12"/>
        </w:rPr>
        <w:t xml:space="preserve"> </w:t>
      </w:r>
      <w:r>
        <w:rPr>
          <w:w w:val="90"/>
          <w:sz w:val="12"/>
        </w:rPr>
        <w:t xml:space="preserve">7; </w:t>
      </w:r>
      <w:r>
        <w:rPr>
          <w:sz w:val="12"/>
        </w:rPr>
        <w:t>Directiva</w:t>
      </w:r>
      <w:r>
        <w:rPr>
          <w:spacing w:val="-2"/>
          <w:sz w:val="12"/>
        </w:rPr>
        <w:t xml:space="preserve"> </w:t>
      </w:r>
      <w:r>
        <w:rPr>
          <w:sz w:val="12"/>
        </w:rPr>
        <w:t>2000/43/CE</w:t>
      </w:r>
      <w:r>
        <w:rPr>
          <w:spacing w:val="-2"/>
          <w:sz w:val="12"/>
        </w:rPr>
        <w:t xml:space="preserve"> </w:t>
      </w:r>
      <w:r>
        <w:rPr>
          <w:sz w:val="12"/>
        </w:rPr>
        <w:t>del</w:t>
      </w:r>
      <w:r>
        <w:rPr>
          <w:spacing w:val="-2"/>
          <w:sz w:val="12"/>
        </w:rPr>
        <w:t xml:space="preserve"> </w:t>
      </w:r>
      <w:r>
        <w:rPr>
          <w:sz w:val="12"/>
        </w:rPr>
        <w:t>Consejo,</w:t>
      </w:r>
      <w:r>
        <w:rPr>
          <w:spacing w:val="-2"/>
          <w:sz w:val="12"/>
        </w:rPr>
        <w:t xml:space="preserve"> </w:t>
      </w:r>
      <w:r>
        <w:rPr>
          <w:sz w:val="12"/>
        </w:rPr>
        <w:t>de</w:t>
      </w:r>
      <w:r>
        <w:rPr>
          <w:spacing w:val="-2"/>
          <w:sz w:val="12"/>
        </w:rPr>
        <w:t xml:space="preserve"> </w:t>
      </w:r>
      <w:r>
        <w:rPr>
          <w:sz w:val="12"/>
        </w:rPr>
        <w:t>29</w:t>
      </w:r>
      <w:r>
        <w:rPr>
          <w:spacing w:val="-2"/>
          <w:sz w:val="12"/>
        </w:rPr>
        <w:t xml:space="preserve"> </w:t>
      </w:r>
      <w:r>
        <w:rPr>
          <w:sz w:val="12"/>
        </w:rPr>
        <w:t>de</w:t>
      </w:r>
      <w:r>
        <w:rPr>
          <w:spacing w:val="-2"/>
          <w:sz w:val="12"/>
        </w:rPr>
        <w:t xml:space="preserve"> </w:t>
      </w:r>
      <w:r>
        <w:rPr>
          <w:sz w:val="12"/>
        </w:rPr>
        <w:t>junio</w:t>
      </w:r>
    </w:p>
    <w:p w14:paraId="1072235D" w14:textId="77777777" w:rsidR="0014798C" w:rsidRDefault="004E1F0B">
      <w:pPr>
        <w:spacing w:before="1" w:line="312" w:lineRule="auto"/>
        <w:ind w:left="1366" w:right="1479"/>
        <w:rPr>
          <w:sz w:val="12"/>
        </w:rPr>
      </w:pPr>
      <w:r>
        <w:rPr>
          <w:sz w:val="12"/>
        </w:rPr>
        <w:t>de</w:t>
      </w:r>
      <w:r>
        <w:rPr>
          <w:spacing w:val="-2"/>
          <w:sz w:val="12"/>
        </w:rPr>
        <w:t xml:space="preserve"> </w:t>
      </w:r>
      <w:r>
        <w:rPr>
          <w:sz w:val="12"/>
        </w:rPr>
        <w:t>2000,</w:t>
      </w:r>
      <w:r>
        <w:rPr>
          <w:spacing w:val="-2"/>
          <w:sz w:val="12"/>
        </w:rPr>
        <w:t xml:space="preserve"> </w:t>
      </w:r>
      <w:r>
        <w:rPr>
          <w:sz w:val="12"/>
        </w:rPr>
        <w:t>por</w:t>
      </w:r>
      <w:r>
        <w:rPr>
          <w:spacing w:val="-2"/>
          <w:sz w:val="12"/>
        </w:rPr>
        <w:t xml:space="preserve"> </w:t>
      </w:r>
      <w:r>
        <w:rPr>
          <w:sz w:val="12"/>
        </w:rPr>
        <w:t>la</w:t>
      </w:r>
      <w:r>
        <w:rPr>
          <w:spacing w:val="-2"/>
          <w:sz w:val="12"/>
        </w:rPr>
        <w:t xml:space="preserve"> </w:t>
      </w:r>
      <w:r>
        <w:rPr>
          <w:sz w:val="12"/>
        </w:rPr>
        <w:t>que</w:t>
      </w:r>
      <w:r>
        <w:rPr>
          <w:spacing w:val="-2"/>
          <w:sz w:val="12"/>
        </w:rPr>
        <w:t xml:space="preserve"> </w:t>
      </w:r>
      <w:r>
        <w:rPr>
          <w:sz w:val="12"/>
        </w:rPr>
        <w:t>se</w:t>
      </w:r>
      <w:r>
        <w:rPr>
          <w:spacing w:val="-2"/>
          <w:sz w:val="12"/>
        </w:rPr>
        <w:t xml:space="preserve"> </w:t>
      </w:r>
      <w:r>
        <w:rPr>
          <w:sz w:val="12"/>
        </w:rPr>
        <w:t>aplica</w:t>
      </w:r>
      <w:r>
        <w:rPr>
          <w:spacing w:val="-2"/>
          <w:sz w:val="12"/>
        </w:rPr>
        <w:t xml:space="preserve"> </w:t>
      </w:r>
      <w:r>
        <w:rPr>
          <w:sz w:val="12"/>
        </w:rPr>
        <w:t>el</w:t>
      </w:r>
      <w:r>
        <w:rPr>
          <w:spacing w:val="-2"/>
          <w:sz w:val="12"/>
        </w:rPr>
        <w:t xml:space="preserve"> </w:t>
      </w:r>
      <w:r>
        <w:rPr>
          <w:sz w:val="12"/>
        </w:rPr>
        <w:t>principio</w:t>
      </w:r>
      <w:r>
        <w:rPr>
          <w:spacing w:val="-2"/>
          <w:sz w:val="12"/>
        </w:rPr>
        <w:t xml:space="preserve"> </w:t>
      </w:r>
      <w:r>
        <w:rPr>
          <w:sz w:val="12"/>
        </w:rPr>
        <w:t>de</w:t>
      </w:r>
      <w:r>
        <w:rPr>
          <w:spacing w:val="-2"/>
          <w:sz w:val="12"/>
        </w:rPr>
        <w:t xml:space="preserve"> </w:t>
      </w:r>
      <w:r>
        <w:rPr>
          <w:sz w:val="12"/>
        </w:rPr>
        <w:t>igualdad</w:t>
      </w:r>
      <w:r>
        <w:rPr>
          <w:spacing w:val="-2"/>
          <w:sz w:val="12"/>
        </w:rPr>
        <w:t xml:space="preserve"> </w:t>
      </w:r>
      <w:r>
        <w:rPr>
          <w:sz w:val="12"/>
        </w:rPr>
        <w:t>de</w:t>
      </w:r>
      <w:r>
        <w:rPr>
          <w:spacing w:val="-2"/>
          <w:sz w:val="12"/>
        </w:rPr>
        <w:t xml:space="preserve"> </w:t>
      </w:r>
      <w:r>
        <w:rPr>
          <w:sz w:val="12"/>
        </w:rPr>
        <w:t>trato</w:t>
      </w:r>
      <w:r>
        <w:rPr>
          <w:spacing w:val="-3"/>
          <w:sz w:val="12"/>
        </w:rPr>
        <w:t xml:space="preserve"> </w:t>
      </w:r>
      <w:r>
        <w:rPr>
          <w:sz w:val="12"/>
        </w:rPr>
        <w:t>entre</w:t>
      </w:r>
      <w:r>
        <w:rPr>
          <w:spacing w:val="-3"/>
          <w:sz w:val="12"/>
        </w:rPr>
        <w:t xml:space="preserve"> </w:t>
      </w:r>
      <w:r>
        <w:rPr>
          <w:sz w:val="12"/>
        </w:rPr>
        <w:t>las</w:t>
      </w:r>
      <w:r>
        <w:rPr>
          <w:spacing w:val="-2"/>
          <w:sz w:val="12"/>
        </w:rPr>
        <w:t xml:space="preserve"> </w:t>
      </w:r>
      <w:r>
        <w:rPr>
          <w:sz w:val="12"/>
        </w:rPr>
        <w:t>personas</w:t>
      </w:r>
      <w:r>
        <w:rPr>
          <w:spacing w:val="-3"/>
          <w:sz w:val="12"/>
        </w:rPr>
        <w:t xml:space="preserve"> </w:t>
      </w:r>
      <w:r>
        <w:rPr>
          <w:sz w:val="12"/>
        </w:rPr>
        <w:t>independientemente</w:t>
      </w:r>
      <w:r>
        <w:rPr>
          <w:spacing w:val="-3"/>
          <w:sz w:val="12"/>
        </w:rPr>
        <w:t xml:space="preserve"> </w:t>
      </w:r>
      <w:r>
        <w:rPr>
          <w:sz w:val="12"/>
        </w:rPr>
        <w:t>de</w:t>
      </w:r>
      <w:r>
        <w:rPr>
          <w:spacing w:val="-2"/>
          <w:sz w:val="12"/>
        </w:rPr>
        <w:t xml:space="preserve"> </w:t>
      </w:r>
      <w:r>
        <w:rPr>
          <w:sz w:val="12"/>
        </w:rPr>
        <w:t>su</w:t>
      </w:r>
      <w:r>
        <w:rPr>
          <w:spacing w:val="-2"/>
          <w:sz w:val="12"/>
        </w:rPr>
        <w:t xml:space="preserve"> </w:t>
      </w:r>
      <w:r>
        <w:rPr>
          <w:sz w:val="12"/>
        </w:rPr>
        <w:t>origen</w:t>
      </w:r>
      <w:r>
        <w:rPr>
          <w:spacing w:val="-2"/>
          <w:sz w:val="12"/>
        </w:rPr>
        <w:t xml:space="preserve"> </w:t>
      </w:r>
      <w:r>
        <w:rPr>
          <w:sz w:val="12"/>
        </w:rPr>
        <w:t>racial</w:t>
      </w:r>
      <w:r>
        <w:rPr>
          <w:spacing w:val="-2"/>
          <w:sz w:val="12"/>
        </w:rPr>
        <w:t xml:space="preserve"> </w:t>
      </w:r>
      <w:r>
        <w:rPr>
          <w:sz w:val="12"/>
        </w:rPr>
        <w:t>o</w:t>
      </w:r>
      <w:r>
        <w:rPr>
          <w:spacing w:val="-2"/>
          <w:sz w:val="12"/>
        </w:rPr>
        <w:t xml:space="preserve"> </w:t>
      </w:r>
      <w:r>
        <w:rPr>
          <w:sz w:val="12"/>
        </w:rPr>
        <w:t>étnico,</w:t>
      </w:r>
      <w:r>
        <w:rPr>
          <w:spacing w:val="-2"/>
          <w:sz w:val="12"/>
        </w:rPr>
        <w:t xml:space="preserve"> </w:t>
      </w:r>
      <w:r>
        <w:rPr>
          <w:sz w:val="12"/>
        </w:rPr>
        <w:t>art.</w:t>
      </w:r>
      <w:r>
        <w:rPr>
          <w:spacing w:val="-2"/>
          <w:sz w:val="12"/>
        </w:rPr>
        <w:t xml:space="preserve"> </w:t>
      </w:r>
      <w:r>
        <w:rPr>
          <w:w w:val="90"/>
          <w:sz w:val="12"/>
        </w:rPr>
        <w:t xml:space="preserve">5; </w:t>
      </w:r>
      <w:r>
        <w:rPr>
          <w:sz w:val="12"/>
        </w:rPr>
        <w:t>Directiva</w:t>
      </w:r>
      <w:r>
        <w:rPr>
          <w:spacing w:val="-2"/>
          <w:sz w:val="12"/>
        </w:rPr>
        <w:t xml:space="preserve"> </w:t>
      </w:r>
      <w:r>
        <w:rPr>
          <w:sz w:val="12"/>
        </w:rPr>
        <w:t>2004/113/CE</w:t>
      </w:r>
      <w:r>
        <w:rPr>
          <w:spacing w:val="-2"/>
          <w:sz w:val="12"/>
        </w:rPr>
        <w:t xml:space="preserve"> </w:t>
      </w:r>
      <w:r>
        <w:rPr>
          <w:sz w:val="12"/>
        </w:rPr>
        <w:t>del</w:t>
      </w:r>
      <w:r>
        <w:rPr>
          <w:spacing w:val="40"/>
          <w:sz w:val="12"/>
        </w:rPr>
        <w:t xml:space="preserve"> </w:t>
      </w:r>
      <w:r>
        <w:rPr>
          <w:sz w:val="12"/>
        </w:rPr>
        <w:t>Consejo, de 13 de diciembre de 2004, por la que se aplica el principio de igualdad de trato entre hombres y mujeres en el acceso y suministro de bienes y servicios,</w:t>
      </w:r>
      <w:r>
        <w:rPr>
          <w:spacing w:val="40"/>
          <w:sz w:val="12"/>
        </w:rPr>
        <w:t xml:space="preserve"> </w:t>
      </w:r>
      <w:r>
        <w:rPr>
          <w:sz w:val="12"/>
        </w:rPr>
        <w:t>art.</w:t>
      </w:r>
      <w:r>
        <w:rPr>
          <w:spacing w:val="-3"/>
          <w:sz w:val="12"/>
        </w:rPr>
        <w:t xml:space="preserve"> </w:t>
      </w:r>
      <w:r>
        <w:rPr>
          <w:w w:val="90"/>
          <w:sz w:val="12"/>
        </w:rPr>
        <w:t xml:space="preserve">6; </w:t>
      </w:r>
      <w:r>
        <w:rPr>
          <w:sz w:val="12"/>
        </w:rPr>
        <w:t>y</w:t>
      </w:r>
      <w:r>
        <w:rPr>
          <w:spacing w:val="-3"/>
          <w:sz w:val="12"/>
        </w:rPr>
        <w:t xml:space="preserve"> </w:t>
      </w:r>
      <w:r>
        <w:rPr>
          <w:sz w:val="12"/>
        </w:rPr>
        <w:t>Directiva</w:t>
      </w:r>
      <w:r>
        <w:rPr>
          <w:spacing w:val="-3"/>
          <w:sz w:val="12"/>
        </w:rPr>
        <w:t xml:space="preserve"> </w:t>
      </w:r>
      <w:r>
        <w:rPr>
          <w:sz w:val="12"/>
        </w:rPr>
        <w:t>2006/54/CE</w:t>
      </w:r>
      <w:r>
        <w:rPr>
          <w:spacing w:val="-3"/>
          <w:sz w:val="12"/>
        </w:rPr>
        <w:t xml:space="preserve"> </w:t>
      </w:r>
      <w:r>
        <w:rPr>
          <w:sz w:val="12"/>
        </w:rPr>
        <w:t>del</w:t>
      </w:r>
      <w:r>
        <w:rPr>
          <w:spacing w:val="-3"/>
          <w:sz w:val="12"/>
        </w:rPr>
        <w:t xml:space="preserve"> </w:t>
      </w:r>
      <w:r>
        <w:rPr>
          <w:sz w:val="12"/>
        </w:rPr>
        <w:t>Parlamento</w:t>
      </w:r>
      <w:r>
        <w:rPr>
          <w:spacing w:val="-4"/>
          <w:sz w:val="12"/>
        </w:rPr>
        <w:t xml:space="preserve"> </w:t>
      </w:r>
      <w:r>
        <w:rPr>
          <w:sz w:val="12"/>
        </w:rPr>
        <w:t>Europeo</w:t>
      </w:r>
      <w:r>
        <w:rPr>
          <w:spacing w:val="-4"/>
          <w:sz w:val="12"/>
        </w:rPr>
        <w:t xml:space="preserve"> </w:t>
      </w:r>
      <w:r>
        <w:rPr>
          <w:sz w:val="12"/>
        </w:rPr>
        <w:t>y</w:t>
      </w:r>
      <w:r>
        <w:rPr>
          <w:spacing w:val="-3"/>
          <w:sz w:val="12"/>
        </w:rPr>
        <w:t xml:space="preserve"> </w:t>
      </w:r>
      <w:r>
        <w:rPr>
          <w:sz w:val="12"/>
        </w:rPr>
        <w:t>del</w:t>
      </w:r>
      <w:r>
        <w:rPr>
          <w:spacing w:val="-3"/>
          <w:sz w:val="12"/>
        </w:rPr>
        <w:t xml:space="preserve"> </w:t>
      </w:r>
      <w:r>
        <w:rPr>
          <w:sz w:val="12"/>
        </w:rPr>
        <w:t>Consejo,</w:t>
      </w:r>
      <w:r>
        <w:rPr>
          <w:spacing w:val="-3"/>
          <w:sz w:val="12"/>
        </w:rPr>
        <w:t xml:space="preserve"> </w:t>
      </w:r>
      <w:r>
        <w:rPr>
          <w:sz w:val="12"/>
        </w:rPr>
        <w:t>de</w:t>
      </w:r>
      <w:r>
        <w:rPr>
          <w:spacing w:val="-3"/>
          <w:sz w:val="12"/>
        </w:rPr>
        <w:t xml:space="preserve"> </w:t>
      </w:r>
      <w:r>
        <w:rPr>
          <w:sz w:val="12"/>
        </w:rPr>
        <w:t>5</w:t>
      </w:r>
      <w:r>
        <w:rPr>
          <w:spacing w:val="-3"/>
          <w:sz w:val="12"/>
        </w:rPr>
        <w:t xml:space="preserve"> </w:t>
      </w:r>
      <w:r>
        <w:rPr>
          <w:sz w:val="12"/>
        </w:rPr>
        <w:t>de</w:t>
      </w:r>
      <w:r>
        <w:rPr>
          <w:spacing w:val="-3"/>
          <w:sz w:val="12"/>
        </w:rPr>
        <w:t xml:space="preserve"> </w:t>
      </w:r>
      <w:r>
        <w:rPr>
          <w:sz w:val="12"/>
        </w:rPr>
        <w:t>julio</w:t>
      </w:r>
      <w:r>
        <w:rPr>
          <w:spacing w:val="-3"/>
          <w:sz w:val="12"/>
        </w:rPr>
        <w:t xml:space="preserve"> </w:t>
      </w:r>
      <w:r>
        <w:rPr>
          <w:sz w:val="12"/>
        </w:rPr>
        <w:t>de</w:t>
      </w:r>
      <w:r>
        <w:rPr>
          <w:spacing w:val="-3"/>
          <w:sz w:val="12"/>
        </w:rPr>
        <w:t xml:space="preserve"> </w:t>
      </w:r>
      <w:r>
        <w:rPr>
          <w:sz w:val="12"/>
        </w:rPr>
        <w:t>2006,</w:t>
      </w:r>
      <w:r>
        <w:rPr>
          <w:spacing w:val="-3"/>
          <w:sz w:val="12"/>
        </w:rPr>
        <w:t xml:space="preserve"> </w:t>
      </w:r>
      <w:r>
        <w:rPr>
          <w:sz w:val="12"/>
        </w:rPr>
        <w:t>sobre</w:t>
      </w:r>
      <w:r>
        <w:rPr>
          <w:spacing w:val="-3"/>
          <w:sz w:val="12"/>
        </w:rPr>
        <w:t xml:space="preserve"> </w:t>
      </w:r>
      <w:r>
        <w:rPr>
          <w:sz w:val="12"/>
        </w:rPr>
        <w:t>la</w:t>
      </w:r>
      <w:r>
        <w:rPr>
          <w:spacing w:val="-3"/>
          <w:sz w:val="12"/>
        </w:rPr>
        <w:t xml:space="preserve"> </w:t>
      </w:r>
      <w:r>
        <w:rPr>
          <w:sz w:val="12"/>
        </w:rPr>
        <w:t>aplicación</w:t>
      </w:r>
      <w:r>
        <w:rPr>
          <w:spacing w:val="-3"/>
          <w:sz w:val="12"/>
        </w:rPr>
        <w:t xml:space="preserve"> </w:t>
      </w:r>
      <w:r>
        <w:rPr>
          <w:sz w:val="12"/>
        </w:rPr>
        <w:t>del</w:t>
      </w:r>
      <w:r>
        <w:rPr>
          <w:spacing w:val="-3"/>
          <w:sz w:val="12"/>
        </w:rPr>
        <w:t xml:space="preserve"> </w:t>
      </w:r>
      <w:r>
        <w:rPr>
          <w:sz w:val="12"/>
        </w:rPr>
        <w:t>principio</w:t>
      </w:r>
      <w:r>
        <w:rPr>
          <w:spacing w:val="-3"/>
          <w:sz w:val="12"/>
        </w:rPr>
        <w:t xml:space="preserve"> </w:t>
      </w:r>
      <w:r>
        <w:rPr>
          <w:sz w:val="12"/>
        </w:rPr>
        <w:t>de</w:t>
      </w:r>
      <w:r>
        <w:rPr>
          <w:spacing w:val="-3"/>
          <w:sz w:val="12"/>
        </w:rPr>
        <w:t xml:space="preserve"> </w:t>
      </w:r>
      <w:r>
        <w:rPr>
          <w:sz w:val="12"/>
        </w:rPr>
        <w:t>igualdad</w:t>
      </w:r>
      <w:r>
        <w:rPr>
          <w:spacing w:val="-3"/>
          <w:sz w:val="12"/>
        </w:rPr>
        <w:t xml:space="preserve"> </w:t>
      </w:r>
      <w:r>
        <w:rPr>
          <w:sz w:val="12"/>
        </w:rPr>
        <w:t>de</w:t>
      </w:r>
      <w:r>
        <w:rPr>
          <w:spacing w:val="-3"/>
          <w:sz w:val="12"/>
        </w:rPr>
        <w:t xml:space="preserve"> </w:t>
      </w:r>
      <w:r>
        <w:rPr>
          <w:sz w:val="12"/>
        </w:rPr>
        <w:t>oportunidades</w:t>
      </w:r>
      <w:r>
        <w:rPr>
          <w:spacing w:val="-4"/>
          <w:sz w:val="12"/>
        </w:rPr>
        <w:t xml:space="preserve"> </w:t>
      </w:r>
      <w:r>
        <w:rPr>
          <w:sz w:val="12"/>
        </w:rPr>
        <w:t>e</w:t>
      </w:r>
      <w:r>
        <w:rPr>
          <w:spacing w:val="-3"/>
          <w:sz w:val="12"/>
        </w:rPr>
        <w:t xml:space="preserve"> </w:t>
      </w:r>
      <w:r>
        <w:rPr>
          <w:sz w:val="12"/>
        </w:rPr>
        <w:t>igualdad</w:t>
      </w:r>
      <w:r>
        <w:rPr>
          <w:spacing w:val="40"/>
          <w:sz w:val="12"/>
        </w:rPr>
        <w:t xml:space="preserve"> </w:t>
      </w:r>
      <w:r>
        <w:rPr>
          <w:sz w:val="12"/>
        </w:rPr>
        <w:t>de trato entre hombres y mujeres en materia de empleo y ocupación (refundición), art. 3).</w:t>
      </w:r>
    </w:p>
    <w:p w14:paraId="05C35731" w14:textId="77777777" w:rsidR="0014798C" w:rsidRDefault="004E1F0B">
      <w:pPr>
        <w:pStyle w:val="Prrafodelista"/>
        <w:numPr>
          <w:ilvl w:val="0"/>
          <w:numId w:val="57"/>
        </w:numPr>
        <w:tabs>
          <w:tab w:val="left" w:pos="1339"/>
          <w:tab w:val="left" w:pos="1368"/>
        </w:tabs>
        <w:spacing w:before="56" w:line="312" w:lineRule="auto"/>
        <w:ind w:left="1368" w:right="1527" w:hanging="263"/>
        <w:rPr>
          <w:sz w:val="12"/>
        </w:rPr>
      </w:pPr>
      <w:r>
        <w:rPr>
          <w:sz w:val="12"/>
        </w:rPr>
        <w:t>Comité para la Eliminación de la Discriminación contra la Mujer, recomendación general núm. 25 (2004), párr. 30; y Comité para la Eliminación de la Discriminación</w:t>
      </w:r>
      <w:r>
        <w:rPr>
          <w:spacing w:val="40"/>
          <w:sz w:val="12"/>
        </w:rPr>
        <w:t xml:space="preserve"> </w:t>
      </w:r>
      <w:r>
        <w:rPr>
          <w:sz w:val="12"/>
        </w:rPr>
        <w:t>Racial, recomendación general núm. 32 (2009), párr. 13.</w:t>
      </w:r>
    </w:p>
    <w:p w14:paraId="31F4B351" w14:textId="77777777" w:rsidR="0014798C" w:rsidRDefault="004E1F0B">
      <w:pPr>
        <w:pStyle w:val="Prrafodelista"/>
        <w:numPr>
          <w:ilvl w:val="0"/>
          <w:numId w:val="57"/>
        </w:numPr>
        <w:tabs>
          <w:tab w:val="left" w:pos="1339"/>
        </w:tabs>
        <w:spacing w:before="57"/>
        <w:ind w:left="1339" w:hanging="234"/>
        <w:rPr>
          <w:sz w:val="12"/>
        </w:rPr>
      </w:pPr>
      <w:r>
        <w:rPr>
          <w:sz w:val="12"/>
        </w:rPr>
        <w:t>Comité</w:t>
      </w:r>
      <w:r>
        <w:rPr>
          <w:spacing w:val="-2"/>
          <w:sz w:val="12"/>
        </w:rPr>
        <w:t xml:space="preserve"> </w:t>
      </w:r>
      <w:r>
        <w:rPr>
          <w:sz w:val="12"/>
        </w:rPr>
        <w:t>para</w:t>
      </w:r>
      <w:r>
        <w:rPr>
          <w:spacing w:val="-1"/>
          <w:sz w:val="12"/>
        </w:rPr>
        <w:t xml:space="preserve"> </w:t>
      </w:r>
      <w:r>
        <w:rPr>
          <w:sz w:val="12"/>
        </w:rPr>
        <w:t>la</w:t>
      </w:r>
      <w:r>
        <w:rPr>
          <w:spacing w:val="-2"/>
          <w:sz w:val="12"/>
        </w:rPr>
        <w:t xml:space="preserve"> </w:t>
      </w:r>
      <w:r>
        <w:rPr>
          <w:sz w:val="12"/>
        </w:rPr>
        <w:t>Eliminación</w:t>
      </w:r>
      <w:r>
        <w:rPr>
          <w:spacing w:val="-1"/>
          <w:sz w:val="12"/>
        </w:rPr>
        <w:t xml:space="preserve"> </w:t>
      </w:r>
      <w:r>
        <w:rPr>
          <w:sz w:val="12"/>
        </w:rPr>
        <w:t>de</w:t>
      </w:r>
      <w:r>
        <w:rPr>
          <w:spacing w:val="-2"/>
          <w:sz w:val="12"/>
        </w:rPr>
        <w:t xml:space="preserve"> </w:t>
      </w:r>
      <w:r>
        <w:rPr>
          <w:sz w:val="12"/>
        </w:rPr>
        <w:t>la</w:t>
      </w:r>
      <w:r>
        <w:rPr>
          <w:spacing w:val="-1"/>
          <w:sz w:val="12"/>
        </w:rPr>
        <w:t xml:space="preserve"> </w:t>
      </w:r>
      <w:r>
        <w:rPr>
          <w:sz w:val="12"/>
        </w:rPr>
        <w:t>Discriminación</w:t>
      </w:r>
      <w:r>
        <w:rPr>
          <w:spacing w:val="-2"/>
          <w:sz w:val="12"/>
        </w:rPr>
        <w:t xml:space="preserve"> </w:t>
      </w:r>
      <w:r>
        <w:rPr>
          <w:sz w:val="12"/>
        </w:rPr>
        <w:t>contra</w:t>
      </w:r>
      <w:r>
        <w:rPr>
          <w:spacing w:val="-1"/>
          <w:sz w:val="12"/>
        </w:rPr>
        <w:t xml:space="preserve"> </w:t>
      </w:r>
      <w:r>
        <w:rPr>
          <w:sz w:val="12"/>
        </w:rPr>
        <w:t>la</w:t>
      </w:r>
      <w:r>
        <w:rPr>
          <w:spacing w:val="-2"/>
          <w:sz w:val="12"/>
        </w:rPr>
        <w:t xml:space="preserve"> </w:t>
      </w:r>
      <w:r>
        <w:rPr>
          <w:sz w:val="12"/>
        </w:rPr>
        <w:t>Mujer,</w:t>
      </w:r>
      <w:r>
        <w:rPr>
          <w:spacing w:val="-1"/>
          <w:sz w:val="12"/>
        </w:rPr>
        <w:t xml:space="preserve"> </w:t>
      </w:r>
      <w:r>
        <w:rPr>
          <w:sz w:val="12"/>
        </w:rPr>
        <w:t>recomendación</w:t>
      </w:r>
      <w:r>
        <w:rPr>
          <w:spacing w:val="-2"/>
          <w:sz w:val="12"/>
        </w:rPr>
        <w:t xml:space="preserve"> </w:t>
      </w:r>
      <w:r>
        <w:rPr>
          <w:sz w:val="12"/>
        </w:rPr>
        <w:t>general</w:t>
      </w:r>
      <w:r>
        <w:rPr>
          <w:spacing w:val="-1"/>
          <w:sz w:val="12"/>
        </w:rPr>
        <w:t xml:space="preserve"> </w:t>
      </w:r>
      <w:r>
        <w:rPr>
          <w:sz w:val="12"/>
        </w:rPr>
        <w:t>núm.</w:t>
      </w:r>
      <w:r>
        <w:rPr>
          <w:spacing w:val="-2"/>
          <w:sz w:val="12"/>
        </w:rPr>
        <w:t xml:space="preserve"> </w:t>
      </w:r>
      <w:r>
        <w:rPr>
          <w:sz w:val="12"/>
        </w:rPr>
        <w:t>25</w:t>
      </w:r>
      <w:r>
        <w:rPr>
          <w:spacing w:val="-1"/>
          <w:sz w:val="12"/>
        </w:rPr>
        <w:t xml:space="preserve"> </w:t>
      </w:r>
      <w:r>
        <w:rPr>
          <w:sz w:val="12"/>
        </w:rPr>
        <w:t>(2004),</w:t>
      </w:r>
      <w:r>
        <w:rPr>
          <w:spacing w:val="-2"/>
          <w:sz w:val="12"/>
        </w:rPr>
        <w:t xml:space="preserve"> </w:t>
      </w:r>
      <w:r>
        <w:rPr>
          <w:sz w:val="12"/>
        </w:rPr>
        <w:t>párr.</w:t>
      </w:r>
      <w:r>
        <w:rPr>
          <w:spacing w:val="-1"/>
          <w:sz w:val="12"/>
        </w:rPr>
        <w:t xml:space="preserve"> </w:t>
      </w:r>
      <w:r>
        <w:rPr>
          <w:spacing w:val="-5"/>
          <w:sz w:val="12"/>
        </w:rPr>
        <w:t>31.</w:t>
      </w:r>
    </w:p>
    <w:p w14:paraId="138FECF7" w14:textId="77777777" w:rsidR="0014798C" w:rsidRDefault="004E1F0B">
      <w:pPr>
        <w:pStyle w:val="Prrafodelista"/>
        <w:numPr>
          <w:ilvl w:val="0"/>
          <w:numId w:val="57"/>
        </w:numPr>
        <w:tabs>
          <w:tab w:val="left" w:pos="1339"/>
        </w:tabs>
        <w:spacing w:before="99"/>
        <w:ind w:left="1339" w:hanging="234"/>
        <w:rPr>
          <w:sz w:val="12"/>
        </w:rPr>
      </w:pPr>
      <w:proofErr w:type="spellStart"/>
      <w:r>
        <w:rPr>
          <w:sz w:val="12"/>
        </w:rPr>
        <w:t>Ibíd</w:t>
      </w:r>
      <w:proofErr w:type="spellEnd"/>
      <w:r>
        <w:rPr>
          <w:sz w:val="12"/>
        </w:rPr>
        <w:t>.,</w:t>
      </w:r>
      <w:r>
        <w:rPr>
          <w:spacing w:val="-7"/>
          <w:sz w:val="12"/>
        </w:rPr>
        <w:t xml:space="preserve"> </w:t>
      </w:r>
      <w:r>
        <w:rPr>
          <w:sz w:val="12"/>
        </w:rPr>
        <w:t>párr.</w:t>
      </w:r>
      <w:r>
        <w:rPr>
          <w:spacing w:val="-6"/>
          <w:sz w:val="12"/>
        </w:rPr>
        <w:t xml:space="preserve"> </w:t>
      </w:r>
      <w:r>
        <w:rPr>
          <w:sz w:val="12"/>
        </w:rPr>
        <w:t>32;</w:t>
      </w:r>
      <w:r>
        <w:rPr>
          <w:spacing w:val="-6"/>
          <w:sz w:val="12"/>
        </w:rPr>
        <w:t xml:space="preserve"> </w:t>
      </w:r>
      <w:r>
        <w:rPr>
          <w:sz w:val="12"/>
        </w:rPr>
        <w:t>y</w:t>
      </w:r>
      <w:r>
        <w:rPr>
          <w:spacing w:val="-7"/>
          <w:sz w:val="12"/>
        </w:rPr>
        <w:t xml:space="preserve"> </w:t>
      </w:r>
      <w:r>
        <w:rPr>
          <w:sz w:val="12"/>
        </w:rPr>
        <w:t>Comité</w:t>
      </w:r>
      <w:r>
        <w:rPr>
          <w:spacing w:val="-6"/>
          <w:sz w:val="12"/>
        </w:rPr>
        <w:t xml:space="preserve"> </w:t>
      </w:r>
      <w:r>
        <w:rPr>
          <w:sz w:val="12"/>
        </w:rPr>
        <w:t>para</w:t>
      </w:r>
      <w:r>
        <w:rPr>
          <w:spacing w:val="-6"/>
          <w:sz w:val="12"/>
        </w:rPr>
        <w:t xml:space="preserve"> </w:t>
      </w:r>
      <w:r>
        <w:rPr>
          <w:sz w:val="12"/>
        </w:rPr>
        <w:t>la</w:t>
      </w:r>
      <w:r>
        <w:rPr>
          <w:spacing w:val="-7"/>
          <w:sz w:val="12"/>
        </w:rPr>
        <w:t xml:space="preserve"> </w:t>
      </w:r>
      <w:r>
        <w:rPr>
          <w:sz w:val="12"/>
        </w:rPr>
        <w:t>Eliminación</w:t>
      </w:r>
      <w:r>
        <w:rPr>
          <w:spacing w:val="-6"/>
          <w:sz w:val="12"/>
        </w:rPr>
        <w:t xml:space="preserve"> </w:t>
      </w:r>
      <w:r>
        <w:rPr>
          <w:sz w:val="12"/>
        </w:rPr>
        <w:t>de</w:t>
      </w:r>
      <w:r>
        <w:rPr>
          <w:spacing w:val="-6"/>
          <w:sz w:val="12"/>
        </w:rPr>
        <w:t xml:space="preserve"> </w:t>
      </w:r>
      <w:r>
        <w:rPr>
          <w:sz w:val="12"/>
        </w:rPr>
        <w:t>la</w:t>
      </w:r>
      <w:r>
        <w:rPr>
          <w:spacing w:val="-7"/>
          <w:sz w:val="12"/>
        </w:rPr>
        <w:t xml:space="preserve"> </w:t>
      </w:r>
      <w:r>
        <w:rPr>
          <w:sz w:val="12"/>
        </w:rPr>
        <w:t>Discriminación</w:t>
      </w:r>
      <w:r>
        <w:rPr>
          <w:spacing w:val="-6"/>
          <w:sz w:val="12"/>
        </w:rPr>
        <w:t xml:space="preserve"> </w:t>
      </w:r>
      <w:r>
        <w:rPr>
          <w:sz w:val="12"/>
        </w:rPr>
        <w:t>Racial,</w:t>
      </w:r>
      <w:r>
        <w:rPr>
          <w:spacing w:val="-6"/>
          <w:sz w:val="12"/>
        </w:rPr>
        <w:t xml:space="preserve"> </w:t>
      </w:r>
      <w:r>
        <w:rPr>
          <w:sz w:val="12"/>
        </w:rPr>
        <w:t>recomendación</w:t>
      </w:r>
      <w:r>
        <w:rPr>
          <w:spacing w:val="-7"/>
          <w:sz w:val="12"/>
        </w:rPr>
        <w:t xml:space="preserve"> </w:t>
      </w:r>
      <w:r>
        <w:rPr>
          <w:sz w:val="12"/>
        </w:rPr>
        <w:t>general</w:t>
      </w:r>
      <w:r>
        <w:rPr>
          <w:spacing w:val="-6"/>
          <w:sz w:val="12"/>
        </w:rPr>
        <w:t xml:space="preserve"> </w:t>
      </w:r>
      <w:r>
        <w:rPr>
          <w:sz w:val="12"/>
        </w:rPr>
        <w:t>núm.</w:t>
      </w:r>
      <w:r>
        <w:rPr>
          <w:spacing w:val="-6"/>
          <w:sz w:val="12"/>
        </w:rPr>
        <w:t xml:space="preserve"> </w:t>
      </w:r>
      <w:r>
        <w:rPr>
          <w:sz w:val="12"/>
        </w:rPr>
        <w:t>32</w:t>
      </w:r>
      <w:r>
        <w:rPr>
          <w:spacing w:val="-7"/>
          <w:sz w:val="12"/>
        </w:rPr>
        <w:t xml:space="preserve"> </w:t>
      </w:r>
      <w:r>
        <w:rPr>
          <w:sz w:val="12"/>
        </w:rPr>
        <w:t>(2009),</w:t>
      </w:r>
      <w:r>
        <w:rPr>
          <w:spacing w:val="-6"/>
          <w:sz w:val="12"/>
        </w:rPr>
        <w:t xml:space="preserve"> </w:t>
      </w:r>
      <w:r>
        <w:rPr>
          <w:sz w:val="12"/>
        </w:rPr>
        <w:t>párr.</w:t>
      </w:r>
      <w:r>
        <w:rPr>
          <w:spacing w:val="-6"/>
          <w:sz w:val="12"/>
        </w:rPr>
        <w:t xml:space="preserve"> </w:t>
      </w:r>
      <w:r>
        <w:rPr>
          <w:spacing w:val="-5"/>
          <w:sz w:val="12"/>
        </w:rPr>
        <w:t>13.</w:t>
      </w:r>
    </w:p>
    <w:p w14:paraId="13827E99" w14:textId="77777777" w:rsidR="0014798C" w:rsidRDefault="004E1F0B">
      <w:pPr>
        <w:pStyle w:val="Prrafodelista"/>
        <w:numPr>
          <w:ilvl w:val="0"/>
          <w:numId w:val="57"/>
        </w:numPr>
        <w:tabs>
          <w:tab w:val="left" w:pos="1339"/>
        </w:tabs>
        <w:spacing w:before="93"/>
        <w:ind w:left="1339" w:hanging="234"/>
        <w:rPr>
          <w:sz w:val="12"/>
        </w:rPr>
      </w:pPr>
      <w:r>
        <w:rPr>
          <w:sz w:val="12"/>
        </w:rPr>
        <w:t>Convención</w:t>
      </w:r>
      <w:r>
        <w:rPr>
          <w:spacing w:val="-1"/>
          <w:sz w:val="12"/>
        </w:rPr>
        <w:t xml:space="preserve"> </w:t>
      </w:r>
      <w:r>
        <w:rPr>
          <w:sz w:val="12"/>
        </w:rPr>
        <w:t>Internacional</w:t>
      </w:r>
      <w:r>
        <w:rPr>
          <w:spacing w:val="-1"/>
          <w:sz w:val="12"/>
        </w:rPr>
        <w:t xml:space="preserve"> </w:t>
      </w:r>
      <w:r>
        <w:rPr>
          <w:sz w:val="12"/>
        </w:rPr>
        <w:t>sobre</w:t>
      </w:r>
      <w:r>
        <w:rPr>
          <w:spacing w:val="-1"/>
          <w:sz w:val="12"/>
        </w:rPr>
        <w:t xml:space="preserve"> </w:t>
      </w:r>
      <w:r>
        <w:rPr>
          <w:sz w:val="12"/>
        </w:rPr>
        <w:t>la</w:t>
      </w:r>
      <w:r>
        <w:rPr>
          <w:spacing w:val="-1"/>
          <w:sz w:val="12"/>
        </w:rPr>
        <w:t xml:space="preserve"> </w:t>
      </w:r>
      <w:r>
        <w:rPr>
          <w:sz w:val="12"/>
        </w:rPr>
        <w:t>Eliminación</w:t>
      </w:r>
      <w:r>
        <w:rPr>
          <w:spacing w:val="-1"/>
          <w:sz w:val="12"/>
        </w:rPr>
        <w:t xml:space="preserve"> </w:t>
      </w:r>
      <w:r>
        <w:rPr>
          <w:sz w:val="12"/>
        </w:rPr>
        <w:t>de todas</w:t>
      </w:r>
      <w:r>
        <w:rPr>
          <w:spacing w:val="-1"/>
          <w:sz w:val="12"/>
        </w:rPr>
        <w:t xml:space="preserve"> </w:t>
      </w:r>
      <w:r>
        <w:rPr>
          <w:sz w:val="12"/>
        </w:rPr>
        <w:t>las</w:t>
      </w:r>
      <w:r>
        <w:rPr>
          <w:spacing w:val="-1"/>
          <w:sz w:val="12"/>
        </w:rPr>
        <w:t xml:space="preserve"> </w:t>
      </w:r>
      <w:r>
        <w:rPr>
          <w:sz w:val="12"/>
        </w:rPr>
        <w:t>Formas</w:t>
      </w:r>
      <w:r>
        <w:rPr>
          <w:spacing w:val="-1"/>
          <w:sz w:val="12"/>
        </w:rPr>
        <w:t xml:space="preserve"> </w:t>
      </w:r>
      <w:r>
        <w:rPr>
          <w:sz w:val="12"/>
        </w:rPr>
        <w:t>de</w:t>
      </w:r>
      <w:r>
        <w:rPr>
          <w:spacing w:val="-1"/>
          <w:sz w:val="12"/>
        </w:rPr>
        <w:t xml:space="preserve"> </w:t>
      </w:r>
      <w:r>
        <w:rPr>
          <w:sz w:val="12"/>
        </w:rPr>
        <w:t>Discriminación</w:t>
      </w:r>
      <w:r>
        <w:rPr>
          <w:spacing w:val="-1"/>
          <w:sz w:val="12"/>
        </w:rPr>
        <w:t xml:space="preserve"> </w:t>
      </w:r>
      <w:r>
        <w:rPr>
          <w:sz w:val="12"/>
        </w:rPr>
        <w:t>Racial, art.</w:t>
      </w:r>
      <w:r>
        <w:rPr>
          <w:spacing w:val="-1"/>
          <w:sz w:val="12"/>
        </w:rPr>
        <w:t xml:space="preserve"> </w:t>
      </w:r>
      <w:r>
        <w:rPr>
          <w:sz w:val="12"/>
        </w:rPr>
        <w:t>1</w:t>
      </w:r>
      <w:r>
        <w:rPr>
          <w:spacing w:val="-1"/>
          <w:sz w:val="12"/>
        </w:rPr>
        <w:t xml:space="preserve"> </w:t>
      </w:r>
      <w:r>
        <w:rPr>
          <w:spacing w:val="-4"/>
          <w:sz w:val="12"/>
        </w:rPr>
        <w:t>(4).</w:t>
      </w:r>
    </w:p>
    <w:p w14:paraId="103F7645" w14:textId="77777777" w:rsidR="0014798C" w:rsidRDefault="004E1F0B">
      <w:pPr>
        <w:pStyle w:val="Prrafodelista"/>
        <w:numPr>
          <w:ilvl w:val="0"/>
          <w:numId w:val="57"/>
        </w:numPr>
        <w:tabs>
          <w:tab w:val="left" w:pos="1339"/>
        </w:tabs>
        <w:spacing w:before="103"/>
        <w:ind w:left="1339" w:hanging="234"/>
        <w:rPr>
          <w:sz w:val="12"/>
        </w:rPr>
      </w:pPr>
      <w:r>
        <w:rPr>
          <w:sz w:val="12"/>
        </w:rPr>
        <w:t>Convención</w:t>
      </w:r>
      <w:r>
        <w:rPr>
          <w:spacing w:val="-1"/>
          <w:sz w:val="12"/>
        </w:rPr>
        <w:t xml:space="preserve"> </w:t>
      </w:r>
      <w:r>
        <w:rPr>
          <w:sz w:val="12"/>
        </w:rPr>
        <w:t>sobre</w:t>
      </w:r>
      <w:r>
        <w:rPr>
          <w:spacing w:val="-1"/>
          <w:sz w:val="12"/>
        </w:rPr>
        <w:t xml:space="preserve"> </w:t>
      </w:r>
      <w:r>
        <w:rPr>
          <w:sz w:val="12"/>
        </w:rPr>
        <w:t>la eliminación</w:t>
      </w:r>
      <w:r>
        <w:rPr>
          <w:spacing w:val="-1"/>
          <w:sz w:val="12"/>
        </w:rPr>
        <w:t xml:space="preserve"> </w:t>
      </w:r>
      <w:r>
        <w:rPr>
          <w:sz w:val="12"/>
        </w:rPr>
        <w:t>de todas</w:t>
      </w:r>
      <w:r>
        <w:rPr>
          <w:spacing w:val="-1"/>
          <w:sz w:val="12"/>
        </w:rPr>
        <w:t xml:space="preserve"> </w:t>
      </w:r>
      <w:r>
        <w:rPr>
          <w:sz w:val="12"/>
        </w:rPr>
        <w:t>las formas</w:t>
      </w:r>
      <w:r>
        <w:rPr>
          <w:spacing w:val="-1"/>
          <w:sz w:val="12"/>
        </w:rPr>
        <w:t xml:space="preserve"> </w:t>
      </w:r>
      <w:r>
        <w:rPr>
          <w:sz w:val="12"/>
        </w:rPr>
        <w:t>de discriminación</w:t>
      </w:r>
      <w:r>
        <w:rPr>
          <w:spacing w:val="-1"/>
          <w:sz w:val="12"/>
        </w:rPr>
        <w:t xml:space="preserve"> </w:t>
      </w:r>
      <w:r>
        <w:rPr>
          <w:sz w:val="12"/>
        </w:rPr>
        <w:t>contra</w:t>
      </w:r>
      <w:r>
        <w:rPr>
          <w:spacing w:val="-1"/>
          <w:sz w:val="12"/>
        </w:rPr>
        <w:t xml:space="preserve"> </w:t>
      </w:r>
      <w:r>
        <w:rPr>
          <w:sz w:val="12"/>
        </w:rPr>
        <w:t>la mujer,</w:t>
      </w:r>
      <w:r>
        <w:rPr>
          <w:spacing w:val="-1"/>
          <w:sz w:val="12"/>
        </w:rPr>
        <w:t xml:space="preserve"> </w:t>
      </w:r>
      <w:r>
        <w:rPr>
          <w:sz w:val="12"/>
        </w:rPr>
        <w:t>art. 4</w:t>
      </w:r>
      <w:r>
        <w:rPr>
          <w:spacing w:val="-1"/>
          <w:sz w:val="12"/>
        </w:rPr>
        <w:t xml:space="preserve"> </w:t>
      </w:r>
      <w:r>
        <w:rPr>
          <w:spacing w:val="-4"/>
          <w:sz w:val="12"/>
        </w:rPr>
        <w:t>(1).</w:t>
      </w:r>
    </w:p>
    <w:p w14:paraId="6DA901DE" w14:textId="77777777" w:rsidR="0014798C" w:rsidRDefault="004E1F0B">
      <w:pPr>
        <w:pStyle w:val="Prrafodelista"/>
        <w:numPr>
          <w:ilvl w:val="0"/>
          <w:numId w:val="57"/>
        </w:numPr>
        <w:tabs>
          <w:tab w:val="left" w:pos="1339"/>
        </w:tabs>
        <w:spacing w:before="99"/>
        <w:ind w:left="1339" w:hanging="234"/>
        <w:rPr>
          <w:sz w:val="12"/>
        </w:rPr>
      </w:pPr>
      <w:r>
        <w:rPr>
          <w:sz w:val="12"/>
        </w:rPr>
        <w:t>Convención sobre los</w:t>
      </w:r>
      <w:r>
        <w:rPr>
          <w:spacing w:val="1"/>
          <w:sz w:val="12"/>
        </w:rPr>
        <w:t xml:space="preserve"> </w:t>
      </w:r>
      <w:r>
        <w:rPr>
          <w:sz w:val="12"/>
        </w:rPr>
        <w:t>Derechos de</w:t>
      </w:r>
      <w:r>
        <w:rPr>
          <w:spacing w:val="1"/>
          <w:sz w:val="12"/>
        </w:rPr>
        <w:t xml:space="preserve"> </w:t>
      </w:r>
      <w:r>
        <w:rPr>
          <w:sz w:val="12"/>
        </w:rPr>
        <w:t>las Personas</w:t>
      </w:r>
      <w:r>
        <w:rPr>
          <w:spacing w:val="1"/>
          <w:sz w:val="12"/>
        </w:rPr>
        <w:t xml:space="preserve"> </w:t>
      </w:r>
      <w:r>
        <w:rPr>
          <w:sz w:val="12"/>
        </w:rPr>
        <w:t>con Discapacidad,</w:t>
      </w:r>
      <w:r>
        <w:rPr>
          <w:spacing w:val="1"/>
          <w:sz w:val="12"/>
        </w:rPr>
        <w:t xml:space="preserve"> </w:t>
      </w:r>
      <w:r>
        <w:rPr>
          <w:sz w:val="12"/>
        </w:rPr>
        <w:t>art.</w:t>
      </w:r>
      <w:r>
        <w:rPr>
          <w:spacing w:val="1"/>
          <w:sz w:val="12"/>
        </w:rPr>
        <w:t xml:space="preserve"> </w:t>
      </w:r>
      <w:r>
        <w:rPr>
          <w:sz w:val="12"/>
        </w:rPr>
        <w:t xml:space="preserve">5 </w:t>
      </w:r>
      <w:r>
        <w:rPr>
          <w:spacing w:val="-4"/>
          <w:sz w:val="12"/>
        </w:rPr>
        <w:t>(4).</w:t>
      </w:r>
    </w:p>
    <w:p w14:paraId="07B98276" w14:textId="77777777" w:rsidR="0014798C" w:rsidRDefault="004E1F0B">
      <w:pPr>
        <w:pStyle w:val="Prrafodelista"/>
        <w:numPr>
          <w:ilvl w:val="0"/>
          <w:numId w:val="57"/>
        </w:numPr>
        <w:tabs>
          <w:tab w:val="left" w:pos="1339"/>
        </w:tabs>
        <w:spacing w:before="98"/>
        <w:ind w:left="1339" w:hanging="234"/>
        <w:rPr>
          <w:sz w:val="12"/>
        </w:rPr>
      </w:pPr>
      <w:r>
        <w:rPr>
          <w:sz w:val="12"/>
        </w:rPr>
        <w:t>Comité</w:t>
      </w:r>
      <w:r>
        <w:rPr>
          <w:spacing w:val="-2"/>
          <w:sz w:val="12"/>
        </w:rPr>
        <w:t xml:space="preserve"> </w:t>
      </w:r>
      <w:r>
        <w:rPr>
          <w:sz w:val="12"/>
        </w:rPr>
        <w:t>para</w:t>
      </w:r>
      <w:r>
        <w:rPr>
          <w:spacing w:val="-2"/>
          <w:sz w:val="12"/>
        </w:rPr>
        <w:t xml:space="preserve"> </w:t>
      </w:r>
      <w:r>
        <w:rPr>
          <w:sz w:val="12"/>
        </w:rPr>
        <w:t>la</w:t>
      </w:r>
      <w:r>
        <w:rPr>
          <w:spacing w:val="-1"/>
          <w:sz w:val="12"/>
        </w:rPr>
        <w:t xml:space="preserve"> </w:t>
      </w:r>
      <w:r>
        <w:rPr>
          <w:sz w:val="12"/>
        </w:rPr>
        <w:t>Eliminación</w:t>
      </w:r>
      <w:r>
        <w:rPr>
          <w:spacing w:val="-2"/>
          <w:sz w:val="12"/>
        </w:rPr>
        <w:t xml:space="preserve"> </w:t>
      </w:r>
      <w:r>
        <w:rPr>
          <w:sz w:val="12"/>
        </w:rPr>
        <w:t>de</w:t>
      </w:r>
      <w:r>
        <w:rPr>
          <w:spacing w:val="-2"/>
          <w:sz w:val="12"/>
        </w:rPr>
        <w:t xml:space="preserve"> </w:t>
      </w:r>
      <w:r>
        <w:rPr>
          <w:sz w:val="12"/>
        </w:rPr>
        <w:t>la</w:t>
      </w:r>
      <w:r>
        <w:rPr>
          <w:spacing w:val="-1"/>
          <w:sz w:val="12"/>
        </w:rPr>
        <w:t xml:space="preserve"> </w:t>
      </w:r>
      <w:r>
        <w:rPr>
          <w:sz w:val="12"/>
        </w:rPr>
        <w:t>Discriminación</w:t>
      </w:r>
      <w:r>
        <w:rPr>
          <w:spacing w:val="-2"/>
          <w:sz w:val="12"/>
        </w:rPr>
        <w:t xml:space="preserve"> </w:t>
      </w:r>
      <w:r>
        <w:rPr>
          <w:sz w:val="12"/>
        </w:rPr>
        <w:t>Racial,</w:t>
      </w:r>
      <w:r>
        <w:rPr>
          <w:spacing w:val="-1"/>
          <w:sz w:val="12"/>
        </w:rPr>
        <w:t xml:space="preserve"> </w:t>
      </w:r>
      <w:r>
        <w:rPr>
          <w:sz w:val="12"/>
        </w:rPr>
        <w:t>recomendación</w:t>
      </w:r>
      <w:r>
        <w:rPr>
          <w:spacing w:val="-2"/>
          <w:sz w:val="12"/>
        </w:rPr>
        <w:t xml:space="preserve"> </w:t>
      </w:r>
      <w:r>
        <w:rPr>
          <w:sz w:val="12"/>
        </w:rPr>
        <w:t>general</w:t>
      </w:r>
      <w:r>
        <w:rPr>
          <w:spacing w:val="-2"/>
          <w:sz w:val="12"/>
        </w:rPr>
        <w:t xml:space="preserve"> </w:t>
      </w:r>
      <w:r>
        <w:rPr>
          <w:sz w:val="12"/>
        </w:rPr>
        <w:t>núm.</w:t>
      </w:r>
      <w:r>
        <w:rPr>
          <w:spacing w:val="-1"/>
          <w:sz w:val="12"/>
        </w:rPr>
        <w:t xml:space="preserve"> </w:t>
      </w:r>
      <w:r>
        <w:rPr>
          <w:sz w:val="12"/>
        </w:rPr>
        <w:t>32</w:t>
      </w:r>
      <w:r>
        <w:rPr>
          <w:spacing w:val="-2"/>
          <w:sz w:val="12"/>
        </w:rPr>
        <w:t xml:space="preserve"> </w:t>
      </w:r>
      <w:r>
        <w:rPr>
          <w:sz w:val="12"/>
        </w:rPr>
        <w:t>(2009),</w:t>
      </w:r>
      <w:r>
        <w:rPr>
          <w:spacing w:val="-1"/>
          <w:sz w:val="12"/>
        </w:rPr>
        <w:t xml:space="preserve"> </w:t>
      </w:r>
      <w:r>
        <w:rPr>
          <w:sz w:val="12"/>
        </w:rPr>
        <w:t>párr.</w:t>
      </w:r>
      <w:r>
        <w:rPr>
          <w:spacing w:val="-2"/>
          <w:sz w:val="12"/>
        </w:rPr>
        <w:t xml:space="preserve"> </w:t>
      </w:r>
      <w:r>
        <w:rPr>
          <w:spacing w:val="-5"/>
          <w:sz w:val="12"/>
        </w:rPr>
        <w:t>20.</w:t>
      </w:r>
    </w:p>
    <w:p w14:paraId="72CE900D" w14:textId="77777777" w:rsidR="0014798C" w:rsidRDefault="0014798C">
      <w:pPr>
        <w:pStyle w:val="Textoindependiente"/>
        <w:rPr>
          <w:sz w:val="19"/>
        </w:rPr>
      </w:pPr>
    </w:p>
    <w:p w14:paraId="797942D9" w14:textId="77777777" w:rsidR="0014798C" w:rsidRDefault="0014798C">
      <w:pPr>
        <w:pStyle w:val="Textoindependiente"/>
        <w:spacing w:before="204"/>
        <w:rPr>
          <w:sz w:val="19"/>
        </w:rPr>
      </w:pPr>
    </w:p>
    <w:p w14:paraId="3C06700D" w14:textId="77777777" w:rsidR="0014798C" w:rsidRDefault="004E1F0B">
      <w:pPr>
        <w:ind w:right="721"/>
        <w:jc w:val="right"/>
        <w:rPr>
          <w:sz w:val="19"/>
        </w:rPr>
      </w:pPr>
      <w:r>
        <w:rPr>
          <w:spacing w:val="-5"/>
          <w:sz w:val="19"/>
        </w:rPr>
        <w:t>59</w:t>
      </w:r>
    </w:p>
    <w:p w14:paraId="5E0567E1" w14:textId="77777777" w:rsidR="0014798C" w:rsidRDefault="0014798C">
      <w:pPr>
        <w:jc w:val="right"/>
        <w:rPr>
          <w:sz w:val="19"/>
        </w:rPr>
        <w:sectPr w:rsidR="0014798C" w:rsidSect="00F265E4">
          <w:type w:val="continuous"/>
          <w:pgSz w:w="11900" w:h="16820"/>
          <w:pgMar w:top="40" w:right="0" w:bottom="280" w:left="200" w:header="121" w:footer="0" w:gutter="0"/>
          <w:cols w:space="720"/>
        </w:sectPr>
      </w:pPr>
    </w:p>
    <w:p w14:paraId="106F15AE" w14:textId="77777777" w:rsidR="0014798C" w:rsidRDefault="0014798C">
      <w:pPr>
        <w:pStyle w:val="Textoindependiente"/>
        <w:spacing w:before="85"/>
        <w:rPr>
          <w:sz w:val="12"/>
        </w:rPr>
      </w:pPr>
    </w:p>
    <w:p w14:paraId="109F801E" w14:textId="77777777" w:rsidR="0014798C" w:rsidRDefault="004E1F0B">
      <w:pPr>
        <w:ind w:left="1111"/>
        <w:rPr>
          <w:sz w:val="12"/>
        </w:rPr>
      </w:pPr>
      <w:r>
        <w:rPr>
          <w:color w:val="00AC59"/>
          <w:sz w:val="12"/>
        </w:rPr>
        <w:t>PROTECCIÓN</w:t>
      </w:r>
      <w:r>
        <w:rPr>
          <w:color w:val="00AC59"/>
          <w:spacing w:val="6"/>
          <w:sz w:val="12"/>
        </w:rPr>
        <w:t xml:space="preserve"> </w:t>
      </w:r>
      <w:r>
        <w:rPr>
          <w:color w:val="00AC59"/>
          <w:sz w:val="12"/>
        </w:rPr>
        <w:t>DE</w:t>
      </w:r>
      <w:r>
        <w:rPr>
          <w:color w:val="00AC59"/>
          <w:spacing w:val="7"/>
          <w:sz w:val="12"/>
        </w:rPr>
        <w:t xml:space="preserve"> </w:t>
      </w:r>
      <w:r>
        <w:rPr>
          <w:color w:val="00AC59"/>
          <w:sz w:val="12"/>
        </w:rPr>
        <w:t>LOS</w:t>
      </w:r>
      <w:r>
        <w:rPr>
          <w:color w:val="00AC59"/>
          <w:spacing w:val="8"/>
          <w:sz w:val="12"/>
        </w:rPr>
        <w:t xml:space="preserve"> </w:t>
      </w:r>
      <w:r>
        <w:rPr>
          <w:color w:val="00AC59"/>
          <w:sz w:val="12"/>
        </w:rPr>
        <w:t>DERECHOS</w:t>
      </w:r>
      <w:r>
        <w:rPr>
          <w:color w:val="00AC59"/>
          <w:spacing w:val="8"/>
          <w:sz w:val="12"/>
        </w:rPr>
        <w:t xml:space="preserve"> </w:t>
      </w:r>
      <w:r>
        <w:rPr>
          <w:color w:val="00AC59"/>
          <w:sz w:val="12"/>
        </w:rPr>
        <w:t>DE</w:t>
      </w:r>
      <w:r>
        <w:rPr>
          <w:color w:val="00AC59"/>
          <w:spacing w:val="6"/>
          <w:sz w:val="12"/>
        </w:rPr>
        <w:t xml:space="preserve"> </w:t>
      </w:r>
      <w:r>
        <w:rPr>
          <w:color w:val="00AC59"/>
          <w:sz w:val="12"/>
        </w:rPr>
        <w:t>LAS</w:t>
      </w:r>
      <w:r>
        <w:rPr>
          <w:color w:val="00AC59"/>
          <w:spacing w:val="7"/>
          <w:sz w:val="12"/>
        </w:rPr>
        <w:t xml:space="preserve"> </w:t>
      </w:r>
      <w:r>
        <w:rPr>
          <w:color w:val="00AC59"/>
          <w:sz w:val="12"/>
        </w:rPr>
        <w:t>MINORÍAS:</w:t>
      </w:r>
      <w:r>
        <w:rPr>
          <w:color w:val="00AC59"/>
          <w:spacing w:val="8"/>
          <w:sz w:val="12"/>
        </w:rPr>
        <w:t xml:space="preserve"> </w:t>
      </w:r>
      <w:r>
        <w:rPr>
          <w:color w:val="00AC59"/>
          <w:sz w:val="12"/>
        </w:rPr>
        <w:t>una</w:t>
      </w:r>
      <w:r>
        <w:rPr>
          <w:color w:val="00AC59"/>
          <w:spacing w:val="7"/>
          <w:sz w:val="12"/>
        </w:rPr>
        <w:t xml:space="preserve"> </w:t>
      </w:r>
      <w:r>
        <w:rPr>
          <w:color w:val="00AC59"/>
          <w:sz w:val="12"/>
        </w:rPr>
        <w:t>guía</w:t>
      </w:r>
      <w:r>
        <w:rPr>
          <w:color w:val="00AC59"/>
          <w:spacing w:val="6"/>
          <w:sz w:val="12"/>
        </w:rPr>
        <w:t xml:space="preserve"> </w:t>
      </w:r>
      <w:r>
        <w:rPr>
          <w:color w:val="00AC59"/>
          <w:sz w:val="12"/>
        </w:rPr>
        <w:t>práctica</w:t>
      </w:r>
      <w:r>
        <w:rPr>
          <w:color w:val="00AC59"/>
          <w:spacing w:val="7"/>
          <w:sz w:val="12"/>
        </w:rPr>
        <w:t xml:space="preserve"> </w:t>
      </w:r>
      <w:r>
        <w:rPr>
          <w:color w:val="00AC59"/>
          <w:sz w:val="12"/>
        </w:rPr>
        <w:t>para</w:t>
      </w:r>
      <w:r>
        <w:rPr>
          <w:color w:val="00AC59"/>
          <w:spacing w:val="8"/>
          <w:sz w:val="12"/>
        </w:rPr>
        <w:t xml:space="preserve"> </w:t>
      </w:r>
      <w:r>
        <w:rPr>
          <w:color w:val="00AC59"/>
          <w:sz w:val="12"/>
        </w:rPr>
        <w:t>desarrollar</w:t>
      </w:r>
      <w:r>
        <w:rPr>
          <w:color w:val="00AC59"/>
          <w:spacing w:val="6"/>
          <w:sz w:val="12"/>
        </w:rPr>
        <w:t xml:space="preserve"> </w:t>
      </w:r>
      <w:r>
        <w:rPr>
          <w:color w:val="00AC59"/>
          <w:sz w:val="12"/>
        </w:rPr>
        <w:t>una</w:t>
      </w:r>
      <w:r>
        <w:rPr>
          <w:color w:val="00AC59"/>
          <w:spacing w:val="7"/>
          <w:sz w:val="12"/>
        </w:rPr>
        <w:t xml:space="preserve"> </w:t>
      </w:r>
      <w:r>
        <w:rPr>
          <w:color w:val="00AC59"/>
          <w:sz w:val="12"/>
        </w:rPr>
        <w:t>legislación</w:t>
      </w:r>
      <w:r>
        <w:rPr>
          <w:color w:val="00AC59"/>
          <w:spacing w:val="8"/>
          <w:sz w:val="12"/>
        </w:rPr>
        <w:t xml:space="preserve"> </w:t>
      </w:r>
      <w:r>
        <w:rPr>
          <w:color w:val="00AC59"/>
          <w:sz w:val="12"/>
        </w:rPr>
        <w:t>integral</w:t>
      </w:r>
      <w:r>
        <w:rPr>
          <w:color w:val="00AC59"/>
          <w:spacing w:val="7"/>
          <w:sz w:val="12"/>
        </w:rPr>
        <w:t xml:space="preserve"> </w:t>
      </w:r>
      <w:r>
        <w:rPr>
          <w:color w:val="00AC59"/>
          <w:sz w:val="12"/>
        </w:rPr>
        <w:t>contra</w:t>
      </w:r>
      <w:r>
        <w:rPr>
          <w:color w:val="00AC59"/>
          <w:spacing w:val="6"/>
          <w:sz w:val="12"/>
        </w:rPr>
        <w:t xml:space="preserve"> </w:t>
      </w:r>
      <w:r>
        <w:rPr>
          <w:color w:val="00AC59"/>
          <w:sz w:val="12"/>
        </w:rPr>
        <w:t>la</w:t>
      </w:r>
      <w:r>
        <w:rPr>
          <w:color w:val="00AC59"/>
          <w:spacing w:val="7"/>
          <w:sz w:val="12"/>
        </w:rPr>
        <w:t xml:space="preserve"> </w:t>
      </w:r>
      <w:r>
        <w:rPr>
          <w:color w:val="00AC59"/>
          <w:spacing w:val="-2"/>
          <w:sz w:val="12"/>
        </w:rPr>
        <w:t>discriminación</w:t>
      </w:r>
    </w:p>
    <w:p w14:paraId="5202B273" w14:textId="77777777" w:rsidR="0014798C" w:rsidRDefault="0014798C">
      <w:pPr>
        <w:pStyle w:val="Textoindependiente"/>
        <w:rPr>
          <w:sz w:val="17"/>
        </w:rPr>
      </w:pPr>
    </w:p>
    <w:p w14:paraId="4C84BE6B" w14:textId="77777777" w:rsidR="0014798C" w:rsidRDefault="0014798C">
      <w:pPr>
        <w:pStyle w:val="Textoindependiente"/>
        <w:rPr>
          <w:sz w:val="17"/>
        </w:rPr>
      </w:pPr>
    </w:p>
    <w:p w14:paraId="1B89E424" w14:textId="77777777" w:rsidR="0014798C" w:rsidRDefault="0014798C">
      <w:pPr>
        <w:pStyle w:val="Textoindependiente"/>
        <w:rPr>
          <w:sz w:val="17"/>
        </w:rPr>
      </w:pPr>
    </w:p>
    <w:p w14:paraId="140207AE" w14:textId="77777777" w:rsidR="0014798C" w:rsidRDefault="0014798C">
      <w:pPr>
        <w:pStyle w:val="Textoindependiente"/>
        <w:spacing w:before="182"/>
        <w:rPr>
          <w:sz w:val="17"/>
        </w:rPr>
      </w:pPr>
    </w:p>
    <w:p w14:paraId="2CED6671" w14:textId="77777777" w:rsidR="0014798C" w:rsidRDefault="004E1F0B">
      <w:pPr>
        <w:spacing w:line="307" w:lineRule="auto"/>
        <w:ind w:left="1111" w:right="1272" w:hanging="1"/>
        <w:rPr>
          <w:sz w:val="17"/>
        </w:rPr>
      </w:pPr>
      <w:r>
        <w:rPr>
          <w:sz w:val="17"/>
        </w:rPr>
        <w:t>ventajas</w:t>
      </w:r>
      <w:r>
        <w:rPr>
          <w:spacing w:val="-5"/>
          <w:sz w:val="17"/>
        </w:rPr>
        <w:t xml:space="preserve"> </w:t>
      </w:r>
      <w:r>
        <w:rPr>
          <w:sz w:val="17"/>
        </w:rPr>
        <w:t>a</w:t>
      </w:r>
      <w:r>
        <w:rPr>
          <w:spacing w:val="-5"/>
          <w:sz w:val="17"/>
        </w:rPr>
        <w:t xml:space="preserve"> </w:t>
      </w:r>
      <w:r>
        <w:rPr>
          <w:sz w:val="17"/>
        </w:rPr>
        <w:t>favor</w:t>
      </w:r>
      <w:r>
        <w:rPr>
          <w:spacing w:val="-5"/>
          <w:sz w:val="17"/>
        </w:rPr>
        <w:t xml:space="preserve"> </w:t>
      </w:r>
      <w:r>
        <w:rPr>
          <w:sz w:val="17"/>
        </w:rPr>
        <w:t>de</w:t>
      </w:r>
      <w:r>
        <w:rPr>
          <w:spacing w:val="-5"/>
          <w:sz w:val="17"/>
        </w:rPr>
        <w:t xml:space="preserve"> </w:t>
      </w:r>
      <w:r>
        <w:rPr>
          <w:sz w:val="17"/>
        </w:rPr>
        <w:t>un</w:t>
      </w:r>
      <w:r>
        <w:rPr>
          <w:spacing w:val="-5"/>
          <w:sz w:val="17"/>
        </w:rPr>
        <w:t xml:space="preserve"> </w:t>
      </w:r>
      <w:r>
        <w:rPr>
          <w:sz w:val="17"/>
        </w:rPr>
        <w:t>grupo</w:t>
      </w:r>
      <w:r>
        <w:rPr>
          <w:spacing w:val="-5"/>
          <w:sz w:val="17"/>
        </w:rPr>
        <w:t xml:space="preserve"> </w:t>
      </w:r>
      <w:r>
        <w:rPr>
          <w:sz w:val="17"/>
        </w:rPr>
        <w:t>subrepresentado</w:t>
      </w:r>
      <w:r>
        <w:rPr>
          <w:spacing w:val="-5"/>
          <w:sz w:val="17"/>
        </w:rPr>
        <w:t xml:space="preserve"> </w:t>
      </w:r>
      <w:r>
        <w:rPr>
          <w:sz w:val="17"/>
        </w:rPr>
        <w:t>o</w:t>
      </w:r>
      <w:r>
        <w:rPr>
          <w:spacing w:val="-5"/>
          <w:sz w:val="17"/>
        </w:rPr>
        <w:t xml:space="preserve"> </w:t>
      </w:r>
      <w:r>
        <w:rPr>
          <w:sz w:val="17"/>
        </w:rPr>
        <w:t>marginado”</w:t>
      </w:r>
      <w:r>
        <w:rPr>
          <w:spacing w:val="-5"/>
          <w:sz w:val="17"/>
        </w:rPr>
        <w:t xml:space="preserve"> </w:t>
      </w:r>
      <w:r>
        <w:rPr>
          <w:sz w:val="17"/>
        </w:rPr>
        <w:t>para</w:t>
      </w:r>
      <w:r>
        <w:rPr>
          <w:spacing w:val="-5"/>
          <w:sz w:val="17"/>
        </w:rPr>
        <w:t xml:space="preserve"> </w:t>
      </w:r>
      <w:r>
        <w:rPr>
          <w:sz w:val="17"/>
        </w:rPr>
        <w:t>lograr</w:t>
      </w:r>
      <w:r>
        <w:rPr>
          <w:spacing w:val="-5"/>
          <w:sz w:val="17"/>
        </w:rPr>
        <w:t xml:space="preserve"> </w:t>
      </w:r>
      <w:r>
        <w:rPr>
          <w:sz w:val="17"/>
        </w:rPr>
        <w:t>la</w:t>
      </w:r>
      <w:r>
        <w:rPr>
          <w:spacing w:val="-5"/>
          <w:sz w:val="17"/>
        </w:rPr>
        <w:t xml:space="preserve"> </w:t>
      </w:r>
      <w:r>
        <w:rPr>
          <w:sz w:val="17"/>
        </w:rPr>
        <w:t>igualdad.471</w:t>
      </w:r>
      <w:r>
        <w:rPr>
          <w:spacing w:val="-5"/>
          <w:sz w:val="17"/>
        </w:rPr>
        <w:t xml:space="preserve"> </w:t>
      </w:r>
      <w:r>
        <w:rPr>
          <w:sz w:val="17"/>
        </w:rPr>
        <w:t>Se</w:t>
      </w:r>
      <w:r>
        <w:rPr>
          <w:spacing w:val="-5"/>
          <w:sz w:val="17"/>
        </w:rPr>
        <w:t xml:space="preserve"> </w:t>
      </w:r>
      <w:r>
        <w:rPr>
          <w:sz w:val="17"/>
        </w:rPr>
        <w:t>ha</w:t>
      </w:r>
      <w:r>
        <w:rPr>
          <w:spacing w:val="-5"/>
          <w:sz w:val="17"/>
        </w:rPr>
        <w:t xml:space="preserve"> </w:t>
      </w:r>
      <w:r>
        <w:rPr>
          <w:sz w:val="17"/>
        </w:rPr>
        <w:t>adoptado</w:t>
      </w:r>
      <w:r>
        <w:rPr>
          <w:spacing w:val="-5"/>
          <w:sz w:val="17"/>
        </w:rPr>
        <w:t xml:space="preserve"> </w:t>
      </w:r>
      <w:r>
        <w:rPr>
          <w:sz w:val="17"/>
        </w:rPr>
        <w:t>un</w:t>
      </w:r>
      <w:r>
        <w:rPr>
          <w:spacing w:val="-5"/>
          <w:sz w:val="17"/>
        </w:rPr>
        <w:t xml:space="preserve"> </w:t>
      </w:r>
      <w:r>
        <w:rPr>
          <w:sz w:val="17"/>
        </w:rPr>
        <w:t>enfoque</w:t>
      </w:r>
      <w:r>
        <w:rPr>
          <w:spacing w:val="-5"/>
          <w:sz w:val="17"/>
        </w:rPr>
        <w:t xml:space="preserve"> </w:t>
      </w:r>
      <w:r>
        <w:rPr>
          <w:sz w:val="17"/>
        </w:rPr>
        <w:t>similar para definir el propósito de la acción positiva a nivel regional.472</w:t>
      </w:r>
    </w:p>
    <w:p w14:paraId="2A7FDACA" w14:textId="77777777" w:rsidR="0014798C" w:rsidRDefault="004E1F0B">
      <w:pPr>
        <w:spacing w:before="169" w:line="307" w:lineRule="auto"/>
        <w:ind w:left="1107" w:right="1463" w:firstLine="1"/>
        <w:rPr>
          <w:sz w:val="17"/>
        </w:rPr>
      </w:pPr>
      <w:r>
        <w:rPr>
          <w:sz w:val="17"/>
        </w:rPr>
        <w:t>Al definir y aclarar el propósito de las medidas temporales, los órganos creados en virtud de tratados han destacado la necesidad de distinguir dichas medidas de lo que se ha denominado la “obligación positiva general... de garantizar los derechos</w:t>
      </w:r>
      <w:r>
        <w:rPr>
          <w:spacing w:val="-5"/>
          <w:sz w:val="17"/>
        </w:rPr>
        <w:t xml:space="preserve"> </w:t>
      </w:r>
      <w:r>
        <w:rPr>
          <w:sz w:val="17"/>
        </w:rPr>
        <w:t>humanos</w:t>
      </w:r>
      <w:r>
        <w:rPr>
          <w:spacing w:val="-5"/>
          <w:sz w:val="17"/>
        </w:rPr>
        <w:t xml:space="preserve"> </w:t>
      </w:r>
      <w:r>
        <w:rPr>
          <w:sz w:val="17"/>
        </w:rPr>
        <w:t>y</w:t>
      </w:r>
      <w:r>
        <w:rPr>
          <w:spacing w:val="-5"/>
          <w:sz w:val="17"/>
        </w:rPr>
        <w:t xml:space="preserve"> </w:t>
      </w:r>
      <w:r>
        <w:rPr>
          <w:sz w:val="17"/>
        </w:rPr>
        <w:t>las</w:t>
      </w:r>
      <w:r>
        <w:rPr>
          <w:spacing w:val="-5"/>
          <w:sz w:val="17"/>
        </w:rPr>
        <w:t xml:space="preserve"> </w:t>
      </w:r>
      <w:r>
        <w:rPr>
          <w:sz w:val="17"/>
        </w:rPr>
        <w:t>libertades</w:t>
      </w:r>
      <w:r>
        <w:rPr>
          <w:spacing w:val="-5"/>
          <w:sz w:val="17"/>
        </w:rPr>
        <w:t xml:space="preserve"> </w:t>
      </w:r>
      <w:r>
        <w:rPr>
          <w:sz w:val="17"/>
        </w:rPr>
        <w:t>fundamentales</w:t>
      </w:r>
      <w:r>
        <w:rPr>
          <w:spacing w:val="-5"/>
          <w:sz w:val="17"/>
        </w:rPr>
        <w:t xml:space="preserve"> </w:t>
      </w:r>
      <w:r>
        <w:rPr>
          <w:sz w:val="17"/>
        </w:rPr>
        <w:t>sobre</w:t>
      </w:r>
      <w:r>
        <w:rPr>
          <w:spacing w:val="-5"/>
          <w:sz w:val="17"/>
        </w:rPr>
        <w:t xml:space="preserve"> </w:t>
      </w:r>
      <w:r>
        <w:rPr>
          <w:sz w:val="17"/>
        </w:rPr>
        <w:t>una</w:t>
      </w:r>
      <w:r>
        <w:rPr>
          <w:spacing w:val="-5"/>
          <w:sz w:val="17"/>
        </w:rPr>
        <w:t xml:space="preserve"> </w:t>
      </w:r>
      <w:r>
        <w:rPr>
          <w:sz w:val="17"/>
        </w:rPr>
        <w:t>base</w:t>
      </w:r>
      <w:r>
        <w:rPr>
          <w:spacing w:val="-5"/>
          <w:sz w:val="17"/>
        </w:rPr>
        <w:t xml:space="preserve"> </w:t>
      </w:r>
      <w:r>
        <w:rPr>
          <w:sz w:val="17"/>
        </w:rPr>
        <w:t>no</w:t>
      </w:r>
      <w:r>
        <w:rPr>
          <w:spacing w:val="-5"/>
          <w:sz w:val="17"/>
        </w:rPr>
        <w:t xml:space="preserve"> </w:t>
      </w:r>
      <w:r>
        <w:rPr>
          <w:sz w:val="17"/>
        </w:rPr>
        <w:t>discriminatoria”.473</w:t>
      </w:r>
      <w:r>
        <w:rPr>
          <w:spacing w:val="-5"/>
          <w:sz w:val="17"/>
        </w:rPr>
        <w:t xml:space="preserve"> </w:t>
      </w:r>
      <w:r>
        <w:rPr>
          <w:sz w:val="17"/>
        </w:rPr>
        <w:t>El</w:t>
      </w:r>
      <w:r>
        <w:rPr>
          <w:spacing w:val="-5"/>
          <w:sz w:val="17"/>
        </w:rPr>
        <w:t xml:space="preserve"> </w:t>
      </w:r>
      <w:r>
        <w:rPr>
          <w:sz w:val="17"/>
        </w:rPr>
        <w:t>Comité</w:t>
      </w:r>
      <w:r>
        <w:rPr>
          <w:spacing w:val="-5"/>
          <w:sz w:val="17"/>
        </w:rPr>
        <w:t xml:space="preserve"> </w:t>
      </w:r>
      <w:r>
        <w:rPr>
          <w:sz w:val="17"/>
        </w:rPr>
        <w:t>sobre</w:t>
      </w:r>
      <w:r>
        <w:rPr>
          <w:spacing w:val="-5"/>
          <w:sz w:val="17"/>
        </w:rPr>
        <w:t xml:space="preserve"> </w:t>
      </w:r>
      <w:r>
        <w:rPr>
          <w:sz w:val="17"/>
        </w:rPr>
        <w:t>la</w:t>
      </w:r>
      <w:r>
        <w:rPr>
          <w:spacing w:val="-5"/>
          <w:sz w:val="17"/>
        </w:rPr>
        <w:t xml:space="preserve"> </w:t>
      </w:r>
      <w:r>
        <w:rPr>
          <w:sz w:val="17"/>
        </w:rPr>
        <w:t>Eliminación de</w:t>
      </w:r>
      <w:r>
        <w:rPr>
          <w:spacing w:val="-5"/>
          <w:sz w:val="17"/>
        </w:rPr>
        <w:t xml:space="preserve"> </w:t>
      </w:r>
      <w:r>
        <w:rPr>
          <w:sz w:val="17"/>
        </w:rPr>
        <w:t>la</w:t>
      </w:r>
      <w:r>
        <w:rPr>
          <w:spacing w:val="-5"/>
          <w:sz w:val="17"/>
        </w:rPr>
        <w:t xml:space="preserve"> </w:t>
      </w:r>
      <w:r>
        <w:rPr>
          <w:sz w:val="17"/>
        </w:rPr>
        <w:t>Discriminación</w:t>
      </w:r>
      <w:r>
        <w:rPr>
          <w:spacing w:val="-5"/>
          <w:sz w:val="17"/>
        </w:rPr>
        <w:t xml:space="preserve"> </w:t>
      </w:r>
      <w:r>
        <w:rPr>
          <w:sz w:val="17"/>
        </w:rPr>
        <w:t>contra</w:t>
      </w:r>
      <w:r>
        <w:rPr>
          <w:spacing w:val="-5"/>
          <w:sz w:val="17"/>
        </w:rPr>
        <w:t xml:space="preserve"> </w:t>
      </w:r>
      <w:r>
        <w:rPr>
          <w:sz w:val="17"/>
        </w:rPr>
        <w:t>la</w:t>
      </w:r>
      <w:r>
        <w:rPr>
          <w:spacing w:val="-5"/>
          <w:sz w:val="17"/>
        </w:rPr>
        <w:t xml:space="preserve"> </w:t>
      </w:r>
      <w:r>
        <w:rPr>
          <w:sz w:val="17"/>
        </w:rPr>
        <w:t>Mujer</w:t>
      </w:r>
      <w:r>
        <w:rPr>
          <w:spacing w:val="-5"/>
          <w:sz w:val="17"/>
        </w:rPr>
        <w:t xml:space="preserve"> </w:t>
      </w:r>
      <w:r>
        <w:rPr>
          <w:sz w:val="17"/>
        </w:rPr>
        <w:t>ha</w:t>
      </w:r>
      <w:r>
        <w:rPr>
          <w:spacing w:val="-5"/>
          <w:sz w:val="17"/>
        </w:rPr>
        <w:t xml:space="preserve"> </w:t>
      </w:r>
      <w:r>
        <w:rPr>
          <w:sz w:val="17"/>
        </w:rPr>
        <w:t>señalado</w:t>
      </w:r>
      <w:r>
        <w:rPr>
          <w:spacing w:val="-5"/>
          <w:sz w:val="17"/>
        </w:rPr>
        <w:t xml:space="preserve"> </w:t>
      </w:r>
      <w:r>
        <w:rPr>
          <w:sz w:val="17"/>
        </w:rPr>
        <w:t>que</w:t>
      </w:r>
      <w:r>
        <w:rPr>
          <w:spacing w:val="-5"/>
          <w:sz w:val="17"/>
        </w:rPr>
        <w:t xml:space="preserve"> </w:t>
      </w:r>
      <w:r>
        <w:rPr>
          <w:sz w:val="17"/>
        </w:rPr>
        <w:t>“no</w:t>
      </w:r>
      <w:r>
        <w:rPr>
          <w:spacing w:val="-5"/>
          <w:sz w:val="17"/>
        </w:rPr>
        <w:t xml:space="preserve"> </w:t>
      </w:r>
      <w:r>
        <w:rPr>
          <w:sz w:val="17"/>
        </w:rPr>
        <w:t>todas</w:t>
      </w:r>
      <w:r>
        <w:rPr>
          <w:spacing w:val="-5"/>
          <w:sz w:val="17"/>
        </w:rPr>
        <w:t xml:space="preserve"> </w:t>
      </w:r>
      <w:r>
        <w:rPr>
          <w:sz w:val="17"/>
        </w:rPr>
        <w:t>las</w:t>
      </w:r>
      <w:r>
        <w:rPr>
          <w:spacing w:val="-5"/>
          <w:sz w:val="17"/>
        </w:rPr>
        <w:t xml:space="preserve"> </w:t>
      </w:r>
      <w:r>
        <w:rPr>
          <w:sz w:val="17"/>
        </w:rPr>
        <w:t>medidas</w:t>
      </w:r>
      <w:r>
        <w:rPr>
          <w:spacing w:val="-5"/>
          <w:sz w:val="17"/>
        </w:rPr>
        <w:t xml:space="preserve"> </w:t>
      </w:r>
      <w:r>
        <w:rPr>
          <w:sz w:val="17"/>
        </w:rPr>
        <w:t>que</w:t>
      </w:r>
      <w:r>
        <w:rPr>
          <w:spacing w:val="-5"/>
          <w:sz w:val="17"/>
        </w:rPr>
        <w:t xml:space="preserve"> </w:t>
      </w:r>
      <w:r>
        <w:rPr>
          <w:sz w:val="17"/>
        </w:rPr>
        <w:t>potencialmente</w:t>
      </w:r>
      <w:r>
        <w:rPr>
          <w:spacing w:val="-5"/>
          <w:sz w:val="17"/>
        </w:rPr>
        <w:t xml:space="preserve"> </w:t>
      </w:r>
      <w:r>
        <w:rPr>
          <w:sz w:val="17"/>
        </w:rPr>
        <w:t>son</w:t>
      </w:r>
      <w:r>
        <w:rPr>
          <w:spacing w:val="-5"/>
          <w:sz w:val="17"/>
        </w:rPr>
        <w:t xml:space="preserve"> </w:t>
      </w:r>
      <w:r>
        <w:rPr>
          <w:sz w:val="17"/>
        </w:rPr>
        <w:t>o</w:t>
      </w:r>
      <w:r>
        <w:rPr>
          <w:spacing w:val="-5"/>
          <w:sz w:val="17"/>
        </w:rPr>
        <w:t xml:space="preserve"> </w:t>
      </w:r>
      <w:r>
        <w:rPr>
          <w:sz w:val="17"/>
        </w:rPr>
        <w:t>serán</w:t>
      </w:r>
      <w:r>
        <w:rPr>
          <w:spacing w:val="-5"/>
          <w:sz w:val="17"/>
        </w:rPr>
        <w:t xml:space="preserve"> </w:t>
      </w:r>
      <w:r>
        <w:rPr>
          <w:sz w:val="17"/>
        </w:rPr>
        <w:t>favorables</w:t>
      </w:r>
      <w:r>
        <w:rPr>
          <w:spacing w:val="-5"/>
          <w:sz w:val="17"/>
        </w:rPr>
        <w:t xml:space="preserve"> </w:t>
      </w:r>
      <w:r>
        <w:rPr>
          <w:sz w:val="17"/>
        </w:rPr>
        <w:t>a las mujeres son medidas especiales de carácter temporal” y ha subrayado el hecho de que las medidas generales para garantizar la no discriminación y el disfrute igualitario de los derechos “no pueden denominarse medidas especiales temporales”.474</w:t>
      </w:r>
      <w:r>
        <w:rPr>
          <w:spacing w:val="-5"/>
          <w:sz w:val="17"/>
        </w:rPr>
        <w:t xml:space="preserve"> </w:t>
      </w:r>
      <w:r>
        <w:rPr>
          <w:sz w:val="17"/>
        </w:rPr>
        <w:t>En</w:t>
      </w:r>
      <w:r>
        <w:rPr>
          <w:spacing w:val="-5"/>
          <w:sz w:val="17"/>
        </w:rPr>
        <w:t xml:space="preserve"> </w:t>
      </w:r>
      <w:r>
        <w:rPr>
          <w:sz w:val="17"/>
        </w:rPr>
        <w:t>términos</w:t>
      </w:r>
      <w:r>
        <w:rPr>
          <w:spacing w:val="-5"/>
          <w:sz w:val="17"/>
        </w:rPr>
        <w:t xml:space="preserve"> </w:t>
      </w:r>
      <w:r>
        <w:rPr>
          <w:sz w:val="17"/>
        </w:rPr>
        <w:t>más</w:t>
      </w:r>
      <w:r>
        <w:rPr>
          <w:spacing w:val="-5"/>
          <w:sz w:val="17"/>
        </w:rPr>
        <w:t xml:space="preserve"> </w:t>
      </w:r>
      <w:r>
        <w:rPr>
          <w:sz w:val="17"/>
        </w:rPr>
        <w:t>específicos,</w:t>
      </w:r>
      <w:r>
        <w:rPr>
          <w:spacing w:val="-5"/>
          <w:sz w:val="17"/>
        </w:rPr>
        <w:t xml:space="preserve"> </w:t>
      </w:r>
      <w:r>
        <w:rPr>
          <w:sz w:val="17"/>
        </w:rPr>
        <w:t>el</w:t>
      </w:r>
      <w:r>
        <w:rPr>
          <w:spacing w:val="-5"/>
          <w:sz w:val="17"/>
        </w:rPr>
        <w:t xml:space="preserve"> </w:t>
      </w:r>
      <w:r>
        <w:rPr>
          <w:sz w:val="17"/>
        </w:rPr>
        <w:t>Comité</w:t>
      </w:r>
      <w:r>
        <w:rPr>
          <w:spacing w:val="-5"/>
          <w:sz w:val="17"/>
        </w:rPr>
        <w:t xml:space="preserve"> </w:t>
      </w:r>
      <w:r>
        <w:rPr>
          <w:sz w:val="17"/>
        </w:rPr>
        <w:t>para</w:t>
      </w:r>
      <w:r>
        <w:rPr>
          <w:spacing w:val="-5"/>
          <w:sz w:val="17"/>
        </w:rPr>
        <w:t xml:space="preserve"> </w:t>
      </w:r>
      <w:r>
        <w:rPr>
          <w:sz w:val="17"/>
        </w:rPr>
        <w:t>la</w:t>
      </w:r>
      <w:r>
        <w:rPr>
          <w:spacing w:val="-5"/>
          <w:sz w:val="17"/>
        </w:rPr>
        <w:t xml:space="preserve"> </w:t>
      </w:r>
      <w:r>
        <w:rPr>
          <w:sz w:val="17"/>
        </w:rPr>
        <w:t>Eliminación</w:t>
      </w:r>
      <w:r>
        <w:rPr>
          <w:spacing w:val="-5"/>
          <w:sz w:val="17"/>
        </w:rPr>
        <w:t xml:space="preserve"> </w:t>
      </w:r>
      <w:r>
        <w:rPr>
          <w:sz w:val="17"/>
        </w:rPr>
        <w:t>de</w:t>
      </w:r>
      <w:r>
        <w:rPr>
          <w:spacing w:val="-5"/>
          <w:sz w:val="17"/>
        </w:rPr>
        <w:t xml:space="preserve"> </w:t>
      </w:r>
      <w:r>
        <w:rPr>
          <w:sz w:val="17"/>
        </w:rPr>
        <w:t>la</w:t>
      </w:r>
      <w:r>
        <w:rPr>
          <w:spacing w:val="-5"/>
          <w:sz w:val="17"/>
        </w:rPr>
        <w:t xml:space="preserve"> </w:t>
      </w:r>
      <w:r>
        <w:rPr>
          <w:sz w:val="17"/>
        </w:rPr>
        <w:t>Discriminación</w:t>
      </w:r>
      <w:r>
        <w:rPr>
          <w:spacing w:val="-5"/>
          <w:sz w:val="17"/>
        </w:rPr>
        <w:t xml:space="preserve"> </w:t>
      </w:r>
      <w:r>
        <w:rPr>
          <w:sz w:val="17"/>
        </w:rPr>
        <w:t>Racial</w:t>
      </w:r>
      <w:r>
        <w:rPr>
          <w:spacing w:val="-5"/>
          <w:sz w:val="17"/>
        </w:rPr>
        <w:t xml:space="preserve"> </w:t>
      </w:r>
      <w:r>
        <w:rPr>
          <w:sz w:val="17"/>
        </w:rPr>
        <w:t>ha</w:t>
      </w:r>
      <w:r>
        <w:rPr>
          <w:spacing w:val="-5"/>
          <w:sz w:val="17"/>
        </w:rPr>
        <w:t xml:space="preserve"> </w:t>
      </w:r>
      <w:r>
        <w:rPr>
          <w:sz w:val="17"/>
        </w:rPr>
        <w:t>señalado</w:t>
      </w:r>
      <w:r>
        <w:rPr>
          <w:spacing w:val="-5"/>
          <w:sz w:val="17"/>
        </w:rPr>
        <w:t xml:space="preserve"> </w:t>
      </w:r>
      <w:r>
        <w:rPr>
          <w:sz w:val="17"/>
        </w:rPr>
        <w:t>que “los derechos específicos pertenecientes a ciertas categorías de personas” –como el derecho a profesar una cultura, practicar una religión o utilizar un idioma – no son medidas especiales sino “derechos permanentes”.475 En términos similares, el Comité sobre los Derechos de las Personas con Discapacidad ha subrayado la necesidad de distinguir las medidas especiales de los ajustes razonables, que, en su opinión, son un deber de no discriminación.476</w:t>
      </w:r>
    </w:p>
    <w:p w14:paraId="05F933C7" w14:textId="77777777" w:rsidR="0014798C" w:rsidRDefault="004E1F0B">
      <w:pPr>
        <w:spacing w:before="165" w:line="307" w:lineRule="auto"/>
        <w:ind w:left="1108" w:right="992" w:firstLine="6"/>
        <w:rPr>
          <w:sz w:val="17"/>
        </w:rPr>
      </w:pPr>
      <w:r>
        <w:rPr>
          <w:sz w:val="17"/>
        </w:rPr>
        <w:t>Dado el énfasis en acelerar el progreso hacia la igualdad para las personas y grupos desfavorecidos, las medidas de acción positiva frecuentemente tienen un aspecto reparador, centrado en corregir y compensar los efectos de la discriminación pasada.</w:t>
      </w:r>
      <w:r>
        <w:rPr>
          <w:spacing w:val="-5"/>
          <w:sz w:val="17"/>
        </w:rPr>
        <w:t xml:space="preserve"> </w:t>
      </w:r>
      <w:r>
        <w:rPr>
          <w:sz w:val="17"/>
        </w:rPr>
        <w:t>De</w:t>
      </w:r>
      <w:r>
        <w:rPr>
          <w:spacing w:val="-6"/>
          <w:sz w:val="17"/>
        </w:rPr>
        <w:t xml:space="preserve"> </w:t>
      </w:r>
      <w:r>
        <w:rPr>
          <w:sz w:val="17"/>
        </w:rPr>
        <w:t>hecho,</w:t>
      </w:r>
      <w:r>
        <w:rPr>
          <w:spacing w:val="-5"/>
          <w:sz w:val="17"/>
        </w:rPr>
        <w:t xml:space="preserve"> </w:t>
      </w:r>
      <w:r>
        <w:rPr>
          <w:sz w:val="17"/>
        </w:rPr>
        <w:t>las</w:t>
      </w:r>
      <w:r>
        <w:rPr>
          <w:spacing w:val="-6"/>
          <w:sz w:val="17"/>
        </w:rPr>
        <w:t xml:space="preserve"> </w:t>
      </w:r>
      <w:r>
        <w:rPr>
          <w:sz w:val="17"/>
        </w:rPr>
        <w:t>medidas</w:t>
      </w:r>
      <w:r>
        <w:rPr>
          <w:spacing w:val="-6"/>
          <w:sz w:val="17"/>
        </w:rPr>
        <w:t xml:space="preserve"> </w:t>
      </w:r>
      <w:r>
        <w:rPr>
          <w:sz w:val="17"/>
        </w:rPr>
        <w:t>de</w:t>
      </w:r>
      <w:r>
        <w:rPr>
          <w:spacing w:val="-6"/>
          <w:sz w:val="17"/>
        </w:rPr>
        <w:t xml:space="preserve"> </w:t>
      </w:r>
      <w:r>
        <w:rPr>
          <w:sz w:val="17"/>
        </w:rPr>
        <w:t>acción</w:t>
      </w:r>
      <w:r>
        <w:rPr>
          <w:spacing w:val="-6"/>
          <w:sz w:val="17"/>
        </w:rPr>
        <w:t xml:space="preserve"> </w:t>
      </w:r>
      <w:r>
        <w:rPr>
          <w:sz w:val="17"/>
        </w:rPr>
        <w:t>positiva</w:t>
      </w:r>
      <w:r>
        <w:rPr>
          <w:spacing w:val="-6"/>
          <w:sz w:val="17"/>
        </w:rPr>
        <w:t xml:space="preserve"> </w:t>
      </w:r>
      <w:r>
        <w:rPr>
          <w:sz w:val="17"/>
        </w:rPr>
        <w:t>pueden</w:t>
      </w:r>
      <w:r>
        <w:rPr>
          <w:spacing w:val="-6"/>
          <w:sz w:val="17"/>
        </w:rPr>
        <w:t xml:space="preserve"> </w:t>
      </w:r>
      <w:r>
        <w:rPr>
          <w:sz w:val="17"/>
        </w:rPr>
        <w:t>ser</w:t>
      </w:r>
      <w:r>
        <w:rPr>
          <w:spacing w:val="-6"/>
          <w:sz w:val="17"/>
        </w:rPr>
        <w:t xml:space="preserve"> </w:t>
      </w:r>
      <w:r>
        <w:rPr>
          <w:sz w:val="17"/>
        </w:rPr>
        <w:t>un</w:t>
      </w:r>
      <w:r>
        <w:rPr>
          <w:spacing w:val="-6"/>
          <w:sz w:val="17"/>
        </w:rPr>
        <w:t xml:space="preserve"> </w:t>
      </w:r>
      <w:r>
        <w:rPr>
          <w:sz w:val="17"/>
        </w:rPr>
        <w:t>elemento</w:t>
      </w:r>
      <w:r>
        <w:rPr>
          <w:spacing w:val="-6"/>
          <w:sz w:val="17"/>
        </w:rPr>
        <w:t xml:space="preserve"> </w:t>
      </w:r>
      <w:r>
        <w:rPr>
          <w:sz w:val="17"/>
        </w:rPr>
        <w:t>importante</w:t>
      </w:r>
      <w:r>
        <w:rPr>
          <w:spacing w:val="-6"/>
          <w:sz w:val="17"/>
        </w:rPr>
        <w:t xml:space="preserve"> </w:t>
      </w:r>
      <w:r>
        <w:rPr>
          <w:sz w:val="17"/>
        </w:rPr>
        <w:t>para</w:t>
      </w:r>
      <w:r>
        <w:rPr>
          <w:spacing w:val="-6"/>
          <w:sz w:val="17"/>
        </w:rPr>
        <w:t xml:space="preserve"> </w:t>
      </w:r>
      <w:r>
        <w:rPr>
          <w:sz w:val="17"/>
        </w:rPr>
        <w:t>garantizar</w:t>
      </w:r>
      <w:r>
        <w:rPr>
          <w:spacing w:val="-6"/>
          <w:sz w:val="17"/>
        </w:rPr>
        <w:t xml:space="preserve"> </w:t>
      </w:r>
      <w:r>
        <w:rPr>
          <w:sz w:val="17"/>
        </w:rPr>
        <w:t>un</w:t>
      </w:r>
      <w:r>
        <w:rPr>
          <w:spacing w:val="-6"/>
          <w:sz w:val="17"/>
        </w:rPr>
        <w:t xml:space="preserve"> </w:t>
      </w:r>
      <w:r>
        <w:rPr>
          <w:sz w:val="17"/>
        </w:rPr>
        <w:t>remedio</w:t>
      </w:r>
      <w:r>
        <w:rPr>
          <w:spacing w:val="-6"/>
          <w:sz w:val="17"/>
        </w:rPr>
        <w:t xml:space="preserve"> </w:t>
      </w:r>
      <w:r>
        <w:rPr>
          <w:sz w:val="17"/>
        </w:rPr>
        <w:t>efectivo.477 Sin embargo, los órganos creados en virtud de tratados han destacado que la obligación de acción positiva no es sólo de naturaleza reparadora y que surge “independientemente de cualquier prueba de discriminación pasada”.478 Así, por</w:t>
      </w:r>
    </w:p>
    <w:p w14:paraId="44441C34" w14:textId="77777777" w:rsidR="0014798C" w:rsidRDefault="004E1F0B">
      <w:pPr>
        <w:spacing w:line="307" w:lineRule="auto"/>
        <w:ind w:left="1107" w:right="1272" w:firstLine="4"/>
        <w:rPr>
          <w:sz w:val="17"/>
        </w:rPr>
      </w:pPr>
      <w:r>
        <w:rPr>
          <w:sz w:val="17"/>
        </w:rPr>
        <w:t>ejemplo,</w:t>
      </w:r>
      <w:r>
        <w:rPr>
          <w:spacing w:val="-5"/>
          <w:sz w:val="17"/>
        </w:rPr>
        <w:t xml:space="preserve"> </w:t>
      </w:r>
      <w:r>
        <w:rPr>
          <w:sz w:val="17"/>
        </w:rPr>
        <w:t>el</w:t>
      </w:r>
      <w:r>
        <w:rPr>
          <w:spacing w:val="-5"/>
          <w:sz w:val="17"/>
        </w:rPr>
        <w:t xml:space="preserve"> </w:t>
      </w:r>
      <w:r>
        <w:rPr>
          <w:sz w:val="17"/>
        </w:rPr>
        <w:t>Comité</w:t>
      </w:r>
      <w:r>
        <w:rPr>
          <w:spacing w:val="-5"/>
          <w:sz w:val="17"/>
        </w:rPr>
        <w:t xml:space="preserve"> </w:t>
      </w:r>
      <w:r>
        <w:rPr>
          <w:sz w:val="17"/>
        </w:rPr>
        <w:t>para</w:t>
      </w:r>
      <w:r>
        <w:rPr>
          <w:spacing w:val="-5"/>
          <w:sz w:val="17"/>
        </w:rPr>
        <w:t xml:space="preserve"> </w:t>
      </w:r>
      <w:r>
        <w:rPr>
          <w:sz w:val="17"/>
        </w:rPr>
        <w:t>la</w:t>
      </w:r>
      <w:r>
        <w:rPr>
          <w:spacing w:val="-5"/>
          <w:sz w:val="17"/>
        </w:rPr>
        <w:t xml:space="preserve"> </w:t>
      </w:r>
      <w:r>
        <w:rPr>
          <w:sz w:val="17"/>
        </w:rPr>
        <w:t>Eliminación</w:t>
      </w:r>
      <w:r>
        <w:rPr>
          <w:spacing w:val="-5"/>
          <w:sz w:val="17"/>
        </w:rPr>
        <w:t xml:space="preserve"> </w:t>
      </w:r>
      <w:r>
        <w:rPr>
          <w:sz w:val="17"/>
        </w:rPr>
        <w:t>de</w:t>
      </w:r>
      <w:r>
        <w:rPr>
          <w:spacing w:val="-5"/>
          <w:sz w:val="17"/>
        </w:rPr>
        <w:t xml:space="preserve"> </w:t>
      </w:r>
      <w:r>
        <w:rPr>
          <w:sz w:val="17"/>
        </w:rPr>
        <w:t>la</w:t>
      </w:r>
      <w:r>
        <w:rPr>
          <w:spacing w:val="-5"/>
          <w:sz w:val="17"/>
        </w:rPr>
        <w:t xml:space="preserve"> </w:t>
      </w:r>
      <w:r>
        <w:rPr>
          <w:sz w:val="17"/>
        </w:rPr>
        <w:t>Discriminación</w:t>
      </w:r>
      <w:r>
        <w:rPr>
          <w:spacing w:val="-5"/>
          <w:sz w:val="17"/>
        </w:rPr>
        <w:t xml:space="preserve"> </w:t>
      </w:r>
      <w:r>
        <w:rPr>
          <w:sz w:val="17"/>
        </w:rPr>
        <w:t>Racial</w:t>
      </w:r>
      <w:r>
        <w:rPr>
          <w:spacing w:val="-5"/>
          <w:sz w:val="17"/>
        </w:rPr>
        <w:t xml:space="preserve"> </w:t>
      </w:r>
      <w:r>
        <w:rPr>
          <w:sz w:val="17"/>
        </w:rPr>
        <w:t>ha</w:t>
      </w:r>
      <w:r>
        <w:rPr>
          <w:spacing w:val="-5"/>
          <w:sz w:val="17"/>
        </w:rPr>
        <w:t xml:space="preserve"> </w:t>
      </w:r>
      <w:r>
        <w:rPr>
          <w:sz w:val="17"/>
        </w:rPr>
        <w:t>reconoció</w:t>
      </w:r>
      <w:r>
        <w:rPr>
          <w:spacing w:val="-5"/>
          <w:sz w:val="17"/>
        </w:rPr>
        <w:t xml:space="preserve"> </w:t>
      </w:r>
      <w:r>
        <w:rPr>
          <w:sz w:val="17"/>
        </w:rPr>
        <w:t>que,</w:t>
      </w:r>
      <w:r>
        <w:rPr>
          <w:spacing w:val="-5"/>
          <w:sz w:val="17"/>
        </w:rPr>
        <w:t xml:space="preserve"> </w:t>
      </w:r>
      <w:r>
        <w:rPr>
          <w:sz w:val="17"/>
        </w:rPr>
        <w:t>si</w:t>
      </w:r>
      <w:r>
        <w:rPr>
          <w:spacing w:val="-5"/>
          <w:sz w:val="17"/>
        </w:rPr>
        <w:t xml:space="preserve"> </w:t>
      </w:r>
      <w:r>
        <w:rPr>
          <w:sz w:val="17"/>
        </w:rPr>
        <w:t>bien</w:t>
      </w:r>
      <w:r>
        <w:rPr>
          <w:spacing w:val="-5"/>
          <w:sz w:val="17"/>
        </w:rPr>
        <w:t xml:space="preserve"> </w:t>
      </w:r>
      <w:r>
        <w:rPr>
          <w:sz w:val="17"/>
        </w:rPr>
        <w:t>las</w:t>
      </w:r>
      <w:r>
        <w:rPr>
          <w:spacing w:val="-5"/>
          <w:sz w:val="17"/>
        </w:rPr>
        <w:t xml:space="preserve"> </w:t>
      </w:r>
      <w:r>
        <w:rPr>
          <w:sz w:val="17"/>
        </w:rPr>
        <w:t>medidas</w:t>
      </w:r>
      <w:r>
        <w:rPr>
          <w:spacing w:val="-5"/>
          <w:sz w:val="17"/>
        </w:rPr>
        <w:t xml:space="preserve"> </w:t>
      </w:r>
      <w:r>
        <w:rPr>
          <w:sz w:val="17"/>
        </w:rPr>
        <w:t>especiales</w:t>
      </w:r>
      <w:r>
        <w:rPr>
          <w:spacing w:val="-5"/>
          <w:sz w:val="17"/>
        </w:rPr>
        <w:t xml:space="preserve"> </w:t>
      </w:r>
      <w:r>
        <w:rPr>
          <w:sz w:val="17"/>
        </w:rPr>
        <w:t>de carácter</w:t>
      </w:r>
      <w:r>
        <w:rPr>
          <w:spacing w:val="-2"/>
          <w:sz w:val="17"/>
        </w:rPr>
        <w:t xml:space="preserve"> </w:t>
      </w:r>
      <w:r>
        <w:rPr>
          <w:sz w:val="17"/>
        </w:rPr>
        <w:t>temporal</w:t>
      </w:r>
      <w:r>
        <w:rPr>
          <w:spacing w:val="-2"/>
          <w:sz w:val="17"/>
        </w:rPr>
        <w:t xml:space="preserve"> </w:t>
      </w:r>
      <w:r>
        <w:rPr>
          <w:sz w:val="17"/>
        </w:rPr>
        <w:t>tienen</w:t>
      </w:r>
      <w:r>
        <w:rPr>
          <w:spacing w:val="-2"/>
          <w:sz w:val="17"/>
        </w:rPr>
        <w:t xml:space="preserve"> </w:t>
      </w:r>
      <w:r>
        <w:rPr>
          <w:sz w:val="17"/>
        </w:rPr>
        <w:t>el</w:t>
      </w:r>
      <w:r>
        <w:rPr>
          <w:spacing w:val="-2"/>
          <w:sz w:val="17"/>
        </w:rPr>
        <w:t xml:space="preserve"> </w:t>
      </w:r>
      <w:r>
        <w:rPr>
          <w:sz w:val="17"/>
        </w:rPr>
        <w:t>propósito</w:t>
      </w:r>
      <w:r>
        <w:rPr>
          <w:spacing w:val="-2"/>
          <w:sz w:val="17"/>
        </w:rPr>
        <w:t xml:space="preserve"> </w:t>
      </w:r>
      <w:r>
        <w:rPr>
          <w:sz w:val="17"/>
        </w:rPr>
        <w:t>de</w:t>
      </w:r>
      <w:r>
        <w:rPr>
          <w:spacing w:val="-2"/>
          <w:sz w:val="17"/>
        </w:rPr>
        <w:t xml:space="preserve"> </w:t>
      </w:r>
      <w:r>
        <w:rPr>
          <w:sz w:val="17"/>
        </w:rPr>
        <w:t>“aliviar</w:t>
      </w:r>
      <w:r>
        <w:rPr>
          <w:spacing w:val="-2"/>
          <w:sz w:val="17"/>
        </w:rPr>
        <w:t xml:space="preserve"> </w:t>
      </w:r>
      <w:r>
        <w:rPr>
          <w:sz w:val="17"/>
        </w:rPr>
        <w:t>y</w:t>
      </w:r>
      <w:r>
        <w:rPr>
          <w:spacing w:val="-2"/>
          <w:sz w:val="17"/>
        </w:rPr>
        <w:t xml:space="preserve"> </w:t>
      </w:r>
      <w:r>
        <w:rPr>
          <w:sz w:val="17"/>
        </w:rPr>
        <w:t>remediar</w:t>
      </w:r>
      <w:r>
        <w:rPr>
          <w:spacing w:val="-2"/>
          <w:sz w:val="17"/>
        </w:rPr>
        <w:t xml:space="preserve"> </w:t>
      </w:r>
      <w:r>
        <w:rPr>
          <w:sz w:val="17"/>
        </w:rPr>
        <w:t>las</w:t>
      </w:r>
      <w:r>
        <w:rPr>
          <w:spacing w:val="-2"/>
          <w:sz w:val="17"/>
        </w:rPr>
        <w:t xml:space="preserve"> </w:t>
      </w:r>
      <w:r>
        <w:rPr>
          <w:sz w:val="17"/>
        </w:rPr>
        <w:t>disparidades”, incluidas</w:t>
      </w:r>
      <w:r>
        <w:rPr>
          <w:spacing w:val="-2"/>
          <w:sz w:val="17"/>
        </w:rPr>
        <w:t xml:space="preserve"> </w:t>
      </w:r>
      <w:r>
        <w:rPr>
          <w:sz w:val="17"/>
        </w:rPr>
        <w:t>las</w:t>
      </w:r>
      <w:r>
        <w:rPr>
          <w:spacing w:val="-2"/>
          <w:sz w:val="17"/>
        </w:rPr>
        <w:t xml:space="preserve"> </w:t>
      </w:r>
      <w:r>
        <w:rPr>
          <w:sz w:val="17"/>
        </w:rPr>
        <w:t>disparidades</w:t>
      </w:r>
      <w:r>
        <w:rPr>
          <w:spacing w:val="-2"/>
          <w:sz w:val="17"/>
        </w:rPr>
        <w:t xml:space="preserve"> </w:t>
      </w:r>
      <w:r>
        <w:rPr>
          <w:sz w:val="17"/>
        </w:rPr>
        <w:t>que</w:t>
      </w:r>
      <w:r>
        <w:rPr>
          <w:spacing w:val="-2"/>
          <w:sz w:val="17"/>
        </w:rPr>
        <w:t xml:space="preserve"> </w:t>
      </w:r>
      <w:r>
        <w:rPr>
          <w:sz w:val="17"/>
        </w:rPr>
        <w:t>surgen</w:t>
      </w:r>
      <w:r>
        <w:rPr>
          <w:spacing w:val="-2"/>
          <w:sz w:val="17"/>
        </w:rPr>
        <w:t xml:space="preserve"> </w:t>
      </w:r>
      <w:r>
        <w:rPr>
          <w:sz w:val="17"/>
        </w:rPr>
        <w:t>de</w:t>
      </w:r>
    </w:p>
    <w:p w14:paraId="03FAD89A" w14:textId="77777777" w:rsidR="0014798C" w:rsidRDefault="004E1F0B">
      <w:pPr>
        <w:spacing w:line="307" w:lineRule="auto"/>
        <w:ind w:left="1106" w:right="629" w:firstLine="3"/>
        <w:rPr>
          <w:sz w:val="17"/>
        </w:rPr>
      </w:pPr>
      <w:r>
        <w:rPr>
          <w:sz w:val="17"/>
        </w:rPr>
        <w:t>discriminaciones</w:t>
      </w:r>
      <w:r>
        <w:rPr>
          <w:spacing w:val="-7"/>
          <w:sz w:val="17"/>
        </w:rPr>
        <w:t xml:space="preserve"> </w:t>
      </w:r>
      <w:r>
        <w:rPr>
          <w:sz w:val="17"/>
        </w:rPr>
        <w:t>pasadas,</w:t>
      </w:r>
      <w:r>
        <w:rPr>
          <w:spacing w:val="-6"/>
          <w:sz w:val="17"/>
        </w:rPr>
        <w:t xml:space="preserve"> </w:t>
      </w:r>
      <w:r>
        <w:rPr>
          <w:sz w:val="17"/>
        </w:rPr>
        <w:t>“no</w:t>
      </w:r>
      <w:r>
        <w:rPr>
          <w:spacing w:val="-7"/>
          <w:sz w:val="17"/>
        </w:rPr>
        <w:t xml:space="preserve"> </w:t>
      </w:r>
      <w:r>
        <w:rPr>
          <w:sz w:val="17"/>
        </w:rPr>
        <w:t>es</w:t>
      </w:r>
      <w:r>
        <w:rPr>
          <w:spacing w:val="-7"/>
          <w:sz w:val="17"/>
        </w:rPr>
        <w:t xml:space="preserve"> </w:t>
      </w:r>
      <w:r>
        <w:rPr>
          <w:sz w:val="17"/>
        </w:rPr>
        <w:t>necesario</w:t>
      </w:r>
      <w:r>
        <w:rPr>
          <w:spacing w:val="-7"/>
          <w:sz w:val="17"/>
        </w:rPr>
        <w:t xml:space="preserve"> </w:t>
      </w:r>
      <w:r>
        <w:rPr>
          <w:sz w:val="17"/>
        </w:rPr>
        <w:t>probar</w:t>
      </w:r>
      <w:r>
        <w:rPr>
          <w:spacing w:val="-7"/>
          <w:sz w:val="17"/>
        </w:rPr>
        <w:t xml:space="preserve"> </w:t>
      </w:r>
      <w:r>
        <w:rPr>
          <w:sz w:val="17"/>
        </w:rPr>
        <w:t>la</w:t>
      </w:r>
      <w:r>
        <w:rPr>
          <w:spacing w:val="-7"/>
          <w:sz w:val="17"/>
        </w:rPr>
        <w:t xml:space="preserve"> </w:t>
      </w:r>
      <w:r>
        <w:rPr>
          <w:sz w:val="17"/>
        </w:rPr>
        <w:t>discriminación</w:t>
      </w:r>
      <w:r>
        <w:rPr>
          <w:spacing w:val="-7"/>
          <w:sz w:val="17"/>
        </w:rPr>
        <w:t xml:space="preserve"> </w:t>
      </w:r>
      <w:r>
        <w:rPr>
          <w:sz w:val="17"/>
        </w:rPr>
        <w:t>'histórica'</w:t>
      </w:r>
      <w:r>
        <w:rPr>
          <w:spacing w:val="-6"/>
          <w:sz w:val="17"/>
        </w:rPr>
        <w:t xml:space="preserve"> </w:t>
      </w:r>
      <w:r>
        <w:rPr>
          <w:sz w:val="17"/>
        </w:rPr>
        <w:t>para</w:t>
      </w:r>
      <w:r>
        <w:rPr>
          <w:spacing w:val="-7"/>
          <w:sz w:val="17"/>
        </w:rPr>
        <w:t xml:space="preserve"> </w:t>
      </w:r>
      <w:r>
        <w:rPr>
          <w:sz w:val="17"/>
        </w:rPr>
        <w:t>validar</w:t>
      </w:r>
      <w:r>
        <w:rPr>
          <w:spacing w:val="-7"/>
          <w:sz w:val="17"/>
        </w:rPr>
        <w:t xml:space="preserve"> </w:t>
      </w:r>
      <w:r>
        <w:rPr>
          <w:sz w:val="17"/>
        </w:rPr>
        <w:t>un</w:t>
      </w:r>
      <w:r>
        <w:rPr>
          <w:spacing w:val="-7"/>
          <w:sz w:val="17"/>
        </w:rPr>
        <w:t xml:space="preserve"> </w:t>
      </w:r>
      <w:r>
        <w:rPr>
          <w:sz w:val="17"/>
        </w:rPr>
        <w:t>programa</w:t>
      </w:r>
      <w:r>
        <w:rPr>
          <w:spacing w:val="-7"/>
          <w:sz w:val="17"/>
        </w:rPr>
        <w:t xml:space="preserve"> </w:t>
      </w:r>
      <w:r>
        <w:rPr>
          <w:sz w:val="17"/>
        </w:rPr>
        <w:t>de</w:t>
      </w:r>
      <w:r>
        <w:rPr>
          <w:spacing w:val="-7"/>
          <w:sz w:val="17"/>
        </w:rPr>
        <w:t xml:space="preserve"> </w:t>
      </w:r>
      <w:r>
        <w:rPr>
          <w:sz w:val="17"/>
        </w:rPr>
        <w:t>medidas</w:t>
      </w:r>
      <w:r>
        <w:rPr>
          <w:spacing w:val="-7"/>
          <w:sz w:val="17"/>
        </w:rPr>
        <w:t xml:space="preserve"> </w:t>
      </w:r>
      <w:r>
        <w:rPr>
          <w:sz w:val="17"/>
        </w:rPr>
        <w:t>especiales”.479 El Comité para la Eliminación de la Discriminación contra la Mujer ha adoptado una posición similar, señalando que los</w:t>
      </w:r>
    </w:p>
    <w:p w14:paraId="49543A07" w14:textId="77777777" w:rsidR="0014798C" w:rsidRDefault="004E1F0B">
      <w:pPr>
        <w:spacing w:line="307" w:lineRule="auto"/>
        <w:ind w:left="1110" w:right="1272" w:hanging="3"/>
        <w:rPr>
          <w:sz w:val="17"/>
        </w:rPr>
      </w:pPr>
      <w:r>
        <w:rPr>
          <w:sz w:val="17"/>
        </w:rPr>
        <w:t>Estados</w:t>
      </w:r>
      <w:r>
        <w:rPr>
          <w:spacing w:val="-5"/>
          <w:sz w:val="17"/>
        </w:rPr>
        <w:t xml:space="preserve"> </w:t>
      </w:r>
      <w:r>
        <w:rPr>
          <w:sz w:val="17"/>
        </w:rPr>
        <w:t>tienen</w:t>
      </w:r>
      <w:r>
        <w:rPr>
          <w:spacing w:val="-5"/>
          <w:sz w:val="17"/>
        </w:rPr>
        <w:t xml:space="preserve"> </w:t>
      </w:r>
      <w:r>
        <w:rPr>
          <w:sz w:val="17"/>
        </w:rPr>
        <w:t>la</w:t>
      </w:r>
      <w:r>
        <w:rPr>
          <w:spacing w:val="-5"/>
          <w:sz w:val="17"/>
        </w:rPr>
        <w:t xml:space="preserve"> </w:t>
      </w:r>
      <w:r>
        <w:rPr>
          <w:sz w:val="17"/>
        </w:rPr>
        <w:t>obligación</w:t>
      </w:r>
      <w:r>
        <w:rPr>
          <w:spacing w:val="-5"/>
          <w:sz w:val="17"/>
        </w:rPr>
        <w:t xml:space="preserve"> </w:t>
      </w:r>
      <w:r>
        <w:rPr>
          <w:sz w:val="17"/>
        </w:rPr>
        <w:t>proactiva</w:t>
      </w:r>
      <w:r>
        <w:rPr>
          <w:spacing w:val="-5"/>
          <w:sz w:val="17"/>
        </w:rPr>
        <w:t xml:space="preserve"> </w:t>
      </w:r>
      <w:r>
        <w:rPr>
          <w:sz w:val="17"/>
        </w:rPr>
        <w:t>de</w:t>
      </w:r>
      <w:r>
        <w:rPr>
          <w:spacing w:val="-5"/>
          <w:sz w:val="17"/>
        </w:rPr>
        <w:t xml:space="preserve"> </w:t>
      </w:r>
      <w:r>
        <w:rPr>
          <w:sz w:val="17"/>
        </w:rPr>
        <w:t>“mejorar</w:t>
      </w:r>
      <w:r>
        <w:rPr>
          <w:spacing w:val="-5"/>
          <w:sz w:val="17"/>
        </w:rPr>
        <w:t xml:space="preserve"> </w:t>
      </w:r>
      <w:r>
        <w:rPr>
          <w:sz w:val="17"/>
        </w:rPr>
        <w:t>la</w:t>
      </w:r>
      <w:r>
        <w:rPr>
          <w:spacing w:val="-5"/>
          <w:sz w:val="17"/>
        </w:rPr>
        <w:t xml:space="preserve"> </w:t>
      </w:r>
      <w:r>
        <w:rPr>
          <w:sz w:val="17"/>
        </w:rPr>
        <w:t>posición</w:t>
      </w:r>
      <w:r>
        <w:rPr>
          <w:spacing w:val="-5"/>
          <w:sz w:val="17"/>
        </w:rPr>
        <w:t xml:space="preserve"> </w:t>
      </w:r>
      <w:r>
        <w:rPr>
          <w:sz w:val="17"/>
        </w:rPr>
        <w:t>de</w:t>
      </w:r>
      <w:r>
        <w:rPr>
          <w:spacing w:val="-5"/>
          <w:sz w:val="17"/>
        </w:rPr>
        <w:t xml:space="preserve"> </w:t>
      </w:r>
      <w:r>
        <w:rPr>
          <w:sz w:val="17"/>
        </w:rPr>
        <w:t>las</w:t>
      </w:r>
      <w:r>
        <w:rPr>
          <w:spacing w:val="-5"/>
          <w:sz w:val="17"/>
        </w:rPr>
        <w:t xml:space="preserve"> </w:t>
      </w:r>
      <w:r>
        <w:rPr>
          <w:sz w:val="17"/>
        </w:rPr>
        <w:t>mujeres</w:t>
      </w:r>
      <w:r>
        <w:rPr>
          <w:spacing w:val="-5"/>
          <w:sz w:val="17"/>
        </w:rPr>
        <w:t xml:space="preserve"> </w:t>
      </w:r>
      <w:r>
        <w:rPr>
          <w:sz w:val="17"/>
        </w:rPr>
        <w:t>hasta</w:t>
      </w:r>
      <w:r>
        <w:rPr>
          <w:spacing w:val="-5"/>
          <w:sz w:val="17"/>
        </w:rPr>
        <w:t xml:space="preserve"> </w:t>
      </w:r>
      <w:r>
        <w:rPr>
          <w:sz w:val="17"/>
        </w:rPr>
        <w:t>alcanzar</w:t>
      </w:r>
      <w:r>
        <w:rPr>
          <w:spacing w:val="-5"/>
          <w:sz w:val="17"/>
        </w:rPr>
        <w:t xml:space="preserve"> </w:t>
      </w:r>
      <w:r>
        <w:rPr>
          <w:sz w:val="17"/>
        </w:rPr>
        <w:t>una</w:t>
      </w:r>
      <w:r>
        <w:rPr>
          <w:spacing w:val="-5"/>
          <w:sz w:val="17"/>
        </w:rPr>
        <w:t xml:space="preserve"> </w:t>
      </w:r>
      <w:r>
        <w:rPr>
          <w:sz w:val="17"/>
        </w:rPr>
        <w:t>igualdad</w:t>
      </w:r>
      <w:r>
        <w:rPr>
          <w:spacing w:val="-5"/>
          <w:sz w:val="17"/>
        </w:rPr>
        <w:t xml:space="preserve"> </w:t>
      </w:r>
      <w:r>
        <w:rPr>
          <w:sz w:val="17"/>
        </w:rPr>
        <w:t>de</w:t>
      </w:r>
      <w:r>
        <w:rPr>
          <w:spacing w:val="-5"/>
          <w:sz w:val="17"/>
        </w:rPr>
        <w:t xml:space="preserve"> </w:t>
      </w:r>
      <w:r>
        <w:rPr>
          <w:sz w:val="17"/>
        </w:rPr>
        <w:t>facto</w:t>
      </w:r>
      <w:r>
        <w:rPr>
          <w:spacing w:val="-5"/>
          <w:sz w:val="17"/>
        </w:rPr>
        <w:t xml:space="preserve"> </w:t>
      </w:r>
      <w:r>
        <w:rPr>
          <w:sz w:val="17"/>
        </w:rPr>
        <w:t>o sustantiva”, sin hacer referencia a pruebas de discriminación pasada.480</w:t>
      </w:r>
    </w:p>
    <w:p w14:paraId="3F42ED38" w14:textId="77777777" w:rsidR="0014798C" w:rsidRDefault="004E1F0B">
      <w:pPr>
        <w:spacing w:before="195"/>
        <w:ind w:left="1115"/>
        <w:rPr>
          <w:sz w:val="18"/>
        </w:rPr>
      </w:pPr>
      <w:r>
        <w:rPr>
          <w:sz w:val="18"/>
        </w:rPr>
        <w:t>(b)</w:t>
      </w:r>
      <w:r>
        <w:rPr>
          <w:spacing w:val="-4"/>
          <w:sz w:val="18"/>
        </w:rPr>
        <w:t xml:space="preserve"> </w:t>
      </w:r>
      <w:r>
        <w:rPr>
          <w:spacing w:val="-2"/>
          <w:sz w:val="18"/>
        </w:rPr>
        <w:t>Alcance</w:t>
      </w:r>
    </w:p>
    <w:p w14:paraId="05934C8C" w14:textId="77777777" w:rsidR="0014798C" w:rsidRDefault="004E1F0B">
      <w:pPr>
        <w:spacing w:before="175" w:line="307" w:lineRule="auto"/>
        <w:ind w:left="1109" w:right="1363" w:hanging="4"/>
        <w:jc w:val="both"/>
        <w:rPr>
          <w:sz w:val="17"/>
        </w:rPr>
      </w:pPr>
      <w:r>
        <w:rPr>
          <w:sz w:val="17"/>
        </w:rPr>
        <w:t>Los</w:t>
      </w:r>
      <w:r>
        <w:rPr>
          <w:spacing w:val="-4"/>
          <w:sz w:val="17"/>
        </w:rPr>
        <w:t xml:space="preserve"> </w:t>
      </w:r>
      <w:r>
        <w:rPr>
          <w:sz w:val="17"/>
        </w:rPr>
        <w:t>órganos</w:t>
      </w:r>
      <w:r>
        <w:rPr>
          <w:spacing w:val="-4"/>
          <w:sz w:val="17"/>
        </w:rPr>
        <w:t xml:space="preserve"> </w:t>
      </w:r>
      <w:r>
        <w:rPr>
          <w:sz w:val="17"/>
        </w:rPr>
        <w:t>de</w:t>
      </w:r>
      <w:r>
        <w:rPr>
          <w:spacing w:val="-4"/>
          <w:sz w:val="17"/>
        </w:rPr>
        <w:t xml:space="preserve"> </w:t>
      </w:r>
      <w:r>
        <w:rPr>
          <w:sz w:val="17"/>
        </w:rPr>
        <w:t>tratados</w:t>
      </w:r>
      <w:r>
        <w:rPr>
          <w:spacing w:val="-4"/>
          <w:sz w:val="17"/>
        </w:rPr>
        <w:t xml:space="preserve"> </w:t>
      </w:r>
      <w:r>
        <w:rPr>
          <w:sz w:val="17"/>
        </w:rPr>
        <w:t>han</w:t>
      </w:r>
      <w:r>
        <w:rPr>
          <w:spacing w:val="-4"/>
          <w:sz w:val="17"/>
        </w:rPr>
        <w:t xml:space="preserve"> </w:t>
      </w:r>
      <w:r>
        <w:rPr>
          <w:sz w:val="17"/>
        </w:rPr>
        <w:t>enfatizado</w:t>
      </w:r>
      <w:r>
        <w:rPr>
          <w:spacing w:val="-4"/>
          <w:sz w:val="17"/>
        </w:rPr>
        <w:t xml:space="preserve"> </w:t>
      </w:r>
      <w:r>
        <w:rPr>
          <w:sz w:val="17"/>
        </w:rPr>
        <w:t>repetidamente</w:t>
      </w:r>
      <w:r>
        <w:rPr>
          <w:spacing w:val="-4"/>
          <w:sz w:val="17"/>
        </w:rPr>
        <w:t xml:space="preserve"> </w:t>
      </w:r>
      <w:r>
        <w:rPr>
          <w:sz w:val="17"/>
        </w:rPr>
        <w:t>la</w:t>
      </w:r>
      <w:r>
        <w:rPr>
          <w:spacing w:val="-4"/>
          <w:sz w:val="17"/>
        </w:rPr>
        <w:t xml:space="preserve"> </w:t>
      </w:r>
      <w:r>
        <w:rPr>
          <w:sz w:val="17"/>
        </w:rPr>
        <w:t>amplia</w:t>
      </w:r>
      <w:r>
        <w:rPr>
          <w:spacing w:val="-4"/>
          <w:sz w:val="17"/>
        </w:rPr>
        <w:t xml:space="preserve"> </w:t>
      </w:r>
      <w:r>
        <w:rPr>
          <w:sz w:val="17"/>
        </w:rPr>
        <w:t>gama</w:t>
      </w:r>
      <w:r>
        <w:rPr>
          <w:spacing w:val="-4"/>
          <w:sz w:val="17"/>
        </w:rPr>
        <w:t xml:space="preserve"> </w:t>
      </w:r>
      <w:r>
        <w:rPr>
          <w:sz w:val="17"/>
        </w:rPr>
        <w:t>de</w:t>
      </w:r>
      <w:r>
        <w:rPr>
          <w:spacing w:val="-4"/>
          <w:sz w:val="17"/>
        </w:rPr>
        <w:t xml:space="preserve"> </w:t>
      </w:r>
      <w:r>
        <w:rPr>
          <w:sz w:val="17"/>
        </w:rPr>
        <w:t>medidas</w:t>
      </w:r>
      <w:r>
        <w:rPr>
          <w:spacing w:val="-4"/>
          <w:sz w:val="17"/>
        </w:rPr>
        <w:t xml:space="preserve"> </w:t>
      </w:r>
      <w:r>
        <w:rPr>
          <w:sz w:val="17"/>
        </w:rPr>
        <w:t>que</w:t>
      </w:r>
      <w:r>
        <w:rPr>
          <w:spacing w:val="-4"/>
          <w:sz w:val="17"/>
        </w:rPr>
        <w:t xml:space="preserve"> </w:t>
      </w:r>
      <w:r>
        <w:rPr>
          <w:sz w:val="17"/>
        </w:rPr>
        <w:t>podrían</w:t>
      </w:r>
      <w:r>
        <w:rPr>
          <w:spacing w:val="-4"/>
          <w:sz w:val="17"/>
        </w:rPr>
        <w:t xml:space="preserve"> </w:t>
      </w:r>
      <w:r>
        <w:rPr>
          <w:sz w:val="17"/>
        </w:rPr>
        <w:t>caer</w:t>
      </w:r>
      <w:r>
        <w:rPr>
          <w:spacing w:val="-4"/>
          <w:sz w:val="17"/>
        </w:rPr>
        <w:t xml:space="preserve"> </w:t>
      </w:r>
      <w:r>
        <w:rPr>
          <w:sz w:val="17"/>
        </w:rPr>
        <w:t>dentro</w:t>
      </w:r>
      <w:r>
        <w:rPr>
          <w:spacing w:val="-4"/>
          <w:sz w:val="17"/>
        </w:rPr>
        <w:t xml:space="preserve"> </w:t>
      </w:r>
      <w:r>
        <w:rPr>
          <w:sz w:val="17"/>
        </w:rPr>
        <w:t>del</w:t>
      </w:r>
      <w:r>
        <w:rPr>
          <w:spacing w:val="-4"/>
          <w:sz w:val="17"/>
        </w:rPr>
        <w:t xml:space="preserve"> </w:t>
      </w:r>
      <w:r>
        <w:rPr>
          <w:sz w:val="17"/>
        </w:rPr>
        <w:t>alcance</w:t>
      </w:r>
      <w:r>
        <w:rPr>
          <w:spacing w:val="-4"/>
          <w:sz w:val="17"/>
        </w:rPr>
        <w:t xml:space="preserve"> </w:t>
      </w:r>
      <w:r>
        <w:rPr>
          <w:sz w:val="17"/>
        </w:rPr>
        <w:t>de las</w:t>
      </w:r>
      <w:r>
        <w:rPr>
          <w:spacing w:val="-5"/>
          <w:sz w:val="17"/>
        </w:rPr>
        <w:t xml:space="preserve"> </w:t>
      </w:r>
      <w:r>
        <w:rPr>
          <w:sz w:val="17"/>
        </w:rPr>
        <w:t>medidas</w:t>
      </w:r>
      <w:r>
        <w:rPr>
          <w:spacing w:val="-5"/>
          <w:sz w:val="17"/>
        </w:rPr>
        <w:t xml:space="preserve"> </w:t>
      </w:r>
      <w:r>
        <w:rPr>
          <w:sz w:val="17"/>
        </w:rPr>
        <w:t>especiales.</w:t>
      </w:r>
      <w:r>
        <w:rPr>
          <w:spacing w:val="-4"/>
          <w:sz w:val="17"/>
        </w:rPr>
        <w:t xml:space="preserve"> </w:t>
      </w:r>
      <w:r>
        <w:rPr>
          <w:sz w:val="17"/>
        </w:rPr>
        <w:t>El</w:t>
      </w:r>
      <w:r>
        <w:rPr>
          <w:spacing w:val="-5"/>
          <w:sz w:val="17"/>
        </w:rPr>
        <w:t xml:space="preserve"> </w:t>
      </w:r>
      <w:r>
        <w:rPr>
          <w:sz w:val="17"/>
        </w:rPr>
        <w:t>Comité</w:t>
      </w:r>
      <w:r>
        <w:rPr>
          <w:spacing w:val="-5"/>
          <w:sz w:val="17"/>
        </w:rPr>
        <w:t xml:space="preserve"> </w:t>
      </w:r>
      <w:r>
        <w:rPr>
          <w:sz w:val="17"/>
        </w:rPr>
        <w:t>para</w:t>
      </w:r>
      <w:r>
        <w:rPr>
          <w:spacing w:val="-5"/>
          <w:sz w:val="17"/>
        </w:rPr>
        <w:t xml:space="preserve"> </w:t>
      </w:r>
      <w:r>
        <w:rPr>
          <w:sz w:val="17"/>
        </w:rPr>
        <w:t>la</w:t>
      </w:r>
      <w:r>
        <w:rPr>
          <w:spacing w:val="-5"/>
          <w:sz w:val="17"/>
        </w:rPr>
        <w:t xml:space="preserve"> </w:t>
      </w:r>
      <w:r>
        <w:rPr>
          <w:sz w:val="17"/>
        </w:rPr>
        <w:t>Eliminación</w:t>
      </w:r>
      <w:r>
        <w:rPr>
          <w:spacing w:val="-5"/>
          <w:sz w:val="17"/>
        </w:rPr>
        <w:t xml:space="preserve"> </w:t>
      </w:r>
      <w:r>
        <w:rPr>
          <w:sz w:val="17"/>
        </w:rPr>
        <w:t>de</w:t>
      </w:r>
      <w:r>
        <w:rPr>
          <w:spacing w:val="-5"/>
          <w:sz w:val="17"/>
        </w:rPr>
        <w:t xml:space="preserve"> </w:t>
      </w:r>
      <w:r>
        <w:rPr>
          <w:sz w:val="17"/>
        </w:rPr>
        <w:t>la</w:t>
      </w:r>
      <w:r>
        <w:rPr>
          <w:spacing w:val="-5"/>
          <w:sz w:val="17"/>
        </w:rPr>
        <w:t xml:space="preserve"> </w:t>
      </w:r>
      <w:r>
        <w:rPr>
          <w:sz w:val="17"/>
        </w:rPr>
        <w:t>Discriminación</w:t>
      </w:r>
      <w:r>
        <w:rPr>
          <w:spacing w:val="-5"/>
          <w:sz w:val="17"/>
        </w:rPr>
        <w:t xml:space="preserve"> </w:t>
      </w:r>
      <w:r>
        <w:rPr>
          <w:sz w:val="17"/>
        </w:rPr>
        <w:t>Racial</w:t>
      </w:r>
      <w:r>
        <w:rPr>
          <w:spacing w:val="-5"/>
          <w:sz w:val="17"/>
        </w:rPr>
        <w:t xml:space="preserve"> </w:t>
      </w:r>
      <w:r>
        <w:rPr>
          <w:sz w:val="17"/>
        </w:rPr>
        <w:t>ha</w:t>
      </w:r>
      <w:r>
        <w:rPr>
          <w:spacing w:val="-5"/>
          <w:sz w:val="17"/>
        </w:rPr>
        <w:t xml:space="preserve"> </w:t>
      </w:r>
      <w:r>
        <w:rPr>
          <w:sz w:val="17"/>
        </w:rPr>
        <w:t>señalado</w:t>
      </w:r>
      <w:r>
        <w:rPr>
          <w:spacing w:val="-5"/>
          <w:sz w:val="17"/>
        </w:rPr>
        <w:t xml:space="preserve"> </w:t>
      </w:r>
      <w:r>
        <w:rPr>
          <w:sz w:val="17"/>
        </w:rPr>
        <w:t>que</w:t>
      </w:r>
      <w:r>
        <w:rPr>
          <w:spacing w:val="-5"/>
          <w:sz w:val="17"/>
        </w:rPr>
        <w:t xml:space="preserve"> </w:t>
      </w:r>
      <w:r>
        <w:rPr>
          <w:sz w:val="17"/>
        </w:rPr>
        <w:t>el</w:t>
      </w:r>
      <w:r>
        <w:rPr>
          <w:spacing w:val="-5"/>
          <w:sz w:val="17"/>
        </w:rPr>
        <w:t xml:space="preserve"> </w:t>
      </w:r>
      <w:r>
        <w:rPr>
          <w:sz w:val="17"/>
        </w:rPr>
        <w:t>término</w:t>
      </w:r>
      <w:r>
        <w:rPr>
          <w:spacing w:val="-5"/>
          <w:sz w:val="17"/>
        </w:rPr>
        <w:t xml:space="preserve"> </w:t>
      </w:r>
      <w:r>
        <w:rPr>
          <w:sz w:val="17"/>
        </w:rPr>
        <w:t>incluye</w:t>
      </w:r>
      <w:r>
        <w:rPr>
          <w:spacing w:val="-5"/>
          <w:sz w:val="17"/>
        </w:rPr>
        <w:t xml:space="preserve"> </w:t>
      </w:r>
      <w:r>
        <w:rPr>
          <w:sz w:val="17"/>
        </w:rPr>
        <w:t>“todo el</w:t>
      </w:r>
      <w:r>
        <w:rPr>
          <w:spacing w:val="-7"/>
          <w:sz w:val="17"/>
        </w:rPr>
        <w:t xml:space="preserve"> </w:t>
      </w:r>
      <w:r>
        <w:rPr>
          <w:sz w:val="17"/>
        </w:rPr>
        <w:t>espectro</w:t>
      </w:r>
      <w:r>
        <w:rPr>
          <w:spacing w:val="-7"/>
          <w:sz w:val="17"/>
        </w:rPr>
        <w:t xml:space="preserve"> </w:t>
      </w:r>
      <w:r>
        <w:rPr>
          <w:sz w:val="17"/>
        </w:rPr>
        <w:t>de</w:t>
      </w:r>
      <w:r>
        <w:rPr>
          <w:spacing w:val="-7"/>
          <w:sz w:val="17"/>
        </w:rPr>
        <w:t xml:space="preserve"> </w:t>
      </w:r>
      <w:r>
        <w:rPr>
          <w:sz w:val="17"/>
        </w:rPr>
        <w:t>instrumentos</w:t>
      </w:r>
      <w:r>
        <w:rPr>
          <w:spacing w:val="-7"/>
          <w:sz w:val="17"/>
        </w:rPr>
        <w:t xml:space="preserve"> </w:t>
      </w:r>
      <w:r>
        <w:rPr>
          <w:sz w:val="17"/>
        </w:rPr>
        <w:t>legislativos,</w:t>
      </w:r>
      <w:r>
        <w:rPr>
          <w:spacing w:val="-6"/>
          <w:sz w:val="17"/>
        </w:rPr>
        <w:t xml:space="preserve"> </w:t>
      </w:r>
      <w:r>
        <w:rPr>
          <w:sz w:val="17"/>
        </w:rPr>
        <w:t>ejecutivos,</w:t>
      </w:r>
      <w:r>
        <w:rPr>
          <w:spacing w:val="-6"/>
          <w:sz w:val="17"/>
        </w:rPr>
        <w:t xml:space="preserve"> </w:t>
      </w:r>
      <w:r>
        <w:rPr>
          <w:sz w:val="17"/>
        </w:rPr>
        <w:t>administrativos,</w:t>
      </w:r>
      <w:r>
        <w:rPr>
          <w:spacing w:val="-6"/>
          <w:sz w:val="17"/>
        </w:rPr>
        <w:t xml:space="preserve"> </w:t>
      </w:r>
      <w:r>
        <w:rPr>
          <w:sz w:val="17"/>
        </w:rPr>
        <w:t>presupuestarios</w:t>
      </w:r>
      <w:r>
        <w:rPr>
          <w:spacing w:val="-7"/>
          <w:sz w:val="17"/>
        </w:rPr>
        <w:t xml:space="preserve"> </w:t>
      </w:r>
      <w:r>
        <w:rPr>
          <w:sz w:val="17"/>
        </w:rPr>
        <w:t>y</w:t>
      </w:r>
      <w:r>
        <w:rPr>
          <w:spacing w:val="-7"/>
          <w:sz w:val="17"/>
        </w:rPr>
        <w:t xml:space="preserve"> </w:t>
      </w:r>
      <w:r>
        <w:rPr>
          <w:sz w:val="17"/>
        </w:rPr>
        <w:t>regulatorios,</w:t>
      </w:r>
      <w:r>
        <w:rPr>
          <w:spacing w:val="-6"/>
          <w:sz w:val="17"/>
        </w:rPr>
        <w:t xml:space="preserve"> </w:t>
      </w:r>
      <w:r>
        <w:rPr>
          <w:sz w:val="17"/>
        </w:rPr>
        <w:t>en</w:t>
      </w:r>
      <w:r>
        <w:rPr>
          <w:spacing w:val="-7"/>
          <w:sz w:val="17"/>
        </w:rPr>
        <w:t xml:space="preserve"> </w:t>
      </w:r>
      <w:r>
        <w:rPr>
          <w:sz w:val="17"/>
        </w:rPr>
        <w:t>todos</w:t>
      </w:r>
      <w:r>
        <w:rPr>
          <w:spacing w:val="-7"/>
          <w:sz w:val="17"/>
        </w:rPr>
        <w:t xml:space="preserve"> </w:t>
      </w:r>
      <w:r>
        <w:rPr>
          <w:sz w:val="17"/>
        </w:rPr>
        <w:t>los</w:t>
      </w:r>
      <w:r>
        <w:rPr>
          <w:spacing w:val="-7"/>
          <w:sz w:val="17"/>
        </w:rPr>
        <w:t xml:space="preserve"> </w:t>
      </w:r>
      <w:r>
        <w:rPr>
          <w:sz w:val="17"/>
        </w:rPr>
        <w:t>niveles</w:t>
      </w:r>
      <w:r>
        <w:rPr>
          <w:spacing w:val="-7"/>
          <w:sz w:val="17"/>
        </w:rPr>
        <w:t xml:space="preserve"> </w:t>
      </w:r>
      <w:r>
        <w:rPr>
          <w:sz w:val="17"/>
        </w:rPr>
        <w:t>del aparato del Estado, así como planes, políticas, programas y regímenes preferenciales en áreas como</w:t>
      </w:r>
    </w:p>
    <w:p w14:paraId="7EEC4A1B" w14:textId="77777777" w:rsidR="0014798C" w:rsidRDefault="0014798C">
      <w:pPr>
        <w:pStyle w:val="Textoindependiente"/>
        <w:rPr>
          <w:sz w:val="20"/>
        </w:rPr>
      </w:pPr>
    </w:p>
    <w:p w14:paraId="49E3F74D" w14:textId="77777777" w:rsidR="0014798C" w:rsidRDefault="004E1F0B">
      <w:pPr>
        <w:pStyle w:val="Textoindependiente"/>
        <w:spacing w:before="162"/>
        <w:rPr>
          <w:sz w:val="20"/>
        </w:rPr>
      </w:pPr>
      <w:r>
        <w:rPr>
          <w:noProof/>
        </w:rPr>
        <w:drawing>
          <wp:anchor distT="0" distB="0" distL="0" distR="0" simplePos="0" relativeHeight="251658530" behindDoc="1" locked="0" layoutInCell="1" allowOverlap="1" wp14:anchorId="4A9EA47E" wp14:editId="43194652">
            <wp:simplePos x="0" y="0"/>
            <wp:positionH relativeFrom="page">
              <wp:posOffset>826632</wp:posOffset>
            </wp:positionH>
            <wp:positionV relativeFrom="paragraph">
              <wp:posOffset>264298</wp:posOffset>
            </wp:positionV>
            <wp:extent cx="931001" cy="35813"/>
            <wp:effectExtent l="0" t="0" r="0" b="0"/>
            <wp:wrapTopAndBottom/>
            <wp:docPr id="155" name="Image 15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55" name="Image 155"/>
                    <pic:cNvPicPr/>
                  </pic:nvPicPr>
                  <pic:blipFill>
                    <a:blip r:embed="rId143" cstate="print"/>
                    <a:stretch>
                      <a:fillRect/>
                    </a:stretch>
                  </pic:blipFill>
                  <pic:spPr>
                    <a:xfrm>
                      <a:off x="0" y="0"/>
                      <a:ext cx="931001" cy="35813"/>
                    </a:xfrm>
                    <a:prstGeom prst="rect">
                      <a:avLst/>
                    </a:prstGeom>
                  </pic:spPr>
                </pic:pic>
              </a:graphicData>
            </a:graphic>
          </wp:anchor>
        </w:drawing>
      </w:r>
    </w:p>
    <w:p w14:paraId="49932ACD" w14:textId="77777777" w:rsidR="0014798C" w:rsidRDefault="0014798C">
      <w:pPr>
        <w:pStyle w:val="Textoindependiente"/>
        <w:spacing w:before="37"/>
        <w:rPr>
          <w:sz w:val="11"/>
        </w:rPr>
      </w:pPr>
    </w:p>
    <w:p w14:paraId="2DDDCE8B" w14:textId="77777777" w:rsidR="0014798C" w:rsidRDefault="004E1F0B">
      <w:pPr>
        <w:pStyle w:val="Prrafodelista"/>
        <w:numPr>
          <w:ilvl w:val="0"/>
          <w:numId w:val="57"/>
        </w:numPr>
        <w:tabs>
          <w:tab w:val="left" w:pos="1328"/>
        </w:tabs>
        <w:ind w:left="1328" w:hanging="223"/>
        <w:rPr>
          <w:sz w:val="11"/>
        </w:rPr>
      </w:pPr>
      <w:r>
        <w:rPr>
          <w:w w:val="105"/>
          <w:sz w:val="11"/>
        </w:rPr>
        <w:t>Comité</w:t>
      </w:r>
      <w:r>
        <w:rPr>
          <w:spacing w:val="-5"/>
          <w:w w:val="105"/>
          <w:sz w:val="11"/>
        </w:rPr>
        <w:t xml:space="preserve"> </w:t>
      </w:r>
      <w:r>
        <w:rPr>
          <w:w w:val="105"/>
          <w:sz w:val="11"/>
        </w:rPr>
        <w:t>sobre</w:t>
      </w:r>
      <w:r>
        <w:rPr>
          <w:spacing w:val="-4"/>
          <w:w w:val="105"/>
          <w:sz w:val="11"/>
        </w:rPr>
        <w:t xml:space="preserve"> </w:t>
      </w:r>
      <w:r>
        <w:rPr>
          <w:w w:val="105"/>
          <w:sz w:val="11"/>
        </w:rPr>
        <w:t>los</w:t>
      </w:r>
      <w:r>
        <w:rPr>
          <w:spacing w:val="-4"/>
          <w:w w:val="105"/>
          <w:sz w:val="11"/>
        </w:rPr>
        <w:t xml:space="preserve"> </w:t>
      </w:r>
      <w:r>
        <w:rPr>
          <w:w w:val="105"/>
          <w:sz w:val="11"/>
        </w:rPr>
        <w:t>Derechos</w:t>
      </w:r>
      <w:r>
        <w:rPr>
          <w:spacing w:val="-4"/>
          <w:w w:val="105"/>
          <w:sz w:val="11"/>
        </w:rPr>
        <w:t xml:space="preserve"> </w:t>
      </w:r>
      <w:r>
        <w:rPr>
          <w:w w:val="105"/>
          <w:sz w:val="11"/>
        </w:rPr>
        <w:t>de</w:t>
      </w:r>
      <w:r>
        <w:rPr>
          <w:spacing w:val="-4"/>
          <w:w w:val="105"/>
          <w:sz w:val="11"/>
        </w:rPr>
        <w:t xml:space="preserve"> </w:t>
      </w:r>
      <w:r>
        <w:rPr>
          <w:w w:val="105"/>
          <w:sz w:val="11"/>
        </w:rPr>
        <w:t>las</w:t>
      </w:r>
      <w:r>
        <w:rPr>
          <w:spacing w:val="-4"/>
          <w:w w:val="105"/>
          <w:sz w:val="11"/>
        </w:rPr>
        <w:t xml:space="preserve"> </w:t>
      </w:r>
      <w:r>
        <w:rPr>
          <w:w w:val="105"/>
          <w:sz w:val="11"/>
        </w:rPr>
        <w:t>Personas</w:t>
      </w:r>
      <w:r>
        <w:rPr>
          <w:spacing w:val="-4"/>
          <w:w w:val="105"/>
          <w:sz w:val="11"/>
        </w:rPr>
        <w:t xml:space="preserve"> </w:t>
      </w:r>
      <w:r>
        <w:rPr>
          <w:w w:val="105"/>
          <w:sz w:val="11"/>
        </w:rPr>
        <w:t>con</w:t>
      </w:r>
      <w:r>
        <w:rPr>
          <w:spacing w:val="-4"/>
          <w:w w:val="105"/>
          <w:sz w:val="11"/>
        </w:rPr>
        <w:t xml:space="preserve"> </w:t>
      </w:r>
      <w:r>
        <w:rPr>
          <w:w w:val="105"/>
          <w:sz w:val="11"/>
        </w:rPr>
        <w:t>Discapacidad,</w:t>
      </w:r>
      <w:r>
        <w:rPr>
          <w:spacing w:val="-3"/>
          <w:w w:val="105"/>
          <w:sz w:val="11"/>
        </w:rPr>
        <w:t xml:space="preserve"> </w:t>
      </w:r>
      <w:r>
        <w:rPr>
          <w:w w:val="105"/>
          <w:sz w:val="11"/>
        </w:rPr>
        <w:t>observación</w:t>
      </w:r>
      <w:r>
        <w:rPr>
          <w:spacing w:val="-4"/>
          <w:w w:val="105"/>
          <w:sz w:val="11"/>
        </w:rPr>
        <w:t xml:space="preserve"> </w:t>
      </w:r>
      <w:r>
        <w:rPr>
          <w:w w:val="105"/>
          <w:sz w:val="11"/>
        </w:rPr>
        <w:t>general</w:t>
      </w:r>
      <w:r>
        <w:rPr>
          <w:spacing w:val="-4"/>
          <w:w w:val="105"/>
          <w:sz w:val="11"/>
        </w:rPr>
        <w:t xml:space="preserve"> </w:t>
      </w:r>
      <w:r>
        <w:rPr>
          <w:w w:val="105"/>
          <w:sz w:val="11"/>
        </w:rPr>
        <w:t>núm.</w:t>
      </w:r>
      <w:r>
        <w:rPr>
          <w:spacing w:val="-4"/>
          <w:w w:val="105"/>
          <w:sz w:val="11"/>
        </w:rPr>
        <w:t xml:space="preserve"> </w:t>
      </w:r>
      <w:r>
        <w:rPr>
          <w:w w:val="105"/>
          <w:sz w:val="11"/>
        </w:rPr>
        <w:t>6</w:t>
      </w:r>
      <w:r>
        <w:rPr>
          <w:spacing w:val="-4"/>
          <w:w w:val="105"/>
          <w:sz w:val="11"/>
        </w:rPr>
        <w:t xml:space="preserve"> </w:t>
      </w:r>
      <w:r>
        <w:rPr>
          <w:w w:val="105"/>
          <w:sz w:val="11"/>
        </w:rPr>
        <w:t>(2018),</w:t>
      </w:r>
      <w:r>
        <w:rPr>
          <w:spacing w:val="-3"/>
          <w:w w:val="105"/>
          <w:sz w:val="11"/>
        </w:rPr>
        <w:t xml:space="preserve"> </w:t>
      </w:r>
      <w:r>
        <w:rPr>
          <w:w w:val="105"/>
          <w:sz w:val="11"/>
        </w:rPr>
        <w:t>párr.</w:t>
      </w:r>
      <w:r>
        <w:rPr>
          <w:spacing w:val="-4"/>
          <w:w w:val="105"/>
          <w:sz w:val="11"/>
        </w:rPr>
        <w:t xml:space="preserve"> </w:t>
      </w:r>
      <w:r>
        <w:rPr>
          <w:spacing w:val="-5"/>
          <w:w w:val="105"/>
          <w:sz w:val="11"/>
        </w:rPr>
        <w:t>28.</w:t>
      </w:r>
    </w:p>
    <w:p w14:paraId="31497CB2" w14:textId="77777777" w:rsidR="0014798C" w:rsidRDefault="004E1F0B">
      <w:pPr>
        <w:pStyle w:val="Prrafodelista"/>
        <w:numPr>
          <w:ilvl w:val="0"/>
          <w:numId w:val="57"/>
        </w:numPr>
        <w:tabs>
          <w:tab w:val="left" w:pos="1328"/>
        </w:tabs>
        <w:spacing w:before="110"/>
        <w:ind w:left="1328" w:hanging="223"/>
        <w:rPr>
          <w:sz w:val="11"/>
        </w:rPr>
      </w:pPr>
      <w:r>
        <w:rPr>
          <w:w w:val="105"/>
          <w:sz w:val="11"/>
        </w:rPr>
        <w:t>Se</w:t>
      </w:r>
      <w:r>
        <w:rPr>
          <w:spacing w:val="-3"/>
          <w:w w:val="105"/>
          <w:sz w:val="11"/>
        </w:rPr>
        <w:t xml:space="preserve"> </w:t>
      </w:r>
      <w:r>
        <w:rPr>
          <w:w w:val="105"/>
          <w:sz w:val="11"/>
        </w:rPr>
        <w:t>pueden</w:t>
      </w:r>
      <w:r>
        <w:rPr>
          <w:spacing w:val="-3"/>
          <w:w w:val="105"/>
          <w:sz w:val="11"/>
        </w:rPr>
        <w:t xml:space="preserve"> </w:t>
      </w:r>
      <w:r>
        <w:rPr>
          <w:w w:val="105"/>
          <w:sz w:val="11"/>
        </w:rPr>
        <w:t>adoptar</w:t>
      </w:r>
      <w:r>
        <w:rPr>
          <w:spacing w:val="-2"/>
          <w:w w:val="105"/>
          <w:sz w:val="11"/>
        </w:rPr>
        <w:t xml:space="preserve"> </w:t>
      </w:r>
      <w:r>
        <w:rPr>
          <w:w w:val="105"/>
          <w:sz w:val="11"/>
        </w:rPr>
        <w:t>medidas</w:t>
      </w:r>
      <w:r>
        <w:rPr>
          <w:spacing w:val="-3"/>
          <w:w w:val="105"/>
          <w:sz w:val="11"/>
        </w:rPr>
        <w:t xml:space="preserve"> </w:t>
      </w:r>
      <w:r>
        <w:rPr>
          <w:w w:val="105"/>
          <w:sz w:val="11"/>
        </w:rPr>
        <w:t>positivas</w:t>
      </w:r>
      <w:r>
        <w:rPr>
          <w:spacing w:val="-2"/>
          <w:w w:val="105"/>
          <w:sz w:val="11"/>
        </w:rPr>
        <w:t xml:space="preserve"> </w:t>
      </w:r>
      <w:r>
        <w:rPr>
          <w:w w:val="105"/>
          <w:sz w:val="11"/>
        </w:rPr>
        <w:t>en</w:t>
      </w:r>
      <w:r>
        <w:rPr>
          <w:spacing w:val="-3"/>
          <w:w w:val="105"/>
          <w:sz w:val="11"/>
        </w:rPr>
        <w:t xml:space="preserve"> </w:t>
      </w:r>
      <w:r>
        <w:rPr>
          <w:w w:val="105"/>
          <w:sz w:val="11"/>
        </w:rPr>
        <w:t>las</w:t>
      </w:r>
      <w:r>
        <w:rPr>
          <w:spacing w:val="-2"/>
          <w:w w:val="105"/>
          <w:sz w:val="11"/>
        </w:rPr>
        <w:t xml:space="preserve"> </w:t>
      </w:r>
      <w:r>
        <w:rPr>
          <w:w w:val="105"/>
          <w:sz w:val="11"/>
        </w:rPr>
        <w:t>directivas</w:t>
      </w:r>
      <w:r>
        <w:rPr>
          <w:spacing w:val="-3"/>
          <w:w w:val="105"/>
          <w:sz w:val="11"/>
        </w:rPr>
        <w:t xml:space="preserve"> </w:t>
      </w:r>
      <w:r>
        <w:rPr>
          <w:w w:val="105"/>
          <w:sz w:val="11"/>
        </w:rPr>
        <w:t>europeas</w:t>
      </w:r>
      <w:r>
        <w:rPr>
          <w:spacing w:val="-3"/>
          <w:w w:val="105"/>
          <w:sz w:val="11"/>
        </w:rPr>
        <w:t xml:space="preserve"> </w:t>
      </w:r>
      <w:r>
        <w:rPr>
          <w:w w:val="105"/>
          <w:sz w:val="11"/>
        </w:rPr>
        <w:t>sobre</w:t>
      </w:r>
      <w:r>
        <w:rPr>
          <w:spacing w:val="-2"/>
          <w:w w:val="105"/>
          <w:sz w:val="11"/>
        </w:rPr>
        <w:t xml:space="preserve"> </w:t>
      </w:r>
      <w:r>
        <w:rPr>
          <w:w w:val="105"/>
          <w:sz w:val="11"/>
        </w:rPr>
        <w:t>igualdad</w:t>
      </w:r>
      <w:r>
        <w:rPr>
          <w:spacing w:val="-3"/>
          <w:w w:val="105"/>
          <w:sz w:val="11"/>
        </w:rPr>
        <w:t xml:space="preserve"> </w:t>
      </w:r>
      <w:r>
        <w:rPr>
          <w:w w:val="105"/>
          <w:sz w:val="11"/>
        </w:rPr>
        <w:t>de</w:t>
      </w:r>
      <w:r>
        <w:rPr>
          <w:spacing w:val="-2"/>
          <w:w w:val="105"/>
          <w:sz w:val="11"/>
        </w:rPr>
        <w:t xml:space="preserve"> </w:t>
      </w:r>
      <w:r>
        <w:rPr>
          <w:w w:val="105"/>
          <w:sz w:val="11"/>
        </w:rPr>
        <w:t>trato</w:t>
      </w:r>
      <w:r>
        <w:rPr>
          <w:spacing w:val="-3"/>
          <w:w w:val="105"/>
          <w:sz w:val="11"/>
        </w:rPr>
        <w:t xml:space="preserve"> </w:t>
      </w:r>
      <w:r>
        <w:rPr>
          <w:w w:val="105"/>
          <w:sz w:val="11"/>
        </w:rPr>
        <w:t>“con</w:t>
      </w:r>
      <w:r>
        <w:rPr>
          <w:spacing w:val="-2"/>
          <w:w w:val="105"/>
          <w:sz w:val="11"/>
        </w:rPr>
        <w:t xml:space="preserve"> </w:t>
      </w:r>
      <w:r>
        <w:rPr>
          <w:w w:val="105"/>
          <w:sz w:val="11"/>
        </w:rPr>
        <w:t>miras</w:t>
      </w:r>
      <w:r>
        <w:rPr>
          <w:spacing w:val="-3"/>
          <w:w w:val="105"/>
          <w:sz w:val="11"/>
        </w:rPr>
        <w:t xml:space="preserve"> </w:t>
      </w:r>
      <w:r>
        <w:rPr>
          <w:w w:val="105"/>
          <w:sz w:val="11"/>
        </w:rPr>
        <w:t>a</w:t>
      </w:r>
      <w:r>
        <w:rPr>
          <w:spacing w:val="-3"/>
          <w:w w:val="105"/>
          <w:sz w:val="11"/>
        </w:rPr>
        <w:t xml:space="preserve"> </w:t>
      </w:r>
      <w:r>
        <w:rPr>
          <w:w w:val="105"/>
          <w:sz w:val="11"/>
        </w:rPr>
        <w:t>garantizar</w:t>
      </w:r>
      <w:r>
        <w:rPr>
          <w:spacing w:val="-2"/>
          <w:w w:val="105"/>
          <w:sz w:val="11"/>
        </w:rPr>
        <w:t xml:space="preserve"> </w:t>
      </w:r>
      <w:r>
        <w:rPr>
          <w:w w:val="105"/>
          <w:sz w:val="11"/>
        </w:rPr>
        <w:t>la</w:t>
      </w:r>
      <w:r>
        <w:rPr>
          <w:spacing w:val="-3"/>
          <w:w w:val="105"/>
          <w:sz w:val="11"/>
        </w:rPr>
        <w:t xml:space="preserve"> </w:t>
      </w:r>
      <w:r>
        <w:rPr>
          <w:w w:val="105"/>
          <w:sz w:val="11"/>
        </w:rPr>
        <w:t>plena</w:t>
      </w:r>
      <w:r>
        <w:rPr>
          <w:spacing w:val="-2"/>
          <w:w w:val="105"/>
          <w:sz w:val="11"/>
        </w:rPr>
        <w:t xml:space="preserve"> </w:t>
      </w:r>
      <w:r>
        <w:rPr>
          <w:w w:val="105"/>
          <w:sz w:val="11"/>
        </w:rPr>
        <w:t>igualdad</w:t>
      </w:r>
      <w:r>
        <w:rPr>
          <w:spacing w:val="-3"/>
          <w:w w:val="105"/>
          <w:sz w:val="11"/>
        </w:rPr>
        <w:t xml:space="preserve"> </w:t>
      </w:r>
      <w:r>
        <w:rPr>
          <w:w w:val="105"/>
          <w:sz w:val="11"/>
        </w:rPr>
        <w:t>en</w:t>
      </w:r>
      <w:r>
        <w:rPr>
          <w:spacing w:val="-2"/>
          <w:w w:val="105"/>
          <w:sz w:val="11"/>
        </w:rPr>
        <w:t xml:space="preserve"> </w:t>
      </w:r>
      <w:r>
        <w:rPr>
          <w:w w:val="105"/>
          <w:sz w:val="11"/>
        </w:rPr>
        <w:t>la</w:t>
      </w:r>
      <w:r>
        <w:rPr>
          <w:spacing w:val="-3"/>
          <w:w w:val="105"/>
          <w:sz w:val="11"/>
        </w:rPr>
        <w:t xml:space="preserve"> </w:t>
      </w:r>
      <w:r>
        <w:rPr>
          <w:w w:val="105"/>
          <w:sz w:val="11"/>
        </w:rPr>
        <w:t>práctica”.</w:t>
      </w:r>
      <w:r>
        <w:rPr>
          <w:spacing w:val="-2"/>
          <w:w w:val="105"/>
          <w:sz w:val="11"/>
        </w:rPr>
        <w:t xml:space="preserve"> </w:t>
      </w:r>
      <w:r>
        <w:rPr>
          <w:w w:val="105"/>
          <w:sz w:val="11"/>
        </w:rPr>
        <w:t>Ver</w:t>
      </w:r>
      <w:r>
        <w:rPr>
          <w:spacing w:val="-2"/>
          <w:w w:val="105"/>
          <w:sz w:val="11"/>
        </w:rPr>
        <w:t xml:space="preserve"> </w:t>
      </w:r>
      <w:r>
        <w:rPr>
          <w:spacing w:val="-5"/>
          <w:w w:val="105"/>
          <w:sz w:val="11"/>
        </w:rPr>
        <w:t>por</w:t>
      </w:r>
    </w:p>
    <w:p w14:paraId="6B41761A" w14:textId="77777777" w:rsidR="0014798C" w:rsidRDefault="004E1F0B">
      <w:pPr>
        <w:spacing w:before="56" w:line="312" w:lineRule="auto"/>
        <w:ind w:left="1366" w:right="1680" w:firstLine="1"/>
        <w:rPr>
          <w:sz w:val="12"/>
        </w:rPr>
      </w:pPr>
      <w:r>
        <w:rPr>
          <w:sz w:val="12"/>
        </w:rPr>
        <w:t>Por</w:t>
      </w:r>
      <w:r>
        <w:rPr>
          <w:spacing w:val="-5"/>
          <w:sz w:val="12"/>
        </w:rPr>
        <w:t xml:space="preserve"> </w:t>
      </w:r>
      <w:r>
        <w:rPr>
          <w:sz w:val="12"/>
        </w:rPr>
        <w:t>ejemplo,</w:t>
      </w:r>
      <w:r>
        <w:rPr>
          <w:spacing w:val="-5"/>
          <w:sz w:val="12"/>
        </w:rPr>
        <w:t xml:space="preserve"> </w:t>
      </w:r>
      <w:r>
        <w:rPr>
          <w:sz w:val="12"/>
        </w:rPr>
        <w:t>Directiva</w:t>
      </w:r>
      <w:r>
        <w:rPr>
          <w:spacing w:val="-5"/>
          <w:sz w:val="12"/>
        </w:rPr>
        <w:t xml:space="preserve"> </w:t>
      </w:r>
      <w:r>
        <w:rPr>
          <w:sz w:val="12"/>
        </w:rPr>
        <w:t>2000/78/CE</w:t>
      </w:r>
      <w:r>
        <w:rPr>
          <w:spacing w:val="-5"/>
          <w:sz w:val="12"/>
        </w:rPr>
        <w:t xml:space="preserve"> </w:t>
      </w:r>
      <w:r>
        <w:rPr>
          <w:sz w:val="12"/>
        </w:rPr>
        <w:t>del</w:t>
      </w:r>
      <w:r>
        <w:rPr>
          <w:spacing w:val="-5"/>
          <w:sz w:val="12"/>
        </w:rPr>
        <w:t xml:space="preserve"> </w:t>
      </w:r>
      <w:r>
        <w:rPr>
          <w:sz w:val="12"/>
        </w:rPr>
        <w:t>Consejo,</w:t>
      </w:r>
      <w:r>
        <w:rPr>
          <w:spacing w:val="-5"/>
          <w:sz w:val="12"/>
        </w:rPr>
        <w:t xml:space="preserve"> </w:t>
      </w:r>
      <w:r>
        <w:rPr>
          <w:sz w:val="12"/>
        </w:rPr>
        <w:t>de</w:t>
      </w:r>
      <w:r>
        <w:rPr>
          <w:spacing w:val="-5"/>
          <w:sz w:val="12"/>
        </w:rPr>
        <w:t xml:space="preserve"> </w:t>
      </w:r>
      <w:r>
        <w:rPr>
          <w:sz w:val="12"/>
        </w:rPr>
        <w:t>27</w:t>
      </w:r>
      <w:r>
        <w:rPr>
          <w:spacing w:val="-5"/>
          <w:sz w:val="12"/>
        </w:rPr>
        <w:t xml:space="preserve"> </w:t>
      </w:r>
      <w:r>
        <w:rPr>
          <w:sz w:val="12"/>
        </w:rPr>
        <w:t>de</w:t>
      </w:r>
      <w:r>
        <w:rPr>
          <w:spacing w:val="-5"/>
          <w:sz w:val="12"/>
        </w:rPr>
        <w:t xml:space="preserve"> </w:t>
      </w:r>
      <w:r>
        <w:rPr>
          <w:sz w:val="12"/>
        </w:rPr>
        <w:t>noviembre</w:t>
      </w:r>
      <w:r>
        <w:rPr>
          <w:spacing w:val="-5"/>
          <w:sz w:val="12"/>
        </w:rPr>
        <w:t xml:space="preserve"> </w:t>
      </w:r>
      <w:r>
        <w:rPr>
          <w:sz w:val="12"/>
        </w:rPr>
        <w:t>de</w:t>
      </w:r>
      <w:r>
        <w:rPr>
          <w:spacing w:val="-5"/>
          <w:sz w:val="12"/>
        </w:rPr>
        <w:t xml:space="preserve"> </w:t>
      </w:r>
      <w:r>
        <w:rPr>
          <w:sz w:val="12"/>
        </w:rPr>
        <w:t>2000,</w:t>
      </w:r>
      <w:r>
        <w:rPr>
          <w:spacing w:val="-5"/>
          <w:sz w:val="12"/>
        </w:rPr>
        <w:t xml:space="preserve"> </w:t>
      </w:r>
      <w:r>
        <w:rPr>
          <w:sz w:val="12"/>
        </w:rPr>
        <w:t>por</w:t>
      </w:r>
      <w:r>
        <w:rPr>
          <w:spacing w:val="-5"/>
          <w:sz w:val="12"/>
        </w:rPr>
        <w:t xml:space="preserve"> </w:t>
      </w:r>
      <w:r>
        <w:rPr>
          <w:sz w:val="12"/>
        </w:rPr>
        <w:t>la</w:t>
      </w:r>
      <w:r>
        <w:rPr>
          <w:spacing w:val="-5"/>
          <w:sz w:val="12"/>
        </w:rPr>
        <w:t xml:space="preserve"> </w:t>
      </w:r>
      <w:r>
        <w:rPr>
          <w:sz w:val="12"/>
        </w:rPr>
        <w:t>que</w:t>
      </w:r>
      <w:r>
        <w:rPr>
          <w:spacing w:val="-5"/>
          <w:sz w:val="12"/>
        </w:rPr>
        <w:t xml:space="preserve"> </w:t>
      </w:r>
      <w:r>
        <w:rPr>
          <w:sz w:val="12"/>
        </w:rPr>
        <w:t>se</w:t>
      </w:r>
      <w:r>
        <w:rPr>
          <w:spacing w:val="-5"/>
          <w:sz w:val="12"/>
        </w:rPr>
        <w:t xml:space="preserve"> </w:t>
      </w:r>
      <w:r>
        <w:rPr>
          <w:sz w:val="12"/>
        </w:rPr>
        <w:t>establece</w:t>
      </w:r>
      <w:r>
        <w:rPr>
          <w:spacing w:val="-5"/>
          <w:sz w:val="12"/>
        </w:rPr>
        <w:t xml:space="preserve"> </w:t>
      </w:r>
      <w:r>
        <w:rPr>
          <w:sz w:val="12"/>
        </w:rPr>
        <w:t>un</w:t>
      </w:r>
      <w:r>
        <w:rPr>
          <w:spacing w:val="-5"/>
          <w:sz w:val="12"/>
        </w:rPr>
        <w:t xml:space="preserve"> </w:t>
      </w:r>
      <w:r>
        <w:rPr>
          <w:sz w:val="12"/>
        </w:rPr>
        <w:t>marco</w:t>
      </w:r>
      <w:r>
        <w:rPr>
          <w:spacing w:val="-5"/>
          <w:sz w:val="12"/>
        </w:rPr>
        <w:t xml:space="preserve"> </w:t>
      </w:r>
      <w:r>
        <w:rPr>
          <w:sz w:val="12"/>
        </w:rPr>
        <w:t>general</w:t>
      </w:r>
      <w:r>
        <w:rPr>
          <w:spacing w:val="-5"/>
          <w:sz w:val="12"/>
        </w:rPr>
        <w:t xml:space="preserve"> </w:t>
      </w:r>
      <w:r>
        <w:rPr>
          <w:sz w:val="12"/>
        </w:rPr>
        <w:t>para</w:t>
      </w:r>
      <w:r>
        <w:rPr>
          <w:spacing w:val="-5"/>
          <w:sz w:val="12"/>
        </w:rPr>
        <w:t xml:space="preserve"> </w:t>
      </w:r>
      <w:r>
        <w:rPr>
          <w:sz w:val="12"/>
        </w:rPr>
        <w:t>la</w:t>
      </w:r>
      <w:r>
        <w:rPr>
          <w:spacing w:val="-5"/>
          <w:sz w:val="12"/>
        </w:rPr>
        <w:t xml:space="preserve"> </w:t>
      </w:r>
      <w:r>
        <w:rPr>
          <w:sz w:val="12"/>
        </w:rPr>
        <w:t>igualdad</w:t>
      </w:r>
      <w:r>
        <w:rPr>
          <w:spacing w:val="-5"/>
          <w:sz w:val="12"/>
        </w:rPr>
        <w:t xml:space="preserve"> </w:t>
      </w:r>
      <w:r>
        <w:rPr>
          <w:sz w:val="12"/>
        </w:rPr>
        <w:t>de</w:t>
      </w:r>
      <w:r>
        <w:rPr>
          <w:spacing w:val="-5"/>
          <w:sz w:val="12"/>
        </w:rPr>
        <w:t xml:space="preserve"> </w:t>
      </w:r>
      <w:r>
        <w:rPr>
          <w:sz w:val="12"/>
        </w:rPr>
        <w:t>trato</w:t>
      </w:r>
      <w:r>
        <w:rPr>
          <w:spacing w:val="-5"/>
          <w:sz w:val="12"/>
        </w:rPr>
        <w:t xml:space="preserve"> </w:t>
      </w:r>
      <w:r>
        <w:rPr>
          <w:sz w:val="12"/>
        </w:rPr>
        <w:t>en</w:t>
      </w:r>
      <w:r>
        <w:rPr>
          <w:spacing w:val="-5"/>
          <w:sz w:val="12"/>
        </w:rPr>
        <w:t xml:space="preserve"> </w:t>
      </w:r>
      <w:r>
        <w:rPr>
          <w:sz w:val="12"/>
        </w:rPr>
        <w:t>el</w:t>
      </w:r>
      <w:r>
        <w:rPr>
          <w:spacing w:val="-5"/>
          <w:sz w:val="12"/>
        </w:rPr>
        <w:t xml:space="preserve"> </w:t>
      </w:r>
      <w:r>
        <w:rPr>
          <w:sz w:val="12"/>
        </w:rPr>
        <w:t>empleo</w:t>
      </w:r>
      <w:r>
        <w:rPr>
          <w:spacing w:val="-5"/>
          <w:sz w:val="12"/>
        </w:rPr>
        <w:t xml:space="preserve"> </w:t>
      </w:r>
      <w:r>
        <w:rPr>
          <w:sz w:val="12"/>
        </w:rPr>
        <w:t>y</w:t>
      </w:r>
      <w:r>
        <w:rPr>
          <w:spacing w:val="-5"/>
          <w:sz w:val="12"/>
        </w:rPr>
        <w:t xml:space="preserve"> </w:t>
      </w:r>
      <w:r>
        <w:rPr>
          <w:sz w:val="12"/>
        </w:rPr>
        <w:t>la</w:t>
      </w:r>
      <w:r>
        <w:rPr>
          <w:spacing w:val="40"/>
          <w:sz w:val="12"/>
        </w:rPr>
        <w:t xml:space="preserve"> </w:t>
      </w:r>
      <w:r>
        <w:rPr>
          <w:sz w:val="12"/>
        </w:rPr>
        <w:t>ocupación,</w:t>
      </w:r>
      <w:r>
        <w:rPr>
          <w:spacing w:val="-5"/>
          <w:sz w:val="12"/>
        </w:rPr>
        <w:t xml:space="preserve"> </w:t>
      </w:r>
      <w:r>
        <w:rPr>
          <w:sz w:val="12"/>
        </w:rPr>
        <w:t>art.</w:t>
      </w:r>
      <w:r>
        <w:rPr>
          <w:spacing w:val="-6"/>
          <w:sz w:val="12"/>
        </w:rPr>
        <w:t xml:space="preserve"> </w:t>
      </w:r>
      <w:r>
        <w:rPr>
          <w:sz w:val="12"/>
        </w:rPr>
        <w:t>7.</w:t>
      </w:r>
      <w:r>
        <w:rPr>
          <w:spacing w:val="-6"/>
          <w:sz w:val="12"/>
        </w:rPr>
        <w:t xml:space="preserve"> </w:t>
      </w:r>
      <w:r>
        <w:rPr>
          <w:sz w:val="12"/>
        </w:rPr>
        <w:t>Véase</w:t>
      </w:r>
      <w:r>
        <w:rPr>
          <w:spacing w:val="-6"/>
          <w:sz w:val="12"/>
        </w:rPr>
        <w:t xml:space="preserve"> </w:t>
      </w:r>
      <w:r>
        <w:rPr>
          <w:sz w:val="12"/>
        </w:rPr>
        <w:t>también</w:t>
      </w:r>
      <w:r>
        <w:rPr>
          <w:spacing w:val="-6"/>
          <w:sz w:val="12"/>
        </w:rPr>
        <w:t xml:space="preserve"> </w:t>
      </w:r>
      <w:r>
        <w:rPr>
          <w:sz w:val="12"/>
        </w:rPr>
        <w:t>Tribunal</w:t>
      </w:r>
      <w:r>
        <w:rPr>
          <w:spacing w:val="-6"/>
          <w:sz w:val="12"/>
        </w:rPr>
        <w:t xml:space="preserve"> </w:t>
      </w:r>
      <w:r>
        <w:rPr>
          <w:sz w:val="12"/>
        </w:rPr>
        <w:t>de</w:t>
      </w:r>
      <w:r>
        <w:rPr>
          <w:spacing w:val="-6"/>
          <w:sz w:val="12"/>
        </w:rPr>
        <w:t xml:space="preserve"> </w:t>
      </w:r>
      <w:r>
        <w:rPr>
          <w:sz w:val="12"/>
        </w:rPr>
        <w:t>Justicia</w:t>
      </w:r>
      <w:r>
        <w:rPr>
          <w:spacing w:val="-6"/>
          <w:sz w:val="12"/>
        </w:rPr>
        <w:t xml:space="preserve"> </w:t>
      </w:r>
      <w:r>
        <w:rPr>
          <w:sz w:val="12"/>
        </w:rPr>
        <w:t>de</w:t>
      </w:r>
      <w:r>
        <w:rPr>
          <w:spacing w:val="-6"/>
          <w:sz w:val="12"/>
        </w:rPr>
        <w:t xml:space="preserve"> </w:t>
      </w:r>
      <w:r>
        <w:rPr>
          <w:sz w:val="12"/>
        </w:rPr>
        <w:t>la</w:t>
      </w:r>
      <w:r>
        <w:rPr>
          <w:spacing w:val="-6"/>
          <w:sz w:val="12"/>
        </w:rPr>
        <w:t xml:space="preserve"> </w:t>
      </w:r>
      <w:r>
        <w:rPr>
          <w:sz w:val="12"/>
        </w:rPr>
        <w:t>Unión</w:t>
      </w:r>
      <w:r>
        <w:rPr>
          <w:spacing w:val="-6"/>
          <w:sz w:val="12"/>
        </w:rPr>
        <w:t xml:space="preserve"> </w:t>
      </w:r>
      <w:r>
        <w:rPr>
          <w:sz w:val="12"/>
        </w:rPr>
        <w:t>Europea,</w:t>
      </w:r>
      <w:r>
        <w:rPr>
          <w:spacing w:val="-6"/>
          <w:sz w:val="12"/>
        </w:rPr>
        <w:t xml:space="preserve"> </w:t>
      </w:r>
      <w:proofErr w:type="spellStart"/>
      <w:r>
        <w:rPr>
          <w:sz w:val="12"/>
        </w:rPr>
        <w:t>Kalanke</w:t>
      </w:r>
      <w:proofErr w:type="spellEnd"/>
      <w:r>
        <w:rPr>
          <w:spacing w:val="-6"/>
          <w:sz w:val="12"/>
        </w:rPr>
        <w:t xml:space="preserve"> </w:t>
      </w:r>
      <w:r>
        <w:rPr>
          <w:sz w:val="12"/>
        </w:rPr>
        <w:t>v.</w:t>
      </w:r>
      <w:r>
        <w:rPr>
          <w:spacing w:val="-6"/>
          <w:sz w:val="12"/>
        </w:rPr>
        <w:t xml:space="preserve"> </w:t>
      </w:r>
      <w:proofErr w:type="spellStart"/>
      <w:r>
        <w:rPr>
          <w:sz w:val="12"/>
        </w:rPr>
        <w:t>Freie</w:t>
      </w:r>
      <w:proofErr w:type="spellEnd"/>
      <w:r>
        <w:rPr>
          <w:spacing w:val="-6"/>
          <w:sz w:val="12"/>
        </w:rPr>
        <w:t xml:space="preserve"> </w:t>
      </w:r>
      <w:proofErr w:type="spellStart"/>
      <w:r>
        <w:rPr>
          <w:sz w:val="12"/>
        </w:rPr>
        <w:t>Hansestadt</w:t>
      </w:r>
      <w:proofErr w:type="spellEnd"/>
      <w:r>
        <w:rPr>
          <w:spacing w:val="-5"/>
          <w:sz w:val="12"/>
        </w:rPr>
        <w:t xml:space="preserve"> </w:t>
      </w:r>
      <w:r>
        <w:rPr>
          <w:sz w:val="12"/>
        </w:rPr>
        <w:t>Bremen,</w:t>
      </w:r>
      <w:r>
        <w:rPr>
          <w:spacing w:val="-6"/>
          <w:sz w:val="12"/>
        </w:rPr>
        <w:t xml:space="preserve"> </w:t>
      </w:r>
      <w:r>
        <w:rPr>
          <w:sz w:val="12"/>
        </w:rPr>
        <w:t>asunto</w:t>
      </w:r>
      <w:r>
        <w:rPr>
          <w:spacing w:val="-6"/>
          <w:sz w:val="12"/>
        </w:rPr>
        <w:t xml:space="preserve"> </w:t>
      </w:r>
      <w:r>
        <w:rPr>
          <w:sz w:val="12"/>
        </w:rPr>
        <w:t>C-450/93,</w:t>
      </w:r>
      <w:r>
        <w:rPr>
          <w:spacing w:val="-6"/>
          <w:sz w:val="12"/>
        </w:rPr>
        <w:t xml:space="preserve"> </w:t>
      </w:r>
      <w:r>
        <w:rPr>
          <w:sz w:val="12"/>
        </w:rPr>
        <w:t>sentencia</w:t>
      </w:r>
      <w:r>
        <w:rPr>
          <w:spacing w:val="-6"/>
          <w:sz w:val="12"/>
        </w:rPr>
        <w:t xml:space="preserve"> </w:t>
      </w:r>
      <w:r>
        <w:rPr>
          <w:sz w:val="12"/>
        </w:rPr>
        <w:t>de</w:t>
      </w:r>
      <w:r>
        <w:rPr>
          <w:spacing w:val="-6"/>
          <w:sz w:val="12"/>
        </w:rPr>
        <w:t xml:space="preserve"> </w:t>
      </w:r>
      <w:r>
        <w:rPr>
          <w:sz w:val="12"/>
        </w:rPr>
        <w:t>17</w:t>
      </w:r>
      <w:r>
        <w:rPr>
          <w:spacing w:val="-6"/>
          <w:sz w:val="12"/>
        </w:rPr>
        <w:t xml:space="preserve"> </w:t>
      </w:r>
      <w:r>
        <w:rPr>
          <w:sz w:val="12"/>
        </w:rPr>
        <w:t>de</w:t>
      </w:r>
      <w:r>
        <w:rPr>
          <w:spacing w:val="-6"/>
          <w:sz w:val="12"/>
        </w:rPr>
        <w:t xml:space="preserve"> </w:t>
      </w:r>
      <w:r>
        <w:rPr>
          <w:sz w:val="12"/>
        </w:rPr>
        <w:t>octubre</w:t>
      </w:r>
      <w:r>
        <w:rPr>
          <w:spacing w:val="-6"/>
          <w:sz w:val="12"/>
        </w:rPr>
        <w:t xml:space="preserve"> </w:t>
      </w:r>
      <w:r>
        <w:rPr>
          <w:sz w:val="12"/>
        </w:rPr>
        <w:t>de</w:t>
      </w:r>
      <w:r>
        <w:rPr>
          <w:spacing w:val="40"/>
          <w:sz w:val="12"/>
        </w:rPr>
        <w:t xml:space="preserve"> </w:t>
      </w:r>
      <w:r>
        <w:rPr>
          <w:sz w:val="12"/>
        </w:rPr>
        <w:t>1995,</w:t>
      </w:r>
      <w:r>
        <w:rPr>
          <w:spacing w:val="-5"/>
          <w:sz w:val="12"/>
        </w:rPr>
        <w:t xml:space="preserve"> </w:t>
      </w:r>
      <w:r>
        <w:rPr>
          <w:sz w:val="12"/>
        </w:rPr>
        <w:t>párr.</w:t>
      </w:r>
      <w:r>
        <w:rPr>
          <w:spacing w:val="-5"/>
          <w:sz w:val="12"/>
        </w:rPr>
        <w:t xml:space="preserve"> </w:t>
      </w:r>
      <w:r>
        <w:rPr>
          <w:sz w:val="12"/>
        </w:rPr>
        <w:t>18.</w:t>
      </w:r>
      <w:r>
        <w:rPr>
          <w:spacing w:val="-5"/>
          <w:sz w:val="12"/>
        </w:rPr>
        <w:t xml:space="preserve"> </w:t>
      </w:r>
      <w:r>
        <w:rPr>
          <w:sz w:val="12"/>
        </w:rPr>
        <w:t>En</w:t>
      </w:r>
      <w:r>
        <w:rPr>
          <w:spacing w:val="-5"/>
          <w:sz w:val="12"/>
        </w:rPr>
        <w:t xml:space="preserve"> </w:t>
      </w:r>
      <w:r>
        <w:rPr>
          <w:sz w:val="12"/>
        </w:rPr>
        <w:t>el</w:t>
      </w:r>
      <w:r>
        <w:rPr>
          <w:spacing w:val="-5"/>
          <w:sz w:val="12"/>
        </w:rPr>
        <w:t xml:space="preserve"> </w:t>
      </w:r>
      <w:r>
        <w:rPr>
          <w:sz w:val="12"/>
        </w:rPr>
        <w:t>orden</w:t>
      </w:r>
      <w:r>
        <w:rPr>
          <w:spacing w:val="-5"/>
          <w:sz w:val="12"/>
        </w:rPr>
        <w:t xml:space="preserve"> </w:t>
      </w:r>
      <w:r>
        <w:rPr>
          <w:sz w:val="12"/>
        </w:rPr>
        <w:t>regional</w:t>
      </w:r>
      <w:r>
        <w:rPr>
          <w:spacing w:val="-5"/>
          <w:sz w:val="12"/>
        </w:rPr>
        <w:t xml:space="preserve"> </w:t>
      </w:r>
      <w:r>
        <w:rPr>
          <w:sz w:val="12"/>
        </w:rPr>
        <w:t>europeo</w:t>
      </w:r>
      <w:r>
        <w:rPr>
          <w:spacing w:val="-5"/>
          <w:sz w:val="12"/>
        </w:rPr>
        <w:t xml:space="preserve"> </w:t>
      </w:r>
      <w:r>
        <w:rPr>
          <w:sz w:val="12"/>
        </w:rPr>
        <w:t>de</w:t>
      </w:r>
      <w:r>
        <w:rPr>
          <w:spacing w:val="-5"/>
          <w:sz w:val="12"/>
        </w:rPr>
        <w:t xml:space="preserve"> </w:t>
      </w:r>
      <w:r>
        <w:rPr>
          <w:sz w:val="12"/>
        </w:rPr>
        <w:t>derechos</w:t>
      </w:r>
      <w:r>
        <w:rPr>
          <w:spacing w:val="-5"/>
          <w:sz w:val="12"/>
        </w:rPr>
        <w:t xml:space="preserve"> </w:t>
      </w:r>
      <w:r>
        <w:rPr>
          <w:sz w:val="12"/>
        </w:rPr>
        <w:t>humanos,</w:t>
      </w:r>
      <w:r>
        <w:rPr>
          <w:spacing w:val="-5"/>
          <w:sz w:val="12"/>
        </w:rPr>
        <w:t xml:space="preserve"> </w:t>
      </w:r>
      <w:r>
        <w:rPr>
          <w:sz w:val="12"/>
        </w:rPr>
        <w:t>el</w:t>
      </w:r>
      <w:r>
        <w:rPr>
          <w:spacing w:val="-5"/>
          <w:sz w:val="12"/>
        </w:rPr>
        <w:t xml:space="preserve"> </w:t>
      </w:r>
      <w:r>
        <w:rPr>
          <w:sz w:val="12"/>
        </w:rPr>
        <w:t>Convenio</w:t>
      </w:r>
      <w:r>
        <w:rPr>
          <w:spacing w:val="-5"/>
          <w:sz w:val="12"/>
        </w:rPr>
        <w:t xml:space="preserve"> </w:t>
      </w:r>
      <w:r>
        <w:rPr>
          <w:sz w:val="12"/>
        </w:rPr>
        <w:t>Marco</w:t>
      </w:r>
      <w:r>
        <w:rPr>
          <w:spacing w:val="-5"/>
          <w:sz w:val="12"/>
        </w:rPr>
        <w:t xml:space="preserve"> </w:t>
      </w:r>
      <w:r>
        <w:rPr>
          <w:sz w:val="12"/>
        </w:rPr>
        <w:t>para</w:t>
      </w:r>
      <w:r>
        <w:rPr>
          <w:spacing w:val="-5"/>
          <w:sz w:val="12"/>
        </w:rPr>
        <w:t xml:space="preserve"> </w:t>
      </w:r>
      <w:r>
        <w:rPr>
          <w:sz w:val="12"/>
        </w:rPr>
        <w:t>la</w:t>
      </w:r>
      <w:r>
        <w:rPr>
          <w:spacing w:val="-5"/>
          <w:sz w:val="12"/>
        </w:rPr>
        <w:t xml:space="preserve"> </w:t>
      </w:r>
      <w:r>
        <w:rPr>
          <w:sz w:val="12"/>
        </w:rPr>
        <w:t>Protección</w:t>
      </w:r>
      <w:r>
        <w:rPr>
          <w:spacing w:val="-5"/>
          <w:sz w:val="12"/>
        </w:rPr>
        <w:t xml:space="preserve"> </w:t>
      </w:r>
      <w:r>
        <w:rPr>
          <w:sz w:val="12"/>
        </w:rPr>
        <w:t>de</w:t>
      </w:r>
      <w:r>
        <w:rPr>
          <w:spacing w:val="-5"/>
          <w:sz w:val="12"/>
        </w:rPr>
        <w:t xml:space="preserve"> </w:t>
      </w:r>
      <w:r>
        <w:rPr>
          <w:sz w:val="12"/>
        </w:rPr>
        <w:t>las</w:t>
      </w:r>
      <w:r>
        <w:rPr>
          <w:spacing w:val="-5"/>
          <w:sz w:val="12"/>
        </w:rPr>
        <w:t xml:space="preserve"> </w:t>
      </w:r>
      <w:r>
        <w:rPr>
          <w:sz w:val="12"/>
        </w:rPr>
        <w:t>Minorías</w:t>
      </w:r>
      <w:r>
        <w:rPr>
          <w:spacing w:val="-5"/>
          <w:sz w:val="12"/>
        </w:rPr>
        <w:t xml:space="preserve"> </w:t>
      </w:r>
      <w:r>
        <w:rPr>
          <w:sz w:val="12"/>
        </w:rPr>
        <w:t>Nacionales</w:t>
      </w:r>
      <w:r>
        <w:rPr>
          <w:spacing w:val="-5"/>
          <w:sz w:val="12"/>
        </w:rPr>
        <w:t xml:space="preserve"> </w:t>
      </w:r>
      <w:r>
        <w:rPr>
          <w:sz w:val="12"/>
        </w:rPr>
        <w:t>ha</w:t>
      </w:r>
      <w:r>
        <w:rPr>
          <w:spacing w:val="-5"/>
          <w:sz w:val="12"/>
        </w:rPr>
        <w:t xml:space="preserve"> </w:t>
      </w:r>
      <w:r>
        <w:rPr>
          <w:sz w:val="12"/>
        </w:rPr>
        <w:t>establecido</w:t>
      </w:r>
      <w:r>
        <w:rPr>
          <w:spacing w:val="-5"/>
          <w:sz w:val="12"/>
        </w:rPr>
        <w:t xml:space="preserve"> </w:t>
      </w:r>
      <w:r>
        <w:rPr>
          <w:sz w:val="12"/>
        </w:rPr>
        <w:t>una</w:t>
      </w:r>
      <w:r>
        <w:rPr>
          <w:spacing w:val="-5"/>
          <w:sz w:val="12"/>
        </w:rPr>
        <w:t xml:space="preserve"> </w:t>
      </w:r>
      <w:r>
        <w:rPr>
          <w:sz w:val="12"/>
        </w:rPr>
        <w:t>norma</w:t>
      </w:r>
      <w:r>
        <w:rPr>
          <w:spacing w:val="40"/>
          <w:sz w:val="12"/>
        </w:rPr>
        <w:t xml:space="preserve"> </w:t>
      </w:r>
      <w:r>
        <w:rPr>
          <w:sz w:val="12"/>
        </w:rPr>
        <w:t>más</w:t>
      </w:r>
      <w:r>
        <w:rPr>
          <w:spacing w:val="-5"/>
          <w:sz w:val="12"/>
        </w:rPr>
        <w:t xml:space="preserve"> </w:t>
      </w:r>
      <w:r>
        <w:rPr>
          <w:sz w:val="12"/>
        </w:rPr>
        <w:t>estricta,</w:t>
      </w:r>
      <w:r>
        <w:rPr>
          <w:spacing w:val="-5"/>
          <w:sz w:val="12"/>
        </w:rPr>
        <w:t xml:space="preserve"> </w:t>
      </w:r>
      <w:r>
        <w:rPr>
          <w:sz w:val="12"/>
        </w:rPr>
        <w:t>estableciendo,</w:t>
      </w:r>
      <w:r>
        <w:rPr>
          <w:spacing w:val="-5"/>
          <w:sz w:val="12"/>
        </w:rPr>
        <w:t xml:space="preserve"> </w:t>
      </w:r>
      <w:r>
        <w:rPr>
          <w:sz w:val="12"/>
        </w:rPr>
        <w:t>en</w:t>
      </w:r>
      <w:r>
        <w:rPr>
          <w:spacing w:val="-5"/>
          <w:sz w:val="12"/>
        </w:rPr>
        <w:t xml:space="preserve"> </w:t>
      </w:r>
      <w:r>
        <w:rPr>
          <w:sz w:val="12"/>
        </w:rPr>
        <w:t>su</w:t>
      </w:r>
      <w:r>
        <w:rPr>
          <w:spacing w:val="-5"/>
          <w:sz w:val="12"/>
        </w:rPr>
        <w:t xml:space="preserve"> </w:t>
      </w:r>
      <w:r>
        <w:rPr>
          <w:sz w:val="12"/>
        </w:rPr>
        <w:t>artículo</w:t>
      </w:r>
      <w:r>
        <w:rPr>
          <w:spacing w:val="-5"/>
          <w:sz w:val="12"/>
        </w:rPr>
        <w:t xml:space="preserve"> </w:t>
      </w:r>
      <w:r>
        <w:rPr>
          <w:sz w:val="12"/>
        </w:rPr>
        <w:t>4</w:t>
      </w:r>
      <w:r>
        <w:rPr>
          <w:spacing w:val="-5"/>
          <w:sz w:val="12"/>
        </w:rPr>
        <w:t xml:space="preserve"> </w:t>
      </w:r>
      <w:r>
        <w:rPr>
          <w:sz w:val="12"/>
        </w:rPr>
        <w:t>(2),</w:t>
      </w:r>
      <w:r>
        <w:rPr>
          <w:spacing w:val="-5"/>
          <w:sz w:val="12"/>
        </w:rPr>
        <w:t xml:space="preserve"> </w:t>
      </w:r>
      <w:r>
        <w:rPr>
          <w:sz w:val="12"/>
        </w:rPr>
        <w:t>que:</w:t>
      </w:r>
      <w:r>
        <w:rPr>
          <w:spacing w:val="-5"/>
          <w:sz w:val="12"/>
        </w:rPr>
        <w:t xml:space="preserve"> </w:t>
      </w:r>
      <w:r>
        <w:rPr>
          <w:sz w:val="12"/>
        </w:rPr>
        <w:t>“Las</w:t>
      </w:r>
      <w:r>
        <w:rPr>
          <w:spacing w:val="-5"/>
          <w:sz w:val="12"/>
        </w:rPr>
        <w:t xml:space="preserve"> </w:t>
      </w:r>
      <w:r>
        <w:rPr>
          <w:sz w:val="12"/>
        </w:rPr>
        <w:t>Partes</w:t>
      </w:r>
      <w:r>
        <w:rPr>
          <w:spacing w:val="-5"/>
          <w:sz w:val="12"/>
        </w:rPr>
        <w:t xml:space="preserve"> </w:t>
      </w:r>
      <w:r>
        <w:rPr>
          <w:sz w:val="12"/>
        </w:rPr>
        <w:t>se</w:t>
      </w:r>
      <w:r>
        <w:rPr>
          <w:spacing w:val="-5"/>
          <w:sz w:val="12"/>
        </w:rPr>
        <w:t xml:space="preserve"> </w:t>
      </w:r>
      <w:r>
        <w:rPr>
          <w:sz w:val="12"/>
        </w:rPr>
        <w:t>comprometen</w:t>
      </w:r>
      <w:r>
        <w:rPr>
          <w:spacing w:val="-5"/>
          <w:sz w:val="12"/>
        </w:rPr>
        <w:t xml:space="preserve"> </w:t>
      </w:r>
      <w:r>
        <w:rPr>
          <w:sz w:val="12"/>
        </w:rPr>
        <w:t>a</w:t>
      </w:r>
      <w:r>
        <w:rPr>
          <w:spacing w:val="-5"/>
          <w:sz w:val="12"/>
        </w:rPr>
        <w:t xml:space="preserve"> </w:t>
      </w:r>
      <w:r>
        <w:rPr>
          <w:sz w:val="12"/>
        </w:rPr>
        <w:t>adoptar,</w:t>
      </w:r>
      <w:r>
        <w:rPr>
          <w:spacing w:val="-5"/>
          <w:sz w:val="12"/>
        </w:rPr>
        <w:t xml:space="preserve"> </w:t>
      </w:r>
      <w:r>
        <w:rPr>
          <w:sz w:val="12"/>
        </w:rPr>
        <w:t>cuando</w:t>
      </w:r>
      <w:r>
        <w:rPr>
          <w:spacing w:val="-5"/>
          <w:sz w:val="12"/>
        </w:rPr>
        <w:t xml:space="preserve"> </w:t>
      </w:r>
      <w:r>
        <w:rPr>
          <w:sz w:val="12"/>
        </w:rPr>
        <w:t>sea</w:t>
      </w:r>
      <w:r>
        <w:rPr>
          <w:spacing w:val="-5"/>
          <w:sz w:val="12"/>
        </w:rPr>
        <w:t xml:space="preserve"> </w:t>
      </w:r>
      <w:r>
        <w:rPr>
          <w:sz w:val="12"/>
        </w:rPr>
        <w:t>necesario,</w:t>
      </w:r>
      <w:r>
        <w:rPr>
          <w:spacing w:val="-5"/>
          <w:sz w:val="12"/>
        </w:rPr>
        <w:t xml:space="preserve"> </w:t>
      </w:r>
      <w:r>
        <w:rPr>
          <w:sz w:val="12"/>
        </w:rPr>
        <w:t>medidas</w:t>
      </w:r>
      <w:r>
        <w:rPr>
          <w:spacing w:val="-5"/>
          <w:sz w:val="12"/>
        </w:rPr>
        <w:t xml:space="preserve"> </w:t>
      </w:r>
      <w:r>
        <w:rPr>
          <w:sz w:val="12"/>
        </w:rPr>
        <w:t>adecuadas</w:t>
      </w:r>
      <w:r>
        <w:rPr>
          <w:spacing w:val="-5"/>
          <w:sz w:val="12"/>
        </w:rPr>
        <w:t xml:space="preserve"> </w:t>
      </w:r>
      <w:r>
        <w:rPr>
          <w:sz w:val="12"/>
        </w:rPr>
        <w:t>con</w:t>
      </w:r>
      <w:r>
        <w:rPr>
          <w:spacing w:val="-5"/>
          <w:sz w:val="12"/>
        </w:rPr>
        <w:t xml:space="preserve"> </w:t>
      </w:r>
      <w:r>
        <w:rPr>
          <w:sz w:val="12"/>
        </w:rPr>
        <w:t>el</w:t>
      </w:r>
      <w:r>
        <w:rPr>
          <w:spacing w:val="-5"/>
          <w:sz w:val="12"/>
        </w:rPr>
        <w:t xml:space="preserve"> </w:t>
      </w:r>
      <w:r>
        <w:rPr>
          <w:sz w:val="12"/>
        </w:rPr>
        <w:t>fin</w:t>
      </w:r>
      <w:r>
        <w:rPr>
          <w:spacing w:val="-5"/>
          <w:sz w:val="12"/>
        </w:rPr>
        <w:t xml:space="preserve"> </w:t>
      </w:r>
      <w:r>
        <w:rPr>
          <w:sz w:val="12"/>
        </w:rPr>
        <w:t>de</w:t>
      </w:r>
      <w:r>
        <w:rPr>
          <w:spacing w:val="-5"/>
          <w:sz w:val="12"/>
        </w:rPr>
        <w:t xml:space="preserve"> </w:t>
      </w:r>
      <w:r>
        <w:rPr>
          <w:sz w:val="12"/>
        </w:rPr>
        <w:t>promover,</w:t>
      </w:r>
      <w:r>
        <w:rPr>
          <w:spacing w:val="-5"/>
          <w:sz w:val="12"/>
        </w:rPr>
        <w:t xml:space="preserve"> </w:t>
      </w:r>
      <w:r>
        <w:rPr>
          <w:sz w:val="12"/>
        </w:rPr>
        <w:t>en</w:t>
      </w:r>
      <w:r>
        <w:rPr>
          <w:spacing w:val="40"/>
          <w:sz w:val="12"/>
        </w:rPr>
        <w:t xml:space="preserve"> </w:t>
      </w:r>
      <w:r>
        <w:rPr>
          <w:sz w:val="12"/>
        </w:rPr>
        <w:t>todos</w:t>
      </w:r>
      <w:r>
        <w:rPr>
          <w:spacing w:val="-4"/>
          <w:sz w:val="12"/>
        </w:rPr>
        <w:t xml:space="preserve"> </w:t>
      </w:r>
      <w:r>
        <w:rPr>
          <w:sz w:val="12"/>
        </w:rPr>
        <w:t>los</w:t>
      </w:r>
      <w:r>
        <w:rPr>
          <w:spacing w:val="-4"/>
          <w:sz w:val="12"/>
        </w:rPr>
        <w:t xml:space="preserve"> </w:t>
      </w:r>
      <w:r>
        <w:rPr>
          <w:sz w:val="12"/>
        </w:rPr>
        <w:t>ámbitos</w:t>
      </w:r>
      <w:r>
        <w:rPr>
          <w:spacing w:val="-4"/>
          <w:sz w:val="12"/>
        </w:rPr>
        <w:t xml:space="preserve"> </w:t>
      </w:r>
      <w:r>
        <w:rPr>
          <w:sz w:val="12"/>
        </w:rPr>
        <w:t>de</w:t>
      </w:r>
      <w:r>
        <w:rPr>
          <w:spacing w:val="-4"/>
          <w:sz w:val="12"/>
        </w:rPr>
        <w:t xml:space="preserve"> </w:t>
      </w:r>
      <w:r>
        <w:rPr>
          <w:sz w:val="12"/>
        </w:rPr>
        <w:t>la</w:t>
      </w:r>
      <w:r>
        <w:rPr>
          <w:spacing w:val="-4"/>
          <w:sz w:val="12"/>
        </w:rPr>
        <w:t xml:space="preserve"> </w:t>
      </w:r>
      <w:r>
        <w:rPr>
          <w:sz w:val="12"/>
        </w:rPr>
        <w:t>vida</w:t>
      </w:r>
      <w:r>
        <w:rPr>
          <w:spacing w:val="-4"/>
          <w:sz w:val="12"/>
        </w:rPr>
        <w:t xml:space="preserve"> </w:t>
      </w:r>
      <w:r>
        <w:rPr>
          <w:sz w:val="12"/>
        </w:rPr>
        <w:t>económica,</w:t>
      </w:r>
      <w:r>
        <w:rPr>
          <w:spacing w:val="-3"/>
          <w:sz w:val="12"/>
        </w:rPr>
        <w:t xml:space="preserve"> </w:t>
      </w:r>
      <w:r>
        <w:rPr>
          <w:sz w:val="12"/>
        </w:rPr>
        <w:t>social,</w:t>
      </w:r>
      <w:r>
        <w:rPr>
          <w:spacing w:val="-4"/>
          <w:sz w:val="12"/>
        </w:rPr>
        <w:t xml:space="preserve"> </w:t>
      </w:r>
      <w:r>
        <w:rPr>
          <w:sz w:val="12"/>
        </w:rPr>
        <w:t>política</w:t>
      </w:r>
      <w:r>
        <w:rPr>
          <w:spacing w:val="-4"/>
          <w:sz w:val="12"/>
        </w:rPr>
        <w:t xml:space="preserve"> </w:t>
      </w:r>
      <w:r>
        <w:rPr>
          <w:sz w:val="12"/>
        </w:rPr>
        <w:t>y</w:t>
      </w:r>
      <w:r>
        <w:rPr>
          <w:spacing w:val="-4"/>
          <w:sz w:val="12"/>
        </w:rPr>
        <w:t xml:space="preserve"> </w:t>
      </w:r>
      <w:r>
        <w:rPr>
          <w:sz w:val="12"/>
        </w:rPr>
        <w:t>cultural,</w:t>
      </w:r>
      <w:r>
        <w:rPr>
          <w:spacing w:val="-4"/>
          <w:sz w:val="12"/>
        </w:rPr>
        <w:t xml:space="preserve"> </w:t>
      </w:r>
      <w:r>
        <w:rPr>
          <w:sz w:val="12"/>
        </w:rPr>
        <w:t>la</w:t>
      </w:r>
      <w:r>
        <w:rPr>
          <w:spacing w:val="-4"/>
          <w:sz w:val="12"/>
        </w:rPr>
        <w:t xml:space="preserve"> </w:t>
      </w:r>
      <w:r>
        <w:rPr>
          <w:sz w:val="12"/>
        </w:rPr>
        <w:t>igualdad</w:t>
      </w:r>
      <w:r>
        <w:rPr>
          <w:spacing w:val="-4"/>
          <w:sz w:val="12"/>
        </w:rPr>
        <w:t xml:space="preserve"> </w:t>
      </w:r>
      <w:r>
        <w:rPr>
          <w:sz w:val="12"/>
        </w:rPr>
        <w:t>plena</w:t>
      </w:r>
      <w:r>
        <w:rPr>
          <w:spacing w:val="-4"/>
          <w:sz w:val="12"/>
        </w:rPr>
        <w:t xml:space="preserve"> </w:t>
      </w:r>
      <w:r>
        <w:rPr>
          <w:sz w:val="12"/>
        </w:rPr>
        <w:t>y</w:t>
      </w:r>
      <w:r>
        <w:rPr>
          <w:spacing w:val="-4"/>
          <w:sz w:val="12"/>
        </w:rPr>
        <w:t xml:space="preserve"> </w:t>
      </w:r>
      <w:r>
        <w:rPr>
          <w:sz w:val="12"/>
        </w:rPr>
        <w:t>efectiva</w:t>
      </w:r>
      <w:r>
        <w:rPr>
          <w:spacing w:val="-4"/>
          <w:sz w:val="12"/>
        </w:rPr>
        <w:t xml:space="preserve"> </w:t>
      </w:r>
      <w:r>
        <w:rPr>
          <w:sz w:val="12"/>
        </w:rPr>
        <w:t>entre</w:t>
      </w:r>
      <w:r>
        <w:rPr>
          <w:spacing w:val="-4"/>
          <w:sz w:val="12"/>
        </w:rPr>
        <w:t xml:space="preserve"> </w:t>
      </w:r>
      <w:r>
        <w:rPr>
          <w:sz w:val="12"/>
        </w:rPr>
        <w:t>las</w:t>
      </w:r>
      <w:r>
        <w:rPr>
          <w:spacing w:val="-4"/>
          <w:sz w:val="12"/>
        </w:rPr>
        <w:t xml:space="preserve"> </w:t>
      </w:r>
      <w:r>
        <w:rPr>
          <w:sz w:val="12"/>
        </w:rPr>
        <w:t>personas</w:t>
      </w:r>
      <w:r>
        <w:rPr>
          <w:spacing w:val="-4"/>
          <w:sz w:val="12"/>
        </w:rPr>
        <w:t xml:space="preserve"> </w:t>
      </w:r>
      <w:r>
        <w:rPr>
          <w:sz w:val="12"/>
        </w:rPr>
        <w:t>pertenecientes</w:t>
      </w:r>
      <w:r>
        <w:rPr>
          <w:spacing w:val="-4"/>
          <w:sz w:val="12"/>
        </w:rPr>
        <w:t xml:space="preserve"> </w:t>
      </w:r>
      <w:r>
        <w:rPr>
          <w:sz w:val="12"/>
        </w:rPr>
        <w:t>a</w:t>
      </w:r>
      <w:r>
        <w:rPr>
          <w:spacing w:val="-4"/>
          <w:sz w:val="12"/>
        </w:rPr>
        <w:t xml:space="preserve"> </w:t>
      </w:r>
      <w:r>
        <w:rPr>
          <w:sz w:val="12"/>
        </w:rPr>
        <w:t>una</w:t>
      </w:r>
      <w:r>
        <w:rPr>
          <w:spacing w:val="-4"/>
          <w:sz w:val="12"/>
        </w:rPr>
        <w:t xml:space="preserve"> </w:t>
      </w:r>
      <w:r>
        <w:rPr>
          <w:sz w:val="12"/>
        </w:rPr>
        <w:t>minoría</w:t>
      </w:r>
      <w:r>
        <w:rPr>
          <w:spacing w:val="-4"/>
          <w:sz w:val="12"/>
        </w:rPr>
        <w:t xml:space="preserve"> </w:t>
      </w:r>
      <w:r>
        <w:rPr>
          <w:sz w:val="12"/>
        </w:rPr>
        <w:t>nacional</w:t>
      </w:r>
      <w:r>
        <w:rPr>
          <w:spacing w:val="-4"/>
          <w:sz w:val="12"/>
        </w:rPr>
        <w:t xml:space="preserve"> </w:t>
      </w:r>
      <w:r>
        <w:rPr>
          <w:sz w:val="12"/>
        </w:rPr>
        <w:t>y</w:t>
      </w:r>
      <w:r>
        <w:rPr>
          <w:spacing w:val="-4"/>
          <w:sz w:val="12"/>
        </w:rPr>
        <w:t xml:space="preserve"> </w:t>
      </w:r>
      <w:r>
        <w:rPr>
          <w:sz w:val="12"/>
        </w:rPr>
        <w:t>las</w:t>
      </w:r>
      <w:r>
        <w:rPr>
          <w:spacing w:val="40"/>
          <w:sz w:val="12"/>
        </w:rPr>
        <w:t xml:space="preserve"> </w:t>
      </w:r>
      <w:r>
        <w:rPr>
          <w:sz w:val="12"/>
        </w:rPr>
        <w:t>pertenecientes</w:t>
      </w:r>
      <w:r>
        <w:rPr>
          <w:spacing w:val="-8"/>
          <w:sz w:val="12"/>
        </w:rPr>
        <w:t xml:space="preserve"> </w:t>
      </w:r>
      <w:r>
        <w:rPr>
          <w:sz w:val="12"/>
        </w:rPr>
        <w:t>a</w:t>
      </w:r>
      <w:r>
        <w:rPr>
          <w:spacing w:val="-8"/>
          <w:sz w:val="12"/>
        </w:rPr>
        <w:t xml:space="preserve"> </w:t>
      </w:r>
      <w:r>
        <w:rPr>
          <w:sz w:val="12"/>
        </w:rPr>
        <w:t>la</w:t>
      </w:r>
      <w:r>
        <w:rPr>
          <w:spacing w:val="-8"/>
          <w:sz w:val="12"/>
        </w:rPr>
        <w:t xml:space="preserve"> </w:t>
      </w:r>
      <w:r>
        <w:rPr>
          <w:sz w:val="12"/>
        </w:rPr>
        <w:t>mayoría.</w:t>
      </w:r>
      <w:r>
        <w:rPr>
          <w:spacing w:val="-8"/>
          <w:sz w:val="12"/>
        </w:rPr>
        <w:t xml:space="preserve"> </w:t>
      </w:r>
      <w:r>
        <w:rPr>
          <w:sz w:val="12"/>
        </w:rPr>
        <w:t>A</w:t>
      </w:r>
      <w:r>
        <w:rPr>
          <w:spacing w:val="-8"/>
          <w:sz w:val="12"/>
        </w:rPr>
        <w:t xml:space="preserve"> </w:t>
      </w:r>
      <w:r>
        <w:rPr>
          <w:sz w:val="12"/>
        </w:rPr>
        <w:t>este</w:t>
      </w:r>
      <w:r>
        <w:rPr>
          <w:spacing w:val="-8"/>
          <w:sz w:val="12"/>
        </w:rPr>
        <w:t xml:space="preserve"> </w:t>
      </w:r>
      <w:r>
        <w:rPr>
          <w:sz w:val="12"/>
        </w:rPr>
        <w:t>respecto,</w:t>
      </w:r>
      <w:r>
        <w:rPr>
          <w:spacing w:val="-7"/>
          <w:sz w:val="12"/>
        </w:rPr>
        <w:t xml:space="preserve"> </w:t>
      </w:r>
      <w:r>
        <w:rPr>
          <w:sz w:val="12"/>
        </w:rPr>
        <w:t>tendrán</w:t>
      </w:r>
      <w:r>
        <w:rPr>
          <w:spacing w:val="-8"/>
          <w:sz w:val="12"/>
        </w:rPr>
        <w:t xml:space="preserve"> </w:t>
      </w:r>
      <w:r>
        <w:rPr>
          <w:sz w:val="12"/>
        </w:rPr>
        <w:t>debidamente</w:t>
      </w:r>
      <w:r>
        <w:rPr>
          <w:spacing w:val="-8"/>
          <w:sz w:val="12"/>
        </w:rPr>
        <w:t xml:space="preserve"> </w:t>
      </w:r>
      <w:r>
        <w:rPr>
          <w:sz w:val="12"/>
        </w:rPr>
        <w:t>en</w:t>
      </w:r>
      <w:r>
        <w:rPr>
          <w:spacing w:val="-8"/>
          <w:sz w:val="12"/>
        </w:rPr>
        <w:t xml:space="preserve"> </w:t>
      </w:r>
      <w:r>
        <w:rPr>
          <w:sz w:val="12"/>
        </w:rPr>
        <w:t>cuenta</w:t>
      </w:r>
      <w:r>
        <w:rPr>
          <w:spacing w:val="-8"/>
          <w:sz w:val="12"/>
        </w:rPr>
        <w:t xml:space="preserve"> </w:t>
      </w:r>
      <w:r>
        <w:rPr>
          <w:sz w:val="12"/>
        </w:rPr>
        <w:t>las</w:t>
      </w:r>
      <w:r>
        <w:rPr>
          <w:spacing w:val="-8"/>
          <w:sz w:val="12"/>
        </w:rPr>
        <w:t xml:space="preserve"> </w:t>
      </w:r>
      <w:r>
        <w:rPr>
          <w:sz w:val="12"/>
        </w:rPr>
        <w:t>condiciones</w:t>
      </w:r>
      <w:r>
        <w:rPr>
          <w:spacing w:val="-8"/>
          <w:sz w:val="12"/>
        </w:rPr>
        <w:t xml:space="preserve"> </w:t>
      </w:r>
      <w:r>
        <w:rPr>
          <w:sz w:val="12"/>
        </w:rPr>
        <w:t>específicas</w:t>
      </w:r>
      <w:r>
        <w:rPr>
          <w:spacing w:val="-8"/>
          <w:sz w:val="12"/>
        </w:rPr>
        <w:t xml:space="preserve"> </w:t>
      </w:r>
      <w:r>
        <w:rPr>
          <w:sz w:val="12"/>
        </w:rPr>
        <w:t>de</w:t>
      </w:r>
      <w:r>
        <w:rPr>
          <w:spacing w:val="-8"/>
          <w:sz w:val="12"/>
        </w:rPr>
        <w:t xml:space="preserve"> </w:t>
      </w:r>
      <w:r>
        <w:rPr>
          <w:sz w:val="12"/>
        </w:rPr>
        <w:t>las</w:t>
      </w:r>
      <w:r>
        <w:rPr>
          <w:spacing w:val="-8"/>
          <w:sz w:val="12"/>
        </w:rPr>
        <w:t xml:space="preserve"> </w:t>
      </w:r>
      <w:r>
        <w:rPr>
          <w:sz w:val="12"/>
        </w:rPr>
        <w:t>personas</w:t>
      </w:r>
      <w:r>
        <w:rPr>
          <w:spacing w:val="-8"/>
          <w:sz w:val="12"/>
        </w:rPr>
        <w:t xml:space="preserve"> </w:t>
      </w:r>
      <w:r>
        <w:rPr>
          <w:sz w:val="12"/>
        </w:rPr>
        <w:t>pertenecientes</w:t>
      </w:r>
      <w:r>
        <w:rPr>
          <w:spacing w:val="-8"/>
          <w:sz w:val="12"/>
        </w:rPr>
        <w:t xml:space="preserve"> </w:t>
      </w:r>
      <w:r>
        <w:rPr>
          <w:sz w:val="12"/>
        </w:rPr>
        <w:t>a</w:t>
      </w:r>
      <w:r>
        <w:rPr>
          <w:spacing w:val="-8"/>
          <w:sz w:val="12"/>
        </w:rPr>
        <w:t xml:space="preserve"> </w:t>
      </w:r>
      <w:r>
        <w:rPr>
          <w:sz w:val="12"/>
        </w:rPr>
        <w:t>minorías</w:t>
      </w:r>
      <w:r>
        <w:rPr>
          <w:spacing w:val="-8"/>
          <w:sz w:val="12"/>
        </w:rPr>
        <w:t xml:space="preserve"> </w:t>
      </w:r>
      <w:r>
        <w:rPr>
          <w:sz w:val="12"/>
        </w:rPr>
        <w:t>nacionales”.</w:t>
      </w:r>
      <w:r>
        <w:rPr>
          <w:spacing w:val="-7"/>
          <w:sz w:val="12"/>
        </w:rPr>
        <w:t xml:space="preserve"> </w:t>
      </w:r>
      <w:r>
        <w:rPr>
          <w:sz w:val="12"/>
        </w:rPr>
        <w:t>La</w:t>
      </w:r>
    </w:p>
    <w:p w14:paraId="495CC18D" w14:textId="77777777" w:rsidR="0014798C" w:rsidRDefault="004E1F0B">
      <w:pPr>
        <w:spacing w:before="2" w:line="312" w:lineRule="auto"/>
        <w:ind w:left="1366" w:right="1553"/>
        <w:rPr>
          <w:sz w:val="12"/>
        </w:rPr>
      </w:pPr>
      <w:r>
        <w:rPr>
          <w:sz w:val="12"/>
        </w:rPr>
        <w:t>Comisión</w:t>
      </w:r>
      <w:r>
        <w:rPr>
          <w:spacing w:val="-7"/>
          <w:sz w:val="12"/>
        </w:rPr>
        <w:t xml:space="preserve"> </w:t>
      </w:r>
      <w:r>
        <w:rPr>
          <w:sz w:val="12"/>
        </w:rPr>
        <w:t>Interamericana</w:t>
      </w:r>
      <w:r>
        <w:rPr>
          <w:spacing w:val="-7"/>
          <w:sz w:val="12"/>
        </w:rPr>
        <w:t xml:space="preserve"> </w:t>
      </w:r>
      <w:r>
        <w:rPr>
          <w:sz w:val="12"/>
        </w:rPr>
        <w:t>ha</w:t>
      </w:r>
      <w:r>
        <w:rPr>
          <w:spacing w:val="-7"/>
          <w:sz w:val="12"/>
        </w:rPr>
        <w:t xml:space="preserve"> </w:t>
      </w:r>
      <w:r>
        <w:rPr>
          <w:sz w:val="12"/>
        </w:rPr>
        <w:t>situado</w:t>
      </w:r>
      <w:r>
        <w:rPr>
          <w:spacing w:val="-7"/>
          <w:sz w:val="12"/>
        </w:rPr>
        <w:t xml:space="preserve"> </w:t>
      </w:r>
      <w:r>
        <w:rPr>
          <w:sz w:val="12"/>
        </w:rPr>
        <w:t>la</w:t>
      </w:r>
      <w:r>
        <w:rPr>
          <w:spacing w:val="-7"/>
          <w:sz w:val="12"/>
        </w:rPr>
        <w:t xml:space="preserve"> </w:t>
      </w:r>
      <w:r>
        <w:rPr>
          <w:sz w:val="12"/>
        </w:rPr>
        <w:t>acción</w:t>
      </w:r>
      <w:r>
        <w:rPr>
          <w:spacing w:val="-7"/>
          <w:sz w:val="12"/>
        </w:rPr>
        <w:t xml:space="preserve"> </w:t>
      </w:r>
      <w:r>
        <w:rPr>
          <w:sz w:val="12"/>
        </w:rPr>
        <w:t>positiva</w:t>
      </w:r>
      <w:r>
        <w:rPr>
          <w:spacing w:val="-7"/>
          <w:sz w:val="12"/>
        </w:rPr>
        <w:t xml:space="preserve"> </w:t>
      </w:r>
      <w:r>
        <w:rPr>
          <w:sz w:val="12"/>
        </w:rPr>
        <w:t>dentro</w:t>
      </w:r>
      <w:r>
        <w:rPr>
          <w:spacing w:val="-7"/>
          <w:sz w:val="12"/>
        </w:rPr>
        <w:t xml:space="preserve"> </w:t>
      </w:r>
      <w:r>
        <w:rPr>
          <w:sz w:val="12"/>
        </w:rPr>
        <w:t>de</w:t>
      </w:r>
      <w:r>
        <w:rPr>
          <w:spacing w:val="-7"/>
          <w:sz w:val="12"/>
        </w:rPr>
        <w:t xml:space="preserve"> </w:t>
      </w:r>
      <w:r>
        <w:rPr>
          <w:sz w:val="12"/>
        </w:rPr>
        <w:t>la</w:t>
      </w:r>
      <w:r>
        <w:rPr>
          <w:spacing w:val="-7"/>
          <w:sz w:val="12"/>
        </w:rPr>
        <w:t xml:space="preserve"> </w:t>
      </w:r>
      <w:r>
        <w:rPr>
          <w:sz w:val="12"/>
        </w:rPr>
        <w:t>necesidad</w:t>
      </w:r>
      <w:r>
        <w:rPr>
          <w:spacing w:val="-7"/>
          <w:sz w:val="12"/>
        </w:rPr>
        <w:t xml:space="preserve"> </w:t>
      </w:r>
      <w:r>
        <w:rPr>
          <w:sz w:val="12"/>
        </w:rPr>
        <w:t>de</w:t>
      </w:r>
      <w:r>
        <w:rPr>
          <w:spacing w:val="-7"/>
          <w:sz w:val="12"/>
        </w:rPr>
        <w:t xml:space="preserve"> </w:t>
      </w:r>
      <w:r>
        <w:rPr>
          <w:sz w:val="12"/>
        </w:rPr>
        <w:t>“reparar</w:t>
      </w:r>
      <w:r>
        <w:rPr>
          <w:spacing w:val="-7"/>
          <w:sz w:val="12"/>
        </w:rPr>
        <w:t xml:space="preserve"> </w:t>
      </w:r>
      <w:r>
        <w:rPr>
          <w:sz w:val="12"/>
        </w:rPr>
        <w:t>la</w:t>
      </w:r>
      <w:r>
        <w:rPr>
          <w:spacing w:val="-7"/>
          <w:sz w:val="12"/>
        </w:rPr>
        <w:t xml:space="preserve"> </w:t>
      </w:r>
      <w:r>
        <w:rPr>
          <w:sz w:val="12"/>
        </w:rPr>
        <w:t>discriminación</w:t>
      </w:r>
      <w:r>
        <w:rPr>
          <w:spacing w:val="-7"/>
          <w:sz w:val="12"/>
        </w:rPr>
        <w:t xml:space="preserve"> </w:t>
      </w:r>
      <w:r>
        <w:rPr>
          <w:sz w:val="12"/>
        </w:rPr>
        <w:t>de</w:t>
      </w:r>
      <w:r>
        <w:rPr>
          <w:spacing w:val="-7"/>
          <w:sz w:val="12"/>
        </w:rPr>
        <w:t xml:space="preserve"> </w:t>
      </w:r>
      <w:proofErr w:type="gramStart"/>
      <w:r>
        <w:rPr>
          <w:sz w:val="12"/>
        </w:rPr>
        <w:t>facto</w:t>
      </w:r>
      <w:r>
        <w:rPr>
          <w:spacing w:val="-7"/>
          <w:sz w:val="12"/>
        </w:rPr>
        <w:t xml:space="preserve"> </w:t>
      </w:r>
      <w:r>
        <w:rPr>
          <w:sz w:val="12"/>
        </w:rPr>
        <w:t>”</w:t>
      </w:r>
      <w:proofErr w:type="gramEnd"/>
      <w:r>
        <w:rPr>
          <w:spacing w:val="-7"/>
          <w:sz w:val="12"/>
        </w:rPr>
        <w:t xml:space="preserve"> </w:t>
      </w:r>
      <w:r>
        <w:rPr>
          <w:sz w:val="12"/>
        </w:rPr>
        <w:t>y</w:t>
      </w:r>
      <w:r>
        <w:rPr>
          <w:spacing w:val="-7"/>
          <w:sz w:val="12"/>
        </w:rPr>
        <w:t xml:space="preserve"> </w:t>
      </w:r>
      <w:r>
        <w:rPr>
          <w:sz w:val="12"/>
        </w:rPr>
        <w:t>“reducir</w:t>
      </w:r>
      <w:r>
        <w:rPr>
          <w:spacing w:val="-7"/>
          <w:sz w:val="12"/>
        </w:rPr>
        <w:t xml:space="preserve"> </w:t>
      </w:r>
      <w:r>
        <w:rPr>
          <w:sz w:val="12"/>
        </w:rPr>
        <w:t>las</w:t>
      </w:r>
      <w:r>
        <w:rPr>
          <w:spacing w:val="-7"/>
          <w:sz w:val="12"/>
        </w:rPr>
        <w:t xml:space="preserve"> </w:t>
      </w:r>
      <w:r>
        <w:rPr>
          <w:sz w:val="12"/>
        </w:rPr>
        <w:t>desigualdades</w:t>
      </w:r>
      <w:r>
        <w:rPr>
          <w:spacing w:val="-7"/>
          <w:sz w:val="12"/>
        </w:rPr>
        <w:t xml:space="preserve"> </w:t>
      </w:r>
      <w:r>
        <w:rPr>
          <w:sz w:val="12"/>
        </w:rPr>
        <w:t>históricas</w:t>
      </w:r>
      <w:r>
        <w:rPr>
          <w:spacing w:val="-7"/>
          <w:sz w:val="12"/>
        </w:rPr>
        <w:t xml:space="preserve"> </w:t>
      </w:r>
      <w:r>
        <w:rPr>
          <w:sz w:val="12"/>
        </w:rPr>
        <w:t>producidas</w:t>
      </w:r>
      <w:r>
        <w:rPr>
          <w:spacing w:val="40"/>
          <w:sz w:val="12"/>
        </w:rPr>
        <w:t xml:space="preserve"> </w:t>
      </w:r>
      <w:r>
        <w:rPr>
          <w:sz w:val="12"/>
        </w:rPr>
        <w:t>por</w:t>
      </w:r>
      <w:r>
        <w:rPr>
          <w:spacing w:val="-5"/>
          <w:sz w:val="12"/>
        </w:rPr>
        <w:t xml:space="preserve"> </w:t>
      </w:r>
      <w:r>
        <w:rPr>
          <w:sz w:val="12"/>
        </w:rPr>
        <w:t>prejuicios</w:t>
      </w:r>
      <w:r>
        <w:rPr>
          <w:spacing w:val="-5"/>
          <w:sz w:val="12"/>
        </w:rPr>
        <w:t xml:space="preserve"> </w:t>
      </w:r>
      <w:r>
        <w:rPr>
          <w:sz w:val="12"/>
        </w:rPr>
        <w:t>y</w:t>
      </w:r>
      <w:r>
        <w:rPr>
          <w:spacing w:val="-5"/>
          <w:sz w:val="12"/>
        </w:rPr>
        <w:t xml:space="preserve"> </w:t>
      </w:r>
      <w:r>
        <w:rPr>
          <w:sz w:val="12"/>
        </w:rPr>
        <w:t>patrones</w:t>
      </w:r>
      <w:r>
        <w:rPr>
          <w:spacing w:val="-5"/>
          <w:sz w:val="12"/>
        </w:rPr>
        <w:t xml:space="preserve"> </w:t>
      </w:r>
      <w:r>
        <w:rPr>
          <w:sz w:val="12"/>
        </w:rPr>
        <w:t>de</w:t>
      </w:r>
      <w:r>
        <w:rPr>
          <w:spacing w:val="-5"/>
          <w:sz w:val="12"/>
        </w:rPr>
        <w:t xml:space="preserve"> </w:t>
      </w:r>
      <w:r>
        <w:rPr>
          <w:sz w:val="12"/>
        </w:rPr>
        <w:t>discriminación</w:t>
      </w:r>
      <w:r>
        <w:rPr>
          <w:spacing w:val="-5"/>
          <w:sz w:val="12"/>
        </w:rPr>
        <w:t xml:space="preserve"> </w:t>
      </w:r>
      <w:r>
        <w:rPr>
          <w:sz w:val="12"/>
        </w:rPr>
        <w:t>y</w:t>
      </w:r>
      <w:r>
        <w:rPr>
          <w:spacing w:val="-5"/>
          <w:sz w:val="12"/>
        </w:rPr>
        <w:t xml:space="preserve"> </w:t>
      </w:r>
      <w:r>
        <w:rPr>
          <w:sz w:val="12"/>
        </w:rPr>
        <w:t>exclusión”.</w:t>
      </w:r>
      <w:r>
        <w:rPr>
          <w:spacing w:val="-4"/>
          <w:sz w:val="12"/>
        </w:rPr>
        <w:t xml:space="preserve"> </w:t>
      </w:r>
      <w:r>
        <w:rPr>
          <w:sz w:val="12"/>
        </w:rPr>
        <w:t>Véase</w:t>
      </w:r>
      <w:r>
        <w:rPr>
          <w:spacing w:val="-5"/>
          <w:sz w:val="12"/>
        </w:rPr>
        <w:t xml:space="preserve"> </w:t>
      </w:r>
      <w:r>
        <w:rPr>
          <w:sz w:val="12"/>
        </w:rPr>
        <w:t>Comisión</w:t>
      </w:r>
      <w:r>
        <w:rPr>
          <w:spacing w:val="-5"/>
          <w:sz w:val="12"/>
        </w:rPr>
        <w:t xml:space="preserve"> </w:t>
      </w:r>
      <w:r>
        <w:rPr>
          <w:sz w:val="12"/>
        </w:rPr>
        <w:t>Interamericana</w:t>
      </w:r>
      <w:r>
        <w:rPr>
          <w:spacing w:val="-5"/>
          <w:sz w:val="12"/>
        </w:rPr>
        <w:t xml:space="preserve"> </w:t>
      </w:r>
      <w:r>
        <w:rPr>
          <w:sz w:val="12"/>
        </w:rPr>
        <w:t>de</w:t>
      </w:r>
      <w:r>
        <w:rPr>
          <w:spacing w:val="-5"/>
          <w:sz w:val="12"/>
        </w:rPr>
        <w:t xml:space="preserve"> </w:t>
      </w:r>
      <w:r>
        <w:rPr>
          <w:sz w:val="12"/>
        </w:rPr>
        <w:t>Derechos</w:t>
      </w:r>
      <w:r>
        <w:rPr>
          <w:spacing w:val="-5"/>
          <w:sz w:val="12"/>
        </w:rPr>
        <w:t xml:space="preserve"> </w:t>
      </w:r>
      <w:r>
        <w:rPr>
          <w:sz w:val="12"/>
        </w:rPr>
        <w:t>Humanos,</w:t>
      </w:r>
      <w:r>
        <w:rPr>
          <w:spacing w:val="-5"/>
          <w:sz w:val="12"/>
        </w:rPr>
        <w:t xml:space="preserve"> </w:t>
      </w:r>
      <w:r>
        <w:rPr>
          <w:sz w:val="12"/>
        </w:rPr>
        <w:t>La</w:t>
      </w:r>
      <w:r>
        <w:rPr>
          <w:spacing w:val="-5"/>
          <w:sz w:val="12"/>
        </w:rPr>
        <w:t xml:space="preserve"> </w:t>
      </w:r>
      <w:r>
        <w:rPr>
          <w:sz w:val="12"/>
        </w:rPr>
        <w:t>situación</w:t>
      </w:r>
      <w:r>
        <w:rPr>
          <w:spacing w:val="-5"/>
          <w:sz w:val="12"/>
        </w:rPr>
        <w:t xml:space="preserve"> </w:t>
      </w:r>
      <w:r>
        <w:rPr>
          <w:sz w:val="12"/>
        </w:rPr>
        <w:t>de</w:t>
      </w:r>
      <w:r>
        <w:rPr>
          <w:spacing w:val="-5"/>
          <w:sz w:val="12"/>
        </w:rPr>
        <w:t xml:space="preserve"> </w:t>
      </w:r>
      <w:r>
        <w:rPr>
          <w:sz w:val="12"/>
        </w:rPr>
        <w:t>los</w:t>
      </w:r>
      <w:r>
        <w:rPr>
          <w:spacing w:val="-5"/>
          <w:sz w:val="12"/>
        </w:rPr>
        <w:t xml:space="preserve"> </w:t>
      </w:r>
      <w:r>
        <w:rPr>
          <w:sz w:val="12"/>
        </w:rPr>
        <w:t>afrodescendientes</w:t>
      </w:r>
      <w:r>
        <w:rPr>
          <w:spacing w:val="-5"/>
          <w:sz w:val="12"/>
        </w:rPr>
        <w:t xml:space="preserve"> </w:t>
      </w:r>
      <w:r>
        <w:rPr>
          <w:sz w:val="12"/>
        </w:rPr>
        <w:t>en</w:t>
      </w:r>
      <w:r>
        <w:rPr>
          <w:spacing w:val="-5"/>
          <w:sz w:val="12"/>
        </w:rPr>
        <w:t xml:space="preserve"> </w:t>
      </w:r>
      <w:r>
        <w:rPr>
          <w:sz w:val="12"/>
        </w:rPr>
        <w:t>las</w:t>
      </w:r>
      <w:r>
        <w:rPr>
          <w:spacing w:val="40"/>
          <w:sz w:val="12"/>
        </w:rPr>
        <w:t xml:space="preserve"> </w:t>
      </w:r>
      <w:r>
        <w:rPr>
          <w:sz w:val="12"/>
        </w:rPr>
        <w:t xml:space="preserve">Américas, </w:t>
      </w:r>
      <w:proofErr w:type="spellStart"/>
      <w:r>
        <w:rPr>
          <w:sz w:val="12"/>
        </w:rPr>
        <w:t>párrs</w:t>
      </w:r>
      <w:proofErr w:type="spellEnd"/>
      <w:r>
        <w:rPr>
          <w:sz w:val="12"/>
        </w:rPr>
        <w:t>. 237–</w:t>
      </w:r>
    </w:p>
    <w:p w14:paraId="067A0CAD" w14:textId="77777777" w:rsidR="0014798C" w:rsidRDefault="004E1F0B">
      <w:pPr>
        <w:spacing w:before="2" w:line="312" w:lineRule="auto"/>
        <w:ind w:left="1368" w:right="1335" w:hanging="2"/>
        <w:rPr>
          <w:sz w:val="12"/>
        </w:rPr>
      </w:pPr>
      <w:r>
        <w:rPr>
          <w:sz w:val="12"/>
        </w:rPr>
        <w:t>239.</w:t>
      </w:r>
      <w:r>
        <w:rPr>
          <w:spacing w:val="-6"/>
          <w:sz w:val="12"/>
        </w:rPr>
        <w:t xml:space="preserve"> </w:t>
      </w:r>
      <w:r>
        <w:rPr>
          <w:sz w:val="12"/>
        </w:rPr>
        <w:t>Según</w:t>
      </w:r>
      <w:r>
        <w:rPr>
          <w:spacing w:val="-6"/>
          <w:sz w:val="12"/>
        </w:rPr>
        <w:t xml:space="preserve"> </w:t>
      </w:r>
      <w:r>
        <w:rPr>
          <w:sz w:val="12"/>
        </w:rPr>
        <w:t>el</w:t>
      </w:r>
      <w:r>
        <w:rPr>
          <w:spacing w:val="-6"/>
          <w:sz w:val="12"/>
        </w:rPr>
        <w:t xml:space="preserve"> </w:t>
      </w:r>
      <w:r>
        <w:rPr>
          <w:sz w:val="12"/>
        </w:rPr>
        <w:t>artículo</w:t>
      </w:r>
      <w:r>
        <w:rPr>
          <w:spacing w:val="-6"/>
          <w:sz w:val="12"/>
        </w:rPr>
        <w:t xml:space="preserve"> </w:t>
      </w:r>
      <w:r>
        <w:rPr>
          <w:sz w:val="12"/>
        </w:rPr>
        <w:t>5</w:t>
      </w:r>
      <w:r>
        <w:rPr>
          <w:spacing w:val="-6"/>
          <w:sz w:val="12"/>
        </w:rPr>
        <w:t xml:space="preserve"> </w:t>
      </w:r>
      <w:r>
        <w:rPr>
          <w:sz w:val="12"/>
        </w:rPr>
        <w:t>(2)</w:t>
      </w:r>
      <w:r>
        <w:rPr>
          <w:spacing w:val="-6"/>
          <w:sz w:val="12"/>
        </w:rPr>
        <w:t xml:space="preserve"> </w:t>
      </w:r>
      <w:r>
        <w:rPr>
          <w:sz w:val="12"/>
        </w:rPr>
        <w:t>(b)</w:t>
      </w:r>
      <w:r>
        <w:rPr>
          <w:spacing w:val="-6"/>
          <w:sz w:val="12"/>
        </w:rPr>
        <w:t xml:space="preserve"> </w:t>
      </w:r>
      <w:r>
        <w:rPr>
          <w:sz w:val="12"/>
        </w:rPr>
        <w:t>del</w:t>
      </w:r>
      <w:r>
        <w:rPr>
          <w:spacing w:val="-6"/>
          <w:sz w:val="12"/>
        </w:rPr>
        <w:t xml:space="preserve"> </w:t>
      </w:r>
      <w:r>
        <w:rPr>
          <w:sz w:val="12"/>
        </w:rPr>
        <w:t>Protocolo</w:t>
      </w:r>
      <w:r>
        <w:rPr>
          <w:spacing w:val="-6"/>
          <w:sz w:val="12"/>
        </w:rPr>
        <w:t xml:space="preserve"> </w:t>
      </w:r>
      <w:r>
        <w:rPr>
          <w:sz w:val="12"/>
        </w:rPr>
        <w:t>de</w:t>
      </w:r>
      <w:r>
        <w:rPr>
          <w:spacing w:val="-6"/>
          <w:sz w:val="12"/>
        </w:rPr>
        <w:t xml:space="preserve"> </w:t>
      </w:r>
      <w:r>
        <w:rPr>
          <w:sz w:val="12"/>
        </w:rPr>
        <w:t>la</w:t>
      </w:r>
      <w:r>
        <w:rPr>
          <w:spacing w:val="-6"/>
          <w:sz w:val="12"/>
        </w:rPr>
        <w:t xml:space="preserve"> </w:t>
      </w:r>
      <w:r>
        <w:rPr>
          <w:sz w:val="12"/>
        </w:rPr>
        <w:t>Carta</w:t>
      </w:r>
      <w:r>
        <w:rPr>
          <w:spacing w:val="-6"/>
          <w:sz w:val="12"/>
        </w:rPr>
        <w:t xml:space="preserve"> </w:t>
      </w:r>
      <w:r>
        <w:rPr>
          <w:sz w:val="12"/>
        </w:rPr>
        <w:t>Africana</w:t>
      </w:r>
      <w:r>
        <w:rPr>
          <w:spacing w:val="-6"/>
          <w:sz w:val="12"/>
        </w:rPr>
        <w:t xml:space="preserve"> </w:t>
      </w:r>
      <w:r>
        <w:rPr>
          <w:sz w:val="12"/>
        </w:rPr>
        <w:t>de</w:t>
      </w:r>
      <w:r>
        <w:rPr>
          <w:spacing w:val="-6"/>
          <w:sz w:val="12"/>
        </w:rPr>
        <w:t xml:space="preserve"> </w:t>
      </w:r>
      <w:r>
        <w:rPr>
          <w:sz w:val="12"/>
        </w:rPr>
        <w:t>Derechos</w:t>
      </w:r>
      <w:r>
        <w:rPr>
          <w:spacing w:val="-6"/>
          <w:sz w:val="12"/>
        </w:rPr>
        <w:t xml:space="preserve"> </w:t>
      </w:r>
      <w:r>
        <w:rPr>
          <w:sz w:val="12"/>
        </w:rPr>
        <w:t>Humanos</w:t>
      </w:r>
      <w:r>
        <w:rPr>
          <w:spacing w:val="-6"/>
          <w:sz w:val="12"/>
        </w:rPr>
        <w:t xml:space="preserve"> </w:t>
      </w:r>
      <w:r>
        <w:rPr>
          <w:sz w:val="12"/>
        </w:rPr>
        <w:t>y</w:t>
      </w:r>
      <w:r>
        <w:rPr>
          <w:spacing w:val="-6"/>
          <w:sz w:val="12"/>
        </w:rPr>
        <w:t xml:space="preserve"> </w:t>
      </w:r>
      <w:r>
        <w:rPr>
          <w:sz w:val="12"/>
        </w:rPr>
        <w:t>de</w:t>
      </w:r>
      <w:r>
        <w:rPr>
          <w:spacing w:val="-6"/>
          <w:sz w:val="12"/>
        </w:rPr>
        <w:t xml:space="preserve"> </w:t>
      </w:r>
      <w:r>
        <w:rPr>
          <w:sz w:val="12"/>
        </w:rPr>
        <w:t>los</w:t>
      </w:r>
      <w:r>
        <w:rPr>
          <w:spacing w:val="-6"/>
          <w:sz w:val="12"/>
        </w:rPr>
        <w:t xml:space="preserve"> </w:t>
      </w:r>
      <w:r>
        <w:rPr>
          <w:sz w:val="12"/>
        </w:rPr>
        <w:t>Pueblos</w:t>
      </w:r>
      <w:r>
        <w:rPr>
          <w:spacing w:val="-6"/>
          <w:sz w:val="12"/>
        </w:rPr>
        <w:t xml:space="preserve"> </w:t>
      </w:r>
      <w:r>
        <w:rPr>
          <w:sz w:val="12"/>
        </w:rPr>
        <w:t>sobre</w:t>
      </w:r>
      <w:r>
        <w:rPr>
          <w:spacing w:val="-6"/>
          <w:sz w:val="12"/>
        </w:rPr>
        <w:t xml:space="preserve"> </w:t>
      </w:r>
      <w:r>
        <w:rPr>
          <w:sz w:val="12"/>
        </w:rPr>
        <w:t>los</w:t>
      </w:r>
      <w:r>
        <w:rPr>
          <w:spacing w:val="-6"/>
          <w:sz w:val="12"/>
        </w:rPr>
        <w:t xml:space="preserve"> </w:t>
      </w:r>
      <w:r>
        <w:rPr>
          <w:sz w:val="12"/>
        </w:rPr>
        <w:t>derechos</w:t>
      </w:r>
      <w:r>
        <w:rPr>
          <w:spacing w:val="-6"/>
          <w:sz w:val="12"/>
        </w:rPr>
        <w:t xml:space="preserve"> </w:t>
      </w:r>
      <w:r>
        <w:rPr>
          <w:sz w:val="12"/>
        </w:rPr>
        <w:t>de</w:t>
      </w:r>
      <w:r>
        <w:rPr>
          <w:spacing w:val="-6"/>
          <w:sz w:val="12"/>
        </w:rPr>
        <w:t xml:space="preserve"> </w:t>
      </w:r>
      <w:r>
        <w:rPr>
          <w:sz w:val="12"/>
        </w:rPr>
        <w:t>las</w:t>
      </w:r>
      <w:r>
        <w:rPr>
          <w:spacing w:val="-6"/>
          <w:sz w:val="12"/>
        </w:rPr>
        <w:t xml:space="preserve"> </w:t>
      </w:r>
      <w:r>
        <w:rPr>
          <w:sz w:val="12"/>
        </w:rPr>
        <w:t>personas</w:t>
      </w:r>
      <w:r>
        <w:rPr>
          <w:spacing w:val="-6"/>
          <w:sz w:val="12"/>
        </w:rPr>
        <w:t xml:space="preserve"> </w:t>
      </w:r>
      <w:r>
        <w:rPr>
          <w:sz w:val="12"/>
        </w:rPr>
        <w:t>con</w:t>
      </w:r>
      <w:r>
        <w:rPr>
          <w:spacing w:val="-6"/>
          <w:sz w:val="12"/>
        </w:rPr>
        <w:t xml:space="preserve"> </w:t>
      </w:r>
      <w:r>
        <w:rPr>
          <w:sz w:val="12"/>
        </w:rPr>
        <w:t>discapacidad</w:t>
      </w:r>
      <w:r>
        <w:rPr>
          <w:spacing w:val="-6"/>
          <w:sz w:val="12"/>
        </w:rPr>
        <w:t xml:space="preserve"> </w:t>
      </w:r>
      <w:r>
        <w:rPr>
          <w:sz w:val="12"/>
        </w:rPr>
        <w:t>en</w:t>
      </w:r>
      <w:r>
        <w:rPr>
          <w:spacing w:val="-6"/>
          <w:sz w:val="12"/>
        </w:rPr>
        <w:t xml:space="preserve"> </w:t>
      </w:r>
      <w:r>
        <w:rPr>
          <w:sz w:val="12"/>
        </w:rPr>
        <w:t>África,</w:t>
      </w:r>
      <w:r>
        <w:rPr>
          <w:spacing w:val="40"/>
          <w:sz w:val="12"/>
        </w:rPr>
        <w:t xml:space="preserve"> </w:t>
      </w:r>
      <w:r>
        <w:rPr>
          <w:sz w:val="12"/>
        </w:rPr>
        <w:t>las</w:t>
      </w:r>
      <w:r>
        <w:rPr>
          <w:spacing w:val="-4"/>
          <w:sz w:val="12"/>
        </w:rPr>
        <w:t xml:space="preserve"> </w:t>
      </w:r>
      <w:r>
        <w:rPr>
          <w:sz w:val="12"/>
        </w:rPr>
        <w:t>medidas</w:t>
      </w:r>
      <w:r>
        <w:rPr>
          <w:spacing w:val="-4"/>
          <w:sz w:val="12"/>
        </w:rPr>
        <w:t xml:space="preserve"> </w:t>
      </w:r>
      <w:r>
        <w:rPr>
          <w:sz w:val="12"/>
        </w:rPr>
        <w:t>específicas</w:t>
      </w:r>
      <w:r>
        <w:rPr>
          <w:spacing w:val="-4"/>
          <w:sz w:val="12"/>
        </w:rPr>
        <w:t xml:space="preserve"> </w:t>
      </w:r>
      <w:r>
        <w:rPr>
          <w:sz w:val="12"/>
        </w:rPr>
        <w:t>adoptadas</w:t>
      </w:r>
      <w:r>
        <w:rPr>
          <w:spacing w:val="-4"/>
          <w:sz w:val="12"/>
        </w:rPr>
        <w:t xml:space="preserve"> </w:t>
      </w:r>
      <w:r>
        <w:rPr>
          <w:sz w:val="12"/>
        </w:rPr>
        <w:t>por</w:t>
      </w:r>
      <w:r>
        <w:rPr>
          <w:spacing w:val="-4"/>
          <w:sz w:val="12"/>
        </w:rPr>
        <w:t xml:space="preserve"> </w:t>
      </w:r>
      <w:r>
        <w:rPr>
          <w:sz w:val="12"/>
        </w:rPr>
        <w:t>los</w:t>
      </w:r>
      <w:r>
        <w:rPr>
          <w:spacing w:val="-4"/>
          <w:sz w:val="12"/>
        </w:rPr>
        <w:t xml:space="preserve"> </w:t>
      </w:r>
      <w:r>
        <w:rPr>
          <w:sz w:val="12"/>
        </w:rPr>
        <w:t>Estados</w:t>
      </w:r>
      <w:r>
        <w:rPr>
          <w:spacing w:val="-4"/>
          <w:sz w:val="12"/>
        </w:rPr>
        <w:t xml:space="preserve"> </w:t>
      </w:r>
      <w:r>
        <w:rPr>
          <w:sz w:val="12"/>
        </w:rPr>
        <w:t>deben</w:t>
      </w:r>
      <w:r>
        <w:rPr>
          <w:spacing w:val="-4"/>
          <w:sz w:val="12"/>
        </w:rPr>
        <w:t xml:space="preserve"> </w:t>
      </w:r>
      <w:r>
        <w:rPr>
          <w:sz w:val="12"/>
        </w:rPr>
        <w:t>tener</w:t>
      </w:r>
      <w:r>
        <w:rPr>
          <w:spacing w:val="-4"/>
          <w:sz w:val="12"/>
        </w:rPr>
        <w:t xml:space="preserve"> </w:t>
      </w:r>
      <w:r>
        <w:rPr>
          <w:sz w:val="12"/>
        </w:rPr>
        <w:t>como</w:t>
      </w:r>
      <w:r>
        <w:rPr>
          <w:spacing w:val="-4"/>
          <w:sz w:val="12"/>
        </w:rPr>
        <w:t xml:space="preserve"> </w:t>
      </w:r>
      <w:r>
        <w:rPr>
          <w:sz w:val="12"/>
        </w:rPr>
        <w:t>objetivo</w:t>
      </w:r>
      <w:r>
        <w:rPr>
          <w:spacing w:val="-4"/>
          <w:sz w:val="12"/>
        </w:rPr>
        <w:t xml:space="preserve"> </w:t>
      </w:r>
      <w:r>
        <w:rPr>
          <w:sz w:val="12"/>
        </w:rPr>
        <w:t>"eliminar</w:t>
      </w:r>
      <w:r>
        <w:rPr>
          <w:spacing w:val="-4"/>
          <w:sz w:val="12"/>
        </w:rPr>
        <w:t xml:space="preserve"> </w:t>
      </w:r>
      <w:r>
        <w:rPr>
          <w:sz w:val="12"/>
        </w:rPr>
        <w:t>la</w:t>
      </w:r>
      <w:r>
        <w:rPr>
          <w:spacing w:val="-4"/>
          <w:sz w:val="12"/>
        </w:rPr>
        <w:t xml:space="preserve"> </w:t>
      </w:r>
      <w:r>
        <w:rPr>
          <w:sz w:val="12"/>
        </w:rPr>
        <w:t>discriminación"</w:t>
      </w:r>
      <w:r>
        <w:rPr>
          <w:spacing w:val="-3"/>
          <w:sz w:val="12"/>
        </w:rPr>
        <w:t xml:space="preserve"> </w:t>
      </w:r>
      <w:r>
        <w:rPr>
          <w:sz w:val="12"/>
        </w:rPr>
        <w:t>contra</w:t>
      </w:r>
      <w:r>
        <w:rPr>
          <w:spacing w:val="-4"/>
          <w:sz w:val="12"/>
        </w:rPr>
        <w:t xml:space="preserve"> </w:t>
      </w:r>
      <w:r>
        <w:rPr>
          <w:sz w:val="12"/>
        </w:rPr>
        <w:t>las</w:t>
      </w:r>
      <w:r>
        <w:rPr>
          <w:spacing w:val="-4"/>
          <w:sz w:val="12"/>
        </w:rPr>
        <w:t xml:space="preserve"> </w:t>
      </w:r>
      <w:r>
        <w:rPr>
          <w:sz w:val="12"/>
        </w:rPr>
        <w:t>personas</w:t>
      </w:r>
      <w:r>
        <w:rPr>
          <w:spacing w:val="-4"/>
          <w:sz w:val="12"/>
        </w:rPr>
        <w:t xml:space="preserve"> </w:t>
      </w:r>
      <w:r>
        <w:rPr>
          <w:sz w:val="12"/>
        </w:rPr>
        <w:t>con</w:t>
      </w:r>
      <w:r>
        <w:rPr>
          <w:spacing w:val="-4"/>
          <w:sz w:val="12"/>
        </w:rPr>
        <w:t xml:space="preserve"> </w:t>
      </w:r>
      <w:r>
        <w:rPr>
          <w:sz w:val="12"/>
        </w:rPr>
        <w:t>discapacidad</w:t>
      </w:r>
      <w:proofErr w:type="gramStart"/>
      <w:r>
        <w:rPr>
          <w:sz w:val="12"/>
        </w:rPr>
        <w:t>.</w:t>
      </w:r>
      <w:r>
        <w:rPr>
          <w:spacing w:val="-4"/>
          <w:sz w:val="12"/>
        </w:rPr>
        <w:t xml:space="preserve"> </w:t>
      </w:r>
      <w:r>
        <w:rPr>
          <w:sz w:val="12"/>
        </w:rPr>
        <w:t>.</w:t>
      </w:r>
      <w:proofErr w:type="gramEnd"/>
    </w:p>
    <w:p w14:paraId="13450325" w14:textId="77777777" w:rsidR="0014798C" w:rsidRDefault="004E1F0B">
      <w:pPr>
        <w:pStyle w:val="Prrafodelista"/>
        <w:numPr>
          <w:ilvl w:val="0"/>
          <w:numId w:val="57"/>
        </w:numPr>
        <w:tabs>
          <w:tab w:val="left" w:pos="1328"/>
        </w:tabs>
        <w:spacing w:before="55"/>
        <w:ind w:left="1328" w:hanging="223"/>
        <w:rPr>
          <w:sz w:val="11"/>
        </w:rPr>
      </w:pPr>
      <w:r>
        <w:rPr>
          <w:w w:val="105"/>
          <w:sz w:val="11"/>
        </w:rPr>
        <w:t>Comité</w:t>
      </w:r>
      <w:r>
        <w:rPr>
          <w:spacing w:val="-5"/>
          <w:w w:val="105"/>
          <w:sz w:val="11"/>
        </w:rPr>
        <w:t xml:space="preserve"> </w:t>
      </w:r>
      <w:r>
        <w:rPr>
          <w:w w:val="105"/>
          <w:sz w:val="11"/>
        </w:rPr>
        <w:t>para</w:t>
      </w:r>
      <w:r>
        <w:rPr>
          <w:spacing w:val="-5"/>
          <w:w w:val="105"/>
          <w:sz w:val="11"/>
        </w:rPr>
        <w:t xml:space="preserve"> </w:t>
      </w:r>
      <w:r>
        <w:rPr>
          <w:w w:val="105"/>
          <w:sz w:val="11"/>
        </w:rPr>
        <w:t>la</w:t>
      </w:r>
      <w:r>
        <w:rPr>
          <w:spacing w:val="-5"/>
          <w:w w:val="105"/>
          <w:sz w:val="11"/>
        </w:rPr>
        <w:t xml:space="preserve"> </w:t>
      </w:r>
      <w:r>
        <w:rPr>
          <w:w w:val="105"/>
          <w:sz w:val="11"/>
        </w:rPr>
        <w:t>Eliminación</w:t>
      </w:r>
      <w:r>
        <w:rPr>
          <w:spacing w:val="-5"/>
          <w:w w:val="105"/>
          <w:sz w:val="11"/>
        </w:rPr>
        <w:t xml:space="preserve"> </w:t>
      </w:r>
      <w:r>
        <w:rPr>
          <w:w w:val="105"/>
          <w:sz w:val="11"/>
        </w:rPr>
        <w:t>de</w:t>
      </w:r>
      <w:r>
        <w:rPr>
          <w:spacing w:val="-5"/>
          <w:w w:val="105"/>
          <w:sz w:val="11"/>
        </w:rPr>
        <w:t xml:space="preserve"> </w:t>
      </w:r>
      <w:r>
        <w:rPr>
          <w:w w:val="105"/>
          <w:sz w:val="11"/>
        </w:rPr>
        <w:t>la</w:t>
      </w:r>
      <w:r>
        <w:rPr>
          <w:spacing w:val="-5"/>
          <w:w w:val="105"/>
          <w:sz w:val="11"/>
        </w:rPr>
        <w:t xml:space="preserve"> </w:t>
      </w:r>
      <w:r>
        <w:rPr>
          <w:w w:val="105"/>
          <w:sz w:val="11"/>
        </w:rPr>
        <w:t>Discriminación</w:t>
      </w:r>
      <w:r>
        <w:rPr>
          <w:spacing w:val="-5"/>
          <w:w w:val="105"/>
          <w:sz w:val="11"/>
        </w:rPr>
        <w:t xml:space="preserve"> </w:t>
      </w:r>
      <w:r>
        <w:rPr>
          <w:w w:val="105"/>
          <w:sz w:val="11"/>
        </w:rPr>
        <w:t>Racial,</w:t>
      </w:r>
      <w:r>
        <w:rPr>
          <w:spacing w:val="-4"/>
          <w:w w:val="105"/>
          <w:sz w:val="11"/>
        </w:rPr>
        <w:t xml:space="preserve"> </w:t>
      </w:r>
      <w:r>
        <w:rPr>
          <w:w w:val="105"/>
          <w:sz w:val="11"/>
        </w:rPr>
        <w:t>recomendación</w:t>
      </w:r>
      <w:r>
        <w:rPr>
          <w:spacing w:val="-5"/>
          <w:w w:val="105"/>
          <w:sz w:val="11"/>
        </w:rPr>
        <w:t xml:space="preserve"> </w:t>
      </w:r>
      <w:r>
        <w:rPr>
          <w:w w:val="105"/>
          <w:sz w:val="11"/>
        </w:rPr>
        <w:t>general</w:t>
      </w:r>
      <w:r>
        <w:rPr>
          <w:spacing w:val="-5"/>
          <w:w w:val="105"/>
          <w:sz w:val="11"/>
        </w:rPr>
        <w:t xml:space="preserve"> </w:t>
      </w:r>
      <w:r>
        <w:rPr>
          <w:w w:val="105"/>
          <w:sz w:val="11"/>
        </w:rPr>
        <w:t>núm.</w:t>
      </w:r>
      <w:r>
        <w:rPr>
          <w:spacing w:val="-5"/>
          <w:w w:val="105"/>
          <w:sz w:val="11"/>
        </w:rPr>
        <w:t xml:space="preserve"> </w:t>
      </w:r>
      <w:r>
        <w:rPr>
          <w:w w:val="105"/>
          <w:sz w:val="11"/>
        </w:rPr>
        <w:t>32</w:t>
      </w:r>
      <w:r>
        <w:rPr>
          <w:spacing w:val="-5"/>
          <w:w w:val="105"/>
          <w:sz w:val="11"/>
        </w:rPr>
        <w:t xml:space="preserve"> </w:t>
      </w:r>
      <w:r>
        <w:rPr>
          <w:w w:val="105"/>
          <w:sz w:val="11"/>
        </w:rPr>
        <w:t>(2009),</w:t>
      </w:r>
      <w:r>
        <w:rPr>
          <w:spacing w:val="-4"/>
          <w:w w:val="105"/>
          <w:sz w:val="11"/>
        </w:rPr>
        <w:t xml:space="preserve"> </w:t>
      </w:r>
      <w:r>
        <w:rPr>
          <w:w w:val="105"/>
          <w:sz w:val="11"/>
        </w:rPr>
        <w:t>párr.</w:t>
      </w:r>
      <w:r>
        <w:rPr>
          <w:spacing w:val="-5"/>
          <w:w w:val="105"/>
          <w:sz w:val="11"/>
        </w:rPr>
        <w:t xml:space="preserve"> </w:t>
      </w:r>
      <w:r>
        <w:rPr>
          <w:w w:val="105"/>
          <w:sz w:val="11"/>
        </w:rPr>
        <w:t>14.</w:t>
      </w:r>
      <w:r>
        <w:rPr>
          <w:spacing w:val="-5"/>
          <w:w w:val="105"/>
          <w:sz w:val="11"/>
        </w:rPr>
        <w:t xml:space="preserve"> </w:t>
      </w:r>
      <w:r>
        <w:rPr>
          <w:w w:val="105"/>
          <w:sz w:val="11"/>
        </w:rPr>
        <w:t>Ver</w:t>
      </w:r>
      <w:r>
        <w:rPr>
          <w:spacing w:val="-5"/>
          <w:w w:val="105"/>
          <w:sz w:val="11"/>
        </w:rPr>
        <w:t xml:space="preserve"> </w:t>
      </w:r>
      <w:r>
        <w:rPr>
          <w:w w:val="105"/>
          <w:sz w:val="11"/>
        </w:rPr>
        <w:t>también</w:t>
      </w:r>
      <w:r>
        <w:rPr>
          <w:spacing w:val="-5"/>
          <w:w w:val="105"/>
          <w:sz w:val="11"/>
        </w:rPr>
        <w:t xml:space="preserve"> </w:t>
      </w:r>
      <w:r>
        <w:rPr>
          <w:w w:val="105"/>
          <w:sz w:val="11"/>
        </w:rPr>
        <w:t>Derechos</w:t>
      </w:r>
      <w:r>
        <w:rPr>
          <w:spacing w:val="-5"/>
          <w:w w:val="105"/>
          <w:sz w:val="11"/>
        </w:rPr>
        <w:t xml:space="preserve"> </w:t>
      </w:r>
      <w:r>
        <w:rPr>
          <w:spacing w:val="-2"/>
          <w:w w:val="105"/>
          <w:sz w:val="11"/>
        </w:rPr>
        <w:t>Humanos</w:t>
      </w:r>
    </w:p>
    <w:p w14:paraId="5996620E" w14:textId="77777777" w:rsidR="0014798C" w:rsidRDefault="004E1F0B">
      <w:pPr>
        <w:spacing w:before="55" w:line="312" w:lineRule="auto"/>
        <w:ind w:left="1369" w:right="1626" w:firstLine="2"/>
        <w:rPr>
          <w:sz w:val="12"/>
        </w:rPr>
      </w:pPr>
      <w:r>
        <w:rPr>
          <w:spacing w:val="-2"/>
          <w:sz w:val="12"/>
        </w:rPr>
        <w:t xml:space="preserve">Comité, observación general núm. 18 (1989), párr. </w:t>
      </w:r>
      <w:r>
        <w:rPr>
          <w:spacing w:val="-2"/>
          <w:w w:val="90"/>
          <w:sz w:val="12"/>
        </w:rPr>
        <w:t xml:space="preserve">10; </w:t>
      </w:r>
      <w:r>
        <w:rPr>
          <w:spacing w:val="-2"/>
          <w:sz w:val="12"/>
        </w:rPr>
        <w:t xml:space="preserve">Comité de Derechos Económicos, Sociales y Culturales, observación general núm. 20 (2009), párr. </w:t>
      </w:r>
      <w:r>
        <w:rPr>
          <w:spacing w:val="-2"/>
          <w:w w:val="90"/>
          <w:sz w:val="12"/>
        </w:rPr>
        <w:t xml:space="preserve">9; </w:t>
      </w:r>
      <w:r>
        <w:rPr>
          <w:spacing w:val="-2"/>
          <w:sz w:val="12"/>
        </w:rPr>
        <w:t>Comité</w:t>
      </w:r>
      <w:r>
        <w:rPr>
          <w:spacing w:val="40"/>
          <w:sz w:val="12"/>
        </w:rPr>
        <w:t xml:space="preserve"> </w:t>
      </w:r>
      <w:r>
        <w:rPr>
          <w:sz w:val="12"/>
        </w:rPr>
        <w:t>para</w:t>
      </w:r>
      <w:r>
        <w:rPr>
          <w:spacing w:val="-9"/>
          <w:sz w:val="12"/>
        </w:rPr>
        <w:t xml:space="preserve"> </w:t>
      </w:r>
      <w:r>
        <w:rPr>
          <w:sz w:val="12"/>
        </w:rPr>
        <w:t>la</w:t>
      </w:r>
      <w:r>
        <w:rPr>
          <w:spacing w:val="-8"/>
          <w:sz w:val="12"/>
        </w:rPr>
        <w:t xml:space="preserve"> </w:t>
      </w:r>
      <w:r>
        <w:rPr>
          <w:sz w:val="12"/>
        </w:rPr>
        <w:t>Eliminación</w:t>
      </w:r>
      <w:r>
        <w:rPr>
          <w:spacing w:val="-8"/>
          <w:sz w:val="12"/>
        </w:rPr>
        <w:t xml:space="preserve"> </w:t>
      </w:r>
      <w:r>
        <w:rPr>
          <w:sz w:val="12"/>
        </w:rPr>
        <w:t>de</w:t>
      </w:r>
      <w:r>
        <w:rPr>
          <w:spacing w:val="-9"/>
          <w:sz w:val="12"/>
        </w:rPr>
        <w:t xml:space="preserve"> </w:t>
      </w:r>
      <w:r>
        <w:rPr>
          <w:sz w:val="12"/>
        </w:rPr>
        <w:t>la</w:t>
      </w:r>
      <w:r>
        <w:rPr>
          <w:spacing w:val="-8"/>
          <w:sz w:val="12"/>
        </w:rPr>
        <w:t xml:space="preserve"> </w:t>
      </w:r>
      <w:r>
        <w:rPr>
          <w:sz w:val="12"/>
        </w:rPr>
        <w:t>Discriminación</w:t>
      </w:r>
      <w:r>
        <w:rPr>
          <w:spacing w:val="-8"/>
          <w:sz w:val="12"/>
        </w:rPr>
        <w:t xml:space="preserve"> </w:t>
      </w:r>
      <w:r>
        <w:rPr>
          <w:sz w:val="12"/>
        </w:rPr>
        <w:t>contra</w:t>
      </w:r>
      <w:r>
        <w:rPr>
          <w:spacing w:val="-9"/>
          <w:sz w:val="12"/>
        </w:rPr>
        <w:t xml:space="preserve"> </w:t>
      </w:r>
      <w:r>
        <w:rPr>
          <w:sz w:val="12"/>
        </w:rPr>
        <w:t>la</w:t>
      </w:r>
      <w:r>
        <w:rPr>
          <w:spacing w:val="-8"/>
          <w:sz w:val="12"/>
        </w:rPr>
        <w:t xml:space="preserve"> </w:t>
      </w:r>
      <w:r>
        <w:rPr>
          <w:sz w:val="12"/>
        </w:rPr>
        <w:t>Mujer,</w:t>
      </w:r>
      <w:r>
        <w:rPr>
          <w:spacing w:val="-9"/>
          <w:sz w:val="12"/>
        </w:rPr>
        <w:t xml:space="preserve"> </w:t>
      </w:r>
      <w:r>
        <w:rPr>
          <w:sz w:val="12"/>
        </w:rPr>
        <w:t>recomendación</w:t>
      </w:r>
      <w:r>
        <w:rPr>
          <w:spacing w:val="-8"/>
          <w:sz w:val="12"/>
        </w:rPr>
        <w:t xml:space="preserve"> </w:t>
      </w:r>
      <w:r>
        <w:rPr>
          <w:sz w:val="12"/>
        </w:rPr>
        <w:t>general</w:t>
      </w:r>
      <w:r>
        <w:rPr>
          <w:spacing w:val="-8"/>
          <w:sz w:val="12"/>
        </w:rPr>
        <w:t xml:space="preserve"> </w:t>
      </w:r>
      <w:r>
        <w:rPr>
          <w:sz w:val="12"/>
        </w:rPr>
        <w:t>núm.</w:t>
      </w:r>
      <w:r>
        <w:rPr>
          <w:spacing w:val="-9"/>
          <w:sz w:val="12"/>
        </w:rPr>
        <w:t xml:space="preserve"> </w:t>
      </w:r>
      <w:r>
        <w:rPr>
          <w:sz w:val="12"/>
        </w:rPr>
        <w:t>25</w:t>
      </w:r>
      <w:r>
        <w:rPr>
          <w:spacing w:val="-8"/>
          <w:sz w:val="12"/>
        </w:rPr>
        <w:t xml:space="preserve"> </w:t>
      </w:r>
      <w:r>
        <w:rPr>
          <w:sz w:val="12"/>
        </w:rPr>
        <w:t>(2004),</w:t>
      </w:r>
      <w:r>
        <w:rPr>
          <w:spacing w:val="-8"/>
          <w:sz w:val="12"/>
        </w:rPr>
        <w:t xml:space="preserve"> </w:t>
      </w:r>
      <w:proofErr w:type="spellStart"/>
      <w:r>
        <w:rPr>
          <w:sz w:val="12"/>
        </w:rPr>
        <w:t>párrs</w:t>
      </w:r>
      <w:proofErr w:type="spellEnd"/>
      <w:r>
        <w:rPr>
          <w:sz w:val="12"/>
        </w:rPr>
        <w:t>.</w:t>
      </w:r>
      <w:r>
        <w:rPr>
          <w:spacing w:val="-9"/>
          <w:sz w:val="12"/>
        </w:rPr>
        <w:t xml:space="preserve"> </w:t>
      </w:r>
      <w:r>
        <w:rPr>
          <w:sz w:val="12"/>
        </w:rPr>
        <w:t>19–20;</w:t>
      </w:r>
      <w:r>
        <w:rPr>
          <w:spacing w:val="-8"/>
          <w:sz w:val="12"/>
        </w:rPr>
        <w:t xml:space="preserve"> </w:t>
      </w:r>
      <w:r>
        <w:rPr>
          <w:sz w:val="12"/>
        </w:rPr>
        <w:t>y</w:t>
      </w:r>
      <w:r>
        <w:rPr>
          <w:spacing w:val="-8"/>
          <w:sz w:val="12"/>
        </w:rPr>
        <w:t xml:space="preserve"> </w:t>
      </w:r>
      <w:r>
        <w:rPr>
          <w:sz w:val="12"/>
        </w:rPr>
        <w:t>Comité</w:t>
      </w:r>
      <w:r>
        <w:rPr>
          <w:spacing w:val="-9"/>
          <w:sz w:val="12"/>
        </w:rPr>
        <w:t xml:space="preserve"> </w:t>
      </w:r>
      <w:r>
        <w:rPr>
          <w:sz w:val="12"/>
        </w:rPr>
        <w:t>sobre</w:t>
      </w:r>
      <w:r>
        <w:rPr>
          <w:spacing w:val="-8"/>
          <w:sz w:val="12"/>
        </w:rPr>
        <w:t xml:space="preserve"> </w:t>
      </w:r>
      <w:r>
        <w:rPr>
          <w:sz w:val="12"/>
        </w:rPr>
        <w:t>los</w:t>
      </w:r>
      <w:r>
        <w:rPr>
          <w:spacing w:val="-8"/>
          <w:sz w:val="12"/>
        </w:rPr>
        <w:t xml:space="preserve"> </w:t>
      </w:r>
      <w:r>
        <w:rPr>
          <w:sz w:val="12"/>
        </w:rPr>
        <w:t>Derechos</w:t>
      </w:r>
      <w:r>
        <w:rPr>
          <w:spacing w:val="-9"/>
          <w:sz w:val="12"/>
        </w:rPr>
        <w:t xml:space="preserve"> </w:t>
      </w:r>
      <w:r>
        <w:rPr>
          <w:sz w:val="12"/>
        </w:rPr>
        <w:t>de</w:t>
      </w:r>
      <w:r>
        <w:rPr>
          <w:spacing w:val="-8"/>
          <w:sz w:val="12"/>
        </w:rPr>
        <w:t xml:space="preserve"> </w:t>
      </w:r>
      <w:r>
        <w:rPr>
          <w:sz w:val="12"/>
        </w:rPr>
        <w:t>las</w:t>
      </w:r>
      <w:r>
        <w:rPr>
          <w:spacing w:val="-8"/>
          <w:sz w:val="12"/>
        </w:rPr>
        <w:t xml:space="preserve"> </w:t>
      </w:r>
      <w:r>
        <w:rPr>
          <w:sz w:val="12"/>
        </w:rPr>
        <w:t>Personas</w:t>
      </w:r>
      <w:r>
        <w:rPr>
          <w:spacing w:val="-9"/>
          <w:sz w:val="12"/>
        </w:rPr>
        <w:t xml:space="preserve"> </w:t>
      </w:r>
      <w:r>
        <w:rPr>
          <w:sz w:val="12"/>
        </w:rPr>
        <w:t>con</w:t>
      </w:r>
      <w:r>
        <w:rPr>
          <w:spacing w:val="40"/>
          <w:sz w:val="12"/>
        </w:rPr>
        <w:t xml:space="preserve"> </w:t>
      </w:r>
      <w:r>
        <w:rPr>
          <w:sz w:val="12"/>
        </w:rPr>
        <w:t>Discapacidad, observación</w:t>
      </w:r>
      <w:r>
        <w:rPr>
          <w:spacing w:val="-1"/>
          <w:sz w:val="12"/>
        </w:rPr>
        <w:t xml:space="preserve"> </w:t>
      </w:r>
      <w:r>
        <w:rPr>
          <w:sz w:val="12"/>
        </w:rPr>
        <w:t>general</w:t>
      </w:r>
      <w:r>
        <w:rPr>
          <w:spacing w:val="-1"/>
          <w:sz w:val="12"/>
        </w:rPr>
        <w:t xml:space="preserve"> </w:t>
      </w:r>
      <w:r>
        <w:rPr>
          <w:sz w:val="12"/>
        </w:rPr>
        <w:t>núm.</w:t>
      </w:r>
      <w:r>
        <w:rPr>
          <w:spacing w:val="-1"/>
          <w:sz w:val="12"/>
        </w:rPr>
        <w:t xml:space="preserve"> </w:t>
      </w:r>
      <w:r>
        <w:rPr>
          <w:sz w:val="12"/>
        </w:rPr>
        <w:t>6</w:t>
      </w:r>
      <w:r>
        <w:rPr>
          <w:spacing w:val="-1"/>
          <w:sz w:val="12"/>
        </w:rPr>
        <w:t xml:space="preserve"> </w:t>
      </w:r>
      <w:r>
        <w:rPr>
          <w:sz w:val="12"/>
        </w:rPr>
        <w:t>(2018),</w:t>
      </w:r>
      <w:r>
        <w:rPr>
          <w:spacing w:val="-1"/>
          <w:sz w:val="12"/>
        </w:rPr>
        <w:t xml:space="preserve"> </w:t>
      </w:r>
      <w:proofErr w:type="spellStart"/>
      <w:r>
        <w:rPr>
          <w:sz w:val="12"/>
        </w:rPr>
        <w:t>párrs</w:t>
      </w:r>
      <w:proofErr w:type="spellEnd"/>
      <w:r>
        <w:rPr>
          <w:sz w:val="12"/>
        </w:rPr>
        <w:t>.</w:t>
      </w:r>
      <w:r>
        <w:rPr>
          <w:spacing w:val="-1"/>
          <w:sz w:val="12"/>
        </w:rPr>
        <w:t xml:space="preserve"> </w:t>
      </w:r>
      <w:r>
        <w:rPr>
          <w:sz w:val="12"/>
        </w:rPr>
        <w:t>16,</w:t>
      </w:r>
      <w:r>
        <w:rPr>
          <w:spacing w:val="-1"/>
          <w:sz w:val="12"/>
        </w:rPr>
        <w:t xml:space="preserve"> </w:t>
      </w:r>
      <w:r>
        <w:rPr>
          <w:sz w:val="12"/>
        </w:rPr>
        <w:t>17</w:t>
      </w:r>
      <w:r>
        <w:rPr>
          <w:spacing w:val="-1"/>
          <w:sz w:val="12"/>
        </w:rPr>
        <w:t xml:space="preserve"> </w:t>
      </w:r>
      <w:r>
        <w:rPr>
          <w:sz w:val="12"/>
        </w:rPr>
        <w:t>y</w:t>
      </w:r>
      <w:r>
        <w:rPr>
          <w:spacing w:val="-1"/>
          <w:sz w:val="12"/>
        </w:rPr>
        <w:t xml:space="preserve"> </w:t>
      </w:r>
      <w:r>
        <w:rPr>
          <w:sz w:val="12"/>
        </w:rPr>
        <w:t>22.</w:t>
      </w:r>
    </w:p>
    <w:p w14:paraId="793C9517" w14:textId="77777777" w:rsidR="0014798C" w:rsidRDefault="004E1F0B">
      <w:pPr>
        <w:pStyle w:val="Prrafodelista"/>
        <w:numPr>
          <w:ilvl w:val="0"/>
          <w:numId w:val="57"/>
        </w:numPr>
        <w:tabs>
          <w:tab w:val="left" w:pos="1328"/>
        </w:tabs>
        <w:spacing w:before="56"/>
        <w:ind w:left="1328" w:hanging="223"/>
        <w:rPr>
          <w:sz w:val="11"/>
        </w:rPr>
      </w:pPr>
      <w:r>
        <w:rPr>
          <w:w w:val="105"/>
          <w:sz w:val="11"/>
        </w:rPr>
        <w:t>Comité</w:t>
      </w:r>
      <w:r>
        <w:rPr>
          <w:spacing w:val="-6"/>
          <w:w w:val="105"/>
          <w:sz w:val="11"/>
        </w:rPr>
        <w:t xml:space="preserve"> </w:t>
      </w:r>
      <w:r>
        <w:rPr>
          <w:w w:val="105"/>
          <w:sz w:val="11"/>
        </w:rPr>
        <w:t>para</w:t>
      </w:r>
      <w:r>
        <w:rPr>
          <w:spacing w:val="-5"/>
          <w:w w:val="105"/>
          <w:sz w:val="11"/>
        </w:rPr>
        <w:t xml:space="preserve"> </w:t>
      </w:r>
      <w:r>
        <w:rPr>
          <w:w w:val="105"/>
          <w:sz w:val="11"/>
        </w:rPr>
        <w:t>la</w:t>
      </w:r>
      <w:r>
        <w:rPr>
          <w:spacing w:val="-5"/>
          <w:w w:val="105"/>
          <w:sz w:val="11"/>
        </w:rPr>
        <w:t xml:space="preserve"> </w:t>
      </w:r>
      <w:r>
        <w:rPr>
          <w:w w:val="105"/>
          <w:sz w:val="11"/>
        </w:rPr>
        <w:t>Eliminación</w:t>
      </w:r>
      <w:r>
        <w:rPr>
          <w:spacing w:val="-6"/>
          <w:w w:val="105"/>
          <w:sz w:val="11"/>
        </w:rPr>
        <w:t xml:space="preserve"> </w:t>
      </w:r>
      <w:r>
        <w:rPr>
          <w:w w:val="105"/>
          <w:sz w:val="11"/>
        </w:rPr>
        <w:t>de</w:t>
      </w:r>
      <w:r>
        <w:rPr>
          <w:spacing w:val="-5"/>
          <w:w w:val="105"/>
          <w:sz w:val="11"/>
        </w:rPr>
        <w:t xml:space="preserve"> </w:t>
      </w:r>
      <w:r>
        <w:rPr>
          <w:w w:val="105"/>
          <w:sz w:val="11"/>
        </w:rPr>
        <w:t>la</w:t>
      </w:r>
      <w:r>
        <w:rPr>
          <w:spacing w:val="-5"/>
          <w:w w:val="105"/>
          <w:sz w:val="11"/>
        </w:rPr>
        <w:t xml:space="preserve"> </w:t>
      </w:r>
      <w:r>
        <w:rPr>
          <w:w w:val="105"/>
          <w:sz w:val="11"/>
        </w:rPr>
        <w:t>Discriminación</w:t>
      </w:r>
      <w:r>
        <w:rPr>
          <w:spacing w:val="-6"/>
          <w:w w:val="105"/>
          <w:sz w:val="11"/>
        </w:rPr>
        <w:t xml:space="preserve"> </w:t>
      </w:r>
      <w:r>
        <w:rPr>
          <w:w w:val="105"/>
          <w:sz w:val="11"/>
        </w:rPr>
        <w:t>contra</w:t>
      </w:r>
      <w:r>
        <w:rPr>
          <w:spacing w:val="-5"/>
          <w:w w:val="105"/>
          <w:sz w:val="11"/>
        </w:rPr>
        <w:t xml:space="preserve"> </w:t>
      </w:r>
      <w:r>
        <w:rPr>
          <w:w w:val="105"/>
          <w:sz w:val="11"/>
        </w:rPr>
        <w:t>la</w:t>
      </w:r>
      <w:r>
        <w:rPr>
          <w:spacing w:val="-5"/>
          <w:w w:val="105"/>
          <w:sz w:val="11"/>
        </w:rPr>
        <w:t xml:space="preserve"> </w:t>
      </w:r>
      <w:r>
        <w:rPr>
          <w:w w:val="105"/>
          <w:sz w:val="11"/>
        </w:rPr>
        <w:t>Mujer,</w:t>
      </w:r>
      <w:r>
        <w:rPr>
          <w:spacing w:val="-6"/>
          <w:w w:val="105"/>
          <w:sz w:val="11"/>
        </w:rPr>
        <w:t xml:space="preserve"> </w:t>
      </w:r>
      <w:r>
        <w:rPr>
          <w:w w:val="105"/>
          <w:sz w:val="11"/>
        </w:rPr>
        <w:t>recomendación</w:t>
      </w:r>
      <w:r>
        <w:rPr>
          <w:spacing w:val="-5"/>
          <w:w w:val="105"/>
          <w:sz w:val="11"/>
        </w:rPr>
        <w:t xml:space="preserve"> </w:t>
      </w:r>
      <w:r>
        <w:rPr>
          <w:w w:val="105"/>
          <w:sz w:val="11"/>
        </w:rPr>
        <w:t>general</w:t>
      </w:r>
      <w:r>
        <w:rPr>
          <w:spacing w:val="-5"/>
          <w:w w:val="105"/>
          <w:sz w:val="11"/>
        </w:rPr>
        <w:t xml:space="preserve"> </w:t>
      </w:r>
      <w:r>
        <w:rPr>
          <w:w w:val="105"/>
          <w:sz w:val="11"/>
        </w:rPr>
        <w:t>núm.</w:t>
      </w:r>
      <w:r>
        <w:rPr>
          <w:spacing w:val="-6"/>
          <w:w w:val="105"/>
          <w:sz w:val="11"/>
        </w:rPr>
        <w:t xml:space="preserve"> </w:t>
      </w:r>
      <w:r>
        <w:rPr>
          <w:w w:val="105"/>
          <w:sz w:val="11"/>
        </w:rPr>
        <w:t>25</w:t>
      </w:r>
      <w:r>
        <w:rPr>
          <w:spacing w:val="-5"/>
          <w:w w:val="105"/>
          <w:sz w:val="11"/>
        </w:rPr>
        <w:t xml:space="preserve"> </w:t>
      </w:r>
      <w:r>
        <w:rPr>
          <w:w w:val="105"/>
          <w:sz w:val="11"/>
        </w:rPr>
        <w:t>(2004),</w:t>
      </w:r>
      <w:r>
        <w:rPr>
          <w:spacing w:val="-5"/>
          <w:w w:val="105"/>
          <w:sz w:val="11"/>
        </w:rPr>
        <w:t xml:space="preserve"> </w:t>
      </w:r>
      <w:r>
        <w:rPr>
          <w:w w:val="105"/>
          <w:sz w:val="11"/>
        </w:rPr>
        <w:t>párr.</w:t>
      </w:r>
      <w:r>
        <w:rPr>
          <w:spacing w:val="-5"/>
          <w:w w:val="105"/>
          <w:sz w:val="11"/>
        </w:rPr>
        <w:t xml:space="preserve"> 19.</w:t>
      </w:r>
    </w:p>
    <w:p w14:paraId="243083AD" w14:textId="77777777" w:rsidR="0014798C" w:rsidRDefault="004E1F0B">
      <w:pPr>
        <w:pStyle w:val="Prrafodelista"/>
        <w:numPr>
          <w:ilvl w:val="0"/>
          <w:numId w:val="57"/>
        </w:numPr>
        <w:tabs>
          <w:tab w:val="left" w:pos="1328"/>
        </w:tabs>
        <w:spacing w:before="110"/>
        <w:ind w:left="1328" w:hanging="223"/>
        <w:rPr>
          <w:sz w:val="11"/>
        </w:rPr>
      </w:pPr>
      <w:r>
        <w:rPr>
          <w:w w:val="105"/>
          <w:sz w:val="11"/>
        </w:rPr>
        <w:t>Comité</w:t>
      </w:r>
      <w:r>
        <w:rPr>
          <w:spacing w:val="-6"/>
          <w:w w:val="105"/>
          <w:sz w:val="11"/>
        </w:rPr>
        <w:t xml:space="preserve"> </w:t>
      </w:r>
      <w:r>
        <w:rPr>
          <w:w w:val="105"/>
          <w:sz w:val="11"/>
        </w:rPr>
        <w:t>para</w:t>
      </w:r>
      <w:r>
        <w:rPr>
          <w:spacing w:val="-6"/>
          <w:w w:val="105"/>
          <w:sz w:val="11"/>
        </w:rPr>
        <w:t xml:space="preserve"> </w:t>
      </w:r>
      <w:r>
        <w:rPr>
          <w:w w:val="105"/>
          <w:sz w:val="11"/>
        </w:rPr>
        <w:t>la</w:t>
      </w:r>
      <w:r>
        <w:rPr>
          <w:spacing w:val="-5"/>
          <w:w w:val="105"/>
          <w:sz w:val="11"/>
        </w:rPr>
        <w:t xml:space="preserve"> </w:t>
      </w:r>
      <w:r>
        <w:rPr>
          <w:w w:val="105"/>
          <w:sz w:val="11"/>
        </w:rPr>
        <w:t>Eliminación</w:t>
      </w:r>
      <w:r>
        <w:rPr>
          <w:spacing w:val="-6"/>
          <w:w w:val="105"/>
          <w:sz w:val="11"/>
        </w:rPr>
        <w:t xml:space="preserve"> </w:t>
      </w:r>
      <w:r>
        <w:rPr>
          <w:w w:val="105"/>
          <w:sz w:val="11"/>
        </w:rPr>
        <w:t>de</w:t>
      </w:r>
      <w:r>
        <w:rPr>
          <w:spacing w:val="-6"/>
          <w:w w:val="105"/>
          <w:sz w:val="11"/>
        </w:rPr>
        <w:t xml:space="preserve"> </w:t>
      </w:r>
      <w:r>
        <w:rPr>
          <w:w w:val="105"/>
          <w:sz w:val="11"/>
        </w:rPr>
        <w:t>la</w:t>
      </w:r>
      <w:r>
        <w:rPr>
          <w:spacing w:val="-5"/>
          <w:w w:val="105"/>
          <w:sz w:val="11"/>
        </w:rPr>
        <w:t xml:space="preserve"> </w:t>
      </w:r>
      <w:r>
        <w:rPr>
          <w:w w:val="105"/>
          <w:sz w:val="11"/>
        </w:rPr>
        <w:t>Discriminación</w:t>
      </w:r>
      <w:r>
        <w:rPr>
          <w:spacing w:val="-6"/>
          <w:w w:val="105"/>
          <w:sz w:val="11"/>
        </w:rPr>
        <w:t xml:space="preserve"> </w:t>
      </w:r>
      <w:r>
        <w:rPr>
          <w:w w:val="105"/>
          <w:sz w:val="11"/>
        </w:rPr>
        <w:t>Racial,</w:t>
      </w:r>
      <w:r>
        <w:rPr>
          <w:spacing w:val="-5"/>
          <w:w w:val="105"/>
          <w:sz w:val="11"/>
        </w:rPr>
        <w:t xml:space="preserve"> </w:t>
      </w:r>
      <w:r>
        <w:rPr>
          <w:w w:val="105"/>
          <w:sz w:val="11"/>
        </w:rPr>
        <w:t>recomendación</w:t>
      </w:r>
      <w:r>
        <w:rPr>
          <w:spacing w:val="-5"/>
          <w:w w:val="105"/>
          <w:sz w:val="11"/>
        </w:rPr>
        <w:t xml:space="preserve"> </w:t>
      </w:r>
      <w:r>
        <w:rPr>
          <w:w w:val="105"/>
          <w:sz w:val="11"/>
        </w:rPr>
        <w:t>general</w:t>
      </w:r>
      <w:r>
        <w:rPr>
          <w:spacing w:val="-6"/>
          <w:w w:val="105"/>
          <w:sz w:val="11"/>
        </w:rPr>
        <w:t xml:space="preserve"> </w:t>
      </w:r>
      <w:r>
        <w:rPr>
          <w:w w:val="105"/>
          <w:sz w:val="11"/>
        </w:rPr>
        <w:t>núm.</w:t>
      </w:r>
      <w:r>
        <w:rPr>
          <w:spacing w:val="-6"/>
          <w:w w:val="105"/>
          <w:sz w:val="11"/>
        </w:rPr>
        <w:t xml:space="preserve"> </w:t>
      </w:r>
      <w:r>
        <w:rPr>
          <w:w w:val="105"/>
          <w:sz w:val="11"/>
        </w:rPr>
        <w:t>32</w:t>
      </w:r>
      <w:r>
        <w:rPr>
          <w:spacing w:val="-5"/>
          <w:w w:val="105"/>
          <w:sz w:val="11"/>
        </w:rPr>
        <w:t xml:space="preserve"> </w:t>
      </w:r>
      <w:r>
        <w:rPr>
          <w:w w:val="105"/>
          <w:sz w:val="11"/>
        </w:rPr>
        <w:t>(2009),</w:t>
      </w:r>
      <w:r>
        <w:rPr>
          <w:spacing w:val="-5"/>
          <w:w w:val="105"/>
          <w:sz w:val="11"/>
        </w:rPr>
        <w:t xml:space="preserve"> </w:t>
      </w:r>
      <w:r>
        <w:rPr>
          <w:w w:val="105"/>
          <w:sz w:val="11"/>
        </w:rPr>
        <w:t>párr.</w:t>
      </w:r>
      <w:r>
        <w:rPr>
          <w:spacing w:val="-6"/>
          <w:w w:val="105"/>
          <w:sz w:val="11"/>
        </w:rPr>
        <w:t xml:space="preserve"> </w:t>
      </w:r>
      <w:r>
        <w:rPr>
          <w:spacing w:val="-5"/>
          <w:w w:val="105"/>
          <w:sz w:val="11"/>
        </w:rPr>
        <w:t>15.</w:t>
      </w:r>
    </w:p>
    <w:p w14:paraId="7438421C" w14:textId="77777777" w:rsidR="0014798C" w:rsidRDefault="004E1F0B">
      <w:pPr>
        <w:pStyle w:val="Prrafodelista"/>
        <w:numPr>
          <w:ilvl w:val="0"/>
          <w:numId w:val="57"/>
        </w:numPr>
        <w:tabs>
          <w:tab w:val="left" w:pos="1328"/>
        </w:tabs>
        <w:spacing w:before="110"/>
        <w:ind w:left="1328" w:hanging="223"/>
        <w:rPr>
          <w:sz w:val="11"/>
        </w:rPr>
      </w:pPr>
      <w:r>
        <w:rPr>
          <w:w w:val="105"/>
          <w:sz w:val="11"/>
        </w:rPr>
        <w:t>Comité</w:t>
      </w:r>
      <w:r>
        <w:rPr>
          <w:spacing w:val="-5"/>
          <w:w w:val="105"/>
          <w:sz w:val="11"/>
        </w:rPr>
        <w:t xml:space="preserve"> </w:t>
      </w:r>
      <w:r>
        <w:rPr>
          <w:w w:val="105"/>
          <w:sz w:val="11"/>
        </w:rPr>
        <w:t>sobre</w:t>
      </w:r>
      <w:r>
        <w:rPr>
          <w:spacing w:val="-4"/>
          <w:w w:val="105"/>
          <w:sz w:val="11"/>
        </w:rPr>
        <w:t xml:space="preserve"> </w:t>
      </w:r>
      <w:r>
        <w:rPr>
          <w:w w:val="105"/>
          <w:sz w:val="11"/>
        </w:rPr>
        <w:t>los</w:t>
      </w:r>
      <w:r>
        <w:rPr>
          <w:spacing w:val="-4"/>
          <w:w w:val="105"/>
          <w:sz w:val="11"/>
        </w:rPr>
        <w:t xml:space="preserve"> </w:t>
      </w:r>
      <w:r>
        <w:rPr>
          <w:w w:val="105"/>
          <w:sz w:val="11"/>
        </w:rPr>
        <w:t>Derechos</w:t>
      </w:r>
      <w:r>
        <w:rPr>
          <w:spacing w:val="-4"/>
          <w:w w:val="105"/>
          <w:sz w:val="11"/>
        </w:rPr>
        <w:t xml:space="preserve"> </w:t>
      </w:r>
      <w:r>
        <w:rPr>
          <w:w w:val="105"/>
          <w:sz w:val="11"/>
        </w:rPr>
        <w:t>de</w:t>
      </w:r>
      <w:r>
        <w:rPr>
          <w:spacing w:val="-4"/>
          <w:w w:val="105"/>
          <w:sz w:val="11"/>
        </w:rPr>
        <w:t xml:space="preserve"> </w:t>
      </w:r>
      <w:r>
        <w:rPr>
          <w:w w:val="105"/>
          <w:sz w:val="11"/>
        </w:rPr>
        <w:t>las</w:t>
      </w:r>
      <w:r>
        <w:rPr>
          <w:spacing w:val="-4"/>
          <w:w w:val="105"/>
          <w:sz w:val="11"/>
        </w:rPr>
        <w:t xml:space="preserve"> </w:t>
      </w:r>
      <w:r>
        <w:rPr>
          <w:w w:val="105"/>
          <w:sz w:val="11"/>
        </w:rPr>
        <w:t>Personas</w:t>
      </w:r>
      <w:r>
        <w:rPr>
          <w:spacing w:val="-4"/>
          <w:w w:val="105"/>
          <w:sz w:val="11"/>
        </w:rPr>
        <w:t xml:space="preserve"> </w:t>
      </w:r>
      <w:r>
        <w:rPr>
          <w:w w:val="105"/>
          <w:sz w:val="11"/>
        </w:rPr>
        <w:t>con</w:t>
      </w:r>
      <w:r>
        <w:rPr>
          <w:spacing w:val="-4"/>
          <w:w w:val="105"/>
          <w:sz w:val="11"/>
        </w:rPr>
        <w:t xml:space="preserve"> </w:t>
      </w:r>
      <w:r>
        <w:rPr>
          <w:w w:val="105"/>
          <w:sz w:val="11"/>
        </w:rPr>
        <w:t>Discapacidad,</w:t>
      </w:r>
      <w:r>
        <w:rPr>
          <w:spacing w:val="-3"/>
          <w:w w:val="105"/>
          <w:sz w:val="11"/>
        </w:rPr>
        <w:t xml:space="preserve"> </w:t>
      </w:r>
      <w:r>
        <w:rPr>
          <w:w w:val="105"/>
          <w:sz w:val="11"/>
        </w:rPr>
        <w:t>observación</w:t>
      </w:r>
      <w:r>
        <w:rPr>
          <w:spacing w:val="-4"/>
          <w:w w:val="105"/>
          <w:sz w:val="11"/>
        </w:rPr>
        <w:t xml:space="preserve"> </w:t>
      </w:r>
      <w:r>
        <w:rPr>
          <w:w w:val="105"/>
          <w:sz w:val="11"/>
        </w:rPr>
        <w:t>general</w:t>
      </w:r>
      <w:r>
        <w:rPr>
          <w:spacing w:val="-4"/>
          <w:w w:val="105"/>
          <w:sz w:val="11"/>
        </w:rPr>
        <w:t xml:space="preserve"> </w:t>
      </w:r>
      <w:r>
        <w:rPr>
          <w:w w:val="105"/>
          <w:sz w:val="11"/>
        </w:rPr>
        <w:t>núm.</w:t>
      </w:r>
      <w:r>
        <w:rPr>
          <w:spacing w:val="-4"/>
          <w:w w:val="105"/>
          <w:sz w:val="11"/>
        </w:rPr>
        <w:t xml:space="preserve"> </w:t>
      </w:r>
      <w:r>
        <w:rPr>
          <w:w w:val="105"/>
          <w:sz w:val="11"/>
        </w:rPr>
        <w:t>6</w:t>
      </w:r>
      <w:r>
        <w:rPr>
          <w:spacing w:val="-4"/>
          <w:w w:val="105"/>
          <w:sz w:val="11"/>
        </w:rPr>
        <w:t xml:space="preserve"> </w:t>
      </w:r>
      <w:r>
        <w:rPr>
          <w:w w:val="105"/>
          <w:sz w:val="11"/>
        </w:rPr>
        <w:t>(2018),</w:t>
      </w:r>
      <w:r>
        <w:rPr>
          <w:spacing w:val="-3"/>
          <w:w w:val="105"/>
          <w:sz w:val="11"/>
        </w:rPr>
        <w:t xml:space="preserve"> </w:t>
      </w:r>
      <w:r>
        <w:rPr>
          <w:w w:val="105"/>
          <w:sz w:val="11"/>
        </w:rPr>
        <w:t>párr.</w:t>
      </w:r>
      <w:r>
        <w:rPr>
          <w:spacing w:val="-4"/>
          <w:w w:val="105"/>
          <w:sz w:val="11"/>
        </w:rPr>
        <w:t xml:space="preserve"> </w:t>
      </w:r>
      <w:r>
        <w:rPr>
          <w:spacing w:val="-5"/>
          <w:w w:val="105"/>
          <w:sz w:val="11"/>
        </w:rPr>
        <w:t>23.</w:t>
      </w:r>
    </w:p>
    <w:p w14:paraId="2D4D2A34" w14:textId="77777777" w:rsidR="0014798C" w:rsidRDefault="004E1F0B">
      <w:pPr>
        <w:pStyle w:val="Prrafodelista"/>
        <w:numPr>
          <w:ilvl w:val="0"/>
          <w:numId w:val="57"/>
        </w:numPr>
        <w:tabs>
          <w:tab w:val="left" w:pos="1328"/>
        </w:tabs>
        <w:spacing w:before="110"/>
        <w:ind w:left="1328" w:hanging="223"/>
        <w:rPr>
          <w:sz w:val="11"/>
        </w:rPr>
      </w:pPr>
      <w:r>
        <w:rPr>
          <w:w w:val="105"/>
          <w:sz w:val="11"/>
        </w:rPr>
        <w:t>Véase</w:t>
      </w:r>
      <w:r>
        <w:rPr>
          <w:spacing w:val="-4"/>
          <w:w w:val="105"/>
          <w:sz w:val="11"/>
        </w:rPr>
        <w:t xml:space="preserve"> </w:t>
      </w:r>
      <w:r>
        <w:rPr>
          <w:w w:val="105"/>
          <w:sz w:val="11"/>
        </w:rPr>
        <w:t>además</w:t>
      </w:r>
      <w:r>
        <w:rPr>
          <w:spacing w:val="-3"/>
          <w:w w:val="105"/>
          <w:sz w:val="11"/>
        </w:rPr>
        <w:t xml:space="preserve"> </w:t>
      </w:r>
      <w:r>
        <w:rPr>
          <w:w w:val="105"/>
          <w:sz w:val="11"/>
        </w:rPr>
        <w:t>la</w:t>
      </w:r>
      <w:r>
        <w:rPr>
          <w:spacing w:val="-4"/>
          <w:w w:val="105"/>
          <w:sz w:val="11"/>
        </w:rPr>
        <w:t xml:space="preserve"> </w:t>
      </w:r>
      <w:r>
        <w:rPr>
          <w:w w:val="105"/>
          <w:sz w:val="11"/>
        </w:rPr>
        <w:t>sección</w:t>
      </w:r>
      <w:r>
        <w:rPr>
          <w:spacing w:val="-3"/>
          <w:w w:val="105"/>
          <w:sz w:val="11"/>
        </w:rPr>
        <w:t xml:space="preserve"> </w:t>
      </w:r>
      <w:r>
        <w:rPr>
          <w:w w:val="105"/>
          <w:sz w:val="11"/>
        </w:rPr>
        <w:t>II.D</w:t>
      </w:r>
      <w:r>
        <w:rPr>
          <w:spacing w:val="-4"/>
          <w:w w:val="105"/>
          <w:sz w:val="11"/>
        </w:rPr>
        <w:t xml:space="preserve"> </w:t>
      </w:r>
      <w:r>
        <w:rPr>
          <w:w w:val="105"/>
          <w:sz w:val="11"/>
        </w:rPr>
        <w:t>de</w:t>
      </w:r>
      <w:r>
        <w:rPr>
          <w:spacing w:val="-3"/>
          <w:w w:val="105"/>
          <w:sz w:val="11"/>
        </w:rPr>
        <w:t xml:space="preserve"> </w:t>
      </w:r>
      <w:r>
        <w:rPr>
          <w:w w:val="105"/>
          <w:sz w:val="11"/>
        </w:rPr>
        <w:t>la</w:t>
      </w:r>
      <w:r>
        <w:rPr>
          <w:spacing w:val="-4"/>
          <w:w w:val="105"/>
          <w:sz w:val="11"/>
        </w:rPr>
        <w:t xml:space="preserve"> </w:t>
      </w:r>
      <w:r>
        <w:rPr>
          <w:w w:val="105"/>
          <w:sz w:val="11"/>
        </w:rPr>
        <w:t>segunda</w:t>
      </w:r>
      <w:r>
        <w:rPr>
          <w:spacing w:val="-3"/>
          <w:w w:val="105"/>
          <w:sz w:val="11"/>
        </w:rPr>
        <w:t xml:space="preserve"> </w:t>
      </w:r>
      <w:r>
        <w:rPr>
          <w:w w:val="105"/>
          <w:sz w:val="11"/>
        </w:rPr>
        <w:t>parte</w:t>
      </w:r>
      <w:r>
        <w:rPr>
          <w:spacing w:val="-3"/>
          <w:w w:val="105"/>
          <w:sz w:val="11"/>
        </w:rPr>
        <w:t xml:space="preserve"> </w:t>
      </w:r>
      <w:r>
        <w:rPr>
          <w:w w:val="105"/>
          <w:sz w:val="11"/>
        </w:rPr>
        <w:t>de</w:t>
      </w:r>
      <w:r>
        <w:rPr>
          <w:spacing w:val="-4"/>
          <w:w w:val="105"/>
          <w:sz w:val="11"/>
        </w:rPr>
        <w:t xml:space="preserve"> </w:t>
      </w:r>
      <w:r>
        <w:rPr>
          <w:w w:val="105"/>
          <w:sz w:val="11"/>
        </w:rPr>
        <w:t>la</w:t>
      </w:r>
      <w:r>
        <w:rPr>
          <w:spacing w:val="-3"/>
          <w:w w:val="105"/>
          <w:sz w:val="11"/>
        </w:rPr>
        <w:t xml:space="preserve"> </w:t>
      </w:r>
      <w:r>
        <w:rPr>
          <w:w w:val="105"/>
          <w:sz w:val="11"/>
        </w:rPr>
        <w:t>presente</w:t>
      </w:r>
      <w:r>
        <w:rPr>
          <w:spacing w:val="-4"/>
          <w:w w:val="105"/>
          <w:sz w:val="11"/>
        </w:rPr>
        <w:t xml:space="preserve"> </w:t>
      </w:r>
      <w:r>
        <w:rPr>
          <w:spacing w:val="-2"/>
          <w:w w:val="105"/>
          <w:sz w:val="11"/>
        </w:rPr>
        <w:t>guía.</w:t>
      </w:r>
    </w:p>
    <w:p w14:paraId="0458D473" w14:textId="77777777" w:rsidR="0014798C" w:rsidRDefault="004E1F0B">
      <w:pPr>
        <w:pStyle w:val="Prrafodelista"/>
        <w:numPr>
          <w:ilvl w:val="0"/>
          <w:numId w:val="57"/>
        </w:numPr>
        <w:tabs>
          <w:tab w:val="left" w:pos="1328"/>
          <w:tab w:val="left" w:pos="1368"/>
        </w:tabs>
        <w:spacing w:before="110" w:line="340" w:lineRule="auto"/>
        <w:ind w:left="1368" w:right="1551" w:hanging="263"/>
        <w:rPr>
          <w:sz w:val="11"/>
        </w:rPr>
      </w:pPr>
      <w:r>
        <w:rPr>
          <w:w w:val="105"/>
          <w:sz w:val="11"/>
        </w:rPr>
        <w:t>Comité para la Eliminación de la Discriminación contra la Mujer, recomendación general núm. 25 (2004), párr. 18: y Comité para la Eliminación de la Discriminación Racial,</w:t>
      </w:r>
      <w:r>
        <w:rPr>
          <w:spacing w:val="40"/>
          <w:w w:val="105"/>
          <w:sz w:val="11"/>
        </w:rPr>
        <w:t xml:space="preserve"> </w:t>
      </w:r>
      <w:r>
        <w:rPr>
          <w:w w:val="105"/>
          <w:sz w:val="11"/>
        </w:rPr>
        <w:t>recomendación general núm. 32 (2009), párr. 22.</w:t>
      </w:r>
    </w:p>
    <w:p w14:paraId="5EDB0529" w14:textId="77777777" w:rsidR="0014798C" w:rsidRDefault="004E1F0B">
      <w:pPr>
        <w:pStyle w:val="Prrafodelista"/>
        <w:numPr>
          <w:ilvl w:val="0"/>
          <w:numId w:val="57"/>
        </w:numPr>
        <w:tabs>
          <w:tab w:val="left" w:pos="1328"/>
        </w:tabs>
        <w:spacing w:before="57"/>
        <w:ind w:left="1328" w:hanging="223"/>
        <w:rPr>
          <w:sz w:val="11"/>
        </w:rPr>
      </w:pPr>
      <w:r>
        <w:rPr>
          <w:w w:val="105"/>
          <w:sz w:val="11"/>
        </w:rPr>
        <w:t>Comité</w:t>
      </w:r>
      <w:r>
        <w:rPr>
          <w:spacing w:val="-6"/>
          <w:w w:val="105"/>
          <w:sz w:val="11"/>
        </w:rPr>
        <w:t xml:space="preserve"> </w:t>
      </w:r>
      <w:r>
        <w:rPr>
          <w:w w:val="105"/>
          <w:sz w:val="11"/>
        </w:rPr>
        <w:t>para</w:t>
      </w:r>
      <w:r>
        <w:rPr>
          <w:spacing w:val="-6"/>
          <w:w w:val="105"/>
          <w:sz w:val="11"/>
        </w:rPr>
        <w:t xml:space="preserve"> </w:t>
      </w:r>
      <w:r>
        <w:rPr>
          <w:w w:val="105"/>
          <w:sz w:val="11"/>
        </w:rPr>
        <w:t>la</w:t>
      </w:r>
      <w:r>
        <w:rPr>
          <w:spacing w:val="-5"/>
          <w:w w:val="105"/>
          <w:sz w:val="11"/>
        </w:rPr>
        <w:t xml:space="preserve"> </w:t>
      </w:r>
      <w:r>
        <w:rPr>
          <w:w w:val="105"/>
          <w:sz w:val="11"/>
        </w:rPr>
        <w:t>Eliminación</w:t>
      </w:r>
      <w:r>
        <w:rPr>
          <w:spacing w:val="-6"/>
          <w:w w:val="105"/>
          <w:sz w:val="11"/>
        </w:rPr>
        <w:t xml:space="preserve"> </w:t>
      </w:r>
      <w:r>
        <w:rPr>
          <w:w w:val="105"/>
          <w:sz w:val="11"/>
        </w:rPr>
        <w:t>de</w:t>
      </w:r>
      <w:r>
        <w:rPr>
          <w:spacing w:val="-6"/>
          <w:w w:val="105"/>
          <w:sz w:val="11"/>
        </w:rPr>
        <w:t xml:space="preserve"> </w:t>
      </w:r>
      <w:r>
        <w:rPr>
          <w:w w:val="105"/>
          <w:sz w:val="11"/>
        </w:rPr>
        <w:t>la</w:t>
      </w:r>
      <w:r>
        <w:rPr>
          <w:spacing w:val="-5"/>
          <w:w w:val="105"/>
          <w:sz w:val="11"/>
        </w:rPr>
        <w:t xml:space="preserve"> </w:t>
      </w:r>
      <w:r>
        <w:rPr>
          <w:w w:val="105"/>
          <w:sz w:val="11"/>
        </w:rPr>
        <w:t>Discriminación</w:t>
      </w:r>
      <w:r>
        <w:rPr>
          <w:spacing w:val="-6"/>
          <w:w w:val="105"/>
          <w:sz w:val="11"/>
        </w:rPr>
        <w:t xml:space="preserve"> </w:t>
      </w:r>
      <w:r>
        <w:rPr>
          <w:w w:val="105"/>
          <w:sz w:val="11"/>
        </w:rPr>
        <w:t>Racial,</w:t>
      </w:r>
      <w:r>
        <w:rPr>
          <w:spacing w:val="-5"/>
          <w:w w:val="105"/>
          <w:sz w:val="11"/>
        </w:rPr>
        <w:t xml:space="preserve"> </w:t>
      </w:r>
      <w:r>
        <w:rPr>
          <w:w w:val="105"/>
          <w:sz w:val="11"/>
        </w:rPr>
        <w:t>recomendación</w:t>
      </w:r>
      <w:r>
        <w:rPr>
          <w:spacing w:val="-5"/>
          <w:w w:val="105"/>
          <w:sz w:val="11"/>
        </w:rPr>
        <w:t xml:space="preserve"> </w:t>
      </w:r>
      <w:r>
        <w:rPr>
          <w:w w:val="105"/>
          <w:sz w:val="11"/>
        </w:rPr>
        <w:t>general</w:t>
      </w:r>
      <w:r>
        <w:rPr>
          <w:spacing w:val="-6"/>
          <w:w w:val="105"/>
          <w:sz w:val="11"/>
        </w:rPr>
        <w:t xml:space="preserve"> </w:t>
      </w:r>
      <w:r>
        <w:rPr>
          <w:w w:val="105"/>
          <w:sz w:val="11"/>
        </w:rPr>
        <w:t>núm.</w:t>
      </w:r>
      <w:r>
        <w:rPr>
          <w:spacing w:val="-6"/>
          <w:w w:val="105"/>
          <w:sz w:val="11"/>
        </w:rPr>
        <w:t xml:space="preserve"> </w:t>
      </w:r>
      <w:r>
        <w:rPr>
          <w:w w:val="105"/>
          <w:sz w:val="11"/>
        </w:rPr>
        <w:t>32</w:t>
      </w:r>
      <w:r>
        <w:rPr>
          <w:spacing w:val="-5"/>
          <w:w w:val="105"/>
          <w:sz w:val="11"/>
        </w:rPr>
        <w:t xml:space="preserve"> </w:t>
      </w:r>
      <w:r>
        <w:rPr>
          <w:w w:val="105"/>
          <w:sz w:val="11"/>
        </w:rPr>
        <w:t>(2009),</w:t>
      </w:r>
      <w:r>
        <w:rPr>
          <w:spacing w:val="-5"/>
          <w:w w:val="105"/>
          <w:sz w:val="11"/>
        </w:rPr>
        <w:t xml:space="preserve"> </w:t>
      </w:r>
      <w:r>
        <w:rPr>
          <w:w w:val="105"/>
          <w:sz w:val="11"/>
        </w:rPr>
        <w:t>párr.</w:t>
      </w:r>
      <w:r>
        <w:rPr>
          <w:spacing w:val="-6"/>
          <w:w w:val="105"/>
          <w:sz w:val="11"/>
        </w:rPr>
        <w:t xml:space="preserve"> </w:t>
      </w:r>
      <w:r>
        <w:rPr>
          <w:spacing w:val="-5"/>
          <w:w w:val="105"/>
          <w:sz w:val="11"/>
        </w:rPr>
        <w:t>22.</w:t>
      </w:r>
    </w:p>
    <w:p w14:paraId="1361D761" w14:textId="77777777" w:rsidR="0014798C" w:rsidRDefault="004E1F0B">
      <w:pPr>
        <w:pStyle w:val="Prrafodelista"/>
        <w:numPr>
          <w:ilvl w:val="0"/>
          <w:numId w:val="57"/>
        </w:numPr>
        <w:tabs>
          <w:tab w:val="left" w:pos="1328"/>
        </w:tabs>
        <w:spacing w:before="110"/>
        <w:ind w:left="1328" w:hanging="223"/>
        <w:rPr>
          <w:sz w:val="11"/>
        </w:rPr>
      </w:pPr>
      <w:r>
        <w:rPr>
          <w:w w:val="105"/>
          <w:sz w:val="11"/>
        </w:rPr>
        <w:t>Comité</w:t>
      </w:r>
      <w:r>
        <w:rPr>
          <w:spacing w:val="-6"/>
          <w:w w:val="105"/>
          <w:sz w:val="11"/>
        </w:rPr>
        <w:t xml:space="preserve"> </w:t>
      </w:r>
      <w:r>
        <w:rPr>
          <w:w w:val="105"/>
          <w:sz w:val="11"/>
        </w:rPr>
        <w:t>para</w:t>
      </w:r>
      <w:r>
        <w:rPr>
          <w:spacing w:val="-5"/>
          <w:w w:val="105"/>
          <w:sz w:val="11"/>
        </w:rPr>
        <w:t xml:space="preserve"> </w:t>
      </w:r>
      <w:r>
        <w:rPr>
          <w:w w:val="105"/>
          <w:sz w:val="11"/>
        </w:rPr>
        <w:t>la</w:t>
      </w:r>
      <w:r>
        <w:rPr>
          <w:spacing w:val="-5"/>
          <w:w w:val="105"/>
          <w:sz w:val="11"/>
        </w:rPr>
        <w:t xml:space="preserve"> </w:t>
      </w:r>
      <w:r>
        <w:rPr>
          <w:w w:val="105"/>
          <w:sz w:val="11"/>
        </w:rPr>
        <w:t>Eliminación</w:t>
      </w:r>
      <w:r>
        <w:rPr>
          <w:spacing w:val="-6"/>
          <w:w w:val="105"/>
          <w:sz w:val="11"/>
        </w:rPr>
        <w:t xml:space="preserve"> </w:t>
      </w:r>
      <w:r>
        <w:rPr>
          <w:w w:val="105"/>
          <w:sz w:val="11"/>
        </w:rPr>
        <w:t>de</w:t>
      </w:r>
      <w:r>
        <w:rPr>
          <w:spacing w:val="-5"/>
          <w:w w:val="105"/>
          <w:sz w:val="11"/>
        </w:rPr>
        <w:t xml:space="preserve"> </w:t>
      </w:r>
      <w:r>
        <w:rPr>
          <w:w w:val="105"/>
          <w:sz w:val="11"/>
        </w:rPr>
        <w:t>la</w:t>
      </w:r>
      <w:r>
        <w:rPr>
          <w:spacing w:val="-5"/>
          <w:w w:val="105"/>
          <w:sz w:val="11"/>
        </w:rPr>
        <w:t xml:space="preserve"> </w:t>
      </w:r>
      <w:r>
        <w:rPr>
          <w:w w:val="105"/>
          <w:sz w:val="11"/>
        </w:rPr>
        <w:t>Discriminación</w:t>
      </w:r>
      <w:r>
        <w:rPr>
          <w:spacing w:val="-6"/>
          <w:w w:val="105"/>
          <w:sz w:val="11"/>
        </w:rPr>
        <w:t xml:space="preserve"> </w:t>
      </w:r>
      <w:r>
        <w:rPr>
          <w:w w:val="105"/>
          <w:sz w:val="11"/>
        </w:rPr>
        <w:t>contra</w:t>
      </w:r>
      <w:r>
        <w:rPr>
          <w:spacing w:val="-5"/>
          <w:w w:val="105"/>
          <w:sz w:val="11"/>
        </w:rPr>
        <w:t xml:space="preserve"> </w:t>
      </w:r>
      <w:r>
        <w:rPr>
          <w:w w:val="105"/>
          <w:sz w:val="11"/>
        </w:rPr>
        <w:t>la</w:t>
      </w:r>
      <w:r>
        <w:rPr>
          <w:spacing w:val="-5"/>
          <w:w w:val="105"/>
          <w:sz w:val="11"/>
        </w:rPr>
        <w:t xml:space="preserve"> </w:t>
      </w:r>
      <w:r>
        <w:rPr>
          <w:w w:val="105"/>
          <w:sz w:val="11"/>
        </w:rPr>
        <w:t>Mujer,</w:t>
      </w:r>
      <w:r>
        <w:rPr>
          <w:spacing w:val="-6"/>
          <w:w w:val="105"/>
          <w:sz w:val="11"/>
        </w:rPr>
        <w:t xml:space="preserve"> </w:t>
      </w:r>
      <w:r>
        <w:rPr>
          <w:w w:val="105"/>
          <w:sz w:val="11"/>
        </w:rPr>
        <w:t>recomendación</w:t>
      </w:r>
      <w:r>
        <w:rPr>
          <w:spacing w:val="-5"/>
          <w:w w:val="105"/>
          <w:sz w:val="11"/>
        </w:rPr>
        <w:t xml:space="preserve"> </w:t>
      </w:r>
      <w:r>
        <w:rPr>
          <w:w w:val="105"/>
          <w:sz w:val="11"/>
        </w:rPr>
        <w:t>general</w:t>
      </w:r>
      <w:r>
        <w:rPr>
          <w:spacing w:val="-5"/>
          <w:w w:val="105"/>
          <w:sz w:val="11"/>
        </w:rPr>
        <w:t xml:space="preserve"> </w:t>
      </w:r>
      <w:r>
        <w:rPr>
          <w:w w:val="105"/>
          <w:sz w:val="11"/>
        </w:rPr>
        <w:t>núm.</w:t>
      </w:r>
      <w:r>
        <w:rPr>
          <w:spacing w:val="-6"/>
          <w:w w:val="105"/>
          <w:sz w:val="11"/>
        </w:rPr>
        <w:t xml:space="preserve"> </w:t>
      </w:r>
      <w:r>
        <w:rPr>
          <w:w w:val="105"/>
          <w:sz w:val="11"/>
        </w:rPr>
        <w:t>25</w:t>
      </w:r>
      <w:r>
        <w:rPr>
          <w:spacing w:val="-5"/>
          <w:w w:val="105"/>
          <w:sz w:val="11"/>
        </w:rPr>
        <w:t xml:space="preserve"> </w:t>
      </w:r>
      <w:r>
        <w:rPr>
          <w:w w:val="105"/>
          <w:sz w:val="11"/>
        </w:rPr>
        <w:t>(2004),</w:t>
      </w:r>
      <w:r>
        <w:rPr>
          <w:spacing w:val="-5"/>
          <w:w w:val="105"/>
          <w:sz w:val="11"/>
        </w:rPr>
        <w:t xml:space="preserve"> </w:t>
      </w:r>
      <w:r>
        <w:rPr>
          <w:w w:val="105"/>
          <w:sz w:val="11"/>
        </w:rPr>
        <w:t>párr.</w:t>
      </w:r>
      <w:r>
        <w:rPr>
          <w:spacing w:val="-5"/>
          <w:w w:val="105"/>
          <w:sz w:val="11"/>
        </w:rPr>
        <w:t xml:space="preserve"> 18.</w:t>
      </w:r>
    </w:p>
    <w:p w14:paraId="2B9063C7" w14:textId="77777777" w:rsidR="0014798C" w:rsidRDefault="0014798C">
      <w:pPr>
        <w:pStyle w:val="Textoindependiente"/>
        <w:rPr>
          <w:sz w:val="19"/>
        </w:rPr>
      </w:pPr>
    </w:p>
    <w:p w14:paraId="5D50A454" w14:textId="77777777" w:rsidR="0014798C" w:rsidRDefault="0014798C">
      <w:pPr>
        <w:pStyle w:val="Textoindependiente"/>
        <w:spacing w:before="210"/>
        <w:rPr>
          <w:sz w:val="19"/>
        </w:rPr>
      </w:pPr>
    </w:p>
    <w:p w14:paraId="79BD1EF3" w14:textId="77777777" w:rsidR="0014798C" w:rsidRDefault="004E1F0B">
      <w:pPr>
        <w:ind w:left="549"/>
        <w:rPr>
          <w:sz w:val="19"/>
        </w:rPr>
      </w:pPr>
      <w:r>
        <w:rPr>
          <w:spacing w:val="-5"/>
          <w:sz w:val="19"/>
        </w:rPr>
        <w:t>60</w:t>
      </w:r>
    </w:p>
    <w:p w14:paraId="67595AD1" w14:textId="77777777" w:rsidR="0014798C" w:rsidRDefault="0014798C">
      <w:pPr>
        <w:rPr>
          <w:sz w:val="19"/>
        </w:rPr>
        <w:sectPr w:rsidR="0014798C" w:rsidSect="00F265E4">
          <w:pgSz w:w="11900" w:h="16820"/>
          <w:pgMar w:top="340" w:right="0" w:bottom="280" w:left="200" w:header="121" w:footer="0" w:gutter="0"/>
          <w:cols w:space="720"/>
        </w:sectPr>
      </w:pPr>
    </w:p>
    <w:p w14:paraId="69FDFE95" w14:textId="77777777" w:rsidR="0014798C" w:rsidRDefault="0014798C">
      <w:pPr>
        <w:pStyle w:val="Textoindependiente"/>
        <w:spacing w:before="51"/>
        <w:rPr>
          <w:sz w:val="14"/>
        </w:rPr>
      </w:pPr>
    </w:p>
    <w:p w14:paraId="501C813B" w14:textId="77777777" w:rsidR="0014798C" w:rsidRDefault="004E1F0B">
      <w:pPr>
        <w:ind w:left="1111"/>
        <w:rPr>
          <w:sz w:val="14"/>
        </w:rPr>
      </w:pPr>
      <w:r>
        <w:rPr>
          <w:color w:val="00AC59"/>
          <w:sz w:val="14"/>
        </w:rPr>
        <w:t>SEGUNDA</w:t>
      </w:r>
      <w:r>
        <w:rPr>
          <w:color w:val="00AC59"/>
          <w:spacing w:val="-5"/>
          <w:sz w:val="14"/>
        </w:rPr>
        <w:t xml:space="preserve"> </w:t>
      </w:r>
      <w:r>
        <w:rPr>
          <w:color w:val="00AC59"/>
          <w:sz w:val="14"/>
        </w:rPr>
        <w:t>PARTE:</w:t>
      </w:r>
      <w:r>
        <w:rPr>
          <w:color w:val="00AC59"/>
          <w:spacing w:val="-5"/>
          <w:sz w:val="14"/>
        </w:rPr>
        <w:t xml:space="preserve"> </w:t>
      </w:r>
      <w:r>
        <w:rPr>
          <w:color w:val="00AC59"/>
          <w:sz w:val="14"/>
        </w:rPr>
        <w:t>CONTENIDO</w:t>
      </w:r>
      <w:r>
        <w:rPr>
          <w:color w:val="00AC59"/>
          <w:spacing w:val="-4"/>
          <w:sz w:val="14"/>
        </w:rPr>
        <w:t xml:space="preserve"> </w:t>
      </w:r>
      <w:r>
        <w:rPr>
          <w:color w:val="00AC59"/>
          <w:sz w:val="14"/>
        </w:rPr>
        <w:t>DE</w:t>
      </w:r>
      <w:r>
        <w:rPr>
          <w:color w:val="00AC59"/>
          <w:spacing w:val="-5"/>
          <w:sz w:val="14"/>
        </w:rPr>
        <w:t xml:space="preserve"> </w:t>
      </w:r>
      <w:r>
        <w:rPr>
          <w:color w:val="00AC59"/>
          <w:sz w:val="14"/>
        </w:rPr>
        <w:t>LA</w:t>
      </w:r>
      <w:r>
        <w:rPr>
          <w:color w:val="00AC59"/>
          <w:spacing w:val="-4"/>
          <w:sz w:val="14"/>
        </w:rPr>
        <w:t xml:space="preserve"> </w:t>
      </w:r>
      <w:r>
        <w:rPr>
          <w:color w:val="00AC59"/>
          <w:sz w:val="14"/>
        </w:rPr>
        <w:t>LEY</w:t>
      </w:r>
      <w:r>
        <w:rPr>
          <w:color w:val="00AC59"/>
          <w:spacing w:val="-4"/>
          <w:sz w:val="14"/>
        </w:rPr>
        <w:t xml:space="preserve"> </w:t>
      </w:r>
      <w:r>
        <w:rPr>
          <w:color w:val="00AC59"/>
          <w:sz w:val="14"/>
        </w:rPr>
        <w:t>INTEGRAL</w:t>
      </w:r>
      <w:r>
        <w:rPr>
          <w:color w:val="00AC59"/>
          <w:spacing w:val="-5"/>
          <w:sz w:val="14"/>
        </w:rPr>
        <w:t xml:space="preserve"> </w:t>
      </w:r>
      <w:r>
        <w:rPr>
          <w:color w:val="00AC59"/>
          <w:spacing w:val="-2"/>
          <w:sz w:val="14"/>
        </w:rPr>
        <w:t>ANTIDISCRIMINACIÓN</w:t>
      </w:r>
    </w:p>
    <w:p w14:paraId="70968BDF" w14:textId="77777777" w:rsidR="0014798C" w:rsidRDefault="0014798C">
      <w:pPr>
        <w:pStyle w:val="Textoindependiente"/>
        <w:rPr>
          <w:sz w:val="18"/>
        </w:rPr>
      </w:pPr>
    </w:p>
    <w:p w14:paraId="5A80E93D" w14:textId="77777777" w:rsidR="0014798C" w:rsidRDefault="0014798C">
      <w:pPr>
        <w:pStyle w:val="Textoindependiente"/>
        <w:rPr>
          <w:sz w:val="18"/>
        </w:rPr>
      </w:pPr>
    </w:p>
    <w:p w14:paraId="1E80B37C" w14:textId="77777777" w:rsidR="0014798C" w:rsidRDefault="0014798C">
      <w:pPr>
        <w:pStyle w:val="Textoindependiente"/>
        <w:rPr>
          <w:sz w:val="18"/>
        </w:rPr>
      </w:pPr>
    </w:p>
    <w:p w14:paraId="4A726C38" w14:textId="77777777" w:rsidR="0014798C" w:rsidRDefault="0014798C">
      <w:pPr>
        <w:pStyle w:val="Textoindependiente"/>
        <w:spacing w:before="119"/>
        <w:rPr>
          <w:sz w:val="18"/>
        </w:rPr>
      </w:pPr>
    </w:p>
    <w:p w14:paraId="22AE87D2" w14:textId="77777777" w:rsidR="0014798C" w:rsidRDefault="004E1F0B">
      <w:pPr>
        <w:spacing w:line="290" w:lineRule="auto"/>
        <w:ind w:left="1105" w:right="1166" w:firstLine="4"/>
        <w:rPr>
          <w:sz w:val="18"/>
        </w:rPr>
      </w:pPr>
      <w:r>
        <w:rPr>
          <w:w w:val="105"/>
          <w:sz w:val="18"/>
        </w:rPr>
        <w:t>empleo,</w:t>
      </w:r>
      <w:r>
        <w:rPr>
          <w:spacing w:val="-5"/>
          <w:w w:val="105"/>
          <w:sz w:val="18"/>
        </w:rPr>
        <w:t xml:space="preserve"> </w:t>
      </w:r>
      <w:r>
        <w:rPr>
          <w:w w:val="105"/>
          <w:sz w:val="18"/>
        </w:rPr>
        <w:t>vivienda,</w:t>
      </w:r>
      <w:r>
        <w:rPr>
          <w:spacing w:val="-5"/>
          <w:w w:val="105"/>
          <w:sz w:val="18"/>
        </w:rPr>
        <w:t xml:space="preserve"> </w:t>
      </w:r>
      <w:r>
        <w:rPr>
          <w:w w:val="105"/>
          <w:sz w:val="18"/>
        </w:rPr>
        <w:t>educación,</w:t>
      </w:r>
      <w:r>
        <w:rPr>
          <w:spacing w:val="-5"/>
          <w:w w:val="105"/>
          <w:sz w:val="18"/>
        </w:rPr>
        <w:t xml:space="preserve"> </w:t>
      </w:r>
      <w:r>
        <w:rPr>
          <w:w w:val="105"/>
          <w:sz w:val="18"/>
        </w:rPr>
        <w:t>cultura</w:t>
      </w:r>
      <w:r>
        <w:rPr>
          <w:spacing w:val="-6"/>
          <w:w w:val="105"/>
          <w:sz w:val="18"/>
        </w:rPr>
        <w:t xml:space="preserve"> </w:t>
      </w:r>
      <w:r>
        <w:rPr>
          <w:w w:val="105"/>
          <w:sz w:val="18"/>
        </w:rPr>
        <w:t>y</w:t>
      </w:r>
      <w:r>
        <w:rPr>
          <w:spacing w:val="-6"/>
          <w:w w:val="105"/>
          <w:sz w:val="18"/>
        </w:rPr>
        <w:t xml:space="preserve"> </w:t>
      </w:r>
      <w:r>
        <w:rPr>
          <w:w w:val="105"/>
          <w:sz w:val="18"/>
        </w:rPr>
        <w:t>participación</w:t>
      </w:r>
      <w:r>
        <w:rPr>
          <w:spacing w:val="-6"/>
          <w:w w:val="105"/>
          <w:sz w:val="18"/>
        </w:rPr>
        <w:t xml:space="preserve"> </w:t>
      </w:r>
      <w:r>
        <w:rPr>
          <w:w w:val="105"/>
          <w:sz w:val="18"/>
        </w:rPr>
        <w:t>en</w:t>
      </w:r>
      <w:r>
        <w:rPr>
          <w:spacing w:val="-6"/>
          <w:w w:val="105"/>
          <w:sz w:val="18"/>
        </w:rPr>
        <w:t xml:space="preserve"> </w:t>
      </w:r>
      <w:r>
        <w:rPr>
          <w:w w:val="105"/>
          <w:sz w:val="18"/>
        </w:rPr>
        <w:t>la</w:t>
      </w:r>
      <w:r>
        <w:rPr>
          <w:spacing w:val="-6"/>
          <w:w w:val="105"/>
          <w:sz w:val="18"/>
        </w:rPr>
        <w:t xml:space="preserve"> </w:t>
      </w:r>
      <w:r>
        <w:rPr>
          <w:w w:val="105"/>
          <w:sz w:val="18"/>
        </w:rPr>
        <w:t>vida</w:t>
      </w:r>
      <w:r>
        <w:rPr>
          <w:spacing w:val="-6"/>
          <w:w w:val="105"/>
          <w:sz w:val="18"/>
        </w:rPr>
        <w:t xml:space="preserve"> </w:t>
      </w:r>
      <w:r>
        <w:rPr>
          <w:w w:val="105"/>
          <w:sz w:val="18"/>
        </w:rPr>
        <w:t>pública”.481</w:t>
      </w:r>
      <w:r>
        <w:rPr>
          <w:spacing w:val="-6"/>
          <w:w w:val="105"/>
          <w:sz w:val="18"/>
        </w:rPr>
        <w:t xml:space="preserve"> </w:t>
      </w:r>
      <w:r>
        <w:rPr>
          <w:w w:val="105"/>
          <w:sz w:val="18"/>
        </w:rPr>
        <w:t>El</w:t>
      </w:r>
      <w:r>
        <w:rPr>
          <w:spacing w:val="-6"/>
          <w:w w:val="105"/>
          <w:sz w:val="18"/>
        </w:rPr>
        <w:t xml:space="preserve"> </w:t>
      </w:r>
      <w:r>
        <w:rPr>
          <w:w w:val="105"/>
          <w:sz w:val="18"/>
        </w:rPr>
        <w:t>Comité</w:t>
      </w:r>
      <w:r>
        <w:rPr>
          <w:spacing w:val="-6"/>
          <w:w w:val="105"/>
          <w:sz w:val="18"/>
        </w:rPr>
        <w:t xml:space="preserve"> </w:t>
      </w:r>
      <w:r>
        <w:rPr>
          <w:w w:val="105"/>
          <w:sz w:val="18"/>
        </w:rPr>
        <w:t>para</w:t>
      </w:r>
      <w:r>
        <w:rPr>
          <w:spacing w:val="-6"/>
          <w:w w:val="105"/>
          <w:sz w:val="18"/>
        </w:rPr>
        <w:t xml:space="preserve"> </w:t>
      </w:r>
      <w:r>
        <w:rPr>
          <w:w w:val="105"/>
          <w:sz w:val="18"/>
        </w:rPr>
        <w:t>la</w:t>
      </w:r>
      <w:r>
        <w:rPr>
          <w:spacing w:val="-6"/>
          <w:w w:val="105"/>
          <w:sz w:val="18"/>
        </w:rPr>
        <w:t xml:space="preserve"> </w:t>
      </w:r>
      <w:r>
        <w:rPr>
          <w:w w:val="105"/>
          <w:sz w:val="18"/>
        </w:rPr>
        <w:t>Eliminación</w:t>
      </w:r>
      <w:r>
        <w:rPr>
          <w:spacing w:val="-6"/>
          <w:w w:val="105"/>
          <w:sz w:val="18"/>
        </w:rPr>
        <w:t xml:space="preserve"> </w:t>
      </w:r>
      <w:r>
        <w:rPr>
          <w:w w:val="105"/>
          <w:sz w:val="18"/>
        </w:rPr>
        <w:t>de</w:t>
      </w:r>
      <w:r>
        <w:rPr>
          <w:spacing w:val="-6"/>
          <w:w w:val="105"/>
          <w:sz w:val="18"/>
        </w:rPr>
        <w:t xml:space="preserve"> </w:t>
      </w:r>
      <w:r>
        <w:rPr>
          <w:w w:val="105"/>
          <w:sz w:val="18"/>
        </w:rPr>
        <w:t>la Discriminación</w:t>
      </w:r>
      <w:r>
        <w:rPr>
          <w:spacing w:val="-12"/>
          <w:w w:val="105"/>
          <w:sz w:val="18"/>
        </w:rPr>
        <w:t xml:space="preserve"> </w:t>
      </w:r>
      <w:r>
        <w:rPr>
          <w:w w:val="105"/>
          <w:sz w:val="18"/>
        </w:rPr>
        <w:t>contra</w:t>
      </w:r>
      <w:r>
        <w:rPr>
          <w:spacing w:val="-12"/>
          <w:w w:val="105"/>
          <w:sz w:val="18"/>
        </w:rPr>
        <w:t xml:space="preserve"> </w:t>
      </w:r>
      <w:r>
        <w:rPr>
          <w:w w:val="105"/>
          <w:sz w:val="18"/>
        </w:rPr>
        <w:t>la</w:t>
      </w:r>
      <w:r>
        <w:rPr>
          <w:spacing w:val="-12"/>
          <w:w w:val="105"/>
          <w:sz w:val="18"/>
        </w:rPr>
        <w:t xml:space="preserve"> </w:t>
      </w:r>
      <w:r>
        <w:rPr>
          <w:w w:val="105"/>
          <w:sz w:val="18"/>
        </w:rPr>
        <w:t>Mujer</w:t>
      </w:r>
      <w:r>
        <w:rPr>
          <w:spacing w:val="-12"/>
          <w:w w:val="105"/>
          <w:sz w:val="18"/>
        </w:rPr>
        <w:t xml:space="preserve"> </w:t>
      </w:r>
      <w:r>
        <w:rPr>
          <w:w w:val="105"/>
          <w:sz w:val="18"/>
        </w:rPr>
        <w:t>ha</w:t>
      </w:r>
      <w:r>
        <w:rPr>
          <w:spacing w:val="-12"/>
          <w:w w:val="105"/>
          <w:sz w:val="18"/>
        </w:rPr>
        <w:t xml:space="preserve"> </w:t>
      </w:r>
      <w:r>
        <w:rPr>
          <w:w w:val="105"/>
          <w:sz w:val="18"/>
        </w:rPr>
        <w:t>observado</w:t>
      </w:r>
      <w:r>
        <w:rPr>
          <w:spacing w:val="-12"/>
          <w:w w:val="105"/>
          <w:sz w:val="18"/>
        </w:rPr>
        <w:t xml:space="preserve"> </w:t>
      </w:r>
      <w:r>
        <w:rPr>
          <w:w w:val="105"/>
          <w:sz w:val="18"/>
        </w:rPr>
        <w:t>que</w:t>
      </w:r>
      <w:r>
        <w:rPr>
          <w:spacing w:val="-12"/>
          <w:w w:val="105"/>
          <w:sz w:val="18"/>
        </w:rPr>
        <w:t xml:space="preserve"> </w:t>
      </w:r>
      <w:r>
        <w:rPr>
          <w:w w:val="105"/>
          <w:sz w:val="18"/>
        </w:rPr>
        <w:t>el</w:t>
      </w:r>
      <w:r>
        <w:rPr>
          <w:spacing w:val="-12"/>
          <w:w w:val="105"/>
          <w:sz w:val="18"/>
        </w:rPr>
        <w:t xml:space="preserve"> </w:t>
      </w:r>
      <w:r>
        <w:rPr>
          <w:w w:val="105"/>
          <w:sz w:val="18"/>
        </w:rPr>
        <w:t>artículo</w:t>
      </w:r>
      <w:r>
        <w:rPr>
          <w:spacing w:val="-12"/>
          <w:w w:val="105"/>
          <w:sz w:val="18"/>
        </w:rPr>
        <w:t xml:space="preserve"> </w:t>
      </w:r>
      <w:r>
        <w:rPr>
          <w:w w:val="105"/>
          <w:sz w:val="18"/>
        </w:rPr>
        <w:t>4</w:t>
      </w:r>
      <w:r>
        <w:rPr>
          <w:spacing w:val="-12"/>
          <w:w w:val="105"/>
          <w:sz w:val="18"/>
        </w:rPr>
        <w:t xml:space="preserve"> </w:t>
      </w:r>
      <w:r>
        <w:rPr>
          <w:w w:val="105"/>
          <w:sz w:val="18"/>
        </w:rPr>
        <w:t>(1)</w:t>
      </w:r>
      <w:r>
        <w:rPr>
          <w:spacing w:val="-12"/>
          <w:w w:val="105"/>
          <w:sz w:val="18"/>
        </w:rPr>
        <w:t xml:space="preserve"> </w:t>
      </w:r>
      <w:r>
        <w:rPr>
          <w:w w:val="105"/>
          <w:sz w:val="18"/>
        </w:rPr>
        <w:t>de</w:t>
      </w:r>
      <w:r>
        <w:rPr>
          <w:spacing w:val="-12"/>
          <w:w w:val="105"/>
          <w:sz w:val="18"/>
        </w:rPr>
        <w:t xml:space="preserve"> </w:t>
      </w:r>
      <w:r>
        <w:rPr>
          <w:w w:val="105"/>
          <w:sz w:val="18"/>
        </w:rPr>
        <w:t>la</w:t>
      </w:r>
      <w:r>
        <w:rPr>
          <w:spacing w:val="-12"/>
          <w:w w:val="105"/>
          <w:sz w:val="18"/>
        </w:rPr>
        <w:t xml:space="preserve"> </w:t>
      </w:r>
      <w:r>
        <w:rPr>
          <w:w w:val="105"/>
          <w:sz w:val="18"/>
        </w:rPr>
        <w:t>Convención</w:t>
      </w:r>
      <w:r>
        <w:rPr>
          <w:spacing w:val="-12"/>
          <w:w w:val="105"/>
          <w:sz w:val="18"/>
        </w:rPr>
        <w:t xml:space="preserve"> </w:t>
      </w:r>
      <w:r>
        <w:rPr>
          <w:w w:val="105"/>
          <w:sz w:val="18"/>
        </w:rPr>
        <w:t>pertinente</w:t>
      </w:r>
      <w:r>
        <w:rPr>
          <w:spacing w:val="-12"/>
          <w:w w:val="105"/>
          <w:sz w:val="18"/>
        </w:rPr>
        <w:t xml:space="preserve"> </w:t>
      </w:r>
      <w:r>
        <w:rPr>
          <w:w w:val="105"/>
          <w:sz w:val="18"/>
        </w:rPr>
        <w:t>“abarca</w:t>
      </w:r>
      <w:r>
        <w:rPr>
          <w:spacing w:val="-12"/>
          <w:w w:val="105"/>
          <w:sz w:val="18"/>
        </w:rPr>
        <w:t xml:space="preserve"> </w:t>
      </w:r>
      <w:r>
        <w:rPr>
          <w:w w:val="105"/>
          <w:sz w:val="18"/>
        </w:rPr>
        <w:t>una</w:t>
      </w:r>
      <w:r>
        <w:rPr>
          <w:spacing w:val="-12"/>
          <w:w w:val="105"/>
          <w:sz w:val="18"/>
        </w:rPr>
        <w:t xml:space="preserve"> </w:t>
      </w:r>
      <w:r>
        <w:rPr>
          <w:w w:val="105"/>
          <w:sz w:val="18"/>
        </w:rPr>
        <w:t xml:space="preserve">amplia </w:t>
      </w:r>
      <w:r>
        <w:rPr>
          <w:sz w:val="18"/>
        </w:rPr>
        <w:t xml:space="preserve">variedad” de medidas y enumera </w:t>
      </w:r>
      <w:proofErr w:type="gramStart"/>
      <w:r>
        <w:rPr>
          <w:sz w:val="18"/>
        </w:rPr>
        <w:t>“ programas</w:t>
      </w:r>
      <w:proofErr w:type="gramEnd"/>
      <w:r>
        <w:rPr>
          <w:sz w:val="18"/>
        </w:rPr>
        <w:t xml:space="preserve"> de extensión o apoyo; asignación y/o reasignación de recursos; Tratamiento Preferencial; reclutamiento, contratación y promoción específicos; objetivos numéricos relacionados </w:t>
      </w:r>
      <w:r>
        <w:rPr>
          <w:w w:val="105"/>
          <w:sz w:val="18"/>
        </w:rPr>
        <w:t>con</w:t>
      </w:r>
      <w:r>
        <w:rPr>
          <w:spacing w:val="-12"/>
          <w:w w:val="105"/>
          <w:sz w:val="18"/>
        </w:rPr>
        <w:t xml:space="preserve"> </w:t>
      </w:r>
      <w:r>
        <w:rPr>
          <w:w w:val="105"/>
          <w:sz w:val="18"/>
        </w:rPr>
        <w:t>plazos;</w:t>
      </w:r>
      <w:r>
        <w:rPr>
          <w:spacing w:val="-11"/>
          <w:w w:val="105"/>
          <w:sz w:val="18"/>
        </w:rPr>
        <w:t xml:space="preserve"> </w:t>
      </w:r>
      <w:r>
        <w:rPr>
          <w:w w:val="105"/>
          <w:sz w:val="18"/>
        </w:rPr>
        <w:t>y</w:t>
      </w:r>
      <w:r>
        <w:rPr>
          <w:spacing w:val="-12"/>
          <w:w w:val="105"/>
          <w:sz w:val="18"/>
        </w:rPr>
        <w:t xml:space="preserve"> </w:t>
      </w:r>
      <w:r>
        <w:rPr>
          <w:w w:val="105"/>
          <w:sz w:val="18"/>
        </w:rPr>
        <w:t>sistemas</w:t>
      </w:r>
      <w:r>
        <w:rPr>
          <w:spacing w:val="-12"/>
          <w:w w:val="105"/>
          <w:sz w:val="18"/>
        </w:rPr>
        <w:t xml:space="preserve"> </w:t>
      </w:r>
      <w:r>
        <w:rPr>
          <w:w w:val="105"/>
          <w:sz w:val="18"/>
        </w:rPr>
        <w:t>de</w:t>
      </w:r>
      <w:r>
        <w:rPr>
          <w:spacing w:val="-12"/>
          <w:w w:val="105"/>
          <w:sz w:val="18"/>
        </w:rPr>
        <w:t xml:space="preserve"> </w:t>
      </w:r>
      <w:r>
        <w:rPr>
          <w:w w:val="105"/>
          <w:sz w:val="18"/>
        </w:rPr>
        <w:t>cuotas”</w:t>
      </w:r>
      <w:r>
        <w:rPr>
          <w:spacing w:val="-12"/>
          <w:w w:val="105"/>
          <w:sz w:val="18"/>
        </w:rPr>
        <w:t xml:space="preserve"> </w:t>
      </w:r>
      <w:r>
        <w:rPr>
          <w:w w:val="105"/>
          <w:sz w:val="18"/>
        </w:rPr>
        <w:t>en</w:t>
      </w:r>
      <w:r>
        <w:rPr>
          <w:spacing w:val="-12"/>
          <w:w w:val="105"/>
          <w:sz w:val="18"/>
        </w:rPr>
        <w:t xml:space="preserve"> </w:t>
      </w:r>
      <w:r>
        <w:rPr>
          <w:w w:val="105"/>
          <w:sz w:val="18"/>
        </w:rPr>
        <w:t>una</w:t>
      </w:r>
      <w:r>
        <w:rPr>
          <w:spacing w:val="-12"/>
          <w:w w:val="105"/>
          <w:sz w:val="18"/>
        </w:rPr>
        <w:t xml:space="preserve"> </w:t>
      </w:r>
      <w:r>
        <w:rPr>
          <w:w w:val="105"/>
          <w:sz w:val="18"/>
        </w:rPr>
        <w:t>lista</w:t>
      </w:r>
      <w:r>
        <w:rPr>
          <w:spacing w:val="-12"/>
          <w:w w:val="105"/>
          <w:sz w:val="18"/>
        </w:rPr>
        <w:t xml:space="preserve"> </w:t>
      </w:r>
      <w:r>
        <w:rPr>
          <w:w w:val="105"/>
          <w:sz w:val="18"/>
        </w:rPr>
        <w:t>no</w:t>
      </w:r>
      <w:r>
        <w:rPr>
          <w:spacing w:val="-12"/>
          <w:w w:val="105"/>
          <w:sz w:val="18"/>
        </w:rPr>
        <w:t xml:space="preserve"> </w:t>
      </w:r>
      <w:r>
        <w:rPr>
          <w:w w:val="105"/>
          <w:sz w:val="18"/>
        </w:rPr>
        <w:t>exhaustiva</w:t>
      </w:r>
      <w:r>
        <w:rPr>
          <w:spacing w:val="-12"/>
          <w:w w:val="105"/>
          <w:sz w:val="18"/>
        </w:rPr>
        <w:t xml:space="preserve"> </w:t>
      </w:r>
      <w:r>
        <w:rPr>
          <w:w w:val="105"/>
          <w:sz w:val="18"/>
        </w:rPr>
        <w:t>de</w:t>
      </w:r>
      <w:r>
        <w:rPr>
          <w:spacing w:val="-12"/>
          <w:w w:val="105"/>
          <w:sz w:val="18"/>
        </w:rPr>
        <w:t xml:space="preserve"> </w:t>
      </w:r>
      <w:r>
        <w:rPr>
          <w:w w:val="105"/>
          <w:sz w:val="18"/>
        </w:rPr>
        <w:t>ejemplos.482</w:t>
      </w:r>
      <w:r>
        <w:rPr>
          <w:spacing w:val="-12"/>
          <w:w w:val="105"/>
          <w:sz w:val="18"/>
        </w:rPr>
        <w:t xml:space="preserve"> </w:t>
      </w:r>
      <w:r>
        <w:rPr>
          <w:w w:val="105"/>
          <w:sz w:val="18"/>
        </w:rPr>
        <w:t>El</w:t>
      </w:r>
      <w:r>
        <w:rPr>
          <w:spacing w:val="-12"/>
          <w:w w:val="105"/>
          <w:sz w:val="18"/>
        </w:rPr>
        <w:t xml:space="preserve"> </w:t>
      </w:r>
      <w:r>
        <w:rPr>
          <w:w w:val="105"/>
          <w:sz w:val="18"/>
        </w:rPr>
        <w:t>Comité</w:t>
      </w:r>
      <w:r>
        <w:rPr>
          <w:spacing w:val="-12"/>
          <w:w w:val="105"/>
          <w:sz w:val="18"/>
        </w:rPr>
        <w:t xml:space="preserve"> </w:t>
      </w:r>
      <w:r>
        <w:rPr>
          <w:w w:val="105"/>
          <w:sz w:val="18"/>
        </w:rPr>
        <w:t>sobre</w:t>
      </w:r>
      <w:r>
        <w:rPr>
          <w:spacing w:val="-12"/>
          <w:w w:val="105"/>
          <w:sz w:val="18"/>
        </w:rPr>
        <w:t xml:space="preserve"> </w:t>
      </w:r>
      <w:r>
        <w:rPr>
          <w:w w:val="105"/>
          <w:sz w:val="18"/>
        </w:rPr>
        <w:t>los</w:t>
      </w:r>
      <w:r>
        <w:rPr>
          <w:spacing w:val="-12"/>
          <w:w w:val="105"/>
          <w:sz w:val="18"/>
        </w:rPr>
        <w:t xml:space="preserve"> </w:t>
      </w:r>
      <w:r>
        <w:rPr>
          <w:w w:val="105"/>
          <w:sz w:val="18"/>
        </w:rPr>
        <w:t>Derechos</w:t>
      </w:r>
      <w:r>
        <w:rPr>
          <w:spacing w:val="-12"/>
          <w:w w:val="105"/>
          <w:sz w:val="18"/>
        </w:rPr>
        <w:t xml:space="preserve"> </w:t>
      </w:r>
      <w:r>
        <w:rPr>
          <w:w w:val="105"/>
          <w:sz w:val="18"/>
        </w:rPr>
        <w:t>de las Personas con Discapacidad adopta un enfoque igualmente amplio.483</w:t>
      </w:r>
    </w:p>
    <w:p w14:paraId="1C9D5736" w14:textId="77777777" w:rsidR="0014798C" w:rsidRDefault="0014798C">
      <w:pPr>
        <w:pStyle w:val="Textoindependiente"/>
        <w:spacing w:before="16"/>
      </w:pPr>
    </w:p>
    <w:p w14:paraId="5B2776E0" w14:textId="77777777" w:rsidR="0014798C" w:rsidRDefault="004E1F0B">
      <w:pPr>
        <w:pStyle w:val="Textoindependiente"/>
        <w:spacing w:line="326" w:lineRule="auto"/>
        <w:ind w:left="1107" w:right="1335" w:hanging="1"/>
      </w:pPr>
      <w:r>
        <w:rPr>
          <w:noProof/>
        </w:rPr>
        <w:drawing>
          <wp:anchor distT="0" distB="0" distL="0" distR="0" simplePos="0" relativeHeight="251658405" behindDoc="1" locked="0" layoutInCell="1" allowOverlap="1" wp14:anchorId="3BAB9BBE" wp14:editId="4182ADB4">
            <wp:simplePos x="0" y="0"/>
            <wp:positionH relativeFrom="page">
              <wp:posOffset>808662</wp:posOffset>
            </wp:positionH>
            <wp:positionV relativeFrom="paragraph">
              <wp:posOffset>5620</wp:posOffset>
            </wp:positionV>
            <wp:extent cx="6747837" cy="5684091"/>
            <wp:effectExtent l="0" t="0" r="0" b="0"/>
            <wp:wrapNone/>
            <wp:docPr id="156" name="Image 15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56" name="Image 156"/>
                    <pic:cNvPicPr/>
                  </pic:nvPicPr>
                  <pic:blipFill>
                    <a:blip r:embed="rId144" cstate="print"/>
                    <a:stretch>
                      <a:fillRect/>
                    </a:stretch>
                  </pic:blipFill>
                  <pic:spPr>
                    <a:xfrm>
                      <a:off x="0" y="0"/>
                      <a:ext cx="6747837" cy="5684091"/>
                    </a:xfrm>
                    <a:prstGeom prst="rect">
                      <a:avLst/>
                    </a:prstGeom>
                  </pic:spPr>
                </pic:pic>
              </a:graphicData>
            </a:graphic>
          </wp:anchor>
        </w:drawing>
      </w:r>
      <w:r>
        <w:rPr>
          <w:noProof/>
        </w:rPr>
        <mc:AlternateContent>
          <mc:Choice Requires="wps">
            <w:drawing>
              <wp:anchor distT="0" distB="0" distL="0" distR="0" simplePos="0" relativeHeight="251658271" behindDoc="0" locked="0" layoutInCell="1" allowOverlap="1" wp14:anchorId="4D4E9886" wp14:editId="5B3E271E">
                <wp:simplePos x="0" y="0"/>
                <wp:positionH relativeFrom="page">
                  <wp:posOffset>7313138</wp:posOffset>
                </wp:positionH>
                <wp:positionV relativeFrom="paragraph">
                  <wp:posOffset>620945</wp:posOffset>
                </wp:positionV>
                <wp:extent cx="83820" cy="281940"/>
                <wp:effectExtent l="0" t="0" r="0" b="0"/>
                <wp:wrapNone/>
                <wp:docPr id="157" name="Textbox 15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83820" cy="281940"/>
                        </a:xfrm>
                        <a:prstGeom prst="rect">
                          <a:avLst/>
                        </a:prstGeom>
                      </wps:spPr>
                      <wps:txbx>
                        <w:txbxContent>
                          <w:p w14:paraId="4CFCAF71" w14:textId="77777777" w:rsidR="0014798C" w:rsidRDefault="004E1F0B">
                            <w:pPr>
                              <w:spacing w:before="19"/>
                              <w:ind w:left="20"/>
                              <w:rPr>
                                <w:sz w:val="8"/>
                              </w:rPr>
                            </w:pPr>
                            <w:r>
                              <w:rPr>
                                <w:color w:val="FFFFFF"/>
                                <w:spacing w:val="-24"/>
                                <w:sz w:val="8"/>
                              </w:rPr>
                              <w:t>I–P</w:t>
                            </w:r>
                            <w:r>
                              <w:rPr>
                                <w:spacing w:val="-24"/>
                                <w:sz w:val="8"/>
                              </w:rPr>
                              <w:t>S</w:t>
                            </w:r>
                            <w:r>
                              <w:rPr>
                                <w:color w:val="FFFFFF"/>
                                <w:spacing w:val="-24"/>
                                <w:sz w:val="8"/>
                              </w:rPr>
                              <w:t>A</w:t>
                            </w:r>
                            <w:r>
                              <w:rPr>
                                <w:spacing w:val="-24"/>
                                <w:sz w:val="8"/>
                              </w:rPr>
                              <w:t>E</w:t>
                            </w:r>
                            <w:r>
                              <w:rPr>
                                <w:color w:val="FFFFFF"/>
                                <w:spacing w:val="-24"/>
                                <w:sz w:val="8"/>
                              </w:rPr>
                              <w:t>R</w:t>
                            </w:r>
                            <w:r>
                              <w:rPr>
                                <w:spacing w:val="-24"/>
                                <w:sz w:val="8"/>
                              </w:rPr>
                              <w:t>G</w:t>
                            </w:r>
                            <w:r>
                              <w:rPr>
                                <w:color w:val="FFFFFF"/>
                                <w:spacing w:val="-24"/>
                                <w:sz w:val="8"/>
                              </w:rPr>
                              <w:t>T</w:t>
                            </w:r>
                            <w:r>
                              <w:rPr>
                                <w:spacing w:val="-24"/>
                                <w:sz w:val="8"/>
                              </w:rPr>
                              <w:t>U</w:t>
                            </w:r>
                            <w:r>
                              <w:rPr>
                                <w:color w:val="FFFFFF"/>
                                <w:spacing w:val="-24"/>
                                <w:sz w:val="8"/>
                              </w:rPr>
                              <w:t>E</w:t>
                            </w:r>
                            <w:r>
                              <w:rPr>
                                <w:spacing w:val="-24"/>
                                <w:sz w:val="8"/>
                              </w:rPr>
                              <w:t>NDA</w:t>
                            </w:r>
                          </w:p>
                        </w:txbxContent>
                      </wps:txbx>
                      <wps:bodyPr vert="vert270" wrap="square" lIns="0" tIns="0" rIns="0" bIns="0" rtlCol="0">
                        <a:noAutofit/>
                      </wps:bodyPr>
                    </wps:wsp>
                  </a:graphicData>
                </a:graphic>
              </wp:anchor>
            </w:drawing>
          </mc:Choice>
          <mc:Fallback>
            <w:pict>
              <v:shape w14:anchorId="4D4E9886" id="Textbox 157" o:spid="_x0000_s1088" type="#_x0000_t202" style="position:absolute;left:0;text-align:left;margin-left:575.85pt;margin-top:48.9pt;width:6.6pt;height:22.2pt;z-index:251658271;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" filled="f" stroked="f">
                <v:textbox style="layout-flow:vertical;mso-layout-flow-alt:bottom-to-top" inset="0,0,0,0">
                  <w:txbxContent>
                    <w:p w14:paraId="4CFCAF71" w14:textId="77777777" w:rsidR="0014798C" w:rsidRDefault="004E1F0B">
                      <w:pPr>
                        <w:spacing w:before="19"/>
                        <w:ind w:left="20"/>
                        <w:rPr>
                          <w:sz w:val="8"/>
                        </w:rPr>
                      </w:pPr>
                      <w:r>
                        <w:rPr>
                          <w:color w:val="FFFFFF"/>
                          <w:spacing w:val="-24"/>
                          <w:sz w:val="8"/>
                        </w:rPr>
                        <w:t>I–P</w:t>
                      </w:r>
                      <w:r>
                        <w:rPr>
                          <w:spacing w:val="-24"/>
                          <w:sz w:val="8"/>
                        </w:rPr>
                        <w:t>S</w:t>
                      </w:r>
                      <w:r>
                        <w:rPr>
                          <w:color w:val="FFFFFF"/>
                          <w:spacing w:val="-24"/>
                          <w:sz w:val="8"/>
                        </w:rPr>
                        <w:t>A</w:t>
                      </w:r>
                      <w:r>
                        <w:rPr>
                          <w:spacing w:val="-24"/>
                          <w:sz w:val="8"/>
                        </w:rPr>
                        <w:t>E</w:t>
                      </w:r>
                      <w:r>
                        <w:rPr>
                          <w:color w:val="FFFFFF"/>
                          <w:spacing w:val="-24"/>
                          <w:sz w:val="8"/>
                        </w:rPr>
                        <w:t>R</w:t>
                      </w:r>
                      <w:r>
                        <w:rPr>
                          <w:spacing w:val="-24"/>
                          <w:sz w:val="8"/>
                        </w:rPr>
                        <w:t>G</w:t>
                      </w:r>
                      <w:r>
                        <w:rPr>
                          <w:color w:val="FFFFFF"/>
                          <w:spacing w:val="-24"/>
                          <w:sz w:val="8"/>
                        </w:rPr>
                        <w:t>T</w:t>
                      </w:r>
                      <w:r>
                        <w:rPr>
                          <w:spacing w:val="-24"/>
                          <w:sz w:val="8"/>
                        </w:rPr>
                        <w:t>U</w:t>
                      </w:r>
                      <w:r>
                        <w:rPr>
                          <w:color w:val="FFFFFF"/>
                          <w:spacing w:val="-24"/>
                          <w:sz w:val="8"/>
                        </w:rPr>
                        <w:t>E</w:t>
                      </w:r>
                      <w:r>
                        <w:rPr>
                          <w:spacing w:val="-24"/>
                          <w:sz w:val="8"/>
                        </w:rPr>
                        <w:t>NDA</w:t>
                      </w:r>
                    </w:p>
                  </w:txbxContent>
                </v:textbox>
                <w10:wrap anchorx="page"/>
              </v:shape>
            </w:pict>
          </mc:Fallback>
        </mc:AlternateContent>
      </w:r>
      <w:r>
        <w:t>Los órganos de tratados han aclarado que, si bien la acción positiva abarca una amplia gama de medidas potenciales, esas medidas</w:t>
      </w:r>
      <w:r>
        <w:rPr>
          <w:spacing w:val="13"/>
        </w:rPr>
        <w:t xml:space="preserve"> </w:t>
      </w:r>
      <w:r>
        <w:t>deben</w:t>
      </w:r>
      <w:r>
        <w:rPr>
          <w:spacing w:val="13"/>
        </w:rPr>
        <w:t xml:space="preserve"> </w:t>
      </w:r>
      <w:r>
        <w:t>diseñarse</w:t>
      </w:r>
      <w:r>
        <w:rPr>
          <w:spacing w:val="15"/>
        </w:rPr>
        <w:t xml:space="preserve"> </w:t>
      </w:r>
      <w:r>
        <w:t>con</w:t>
      </w:r>
      <w:r>
        <w:rPr>
          <w:spacing w:val="13"/>
        </w:rPr>
        <w:t xml:space="preserve"> </w:t>
      </w:r>
      <w:r>
        <w:t>un</w:t>
      </w:r>
      <w:r>
        <w:rPr>
          <w:spacing w:val="13"/>
        </w:rPr>
        <w:t xml:space="preserve"> </w:t>
      </w:r>
      <w:r>
        <w:t>objetivo</w:t>
      </w:r>
      <w:r>
        <w:rPr>
          <w:spacing w:val="13"/>
        </w:rPr>
        <w:t xml:space="preserve"> </w:t>
      </w:r>
      <w:r>
        <w:t>claro,</w:t>
      </w:r>
      <w:r>
        <w:rPr>
          <w:spacing w:val="15"/>
        </w:rPr>
        <w:t xml:space="preserve"> </w:t>
      </w:r>
      <w:r>
        <w:t>sobre</w:t>
      </w:r>
      <w:r>
        <w:rPr>
          <w:spacing w:val="13"/>
        </w:rPr>
        <w:t xml:space="preserve"> </w:t>
      </w:r>
      <w:r>
        <w:t>la</w:t>
      </w:r>
      <w:r>
        <w:rPr>
          <w:spacing w:val="13"/>
        </w:rPr>
        <w:t xml:space="preserve"> </w:t>
      </w:r>
      <w:r>
        <w:t>base</w:t>
      </w:r>
      <w:r>
        <w:rPr>
          <w:spacing w:val="13"/>
        </w:rPr>
        <w:t xml:space="preserve"> </w:t>
      </w:r>
      <w:r>
        <w:t>de</w:t>
      </w:r>
      <w:r>
        <w:rPr>
          <w:spacing w:val="13"/>
        </w:rPr>
        <w:t xml:space="preserve"> </w:t>
      </w:r>
      <w:r>
        <w:t>una</w:t>
      </w:r>
      <w:r>
        <w:rPr>
          <w:spacing w:val="13"/>
        </w:rPr>
        <w:t xml:space="preserve"> </w:t>
      </w:r>
      <w:r>
        <w:t>necesidad</w:t>
      </w:r>
      <w:r>
        <w:rPr>
          <w:spacing w:val="13"/>
        </w:rPr>
        <w:t xml:space="preserve"> </w:t>
      </w:r>
      <w:r>
        <w:t>demostrada</w:t>
      </w:r>
      <w:r>
        <w:rPr>
          <w:spacing w:val="13"/>
        </w:rPr>
        <w:t xml:space="preserve"> </w:t>
      </w:r>
      <w:r>
        <w:t>y</w:t>
      </w:r>
      <w:r>
        <w:rPr>
          <w:spacing w:val="13"/>
        </w:rPr>
        <w:t xml:space="preserve"> </w:t>
      </w:r>
      <w:r>
        <w:t>con</w:t>
      </w:r>
      <w:r>
        <w:rPr>
          <w:spacing w:val="13"/>
        </w:rPr>
        <w:t xml:space="preserve"> </w:t>
      </w:r>
      <w:r>
        <w:t>la</w:t>
      </w:r>
      <w:r>
        <w:rPr>
          <w:spacing w:val="13"/>
        </w:rPr>
        <w:t xml:space="preserve"> </w:t>
      </w:r>
      <w:r>
        <w:t>participación</w:t>
      </w:r>
      <w:r>
        <w:rPr>
          <w:spacing w:val="13"/>
        </w:rPr>
        <w:t xml:space="preserve"> </w:t>
      </w:r>
      <w:r>
        <w:t>de</w:t>
      </w:r>
      <w:r>
        <w:rPr>
          <w:spacing w:val="13"/>
        </w:rPr>
        <w:t xml:space="preserve"> </w:t>
      </w:r>
      <w:r>
        <w:t>los grupos afectados. El Comité para la Eliminación de la Discriminación Racial ha señalado que los Estados deben desarrollar “programas dirigidos a objetivos que tengan como objetivo aliviar y remediar las disparidades”.484 El Comité para la Eliminación</w:t>
      </w:r>
      <w:r>
        <w:rPr>
          <w:spacing w:val="80"/>
        </w:rPr>
        <w:t xml:space="preserve"> </w:t>
      </w:r>
      <w:r>
        <w:t xml:space="preserve">de la Discriminación contra la Mujer ha señalado que las medidas deben estar “diseñadas para servir un objetivo específico”, señalando que “la elección de una 'medida' particular dependerá del contexto... y del objetivo específico que se pretende </w:t>
      </w:r>
      <w:r>
        <w:rPr>
          <w:spacing w:val="-2"/>
        </w:rPr>
        <w:t>alcanzar”.485</w:t>
      </w:r>
    </w:p>
    <w:p w14:paraId="14085B6D" w14:textId="77777777" w:rsidR="0014798C" w:rsidRDefault="004E1F0B">
      <w:pPr>
        <w:pStyle w:val="Textoindependiente"/>
        <w:spacing w:before="167" w:line="326" w:lineRule="auto"/>
        <w:ind w:left="1109" w:right="1192" w:hanging="4"/>
      </w:pPr>
      <w:r>
        <w:t>El</w:t>
      </w:r>
      <w:r>
        <w:rPr>
          <w:spacing w:val="14"/>
        </w:rPr>
        <w:t xml:space="preserve"> </w:t>
      </w:r>
      <w:r>
        <w:t>Comité</w:t>
      </w:r>
      <w:r>
        <w:rPr>
          <w:spacing w:val="14"/>
        </w:rPr>
        <w:t xml:space="preserve"> </w:t>
      </w:r>
      <w:r>
        <w:t>para</w:t>
      </w:r>
      <w:r>
        <w:rPr>
          <w:spacing w:val="13"/>
        </w:rPr>
        <w:t xml:space="preserve"> </w:t>
      </w:r>
      <w:r>
        <w:t>la</w:t>
      </w:r>
      <w:r>
        <w:rPr>
          <w:spacing w:val="14"/>
        </w:rPr>
        <w:t xml:space="preserve"> </w:t>
      </w:r>
      <w:r>
        <w:t>Eliminación</w:t>
      </w:r>
      <w:r>
        <w:rPr>
          <w:spacing w:val="14"/>
        </w:rPr>
        <w:t xml:space="preserve"> </w:t>
      </w:r>
      <w:r>
        <w:t>de</w:t>
      </w:r>
      <w:r>
        <w:rPr>
          <w:spacing w:val="13"/>
        </w:rPr>
        <w:t xml:space="preserve"> </w:t>
      </w:r>
      <w:r>
        <w:t>la</w:t>
      </w:r>
      <w:r>
        <w:rPr>
          <w:spacing w:val="14"/>
        </w:rPr>
        <w:t xml:space="preserve"> </w:t>
      </w:r>
      <w:r>
        <w:t>Discriminación</w:t>
      </w:r>
      <w:r>
        <w:rPr>
          <w:spacing w:val="15"/>
        </w:rPr>
        <w:t xml:space="preserve"> </w:t>
      </w:r>
      <w:r>
        <w:t>Racial</w:t>
      </w:r>
      <w:r>
        <w:rPr>
          <w:spacing w:val="14"/>
        </w:rPr>
        <w:t xml:space="preserve"> </w:t>
      </w:r>
      <w:r>
        <w:t>ha</w:t>
      </w:r>
      <w:r>
        <w:rPr>
          <w:spacing w:val="14"/>
        </w:rPr>
        <w:t xml:space="preserve"> </w:t>
      </w:r>
      <w:r>
        <w:t>señalado</w:t>
      </w:r>
      <w:r>
        <w:rPr>
          <w:spacing w:val="13"/>
        </w:rPr>
        <w:t xml:space="preserve"> </w:t>
      </w:r>
      <w:r>
        <w:t>que</w:t>
      </w:r>
      <w:r>
        <w:rPr>
          <w:spacing w:val="14"/>
        </w:rPr>
        <w:t xml:space="preserve"> </w:t>
      </w:r>
      <w:r>
        <w:t>“las</w:t>
      </w:r>
      <w:r>
        <w:rPr>
          <w:spacing w:val="14"/>
        </w:rPr>
        <w:t xml:space="preserve"> </w:t>
      </w:r>
      <w:r>
        <w:t>medidas</w:t>
      </w:r>
      <w:r>
        <w:rPr>
          <w:spacing w:val="13"/>
        </w:rPr>
        <w:t xml:space="preserve"> </w:t>
      </w:r>
      <w:r>
        <w:t>deben</w:t>
      </w:r>
      <w:r>
        <w:rPr>
          <w:spacing w:val="14"/>
        </w:rPr>
        <w:t xml:space="preserve"> </w:t>
      </w:r>
      <w:r>
        <w:t>diseñarse</w:t>
      </w:r>
      <w:r>
        <w:rPr>
          <w:spacing w:val="15"/>
        </w:rPr>
        <w:t xml:space="preserve"> </w:t>
      </w:r>
      <w:r>
        <w:t>y</w:t>
      </w:r>
      <w:r>
        <w:rPr>
          <w:spacing w:val="14"/>
        </w:rPr>
        <w:t xml:space="preserve"> </w:t>
      </w:r>
      <w:r>
        <w:t>aplicarse</w:t>
      </w:r>
      <w:r>
        <w:rPr>
          <w:spacing w:val="15"/>
        </w:rPr>
        <w:t xml:space="preserve"> </w:t>
      </w:r>
      <w:r>
        <w:t>sobre</w:t>
      </w:r>
      <w:r>
        <w:rPr>
          <w:spacing w:val="14"/>
        </w:rPr>
        <w:t xml:space="preserve"> </w:t>
      </w:r>
      <w:r>
        <w:t>la base</w:t>
      </w:r>
      <w:r>
        <w:rPr>
          <w:spacing w:val="10"/>
        </w:rPr>
        <w:t xml:space="preserve"> </w:t>
      </w:r>
      <w:r>
        <w:t>de</w:t>
      </w:r>
      <w:r>
        <w:rPr>
          <w:spacing w:val="10"/>
        </w:rPr>
        <w:t xml:space="preserve"> </w:t>
      </w:r>
      <w:r>
        <w:t>las</w:t>
      </w:r>
      <w:r>
        <w:rPr>
          <w:spacing w:val="10"/>
        </w:rPr>
        <w:t xml:space="preserve"> </w:t>
      </w:r>
      <w:r>
        <w:t>necesidades,</w:t>
      </w:r>
      <w:r>
        <w:rPr>
          <w:spacing w:val="12"/>
        </w:rPr>
        <w:t xml:space="preserve"> </w:t>
      </w:r>
      <w:r>
        <w:t>basadas</w:t>
      </w:r>
      <w:r>
        <w:rPr>
          <w:spacing w:val="10"/>
        </w:rPr>
        <w:t xml:space="preserve"> </w:t>
      </w:r>
      <w:r>
        <w:t>en</w:t>
      </w:r>
      <w:r>
        <w:rPr>
          <w:spacing w:val="10"/>
        </w:rPr>
        <w:t xml:space="preserve"> </w:t>
      </w:r>
      <w:r>
        <w:t>una</w:t>
      </w:r>
      <w:r>
        <w:rPr>
          <w:spacing w:val="10"/>
        </w:rPr>
        <w:t xml:space="preserve"> </w:t>
      </w:r>
      <w:r>
        <w:t>evaluación</w:t>
      </w:r>
      <w:r>
        <w:rPr>
          <w:spacing w:val="10"/>
        </w:rPr>
        <w:t xml:space="preserve"> </w:t>
      </w:r>
      <w:r>
        <w:t>realista</w:t>
      </w:r>
      <w:r>
        <w:rPr>
          <w:spacing w:val="10"/>
        </w:rPr>
        <w:t xml:space="preserve"> </w:t>
      </w:r>
      <w:r>
        <w:t>de</w:t>
      </w:r>
      <w:r>
        <w:rPr>
          <w:spacing w:val="10"/>
        </w:rPr>
        <w:t xml:space="preserve"> </w:t>
      </w:r>
      <w:r>
        <w:t>la</w:t>
      </w:r>
      <w:r>
        <w:rPr>
          <w:spacing w:val="10"/>
        </w:rPr>
        <w:t xml:space="preserve"> </w:t>
      </w:r>
      <w:r>
        <w:t>situación</w:t>
      </w:r>
      <w:r>
        <w:rPr>
          <w:spacing w:val="10"/>
        </w:rPr>
        <w:t xml:space="preserve"> </w:t>
      </w:r>
      <w:r>
        <w:t>actual</w:t>
      </w:r>
      <w:r>
        <w:rPr>
          <w:spacing w:val="10"/>
        </w:rPr>
        <w:t xml:space="preserve"> </w:t>
      </w:r>
      <w:r>
        <w:t>de</w:t>
      </w:r>
      <w:r>
        <w:rPr>
          <w:spacing w:val="10"/>
        </w:rPr>
        <w:t xml:space="preserve"> </w:t>
      </w:r>
      <w:r>
        <w:t>las</w:t>
      </w:r>
      <w:r>
        <w:rPr>
          <w:spacing w:val="10"/>
        </w:rPr>
        <w:t xml:space="preserve"> </w:t>
      </w:r>
      <w:r>
        <w:t>personas</w:t>
      </w:r>
      <w:r>
        <w:rPr>
          <w:spacing w:val="10"/>
        </w:rPr>
        <w:t xml:space="preserve"> </w:t>
      </w:r>
      <w:r>
        <w:t>y</w:t>
      </w:r>
      <w:r>
        <w:rPr>
          <w:spacing w:val="10"/>
        </w:rPr>
        <w:t xml:space="preserve"> </w:t>
      </w:r>
      <w:r>
        <w:t>comunidades</w:t>
      </w:r>
      <w:r>
        <w:rPr>
          <w:spacing w:val="10"/>
        </w:rPr>
        <w:t xml:space="preserve"> </w:t>
      </w:r>
      <w:r>
        <w:t>interesadas”, y señaló que esto entraña obligaciones tanto de información como de recopilación, análisis y consulta.486 De manera similar,</w:t>
      </w:r>
    </w:p>
    <w:p w14:paraId="1FA8153A" w14:textId="77777777" w:rsidR="0014798C" w:rsidRDefault="004E1F0B">
      <w:pPr>
        <w:pStyle w:val="Textoindependiente"/>
        <w:spacing w:line="326" w:lineRule="auto"/>
        <w:ind w:left="1105" w:right="1378" w:firstLine="2"/>
      </w:pPr>
      <w:r>
        <w:t>el Comité para la Eliminación de la Discriminación contra la Mujer ha señalado que las mujeres deberían “tener un papel en el diseño,</w:t>
      </w:r>
      <w:r>
        <w:rPr>
          <w:spacing w:val="12"/>
        </w:rPr>
        <w:t xml:space="preserve"> </w:t>
      </w:r>
      <w:r>
        <w:t>implementación</w:t>
      </w:r>
      <w:r>
        <w:rPr>
          <w:spacing w:val="11"/>
        </w:rPr>
        <w:t xml:space="preserve"> </w:t>
      </w:r>
      <w:r>
        <w:t>y</w:t>
      </w:r>
      <w:r>
        <w:rPr>
          <w:spacing w:val="11"/>
        </w:rPr>
        <w:t xml:space="preserve"> </w:t>
      </w:r>
      <w:r>
        <w:t>evaluación</w:t>
      </w:r>
      <w:r>
        <w:rPr>
          <w:spacing w:val="11"/>
        </w:rPr>
        <w:t xml:space="preserve"> </w:t>
      </w:r>
      <w:r>
        <w:t>de</w:t>
      </w:r>
      <w:r>
        <w:rPr>
          <w:spacing w:val="11"/>
        </w:rPr>
        <w:t xml:space="preserve"> </w:t>
      </w:r>
      <w:r>
        <w:t>tales</w:t>
      </w:r>
      <w:r>
        <w:rPr>
          <w:spacing w:val="11"/>
        </w:rPr>
        <w:t xml:space="preserve"> </w:t>
      </w:r>
      <w:r>
        <w:t>programas”</w:t>
      </w:r>
      <w:r>
        <w:rPr>
          <w:spacing w:val="11"/>
        </w:rPr>
        <w:t xml:space="preserve"> </w:t>
      </w:r>
      <w:r>
        <w:t>y</w:t>
      </w:r>
      <w:r>
        <w:rPr>
          <w:spacing w:val="11"/>
        </w:rPr>
        <w:t xml:space="preserve"> </w:t>
      </w:r>
      <w:r>
        <w:t>enfatizó</w:t>
      </w:r>
      <w:r>
        <w:rPr>
          <w:spacing w:val="11"/>
        </w:rPr>
        <w:t xml:space="preserve"> </w:t>
      </w:r>
      <w:r>
        <w:t>la</w:t>
      </w:r>
      <w:r>
        <w:rPr>
          <w:spacing w:val="11"/>
        </w:rPr>
        <w:t xml:space="preserve"> </w:t>
      </w:r>
      <w:r>
        <w:t>necesidad</w:t>
      </w:r>
      <w:r>
        <w:rPr>
          <w:spacing w:val="11"/>
        </w:rPr>
        <w:t xml:space="preserve"> </w:t>
      </w:r>
      <w:r>
        <w:t>de</w:t>
      </w:r>
      <w:r>
        <w:rPr>
          <w:spacing w:val="11"/>
        </w:rPr>
        <w:t xml:space="preserve"> </w:t>
      </w:r>
      <w:r>
        <w:t>utilizar</w:t>
      </w:r>
      <w:r>
        <w:rPr>
          <w:spacing w:val="11"/>
        </w:rPr>
        <w:t xml:space="preserve"> </w:t>
      </w:r>
      <w:r>
        <w:t>datos</w:t>
      </w:r>
      <w:r>
        <w:rPr>
          <w:spacing w:val="11"/>
        </w:rPr>
        <w:t xml:space="preserve"> </w:t>
      </w:r>
      <w:r>
        <w:t>desglosados</w:t>
      </w:r>
      <w:r>
        <w:rPr>
          <w:spacing w:val="11"/>
        </w:rPr>
        <w:t xml:space="preserve"> </w:t>
      </w:r>
      <w:r>
        <w:t>por</w:t>
      </w:r>
      <w:r>
        <w:rPr>
          <w:spacing w:val="11"/>
        </w:rPr>
        <w:t xml:space="preserve"> </w:t>
      </w:r>
      <w:r>
        <w:t>sexo.</w:t>
      </w:r>
      <w:r>
        <w:rPr>
          <w:spacing w:val="12"/>
        </w:rPr>
        <w:t xml:space="preserve"> </w:t>
      </w:r>
      <w:r>
        <w:t xml:space="preserve">.487 El Comité sobre los Derechos de las Personas con Discapacidad ha señalado que “los </w:t>
      </w:r>
      <w:proofErr w:type="gramStart"/>
      <w:r>
        <w:t>Estados partes</w:t>
      </w:r>
      <w:proofErr w:type="gramEnd"/>
      <w:r>
        <w:t xml:space="preserve"> deben consultar estrechamente e involucrar activamente” a las personas con discapacidad488 y que “los datos y su análisis son de suma importancia para desarrollar medidas efectivas… de igualdad”.489</w:t>
      </w:r>
    </w:p>
    <w:p w14:paraId="0E43277E" w14:textId="77777777" w:rsidR="0014798C" w:rsidRDefault="0014798C">
      <w:pPr>
        <w:pStyle w:val="Textoindependiente"/>
      </w:pPr>
    </w:p>
    <w:p w14:paraId="414EC2F2" w14:textId="77777777" w:rsidR="0014798C" w:rsidRDefault="0014798C">
      <w:pPr>
        <w:pStyle w:val="Textoindependiente"/>
        <w:spacing w:before="97"/>
      </w:pPr>
    </w:p>
    <w:p w14:paraId="0599A445" w14:textId="77777777" w:rsidR="0014798C" w:rsidRDefault="004E1F0B">
      <w:pPr>
        <w:pStyle w:val="Textoindependiente"/>
        <w:ind w:left="1329"/>
      </w:pPr>
      <w:r>
        <w:t>POLÍTICAS</w:t>
      </w:r>
      <w:r>
        <w:rPr>
          <w:spacing w:val="7"/>
        </w:rPr>
        <w:t xml:space="preserve"> </w:t>
      </w:r>
      <w:r>
        <w:t>DE</w:t>
      </w:r>
      <w:r>
        <w:rPr>
          <w:spacing w:val="7"/>
        </w:rPr>
        <w:t xml:space="preserve"> </w:t>
      </w:r>
      <w:r>
        <w:t>ACCIÓN</w:t>
      </w:r>
      <w:r>
        <w:rPr>
          <w:spacing w:val="7"/>
        </w:rPr>
        <w:t xml:space="preserve"> </w:t>
      </w:r>
      <w:r>
        <w:t>AFIRMATIVA</w:t>
      </w:r>
      <w:r>
        <w:rPr>
          <w:spacing w:val="8"/>
        </w:rPr>
        <w:t xml:space="preserve"> </w:t>
      </w:r>
      <w:r>
        <w:t>EN</w:t>
      </w:r>
      <w:r>
        <w:rPr>
          <w:spacing w:val="6"/>
        </w:rPr>
        <w:t xml:space="preserve"> </w:t>
      </w:r>
      <w:r>
        <w:t>LA</w:t>
      </w:r>
      <w:r>
        <w:rPr>
          <w:spacing w:val="7"/>
        </w:rPr>
        <w:t xml:space="preserve"> </w:t>
      </w:r>
      <w:r>
        <w:t>EDUCACIÓN</w:t>
      </w:r>
      <w:r>
        <w:rPr>
          <w:spacing w:val="7"/>
        </w:rPr>
        <w:t xml:space="preserve"> </w:t>
      </w:r>
      <w:r>
        <w:t>SUPERIOR</w:t>
      </w:r>
      <w:r>
        <w:rPr>
          <w:spacing w:val="6"/>
        </w:rPr>
        <w:t xml:space="preserve"> </w:t>
      </w:r>
      <w:r>
        <w:t>EN</w:t>
      </w:r>
      <w:r>
        <w:rPr>
          <w:spacing w:val="7"/>
        </w:rPr>
        <w:t xml:space="preserve"> </w:t>
      </w:r>
      <w:r>
        <w:rPr>
          <w:spacing w:val="-2"/>
        </w:rPr>
        <w:t>BRASIL</w:t>
      </w:r>
    </w:p>
    <w:p w14:paraId="723FA32F" w14:textId="77777777" w:rsidR="0014798C" w:rsidRDefault="0014798C">
      <w:pPr>
        <w:pStyle w:val="Textoindependiente"/>
        <w:spacing w:before="35"/>
      </w:pPr>
    </w:p>
    <w:p w14:paraId="0E644427" w14:textId="77777777" w:rsidR="0014798C" w:rsidRDefault="004E1F0B">
      <w:pPr>
        <w:pStyle w:val="Textoindependiente"/>
        <w:spacing w:line="326" w:lineRule="auto"/>
        <w:ind w:left="1337" w:right="2004" w:hanging="5"/>
      </w:pPr>
      <w:r>
        <w:t>En su informe sobre su visita a Brasil en 2013, el Grupo de Trabajo de Expertos de las Naciones Unidas sobre los Afrodescendientes describió cómo Brasil había sido “un líder regional en políticas de acción afirmativa en materia de empleo y educación para los afrobrasileños y otros grupos marginados”. 490</w:t>
      </w:r>
    </w:p>
    <w:p w14:paraId="37974C3C" w14:textId="77777777" w:rsidR="0014798C" w:rsidRDefault="004E1F0B">
      <w:pPr>
        <w:pStyle w:val="Textoindependiente"/>
        <w:spacing w:before="112" w:line="326" w:lineRule="auto"/>
        <w:ind w:left="1332" w:right="1626"/>
      </w:pPr>
      <w:r>
        <w:t>En 2003, el Decreto No. 4886 creó la Política Nacional para la Promoción de la Igualdad Racial en Brasil, que preveía acciones afirmativas para las personas de estos grupos. De conformidad con la Política, desde 2004 están en funcionamiento cuotas en algunas universidades, lo que ha permitido un mayor acceso a la educación superior.491</w:t>
      </w:r>
    </w:p>
    <w:p w14:paraId="425458E3" w14:textId="77777777" w:rsidR="0014798C" w:rsidRDefault="0014798C">
      <w:pPr>
        <w:pStyle w:val="Textoindependiente"/>
        <w:spacing w:before="178"/>
      </w:pPr>
    </w:p>
    <w:p w14:paraId="38E2D40F" w14:textId="77777777" w:rsidR="0014798C" w:rsidRDefault="004E1F0B">
      <w:pPr>
        <w:pStyle w:val="Textoindependiente"/>
        <w:spacing w:line="326" w:lineRule="auto"/>
        <w:ind w:left="1334" w:right="1463" w:hanging="1"/>
      </w:pPr>
      <w:r>
        <w:t>Luego</w:t>
      </w:r>
      <w:r>
        <w:rPr>
          <w:spacing w:val="16"/>
        </w:rPr>
        <w:t xml:space="preserve"> </w:t>
      </w:r>
      <w:r>
        <w:t>de</w:t>
      </w:r>
      <w:r>
        <w:rPr>
          <w:spacing w:val="16"/>
        </w:rPr>
        <w:t xml:space="preserve"> </w:t>
      </w:r>
      <w:r>
        <w:t>una</w:t>
      </w:r>
      <w:r>
        <w:rPr>
          <w:spacing w:val="16"/>
        </w:rPr>
        <w:t xml:space="preserve"> </w:t>
      </w:r>
      <w:r>
        <w:t>serie</w:t>
      </w:r>
      <w:r>
        <w:rPr>
          <w:spacing w:val="16"/>
        </w:rPr>
        <w:t xml:space="preserve"> </w:t>
      </w:r>
      <w:r>
        <w:t>de</w:t>
      </w:r>
      <w:r>
        <w:rPr>
          <w:spacing w:val="16"/>
        </w:rPr>
        <w:t xml:space="preserve"> </w:t>
      </w:r>
      <w:r>
        <w:t>impugnaciones</w:t>
      </w:r>
      <w:r>
        <w:rPr>
          <w:spacing w:val="16"/>
        </w:rPr>
        <w:t xml:space="preserve"> </w:t>
      </w:r>
      <w:r>
        <w:t>legales</w:t>
      </w:r>
      <w:r>
        <w:rPr>
          <w:spacing w:val="16"/>
        </w:rPr>
        <w:t xml:space="preserve"> </w:t>
      </w:r>
      <w:r>
        <w:t>que</w:t>
      </w:r>
      <w:r>
        <w:rPr>
          <w:spacing w:val="16"/>
        </w:rPr>
        <w:t xml:space="preserve"> </w:t>
      </w:r>
      <w:r>
        <w:t>afirmaban</w:t>
      </w:r>
      <w:r>
        <w:rPr>
          <w:spacing w:val="16"/>
        </w:rPr>
        <w:t xml:space="preserve"> </w:t>
      </w:r>
      <w:r>
        <w:t>que</w:t>
      </w:r>
      <w:r>
        <w:rPr>
          <w:spacing w:val="16"/>
        </w:rPr>
        <w:t xml:space="preserve"> </w:t>
      </w:r>
      <w:r>
        <w:t>las</w:t>
      </w:r>
      <w:r>
        <w:rPr>
          <w:spacing w:val="16"/>
        </w:rPr>
        <w:t xml:space="preserve"> </w:t>
      </w:r>
      <w:r>
        <w:t>políticas</w:t>
      </w:r>
      <w:r>
        <w:rPr>
          <w:spacing w:val="16"/>
        </w:rPr>
        <w:t xml:space="preserve"> </w:t>
      </w:r>
      <w:r>
        <w:t>de</w:t>
      </w:r>
      <w:r>
        <w:rPr>
          <w:spacing w:val="16"/>
        </w:rPr>
        <w:t xml:space="preserve"> </w:t>
      </w:r>
      <w:r>
        <w:t>acción</w:t>
      </w:r>
      <w:r>
        <w:rPr>
          <w:spacing w:val="16"/>
        </w:rPr>
        <w:t xml:space="preserve"> </w:t>
      </w:r>
      <w:r>
        <w:t>afirmativa</w:t>
      </w:r>
      <w:r>
        <w:rPr>
          <w:spacing w:val="16"/>
        </w:rPr>
        <w:t xml:space="preserve"> </w:t>
      </w:r>
      <w:r>
        <w:t>en</w:t>
      </w:r>
      <w:r>
        <w:rPr>
          <w:spacing w:val="16"/>
        </w:rPr>
        <w:t xml:space="preserve"> </w:t>
      </w:r>
      <w:r>
        <w:t>la</w:t>
      </w:r>
      <w:r>
        <w:rPr>
          <w:spacing w:val="16"/>
        </w:rPr>
        <w:t xml:space="preserve"> </w:t>
      </w:r>
      <w:r>
        <w:t>educación superior constituían discriminación, el 26 de abril de 2012, el Tribunal Supremo Federal de Brasil dictaminó por unanimidad que el uso de cuotas raciales en la educación era constitucional.492</w:t>
      </w:r>
    </w:p>
    <w:p w14:paraId="70EE03E3" w14:textId="77777777" w:rsidR="0014798C" w:rsidRDefault="004E1F0B">
      <w:pPr>
        <w:pStyle w:val="Textoindependiente"/>
        <w:spacing w:before="112" w:line="271" w:lineRule="auto"/>
        <w:ind w:left="1332" w:right="1840" w:firstLine="5"/>
      </w:pPr>
      <w:r>
        <w:t>El 29 de agosto de 2012 se aprobó la Ley de Cuotas (Ley N° 12.711). Según la ley, el 50 por ciento de las vacantes en las universidades federales y en las instituciones de educación superior técnica “están reservadas para estudiantes</w:t>
      </w:r>
    </w:p>
    <w:p w14:paraId="7617FD65" w14:textId="77777777" w:rsidR="0014798C" w:rsidRDefault="0014798C">
      <w:pPr>
        <w:pStyle w:val="Textoindependiente"/>
        <w:rPr>
          <w:sz w:val="13"/>
        </w:rPr>
      </w:pPr>
    </w:p>
    <w:p w14:paraId="1160F51E" w14:textId="77777777" w:rsidR="0014798C" w:rsidRDefault="0014798C">
      <w:pPr>
        <w:pStyle w:val="Textoindependiente"/>
        <w:rPr>
          <w:sz w:val="13"/>
        </w:rPr>
      </w:pPr>
    </w:p>
    <w:p w14:paraId="4FA84941" w14:textId="77777777" w:rsidR="0014798C" w:rsidRDefault="0014798C">
      <w:pPr>
        <w:pStyle w:val="Textoindependiente"/>
        <w:rPr>
          <w:sz w:val="13"/>
        </w:rPr>
      </w:pPr>
    </w:p>
    <w:p w14:paraId="060F15CA" w14:textId="77777777" w:rsidR="0014798C" w:rsidRDefault="0014798C">
      <w:pPr>
        <w:pStyle w:val="Textoindependiente"/>
        <w:rPr>
          <w:sz w:val="13"/>
        </w:rPr>
      </w:pPr>
    </w:p>
    <w:p w14:paraId="0BC38B53" w14:textId="77777777" w:rsidR="0014798C" w:rsidRDefault="0014798C">
      <w:pPr>
        <w:pStyle w:val="Textoindependiente"/>
        <w:rPr>
          <w:sz w:val="13"/>
        </w:rPr>
      </w:pPr>
    </w:p>
    <w:p w14:paraId="67C4B7AE" w14:textId="77777777" w:rsidR="0014798C" w:rsidRDefault="0014798C">
      <w:pPr>
        <w:pStyle w:val="Textoindependiente"/>
        <w:rPr>
          <w:sz w:val="13"/>
        </w:rPr>
      </w:pPr>
    </w:p>
    <w:p w14:paraId="00C787D3" w14:textId="77777777" w:rsidR="0014798C" w:rsidRDefault="0014798C">
      <w:pPr>
        <w:pStyle w:val="Textoindependiente"/>
        <w:spacing w:before="28"/>
        <w:rPr>
          <w:sz w:val="13"/>
        </w:rPr>
      </w:pPr>
    </w:p>
    <w:p w14:paraId="01B25591" w14:textId="77777777" w:rsidR="0014798C" w:rsidRDefault="004E1F0B">
      <w:pPr>
        <w:pStyle w:val="Prrafodelista"/>
        <w:numPr>
          <w:ilvl w:val="0"/>
          <w:numId w:val="57"/>
        </w:numPr>
        <w:tabs>
          <w:tab w:val="left" w:pos="1353"/>
        </w:tabs>
        <w:ind w:left="1353" w:hanging="248"/>
        <w:rPr>
          <w:sz w:val="13"/>
        </w:rPr>
      </w:pPr>
      <w:r>
        <w:rPr>
          <w:spacing w:val="-2"/>
          <w:sz w:val="13"/>
        </w:rPr>
        <w:t>Comité</w:t>
      </w:r>
      <w:r>
        <w:rPr>
          <w:spacing w:val="2"/>
          <w:sz w:val="13"/>
        </w:rPr>
        <w:t xml:space="preserve"> </w:t>
      </w:r>
      <w:r>
        <w:rPr>
          <w:spacing w:val="-2"/>
          <w:sz w:val="13"/>
        </w:rPr>
        <w:t>para</w:t>
      </w:r>
      <w:r>
        <w:rPr>
          <w:spacing w:val="2"/>
          <w:sz w:val="13"/>
        </w:rPr>
        <w:t xml:space="preserve"> </w:t>
      </w:r>
      <w:r>
        <w:rPr>
          <w:spacing w:val="-2"/>
          <w:sz w:val="13"/>
        </w:rPr>
        <w:t>la</w:t>
      </w:r>
      <w:r>
        <w:rPr>
          <w:spacing w:val="2"/>
          <w:sz w:val="13"/>
        </w:rPr>
        <w:t xml:space="preserve"> </w:t>
      </w:r>
      <w:r>
        <w:rPr>
          <w:spacing w:val="-2"/>
          <w:sz w:val="13"/>
        </w:rPr>
        <w:t>Eliminación</w:t>
      </w:r>
      <w:r>
        <w:rPr>
          <w:spacing w:val="3"/>
          <w:sz w:val="13"/>
        </w:rPr>
        <w:t xml:space="preserve"> </w:t>
      </w:r>
      <w:r>
        <w:rPr>
          <w:spacing w:val="-2"/>
          <w:sz w:val="13"/>
        </w:rPr>
        <w:t>de</w:t>
      </w:r>
      <w:r>
        <w:rPr>
          <w:spacing w:val="2"/>
          <w:sz w:val="13"/>
        </w:rPr>
        <w:t xml:space="preserve"> </w:t>
      </w:r>
      <w:r>
        <w:rPr>
          <w:spacing w:val="-2"/>
          <w:sz w:val="13"/>
        </w:rPr>
        <w:t>la</w:t>
      </w:r>
      <w:r>
        <w:rPr>
          <w:spacing w:val="2"/>
          <w:sz w:val="13"/>
        </w:rPr>
        <w:t xml:space="preserve"> </w:t>
      </w:r>
      <w:r>
        <w:rPr>
          <w:spacing w:val="-2"/>
          <w:sz w:val="13"/>
        </w:rPr>
        <w:t>Discriminación</w:t>
      </w:r>
      <w:r>
        <w:rPr>
          <w:spacing w:val="3"/>
          <w:sz w:val="13"/>
        </w:rPr>
        <w:t xml:space="preserve"> </w:t>
      </w:r>
      <w:r>
        <w:rPr>
          <w:spacing w:val="-2"/>
          <w:sz w:val="13"/>
        </w:rPr>
        <w:t>Racial,</w:t>
      </w:r>
      <w:r>
        <w:rPr>
          <w:spacing w:val="2"/>
          <w:sz w:val="13"/>
        </w:rPr>
        <w:t xml:space="preserve"> </w:t>
      </w:r>
      <w:r>
        <w:rPr>
          <w:spacing w:val="-2"/>
          <w:sz w:val="13"/>
        </w:rPr>
        <w:t>recomendación</w:t>
      </w:r>
      <w:r>
        <w:rPr>
          <w:spacing w:val="2"/>
          <w:sz w:val="13"/>
        </w:rPr>
        <w:t xml:space="preserve"> </w:t>
      </w:r>
      <w:r>
        <w:rPr>
          <w:spacing w:val="-2"/>
          <w:sz w:val="13"/>
        </w:rPr>
        <w:t>general</w:t>
      </w:r>
      <w:r>
        <w:rPr>
          <w:spacing w:val="3"/>
          <w:sz w:val="13"/>
        </w:rPr>
        <w:t xml:space="preserve"> </w:t>
      </w:r>
      <w:r>
        <w:rPr>
          <w:spacing w:val="-2"/>
          <w:sz w:val="13"/>
        </w:rPr>
        <w:t>núm.</w:t>
      </w:r>
      <w:r>
        <w:rPr>
          <w:spacing w:val="2"/>
          <w:sz w:val="13"/>
        </w:rPr>
        <w:t xml:space="preserve"> </w:t>
      </w:r>
      <w:r>
        <w:rPr>
          <w:spacing w:val="-2"/>
          <w:sz w:val="13"/>
        </w:rPr>
        <w:t>32</w:t>
      </w:r>
      <w:r>
        <w:rPr>
          <w:spacing w:val="2"/>
          <w:sz w:val="13"/>
        </w:rPr>
        <w:t xml:space="preserve"> </w:t>
      </w:r>
      <w:r>
        <w:rPr>
          <w:spacing w:val="-2"/>
          <w:sz w:val="13"/>
        </w:rPr>
        <w:t>(2009),</w:t>
      </w:r>
      <w:r>
        <w:rPr>
          <w:spacing w:val="4"/>
          <w:sz w:val="13"/>
        </w:rPr>
        <w:t xml:space="preserve"> </w:t>
      </w:r>
      <w:r>
        <w:rPr>
          <w:spacing w:val="-2"/>
          <w:sz w:val="13"/>
        </w:rPr>
        <w:t>párr.</w:t>
      </w:r>
      <w:r>
        <w:rPr>
          <w:spacing w:val="2"/>
          <w:sz w:val="13"/>
        </w:rPr>
        <w:t xml:space="preserve"> </w:t>
      </w:r>
      <w:r>
        <w:rPr>
          <w:spacing w:val="-5"/>
          <w:sz w:val="13"/>
        </w:rPr>
        <w:t>13.</w:t>
      </w:r>
    </w:p>
    <w:p w14:paraId="318939B9" w14:textId="77777777" w:rsidR="0014798C" w:rsidRDefault="004E1F0B">
      <w:pPr>
        <w:pStyle w:val="Prrafodelista"/>
        <w:numPr>
          <w:ilvl w:val="0"/>
          <w:numId w:val="57"/>
        </w:numPr>
        <w:tabs>
          <w:tab w:val="left" w:pos="1353"/>
        </w:tabs>
        <w:spacing w:before="87"/>
        <w:ind w:left="1353" w:hanging="248"/>
        <w:rPr>
          <w:sz w:val="13"/>
        </w:rPr>
      </w:pPr>
      <w:r>
        <w:rPr>
          <w:spacing w:val="-2"/>
          <w:sz w:val="13"/>
        </w:rPr>
        <w:t>Comité</w:t>
      </w:r>
      <w:r>
        <w:rPr>
          <w:spacing w:val="2"/>
          <w:sz w:val="13"/>
        </w:rPr>
        <w:t xml:space="preserve"> </w:t>
      </w:r>
      <w:r>
        <w:rPr>
          <w:spacing w:val="-2"/>
          <w:sz w:val="13"/>
        </w:rPr>
        <w:t>para</w:t>
      </w:r>
      <w:r>
        <w:rPr>
          <w:spacing w:val="2"/>
          <w:sz w:val="13"/>
        </w:rPr>
        <w:t xml:space="preserve"> </w:t>
      </w:r>
      <w:r>
        <w:rPr>
          <w:spacing w:val="-2"/>
          <w:sz w:val="13"/>
        </w:rPr>
        <w:t>la</w:t>
      </w:r>
      <w:r>
        <w:rPr>
          <w:spacing w:val="2"/>
          <w:sz w:val="13"/>
        </w:rPr>
        <w:t xml:space="preserve"> </w:t>
      </w:r>
      <w:r>
        <w:rPr>
          <w:spacing w:val="-2"/>
          <w:sz w:val="13"/>
        </w:rPr>
        <w:t>Eliminación</w:t>
      </w:r>
      <w:r>
        <w:rPr>
          <w:spacing w:val="2"/>
          <w:sz w:val="13"/>
        </w:rPr>
        <w:t xml:space="preserve"> </w:t>
      </w:r>
      <w:r>
        <w:rPr>
          <w:spacing w:val="-2"/>
          <w:sz w:val="13"/>
        </w:rPr>
        <w:t>de</w:t>
      </w:r>
      <w:r>
        <w:rPr>
          <w:spacing w:val="2"/>
          <w:sz w:val="13"/>
        </w:rPr>
        <w:t xml:space="preserve"> </w:t>
      </w:r>
      <w:r>
        <w:rPr>
          <w:spacing w:val="-2"/>
          <w:sz w:val="13"/>
        </w:rPr>
        <w:t>la</w:t>
      </w:r>
      <w:r>
        <w:rPr>
          <w:spacing w:val="3"/>
          <w:sz w:val="13"/>
        </w:rPr>
        <w:t xml:space="preserve"> </w:t>
      </w:r>
      <w:r>
        <w:rPr>
          <w:spacing w:val="-2"/>
          <w:sz w:val="13"/>
        </w:rPr>
        <w:t>Discriminación</w:t>
      </w:r>
      <w:r>
        <w:rPr>
          <w:spacing w:val="2"/>
          <w:sz w:val="13"/>
        </w:rPr>
        <w:t xml:space="preserve"> </w:t>
      </w:r>
      <w:r>
        <w:rPr>
          <w:spacing w:val="-2"/>
          <w:sz w:val="13"/>
        </w:rPr>
        <w:t>contra</w:t>
      </w:r>
      <w:r>
        <w:rPr>
          <w:spacing w:val="2"/>
          <w:sz w:val="13"/>
        </w:rPr>
        <w:t xml:space="preserve"> </w:t>
      </w:r>
      <w:r>
        <w:rPr>
          <w:spacing w:val="-2"/>
          <w:sz w:val="13"/>
        </w:rPr>
        <w:t>la</w:t>
      </w:r>
      <w:r>
        <w:rPr>
          <w:spacing w:val="2"/>
          <w:sz w:val="13"/>
        </w:rPr>
        <w:t xml:space="preserve"> </w:t>
      </w:r>
      <w:r>
        <w:rPr>
          <w:spacing w:val="-2"/>
          <w:sz w:val="13"/>
        </w:rPr>
        <w:t>Mujer,</w:t>
      </w:r>
      <w:r>
        <w:rPr>
          <w:spacing w:val="2"/>
          <w:sz w:val="13"/>
        </w:rPr>
        <w:t xml:space="preserve"> </w:t>
      </w:r>
      <w:r>
        <w:rPr>
          <w:spacing w:val="-2"/>
          <w:sz w:val="13"/>
        </w:rPr>
        <w:t>recomendación</w:t>
      </w:r>
      <w:r>
        <w:rPr>
          <w:spacing w:val="3"/>
          <w:sz w:val="13"/>
        </w:rPr>
        <w:t xml:space="preserve"> </w:t>
      </w:r>
      <w:r>
        <w:rPr>
          <w:spacing w:val="-2"/>
          <w:sz w:val="13"/>
        </w:rPr>
        <w:t>general</w:t>
      </w:r>
      <w:r>
        <w:rPr>
          <w:spacing w:val="2"/>
          <w:sz w:val="13"/>
        </w:rPr>
        <w:t xml:space="preserve"> </w:t>
      </w:r>
      <w:r>
        <w:rPr>
          <w:spacing w:val="-2"/>
          <w:sz w:val="13"/>
        </w:rPr>
        <w:t>núm.</w:t>
      </w:r>
      <w:r>
        <w:rPr>
          <w:spacing w:val="2"/>
          <w:sz w:val="13"/>
        </w:rPr>
        <w:t xml:space="preserve"> </w:t>
      </w:r>
      <w:r>
        <w:rPr>
          <w:spacing w:val="-2"/>
          <w:sz w:val="13"/>
        </w:rPr>
        <w:t>25</w:t>
      </w:r>
      <w:r>
        <w:rPr>
          <w:spacing w:val="2"/>
          <w:sz w:val="13"/>
        </w:rPr>
        <w:t xml:space="preserve"> </w:t>
      </w:r>
      <w:r>
        <w:rPr>
          <w:spacing w:val="-2"/>
          <w:sz w:val="13"/>
        </w:rPr>
        <w:t>(2004),</w:t>
      </w:r>
      <w:r>
        <w:rPr>
          <w:spacing w:val="3"/>
          <w:sz w:val="13"/>
        </w:rPr>
        <w:t xml:space="preserve"> </w:t>
      </w:r>
      <w:r>
        <w:rPr>
          <w:spacing w:val="-2"/>
          <w:sz w:val="13"/>
        </w:rPr>
        <w:t>párr.</w:t>
      </w:r>
      <w:r>
        <w:rPr>
          <w:spacing w:val="3"/>
          <w:sz w:val="13"/>
        </w:rPr>
        <w:t xml:space="preserve"> </w:t>
      </w:r>
      <w:r>
        <w:rPr>
          <w:spacing w:val="-5"/>
          <w:sz w:val="13"/>
        </w:rPr>
        <w:t>22.</w:t>
      </w:r>
    </w:p>
    <w:p w14:paraId="78784D53" w14:textId="77777777" w:rsidR="0014798C" w:rsidRDefault="004E1F0B">
      <w:pPr>
        <w:pStyle w:val="Prrafodelista"/>
        <w:numPr>
          <w:ilvl w:val="0"/>
          <w:numId w:val="57"/>
        </w:numPr>
        <w:tabs>
          <w:tab w:val="left" w:pos="1353"/>
        </w:tabs>
        <w:spacing w:before="87"/>
        <w:ind w:left="1353" w:hanging="248"/>
        <w:rPr>
          <w:sz w:val="13"/>
        </w:rPr>
      </w:pPr>
      <w:r>
        <w:rPr>
          <w:sz w:val="13"/>
        </w:rPr>
        <w:t>Comité</w:t>
      </w:r>
      <w:r>
        <w:rPr>
          <w:spacing w:val="-9"/>
          <w:sz w:val="13"/>
        </w:rPr>
        <w:t xml:space="preserve"> </w:t>
      </w:r>
      <w:r>
        <w:rPr>
          <w:sz w:val="13"/>
        </w:rPr>
        <w:t>sobre</w:t>
      </w:r>
      <w:r>
        <w:rPr>
          <w:spacing w:val="-8"/>
          <w:sz w:val="13"/>
        </w:rPr>
        <w:t xml:space="preserve"> </w:t>
      </w:r>
      <w:r>
        <w:rPr>
          <w:sz w:val="13"/>
        </w:rPr>
        <w:t>los</w:t>
      </w:r>
      <w:r>
        <w:rPr>
          <w:spacing w:val="-8"/>
          <w:sz w:val="13"/>
        </w:rPr>
        <w:t xml:space="preserve"> </w:t>
      </w:r>
      <w:r>
        <w:rPr>
          <w:sz w:val="13"/>
        </w:rPr>
        <w:t>Derechos</w:t>
      </w:r>
      <w:r>
        <w:rPr>
          <w:spacing w:val="-8"/>
          <w:sz w:val="13"/>
        </w:rPr>
        <w:t xml:space="preserve"> </w:t>
      </w:r>
      <w:r>
        <w:rPr>
          <w:sz w:val="13"/>
        </w:rPr>
        <w:t>de</w:t>
      </w:r>
      <w:r>
        <w:rPr>
          <w:spacing w:val="-8"/>
          <w:sz w:val="13"/>
        </w:rPr>
        <w:t xml:space="preserve"> </w:t>
      </w:r>
      <w:r>
        <w:rPr>
          <w:sz w:val="13"/>
        </w:rPr>
        <w:t>las</w:t>
      </w:r>
      <w:r>
        <w:rPr>
          <w:spacing w:val="-9"/>
          <w:sz w:val="13"/>
        </w:rPr>
        <w:t xml:space="preserve"> </w:t>
      </w:r>
      <w:r>
        <w:rPr>
          <w:sz w:val="13"/>
        </w:rPr>
        <w:t>Personas</w:t>
      </w:r>
      <w:r>
        <w:rPr>
          <w:spacing w:val="-8"/>
          <w:sz w:val="13"/>
        </w:rPr>
        <w:t xml:space="preserve"> </w:t>
      </w:r>
      <w:r>
        <w:rPr>
          <w:sz w:val="13"/>
        </w:rPr>
        <w:t>con</w:t>
      </w:r>
      <w:r>
        <w:rPr>
          <w:spacing w:val="-8"/>
          <w:sz w:val="13"/>
        </w:rPr>
        <w:t xml:space="preserve"> </w:t>
      </w:r>
      <w:r>
        <w:rPr>
          <w:sz w:val="13"/>
        </w:rPr>
        <w:t>Discapacidad,</w:t>
      </w:r>
      <w:r>
        <w:rPr>
          <w:spacing w:val="-7"/>
          <w:sz w:val="13"/>
        </w:rPr>
        <w:t xml:space="preserve"> </w:t>
      </w:r>
      <w:r>
        <w:rPr>
          <w:sz w:val="13"/>
        </w:rPr>
        <w:t>observación</w:t>
      </w:r>
      <w:r>
        <w:rPr>
          <w:spacing w:val="-9"/>
          <w:sz w:val="13"/>
        </w:rPr>
        <w:t xml:space="preserve"> </w:t>
      </w:r>
      <w:r>
        <w:rPr>
          <w:sz w:val="13"/>
        </w:rPr>
        <w:t>general</w:t>
      </w:r>
      <w:r>
        <w:rPr>
          <w:spacing w:val="-8"/>
          <w:sz w:val="13"/>
        </w:rPr>
        <w:t xml:space="preserve"> </w:t>
      </w:r>
      <w:r>
        <w:rPr>
          <w:sz w:val="13"/>
        </w:rPr>
        <w:t>núm.</w:t>
      </w:r>
      <w:r>
        <w:rPr>
          <w:spacing w:val="-8"/>
          <w:sz w:val="13"/>
        </w:rPr>
        <w:t xml:space="preserve"> </w:t>
      </w:r>
      <w:r>
        <w:rPr>
          <w:sz w:val="13"/>
        </w:rPr>
        <w:t>6</w:t>
      </w:r>
      <w:r>
        <w:rPr>
          <w:spacing w:val="-8"/>
          <w:sz w:val="13"/>
        </w:rPr>
        <w:t xml:space="preserve"> </w:t>
      </w:r>
      <w:r>
        <w:rPr>
          <w:sz w:val="13"/>
        </w:rPr>
        <w:t>(2018),</w:t>
      </w:r>
      <w:r>
        <w:rPr>
          <w:spacing w:val="-8"/>
          <w:sz w:val="13"/>
        </w:rPr>
        <w:t xml:space="preserve"> </w:t>
      </w:r>
      <w:r>
        <w:rPr>
          <w:sz w:val="13"/>
        </w:rPr>
        <w:t>párr.</w:t>
      </w:r>
      <w:r>
        <w:rPr>
          <w:spacing w:val="-8"/>
          <w:sz w:val="13"/>
        </w:rPr>
        <w:t xml:space="preserve"> </w:t>
      </w:r>
      <w:r>
        <w:rPr>
          <w:spacing w:val="-5"/>
          <w:sz w:val="13"/>
        </w:rPr>
        <w:t>28.</w:t>
      </w:r>
    </w:p>
    <w:p w14:paraId="3A3B55E9" w14:textId="77777777" w:rsidR="0014798C" w:rsidRDefault="004E1F0B">
      <w:pPr>
        <w:pStyle w:val="Prrafodelista"/>
        <w:numPr>
          <w:ilvl w:val="0"/>
          <w:numId w:val="57"/>
        </w:numPr>
        <w:tabs>
          <w:tab w:val="left" w:pos="1353"/>
        </w:tabs>
        <w:spacing w:before="87"/>
        <w:ind w:left="1353" w:hanging="248"/>
        <w:rPr>
          <w:sz w:val="13"/>
        </w:rPr>
      </w:pPr>
      <w:r>
        <w:rPr>
          <w:spacing w:val="-2"/>
          <w:sz w:val="13"/>
        </w:rPr>
        <w:t>Comité</w:t>
      </w:r>
      <w:r>
        <w:rPr>
          <w:spacing w:val="2"/>
          <w:sz w:val="13"/>
        </w:rPr>
        <w:t xml:space="preserve"> </w:t>
      </w:r>
      <w:r>
        <w:rPr>
          <w:spacing w:val="-2"/>
          <w:sz w:val="13"/>
        </w:rPr>
        <w:t>para</w:t>
      </w:r>
      <w:r>
        <w:rPr>
          <w:spacing w:val="2"/>
          <w:sz w:val="13"/>
        </w:rPr>
        <w:t xml:space="preserve"> </w:t>
      </w:r>
      <w:r>
        <w:rPr>
          <w:spacing w:val="-2"/>
          <w:sz w:val="13"/>
        </w:rPr>
        <w:t>la</w:t>
      </w:r>
      <w:r>
        <w:rPr>
          <w:spacing w:val="2"/>
          <w:sz w:val="13"/>
        </w:rPr>
        <w:t xml:space="preserve"> </w:t>
      </w:r>
      <w:r>
        <w:rPr>
          <w:spacing w:val="-2"/>
          <w:sz w:val="13"/>
        </w:rPr>
        <w:t>Eliminación</w:t>
      </w:r>
      <w:r>
        <w:rPr>
          <w:spacing w:val="3"/>
          <w:sz w:val="13"/>
        </w:rPr>
        <w:t xml:space="preserve"> </w:t>
      </w:r>
      <w:r>
        <w:rPr>
          <w:spacing w:val="-2"/>
          <w:sz w:val="13"/>
        </w:rPr>
        <w:t>de</w:t>
      </w:r>
      <w:r>
        <w:rPr>
          <w:spacing w:val="2"/>
          <w:sz w:val="13"/>
        </w:rPr>
        <w:t xml:space="preserve"> </w:t>
      </w:r>
      <w:r>
        <w:rPr>
          <w:spacing w:val="-2"/>
          <w:sz w:val="13"/>
        </w:rPr>
        <w:t>la</w:t>
      </w:r>
      <w:r>
        <w:rPr>
          <w:spacing w:val="2"/>
          <w:sz w:val="13"/>
        </w:rPr>
        <w:t xml:space="preserve"> </w:t>
      </w:r>
      <w:r>
        <w:rPr>
          <w:spacing w:val="-2"/>
          <w:sz w:val="13"/>
        </w:rPr>
        <w:t>Discriminación</w:t>
      </w:r>
      <w:r>
        <w:rPr>
          <w:spacing w:val="3"/>
          <w:sz w:val="13"/>
        </w:rPr>
        <w:t xml:space="preserve"> </w:t>
      </w:r>
      <w:r>
        <w:rPr>
          <w:spacing w:val="-2"/>
          <w:sz w:val="13"/>
        </w:rPr>
        <w:t>Racial,</w:t>
      </w:r>
      <w:r>
        <w:rPr>
          <w:spacing w:val="2"/>
          <w:sz w:val="13"/>
        </w:rPr>
        <w:t xml:space="preserve"> </w:t>
      </w:r>
      <w:r>
        <w:rPr>
          <w:spacing w:val="-2"/>
          <w:sz w:val="13"/>
        </w:rPr>
        <w:t>recomendación</w:t>
      </w:r>
      <w:r>
        <w:rPr>
          <w:spacing w:val="2"/>
          <w:sz w:val="13"/>
        </w:rPr>
        <w:t xml:space="preserve"> </w:t>
      </w:r>
      <w:r>
        <w:rPr>
          <w:spacing w:val="-2"/>
          <w:sz w:val="13"/>
        </w:rPr>
        <w:t>general</w:t>
      </w:r>
      <w:r>
        <w:rPr>
          <w:spacing w:val="3"/>
          <w:sz w:val="13"/>
        </w:rPr>
        <w:t xml:space="preserve"> </w:t>
      </w:r>
      <w:r>
        <w:rPr>
          <w:spacing w:val="-2"/>
          <w:sz w:val="13"/>
        </w:rPr>
        <w:t>núm.</w:t>
      </w:r>
      <w:r>
        <w:rPr>
          <w:spacing w:val="2"/>
          <w:sz w:val="13"/>
        </w:rPr>
        <w:t xml:space="preserve"> </w:t>
      </w:r>
      <w:r>
        <w:rPr>
          <w:spacing w:val="-2"/>
          <w:sz w:val="13"/>
        </w:rPr>
        <w:t>32</w:t>
      </w:r>
      <w:r>
        <w:rPr>
          <w:spacing w:val="2"/>
          <w:sz w:val="13"/>
        </w:rPr>
        <w:t xml:space="preserve"> </w:t>
      </w:r>
      <w:r>
        <w:rPr>
          <w:spacing w:val="-2"/>
          <w:sz w:val="13"/>
        </w:rPr>
        <w:t>(2009),</w:t>
      </w:r>
      <w:r>
        <w:rPr>
          <w:spacing w:val="4"/>
          <w:sz w:val="13"/>
        </w:rPr>
        <w:t xml:space="preserve"> </w:t>
      </w:r>
      <w:r>
        <w:rPr>
          <w:spacing w:val="-2"/>
          <w:sz w:val="13"/>
        </w:rPr>
        <w:t>párr.</w:t>
      </w:r>
      <w:r>
        <w:rPr>
          <w:spacing w:val="2"/>
          <w:sz w:val="13"/>
        </w:rPr>
        <w:t xml:space="preserve"> </w:t>
      </w:r>
      <w:r>
        <w:rPr>
          <w:spacing w:val="-5"/>
          <w:sz w:val="13"/>
        </w:rPr>
        <w:t>22.</w:t>
      </w:r>
    </w:p>
    <w:p w14:paraId="115BAB55" w14:textId="77777777" w:rsidR="0014798C" w:rsidRDefault="004E1F0B">
      <w:pPr>
        <w:pStyle w:val="Prrafodelista"/>
        <w:numPr>
          <w:ilvl w:val="0"/>
          <w:numId w:val="57"/>
        </w:numPr>
        <w:tabs>
          <w:tab w:val="left" w:pos="1353"/>
        </w:tabs>
        <w:spacing w:before="87"/>
        <w:ind w:left="1353" w:hanging="248"/>
        <w:rPr>
          <w:sz w:val="13"/>
        </w:rPr>
      </w:pPr>
      <w:r>
        <w:rPr>
          <w:spacing w:val="-2"/>
          <w:sz w:val="13"/>
        </w:rPr>
        <w:t>Comité</w:t>
      </w:r>
      <w:r>
        <w:rPr>
          <w:spacing w:val="2"/>
          <w:sz w:val="13"/>
        </w:rPr>
        <w:t xml:space="preserve"> </w:t>
      </w:r>
      <w:r>
        <w:rPr>
          <w:spacing w:val="-2"/>
          <w:sz w:val="13"/>
        </w:rPr>
        <w:t>para</w:t>
      </w:r>
      <w:r>
        <w:rPr>
          <w:spacing w:val="2"/>
          <w:sz w:val="13"/>
        </w:rPr>
        <w:t xml:space="preserve"> </w:t>
      </w:r>
      <w:r>
        <w:rPr>
          <w:spacing w:val="-2"/>
          <w:sz w:val="13"/>
        </w:rPr>
        <w:t>la</w:t>
      </w:r>
      <w:r>
        <w:rPr>
          <w:spacing w:val="2"/>
          <w:sz w:val="13"/>
        </w:rPr>
        <w:t xml:space="preserve"> </w:t>
      </w:r>
      <w:r>
        <w:rPr>
          <w:spacing w:val="-2"/>
          <w:sz w:val="13"/>
        </w:rPr>
        <w:t>Eliminación</w:t>
      </w:r>
      <w:r>
        <w:rPr>
          <w:spacing w:val="2"/>
          <w:sz w:val="13"/>
        </w:rPr>
        <w:t xml:space="preserve"> </w:t>
      </w:r>
      <w:r>
        <w:rPr>
          <w:spacing w:val="-2"/>
          <w:sz w:val="13"/>
        </w:rPr>
        <w:t>de</w:t>
      </w:r>
      <w:r>
        <w:rPr>
          <w:spacing w:val="3"/>
          <w:sz w:val="13"/>
        </w:rPr>
        <w:t xml:space="preserve"> </w:t>
      </w:r>
      <w:r>
        <w:rPr>
          <w:spacing w:val="-2"/>
          <w:sz w:val="13"/>
        </w:rPr>
        <w:t>la</w:t>
      </w:r>
      <w:r>
        <w:rPr>
          <w:spacing w:val="2"/>
          <w:sz w:val="13"/>
        </w:rPr>
        <w:t xml:space="preserve"> </w:t>
      </w:r>
      <w:r>
        <w:rPr>
          <w:spacing w:val="-2"/>
          <w:sz w:val="13"/>
        </w:rPr>
        <w:t>Discriminación</w:t>
      </w:r>
      <w:r>
        <w:rPr>
          <w:spacing w:val="2"/>
          <w:sz w:val="13"/>
        </w:rPr>
        <w:t xml:space="preserve"> </w:t>
      </w:r>
      <w:r>
        <w:rPr>
          <w:spacing w:val="-2"/>
          <w:sz w:val="13"/>
        </w:rPr>
        <w:t>contra</w:t>
      </w:r>
      <w:r>
        <w:rPr>
          <w:spacing w:val="2"/>
          <w:sz w:val="13"/>
        </w:rPr>
        <w:t xml:space="preserve"> </w:t>
      </w:r>
      <w:r>
        <w:rPr>
          <w:spacing w:val="-2"/>
          <w:sz w:val="13"/>
        </w:rPr>
        <w:t>la</w:t>
      </w:r>
      <w:r>
        <w:rPr>
          <w:spacing w:val="2"/>
          <w:sz w:val="13"/>
        </w:rPr>
        <w:t xml:space="preserve"> </w:t>
      </w:r>
      <w:r>
        <w:rPr>
          <w:spacing w:val="-2"/>
          <w:sz w:val="13"/>
        </w:rPr>
        <w:t>Mujer,</w:t>
      </w:r>
      <w:r>
        <w:rPr>
          <w:spacing w:val="3"/>
          <w:sz w:val="13"/>
        </w:rPr>
        <w:t xml:space="preserve"> </w:t>
      </w:r>
      <w:r>
        <w:rPr>
          <w:spacing w:val="-2"/>
          <w:sz w:val="13"/>
        </w:rPr>
        <w:t>recomendación</w:t>
      </w:r>
      <w:r>
        <w:rPr>
          <w:spacing w:val="2"/>
          <w:sz w:val="13"/>
        </w:rPr>
        <w:t xml:space="preserve"> </w:t>
      </w:r>
      <w:r>
        <w:rPr>
          <w:spacing w:val="-2"/>
          <w:sz w:val="13"/>
        </w:rPr>
        <w:t>general</w:t>
      </w:r>
      <w:r>
        <w:rPr>
          <w:spacing w:val="2"/>
          <w:sz w:val="13"/>
        </w:rPr>
        <w:t xml:space="preserve"> </w:t>
      </w:r>
      <w:r>
        <w:rPr>
          <w:spacing w:val="-2"/>
          <w:sz w:val="13"/>
        </w:rPr>
        <w:t>núm.</w:t>
      </w:r>
      <w:r>
        <w:rPr>
          <w:spacing w:val="2"/>
          <w:sz w:val="13"/>
        </w:rPr>
        <w:t xml:space="preserve"> </w:t>
      </w:r>
      <w:r>
        <w:rPr>
          <w:spacing w:val="-2"/>
          <w:sz w:val="13"/>
        </w:rPr>
        <w:t>25</w:t>
      </w:r>
      <w:r>
        <w:rPr>
          <w:spacing w:val="2"/>
          <w:sz w:val="13"/>
        </w:rPr>
        <w:t xml:space="preserve"> </w:t>
      </w:r>
      <w:r>
        <w:rPr>
          <w:spacing w:val="-2"/>
          <w:sz w:val="13"/>
        </w:rPr>
        <w:t>(2004),</w:t>
      </w:r>
      <w:r>
        <w:rPr>
          <w:spacing w:val="4"/>
          <w:sz w:val="13"/>
        </w:rPr>
        <w:t xml:space="preserve"> </w:t>
      </w:r>
      <w:proofErr w:type="spellStart"/>
      <w:r>
        <w:rPr>
          <w:spacing w:val="-2"/>
          <w:sz w:val="13"/>
        </w:rPr>
        <w:t>párrs</w:t>
      </w:r>
      <w:proofErr w:type="spellEnd"/>
      <w:r>
        <w:rPr>
          <w:spacing w:val="-2"/>
          <w:sz w:val="13"/>
        </w:rPr>
        <w:t>.</w:t>
      </w:r>
      <w:r>
        <w:rPr>
          <w:spacing w:val="2"/>
          <w:sz w:val="13"/>
        </w:rPr>
        <w:t xml:space="preserve"> </w:t>
      </w:r>
      <w:r>
        <w:rPr>
          <w:spacing w:val="-2"/>
          <w:sz w:val="13"/>
        </w:rPr>
        <w:t>21–22.</w:t>
      </w:r>
    </w:p>
    <w:p w14:paraId="04C88DA3" w14:textId="77777777" w:rsidR="0014798C" w:rsidRDefault="004E1F0B">
      <w:pPr>
        <w:pStyle w:val="Prrafodelista"/>
        <w:numPr>
          <w:ilvl w:val="0"/>
          <w:numId w:val="57"/>
        </w:numPr>
        <w:tabs>
          <w:tab w:val="left" w:pos="1353"/>
        </w:tabs>
        <w:spacing w:before="87"/>
        <w:ind w:left="1353" w:hanging="248"/>
        <w:rPr>
          <w:sz w:val="13"/>
        </w:rPr>
      </w:pPr>
      <w:r>
        <w:rPr>
          <w:spacing w:val="-2"/>
          <w:sz w:val="13"/>
        </w:rPr>
        <w:t>Comité</w:t>
      </w:r>
      <w:r>
        <w:rPr>
          <w:spacing w:val="2"/>
          <w:sz w:val="13"/>
        </w:rPr>
        <w:t xml:space="preserve"> </w:t>
      </w:r>
      <w:r>
        <w:rPr>
          <w:spacing w:val="-2"/>
          <w:sz w:val="13"/>
        </w:rPr>
        <w:t>para</w:t>
      </w:r>
      <w:r>
        <w:rPr>
          <w:spacing w:val="2"/>
          <w:sz w:val="13"/>
        </w:rPr>
        <w:t xml:space="preserve"> </w:t>
      </w:r>
      <w:r>
        <w:rPr>
          <w:spacing w:val="-2"/>
          <w:sz w:val="13"/>
        </w:rPr>
        <w:t>la</w:t>
      </w:r>
      <w:r>
        <w:rPr>
          <w:spacing w:val="2"/>
          <w:sz w:val="13"/>
        </w:rPr>
        <w:t xml:space="preserve"> </w:t>
      </w:r>
      <w:r>
        <w:rPr>
          <w:spacing w:val="-2"/>
          <w:sz w:val="13"/>
        </w:rPr>
        <w:t>Eliminación</w:t>
      </w:r>
      <w:r>
        <w:rPr>
          <w:spacing w:val="3"/>
          <w:sz w:val="13"/>
        </w:rPr>
        <w:t xml:space="preserve"> </w:t>
      </w:r>
      <w:r>
        <w:rPr>
          <w:spacing w:val="-2"/>
          <w:sz w:val="13"/>
        </w:rPr>
        <w:t>de</w:t>
      </w:r>
      <w:r>
        <w:rPr>
          <w:spacing w:val="2"/>
          <w:sz w:val="13"/>
        </w:rPr>
        <w:t xml:space="preserve"> </w:t>
      </w:r>
      <w:r>
        <w:rPr>
          <w:spacing w:val="-2"/>
          <w:sz w:val="13"/>
        </w:rPr>
        <w:t>la</w:t>
      </w:r>
      <w:r>
        <w:rPr>
          <w:spacing w:val="2"/>
          <w:sz w:val="13"/>
        </w:rPr>
        <w:t xml:space="preserve"> </w:t>
      </w:r>
      <w:r>
        <w:rPr>
          <w:spacing w:val="-2"/>
          <w:sz w:val="13"/>
        </w:rPr>
        <w:t>Discriminación</w:t>
      </w:r>
      <w:r>
        <w:rPr>
          <w:spacing w:val="3"/>
          <w:sz w:val="13"/>
        </w:rPr>
        <w:t xml:space="preserve"> </w:t>
      </w:r>
      <w:r>
        <w:rPr>
          <w:spacing w:val="-2"/>
          <w:sz w:val="13"/>
        </w:rPr>
        <w:t>Racial,</w:t>
      </w:r>
      <w:r>
        <w:rPr>
          <w:spacing w:val="2"/>
          <w:sz w:val="13"/>
        </w:rPr>
        <w:t xml:space="preserve"> </w:t>
      </w:r>
      <w:r>
        <w:rPr>
          <w:spacing w:val="-2"/>
          <w:sz w:val="13"/>
        </w:rPr>
        <w:t>recomendación</w:t>
      </w:r>
      <w:r>
        <w:rPr>
          <w:spacing w:val="2"/>
          <w:sz w:val="13"/>
        </w:rPr>
        <w:t xml:space="preserve"> </w:t>
      </w:r>
      <w:r>
        <w:rPr>
          <w:spacing w:val="-2"/>
          <w:sz w:val="13"/>
        </w:rPr>
        <w:t>general</w:t>
      </w:r>
      <w:r>
        <w:rPr>
          <w:spacing w:val="3"/>
          <w:sz w:val="13"/>
        </w:rPr>
        <w:t xml:space="preserve"> </w:t>
      </w:r>
      <w:r>
        <w:rPr>
          <w:spacing w:val="-2"/>
          <w:sz w:val="13"/>
        </w:rPr>
        <w:t>núm.</w:t>
      </w:r>
      <w:r>
        <w:rPr>
          <w:spacing w:val="2"/>
          <w:sz w:val="13"/>
        </w:rPr>
        <w:t xml:space="preserve"> </w:t>
      </w:r>
      <w:r>
        <w:rPr>
          <w:spacing w:val="-2"/>
          <w:sz w:val="13"/>
        </w:rPr>
        <w:t>32</w:t>
      </w:r>
      <w:r>
        <w:rPr>
          <w:spacing w:val="2"/>
          <w:sz w:val="13"/>
        </w:rPr>
        <w:t xml:space="preserve"> </w:t>
      </w:r>
      <w:r>
        <w:rPr>
          <w:spacing w:val="-2"/>
          <w:sz w:val="13"/>
        </w:rPr>
        <w:t>(2009),</w:t>
      </w:r>
      <w:r>
        <w:rPr>
          <w:spacing w:val="4"/>
          <w:sz w:val="13"/>
        </w:rPr>
        <w:t xml:space="preserve"> </w:t>
      </w:r>
      <w:r>
        <w:rPr>
          <w:spacing w:val="-2"/>
          <w:sz w:val="13"/>
        </w:rPr>
        <w:t>párr.</w:t>
      </w:r>
      <w:r>
        <w:rPr>
          <w:spacing w:val="2"/>
          <w:sz w:val="13"/>
        </w:rPr>
        <w:t xml:space="preserve"> </w:t>
      </w:r>
      <w:r>
        <w:rPr>
          <w:spacing w:val="-2"/>
          <w:sz w:val="13"/>
        </w:rPr>
        <w:t>dieciséis.</w:t>
      </w:r>
    </w:p>
    <w:p w14:paraId="1CEE4AB5" w14:textId="77777777" w:rsidR="0014798C" w:rsidRDefault="004E1F0B">
      <w:pPr>
        <w:pStyle w:val="Prrafodelista"/>
        <w:numPr>
          <w:ilvl w:val="0"/>
          <w:numId w:val="57"/>
        </w:numPr>
        <w:tabs>
          <w:tab w:val="left" w:pos="1353"/>
        </w:tabs>
        <w:spacing w:before="87"/>
        <w:ind w:left="1353" w:hanging="248"/>
        <w:rPr>
          <w:sz w:val="13"/>
        </w:rPr>
      </w:pPr>
      <w:r>
        <w:rPr>
          <w:spacing w:val="-2"/>
          <w:sz w:val="13"/>
        </w:rPr>
        <w:t>Comité</w:t>
      </w:r>
      <w:r>
        <w:rPr>
          <w:spacing w:val="2"/>
          <w:sz w:val="13"/>
        </w:rPr>
        <w:t xml:space="preserve"> </w:t>
      </w:r>
      <w:r>
        <w:rPr>
          <w:spacing w:val="-2"/>
          <w:sz w:val="13"/>
        </w:rPr>
        <w:t>para</w:t>
      </w:r>
      <w:r>
        <w:rPr>
          <w:spacing w:val="2"/>
          <w:sz w:val="13"/>
        </w:rPr>
        <w:t xml:space="preserve"> </w:t>
      </w:r>
      <w:r>
        <w:rPr>
          <w:spacing w:val="-2"/>
          <w:sz w:val="13"/>
        </w:rPr>
        <w:t>la</w:t>
      </w:r>
      <w:r>
        <w:rPr>
          <w:spacing w:val="2"/>
          <w:sz w:val="13"/>
        </w:rPr>
        <w:t xml:space="preserve"> </w:t>
      </w:r>
      <w:r>
        <w:rPr>
          <w:spacing w:val="-2"/>
          <w:sz w:val="13"/>
        </w:rPr>
        <w:t>Eliminación</w:t>
      </w:r>
      <w:r>
        <w:rPr>
          <w:spacing w:val="2"/>
          <w:sz w:val="13"/>
        </w:rPr>
        <w:t xml:space="preserve"> </w:t>
      </w:r>
      <w:r>
        <w:rPr>
          <w:spacing w:val="-2"/>
          <w:sz w:val="13"/>
        </w:rPr>
        <w:t>de</w:t>
      </w:r>
      <w:r>
        <w:rPr>
          <w:spacing w:val="3"/>
          <w:sz w:val="13"/>
        </w:rPr>
        <w:t xml:space="preserve"> </w:t>
      </w:r>
      <w:r>
        <w:rPr>
          <w:spacing w:val="-2"/>
          <w:sz w:val="13"/>
        </w:rPr>
        <w:t>la</w:t>
      </w:r>
      <w:r>
        <w:rPr>
          <w:spacing w:val="2"/>
          <w:sz w:val="13"/>
        </w:rPr>
        <w:t xml:space="preserve"> </w:t>
      </w:r>
      <w:r>
        <w:rPr>
          <w:spacing w:val="-2"/>
          <w:sz w:val="13"/>
        </w:rPr>
        <w:t>Discriminación</w:t>
      </w:r>
      <w:r>
        <w:rPr>
          <w:spacing w:val="2"/>
          <w:sz w:val="13"/>
        </w:rPr>
        <w:t xml:space="preserve"> </w:t>
      </w:r>
      <w:r>
        <w:rPr>
          <w:spacing w:val="-2"/>
          <w:sz w:val="13"/>
        </w:rPr>
        <w:t>contra</w:t>
      </w:r>
      <w:r>
        <w:rPr>
          <w:spacing w:val="2"/>
          <w:sz w:val="13"/>
        </w:rPr>
        <w:t xml:space="preserve"> </w:t>
      </w:r>
      <w:r>
        <w:rPr>
          <w:spacing w:val="-2"/>
          <w:sz w:val="13"/>
        </w:rPr>
        <w:t>la</w:t>
      </w:r>
      <w:r>
        <w:rPr>
          <w:spacing w:val="2"/>
          <w:sz w:val="13"/>
        </w:rPr>
        <w:t xml:space="preserve"> </w:t>
      </w:r>
      <w:r>
        <w:rPr>
          <w:spacing w:val="-2"/>
          <w:sz w:val="13"/>
        </w:rPr>
        <w:t>Mujer,</w:t>
      </w:r>
      <w:r>
        <w:rPr>
          <w:spacing w:val="3"/>
          <w:sz w:val="13"/>
        </w:rPr>
        <w:t xml:space="preserve"> </w:t>
      </w:r>
      <w:r>
        <w:rPr>
          <w:spacing w:val="-2"/>
          <w:sz w:val="13"/>
        </w:rPr>
        <w:t>recomendación</w:t>
      </w:r>
      <w:r>
        <w:rPr>
          <w:spacing w:val="2"/>
          <w:sz w:val="13"/>
        </w:rPr>
        <w:t xml:space="preserve"> </w:t>
      </w:r>
      <w:r>
        <w:rPr>
          <w:spacing w:val="-2"/>
          <w:sz w:val="13"/>
        </w:rPr>
        <w:t>general</w:t>
      </w:r>
      <w:r>
        <w:rPr>
          <w:spacing w:val="2"/>
          <w:sz w:val="13"/>
        </w:rPr>
        <w:t xml:space="preserve"> </w:t>
      </w:r>
      <w:r>
        <w:rPr>
          <w:spacing w:val="-2"/>
          <w:sz w:val="13"/>
        </w:rPr>
        <w:t>núm.</w:t>
      </w:r>
      <w:r>
        <w:rPr>
          <w:spacing w:val="2"/>
          <w:sz w:val="13"/>
        </w:rPr>
        <w:t xml:space="preserve"> </w:t>
      </w:r>
      <w:r>
        <w:rPr>
          <w:spacing w:val="-2"/>
          <w:sz w:val="13"/>
        </w:rPr>
        <w:t>25</w:t>
      </w:r>
      <w:r>
        <w:rPr>
          <w:spacing w:val="2"/>
          <w:sz w:val="13"/>
        </w:rPr>
        <w:t xml:space="preserve"> </w:t>
      </w:r>
      <w:r>
        <w:rPr>
          <w:spacing w:val="-2"/>
          <w:sz w:val="13"/>
        </w:rPr>
        <w:t>(2004),</w:t>
      </w:r>
      <w:r>
        <w:rPr>
          <w:spacing w:val="4"/>
          <w:sz w:val="13"/>
        </w:rPr>
        <w:t xml:space="preserve"> </w:t>
      </w:r>
      <w:proofErr w:type="spellStart"/>
      <w:r>
        <w:rPr>
          <w:spacing w:val="-2"/>
          <w:sz w:val="13"/>
        </w:rPr>
        <w:t>párrs</w:t>
      </w:r>
      <w:proofErr w:type="spellEnd"/>
      <w:r>
        <w:rPr>
          <w:spacing w:val="-2"/>
          <w:sz w:val="13"/>
        </w:rPr>
        <w:t>.</w:t>
      </w:r>
      <w:r>
        <w:rPr>
          <w:spacing w:val="2"/>
          <w:sz w:val="13"/>
        </w:rPr>
        <w:t xml:space="preserve"> </w:t>
      </w:r>
      <w:r>
        <w:rPr>
          <w:spacing w:val="-2"/>
          <w:sz w:val="13"/>
        </w:rPr>
        <w:t>34–35.</w:t>
      </w:r>
    </w:p>
    <w:p w14:paraId="7CB4C6D6" w14:textId="77777777" w:rsidR="0014798C" w:rsidRDefault="004E1F0B">
      <w:pPr>
        <w:pStyle w:val="Prrafodelista"/>
        <w:numPr>
          <w:ilvl w:val="0"/>
          <w:numId w:val="57"/>
        </w:numPr>
        <w:tabs>
          <w:tab w:val="left" w:pos="1353"/>
        </w:tabs>
        <w:spacing w:before="87"/>
        <w:ind w:left="1353" w:hanging="248"/>
        <w:rPr>
          <w:sz w:val="13"/>
        </w:rPr>
      </w:pPr>
      <w:r>
        <w:rPr>
          <w:sz w:val="13"/>
        </w:rPr>
        <w:t>Comité</w:t>
      </w:r>
      <w:r>
        <w:rPr>
          <w:spacing w:val="-9"/>
          <w:sz w:val="13"/>
        </w:rPr>
        <w:t xml:space="preserve"> </w:t>
      </w:r>
      <w:r>
        <w:rPr>
          <w:sz w:val="13"/>
        </w:rPr>
        <w:t>sobre</w:t>
      </w:r>
      <w:r>
        <w:rPr>
          <w:spacing w:val="-8"/>
          <w:sz w:val="13"/>
        </w:rPr>
        <w:t xml:space="preserve"> </w:t>
      </w:r>
      <w:r>
        <w:rPr>
          <w:sz w:val="13"/>
        </w:rPr>
        <w:t>los</w:t>
      </w:r>
      <w:r>
        <w:rPr>
          <w:spacing w:val="-8"/>
          <w:sz w:val="13"/>
        </w:rPr>
        <w:t xml:space="preserve"> </w:t>
      </w:r>
      <w:r>
        <w:rPr>
          <w:sz w:val="13"/>
        </w:rPr>
        <w:t>Derechos</w:t>
      </w:r>
      <w:r>
        <w:rPr>
          <w:spacing w:val="-8"/>
          <w:sz w:val="13"/>
        </w:rPr>
        <w:t xml:space="preserve"> </w:t>
      </w:r>
      <w:r>
        <w:rPr>
          <w:sz w:val="13"/>
        </w:rPr>
        <w:t>de</w:t>
      </w:r>
      <w:r>
        <w:rPr>
          <w:spacing w:val="-8"/>
          <w:sz w:val="13"/>
        </w:rPr>
        <w:t xml:space="preserve"> </w:t>
      </w:r>
      <w:r>
        <w:rPr>
          <w:sz w:val="13"/>
        </w:rPr>
        <w:t>las</w:t>
      </w:r>
      <w:r>
        <w:rPr>
          <w:spacing w:val="-9"/>
          <w:sz w:val="13"/>
        </w:rPr>
        <w:t xml:space="preserve"> </w:t>
      </w:r>
      <w:r>
        <w:rPr>
          <w:sz w:val="13"/>
        </w:rPr>
        <w:t>Personas</w:t>
      </w:r>
      <w:r>
        <w:rPr>
          <w:spacing w:val="-8"/>
          <w:sz w:val="13"/>
        </w:rPr>
        <w:t xml:space="preserve"> </w:t>
      </w:r>
      <w:r>
        <w:rPr>
          <w:sz w:val="13"/>
        </w:rPr>
        <w:t>con</w:t>
      </w:r>
      <w:r>
        <w:rPr>
          <w:spacing w:val="-8"/>
          <w:sz w:val="13"/>
        </w:rPr>
        <w:t xml:space="preserve"> </w:t>
      </w:r>
      <w:r>
        <w:rPr>
          <w:sz w:val="13"/>
        </w:rPr>
        <w:t>Discapacidad,</w:t>
      </w:r>
      <w:r>
        <w:rPr>
          <w:spacing w:val="-7"/>
          <w:sz w:val="13"/>
        </w:rPr>
        <w:t xml:space="preserve"> </w:t>
      </w:r>
      <w:r>
        <w:rPr>
          <w:sz w:val="13"/>
        </w:rPr>
        <w:t>observación</w:t>
      </w:r>
      <w:r>
        <w:rPr>
          <w:spacing w:val="-9"/>
          <w:sz w:val="13"/>
        </w:rPr>
        <w:t xml:space="preserve"> </w:t>
      </w:r>
      <w:r>
        <w:rPr>
          <w:sz w:val="13"/>
        </w:rPr>
        <w:t>general</w:t>
      </w:r>
      <w:r>
        <w:rPr>
          <w:spacing w:val="-8"/>
          <w:sz w:val="13"/>
        </w:rPr>
        <w:t xml:space="preserve"> </w:t>
      </w:r>
      <w:r>
        <w:rPr>
          <w:sz w:val="13"/>
        </w:rPr>
        <w:t>núm.</w:t>
      </w:r>
      <w:r>
        <w:rPr>
          <w:spacing w:val="-8"/>
          <w:sz w:val="13"/>
        </w:rPr>
        <w:t xml:space="preserve"> </w:t>
      </w:r>
      <w:r>
        <w:rPr>
          <w:sz w:val="13"/>
        </w:rPr>
        <w:t>6</w:t>
      </w:r>
      <w:r>
        <w:rPr>
          <w:spacing w:val="-8"/>
          <w:sz w:val="13"/>
        </w:rPr>
        <w:t xml:space="preserve"> </w:t>
      </w:r>
      <w:r>
        <w:rPr>
          <w:sz w:val="13"/>
        </w:rPr>
        <w:t>(2018),</w:t>
      </w:r>
      <w:r>
        <w:rPr>
          <w:spacing w:val="-8"/>
          <w:sz w:val="13"/>
        </w:rPr>
        <w:t xml:space="preserve"> </w:t>
      </w:r>
      <w:r>
        <w:rPr>
          <w:sz w:val="13"/>
        </w:rPr>
        <w:t>párr.</w:t>
      </w:r>
      <w:r>
        <w:rPr>
          <w:spacing w:val="-8"/>
          <w:sz w:val="13"/>
        </w:rPr>
        <w:t xml:space="preserve"> </w:t>
      </w:r>
      <w:r>
        <w:rPr>
          <w:spacing w:val="-5"/>
          <w:sz w:val="13"/>
        </w:rPr>
        <w:t>29.</w:t>
      </w:r>
    </w:p>
    <w:p w14:paraId="3E3CEBB7" w14:textId="77777777" w:rsidR="0014798C" w:rsidRDefault="004E1F0B">
      <w:pPr>
        <w:pStyle w:val="Prrafodelista"/>
        <w:numPr>
          <w:ilvl w:val="0"/>
          <w:numId w:val="57"/>
        </w:numPr>
        <w:tabs>
          <w:tab w:val="left" w:pos="1353"/>
        </w:tabs>
        <w:spacing w:before="86"/>
        <w:ind w:left="1353" w:hanging="248"/>
        <w:rPr>
          <w:sz w:val="13"/>
        </w:rPr>
      </w:pPr>
      <w:proofErr w:type="spellStart"/>
      <w:r>
        <w:rPr>
          <w:sz w:val="13"/>
        </w:rPr>
        <w:t>Ibíd</w:t>
      </w:r>
      <w:proofErr w:type="spellEnd"/>
      <w:r>
        <w:rPr>
          <w:sz w:val="13"/>
        </w:rPr>
        <w:t>.,</w:t>
      </w:r>
      <w:r>
        <w:rPr>
          <w:spacing w:val="-9"/>
          <w:sz w:val="13"/>
        </w:rPr>
        <w:t xml:space="preserve"> </w:t>
      </w:r>
      <w:r>
        <w:rPr>
          <w:sz w:val="13"/>
        </w:rPr>
        <w:t>párr.</w:t>
      </w:r>
      <w:r>
        <w:rPr>
          <w:spacing w:val="-8"/>
          <w:sz w:val="13"/>
        </w:rPr>
        <w:t xml:space="preserve"> </w:t>
      </w:r>
      <w:r>
        <w:rPr>
          <w:spacing w:val="-5"/>
          <w:sz w:val="13"/>
        </w:rPr>
        <w:t>34.</w:t>
      </w:r>
    </w:p>
    <w:p w14:paraId="422B9B94" w14:textId="77777777" w:rsidR="0014798C" w:rsidRDefault="004E1F0B">
      <w:pPr>
        <w:pStyle w:val="Prrafodelista"/>
        <w:numPr>
          <w:ilvl w:val="0"/>
          <w:numId w:val="57"/>
        </w:numPr>
        <w:tabs>
          <w:tab w:val="left" w:pos="1353"/>
        </w:tabs>
        <w:spacing w:before="87"/>
        <w:ind w:left="1353" w:hanging="248"/>
        <w:rPr>
          <w:sz w:val="13"/>
        </w:rPr>
      </w:pPr>
      <w:r>
        <w:rPr>
          <w:spacing w:val="-2"/>
          <w:sz w:val="13"/>
        </w:rPr>
        <w:t>A/HRC/27/68/Add.1,</w:t>
      </w:r>
      <w:r>
        <w:rPr>
          <w:spacing w:val="5"/>
          <w:sz w:val="13"/>
        </w:rPr>
        <w:t xml:space="preserve"> </w:t>
      </w:r>
      <w:r>
        <w:rPr>
          <w:spacing w:val="-2"/>
          <w:sz w:val="13"/>
        </w:rPr>
        <w:t>párr.</w:t>
      </w:r>
      <w:r>
        <w:rPr>
          <w:spacing w:val="6"/>
          <w:sz w:val="13"/>
        </w:rPr>
        <w:t xml:space="preserve"> </w:t>
      </w:r>
      <w:r>
        <w:rPr>
          <w:spacing w:val="-5"/>
          <w:sz w:val="13"/>
        </w:rPr>
        <w:t>25.</w:t>
      </w:r>
    </w:p>
    <w:p w14:paraId="1DFC5D47" w14:textId="77777777" w:rsidR="0014798C" w:rsidRDefault="004E1F0B">
      <w:pPr>
        <w:pStyle w:val="Prrafodelista"/>
        <w:numPr>
          <w:ilvl w:val="0"/>
          <w:numId w:val="57"/>
        </w:numPr>
        <w:tabs>
          <w:tab w:val="left" w:pos="1353"/>
        </w:tabs>
        <w:spacing w:before="87"/>
        <w:ind w:left="1353" w:hanging="248"/>
        <w:rPr>
          <w:sz w:val="13"/>
        </w:rPr>
      </w:pPr>
      <w:proofErr w:type="spellStart"/>
      <w:r>
        <w:rPr>
          <w:sz w:val="13"/>
        </w:rPr>
        <w:t>Ibíd</w:t>
      </w:r>
      <w:proofErr w:type="spellEnd"/>
      <w:r>
        <w:rPr>
          <w:sz w:val="13"/>
        </w:rPr>
        <w:t>.,</w:t>
      </w:r>
      <w:r>
        <w:rPr>
          <w:spacing w:val="-9"/>
          <w:sz w:val="13"/>
        </w:rPr>
        <w:t xml:space="preserve"> </w:t>
      </w:r>
      <w:r>
        <w:rPr>
          <w:sz w:val="13"/>
        </w:rPr>
        <w:t>párr.</w:t>
      </w:r>
      <w:r>
        <w:rPr>
          <w:spacing w:val="-8"/>
          <w:sz w:val="13"/>
        </w:rPr>
        <w:t xml:space="preserve"> </w:t>
      </w:r>
      <w:r>
        <w:rPr>
          <w:spacing w:val="-5"/>
          <w:sz w:val="13"/>
        </w:rPr>
        <w:t>27.</w:t>
      </w:r>
    </w:p>
    <w:p w14:paraId="75931E78" w14:textId="77777777" w:rsidR="0014798C" w:rsidRDefault="004E1F0B">
      <w:pPr>
        <w:pStyle w:val="Prrafodelista"/>
        <w:numPr>
          <w:ilvl w:val="0"/>
          <w:numId w:val="57"/>
        </w:numPr>
        <w:tabs>
          <w:tab w:val="left" w:pos="1353"/>
        </w:tabs>
        <w:spacing w:before="87"/>
        <w:ind w:left="1353" w:hanging="248"/>
        <w:rPr>
          <w:sz w:val="13"/>
        </w:rPr>
      </w:pPr>
      <w:r>
        <w:rPr>
          <w:sz w:val="13"/>
        </w:rPr>
        <w:t>Supremo</w:t>
      </w:r>
      <w:r>
        <w:rPr>
          <w:spacing w:val="-9"/>
          <w:sz w:val="13"/>
        </w:rPr>
        <w:t xml:space="preserve"> </w:t>
      </w:r>
      <w:r>
        <w:rPr>
          <w:sz w:val="13"/>
        </w:rPr>
        <w:t>Tribunal</w:t>
      </w:r>
      <w:r>
        <w:rPr>
          <w:spacing w:val="-8"/>
          <w:sz w:val="13"/>
        </w:rPr>
        <w:t xml:space="preserve"> </w:t>
      </w:r>
      <w:r>
        <w:rPr>
          <w:sz w:val="13"/>
        </w:rPr>
        <w:t>Federal</w:t>
      </w:r>
      <w:r>
        <w:rPr>
          <w:spacing w:val="-8"/>
          <w:sz w:val="13"/>
        </w:rPr>
        <w:t xml:space="preserve"> </w:t>
      </w:r>
      <w:r>
        <w:rPr>
          <w:sz w:val="13"/>
        </w:rPr>
        <w:t>de</w:t>
      </w:r>
      <w:r>
        <w:rPr>
          <w:spacing w:val="-8"/>
          <w:sz w:val="13"/>
        </w:rPr>
        <w:t xml:space="preserve"> </w:t>
      </w:r>
      <w:r>
        <w:rPr>
          <w:sz w:val="13"/>
        </w:rPr>
        <w:t>Brasil,</w:t>
      </w:r>
      <w:r>
        <w:rPr>
          <w:spacing w:val="-8"/>
          <w:sz w:val="13"/>
        </w:rPr>
        <w:t xml:space="preserve"> </w:t>
      </w:r>
      <w:r>
        <w:rPr>
          <w:sz w:val="13"/>
        </w:rPr>
        <w:t>“El</w:t>
      </w:r>
      <w:r>
        <w:rPr>
          <w:spacing w:val="-9"/>
          <w:sz w:val="13"/>
        </w:rPr>
        <w:t xml:space="preserve"> </w:t>
      </w:r>
      <w:r>
        <w:rPr>
          <w:sz w:val="13"/>
        </w:rPr>
        <w:t>STF</w:t>
      </w:r>
      <w:r>
        <w:rPr>
          <w:spacing w:val="-8"/>
          <w:sz w:val="13"/>
        </w:rPr>
        <w:t xml:space="preserve"> </w:t>
      </w:r>
      <w:r>
        <w:rPr>
          <w:sz w:val="13"/>
        </w:rPr>
        <w:t>declaró</w:t>
      </w:r>
      <w:r>
        <w:rPr>
          <w:spacing w:val="-8"/>
          <w:sz w:val="13"/>
        </w:rPr>
        <w:t xml:space="preserve"> </w:t>
      </w:r>
      <w:r>
        <w:rPr>
          <w:sz w:val="13"/>
        </w:rPr>
        <w:t>la</w:t>
      </w:r>
      <w:r>
        <w:rPr>
          <w:spacing w:val="-8"/>
          <w:sz w:val="13"/>
        </w:rPr>
        <w:t xml:space="preserve"> </w:t>
      </w:r>
      <w:r>
        <w:rPr>
          <w:sz w:val="13"/>
        </w:rPr>
        <w:t>constitucionalidad</w:t>
      </w:r>
      <w:r>
        <w:rPr>
          <w:spacing w:val="-8"/>
          <w:sz w:val="13"/>
        </w:rPr>
        <w:t xml:space="preserve"> </w:t>
      </w:r>
      <w:r>
        <w:rPr>
          <w:sz w:val="13"/>
        </w:rPr>
        <w:t>del</w:t>
      </w:r>
      <w:r>
        <w:rPr>
          <w:spacing w:val="-8"/>
          <w:sz w:val="13"/>
        </w:rPr>
        <w:t xml:space="preserve"> </w:t>
      </w:r>
      <w:r>
        <w:rPr>
          <w:sz w:val="13"/>
        </w:rPr>
        <w:t>sistema</w:t>
      </w:r>
      <w:r>
        <w:rPr>
          <w:spacing w:val="-9"/>
          <w:sz w:val="13"/>
        </w:rPr>
        <w:t xml:space="preserve"> </w:t>
      </w:r>
      <w:r>
        <w:rPr>
          <w:sz w:val="13"/>
        </w:rPr>
        <w:t>de</w:t>
      </w:r>
      <w:r>
        <w:rPr>
          <w:spacing w:val="-8"/>
          <w:sz w:val="13"/>
        </w:rPr>
        <w:t xml:space="preserve"> </w:t>
      </w:r>
      <w:r>
        <w:rPr>
          <w:sz w:val="13"/>
        </w:rPr>
        <w:t>cuotas</w:t>
      </w:r>
      <w:r>
        <w:rPr>
          <w:spacing w:val="-8"/>
          <w:sz w:val="13"/>
        </w:rPr>
        <w:t xml:space="preserve"> </w:t>
      </w:r>
      <w:r>
        <w:rPr>
          <w:sz w:val="13"/>
        </w:rPr>
        <w:t>en</w:t>
      </w:r>
      <w:r>
        <w:rPr>
          <w:spacing w:val="-8"/>
          <w:sz w:val="13"/>
        </w:rPr>
        <w:t xml:space="preserve"> </w:t>
      </w:r>
      <w:r>
        <w:rPr>
          <w:sz w:val="13"/>
        </w:rPr>
        <w:t>la</w:t>
      </w:r>
      <w:r>
        <w:rPr>
          <w:spacing w:val="-8"/>
          <w:sz w:val="13"/>
        </w:rPr>
        <w:t xml:space="preserve"> </w:t>
      </w:r>
      <w:r>
        <w:rPr>
          <w:sz w:val="13"/>
        </w:rPr>
        <w:t>Universidad</w:t>
      </w:r>
      <w:r>
        <w:rPr>
          <w:spacing w:val="-8"/>
          <w:sz w:val="13"/>
        </w:rPr>
        <w:t xml:space="preserve"> </w:t>
      </w:r>
      <w:r>
        <w:rPr>
          <w:sz w:val="13"/>
        </w:rPr>
        <w:t>de</w:t>
      </w:r>
      <w:r>
        <w:rPr>
          <w:spacing w:val="-9"/>
          <w:sz w:val="13"/>
        </w:rPr>
        <w:t xml:space="preserve"> </w:t>
      </w:r>
      <w:r>
        <w:rPr>
          <w:sz w:val="13"/>
        </w:rPr>
        <w:t>Brasilia”,</w:t>
      </w:r>
      <w:r>
        <w:rPr>
          <w:spacing w:val="-7"/>
          <w:sz w:val="13"/>
        </w:rPr>
        <w:t xml:space="preserve"> </w:t>
      </w:r>
      <w:r>
        <w:rPr>
          <w:sz w:val="13"/>
        </w:rPr>
        <w:t>26</w:t>
      </w:r>
      <w:r>
        <w:rPr>
          <w:spacing w:val="-8"/>
          <w:sz w:val="13"/>
        </w:rPr>
        <w:t xml:space="preserve"> </w:t>
      </w:r>
      <w:r>
        <w:rPr>
          <w:sz w:val="13"/>
        </w:rPr>
        <w:t>de</w:t>
      </w:r>
      <w:r>
        <w:rPr>
          <w:spacing w:val="-8"/>
          <w:sz w:val="13"/>
        </w:rPr>
        <w:t xml:space="preserve"> </w:t>
      </w:r>
      <w:r>
        <w:rPr>
          <w:sz w:val="13"/>
        </w:rPr>
        <w:t>abril</w:t>
      </w:r>
      <w:r>
        <w:rPr>
          <w:spacing w:val="-9"/>
          <w:sz w:val="13"/>
        </w:rPr>
        <w:t xml:space="preserve"> </w:t>
      </w:r>
      <w:r>
        <w:rPr>
          <w:sz w:val="13"/>
        </w:rPr>
        <w:t>de</w:t>
      </w:r>
      <w:r>
        <w:rPr>
          <w:spacing w:val="-8"/>
          <w:sz w:val="13"/>
        </w:rPr>
        <w:t xml:space="preserve"> </w:t>
      </w:r>
      <w:r>
        <w:rPr>
          <w:spacing w:val="-2"/>
          <w:sz w:val="13"/>
        </w:rPr>
        <w:t>2012.</w:t>
      </w:r>
    </w:p>
    <w:p w14:paraId="2804CBD8" w14:textId="77777777" w:rsidR="0014798C" w:rsidRDefault="004E1F0B">
      <w:pPr>
        <w:spacing w:before="24"/>
        <w:ind w:left="100" w:right="363"/>
        <w:jc w:val="center"/>
        <w:rPr>
          <w:sz w:val="14"/>
        </w:rPr>
      </w:pPr>
      <w:r>
        <w:rPr>
          <w:w w:val="105"/>
          <w:sz w:val="14"/>
        </w:rPr>
        <w:t>Disponible</w:t>
      </w:r>
      <w:r>
        <w:rPr>
          <w:spacing w:val="-10"/>
          <w:w w:val="105"/>
          <w:sz w:val="14"/>
        </w:rPr>
        <w:t xml:space="preserve"> </w:t>
      </w:r>
      <w:r>
        <w:rPr>
          <w:w w:val="105"/>
          <w:sz w:val="14"/>
        </w:rPr>
        <w:t>en</w:t>
      </w:r>
      <w:r>
        <w:rPr>
          <w:spacing w:val="-10"/>
          <w:w w:val="105"/>
          <w:sz w:val="14"/>
        </w:rPr>
        <w:t xml:space="preserve"> </w:t>
      </w:r>
      <w:r>
        <w:rPr>
          <w:color w:val="0075BF"/>
          <w:spacing w:val="-2"/>
          <w:w w:val="105"/>
          <w:sz w:val="14"/>
        </w:rPr>
        <w:t>www2.stf.jus.br/portalStfInternacional/cms/destaquesClipping.php?sigla=portalStfDestaque_en_us&amp;idConteudo=207138.</w:t>
      </w:r>
    </w:p>
    <w:p w14:paraId="5B0CE6D2" w14:textId="77777777" w:rsidR="0014798C" w:rsidRDefault="0014798C">
      <w:pPr>
        <w:pStyle w:val="Textoindependiente"/>
        <w:rPr>
          <w:sz w:val="17"/>
        </w:rPr>
      </w:pPr>
    </w:p>
    <w:p w14:paraId="18FFFFD3" w14:textId="77777777" w:rsidR="0014798C" w:rsidRDefault="0014798C">
      <w:pPr>
        <w:pStyle w:val="Textoindependiente"/>
        <w:rPr>
          <w:sz w:val="17"/>
        </w:rPr>
      </w:pPr>
    </w:p>
    <w:p w14:paraId="30060CF5" w14:textId="77777777" w:rsidR="0014798C" w:rsidRDefault="0014798C">
      <w:pPr>
        <w:pStyle w:val="Textoindependiente"/>
        <w:spacing w:before="58"/>
        <w:rPr>
          <w:sz w:val="17"/>
        </w:rPr>
      </w:pPr>
    </w:p>
    <w:p w14:paraId="732BDB88" w14:textId="77777777" w:rsidR="0014798C" w:rsidRDefault="004E1F0B">
      <w:pPr>
        <w:ind w:right="728"/>
        <w:jc w:val="right"/>
        <w:rPr>
          <w:sz w:val="17"/>
        </w:rPr>
      </w:pPr>
      <w:r>
        <w:rPr>
          <w:spacing w:val="-5"/>
          <w:sz w:val="17"/>
        </w:rPr>
        <w:t>61</w:t>
      </w:r>
    </w:p>
    <w:p w14:paraId="7491EA03" w14:textId="77777777" w:rsidR="0014798C" w:rsidRDefault="0014798C">
      <w:pPr>
        <w:jc w:val="right"/>
        <w:rPr>
          <w:sz w:val="17"/>
        </w:rPr>
        <w:sectPr w:rsidR="0014798C" w:rsidSect="00F265E4">
          <w:pgSz w:w="11900" w:h="16820"/>
          <w:pgMar w:top="340" w:right="0" w:bottom="280" w:left="200" w:header="121" w:footer="0" w:gutter="0"/>
          <w:cols w:space="720"/>
        </w:sectPr>
      </w:pPr>
    </w:p>
    <w:p w14:paraId="1CCB6DCD" w14:textId="77777777" w:rsidR="0014798C" w:rsidRDefault="0014798C">
      <w:pPr>
        <w:pStyle w:val="Textoindependiente"/>
        <w:spacing w:before="85"/>
        <w:rPr>
          <w:sz w:val="12"/>
        </w:rPr>
      </w:pPr>
    </w:p>
    <w:p w14:paraId="43401CED" w14:textId="77777777" w:rsidR="0014798C" w:rsidRDefault="004E1F0B">
      <w:pPr>
        <w:ind w:left="1111"/>
        <w:rPr>
          <w:sz w:val="12"/>
        </w:rPr>
      </w:pPr>
      <w:r>
        <w:rPr>
          <w:color w:val="00AC59"/>
          <w:sz w:val="12"/>
        </w:rPr>
        <w:t>PROTECCIÓN</w:t>
      </w:r>
      <w:r>
        <w:rPr>
          <w:color w:val="00AC59"/>
          <w:spacing w:val="6"/>
          <w:sz w:val="12"/>
        </w:rPr>
        <w:t xml:space="preserve"> </w:t>
      </w:r>
      <w:r>
        <w:rPr>
          <w:color w:val="00AC59"/>
          <w:sz w:val="12"/>
        </w:rPr>
        <w:t>DE</w:t>
      </w:r>
      <w:r>
        <w:rPr>
          <w:color w:val="00AC59"/>
          <w:spacing w:val="7"/>
          <w:sz w:val="12"/>
        </w:rPr>
        <w:t xml:space="preserve"> </w:t>
      </w:r>
      <w:r>
        <w:rPr>
          <w:color w:val="00AC59"/>
          <w:sz w:val="12"/>
        </w:rPr>
        <w:t>LOS</w:t>
      </w:r>
      <w:r>
        <w:rPr>
          <w:color w:val="00AC59"/>
          <w:spacing w:val="8"/>
          <w:sz w:val="12"/>
        </w:rPr>
        <w:t xml:space="preserve"> </w:t>
      </w:r>
      <w:r>
        <w:rPr>
          <w:color w:val="00AC59"/>
          <w:sz w:val="12"/>
        </w:rPr>
        <w:t>DERECHOS</w:t>
      </w:r>
      <w:r>
        <w:rPr>
          <w:color w:val="00AC59"/>
          <w:spacing w:val="8"/>
          <w:sz w:val="12"/>
        </w:rPr>
        <w:t xml:space="preserve"> </w:t>
      </w:r>
      <w:r>
        <w:rPr>
          <w:color w:val="00AC59"/>
          <w:sz w:val="12"/>
        </w:rPr>
        <w:t>DE</w:t>
      </w:r>
      <w:r>
        <w:rPr>
          <w:color w:val="00AC59"/>
          <w:spacing w:val="6"/>
          <w:sz w:val="12"/>
        </w:rPr>
        <w:t xml:space="preserve"> </w:t>
      </w:r>
      <w:r>
        <w:rPr>
          <w:color w:val="00AC59"/>
          <w:sz w:val="12"/>
        </w:rPr>
        <w:t>LAS</w:t>
      </w:r>
      <w:r>
        <w:rPr>
          <w:color w:val="00AC59"/>
          <w:spacing w:val="7"/>
          <w:sz w:val="12"/>
        </w:rPr>
        <w:t xml:space="preserve"> </w:t>
      </w:r>
      <w:r>
        <w:rPr>
          <w:color w:val="00AC59"/>
          <w:sz w:val="12"/>
        </w:rPr>
        <w:t>MINORÍAS:</w:t>
      </w:r>
      <w:r>
        <w:rPr>
          <w:color w:val="00AC59"/>
          <w:spacing w:val="8"/>
          <w:sz w:val="12"/>
        </w:rPr>
        <w:t xml:space="preserve"> </w:t>
      </w:r>
      <w:r>
        <w:rPr>
          <w:color w:val="00AC59"/>
          <w:sz w:val="12"/>
        </w:rPr>
        <w:t>una</w:t>
      </w:r>
      <w:r>
        <w:rPr>
          <w:color w:val="00AC59"/>
          <w:spacing w:val="7"/>
          <w:sz w:val="12"/>
        </w:rPr>
        <w:t xml:space="preserve"> </w:t>
      </w:r>
      <w:r>
        <w:rPr>
          <w:color w:val="00AC59"/>
          <w:sz w:val="12"/>
        </w:rPr>
        <w:t>guía</w:t>
      </w:r>
      <w:r>
        <w:rPr>
          <w:color w:val="00AC59"/>
          <w:spacing w:val="6"/>
          <w:sz w:val="12"/>
        </w:rPr>
        <w:t xml:space="preserve"> </w:t>
      </w:r>
      <w:r>
        <w:rPr>
          <w:color w:val="00AC59"/>
          <w:sz w:val="12"/>
        </w:rPr>
        <w:t>práctica</w:t>
      </w:r>
      <w:r>
        <w:rPr>
          <w:color w:val="00AC59"/>
          <w:spacing w:val="7"/>
          <w:sz w:val="12"/>
        </w:rPr>
        <w:t xml:space="preserve"> </w:t>
      </w:r>
      <w:r>
        <w:rPr>
          <w:color w:val="00AC59"/>
          <w:sz w:val="12"/>
        </w:rPr>
        <w:t>para</w:t>
      </w:r>
      <w:r>
        <w:rPr>
          <w:color w:val="00AC59"/>
          <w:spacing w:val="8"/>
          <w:sz w:val="12"/>
        </w:rPr>
        <w:t xml:space="preserve"> </w:t>
      </w:r>
      <w:r>
        <w:rPr>
          <w:color w:val="00AC59"/>
          <w:sz w:val="12"/>
        </w:rPr>
        <w:t>desarrollar</w:t>
      </w:r>
      <w:r>
        <w:rPr>
          <w:color w:val="00AC59"/>
          <w:spacing w:val="6"/>
          <w:sz w:val="12"/>
        </w:rPr>
        <w:t xml:space="preserve"> </w:t>
      </w:r>
      <w:r>
        <w:rPr>
          <w:color w:val="00AC59"/>
          <w:sz w:val="12"/>
        </w:rPr>
        <w:t>una</w:t>
      </w:r>
      <w:r>
        <w:rPr>
          <w:color w:val="00AC59"/>
          <w:spacing w:val="7"/>
          <w:sz w:val="12"/>
        </w:rPr>
        <w:t xml:space="preserve"> </w:t>
      </w:r>
      <w:r>
        <w:rPr>
          <w:color w:val="00AC59"/>
          <w:sz w:val="12"/>
        </w:rPr>
        <w:t>legislación</w:t>
      </w:r>
      <w:r>
        <w:rPr>
          <w:color w:val="00AC59"/>
          <w:spacing w:val="8"/>
          <w:sz w:val="12"/>
        </w:rPr>
        <w:t xml:space="preserve"> </w:t>
      </w:r>
      <w:r>
        <w:rPr>
          <w:color w:val="00AC59"/>
          <w:sz w:val="12"/>
        </w:rPr>
        <w:t>integral</w:t>
      </w:r>
      <w:r>
        <w:rPr>
          <w:color w:val="00AC59"/>
          <w:spacing w:val="7"/>
          <w:sz w:val="12"/>
        </w:rPr>
        <w:t xml:space="preserve"> </w:t>
      </w:r>
      <w:r>
        <w:rPr>
          <w:color w:val="00AC59"/>
          <w:sz w:val="12"/>
        </w:rPr>
        <w:t>contra</w:t>
      </w:r>
      <w:r>
        <w:rPr>
          <w:color w:val="00AC59"/>
          <w:spacing w:val="6"/>
          <w:sz w:val="12"/>
        </w:rPr>
        <w:t xml:space="preserve"> </w:t>
      </w:r>
      <w:r>
        <w:rPr>
          <w:color w:val="00AC59"/>
          <w:sz w:val="12"/>
        </w:rPr>
        <w:t>la</w:t>
      </w:r>
      <w:r>
        <w:rPr>
          <w:color w:val="00AC59"/>
          <w:spacing w:val="7"/>
          <w:sz w:val="12"/>
        </w:rPr>
        <w:t xml:space="preserve"> </w:t>
      </w:r>
      <w:r>
        <w:rPr>
          <w:color w:val="00AC59"/>
          <w:spacing w:val="-2"/>
          <w:sz w:val="12"/>
        </w:rPr>
        <w:t>discriminación</w:t>
      </w:r>
    </w:p>
    <w:p w14:paraId="0DA28691" w14:textId="77777777" w:rsidR="0014798C" w:rsidRDefault="0014798C">
      <w:pPr>
        <w:pStyle w:val="Textoindependiente"/>
      </w:pPr>
    </w:p>
    <w:p w14:paraId="2F1133AE" w14:textId="77777777" w:rsidR="0014798C" w:rsidRDefault="0014798C">
      <w:pPr>
        <w:pStyle w:val="Textoindependiente"/>
      </w:pPr>
    </w:p>
    <w:p w14:paraId="41F86D3B" w14:textId="77777777" w:rsidR="0014798C" w:rsidRDefault="0014798C">
      <w:pPr>
        <w:pStyle w:val="Textoindependiente"/>
      </w:pPr>
    </w:p>
    <w:p w14:paraId="72835429" w14:textId="77777777" w:rsidR="0014798C" w:rsidRDefault="0014798C">
      <w:pPr>
        <w:pStyle w:val="Textoindependiente"/>
      </w:pPr>
    </w:p>
    <w:p w14:paraId="3340A008" w14:textId="77777777" w:rsidR="0014798C" w:rsidRDefault="0014798C">
      <w:pPr>
        <w:pStyle w:val="Textoindependiente"/>
        <w:spacing w:before="73"/>
      </w:pPr>
    </w:p>
    <w:p w14:paraId="5148258D" w14:textId="77777777" w:rsidR="0014798C" w:rsidRDefault="004E1F0B">
      <w:pPr>
        <w:pStyle w:val="Textoindependiente"/>
        <w:spacing w:line="326" w:lineRule="auto"/>
        <w:ind w:left="1334" w:right="1626" w:firstLine="3"/>
      </w:pPr>
      <w:r>
        <w:rPr>
          <w:noProof/>
        </w:rPr>
        <w:drawing>
          <wp:anchor distT="0" distB="0" distL="0" distR="0" simplePos="0" relativeHeight="251658406" behindDoc="1" locked="0" layoutInCell="1" allowOverlap="1" wp14:anchorId="7A6F8CF3" wp14:editId="247F4B6D">
            <wp:simplePos x="0" y="0"/>
            <wp:positionH relativeFrom="page">
              <wp:posOffset>813154</wp:posOffset>
            </wp:positionH>
            <wp:positionV relativeFrom="paragraph">
              <wp:posOffset>-152465</wp:posOffset>
            </wp:positionV>
            <wp:extent cx="5943667" cy="6039066"/>
            <wp:effectExtent l="0" t="0" r="0" b="0"/>
            <wp:wrapNone/>
            <wp:docPr id="158" name="Image 15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58" name="Image 158"/>
                    <pic:cNvPicPr/>
                  </pic:nvPicPr>
                  <pic:blipFill>
                    <a:blip r:embed="rId145" cstate="print"/>
                    <a:stretch>
                      <a:fillRect/>
                    </a:stretch>
                  </pic:blipFill>
                  <pic:spPr>
                    <a:xfrm>
                      <a:off x="0" y="0"/>
                      <a:ext cx="5943667" cy="6039066"/>
                    </a:xfrm>
                    <a:prstGeom prst="rect">
                      <a:avLst/>
                    </a:prstGeom>
                  </pic:spPr>
                </pic:pic>
              </a:graphicData>
            </a:graphic>
          </wp:anchor>
        </w:drawing>
      </w:r>
      <w:r>
        <w:t>provenientes de escuelas públicas secundarias, distribuyéndose las vacantes entre afrobrasileños e indígenas en función</w:t>
      </w:r>
      <w:r>
        <w:rPr>
          <w:spacing w:val="40"/>
        </w:rPr>
        <w:t xml:space="preserve"> </w:t>
      </w:r>
      <w:r>
        <w:t>de la proporción de dichos grupos en la comunidad”.493</w:t>
      </w:r>
    </w:p>
    <w:p w14:paraId="57D57979" w14:textId="77777777" w:rsidR="0014798C" w:rsidRDefault="004E1F0B">
      <w:pPr>
        <w:pStyle w:val="Textoindependiente"/>
        <w:spacing w:before="113" w:line="326" w:lineRule="auto"/>
        <w:ind w:left="1332" w:right="1626"/>
      </w:pPr>
      <w:r>
        <w:t>En su informe, el Grupo de Trabajo de Expertos sobre Afrodescendientes expresó la esperanza de que, con la aprobación</w:t>
      </w:r>
      <w:r>
        <w:rPr>
          <w:spacing w:val="40"/>
        </w:rPr>
        <w:t xml:space="preserve"> </w:t>
      </w:r>
      <w:r>
        <w:t>de la Ley de Cuotas, “las investigaciones futuras puedan mostrar datos más positivos sobre la implementación de las</w:t>
      </w:r>
    </w:p>
    <w:p w14:paraId="33A1FC56" w14:textId="77777777" w:rsidR="0014798C" w:rsidRDefault="004E1F0B">
      <w:pPr>
        <w:pStyle w:val="Textoindependiente"/>
        <w:spacing w:line="271" w:lineRule="auto"/>
        <w:ind w:left="1339" w:right="1272" w:hanging="5"/>
      </w:pPr>
      <w:r>
        <w:t xml:space="preserve">cuotas en la educación superior; ciertamente son necesarios, como primer paso, para cambiar el racismo institucional </w:t>
      </w:r>
      <w:r>
        <w:rPr>
          <w:spacing w:val="-2"/>
        </w:rPr>
        <w:t>estructural”.494</w:t>
      </w:r>
    </w:p>
    <w:p w14:paraId="685A3FDD" w14:textId="77777777" w:rsidR="0014798C" w:rsidRDefault="0014798C">
      <w:pPr>
        <w:pStyle w:val="Textoindependiente"/>
        <w:spacing w:before="12"/>
      </w:pPr>
    </w:p>
    <w:p w14:paraId="6950EC35" w14:textId="77777777" w:rsidR="0014798C" w:rsidRDefault="004E1F0B">
      <w:pPr>
        <w:pStyle w:val="Textoindependiente"/>
        <w:spacing w:line="326" w:lineRule="auto"/>
        <w:ind w:left="1333" w:right="1463" w:firstLine="4"/>
      </w:pPr>
      <w:r>
        <w:t>Investigaciones posteriores proporcionaron indicios tempranos del impacto de las políticas de acción afirmativa para garantizar el acceso a la educación superior: en su informe nacional de 2017 para el tercer ciclo del examen periódico universal, Brasil informó que el número de vacantes asignadas a afrobrasileños en la educación superior había creció de</w:t>
      </w:r>
    </w:p>
    <w:p w14:paraId="60828ECF" w14:textId="77777777" w:rsidR="0014798C" w:rsidRDefault="004E1F0B">
      <w:pPr>
        <w:pStyle w:val="Textoindependiente"/>
        <w:spacing w:line="171" w:lineRule="exact"/>
        <w:ind w:left="1335"/>
      </w:pPr>
      <w:r>
        <w:t>37.100</w:t>
      </w:r>
      <w:r>
        <w:rPr>
          <w:spacing w:val="3"/>
        </w:rPr>
        <w:t xml:space="preserve"> </w:t>
      </w:r>
      <w:r>
        <w:t>en</w:t>
      </w:r>
      <w:r>
        <w:rPr>
          <w:spacing w:val="3"/>
        </w:rPr>
        <w:t xml:space="preserve"> </w:t>
      </w:r>
      <w:r>
        <w:t>2013</w:t>
      </w:r>
      <w:r>
        <w:rPr>
          <w:spacing w:val="4"/>
        </w:rPr>
        <w:t xml:space="preserve"> </w:t>
      </w:r>
      <w:r>
        <w:t>a</w:t>
      </w:r>
      <w:r>
        <w:rPr>
          <w:spacing w:val="3"/>
        </w:rPr>
        <w:t xml:space="preserve"> </w:t>
      </w:r>
      <w:r>
        <w:t>82.800</w:t>
      </w:r>
      <w:r>
        <w:rPr>
          <w:spacing w:val="4"/>
        </w:rPr>
        <w:t xml:space="preserve"> </w:t>
      </w:r>
      <w:r>
        <w:t>en</w:t>
      </w:r>
      <w:r>
        <w:rPr>
          <w:spacing w:val="3"/>
        </w:rPr>
        <w:t xml:space="preserve"> </w:t>
      </w:r>
      <w:r>
        <w:rPr>
          <w:spacing w:val="-2"/>
        </w:rPr>
        <w:t>2015.495</w:t>
      </w:r>
    </w:p>
    <w:p w14:paraId="0BAD8813" w14:textId="77777777" w:rsidR="0014798C" w:rsidRDefault="0014798C">
      <w:pPr>
        <w:pStyle w:val="Textoindependiente"/>
        <w:rPr>
          <w:sz w:val="20"/>
        </w:rPr>
      </w:pPr>
    </w:p>
    <w:p w14:paraId="1B49F175" w14:textId="77777777" w:rsidR="0014798C" w:rsidRDefault="0014798C">
      <w:pPr>
        <w:pStyle w:val="Textoindependiente"/>
        <w:spacing w:before="47"/>
        <w:rPr>
          <w:sz w:val="20"/>
        </w:rPr>
      </w:pPr>
    </w:p>
    <w:p w14:paraId="7EC0E3F3" w14:textId="77777777" w:rsidR="0014798C" w:rsidRDefault="004E1F0B">
      <w:pPr>
        <w:numPr>
          <w:ilvl w:val="0"/>
          <w:numId w:val="59"/>
        </w:numPr>
        <w:tabs>
          <w:tab w:val="left" w:pos="1344"/>
        </w:tabs>
        <w:ind w:left="1344" w:hanging="227"/>
        <w:rPr>
          <w:color w:val="00AC59"/>
          <w:sz w:val="20"/>
        </w:rPr>
      </w:pPr>
      <w:r>
        <w:rPr>
          <w:color w:val="00AC59"/>
          <w:spacing w:val="-2"/>
          <w:w w:val="105"/>
          <w:sz w:val="20"/>
        </w:rPr>
        <w:t>Principios</w:t>
      </w:r>
      <w:r>
        <w:rPr>
          <w:color w:val="00AC59"/>
          <w:spacing w:val="-5"/>
          <w:w w:val="105"/>
          <w:sz w:val="20"/>
        </w:rPr>
        <w:t xml:space="preserve"> </w:t>
      </w:r>
      <w:r>
        <w:rPr>
          <w:color w:val="00AC59"/>
          <w:spacing w:val="-2"/>
          <w:w w:val="105"/>
          <w:sz w:val="20"/>
        </w:rPr>
        <w:t>para</w:t>
      </w:r>
      <w:r>
        <w:rPr>
          <w:color w:val="00AC59"/>
          <w:spacing w:val="-4"/>
          <w:w w:val="105"/>
          <w:sz w:val="20"/>
        </w:rPr>
        <w:t xml:space="preserve"> </w:t>
      </w:r>
      <w:r>
        <w:rPr>
          <w:color w:val="00AC59"/>
          <w:spacing w:val="-2"/>
          <w:w w:val="105"/>
          <w:sz w:val="20"/>
        </w:rPr>
        <w:t>el</w:t>
      </w:r>
      <w:r>
        <w:rPr>
          <w:color w:val="00AC59"/>
          <w:spacing w:val="-5"/>
          <w:w w:val="105"/>
          <w:sz w:val="20"/>
        </w:rPr>
        <w:t xml:space="preserve"> </w:t>
      </w:r>
      <w:r>
        <w:rPr>
          <w:color w:val="00AC59"/>
          <w:spacing w:val="-2"/>
          <w:w w:val="105"/>
          <w:sz w:val="20"/>
        </w:rPr>
        <w:t>funcionamiento</w:t>
      </w:r>
      <w:r>
        <w:rPr>
          <w:color w:val="00AC59"/>
          <w:spacing w:val="-4"/>
          <w:w w:val="105"/>
          <w:sz w:val="20"/>
        </w:rPr>
        <w:t xml:space="preserve"> </w:t>
      </w:r>
      <w:r>
        <w:rPr>
          <w:color w:val="00AC59"/>
          <w:spacing w:val="-2"/>
          <w:w w:val="105"/>
          <w:sz w:val="20"/>
        </w:rPr>
        <w:t>de</w:t>
      </w:r>
      <w:r>
        <w:rPr>
          <w:color w:val="00AC59"/>
          <w:spacing w:val="-5"/>
          <w:w w:val="105"/>
          <w:sz w:val="20"/>
        </w:rPr>
        <w:t xml:space="preserve"> </w:t>
      </w:r>
      <w:r>
        <w:rPr>
          <w:color w:val="00AC59"/>
          <w:spacing w:val="-2"/>
          <w:w w:val="105"/>
          <w:sz w:val="20"/>
        </w:rPr>
        <w:t>la</w:t>
      </w:r>
      <w:r>
        <w:rPr>
          <w:color w:val="00AC59"/>
          <w:spacing w:val="-4"/>
          <w:w w:val="105"/>
          <w:sz w:val="20"/>
        </w:rPr>
        <w:t xml:space="preserve"> </w:t>
      </w:r>
      <w:r>
        <w:rPr>
          <w:color w:val="00AC59"/>
          <w:spacing w:val="-2"/>
          <w:w w:val="105"/>
          <w:sz w:val="20"/>
        </w:rPr>
        <w:t>acción</w:t>
      </w:r>
      <w:r>
        <w:rPr>
          <w:color w:val="00AC59"/>
          <w:spacing w:val="-5"/>
          <w:w w:val="105"/>
          <w:sz w:val="20"/>
        </w:rPr>
        <w:t xml:space="preserve"> </w:t>
      </w:r>
      <w:r>
        <w:rPr>
          <w:color w:val="00AC59"/>
          <w:spacing w:val="-2"/>
          <w:w w:val="105"/>
          <w:sz w:val="20"/>
        </w:rPr>
        <w:t>positiva</w:t>
      </w:r>
    </w:p>
    <w:p w14:paraId="48F5E84C" w14:textId="77777777" w:rsidR="0014798C" w:rsidRDefault="0014798C">
      <w:pPr>
        <w:pStyle w:val="Textoindependiente"/>
        <w:spacing w:before="78"/>
      </w:pPr>
    </w:p>
    <w:p w14:paraId="1CDD91BD" w14:textId="77777777" w:rsidR="0014798C" w:rsidRDefault="004E1F0B">
      <w:pPr>
        <w:pStyle w:val="Textoindependiente"/>
        <w:spacing w:line="326" w:lineRule="auto"/>
        <w:ind w:left="1109" w:right="1463" w:hanging="2"/>
      </w:pPr>
      <w:r>
        <w:t>La acción positiva implica un trato preferencial basado en una característica protegida.496 Como ha señalado el Comité para la Eliminación de la Discriminación Racial, esto crea un conflicto potencial, dado que la Convención Internacional sobre la Eliminación de todas las Formas de Discriminación Racial (y, por interpretación, (el Pacto Internacional de Derechos Civiles y Políticos y el Pacto Internacional de Derechos Económicos, Sociales y Culturales) define la discriminación como “cualquier distinción, exclusión, restricción o preferencia”.497 Por lo tanto, como lo ha expresado el Comité, es necesario “ distinguir</w:t>
      </w:r>
      <w:r>
        <w:rPr>
          <w:spacing w:val="40"/>
        </w:rPr>
        <w:t xml:space="preserve"> </w:t>
      </w:r>
      <w:r>
        <w:t>'medidas especiales' de preferencias injustificables”.498</w:t>
      </w:r>
    </w:p>
    <w:p w14:paraId="7B2CC93D" w14:textId="77777777" w:rsidR="0014798C" w:rsidRDefault="004E1F0B">
      <w:pPr>
        <w:pStyle w:val="Textoindependiente"/>
        <w:spacing w:before="167" w:line="326" w:lineRule="auto"/>
        <w:ind w:left="1108" w:right="1335" w:hanging="1"/>
      </w:pPr>
      <w:r>
        <w:t>Para distinguir las medidas especiales de las preferencias injustificables, los órganos de derechos humanos de las Naciones Unidas han desarrollado criterios para el funcionamiento de acciones positivas.499 El Comité para la Eliminación de la Discriminación Racial, por ejemplo, ha señalado que las medidas especiales deben ser (a) apropiadas a la situación a remediar,</w:t>
      </w:r>
    </w:p>
    <w:p w14:paraId="0031113D" w14:textId="77777777" w:rsidR="0014798C" w:rsidRDefault="004E1F0B">
      <w:pPr>
        <w:pStyle w:val="Textoindependiente"/>
        <w:spacing w:line="326" w:lineRule="auto"/>
        <w:ind w:left="1107" w:right="1272"/>
      </w:pPr>
      <w:r>
        <w:t>(b) legítima, (c) necesaria en una sociedad democrática, (d) respetuosa de los principios de equidad y proporcionalidad y (e) temporal,500 una posición de la que se hizo eco la Comisión Interamericana de Derechos Humanos. Derechos.501</w:t>
      </w:r>
    </w:p>
    <w:p w14:paraId="756F102C" w14:textId="77777777" w:rsidR="0014798C" w:rsidRDefault="004E1F0B">
      <w:pPr>
        <w:pStyle w:val="Textoindependiente"/>
        <w:spacing w:before="168" w:line="326" w:lineRule="auto"/>
        <w:ind w:left="1107" w:right="1272" w:hanging="1"/>
      </w:pPr>
      <w:r>
        <w:t>Tomando</w:t>
      </w:r>
      <w:r>
        <w:rPr>
          <w:spacing w:val="15"/>
        </w:rPr>
        <w:t xml:space="preserve"> </w:t>
      </w:r>
      <w:r>
        <w:t>en</w:t>
      </w:r>
      <w:r>
        <w:rPr>
          <w:spacing w:val="15"/>
        </w:rPr>
        <w:t xml:space="preserve"> </w:t>
      </w:r>
      <w:r>
        <w:t>conjunto</w:t>
      </w:r>
      <w:r>
        <w:rPr>
          <w:spacing w:val="15"/>
        </w:rPr>
        <w:t xml:space="preserve"> </w:t>
      </w:r>
      <w:r>
        <w:t>la</w:t>
      </w:r>
      <w:r>
        <w:rPr>
          <w:spacing w:val="15"/>
        </w:rPr>
        <w:t xml:space="preserve"> </w:t>
      </w:r>
      <w:r>
        <w:t>posición</w:t>
      </w:r>
      <w:r>
        <w:rPr>
          <w:spacing w:val="15"/>
        </w:rPr>
        <w:t xml:space="preserve"> </w:t>
      </w:r>
      <w:r>
        <w:t>de</w:t>
      </w:r>
      <w:r>
        <w:rPr>
          <w:spacing w:val="15"/>
        </w:rPr>
        <w:t xml:space="preserve"> </w:t>
      </w:r>
      <w:r>
        <w:t>los</w:t>
      </w:r>
      <w:r>
        <w:rPr>
          <w:spacing w:val="15"/>
        </w:rPr>
        <w:t xml:space="preserve"> </w:t>
      </w:r>
      <w:r>
        <w:t>diferentes</w:t>
      </w:r>
      <w:r>
        <w:rPr>
          <w:spacing w:val="15"/>
        </w:rPr>
        <w:t xml:space="preserve"> </w:t>
      </w:r>
      <w:r>
        <w:t>órganos,</w:t>
      </w:r>
      <w:r>
        <w:rPr>
          <w:spacing w:val="17"/>
        </w:rPr>
        <w:t xml:space="preserve"> </w:t>
      </w:r>
      <w:r>
        <w:t>se</w:t>
      </w:r>
      <w:r>
        <w:rPr>
          <w:spacing w:val="15"/>
        </w:rPr>
        <w:t xml:space="preserve"> </w:t>
      </w:r>
      <w:r>
        <w:t>pueden</w:t>
      </w:r>
      <w:r>
        <w:rPr>
          <w:spacing w:val="15"/>
        </w:rPr>
        <w:t xml:space="preserve"> </w:t>
      </w:r>
      <w:r>
        <w:t>derivar</w:t>
      </w:r>
      <w:r>
        <w:rPr>
          <w:spacing w:val="15"/>
        </w:rPr>
        <w:t xml:space="preserve"> </w:t>
      </w:r>
      <w:r>
        <w:t>tres</w:t>
      </w:r>
      <w:r>
        <w:rPr>
          <w:spacing w:val="15"/>
        </w:rPr>
        <w:t xml:space="preserve"> </w:t>
      </w:r>
      <w:r>
        <w:t>principios</w:t>
      </w:r>
      <w:r>
        <w:rPr>
          <w:spacing w:val="15"/>
        </w:rPr>
        <w:t xml:space="preserve"> </w:t>
      </w:r>
      <w:r>
        <w:t>generales.</w:t>
      </w:r>
      <w:r>
        <w:rPr>
          <w:spacing w:val="17"/>
        </w:rPr>
        <w:t xml:space="preserve"> </w:t>
      </w:r>
      <w:r>
        <w:t>En</w:t>
      </w:r>
      <w:r>
        <w:rPr>
          <w:spacing w:val="15"/>
        </w:rPr>
        <w:t xml:space="preserve"> </w:t>
      </w:r>
      <w:r>
        <w:t>primer</w:t>
      </w:r>
      <w:r>
        <w:rPr>
          <w:spacing w:val="15"/>
        </w:rPr>
        <w:t xml:space="preserve"> </w:t>
      </w:r>
      <w:r>
        <w:t>lugar,</w:t>
      </w:r>
      <w:r>
        <w:rPr>
          <w:spacing w:val="17"/>
        </w:rPr>
        <w:t xml:space="preserve"> </w:t>
      </w:r>
      <w:r>
        <w:t>la acción</w:t>
      </w:r>
      <w:r>
        <w:rPr>
          <w:spacing w:val="13"/>
        </w:rPr>
        <w:t xml:space="preserve"> </w:t>
      </w:r>
      <w:r>
        <w:t>positiva</w:t>
      </w:r>
      <w:r>
        <w:rPr>
          <w:spacing w:val="13"/>
        </w:rPr>
        <w:t xml:space="preserve"> </w:t>
      </w:r>
      <w:r>
        <w:t>debe</w:t>
      </w:r>
      <w:r>
        <w:rPr>
          <w:spacing w:val="13"/>
        </w:rPr>
        <w:t xml:space="preserve"> </w:t>
      </w:r>
      <w:r>
        <w:t>perseguir</w:t>
      </w:r>
      <w:r>
        <w:rPr>
          <w:spacing w:val="13"/>
        </w:rPr>
        <w:t xml:space="preserve"> </w:t>
      </w:r>
      <w:r>
        <w:t>el</w:t>
      </w:r>
      <w:r>
        <w:rPr>
          <w:spacing w:val="13"/>
        </w:rPr>
        <w:t xml:space="preserve"> </w:t>
      </w:r>
      <w:r>
        <w:t>propósito</w:t>
      </w:r>
      <w:r>
        <w:rPr>
          <w:spacing w:val="13"/>
        </w:rPr>
        <w:t xml:space="preserve"> </w:t>
      </w:r>
      <w:r>
        <w:t>de</w:t>
      </w:r>
      <w:r>
        <w:rPr>
          <w:spacing w:val="13"/>
        </w:rPr>
        <w:t xml:space="preserve"> </w:t>
      </w:r>
      <w:r>
        <w:t>avanzar</w:t>
      </w:r>
      <w:r>
        <w:rPr>
          <w:spacing w:val="13"/>
        </w:rPr>
        <w:t xml:space="preserve"> </w:t>
      </w:r>
      <w:r>
        <w:t>o</w:t>
      </w:r>
      <w:r>
        <w:rPr>
          <w:spacing w:val="13"/>
        </w:rPr>
        <w:t xml:space="preserve"> </w:t>
      </w:r>
      <w:r>
        <w:t>lograr</w:t>
      </w:r>
      <w:r>
        <w:rPr>
          <w:spacing w:val="13"/>
        </w:rPr>
        <w:t xml:space="preserve"> </w:t>
      </w:r>
      <w:r>
        <w:t>la</w:t>
      </w:r>
      <w:r>
        <w:rPr>
          <w:spacing w:val="13"/>
        </w:rPr>
        <w:t xml:space="preserve"> </w:t>
      </w:r>
      <w:r>
        <w:t>igualdad.</w:t>
      </w:r>
      <w:r>
        <w:rPr>
          <w:spacing w:val="14"/>
        </w:rPr>
        <w:t xml:space="preserve"> </w:t>
      </w:r>
      <w:r>
        <w:t>En</w:t>
      </w:r>
      <w:r>
        <w:rPr>
          <w:spacing w:val="13"/>
        </w:rPr>
        <w:t xml:space="preserve"> </w:t>
      </w:r>
      <w:r>
        <w:t>segundo</w:t>
      </w:r>
      <w:r>
        <w:rPr>
          <w:spacing w:val="13"/>
        </w:rPr>
        <w:t xml:space="preserve"> </w:t>
      </w:r>
      <w:r>
        <w:t>lugar,</w:t>
      </w:r>
      <w:r>
        <w:rPr>
          <w:spacing w:val="14"/>
        </w:rPr>
        <w:t xml:space="preserve"> </w:t>
      </w:r>
      <w:r>
        <w:t>la</w:t>
      </w:r>
      <w:r>
        <w:rPr>
          <w:spacing w:val="13"/>
        </w:rPr>
        <w:t xml:space="preserve"> </w:t>
      </w:r>
      <w:r>
        <w:t>acción</w:t>
      </w:r>
      <w:r>
        <w:rPr>
          <w:spacing w:val="13"/>
        </w:rPr>
        <w:t xml:space="preserve"> </w:t>
      </w:r>
      <w:r>
        <w:t>positiva</w:t>
      </w:r>
      <w:r>
        <w:rPr>
          <w:spacing w:val="13"/>
        </w:rPr>
        <w:t xml:space="preserve"> </w:t>
      </w:r>
      <w:r>
        <w:t>no</w:t>
      </w:r>
      <w:r>
        <w:rPr>
          <w:spacing w:val="13"/>
        </w:rPr>
        <w:t xml:space="preserve"> </w:t>
      </w:r>
      <w:r>
        <w:t>debe</w:t>
      </w:r>
      <w:r>
        <w:rPr>
          <w:spacing w:val="13"/>
        </w:rPr>
        <w:t xml:space="preserve"> </w:t>
      </w:r>
      <w:r>
        <w:t>llevar al “mantenimiento de estándares desiguales o separados”.502 Con este fin, las medidas de acción positiva deben tener una duración limitada, estar sujetas a revisión periódica y suspenderse cuando se logren los propósitos de la igualdad.503 En tercer</w:t>
      </w:r>
    </w:p>
    <w:p w14:paraId="40CC5EF9" w14:textId="77777777" w:rsidR="0014798C" w:rsidRDefault="004E1F0B">
      <w:pPr>
        <w:pStyle w:val="Textoindependiente"/>
        <w:spacing w:line="182" w:lineRule="exact"/>
        <w:ind w:left="1107"/>
      </w:pPr>
      <w:r>
        <w:t>lugar,</w:t>
      </w:r>
      <w:r>
        <w:rPr>
          <w:spacing w:val="7"/>
        </w:rPr>
        <w:t xml:space="preserve"> </w:t>
      </w:r>
      <w:r>
        <w:t>positiva</w:t>
      </w:r>
      <w:r>
        <w:rPr>
          <w:spacing w:val="6"/>
        </w:rPr>
        <w:t xml:space="preserve"> </w:t>
      </w:r>
      <w:r>
        <w:t>Las</w:t>
      </w:r>
      <w:r>
        <w:rPr>
          <w:spacing w:val="6"/>
        </w:rPr>
        <w:t xml:space="preserve"> </w:t>
      </w:r>
      <w:r>
        <w:t>medidas</w:t>
      </w:r>
      <w:r>
        <w:rPr>
          <w:spacing w:val="6"/>
        </w:rPr>
        <w:t xml:space="preserve"> </w:t>
      </w:r>
      <w:r>
        <w:t>de</w:t>
      </w:r>
      <w:r>
        <w:rPr>
          <w:spacing w:val="6"/>
        </w:rPr>
        <w:t xml:space="preserve"> </w:t>
      </w:r>
      <w:r>
        <w:t>acción</w:t>
      </w:r>
      <w:r>
        <w:rPr>
          <w:spacing w:val="7"/>
        </w:rPr>
        <w:t xml:space="preserve"> </w:t>
      </w:r>
      <w:r>
        <w:t>deberían</w:t>
      </w:r>
      <w:r>
        <w:rPr>
          <w:spacing w:val="6"/>
        </w:rPr>
        <w:t xml:space="preserve"> </w:t>
      </w:r>
      <w:r>
        <w:t>ser</w:t>
      </w:r>
      <w:r>
        <w:rPr>
          <w:spacing w:val="6"/>
        </w:rPr>
        <w:t xml:space="preserve"> </w:t>
      </w:r>
      <w:r>
        <w:t>necesarias</w:t>
      </w:r>
      <w:r>
        <w:rPr>
          <w:spacing w:val="6"/>
        </w:rPr>
        <w:t xml:space="preserve"> </w:t>
      </w:r>
      <w:r>
        <w:t>en</w:t>
      </w:r>
      <w:r>
        <w:rPr>
          <w:spacing w:val="6"/>
        </w:rPr>
        <w:t xml:space="preserve"> </w:t>
      </w:r>
      <w:r>
        <w:t>una</w:t>
      </w:r>
      <w:r>
        <w:rPr>
          <w:spacing w:val="6"/>
        </w:rPr>
        <w:t xml:space="preserve"> </w:t>
      </w:r>
      <w:r>
        <w:t>sociedad</w:t>
      </w:r>
      <w:r>
        <w:rPr>
          <w:spacing w:val="7"/>
        </w:rPr>
        <w:t xml:space="preserve"> </w:t>
      </w:r>
      <w:r>
        <w:t>democrática</w:t>
      </w:r>
      <w:r>
        <w:rPr>
          <w:spacing w:val="6"/>
        </w:rPr>
        <w:t xml:space="preserve"> </w:t>
      </w:r>
      <w:r>
        <w:t>y</w:t>
      </w:r>
      <w:r>
        <w:rPr>
          <w:spacing w:val="6"/>
        </w:rPr>
        <w:t xml:space="preserve"> </w:t>
      </w:r>
      <w:r>
        <w:t>proporcionadas</w:t>
      </w:r>
      <w:r>
        <w:rPr>
          <w:spacing w:val="6"/>
        </w:rPr>
        <w:t xml:space="preserve"> </w:t>
      </w:r>
      <w:r>
        <w:t>al</w:t>
      </w:r>
      <w:r>
        <w:rPr>
          <w:spacing w:val="6"/>
        </w:rPr>
        <w:t xml:space="preserve"> </w:t>
      </w:r>
      <w:r>
        <w:t>objetivo</w:t>
      </w:r>
      <w:r>
        <w:rPr>
          <w:spacing w:val="6"/>
        </w:rPr>
        <w:t xml:space="preserve"> </w:t>
      </w:r>
      <w:r>
        <w:rPr>
          <w:spacing w:val="-2"/>
        </w:rPr>
        <w:t>perseguido.</w:t>
      </w:r>
    </w:p>
    <w:p w14:paraId="7B644966" w14:textId="77777777" w:rsidR="0014798C" w:rsidRDefault="0014798C">
      <w:pPr>
        <w:pStyle w:val="Textoindependiente"/>
        <w:rPr>
          <w:sz w:val="20"/>
        </w:rPr>
      </w:pPr>
    </w:p>
    <w:p w14:paraId="5160D12E" w14:textId="77777777" w:rsidR="0014798C" w:rsidRDefault="0014798C">
      <w:pPr>
        <w:pStyle w:val="Textoindependiente"/>
        <w:rPr>
          <w:sz w:val="20"/>
        </w:rPr>
      </w:pPr>
    </w:p>
    <w:p w14:paraId="0A45A6C2" w14:textId="77777777" w:rsidR="0014798C" w:rsidRDefault="0014798C">
      <w:pPr>
        <w:pStyle w:val="Textoindependiente"/>
        <w:rPr>
          <w:sz w:val="20"/>
        </w:rPr>
      </w:pPr>
    </w:p>
    <w:p w14:paraId="2D1B1A2C" w14:textId="77777777" w:rsidR="0014798C" w:rsidRDefault="0014798C">
      <w:pPr>
        <w:pStyle w:val="Textoindependiente"/>
        <w:rPr>
          <w:sz w:val="20"/>
        </w:rPr>
      </w:pPr>
    </w:p>
    <w:p w14:paraId="03C7DE95" w14:textId="77777777" w:rsidR="0014798C" w:rsidRDefault="0014798C">
      <w:pPr>
        <w:pStyle w:val="Textoindependiente"/>
        <w:spacing w:before="208"/>
        <w:rPr>
          <w:sz w:val="20"/>
        </w:rPr>
      </w:pPr>
    </w:p>
    <w:p w14:paraId="25B2B061" w14:textId="77777777" w:rsidR="0014798C" w:rsidRDefault="0014798C">
      <w:pPr>
        <w:rPr>
          <w:sz w:val="20"/>
        </w:rPr>
        <w:sectPr w:rsidR="0014798C" w:rsidSect="00F265E4">
          <w:pgSz w:w="11900" w:h="16820"/>
          <w:pgMar w:top="340" w:right="0" w:bottom="280" w:left="200" w:header="121" w:footer="0" w:gutter="0"/>
          <w:cols w:space="720"/>
        </w:sectPr>
      </w:pPr>
    </w:p>
    <w:p w14:paraId="53254032" w14:textId="77777777" w:rsidR="0014798C" w:rsidRDefault="0014798C">
      <w:pPr>
        <w:pStyle w:val="Textoindependiente"/>
        <w:spacing w:before="10"/>
        <w:rPr>
          <w:sz w:val="8"/>
        </w:rPr>
      </w:pPr>
    </w:p>
    <w:p w14:paraId="571C9887" w14:textId="77777777" w:rsidR="0014798C" w:rsidRDefault="004E1F0B">
      <w:pPr>
        <w:jc w:val="right"/>
        <w:rPr>
          <w:sz w:val="8"/>
        </w:rPr>
      </w:pPr>
      <w:r>
        <w:rPr>
          <w:spacing w:val="-5"/>
          <w:w w:val="105"/>
          <w:sz w:val="8"/>
        </w:rPr>
        <w:t>493</w:t>
      </w:r>
    </w:p>
    <w:p w14:paraId="7F144F20" w14:textId="77777777" w:rsidR="0014798C" w:rsidRDefault="004E1F0B">
      <w:pPr>
        <w:spacing w:before="122"/>
        <w:ind w:left="79"/>
        <w:rPr>
          <w:sz w:val="14"/>
        </w:rPr>
      </w:pPr>
      <w:r>
        <w:br w:type="column"/>
      </w:r>
      <w:r>
        <w:rPr>
          <w:spacing w:val="-4"/>
          <w:sz w:val="14"/>
        </w:rPr>
        <w:t>A/HRC/WG.6/27/BRA/1,</w:t>
      </w:r>
      <w:r>
        <w:rPr>
          <w:spacing w:val="4"/>
          <w:sz w:val="14"/>
        </w:rPr>
        <w:t xml:space="preserve"> </w:t>
      </w:r>
      <w:r>
        <w:rPr>
          <w:spacing w:val="-4"/>
          <w:sz w:val="14"/>
        </w:rPr>
        <w:t>párr.</w:t>
      </w:r>
      <w:r>
        <w:rPr>
          <w:spacing w:val="4"/>
          <w:sz w:val="14"/>
        </w:rPr>
        <w:t xml:space="preserve"> </w:t>
      </w:r>
      <w:r>
        <w:rPr>
          <w:spacing w:val="-4"/>
          <w:sz w:val="14"/>
        </w:rPr>
        <w:t>53;</w:t>
      </w:r>
      <w:r>
        <w:rPr>
          <w:spacing w:val="4"/>
          <w:sz w:val="14"/>
        </w:rPr>
        <w:t xml:space="preserve"> </w:t>
      </w:r>
      <w:r>
        <w:rPr>
          <w:spacing w:val="-4"/>
          <w:sz w:val="14"/>
        </w:rPr>
        <w:t>y</w:t>
      </w:r>
      <w:r>
        <w:rPr>
          <w:spacing w:val="5"/>
          <w:sz w:val="14"/>
        </w:rPr>
        <w:t xml:space="preserve"> </w:t>
      </w:r>
      <w:r>
        <w:rPr>
          <w:spacing w:val="-4"/>
          <w:sz w:val="14"/>
        </w:rPr>
        <w:t>A/HRC/27/68/Add.1,</w:t>
      </w:r>
      <w:r>
        <w:rPr>
          <w:spacing w:val="4"/>
          <w:sz w:val="14"/>
        </w:rPr>
        <w:t xml:space="preserve"> </w:t>
      </w:r>
      <w:proofErr w:type="spellStart"/>
      <w:r>
        <w:rPr>
          <w:spacing w:val="-4"/>
          <w:sz w:val="14"/>
        </w:rPr>
        <w:t>párrs</w:t>
      </w:r>
      <w:proofErr w:type="spellEnd"/>
      <w:r>
        <w:rPr>
          <w:spacing w:val="-4"/>
          <w:sz w:val="14"/>
        </w:rPr>
        <w:t>.</w:t>
      </w:r>
      <w:r>
        <w:rPr>
          <w:spacing w:val="5"/>
          <w:sz w:val="14"/>
        </w:rPr>
        <w:t xml:space="preserve"> </w:t>
      </w:r>
      <w:r>
        <w:rPr>
          <w:spacing w:val="-4"/>
          <w:sz w:val="14"/>
        </w:rPr>
        <w:t>16</w:t>
      </w:r>
      <w:r>
        <w:rPr>
          <w:spacing w:val="5"/>
          <w:sz w:val="14"/>
        </w:rPr>
        <w:t xml:space="preserve"> </w:t>
      </w:r>
      <w:r>
        <w:rPr>
          <w:spacing w:val="-4"/>
          <w:sz w:val="14"/>
        </w:rPr>
        <w:t>y</w:t>
      </w:r>
      <w:r>
        <w:rPr>
          <w:spacing w:val="4"/>
          <w:sz w:val="14"/>
        </w:rPr>
        <w:t xml:space="preserve"> </w:t>
      </w:r>
      <w:r>
        <w:rPr>
          <w:spacing w:val="-5"/>
          <w:sz w:val="14"/>
        </w:rPr>
        <w:t>40.</w:t>
      </w:r>
    </w:p>
    <w:p w14:paraId="492C87E5" w14:textId="77777777" w:rsidR="0014798C" w:rsidRDefault="0014798C">
      <w:pPr>
        <w:rPr>
          <w:sz w:val="14"/>
        </w:rPr>
        <w:sectPr w:rsidR="0014798C" w:rsidSect="00F265E4">
          <w:type w:val="continuous"/>
          <w:pgSz w:w="11900" w:h="16820"/>
          <w:pgMar w:top="40" w:right="0" w:bottom="280" w:left="200" w:header="121" w:footer="0" w:gutter="0"/>
          <w:cols w:num="2" w:space="720" w:equalWidth="0">
            <w:col w:w="1247" w:space="40"/>
            <w:col w:w="10413"/>
          </w:cols>
        </w:sectPr>
      </w:pPr>
    </w:p>
    <w:p w14:paraId="4C662D0A" w14:textId="77777777" w:rsidR="0014798C" w:rsidRDefault="004E1F0B">
      <w:pPr>
        <w:spacing w:before="101"/>
        <w:ind w:left="1105"/>
        <w:rPr>
          <w:sz w:val="12"/>
        </w:rPr>
      </w:pPr>
      <w:r>
        <w:rPr>
          <w:sz w:val="12"/>
        </w:rPr>
        <w:t>494</w:t>
      </w:r>
      <w:r>
        <w:rPr>
          <w:spacing w:val="-2"/>
          <w:sz w:val="12"/>
        </w:rPr>
        <w:t xml:space="preserve"> </w:t>
      </w:r>
      <w:r>
        <w:rPr>
          <w:sz w:val="12"/>
        </w:rPr>
        <w:t>A/HRC/27/68/Add.1,</w:t>
      </w:r>
      <w:r>
        <w:rPr>
          <w:spacing w:val="-2"/>
          <w:sz w:val="12"/>
        </w:rPr>
        <w:t xml:space="preserve"> </w:t>
      </w:r>
      <w:r>
        <w:rPr>
          <w:sz w:val="12"/>
        </w:rPr>
        <w:t>párr.</w:t>
      </w:r>
      <w:r>
        <w:rPr>
          <w:spacing w:val="-1"/>
          <w:sz w:val="12"/>
        </w:rPr>
        <w:t xml:space="preserve"> </w:t>
      </w:r>
      <w:r>
        <w:rPr>
          <w:spacing w:val="-5"/>
          <w:sz w:val="12"/>
        </w:rPr>
        <w:t>43.</w:t>
      </w:r>
    </w:p>
    <w:p w14:paraId="06DAB21A" w14:textId="77777777" w:rsidR="0014798C" w:rsidRDefault="0014798C">
      <w:pPr>
        <w:rPr>
          <w:sz w:val="12"/>
        </w:rPr>
        <w:sectPr w:rsidR="0014798C" w:rsidSect="00F265E4">
          <w:type w:val="continuous"/>
          <w:pgSz w:w="11900" w:h="16820"/>
          <w:pgMar w:top="40" w:right="0" w:bottom="280" w:left="200" w:header="121" w:footer="0" w:gutter="0"/>
          <w:cols w:space="720"/>
        </w:sectPr>
      </w:pPr>
    </w:p>
    <w:p w14:paraId="0EEF3E47" w14:textId="77777777" w:rsidR="0014798C" w:rsidRDefault="004E1F0B">
      <w:pPr>
        <w:spacing w:before="53"/>
        <w:jc w:val="right"/>
        <w:rPr>
          <w:sz w:val="8"/>
        </w:rPr>
      </w:pPr>
      <w:r>
        <w:rPr>
          <w:spacing w:val="-5"/>
          <w:w w:val="105"/>
          <w:sz w:val="8"/>
        </w:rPr>
        <w:t>495</w:t>
      </w:r>
    </w:p>
    <w:p w14:paraId="0B34F16E" w14:textId="77777777" w:rsidR="0014798C" w:rsidRDefault="0014798C">
      <w:pPr>
        <w:pStyle w:val="Textoindependiente"/>
        <w:spacing w:before="52"/>
        <w:rPr>
          <w:sz w:val="8"/>
        </w:rPr>
      </w:pPr>
    </w:p>
    <w:p w14:paraId="091EAEF4" w14:textId="77777777" w:rsidR="0014798C" w:rsidRDefault="004E1F0B">
      <w:pPr>
        <w:spacing w:before="1"/>
        <w:jc w:val="right"/>
        <w:rPr>
          <w:sz w:val="8"/>
        </w:rPr>
      </w:pPr>
      <w:r>
        <w:rPr>
          <w:spacing w:val="-5"/>
          <w:w w:val="105"/>
          <w:sz w:val="8"/>
        </w:rPr>
        <w:t>496</w:t>
      </w:r>
    </w:p>
    <w:p w14:paraId="792A7DA3" w14:textId="77777777" w:rsidR="0014798C" w:rsidRDefault="004E1F0B">
      <w:pPr>
        <w:spacing w:before="73"/>
        <w:ind w:left="79"/>
        <w:rPr>
          <w:sz w:val="14"/>
        </w:rPr>
      </w:pPr>
      <w:r>
        <w:br w:type="column"/>
      </w:r>
      <w:r>
        <w:rPr>
          <w:spacing w:val="-2"/>
          <w:sz w:val="14"/>
        </w:rPr>
        <w:t>A/HRC/WG.6/27/BRA/1,</w:t>
      </w:r>
      <w:r>
        <w:rPr>
          <w:spacing w:val="5"/>
          <w:sz w:val="14"/>
        </w:rPr>
        <w:t xml:space="preserve"> </w:t>
      </w:r>
      <w:r>
        <w:rPr>
          <w:spacing w:val="-2"/>
          <w:sz w:val="14"/>
        </w:rPr>
        <w:t>párr.</w:t>
      </w:r>
      <w:r>
        <w:rPr>
          <w:spacing w:val="6"/>
          <w:sz w:val="14"/>
        </w:rPr>
        <w:t xml:space="preserve"> </w:t>
      </w:r>
      <w:r>
        <w:rPr>
          <w:spacing w:val="-5"/>
          <w:sz w:val="14"/>
        </w:rPr>
        <w:t>53.</w:t>
      </w:r>
    </w:p>
    <w:p w14:paraId="6E22BC7D" w14:textId="77777777" w:rsidR="0014798C" w:rsidRDefault="004E1F0B">
      <w:pPr>
        <w:spacing w:before="75" w:line="268" w:lineRule="auto"/>
        <w:ind w:left="79" w:right="1580" w:firstLine="4"/>
        <w:rPr>
          <w:sz w:val="14"/>
        </w:rPr>
      </w:pPr>
      <w:r>
        <w:rPr>
          <w:sz w:val="14"/>
        </w:rPr>
        <w:t>Véase,</w:t>
      </w:r>
      <w:r>
        <w:rPr>
          <w:spacing w:val="-6"/>
          <w:sz w:val="14"/>
        </w:rPr>
        <w:t xml:space="preserve"> </w:t>
      </w:r>
      <w:r>
        <w:rPr>
          <w:sz w:val="14"/>
        </w:rPr>
        <w:t>por</w:t>
      </w:r>
      <w:r>
        <w:rPr>
          <w:spacing w:val="-6"/>
          <w:sz w:val="14"/>
        </w:rPr>
        <w:t xml:space="preserve"> </w:t>
      </w:r>
      <w:r>
        <w:rPr>
          <w:sz w:val="14"/>
        </w:rPr>
        <w:t>ejemplo,</w:t>
      </w:r>
      <w:r>
        <w:rPr>
          <w:spacing w:val="-5"/>
          <w:sz w:val="14"/>
        </w:rPr>
        <w:t xml:space="preserve"> </w:t>
      </w:r>
      <w:r>
        <w:rPr>
          <w:sz w:val="14"/>
        </w:rPr>
        <w:t>Comité</w:t>
      </w:r>
      <w:r>
        <w:rPr>
          <w:spacing w:val="-6"/>
          <w:sz w:val="14"/>
        </w:rPr>
        <w:t xml:space="preserve"> </w:t>
      </w:r>
      <w:r>
        <w:rPr>
          <w:sz w:val="14"/>
        </w:rPr>
        <w:t>de</w:t>
      </w:r>
      <w:r>
        <w:rPr>
          <w:spacing w:val="-6"/>
          <w:sz w:val="14"/>
        </w:rPr>
        <w:t xml:space="preserve"> </w:t>
      </w:r>
      <w:r>
        <w:rPr>
          <w:sz w:val="14"/>
        </w:rPr>
        <w:t>Derechos</w:t>
      </w:r>
      <w:r>
        <w:rPr>
          <w:spacing w:val="-6"/>
          <w:sz w:val="14"/>
        </w:rPr>
        <w:t xml:space="preserve"> </w:t>
      </w:r>
      <w:r>
        <w:rPr>
          <w:sz w:val="14"/>
        </w:rPr>
        <w:t>Humanos,</w:t>
      </w:r>
      <w:r>
        <w:rPr>
          <w:spacing w:val="-5"/>
          <w:sz w:val="14"/>
        </w:rPr>
        <w:t xml:space="preserve"> </w:t>
      </w:r>
      <w:r>
        <w:rPr>
          <w:sz w:val="14"/>
        </w:rPr>
        <w:t>observación</w:t>
      </w:r>
      <w:r>
        <w:rPr>
          <w:spacing w:val="-6"/>
          <w:sz w:val="14"/>
        </w:rPr>
        <w:t xml:space="preserve"> </w:t>
      </w:r>
      <w:r>
        <w:rPr>
          <w:sz w:val="14"/>
        </w:rPr>
        <w:t>general</w:t>
      </w:r>
      <w:r>
        <w:rPr>
          <w:spacing w:val="-6"/>
          <w:sz w:val="14"/>
        </w:rPr>
        <w:t xml:space="preserve"> </w:t>
      </w:r>
      <w:r>
        <w:rPr>
          <w:sz w:val="14"/>
        </w:rPr>
        <w:t>núm.</w:t>
      </w:r>
      <w:r>
        <w:rPr>
          <w:spacing w:val="-6"/>
          <w:sz w:val="14"/>
        </w:rPr>
        <w:t xml:space="preserve"> </w:t>
      </w:r>
      <w:r>
        <w:rPr>
          <w:sz w:val="14"/>
        </w:rPr>
        <w:t>18</w:t>
      </w:r>
      <w:r>
        <w:rPr>
          <w:spacing w:val="-6"/>
          <w:sz w:val="14"/>
        </w:rPr>
        <w:t xml:space="preserve"> </w:t>
      </w:r>
      <w:r>
        <w:rPr>
          <w:sz w:val="14"/>
        </w:rPr>
        <w:t>(1989),</w:t>
      </w:r>
      <w:r>
        <w:rPr>
          <w:spacing w:val="-5"/>
          <w:sz w:val="14"/>
        </w:rPr>
        <w:t xml:space="preserve"> </w:t>
      </w:r>
      <w:r>
        <w:rPr>
          <w:sz w:val="14"/>
        </w:rPr>
        <w:t>párr.</w:t>
      </w:r>
      <w:r>
        <w:rPr>
          <w:spacing w:val="-6"/>
          <w:sz w:val="14"/>
        </w:rPr>
        <w:t xml:space="preserve"> </w:t>
      </w:r>
      <w:r>
        <w:rPr>
          <w:sz w:val="14"/>
        </w:rPr>
        <w:t>10</w:t>
      </w:r>
      <w:r>
        <w:rPr>
          <w:spacing w:val="-6"/>
          <w:sz w:val="14"/>
        </w:rPr>
        <w:t xml:space="preserve"> </w:t>
      </w:r>
      <w:r>
        <w:rPr>
          <w:sz w:val="14"/>
        </w:rPr>
        <w:t>(“dicha</w:t>
      </w:r>
      <w:r>
        <w:rPr>
          <w:spacing w:val="-6"/>
          <w:sz w:val="14"/>
        </w:rPr>
        <w:t xml:space="preserve"> </w:t>
      </w:r>
      <w:r>
        <w:rPr>
          <w:sz w:val="14"/>
        </w:rPr>
        <w:t>acción</w:t>
      </w:r>
      <w:r>
        <w:rPr>
          <w:spacing w:val="-6"/>
          <w:sz w:val="14"/>
        </w:rPr>
        <w:t xml:space="preserve"> </w:t>
      </w:r>
      <w:r>
        <w:rPr>
          <w:sz w:val="14"/>
        </w:rPr>
        <w:t>puede</w:t>
      </w:r>
      <w:r>
        <w:rPr>
          <w:spacing w:val="-6"/>
          <w:sz w:val="14"/>
        </w:rPr>
        <w:t xml:space="preserve"> </w:t>
      </w:r>
      <w:r>
        <w:rPr>
          <w:sz w:val="14"/>
        </w:rPr>
        <w:t>implicar</w:t>
      </w:r>
      <w:r>
        <w:rPr>
          <w:spacing w:val="-6"/>
          <w:sz w:val="14"/>
        </w:rPr>
        <w:t xml:space="preserve"> </w:t>
      </w:r>
      <w:r>
        <w:rPr>
          <w:sz w:val="14"/>
        </w:rPr>
        <w:t>conceder</w:t>
      </w:r>
      <w:r>
        <w:rPr>
          <w:spacing w:val="-6"/>
          <w:sz w:val="14"/>
        </w:rPr>
        <w:t xml:space="preserve"> </w:t>
      </w:r>
      <w:r>
        <w:rPr>
          <w:sz w:val="14"/>
        </w:rPr>
        <w:t>por</w:t>
      </w:r>
      <w:r>
        <w:rPr>
          <w:spacing w:val="40"/>
          <w:sz w:val="14"/>
        </w:rPr>
        <w:t xml:space="preserve"> </w:t>
      </w:r>
      <w:r>
        <w:rPr>
          <w:sz w:val="14"/>
        </w:rPr>
        <w:t>un</w:t>
      </w:r>
      <w:r>
        <w:rPr>
          <w:spacing w:val="-7"/>
          <w:sz w:val="14"/>
        </w:rPr>
        <w:t xml:space="preserve"> </w:t>
      </w:r>
      <w:r>
        <w:rPr>
          <w:sz w:val="14"/>
        </w:rPr>
        <w:t>tiempo</w:t>
      </w:r>
      <w:r>
        <w:rPr>
          <w:spacing w:val="-7"/>
          <w:sz w:val="14"/>
        </w:rPr>
        <w:t xml:space="preserve"> </w:t>
      </w:r>
      <w:r>
        <w:rPr>
          <w:sz w:val="14"/>
        </w:rPr>
        <w:t>a</w:t>
      </w:r>
      <w:r>
        <w:rPr>
          <w:spacing w:val="-7"/>
          <w:sz w:val="14"/>
        </w:rPr>
        <w:t xml:space="preserve"> </w:t>
      </w:r>
      <w:r>
        <w:rPr>
          <w:sz w:val="14"/>
        </w:rPr>
        <w:t>la</w:t>
      </w:r>
      <w:r>
        <w:rPr>
          <w:spacing w:val="-7"/>
          <w:sz w:val="14"/>
        </w:rPr>
        <w:t xml:space="preserve"> </w:t>
      </w:r>
      <w:r>
        <w:rPr>
          <w:sz w:val="14"/>
        </w:rPr>
        <w:t>parte</w:t>
      </w:r>
      <w:r>
        <w:rPr>
          <w:spacing w:val="-7"/>
          <w:sz w:val="14"/>
        </w:rPr>
        <w:t xml:space="preserve"> </w:t>
      </w:r>
      <w:r>
        <w:rPr>
          <w:sz w:val="14"/>
        </w:rPr>
        <w:t>de</w:t>
      </w:r>
      <w:r>
        <w:rPr>
          <w:spacing w:val="-7"/>
          <w:sz w:val="14"/>
        </w:rPr>
        <w:t xml:space="preserve"> </w:t>
      </w:r>
      <w:r>
        <w:rPr>
          <w:sz w:val="14"/>
        </w:rPr>
        <w:t>la</w:t>
      </w:r>
      <w:r>
        <w:rPr>
          <w:spacing w:val="-7"/>
          <w:sz w:val="14"/>
        </w:rPr>
        <w:t xml:space="preserve"> </w:t>
      </w:r>
      <w:r>
        <w:rPr>
          <w:sz w:val="14"/>
        </w:rPr>
        <w:t>población</w:t>
      </w:r>
      <w:r>
        <w:rPr>
          <w:spacing w:val="-7"/>
          <w:sz w:val="14"/>
        </w:rPr>
        <w:t xml:space="preserve"> </w:t>
      </w:r>
      <w:r>
        <w:rPr>
          <w:sz w:val="14"/>
        </w:rPr>
        <w:t>interesada</w:t>
      </w:r>
      <w:r>
        <w:rPr>
          <w:spacing w:val="-7"/>
          <w:sz w:val="14"/>
        </w:rPr>
        <w:t xml:space="preserve"> </w:t>
      </w:r>
      <w:r>
        <w:rPr>
          <w:sz w:val="14"/>
        </w:rPr>
        <w:t>cierto</w:t>
      </w:r>
      <w:r>
        <w:rPr>
          <w:spacing w:val="-7"/>
          <w:sz w:val="14"/>
        </w:rPr>
        <w:t xml:space="preserve"> </w:t>
      </w:r>
      <w:r>
        <w:rPr>
          <w:sz w:val="14"/>
        </w:rPr>
        <w:t>trato</w:t>
      </w:r>
      <w:r>
        <w:rPr>
          <w:spacing w:val="-7"/>
          <w:sz w:val="14"/>
        </w:rPr>
        <w:t xml:space="preserve"> </w:t>
      </w:r>
      <w:r>
        <w:rPr>
          <w:sz w:val="14"/>
        </w:rPr>
        <w:t>preferencial</w:t>
      </w:r>
      <w:r>
        <w:rPr>
          <w:spacing w:val="-7"/>
          <w:sz w:val="14"/>
        </w:rPr>
        <w:t xml:space="preserve"> </w:t>
      </w:r>
      <w:r>
        <w:rPr>
          <w:sz w:val="14"/>
        </w:rPr>
        <w:t>en</w:t>
      </w:r>
      <w:r>
        <w:rPr>
          <w:spacing w:val="-7"/>
          <w:sz w:val="14"/>
        </w:rPr>
        <w:t xml:space="preserve"> </w:t>
      </w:r>
      <w:r>
        <w:rPr>
          <w:sz w:val="14"/>
        </w:rPr>
        <w:t>materias</w:t>
      </w:r>
      <w:r>
        <w:rPr>
          <w:spacing w:val="-7"/>
          <w:sz w:val="14"/>
        </w:rPr>
        <w:t xml:space="preserve"> </w:t>
      </w:r>
      <w:r>
        <w:rPr>
          <w:sz w:val="14"/>
        </w:rPr>
        <w:t>específicas</w:t>
      </w:r>
      <w:r>
        <w:rPr>
          <w:spacing w:val="-7"/>
          <w:sz w:val="14"/>
        </w:rPr>
        <w:t xml:space="preserve"> </w:t>
      </w:r>
      <w:r>
        <w:rPr>
          <w:sz w:val="14"/>
        </w:rPr>
        <w:t>respecto</w:t>
      </w:r>
      <w:r>
        <w:rPr>
          <w:spacing w:val="-7"/>
          <w:sz w:val="14"/>
        </w:rPr>
        <w:t xml:space="preserve"> </w:t>
      </w:r>
      <w:r>
        <w:rPr>
          <w:sz w:val="14"/>
        </w:rPr>
        <w:t>del</w:t>
      </w:r>
      <w:r>
        <w:rPr>
          <w:spacing w:val="-7"/>
          <w:sz w:val="14"/>
        </w:rPr>
        <w:t xml:space="preserve"> </w:t>
      </w:r>
      <w:r>
        <w:rPr>
          <w:sz w:val="14"/>
        </w:rPr>
        <w:t>resto</w:t>
      </w:r>
      <w:r>
        <w:rPr>
          <w:spacing w:val="-7"/>
          <w:sz w:val="14"/>
        </w:rPr>
        <w:t xml:space="preserve"> </w:t>
      </w:r>
      <w:r>
        <w:rPr>
          <w:sz w:val="14"/>
        </w:rPr>
        <w:t>de</w:t>
      </w:r>
      <w:r>
        <w:rPr>
          <w:spacing w:val="-7"/>
          <w:sz w:val="14"/>
        </w:rPr>
        <w:t xml:space="preserve"> </w:t>
      </w:r>
      <w:r>
        <w:rPr>
          <w:sz w:val="14"/>
        </w:rPr>
        <w:t>la</w:t>
      </w:r>
      <w:r>
        <w:rPr>
          <w:spacing w:val="-7"/>
          <w:sz w:val="14"/>
        </w:rPr>
        <w:t xml:space="preserve"> </w:t>
      </w:r>
      <w:r>
        <w:rPr>
          <w:sz w:val="14"/>
        </w:rPr>
        <w:t>población”);</w:t>
      </w:r>
      <w:r>
        <w:rPr>
          <w:spacing w:val="-6"/>
          <w:sz w:val="14"/>
        </w:rPr>
        <w:t xml:space="preserve"> </w:t>
      </w:r>
      <w:r>
        <w:rPr>
          <w:sz w:val="14"/>
        </w:rPr>
        <w:t>y</w:t>
      </w:r>
      <w:r>
        <w:rPr>
          <w:spacing w:val="-7"/>
          <w:sz w:val="14"/>
        </w:rPr>
        <w:t xml:space="preserve"> </w:t>
      </w:r>
      <w:r>
        <w:rPr>
          <w:sz w:val="14"/>
        </w:rPr>
        <w:t>Comité</w:t>
      </w:r>
      <w:r>
        <w:rPr>
          <w:spacing w:val="40"/>
          <w:sz w:val="14"/>
        </w:rPr>
        <w:t xml:space="preserve"> </w:t>
      </w:r>
      <w:r>
        <w:rPr>
          <w:sz w:val="14"/>
        </w:rPr>
        <w:t>sobre</w:t>
      </w:r>
      <w:r>
        <w:rPr>
          <w:spacing w:val="-6"/>
          <w:sz w:val="14"/>
        </w:rPr>
        <w:t xml:space="preserve"> </w:t>
      </w:r>
      <w:r>
        <w:rPr>
          <w:sz w:val="14"/>
        </w:rPr>
        <w:t>los</w:t>
      </w:r>
      <w:r>
        <w:rPr>
          <w:spacing w:val="-6"/>
          <w:sz w:val="14"/>
        </w:rPr>
        <w:t xml:space="preserve"> </w:t>
      </w:r>
      <w:r>
        <w:rPr>
          <w:sz w:val="14"/>
        </w:rPr>
        <w:t>Derechos</w:t>
      </w:r>
      <w:r>
        <w:rPr>
          <w:spacing w:val="-6"/>
          <w:sz w:val="14"/>
        </w:rPr>
        <w:t xml:space="preserve"> </w:t>
      </w:r>
      <w:r>
        <w:rPr>
          <w:sz w:val="14"/>
        </w:rPr>
        <w:t>de</w:t>
      </w:r>
      <w:r>
        <w:rPr>
          <w:spacing w:val="-6"/>
          <w:sz w:val="14"/>
        </w:rPr>
        <w:t xml:space="preserve"> </w:t>
      </w:r>
      <w:r>
        <w:rPr>
          <w:sz w:val="14"/>
        </w:rPr>
        <w:t>las</w:t>
      </w:r>
      <w:r>
        <w:rPr>
          <w:spacing w:val="-6"/>
          <w:sz w:val="14"/>
        </w:rPr>
        <w:t xml:space="preserve"> </w:t>
      </w:r>
      <w:r>
        <w:rPr>
          <w:sz w:val="14"/>
        </w:rPr>
        <w:t>Personas</w:t>
      </w:r>
      <w:r>
        <w:rPr>
          <w:spacing w:val="-6"/>
          <w:sz w:val="14"/>
        </w:rPr>
        <w:t xml:space="preserve"> </w:t>
      </w:r>
      <w:r>
        <w:rPr>
          <w:sz w:val="14"/>
        </w:rPr>
        <w:t>con</w:t>
      </w:r>
      <w:r>
        <w:rPr>
          <w:spacing w:val="-6"/>
          <w:sz w:val="14"/>
        </w:rPr>
        <w:t xml:space="preserve"> </w:t>
      </w:r>
      <w:r>
        <w:rPr>
          <w:sz w:val="14"/>
        </w:rPr>
        <w:t>Discapacidad,</w:t>
      </w:r>
      <w:r>
        <w:rPr>
          <w:spacing w:val="-5"/>
          <w:sz w:val="14"/>
        </w:rPr>
        <w:t xml:space="preserve"> </w:t>
      </w:r>
      <w:r>
        <w:rPr>
          <w:sz w:val="14"/>
        </w:rPr>
        <w:t>observación</w:t>
      </w:r>
      <w:r>
        <w:rPr>
          <w:spacing w:val="-6"/>
          <w:sz w:val="14"/>
        </w:rPr>
        <w:t xml:space="preserve"> </w:t>
      </w:r>
      <w:r>
        <w:rPr>
          <w:sz w:val="14"/>
        </w:rPr>
        <w:t>general</w:t>
      </w:r>
      <w:r>
        <w:rPr>
          <w:spacing w:val="-6"/>
          <w:sz w:val="14"/>
        </w:rPr>
        <w:t xml:space="preserve"> </w:t>
      </w:r>
      <w:r>
        <w:rPr>
          <w:sz w:val="14"/>
        </w:rPr>
        <w:t>núm.</w:t>
      </w:r>
      <w:r>
        <w:rPr>
          <w:spacing w:val="-6"/>
          <w:sz w:val="14"/>
        </w:rPr>
        <w:t xml:space="preserve"> </w:t>
      </w:r>
      <w:r>
        <w:rPr>
          <w:sz w:val="14"/>
        </w:rPr>
        <w:t>6</w:t>
      </w:r>
      <w:r>
        <w:rPr>
          <w:spacing w:val="-6"/>
          <w:sz w:val="14"/>
        </w:rPr>
        <w:t xml:space="preserve"> </w:t>
      </w:r>
      <w:r>
        <w:rPr>
          <w:sz w:val="14"/>
        </w:rPr>
        <w:t>(2018),</w:t>
      </w:r>
      <w:r>
        <w:rPr>
          <w:spacing w:val="-5"/>
          <w:sz w:val="14"/>
        </w:rPr>
        <w:t xml:space="preserve"> </w:t>
      </w:r>
      <w:r>
        <w:rPr>
          <w:sz w:val="14"/>
        </w:rPr>
        <w:t>párr.</w:t>
      </w:r>
      <w:r>
        <w:rPr>
          <w:spacing w:val="-6"/>
          <w:sz w:val="14"/>
        </w:rPr>
        <w:t xml:space="preserve"> </w:t>
      </w:r>
      <w:r>
        <w:rPr>
          <w:sz w:val="14"/>
        </w:rPr>
        <w:t>28:</w:t>
      </w:r>
      <w:r>
        <w:rPr>
          <w:spacing w:val="-6"/>
          <w:sz w:val="14"/>
        </w:rPr>
        <w:t xml:space="preserve"> </w:t>
      </w:r>
      <w:r>
        <w:rPr>
          <w:sz w:val="14"/>
        </w:rPr>
        <w:t>“medidas</w:t>
      </w:r>
      <w:r>
        <w:rPr>
          <w:spacing w:val="-6"/>
          <w:sz w:val="14"/>
        </w:rPr>
        <w:t xml:space="preserve"> </w:t>
      </w:r>
      <w:r>
        <w:rPr>
          <w:sz w:val="14"/>
        </w:rPr>
        <w:t>específicas…</w:t>
      </w:r>
      <w:r>
        <w:rPr>
          <w:spacing w:val="-6"/>
          <w:sz w:val="14"/>
        </w:rPr>
        <w:t xml:space="preserve"> </w:t>
      </w:r>
      <w:r>
        <w:rPr>
          <w:sz w:val="14"/>
        </w:rPr>
        <w:t>implican</w:t>
      </w:r>
      <w:r>
        <w:rPr>
          <w:spacing w:val="-6"/>
          <w:sz w:val="14"/>
        </w:rPr>
        <w:t xml:space="preserve"> </w:t>
      </w:r>
      <w:r>
        <w:rPr>
          <w:sz w:val="14"/>
        </w:rPr>
        <w:t>adoptar</w:t>
      </w:r>
      <w:r>
        <w:rPr>
          <w:spacing w:val="40"/>
          <w:sz w:val="14"/>
        </w:rPr>
        <w:t xml:space="preserve"> </w:t>
      </w:r>
      <w:r>
        <w:rPr>
          <w:sz w:val="14"/>
        </w:rPr>
        <w:t>o mantener ciertas ventajas a favor de un grupo subrepresentado o marginado” para lograr la igualdad.</w:t>
      </w:r>
    </w:p>
    <w:p w14:paraId="45A6055D" w14:textId="77777777" w:rsidR="0014798C" w:rsidRDefault="0014798C">
      <w:pPr>
        <w:spacing w:line="268" w:lineRule="auto"/>
        <w:rPr>
          <w:sz w:val="14"/>
        </w:rPr>
        <w:sectPr w:rsidR="0014798C" w:rsidSect="00F265E4">
          <w:type w:val="continuous"/>
          <w:pgSz w:w="11900" w:h="16820"/>
          <w:pgMar w:top="40" w:right="0" w:bottom="280" w:left="200" w:header="121" w:footer="0" w:gutter="0"/>
          <w:cols w:num="2" w:space="720" w:equalWidth="0">
            <w:col w:w="1247" w:space="40"/>
            <w:col w:w="10413"/>
          </w:cols>
        </w:sectPr>
      </w:pPr>
    </w:p>
    <w:p w14:paraId="0D28A7AA" w14:textId="77777777" w:rsidR="0014798C" w:rsidRDefault="004E1F0B">
      <w:pPr>
        <w:spacing w:before="80"/>
        <w:ind w:left="1105"/>
        <w:rPr>
          <w:sz w:val="12"/>
        </w:rPr>
      </w:pPr>
      <w:r>
        <w:rPr>
          <w:sz w:val="12"/>
        </w:rPr>
        <w:t>497</w:t>
      </w:r>
      <w:r>
        <w:rPr>
          <w:spacing w:val="-2"/>
          <w:sz w:val="12"/>
        </w:rPr>
        <w:t xml:space="preserve"> </w:t>
      </w:r>
      <w:r>
        <w:rPr>
          <w:sz w:val="12"/>
        </w:rPr>
        <w:t>Comité</w:t>
      </w:r>
      <w:r>
        <w:rPr>
          <w:spacing w:val="-2"/>
          <w:sz w:val="12"/>
        </w:rPr>
        <w:t xml:space="preserve"> </w:t>
      </w:r>
      <w:r>
        <w:rPr>
          <w:sz w:val="12"/>
        </w:rPr>
        <w:t>para</w:t>
      </w:r>
      <w:r>
        <w:rPr>
          <w:spacing w:val="-1"/>
          <w:sz w:val="12"/>
        </w:rPr>
        <w:t xml:space="preserve"> </w:t>
      </w:r>
      <w:r>
        <w:rPr>
          <w:sz w:val="12"/>
        </w:rPr>
        <w:t>la</w:t>
      </w:r>
      <w:r>
        <w:rPr>
          <w:spacing w:val="-2"/>
          <w:sz w:val="12"/>
        </w:rPr>
        <w:t xml:space="preserve"> </w:t>
      </w:r>
      <w:r>
        <w:rPr>
          <w:sz w:val="12"/>
        </w:rPr>
        <w:t>Eliminación</w:t>
      </w:r>
      <w:r>
        <w:rPr>
          <w:spacing w:val="-1"/>
          <w:sz w:val="12"/>
        </w:rPr>
        <w:t xml:space="preserve"> </w:t>
      </w:r>
      <w:r>
        <w:rPr>
          <w:sz w:val="12"/>
        </w:rPr>
        <w:t>de</w:t>
      </w:r>
      <w:r>
        <w:rPr>
          <w:spacing w:val="-2"/>
          <w:sz w:val="12"/>
        </w:rPr>
        <w:t xml:space="preserve"> </w:t>
      </w:r>
      <w:r>
        <w:rPr>
          <w:sz w:val="12"/>
        </w:rPr>
        <w:t>la</w:t>
      </w:r>
      <w:r>
        <w:rPr>
          <w:spacing w:val="-1"/>
          <w:sz w:val="12"/>
        </w:rPr>
        <w:t xml:space="preserve"> </w:t>
      </w:r>
      <w:r>
        <w:rPr>
          <w:sz w:val="12"/>
        </w:rPr>
        <w:t>Discriminación</w:t>
      </w:r>
      <w:r>
        <w:rPr>
          <w:spacing w:val="-2"/>
          <w:sz w:val="12"/>
        </w:rPr>
        <w:t xml:space="preserve"> </w:t>
      </w:r>
      <w:r>
        <w:rPr>
          <w:sz w:val="12"/>
        </w:rPr>
        <w:t>Racial,</w:t>
      </w:r>
      <w:r>
        <w:rPr>
          <w:spacing w:val="-1"/>
          <w:sz w:val="12"/>
        </w:rPr>
        <w:t xml:space="preserve"> </w:t>
      </w:r>
      <w:r>
        <w:rPr>
          <w:sz w:val="12"/>
        </w:rPr>
        <w:t>recomendación</w:t>
      </w:r>
      <w:r>
        <w:rPr>
          <w:spacing w:val="-2"/>
          <w:sz w:val="12"/>
        </w:rPr>
        <w:t xml:space="preserve"> </w:t>
      </w:r>
      <w:r>
        <w:rPr>
          <w:sz w:val="12"/>
        </w:rPr>
        <w:t>general</w:t>
      </w:r>
      <w:r>
        <w:rPr>
          <w:spacing w:val="-1"/>
          <w:sz w:val="12"/>
        </w:rPr>
        <w:t xml:space="preserve"> </w:t>
      </w:r>
      <w:r>
        <w:rPr>
          <w:sz w:val="12"/>
        </w:rPr>
        <w:t>núm.</w:t>
      </w:r>
      <w:r>
        <w:rPr>
          <w:spacing w:val="-2"/>
          <w:sz w:val="12"/>
        </w:rPr>
        <w:t xml:space="preserve"> </w:t>
      </w:r>
      <w:r>
        <w:rPr>
          <w:sz w:val="12"/>
        </w:rPr>
        <w:t>32</w:t>
      </w:r>
      <w:r>
        <w:rPr>
          <w:spacing w:val="-1"/>
          <w:sz w:val="12"/>
        </w:rPr>
        <w:t xml:space="preserve"> </w:t>
      </w:r>
      <w:r>
        <w:rPr>
          <w:sz w:val="12"/>
        </w:rPr>
        <w:t>(2009),</w:t>
      </w:r>
      <w:r>
        <w:rPr>
          <w:spacing w:val="-2"/>
          <w:sz w:val="12"/>
        </w:rPr>
        <w:t xml:space="preserve"> </w:t>
      </w:r>
      <w:proofErr w:type="spellStart"/>
      <w:r>
        <w:rPr>
          <w:sz w:val="12"/>
        </w:rPr>
        <w:t>párrs</w:t>
      </w:r>
      <w:proofErr w:type="spellEnd"/>
      <w:r>
        <w:rPr>
          <w:sz w:val="12"/>
        </w:rPr>
        <w:t>.</w:t>
      </w:r>
      <w:r>
        <w:rPr>
          <w:spacing w:val="-1"/>
          <w:sz w:val="12"/>
        </w:rPr>
        <w:t xml:space="preserve"> </w:t>
      </w:r>
      <w:r>
        <w:rPr>
          <w:spacing w:val="-4"/>
          <w:sz w:val="12"/>
        </w:rPr>
        <w:t>7–8.</w:t>
      </w:r>
    </w:p>
    <w:p w14:paraId="6BB4E74B" w14:textId="77777777" w:rsidR="0014798C" w:rsidRDefault="004E1F0B">
      <w:pPr>
        <w:spacing w:before="99"/>
        <w:ind w:left="1105"/>
        <w:rPr>
          <w:sz w:val="12"/>
        </w:rPr>
      </w:pPr>
      <w:r>
        <w:rPr>
          <w:sz w:val="12"/>
        </w:rPr>
        <w:t>498</w:t>
      </w:r>
      <w:r>
        <w:rPr>
          <w:spacing w:val="-2"/>
          <w:sz w:val="12"/>
        </w:rPr>
        <w:t xml:space="preserve"> </w:t>
      </w:r>
      <w:proofErr w:type="spellStart"/>
      <w:r>
        <w:rPr>
          <w:sz w:val="12"/>
        </w:rPr>
        <w:t>Ibíd</w:t>
      </w:r>
      <w:proofErr w:type="spellEnd"/>
      <w:r>
        <w:rPr>
          <w:sz w:val="12"/>
        </w:rPr>
        <w:t>.,</w:t>
      </w:r>
      <w:r>
        <w:rPr>
          <w:spacing w:val="-1"/>
          <w:sz w:val="12"/>
        </w:rPr>
        <w:t xml:space="preserve"> </w:t>
      </w:r>
      <w:proofErr w:type="spellStart"/>
      <w:r>
        <w:rPr>
          <w:sz w:val="12"/>
        </w:rPr>
        <w:t>párrs</w:t>
      </w:r>
      <w:proofErr w:type="spellEnd"/>
      <w:r>
        <w:rPr>
          <w:sz w:val="12"/>
        </w:rPr>
        <w:t>.</w:t>
      </w:r>
      <w:r>
        <w:rPr>
          <w:spacing w:val="-2"/>
          <w:sz w:val="12"/>
        </w:rPr>
        <w:t xml:space="preserve"> 16–18.</w:t>
      </w:r>
    </w:p>
    <w:p w14:paraId="161A0D7A" w14:textId="77777777" w:rsidR="0014798C" w:rsidRDefault="0014798C">
      <w:pPr>
        <w:rPr>
          <w:sz w:val="12"/>
        </w:rPr>
        <w:sectPr w:rsidR="0014798C" w:rsidSect="00F265E4">
          <w:type w:val="continuous"/>
          <w:pgSz w:w="11900" w:h="16820"/>
          <w:pgMar w:top="40" w:right="0" w:bottom="280" w:left="200" w:header="121" w:footer="0" w:gutter="0"/>
          <w:cols w:space="720"/>
        </w:sectPr>
      </w:pPr>
    </w:p>
    <w:p w14:paraId="0083C416" w14:textId="77777777" w:rsidR="0014798C" w:rsidRDefault="004E1F0B">
      <w:pPr>
        <w:spacing w:before="53"/>
        <w:jc w:val="right"/>
        <w:rPr>
          <w:sz w:val="8"/>
        </w:rPr>
      </w:pPr>
      <w:r>
        <w:rPr>
          <w:spacing w:val="-5"/>
          <w:w w:val="105"/>
          <w:sz w:val="8"/>
        </w:rPr>
        <w:t>499</w:t>
      </w:r>
    </w:p>
    <w:p w14:paraId="5A062D66" w14:textId="77777777" w:rsidR="0014798C" w:rsidRDefault="004E1F0B">
      <w:pPr>
        <w:spacing w:before="73" w:line="268" w:lineRule="auto"/>
        <w:ind w:left="82" w:right="1629"/>
        <w:rPr>
          <w:sz w:val="14"/>
        </w:rPr>
      </w:pPr>
      <w:r>
        <w:br w:type="column"/>
      </w:r>
      <w:r>
        <w:rPr>
          <w:sz w:val="14"/>
        </w:rPr>
        <w:t>Véase,</w:t>
      </w:r>
      <w:r>
        <w:rPr>
          <w:spacing w:val="-8"/>
          <w:sz w:val="14"/>
        </w:rPr>
        <w:t xml:space="preserve"> </w:t>
      </w:r>
      <w:r>
        <w:rPr>
          <w:sz w:val="14"/>
        </w:rPr>
        <w:t>por</w:t>
      </w:r>
      <w:r>
        <w:rPr>
          <w:spacing w:val="-8"/>
          <w:sz w:val="14"/>
        </w:rPr>
        <w:t xml:space="preserve"> </w:t>
      </w:r>
      <w:r>
        <w:rPr>
          <w:sz w:val="14"/>
        </w:rPr>
        <w:t>ejemplo,</w:t>
      </w:r>
      <w:r>
        <w:rPr>
          <w:spacing w:val="-7"/>
          <w:sz w:val="14"/>
        </w:rPr>
        <w:t xml:space="preserve"> </w:t>
      </w:r>
      <w:r>
        <w:rPr>
          <w:sz w:val="14"/>
        </w:rPr>
        <w:t>Comité</w:t>
      </w:r>
      <w:r>
        <w:rPr>
          <w:spacing w:val="-8"/>
          <w:sz w:val="14"/>
        </w:rPr>
        <w:t xml:space="preserve"> </w:t>
      </w:r>
      <w:r>
        <w:rPr>
          <w:sz w:val="14"/>
        </w:rPr>
        <w:t>para</w:t>
      </w:r>
      <w:r>
        <w:rPr>
          <w:spacing w:val="-8"/>
          <w:sz w:val="14"/>
        </w:rPr>
        <w:t xml:space="preserve"> </w:t>
      </w:r>
      <w:r>
        <w:rPr>
          <w:sz w:val="14"/>
        </w:rPr>
        <w:t>la</w:t>
      </w:r>
      <w:r>
        <w:rPr>
          <w:spacing w:val="-8"/>
          <w:sz w:val="14"/>
        </w:rPr>
        <w:t xml:space="preserve"> </w:t>
      </w:r>
      <w:r>
        <w:rPr>
          <w:sz w:val="14"/>
        </w:rPr>
        <w:t>Eliminación</w:t>
      </w:r>
      <w:r>
        <w:rPr>
          <w:spacing w:val="-8"/>
          <w:sz w:val="14"/>
        </w:rPr>
        <w:t xml:space="preserve"> </w:t>
      </w:r>
      <w:r>
        <w:rPr>
          <w:sz w:val="14"/>
        </w:rPr>
        <w:t>de</w:t>
      </w:r>
      <w:r>
        <w:rPr>
          <w:spacing w:val="-8"/>
          <w:sz w:val="14"/>
        </w:rPr>
        <w:t xml:space="preserve"> </w:t>
      </w:r>
      <w:r>
        <w:rPr>
          <w:sz w:val="14"/>
        </w:rPr>
        <w:t>la</w:t>
      </w:r>
      <w:r>
        <w:rPr>
          <w:spacing w:val="-8"/>
          <w:sz w:val="14"/>
        </w:rPr>
        <w:t xml:space="preserve"> </w:t>
      </w:r>
      <w:r>
        <w:rPr>
          <w:sz w:val="14"/>
        </w:rPr>
        <w:t>Discriminación</w:t>
      </w:r>
      <w:r>
        <w:rPr>
          <w:spacing w:val="-8"/>
          <w:sz w:val="14"/>
        </w:rPr>
        <w:t xml:space="preserve"> </w:t>
      </w:r>
      <w:r>
        <w:rPr>
          <w:sz w:val="14"/>
        </w:rPr>
        <w:t>contra</w:t>
      </w:r>
      <w:r>
        <w:rPr>
          <w:spacing w:val="-8"/>
          <w:sz w:val="14"/>
        </w:rPr>
        <w:t xml:space="preserve"> </w:t>
      </w:r>
      <w:r>
        <w:rPr>
          <w:sz w:val="14"/>
        </w:rPr>
        <w:t>la</w:t>
      </w:r>
      <w:r>
        <w:rPr>
          <w:spacing w:val="-8"/>
          <w:sz w:val="14"/>
        </w:rPr>
        <w:t xml:space="preserve"> </w:t>
      </w:r>
      <w:r>
        <w:rPr>
          <w:sz w:val="14"/>
        </w:rPr>
        <w:t>Mujer,</w:t>
      </w:r>
      <w:r>
        <w:rPr>
          <w:spacing w:val="-7"/>
          <w:sz w:val="14"/>
        </w:rPr>
        <w:t xml:space="preserve"> </w:t>
      </w:r>
      <w:r>
        <w:rPr>
          <w:sz w:val="14"/>
        </w:rPr>
        <w:t>recomendación</w:t>
      </w:r>
      <w:r>
        <w:rPr>
          <w:spacing w:val="-8"/>
          <w:sz w:val="14"/>
        </w:rPr>
        <w:t xml:space="preserve"> </w:t>
      </w:r>
      <w:r>
        <w:rPr>
          <w:sz w:val="14"/>
        </w:rPr>
        <w:t>general</w:t>
      </w:r>
      <w:r>
        <w:rPr>
          <w:spacing w:val="-8"/>
          <w:sz w:val="14"/>
        </w:rPr>
        <w:t xml:space="preserve"> </w:t>
      </w:r>
      <w:r>
        <w:rPr>
          <w:sz w:val="14"/>
        </w:rPr>
        <w:t>núm.</w:t>
      </w:r>
      <w:r>
        <w:rPr>
          <w:spacing w:val="-8"/>
          <w:sz w:val="14"/>
        </w:rPr>
        <w:t xml:space="preserve"> </w:t>
      </w:r>
      <w:r>
        <w:rPr>
          <w:sz w:val="14"/>
        </w:rPr>
        <w:t>25</w:t>
      </w:r>
      <w:r>
        <w:rPr>
          <w:spacing w:val="-8"/>
          <w:sz w:val="14"/>
        </w:rPr>
        <w:t xml:space="preserve"> </w:t>
      </w:r>
      <w:r>
        <w:rPr>
          <w:sz w:val="14"/>
        </w:rPr>
        <w:t>(2004),</w:t>
      </w:r>
      <w:r>
        <w:rPr>
          <w:spacing w:val="-7"/>
          <w:sz w:val="14"/>
        </w:rPr>
        <w:t xml:space="preserve"> </w:t>
      </w:r>
      <w:r>
        <w:rPr>
          <w:sz w:val="14"/>
        </w:rPr>
        <w:t>párr.</w:t>
      </w:r>
      <w:r>
        <w:rPr>
          <w:spacing w:val="-8"/>
          <w:sz w:val="14"/>
        </w:rPr>
        <w:t xml:space="preserve"> </w:t>
      </w:r>
      <w:r>
        <w:rPr>
          <w:sz w:val="14"/>
        </w:rPr>
        <w:t>24;</w:t>
      </w:r>
      <w:r>
        <w:rPr>
          <w:spacing w:val="40"/>
          <w:sz w:val="14"/>
        </w:rPr>
        <w:t xml:space="preserve"> </w:t>
      </w:r>
      <w:r>
        <w:rPr>
          <w:sz w:val="14"/>
        </w:rPr>
        <w:t>Comité</w:t>
      </w:r>
      <w:r>
        <w:rPr>
          <w:spacing w:val="-10"/>
          <w:sz w:val="14"/>
        </w:rPr>
        <w:t xml:space="preserve"> </w:t>
      </w:r>
      <w:r>
        <w:rPr>
          <w:sz w:val="14"/>
        </w:rPr>
        <w:t>para</w:t>
      </w:r>
      <w:r>
        <w:rPr>
          <w:spacing w:val="-10"/>
          <w:sz w:val="14"/>
        </w:rPr>
        <w:t xml:space="preserve"> </w:t>
      </w:r>
      <w:r>
        <w:rPr>
          <w:sz w:val="14"/>
        </w:rPr>
        <w:t>la</w:t>
      </w:r>
      <w:r>
        <w:rPr>
          <w:spacing w:val="-10"/>
          <w:sz w:val="14"/>
        </w:rPr>
        <w:t xml:space="preserve"> </w:t>
      </w:r>
      <w:r>
        <w:rPr>
          <w:sz w:val="14"/>
        </w:rPr>
        <w:t>Eliminación</w:t>
      </w:r>
      <w:r>
        <w:rPr>
          <w:spacing w:val="-9"/>
          <w:sz w:val="14"/>
        </w:rPr>
        <w:t xml:space="preserve"> </w:t>
      </w:r>
      <w:r>
        <w:rPr>
          <w:sz w:val="14"/>
        </w:rPr>
        <w:t>de</w:t>
      </w:r>
      <w:r>
        <w:rPr>
          <w:spacing w:val="-10"/>
          <w:sz w:val="14"/>
        </w:rPr>
        <w:t xml:space="preserve"> </w:t>
      </w:r>
      <w:r>
        <w:rPr>
          <w:sz w:val="14"/>
        </w:rPr>
        <w:t>la</w:t>
      </w:r>
      <w:r>
        <w:rPr>
          <w:spacing w:val="-10"/>
          <w:sz w:val="14"/>
        </w:rPr>
        <w:t xml:space="preserve"> </w:t>
      </w:r>
      <w:r>
        <w:rPr>
          <w:sz w:val="14"/>
        </w:rPr>
        <w:t>Discriminación</w:t>
      </w:r>
      <w:r>
        <w:rPr>
          <w:spacing w:val="-10"/>
          <w:sz w:val="14"/>
        </w:rPr>
        <w:t xml:space="preserve"> </w:t>
      </w:r>
      <w:r>
        <w:rPr>
          <w:sz w:val="14"/>
        </w:rPr>
        <w:t>Racial,</w:t>
      </w:r>
      <w:r>
        <w:rPr>
          <w:spacing w:val="-9"/>
          <w:sz w:val="14"/>
        </w:rPr>
        <w:t xml:space="preserve"> </w:t>
      </w:r>
      <w:r>
        <w:rPr>
          <w:sz w:val="14"/>
        </w:rPr>
        <w:t>recomendación</w:t>
      </w:r>
      <w:r>
        <w:rPr>
          <w:spacing w:val="-10"/>
          <w:sz w:val="14"/>
        </w:rPr>
        <w:t xml:space="preserve"> </w:t>
      </w:r>
      <w:r>
        <w:rPr>
          <w:sz w:val="14"/>
        </w:rPr>
        <w:t>general</w:t>
      </w:r>
      <w:r>
        <w:rPr>
          <w:spacing w:val="-10"/>
          <w:sz w:val="14"/>
        </w:rPr>
        <w:t xml:space="preserve"> </w:t>
      </w:r>
      <w:r>
        <w:rPr>
          <w:sz w:val="14"/>
        </w:rPr>
        <w:t>núm.</w:t>
      </w:r>
      <w:r>
        <w:rPr>
          <w:spacing w:val="-9"/>
          <w:sz w:val="14"/>
        </w:rPr>
        <w:t xml:space="preserve"> </w:t>
      </w:r>
      <w:r>
        <w:rPr>
          <w:sz w:val="14"/>
        </w:rPr>
        <w:t>32</w:t>
      </w:r>
      <w:r>
        <w:rPr>
          <w:spacing w:val="-10"/>
          <w:sz w:val="14"/>
        </w:rPr>
        <w:t xml:space="preserve"> </w:t>
      </w:r>
      <w:r>
        <w:rPr>
          <w:sz w:val="14"/>
        </w:rPr>
        <w:t>(2009),</w:t>
      </w:r>
      <w:r>
        <w:rPr>
          <w:spacing w:val="-10"/>
          <w:sz w:val="14"/>
        </w:rPr>
        <w:t xml:space="preserve"> </w:t>
      </w:r>
      <w:r>
        <w:rPr>
          <w:sz w:val="14"/>
        </w:rPr>
        <w:t>párr.</w:t>
      </w:r>
      <w:r>
        <w:rPr>
          <w:spacing w:val="-10"/>
          <w:sz w:val="14"/>
        </w:rPr>
        <w:t xml:space="preserve"> </w:t>
      </w:r>
      <w:r>
        <w:rPr>
          <w:sz w:val="14"/>
        </w:rPr>
        <w:t>dieciséis;</w:t>
      </w:r>
      <w:r>
        <w:rPr>
          <w:spacing w:val="-9"/>
          <w:sz w:val="14"/>
        </w:rPr>
        <w:t xml:space="preserve"> </w:t>
      </w:r>
      <w:r>
        <w:rPr>
          <w:sz w:val="14"/>
        </w:rPr>
        <w:t>y</w:t>
      </w:r>
      <w:r>
        <w:rPr>
          <w:spacing w:val="-10"/>
          <w:sz w:val="14"/>
        </w:rPr>
        <w:t xml:space="preserve"> </w:t>
      </w:r>
      <w:r>
        <w:rPr>
          <w:sz w:val="14"/>
        </w:rPr>
        <w:t>Comité</w:t>
      </w:r>
      <w:r>
        <w:rPr>
          <w:spacing w:val="-10"/>
          <w:sz w:val="14"/>
        </w:rPr>
        <w:t xml:space="preserve"> </w:t>
      </w:r>
      <w:r>
        <w:rPr>
          <w:sz w:val="14"/>
        </w:rPr>
        <w:t>sobre</w:t>
      </w:r>
      <w:r>
        <w:rPr>
          <w:spacing w:val="-10"/>
          <w:sz w:val="14"/>
        </w:rPr>
        <w:t xml:space="preserve"> </w:t>
      </w:r>
      <w:r>
        <w:rPr>
          <w:sz w:val="14"/>
        </w:rPr>
        <w:t>los</w:t>
      </w:r>
      <w:r>
        <w:rPr>
          <w:spacing w:val="-9"/>
          <w:sz w:val="14"/>
        </w:rPr>
        <w:t xml:space="preserve"> </w:t>
      </w:r>
      <w:r>
        <w:rPr>
          <w:sz w:val="14"/>
        </w:rPr>
        <w:t>Derechos</w:t>
      </w:r>
      <w:r>
        <w:rPr>
          <w:spacing w:val="40"/>
          <w:sz w:val="14"/>
        </w:rPr>
        <w:t xml:space="preserve"> </w:t>
      </w:r>
      <w:r>
        <w:rPr>
          <w:sz w:val="14"/>
        </w:rPr>
        <w:t xml:space="preserve">de las Personas con Discapacidad, observación general núm. 6 (2018), </w:t>
      </w:r>
      <w:proofErr w:type="spellStart"/>
      <w:r>
        <w:rPr>
          <w:sz w:val="14"/>
        </w:rPr>
        <w:t>párrs</w:t>
      </w:r>
      <w:proofErr w:type="spellEnd"/>
      <w:r>
        <w:rPr>
          <w:sz w:val="14"/>
        </w:rPr>
        <w:t>. 28–29.</w:t>
      </w:r>
    </w:p>
    <w:p w14:paraId="3A087EBE" w14:textId="77777777" w:rsidR="0014798C" w:rsidRDefault="0014798C">
      <w:pPr>
        <w:spacing w:line="268" w:lineRule="auto"/>
        <w:rPr>
          <w:sz w:val="14"/>
        </w:rPr>
        <w:sectPr w:rsidR="0014798C" w:rsidSect="00F265E4">
          <w:type w:val="continuous"/>
          <w:pgSz w:w="11900" w:h="16820"/>
          <w:pgMar w:top="40" w:right="0" w:bottom="280" w:left="200" w:header="121" w:footer="0" w:gutter="0"/>
          <w:cols w:num="2" w:space="720" w:equalWidth="0">
            <w:col w:w="1247" w:space="40"/>
            <w:col w:w="10413"/>
          </w:cols>
        </w:sectPr>
      </w:pPr>
    </w:p>
    <w:p w14:paraId="72F31869" w14:textId="77777777" w:rsidR="0014798C" w:rsidRDefault="004E1F0B">
      <w:pPr>
        <w:spacing w:before="81"/>
        <w:ind w:left="1107"/>
        <w:rPr>
          <w:sz w:val="12"/>
        </w:rPr>
      </w:pPr>
      <w:r>
        <w:rPr>
          <w:sz w:val="12"/>
        </w:rPr>
        <w:t>500</w:t>
      </w:r>
      <w:r>
        <w:rPr>
          <w:spacing w:val="-2"/>
          <w:sz w:val="12"/>
        </w:rPr>
        <w:t xml:space="preserve"> </w:t>
      </w:r>
      <w:r>
        <w:rPr>
          <w:sz w:val="12"/>
        </w:rPr>
        <w:t>Comité</w:t>
      </w:r>
      <w:r>
        <w:rPr>
          <w:spacing w:val="-1"/>
          <w:sz w:val="12"/>
        </w:rPr>
        <w:t xml:space="preserve"> </w:t>
      </w:r>
      <w:r>
        <w:rPr>
          <w:sz w:val="12"/>
        </w:rPr>
        <w:t>para</w:t>
      </w:r>
      <w:r>
        <w:rPr>
          <w:spacing w:val="-2"/>
          <w:sz w:val="12"/>
        </w:rPr>
        <w:t xml:space="preserve"> </w:t>
      </w:r>
      <w:r>
        <w:rPr>
          <w:sz w:val="12"/>
        </w:rPr>
        <w:t>la</w:t>
      </w:r>
      <w:r>
        <w:rPr>
          <w:spacing w:val="-1"/>
          <w:sz w:val="12"/>
        </w:rPr>
        <w:t xml:space="preserve"> </w:t>
      </w:r>
      <w:r>
        <w:rPr>
          <w:sz w:val="12"/>
        </w:rPr>
        <w:t>Eliminación</w:t>
      </w:r>
      <w:r>
        <w:rPr>
          <w:spacing w:val="-2"/>
          <w:sz w:val="12"/>
        </w:rPr>
        <w:t xml:space="preserve"> </w:t>
      </w:r>
      <w:r>
        <w:rPr>
          <w:sz w:val="12"/>
        </w:rPr>
        <w:t>de</w:t>
      </w:r>
      <w:r>
        <w:rPr>
          <w:spacing w:val="-1"/>
          <w:sz w:val="12"/>
        </w:rPr>
        <w:t xml:space="preserve"> </w:t>
      </w:r>
      <w:r>
        <w:rPr>
          <w:sz w:val="12"/>
        </w:rPr>
        <w:t>la</w:t>
      </w:r>
      <w:r>
        <w:rPr>
          <w:spacing w:val="-2"/>
          <w:sz w:val="12"/>
        </w:rPr>
        <w:t xml:space="preserve"> </w:t>
      </w:r>
      <w:r>
        <w:rPr>
          <w:sz w:val="12"/>
        </w:rPr>
        <w:t>Discriminación</w:t>
      </w:r>
      <w:r>
        <w:rPr>
          <w:spacing w:val="-1"/>
          <w:sz w:val="12"/>
        </w:rPr>
        <w:t xml:space="preserve"> </w:t>
      </w:r>
      <w:r>
        <w:rPr>
          <w:sz w:val="12"/>
        </w:rPr>
        <w:t>Racial,</w:t>
      </w:r>
      <w:r>
        <w:rPr>
          <w:spacing w:val="-2"/>
          <w:sz w:val="12"/>
        </w:rPr>
        <w:t xml:space="preserve"> </w:t>
      </w:r>
      <w:r>
        <w:rPr>
          <w:sz w:val="12"/>
        </w:rPr>
        <w:t>recomendación</w:t>
      </w:r>
      <w:r>
        <w:rPr>
          <w:spacing w:val="-1"/>
          <w:sz w:val="12"/>
        </w:rPr>
        <w:t xml:space="preserve"> </w:t>
      </w:r>
      <w:r>
        <w:rPr>
          <w:sz w:val="12"/>
        </w:rPr>
        <w:t>general</w:t>
      </w:r>
      <w:r>
        <w:rPr>
          <w:spacing w:val="-2"/>
          <w:sz w:val="12"/>
        </w:rPr>
        <w:t xml:space="preserve"> </w:t>
      </w:r>
      <w:r>
        <w:rPr>
          <w:sz w:val="12"/>
        </w:rPr>
        <w:t>núm.</w:t>
      </w:r>
      <w:r>
        <w:rPr>
          <w:spacing w:val="-1"/>
          <w:sz w:val="12"/>
        </w:rPr>
        <w:t xml:space="preserve"> </w:t>
      </w:r>
      <w:r>
        <w:rPr>
          <w:sz w:val="12"/>
        </w:rPr>
        <w:t>32</w:t>
      </w:r>
      <w:r>
        <w:rPr>
          <w:spacing w:val="-2"/>
          <w:sz w:val="12"/>
        </w:rPr>
        <w:t xml:space="preserve"> </w:t>
      </w:r>
      <w:r>
        <w:rPr>
          <w:sz w:val="12"/>
        </w:rPr>
        <w:t>(2009),</w:t>
      </w:r>
      <w:r>
        <w:rPr>
          <w:spacing w:val="-1"/>
          <w:sz w:val="12"/>
        </w:rPr>
        <w:t xml:space="preserve"> </w:t>
      </w:r>
      <w:r>
        <w:rPr>
          <w:sz w:val="12"/>
        </w:rPr>
        <w:t>párr.</w:t>
      </w:r>
      <w:r>
        <w:rPr>
          <w:spacing w:val="-2"/>
          <w:sz w:val="12"/>
        </w:rPr>
        <w:t xml:space="preserve"> dieciséis.</w:t>
      </w:r>
    </w:p>
    <w:p w14:paraId="72FC68BB" w14:textId="77777777" w:rsidR="0014798C" w:rsidRDefault="004E1F0B">
      <w:pPr>
        <w:spacing w:before="72" w:line="268" w:lineRule="auto"/>
        <w:ind w:left="1366" w:right="1290" w:hanging="259"/>
        <w:rPr>
          <w:sz w:val="14"/>
        </w:rPr>
      </w:pPr>
      <w:r>
        <w:rPr>
          <w:sz w:val="14"/>
        </w:rPr>
        <w:t>501</w:t>
      </w:r>
      <w:r>
        <w:rPr>
          <w:spacing w:val="-3"/>
          <w:sz w:val="14"/>
        </w:rPr>
        <w:t xml:space="preserve"> </w:t>
      </w:r>
      <w:r>
        <w:rPr>
          <w:sz w:val="14"/>
        </w:rPr>
        <w:t>La</w:t>
      </w:r>
      <w:r>
        <w:rPr>
          <w:spacing w:val="-3"/>
          <w:sz w:val="14"/>
        </w:rPr>
        <w:t xml:space="preserve"> </w:t>
      </w:r>
      <w:r>
        <w:rPr>
          <w:sz w:val="14"/>
        </w:rPr>
        <w:t>Comisión</w:t>
      </w:r>
      <w:r>
        <w:rPr>
          <w:spacing w:val="-3"/>
          <w:sz w:val="14"/>
        </w:rPr>
        <w:t xml:space="preserve"> </w:t>
      </w:r>
      <w:r>
        <w:rPr>
          <w:sz w:val="14"/>
        </w:rPr>
        <w:t>Interamericana</w:t>
      </w:r>
      <w:r>
        <w:rPr>
          <w:spacing w:val="-3"/>
          <w:sz w:val="14"/>
        </w:rPr>
        <w:t xml:space="preserve"> </w:t>
      </w:r>
      <w:r>
        <w:rPr>
          <w:sz w:val="14"/>
        </w:rPr>
        <w:t>ha</w:t>
      </w:r>
      <w:r>
        <w:rPr>
          <w:spacing w:val="-3"/>
          <w:sz w:val="14"/>
        </w:rPr>
        <w:t xml:space="preserve"> </w:t>
      </w:r>
      <w:r>
        <w:rPr>
          <w:sz w:val="14"/>
        </w:rPr>
        <w:t>identificado</w:t>
      </w:r>
      <w:r>
        <w:rPr>
          <w:spacing w:val="-3"/>
          <w:sz w:val="14"/>
        </w:rPr>
        <w:t xml:space="preserve"> </w:t>
      </w:r>
      <w:r>
        <w:rPr>
          <w:sz w:val="14"/>
        </w:rPr>
        <w:t>varios</w:t>
      </w:r>
      <w:r>
        <w:rPr>
          <w:spacing w:val="-3"/>
          <w:sz w:val="14"/>
        </w:rPr>
        <w:t xml:space="preserve"> </w:t>
      </w:r>
      <w:r>
        <w:rPr>
          <w:sz w:val="14"/>
        </w:rPr>
        <w:t>requisitos</w:t>
      </w:r>
      <w:r>
        <w:rPr>
          <w:spacing w:val="-3"/>
          <w:sz w:val="14"/>
        </w:rPr>
        <w:t xml:space="preserve"> </w:t>
      </w:r>
      <w:r>
        <w:rPr>
          <w:sz w:val="14"/>
        </w:rPr>
        <w:t>mínimos</w:t>
      </w:r>
      <w:r>
        <w:rPr>
          <w:spacing w:val="-3"/>
          <w:sz w:val="14"/>
        </w:rPr>
        <w:t xml:space="preserve"> </w:t>
      </w:r>
      <w:r>
        <w:rPr>
          <w:sz w:val="14"/>
        </w:rPr>
        <w:t>para</w:t>
      </w:r>
      <w:r>
        <w:rPr>
          <w:spacing w:val="-3"/>
          <w:sz w:val="14"/>
        </w:rPr>
        <w:t xml:space="preserve"> </w:t>
      </w:r>
      <w:r>
        <w:rPr>
          <w:sz w:val="14"/>
        </w:rPr>
        <w:t>la</w:t>
      </w:r>
      <w:r>
        <w:rPr>
          <w:spacing w:val="-3"/>
          <w:sz w:val="14"/>
        </w:rPr>
        <w:t xml:space="preserve"> </w:t>
      </w:r>
      <w:r>
        <w:rPr>
          <w:sz w:val="14"/>
        </w:rPr>
        <w:t>adopción</w:t>
      </w:r>
      <w:r>
        <w:rPr>
          <w:spacing w:val="-3"/>
          <w:sz w:val="14"/>
        </w:rPr>
        <w:t xml:space="preserve"> </w:t>
      </w:r>
      <w:r>
        <w:rPr>
          <w:sz w:val="14"/>
        </w:rPr>
        <w:t>de</w:t>
      </w:r>
      <w:r>
        <w:rPr>
          <w:spacing w:val="-3"/>
          <w:sz w:val="14"/>
        </w:rPr>
        <w:t xml:space="preserve"> </w:t>
      </w:r>
      <w:r>
        <w:rPr>
          <w:sz w:val="14"/>
        </w:rPr>
        <w:t>“medidas</w:t>
      </w:r>
      <w:r>
        <w:rPr>
          <w:spacing w:val="-3"/>
          <w:sz w:val="14"/>
        </w:rPr>
        <w:t xml:space="preserve"> </w:t>
      </w:r>
      <w:r>
        <w:rPr>
          <w:sz w:val="14"/>
        </w:rPr>
        <w:t>de</w:t>
      </w:r>
      <w:r>
        <w:rPr>
          <w:spacing w:val="-3"/>
          <w:sz w:val="14"/>
        </w:rPr>
        <w:t xml:space="preserve"> </w:t>
      </w:r>
      <w:r>
        <w:rPr>
          <w:sz w:val="14"/>
        </w:rPr>
        <w:t>acción</w:t>
      </w:r>
      <w:r>
        <w:rPr>
          <w:spacing w:val="-3"/>
          <w:sz w:val="14"/>
        </w:rPr>
        <w:t xml:space="preserve"> </w:t>
      </w:r>
      <w:r>
        <w:rPr>
          <w:sz w:val="14"/>
        </w:rPr>
        <w:t>afirmativa”</w:t>
      </w:r>
      <w:r>
        <w:rPr>
          <w:spacing w:val="-3"/>
          <w:sz w:val="14"/>
        </w:rPr>
        <w:t xml:space="preserve"> </w:t>
      </w:r>
      <w:r>
        <w:rPr>
          <w:sz w:val="14"/>
        </w:rPr>
        <w:t>(aquí</w:t>
      </w:r>
      <w:r>
        <w:rPr>
          <w:spacing w:val="-3"/>
          <w:sz w:val="14"/>
        </w:rPr>
        <w:t xml:space="preserve"> </w:t>
      </w:r>
      <w:r>
        <w:rPr>
          <w:sz w:val="14"/>
        </w:rPr>
        <w:t>denominadas</w:t>
      </w:r>
      <w:r>
        <w:rPr>
          <w:spacing w:val="40"/>
          <w:sz w:val="14"/>
        </w:rPr>
        <w:t xml:space="preserve"> </w:t>
      </w:r>
      <w:r>
        <w:rPr>
          <w:spacing w:val="-2"/>
          <w:sz w:val="14"/>
        </w:rPr>
        <w:t>acción</w:t>
      </w:r>
      <w:r>
        <w:rPr>
          <w:spacing w:val="-3"/>
          <w:sz w:val="14"/>
        </w:rPr>
        <w:t xml:space="preserve"> </w:t>
      </w:r>
      <w:r>
        <w:rPr>
          <w:spacing w:val="-2"/>
          <w:sz w:val="14"/>
        </w:rPr>
        <w:t>positiva). Según</w:t>
      </w:r>
      <w:r>
        <w:rPr>
          <w:spacing w:val="-3"/>
          <w:sz w:val="14"/>
        </w:rPr>
        <w:t xml:space="preserve"> </w:t>
      </w:r>
      <w:r>
        <w:rPr>
          <w:spacing w:val="-2"/>
          <w:sz w:val="14"/>
        </w:rPr>
        <w:t>la</w:t>
      </w:r>
      <w:r>
        <w:rPr>
          <w:spacing w:val="-3"/>
          <w:sz w:val="14"/>
        </w:rPr>
        <w:t xml:space="preserve"> </w:t>
      </w:r>
      <w:r>
        <w:rPr>
          <w:spacing w:val="-2"/>
          <w:sz w:val="14"/>
        </w:rPr>
        <w:t>Comisión, tales</w:t>
      </w:r>
      <w:r>
        <w:rPr>
          <w:spacing w:val="-3"/>
          <w:sz w:val="14"/>
        </w:rPr>
        <w:t xml:space="preserve"> </w:t>
      </w:r>
      <w:r>
        <w:rPr>
          <w:spacing w:val="-2"/>
          <w:sz w:val="14"/>
        </w:rPr>
        <w:t>medidas</w:t>
      </w:r>
      <w:r>
        <w:rPr>
          <w:spacing w:val="-3"/>
          <w:sz w:val="14"/>
        </w:rPr>
        <w:t xml:space="preserve"> </w:t>
      </w:r>
      <w:r>
        <w:rPr>
          <w:spacing w:val="-2"/>
          <w:sz w:val="14"/>
        </w:rPr>
        <w:t>deben: “i)</w:t>
      </w:r>
      <w:r>
        <w:rPr>
          <w:spacing w:val="-3"/>
          <w:sz w:val="14"/>
        </w:rPr>
        <w:t xml:space="preserve"> </w:t>
      </w:r>
      <w:r>
        <w:rPr>
          <w:spacing w:val="-2"/>
          <w:sz w:val="14"/>
        </w:rPr>
        <w:t>ser</w:t>
      </w:r>
      <w:r>
        <w:rPr>
          <w:spacing w:val="-3"/>
          <w:sz w:val="14"/>
        </w:rPr>
        <w:t xml:space="preserve"> </w:t>
      </w:r>
      <w:r>
        <w:rPr>
          <w:spacing w:val="-2"/>
          <w:sz w:val="14"/>
        </w:rPr>
        <w:t>adecuadas</w:t>
      </w:r>
      <w:r>
        <w:rPr>
          <w:spacing w:val="-3"/>
          <w:sz w:val="14"/>
        </w:rPr>
        <w:t xml:space="preserve"> </w:t>
      </w:r>
      <w:r>
        <w:rPr>
          <w:spacing w:val="-2"/>
          <w:sz w:val="14"/>
        </w:rPr>
        <w:t>a</w:t>
      </w:r>
      <w:r>
        <w:rPr>
          <w:spacing w:val="-3"/>
          <w:sz w:val="14"/>
        </w:rPr>
        <w:t xml:space="preserve"> </w:t>
      </w:r>
      <w:r>
        <w:rPr>
          <w:spacing w:val="-2"/>
          <w:sz w:val="14"/>
        </w:rPr>
        <w:t>la</w:t>
      </w:r>
      <w:r>
        <w:rPr>
          <w:spacing w:val="-3"/>
          <w:sz w:val="14"/>
        </w:rPr>
        <w:t xml:space="preserve"> </w:t>
      </w:r>
      <w:r>
        <w:rPr>
          <w:spacing w:val="-2"/>
          <w:sz w:val="14"/>
        </w:rPr>
        <w:t>situación</w:t>
      </w:r>
      <w:r>
        <w:rPr>
          <w:spacing w:val="-3"/>
          <w:sz w:val="14"/>
        </w:rPr>
        <w:t xml:space="preserve"> </w:t>
      </w:r>
      <w:r>
        <w:rPr>
          <w:spacing w:val="-2"/>
          <w:sz w:val="14"/>
        </w:rPr>
        <w:t>a</w:t>
      </w:r>
      <w:r>
        <w:rPr>
          <w:spacing w:val="-3"/>
          <w:sz w:val="14"/>
        </w:rPr>
        <w:t xml:space="preserve"> </w:t>
      </w:r>
      <w:r>
        <w:rPr>
          <w:spacing w:val="-2"/>
          <w:sz w:val="14"/>
        </w:rPr>
        <w:t xml:space="preserve">remediar; </w:t>
      </w:r>
      <w:proofErr w:type="spellStart"/>
      <w:r>
        <w:rPr>
          <w:spacing w:val="-2"/>
          <w:sz w:val="14"/>
        </w:rPr>
        <w:t>ii</w:t>
      </w:r>
      <w:proofErr w:type="spellEnd"/>
      <w:r>
        <w:rPr>
          <w:spacing w:val="-2"/>
          <w:sz w:val="14"/>
        </w:rPr>
        <w:t>)</w:t>
      </w:r>
      <w:r>
        <w:rPr>
          <w:spacing w:val="-3"/>
          <w:sz w:val="14"/>
        </w:rPr>
        <w:t xml:space="preserve"> </w:t>
      </w:r>
      <w:r>
        <w:rPr>
          <w:spacing w:val="-2"/>
          <w:sz w:val="14"/>
        </w:rPr>
        <w:t>ser</w:t>
      </w:r>
      <w:r>
        <w:rPr>
          <w:spacing w:val="-3"/>
          <w:sz w:val="14"/>
        </w:rPr>
        <w:t xml:space="preserve"> </w:t>
      </w:r>
      <w:r>
        <w:rPr>
          <w:spacing w:val="-2"/>
          <w:sz w:val="14"/>
        </w:rPr>
        <w:t xml:space="preserve">legítimo; </w:t>
      </w:r>
      <w:proofErr w:type="spellStart"/>
      <w:r>
        <w:rPr>
          <w:spacing w:val="-2"/>
          <w:sz w:val="14"/>
        </w:rPr>
        <w:t>iii</w:t>
      </w:r>
      <w:proofErr w:type="spellEnd"/>
      <w:r>
        <w:rPr>
          <w:spacing w:val="-2"/>
          <w:sz w:val="14"/>
        </w:rPr>
        <w:t>)</w:t>
      </w:r>
      <w:r>
        <w:rPr>
          <w:spacing w:val="-3"/>
          <w:sz w:val="14"/>
        </w:rPr>
        <w:t xml:space="preserve"> </w:t>
      </w:r>
      <w:r>
        <w:rPr>
          <w:spacing w:val="-2"/>
          <w:sz w:val="14"/>
        </w:rPr>
        <w:t>ser</w:t>
      </w:r>
      <w:r>
        <w:rPr>
          <w:spacing w:val="-3"/>
          <w:sz w:val="14"/>
        </w:rPr>
        <w:t xml:space="preserve"> </w:t>
      </w:r>
      <w:r>
        <w:rPr>
          <w:spacing w:val="-2"/>
          <w:sz w:val="14"/>
        </w:rPr>
        <w:t>necesario</w:t>
      </w:r>
      <w:r>
        <w:rPr>
          <w:spacing w:val="-3"/>
          <w:sz w:val="14"/>
        </w:rPr>
        <w:t xml:space="preserve"> </w:t>
      </w:r>
      <w:r>
        <w:rPr>
          <w:spacing w:val="-2"/>
          <w:sz w:val="14"/>
        </w:rPr>
        <w:t>en</w:t>
      </w:r>
      <w:r>
        <w:rPr>
          <w:spacing w:val="-3"/>
          <w:sz w:val="14"/>
        </w:rPr>
        <w:t xml:space="preserve"> </w:t>
      </w:r>
      <w:r>
        <w:rPr>
          <w:spacing w:val="-2"/>
          <w:sz w:val="14"/>
        </w:rPr>
        <w:t>una</w:t>
      </w:r>
      <w:r>
        <w:rPr>
          <w:spacing w:val="40"/>
          <w:sz w:val="14"/>
        </w:rPr>
        <w:t xml:space="preserve"> </w:t>
      </w:r>
      <w:r>
        <w:rPr>
          <w:spacing w:val="-2"/>
          <w:sz w:val="14"/>
        </w:rPr>
        <w:t>sociedad</w:t>
      </w:r>
      <w:r>
        <w:rPr>
          <w:spacing w:val="-5"/>
          <w:sz w:val="14"/>
        </w:rPr>
        <w:t xml:space="preserve"> </w:t>
      </w:r>
      <w:r>
        <w:rPr>
          <w:spacing w:val="-2"/>
          <w:sz w:val="14"/>
        </w:rPr>
        <w:t>democrática;</w:t>
      </w:r>
      <w:r>
        <w:rPr>
          <w:spacing w:val="-4"/>
          <w:sz w:val="14"/>
        </w:rPr>
        <w:t xml:space="preserve"> </w:t>
      </w:r>
      <w:proofErr w:type="spellStart"/>
      <w:r>
        <w:rPr>
          <w:spacing w:val="-2"/>
          <w:sz w:val="14"/>
        </w:rPr>
        <w:t>iv</w:t>
      </w:r>
      <w:proofErr w:type="spellEnd"/>
      <w:r>
        <w:rPr>
          <w:spacing w:val="-2"/>
          <w:sz w:val="14"/>
        </w:rPr>
        <w:t>)</w:t>
      </w:r>
      <w:r>
        <w:rPr>
          <w:spacing w:val="-5"/>
          <w:sz w:val="14"/>
        </w:rPr>
        <w:t xml:space="preserve"> </w:t>
      </w:r>
      <w:r>
        <w:rPr>
          <w:spacing w:val="-2"/>
          <w:sz w:val="14"/>
        </w:rPr>
        <w:t>respetar</w:t>
      </w:r>
      <w:r>
        <w:rPr>
          <w:spacing w:val="-5"/>
          <w:sz w:val="14"/>
        </w:rPr>
        <w:t xml:space="preserve"> </w:t>
      </w:r>
      <w:r>
        <w:rPr>
          <w:spacing w:val="-2"/>
          <w:sz w:val="14"/>
        </w:rPr>
        <w:t>los</w:t>
      </w:r>
      <w:r>
        <w:rPr>
          <w:spacing w:val="-5"/>
          <w:sz w:val="14"/>
        </w:rPr>
        <w:t xml:space="preserve"> </w:t>
      </w:r>
      <w:r>
        <w:rPr>
          <w:spacing w:val="-2"/>
          <w:sz w:val="14"/>
        </w:rPr>
        <w:t>principios</w:t>
      </w:r>
      <w:r>
        <w:rPr>
          <w:spacing w:val="-5"/>
          <w:sz w:val="14"/>
        </w:rPr>
        <w:t xml:space="preserve"> </w:t>
      </w:r>
      <w:r>
        <w:rPr>
          <w:spacing w:val="-2"/>
          <w:sz w:val="14"/>
        </w:rPr>
        <w:t>de</w:t>
      </w:r>
      <w:r>
        <w:rPr>
          <w:spacing w:val="-5"/>
          <w:sz w:val="14"/>
        </w:rPr>
        <w:t xml:space="preserve"> </w:t>
      </w:r>
      <w:r>
        <w:rPr>
          <w:spacing w:val="-2"/>
          <w:sz w:val="14"/>
        </w:rPr>
        <w:t>justicia</w:t>
      </w:r>
      <w:r>
        <w:rPr>
          <w:spacing w:val="-5"/>
          <w:sz w:val="14"/>
        </w:rPr>
        <w:t xml:space="preserve"> </w:t>
      </w:r>
      <w:r>
        <w:rPr>
          <w:spacing w:val="-2"/>
          <w:sz w:val="14"/>
        </w:rPr>
        <w:t>y</w:t>
      </w:r>
      <w:r>
        <w:rPr>
          <w:spacing w:val="-5"/>
          <w:sz w:val="14"/>
        </w:rPr>
        <w:t xml:space="preserve"> </w:t>
      </w:r>
      <w:r>
        <w:rPr>
          <w:spacing w:val="-2"/>
          <w:sz w:val="14"/>
        </w:rPr>
        <w:t>proporcionalidad;</w:t>
      </w:r>
      <w:r>
        <w:rPr>
          <w:spacing w:val="-3"/>
          <w:sz w:val="14"/>
        </w:rPr>
        <w:t xml:space="preserve"> </w:t>
      </w:r>
      <w:r>
        <w:rPr>
          <w:spacing w:val="-2"/>
          <w:sz w:val="14"/>
        </w:rPr>
        <w:t>v)</w:t>
      </w:r>
      <w:r>
        <w:rPr>
          <w:spacing w:val="-5"/>
          <w:sz w:val="14"/>
        </w:rPr>
        <w:t xml:space="preserve"> </w:t>
      </w:r>
      <w:r>
        <w:rPr>
          <w:spacing w:val="-2"/>
          <w:sz w:val="14"/>
        </w:rPr>
        <w:t>ser</w:t>
      </w:r>
      <w:r>
        <w:rPr>
          <w:spacing w:val="-5"/>
          <w:sz w:val="14"/>
        </w:rPr>
        <w:t xml:space="preserve"> </w:t>
      </w:r>
      <w:r>
        <w:rPr>
          <w:spacing w:val="-2"/>
          <w:sz w:val="14"/>
        </w:rPr>
        <w:t>temporal;</w:t>
      </w:r>
      <w:r>
        <w:rPr>
          <w:spacing w:val="-4"/>
          <w:sz w:val="14"/>
        </w:rPr>
        <w:t xml:space="preserve"> </w:t>
      </w:r>
      <w:r>
        <w:rPr>
          <w:spacing w:val="-2"/>
          <w:sz w:val="14"/>
        </w:rPr>
        <w:t>vi)</w:t>
      </w:r>
      <w:r>
        <w:rPr>
          <w:spacing w:val="-5"/>
          <w:sz w:val="14"/>
        </w:rPr>
        <w:t xml:space="preserve"> </w:t>
      </w:r>
      <w:r>
        <w:rPr>
          <w:spacing w:val="-2"/>
          <w:sz w:val="14"/>
        </w:rPr>
        <w:t>ser</w:t>
      </w:r>
      <w:r>
        <w:rPr>
          <w:spacing w:val="-5"/>
          <w:sz w:val="14"/>
        </w:rPr>
        <w:t xml:space="preserve"> </w:t>
      </w:r>
      <w:r>
        <w:rPr>
          <w:spacing w:val="-2"/>
          <w:sz w:val="14"/>
        </w:rPr>
        <w:t>diseñado</w:t>
      </w:r>
      <w:r>
        <w:rPr>
          <w:spacing w:val="-5"/>
          <w:sz w:val="14"/>
        </w:rPr>
        <w:t xml:space="preserve"> </w:t>
      </w:r>
      <w:r>
        <w:rPr>
          <w:spacing w:val="-2"/>
          <w:sz w:val="14"/>
        </w:rPr>
        <w:t>e</w:t>
      </w:r>
      <w:r>
        <w:rPr>
          <w:spacing w:val="-5"/>
          <w:sz w:val="14"/>
        </w:rPr>
        <w:t xml:space="preserve"> </w:t>
      </w:r>
      <w:r>
        <w:rPr>
          <w:spacing w:val="-2"/>
          <w:sz w:val="14"/>
        </w:rPr>
        <w:t>implementado</w:t>
      </w:r>
      <w:r>
        <w:rPr>
          <w:spacing w:val="-5"/>
          <w:sz w:val="14"/>
        </w:rPr>
        <w:t xml:space="preserve"> </w:t>
      </w:r>
      <w:r>
        <w:rPr>
          <w:spacing w:val="-2"/>
          <w:sz w:val="14"/>
        </w:rPr>
        <w:t>en</w:t>
      </w:r>
      <w:r>
        <w:rPr>
          <w:spacing w:val="-5"/>
          <w:sz w:val="14"/>
        </w:rPr>
        <w:t xml:space="preserve"> </w:t>
      </w:r>
      <w:r>
        <w:rPr>
          <w:spacing w:val="-2"/>
          <w:sz w:val="14"/>
        </w:rPr>
        <w:t>caso</w:t>
      </w:r>
    </w:p>
    <w:p w14:paraId="584AC00C" w14:textId="77777777" w:rsidR="0014798C" w:rsidRDefault="004E1F0B">
      <w:pPr>
        <w:spacing w:line="268" w:lineRule="auto"/>
        <w:ind w:left="1366" w:right="2004" w:firstLine="3"/>
        <w:rPr>
          <w:sz w:val="14"/>
        </w:rPr>
      </w:pPr>
      <w:r>
        <w:rPr>
          <w:sz w:val="14"/>
        </w:rPr>
        <w:t>de</w:t>
      </w:r>
      <w:r>
        <w:rPr>
          <w:spacing w:val="-10"/>
          <w:sz w:val="14"/>
        </w:rPr>
        <w:t xml:space="preserve"> </w:t>
      </w:r>
      <w:r>
        <w:rPr>
          <w:sz w:val="14"/>
        </w:rPr>
        <w:t>necesidad;</w:t>
      </w:r>
      <w:r>
        <w:rPr>
          <w:spacing w:val="-10"/>
          <w:sz w:val="14"/>
        </w:rPr>
        <w:t xml:space="preserve"> </w:t>
      </w:r>
      <w:r>
        <w:rPr>
          <w:sz w:val="14"/>
        </w:rPr>
        <w:t>y</w:t>
      </w:r>
      <w:r>
        <w:rPr>
          <w:spacing w:val="-10"/>
          <w:sz w:val="14"/>
        </w:rPr>
        <w:t xml:space="preserve"> </w:t>
      </w:r>
      <w:proofErr w:type="spellStart"/>
      <w:r>
        <w:rPr>
          <w:sz w:val="14"/>
        </w:rPr>
        <w:t>vii</w:t>
      </w:r>
      <w:proofErr w:type="spellEnd"/>
      <w:r>
        <w:rPr>
          <w:sz w:val="14"/>
        </w:rPr>
        <w:t>)</w:t>
      </w:r>
      <w:r>
        <w:rPr>
          <w:spacing w:val="-9"/>
          <w:sz w:val="14"/>
        </w:rPr>
        <w:t xml:space="preserve"> </w:t>
      </w:r>
      <w:r>
        <w:rPr>
          <w:sz w:val="14"/>
        </w:rPr>
        <w:t>basarse</w:t>
      </w:r>
      <w:r>
        <w:rPr>
          <w:spacing w:val="-10"/>
          <w:sz w:val="14"/>
        </w:rPr>
        <w:t xml:space="preserve"> </w:t>
      </w:r>
      <w:r>
        <w:rPr>
          <w:sz w:val="14"/>
        </w:rPr>
        <w:t>en</w:t>
      </w:r>
      <w:r>
        <w:rPr>
          <w:spacing w:val="-10"/>
          <w:sz w:val="14"/>
        </w:rPr>
        <w:t xml:space="preserve"> </w:t>
      </w:r>
      <w:r>
        <w:rPr>
          <w:sz w:val="14"/>
        </w:rPr>
        <w:t>una</w:t>
      </w:r>
      <w:r>
        <w:rPr>
          <w:spacing w:val="-10"/>
          <w:sz w:val="14"/>
        </w:rPr>
        <w:t xml:space="preserve"> </w:t>
      </w:r>
      <w:r>
        <w:rPr>
          <w:sz w:val="14"/>
        </w:rPr>
        <w:t>evaluación</w:t>
      </w:r>
      <w:r>
        <w:rPr>
          <w:spacing w:val="-9"/>
          <w:sz w:val="14"/>
        </w:rPr>
        <w:t xml:space="preserve"> </w:t>
      </w:r>
      <w:r>
        <w:rPr>
          <w:sz w:val="14"/>
        </w:rPr>
        <w:t>realista</w:t>
      </w:r>
      <w:r>
        <w:rPr>
          <w:spacing w:val="-10"/>
          <w:sz w:val="14"/>
        </w:rPr>
        <w:t xml:space="preserve"> </w:t>
      </w:r>
      <w:r>
        <w:rPr>
          <w:sz w:val="14"/>
        </w:rPr>
        <w:t>de</w:t>
      </w:r>
      <w:r>
        <w:rPr>
          <w:spacing w:val="-10"/>
          <w:sz w:val="14"/>
        </w:rPr>
        <w:t xml:space="preserve"> </w:t>
      </w:r>
      <w:r>
        <w:rPr>
          <w:sz w:val="14"/>
        </w:rPr>
        <w:t>la</w:t>
      </w:r>
      <w:r>
        <w:rPr>
          <w:spacing w:val="-9"/>
          <w:sz w:val="14"/>
        </w:rPr>
        <w:t xml:space="preserve"> </w:t>
      </w:r>
      <w:r>
        <w:rPr>
          <w:sz w:val="14"/>
        </w:rPr>
        <w:t>situación</w:t>
      </w:r>
      <w:r>
        <w:rPr>
          <w:spacing w:val="-10"/>
          <w:sz w:val="14"/>
        </w:rPr>
        <w:t xml:space="preserve"> </w:t>
      </w:r>
      <w:r>
        <w:rPr>
          <w:sz w:val="14"/>
        </w:rPr>
        <w:t>de</w:t>
      </w:r>
      <w:r>
        <w:rPr>
          <w:spacing w:val="-10"/>
          <w:sz w:val="14"/>
        </w:rPr>
        <w:t xml:space="preserve"> </w:t>
      </w:r>
      <w:r>
        <w:rPr>
          <w:sz w:val="14"/>
        </w:rPr>
        <w:t>las</w:t>
      </w:r>
      <w:r>
        <w:rPr>
          <w:spacing w:val="-10"/>
          <w:sz w:val="14"/>
        </w:rPr>
        <w:t xml:space="preserve"> </w:t>
      </w:r>
      <w:r>
        <w:rPr>
          <w:sz w:val="14"/>
        </w:rPr>
        <w:t>personas</w:t>
      </w:r>
      <w:r>
        <w:rPr>
          <w:spacing w:val="-9"/>
          <w:sz w:val="14"/>
        </w:rPr>
        <w:t xml:space="preserve"> </w:t>
      </w:r>
      <w:r>
        <w:rPr>
          <w:sz w:val="14"/>
        </w:rPr>
        <w:t>y</w:t>
      </w:r>
      <w:r>
        <w:rPr>
          <w:spacing w:val="-10"/>
          <w:sz w:val="14"/>
        </w:rPr>
        <w:t xml:space="preserve"> </w:t>
      </w:r>
      <w:r>
        <w:rPr>
          <w:sz w:val="14"/>
        </w:rPr>
        <w:t>la</w:t>
      </w:r>
      <w:r>
        <w:rPr>
          <w:spacing w:val="-10"/>
          <w:sz w:val="14"/>
        </w:rPr>
        <w:t xml:space="preserve"> </w:t>
      </w:r>
      <w:r>
        <w:rPr>
          <w:sz w:val="14"/>
        </w:rPr>
        <w:t>comunidad</w:t>
      </w:r>
      <w:r>
        <w:rPr>
          <w:spacing w:val="-10"/>
          <w:sz w:val="14"/>
        </w:rPr>
        <w:t xml:space="preserve"> </w:t>
      </w:r>
      <w:r>
        <w:rPr>
          <w:sz w:val="14"/>
        </w:rPr>
        <w:t>afectadas”.</w:t>
      </w:r>
      <w:r>
        <w:rPr>
          <w:spacing w:val="-9"/>
          <w:sz w:val="14"/>
        </w:rPr>
        <w:t xml:space="preserve"> </w:t>
      </w:r>
      <w:r>
        <w:rPr>
          <w:sz w:val="14"/>
        </w:rPr>
        <w:t>Véase</w:t>
      </w:r>
      <w:r>
        <w:rPr>
          <w:spacing w:val="-9"/>
          <w:sz w:val="14"/>
        </w:rPr>
        <w:t xml:space="preserve"> </w:t>
      </w:r>
      <w:r>
        <w:rPr>
          <w:sz w:val="14"/>
        </w:rPr>
        <w:t>Comisión</w:t>
      </w:r>
      <w:r>
        <w:rPr>
          <w:spacing w:val="40"/>
          <w:sz w:val="14"/>
        </w:rPr>
        <w:t xml:space="preserve"> </w:t>
      </w:r>
      <w:r>
        <w:rPr>
          <w:sz w:val="14"/>
        </w:rPr>
        <w:t>Interamericana de Derechos Humanos, La situación de los afrodescendientes en las Américas, párr. 240.</w:t>
      </w:r>
    </w:p>
    <w:p w14:paraId="46B67EC6" w14:textId="77777777" w:rsidR="0014798C" w:rsidRDefault="004E1F0B">
      <w:pPr>
        <w:spacing w:before="80"/>
        <w:ind w:left="1107"/>
        <w:rPr>
          <w:sz w:val="12"/>
        </w:rPr>
      </w:pPr>
      <w:r>
        <w:rPr>
          <w:sz w:val="12"/>
        </w:rPr>
        <w:t>502</w:t>
      </w:r>
      <w:r>
        <w:rPr>
          <w:spacing w:val="-1"/>
          <w:sz w:val="12"/>
        </w:rPr>
        <w:t xml:space="preserve"> </w:t>
      </w:r>
      <w:r>
        <w:rPr>
          <w:sz w:val="12"/>
        </w:rPr>
        <w:t>Convención</w:t>
      </w:r>
      <w:r>
        <w:rPr>
          <w:spacing w:val="-1"/>
          <w:sz w:val="12"/>
        </w:rPr>
        <w:t xml:space="preserve"> </w:t>
      </w:r>
      <w:r>
        <w:rPr>
          <w:sz w:val="12"/>
        </w:rPr>
        <w:t>sobre la</w:t>
      </w:r>
      <w:r>
        <w:rPr>
          <w:spacing w:val="-1"/>
          <w:sz w:val="12"/>
        </w:rPr>
        <w:t xml:space="preserve"> </w:t>
      </w:r>
      <w:r>
        <w:rPr>
          <w:sz w:val="12"/>
        </w:rPr>
        <w:t>eliminación de</w:t>
      </w:r>
      <w:r>
        <w:rPr>
          <w:spacing w:val="-1"/>
          <w:sz w:val="12"/>
        </w:rPr>
        <w:t xml:space="preserve"> </w:t>
      </w:r>
      <w:r>
        <w:rPr>
          <w:sz w:val="12"/>
        </w:rPr>
        <w:t>todas las</w:t>
      </w:r>
      <w:r>
        <w:rPr>
          <w:spacing w:val="-1"/>
          <w:sz w:val="12"/>
        </w:rPr>
        <w:t xml:space="preserve"> </w:t>
      </w:r>
      <w:r>
        <w:rPr>
          <w:sz w:val="12"/>
        </w:rPr>
        <w:t>formas de</w:t>
      </w:r>
      <w:r>
        <w:rPr>
          <w:spacing w:val="-1"/>
          <w:sz w:val="12"/>
        </w:rPr>
        <w:t xml:space="preserve"> </w:t>
      </w:r>
      <w:r>
        <w:rPr>
          <w:sz w:val="12"/>
        </w:rPr>
        <w:t>discriminación contra</w:t>
      </w:r>
      <w:r>
        <w:rPr>
          <w:spacing w:val="-1"/>
          <w:sz w:val="12"/>
        </w:rPr>
        <w:t xml:space="preserve"> </w:t>
      </w:r>
      <w:r>
        <w:rPr>
          <w:sz w:val="12"/>
        </w:rPr>
        <w:t>la mujer,</w:t>
      </w:r>
      <w:r>
        <w:rPr>
          <w:spacing w:val="-1"/>
          <w:sz w:val="12"/>
        </w:rPr>
        <w:t xml:space="preserve"> </w:t>
      </w:r>
      <w:r>
        <w:rPr>
          <w:sz w:val="12"/>
        </w:rPr>
        <w:t>art. 4</w:t>
      </w:r>
      <w:r>
        <w:rPr>
          <w:spacing w:val="-1"/>
          <w:sz w:val="12"/>
        </w:rPr>
        <w:t xml:space="preserve"> </w:t>
      </w:r>
      <w:r>
        <w:rPr>
          <w:spacing w:val="-4"/>
          <w:sz w:val="12"/>
        </w:rPr>
        <w:t>(1).</w:t>
      </w:r>
    </w:p>
    <w:p w14:paraId="622A59C7" w14:textId="77777777" w:rsidR="0014798C" w:rsidRDefault="004E1F0B">
      <w:pPr>
        <w:spacing w:before="99" w:line="312" w:lineRule="auto"/>
        <w:ind w:left="1368" w:right="1272" w:hanging="261"/>
        <w:rPr>
          <w:sz w:val="12"/>
        </w:rPr>
      </w:pPr>
      <w:r>
        <w:rPr>
          <w:sz w:val="12"/>
        </w:rPr>
        <w:t>503</w:t>
      </w:r>
      <w:r>
        <w:rPr>
          <w:spacing w:val="-1"/>
          <w:sz w:val="12"/>
        </w:rPr>
        <w:t xml:space="preserve"> </w:t>
      </w:r>
      <w:r>
        <w:rPr>
          <w:sz w:val="12"/>
        </w:rPr>
        <w:t>Comité</w:t>
      </w:r>
      <w:r>
        <w:rPr>
          <w:spacing w:val="-1"/>
          <w:sz w:val="12"/>
        </w:rPr>
        <w:t xml:space="preserve"> </w:t>
      </w:r>
      <w:r>
        <w:rPr>
          <w:sz w:val="12"/>
        </w:rPr>
        <w:t>para</w:t>
      </w:r>
      <w:r>
        <w:rPr>
          <w:spacing w:val="-1"/>
          <w:sz w:val="12"/>
        </w:rPr>
        <w:t xml:space="preserve"> </w:t>
      </w:r>
      <w:r>
        <w:rPr>
          <w:sz w:val="12"/>
        </w:rPr>
        <w:t>la</w:t>
      </w:r>
      <w:r>
        <w:rPr>
          <w:spacing w:val="-1"/>
          <w:sz w:val="12"/>
        </w:rPr>
        <w:t xml:space="preserve"> </w:t>
      </w:r>
      <w:r>
        <w:rPr>
          <w:sz w:val="12"/>
        </w:rPr>
        <w:t>Eliminación</w:t>
      </w:r>
      <w:r>
        <w:rPr>
          <w:spacing w:val="-1"/>
          <w:sz w:val="12"/>
        </w:rPr>
        <w:t xml:space="preserve"> </w:t>
      </w:r>
      <w:r>
        <w:rPr>
          <w:sz w:val="12"/>
        </w:rPr>
        <w:t>de</w:t>
      </w:r>
      <w:r>
        <w:rPr>
          <w:spacing w:val="-1"/>
          <w:sz w:val="12"/>
        </w:rPr>
        <w:t xml:space="preserve"> </w:t>
      </w:r>
      <w:r>
        <w:rPr>
          <w:sz w:val="12"/>
        </w:rPr>
        <w:t>la</w:t>
      </w:r>
      <w:r>
        <w:rPr>
          <w:spacing w:val="-1"/>
          <w:sz w:val="12"/>
        </w:rPr>
        <w:t xml:space="preserve"> </w:t>
      </w:r>
      <w:r>
        <w:rPr>
          <w:sz w:val="12"/>
        </w:rPr>
        <w:t>Discriminación</w:t>
      </w:r>
      <w:r>
        <w:rPr>
          <w:spacing w:val="-1"/>
          <w:sz w:val="12"/>
        </w:rPr>
        <w:t xml:space="preserve"> </w:t>
      </w:r>
      <w:r>
        <w:rPr>
          <w:sz w:val="12"/>
        </w:rPr>
        <w:t>contra</w:t>
      </w:r>
      <w:r>
        <w:rPr>
          <w:spacing w:val="-1"/>
          <w:sz w:val="12"/>
        </w:rPr>
        <w:t xml:space="preserve"> </w:t>
      </w:r>
      <w:r>
        <w:rPr>
          <w:sz w:val="12"/>
        </w:rPr>
        <w:t>la</w:t>
      </w:r>
      <w:r>
        <w:rPr>
          <w:spacing w:val="-1"/>
          <w:sz w:val="12"/>
        </w:rPr>
        <w:t xml:space="preserve"> </w:t>
      </w:r>
      <w:r>
        <w:rPr>
          <w:sz w:val="12"/>
        </w:rPr>
        <w:t>Mujer,</w:t>
      </w:r>
      <w:r>
        <w:rPr>
          <w:spacing w:val="-1"/>
          <w:sz w:val="12"/>
        </w:rPr>
        <w:t xml:space="preserve"> </w:t>
      </w:r>
      <w:r>
        <w:rPr>
          <w:sz w:val="12"/>
        </w:rPr>
        <w:t>recomendación</w:t>
      </w:r>
      <w:r>
        <w:rPr>
          <w:spacing w:val="-1"/>
          <w:sz w:val="12"/>
        </w:rPr>
        <w:t xml:space="preserve"> </w:t>
      </w:r>
      <w:r>
        <w:rPr>
          <w:sz w:val="12"/>
        </w:rPr>
        <w:t>general</w:t>
      </w:r>
      <w:r>
        <w:rPr>
          <w:spacing w:val="-1"/>
          <w:sz w:val="12"/>
        </w:rPr>
        <w:t xml:space="preserve"> </w:t>
      </w:r>
      <w:r>
        <w:rPr>
          <w:sz w:val="12"/>
        </w:rPr>
        <w:t>núm.</w:t>
      </w:r>
      <w:r>
        <w:rPr>
          <w:spacing w:val="-1"/>
          <w:sz w:val="12"/>
        </w:rPr>
        <w:t xml:space="preserve"> </w:t>
      </w:r>
      <w:r>
        <w:rPr>
          <w:sz w:val="12"/>
        </w:rPr>
        <w:t>25</w:t>
      </w:r>
      <w:r>
        <w:rPr>
          <w:spacing w:val="-1"/>
          <w:sz w:val="12"/>
        </w:rPr>
        <w:t xml:space="preserve"> </w:t>
      </w:r>
      <w:r>
        <w:rPr>
          <w:sz w:val="12"/>
        </w:rPr>
        <w:t>(2004),</w:t>
      </w:r>
      <w:r>
        <w:rPr>
          <w:spacing w:val="-1"/>
          <w:sz w:val="12"/>
        </w:rPr>
        <w:t xml:space="preserve"> </w:t>
      </w:r>
      <w:r>
        <w:rPr>
          <w:sz w:val="12"/>
        </w:rPr>
        <w:t>párr.</w:t>
      </w:r>
      <w:r>
        <w:rPr>
          <w:spacing w:val="-1"/>
          <w:sz w:val="12"/>
        </w:rPr>
        <w:t xml:space="preserve"> </w:t>
      </w:r>
      <w:r>
        <w:rPr>
          <w:sz w:val="12"/>
        </w:rPr>
        <w:t>20;</w:t>
      </w:r>
      <w:r>
        <w:rPr>
          <w:spacing w:val="-1"/>
          <w:sz w:val="12"/>
        </w:rPr>
        <w:t xml:space="preserve"> </w:t>
      </w:r>
      <w:r>
        <w:rPr>
          <w:sz w:val="12"/>
        </w:rPr>
        <w:t>y</w:t>
      </w:r>
      <w:r>
        <w:rPr>
          <w:spacing w:val="-1"/>
          <w:sz w:val="12"/>
        </w:rPr>
        <w:t xml:space="preserve"> </w:t>
      </w:r>
      <w:r>
        <w:rPr>
          <w:sz w:val="12"/>
        </w:rPr>
        <w:t>Comité</w:t>
      </w:r>
      <w:r>
        <w:rPr>
          <w:spacing w:val="-1"/>
          <w:sz w:val="12"/>
        </w:rPr>
        <w:t xml:space="preserve"> </w:t>
      </w:r>
      <w:r>
        <w:rPr>
          <w:sz w:val="12"/>
        </w:rPr>
        <w:t>para</w:t>
      </w:r>
      <w:r>
        <w:rPr>
          <w:spacing w:val="-1"/>
          <w:sz w:val="12"/>
        </w:rPr>
        <w:t xml:space="preserve"> </w:t>
      </w:r>
      <w:r>
        <w:rPr>
          <w:sz w:val="12"/>
        </w:rPr>
        <w:t>la</w:t>
      </w:r>
      <w:r>
        <w:rPr>
          <w:spacing w:val="-1"/>
          <w:sz w:val="12"/>
        </w:rPr>
        <w:t xml:space="preserve"> </w:t>
      </w:r>
      <w:r>
        <w:rPr>
          <w:sz w:val="12"/>
        </w:rPr>
        <w:t>Eliminación</w:t>
      </w:r>
      <w:r>
        <w:rPr>
          <w:spacing w:val="-1"/>
          <w:sz w:val="12"/>
        </w:rPr>
        <w:t xml:space="preserve"> </w:t>
      </w:r>
      <w:r>
        <w:rPr>
          <w:sz w:val="12"/>
        </w:rPr>
        <w:t>de</w:t>
      </w:r>
      <w:r>
        <w:rPr>
          <w:spacing w:val="-1"/>
          <w:sz w:val="12"/>
        </w:rPr>
        <w:t xml:space="preserve"> </w:t>
      </w:r>
      <w:r>
        <w:rPr>
          <w:sz w:val="12"/>
        </w:rPr>
        <w:t>la</w:t>
      </w:r>
      <w:r>
        <w:rPr>
          <w:spacing w:val="-1"/>
          <w:sz w:val="12"/>
        </w:rPr>
        <w:t xml:space="preserve"> </w:t>
      </w:r>
      <w:r>
        <w:rPr>
          <w:sz w:val="12"/>
        </w:rPr>
        <w:t>Discriminación</w:t>
      </w:r>
      <w:r>
        <w:rPr>
          <w:spacing w:val="40"/>
          <w:sz w:val="12"/>
        </w:rPr>
        <w:t xml:space="preserve"> </w:t>
      </w:r>
      <w:r>
        <w:rPr>
          <w:sz w:val="12"/>
        </w:rPr>
        <w:t>Racial, recomendación general núm. 32 (2009), párr. 27.</w:t>
      </w:r>
    </w:p>
    <w:p w14:paraId="0DC31E0F" w14:textId="77777777" w:rsidR="0014798C" w:rsidRDefault="0014798C">
      <w:pPr>
        <w:pStyle w:val="Textoindependiente"/>
        <w:rPr>
          <w:sz w:val="18"/>
        </w:rPr>
      </w:pPr>
    </w:p>
    <w:p w14:paraId="1164D51B" w14:textId="77777777" w:rsidR="0014798C" w:rsidRDefault="0014798C">
      <w:pPr>
        <w:pStyle w:val="Textoindependiente"/>
        <w:spacing w:before="183"/>
        <w:rPr>
          <w:sz w:val="18"/>
        </w:rPr>
      </w:pPr>
    </w:p>
    <w:p w14:paraId="6450345D" w14:textId="77777777" w:rsidR="0014798C" w:rsidRDefault="004E1F0B">
      <w:pPr>
        <w:spacing w:before="1"/>
        <w:ind w:left="556"/>
        <w:rPr>
          <w:sz w:val="18"/>
        </w:rPr>
      </w:pPr>
      <w:r>
        <w:rPr>
          <w:spacing w:val="-5"/>
          <w:w w:val="105"/>
          <w:sz w:val="18"/>
        </w:rPr>
        <w:t>62</w:t>
      </w:r>
    </w:p>
    <w:p w14:paraId="73F5BF87" w14:textId="77777777" w:rsidR="0014798C" w:rsidRDefault="0014798C">
      <w:pPr>
        <w:rPr>
          <w:sz w:val="18"/>
        </w:rPr>
        <w:sectPr w:rsidR="0014798C" w:rsidSect="00F265E4">
          <w:type w:val="continuous"/>
          <w:pgSz w:w="11900" w:h="16820"/>
          <w:pgMar w:top="40" w:right="0" w:bottom="280" w:left="200" w:header="121" w:footer="0" w:gutter="0"/>
          <w:cols w:space="720"/>
        </w:sectPr>
      </w:pPr>
    </w:p>
    <w:p w14:paraId="35C1A5E4" w14:textId="77777777" w:rsidR="0014798C" w:rsidRDefault="0014798C">
      <w:pPr>
        <w:pStyle w:val="Textoindependiente"/>
        <w:spacing w:before="51"/>
        <w:rPr>
          <w:sz w:val="14"/>
        </w:rPr>
      </w:pPr>
    </w:p>
    <w:p w14:paraId="6105DB71" w14:textId="77777777" w:rsidR="0014798C" w:rsidRDefault="004E1F0B">
      <w:pPr>
        <w:ind w:left="1111"/>
        <w:rPr>
          <w:sz w:val="14"/>
        </w:rPr>
      </w:pPr>
      <w:r>
        <w:rPr>
          <w:color w:val="00AC59"/>
          <w:sz w:val="14"/>
        </w:rPr>
        <w:t>SEGUNDA</w:t>
      </w:r>
      <w:r>
        <w:rPr>
          <w:color w:val="00AC59"/>
          <w:spacing w:val="-5"/>
          <w:sz w:val="14"/>
        </w:rPr>
        <w:t xml:space="preserve"> </w:t>
      </w:r>
      <w:r>
        <w:rPr>
          <w:color w:val="00AC59"/>
          <w:sz w:val="14"/>
        </w:rPr>
        <w:t>PARTE:</w:t>
      </w:r>
      <w:r>
        <w:rPr>
          <w:color w:val="00AC59"/>
          <w:spacing w:val="-5"/>
          <w:sz w:val="14"/>
        </w:rPr>
        <w:t xml:space="preserve"> </w:t>
      </w:r>
      <w:r>
        <w:rPr>
          <w:color w:val="00AC59"/>
          <w:sz w:val="14"/>
        </w:rPr>
        <w:t>CONTENIDO</w:t>
      </w:r>
      <w:r>
        <w:rPr>
          <w:color w:val="00AC59"/>
          <w:spacing w:val="-4"/>
          <w:sz w:val="14"/>
        </w:rPr>
        <w:t xml:space="preserve"> </w:t>
      </w:r>
      <w:r>
        <w:rPr>
          <w:color w:val="00AC59"/>
          <w:sz w:val="14"/>
        </w:rPr>
        <w:t>DE</w:t>
      </w:r>
      <w:r>
        <w:rPr>
          <w:color w:val="00AC59"/>
          <w:spacing w:val="-5"/>
          <w:sz w:val="14"/>
        </w:rPr>
        <w:t xml:space="preserve"> </w:t>
      </w:r>
      <w:r>
        <w:rPr>
          <w:color w:val="00AC59"/>
          <w:sz w:val="14"/>
        </w:rPr>
        <w:t>LA</w:t>
      </w:r>
      <w:r>
        <w:rPr>
          <w:color w:val="00AC59"/>
          <w:spacing w:val="-4"/>
          <w:sz w:val="14"/>
        </w:rPr>
        <w:t xml:space="preserve"> </w:t>
      </w:r>
      <w:r>
        <w:rPr>
          <w:color w:val="00AC59"/>
          <w:sz w:val="14"/>
        </w:rPr>
        <w:t>LEY</w:t>
      </w:r>
      <w:r>
        <w:rPr>
          <w:color w:val="00AC59"/>
          <w:spacing w:val="-4"/>
          <w:sz w:val="14"/>
        </w:rPr>
        <w:t xml:space="preserve"> </w:t>
      </w:r>
      <w:r>
        <w:rPr>
          <w:color w:val="00AC59"/>
          <w:sz w:val="14"/>
        </w:rPr>
        <w:t>INTEGRAL</w:t>
      </w:r>
      <w:r>
        <w:rPr>
          <w:color w:val="00AC59"/>
          <w:spacing w:val="-5"/>
          <w:sz w:val="14"/>
        </w:rPr>
        <w:t xml:space="preserve"> </w:t>
      </w:r>
      <w:r>
        <w:rPr>
          <w:color w:val="00AC59"/>
          <w:spacing w:val="-2"/>
          <w:sz w:val="14"/>
        </w:rPr>
        <w:t>ANTIDISCRIMINACIÓN</w:t>
      </w:r>
    </w:p>
    <w:p w14:paraId="38C0600F" w14:textId="77777777" w:rsidR="0014798C" w:rsidRDefault="0014798C">
      <w:pPr>
        <w:pStyle w:val="Textoindependiente"/>
        <w:rPr>
          <w:sz w:val="18"/>
        </w:rPr>
      </w:pPr>
    </w:p>
    <w:p w14:paraId="4731E967" w14:textId="77777777" w:rsidR="0014798C" w:rsidRDefault="0014798C">
      <w:pPr>
        <w:pStyle w:val="Textoindependiente"/>
        <w:rPr>
          <w:sz w:val="18"/>
        </w:rPr>
      </w:pPr>
    </w:p>
    <w:p w14:paraId="60D3F8F8" w14:textId="77777777" w:rsidR="0014798C" w:rsidRDefault="0014798C">
      <w:pPr>
        <w:pStyle w:val="Textoindependiente"/>
        <w:rPr>
          <w:sz w:val="18"/>
        </w:rPr>
      </w:pPr>
    </w:p>
    <w:p w14:paraId="3F033928" w14:textId="77777777" w:rsidR="0014798C" w:rsidRDefault="0014798C">
      <w:pPr>
        <w:pStyle w:val="Textoindependiente"/>
        <w:spacing w:before="140"/>
        <w:rPr>
          <w:sz w:val="18"/>
        </w:rPr>
      </w:pPr>
    </w:p>
    <w:p w14:paraId="79B47F0E" w14:textId="77777777" w:rsidR="0014798C" w:rsidRDefault="004E1F0B">
      <w:pPr>
        <w:spacing w:before="1"/>
        <w:ind w:left="1115"/>
        <w:rPr>
          <w:sz w:val="18"/>
        </w:rPr>
      </w:pPr>
      <w:r>
        <w:rPr>
          <w:sz w:val="18"/>
        </w:rPr>
        <w:t>(a</w:t>
      </w:r>
      <w:r>
        <w:rPr>
          <w:spacing w:val="-1"/>
          <w:sz w:val="18"/>
        </w:rPr>
        <w:t xml:space="preserve"> </w:t>
      </w:r>
      <w:proofErr w:type="spellStart"/>
      <w:r>
        <w:rPr>
          <w:spacing w:val="-2"/>
          <w:sz w:val="18"/>
        </w:rPr>
        <w:t>proposito</w:t>
      </w:r>
      <w:proofErr w:type="spellEnd"/>
    </w:p>
    <w:p w14:paraId="1C7B3FE3" w14:textId="77777777" w:rsidR="0014798C" w:rsidRDefault="0014798C">
      <w:pPr>
        <w:pStyle w:val="Textoindependiente"/>
        <w:spacing w:before="13"/>
      </w:pPr>
    </w:p>
    <w:p w14:paraId="3F4EAE6C" w14:textId="77777777" w:rsidR="0014798C" w:rsidRDefault="004E1F0B">
      <w:pPr>
        <w:pStyle w:val="Textoindependiente"/>
        <w:spacing w:line="326" w:lineRule="auto"/>
        <w:ind w:left="1109" w:right="1463" w:hanging="2"/>
      </w:pPr>
      <w:r>
        <w:t>Principalmente, es el propósito de las medidas de acción positiva lo que requiere y justifica medidas específicas y, por lo tanto, distingue estas medidas de la discriminación directa:504 el resultado previsto de la acción positiva es una mayor igualdad, mientras que el resultado de la discriminación es una mayor desigualdad.</w:t>
      </w:r>
    </w:p>
    <w:p w14:paraId="48863F99" w14:textId="77777777" w:rsidR="0014798C" w:rsidRDefault="004E1F0B">
      <w:pPr>
        <w:pStyle w:val="Textoindependiente"/>
        <w:spacing w:before="168" w:line="326" w:lineRule="auto"/>
        <w:ind w:left="1108" w:right="1272" w:hanging="2"/>
      </w:pPr>
      <w:r>
        <w:rPr>
          <w:noProof/>
        </w:rPr>
        <w:drawing>
          <wp:anchor distT="0" distB="0" distL="0" distR="0" simplePos="0" relativeHeight="251658407" behindDoc="1" locked="0" layoutInCell="1" allowOverlap="1" wp14:anchorId="427D65E5" wp14:editId="5FBADF1A">
            <wp:simplePos x="0" y="0"/>
            <wp:positionH relativeFrom="page">
              <wp:posOffset>826632</wp:posOffset>
            </wp:positionH>
            <wp:positionV relativeFrom="paragraph">
              <wp:posOffset>339664</wp:posOffset>
            </wp:positionV>
            <wp:extent cx="6729867" cy="5540304"/>
            <wp:effectExtent l="0" t="0" r="0" b="0"/>
            <wp:wrapNone/>
            <wp:docPr id="159" name="Image 15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59" name="Image 159"/>
                    <pic:cNvPicPr/>
                  </pic:nvPicPr>
                  <pic:blipFill>
                    <a:blip r:embed="rId146" cstate="print"/>
                    <a:stretch>
                      <a:fillRect/>
                    </a:stretch>
                  </pic:blipFill>
                  <pic:spPr>
                    <a:xfrm>
                      <a:off x="0" y="0"/>
                      <a:ext cx="6729867" cy="5540304"/>
                    </a:xfrm>
                    <a:prstGeom prst="rect">
                      <a:avLst/>
                    </a:prstGeom>
                  </pic:spPr>
                </pic:pic>
              </a:graphicData>
            </a:graphic>
          </wp:anchor>
        </w:drawing>
      </w:r>
      <w:r>
        <w:t xml:space="preserve">Así, como ha señalado el Comité para la Eliminación de la Discriminación Racial, “las medidas especiales no equivalen a discriminación cuando se adoptan con el 'único propósito' de garantizar el disfrute igualitario de los derechos humanos y las libertades fundamentales”.505 El Comité ha observado que esto </w:t>
      </w:r>
      <w:proofErr w:type="gramStart"/>
      <w:r>
        <w:t>“ la</w:t>
      </w:r>
      <w:proofErr w:type="gramEnd"/>
      <w:r>
        <w:t xml:space="preserve"> motivación debe ser “aparente” a partir de las medidas mismas, los argumentos utilizados para justificarlas y los instrumentos para darles efecto. Ha aclarado además que: “La</w:t>
      </w:r>
    </w:p>
    <w:p w14:paraId="6142ACAB" w14:textId="77777777" w:rsidR="0014798C" w:rsidRDefault="004E1F0B">
      <w:pPr>
        <w:pStyle w:val="Textoindependiente"/>
        <w:spacing w:line="271" w:lineRule="auto"/>
        <w:ind w:left="1108" w:right="1463" w:firstLine="1"/>
      </w:pPr>
      <w:r>
        <w:rPr>
          <w:noProof/>
        </w:rPr>
        <mc:AlternateContent>
          <mc:Choice Requires="wps">
            <w:drawing>
              <wp:anchor distT="0" distB="0" distL="0" distR="0" simplePos="0" relativeHeight="251658272" behindDoc="0" locked="0" layoutInCell="1" allowOverlap="1" wp14:anchorId="1F0DCB47" wp14:editId="6F3C2CAB">
                <wp:simplePos x="0" y="0"/>
                <wp:positionH relativeFrom="page">
                  <wp:posOffset>7313138</wp:posOffset>
                </wp:positionH>
                <wp:positionV relativeFrom="paragraph">
                  <wp:posOffset>212753</wp:posOffset>
                </wp:positionV>
                <wp:extent cx="83820" cy="281940"/>
                <wp:effectExtent l="0" t="0" r="0" b="0"/>
                <wp:wrapNone/>
                <wp:docPr id="160" name="Textbox 16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83820" cy="281940"/>
                        </a:xfrm>
                        <a:prstGeom prst="rect">
                          <a:avLst/>
                        </a:prstGeom>
                      </wps:spPr>
                      <wps:txbx>
                        <w:txbxContent>
                          <w:p w14:paraId="740F0B8E" w14:textId="77777777" w:rsidR="0014798C" w:rsidRDefault="004E1F0B">
                            <w:pPr>
                              <w:spacing w:before="19"/>
                              <w:ind w:left="20"/>
                              <w:rPr>
                                <w:sz w:val="8"/>
                              </w:rPr>
                            </w:pPr>
                            <w:r>
                              <w:rPr>
                                <w:color w:val="FFFFFF"/>
                                <w:spacing w:val="-24"/>
                                <w:sz w:val="8"/>
                              </w:rPr>
                              <w:t>I–P</w:t>
                            </w:r>
                            <w:r>
                              <w:rPr>
                                <w:spacing w:val="-24"/>
                                <w:sz w:val="8"/>
                              </w:rPr>
                              <w:t>S</w:t>
                            </w:r>
                            <w:r>
                              <w:rPr>
                                <w:color w:val="FFFFFF"/>
                                <w:spacing w:val="-24"/>
                                <w:sz w:val="8"/>
                              </w:rPr>
                              <w:t>A</w:t>
                            </w:r>
                            <w:r>
                              <w:rPr>
                                <w:spacing w:val="-24"/>
                                <w:sz w:val="8"/>
                              </w:rPr>
                              <w:t>E</w:t>
                            </w:r>
                            <w:r>
                              <w:rPr>
                                <w:color w:val="FFFFFF"/>
                                <w:spacing w:val="-24"/>
                                <w:sz w:val="8"/>
                              </w:rPr>
                              <w:t>R</w:t>
                            </w:r>
                            <w:r>
                              <w:rPr>
                                <w:spacing w:val="-24"/>
                                <w:sz w:val="8"/>
                              </w:rPr>
                              <w:t>G</w:t>
                            </w:r>
                            <w:r>
                              <w:rPr>
                                <w:color w:val="FFFFFF"/>
                                <w:spacing w:val="-24"/>
                                <w:sz w:val="8"/>
                              </w:rPr>
                              <w:t>T</w:t>
                            </w:r>
                            <w:r>
                              <w:rPr>
                                <w:spacing w:val="-24"/>
                                <w:sz w:val="8"/>
                              </w:rPr>
                              <w:t>U</w:t>
                            </w:r>
                            <w:r>
                              <w:rPr>
                                <w:color w:val="FFFFFF"/>
                                <w:spacing w:val="-24"/>
                                <w:sz w:val="8"/>
                              </w:rPr>
                              <w:t>E</w:t>
                            </w:r>
                            <w:r>
                              <w:rPr>
                                <w:spacing w:val="-24"/>
                                <w:sz w:val="8"/>
                              </w:rPr>
                              <w:t>NDA</w:t>
                            </w:r>
                          </w:p>
                        </w:txbxContent>
                      </wps:txbx>
                      <wps:bodyPr vert="vert270" wrap="square" lIns="0" tIns="0" rIns="0" bIns="0" rtlCol="0">
                        <a:noAutofit/>
                      </wps:bodyPr>
                    </wps:wsp>
                  </a:graphicData>
                </a:graphic>
              </wp:anchor>
            </w:drawing>
          </mc:Choice>
          <mc:Fallback>
            <w:pict>
              <v:shape w14:anchorId="1F0DCB47" id="Textbox 160" o:spid="_x0000_s1089" type="#_x0000_t202" style="position:absolute;left:0;text-align:left;margin-left:575.85pt;margin-top:16.75pt;width:6.6pt;height:22.2pt;z-index:251658272;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" filled="f" stroked="f">
                <v:textbox style="layout-flow:vertical;mso-layout-flow-alt:bottom-to-top" inset="0,0,0,0">
                  <w:txbxContent>
                    <w:p w14:paraId="740F0B8E" w14:textId="77777777" w:rsidR="0014798C" w:rsidRDefault="004E1F0B">
                      <w:pPr>
                        <w:spacing w:before="19"/>
                        <w:ind w:left="20"/>
                        <w:rPr>
                          <w:sz w:val="8"/>
                        </w:rPr>
                      </w:pPr>
                      <w:r>
                        <w:rPr>
                          <w:color w:val="FFFFFF"/>
                          <w:spacing w:val="-24"/>
                          <w:sz w:val="8"/>
                        </w:rPr>
                        <w:t>I–P</w:t>
                      </w:r>
                      <w:r>
                        <w:rPr>
                          <w:spacing w:val="-24"/>
                          <w:sz w:val="8"/>
                        </w:rPr>
                        <w:t>S</w:t>
                      </w:r>
                      <w:r>
                        <w:rPr>
                          <w:color w:val="FFFFFF"/>
                          <w:spacing w:val="-24"/>
                          <w:sz w:val="8"/>
                        </w:rPr>
                        <w:t>A</w:t>
                      </w:r>
                      <w:r>
                        <w:rPr>
                          <w:spacing w:val="-24"/>
                          <w:sz w:val="8"/>
                        </w:rPr>
                        <w:t>E</w:t>
                      </w:r>
                      <w:r>
                        <w:rPr>
                          <w:color w:val="FFFFFF"/>
                          <w:spacing w:val="-24"/>
                          <w:sz w:val="8"/>
                        </w:rPr>
                        <w:t>R</w:t>
                      </w:r>
                      <w:r>
                        <w:rPr>
                          <w:spacing w:val="-24"/>
                          <w:sz w:val="8"/>
                        </w:rPr>
                        <w:t>G</w:t>
                      </w:r>
                      <w:r>
                        <w:rPr>
                          <w:color w:val="FFFFFF"/>
                          <w:spacing w:val="-24"/>
                          <w:sz w:val="8"/>
                        </w:rPr>
                        <w:t>T</w:t>
                      </w:r>
                      <w:r>
                        <w:rPr>
                          <w:spacing w:val="-24"/>
                          <w:sz w:val="8"/>
                        </w:rPr>
                        <w:t>U</w:t>
                      </w:r>
                      <w:r>
                        <w:rPr>
                          <w:color w:val="FFFFFF"/>
                          <w:spacing w:val="-24"/>
                          <w:sz w:val="8"/>
                        </w:rPr>
                        <w:t>E</w:t>
                      </w:r>
                      <w:r>
                        <w:rPr>
                          <w:spacing w:val="-24"/>
                          <w:sz w:val="8"/>
                        </w:rPr>
                        <w:t>NDA</w:t>
                      </w:r>
                    </w:p>
                  </w:txbxContent>
                </v:textbox>
                <w10:wrap anchorx="page"/>
              </v:shape>
            </w:pict>
          </mc:Fallback>
        </mc:AlternateContent>
      </w:r>
      <w:r>
        <w:t>referencia al 'propósito único' limita el alcance de las motivaciones aceptables para medidas especiales dentro de los términos</w:t>
      </w:r>
      <w:r>
        <w:rPr>
          <w:spacing w:val="40"/>
        </w:rPr>
        <w:t xml:space="preserve"> </w:t>
      </w:r>
      <w:r>
        <w:t>de la Convención”. 506 El Comité para la Eliminación de la Discriminación contra la Mujer ha declarado que las medidas</w:t>
      </w:r>
    </w:p>
    <w:p w14:paraId="55E6FF07" w14:textId="77777777" w:rsidR="0014798C" w:rsidRDefault="004E1F0B">
      <w:pPr>
        <w:pStyle w:val="Textoindependiente"/>
        <w:spacing w:before="82" w:line="326" w:lineRule="auto"/>
        <w:ind w:left="1105" w:right="1463" w:firstLine="5"/>
      </w:pPr>
      <w:r>
        <w:t>especiales “deben tener como objetivo acelerar la participación igualitaria de las mujeres”, reiterando que “tales medidas… no discriminan</w:t>
      </w:r>
      <w:r>
        <w:rPr>
          <w:spacing w:val="18"/>
        </w:rPr>
        <w:t xml:space="preserve"> </w:t>
      </w:r>
      <w:r>
        <w:t>a</w:t>
      </w:r>
      <w:r>
        <w:rPr>
          <w:spacing w:val="17"/>
        </w:rPr>
        <w:t xml:space="preserve"> </w:t>
      </w:r>
      <w:r>
        <w:t>los</w:t>
      </w:r>
      <w:r>
        <w:rPr>
          <w:spacing w:val="17"/>
        </w:rPr>
        <w:t xml:space="preserve"> </w:t>
      </w:r>
      <w:r>
        <w:t>hombres”.507</w:t>
      </w:r>
      <w:r>
        <w:rPr>
          <w:spacing w:val="17"/>
        </w:rPr>
        <w:t xml:space="preserve"> </w:t>
      </w:r>
      <w:r>
        <w:t>El</w:t>
      </w:r>
      <w:r>
        <w:rPr>
          <w:spacing w:val="17"/>
        </w:rPr>
        <w:t xml:space="preserve"> </w:t>
      </w:r>
      <w:r>
        <w:t>Comité</w:t>
      </w:r>
      <w:r>
        <w:rPr>
          <w:spacing w:val="17"/>
        </w:rPr>
        <w:t xml:space="preserve"> </w:t>
      </w:r>
      <w:r>
        <w:t>sobre</w:t>
      </w:r>
      <w:r>
        <w:rPr>
          <w:spacing w:val="17"/>
        </w:rPr>
        <w:t xml:space="preserve"> </w:t>
      </w:r>
      <w:r>
        <w:t>los</w:t>
      </w:r>
      <w:r>
        <w:rPr>
          <w:spacing w:val="17"/>
        </w:rPr>
        <w:t xml:space="preserve"> </w:t>
      </w:r>
      <w:r>
        <w:t>Derechos</w:t>
      </w:r>
      <w:r>
        <w:rPr>
          <w:spacing w:val="17"/>
        </w:rPr>
        <w:t xml:space="preserve"> </w:t>
      </w:r>
      <w:r>
        <w:t>de</w:t>
      </w:r>
      <w:r>
        <w:rPr>
          <w:spacing w:val="17"/>
        </w:rPr>
        <w:t xml:space="preserve"> </w:t>
      </w:r>
      <w:r>
        <w:t>las</w:t>
      </w:r>
      <w:r>
        <w:rPr>
          <w:spacing w:val="17"/>
        </w:rPr>
        <w:t xml:space="preserve"> </w:t>
      </w:r>
      <w:r>
        <w:t>Personas</w:t>
      </w:r>
      <w:r>
        <w:rPr>
          <w:spacing w:val="17"/>
        </w:rPr>
        <w:t xml:space="preserve"> </w:t>
      </w:r>
      <w:r>
        <w:t>con</w:t>
      </w:r>
      <w:r>
        <w:rPr>
          <w:spacing w:val="17"/>
        </w:rPr>
        <w:t xml:space="preserve"> </w:t>
      </w:r>
      <w:r>
        <w:t>Discapacidad</w:t>
      </w:r>
      <w:r>
        <w:rPr>
          <w:spacing w:val="18"/>
        </w:rPr>
        <w:t xml:space="preserve"> </w:t>
      </w:r>
      <w:r>
        <w:t>ha</w:t>
      </w:r>
      <w:r>
        <w:rPr>
          <w:spacing w:val="17"/>
        </w:rPr>
        <w:t xml:space="preserve"> </w:t>
      </w:r>
      <w:r>
        <w:t>señalado</w:t>
      </w:r>
      <w:r>
        <w:rPr>
          <w:spacing w:val="17"/>
        </w:rPr>
        <w:t xml:space="preserve"> </w:t>
      </w:r>
      <w:r>
        <w:t>simplemente que: “Las medidas específicas que no deben considerarse discriminación son medidas positivas o afirmativas que tienen como objetivo acelerar o lograr la igualdad de facto de las personas con discapacidad”. 508 El Comité de Derechos Humanos ha aclarado</w:t>
      </w:r>
      <w:r>
        <w:rPr>
          <w:spacing w:val="19"/>
        </w:rPr>
        <w:t xml:space="preserve"> </w:t>
      </w:r>
      <w:r>
        <w:t>que</w:t>
      </w:r>
      <w:r>
        <w:rPr>
          <w:spacing w:val="19"/>
        </w:rPr>
        <w:t xml:space="preserve"> </w:t>
      </w:r>
      <w:r>
        <w:t>las</w:t>
      </w:r>
      <w:r>
        <w:rPr>
          <w:spacing w:val="19"/>
        </w:rPr>
        <w:t xml:space="preserve"> </w:t>
      </w:r>
      <w:r>
        <w:t>medidas</w:t>
      </w:r>
      <w:r>
        <w:rPr>
          <w:spacing w:val="19"/>
        </w:rPr>
        <w:t xml:space="preserve"> </w:t>
      </w:r>
      <w:r>
        <w:t>preferenciales</w:t>
      </w:r>
      <w:r>
        <w:rPr>
          <w:spacing w:val="19"/>
        </w:rPr>
        <w:t xml:space="preserve"> </w:t>
      </w:r>
      <w:r>
        <w:t>serán</w:t>
      </w:r>
      <w:r>
        <w:rPr>
          <w:spacing w:val="19"/>
        </w:rPr>
        <w:t xml:space="preserve"> </w:t>
      </w:r>
      <w:r>
        <w:t>legítimas</w:t>
      </w:r>
      <w:r>
        <w:rPr>
          <w:spacing w:val="19"/>
        </w:rPr>
        <w:t xml:space="preserve"> </w:t>
      </w:r>
      <w:r>
        <w:t>“siempre</w:t>
      </w:r>
      <w:r>
        <w:rPr>
          <w:spacing w:val="21"/>
        </w:rPr>
        <w:t xml:space="preserve"> </w:t>
      </w:r>
      <w:r>
        <w:t>que</w:t>
      </w:r>
      <w:r>
        <w:rPr>
          <w:spacing w:val="19"/>
        </w:rPr>
        <w:t xml:space="preserve"> </w:t>
      </w:r>
      <w:r>
        <w:t>sean</w:t>
      </w:r>
      <w:r>
        <w:rPr>
          <w:spacing w:val="19"/>
        </w:rPr>
        <w:t xml:space="preserve"> </w:t>
      </w:r>
      <w:r>
        <w:t>necesarias</w:t>
      </w:r>
      <w:r>
        <w:rPr>
          <w:spacing w:val="19"/>
        </w:rPr>
        <w:t xml:space="preserve"> </w:t>
      </w:r>
      <w:r>
        <w:t>para</w:t>
      </w:r>
      <w:r>
        <w:rPr>
          <w:spacing w:val="19"/>
        </w:rPr>
        <w:t xml:space="preserve"> </w:t>
      </w:r>
      <w:r>
        <w:t>corregir</w:t>
      </w:r>
      <w:r>
        <w:rPr>
          <w:spacing w:val="19"/>
        </w:rPr>
        <w:t xml:space="preserve"> </w:t>
      </w:r>
      <w:r>
        <w:t>la</w:t>
      </w:r>
      <w:r>
        <w:rPr>
          <w:spacing w:val="19"/>
        </w:rPr>
        <w:t xml:space="preserve"> </w:t>
      </w:r>
      <w:r>
        <w:t>discriminación</w:t>
      </w:r>
      <w:r>
        <w:rPr>
          <w:spacing w:val="21"/>
        </w:rPr>
        <w:t xml:space="preserve"> </w:t>
      </w:r>
      <w:r>
        <w:t>de hecho”, 509 una posición de la que se hizo eco el Comité. de Derechos Económicos, Sociales y Culturales.510</w:t>
      </w:r>
    </w:p>
    <w:p w14:paraId="19D28065" w14:textId="77777777" w:rsidR="0014798C" w:rsidRDefault="0014798C">
      <w:pPr>
        <w:pStyle w:val="Textoindependiente"/>
      </w:pPr>
    </w:p>
    <w:p w14:paraId="3B9455CB" w14:textId="77777777" w:rsidR="0014798C" w:rsidRDefault="0014798C">
      <w:pPr>
        <w:pStyle w:val="Textoindependiente"/>
        <w:spacing w:before="49"/>
      </w:pPr>
    </w:p>
    <w:p w14:paraId="44AC21F1" w14:textId="77777777" w:rsidR="0014798C" w:rsidRDefault="004E1F0B">
      <w:pPr>
        <w:pStyle w:val="Textoindependiente"/>
        <w:spacing w:line="326" w:lineRule="auto"/>
        <w:ind w:left="1107" w:right="1272" w:firstLine="1"/>
      </w:pPr>
      <w:r>
        <w:t>Las medidas de acción positiva no deben servir para socavar la igualdad ni justificarse con referencia a criterios o estereotipos discriminatorios.</w:t>
      </w:r>
      <w:r>
        <w:rPr>
          <w:spacing w:val="22"/>
        </w:rPr>
        <w:t xml:space="preserve"> </w:t>
      </w:r>
      <w:r>
        <w:t>Medidas</w:t>
      </w:r>
      <w:r>
        <w:rPr>
          <w:spacing w:val="19"/>
        </w:rPr>
        <w:t xml:space="preserve"> </w:t>
      </w:r>
      <w:r>
        <w:t>tomadas</w:t>
      </w:r>
      <w:r>
        <w:rPr>
          <w:spacing w:val="19"/>
        </w:rPr>
        <w:t xml:space="preserve"> </w:t>
      </w:r>
      <w:r>
        <w:t>con</w:t>
      </w:r>
      <w:r>
        <w:rPr>
          <w:spacing w:val="19"/>
        </w:rPr>
        <w:t xml:space="preserve"> </w:t>
      </w:r>
      <w:r>
        <w:t>el</w:t>
      </w:r>
      <w:r>
        <w:rPr>
          <w:spacing w:val="19"/>
        </w:rPr>
        <w:t xml:space="preserve"> </w:t>
      </w:r>
      <w:r>
        <w:t>propósito</w:t>
      </w:r>
      <w:r>
        <w:rPr>
          <w:spacing w:val="19"/>
        </w:rPr>
        <w:t xml:space="preserve"> </w:t>
      </w:r>
      <w:r>
        <w:t>declarado</w:t>
      </w:r>
      <w:r>
        <w:rPr>
          <w:spacing w:val="19"/>
        </w:rPr>
        <w:t xml:space="preserve"> </w:t>
      </w:r>
      <w:r>
        <w:t>de</w:t>
      </w:r>
      <w:r>
        <w:rPr>
          <w:spacing w:val="19"/>
        </w:rPr>
        <w:t xml:space="preserve"> </w:t>
      </w:r>
      <w:r>
        <w:t>“proteger”</w:t>
      </w:r>
      <w:r>
        <w:rPr>
          <w:spacing w:val="19"/>
        </w:rPr>
        <w:t xml:space="preserve"> </w:t>
      </w:r>
      <w:r>
        <w:t>a</w:t>
      </w:r>
      <w:r>
        <w:rPr>
          <w:spacing w:val="19"/>
        </w:rPr>
        <w:t xml:space="preserve"> </w:t>
      </w:r>
      <w:r>
        <w:t>ciertos</w:t>
      </w:r>
      <w:r>
        <w:rPr>
          <w:spacing w:val="19"/>
        </w:rPr>
        <w:t xml:space="preserve"> </w:t>
      </w:r>
      <w:r>
        <w:t>grupos</w:t>
      </w:r>
      <w:r>
        <w:rPr>
          <w:spacing w:val="19"/>
        </w:rPr>
        <w:t xml:space="preserve"> </w:t>
      </w:r>
      <w:r>
        <w:t>basados</w:t>
      </w:r>
      <w:r>
        <w:rPr>
          <w:spacing w:val="19"/>
        </w:rPr>
        <w:t xml:space="preserve"> </w:t>
      </w:r>
      <w:r>
        <w:t>en</w:t>
      </w:r>
      <w:r>
        <w:rPr>
          <w:spacing w:val="19"/>
        </w:rPr>
        <w:t xml:space="preserve"> </w:t>
      </w:r>
      <w:r>
        <w:t>estereotipos,</w:t>
      </w:r>
      <w:r>
        <w:rPr>
          <w:spacing w:val="22"/>
        </w:rPr>
        <w:t xml:space="preserve"> </w:t>
      </w:r>
      <w:r>
        <w:t xml:space="preserve">como reglas que impiden a las mujeres realizar ciertos trabajos (sobre la base de que es necesario “proteger” a las mujeres para que realicen dichos trabajos), reglas que prohíben a las personas con discapacidad desempeñar trabajar (porque están descalificados para trabajar por disposiciones legales que les dan derecho a apoyo social), o reglas automáticas que excluyen a las personas mayores de la elegibilidad para seguros o licencias de conducir, no son medidas de acción positiva sino políticas directamente discriminatorias. Así, en </w:t>
      </w:r>
      <w:proofErr w:type="spellStart"/>
      <w:r>
        <w:t>Medvedeva</w:t>
      </w:r>
      <w:proofErr w:type="spellEnd"/>
      <w:r>
        <w:t xml:space="preserve"> c. Federación de Rusia, el Comité para la Eliminación de la Discriminación contra la Mujer rechazó</w:t>
      </w:r>
      <w:r>
        <w:rPr>
          <w:spacing w:val="21"/>
        </w:rPr>
        <w:t xml:space="preserve"> </w:t>
      </w:r>
      <w:r>
        <w:t>firmemente</w:t>
      </w:r>
      <w:r>
        <w:rPr>
          <w:spacing w:val="20"/>
        </w:rPr>
        <w:t xml:space="preserve"> </w:t>
      </w:r>
      <w:r>
        <w:t>los</w:t>
      </w:r>
      <w:r>
        <w:rPr>
          <w:spacing w:val="20"/>
        </w:rPr>
        <w:t xml:space="preserve"> </w:t>
      </w:r>
      <w:r>
        <w:t>argumentos</w:t>
      </w:r>
      <w:r>
        <w:rPr>
          <w:spacing w:val="20"/>
        </w:rPr>
        <w:t xml:space="preserve"> </w:t>
      </w:r>
      <w:r>
        <w:t>de</w:t>
      </w:r>
      <w:r>
        <w:rPr>
          <w:spacing w:val="20"/>
        </w:rPr>
        <w:t xml:space="preserve"> </w:t>
      </w:r>
      <w:r>
        <w:t>que</w:t>
      </w:r>
      <w:r>
        <w:rPr>
          <w:spacing w:val="20"/>
        </w:rPr>
        <w:t xml:space="preserve"> </w:t>
      </w:r>
      <w:r>
        <w:t>medidas</w:t>
      </w:r>
      <w:r>
        <w:rPr>
          <w:spacing w:val="20"/>
        </w:rPr>
        <w:t xml:space="preserve"> </w:t>
      </w:r>
      <w:r>
        <w:t>aparentemente</w:t>
      </w:r>
      <w:r>
        <w:rPr>
          <w:spacing w:val="20"/>
        </w:rPr>
        <w:t xml:space="preserve"> </w:t>
      </w:r>
      <w:r>
        <w:t>“protectoras”</w:t>
      </w:r>
      <w:r>
        <w:rPr>
          <w:spacing w:val="20"/>
        </w:rPr>
        <w:t xml:space="preserve"> </w:t>
      </w:r>
      <w:r>
        <w:t>basadas</w:t>
      </w:r>
      <w:r>
        <w:rPr>
          <w:spacing w:val="20"/>
        </w:rPr>
        <w:t xml:space="preserve"> </w:t>
      </w:r>
      <w:r>
        <w:t>en</w:t>
      </w:r>
      <w:r>
        <w:rPr>
          <w:spacing w:val="20"/>
        </w:rPr>
        <w:t xml:space="preserve"> </w:t>
      </w:r>
      <w:r>
        <w:t>estereotipos</w:t>
      </w:r>
      <w:r>
        <w:rPr>
          <w:spacing w:val="20"/>
        </w:rPr>
        <w:t xml:space="preserve"> </w:t>
      </w:r>
      <w:r>
        <w:t>de</w:t>
      </w:r>
      <w:r>
        <w:rPr>
          <w:spacing w:val="20"/>
        </w:rPr>
        <w:t xml:space="preserve"> </w:t>
      </w:r>
      <w:r>
        <w:t>género</w:t>
      </w:r>
      <w:r>
        <w:rPr>
          <w:spacing w:val="20"/>
        </w:rPr>
        <w:t xml:space="preserve"> </w:t>
      </w:r>
      <w:r>
        <w:t>(en</w:t>
      </w:r>
      <w:r>
        <w:rPr>
          <w:spacing w:val="20"/>
        </w:rPr>
        <w:t xml:space="preserve"> </w:t>
      </w:r>
      <w:r>
        <w:t>ese caso, regulaciones que impedían a las mujeres realizar ciertos trabajos considerados peligrosos o nocivos) – fueron medidas especiales, considerándolas en cambio directamente discriminatorias.511 El Comité sobre los Derechos de las Personas con Discapacidad ha señalado que las medidas de acción positiva “no deben tener como resultado la perpetuación del aislamiento,</w:t>
      </w:r>
    </w:p>
    <w:p w14:paraId="1A9EE22F" w14:textId="77777777" w:rsidR="0014798C" w:rsidRDefault="004E1F0B">
      <w:pPr>
        <w:pStyle w:val="Textoindependiente"/>
        <w:spacing w:line="179" w:lineRule="exact"/>
        <w:ind w:left="1109"/>
      </w:pPr>
      <w:r>
        <w:t>la</w:t>
      </w:r>
      <w:r>
        <w:rPr>
          <w:spacing w:val="4"/>
        </w:rPr>
        <w:t xml:space="preserve"> </w:t>
      </w:r>
      <w:r>
        <w:t>segregación,</w:t>
      </w:r>
      <w:r>
        <w:rPr>
          <w:spacing w:val="7"/>
        </w:rPr>
        <w:t xml:space="preserve"> </w:t>
      </w:r>
      <w:r>
        <w:t>los</w:t>
      </w:r>
      <w:r>
        <w:rPr>
          <w:spacing w:val="4"/>
        </w:rPr>
        <w:t xml:space="preserve"> </w:t>
      </w:r>
      <w:r>
        <w:t>estereotipos,</w:t>
      </w:r>
      <w:r>
        <w:rPr>
          <w:spacing w:val="7"/>
        </w:rPr>
        <w:t xml:space="preserve"> </w:t>
      </w:r>
      <w:r>
        <w:t>la</w:t>
      </w:r>
      <w:r>
        <w:rPr>
          <w:spacing w:val="5"/>
        </w:rPr>
        <w:t xml:space="preserve"> </w:t>
      </w:r>
      <w:r>
        <w:t>estigmatización</w:t>
      </w:r>
      <w:r>
        <w:rPr>
          <w:spacing w:val="4"/>
        </w:rPr>
        <w:t xml:space="preserve"> </w:t>
      </w:r>
      <w:r>
        <w:t>o</w:t>
      </w:r>
      <w:r>
        <w:rPr>
          <w:spacing w:val="5"/>
        </w:rPr>
        <w:t xml:space="preserve"> </w:t>
      </w:r>
      <w:r>
        <w:t>cualquier</w:t>
      </w:r>
      <w:r>
        <w:rPr>
          <w:spacing w:val="5"/>
        </w:rPr>
        <w:t xml:space="preserve"> </w:t>
      </w:r>
      <w:r>
        <w:t>otro</w:t>
      </w:r>
      <w:r>
        <w:rPr>
          <w:spacing w:val="4"/>
        </w:rPr>
        <w:t xml:space="preserve"> </w:t>
      </w:r>
      <w:r>
        <w:t>tipo</w:t>
      </w:r>
      <w:r>
        <w:rPr>
          <w:spacing w:val="5"/>
        </w:rPr>
        <w:t xml:space="preserve"> </w:t>
      </w:r>
      <w:r>
        <w:t>de</w:t>
      </w:r>
      <w:r>
        <w:rPr>
          <w:spacing w:val="4"/>
        </w:rPr>
        <w:t xml:space="preserve"> </w:t>
      </w:r>
      <w:r>
        <w:rPr>
          <w:spacing w:val="-2"/>
        </w:rPr>
        <w:t>discriminación”.512</w:t>
      </w:r>
    </w:p>
    <w:p w14:paraId="5C57F16D" w14:textId="77777777" w:rsidR="0014798C" w:rsidRDefault="0014798C">
      <w:pPr>
        <w:pStyle w:val="Textoindependiente"/>
        <w:spacing w:before="37"/>
        <w:rPr>
          <w:sz w:val="18"/>
        </w:rPr>
      </w:pPr>
    </w:p>
    <w:p w14:paraId="34D5BFF6" w14:textId="77777777" w:rsidR="0014798C" w:rsidRDefault="004E1F0B">
      <w:pPr>
        <w:ind w:left="1115"/>
        <w:rPr>
          <w:sz w:val="18"/>
        </w:rPr>
      </w:pPr>
      <w:r>
        <w:rPr>
          <w:sz w:val="18"/>
        </w:rPr>
        <w:t>(b)</w:t>
      </w:r>
      <w:r>
        <w:rPr>
          <w:spacing w:val="-3"/>
          <w:sz w:val="18"/>
        </w:rPr>
        <w:t xml:space="preserve"> </w:t>
      </w:r>
      <w:r>
        <w:rPr>
          <w:sz w:val="18"/>
        </w:rPr>
        <w:t>Limitado</w:t>
      </w:r>
      <w:r>
        <w:rPr>
          <w:spacing w:val="-2"/>
          <w:sz w:val="18"/>
        </w:rPr>
        <w:t xml:space="preserve"> </w:t>
      </w:r>
      <w:r>
        <w:rPr>
          <w:sz w:val="18"/>
        </w:rPr>
        <w:t>en</w:t>
      </w:r>
      <w:r>
        <w:rPr>
          <w:spacing w:val="-3"/>
          <w:sz w:val="18"/>
        </w:rPr>
        <w:t xml:space="preserve"> </w:t>
      </w:r>
      <w:r>
        <w:rPr>
          <w:sz w:val="18"/>
        </w:rPr>
        <w:t>el</w:t>
      </w:r>
      <w:r>
        <w:rPr>
          <w:spacing w:val="-2"/>
          <w:sz w:val="18"/>
        </w:rPr>
        <w:t xml:space="preserve"> </w:t>
      </w:r>
      <w:r>
        <w:rPr>
          <w:sz w:val="18"/>
        </w:rPr>
        <w:t>tiempo</w:t>
      </w:r>
      <w:r>
        <w:rPr>
          <w:spacing w:val="-2"/>
          <w:sz w:val="18"/>
        </w:rPr>
        <w:t xml:space="preserve"> </w:t>
      </w:r>
      <w:r>
        <w:rPr>
          <w:sz w:val="18"/>
        </w:rPr>
        <w:t>y</w:t>
      </w:r>
      <w:r>
        <w:rPr>
          <w:spacing w:val="-3"/>
          <w:sz w:val="18"/>
        </w:rPr>
        <w:t xml:space="preserve"> </w:t>
      </w:r>
      <w:r>
        <w:rPr>
          <w:sz w:val="18"/>
        </w:rPr>
        <w:t>sujeto</w:t>
      </w:r>
      <w:r>
        <w:rPr>
          <w:spacing w:val="-2"/>
          <w:sz w:val="18"/>
        </w:rPr>
        <w:t xml:space="preserve"> </w:t>
      </w:r>
      <w:r>
        <w:rPr>
          <w:sz w:val="18"/>
        </w:rPr>
        <w:t>a</w:t>
      </w:r>
      <w:r>
        <w:rPr>
          <w:spacing w:val="-2"/>
          <w:sz w:val="18"/>
        </w:rPr>
        <w:t xml:space="preserve"> revisión</w:t>
      </w:r>
    </w:p>
    <w:p w14:paraId="07320049" w14:textId="77777777" w:rsidR="0014798C" w:rsidRDefault="0014798C">
      <w:pPr>
        <w:pStyle w:val="Textoindependiente"/>
        <w:spacing w:before="14"/>
      </w:pPr>
    </w:p>
    <w:p w14:paraId="2441A1AD" w14:textId="77777777" w:rsidR="0014798C" w:rsidRDefault="004E1F0B">
      <w:pPr>
        <w:pStyle w:val="Textoindependiente"/>
        <w:spacing w:line="326" w:lineRule="auto"/>
        <w:ind w:left="1107" w:right="1463" w:hanging="1"/>
      </w:pPr>
      <w:r>
        <w:t>Como las medidas de acción positiva implican un trato diferenciado basado en un motivo de discriminación, es esencial que dichas medidas estén vigentes sólo durante el tiempo necesario para corregir una desigualdad existente; el mantenimiento de</w:t>
      </w:r>
    </w:p>
    <w:p w14:paraId="04E42352" w14:textId="77777777" w:rsidR="0014798C" w:rsidRDefault="004E1F0B">
      <w:pPr>
        <w:pStyle w:val="Textoindependiente"/>
        <w:spacing w:line="271" w:lineRule="auto"/>
        <w:ind w:left="1111" w:right="1463"/>
      </w:pPr>
      <w:proofErr w:type="gramStart"/>
      <w:r>
        <w:t>tales medidas más allá de este punto constituiría</w:t>
      </w:r>
      <w:proofErr w:type="gramEnd"/>
      <w:r>
        <w:t xml:space="preserve"> una discriminación directa. Tanto la Convención Internacional sobre la Eliminación de todas las Formas de Discriminación Racial como la Convención sobre la Eliminación de Todas las Formas de</w:t>
      </w:r>
    </w:p>
    <w:p w14:paraId="3F2BC07A" w14:textId="77777777" w:rsidR="0014798C" w:rsidRDefault="004E1F0B">
      <w:pPr>
        <w:pStyle w:val="Textoindependiente"/>
        <w:spacing w:before="82" w:line="326" w:lineRule="auto"/>
        <w:ind w:left="1107" w:right="1272" w:firstLine="4"/>
      </w:pPr>
      <w:r>
        <w:t>Discriminación contra la Mujer establecen que las medidas de acción positiva no deben conducir al mantenimiento de normas desiguales o separadas.513 Como señala el Comité para la Eliminación Como ha establecido el Ministerio de Discriminación Racial, esta limitación es “funcional” y significa que “las medidas deben dejar de aplicarse cuando se alcancen los objetivos”.</w:t>
      </w:r>
    </w:p>
    <w:p w14:paraId="0C83F14C" w14:textId="77777777" w:rsidR="0014798C" w:rsidRDefault="0014798C">
      <w:pPr>
        <w:pStyle w:val="Textoindependiente"/>
        <w:rPr>
          <w:sz w:val="12"/>
        </w:rPr>
      </w:pPr>
    </w:p>
    <w:p w14:paraId="3CCCB671" w14:textId="77777777" w:rsidR="0014798C" w:rsidRDefault="0014798C">
      <w:pPr>
        <w:pStyle w:val="Textoindependiente"/>
        <w:rPr>
          <w:sz w:val="12"/>
        </w:rPr>
      </w:pPr>
    </w:p>
    <w:p w14:paraId="147FF1FB" w14:textId="77777777" w:rsidR="0014798C" w:rsidRDefault="0014798C">
      <w:pPr>
        <w:pStyle w:val="Textoindependiente"/>
        <w:spacing w:before="77"/>
        <w:rPr>
          <w:sz w:val="12"/>
        </w:rPr>
      </w:pPr>
    </w:p>
    <w:p w14:paraId="0B72F75D" w14:textId="77777777" w:rsidR="0014798C" w:rsidRDefault="004E1F0B">
      <w:pPr>
        <w:spacing w:line="312" w:lineRule="auto"/>
        <w:ind w:left="1369" w:right="1840" w:hanging="263"/>
        <w:rPr>
          <w:sz w:val="12"/>
        </w:rPr>
      </w:pPr>
      <w:r>
        <w:rPr>
          <w:w w:val="105"/>
          <w:sz w:val="12"/>
          <w:vertAlign w:val="superscript"/>
        </w:rPr>
        <w:t>504</w:t>
      </w:r>
      <w:r>
        <w:rPr>
          <w:spacing w:val="70"/>
          <w:w w:val="105"/>
          <w:sz w:val="12"/>
        </w:rPr>
        <w:t xml:space="preserve"> </w:t>
      </w:r>
      <w:r>
        <w:rPr>
          <w:w w:val="105"/>
          <w:sz w:val="12"/>
        </w:rPr>
        <w:t>Véase,</w:t>
      </w:r>
      <w:r>
        <w:rPr>
          <w:spacing w:val="-6"/>
          <w:w w:val="105"/>
          <w:sz w:val="12"/>
        </w:rPr>
        <w:t xml:space="preserve"> </w:t>
      </w:r>
      <w:r>
        <w:rPr>
          <w:w w:val="105"/>
          <w:sz w:val="12"/>
        </w:rPr>
        <w:t>por</w:t>
      </w:r>
      <w:r>
        <w:rPr>
          <w:spacing w:val="-6"/>
          <w:w w:val="105"/>
          <w:sz w:val="12"/>
        </w:rPr>
        <w:t xml:space="preserve"> </w:t>
      </w:r>
      <w:r>
        <w:rPr>
          <w:w w:val="105"/>
          <w:sz w:val="12"/>
        </w:rPr>
        <w:t>ejemplo,</w:t>
      </w:r>
      <w:r>
        <w:rPr>
          <w:spacing w:val="-6"/>
          <w:w w:val="105"/>
          <w:sz w:val="12"/>
        </w:rPr>
        <w:t xml:space="preserve"> </w:t>
      </w:r>
      <w:r>
        <w:rPr>
          <w:w w:val="105"/>
          <w:sz w:val="12"/>
        </w:rPr>
        <w:t>Comité</w:t>
      </w:r>
      <w:r>
        <w:rPr>
          <w:spacing w:val="-6"/>
          <w:w w:val="105"/>
          <w:sz w:val="12"/>
        </w:rPr>
        <w:t xml:space="preserve"> </w:t>
      </w:r>
      <w:r>
        <w:rPr>
          <w:w w:val="105"/>
          <w:sz w:val="12"/>
        </w:rPr>
        <w:t>de</w:t>
      </w:r>
      <w:r>
        <w:rPr>
          <w:spacing w:val="-6"/>
          <w:w w:val="105"/>
          <w:sz w:val="12"/>
        </w:rPr>
        <w:t xml:space="preserve"> </w:t>
      </w:r>
      <w:r>
        <w:rPr>
          <w:w w:val="105"/>
          <w:sz w:val="12"/>
        </w:rPr>
        <w:t>Derechos</w:t>
      </w:r>
      <w:r>
        <w:rPr>
          <w:spacing w:val="-6"/>
          <w:w w:val="105"/>
          <w:sz w:val="12"/>
        </w:rPr>
        <w:t xml:space="preserve"> </w:t>
      </w:r>
      <w:r>
        <w:rPr>
          <w:w w:val="105"/>
          <w:sz w:val="12"/>
        </w:rPr>
        <w:t>Humanos,</w:t>
      </w:r>
      <w:r>
        <w:rPr>
          <w:spacing w:val="-6"/>
          <w:w w:val="105"/>
          <w:sz w:val="12"/>
        </w:rPr>
        <w:t xml:space="preserve"> </w:t>
      </w:r>
      <w:r>
        <w:rPr>
          <w:w w:val="105"/>
          <w:sz w:val="12"/>
        </w:rPr>
        <w:t>observación</w:t>
      </w:r>
      <w:r>
        <w:rPr>
          <w:spacing w:val="-6"/>
          <w:w w:val="105"/>
          <w:sz w:val="12"/>
        </w:rPr>
        <w:t xml:space="preserve"> </w:t>
      </w:r>
      <w:r>
        <w:rPr>
          <w:w w:val="105"/>
          <w:sz w:val="12"/>
        </w:rPr>
        <w:t>general</w:t>
      </w:r>
      <w:r>
        <w:rPr>
          <w:spacing w:val="-6"/>
          <w:w w:val="105"/>
          <w:sz w:val="12"/>
        </w:rPr>
        <w:t xml:space="preserve"> </w:t>
      </w:r>
      <w:r>
        <w:rPr>
          <w:w w:val="105"/>
          <w:sz w:val="12"/>
        </w:rPr>
        <w:t>núm.</w:t>
      </w:r>
      <w:r>
        <w:rPr>
          <w:spacing w:val="-6"/>
          <w:w w:val="105"/>
          <w:sz w:val="12"/>
        </w:rPr>
        <w:t xml:space="preserve"> </w:t>
      </w:r>
      <w:r>
        <w:rPr>
          <w:w w:val="105"/>
          <w:sz w:val="12"/>
        </w:rPr>
        <w:t>18</w:t>
      </w:r>
      <w:r>
        <w:rPr>
          <w:spacing w:val="-6"/>
          <w:w w:val="105"/>
          <w:sz w:val="12"/>
        </w:rPr>
        <w:t xml:space="preserve"> </w:t>
      </w:r>
      <w:r>
        <w:rPr>
          <w:w w:val="105"/>
          <w:sz w:val="12"/>
        </w:rPr>
        <w:t>(1989),</w:t>
      </w:r>
      <w:r>
        <w:rPr>
          <w:spacing w:val="-6"/>
          <w:w w:val="105"/>
          <w:sz w:val="12"/>
        </w:rPr>
        <w:t xml:space="preserve"> </w:t>
      </w:r>
      <w:r>
        <w:rPr>
          <w:w w:val="105"/>
          <w:sz w:val="12"/>
        </w:rPr>
        <w:t>párr.</w:t>
      </w:r>
      <w:r>
        <w:rPr>
          <w:spacing w:val="-6"/>
          <w:w w:val="105"/>
          <w:sz w:val="12"/>
        </w:rPr>
        <w:t xml:space="preserve"> </w:t>
      </w:r>
      <w:r>
        <w:rPr>
          <w:w w:val="105"/>
          <w:sz w:val="12"/>
        </w:rPr>
        <w:t>10:</w:t>
      </w:r>
      <w:r>
        <w:rPr>
          <w:spacing w:val="-6"/>
          <w:w w:val="105"/>
          <w:sz w:val="12"/>
        </w:rPr>
        <w:t xml:space="preserve"> </w:t>
      </w:r>
      <w:r>
        <w:rPr>
          <w:w w:val="105"/>
          <w:sz w:val="12"/>
        </w:rPr>
        <w:t>“siempre</w:t>
      </w:r>
      <w:r>
        <w:rPr>
          <w:spacing w:val="-6"/>
          <w:w w:val="105"/>
          <w:sz w:val="12"/>
        </w:rPr>
        <w:t xml:space="preserve"> </w:t>
      </w:r>
      <w:r>
        <w:rPr>
          <w:w w:val="105"/>
          <w:sz w:val="12"/>
        </w:rPr>
        <w:t>que</w:t>
      </w:r>
      <w:r>
        <w:rPr>
          <w:spacing w:val="-6"/>
          <w:w w:val="105"/>
          <w:sz w:val="12"/>
        </w:rPr>
        <w:t xml:space="preserve"> </w:t>
      </w:r>
      <w:r>
        <w:rPr>
          <w:w w:val="105"/>
          <w:sz w:val="12"/>
        </w:rPr>
        <w:t>dicha</w:t>
      </w:r>
      <w:r>
        <w:rPr>
          <w:spacing w:val="-6"/>
          <w:w w:val="105"/>
          <w:sz w:val="12"/>
        </w:rPr>
        <w:t xml:space="preserve"> </w:t>
      </w:r>
      <w:r>
        <w:rPr>
          <w:w w:val="105"/>
          <w:sz w:val="12"/>
        </w:rPr>
        <w:t>acción</w:t>
      </w:r>
      <w:r>
        <w:rPr>
          <w:spacing w:val="-6"/>
          <w:w w:val="105"/>
          <w:sz w:val="12"/>
        </w:rPr>
        <w:t xml:space="preserve"> </w:t>
      </w:r>
      <w:r>
        <w:rPr>
          <w:w w:val="105"/>
          <w:sz w:val="12"/>
        </w:rPr>
        <w:t>sea</w:t>
      </w:r>
      <w:r>
        <w:rPr>
          <w:spacing w:val="-6"/>
          <w:w w:val="105"/>
          <w:sz w:val="12"/>
        </w:rPr>
        <w:t xml:space="preserve"> </w:t>
      </w:r>
      <w:r>
        <w:rPr>
          <w:w w:val="105"/>
          <w:sz w:val="12"/>
        </w:rPr>
        <w:t>necesaria</w:t>
      </w:r>
      <w:r>
        <w:rPr>
          <w:spacing w:val="-6"/>
          <w:w w:val="105"/>
          <w:sz w:val="12"/>
        </w:rPr>
        <w:t xml:space="preserve"> </w:t>
      </w:r>
      <w:r>
        <w:rPr>
          <w:w w:val="105"/>
          <w:sz w:val="12"/>
        </w:rPr>
        <w:t>para</w:t>
      </w:r>
      <w:r>
        <w:rPr>
          <w:spacing w:val="-6"/>
          <w:w w:val="105"/>
          <w:sz w:val="12"/>
        </w:rPr>
        <w:t xml:space="preserve"> </w:t>
      </w:r>
      <w:r>
        <w:rPr>
          <w:w w:val="105"/>
          <w:sz w:val="12"/>
        </w:rPr>
        <w:t>corregir</w:t>
      </w:r>
      <w:r>
        <w:rPr>
          <w:spacing w:val="40"/>
          <w:w w:val="105"/>
          <w:sz w:val="12"/>
        </w:rPr>
        <w:t xml:space="preserve"> </w:t>
      </w:r>
      <w:r>
        <w:rPr>
          <w:w w:val="105"/>
          <w:sz w:val="12"/>
        </w:rPr>
        <w:t>De</w:t>
      </w:r>
      <w:r>
        <w:rPr>
          <w:spacing w:val="-1"/>
          <w:w w:val="105"/>
          <w:sz w:val="12"/>
        </w:rPr>
        <w:t xml:space="preserve"> </w:t>
      </w:r>
      <w:r>
        <w:rPr>
          <w:w w:val="105"/>
          <w:sz w:val="12"/>
        </w:rPr>
        <w:t>hecho,</w:t>
      </w:r>
      <w:r>
        <w:rPr>
          <w:spacing w:val="-1"/>
          <w:w w:val="105"/>
          <w:sz w:val="12"/>
        </w:rPr>
        <w:t xml:space="preserve"> </w:t>
      </w:r>
      <w:r>
        <w:rPr>
          <w:w w:val="105"/>
          <w:sz w:val="12"/>
        </w:rPr>
        <w:t>la</w:t>
      </w:r>
      <w:r>
        <w:rPr>
          <w:spacing w:val="-1"/>
          <w:w w:val="105"/>
          <w:sz w:val="12"/>
        </w:rPr>
        <w:t xml:space="preserve"> </w:t>
      </w:r>
      <w:r>
        <w:rPr>
          <w:w w:val="105"/>
          <w:sz w:val="12"/>
        </w:rPr>
        <w:t>discriminación</w:t>
      </w:r>
      <w:r>
        <w:rPr>
          <w:spacing w:val="-1"/>
          <w:w w:val="105"/>
          <w:sz w:val="12"/>
        </w:rPr>
        <w:t xml:space="preserve"> </w:t>
      </w:r>
      <w:r>
        <w:rPr>
          <w:w w:val="105"/>
          <w:sz w:val="12"/>
        </w:rPr>
        <w:t>es</w:t>
      </w:r>
      <w:r>
        <w:rPr>
          <w:spacing w:val="-1"/>
          <w:w w:val="105"/>
          <w:sz w:val="12"/>
        </w:rPr>
        <w:t xml:space="preserve"> </w:t>
      </w:r>
      <w:r>
        <w:rPr>
          <w:w w:val="105"/>
          <w:sz w:val="12"/>
        </w:rPr>
        <w:t>un</w:t>
      </w:r>
      <w:r>
        <w:rPr>
          <w:spacing w:val="-1"/>
          <w:w w:val="105"/>
          <w:sz w:val="12"/>
        </w:rPr>
        <w:t xml:space="preserve"> </w:t>
      </w:r>
      <w:r>
        <w:rPr>
          <w:w w:val="105"/>
          <w:sz w:val="12"/>
        </w:rPr>
        <w:t>caso</w:t>
      </w:r>
      <w:r>
        <w:rPr>
          <w:spacing w:val="-1"/>
          <w:w w:val="105"/>
          <w:sz w:val="12"/>
        </w:rPr>
        <w:t xml:space="preserve"> </w:t>
      </w:r>
      <w:r>
        <w:rPr>
          <w:w w:val="105"/>
          <w:sz w:val="12"/>
        </w:rPr>
        <w:t>de</w:t>
      </w:r>
      <w:r>
        <w:rPr>
          <w:spacing w:val="-1"/>
          <w:w w:val="105"/>
          <w:sz w:val="12"/>
        </w:rPr>
        <w:t xml:space="preserve"> </w:t>
      </w:r>
      <w:r>
        <w:rPr>
          <w:w w:val="105"/>
          <w:sz w:val="12"/>
        </w:rPr>
        <w:t>diferenciación</w:t>
      </w:r>
      <w:r>
        <w:rPr>
          <w:spacing w:val="-1"/>
          <w:w w:val="105"/>
          <w:sz w:val="12"/>
        </w:rPr>
        <w:t xml:space="preserve"> </w:t>
      </w:r>
      <w:r>
        <w:rPr>
          <w:w w:val="105"/>
          <w:sz w:val="12"/>
        </w:rPr>
        <w:t>legítima</w:t>
      </w:r>
      <w:r>
        <w:rPr>
          <w:spacing w:val="-1"/>
          <w:w w:val="105"/>
          <w:sz w:val="12"/>
        </w:rPr>
        <w:t xml:space="preserve"> </w:t>
      </w:r>
      <w:r>
        <w:rPr>
          <w:w w:val="105"/>
          <w:sz w:val="12"/>
        </w:rPr>
        <w:t>según</w:t>
      </w:r>
      <w:r>
        <w:rPr>
          <w:spacing w:val="-1"/>
          <w:w w:val="105"/>
          <w:sz w:val="12"/>
        </w:rPr>
        <w:t xml:space="preserve"> </w:t>
      </w:r>
      <w:r>
        <w:rPr>
          <w:w w:val="105"/>
          <w:sz w:val="12"/>
        </w:rPr>
        <w:t>el</w:t>
      </w:r>
      <w:r>
        <w:rPr>
          <w:spacing w:val="-1"/>
          <w:w w:val="105"/>
          <w:sz w:val="12"/>
        </w:rPr>
        <w:t xml:space="preserve"> </w:t>
      </w:r>
      <w:r>
        <w:rPr>
          <w:w w:val="105"/>
          <w:sz w:val="12"/>
        </w:rPr>
        <w:t>Pacto”.</w:t>
      </w:r>
    </w:p>
    <w:p w14:paraId="548861B5" w14:textId="77777777" w:rsidR="0014798C" w:rsidRDefault="004E1F0B">
      <w:pPr>
        <w:pStyle w:val="Prrafodelista"/>
        <w:numPr>
          <w:ilvl w:val="0"/>
          <w:numId w:val="56"/>
        </w:numPr>
        <w:tabs>
          <w:tab w:val="left" w:pos="1347"/>
        </w:tabs>
        <w:spacing w:before="58"/>
        <w:ind w:left="1347" w:hanging="240"/>
        <w:rPr>
          <w:sz w:val="12"/>
        </w:rPr>
      </w:pPr>
      <w:r>
        <w:rPr>
          <w:spacing w:val="-2"/>
          <w:w w:val="105"/>
          <w:sz w:val="12"/>
        </w:rPr>
        <w:t>Comité</w:t>
      </w:r>
      <w:r>
        <w:rPr>
          <w:spacing w:val="2"/>
          <w:w w:val="105"/>
          <w:sz w:val="12"/>
        </w:rPr>
        <w:t xml:space="preserve"> </w:t>
      </w:r>
      <w:r>
        <w:rPr>
          <w:spacing w:val="-2"/>
          <w:w w:val="105"/>
          <w:sz w:val="12"/>
        </w:rPr>
        <w:t>para</w:t>
      </w:r>
      <w:r>
        <w:rPr>
          <w:spacing w:val="3"/>
          <w:w w:val="105"/>
          <w:sz w:val="12"/>
        </w:rPr>
        <w:t xml:space="preserve"> </w:t>
      </w:r>
      <w:r>
        <w:rPr>
          <w:spacing w:val="-2"/>
          <w:w w:val="105"/>
          <w:sz w:val="12"/>
        </w:rPr>
        <w:t>la</w:t>
      </w:r>
      <w:r>
        <w:rPr>
          <w:spacing w:val="3"/>
          <w:w w:val="105"/>
          <w:sz w:val="12"/>
        </w:rPr>
        <w:t xml:space="preserve"> </w:t>
      </w:r>
      <w:r>
        <w:rPr>
          <w:spacing w:val="-2"/>
          <w:w w:val="105"/>
          <w:sz w:val="12"/>
        </w:rPr>
        <w:t>Eliminación</w:t>
      </w:r>
      <w:r>
        <w:rPr>
          <w:spacing w:val="3"/>
          <w:w w:val="105"/>
          <w:sz w:val="12"/>
        </w:rPr>
        <w:t xml:space="preserve"> </w:t>
      </w:r>
      <w:r>
        <w:rPr>
          <w:spacing w:val="-2"/>
          <w:w w:val="105"/>
          <w:sz w:val="12"/>
        </w:rPr>
        <w:t>de</w:t>
      </w:r>
      <w:r>
        <w:rPr>
          <w:spacing w:val="3"/>
          <w:w w:val="105"/>
          <w:sz w:val="12"/>
        </w:rPr>
        <w:t xml:space="preserve"> </w:t>
      </w:r>
      <w:r>
        <w:rPr>
          <w:spacing w:val="-2"/>
          <w:w w:val="105"/>
          <w:sz w:val="12"/>
        </w:rPr>
        <w:t>la</w:t>
      </w:r>
      <w:r>
        <w:rPr>
          <w:spacing w:val="3"/>
          <w:w w:val="105"/>
          <w:sz w:val="12"/>
        </w:rPr>
        <w:t xml:space="preserve"> </w:t>
      </w:r>
      <w:r>
        <w:rPr>
          <w:spacing w:val="-2"/>
          <w:w w:val="105"/>
          <w:sz w:val="12"/>
        </w:rPr>
        <w:t>Discriminación</w:t>
      </w:r>
      <w:r>
        <w:rPr>
          <w:spacing w:val="3"/>
          <w:w w:val="105"/>
          <w:sz w:val="12"/>
        </w:rPr>
        <w:t xml:space="preserve"> </w:t>
      </w:r>
      <w:r>
        <w:rPr>
          <w:spacing w:val="-2"/>
          <w:w w:val="105"/>
          <w:sz w:val="12"/>
        </w:rPr>
        <w:t>Racial,</w:t>
      </w:r>
      <w:r>
        <w:rPr>
          <w:spacing w:val="3"/>
          <w:w w:val="105"/>
          <w:sz w:val="12"/>
        </w:rPr>
        <w:t xml:space="preserve"> </w:t>
      </w:r>
      <w:r>
        <w:rPr>
          <w:spacing w:val="-2"/>
          <w:w w:val="105"/>
          <w:sz w:val="12"/>
        </w:rPr>
        <w:t>recomendación</w:t>
      </w:r>
      <w:r>
        <w:rPr>
          <w:spacing w:val="3"/>
          <w:w w:val="105"/>
          <w:sz w:val="12"/>
        </w:rPr>
        <w:t xml:space="preserve"> </w:t>
      </w:r>
      <w:r>
        <w:rPr>
          <w:spacing w:val="-2"/>
          <w:w w:val="105"/>
          <w:sz w:val="12"/>
        </w:rPr>
        <w:t>general</w:t>
      </w:r>
      <w:r>
        <w:rPr>
          <w:spacing w:val="3"/>
          <w:w w:val="105"/>
          <w:sz w:val="12"/>
        </w:rPr>
        <w:t xml:space="preserve"> </w:t>
      </w:r>
      <w:r>
        <w:rPr>
          <w:spacing w:val="-2"/>
          <w:w w:val="105"/>
          <w:sz w:val="12"/>
        </w:rPr>
        <w:t>núm.</w:t>
      </w:r>
      <w:r>
        <w:rPr>
          <w:spacing w:val="3"/>
          <w:w w:val="105"/>
          <w:sz w:val="12"/>
        </w:rPr>
        <w:t xml:space="preserve"> </w:t>
      </w:r>
      <w:r>
        <w:rPr>
          <w:spacing w:val="-2"/>
          <w:w w:val="105"/>
          <w:sz w:val="12"/>
        </w:rPr>
        <w:t>32</w:t>
      </w:r>
      <w:r>
        <w:rPr>
          <w:spacing w:val="3"/>
          <w:w w:val="105"/>
          <w:sz w:val="12"/>
        </w:rPr>
        <w:t xml:space="preserve"> </w:t>
      </w:r>
      <w:r>
        <w:rPr>
          <w:spacing w:val="-2"/>
          <w:w w:val="105"/>
          <w:sz w:val="12"/>
        </w:rPr>
        <w:t>(2009),</w:t>
      </w:r>
      <w:r>
        <w:rPr>
          <w:spacing w:val="3"/>
          <w:w w:val="105"/>
          <w:sz w:val="12"/>
        </w:rPr>
        <w:t xml:space="preserve"> </w:t>
      </w:r>
      <w:r>
        <w:rPr>
          <w:spacing w:val="-2"/>
          <w:w w:val="105"/>
          <w:sz w:val="12"/>
        </w:rPr>
        <w:t>párr.</w:t>
      </w:r>
      <w:r>
        <w:rPr>
          <w:spacing w:val="3"/>
          <w:w w:val="105"/>
          <w:sz w:val="12"/>
        </w:rPr>
        <w:t xml:space="preserve"> </w:t>
      </w:r>
      <w:r>
        <w:rPr>
          <w:spacing w:val="-5"/>
          <w:w w:val="105"/>
          <w:sz w:val="12"/>
        </w:rPr>
        <w:t>21.</w:t>
      </w:r>
    </w:p>
    <w:p w14:paraId="0F193C11" w14:textId="77777777" w:rsidR="0014798C" w:rsidRDefault="004E1F0B">
      <w:pPr>
        <w:pStyle w:val="Prrafodelista"/>
        <w:numPr>
          <w:ilvl w:val="0"/>
          <w:numId w:val="56"/>
        </w:numPr>
        <w:tabs>
          <w:tab w:val="left" w:pos="1347"/>
        </w:tabs>
        <w:spacing w:before="66"/>
        <w:ind w:left="1347" w:hanging="240"/>
        <w:rPr>
          <w:sz w:val="12"/>
        </w:rPr>
      </w:pPr>
      <w:proofErr w:type="spellStart"/>
      <w:r>
        <w:rPr>
          <w:spacing w:val="-2"/>
          <w:w w:val="105"/>
          <w:sz w:val="12"/>
        </w:rPr>
        <w:t>Ibíd</w:t>
      </w:r>
      <w:proofErr w:type="spellEnd"/>
      <w:r>
        <w:rPr>
          <w:spacing w:val="-2"/>
          <w:w w:val="105"/>
          <w:sz w:val="12"/>
        </w:rPr>
        <w:t>.</w:t>
      </w:r>
    </w:p>
    <w:p w14:paraId="56220D73" w14:textId="77777777" w:rsidR="0014798C" w:rsidRDefault="004E1F0B">
      <w:pPr>
        <w:pStyle w:val="Prrafodelista"/>
        <w:numPr>
          <w:ilvl w:val="0"/>
          <w:numId w:val="56"/>
        </w:numPr>
        <w:tabs>
          <w:tab w:val="left" w:pos="1347"/>
        </w:tabs>
        <w:spacing w:before="131"/>
        <w:ind w:left="1347" w:hanging="240"/>
        <w:rPr>
          <w:sz w:val="12"/>
        </w:rPr>
      </w:pPr>
      <w:r>
        <w:rPr>
          <w:spacing w:val="-2"/>
          <w:w w:val="105"/>
          <w:sz w:val="12"/>
        </w:rPr>
        <w:t>Comité</w:t>
      </w:r>
      <w:r>
        <w:rPr>
          <w:spacing w:val="2"/>
          <w:w w:val="105"/>
          <w:sz w:val="12"/>
        </w:rPr>
        <w:t xml:space="preserve"> </w:t>
      </w:r>
      <w:r>
        <w:rPr>
          <w:spacing w:val="-2"/>
          <w:w w:val="105"/>
          <w:sz w:val="12"/>
        </w:rPr>
        <w:t>para</w:t>
      </w:r>
      <w:r>
        <w:rPr>
          <w:spacing w:val="3"/>
          <w:w w:val="105"/>
          <w:sz w:val="12"/>
        </w:rPr>
        <w:t xml:space="preserve"> </w:t>
      </w:r>
      <w:r>
        <w:rPr>
          <w:spacing w:val="-2"/>
          <w:w w:val="105"/>
          <w:sz w:val="12"/>
        </w:rPr>
        <w:t>la</w:t>
      </w:r>
      <w:r>
        <w:rPr>
          <w:spacing w:val="3"/>
          <w:w w:val="105"/>
          <w:sz w:val="12"/>
        </w:rPr>
        <w:t xml:space="preserve"> </w:t>
      </w:r>
      <w:r>
        <w:rPr>
          <w:spacing w:val="-2"/>
          <w:w w:val="105"/>
          <w:sz w:val="12"/>
        </w:rPr>
        <w:t>Eliminación</w:t>
      </w:r>
      <w:r>
        <w:rPr>
          <w:spacing w:val="3"/>
          <w:w w:val="105"/>
          <w:sz w:val="12"/>
        </w:rPr>
        <w:t xml:space="preserve"> </w:t>
      </w:r>
      <w:r>
        <w:rPr>
          <w:spacing w:val="-2"/>
          <w:w w:val="105"/>
          <w:sz w:val="12"/>
        </w:rPr>
        <w:t>de</w:t>
      </w:r>
      <w:r>
        <w:rPr>
          <w:spacing w:val="3"/>
          <w:w w:val="105"/>
          <w:sz w:val="12"/>
        </w:rPr>
        <w:t xml:space="preserve"> </w:t>
      </w:r>
      <w:r>
        <w:rPr>
          <w:spacing w:val="-2"/>
          <w:w w:val="105"/>
          <w:sz w:val="12"/>
        </w:rPr>
        <w:t>la</w:t>
      </w:r>
      <w:r>
        <w:rPr>
          <w:spacing w:val="2"/>
          <w:w w:val="105"/>
          <w:sz w:val="12"/>
        </w:rPr>
        <w:t xml:space="preserve"> </w:t>
      </w:r>
      <w:r>
        <w:rPr>
          <w:spacing w:val="-2"/>
          <w:w w:val="105"/>
          <w:sz w:val="12"/>
        </w:rPr>
        <w:t>Discriminación</w:t>
      </w:r>
      <w:r>
        <w:rPr>
          <w:spacing w:val="3"/>
          <w:w w:val="105"/>
          <w:sz w:val="12"/>
        </w:rPr>
        <w:t xml:space="preserve"> </w:t>
      </w:r>
      <w:r>
        <w:rPr>
          <w:spacing w:val="-2"/>
          <w:w w:val="105"/>
          <w:sz w:val="12"/>
        </w:rPr>
        <w:t>contra</w:t>
      </w:r>
      <w:r>
        <w:rPr>
          <w:spacing w:val="3"/>
          <w:w w:val="105"/>
          <w:sz w:val="12"/>
        </w:rPr>
        <w:t xml:space="preserve"> </w:t>
      </w:r>
      <w:r>
        <w:rPr>
          <w:spacing w:val="-2"/>
          <w:w w:val="105"/>
          <w:sz w:val="12"/>
        </w:rPr>
        <w:t>la</w:t>
      </w:r>
      <w:r>
        <w:rPr>
          <w:spacing w:val="3"/>
          <w:w w:val="105"/>
          <w:sz w:val="12"/>
        </w:rPr>
        <w:t xml:space="preserve"> </w:t>
      </w:r>
      <w:r>
        <w:rPr>
          <w:spacing w:val="-2"/>
          <w:w w:val="105"/>
          <w:sz w:val="12"/>
        </w:rPr>
        <w:t>Mujer,</w:t>
      </w:r>
      <w:r>
        <w:rPr>
          <w:spacing w:val="3"/>
          <w:w w:val="105"/>
          <w:sz w:val="12"/>
        </w:rPr>
        <w:t xml:space="preserve"> </w:t>
      </w:r>
      <w:r>
        <w:rPr>
          <w:spacing w:val="-2"/>
          <w:w w:val="105"/>
          <w:sz w:val="12"/>
        </w:rPr>
        <w:t>recomendación</w:t>
      </w:r>
      <w:r>
        <w:rPr>
          <w:spacing w:val="2"/>
          <w:w w:val="105"/>
          <w:sz w:val="12"/>
        </w:rPr>
        <w:t xml:space="preserve"> </w:t>
      </w:r>
      <w:r>
        <w:rPr>
          <w:spacing w:val="-2"/>
          <w:w w:val="105"/>
          <w:sz w:val="12"/>
        </w:rPr>
        <w:t>general</w:t>
      </w:r>
      <w:r>
        <w:rPr>
          <w:spacing w:val="3"/>
          <w:w w:val="105"/>
          <w:sz w:val="12"/>
        </w:rPr>
        <w:t xml:space="preserve"> </w:t>
      </w:r>
      <w:r>
        <w:rPr>
          <w:spacing w:val="-2"/>
          <w:w w:val="105"/>
          <w:sz w:val="12"/>
        </w:rPr>
        <w:t>núm.</w:t>
      </w:r>
      <w:r>
        <w:rPr>
          <w:spacing w:val="3"/>
          <w:w w:val="105"/>
          <w:sz w:val="12"/>
        </w:rPr>
        <w:t xml:space="preserve"> </w:t>
      </w:r>
      <w:r>
        <w:rPr>
          <w:spacing w:val="-2"/>
          <w:w w:val="105"/>
          <w:sz w:val="12"/>
        </w:rPr>
        <w:t>25</w:t>
      </w:r>
      <w:r>
        <w:rPr>
          <w:spacing w:val="3"/>
          <w:w w:val="105"/>
          <w:sz w:val="12"/>
        </w:rPr>
        <w:t xml:space="preserve"> </w:t>
      </w:r>
      <w:r>
        <w:rPr>
          <w:spacing w:val="-2"/>
          <w:w w:val="105"/>
          <w:sz w:val="12"/>
        </w:rPr>
        <w:t>(2004),</w:t>
      </w:r>
      <w:r>
        <w:rPr>
          <w:spacing w:val="3"/>
          <w:w w:val="105"/>
          <w:sz w:val="12"/>
        </w:rPr>
        <w:t xml:space="preserve"> </w:t>
      </w:r>
      <w:r>
        <w:rPr>
          <w:spacing w:val="-2"/>
          <w:w w:val="105"/>
          <w:sz w:val="12"/>
        </w:rPr>
        <w:t>párr.</w:t>
      </w:r>
      <w:r>
        <w:rPr>
          <w:spacing w:val="2"/>
          <w:w w:val="105"/>
          <w:sz w:val="12"/>
        </w:rPr>
        <w:t xml:space="preserve"> </w:t>
      </w:r>
      <w:r>
        <w:rPr>
          <w:spacing w:val="-5"/>
          <w:w w:val="105"/>
          <w:sz w:val="12"/>
        </w:rPr>
        <w:t>18.</w:t>
      </w:r>
    </w:p>
    <w:p w14:paraId="736AD43C" w14:textId="77777777" w:rsidR="0014798C" w:rsidRDefault="004E1F0B">
      <w:pPr>
        <w:pStyle w:val="Prrafodelista"/>
        <w:numPr>
          <w:ilvl w:val="0"/>
          <w:numId w:val="56"/>
        </w:numPr>
        <w:tabs>
          <w:tab w:val="left" w:pos="1347"/>
        </w:tabs>
        <w:spacing w:before="98"/>
        <w:ind w:left="1347" w:hanging="240"/>
        <w:rPr>
          <w:sz w:val="12"/>
        </w:rPr>
      </w:pPr>
      <w:r>
        <w:rPr>
          <w:w w:val="105"/>
          <w:sz w:val="12"/>
        </w:rPr>
        <w:t>Comité</w:t>
      </w:r>
      <w:r>
        <w:rPr>
          <w:spacing w:val="-8"/>
          <w:w w:val="105"/>
          <w:sz w:val="12"/>
        </w:rPr>
        <w:t xml:space="preserve"> </w:t>
      </w:r>
      <w:r>
        <w:rPr>
          <w:w w:val="105"/>
          <w:sz w:val="12"/>
        </w:rPr>
        <w:t>sobre</w:t>
      </w:r>
      <w:r>
        <w:rPr>
          <w:spacing w:val="-8"/>
          <w:w w:val="105"/>
          <w:sz w:val="12"/>
        </w:rPr>
        <w:t xml:space="preserve"> </w:t>
      </w:r>
      <w:r>
        <w:rPr>
          <w:w w:val="105"/>
          <w:sz w:val="12"/>
        </w:rPr>
        <w:t>los</w:t>
      </w:r>
      <w:r>
        <w:rPr>
          <w:spacing w:val="-7"/>
          <w:w w:val="105"/>
          <w:sz w:val="12"/>
        </w:rPr>
        <w:t xml:space="preserve"> </w:t>
      </w:r>
      <w:r>
        <w:rPr>
          <w:w w:val="105"/>
          <w:sz w:val="12"/>
        </w:rPr>
        <w:t>Derechos</w:t>
      </w:r>
      <w:r>
        <w:rPr>
          <w:spacing w:val="-8"/>
          <w:w w:val="105"/>
          <w:sz w:val="12"/>
        </w:rPr>
        <w:t xml:space="preserve"> </w:t>
      </w:r>
      <w:r>
        <w:rPr>
          <w:w w:val="105"/>
          <w:sz w:val="12"/>
        </w:rPr>
        <w:t>de</w:t>
      </w:r>
      <w:r>
        <w:rPr>
          <w:spacing w:val="-7"/>
          <w:w w:val="105"/>
          <w:sz w:val="12"/>
        </w:rPr>
        <w:t xml:space="preserve"> </w:t>
      </w:r>
      <w:r>
        <w:rPr>
          <w:w w:val="105"/>
          <w:sz w:val="12"/>
        </w:rPr>
        <w:t>las</w:t>
      </w:r>
      <w:r>
        <w:rPr>
          <w:spacing w:val="-8"/>
          <w:w w:val="105"/>
          <w:sz w:val="12"/>
        </w:rPr>
        <w:t xml:space="preserve"> </w:t>
      </w:r>
      <w:r>
        <w:rPr>
          <w:w w:val="105"/>
          <w:sz w:val="12"/>
        </w:rPr>
        <w:t>Personas</w:t>
      </w:r>
      <w:r>
        <w:rPr>
          <w:spacing w:val="-8"/>
          <w:w w:val="105"/>
          <w:sz w:val="12"/>
        </w:rPr>
        <w:t xml:space="preserve"> </w:t>
      </w:r>
      <w:r>
        <w:rPr>
          <w:w w:val="105"/>
          <w:sz w:val="12"/>
        </w:rPr>
        <w:t>con</w:t>
      </w:r>
      <w:r>
        <w:rPr>
          <w:spacing w:val="-7"/>
          <w:w w:val="105"/>
          <w:sz w:val="12"/>
        </w:rPr>
        <w:t xml:space="preserve"> </w:t>
      </w:r>
      <w:r>
        <w:rPr>
          <w:w w:val="105"/>
          <w:sz w:val="12"/>
        </w:rPr>
        <w:t>Discapacidad,</w:t>
      </w:r>
      <w:r>
        <w:rPr>
          <w:spacing w:val="-7"/>
          <w:w w:val="105"/>
          <w:sz w:val="12"/>
        </w:rPr>
        <w:t xml:space="preserve"> </w:t>
      </w:r>
      <w:r>
        <w:rPr>
          <w:w w:val="105"/>
          <w:sz w:val="12"/>
        </w:rPr>
        <w:t>observación</w:t>
      </w:r>
      <w:r>
        <w:rPr>
          <w:spacing w:val="-8"/>
          <w:w w:val="105"/>
          <w:sz w:val="12"/>
        </w:rPr>
        <w:t xml:space="preserve"> </w:t>
      </w:r>
      <w:r>
        <w:rPr>
          <w:w w:val="105"/>
          <w:sz w:val="12"/>
        </w:rPr>
        <w:t>general</w:t>
      </w:r>
      <w:r>
        <w:rPr>
          <w:spacing w:val="-7"/>
          <w:w w:val="105"/>
          <w:sz w:val="12"/>
        </w:rPr>
        <w:t xml:space="preserve"> </w:t>
      </w:r>
      <w:r>
        <w:rPr>
          <w:w w:val="105"/>
          <w:sz w:val="12"/>
        </w:rPr>
        <w:t>núm.</w:t>
      </w:r>
      <w:r>
        <w:rPr>
          <w:spacing w:val="-8"/>
          <w:w w:val="105"/>
          <w:sz w:val="12"/>
        </w:rPr>
        <w:t xml:space="preserve"> </w:t>
      </w:r>
      <w:r>
        <w:rPr>
          <w:w w:val="105"/>
          <w:sz w:val="12"/>
        </w:rPr>
        <w:t>6</w:t>
      </w:r>
      <w:r>
        <w:rPr>
          <w:spacing w:val="-7"/>
          <w:w w:val="105"/>
          <w:sz w:val="12"/>
        </w:rPr>
        <w:t xml:space="preserve"> </w:t>
      </w:r>
      <w:r>
        <w:rPr>
          <w:w w:val="105"/>
          <w:sz w:val="12"/>
        </w:rPr>
        <w:t>(2018),</w:t>
      </w:r>
      <w:r>
        <w:rPr>
          <w:spacing w:val="-8"/>
          <w:w w:val="105"/>
          <w:sz w:val="12"/>
        </w:rPr>
        <w:t xml:space="preserve"> </w:t>
      </w:r>
      <w:r>
        <w:rPr>
          <w:w w:val="105"/>
          <w:sz w:val="12"/>
        </w:rPr>
        <w:t>párr.</w:t>
      </w:r>
      <w:r>
        <w:rPr>
          <w:spacing w:val="-7"/>
          <w:w w:val="105"/>
          <w:sz w:val="12"/>
        </w:rPr>
        <w:t xml:space="preserve"> </w:t>
      </w:r>
      <w:r>
        <w:rPr>
          <w:spacing w:val="-5"/>
          <w:w w:val="105"/>
          <w:sz w:val="12"/>
        </w:rPr>
        <w:t>28.</w:t>
      </w:r>
    </w:p>
    <w:p w14:paraId="645CEB5E" w14:textId="77777777" w:rsidR="0014798C" w:rsidRDefault="004E1F0B">
      <w:pPr>
        <w:pStyle w:val="Prrafodelista"/>
        <w:numPr>
          <w:ilvl w:val="0"/>
          <w:numId w:val="56"/>
        </w:numPr>
        <w:tabs>
          <w:tab w:val="left" w:pos="1347"/>
        </w:tabs>
        <w:spacing w:before="99"/>
        <w:ind w:left="1347" w:hanging="240"/>
        <w:rPr>
          <w:sz w:val="12"/>
        </w:rPr>
      </w:pPr>
      <w:r>
        <w:rPr>
          <w:w w:val="105"/>
          <w:sz w:val="12"/>
        </w:rPr>
        <w:t>Comité</w:t>
      </w:r>
      <w:r>
        <w:rPr>
          <w:spacing w:val="-9"/>
          <w:w w:val="105"/>
          <w:sz w:val="12"/>
        </w:rPr>
        <w:t xml:space="preserve"> </w:t>
      </w:r>
      <w:r>
        <w:rPr>
          <w:w w:val="105"/>
          <w:sz w:val="12"/>
        </w:rPr>
        <w:t>de</w:t>
      </w:r>
      <w:r>
        <w:rPr>
          <w:spacing w:val="-9"/>
          <w:w w:val="105"/>
          <w:sz w:val="12"/>
        </w:rPr>
        <w:t xml:space="preserve"> </w:t>
      </w:r>
      <w:r>
        <w:rPr>
          <w:w w:val="105"/>
          <w:sz w:val="12"/>
        </w:rPr>
        <w:t>Derechos</w:t>
      </w:r>
      <w:r>
        <w:rPr>
          <w:spacing w:val="-8"/>
          <w:w w:val="105"/>
          <w:sz w:val="12"/>
        </w:rPr>
        <w:t xml:space="preserve"> </w:t>
      </w:r>
      <w:r>
        <w:rPr>
          <w:w w:val="105"/>
          <w:sz w:val="12"/>
        </w:rPr>
        <w:t>Humanos,</w:t>
      </w:r>
      <w:r>
        <w:rPr>
          <w:spacing w:val="-9"/>
          <w:w w:val="105"/>
          <w:sz w:val="12"/>
        </w:rPr>
        <w:t xml:space="preserve"> </w:t>
      </w:r>
      <w:r>
        <w:rPr>
          <w:w w:val="105"/>
          <w:sz w:val="12"/>
        </w:rPr>
        <w:t>observación</w:t>
      </w:r>
      <w:r>
        <w:rPr>
          <w:spacing w:val="-9"/>
          <w:w w:val="105"/>
          <w:sz w:val="12"/>
        </w:rPr>
        <w:t xml:space="preserve"> </w:t>
      </w:r>
      <w:r>
        <w:rPr>
          <w:w w:val="105"/>
          <w:sz w:val="12"/>
        </w:rPr>
        <w:t>general</w:t>
      </w:r>
      <w:r>
        <w:rPr>
          <w:spacing w:val="-8"/>
          <w:w w:val="105"/>
          <w:sz w:val="12"/>
        </w:rPr>
        <w:t xml:space="preserve"> </w:t>
      </w:r>
      <w:r>
        <w:rPr>
          <w:w w:val="105"/>
          <w:sz w:val="12"/>
        </w:rPr>
        <w:t>núm.</w:t>
      </w:r>
      <w:r>
        <w:rPr>
          <w:spacing w:val="-9"/>
          <w:w w:val="105"/>
          <w:sz w:val="12"/>
        </w:rPr>
        <w:t xml:space="preserve"> </w:t>
      </w:r>
      <w:r>
        <w:rPr>
          <w:w w:val="105"/>
          <w:sz w:val="12"/>
        </w:rPr>
        <w:t>18</w:t>
      </w:r>
      <w:r>
        <w:rPr>
          <w:spacing w:val="-8"/>
          <w:w w:val="105"/>
          <w:sz w:val="12"/>
        </w:rPr>
        <w:t xml:space="preserve"> </w:t>
      </w:r>
      <w:r>
        <w:rPr>
          <w:w w:val="105"/>
          <w:sz w:val="12"/>
        </w:rPr>
        <w:t>(1989),</w:t>
      </w:r>
      <w:r>
        <w:rPr>
          <w:spacing w:val="-9"/>
          <w:w w:val="105"/>
          <w:sz w:val="12"/>
        </w:rPr>
        <w:t xml:space="preserve"> </w:t>
      </w:r>
      <w:r>
        <w:rPr>
          <w:w w:val="105"/>
          <w:sz w:val="12"/>
        </w:rPr>
        <w:t>párr.</w:t>
      </w:r>
      <w:r>
        <w:rPr>
          <w:spacing w:val="-9"/>
          <w:w w:val="105"/>
          <w:sz w:val="12"/>
        </w:rPr>
        <w:t xml:space="preserve"> </w:t>
      </w:r>
      <w:r>
        <w:rPr>
          <w:spacing w:val="-5"/>
          <w:w w:val="105"/>
          <w:sz w:val="12"/>
        </w:rPr>
        <w:t>10.</w:t>
      </w:r>
    </w:p>
    <w:p w14:paraId="5BBE72CD" w14:textId="77777777" w:rsidR="0014798C" w:rsidRDefault="004E1F0B">
      <w:pPr>
        <w:pStyle w:val="Prrafodelista"/>
        <w:numPr>
          <w:ilvl w:val="0"/>
          <w:numId w:val="56"/>
        </w:numPr>
        <w:tabs>
          <w:tab w:val="left" w:pos="1347"/>
          <w:tab w:val="left" w:pos="1366"/>
        </w:tabs>
        <w:spacing w:before="98" w:line="312" w:lineRule="auto"/>
        <w:ind w:left="1366" w:right="1415" w:hanging="259"/>
        <w:rPr>
          <w:sz w:val="12"/>
        </w:rPr>
      </w:pPr>
      <w:r>
        <w:rPr>
          <w:w w:val="105"/>
          <w:sz w:val="12"/>
        </w:rPr>
        <w:t>Comité</w:t>
      </w:r>
      <w:r>
        <w:rPr>
          <w:spacing w:val="-3"/>
          <w:w w:val="105"/>
          <w:sz w:val="12"/>
        </w:rPr>
        <w:t xml:space="preserve"> </w:t>
      </w:r>
      <w:r>
        <w:rPr>
          <w:w w:val="105"/>
          <w:sz w:val="12"/>
        </w:rPr>
        <w:t>de</w:t>
      </w:r>
      <w:r>
        <w:rPr>
          <w:spacing w:val="-3"/>
          <w:w w:val="105"/>
          <w:sz w:val="12"/>
        </w:rPr>
        <w:t xml:space="preserve"> </w:t>
      </w:r>
      <w:r>
        <w:rPr>
          <w:w w:val="105"/>
          <w:sz w:val="12"/>
        </w:rPr>
        <w:t>Derechos</w:t>
      </w:r>
      <w:r>
        <w:rPr>
          <w:spacing w:val="-3"/>
          <w:w w:val="105"/>
          <w:sz w:val="12"/>
        </w:rPr>
        <w:t xml:space="preserve"> </w:t>
      </w:r>
      <w:r>
        <w:rPr>
          <w:w w:val="105"/>
          <w:sz w:val="12"/>
        </w:rPr>
        <w:t>Económicos,</w:t>
      </w:r>
      <w:r>
        <w:rPr>
          <w:spacing w:val="-3"/>
          <w:w w:val="105"/>
          <w:sz w:val="12"/>
        </w:rPr>
        <w:t xml:space="preserve"> </w:t>
      </w:r>
      <w:r>
        <w:rPr>
          <w:w w:val="105"/>
          <w:sz w:val="12"/>
        </w:rPr>
        <w:t>Sociales</w:t>
      </w:r>
      <w:r>
        <w:rPr>
          <w:spacing w:val="-3"/>
          <w:w w:val="105"/>
          <w:sz w:val="12"/>
        </w:rPr>
        <w:t xml:space="preserve"> </w:t>
      </w:r>
      <w:r>
        <w:rPr>
          <w:w w:val="105"/>
          <w:sz w:val="12"/>
        </w:rPr>
        <w:t>y</w:t>
      </w:r>
      <w:r>
        <w:rPr>
          <w:spacing w:val="-3"/>
          <w:w w:val="105"/>
          <w:sz w:val="12"/>
        </w:rPr>
        <w:t xml:space="preserve"> </w:t>
      </w:r>
      <w:r>
        <w:rPr>
          <w:w w:val="105"/>
          <w:sz w:val="12"/>
        </w:rPr>
        <w:t>Culturales,</w:t>
      </w:r>
      <w:r>
        <w:rPr>
          <w:spacing w:val="-3"/>
          <w:w w:val="105"/>
          <w:sz w:val="12"/>
        </w:rPr>
        <w:t xml:space="preserve"> </w:t>
      </w:r>
      <w:r>
        <w:rPr>
          <w:w w:val="105"/>
          <w:sz w:val="12"/>
        </w:rPr>
        <w:t>observación</w:t>
      </w:r>
      <w:r>
        <w:rPr>
          <w:spacing w:val="-3"/>
          <w:w w:val="105"/>
          <w:sz w:val="12"/>
        </w:rPr>
        <w:t xml:space="preserve"> </w:t>
      </w:r>
      <w:r>
        <w:rPr>
          <w:w w:val="105"/>
          <w:sz w:val="12"/>
        </w:rPr>
        <w:t>general</w:t>
      </w:r>
      <w:r>
        <w:rPr>
          <w:spacing w:val="-3"/>
          <w:w w:val="105"/>
          <w:sz w:val="12"/>
        </w:rPr>
        <w:t xml:space="preserve"> </w:t>
      </w:r>
      <w:r>
        <w:rPr>
          <w:w w:val="105"/>
          <w:sz w:val="12"/>
        </w:rPr>
        <w:t>núm.</w:t>
      </w:r>
      <w:r>
        <w:rPr>
          <w:spacing w:val="-3"/>
          <w:w w:val="105"/>
          <w:sz w:val="12"/>
        </w:rPr>
        <w:t xml:space="preserve"> </w:t>
      </w:r>
      <w:r>
        <w:rPr>
          <w:w w:val="105"/>
          <w:sz w:val="12"/>
        </w:rPr>
        <w:t>20</w:t>
      </w:r>
      <w:r>
        <w:rPr>
          <w:spacing w:val="-3"/>
          <w:w w:val="105"/>
          <w:sz w:val="12"/>
        </w:rPr>
        <w:t xml:space="preserve"> </w:t>
      </w:r>
      <w:r>
        <w:rPr>
          <w:w w:val="105"/>
          <w:sz w:val="12"/>
        </w:rPr>
        <w:t>(2009),</w:t>
      </w:r>
      <w:r>
        <w:rPr>
          <w:spacing w:val="-3"/>
          <w:w w:val="105"/>
          <w:sz w:val="12"/>
        </w:rPr>
        <w:t xml:space="preserve"> </w:t>
      </w:r>
      <w:r>
        <w:rPr>
          <w:w w:val="105"/>
          <w:sz w:val="12"/>
        </w:rPr>
        <w:t>párr.</w:t>
      </w:r>
      <w:r>
        <w:rPr>
          <w:spacing w:val="-3"/>
          <w:w w:val="105"/>
          <w:sz w:val="12"/>
        </w:rPr>
        <w:t xml:space="preserve"> </w:t>
      </w:r>
      <w:r>
        <w:rPr>
          <w:w w:val="105"/>
          <w:sz w:val="12"/>
        </w:rPr>
        <w:t>9:</w:t>
      </w:r>
      <w:r>
        <w:rPr>
          <w:spacing w:val="-3"/>
          <w:w w:val="105"/>
          <w:sz w:val="12"/>
        </w:rPr>
        <w:t xml:space="preserve"> </w:t>
      </w:r>
      <w:r>
        <w:rPr>
          <w:w w:val="105"/>
          <w:sz w:val="12"/>
        </w:rPr>
        <w:t>“Esas</w:t>
      </w:r>
      <w:r>
        <w:rPr>
          <w:spacing w:val="-3"/>
          <w:w w:val="105"/>
          <w:sz w:val="12"/>
        </w:rPr>
        <w:t xml:space="preserve"> </w:t>
      </w:r>
      <w:r>
        <w:rPr>
          <w:w w:val="105"/>
          <w:sz w:val="12"/>
        </w:rPr>
        <w:t>medidas</w:t>
      </w:r>
      <w:r>
        <w:rPr>
          <w:spacing w:val="-3"/>
          <w:w w:val="105"/>
          <w:sz w:val="12"/>
        </w:rPr>
        <w:t xml:space="preserve"> </w:t>
      </w:r>
      <w:r>
        <w:rPr>
          <w:w w:val="105"/>
          <w:sz w:val="12"/>
        </w:rPr>
        <w:t>son</w:t>
      </w:r>
      <w:r>
        <w:rPr>
          <w:spacing w:val="-3"/>
          <w:w w:val="105"/>
          <w:sz w:val="12"/>
        </w:rPr>
        <w:t xml:space="preserve"> </w:t>
      </w:r>
      <w:r>
        <w:rPr>
          <w:w w:val="105"/>
          <w:sz w:val="12"/>
        </w:rPr>
        <w:t>legítimas</w:t>
      </w:r>
      <w:r>
        <w:rPr>
          <w:spacing w:val="-4"/>
          <w:w w:val="105"/>
          <w:sz w:val="12"/>
        </w:rPr>
        <w:t xml:space="preserve"> </w:t>
      </w:r>
      <w:r>
        <w:rPr>
          <w:w w:val="105"/>
          <w:sz w:val="12"/>
        </w:rPr>
        <w:t>en</w:t>
      </w:r>
      <w:r>
        <w:rPr>
          <w:spacing w:val="-3"/>
          <w:w w:val="105"/>
          <w:sz w:val="12"/>
        </w:rPr>
        <w:t xml:space="preserve"> </w:t>
      </w:r>
      <w:r>
        <w:rPr>
          <w:w w:val="105"/>
          <w:sz w:val="12"/>
        </w:rPr>
        <w:t>la</w:t>
      </w:r>
      <w:r>
        <w:rPr>
          <w:spacing w:val="-3"/>
          <w:w w:val="105"/>
          <w:sz w:val="12"/>
        </w:rPr>
        <w:t xml:space="preserve"> </w:t>
      </w:r>
      <w:r>
        <w:rPr>
          <w:w w:val="105"/>
          <w:sz w:val="12"/>
        </w:rPr>
        <w:t>medida</w:t>
      </w:r>
      <w:r>
        <w:rPr>
          <w:spacing w:val="-3"/>
          <w:w w:val="105"/>
          <w:sz w:val="12"/>
        </w:rPr>
        <w:t xml:space="preserve"> </w:t>
      </w:r>
      <w:r>
        <w:rPr>
          <w:w w:val="105"/>
          <w:sz w:val="12"/>
        </w:rPr>
        <w:t>en</w:t>
      </w:r>
      <w:r>
        <w:rPr>
          <w:spacing w:val="-3"/>
          <w:w w:val="105"/>
          <w:sz w:val="12"/>
        </w:rPr>
        <w:t xml:space="preserve"> </w:t>
      </w:r>
      <w:r>
        <w:rPr>
          <w:w w:val="105"/>
          <w:sz w:val="12"/>
        </w:rPr>
        <w:t>que</w:t>
      </w:r>
      <w:r>
        <w:rPr>
          <w:spacing w:val="40"/>
          <w:w w:val="105"/>
          <w:sz w:val="12"/>
        </w:rPr>
        <w:t xml:space="preserve"> </w:t>
      </w:r>
      <w:r>
        <w:rPr>
          <w:w w:val="105"/>
          <w:sz w:val="12"/>
        </w:rPr>
        <w:t>representan</w:t>
      </w:r>
      <w:r>
        <w:rPr>
          <w:spacing w:val="-6"/>
          <w:w w:val="105"/>
          <w:sz w:val="12"/>
        </w:rPr>
        <w:t xml:space="preserve"> </w:t>
      </w:r>
      <w:r>
        <w:rPr>
          <w:w w:val="105"/>
          <w:sz w:val="12"/>
        </w:rPr>
        <w:t>medios</w:t>
      </w:r>
      <w:r>
        <w:rPr>
          <w:spacing w:val="-6"/>
          <w:w w:val="105"/>
          <w:sz w:val="12"/>
        </w:rPr>
        <w:t xml:space="preserve"> </w:t>
      </w:r>
      <w:r>
        <w:rPr>
          <w:w w:val="105"/>
          <w:sz w:val="12"/>
        </w:rPr>
        <w:t>razonables,</w:t>
      </w:r>
      <w:r>
        <w:rPr>
          <w:spacing w:val="-6"/>
          <w:w w:val="105"/>
          <w:sz w:val="12"/>
        </w:rPr>
        <w:t xml:space="preserve"> </w:t>
      </w:r>
      <w:r>
        <w:rPr>
          <w:w w:val="105"/>
          <w:sz w:val="12"/>
        </w:rPr>
        <w:t>objetivos</w:t>
      </w:r>
      <w:r>
        <w:rPr>
          <w:spacing w:val="-6"/>
          <w:w w:val="105"/>
          <w:sz w:val="12"/>
        </w:rPr>
        <w:t xml:space="preserve"> </w:t>
      </w:r>
      <w:r>
        <w:rPr>
          <w:w w:val="105"/>
          <w:sz w:val="12"/>
        </w:rPr>
        <w:t>y</w:t>
      </w:r>
      <w:r>
        <w:rPr>
          <w:spacing w:val="-6"/>
          <w:w w:val="105"/>
          <w:sz w:val="12"/>
        </w:rPr>
        <w:t xml:space="preserve"> </w:t>
      </w:r>
      <w:r>
        <w:rPr>
          <w:w w:val="105"/>
          <w:sz w:val="12"/>
        </w:rPr>
        <w:t>proporcionales</w:t>
      </w:r>
      <w:r>
        <w:rPr>
          <w:spacing w:val="-6"/>
          <w:w w:val="105"/>
          <w:sz w:val="12"/>
        </w:rPr>
        <w:t xml:space="preserve"> </w:t>
      </w:r>
      <w:r>
        <w:rPr>
          <w:w w:val="105"/>
          <w:sz w:val="12"/>
        </w:rPr>
        <w:t>para</w:t>
      </w:r>
      <w:r>
        <w:rPr>
          <w:spacing w:val="-6"/>
          <w:w w:val="105"/>
          <w:sz w:val="12"/>
        </w:rPr>
        <w:t xml:space="preserve"> </w:t>
      </w:r>
      <w:r>
        <w:rPr>
          <w:w w:val="105"/>
          <w:sz w:val="12"/>
        </w:rPr>
        <w:t>reparar</w:t>
      </w:r>
      <w:r>
        <w:rPr>
          <w:spacing w:val="-6"/>
          <w:w w:val="105"/>
          <w:sz w:val="12"/>
        </w:rPr>
        <w:t xml:space="preserve"> </w:t>
      </w:r>
      <w:r>
        <w:rPr>
          <w:w w:val="105"/>
          <w:sz w:val="12"/>
        </w:rPr>
        <w:t>la</w:t>
      </w:r>
      <w:r>
        <w:rPr>
          <w:spacing w:val="-6"/>
          <w:w w:val="105"/>
          <w:sz w:val="12"/>
        </w:rPr>
        <w:t xml:space="preserve"> </w:t>
      </w:r>
      <w:r>
        <w:rPr>
          <w:w w:val="105"/>
          <w:sz w:val="12"/>
        </w:rPr>
        <w:t>discriminación</w:t>
      </w:r>
      <w:r>
        <w:rPr>
          <w:spacing w:val="-6"/>
          <w:w w:val="105"/>
          <w:sz w:val="12"/>
        </w:rPr>
        <w:t xml:space="preserve"> </w:t>
      </w:r>
      <w:r>
        <w:rPr>
          <w:w w:val="105"/>
          <w:sz w:val="12"/>
        </w:rPr>
        <w:t>de</w:t>
      </w:r>
      <w:r>
        <w:rPr>
          <w:spacing w:val="-6"/>
          <w:w w:val="105"/>
          <w:sz w:val="12"/>
        </w:rPr>
        <w:t xml:space="preserve"> </w:t>
      </w:r>
      <w:r>
        <w:rPr>
          <w:w w:val="105"/>
          <w:sz w:val="12"/>
        </w:rPr>
        <w:t>facto</w:t>
      </w:r>
      <w:r>
        <w:rPr>
          <w:spacing w:val="-6"/>
          <w:w w:val="105"/>
          <w:sz w:val="12"/>
        </w:rPr>
        <w:t xml:space="preserve"> </w:t>
      </w:r>
      <w:r>
        <w:rPr>
          <w:w w:val="105"/>
          <w:sz w:val="12"/>
        </w:rPr>
        <w:t>y</w:t>
      </w:r>
      <w:r>
        <w:rPr>
          <w:spacing w:val="-6"/>
          <w:w w:val="105"/>
          <w:sz w:val="12"/>
        </w:rPr>
        <w:t xml:space="preserve"> </w:t>
      </w:r>
      <w:r>
        <w:rPr>
          <w:w w:val="105"/>
          <w:sz w:val="12"/>
        </w:rPr>
        <w:t>se</w:t>
      </w:r>
      <w:r>
        <w:rPr>
          <w:spacing w:val="-6"/>
          <w:w w:val="105"/>
          <w:sz w:val="12"/>
        </w:rPr>
        <w:t xml:space="preserve"> </w:t>
      </w:r>
      <w:r>
        <w:rPr>
          <w:w w:val="105"/>
          <w:sz w:val="12"/>
        </w:rPr>
        <w:t>suspenden</w:t>
      </w:r>
      <w:r>
        <w:rPr>
          <w:spacing w:val="-6"/>
          <w:w w:val="105"/>
          <w:sz w:val="12"/>
        </w:rPr>
        <w:t xml:space="preserve"> </w:t>
      </w:r>
      <w:r>
        <w:rPr>
          <w:w w:val="105"/>
          <w:sz w:val="12"/>
        </w:rPr>
        <w:t>cuando</w:t>
      </w:r>
      <w:r>
        <w:rPr>
          <w:spacing w:val="-6"/>
          <w:w w:val="105"/>
          <w:sz w:val="12"/>
        </w:rPr>
        <w:t xml:space="preserve"> </w:t>
      </w:r>
      <w:r>
        <w:rPr>
          <w:w w:val="105"/>
          <w:sz w:val="12"/>
        </w:rPr>
        <w:t>se</w:t>
      </w:r>
      <w:r>
        <w:rPr>
          <w:spacing w:val="-6"/>
          <w:w w:val="105"/>
          <w:sz w:val="12"/>
        </w:rPr>
        <w:t xml:space="preserve"> </w:t>
      </w:r>
      <w:r>
        <w:rPr>
          <w:w w:val="105"/>
          <w:sz w:val="12"/>
        </w:rPr>
        <w:t>ha</w:t>
      </w:r>
      <w:r>
        <w:rPr>
          <w:spacing w:val="-6"/>
          <w:w w:val="105"/>
          <w:sz w:val="12"/>
        </w:rPr>
        <w:t xml:space="preserve"> </w:t>
      </w:r>
      <w:r>
        <w:rPr>
          <w:w w:val="105"/>
          <w:sz w:val="12"/>
        </w:rPr>
        <w:t>logrado</w:t>
      </w:r>
      <w:r>
        <w:rPr>
          <w:spacing w:val="-6"/>
          <w:w w:val="105"/>
          <w:sz w:val="12"/>
        </w:rPr>
        <w:t xml:space="preserve"> </w:t>
      </w:r>
      <w:r>
        <w:rPr>
          <w:w w:val="105"/>
          <w:sz w:val="12"/>
        </w:rPr>
        <w:t>de</w:t>
      </w:r>
      <w:r>
        <w:rPr>
          <w:spacing w:val="-6"/>
          <w:w w:val="105"/>
          <w:sz w:val="12"/>
        </w:rPr>
        <w:t xml:space="preserve"> </w:t>
      </w:r>
      <w:r>
        <w:rPr>
          <w:w w:val="105"/>
          <w:sz w:val="12"/>
        </w:rPr>
        <w:t>manera</w:t>
      </w:r>
      <w:r>
        <w:rPr>
          <w:spacing w:val="-6"/>
          <w:w w:val="105"/>
          <w:sz w:val="12"/>
        </w:rPr>
        <w:t xml:space="preserve"> </w:t>
      </w:r>
      <w:r>
        <w:rPr>
          <w:w w:val="105"/>
          <w:sz w:val="12"/>
        </w:rPr>
        <w:t>sostenible</w:t>
      </w:r>
      <w:r>
        <w:rPr>
          <w:spacing w:val="-6"/>
          <w:w w:val="105"/>
          <w:sz w:val="12"/>
        </w:rPr>
        <w:t xml:space="preserve"> </w:t>
      </w:r>
      <w:r>
        <w:rPr>
          <w:w w:val="105"/>
          <w:sz w:val="12"/>
        </w:rPr>
        <w:t>la</w:t>
      </w:r>
      <w:r>
        <w:rPr>
          <w:spacing w:val="40"/>
          <w:w w:val="105"/>
          <w:sz w:val="12"/>
        </w:rPr>
        <w:t xml:space="preserve"> </w:t>
      </w:r>
      <w:r>
        <w:rPr>
          <w:w w:val="105"/>
          <w:sz w:val="12"/>
        </w:rPr>
        <w:t>igualdad</w:t>
      </w:r>
      <w:r>
        <w:rPr>
          <w:spacing w:val="-7"/>
          <w:w w:val="105"/>
          <w:sz w:val="12"/>
        </w:rPr>
        <w:t xml:space="preserve"> </w:t>
      </w:r>
      <w:r>
        <w:rPr>
          <w:w w:val="105"/>
          <w:sz w:val="12"/>
        </w:rPr>
        <w:t>sustantiva”.</w:t>
      </w:r>
    </w:p>
    <w:p w14:paraId="344713C4" w14:textId="77777777" w:rsidR="0014798C" w:rsidRDefault="004E1F0B">
      <w:pPr>
        <w:pStyle w:val="Prrafodelista"/>
        <w:numPr>
          <w:ilvl w:val="0"/>
          <w:numId w:val="56"/>
        </w:numPr>
        <w:tabs>
          <w:tab w:val="left" w:pos="1347"/>
        </w:tabs>
        <w:spacing w:before="58"/>
        <w:ind w:left="1347" w:hanging="240"/>
        <w:rPr>
          <w:sz w:val="12"/>
        </w:rPr>
      </w:pPr>
      <w:r>
        <w:rPr>
          <w:spacing w:val="-2"/>
          <w:w w:val="105"/>
          <w:sz w:val="12"/>
        </w:rPr>
        <w:t>Comité</w:t>
      </w:r>
      <w:r>
        <w:rPr>
          <w:spacing w:val="3"/>
          <w:w w:val="105"/>
          <w:sz w:val="12"/>
        </w:rPr>
        <w:t xml:space="preserve"> </w:t>
      </w:r>
      <w:r>
        <w:rPr>
          <w:spacing w:val="-2"/>
          <w:w w:val="105"/>
          <w:sz w:val="12"/>
        </w:rPr>
        <w:t>para</w:t>
      </w:r>
      <w:r>
        <w:rPr>
          <w:spacing w:val="3"/>
          <w:w w:val="105"/>
          <w:sz w:val="12"/>
        </w:rPr>
        <w:t xml:space="preserve"> </w:t>
      </w:r>
      <w:r>
        <w:rPr>
          <w:spacing w:val="-2"/>
          <w:w w:val="105"/>
          <w:sz w:val="12"/>
        </w:rPr>
        <w:t>la</w:t>
      </w:r>
      <w:r>
        <w:rPr>
          <w:spacing w:val="3"/>
          <w:w w:val="105"/>
          <w:sz w:val="12"/>
        </w:rPr>
        <w:t xml:space="preserve"> </w:t>
      </w:r>
      <w:r>
        <w:rPr>
          <w:spacing w:val="-2"/>
          <w:w w:val="105"/>
          <w:sz w:val="12"/>
        </w:rPr>
        <w:t>Eliminación</w:t>
      </w:r>
      <w:r>
        <w:rPr>
          <w:spacing w:val="4"/>
          <w:w w:val="105"/>
          <w:sz w:val="12"/>
        </w:rPr>
        <w:t xml:space="preserve"> </w:t>
      </w:r>
      <w:r>
        <w:rPr>
          <w:spacing w:val="-2"/>
          <w:w w:val="105"/>
          <w:sz w:val="12"/>
        </w:rPr>
        <w:t>de</w:t>
      </w:r>
      <w:r>
        <w:rPr>
          <w:spacing w:val="3"/>
          <w:w w:val="105"/>
          <w:sz w:val="12"/>
        </w:rPr>
        <w:t xml:space="preserve"> </w:t>
      </w:r>
      <w:r>
        <w:rPr>
          <w:spacing w:val="-2"/>
          <w:w w:val="105"/>
          <w:sz w:val="12"/>
        </w:rPr>
        <w:t>la</w:t>
      </w:r>
      <w:r>
        <w:rPr>
          <w:spacing w:val="3"/>
          <w:w w:val="105"/>
          <w:sz w:val="12"/>
        </w:rPr>
        <w:t xml:space="preserve"> </w:t>
      </w:r>
      <w:r>
        <w:rPr>
          <w:spacing w:val="-2"/>
          <w:w w:val="105"/>
          <w:sz w:val="12"/>
        </w:rPr>
        <w:t>Discriminación</w:t>
      </w:r>
      <w:r>
        <w:rPr>
          <w:spacing w:val="3"/>
          <w:w w:val="105"/>
          <w:sz w:val="12"/>
        </w:rPr>
        <w:t xml:space="preserve"> </w:t>
      </w:r>
      <w:r>
        <w:rPr>
          <w:spacing w:val="-2"/>
          <w:w w:val="105"/>
          <w:sz w:val="12"/>
        </w:rPr>
        <w:t>contra</w:t>
      </w:r>
      <w:r>
        <w:rPr>
          <w:spacing w:val="4"/>
          <w:w w:val="105"/>
          <w:sz w:val="12"/>
        </w:rPr>
        <w:t xml:space="preserve"> </w:t>
      </w:r>
      <w:r>
        <w:rPr>
          <w:spacing w:val="-2"/>
          <w:w w:val="105"/>
          <w:sz w:val="12"/>
        </w:rPr>
        <w:t>la</w:t>
      </w:r>
      <w:r>
        <w:rPr>
          <w:spacing w:val="3"/>
          <w:w w:val="105"/>
          <w:sz w:val="12"/>
        </w:rPr>
        <w:t xml:space="preserve"> </w:t>
      </w:r>
      <w:r>
        <w:rPr>
          <w:spacing w:val="-2"/>
          <w:w w:val="105"/>
          <w:sz w:val="12"/>
        </w:rPr>
        <w:t>Mujer,</w:t>
      </w:r>
      <w:r>
        <w:rPr>
          <w:spacing w:val="3"/>
          <w:w w:val="105"/>
          <w:sz w:val="12"/>
        </w:rPr>
        <w:t xml:space="preserve"> </w:t>
      </w:r>
      <w:proofErr w:type="spellStart"/>
      <w:r>
        <w:rPr>
          <w:spacing w:val="-2"/>
          <w:w w:val="105"/>
          <w:sz w:val="12"/>
        </w:rPr>
        <w:t>Medvedeva</w:t>
      </w:r>
      <w:proofErr w:type="spellEnd"/>
      <w:r>
        <w:rPr>
          <w:spacing w:val="3"/>
          <w:w w:val="105"/>
          <w:sz w:val="12"/>
        </w:rPr>
        <w:t xml:space="preserve"> </w:t>
      </w:r>
      <w:r>
        <w:rPr>
          <w:spacing w:val="-2"/>
          <w:w w:val="105"/>
          <w:sz w:val="12"/>
        </w:rPr>
        <w:t>c.</w:t>
      </w:r>
      <w:r>
        <w:rPr>
          <w:spacing w:val="4"/>
          <w:w w:val="105"/>
          <w:sz w:val="12"/>
        </w:rPr>
        <w:t xml:space="preserve"> </w:t>
      </w:r>
      <w:r>
        <w:rPr>
          <w:spacing w:val="-2"/>
          <w:w w:val="105"/>
          <w:sz w:val="12"/>
        </w:rPr>
        <w:t>Federación</w:t>
      </w:r>
      <w:r>
        <w:rPr>
          <w:spacing w:val="3"/>
          <w:w w:val="105"/>
          <w:sz w:val="12"/>
        </w:rPr>
        <w:t xml:space="preserve"> </w:t>
      </w:r>
      <w:r>
        <w:rPr>
          <w:spacing w:val="-2"/>
          <w:w w:val="105"/>
          <w:sz w:val="12"/>
        </w:rPr>
        <w:t>de</w:t>
      </w:r>
      <w:r>
        <w:rPr>
          <w:spacing w:val="3"/>
          <w:w w:val="105"/>
          <w:sz w:val="12"/>
        </w:rPr>
        <w:t xml:space="preserve"> </w:t>
      </w:r>
      <w:r>
        <w:rPr>
          <w:spacing w:val="-2"/>
          <w:w w:val="105"/>
          <w:sz w:val="12"/>
        </w:rPr>
        <w:t>Rusia</w:t>
      </w:r>
      <w:r>
        <w:rPr>
          <w:spacing w:val="3"/>
          <w:w w:val="105"/>
          <w:sz w:val="12"/>
        </w:rPr>
        <w:t xml:space="preserve"> </w:t>
      </w:r>
      <w:r>
        <w:rPr>
          <w:spacing w:val="-2"/>
          <w:w w:val="105"/>
          <w:sz w:val="12"/>
        </w:rPr>
        <w:t>(CEDAW/C/63/D/60/2013),</w:t>
      </w:r>
      <w:r>
        <w:rPr>
          <w:spacing w:val="4"/>
          <w:w w:val="105"/>
          <w:sz w:val="12"/>
        </w:rPr>
        <w:t xml:space="preserve"> </w:t>
      </w:r>
      <w:r>
        <w:rPr>
          <w:spacing w:val="-2"/>
          <w:w w:val="105"/>
          <w:sz w:val="12"/>
        </w:rPr>
        <w:t>párr.</w:t>
      </w:r>
      <w:r>
        <w:rPr>
          <w:spacing w:val="3"/>
          <w:w w:val="105"/>
          <w:sz w:val="12"/>
        </w:rPr>
        <w:t xml:space="preserve"> </w:t>
      </w:r>
      <w:r>
        <w:rPr>
          <w:spacing w:val="-2"/>
          <w:w w:val="105"/>
          <w:sz w:val="12"/>
        </w:rPr>
        <w:t>11.3.</w:t>
      </w:r>
    </w:p>
    <w:p w14:paraId="25CE1242" w14:textId="77777777" w:rsidR="0014798C" w:rsidRDefault="004E1F0B">
      <w:pPr>
        <w:pStyle w:val="Prrafodelista"/>
        <w:numPr>
          <w:ilvl w:val="0"/>
          <w:numId w:val="56"/>
        </w:numPr>
        <w:tabs>
          <w:tab w:val="left" w:pos="1346"/>
          <w:tab w:val="left" w:pos="1369"/>
        </w:tabs>
        <w:spacing w:before="98" w:line="312" w:lineRule="auto"/>
        <w:ind w:left="1369" w:right="2007" w:hanging="263"/>
        <w:rPr>
          <w:sz w:val="12"/>
        </w:rPr>
      </w:pPr>
      <w:r>
        <w:rPr>
          <w:w w:val="105"/>
          <w:sz w:val="12"/>
        </w:rPr>
        <w:t>Comité</w:t>
      </w:r>
      <w:r>
        <w:rPr>
          <w:spacing w:val="-6"/>
          <w:w w:val="105"/>
          <w:sz w:val="12"/>
        </w:rPr>
        <w:t xml:space="preserve"> </w:t>
      </w:r>
      <w:r>
        <w:rPr>
          <w:w w:val="105"/>
          <w:sz w:val="12"/>
        </w:rPr>
        <w:t>sobre</w:t>
      </w:r>
      <w:r>
        <w:rPr>
          <w:spacing w:val="-6"/>
          <w:w w:val="105"/>
          <w:sz w:val="12"/>
        </w:rPr>
        <w:t xml:space="preserve"> </w:t>
      </w:r>
      <w:r>
        <w:rPr>
          <w:w w:val="105"/>
          <w:sz w:val="12"/>
        </w:rPr>
        <w:t>los</w:t>
      </w:r>
      <w:r>
        <w:rPr>
          <w:spacing w:val="-6"/>
          <w:w w:val="105"/>
          <w:sz w:val="12"/>
        </w:rPr>
        <w:t xml:space="preserve"> </w:t>
      </w:r>
      <w:r>
        <w:rPr>
          <w:w w:val="105"/>
          <w:sz w:val="12"/>
        </w:rPr>
        <w:t>Derechos</w:t>
      </w:r>
      <w:r>
        <w:rPr>
          <w:spacing w:val="-6"/>
          <w:w w:val="105"/>
          <w:sz w:val="12"/>
        </w:rPr>
        <w:t xml:space="preserve"> </w:t>
      </w:r>
      <w:r>
        <w:rPr>
          <w:w w:val="105"/>
          <w:sz w:val="12"/>
        </w:rPr>
        <w:t>de</w:t>
      </w:r>
      <w:r>
        <w:rPr>
          <w:spacing w:val="-6"/>
          <w:w w:val="105"/>
          <w:sz w:val="12"/>
        </w:rPr>
        <w:t xml:space="preserve"> </w:t>
      </w:r>
      <w:r>
        <w:rPr>
          <w:w w:val="105"/>
          <w:sz w:val="12"/>
        </w:rPr>
        <w:t>las</w:t>
      </w:r>
      <w:r>
        <w:rPr>
          <w:spacing w:val="-6"/>
          <w:w w:val="105"/>
          <w:sz w:val="12"/>
        </w:rPr>
        <w:t xml:space="preserve"> </w:t>
      </w:r>
      <w:r>
        <w:rPr>
          <w:w w:val="105"/>
          <w:sz w:val="12"/>
        </w:rPr>
        <w:t>Personas</w:t>
      </w:r>
      <w:r>
        <w:rPr>
          <w:spacing w:val="-6"/>
          <w:w w:val="105"/>
          <w:sz w:val="12"/>
        </w:rPr>
        <w:t xml:space="preserve"> </w:t>
      </w:r>
      <w:r>
        <w:rPr>
          <w:w w:val="105"/>
          <w:sz w:val="12"/>
        </w:rPr>
        <w:t>con</w:t>
      </w:r>
      <w:r>
        <w:rPr>
          <w:spacing w:val="-6"/>
          <w:w w:val="105"/>
          <w:sz w:val="12"/>
        </w:rPr>
        <w:t xml:space="preserve"> </w:t>
      </w:r>
      <w:r>
        <w:rPr>
          <w:w w:val="105"/>
          <w:sz w:val="12"/>
        </w:rPr>
        <w:t>Discapacidad,</w:t>
      </w:r>
      <w:r>
        <w:rPr>
          <w:spacing w:val="-5"/>
          <w:w w:val="105"/>
          <w:sz w:val="12"/>
        </w:rPr>
        <w:t xml:space="preserve"> </w:t>
      </w:r>
      <w:r>
        <w:rPr>
          <w:w w:val="105"/>
          <w:sz w:val="12"/>
        </w:rPr>
        <w:t>observación</w:t>
      </w:r>
      <w:r>
        <w:rPr>
          <w:spacing w:val="-6"/>
          <w:w w:val="105"/>
          <w:sz w:val="12"/>
        </w:rPr>
        <w:t xml:space="preserve"> </w:t>
      </w:r>
      <w:r>
        <w:rPr>
          <w:w w:val="105"/>
          <w:sz w:val="12"/>
        </w:rPr>
        <w:t>general</w:t>
      </w:r>
      <w:r>
        <w:rPr>
          <w:spacing w:val="-6"/>
          <w:w w:val="105"/>
          <w:sz w:val="12"/>
        </w:rPr>
        <w:t xml:space="preserve"> </w:t>
      </w:r>
      <w:r>
        <w:rPr>
          <w:w w:val="105"/>
          <w:sz w:val="12"/>
        </w:rPr>
        <w:t>núm.</w:t>
      </w:r>
      <w:r>
        <w:rPr>
          <w:spacing w:val="-6"/>
          <w:w w:val="105"/>
          <w:sz w:val="12"/>
        </w:rPr>
        <w:t xml:space="preserve"> </w:t>
      </w:r>
      <w:r>
        <w:rPr>
          <w:w w:val="105"/>
          <w:sz w:val="12"/>
        </w:rPr>
        <w:t>6</w:t>
      </w:r>
      <w:r>
        <w:rPr>
          <w:spacing w:val="-6"/>
          <w:w w:val="105"/>
          <w:sz w:val="12"/>
        </w:rPr>
        <w:t xml:space="preserve"> </w:t>
      </w:r>
      <w:r>
        <w:rPr>
          <w:w w:val="105"/>
          <w:sz w:val="12"/>
        </w:rPr>
        <w:t>(2018),</w:t>
      </w:r>
      <w:r>
        <w:rPr>
          <w:spacing w:val="-6"/>
          <w:w w:val="105"/>
          <w:sz w:val="12"/>
        </w:rPr>
        <w:t xml:space="preserve"> </w:t>
      </w:r>
      <w:r>
        <w:rPr>
          <w:w w:val="105"/>
          <w:sz w:val="12"/>
        </w:rPr>
        <w:t>párr.</w:t>
      </w:r>
      <w:r>
        <w:rPr>
          <w:spacing w:val="-6"/>
          <w:w w:val="105"/>
          <w:sz w:val="12"/>
        </w:rPr>
        <w:t xml:space="preserve"> </w:t>
      </w:r>
      <w:r>
        <w:rPr>
          <w:w w:val="105"/>
          <w:sz w:val="12"/>
        </w:rPr>
        <w:t>29.</w:t>
      </w:r>
      <w:r>
        <w:rPr>
          <w:spacing w:val="-6"/>
          <w:w w:val="105"/>
          <w:sz w:val="12"/>
        </w:rPr>
        <w:t xml:space="preserve"> </w:t>
      </w:r>
      <w:r>
        <w:rPr>
          <w:w w:val="105"/>
          <w:sz w:val="12"/>
        </w:rPr>
        <w:t>Véase</w:t>
      </w:r>
      <w:r>
        <w:rPr>
          <w:spacing w:val="-6"/>
          <w:w w:val="105"/>
          <w:sz w:val="12"/>
        </w:rPr>
        <w:t xml:space="preserve"> </w:t>
      </w:r>
      <w:r>
        <w:rPr>
          <w:w w:val="105"/>
          <w:sz w:val="12"/>
        </w:rPr>
        <w:t>más</w:t>
      </w:r>
      <w:r>
        <w:rPr>
          <w:spacing w:val="-6"/>
          <w:w w:val="105"/>
          <w:sz w:val="12"/>
        </w:rPr>
        <w:t xml:space="preserve"> </w:t>
      </w:r>
      <w:r>
        <w:rPr>
          <w:w w:val="105"/>
          <w:sz w:val="12"/>
        </w:rPr>
        <w:t>discusión</w:t>
      </w:r>
      <w:r>
        <w:rPr>
          <w:spacing w:val="-6"/>
          <w:w w:val="105"/>
          <w:sz w:val="12"/>
        </w:rPr>
        <w:t xml:space="preserve"> </w:t>
      </w:r>
      <w:r>
        <w:rPr>
          <w:w w:val="105"/>
          <w:sz w:val="12"/>
        </w:rPr>
        <w:t>sobre</w:t>
      </w:r>
      <w:r>
        <w:rPr>
          <w:spacing w:val="-6"/>
          <w:w w:val="105"/>
          <w:sz w:val="12"/>
        </w:rPr>
        <w:t xml:space="preserve"> </w:t>
      </w:r>
      <w:r>
        <w:rPr>
          <w:w w:val="105"/>
          <w:sz w:val="12"/>
        </w:rPr>
        <w:t>este</w:t>
      </w:r>
      <w:r>
        <w:rPr>
          <w:spacing w:val="-6"/>
          <w:w w:val="105"/>
          <w:sz w:val="12"/>
        </w:rPr>
        <w:t xml:space="preserve"> </w:t>
      </w:r>
      <w:r>
        <w:rPr>
          <w:w w:val="105"/>
          <w:sz w:val="12"/>
        </w:rPr>
        <w:t>punto</w:t>
      </w:r>
      <w:r>
        <w:rPr>
          <w:spacing w:val="-6"/>
          <w:w w:val="105"/>
          <w:sz w:val="12"/>
        </w:rPr>
        <w:t xml:space="preserve"> </w:t>
      </w:r>
      <w:r>
        <w:rPr>
          <w:w w:val="105"/>
          <w:sz w:val="12"/>
        </w:rPr>
        <w:t>en</w:t>
      </w:r>
      <w:r>
        <w:rPr>
          <w:spacing w:val="40"/>
          <w:w w:val="105"/>
          <w:sz w:val="12"/>
        </w:rPr>
        <w:t xml:space="preserve"> </w:t>
      </w:r>
      <w:r>
        <w:rPr>
          <w:w w:val="105"/>
          <w:sz w:val="12"/>
        </w:rPr>
        <w:t>sección IA4(b) de la segunda parte de la presente guía.</w:t>
      </w:r>
    </w:p>
    <w:p w14:paraId="6D9F2F76" w14:textId="77777777" w:rsidR="0014798C" w:rsidRDefault="004E1F0B">
      <w:pPr>
        <w:pStyle w:val="Prrafodelista"/>
        <w:numPr>
          <w:ilvl w:val="0"/>
          <w:numId w:val="56"/>
        </w:numPr>
        <w:tabs>
          <w:tab w:val="left" w:pos="1346"/>
          <w:tab w:val="left" w:pos="1369"/>
        </w:tabs>
        <w:spacing w:before="58" w:line="304" w:lineRule="auto"/>
        <w:ind w:left="1369" w:right="2306" w:hanging="263"/>
        <w:rPr>
          <w:sz w:val="12"/>
        </w:rPr>
      </w:pPr>
      <w:r>
        <w:rPr>
          <w:sz w:val="12"/>
        </w:rPr>
        <w:t>Convención</w:t>
      </w:r>
      <w:r>
        <w:rPr>
          <w:spacing w:val="8"/>
          <w:sz w:val="12"/>
        </w:rPr>
        <w:t xml:space="preserve"> </w:t>
      </w:r>
      <w:r>
        <w:rPr>
          <w:sz w:val="12"/>
        </w:rPr>
        <w:t>sobre</w:t>
      </w:r>
      <w:r>
        <w:rPr>
          <w:spacing w:val="8"/>
          <w:sz w:val="12"/>
        </w:rPr>
        <w:t xml:space="preserve"> </w:t>
      </w:r>
      <w:r>
        <w:rPr>
          <w:sz w:val="12"/>
        </w:rPr>
        <w:t>la</w:t>
      </w:r>
      <w:r>
        <w:rPr>
          <w:spacing w:val="8"/>
          <w:sz w:val="12"/>
        </w:rPr>
        <w:t xml:space="preserve"> </w:t>
      </w:r>
      <w:r>
        <w:rPr>
          <w:sz w:val="12"/>
        </w:rPr>
        <w:t>eliminación</w:t>
      </w:r>
      <w:r>
        <w:rPr>
          <w:spacing w:val="8"/>
          <w:sz w:val="12"/>
        </w:rPr>
        <w:t xml:space="preserve"> </w:t>
      </w:r>
      <w:r>
        <w:rPr>
          <w:sz w:val="12"/>
        </w:rPr>
        <w:t>de</w:t>
      </w:r>
      <w:r>
        <w:rPr>
          <w:spacing w:val="8"/>
          <w:sz w:val="12"/>
        </w:rPr>
        <w:t xml:space="preserve"> </w:t>
      </w:r>
      <w:r>
        <w:rPr>
          <w:sz w:val="12"/>
        </w:rPr>
        <w:t>todas</w:t>
      </w:r>
      <w:r>
        <w:rPr>
          <w:spacing w:val="8"/>
          <w:sz w:val="12"/>
        </w:rPr>
        <w:t xml:space="preserve"> </w:t>
      </w:r>
      <w:r>
        <w:rPr>
          <w:sz w:val="12"/>
        </w:rPr>
        <w:t>las</w:t>
      </w:r>
      <w:r>
        <w:rPr>
          <w:spacing w:val="8"/>
          <w:sz w:val="12"/>
        </w:rPr>
        <w:t xml:space="preserve"> </w:t>
      </w:r>
      <w:r>
        <w:rPr>
          <w:sz w:val="12"/>
        </w:rPr>
        <w:t>formas</w:t>
      </w:r>
      <w:r>
        <w:rPr>
          <w:spacing w:val="8"/>
          <w:sz w:val="12"/>
        </w:rPr>
        <w:t xml:space="preserve"> </w:t>
      </w:r>
      <w:r>
        <w:rPr>
          <w:sz w:val="12"/>
        </w:rPr>
        <w:t>de</w:t>
      </w:r>
      <w:r>
        <w:rPr>
          <w:spacing w:val="8"/>
          <w:sz w:val="12"/>
        </w:rPr>
        <w:t xml:space="preserve"> </w:t>
      </w:r>
      <w:r>
        <w:rPr>
          <w:sz w:val="12"/>
        </w:rPr>
        <w:t>discriminación</w:t>
      </w:r>
      <w:r>
        <w:rPr>
          <w:spacing w:val="8"/>
          <w:sz w:val="12"/>
        </w:rPr>
        <w:t xml:space="preserve"> </w:t>
      </w:r>
      <w:r>
        <w:rPr>
          <w:sz w:val="12"/>
        </w:rPr>
        <w:t>contra</w:t>
      </w:r>
      <w:r>
        <w:rPr>
          <w:spacing w:val="8"/>
          <w:sz w:val="12"/>
        </w:rPr>
        <w:t xml:space="preserve"> </w:t>
      </w:r>
      <w:r>
        <w:rPr>
          <w:sz w:val="12"/>
        </w:rPr>
        <w:t>la</w:t>
      </w:r>
      <w:r>
        <w:rPr>
          <w:spacing w:val="8"/>
          <w:sz w:val="12"/>
        </w:rPr>
        <w:t xml:space="preserve"> </w:t>
      </w:r>
      <w:r>
        <w:rPr>
          <w:sz w:val="12"/>
        </w:rPr>
        <w:t>mujer,</w:t>
      </w:r>
      <w:r>
        <w:rPr>
          <w:spacing w:val="8"/>
          <w:sz w:val="12"/>
        </w:rPr>
        <w:t xml:space="preserve"> </w:t>
      </w:r>
      <w:r>
        <w:rPr>
          <w:sz w:val="12"/>
        </w:rPr>
        <w:t>art.</w:t>
      </w:r>
      <w:r>
        <w:rPr>
          <w:spacing w:val="8"/>
          <w:sz w:val="12"/>
        </w:rPr>
        <w:t xml:space="preserve"> </w:t>
      </w:r>
      <w:r>
        <w:rPr>
          <w:sz w:val="12"/>
        </w:rPr>
        <w:t>4</w:t>
      </w:r>
      <w:r>
        <w:rPr>
          <w:spacing w:val="8"/>
          <w:sz w:val="12"/>
        </w:rPr>
        <w:t xml:space="preserve"> </w:t>
      </w:r>
      <w:r>
        <w:rPr>
          <w:sz w:val="12"/>
        </w:rPr>
        <w:t>(</w:t>
      </w:r>
      <w:proofErr w:type="gramStart"/>
      <w:r>
        <w:rPr>
          <w:sz w:val="12"/>
        </w:rPr>
        <w:t>1);</w:t>
      </w:r>
      <w:proofErr w:type="gramEnd"/>
      <w:r>
        <w:rPr>
          <w:spacing w:val="8"/>
          <w:sz w:val="12"/>
        </w:rPr>
        <w:t xml:space="preserve"> </w:t>
      </w:r>
      <w:r>
        <w:rPr>
          <w:sz w:val="12"/>
        </w:rPr>
        <w:t>y</w:t>
      </w:r>
      <w:r>
        <w:rPr>
          <w:spacing w:val="8"/>
          <w:sz w:val="12"/>
        </w:rPr>
        <w:t xml:space="preserve"> </w:t>
      </w:r>
      <w:r>
        <w:rPr>
          <w:sz w:val="12"/>
        </w:rPr>
        <w:t>Convención</w:t>
      </w:r>
      <w:r>
        <w:rPr>
          <w:spacing w:val="8"/>
          <w:sz w:val="12"/>
        </w:rPr>
        <w:t xml:space="preserve"> </w:t>
      </w:r>
      <w:r>
        <w:rPr>
          <w:sz w:val="12"/>
        </w:rPr>
        <w:t>Internacional</w:t>
      </w:r>
      <w:r>
        <w:rPr>
          <w:spacing w:val="8"/>
          <w:sz w:val="12"/>
        </w:rPr>
        <w:t xml:space="preserve"> </w:t>
      </w:r>
      <w:r>
        <w:rPr>
          <w:sz w:val="12"/>
        </w:rPr>
        <w:t>sobre</w:t>
      </w:r>
      <w:r>
        <w:rPr>
          <w:spacing w:val="8"/>
          <w:sz w:val="12"/>
        </w:rPr>
        <w:t xml:space="preserve"> </w:t>
      </w:r>
      <w:r>
        <w:rPr>
          <w:sz w:val="12"/>
        </w:rPr>
        <w:t>la</w:t>
      </w:r>
      <w:r>
        <w:rPr>
          <w:spacing w:val="8"/>
          <w:sz w:val="12"/>
        </w:rPr>
        <w:t xml:space="preserve"> </w:t>
      </w:r>
      <w:r>
        <w:rPr>
          <w:sz w:val="12"/>
        </w:rPr>
        <w:t>Eliminación</w:t>
      </w:r>
      <w:r>
        <w:rPr>
          <w:spacing w:val="40"/>
          <w:sz w:val="12"/>
        </w:rPr>
        <w:t xml:space="preserve"> </w:t>
      </w:r>
      <w:r>
        <w:rPr>
          <w:sz w:val="12"/>
        </w:rPr>
        <w:t>de Todas las Formas de Discriminación Racial, art. 2 (2).</w:t>
      </w:r>
    </w:p>
    <w:p w14:paraId="0EECB8A2" w14:textId="77777777" w:rsidR="0014798C" w:rsidRDefault="0014798C">
      <w:pPr>
        <w:pStyle w:val="Textoindependiente"/>
        <w:rPr>
          <w:sz w:val="19"/>
        </w:rPr>
      </w:pPr>
    </w:p>
    <w:p w14:paraId="2A73CE95" w14:textId="77777777" w:rsidR="0014798C" w:rsidRDefault="0014798C">
      <w:pPr>
        <w:pStyle w:val="Textoindependiente"/>
        <w:spacing w:before="170"/>
        <w:rPr>
          <w:sz w:val="19"/>
        </w:rPr>
      </w:pPr>
    </w:p>
    <w:p w14:paraId="37C8F8A8" w14:textId="77777777" w:rsidR="0014798C" w:rsidRDefault="004E1F0B">
      <w:pPr>
        <w:ind w:right="724"/>
        <w:jc w:val="right"/>
        <w:rPr>
          <w:sz w:val="19"/>
        </w:rPr>
      </w:pPr>
      <w:r>
        <w:rPr>
          <w:spacing w:val="-5"/>
          <w:sz w:val="19"/>
        </w:rPr>
        <w:t>63</w:t>
      </w:r>
    </w:p>
    <w:p w14:paraId="33F8064B" w14:textId="77777777" w:rsidR="0014798C" w:rsidRDefault="0014798C">
      <w:pPr>
        <w:jc w:val="right"/>
        <w:rPr>
          <w:sz w:val="19"/>
        </w:rPr>
        <w:sectPr w:rsidR="0014798C" w:rsidSect="00F265E4">
          <w:pgSz w:w="11900" w:h="16820"/>
          <w:pgMar w:top="340" w:right="0" w:bottom="280" w:left="200" w:header="121" w:footer="0" w:gutter="0"/>
          <w:cols w:space="720"/>
        </w:sectPr>
      </w:pPr>
    </w:p>
    <w:p w14:paraId="4D164D1A" w14:textId="77777777" w:rsidR="0014798C" w:rsidRDefault="0014798C">
      <w:pPr>
        <w:pStyle w:val="Textoindependiente"/>
        <w:spacing w:before="85"/>
        <w:rPr>
          <w:sz w:val="12"/>
        </w:rPr>
      </w:pPr>
    </w:p>
    <w:p w14:paraId="6B98C0D3" w14:textId="77777777" w:rsidR="0014798C" w:rsidRDefault="004E1F0B">
      <w:pPr>
        <w:ind w:left="1111"/>
        <w:rPr>
          <w:sz w:val="12"/>
        </w:rPr>
      </w:pPr>
      <w:r>
        <w:rPr>
          <w:color w:val="00AC59"/>
          <w:sz w:val="12"/>
        </w:rPr>
        <w:t>PROTECCIÓN</w:t>
      </w:r>
      <w:r>
        <w:rPr>
          <w:color w:val="00AC59"/>
          <w:spacing w:val="6"/>
          <w:sz w:val="12"/>
        </w:rPr>
        <w:t xml:space="preserve"> </w:t>
      </w:r>
      <w:r>
        <w:rPr>
          <w:color w:val="00AC59"/>
          <w:sz w:val="12"/>
        </w:rPr>
        <w:t>DE</w:t>
      </w:r>
      <w:r>
        <w:rPr>
          <w:color w:val="00AC59"/>
          <w:spacing w:val="7"/>
          <w:sz w:val="12"/>
        </w:rPr>
        <w:t xml:space="preserve"> </w:t>
      </w:r>
      <w:r>
        <w:rPr>
          <w:color w:val="00AC59"/>
          <w:sz w:val="12"/>
        </w:rPr>
        <w:t>LOS</w:t>
      </w:r>
      <w:r>
        <w:rPr>
          <w:color w:val="00AC59"/>
          <w:spacing w:val="8"/>
          <w:sz w:val="12"/>
        </w:rPr>
        <w:t xml:space="preserve"> </w:t>
      </w:r>
      <w:r>
        <w:rPr>
          <w:color w:val="00AC59"/>
          <w:sz w:val="12"/>
        </w:rPr>
        <w:t>DERECHOS</w:t>
      </w:r>
      <w:r>
        <w:rPr>
          <w:color w:val="00AC59"/>
          <w:spacing w:val="8"/>
          <w:sz w:val="12"/>
        </w:rPr>
        <w:t xml:space="preserve"> </w:t>
      </w:r>
      <w:r>
        <w:rPr>
          <w:color w:val="00AC59"/>
          <w:sz w:val="12"/>
        </w:rPr>
        <w:t>DE</w:t>
      </w:r>
      <w:r>
        <w:rPr>
          <w:color w:val="00AC59"/>
          <w:spacing w:val="6"/>
          <w:sz w:val="12"/>
        </w:rPr>
        <w:t xml:space="preserve"> </w:t>
      </w:r>
      <w:r>
        <w:rPr>
          <w:color w:val="00AC59"/>
          <w:sz w:val="12"/>
        </w:rPr>
        <w:t>LAS</w:t>
      </w:r>
      <w:r>
        <w:rPr>
          <w:color w:val="00AC59"/>
          <w:spacing w:val="7"/>
          <w:sz w:val="12"/>
        </w:rPr>
        <w:t xml:space="preserve"> </w:t>
      </w:r>
      <w:r>
        <w:rPr>
          <w:color w:val="00AC59"/>
          <w:sz w:val="12"/>
        </w:rPr>
        <w:t>MINORÍAS:</w:t>
      </w:r>
      <w:r>
        <w:rPr>
          <w:color w:val="00AC59"/>
          <w:spacing w:val="8"/>
          <w:sz w:val="12"/>
        </w:rPr>
        <w:t xml:space="preserve"> </w:t>
      </w:r>
      <w:r>
        <w:rPr>
          <w:color w:val="00AC59"/>
          <w:sz w:val="12"/>
        </w:rPr>
        <w:t>una</w:t>
      </w:r>
      <w:r>
        <w:rPr>
          <w:color w:val="00AC59"/>
          <w:spacing w:val="7"/>
          <w:sz w:val="12"/>
        </w:rPr>
        <w:t xml:space="preserve"> </w:t>
      </w:r>
      <w:r>
        <w:rPr>
          <w:color w:val="00AC59"/>
          <w:sz w:val="12"/>
        </w:rPr>
        <w:t>guía</w:t>
      </w:r>
      <w:r>
        <w:rPr>
          <w:color w:val="00AC59"/>
          <w:spacing w:val="6"/>
          <w:sz w:val="12"/>
        </w:rPr>
        <w:t xml:space="preserve"> </w:t>
      </w:r>
      <w:r>
        <w:rPr>
          <w:color w:val="00AC59"/>
          <w:sz w:val="12"/>
        </w:rPr>
        <w:t>práctica</w:t>
      </w:r>
      <w:r>
        <w:rPr>
          <w:color w:val="00AC59"/>
          <w:spacing w:val="7"/>
          <w:sz w:val="12"/>
        </w:rPr>
        <w:t xml:space="preserve"> </w:t>
      </w:r>
      <w:r>
        <w:rPr>
          <w:color w:val="00AC59"/>
          <w:sz w:val="12"/>
        </w:rPr>
        <w:t>para</w:t>
      </w:r>
      <w:r>
        <w:rPr>
          <w:color w:val="00AC59"/>
          <w:spacing w:val="8"/>
          <w:sz w:val="12"/>
        </w:rPr>
        <w:t xml:space="preserve"> </w:t>
      </w:r>
      <w:r>
        <w:rPr>
          <w:color w:val="00AC59"/>
          <w:sz w:val="12"/>
        </w:rPr>
        <w:t>desarrollar</w:t>
      </w:r>
      <w:r>
        <w:rPr>
          <w:color w:val="00AC59"/>
          <w:spacing w:val="6"/>
          <w:sz w:val="12"/>
        </w:rPr>
        <w:t xml:space="preserve"> </w:t>
      </w:r>
      <w:r>
        <w:rPr>
          <w:color w:val="00AC59"/>
          <w:sz w:val="12"/>
        </w:rPr>
        <w:t>una</w:t>
      </w:r>
      <w:r>
        <w:rPr>
          <w:color w:val="00AC59"/>
          <w:spacing w:val="7"/>
          <w:sz w:val="12"/>
        </w:rPr>
        <w:t xml:space="preserve"> </w:t>
      </w:r>
      <w:r>
        <w:rPr>
          <w:color w:val="00AC59"/>
          <w:sz w:val="12"/>
        </w:rPr>
        <w:t>legislación</w:t>
      </w:r>
      <w:r>
        <w:rPr>
          <w:color w:val="00AC59"/>
          <w:spacing w:val="8"/>
          <w:sz w:val="12"/>
        </w:rPr>
        <w:t xml:space="preserve"> </w:t>
      </w:r>
      <w:r>
        <w:rPr>
          <w:color w:val="00AC59"/>
          <w:sz w:val="12"/>
        </w:rPr>
        <w:t>integral</w:t>
      </w:r>
      <w:r>
        <w:rPr>
          <w:color w:val="00AC59"/>
          <w:spacing w:val="7"/>
          <w:sz w:val="12"/>
        </w:rPr>
        <w:t xml:space="preserve"> </w:t>
      </w:r>
      <w:r>
        <w:rPr>
          <w:color w:val="00AC59"/>
          <w:sz w:val="12"/>
        </w:rPr>
        <w:t>contra</w:t>
      </w:r>
      <w:r>
        <w:rPr>
          <w:color w:val="00AC59"/>
          <w:spacing w:val="6"/>
          <w:sz w:val="12"/>
        </w:rPr>
        <w:t xml:space="preserve"> </w:t>
      </w:r>
      <w:r>
        <w:rPr>
          <w:color w:val="00AC59"/>
          <w:sz w:val="12"/>
        </w:rPr>
        <w:t>la</w:t>
      </w:r>
      <w:r>
        <w:rPr>
          <w:color w:val="00AC59"/>
          <w:spacing w:val="7"/>
          <w:sz w:val="12"/>
        </w:rPr>
        <w:t xml:space="preserve"> </w:t>
      </w:r>
      <w:r>
        <w:rPr>
          <w:color w:val="00AC59"/>
          <w:spacing w:val="-2"/>
          <w:sz w:val="12"/>
        </w:rPr>
        <w:t>discriminación</w:t>
      </w:r>
    </w:p>
    <w:p w14:paraId="5E2A4B72" w14:textId="77777777" w:rsidR="0014798C" w:rsidRDefault="0014798C">
      <w:pPr>
        <w:pStyle w:val="Textoindependiente"/>
      </w:pPr>
    </w:p>
    <w:p w14:paraId="179D4ABB" w14:textId="77777777" w:rsidR="0014798C" w:rsidRDefault="0014798C">
      <w:pPr>
        <w:pStyle w:val="Textoindependiente"/>
      </w:pPr>
    </w:p>
    <w:p w14:paraId="08489425" w14:textId="77777777" w:rsidR="0014798C" w:rsidRDefault="0014798C">
      <w:pPr>
        <w:pStyle w:val="Textoindependiente"/>
      </w:pPr>
    </w:p>
    <w:p w14:paraId="6368095C" w14:textId="77777777" w:rsidR="0014798C" w:rsidRDefault="0014798C">
      <w:pPr>
        <w:pStyle w:val="Textoindependiente"/>
      </w:pPr>
    </w:p>
    <w:p w14:paraId="293BF7EC" w14:textId="77777777" w:rsidR="0014798C" w:rsidRDefault="0014798C">
      <w:pPr>
        <w:pStyle w:val="Textoindependiente"/>
        <w:spacing w:before="73"/>
      </w:pPr>
    </w:p>
    <w:p w14:paraId="7CA2E8FB" w14:textId="77777777" w:rsidR="0014798C" w:rsidRDefault="004E1F0B">
      <w:pPr>
        <w:pStyle w:val="Textoindependiente"/>
        <w:spacing w:line="326" w:lineRule="auto"/>
        <w:ind w:left="1110" w:right="1338" w:hanging="1"/>
      </w:pPr>
      <w:r>
        <w:t>para las cuales fueron empleadas –los objetivos de igualdad– se han logrado de manera sostenible”,514 una posición de la que</w:t>
      </w:r>
      <w:r>
        <w:rPr>
          <w:spacing w:val="80"/>
        </w:rPr>
        <w:t xml:space="preserve"> </w:t>
      </w:r>
      <w:r>
        <w:t>se</w:t>
      </w:r>
      <w:r>
        <w:rPr>
          <w:spacing w:val="12"/>
        </w:rPr>
        <w:t xml:space="preserve"> </w:t>
      </w:r>
      <w:r>
        <w:t>hacen</w:t>
      </w:r>
      <w:r>
        <w:rPr>
          <w:spacing w:val="12"/>
        </w:rPr>
        <w:t xml:space="preserve"> </w:t>
      </w:r>
      <w:r>
        <w:t>eco</w:t>
      </w:r>
      <w:r>
        <w:rPr>
          <w:spacing w:val="12"/>
        </w:rPr>
        <w:t xml:space="preserve"> </w:t>
      </w:r>
      <w:r>
        <w:t>casi</w:t>
      </w:r>
      <w:r>
        <w:rPr>
          <w:spacing w:val="13"/>
        </w:rPr>
        <w:t xml:space="preserve"> </w:t>
      </w:r>
      <w:r>
        <w:t>palabra</w:t>
      </w:r>
      <w:r>
        <w:rPr>
          <w:spacing w:val="12"/>
        </w:rPr>
        <w:t xml:space="preserve"> </w:t>
      </w:r>
      <w:r>
        <w:t>por</w:t>
      </w:r>
      <w:r>
        <w:rPr>
          <w:spacing w:val="12"/>
        </w:rPr>
        <w:t xml:space="preserve"> </w:t>
      </w:r>
      <w:r>
        <w:t>palabra</w:t>
      </w:r>
      <w:r>
        <w:rPr>
          <w:spacing w:val="12"/>
        </w:rPr>
        <w:t xml:space="preserve"> </w:t>
      </w:r>
      <w:r>
        <w:t>tanto</w:t>
      </w:r>
      <w:r>
        <w:rPr>
          <w:spacing w:val="12"/>
        </w:rPr>
        <w:t xml:space="preserve"> </w:t>
      </w:r>
      <w:r>
        <w:t>el</w:t>
      </w:r>
      <w:r>
        <w:rPr>
          <w:spacing w:val="12"/>
        </w:rPr>
        <w:t xml:space="preserve"> </w:t>
      </w:r>
      <w:r>
        <w:t>Comité</w:t>
      </w:r>
      <w:r>
        <w:rPr>
          <w:spacing w:val="12"/>
        </w:rPr>
        <w:t xml:space="preserve"> </w:t>
      </w:r>
      <w:r>
        <w:t>para</w:t>
      </w:r>
      <w:r>
        <w:rPr>
          <w:spacing w:val="12"/>
        </w:rPr>
        <w:t xml:space="preserve"> </w:t>
      </w:r>
      <w:r>
        <w:t>la</w:t>
      </w:r>
      <w:r>
        <w:rPr>
          <w:spacing w:val="12"/>
        </w:rPr>
        <w:t xml:space="preserve"> </w:t>
      </w:r>
      <w:r>
        <w:t>Eliminación</w:t>
      </w:r>
      <w:r>
        <w:rPr>
          <w:spacing w:val="12"/>
        </w:rPr>
        <w:t xml:space="preserve"> </w:t>
      </w:r>
      <w:r>
        <w:t>de</w:t>
      </w:r>
      <w:r>
        <w:rPr>
          <w:spacing w:val="12"/>
        </w:rPr>
        <w:t xml:space="preserve"> </w:t>
      </w:r>
      <w:r>
        <w:t>la</w:t>
      </w:r>
      <w:r>
        <w:rPr>
          <w:spacing w:val="12"/>
        </w:rPr>
        <w:t xml:space="preserve"> </w:t>
      </w:r>
      <w:r>
        <w:t>Discriminación</w:t>
      </w:r>
      <w:r>
        <w:rPr>
          <w:spacing w:val="13"/>
        </w:rPr>
        <w:t xml:space="preserve"> </w:t>
      </w:r>
      <w:r>
        <w:t>contra</w:t>
      </w:r>
      <w:r>
        <w:rPr>
          <w:spacing w:val="12"/>
        </w:rPr>
        <w:t xml:space="preserve"> </w:t>
      </w:r>
      <w:r>
        <w:t>la</w:t>
      </w:r>
      <w:r>
        <w:rPr>
          <w:spacing w:val="12"/>
        </w:rPr>
        <w:t xml:space="preserve"> </w:t>
      </w:r>
      <w:r>
        <w:t>Mujer</w:t>
      </w:r>
      <w:r>
        <w:rPr>
          <w:spacing w:val="12"/>
        </w:rPr>
        <w:t xml:space="preserve"> </w:t>
      </w:r>
      <w:r>
        <w:t>como</w:t>
      </w:r>
      <w:r>
        <w:rPr>
          <w:spacing w:val="12"/>
        </w:rPr>
        <w:t xml:space="preserve"> </w:t>
      </w:r>
      <w:r>
        <w:t>el</w:t>
      </w:r>
      <w:r>
        <w:rPr>
          <w:spacing w:val="12"/>
        </w:rPr>
        <w:t xml:space="preserve"> </w:t>
      </w:r>
      <w:r>
        <w:t>Comité de Derechos Económicos, Sociales y Culturales.515</w:t>
      </w:r>
    </w:p>
    <w:p w14:paraId="10D0D3A2" w14:textId="77777777" w:rsidR="0014798C" w:rsidRDefault="004E1F0B">
      <w:pPr>
        <w:pStyle w:val="Textoindependiente"/>
        <w:spacing w:before="169" w:line="326" w:lineRule="auto"/>
        <w:ind w:left="1105" w:right="1272"/>
      </w:pPr>
      <w:r>
        <w:t>Existe un claro consenso en que “temporal” no equivale a “breve”: el Comité para la Eliminación de la Discriminación Racial ha señalado que el plazo variará en función de los objetivos, los medios y los resultados, mientras que el Comité para la Eliminación</w:t>
      </w:r>
      <w:r>
        <w:rPr>
          <w:spacing w:val="80"/>
        </w:rPr>
        <w:t xml:space="preserve"> </w:t>
      </w:r>
      <w:r>
        <w:t>de</w:t>
      </w:r>
      <w:r>
        <w:rPr>
          <w:spacing w:val="15"/>
        </w:rPr>
        <w:t xml:space="preserve"> </w:t>
      </w:r>
      <w:r>
        <w:t>la</w:t>
      </w:r>
      <w:r>
        <w:rPr>
          <w:spacing w:val="15"/>
        </w:rPr>
        <w:t xml:space="preserve"> </w:t>
      </w:r>
      <w:r>
        <w:t>Discriminación</w:t>
      </w:r>
      <w:r>
        <w:rPr>
          <w:spacing w:val="16"/>
        </w:rPr>
        <w:t xml:space="preserve"> </w:t>
      </w:r>
      <w:r>
        <w:t>Racial</w:t>
      </w:r>
      <w:r>
        <w:rPr>
          <w:spacing w:val="15"/>
        </w:rPr>
        <w:t xml:space="preserve"> </w:t>
      </w:r>
      <w:r>
        <w:t>contra</w:t>
      </w:r>
      <w:r>
        <w:rPr>
          <w:spacing w:val="15"/>
        </w:rPr>
        <w:t xml:space="preserve"> </w:t>
      </w:r>
      <w:r>
        <w:t>la</w:t>
      </w:r>
      <w:r>
        <w:rPr>
          <w:spacing w:val="15"/>
        </w:rPr>
        <w:t xml:space="preserve"> </w:t>
      </w:r>
      <w:r>
        <w:t>Mujer</w:t>
      </w:r>
      <w:r>
        <w:rPr>
          <w:spacing w:val="15"/>
        </w:rPr>
        <w:t xml:space="preserve"> </w:t>
      </w:r>
      <w:r>
        <w:t>ha</w:t>
      </w:r>
      <w:r>
        <w:rPr>
          <w:spacing w:val="15"/>
        </w:rPr>
        <w:t xml:space="preserve"> </w:t>
      </w:r>
      <w:r>
        <w:t>declarado</w:t>
      </w:r>
      <w:r>
        <w:rPr>
          <w:spacing w:val="15"/>
        </w:rPr>
        <w:t xml:space="preserve"> </w:t>
      </w:r>
      <w:r>
        <w:t>que</w:t>
      </w:r>
      <w:r>
        <w:rPr>
          <w:spacing w:val="15"/>
        </w:rPr>
        <w:t xml:space="preserve"> </w:t>
      </w:r>
      <w:r>
        <w:t>pueden</w:t>
      </w:r>
      <w:r>
        <w:rPr>
          <w:spacing w:val="15"/>
        </w:rPr>
        <w:t xml:space="preserve"> </w:t>
      </w:r>
      <w:r>
        <w:t>ser</w:t>
      </w:r>
      <w:r>
        <w:rPr>
          <w:spacing w:val="15"/>
        </w:rPr>
        <w:t xml:space="preserve"> </w:t>
      </w:r>
      <w:r>
        <w:t>necesarias</w:t>
      </w:r>
      <w:r>
        <w:rPr>
          <w:spacing w:val="15"/>
        </w:rPr>
        <w:t xml:space="preserve"> </w:t>
      </w:r>
      <w:r>
        <w:t>medidas</w:t>
      </w:r>
      <w:r>
        <w:rPr>
          <w:spacing w:val="15"/>
        </w:rPr>
        <w:t xml:space="preserve"> </w:t>
      </w:r>
      <w:r>
        <w:t>durante</w:t>
      </w:r>
      <w:r>
        <w:rPr>
          <w:spacing w:val="15"/>
        </w:rPr>
        <w:t xml:space="preserve"> </w:t>
      </w:r>
      <w:r>
        <w:t>“un</w:t>
      </w:r>
      <w:r>
        <w:rPr>
          <w:spacing w:val="15"/>
        </w:rPr>
        <w:t xml:space="preserve"> </w:t>
      </w:r>
      <w:r>
        <w:t>largo</w:t>
      </w:r>
      <w:r>
        <w:rPr>
          <w:spacing w:val="15"/>
        </w:rPr>
        <w:t xml:space="preserve"> </w:t>
      </w:r>
      <w:r>
        <w:t>período</w:t>
      </w:r>
      <w:r>
        <w:rPr>
          <w:spacing w:val="15"/>
        </w:rPr>
        <w:t xml:space="preserve"> </w:t>
      </w:r>
      <w:r>
        <w:t>de tiempo”.</w:t>
      </w:r>
      <w:r>
        <w:rPr>
          <w:spacing w:val="17"/>
        </w:rPr>
        <w:t xml:space="preserve"> </w:t>
      </w:r>
      <w:r>
        <w:t>516</w:t>
      </w:r>
      <w:r>
        <w:rPr>
          <w:spacing w:val="16"/>
        </w:rPr>
        <w:t xml:space="preserve"> </w:t>
      </w:r>
      <w:r>
        <w:t>Comparten</w:t>
      </w:r>
      <w:r>
        <w:rPr>
          <w:spacing w:val="16"/>
        </w:rPr>
        <w:t xml:space="preserve"> </w:t>
      </w:r>
      <w:r>
        <w:t>la</w:t>
      </w:r>
      <w:r>
        <w:rPr>
          <w:spacing w:val="16"/>
        </w:rPr>
        <w:t xml:space="preserve"> </w:t>
      </w:r>
      <w:r>
        <w:t>posición</w:t>
      </w:r>
      <w:r>
        <w:rPr>
          <w:spacing w:val="16"/>
        </w:rPr>
        <w:t xml:space="preserve"> </w:t>
      </w:r>
      <w:r>
        <w:t>de</w:t>
      </w:r>
      <w:r>
        <w:rPr>
          <w:spacing w:val="16"/>
        </w:rPr>
        <w:t xml:space="preserve"> </w:t>
      </w:r>
      <w:r>
        <w:t>que</w:t>
      </w:r>
      <w:r>
        <w:rPr>
          <w:spacing w:val="16"/>
        </w:rPr>
        <w:t xml:space="preserve"> </w:t>
      </w:r>
      <w:r>
        <w:t>las</w:t>
      </w:r>
      <w:r>
        <w:rPr>
          <w:spacing w:val="16"/>
        </w:rPr>
        <w:t xml:space="preserve"> </w:t>
      </w:r>
      <w:r>
        <w:t>medidas</w:t>
      </w:r>
      <w:r>
        <w:rPr>
          <w:spacing w:val="16"/>
        </w:rPr>
        <w:t xml:space="preserve"> </w:t>
      </w:r>
      <w:r>
        <w:t>deben</w:t>
      </w:r>
      <w:r>
        <w:rPr>
          <w:spacing w:val="16"/>
        </w:rPr>
        <w:t xml:space="preserve"> </w:t>
      </w:r>
      <w:r>
        <w:t>suspenderse</w:t>
      </w:r>
      <w:r>
        <w:rPr>
          <w:spacing w:val="17"/>
        </w:rPr>
        <w:t xml:space="preserve"> </w:t>
      </w:r>
      <w:r>
        <w:t>cuando</w:t>
      </w:r>
      <w:r>
        <w:rPr>
          <w:spacing w:val="16"/>
        </w:rPr>
        <w:t xml:space="preserve"> </w:t>
      </w:r>
      <w:r>
        <w:t>los</w:t>
      </w:r>
      <w:r>
        <w:rPr>
          <w:spacing w:val="16"/>
        </w:rPr>
        <w:t xml:space="preserve"> </w:t>
      </w:r>
      <w:r>
        <w:t>resultados</w:t>
      </w:r>
      <w:r>
        <w:rPr>
          <w:spacing w:val="16"/>
        </w:rPr>
        <w:t xml:space="preserve"> </w:t>
      </w:r>
      <w:r>
        <w:t>se</w:t>
      </w:r>
      <w:r>
        <w:rPr>
          <w:spacing w:val="16"/>
        </w:rPr>
        <w:t xml:space="preserve"> </w:t>
      </w:r>
      <w:r>
        <w:t>hayan</w:t>
      </w:r>
      <w:r>
        <w:rPr>
          <w:spacing w:val="16"/>
        </w:rPr>
        <w:t xml:space="preserve"> </w:t>
      </w:r>
      <w:r>
        <w:t>logrado</w:t>
      </w:r>
      <w:r>
        <w:rPr>
          <w:spacing w:val="16"/>
        </w:rPr>
        <w:t xml:space="preserve"> </w:t>
      </w:r>
      <w:r>
        <w:t>y sostenido, no sobre la base de un “paso de tiempo predeterminado”. 517 En su Observación general núm. 6 (2018), el Comité</w:t>
      </w:r>
      <w:r>
        <w:rPr>
          <w:spacing w:val="40"/>
        </w:rPr>
        <w:t xml:space="preserve"> </w:t>
      </w:r>
      <w:r>
        <w:t>sobre los Derechos de las Personas con Discapacidad ha indicado que en determinadas circunstancias pueden ser necesarias “medidas permanentes” de facto, “dependiendo del contexto y las circunstancias, incluso en virtud de una situación particular”. discapacidad o las barreras estructurales de la sociedad”.518</w:t>
      </w:r>
    </w:p>
    <w:p w14:paraId="36539770" w14:textId="77777777" w:rsidR="0014798C" w:rsidRDefault="004E1F0B">
      <w:pPr>
        <w:pStyle w:val="Textoindependiente"/>
        <w:spacing w:before="166" w:line="326" w:lineRule="auto"/>
        <w:ind w:left="1107" w:right="1337" w:firstLine="7"/>
      </w:pPr>
      <w:r>
        <w:t>Dada</w:t>
      </w:r>
      <w:r>
        <w:rPr>
          <w:spacing w:val="14"/>
        </w:rPr>
        <w:t xml:space="preserve"> </w:t>
      </w:r>
      <w:r>
        <w:t>la</w:t>
      </w:r>
      <w:r>
        <w:rPr>
          <w:spacing w:val="14"/>
        </w:rPr>
        <w:t xml:space="preserve"> </w:t>
      </w:r>
      <w:r>
        <w:t>necesidad</w:t>
      </w:r>
      <w:r>
        <w:rPr>
          <w:spacing w:val="14"/>
        </w:rPr>
        <w:t xml:space="preserve"> </w:t>
      </w:r>
      <w:r>
        <w:t>de</w:t>
      </w:r>
      <w:r>
        <w:rPr>
          <w:spacing w:val="14"/>
        </w:rPr>
        <w:t xml:space="preserve"> </w:t>
      </w:r>
      <w:r>
        <w:t>garantizar</w:t>
      </w:r>
      <w:r>
        <w:rPr>
          <w:spacing w:val="14"/>
        </w:rPr>
        <w:t xml:space="preserve"> </w:t>
      </w:r>
      <w:r>
        <w:t>que</w:t>
      </w:r>
      <w:r>
        <w:rPr>
          <w:spacing w:val="14"/>
        </w:rPr>
        <w:t xml:space="preserve"> </w:t>
      </w:r>
      <w:r>
        <w:t>las</w:t>
      </w:r>
      <w:r>
        <w:rPr>
          <w:spacing w:val="14"/>
        </w:rPr>
        <w:t xml:space="preserve"> </w:t>
      </w:r>
      <w:r>
        <w:t>medidas</w:t>
      </w:r>
      <w:r>
        <w:rPr>
          <w:spacing w:val="14"/>
        </w:rPr>
        <w:t xml:space="preserve"> </w:t>
      </w:r>
      <w:r>
        <w:t>de</w:t>
      </w:r>
      <w:r>
        <w:rPr>
          <w:spacing w:val="14"/>
        </w:rPr>
        <w:t xml:space="preserve"> </w:t>
      </w:r>
      <w:r>
        <w:t>acción</w:t>
      </w:r>
      <w:r>
        <w:rPr>
          <w:spacing w:val="14"/>
        </w:rPr>
        <w:t xml:space="preserve"> </w:t>
      </w:r>
      <w:r>
        <w:t>positiva</w:t>
      </w:r>
      <w:r>
        <w:rPr>
          <w:spacing w:val="14"/>
        </w:rPr>
        <w:t xml:space="preserve"> </w:t>
      </w:r>
      <w:r>
        <w:t>cesen</w:t>
      </w:r>
      <w:r>
        <w:rPr>
          <w:spacing w:val="14"/>
        </w:rPr>
        <w:t xml:space="preserve"> </w:t>
      </w:r>
      <w:r>
        <w:t>cuando</w:t>
      </w:r>
      <w:r>
        <w:rPr>
          <w:spacing w:val="14"/>
        </w:rPr>
        <w:t xml:space="preserve"> </w:t>
      </w:r>
      <w:r>
        <w:t>se</w:t>
      </w:r>
      <w:r>
        <w:rPr>
          <w:spacing w:val="14"/>
        </w:rPr>
        <w:t xml:space="preserve"> </w:t>
      </w:r>
      <w:r>
        <w:t>haya</w:t>
      </w:r>
      <w:r>
        <w:rPr>
          <w:spacing w:val="14"/>
        </w:rPr>
        <w:t xml:space="preserve"> </w:t>
      </w:r>
      <w:r>
        <w:t>logrado</w:t>
      </w:r>
      <w:r>
        <w:rPr>
          <w:spacing w:val="14"/>
        </w:rPr>
        <w:t xml:space="preserve"> </w:t>
      </w:r>
      <w:r>
        <w:t>el</w:t>
      </w:r>
      <w:r>
        <w:rPr>
          <w:spacing w:val="14"/>
        </w:rPr>
        <w:t xml:space="preserve"> </w:t>
      </w:r>
      <w:r>
        <w:t>objetivo</w:t>
      </w:r>
      <w:r>
        <w:rPr>
          <w:spacing w:val="14"/>
        </w:rPr>
        <w:t xml:space="preserve"> </w:t>
      </w:r>
      <w:r>
        <w:t>de</w:t>
      </w:r>
      <w:r>
        <w:rPr>
          <w:spacing w:val="14"/>
        </w:rPr>
        <w:t xml:space="preserve"> </w:t>
      </w:r>
      <w:r>
        <w:t>igualdad, pero</w:t>
      </w:r>
      <w:r>
        <w:rPr>
          <w:spacing w:val="15"/>
        </w:rPr>
        <w:t xml:space="preserve"> </w:t>
      </w:r>
      <w:r>
        <w:t>no</w:t>
      </w:r>
      <w:r>
        <w:rPr>
          <w:spacing w:val="15"/>
        </w:rPr>
        <w:t xml:space="preserve"> </w:t>
      </w:r>
      <w:r>
        <w:t>antes</w:t>
      </w:r>
      <w:r>
        <w:rPr>
          <w:spacing w:val="15"/>
        </w:rPr>
        <w:t xml:space="preserve"> </w:t>
      </w:r>
      <w:r>
        <w:t>–y</w:t>
      </w:r>
      <w:r>
        <w:rPr>
          <w:spacing w:val="15"/>
        </w:rPr>
        <w:t xml:space="preserve"> </w:t>
      </w:r>
      <w:r>
        <w:t>de</w:t>
      </w:r>
      <w:r>
        <w:rPr>
          <w:spacing w:val="15"/>
        </w:rPr>
        <w:t xml:space="preserve"> </w:t>
      </w:r>
      <w:r>
        <w:t>garantizar</w:t>
      </w:r>
      <w:r>
        <w:rPr>
          <w:spacing w:val="15"/>
        </w:rPr>
        <w:t xml:space="preserve"> </w:t>
      </w:r>
      <w:r>
        <w:t>que</w:t>
      </w:r>
      <w:r>
        <w:rPr>
          <w:spacing w:val="15"/>
        </w:rPr>
        <w:t xml:space="preserve"> </w:t>
      </w:r>
      <w:r>
        <w:t>las</w:t>
      </w:r>
      <w:r>
        <w:rPr>
          <w:spacing w:val="15"/>
        </w:rPr>
        <w:t xml:space="preserve"> </w:t>
      </w:r>
      <w:r>
        <w:t>medidas</w:t>
      </w:r>
      <w:r>
        <w:rPr>
          <w:spacing w:val="15"/>
        </w:rPr>
        <w:t xml:space="preserve"> </w:t>
      </w:r>
      <w:r>
        <w:t>se</w:t>
      </w:r>
      <w:r>
        <w:rPr>
          <w:spacing w:val="15"/>
        </w:rPr>
        <w:t xml:space="preserve"> </w:t>
      </w:r>
      <w:r>
        <w:t>mejoren</w:t>
      </w:r>
      <w:r>
        <w:rPr>
          <w:spacing w:val="15"/>
        </w:rPr>
        <w:t xml:space="preserve"> </w:t>
      </w:r>
      <w:r>
        <w:t>si</w:t>
      </w:r>
      <w:r>
        <w:rPr>
          <w:spacing w:val="15"/>
        </w:rPr>
        <w:t xml:space="preserve"> </w:t>
      </w:r>
      <w:r>
        <w:t>son</w:t>
      </w:r>
      <w:r>
        <w:rPr>
          <w:spacing w:val="15"/>
        </w:rPr>
        <w:t xml:space="preserve"> </w:t>
      </w:r>
      <w:r>
        <w:t>ineficaces</w:t>
      </w:r>
      <w:r>
        <w:rPr>
          <w:spacing w:val="15"/>
        </w:rPr>
        <w:t xml:space="preserve"> </w:t>
      </w:r>
      <w:r>
        <w:t>en</w:t>
      </w:r>
      <w:r>
        <w:rPr>
          <w:spacing w:val="15"/>
        </w:rPr>
        <w:t xml:space="preserve"> </w:t>
      </w:r>
      <w:r>
        <w:t>la</w:t>
      </w:r>
      <w:r>
        <w:rPr>
          <w:spacing w:val="15"/>
        </w:rPr>
        <w:t xml:space="preserve"> </w:t>
      </w:r>
      <w:r>
        <w:t>práctica–,</w:t>
      </w:r>
      <w:r>
        <w:rPr>
          <w:spacing w:val="16"/>
        </w:rPr>
        <w:t xml:space="preserve"> </w:t>
      </w:r>
      <w:r>
        <w:t>todas</w:t>
      </w:r>
      <w:r>
        <w:rPr>
          <w:spacing w:val="15"/>
        </w:rPr>
        <w:t xml:space="preserve"> </w:t>
      </w:r>
      <w:r>
        <w:t>las</w:t>
      </w:r>
      <w:r>
        <w:rPr>
          <w:spacing w:val="15"/>
        </w:rPr>
        <w:t xml:space="preserve"> </w:t>
      </w:r>
      <w:r>
        <w:t>medidas</w:t>
      </w:r>
      <w:r>
        <w:rPr>
          <w:spacing w:val="15"/>
        </w:rPr>
        <w:t xml:space="preserve"> </w:t>
      </w:r>
      <w:r>
        <w:t>adoptadas deben estar sujetas a revisión y seguimiento periódicos.</w:t>
      </w:r>
      <w:r>
        <w:rPr>
          <w:spacing w:val="13"/>
        </w:rPr>
        <w:t xml:space="preserve"> </w:t>
      </w:r>
      <w:r>
        <w:t>El Comité para la Eliminación de la Discriminación Racial, por ejemplo,</w:t>
      </w:r>
      <w:r>
        <w:rPr>
          <w:spacing w:val="80"/>
        </w:rPr>
        <w:t xml:space="preserve"> </w:t>
      </w:r>
      <w:r>
        <w:t>ha subrayado la necesidad de “un sistema continuo de seguimiento [de] la aplicación y los resultados utilizando, según corresponda, métodos de evaluación cuantitativos y cualitativos”, así como la necesidad de considerar las consecuencias de un “retiro</w:t>
      </w:r>
      <w:r>
        <w:rPr>
          <w:spacing w:val="12"/>
        </w:rPr>
        <w:t xml:space="preserve"> </w:t>
      </w:r>
      <w:r>
        <w:t>abrupto</w:t>
      </w:r>
      <w:r>
        <w:rPr>
          <w:spacing w:val="12"/>
        </w:rPr>
        <w:t xml:space="preserve"> </w:t>
      </w:r>
      <w:r>
        <w:t>de</w:t>
      </w:r>
      <w:r>
        <w:rPr>
          <w:spacing w:val="12"/>
        </w:rPr>
        <w:t xml:space="preserve"> </w:t>
      </w:r>
      <w:r>
        <w:t>medidas</w:t>
      </w:r>
      <w:r>
        <w:rPr>
          <w:spacing w:val="12"/>
        </w:rPr>
        <w:t xml:space="preserve"> </w:t>
      </w:r>
      <w:r>
        <w:t>especiales”</w:t>
      </w:r>
      <w:r>
        <w:rPr>
          <w:spacing w:val="12"/>
        </w:rPr>
        <w:t xml:space="preserve"> </w:t>
      </w:r>
      <w:r>
        <w:t>para</w:t>
      </w:r>
      <w:r>
        <w:rPr>
          <w:spacing w:val="12"/>
        </w:rPr>
        <w:t xml:space="preserve"> </w:t>
      </w:r>
      <w:r>
        <w:t>los</w:t>
      </w:r>
      <w:r>
        <w:rPr>
          <w:spacing w:val="12"/>
        </w:rPr>
        <w:t xml:space="preserve"> </w:t>
      </w:r>
      <w:r>
        <w:t>grupos</w:t>
      </w:r>
      <w:r>
        <w:rPr>
          <w:spacing w:val="12"/>
        </w:rPr>
        <w:t xml:space="preserve"> </w:t>
      </w:r>
      <w:r>
        <w:t>afectados.519</w:t>
      </w:r>
      <w:r>
        <w:rPr>
          <w:spacing w:val="12"/>
        </w:rPr>
        <w:t xml:space="preserve"> </w:t>
      </w:r>
      <w:r>
        <w:t>El</w:t>
      </w:r>
      <w:r>
        <w:rPr>
          <w:spacing w:val="12"/>
        </w:rPr>
        <w:t xml:space="preserve"> </w:t>
      </w:r>
      <w:r>
        <w:t>Comité</w:t>
      </w:r>
      <w:r>
        <w:rPr>
          <w:spacing w:val="12"/>
        </w:rPr>
        <w:t xml:space="preserve"> </w:t>
      </w:r>
      <w:r>
        <w:t>para</w:t>
      </w:r>
      <w:r>
        <w:rPr>
          <w:spacing w:val="12"/>
        </w:rPr>
        <w:t xml:space="preserve"> </w:t>
      </w:r>
      <w:r>
        <w:t>la</w:t>
      </w:r>
      <w:r>
        <w:rPr>
          <w:spacing w:val="12"/>
        </w:rPr>
        <w:t xml:space="preserve"> </w:t>
      </w:r>
      <w:r>
        <w:t>Eliminación</w:t>
      </w:r>
      <w:r>
        <w:rPr>
          <w:spacing w:val="12"/>
        </w:rPr>
        <w:t xml:space="preserve"> </w:t>
      </w:r>
      <w:r>
        <w:t>de</w:t>
      </w:r>
      <w:r>
        <w:rPr>
          <w:spacing w:val="12"/>
        </w:rPr>
        <w:t xml:space="preserve"> </w:t>
      </w:r>
      <w:r>
        <w:t>la</w:t>
      </w:r>
      <w:r>
        <w:rPr>
          <w:spacing w:val="12"/>
        </w:rPr>
        <w:t xml:space="preserve"> </w:t>
      </w:r>
      <w:r>
        <w:t>Discriminación</w:t>
      </w:r>
      <w:r>
        <w:rPr>
          <w:spacing w:val="14"/>
        </w:rPr>
        <w:t xml:space="preserve"> </w:t>
      </w:r>
      <w:r>
        <w:t>contra la</w:t>
      </w:r>
      <w:r>
        <w:rPr>
          <w:spacing w:val="11"/>
        </w:rPr>
        <w:t xml:space="preserve"> </w:t>
      </w:r>
      <w:r>
        <w:t>Mujer</w:t>
      </w:r>
      <w:r>
        <w:rPr>
          <w:spacing w:val="11"/>
        </w:rPr>
        <w:t xml:space="preserve"> </w:t>
      </w:r>
      <w:r>
        <w:t>ha</w:t>
      </w:r>
      <w:r>
        <w:rPr>
          <w:spacing w:val="11"/>
        </w:rPr>
        <w:t xml:space="preserve"> </w:t>
      </w:r>
      <w:r>
        <w:t>destacado</w:t>
      </w:r>
      <w:r>
        <w:rPr>
          <w:spacing w:val="11"/>
        </w:rPr>
        <w:t xml:space="preserve"> </w:t>
      </w:r>
      <w:r>
        <w:t>la</w:t>
      </w:r>
      <w:r>
        <w:rPr>
          <w:spacing w:val="11"/>
        </w:rPr>
        <w:t xml:space="preserve"> </w:t>
      </w:r>
      <w:r>
        <w:t>importancia</w:t>
      </w:r>
      <w:r>
        <w:rPr>
          <w:spacing w:val="11"/>
        </w:rPr>
        <w:t xml:space="preserve"> </w:t>
      </w:r>
      <w:r>
        <w:t>de</w:t>
      </w:r>
      <w:r>
        <w:rPr>
          <w:spacing w:val="11"/>
        </w:rPr>
        <w:t xml:space="preserve"> </w:t>
      </w:r>
      <w:r>
        <w:t>la</w:t>
      </w:r>
      <w:r>
        <w:rPr>
          <w:spacing w:val="11"/>
        </w:rPr>
        <w:t xml:space="preserve"> </w:t>
      </w:r>
      <w:r>
        <w:t>participación,</w:t>
      </w:r>
      <w:r>
        <w:rPr>
          <w:spacing w:val="14"/>
        </w:rPr>
        <w:t xml:space="preserve"> </w:t>
      </w:r>
      <w:r>
        <w:t>la</w:t>
      </w:r>
      <w:r>
        <w:rPr>
          <w:spacing w:val="11"/>
        </w:rPr>
        <w:t xml:space="preserve"> </w:t>
      </w:r>
      <w:r>
        <w:t>consulta</w:t>
      </w:r>
      <w:r>
        <w:rPr>
          <w:spacing w:val="11"/>
        </w:rPr>
        <w:t xml:space="preserve"> </w:t>
      </w:r>
      <w:r>
        <w:t>y</w:t>
      </w:r>
      <w:r>
        <w:rPr>
          <w:spacing w:val="11"/>
        </w:rPr>
        <w:t xml:space="preserve"> </w:t>
      </w:r>
      <w:r>
        <w:t>el</w:t>
      </w:r>
      <w:r>
        <w:rPr>
          <w:spacing w:val="11"/>
        </w:rPr>
        <w:t xml:space="preserve"> </w:t>
      </w:r>
      <w:r>
        <w:t>uso</w:t>
      </w:r>
      <w:r>
        <w:rPr>
          <w:spacing w:val="11"/>
        </w:rPr>
        <w:t xml:space="preserve"> </w:t>
      </w:r>
      <w:r>
        <w:t>de</w:t>
      </w:r>
      <w:r>
        <w:rPr>
          <w:spacing w:val="11"/>
        </w:rPr>
        <w:t xml:space="preserve"> </w:t>
      </w:r>
      <w:r>
        <w:t>datos</w:t>
      </w:r>
      <w:r>
        <w:rPr>
          <w:spacing w:val="11"/>
        </w:rPr>
        <w:t xml:space="preserve"> </w:t>
      </w:r>
      <w:r>
        <w:t>para</w:t>
      </w:r>
      <w:r>
        <w:rPr>
          <w:spacing w:val="11"/>
        </w:rPr>
        <w:t xml:space="preserve"> </w:t>
      </w:r>
      <w:r>
        <w:t>evaluar</w:t>
      </w:r>
      <w:r>
        <w:rPr>
          <w:spacing w:val="11"/>
        </w:rPr>
        <w:t xml:space="preserve"> </w:t>
      </w:r>
      <w:r>
        <w:t>el</w:t>
      </w:r>
      <w:r>
        <w:rPr>
          <w:spacing w:val="11"/>
        </w:rPr>
        <w:t xml:space="preserve"> </w:t>
      </w:r>
      <w:r>
        <w:t>progreso</w:t>
      </w:r>
      <w:r>
        <w:rPr>
          <w:spacing w:val="13"/>
        </w:rPr>
        <w:t xml:space="preserve"> </w:t>
      </w:r>
      <w:r>
        <w:t>y</w:t>
      </w:r>
      <w:r>
        <w:rPr>
          <w:spacing w:val="11"/>
        </w:rPr>
        <w:t xml:space="preserve"> </w:t>
      </w:r>
      <w:r>
        <w:t>la</w:t>
      </w:r>
      <w:r>
        <w:rPr>
          <w:spacing w:val="11"/>
        </w:rPr>
        <w:t xml:space="preserve"> </w:t>
      </w:r>
      <w:r>
        <w:t>eficacia</w:t>
      </w:r>
      <w:r>
        <w:rPr>
          <w:spacing w:val="11"/>
        </w:rPr>
        <w:t xml:space="preserve"> </w:t>
      </w:r>
      <w:r>
        <w:t>de las medidas especiales.520</w:t>
      </w:r>
    </w:p>
    <w:p w14:paraId="3FE57642" w14:textId="77777777" w:rsidR="0014798C" w:rsidRDefault="004E1F0B">
      <w:pPr>
        <w:spacing w:before="161"/>
        <w:ind w:left="1115"/>
        <w:rPr>
          <w:sz w:val="19"/>
        </w:rPr>
      </w:pPr>
      <w:r>
        <w:rPr>
          <w:sz w:val="19"/>
        </w:rPr>
        <w:t xml:space="preserve">(c) </w:t>
      </w:r>
      <w:r>
        <w:rPr>
          <w:spacing w:val="-2"/>
          <w:sz w:val="19"/>
        </w:rPr>
        <w:t>Proporcionalidad</w:t>
      </w:r>
    </w:p>
    <w:p w14:paraId="60F6A242" w14:textId="77777777" w:rsidR="0014798C" w:rsidRDefault="0014798C">
      <w:pPr>
        <w:pStyle w:val="Textoindependiente"/>
        <w:spacing w:before="15"/>
      </w:pPr>
    </w:p>
    <w:p w14:paraId="70BBA779" w14:textId="77777777" w:rsidR="0014798C" w:rsidRDefault="004E1F0B">
      <w:pPr>
        <w:pStyle w:val="Textoindependiente"/>
        <w:spacing w:line="326" w:lineRule="auto"/>
        <w:ind w:left="1108" w:right="1242"/>
      </w:pPr>
      <w:r>
        <w:t>Finalmente, como ha señalado el Comité de Derechos Económicos, Sociales y Culturales, las medidas de acción positiva deben</w:t>
      </w:r>
      <w:r>
        <w:rPr>
          <w:spacing w:val="40"/>
        </w:rPr>
        <w:t xml:space="preserve"> </w:t>
      </w:r>
      <w:r>
        <w:t>ser</w:t>
      </w:r>
      <w:r>
        <w:rPr>
          <w:spacing w:val="16"/>
        </w:rPr>
        <w:t xml:space="preserve"> </w:t>
      </w:r>
      <w:r>
        <w:t>un</w:t>
      </w:r>
      <w:r>
        <w:rPr>
          <w:spacing w:val="16"/>
        </w:rPr>
        <w:t xml:space="preserve"> </w:t>
      </w:r>
      <w:r>
        <w:t>“medio</w:t>
      </w:r>
      <w:r>
        <w:rPr>
          <w:spacing w:val="16"/>
        </w:rPr>
        <w:t xml:space="preserve"> </w:t>
      </w:r>
      <w:r>
        <w:t>razonable,</w:t>
      </w:r>
      <w:r>
        <w:rPr>
          <w:spacing w:val="17"/>
        </w:rPr>
        <w:t xml:space="preserve"> </w:t>
      </w:r>
      <w:r>
        <w:t>objetivo</w:t>
      </w:r>
      <w:r>
        <w:rPr>
          <w:spacing w:val="16"/>
        </w:rPr>
        <w:t xml:space="preserve"> </w:t>
      </w:r>
      <w:r>
        <w:t>y</w:t>
      </w:r>
      <w:r>
        <w:rPr>
          <w:spacing w:val="16"/>
        </w:rPr>
        <w:t xml:space="preserve"> </w:t>
      </w:r>
      <w:r>
        <w:t>proporcional”</w:t>
      </w:r>
      <w:r>
        <w:rPr>
          <w:spacing w:val="16"/>
        </w:rPr>
        <w:t xml:space="preserve"> </w:t>
      </w:r>
      <w:r>
        <w:t>para</w:t>
      </w:r>
      <w:r>
        <w:rPr>
          <w:spacing w:val="16"/>
        </w:rPr>
        <w:t xml:space="preserve"> </w:t>
      </w:r>
      <w:r>
        <w:t>reducir</w:t>
      </w:r>
      <w:r>
        <w:rPr>
          <w:spacing w:val="16"/>
        </w:rPr>
        <w:t xml:space="preserve"> </w:t>
      </w:r>
      <w:r>
        <w:t>la</w:t>
      </w:r>
      <w:r>
        <w:rPr>
          <w:spacing w:val="16"/>
        </w:rPr>
        <w:t xml:space="preserve"> </w:t>
      </w:r>
      <w:r>
        <w:t>desigualdad,521</w:t>
      </w:r>
      <w:r>
        <w:rPr>
          <w:spacing w:val="16"/>
        </w:rPr>
        <w:t xml:space="preserve"> </w:t>
      </w:r>
      <w:r>
        <w:t>una</w:t>
      </w:r>
      <w:r>
        <w:rPr>
          <w:spacing w:val="16"/>
        </w:rPr>
        <w:t xml:space="preserve"> </w:t>
      </w:r>
      <w:r>
        <w:t>posición</w:t>
      </w:r>
      <w:r>
        <w:rPr>
          <w:spacing w:val="16"/>
        </w:rPr>
        <w:t xml:space="preserve"> </w:t>
      </w:r>
      <w:r>
        <w:t>que</w:t>
      </w:r>
      <w:r>
        <w:rPr>
          <w:spacing w:val="16"/>
        </w:rPr>
        <w:t xml:space="preserve"> </w:t>
      </w:r>
      <w:r>
        <w:t>comparten</w:t>
      </w:r>
      <w:r>
        <w:rPr>
          <w:spacing w:val="16"/>
        </w:rPr>
        <w:t xml:space="preserve"> </w:t>
      </w:r>
      <w:r>
        <w:t>en</w:t>
      </w:r>
      <w:r>
        <w:rPr>
          <w:spacing w:val="16"/>
        </w:rPr>
        <w:t xml:space="preserve"> </w:t>
      </w:r>
      <w:r>
        <w:t>gran</w:t>
      </w:r>
      <w:r>
        <w:rPr>
          <w:spacing w:val="16"/>
        </w:rPr>
        <w:t xml:space="preserve"> </w:t>
      </w:r>
      <w:r>
        <w:t>medida los</w:t>
      </w:r>
      <w:r>
        <w:rPr>
          <w:spacing w:val="14"/>
        </w:rPr>
        <w:t xml:space="preserve"> </w:t>
      </w:r>
      <w:r>
        <w:t>demás</w:t>
      </w:r>
      <w:r>
        <w:rPr>
          <w:spacing w:val="14"/>
        </w:rPr>
        <w:t xml:space="preserve"> </w:t>
      </w:r>
      <w:r>
        <w:t>órganos</w:t>
      </w:r>
      <w:r>
        <w:rPr>
          <w:spacing w:val="14"/>
        </w:rPr>
        <w:t xml:space="preserve"> </w:t>
      </w:r>
      <w:r>
        <w:t>creados</w:t>
      </w:r>
      <w:r>
        <w:rPr>
          <w:spacing w:val="14"/>
        </w:rPr>
        <w:t xml:space="preserve"> </w:t>
      </w:r>
      <w:r>
        <w:t>en</w:t>
      </w:r>
      <w:r>
        <w:rPr>
          <w:spacing w:val="14"/>
        </w:rPr>
        <w:t xml:space="preserve"> </w:t>
      </w:r>
      <w:r>
        <w:t>virtud</w:t>
      </w:r>
      <w:r>
        <w:rPr>
          <w:spacing w:val="14"/>
        </w:rPr>
        <w:t xml:space="preserve"> </w:t>
      </w:r>
      <w:r>
        <w:t>de</w:t>
      </w:r>
      <w:r>
        <w:rPr>
          <w:spacing w:val="14"/>
        </w:rPr>
        <w:t xml:space="preserve"> </w:t>
      </w:r>
      <w:r>
        <w:t>tratados.</w:t>
      </w:r>
      <w:r>
        <w:rPr>
          <w:spacing w:val="15"/>
        </w:rPr>
        <w:t xml:space="preserve"> </w:t>
      </w:r>
      <w:r>
        <w:t>Así,</w:t>
      </w:r>
      <w:r>
        <w:rPr>
          <w:spacing w:val="14"/>
        </w:rPr>
        <w:t xml:space="preserve"> </w:t>
      </w:r>
      <w:r>
        <w:t>el</w:t>
      </w:r>
      <w:r>
        <w:rPr>
          <w:spacing w:val="14"/>
        </w:rPr>
        <w:t xml:space="preserve"> </w:t>
      </w:r>
      <w:r>
        <w:t>Comité</w:t>
      </w:r>
      <w:r>
        <w:rPr>
          <w:spacing w:val="14"/>
        </w:rPr>
        <w:t xml:space="preserve"> </w:t>
      </w:r>
      <w:r>
        <w:t>para</w:t>
      </w:r>
      <w:r>
        <w:rPr>
          <w:spacing w:val="14"/>
        </w:rPr>
        <w:t xml:space="preserve"> </w:t>
      </w:r>
      <w:r>
        <w:t>la</w:t>
      </w:r>
      <w:r>
        <w:rPr>
          <w:spacing w:val="14"/>
        </w:rPr>
        <w:t xml:space="preserve"> </w:t>
      </w:r>
      <w:r>
        <w:t>Eliminación</w:t>
      </w:r>
      <w:r>
        <w:rPr>
          <w:spacing w:val="14"/>
        </w:rPr>
        <w:t xml:space="preserve"> </w:t>
      </w:r>
      <w:r>
        <w:t>de</w:t>
      </w:r>
      <w:r>
        <w:rPr>
          <w:spacing w:val="14"/>
        </w:rPr>
        <w:t xml:space="preserve"> </w:t>
      </w:r>
      <w:r>
        <w:t>la</w:t>
      </w:r>
      <w:r>
        <w:rPr>
          <w:spacing w:val="14"/>
        </w:rPr>
        <w:t xml:space="preserve"> </w:t>
      </w:r>
      <w:r>
        <w:t>Discriminación</w:t>
      </w:r>
      <w:r>
        <w:rPr>
          <w:spacing w:val="15"/>
        </w:rPr>
        <w:t xml:space="preserve"> </w:t>
      </w:r>
      <w:r>
        <w:t>Racial</w:t>
      </w:r>
      <w:r>
        <w:rPr>
          <w:spacing w:val="14"/>
        </w:rPr>
        <w:t xml:space="preserve"> </w:t>
      </w:r>
      <w:r>
        <w:t>ha</w:t>
      </w:r>
      <w:r>
        <w:rPr>
          <w:spacing w:val="14"/>
        </w:rPr>
        <w:t xml:space="preserve"> </w:t>
      </w:r>
      <w:r>
        <w:t>señalado que</w:t>
      </w:r>
      <w:r>
        <w:rPr>
          <w:spacing w:val="17"/>
        </w:rPr>
        <w:t xml:space="preserve"> </w:t>
      </w:r>
      <w:r>
        <w:t>las</w:t>
      </w:r>
      <w:r>
        <w:rPr>
          <w:spacing w:val="17"/>
        </w:rPr>
        <w:t xml:space="preserve"> </w:t>
      </w:r>
      <w:r>
        <w:t>medidas</w:t>
      </w:r>
      <w:r>
        <w:rPr>
          <w:spacing w:val="17"/>
        </w:rPr>
        <w:t xml:space="preserve"> </w:t>
      </w:r>
      <w:r>
        <w:t>especiales</w:t>
      </w:r>
      <w:r>
        <w:rPr>
          <w:spacing w:val="17"/>
        </w:rPr>
        <w:t xml:space="preserve"> </w:t>
      </w:r>
      <w:r>
        <w:t>deberían</w:t>
      </w:r>
      <w:r>
        <w:rPr>
          <w:spacing w:val="17"/>
        </w:rPr>
        <w:t xml:space="preserve"> </w:t>
      </w:r>
      <w:r>
        <w:t>ser</w:t>
      </w:r>
      <w:r>
        <w:rPr>
          <w:spacing w:val="17"/>
        </w:rPr>
        <w:t xml:space="preserve"> </w:t>
      </w:r>
      <w:r>
        <w:t>legítimas,</w:t>
      </w:r>
      <w:r>
        <w:rPr>
          <w:spacing w:val="18"/>
        </w:rPr>
        <w:t xml:space="preserve"> </w:t>
      </w:r>
      <w:r>
        <w:t>necesarias</w:t>
      </w:r>
      <w:r>
        <w:rPr>
          <w:spacing w:val="17"/>
        </w:rPr>
        <w:t xml:space="preserve"> </w:t>
      </w:r>
      <w:r>
        <w:t>en</w:t>
      </w:r>
      <w:r>
        <w:rPr>
          <w:spacing w:val="17"/>
        </w:rPr>
        <w:t xml:space="preserve"> </w:t>
      </w:r>
      <w:r>
        <w:t>una</w:t>
      </w:r>
      <w:r>
        <w:rPr>
          <w:spacing w:val="17"/>
        </w:rPr>
        <w:t xml:space="preserve"> </w:t>
      </w:r>
      <w:r>
        <w:t>sociedad</w:t>
      </w:r>
      <w:r>
        <w:rPr>
          <w:spacing w:val="17"/>
        </w:rPr>
        <w:t xml:space="preserve"> </w:t>
      </w:r>
      <w:r>
        <w:t>democrática</w:t>
      </w:r>
      <w:r>
        <w:rPr>
          <w:spacing w:val="17"/>
        </w:rPr>
        <w:t xml:space="preserve"> </w:t>
      </w:r>
      <w:r>
        <w:t>y</w:t>
      </w:r>
      <w:r>
        <w:rPr>
          <w:spacing w:val="17"/>
        </w:rPr>
        <w:t xml:space="preserve"> </w:t>
      </w:r>
      <w:r>
        <w:t>deberían</w:t>
      </w:r>
      <w:r>
        <w:rPr>
          <w:spacing w:val="17"/>
        </w:rPr>
        <w:t xml:space="preserve"> </w:t>
      </w:r>
      <w:r>
        <w:t>“respetar</w:t>
      </w:r>
      <w:r>
        <w:rPr>
          <w:spacing w:val="17"/>
        </w:rPr>
        <w:t xml:space="preserve"> </w:t>
      </w:r>
      <w:r>
        <w:t>los</w:t>
      </w:r>
      <w:r>
        <w:rPr>
          <w:spacing w:val="17"/>
        </w:rPr>
        <w:t xml:space="preserve"> </w:t>
      </w:r>
      <w:r>
        <w:t>principios de justicia y proporcionalidad”,522 mientras que el Comité para la Eliminación de la Discriminación contra la Mujer ha declarado</w:t>
      </w:r>
      <w:r>
        <w:rPr>
          <w:spacing w:val="40"/>
        </w:rPr>
        <w:t xml:space="preserve"> </w:t>
      </w:r>
      <w:r>
        <w:t>que Los Estados deberían adoptar medidas especiales “si se puede demostrar que dichas medidas son necesarias y apropiadas</w:t>
      </w:r>
      <w:r>
        <w:rPr>
          <w:spacing w:val="40"/>
        </w:rPr>
        <w:t xml:space="preserve"> </w:t>
      </w:r>
      <w:r>
        <w:t>para acelerar el logro de... la igualdad sustantiva”523.</w:t>
      </w:r>
    </w:p>
    <w:p w14:paraId="6A14C391" w14:textId="77777777" w:rsidR="0014798C" w:rsidRDefault="004E1F0B">
      <w:pPr>
        <w:pStyle w:val="Textoindependiente"/>
        <w:spacing w:before="167" w:line="326" w:lineRule="auto"/>
        <w:ind w:left="1105" w:right="1463" w:firstLine="2"/>
      </w:pPr>
      <w:r>
        <w:t xml:space="preserve">Cabe señalar que la “necesidad” en este contexto no implica una prueba de necesidad estricta – diseñada para evaluar si se </w:t>
      </w:r>
      <w:proofErr w:type="gramStart"/>
      <w:r>
        <w:t>podrían</w:t>
      </w:r>
      <w:proofErr w:type="gramEnd"/>
      <w:r>
        <w:t xml:space="preserve"> tomar medidas alternativas y menos restrictivas – sino más bien una evaluación de si las medidas son “necesarias en una sociedad democrática” para cumplir el objetivo de reducir la desigualdad. Así, el Comité para la Eliminación de la Discriminación Racial ha señalado que las medidas deben “diseñarse e implementarse en función de las necesidades”, basándose en “una evaluación realista de la situación actual de las personas y comunidades interesadas”.524</w:t>
      </w:r>
    </w:p>
    <w:p w14:paraId="399F8032" w14:textId="77777777" w:rsidR="0014798C" w:rsidRDefault="0014798C">
      <w:pPr>
        <w:pStyle w:val="Textoindependiente"/>
      </w:pPr>
    </w:p>
    <w:p w14:paraId="3705D4EF" w14:textId="77777777" w:rsidR="0014798C" w:rsidRDefault="0014798C">
      <w:pPr>
        <w:pStyle w:val="Textoindependiente"/>
        <w:spacing w:before="49"/>
      </w:pPr>
    </w:p>
    <w:p w14:paraId="75C69556" w14:textId="77777777" w:rsidR="0014798C" w:rsidRDefault="004E1F0B">
      <w:pPr>
        <w:pStyle w:val="Textoindependiente"/>
        <w:spacing w:line="326" w:lineRule="auto"/>
        <w:ind w:left="1107" w:right="1463" w:firstLine="1"/>
      </w:pPr>
      <w:r>
        <w:t>De manera similar, una evaluación de la proporcionalidad de las medidas de acción positiva debería centrarse en la medida en que se logra el propósito declarado: acelerar el progreso hacia la igualdad. La aplicación de la prueba de proporcionalidad requiere equilibrar un objetivo (en este caso, abordar una desventaja histórica o acelerar el progreso hacia la igualdad) con cualquier daño que pueda causarse al perseguir ese objetivo. Como algunos autores han</w:t>
      </w:r>
    </w:p>
    <w:p w14:paraId="5E5BED24" w14:textId="77777777" w:rsidR="0014798C" w:rsidRDefault="004E1F0B">
      <w:pPr>
        <w:pStyle w:val="Textoindependiente"/>
        <w:spacing w:before="119"/>
        <w:rPr>
          <w:sz w:val="20"/>
        </w:rPr>
      </w:pPr>
      <w:r>
        <w:rPr>
          <w:noProof/>
        </w:rPr>
        <w:drawing>
          <wp:anchor distT="0" distB="0" distL="0" distR="0" simplePos="0" relativeHeight="251658531" behindDoc="1" locked="0" layoutInCell="1" allowOverlap="1" wp14:anchorId="728AA011" wp14:editId="4B2BA76F">
            <wp:simplePos x="0" y="0"/>
            <wp:positionH relativeFrom="page">
              <wp:posOffset>826632</wp:posOffset>
            </wp:positionH>
            <wp:positionV relativeFrom="paragraph">
              <wp:posOffset>237341</wp:posOffset>
            </wp:positionV>
            <wp:extent cx="931001" cy="35813"/>
            <wp:effectExtent l="0" t="0" r="0" b="0"/>
            <wp:wrapTopAndBottom/>
            <wp:docPr id="161" name="Image 16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61" name="Image 161"/>
                    <pic:cNvPicPr/>
                  </pic:nvPicPr>
                  <pic:blipFill>
                    <a:blip r:embed="rId147" cstate="print"/>
                    <a:stretch>
                      <a:fillRect/>
                    </a:stretch>
                  </pic:blipFill>
                  <pic:spPr>
                    <a:xfrm>
                      <a:off x="0" y="0"/>
                      <a:ext cx="931001" cy="35813"/>
                    </a:xfrm>
                    <a:prstGeom prst="rect">
                      <a:avLst/>
                    </a:prstGeom>
                  </pic:spPr>
                </pic:pic>
              </a:graphicData>
            </a:graphic>
          </wp:anchor>
        </w:drawing>
      </w:r>
    </w:p>
    <w:p w14:paraId="07A5634F" w14:textId="77777777" w:rsidR="0014798C" w:rsidRDefault="0014798C">
      <w:pPr>
        <w:pStyle w:val="Textoindependiente"/>
        <w:spacing w:before="5"/>
        <w:rPr>
          <w:sz w:val="13"/>
        </w:rPr>
      </w:pPr>
    </w:p>
    <w:p w14:paraId="6EDF9062" w14:textId="77777777" w:rsidR="0014798C" w:rsidRDefault="004E1F0B">
      <w:pPr>
        <w:pStyle w:val="Prrafodelista"/>
        <w:numPr>
          <w:ilvl w:val="0"/>
          <w:numId w:val="56"/>
        </w:numPr>
        <w:tabs>
          <w:tab w:val="left" w:pos="1355"/>
        </w:tabs>
        <w:ind w:left="1355" w:hanging="248"/>
        <w:rPr>
          <w:sz w:val="13"/>
        </w:rPr>
      </w:pPr>
      <w:r>
        <w:rPr>
          <w:spacing w:val="-2"/>
          <w:sz w:val="13"/>
        </w:rPr>
        <w:t>Comité</w:t>
      </w:r>
      <w:r>
        <w:rPr>
          <w:spacing w:val="2"/>
          <w:sz w:val="13"/>
        </w:rPr>
        <w:t xml:space="preserve"> </w:t>
      </w:r>
      <w:r>
        <w:rPr>
          <w:spacing w:val="-2"/>
          <w:sz w:val="13"/>
        </w:rPr>
        <w:t>para</w:t>
      </w:r>
      <w:r>
        <w:rPr>
          <w:spacing w:val="2"/>
          <w:sz w:val="13"/>
        </w:rPr>
        <w:t xml:space="preserve"> </w:t>
      </w:r>
      <w:r>
        <w:rPr>
          <w:spacing w:val="-2"/>
          <w:sz w:val="13"/>
        </w:rPr>
        <w:t>la</w:t>
      </w:r>
      <w:r>
        <w:rPr>
          <w:spacing w:val="2"/>
          <w:sz w:val="13"/>
        </w:rPr>
        <w:t xml:space="preserve"> </w:t>
      </w:r>
      <w:r>
        <w:rPr>
          <w:spacing w:val="-2"/>
          <w:sz w:val="13"/>
        </w:rPr>
        <w:t>Eliminación</w:t>
      </w:r>
      <w:r>
        <w:rPr>
          <w:spacing w:val="3"/>
          <w:sz w:val="13"/>
        </w:rPr>
        <w:t xml:space="preserve"> </w:t>
      </w:r>
      <w:r>
        <w:rPr>
          <w:spacing w:val="-2"/>
          <w:sz w:val="13"/>
        </w:rPr>
        <w:t>de</w:t>
      </w:r>
      <w:r>
        <w:rPr>
          <w:spacing w:val="2"/>
          <w:sz w:val="13"/>
        </w:rPr>
        <w:t xml:space="preserve"> </w:t>
      </w:r>
      <w:r>
        <w:rPr>
          <w:spacing w:val="-2"/>
          <w:sz w:val="13"/>
        </w:rPr>
        <w:t>la</w:t>
      </w:r>
      <w:r>
        <w:rPr>
          <w:spacing w:val="2"/>
          <w:sz w:val="13"/>
        </w:rPr>
        <w:t xml:space="preserve"> </w:t>
      </w:r>
      <w:r>
        <w:rPr>
          <w:spacing w:val="-2"/>
          <w:sz w:val="13"/>
        </w:rPr>
        <w:t>Discriminación</w:t>
      </w:r>
      <w:r>
        <w:rPr>
          <w:spacing w:val="3"/>
          <w:sz w:val="13"/>
        </w:rPr>
        <w:t xml:space="preserve"> </w:t>
      </w:r>
      <w:r>
        <w:rPr>
          <w:spacing w:val="-2"/>
          <w:sz w:val="13"/>
        </w:rPr>
        <w:t>Racial,</w:t>
      </w:r>
      <w:r>
        <w:rPr>
          <w:spacing w:val="3"/>
          <w:sz w:val="13"/>
        </w:rPr>
        <w:t xml:space="preserve"> </w:t>
      </w:r>
      <w:r>
        <w:rPr>
          <w:spacing w:val="-2"/>
          <w:sz w:val="13"/>
        </w:rPr>
        <w:t>recomendación</w:t>
      </w:r>
      <w:r>
        <w:rPr>
          <w:spacing w:val="2"/>
          <w:sz w:val="13"/>
        </w:rPr>
        <w:t xml:space="preserve"> </w:t>
      </w:r>
      <w:r>
        <w:rPr>
          <w:spacing w:val="-2"/>
          <w:sz w:val="13"/>
        </w:rPr>
        <w:t>general</w:t>
      </w:r>
      <w:r>
        <w:rPr>
          <w:spacing w:val="3"/>
          <w:sz w:val="13"/>
        </w:rPr>
        <w:t xml:space="preserve"> </w:t>
      </w:r>
      <w:r>
        <w:rPr>
          <w:spacing w:val="-2"/>
          <w:sz w:val="13"/>
        </w:rPr>
        <w:t>núm.</w:t>
      </w:r>
      <w:r>
        <w:rPr>
          <w:spacing w:val="2"/>
          <w:sz w:val="13"/>
        </w:rPr>
        <w:t xml:space="preserve"> </w:t>
      </w:r>
      <w:r>
        <w:rPr>
          <w:spacing w:val="-2"/>
          <w:sz w:val="13"/>
        </w:rPr>
        <w:t>32</w:t>
      </w:r>
      <w:r>
        <w:rPr>
          <w:spacing w:val="2"/>
          <w:sz w:val="13"/>
        </w:rPr>
        <w:t xml:space="preserve"> </w:t>
      </w:r>
      <w:r>
        <w:rPr>
          <w:spacing w:val="-2"/>
          <w:sz w:val="13"/>
        </w:rPr>
        <w:t>(2009),</w:t>
      </w:r>
      <w:r>
        <w:rPr>
          <w:spacing w:val="4"/>
          <w:sz w:val="13"/>
        </w:rPr>
        <w:t xml:space="preserve"> </w:t>
      </w:r>
      <w:r>
        <w:rPr>
          <w:spacing w:val="-2"/>
          <w:sz w:val="13"/>
        </w:rPr>
        <w:t>párr.</w:t>
      </w:r>
      <w:r>
        <w:rPr>
          <w:spacing w:val="2"/>
          <w:sz w:val="13"/>
        </w:rPr>
        <w:t xml:space="preserve"> </w:t>
      </w:r>
      <w:r>
        <w:rPr>
          <w:spacing w:val="-5"/>
          <w:sz w:val="13"/>
        </w:rPr>
        <w:t>27.</w:t>
      </w:r>
    </w:p>
    <w:p w14:paraId="11B2F2C5" w14:textId="77777777" w:rsidR="0014798C" w:rsidRDefault="004E1F0B">
      <w:pPr>
        <w:pStyle w:val="Prrafodelista"/>
        <w:numPr>
          <w:ilvl w:val="0"/>
          <w:numId w:val="56"/>
        </w:numPr>
        <w:tabs>
          <w:tab w:val="left" w:pos="1355"/>
          <w:tab w:val="left" w:pos="1368"/>
        </w:tabs>
        <w:spacing w:before="87" w:line="288" w:lineRule="auto"/>
        <w:ind w:left="1368" w:right="3133" w:hanging="261"/>
        <w:rPr>
          <w:sz w:val="13"/>
        </w:rPr>
      </w:pPr>
      <w:r>
        <w:rPr>
          <w:sz w:val="13"/>
        </w:rPr>
        <w:t>Comité</w:t>
      </w:r>
      <w:r>
        <w:rPr>
          <w:spacing w:val="-10"/>
          <w:sz w:val="13"/>
        </w:rPr>
        <w:t xml:space="preserve"> </w:t>
      </w:r>
      <w:r>
        <w:rPr>
          <w:sz w:val="13"/>
        </w:rPr>
        <w:t>para</w:t>
      </w:r>
      <w:r>
        <w:rPr>
          <w:spacing w:val="-9"/>
          <w:sz w:val="13"/>
        </w:rPr>
        <w:t xml:space="preserve"> </w:t>
      </w:r>
      <w:r>
        <w:rPr>
          <w:sz w:val="13"/>
        </w:rPr>
        <w:t>la</w:t>
      </w:r>
      <w:r>
        <w:rPr>
          <w:spacing w:val="-9"/>
          <w:sz w:val="13"/>
        </w:rPr>
        <w:t xml:space="preserve"> </w:t>
      </w:r>
      <w:r>
        <w:rPr>
          <w:sz w:val="13"/>
        </w:rPr>
        <w:t>Eliminación</w:t>
      </w:r>
      <w:r>
        <w:rPr>
          <w:spacing w:val="-9"/>
          <w:sz w:val="13"/>
        </w:rPr>
        <w:t xml:space="preserve"> </w:t>
      </w:r>
      <w:r>
        <w:rPr>
          <w:sz w:val="13"/>
        </w:rPr>
        <w:t>de</w:t>
      </w:r>
      <w:r>
        <w:rPr>
          <w:spacing w:val="-9"/>
          <w:sz w:val="13"/>
        </w:rPr>
        <w:t xml:space="preserve"> </w:t>
      </w:r>
      <w:r>
        <w:rPr>
          <w:sz w:val="13"/>
        </w:rPr>
        <w:t>la</w:t>
      </w:r>
      <w:r>
        <w:rPr>
          <w:spacing w:val="-9"/>
          <w:sz w:val="13"/>
        </w:rPr>
        <w:t xml:space="preserve"> </w:t>
      </w:r>
      <w:r>
        <w:rPr>
          <w:sz w:val="13"/>
        </w:rPr>
        <w:t>Discriminación</w:t>
      </w:r>
      <w:r>
        <w:rPr>
          <w:spacing w:val="-9"/>
          <w:sz w:val="13"/>
        </w:rPr>
        <w:t xml:space="preserve"> </w:t>
      </w:r>
      <w:r>
        <w:rPr>
          <w:sz w:val="13"/>
        </w:rPr>
        <w:t>contra</w:t>
      </w:r>
      <w:r>
        <w:rPr>
          <w:spacing w:val="-9"/>
          <w:sz w:val="13"/>
        </w:rPr>
        <w:t xml:space="preserve"> </w:t>
      </w:r>
      <w:r>
        <w:rPr>
          <w:sz w:val="13"/>
        </w:rPr>
        <w:t>la</w:t>
      </w:r>
      <w:r>
        <w:rPr>
          <w:spacing w:val="-9"/>
          <w:sz w:val="13"/>
        </w:rPr>
        <w:t xml:space="preserve"> </w:t>
      </w:r>
      <w:r>
        <w:rPr>
          <w:sz w:val="13"/>
        </w:rPr>
        <w:t>Mujer,</w:t>
      </w:r>
      <w:r>
        <w:rPr>
          <w:spacing w:val="-9"/>
          <w:sz w:val="13"/>
        </w:rPr>
        <w:t xml:space="preserve"> </w:t>
      </w:r>
      <w:r>
        <w:rPr>
          <w:sz w:val="13"/>
        </w:rPr>
        <w:t>recomendación</w:t>
      </w:r>
      <w:r>
        <w:rPr>
          <w:spacing w:val="-9"/>
          <w:sz w:val="13"/>
        </w:rPr>
        <w:t xml:space="preserve"> </w:t>
      </w:r>
      <w:r>
        <w:rPr>
          <w:sz w:val="13"/>
        </w:rPr>
        <w:t>general</w:t>
      </w:r>
      <w:r>
        <w:rPr>
          <w:spacing w:val="-9"/>
          <w:sz w:val="13"/>
        </w:rPr>
        <w:t xml:space="preserve"> </w:t>
      </w:r>
      <w:r>
        <w:rPr>
          <w:sz w:val="13"/>
        </w:rPr>
        <w:t>núm.</w:t>
      </w:r>
      <w:r>
        <w:rPr>
          <w:spacing w:val="-9"/>
          <w:sz w:val="13"/>
        </w:rPr>
        <w:t xml:space="preserve"> </w:t>
      </w:r>
      <w:r>
        <w:rPr>
          <w:sz w:val="13"/>
        </w:rPr>
        <w:t>25</w:t>
      </w:r>
      <w:r>
        <w:rPr>
          <w:spacing w:val="-9"/>
          <w:sz w:val="13"/>
        </w:rPr>
        <w:t xml:space="preserve"> </w:t>
      </w:r>
      <w:r>
        <w:rPr>
          <w:sz w:val="13"/>
        </w:rPr>
        <w:t>(2004),</w:t>
      </w:r>
      <w:r>
        <w:rPr>
          <w:spacing w:val="-9"/>
          <w:sz w:val="13"/>
        </w:rPr>
        <w:t xml:space="preserve"> </w:t>
      </w:r>
      <w:r>
        <w:rPr>
          <w:sz w:val="13"/>
        </w:rPr>
        <w:t>párr.</w:t>
      </w:r>
      <w:r>
        <w:rPr>
          <w:spacing w:val="-9"/>
          <w:sz w:val="13"/>
        </w:rPr>
        <w:t xml:space="preserve"> </w:t>
      </w:r>
      <w:r>
        <w:rPr>
          <w:sz w:val="13"/>
        </w:rPr>
        <w:t>20;</w:t>
      </w:r>
      <w:r>
        <w:rPr>
          <w:spacing w:val="-9"/>
          <w:sz w:val="13"/>
        </w:rPr>
        <w:t xml:space="preserve"> </w:t>
      </w:r>
      <w:r>
        <w:rPr>
          <w:sz w:val="13"/>
        </w:rPr>
        <w:t>y</w:t>
      </w:r>
      <w:r>
        <w:rPr>
          <w:spacing w:val="-9"/>
          <w:sz w:val="13"/>
        </w:rPr>
        <w:t xml:space="preserve"> </w:t>
      </w:r>
      <w:r>
        <w:rPr>
          <w:sz w:val="13"/>
        </w:rPr>
        <w:t>Comité</w:t>
      </w:r>
      <w:r>
        <w:rPr>
          <w:spacing w:val="-9"/>
          <w:sz w:val="13"/>
        </w:rPr>
        <w:t xml:space="preserve"> </w:t>
      </w:r>
      <w:r>
        <w:rPr>
          <w:sz w:val="13"/>
        </w:rPr>
        <w:t>de</w:t>
      </w:r>
      <w:r>
        <w:rPr>
          <w:spacing w:val="40"/>
          <w:sz w:val="13"/>
        </w:rPr>
        <w:t xml:space="preserve"> </w:t>
      </w:r>
      <w:r>
        <w:rPr>
          <w:sz w:val="13"/>
        </w:rPr>
        <w:t>Derechos Económicos, Sociales y Culturales, observación general núm. 20 (2009), párr. 9.</w:t>
      </w:r>
    </w:p>
    <w:p w14:paraId="19182A17" w14:textId="77777777" w:rsidR="0014798C" w:rsidRDefault="004E1F0B">
      <w:pPr>
        <w:pStyle w:val="Prrafodelista"/>
        <w:numPr>
          <w:ilvl w:val="0"/>
          <w:numId w:val="56"/>
        </w:numPr>
        <w:tabs>
          <w:tab w:val="left" w:pos="1355"/>
          <w:tab w:val="left" w:pos="1368"/>
        </w:tabs>
        <w:spacing w:before="58" w:line="288" w:lineRule="auto"/>
        <w:ind w:left="1368" w:right="1874" w:hanging="261"/>
        <w:rPr>
          <w:sz w:val="13"/>
        </w:rPr>
      </w:pPr>
      <w:r>
        <w:rPr>
          <w:sz w:val="13"/>
        </w:rPr>
        <w:t>Comité</w:t>
      </w:r>
      <w:r>
        <w:rPr>
          <w:spacing w:val="-10"/>
          <w:sz w:val="13"/>
        </w:rPr>
        <w:t xml:space="preserve"> </w:t>
      </w:r>
      <w:r>
        <w:rPr>
          <w:sz w:val="13"/>
        </w:rPr>
        <w:t>para</w:t>
      </w:r>
      <w:r>
        <w:rPr>
          <w:spacing w:val="-9"/>
          <w:sz w:val="13"/>
        </w:rPr>
        <w:t xml:space="preserve"> </w:t>
      </w:r>
      <w:r>
        <w:rPr>
          <w:sz w:val="13"/>
        </w:rPr>
        <w:t>la</w:t>
      </w:r>
      <w:r>
        <w:rPr>
          <w:spacing w:val="-9"/>
          <w:sz w:val="13"/>
        </w:rPr>
        <w:t xml:space="preserve"> </w:t>
      </w:r>
      <w:r>
        <w:rPr>
          <w:sz w:val="13"/>
        </w:rPr>
        <w:t>Eliminación</w:t>
      </w:r>
      <w:r>
        <w:rPr>
          <w:spacing w:val="-9"/>
          <w:sz w:val="13"/>
        </w:rPr>
        <w:t xml:space="preserve"> </w:t>
      </w:r>
      <w:r>
        <w:rPr>
          <w:sz w:val="13"/>
        </w:rPr>
        <w:t>de</w:t>
      </w:r>
      <w:r>
        <w:rPr>
          <w:spacing w:val="-9"/>
          <w:sz w:val="13"/>
        </w:rPr>
        <w:t xml:space="preserve"> </w:t>
      </w:r>
      <w:r>
        <w:rPr>
          <w:sz w:val="13"/>
        </w:rPr>
        <w:t>la</w:t>
      </w:r>
      <w:r>
        <w:rPr>
          <w:spacing w:val="-9"/>
          <w:sz w:val="13"/>
        </w:rPr>
        <w:t xml:space="preserve"> </w:t>
      </w:r>
      <w:r>
        <w:rPr>
          <w:sz w:val="13"/>
        </w:rPr>
        <w:t>Discriminación</w:t>
      </w:r>
      <w:r>
        <w:rPr>
          <w:spacing w:val="-9"/>
          <w:sz w:val="13"/>
        </w:rPr>
        <w:t xml:space="preserve"> </w:t>
      </w:r>
      <w:r>
        <w:rPr>
          <w:sz w:val="13"/>
        </w:rPr>
        <w:t>contra</w:t>
      </w:r>
      <w:r>
        <w:rPr>
          <w:spacing w:val="-9"/>
          <w:sz w:val="13"/>
        </w:rPr>
        <w:t xml:space="preserve"> </w:t>
      </w:r>
      <w:r>
        <w:rPr>
          <w:sz w:val="13"/>
        </w:rPr>
        <w:t>la</w:t>
      </w:r>
      <w:r>
        <w:rPr>
          <w:spacing w:val="-9"/>
          <w:sz w:val="13"/>
        </w:rPr>
        <w:t xml:space="preserve"> </w:t>
      </w:r>
      <w:r>
        <w:rPr>
          <w:sz w:val="13"/>
        </w:rPr>
        <w:t>Mujer,</w:t>
      </w:r>
      <w:r>
        <w:rPr>
          <w:spacing w:val="-9"/>
          <w:sz w:val="13"/>
        </w:rPr>
        <w:t xml:space="preserve"> </w:t>
      </w:r>
      <w:r>
        <w:rPr>
          <w:sz w:val="13"/>
        </w:rPr>
        <w:t>recomendación</w:t>
      </w:r>
      <w:r>
        <w:rPr>
          <w:spacing w:val="-9"/>
          <w:sz w:val="13"/>
        </w:rPr>
        <w:t xml:space="preserve"> </w:t>
      </w:r>
      <w:r>
        <w:rPr>
          <w:sz w:val="13"/>
        </w:rPr>
        <w:t>general</w:t>
      </w:r>
      <w:r>
        <w:rPr>
          <w:spacing w:val="-9"/>
          <w:sz w:val="13"/>
        </w:rPr>
        <w:t xml:space="preserve"> </w:t>
      </w:r>
      <w:r>
        <w:rPr>
          <w:sz w:val="13"/>
        </w:rPr>
        <w:t>núm.</w:t>
      </w:r>
      <w:r>
        <w:rPr>
          <w:spacing w:val="-9"/>
          <w:sz w:val="13"/>
        </w:rPr>
        <w:t xml:space="preserve"> </w:t>
      </w:r>
      <w:r>
        <w:rPr>
          <w:sz w:val="13"/>
        </w:rPr>
        <w:t>25</w:t>
      </w:r>
      <w:r>
        <w:rPr>
          <w:spacing w:val="-9"/>
          <w:sz w:val="13"/>
        </w:rPr>
        <w:t xml:space="preserve"> </w:t>
      </w:r>
      <w:r>
        <w:rPr>
          <w:sz w:val="13"/>
        </w:rPr>
        <w:t>(2004),</w:t>
      </w:r>
      <w:r>
        <w:rPr>
          <w:spacing w:val="-9"/>
          <w:sz w:val="13"/>
        </w:rPr>
        <w:t xml:space="preserve"> </w:t>
      </w:r>
      <w:r>
        <w:rPr>
          <w:sz w:val="13"/>
        </w:rPr>
        <w:t>párr.</w:t>
      </w:r>
      <w:r>
        <w:rPr>
          <w:spacing w:val="-9"/>
          <w:sz w:val="13"/>
        </w:rPr>
        <w:t xml:space="preserve"> </w:t>
      </w:r>
      <w:r>
        <w:rPr>
          <w:sz w:val="13"/>
        </w:rPr>
        <w:t>20;</w:t>
      </w:r>
      <w:r>
        <w:rPr>
          <w:spacing w:val="-9"/>
          <w:sz w:val="13"/>
        </w:rPr>
        <w:t xml:space="preserve"> </w:t>
      </w:r>
      <w:r>
        <w:rPr>
          <w:sz w:val="13"/>
        </w:rPr>
        <w:t>y</w:t>
      </w:r>
      <w:r>
        <w:rPr>
          <w:spacing w:val="-9"/>
          <w:sz w:val="13"/>
        </w:rPr>
        <w:t xml:space="preserve"> </w:t>
      </w:r>
      <w:r>
        <w:rPr>
          <w:sz w:val="13"/>
        </w:rPr>
        <w:t>Comité</w:t>
      </w:r>
      <w:r>
        <w:rPr>
          <w:spacing w:val="-9"/>
          <w:sz w:val="13"/>
        </w:rPr>
        <w:t xml:space="preserve"> </w:t>
      </w:r>
      <w:r>
        <w:rPr>
          <w:sz w:val="13"/>
        </w:rPr>
        <w:t>para</w:t>
      </w:r>
      <w:r>
        <w:rPr>
          <w:spacing w:val="-9"/>
          <w:sz w:val="13"/>
        </w:rPr>
        <w:t xml:space="preserve"> </w:t>
      </w:r>
      <w:r>
        <w:rPr>
          <w:sz w:val="13"/>
        </w:rPr>
        <w:t>la</w:t>
      </w:r>
      <w:r>
        <w:rPr>
          <w:spacing w:val="-9"/>
          <w:sz w:val="13"/>
        </w:rPr>
        <w:t xml:space="preserve"> </w:t>
      </w:r>
      <w:r>
        <w:rPr>
          <w:sz w:val="13"/>
        </w:rPr>
        <w:t>Eliminación</w:t>
      </w:r>
      <w:r>
        <w:rPr>
          <w:spacing w:val="-9"/>
          <w:sz w:val="13"/>
        </w:rPr>
        <w:t xml:space="preserve"> </w:t>
      </w:r>
      <w:r>
        <w:rPr>
          <w:sz w:val="13"/>
        </w:rPr>
        <w:t>de</w:t>
      </w:r>
      <w:r>
        <w:rPr>
          <w:spacing w:val="-9"/>
          <w:sz w:val="13"/>
        </w:rPr>
        <w:t xml:space="preserve"> </w:t>
      </w:r>
      <w:r>
        <w:rPr>
          <w:sz w:val="13"/>
        </w:rPr>
        <w:t>la</w:t>
      </w:r>
      <w:r>
        <w:rPr>
          <w:spacing w:val="40"/>
          <w:sz w:val="13"/>
        </w:rPr>
        <w:t xml:space="preserve"> </w:t>
      </w:r>
      <w:r>
        <w:rPr>
          <w:sz w:val="13"/>
        </w:rPr>
        <w:t>Discriminación Racial, recomendación general núm. 32 (2009), párr. 27.</w:t>
      </w:r>
    </w:p>
    <w:p w14:paraId="4F136283" w14:textId="77777777" w:rsidR="0014798C" w:rsidRDefault="004E1F0B">
      <w:pPr>
        <w:pStyle w:val="Prrafodelista"/>
        <w:numPr>
          <w:ilvl w:val="0"/>
          <w:numId w:val="56"/>
        </w:numPr>
        <w:tabs>
          <w:tab w:val="left" w:pos="1355"/>
        </w:tabs>
        <w:spacing w:before="57"/>
        <w:ind w:left="1355" w:hanging="248"/>
        <w:rPr>
          <w:sz w:val="13"/>
        </w:rPr>
      </w:pPr>
      <w:r>
        <w:rPr>
          <w:spacing w:val="-2"/>
          <w:sz w:val="13"/>
        </w:rPr>
        <w:t>Comité</w:t>
      </w:r>
      <w:r>
        <w:rPr>
          <w:spacing w:val="2"/>
          <w:sz w:val="13"/>
        </w:rPr>
        <w:t xml:space="preserve"> </w:t>
      </w:r>
      <w:r>
        <w:rPr>
          <w:spacing w:val="-2"/>
          <w:sz w:val="13"/>
        </w:rPr>
        <w:t>para</w:t>
      </w:r>
      <w:r>
        <w:rPr>
          <w:spacing w:val="2"/>
          <w:sz w:val="13"/>
        </w:rPr>
        <w:t xml:space="preserve"> </w:t>
      </w:r>
      <w:r>
        <w:rPr>
          <w:spacing w:val="-2"/>
          <w:sz w:val="13"/>
        </w:rPr>
        <w:t>la</w:t>
      </w:r>
      <w:r>
        <w:rPr>
          <w:spacing w:val="2"/>
          <w:sz w:val="13"/>
        </w:rPr>
        <w:t xml:space="preserve"> </w:t>
      </w:r>
      <w:r>
        <w:rPr>
          <w:spacing w:val="-2"/>
          <w:sz w:val="13"/>
        </w:rPr>
        <w:t>Eliminación</w:t>
      </w:r>
      <w:r>
        <w:rPr>
          <w:spacing w:val="2"/>
          <w:sz w:val="13"/>
        </w:rPr>
        <w:t xml:space="preserve"> </w:t>
      </w:r>
      <w:r>
        <w:rPr>
          <w:spacing w:val="-2"/>
          <w:sz w:val="13"/>
        </w:rPr>
        <w:t>de</w:t>
      </w:r>
      <w:r>
        <w:rPr>
          <w:spacing w:val="2"/>
          <w:sz w:val="13"/>
        </w:rPr>
        <w:t xml:space="preserve"> </w:t>
      </w:r>
      <w:r>
        <w:rPr>
          <w:spacing w:val="-2"/>
          <w:sz w:val="13"/>
        </w:rPr>
        <w:t>la</w:t>
      </w:r>
      <w:r>
        <w:rPr>
          <w:spacing w:val="3"/>
          <w:sz w:val="13"/>
        </w:rPr>
        <w:t xml:space="preserve"> </w:t>
      </w:r>
      <w:r>
        <w:rPr>
          <w:spacing w:val="-2"/>
          <w:sz w:val="13"/>
        </w:rPr>
        <w:t>Discriminación</w:t>
      </w:r>
      <w:r>
        <w:rPr>
          <w:spacing w:val="2"/>
          <w:sz w:val="13"/>
        </w:rPr>
        <w:t xml:space="preserve"> </w:t>
      </w:r>
      <w:r>
        <w:rPr>
          <w:spacing w:val="-2"/>
          <w:sz w:val="13"/>
        </w:rPr>
        <w:t>contra</w:t>
      </w:r>
      <w:r>
        <w:rPr>
          <w:spacing w:val="2"/>
          <w:sz w:val="13"/>
        </w:rPr>
        <w:t xml:space="preserve"> </w:t>
      </w:r>
      <w:r>
        <w:rPr>
          <w:spacing w:val="-2"/>
          <w:sz w:val="13"/>
        </w:rPr>
        <w:t>la</w:t>
      </w:r>
      <w:r>
        <w:rPr>
          <w:spacing w:val="2"/>
          <w:sz w:val="13"/>
        </w:rPr>
        <w:t xml:space="preserve"> </w:t>
      </w:r>
      <w:r>
        <w:rPr>
          <w:spacing w:val="-2"/>
          <w:sz w:val="13"/>
        </w:rPr>
        <w:t>Mujer,</w:t>
      </w:r>
      <w:r>
        <w:rPr>
          <w:spacing w:val="2"/>
          <w:sz w:val="13"/>
        </w:rPr>
        <w:t xml:space="preserve"> </w:t>
      </w:r>
      <w:r>
        <w:rPr>
          <w:spacing w:val="-2"/>
          <w:sz w:val="13"/>
        </w:rPr>
        <w:t>recomendación</w:t>
      </w:r>
      <w:r>
        <w:rPr>
          <w:spacing w:val="3"/>
          <w:sz w:val="13"/>
        </w:rPr>
        <w:t xml:space="preserve"> </w:t>
      </w:r>
      <w:r>
        <w:rPr>
          <w:spacing w:val="-2"/>
          <w:sz w:val="13"/>
        </w:rPr>
        <w:t>general</w:t>
      </w:r>
      <w:r>
        <w:rPr>
          <w:spacing w:val="2"/>
          <w:sz w:val="13"/>
        </w:rPr>
        <w:t xml:space="preserve"> </w:t>
      </w:r>
      <w:r>
        <w:rPr>
          <w:spacing w:val="-2"/>
          <w:sz w:val="13"/>
        </w:rPr>
        <w:t>núm.</w:t>
      </w:r>
      <w:r>
        <w:rPr>
          <w:spacing w:val="2"/>
          <w:sz w:val="13"/>
        </w:rPr>
        <w:t xml:space="preserve"> </w:t>
      </w:r>
      <w:r>
        <w:rPr>
          <w:spacing w:val="-2"/>
          <w:sz w:val="13"/>
        </w:rPr>
        <w:t>25</w:t>
      </w:r>
      <w:r>
        <w:rPr>
          <w:spacing w:val="2"/>
          <w:sz w:val="13"/>
        </w:rPr>
        <w:t xml:space="preserve"> </w:t>
      </w:r>
      <w:r>
        <w:rPr>
          <w:spacing w:val="-2"/>
          <w:sz w:val="13"/>
        </w:rPr>
        <w:t>(2004),</w:t>
      </w:r>
      <w:r>
        <w:rPr>
          <w:spacing w:val="3"/>
          <w:sz w:val="13"/>
        </w:rPr>
        <w:t xml:space="preserve"> </w:t>
      </w:r>
      <w:r>
        <w:rPr>
          <w:spacing w:val="-2"/>
          <w:sz w:val="13"/>
        </w:rPr>
        <w:t>párr.</w:t>
      </w:r>
      <w:r>
        <w:rPr>
          <w:spacing w:val="3"/>
          <w:sz w:val="13"/>
        </w:rPr>
        <w:t xml:space="preserve"> </w:t>
      </w:r>
      <w:r>
        <w:rPr>
          <w:spacing w:val="-5"/>
          <w:sz w:val="13"/>
        </w:rPr>
        <w:t>20.</w:t>
      </w:r>
    </w:p>
    <w:p w14:paraId="35B7113C" w14:textId="77777777" w:rsidR="0014798C" w:rsidRDefault="004E1F0B">
      <w:pPr>
        <w:pStyle w:val="Prrafodelista"/>
        <w:numPr>
          <w:ilvl w:val="0"/>
          <w:numId w:val="56"/>
        </w:numPr>
        <w:tabs>
          <w:tab w:val="left" w:pos="1355"/>
        </w:tabs>
        <w:spacing w:before="87"/>
        <w:ind w:left="1355" w:hanging="248"/>
        <w:rPr>
          <w:sz w:val="13"/>
        </w:rPr>
      </w:pPr>
      <w:r>
        <w:rPr>
          <w:sz w:val="13"/>
        </w:rPr>
        <w:t>Comité</w:t>
      </w:r>
      <w:r>
        <w:rPr>
          <w:spacing w:val="-9"/>
          <w:sz w:val="13"/>
        </w:rPr>
        <w:t xml:space="preserve"> </w:t>
      </w:r>
      <w:r>
        <w:rPr>
          <w:sz w:val="13"/>
        </w:rPr>
        <w:t>sobre</w:t>
      </w:r>
      <w:r>
        <w:rPr>
          <w:spacing w:val="-8"/>
          <w:sz w:val="13"/>
        </w:rPr>
        <w:t xml:space="preserve"> </w:t>
      </w:r>
      <w:r>
        <w:rPr>
          <w:sz w:val="13"/>
        </w:rPr>
        <w:t>los</w:t>
      </w:r>
      <w:r>
        <w:rPr>
          <w:spacing w:val="-8"/>
          <w:sz w:val="13"/>
        </w:rPr>
        <w:t xml:space="preserve"> </w:t>
      </w:r>
      <w:r>
        <w:rPr>
          <w:sz w:val="13"/>
        </w:rPr>
        <w:t>Derechos</w:t>
      </w:r>
      <w:r>
        <w:rPr>
          <w:spacing w:val="-8"/>
          <w:sz w:val="13"/>
        </w:rPr>
        <w:t xml:space="preserve"> </w:t>
      </w:r>
      <w:r>
        <w:rPr>
          <w:sz w:val="13"/>
        </w:rPr>
        <w:t>de</w:t>
      </w:r>
      <w:r>
        <w:rPr>
          <w:spacing w:val="-8"/>
          <w:sz w:val="13"/>
        </w:rPr>
        <w:t xml:space="preserve"> </w:t>
      </w:r>
      <w:r>
        <w:rPr>
          <w:sz w:val="13"/>
        </w:rPr>
        <w:t>las</w:t>
      </w:r>
      <w:r>
        <w:rPr>
          <w:spacing w:val="-9"/>
          <w:sz w:val="13"/>
        </w:rPr>
        <w:t xml:space="preserve"> </w:t>
      </w:r>
      <w:r>
        <w:rPr>
          <w:sz w:val="13"/>
        </w:rPr>
        <w:t>Personas</w:t>
      </w:r>
      <w:r>
        <w:rPr>
          <w:spacing w:val="-8"/>
          <w:sz w:val="13"/>
        </w:rPr>
        <w:t xml:space="preserve"> </w:t>
      </w:r>
      <w:r>
        <w:rPr>
          <w:sz w:val="13"/>
        </w:rPr>
        <w:t>con</w:t>
      </w:r>
      <w:r>
        <w:rPr>
          <w:spacing w:val="-8"/>
          <w:sz w:val="13"/>
        </w:rPr>
        <w:t xml:space="preserve"> </w:t>
      </w:r>
      <w:r>
        <w:rPr>
          <w:sz w:val="13"/>
        </w:rPr>
        <w:t>Discapacidad,</w:t>
      </w:r>
      <w:r>
        <w:rPr>
          <w:spacing w:val="-7"/>
          <w:sz w:val="13"/>
        </w:rPr>
        <w:t xml:space="preserve"> </w:t>
      </w:r>
      <w:r>
        <w:rPr>
          <w:sz w:val="13"/>
        </w:rPr>
        <w:t>observación</w:t>
      </w:r>
      <w:r>
        <w:rPr>
          <w:spacing w:val="-9"/>
          <w:sz w:val="13"/>
        </w:rPr>
        <w:t xml:space="preserve"> </w:t>
      </w:r>
      <w:r>
        <w:rPr>
          <w:sz w:val="13"/>
        </w:rPr>
        <w:t>general</w:t>
      </w:r>
      <w:r>
        <w:rPr>
          <w:spacing w:val="-8"/>
          <w:sz w:val="13"/>
        </w:rPr>
        <w:t xml:space="preserve"> </w:t>
      </w:r>
      <w:r>
        <w:rPr>
          <w:sz w:val="13"/>
        </w:rPr>
        <w:t>núm.</w:t>
      </w:r>
      <w:r>
        <w:rPr>
          <w:spacing w:val="-8"/>
          <w:sz w:val="13"/>
        </w:rPr>
        <w:t xml:space="preserve"> </w:t>
      </w:r>
      <w:r>
        <w:rPr>
          <w:sz w:val="13"/>
        </w:rPr>
        <w:t>6</w:t>
      </w:r>
      <w:r>
        <w:rPr>
          <w:spacing w:val="-8"/>
          <w:sz w:val="13"/>
        </w:rPr>
        <w:t xml:space="preserve"> </w:t>
      </w:r>
      <w:r>
        <w:rPr>
          <w:sz w:val="13"/>
        </w:rPr>
        <w:t>(2018),</w:t>
      </w:r>
      <w:r>
        <w:rPr>
          <w:spacing w:val="-8"/>
          <w:sz w:val="13"/>
        </w:rPr>
        <w:t xml:space="preserve"> </w:t>
      </w:r>
      <w:r>
        <w:rPr>
          <w:sz w:val="13"/>
        </w:rPr>
        <w:t>párr.</w:t>
      </w:r>
      <w:r>
        <w:rPr>
          <w:spacing w:val="-8"/>
          <w:sz w:val="13"/>
        </w:rPr>
        <w:t xml:space="preserve"> </w:t>
      </w:r>
      <w:r>
        <w:rPr>
          <w:spacing w:val="-5"/>
          <w:sz w:val="13"/>
        </w:rPr>
        <w:t>28.</w:t>
      </w:r>
    </w:p>
    <w:p w14:paraId="4B1CF5E0" w14:textId="77777777" w:rsidR="0014798C" w:rsidRDefault="004E1F0B">
      <w:pPr>
        <w:pStyle w:val="Prrafodelista"/>
        <w:numPr>
          <w:ilvl w:val="0"/>
          <w:numId w:val="56"/>
        </w:numPr>
        <w:tabs>
          <w:tab w:val="left" w:pos="1355"/>
        </w:tabs>
        <w:spacing w:before="87"/>
        <w:ind w:left="1355" w:hanging="248"/>
        <w:rPr>
          <w:sz w:val="13"/>
        </w:rPr>
      </w:pPr>
      <w:r>
        <w:rPr>
          <w:spacing w:val="-2"/>
          <w:sz w:val="13"/>
        </w:rPr>
        <w:t>Comité</w:t>
      </w:r>
      <w:r>
        <w:rPr>
          <w:spacing w:val="2"/>
          <w:sz w:val="13"/>
        </w:rPr>
        <w:t xml:space="preserve"> </w:t>
      </w:r>
      <w:r>
        <w:rPr>
          <w:spacing w:val="-2"/>
          <w:sz w:val="13"/>
        </w:rPr>
        <w:t>para</w:t>
      </w:r>
      <w:r>
        <w:rPr>
          <w:spacing w:val="2"/>
          <w:sz w:val="13"/>
        </w:rPr>
        <w:t xml:space="preserve"> </w:t>
      </w:r>
      <w:r>
        <w:rPr>
          <w:spacing w:val="-2"/>
          <w:sz w:val="13"/>
        </w:rPr>
        <w:t>la</w:t>
      </w:r>
      <w:r>
        <w:rPr>
          <w:spacing w:val="2"/>
          <w:sz w:val="13"/>
        </w:rPr>
        <w:t xml:space="preserve"> </w:t>
      </w:r>
      <w:r>
        <w:rPr>
          <w:spacing w:val="-2"/>
          <w:sz w:val="13"/>
        </w:rPr>
        <w:t>Eliminación</w:t>
      </w:r>
      <w:r>
        <w:rPr>
          <w:spacing w:val="3"/>
          <w:sz w:val="13"/>
        </w:rPr>
        <w:t xml:space="preserve"> </w:t>
      </w:r>
      <w:r>
        <w:rPr>
          <w:spacing w:val="-2"/>
          <w:sz w:val="13"/>
        </w:rPr>
        <w:t>de</w:t>
      </w:r>
      <w:r>
        <w:rPr>
          <w:spacing w:val="2"/>
          <w:sz w:val="13"/>
        </w:rPr>
        <w:t xml:space="preserve"> </w:t>
      </w:r>
      <w:r>
        <w:rPr>
          <w:spacing w:val="-2"/>
          <w:sz w:val="13"/>
        </w:rPr>
        <w:t>la</w:t>
      </w:r>
      <w:r>
        <w:rPr>
          <w:spacing w:val="2"/>
          <w:sz w:val="13"/>
        </w:rPr>
        <w:t xml:space="preserve"> </w:t>
      </w:r>
      <w:r>
        <w:rPr>
          <w:spacing w:val="-2"/>
          <w:sz w:val="13"/>
        </w:rPr>
        <w:t>Discriminación</w:t>
      </w:r>
      <w:r>
        <w:rPr>
          <w:spacing w:val="3"/>
          <w:sz w:val="13"/>
        </w:rPr>
        <w:t xml:space="preserve"> </w:t>
      </w:r>
      <w:r>
        <w:rPr>
          <w:spacing w:val="-2"/>
          <w:sz w:val="13"/>
        </w:rPr>
        <w:t>Racial,</w:t>
      </w:r>
      <w:r>
        <w:rPr>
          <w:spacing w:val="3"/>
          <w:sz w:val="13"/>
        </w:rPr>
        <w:t xml:space="preserve"> </w:t>
      </w:r>
      <w:r>
        <w:rPr>
          <w:spacing w:val="-2"/>
          <w:sz w:val="13"/>
        </w:rPr>
        <w:t>recomendación</w:t>
      </w:r>
      <w:r>
        <w:rPr>
          <w:spacing w:val="2"/>
          <w:sz w:val="13"/>
        </w:rPr>
        <w:t xml:space="preserve"> </w:t>
      </w:r>
      <w:r>
        <w:rPr>
          <w:spacing w:val="-2"/>
          <w:sz w:val="13"/>
        </w:rPr>
        <w:t>general</w:t>
      </w:r>
      <w:r>
        <w:rPr>
          <w:spacing w:val="3"/>
          <w:sz w:val="13"/>
        </w:rPr>
        <w:t xml:space="preserve"> </w:t>
      </w:r>
      <w:r>
        <w:rPr>
          <w:spacing w:val="-2"/>
          <w:sz w:val="13"/>
        </w:rPr>
        <w:t>núm.</w:t>
      </w:r>
      <w:r>
        <w:rPr>
          <w:spacing w:val="2"/>
          <w:sz w:val="13"/>
        </w:rPr>
        <w:t xml:space="preserve"> </w:t>
      </w:r>
      <w:r>
        <w:rPr>
          <w:spacing w:val="-2"/>
          <w:sz w:val="13"/>
        </w:rPr>
        <w:t>32</w:t>
      </w:r>
      <w:r>
        <w:rPr>
          <w:spacing w:val="2"/>
          <w:sz w:val="13"/>
        </w:rPr>
        <w:t xml:space="preserve"> </w:t>
      </w:r>
      <w:r>
        <w:rPr>
          <w:spacing w:val="-2"/>
          <w:sz w:val="13"/>
        </w:rPr>
        <w:t>(2009),</w:t>
      </w:r>
      <w:r>
        <w:rPr>
          <w:spacing w:val="4"/>
          <w:sz w:val="13"/>
        </w:rPr>
        <w:t xml:space="preserve"> </w:t>
      </w:r>
      <w:r>
        <w:rPr>
          <w:spacing w:val="-2"/>
          <w:sz w:val="13"/>
        </w:rPr>
        <w:t>párr.</w:t>
      </w:r>
      <w:r>
        <w:rPr>
          <w:spacing w:val="2"/>
          <w:sz w:val="13"/>
        </w:rPr>
        <w:t xml:space="preserve"> </w:t>
      </w:r>
      <w:r>
        <w:rPr>
          <w:spacing w:val="-5"/>
          <w:sz w:val="13"/>
        </w:rPr>
        <w:t>35.</w:t>
      </w:r>
    </w:p>
    <w:p w14:paraId="31116C5D" w14:textId="77777777" w:rsidR="0014798C" w:rsidRDefault="004E1F0B">
      <w:pPr>
        <w:pStyle w:val="Prrafodelista"/>
        <w:numPr>
          <w:ilvl w:val="0"/>
          <w:numId w:val="56"/>
        </w:numPr>
        <w:tabs>
          <w:tab w:val="left" w:pos="1355"/>
        </w:tabs>
        <w:spacing w:before="87"/>
        <w:ind w:left="1355" w:hanging="248"/>
        <w:rPr>
          <w:sz w:val="13"/>
        </w:rPr>
      </w:pPr>
      <w:r>
        <w:rPr>
          <w:spacing w:val="-2"/>
          <w:sz w:val="13"/>
        </w:rPr>
        <w:t>Comité</w:t>
      </w:r>
      <w:r>
        <w:rPr>
          <w:spacing w:val="2"/>
          <w:sz w:val="13"/>
        </w:rPr>
        <w:t xml:space="preserve"> </w:t>
      </w:r>
      <w:r>
        <w:rPr>
          <w:spacing w:val="-2"/>
          <w:sz w:val="13"/>
        </w:rPr>
        <w:t>para</w:t>
      </w:r>
      <w:r>
        <w:rPr>
          <w:spacing w:val="2"/>
          <w:sz w:val="13"/>
        </w:rPr>
        <w:t xml:space="preserve"> </w:t>
      </w:r>
      <w:r>
        <w:rPr>
          <w:spacing w:val="-2"/>
          <w:sz w:val="13"/>
        </w:rPr>
        <w:t>la</w:t>
      </w:r>
      <w:r>
        <w:rPr>
          <w:spacing w:val="2"/>
          <w:sz w:val="13"/>
        </w:rPr>
        <w:t xml:space="preserve"> </w:t>
      </w:r>
      <w:r>
        <w:rPr>
          <w:spacing w:val="-2"/>
          <w:sz w:val="13"/>
        </w:rPr>
        <w:t>Eliminación</w:t>
      </w:r>
      <w:r>
        <w:rPr>
          <w:spacing w:val="2"/>
          <w:sz w:val="13"/>
        </w:rPr>
        <w:t xml:space="preserve"> </w:t>
      </w:r>
      <w:r>
        <w:rPr>
          <w:spacing w:val="-2"/>
          <w:sz w:val="13"/>
        </w:rPr>
        <w:t>de</w:t>
      </w:r>
      <w:r>
        <w:rPr>
          <w:spacing w:val="3"/>
          <w:sz w:val="13"/>
        </w:rPr>
        <w:t xml:space="preserve"> </w:t>
      </w:r>
      <w:r>
        <w:rPr>
          <w:spacing w:val="-2"/>
          <w:sz w:val="13"/>
        </w:rPr>
        <w:t>la</w:t>
      </w:r>
      <w:r>
        <w:rPr>
          <w:spacing w:val="2"/>
          <w:sz w:val="13"/>
        </w:rPr>
        <w:t xml:space="preserve"> </w:t>
      </w:r>
      <w:r>
        <w:rPr>
          <w:spacing w:val="-2"/>
          <w:sz w:val="13"/>
        </w:rPr>
        <w:t>Discriminación</w:t>
      </w:r>
      <w:r>
        <w:rPr>
          <w:spacing w:val="2"/>
          <w:sz w:val="13"/>
        </w:rPr>
        <w:t xml:space="preserve"> </w:t>
      </w:r>
      <w:r>
        <w:rPr>
          <w:spacing w:val="-2"/>
          <w:sz w:val="13"/>
        </w:rPr>
        <w:t>contra</w:t>
      </w:r>
      <w:r>
        <w:rPr>
          <w:spacing w:val="2"/>
          <w:sz w:val="13"/>
        </w:rPr>
        <w:t xml:space="preserve"> </w:t>
      </w:r>
      <w:r>
        <w:rPr>
          <w:spacing w:val="-2"/>
          <w:sz w:val="13"/>
        </w:rPr>
        <w:t>la</w:t>
      </w:r>
      <w:r>
        <w:rPr>
          <w:spacing w:val="2"/>
          <w:sz w:val="13"/>
        </w:rPr>
        <w:t xml:space="preserve"> </w:t>
      </w:r>
      <w:r>
        <w:rPr>
          <w:spacing w:val="-2"/>
          <w:sz w:val="13"/>
        </w:rPr>
        <w:t>Mujer,</w:t>
      </w:r>
      <w:r>
        <w:rPr>
          <w:spacing w:val="3"/>
          <w:sz w:val="13"/>
        </w:rPr>
        <w:t xml:space="preserve"> </w:t>
      </w:r>
      <w:r>
        <w:rPr>
          <w:spacing w:val="-2"/>
          <w:sz w:val="13"/>
        </w:rPr>
        <w:t>recomendación</w:t>
      </w:r>
      <w:r>
        <w:rPr>
          <w:spacing w:val="2"/>
          <w:sz w:val="13"/>
        </w:rPr>
        <w:t xml:space="preserve"> </w:t>
      </w:r>
      <w:r>
        <w:rPr>
          <w:spacing w:val="-2"/>
          <w:sz w:val="13"/>
        </w:rPr>
        <w:t>general</w:t>
      </w:r>
      <w:r>
        <w:rPr>
          <w:spacing w:val="2"/>
          <w:sz w:val="13"/>
        </w:rPr>
        <w:t xml:space="preserve"> </w:t>
      </w:r>
      <w:r>
        <w:rPr>
          <w:spacing w:val="-2"/>
          <w:sz w:val="13"/>
        </w:rPr>
        <w:t>núm.</w:t>
      </w:r>
      <w:r>
        <w:rPr>
          <w:spacing w:val="2"/>
          <w:sz w:val="13"/>
        </w:rPr>
        <w:t xml:space="preserve"> </w:t>
      </w:r>
      <w:r>
        <w:rPr>
          <w:spacing w:val="-2"/>
          <w:sz w:val="13"/>
        </w:rPr>
        <w:t>25</w:t>
      </w:r>
      <w:r>
        <w:rPr>
          <w:spacing w:val="2"/>
          <w:sz w:val="13"/>
        </w:rPr>
        <w:t xml:space="preserve"> </w:t>
      </w:r>
      <w:r>
        <w:rPr>
          <w:spacing w:val="-2"/>
          <w:sz w:val="13"/>
        </w:rPr>
        <w:t>(2004),</w:t>
      </w:r>
      <w:r>
        <w:rPr>
          <w:spacing w:val="4"/>
          <w:sz w:val="13"/>
        </w:rPr>
        <w:t xml:space="preserve"> </w:t>
      </w:r>
      <w:proofErr w:type="spellStart"/>
      <w:r>
        <w:rPr>
          <w:spacing w:val="-2"/>
          <w:sz w:val="13"/>
        </w:rPr>
        <w:t>párrs</w:t>
      </w:r>
      <w:proofErr w:type="spellEnd"/>
      <w:r>
        <w:rPr>
          <w:spacing w:val="-2"/>
          <w:sz w:val="13"/>
        </w:rPr>
        <w:t>.</w:t>
      </w:r>
      <w:r>
        <w:rPr>
          <w:spacing w:val="2"/>
          <w:sz w:val="13"/>
        </w:rPr>
        <w:t xml:space="preserve"> </w:t>
      </w:r>
      <w:r>
        <w:rPr>
          <w:spacing w:val="-2"/>
          <w:sz w:val="13"/>
        </w:rPr>
        <w:t>34–35.</w:t>
      </w:r>
    </w:p>
    <w:p w14:paraId="04770B66" w14:textId="77777777" w:rsidR="0014798C" w:rsidRDefault="004E1F0B">
      <w:pPr>
        <w:pStyle w:val="Prrafodelista"/>
        <w:numPr>
          <w:ilvl w:val="0"/>
          <w:numId w:val="56"/>
        </w:numPr>
        <w:tabs>
          <w:tab w:val="left" w:pos="1355"/>
        </w:tabs>
        <w:spacing w:before="87"/>
        <w:ind w:left="1355" w:hanging="248"/>
        <w:rPr>
          <w:sz w:val="13"/>
        </w:rPr>
      </w:pPr>
      <w:r>
        <w:rPr>
          <w:spacing w:val="-2"/>
          <w:sz w:val="13"/>
        </w:rPr>
        <w:t>Comité</w:t>
      </w:r>
      <w:r>
        <w:rPr>
          <w:spacing w:val="3"/>
          <w:sz w:val="13"/>
        </w:rPr>
        <w:t xml:space="preserve"> </w:t>
      </w:r>
      <w:r>
        <w:rPr>
          <w:spacing w:val="-2"/>
          <w:sz w:val="13"/>
        </w:rPr>
        <w:t>de</w:t>
      </w:r>
      <w:r>
        <w:rPr>
          <w:spacing w:val="3"/>
          <w:sz w:val="13"/>
        </w:rPr>
        <w:t xml:space="preserve"> </w:t>
      </w:r>
      <w:r>
        <w:rPr>
          <w:spacing w:val="-2"/>
          <w:sz w:val="13"/>
        </w:rPr>
        <w:t>Derechos</w:t>
      </w:r>
      <w:r>
        <w:rPr>
          <w:spacing w:val="4"/>
          <w:sz w:val="13"/>
        </w:rPr>
        <w:t xml:space="preserve"> </w:t>
      </w:r>
      <w:r>
        <w:rPr>
          <w:spacing w:val="-2"/>
          <w:sz w:val="13"/>
        </w:rPr>
        <w:t>Económicos,</w:t>
      </w:r>
      <w:r>
        <w:rPr>
          <w:spacing w:val="4"/>
          <w:sz w:val="13"/>
        </w:rPr>
        <w:t xml:space="preserve"> </w:t>
      </w:r>
      <w:r>
        <w:rPr>
          <w:spacing w:val="-2"/>
          <w:sz w:val="13"/>
        </w:rPr>
        <w:t>Sociales</w:t>
      </w:r>
      <w:r>
        <w:rPr>
          <w:spacing w:val="3"/>
          <w:sz w:val="13"/>
        </w:rPr>
        <w:t xml:space="preserve"> </w:t>
      </w:r>
      <w:r>
        <w:rPr>
          <w:spacing w:val="-2"/>
          <w:sz w:val="13"/>
        </w:rPr>
        <w:t>y</w:t>
      </w:r>
      <w:r>
        <w:rPr>
          <w:spacing w:val="4"/>
          <w:sz w:val="13"/>
        </w:rPr>
        <w:t xml:space="preserve"> </w:t>
      </w:r>
      <w:r>
        <w:rPr>
          <w:spacing w:val="-2"/>
          <w:sz w:val="13"/>
        </w:rPr>
        <w:t>Culturales,</w:t>
      </w:r>
      <w:r>
        <w:rPr>
          <w:spacing w:val="4"/>
          <w:sz w:val="13"/>
        </w:rPr>
        <w:t xml:space="preserve"> </w:t>
      </w:r>
      <w:r>
        <w:rPr>
          <w:spacing w:val="-2"/>
          <w:sz w:val="13"/>
        </w:rPr>
        <w:t>observación</w:t>
      </w:r>
      <w:r>
        <w:rPr>
          <w:spacing w:val="4"/>
          <w:sz w:val="13"/>
        </w:rPr>
        <w:t xml:space="preserve"> </w:t>
      </w:r>
      <w:r>
        <w:rPr>
          <w:spacing w:val="-2"/>
          <w:sz w:val="13"/>
        </w:rPr>
        <w:t>general</w:t>
      </w:r>
      <w:r>
        <w:rPr>
          <w:spacing w:val="3"/>
          <w:sz w:val="13"/>
        </w:rPr>
        <w:t xml:space="preserve"> </w:t>
      </w:r>
      <w:r>
        <w:rPr>
          <w:spacing w:val="-2"/>
          <w:sz w:val="13"/>
        </w:rPr>
        <w:t>núm.</w:t>
      </w:r>
      <w:r>
        <w:rPr>
          <w:spacing w:val="3"/>
          <w:sz w:val="13"/>
        </w:rPr>
        <w:t xml:space="preserve"> </w:t>
      </w:r>
      <w:r>
        <w:rPr>
          <w:spacing w:val="-2"/>
          <w:sz w:val="13"/>
        </w:rPr>
        <w:t>20</w:t>
      </w:r>
      <w:r>
        <w:rPr>
          <w:spacing w:val="4"/>
          <w:sz w:val="13"/>
        </w:rPr>
        <w:t xml:space="preserve"> </w:t>
      </w:r>
      <w:r>
        <w:rPr>
          <w:spacing w:val="-2"/>
          <w:sz w:val="13"/>
        </w:rPr>
        <w:t>(2009),</w:t>
      </w:r>
      <w:r>
        <w:rPr>
          <w:spacing w:val="4"/>
          <w:sz w:val="13"/>
        </w:rPr>
        <w:t xml:space="preserve"> </w:t>
      </w:r>
      <w:r>
        <w:rPr>
          <w:spacing w:val="-2"/>
          <w:sz w:val="13"/>
        </w:rPr>
        <w:t>párr.</w:t>
      </w:r>
      <w:r>
        <w:rPr>
          <w:spacing w:val="4"/>
          <w:sz w:val="13"/>
        </w:rPr>
        <w:t xml:space="preserve"> </w:t>
      </w:r>
      <w:r>
        <w:rPr>
          <w:spacing w:val="-5"/>
          <w:sz w:val="13"/>
        </w:rPr>
        <w:t>9.</w:t>
      </w:r>
    </w:p>
    <w:p w14:paraId="65FCF2D6" w14:textId="77777777" w:rsidR="0014798C" w:rsidRDefault="004E1F0B">
      <w:pPr>
        <w:pStyle w:val="Prrafodelista"/>
        <w:numPr>
          <w:ilvl w:val="0"/>
          <w:numId w:val="56"/>
        </w:numPr>
        <w:tabs>
          <w:tab w:val="left" w:pos="1355"/>
        </w:tabs>
        <w:spacing w:before="87"/>
        <w:ind w:left="1355" w:hanging="248"/>
        <w:rPr>
          <w:sz w:val="13"/>
        </w:rPr>
      </w:pPr>
      <w:r>
        <w:rPr>
          <w:spacing w:val="-2"/>
          <w:sz w:val="13"/>
        </w:rPr>
        <w:t>Comité</w:t>
      </w:r>
      <w:r>
        <w:rPr>
          <w:spacing w:val="2"/>
          <w:sz w:val="13"/>
        </w:rPr>
        <w:t xml:space="preserve"> </w:t>
      </w:r>
      <w:r>
        <w:rPr>
          <w:spacing w:val="-2"/>
          <w:sz w:val="13"/>
        </w:rPr>
        <w:t>para</w:t>
      </w:r>
      <w:r>
        <w:rPr>
          <w:spacing w:val="2"/>
          <w:sz w:val="13"/>
        </w:rPr>
        <w:t xml:space="preserve"> </w:t>
      </w:r>
      <w:r>
        <w:rPr>
          <w:spacing w:val="-2"/>
          <w:sz w:val="13"/>
        </w:rPr>
        <w:t>la</w:t>
      </w:r>
      <w:r>
        <w:rPr>
          <w:spacing w:val="2"/>
          <w:sz w:val="13"/>
        </w:rPr>
        <w:t xml:space="preserve"> </w:t>
      </w:r>
      <w:r>
        <w:rPr>
          <w:spacing w:val="-2"/>
          <w:sz w:val="13"/>
        </w:rPr>
        <w:t>Eliminación</w:t>
      </w:r>
      <w:r>
        <w:rPr>
          <w:spacing w:val="3"/>
          <w:sz w:val="13"/>
        </w:rPr>
        <w:t xml:space="preserve"> </w:t>
      </w:r>
      <w:r>
        <w:rPr>
          <w:spacing w:val="-2"/>
          <w:sz w:val="13"/>
        </w:rPr>
        <w:t>de</w:t>
      </w:r>
      <w:r>
        <w:rPr>
          <w:spacing w:val="2"/>
          <w:sz w:val="13"/>
        </w:rPr>
        <w:t xml:space="preserve"> </w:t>
      </w:r>
      <w:r>
        <w:rPr>
          <w:spacing w:val="-2"/>
          <w:sz w:val="13"/>
        </w:rPr>
        <w:t>la</w:t>
      </w:r>
      <w:r>
        <w:rPr>
          <w:spacing w:val="2"/>
          <w:sz w:val="13"/>
        </w:rPr>
        <w:t xml:space="preserve"> </w:t>
      </w:r>
      <w:r>
        <w:rPr>
          <w:spacing w:val="-2"/>
          <w:sz w:val="13"/>
        </w:rPr>
        <w:t>Discriminación</w:t>
      </w:r>
      <w:r>
        <w:rPr>
          <w:spacing w:val="3"/>
          <w:sz w:val="13"/>
        </w:rPr>
        <w:t xml:space="preserve"> </w:t>
      </w:r>
      <w:r>
        <w:rPr>
          <w:spacing w:val="-2"/>
          <w:sz w:val="13"/>
        </w:rPr>
        <w:t>Racial,</w:t>
      </w:r>
      <w:r>
        <w:rPr>
          <w:spacing w:val="3"/>
          <w:sz w:val="13"/>
        </w:rPr>
        <w:t xml:space="preserve"> </w:t>
      </w:r>
      <w:r>
        <w:rPr>
          <w:spacing w:val="-2"/>
          <w:sz w:val="13"/>
        </w:rPr>
        <w:t>recomendación</w:t>
      </w:r>
      <w:r>
        <w:rPr>
          <w:spacing w:val="2"/>
          <w:sz w:val="13"/>
        </w:rPr>
        <w:t xml:space="preserve"> </w:t>
      </w:r>
      <w:r>
        <w:rPr>
          <w:spacing w:val="-2"/>
          <w:sz w:val="13"/>
        </w:rPr>
        <w:t>general</w:t>
      </w:r>
      <w:r>
        <w:rPr>
          <w:spacing w:val="3"/>
          <w:sz w:val="13"/>
        </w:rPr>
        <w:t xml:space="preserve"> </w:t>
      </w:r>
      <w:r>
        <w:rPr>
          <w:spacing w:val="-2"/>
          <w:sz w:val="13"/>
        </w:rPr>
        <w:t>núm.</w:t>
      </w:r>
      <w:r>
        <w:rPr>
          <w:spacing w:val="2"/>
          <w:sz w:val="13"/>
        </w:rPr>
        <w:t xml:space="preserve"> </w:t>
      </w:r>
      <w:r>
        <w:rPr>
          <w:spacing w:val="-2"/>
          <w:sz w:val="13"/>
        </w:rPr>
        <w:t>32</w:t>
      </w:r>
      <w:r>
        <w:rPr>
          <w:spacing w:val="2"/>
          <w:sz w:val="13"/>
        </w:rPr>
        <w:t xml:space="preserve"> </w:t>
      </w:r>
      <w:r>
        <w:rPr>
          <w:spacing w:val="-2"/>
          <w:sz w:val="13"/>
        </w:rPr>
        <w:t>(2009),</w:t>
      </w:r>
      <w:r>
        <w:rPr>
          <w:spacing w:val="4"/>
          <w:sz w:val="13"/>
        </w:rPr>
        <w:t xml:space="preserve"> </w:t>
      </w:r>
      <w:r>
        <w:rPr>
          <w:spacing w:val="-2"/>
          <w:sz w:val="13"/>
        </w:rPr>
        <w:t>párr.</w:t>
      </w:r>
      <w:r>
        <w:rPr>
          <w:spacing w:val="2"/>
          <w:sz w:val="13"/>
        </w:rPr>
        <w:t xml:space="preserve"> </w:t>
      </w:r>
      <w:r>
        <w:rPr>
          <w:spacing w:val="-2"/>
          <w:sz w:val="13"/>
        </w:rPr>
        <w:t>dieciséis.</w:t>
      </w:r>
    </w:p>
    <w:p w14:paraId="33FCF115" w14:textId="77777777" w:rsidR="0014798C" w:rsidRDefault="004E1F0B">
      <w:pPr>
        <w:pStyle w:val="Prrafodelista"/>
        <w:numPr>
          <w:ilvl w:val="0"/>
          <w:numId w:val="56"/>
        </w:numPr>
        <w:tabs>
          <w:tab w:val="left" w:pos="1355"/>
        </w:tabs>
        <w:spacing w:before="87"/>
        <w:ind w:left="1355" w:hanging="248"/>
        <w:rPr>
          <w:sz w:val="13"/>
        </w:rPr>
      </w:pPr>
      <w:r>
        <w:rPr>
          <w:spacing w:val="-2"/>
          <w:sz w:val="13"/>
        </w:rPr>
        <w:t>Comité</w:t>
      </w:r>
      <w:r>
        <w:rPr>
          <w:spacing w:val="2"/>
          <w:sz w:val="13"/>
        </w:rPr>
        <w:t xml:space="preserve"> </w:t>
      </w:r>
      <w:r>
        <w:rPr>
          <w:spacing w:val="-2"/>
          <w:sz w:val="13"/>
        </w:rPr>
        <w:t>para</w:t>
      </w:r>
      <w:r>
        <w:rPr>
          <w:spacing w:val="2"/>
          <w:sz w:val="13"/>
        </w:rPr>
        <w:t xml:space="preserve"> </w:t>
      </w:r>
      <w:r>
        <w:rPr>
          <w:spacing w:val="-2"/>
          <w:sz w:val="13"/>
        </w:rPr>
        <w:t>la</w:t>
      </w:r>
      <w:r>
        <w:rPr>
          <w:spacing w:val="2"/>
          <w:sz w:val="13"/>
        </w:rPr>
        <w:t xml:space="preserve"> </w:t>
      </w:r>
      <w:r>
        <w:rPr>
          <w:spacing w:val="-2"/>
          <w:sz w:val="13"/>
        </w:rPr>
        <w:t>Eliminación</w:t>
      </w:r>
      <w:r>
        <w:rPr>
          <w:spacing w:val="2"/>
          <w:sz w:val="13"/>
        </w:rPr>
        <w:t xml:space="preserve"> </w:t>
      </w:r>
      <w:r>
        <w:rPr>
          <w:spacing w:val="-2"/>
          <w:sz w:val="13"/>
        </w:rPr>
        <w:t>de</w:t>
      </w:r>
      <w:r>
        <w:rPr>
          <w:spacing w:val="2"/>
          <w:sz w:val="13"/>
        </w:rPr>
        <w:t xml:space="preserve"> </w:t>
      </w:r>
      <w:r>
        <w:rPr>
          <w:spacing w:val="-2"/>
          <w:sz w:val="13"/>
        </w:rPr>
        <w:t>la</w:t>
      </w:r>
      <w:r>
        <w:rPr>
          <w:spacing w:val="3"/>
          <w:sz w:val="13"/>
        </w:rPr>
        <w:t xml:space="preserve"> </w:t>
      </w:r>
      <w:r>
        <w:rPr>
          <w:spacing w:val="-2"/>
          <w:sz w:val="13"/>
        </w:rPr>
        <w:t>Discriminación</w:t>
      </w:r>
      <w:r>
        <w:rPr>
          <w:spacing w:val="2"/>
          <w:sz w:val="13"/>
        </w:rPr>
        <w:t xml:space="preserve"> </w:t>
      </w:r>
      <w:r>
        <w:rPr>
          <w:spacing w:val="-2"/>
          <w:sz w:val="13"/>
        </w:rPr>
        <w:t>contra</w:t>
      </w:r>
      <w:r>
        <w:rPr>
          <w:spacing w:val="2"/>
          <w:sz w:val="13"/>
        </w:rPr>
        <w:t xml:space="preserve"> </w:t>
      </w:r>
      <w:r>
        <w:rPr>
          <w:spacing w:val="-2"/>
          <w:sz w:val="13"/>
        </w:rPr>
        <w:t>la</w:t>
      </w:r>
      <w:r>
        <w:rPr>
          <w:spacing w:val="2"/>
          <w:sz w:val="13"/>
        </w:rPr>
        <w:t xml:space="preserve"> </w:t>
      </w:r>
      <w:r>
        <w:rPr>
          <w:spacing w:val="-2"/>
          <w:sz w:val="13"/>
        </w:rPr>
        <w:t>Mujer,</w:t>
      </w:r>
      <w:r>
        <w:rPr>
          <w:spacing w:val="2"/>
          <w:sz w:val="13"/>
        </w:rPr>
        <w:t xml:space="preserve"> </w:t>
      </w:r>
      <w:r>
        <w:rPr>
          <w:spacing w:val="-2"/>
          <w:sz w:val="13"/>
        </w:rPr>
        <w:t>recomendación</w:t>
      </w:r>
      <w:r>
        <w:rPr>
          <w:spacing w:val="3"/>
          <w:sz w:val="13"/>
        </w:rPr>
        <w:t xml:space="preserve"> </w:t>
      </w:r>
      <w:r>
        <w:rPr>
          <w:spacing w:val="-2"/>
          <w:sz w:val="13"/>
        </w:rPr>
        <w:t>general</w:t>
      </w:r>
      <w:r>
        <w:rPr>
          <w:spacing w:val="2"/>
          <w:sz w:val="13"/>
        </w:rPr>
        <w:t xml:space="preserve"> </w:t>
      </w:r>
      <w:r>
        <w:rPr>
          <w:spacing w:val="-2"/>
          <w:sz w:val="13"/>
        </w:rPr>
        <w:t>núm.</w:t>
      </w:r>
      <w:r>
        <w:rPr>
          <w:spacing w:val="2"/>
          <w:sz w:val="13"/>
        </w:rPr>
        <w:t xml:space="preserve"> </w:t>
      </w:r>
      <w:r>
        <w:rPr>
          <w:spacing w:val="-2"/>
          <w:sz w:val="13"/>
        </w:rPr>
        <w:t>25</w:t>
      </w:r>
      <w:r>
        <w:rPr>
          <w:spacing w:val="2"/>
          <w:sz w:val="13"/>
        </w:rPr>
        <w:t xml:space="preserve"> </w:t>
      </w:r>
      <w:r>
        <w:rPr>
          <w:spacing w:val="-2"/>
          <w:sz w:val="13"/>
        </w:rPr>
        <w:t>(2004),</w:t>
      </w:r>
      <w:r>
        <w:rPr>
          <w:spacing w:val="3"/>
          <w:sz w:val="13"/>
        </w:rPr>
        <w:t xml:space="preserve"> </w:t>
      </w:r>
      <w:r>
        <w:rPr>
          <w:spacing w:val="-2"/>
          <w:sz w:val="13"/>
        </w:rPr>
        <w:t>párr.</w:t>
      </w:r>
      <w:r>
        <w:rPr>
          <w:spacing w:val="3"/>
          <w:sz w:val="13"/>
        </w:rPr>
        <w:t xml:space="preserve"> </w:t>
      </w:r>
      <w:r>
        <w:rPr>
          <w:spacing w:val="-5"/>
          <w:sz w:val="13"/>
        </w:rPr>
        <w:t>24.</w:t>
      </w:r>
    </w:p>
    <w:p w14:paraId="09B97757" w14:textId="77777777" w:rsidR="0014798C" w:rsidRDefault="004E1F0B">
      <w:pPr>
        <w:pStyle w:val="Prrafodelista"/>
        <w:numPr>
          <w:ilvl w:val="0"/>
          <w:numId w:val="56"/>
        </w:numPr>
        <w:tabs>
          <w:tab w:val="left" w:pos="1355"/>
        </w:tabs>
        <w:spacing w:before="87"/>
        <w:ind w:left="1355" w:hanging="248"/>
        <w:rPr>
          <w:sz w:val="13"/>
        </w:rPr>
      </w:pPr>
      <w:r>
        <w:rPr>
          <w:spacing w:val="-2"/>
          <w:sz w:val="13"/>
        </w:rPr>
        <w:t>Comité</w:t>
      </w:r>
      <w:r>
        <w:rPr>
          <w:spacing w:val="2"/>
          <w:sz w:val="13"/>
        </w:rPr>
        <w:t xml:space="preserve"> </w:t>
      </w:r>
      <w:r>
        <w:rPr>
          <w:spacing w:val="-2"/>
          <w:sz w:val="13"/>
        </w:rPr>
        <w:t>para</w:t>
      </w:r>
      <w:r>
        <w:rPr>
          <w:spacing w:val="2"/>
          <w:sz w:val="13"/>
        </w:rPr>
        <w:t xml:space="preserve"> </w:t>
      </w:r>
      <w:r>
        <w:rPr>
          <w:spacing w:val="-2"/>
          <w:sz w:val="13"/>
        </w:rPr>
        <w:t>la</w:t>
      </w:r>
      <w:r>
        <w:rPr>
          <w:spacing w:val="2"/>
          <w:sz w:val="13"/>
        </w:rPr>
        <w:t xml:space="preserve"> </w:t>
      </w:r>
      <w:r>
        <w:rPr>
          <w:spacing w:val="-2"/>
          <w:sz w:val="13"/>
        </w:rPr>
        <w:t>Eliminación</w:t>
      </w:r>
      <w:r>
        <w:rPr>
          <w:spacing w:val="3"/>
          <w:sz w:val="13"/>
        </w:rPr>
        <w:t xml:space="preserve"> </w:t>
      </w:r>
      <w:r>
        <w:rPr>
          <w:spacing w:val="-2"/>
          <w:sz w:val="13"/>
        </w:rPr>
        <w:t>de</w:t>
      </w:r>
      <w:r>
        <w:rPr>
          <w:spacing w:val="2"/>
          <w:sz w:val="13"/>
        </w:rPr>
        <w:t xml:space="preserve"> </w:t>
      </w:r>
      <w:r>
        <w:rPr>
          <w:spacing w:val="-2"/>
          <w:sz w:val="13"/>
        </w:rPr>
        <w:t>la</w:t>
      </w:r>
      <w:r>
        <w:rPr>
          <w:spacing w:val="2"/>
          <w:sz w:val="13"/>
        </w:rPr>
        <w:t xml:space="preserve"> </w:t>
      </w:r>
      <w:r>
        <w:rPr>
          <w:spacing w:val="-2"/>
          <w:sz w:val="13"/>
        </w:rPr>
        <w:t>Discriminación</w:t>
      </w:r>
      <w:r>
        <w:rPr>
          <w:spacing w:val="3"/>
          <w:sz w:val="13"/>
        </w:rPr>
        <w:t xml:space="preserve"> </w:t>
      </w:r>
      <w:r>
        <w:rPr>
          <w:spacing w:val="-2"/>
          <w:sz w:val="13"/>
        </w:rPr>
        <w:t>Racial,</w:t>
      </w:r>
      <w:r>
        <w:rPr>
          <w:spacing w:val="3"/>
          <w:sz w:val="13"/>
        </w:rPr>
        <w:t xml:space="preserve"> </w:t>
      </w:r>
      <w:r>
        <w:rPr>
          <w:spacing w:val="-2"/>
          <w:sz w:val="13"/>
        </w:rPr>
        <w:t>recomendación</w:t>
      </w:r>
      <w:r>
        <w:rPr>
          <w:spacing w:val="2"/>
          <w:sz w:val="13"/>
        </w:rPr>
        <w:t xml:space="preserve"> </w:t>
      </w:r>
      <w:r>
        <w:rPr>
          <w:spacing w:val="-2"/>
          <w:sz w:val="13"/>
        </w:rPr>
        <w:t>general</w:t>
      </w:r>
      <w:r>
        <w:rPr>
          <w:spacing w:val="3"/>
          <w:sz w:val="13"/>
        </w:rPr>
        <w:t xml:space="preserve"> </w:t>
      </w:r>
      <w:r>
        <w:rPr>
          <w:spacing w:val="-2"/>
          <w:sz w:val="13"/>
        </w:rPr>
        <w:t>núm.</w:t>
      </w:r>
      <w:r>
        <w:rPr>
          <w:spacing w:val="2"/>
          <w:sz w:val="13"/>
        </w:rPr>
        <w:t xml:space="preserve"> </w:t>
      </w:r>
      <w:r>
        <w:rPr>
          <w:spacing w:val="-2"/>
          <w:sz w:val="13"/>
        </w:rPr>
        <w:t>32</w:t>
      </w:r>
      <w:r>
        <w:rPr>
          <w:spacing w:val="2"/>
          <w:sz w:val="13"/>
        </w:rPr>
        <w:t xml:space="preserve"> </w:t>
      </w:r>
      <w:r>
        <w:rPr>
          <w:spacing w:val="-2"/>
          <w:sz w:val="13"/>
        </w:rPr>
        <w:t>(2009),</w:t>
      </w:r>
      <w:r>
        <w:rPr>
          <w:spacing w:val="4"/>
          <w:sz w:val="13"/>
        </w:rPr>
        <w:t xml:space="preserve"> </w:t>
      </w:r>
      <w:r>
        <w:rPr>
          <w:spacing w:val="-2"/>
          <w:sz w:val="13"/>
        </w:rPr>
        <w:t>párr.</w:t>
      </w:r>
      <w:r>
        <w:rPr>
          <w:spacing w:val="2"/>
          <w:sz w:val="13"/>
        </w:rPr>
        <w:t xml:space="preserve"> </w:t>
      </w:r>
      <w:r>
        <w:rPr>
          <w:spacing w:val="-2"/>
          <w:sz w:val="13"/>
        </w:rPr>
        <w:t>dieciséis.</w:t>
      </w:r>
    </w:p>
    <w:p w14:paraId="2B240DBD" w14:textId="77777777" w:rsidR="0014798C" w:rsidRDefault="0014798C">
      <w:pPr>
        <w:pStyle w:val="Textoindependiente"/>
        <w:rPr>
          <w:sz w:val="19"/>
        </w:rPr>
      </w:pPr>
    </w:p>
    <w:p w14:paraId="212FC9EE" w14:textId="77777777" w:rsidR="0014798C" w:rsidRDefault="0014798C">
      <w:pPr>
        <w:pStyle w:val="Textoindependiente"/>
        <w:spacing w:before="202"/>
        <w:rPr>
          <w:sz w:val="19"/>
        </w:rPr>
      </w:pPr>
    </w:p>
    <w:p w14:paraId="416260C4" w14:textId="77777777" w:rsidR="0014798C" w:rsidRDefault="004E1F0B">
      <w:pPr>
        <w:ind w:left="547"/>
        <w:rPr>
          <w:sz w:val="19"/>
        </w:rPr>
      </w:pPr>
      <w:r>
        <w:rPr>
          <w:spacing w:val="-5"/>
          <w:w w:val="105"/>
          <w:sz w:val="19"/>
        </w:rPr>
        <w:t>64</w:t>
      </w:r>
    </w:p>
    <w:p w14:paraId="7627069B" w14:textId="77777777" w:rsidR="0014798C" w:rsidRDefault="0014798C">
      <w:pPr>
        <w:rPr>
          <w:sz w:val="19"/>
        </w:rPr>
        <w:sectPr w:rsidR="0014798C" w:rsidSect="00F265E4">
          <w:pgSz w:w="11900" w:h="16820"/>
          <w:pgMar w:top="340" w:right="0" w:bottom="280" w:left="200" w:header="121" w:footer="0" w:gutter="0"/>
          <w:cols w:space="720"/>
        </w:sectPr>
      </w:pPr>
    </w:p>
    <w:p w14:paraId="52356C7B" w14:textId="77777777" w:rsidR="0014798C" w:rsidRDefault="0014798C">
      <w:pPr>
        <w:pStyle w:val="Textoindependiente"/>
        <w:spacing w:before="51"/>
        <w:rPr>
          <w:sz w:val="14"/>
        </w:rPr>
      </w:pPr>
    </w:p>
    <w:p w14:paraId="668F9468" w14:textId="77777777" w:rsidR="0014798C" w:rsidRDefault="004E1F0B">
      <w:pPr>
        <w:ind w:left="1111"/>
        <w:rPr>
          <w:sz w:val="14"/>
        </w:rPr>
      </w:pPr>
      <w:r>
        <w:rPr>
          <w:color w:val="00AC59"/>
          <w:sz w:val="14"/>
        </w:rPr>
        <w:t>SEGUNDA</w:t>
      </w:r>
      <w:r>
        <w:rPr>
          <w:color w:val="00AC59"/>
          <w:spacing w:val="-5"/>
          <w:sz w:val="14"/>
        </w:rPr>
        <w:t xml:space="preserve"> </w:t>
      </w:r>
      <w:r>
        <w:rPr>
          <w:color w:val="00AC59"/>
          <w:sz w:val="14"/>
        </w:rPr>
        <w:t>PARTE:</w:t>
      </w:r>
      <w:r>
        <w:rPr>
          <w:color w:val="00AC59"/>
          <w:spacing w:val="-5"/>
          <w:sz w:val="14"/>
        </w:rPr>
        <w:t xml:space="preserve"> </w:t>
      </w:r>
      <w:r>
        <w:rPr>
          <w:color w:val="00AC59"/>
          <w:sz w:val="14"/>
        </w:rPr>
        <w:t>CONTENIDO</w:t>
      </w:r>
      <w:r>
        <w:rPr>
          <w:color w:val="00AC59"/>
          <w:spacing w:val="-4"/>
          <w:sz w:val="14"/>
        </w:rPr>
        <w:t xml:space="preserve"> </w:t>
      </w:r>
      <w:r>
        <w:rPr>
          <w:color w:val="00AC59"/>
          <w:sz w:val="14"/>
        </w:rPr>
        <w:t>DE</w:t>
      </w:r>
      <w:r>
        <w:rPr>
          <w:color w:val="00AC59"/>
          <w:spacing w:val="-5"/>
          <w:sz w:val="14"/>
        </w:rPr>
        <w:t xml:space="preserve"> </w:t>
      </w:r>
      <w:r>
        <w:rPr>
          <w:color w:val="00AC59"/>
          <w:sz w:val="14"/>
        </w:rPr>
        <w:t>LA</w:t>
      </w:r>
      <w:r>
        <w:rPr>
          <w:color w:val="00AC59"/>
          <w:spacing w:val="-4"/>
          <w:sz w:val="14"/>
        </w:rPr>
        <w:t xml:space="preserve"> </w:t>
      </w:r>
      <w:r>
        <w:rPr>
          <w:color w:val="00AC59"/>
          <w:sz w:val="14"/>
        </w:rPr>
        <w:t>LEY</w:t>
      </w:r>
      <w:r>
        <w:rPr>
          <w:color w:val="00AC59"/>
          <w:spacing w:val="-4"/>
          <w:sz w:val="14"/>
        </w:rPr>
        <w:t xml:space="preserve"> </w:t>
      </w:r>
      <w:r>
        <w:rPr>
          <w:color w:val="00AC59"/>
          <w:sz w:val="14"/>
        </w:rPr>
        <w:t>INTEGRAL</w:t>
      </w:r>
      <w:r>
        <w:rPr>
          <w:color w:val="00AC59"/>
          <w:spacing w:val="-5"/>
          <w:sz w:val="14"/>
        </w:rPr>
        <w:t xml:space="preserve"> </w:t>
      </w:r>
      <w:r>
        <w:rPr>
          <w:color w:val="00AC59"/>
          <w:spacing w:val="-2"/>
          <w:sz w:val="14"/>
        </w:rPr>
        <w:t>ANTIDISCRIMINACIÓN</w:t>
      </w:r>
    </w:p>
    <w:p w14:paraId="2D3D3EF0" w14:textId="77777777" w:rsidR="0014798C" w:rsidRDefault="0014798C">
      <w:pPr>
        <w:pStyle w:val="Textoindependiente"/>
        <w:rPr>
          <w:sz w:val="14"/>
        </w:rPr>
      </w:pPr>
    </w:p>
    <w:p w14:paraId="21A438E8" w14:textId="77777777" w:rsidR="0014798C" w:rsidRDefault="0014798C">
      <w:pPr>
        <w:pStyle w:val="Textoindependiente"/>
        <w:rPr>
          <w:sz w:val="14"/>
        </w:rPr>
      </w:pPr>
    </w:p>
    <w:p w14:paraId="3427ED34" w14:textId="77777777" w:rsidR="0014798C" w:rsidRDefault="0014798C">
      <w:pPr>
        <w:pStyle w:val="Textoindependiente"/>
        <w:rPr>
          <w:sz w:val="14"/>
        </w:rPr>
      </w:pPr>
    </w:p>
    <w:p w14:paraId="7AC3C452" w14:textId="77777777" w:rsidR="0014798C" w:rsidRDefault="0014798C">
      <w:pPr>
        <w:pStyle w:val="Textoindependiente"/>
        <w:rPr>
          <w:sz w:val="14"/>
        </w:rPr>
      </w:pPr>
    </w:p>
    <w:p w14:paraId="434F753A" w14:textId="77777777" w:rsidR="0014798C" w:rsidRDefault="0014798C">
      <w:pPr>
        <w:pStyle w:val="Textoindependiente"/>
        <w:rPr>
          <w:sz w:val="14"/>
        </w:rPr>
      </w:pPr>
    </w:p>
    <w:p w14:paraId="5A50FA3A" w14:textId="77777777" w:rsidR="0014798C" w:rsidRDefault="0014798C">
      <w:pPr>
        <w:pStyle w:val="Textoindependiente"/>
        <w:spacing w:before="21"/>
        <w:rPr>
          <w:sz w:val="14"/>
        </w:rPr>
      </w:pPr>
    </w:p>
    <w:p w14:paraId="6F9C59D6" w14:textId="77777777" w:rsidR="0014798C" w:rsidRDefault="004E1F0B">
      <w:pPr>
        <w:spacing w:line="372" w:lineRule="auto"/>
        <w:ind w:left="1108" w:right="1272"/>
        <w:rPr>
          <w:sz w:val="14"/>
        </w:rPr>
      </w:pPr>
      <w:r>
        <w:rPr>
          <w:sz w:val="14"/>
        </w:rPr>
        <w:t>Como se ha señalado, se trata de un delicado equilibrio que ha dado lugar a una jurisprudencia interesante (en la Unión Europea, por ejemplo).525</w:t>
      </w:r>
      <w:r>
        <w:rPr>
          <w:spacing w:val="40"/>
          <w:sz w:val="14"/>
        </w:rPr>
        <w:t xml:space="preserve"> </w:t>
      </w:r>
      <w:r>
        <w:rPr>
          <w:sz w:val="14"/>
        </w:rPr>
        <w:t>Sin embargo, como ha indicado el Comité de Derechos Humanos, el objetivo de las medidas especiales de carácter temporal pesa mucho en esta</w:t>
      </w:r>
      <w:r>
        <w:rPr>
          <w:spacing w:val="40"/>
          <w:sz w:val="14"/>
        </w:rPr>
        <w:t xml:space="preserve"> </w:t>
      </w:r>
      <w:r>
        <w:rPr>
          <w:sz w:val="14"/>
        </w:rPr>
        <w:t>evaluación: “siempre que tales medidas sean necesarias para corregir la discriminación de hecho, se trata de un caso de diferenciación legítima</w:t>
      </w:r>
      <w:r>
        <w:rPr>
          <w:spacing w:val="40"/>
          <w:sz w:val="14"/>
        </w:rPr>
        <w:t xml:space="preserve"> </w:t>
      </w:r>
      <w:r>
        <w:rPr>
          <w:sz w:val="14"/>
        </w:rPr>
        <w:t>conforme al Pacto”.526</w:t>
      </w:r>
    </w:p>
    <w:p w14:paraId="5C2F4D9E" w14:textId="77777777" w:rsidR="0014798C" w:rsidRDefault="004E1F0B">
      <w:pPr>
        <w:numPr>
          <w:ilvl w:val="0"/>
          <w:numId w:val="59"/>
        </w:numPr>
        <w:tabs>
          <w:tab w:val="left" w:pos="1349"/>
        </w:tabs>
        <w:spacing w:before="241"/>
        <w:ind w:left="1349" w:hanging="244"/>
        <w:rPr>
          <w:color w:val="00AC59"/>
        </w:rPr>
      </w:pPr>
      <w:r>
        <w:rPr>
          <w:color w:val="00AC59"/>
        </w:rPr>
        <w:t>Acción</w:t>
      </w:r>
      <w:r>
        <w:rPr>
          <w:color w:val="00AC59"/>
          <w:spacing w:val="-4"/>
        </w:rPr>
        <w:t xml:space="preserve"> </w:t>
      </w:r>
      <w:r>
        <w:rPr>
          <w:color w:val="00AC59"/>
        </w:rPr>
        <w:t>positiva</w:t>
      </w:r>
      <w:r>
        <w:rPr>
          <w:color w:val="00AC59"/>
          <w:spacing w:val="-3"/>
        </w:rPr>
        <w:t xml:space="preserve"> </w:t>
      </w:r>
      <w:r>
        <w:rPr>
          <w:color w:val="00AC59"/>
        </w:rPr>
        <w:t>en</w:t>
      </w:r>
      <w:r>
        <w:rPr>
          <w:color w:val="00AC59"/>
          <w:spacing w:val="-4"/>
        </w:rPr>
        <w:t xml:space="preserve"> </w:t>
      </w:r>
      <w:r>
        <w:rPr>
          <w:color w:val="00AC59"/>
        </w:rPr>
        <w:t>virtud</w:t>
      </w:r>
      <w:r>
        <w:rPr>
          <w:color w:val="00AC59"/>
          <w:spacing w:val="-3"/>
        </w:rPr>
        <w:t xml:space="preserve"> </w:t>
      </w:r>
      <w:r>
        <w:rPr>
          <w:color w:val="00AC59"/>
        </w:rPr>
        <w:t>de</w:t>
      </w:r>
      <w:r>
        <w:rPr>
          <w:color w:val="00AC59"/>
          <w:spacing w:val="-3"/>
        </w:rPr>
        <w:t xml:space="preserve"> </w:t>
      </w:r>
      <w:r>
        <w:rPr>
          <w:color w:val="00AC59"/>
        </w:rPr>
        <w:t>una</w:t>
      </w:r>
      <w:r>
        <w:rPr>
          <w:color w:val="00AC59"/>
          <w:spacing w:val="-4"/>
        </w:rPr>
        <w:t xml:space="preserve"> </w:t>
      </w:r>
      <w:r>
        <w:rPr>
          <w:color w:val="00AC59"/>
        </w:rPr>
        <w:t>ley</w:t>
      </w:r>
      <w:r>
        <w:rPr>
          <w:color w:val="00AC59"/>
          <w:spacing w:val="-3"/>
        </w:rPr>
        <w:t xml:space="preserve"> </w:t>
      </w:r>
      <w:r>
        <w:rPr>
          <w:color w:val="00AC59"/>
        </w:rPr>
        <w:t>integral</w:t>
      </w:r>
      <w:r>
        <w:rPr>
          <w:color w:val="00AC59"/>
          <w:spacing w:val="-4"/>
        </w:rPr>
        <w:t xml:space="preserve"> </w:t>
      </w:r>
      <w:r>
        <w:rPr>
          <w:color w:val="00AC59"/>
        </w:rPr>
        <w:t>contra</w:t>
      </w:r>
      <w:r>
        <w:rPr>
          <w:color w:val="00AC59"/>
          <w:spacing w:val="-3"/>
        </w:rPr>
        <w:t xml:space="preserve"> </w:t>
      </w:r>
      <w:r>
        <w:rPr>
          <w:color w:val="00AC59"/>
        </w:rPr>
        <w:t>la</w:t>
      </w:r>
      <w:r>
        <w:rPr>
          <w:color w:val="00AC59"/>
          <w:spacing w:val="-3"/>
        </w:rPr>
        <w:t xml:space="preserve"> </w:t>
      </w:r>
      <w:r>
        <w:rPr>
          <w:color w:val="00AC59"/>
          <w:spacing w:val="-2"/>
        </w:rPr>
        <w:t>discriminación</w:t>
      </w:r>
    </w:p>
    <w:p w14:paraId="1DC18F60" w14:textId="77777777" w:rsidR="0014798C" w:rsidRDefault="0014798C">
      <w:pPr>
        <w:pStyle w:val="Textoindependiente"/>
        <w:spacing w:before="99"/>
        <w:rPr>
          <w:sz w:val="14"/>
        </w:rPr>
      </w:pPr>
    </w:p>
    <w:p w14:paraId="25A61BB6" w14:textId="77777777" w:rsidR="0014798C" w:rsidRDefault="004E1F0B">
      <w:pPr>
        <w:spacing w:line="372" w:lineRule="auto"/>
        <w:ind w:left="1107" w:right="1463" w:firstLine="2"/>
        <w:rPr>
          <w:sz w:val="14"/>
        </w:rPr>
      </w:pPr>
      <w:r>
        <w:rPr>
          <w:noProof/>
        </w:rPr>
        <w:drawing>
          <wp:anchor distT="0" distB="0" distL="0" distR="0" simplePos="0" relativeHeight="251658408" behindDoc="1" locked="0" layoutInCell="1" allowOverlap="1" wp14:anchorId="64C31F85" wp14:editId="2C9D151F">
            <wp:simplePos x="0" y="0"/>
            <wp:positionH relativeFrom="page">
              <wp:posOffset>808662</wp:posOffset>
            </wp:positionH>
            <wp:positionV relativeFrom="paragraph">
              <wp:posOffset>-51142</wp:posOffset>
            </wp:positionV>
            <wp:extent cx="6747837" cy="6834389"/>
            <wp:effectExtent l="0" t="0" r="0" b="0"/>
            <wp:wrapNone/>
            <wp:docPr id="162" name="Image 16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62" name="Image 162"/>
                    <pic:cNvPicPr/>
                  </pic:nvPicPr>
                  <pic:blipFill>
                    <a:blip r:embed="rId148" cstate="print"/>
                    <a:stretch>
                      <a:fillRect/>
                    </a:stretch>
                  </pic:blipFill>
                  <pic:spPr>
                    <a:xfrm>
                      <a:off x="0" y="0"/>
                      <a:ext cx="6747837" cy="6834389"/>
                    </a:xfrm>
                    <a:prstGeom prst="rect">
                      <a:avLst/>
                    </a:prstGeom>
                  </pic:spPr>
                </pic:pic>
              </a:graphicData>
            </a:graphic>
          </wp:anchor>
        </w:drawing>
      </w:r>
      <w:r>
        <w:rPr>
          <w:sz w:val="14"/>
        </w:rPr>
        <w:t xml:space="preserve">Diferentes Estados han adoptado diferentes enfoques para la acción positiva en el marco de la legislación nacional contra la </w:t>
      </w:r>
      <w:proofErr w:type="gramStart"/>
      <w:r>
        <w:rPr>
          <w:sz w:val="14"/>
        </w:rPr>
        <w:t>discriminación .</w:t>
      </w:r>
      <w:proofErr w:type="gramEnd"/>
      <w:r>
        <w:rPr>
          <w:sz w:val="14"/>
        </w:rPr>
        <w:t xml:space="preserve"> En</w:t>
      </w:r>
      <w:r>
        <w:rPr>
          <w:spacing w:val="40"/>
          <w:sz w:val="14"/>
        </w:rPr>
        <w:t xml:space="preserve"> </w:t>
      </w:r>
      <w:r>
        <w:rPr>
          <w:sz w:val="14"/>
        </w:rPr>
        <w:t>algunos países, se proporciona orientación detallada sobre aquellas formas específicas de acción positiva necesarias para avanzar hacia la</w:t>
      </w:r>
      <w:r>
        <w:rPr>
          <w:spacing w:val="40"/>
          <w:sz w:val="14"/>
        </w:rPr>
        <w:t xml:space="preserve"> </w:t>
      </w:r>
      <w:r>
        <w:rPr>
          <w:sz w:val="14"/>
        </w:rPr>
        <w:t>igualdad, mientras que en otros países, este detalle se deja a otras leyes y políticas.</w:t>
      </w:r>
    </w:p>
    <w:p w14:paraId="7081D3AE" w14:textId="77777777" w:rsidR="0014798C" w:rsidRDefault="004E1F0B">
      <w:pPr>
        <w:spacing w:before="1" w:line="372" w:lineRule="auto"/>
        <w:ind w:left="1107" w:right="1463" w:firstLine="3"/>
        <w:rPr>
          <w:sz w:val="14"/>
        </w:rPr>
      </w:pPr>
      <w:r>
        <w:rPr>
          <w:noProof/>
        </w:rPr>
        <mc:AlternateContent>
          <mc:Choice Requires="wps">
            <w:drawing>
              <wp:anchor distT="0" distB="0" distL="0" distR="0" simplePos="0" relativeHeight="251658273" behindDoc="0" locked="0" layoutInCell="1" allowOverlap="1" wp14:anchorId="21401E01" wp14:editId="33CBDABD">
                <wp:simplePos x="0" y="0"/>
                <wp:positionH relativeFrom="page">
                  <wp:posOffset>7313138</wp:posOffset>
                </wp:positionH>
                <wp:positionV relativeFrom="paragraph">
                  <wp:posOffset>88829</wp:posOffset>
                </wp:positionV>
                <wp:extent cx="83820" cy="281940"/>
                <wp:effectExtent l="0" t="0" r="0" b="0"/>
                <wp:wrapNone/>
                <wp:docPr id="163" name="Textbox 16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83820" cy="281940"/>
                        </a:xfrm>
                        <a:prstGeom prst="rect">
                          <a:avLst/>
                        </a:prstGeom>
                      </wps:spPr>
                      <wps:txbx>
                        <w:txbxContent>
                          <w:p w14:paraId="79F58922" w14:textId="77777777" w:rsidR="0014798C" w:rsidRDefault="004E1F0B">
                            <w:pPr>
                              <w:spacing w:before="19"/>
                              <w:ind w:left="20"/>
                              <w:rPr>
                                <w:sz w:val="8"/>
                              </w:rPr>
                            </w:pPr>
                            <w:r>
                              <w:rPr>
                                <w:color w:val="FFFFFF"/>
                                <w:spacing w:val="-24"/>
                                <w:sz w:val="8"/>
                              </w:rPr>
                              <w:t>I–P</w:t>
                            </w:r>
                            <w:r>
                              <w:rPr>
                                <w:spacing w:val="-24"/>
                                <w:sz w:val="8"/>
                              </w:rPr>
                              <w:t>S</w:t>
                            </w:r>
                            <w:r>
                              <w:rPr>
                                <w:color w:val="FFFFFF"/>
                                <w:spacing w:val="-24"/>
                                <w:sz w:val="8"/>
                              </w:rPr>
                              <w:t>A</w:t>
                            </w:r>
                            <w:r>
                              <w:rPr>
                                <w:spacing w:val="-24"/>
                                <w:sz w:val="8"/>
                              </w:rPr>
                              <w:t>E</w:t>
                            </w:r>
                            <w:r>
                              <w:rPr>
                                <w:color w:val="FFFFFF"/>
                                <w:spacing w:val="-24"/>
                                <w:sz w:val="8"/>
                              </w:rPr>
                              <w:t>R</w:t>
                            </w:r>
                            <w:r>
                              <w:rPr>
                                <w:spacing w:val="-24"/>
                                <w:sz w:val="8"/>
                              </w:rPr>
                              <w:t>G</w:t>
                            </w:r>
                            <w:r>
                              <w:rPr>
                                <w:color w:val="FFFFFF"/>
                                <w:spacing w:val="-24"/>
                                <w:sz w:val="8"/>
                              </w:rPr>
                              <w:t>T</w:t>
                            </w:r>
                            <w:r>
                              <w:rPr>
                                <w:spacing w:val="-24"/>
                                <w:sz w:val="8"/>
                              </w:rPr>
                              <w:t>U</w:t>
                            </w:r>
                            <w:r>
                              <w:rPr>
                                <w:color w:val="FFFFFF"/>
                                <w:spacing w:val="-24"/>
                                <w:sz w:val="8"/>
                              </w:rPr>
                              <w:t>E</w:t>
                            </w:r>
                            <w:r>
                              <w:rPr>
                                <w:spacing w:val="-24"/>
                                <w:sz w:val="8"/>
                              </w:rPr>
                              <w:t>NDA</w:t>
                            </w:r>
                          </w:p>
                        </w:txbxContent>
                      </wps:txbx>
                      <wps:bodyPr vert="vert270" wrap="square" lIns="0" tIns="0" rIns="0" bIns="0" rtlCol="0">
                        <a:noAutofit/>
                      </wps:bodyPr>
                    </wps:wsp>
                  </a:graphicData>
                </a:graphic>
              </wp:anchor>
            </w:drawing>
          </mc:Choice>
          <mc:Fallback>
            <w:pict>
              <v:shape w14:anchorId="21401E01" id="Textbox 163" o:spid="_x0000_s1090" type="#_x0000_t202" style="position:absolute;left:0;text-align:left;margin-left:575.85pt;margin-top:7pt;width:6.6pt;height:22.2pt;z-index:251658273;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" filled="f" stroked="f">
                <v:textbox style="layout-flow:vertical;mso-layout-flow-alt:bottom-to-top" inset="0,0,0,0">
                  <w:txbxContent>
                    <w:p w14:paraId="79F58922" w14:textId="77777777" w:rsidR="0014798C" w:rsidRDefault="004E1F0B">
                      <w:pPr>
                        <w:spacing w:before="19"/>
                        <w:ind w:left="20"/>
                        <w:rPr>
                          <w:sz w:val="8"/>
                        </w:rPr>
                      </w:pPr>
                      <w:r>
                        <w:rPr>
                          <w:color w:val="FFFFFF"/>
                          <w:spacing w:val="-24"/>
                          <w:sz w:val="8"/>
                        </w:rPr>
                        <w:t>I–P</w:t>
                      </w:r>
                      <w:r>
                        <w:rPr>
                          <w:spacing w:val="-24"/>
                          <w:sz w:val="8"/>
                        </w:rPr>
                        <w:t>S</w:t>
                      </w:r>
                      <w:r>
                        <w:rPr>
                          <w:color w:val="FFFFFF"/>
                          <w:spacing w:val="-24"/>
                          <w:sz w:val="8"/>
                        </w:rPr>
                        <w:t>A</w:t>
                      </w:r>
                      <w:r>
                        <w:rPr>
                          <w:spacing w:val="-24"/>
                          <w:sz w:val="8"/>
                        </w:rPr>
                        <w:t>E</w:t>
                      </w:r>
                      <w:r>
                        <w:rPr>
                          <w:color w:val="FFFFFF"/>
                          <w:spacing w:val="-24"/>
                          <w:sz w:val="8"/>
                        </w:rPr>
                        <w:t>R</w:t>
                      </w:r>
                      <w:r>
                        <w:rPr>
                          <w:spacing w:val="-24"/>
                          <w:sz w:val="8"/>
                        </w:rPr>
                        <w:t>G</w:t>
                      </w:r>
                      <w:r>
                        <w:rPr>
                          <w:color w:val="FFFFFF"/>
                          <w:spacing w:val="-24"/>
                          <w:sz w:val="8"/>
                        </w:rPr>
                        <w:t>T</w:t>
                      </w:r>
                      <w:r>
                        <w:rPr>
                          <w:spacing w:val="-24"/>
                          <w:sz w:val="8"/>
                        </w:rPr>
                        <w:t>U</w:t>
                      </w:r>
                      <w:r>
                        <w:rPr>
                          <w:color w:val="FFFFFF"/>
                          <w:spacing w:val="-24"/>
                          <w:sz w:val="8"/>
                        </w:rPr>
                        <w:t>E</w:t>
                      </w:r>
                      <w:r>
                        <w:rPr>
                          <w:spacing w:val="-24"/>
                          <w:sz w:val="8"/>
                        </w:rPr>
                        <w:t>NDA</w:t>
                      </w:r>
                    </w:p>
                  </w:txbxContent>
                </v:textbox>
                <w10:wrap anchorx="page"/>
              </v:shape>
            </w:pict>
          </mc:Fallback>
        </mc:AlternateContent>
      </w:r>
      <w:r>
        <w:rPr>
          <w:sz w:val="14"/>
        </w:rPr>
        <w:t>Ambos enfoques pueden funcionar, aunque sigue siendo importante que cualquier medida específica adoptada esté sujeta a revisión periódica y</w:t>
      </w:r>
      <w:r>
        <w:rPr>
          <w:spacing w:val="40"/>
          <w:sz w:val="14"/>
        </w:rPr>
        <w:t xml:space="preserve"> </w:t>
      </w:r>
      <w:r>
        <w:rPr>
          <w:sz w:val="14"/>
        </w:rPr>
        <w:t>que la eficacia de las medidas se evalúe de forma rutinaria. Lo más importante, para que sea eficaz, es que una legislación integral contra la</w:t>
      </w:r>
      <w:r>
        <w:rPr>
          <w:spacing w:val="40"/>
          <w:sz w:val="14"/>
        </w:rPr>
        <w:t xml:space="preserve"> </w:t>
      </w:r>
      <w:r>
        <w:rPr>
          <w:sz w:val="14"/>
        </w:rPr>
        <w:t>discriminación permita y articule claramente el requisito de la adopción de medidas positivas.</w:t>
      </w:r>
    </w:p>
    <w:p w14:paraId="3FA2ADC0" w14:textId="77777777" w:rsidR="0014798C" w:rsidRDefault="0014798C">
      <w:pPr>
        <w:pStyle w:val="Textoindependiente"/>
        <w:rPr>
          <w:sz w:val="14"/>
        </w:rPr>
      </w:pPr>
    </w:p>
    <w:p w14:paraId="5EF07C2F" w14:textId="77777777" w:rsidR="0014798C" w:rsidRDefault="0014798C">
      <w:pPr>
        <w:pStyle w:val="Textoindependiente"/>
        <w:spacing w:before="98"/>
        <w:rPr>
          <w:sz w:val="14"/>
        </w:rPr>
      </w:pPr>
    </w:p>
    <w:p w14:paraId="4AD90452" w14:textId="77777777" w:rsidR="0014798C" w:rsidRDefault="004E1F0B">
      <w:pPr>
        <w:spacing w:line="372" w:lineRule="auto"/>
        <w:ind w:left="1107" w:right="1463" w:hanging="1"/>
        <w:rPr>
          <w:sz w:val="14"/>
        </w:rPr>
      </w:pPr>
      <w:r>
        <w:rPr>
          <w:sz w:val="14"/>
        </w:rPr>
        <w:t>Los Estados han adoptado una serie de medidas de acción positiva en cumplimiento de sus obligaciones internacionales en materia de igualdad,</w:t>
      </w:r>
      <w:r>
        <w:rPr>
          <w:spacing w:val="40"/>
          <w:sz w:val="14"/>
        </w:rPr>
        <w:t xml:space="preserve"> </w:t>
      </w:r>
      <w:r>
        <w:rPr>
          <w:sz w:val="14"/>
        </w:rPr>
        <w:t>que van desde la concesión de ayudas o becas especiales para promover la igualdad de acceso y participación en la educación; hasta la</w:t>
      </w:r>
      <w:r>
        <w:rPr>
          <w:spacing w:val="40"/>
          <w:sz w:val="14"/>
        </w:rPr>
        <w:t xml:space="preserve"> </w:t>
      </w:r>
      <w:r>
        <w:rPr>
          <w:sz w:val="14"/>
        </w:rPr>
        <w:t>introducción de cuotas, el desarrollo de programas especiales de formación en el lugar de trabajo y la reserva de plazas en cursos de gestión del</w:t>
      </w:r>
      <w:r>
        <w:rPr>
          <w:spacing w:val="40"/>
          <w:sz w:val="14"/>
        </w:rPr>
        <w:t xml:space="preserve"> </w:t>
      </w:r>
      <w:r>
        <w:rPr>
          <w:sz w:val="14"/>
        </w:rPr>
        <w:t>lugar de trabajo para miembros de un grupo discriminado. Lo que se requiere en cualquier circunstancia dada es específico del contexto y debe</w:t>
      </w:r>
      <w:r>
        <w:rPr>
          <w:spacing w:val="40"/>
          <w:sz w:val="14"/>
        </w:rPr>
        <w:t xml:space="preserve"> </w:t>
      </w:r>
      <w:r>
        <w:rPr>
          <w:sz w:val="14"/>
        </w:rPr>
        <w:t>determinarse luego de consultar con una muestra representativa diversa de miembros del grupo de beneficiarios al que se aplica la medida.527</w:t>
      </w:r>
    </w:p>
    <w:p w14:paraId="02879130" w14:textId="77777777" w:rsidR="0014798C" w:rsidRDefault="0014798C">
      <w:pPr>
        <w:pStyle w:val="Textoindependiente"/>
        <w:spacing w:before="89"/>
        <w:rPr>
          <w:sz w:val="14"/>
        </w:rPr>
      </w:pPr>
    </w:p>
    <w:p w14:paraId="25D99849" w14:textId="77777777" w:rsidR="0014798C" w:rsidRDefault="004E1F0B">
      <w:pPr>
        <w:spacing w:before="1" w:line="372" w:lineRule="auto"/>
        <w:ind w:left="1111" w:right="1463" w:firstLine="3"/>
        <w:rPr>
          <w:sz w:val="14"/>
        </w:rPr>
      </w:pPr>
      <w:r>
        <w:rPr>
          <w:sz w:val="14"/>
        </w:rPr>
        <w:t>Las consultas deben llevarse a cabo de tal manera que garanticen la participación significativa de todos los miembros de las comunidades</w:t>
      </w:r>
      <w:r>
        <w:rPr>
          <w:spacing w:val="40"/>
          <w:sz w:val="14"/>
        </w:rPr>
        <w:t xml:space="preserve"> </w:t>
      </w:r>
      <w:r>
        <w:rPr>
          <w:sz w:val="14"/>
        </w:rPr>
        <w:t>afectadas, prestando especial atención a la inclusión de mujeres y niñas.</w:t>
      </w:r>
    </w:p>
    <w:p w14:paraId="27B3E4B1" w14:textId="77777777" w:rsidR="0014798C" w:rsidRDefault="0014798C">
      <w:pPr>
        <w:pStyle w:val="Textoindependiente"/>
        <w:rPr>
          <w:sz w:val="14"/>
        </w:rPr>
      </w:pPr>
    </w:p>
    <w:p w14:paraId="3B591F4F" w14:textId="77777777" w:rsidR="0014798C" w:rsidRDefault="0014798C">
      <w:pPr>
        <w:pStyle w:val="Textoindependiente"/>
        <w:spacing w:before="151"/>
        <w:rPr>
          <w:sz w:val="14"/>
        </w:rPr>
      </w:pPr>
    </w:p>
    <w:p w14:paraId="6512FEB3" w14:textId="77777777" w:rsidR="0014798C" w:rsidRDefault="004E1F0B">
      <w:pPr>
        <w:spacing w:before="1"/>
        <w:ind w:left="1342"/>
        <w:rPr>
          <w:sz w:val="14"/>
        </w:rPr>
      </w:pPr>
      <w:r>
        <w:rPr>
          <w:sz w:val="14"/>
        </w:rPr>
        <w:t>KOSOVO: ARTÍCULO</w:t>
      </w:r>
      <w:r>
        <w:rPr>
          <w:spacing w:val="1"/>
          <w:sz w:val="14"/>
        </w:rPr>
        <w:t xml:space="preserve"> </w:t>
      </w:r>
      <w:r>
        <w:rPr>
          <w:sz w:val="14"/>
        </w:rPr>
        <w:t>6 DE</w:t>
      </w:r>
      <w:r>
        <w:rPr>
          <w:spacing w:val="1"/>
          <w:sz w:val="14"/>
        </w:rPr>
        <w:t xml:space="preserve"> </w:t>
      </w:r>
      <w:r>
        <w:rPr>
          <w:sz w:val="14"/>
        </w:rPr>
        <w:t>LA</w:t>
      </w:r>
      <w:r>
        <w:rPr>
          <w:spacing w:val="1"/>
          <w:sz w:val="14"/>
        </w:rPr>
        <w:t xml:space="preserve"> </w:t>
      </w:r>
      <w:r>
        <w:rPr>
          <w:sz w:val="14"/>
        </w:rPr>
        <w:t>LEY DE</w:t>
      </w:r>
      <w:r>
        <w:rPr>
          <w:spacing w:val="1"/>
          <w:sz w:val="14"/>
        </w:rPr>
        <w:t xml:space="preserve"> </w:t>
      </w:r>
      <w:r>
        <w:rPr>
          <w:sz w:val="14"/>
        </w:rPr>
        <w:t>IGUALDAD</w:t>
      </w:r>
      <w:r>
        <w:rPr>
          <w:spacing w:val="1"/>
          <w:sz w:val="14"/>
        </w:rPr>
        <w:t xml:space="preserve"> </w:t>
      </w:r>
      <w:r>
        <w:rPr>
          <w:sz w:val="14"/>
        </w:rPr>
        <w:t xml:space="preserve">DE </w:t>
      </w:r>
      <w:r>
        <w:rPr>
          <w:spacing w:val="-2"/>
          <w:sz w:val="14"/>
        </w:rPr>
        <w:t>GÉNERO</w:t>
      </w:r>
    </w:p>
    <w:p w14:paraId="24C21389" w14:textId="77777777" w:rsidR="0014798C" w:rsidRDefault="0014798C">
      <w:pPr>
        <w:pStyle w:val="Textoindependiente"/>
        <w:spacing w:before="77"/>
        <w:rPr>
          <w:sz w:val="14"/>
        </w:rPr>
      </w:pPr>
    </w:p>
    <w:p w14:paraId="447447EF" w14:textId="77777777" w:rsidR="0014798C" w:rsidRDefault="004E1F0B">
      <w:pPr>
        <w:pStyle w:val="Prrafodelista"/>
        <w:numPr>
          <w:ilvl w:val="1"/>
          <w:numId w:val="59"/>
        </w:numPr>
        <w:tabs>
          <w:tab w:val="left" w:pos="1501"/>
          <w:tab w:val="left" w:pos="1620"/>
        </w:tabs>
        <w:spacing w:line="372" w:lineRule="auto"/>
        <w:ind w:right="1952" w:hanging="275"/>
        <w:rPr>
          <w:sz w:val="14"/>
        </w:rPr>
      </w:pPr>
      <w:r>
        <w:rPr>
          <w:sz w:val="14"/>
        </w:rPr>
        <w:t>Las instituciones públicas adoptarán medidas especiales de carácter temporal para acelerar la realización de la igualdad real entre</w:t>
      </w:r>
      <w:r>
        <w:rPr>
          <w:spacing w:val="40"/>
          <w:sz w:val="14"/>
        </w:rPr>
        <w:t xml:space="preserve"> </w:t>
      </w:r>
      <w:r>
        <w:rPr>
          <w:sz w:val="14"/>
        </w:rPr>
        <w:t>mujeres y hombres en ámbitos donde existan desigualdades.</w:t>
      </w:r>
    </w:p>
    <w:p w14:paraId="3BF87B82" w14:textId="77777777" w:rsidR="0014798C" w:rsidRDefault="004E1F0B">
      <w:pPr>
        <w:pStyle w:val="Prrafodelista"/>
        <w:numPr>
          <w:ilvl w:val="1"/>
          <w:numId w:val="59"/>
        </w:numPr>
        <w:tabs>
          <w:tab w:val="left" w:pos="1490"/>
        </w:tabs>
        <w:spacing w:before="113"/>
        <w:ind w:left="1490" w:hanging="156"/>
        <w:rPr>
          <w:sz w:val="14"/>
        </w:rPr>
      </w:pPr>
      <w:r>
        <w:rPr>
          <w:sz w:val="14"/>
        </w:rPr>
        <w:t>Las</w:t>
      </w:r>
      <w:r>
        <w:rPr>
          <w:spacing w:val="3"/>
          <w:sz w:val="14"/>
        </w:rPr>
        <w:t xml:space="preserve"> </w:t>
      </w:r>
      <w:r>
        <w:rPr>
          <w:sz w:val="14"/>
        </w:rPr>
        <w:t>medidas</w:t>
      </w:r>
      <w:r>
        <w:rPr>
          <w:spacing w:val="3"/>
          <w:sz w:val="14"/>
        </w:rPr>
        <w:t xml:space="preserve"> </w:t>
      </w:r>
      <w:r>
        <w:rPr>
          <w:sz w:val="14"/>
        </w:rPr>
        <w:t>especiales</w:t>
      </w:r>
      <w:r>
        <w:rPr>
          <w:spacing w:val="3"/>
          <w:sz w:val="14"/>
        </w:rPr>
        <w:t xml:space="preserve"> </w:t>
      </w:r>
      <w:r>
        <w:rPr>
          <w:sz w:val="14"/>
        </w:rPr>
        <w:t>podrían</w:t>
      </w:r>
      <w:r>
        <w:rPr>
          <w:spacing w:val="3"/>
          <w:sz w:val="14"/>
        </w:rPr>
        <w:t xml:space="preserve"> </w:t>
      </w:r>
      <w:r>
        <w:rPr>
          <w:spacing w:val="-2"/>
          <w:sz w:val="14"/>
        </w:rPr>
        <w:t>incluir:</w:t>
      </w:r>
    </w:p>
    <w:p w14:paraId="46A70258" w14:textId="77777777" w:rsidR="0014798C" w:rsidRDefault="0014798C">
      <w:pPr>
        <w:pStyle w:val="Textoindependiente"/>
        <w:spacing w:before="41"/>
        <w:rPr>
          <w:sz w:val="14"/>
        </w:rPr>
      </w:pPr>
    </w:p>
    <w:p w14:paraId="1011B4D3" w14:textId="77777777" w:rsidR="0014798C" w:rsidRDefault="004E1F0B">
      <w:pPr>
        <w:pStyle w:val="Prrafodelista"/>
        <w:numPr>
          <w:ilvl w:val="2"/>
          <w:numId w:val="59"/>
        </w:numPr>
        <w:tabs>
          <w:tab w:val="left" w:pos="1890"/>
        </w:tabs>
        <w:spacing w:before="1"/>
        <w:ind w:left="1890" w:hanging="273"/>
        <w:rPr>
          <w:sz w:val="14"/>
        </w:rPr>
      </w:pPr>
      <w:r>
        <w:rPr>
          <w:sz w:val="14"/>
        </w:rPr>
        <w:t>cuotas para</w:t>
      </w:r>
      <w:r>
        <w:rPr>
          <w:spacing w:val="1"/>
          <w:sz w:val="14"/>
        </w:rPr>
        <w:t xml:space="preserve"> </w:t>
      </w:r>
      <w:r>
        <w:rPr>
          <w:sz w:val="14"/>
        </w:rPr>
        <w:t>lograr</w:t>
      </w:r>
      <w:r>
        <w:rPr>
          <w:spacing w:val="1"/>
          <w:sz w:val="14"/>
        </w:rPr>
        <w:t xml:space="preserve"> </w:t>
      </w:r>
      <w:r>
        <w:rPr>
          <w:sz w:val="14"/>
        </w:rPr>
        <w:t>una representación</w:t>
      </w:r>
      <w:r>
        <w:rPr>
          <w:spacing w:val="1"/>
          <w:sz w:val="14"/>
        </w:rPr>
        <w:t xml:space="preserve"> </w:t>
      </w:r>
      <w:r>
        <w:rPr>
          <w:sz w:val="14"/>
        </w:rPr>
        <w:t>igualitaria</w:t>
      </w:r>
      <w:r>
        <w:rPr>
          <w:spacing w:val="1"/>
          <w:sz w:val="14"/>
        </w:rPr>
        <w:t xml:space="preserve"> </w:t>
      </w:r>
      <w:r>
        <w:rPr>
          <w:sz w:val="14"/>
        </w:rPr>
        <w:t>de mujeres</w:t>
      </w:r>
      <w:r>
        <w:rPr>
          <w:spacing w:val="1"/>
          <w:sz w:val="14"/>
        </w:rPr>
        <w:t xml:space="preserve"> </w:t>
      </w:r>
      <w:r>
        <w:rPr>
          <w:sz w:val="14"/>
        </w:rPr>
        <w:t>y</w:t>
      </w:r>
      <w:r>
        <w:rPr>
          <w:spacing w:val="1"/>
          <w:sz w:val="14"/>
        </w:rPr>
        <w:t xml:space="preserve"> </w:t>
      </w:r>
      <w:r>
        <w:rPr>
          <w:spacing w:val="-2"/>
          <w:sz w:val="14"/>
        </w:rPr>
        <w:t>hombres;</w:t>
      </w:r>
    </w:p>
    <w:p w14:paraId="1252C7BD" w14:textId="77777777" w:rsidR="0014798C" w:rsidRDefault="0014798C">
      <w:pPr>
        <w:pStyle w:val="Textoindependiente"/>
        <w:spacing w:before="6"/>
        <w:rPr>
          <w:sz w:val="14"/>
        </w:rPr>
      </w:pPr>
    </w:p>
    <w:p w14:paraId="0CC56346" w14:textId="77777777" w:rsidR="0014798C" w:rsidRDefault="004E1F0B">
      <w:pPr>
        <w:pStyle w:val="Prrafodelista"/>
        <w:numPr>
          <w:ilvl w:val="2"/>
          <w:numId w:val="59"/>
        </w:numPr>
        <w:tabs>
          <w:tab w:val="left" w:pos="1950"/>
        </w:tabs>
        <w:ind w:left="1950" w:hanging="333"/>
        <w:rPr>
          <w:sz w:val="17"/>
        </w:rPr>
      </w:pPr>
      <w:r>
        <w:rPr>
          <w:sz w:val="17"/>
        </w:rPr>
        <w:t>apoyar</w:t>
      </w:r>
      <w:r>
        <w:rPr>
          <w:spacing w:val="7"/>
          <w:sz w:val="17"/>
        </w:rPr>
        <w:t xml:space="preserve"> </w:t>
      </w:r>
      <w:r>
        <w:rPr>
          <w:sz w:val="17"/>
        </w:rPr>
        <w:t>programas</w:t>
      </w:r>
      <w:r>
        <w:rPr>
          <w:spacing w:val="7"/>
          <w:sz w:val="17"/>
        </w:rPr>
        <w:t xml:space="preserve"> </w:t>
      </w:r>
      <w:r>
        <w:rPr>
          <w:sz w:val="17"/>
        </w:rPr>
        <w:t>para</w:t>
      </w:r>
      <w:r>
        <w:rPr>
          <w:spacing w:val="7"/>
          <w:sz w:val="17"/>
        </w:rPr>
        <w:t xml:space="preserve"> </w:t>
      </w:r>
      <w:r>
        <w:rPr>
          <w:sz w:val="17"/>
        </w:rPr>
        <w:t>aumentar</w:t>
      </w:r>
      <w:r>
        <w:rPr>
          <w:spacing w:val="7"/>
          <w:sz w:val="17"/>
        </w:rPr>
        <w:t xml:space="preserve"> </w:t>
      </w:r>
      <w:r>
        <w:rPr>
          <w:sz w:val="17"/>
        </w:rPr>
        <w:t>la</w:t>
      </w:r>
      <w:r>
        <w:rPr>
          <w:spacing w:val="7"/>
          <w:sz w:val="17"/>
        </w:rPr>
        <w:t xml:space="preserve"> </w:t>
      </w:r>
      <w:r>
        <w:rPr>
          <w:sz w:val="17"/>
        </w:rPr>
        <w:t>participación</w:t>
      </w:r>
      <w:r>
        <w:rPr>
          <w:spacing w:val="7"/>
          <w:sz w:val="17"/>
        </w:rPr>
        <w:t xml:space="preserve"> </w:t>
      </w:r>
      <w:r>
        <w:rPr>
          <w:sz w:val="17"/>
        </w:rPr>
        <w:t>del</w:t>
      </w:r>
      <w:r>
        <w:rPr>
          <w:spacing w:val="8"/>
          <w:sz w:val="17"/>
        </w:rPr>
        <w:t xml:space="preserve"> </w:t>
      </w:r>
      <w:r>
        <w:rPr>
          <w:sz w:val="17"/>
        </w:rPr>
        <w:t>sexo</w:t>
      </w:r>
      <w:r>
        <w:rPr>
          <w:spacing w:val="7"/>
          <w:sz w:val="17"/>
        </w:rPr>
        <w:t xml:space="preserve"> </w:t>
      </w:r>
      <w:r>
        <w:rPr>
          <w:sz w:val="17"/>
        </w:rPr>
        <w:t>menos</w:t>
      </w:r>
      <w:r>
        <w:rPr>
          <w:spacing w:val="7"/>
          <w:sz w:val="17"/>
        </w:rPr>
        <w:t xml:space="preserve"> </w:t>
      </w:r>
      <w:r>
        <w:rPr>
          <w:sz w:val="17"/>
        </w:rPr>
        <w:t>representado</w:t>
      </w:r>
      <w:r>
        <w:rPr>
          <w:spacing w:val="7"/>
          <w:sz w:val="17"/>
        </w:rPr>
        <w:t xml:space="preserve"> </w:t>
      </w:r>
      <w:r>
        <w:rPr>
          <w:sz w:val="17"/>
        </w:rPr>
        <w:t>en</w:t>
      </w:r>
      <w:r>
        <w:rPr>
          <w:spacing w:val="7"/>
          <w:sz w:val="17"/>
        </w:rPr>
        <w:t xml:space="preserve"> </w:t>
      </w:r>
      <w:r>
        <w:rPr>
          <w:sz w:val="17"/>
        </w:rPr>
        <w:t>la</w:t>
      </w:r>
      <w:r>
        <w:rPr>
          <w:spacing w:val="7"/>
          <w:sz w:val="17"/>
        </w:rPr>
        <w:t xml:space="preserve"> </w:t>
      </w:r>
      <w:r>
        <w:rPr>
          <w:sz w:val="17"/>
        </w:rPr>
        <w:t>toma</w:t>
      </w:r>
      <w:r>
        <w:rPr>
          <w:spacing w:val="8"/>
          <w:sz w:val="17"/>
        </w:rPr>
        <w:t xml:space="preserve"> </w:t>
      </w:r>
      <w:r>
        <w:rPr>
          <w:sz w:val="17"/>
        </w:rPr>
        <w:t>de</w:t>
      </w:r>
      <w:r>
        <w:rPr>
          <w:spacing w:val="7"/>
          <w:sz w:val="17"/>
        </w:rPr>
        <w:t xml:space="preserve"> </w:t>
      </w:r>
      <w:r>
        <w:rPr>
          <w:sz w:val="17"/>
        </w:rPr>
        <w:t>decisiones</w:t>
      </w:r>
      <w:r>
        <w:rPr>
          <w:spacing w:val="7"/>
          <w:sz w:val="17"/>
        </w:rPr>
        <w:t xml:space="preserve"> </w:t>
      </w:r>
      <w:r>
        <w:rPr>
          <w:spacing w:val="-10"/>
          <w:sz w:val="17"/>
        </w:rPr>
        <w:t>y</w:t>
      </w:r>
    </w:p>
    <w:p w14:paraId="0B7E1E18" w14:textId="77777777" w:rsidR="0014798C" w:rsidRDefault="004E1F0B">
      <w:pPr>
        <w:spacing w:before="78"/>
        <w:ind w:left="2071"/>
        <w:rPr>
          <w:sz w:val="14"/>
        </w:rPr>
      </w:pPr>
      <w:r>
        <w:rPr>
          <w:spacing w:val="-2"/>
          <w:w w:val="85"/>
          <w:sz w:val="14"/>
        </w:rPr>
        <w:t>vida;</w:t>
      </w:r>
    </w:p>
    <w:p w14:paraId="005531E6" w14:textId="77777777" w:rsidR="0014798C" w:rsidRDefault="0014798C">
      <w:pPr>
        <w:pStyle w:val="Textoindependiente"/>
        <w:spacing w:before="52"/>
        <w:rPr>
          <w:sz w:val="14"/>
        </w:rPr>
      </w:pPr>
    </w:p>
    <w:p w14:paraId="5F67FA5A" w14:textId="77777777" w:rsidR="0014798C" w:rsidRDefault="004E1F0B">
      <w:pPr>
        <w:pStyle w:val="Prrafodelista"/>
        <w:numPr>
          <w:ilvl w:val="2"/>
          <w:numId w:val="59"/>
        </w:numPr>
        <w:tabs>
          <w:tab w:val="left" w:pos="1890"/>
          <w:tab w:val="left" w:pos="2071"/>
        </w:tabs>
        <w:spacing w:line="372" w:lineRule="auto"/>
        <w:ind w:left="2071" w:right="1586" w:hanging="454"/>
        <w:rPr>
          <w:sz w:val="14"/>
        </w:rPr>
      </w:pPr>
      <w:r>
        <w:rPr>
          <w:sz w:val="14"/>
        </w:rPr>
        <w:t>empoderamiento</w:t>
      </w:r>
      <w:r>
        <w:rPr>
          <w:spacing w:val="-1"/>
          <w:sz w:val="14"/>
        </w:rPr>
        <w:t xml:space="preserve"> </w:t>
      </w:r>
      <w:r>
        <w:rPr>
          <w:sz w:val="14"/>
        </w:rPr>
        <w:t>económico</w:t>
      </w:r>
      <w:r>
        <w:rPr>
          <w:spacing w:val="-1"/>
          <w:sz w:val="14"/>
        </w:rPr>
        <w:t xml:space="preserve"> </w:t>
      </w:r>
      <w:r>
        <w:rPr>
          <w:sz w:val="14"/>
        </w:rPr>
        <w:t>y</w:t>
      </w:r>
      <w:r>
        <w:rPr>
          <w:spacing w:val="-1"/>
          <w:sz w:val="14"/>
        </w:rPr>
        <w:t xml:space="preserve"> </w:t>
      </w:r>
      <w:r>
        <w:rPr>
          <w:sz w:val="14"/>
        </w:rPr>
        <w:t>medidas</w:t>
      </w:r>
      <w:r>
        <w:rPr>
          <w:spacing w:val="-1"/>
          <w:sz w:val="14"/>
        </w:rPr>
        <w:t xml:space="preserve"> </w:t>
      </w:r>
      <w:r>
        <w:rPr>
          <w:sz w:val="14"/>
        </w:rPr>
        <w:t>para</w:t>
      </w:r>
      <w:r>
        <w:rPr>
          <w:spacing w:val="-1"/>
          <w:sz w:val="14"/>
        </w:rPr>
        <w:t xml:space="preserve"> </w:t>
      </w:r>
      <w:r>
        <w:rPr>
          <w:sz w:val="14"/>
        </w:rPr>
        <w:t>mejorar</w:t>
      </w:r>
      <w:r>
        <w:rPr>
          <w:spacing w:val="-1"/>
          <w:sz w:val="14"/>
        </w:rPr>
        <w:t xml:space="preserve"> </w:t>
      </w:r>
      <w:r>
        <w:rPr>
          <w:sz w:val="14"/>
        </w:rPr>
        <w:t>la</w:t>
      </w:r>
      <w:r>
        <w:rPr>
          <w:spacing w:val="-1"/>
          <w:sz w:val="14"/>
        </w:rPr>
        <w:t xml:space="preserve"> </w:t>
      </w:r>
      <w:r>
        <w:rPr>
          <w:sz w:val="14"/>
        </w:rPr>
        <w:t>posición</w:t>
      </w:r>
      <w:r>
        <w:rPr>
          <w:spacing w:val="-1"/>
          <w:sz w:val="14"/>
        </w:rPr>
        <w:t xml:space="preserve"> </w:t>
      </w:r>
      <w:r>
        <w:rPr>
          <w:sz w:val="14"/>
        </w:rPr>
        <w:t>de</w:t>
      </w:r>
      <w:r>
        <w:rPr>
          <w:spacing w:val="-1"/>
          <w:sz w:val="14"/>
        </w:rPr>
        <w:t xml:space="preserve"> </w:t>
      </w:r>
      <w:r>
        <w:rPr>
          <w:sz w:val="14"/>
        </w:rPr>
        <w:t>mujeres</w:t>
      </w:r>
      <w:r>
        <w:rPr>
          <w:spacing w:val="-1"/>
          <w:sz w:val="14"/>
        </w:rPr>
        <w:t xml:space="preserve"> </w:t>
      </w:r>
      <w:r>
        <w:rPr>
          <w:sz w:val="14"/>
        </w:rPr>
        <w:t>u</w:t>
      </w:r>
      <w:r>
        <w:rPr>
          <w:spacing w:val="-1"/>
          <w:sz w:val="14"/>
        </w:rPr>
        <w:t xml:space="preserve"> </w:t>
      </w:r>
      <w:r>
        <w:rPr>
          <w:sz w:val="14"/>
        </w:rPr>
        <w:t>hombres</w:t>
      </w:r>
      <w:r>
        <w:rPr>
          <w:spacing w:val="-1"/>
          <w:sz w:val="14"/>
        </w:rPr>
        <w:t xml:space="preserve"> </w:t>
      </w:r>
      <w:r>
        <w:rPr>
          <w:sz w:val="14"/>
        </w:rPr>
        <w:t>en</w:t>
      </w:r>
      <w:r>
        <w:rPr>
          <w:spacing w:val="-1"/>
          <w:sz w:val="14"/>
        </w:rPr>
        <w:t xml:space="preserve"> </w:t>
      </w:r>
      <w:r>
        <w:rPr>
          <w:sz w:val="14"/>
        </w:rPr>
        <w:t>el</w:t>
      </w:r>
      <w:r>
        <w:rPr>
          <w:spacing w:val="-1"/>
          <w:sz w:val="14"/>
        </w:rPr>
        <w:t xml:space="preserve"> </w:t>
      </w:r>
      <w:r>
        <w:rPr>
          <w:sz w:val="14"/>
        </w:rPr>
        <w:t>ámbito</w:t>
      </w:r>
      <w:r>
        <w:rPr>
          <w:spacing w:val="-1"/>
          <w:sz w:val="14"/>
        </w:rPr>
        <w:t xml:space="preserve"> </w:t>
      </w:r>
      <w:r>
        <w:rPr>
          <w:sz w:val="14"/>
        </w:rPr>
        <w:t>laboral; mejora</w:t>
      </w:r>
      <w:r>
        <w:rPr>
          <w:spacing w:val="-1"/>
          <w:sz w:val="14"/>
        </w:rPr>
        <w:t xml:space="preserve"> </w:t>
      </w:r>
      <w:r>
        <w:rPr>
          <w:sz w:val="14"/>
        </w:rPr>
        <w:t>de</w:t>
      </w:r>
      <w:r>
        <w:rPr>
          <w:spacing w:val="-1"/>
          <w:sz w:val="14"/>
        </w:rPr>
        <w:t xml:space="preserve"> </w:t>
      </w:r>
      <w:r>
        <w:rPr>
          <w:sz w:val="14"/>
        </w:rPr>
        <w:t>la</w:t>
      </w:r>
      <w:r>
        <w:rPr>
          <w:spacing w:val="-1"/>
          <w:sz w:val="14"/>
        </w:rPr>
        <w:t xml:space="preserve"> </w:t>
      </w:r>
      <w:r>
        <w:rPr>
          <w:sz w:val="14"/>
        </w:rPr>
        <w:t>igualdad</w:t>
      </w:r>
      <w:r>
        <w:rPr>
          <w:spacing w:val="40"/>
          <w:sz w:val="14"/>
        </w:rPr>
        <w:t xml:space="preserve"> </w:t>
      </w:r>
      <w:r>
        <w:rPr>
          <w:sz w:val="14"/>
        </w:rPr>
        <w:t>en educación, salud, cultura y asignación y/o reasignación de recursos;</w:t>
      </w:r>
    </w:p>
    <w:p w14:paraId="32FC3892" w14:textId="77777777" w:rsidR="0014798C" w:rsidRDefault="0014798C">
      <w:pPr>
        <w:pStyle w:val="Textoindependiente"/>
        <w:rPr>
          <w:sz w:val="14"/>
        </w:rPr>
      </w:pPr>
    </w:p>
    <w:p w14:paraId="11131428" w14:textId="77777777" w:rsidR="0014798C" w:rsidRDefault="0014798C">
      <w:pPr>
        <w:pStyle w:val="Textoindependiente"/>
        <w:spacing w:before="41"/>
        <w:rPr>
          <w:sz w:val="14"/>
        </w:rPr>
      </w:pPr>
    </w:p>
    <w:p w14:paraId="23F8F137" w14:textId="77777777" w:rsidR="0014798C" w:rsidRDefault="004E1F0B">
      <w:pPr>
        <w:pStyle w:val="Prrafodelista"/>
        <w:numPr>
          <w:ilvl w:val="2"/>
          <w:numId w:val="59"/>
        </w:numPr>
        <w:tabs>
          <w:tab w:val="left" w:pos="1890"/>
        </w:tabs>
        <w:ind w:left="1890" w:hanging="273"/>
        <w:rPr>
          <w:sz w:val="14"/>
        </w:rPr>
      </w:pPr>
      <w:r>
        <w:rPr>
          <w:sz w:val="14"/>
        </w:rPr>
        <w:t>trato</w:t>
      </w:r>
      <w:r>
        <w:rPr>
          <w:spacing w:val="-1"/>
          <w:sz w:val="14"/>
        </w:rPr>
        <w:t xml:space="preserve"> </w:t>
      </w:r>
      <w:r>
        <w:rPr>
          <w:sz w:val="14"/>
        </w:rPr>
        <w:t>preferencial,</w:t>
      </w:r>
      <w:r>
        <w:rPr>
          <w:spacing w:val="1"/>
          <w:sz w:val="14"/>
        </w:rPr>
        <w:t xml:space="preserve"> </w:t>
      </w:r>
      <w:r>
        <w:rPr>
          <w:sz w:val="14"/>
        </w:rPr>
        <w:t>reclutamiento, contratación y</w:t>
      </w:r>
      <w:r>
        <w:rPr>
          <w:spacing w:val="-1"/>
          <w:sz w:val="14"/>
        </w:rPr>
        <w:t xml:space="preserve"> </w:t>
      </w:r>
      <w:r>
        <w:rPr>
          <w:sz w:val="14"/>
        </w:rPr>
        <w:t>promoción,</w:t>
      </w:r>
      <w:r>
        <w:rPr>
          <w:spacing w:val="1"/>
          <w:sz w:val="14"/>
        </w:rPr>
        <w:t xml:space="preserve"> </w:t>
      </w:r>
      <w:r>
        <w:rPr>
          <w:sz w:val="14"/>
        </w:rPr>
        <w:t>y</w:t>
      </w:r>
      <w:r>
        <w:rPr>
          <w:spacing w:val="-1"/>
          <w:sz w:val="14"/>
        </w:rPr>
        <w:t xml:space="preserve"> </w:t>
      </w:r>
      <w:r>
        <w:rPr>
          <w:sz w:val="14"/>
        </w:rPr>
        <w:t>otras medidas</w:t>
      </w:r>
      <w:r>
        <w:rPr>
          <w:spacing w:val="-1"/>
          <w:sz w:val="14"/>
        </w:rPr>
        <w:t xml:space="preserve"> </w:t>
      </w:r>
      <w:r>
        <w:rPr>
          <w:sz w:val="14"/>
        </w:rPr>
        <w:t>en cada</w:t>
      </w:r>
      <w:r>
        <w:rPr>
          <w:spacing w:val="-1"/>
          <w:sz w:val="14"/>
        </w:rPr>
        <w:t xml:space="preserve"> </w:t>
      </w:r>
      <w:r>
        <w:rPr>
          <w:sz w:val="14"/>
        </w:rPr>
        <w:t>área donde</w:t>
      </w:r>
      <w:r>
        <w:rPr>
          <w:spacing w:val="-1"/>
          <w:sz w:val="14"/>
        </w:rPr>
        <w:t xml:space="preserve"> </w:t>
      </w:r>
      <w:r>
        <w:rPr>
          <w:sz w:val="14"/>
        </w:rPr>
        <w:t xml:space="preserve">existan </w:t>
      </w:r>
      <w:r>
        <w:rPr>
          <w:spacing w:val="-2"/>
          <w:sz w:val="14"/>
        </w:rPr>
        <w:t>desigualdades.</w:t>
      </w:r>
    </w:p>
    <w:p w14:paraId="204A84AD" w14:textId="77777777" w:rsidR="0014798C" w:rsidRDefault="0014798C">
      <w:pPr>
        <w:pStyle w:val="Textoindependiente"/>
        <w:rPr>
          <w:sz w:val="14"/>
        </w:rPr>
      </w:pPr>
    </w:p>
    <w:p w14:paraId="65D0B571" w14:textId="77777777" w:rsidR="0014798C" w:rsidRDefault="0014798C">
      <w:pPr>
        <w:pStyle w:val="Textoindependiente"/>
        <w:spacing w:before="87"/>
        <w:rPr>
          <w:sz w:val="14"/>
        </w:rPr>
      </w:pPr>
    </w:p>
    <w:p w14:paraId="12CD8CAA" w14:textId="77777777" w:rsidR="0014798C" w:rsidRDefault="004E1F0B">
      <w:pPr>
        <w:ind w:left="1347"/>
        <w:rPr>
          <w:sz w:val="14"/>
        </w:rPr>
      </w:pPr>
      <w:r>
        <w:rPr>
          <w:spacing w:val="-10"/>
          <w:sz w:val="14"/>
        </w:rPr>
        <w:t>…</w:t>
      </w:r>
    </w:p>
    <w:p w14:paraId="729A1CB6" w14:textId="77777777" w:rsidR="0014798C" w:rsidRDefault="0014798C">
      <w:pPr>
        <w:pStyle w:val="Textoindependiente"/>
        <w:spacing w:before="84"/>
        <w:rPr>
          <w:sz w:val="14"/>
        </w:rPr>
      </w:pPr>
    </w:p>
    <w:p w14:paraId="1D4C72D9" w14:textId="77777777" w:rsidR="0014798C" w:rsidRDefault="004E1F0B">
      <w:pPr>
        <w:pStyle w:val="Prrafodelista"/>
        <w:numPr>
          <w:ilvl w:val="0"/>
          <w:numId w:val="55"/>
        </w:numPr>
        <w:tabs>
          <w:tab w:val="left" w:pos="1492"/>
          <w:tab w:val="left" w:pos="1617"/>
        </w:tabs>
        <w:spacing w:line="372" w:lineRule="auto"/>
        <w:ind w:right="1938" w:hanging="281"/>
        <w:jc w:val="left"/>
        <w:rPr>
          <w:sz w:val="14"/>
        </w:rPr>
      </w:pPr>
      <w:r>
        <w:rPr>
          <w:sz w:val="14"/>
        </w:rPr>
        <w:t>No constituye discriminación de género que las instituciones públicas adopten medidas especiales, incluidas disposiciones legales,</w:t>
      </w:r>
      <w:r>
        <w:rPr>
          <w:spacing w:val="40"/>
          <w:sz w:val="14"/>
        </w:rPr>
        <w:t xml:space="preserve"> </w:t>
      </w:r>
      <w:r>
        <w:rPr>
          <w:sz w:val="14"/>
        </w:rPr>
        <w:t>encaminadas a acelerar el despliegue de la igualdad real entre mujeres y hombres.</w:t>
      </w:r>
    </w:p>
    <w:p w14:paraId="18DEA4B5" w14:textId="77777777" w:rsidR="0014798C" w:rsidRDefault="004E1F0B">
      <w:pPr>
        <w:pStyle w:val="Textoindependiente"/>
        <w:spacing w:line="166" w:lineRule="exact"/>
        <w:ind w:left="1615"/>
      </w:pPr>
      <w:r>
        <w:t>Estas</w:t>
      </w:r>
      <w:r>
        <w:rPr>
          <w:spacing w:val="-7"/>
        </w:rPr>
        <w:t xml:space="preserve"> </w:t>
      </w:r>
      <w:r>
        <w:t>medidas</w:t>
      </w:r>
      <w:r>
        <w:rPr>
          <w:spacing w:val="-7"/>
        </w:rPr>
        <w:t xml:space="preserve"> </w:t>
      </w:r>
      <w:r>
        <w:t>deberían</w:t>
      </w:r>
      <w:r>
        <w:rPr>
          <w:spacing w:val="-7"/>
        </w:rPr>
        <w:t xml:space="preserve"> </w:t>
      </w:r>
      <w:r>
        <w:t>dejar</w:t>
      </w:r>
      <w:r>
        <w:rPr>
          <w:spacing w:val="-7"/>
        </w:rPr>
        <w:t xml:space="preserve"> </w:t>
      </w:r>
      <w:r>
        <w:t>de</w:t>
      </w:r>
      <w:r>
        <w:rPr>
          <w:spacing w:val="-7"/>
        </w:rPr>
        <w:t xml:space="preserve"> </w:t>
      </w:r>
      <w:r>
        <w:t>existir</w:t>
      </w:r>
      <w:r>
        <w:rPr>
          <w:spacing w:val="-6"/>
        </w:rPr>
        <w:t xml:space="preserve"> </w:t>
      </w:r>
      <w:r>
        <w:t>una</w:t>
      </w:r>
      <w:r>
        <w:rPr>
          <w:spacing w:val="-7"/>
        </w:rPr>
        <w:t xml:space="preserve"> </w:t>
      </w:r>
      <w:r>
        <w:t>vez</w:t>
      </w:r>
      <w:r>
        <w:rPr>
          <w:spacing w:val="-7"/>
        </w:rPr>
        <w:t xml:space="preserve"> </w:t>
      </w:r>
      <w:r>
        <w:t>que</w:t>
      </w:r>
      <w:r>
        <w:rPr>
          <w:spacing w:val="-7"/>
        </w:rPr>
        <w:t xml:space="preserve"> </w:t>
      </w:r>
      <w:r>
        <w:t>alcancen</w:t>
      </w:r>
      <w:r>
        <w:rPr>
          <w:spacing w:val="-7"/>
        </w:rPr>
        <w:t xml:space="preserve"> </w:t>
      </w:r>
      <w:r>
        <w:t>los</w:t>
      </w:r>
      <w:r>
        <w:rPr>
          <w:spacing w:val="-6"/>
        </w:rPr>
        <w:t xml:space="preserve"> </w:t>
      </w:r>
      <w:r>
        <w:t>objetivos</w:t>
      </w:r>
      <w:r>
        <w:rPr>
          <w:spacing w:val="-7"/>
        </w:rPr>
        <w:t xml:space="preserve"> </w:t>
      </w:r>
      <w:r>
        <w:t>de</w:t>
      </w:r>
      <w:r>
        <w:rPr>
          <w:spacing w:val="-7"/>
        </w:rPr>
        <w:t xml:space="preserve"> </w:t>
      </w:r>
      <w:r>
        <w:t>igualdad</w:t>
      </w:r>
      <w:r>
        <w:rPr>
          <w:spacing w:val="-7"/>
        </w:rPr>
        <w:t xml:space="preserve"> </w:t>
      </w:r>
      <w:r>
        <w:t>de</w:t>
      </w:r>
      <w:r>
        <w:rPr>
          <w:spacing w:val="-7"/>
        </w:rPr>
        <w:t xml:space="preserve"> </w:t>
      </w:r>
      <w:r>
        <w:t>género,</w:t>
      </w:r>
      <w:r>
        <w:rPr>
          <w:spacing w:val="-5"/>
        </w:rPr>
        <w:t xml:space="preserve"> </w:t>
      </w:r>
      <w:r>
        <w:t>para</w:t>
      </w:r>
      <w:r>
        <w:rPr>
          <w:spacing w:val="-7"/>
        </w:rPr>
        <w:t xml:space="preserve"> </w:t>
      </w:r>
      <w:r>
        <w:t>los</w:t>
      </w:r>
      <w:r>
        <w:rPr>
          <w:spacing w:val="-7"/>
        </w:rPr>
        <w:t xml:space="preserve"> </w:t>
      </w:r>
      <w:r>
        <w:t>cuales</w:t>
      </w:r>
      <w:r>
        <w:rPr>
          <w:spacing w:val="-7"/>
        </w:rPr>
        <w:t xml:space="preserve"> </w:t>
      </w:r>
      <w:r>
        <w:rPr>
          <w:spacing w:val="-2"/>
        </w:rPr>
        <w:t>fueron</w:t>
      </w:r>
    </w:p>
    <w:p w14:paraId="30617E3C" w14:textId="77777777" w:rsidR="0014798C" w:rsidRDefault="004E1F0B">
      <w:pPr>
        <w:pStyle w:val="Textoindependiente"/>
        <w:spacing w:before="23"/>
        <w:ind w:left="1620"/>
      </w:pPr>
      <w:r>
        <w:rPr>
          <w:spacing w:val="-2"/>
        </w:rPr>
        <w:t>creadas.</w:t>
      </w:r>
    </w:p>
    <w:p w14:paraId="27348C67" w14:textId="77777777" w:rsidR="0014798C" w:rsidRDefault="0014798C">
      <w:pPr>
        <w:pStyle w:val="Textoindependiente"/>
        <w:rPr>
          <w:sz w:val="12"/>
        </w:rPr>
      </w:pPr>
    </w:p>
    <w:p w14:paraId="25FB25A2" w14:textId="77777777" w:rsidR="0014798C" w:rsidRDefault="0014798C">
      <w:pPr>
        <w:pStyle w:val="Textoindependiente"/>
        <w:rPr>
          <w:sz w:val="12"/>
        </w:rPr>
      </w:pPr>
    </w:p>
    <w:p w14:paraId="2EDF8601" w14:textId="77777777" w:rsidR="0014798C" w:rsidRDefault="0014798C">
      <w:pPr>
        <w:pStyle w:val="Textoindependiente"/>
        <w:rPr>
          <w:sz w:val="12"/>
        </w:rPr>
      </w:pPr>
    </w:p>
    <w:p w14:paraId="50249926" w14:textId="77777777" w:rsidR="0014798C" w:rsidRDefault="0014798C">
      <w:pPr>
        <w:pStyle w:val="Textoindependiente"/>
        <w:rPr>
          <w:sz w:val="12"/>
        </w:rPr>
      </w:pPr>
    </w:p>
    <w:p w14:paraId="271416E8" w14:textId="77777777" w:rsidR="0014798C" w:rsidRDefault="0014798C">
      <w:pPr>
        <w:pStyle w:val="Textoindependiente"/>
        <w:rPr>
          <w:sz w:val="12"/>
        </w:rPr>
      </w:pPr>
    </w:p>
    <w:p w14:paraId="48BF7C6D" w14:textId="77777777" w:rsidR="0014798C" w:rsidRDefault="0014798C">
      <w:pPr>
        <w:pStyle w:val="Textoindependiente"/>
        <w:rPr>
          <w:sz w:val="12"/>
        </w:rPr>
      </w:pPr>
    </w:p>
    <w:p w14:paraId="751539A3" w14:textId="77777777" w:rsidR="0014798C" w:rsidRDefault="0014798C">
      <w:pPr>
        <w:pStyle w:val="Textoindependiente"/>
        <w:rPr>
          <w:sz w:val="12"/>
        </w:rPr>
      </w:pPr>
    </w:p>
    <w:p w14:paraId="4A510C76" w14:textId="77777777" w:rsidR="0014798C" w:rsidRDefault="0014798C">
      <w:pPr>
        <w:pStyle w:val="Textoindependiente"/>
        <w:rPr>
          <w:sz w:val="12"/>
        </w:rPr>
      </w:pPr>
    </w:p>
    <w:p w14:paraId="2257FA96" w14:textId="77777777" w:rsidR="0014798C" w:rsidRDefault="0014798C">
      <w:pPr>
        <w:pStyle w:val="Textoindependiente"/>
        <w:spacing w:before="109"/>
        <w:rPr>
          <w:sz w:val="12"/>
        </w:rPr>
      </w:pPr>
    </w:p>
    <w:p w14:paraId="24351FAA" w14:textId="77777777" w:rsidR="0014798C" w:rsidRDefault="004E1F0B">
      <w:pPr>
        <w:pStyle w:val="Prrafodelista"/>
        <w:numPr>
          <w:ilvl w:val="0"/>
          <w:numId w:val="56"/>
        </w:numPr>
        <w:tabs>
          <w:tab w:val="left" w:pos="1339"/>
        </w:tabs>
        <w:ind w:left="1339" w:hanging="232"/>
        <w:rPr>
          <w:sz w:val="12"/>
        </w:rPr>
      </w:pPr>
      <w:r>
        <w:rPr>
          <w:sz w:val="12"/>
        </w:rPr>
        <w:t>Para</w:t>
      </w:r>
      <w:r>
        <w:rPr>
          <w:spacing w:val="-5"/>
          <w:sz w:val="12"/>
        </w:rPr>
        <w:t xml:space="preserve"> </w:t>
      </w:r>
      <w:r>
        <w:rPr>
          <w:sz w:val="12"/>
        </w:rPr>
        <w:t>un</w:t>
      </w:r>
      <w:r>
        <w:rPr>
          <w:spacing w:val="-3"/>
          <w:sz w:val="12"/>
        </w:rPr>
        <w:t xml:space="preserve"> </w:t>
      </w:r>
      <w:r>
        <w:rPr>
          <w:sz w:val="12"/>
        </w:rPr>
        <w:t>análisis</w:t>
      </w:r>
      <w:r>
        <w:rPr>
          <w:spacing w:val="-3"/>
          <w:sz w:val="12"/>
        </w:rPr>
        <w:t xml:space="preserve"> </w:t>
      </w:r>
      <w:r>
        <w:rPr>
          <w:sz w:val="12"/>
        </w:rPr>
        <w:t>de</w:t>
      </w:r>
      <w:r>
        <w:rPr>
          <w:spacing w:val="-2"/>
          <w:sz w:val="12"/>
        </w:rPr>
        <w:t xml:space="preserve"> </w:t>
      </w:r>
      <w:r>
        <w:rPr>
          <w:sz w:val="12"/>
        </w:rPr>
        <w:t>los</w:t>
      </w:r>
      <w:r>
        <w:rPr>
          <w:spacing w:val="-3"/>
          <w:sz w:val="12"/>
        </w:rPr>
        <w:t xml:space="preserve"> </w:t>
      </w:r>
      <w:r>
        <w:rPr>
          <w:sz w:val="12"/>
        </w:rPr>
        <w:t>enfoques</w:t>
      </w:r>
      <w:r>
        <w:rPr>
          <w:spacing w:val="-4"/>
          <w:sz w:val="12"/>
        </w:rPr>
        <w:t xml:space="preserve"> </w:t>
      </w:r>
      <w:r>
        <w:rPr>
          <w:sz w:val="12"/>
        </w:rPr>
        <w:t>de</w:t>
      </w:r>
      <w:r>
        <w:rPr>
          <w:spacing w:val="-2"/>
          <w:sz w:val="12"/>
        </w:rPr>
        <w:t xml:space="preserve"> </w:t>
      </w:r>
      <w:r>
        <w:rPr>
          <w:sz w:val="12"/>
        </w:rPr>
        <w:t>la</w:t>
      </w:r>
      <w:r>
        <w:rPr>
          <w:spacing w:val="-3"/>
          <w:sz w:val="12"/>
        </w:rPr>
        <w:t xml:space="preserve"> </w:t>
      </w:r>
      <w:r>
        <w:rPr>
          <w:sz w:val="12"/>
        </w:rPr>
        <w:t>Unión</w:t>
      </w:r>
      <w:r>
        <w:rPr>
          <w:spacing w:val="-3"/>
          <w:sz w:val="12"/>
        </w:rPr>
        <w:t xml:space="preserve"> </w:t>
      </w:r>
      <w:r>
        <w:rPr>
          <w:sz w:val="12"/>
        </w:rPr>
        <w:t>Europea</w:t>
      </w:r>
      <w:r>
        <w:rPr>
          <w:spacing w:val="-2"/>
          <w:sz w:val="12"/>
        </w:rPr>
        <w:t xml:space="preserve"> </w:t>
      </w:r>
      <w:r>
        <w:rPr>
          <w:sz w:val="12"/>
        </w:rPr>
        <w:t>en</w:t>
      </w:r>
      <w:r>
        <w:rPr>
          <w:spacing w:val="-3"/>
          <w:sz w:val="12"/>
        </w:rPr>
        <w:t xml:space="preserve"> </w:t>
      </w:r>
      <w:r>
        <w:rPr>
          <w:sz w:val="12"/>
        </w:rPr>
        <w:t>el</w:t>
      </w:r>
      <w:r>
        <w:rPr>
          <w:spacing w:val="-3"/>
          <w:sz w:val="12"/>
        </w:rPr>
        <w:t xml:space="preserve"> </w:t>
      </w:r>
      <w:r>
        <w:rPr>
          <w:sz w:val="12"/>
        </w:rPr>
        <w:t>contexto</w:t>
      </w:r>
      <w:r>
        <w:rPr>
          <w:spacing w:val="-3"/>
          <w:sz w:val="12"/>
        </w:rPr>
        <w:t xml:space="preserve"> </w:t>
      </w:r>
      <w:r>
        <w:rPr>
          <w:sz w:val="12"/>
        </w:rPr>
        <w:t>del</w:t>
      </w:r>
      <w:r>
        <w:rPr>
          <w:spacing w:val="-3"/>
          <w:sz w:val="12"/>
        </w:rPr>
        <w:t xml:space="preserve"> </w:t>
      </w:r>
      <w:r>
        <w:rPr>
          <w:sz w:val="12"/>
        </w:rPr>
        <w:t>empleo,</w:t>
      </w:r>
      <w:r>
        <w:rPr>
          <w:spacing w:val="-3"/>
          <w:sz w:val="12"/>
        </w:rPr>
        <w:t xml:space="preserve"> </w:t>
      </w:r>
      <w:r>
        <w:rPr>
          <w:sz w:val="12"/>
        </w:rPr>
        <w:t>véase</w:t>
      </w:r>
      <w:r>
        <w:rPr>
          <w:spacing w:val="-2"/>
          <w:sz w:val="12"/>
        </w:rPr>
        <w:t xml:space="preserve"> </w:t>
      </w:r>
      <w:r>
        <w:rPr>
          <w:sz w:val="12"/>
        </w:rPr>
        <w:t>Goran</w:t>
      </w:r>
      <w:r>
        <w:rPr>
          <w:spacing w:val="-3"/>
          <w:sz w:val="12"/>
        </w:rPr>
        <w:t xml:space="preserve"> </w:t>
      </w:r>
      <w:proofErr w:type="spellStart"/>
      <w:r>
        <w:rPr>
          <w:sz w:val="12"/>
        </w:rPr>
        <w:t>Selanec</w:t>
      </w:r>
      <w:proofErr w:type="spellEnd"/>
      <w:r>
        <w:rPr>
          <w:spacing w:val="-4"/>
          <w:sz w:val="12"/>
        </w:rPr>
        <w:t xml:space="preserve"> </w:t>
      </w:r>
      <w:r>
        <w:rPr>
          <w:sz w:val="12"/>
        </w:rPr>
        <w:t>y</w:t>
      </w:r>
      <w:r>
        <w:rPr>
          <w:spacing w:val="-2"/>
          <w:sz w:val="12"/>
        </w:rPr>
        <w:t xml:space="preserve"> </w:t>
      </w:r>
      <w:r>
        <w:rPr>
          <w:sz w:val="12"/>
        </w:rPr>
        <w:t>Linda</w:t>
      </w:r>
      <w:r>
        <w:rPr>
          <w:spacing w:val="-3"/>
          <w:sz w:val="12"/>
        </w:rPr>
        <w:t xml:space="preserve"> </w:t>
      </w:r>
      <w:proofErr w:type="spellStart"/>
      <w:r>
        <w:rPr>
          <w:sz w:val="12"/>
        </w:rPr>
        <w:t>Senden</w:t>
      </w:r>
      <w:proofErr w:type="spellEnd"/>
      <w:r>
        <w:rPr>
          <w:sz w:val="12"/>
        </w:rPr>
        <w:t>,</w:t>
      </w:r>
      <w:r>
        <w:rPr>
          <w:spacing w:val="-3"/>
          <w:sz w:val="12"/>
        </w:rPr>
        <w:t xml:space="preserve"> </w:t>
      </w:r>
      <w:r>
        <w:rPr>
          <w:sz w:val="12"/>
        </w:rPr>
        <w:t>Positive</w:t>
      </w:r>
      <w:r>
        <w:rPr>
          <w:spacing w:val="-3"/>
          <w:sz w:val="12"/>
        </w:rPr>
        <w:t xml:space="preserve"> </w:t>
      </w:r>
      <w:proofErr w:type="spellStart"/>
      <w:r>
        <w:rPr>
          <w:spacing w:val="-2"/>
          <w:sz w:val="12"/>
        </w:rPr>
        <w:t>Action</w:t>
      </w:r>
      <w:proofErr w:type="spellEnd"/>
    </w:p>
    <w:p w14:paraId="250C8810" w14:textId="77777777" w:rsidR="0014798C" w:rsidRDefault="004E1F0B">
      <w:pPr>
        <w:spacing w:before="42" w:line="312" w:lineRule="auto"/>
        <w:ind w:left="1369" w:right="1272" w:hanging="5"/>
        <w:rPr>
          <w:sz w:val="12"/>
        </w:rPr>
      </w:pPr>
      <w:r>
        <w:rPr>
          <w:sz w:val="12"/>
        </w:rPr>
        <w:t>Medidas para garantizar</w:t>
      </w:r>
      <w:r>
        <w:rPr>
          <w:spacing w:val="-1"/>
          <w:sz w:val="12"/>
        </w:rPr>
        <w:t xml:space="preserve"> </w:t>
      </w:r>
      <w:r>
        <w:rPr>
          <w:sz w:val="12"/>
        </w:rPr>
        <w:t>la plena igualdad en la práctica entre hombres y mujeres, incluso en los consejos de administración de las empresas (Luxemburgo, Oficina</w:t>
      </w:r>
      <w:r>
        <w:rPr>
          <w:spacing w:val="-1"/>
          <w:sz w:val="12"/>
        </w:rPr>
        <w:t xml:space="preserve"> </w:t>
      </w:r>
      <w:r>
        <w:rPr>
          <w:sz w:val="12"/>
        </w:rPr>
        <w:t>de</w:t>
      </w:r>
      <w:r>
        <w:rPr>
          <w:spacing w:val="40"/>
          <w:sz w:val="12"/>
        </w:rPr>
        <w:t xml:space="preserve"> </w:t>
      </w:r>
      <w:r>
        <w:rPr>
          <w:sz w:val="12"/>
        </w:rPr>
        <w:t>Publicaciones de la Unión Europea, 2013), págs.</w:t>
      </w:r>
    </w:p>
    <w:p w14:paraId="6CCC9657" w14:textId="77777777" w:rsidR="0014798C" w:rsidRDefault="004E1F0B">
      <w:pPr>
        <w:pStyle w:val="Prrafodelista"/>
        <w:numPr>
          <w:ilvl w:val="0"/>
          <w:numId w:val="56"/>
        </w:numPr>
        <w:tabs>
          <w:tab w:val="left" w:pos="1318"/>
        </w:tabs>
        <w:spacing w:before="104"/>
        <w:ind w:left="1318" w:hanging="211"/>
        <w:rPr>
          <w:sz w:val="11"/>
        </w:rPr>
      </w:pPr>
      <w:r>
        <w:rPr>
          <w:sz w:val="11"/>
        </w:rPr>
        <w:t>Comité</w:t>
      </w:r>
      <w:r>
        <w:rPr>
          <w:spacing w:val="-8"/>
          <w:sz w:val="11"/>
        </w:rPr>
        <w:t xml:space="preserve"> </w:t>
      </w:r>
      <w:r>
        <w:rPr>
          <w:sz w:val="11"/>
        </w:rPr>
        <w:t>de</w:t>
      </w:r>
      <w:r>
        <w:rPr>
          <w:spacing w:val="-5"/>
          <w:sz w:val="11"/>
        </w:rPr>
        <w:t xml:space="preserve"> </w:t>
      </w:r>
      <w:r>
        <w:rPr>
          <w:sz w:val="11"/>
        </w:rPr>
        <w:t>Derechos</w:t>
      </w:r>
      <w:r>
        <w:rPr>
          <w:spacing w:val="-5"/>
          <w:sz w:val="11"/>
        </w:rPr>
        <w:t xml:space="preserve"> </w:t>
      </w:r>
      <w:r>
        <w:rPr>
          <w:sz w:val="11"/>
        </w:rPr>
        <w:t>Humanos,</w:t>
      </w:r>
      <w:r>
        <w:rPr>
          <w:spacing w:val="-5"/>
          <w:sz w:val="11"/>
        </w:rPr>
        <w:t xml:space="preserve"> </w:t>
      </w:r>
      <w:r>
        <w:rPr>
          <w:sz w:val="11"/>
        </w:rPr>
        <w:t>observación</w:t>
      </w:r>
      <w:r>
        <w:rPr>
          <w:spacing w:val="-4"/>
          <w:sz w:val="11"/>
        </w:rPr>
        <w:t xml:space="preserve"> </w:t>
      </w:r>
      <w:r>
        <w:rPr>
          <w:sz w:val="11"/>
        </w:rPr>
        <w:t>general</w:t>
      </w:r>
      <w:r>
        <w:rPr>
          <w:spacing w:val="-5"/>
          <w:sz w:val="11"/>
        </w:rPr>
        <w:t xml:space="preserve"> </w:t>
      </w:r>
      <w:r>
        <w:rPr>
          <w:sz w:val="11"/>
        </w:rPr>
        <w:t>núm.</w:t>
      </w:r>
      <w:r>
        <w:rPr>
          <w:spacing w:val="-5"/>
          <w:sz w:val="11"/>
        </w:rPr>
        <w:t xml:space="preserve"> </w:t>
      </w:r>
      <w:r>
        <w:rPr>
          <w:sz w:val="11"/>
        </w:rPr>
        <w:t>18</w:t>
      </w:r>
      <w:r>
        <w:rPr>
          <w:spacing w:val="-5"/>
          <w:sz w:val="11"/>
        </w:rPr>
        <w:t xml:space="preserve"> </w:t>
      </w:r>
      <w:r>
        <w:rPr>
          <w:sz w:val="11"/>
        </w:rPr>
        <w:t>(1989),</w:t>
      </w:r>
      <w:r>
        <w:rPr>
          <w:spacing w:val="-4"/>
          <w:sz w:val="11"/>
        </w:rPr>
        <w:t xml:space="preserve"> </w:t>
      </w:r>
      <w:r>
        <w:rPr>
          <w:sz w:val="11"/>
        </w:rPr>
        <w:t>párr.</w:t>
      </w:r>
      <w:r>
        <w:rPr>
          <w:spacing w:val="-4"/>
          <w:sz w:val="11"/>
        </w:rPr>
        <w:t xml:space="preserve"> </w:t>
      </w:r>
      <w:r>
        <w:rPr>
          <w:spacing w:val="-5"/>
          <w:sz w:val="11"/>
        </w:rPr>
        <w:t>10.</w:t>
      </w:r>
    </w:p>
    <w:p w14:paraId="7FB08136" w14:textId="77777777" w:rsidR="0014798C" w:rsidRDefault="0014798C">
      <w:pPr>
        <w:rPr>
          <w:sz w:val="11"/>
        </w:rPr>
        <w:sectPr w:rsidR="0014798C" w:rsidSect="00F265E4">
          <w:pgSz w:w="11900" w:h="16820"/>
          <w:pgMar w:top="340" w:right="0" w:bottom="280" w:left="200" w:header="121" w:footer="0" w:gutter="0"/>
          <w:cols w:space="720"/>
        </w:sectPr>
      </w:pPr>
    </w:p>
    <w:p w14:paraId="3159ED54" w14:textId="77777777" w:rsidR="0014798C" w:rsidRDefault="004E1F0B">
      <w:pPr>
        <w:spacing w:before="55"/>
        <w:jc w:val="right"/>
        <w:rPr>
          <w:sz w:val="8"/>
        </w:rPr>
      </w:pPr>
      <w:r>
        <w:rPr>
          <w:spacing w:val="-5"/>
          <w:w w:val="105"/>
          <w:sz w:val="8"/>
        </w:rPr>
        <w:t>527</w:t>
      </w:r>
    </w:p>
    <w:p w14:paraId="61F27AF7" w14:textId="77777777" w:rsidR="0014798C" w:rsidRDefault="004E1F0B">
      <w:pPr>
        <w:spacing w:before="63" w:line="312" w:lineRule="auto"/>
        <w:ind w:left="79" w:right="1354" w:firstLine="2"/>
        <w:rPr>
          <w:sz w:val="12"/>
        </w:rPr>
      </w:pPr>
      <w:r>
        <w:br w:type="column"/>
      </w:r>
      <w:r>
        <w:rPr>
          <w:sz w:val="12"/>
        </w:rPr>
        <w:t>Véase,</w:t>
      </w:r>
      <w:r>
        <w:rPr>
          <w:spacing w:val="-3"/>
          <w:sz w:val="12"/>
        </w:rPr>
        <w:t xml:space="preserve"> </w:t>
      </w:r>
      <w:r>
        <w:rPr>
          <w:sz w:val="12"/>
        </w:rPr>
        <w:t>por</w:t>
      </w:r>
      <w:r>
        <w:rPr>
          <w:spacing w:val="-3"/>
          <w:sz w:val="12"/>
        </w:rPr>
        <w:t xml:space="preserve"> </w:t>
      </w:r>
      <w:r>
        <w:rPr>
          <w:sz w:val="12"/>
        </w:rPr>
        <w:t>ejemplo,</w:t>
      </w:r>
      <w:r>
        <w:rPr>
          <w:spacing w:val="-3"/>
          <w:sz w:val="12"/>
        </w:rPr>
        <w:t xml:space="preserve"> </w:t>
      </w:r>
      <w:r>
        <w:rPr>
          <w:sz w:val="12"/>
        </w:rPr>
        <w:t>Comité</w:t>
      </w:r>
      <w:r>
        <w:rPr>
          <w:spacing w:val="-3"/>
          <w:sz w:val="12"/>
        </w:rPr>
        <w:t xml:space="preserve"> </w:t>
      </w:r>
      <w:r>
        <w:rPr>
          <w:sz w:val="12"/>
        </w:rPr>
        <w:t>sobre</w:t>
      </w:r>
      <w:r>
        <w:rPr>
          <w:spacing w:val="-3"/>
          <w:sz w:val="12"/>
        </w:rPr>
        <w:t xml:space="preserve"> </w:t>
      </w:r>
      <w:r>
        <w:rPr>
          <w:sz w:val="12"/>
        </w:rPr>
        <w:t>los</w:t>
      </w:r>
      <w:r>
        <w:rPr>
          <w:spacing w:val="-3"/>
          <w:sz w:val="12"/>
        </w:rPr>
        <w:t xml:space="preserve"> </w:t>
      </w:r>
      <w:r>
        <w:rPr>
          <w:sz w:val="12"/>
        </w:rPr>
        <w:t>Derechos</w:t>
      </w:r>
      <w:r>
        <w:rPr>
          <w:spacing w:val="-3"/>
          <w:sz w:val="12"/>
        </w:rPr>
        <w:t xml:space="preserve"> </w:t>
      </w:r>
      <w:r>
        <w:rPr>
          <w:sz w:val="12"/>
        </w:rPr>
        <w:t>de</w:t>
      </w:r>
      <w:r>
        <w:rPr>
          <w:spacing w:val="-3"/>
          <w:sz w:val="12"/>
        </w:rPr>
        <w:t xml:space="preserve"> </w:t>
      </w:r>
      <w:r>
        <w:rPr>
          <w:sz w:val="12"/>
        </w:rPr>
        <w:t>las</w:t>
      </w:r>
      <w:r>
        <w:rPr>
          <w:spacing w:val="-3"/>
          <w:sz w:val="12"/>
        </w:rPr>
        <w:t xml:space="preserve"> </w:t>
      </w:r>
      <w:r>
        <w:rPr>
          <w:sz w:val="12"/>
        </w:rPr>
        <w:t>Personas</w:t>
      </w:r>
      <w:r>
        <w:rPr>
          <w:spacing w:val="-4"/>
          <w:sz w:val="12"/>
        </w:rPr>
        <w:t xml:space="preserve"> </w:t>
      </w:r>
      <w:r>
        <w:rPr>
          <w:sz w:val="12"/>
        </w:rPr>
        <w:t>con</w:t>
      </w:r>
      <w:r>
        <w:rPr>
          <w:spacing w:val="-3"/>
          <w:sz w:val="12"/>
        </w:rPr>
        <w:t xml:space="preserve"> </w:t>
      </w:r>
      <w:r>
        <w:rPr>
          <w:sz w:val="12"/>
        </w:rPr>
        <w:t>Discapacidad,</w:t>
      </w:r>
      <w:r>
        <w:rPr>
          <w:spacing w:val="-2"/>
          <w:sz w:val="12"/>
        </w:rPr>
        <w:t xml:space="preserve"> </w:t>
      </w:r>
      <w:r>
        <w:rPr>
          <w:sz w:val="12"/>
        </w:rPr>
        <w:t>observación</w:t>
      </w:r>
      <w:r>
        <w:rPr>
          <w:spacing w:val="-3"/>
          <w:sz w:val="12"/>
        </w:rPr>
        <w:t xml:space="preserve"> </w:t>
      </w:r>
      <w:r>
        <w:rPr>
          <w:sz w:val="12"/>
        </w:rPr>
        <w:t>general</w:t>
      </w:r>
      <w:r>
        <w:rPr>
          <w:spacing w:val="-3"/>
          <w:sz w:val="12"/>
        </w:rPr>
        <w:t xml:space="preserve"> </w:t>
      </w:r>
      <w:r>
        <w:rPr>
          <w:sz w:val="12"/>
        </w:rPr>
        <w:t>núm.</w:t>
      </w:r>
      <w:r>
        <w:rPr>
          <w:spacing w:val="-3"/>
          <w:sz w:val="12"/>
        </w:rPr>
        <w:t xml:space="preserve"> </w:t>
      </w:r>
      <w:r>
        <w:rPr>
          <w:sz w:val="12"/>
        </w:rPr>
        <w:t>6</w:t>
      </w:r>
      <w:r>
        <w:rPr>
          <w:spacing w:val="-3"/>
          <w:sz w:val="12"/>
        </w:rPr>
        <w:t xml:space="preserve"> </w:t>
      </w:r>
      <w:r>
        <w:rPr>
          <w:sz w:val="12"/>
        </w:rPr>
        <w:t>(2018),</w:t>
      </w:r>
      <w:r>
        <w:rPr>
          <w:spacing w:val="-3"/>
          <w:sz w:val="12"/>
        </w:rPr>
        <w:t xml:space="preserve"> </w:t>
      </w:r>
      <w:r>
        <w:rPr>
          <w:sz w:val="12"/>
        </w:rPr>
        <w:t>párr.</w:t>
      </w:r>
      <w:r>
        <w:rPr>
          <w:spacing w:val="-3"/>
          <w:sz w:val="12"/>
        </w:rPr>
        <w:t xml:space="preserve"> </w:t>
      </w:r>
      <w:r>
        <w:rPr>
          <w:sz w:val="12"/>
        </w:rPr>
        <w:t>29;</w:t>
      </w:r>
      <w:r>
        <w:rPr>
          <w:spacing w:val="-3"/>
          <w:sz w:val="12"/>
        </w:rPr>
        <w:t xml:space="preserve"> </w:t>
      </w:r>
      <w:r>
        <w:rPr>
          <w:sz w:val="12"/>
        </w:rPr>
        <w:t>y</w:t>
      </w:r>
      <w:r>
        <w:rPr>
          <w:spacing w:val="-3"/>
          <w:sz w:val="12"/>
        </w:rPr>
        <w:t xml:space="preserve"> </w:t>
      </w:r>
      <w:r>
        <w:rPr>
          <w:sz w:val="12"/>
        </w:rPr>
        <w:t>Comité</w:t>
      </w:r>
      <w:r>
        <w:rPr>
          <w:spacing w:val="-3"/>
          <w:sz w:val="12"/>
        </w:rPr>
        <w:t xml:space="preserve"> </w:t>
      </w:r>
      <w:r>
        <w:rPr>
          <w:sz w:val="12"/>
        </w:rPr>
        <w:t>para</w:t>
      </w:r>
      <w:r>
        <w:rPr>
          <w:spacing w:val="-3"/>
          <w:sz w:val="12"/>
        </w:rPr>
        <w:t xml:space="preserve"> </w:t>
      </w:r>
      <w:r>
        <w:rPr>
          <w:sz w:val="12"/>
        </w:rPr>
        <w:t>la</w:t>
      </w:r>
      <w:r>
        <w:rPr>
          <w:spacing w:val="-3"/>
          <w:sz w:val="12"/>
        </w:rPr>
        <w:t xml:space="preserve"> </w:t>
      </w:r>
      <w:r>
        <w:rPr>
          <w:sz w:val="12"/>
        </w:rPr>
        <w:t>Eliminación</w:t>
      </w:r>
      <w:r>
        <w:rPr>
          <w:spacing w:val="-3"/>
          <w:sz w:val="12"/>
        </w:rPr>
        <w:t xml:space="preserve"> </w:t>
      </w:r>
      <w:r>
        <w:rPr>
          <w:sz w:val="12"/>
        </w:rPr>
        <w:t>de</w:t>
      </w:r>
      <w:r>
        <w:rPr>
          <w:spacing w:val="-3"/>
          <w:sz w:val="12"/>
        </w:rPr>
        <w:t xml:space="preserve"> </w:t>
      </w:r>
      <w:r>
        <w:rPr>
          <w:sz w:val="12"/>
        </w:rPr>
        <w:t>la</w:t>
      </w:r>
      <w:r>
        <w:rPr>
          <w:spacing w:val="40"/>
          <w:sz w:val="12"/>
        </w:rPr>
        <w:t xml:space="preserve"> </w:t>
      </w:r>
      <w:r>
        <w:rPr>
          <w:sz w:val="12"/>
        </w:rPr>
        <w:t>Discriminación Racial, recomendación general núm. 32 (2009), párr. 18.</w:t>
      </w:r>
    </w:p>
    <w:p w14:paraId="2E645290" w14:textId="77777777" w:rsidR="0014798C" w:rsidRDefault="0014798C">
      <w:pPr>
        <w:spacing w:line="312" w:lineRule="auto"/>
        <w:rPr>
          <w:sz w:val="12"/>
        </w:rPr>
        <w:sectPr w:rsidR="0014798C" w:rsidSect="00F265E4">
          <w:type w:val="continuous"/>
          <w:pgSz w:w="11900" w:h="16820"/>
          <w:pgMar w:top="40" w:right="0" w:bottom="280" w:left="200" w:header="121" w:footer="0" w:gutter="0"/>
          <w:cols w:num="2" w:space="720" w:equalWidth="0">
            <w:col w:w="1249" w:space="40"/>
            <w:col w:w="10411"/>
          </w:cols>
        </w:sectPr>
      </w:pPr>
    </w:p>
    <w:p w14:paraId="59C02951" w14:textId="77777777" w:rsidR="0014798C" w:rsidRDefault="0014798C">
      <w:pPr>
        <w:pStyle w:val="Textoindependiente"/>
        <w:rPr>
          <w:sz w:val="3"/>
        </w:rPr>
      </w:pPr>
    </w:p>
    <w:p w14:paraId="3BFDDB72" w14:textId="77777777" w:rsidR="0014798C" w:rsidRDefault="0014798C">
      <w:pPr>
        <w:pStyle w:val="Textoindependiente"/>
        <w:rPr>
          <w:sz w:val="3"/>
        </w:rPr>
      </w:pPr>
    </w:p>
    <w:p w14:paraId="14D88826" w14:textId="77777777" w:rsidR="0014798C" w:rsidRDefault="0014798C">
      <w:pPr>
        <w:pStyle w:val="Textoindependiente"/>
        <w:rPr>
          <w:sz w:val="3"/>
        </w:rPr>
      </w:pPr>
    </w:p>
    <w:p w14:paraId="51EBC437" w14:textId="77777777" w:rsidR="0014798C" w:rsidRDefault="0014798C">
      <w:pPr>
        <w:pStyle w:val="Textoindependiente"/>
        <w:rPr>
          <w:sz w:val="3"/>
        </w:rPr>
      </w:pPr>
    </w:p>
    <w:p w14:paraId="5CD3447A" w14:textId="77777777" w:rsidR="0014798C" w:rsidRDefault="0014798C">
      <w:pPr>
        <w:pStyle w:val="Textoindependiente"/>
        <w:rPr>
          <w:sz w:val="3"/>
        </w:rPr>
      </w:pPr>
    </w:p>
    <w:p w14:paraId="2FF6D5A3" w14:textId="77777777" w:rsidR="0014798C" w:rsidRDefault="0014798C">
      <w:pPr>
        <w:pStyle w:val="Textoindependiente"/>
        <w:rPr>
          <w:sz w:val="3"/>
        </w:rPr>
      </w:pPr>
    </w:p>
    <w:p w14:paraId="2B6E9579" w14:textId="77777777" w:rsidR="0014798C" w:rsidRDefault="0014798C">
      <w:pPr>
        <w:pStyle w:val="Textoindependiente"/>
        <w:rPr>
          <w:sz w:val="3"/>
        </w:rPr>
      </w:pPr>
    </w:p>
    <w:p w14:paraId="4C6912D5" w14:textId="77777777" w:rsidR="0014798C" w:rsidRDefault="0014798C">
      <w:pPr>
        <w:pStyle w:val="Textoindependiente"/>
        <w:rPr>
          <w:sz w:val="3"/>
        </w:rPr>
      </w:pPr>
    </w:p>
    <w:p w14:paraId="760440FB" w14:textId="77777777" w:rsidR="0014798C" w:rsidRDefault="0014798C">
      <w:pPr>
        <w:pStyle w:val="Textoindependiente"/>
        <w:rPr>
          <w:sz w:val="3"/>
        </w:rPr>
      </w:pPr>
    </w:p>
    <w:p w14:paraId="1C3DC197" w14:textId="77777777" w:rsidR="0014798C" w:rsidRDefault="0014798C">
      <w:pPr>
        <w:pStyle w:val="Textoindependiente"/>
        <w:rPr>
          <w:sz w:val="3"/>
        </w:rPr>
      </w:pPr>
    </w:p>
    <w:p w14:paraId="0838809F" w14:textId="77777777" w:rsidR="0014798C" w:rsidRDefault="0014798C">
      <w:pPr>
        <w:pStyle w:val="Textoindependiente"/>
        <w:rPr>
          <w:sz w:val="3"/>
        </w:rPr>
      </w:pPr>
    </w:p>
    <w:p w14:paraId="7AAB012A" w14:textId="77777777" w:rsidR="0014798C" w:rsidRDefault="0014798C">
      <w:pPr>
        <w:pStyle w:val="Textoindependiente"/>
        <w:rPr>
          <w:sz w:val="3"/>
        </w:rPr>
      </w:pPr>
    </w:p>
    <w:p w14:paraId="0D58AB50" w14:textId="77777777" w:rsidR="0014798C" w:rsidRDefault="0014798C">
      <w:pPr>
        <w:pStyle w:val="Textoindependiente"/>
        <w:rPr>
          <w:sz w:val="3"/>
        </w:rPr>
      </w:pPr>
    </w:p>
    <w:p w14:paraId="1DB0C3B4" w14:textId="77777777" w:rsidR="0014798C" w:rsidRDefault="0014798C">
      <w:pPr>
        <w:pStyle w:val="Textoindependiente"/>
        <w:rPr>
          <w:sz w:val="3"/>
        </w:rPr>
      </w:pPr>
    </w:p>
    <w:p w14:paraId="2150873E" w14:textId="77777777" w:rsidR="0014798C" w:rsidRDefault="0014798C">
      <w:pPr>
        <w:pStyle w:val="Textoindependiente"/>
        <w:rPr>
          <w:sz w:val="3"/>
        </w:rPr>
      </w:pPr>
    </w:p>
    <w:p w14:paraId="29610781" w14:textId="77777777" w:rsidR="0014798C" w:rsidRDefault="0014798C">
      <w:pPr>
        <w:pStyle w:val="Textoindependiente"/>
        <w:rPr>
          <w:sz w:val="3"/>
        </w:rPr>
      </w:pPr>
    </w:p>
    <w:p w14:paraId="0A699943" w14:textId="77777777" w:rsidR="0014798C" w:rsidRDefault="0014798C">
      <w:pPr>
        <w:pStyle w:val="Textoindependiente"/>
        <w:rPr>
          <w:sz w:val="3"/>
        </w:rPr>
      </w:pPr>
    </w:p>
    <w:p w14:paraId="10295810" w14:textId="77777777" w:rsidR="0014798C" w:rsidRDefault="0014798C">
      <w:pPr>
        <w:pStyle w:val="Textoindependiente"/>
        <w:rPr>
          <w:sz w:val="3"/>
        </w:rPr>
      </w:pPr>
    </w:p>
    <w:p w14:paraId="1D24248C" w14:textId="77777777" w:rsidR="0014798C" w:rsidRDefault="0014798C">
      <w:pPr>
        <w:pStyle w:val="Textoindependiente"/>
        <w:rPr>
          <w:sz w:val="3"/>
        </w:rPr>
      </w:pPr>
    </w:p>
    <w:p w14:paraId="0E9AD452" w14:textId="77777777" w:rsidR="0014798C" w:rsidRDefault="0014798C">
      <w:pPr>
        <w:pStyle w:val="Textoindependiente"/>
        <w:spacing w:before="3"/>
        <w:rPr>
          <w:sz w:val="3"/>
        </w:rPr>
      </w:pPr>
    </w:p>
    <w:p w14:paraId="64D00FE0" w14:textId="77777777" w:rsidR="0014798C" w:rsidRDefault="004E1F0B">
      <w:pPr>
        <w:ind w:right="734"/>
        <w:jc w:val="right"/>
        <w:rPr>
          <w:sz w:val="3"/>
        </w:rPr>
      </w:pPr>
      <w:r>
        <w:rPr>
          <w:spacing w:val="-2"/>
          <w:sz w:val="3"/>
        </w:rPr>
        <w:t>sesenta</w:t>
      </w:r>
      <w:r>
        <w:rPr>
          <w:spacing w:val="4"/>
          <w:sz w:val="3"/>
        </w:rPr>
        <w:t xml:space="preserve"> </w:t>
      </w:r>
      <w:r>
        <w:rPr>
          <w:spacing w:val="-2"/>
          <w:sz w:val="3"/>
        </w:rPr>
        <w:t>y</w:t>
      </w:r>
      <w:r>
        <w:rPr>
          <w:spacing w:val="5"/>
          <w:sz w:val="3"/>
        </w:rPr>
        <w:t xml:space="preserve"> </w:t>
      </w:r>
      <w:r>
        <w:rPr>
          <w:spacing w:val="-4"/>
          <w:sz w:val="3"/>
        </w:rPr>
        <w:t>cinco</w:t>
      </w:r>
    </w:p>
    <w:p w14:paraId="1CFDE629" w14:textId="77777777" w:rsidR="0014798C" w:rsidRDefault="0014798C">
      <w:pPr>
        <w:jc w:val="right"/>
        <w:rPr>
          <w:sz w:val="3"/>
        </w:rPr>
        <w:sectPr w:rsidR="0014798C" w:rsidSect="00F265E4">
          <w:type w:val="continuous"/>
          <w:pgSz w:w="11900" w:h="16820"/>
          <w:pgMar w:top="40" w:right="0" w:bottom="280" w:left="200" w:header="121" w:footer="0" w:gutter="0"/>
          <w:cols w:space="720"/>
        </w:sectPr>
      </w:pPr>
    </w:p>
    <w:p w14:paraId="537367F1" w14:textId="77777777" w:rsidR="0014798C" w:rsidRDefault="0014798C">
      <w:pPr>
        <w:pStyle w:val="Textoindependiente"/>
        <w:spacing w:before="85"/>
        <w:rPr>
          <w:sz w:val="12"/>
        </w:rPr>
      </w:pPr>
    </w:p>
    <w:p w14:paraId="0D677979" w14:textId="77777777" w:rsidR="0014798C" w:rsidRDefault="004E1F0B">
      <w:pPr>
        <w:ind w:left="1111"/>
        <w:rPr>
          <w:sz w:val="12"/>
        </w:rPr>
      </w:pPr>
      <w:r>
        <w:rPr>
          <w:color w:val="00AC59"/>
          <w:sz w:val="12"/>
        </w:rPr>
        <w:t>PROTECCIÓN</w:t>
      </w:r>
      <w:r>
        <w:rPr>
          <w:color w:val="00AC59"/>
          <w:spacing w:val="6"/>
          <w:sz w:val="12"/>
        </w:rPr>
        <w:t xml:space="preserve"> </w:t>
      </w:r>
      <w:r>
        <w:rPr>
          <w:color w:val="00AC59"/>
          <w:sz w:val="12"/>
        </w:rPr>
        <w:t>DE</w:t>
      </w:r>
      <w:r>
        <w:rPr>
          <w:color w:val="00AC59"/>
          <w:spacing w:val="7"/>
          <w:sz w:val="12"/>
        </w:rPr>
        <w:t xml:space="preserve"> </w:t>
      </w:r>
      <w:r>
        <w:rPr>
          <w:color w:val="00AC59"/>
          <w:sz w:val="12"/>
        </w:rPr>
        <w:t>LOS</w:t>
      </w:r>
      <w:r>
        <w:rPr>
          <w:color w:val="00AC59"/>
          <w:spacing w:val="8"/>
          <w:sz w:val="12"/>
        </w:rPr>
        <w:t xml:space="preserve"> </w:t>
      </w:r>
      <w:r>
        <w:rPr>
          <w:color w:val="00AC59"/>
          <w:sz w:val="12"/>
        </w:rPr>
        <w:t>DERECHOS</w:t>
      </w:r>
      <w:r>
        <w:rPr>
          <w:color w:val="00AC59"/>
          <w:spacing w:val="8"/>
          <w:sz w:val="12"/>
        </w:rPr>
        <w:t xml:space="preserve"> </w:t>
      </w:r>
      <w:r>
        <w:rPr>
          <w:color w:val="00AC59"/>
          <w:sz w:val="12"/>
        </w:rPr>
        <w:t>DE</w:t>
      </w:r>
      <w:r>
        <w:rPr>
          <w:color w:val="00AC59"/>
          <w:spacing w:val="6"/>
          <w:sz w:val="12"/>
        </w:rPr>
        <w:t xml:space="preserve"> </w:t>
      </w:r>
      <w:r>
        <w:rPr>
          <w:color w:val="00AC59"/>
          <w:sz w:val="12"/>
        </w:rPr>
        <w:t>LAS</w:t>
      </w:r>
      <w:r>
        <w:rPr>
          <w:color w:val="00AC59"/>
          <w:spacing w:val="7"/>
          <w:sz w:val="12"/>
        </w:rPr>
        <w:t xml:space="preserve"> </w:t>
      </w:r>
      <w:r>
        <w:rPr>
          <w:color w:val="00AC59"/>
          <w:sz w:val="12"/>
        </w:rPr>
        <w:t>MINORÍAS:</w:t>
      </w:r>
      <w:r>
        <w:rPr>
          <w:color w:val="00AC59"/>
          <w:spacing w:val="8"/>
          <w:sz w:val="12"/>
        </w:rPr>
        <w:t xml:space="preserve"> </w:t>
      </w:r>
      <w:r>
        <w:rPr>
          <w:color w:val="00AC59"/>
          <w:sz w:val="12"/>
        </w:rPr>
        <w:t>una</w:t>
      </w:r>
      <w:r>
        <w:rPr>
          <w:color w:val="00AC59"/>
          <w:spacing w:val="7"/>
          <w:sz w:val="12"/>
        </w:rPr>
        <w:t xml:space="preserve"> </w:t>
      </w:r>
      <w:r>
        <w:rPr>
          <w:color w:val="00AC59"/>
          <w:sz w:val="12"/>
        </w:rPr>
        <w:t>guía</w:t>
      </w:r>
      <w:r>
        <w:rPr>
          <w:color w:val="00AC59"/>
          <w:spacing w:val="6"/>
          <w:sz w:val="12"/>
        </w:rPr>
        <w:t xml:space="preserve"> </w:t>
      </w:r>
      <w:r>
        <w:rPr>
          <w:color w:val="00AC59"/>
          <w:sz w:val="12"/>
        </w:rPr>
        <w:t>práctica</w:t>
      </w:r>
      <w:r>
        <w:rPr>
          <w:color w:val="00AC59"/>
          <w:spacing w:val="7"/>
          <w:sz w:val="12"/>
        </w:rPr>
        <w:t xml:space="preserve"> </w:t>
      </w:r>
      <w:r>
        <w:rPr>
          <w:color w:val="00AC59"/>
          <w:sz w:val="12"/>
        </w:rPr>
        <w:t>para</w:t>
      </w:r>
      <w:r>
        <w:rPr>
          <w:color w:val="00AC59"/>
          <w:spacing w:val="8"/>
          <w:sz w:val="12"/>
        </w:rPr>
        <w:t xml:space="preserve"> </w:t>
      </w:r>
      <w:r>
        <w:rPr>
          <w:color w:val="00AC59"/>
          <w:sz w:val="12"/>
        </w:rPr>
        <w:t>desarrollar</w:t>
      </w:r>
      <w:r>
        <w:rPr>
          <w:color w:val="00AC59"/>
          <w:spacing w:val="6"/>
          <w:sz w:val="12"/>
        </w:rPr>
        <w:t xml:space="preserve"> </w:t>
      </w:r>
      <w:r>
        <w:rPr>
          <w:color w:val="00AC59"/>
          <w:sz w:val="12"/>
        </w:rPr>
        <w:t>una</w:t>
      </w:r>
      <w:r>
        <w:rPr>
          <w:color w:val="00AC59"/>
          <w:spacing w:val="7"/>
          <w:sz w:val="12"/>
        </w:rPr>
        <w:t xml:space="preserve"> </w:t>
      </w:r>
      <w:r>
        <w:rPr>
          <w:color w:val="00AC59"/>
          <w:sz w:val="12"/>
        </w:rPr>
        <w:t>legislación</w:t>
      </w:r>
      <w:r>
        <w:rPr>
          <w:color w:val="00AC59"/>
          <w:spacing w:val="8"/>
          <w:sz w:val="12"/>
        </w:rPr>
        <w:t xml:space="preserve"> </w:t>
      </w:r>
      <w:r>
        <w:rPr>
          <w:color w:val="00AC59"/>
          <w:sz w:val="12"/>
        </w:rPr>
        <w:t>integral</w:t>
      </w:r>
      <w:r>
        <w:rPr>
          <w:color w:val="00AC59"/>
          <w:spacing w:val="7"/>
          <w:sz w:val="12"/>
        </w:rPr>
        <w:t xml:space="preserve"> </w:t>
      </w:r>
      <w:r>
        <w:rPr>
          <w:color w:val="00AC59"/>
          <w:sz w:val="12"/>
        </w:rPr>
        <w:t>contra</w:t>
      </w:r>
      <w:r>
        <w:rPr>
          <w:color w:val="00AC59"/>
          <w:spacing w:val="6"/>
          <w:sz w:val="12"/>
        </w:rPr>
        <w:t xml:space="preserve"> </w:t>
      </w:r>
      <w:r>
        <w:rPr>
          <w:color w:val="00AC59"/>
          <w:sz w:val="12"/>
        </w:rPr>
        <w:t>la</w:t>
      </w:r>
      <w:r>
        <w:rPr>
          <w:color w:val="00AC59"/>
          <w:spacing w:val="7"/>
          <w:sz w:val="12"/>
        </w:rPr>
        <w:t xml:space="preserve"> </w:t>
      </w:r>
      <w:r>
        <w:rPr>
          <w:color w:val="00AC59"/>
          <w:spacing w:val="-2"/>
          <w:sz w:val="12"/>
        </w:rPr>
        <w:t>discriminación</w:t>
      </w:r>
    </w:p>
    <w:p w14:paraId="55ABC02B" w14:textId="77777777" w:rsidR="0014798C" w:rsidRDefault="0014798C">
      <w:pPr>
        <w:pStyle w:val="Textoindependiente"/>
        <w:rPr>
          <w:sz w:val="15"/>
        </w:rPr>
      </w:pPr>
    </w:p>
    <w:p w14:paraId="38F807B7" w14:textId="77777777" w:rsidR="0014798C" w:rsidRDefault="0014798C">
      <w:pPr>
        <w:pStyle w:val="Textoindependiente"/>
        <w:rPr>
          <w:sz w:val="15"/>
        </w:rPr>
      </w:pPr>
    </w:p>
    <w:p w14:paraId="1E4CC602" w14:textId="77777777" w:rsidR="0014798C" w:rsidRDefault="0014798C">
      <w:pPr>
        <w:pStyle w:val="Textoindependiente"/>
        <w:rPr>
          <w:sz w:val="15"/>
        </w:rPr>
      </w:pPr>
    </w:p>
    <w:p w14:paraId="0254FBFE" w14:textId="77777777" w:rsidR="0014798C" w:rsidRDefault="0014798C">
      <w:pPr>
        <w:pStyle w:val="Textoindependiente"/>
        <w:rPr>
          <w:sz w:val="15"/>
        </w:rPr>
      </w:pPr>
    </w:p>
    <w:p w14:paraId="1153FAC5" w14:textId="77777777" w:rsidR="0014798C" w:rsidRDefault="0014798C">
      <w:pPr>
        <w:pStyle w:val="Textoindependiente"/>
        <w:spacing w:before="117"/>
        <w:rPr>
          <w:sz w:val="15"/>
        </w:rPr>
      </w:pPr>
    </w:p>
    <w:p w14:paraId="5DC81396" w14:textId="77777777" w:rsidR="0014798C" w:rsidRDefault="004E1F0B">
      <w:pPr>
        <w:pStyle w:val="Prrafodelista"/>
        <w:numPr>
          <w:ilvl w:val="0"/>
          <w:numId w:val="55"/>
        </w:numPr>
        <w:tabs>
          <w:tab w:val="left" w:pos="1515"/>
          <w:tab w:val="left" w:pos="1620"/>
        </w:tabs>
        <w:spacing w:line="348" w:lineRule="auto"/>
        <w:ind w:left="1620" w:right="1485" w:hanging="279"/>
        <w:jc w:val="left"/>
        <w:rPr>
          <w:sz w:val="15"/>
        </w:rPr>
      </w:pPr>
      <w:r>
        <w:rPr>
          <w:noProof/>
        </w:rPr>
        <w:drawing>
          <wp:anchor distT="0" distB="0" distL="0" distR="0" simplePos="0" relativeHeight="251658409" behindDoc="1" locked="0" layoutInCell="1" allowOverlap="1" wp14:anchorId="2E935E5A" wp14:editId="6697666E">
            <wp:simplePos x="0" y="0"/>
            <wp:positionH relativeFrom="page">
              <wp:posOffset>786199</wp:posOffset>
            </wp:positionH>
            <wp:positionV relativeFrom="paragraph">
              <wp:posOffset>-143896</wp:posOffset>
            </wp:positionV>
            <wp:extent cx="5975115" cy="6618708"/>
            <wp:effectExtent l="0" t="0" r="0" b="0"/>
            <wp:wrapNone/>
            <wp:docPr id="164" name="Image 16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64" name="Image 164"/>
                    <pic:cNvPicPr/>
                  </pic:nvPicPr>
                  <pic:blipFill>
                    <a:blip r:embed="rId149" cstate="print"/>
                    <a:stretch>
                      <a:fillRect/>
                    </a:stretch>
                  </pic:blipFill>
                  <pic:spPr>
                    <a:xfrm>
                      <a:off x="0" y="0"/>
                      <a:ext cx="5975115" cy="6618708"/>
                    </a:xfrm>
                    <a:prstGeom prst="rect">
                      <a:avLst/>
                    </a:prstGeom>
                  </pic:spPr>
                </pic:pic>
              </a:graphicData>
            </a:graphic>
          </wp:anchor>
        </w:drawing>
      </w:r>
      <w:r>
        <w:rPr>
          <w:w w:val="105"/>
          <w:sz w:val="15"/>
        </w:rPr>
        <w:t>Los</w:t>
      </w:r>
      <w:r>
        <w:rPr>
          <w:spacing w:val="-1"/>
          <w:w w:val="105"/>
          <w:sz w:val="15"/>
        </w:rPr>
        <w:t xml:space="preserve"> </w:t>
      </w:r>
      <w:r>
        <w:rPr>
          <w:w w:val="105"/>
          <w:sz w:val="15"/>
        </w:rPr>
        <w:t>órganos</w:t>
      </w:r>
      <w:r>
        <w:rPr>
          <w:spacing w:val="-2"/>
          <w:w w:val="105"/>
          <w:sz w:val="15"/>
        </w:rPr>
        <w:t xml:space="preserve"> </w:t>
      </w:r>
      <w:r>
        <w:rPr>
          <w:w w:val="105"/>
          <w:sz w:val="15"/>
        </w:rPr>
        <w:t>legislativos, ejecutivos,</w:t>
      </w:r>
      <w:r>
        <w:rPr>
          <w:spacing w:val="-1"/>
          <w:w w:val="105"/>
          <w:sz w:val="15"/>
        </w:rPr>
        <w:t xml:space="preserve"> </w:t>
      </w:r>
      <w:r>
        <w:rPr>
          <w:w w:val="105"/>
          <w:sz w:val="15"/>
        </w:rPr>
        <w:t>judiciales</w:t>
      </w:r>
      <w:r>
        <w:rPr>
          <w:spacing w:val="-2"/>
          <w:w w:val="105"/>
          <w:sz w:val="15"/>
        </w:rPr>
        <w:t xml:space="preserve"> </w:t>
      </w:r>
      <w:r>
        <w:rPr>
          <w:w w:val="105"/>
          <w:sz w:val="15"/>
        </w:rPr>
        <w:t>de</w:t>
      </w:r>
      <w:r>
        <w:rPr>
          <w:spacing w:val="-1"/>
          <w:w w:val="105"/>
          <w:sz w:val="15"/>
        </w:rPr>
        <w:t xml:space="preserve"> </w:t>
      </w:r>
      <w:r>
        <w:rPr>
          <w:w w:val="105"/>
          <w:sz w:val="15"/>
        </w:rPr>
        <w:t>todos</w:t>
      </w:r>
      <w:r>
        <w:rPr>
          <w:spacing w:val="-2"/>
          <w:w w:val="105"/>
          <w:sz w:val="15"/>
        </w:rPr>
        <w:t xml:space="preserve"> </w:t>
      </w:r>
      <w:r>
        <w:rPr>
          <w:w w:val="105"/>
          <w:sz w:val="15"/>
        </w:rPr>
        <w:t>los</w:t>
      </w:r>
      <w:r>
        <w:rPr>
          <w:spacing w:val="-1"/>
          <w:w w:val="105"/>
          <w:sz w:val="15"/>
        </w:rPr>
        <w:t xml:space="preserve"> </w:t>
      </w:r>
      <w:r>
        <w:rPr>
          <w:w w:val="105"/>
          <w:sz w:val="15"/>
        </w:rPr>
        <w:t>niveles</w:t>
      </w:r>
      <w:r>
        <w:rPr>
          <w:spacing w:val="-2"/>
          <w:w w:val="105"/>
          <w:sz w:val="15"/>
        </w:rPr>
        <w:t xml:space="preserve"> </w:t>
      </w:r>
      <w:r>
        <w:rPr>
          <w:w w:val="105"/>
          <w:sz w:val="15"/>
        </w:rPr>
        <w:t>y</w:t>
      </w:r>
      <w:r>
        <w:rPr>
          <w:spacing w:val="-1"/>
          <w:w w:val="105"/>
          <w:sz w:val="15"/>
        </w:rPr>
        <w:t xml:space="preserve"> </w:t>
      </w:r>
      <w:r>
        <w:rPr>
          <w:w w:val="105"/>
          <w:sz w:val="15"/>
        </w:rPr>
        <w:t>otras</w:t>
      </w:r>
      <w:r>
        <w:rPr>
          <w:spacing w:val="-2"/>
          <w:w w:val="105"/>
          <w:sz w:val="15"/>
        </w:rPr>
        <w:t xml:space="preserve"> </w:t>
      </w:r>
      <w:r>
        <w:rPr>
          <w:w w:val="105"/>
          <w:sz w:val="15"/>
        </w:rPr>
        <w:t>instituciones</w:t>
      </w:r>
      <w:r>
        <w:rPr>
          <w:spacing w:val="-2"/>
          <w:w w:val="105"/>
          <w:sz w:val="15"/>
        </w:rPr>
        <w:t xml:space="preserve"> </w:t>
      </w:r>
      <w:r>
        <w:rPr>
          <w:w w:val="105"/>
          <w:sz w:val="15"/>
        </w:rPr>
        <w:t>públicas</w:t>
      </w:r>
      <w:r>
        <w:rPr>
          <w:spacing w:val="-2"/>
          <w:w w:val="105"/>
          <w:sz w:val="15"/>
        </w:rPr>
        <w:t xml:space="preserve"> </w:t>
      </w:r>
      <w:r>
        <w:rPr>
          <w:w w:val="105"/>
          <w:sz w:val="15"/>
        </w:rPr>
        <w:t>estarán</w:t>
      </w:r>
      <w:r>
        <w:rPr>
          <w:spacing w:val="-2"/>
          <w:w w:val="105"/>
          <w:sz w:val="15"/>
        </w:rPr>
        <w:t xml:space="preserve"> </w:t>
      </w:r>
      <w:r>
        <w:rPr>
          <w:w w:val="105"/>
          <w:sz w:val="15"/>
        </w:rPr>
        <w:t>obligados</w:t>
      </w:r>
      <w:r>
        <w:rPr>
          <w:spacing w:val="-2"/>
          <w:w w:val="105"/>
          <w:sz w:val="15"/>
        </w:rPr>
        <w:t xml:space="preserve"> </w:t>
      </w:r>
      <w:r>
        <w:rPr>
          <w:w w:val="105"/>
          <w:sz w:val="15"/>
        </w:rPr>
        <w:t>a</w:t>
      </w:r>
      <w:r>
        <w:rPr>
          <w:spacing w:val="-1"/>
          <w:w w:val="105"/>
          <w:sz w:val="15"/>
        </w:rPr>
        <w:t xml:space="preserve"> </w:t>
      </w:r>
      <w:r>
        <w:rPr>
          <w:w w:val="105"/>
          <w:sz w:val="15"/>
        </w:rPr>
        <w:t>adoptar e implementar medidas especiales para aumentar la representación del género subrepresentado, hasta lograr la igualdad de representación de mujeres y hombres de conformidad con esta Ley.</w:t>
      </w:r>
    </w:p>
    <w:p w14:paraId="5FA43EED" w14:textId="77777777" w:rsidR="0014798C" w:rsidRDefault="004E1F0B">
      <w:pPr>
        <w:pStyle w:val="Prrafodelista"/>
        <w:numPr>
          <w:ilvl w:val="0"/>
          <w:numId w:val="55"/>
        </w:numPr>
        <w:tabs>
          <w:tab w:val="left" w:pos="1516"/>
          <w:tab w:val="left" w:pos="1617"/>
        </w:tabs>
        <w:spacing w:before="113" w:line="348" w:lineRule="auto"/>
        <w:ind w:right="1458" w:hanging="275"/>
        <w:jc w:val="left"/>
        <w:rPr>
          <w:sz w:val="15"/>
        </w:rPr>
      </w:pPr>
      <w:r>
        <w:rPr>
          <w:w w:val="105"/>
          <w:sz w:val="15"/>
        </w:rPr>
        <w:t>La</w:t>
      </w:r>
      <w:r>
        <w:rPr>
          <w:spacing w:val="-1"/>
          <w:w w:val="105"/>
          <w:sz w:val="15"/>
        </w:rPr>
        <w:t xml:space="preserve"> </w:t>
      </w:r>
      <w:r>
        <w:rPr>
          <w:w w:val="105"/>
          <w:sz w:val="15"/>
        </w:rPr>
        <w:t>representación</w:t>
      </w:r>
      <w:r>
        <w:rPr>
          <w:spacing w:val="-1"/>
          <w:w w:val="105"/>
          <w:sz w:val="15"/>
        </w:rPr>
        <w:t xml:space="preserve"> </w:t>
      </w:r>
      <w:r>
        <w:rPr>
          <w:w w:val="105"/>
          <w:sz w:val="15"/>
        </w:rPr>
        <w:t>igualitaria</w:t>
      </w:r>
      <w:r>
        <w:rPr>
          <w:spacing w:val="-2"/>
          <w:w w:val="105"/>
          <w:sz w:val="15"/>
        </w:rPr>
        <w:t xml:space="preserve"> </w:t>
      </w:r>
      <w:r>
        <w:rPr>
          <w:w w:val="105"/>
          <w:sz w:val="15"/>
        </w:rPr>
        <w:t>de</w:t>
      </w:r>
      <w:r>
        <w:rPr>
          <w:spacing w:val="-1"/>
          <w:w w:val="105"/>
          <w:sz w:val="15"/>
        </w:rPr>
        <w:t xml:space="preserve"> </w:t>
      </w:r>
      <w:r>
        <w:rPr>
          <w:w w:val="105"/>
          <w:sz w:val="15"/>
        </w:rPr>
        <w:t>género</w:t>
      </w:r>
      <w:r>
        <w:rPr>
          <w:spacing w:val="-1"/>
          <w:w w:val="105"/>
          <w:sz w:val="15"/>
        </w:rPr>
        <w:t xml:space="preserve"> </w:t>
      </w:r>
      <w:r>
        <w:rPr>
          <w:w w:val="105"/>
          <w:sz w:val="15"/>
        </w:rPr>
        <w:t>en</w:t>
      </w:r>
      <w:r>
        <w:rPr>
          <w:spacing w:val="-1"/>
          <w:w w:val="105"/>
          <w:sz w:val="15"/>
        </w:rPr>
        <w:t xml:space="preserve"> </w:t>
      </w:r>
      <w:r>
        <w:rPr>
          <w:w w:val="105"/>
          <w:sz w:val="15"/>
        </w:rPr>
        <w:t>todos</w:t>
      </w:r>
      <w:r>
        <w:rPr>
          <w:spacing w:val="-2"/>
          <w:w w:val="105"/>
          <w:sz w:val="15"/>
        </w:rPr>
        <w:t xml:space="preserve"> </w:t>
      </w:r>
      <w:r>
        <w:rPr>
          <w:w w:val="105"/>
          <w:sz w:val="15"/>
        </w:rPr>
        <w:t>los</w:t>
      </w:r>
      <w:r>
        <w:rPr>
          <w:spacing w:val="-1"/>
          <w:w w:val="105"/>
          <w:sz w:val="15"/>
        </w:rPr>
        <w:t xml:space="preserve"> </w:t>
      </w:r>
      <w:r>
        <w:rPr>
          <w:w w:val="105"/>
          <w:sz w:val="15"/>
        </w:rPr>
        <w:t>órganos</w:t>
      </w:r>
      <w:r>
        <w:rPr>
          <w:spacing w:val="-2"/>
          <w:w w:val="105"/>
          <w:sz w:val="15"/>
        </w:rPr>
        <w:t xml:space="preserve"> </w:t>
      </w:r>
      <w:r>
        <w:rPr>
          <w:w w:val="105"/>
          <w:sz w:val="15"/>
        </w:rPr>
        <w:t>legislativos, ejecutivos</w:t>
      </w:r>
      <w:r>
        <w:rPr>
          <w:spacing w:val="-2"/>
          <w:w w:val="105"/>
          <w:sz w:val="15"/>
        </w:rPr>
        <w:t xml:space="preserve"> </w:t>
      </w:r>
      <w:r>
        <w:rPr>
          <w:w w:val="105"/>
          <w:sz w:val="15"/>
        </w:rPr>
        <w:t>y</w:t>
      </w:r>
      <w:r>
        <w:rPr>
          <w:spacing w:val="-1"/>
          <w:w w:val="105"/>
          <w:sz w:val="15"/>
        </w:rPr>
        <w:t xml:space="preserve"> </w:t>
      </w:r>
      <w:r>
        <w:rPr>
          <w:w w:val="105"/>
          <w:sz w:val="15"/>
        </w:rPr>
        <w:t>judiciales</w:t>
      </w:r>
      <w:r>
        <w:rPr>
          <w:spacing w:val="-2"/>
          <w:w w:val="105"/>
          <w:sz w:val="15"/>
        </w:rPr>
        <w:t xml:space="preserve"> </w:t>
      </w:r>
      <w:r>
        <w:rPr>
          <w:w w:val="105"/>
          <w:sz w:val="15"/>
        </w:rPr>
        <w:t>y</w:t>
      </w:r>
      <w:r>
        <w:rPr>
          <w:spacing w:val="-1"/>
          <w:w w:val="105"/>
          <w:sz w:val="15"/>
        </w:rPr>
        <w:t xml:space="preserve"> </w:t>
      </w:r>
      <w:r>
        <w:rPr>
          <w:w w:val="105"/>
          <w:sz w:val="15"/>
        </w:rPr>
        <w:t>otras</w:t>
      </w:r>
      <w:r>
        <w:rPr>
          <w:spacing w:val="-2"/>
          <w:w w:val="105"/>
          <w:sz w:val="15"/>
        </w:rPr>
        <w:t xml:space="preserve"> </w:t>
      </w:r>
      <w:r>
        <w:rPr>
          <w:w w:val="105"/>
          <w:sz w:val="15"/>
        </w:rPr>
        <w:t>instituciones</w:t>
      </w:r>
      <w:r>
        <w:rPr>
          <w:spacing w:val="-2"/>
          <w:w w:val="105"/>
          <w:sz w:val="15"/>
        </w:rPr>
        <w:t xml:space="preserve"> </w:t>
      </w:r>
      <w:r>
        <w:rPr>
          <w:w w:val="105"/>
          <w:sz w:val="15"/>
        </w:rPr>
        <w:t>públicas se logra cuando se garantiza una representación mínima del cincuenta por ciento (50%) para cada género, incluidos sus órganos de gobierno y de toma de decisiones.</w:t>
      </w:r>
    </w:p>
    <w:p w14:paraId="3B0EF758" w14:textId="77777777" w:rsidR="0014798C" w:rsidRDefault="0014798C">
      <w:pPr>
        <w:pStyle w:val="Textoindependiente"/>
        <w:spacing w:before="241"/>
        <w:rPr>
          <w:sz w:val="23"/>
        </w:rPr>
      </w:pPr>
    </w:p>
    <w:p w14:paraId="4833BE5D" w14:textId="77777777" w:rsidR="0014798C" w:rsidRDefault="004E1F0B">
      <w:pPr>
        <w:numPr>
          <w:ilvl w:val="1"/>
          <w:numId w:val="3"/>
        </w:numPr>
        <w:tabs>
          <w:tab w:val="left" w:pos="1400"/>
        </w:tabs>
        <w:ind w:left="1400" w:hanging="291"/>
        <w:rPr>
          <w:color w:val="00AC59"/>
          <w:sz w:val="23"/>
        </w:rPr>
      </w:pPr>
      <w:r>
        <w:rPr>
          <w:color w:val="00AC59"/>
          <w:sz w:val="23"/>
        </w:rPr>
        <w:t>Deberes</w:t>
      </w:r>
      <w:r>
        <w:rPr>
          <w:color w:val="00AC59"/>
          <w:spacing w:val="-2"/>
          <w:sz w:val="23"/>
        </w:rPr>
        <w:t xml:space="preserve"> </w:t>
      </w:r>
      <w:r>
        <w:rPr>
          <w:color w:val="00AC59"/>
          <w:sz w:val="23"/>
        </w:rPr>
        <w:t>de</w:t>
      </w:r>
      <w:r>
        <w:rPr>
          <w:color w:val="00AC59"/>
          <w:spacing w:val="-1"/>
          <w:sz w:val="23"/>
        </w:rPr>
        <w:t xml:space="preserve"> </w:t>
      </w:r>
      <w:r>
        <w:rPr>
          <w:color w:val="00AC59"/>
          <w:spacing w:val="-2"/>
          <w:sz w:val="23"/>
        </w:rPr>
        <w:t>igualdad</w:t>
      </w:r>
    </w:p>
    <w:p w14:paraId="041AD5FF" w14:textId="77777777" w:rsidR="0014798C" w:rsidRDefault="0014798C">
      <w:pPr>
        <w:pStyle w:val="Textoindependiente"/>
        <w:spacing w:before="78"/>
        <w:rPr>
          <w:sz w:val="15"/>
        </w:rPr>
      </w:pPr>
    </w:p>
    <w:p w14:paraId="149053CF" w14:textId="77777777" w:rsidR="0014798C" w:rsidRDefault="004E1F0B">
      <w:pPr>
        <w:spacing w:before="1" w:line="348" w:lineRule="auto"/>
        <w:ind w:left="1108" w:right="1335" w:hanging="2"/>
        <w:rPr>
          <w:sz w:val="15"/>
        </w:rPr>
      </w:pPr>
      <w:r>
        <w:rPr>
          <w:w w:val="105"/>
          <w:sz w:val="15"/>
        </w:rPr>
        <w:t>Además de garantizar la prohibición integral y efectiva de todas las formas de discriminación y exigir y exigir medidas positivas para abordar las desigualdades sustantivas, los Estados tienen otros deberes proactivos para eliminar la discriminación y garantizar la igualdad de participación. En particular, el artículo 9 de la Convención sobre los Derechos de las Personas con Discapacidad establece el deber de garantizar la accesibilidad al medio ambiente, el transporte, los servicios, las instalaciones y la información y las</w:t>
      </w:r>
      <w:r>
        <w:rPr>
          <w:spacing w:val="-1"/>
          <w:w w:val="105"/>
          <w:sz w:val="15"/>
        </w:rPr>
        <w:t xml:space="preserve"> </w:t>
      </w:r>
      <w:r>
        <w:rPr>
          <w:w w:val="105"/>
          <w:sz w:val="15"/>
        </w:rPr>
        <w:t>comunicaciones</w:t>
      </w:r>
      <w:r>
        <w:rPr>
          <w:spacing w:val="-2"/>
          <w:w w:val="105"/>
          <w:sz w:val="15"/>
        </w:rPr>
        <w:t xml:space="preserve"> </w:t>
      </w:r>
      <w:r>
        <w:rPr>
          <w:w w:val="105"/>
          <w:sz w:val="15"/>
        </w:rPr>
        <w:t>para</w:t>
      </w:r>
      <w:r>
        <w:rPr>
          <w:spacing w:val="-1"/>
          <w:w w:val="105"/>
          <w:sz w:val="15"/>
        </w:rPr>
        <w:t xml:space="preserve"> </w:t>
      </w:r>
      <w:r>
        <w:rPr>
          <w:w w:val="105"/>
          <w:sz w:val="15"/>
        </w:rPr>
        <w:t>las</w:t>
      </w:r>
      <w:r>
        <w:rPr>
          <w:spacing w:val="-1"/>
          <w:w w:val="105"/>
          <w:sz w:val="15"/>
        </w:rPr>
        <w:t xml:space="preserve"> </w:t>
      </w:r>
      <w:r>
        <w:rPr>
          <w:w w:val="105"/>
          <w:sz w:val="15"/>
        </w:rPr>
        <w:t>personas</w:t>
      </w:r>
      <w:r>
        <w:rPr>
          <w:spacing w:val="-2"/>
          <w:w w:val="105"/>
          <w:sz w:val="15"/>
        </w:rPr>
        <w:t xml:space="preserve"> </w:t>
      </w:r>
      <w:r>
        <w:rPr>
          <w:w w:val="105"/>
          <w:sz w:val="15"/>
        </w:rPr>
        <w:t>con</w:t>
      </w:r>
      <w:r>
        <w:rPr>
          <w:spacing w:val="-1"/>
          <w:w w:val="105"/>
          <w:sz w:val="15"/>
        </w:rPr>
        <w:t xml:space="preserve"> </w:t>
      </w:r>
      <w:r>
        <w:rPr>
          <w:w w:val="105"/>
          <w:sz w:val="15"/>
        </w:rPr>
        <w:t>discapacidad. La</w:t>
      </w:r>
      <w:r>
        <w:rPr>
          <w:spacing w:val="-1"/>
          <w:w w:val="105"/>
          <w:sz w:val="15"/>
        </w:rPr>
        <w:t xml:space="preserve"> </w:t>
      </w:r>
      <w:r>
        <w:rPr>
          <w:w w:val="105"/>
          <w:sz w:val="15"/>
        </w:rPr>
        <w:t>adopción</w:t>
      </w:r>
      <w:r>
        <w:rPr>
          <w:spacing w:val="-1"/>
          <w:w w:val="105"/>
          <w:sz w:val="15"/>
        </w:rPr>
        <w:t xml:space="preserve"> </w:t>
      </w:r>
      <w:r>
        <w:rPr>
          <w:w w:val="105"/>
          <w:sz w:val="15"/>
        </w:rPr>
        <w:t>de</w:t>
      </w:r>
      <w:r>
        <w:rPr>
          <w:spacing w:val="-1"/>
          <w:w w:val="105"/>
          <w:sz w:val="15"/>
        </w:rPr>
        <w:t xml:space="preserve"> </w:t>
      </w:r>
      <w:r>
        <w:rPr>
          <w:w w:val="105"/>
          <w:sz w:val="15"/>
        </w:rPr>
        <w:t>esta</w:t>
      </w:r>
      <w:r>
        <w:rPr>
          <w:spacing w:val="-2"/>
          <w:w w:val="105"/>
          <w:sz w:val="15"/>
        </w:rPr>
        <w:t xml:space="preserve"> </w:t>
      </w:r>
      <w:r>
        <w:rPr>
          <w:w w:val="105"/>
          <w:sz w:val="15"/>
        </w:rPr>
        <w:t>norma</w:t>
      </w:r>
      <w:r>
        <w:rPr>
          <w:spacing w:val="-1"/>
          <w:w w:val="105"/>
          <w:sz w:val="15"/>
        </w:rPr>
        <w:t xml:space="preserve"> </w:t>
      </w:r>
      <w:r>
        <w:rPr>
          <w:w w:val="105"/>
          <w:sz w:val="15"/>
        </w:rPr>
        <w:t>ha</w:t>
      </w:r>
      <w:r>
        <w:rPr>
          <w:spacing w:val="-1"/>
          <w:w w:val="105"/>
          <w:sz w:val="15"/>
        </w:rPr>
        <w:t xml:space="preserve"> </w:t>
      </w:r>
      <w:r>
        <w:rPr>
          <w:w w:val="105"/>
          <w:sz w:val="15"/>
        </w:rPr>
        <w:t>llevado</w:t>
      </w:r>
      <w:r>
        <w:rPr>
          <w:spacing w:val="-1"/>
          <w:w w:val="105"/>
          <w:sz w:val="15"/>
        </w:rPr>
        <w:t xml:space="preserve"> </w:t>
      </w:r>
      <w:r>
        <w:rPr>
          <w:w w:val="105"/>
          <w:sz w:val="15"/>
        </w:rPr>
        <w:t>a</w:t>
      </w:r>
      <w:r>
        <w:rPr>
          <w:spacing w:val="-1"/>
          <w:w w:val="105"/>
          <w:sz w:val="15"/>
        </w:rPr>
        <w:t xml:space="preserve"> </w:t>
      </w:r>
      <w:r>
        <w:rPr>
          <w:w w:val="105"/>
          <w:sz w:val="15"/>
        </w:rPr>
        <w:t>una</w:t>
      </w:r>
      <w:r>
        <w:rPr>
          <w:spacing w:val="-1"/>
          <w:w w:val="105"/>
          <w:sz w:val="15"/>
        </w:rPr>
        <w:t xml:space="preserve"> </w:t>
      </w:r>
      <w:r>
        <w:rPr>
          <w:w w:val="105"/>
          <w:sz w:val="15"/>
        </w:rPr>
        <w:t>comprensión</w:t>
      </w:r>
      <w:r>
        <w:rPr>
          <w:spacing w:val="-1"/>
          <w:w w:val="105"/>
          <w:sz w:val="15"/>
        </w:rPr>
        <w:t xml:space="preserve"> </w:t>
      </w:r>
      <w:r>
        <w:rPr>
          <w:w w:val="105"/>
          <w:sz w:val="15"/>
        </w:rPr>
        <w:t>cada</w:t>
      </w:r>
      <w:r>
        <w:rPr>
          <w:spacing w:val="-1"/>
          <w:w w:val="105"/>
          <w:sz w:val="15"/>
        </w:rPr>
        <w:t xml:space="preserve"> </w:t>
      </w:r>
      <w:r>
        <w:rPr>
          <w:w w:val="105"/>
          <w:sz w:val="15"/>
        </w:rPr>
        <w:t>vez</w:t>
      </w:r>
      <w:r>
        <w:rPr>
          <w:spacing w:val="-1"/>
          <w:w w:val="105"/>
          <w:sz w:val="15"/>
        </w:rPr>
        <w:t xml:space="preserve"> </w:t>
      </w:r>
      <w:r>
        <w:rPr>
          <w:w w:val="105"/>
          <w:sz w:val="15"/>
        </w:rPr>
        <w:t>mayor de que las obligaciones de garantizar la igualdad de acceso de las personas expuestas a discriminación por otros motivos son inherentes a los derechos establecidos por el Pacto Internacional de Derechos Civiles y Políticos y el Pacto Internacional de Derechos Económicos, Derechos Sociales y Culturales, entre otros.</w:t>
      </w:r>
    </w:p>
    <w:p w14:paraId="7FEBDA34" w14:textId="77777777" w:rsidR="0014798C" w:rsidRDefault="004E1F0B">
      <w:pPr>
        <w:spacing w:line="348" w:lineRule="auto"/>
        <w:ind w:left="1109" w:right="1400" w:hanging="2"/>
        <w:rPr>
          <w:sz w:val="15"/>
        </w:rPr>
      </w:pPr>
      <w:r>
        <w:rPr>
          <w:w w:val="105"/>
          <w:sz w:val="15"/>
        </w:rPr>
        <w:t>Por otra parte, un número cada vez mayor de Estados ha adoptado deberes estatutarios de igualdad (un marco legal a través del cual</w:t>
      </w:r>
      <w:r>
        <w:rPr>
          <w:spacing w:val="-1"/>
          <w:w w:val="105"/>
          <w:sz w:val="15"/>
        </w:rPr>
        <w:t xml:space="preserve"> </w:t>
      </w:r>
      <w:r>
        <w:rPr>
          <w:w w:val="105"/>
          <w:sz w:val="15"/>
        </w:rPr>
        <w:t>la</w:t>
      </w:r>
      <w:r>
        <w:rPr>
          <w:spacing w:val="-1"/>
          <w:w w:val="105"/>
          <w:sz w:val="15"/>
        </w:rPr>
        <w:t xml:space="preserve"> </w:t>
      </w:r>
      <w:r>
        <w:rPr>
          <w:w w:val="105"/>
          <w:sz w:val="15"/>
        </w:rPr>
        <w:t>consideración</w:t>
      </w:r>
      <w:r>
        <w:rPr>
          <w:spacing w:val="-1"/>
          <w:w w:val="105"/>
          <w:sz w:val="15"/>
        </w:rPr>
        <w:t xml:space="preserve"> </w:t>
      </w:r>
      <w:r>
        <w:rPr>
          <w:w w:val="105"/>
          <w:sz w:val="15"/>
        </w:rPr>
        <w:t>de</w:t>
      </w:r>
      <w:r>
        <w:rPr>
          <w:spacing w:val="-1"/>
          <w:w w:val="105"/>
          <w:sz w:val="15"/>
        </w:rPr>
        <w:t xml:space="preserve"> </w:t>
      </w:r>
      <w:r>
        <w:rPr>
          <w:w w:val="105"/>
          <w:sz w:val="15"/>
        </w:rPr>
        <w:t>los</w:t>
      </w:r>
      <w:r>
        <w:rPr>
          <w:spacing w:val="-1"/>
          <w:w w:val="105"/>
          <w:sz w:val="15"/>
        </w:rPr>
        <w:t xml:space="preserve"> </w:t>
      </w:r>
      <w:r>
        <w:rPr>
          <w:w w:val="105"/>
          <w:sz w:val="15"/>
        </w:rPr>
        <w:t>derechos</w:t>
      </w:r>
      <w:r>
        <w:rPr>
          <w:spacing w:val="-2"/>
          <w:w w:val="105"/>
          <w:sz w:val="15"/>
        </w:rPr>
        <w:t xml:space="preserve"> </w:t>
      </w:r>
      <w:r>
        <w:rPr>
          <w:w w:val="105"/>
          <w:sz w:val="15"/>
        </w:rPr>
        <w:t>a</w:t>
      </w:r>
      <w:r>
        <w:rPr>
          <w:spacing w:val="-1"/>
          <w:w w:val="105"/>
          <w:sz w:val="15"/>
        </w:rPr>
        <w:t xml:space="preserve"> </w:t>
      </w:r>
      <w:r>
        <w:rPr>
          <w:w w:val="105"/>
          <w:sz w:val="15"/>
        </w:rPr>
        <w:t>la</w:t>
      </w:r>
      <w:r>
        <w:rPr>
          <w:spacing w:val="-1"/>
          <w:w w:val="105"/>
          <w:sz w:val="15"/>
        </w:rPr>
        <w:t xml:space="preserve"> </w:t>
      </w:r>
      <w:r>
        <w:rPr>
          <w:w w:val="105"/>
          <w:sz w:val="15"/>
        </w:rPr>
        <w:t>igualdad</w:t>
      </w:r>
      <w:r>
        <w:rPr>
          <w:spacing w:val="-1"/>
          <w:w w:val="105"/>
          <w:sz w:val="15"/>
        </w:rPr>
        <w:t xml:space="preserve"> </w:t>
      </w:r>
      <w:r>
        <w:rPr>
          <w:w w:val="105"/>
          <w:sz w:val="15"/>
        </w:rPr>
        <w:t>y</w:t>
      </w:r>
      <w:r>
        <w:rPr>
          <w:spacing w:val="-1"/>
          <w:w w:val="105"/>
          <w:sz w:val="15"/>
        </w:rPr>
        <w:t xml:space="preserve"> </w:t>
      </w:r>
      <w:r>
        <w:rPr>
          <w:w w:val="105"/>
          <w:sz w:val="15"/>
        </w:rPr>
        <w:t>la</w:t>
      </w:r>
      <w:r>
        <w:rPr>
          <w:spacing w:val="-1"/>
          <w:w w:val="105"/>
          <w:sz w:val="15"/>
        </w:rPr>
        <w:t xml:space="preserve"> </w:t>
      </w:r>
      <w:r>
        <w:rPr>
          <w:w w:val="105"/>
          <w:sz w:val="15"/>
        </w:rPr>
        <w:t>no</w:t>
      </w:r>
      <w:r>
        <w:rPr>
          <w:spacing w:val="-1"/>
          <w:w w:val="105"/>
          <w:sz w:val="15"/>
        </w:rPr>
        <w:t xml:space="preserve"> </w:t>
      </w:r>
      <w:r>
        <w:rPr>
          <w:w w:val="105"/>
          <w:sz w:val="15"/>
        </w:rPr>
        <w:t>discriminación</w:t>
      </w:r>
      <w:r>
        <w:rPr>
          <w:spacing w:val="-1"/>
          <w:w w:val="105"/>
          <w:sz w:val="15"/>
        </w:rPr>
        <w:t xml:space="preserve"> </w:t>
      </w:r>
      <w:r>
        <w:rPr>
          <w:w w:val="105"/>
          <w:sz w:val="15"/>
        </w:rPr>
        <w:t>se</w:t>
      </w:r>
      <w:r>
        <w:rPr>
          <w:spacing w:val="-1"/>
          <w:w w:val="105"/>
          <w:sz w:val="15"/>
        </w:rPr>
        <w:t xml:space="preserve"> </w:t>
      </w:r>
      <w:r>
        <w:rPr>
          <w:w w:val="105"/>
          <w:sz w:val="15"/>
        </w:rPr>
        <w:t>integra</w:t>
      </w:r>
      <w:r>
        <w:rPr>
          <w:spacing w:val="-2"/>
          <w:w w:val="105"/>
          <w:sz w:val="15"/>
        </w:rPr>
        <w:t xml:space="preserve"> </w:t>
      </w:r>
      <w:r>
        <w:rPr>
          <w:w w:val="105"/>
          <w:sz w:val="15"/>
        </w:rPr>
        <w:t>en</w:t>
      </w:r>
      <w:r>
        <w:rPr>
          <w:spacing w:val="-1"/>
          <w:w w:val="105"/>
          <w:sz w:val="15"/>
        </w:rPr>
        <w:t xml:space="preserve"> </w:t>
      </w:r>
      <w:r>
        <w:rPr>
          <w:w w:val="105"/>
          <w:sz w:val="15"/>
        </w:rPr>
        <w:t>los</w:t>
      </w:r>
      <w:r>
        <w:rPr>
          <w:spacing w:val="-1"/>
          <w:w w:val="105"/>
          <w:sz w:val="15"/>
        </w:rPr>
        <w:t xml:space="preserve"> </w:t>
      </w:r>
      <w:r>
        <w:rPr>
          <w:w w:val="105"/>
          <w:sz w:val="15"/>
        </w:rPr>
        <w:t>procesos</w:t>
      </w:r>
      <w:r>
        <w:rPr>
          <w:spacing w:val="-2"/>
          <w:w w:val="105"/>
          <w:sz w:val="15"/>
        </w:rPr>
        <w:t xml:space="preserve"> </w:t>
      </w:r>
      <w:r>
        <w:rPr>
          <w:w w:val="105"/>
          <w:sz w:val="15"/>
        </w:rPr>
        <w:t>de</w:t>
      </w:r>
      <w:r>
        <w:rPr>
          <w:spacing w:val="-1"/>
          <w:w w:val="105"/>
          <w:sz w:val="15"/>
        </w:rPr>
        <w:t xml:space="preserve"> </w:t>
      </w:r>
      <w:r>
        <w:rPr>
          <w:w w:val="105"/>
          <w:sz w:val="15"/>
        </w:rPr>
        <w:t>toma</w:t>
      </w:r>
      <w:r>
        <w:rPr>
          <w:spacing w:val="-2"/>
          <w:w w:val="105"/>
          <w:sz w:val="15"/>
        </w:rPr>
        <w:t xml:space="preserve"> </w:t>
      </w:r>
      <w:r>
        <w:rPr>
          <w:w w:val="105"/>
          <w:sz w:val="15"/>
        </w:rPr>
        <w:t>de</w:t>
      </w:r>
      <w:r>
        <w:rPr>
          <w:spacing w:val="-1"/>
          <w:w w:val="105"/>
          <w:sz w:val="15"/>
        </w:rPr>
        <w:t xml:space="preserve"> </w:t>
      </w:r>
      <w:r>
        <w:rPr>
          <w:w w:val="105"/>
          <w:sz w:val="15"/>
        </w:rPr>
        <w:t>decisiones)</w:t>
      </w:r>
      <w:r>
        <w:rPr>
          <w:spacing w:val="-2"/>
          <w:w w:val="105"/>
          <w:sz w:val="15"/>
        </w:rPr>
        <w:t xml:space="preserve"> </w:t>
      </w:r>
      <w:r>
        <w:rPr>
          <w:w w:val="105"/>
          <w:sz w:val="15"/>
        </w:rPr>
        <w:t>como medio para garantizar el cumplimiento de sus obligaciones de derecho internacional</w:t>
      </w:r>
      <w:proofErr w:type="gramStart"/>
      <w:r>
        <w:rPr>
          <w:w w:val="105"/>
          <w:sz w:val="15"/>
        </w:rPr>
        <w:t>. .</w:t>
      </w:r>
      <w:proofErr w:type="gramEnd"/>
    </w:p>
    <w:p w14:paraId="161EEAF7" w14:textId="77777777" w:rsidR="0014798C" w:rsidRDefault="004E1F0B">
      <w:pPr>
        <w:numPr>
          <w:ilvl w:val="0"/>
          <w:numId w:val="54"/>
        </w:numPr>
        <w:tabs>
          <w:tab w:val="left" w:pos="1402"/>
        </w:tabs>
        <w:spacing w:before="265"/>
        <w:ind w:left="1402" w:hanging="267"/>
        <w:rPr>
          <w:color w:val="00AC59"/>
          <w:sz w:val="24"/>
        </w:rPr>
      </w:pPr>
      <w:r>
        <w:rPr>
          <w:color w:val="00AC59"/>
          <w:spacing w:val="-2"/>
          <w:sz w:val="24"/>
        </w:rPr>
        <w:t>Accesibilidad</w:t>
      </w:r>
    </w:p>
    <w:p w14:paraId="3B28B2C3" w14:textId="77777777" w:rsidR="0014798C" w:rsidRDefault="0014798C">
      <w:pPr>
        <w:pStyle w:val="Textoindependiente"/>
        <w:rPr>
          <w:sz w:val="15"/>
        </w:rPr>
      </w:pPr>
    </w:p>
    <w:p w14:paraId="235EC30D" w14:textId="77777777" w:rsidR="0014798C" w:rsidRDefault="0014798C">
      <w:pPr>
        <w:pStyle w:val="Textoindependiente"/>
        <w:spacing w:before="47"/>
        <w:rPr>
          <w:sz w:val="15"/>
        </w:rPr>
      </w:pPr>
    </w:p>
    <w:p w14:paraId="056D85E5" w14:textId="77777777" w:rsidR="0014798C" w:rsidRDefault="004E1F0B">
      <w:pPr>
        <w:ind w:left="1335"/>
        <w:rPr>
          <w:sz w:val="15"/>
        </w:rPr>
      </w:pPr>
      <w:r>
        <w:rPr>
          <w:color w:val="FFFFFF"/>
          <w:spacing w:val="-2"/>
          <w:w w:val="105"/>
          <w:sz w:val="15"/>
        </w:rPr>
        <w:t>RESUMEN</w:t>
      </w:r>
    </w:p>
    <w:p w14:paraId="55B65032" w14:textId="77777777" w:rsidR="0014798C" w:rsidRDefault="0014798C">
      <w:pPr>
        <w:pStyle w:val="Textoindependiente"/>
        <w:rPr>
          <w:sz w:val="15"/>
        </w:rPr>
      </w:pPr>
    </w:p>
    <w:p w14:paraId="4E2F7C3C" w14:textId="77777777" w:rsidR="0014798C" w:rsidRDefault="0014798C">
      <w:pPr>
        <w:pStyle w:val="Textoindependiente"/>
        <w:rPr>
          <w:sz w:val="15"/>
        </w:rPr>
      </w:pPr>
    </w:p>
    <w:p w14:paraId="0EBDDD1F" w14:textId="77777777" w:rsidR="0014798C" w:rsidRDefault="004E1F0B">
      <w:pPr>
        <w:pStyle w:val="Prrafodelista"/>
        <w:numPr>
          <w:ilvl w:val="1"/>
          <w:numId w:val="54"/>
        </w:numPr>
        <w:tabs>
          <w:tab w:val="left" w:pos="1455"/>
          <w:tab w:val="left" w:pos="1560"/>
        </w:tabs>
        <w:spacing w:before="1" w:line="348" w:lineRule="auto"/>
        <w:ind w:left="1560" w:right="1641" w:hanging="203"/>
        <w:rPr>
          <w:color w:val="0075BF"/>
          <w:sz w:val="15"/>
        </w:rPr>
      </w:pPr>
      <w:r>
        <w:rPr>
          <w:w w:val="105"/>
          <w:sz w:val="15"/>
        </w:rPr>
        <w:t>La</w:t>
      </w:r>
      <w:r>
        <w:rPr>
          <w:spacing w:val="-1"/>
          <w:w w:val="105"/>
          <w:sz w:val="15"/>
        </w:rPr>
        <w:t xml:space="preserve"> </w:t>
      </w:r>
      <w:r>
        <w:rPr>
          <w:w w:val="105"/>
          <w:sz w:val="15"/>
        </w:rPr>
        <w:t>accesibilidad</w:t>
      </w:r>
      <w:r>
        <w:rPr>
          <w:spacing w:val="-1"/>
          <w:w w:val="105"/>
          <w:sz w:val="15"/>
        </w:rPr>
        <w:t xml:space="preserve"> </w:t>
      </w:r>
      <w:r>
        <w:rPr>
          <w:w w:val="105"/>
          <w:sz w:val="15"/>
        </w:rPr>
        <w:t>es</w:t>
      </w:r>
      <w:r>
        <w:rPr>
          <w:spacing w:val="-1"/>
          <w:w w:val="105"/>
          <w:sz w:val="15"/>
        </w:rPr>
        <w:t xml:space="preserve"> </w:t>
      </w:r>
      <w:r>
        <w:rPr>
          <w:w w:val="105"/>
          <w:sz w:val="15"/>
        </w:rPr>
        <w:t>un</w:t>
      </w:r>
      <w:r>
        <w:rPr>
          <w:spacing w:val="-1"/>
          <w:w w:val="105"/>
          <w:sz w:val="15"/>
        </w:rPr>
        <w:t xml:space="preserve"> </w:t>
      </w:r>
      <w:r>
        <w:rPr>
          <w:w w:val="105"/>
          <w:sz w:val="15"/>
        </w:rPr>
        <w:t>deber</w:t>
      </w:r>
      <w:r>
        <w:rPr>
          <w:spacing w:val="-2"/>
          <w:w w:val="105"/>
          <w:sz w:val="15"/>
        </w:rPr>
        <w:t xml:space="preserve"> </w:t>
      </w:r>
      <w:r>
        <w:rPr>
          <w:w w:val="105"/>
          <w:sz w:val="15"/>
        </w:rPr>
        <w:t>proactivo</w:t>
      </w:r>
      <w:r>
        <w:rPr>
          <w:spacing w:val="-1"/>
          <w:w w:val="105"/>
          <w:sz w:val="15"/>
        </w:rPr>
        <w:t xml:space="preserve"> </w:t>
      </w:r>
      <w:r>
        <w:rPr>
          <w:w w:val="105"/>
          <w:sz w:val="15"/>
        </w:rPr>
        <w:t>y</w:t>
      </w:r>
      <w:r>
        <w:rPr>
          <w:spacing w:val="-1"/>
          <w:w w:val="105"/>
          <w:sz w:val="15"/>
        </w:rPr>
        <w:t xml:space="preserve"> </w:t>
      </w:r>
      <w:r>
        <w:rPr>
          <w:w w:val="105"/>
          <w:sz w:val="15"/>
        </w:rPr>
        <w:t>sistémico</w:t>
      </w:r>
      <w:r>
        <w:rPr>
          <w:spacing w:val="-1"/>
          <w:w w:val="105"/>
          <w:sz w:val="15"/>
        </w:rPr>
        <w:t xml:space="preserve"> </w:t>
      </w:r>
      <w:r>
        <w:rPr>
          <w:w w:val="105"/>
          <w:sz w:val="15"/>
        </w:rPr>
        <w:t>que</w:t>
      </w:r>
      <w:r>
        <w:rPr>
          <w:spacing w:val="-1"/>
          <w:w w:val="105"/>
          <w:sz w:val="15"/>
        </w:rPr>
        <w:t xml:space="preserve"> </w:t>
      </w:r>
      <w:r>
        <w:rPr>
          <w:w w:val="105"/>
          <w:sz w:val="15"/>
        </w:rPr>
        <w:t>requiere</w:t>
      </w:r>
      <w:r>
        <w:rPr>
          <w:spacing w:val="-1"/>
          <w:w w:val="105"/>
          <w:sz w:val="15"/>
        </w:rPr>
        <w:t xml:space="preserve"> </w:t>
      </w:r>
      <w:r>
        <w:rPr>
          <w:w w:val="105"/>
          <w:sz w:val="15"/>
        </w:rPr>
        <w:t>la</w:t>
      </w:r>
      <w:r>
        <w:rPr>
          <w:spacing w:val="-1"/>
          <w:w w:val="105"/>
          <w:sz w:val="15"/>
        </w:rPr>
        <w:t xml:space="preserve"> </w:t>
      </w:r>
      <w:r>
        <w:rPr>
          <w:w w:val="105"/>
          <w:sz w:val="15"/>
        </w:rPr>
        <w:t>adopción</w:t>
      </w:r>
      <w:r>
        <w:rPr>
          <w:spacing w:val="-1"/>
          <w:w w:val="105"/>
          <w:sz w:val="15"/>
        </w:rPr>
        <w:t xml:space="preserve"> </w:t>
      </w:r>
      <w:r>
        <w:rPr>
          <w:w w:val="105"/>
          <w:sz w:val="15"/>
        </w:rPr>
        <w:t>e</w:t>
      </w:r>
      <w:r>
        <w:rPr>
          <w:spacing w:val="-1"/>
          <w:w w:val="105"/>
          <w:sz w:val="15"/>
        </w:rPr>
        <w:t xml:space="preserve"> </w:t>
      </w:r>
      <w:r>
        <w:rPr>
          <w:w w:val="105"/>
          <w:sz w:val="15"/>
        </w:rPr>
        <w:t>implementación</w:t>
      </w:r>
      <w:r>
        <w:rPr>
          <w:spacing w:val="-1"/>
          <w:w w:val="105"/>
          <w:sz w:val="15"/>
        </w:rPr>
        <w:t xml:space="preserve"> </w:t>
      </w:r>
      <w:r>
        <w:rPr>
          <w:w w:val="105"/>
          <w:sz w:val="15"/>
        </w:rPr>
        <w:t>de</w:t>
      </w:r>
      <w:r>
        <w:rPr>
          <w:spacing w:val="-1"/>
          <w:w w:val="105"/>
          <w:sz w:val="15"/>
        </w:rPr>
        <w:t xml:space="preserve"> </w:t>
      </w:r>
      <w:r>
        <w:rPr>
          <w:w w:val="105"/>
          <w:sz w:val="15"/>
        </w:rPr>
        <w:t>medidas</w:t>
      </w:r>
      <w:r>
        <w:rPr>
          <w:spacing w:val="-2"/>
          <w:w w:val="105"/>
          <w:sz w:val="15"/>
        </w:rPr>
        <w:t xml:space="preserve"> </w:t>
      </w:r>
      <w:r>
        <w:rPr>
          <w:w w:val="105"/>
          <w:sz w:val="15"/>
        </w:rPr>
        <w:t>necesarias</w:t>
      </w:r>
      <w:r>
        <w:rPr>
          <w:spacing w:val="-2"/>
          <w:w w:val="105"/>
          <w:sz w:val="15"/>
        </w:rPr>
        <w:t xml:space="preserve"> </w:t>
      </w:r>
      <w:r>
        <w:rPr>
          <w:w w:val="105"/>
          <w:sz w:val="15"/>
        </w:rPr>
        <w:t>para garantizar la igualdad de acceso al entorno físico, al transporte, a la información y las comunicaciones, a los lugares de trabajo, a la educación y a la atención sanitaria y a otras instalaciones y servicios abiertos. o proporcionado al público. El Estado está obligado a garantizar la accesibilidad en todos los ámbitos de la vida. El incumplimiento de las normas de accesibilidad es una forma de conducta prohibida. Se trata de un deber ex ante, que existe independientemente de una solicitud</w:t>
      </w:r>
      <w:r>
        <w:rPr>
          <w:spacing w:val="-4"/>
          <w:w w:val="105"/>
          <w:sz w:val="15"/>
        </w:rPr>
        <w:t xml:space="preserve"> </w:t>
      </w:r>
      <w:r>
        <w:rPr>
          <w:w w:val="105"/>
          <w:sz w:val="15"/>
        </w:rPr>
        <w:t>individual</w:t>
      </w:r>
      <w:r>
        <w:rPr>
          <w:spacing w:val="-3"/>
          <w:w w:val="105"/>
          <w:sz w:val="15"/>
        </w:rPr>
        <w:t xml:space="preserve"> </w:t>
      </w:r>
      <w:r>
        <w:rPr>
          <w:w w:val="105"/>
          <w:sz w:val="15"/>
        </w:rPr>
        <w:t>de</w:t>
      </w:r>
      <w:r>
        <w:rPr>
          <w:spacing w:val="-3"/>
          <w:w w:val="105"/>
          <w:sz w:val="15"/>
        </w:rPr>
        <w:t xml:space="preserve"> </w:t>
      </w:r>
      <w:r>
        <w:rPr>
          <w:w w:val="105"/>
          <w:sz w:val="15"/>
        </w:rPr>
        <w:t>acceso;</w:t>
      </w:r>
      <w:r>
        <w:rPr>
          <w:spacing w:val="-3"/>
          <w:w w:val="105"/>
          <w:sz w:val="15"/>
        </w:rPr>
        <w:t xml:space="preserve"> </w:t>
      </w:r>
      <w:r>
        <w:rPr>
          <w:w w:val="105"/>
          <w:sz w:val="15"/>
        </w:rPr>
        <w:t>es</w:t>
      </w:r>
      <w:r>
        <w:rPr>
          <w:spacing w:val="-3"/>
          <w:w w:val="105"/>
          <w:sz w:val="15"/>
        </w:rPr>
        <w:t xml:space="preserve"> </w:t>
      </w:r>
      <w:r>
        <w:rPr>
          <w:w w:val="105"/>
          <w:sz w:val="15"/>
        </w:rPr>
        <w:t>un</w:t>
      </w:r>
      <w:r>
        <w:rPr>
          <w:spacing w:val="-3"/>
          <w:w w:val="105"/>
          <w:sz w:val="15"/>
        </w:rPr>
        <w:t xml:space="preserve"> </w:t>
      </w:r>
      <w:r>
        <w:rPr>
          <w:w w:val="105"/>
          <w:sz w:val="15"/>
        </w:rPr>
        <w:t>deber</w:t>
      </w:r>
      <w:r>
        <w:rPr>
          <w:spacing w:val="-4"/>
          <w:w w:val="105"/>
          <w:sz w:val="15"/>
        </w:rPr>
        <w:t xml:space="preserve"> </w:t>
      </w:r>
      <w:r>
        <w:rPr>
          <w:w w:val="105"/>
          <w:sz w:val="15"/>
        </w:rPr>
        <w:t>incondicional,</w:t>
      </w:r>
      <w:r>
        <w:rPr>
          <w:spacing w:val="-2"/>
          <w:w w:val="105"/>
          <w:sz w:val="15"/>
        </w:rPr>
        <w:t xml:space="preserve"> </w:t>
      </w:r>
      <w:r>
        <w:rPr>
          <w:w w:val="105"/>
          <w:sz w:val="15"/>
        </w:rPr>
        <w:t>en</w:t>
      </w:r>
      <w:r>
        <w:rPr>
          <w:spacing w:val="-3"/>
          <w:w w:val="105"/>
          <w:sz w:val="15"/>
        </w:rPr>
        <w:t xml:space="preserve"> </w:t>
      </w:r>
      <w:r>
        <w:rPr>
          <w:w w:val="105"/>
          <w:sz w:val="15"/>
        </w:rPr>
        <w:t>el</w:t>
      </w:r>
      <w:r>
        <w:rPr>
          <w:spacing w:val="-3"/>
          <w:w w:val="105"/>
          <w:sz w:val="15"/>
        </w:rPr>
        <w:t xml:space="preserve"> </w:t>
      </w:r>
      <w:r>
        <w:rPr>
          <w:w w:val="105"/>
          <w:sz w:val="15"/>
        </w:rPr>
        <w:t>sentido</w:t>
      </w:r>
      <w:r>
        <w:rPr>
          <w:spacing w:val="-4"/>
          <w:w w:val="105"/>
          <w:sz w:val="15"/>
        </w:rPr>
        <w:t xml:space="preserve"> </w:t>
      </w:r>
      <w:r>
        <w:rPr>
          <w:w w:val="105"/>
          <w:sz w:val="15"/>
        </w:rPr>
        <w:t>de</w:t>
      </w:r>
      <w:r>
        <w:rPr>
          <w:spacing w:val="-3"/>
          <w:w w:val="105"/>
          <w:sz w:val="15"/>
        </w:rPr>
        <w:t xml:space="preserve"> </w:t>
      </w:r>
      <w:r>
        <w:rPr>
          <w:w w:val="105"/>
          <w:sz w:val="15"/>
        </w:rPr>
        <w:t>que</w:t>
      </w:r>
      <w:r>
        <w:rPr>
          <w:spacing w:val="-3"/>
          <w:w w:val="105"/>
          <w:sz w:val="15"/>
        </w:rPr>
        <w:t xml:space="preserve"> </w:t>
      </w:r>
      <w:r>
        <w:rPr>
          <w:w w:val="105"/>
          <w:sz w:val="15"/>
        </w:rPr>
        <w:t>el</w:t>
      </w:r>
      <w:r>
        <w:rPr>
          <w:spacing w:val="-3"/>
          <w:w w:val="105"/>
          <w:sz w:val="15"/>
        </w:rPr>
        <w:t xml:space="preserve"> </w:t>
      </w:r>
      <w:r>
        <w:rPr>
          <w:w w:val="105"/>
          <w:sz w:val="15"/>
        </w:rPr>
        <w:t>incumplimiento</w:t>
      </w:r>
      <w:r>
        <w:rPr>
          <w:spacing w:val="-3"/>
          <w:w w:val="105"/>
          <w:sz w:val="15"/>
        </w:rPr>
        <w:t xml:space="preserve"> </w:t>
      </w:r>
      <w:r>
        <w:rPr>
          <w:w w:val="105"/>
          <w:sz w:val="15"/>
        </w:rPr>
        <w:t>no</w:t>
      </w:r>
      <w:r>
        <w:rPr>
          <w:spacing w:val="-3"/>
          <w:w w:val="105"/>
          <w:sz w:val="15"/>
        </w:rPr>
        <w:t xml:space="preserve"> </w:t>
      </w:r>
      <w:r>
        <w:rPr>
          <w:w w:val="105"/>
          <w:sz w:val="15"/>
        </w:rPr>
        <w:t>puede</w:t>
      </w:r>
      <w:r>
        <w:rPr>
          <w:spacing w:val="-3"/>
          <w:w w:val="105"/>
          <w:sz w:val="15"/>
        </w:rPr>
        <w:t xml:space="preserve"> </w:t>
      </w:r>
      <w:r>
        <w:rPr>
          <w:w w:val="105"/>
          <w:sz w:val="15"/>
        </w:rPr>
        <w:t>excusarse</w:t>
      </w:r>
      <w:r>
        <w:rPr>
          <w:spacing w:val="-3"/>
          <w:w w:val="105"/>
          <w:sz w:val="15"/>
        </w:rPr>
        <w:t xml:space="preserve"> </w:t>
      </w:r>
      <w:r>
        <w:rPr>
          <w:w w:val="105"/>
          <w:sz w:val="15"/>
        </w:rPr>
        <w:t>en referencia a la carga que soporta el proveedor.</w:t>
      </w:r>
    </w:p>
    <w:p w14:paraId="24D8A124" w14:textId="77777777" w:rsidR="0014798C" w:rsidRDefault="004E1F0B">
      <w:pPr>
        <w:pStyle w:val="Prrafodelista"/>
        <w:numPr>
          <w:ilvl w:val="1"/>
          <w:numId w:val="54"/>
        </w:numPr>
        <w:tabs>
          <w:tab w:val="left" w:pos="1455"/>
          <w:tab w:val="left" w:pos="1556"/>
        </w:tabs>
        <w:spacing w:before="110" w:line="348" w:lineRule="auto"/>
        <w:ind w:right="1490" w:hanging="199"/>
        <w:rPr>
          <w:color w:val="0075BF"/>
          <w:sz w:val="15"/>
        </w:rPr>
      </w:pPr>
      <w:r>
        <w:rPr>
          <w:w w:val="105"/>
          <w:sz w:val="15"/>
        </w:rPr>
        <w:t>Las leyes contra la discriminación deberían establecer obligaciones tanto para el Estado como para los actores privados</w:t>
      </w:r>
      <w:r>
        <w:rPr>
          <w:spacing w:val="80"/>
          <w:w w:val="105"/>
          <w:sz w:val="15"/>
        </w:rPr>
        <w:t xml:space="preserve"> </w:t>
      </w:r>
      <w:r>
        <w:rPr>
          <w:w w:val="105"/>
          <w:sz w:val="15"/>
        </w:rPr>
        <w:t>para</w:t>
      </w:r>
      <w:r>
        <w:rPr>
          <w:spacing w:val="-1"/>
          <w:w w:val="105"/>
          <w:sz w:val="15"/>
        </w:rPr>
        <w:t xml:space="preserve"> </w:t>
      </w:r>
      <w:r>
        <w:rPr>
          <w:w w:val="105"/>
          <w:sz w:val="15"/>
        </w:rPr>
        <w:t>identificar</w:t>
      </w:r>
      <w:r>
        <w:rPr>
          <w:spacing w:val="-2"/>
          <w:w w:val="105"/>
          <w:sz w:val="15"/>
        </w:rPr>
        <w:t xml:space="preserve"> </w:t>
      </w:r>
      <w:r>
        <w:rPr>
          <w:w w:val="105"/>
          <w:sz w:val="15"/>
        </w:rPr>
        <w:t>y</w:t>
      </w:r>
      <w:r>
        <w:rPr>
          <w:spacing w:val="-1"/>
          <w:w w:val="105"/>
          <w:sz w:val="15"/>
        </w:rPr>
        <w:t xml:space="preserve"> </w:t>
      </w:r>
      <w:r>
        <w:rPr>
          <w:w w:val="105"/>
          <w:sz w:val="15"/>
        </w:rPr>
        <w:t>eliminar</w:t>
      </w:r>
      <w:r>
        <w:rPr>
          <w:spacing w:val="-2"/>
          <w:w w:val="105"/>
          <w:sz w:val="15"/>
        </w:rPr>
        <w:t xml:space="preserve"> </w:t>
      </w:r>
      <w:r>
        <w:rPr>
          <w:w w:val="105"/>
          <w:sz w:val="15"/>
        </w:rPr>
        <w:t>las</w:t>
      </w:r>
      <w:r>
        <w:rPr>
          <w:spacing w:val="-1"/>
          <w:w w:val="105"/>
          <w:sz w:val="15"/>
        </w:rPr>
        <w:t xml:space="preserve"> </w:t>
      </w:r>
      <w:r>
        <w:rPr>
          <w:w w:val="105"/>
          <w:sz w:val="15"/>
        </w:rPr>
        <w:t>barreras</w:t>
      </w:r>
      <w:r>
        <w:rPr>
          <w:spacing w:val="-2"/>
          <w:w w:val="105"/>
          <w:sz w:val="15"/>
        </w:rPr>
        <w:t xml:space="preserve"> </w:t>
      </w:r>
      <w:r>
        <w:rPr>
          <w:w w:val="105"/>
          <w:sz w:val="15"/>
        </w:rPr>
        <w:t>que</w:t>
      </w:r>
      <w:r>
        <w:rPr>
          <w:spacing w:val="-1"/>
          <w:w w:val="105"/>
          <w:sz w:val="15"/>
        </w:rPr>
        <w:t xml:space="preserve"> </w:t>
      </w:r>
      <w:r>
        <w:rPr>
          <w:w w:val="105"/>
          <w:sz w:val="15"/>
        </w:rPr>
        <w:t>impiden</w:t>
      </w:r>
      <w:r>
        <w:rPr>
          <w:spacing w:val="-1"/>
          <w:w w:val="105"/>
          <w:sz w:val="15"/>
        </w:rPr>
        <w:t xml:space="preserve"> </w:t>
      </w:r>
      <w:r>
        <w:rPr>
          <w:w w:val="105"/>
          <w:sz w:val="15"/>
        </w:rPr>
        <w:t>la</w:t>
      </w:r>
      <w:r>
        <w:rPr>
          <w:spacing w:val="-1"/>
          <w:w w:val="105"/>
          <w:sz w:val="15"/>
        </w:rPr>
        <w:t xml:space="preserve"> </w:t>
      </w:r>
      <w:r>
        <w:rPr>
          <w:w w:val="105"/>
          <w:sz w:val="15"/>
        </w:rPr>
        <w:t>igualdad</w:t>
      </w:r>
      <w:r>
        <w:rPr>
          <w:spacing w:val="-1"/>
          <w:w w:val="105"/>
          <w:sz w:val="15"/>
        </w:rPr>
        <w:t xml:space="preserve"> </w:t>
      </w:r>
      <w:r>
        <w:rPr>
          <w:w w:val="105"/>
          <w:sz w:val="15"/>
        </w:rPr>
        <w:t>de</w:t>
      </w:r>
      <w:r>
        <w:rPr>
          <w:spacing w:val="-1"/>
          <w:w w:val="105"/>
          <w:sz w:val="15"/>
        </w:rPr>
        <w:t xml:space="preserve"> </w:t>
      </w:r>
      <w:r>
        <w:rPr>
          <w:w w:val="105"/>
          <w:sz w:val="15"/>
        </w:rPr>
        <w:t>acceso.</w:t>
      </w:r>
      <w:r>
        <w:rPr>
          <w:spacing w:val="-1"/>
          <w:w w:val="105"/>
          <w:sz w:val="15"/>
        </w:rPr>
        <w:t xml:space="preserve"> </w:t>
      </w:r>
      <w:r>
        <w:rPr>
          <w:w w:val="105"/>
          <w:sz w:val="15"/>
        </w:rPr>
        <w:t>También</w:t>
      </w:r>
      <w:r>
        <w:rPr>
          <w:spacing w:val="-2"/>
          <w:w w:val="105"/>
          <w:sz w:val="15"/>
        </w:rPr>
        <w:t xml:space="preserve"> </w:t>
      </w:r>
      <w:r>
        <w:rPr>
          <w:w w:val="105"/>
          <w:sz w:val="15"/>
        </w:rPr>
        <w:t>deberían</w:t>
      </w:r>
      <w:r>
        <w:rPr>
          <w:spacing w:val="-2"/>
          <w:w w:val="105"/>
          <w:sz w:val="15"/>
        </w:rPr>
        <w:t xml:space="preserve"> </w:t>
      </w:r>
      <w:r>
        <w:rPr>
          <w:w w:val="105"/>
          <w:sz w:val="15"/>
        </w:rPr>
        <w:t>establecer</w:t>
      </w:r>
      <w:r>
        <w:rPr>
          <w:spacing w:val="-2"/>
          <w:w w:val="105"/>
          <w:sz w:val="15"/>
        </w:rPr>
        <w:t xml:space="preserve"> </w:t>
      </w:r>
      <w:r>
        <w:rPr>
          <w:w w:val="105"/>
          <w:sz w:val="15"/>
        </w:rPr>
        <w:t>el</w:t>
      </w:r>
      <w:r>
        <w:rPr>
          <w:spacing w:val="-1"/>
          <w:w w:val="105"/>
          <w:sz w:val="15"/>
        </w:rPr>
        <w:t xml:space="preserve"> </w:t>
      </w:r>
      <w:r>
        <w:rPr>
          <w:w w:val="105"/>
          <w:sz w:val="15"/>
        </w:rPr>
        <w:t>deber</w:t>
      </w:r>
      <w:r>
        <w:rPr>
          <w:spacing w:val="-2"/>
          <w:w w:val="105"/>
          <w:sz w:val="15"/>
        </w:rPr>
        <w:t xml:space="preserve"> </w:t>
      </w:r>
      <w:r>
        <w:rPr>
          <w:w w:val="105"/>
          <w:sz w:val="15"/>
        </w:rPr>
        <w:t>del</w:t>
      </w:r>
      <w:r>
        <w:rPr>
          <w:spacing w:val="-1"/>
          <w:w w:val="105"/>
          <w:sz w:val="15"/>
        </w:rPr>
        <w:t xml:space="preserve"> </w:t>
      </w:r>
      <w:r>
        <w:rPr>
          <w:w w:val="105"/>
          <w:sz w:val="15"/>
        </w:rPr>
        <w:t>Estado</w:t>
      </w:r>
    </w:p>
    <w:p w14:paraId="25AAA25E" w14:textId="77777777" w:rsidR="0014798C" w:rsidRDefault="004E1F0B">
      <w:pPr>
        <w:spacing w:line="172" w:lineRule="exact"/>
        <w:ind w:left="1559"/>
        <w:rPr>
          <w:sz w:val="15"/>
        </w:rPr>
      </w:pPr>
      <w:r>
        <w:rPr>
          <w:w w:val="105"/>
          <w:sz w:val="15"/>
        </w:rPr>
        <w:t>de</w:t>
      </w:r>
      <w:r>
        <w:rPr>
          <w:spacing w:val="-3"/>
          <w:w w:val="105"/>
          <w:sz w:val="15"/>
        </w:rPr>
        <w:t xml:space="preserve"> </w:t>
      </w:r>
      <w:r>
        <w:rPr>
          <w:w w:val="105"/>
          <w:sz w:val="15"/>
        </w:rPr>
        <w:t>desarrollar,</w:t>
      </w:r>
      <w:r>
        <w:rPr>
          <w:spacing w:val="-1"/>
          <w:w w:val="105"/>
          <w:sz w:val="15"/>
        </w:rPr>
        <w:t xml:space="preserve"> </w:t>
      </w:r>
      <w:r>
        <w:rPr>
          <w:w w:val="105"/>
          <w:sz w:val="15"/>
        </w:rPr>
        <w:t>promulgar</w:t>
      </w:r>
      <w:r>
        <w:rPr>
          <w:spacing w:val="-4"/>
          <w:w w:val="105"/>
          <w:sz w:val="15"/>
        </w:rPr>
        <w:t xml:space="preserve"> </w:t>
      </w:r>
      <w:r>
        <w:rPr>
          <w:w w:val="105"/>
          <w:sz w:val="15"/>
        </w:rPr>
        <w:t>y</w:t>
      </w:r>
      <w:r>
        <w:rPr>
          <w:spacing w:val="-2"/>
          <w:w w:val="105"/>
          <w:sz w:val="15"/>
        </w:rPr>
        <w:t xml:space="preserve"> </w:t>
      </w:r>
      <w:r>
        <w:rPr>
          <w:w w:val="105"/>
          <w:sz w:val="15"/>
        </w:rPr>
        <w:t>monitorear</w:t>
      </w:r>
      <w:r>
        <w:rPr>
          <w:spacing w:val="-4"/>
          <w:w w:val="105"/>
          <w:sz w:val="15"/>
        </w:rPr>
        <w:t xml:space="preserve"> </w:t>
      </w:r>
      <w:r>
        <w:rPr>
          <w:w w:val="105"/>
          <w:sz w:val="15"/>
        </w:rPr>
        <w:t>la</w:t>
      </w:r>
      <w:r>
        <w:rPr>
          <w:spacing w:val="-2"/>
          <w:w w:val="105"/>
          <w:sz w:val="15"/>
        </w:rPr>
        <w:t xml:space="preserve"> </w:t>
      </w:r>
      <w:r>
        <w:rPr>
          <w:w w:val="105"/>
          <w:sz w:val="15"/>
        </w:rPr>
        <w:t>implementación</w:t>
      </w:r>
      <w:r>
        <w:rPr>
          <w:spacing w:val="-2"/>
          <w:w w:val="105"/>
          <w:sz w:val="15"/>
        </w:rPr>
        <w:t xml:space="preserve"> </w:t>
      </w:r>
      <w:r>
        <w:rPr>
          <w:w w:val="105"/>
          <w:sz w:val="15"/>
        </w:rPr>
        <w:t>de</w:t>
      </w:r>
      <w:r>
        <w:rPr>
          <w:spacing w:val="-3"/>
          <w:w w:val="105"/>
          <w:sz w:val="15"/>
        </w:rPr>
        <w:t xml:space="preserve"> </w:t>
      </w:r>
      <w:r>
        <w:rPr>
          <w:w w:val="105"/>
          <w:sz w:val="15"/>
        </w:rPr>
        <w:t>estándares</w:t>
      </w:r>
      <w:r>
        <w:rPr>
          <w:spacing w:val="-3"/>
          <w:w w:val="105"/>
          <w:sz w:val="15"/>
        </w:rPr>
        <w:t xml:space="preserve"> </w:t>
      </w:r>
      <w:r>
        <w:rPr>
          <w:w w:val="105"/>
          <w:sz w:val="15"/>
        </w:rPr>
        <w:t>y</w:t>
      </w:r>
      <w:r>
        <w:rPr>
          <w:spacing w:val="-3"/>
          <w:w w:val="105"/>
          <w:sz w:val="15"/>
        </w:rPr>
        <w:t xml:space="preserve"> </w:t>
      </w:r>
      <w:r>
        <w:rPr>
          <w:w w:val="105"/>
          <w:sz w:val="15"/>
        </w:rPr>
        <w:t>lineamientos</w:t>
      </w:r>
      <w:r>
        <w:rPr>
          <w:spacing w:val="-3"/>
          <w:w w:val="105"/>
          <w:sz w:val="15"/>
        </w:rPr>
        <w:t xml:space="preserve"> </w:t>
      </w:r>
      <w:r>
        <w:rPr>
          <w:w w:val="105"/>
          <w:sz w:val="15"/>
        </w:rPr>
        <w:t>mínimos</w:t>
      </w:r>
      <w:r>
        <w:rPr>
          <w:spacing w:val="-3"/>
          <w:w w:val="105"/>
          <w:sz w:val="15"/>
        </w:rPr>
        <w:t xml:space="preserve"> </w:t>
      </w:r>
      <w:r>
        <w:rPr>
          <w:w w:val="105"/>
          <w:sz w:val="15"/>
        </w:rPr>
        <w:t>en</w:t>
      </w:r>
      <w:r>
        <w:rPr>
          <w:spacing w:val="-3"/>
          <w:w w:val="105"/>
          <w:sz w:val="15"/>
        </w:rPr>
        <w:t xml:space="preserve"> </w:t>
      </w:r>
      <w:r>
        <w:rPr>
          <w:w w:val="105"/>
          <w:sz w:val="15"/>
        </w:rPr>
        <w:t>materia</w:t>
      </w:r>
      <w:r>
        <w:rPr>
          <w:spacing w:val="-3"/>
          <w:w w:val="105"/>
          <w:sz w:val="15"/>
        </w:rPr>
        <w:t xml:space="preserve"> </w:t>
      </w:r>
      <w:r>
        <w:rPr>
          <w:w w:val="105"/>
          <w:sz w:val="15"/>
        </w:rPr>
        <w:t>de</w:t>
      </w:r>
      <w:r>
        <w:rPr>
          <w:spacing w:val="-3"/>
          <w:w w:val="105"/>
          <w:sz w:val="15"/>
        </w:rPr>
        <w:t xml:space="preserve"> </w:t>
      </w:r>
      <w:r>
        <w:rPr>
          <w:spacing w:val="-2"/>
          <w:w w:val="105"/>
          <w:sz w:val="15"/>
        </w:rPr>
        <w:t>accesibilidad.</w:t>
      </w:r>
    </w:p>
    <w:p w14:paraId="1E23C425" w14:textId="77777777" w:rsidR="0014798C" w:rsidRDefault="0014798C">
      <w:pPr>
        <w:pStyle w:val="Textoindependiente"/>
        <w:spacing w:before="18"/>
        <w:rPr>
          <w:sz w:val="15"/>
        </w:rPr>
      </w:pPr>
    </w:p>
    <w:p w14:paraId="5D288AAB" w14:textId="77777777" w:rsidR="0014798C" w:rsidRDefault="004E1F0B">
      <w:pPr>
        <w:pStyle w:val="Prrafodelista"/>
        <w:numPr>
          <w:ilvl w:val="1"/>
          <w:numId w:val="54"/>
        </w:numPr>
        <w:tabs>
          <w:tab w:val="left" w:pos="1456"/>
          <w:tab w:val="left" w:pos="1559"/>
        </w:tabs>
        <w:spacing w:line="348" w:lineRule="auto"/>
        <w:ind w:left="1559" w:right="2871" w:hanging="201"/>
        <w:rPr>
          <w:color w:val="0075BF"/>
          <w:sz w:val="15"/>
        </w:rPr>
      </w:pPr>
      <w:r>
        <w:rPr>
          <w:w w:val="105"/>
          <w:sz w:val="15"/>
        </w:rPr>
        <w:t>El</w:t>
      </w:r>
      <w:r>
        <w:rPr>
          <w:spacing w:val="-3"/>
          <w:w w:val="105"/>
          <w:sz w:val="15"/>
        </w:rPr>
        <w:t xml:space="preserve"> </w:t>
      </w:r>
      <w:r>
        <w:rPr>
          <w:w w:val="105"/>
          <w:sz w:val="15"/>
        </w:rPr>
        <w:t>incumplimiento</w:t>
      </w:r>
      <w:r>
        <w:rPr>
          <w:spacing w:val="-2"/>
          <w:w w:val="105"/>
          <w:sz w:val="15"/>
        </w:rPr>
        <w:t xml:space="preserve"> </w:t>
      </w:r>
      <w:r>
        <w:rPr>
          <w:w w:val="105"/>
          <w:sz w:val="15"/>
        </w:rPr>
        <w:t>de</w:t>
      </w:r>
      <w:r>
        <w:rPr>
          <w:spacing w:val="-2"/>
          <w:w w:val="105"/>
          <w:sz w:val="15"/>
        </w:rPr>
        <w:t xml:space="preserve"> </w:t>
      </w:r>
      <w:r>
        <w:rPr>
          <w:w w:val="105"/>
          <w:sz w:val="15"/>
        </w:rPr>
        <w:t>las</w:t>
      </w:r>
      <w:r>
        <w:rPr>
          <w:spacing w:val="-2"/>
          <w:w w:val="105"/>
          <w:sz w:val="15"/>
        </w:rPr>
        <w:t xml:space="preserve"> </w:t>
      </w:r>
      <w:r>
        <w:rPr>
          <w:w w:val="105"/>
          <w:sz w:val="15"/>
        </w:rPr>
        <w:t>normas</w:t>
      </w:r>
      <w:r>
        <w:rPr>
          <w:spacing w:val="-2"/>
          <w:w w:val="105"/>
          <w:sz w:val="15"/>
        </w:rPr>
        <w:t xml:space="preserve"> </w:t>
      </w:r>
      <w:r>
        <w:rPr>
          <w:w w:val="105"/>
          <w:sz w:val="15"/>
        </w:rPr>
        <w:t>de</w:t>
      </w:r>
      <w:r>
        <w:rPr>
          <w:spacing w:val="-2"/>
          <w:w w:val="105"/>
          <w:sz w:val="15"/>
        </w:rPr>
        <w:t xml:space="preserve"> </w:t>
      </w:r>
      <w:r>
        <w:rPr>
          <w:w w:val="105"/>
          <w:sz w:val="15"/>
        </w:rPr>
        <w:t>accesibilidad</w:t>
      </w:r>
      <w:r>
        <w:rPr>
          <w:spacing w:val="-2"/>
          <w:w w:val="105"/>
          <w:sz w:val="15"/>
        </w:rPr>
        <w:t xml:space="preserve"> </w:t>
      </w:r>
      <w:r>
        <w:rPr>
          <w:w w:val="105"/>
          <w:sz w:val="15"/>
        </w:rPr>
        <w:t>es</w:t>
      </w:r>
      <w:r>
        <w:rPr>
          <w:spacing w:val="-2"/>
          <w:w w:val="105"/>
          <w:sz w:val="15"/>
        </w:rPr>
        <w:t xml:space="preserve"> </w:t>
      </w:r>
      <w:r>
        <w:rPr>
          <w:w w:val="105"/>
          <w:sz w:val="15"/>
        </w:rPr>
        <w:t>una</w:t>
      </w:r>
      <w:r>
        <w:rPr>
          <w:spacing w:val="-2"/>
          <w:w w:val="105"/>
          <w:sz w:val="15"/>
        </w:rPr>
        <w:t xml:space="preserve"> </w:t>
      </w:r>
      <w:r>
        <w:rPr>
          <w:w w:val="105"/>
          <w:sz w:val="15"/>
        </w:rPr>
        <w:t>forma</w:t>
      </w:r>
      <w:r>
        <w:rPr>
          <w:spacing w:val="-3"/>
          <w:w w:val="105"/>
          <w:sz w:val="15"/>
        </w:rPr>
        <w:t xml:space="preserve"> </w:t>
      </w:r>
      <w:r>
        <w:rPr>
          <w:w w:val="105"/>
          <w:sz w:val="15"/>
        </w:rPr>
        <w:t>de</w:t>
      </w:r>
      <w:r>
        <w:rPr>
          <w:spacing w:val="-2"/>
          <w:w w:val="105"/>
          <w:sz w:val="15"/>
        </w:rPr>
        <w:t xml:space="preserve"> </w:t>
      </w:r>
      <w:r>
        <w:rPr>
          <w:w w:val="105"/>
          <w:sz w:val="15"/>
        </w:rPr>
        <w:t>discriminación</w:t>
      </w:r>
      <w:r>
        <w:rPr>
          <w:spacing w:val="-2"/>
          <w:w w:val="105"/>
          <w:sz w:val="15"/>
        </w:rPr>
        <w:t xml:space="preserve"> </w:t>
      </w:r>
      <w:r>
        <w:rPr>
          <w:w w:val="105"/>
          <w:sz w:val="15"/>
        </w:rPr>
        <w:t>y,</w:t>
      </w:r>
      <w:r>
        <w:rPr>
          <w:spacing w:val="-2"/>
          <w:w w:val="105"/>
          <w:sz w:val="15"/>
        </w:rPr>
        <w:t xml:space="preserve"> </w:t>
      </w:r>
      <w:r>
        <w:rPr>
          <w:w w:val="105"/>
          <w:sz w:val="15"/>
        </w:rPr>
        <w:t>por</w:t>
      </w:r>
      <w:r>
        <w:rPr>
          <w:spacing w:val="-2"/>
          <w:w w:val="105"/>
          <w:sz w:val="15"/>
        </w:rPr>
        <w:t xml:space="preserve"> </w:t>
      </w:r>
      <w:r>
        <w:rPr>
          <w:w w:val="105"/>
          <w:sz w:val="15"/>
        </w:rPr>
        <w:t>lo</w:t>
      </w:r>
      <w:r>
        <w:rPr>
          <w:spacing w:val="-2"/>
          <w:w w:val="105"/>
          <w:sz w:val="15"/>
        </w:rPr>
        <w:t xml:space="preserve"> </w:t>
      </w:r>
      <w:r>
        <w:rPr>
          <w:w w:val="105"/>
          <w:sz w:val="15"/>
        </w:rPr>
        <w:t>tanto,</w:t>
      </w:r>
      <w:r>
        <w:rPr>
          <w:spacing w:val="-2"/>
          <w:w w:val="105"/>
          <w:sz w:val="15"/>
        </w:rPr>
        <w:t xml:space="preserve"> </w:t>
      </w:r>
      <w:r>
        <w:rPr>
          <w:w w:val="105"/>
          <w:sz w:val="15"/>
        </w:rPr>
        <w:t>debe</w:t>
      </w:r>
      <w:r>
        <w:rPr>
          <w:spacing w:val="-2"/>
          <w:w w:val="105"/>
          <w:sz w:val="15"/>
        </w:rPr>
        <w:t xml:space="preserve"> </w:t>
      </w:r>
      <w:r>
        <w:rPr>
          <w:w w:val="105"/>
          <w:sz w:val="15"/>
        </w:rPr>
        <w:t>ser prohibido bajo la ley integral contra la discriminación.</w:t>
      </w:r>
    </w:p>
    <w:p w14:paraId="775CAA0B" w14:textId="77777777" w:rsidR="0014798C" w:rsidRDefault="0014798C">
      <w:pPr>
        <w:pStyle w:val="Textoindependiente"/>
        <w:rPr>
          <w:sz w:val="15"/>
        </w:rPr>
      </w:pPr>
    </w:p>
    <w:p w14:paraId="38F465BA" w14:textId="77777777" w:rsidR="0014798C" w:rsidRDefault="0014798C">
      <w:pPr>
        <w:pStyle w:val="Textoindependiente"/>
        <w:spacing w:before="108"/>
        <w:rPr>
          <w:sz w:val="15"/>
        </w:rPr>
      </w:pPr>
    </w:p>
    <w:p w14:paraId="12EF629F" w14:textId="77777777" w:rsidR="0014798C" w:rsidRDefault="004E1F0B">
      <w:pPr>
        <w:spacing w:line="348" w:lineRule="auto"/>
        <w:ind w:left="1107" w:right="1272" w:hanging="1"/>
        <w:rPr>
          <w:sz w:val="15"/>
        </w:rPr>
      </w:pPr>
      <w:r>
        <w:rPr>
          <w:w w:val="105"/>
          <w:sz w:val="15"/>
        </w:rPr>
        <w:t xml:space="preserve">El artículo 9 de la Convención sobre los Derechos de las Personas con Discapacidad establece el deber de los </w:t>
      </w:r>
      <w:proofErr w:type="gramStart"/>
      <w:r>
        <w:rPr>
          <w:w w:val="105"/>
          <w:sz w:val="15"/>
        </w:rPr>
        <w:t>Estados partes</w:t>
      </w:r>
      <w:proofErr w:type="gramEnd"/>
      <w:r>
        <w:rPr>
          <w:w w:val="105"/>
          <w:sz w:val="15"/>
        </w:rPr>
        <w:t xml:space="preserve"> de garantizar</w:t>
      </w:r>
      <w:r>
        <w:rPr>
          <w:spacing w:val="-2"/>
          <w:w w:val="105"/>
          <w:sz w:val="15"/>
        </w:rPr>
        <w:t xml:space="preserve"> </w:t>
      </w:r>
      <w:r>
        <w:rPr>
          <w:w w:val="105"/>
          <w:sz w:val="15"/>
        </w:rPr>
        <w:t>a</w:t>
      </w:r>
      <w:r>
        <w:rPr>
          <w:spacing w:val="-1"/>
          <w:w w:val="105"/>
          <w:sz w:val="15"/>
        </w:rPr>
        <w:t xml:space="preserve"> </w:t>
      </w:r>
      <w:r>
        <w:rPr>
          <w:w w:val="105"/>
          <w:sz w:val="15"/>
        </w:rPr>
        <w:t>las</w:t>
      </w:r>
      <w:r>
        <w:rPr>
          <w:spacing w:val="-1"/>
          <w:w w:val="105"/>
          <w:sz w:val="15"/>
        </w:rPr>
        <w:t xml:space="preserve"> </w:t>
      </w:r>
      <w:r>
        <w:rPr>
          <w:w w:val="105"/>
          <w:sz w:val="15"/>
        </w:rPr>
        <w:t>personas</w:t>
      </w:r>
      <w:r>
        <w:rPr>
          <w:spacing w:val="-2"/>
          <w:w w:val="105"/>
          <w:sz w:val="15"/>
        </w:rPr>
        <w:t xml:space="preserve"> </w:t>
      </w:r>
      <w:r>
        <w:rPr>
          <w:w w:val="105"/>
          <w:sz w:val="15"/>
        </w:rPr>
        <w:t>con</w:t>
      </w:r>
      <w:r>
        <w:rPr>
          <w:spacing w:val="-1"/>
          <w:w w:val="105"/>
          <w:sz w:val="15"/>
        </w:rPr>
        <w:t xml:space="preserve"> </w:t>
      </w:r>
      <w:r>
        <w:rPr>
          <w:w w:val="105"/>
          <w:sz w:val="15"/>
        </w:rPr>
        <w:t>discapacidad</w:t>
      </w:r>
      <w:r>
        <w:rPr>
          <w:spacing w:val="-1"/>
          <w:w w:val="105"/>
          <w:sz w:val="15"/>
        </w:rPr>
        <w:t xml:space="preserve"> </w:t>
      </w:r>
      <w:r>
        <w:rPr>
          <w:w w:val="105"/>
          <w:sz w:val="15"/>
        </w:rPr>
        <w:t>el</w:t>
      </w:r>
      <w:r>
        <w:rPr>
          <w:spacing w:val="-1"/>
          <w:w w:val="105"/>
          <w:sz w:val="15"/>
        </w:rPr>
        <w:t xml:space="preserve"> </w:t>
      </w:r>
      <w:r>
        <w:rPr>
          <w:w w:val="105"/>
          <w:sz w:val="15"/>
        </w:rPr>
        <w:t>acceso,</w:t>
      </w:r>
      <w:r>
        <w:rPr>
          <w:spacing w:val="-1"/>
          <w:w w:val="105"/>
          <w:sz w:val="15"/>
        </w:rPr>
        <w:t xml:space="preserve"> </w:t>
      </w:r>
      <w:r>
        <w:rPr>
          <w:w w:val="105"/>
          <w:sz w:val="15"/>
        </w:rPr>
        <w:t>en</w:t>
      </w:r>
      <w:r>
        <w:rPr>
          <w:spacing w:val="-1"/>
          <w:w w:val="105"/>
          <w:sz w:val="15"/>
        </w:rPr>
        <w:t xml:space="preserve"> </w:t>
      </w:r>
      <w:r>
        <w:rPr>
          <w:w w:val="105"/>
          <w:sz w:val="15"/>
        </w:rPr>
        <w:t>igualdad</w:t>
      </w:r>
      <w:r>
        <w:rPr>
          <w:spacing w:val="-1"/>
          <w:w w:val="105"/>
          <w:sz w:val="15"/>
        </w:rPr>
        <w:t xml:space="preserve"> </w:t>
      </w:r>
      <w:r>
        <w:rPr>
          <w:w w:val="105"/>
          <w:sz w:val="15"/>
        </w:rPr>
        <w:t>de</w:t>
      </w:r>
      <w:r>
        <w:rPr>
          <w:spacing w:val="-1"/>
          <w:w w:val="105"/>
          <w:sz w:val="15"/>
        </w:rPr>
        <w:t xml:space="preserve"> </w:t>
      </w:r>
      <w:r>
        <w:rPr>
          <w:w w:val="105"/>
          <w:sz w:val="15"/>
        </w:rPr>
        <w:t>condiciones</w:t>
      </w:r>
      <w:r>
        <w:rPr>
          <w:spacing w:val="-2"/>
          <w:w w:val="105"/>
          <w:sz w:val="15"/>
        </w:rPr>
        <w:t xml:space="preserve"> </w:t>
      </w:r>
      <w:r>
        <w:rPr>
          <w:w w:val="105"/>
          <w:sz w:val="15"/>
        </w:rPr>
        <w:t>con</w:t>
      </w:r>
      <w:r>
        <w:rPr>
          <w:spacing w:val="-1"/>
          <w:w w:val="105"/>
          <w:sz w:val="15"/>
        </w:rPr>
        <w:t xml:space="preserve"> </w:t>
      </w:r>
      <w:r>
        <w:rPr>
          <w:w w:val="105"/>
          <w:sz w:val="15"/>
        </w:rPr>
        <w:t>las</w:t>
      </w:r>
      <w:r>
        <w:rPr>
          <w:spacing w:val="-1"/>
          <w:w w:val="105"/>
          <w:sz w:val="15"/>
        </w:rPr>
        <w:t xml:space="preserve"> </w:t>
      </w:r>
      <w:r>
        <w:rPr>
          <w:w w:val="105"/>
          <w:sz w:val="15"/>
        </w:rPr>
        <w:t>demás,</w:t>
      </w:r>
      <w:r>
        <w:rPr>
          <w:spacing w:val="-1"/>
          <w:w w:val="105"/>
          <w:sz w:val="15"/>
        </w:rPr>
        <w:t xml:space="preserve"> </w:t>
      </w:r>
      <w:r>
        <w:rPr>
          <w:w w:val="105"/>
          <w:sz w:val="15"/>
        </w:rPr>
        <w:t>al</w:t>
      </w:r>
      <w:r>
        <w:rPr>
          <w:spacing w:val="-1"/>
          <w:w w:val="105"/>
          <w:sz w:val="15"/>
        </w:rPr>
        <w:t xml:space="preserve"> </w:t>
      </w:r>
      <w:r>
        <w:rPr>
          <w:w w:val="105"/>
          <w:sz w:val="15"/>
        </w:rPr>
        <w:t>medio</w:t>
      </w:r>
      <w:r>
        <w:rPr>
          <w:spacing w:val="-1"/>
          <w:w w:val="105"/>
          <w:sz w:val="15"/>
        </w:rPr>
        <w:t xml:space="preserve"> </w:t>
      </w:r>
      <w:r>
        <w:rPr>
          <w:w w:val="105"/>
          <w:sz w:val="15"/>
        </w:rPr>
        <w:t>físico,</w:t>
      </w:r>
      <w:r>
        <w:rPr>
          <w:spacing w:val="-1"/>
          <w:w w:val="105"/>
          <w:sz w:val="15"/>
        </w:rPr>
        <w:t xml:space="preserve"> </w:t>
      </w:r>
      <w:r>
        <w:rPr>
          <w:w w:val="105"/>
          <w:sz w:val="15"/>
        </w:rPr>
        <w:t>al</w:t>
      </w:r>
      <w:r>
        <w:rPr>
          <w:spacing w:val="-1"/>
          <w:w w:val="105"/>
          <w:sz w:val="15"/>
        </w:rPr>
        <w:t xml:space="preserve"> </w:t>
      </w:r>
      <w:r>
        <w:rPr>
          <w:w w:val="105"/>
          <w:sz w:val="15"/>
        </w:rPr>
        <w:t>transporte,</w:t>
      </w:r>
      <w:r>
        <w:rPr>
          <w:spacing w:val="-1"/>
          <w:w w:val="105"/>
          <w:sz w:val="15"/>
        </w:rPr>
        <w:t xml:space="preserve"> </w:t>
      </w:r>
      <w:r>
        <w:rPr>
          <w:w w:val="105"/>
          <w:sz w:val="15"/>
        </w:rPr>
        <w:t>a</w:t>
      </w:r>
      <w:r>
        <w:rPr>
          <w:spacing w:val="-1"/>
          <w:w w:val="105"/>
          <w:sz w:val="15"/>
        </w:rPr>
        <w:t xml:space="preserve"> </w:t>
      </w:r>
      <w:r>
        <w:rPr>
          <w:w w:val="105"/>
          <w:sz w:val="15"/>
        </w:rPr>
        <w:t>la información y las comunicaciones, y a las instalaciones y servicios abiertos o proporcionado al público.</w:t>
      </w:r>
    </w:p>
    <w:p w14:paraId="04A71D45" w14:textId="77777777" w:rsidR="0014798C" w:rsidRDefault="004E1F0B">
      <w:pPr>
        <w:spacing w:line="348" w:lineRule="auto"/>
        <w:ind w:left="1108" w:right="1166" w:hanging="2"/>
        <w:rPr>
          <w:sz w:val="15"/>
        </w:rPr>
      </w:pPr>
      <w:r>
        <w:rPr>
          <w:w w:val="105"/>
          <w:sz w:val="15"/>
        </w:rPr>
        <w:t>El artículo 9 incluye tanto un deber negativo de identificar y eliminar barreras que impiden la igualdad de acceso como un deber positivo de garantizar proactivamente la accesibilidad. El artículo 9 (1) establece que los Estados tienen la obligación de identificar y eliminar obstáculos y barreras en áreas que incluyen, entre otras, edificios, carreteras, transporte y otras instalaciones, e información, comunicaciones y otros servicios. El artículo 9 (2) exige que los Estados adopten una serie de medidas proactivas, incluido el desarrollo, la</w:t>
      </w:r>
      <w:r>
        <w:rPr>
          <w:spacing w:val="-1"/>
          <w:w w:val="105"/>
          <w:sz w:val="15"/>
        </w:rPr>
        <w:t xml:space="preserve"> </w:t>
      </w:r>
      <w:r>
        <w:rPr>
          <w:w w:val="105"/>
          <w:sz w:val="15"/>
        </w:rPr>
        <w:t>promulgación</w:t>
      </w:r>
      <w:r>
        <w:rPr>
          <w:spacing w:val="-1"/>
          <w:w w:val="105"/>
          <w:sz w:val="15"/>
        </w:rPr>
        <w:t xml:space="preserve"> </w:t>
      </w:r>
      <w:r>
        <w:rPr>
          <w:w w:val="105"/>
          <w:sz w:val="15"/>
        </w:rPr>
        <w:t>y</w:t>
      </w:r>
      <w:r>
        <w:rPr>
          <w:spacing w:val="-1"/>
          <w:w w:val="105"/>
          <w:sz w:val="15"/>
        </w:rPr>
        <w:t xml:space="preserve"> </w:t>
      </w:r>
      <w:r>
        <w:rPr>
          <w:w w:val="105"/>
          <w:sz w:val="15"/>
        </w:rPr>
        <w:t>el</w:t>
      </w:r>
      <w:r>
        <w:rPr>
          <w:spacing w:val="-1"/>
          <w:w w:val="105"/>
          <w:sz w:val="15"/>
        </w:rPr>
        <w:t xml:space="preserve"> </w:t>
      </w:r>
      <w:r>
        <w:rPr>
          <w:w w:val="105"/>
          <w:sz w:val="15"/>
        </w:rPr>
        <w:t>seguimiento</w:t>
      </w:r>
      <w:r>
        <w:rPr>
          <w:spacing w:val="-2"/>
          <w:w w:val="105"/>
          <w:sz w:val="15"/>
        </w:rPr>
        <w:t xml:space="preserve"> </w:t>
      </w:r>
      <w:r>
        <w:rPr>
          <w:w w:val="105"/>
          <w:sz w:val="15"/>
        </w:rPr>
        <w:t>de</w:t>
      </w:r>
      <w:r>
        <w:rPr>
          <w:spacing w:val="-1"/>
          <w:w w:val="105"/>
          <w:sz w:val="15"/>
        </w:rPr>
        <w:t xml:space="preserve"> </w:t>
      </w:r>
      <w:r>
        <w:rPr>
          <w:w w:val="105"/>
          <w:sz w:val="15"/>
        </w:rPr>
        <w:t>la</w:t>
      </w:r>
      <w:r>
        <w:rPr>
          <w:spacing w:val="-1"/>
          <w:w w:val="105"/>
          <w:sz w:val="15"/>
        </w:rPr>
        <w:t xml:space="preserve"> </w:t>
      </w:r>
      <w:r>
        <w:rPr>
          <w:w w:val="105"/>
          <w:sz w:val="15"/>
        </w:rPr>
        <w:t>aplicación</w:t>
      </w:r>
      <w:r>
        <w:rPr>
          <w:spacing w:val="-1"/>
          <w:w w:val="105"/>
          <w:sz w:val="15"/>
        </w:rPr>
        <w:t xml:space="preserve"> </w:t>
      </w:r>
      <w:r>
        <w:rPr>
          <w:w w:val="105"/>
          <w:sz w:val="15"/>
        </w:rPr>
        <w:t>de</w:t>
      </w:r>
      <w:r>
        <w:rPr>
          <w:spacing w:val="-1"/>
          <w:w w:val="105"/>
          <w:sz w:val="15"/>
        </w:rPr>
        <w:t xml:space="preserve"> </w:t>
      </w:r>
      <w:r>
        <w:rPr>
          <w:w w:val="105"/>
          <w:sz w:val="15"/>
        </w:rPr>
        <w:t>normas</w:t>
      </w:r>
      <w:r>
        <w:rPr>
          <w:spacing w:val="-1"/>
          <w:w w:val="105"/>
          <w:sz w:val="15"/>
        </w:rPr>
        <w:t xml:space="preserve"> </w:t>
      </w:r>
      <w:r>
        <w:rPr>
          <w:w w:val="105"/>
          <w:sz w:val="15"/>
        </w:rPr>
        <w:t>y</w:t>
      </w:r>
      <w:r>
        <w:rPr>
          <w:spacing w:val="-1"/>
          <w:w w:val="105"/>
          <w:sz w:val="15"/>
        </w:rPr>
        <w:t xml:space="preserve"> </w:t>
      </w:r>
      <w:r>
        <w:rPr>
          <w:w w:val="105"/>
          <w:sz w:val="15"/>
        </w:rPr>
        <w:t>directrices</w:t>
      </w:r>
      <w:r>
        <w:rPr>
          <w:spacing w:val="-2"/>
          <w:w w:val="105"/>
          <w:sz w:val="15"/>
        </w:rPr>
        <w:t xml:space="preserve"> </w:t>
      </w:r>
      <w:r>
        <w:rPr>
          <w:w w:val="105"/>
          <w:sz w:val="15"/>
        </w:rPr>
        <w:t>mínimas</w:t>
      </w:r>
      <w:r>
        <w:rPr>
          <w:spacing w:val="-2"/>
          <w:w w:val="105"/>
          <w:sz w:val="15"/>
        </w:rPr>
        <w:t xml:space="preserve"> </w:t>
      </w:r>
      <w:r>
        <w:rPr>
          <w:w w:val="105"/>
          <w:sz w:val="15"/>
        </w:rPr>
        <w:t>para</w:t>
      </w:r>
      <w:r>
        <w:rPr>
          <w:spacing w:val="-1"/>
          <w:w w:val="105"/>
          <w:sz w:val="15"/>
        </w:rPr>
        <w:t xml:space="preserve"> </w:t>
      </w:r>
      <w:r>
        <w:rPr>
          <w:w w:val="105"/>
          <w:sz w:val="15"/>
        </w:rPr>
        <w:t>la</w:t>
      </w:r>
      <w:r>
        <w:rPr>
          <w:spacing w:val="-1"/>
          <w:w w:val="105"/>
          <w:sz w:val="15"/>
        </w:rPr>
        <w:t xml:space="preserve"> </w:t>
      </w:r>
      <w:r>
        <w:rPr>
          <w:w w:val="105"/>
          <w:sz w:val="15"/>
        </w:rPr>
        <w:t>accesibilidad</w:t>
      </w:r>
      <w:r>
        <w:rPr>
          <w:spacing w:val="-1"/>
          <w:w w:val="105"/>
          <w:sz w:val="15"/>
        </w:rPr>
        <w:t xml:space="preserve"> </w:t>
      </w:r>
      <w:r>
        <w:rPr>
          <w:w w:val="105"/>
          <w:sz w:val="15"/>
        </w:rPr>
        <w:t>de</w:t>
      </w:r>
      <w:r>
        <w:rPr>
          <w:spacing w:val="-1"/>
          <w:w w:val="105"/>
          <w:sz w:val="15"/>
        </w:rPr>
        <w:t xml:space="preserve"> </w:t>
      </w:r>
      <w:r>
        <w:rPr>
          <w:w w:val="105"/>
          <w:sz w:val="15"/>
        </w:rPr>
        <w:t>las</w:t>
      </w:r>
      <w:r>
        <w:rPr>
          <w:spacing w:val="-1"/>
          <w:w w:val="105"/>
          <w:sz w:val="15"/>
        </w:rPr>
        <w:t xml:space="preserve"> </w:t>
      </w:r>
      <w:r>
        <w:rPr>
          <w:w w:val="105"/>
          <w:sz w:val="15"/>
        </w:rPr>
        <w:t>instalaciones y servicios abiertos o proporcionados al público y la garantía de que “las entidades privadas que ofrecen instalaciones y los servicios abiertos o prestados al público tienen en cuenta todos los aspectos de la accesibilidad para las personas con discapacidad”.</w:t>
      </w:r>
    </w:p>
    <w:p w14:paraId="1A1A99B0" w14:textId="77777777" w:rsidR="0014798C" w:rsidRDefault="0014798C">
      <w:pPr>
        <w:pStyle w:val="Textoindependiente"/>
        <w:rPr>
          <w:sz w:val="19"/>
        </w:rPr>
      </w:pPr>
    </w:p>
    <w:p w14:paraId="0986C291" w14:textId="77777777" w:rsidR="0014798C" w:rsidRDefault="0014798C">
      <w:pPr>
        <w:pStyle w:val="Textoindependiente"/>
        <w:rPr>
          <w:sz w:val="19"/>
        </w:rPr>
      </w:pPr>
    </w:p>
    <w:p w14:paraId="11E2EF0C" w14:textId="77777777" w:rsidR="0014798C" w:rsidRDefault="0014798C">
      <w:pPr>
        <w:pStyle w:val="Textoindependiente"/>
        <w:rPr>
          <w:sz w:val="19"/>
        </w:rPr>
      </w:pPr>
    </w:p>
    <w:p w14:paraId="49F965F1" w14:textId="77777777" w:rsidR="0014798C" w:rsidRDefault="0014798C">
      <w:pPr>
        <w:pStyle w:val="Textoindependiente"/>
        <w:rPr>
          <w:sz w:val="19"/>
        </w:rPr>
      </w:pPr>
    </w:p>
    <w:p w14:paraId="7FC8AC6F" w14:textId="77777777" w:rsidR="0014798C" w:rsidRDefault="0014798C">
      <w:pPr>
        <w:pStyle w:val="Textoindependiente"/>
        <w:rPr>
          <w:sz w:val="19"/>
        </w:rPr>
      </w:pPr>
    </w:p>
    <w:p w14:paraId="508C0F04" w14:textId="77777777" w:rsidR="0014798C" w:rsidRDefault="0014798C">
      <w:pPr>
        <w:pStyle w:val="Textoindependiente"/>
        <w:spacing w:before="40"/>
        <w:rPr>
          <w:sz w:val="19"/>
        </w:rPr>
      </w:pPr>
    </w:p>
    <w:p w14:paraId="2828ED7D" w14:textId="77777777" w:rsidR="0014798C" w:rsidRDefault="004E1F0B">
      <w:pPr>
        <w:spacing w:before="1"/>
        <w:ind w:left="549"/>
        <w:rPr>
          <w:sz w:val="19"/>
        </w:rPr>
      </w:pPr>
      <w:r>
        <w:rPr>
          <w:spacing w:val="-5"/>
          <w:sz w:val="19"/>
        </w:rPr>
        <w:t>66</w:t>
      </w:r>
    </w:p>
    <w:p w14:paraId="452B9081" w14:textId="77777777" w:rsidR="0014798C" w:rsidRDefault="0014798C">
      <w:pPr>
        <w:rPr>
          <w:sz w:val="19"/>
        </w:rPr>
        <w:sectPr w:rsidR="0014798C" w:rsidSect="00F265E4">
          <w:pgSz w:w="11900" w:h="16820"/>
          <w:pgMar w:top="340" w:right="0" w:bottom="280" w:left="200" w:header="121" w:footer="0" w:gutter="0"/>
          <w:cols w:space="720"/>
        </w:sectPr>
      </w:pPr>
    </w:p>
    <w:p w14:paraId="33537244" w14:textId="77777777" w:rsidR="0014798C" w:rsidRDefault="0014798C">
      <w:pPr>
        <w:pStyle w:val="Textoindependiente"/>
        <w:spacing w:before="51"/>
        <w:rPr>
          <w:sz w:val="14"/>
        </w:rPr>
      </w:pPr>
    </w:p>
    <w:p w14:paraId="23536688" w14:textId="77777777" w:rsidR="0014798C" w:rsidRDefault="004E1F0B">
      <w:pPr>
        <w:ind w:left="1111"/>
        <w:rPr>
          <w:sz w:val="14"/>
        </w:rPr>
      </w:pPr>
      <w:r>
        <w:rPr>
          <w:color w:val="00AC59"/>
          <w:sz w:val="14"/>
        </w:rPr>
        <w:t>SEGUNDA</w:t>
      </w:r>
      <w:r>
        <w:rPr>
          <w:color w:val="00AC59"/>
          <w:spacing w:val="-5"/>
          <w:sz w:val="14"/>
        </w:rPr>
        <w:t xml:space="preserve"> </w:t>
      </w:r>
      <w:r>
        <w:rPr>
          <w:color w:val="00AC59"/>
          <w:sz w:val="14"/>
        </w:rPr>
        <w:t>PARTE:</w:t>
      </w:r>
      <w:r>
        <w:rPr>
          <w:color w:val="00AC59"/>
          <w:spacing w:val="-5"/>
          <w:sz w:val="14"/>
        </w:rPr>
        <w:t xml:space="preserve"> </w:t>
      </w:r>
      <w:r>
        <w:rPr>
          <w:color w:val="00AC59"/>
          <w:sz w:val="14"/>
        </w:rPr>
        <w:t>CONTENIDO</w:t>
      </w:r>
      <w:r>
        <w:rPr>
          <w:color w:val="00AC59"/>
          <w:spacing w:val="-4"/>
          <w:sz w:val="14"/>
        </w:rPr>
        <w:t xml:space="preserve"> </w:t>
      </w:r>
      <w:r>
        <w:rPr>
          <w:color w:val="00AC59"/>
          <w:sz w:val="14"/>
        </w:rPr>
        <w:t>DE</w:t>
      </w:r>
      <w:r>
        <w:rPr>
          <w:color w:val="00AC59"/>
          <w:spacing w:val="-5"/>
          <w:sz w:val="14"/>
        </w:rPr>
        <w:t xml:space="preserve"> </w:t>
      </w:r>
      <w:r>
        <w:rPr>
          <w:color w:val="00AC59"/>
          <w:sz w:val="14"/>
        </w:rPr>
        <w:t>LA</w:t>
      </w:r>
      <w:r>
        <w:rPr>
          <w:color w:val="00AC59"/>
          <w:spacing w:val="-4"/>
          <w:sz w:val="14"/>
        </w:rPr>
        <w:t xml:space="preserve"> </w:t>
      </w:r>
      <w:r>
        <w:rPr>
          <w:color w:val="00AC59"/>
          <w:sz w:val="14"/>
        </w:rPr>
        <w:t>LEY</w:t>
      </w:r>
      <w:r>
        <w:rPr>
          <w:color w:val="00AC59"/>
          <w:spacing w:val="-4"/>
          <w:sz w:val="14"/>
        </w:rPr>
        <w:t xml:space="preserve"> </w:t>
      </w:r>
      <w:r>
        <w:rPr>
          <w:color w:val="00AC59"/>
          <w:sz w:val="14"/>
        </w:rPr>
        <w:t>INTEGRAL</w:t>
      </w:r>
      <w:r>
        <w:rPr>
          <w:color w:val="00AC59"/>
          <w:spacing w:val="-5"/>
          <w:sz w:val="14"/>
        </w:rPr>
        <w:t xml:space="preserve"> </w:t>
      </w:r>
      <w:r>
        <w:rPr>
          <w:color w:val="00AC59"/>
          <w:spacing w:val="-2"/>
          <w:sz w:val="14"/>
        </w:rPr>
        <w:t>ANTIDISCRIMINACIÓN</w:t>
      </w:r>
    </w:p>
    <w:p w14:paraId="5191425A" w14:textId="77777777" w:rsidR="0014798C" w:rsidRDefault="0014798C">
      <w:pPr>
        <w:pStyle w:val="Textoindependiente"/>
        <w:rPr>
          <w:sz w:val="18"/>
        </w:rPr>
      </w:pPr>
    </w:p>
    <w:p w14:paraId="4CAB5375" w14:textId="77777777" w:rsidR="0014798C" w:rsidRDefault="0014798C">
      <w:pPr>
        <w:pStyle w:val="Textoindependiente"/>
        <w:rPr>
          <w:sz w:val="18"/>
        </w:rPr>
      </w:pPr>
    </w:p>
    <w:p w14:paraId="63AD8465" w14:textId="77777777" w:rsidR="0014798C" w:rsidRDefault="0014798C">
      <w:pPr>
        <w:pStyle w:val="Textoindependiente"/>
        <w:rPr>
          <w:sz w:val="18"/>
        </w:rPr>
      </w:pPr>
    </w:p>
    <w:p w14:paraId="12BD0F2E" w14:textId="77777777" w:rsidR="0014798C" w:rsidRDefault="0014798C">
      <w:pPr>
        <w:pStyle w:val="Textoindependiente"/>
        <w:spacing w:before="118"/>
        <w:rPr>
          <w:sz w:val="18"/>
        </w:rPr>
      </w:pPr>
    </w:p>
    <w:p w14:paraId="79FC0E2E" w14:textId="77777777" w:rsidR="0014798C" w:rsidRDefault="004E1F0B">
      <w:pPr>
        <w:spacing w:line="290" w:lineRule="auto"/>
        <w:ind w:left="1111" w:right="1272" w:hanging="6"/>
        <w:rPr>
          <w:sz w:val="18"/>
        </w:rPr>
      </w:pPr>
      <w:r>
        <w:rPr>
          <w:sz w:val="18"/>
        </w:rPr>
        <w:t>El Comité sobre los Derechos de las Personas con Discapacidad ha elaborado extensamente el contenido de la obligación establecida en el artículo 9. En su observación general núm. 2 (2014), el Comité señala que la accesibilidad está intrínsecamente relacionada con la prohibición de la discriminación, afirmando eso:</w:t>
      </w:r>
    </w:p>
    <w:p w14:paraId="55B8FCEF" w14:textId="77777777" w:rsidR="0014798C" w:rsidRDefault="004E1F0B">
      <w:pPr>
        <w:pStyle w:val="Textoindependiente"/>
        <w:spacing w:before="126" w:line="326" w:lineRule="auto"/>
        <w:ind w:left="1673" w:right="1463" w:hanging="1"/>
      </w:pPr>
      <w:r>
        <w:rPr>
          <w:noProof/>
        </w:rPr>
        <w:drawing>
          <wp:anchor distT="0" distB="0" distL="0" distR="0" simplePos="0" relativeHeight="251658410" behindDoc="1" locked="0" layoutInCell="1" allowOverlap="1" wp14:anchorId="59416B97" wp14:editId="3DC973B2">
            <wp:simplePos x="0" y="0"/>
            <wp:positionH relativeFrom="page">
              <wp:posOffset>790692</wp:posOffset>
            </wp:positionH>
            <wp:positionV relativeFrom="paragraph">
              <wp:posOffset>610350</wp:posOffset>
            </wp:positionV>
            <wp:extent cx="6765807" cy="6403027"/>
            <wp:effectExtent l="0" t="0" r="0" b="0"/>
            <wp:wrapNone/>
            <wp:docPr id="165" name="Image 16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65" name="Image 165"/>
                    <pic:cNvPicPr/>
                  </pic:nvPicPr>
                  <pic:blipFill>
                    <a:blip r:embed="rId150" cstate="print"/>
                    <a:stretch>
                      <a:fillRect/>
                    </a:stretch>
                  </pic:blipFill>
                  <pic:spPr>
                    <a:xfrm>
                      <a:off x="0" y="0"/>
                      <a:ext cx="6765807" cy="6403027"/>
                    </a:xfrm>
                    <a:prstGeom prst="rect">
                      <a:avLst/>
                    </a:prstGeom>
                  </pic:spPr>
                </pic:pic>
              </a:graphicData>
            </a:graphic>
          </wp:anchor>
        </w:drawing>
      </w:r>
      <w:r>
        <w:rPr>
          <w:color w:val="00AC59"/>
          <w:w w:val="105"/>
        </w:rPr>
        <w:t>Mientras</w:t>
      </w:r>
      <w:r>
        <w:rPr>
          <w:color w:val="00AC59"/>
          <w:spacing w:val="-1"/>
          <w:w w:val="105"/>
        </w:rPr>
        <w:t xml:space="preserve"> </w:t>
      </w:r>
      <w:r>
        <w:rPr>
          <w:color w:val="00AC59"/>
          <w:w w:val="105"/>
        </w:rPr>
        <w:t>los</w:t>
      </w:r>
      <w:r>
        <w:rPr>
          <w:color w:val="00AC59"/>
          <w:spacing w:val="-1"/>
          <w:w w:val="105"/>
        </w:rPr>
        <w:t xml:space="preserve"> </w:t>
      </w:r>
      <w:r>
        <w:rPr>
          <w:color w:val="00AC59"/>
          <w:w w:val="105"/>
        </w:rPr>
        <w:t>bienes, productos</w:t>
      </w:r>
      <w:r>
        <w:rPr>
          <w:color w:val="00AC59"/>
          <w:spacing w:val="-1"/>
          <w:w w:val="105"/>
        </w:rPr>
        <w:t xml:space="preserve"> </w:t>
      </w:r>
      <w:r>
        <w:rPr>
          <w:color w:val="00AC59"/>
          <w:w w:val="105"/>
        </w:rPr>
        <w:t>y</w:t>
      </w:r>
      <w:r>
        <w:rPr>
          <w:color w:val="00AC59"/>
          <w:spacing w:val="-1"/>
          <w:w w:val="105"/>
        </w:rPr>
        <w:t xml:space="preserve"> </w:t>
      </w:r>
      <w:r>
        <w:rPr>
          <w:color w:val="00AC59"/>
          <w:w w:val="105"/>
        </w:rPr>
        <w:t>servicios</w:t>
      </w:r>
      <w:r>
        <w:rPr>
          <w:color w:val="00AC59"/>
          <w:spacing w:val="-1"/>
          <w:w w:val="105"/>
        </w:rPr>
        <w:t xml:space="preserve"> </w:t>
      </w:r>
      <w:r>
        <w:rPr>
          <w:color w:val="00AC59"/>
          <w:w w:val="105"/>
        </w:rPr>
        <w:t>estén</w:t>
      </w:r>
      <w:r>
        <w:rPr>
          <w:color w:val="00AC59"/>
          <w:spacing w:val="-1"/>
          <w:w w:val="105"/>
        </w:rPr>
        <w:t xml:space="preserve"> </w:t>
      </w:r>
      <w:r>
        <w:rPr>
          <w:color w:val="00AC59"/>
          <w:w w:val="105"/>
        </w:rPr>
        <w:t>abiertos</w:t>
      </w:r>
      <w:r>
        <w:rPr>
          <w:color w:val="00AC59"/>
          <w:spacing w:val="-1"/>
          <w:w w:val="105"/>
        </w:rPr>
        <w:t xml:space="preserve"> </w:t>
      </w:r>
      <w:r>
        <w:rPr>
          <w:color w:val="00AC59"/>
          <w:w w:val="105"/>
        </w:rPr>
        <w:t>o</w:t>
      </w:r>
      <w:r>
        <w:rPr>
          <w:color w:val="00AC59"/>
          <w:spacing w:val="-1"/>
          <w:w w:val="105"/>
        </w:rPr>
        <w:t xml:space="preserve"> </w:t>
      </w:r>
      <w:r>
        <w:rPr>
          <w:color w:val="00AC59"/>
          <w:w w:val="105"/>
        </w:rPr>
        <w:t>se</w:t>
      </w:r>
      <w:r>
        <w:rPr>
          <w:color w:val="00AC59"/>
          <w:spacing w:val="-1"/>
          <w:w w:val="105"/>
        </w:rPr>
        <w:t xml:space="preserve"> </w:t>
      </w:r>
      <w:r>
        <w:rPr>
          <w:color w:val="00AC59"/>
          <w:w w:val="105"/>
        </w:rPr>
        <w:t>proporcionen</w:t>
      </w:r>
      <w:r>
        <w:rPr>
          <w:color w:val="00AC59"/>
          <w:spacing w:val="-1"/>
          <w:w w:val="105"/>
        </w:rPr>
        <w:t xml:space="preserve"> </w:t>
      </w:r>
      <w:r>
        <w:rPr>
          <w:color w:val="00AC59"/>
          <w:w w:val="105"/>
        </w:rPr>
        <w:t>al</w:t>
      </w:r>
      <w:r>
        <w:rPr>
          <w:color w:val="00AC59"/>
          <w:spacing w:val="-1"/>
          <w:w w:val="105"/>
        </w:rPr>
        <w:t xml:space="preserve"> </w:t>
      </w:r>
      <w:r>
        <w:rPr>
          <w:color w:val="00AC59"/>
          <w:w w:val="105"/>
        </w:rPr>
        <w:t>público, deben</w:t>
      </w:r>
      <w:r>
        <w:rPr>
          <w:color w:val="00AC59"/>
          <w:spacing w:val="-1"/>
          <w:w w:val="105"/>
        </w:rPr>
        <w:t xml:space="preserve"> </w:t>
      </w:r>
      <w:r>
        <w:rPr>
          <w:color w:val="00AC59"/>
          <w:w w:val="105"/>
        </w:rPr>
        <w:t>ser</w:t>
      </w:r>
      <w:r>
        <w:rPr>
          <w:color w:val="00AC59"/>
          <w:spacing w:val="-1"/>
          <w:w w:val="105"/>
        </w:rPr>
        <w:t xml:space="preserve"> </w:t>
      </w:r>
      <w:r>
        <w:rPr>
          <w:color w:val="00AC59"/>
          <w:w w:val="105"/>
        </w:rPr>
        <w:t>accesibles</w:t>
      </w:r>
      <w:r>
        <w:rPr>
          <w:color w:val="00AC59"/>
          <w:spacing w:val="-1"/>
          <w:w w:val="105"/>
        </w:rPr>
        <w:t xml:space="preserve"> </w:t>
      </w:r>
      <w:r>
        <w:rPr>
          <w:color w:val="00AC59"/>
          <w:w w:val="105"/>
        </w:rPr>
        <w:t>para todos…. Las</w:t>
      </w:r>
      <w:r>
        <w:rPr>
          <w:color w:val="00AC59"/>
          <w:spacing w:val="-1"/>
          <w:w w:val="105"/>
        </w:rPr>
        <w:t xml:space="preserve"> </w:t>
      </w:r>
      <w:r>
        <w:rPr>
          <w:color w:val="00AC59"/>
          <w:w w:val="105"/>
        </w:rPr>
        <w:t>personas</w:t>
      </w:r>
      <w:r>
        <w:rPr>
          <w:color w:val="00AC59"/>
          <w:spacing w:val="-1"/>
          <w:w w:val="105"/>
        </w:rPr>
        <w:t xml:space="preserve"> </w:t>
      </w:r>
      <w:r>
        <w:rPr>
          <w:color w:val="00AC59"/>
          <w:w w:val="105"/>
        </w:rPr>
        <w:t>con</w:t>
      </w:r>
      <w:r>
        <w:rPr>
          <w:color w:val="00AC59"/>
          <w:spacing w:val="-1"/>
          <w:w w:val="105"/>
        </w:rPr>
        <w:t xml:space="preserve"> </w:t>
      </w:r>
      <w:r>
        <w:rPr>
          <w:color w:val="00AC59"/>
          <w:w w:val="105"/>
        </w:rPr>
        <w:t>discapacidad</w:t>
      </w:r>
      <w:r>
        <w:rPr>
          <w:color w:val="00AC59"/>
          <w:spacing w:val="-1"/>
          <w:w w:val="105"/>
        </w:rPr>
        <w:t xml:space="preserve"> </w:t>
      </w:r>
      <w:r>
        <w:rPr>
          <w:color w:val="00AC59"/>
          <w:w w:val="105"/>
        </w:rPr>
        <w:t>deben</w:t>
      </w:r>
      <w:r>
        <w:rPr>
          <w:color w:val="00AC59"/>
          <w:spacing w:val="-1"/>
          <w:w w:val="105"/>
        </w:rPr>
        <w:t xml:space="preserve"> </w:t>
      </w:r>
      <w:r>
        <w:rPr>
          <w:color w:val="00AC59"/>
          <w:w w:val="105"/>
        </w:rPr>
        <w:t>tener</w:t>
      </w:r>
      <w:r>
        <w:rPr>
          <w:color w:val="00AC59"/>
          <w:spacing w:val="-1"/>
          <w:w w:val="105"/>
        </w:rPr>
        <w:t xml:space="preserve"> </w:t>
      </w:r>
      <w:r>
        <w:rPr>
          <w:color w:val="00AC59"/>
          <w:w w:val="105"/>
        </w:rPr>
        <w:t>igual</w:t>
      </w:r>
      <w:r>
        <w:rPr>
          <w:color w:val="00AC59"/>
          <w:spacing w:val="-1"/>
          <w:w w:val="105"/>
        </w:rPr>
        <w:t xml:space="preserve"> </w:t>
      </w:r>
      <w:r>
        <w:rPr>
          <w:color w:val="00AC59"/>
          <w:w w:val="105"/>
        </w:rPr>
        <w:t>acceso</w:t>
      </w:r>
      <w:r>
        <w:rPr>
          <w:color w:val="00AC59"/>
          <w:spacing w:val="-1"/>
          <w:w w:val="105"/>
        </w:rPr>
        <w:t xml:space="preserve"> </w:t>
      </w:r>
      <w:r>
        <w:rPr>
          <w:color w:val="00AC59"/>
          <w:w w:val="105"/>
        </w:rPr>
        <w:t>a</w:t>
      </w:r>
      <w:r>
        <w:rPr>
          <w:color w:val="00AC59"/>
          <w:spacing w:val="-1"/>
          <w:w w:val="105"/>
        </w:rPr>
        <w:t xml:space="preserve"> </w:t>
      </w:r>
      <w:r>
        <w:rPr>
          <w:color w:val="00AC59"/>
          <w:w w:val="105"/>
        </w:rPr>
        <w:t>todos</w:t>
      </w:r>
      <w:r>
        <w:rPr>
          <w:color w:val="00AC59"/>
          <w:spacing w:val="-1"/>
          <w:w w:val="105"/>
        </w:rPr>
        <w:t xml:space="preserve"> </w:t>
      </w:r>
      <w:r>
        <w:rPr>
          <w:color w:val="00AC59"/>
          <w:w w:val="105"/>
        </w:rPr>
        <w:t>los</w:t>
      </w:r>
      <w:r>
        <w:rPr>
          <w:color w:val="00AC59"/>
          <w:spacing w:val="-1"/>
          <w:w w:val="105"/>
        </w:rPr>
        <w:t xml:space="preserve"> </w:t>
      </w:r>
      <w:r>
        <w:rPr>
          <w:color w:val="00AC59"/>
          <w:w w:val="105"/>
        </w:rPr>
        <w:t>bienes, productos</w:t>
      </w:r>
      <w:r>
        <w:rPr>
          <w:color w:val="00AC59"/>
          <w:spacing w:val="-1"/>
          <w:w w:val="105"/>
        </w:rPr>
        <w:t xml:space="preserve"> </w:t>
      </w:r>
      <w:r>
        <w:rPr>
          <w:color w:val="00AC59"/>
          <w:w w:val="105"/>
        </w:rPr>
        <w:t>y</w:t>
      </w:r>
      <w:r>
        <w:rPr>
          <w:color w:val="00AC59"/>
          <w:spacing w:val="-1"/>
          <w:w w:val="105"/>
        </w:rPr>
        <w:t xml:space="preserve"> </w:t>
      </w:r>
      <w:r>
        <w:rPr>
          <w:color w:val="00AC59"/>
          <w:w w:val="105"/>
        </w:rPr>
        <w:t>servicios</w:t>
      </w:r>
      <w:r>
        <w:rPr>
          <w:color w:val="00AC59"/>
          <w:spacing w:val="-1"/>
          <w:w w:val="105"/>
        </w:rPr>
        <w:t xml:space="preserve"> </w:t>
      </w:r>
      <w:r>
        <w:rPr>
          <w:color w:val="00AC59"/>
          <w:w w:val="105"/>
        </w:rPr>
        <w:t>que estén</w:t>
      </w:r>
      <w:r>
        <w:rPr>
          <w:color w:val="00AC59"/>
          <w:spacing w:val="-2"/>
          <w:w w:val="105"/>
        </w:rPr>
        <w:t xml:space="preserve"> </w:t>
      </w:r>
      <w:r>
        <w:rPr>
          <w:color w:val="00AC59"/>
          <w:w w:val="105"/>
        </w:rPr>
        <w:t>abiertos</w:t>
      </w:r>
      <w:r>
        <w:rPr>
          <w:color w:val="00AC59"/>
          <w:spacing w:val="-2"/>
          <w:w w:val="105"/>
        </w:rPr>
        <w:t xml:space="preserve"> </w:t>
      </w:r>
      <w:r>
        <w:rPr>
          <w:color w:val="00AC59"/>
          <w:w w:val="105"/>
        </w:rPr>
        <w:t>o</w:t>
      </w:r>
      <w:r>
        <w:rPr>
          <w:color w:val="00AC59"/>
          <w:spacing w:val="-2"/>
          <w:w w:val="105"/>
        </w:rPr>
        <w:t xml:space="preserve"> </w:t>
      </w:r>
      <w:r>
        <w:rPr>
          <w:color w:val="00AC59"/>
          <w:w w:val="105"/>
        </w:rPr>
        <w:t>proporcionados</w:t>
      </w:r>
      <w:r>
        <w:rPr>
          <w:color w:val="00AC59"/>
          <w:spacing w:val="-2"/>
          <w:w w:val="105"/>
        </w:rPr>
        <w:t xml:space="preserve"> </w:t>
      </w:r>
      <w:r>
        <w:rPr>
          <w:color w:val="00AC59"/>
          <w:w w:val="105"/>
        </w:rPr>
        <w:t>al</w:t>
      </w:r>
      <w:r>
        <w:rPr>
          <w:color w:val="00AC59"/>
          <w:spacing w:val="-2"/>
          <w:w w:val="105"/>
        </w:rPr>
        <w:t xml:space="preserve"> </w:t>
      </w:r>
      <w:r>
        <w:rPr>
          <w:color w:val="00AC59"/>
          <w:w w:val="105"/>
        </w:rPr>
        <w:t>público</w:t>
      </w:r>
      <w:r>
        <w:rPr>
          <w:color w:val="00AC59"/>
          <w:spacing w:val="-2"/>
          <w:w w:val="105"/>
        </w:rPr>
        <w:t xml:space="preserve"> </w:t>
      </w:r>
      <w:r>
        <w:rPr>
          <w:color w:val="00AC59"/>
          <w:w w:val="105"/>
        </w:rPr>
        <w:t>de</w:t>
      </w:r>
      <w:r>
        <w:rPr>
          <w:color w:val="00AC59"/>
          <w:spacing w:val="-2"/>
          <w:w w:val="105"/>
        </w:rPr>
        <w:t xml:space="preserve"> </w:t>
      </w:r>
      <w:r>
        <w:rPr>
          <w:color w:val="00AC59"/>
          <w:w w:val="105"/>
        </w:rPr>
        <w:t>una</w:t>
      </w:r>
      <w:r>
        <w:rPr>
          <w:color w:val="00AC59"/>
          <w:spacing w:val="-2"/>
          <w:w w:val="105"/>
        </w:rPr>
        <w:t xml:space="preserve"> </w:t>
      </w:r>
      <w:r>
        <w:rPr>
          <w:color w:val="00AC59"/>
          <w:w w:val="105"/>
        </w:rPr>
        <w:t>manera</w:t>
      </w:r>
      <w:r>
        <w:rPr>
          <w:color w:val="00AC59"/>
          <w:spacing w:val="-2"/>
          <w:w w:val="105"/>
        </w:rPr>
        <w:t xml:space="preserve"> </w:t>
      </w:r>
      <w:r>
        <w:rPr>
          <w:color w:val="00AC59"/>
          <w:w w:val="105"/>
        </w:rPr>
        <w:t>que</w:t>
      </w:r>
      <w:r>
        <w:rPr>
          <w:color w:val="00AC59"/>
          <w:spacing w:val="-2"/>
          <w:w w:val="105"/>
        </w:rPr>
        <w:t xml:space="preserve"> </w:t>
      </w:r>
      <w:r>
        <w:rPr>
          <w:color w:val="00AC59"/>
          <w:w w:val="105"/>
        </w:rPr>
        <w:t>garantice</w:t>
      </w:r>
      <w:r>
        <w:rPr>
          <w:color w:val="00AC59"/>
          <w:spacing w:val="-2"/>
          <w:w w:val="105"/>
        </w:rPr>
        <w:t xml:space="preserve"> </w:t>
      </w:r>
      <w:r>
        <w:rPr>
          <w:color w:val="00AC59"/>
          <w:w w:val="105"/>
        </w:rPr>
        <w:t>su</w:t>
      </w:r>
      <w:r>
        <w:rPr>
          <w:color w:val="00AC59"/>
          <w:spacing w:val="-2"/>
          <w:w w:val="105"/>
        </w:rPr>
        <w:t xml:space="preserve"> </w:t>
      </w:r>
      <w:r>
        <w:rPr>
          <w:color w:val="00AC59"/>
          <w:w w:val="105"/>
        </w:rPr>
        <w:t>acceso</w:t>
      </w:r>
      <w:r>
        <w:rPr>
          <w:color w:val="00AC59"/>
          <w:spacing w:val="-2"/>
          <w:w w:val="105"/>
        </w:rPr>
        <w:t xml:space="preserve"> </w:t>
      </w:r>
      <w:r>
        <w:rPr>
          <w:color w:val="00AC59"/>
          <w:w w:val="105"/>
        </w:rPr>
        <w:t>efectivo</w:t>
      </w:r>
      <w:r>
        <w:rPr>
          <w:color w:val="00AC59"/>
          <w:spacing w:val="-2"/>
          <w:w w:val="105"/>
        </w:rPr>
        <w:t xml:space="preserve"> </w:t>
      </w:r>
      <w:r>
        <w:rPr>
          <w:color w:val="00AC59"/>
          <w:w w:val="105"/>
        </w:rPr>
        <w:t>e</w:t>
      </w:r>
      <w:r>
        <w:rPr>
          <w:color w:val="00AC59"/>
          <w:spacing w:val="-2"/>
          <w:w w:val="105"/>
        </w:rPr>
        <w:t xml:space="preserve"> </w:t>
      </w:r>
      <w:r>
        <w:rPr>
          <w:color w:val="00AC59"/>
          <w:w w:val="105"/>
        </w:rPr>
        <w:t>igualitario</w:t>
      </w:r>
      <w:r>
        <w:rPr>
          <w:color w:val="00AC59"/>
          <w:spacing w:val="-2"/>
          <w:w w:val="105"/>
        </w:rPr>
        <w:t xml:space="preserve"> </w:t>
      </w:r>
      <w:r>
        <w:rPr>
          <w:color w:val="00AC59"/>
          <w:w w:val="105"/>
        </w:rPr>
        <w:t>y</w:t>
      </w:r>
      <w:r>
        <w:rPr>
          <w:color w:val="00AC59"/>
          <w:spacing w:val="-2"/>
          <w:w w:val="105"/>
        </w:rPr>
        <w:t xml:space="preserve"> </w:t>
      </w:r>
      <w:r>
        <w:rPr>
          <w:color w:val="00AC59"/>
          <w:w w:val="105"/>
        </w:rPr>
        <w:t xml:space="preserve">respete </w:t>
      </w:r>
      <w:r>
        <w:rPr>
          <w:color w:val="00AC59"/>
          <w:spacing w:val="-2"/>
          <w:w w:val="105"/>
        </w:rPr>
        <w:t>su</w:t>
      </w:r>
      <w:r>
        <w:rPr>
          <w:color w:val="00AC59"/>
          <w:spacing w:val="-5"/>
          <w:w w:val="105"/>
        </w:rPr>
        <w:t xml:space="preserve"> </w:t>
      </w:r>
      <w:r>
        <w:rPr>
          <w:color w:val="00AC59"/>
          <w:spacing w:val="-2"/>
          <w:w w:val="105"/>
        </w:rPr>
        <w:t>dignidad.</w:t>
      </w:r>
      <w:r>
        <w:rPr>
          <w:color w:val="00AC59"/>
          <w:spacing w:val="-4"/>
          <w:w w:val="105"/>
        </w:rPr>
        <w:t xml:space="preserve"> </w:t>
      </w:r>
      <w:r>
        <w:rPr>
          <w:color w:val="00AC59"/>
          <w:spacing w:val="-2"/>
          <w:w w:val="105"/>
        </w:rPr>
        <w:t>Este</w:t>
      </w:r>
      <w:r>
        <w:rPr>
          <w:color w:val="00AC59"/>
          <w:spacing w:val="-5"/>
          <w:w w:val="105"/>
        </w:rPr>
        <w:t xml:space="preserve"> </w:t>
      </w:r>
      <w:r>
        <w:rPr>
          <w:color w:val="00AC59"/>
          <w:spacing w:val="-2"/>
          <w:w w:val="105"/>
        </w:rPr>
        <w:t>enfoque</w:t>
      </w:r>
      <w:r>
        <w:rPr>
          <w:color w:val="00AC59"/>
          <w:spacing w:val="-5"/>
          <w:w w:val="105"/>
        </w:rPr>
        <w:t xml:space="preserve"> </w:t>
      </w:r>
      <w:r>
        <w:rPr>
          <w:color w:val="00AC59"/>
          <w:spacing w:val="-2"/>
          <w:w w:val="105"/>
        </w:rPr>
        <w:t>surge</w:t>
      </w:r>
      <w:r>
        <w:rPr>
          <w:color w:val="00AC59"/>
          <w:spacing w:val="-5"/>
          <w:w w:val="105"/>
        </w:rPr>
        <w:t xml:space="preserve"> </w:t>
      </w:r>
      <w:r>
        <w:rPr>
          <w:color w:val="00AC59"/>
          <w:spacing w:val="-2"/>
          <w:w w:val="105"/>
        </w:rPr>
        <w:t>de</w:t>
      </w:r>
      <w:r>
        <w:rPr>
          <w:color w:val="00AC59"/>
          <w:spacing w:val="-5"/>
          <w:w w:val="105"/>
        </w:rPr>
        <w:t xml:space="preserve"> </w:t>
      </w:r>
      <w:r>
        <w:rPr>
          <w:color w:val="00AC59"/>
          <w:spacing w:val="-2"/>
          <w:w w:val="105"/>
        </w:rPr>
        <w:t>la</w:t>
      </w:r>
      <w:r>
        <w:rPr>
          <w:color w:val="00AC59"/>
          <w:spacing w:val="-5"/>
          <w:w w:val="105"/>
        </w:rPr>
        <w:t xml:space="preserve"> </w:t>
      </w:r>
      <w:r>
        <w:rPr>
          <w:color w:val="00AC59"/>
          <w:spacing w:val="-2"/>
          <w:w w:val="105"/>
        </w:rPr>
        <w:t>prohibición</w:t>
      </w:r>
      <w:r>
        <w:rPr>
          <w:color w:val="00AC59"/>
          <w:spacing w:val="-5"/>
          <w:w w:val="105"/>
        </w:rPr>
        <w:t xml:space="preserve"> </w:t>
      </w:r>
      <w:r>
        <w:rPr>
          <w:color w:val="00AC59"/>
          <w:spacing w:val="-2"/>
          <w:w w:val="105"/>
        </w:rPr>
        <w:t>de</w:t>
      </w:r>
      <w:r>
        <w:rPr>
          <w:color w:val="00AC59"/>
          <w:spacing w:val="-5"/>
          <w:w w:val="105"/>
        </w:rPr>
        <w:t xml:space="preserve"> </w:t>
      </w:r>
      <w:r>
        <w:rPr>
          <w:color w:val="00AC59"/>
          <w:spacing w:val="-2"/>
          <w:w w:val="105"/>
        </w:rPr>
        <w:t>la</w:t>
      </w:r>
      <w:r>
        <w:rPr>
          <w:color w:val="00AC59"/>
          <w:spacing w:val="-5"/>
          <w:w w:val="105"/>
        </w:rPr>
        <w:t xml:space="preserve"> </w:t>
      </w:r>
      <w:r>
        <w:rPr>
          <w:color w:val="00AC59"/>
          <w:spacing w:val="-2"/>
          <w:w w:val="105"/>
        </w:rPr>
        <w:t>discriminación;</w:t>
      </w:r>
      <w:r>
        <w:rPr>
          <w:color w:val="00AC59"/>
          <w:spacing w:val="-3"/>
          <w:w w:val="105"/>
        </w:rPr>
        <w:t xml:space="preserve"> </w:t>
      </w:r>
      <w:r>
        <w:rPr>
          <w:color w:val="00AC59"/>
          <w:spacing w:val="-2"/>
          <w:w w:val="105"/>
        </w:rPr>
        <w:t>La</w:t>
      </w:r>
      <w:r>
        <w:rPr>
          <w:color w:val="00AC59"/>
          <w:spacing w:val="-5"/>
          <w:w w:val="105"/>
        </w:rPr>
        <w:t xml:space="preserve"> </w:t>
      </w:r>
      <w:r>
        <w:rPr>
          <w:color w:val="00AC59"/>
          <w:spacing w:val="-2"/>
          <w:w w:val="105"/>
        </w:rPr>
        <w:t>denegación</w:t>
      </w:r>
      <w:r>
        <w:rPr>
          <w:color w:val="00AC59"/>
          <w:spacing w:val="-5"/>
          <w:w w:val="105"/>
        </w:rPr>
        <w:t xml:space="preserve"> </w:t>
      </w:r>
      <w:r>
        <w:rPr>
          <w:color w:val="00AC59"/>
          <w:spacing w:val="-2"/>
          <w:w w:val="105"/>
        </w:rPr>
        <w:t>de</w:t>
      </w:r>
      <w:r>
        <w:rPr>
          <w:color w:val="00AC59"/>
          <w:spacing w:val="-5"/>
          <w:w w:val="105"/>
        </w:rPr>
        <w:t xml:space="preserve"> </w:t>
      </w:r>
      <w:r>
        <w:rPr>
          <w:color w:val="00AC59"/>
          <w:spacing w:val="-2"/>
          <w:w w:val="105"/>
        </w:rPr>
        <w:t>acceso</w:t>
      </w:r>
      <w:r>
        <w:rPr>
          <w:color w:val="00AC59"/>
          <w:spacing w:val="-5"/>
          <w:w w:val="105"/>
        </w:rPr>
        <w:t xml:space="preserve"> </w:t>
      </w:r>
      <w:r>
        <w:rPr>
          <w:color w:val="00AC59"/>
          <w:spacing w:val="-2"/>
          <w:w w:val="105"/>
        </w:rPr>
        <w:t>debe</w:t>
      </w:r>
      <w:r>
        <w:rPr>
          <w:color w:val="00AC59"/>
          <w:spacing w:val="-5"/>
          <w:w w:val="105"/>
        </w:rPr>
        <w:t xml:space="preserve"> </w:t>
      </w:r>
      <w:r>
        <w:rPr>
          <w:color w:val="00AC59"/>
          <w:spacing w:val="-2"/>
          <w:w w:val="105"/>
        </w:rPr>
        <w:t xml:space="preserve">considerarse </w:t>
      </w:r>
      <w:r>
        <w:rPr>
          <w:color w:val="00AC59"/>
          <w:w w:val="105"/>
        </w:rPr>
        <w:t>como</w:t>
      </w:r>
      <w:r>
        <w:rPr>
          <w:color w:val="00AC59"/>
          <w:spacing w:val="-2"/>
          <w:w w:val="105"/>
        </w:rPr>
        <w:t xml:space="preserve"> </w:t>
      </w:r>
      <w:r>
        <w:rPr>
          <w:color w:val="00AC59"/>
          <w:w w:val="105"/>
        </w:rPr>
        <w:t>un</w:t>
      </w:r>
      <w:r>
        <w:rPr>
          <w:color w:val="00AC59"/>
          <w:spacing w:val="-2"/>
          <w:w w:val="105"/>
        </w:rPr>
        <w:t xml:space="preserve"> </w:t>
      </w:r>
      <w:r>
        <w:rPr>
          <w:color w:val="00AC59"/>
          <w:w w:val="105"/>
        </w:rPr>
        <w:t>acto</w:t>
      </w:r>
      <w:r>
        <w:rPr>
          <w:color w:val="00AC59"/>
          <w:spacing w:val="-2"/>
          <w:w w:val="105"/>
        </w:rPr>
        <w:t xml:space="preserve"> </w:t>
      </w:r>
      <w:r>
        <w:rPr>
          <w:color w:val="00AC59"/>
          <w:w w:val="105"/>
        </w:rPr>
        <w:t>discriminatorio, independientemente</w:t>
      </w:r>
      <w:r>
        <w:rPr>
          <w:color w:val="00AC59"/>
          <w:spacing w:val="-2"/>
          <w:w w:val="105"/>
        </w:rPr>
        <w:t xml:space="preserve"> </w:t>
      </w:r>
      <w:r>
        <w:rPr>
          <w:color w:val="00AC59"/>
          <w:w w:val="105"/>
        </w:rPr>
        <w:t>de</w:t>
      </w:r>
      <w:r>
        <w:rPr>
          <w:color w:val="00AC59"/>
          <w:spacing w:val="-2"/>
          <w:w w:val="105"/>
        </w:rPr>
        <w:t xml:space="preserve"> </w:t>
      </w:r>
      <w:r>
        <w:rPr>
          <w:color w:val="00AC59"/>
          <w:w w:val="105"/>
        </w:rPr>
        <w:t>si</w:t>
      </w:r>
      <w:r>
        <w:rPr>
          <w:color w:val="00AC59"/>
          <w:spacing w:val="-2"/>
          <w:w w:val="105"/>
        </w:rPr>
        <w:t xml:space="preserve"> </w:t>
      </w:r>
      <w:r>
        <w:rPr>
          <w:color w:val="00AC59"/>
          <w:w w:val="105"/>
        </w:rPr>
        <w:t>el</w:t>
      </w:r>
      <w:r>
        <w:rPr>
          <w:color w:val="00AC59"/>
          <w:spacing w:val="-2"/>
          <w:w w:val="105"/>
        </w:rPr>
        <w:t xml:space="preserve"> </w:t>
      </w:r>
      <w:r>
        <w:rPr>
          <w:color w:val="00AC59"/>
          <w:w w:val="105"/>
        </w:rPr>
        <w:t>autor</w:t>
      </w:r>
      <w:r>
        <w:rPr>
          <w:color w:val="00AC59"/>
          <w:spacing w:val="-2"/>
          <w:w w:val="105"/>
        </w:rPr>
        <w:t xml:space="preserve"> </w:t>
      </w:r>
      <w:r>
        <w:rPr>
          <w:color w:val="00AC59"/>
          <w:w w:val="105"/>
        </w:rPr>
        <w:t>es</w:t>
      </w:r>
      <w:r>
        <w:rPr>
          <w:color w:val="00AC59"/>
          <w:spacing w:val="-2"/>
          <w:w w:val="105"/>
        </w:rPr>
        <w:t xml:space="preserve"> </w:t>
      </w:r>
      <w:r>
        <w:rPr>
          <w:color w:val="00AC59"/>
          <w:w w:val="105"/>
        </w:rPr>
        <w:t>una</w:t>
      </w:r>
      <w:r>
        <w:rPr>
          <w:color w:val="00AC59"/>
          <w:spacing w:val="-2"/>
          <w:w w:val="105"/>
        </w:rPr>
        <w:t xml:space="preserve"> </w:t>
      </w:r>
      <w:r>
        <w:rPr>
          <w:color w:val="00AC59"/>
          <w:w w:val="105"/>
        </w:rPr>
        <w:t>entidad</w:t>
      </w:r>
      <w:r>
        <w:rPr>
          <w:color w:val="00AC59"/>
          <w:spacing w:val="-2"/>
          <w:w w:val="105"/>
        </w:rPr>
        <w:t xml:space="preserve"> </w:t>
      </w:r>
      <w:r>
        <w:rPr>
          <w:color w:val="00AC59"/>
          <w:w w:val="105"/>
        </w:rPr>
        <w:t>pública</w:t>
      </w:r>
      <w:r>
        <w:rPr>
          <w:color w:val="00AC59"/>
          <w:spacing w:val="-2"/>
          <w:w w:val="105"/>
        </w:rPr>
        <w:t xml:space="preserve"> </w:t>
      </w:r>
      <w:r>
        <w:rPr>
          <w:color w:val="00AC59"/>
          <w:w w:val="105"/>
        </w:rPr>
        <w:t>o</w:t>
      </w:r>
      <w:r>
        <w:rPr>
          <w:color w:val="00AC59"/>
          <w:spacing w:val="-2"/>
          <w:w w:val="105"/>
        </w:rPr>
        <w:t xml:space="preserve"> </w:t>
      </w:r>
      <w:r>
        <w:rPr>
          <w:color w:val="00AC59"/>
          <w:w w:val="105"/>
        </w:rPr>
        <w:t>privada.528</w:t>
      </w:r>
    </w:p>
    <w:p w14:paraId="34CC5157" w14:textId="77777777" w:rsidR="0014798C" w:rsidRDefault="0014798C">
      <w:pPr>
        <w:pStyle w:val="Textoindependiente"/>
        <w:spacing w:before="176"/>
      </w:pPr>
    </w:p>
    <w:p w14:paraId="1D593B64" w14:textId="77777777" w:rsidR="0014798C" w:rsidRDefault="004E1F0B">
      <w:pPr>
        <w:pStyle w:val="Textoindependiente"/>
        <w:spacing w:line="326" w:lineRule="auto"/>
        <w:ind w:left="1109" w:right="992" w:hanging="3"/>
      </w:pPr>
      <w:r>
        <w:rPr>
          <w:noProof/>
        </w:rPr>
        <mc:AlternateContent>
          <mc:Choice Requires="wps">
            <w:drawing>
              <wp:anchor distT="0" distB="0" distL="0" distR="0" simplePos="0" relativeHeight="251658274" behindDoc="0" locked="0" layoutInCell="1" allowOverlap="1" wp14:anchorId="74684675" wp14:editId="5F63EBB1">
                <wp:simplePos x="0" y="0"/>
                <wp:positionH relativeFrom="page">
                  <wp:posOffset>7313138</wp:posOffset>
                </wp:positionH>
                <wp:positionV relativeFrom="paragraph">
                  <wp:posOffset>122630</wp:posOffset>
                </wp:positionV>
                <wp:extent cx="83820" cy="281940"/>
                <wp:effectExtent l="0" t="0" r="0" b="0"/>
                <wp:wrapNone/>
                <wp:docPr id="166" name="Textbox 16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83820" cy="281940"/>
                        </a:xfrm>
                        <a:prstGeom prst="rect">
                          <a:avLst/>
                        </a:prstGeom>
                      </wps:spPr>
                      <wps:txbx>
                        <w:txbxContent>
                          <w:p w14:paraId="5EF6135C" w14:textId="77777777" w:rsidR="0014798C" w:rsidRDefault="004E1F0B">
                            <w:pPr>
                              <w:spacing w:before="19"/>
                              <w:ind w:left="20"/>
                              <w:rPr>
                                <w:sz w:val="8"/>
                              </w:rPr>
                            </w:pPr>
                            <w:r>
                              <w:rPr>
                                <w:color w:val="FFFFFF"/>
                                <w:spacing w:val="-24"/>
                                <w:sz w:val="8"/>
                              </w:rPr>
                              <w:t>I–P</w:t>
                            </w:r>
                            <w:r>
                              <w:rPr>
                                <w:spacing w:val="-24"/>
                                <w:sz w:val="8"/>
                              </w:rPr>
                              <w:t>S</w:t>
                            </w:r>
                            <w:r>
                              <w:rPr>
                                <w:color w:val="FFFFFF"/>
                                <w:spacing w:val="-24"/>
                                <w:sz w:val="8"/>
                              </w:rPr>
                              <w:t>A</w:t>
                            </w:r>
                            <w:r>
                              <w:rPr>
                                <w:spacing w:val="-24"/>
                                <w:sz w:val="8"/>
                              </w:rPr>
                              <w:t>E</w:t>
                            </w:r>
                            <w:r>
                              <w:rPr>
                                <w:color w:val="FFFFFF"/>
                                <w:spacing w:val="-24"/>
                                <w:sz w:val="8"/>
                              </w:rPr>
                              <w:t>R</w:t>
                            </w:r>
                            <w:r>
                              <w:rPr>
                                <w:spacing w:val="-24"/>
                                <w:sz w:val="8"/>
                              </w:rPr>
                              <w:t>G</w:t>
                            </w:r>
                            <w:r>
                              <w:rPr>
                                <w:color w:val="FFFFFF"/>
                                <w:spacing w:val="-24"/>
                                <w:sz w:val="8"/>
                              </w:rPr>
                              <w:t>T</w:t>
                            </w:r>
                            <w:r>
                              <w:rPr>
                                <w:spacing w:val="-24"/>
                                <w:sz w:val="8"/>
                              </w:rPr>
                              <w:t>U</w:t>
                            </w:r>
                            <w:r>
                              <w:rPr>
                                <w:color w:val="FFFFFF"/>
                                <w:spacing w:val="-24"/>
                                <w:sz w:val="8"/>
                              </w:rPr>
                              <w:t>E</w:t>
                            </w:r>
                            <w:r>
                              <w:rPr>
                                <w:spacing w:val="-24"/>
                                <w:sz w:val="8"/>
                              </w:rPr>
                              <w:t>NDA</w:t>
                            </w:r>
                          </w:p>
                        </w:txbxContent>
                      </wps:txbx>
                      <wps:bodyPr vert="vert270" wrap="square" lIns="0" tIns="0" rIns="0" bIns="0" rtlCol="0">
                        <a:noAutofit/>
                      </wps:bodyPr>
                    </wps:wsp>
                  </a:graphicData>
                </a:graphic>
              </wp:anchor>
            </w:drawing>
          </mc:Choice>
          <mc:Fallback>
            <w:pict>
              <v:shape w14:anchorId="74684675" id="Textbox 166" o:spid="_x0000_s1091" type="#_x0000_t202" style="position:absolute;left:0;text-align:left;margin-left:575.85pt;margin-top:9.65pt;width:6.6pt;height:22.2pt;z-index:251658274;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" filled="f" stroked="f">
                <v:textbox style="layout-flow:vertical;mso-layout-flow-alt:bottom-to-top" inset="0,0,0,0">
                  <w:txbxContent>
                    <w:p w14:paraId="5EF6135C" w14:textId="77777777" w:rsidR="0014798C" w:rsidRDefault="004E1F0B">
                      <w:pPr>
                        <w:spacing w:before="19"/>
                        <w:ind w:left="20"/>
                        <w:rPr>
                          <w:sz w:val="8"/>
                        </w:rPr>
                      </w:pPr>
                      <w:r>
                        <w:rPr>
                          <w:color w:val="FFFFFF"/>
                          <w:spacing w:val="-24"/>
                          <w:sz w:val="8"/>
                        </w:rPr>
                        <w:t>I–P</w:t>
                      </w:r>
                      <w:r>
                        <w:rPr>
                          <w:spacing w:val="-24"/>
                          <w:sz w:val="8"/>
                        </w:rPr>
                        <w:t>S</w:t>
                      </w:r>
                      <w:r>
                        <w:rPr>
                          <w:color w:val="FFFFFF"/>
                          <w:spacing w:val="-24"/>
                          <w:sz w:val="8"/>
                        </w:rPr>
                        <w:t>A</w:t>
                      </w:r>
                      <w:r>
                        <w:rPr>
                          <w:spacing w:val="-24"/>
                          <w:sz w:val="8"/>
                        </w:rPr>
                        <w:t>E</w:t>
                      </w:r>
                      <w:r>
                        <w:rPr>
                          <w:color w:val="FFFFFF"/>
                          <w:spacing w:val="-24"/>
                          <w:sz w:val="8"/>
                        </w:rPr>
                        <w:t>R</w:t>
                      </w:r>
                      <w:r>
                        <w:rPr>
                          <w:spacing w:val="-24"/>
                          <w:sz w:val="8"/>
                        </w:rPr>
                        <w:t>G</w:t>
                      </w:r>
                      <w:r>
                        <w:rPr>
                          <w:color w:val="FFFFFF"/>
                          <w:spacing w:val="-24"/>
                          <w:sz w:val="8"/>
                        </w:rPr>
                        <w:t>T</w:t>
                      </w:r>
                      <w:r>
                        <w:rPr>
                          <w:spacing w:val="-24"/>
                          <w:sz w:val="8"/>
                        </w:rPr>
                        <w:t>U</w:t>
                      </w:r>
                      <w:r>
                        <w:rPr>
                          <w:color w:val="FFFFFF"/>
                          <w:spacing w:val="-24"/>
                          <w:sz w:val="8"/>
                        </w:rPr>
                        <w:t>E</w:t>
                      </w:r>
                      <w:r>
                        <w:rPr>
                          <w:spacing w:val="-24"/>
                          <w:sz w:val="8"/>
                        </w:rPr>
                        <w:t>NDA</w:t>
                      </w:r>
                    </w:p>
                  </w:txbxContent>
                </v:textbox>
                <w10:wrap anchorx="page"/>
              </v:shape>
            </w:pict>
          </mc:Fallback>
        </mc:AlternateContent>
      </w:r>
      <w:r>
        <w:rPr>
          <w:w w:val="105"/>
        </w:rPr>
        <w:t>Como</w:t>
      </w:r>
      <w:r>
        <w:rPr>
          <w:spacing w:val="-2"/>
          <w:w w:val="105"/>
        </w:rPr>
        <w:t xml:space="preserve"> </w:t>
      </w:r>
      <w:r>
        <w:rPr>
          <w:w w:val="105"/>
        </w:rPr>
        <w:t>se</w:t>
      </w:r>
      <w:r>
        <w:rPr>
          <w:spacing w:val="-2"/>
          <w:w w:val="105"/>
        </w:rPr>
        <w:t xml:space="preserve"> </w:t>
      </w:r>
      <w:r>
        <w:rPr>
          <w:w w:val="105"/>
        </w:rPr>
        <w:t>señala</w:t>
      </w:r>
      <w:r>
        <w:rPr>
          <w:spacing w:val="-2"/>
          <w:w w:val="105"/>
        </w:rPr>
        <w:t xml:space="preserve"> </w:t>
      </w:r>
      <w:r>
        <w:rPr>
          <w:w w:val="105"/>
        </w:rPr>
        <w:t>más</w:t>
      </w:r>
      <w:r>
        <w:rPr>
          <w:spacing w:val="-2"/>
          <w:w w:val="105"/>
        </w:rPr>
        <w:t xml:space="preserve"> </w:t>
      </w:r>
      <w:r>
        <w:rPr>
          <w:w w:val="105"/>
        </w:rPr>
        <w:t>adelante,</w:t>
      </w:r>
      <w:r>
        <w:rPr>
          <w:spacing w:val="-1"/>
          <w:w w:val="105"/>
        </w:rPr>
        <w:t xml:space="preserve"> </w:t>
      </w:r>
      <w:r>
        <w:rPr>
          <w:w w:val="105"/>
        </w:rPr>
        <w:t>en</w:t>
      </w:r>
      <w:r>
        <w:rPr>
          <w:spacing w:val="-2"/>
          <w:w w:val="105"/>
        </w:rPr>
        <w:t xml:space="preserve"> </w:t>
      </w:r>
      <w:r>
        <w:rPr>
          <w:w w:val="105"/>
        </w:rPr>
        <w:t>su</w:t>
      </w:r>
      <w:r>
        <w:rPr>
          <w:spacing w:val="-2"/>
          <w:w w:val="105"/>
        </w:rPr>
        <w:t xml:space="preserve"> </w:t>
      </w:r>
      <w:r>
        <w:rPr>
          <w:w w:val="105"/>
        </w:rPr>
        <w:t>jurisprudencia, el</w:t>
      </w:r>
      <w:r>
        <w:rPr>
          <w:spacing w:val="-2"/>
          <w:w w:val="105"/>
        </w:rPr>
        <w:t xml:space="preserve"> </w:t>
      </w:r>
      <w:r>
        <w:rPr>
          <w:w w:val="105"/>
        </w:rPr>
        <w:t>Comité</w:t>
      </w:r>
      <w:r>
        <w:rPr>
          <w:spacing w:val="-2"/>
          <w:w w:val="105"/>
        </w:rPr>
        <w:t xml:space="preserve"> </w:t>
      </w:r>
      <w:r>
        <w:rPr>
          <w:w w:val="105"/>
        </w:rPr>
        <w:t>sobre</w:t>
      </w:r>
      <w:r>
        <w:rPr>
          <w:spacing w:val="-2"/>
          <w:w w:val="105"/>
        </w:rPr>
        <w:t xml:space="preserve"> </w:t>
      </w:r>
      <w:r>
        <w:rPr>
          <w:w w:val="105"/>
        </w:rPr>
        <w:t>los</w:t>
      </w:r>
      <w:r>
        <w:rPr>
          <w:spacing w:val="-2"/>
          <w:w w:val="105"/>
        </w:rPr>
        <w:t xml:space="preserve"> </w:t>
      </w:r>
      <w:r>
        <w:rPr>
          <w:w w:val="105"/>
        </w:rPr>
        <w:t>Derechos</w:t>
      </w:r>
      <w:r>
        <w:rPr>
          <w:spacing w:val="-2"/>
          <w:w w:val="105"/>
        </w:rPr>
        <w:t xml:space="preserve"> </w:t>
      </w:r>
      <w:r>
        <w:rPr>
          <w:w w:val="105"/>
        </w:rPr>
        <w:t>de</w:t>
      </w:r>
      <w:r>
        <w:rPr>
          <w:spacing w:val="-2"/>
          <w:w w:val="105"/>
        </w:rPr>
        <w:t xml:space="preserve"> </w:t>
      </w:r>
      <w:r>
        <w:rPr>
          <w:w w:val="105"/>
        </w:rPr>
        <w:t>las</w:t>
      </w:r>
      <w:r>
        <w:rPr>
          <w:spacing w:val="-2"/>
          <w:w w:val="105"/>
        </w:rPr>
        <w:t xml:space="preserve"> </w:t>
      </w:r>
      <w:r>
        <w:rPr>
          <w:w w:val="105"/>
        </w:rPr>
        <w:t>Personas</w:t>
      </w:r>
      <w:r>
        <w:rPr>
          <w:spacing w:val="-2"/>
          <w:w w:val="105"/>
        </w:rPr>
        <w:t xml:space="preserve"> </w:t>
      </w:r>
      <w:r>
        <w:rPr>
          <w:w w:val="105"/>
        </w:rPr>
        <w:t>con</w:t>
      </w:r>
      <w:r>
        <w:rPr>
          <w:spacing w:val="-2"/>
          <w:w w:val="105"/>
        </w:rPr>
        <w:t xml:space="preserve"> </w:t>
      </w:r>
      <w:r>
        <w:rPr>
          <w:w w:val="105"/>
        </w:rPr>
        <w:t>Discapacidad</w:t>
      </w:r>
      <w:r>
        <w:rPr>
          <w:spacing w:val="-2"/>
          <w:w w:val="105"/>
        </w:rPr>
        <w:t xml:space="preserve"> </w:t>
      </w:r>
      <w:r>
        <w:rPr>
          <w:w w:val="105"/>
        </w:rPr>
        <w:t>ha determinado</w:t>
      </w:r>
      <w:r>
        <w:rPr>
          <w:spacing w:val="-9"/>
          <w:w w:val="105"/>
        </w:rPr>
        <w:t xml:space="preserve"> </w:t>
      </w:r>
      <w:r>
        <w:rPr>
          <w:w w:val="105"/>
        </w:rPr>
        <w:t>que</w:t>
      </w:r>
      <w:r>
        <w:rPr>
          <w:spacing w:val="-9"/>
          <w:w w:val="105"/>
        </w:rPr>
        <w:t xml:space="preserve"> </w:t>
      </w:r>
      <w:r>
        <w:rPr>
          <w:w w:val="105"/>
        </w:rPr>
        <w:t>Estados</w:t>
      </w:r>
      <w:r>
        <w:rPr>
          <w:spacing w:val="-9"/>
          <w:w w:val="105"/>
        </w:rPr>
        <w:t xml:space="preserve"> </w:t>
      </w:r>
      <w:r>
        <w:rPr>
          <w:w w:val="105"/>
        </w:rPr>
        <w:t>han</w:t>
      </w:r>
      <w:r>
        <w:rPr>
          <w:spacing w:val="-9"/>
          <w:w w:val="105"/>
        </w:rPr>
        <w:t xml:space="preserve"> </w:t>
      </w:r>
      <w:r>
        <w:rPr>
          <w:w w:val="105"/>
        </w:rPr>
        <w:t>violado</w:t>
      </w:r>
      <w:r>
        <w:rPr>
          <w:spacing w:val="-9"/>
          <w:w w:val="105"/>
        </w:rPr>
        <w:t xml:space="preserve"> </w:t>
      </w:r>
      <w:r>
        <w:rPr>
          <w:w w:val="105"/>
        </w:rPr>
        <w:t>la</w:t>
      </w:r>
      <w:r>
        <w:rPr>
          <w:spacing w:val="-9"/>
          <w:w w:val="105"/>
        </w:rPr>
        <w:t xml:space="preserve"> </w:t>
      </w:r>
      <w:r>
        <w:rPr>
          <w:w w:val="105"/>
        </w:rPr>
        <w:t>Convención</w:t>
      </w:r>
      <w:r>
        <w:rPr>
          <w:spacing w:val="-9"/>
          <w:w w:val="105"/>
        </w:rPr>
        <w:t xml:space="preserve"> </w:t>
      </w:r>
      <w:r>
        <w:rPr>
          <w:w w:val="105"/>
        </w:rPr>
        <w:t>pertinente</w:t>
      </w:r>
      <w:r>
        <w:rPr>
          <w:spacing w:val="-9"/>
          <w:w w:val="105"/>
        </w:rPr>
        <w:t xml:space="preserve"> </w:t>
      </w:r>
      <w:r>
        <w:rPr>
          <w:w w:val="105"/>
        </w:rPr>
        <w:t>por</w:t>
      </w:r>
      <w:r>
        <w:rPr>
          <w:spacing w:val="-9"/>
          <w:w w:val="105"/>
        </w:rPr>
        <w:t xml:space="preserve"> </w:t>
      </w:r>
      <w:r>
        <w:rPr>
          <w:w w:val="105"/>
        </w:rPr>
        <w:t>no</w:t>
      </w:r>
      <w:r>
        <w:rPr>
          <w:spacing w:val="-9"/>
          <w:w w:val="105"/>
        </w:rPr>
        <w:t xml:space="preserve"> </w:t>
      </w:r>
      <w:r>
        <w:rPr>
          <w:w w:val="105"/>
        </w:rPr>
        <w:t>cumplir</w:t>
      </w:r>
      <w:r>
        <w:rPr>
          <w:spacing w:val="-9"/>
          <w:w w:val="105"/>
        </w:rPr>
        <w:t xml:space="preserve"> </w:t>
      </w:r>
      <w:r>
        <w:rPr>
          <w:w w:val="105"/>
        </w:rPr>
        <w:t>con</w:t>
      </w:r>
      <w:r>
        <w:rPr>
          <w:spacing w:val="-9"/>
          <w:w w:val="105"/>
        </w:rPr>
        <w:t xml:space="preserve"> </w:t>
      </w:r>
      <w:r>
        <w:rPr>
          <w:w w:val="105"/>
        </w:rPr>
        <w:t>sus</w:t>
      </w:r>
      <w:r>
        <w:rPr>
          <w:spacing w:val="-9"/>
          <w:w w:val="105"/>
        </w:rPr>
        <w:t xml:space="preserve"> </w:t>
      </w:r>
      <w:r>
        <w:rPr>
          <w:w w:val="105"/>
        </w:rPr>
        <w:t>disposiciones</w:t>
      </w:r>
      <w:r>
        <w:rPr>
          <w:spacing w:val="-9"/>
          <w:w w:val="105"/>
        </w:rPr>
        <w:t xml:space="preserve"> </w:t>
      </w:r>
      <w:r>
        <w:rPr>
          <w:w w:val="105"/>
        </w:rPr>
        <w:t>en</w:t>
      </w:r>
      <w:r>
        <w:rPr>
          <w:spacing w:val="-9"/>
          <w:w w:val="105"/>
        </w:rPr>
        <w:t xml:space="preserve"> </w:t>
      </w:r>
      <w:r>
        <w:rPr>
          <w:w w:val="105"/>
        </w:rPr>
        <w:t>el</w:t>
      </w:r>
      <w:r>
        <w:rPr>
          <w:spacing w:val="-9"/>
          <w:w w:val="105"/>
        </w:rPr>
        <w:t xml:space="preserve"> </w:t>
      </w:r>
      <w:r>
        <w:rPr>
          <w:w w:val="105"/>
        </w:rPr>
        <w:t>área</w:t>
      </w:r>
      <w:r>
        <w:rPr>
          <w:spacing w:val="-9"/>
          <w:w w:val="105"/>
        </w:rPr>
        <w:t xml:space="preserve"> </w:t>
      </w:r>
      <w:r>
        <w:rPr>
          <w:w w:val="105"/>
        </w:rPr>
        <w:t>de</w:t>
      </w:r>
      <w:r>
        <w:rPr>
          <w:spacing w:val="-9"/>
          <w:w w:val="105"/>
        </w:rPr>
        <w:t xml:space="preserve"> </w:t>
      </w:r>
      <w:r>
        <w:rPr>
          <w:w w:val="105"/>
        </w:rPr>
        <w:t>accesibilidad.</w:t>
      </w:r>
    </w:p>
    <w:p w14:paraId="03483B6E" w14:textId="77777777" w:rsidR="0014798C" w:rsidRDefault="004E1F0B">
      <w:pPr>
        <w:pStyle w:val="Textoindependiente"/>
        <w:spacing w:before="169" w:line="326" w:lineRule="auto"/>
        <w:ind w:left="1109" w:right="1272" w:hanging="4"/>
      </w:pPr>
      <w:r>
        <w:rPr>
          <w:w w:val="105"/>
        </w:rPr>
        <w:t>El</w:t>
      </w:r>
      <w:r>
        <w:rPr>
          <w:spacing w:val="-9"/>
          <w:w w:val="105"/>
        </w:rPr>
        <w:t xml:space="preserve"> </w:t>
      </w:r>
      <w:r>
        <w:rPr>
          <w:w w:val="105"/>
        </w:rPr>
        <w:t>Comité</w:t>
      </w:r>
      <w:r>
        <w:rPr>
          <w:spacing w:val="-9"/>
          <w:w w:val="105"/>
        </w:rPr>
        <w:t xml:space="preserve"> </w:t>
      </w:r>
      <w:r>
        <w:rPr>
          <w:w w:val="105"/>
        </w:rPr>
        <w:t>sobre</w:t>
      </w:r>
      <w:r>
        <w:rPr>
          <w:spacing w:val="-9"/>
          <w:w w:val="105"/>
        </w:rPr>
        <w:t xml:space="preserve"> </w:t>
      </w:r>
      <w:r>
        <w:rPr>
          <w:w w:val="105"/>
        </w:rPr>
        <w:t>los</w:t>
      </w:r>
      <w:r>
        <w:rPr>
          <w:spacing w:val="-9"/>
          <w:w w:val="105"/>
        </w:rPr>
        <w:t xml:space="preserve"> </w:t>
      </w:r>
      <w:r>
        <w:rPr>
          <w:w w:val="105"/>
        </w:rPr>
        <w:t>Derechos</w:t>
      </w:r>
      <w:r>
        <w:rPr>
          <w:spacing w:val="-9"/>
          <w:w w:val="105"/>
        </w:rPr>
        <w:t xml:space="preserve"> </w:t>
      </w:r>
      <w:r>
        <w:rPr>
          <w:w w:val="105"/>
        </w:rPr>
        <w:t>de</w:t>
      </w:r>
      <w:r>
        <w:rPr>
          <w:spacing w:val="-9"/>
          <w:w w:val="105"/>
        </w:rPr>
        <w:t xml:space="preserve"> </w:t>
      </w:r>
      <w:r>
        <w:rPr>
          <w:w w:val="105"/>
        </w:rPr>
        <w:t>las</w:t>
      </w:r>
      <w:r>
        <w:rPr>
          <w:spacing w:val="-9"/>
          <w:w w:val="105"/>
        </w:rPr>
        <w:t xml:space="preserve"> </w:t>
      </w:r>
      <w:r>
        <w:rPr>
          <w:w w:val="105"/>
        </w:rPr>
        <w:t>Personas</w:t>
      </w:r>
      <w:r>
        <w:rPr>
          <w:spacing w:val="-9"/>
          <w:w w:val="105"/>
        </w:rPr>
        <w:t xml:space="preserve"> </w:t>
      </w:r>
      <w:r>
        <w:rPr>
          <w:w w:val="105"/>
        </w:rPr>
        <w:t>con</w:t>
      </w:r>
      <w:r>
        <w:rPr>
          <w:spacing w:val="-9"/>
          <w:w w:val="105"/>
        </w:rPr>
        <w:t xml:space="preserve"> </w:t>
      </w:r>
      <w:r>
        <w:rPr>
          <w:w w:val="105"/>
        </w:rPr>
        <w:t>Discapacidad</w:t>
      </w:r>
      <w:r>
        <w:rPr>
          <w:spacing w:val="-9"/>
          <w:w w:val="105"/>
        </w:rPr>
        <w:t xml:space="preserve"> </w:t>
      </w:r>
      <w:r>
        <w:rPr>
          <w:w w:val="105"/>
        </w:rPr>
        <w:t>establece</w:t>
      </w:r>
      <w:r>
        <w:rPr>
          <w:spacing w:val="-9"/>
          <w:w w:val="105"/>
        </w:rPr>
        <w:t xml:space="preserve"> </w:t>
      </w:r>
      <w:r>
        <w:rPr>
          <w:w w:val="105"/>
        </w:rPr>
        <w:t>una</w:t>
      </w:r>
      <w:r>
        <w:rPr>
          <w:spacing w:val="-9"/>
          <w:w w:val="105"/>
        </w:rPr>
        <w:t xml:space="preserve"> </w:t>
      </w:r>
      <w:r>
        <w:rPr>
          <w:w w:val="105"/>
        </w:rPr>
        <w:t>distinción</w:t>
      </w:r>
      <w:r>
        <w:rPr>
          <w:spacing w:val="-9"/>
          <w:w w:val="105"/>
        </w:rPr>
        <w:t xml:space="preserve"> </w:t>
      </w:r>
      <w:r>
        <w:rPr>
          <w:w w:val="105"/>
        </w:rPr>
        <w:t>entre</w:t>
      </w:r>
      <w:r>
        <w:rPr>
          <w:spacing w:val="-9"/>
          <w:w w:val="105"/>
        </w:rPr>
        <w:t xml:space="preserve"> </w:t>
      </w:r>
      <w:r>
        <w:rPr>
          <w:w w:val="105"/>
        </w:rPr>
        <w:t>la</w:t>
      </w:r>
      <w:r>
        <w:rPr>
          <w:spacing w:val="-9"/>
          <w:w w:val="105"/>
        </w:rPr>
        <w:t xml:space="preserve"> </w:t>
      </w:r>
      <w:r>
        <w:rPr>
          <w:w w:val="105"/>
        </w:rPr>
        <w:t>obligación</w:t>
      </w:r>
      <w:r>
        <w:rPr>
          <w:spacing w:val="-9"/>
          <w:w w:val="105"/>
        </w:rPr>
        <w:t xml:space="preserve"> </w:t>
      </w:r>
      <w:r>
        <w:rPr>
          <w:w w:val="105"/>
        </w:rPr>
        <w:t>inmediata</w:t>
      </w:r>
      <w:r>
        <w:rPr>
          <w:spacing w:val="-9"/>
          <w:w w:val="105"/>
        </w:rPr>
        <w:t xml:space="preserve"> </w:t>
      </w:r>
      <w:r>
        <w:rPr>
          <w:w w:val="105"/>
        </w:rPr>
        <w:t>de</w:t>
      </w:r>
      <w:r>
        <w:rPr>
          <w:spacing w:val="-9"/>
          <w:w w:val="105"/>
        </w:rPr>
        <w:t xml:space="preserve"> </w:t>
      </w:r>
      <w:r>
        <w:rPr>
          <w:w w:val="105"/>
        </w:rPr>
        <w:t>los Estados</w:t>
      </w:r>
      <w:r>
        <w:rPr>
          <w:spacing w:val="-3"/>
          <w:w w:val="105"/>
        </w:rPr>
        <w:t xml:space="preserve"> </w:t>
      </w:r>
      <w:r>
        <w:rPr>
          <w:w w:val="105"/>
        </w:rPr>
        <w:t>de</w:t>
      </w:r>
      <w:r>
        <w:rPr>
          <w:spacing w:val="-3"/>
          <w:w w:val="105"/>
        </w:rPr>
        <w:t xml:space="preserve"> </w:t>
      </w:r>
      <w:r>
        <w:rPr>
          <w:w w:val="105"/>
        </w:rPr>
        <w:t>garantizar</w:t>
      </w:r>
      <w:r>
        <w:rPr>
          <w:spacing w:val="-3"/>
          <w:w w:val="105"/>
        </w:rPr>
        <w:t xml:space="preserve"> </w:t>
      </w:r>
      <w:r>
        <w:rPr>
          <w:w w:val="105"/>
        </w:rPr>
        <w:t>el</w:t>
      </w:r>
      <w:r>
        <w:rPr>
          <w:spacing w:val="-3"/>
          <w:w w:val="105"/>
        </w:rPr>
        <w:t xml:space="preserve"> </w:t>
      </w:r>
      <w:r>
        <w:rPr>
          <w:w w:val="105"/>
        </w:rPr>
        <w:t>acceso</w:t>
      </w:r>
      <w:r>
        <w:rPr>
          <w:spacing w:val="-3"/>
          <w:w w:val="105"/>
        </w:rPr>
        <w:t xml:space="preserve"> </w:t>
      </w:r>
      <w:r>
        <w:rPr>
          <w:w w:val="105"/>
        </w:rPr>
        <w:t>a</w:t>
      </w:r>
      <w:r>
        <w:rPr>
          <w:spacing w:val="-3"/>
          <w:w w:val="105"/>
        </w:rPr>
        <w:t xml:space="preserve"> </w:t>
      </w:r>
      <w:r>
        <w:rPr>
          <w:w w:val="105"/>
        </w:rPr>
        <w:t>objetos,</w:t>
      </w:r>
      <w:r>
        <w:rPr>
          <w:spacing w:val="-2"/>
          <w:w w:val="105"/>
        </w:rPr>
        <w:t xml:space="preserve"> </w:t>
      </w:r>
      <w:r>
        <w:rPr>
          <w:w w:val="105"/>
        </w:rPr>
        <w:t>infraestructuras,</w:t>
      </w:r>
      <w:r>
        <w:rPr>
          <w:spacing w:val="-1"/>
          <w:w w:val="105"/>
        </w:rPr>
        <w:t xml:space="preserve"> </w:t>
      </w:r>
      <w:r>
        <w:rPr>
          <w:w w:val="105"/>
        </w:rPr>
        <w:t>bienes,</w:t>
      </w:r>
      <w:r>
        <w:rPr>
          <w:spacing w:val="-2"/>
          <w:w w:val="105"/>
        </w:rPr>
        <w:t xml:space="preserve"> </w:t>
      </w:r>
      <w:r>
        <w:rPr>
          <w:w w:val="105"/>
        </w:rPr>
        <w:t>productos</w:t>
      </w:r>
      <w:r>
        <w:rPr>
          <w:spacing w:val="-3"/>
          <w:w w:val="105"/>
        </w:rPr>
        <w:t xml:space="preserve"> </w:t>
      </w:r>
      <w:r>
        <w:rPr>
          <w:w w:val="105"/>
        </w:rPr>
        <w:t>y</w:t>
      </w:r>
      <w:r>
        <w:rPr>
          <w:spacing w:val="-3"/>
          <w:w w:val="105"/>
        </w:rPr>
        <w:t xml:space="preserve"> </w:t>
      </w:r>
      <w:r>
        <w:rPr>
          <w:w w:val="105"/>
        </w:rPr>
        <w:t>servicios</w:t>
      </w:r>
      <w:r>
        <w:rPr>
          <w:spacing w:val="-3"/>
          <w:w w:val="105"/>
        </w:rPr>
        <w:t xml:space="preserve"> </w:t>
      </w:r>
      <w:r>
        <w:rPr>
          <w:w w:val="105"/>
        </w:rPr>
        <w:t>de</w:t>
      </w:r>
      <w:r>
        <w:rPr>
          <w:spacing w:val="-3"/>
          <w:w w:val="105"/>
        </w:rPr>
        <w:t xml:space="preserve"> </w:t>
      </w:r>
      <w:r>
        <w:rPr>
          <w:w w:val="105"/>
        </w:rPr>
        <w:t>nuevo</w:t>
      </w:r>
      <w:r>
        <w:rPr>
          <w:spacing w:val="-3"/>
          <w:w w:val="105"/>
        </w:rPr>
        <w:t xml:space="preserve"> </w:t>
      </w:r>
      <w:r>
        <w:rPr>
          <w:w w:val="105"/>
        </w:rPr>
        <w:t>diseño</w:t>
      </w:r>
      <w:r>
        <w:rPr>
          <w:spacing w:val="-3"/>
          <w:w w:val="105"/>
        </w:rPr>
        <w:t xml:space="preserve"> </w:t>
      </w:r>
      <w:r>
        <w:rPr>
          <w:w w:val="105"/>
        </w:rPr>
        <w:t>y</w:t>
      </w:r>
      <w:r>
        <w:rPr>
          <w:spacing w:val="-3"/>
          <w:w w:val="105"/>
        </w:rPr>
        <w:t xml:space="preserve"> </w:t>
      </w:r>
      <w:r>
        <w:rPr>
          <w:w w:val="105"/>
        </w:rPr>
        <w:t>la</w:t>
      </w:r>
      <w:r>
        <w:rPr>
          <w:spacing w:val="-3"/>
          <w:w w:val="105"/>
        </w:rPr>
        <w:t xml:space="preserve"> </w:t>
      </w:r>
      <w:r>
        <w:rPr>
          <w:w w:val="105"/>
        </w:rPr>
        <w:t>obligación</w:t>
      </w:r>
      <w:r>
        <w:rPr>
          <w:spacing w:val="-3"/>
          <w:w w:val="105"/>
        </w:rPr>
        <w:t xml:space="preserve"> </w:t>
      </w:r>
      <w:r>
        <w:rPr>
          <w:w w:val="105"/>
        </w:rPr>
        <w:t>de eliminar</w:t>
      </w:r>
      <w:r>
        <w:rPr>
          <w:spacing w:val="-7"/>
          <w:w w:val="105"/>
        </w:rPr>
        <w:t xml:space="preserve"> </w:t>
      </w:r>
      <w:r>
        <w:rPr>
          <w:w w:val="105"/>
        </w:rPr>
        <w:t>barreras</w:t>
      </w:r>
      <w:r>
        <w:rPr>
          <w:spacing w:val="-7"/>
          <w:w w:val="105"/>
        </w:rPr>
        <w:t xml:space="preserve"> </w:t>
      </w:r>
      <w:r>
        <w:rPr>
          <w:w w:val="105"/>
        </w:rPr>
        <w:t>a</w:t>
      </w:r>
      <w:r>
        <w:rPr>
          <w:spacing w:val="-7"/>
          <w:w w:val="105"/>
        </w:rPr>
        <w:t xml:space="preserve"> </w:t>
      </w:r>
      <w:r>
        <w:rPr>
          <w:w w:val="105"/>
        </w:rPr>
        <w:t>los</w:t>
      </w:r>
      <w:r>
        <w:rPr>
          <w:spacing w:val="-7"/>
          <w:w w:val="105"/>
        </w:rPr>
        <w:t xml:space="preserve"> </w:t>
      </w:r>
      <w:r>
        <w:rPr>
          <w:w w:val="105"/>
        </w:rPr>
        <w:t>que</w:t>
      </w:r>
      <w:r>
        <w:rPr>
          <w:spacing w:val="-7"/>
          <w:w w:val="105"/>
        </w:rPr>
        <w:t xml:space="preserve"> </w:t>
      </w:r>
      <w:r>
        <w:rPr>
          <w:w w:val="105"/>
        </w:rPr>
        <w:t>ya</w:t>
      </w:r>
      <w:r>
        <w:rPr>
          <w:spacing w:val="-7"/>
          <w:w w:val="105"/>
        </w:rPr>
        <w:t xml:space="preserve"> </w:t>
      </w:r>
      <w:r>
        <w:rPr>
          <w:w w:val="105"/>
        </w:rPr>
        <w:t>existen.529</w:t>
      </w:r>
      <w:r>
        <w:rPr>
          <w:spacing w:val="-7"/>
          <w:w w:val="105"/>
        </w:rPr>
        <w:t xml:space="preserve"> </w:t>
      </w:r>
      <w:r>
        <w:rPr>
          <w:w w:val="105"/>
        </w:rPr>
        <w:t>El</w:t>
      </w:r>
      <w:r>
        <w:rPr>
          <w:spacing w:val="-7"/>
          <w:w w:val="105"/>
        </w:rPr>
        <w:t xml:space="preserve"> </w:t>
      </w:r>
      <w:r>
        <w:rPr>
          <w:w w:val="105"/>
        </w:rPr>
        <w:t>Comité</w:t>
      </w:r>
      <w:r>
        <w:rPr>
          <w:spacing w:val="-7"/>
          <w:w w:val="105"/>
        </w:rPr>
        <w:t xml:space="preserve"> </w:t>
      </w:r>
      <w:r>
        <w:rPr>
          <w:w w:val="105"/>
        </w:rPr>
        <w:t>aclara</w:t>
      </w:r>
      <w:r>
        <w:rPr>
          <w:spacing w:val="-7"/>
          <w:w w:val="105"/>
        </w:rPr>
        <w:t xml:space="preserve"> </w:t>
      </w:r>
      <w:r>
        <w:rPr>
          <w:w w:val="105"/>
        </w:rPr>
        <w:t>además</w:t>
      </w:r>
      <w:r>
        <w:rPr>
          <w:spacing w:val="-7"/>
          <w:w w:val="105"/>
        </w:rPr>
        <w:t xml:space="preserve"> </w:t>
      </w:r>
      <w:r>
        <w:rPr>
          <w:w w:val="105"/>
        </w:rPr>
        <w:t>que</w:t>
      </w:r>
      <w:r>
        <w:rPr>
          <w:spacing w:val="-7"/>
          <w:w w:val="105"/>
        </w:rPr>
        <w:t xml:space="preserve"> </w:t>
      </w:r>
      <w:r>
        <w:rPr>
          <w:w w:val="105"/>
        </w:rPr>
        <w:t>la</w:t>
      </w:r>
      <w:r>
        <w:rPr>
          <w:spacing w:val="-7"/>
          <w:w w:val="105"/>
        </w:rPr>
        <w:t xml:space="preserve"> </w:t>
      </w:r>
      <w:r>
        <w:rPr>
          <w:w w:val="105"/>
        </w:rPr>
        <w:t>accesibilidad</w:t>
      </w:r>
      <w:r>
        <w:rPr>
          <w:spacing w:val="-7"/>
          <w:w w:val="105"/>
        </w:rPr>
        <w:t xml:space="preserve"> </w:t>
      </w:r>
      <w:r>
        <w:rPr>
          <w:w w:val="105"/>
        </w:rPr>
        <w:t>es</w:t>
      </w:r>
      <w:r>
        <w:rPr>
          <w:spacing w:val="-7"/>
          <w:w w:val="105"/>
        </w:rPr>
        <w:t xml:space="preserve"> </w:t>
      </w:r>
      <w:r>
        <w:rPr>
          <w:w w:val="105"/>
        </w:rPr>
        <w:t>un</w:t>
      </w:r>
      <w:r>
        <w:rPr>
          <w:spacing w:val="-7"/>
          <w:w w:val="105"/>
        </w:rPr>
        <w:t xml:space="preserve"> </w:t>
      </w:r>
      <w:r>
        <w:rPr>
          <w:w w:val="105"/>
        </w:rPr>
        <w:t>deber</w:t>
      </w:r>
      <w:r>
        <w:rPr>
          <w:spacing w:val="-7"/>
          <w:w w:val="105"/>
        </w:rPr>
        <w:t xml:space="preserve"> </w:t>
      </w:r>
      <w:r>
        <w:rPr>
          <w:w w:val="105"/>
        </w:rPr>
        <w:t>ex</w:t>
      </w:r>
      <w:r>
        <w:rPr>
          <w:spacing w:val="-7"/>
          <w:w w:val="105"/>
        </w:rPr>
        <w:t xml:space="preserve"> </w:t>
      </w:r>
      <w:r>
        <w:rPr>
          <w:w w:val="105"/>
        </w:rPr>
        <w:t>ante,</w:t>
      </w:r>
      <w:r>
        <w:rPr>
          <w:spacing w:val="-7"/>
          <w:w w:val="105"/>
        </w:rPr>
        <w:t xml:space="preserve"> </w:t>
      </w:r>
      <w:r>
        <w:rPr>
          <w:w w:val="105"/>
        </w:rPr>
        <w:t>que</w:t>
      </w:r>
      <w:r>
        <w:rPr>
          <w:spacing w:val="-7"/>
          <w:w w:val="105"/>
        </w:rPr>
        <w:t xml:space="preserve"> </w:t>
      </w:r>
      <w:r>
        <w:rPr>
          <w:w w:val="105"/>
        </w:rPr>
        <w:t>no</w:t>
      </w:r>
      <w:r>
        <w:rPr>
          <w:spacing w:val="-7"/>
          <w:w w:val="105"/>
        </w:rPr>
        <w:t xml:space="preserve"> </w:t>
      </w:r>
      <w:r>
        <w:rPr>
          <w:w w:val="105"/>
        </w:rPr>
        <w:t>requiere una</w:t>
      </w:r>
      <w:r>
        <w:rPr>
          <w:spacing w:val="-7"/>
          <w:w w:val="105"/>
        </w:rPr>
        <w:t xml:space="preserve"> </w:t>
      </w:r>
      <w:r>
        <w:rPr>
          <w:w w:val="105"/>
        </w:rPr>
        <w:t>solicitud</w:t>
      </w:r>
      <w:r>
        <w:rPr>
          <w:spacing w:val="-7"/>
          <w:w w:val="105"/>
        </w:rPr>
        <w:t xml:space="preserve"> </w:t>
      </w:r>
      <w:r>
        <w:rPr>
          <w:w w:val="105"/>
        </w:rPr>
        <w:t>individual</w:t>
      </w:r>
      <w:r>
        <w:rPr>
          <w:spacing w:val="-7"/>
          <w:w w:val="105"/>
        </w:rPr>
        <w:t xml:space="preserve"> </w:t>
      </w:r>
      <w:r>
        <w:rPr>
          <w:w w:val="105"/>
        </w:rPr>
        <w:t>de</w:t>
      </w:r>
      <w:r>
        <w:rPr>
          <w:spacing w:val="-7"/>
          <w:w w:val="105"/>
        </w:rPr>
        <w:t xml:space="preserve"> </w:t>
      </w:r>
      <w:r>
        <w:rPr>
          <w:w w:val="105"/>
        </w:rPr>
        <w:t>acceso,</w:t>
      </w:r>
      <w:r>
        <w:rPr>
          <w:spacing w:val="-7"/>
          <w:w w:val="105"/>
        </w:rPr>
        <w:t xml:space="preserve"> </w:t>
      </w:r>
      <w:r>
        <w:rPr>
          <w:w w:val="105"/>
        </w:rPr>
        <w:t>y</w:t>
      </w:r>
      <w:r>
        <w:rPr>
          <w:spacing w:val="-7"/>
          <w:w w:val="105"/>
        </w:rPr>
        <w:t xml:space="preserve"> </w:t>
      </w:r>
      <w:r>
        <w:rPr>
          <w:w w:val="105"/>
        </w:rPr>
        <w:t>un</w:t>
      </w:r>
      <w:r>
        <w:rPr>
          <w:spacing w:val="-7"/>
          <w:w w:val="105"/>
        </w:rPr>
        <w:t xml:space="preserve"> </w:t>
      </w:r>
      <w:r>
        <w:rPr>
          <w:w w:val="105"/>
        </w:rPr>
        <w:t>deber</w:t>
      </w:r>
      <w:r>
        <w:rPr>
          <w:spacing w:val="-7"/>
          <w:w w:val="105"/>
        </w:rPr>
        <w:t xml:space="preserve"> </w:t>
      </w:r>
      <w:r>
        <w:rPr>
          <w:w w:val="105"/>
        </w:rPr>
        <w:t>incondicional,</w:t>
      </w:r>
      <w:r>
        <w:rPr>
          <w:spacing w:val="-7"/>
          <w:w w:val="105"/>
        </w:rPr>
        <w:t xml:space="preserve"> </w:t>
      </w:r>
      <w:r>
        <w:rPr>
          <w:w w:val="105"/>
        </w:rPr>
        <w:t>en</w:t>
      </w:r>
      <w:r>
        <w:rPr>
          <w:spacing w:val="-7"/>
          <w:w w:val="105"/>
        </w:rPr>
        <w:t xml:space="preserve"> </w:t>
      </w:r>
      <w:r>
        <w:rPr>
          <w:w w:val="105"/>
        </w:rPr>
        <w:t>el</w:t>
      </w:r>
      <w:r>
        <w:rPr>
          <w:spacing w:val="-7"/>
          <w:w w:val="105"/>
        </w:rPr>
        <w:t xml:space="preserve"> </w:t>
      </w:r>
      <w:r>
        <w:rPr>
          <w:w w:val="105"/>
        </w:rPr>
        <w:t>sentido</w:t>
      </w:r>
      <w:r>
        <w:rPr>
          <w:spacing w:val="-7"/>
          <w:w w:val="105"/>
        </w:rPr>
        <w:t xml:space="preserve"> </w:t>
      </w:r>
      <w:r>
        <w:rPr>
          <w:w w:val="105"/>
        </w:rPr>
        <w:t>de</w:t>
      </w:r>
      <w:r>
        <w:rPr>
          <w:spacing w:val="-7"/>
          <w:w w:val="105"/>
        </w:rPr>
        <w:t xml:space="preserve"> </w:t>
      </w:r>
      <w:r>
        <w:rPr>
          <w:w w:val="105"/>
        </w:rPr>
        <w:t>que</w:t>
      </w:r>
      <w:r>
        <w:rPr>
          <w:spacing w:val="-7"/>
          <w:w w:val="105"/>
        </w:rPr>
        <w:t xml:space="preserve"> </w:t>
      </w:r>
      <w:r>
        <w:rPr>
          <w:w w:val="105"/>
        </w:rPr>
        <w:t>no</w:t>
      </w:r>
      <w:r>
        <w:rPr>
          <w:spacing w:val="-7"/>
          <w:w w:val="105"/>
        </w:rPr>
        <w:t xml:space="preserve"> </w:t>
      </w:r>
      <w:r>
        <w:rPr>
          <w:w w:val="105"/>
        </w:rPr>
        <w:t>garantizar</w:t>
      </w:r>
      <w:r>
        <w:rPr>
          <w:spacing w:val="-7"/>
          <w:w w:val="105"/>
        </w:rPr>
        <w:t xml:space="preserve"> </w:t>
      </w:r>
      <w:r>
        <w:rPr>
          <w:w w:val="105"/>
        </w:rPr>
        <w:t>el</w:t>
      </w:r>
      <w:r>
        <w:rPr>
          <w:spacing w:val="-7"/>
          <w:w w:val="105"/>
        </w:rPr>
        <w:t xml:space="preserve"> </w:t>
      </w:r>
      <w:r>
        <w:rPr>
          <w:w w:val="105"/>
        </w:rPr>
        <w:t>acceso</w:t>
      </w:r>
      <w:r>
        <w:rPr>
          <w:spacing w:val="-7"/>
          <w:w w:val="105"/>
        </w:rPr>
        <w:t xml:space="preserve"> </w:t>
      </w:r>
      <w:r>
        <w:rPr>
          <w:w w:val="105"/>
        </w:rPr>
        <w:t>no</w:t>
      </w:r>
      <w:r>
        <w:rPr>
          <w:spacing w:val="-7"/>
          <w:w w:val="105"/>
        </w:rPr>
        <w:t xml:space="preserve"> </w:t>
      </w:r>
      <w:r>
        <w:rPr>
          <w:w w:val="105"/>
        </w:rPr>
        <w:t>puede</w:t>
      </w:r>
      <w:r>
        <w:rPr>
          <w:spacing w:val="-7"/>
          <w:w w:val="105"/>
        </w:rPr>
        <w:t xml:space="preserve"> </w:t>
      </w:r>
      <w:r>
        <w:rPr>
          <w:w w:val="105"/>
        </w:rPr>
        <w:t>excusarse en</w:t>
      </w:r>
      <w:r>
        <w:rPr>
          <w:spacing w:val="-9"/>
          <w:w w:val="105"/>
        </w:rPr>
        <w:t xml:space="preserve"> </w:t>
      </w:r>
      <w:r>
        <w:rPr>
          <w:w w:val="105"/>
        </w:rPr>
        <w:t>referencia</w:t>
      </w:r>
      <w:r>
        <w:rPr>
          <w:spacing w:val="-9"/>
          <w:w w:val="105"/>
        </w:rPr>
        <w:t xml:space="preserve"> </w:t>
      </w:r>
      <w:r>
        <w:rPr>
          <w:w w:val="105"/>
        </w:rPr>
        <w:t>a</w:t>
      </w:r>
      <w:r>
        <w:rPr>
          <w:spacing w:val="-9"/>
          <w:w w:val="105"/>
        </w:rPr>
        <w:t xml:space="preserve"> </w:t>
      </w:r>
      <w:r>
        <w:rPr>
          <w:w w:val="105"/>
        </w:rPr>
        <w:t>la</w:t>
      </w:r>
      <w:r>
        <w:rPr>
          <w:spacing w:val="-9"/>
          <w:w w:val="105"/>
        </w:rPr>
        <w:t xml:space="preserve"> </w:t>
      </w:r>
      <w:r>
        <w:rPr>
          <w:w w:val="105"/>
        </w:rPr>
        <w:t>carga</w:t>
      </w:r>
      <w:r>
        <w:rPr>
          <w:spacing w:val="-9"/>
          <w:w w:val="105"/>
        </w:rPr>
        <w:t xml:space="preserve"> </w:t>
      </w:r>
      <w:r>
        <w:rPr>
          <w:w w:val="105"/>
        </w:rPr>
        <w:t>que</w:t>
      </w:r>
      <w:r>
        <w:rPr>
          <w:spacing w:val="-9"/>
          <w:w w:val="105"/>
        </w:rPr>
        <w:t xml:space="preserve"> </w:t>
      </w:r>
      <w:r>
        <w:rPr>
          <w:w w:val="105"/>
        </w:rPr>
        <w:t>soporta</w:t>
      </w:r>
      <w:r>
        <w:rPr>
          <w:spacing w:val="-9"/>
          <w:w w:val="105"/>
        </w:rPr>
        <w:t xml:space="preserve"> </w:t>
      </w:r>
      <w:r>
        <w:rPr>
          <w:w w:val="105"/>
        </w:rPr>
        <w:t>el</w:t>
      </w:r>
      <w:r>
        <w:rPr>
          <w:spacing w:val="-9"/>
          <w:w w:val="105"/>
        </w:rPr>
        <w:t xml:space="preserve"> </w:t>
      </w:r>
      <w:r>
        <w:rPr>
          <w:w w:val="105"/>
        </w:rPr>
        <w:t>proveedor;</w:t>
      </w:r>
      <w:r>
        <w:rPr>
          <w:spacing w:val="-8"/>
          <w:w w:val="105"/>
        </w:rPr>
        <w:t xml:space="preserve"> </w:t>
      </w:r>
      <w:r>
        <w:rPr>
          <w:w w:val="105"/>
        </w:rPr>
        <w:t>en</w:t>
      </w:r>
      <w:r>
        <w:rPr>
          <w:spacing w:val="-9"/>
          <w:w w:val="105"/>
        </w:rPr>
        <w:t xml:space="preserve"> </w:t>
      </w:r>
      <w:r>
        <w:rPr>
          <w:w w:val="105"/>
        </w:rPr>
        <w:t>ambos</w:t>
      </w:r>
      <w:r>
        <w:rPr>
          <w:spacing w:val="-9"/>
          <w:w w:val="105"/>
        </w:rPr>
        <w:t xml:space="preserve"> </w:t>
      </w:r>
      <w:r>
        <w:rPr>
          <w:w w:val="105"/>
        </w:rPr>
        <w:t>aspectos,</w:t>
      </w:r>
      <w:r>
        <w:rPr>
          <w:spacing w:val="-8"/>
          <w:w w:val="105"/>
        </w:rPr>
        <w:t xml:space="preserve"> </w:t>
      </w:r>
      <w:r>
        <w:rPr>
          <w:w w:val="105"/>
        </w:rPr>
        <w:t>la</w:t>
      </w:r>
      <w:r>
        <w:rPr>
          <w:spacing w:val="-9"/>
          <w:w w:val="105"/>
        </w:rPr>
        <w:t xml:space="preserve"> </w:t>
      </w:r>
      <w:r>
        <w:rPr>
          <w:w w:val="105"/>
        </w:rPr>
        <w:t>accesibilidad</w:t>
      </w:r>
      <w:r>
        <w:rPr>
          <w:spacing w:val="-9"/>
          <w:w w:val="105"/>
        </w:rPr>
        <w:t xml:space="preserve"> </w:t>
      </w:r>
      <w:r>
        <w:rPr>
          <w:w w:val="105"/>
        </w:rPr>
        <w:t>se</w:t>
      </w:r>
      <w:r>
        <w:rPr>
          <w:spacing w:val="-9"/>
          <w:w w:val="105"/>
        </w:rPr>
        <w:t xml:space="preserve"> </w:t>
      </w:r>
      <w:r>
        <w:rPr>
          <w:w w:val="105"/>
        </w:rPr>
        <w:t>distingue</w:t>
      </w:r>
      <w:r>
        <w:rPr>
          <w:spacing w:val="-9"/>
          <w:w w:val="105"/>
        </w:rPr>
        <w:t xml:space="preserve"> </w:t>
      </w:r>
      <w:r>
        <w:rPr>
          <w:w w:val="105"/>
        </w:rPr>
        <w:t>de</w:t>
      </w:r>
      <w:r>
        <w:rPr>
          <w:spacing w:val="-9"/>
          <w:w w:val="105"/>
        </w:rPr>
        <w:t xml:space="preserve"> </w:t>
      </w:r>
      <w:r>
        <w:rPr>
          <w:w w:val="105"/>
        </w:rPr>
        <w:t>los</w:t>
      </w:r>
      <w:r>
        <w:rPr>
          <w:spacing w:val="-9"/>
          <w:w w:val="105"/>
        </w:rPr>
        <w:t xml:space="preserve"> </w:t>
      </w:r>
      <w:r>
        <w:rPr>
          <w:w w:val="105"/>
        </w:rPr>
        <w:t>ajustes razonables.530</w:t>
      </w:r>
      <w:r>
        <w:rPr>
          <w:spacing w:val="-3"/>
          <w:w w:val="105"/>
        </w:rPr>
        <w:t xml:space="preserve"> </w:t>
      </w:r>
      <w:r>
        <w:rPr>
          <w:w w:val="105"/>
        </w:rPr>
        <w:t>En</w:t>
      </w:r>
      <w:r>
        <w:rPr>
          <w:spacing w:val="-3"/>
          <w:w w:val="105"/>
        </w:rPr>
        <w:t xml:space="preserve"> </w:t>
      </w:r>
      <w:r>
        <w:rPr>
          <w:w w:val="105"/>
        </w:rPr>
        <w:t>su</w:t>
      </w:r>
      <w:r>
        <w:rPr>
          <w:spacing w:val="-3"/>
          <w:w w:val="105"/>
        </w:rPr>
        <w:t xml:space="preserve"> </w:t>
      </w:r>
      <w:r>
        <w:rPr>
          <w:w w:val="105"/>
        </w:rPr>
        <w:t>Observación</w:t>
      </w:r>
      <w:r>
        <w:rPr>
          <w:spacing w:val="-3"/>
          <w:w w:val="105"/>
        </w:rPr>
        <w:t xml:space="preserve"> </w:t>
      </w:r>
      <w:r>
        <w:rPr>
          <w:w w:val="105"/>
        </w:rPr>
        <w:t>general</w:t>
      </w:r>
      <w:r>
        <w:rPr>
          <w:spacing w:val="-3"/>
          <w:w w:val="105"/>
        </w:rPr>
        <w:t xml:space="preserve"> </w:t>
      </w:r>
      <w:r>
        <w:rPr>
          <w:w w:val="105"/>
        </w:rPr>
        <w:t>núm.</w:t>
      </w:r>
      <w:r>
        <w:rPr>
          <w:spacing w:val="-3"/>
          <w:w w:val="105"/>
        </w:rPr>
        <w:t xml:space="preserve"> </w:t>
      </w:r>
      <w:r>
        <w:rPr>
          <w:w w:val="105"/>
        </w:rPr>
        <w:t>6</w:t>
      </w:r>
      <w:r>
        <w:rPr>
          <w:spacing w:val="-3"/>
          <w:w w:val="105"/>
        </w:rPr>
        <w:t xml:space="preserve"> </w:t>
      </w:r>
      <w:r>
        <w:rPr>
          <w:w w:val="105"/>
        </w:rPr>
        <w:t>(2018)</w:t>
      </w:r>
      <w:r>
        <w:rPr>
          <w:spacing w:val="-3"/>
          <w:w w:val="105"/>
        </w:rPr>
        <w:t xml:space="preserve"> </w:t>
      </w:r>
      <w:r>
        <w:rPr>
          <w:w w:val="105"/>
        </w:rPr>
        <w:t>más</w:t>
      </w:r>
      <w:r>
        <w:rPr>
          <w:spacing w:val="-3"/>
          <w:w w:val="105"/>
        </w:rPr>
        <w:t xml:space="preserve"> </w:t>
      </w:r>
      <w:r>
        <w:rPr>
          <w:w w:val="105"/>
        </w:rPr>
        <w:t>reciente,</w:t>
      </w:r>
      <w:r>
        <w:rPr>
          <w:spacing w:val="-2"/>
          <w:w w:val="105"/>
        </w:rPr>
        <w:t xml:space="preserve"> </w:t>
      </w:r>
      <w:r>
        <w:rPr>
          <w:w w:val="105"/>
        </w:rPr>
        <w:t>el</w:t>
      </w:r>
      <w:r>
        <w:rPr>
          <w:spacing w:val="-3"/>
          <w:w w:val="105"/>
        </w:rPr>
        <w:t xml:space="preserve"> </w:t>
      </w:r>
      <w:r>
        <w:rPr>
          <w:w w:val="105"/>
        </w:rPr>
        <w:t>Comité</w:t>
      </w:r>
      <w:r>
        <w:rPr>
          <w:spacing w:val="-3"/>
          <w:w w:val="105"/>
        </w:rPr>
        <w:t xml:space="preserve"> </w:t>
      </w:r>
      <w:r>
        <w:rPr>
          <w:w w:val="105"/>
        </w:rPr>
        <w:t>distingue</w:t>
      </w:r>
      <w:r>
        <w:rPr>
          <w:spacing w:val="-3"/>
          <w:w w:val="105"/>
        </w:rPr>
        <w:t xml:space="preserve"> </w:t>
      </w:r>
      <w:r>
        <w:rPr>
          <w:w w:val="105"/>
        </w:rPr>
        <w:t>entre</w:t>
      </w:r>
      <w:r>
        <w:rPr>
          <w:spacing w:val="-3"/>
          <w:w w:val="105"/>
        </w:rPr>
        <w:t xml:space="preserve"> </w:t>
      </w:r>
      <w:r>
        <w:rPr>
          <w:w w:val="105"/>
        </w:rPr>
        <w:t>el</w:t>
      </w:r>
      <w:r>
        <w:rPr>
          <w:spacing w:val="-3"/>
          <w:w w:val="105"/>
        </w:rPr>
        <w:t xml:space="preserve"> </w:t>
      </w:r>
      <w:r>
        <w:rPr>
          <w:w w:val="105"/>
        </w:rPr>
        <w:t>“deber</w:t>
      </w:r>
      <w:r>
        <w:rPr>
          <w:spacing w:val="-3"/>
          <w:w w:val="105"/>
        </w:rPr>
        <w:t xml:space="preserve"> </w:t>
      </w:r>
      <w:r>
        <w:rPr>
          <w:w w:val="105"/>
        </w:rPr>
        <w:t>proactivo</w:t>
      </w:r>
      <w:r>
        <w:rPr>
          <w:spacing w:val="-3"/>
          <w:w w:val="105"/>
        </w:rPr>
        <w:t xml:space="preserve"> </w:t>
      </w:r>
      <w:r>
        <w:rPr>
          <w:w w:val="105"/>
        </w:rPr>
        <w:t>y sistémico”</w:t>
      </w:r>
      <w:r>
        <w:rPr>
          <w:spacing w:val="-2"/>
          <w:w w:val="105"/>
        </w:rPr>
        <w:t xml:space="preserve"> </w:t>
      </w:r>
      <w:r>
        <w:rPr>
          <w:w w:val="105"/>
        </w:rPr>
        <w:t>de</w:t>
      </w:r>
      <w:r>
        <w:rPr>
          <w:spacing w:val="-2"/>
          <w:w w:val="105"/>
        </w:rPr>
        <w:t xml:space="preserve"> </w:t>
      </w:r>
      <w:r>
        <w:rPr>
          <w:w w:val="105"/>
        </w:rPr>
        <w:t>garantizar</w:t>
      </w:r>
      <w:r>
        <w:rPr>
          <w:spacing w:val="-2"/>
          <w:w w:val="105"/>
        </w:rPr>
        <w:t xml:space="preserve"> </w:t>
      </w:r>
      <w:r>
        <w:rPr>
          <w:w w:val="105"/>
        </w:rPr>
        <w:t>la</w:t>
      </w:r>
      <w:r>
        <w:rPr>
          <w:spacing w:val="-2"/>
          <w:w w:val="105"/>
        </w:rPr>
        <w:t xml:space="preserve"> </w:t>
      </w:r>
      <w:r>
        <w:rPr>
          <w:w w:val="105"/>
        </w:rPr>
        <w:t>accesibilidad</w:t>
      </w:r>
      <w:r>
        <w:rPr>
          <w:spacing w:val="-2"/>
          <w:w w:val="105"/>
        </w:rPr>
        <w:t xml:space="preserve"> </w:t>
      </w:r>
      <w:r>
        <w:rPr>
          <w:w w:val="105"/>
        </w:rPr>
        <w:t>y</w:t>
      </w:r>
      <w:r>
        <w:rPr>
          <w:spacing w:val="-2"/>
          <w:w w:val="105"/>
        </w:rPr>
        <w:t xml:space="preserve"> </w:t>
      </w:r>
      <w:r>
        <w:rPr>
          <w:w w:val="105"/>
        </w:rPr>
        <w:t>el</w:t>
      </w:r>
      <w:r>
        <w:rPr>
          <w:spacing w:val="-2"/>
          <w:w w:val="105"/>
        </w:rPr>
        <w:t xml:space="preserve"> </w:t>
      </w:r>
      <w:r>
        <w:rPr>
          <w:w w:val="105"/>
        </w:rPr>
        <w:t>“deber</w:t>
      </w:r>
      <w:r>
        <w:rPr>
          <w:spacing w:val="-2"/>
          <w:w w:val="105"/>
        </w:rPr>
        <w:t xml:space="preserve"> </w:t>
      </w:r>
      <w:r>
        <w:rPr>
          <w:w w:val="105"/>
        </w:rPr>
        <w:t>reactivo</w:t>
      </w:r>
      <w:r>
        <w:rPr>
          <w:spacing w:val="-2"/>
          <w:w w:val="105"/>
        </w:rPr>
        <w:t xml:space="preserve"> </w:t>
      </w:r>
      <w:r>
        <w:rPr>
          <w:w w:val="105"/>
        </w:rPr>
        <w:t>individualizado”</w:t>
      </w:r>
      <w:r>
        <w:rPr>
          <w:spacing w:val="-2"/>
          <w:w w:val="105"/>
        </w:rPr>
        <w:t xml:space="preserve"> </w:t>
      </w:r>
      <w:r>
        <w:rPr>
          <w:w w:val="105"/>
        </w:rPr>
        <w:t>de</w:t>
      </w:r>
      <w:r>
        <w:rPr>
          <w:spacing w:val="-2"/>
          <w:w w:val="105"/>
        </w:rPr>
        <w:t xml:space="preserve"> </w:t>
      </w:r>
      <w:r>
        <w:rPr>
          <w:w w:val="105"/>
        </w:rPr>
        <w:t>hacer</w:t>
      </w:r>
      <w:r>
        <w:rPr>
          <w:spacing w:val="-2"/>
          <w:w w:val="105"/>
        </w:rPr>
        <w:t xml:space="preserve"> </w:t>
      </w:r>
      <w:r>
        <w:rPr>
          <w:w w:val="105"/>
        </w:rPr>
        <w:t>que</w:t>
      </w:r>
      <w:r>
        <w:rPr>
          <w:spacing w:val="-2"/>
          <w:w w:val="105"/>
        </w:rPr>
        <w:t xml:space="preserve"> </w:t>
      </w:r>
      <w:r>
        <w:rPr>
          <w:w w:val="105"/>
        </w:rPr>
        <w:t>sea</w:t>
      </w:r>
      <w:r>
        <w:rPr>
          <w:spacing w:val="-2"/>
          <w:w w:val="105"/>
        </w:rPr>
        <w:t xml:space="preserve"> </w:t>
      </w:r>
      <w:r>
        <w:rPr>
          <w:w w:val="105"/>
        </w:rPr>
        <w:t>razonable</w:t>
      </w:r>
      <w:r>
        <w:rPr>
          <w:spacing w:val="-2"/>
          <w:w w:val="105"/>
        </w:rPr>
        <w:t xml:space="preserve"> </w:t>
      </w:r>
      <w:r>
        <w:rPr>
          <w:w w:val="105"/>
        </w:rPr>
        <w:t>alojamiento.531</w:t>
      </w:r>
    </w:p>
    <w:p w14:paraId="051CA51C" w14:textId="77777777" w:rsidR="0014798C" w:rsidRDefault="0014798C">
      <w:pPr>
        <w:pStyle w:val="Textoindependiente"/>
      </w:pPr>
    </w:p>
    <w:p w14:paraId="36F6D4DA" w14:textId="77777777" w:rsidR="0014798C" w:rsidRDefault="0014798C">
      <w:pPr>
        <w:pStyle w:val="Textoindependiente"/>
        <w:spacing w:before="49"/>
      </w:pPr>
    </w:p>
    <w:p w14:paraId="36508A13" w14:textId="77777777" w:rsidR="0014798C" w:rsidRDefault="004E1F0B">
      <w:pPr>
        <w:pStyle w:val="Textoindependiente"/>
        <w:spacing w:line="326" w:lineRule="auto"/>
        <w:ind w:left="1105" w:right="1272"/>
      </w:pPr>
      <w:r>
        <w:rPr>
          <w:w w:val="105"/>
        </w:rPr>
        <w:t>La</w:t>
      </w:r>
      <w:r>
        <w:rPr>
          <w:spacing w:val="-9"/>
          <w:w w:val="105"/>
        </w:rPr>
        <w:t xml:space="preserve"> </w:t>
      </w:r>
      <w:r>
        <w:rPr>
          <w:w w:val="105"/>
        </w:rPr>
        <w:t>naturaleza</w:t>
      </w:r>
      <w:r>
        <w:rPr>
          <w:spacing w:val="-9"/>
          <w:w w:val="105"/>
        </w:rPr>
        <w:t xml:space="preserve"> </w:t>
      </w:r>
      <w:r>
        <w:rPr>
          <w:w w:val="105"/>
        </w:rPr>
        <w:t>proactiva</w:t>
      </w:r>
      <w:r>
        <w:rPr>
          <w:spacing w:val="-9"/>
          <w:w w:val="105"/>
        </w:rPr>
        <w:t xml:space="preserve"> </w:t>
      </w:r>
      <w:r>
        <w:rPr>
          <w:w w:val="105"/>
        </w:rPr>
        <w:t>y</w:t>
      </w:r>
      <w:r>
        <w:rPr>
          <w:spacing w:val="-9"/>
          <w:w w:val="105"/>
        </w:rPr>
        <w:t xml:space="preserve"> </w:t>
      </w:r>
      <w:r>
        <w:rPr>
          <w:w w:val="105"/>
        </w:rPr>
        <w:t>sistémica</w:t>
      </w:r>
      <w:r>
        <w:rPr>
          <w:spacing w:val="-9"/>
          <w:w w:val="105"/>
        </w:rPr>
        <w:t xml:space="preserve"> </w:t>
      </w:r>
      <w:r>
        <w:rPr>
          <w:w w:val="105"/>
        </w:rPr>
        <w:t>del</w:t>
      </w:r>
      <w:r>
        <w:rPr>
          <w:spacing w:val="-9"/>
          <w:w w:val="105"/>
        </w:rPr>
        <w:t xml:space="preserve"> </w:t>
      </w:r>
      <w:r>
        <w:rPr>
          <w:w w:val="105"/>
        </w:rPr>
        <w:t>deber</w:t>
      </w:r>
      <w:r>
        <w:rPr>
          <w:spacing w:val="-9"/>
          <w:w w:val="105"/>
        </w:rPr>
        <w:t xml:space="preserve"> </w:t>
      </w:r>
      <w:r>
        <w:rPr>
          <w:w w:val="105"/>
        </w:rPr>
        <w:t>de</w:t>
      </w:r>
      <w:r>
        <w:rPr>
          <w:spacing w:val="-9"/>
          <w:w w:val="105"/>
        </w:rPr>
        <w:t xml:space="preserve"> </w:t>
      </w:r>
      <w:r>
        <w:rPr>
          <w:w w:val="105"/>
        </w:rPr>
        <w:t>garantizar</w:t>
      </w:r>
      <w:r>
        <w:rPr>
          <w:spacing w:val="-9"/>
          <w:w w:val="105"/>
        </w:rPr>
        <w:t xml:space="preserve"> </w:t>
      </w:r>
      <w:r>
        <w:rPr>
          <w:w w:val="105"/>
        </w:rPr>
        <w:t>la</w:t>
      </w:r>
      <w:r>
        <w:rPr>
          <w:spacing w:val="-9"/>
          <w:w w:val="105"/>
        </w:rPr>
        <w:t xml:space="preserve"> </w:t>
      </w:r>
      <w:r>
        <w:rPr>
          <w:w w:val="105"/>
        </w:rPr>
        <w:t>accesibilidad</w:t>
      </w:r>
      <w:r>
        <w:rPr>
          <w:spacing w:val="-9"/>
          <w:w w:val="105"/>
        </w:rPr>
        <w:t xml:space="preserve"> </w:t>
      </w:r>
      <w:r>
        <w:rPr>
          <w:w w:val="105"/>
        </w:rPr>
        <w:t>implica</w:t>
      </w:r>
      <w:r>
        <w:rPr>
          <w:spacing w:val="-9"/>
          <w:w w:val="105"/>
        </w:rPr>
        <w:t xml:space="preserve"> </w:t>
      </w:r>
      <w:r>
        <w:rPr>
          <w:w w:val="105"/>
        </w:rPr>
        <w:t>a</w:t>
      </w:r>
      <w:r>
        <w:rPr>
          <w:spacing w:val="-9"/>
          <w:w w:val="105"/>
        </w:rPr>
        <w:t xml:space="preserve"> </w:t>
      </w:r>
      <w:r>
        <w:rPr>
          <w:w w:val="105"/>
        </w:rPr>
        <w:t>su</w:t>
      </w:r>
      <w:r>
        <w:rPr>
          <w:spacing w:val="-9"/>
          <w:w w:val="105"/>
        </w:rPr>
        <w:t xml:space="preserve"> </w:t>
      </w:r>
      <w:r>
        <w:rPr>
          <w:w w:val="105"/>
        </w:rPr>
        <w:t>vez</w:t>
      </w:r>
      <w:r>
        <w:rPr>
          <w:spacing w:val="-9"/>
          <w:w w:val="105"/>
        </w:rPr>
        <w:t xml:space="preserve"> </w:t>
      </w:r>
      <w:r>
        <w:rPr>
          <w:w w:val="105"/>
        </w:rPr>
        <w:t>obligaciones</w:t>
      </w:r>
      <w:r>
        <w:rPr>
          <w:spacing w:val="-9"/>
          <w:w w:val="105"/>
        </w:rPr>
        <w:t xml:space="preserve"> </w:t>
      </w:r>
      <w:r>
        <w:rPr>
          <w:w w:val="105"/>
        </w:rPr>
        <w:t>de</w:t>
      </w:r>
      <w:r>
        <w:rPr>
          <w:spacing w:val="-9"/>
          <w:w w:val="105"/>
        </w:rPr>
        <w:t xml:space="preserve"> </w:t>
      </w:r>
      <w:r>
        <w:rPr>
          <w:w w:val="105"/>
        </w:rPr>
        <w:t>establecer</w:t>
      </w:r>
      <w:r>
        <w:rPr>
          <w:spacing w:val="-9"/>
          <w:w w:val="105"/>
        </w:rPr>
        <w:t xml:space="preserve"> </w:t>
      </w:r>
      <w:r>
        <w:rPr>
          <w:w w:val="105"/>
        </w:rPr>
        <w:t>plazos definidos, asignar recursos adecuados, prescribir los deberes de las diferentes autoridades, establecer mecanismos de seguimiento</w:t>
      </w:r>
      <w:r>
        <w:rPr>
          <w:spacing w:val="-3"/>
          <w:w w:val="105"/>
        </w:rPr>
        <w:t xml:space="preserve"> </w:t>
      </w:r>
      <w:r>
        <w:rPr>
          <w:w w:val="105"/>
        </w:rPr>
        <w:t>eficaces</w:t>
      </w:r>
      <w:r>
        <w:rPr>
          <w:spacing w:val="-3"/>
          <w:w w:val="105"/>
        </w:rPr>
        <w:t xml:space="preserve"> </w:t>
      </w:r>
      <w:r>
        <w:rPr>
          <w:w w:val="105"/>
        </w:rPr>
        <w:t>y</w:t>
      </w:r>
      <w:r>
        <w:rPr>
          <w:spacing w:val="-3"/>
          <w:w w:val="105"/>
        </w:rPr>
        <w:t xml:space="preserve"> </w:t>
      </w:r>
      <w:r>
        <w:rPr>
          <w:w w:val="105"/>
        </w:rPr>
        <w:t>sancionar</w:t>
      </w:r>
      <w:r>
        <w:rPr>
          <w:spacing w:val="-3"/>
          <w:w w:val="105"/>
        </w:rPr>
        <w:t xml:space="preserve"> </w:t>
      </w:r>
      <w:r>
        <w:rPr>
          <w:w w:val="105"/>
        </w:rPr>
        <w:t>a</w:t>
      </w:r>
      <w:r>
        <w:rPr>
          <w:spacing w:val="-3"/>
          <w:w w:val="105"/>
        </w:rPr>
        <w:t xml:space="preserve"> </w:t>
      </w:r>
      <w:r>
        <w:rPr>
          <w:w w:val="105"/>
        </w:rPr>
        <w:t>quienes</w:t>
      </w:r>
      <w:r>
        <w:rPr>
          <w:spacing w:val="-3"/>
          <w:w w:val="105"/>
        </w:rPr>
        <w:t xml:space="preserve"> </w:t>
      </w:r>
      <w:r>
        <w:rPr>
          <w:w w:val="105"/>
        </w:rPr>
        <w:t>no</w:t>
      </w:r>
      <w:r>
        <w:rPr>
          <w:spacing w:val="-3"/>
          <w:w w:val="105"/>
        </w:rPr>
        <w:t xml:space="preserve"> </w:t>
      </w:r>
      <w:r>
        <w:rPr>
          <w:w w:val="105"/>
        </w:rPr>
        <w:t>implementen</w:t>
      </w:r>
      <w:r>
        <w:rPr>
          <w:spacing w:val="-3"/>
          <w:w w:val="105"/>
        </w:rPr>
        <w:t xml:space="preserve"> </w:t>
      </w:r>
      <w:r>
        <w:rPr>
          <w:w w:val="105"/>
        </w:rPr>
        <w:t>las</w:t>
      </w:r>
      <w:r>
        <w:rPr>
          <w:spacing w:val="-3"/>
          <w:w w:val="105"/>
        </w:rPr>
        <w:t xml:space="preserve"> </w:t>
      </w:r>
      <w:r>
        <w:rPr>
          <w:w w:val="105"/>
        </w:rPr>
        <w:t>normas</w:t>
      </w:r>
      <w:r>
        <w:rPr>
          <w:spacing w:val="-3"/>
          <w:w w:val="105"/>
        </w:rPr>
        <w:t xml:space="preserve"> </w:t>
      </w:r>
      <w:r>
        <w:rPr>
          <w:w w:val="105"/>
        </w:rPr>
        <w:t>de</w:t>
      </w:r>
      <w:r>
        <w:rPr>
          <w:spacing w:val="-3"/>
          <w:w w:val="105"/>
        </w:rPr>
        <w:t xml:space="preserve"> </w:t>
      </w:r>
      <w:r>
        <w:rPr>
          <w:w w:val="105"/>
        </w:rPr>
        <w:t>accesibilidad.532</w:t>
      </w:r>
      <w:r>
        <w:rPr>
          <w:spacing w:val="-3"/>
          <w:w w:val="105"/>
        </w:rPr>
        <w:t xml:space="preserve"> </w:t>
      </w:r>
      <w:r>
        <w:rPr>
          <w:w w:val="105"/>
        </w:rPr>
        <w:t>A</w:t>
      </w:r>
      <w:r>
        <w:rPr>
          <w:spacing w:val="-3"/>
          <w:w w:val="105"/>
        </w:rPr>
        <w:t xml:space="preserve"> </w:t>
      </w:r>
      <w:r>
        <w:rPr>
          <w:w w:val="105"/>
        </w:rPr>
        <w:t>través</w:t>
      </w:r>
      <w:r>
        <w:rPr>
          <w:spacing w:val="-3"/>
          <w:w w:val="105"/>
        </w:rPr>
        <w:t xml:space="preserve"> </w:t>
      </w:r>
      <w:r>
        <w:rPr>
          <w:w w:val="105"/>
        </w:rPr>
        <w:t>de</w:t>
      </w:r>
      <w:r>
        <w:rPr>
          <w:spacing w:val="-3"/>
          <w:w w:val="105"/>
        </w:rPr>
        <w:t xml:space="preserve"> </w:t>
      </w:r>
      <w:r>
        <w:rPr>
          <w:w w:val="105"/>
        </w:rPr>
        <w:t>Estas</w:t>
      </w:r>
      <w:r>
        <w:rPr>
          <w:spacing w:val="-3"/>
          <w:w w:val="105"/>
        </w:rPr>
        <w:t xml:space="preserve"> </w:t>
      </w:r>
      <w:r>
        <w:rPr>
          <w:w w:val="105"/>
        </w:rPr>
        <w:t>medidas,</w:t>
      </w:r>
      <w:r>
        <w:rPr>
          <w:spacing w:val="-2"/>
          <w:w w:val="105"/>
        </w:rPr>
        <w:t xml:space="preserve"> </w:t>
      </w:r>
      <w:r>
        <w:rPr>
          <w:w w:val="105"/>
        </w:rPr>
        <w:t>los Estados</w:t>
      </w:r>
      <w:r>
        <w:rPr>
          <w:spacing w:val="-3"/>
          <w:w w:val="105"/>
        </w:rPr>
        <w:t xml:space="preserve"> </w:t>
      </w:r>
      <w:r>
        <w:rPr>
          <w:w w:val="105"/>
        </w:rPr>
        <w:t>deben</w:t>
      </w:r>
      <w:r>
        <w:rPr>
          <w:spacing w:val="-3"/>
          <w:w w:val="105"/>
        </w:rPr>
        <w:t xml:space="preserve"> </w:t>
      </w:r>
      <w:r>
        <w:rPr>
          <w:w w:val="105"/>
        </w:rPr>
        <w:t>garantizar</w:t>
      </w:r>
      <w:r>
        <w:rPr>
          <w:spacing w:val="-3"/>
          <w:w w:val="105"/>
        </w:rPr>
        <w:t xml:space="preserve"> </w:t>
      </w:r>
      <w:r>
        <w:rPr>
          <w:w w:val="105"/>
        </w:rPr>
        <w:t>que</w:t>
      </w:r>
      <w:r>
        <w:rPr>
          <w:spacing w:val="-3"/>
          <w:w w:val="105"/>
        </w:rPr>
        <w:t xml:space="preserve"> </w:t>
      </w:r>
      <w:r>
        <w:rPr>
          <w:w w:val="105"/>
        </w:rPr>
        <w:t>las</w:t>
      </w:r>
      <w:r>
        <w:rPr>
          <w:spacing w:val="-3"/>
          <w:w w:val="105"/>
        </w:rPr>
        <w:t xml:space="preserve"> </w:t>
      </w:r>
      <w:r>
        <w:rPr>
          <w:w w:val="105"/>
        </w:rPr>
        <w:t>barreras</w:t>
      </w:r>
      <w:r>
        <w:rPr>
          <w:spacing w:val="-3"/>
          <w:w w:val="105"/>
        </w:rPr>
        <w:t xml:space="preserve"> </w:t>
      </w:r>
      <w:r>
        <w:rPr>
          <w:w w:val="105"/>
        </w:rPr>
        <w:t>se</w:t>
      </w:r>
      <w:r>
        <w:rPr>
          <w:spacing w:val="-3"/>
          <w:w w:val="105"/>
        </w:rPr>
        <w:t xml:space="preserve"> </w:t>
      </w:r>
      <w:r>
        <w:rPr>
          <w:w w:val="105"/>
        </w:rPr>
        <w:t>eliminen</w:t>
      </w:r>
      <w:r>
        <w:rPr>
          <w:spacing w:val="-3"/>
          <w:w w:val="105"/>
        </w:rPr>
        <w:t xml:space="preserve"> </w:t>
      </w:r>
      <w:r>
        <w:rPr>
          <w:w w:val="105"/>
        </w:rPr>
        <w:t>de</w:t>
      </w:r>
      <w:r>
        <w:rPr>
          <w:spacing w:val="-3"/>
          <w:w w:val="105"/>
        </w:rPr>
        <w:t xml:space="preserve"> </w:t>
      </w:r>
      <w:r>
        <w:rPr>
          <w:w w:val="105"/>
        </w:rPr>
        <w:t>manera</w:t>
      </w:r>
      <w:r>
        <w:rPr>
          <w:spacing w:val="-3"/>
          <w:w w:val="105"/>
        </w:rPr>
        <w:t xml:space="preserve"> </w:t>
      </w:r>
      <w:r>
        <w:rPr>
          <w:w w:val="105"/>
        </w:rPr>
        <w:t>“continua</w:t>
      </w:r>
      <w:r>
        <w:rPr>
          <w:spacing w:val="-3"/>
          <w:w w:val="105"/>
        </w:rPr>
        <w:t xml:space="preserve"> </w:t>
      </w:r>
      <w:r>
        <w:rPr>
          <w:w w:val="105"/>
        </w:rPr>
        <w:t>y</w:t>
      </w:r>
      <w:r>
        <w:rPr>
          <w:spacing w:val="-3"/>
          <w:w w:val="105"/>
        </w:rPr>
        <w:t xml:space="preserve"> </w:t>
      </w:r>
      <w:r>
        <w:rPr>
          <w:w w:val="105"/>
        </w:rPr>
        <w:t>sistemática,</w:t>
      </w:r>
      <w:r>
        <w:rPr>
          <w:spacing w:val="-2"/>
          <w:w w:val="105"/>
        </w:rPr>
        <w:t xml:space="preserve"> </w:t>
      </w:r>
      <w:r>
        <w:rPr>
          <w:w w:val="105"/>
        </w:rPr>
        <w:t>gradual</w:t>
      </w:r>
      <w:r>
        <w:rPr>
          <w:spacing w:val="-3"/>
          <w:w w:val="105"/>
        </w:rPr>
        <w:t xml:space="preserve"> </w:t>
      </w:r>
      <w:r>
        <w:rPr>
          <w:w w:val="105"/>
        </w:rPr>
        <w:t>pero</w:t>
      </w:r>
      <w:r>
        <w:rPr>
          <w:spacing w:val="-3"/>
          <w:w w:val="105"/>
        </w:rPr>
        <w:t xml:space="preserve"> </w:t>
      </w:r>
      <w:r>
        <w:rPr>
          <w:w w:val="105"/>
        </w:rPr>
        <w:t>constante”.</w:t>
      </w:r>
      <w:r>
        <w:rPr>
          <w:spacing w:val="-2"/>
          <w:w w:val="105"/>
        </w:rPr>
        <w:t xml:space="preserve"> </w:t>
      </w:r>
      <w:r>
        <w:rPr>
          <w:w w:val="105"/>
        </w:rPr>
        <w:t>533</w:t>
      </w:r>
      <w:r>
        <w:rPr>
          <w:spacing w:val="-3"/>
          <w:w w:val="105"/>
        </w:rPr>
        <w:t xml:space="preserve"> </w:t>
      </w:r>
      <w:r>
        <w:rPr>
          <w:w w:val="105"/>
        </w:rPr>
        <w:t>Los Estados</w:t>
      </w:r>
      <w:r>
        <w:rPr>
          <w:spacing w:val="-1"/>
          <w:w w:val="105"/>
        </w:rPr>
        <w:t xml:space="preserve"> </w:t>
      </w:r>
      <w:r>
        <w:rPr>
          <w:w w:val="105"/>
        </w:rPr>
        <w:t>están</w:t>
      </w:r>
      <w:r>
        <w:rPr>
          <w:spacing w:val="-1"/>
          <w:w w:val="105"/>
        </w:rPr>
        <w:t xml:space="preserve"> </w:t>
      </w:r>
      <w:r>
        <w:rPr>
          <w:w w:val="105"/>
        </w:rPr>
        <w:t>obligados</w:t>
      </w:r>
      <w:r>
        <w:rPr>
          <w:spacing w:val="-1"/>
          <w:w w:val="105"/>
        </w:rPr>
        <w:t xml:space="preserve"> </w:t>
      </w:r>
      <w:r>
        <w:rPr>
          <w:w w:val="105"/>
        </w:rPr>
        <w:t>a</w:t>
      </w:r>
      <w:r>
        <w:rPr>
          <w:spacing w:val="-1"/>
          <w:w w:val="105"/>
        </w:rPr>
        <w:t xml:space="preserve"> </w:t>
      </w:r>
      <w:r>
        <w:rPr>
          <w:w w:val="105"/>
        </w:rPr>
        <w:t>adoptar, monitorear</w:t>
      </w:r>
      <w:r>
        <w:rPr>
          <w:spacing w:val="-1"/>
          <w:w w:val="105"/>
        </w:rPr>
        <w:t xml:space="preserve"> </w:t>
      </w:r>
      <w:r>
        <w:rPr>
          <w:w w:val="105"/>
        </w:rPr>
        <w:t>y</w:t>
      </w:r>
      <w:r>
        <w:rPr>
          <w:spacing w:val="-1"/>
          <w:w w:val="105"/>
        </w:rPr>
        <w:t xml:space="preserve"> </w:t>
      </w:r>
      <w:r>
        <w:rPr>
          <w:w w:val="105"/>
        </w:rPr>
        <w:t>promulgar</w:t>
      </w:r>
      <w:r>
        <w:rPr>
          <w:spacing w:val="-1"/>
          <w:w w:val="105"/>
        </w:rPr>
        <w:t xml:space="preserve"> </w:t>
      </w:r>
      <w:r>
        <w:rPr>
          <w:w w:val="105"/>
        </w:rPr>
        <w:t>estándares</w:t>
      </w:r>
      <w:r>
        <w:rPr>
          <w:spacing w:val="-1"/>
          <w:w w:val="105"/>
        </w:rPr>
        <w:t xml:space="preserve"> </w:t>
      </w:r>
      <w:r>
        <w:rPr>
          <w:w w:val="105"/>
        </w:rPr>
        <w:t>de</w:t>
      </w:r>
      <w:r>
        <w:rPr>
          <w:spacing w:val="-1"/>
          <w:w w:val="105"/>
        </w:rPr>
        <w:t xml:space="preserve"> </w:t>
      </w:r>
      <w:r>
        <w:rPr>
          <w:w w:val="105"/>
        </w:rPr>
        <w:t>accesibilidad, en</w:t>
      </w:r>
      <w:r>
        <w:rPr>
          <w:spacing w:val="-1"/>
          <w:w w:val="105"/>
        </w:rPr>
        <w:t xml:space="preserve"> </w:t>
      </w:r>
      <w:r>
        <w:rPr>
          <w:w w:val="105"/>
        </w:rPr>
        <w:t>consulta</w:t>
      </w:r>
      <w:r>
        <w:rPr>
          <w:spacing w:val="-1"/>
          <w:w w:val="105"/>
        </w:rPr>
        <w:t xml:space="preserve"> </w:t>
      </w:r>
      <w:r>
        <w:rPr>
          <w:w w:val="105"/>
        </w:rPr>
        <w:t>con</w:t>
      </w:r>
      <w:r>
        <w:rPr>
          <w:spacing w:val="-1"/>
          <w:w w:val="105"/>
        </w:rPr>
        <w:t xml:space="preserve"> </w:t>
      </w:r>
      <w:r>
        <w:rPr>
          <w:w w:val="105"/>
        </w:rPr>
        <w:t>las</w:t>
      </w:r>
      <w:r>
        <w:rPr>
          <w:spacing w:val="-1"/>
          <w:w w:val="105"/>
        </w:rPr>
        <w:t xml:space="preserve"> </w:t>
      </w:r>
      <w:r>
        <w:rPr>
          <w:w w:val="105"/>
        </w:rPr>
        <w:t>personas</w:t>
      </w:r>
      <w:r>
        <w:rPr>
          <w:spacing w:val="-1"/>
          <w:w w:val="105"/>
        </w:rPr>
        <w:t xml:space="preserve"> </w:t>
      </w:r>
      <w:r>
        <w:rPr>
          <w:w w:val="105"/>
        </w:rPr>
        <w:t>con discapacidad,</w:t>
      </w:r>
      <w:r>
        <w:rPr>
          <w:spacing w:val="-6"/>
          <w:w w:val="105"/>
        </w:rPr>
        <w:t xml:space="preserve"> </w:t>
      </w:r>
      <w:r>
        <w:rPr>
          <w:w w:val="105"/>
        </w:rPr>
        <w:t>y</w:t>
      </w:r>
      <w:r>
        <w:rPr>
          <w:spacing w:val="-7"/>
          <w:w w:val="105"/>
        </w:rPr>
        <w:t xml:space="preserve"> </w:t>
      </w:r>
      <w:r>
        <w:rPr>
          <w:w w:val="105"/>
        </w:rPr>
        <w:t>luego</w:t>
      </w:r>
      <w:r>
        <w:rPr>
          <w:spacing w:val="-7"/>
          <w:w w:val="105"/>
        </w:rPr>
        <w:t xml:space="preserve"> </w:t>
      </w:r>
      <w:r>
        <w:rPr>
          <w:w w:val="105"/>
        </w:rPr>
        <w:t>de</w:t>
      </w:r>
      <w:r>
        <w:rPr>
          <w:spacing w:val="-7"/>
          <w:w w:val="105"/>
        </w:rPr>
        <w:t xml:space="preserve"> </w:t>
      </w:r>
      <w:r>
        <w:rPr>
          <w:w w:val="105"/>
        </w:rPr>
        <w:t>revisiones</w:t>
      </w:r>
      <w:r>
        <w:rPr>
          <w:spacing w:val="-7"/>
          <w:w w:val="105"/>
        </w:rPr>
        <w:t xml:space="preserve"> </w:t>
      </w:r>
      <w:r>
        <w:rPr>
          <w:w w:val="105"/>
        </w:rPr>
        <w:t>integrales</w:t>
      </w:r>
      <w:r>
        <w:rPr>
          <w:spacing w:val="-7"/>
          <w:w w:val="105"/>
        </w:rPr>
        <w:t xml:space="preserve"> </w:t>
      </w:r>
      <w:r>
        <w:rPr>
          <w:w w:val="105"/>
        </w:rPr>
        <w:t>de</w:t>
      </w:r>
      <w:r>
        <w:rPr>
          <w:spacing w:val="-7"/>
          <w:w w:val="105"/>
        </w:rPr>
        <w:t xml:space="preserve"> </w:t>
      </w:r>
      <w:r>
        <w:rPr>
          <w:w w:val="105"/>
        </w:rPr>
        <w:t>las</w:t>
      </w:r>
      <w:r>
        <w:rPr>
          <w:spacing w:val="-7"/>
          <w:w w:val="105"/>
        </w:rPr>
        <w:t xml:space="preserve"> </w:t>
      </w:r>
      <w:r>
        <w:rPr>
          <w:w w:val="105"/>
        </w:rPr>
        <w:t>leyes</w:t>
      </w:r>
      <w:r>
        <w:rPr>
          <w:spacing w:val="-7"/>
          <w:w w:val="105"/>
        </w:rPr>
        <w:t xml:space="preserve"> </w:t>
      </w:r>
      <w:r>
        <w:rPr>
          <w:w w:val="105"/>
        </w:rPr>
        <w:t>existentes.</w:t>
      </w:r>
      <w:r>
        <w:rPr>
          <w:spacing w:val="-7"/>
          <w:w w:val="105"/>
        </w:rPr>
        <w:t xml:space="preserve"> </w:t>
      </w:r>
      <w:r>
        <w:rPr>
          <w:w w:val="70"/>
        </w:rPr>
        <w:t>;</w:t>
      </w:r>
      <w:r>
        <w:rPr>
          <w:spacing w:val="-6"/>
          <w:w w:val="105"/>
        </w:rPr>
        <w:t xml:space="preserve"> </w:t>
      </w:r>
      <w:r>
        <w:rPr>
          <w:w w:val="105"/>
        </w:rPr>
        <w:t>la</w:t>
      </w:r>
      <w:r>
        <w:rPr>
          <w:spacing w:val="-7"/>
          <w:w w:val="105"/>
        </w:rPr>
        <w:t xml:space="preserve"> </w:t>
      </w:r>
      <w:r>
        <w:rPr>
          <w:w w:val="105"/>
        </w:rPr>
        <w:t>legislación</w:t>
      </w:r>
      <w:r>
        <w:rPr>
          <w:spacing w:val="-7"/>
          <w:w w:val="105"/>
        </w:rPr>
        <w:t xml:space="preserve"> </w:t>
      </w:r>
      <w:r>
        <w:rPr>
          <w:w w:val="105"/>
        </w:rPr>
        <w:t>debería</w:t>
      </w:r>
      <w:r>
        <w:rPr>
          <w:spacing w:val="-7"/>
          <w:w w:val="105"/>
        </w:rPr>
        <w:t xml:space="preserve"> </w:t>
      </w:r>
      <w:r>
        <w:rPr>
          <w:w w:val="105"/>
        </w:rPr>
        <w:t>prever</w:t>
      </w:r>
      <w:r>
        <w:rPr>
          <w:spacing w:val="-7"/>
          <w:w w:val="105"/>
        </w:rPr>
        <w:t xml:space="preserve"> </w:t>
      </w:r>
      <w:r>
        <w:rPr>
          <w:w w:val="105"/>
        </w:rPr>
        <w:t>la</w:t>
      </w:r>
      <w:r>
        <w:rPr>
          <w:spacing w:val="-7"/>
          <w:w w:val="105"/>
        </w:rPr>
        <w:t xml:space="preserve"> </w:t>
      </w:r>
      <w:r>
        <w:rPr>
          <w:w w:val="105"/>
        </w:rPr>
        <w:t>aplicación</w:t>
      </w:r>
      <w:r>
        <w:rPr>
          <w:spacing w:val="-7"/>
          <w:w w:val="105"/>
        </w:rPr>
        <w:t xml:space="preserve"> </w:t>
      </w:r>
      <w:r>
        <w:rPr>
          <w:w w:val="105"/>
        </w:rPr>
        <w:t>obligatoria de normas de accesibilidad y sanciones para quienes no las apliquen.534</w:t>
      </w:r>
    </w:p>
    <w:p w14:paraId="4ACDD21E" w14:textId="77777777" w:rsidR="0014798C" w:rsidRDefault="0014798C">
      <w:pPr>
        <w:pStyle w:val="Textoindependiente"/>
      </w:pPr>
    </w:p>
    <w:p w14:paraId="5502B339" w14:textId="77777777" w:rsidR="0014798C" w:rsidRDefault="0014798C">
      <w:pPr>
        <w:pStyle w:val="Textoindependiente"/>
        <w:spacing w:before="97"/>
      </w:pPr>
    </w:p>
    <w:p w14:paraId="63A261E1" w14:textId="77777777" w:rsidR="0014798C" w:rsidRDefault="004E1F0B">
      <w:pPr>
        <w:pStyle w:val="Textoindependiente"/>
        <w:ind w:left="1342"/>
      </w:pPr>
      <w:r>
        <w:rPr>
          <w:w w:val="105"/>
        </w:rPr>
        <w:t>NYUSTI</w:t>
      </w:r>
      <w:r>
        <w:rPr>
          <w:spacing w:val="-12"/>
          <w:w w:val="105"/>
        </w:rPr>
        <w:t xml:space="preserve"> </w:t>
      </w:r>
      <w:r>
        <w:rPr>
          <w:w w:val="105"/>
        </w:rPr>
        <w:t>Y</w:t>
      </w:r>
      <w:r>
        <w:rPr>
          <w:spacing w:val="-11"/>
          <w:w w:val="105"/>
        </w:rPr>
        <w:t xml:space="preserve"> </w:t>
      </w:r>
      <w:r>
        <w:rPr>
          <w:w w:val="105"/>
        </w:rPr>
        <w:t>TAKÁCS</w:t>
      </w:r>
      <w:r>
        <w:rPr>
          <w:spacing w:val="-12"/>
          <w:w w:val="105"/>
        </w:rPr>
        <w:t xml:space="preserve"> </w:t>
      </w:r>
      <w:r>
        <w:rPr>
          <w:w w:val="105"/>
        </w:rPr>
        <w:t>V.</w:t>
      </w:r>
      <w:r>
        <w:rPr>
          <w:spacing w:val="-11"/>
          <w:w w:val="105"/>
        </w:rPr>
        <w:t xml:space="preserve"> </w:t>
      </w:r>
      <w:r>
        <w:rPr>
          <w:spacing w:val="-2"/>
          <w:w w:val="105"/>
        </w:rPr>
        <w:t>HUNGRÍA535</w:t>
      </w:r>
    </w:p>
    <w:p w14:paraId="6791DC36" w14:textId="77777777" w:rsidR="0014798C" w:rsidRDefault="0014798C">
      <w:pPr>
        <w:pStyle w:val="Textoindependiente"/>
        <w:spacing w:before="36"/>
      </w:pPr>
    </w:p>
    <w:p w14:paraId="61B9FDE6" w14:textId="77777777" w:rsidR="0014798C" w:rsidRDefault="004E1F0B">
      <w:pPr>
        <w:pStyle w:val="Textoindependiente"/>
        <w:spacing w:line="326" w:lineRule="auto"/>
        <w:ind w:left="1332" w:right="1463"/>
      </w:pPr>
      <w:r>
        <w:rPr>
          <w:w w:val="105"/>
        </w:rPr>
        <w:t>Dos</w:t>
      </w:r>
      <w:r>
        <w:rPr>
          <w:spacing w:val="-9"/>
          <w:w w:val="105"/>
        </w:rPr>
        <w:t xml:space="preserve"> </w:t>
      </w:r>
      <w:r>
        <w:rPr>
          <w:w w:val="105"/>
        </w:rPr>
        <w:t>ciudadanos</w:t>
      </w:r>
      <w:r>
        <w:rPr>
          <w:spacing w:val="-9"/>
          <w:w w:val="105"/>
        </w:rPr>
        <w:t xml:space="preserve"> </w:t>
      </w:r>
      <w:r>
        <w:rPr>
          <w:w w:val="105"/>
        </w:rPr>
        <w:t>húngaros</w:t>
      </w:r>
      <w:r>
        <w:rPr>
          <w:spacing w:val="-10"/>
          <w:w w:val="105"/>
        </w:rPr>
        <w:t xml:space="preserve"> </w:t>
      </w:r>
      <w:r>
        <w:rPr>
          <w:w w:val="105"/>
        </w:rPr>
        <w:t>con</w:t>
      </w:r>
      <w:r>
        <w:rPr>
          <w:spacing w:val="-9"/>
          <w:w w:val="105"/>
        </w:rPr>
        <w:t xml:space="preserve"> </w:t>
      </w:r>
      <w:r>
        <w:rPr>
          <w:w w:val="105"/>
        </w:rPr>
        <w:t>discapacidad</w:t>
      </w:r>
      <w:r>
        <w:rPr>
          <w:spacing w:val="-9"/>
          <w:w w:val="105"/>
        </w:rPr>
        <w:t xml:space="preserve"> </w:t>
      </w:r>
      <w:r>
        <w:rPr>
          <w:w w:val="105"/>
        </w:rPr>
        <w:t>visual</w:t>
      </w:r>
      <w:r>
        <w:rPr>
          <w:spacing w:val="-10"/>
          <w:w w:val="105"/>
        </w:rPr>
        <w:t xml:space="preserve"> </w:t>
      </w:r>
      <w:r>
        <w:rPr>
          <w:w w:val="105"/>
        </w:rPr>
        <w:t>presentaron</w:t>
      </w:r>
      <w:r>
        <w:rPr>
          <w:spacing w:val="-9"/>
          <w:w w:val="105"/>
        </w:rPr>
        <w:t xml:space="preserve"> </w:t>
      </w:r>
      <w:r>
        <w:rPr>
          <w:w w:val="105"/>
        </w:rPr>
        <w:t>una</w:t>
      </w:r>
      <w:r>
        <w:rPr>
          <w:spacing w:val="-9"/>
          <w:w w:val="105"/>
        </w:rPr>
        <w:t xml:space="preserve"> </w:t>
      </w:r>
      <w:r>
        <w:rPr>
          <w:w w:val="105"/>
        </w:rPr>
        <w:t>denuncia</w:t>
      </w:r>
      <w:r>
        <w:rPr>
          <w:spacing w:val="-10"/>
          <w:w w:val="105"/>
        </w:rPr>
        <w:t xml:space="preserve"> </w:t>
      </w:r>
      <w:r>
        <w:rPr>
          <w:w w:val="105"/>
        </w:rPr>
        <w:t>ante</w:t>
      </w:r>
      <w:r>
        <w:rPr>
          <w:spacing w:val="-9"/>
          <w:w w:val="105"/>
        </w:rPr>
        <w:t xml:space="preserve"> </w:t>
      </w:r>
      <w:r>
        <w:rPr>
          <w:w w:val="105"/>
        </w:rPr>
        <w:t>el</w:t>
      </w:r>
      <w:r>
        <w:rPr>
          <w:spacing w:val="-9"/>
          <w:w w:val="105"/>
        </w:rPr>
        <w:t xml:space="preserve"> </w:t>
      </w:r>
      <w:r>
        <w:rPr>
          <w:w w:val="105"/>
        </w:rPr>
        <w:t>Comité</w:t>
      </w:r>
      <w:r>
        <w:rPr>
          <w:spacing w:val="-10"/>
          <w:w w:val="105"/>
        </w:rPr>
        <w:t xml:space="preserve"> </w:t>
      </w:r>
      <w:r>
        <w:rPr>
          <w:w w:val="105"/>
        </w:rPr>
        <w:t>sobre</w:t>
      </w:r>
      <w:r>
        <w:rPr>
          <w:spacing w:val="-9"/>
          <w:w w:val="105"/>
        </w:rPr>
        <w:t xml:space="preserve"> </w:t>
      </w:r>
      <w:r>
        <w:rPr>
          <w:w w:val="105"/>
        </w:rPr>
        <w:t>los</w:t>
      </w:r>
      <w:r>
        <w:rPr>
          <w:spacing w:val="-9"/>
          <w:w w:val="105"/>
        </w:rPr>
        <w:t xml:space="preserve"> </w:t>
      </w:r>
      <w:r>
        <w:rPr>
          <w:w w:val="105"/>
        </w:rPr>
        <w:t>Derechos</w:t>
      </w:r>
      <w:r>
        <w:rPr>
          <w:spacing w:val="-10"/>
          <w:w w:val="105"/>
        </w:rPr>
        <w:t xml:space="preserve"> </w:t>
      </w:r>
      <w:r>
        <w:rPr>
          <w:w w:val="105"/>
        </w:rPr>
        <w:t>de</w:t>
      </w:r>
      <w:r>
        <w:rPr>
          <w:spacing w:val="-9"/>
          <w:w w:val="105"/>
        </w:rPr>
        <w:t xml:space="preserve"> </w:t>
      </w:r>
      <w:r>
        <w:rPr>
          <w:w w:val="105"/>
        </w:rPr>
        <w:t>las Personas</w:t>
      </w:r>
      <w:r>
        <w:rPr>
          <w:spacing w:val="-5"/>
          <w:w w:val="105"/>
        </w:rPr>
        <w:t xml:space="preserve"> </w:t>
      </w:r>
      <w:r>
        <w:rPr>
          <w:w w:val="105"/>
        </w:rPr>
        <w:t>con</w:t>
      </w:r>
      <w:r>
        <w:rPr>
          <w:spacing w:val="-5"/>
          <w:w w:val="105"/>
        </w:rPr>
        <w:t xml:space="preserve"> </w:t>
      </w:r>
      <w:r>
        <w:rPr>
          <w:w w:val="105"/>
        </w:rPr>
        <w:t>Discapacidad,</w:t>
      </w:r>
      <w:r>
        <w:rPr>
          <w:spacing w:val="-4"/>
          <w:w w:val="105"/>
        </w:rPr>
        <w:t xml:space="preserve"> </w:t>
      </w:r>
      <w:r>
        <w:rPr>
          <w:w w:val="105"/>
        </w:rPr>
        <w:t>argumentando</w:t>
      </w:r>
      <w:r>
        <w:rPr>
          <w:spacing w:val="-5"/>
          <w:w w:val="105"/>
        </w:rPr>
        <w:t xml:space="preserve"> </w:t>
      </w:r>
      <w:r>
        <w:rPr>
          <w:w w:val="105"/>
        </w:rPr>
        <w:t>que</w:t>
      </w:r>
      <w:r>
        <w:rPr>
          <w:spacing w:val="-5"/>
          <w:w w:val="105"/>
        </w:rPr>
        <w:t xml:space="preserve"> </w:t>
      </w:r>
      <w:r>
        <w:rPr>
          <w:w w:val="105"/>
        </w:rPr>
        <w:t>Hungría</w:t>
      </w:r>
      <w:r>
        <w:rPr>
          <w:spacing w:val="-5"/>
          <w:w w:val="105"/>
        </w:rPr>
        <w:t xml:space="preserve"> </w:t>
      </w:r>
      <w:r>
        <w:rPr>
          <w:w w:val="105"/>
        </w:rPr>
        <w:t>no</w:t>
      </w:r>
      <w:r>
        <w:rPr>
          <w:spacing w:val="-5"/>
          <w:w w:val="105"/>
        </w:rPr>
        <w:t xml:space="preserve"> </w:t>
      </w:r>
      <w:r>
        <w:rPr>
          <w:w w:val="105"/>
        </w:rPr>
        <w:t>había</w:t>
      </w:r>
      <w:r>
        <w:rPr>
          <w:spacing w:val="-5"/>
          <w:w w:val="105"/>
        </w:rPr>
        <w:t xml:space="preserve"> </w:t>
      </w:r>
      <w:r>
        <w:rPr>
          <w:w w:val="105"/>
        </w:rPr>
        <w:t>garantizado</w:t>
      </w:r>
      <w:r>
        <w:rPr>
          <w:spacing w:val="-5"/>
          <w:w w:val="105"/>
        </w:rPr>
        <w:t xml:space="preserve"> </w:t>
      </w:r>
      <w:r>
        <w:rPr>
          <w:w w:val="105"/>
        </w:rPr>
        <w:t>servicios</w:t>
      </w:r>
      <w:r>
        <w:rPr>
          <w:spacing w:val="-5"/>
          <w:w w:val="105"/>
        </w:rPr>
        <w:t xml:space="preserve"> </w:t>
      </w:r>
      <w:r>
        <w:rPr>
          <w:w w:val="105"/>
        </w:rPr>
        <w:t>bancarios</w:t>
      </w:r>
      <w:r>
        <w:rPr>
          <w:spacing w:val="-5"/>
          <w:w w:val="105"/>
        </w:rPr>
        <w:t xml:space="preserve"> </w:t>
      </w:r>
      <w:r>
        <w:rPr>
          <w:w w:val="105"/>
        </w:rPr>
        <w:t>accesibles</w:t>
      </w:r>
      <w:r>
        <w:rPr>
          <w:spacing w:val="-5"/>
          <w:w w:val="105"/>
        </w:rPr>
        <w:t xml:space="preserve"> </w:t>
      </w:r>
      <w:r>
        <w:rPr>
          <w:w w:val="105"/>
        </w:rPr>
        <w:t>para</w:t>
      </w:r>
      <w:r>
        <w:rPr>
          <w:spacing w:val="-5"/>
          <w:w w:val="105"/>
        </w:rPr>
        <w:t xml:space="preserve"> </w:t>
      </w:r>
      <w:r>
        <w:rPr>
          <w:w w:val="105"/>
        </w:rPr>
        <w:t>las personas</w:t>
      </w:r>
      <w:r>
        <w:rPr>
          <w:spacing w:val="-3"/>
          <w:w w:val="105"/>
        </w:rPr>
        <w:t xml:space="preserve"> </w:t>
      </w:r>
      <w:r>
        <w:rPr>
          <w:w w:val="105"/>
        </w:rPr>
        <w:t>con</w:t>
      </w:r>
      <w:r>
        <w:rPr>
          <w:spacing w:val="-3"/>
          <w:w w:val="105"/>
        </w:rPr>
        <w:t xml:space="preserve"> </w:t>
      </w:r>
      <w:r>
        <w:rPr>
          <w:w w:val="105"/>
        </w:rPr>
        <w:t>discapacidad</w:t>
      </w:r>
      <w:r>
        <w:rPr>
          <w:spacing w:val="-3"/>
          <w:w w:val="105"/>
        </w:rPr>
        <w:t xml:space="preserve"> </w:t>
      </w:r>
      <w:r>
        <w:rPr>
          <w:w w:val="105"/>
        </w:rPr>
        <w:t>visual,</w:t>
      </w:r>
      <w:r>
        <w:rPr>
          <w:spacing w:val="-2"/>
          <w:w w:val="105"/>
        </w:rPr>
        <w:t xml:space="preserve"> </w:t>
      </w:r>
      <w:r>
        <w:rPr>
          <w:w w:val="105"/>
        </w:rPr>
        <w:t>en</w:t>
      </w:r>
      <w:r>
        <w:rPr>
          <w:spacing w:val="-3"/>
          <w:w w:val="105"/>
        </w:rPr>
        <w:t xml:space="preserve"> </w:t>
      </w:r>
      <w:r>
        <w:rPr>
          <w:w w:val="105"/>
        </w:rPr>
        <w:t>contravención</w:t>
      </w:r>
      <w:r>
        <w:rPr>
          <w:spacing w:val="-3"/>
          <w:w w:val="105"/>
        </w:rPr>
        <w:t xml:space="preserve"> </w:t>
      </w:r>
      <w:r>
        <w:rPr>
          <w:w w:val="105"/>
        </w:rPr>
        <w:t>del</w:t>
      </w:r>
      <w:r>
        <w:rPr>
          <w:spacing w:val="-3"/>
          <w:w w:val="105"/>
        </w:rPr>
        <w:t xml:space="preserve"> </w:t>
      </w:r>
      <w:r>
        <w:rPr>
          <w:w w:val="105"/>
        </w:rPr>
        <w:t>artículo</w:t>
      </w:r>
      <w:r>
        <w:rPr>
          <w:spacing w:val="-3"/>
          <w:w w:val="105"/>
        </w:rPr>
        <w:t xml:space="preserve"> </w:t>
      </w:r>
      <w:r>
        <w:rPr>
          <w:w w:val="105"/>
        </w:rPr>
        <w:t>9</w:t>
      </w:r>
      <w:r>
        <w:rPr>
          <w:spacing w:val="-3"/>
          <w:w w:val="105"/>
        </w:rPr>
        <w:t xml:space="preserve"> </w:t>
      </w:r>
      <w:r>
        <w:rPr>
          <w:w w:val="105"/>
        </w:rPr>
        <w:t>(2)</w:t>
      </w:r>
      <w:r>
        <w:rPr>
          <w:spacing w:val="-3"/>
          <w:w w:val="105"/>
        </w:rPr>
        <w:t xml:space="preserve"> </w:t>
      </w:r>
      <w:r>
        <w:rPr>
          <w:w w:val="105"/>
        </w:rPr>
        <w:t>(b)</w:t>
      </w:r>
      <w:r>
        <w:rPr>
          <w:spacing w:val="-3"/>
          <w:w w:val="105"/>
        </w:rPr>
        <w:t xml:space="preserve"> </w:t>
      </w:r>
      <w:r>
        <w:rPr>
          <w:w w:val="105"/>
        </w:rPr>
        <w:t>de</w:t>
      </w:r>
      <w:r>
        <w:rPr>
          <w:spacing w:val="-3"/>
          <w:w w:val="105"/>
        </w:rPr>
        <w:t xml:space="preserve"> </w:t>
      </w:r>
      <w:r>
        <w:rPr>
          <w:w w:val="105"/>
        </w:rPr>
        <w:t>la</w:t>
      </w:r>
      <w:r>
        <w:rPr>
          <w:spacing w:val="-3"/>
          <w:w w:val="105"/>
        </w:rPr>
        <w:t xml:space="preserve"> </w:t>
      </w:r>
      <w:r>
        <w:rPr>
          <w:w w:val="105"/>
        </w:rPr>
        <w:t>Convención.</w:t>
      </w:r>
      <w:r>
        <w:rPr>
          <w:spacing w:val="-2"/>
          <w:w w:val="105"/>
        </w:rPr>
        <w:t xml:space="preserve"> </w:t>
      </w:r>
      <w:r>
        <w:rPr>
          <w:w w:val="105"/>
        </w:rPr>
        <w:t>Específicamente,</w:t>
      </w:r>
      <w:r>
        <w:rPr>
          <w:spacing w:val="-2"/>
          <w:w w:val="105"/>
        </w:rPr>
        <w:t xml:space="preserve"> </w:t>
      </w:r>
      <w:r>
        <w:rPr>
          <w:w w:val="105"/>
        </w:rPr>
        <w:t>los demandantes</w:t>
      </w:r>
      <w:r>
        <w:rPr>
          <w:spacing w:val="-1"/>
          <w:w w:val="105"/>
        </w:rPr>
        <w:t xml:space="preserve"> </w:t>
      </w:r>
      <w:r>
        <w:rPr>
          <w:w w:val="105"/>
        </w:rPr>
        <w:t>argumentaron</w:t>
      </w:r>
      <w:r>
        <w:rPr>
          <w:spacing w:val="-1"/>
          <w:w w:val="105"/>
        </w:rPr>
        <w:t xml:space="preserve"> </w:t>
      </w:r>
      <w:r>
        <w:rPr>
          <w:w w:val="105"/>
        </w:rPr>
        <w:t>que</w:t>
      </w:r>
      <w:r>
        <w:rPr>
          <w:spacing w:val="-1"/>
          <w:w w:val="105"/>
        </w:rPr>
        <w:t xml:space="preserve"> </w:t>
      </w:r>
      <w:r>
        <w:rPr>
          <w:w w:val="105"/>
        </w:rPr>
        <w:t>OTP</w:t>
      </w:r>
      <w:r>
        <w:rPr>
          <w:spacing w:val="-1"/>
          <w:w w:val="105"/>
        </w:rPr>
        <w:t xml:space="preserve"> </w:t>
      </w:r>
      <w:r>
        <w:rPr>
          <w:w w:val="105"/>
        </w:rPr>
        <w:t>Bank,</w:t>
      </w:r>
      <w:r>
        <w:rPr>
          <w:spacing w:val="-1"/>
          <w:w w:val="105"/>
        </w:rPr>
        <w:t xml:space="preserve"> </w:t>
      </w:r>
      <w:r>
        <w:rPr>
          <w:w w:val="105"/>
        </w:rPr>
        <w:t>del</w:t>
      </w:r>
      <w:r>
        <w:rPr>
          <w:spacing w:val="-1"/>
          <w:w w:val="105"/>
        </w:rPr>
        <w:t xml:space="preserve"> </w:t>
      </w:r>
      <w:r>
        <w:rPr>
          <w:w w:val="105"/>
        </w:rPr>
        <w:t>cual</w:t>
      </w:r>
      <w:r>
        <w:rPr>
          <w:spacing w:val="-1"/>
          <w:w w:val="105"/>
        </w:rPr>
        <w:t xml:space="preserve"> </w:t>
      </w:r>
      <w:r>
        <w:rPr>
          <w:w w:val="105"/>
        </w:rPr>
        <w:t>ambos</w:t>
      </w:r>
      <w:r>
        <w:rPr>
          <w:spacing w:val="-1"/>
          <w:w w:val="105"/>
        </w:rPr>
        <w:t xml:space="preserve"> </w:t>
      </w:r>
      <w:r>
        <w:rPr>
          <w:w w:val="105"/>
        </w:rPr>
        <w:t>eran</w:t>
      </w:r>
      <w:r>
        <w:rPr>
          <w:spacing w:val="-1"/>
          <w:w w:val="105"/>
        </w:rPr>
        <w:t xml:space="preserve"> </w:t>
      </w:r>
      <w:r>
        <w:rPr>
          <w:w w:val="105"/>
        </w:rPr>
        <w:t>clientes</w:t>
      </w:r>
      <w:r>
        <w:rPr>
          <w:spacing w:val="-1"/>
          <w:w w:val="105"/>
        </w:rPr>
        <w:t xml:space="preserve"> </w:t>
      </w:r>
      <w:r>
        <w:rPr>
          <w:w w:val="105"/>
        </w:rPr>
        <w:t>de</w:t>
      </w:r>
      <w:r>
        <w:rPr>
          <w:spacing w:val="-1"/>
          <w:w w:val="105"/>
        </w:rPr>
        <w:t xml:space="preserve"> </w:t>
      </w:r>
      <w:r>
        <w:rPr>
          <w:w w:val="105"/>
        </w:rPr>
        <w:t>pago,</w:t>
      </w:r>
      <w:r>
        <w:rPr>
          <w:spacing w:val="-1"/>
          <w:w w:val="105"/>
        </w:rPr>
        <w:t xml:space="preserve"> </w:t>
      </w:r>
      <w:r>
        <w:rPr>
          <w:w w:val="105"/>
        </w:rPr>
        <w:t>no</w:t>
      </w:r>
      <w:r>
        <w:rPr>
          <w:spacing w:val="-1"/>
          <w:w w:val="105"/>
        </w:rPr>
        <w:t xml:space="preserve"> </w:t>
      </w:r>
      <w:r>
        <w:rPr>
          <w:w w:val="105"/>
        </w:rPr>
        <w:t>había</w:t>
      </w:r>
      <w:r>
        <w:rPr>
          <w:spacing w:val="-1"/>
          <w:w w:val="105"/>
        </w:rPr>
        <w:t xml:space="preserve"> </w:t>
      </w:r>
      <w:r>
        <w:rPr>
          <w:w w:val="105"/>
        </w:rPr>
        <w:t>proporcionado</w:t>
      </w:r>
      <w:r>
        <w:rPr>
          <w:spacing w:val="-1"/>
          <w:w w:val="105"/>
        </w:rPr>
        <w:t xml:space="preserve"> </w:t>
      </w:r>
      <w:r>
        <w:rPr>
          <w:w w:val="105"/>
        </w:rPr>
        <w:t>cajeros automáticos</w:t>
      </w:r>
      <w:r>
        <w:rPr>
          <w:spacing w:val="-1"/>
          <w:w w:val="105"/>
        </w:rPr>
        <w:t xml:space="preserve"> </w:t>
      </w:r>
      <w:r>
        <w:rPr>
          <w:w w:val="105"/>
        </w:rPr>
        <w:t>(ATM),</w:t>
      </w:r>
      <w:r>
        <w:rPr>
          <w:spacing w:val="-1"/>
          <w:w w:val="105"/>
        </w:rPr>
        <w:t xml:space="preserve"> </w:t>
      </w:r>
      <w:r>
        <w:rPr>
          <w:w w:val="105"/>
        </w:rPr>
        <w:t>que</w:t>
      </w:r>
      <w:r>
        <w:rPr>
          <w:spacing w:val="-1"/>
          <w:w w:val="105"/>
        </w:rPr>
        <w:t xml:space="preserve"> </w:t>
      </w:r>
      <w:r>
        <w:rPr>
          <w:w w:val="105"/>
        </w:rPr>
        <w:t>carecían</w:t>
      </w:r>
      <w:r>
        <w:rPr>
          <w:spacing w:val="-1"/>
          <w:w w:val="105"/>
        </w:rPr>
        <w:t xml:space="preserve"> </w:t>
      </w:r>
      <w:r>
        <w:rPr>
          <w:w w:val="105"/>
        </w:rPr>
        <w:t>de</w:t>
      </w:r>
      <w:r>
        <w:rPr>
          <w:spacing w:val="-1"/>
          <w:w w:val="105"/>
        </w:rPr>
        <w:t xml:space="preserve"> </w:t>
      </w:r>
      <w:r>
        <w:rPr>
          <w:w w:val="105"/>
        </w:rPr>
        <w:t>teclados</w:t>
      </w:r>
      <w:r>
        <w:rPr>
          <w:spacing w:val="-1"/>
          <w:w w:val="105"/>
        </w:rPr>
        <w:t xml:space="preserve"> </w:t>
      </w:r>
      <w:r>
        <w:rPr>
          <w:w w:val="105"/>
        </w:rPr>
        <w:t>braille, instrucciones</w:t>
      </w:r>
      <w:r>
        <w:rPr>
          <w:spacing w:val="-1"/>
          <w:w w:val="105"/>
        </w:rPr>
        <w:t xml:space="preserve"> </w:t>
      </w:r>
      <w:r>
        <w:rPr>
          <w:w w:val="105"/>
        </w:rPr>
        <w:t>de</w:t>
      </w:r>
      <w:r>
        <w:rPr>
          <w:spacing w:val="-1"/>
          <w:w w:val="105"/>
        </w:rPr>
        <w:t xml:space="preserve"> </w:t>
      </w:r>
      <w:r>
        <w:rPr>
          <w:w w:val="105"/>
        </w:rPr>
        <w:t>audio</w:t>
      </w:r>
      <w:r>
        <w:rPr>
          <w:spacing w:val="-1"/>
          <w:w w:val="105"/>
        </w:rPr>
        <w:t xml:space="preserve"> </w:t>
      </w:r>
      <w:r>
        <w:rPr>
          <w:w w:val="105"/>
        </w:rPr>
        <w:t>y</w:t>
      </w:r>
      <w:r>
        <w:rPr>
          <w:spacing w:val="-1"/>
          <w:w w:val="105"/>
        </w:rPr>
        <w:t xml:space="preserve"> </w:t>
      </w:r>
      <w:r>
        <w:rPr>
          <w:w w:val="105"/>
        </w:rPr>
        <w:t>asistencia</w:t>
      </w:r>
      <w:r>
        <w:rPr>
          <w:spacing w:val="-1"/>
          <w:w w:val="105"/>
        </w:rPr>
        <w:t xml:space="preserve"> </w:t>
      </w:r>
      <w:r>
        <w:rPr>
          <w:w w:val="105"/>
        </w:rPr>
        <w:t>de</w:t>
      </w:r>
      <w:r>
        <w:rPr>
          <w:spacing w:val="-1"/>
          <w:w w:val="105"/>
        </w:rPr>
        <w:t xml:space="preserve"> </w:t>
      </w:r>
      <w:r>
        <w:rPr>
          <w:w w:val="105"/>
        </w:rPr>
        <w:t>voz</w:t>
      </w:r>
      <w:r>
        <w:rPr>
          <w:spacing w:val="-1"/>
          <w:w w:val="105"/>
        </w:rPr>
        <w:t xml:space="preserve"> </w:t>
      </w:r>
      <w:r>
        <w:rPr>
          <w:w w:val="105"/>
        </w:rPr>
        <w:t>u</w:t>
      </w:r>
      <w:r>
        <w:rPr>
          <w:spacing w:val="-1"/>
          <w:w w:val="105"/>
        </w:rPr>
        <w:t xml:space="preserve"> </w:t>
      </w:r>
      <w:r>
        <w:rPr>
          <w:w w:val="105"/>
        </w:rPr>
        <w:t>otros</w:t>
      </w:r>
      <w:r>
        <w:rPr>
          <w:spacing w:val="-1"/>
          <w:w w:val="105"/>
        </w:rPr>
        <w:t xml:space="preserve"> </w:t>
      </w:r>
      <w:r>
        <w:rPr>
          <w:w w:val="105"/>
        </w:rPr>
        <w:t>mecanismos para garantizar la accesibilidad para las personas con discapacidad visual.</w:t>
      </w:r>
    </w:p>
    <w:p w14:paraId="374E4B2E" w14:textId="77777777" w:rsidR="0014798C" w:rsidRDefault="004E1F0B">
      <w:pPr>
        <w:pStyle w:val="Textoindependiente"/>
        <w:spacing w:before="110" w:line="326" w:lineRule="auto"/>
        <w:ind w:left="1333" w:right="1272" w:hanging="1"/>
      </w:pPr>
      <w:r>
        <w:rPr>
          <w:w w:val="105"/>
        </w:rPr>
        <w:t>El</w:t>
      </w:r>
      <w:r>
        <w:rPr>
          <w:spacing w:val="-9"/>
          <w:w w:val="105"/>
        </w:rPr>
        <w:t xml:space="preserve"> </w:t>
      </w:r>
      <w:r>
        <w:rPr>
          <w:w w:val="105"/>
        </w:rPr>
        <w:t>Comité</w:t>
      </w:r>
      <w:r>
        <w:rPr>
          <w:spacing w:val="-9"/>
          <w:w w:val="105"/>
        </w:rPr>
        <w:t xml:space="preserve"> </w:t>
      </w:r>
      <w:r>
        <w:rPr>
          <w:w w:val="105"/>
        </w:rPr>
        <w:t>concluyó</w:t>
      </w:r>
      <w:r>
        <w:rPr>
          <w:spacing w:val="-9"/>
          <w:w w:val="105"/>
        </w:rPr>
        <w:t xml:space="preserve"> </w:t>
      </w:r>
      <w:r>
        <w:rPr>
          <w:w w:val="105"/>
        </w:rPr>
        <w:t>que,</w:t>
      </w:r>
      <w:r>
        <w:rPr>
          <w:spacing w:val="-9"/>
          <w:w w:val="105"/>
        </w:rPr>
        <w:t xml:space="preserve"> </w:t>
      </w:r>
      <w:r>
        <w:rPr>
          <w:w w:val="105"/>
        </w:rPr>
        <w:t>si</w:t>
      </w:r>
      <w:r>
        <w:rPr>
          <w:spacing w:val="-9"/>
          <w:w w:val="105"/>
        </w:rPr>
        <w:t xml:space="preserve"> </w:t>
      </w:r>
      <w:r>
        <w:rPr>
          <w:w w:val="105"/>
        </w:rPr>
        <w:t>bien</w:t>
      </w:r>
      <w:r>
        <w:rPr>
          <w:spacing w:val="-9"/>
          <w:w w:val="105"/>
        </w:rPr>
        <w:t xml:space="preserve"> </w:t>
      </w:r>
      <w:r>
        <w:rPr>
          <w:w w:val="105"/>
        </w:rPr>
        <w:t>el</w:t>
      </w:r>
      <w:r>
        <w:rPr>
          <w:spacing w:val="-9"/>
          <w:w w:val="105"/>
        </w:rPr>
        <w:t xml:space="preserve"> </w:t>
      </w:r>
      <w:r>
        <w:rPr>
          <w:w w:val="105"/>
        </w:rPr>
        <w:t>Estado</w:t>
      </w:r>
      <w:r>
        <w:rPr>
          <w:spacing w:val="-9"/>
          <w:w w:val="105"/>
        </w:rPr>
        <w:t xml:space="preserve"> </w:t>
      </w:r>
      <w:r>
        <w:rPr>
          <w:w w:val="105"/>
        </w:rPr>
        <w:t>había</w:t>
      </w:r>
      <w:r>
        <w:rPr>
          <w:spacing w:val="-9"/>
          <w:w w:val="105"/>
        </w:rPr>
        <w:t xml:space="preserve"> </w:t>
      </w:r>
      <w:r>
        <w:rPr>
          <w:w w:val="105"/>
        </w:rPr>
        <w:t>tomado</w:t>
      </w:r>
      <w:r>
        <w:rPr>
          <w:spacing w:val="-9"/>
          <w:w w:val="105"/>
        </w:rPr>
        <w:t xml:space="preserve"> </w:t>
      </w:r>
      <w:r>
        <w:rPr>
          <w:w w:val="105"/>
        </w:rPr>
        <w:t>medidas</w:t>
      </w:r>
      <w:r>
        <w:rPr>
          <w:spacing w:val="-9"/>
          <w:w w:val="105"/>
        </w:rPr>
        <w:t xml:space="preserve"> </w:t>
      </w:r>
      <w:r>
        <w:rPr>
          <w:w w:val="105"/>
        </w:rPr>
        <w:t>para</w:t>
      </w:r>
      <w:r>
        <w:rPr>
          <w:spacing w:val="-9"/>
          <w:w w:val="105"/>
        </w:rPr>
        <w:t xml:space="preserve"> </w:t>
      </w:r>
      <w:r>
        <w:rPr>
          <w:w w:val="105"/>
        </w:rPr>
        <w:t>mejorar</w:t>
      </w:r>
      <w:r>
        <w:rPr>
          <w:spacing w:val="-9"/>
          <w:w w:val="105"/>
        </w:rPr>
        <w:t xml:space="preserve"> </w:t>
      </w:r>
      <w:r>
        <w:rPr>
          <w:w w:val="105"/>
        </w:rPr>
        <w:t>la</w:t>
      </w:r>
      <w:r>
        <w:rPr>
          <w:spacing w:val="-9"/>
          <w:w w:val="105"/>
        </w:rPr>
        <w:t xml:space="preserve"> </w:t>
      </w:r>
      <w:r>
        <w:rPr>
          <w:w w:val="105"/>
        </w:rPr>
        <w:t>accesibilidad</w:t>
      </w:r>
      <w:r>
        <w:rPr>
          <w:spacing w:val="-9"/>
          <w:w w:val="105"/>
        </w:rPr>
        <w:t xml:space="preserve"> </w:t>
      </w:r>
      <w:r>
        <w:rPr>
          <w:w w:val="105"/>
        </w:rPr>
        <w:t>de</w:t>
      </w:r>
      <w:r>
        <w:rPr>
          <w:spacing w:val="-9"/>
          <w:w w:val="105"/>
        </w:rPr>
        <w:t xml:space="preserve"> </w:t>
      </w:r>
      <w:r>
        <w:rPr>
          <w:w w:val="105"/>
        </w:rPr>
        <w:t>los</w:t>
      </w:r>
      <w:r>
        <w:rPr>
          <w:spacing w:val="-9"/>
          <w:w w:val="105"/>
        </w:rPr>
        <w:t xml:space="preserve"> </w:t>
      </w:r>
      <w:r>
        <w:rPr>
          <w:w w:val="105"/>
        </w:rPr>
        <w:t>cajeros</w:t>
      </w:r>
      <w:r>
        <w:rPr>
          <w:spacing w:val="-9"/>
          <w:w w:val="105"/>
        </w:rPr>
        <w:t xml:space="preserve"> </w:t>
      </w:r>
      <w:r>
        <w:rPr>
          <w:w w:val="105"/>
        </w:rPr>
        <w:t>automáticos proporcionados</w:t>
      </w:r>
      <w:r>
        <w:rPr>
          <w:spacing w:val="-1"/>
          <w:w w:val="105"/>
        </w:rPr>
        <w:t xml:space="preserve"> </w:t>
      </w:r>
      <w:r>
        <w:rPr>
          <w:w w:val="105"/>
        </w:rPr>
        <w:t>por</w:t>
      </w:r>
      <w:r>
        <w:rPr>
          <w:spacing w:val="-1"/>
          <w:w w:val="105"/>
        </w:rPr>
        <w:t xml:space="preserve"> </w:t>
      </w:r>
      <w:r>
        <w:rPr>
          <w:w w:val="105"/>
        </w:rPr>
        <w:t>la</w:t>
      </w:r>
      <w:r>
        <w:rPr>
          <w:spacing w:val="-1"/>
          <w:w w:val="105"/>
        </w:rPr>
        <w:t xml:space="preserve"> </w:t>
      </w:r>
      <w:r>
        <w:rPr>
          <w:w w:val="105"/>
        </w:rPr>
        <w:t>OTP</w:t>
      </w:r>
      <w:r>
        <w:rPr>
          <w:spacing w:val="-1"/>
          <w:w w:val="105"/>
        </w:rPr>
        <w:t xml:space="preserve"> </w:t>
      </w:r>
      <w:r>
        <w:rPr>
          <w:w w:val="105"/>
        </w:rPr>
        <w:t>y</w:t>
      </w:r>
      <w:r>
        <w:rPr>
          <w:spacing w:val="-1"/>
          <w:w w:val="105"/>
        </w:rPr>
        <w:t xml:space="preserve"> </w:t>
      </w:r>
      <w:r>
        <w:rPr>
          <w:w w:val="105"/>
        </w:rPr>
        <w:t>otras</w:t>
      </w:r>
      <w:r>
        <w:rPr>
          <w:spacing w:val="-1"/>
          <w:w w:val="105"/>
        </w:rPr>
        <w:t xml:space="preserve"> </w:t>
      </w:r>
      <w:r>
        <w:rPr>
          <w:w w:val="105"/>
        </w:rPr>
        <w:t>instituciones, “ninguna</w:t>
      </w:r>
      <w:r>
        <w:rPr>
          <w:spacing w:val="-1"/>
          <w:w w:val="105"/>
        </w:rPr>
        <w:t xml:space="preserve"> </w:t>
      </w:r>
      <w:r>
        <w:rPr>
          <w:w w:val="105"/>
        </w:rPr>
        <w:t>de</w:t>
      </w:r>
      <w:r>
        <w:rPr>
          <w:spacing w:val="-1"/>
          <w:w w:val="105"/>
        </w:rPr>
        <w:t xml:space="preserve"> </w:t>
      </w:r>
      <w:r>
        <w:rPr>
          <w:w w:val="105"/>
        </w:rPr>
        <w:t>estas</w:t>
      </w:r>
      <w:r>
        <w:rPr>
          <w:spacing w:val="-1"/>
          <w:w w:val="105"/>
        </w:rPr>
        <w:t xml:space="preserve"> </w:t>
      </w:r>
      <w:r>
        <w:rPr>
          <w:w w:val="105"/>
        </w:rPr>
        <w:t>medidas</w:t>
      </w:r>
      <w:r>
        <w:rPr>
          <w:spacing w:val="-1"/>
          <w:w w:val="105"/>
        </w:rPr>
        <w:t xml:space="preserve"> </w:t>
      </w:r>
      <w:r>
        <w:rPr>
          <w:w w:val="105"/>
        </w:rPr>
        <w:t>ha</w:t>
      </w:r>
      <w:r>
        <w:rPr>
          <w:spacing w:val="-1"/>
          <w:w w:val="105"/>
        </w:rPr>
        <w:t xml:space="preserve"> </w:t>
      </w:r>
      <w:r>
        <w:rPr>
          <w:w w:val="105"/>
        </w:rPr>
        <w:t>garantizado</w:t>
      </w:r>
      <w:r>
        <w:rPr>
          <w:spacing w:val="-1"/>
          <w:w w:val="105"/>
        </w:rPr>
        <w:t xml:space="preserve"> </w:t>
      </w:r>
      <w:r>
        <w:rPr>
          <w:w w:val="105"/>
        </w:rPr>
        <w:t>...</w:t>
      </w:r>
      <w:r>
        <w:rPr>
          <w:spacing w:val="-1"/>
          <w:w w:val="105"/>
        </w:rPr>
        <w:t xml:space="preserve"> </w:t>
      </w:r>
      <w:r>
        <w:rPr>
          <w:w w:val="105"/>
        </w:rPr>
        <w:t>la</w:t>
      </w:r>
      <w:r>
        <w:rPr>
          <w:spacing w:val="-1"/>
          <w:w w:val="105"/>
        </w:rPr>
        <w:t xml:space="preserve"> </w:t>
      </w:r>
      <w:r>
        <w:rPr>
          <w:w w:val="105"/>
        </w:rPr>
        <w:t>accesibilidad”</w:t>
      </w:r>
      <w:r>
        <w:rPr>
          <w:spacing w:val="-1"/>
          <w:w w:val="105"/>
        </w:rPr>
        <w:t xml:space="preserve"> </w:t>
      </w:r>
      <w:r>
        <w:rPr>
          <w:w w:val="105"/>
        </w:rPr>
        <w:t>y</w:t>
      </w:r>
      <w:r>
        <w:rPr>
          <w:spacing w:val="-1"/>
          <w:w w:val="105"/>
        </w:rPr>
        <w:t xml:space="preserve"> </w:t>
      </w:r>
      <w:r>
        <w:rPr>
          <w:w w:val="105"/>
        </w:rPr>
        <w:t>que, como</w:t>
      </w:r>
      <w:r>
        <w:rPr>
          <w:spacing w:val="-2"/>
          <w:w w:val="105"/>
        </w:rPr>
        <w:t xml:space="preserve"> </w:t>
      </w:r>
      <w:r>
        <w:rPr>
          <w:w w:val="105"/>
        </w:rPr>
        <w:t>tal,</w:t>
      </w:r>
      <w:r>
        <w:rPr>
          <w:spacing w:val="-2"/>
          <w:w w:val="105"/>
        </w:rPr>
        <w:t xml:space="preserve"> </w:t>
      </w:r>
      <w:r>
        <w:rPr>
          <w:w w:val="105"/>
        </w:rPr>
        <w:t>no</w:t>
      </w:r>
      <w:r>
        <w:rPr>
          <w:spacing w:val="-2"/>
          <w:w w:val="105"/>
        </w:rPr>
        <w:t xml:space="preserve"> </w:t>
      </w:r>
      <w:r>
        <w:rPr>
          <w:w w:val="105"/>
        </w:rPr>
        <w:t>había</w:t>
      </w:r>
      <w:r>
        <w:rPr>
          <w:spacing w:val="-2"/>
          <w:w w:val="105"/>
        </w:rPr>
        <w:t xml:space="preserve"> </w:t>
      </w:r>
      <w:r>
        <w:rPr>
          <w:w w:val="105"/>
        </w:rPr>
        <w:t>cumplido</w:t>
      </w:r>
      <w:r>
        <w:rPr>
          <w:spacing w:val="-2"/>
          <w:w w:val="105"/>
        </w:rPr>
        <w:t xml:space="preserve"> </w:t>
      </w:r>
      <w:r>
        <w:rPr>
          <w:w w:val="105"/>
        </w:rPr>
        <w:t>con</w:t>
      </w:r>
      <w:r>
        <w:rPr>
          <w:spacing w:val="-2"/>
          <w:w w:val="105"/>
        </w:rPr>
        <w:t xml:space="preserve"> </w:t>
      </w:r>
      <w:r>
        <w:rPr>
          <w:w w:val="105"/>
        </w:rPr>
        <w:t>sus</w:t>
      </w:r>
      <w:r>
        <w:rPr>
          <w:spacing w:val="-2"/>
          <w:w w:val="105"/>
        </w:rPr>
        <w:t xml:space="preserve"> </w:t>
      </w:r>
      <w:r>
        <w:rPr>
          <w:w w:val="105"/>
        </w:rPr>
        <w:t>obligaciones</w:t>
      </w:r>
      <w:r>
        <w:rPr>
          <w:spacing w:val="-2"/>
          <w:w w:val="105"/>
        </w:rPr>
        <w:t xml:space="preserve"> </w:t>
      </w:r>
      <w:r>
        <w:rPr>
          <w:w w:val="105"/>
        </w:rPr>
        <w:t>en</w:t>
      </w:r>
      <w:r>
        <w:rPr>
          <w:spacing w:val="-2"/>
          <w:w w:val="105"/>
        </w:rPr>
        <w:t xml:space="preserve"> </w:t>
      </w:r>
      <w:r>
        <w:rPr>
          <w:w w:val="105"/>
        </w:rPr>
        <w:t>virtud</w:t>
      </w:r>
      <w:r>
        <w:rPr>
          <w:spacing w:val="-2"/>
          <w:w w:val="105"/>
        </w:rPr>
        <w:t xml:space="preserve"> </w:t>
      </w:r>
      <w:r>
        <w:rPr>
          <w:w w:val="105"/>
        </w:rPr>
        <w:t>del</w:t>
      </w:r>
      <w:r>
        <w:rPr>
          <w:spacing w:val="-2"/>
          <w:w w:val="105"/>
        </w:rPr>
        <w:t xml:space="preserve"> </w:t>
      </w:r>
      <w:r>
        <w:rPr>
          <w:w w:val="105"/>
        </w:rPr>
        <w:t>artículo</w:t>
      </w:r>
      <w:r>
        <w:rPr>
          <w:spacing w:val="-2"/>
          <w:w w:val="105"/>
        </w:rPr>
        <w:t xml:space="preserve"> </w:t>
      </w:r>
      <w:r>
        <w:rPr>
          <w:w w:val="105"/>
        </w:rPr>
        <w:t>9</w:t>
      </w:r>
      <w:r>
        <w:rPr>
          <w:spacing w:val="-2"/>
          <w:w w:val="105"/>
        </w:rPr>
        <w:t xml:space="preserve"> </w:t>
      </w:r>
      <w:r>
        <w:rPr>
          <w:w w:val="105"/>
        </w:rPr>
        <w:t>2)</w:t>
      </w:r>
      <w:r>
        <w:rPr>
          <w:spacing w:val="-2"/>
          <w:w w:val="105"/>
        </w:rPr>
        <w:t xml:space="preserve"> </w:t>
      </w:r>
      <w:r>
        <w:rPr>
          <w:w w:val="105"/>
        </w:rPr>
        <w:t>b).</w:t>
      </w:r>
      <w:r>
        <w:rPr>
          <w:spacing w:val="-2"/>
          <w:w w:val="105"/>
        </w:rPr>
        <w:t xml:space="preserve"> </w:t>
      </w:r>
      <w:r>
        <w:rPr>
          <w:w w:val="105"/>
        </w:rPr>
        <w:t>Recomendó</w:t>
      </w:r>
      <w:r>
        <w:rPr>
          <w:spacing w:val="-2"/>
          <w:w w:val="105"/>
        </w:rPr>
        <w:t xml:space="preserve"> </w:t>
      </w:r>
      <w:r>
        <w:rPr>
          <w:w w:val="105"/>
        </w:rPr>
        <w:t>que</w:t>
      </w:r>
      <w:r>
        <w:rPr>
          <w:spacing w:val="-2"/>
          <w:w w:val="105"/>
        </w:rPr>
        <w:t xml:space="preserve"> </w:t>
      </w:r>
      <w:r>
        <w:rPr>
          <w:w w:val="105"/>
        </w:rPr>
        <w:t>el</w:t>
      </w:r>
      <w:r>
        <w:rPr>
          <w:spacing w:val="-2"/>
          <w:w w:val="105"/>
        </w:rPr>
        <w:t xml:space="preserve"> </w:t>
      </w:r>
      <w:r>
        <w:rPr>
          <w:w w:val="105"/>
        </w:rPr>
        <w:t>Estado</w:t>
      </w:r>
      <w:r>
        <w:rPr>
          <w:spacing w:val="-2"/>
          <w:w w:val="105"/>
        </w:rPr>
        <w:t xml:space="preserve"> </w:t>
      </w:r>
      <w:r>
        <w:rPr>
          <w:w w:val="105"/>
        </w:rPr>
        <w:t>adoptara medidas</w:t>
      </w:r>
      <w:r>
        <w:rPr>
          <w:spacing w:val="-3"/>
          <w:w w:val="105"/>
        </w:rPr>
        <w:t xml:space="preserve"> </w:t>
      </w:r>
      <w:r>
        <w:rPr>
          <w:w w:val="105"/>
        </w:rPr>
        <w:t>tanto</w:t>
      </w:r>
      <w:r>
        <w:rPr>
          <w:spacing w:val="-3"/>
          <w:w w:val="105"/>
        </w:rPr>
        <w:t xml:space="preserve"> </w:t>
      </w:r>
      <w:r>
        <w:rPr>
          <w:w w:val="105"/>
        </w:rPr>
        <w:t>a</w:t>
      </w:r>
      <w:r>
        <w:rPr>
          <w:spacing w:val="-3"/>
          <w:w w:val="105"/>
        </w:rPr>
        <w:t xml:space="preserve"> </w:t>
      </w:r>
      <w:r>
        <w:rPr>
          <w:w w:val="105"/>
        </w:rPr>
        <w:t>nivel</w:t>
      </w:r>
      <w:r>
        <w:rPr>
          <w:spacing w:val="-3"/>
          <w:w w:val="105"/>
        </w:rPr>
        <w:t xml:space="preserve"> </w:t>
      </w:r>
      <w:r>
        <w:rPr>
          <w:w w:val="105"/>
        </w:rPr>
        <w:t>individual</w:t>
      </w:r>
      <w:r>
        <w:rPr>
          <w:spacing w:val="-3"/>
          <w:w w:val="105"/>
        </w:rPr>
        <w:t xml:space="preserve"> </w:t>
      </w:r>
      <w:r>
        <w:rPr>
          <w:w w:val="105"/>
        </w:rPr>
        <w:t>como</w:t>
      </w:r>
      <w:r>
        <w:rPr>
          <w:spacing w:val="-3"/>
          <w:w w:val="105"/>
        </w:rPr>
        <w:t xml:space="preserve"> </w:t>
      </w:r>
      <w:r>
        <w:rPr>
          <w:w w:val="105"/>
        </w:rPr>
        <w:t>general.</w:t>
      </w:r>
      <w:r>
        <w:rPr>
          <w:spacing w:val="-2"/>
          <w:w w:val="105"/>
        </w:rPr>
        <w:t xml:space="preserve"> </w:t>
      </w:r>
      <w:r>
        <w:rPr>
          <w:w w:val="105"/>
        </w:rPr>
        <w:t>Con</w:t>
      </w:r>
      <w:r>
        <w:rPr>
          <w:spacing w:val="-3"/>
          <w:w w:val="105"/>
        </w:rPr>
        <w:t xml:space="preserve"> </w:t>
      </w:r>
      <w:r>
        <w:rPr>
          <w:w w:val="105"/>
        </w:rPr>
        <w:t>respecto</w:t>
      </w:r>
      <w:r>
        <w:rPr>
          <w:spacing w:val="-3"/>
          <w:w w:val="105"/>
        </w:rPr>
        <w:t xml:space="preserve"> </w:t>
      </w:r>
      <w:r>
        <w:rPr>
          <w:w w:val="105"/>
        </w:rPr>
        <w:t>a</w:t>
      </w:r>
      <w:r>
        <w:rPr>
          <w:spacing w:val="-3"/>
          <w:w w:val="105"/>
        </w:rPr>
        <w:t xml:space="preserve"> </w:t>
      </w:r>
      <w:r>
        <w:rPr>
          <w:w w:val="105"/>
        </w:rPr>
        <w:t>los</w:t>
      </w:r>
      <w:r>
        <w:rPr>
          <w:spacing w:val="-3"/>
          <w:w w:val="105"/>
        </w:rPr>
        <w:t xml:space="preserve"> </w:t>
      </w:r>
      <w:r>
        <w:rPr>
          <w:w w:val="105"/>
        </w:rPr>
        <w:t>denunciantes,</w:t>
      </w:r>
      <w:r>
        <w:rPr>
          <w:spacing w:val="-2"/>
          <w:w w:val="105"/>
        </w:rPr>
        <w:t xml:space="preserve"> </w:t>
      </w:r>
      <w:r>
        <w:rPr>
          <w:w w:val="105"/>
        </w:rPr>
        <w:t>el</w:t>
      </w:r>
      <w:r>
        <w:rPr>
          <w:spacing w:val="-3"/>
          <w:w w:val="105"/>
        </w:rPr>
        <w:t xml:space="preserve"> </w:t>
      </w:r>
      <w:r>
        <w:rPr>
          <w:w w:val="105"/>
        </w:rPr>
        <w:t>Comité</w:t>
      </w:r>
      <w:r>
        <w:rPr>
          <w:spacing w:val="-3"/>
          <w:w w:val="105"/>
        </w:rPr>
        <w:t xml:space="preserve"> </w:t>
      </w:r>
      <w:r>
        <w:rPr>
          <w:w w:val="105"/>
        </w:rPr>
        <w:t>tomó</w:t>
      </w:r>
      <w:r>
        <w:rPr>
          <w:spacing w:val="-3"/>
          <w:w w:val="105"/>
        </w:rPr>
        <w:t xml:space="preserve"> </w:t>
      </w:r>
      <w:r>
        <w:rPr>
          <w:w w:val="105"/>
        </w:rPr>
        <w:t>nota</w:t>
      </w:r>
      <w:r>
        <w:rPr>
          <w:spacing w:val="-3"/>
          <w:w w:val="105"/>
        </w:rPr>
        <w:t xml:space="preserve"> </w:t>
      </w:r>
      <w:r>
        <w:rPr>
          <w:w w:val="105"/>
        </w:rPr>
        <w:t>de</w:t>
      </w:r>
      <w:r>
        <w:rPr>
          <w:spacing w:val="-3"/>
          <w:w w:val="105"/>
        </w:rPr>
        <w:t xml:space="preserve"> </w:t>
      </w:r>
      <w:r>
        <w:rPr>
          <w:w w:val="105"/>
        </w:rPr>
        <w:t>la</w:t>
      </w:r>
      <w:r>
        <w:rPr>
          <w:spacing w:val="-3"/>
          <w:w w:val="105"/>
        </w:rPr>
        <w:t xml:space="preserve"> </w:t>
      </w:r>
      <w:r>
        <w:rPr>
          <w:w w:val="105"/>
        </w:rPr>
        <w:t>obligación</w:t>
      </w:r>
    </w:p>
    <w:p w14:paraId="51A6E965" w14:textId="77777777" w:rsidR="0014798C" w:rsidRDefault="004E1F0B">
      <w:pPr>
        <w:pStyle w:val="Textoindependiente"/>
        <w:spacing w:line="326" w:lineRule="auto"/>
        <w:ind w:left="1334" w:right="1463" w:firstLine="3"/>
      </w:pPr>
      <w:r>
        <w:rPr>
          <w:w w:val="105"/>
        </w:rPr>
        <w:t>del</w:t>
      </w:r>
      <w:r>
        <w:rPr>
          <w:spacing w:val="-9"/>
          <w:w w:val="105"/>
        </w:rPr>
        <w:t xml:space="preserve"> </w:t>
      </w:r>
      <w:r>
        <w:rPr>
          <w:w w:val="105"/>
        </w:rPr>
        <w:t>Estado</w:t>
      </w:r>
      <w:r>
        <w:rPr>
          <w:spacing w:val="-9"/>
          <w:w w:val="105"/>
        </w:rPr>
        <w:t xml:space="preserve"> </w:t>
      </w:r>
      <w:r>
        <w:rPr>
          <w:w w:val="105"/>
        </w:rPr>
        <w:t>de</w:t>
      </w:r>
      <w:r>
        <w:rPr>
          <w:spacing w:val="-9"/>
          <w:w w:val="105"/>
        </w:rPr>
        <w:t xml:space="preserve"> </w:t>
      </w:r>
      <w:r>
        <w:rPr>
          <w:w w:val="105"/>
        </w:rPr>
        <w:t>remediar</w:t>
      </w:r>
      <w:r>
        <w:rPr>
          <w:spacing w:val="-9"/>
          <w:w w:val="105"/>
        </w:rPr>
        <w:t xml:space="preserve"> </w:t>
      </w:r>
      <w:r>
        <w:rPr>
          <w:w w:val="105"/>
        </w:rPr>
        <w:t>su</w:t>
      </w:r>
      <w:r>
        <w:rPr>
          <w:spacing w:val="-9"/>
          <w:w w:val="105"/>
        </w:rPr>
        <w:t xml:space="preserve"> </w:t>
      </w:r>
      <w:r>
        <w:rPr>
          <w:w w:val="105"/>
        </w:rPr>
        <w:t>falta</w:t>
      </w:r>
      <w:r>
        <w:rPr>
          <w:spacing w:val="-9"/>
          <w:w w:val="105"/>
        </w:rPr>
        <w:t xml:space="preserve"> </w:t>
      </w:r>
      <w:r>
        <w:rPr>
          <w:w w:val="105"/>
        </w:rPr>
        <w:t>de</w:t>
      </w:r>
      <w:r>
        <w:rPr>
          <w:spacing w:val="-9"/>
          <w:w w:val="105"/>
        </w:rPr>
        <w:t xml:space="preserve"> </w:t>
      </w:r>
      <w:r>
        <w:rPr>
          <w:w w:val="105"/>
        </w:rPr>
        <w:t>accesibilidad</w:t>
      </w:r>
      <w:r>
        <w:rPr>
          <w:spacing w:val="-9"/>
          <w:w w:val="105"/>
        </w:rPr>
        <w:t xml:space="preserve"> </w:t>
      </w:r>
      <w:r>
        <w:rPr>
          <w:w w:val="105"/>
        </w:rPr>
        <w:t>y</w:t>
      </w:r>
      <w:r>
        <w:rPr>
          <w:spacing w:val="-9"/>
          <w:w w:val="105"/>
        </w:rPr>
        <w:t xml:space="preserve"> </w:t>
      </w:r>
      <w:r>
        <w:rPr>
          <w:w w:val="105"/>
        </w:rPr>
        <w:t>de</w:t>
      </w:r>
      <w:r>
        <w:rPr>
          <w:spacing w:val="-9"/>
          <w:w w:val="105"/>
        </w:rPr>
        <w:t xml:space="preserve"> </w:t>
      </w:r>
      <w:r>
        <w:rPr>
          <w:w w:val="105"/>
        </w:rPr>
        <w:t>proporcionarles</w:t>
      </w:r>
      <w:r>
        <w:rPr>
          <w:spacing w:val="-9"/>
          <w:w w:val="105"/>
        </w:rPr>
        <w:t xml:space="preserve"> </w:t>
      </w:r>
      <w:r>
        <w:rPr>
          <w:w w:val="105"/>
        </w:rPr>
        <w:t>una</w:t>
      </w:r>
      <w:r>
        <w:rPr>
          <w:spacing w:val="-9"/>
          <w:w w:val="105"/>
        </w:rPr>
        <w:t xml:space="preserve"> </w:t>
      </w:r>
      <w:r>
        <w:rPr>
          <w:w w:val="105"/>
        </w:rPr>
        <w:t>indemnización</w:t>
      </w:r>
      <w:r>
        <w:rPr>
          <w:spacing w:val="-9"/>
          <w:w w:val="105"/>
        </w:rPr>
        <w:t xml:space="preserve"> </w:t>
      </w:r>
      <w:r>
        <w:rPr>
          <w:w w:val="105"/>
        </w:rPr>
        <w:t>adecuada.</w:t>
      </w:r>
      <w:r>
        <w:rPr>
          <w:spacing w:val="-9"/>
          <w:w w:val="105"/>
        </w:rPr>
        <w:t xml:space="preserve"> </w:t>
      </w:r>
      <w:r>
        <w:rPr>
          <w:w w:val="105"/>
        </w:rPr>
        <w:t>A</w:t>
      </w:r>
      <w:r>
        <w:rPr>
          <w:spacing w:val="-9"/>
          <w:w w:val="105"/>
        </w:rPr>
        <w:t xml:space="preserve"> </w:t>
      </w:r>
      <w:r>
        <w:rPr>
          <w:w w:val="105"/>
        </w:rPr>
        <w:t>nivel</w:t>
      </w:r>
      <w:r>
        <w:rPr>
          <w:spacing w:val="-9"/>
          <w:w w:val="105"/>
        </w:rPr>
        <w:t xml:space="preserve"> </w:t>
      </w:r>
      <w:r>
        <w:rPr>
          <w:w w:val="105"/>
        </w:rPr>
        <w:t>general, señaló</w:t>
      </w:r>
      <w:r>
        <w:rPr>
          <w:spacing w:val="-5"/>
          <w:w w:val="105"/>
        </w:rPr>
        <w:t xml:space="preserve"> </w:t>
      </w:r>
      <w:r>
        <w:rPr>
          <w:w w:val="105"/>
        </w:rPr>
        <w:t>que</w:t>
      </w:r>
      <w:r>
        <w:rPr>
          <w:spacing w:val="-5"/>
          <w:w w:val="105"/>
        </w:rPr>
        <w:t xml:space="preserve"> </w:t>
      </w:r>
      <w:r>
        <w:rPr>
          <w:w w:val="105"/>
        </w:rPr>
        <w:t>el</w:t>
      </w:r>
      <w:r>
        <w:rPr>
          <w:spacing w:val="-5"/>
          <w:w w:val="105"/>
        </w:rPr>
        <w:t xml:space="preserve"> </w:t>
      </w:r>
      <w:r>
        <w:rPr>
          <w:w w:val="105"/>
        </w:rPr>
        <w:t>Estado</w:t>
      </w:r>
      <w:r>
        <w:rPr>
          <w:spacing w:val="-5"/>
          <w:w w:val="105"/>
        </w:rPr>
        <w:t xml:space="preserve"> </w:t>
      </w:r>
      <w:r>
        <w:rPr>
          <w:w w:val="105"/>
        </w:rPr>
        <w:t>tenía</w:t>
      </w:r>
      <w:r>
        <w:rPr>
          <w:spacing w:val="-5"/>
          <w:w w:val="105"/>
        </w:rPr>
        <w:t xml:space="preserve"> </w:t>
      </w:r>
      <w:r>
        <w:rPr>
          <w:w w:val="105"/>
        </w:rPr>
        <w:t>la</w:t>
      </w:r>
      <w:r>
        <w:rPr>
          <w:spacing w:val="-5"/>
          <w:w w:val="105"/>
        </w:rPr>
        <w:t xml:space="preserve"> </w:t>
      </w:r>
      <w:r>
        <w:rPr>
          <w:w w:val="105"/>
        </w:rPr>
        <w:t>obligación</w:t>
      </w:r>
      <w:r>
        <w:rPr>
          <w:spacing w:val="-5"/>
          <w:w w:val="105"/>
        </w:rPr>
        <w:t xml:space="preserve"> </w:t>
      </w:r>
      <w:r>
        <w:rPr>
          <w:w w:val="105"/>
        </w:rPr>
        <w:t>de</w:t>
      </w:r>
      <w:r>
        <w:rPr>
          <w:spacing w:val="-5"/>
          <w:w w:val="105"/>
        </w:rPr>
        <w:t xml:space="preserve"> </w:t>
      </w:r>
      <w:r>
        <w:rPr>
          <w:w w:val="105"/>
        </w:rPr>
        <w:t>garantizar</w:t>
      </w:r>
      <w:r>
        <w:rPr>
          <w:spacing w:val="-5"/>
          <w:w w:val="105"/>
        </w:rPr>
        <w:t xml:space="preserve"> </w:t>
      </w:r>
      <w:r>
        <w:rPr>
          <w:w w:val="105"/>
        </w:rPr>
        <w:t>la</w:t>
      </w:r>
      <w:r>
        <w:rPr>
          <w:spacing w:val="-5"/>
          <w:w w:val="105"/>
        </w:rPr>
        <w:t xml:space="preserve"> </w:t>
      </w:r>
      <w:r>
        <w:rPr>
          <w:w w:val="105"/>
        </w:rPr>
        <w:t>no</w:t>
      </w:r>
      <w:r>
        <w:rPr>
          <w:spacing w:val="-5"/>
          <w:w w:val="105"/>
        </w:rPr>
        <w:t xml:space="preserve"> </w:t>
      </w:r>
      <w:r>
        <w:rPr>
          <w:w w:val="105"/>
        </w:rPr>
        <w:t>repetición,</w:t>
      </w:r>
      <w:r>
        <w:rPr>
          <w:spacing w:val="-4"/>
          <w:w w:val="105"/>
        </w:rPr>
        <w:t xml:space="preserve"> </w:t>
      </w:r>
      <w:r>
        <w:rPr>
          <w:w w:val="105"/>
        </w:rPr>
        <w:t>incluso</w:t>
      </w:r>
      <w:r>
        <w:rPr>
          <w:spacing w:val="-5"/>
          <w:w w:val="105"/>
        </w:rPr>
        <w:t xml:space="preserve"> </w:t>
      </w:r>
      <w:r>
        <w:rPr>
          <w:w w:val="105"/>
        </w:rPr>
        <w:t>mediante</w:t>
      </w:r>
      <w:r>
        <w:rPr>
          <w:spacing w:val="-5"/>
          <w:w w:val="105"/>
        </w:rPr>
        <w:t xml:space="preserve"> </w:t>
      </w:r>
      <w:r>
        <w:rPr>
          <w:w w:val="105"/>
        </w:rPr>
        <w:t>(a)</w:t>
      </w:r>
      <w:r>
        <w:rPr>
          <w:spacing w:val="-5"/>
          <w:w w:val="105"/>
        </w:rPr>
        <w:t xml:space="preserve"> </w:t>
      </w:r>
      <w:r>
        <w:rPr>
          <w:w w:val="105"/>
        </w:rPr>
        <w:t>“establecer</w:t>
      </w:r>
      <w:r>
        <w:rPr>
          <w:spacing w:val="-5"/>
          <w:w w:val="105"/>
        </w:rPr>
        <w:t xml:space="preserve"> </w:t>
      </w:r>
      <w:r>
        <w:rPr>
          <w:w w:val="105"/>
        </w:rPr>
        <w:t>estándares mínimos para la accesibilidad de los servicios bancarios</w:t>
      </w:r>
    </w:p>
    <w:p w14:paraId="0B549EB0" w14:textId="77777777" w:rsidR="0014798C" w:rsidRDefault="0014798C">
      <w:pPr>
        <w:pStyle w:val="Textoindependiente"/>
        <w:rPr>
          <w:sz w:val="13"/>
        </w:rPr>
      </w:pPr>
    </w:p>
    <w:p w14:paraId="485874FE" w14:textId="77777777" w:rsidR="0014798C" w:rsidRDefault="0014798C">
      <w:pPr>
        <w:pStyle w:val="Textoindependiente"/>
        <w:rPr>
          <w:sz w:val="13"/>
        </w:rPr>
      </w:pPr>
    </w:p>
    <w:p w14:paraId="048D10D0" w14:textId="77777777" w:rsidR="0014798C" w:rsidRDefault="0014798C">
      <w:pPr>
        <w:pStyle w:val="Textoindependiente"/>
        <w:rPr>
          <w:sz w:val="13"/>
        </w:rPr>
      </w:pPr>
    </w:p>
    <w:p w14:paraId="32CABB8D" w14:textId="77777777" w:rsidR="0014798C" w:rsidRDefault="0014798C">
      <w:pPr>
        <w:pStyle w:val="Textoindependiente"/>
        <w:spacing w:before="38"/>
        <w:rPr>
          <w:sz w:val="13"/>
        </w:rPr>
      </w:pPr>
    </w:p>
    <w:p w14:paraId="2689EEB6" w14:textId="77777777" w:rsidR="0014798C" w:rsidRDefault="004E1F0B">
      <w:pPr>
        <w:ind w:left="1107"/>
        <w:rPr>
          <w:sz w:val="13"/>
        </w:rPr>
      </w:pPr>
      <w:r>
        <w:rPr>
          <w:sz w:val="13"/>
        </w:rPr>
        <w:t>528</w:t>
      </w:r>
      <w:r>
        <w:rPr>
          <w:spacing w:val="-8"/>
          <w:sz w:val="13"/>
        </w:rPr>
        <w:t xml:space="preserve"> </w:t>
      </w:r>
      <w:r>
        <w:rPr>
          <w:sz w:val="13"/>
        </w:rPr>
        <w:t>Comité</w:t>
      </w:r>
      <w:r>
        <w:rPr>
          <w:spacing w:val="-8"/>
          <w:sz w:val="13"/>
        </w:rPr>
        <w:t xml:space="preserve"> </w:t>
      </w:r>
      <w:r>
        <w:rPr>
          <w:sz w:val="13"/>
        </w:rPr>
        <w:t>sobre</w:t>
      </w:r>
      <w:r>
        <w:rPr>
          <w:spacing w:val="-8"/>
          <w:sz w:val="13"/>
        </w:rPr>
        <w:t xml:space="preserve"> </w:t>
      </w:r>
      <w:r>
        <w:rPr>
          <w:sz w:val="13"/>
        </w:rPr>
        <w:t>los</w:t>
      </w:r>
      <w:r>
        <w:rPr>
          <w:spacing w:val="-8"/>
          <w:sz w:val="13"/>
        </w:rPr>
        <w:t xml:space="preserve"> </w:t>
      </w:r>
      <w:r>
        <w:rPr>
          <w:sz w:val="13"/>
        </w:rPr>
        <w:t>Derechos</w:t>
      </w:r>
      <w:r>
        <w:rPr>
          <w:spacing w:val="-8"/>
          <w:sz w:val="13"/>
        </w:rPr>
        <w:t xml:space="preserve"> </w:t>
      </w:r>
      <w:r>
        <w:rPr>
          <w:sz w:val="13"/>
        </w:rPr>
        <w:t>de</w:t>
      </w:r>
      <w:r>
        <w:rPr>
          <w:spacing w:val="-8"/>
          <w:sz w:val="13"/>
        </w:rPr>
        <w:t xml:space="preserve"> </w:t>
      </w:r>
      <w:r>
        <w:rPr>
          <w:sz w:val="13"/>
        </w:rPr>
        <w:t>las</w:t>
      </w:r>
      <w:r>
        <w:rPr>
          <w:spacing w:val="-8"/>
          <w:sz w:val="13"/>
        </w:rPr>
        <w:t xml:space="preserve"> </w:t>
      </w:r>
      <w:r>
        <w:rPr>
          <w:sz w:val="13"/>
        </w:rPr>
        <w:t>Personas</w:t>
      </w:r>
      <w:r>
        <w:rPr>
          <w:spacing w:val="-8"/>
          <w:sz w:val="13"/>
        </w:rPr>
        <w:t xml:space="preserve"> </w:t>
      </w:r>
      <w:r>
        <w:rPr>
          <w:sz w:val="13"/>
        </w:rPr>
        <w:t>con</w:t>
      </w:r>
      <w:r>
        <w:rPr>
          <w:spacing w:val="-8"/>
          <w:sz w:val="13"/>
        </w:rPr>
        <w:t xml:space="preserve"> </w:t>
      </w:r>
      <w:r>
        <w:rPr>
          <w:sz w:val="13"/>
        </w:rPr>
        <w:t>Discapacidad,</w:t>
      </w:r>
      <w:r>
        <w:rPr>
          <w:spacing w:val="-8"/>
          <w:sz w:val="13"/>
        </w:rPr>
        <w:t xml:space="preserve"> </w:t>
      </w:r>
      <w:r>
        <w:rPr>
          <w:sz w:val="13"/>
        </w:rPr>
        <w:t>observación</w:t>
      </w:r>
      <w:r>
        <w:rPr>
          <w:spacing w:val="-8"/>
          <w:sz w:val="13"/>
        </w:rPr>
        <w:t xml:space="preserve"> </w:t>
      </w:r>
      <w:r>
        <w:rPr>
          <w:sz w:val="13"/>
        </w:rPr>
        <w:t>general</w:t>
      </w:r>
      <w:r>
        <w:rPr>
          <w:spacing w:val="-8"/>
          <w:sz w:val="13"/>
        </w:rPr>
        <w:t xml:space="preserve"> </w:t>
      </w:r>
      <w:r>
        <w:rPr>
          <w:sz w:val="13"/>
        </w:rPr>
        <w:t>núm.</w:t>
      </w:r>
      <w:r>
        <w:rPr>
          <w:spacing w:val="-8"/>
          <w:sz w:val="13"/>
        </w:rPr>
        <w:t xml:space="preserve"> </w:t>
      </w:r>
      <w:r>
        <w:rPr>
          <w:sz w:val="13"/>
        </w:rPr>
        <w:t>2</w:t>
      </w:r>
      <w:r>
        <w:rPr>
          <w:spacing w:val="-8"/>
          <w:sz w:val="13"/>
        </w:rPr>
        <w:t xml:space="preserve"> </w:t>
      </w:r>
      <w:r>
        <w:rPr>
          <w:sz w:val="13"/>
        </w:rPr>
        <w:t>(2014),</w:t>
      </w:r>
      <w:r>
        <w:rPr>
          <w:spacing w:val="-7"/>
          <w:sz w:val="13"/>
        </w:rPr>
        <w:t xml:space="preserve"> </w:t>
      </w:r>
      <w:r>
        <w:rPr>
          <w:sz w:val="13"/>
        </w:rPr>
        <w:t>párr.</w:t>
      </w:r>
      <w:r>
        <w:rPr>
          <w:spacing w:val="-8"/>
          <w:sz w:val="13"/>
        </w:rPr>
        <w:t xml:space="preserve"> </w:t>
      </w:r>
      <w:r>
        <w:rPr>
          <w:spacing w:val="-5"/>
          <w:sz w:val="13"/>
        </w:rPr>
        <w:t>13.</w:t>
      </w:r>
    </w:p>
    <w:p w14:paraId="14977178" w14:textId="77777777" w:rsidR="0014798C" w:rsidRDefault="004E1F0B">
      <w:pPr>
        <w:spacing w:before="87"/>
        <w:ind w:left="1107"/>
        <w:rPr>
          <w:sz w:val="13"/>
        </w:rPr>
      </w:pPr>
      <w:r>
        <w:rPr>
          <w:sz w:val="13"/>
        </w:rPr>
        <w:t>529</w:t>
      </w:r>
      <w:r>
        <w:rPr>
          <w:spacing w:val="-8"/>
          <w:sz w:val="13"/>
        </w:rPr>
        <w:t xml:space="preserve"> </w:t>
      </w:r>
      <w:proofErr w:type="spellStart"/>
      <w:r>
        <w:rPr>
          <w:sz w:val="13"/>
        </w:rPr>
        <w:t>Ibíd</w:t>
      </w:r>
      <w:proofErr w:type="spellEnd"/>
      <w:r>
        <w:rPr>
          <w:sz w:val="13"/>
        </w:rPr>
        <w:t>.,</w:t>
      </w:r>
      <w:r>
        <w:rPr>
          <w:spacing w:val="-7"/>
          <w:sz w:val="13"/>
        </w:rPr>
        <w:t xml:space="preserve"> </w:t>
      </w:r>
      <w:r>
        <w:rPr>
          <w:sz w:val="13"/>
        </w:rPr>
        <w:t>párr.</w:t>
      </w:r>
      <w:r>
        <w:rPr>
          <w:spacing w:val="-7"/>
          <w:sz w:val="13"/>
        </w:rPr>
        <w:t xml:space="preserve"> </w:t>
      </w:r>
      <w:r>
        <w:rPr>
          <w:spacing w:val="-5"/>
          <w:sz w:val="13"/>
        </w:rPr>
        <w:t>24.</w:t>
      </w:r>
    </w:p>
    <w:p w14:paraId="10E8C8A9" w14:textId="77777777" w:rsidR="0014798C" w:rsidRDefault="004E1F0B">
      <w:pPr>
        <w:spacing w:before="87"/>
        <w:ind w:left="1107"/>
        <w:rPr>
          <w:sz w:val="13"/>
        </w:rPr>
      </w:pPr>
      <w:r>
        <w:rPr>
          <w:sz w:val="13"/>
        </w:rPr>
        <w:t>530</w:t>
      </w:r>
      <w:r>
        <w:rPr>
          <w:spacing w:val="-8"/>
          <w:sz w:val="13"/>
        </w:rPr>
        <w:t xml:space="preserve"> </w:t>
      </w:r>
      <w:proofErr w:type="spellStart"/>
      <w:r>
        <w:rPr>
          <w:sz w:val="13"/>
        </w:rPr>
        <w:t>Ibíd</w:t>
      </w:r>
      <w:proofErr w:type="spellEnd"/>
      <w:r>
        <w:rPr>
          <w:sz w:val="13"/>
        </w:rPr>
        <w:t>.,</w:t>
      </w:r>
      <w:r>
        <w:rPr>
          <w:spacing w:val="-7"/>
          <w:sz w:val="13"/>
        </w:rPr>
        <w:t xml:space="preserve"> </w:t>
      </w:r>
      <w:r>
        <w:rPr>
          <w:sz w:val="13"/>
        </w:rPr>
        <w:t>párr.</w:t>
      </w:r>
      <w:r>
        <w:rPr>
          <w:spacing w:val="-7"/>
          <w:sz w:val="13"/>
        </w:rPr>
        <w:t xml:space="preserve"> </w:t>
      </w:r>
      <w:r>
        <w:rPr>
          <w:spacing w:val="-5"/>
          <w:sz w:val="13"/>
        </w:rPr>
        <w:t>25.</w:t>
      </w:r>
    </w:p>
    <w:p w14:paraId="4D66BA7C" w14:textId="77777777" w:rsidR="0014798C" w:rsidRDefault="004E1F0B">
      <w:pPr>
        <w:spacing w:before="87"/>
        <w:ind w:left="1107"/>
        <w:rPr>
          <w:sz w:val="13"/>
        </w:rPr>
      </w:pPr>
      <w:r>
        <w:rPr>
          <w:sz w:val="13"/>
        </w:rPr>
        <w:t>531</w:t>
      </w:r>
      <w:r>
        <w:rPr>
          <w:spacing w:val="-8"/>
          <w:sz w:val="13"/>
        </w:rPr>
        <w:t xml:space="preserve"> </w:t>
      </w:r>
      <w:r>
        <w:rPr>
          <w:sz w:val="13"/>
        </w:rPr>
        <w:t>Comité</w:t>
      </w:r>
      <w:r>
        <w:rPr>
          <w:spacing w:val="-8"/>
          <w:sz w:val="13"/>
        </w:rPr>
        <w:t xml:space="preserve"> </w:t>
      </w:r>
      <w:r>
        <w:rPr>
          <w:sz w:val="13"/>
        </w:rPr>
        <w:t>sobre</w:t>
      </w:r>
      <w:r>
        <w:rPr>
          <w:spacing w:val="-8"/>
          <w:sz w:val="13"/>
        </w:rPr>
        <w:t xml:space="preserve"> </w:t>
      </w:r>
      <w:r>
        <w:rPr>
          <w:sz w:val="13"/>
        </w:rPr>
        <w:t>los</w:t>
      </w:r>
      <w:r>
        <w:rPr>
          <w:spacing w:val="-8"/>
          <w:sz w:val="13"/>
        </w:rPr>
        <w:t xml:space="preserve"> </w:t>
      </w:r>
      <w:r>
        <w:rPr>
          <w:sz w:val="13"/>
        </w:rPr>
        <w:t>Derechos</w:t>
      </w:r>
      <w:r>
        <w:rPr>
          <w:spacing w:val="-8"/>
          <w:sz w:val="13"/>
        </w:rPr>
        <w:t xml:space="preserve"> </w:t>
      </w:r>
      <w:r>
        <w:rPr>
          <w:sz w:val="13"/>
        </w:rPr>
        <w:t>de</w:t>
      </w:r>
      <w:r>
        <w:rPr>
          <w:spacing w:val="-8"/>
          <w:sz w:val="13"/>
        </w:rPr>
        <w:t xml:space="preserve"> </w:t>
      </w:r>
      <w:r>
        <w:rPr>
          <w:sz w:val="13"/>
        </w:rPr>
        <w:t>las</w:t>
      </w:r>
      <w:r>
        <w:rPr>
          <w:spacing w:val="-8"/>
          <w:sz w:val="13"/>
        </w:rPr>
        <w:t xml:space="preserve"> </w:t>
      </w:r>
      <w:r>
        <w:rPr>
          <w:sz w:val="13"/>
        </w:rPr>
        <w:t>Personas</w:t>
      </w:r>
      <w:r>
        <w:rPr>
          <w:spacing w:val="-8"/>
          <w:sz w:val="13"/>
        </w:rPr>
        <w:t xml:space="preserve"> </w:t>
      </w:r>
      <w:r>
        <w:rPr>
          <w:sz w:val="13"/>
        </w:rPr>
        <w:t>con</w:t>
      </w:r>
      <w:r>
        <w:rPr>
          <w:spacing w:val="-8"/>
          <w:sz w:val="13"/>
        </w:rPr>
        <w:t xml:space="preserve"> </w:t>
      </w:r>
      <w:r>
        <w:rPr>
          <w:sz w:val="13"/>
        </w:rPr>
        <w:t>Discapacidad,</w:t>
      </w:r>
      <w:r>
        <w:rPr>
          <w:spacing w:val="-8"/>
          <w:sz w:val="13"/>
        </w:rPr>
        <w:t xml:space="preserve"> </w:t>
      </w:r>
      <w:r>
        <w:rPr>
          <w:sz w:val="13"/>
        </w:rPr>
        <w:t>observación</w:t>
      </w:r>
      <w:r>
        <w:rPr>
          <w:spacing w:val="-8"/>
          <w:sz w:val="13"/>
        </w:rPr>
        <w:t xml:space="preserve"> </w:t>
      </w:r>
      <w:r>
        <w:rPr>
          <w:sz w:val="13"/>
        </w:rPr>
        <w:t>general</w:t>
      </w:r>
      <w:r>
        <w:rPr>
          <w:spacing w:val="-8"/>
          <w:sz w:val="13"/>
        </w:rPr>
        <w:t xml:space="preserve"> </w:t>
      </w:r>
      <w:r>
        <w:rPr>
          <w:sz w:val="13"/>
        </w:rPr>
        <w:t>núm.</w:t>
      </w:r>
      <w:r>
        <w:rPr>
          <w:spacing w:val="-8"/>
          <w:sz w:val="13"/>
        </w:rPr>
        <w:t xml:space="preserve"> </w:t>
      </w:r>
      <w:r>
        <w:rPr>
          <w:sz w:val="13"/>
        </w:rPr>
        <w:t>6</w:t>
      </w:r>
      <w:r>
        <w:rPr>
          <w:spacing w:val="-8"/>
          <w:sz w:val="13"/>
        </w:rPr>
        <w:t xml:space="preserve"> </w:t>
      </w:r>
      <w:r>
        <w:rPr>
          <w:sz w:val="13"/>
        </w:rPr>
        <w:t>(2018),</w:t>
      </w:r>
      <w:r>
        <w:rPr>
          <w:spacing w:val="-7"/>
          <w:sz w:val="13"/>
        </w:rPr>
        <w:t xml:space="preserve"> </w:t>
      </w:r>
      <w:r>
        <w:rPr>
          <w:sz w:val="13"/>
        </w:rPr>
        <w:t>párr.</w:t>
      </w:r>
      <w:r>
        <w:rPr>
          <w:spacing w:val="-8"/>
          <w:sz w:val="13"/>
        </w:rPr>
        <w:t xml:space="preserve"> </w:t>
      </w:r>
      <w:r>
        <w:rPr>
          <w:spacing w:val="-5"/>
          <w:sz w:val="13"/>
        </w:rPr>
        <w:t>24.</w:t>
      </w:r>
    </w:p>
    <w:p w14:paraId="790CFEA3" w14:textId="77777777" w:rsidR="0014798C" w:rsidRDefault="004E1F0B">
      <w:pPr>
        <w:spacing w:before="87"/>
        <w:ind w:left="1107"/>
        <w:rPr>
          <w:sz w:val="13"/>
        </w:rPr>
      </w:pPr>
      <w:r>
        <w:rPr>
          <w:sz w:val="13"/>
        </w:rPr>
        <w:t>532</w:t>
      </w:r>
      <w:r>
        <w:rPr>
          <w:spacing w:val="-8"/>
          <w:sz w:val="13"/>
        </w:rPr>
        <w:t xml:space="preserve"> </w:t>
      </w:r>
      <w:r>
        <w:rPr>
          <w:sz w:val="13"/>
        </w:rPr>
        <w:t>Comité</w:t>
      </w:r>
      <w:r>
        <w:rPr>
          <w:spacing w:val="-8"/>
          <w:sz w:val="13"/>
        </w:rPr>
        <w:t xml:space="preserve"> </w:t>
      </w:r>
      <w:r>
        <w:rPr>
          <w:sz w:val="13"/>
        </w:rPr>
        <w:t>sobre</w:t>
      </w:r>
      <w:r>
        <w:rPr>
          <w:spacing w:val="-8"/>
          <w:sz w:val="13"/>
        </w:rPr>
        <w:t xml:space="preserve"> </w:t>
      </w:r>
      <w:r>
        <w:rPr>
          <w:sz w:val="13"/>
        </w:rPr>
        <w:t>los</w:t>
      </w:r>
      <w:r>
        <w:rPr>
          <w:spacing w:val="-8"/>
          <w:sz w:val="13"/>
        </w:rPr>
        <w:t xml:space="preserve"> </w:t>
      </w:r>
      <w:r>
        <w:rPr>
          <w:sz w:val="13"/>
        </w:rPr>
        <w:t>Derechos</w:t>
      </w:r>
      <w:r>
        <w:rPr>
          <w:spacing w:val="-8"/>
          <w:sz w:val="13"/>
        </w:rPr>
        <w:t xml:space="preserve"> </w:t>
      </w:r>
      <w:r>
        <w:rPr>
          <w:sz w:val="13"/>
        </w:rPr>
        <w:t>de</w:t>
      </w:r>
      <w:r>
        <w:rPr>
          <w:spacing w:val="-8"/>
          <w:sz w:val="13"/>
        </w:rPr>
        <w:t xml:space="preserve"> </w:t>
      </w:r>
      <w:r>
        <w:rPr>
          <w:sz w:val="13"/>
        </w:rPr>
        <w:t>las</w:t>
      </w:r>
      <w:r>
        <w:rPr>
          <w:spacing w:val="-8"/>
          <w:sz w:val="13"/>
        </w:rPr>
        <w:t xml:space="preserve"> </w:t>
      </w:r>
      <w:r>
        <w:rPr>
          <w:sz w:val="13"/>
        </w:rPr>
        <w:t>Personas</w:t>
      </w:r>
      <w:r>
        <w:rPr>
          <w:spacing w:val="-8"/>
          <w:sz w:val="13"/>
        </w:rPr>
        <w:t xml:space="preserve"> </w:t>
      </w:r>
      <w:r>
        <w:rPr>
          <w:sz w:val="13"/>
        </w:rPr>
        <w:t>con</w:t>
      </w:r>
      <w:r>
        <w:rPr>
          <w:spacing w:val="-8"/>
          <w:sz w:val="13"/>
        </w:rPr>
        <w:t xml:space="preserve"> </w:t>
      </w:r>
      <w:r>
        <w:rPr>
          <w:sz w:val="13"/>
        </w:rPr>
        <w:t>Discapacidad,</w:t>
      </w:r>
      <w:r>
        <w:rPr>
          <w:spacing w:val="-8"/>
          <w:sz w:val="13"/>
        </w:rPr>
        <w:t xml:space="preserve"> </w:t>
      </w:r>
      <w:r>
        <w:rPr>
          <w:sz w:val="13"/>
        </w:rPr>
        <w:t>observación</w:t>
      </w:r>
      <w:r>
        <w:rPr>
          <w:spacing w:val="-8"/>
          <w:sz w:val="13"/>
        </w:rPr>
        <w:t xml:space="preserve"> </w:t>
      </w:r>
      <w:r>
        <w:rPr>
          <w:sz w:val="13"/>
        </w:rPr>
        <w:t>general</w:t>
      </w:r>
      <w:r>
        <w:rPr>
          <w:spacing w:val="-8"/>
          <w:sz w:val="13"/>
        </w:rPr>
        <w:t xml:space="preserve"> </w:t>
      </w:r>
      <w:r>
        <w:rPr>
          <w:sz w:val="13"/>
        </w:rPr>
        <w:t>núm.</w:t>
      </w:r>
      <w:r>
        <w:rPr>
          <w:spacing w:val="-8"/>
          <w:sz w:val="13"/>
        </w:rPr>
        <w:t xml:space="preserve"> </w:t>
      </w:r>
      <w:r>
        <w:rPr>
          <w:sz w:val="13"/>
        </w:rPr>
        <w:t>2</w:t>
      </w:r>
      <w:r>
        <w:rPr>
          <w:spacing w:val="-8"/>
          <w:sz w:val="13"/>
        </w:rPr>
        <w:t xml:space="preserve"> </w:t>
      </w:r>
      <w:r>
        <w:rPr>
          <w:sz w:val="13"/>
        </w:rPr>
        <w:t>(2014),</w:t>
      </w:r>
      <w:r>
        <w:rPr>
          <w:spacing w:val="-7"/>
          <w:sz w:val="13"/>
        </w:rPr>
        <w:t xml:space="preserve"> </w:t>
      </w:r>
      <w:r>
        <w:rPr>
          <w:sz w:val="13"/>
        </w:rPr>
        <w:t>párr.</w:t>
      </w:r>
      <w:r>
        <w:rPr>
          <w:spacing w:val="-8"/>
          <w:sz w:val="13"/>
        </w:rPr>
        <w:t xml:space="preserve"> </w:t>
      </w:r>
      <w:r>
        <w:rPr>
          <w:spacing w:val="-5"/>
          <w:sz w:val="13"/>
        </w:rPr>
        <w:t>25.</w:t>
      </w:r>
    </w:p>
    <w:p w14:paraId="02919A05" w14:textId="77777777" w:rsidR="0014798C" w:rsidRDefault="004E1F0B">
      <w:pPr>
        <w:spacing w:before="87"/>
        <w:ind w:left="1107"/>
        <w:rPr>
          <w:sz w:val="13"/>
        </w:rPr>
      </w:pPr>
      <w:r>
        <w:rPr>
          <w:sz w:val="13"/>
        </w:rPr>
        <w:t>533</w:t>
      </w:r>
      <w:r>
        <w:rPr>
          <w:spacing w:val="-8"/>
          <w:sz w:val="13"/>
        </w:rPr>
        <w:t xml:space="preserve"> </w:t>
      </w:r>
      <w:proofErr w:type="spellStart"/>
      <w:r>
        <w:rPr>
          <w:sz w:val="13"/>
        </w:rPr>
        <w:t>Ibíd</w:t>
      </w:r>
      <w:proofErr w:type="spellEnd"/>
      <w:r>
        <w:rPr>
          <w:sz w:val="13"/>
        </w:rPr>
        <w:t>.,</w:t>
      </w:r>
      <w:r>
        <w:rPr>
          <w:spacing w:val="-7"/>
          <w:sz w:val="13"/>
        </w:rPr>
        <w:t xml:space="preserve"> </w:t>
      </w:r>
      <w:r>
        <w:rPr>
          <w:sz w:val="13"/>
        </w:rPr>
        <w:t>párr.</w:t>
      </w:r>
      <w:r>
        <w:rPr>
          <w:spacing w:val="-7"/>
          <w:sz w:val="13"/>
        </w:rPr>
        <w:t xml:space="preserve"> </w:t>
      </w:r>
      <w:r>
        <w:rPr>
          <w:spacing w:val="-5"/>
          <w:sz w:val="13"/>
        </w:rPr>
        <w:t>27.</w:t>
      </w:r>
    </w:p>
    <w:p w14:paraId="26CE6D63" w14:textId="77777777" w:rsidR="0014798C" w:rsidRDefault="004E1F0B">
      <w:pPr>
        <w:spacing w:before="87"/>
        <w:ind w:left="1107"/>
        <w:rPr>
          <w:sz w:val="13"/>
        </w:rPr>
      </w:pPr>
      <w:r>
        <w:rPr>
          <w:sz w:val="13"/>
        </w:rPr>
        <w:t>534</w:t>
      </w:r>
      <w:r>
        <w:rPr>
          <w:spacing w:val="-8"/>
          <w:sz w:val="13"/>
        </w:rPr>
        <w:t xml:space="preserve"> </w:t>
      </w:r>
      <w:proofErr w:type="spellStart"/>
      <w:r>
        <w:rPr>
          <w:sz w:val="13"/>
        </w:rPr>
        <w:t>Ibíd</w:t>
      </w:r>
      <w:proofErr w:type="spellEnd"/>
      <w:r>
        <w:rPr>
          <w:sz w:val="13"/>
        </w:rPr>
        <w:t>.,</w:t>
      </w:r>
      <w:r>
        <w:rPr>
          <w:spacing w:val="-7"/>
          <w:sz w:val="13"/>
        </w:rPr>
        <w:t xml:space="preserve"> </w:t>
      </w:r>
      <w:r>
        <w:rPr>
          <w:sz w:val="13"/>
        </w:rPr>
        <w:t>párr.</w:t>
      </w:r>
      <w:r>
        <w:rPr>
          <w:spacing w:val="-7"/>
          <w:sz w:val="13"/>
        </w:rPr>
        <w:t xml:space="preserve"> </w:t>
      </w:r>
      <w:r>
        <w:rPr>
          <w:spacing w:val="-5"/>
          <w:sz w:val="13"/>
        </w:rPr>
        <w:t>28.</w:t>
      </w:r>
    </w:p>
    <w:p w14:paraId="584731F4" w14:textId="77777777" w:rsidR="0014798C" w:rsidRDefault="004E1F0B">
      <w:pPr>
        <w:spacing w:before="79"/>
        <w:ind w:left="1107"/>
        <w:rPr>
          <w:sz w:val="14"/>
        </w:rPr>
      </w:pPr>
      <w:r>
        <w:rPr>
          <w:sz w:val="14"/>
        </w:rPr>
        <w:t>535</w:t>
      </w:r>
      <w:r>
        <w:rPr>
          <w:spacing w:val="4"/>
          <w:sz w:val="14"/>
        </w:rPr>
        <w:t xml:space="preserve"> </w:t>
      </w:r>
      <w:r>
        <w:rPr>
          <w:sz w:val="14"/>
        </w:rPr>
        <w:t>Comité</w:t>
      </w:r>
      <w:r>
        <w:rPr>
          <w:spacing w:val="4"/>
          <w:sz w:val="14"/>
        </w:rPr>
        <w:t xml:space="preserve"> </w:t>
      </w:r>
      <w:r>
        <w:rPr>
          <w:sz w:val="14"/>
        </w:rPr>
        <w:t>sobre</w:t>
      </w:r>
      <w:r>
        <w:rPr>
          <w:spacing w:val="5"/>
          <w:sz w:val="14"/>
        </w:rPr>
        <w:t xml:space="preserve"> </w:t>
      </w:r>
      <w:r>
        <w:rPr>
          <w:sz w:val="14"/>
        </w:rPr>
        <w:t>los</w:t>
      </w:r>
      <w:r>
        <w:rPr>
          <w:spacing w:val="4"/>
          <w:sz w:val="14"/>
        </w:rPr>
        <w:t xml:space="preserve"> </w:t>
      </w:r>
      <w:r>
        <w:rPr>
          <w:sz w:val="14"/>
        </w:rPr>
        <w:t>Derechos</w:t>
      </w:r>
      <w:r>
        <w:rPr>
          <w:spacing w:val="5"/>
          <w:sz w:val="14"/>
        </w:rPr>
        <w:t xml:space="preserve"> </w:t>
      </w:r>
      <w:r>
        <w:rPr>
          <w:sz w:val="14"/>
        </w:rPr>
        <w:t>de</w:t>
      </w:r>
      <w:r>
        <w:rPr>
          <w:spacing w:val="4"/>
          <w:sz w:val="14"/>
        </w:rPr>
        <w:t xml:space="preserve"> </w:t>
      </w:r>
      <w:r>
        <w:rPr>
          <w:sz w:val="14"/>
        </w:rPr>
        <w:t>las</w:t>
      </w:r>
      <w:r>
        <w:rPr>
          <w:spacing w:val="4"/>
          <w:sz w:val="14"/>
        </w:rPr>
        <w:t xml:space="preserve"> </w:t>
      </w:r>
      <w:r>
        <w:rPr>
          <w:sz w:val="14"/>
        </w:rPr>
        <w:t>Personas</w:t>
      </w:r>
      <w:r>
        <w:rPr>
          <w:spacing w:val="5"/>
          <w:sz w:val="14"/>
        </w:rPr>
        <w:t xml:space="preserve"> </w:t>
      </w:r>
      <w:r>
        <w:rPr>
          <w:sz w:val="14"/>
        </w:rPr>
        <w:t>con</w:t>
      </w:r>
      <w:r>
        <w:rPr>
          <w:spacing w:val="4"/>
          <w:sz w:val="14"/>
        </w:rPr>
        <w:t xml:space="preserve"> </w:t>
      </w:r>
      <w:r>
        <w:rPr>
          <w:sz w:val="14"/>
        </w:rPr>
        <w:t>Discapacidad,</w:t>
      </w:r>
      <w:r>
        <w:rPr>
          <w:spacing w:val="6"/>
          <w:sz w:val="14"/>
        </w:rPr>
        <w:t xml:space="preserve"> </w:t>
      </w:r>
      <w:proofErr w:type="spellStart"/>
      <w:r>
        <w:rPr>
          <w:sz w:val="14"/>
        </w:rPr>
        <w:t>Nyusti</w:t>
      </w:r>
      <w:proofErr w:type="spellEnd"/>
      <w:r>
        <w:rPr>
          <w:spacing w:val="4"/>
          <w:sz w:val="14"/>
        </w:rPr>
        <w:t xml:space="preserve"> </w:t>
      </w:r>
      <w:r>
        <w:rPr>
          <w:sz w:val="14"/>
        </w:rPr>
        <w:t>y</w:t>
      </w:r>
      <w:r>
        <w:rPr>
          <w:spacing w:val="5"/>
          <w:sz w:val="14"/>
        </w:rPr>
        <w:t xml:space="preserve"> </w:t>
      </w:r>
      <w:proofErr w:type="spellStart"/>
      <w:r>
        <w:rPr>
          <w:sz w:val="14"/>
        </w:rPr>
        <w:t>Takács</w:t>
      </w:r>
      <w:proofErr w:type="spellEnd"/>
      <w:r>
        <w:rPr>
          <w:spacing w:val="4"/>
          <w:sz w:val="14"/>
        </w:rPr>
        <w:t xml:space="preserve"> </w:t>
      </w:r>
      <w:r>
        <w:rPr>
          <w:sz w:val="14"/>
        </w:rPr>
        <w:t>c.</w:t>
      </w:r>
      <w:r>
        <w:rPr>
          <w:spacing w:val="4"/>
          <w:sz w:val="14"/>
        </w:rPr>
        <w:t xml:space="preserve"> </w:t>
      </w:r>
      <w:r>
        <w:rPr>
          <w:sz w:val="14"/>
        </w:rPr>
        <w:t>Hungría</w:t>
      </w:r>
      <w:r>
        <w:rPr>
          <w:spacing w:val="5"/>
          <w:sz w:val="14"/>
        </w:rPr>
        <w:t xml:space="preserve"> </w:t>
      </w:r>
      <w:r>
        <w:rPr>
          <w:sz w:val="14"/>
        </w:rPr>
        <w:t>(CRPD/C/9/D/1/2010),</w:t>
      </w:r>
      <w:r>
        <w:rPr>
          <w:spacing w:val="5"/>
          <w:sz w:val="14"/>
        </w:rPr>
        <w:t xml:space="preserve"> </w:t>
      </w:r>
      <w:proofErr w:type="spellStart"/>
      <w:r>
        <w:rPr>
          <w:sz w:val="14"/>
        </w:rPr>
        <w:t>párrs</w:t>
      </w:r>
      <w:proofErr w:type="spellEnd"/>
      <w:r>
        <w:rPr>
          <w:sz w:val="14"/>
        </w:rPr>
        <w:t>.</w:t>
      </w:r>
      <w:r>
        <w:rPr>
          <w:spacing w:val="6"/>
          <w:sz w:val="14"/>
        </w:rPr>
        <w:t xml:space="preserve"> </w:t>
      </w:r>
      <w:r>
        <w:rPr>
          <w:sz w:val="14"/>
        </w:rPr>
        <w:t>9.6</w:t>
      </w:r>
      <w:r>
        <w:rPr>
          <w:spacing w:val="4"/>
          <w:sz w:val="14"/>
        </w:rPr>
        <w:t xml:space="preserve"> </w:t>
      </w:r>
      <w:r>
        <w:rPr>
          <w:sz w:val="14"/>
        </w:rPr>
        <w:t>y</w:t>
      </w:r>
      <w:r>
        <w:rPr>
          <w:spacing w:val="5"/>
          <w:sz w:val="14"/>
        </w:rPr>
        <w:t xml:space="preserve"> </w:t>
      </w:r>
      <w:r>
        <w:rPr>
          <w:sz w:val="14"/>
        </w:rPr>
        <w:t>10</w:t>
      </w:r>
      <w:r>
        <w:rPr>
          <w:spacing w:val="4"/>
          <w:sz w:val="14"/>
        </w:rPr>
        <w:t xml:space="preserve"> </w:t>
      </w:r>
      <w:r>
        <w:rPr>
          <w:sz w:val="14"/>
        </w:rPr>
        <w:t>(2)</w:t>
      </w:r>
      <w:r>
        <w:rPr>
          <w:spacing w:val="4"/>
          <w:sz w:val="14"/>
        </w:rPr>
        <w:t xml:space="preserve"> </w:t>
      </w:r>
      <w:r>
        <w:rPr>
          <w:spacing w:val="-2"/>
          <w:sz w:val="14"/>
        </w:rPr>
        <w:t>(a)–(c).</w:t>
      </w:r>
    </w:p>
    <w:p w14:paraId="3E5436F5" w14:textId="77777777" w:rsidR="0014798C" w:rsidRDefault="0014798C">
      <w:pPr>
        <w:pStyle w:val="Textoindependiente"/>
        <w:rPr>
          <w:sz w:val="19"/>
        </w:rPr>
      </w:pPr>
    </w:p>
    <w:p w14:paraId="3FCD1C43" w14:textId="77777777" w:rsidR="0014798C" w:rsidRDefault="0014798C">
      <w:pPr>
        <w:pStyle w:val="Textoindependiente"/>
        <w:spacing w:before="197"/>
        <w:rPr>
          <w:sz w:val="19"/>
        </w:rPr>
      </w:pPr>
    </w:p>
    <w:p w14:paraId="3AC20637" w14:textId="77777777" w:rsidR="0014798C" w:rsidRDefault="004E1F0B">
      <w:pPr>
        <w:ind w:right="719"/>
        <w:jc w:val="right"/>
        <w:rPr>
          <w:sz w:val="19"/>
        </w:rPr>
      </w:pPr>
      <w:r>
        <w:rPr>
          <w:spacing w:val="-5"/>
          <w:sz w:val="19"/>
        </w:rPr>
        <w:t>67</w:t>
      </w:r>
    </w:p>
    <w:p w14:paraId="40753795" w14:textId="77777777" w:rsidR="0014798C" w:rsidRDefault="0014798C">
      <w:pPr>
        <w:jc w:val="right"/>
        <w:rPr>
          <w:sz w:val="19"/>
        </w:rPr>
        <w:sectPr w:rsidR="0014798C" w:rsidSect="00F265E4">
          <w:pgSz w:w="11900" w:h="16820"/>
          <w:pgMar w:top="340" w:right="0" w:bottom="280" w:left="200" w:header="121" w:footer="0" w:gutter="0"/>
          <w:cols w:space="720"/>
        </w:sectPr>
      </w:pPr>
    </w:p>
    <w:p w14:paraId="6BE23388" w14:textId="77777777" w:rsidR="0014798C" w:rsidRDefault="0014798C">
      <w:pPr>
        <w:pStyle w:val="Textoindependiente"/>
        <w:spacing w:before="85"/>
        <w:rPr>
          <w:sz w:val="12"/>
        </w:rPr>
      </w:pPr>
    </w:p>
    <w:p w14:paraId="5FDFD187" w14:textId="77777777" w:rsidR="0014798C" w:rsidRDefault="004E1F0B">
      <w:pPr>
        <w:ind w:left="1111"/>
        <w:rPr>
          <w:sz w:val="12"/>
        </w:rPr>
      </w:pPr>
      <w:r>
        <w:rPr>
          <w:color w:val="00AC59"/>
          <w:sz w:val="12"/>
        </w:rPr>
        <w:t>PROTECCIÓN</w:t>
      </w:r>
      <w:r>
        <w:rPr>
          <w:color w:val="00AC59"/>
          <w:spacing w:val="6"/>
          <w:sz w:val="12"/>
        </w:rPr>
        <w:t xml:space="preserve"> </w:t>
      </w:r>
      <w:r>
        <w:rPr>
          <w:color w:val="00AC59"/>
          <w:sz w:val="12"/>
        </w:rPr>
        <w:t>DE</w:t>
      </w:r>
      <w:r>
        <w:rPr>
          <w:color w:val="00AC59"/>
          <w:spacing w:val="7"/>
          <w:sz w:val="12"/>
        </w:rPr>
        <w:t xml:space="preserve"> </w:t>
      </w:r>
      <w:r>
        <w:rPr>
          <w:color w:val="00AC59"/>
          <w:sz w:val="12"/>
        </w:rPr>
        <w:t>LOS</w:t>
      </w:r>
      <w:r>
        <w:rPr>
          <w:color w:val="00AC59"/>
          <w:spacing w:val="8"/>
          <w:sz w:val="12"/>
        </w:rPr>
        <w:t xml:space="preserve"> </w:t>
      </w:r>
      <w:r>
        <w:rPr>
          <w:color w:val="00AC59"/>
          <w:sz w:val="12"/>
        </w:rPr>
        <w:t>DERECHOS</w:t>
      </w:r>
      <w:r>
        <w:rPr>
          <w:color w:val="00AC59"/>
          <w:spacing w:val="8"/>
          <w:sz w:val="12"/>
        </w:rPr>
        <w:t xml:space="preserve"> </w:t>
      </w:r>
      <w:r>
        <w:rPr>
          <w:color w:val="00AC59"/>
          <w:sz w:val="12"/>
        </w:rPr>
        <w:t>DE</w:t>
      </w:r>
      <w:r>
        <w:rPr>
          <w:color w:val="00AC59"/>
          <w:spacing w:val="6"/>
          <w:sz w:val="12"/>
        </w:rPr>
        <w:t xml:space="preserve"> </w:t>
      </w:r>
      <w:r>
        <w:rPr>
          <w:color w:val="00AC59"/>
          <w:sz w:val="12"/>
        </w:rPr>
        <w:t>LAS</w:t>
      </w:r>
      <w:r>
        <w:rPr>
          <w:color w:val="00AC59"/>
          <w:spacing w:val="7"/>
          <w:sz w:val="12"/>
        </w:rPr>
        <w:t xml:space="preserve"> </w:t>
      </w:r>
      <w:r>
        <w:rPr>
          <w:color w:val="00AC59"/>
          <w:sz w:val="12"/>
        </w:rPr>
        <w:t>MINORÍAS:</w:t>
      </w:r>
      <w:r>
        <w:rPr>
          <w:color w:val="00AC59"/>
          <w:spacing w:val="8"/>
          <w:sz w:val="12"/>
        </w:rPr>
        <w:t xml:space="preserve"> </w:t>
      </w:r>
      <w:r>
        <w:rPr>
          <w:color w:val="00AC59"/>
          <w:sz w:val="12"/>
        </w:rPr>
        <w:t>una</w:t>
      </w:r>
      <w:r>
        <w:rPr>
          <w:color w:val="00AC59"/>
          <w:spacing w:val="7"/>
          <w:sz w:val="12"/>
        </w:rPr>
        <w:t xml:space="preserve"> </w:t>
      </w:r>
      <w:r>
        <w:rPr>
          <w:color w:val="00AC59"/>
          <w:sz w:val="12"/>
        </w:rPr>
        <w:t>guía</w:t>
      </w:r>
      <w:r>
        <w:rPr>
          <w:color w:val="00AC59"/>
          <w:spacing w:val="6"/>
          <w:sz w:val="12"/>
        </w:rPr>
        <w:t xml:space="preserve"> </w:t>
      </w:r>
      <w:r>
        <w:rPr>
          <w:color w:val="00AC59"/>
          <w:sz w:val="12"/>
        </w:rPr>
        <w:t>práctica</w:t>
      </w:r>
      <w:r>
        <w:rPr>
          <w:color w:val="00AC59"/>
          <w:spacing w:val="7"/>
          <w:sz w:val="12"/>
        </w:rPr>
        <w:t xml:space="preserve"> </w:t>
      </w:r>
      <w:r>
        <w:rPr>
          <w:color w:val="00AC59"/>
          <w:sz w:val="12"/>
        </w:rPr>
        <w:t>para</w:t>
      </w:r>
      <w:r>
        <w:rPr>
          <w:color w:val="00AC59"/>
          <w:spacing w:val="8"/>
          <w:sz w:val="12"/>
        </w:rPr>
        <w:t xml:space="preserve"> </w:t>
      </w:r>
      <w:r>
        <w:rPr>
          <w:color w:val="00AC59"/>
          <w:sz w:val="12"/>
        </w:rPr>
        <w:t>desarrollar</w:t>
      </w:r>
      <w:r>
        <w:rPr>
          <w:color w:val="00AC59"/>
          <w:spacing w:val="6"/>
          <w:sz w:val="12"/>
        </w:rPr>
        <w:t xml:space="preserve"> </w:t>
      </w:r>
      <w:r>
        <w:rPr>
          <w:color w:val="00AC59"/>
          <w:sz w:val="12"/>
        </w:rPr>
        <w:t>una</w:t>
      </w:r>
      <w:r>
        <w:rPr>
          <w:color w:val="00AC59"/>
          <w:spacing w:val="7"/>
          <w:sz w:val="12"/>
        </w:rPr>
        <w:t xml:space="preserve"> </w:t>
      </w:r>
      <w:r>
        <w:rPr>
          <w:color w:val="00AC59"/>
          <w:sz w:val="12"/>
        </w:rPr>
        <w:t>legislación</w:t>
      </w:r>
      <w:r>
        <w:rPr>
          <w:color w:val="00AC59"/>
          <w:spacing w:val="8"/>
          <w:sz w:val="12"/>
        </w:rPr>
        <w:t xml:space="preserve"> </w:t>
      </w:r>
      <w:r>
        <w:rPr>
          <w:color w:val="00AC59"/>
          <w:sz w:val="12"/>
        </w:rPr>
        <w:t>integral</w:t>
      </w:r>
      <w:r>
        <w:rPr>
          <w:color w:val="00AC59"/>
          <w:spacing w:val="7"/>
          <w:sz w:val="12"/>
        </w:rPr>
        <w:t xml:space="preserve"> </w:t>
      </w:r>
      <w:r>
        <w:rPr>
          <w:color w:val="00AC59"/>
          <w:sz w:val="12"/>
        </w:rPr>
        <w:t>contra</w:t>
      </w:r>
      <w:r>
        <w:rPr>
          <w:color w:val="00AC59"/>
          <w:spacing w:val="6"/>
          <w:sz w:val="12"/>
        </w:rPr>
        <w:t xml:space="preserve"> </w:t>
      </w:r>
      <w:r>
        <w:rPr>
          <w:color w:val="00AC59"/>
          <w:sz w:val="12"/>
        </w:rPr>
        <w:t>la</w:t>
      </w:r>
      <w:r>
        <w:rPr>
          <w:color w:val="00AC59"/>
          <w:spacing w:val="7"/>
          <w:sz w:val="12"/>
        </w:rPr>
        <w:t xml:space="preserve"> </w:t>
      </w:r>
      <w:r>
        <w:rPr>
          <w:color w:val="00AC59"/>
          <w:spacing w:val="-2"/>
          <w:sz w:val="12"/>
        </w:rPr>
        <w:t>discriminación</w:t>
      </w:r>
    </w:p>
    <w:p w14:paraId="28762241" w14:textId="77777777" w:rsidR="0014798C" w:rsidRDefault="0014798C">
      <w:pPr>
        <w:pStyle w:val="Textoindependiente"/>
      </w:pPr>
    </w:p>
    <w:p w14:paraId="570CD4E7" w14:textId="77777777" w:rsidR="0014798C" w:rsidRDefault="0014798C">
      <w:pPr>
        <w:pStyle w:val="Textoindependiente"/>
      </w:pPr>
    </w:p>
    <w:p w14:paraId="22509216" w14:textId="77777777" w:rsidR="0014798C" w:rsidRDefault="0014798C">
      <w:pPr>
        <w:pStyle w:val="Textoindependiente"/>
      </w:pPr>
    </w:p>
    <w:p w14:paraId="08012C9D" w14:textId="77777777" w:rsidR="0014798C" w:rsidRDefault="0014798C">
      <w:pPr>
        <w:pStyle w:val="Textoindependiente"/>
      </w:pPr>
    </w:p>
    <w:p w14:paraId="3019359D" w14:textId="77777777" w:rsidR="0014798C" w:rsidRDefault="0014798C">
      <w:pPr>
        <w:pStyle w:val="Textoindependiente"/>
        <w:spacing w:before="68"/>
      </w:pPr>
    </w:p>
    <w:p w14:paraId="522A92D0" w14:textId="77777777" w:rsidR="0014798C" w:rsidRDefault="004E1F0B">
      <w:pPr>
        <w:pStyle w:val="Textoindependiente"/>
        <w:spacing w:line="326" w:lineRule="auto"/>
        <w:ind w:left="1334" w:right="1463" w:firstLine="4"/>
      </w:pPr>
      <w:r>
        <w:rPr>
          <w:noProof/>
        </w:rPr>
        <w:drawing>
          <wp:anchor distT="0" distB="0" distL="0" distR="0" simplePos="0" relativeHeight="251658411" behindDoc="1" locked="0" layoutInCell="1" allowOverlap="1" wp14:anchorId="1755C271" wp14:editId="5011140F">
            <wp:simplePos x="0" y="0"/>
            <wp:positionH relativeFrom="page">
              <wp:posOffset>795184</wp:posOffset>
            </wp:positionH>
            <wp:positionV relativeFrom="paragraph">
              <wp:posOffset>-153783</wp:posOffset>
            </wp:positionV>
            <wp:extent cx="5961638" cy="7553326"/>
            <wp:effectExtent l="0" t="0" r="0" b="0"/>
            <wp:wrapNone/>
            <wp:docPr id="167" name="Image 16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67" name="Image 167"/>
                    <pic:cNvPicPr/>
                  </pic:nvPicPr>
                  <pic:blipFill>
                    <a:blip r:embed="rId151" cstate="print"/>
                    <a:stretch>
                      <a:fillRect/>
                    </a:stretch>
                  </pic:blipFill>
                  <pic:spPr>
                    <a:xfrm>
                      <a:off x="0" y="0"/>
                      <a:ext cx="5961638" cy="7553326"/>
                    </a:xfrm>
                    <a:prstGeom prst="rect">
                      <a:avLst/>
                    </a:prstGeom>
                  </pic:spPr>
                </pic:pic>
              </a:graphicData>
            </a:graphic>
          </wp:anchor>
        </w:drawing>
      </w:r>
      <w:r>
        <w:rPr>
          <w:w w:val="105"/>
        </w:rPr>
        <w:t>servicios”,</w:t>
      </w:r>
      <w:r>
        <w:rPr>
          <w:spacing w:val="-11"/>
          <w:w w:val="105"/>
        </w:rPr>
        <w:t xml:space="preserve"> </w:t>
      </w:r>
      <w:r>
        <w:rPr>
          <w:w w:val="105"/>
        </w:rPr>
        <w:t>incluido</w:t>
      </w:r>
      <w:r>
        <w:rPr>
          <w:spacing w:val="-11"/>
          <w:w w:val="105"/>
        </w:rPr>
        <w:t xml:space="preserve"> </w:t>
      </w:r>
      <w:r>
        <w:rPr>
          <w:w w:val="105"/>
        </w:rPr>
        <w:t>“un</w:t>
      </w:r>
      <w:r>
        <w:rPr>
          <w:spacing w:val="-11"/>
          <w:w w:val="105"/>
        </w:rPr>
        <w:t xml:space="preserve"> </w:t>
      </w:r>
      <w:r>
        <w:rPr>
          <w:w w:val="105"/>
        </w:rPr>
        <w:t>marco</w:t>
      </w:r>
      <w:r>
        <w:rPr>
          <w:spacing w:val="-11"/>
          <w:w w:val="105"/>
        </w:rPr>
        <w:t xml:space="preserve"> </w:t>
      </w:r>
      <w:r>
        <w:rPr>
          <w:w w:val="105"/>
        </w:rPr>
        <w:t>legislativo</w:t>
      </w:r>
      <w:r>
        <w:rPr>
          <w:spacing w:val="-12"/>
          <w:w w:val="105"/>
        </w:rPr>
        <w:t xml:space="preserve"> </w:t>
      </w:r>
      <w:r>
        <w:rPr>
          <w:w w:val="105"/>
        </w:rPr>
        <w:t>con</w:t>
      </w:r>
      <w:r>
        <w:rPr>
          <w:spacing w:val="-11"/>
          <w:w w:val="105"/>
        </w:rPr>
        <w:t xml:space="preserve"> </w:t>
      </w:r>
      <w:r>
        <w:rPr>
          <w:w w:val="105"/>
        </w:rPr>
        <w:t>puntos</w:t>
      </w:r>
      <w:r>
        <w:rPr>
          <w:spacing w:val="-12"/>
          <w:w w:val="105"/>
        </w:rPr>
        <w:t xml:space="preserve"> </w:t>
      </w:r>
      <w:r>
        <w:rPr>
          <w:w w:val="105"/>
        </w:rPr>
        <w:t>de</w:t>
      </w:r>
      <w:r>
        <w:rPr>
          <w:spacing w:val="-11"/>
          <w:w w:val="105"/>
        </w:rPr>
        <w:t xml:space="preserve"> </w:t>
      </w:r>
      <w:r>
        <w:rPr>
          <w:w w:val="105"/>
        </w:rPr>
        <w:t>referencia</w:t>
      </w:r>
      <w:r>
        <w:rPr>
          <w:spacing w:val="-11"/>
          <w:w w:val="105"/>
        </w:rPr>
        <w:t xml:space="preserve"> </w:t>
      </w:r>
      <w:r>
        <w:rPr>
          <w:w w:val="105"/>
        </w:rPr>
        <w:t>concretos,</w:t>
      </w:r>
      <w:r>
        <w:rPr>
          <w:spacing w:val="-11"/>
          <w:w w:val="105"/>
        </w:rPr>
        <w:t xml:space="preserve"> </w:t>
      </w:r>
      <w:r>
        <w:rPr>
          <w:w w:val="105"/>
        </w:rPr>
        <w:t>aplicables</w:t>
      </w:r>
      <w:r>
        <w:rPr>
          <w:spacing w:val="-12"/>
          <w:w w:val="105"/>
        </w:rPr>
        <w:t xml:space="preserve"> </w:t>
      </w:r>
      <w:r>
        <w:rPr>
          <w:w w:val="105"/>
        </w:rPr>
        <w:t>y</w:t>
      </w:r>
      <w:r>
        <w:rPr>
          <w:spacing w:val="-11"/>
          <w:w w:val="105"/>
        </w:rPr>
        <w:t xml:space="preserve"> </w:t>
      </w:r>
      <w:r>
        <w:rPr>
          <w:w w:val="105"/>
        </w:rPr>
        <w:t>con</w:t>
      </w:r>
      <w:r>
        <w:rPr>
          <w:spacing w:val="-11"/>
          <w:w w:val="105"/>
        </w:rPr>
        <w:t xml:space="preserve"> </w:t>
      </w:r>
      <w:r>
        <w:rPr>
          <w:w w:val="105"/>
        </w:rPr>
        <w:t>plazos</w:t>
      </w:r>
      <w:r>
        <w:rPr>
          <w:spacing w:val="-12"/>
          <w:w w:val="105"/>
        </w:rPr>
        <w:t xml:space="preserve"> </w:t>
      </w:r>
      <w:proofErr w:type="gramStart"/>
      <w:r>
        <w:rPr>
          <w:w w:val="105"/>
        </w:rPr>
        <w:t>determinados”;</w:t>
      </w:r>
      <w:proofErr w:type="gramEnd"/>
      <w:r>
        <w:rPr>
          <w:spacing w:val="-10"/>
          <w:w w:val="105"/>
        </w:rPr>
        <w:t xml:space="preserve"> </w:t>
      </w:r>
      <w:r>
        <w:rPr>
          <w:w w:val="105"/>
        </w:rPr>
        <w:t>b) “ofrecer</w:t>
      </w:r>
      <w:r>
        <w:rPr>
          <w:spacing w:val="-4"/>
          <w:w w:val="105"/>
        </w:rPr>
        <w:t xml:space="preserve"> </w:t>
      </w:r>
      <w:r>
        <w:rPr>
          <w:w w:val="105"/>
        </w:rPr>
        <w:t>capacitación</w:t>
      </w:r>
      <w:r>
        <w:rPr>
          <w:spacing w:val="-3"/>
          <w:w w:val="105"/>
        </w:rPr>
        <w:t xml:space="preserve"> </w:t>
      </w:r>
      <w:r>
        <w:rPr>
          <w:w w:val="105"/>
        </w:rPr>
        <w:t>adecuada</w:t>
      </w:r>
      <w:r>
        <w:rPr>
          <w:spacing w:val="-3"/>
          <w:w w:val="105"/>
        </w:rPr>
        <w:t xml:space="preserve"> </w:t>
      </w:r>
      <w:r>
        <w:rPr>
          <w:w w:val="105"/>
        </w:rPr>
        <w:t>y</w:t>
      </w:r>
      <w:r>
        <w:rPr>
          <w:spacing w:val="-3"/>
          <w:w w:val="105"/>
        </w:rPr>
        <w:t xml:space="preserve"> </w:t>
      </w:r>
      <w:r>
        <w:rPr>
          <w:w w:val="105"/>
        </w:rPr>
        <w:t>periódica</w:t>
      </w:r>
      <w:r>
        <w:rPr>
          <w:spacing w:val="-3"/>
          <w:w w:val="105"/>
        </w:rPr>
        <w:t xml:space="preserve"> </w:t>
      </w:r>
      <w:r>
        <w:rPr>
          <w:w w:val="105"/>
        </w:rPr>
        <w:t>sobre</w:t>
      </w:r>
      <w:r>
        <w:rPr>
          <w:spacing w:val="-3"/>
          <w:w w:val="105"/>
        </w:rPr>
        <w:t xml:space="preserve"> </w:t>
      </w:r>
      <w:r>
        <w:rPr>
          <w:w w:val="105"/>
        </w:rPr>
        <w:t>el</w:t>
      </w:r>
      <w:r>
        <w:rPr>
          <w:spacing w:val="-3"/>
          <w:w w:val="105"/>
        </w:rPr>
        <w:t xml:space="preserve"> </w:t>
      </w:r>
      <w:r>
        <w:rPr>
          <w:w w:val="105"/>
        </w:rPr>
        <w:t>alcance</w:t>
      </w:r>
      <w:r>
        <w:rPr>
          <w:spacing w:val="-3"/>
          <w:w w:val="105"/>
        </w:rPr>
        <w:t xml:space="preserve"> </w:t>
      </w:r>
      <w:r>
        <w:rPr>
          <w:w w:val="105"/>
        </w:rPr>
        <w:t>de</w:t>
      </w:r>
      <w:r>
        <w:rPr>
          <w:spacing w:val="-3"/>
          <w:w w:val="105"/>
        </w:rPr>
        <w:t xml:space="preserve"> </w:t>
      </w:r>
      <w:r>
        <w:rPr>
          <w:w w:val="105"/>
        </w:rPr>
        <w:t>la</w:t>
      </w:r>
      <w:r>
        <w:rPr>
          <w:spacing w:val="-3"/>
          <w:w w:val="105"/>
        </w:rPr>
        <w:t xml:space="preserve"> </w:t>
      </w:r>
      <w:proofErr w:type="gramStart"/>
      <w:r>
        <w:rPr>
          <w:w w:val="105"/>
        </w:rPr>
        <w:t>Convención”;</w:t>
      </w:r>
      <w:proofErr w:type="gramEnd"/>
      <w:r>
        <w:rPr>
          <w:spacing w:val="-2"/>
          <w:w w:val="105"/>
        </w:rPr>
        <w:t xml:space="preserve"> </w:t>
      </w:r>
      <w:r>
        <w:rPr>
          <w:w w:val="105"/>
        </w:rPr>
        <w:t>c)</w:t>
      </w:r>
      <w:r>
        <w:rPr>
          <w:spacing w:val="-3"/>
          <w:w w:val="105"/>
        </w:rPr>
        <w:t xml:space="preserve"> </w:t>
      </w:r>
      <w:r>
        <w:rPr>
          <w:w w:val="105"/>
        </w:rPr>
        <w:t>“velar</w:t>
      </w:r>
      <w:r>
        <w:rPr>
          <w:spacing w:val="-4"/>
          <w:w w:val="105"/>
        </w:rPr>
        <w:t xml:space="preserve"> </w:t>
      </w:r>
      <w:r>
        <w:rPr>
          <w:w w:val="105"/>
        </w:rPr>
        <w:t>por</w:t>
      </w:r>
      <w:r>
        <w:rPr>
          <w:spacing w:val="-3"/>
          <w:w w:val="105"/>
        </w:rPr>
        <w:t xml:space="preserve"> </w:t>
      </w:r>
      <w:r>
        <w:rPr>
          <w:w w:val="105"/>
        </w:rPr>
        <w:t>que</w:t>
      </w:r>
      <w:r>
        <w:rPr>
          <w:spacing w:val="-3"/>
          <w:w w:val="105"/>
        </w:rPr>
        <w:t xml:space="preserve"> </w:t>
      </w:r>
      <w:r>
        <w:rPr>
          <w:w w:val="105"/>
        </w:rPr>
        <w:t>su</w:t>
      </w:r>
      <w:r>
        <w:rPr>
          <w:spacing w:val="-3"/>
          <w:w w:val="105"/>
        </w:rPr>
        <w:t xml:space="preserve"> </w:t>
      </w:r>
      <w:r>
        <w:rPr>
          <w:w w:val="105"/>
        </w:rPr>
        <w:t>legislación</w:t>
      </w:r>
      <w:r>
        <w:rPr>
          <w:spacing w:val="-3"/>
          <w:w w:val="105"/>
        </w:rPr>
        <w:t xml:space="preserve"> </w:t>
      </w:r>
      <w:r>
        <w:rPr>
          <w:w w:val="105"/>
        </w:rPr>
        <w:t>y</w:t>
      </w:r>
      <w:r>
        <w:rPr>
          <w:spacing w:val="-3"/>
          <w:w w:val="105"/>
        </w:rPr>
        <w:t xml:space="preserve"> </w:t>
      </w:r>
      <w:r>
        <w:rPr>
          <w:w w:val="105"/>
        </w:rPr>
        <w:t>la forma en que se aplica... no tenga por objeto o efecto menoscabar o anular el... ejercicio de cualquier derecho de las personas con discapacidad en igualdad de condiciones con las demás”.</w:t>
      </w:r>
    </w:p>
    <w:p w14:paraId="464F1A0B" w14:textId="77777777" w:rsidR="0014798C" w:rsidRDefault="0014798C">
      <w:pPr>
        <w:pStyle w:val="Textoindependiente"/>
      </w:pPr>
    </w:p>
    <w:p w14:paraId="63A6E1B9" w14:textId="77777777" w:rsidR="0014798C" w:rsidRDefault="0014798C">
      <w:pPr>
        <w:pStyle w:val="Textoindependiente"/>
        <w:spacing w:before="83"/>
      </w:pPr>
    </w:p>
    <w:p w14:paraId="142E6C39" w14:textId="77777777" w:rsidR="0014798C" w:rsidRDefault="004E1F0B">
      <w:pPr>
        <w:pStyle w:val="Textoindependiente"/>
        <w:spacing w:line="326" w:lineRule="auto"/>
        <w:ind w:left="1105" w:right="1335" w:firstLine="4"/>
      </w:pPr>
      <w:r>
        <w:rPr>
          <w:w w:val="105"/>
        </w:rPr>
        <w:t>Más allá del Comité sobre los Derechos de las Personas con Discapacidad, muchos otros órganos creados en virtud de tratados también han reconocido la obligación de garantizar la accesibilidad para las personas con discapacidad.536 Los deberes de accesibilidad también han sido reconocidos a nivel regional. El artículo 15 del Protocolo de la Carta Africana de Derechos</w:t>
      </w:r>
      <w:r>
        <w:rPr>
          <w:spacing w:val="-3"/>
          <w:w w:val="105"/>
        </w:rPr>
        <w:t xml:space="preserve"> </w:t>
      </w:r>
      <w:r>
        <w:rPr>
          <w:w w:val="105"/>
        </w:rPr>
        <w:t>Humanos</w:t>
      </w:r>
      <w:r>
        <w:rPr>
          <w:spacing w:val="-3"/>
          <w:w w:val="105"/>
        </w:rPr>
        <w:t xml:space="preserve"> </w:t>
      </w:r>
      <w:r>
        <w:rPr>
          <w:w w:val="105"/>
        </w:rPr>
        <w:t>y</w:t>
      </w:r>
      <w:r>
        <w:rPr>
          <w:spacing w:val="-2"/>
          <w:w w:val="105"/>
        </w:rPr>
        <w:t xml:space="preserve"> </w:t>
      </w:r>
      <w:r>
        <w:rPr>
          <w:w w:val="105"/>
        </w:rPr>
        <w:t>de</w:t>
      </w:r>
      <w:r>
        <w:rPr>
          <w:spacing w:val="-2"/>
          <w:w w:val="105"/>
        </w:rPr>
        <w:t xml:space="preserve"> </w:t>
      </w:r>
      <w:r>
        <w:rPr>
          <w:w w:val="105"/>
        </w:rPr>
        <w:t>los</w:t>
      </w:r>
      <w:r>
        <w:rPr>
          <w:spacing w:val="-2"/>
          <w:w w:val="105"/>
        </w:rPr>
        <w:t xml:space="preserve"> </w:t>
      </w:r>
      <w:r>
        <w:rPr>
          <w:w w:val="105"/>
        </w:rPr>
        <w:t>Pueblos</w:t>
      </w:r>
      <w:r>
        <w:rPr>
          <w:spacing w:val="-3"/>
          <w:w w:val="105"/>
        </w:rPr>
        <w:t xml:space="preserve"> </w:t>
      </w:r>
      <w:r>
        <w:rPr>
          <w:w w:val="105"/>
        </w:rPr>
        <w:t>sobre</w:t>
      </w:r>
      <w:r>
        <w:rPr>
          <w:spacing w:val="-2"/>
          <w:w w:val="105"/>
        </w:rPr>
        <w:t xml:space="preserve"> </w:t>
      </w:r>
      <w:r>
        <w:rPr>
          <w:w w:val="105"/>
        </w:rPr>
        <w:t>los</w:t>
      </w:r>
      <w:r>
        <w:rPr>
          <w:spacing w:val="-2"/>
          <w:w w:val="105"/>
        </w:rPr>
        <w:t xml:space="preserve"> </w:t>
      </w:r>
      <w:r>
        <w:rPr>
          <w:w w:val="105"/>
        </w:rPr>
        <w:t>derechos</w:t>
      </w:r>
      <w:r>
        <w:rPr>
          <w:spacing w:val="-3"/>
          <w:w w:val="105"/>
        </w:rPr>
        <w:t xml:space="preserve"> </w:t>
      </w:r>
      <w:r>
        <w:rPr>
          <w:w w:val="105"/>
        </w:rPr>
        <w:t>de</w:t>
      </w:r>
      <w:r>
        <w:rPr>
          <w:spacing w:val="-2"/>
          <w:w w:val="105"/>
        </w:rPr>
        <w:t xml:space="preserve"> </w:t>
      </w:r>
      <w:r>
        <w:rPr>
          <w:w w:val="105"/>
        </w:rPr>
        <w:t>las</w:t>
      </w:r>
      <w:r>
        <w:rPr>
          <w:spacing w:val="-2"/>
          <w:w w:val="105"/>
        </w:rPr>
        <w:t xml:space="preserve"> </w:t>
      </w:r>
      <w:r>
        <w:rPr>
          <w:w w:val="105"/>
        </w:rPr>
        <w:t>personas</w:t>
      </w:r>
      <w:r>
        <w:rPr>
          <w:spacing w:val="-3"/>
          <w:w w:val="105"/>
        </w:rPr>
        <w:t xml:space="preserve"> </w:t>
      </w:r>
      <w:r>
        <w:rPr>
          <w:w w:val="105"/>
        </w:rPr>
        <w:t>con</w:t>
      </w:r>
      <w:r>
        <w:rPr>
          <w:spacing w:val="-2"/>
          <w:w w:val="105"/>
        </w:rPr>
        <w:t xml:space="preserve"> </w:t>
      </w:r>
      <w:r>
        <w:rPr>
          <w:w w:val="105"/>
        </w:rPr>
        <w:t>discapacidad</w:t>
      </w:r>
      <w:r>
        <w:rPr>
          <w:spacing w:val="-2"/>
          <w:w w:val="105"/>
        </w:rPr>
        <w:t xml:space="preserve"> </w:t>
      </w:r>
      <w:r>
        <w:rPr>
          <w:w w:val="105"/>
        </w:rPr>
        <w:t>en</w:t>
      </w:r>
      <w:r>
        <w:rPr>
          <w:spacing w:val="-2"/>
          <w:w w:val="105"/>
        </w:rPr>
        <w:t xml:space="preserve"> </w:t>
      </w:r>
      <w:r>
        <w:rPr>
          <w:w w:val="105"/>
        </w:rPr>
        <w:t>África</w:t>
      </w:r>
      <w:r>
        <w:rPr>
          <w:spacing w:val="-3"/>
          <w:w w:val="105"/>
        </w:rPr>
        <w:t xml:space="preserve"> </w:t>
      </w:r>
      <w:r>
        <w:rPr>
          <w:w w:val="105"/>
        </w:rPr>
        <w:t>establece</w:t>
      </w:r>
      <w:r>
        <w:rPr>
          <w:spacing w:val="-3"/>
          <w:w w:val="105"/>
        </w:rPr>
        <w:t xml:space="preserve"> </w:t>
      </w:r>
      <w:r>
        <w:rPr>
          <w:w w:val="105"/>
        </w:rPr>
        <w:t>el</w:t>
      </w:r>
      <w:r>
        <w:rPr>
          <w:spacing w:val="-2"/>
          <w:w w:val="105"/>
        </w:rPr>
        <w:t xml:space="preserve"> </w:t>
      </w:r>
      <w:r>
        <w:rPr>
          <w:w w:val="105"/>
        </w:rPr>
        <w:t>derecho</w:t>
      </w:r>
      <w:r>
        <w:rPr>
          <w:spacing w:val="-2"/>
          <w:w w:val="105"/>
        </w:rPr>
        <w:t xml:space="preserve"> </w:t>
      </w:r>
      <w:r>
        <w:rPr>
          <w:w w:val="105"/>
        </w:rPr>
        <w:t>a “el acceso sin barreras</w:t>
      </w:r>
      <w:r>
        <w:rPr>
          <w:spacing w:val="-1"/>
          <w:w w:val="105"/>
        </w:rPr>
        <w:t xml:space="preserve"> </w:t>
      </w:r>
      <w:r>
        <w:rPr>
          <w:w w:val="105"/>
        </w:rPr>
        <w:t>al entorno</w:t>
      </w:r>
      <w:r>
        <w:rPr>
          <w:spacing w:val="-1"/>
          <w:w w:val="105"/>
        </w:rPr>
        <w:t xml:space="preserve"> </w:t>
      </w:r>
      <w:r>
        <w:rPr>
          <w:w w:val="105"/>
        </w:rPr>
        <w:t>físico, el transporte, la información, incluidas</w:t>
      </w:r>
      <w:r>
        <w:rPr>
          <w:spacing w:val="-1"/>
          <w:w w:val="105"/>
        </w:rPr>
        <w:t xml:space="preserve"> </w:t>
      </w:r>
      <w:r>
        <w:rPr>
          <w:w w:val="105"/>
        </w:rPr>
        <w:t>las tecnologías</w:t>
      </w:r>
      <w:r>
        <w:rPr>
          <w:spacing w:val="-1"/>
          <w:w w:val="105"/>
        </w:rPr>
        <w:t xml:space="preserve"> </w:t>
      </w:r>
      <w:r>
        <w:rPr>
          <w:w w:val="105"/>
        </w:rPr>
        <w:t>y sistemas</w:t>
      </w:r>
      <w:r>
        <w:rPr>
          <w:spacing w:val="-1"/>
          <w:w w:val="105"/>
        </w:rPr>
        <w:t xml:space="preserve"> </w:t>
      </w:r>
      <w:r>
        <w:rPr>
          <w:w w:val="105"/>
        </w:rPr>
        <w:t>de comunicación, y otras instalaciones”. y servicios abiertos o prestados al público” y exige que los Estados adopten medidas “razonables y progresivas” para facilitar el pleno disfrute de este derecho. En 2019, se aprobó la Ley Europea de Accesibilidad, que establece estándares mínimos de accesibilidad en toda la Unión Europea para productos y servicios desarrollados a partir de 2025.537</w:t>
      </w:r>
    </w:p>
    <w:p w14:paraId="53FA7D67" w14:textId="77777777" w:rsidR="0014798C" w:rsidRDefault="004E1F0B">
      <w:pPr>
        <w:spacing w:before="160"/>
        <w:ind w:left="1101"/>
        <w:rPr>
          <w:sz w:val="20"/>
        </w:rPr>
      </w:pPr>
      <w:r>
        <w:rPr>
          <w:sz w:val="20"/>
        </w:rPr>
        <w:t>Accesibilidad</w:t>
      </w:r>
      <w:r>
        <w:rPr>
          <w:spacing w:val="-5"/>
          <w:sz w:val="20"/>
        </w:rPr>
        <w:t xml:space="preserve"> </w:t>
      </w:r>
      <w:r>
        <w:rPr>
          <w:sz w:val="20"/>
        </w:rPr>
        <w:t>por</w:t>
      </w:r>
      <w:r>
        <w:rPr>
          <w:spacing w:val="-4"/>
          <w:sz w:val="20"/>
        </w:rPr>
        <w:t xml:space="preserve"> </w:t>
      </w:r>
      <w:r>
        <w:rPr>
          <w:sz w:val="20"/>
        </w:rPr>
        <w:t>otros</w:t>
      </w:r>
      <w:r>
        <w:rPr>
          <w:spacing w:val="-4"/>
          <w:sz w:val="20"/>
        </w:rPr>
        <w:t xml:space="preserve"> </w:t>
      </w:r>
      <w:r>
        <w:rPr>
          <w:spacing w:val="-2"/>
          <w:sz w:val="20"/>
        </w:rPr>
        <w:t>motivos</w:t>
      </w:r>
    </w:p>
    <w:p w14:paraId="4BA9C92F" w14:textId="77777777" w:rsidR="0014798C" w:rsidRDefault="004E1F0B">
      <w:pPr>
        <w:pStyle w:val="Textoindependiente"/>
        <w:spacing w:before="189" w:line="326" w:lineRule="auto"/>
        <w:ind w:left="1110" w:right="1272" w:hanging="2"/>
      </w:pPr>
      <w:r>
        <w:rPr>
          <w:w w:val="105"/>
        </w:rPr>
        <w:t>En su observación general núm. 2 (2014), el Comité sobre los Derechos de las Personas con Discapacidad explicó que “la accesibilidad debe verse como una reafirmación específica de la discapacidad del aspecto social del derecho de acceso” establecido, entre otros, en el artículo 25 (c) del Pacto Internacional de Derechos Civiles y Políticos. El Comité también estableció</w:t>
      </w:r>
      <w:r>
        <w:rPr>
          <w:spacing w:val="-3"/>
          <w:w w:val="105"/>
        </w:rPr>
        <w:t xml:space="preserve"> </w:t>
      </w:r>
      <w:r>
        <w:rPr>
          <w:w w:val="105"/>
        </w:rPr>
        <w:t>un</w:t>
      </w:r>
      <w:r>
        <w:rPr>
          <w:spacing w:val="-2"/>
          <w:w w:val="105"/>
        </w:rPr>
        <w:t xml:space="preserve"> </w:t>
      </w:r>
      <w:r>
        <w:rPr>
          <w:w w:val="105"/>
        </w:rPr>
        <w:t>paralelo</w:t>
      </w:r>
      <w:r>
        <w:rPr>
          <w:spacing w:val="-2"/>
          <w:w w:val="105"/>
        </w:rPr>
        <w:t xml:space="preserve"> </w:t>
      </w:r>
      <w:r>
        <w:rPr>
          <w:w w:val="105"/>
        </w:rPr>
        <w:t>con</w:t>
      </w:r>
      <w:r>
        <w:rPr>
          <w:spacing w:val="-2"/>
          <w:w w:val="105"/>
        </w:rPr>
        <w:t xml:space="preserve"> </w:t>
      </w:r>
      <w:r>
        <w:rPr>
          <w:w w:val="105"/>
        </w:rPr>
        <w:t>la</w:t>
      </w:r>
      <w:r>
        <w:rPr>
          <w:spacing w:val="-2"/>
          <w:w w:val="105"/>
        </w:rPr>
        <w:t xml:space="preserve"> </w:t>
      </w:r>
      <w:r>
        <w:rPr>
          <w:w w:val="105"/>
        </w:rPr>
        <w:t>obligación</w:t>
      </w:r>
      <w:r>
        <w:rPr>
          <w:spacing w:val="-2"/>
          <w:w w:val="105"/>
        </w:rPr>
        <w:t xml:space="preserve"> </w:t>
      </w:r>
      <w:r>
        <w:rPr>
          <w:w w:val="105"/>
        </w:rPr>
        <w:t>de</w:t>
      </w:r>
      <w:r>
        <w:rPr>
          <w:spacing w:val="-2"/>
          <w:w w:val="105"/>
        </w:rPr>
        <w:t xml:space="preserve"> </w:t>
      </w:r>
      <w:r>
        <w:rPr>
          <w:w w:val="105"/>
        </w:rPr>
        <w:t>garantizar</w:t>
      </w:r>
      <w:r>
        <w:rPr>
          <w:spacing w:val="-3"/>
          <w:w w:val="105"/>
        </w:rPr>
        <w:t xml:space="preserve"> </w:t>
      </w:r>
      <w:r>
        <w:rPr>
          <w:w w:val="105"/>
        </w:rPr>
        <w:t>la</w:t>
      </w:r>
      <w:r>
        <w:rPr>
          <w:spacing w:val="-2"/>
          <w:w w:val="105"/>
        </w:rPr>
        <w:t xml:space="preserve"> </w:t>
      </w:r>
      <w:r>
        <w:rPr>
          <w:w w:val="105"/>
        </w:rPr>
        <w:t>igualdad</w:t>
      </w:r>
      <w:r>
        <w:rPr>
          <w:spacing w:val="-2"/>
          <w:w w:val="105"/>
        </w:rPr>
        <w:t xml:space="preserve"> </w:t>
      </w:r>
      <w:r>
        <w:rPr>
          <w:w w:val="105"/>
        </w:rPr>
        <w:t>de</w:t>
      </w:r>
      <w:r>
        <w:rPr>
          <w:spacing w:val="-2"/>
          <w:w w:val="105"/>
        </w:rPr>
        <w:t xml:space="preserve"> </w:t>
      </w:r>
      <w:r>
        <w:rPr>
          <w:w w:val="105"/>
        </w:rPr>
        <w:t>acceso</w:t>
      </w:r>
      <w:r>
        <w:rPr>
          <w:spacing w:val="-2"/>
          <w:w w:val="105"/>
        </w:rPr>
        <w:t xml:space="preserve"> </w:t>
      </w:r>
      <w:r>
        <w:rPr>
          <w:w w:val="105"/>
        </w:rPr>
        <w:t>a</w:t>
      </w:r>
      <w:r>
        <w:rPr>
          <w:spacing w:val="-2"/>
          <w:w w:val="105"/>
        </w:rPr>
        <w:t xml:space="preserve"> </w:t>
      </w:r>
      <w:r>
        <w:rPr>
          <w:w w:val="105"/>
        </w:rPr>
        <w:t>cualquier</w:t>
      </w:r>
      <w:r>
        <w:rPr>
          <w:spacing w:val="-3"/>
          <w:w w:val="105"/>
        </w:rPr>
        <w:t xml:space="preserve"> </w:t>
      </w:r>
      <w:r>
        <w:rPr>
          <w:w w:val="105"/>
        </w:rPr>
        <w:t>lugar</w:t>
      </w:r>
      <w:r>
        <w:rPr>
          <w:spacing w:val="-3"/>
          <w:w w:val="105"/>
        </w:rPr>
        <w:t xml:space="preserve"> </w:t>
      </w:r>
      <w:r>
        <w:rPr>
          <w:w w:val="105"/>
        </w:rPr>
        <w:t>o</w:t>
      </w:r>
      <w:r>
        <w:rPr>
          <w:spacing w:val="-2"/>
          <w:w w:val="105"/>
        </w:rPr>
        <w:t xml:space="preserve"> </w:t>
      </w:r>
      <w:r>
        <w:rPr>
          <w:w w:val="105"/>
        </w:rPr>
        <w:t>servicio</w:t>
      </w:r>
      <w:r>
        <w:rPr>
          <w:spacing w:val="-2"/>
          <w:w w:val="105"/>
        </w:rPr>
        <w:t xml:space="preserve"> </w:t>
      </w:r>
      <w:r>
        <w:rPr>
          <w:w w:val="105"/>
        </w:rPr>
        <w:t>destinado</w:t>
      </w:r>
      <w:r>
        <w:rPr>
          <w:spacing w:val="-3"/>
          <w:w w:val="105"/>
        </w:rPr>
        <w:t xml:space="preserve"> </w:t>
      </w:r>
      <w:r>
        <w:rPr>
          <w:w w:val="105"/>
        </w:rPr>
        <w:t>al</w:t>
      </w:r>
      <w:r>
        <w:rPr>
          <w:spacing w:val="-2"/>
          <w:w w:val="105"/>
        </w:rPr>
        <w:t xml:space="preserve"> </w:t>
      </w:r>
      <w:r>
        <w:rPr>
          <w:w w:val="105"/>
        </w:rPr>
        <w:t>uso</w:t>
      </w:r>
      <w:r>
        <w:rPr>
          <w:spacing w:val="-2"/>
          <w:w w:val="105"/>
        </w:rPr>
        <w:t xml:space="preserve"> </w:t>
      </w:r>
      <w:r>
        <w:rPr>
          <w:w w:val="105"/>
        </w:rPr>
        <w:t>del público en general, prevista en el artículo 5 f) de la Convención Internacional sobre la Eliminación de todas las Formas de Discriminación</w:t>
      </w:r>
      <w:r>
        <w:rPr>
          <w:spacing w:val="-3"/>
          <w:w w:val="105"/>
        </w:rPr>
        <w:t xml:space="preserve"> </w:t>
      </w:r>
      <w:r>
        <w:rPr>
          <w:w w:val="105"/>
        </w:rPr>
        <w:t>Racial.</w:t>
      </w:r>
      <w:r>
        <w:rPr>
          <w:spacing w:val="-3"/>
          <w:w w:val="105"/>
        </w:rPr>
        <w:t xml:space="preserve"> </w:t>
      </w:r>
      <w:r>
        <w:rPr>
          <w:w w:val="105"/>
        </w:rPr>
        <w:t>538,</w:t>
      </w:r>
      <w:r>
        <w:rPr>
          <w:spacing w:val="-3"/>
          <w:w w:val="105"/>
        </w:rPr>
        <w:t xml:space="preserve"> </w:t>
      </w:r>
      <w:r>
        <w:rPr>
          <w:w w:val="105"/>
        </w:rPr>
        <w:t>al</w:t>
      </w:r>
      <w:r>
        <w:rPr>
          <w:spacing w:val="-3"/>
          <w:w w:val="105"/>
        </w:rPr>
        <w:t xml:space="preserve"> </w:t>
      </w:r>
      <w:r>
        <w:rPr>
          <w:w w:val="105"/>
        </w:rPr>
        <w:t>tiempo</w:t>
      </w:r>
      <w:r>
        <w:rPr>
          <w:spacing w:val="-4"/>
          <w:w w:val="105"/>
        </w:rPr>
        <w:t xml:space="preserve"> </w:t>
      </w:r>
      <w:r>
        <w:rPr>
          <w:w w:val="105"/>
        </w:rPr>
        <w:t>que</w:t>
      </w:r>
      <w:r>
        <w:rPr>
          <w:spacing w:val="-3"/>
          <w:w w:val="105"/>
        </w:rPr>
        <w:t xml:space="preserve"> </w:t>
      </w:r>
      <w:r>
        <w:rPr>
          <w:w w:val="105"/>
        </w:rPr>
        <w:t>se</w:t>
      </w:r>
      <w:r>
        <w:rPr>
          <w:spacing w:val="-3"/>
          <w:w w:val="105"/>
        </w:rPr>
        <w:t xml:space="preserve"> </w:t>
      </w:r>
      <w:r>
        <w:rPr>
          <w:w w:val="105"/>
        </w:rPr>
        <w:t>reconoce</w:t>
      </w:r>
      <w:r>
        <w:rPr>
          <w:spacing w:val="-3"/>
          <w:w w:val="105"/>
        </w:rPr>
        <w:t xml:space="preserve"> </w:t>
      </w:r>
      <w:r>
        <w:rPr>
          <w:w w:val="105"/>
        </w:rPr>
        <w:t>la</w:t>
      </w:r>
      <w:r>
        <w:rPr>
          <w:spacing w:val="-3"/>
          <w:w w:val="105"/>
        </w:rPr>
        <w:t xml:space="preserve"> </w:t>
      </w:r>
      <w:r>
        <w:rPr>
          <w:w w:val="105"/>
        </w:rPr>
        <w:t>diferencia</w:t>
      </w:r>
      <w:r>
        <w:rPr>
          <w:spacing w:val="-4"/>
          <w:w w:val="105"/>
        </w:rPr>
        <w:t xml:space="preserve"> </w:t>
      </w:r>
      <w:r>
        <w:rPr>
          <w:w w:val="105"/>
        </w:rPr>
        <w:t>entre</w:t>
      </w:r>
      <w:r>
        <w:rPr>
          <w:spacing w:val="-4"/>
          <w:w w:val="105"/>
        </w:rPr>
        <w:t xml:space="preserve"> </w:t>
      </w:r>
      <w:r>
        <w:rPr>
          <w:w w:val="105"/>
        </w:rPr>
        <w:t>la</w:t>
      </w:r>
      <w:r>
        <w:rPr>
          <w:spacing w:val="-3"/>
          <w:w w:val="105"/>
        </w:rPr>
        <w:t xml:space="preserve"> </w:t>
      </w:r>
      <w:r>
        <w:rPr>
          <w:w w:val="105"/>
        </w:rPr>
        <w:t>denegación</w:t>
      </w:r>
      <w:r>
        <w:rPr>
          <w:spacing w:val="-3"/>
          <w:w w:val="105"/>
        </w:rPr>
        <w:t xml:space="preserve"> </w:t>
      </w:r>
      <w:r>
        <w:rPr>
          <w:w w:val="105"/>
        </w:rPr>
        <w:t>de</w:t>
      </w:r>
      <w:r>
        <w:rPr>
          <w:spacing w:val="-3"/>
          <w:w w:val="105"/>
        </w:rPr>
        <w:t xml:space="preserve"> </w:t>
      </w:r>
      <w:r>
        <w:rPr>
          <w:w w:val="105"/>
        </w:rPr>
        <w:t>acceso</w:t>
      </w:r>
      <w:r>
        <w:rPr>
          <w:spacing w:val="-3"/>
          <w:w w:val="105"/>
        </w:rPr>
        <w:t xml:space="preserve"> </w:t>
      </w:r>
      <w:r>
        <w:rPr>
          <w:w w:val="105"/>
        </w:rPr>
        <w:t>basada</w:t>
      </w:r>
      <w:r>
        <w:rPr>
          <w:spacing w:val="-3"/>
          <w:w w:val="105"/>
        </w:rPr>
        <w:t xml:space="preserve"> </w:t>
      </w:r>
      <w:r>
        <w:rPr>
          <w:w w:val="105"/>
        </w:rPr>
        <w:t>en</w:t>
      </w:r>
      <w:r>
        <w:rPr>
          <w:spacing w:val="-3"/>
          <w:w w:val="105"/>
        </w:rPr>
        <w:t xml:space="preserve"> </w:t>
      </w:r>
      <w:r>
        <w:rPr>
          <w:w w:val="105"/>
        </w:rPr>
        <w:t>prejuicios</w:t>
      </w:r>
      <w:r>
        <w:rPr>
          <w:spacing w:val="-4"/>
          <w:w w:val="105"/>
        </w:rPr>
        <w:t xml:space="preserve"> </w:t>
      </w:r>
      <w:r>
        <w:rPr>
          <w:w w:val="105"/>
        </w:rPr>
        <w:t>y</w:t>
      </w:r>
      <w:r>
        <w:rPr>
          <w:spacing w:val="-3"/>
          <w:w w:val="105"/>
        </w:rPr>
        <w:t xml:space="preserve"> </w:t>
      </w:r>
      <w:r>
        <w:rPr>
          <w:w w:val="105"/>
        </w:rPr>
        <w:t>la denegación que es el resultado de barreras físicas u otras barreras preexistentes.</w:t>
      </w:r>
    </w:p>
    <w:p w14:paraId="4B97F813" w14:textId="77777777" w:rsidR="0014798C" w:rsidRDefault="004E1F0B">
      <w:pPr>
        <w:pStyle w:val="Textoindependiente"/>
        <w:spacing w:before="166" w:line="326" w:lineRule="auto"/>
        <w:ind w:left="1105" w:right="1301" w:firstLine="2"/>
      </w:pPr>
      <w:r>
        <w:rPr>
          <w:w w:val="105"/>
        </w:rPr>
        <w:t>En ambos aspectos, la posición del Comité sobre los Derechos de las Personas con Discapacidad refleja el hecho de que los Estados</w:t>
      </w:r>
      <w:r>
        <w:rPr>
          <w:spacing w:val="-1"/>
          <w:w w:val="105"/>
        </w:rPr>
        <w:t xml:space="preserve"> </w:t>
      </w:r>
      <w:r>
        <w:rPr>
          <w:w w:val="105"/>
        </w:rPr>
        <w:t>tienen</w:t>
      </w:r>
      <w:r>
        <w:rPr>
          <w:spacing w:val="-1"/>
          <w:w w:val="105"/>
        </w:rPr>
        <w:t xml:space="preserve"> </w:t>
      </w:r>
      <w:r>
        <w:rPr>
          <w:w w:val="105"/>
        </w:rPr>
        <w:t>la obligación de garantizar</w:t>
      </w:r>
      <w:r>
        <w:rPr>
          <w:spacing w:val="-1"/>
          <w:w w:val="105"/>
        </w:rPr>
        <w:t xml:space="preserve"> </w:t>
      </w:r>
      <w:r>
        <w:rPr>
          <w:w w:val="105"/>
        </w:rPr>
        <w:t>la no discriminación en el disfrute</w:t>
      </w:r>
      <w:r>
        <w:rPr>
          <w:spacing w:val="-1"/>
          <w:w w:val="105"/>
        </w:rPr>
        <w:t xml:space="preserve"> </w:t>
      </w:r>
      <w:r>
        <w:rPr>
          <w:w w:val="105"/>
        </w:rPr>
        <w:t>de todos</w:t>
      </w:r>
      <w:r>
        <w:rPr>
          <w:spacing w:val="-1"/>
          <w:w w:val="105"/>
        </w:rPr>
        <w:t xml:space="preserve"> </w:t>
      </w:r>
      <w:r>
        <w:rPr>
          <w:w w:val="105"/>
        </w:rPr>
        <w:t>los demás</w:t>
      </w:r>
      <w:r>
        <w:rPr>
          <w:spacing w:val="-1"/>
          <w:w w:val="105"/>
        </w:rPr>
        <w:t xml:space="preserve"> </w:t>
      </w:r>
      <w:r>
        <w:rPr>
          <w:w w:val="105"/>
        </w:rPr>
        <w:t>derechos</w:t>
      </w:r>
      <w:r>
        <w:rPr>
          <w:spacing w:val="-1"/>
          <w:w w:val="105"/>
        </w:rPr>
        <w:t xml:space="preserve"> </w:t>
      </w:r>
      <w:r>
        <w:rPr>
          <w:w w:val="105"/>
        </w:rPr>
        <w:t>humanos</w:t>
      </w:r>
      <w:r>
        <w:rPr>
          <w:spacing w:val="-1"/>
          <w:w w:val="105"/>
        </w:rPr>
        <w:t xml:space="preserve"> </w:t>
      </w:r>
      <w:r>
        <w:rPr>
          <w:w w:val="105"/>
        </w:rPr>
        <w:t>y en todos los ámbitos de la vida regulados por la ley, y que esta obligación a su vez implica derechos de acceso. Así, por ejemplo,</w:t>
      </w:r>
      <w:r>
        <w:rPr>
          <w:spacing w:val="-2"/>
          <w:w w:val="105"/>
        </w:rPr>
        <w:t xml:space="preserve"> </w:t>
      </w:r>
      <w:r>
        <w:rPr>
          <w:w w:val="105"/>
        </w:rPr>
        <w:t>en</w:t>
      </w:r>
      <w:r>
        <w:rPr>
          <w:spacing w:val="-2"/>
          <w:w w:val="105"/>
        </w:rPr>
        <w:t xml:space="preserve"> </w:t>
      </w:r>
      <w:r>
        <w:rPr>
          <w:w w:val="105"/>
        </w:rPr>
        <w:t>su</w:t>
      </w:r>
      <w:r>
        <w:rPr>
          <w:spacing w:val="-2"/>
          <w:w w:val="105"/>
        </w:rPr>
        <w:t xml:space="preserve"> </w:t>
      </w:r>
      <w:r>
        <w:rPr>
          <w:w w:val="105"/>
        </w:rPr>
        <w:t>Observación</w:t>
      </w:r>
      <w:r>
        <w:rPr>
          <w:spacing w:val="-2"/>
          <w:w w:val="105"/>
        </w:rPr>
        <w:t xml:space="preserve"> </w:t>
      </w:r>
      <w:r>
        <w:rPr>
          <w:w w:val="105"/>
        </w:rPr>
        <w:t>general</w:t>
      </w:r>
      <w:r>
        <w:rPr>
          <w:spacing w:val="-2"/>
          <w:w w:val="105"/>
        </w:rPr>
        <w:t xml:space="preserve"> </w:t>
      </w:r>
      <w:proofErr w:type="spellStart"/>
      <w:r>
        <w:rPr>
          <w:w w:val="105"/>
        </w:rPr>
        <w:t>Nº</w:t>
      </w:r>
      <w:proofErr w:type="spellEnd"/>
      <w:r>
        <w:rPr>
          <w:spacing w:val="-2"/>
          <w:w w:val="105"/>
        </w:rPr>
        <w:t xml:space="preserve"> </w:t>
      </w:r>
      <w:r>
        <w:rPr>
          <w:w w:val="105"/>
        </w:rPr>
        <w:t>14</w:t>
      </w:r>
      <w:r>
        <w:rPr>
          <w:spacing w:val="-2"/>
          <w:w w:val="105"/>
        </w:rPr>
        <w:t xml:space="preserve"> </w:t>
      </w:r>
      <w:r>
        <w:rPr>
          <w:w w:val="105"/>
        </w:rPr>
        <w:t>(2000)</w:t>
      </w:r>
      <w:r>
        <w:rPr>
          <w:spacing w:val="-3"/>
          <w:w w:val="105"/>
        </w:rPr>
        <w:t xml:space="preserve"> </w:t>
      </w:r>
      <w:r>
        <w:rPr>
          <w:w w:val="105"/>
        </w:rPr>
        <w:t>sobre</w:t>
      </w:r>
      <w:r>
        <w:rPr>
          <w:spacing w:val="-2"/>
          <w:w w:val="105"/>
        </w:rPr>
        <w:t xml:space="preserve"> </w:t>
      </w:r>
      <w:r>
        <w:rPr>
          <w:w w:val="105"/>
        </w:rPr>
        <w:t>el</w:t>
      </w:r>
      <w:r>
        <w:rPr>
          <w:spacing w:val="-2"/>
          <w:w w:val="105"/>
        </w:rPr>
        <w:t xml:space="preserve"> </w:t>
      </w:r>
      <w:r>
        <w:rPr>
          <w:w w:val="105"/>
        </w:rPr>
        <w:t>derecho</w:t>
      </w:r>
      <w:r>
        <w:rPr>
          <w:spacing w:val="-2"/>
          <w:w w:val="105"/>
        </w:rPr>
        <w:t xml:space="preserve"> </w:t>
      </w:r>
      <w:r>
        <w:rPr>
          <w:w w:val="105"/>
        </w:rPr>
        <w:t>al</w:t>
      </w:r>
      <w:r>
        <w:rPr>
          <w:spacing w:val="-2"/>
          <w:w w:val="105"/>
        </w:rPr>
        <w:t xml:space="preserve"> </w:t>
      </w:r>
      <w:r>
        <w:rPr>
          <w:w w:val="105"/>
        </w:rPr>
        <w:t>más</w:t>
      </w:r>
      <w:r>
        <w:rPr>
          <w:spacing w:val="-2"/>
          <w:w w:val="105"/>
        </w:rPr>
        <w:t xml:space="preserve"> </w:t>
      </w:r>
      <w:r>
        <w:rPr>
          <w:w w:val="105"/>
        </w:rPr>
        <w:t>alto</w:t>
      </w:r>
      <w:r>
        <w:rPr>
          <w:spacing w:val="-3"/>
          <w:w w:val="105"/>
        </w:rPr>
        <w:t xml:space="preserve"> </w:t>
      </w:r>
      <w:r>
        <w:rPr>
          <w:w w:val="105"/>
        </w:rPr>
        <w:t>nivel</w:t>
      </w:r>
      <w:r>
        <w:rPr>
          <w:spacing w:val="-2"/>
          <w:w w:val="105"/>
        </w:rPr>
        <w:t xml:space="preserve"> </w:t>
      </w:r>
      <w:r>
        <w:rPr>
          <w:w w:val="105"/>
        </w:rPr>
        <w:t>posible</w:t>
      </w:r>
      <w:r>
        <w:rPr>
          <w:spacing w:val="-2"/>
          <w:w w:val="105"/>
        </w:rPr>
        <w:t xml:space="preserve"> </w:t>
      </w:r>
      <w:r>
        <w:rPr>
          <w:w w:val="105"/>
        </w:rPr>
        <w:t>de</w:t>
      </w:r>
      <w:r>
        <w:rPr>
          <w:spacing w:val="-2"/>
          <w:w w:val="105"/>
        </w:rPr>
        <w:t xml:space="preserve"> </w:t>
      </w:r>
      <w:r>
        <w:rPr>
          <w:w w:val="105"/>
        </w:rPr>
        <w:t>salud,</w:t>
      </w:r>
      <w:r>
        <w:rPr>
          <w:spacing w:val="-2"/>
          <w:w w:val="105"/>
        </w:rPr>
        <w:t xml:space="preserve"> </w:t>
      </w:r>
      <w:r>
        <w:rPr>
          <w:w w:val="105"/>
        </w:rPr>
        <w:t>el</w:t>
      </w:r>
      <w:r>
        <w:rPr>
          <w:spacing w:val="-2"/>
          <w:w w:val="105"/>
        </w:rPr>
        <w:t xml:space="preserve"> </w:t>
      </w:r>
      <w:r>
        <w:rPr>
          <w:w w:val="105"/>
        </w:rPr>
        <w:t>Comité</w:t>
      </w:r>
      <w:r>
        <w:rPr>
          <w:spacing w:val="-3"/>
          <w:w w:val="105"/>
        </w:rPr>
        <w:t xml:space="preserve"> </w:t>
      </w:r>
      <w:r>
        <w:rPr>
          <w:w w:val="105"/>
        </w:rPr>
        <w:t>de</w:t>
      </w:r>
      <w:r>
        <w:rPr>
          <w:spacing w:val="-2"/>
          <w:w w:val="105"/>
        </w:rPr>
        <w:t xml:space="preserve"> </w:t>
      </w:r>
      <w:r>
        <w:rPr>
          <w:w w:val="105"/>
        </w:rPr>
        <w:t xml:space="preserve">Derechos Económicos, Sociales y Culturales reconoció que el derecho a la salud contenía, entre sus " elementos esenciales", un derecho de accesibilidad: “las instalaciones, bienes y servicios de salud deben ser accesibles a todos sin discriminación, dentro de la jurisdicción del Estado parte”.539 El Comité afirma que la accesibilidad tiene cuatro dimensiones: no </w:t>
      </w:r>
      <w:r>
        <w:t xml:space="preserve">discriminación; accesibilidad física; accesibilidad económica (asequibilidad); y accesibilidad de la información.540 El Comité </w:t>
      </w:r>
      <w:r>
        <w:rPr>
          <w:w w:val="105"/>
        </w:rPr>
        <w:t>de Derechos Humanos ha señalado que los Estados tienen la obligación de garantizar la accesibilidad de los servicios de la administración</w:t>
      </w:r>
      <w:r>
        <w:rPr>
          <w:spacing w:val="-5"/>
          <w:w w:val="105"/>
        </w:rPr>
        <w:t xml:space="preserve"> </w:t>
      </w:r>
      <w:r>
        <w:rPr>
          <w:w w:val="105"/>
        </w:rPr>
        <w:t>pública;</w:t>
      </w:r>
      <w:r>
        <w:rPr>
          <w:spacing w:val="-5"/>
          <w:w w:val="105"/>
        </w:rPr>
        <w:t xml:space="preserve"> </w:t>
      </w:r>
      <w:r>
        <w:rPr>
          <w:w w:val="105"/>
        </w:rPr>
        <w:t>En</w:t>
      </w:r>
      <w:r>
        <w:rPr>
          <w:spacing w:val="-6"/>
          <w:w w:val="105"/>
        </w:rPr>
        <w:t xml:space="preserve"> </w:t>
      </w:r>
      <w:r>
        <w:rPr>
          <w:w w:val="105"/>
        </w:rPr>
        <w:t>sus</w:t>
      </w:r>
      <w:r>
        <w:rPr>
          <w:spacing w:val="-5"/>
          <w:w w:val="105"/>
        </w:rPr>
        <w:t xml:space="preserve"> </w:t>
      </w:r>
      <w:r>
        <w:rPr>
          <w:w w:val="105"/>
        </w:rPr>
        <w:t>observaciones</w:t>
      </w:r>
      <w:r>
        <w:rPr>
          <w:spacing w:val="-6"/>
          <w:w w:val="105"/>
        </w:rPr>
        <w:t xml:space="preserve"> </w:t>
      </w:r>
      <w:r>
        <w:rPr>
          <w:w w:val="105"/>
        </w:rPr>
        <w:t>finales</w:t>
      </w:r>
      <w:r>
        <w:rPr>
          <w:spacing w:val="-6"/>
          <w:w w:val="105"/>
        </w:rPr>
        <w:t xml:space="preserve"> </w:t>
      </w:r>
      <w:r>
        <w:rPr>
          <w:w w:val="105"/>
        </w:rPr>
        <w:t>sobre</w:t>
      </w:r>
      <w:r>
        <w:rPr>
          <w:spacing w:val="-5"/>
          <w:w w:val="105"/>
        </w:rPr>
        <w:t xml:space="preserve"> </w:t>
      </w:r>
      <w:r>
        <w:rPr>
          <w:w w:val="105"/>
        </w:rPr>
        <w:t>Israel,</w:t>
      </w:r>
      <w:r>
        <w:rPr>
          <w:spacing w:val="-5"/>
          <w:w w:val="105"/>
        </w:rPr>
        <w:t xml:space="preserve"> </w:t>
      </w:r>
      <w:r>
        <w:rPr>
          <w:w w:val="105"/>
        </w:rPr>
        <w:t>el</w:t>
      </w:r>
      <w:r>
        <w:rPr>
          <w:spacing w:val="-5"/>
          <w:w w:val="105"/>
        </w:rPr>
        <w:t xml:space="preserve"> </w:t>
      </w:r>
      <w:r>
        <w:rPr>
          <w:w w:val="105"/>
        </w:rPr>
        <w:t>Comité</w:t>
      </w:r>
      <w:r>
        <w:rPr>
          <w:spacing w:val="-6"/>
          <w:w w:val="105"/>
        </w:rPr>
        <w:t xml:space="preserve"> </w:t>
      </w:r>
      <w:r>
        <w:rPr>
          <w:w w:val="105"/>
        </w:rPr>
        <w:t>concluyó</w:t>
      </w:r>
      <w:r>
        <w:rPr>
          <w:spacing w:val="-5"/>
          <w:w w:val="105"/>
        </w:rPr>
        <w:t xml:space="preserve"> </w:t>
      </w:r>
      <w:r>
        <w:rPr>
          <w:w w:val="105"/>
        </w:rPr>
        <w:t>que</w:t>
      </w:r>
      <w:r>
        <w:rPr>
          <w:spacing w:val="-5"/>
          <w:w w:val="105"/>
        </w:rPr>
        <w:t xml:space="preserve"> </w:t>
      </w:r>
      <w:r>
        <w:rPr>
          <w:w w:val="105"/>
        </w:rPr>
        <w:t>el</w:t>
      </w:r>
      <w:r>
        <w:rPr>
          <w:spacing w:val="-5"/>
          <w:w w:val="105"/>
        </w:rPr>
        <w:t xml:space="preserve"> </w:t>
      </w:r>
      <w:r>
        <w:rPr>
          <w:w w:val="105"/>
        </w:rPr>
        <w:t>Estado</w:t>
      </w:r>
      <w:r>
        <w:rPr>
          <w:spacing w:val="-6"/>
          <w:w w:val="105"/>
        </w:rPr>
        <w:t xml:space="preserve"> </w:t>
      </w:r>
      <w:r>
        <w:rPr>
          <w:w w:val="105"/>
        </w:rPr>
        <w:t>debería</w:t>
      </w:r>
      <w:r>
        <w:rPr>
          <w:spacing w:val="-6"/>
          <w:w w:val="105"/>
        </w:rPr>
        <w:t xml:space="preserve"> </w:t>
      </w:r>
      <w:r>
        <w:rPr>
          <w:w w:val="105"/>
        </w:rPr>
        <w:t>“hacer</w:t>
      </w:r>
      <w:r>
        <w:rPr>
          <w:spacing w:val="-5"/>
          <w:w w:val="105"/>
        </w:rPr>
        <w:t xml:space="preserve"> </w:t>
      </w:r>
      <w:r>
        <w:rPr>
          <w:w w:val="105"/>
        </w:rPr>
        <w:t>que</w:t>
      </w:r>
      <w:r>
        <w:rPr>
          <w:spacing w:val="-5"/>
          <w:w w:val="105"/>
        </w:rPr>
        <w:t xml:space="preserve"> </w:t>
      </w:r>
      <w:r>
        <w:rPr>
          <w:w w:val="105"/>
        </w:rPr>
        <w:t>sus servicios de administración pública sean plenamente accesibles a todas las minorías lingüísticas y garantizar que se proporcione plena accesibilidad en todos los idiomas oficiales, incluido el árabe”.541 De manera similar, El Comité para la Eliminación de la Discriminación contra la Mujer ha señalado que “para cumplir con el criterio de no discriminación, la educación debe ser accesible, tanto en la ley como en la práctica, para todas las niñas y mujeres”.542</w:t>
      </w:r>
    </w:p>
    <w:p w14:paraId="2014CF3D" w14:textId="77777777" w:rsidR="0014798C" w:rsidRDefault="004E1F0B">
      <w:pPr>
        <w:pStyle w:val="Textoindependiente"/>
        <w:spacing w:before="164" w:line="326" w:lineRule="auto"/>
        <w:ind w:left="1107" w:right="1272" w:hanging="1"/>
      </w:pPr>
      <w:r>
        <w:rPr>
          <w:w w:val="105"/>
        </w:rPr>
        <w:t>Así, si bien la Convención sobre los Derechos de las Personas con Discapacidad es el único instrumento de derechos humanos de las Naciones Unidas que articula explícitamente un deber de accesibilidad, está claro que las obligaciones de garantizar</w:t>
      </w:r>
      <w:r>
        <w:rPr>
          <w:spacing w:val="-3"/>
          <w:w w:val="105"/>
        </w:rPr>
        <w:t xml:space="preserve"> </w:t>
      </w:r>
      <w:r>
        <w:rPr>
          <w:w w:val="105"/>
        </w:rPr>
        <w:t>un</w:t>
      </w:r>
      <w:r>
        <w:rPr>
          <w:spacing w:val="-2"/>
          <w:w w:val="105"/>
        </w:rPr>
        <w:t xml:space="preserve"> </w:t>
      </w:r>
      <w:r>
        <w:rPr>
          <w:w w:val="105"/>
        </w:rPr>
        <w:t>acceso</w:t>
      </w:r>
      <w:r>
        <w:rPr>
          <w:spacing w:val="-2"/>
          <w:w w:val="105"/>
        </w:rPr>
        <w:t xml:space="preserve"> </w:t>
      </w:r>
      <w:r>
        <w:rPr>
          <w:w w:val="105"/>
        </w:rPr>
        <w:t>igualitario</w:t>
      </w:r>
      <w:r>
        <w:rPr>
          <w:spacing w:val="-3"/>
          <w:w w:val="105"/>
        </w:rPr>
        <w:t xml:space="preserve"> </w:t>
      </w:r>
      <w:r>
        <w:rPr>
          <w:w w:val="105"/>
        </w:rPr>
        <w:t>y</w:t>
      </w:r>
      <w:r>
        <w:rPr>
          <w:spacing w:val="-2"/>
          <w:w w:val="105"/>
        </w:rPr>
        <w:t xml:space="preserve"> </w:t>
      </w:r>
      <w:r>
        <w:rPr>
          <w:w w:val="105"/>
        </w:rPr>
        <w:t>no</w:t>
      </w:r>
      <w:r>
        <w:rPr>
          <w:spacing w:val="-2"/>
          <w:w w:val="105"/>
        </w:rPr>
        <w:t xml:space="preserve"> </w:t>
      </w:r>
      <w:r>
        <w:rPr>
          <w:w w:val="105"/>
        </w:rPr>
        <w:t>discriminatorio</w:t>
      </w:r>
      <w:r>
        <w:rPr>
          <w:spacing w:val="-2"/>
          <w:w w:val="105"/>
        </w:rPr>
        <w:t xml:space="preserve"> </w:t>
      </w:r>
      <w:r>
        <w:rPr>
          <w:w w:val="105"/>
        </w:rPr>
        <w:t>a</w:t>
      </w:r>
      <w:r>
        <w:rPr>
          <w:spacing w:val="-2"/>
          <w:w w:val="105"/>
        </w:rPr>
        <w:t xml:space="preserve"> </w:t>
      </w:r>
      <w:r>
        <w:rPr>
          <w:w w:val="105"/>
        </w:rPr>
        <w:t>los</w:t>
      </w:r>
      <w:r>
        <w:rPr>
          <w:spacing w:val="-2"/>
          <w:w w:val="105"/>
        </w:rPr>
        <w:t xml:space="preserve"> </w:t>
      </w:r>
      <w:r>
        <w:rPr>
          <w:w w:val="105"/>
        </w:rPr>
        <w:t>derechos</w:t>
      </w:r>
      <w:r>
        <w:rPr>
          <w:spacing w:val="-3"/>
          <w:w w:val="105"/>
        </w:rPr>
        <w:t xml:space="preserve"> </w:t>
      </w:r>
      <w:r>
        <w:rPr>
          <w:w w:val="105"/>
        </w:rPr>
        <w:t>humanos</w:t>
      </w:r>
      <w:r>
        <w:rPr>
          <w:spacing w:val="-3"/>
          <w:w w:val="105"/>
        </w:rPr>
        <w:t xml:space="preserve"> </w:t>
      </w:r>
      <w:r>
        <w:rPr>
          <w:w w:val="105"/>
        </w:rPr>
        <w:t>y</w:t>
      </w:r>
      <w:r>
        <w:rPr>
          <w:spacing w:val="-2"/>
          <w:w w:val="105"/>
        </w:rPr>
        <w:t xml:space="preserve"> </w:t>
      </w:r>
      <w:r>
        <w:rPr>
          <w:w w:val="105"/>
        </w:rPr>
        <w:t>a</w:t>
      </w:r>
      <w:r>
        <w:rPr>
          <w:spacing w:val="-2"/>
          <w:w w:val="105"/>
        </w:rPr>
        <w:t xml:space="preserve"> </w:t>
      </w:r>
      <w:r>
        <w:rPr>
          <w:w w:val="105"/>
        </w:rPr>
        <w:t>los</w:t>
      </w:r>
      <w:r>
        <w:rPr>
          <w:spacing w:val="-2"/>
          <w:w w:val="105"/>
        </w:rPr>
        <w:t xml:space="preserve"> </w:t>
      </w:r>
      <w:r>
        <w:rPr>
          <w:w w:val="105"/>
        </w:rPr>
        <w:t>bienes</w:t>
      </w:r>
      <w:r>
        <w:rPr>
          <w:spacing w:val="-3"/>
          <w:w w:val="105"/>
        </w:rPr>
        <w:t xml:space="preserve"> </w:t>
      </w:r>
      <w:r>
        <w:rPr>
          <w:w w:val="105"/>
        </w:rPr>
        <w:t>y</w:t>
      </w:r>
      <w:r>
        <w:rPr>
          <w:spacing w:val="-2"/>
          <w:w w:val="105"/>
        </w:rPr>
        <w:t xml:space="preserve"> </w:t>
      </w:r>
      <w:r>
        <w:rPr>
          <w:w w:val="105"/>
        </w:rPr>
        <w:t>servicios</w:t>
      </w:r>
      <w:r>
        <w:rPr>
          <w:spacing w:val="-3"/>
          <w:w w:val="105"/>
        </w:rPr>
        <w:t xml:space="preserve"> </w:t>
      </w:r>
      <w:r>
        <w:rPr>
          <w:w w:val="105"/>
        </w:rPr>
        <w:t>disponibles</w:t>
      </w:r>
      <w:r>
        <w:rPr>
          <w:spacing w:val="-3"/>
          <w:w w:val="105"/>
        </w:rPr>
        <w:t xml:space="preserve"> </w:t>
      </w:r>
      <w:r>
        <w:rPr>
          <w:w w:val="105"/>
        </w:rPr>
        <w:t>al</w:t>
      </w:r>
      <w:r>
        <w:rPr>
          <w:spacing w:val="-2"/>
          <w:w w:val="105"/>
        </w:rPr>
        <w:t xml:space="preserve"> </w:t>
      </w:r>
      <w:r>
        <w:rPr>
          <w:w w:val="105"/>
        </w:rPr>
        <w:t>público está implícita en todo el marco del derecho internacional de los derechos humanos. Para cumplir con sus obligaciones de</w:t>
      </w:r>
    </w:p>
    <w:p w14:paraId="595F24EF" w14:textId="77777777" w:rsidR="0014798C" w:rsidRDefault="004E1F0B">
      <w:pPr>
        <w:pStyle w:val="Textoindependiente"/>
        <w:spacing w:line="182" w:lineRule="exact"/>
        <w:ind w:left="1111"/>
      </w:pPr>
      <w:r>
        <w:rPr>
          <w:w w:val="105"/>
        </w:rPr>
        <w:t>garantizar</w:t>
      </w:r>
      <w:r>
        <w:rPr>
          <w:spacing w:val="-7"/>
          <w:w w:val="105"/>
        </w:rPr>
        <w:t xml:space="preserve"> </w:t>
      </w:r>
      <w:r>
        <w:rPr>
          <w:w w:val="105"/>
        </w:rPr>
        <w:t>la</w:t>
      </w:r>
      <w:r>
        <w:rPr>
          <w:spacing w:val="-6"/>
          <w:w w:val="105"/>
        </w:rPr>
        <w:t xml:space="preserve"> </w:t>
      </w:r>
      <w:r>
        <w:rPr>
          <w:w w:val="105"/>
        </w:rPr>
        <w:t>no</w:t>
      </w:r>
      <w:r>
        <w:rPr>
          <w:spacing w:val="-6"/>
          <w:w w:val="105"/>
        </w:rPr>
        <w:t xml:space="preserve"> </w:t>
      </w:r>
      <w:r>
        <w:rPr>
          <w:w w:val="105"/>
        </w:rPr>
        <w:t>discriminación</w:t>
      </w:r>
      <w:r>
        <w:rPr>
          <w:spacing w:val="-6"/>
          <w:w w:val="105"/>
        </w:rPr>
        <w:t xml:space="preserve"> </w:t>
      </w:r>
      <w:r>
        <w:rPr>
          <w:w w:val="105"/>
        </w:rPr>
        <w:t>en</w:t>
      </w:r>
      <w:r>
        <w:rPr>
          <w:spacing w:val="-6"/>
          <w:w w:val="105"/>
        </w:rPr>
        <w:t xml:space="preserve"> </w:t>
      </w:r>
      <w:r>
        <w:rPr>
          <w:w w:val="105"/>
        </w:rPr>
        <w:t>el</w:t>
      </w:r>
      <w:r>
        <w:rPr>
          <w:spacing w:val="-5"/>
          <w:w w:val="105"/>
        </w:rPr>
        <w:t xml:space="preserve"> </w:t>
      </w:r>
      <w:r>
        <w:rPr>
          <w:w w:val="105"/>
        </w:rPr>
        <w:t>disfrute</w:t>
      </w:r>
      <w:r>
        <w:rPr>
          <w:spacing w:val="-7"/>
          <w:w w:val="105"/>
        </w:rPr>
        <w:t xml:space="preserve"> </w:t>
      </w:r>
      <w:r>
        <w:rPr>
          <w:w w:val="105"/>
        </w:rPr>
        <w:t>de</w:t>
      </w:r>
      <w:r>
        <w:rPr>
          <w:spacing w:val="-6"/>
          <w:w w:val="105"/>
        </w:rPr>
        <w:t xml:space="preserve"> </w:t>
      </w:r>
      <w:r>
        <w:rPr>
          <w:w w:val="105"/>
        </w:rPr>
        <w:t>los</w:t>
      </w:r>
      <w:r>
        <w:rPr>
          <w:spacing w:val="-6"/>
          <w:w w:val="105"/>
        </w:rPr>
        <w:t xml:space="preserve"> </w:t>
      </w:r>
      <w:r>
        <w:rPr>
          <w:w w:val="105"/>
        </w:rPr>
        <w:t>derechos</w:t>
      </w:r>
      <w:r>
        <w:rPr>
          <w:spacing w:val="-6"/>
          <w:w w:val="105"/>
        </w:rPr>
        <w:t xml:space="preserve"> </w:t>
      </w:r>
      <w:r>
        <w:rPr>
          <w:w w:val="105"/>
        </w:rPr>
        <w:t>y</w:t>
      </w:r>
      <w:r>
        <w:rPr>
          <w:spacing w:val="-6"/>
          <w:w w:val="105"/>
        </w:rPr>
        <w:t xml:space="preserve"> </w:t>
      </w:r>
      <w:r>
        <w:rPr>
          <w:w w:val="105"/>
        </w:rPr>
        <w:t>el</w:t>
      </w:r>
      <w:r>
        <w:rPr>
          <w:spacing w:val="-6"/>
          <w:w w:val="105"/>
        </w:rPr>
        <w:t xml:space="preserve"> </w:t>
      </w:r>
      <w:r>
        <w:rPr>
          <w:w w:val="105"/>
        </w:rPr>
        <w:t>acceso</w:t>
      </w:r>
      <w:r>
        <w:rPr>
          <w:spacing w:val="-6"/>
          <w:w w:val="105"/>
        </w:rPr>
        <w:t xml:space="preserve"> </w:t>
      </w:r>
      <w:r>
        <w:rPr>
          <w:w w:val="105"/>
        </w:rPr>
        <w:t>a</w:t>
      </w:r>
      <w:r>
        <w:rPr>
          <w:spacing w:val="-6"/>
          <w:w w:val="105"/>
        </w:rPr>
        <w:t xml:space="preserve"> </w:t>
      </w:r>
      <w:r>
        <w:rPr>
          <w:w w:val="105"/>
        </w:rPr>
        <w:t>bienes</w:t>
      </w:r>
      <w:r>
        <w:rPr>
          <w:spacing w:val="-6"/>
          <w:w w:val="105"/>
        </w:rPr>
        <w:t xml:space="preserve"> </w:t>
      </w:r>
      <w:r>
        <w:rPr>
          <w:w w:val="105"/>
        </w:rPr>
        <w:t>y</w:t>
      </w:r>
      <w:r>
        <w:rPr>
          <w:spacing w:val="-6"/>
          <w:w w:val="105"/>
        </w:rPr>
        <w:t xml:space="preserve"> </w:t>
      </w:r>
      <w:r>
        <w:rPr>
          <w:w w:val="105"/>
        </w:rPr>
        <w:t>servicios,</w:t>
      </w:r>
      <w:r>
        <w:rPr>
          <w:spacing w:val="-5"/>
          <w:w w:val="105"/>
        </w:rPr>
        <w:t xml:space="preserve"> </w:t>
      </w:r>
      <w:r>
        <w:rPr>
          <w:w w:val="105"/>
        </w:rPr>
        <w:t>los</w:t>
      </w:r>
      <w:r>
        <w:rPr>
          <w:spacing w:val="-6"/>
          <w:w w:val="105"/>
        </w:rPr>
        <w:t xml:space="preserve"> </w:t>
      </w:r>
      <w:r>
        <w:rPr>
          <w:w w:val="105"/>
        </w:rPr>
        <w:t>Estados</w:t>
      </w:r>
      <w:r>
        <w:rPr>
          <w:spacing w:val="-7"/>
          <w:w w:val="105"/>
        </w:rPr>
        <w:t xml:space="preserve"> </w:t>
      </w:r>
      <w:r>
        <w:rPr>
          <w:w w:val="105"/>
        </w:rPr>
        <w:t>deben</w:t>
      </w:r>
      <w:r>
        <w:rPr>
          <w:spacing w:val="-6"/>
          <w:w w:val="105"/>
        </w:rPr>
        <w:t xml:space="preserve"> </w:t>
      </w:r>
      <w:r>
        <w:rPr>
          <w:w w:val="105"/>
        </w:rPr>
        <w:t>modificar</w:t>
      </w:r>
      <w:r>
        <w:rPr>
          <w:spacing w:val="-6"/>
          <w:w w:val="105"/>
        </w:rPr>
        <w:t xml:space="preserve"> </w:t>
      </w:r>
      <w:r>
        <w:rPr>
          <w:w w:val="105"/>
        </w:rPr>
        <w:t>o</w:t>
      </w:r>
      <w:r>
        <w:rPr>
          <w:spacing w:val="-6"/>
          <w:w w:val="105"/>
        </w:rPr>
        <w:t xml:space="preserve"> </w:t>
      </w:r>
      <w:r>
        <w:rPr>
          <w:spacing w:val="-2"/>
          <w:w w:val="105"/>
        </w:rPr>
        <w:t>modificar</w:t>
      </w:r>
    </w:p>
    <w:p w14:paraId="3218D37F" w14:textId="77777777" w:rsidR="0014798C" w:rsidRDefault="0014798C">
      <w:pPr>
        <w:pStyle w:val="Textoindependiente"/>
        <w:rPr>
          <w:sz w:val="20"/>
        </w:rPr>
      </w:pPr>
    </w:p>
    <w:p w14:paraId="7D766D79" w14:textId="77777777" w:rsidR="0014798C" w:rsidRDefault="0014798C">
      <w:pPr>
        <w:pStyle w:val="Textoindependiente"/>
        <w:spacing w:before="151"/>
        <w:rPr>
          <w:sz w:val="20"/>
        </w:rPr>
      </w:pPr>
    </w:p>
    <w:p w14:paraId="4352BFF4" w14:textId="77777777" w:rsidR="0014798C" w:rsidRDefault="0014798C">
      <w:pPr>
        <w:rPr>
          <w:sz w:val="20"/>
        </w:rPr>
        <w:sectPr w:rsidR="0014798C" w:rsidSect="00F265E4">
          <w:pgSz w:w="11900" w:h="16820"/>
          <w:pgMar w:top="340" w:right="0" w:bottom="280" w:left="200" w:header="121" w:footer="0" w:gutter="0"/>
          <w:cols w:space="720"/>
        </w:sectPr>
      </w:pPr>
    </w:p>
    <w:p w14:paraId="589ADD5D" w14:textId="77777777" w:rsidR="0014798C" w:rsidRDefault="0014798C">
      <w:pPr>
        <w:pStyle w:val="Textoindependiente"/>
        <w:spacing w:before="10"/>
        <w:rPr>
          <w:sz w:val="8"/>
        </w:rPr>
      </w:pPr>
    </w:p>
    <w:p w14:paraId="482B1DF0" w14:textId="77777777" w:rsidR="0014798C" w:rsidRDefault="004E1F0B">
      <w:pPr>
        <w:jc w:val="right"/>
        <w:rPr>
          <w:sz w:val="8"/>
        </w:rPr>
      </w:pPr>
      <w:r>
        <w:rPr>
          <w:spacing w:val="-5"/>
          <w:w w:val="105"/>
          <w:sz w:val="8"/>
        </w:rPr>
        <w:t>536</w:t>
      </w:r>
    </w:p>
    <w:p w14:paraId="39286245" w14:textId="77777777" w:rsidR="0014798C" w:rsidRDefault="004E1F0B">
      <w:pPr>
        <w:spacing w:before="15"/>
        <w:rPr>
          <w:sz w:val="12"/>
        </w:rPr>
      </w:pPr>
      <w:r>
        <w:br w:type="column"/>
      </w:r>
    </w:p>
    <w:p w14:paraId="5D4EC1FD" w14:textId="77777777" w:rsidR="0014798C" w:rsidRDefault="004E1F0B">
      <w:pPr>
        <w:spacing w:line="312" w:lineRule="auto"/>
        <w:ind w:left="77" w:right="1378" w:firstLine="4"/>
        <w:rPr>
          <w:sz w:val="12"/>
        </w:rPr>
      </w:pPr>
      <w:r>
        <w:rPr>
          <w:sz w:val="12"/>
        </w:rPr>
        <w:t>Véase,</w:t>
      </w:r>
      <w:r>
        <w:rPr>
          <w:spacing w:val="-6"/>
          <w:sz w:val="12"/>
        </w:rPr>
        <w:t xml:space="preserve"> </w:t>
      </w:r>
      <w:r>
        <w:rPr>
          <w:sz w:val="12"/>
        </w:rPr>
        <w:t>por</w:t>
      </w:r>
      <w:r>
        <w:rPr>
          <w:spacing w:val="-4"/>
          <w:sz w:val="12"/>
        </w:rPr>
        <w:t xml:space="preserve"> </w:t>
      </w:r>
      <w:r>
        <w:rPr>
          <w:sz w:val="12"/>
        </w:rPr>
        <w:t>ejemplo,</w:t>
      </w:r>
      <w:r>
        <w:rPr>
          <w:spacing w:val="-4"/>
          <w:sz w:val="12"/>
        </w:rPr>
        <w:t xml:space="preserve"> </w:t>
      </w:r>
      <w:r>
        <w:rPr>
          <w:sz w:val="12"/>
        </w:rPr>
        <w:t>CCPR/C/GIN/CO/3,</w:t>
      </w:r>
      <w:r>
        <w:rPr>
          <w:spacing w:val="-4"/>
          <w:sz w:val="12"/>
        </w:rPr>
        <w:t xml:space="preserve"> </w:t>
      </w:r>
      <w:r>
        <w:rPr>
          <w:sz w:val="12"/>
        </w:rPr>
        <w:t>párr.</w:t>
      </w:r>
      <w:r>
        <w:rPr>
          <w:spacing w:val="-4"/>
          <w:sz w:val="12"/>
        </w:rPr>
        <w:t xml:space="preserve"> </w:t>
      </w:r>
      <w:r>
        <w:rPr>
          <w:sz w:val="12"/>
        </w:rPr>
        <w:t>18;</w:t>
      </w:r>
      <w:r>
        <w:rPr>
          <w:spacing w:val="-4"/>
          <w:sz w:val="12"/>
        </w:rPr>
        <w:t xml:space="preserve"> </w:t>
      </w:r>
      <w:r>
        <w:rPr>
          <w:sz w:val="12"/>
        </w:rPr>
        <w:t>E/C.12/DNK/CO/6,</w:t>
      </w:r>
      <w:r>
        <w:rPr>
          <w:spacing w:val="-4"/>
          <w:sz w:val="12"/>
        </w:rPr>
        <w:t xml:space="preserve"> </w:t>
      </w:r>
      <w:r>
        <w:rPr>
          <w:sz w:val="12"/>
        </w:rPr>
        <w:t>párr.</w:t>
      </w:r>
      <w:r>
        <w:rPr>
          <w:spacing w:val="-4"/>
          <w:sz w:val="12"/>
        </w:rPr>
        <w:t xml:space="preserve"> </w:t>
      </w:r>
      <w:r w:rsidRPr="00537489">
        <w:rPr>
          <w:sz w:val="12"/>
          <w:lang w:val="en-US"/>
        </w:rPr>
        <w:t>22</w:t>
      </w:r>
      <w:r>
        <w:rPr>
          <w:sz w:val="12"/>
        </w:rPr>
        <w:t>;</w:t>
      </w:r>
      <w:r w:rsidRPr="00537489">
        <w:rPr>
          <w:spacing w:val="-4"/>
          <w:sz w:val="12"/>
          <w:lang w:val="en-US"/>
        </w:rPr>
        <w:t xml:space="preserve"> </w:t>
      </w:r>
      <w:r w:rsidRPr="00537489">
        <w:rPr>
          <w:sz w:val="12"/>
          <w:lang w:val="en-US"/>
        </w:rPr>
        <w:t>CEDAW/C/SUR/CO/4-6,</w:t>
      </w:r>
      <w:r w:rsidRPr="00537489">
        <w:rPr>
          <w:spacing w:val="-4"/>
          <w:sz w:val="12"/>
          <w:lang w:val="en-US"/>
        </w:rPr>
        <w:t xml:space="preserve"> </w:t>
      </w:r>
      <w:proofErr w:type="spellStart"/>
      <w:r w:rsidRPr="00537489">
        <w:rPr>
          <w:sz w:val="12"/>
          <w:lang w:val="en-US"/>
        </w:rPr>
        <w:t>párr</w:t>
      </w:r>
      <w:proofErr w:type="spellEnd"/>
      <w:r w:rsidRPr="00537489">
        <w:rPr>
          <w:sz w:val="12"/>
          <w:lang w:val="en-US"/>
        </w:rPr>
        <w:t>.</w:t>
      </w:r>
      <w:r w:rsidRPr="00537489">
        <w:rPr>
          <w:spacing w:val="-4"/>
          <w:sz w:val="12"/>
          <w:lang w:val="en-US"/>
        </w:rPr>
        <w:t xml:space="preserve"> </w:t>
      </w:r>
      <w:r w:rsidRPr="00537489">
        <w:rPr>
          <w:sz w:val="12"/>
          <w:lang w:val="en-US"/>
        </w:rPr>
        <w:t>47</w:t>
      </w:r>
      <w:r>
        <w:rPr>
          <w:sz w:val="12"/>
        </w:rPr>
        <w:t>;</w:t>
      </w:r>
      <w:r w:rsidRPr="00537489">
        <w:rPr>
          <w:spacing w:val="-4"/>
          <w:sz w:val="12"/>
          <w:lang w:val="en-US"/>
        </w:rPr>
        <w:t xml:space="preserve"> </w:t>
      </w:r>
      <w:r w:rsidRPr="00537489">
        <w:rPr>
          <w:sz w:val="12"/>
          <w:lang w:val="en-US"/>
        </w:rPr>
        <w:t>CERD/C/CAN/CO/21-23,</w:t>
      </w:r>
      <w:r w:rsidRPr="00537489">
        <w:rPr>
          <w:spacing w:val="-4"/>
          <w:sz w:val="12"/>
          <w:lang w:val="en-US"/>
        </w:rPr>
        <w:t xml:space="preserve"> </w:t>
      </w:r>
      <w:proofErr w:type="spellStart"/>
      <w:r w:rsidRPr="00537489">
        <w:rPr>
          <w:sz w:val="12"/>
          <w:lang w:val="en-US"/>
        </w:rPr>
        <w:t>párr</w:t>
      </w:r>
      <w:proofErr w:type="spellEnd"/>
      <w:r w:rsidRPr="00537489">
        <w:rPr>
          <w:sz w:val="12"/>
          <w:lang w:val="en-US"/>
        </w:rPr>
        <w:t>.</w:t>
      </w:r>
      <w:r w:rsidRPr="00537489">
        <w:rPr>
          <w:spacing w:val="-4"/>
          <w:sz w:val="12"/>
          <w:lang w:val="en-US"/>
        </w:rPr>
        <w:t xml:space="preserve"> </w:t>
      </w:r>
      <w:r>
        <w:rPr>
          <w:sz w:val="12"/>
        </w:rPr>
        <w:t>26;</w:t>
      </w:r>
      <w:r>
        <w:rPr>
          <w:spacing w:val="-4"/>
          <w:sz w:val="12"/>
        </w:rPr>
        <w:t xml:space="preserve"> </w:t>
      </w:r>
      <w:r>
        <w:rPr>
          <w:sz w:val="12"/>
        </w:rPr>
        <w:t>y</w:t>
      </w:r>
      <w:r>
        <w:rPr>
          <w:spacing w:val="-4"/>
          <w:sz w:val="12"/>
        </w:rPr>
        <w:t xml:space="preserve"> </w:t>
      </w:r>
      <w:r>
        <w:rPr>
          <w:sz w:val="12"/>
        </w:rPr>
        <w:t>CRC/C/TUV/</w:t>
      </w:r>
      <w:r>
        <w:rPr>
          <w:spacing w:val="40"/>
          <w:sz w:val="12"/>
        </w:rPr>
        <w:t xml:space="preserve"> </w:t>
      </w:r>
      <w:r>
        <w:rPr>
          <w:sz w:val="12"/>
        </w:rPr>
        <w:t>CO/2-5, párr. 38 (e).</w:t>
      </w:r>
    </w:p>
    <w:p w14:paraId="3174E758" w14:textId="77777777" w:rsidR="0014798C" w:rsidRDefault="0014798C">
      <w:pPr>
        <w:spacing w:line="312" w:lineRule="auto"/>
        <w:rPr>
          <w:sz w:val="12"/>
        </w:rPr>
        <w:sectPr w:rsidR="0014798C" w:rsidSect="00F265E4">
          <w:type w:val="continuous"/>
          <w:pgSz w:w="11900" w:h="16820"/>
          <w:pgMar w:top="40" w:right="0" w:bottom="280" w:left="200" w:header="121" w:footer="0" w:gutter="0"/>
          <w:cols w:num="2" w:space="720" w:equalWidth="0">
            <w:col w:w="1249" w:space="40"/>
            <w:col w:w="10411"/>
          </w:cols>
        </w:sectPr>
      </w:pPr>
    </w:p>
    <w:p w14:paraId="6CDBEC0A" w14:textId="77777777" w:rsidR="0014798C" w:rsidRDefault="004E1F0B">
      <w:pPr>
        <w:spacing w:before="52"/>
        <w:ind w:left="1107"/>
        <w:rPr>
          <w:sz w:val="12"/>
        </w:rPr>
      </w:pPr>
      <w:r>
        <w:rPr>
          <w:sz w:val="12"/>
        </w:rPr>
        <w:t>537</w:t>
      </w:r>
      <w:r>
        <w:rPr>
          <w:spacing w:val="2"/>
          <w:sz w:val="12"/>
        </w:rPr>
        <w:t xml:space="preserve"> </w:t>
      </w:r>
      <w:r>
        <w:rPr>
          <w:sz w:val="12"/>
        </w:rPr>
        <w:t>Directiva</w:t>
      </w:r>
      <w:r>
        <w:rPr>
          <w:spacing w:val="2"/>
          <w:sz w:val="12"/>
        </w:rPr>
        <w:t xml:space="preserve"> </w:t>
      </w:r>
      <w:r>
        <w:rPr>
          <w:sz w:val="12"/>
        </w:rPr>
        <w:t>(UE)</w:t>
      </w:r>
      <w:r>
        <w:rPr>
          <w:spacing w:val="3"/>
          <w:sz w:val="12"/>
        </w:rPr>
        <w:t xml:space="preserve"> </w:t>
      </w:r>
      <w:r>
        <w:rPr>
          <w:sz w:val="12"/>
        </w:rPr>
        <w:t>2019/882</w:t>
      </w:r>
      <w:r>
        <w:rPr>
          <w:spacing w:val="2"/>
          <w:sz w:val="12"/>
        </w:rPr>
        <w:t xml:space="preserve"> </w:t>
      </w:r>
      <w:r>
        <w:rPr>
          <w:sz w:val="12"/>
        </w:rPr>
        <w:t>del</w:t>
      </w:r>
      <w:r>
        <w:rPr>
          <w:spacing w:val="3"/>
          <w:sz w:val="12"/>
        </w:rPr>
        <w:t xml:space="preserve"> </w:t>
      </w:r>
      <w:r>
        <w:rPr>
          <w:sz w:val="12"/>
        </w:rPr>
        <w:t>Parlamento</w:t>
      </w:r>
      <w:r>
        <w:rPr>
          <w:spacing w:val="2"/>
          <w:sz w:val="12"/>
        </w:rPr>
        <w:t xml:space="preserve"> </w:t>
      </w:r>
      <w:r>
        <w:rPr>
          <w:sz w:val="12"/>
        </w:rPr>
        <w:t>Europeo</w:t>
      </w:r>
      <w:r>
        <w:rPr>
          <w:spacing w:val="3"/>
          <w:sz w:val="12"/>
        </w:rPr>
        <w:t xml:space="preserve"> </w:t>
      </w:r>
      <w:r>
        <w:rPr>
          <w:sz w:val="12"/>
        </w:rPr>
        <w:t>y</w:t>
      </w:r>
      <w:r>
        <w:rPr>
          <w:spacing w:val="2"/>
          <w:sz w:val="12"/>
        </w:rPr>
        <w:t xml:space="preserve"> </w:t>
      </w:r>
      <w:r>
        <w:rPr>
          <w:sz w:val="12"/>
        </w:rPr>
        <w:t>del</w:t>
      </w:r>
      <w:r>
        <w:rPr>
          <w:spacing w:val="3"/>
          <w:sz w:val="12"/>
        </w:rPr>
        <w:t xml:space="preserve"> </w:t>
      </w:r>
      <w:r>
        <w:rPr>
          <w:sz w:val="12"/>
        </w:rPr>
        <w:t>Consejo,</w:t>
      </w:r>
      <w:r>
        <w:rPr>
          <w:spacing w:val="3"/>
          <w:sz w:val="12"/>
        </w:rPr>
        <w:t xml:space="preserve"> </w:t>
      </w:r>
      <w:r>
        <w:rPr>
          <w:sz w:val="12"/>
        </w:rPr>
        <w:t>de</w:t>
      </w:r>
      <w:r>
        <w:rPr>
          <w:spacing w:val="2"/>
          <w:sz w:val="12"/>
        </w:rPr>
        <w:t xml:space="preserve"> </w:t>
      </w:r>
      <w:r>
        <w:rPr>
          <w:sz w:val="12"/>
        </w:rPr>
        <w:t>17</w:t>
      </w:r>
      <w:r>
        <w:rPr>
          <w:spacing w:val="3"/>
          <w:sz w:val="12"/>
        </w:rPr>
        <w:t xml:space="preserve"> </w:t>
      </w:r>
      <w:r>
        <w:rPr>
          <w:sz w:val="12"/>
        </w:rPr>
        <w:t>de</w:t>
      </w:r>
      <w:r>
        <w:rPr>
          <w:spacing w:val="2"/>
          <w:sz w:val="12"/>
        </w:rPr>
        <w:t xml:space="preserve"> </w:t>
      </w:r>
      <w:r>
        <w:rPr>
          <w:sz w:val="12"/>
        </w:rPr>
        <w:t>abril</w:t>
      </w:r>
      <w:r>
        <w:rPr>
          <w:spacing w:val="3"/>
          <w:sz w:val="12"/>
        </w:rPr>
        <w:t xml:space="preserve"> </w:t>
      </w:r>
      <w:r>
        <w:rPr>
          <w:sz w:val="12"/>
        </w:rPr>
        <w:t>de</w:t>
      </w:r>
      <w:r>
        <w:rPr>
          <w:spacing w:val="2"/>
          <w:sz w:val="12"/>
        </w:rPr>
        <w:t xml:space="preserve"> </w:t>
      </w:r>
      <w:r>
        <w:rPr>
          <w:sz w:val="12"/>
        </w:rPr>
        <w:t>2019,</w:t>
      </w:r>
      <w:r>
        <w:rPr>
          <w:spacing w:val="4"/>
          <w:sz w:val="12"/>
        </w:rPr>
        <w:t xml:space="preserve"> </w:t>
      </w:r>
      <w:r>
        <w:rPr>
          <w:sz w:val="12"/>
        </w:rPr>
        <w:t>sobre</w:t>
      </w:r>
      <w:r>
        <w:rPr>
          <w:spacing w:val="2"/>
          <w:sz w:val="12"/>
        </w:rPr>
        <w:t xml:space="preserve"> </w:t>
      </w:r>
      <w:r>
        <w:rPr>
          <w:sz w:val="12"/>
        </w:rPr>
        <w:t>los</w:t>
      </w:r>
      <w:r>
        <w:rPr>
          <w:spacing w:val="3"/>
          <w:sz w:val="12"/>
        </w:rPr>
        <w:t xml:space="preserve"> </w:t>
      </w:r>
      <w:r>
        <w:rPr>
          <w:sz w:val="12"/>
        </w:rPr>
        <w:t>requisitos</w:t>
      </w:r>
      <w:r>
        <w:rPr>
          <w:spacing w:val="2"/>
          <w:sz w:val="12"/>
        </w:rPr>
        <w:t xml:space="preserve"> </w:t>
      </w:r>
      <w:r>
        <w:rPr>
          <w:sz w:val="12"/>
        </w:rPr>
        <w:t>de</w:t>
      </w:r>
      <w:r>
        <w:rPr>
          <w:spacing w:val="3"/>
          <w:sz w:val="12"/>
        </w:rPr>
        <w:t xml:space="preserve"> </w:t>
      </w:r>
      <w:r>
        <w:rPr>
          <w:sz w:val="12"/>
        </w:rPr>
        <w:t>accesibilidad</w:t>
      </w:r>
      <w:r>
        <w:rPr>
          <w:spacing w:val="2"/>
          <w:sz w:val="12"/>
        </w:rPr>
        <w:t xml:space="preserve"> </w:t>
      </w:r>
      <w:r>
        <w:rPr>
          <w:sz w:val="12"/>
        </w:rPr>
        <w:t>de</w:t>
      </w:r>
      <w:r>
        <w:rPr>
          <w:spacing w:val="2"/>
          <w:sz w:val="12"/>
        </w:rPr>
        <w:t xml:space="preserve"> </w:t>
      </w:r>
      <w:r>
        <w:rPr>
          <w:sz w:val="12"/>
        </w:rPr>
        <w:t>los</w:t>
      </w:r>
      <w:r>
        <w:rPr>
          <w:spacing w:val="3"/>
          <w:sz w:val="12"/>
        </w:rPr>
        <w:t xml:space="preserve"> </w:t>
      </w:r>
      <w:r>
        <w:rPr>
          <w:spacing w:val="-2"/>
          <w:sz w:val="12"/>
        </w:rPr>
        <w:t>productos</w:t>
      </w:r>
    </w:p>
    <w:p w14:paraId="4BFB2A00" w14:textId="77777777" w:rsidR="0014798C" w:rsidRDefault="004E1F0B">
      <w:pPr>
        <w:spacing w:before="15"/>
        <w:ind w:left="1369"/>
        <w:rPr>
          <w:sz w:val="12"/>
        </w:rPr>
      </w:pPr>
      <w:r>
        <w:rPr>
          <w:w w:val="105"/>
          <w:sz w:val="12"/>
        </w:rPr>
        <w:t>y</w:t>
      </w:r>
      <w:r>
        <w:rPr>
          <w:spacing w:val="-2"/>
          <w:w w:val="105"/>
          <w:sz w:val="12"/>
        </w:rPr>
        <w:t xml:space="preserve"> servicios.</w:t>
      </w:r>
    </w:p>
    <w:p w14:paraId="7D873144" w14:textId="77777777" w:rsidR="0014798C" w:rsidRDefault="004E1F0B">
      <w:pPr>
        <w:spacing w:before="125"/>
        <w:ind w:left="1107"/>
        <w:rPr>
          <w:sz w:val="12"/>
        </w:rPr>
      </w:pPr>
      <w:r>
        <w:rPr>
          <w:sz w:val="12"/>
        </w:rPr>
        <w:t>538</w:t>
      </w:r>
      <w:r>
        <w:rPr>
          <w:spacing w:val="3"/>
          <w:sz w:val="12"/>
        </w:rPr>
        <w:t xml:space="preserve"> </w:t>
      </w:r>
      <w:r>
        <w:rPr>
          <w:sz w:val="12"/>
        </w:rPr>
        <w:t>Comité</w:t>
      </w:r>
      <w:r>
        <w:rPr>
          <w:spacing w:val="3"/>
          <w:sz w:val="12"/>
        </w:rPr>
        <w:t xml:space="preserve"> </w:t>
      </w:r>
      <w:r>
        <w:rPr>
          <w:sz w:val="12"/>
        </w:rPr>
        <w:t>sobre</w:t>
      </w:r>
      <w:r>
        <w:rPr>
          <w:spacing w:val="3"/>
          <w:sz w:val="12"/>
        </w:rPr>
        <w:t xml:space="preserve"> </w:t>
      </w:r>
      <w:r>
        <w:rPr>
          <w:sz w:val="12"/>
        </w:rPr>
        <w:t>los</w:t>
      </w:r>
      <w:r>
        <w:rPr>
          <w:spacing w:val="3"/>
          <w:sz w:val="12"/>
        </w:rPr>
        <w:t xml:space="preserve"> </w:t>
      </w:r>
      <w:r>
        <w:rPr>
          <w:sz w:val="12"/>
        </w:rPr>
        <w:t>Derechos</w:t>
      </w:r>
      <w:r>
        <w:rPr>
          <w:spacing w:val="3"/>
          <w:sz w:val="12"/>
        </w:rPr>
        <w:t xml:space="preserve"> </w:t>
      </w:r>
      <w:r>
        <w:rPr>
          <w:sz w:val="12"/>
        </w:rPr>
        <w:t>de</w:t>
      </w:r>
      <w:r>
        <w:rPr>
          <w:spacing w:val="3"/>
          <w:sz w:val="12"/>
        </w:rPr>
        <w:t xml:space="preserve"> </w:t>
      </w:r>
      <w:r>
        <w:rPr>
          <w:sz w:val="12"/>
        </w:rPr>
        <w:t>las</w:t>
      </w:r>
      <w:r>
        <w:rPr>
          <w:spacing w:val="4"/>
          <w:sz w:val="12"/>
        </w:rPr>
        <w:t xml:space="preserve"> </w:t>
      </w:r>
      <w:r>
        <w:rPr>
          <w:sz w:val="12"/>
        </w:rPr>
        <w:t>Personas</w:t>
      </w:r>
      <w:r>
        <w:rPr>
          <w:spacing w:val="3"/>
          <w:sz w:val="12"/>
        </w:rPr>
        <w:t xml:space="preserve"> </w:t>
      </w:r>
      <w:r>
        <w:rPr>
          <w:sz w:val="12"/>
        </w:rPr>
        <w:t>con</w:t>
      </w:r>
      <w:r>
        <w:rPr>
          <w:spacing w:val="3"/>
          <w:sz w:val="12"/>
        </w:rPr>
        <w:t xml:space="preserve"> </w:t>
      </w:r>
      <w:r>
        <w:rPr>
          <w:sz w:val="12"/>
        </w:rPr>
        <w:t>Discapacidad,</w:t>
      </w:r>
      <w:r>
        <w:rPr>
          <w:spacing w:val="4"/>
          <w:sz w:val="12"/>
        </w:rPr>
        <w:t xml:space="preserve"> </w:t>
      </w:r>
      <w:r>
        <w:rPr>
          <w:sz w:val="12"/>
        </w:rPr>
        <w:t>observación</w:t>
      </w:r>
      <w:r>
        <w:rPr>
          <w:spacing w:val="3"/>
          <w:sz w:val="12"/>
        </w:rPr>
        <w:t xml:space="preserve"> </w:t>
      </w:r>
      <w:r>
        <w:rPr>
          <w:sz w:val="12"/>
        </w:rPr>
        <w:t>general</w:t>
      </w:r>
      <w:r>
        <w:rPr>
          <w:spacing w:val="4"/>
          <w:sz w:val="12"/>
        </w:rPr>
        <w:t xml:space="preserve"> </w:t>
      </w:r>
      <w:r>
        <w:rPr>
          <w:sz w:val="12"/>
        </w:rPr>
        <w:t>núm.</w:t>
      </w:r>
      <w:r>
        <w:rPr>
          <w:spacing w:val="4"/>
          <w:sz w:val="12"/>
        </w:rPr>
        <w:t xml:space="preserve"> </w:t>
      </w:r>
      <w:r>
        <w:rPr>
          <w:sz w:val="12"/>
        </w:rPr>
        <w:t>2</w:t>
      </w:r>
      <w:r>
        <w:rPr>
          <w:spacing w:val="3"/>
          <w:sz w:val="12"/>
        </w:rPr>
        <w:t xml:space="preserve"> </w:t>
      </w:r>
      <w:r>
        <w:rPr>
          <w:sz w:val="12"/>
        </w:rPr>
        <w:t>(2014),</w:t>
      </w:r>
      <w:r>
        <w:rPr>
          <w:spacing w:val="4"/>
          <w:sz w:val="12"/>
        </w:rPr>
        <w:t xml:space="preserve"> </w:t>
      </w:r>
      <w:r>
        <w:rPr>
          <w:sz w:val="12"/>
        </w:rPr>
        <w:t>párr.</w:t>
      </w:r>
      <w:r>
        <w:rPr>
          <w:spacing w:val="4"/>
          <w:sz w:val="12"/>
        </w:rPr>
        <w:t xml:space="preserve"> </w:t>
      </w:r>
      <w:r>
        <w:rPr>
          <w:spacing w:val="-5"/>
          <w:sz w:val="12"/>
        </w:rPr>
        <w:t>4.</w:t>
      </w:r>
    </w:p>
    <w:p w14:paraId="4679F3CA" w14:textId="77777777" w:rsidR="0014798C" w:rsidRDefault="004E1F0B">
      <w:pPr>
        <w:spacing w:before="98"/>
        <w:ind w:left="1107"/>
        <w:rPr>
          <w:sz w:val="12"/>
        </w:rPr>
      </w:pPr>
      <w:r>
        <w:rPr>
          <w:sz w:val="12"/>
        </w:rPr>
        <w:t>539</w:t>
      </w:r>
      <w:r>
        <w:rPr>
          <w:spacing w:val="2"/>
          <w:sz w:val="12"/>
        </w:rPr>
        <w:t xml:space="preserve"> </w:t>
      </w:r>
      <w:r>
        <w:rPr>
          <w:sz w:val="12"/>
        </w:rPr>
        <w:t>Comité</w:t>
      </w:r>
      <w:r>
        <w:rPr>
          <w:spacing w:val="3"/>
          <w:sz w:val="12"/>
        </w:rPr>
        <w:t xml:space="preserve"> </w:t>
      </w:r>
      <w:r>
        <w:rPr>
          <w:sz w:val="12"/>
        </w:rPr>
        <w:t>de</w:t>
      </w:r>
      <w:r>
        <w:rPr>
          <w:spacing w:val="2"/>
          <w:sz w:val="12"/>
        </w:rPr>
        <w:t xml:space="preserve"> </w:t>
      </w:r>
      <w:r>
        <w:rPr>
          <w:sz w:val="12"/>
        </w:rPr>
        <w:t>Derechos</w:t>
      </w:r>
      <w:r>
        <w:rPr>
          <w:spacing w:val="3"/>
          <w:sz w:val="12"/>
        </w:rPr>
        <w:t xml:space="preserve"> </w:t>
      </w:r>
      <w:r>
        <w:rPr>
          <w:sz w:val="12"/>
        </w:rPr>
        <w:t>Económicos,</w:t>
      </w:r>
      <w:r>
        <w:rPr>
          <w:spacing w:val="3"/>
          <w:sz w:val="12"/>
        </w:rPr>
        <w:t xml:space="preserve"> </w:t>
      </w:r>
      <w:r>
        <w:rPr>
          <w:sz w:val="12"/>
        </w:rPr>
        <w:t>Sociales</w:t>
      </w:r>
      <w:r>
        <w:rPr>
          <w:spacing w:val="3"/>
          <w:sz w:val="12"/>
        </w:rPr>
        <w:t xml:space="preserve"> </w:t>
      </w:r>
      <w:r>
        <w:rPr>
          <w:sz w:val="12"/>
        </w:rPr>
        <w:t>y</w:t>
      </w:r>
      <w:r>
        <w:rPr>
          <w:spacing w:val="2"/>
          <w:sz w:val="12"/>
        </w:rPr>
        <w:t xml:space="preserve"> </w:t>
      </w:r>
      <w:r>
        <w:rPr>
          <w:sz w:val="12"/>
        </w:rPr>
        <w:t>Culturales,</w:t>
      </w:r>
      <w:r>
        <w:rPr>
          <w:spacing w:val="4"/>
          <w:sz w:val="12"/>
        </w:rPr>
        <w:t xml:space="preserve"> </w:t>
      </w:r>
      <w:r>
        <w:rPr>
          <w:sz w:val="12"/>
        </w:rPr>
        <w:t>observación</w:t>
      </w:r>
      <w:r>
        <w:rPr>
          <w:spacing w:val="2"/>
          <w:sz w:val="12"/>
        </w:rPr>
        <w:t xml:space="preserve"> </w:t>
      </w:r>
      <w:r>
        <w:rPr>
          <w:sz w:val="12"/>
        </w:rPr>
        <w:t>general</w:t>
      </w:r>
      <w:r>
        <w:rPr>
          <w:spacing w:val="3"/>
          <w:sz w:val="12"/>
        </w:rPr>
        <w:t xml:space="preserve"> </w:t>
      </w:r>
      <w:r>
        <w:rPr>
          <w:sz w:val="12"/>
        </w:rPr>
        <w:t>núm.</w:t>
      </w:r>
      <w:r>
        <w:rPr>
          <w:spacing w:val="3"/>
          <w:sz w:val="12"/>
        </w:rPr>
        <w:t xml:space="preserve"> </w:t>
      </w:r>
      <w:r>
        <w:rPr>
          <w:sz w:val="12"/>
        </w:rPr>
        <w:t>14</w:t>
      </w:r>
      <w:r>
        <w:rPr>
          <w:spacing w:val="3"/>
          <w:sz w:val="12"/>
        </w:rPr>
        <w:t xml:space="preserve"> </w:t>
      </w:r>
      <w:r>
        <w:rPr>
          <w:sz w:val="12"/>
        </w:rPr>
        <w:t>(2000),</w:t>
      </w:r>
      <w:r>
        <w:rPr>
          <w:spacing w:val="3"/>
          <w:sz w:val="12"/>
        </w:rPr>
        <w:t xml:space="preserve"> </w:t>
      </w:r>
      <w:r>
        <w:rPr>
          <w:sz w:val="12"/>
        </w:rPr>
        <w:t>párr.</w:t>
      </w:r>
      <w:r>
        <w:rPr>
          <w:spacing w:val="4"/>
          <w:sz w:val="12"/>
        </w:rPr>
        <w:t xml:space="preserve"> </w:t>
      </w:r>
      <w:r>
        <w:rPr>
          <w:sz w:val="12"/>
        </w:rPr>
        <w:t>12</w:t>
      </w:r>
      <w:r>
        <w:rPr>
          <w:spacing w:val="3"/>
          <w:sz w:val="12"/>
        </w:rPr>
        <w:t xml:space="preserve"> </w:t>
      </w:r>
      <w:r>
        <w:rPr>
          <w:sz w:val="12"/>
        </w:rPr>
        <w:t>(b)</w:t>
      </w:r>
      <w:r>
        <w:rPr>
          <w:spacing w:val="2"/>
          <w:sz w:val="12"/>
        </w:rPr>
        <w:t xml:space="preserve"> </w:t>
      </w:r>
      <w:r>
        <w:rPr>
          <w:sz w:val="12"/>
        </w:rPr>
        <w:t>(se</w:t>
      </w:r>
      <w:r>
        <w:rPr>
          <w:spacing w:val="3"/>
          <w:sz w:val="12"/>
        </w:rPr>
        <w:t xml:space="preserve"> </w:t>
      </w:r>
      <w:r>
        <w:rPr>
          <w:sz w:val="12"/>
        </w:rPr>
        <w:t>omite</w:t>
      </w:r>
      <w:r>
        <w:rPr>
          <w:spacing w:val="2"/>
          <w:sz w:val="12"/>
        </w:rPr>
        <w:t xml:space="preserve"> </w:t>
      </w:r>
      <w:r>
        <w:rPr>
          <w:sz w:val="12"/>
        </w:rPr>
        <w:t>la</w:t>
      </w:r>
      <w:r>
        <w:rPr>
          <w:spacing w:val="3"/>
          <w:sz w:val="12"/>
        </w:rPr>
        <w:t xml:space="preserve"> </w:t>
      </w:r>
      <w:r>
        <w:rPr>
          <w:sz w:val="12"/>
        </w:rPr>
        <w:t>nota</w:t>
      </w:r>
      <w:r>
        <w:rPr>
          <w:spacing w:val="2"/>
          <w:sz w:val="12"/>
        </w:rPr>
        <w:t xml:space="preserve"> </w:t>
      </w:r>
      <w:r>
        <w:rPr>
          <w:sz w:val="12"/>
        </w:rPr>
        <w:t>a</w:t>
      </w:r>
      <w:r>
        <w:rPr>
          <w:spacing w:val="3"/>
          <w:sz w:val="12"/>
        </w:rPr>
        <w:t xml:space="preserve"> </w:t>
      </w:r>
      <w:r>
        <w:rPr>
          <w:sz w:val="12"/>
        </w:rPr>
        <w:t>pie</w:t>
      </w:r>
      <w:r>
        <w:rPr>
          <w:spacing w:val="2"/>
          <w:sz w:val="12"/>
        </w:rPr>
        <w:t xml:space="preserve"> </w:t>
      </w:r>
      <w:r>
        <w:rPr>
          <w:sz w:val="12"/>
        </w:rPr>
        <w:t>de</w:t>
      </w:r>
      <w:r>
        <w:rPr>
          <w:spacing w:val="3"/>
          <w:sz w:val="12"/>
        </w:rPr>
        <w:t xml:space="preserve"> </w:t>
      </w:r>
      <w:r>
        <w:rPr>
          <w:spacing w:val="-2"/>
          <w:sz w:val="12"/>
        </w:rPr>
        <w:t>página).</w:t>
      </w:r>
    </w:p>
    <w:p w14:paraId="4F8A7069" w14:textId="77777777" w:rsidR="0014798C" w:rsidRDefault="004E1F0B">
      <w:pPr>
        <w:spacing w:before="67"/>
        <w:ind w:left="1107"/>
        <w:rPr>
          <w:sz w:val="12"/>
        </w:rPr>
      </w:pPr>
      <w:r>
        <w:rPr>
          <w:sz w:val="12"/>
        </w:rPr>
        <w:t>540</w:t>
      </w:r>
      <w:r>
        <w:rPr>
          <w:spacing w:val="2"/>
          <w:sz w:val="12"/>
        </w:rPr>
        <w:t xml:space="preserve"> </w:t>
      </w:r>
      <w:proofErr w:type="spellStart"/>
      <w:r>
        <w:rPr>
          <w:spacing w:val="-2"/>
          <w:sz w:val="12"/>
        </w:rPr>
        <w:t>Ibíd</w:t>
      </w:r>
      <w:proofErr w:type="spellEnd"/>
      <w:r>
        <w:rPr>
          <w:spacing w:val="-2"/>
          <w:sz w:val="12"/>
        </w:rPr>
        <w:t>.</w:t>
      </w:r>
    </w:p>
    <w:p w14:paraId="0D0758CB" w14:textId="77777777" w:rsidR="0014798C" w:rsidRDefault="0014798C">
      <w:pPr>
        <w:rPr>
          <w:sz w:val="12"/>
        </w:rPr>
        <w:sectPr w:rsidR="0014798C" w:rsidSect="00F265E4">
          <w:type w:val="continuous"/>
          <w:pgSz w:w="11900" w:h="16820"/>
          <w:pgMar w:top="40" w:right="0" w:bottom="280" w:left="200" w:header="121" w:footer="0" w:gutter="0"/>
          <w:cols w:space="720"/>
        </w:sectPr>
      </w:pPr>
    </w:p>
    <w:p w14:paraId="6DE625C1" w14:textId="77777777" w:rsidR="0014798C" w:rsidRPr="00537489" w:rsidRDefault="004E1F0B">
      <w:pPr>
        <w:spacing w:before="85"/>
        <w:jc w:val="right"/>
        <w:rPr>
          <w:sz w:val="8"/>
          <w:lang w:val="en-US"/>
        </w:rPr>
      </w:pPr>
      <w:r w:rsidRPr="00537489">
        <w:rPr>
          <w:spacing w:val="-5"/>
          <w:w w:val="105"/>
          <w:sz w:val="8"/>
          <w:lang w:val="en-US"/>
        </w:rPr>
        <w:t>541</w:t>
      </w:r>
    </w:p>
    <w:p w14:paraId="31435E4A" w14:textId="77777777" w:rsidR="0014798C" w:rsidRDefault="004E1F0B">
      <w:pPr>
        <w:spacing w:before="136"/>
        <w:ind w:left="83"/>
        <w:rPr>
          <w:sz w:val="12"/>
        </w:rPr>
      </w:pPr>
      <w:r w:rsidRPr="00537489">
        <w:rPr>
          <w:lang w:val="en-US"/>
        </w:rPr>
        <w:br w:type="column"/>
      </w:r>
      <w:r w:rsidRPr="00537489">
        <w:rPr>
          <w:sz w:val="12"/>
          <w:lang w:val="en-US"/>
        </w:rPr>
        <w:t>CCPR/C/ISR/CO/3,</w:t>
      </w:r>
      <w:r w:rsidRPr="00537489">
        <w:rPr>
          <w:spacing w:val="12"/>
          <w:sz w:val="12"/>
          <w:lang w:val="en-US"/>
        </w:rPr>
        <w:t xml:space="preserve"> </w:t>
      </w:r>
      <w:proofErr w:type="spellStart"/>
      <w:r w:rsidRPr="00537489">
        <w:rPr>
          <w:sz w:val="12"/>
          <w:lang w:val="en-US"/>
        </w:rPr>
        <w:t>párr</w:t>
      </w:r>
      <w:proofErr w:type="spellEnd"/>
      <w:r w:rsidRPr="00537489">
        <w:rPr>
          <w:sz w:val="12"/>
          <w:lang w:val="en-US"/>
        </w:rPr>
        <w:t>.</w:t>
      </w:r>
      <w:r w:rsidRPr="00537489">
        <w:rPr>
          <w:spacing w:val="13"/>
          <w:sz w:val="12"/>
          <w:lang w:val="en-US"/>
        </w:rPr>
        <w:t xml:space="preserve"> </w:t>
      </w:r>
      <w:r>
        <w:rPr>
          <w:spacing w:val="-5"/>
          <w:sz w:val="12"/>
        </w:rPr>
        <w:t>23.</w:t>
      </w:r>
    </w:p>
    <w:p w14:paraId="00851C6C" w14:textId="77777777" w:rsidR="0014798C" w:rsidRDefault="0014798C">
      <w:pPr>
        <w:rPr>
          <w:sz w:val="12"/>
        </w:rPr>
        <w:sectPr w:rsidR="0014798C" w:rsidSect="00F265E4">
          <w:type w:val="continuous"/>
          <w:pgSz w:w="11900" w:h="16820"/>
          <w:pgMar w:top="40" w:right="0" w:bottom="280" w:left="200" w:header="121" w:footer="0" w:gutter="0"/>
          <w:cols w:num="2" w:space="720" w:equalWidth="0">
            <w:col w:w="1249" w:space="40"/>
            <w:col w:w="10411"/>
          </w:cols>
        </w:sectPr>
      </w:pPr>
    </w:p>
    <w:p w14:paraId="0D9FFF0E" w14:textId="77777777" w:rsidR="0014798C" w:rsidRDefault="004E1F0B">
      <w:pPr>
        <w:spacing w:before="93"/>
        <w:ind w:left="1107"/>
        <w:rPr>
          <w:sz w:val="12"/>
        </w:rPr>
      </w:pPr>
      <w:r>
        <w:rPr>
          <w:sz w:val="12"/>
        </w:rPr>
        <w:t>542</w:t>
      </w:r>
      <w:r>
        <w:rPr>
          <w:spacing w:val="1"/>
          <w:sz w:val="12"/>
        </w:rPr>
        <w:t xml:space="preserve"> </w:t>
      </w:r>
      <w:r>
        <w:rPr>
          <w:sz w:val="12"/>
        </w:rPr>
        <w:t>Comité</w:t>
      </w:r>
      <w:r>
        <w:rPr>
          <w:spacing w:val="2"/>
          <w:sz w:val="12"/>
        </w:rPr>
        <w:t xml:space="preserve"> </w:t>
      </w:r>
      <w:r>
        <w:rPr>
          <w:sz w:val="12"/>
        </w:rPr>
        <w:t>para</w:t>
      </w:r>
      <w:r>
        <w:rPr>
          <w:spacing w:val="2"/>
          <w:sz w:val="12"/>
        </w:rPr>
        <w:t xml:space="preserve"> </w:t>
      </w:r>
      <w:r>
        <w:rPr>
          <w:sz w:val="12"/>
        </w:rPr>
        <w:t>la</w:t>
      </w:r>
      <w:r>
        <w:rPr>
          <w:spacing w:val="2"/>
          <w:sz w:val="12"/>
        </w:rPr>
        <w:t xml:space="preserve"> </w:t>
      </w:r>
      <w:r>
        <w:rPr>
          <w:sz w:val="12"/>
        </w:rPr>
        <w:t>Eliminación</w:t>
      </w:r>
      <w:r>
        <w:rPr>
          <w:spacing w:val="2"/>
          <w:sz w:val="12"/>
        </w:rPr>
        <w:t xml:space="preserve"> </w:t>
      </w:r>
      <w:r>
        <w:rPr>
          <w:sz w:val="12"/>
        </w:rPr>
        <w:t>de</w:t>
      </w:r>
      <w:r>
        <w:rPr>
          <w:spacing w:val="2"/>
          <w:sz w:val="12"/>
        </w:rPr>
        <w:t xml:space="preserve"> </w:t>
      </w:r>
      <w:r>
        <w:rPr>
          <w:sz w:val="12"/>
        </w:rPr>
        <w:t>la</w:t>
      </w:r>
      <w:r>
        <w:rPr>
          <w:spacing w:val="2"/>
          <w:sz w:val="12"/>
        </w:rPr>
        <w:t xml:space="preserve"> </w:t>
      </w:r>
      <w:r>
        <w:rPr>
          <w:sz w:val="12"/>
        </w:rPr>
        <w:t>Discriminación</w:t>
      </w:r>
      <w:r>
        <w:rPr>
          <w:spacing w:val="1"/>
          <w:sz w:val="12"/>
        </w:rPr>
        <w:t xml:space="preserve"> </w:t>
      </w:r>
      <w:r>
        <w:rPr>
          <w:sz w:val="12"/>
        </w:rPr>
        <w:t>contra</w:t>
      </w:r>
      <w:r>
        <w:rPr>
          <w:spacing w:val="2"/>
          <w:sz w:val="12"/>
        </w:rPr>
        <w:t xml:space="preserve"> </w:t>
      </w:r>
      <w:r>
        <w:rPr>
          <w:sz w:val="12"/>
        </w:rPr>
        <w:t>la</w:t>
      </w:r>
      <w:r>
        <w:rPr>
          <w:spacing w:val="2"/>
          <w:sz w:val="12"/>
        </w:rPr>
        <w:t xml:space="preserve"> </w:t>
      </w:r>
      <w:r>
        <w:rPr>
          <w:sz w:val="12"/>
        </w:rPr>
        <w:t>Mujer,</w:t>
      </w:r>
      <w:r>
        <w:rPr>
          <w:spacing w:val="3"/>
          <w:sz w:val="12"/>
        </w:rPr>
        <w:t xml:space="preserve"> </w:t>
      </w:r>
      <w:r>
        <w:rPr>
          <w:sz w:val="12"/>
        </w:rPr>
        <w:t>recomendación</w:t>
      </w:r>
      <w:r>
        <w:rPr>
          <w:spacing w:val="2"/>
          <w:sz w:val="12"/>
        </w:rPr>
        <w:t xml:space="preserve"> </w:t>
      </w:r>
      <w:r>
        <w:rPr>
          <w:sz w:val="12"/>
        </w:rPr>
        <w:t>general</w:t>
      </w:r>
      <w:r>
        <w:rPr>
          <w:spacing w:val="2"/>
          <w:sz w:val="12"/>
        </w:rPr>
        <w:t xml:space="preserve"> </w:t>
      </w:r>
      <w:r>
        <w:rPr>
          <w:sz w:val="12"/>
        </w:rPr>
        <w:t>núm.</w:t>
      </w:r>
      <w:r>
        <w:rPr>
          <w:spacing w:val="3"/>
          <w:sz w:val="12"/>
        </w:rPr>
        <w:t xml:space="preserve"> </w:t>
      </w:r>
      <w:r>
        <w:rPr>
          <w:sz w:val="12"/>
        </w:rPr>
        <w:t>36</w:t>
      </w:r>
      <w:r>
        <w:rPr>
          <w:spacing w:val="2"/>
          <w:sz w:val="12"/>
        </w:rPr>
        <w:t xml:space="preserve"> </w:t>
      </w:r>
      <w:r>
        <w:rPr>
          <w:sz w:val="12"/>
        </w:rPr>
        <w:t>(2017),</w:t>
      </w:r>
      <w:r>
        <w:rPr>
          <w:spacing w:val="2"/>
          <w:sz w:val="12"/>
        </w:rPr>
        <w:t xml:space="preserve"> </w:t>
      </w:r>
      <w:r>
        <w:rPr>
          <w:sz w:val="12"/>
        </w:rPr>
        <w:t>párr.</w:t>
      </w:r>
      <w:r>
        <w:rPr>
          <w:spacing w:val="3"/>
          <w:sz w:val="12"/>
        </w:rPr>
        <w:t xml:space="preserve"> </w:t>
      </w:r>
      <w:r>
        <w:rPr>
          <w:spacing w:val="-5"/>
          <w:sz w:val="12"/>
        </w:rPr>
        <w:t>20.</w:t>
      </w:r>
    </w:p>
    <w:p w14:paraId="4E0868D2" w14:textId="77777777" w:rsidR="0014798C" w:rsidRDefault="0014798C">
      <w:pPr>
        <w:pStyle w:val="Textoindependiente"/>
        <w:rPr>
          <w:sz w:val="19"/>
        </w:rPr>
      </w:pPr>
    </w:p>
    <w:p w14:paraId="33AA1020" w14:textId="77777777" w:rsidR="0014798C" w:rsidRDefault="0014798C">
      <w:pPr>
        <w:pStyle w:val="Textoindependiente"/>
        <w:spacing w:before="196"/>
        <w:rPr>
          <w:sz w:val="19"/>
        </w:rPr>
      </w:pPr>
    </w:p>
    <w:p w14:paraId="1E3976E4" w14:textId="77777777" w:rsidR="0014798C" w:rsidRDefault="004E1F0B">
      <w:pPr>
        <w:ind w:left="552"/>
        <w:rPr>
          <w:sz w:val="19"/>
        </w:rPr>
      </w:pPr>
      <w:r>
        <w:rPr>
          <w:spacing w:val="-5"/>
          <w:sz w:val="19"/>
        </w:rPr>
        <w:t>68</w:t>
      </w:r>
    </w:p>
    <w:p w14:paraId="1D92C573" w14:textId="77777777" w:rsidR="0014798C" w:rsidRDefault="0014798C">
      <w:pPr>
        <w:rPr>
          <w:sz w:val="19"/>
        </w:rPr>
        <w:sectPr w:rsidR="0014798C" w:rsidSect="00F265E4">
          <w:type w:val="continuous"/>
          <w:pgSz w:w="11900" w:h="16820"/>
          <w:pgMar w:top="40" w:right="0" w:bottom="280" w:left="200" w:header="121" w:footer="0" w:gutter="0"/>
          <w:cols w:space="720"/>
        </w:sectPr>
      </w:pPr>
    </w:p>
    <w:p w14:paraId="22AD7E3B" w14:textId="77777777" w:rsidR="0014798C" w:rsidRDefault="0014798C">
      <w:pPr>
        <w:pStyle w:val="Textoindependiente"/>
        <w:spacing w:before="51"/>
        <w:rPr>
          <w:sz w:val="14"/>
        </w:rPr>
      </w:pPr>
    </w:p>
    <w:p w14:paraId="74D072C6" w14:textId="77777777" w:rsidR="0014798C" w:rsidRDefault="004E1F0B">
      <w:pPr>
        <w:ind w:left="1111"/>
        <w:rPr>
          <w:sz w:val="14"/>
        </w:rPr>
      </w:pPr>
      <w:r>
        <w:rPr>
          <w:color w:val="00AC59"/>
          <w:sz w:val="14"/>
        </w:rPr>
        <w:t>SEGUNDA</w:t>
      </w:r>
      <w:r>
        <w:rPr>
          <w:color w:val="00AC59"/>
          <w:spacing w:val="-5"/>
          <w:sz w:val="14"/>
        </w:rPr>
        <w:t xml:space="preserve"> </w:t>
      </w:r>
      <w:r>
        <w:rPr>
          <w:color w:val="00AC59"/>
          <w:sz w:val="14"/>
        </w:rPr>
        <w:t>PARTE:</w:t>
      </w:r>
      <w:r>
        <w:rPr>
          <w:color w:val="00AC59"/>
          <w:spacing w:val="-5"/>
          <w:sz w:val="14"/>
        </w:rPr>
        <w:t xml:space="preserve"> </w:t>
      </w:r>
      <w:r>
        <w:rPr>
          <w:color w:val="00AC59"/>
          <w:sz w:val="14"/>
        </w:rPr>
        <w:t>CONTENIDO</w:t>
      </w:r>
      <w:r>
        <w:rPr>
          <w:color w:val="00AC59"/>
          <w:spacing w:val="-4"/>
          <w:sz w:val="14"/>
        </w:rPr>
        <w:t xml:space="preserve"> </w:t>
      </w:r>
      <w:r>
        <w:rPr>
          <w:color w:val="00AC59"/>
          <w:sz w:val="14"/>
        </w:rPr>
        <w:t>DE</w:t>
      </w:r>
      <w:r>
        <w:rPr>
          <w:color w:val="00AC59"/>
          <w:spacing w:val="-5"/>
          <w:sz w:val="14"/>
        </w:rPr>
        <w:t xml:space="preserve"> </w:t>
      </w:r>
      <w:r>
        <w:rPr>
          <w:color w:val="00AC59"/>
          <w:sz w:val="14"/>
        </w:rPr>
        <w:t>LA</w:t>
      </w:r>
      <w:r>
        <w:rPr>
          <w:color w:val="00AC59"/>
          <w:spacing w:val="-4"/>
          <w:sz w:val="14"/>
        </w:rPr>
        <w:t xml:space="preserve"> </w:t>
      </w:r>
      <w:r>
        <w:rPr>
          <w:color w:val="00AC59"/>
          <w:sz w:val="14"/>
        </w:rPr>
        <w:t>LEY</w:t>
      </w:r>
      <w:r>
        <w:rPr>
          <w:color w:val="00AC59"/>
          <w:spacing w:val="-4"/>
          <w:sz w:val="14"/>
        </w:rPr>
        <w:t xml:space="preserve"> </w:t>
      </w:r>
      <w:r>
        <w:rPr>
          <w:color w:val="00AC59"/>
          <w:sz w:val="14"/>
        </w:rPr>
        <w:t>INTEGRAL</w:t>
      </w:r>
      <w:r>
        <w:rPr>
          <w:color w:val="00AC59"/>
          <w:spacing w:val="-5"/>
          <w:sz w:val="14"/>
        </w:rPr>
        <w:t xml:space="preserve"> </w:t>
      </w:r>
      <w:r>
        <w:rPr>
          <w:color w:val="00AC59"/>
          <w:spacing w:val="-2"/>
          <w:sz w:val="14"/>
        </w:rPr>
        <w:t>ANTIDISCRIMINACIÓN</w:t>
      </w:r>
    </w:p>
    <w:p w14:paraId="7BD011DC" w14:textId="77777777" w:rsidR="0014798C" w:rsidRDefault="0014798C">
      <w:pPr>
        <w:pStyle w:val="Textoindependiente"/>
      </w:pPr>
    </w:p>
    <w:p w14:paraId="784A0F8B" w14:textId="77777777" w:rsidR="0014798C" w:rsidRDefault="0014798C">
      <w:pPr>
        <w:pStyle w:val="Textoindependiente"/>
      </w:pPr>
    </w:p>
    <w:p w14:paraId="4C43339E" w14:textId="77777777" w:rsidR="0014798C" w:rsidRDefault="0014798C">
      <w:pPr>
        <w:pStyle w:val="Textoindependiente"/>
      </w:pPr>
    </w:p>
    <w:p w14:paraId="4920126F" w14:textId="77777777" w:rsidR="0014798C" w:rsidRDefault="0014798C">
      <w:pPr>
        <w:pStyle w:val="Textoindependiente"/>
      </w:pPr>
    </w:p>
    <w:p w14:paraId="6E700496" w14:textId="77777777" w:rsidR="0014798C" w:rsidRDefault="0014798C">
      <w:pPr>
        <w:pStyle w:val="Textoindependiente"/>
        <w:spacing w:before="43"/>
      </w:pPr>
    </w:p>
    <w:p w14:paraId="5A6CEDA5" w14:textId="77777777" w:rsidR="0014798C" w:rsidRDefault="004E1F0B">
      <w:pPr>
        <w:pStyle w:val="Textoindependiente"/>
        <w:spacing w:line="326" w:lineRule="auto"/>
        <w:ind w:left="1109" w:right="1166" w:hanging="2"/>
      </w:pPr>
      <w:r>
        <w:t>eliminar</w:t>
      </w:r>
      <w:r>
        <w:rPr>
          <w:spacing w:val="-7"/>
        </w:rPr>
        <w:t xml:space="preserve"> </w:t>
      </w:r>
      <w:r>
        <w:t>leyes,</w:t>
      </w:r>
      <w:r>
        <w:rPr>
          <w:spacing w:val="-6"/>
        </w:rPr>
        <w:t xml:space="preserve"> </w:t>
      </w:r>
      <w:r>
        <w:t>políticas</w:t>
      </w:r>
      <w:r>
        <w:rPr>
          <w:spacing w:val="-7"/>
        </w:rPr>
        <w:t xml:space="preserve"> </w:t>
      </w:r>
      <w:r>
        <w:t>y</w:t>
      </w:r>
      <w:r>
        <w:rPr>
          <w:spacing w:val="-6"/>
        </w:rPr>
        <w:t xml:space="preserve"> </w:t>
      </w:r>
      <w:r>
        <w:t>prácticas</w:t>
      </w:r>
      <w:r>
        <w:rPr>
          <w:spacing w:val="-7"/>
        </w:rPr>
        <w:t xml:space="preserve"> </w:t>
      </w:r>
      <w:r>
        <w:t>discriminatorias</w:t>
      </w:r>
      <w:r>
        <w:rPr>
          <w:spacing w:val="-7"/>
        </w:rPr>
        <w:t xml:space="preserve"> </w:t>
      </w:r>
      <w:r>
        <w:t>y</w:t>
      </w:r>
      <w:r>
        <w:rPr>
          <w:spacing w:val="-6"/>
        </w:rPr>
        <w:t xml:space="preserve"> </w:t>
      </w:r>
      <w:r>
        <w:t>eliminar</w:t>
      </w:r>
      <w:r>
        <w:rPr>
          <w:spacing w:val="-7"/>
        </w:rPr>
        <w:t xml:space="preserve"> </w:t>
      </w:r>
      <w:r>
        <w:t>barreras</w:t>
      </w:r>
      <w:r>
        <w:rPr>
          <w:spacing w:val="-6"/>
        </w:rPr>
        <w:t xml:space="preserve"> </w:t>
      </w:r>
      <w:r>
        <w:t>que</w:t>
      </w:r>
      <w:r>
        <w:rPr>
          <w:spacing w:val="-6"/>
        </w:rPr>
        <w:t xml:space="preserve"> </w:t>
      </w:r>
      <w:r>
        <w:t>impiden</w:t>
      </w:r>
      <w:r>
        <w:rPr>
          <w:spacing w:val="-6"/>
        </w:rPr>
        <w:t xml:space="preserve"> </w:t>
      </w:r>
      <w:r>
        <w:t>el</w:t>
      </w:r>
      <w:r>
        <w:rPr>
          <w:spacing w:val="-6"/>
        </w:rPr>
        <w:t xml:space="preserve"> </w:t>
      </w:r>
      <w:r>
        <w:t>acceso;</w:t>
      </w:r>
      <w:r>
        <w:rPr>
          <w:spacing w:val="-6"/>
        </w:rPr>
        <w:t xml:space="preserve"> </w:t>
      </w:r>
      <w:r>
        <w:t>y</w:t>
      </w:r>
      <w:r>
        <w:rPr>
          <w:spacing w:val="-6"/>
        </w:rPr>
        <w:t xml:space="preserve"> </w:t>
      </w:r>
      <w:r>
        <w:t>adoptar</w:t>
      </w:r>
      <w:r>
        <w:rPr>
          <w:spacing w:val="-7"/>
        </w:rPr>
        <w:t xml:space="preserve"> </w:t>
      </w:r>
      <w:r>
        <w:t>e</w:t>
      </w:r>
      <w:r>
        <w:rPr>
          <w:spacing w:val="-6"/>
        </w:rPr>
        <w:t xml:space="preserve"> </w:t>
      </w:r>
      <w:r>
        <w:t>implementar</w:t>
      </w:r>
      <w:r>
        <w:rPr>
          <w:spacing w:val="-7"/>
        </w:rPr>
        <w:t xml:space="preserve"> </w:t>
      </w:r>
      <w:r>
        <w:t>estándares de accesibilidad proactivos.</w:t>
      </w:r>
    </w:p>
    <w:p w14:paraId="1FE5B639" w14:textId="77777777" w:rsidR="0014798C" w:rsidRDefault="0014798C">
      <w:pPr>
        <w:pStyle w:val="Textoindependiente"/>
        <w:spacing w:before="84"/>
        <w:rPr>
          <w:sz w:val="18"/>
        </w:rPr>
      </w:pPr>
    </w:p>
    <w:p w14:paraId="4A8C7608" w14:textId="77777777" w:rsidR="0014798C" w:rsidRDefault="004E1F0B">
      <w:pPr>
        <w:pStyle w:val="Prrafodelista"/>
        <w:numPr>
          <w:ilvl w:val="0"/>
          <w:numId w:val="54"/>
        </w:numPr>
        <w:tabs>
          <w:tab w:val="left" w:pos="1321"/>
        </w:tabs>
        <w:ind w:left="1321" w:hanging="206"/>
        <w:rPr>
          <w:color w:val="00AC59"/>
          <w:sz w:val="18"/>
        </w:rPr>
      </w:pPr>
      <w:r>
        <w:rPr>
          <w:color w:val="00AC59"/>
          <w:w w:val="105"/>
          <w:sz w:val="18"/>
        </w:rPr>
        <w:t>Deberes</w:t>
      </w:r>
      <w:r>
        <w:rPr>
          <w:color w:val="00AC59"/>
          <w:spacing w:val="-8"/>
          <w:w w:val="105"/>
          <w:sz w:val="18"/>
        </w:rPr>
        <w:t xml:space="preserve"> </w:t>
      </w:r>
      <w:r>
        <w:rPr>
          <w:color w:val="00AC59"/>
          <w:w w:val="105"/>
          <w:sz w:val="18"/>
        </w:rPr>
        <w:t>estatutarios</w:t>
      </w:r>
      <w:r>
        <w:rPr>
          <w:color w:val="00AC59"/>
          <w:spacing w:val="-8"/>
          <w:w w:val="105"/>
          <w:sz w:val="18"/>
        </w:rPr>
        <w:t xml:space="preserve"> </w:t>
      </w:r>
      <w:r>
        <w:rPr>
          <w:color w:val="00AC59"/>
          <w:w w:val="105"/>
          <w:sz w:val="18"/>
        </w:rPr>
        <w:t>de</w:t>
      </w:r>
      <w:r>
        <w:rPr>
          <w:color w:val="00AC59"/>
          <w:spacing w:val="-8"/>
          <w:w w:val="105"/>
          <w:sz w:val="18"/>
        </w:rPr>
        <w:t xml:space="preserve"> </w:t>
      </w:r>
      <w:r>
        <w:rPr>
          <w:color w:val="00AC59"/>
          <w:spacing w:val="-2"/>
          <w:w w:val="105"/>
          <w:sz w:val="18"/>
        </w:rPr>
        <w:t>igualdad</w:t>
      </w:r>
    </w:p>
    <w:p w14:paraId="0998FC22" w14:textId="77777777" w:rsidR="0014798C" w:rsidRDefault="0014798C">
      <w:pPr>
        <w:pStyle w:val="Textoindependiente"/>
      </w:pPr>
    </w:p>
    <w:p w14:paraId="4D0D550E" w14:textId="77777777" w:rsidR="0014798C" w:rsidRDefault="0014798C">
      <w:pPr>
        <w:pStyle w:val="Textoindependiente"/>
        <w:spacing w:before="71"/>
      </w:pPr>
    </w:p>
    <w:p w14:paraId="1384D67A" w14:textId="77777777" w:rsidR="0014798C" w:rsidRDefault="004E1F0B">
      <w:pPr>
        <w:pStyle w:val="Textoindependiente"/>
        <w:ind w:left="1335"/>
      </w:pPr>
      <w:r>
        <w:rPr>
          <w:noProof/>
        </w:rPr>
        <w:drawing>
          <wp:anchor distT="0" distB="0" distL="0" distR="0" simplePos="0" relativeHeight="251658412" behindDoc="1" locked="0" layoutInCell="1" allowOverlap="1" wp14:anchorId="3A3B6754" wp14:editId="13F7E03A">
            <wp:simplePos x="0" y="0"/>
            <wp:positionH relativeFrom="page">
              <wp:posOffset>786199</wp:posOffset>
            </wp:positionH>
            <wp:positionV relativeFrom="paragraph">
              <wp:posOffset>-123639</wp:posOffset>
            </wp:positionV>
            <wp:extent cx="6770300" cy="7086017"/>
            <wp:effectExtent l="0" t="0" r="0" b="0"/>
            <wp:wrapNone/>
            <wp:docPr id="168" name="Image 16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68" name="Image 168"/>
                    <pic:cNvPicPr/>
                  </pic:nvPicPr>
                  <pic:blipFill>
                    <a:blip r:embed="rId152" cstate="print"/>
                    <a:stretch>
                      <a:fillRect/>
                    </a:stretch>
                  </pic:blipFill>
                  <pic:spPr>
                    <a:xfrm>
                      <a:off x="0" y="0"/>
                      <a:ext cx="6770300" cy="7086017"/>
                    </a:xfrm>
                    <a:prstGeom prst="rect">
                      <a:avLst/>
                    </a:prstGeom>
                  </pic:spPr>
                </pic:pic>
              </a:graphicData>
            </a:graphic>
          </wp:anchor>
        </w:drawing>
      </w:r>
      <w:r>
        <w:rPr>
          <w:color w:val="FFFFFF"/>
          <w:spacing w:val="-2"/>
        </w:rPr>
        <w:t>RESUMEN</w:t>
      </w:r>
    </w:p>
    <w:p w14:paraId="6A24B85F" w14:textId="77777777" w:rsidR="0014798C" w:rsidRDefault="0014798C">
      <w:pPr>
        <w:pStyle w:val="Textoindependiente"/>
        <w:spacing w:before="150"/>
      </w:pPr>
    </w:p>
    <w:p w14:paraId="1DC1FB3E" w14:textId="77777777" w:rsidR="0014798C" w:rsidRDefault="004E1F0B">
      <w:pPr>
        <w:pStyle w:val="Prrafodelista"/>
        <w:numPr>
          <w:ilvl w:val="1"/>
          <w:numId w:val="54"/>
        </w:numPr>
        <w:tabs>
          <w:tab w:val="left" w:pos="1457"/>
          <w:tab w:val="left" w:pos="1556"/>
        </w:tabs>
        <w:spacing w:line="326" w:lineRule="auto"/>
        <w:ind w:right="1829" w:hanging="199"/>
        <w:rPr>
          <w:color w:val="0075BF"/>
          <w:sz w:val="16"/>
        </w:rPr>
      </w:pPr>
      <w:r>
        <w:rPr>
          <w:noProof/>
        </w:rPr>
        <mc:AlternateContent>
          <mc:Choice Requires="wps">
            <w:drawing>
              <wp:anchor distT="0" distB="0" distL="0" distR="0" simplePos="0" relativeHeight="251658275" behindDoc="0" locked="0" layoutInCell="1" allowOverlap="1" wp14:anchorId="2761DB53" wp14:editId="7027D937">
                <wp:simplePos x="0" y="0"/>
                <wp:positionH relativeFrom="page">
                  <wp:posOffset>7313138</wp:posOffset>
                </wp:positionH>
                <wp:positionV relativeFrom="paragraph">
                  <wp:posOffset>450349</wp:posOffset>
                </wp:positionV>
                <wp:extent cx="83820" cy="281940"/>
                <wp:effectExtent l="0" t="0" r="0" b="0"/>
                <wp:wrapNone/>
                <wp:docPr id="169" name="Textbox 16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83820" cy="281940"/>
                        </a:xfrm>
                        <a:prstGeom prst="rect">
                          <a:avLst/>
                        </a:prstGeom>
                      </wps:spPr>
                      <wps:txbx>
                        <w:txbxContent>
                          <w:p w14:paraId="50E1561F" w14:textId="77777777" w:rsidR="0014798C" w:rsidRDefault="004E1F0B">
                            <w:pPr>
                              <w:spacing w:before="19"/>
                              <w:ind w:left="20"/>
                              <w:rPr>
                                <w:sz w:val="8"/>
                              </w:rPr>
                            </w:pPr>
                            <w:r>
                              <w:rPr>
                                <w:color w:val="FFFFFF"/>
                                <w:spacing w:val="-24"/>
                                <w:sz w:val="8"/>
                              </w:rPr>
                              <w:t>I–P</w:t>
                            </w:r>
                            <w:r>
                              <w:rPr>
                                <w:spacing w:val="-24"/>
                                <w:sz w:val="8"/>
                              </w:rPr>
                              <w:t>S</w:t>
                            </w:r>
                            <w:r>
                              <w:rPr>
                                <w:color w:val="FFFFFF"/>
                                <w:spacing w:val="-24"/>
                                <w:sz w:val="8"/>
                              </w:rPr>
                              <w:t>A</w:t>
                            </w:r>
                            <w:r>
                              <w:rPr>
                                <w:spacing w:val="-24"/>
                                <w:sz w:val="8"/>
                              </w:rPr>
                              <w:t>E</w:t>
                            </w:r>
                            <w:r>
                              <w:rPr>
                                <w:color w:val="FFFFFF"/>
                                <w:spacing w:val="-24"/>
                                <w:sz w:val="8"/>
                              </w:rPr>
                              <w:t>R</w:t>
                            </w:r>
                            <w:r>
                              <w:rPr>
                                <w:spacing w:val="-24"/>
                                <w:sz w:val="8"/>
                              </w:rPr>
                              <w:t>G</w:t>
                            </w:r>
                            <w:r>
                              <w:rPr>
                                <w:color w:val="FFFFFF"/>
                                <w:spacing w:val="-24"/>
                                <w:sz w:val="8"/>
                              </w:rPr>
                              <w:t>T</w:t>
                            </w:r>
                            <w:r>
                              <w:rPr>
                                <w:spacing w:val="-24"/>
                                <w:sz w:val="8"/>
                              </w:rPr>
                              <w:t>U</w:t>
                            </w:r>
                            <w:r>
                              <w:rPr>
                                <w:color w:val="FFFFFF"/>
                                <w:spacing w:val="-24"/>
                                <w:sz w:val="8"/>
                              </w:rPr>
                              <w:t>E</w:t>
                            </w:r>
                            <w:r>
                              <w:rPr>
                                <w:spacing w:val="-24"/>
                                <w:sz w:val="8"/>
                              </w:rPr>
                              <w:t>NDA</w:t>
                            </w:r>
                          </w:p>
                        </w:txbxContent>
                      </wps:txbx>
                      <wps:bodyPr vert="vert270" wrap="square" lIns="0" tIns="0" rIns="0" bIns="0" rtlCol="0">
                        <a:noAutofit/>
                      </wps:bodyPr>
                    </wps:wsp>
                  </a:graphicData>
                </a:graphic>
              </wp:anchor>
            </w:drawing>
          </mc:Choice>
          <mc:Fallback>
            <w:pict>
              <v:shape w14:anchorId="2761DB53" id="Textbox 169" o:spid="_x0000_s1092" type="#_x0000_t202" style="position:absolute;left:0;text-align:left;margin-left:575.85pt;margin-top:35.45pt;width:6.6pt;height:22.2pt;z-index:251658275;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" filled="f" stroked="f">
                <v:textbox style="layout-flow:vertical;mso-layout-flow-alt:bottom-to-top" inset="0,0,0,0">
                  <w:txbxContent>
                    <w:p w14:paraId="50E1561F" w14:textId="77777777" w:rsidR="0014798C" w:rsidRDefault="004E1F0B">
                      <w:pPr>
                        <w:spacing w:before="19"/>
                        <w:ind w:left="20"/>
                        <w:rPr>
                          <w:sz w:val="8"/>
                        </w:rPr>
                      </w:pPr>
                      <w:r>
                        <w:rPr>
                          <w:color w:val="FFFFFF"/>
                          <w:spacing w:val="-24"/>
                          <w:sz w:val="8"/>
                        </w:rPr>
                        <w:t>I–P</w:t>
                      </w:r>
                      <w:r>
                        <w:rPr>
                          <w:spacing w:val="-24"/>
                          <w:sz w:val="8"/>
                        </w:rPr>
                        <w:t>S</w:t>
                      </w:r>
                      <w:r>
                        <w:rPr>
                          <w:color w:val="FFFFFF"/>
                          <w:spacing w:val="-24"/>
                          <w:sz w:val="8"/>
                        </w:rPr>
                        <w:t>A</w:t>
                      </w:r>
                      <w:r>
                        <w:rPr>
                          <w:spacing w:val="-24"/>
                          <w:sz w:val="8"/>
                        </w:rPr>
                        <w:t>E</w:t>
                      </w:r>
                      <w:r>
                        <w:rPr>
                          <w:color w:val="FFFFFF"/>
                          <w:spacing w:val="-24"/>
                          <w:sz w:val="8"/>
                        </w:rPr>
                        <w:t>R</w:t>
                      </w:r>
                      <w:r>
                        <w:rPr>
                          <w:spacing w:val="-24"/>
                          <w:sz w:val="8"/>
                        </w:rPr>
                        <w:t>G</w:t>
                      </w:r>
                      <w:r>
                        <w:rPr>
                          <w:color w:val="FFFFFF"/>
                          <w:spacing w:val="-24"/>
                          <w:sz w:val="8"/>
                        </w:rPr>
                        <w:t>T</w:t>
                      </w:r>
                      <w:r>
                        <w:rPr>
                          <w:spacing w:val="-24"/>
                          <w:sz w:val="8"/>
                        </w:rPr>
                        <w:t>U</w:t>
                      </w:r>
                      <w:r>
                        <w:rPr>
                          <w:color w:val="FFFFFF"/>
                          <w:spacing w:val="-24"/>
                          <w:sz w:val="8"/>
                        </w:rPr>
                        <w:t>E</w:t>
                      </w:r>
                      <w:r>
                        <w:rPr>
                          <w:spacing w:val="-24"/>
                          <w:sz w:val="8"/>
                        </w:rPr>
                        <w:t>NDA</w:t>
                      </w:r>
                    </w:p>
                  </w:txbxContent>
                </v:textbox>
                <w10:wrap anchorx="page"/>
              </v:shape>
            </w:pict>
          </mc:Fallback>
        </mc:AlternateContent>
      </w:r>
      <w:r>
        <w:rPr>
          <w:sz w:val="16"/>
        </w:rPr>
        <w:t>Los deberes</w:t>
      </w:r>
      <w:r>
        <w:rPr>
          <w:spacing w:val="-1"/>
          <w:sz w:val="16"/>
        </w:rPr>
        <w:t xml:space="preserve"> </w:t>
      </w:r>
      <w:r>
        <w:rPr>
          <w:sz w:val="16"/>
        </w:rPr>
        <w:t>de igualdad ofrecen un medio eficaz</w:t>
      </w:r>
      <w:r>
        <w:rPr>
          <w:spacing w:val="-1"/>
          <w:sz w:val="16"/>
        </w:rPr>
        <w:t xml:space="preserve"> </w:t>
      </w:r>
      <w:r>
        <w:rPr>
          <w:sz w:val="16"/>
        </w:rPr>
        <w:t>y necesario para hacer operativos</w:t>
      </w:r>
      <w:r>
        <w:rPr>
          <w:spacing w:val="-1"/>
          <w:sz w:val="16"/>
        </w:rPr>
        <w:t xml:space="preserve"> </w:t>
      </w:r>
      <w:r>
        <w:rPr>
          <w:sz w:val="16"/>
        </w:rPr>
        <w:t>los derechos</w:t>
      </w:r>
      <w:r>
        <w:rPr>
          <w:spacing w:val="-1"/>
          <w:sz w:val="16"/>
        </w:rPr>
        <w:t xml:space="preserve"> </w:t>
      </w:r>
      <w:r>
        <w:rPr>
          <w:sz w:val="16"/>
        </w:rPr>
        <w:t>a la igualdad y la no discriminación y garantizar su integración en el trabajo de las autoridades públicas y otros titulares de deberes. Los deberes de igualdad permiten a los Estados cumplir con sus obligaciones de respetar, proteger y hacer realidad los derechos a la igualdad y la no discriminación.</w:t>
      </w:r>
    </w:p>
    <w:p w14:paraId="35D02E20" w14:textId="77777777" w:rsidR="0014798C" w:rsidRDefault="004E1F0B">
      <w:pPr>
        <w:pStyle w:val="Prrafodelista"/>
        <w:numPr>
          <w:ilvl w:val="1"/>
          <w:numId w:val="54"/>
        </w:numPr>
        <w:tabs>
          <w:tab w:val="left" w:pos="1457"/>
          <w:tab w:val="left" w:pos="1560"/>
        </w:tabs>
        <w:spacing w:before="111" w:line="326" w:lineRule="auto"/>
        <w:ind w:left="1560" w:right="1469" w:hanging="203"/>
        <w:rPr>
          <w:color w:val="0075BF"/>
          <w:sz w:val="16"/>
        </w:rPr>
      </w:pPr>
      <w:r>
        <w:rPr>
          <w:sz w:val="16"/>
        </w:rPr>
        <w:t>En la práctica nacional, los Estados han adoptado una amplia gama de deberes de igualdad, que pueden dividirse en tres categorías principales: (a) deberes preventivos, que buscan evitar actos de discriminación antes de que ocurran; (b) deberes</w:t>
      </w:r>
      <w:r>
        <w:rPr>
          <w:spacing w:val="-8"/>
          <w:sz w:val="16"/>
        </w:rPr>
        <w:t xml:space="preserve"> </w:t>
      </w:r>
      <w:r>
        <w:rPr>
          <w:sz w:val="16"/>
        </w:rPr>
        <w:t>institucionales,</w:t>
      </w:r>
      <w:r>
        <w:rPr>
          <w:spacing w:val="-6"/>
          <w:sz w:val="16"/>
        </w:rPr>
        <w:t xml:space="preserve"> </w:t>
      </w:r>
      <w:r>
        <w:rPr>
          <w:sz w:val="16"/>
        </w:rPr>
        <w:t>que</w:t>
      </w:r>
      <w:r>
        <w:rPr>
          <w:spacing w:val="-7"/>
          <w:sz w:val="16"/>
        </w:rPr>
        <w:t xml:space="preserve"> </w:t>
      </w:r>
      <w:r>
        <w:rPr>
          <w:sz w:val="16"/>
        </w:rPr>
        <w:t>buscan</w:t>
      </w:r>
      <w:r>
        <w:rPr>
          <w:spacing w:val="-7"/>
          <w:sz w:val="16"/>
        </w:rPr>
        <w:t xml:space="preserve"> </w:t>
      </w:r>
      <w:r>
        <w:rPr>
          <w:sz w:val="16"/>
        </w:rPr>
        <w:t>promover</w:t>
      </w:r>
      <w:r>
        <w:rPr>
          <w:spacing w:val="-7"/>
          <w:sz w:val="16"/>
        </w:rPr>
        <w:t xml:space="preserve"> </w:t>
      </w:r>
      <w:r>
        <w:rPr>
          <w:sz w:val="16"/>
        </w:rPr>
        <w:t>la</w:t>
      </w:r>
      <w:r>
        <w:rPr>
          <w:spacing w:val="-7"/>
          <w:sz w:val="16"/>
        </w:rPr>
        <w:t xml:space="preserve"> </w:t>
      </w:r>
      <w:r>
        <w:rPr>
          <w:sz w:val="16"/>
        </w:rPr>
        <w:t>igualdad</w:t>
      </w:r>
      <w:r>
        <w:rPr>
          <w:spacing w:val="-7"/>
          <w:sz w:val="16"/>
        </w:rPr>
        <w:t xml:space="preserve"> </w:t>
      </w:r>
      <w:r>
        <w:rPr>
          <w:sz w:val="16"/>
        </w:rPr>
        <w:t>en</w:t>
      </w:r>
      <w:r>
        <w:rPr>
          <w:spacing w:val="-7"/>
          <w:sz w:val="16"/>
        </w:rPr>
        <w:t xml:space="preserve"> </w:t>
      </w:r>
      <w:r>
        <w:rPr>
          <w:sz w:val="16"/>
        </w:rPr>
        <w:t>el</w:t>
      </w:r>
      <w:r>
        <w:rPr>
          <w:spacing w:val="-7"/>
          <w:sz w:val="16"/>
        </w:rPr>
        <w:t xml:space="preserve"> </w:t>
      </w:r>
      <w:r>
        <w:rPr>
          <w:sz w:val="16"/>
        </w:rPr>
        <w:t>trabajo</w:t>
      </w:r>
      <w:r>
        <w:rPr>
          <w:spacing w:val="-8"/>
          <w:sz w:val="16"/>
        </w:rPr>
        <w:t xml:space="preserve"> </w:t>
      </w:r>
      <w:r>
        <w:rPr>
          <w:sz w:val="16"/>
        </w:rPr>
        <w:t>de</w:t>
      </w:r>
      <w:r>
        <w:rPr>
          <w:spacing w:val="-7"/>
          <w:sz w:val="16"/>
        </w:rPr>
        <w:t xml:space="preserve"> </w:t>
      </w:r>
      <w:r>
        <w:rPr>
          <w:sz w:val="16"/>
        </w:rPr>
        <w:t>las</w:t>
      </w:r>
      <w:r>
        <w:rPr>
          <w:spacing w:val="-7"/>
          <w:sz w:val="16"/>
        </w:rPr>
        <w:t xml:space="preserve"> </w:t>
      </w:r>
      <w:r>
        <w:rPr>
          <w:sz w:val="16"/>
        </w:rPr>
        <w:t>organizaciones</w:t>
      </w:r>
      <w:r>
        <w:rPr>
          <w:spacing w:val="-8"/>
          <w:sz w:val="16"/>
        </w:rPr>
        <w:t xml:space="preserve"> </w:t>
      </w:r>
      <w:r>
        <w:rPr>
          <w:sz w:val="16"/>
        </w:rPr>
        <w:t>del</w:t>
      </w:r>
      <w:r>
        <w:rPr>
          <w:spacing w:val="-7"/>
          <w:sz w:val="16"/>
        </w:rPr>
        <w:t xml:space="preserve"> </w:t>
      </w:r>
      <w:r>
        <w:rPr>
          <w:sz w:val="16"/>
        </w:rPr>
        <w:t>sector</w:t>
      </w:r>
      <w:r>
        <w:rPr>
          <w:spacing w:val="-8"/>
          <w:sz w:val="16"/>
        </w:rPr>
        <w:t xml:space="preserve"> </w:t>
      </w:r>
      <w:r>
        <w:rPr>
          <w:sz w:val="16"/>
        </w:rPr>
        <w:t>público</w:t>
      </w:r>
      <w:r>
        <w:rPr>
          <w:spacing w:val="-7"/>
          <w:sz w:val="16"/>
        </w:rPr>
        <w:t xml:space="preserve"> </w:t>
      </w:r>
      <w:r>
        <w:rPr>
          <w:sz w:val="16"/>
        </w:rPr>
        <w:t>y</w:t>
      </w:r>
      <w:r>
        <w:rPr>
          <w:spacing w:val="-7"/>
          <w:sz w:val="16"/>
        </w:rPr>
        <w:t xml:space="preserve"> </w:t>
      </w:r>
      <w:r>
        <w:rPr>
          <w:sz w:val="16"/>
        </w:rPr>
        <w:t>privado; y (c) funciones de transversalización, que buscan integrar y centralizar la planificación de la igualdad en los ámbitos de</w:t>
      </w:r>
    </w:p>
    <w:p w14:paraId="0E8648BC" w14:textId="77777777" w:rsidR="0014798C" w:rsidRDefault="004E1F0B">
      <w:pPr>
        <w:pStyle w:val="Textoindependiente"/>
        <w:spacing w:line="182" w:lineRule="exact"/>
        <w:ind w:left="1559"/>
      </w:pPr>
      <w:r>
        <w:t>la</w:t>
      </w:r>
      <w:r>
        <w:rPr>
          <w:spacing w:val="-2"/>
        </w:rPr>
        <w:t xml:space="preserve"> </w:t>
      </w:r>
      <w:r>
        <w:t>toma</w:t>
      </w:r>
      <w:r>
        <w:rPr>
          <w:spacing w:val="-1"/>
        </w:rPr>
        <w:t xml:space="preserve"> </w:t>
      </w:r>
      <w:r>
        <w:t>de</w:t>
      </w:r>
      <w:r>
        <w:rPr>
          <w:spacing w:val="-1"/>
        </w:rPr>
        <w:t xml:space="preserve"> </w:t>
      </w:r>
      <w:r>
        <w:t>decisiones</w:t>
      </w:r>
      <w:r>
        <w:rPr>
          <w:spacing w:val="-2"/>
        </w:rPr>
        <w:t xml:space="preserve"> públicas.</w:t>
      </w:r>
    </w:p>
    <w:p w14:paraId="50A1163C" w14:textId="77777777" w:rsidR="0014798C" w:rsidRDefault="0014798C">
      <w:pPr>
        <w:pStyle w:val="Textoindependiente"/>
      </w:pPr>
    </w:p>
    <w:p w14:paraId="4EDECFA4" w14:textId="77777777" w:rsidR="0014798C" w:rsidRDefault="0014798C">
      <w:pPr>
        <w:pStyle w:val="Textoindependiente"/>
      </w:pPr>
    </w:p>
    <w:p w14:paraId="54D0AA3B" w14:textId="77777777" w:rsidR="0014798C" w:rsidRDefault="0014798C">
      <w:pPr>
        <w:pStyle w:val="Textoindependiente"/>
        <w:spacing w:before="103"/>
      </w:pPr>
    </w:p>
    <w:p w14:paraId="641F8999" w14:textId="77777777" w:rsidR="0014798C" w:rsidRDefault="004E1F0B">
      <w:pPr>
        <w:pStyle w:val="Textoindependiente"/>
        <w:spacing w:before="1" w:line="326" w:lineRule="auto"/>
        <w:ind w:left="1107" w:right="1234" w:firstLine="1"/>
      </w:pPr>
      <w:r>
        <w:t>En un número cada vez mayor de países, se han establecido deberes legales de igualdad como medio para dar efecto a las obligaciones de los Estados en materia de igualdad y no discriminación. Estos deberes buscan asegurar el cambio social e institucional proporcionando un marco legal a través del cual los derechos a la igualdad y la no discriminación puedan integrarse</w:t>
      </w:r>
      <w:r>
        <w:rPr>
          <w:spacing w:val="80"/>
        </w:rPr>
        <w:t xml:space="preserve"> </w:t>
      </w:r>
      <w:r>
        <w:t>en los procesos de toma de decisiones e internalizarse por parte de los titulares de deberes. Se han adoptado varios modelos diferentes de deber legal de igualdad, cada uno de los cuales se centra en la eliminación de la discriminación y el logro de la igualdad sustantiva.543 Por lo tanto, los deberes de igualdad desempeñan un doble papel: permitir a los Estados cumplir con su obligación de abstenerse de discriminar</w:t>
      </w:r>
      <w:r>
        <w:rPr>
          <w:spacing w:val="-1"/>
        </w:rPr>
        <w:t xml:space="preserve"> </w:t>
      </w:r>
      <w:r>
        <w:t>y, al mismo tiempo, proporcionar</w:t>
      </w:r>
      <w:r>
        <w:rPr>
          <w:spacing w:val="-1"/>
        </w:rPr>
        <w:t xml:space="preserve"> </w:t>
      </w:r>
      <w:r>
        <w:t>una mecanismo a través</w:t>
      </w:r>
      <w:r>
        <w:rPr>
          <w:spacing w:val="-1"/>
        </w:rPr>
        <w:t xml:space="preserve"> </w:t>
      </w:r>
      <w:r>
        <w:t>del cual se puede hacer efectivo el derecho a la igualdad y apoyar así la adopción de medidas de acción positiva.</w:t>
      </w:r>
    </w:p>
    <w:p w14:paraId="28EEAF90" w14:textId="77777777" w:rsidR="0014798C" w:rsidRDefault="004E1F0B">
      <w:pPr>
        <w:pStyle w:val="Textoindependiente"/>
        <w:spacing w:before="166" w:line="326" w:lineRule="auto"/>
        <w:ind w:left="1107" w:right="1287" w:firstLine="5"/>
      </w:pPr>
      <w:r>
        <w:t>Los deberes estatutarios de igualdad imponen a los titulares de deberes pertinentes la obligación de seguir un proceso particular</w:t>
      </w:r>
      <w:r>
        <w:rPr>
          <w:spacing w:val="40"/>
        </w:rPr>
        <w:t xml:space="preserve"> </w:t>
      </w:r>
      <w:r>
        <w:t>de toma de decisiones o adoptar un procedimiento destinado a incorporar los derechos a la igualdad y la no discriminación. Estas funciones pueden diferir mucho, tanto en lo que respecta a sus objetivos como a sus resultados y a su mecanismo de funcionamiento.</w:t>
      </w:r>
      <w:r>
        <w:rPr>
          <w:spacing w:val="8"/>
        </w:rPr>
        <w:t xml:space="preserve"> </w:t>
      </w:r>
      <w:r>
        <w:t>En algunos países, como el Reino Unido, los deberes de igualdad se expresan en términos amplios, exigiendo</w:t>
      </w:r>
      <w:r>
        <w:rPr>
          <w:spacing w:val="80"/>
        </w:rPr>
        <w:t xml:space="preserve"> </w:t>
      </w:r>
      <w:r>
        <w:t>que los organismos públicos tengan “la debida consideración a la necesidad de... eliminar la discriminación”, “promover la igualdad de oportunidades” y “fomentar las buenas relaciones entre las personas” cuando llevar a cabo sus actividades.544 En otros</w:t>
      </w:r>
      <w:r>
        <w:rPr>
          <w:spacing w:val="80"/>
        </w:rPr>
        <w:t xml:space="preserve"> </w:t>
      </w:r>
      <w:r>
        <w:t>países, puede ser necesario un conjunto específico de medidas, como la adopción de un plan de igualdad o la recopilación de</w:t>
      </w:r>
      <w:r>
        <w:rPr>
          <w:spacing w:val="40"/>
        </w:rPr>
        <w:t xml:space="preserve"> </w:t>
      </w:r>
      <w:r>
        <w:t>datos desglosados en áreas como el empleo o la educación.</w:t>
      </w:r>
    </w:p>
    <w:p w14:paraId="67D20040" w14:textId="77777777" w:rsidR="0014798C" w:rsidRDefault="004E1F0B">
      <w:pPr>
        <w:pStyle w:val="Textoindependiente"/>
        <w:spacing w:before="166" w:line="326" w:lineRule="auto"/>
        <w:ind w:left="1108" w:right="1369" w:hanging="2"/>
      </w:pPr>
      <w:r>
        <w:t>Las obligaciones impuestas por los deberes de igualdad son de naturaleza procesal y son exigibles en ausencia de una víctima individual de discriminación. En</w:t>
      </w:r>
      <w:r>
        <w:rPr>
          <w:spacing w:val="-1"/>
        </w:rPr>
        <w:t xml:space="preserve"> </w:t>
      </w:r>
      <w:r>
        <w:t>este sentido, estos</w:t>
      </w:r>
      <w:r>
        <w:rPr>
          <w:spacing w:val="-1"/>
        </w:rPr>
        <w:t xml:space="preserve"> </w:t>
      </w:r>
      <w:r>
        <w:t>deberes</w:t>
      </w:r>
      <w:r>
        <w:rPr>
          <w:spacing w:val="-1"/>
        </w:rPr>
        <w:t xml:space="preserve"> </w:t>
      </w:r>
      <w:r>
        <w:t>marcan un cambio de un modelo “reactivo”</w:t>
      </w:r>
      <w:r>
        <w:rPr>
          <w:spacing w:val="-1"/>
        </w:rPr>
        <w:t xml:space="preserve"> </w:t>
      </w:r>
      <w:r>
        <w:t>de ley antidiscriminatoria, cuyo objetivo es remediar violaciones de derechos individuales, a un modelo proactivo “basado en el cumplimiento”, según el</w:t>
      </w:r>
      <w:r>
        <w:rPr>
          <w:spacing w:val="80"/>
        </w:rPr>
        <w:t xml:space="preserve"> </w:t>
      </w:r>
      <w:r>
        <w:t>cual el incumplimiento de una obligación procesal de adoptar o seguir un requisito de política legislado puede en sí mismo dar lugar a un reclamo legal.545</w:t>
      </w:r>
      <w:r>
        <w:rPr>
          <w:spacing w:val="-1"/>
        </w:rPr>
        <w:t xml:space="preserve"> </w:t>
      </w:r>
      <w:r>
        <w:t>Estos</w:t>
      </w:r>
      <w:r>
        <w:rPr>
          <w:spacing w:val="-1"/>
        </w:rPr>
        <w:t xml:space="preserve"> </w:t>
      </w:r>
      <w:r>
        <w:t>dos sistemas</w:t>
      </w:r>
      <w:r>
        <w:rPr>
          <w:spacing w:val="-1"/>
        </w:rPr>
        <w:t xml:space="preserve"> </w:t>
      </w:r>
      <w:r>
        <w:t>se apoyan mutuamente</w:t>
      </w:r>
      <w:r>
        <w:rPr>
          <w:spacing w:val="-1"/>
        </w:rPr>
        <w:t xml:space="preserve"> </w:t>
      </w:r>
      <w:r>
        <w:t>y pueden reafirmarse. En</w:t>
      </w:r>
      <w:r>
        <w:rPr>
          <w:spacing w:val="-1"/>
        </w:rPr>
        <w:t xml:space="preserve"> </w:t>
      </w:r>
      <w:r>
        <w:t>algunos</w:t>
      </w:r>
      <w:r>
        <w:rPr>
          <w:spacing w:val="-1"/>
        </w:rPr>
        <w:t xml:space="preserve"> </w:t>
      </w:r>
      <w:r>
        <w:t>países, como Suecia,</w:t>
      </w:r>
    </w:p>
    <w:p w14:paraId="7E608863" w14:textId="77777777" w:rsidR="0014798C" w:rsidRDefault="004E1F0B">
      <w:pPr>
        <w:pStyle w:val="Textoindependiente"/>
        <w:spacing w:line="326" w:lineRule="auto"/>
        <w:ind w:left="1108" w:right="1272"/>
      </w:pPr>
      <w:r>
        <w:t>por ejemplo, el incumplimiento de un deber legal de igualdad puede servir para respaldar</w:t>
      </w:r>
      <w:r>
        <w:rPr>
          <w:spacing w:val="-1"/>
        </w:rPr>
        <w:t xml:space="preserve"> </w:t>
      </w:r>
      <w:r>
        <w:t>un reclamo de discriminación al dar lugar a una inferencia de discriminación.546</w:t>
      </w:r>
    </w:p>
    <w:p w14:paraId="585D48CE" w14:textId="77777777" w:rsidR="0014798C" w:rsidRDefault="004E1F0B">
      <w:pPr>
        <w:pStyle w:val="Textoindependiente"/>
        <w:spacing w:before="166" w:line="326" w:lineRule="auto"/>
        <w:ind w:left="1111" w:right="1290" w:hanging="4"/>
      </w:pPr>
      <w:r>
        <w:t>En</w:t>
      </w:r>
      <w:r>
        <w:rPr>
          <w:spacing w:val="-1"/>
        </w:rPr>
        <w:t xml:space="preserve"> </w:t>
      </w:r>
      <w:r>
        <w:t xml:space="preserve">2016, </w:t>
      </w:r>
      <w:proofErr w:type="spellStart"/>
      <w:r>
        <w:t>Equinet</w:t>
      </w:r>
      <w:proofErr w:type="spellEnd"/>
      <w:r>
        <w:t>, la Red Europea</w:t>
      </w:r>
      <w:r>
        <w:rPr>
          <w:spacing w:val="-1"/>
        </w:rPr>
        <w:t xml:space="preserve"> </w:t>
      </w:r>
      <w:r>
        <w:t>de Organismos</w:t>
      </w:r>
      <w:r>
        <w:rPr>
          <w:spacing w:val="-1"/>
        </w:rPr>
        <w:t xml:space="preserve"> </w:t>
      </w:r>
      <w:r>
        <w:t>de Igualdad, publicó un estudio</w:t>
      </w:r>
      <w:r>
        <w:rPr>
          <w:spacing w:val="-1"/>
        </w:rPr>
        <w:t xml:space="preserve"> </w:t>
      </w:r>
      <w:r>
        <w:t>sobre el uso de deberes</w:t>
      </w:r>
      <w:r>
        <w:rPr>
          <w:spacing w:val="-1"/>
        </w:rPr>
        <w:t xml:space="preserve"> </w:t>
      </w:r>
      <w:r>
        <w:t>legales</w:t>
      </w:r>
      <w:r>
        <w:rPr>
          <w:spacing w:val="-1"/>
        </w:rPr>
        <w:t xml:space="preserve"> </w:t>
      </w:r>
      <w:r>
        <w:t>de igualdad en Europa que proponía una tipología de deberes de igualdad con tres categorías principales: (a) deberes preventivos, destinados a prevenir actos de discriminación; b) deberes institucionales, encaminados a promover el derecho a la igualdad</w:t>
      </w:r>
    </w:p>
    <w:p w14:paraId="0DBEF702" w14:textId="77777777" w:rsidR="0014798C" w:rsidRDefault="0014798C">
      <w:pPr>
        <w:pStyle w:val="Textoindependiente"/>
        <w:rPr>
          <w:sz w:val="20"/>
        </w:rPr>
      </w:pPr>
    </w:p>
    <w:p w14:paraId="7216B7FA" w14:textId="77777777" w:rsidR="0014798C" w:rsidRDefault="0014798C">
      <w:pPr>
        <w:pStyle w:val="Textoindependiente"/>
        <w:spacing w:before="45"/>
        <w:rPr>
          <w:sz w:val="20"/>
        </w:rPr>
      </w:pPr>
    </w:p>
    <w:p w14:paraId="6C9CF11F" w14:textId="77777777" w:rsidR="0014798C" w:rsidRDefault="0014798C">
      <w:pPr>
        <w:rPr>
          <w:sz w:val="20"/>
        </w:rPr>
        <w:sectPr w:rsidR="0014798C" w:rsidSect="00F265E4">
          <w:pgSz w:w="11900" w:h="16820"/>
          <w:pgMar w:top="340" w:right="0" w:bottom="280" w:left="200" w:header="121" w:footer="0" w:gutter="0"/>
          <w:cols w:space="720"/>
        </w:sectPr>
      </w:pPr>
    </w:p>
    <w:p w14:paraId="5BDB237A" w14:textId="77777777" w:rsidR="0014798C" w:rsidRDefault="0014798C">
      <w:pPr>
        <w:pStyle w:val="Textoindependiente"/>
        <w:spacing w:before="9"/>
        <w:rPr>
          <w:sz w:val="8"/>
        </w:rPr>
      </w:pPr>
    </w:p>
    <w:p w14:paraId="00ECEAD9" w14:textId="77777777" w:rsidR="0014798C" w:rsidRDefault="004E1F0B">
      <w:pPr>
        <w:spacing w:before="1"/>
        <w:jc w:val="right"/>
        <w:rPr>
          <w:sz w:val="8"/>
        </w:rPr>
      </w:pPr>
      <w:r>
        <w:rPr>
          <w:spacing w:val="-5"/>
          <w:w w:val="105"/>
          <w:sz w:val="8"/>
        </w:rPr>
        <w:t>543</w:t>
      </w:r>
    </w:p>
    <w:p w14:paraId="1BFA2D0C" w14:textId="77777777" w:rsidR="0014798C" w:rsidRDefault="004E1F0B">
      <w:pPr>
        <w:spacing w:before="113" w:line="340" w:lineRule="auto"/>
        <w:ind w:left="79" w:right="3174" w:firstLine="1"/>
        <w:rPr>
          <w:sz w:val="11"/>
        </w:rPr>
      </w:pPr>
      <w:r>
        <w:br w:type="column"/>
      </w:r>
      <w:r>
        <w:rPr>
          <w:sz w:val="11"/>
        </w:rPr>
        <w:t xml:space="preserve">Véase, en términos generales, Niall Crowley, </w:t>
      </w:r>
      <w:proofErr w:type="spellStart"/>
      <w:r>
        <w:rPr>
          <w:sz w:val="11"/>
        </w:rPr>
        <w:t>Making</w:t>
      </w:r>
      <w:proofErr w:type="spellEnd"/>
      <w:r>
        <w:rPr>
          <w:sz w:val="11"/>
        </w:rPr>
        <w:t xml:space="preserve"> </w:t>
      </w:r>
      <w:proofErr w:type="spellStart"/>
      <w:r>
        <w:rPr>
          <w:sz w:val="11"/>
        </w:rPr>
        <w:t>Europe</w:t>
      </w:r>
      <w:proofErr w:type="spellEnd"/>
      <w:r>
        <w:rPr>
          <w:sz w:val="11"/>
        </w:rPr>
        <w:t xml:space="preserve"> More </w:t>
      </w:r>
      <w:proofErr w:type="spellStart"/>
      <w:r>
        <w:rPr>
          <w:sz w:val="11"/>
        </w:rPr>
        <w:t>Equal</w:t>
      </w:r>
      <w:proofErr w:type="spellEnd"/>
      <w:r>
        <w:rPr>
          <w:sz w:val="11"/>
        </w:rPr>
        <w:t xml:space="preserve">: A Legal </w:t>
      </w:r>
      <w:proofErr w:type="spellStart"/>
      <w:r>
        <w:rPr>
          <w:sz w:val="11"/>
        </w:rPr>
        <w:t>Duty</w:t>
      </w:r>
      <w:proofErr w:type="spellEnd"/>
      <w:r>
        <w:rPr>
          <w:sz w:val="11"/>
        </w:rPr>
        <w:t xml:space="preserve">? (Bruselas, </w:t>
      </w:r>
      <w:proofErr w:type="spellStart"/>
      <w:r>
        <w:rPr>
          <w:sz w:val="11"/>
        </w:rPr>
        <w:t>Equinet</w:t>
      </w:r>
      <w:proofErr w:type="spellEnd"/>
      <w:r>
        <w:rPr>
          <w:sz w:val="11"/>
        </w:rPr>
        <w:t xml:space="preserve">, 2016). Disponible en </w:t>
      </w:r>
      <w:hyperlink r:id="rId153">
        <w:r>
          <w:rPr>
            <w:color w:val="0075BF"/>
            <w:sz w:val="11"/>
          </w:rPr>
          <w:t>www.archive.</w:t>
        </w:r>
      </w:hyperlink>
      <w:r>
        <w:rPr>
          <w:color w:val="0075BF"/>
          <w:spacing w:val="40"/>
          <w:sz w:val="11"/>
        </w:rPr>
        <w:t xml:space="preserve"> </w:t>
      </w:r>
      <w:r>
        <w:rPr>
          <w:color w:val="0075BF"/>
          <w:spacing w:val="-2"/>
          <w:sz w:val="11"/>
        </w:rPr>
        <w:t>equineteurope.org/IMG/pdf/positiveequality_duties-finalweb.pdf.</w:t>
      </w:r>
    </w:p>
    <w:p w14:paraId="679EF143" w14:textId="77777777" w:rsidR="0014798C" w:rsidRDefault="0014798C">
      <w:pPr>
        <w:spacing w:line="340" w:lineRule="auto"/>
        <w:rPr>
          <w:sz w:val="11"/>
        </w:rPr>
        <w:sectPr w:rsidR="0014798C" w:rsidSect="00F265E4">
          <w:type w:val="continuous"/>
          <w:pgSz w:w="11900" w:h="16820"/>
          <w:pgMar w:top="40" w:right="0" w:bottom="280" w:left="200" w:header="121" w:footer="0" w:gutter="0"/>
          <w:cols w:num="2" w:space="720" w:equalWidth="0">
            <w:col w:w="1249" w:space="40"/>
            <w:col w:w="10411"/>
          </w:cols>
        </w:sectPr>
      </w:pPr>
    </w:p>
    <w:p w14:paraId="579A7CC1" w14:textId="77777777" w:rsidR="0014798C" w:rsidRDefault="004E1F0B">
      <w:pPr>
        <w:spacing w:before="57"/>
        <w:ind w:left="1107"/>
        <w:rPr>
          <w:sz w:val="11"/>
        </w:rPr>
      </w:pPr>
      <w:r>
        <w:rPr>
          <w:sz w:val="11"/>
        </w:rPr>
        <w:t>544</w:t>
      </w:r>
      <w:r>
        <w:rPr>
          <w:spacing w:val="1"/>
          <w:sz w:val="11"/>
        </w:rPr>
        <w:t xml:space="preserve"> </w:t>
      </w:r>
      <w:r>
        <w:rPr>
          <w:sz w:val="11"/>
        </w:rPr>
        <w:t>Ley</w:t>
      </w:r>
      <w:r>
        <w:rPr>
          <w:spacing w:val="2"/>
          <w:sz w:val="11"/>
        </w:rPr>
        <w:t xml:space="preserve"> </w:t>
      </w:r>
      <w:r>
        <w:rPr>
          <w:sz w:val="11"/>
        </w:rPr>
        <w:t>de</w:t>
      </w:r>
      <w:r>
        <w:rPr>
          <w:spacing w:val="1"/>
          <w:sz w:val="11"/>
        </w:rPr>
        <w:t xml:space="preserve"> </w:t>
      </w:r>
      <w:r>
        <w:rPr>
          <w:sz w:val="11"/>
        </w:rPr>
        <w:t>Igualdad</w:t>
      </w:r>
      <w:r>
        <w:rPr>
          <w:spacing w:val="2"/>
          <w:sz w:val="11"/>
        </w:rPr>
        <w:t xml:space="preserve"> </w:t>
      </w:r>
      <w:r>
        <w:rPr>
          <w:sz w:val="11"/>
        </w:rPr>
        <w:t>de</w:t>
      </w:r>
      <w:r>
        <w:rPr>
          <w:spacing w:val="2"/>
          <w:sz w:val="11"/>
        </w:rPr>
        <w:t xml:space="preserve"> </w:t>
      </w:r>
      <w:r>
        <w:rPr>
          <w:sz w:val="11"/>
        </w:rPr>
        <w:t>2010,</w:t>
      </w:r>
      <w:r>
        <w:rPr>
          <w:spacing w:val="1"/>
          <w:sz w:val="11"/>
        </w:rPr>
        <w:t xml:space="preserve"> </w:t>
      </w:r>
      <w:r>
        <w:rPr>
          <w:sz w:val="11"/>
        </w:rPr>
        <w:t>art.</w:t>
      </w:r>
      <w:r>
        <w:rPr>
          <w:spacing w:val="2"/>
          <w:sz w:val="11"/>
        </w:rPr>
        <w:t xml:space="preserve"> </w:t>
      </w:r>
      <w:r>
        <w:rPr>
          <w:sz w:val="11"/>
        </w:rPr>
        <w:t>149</w:t>
      </w:r>
      <w:r>
        <w:rPr>
          <w:spacing w:val="1"/>
          <w:sz w:val="11"/>
        </w:rPr>
        <w:t xml:space="preserve"> </w:t>
      </w:r>
      <w:r>
        <w:rPr>
          <w:spacing w:val="-4"/>
          <w:sz w:val="11"/>
        </w:rPr>
        <w:t>(1).</w:t>
      </w:r>
    </w:p>
    <w:p w14:paraId="5CB0DF5D" w14:textId="77777777" w:rsidR="0014798C" w:rsidRDefault="004E1F0B">
      <w:pPr>
        <w:spacing w:before="110" w:line="340" w:lineRule="auto"/>
        <w:ind w:left="1365" w:right="3645" w:hanging="258"/>
        <w:rPr>
          <w:sz w:val="11"/>
        </w:rPr>
      </w:pPr>
      <w:r>
        <w:rPr>
          <w:sz w:val="11"/>
        </w:rPr>
        <w:t xml:space="preserve">545 Beth </w:t>
      </w:r>
      <w:proofErr w:type="spellStart"/>
      <w:r>
        <w:rPr>
          <w:sz w:val="11"/>
        </w:rPr>
        <w:t>Gaze</w:t>
      </w:r>
      <w:proofErr w:type="spellEnd"/>
      <w:r>
        <w:rPr>
          <w:sz w:val="11"/>
        </w:rPr>
        <w:t xml:space="preserve"> y Belinda Smith, Ley de igualdad y discriminación en Australia: una introducción (Cambridge, Reino Unido, Cambridge</w:t>
      </w:r>
      <w:r>
        <w:rPr>
          <w:spacing w:val="40"/>
          <w:sz w:val="11"/>
        </w:rPr>
        <w:t xml:space="preserve"> </w:t>
      </w:r>
      <w:proofErr w:type="spellStart"/>
      <w:r>
        <w:rPr>
          <w:sz w:val="11"/>
        </w:rPr>
        <w:t>University</w:t>
      </w:r>
      <w:proofErr w:type="spellEnd"/>
      <w:r>
        <w:rPr>
          <w:sz w:val="11"/>
        </w:rPr>
        <w:t xml:space="preserve"> </w:t>
      </w:r>
      <w:proofErr w:type="spellStart"/>
      <w:r>
        <w:rPr>
          <w:sz w:val="11"/>
        </w:rPr>
        <w:t>Press</w:t>
      </w:r>
      <w:proofErr w:type="spellEnd"/>
      <w:r>
        <w:rPr>
          <w:sz w:val="11"/>
        </w:rPr>
        <w:t>, 2016), cap. 8 (acción positiva).</w:t>
      </w:r>
    </w:p>
    <w:p w14:paraId="0875D82B" w14:textId="77777777" w:rsidR="0014798C" w:rsidRDefault="004E1F0B">
      <w:pPr>
        <w:spacing w:before="57"/>
        <w:ind w:left="1107"/>
        <w:rPr>
          <w:sz w:val="11"/>
        </w:rPr>
      </w:pPr>
      <w:r>
        <w:rPr>
          <w:sz w:val="11"/>
        </w:rPr>
        <w:t>546</w:t>
      </w:r>
      <w:r>
        <w:rPr>
          <w:spacing w:val="2"/>
          <w:sz w:val="11"/>
        </w:rPr>
        <w:t xml:space="preserve"> </w:t>
      </w:r>
      <w:r>
        <w:rPr>
          <w:sz w:val="11"/>
        </w:rPr>
        <w:t>Presentación</w:t>
      </w:r>
      <w:r>
        <w:rPr>
          <w:spacing w:val="2"/>
          <w:sz w:val="11"/>
        </w:rPr>
        <w:t xml:space="preserve"> </w:t>
      </w:r>
      <w:r>
        <w:rPr>
          <w:sz w:val="11"/>
        </w:rPr>
        <w:t>de</w:t>
      </w:r>
      <w:r>
        <w:rPr>
          <w:spacing w:val="2"/>
          <w:sz w:val="11"/>
        </w:rPr>
        <w:t xml:space="preserve"> </w:t>
      </w:r>
      <w:r>
        <w:rPr>
          <w:sz w:val="11"/>
        </w:rPr>
        <w:t>la</w:t>
      </w:r>
      <w:r>
        <w:rPr>
          <w:spacing w:val="2"/>
          <w:sz w:val="11"/>
        </w:rPr>
        <w:t xml:space="preserve"> </w:t>
      </w:r>
      <w:r>
        <w:rPr>
          <w:sz w:val="11"/>
        </w:rPr>
        <w:t>Universidad</w:t>
      </w:r>
      <w:r>
        <w:rPr>
          <w:spacing w:val="2"/>
          <w:sz w:val="11"/>
        </w:rPr>
        <w:t xml:space="preserve"> </w:t>
      </w:r>
      <w:r>
        <w:rPr>
          <w:sz w:val="11"/>
        </w:rPr>
        <w:t>de</w:t>
      </w:r>
      <w:r>
        <w:rPr>
          <w:spacing w:val="2"/>
          <w:sz w:val="11"/>
        </w:rPr>
        <w:t xml:space="preserve"> </w:t>
      </w:r>
      <w:r>
        <w:rPr>
          <w:sz w:val="11"/>
        </w:rPr>
        <w:t>Estocolmo/Defensor</w:t>
      </w:r>
      <w:r>
        <w:rPr>
          <w:spacing w:val="2"/>
          <w:sz w:val="11"/>
        </w:rPr>
        <w:t xml:space="preserve"> </w:t>
      </w:r>
      <w:r>
        <w:rPr>
          <w:sz w:val="11"/>
        </w:rPr>
        <w:t>del</w:t>
      </w:r>
      <w:r>
        <w:rPr>
          <w:spacing w:val="2"/>
          <w:sz w:val="11"/>
        </w:rPr>
        <w:t xml:space="preserve"> </w:t>
      </w:r>
      <w:r>
        <w:rPr>
          <w:sz w:val="11"/>
        </w:rPr>
        <w:t>Pueblo</w:t>
      </w:r>
      <w:r>
        <w:rPr>
          <w:spacing w:val="2"/>
          <w:sz w:val="11"/>
        </w:rPr>
        <w:t xml:space="preserve"> </w:t>
      </w:r>
      <w:r>
        <w:rPr>
          <w:sz w:val="11"/>
        </w:rPr>
        <w:t>de</w:t>
      </w:r>
      <w:r>
        <w:rPr>
          <w:spacing w:val="3"/>
          <w:sz w:val="11"/>
        </w:rPr>
        <w:t xml:space="preserve"> </w:t>
      </w:r>
      <w:r>
        <w:rPr>
          <w:sz w:val="11"/>
        </w:rPr>
        <w:t>la</w:t>
      </w:r>
      <w:r>
        <w:rPr>
          <w:spacing w:val="2"/>
          <w:sz w:val="11"/>
        </w:rPr>
        <w:t xml:space="preserve"> </w:t>
      </w:r>
      <w:r>
        <w:rPr>
          <w:sz w:val="11"/>
        </w:rPr>
        <w:t>Igualdad</w:t>
      </w:r>
      <w:r>
        <w:rPr>
          <w:spacing w:val="2"/>
          <w:sz w:val="11"/>
        </w:rPr>
        <w:t xml:space="preserve"> </w:t>
      </w:r>
      <w:r>
        <w:rPr>
          <w:sz w:val="11"/>
        </w:rPr>
        <w:t>de</w:t>
      </w:r>
      <w:r>
        <w:rPr>
          <w:spacing w:val="2"/>
          <w:sz w:val="11"/>
        </w:rPr>
        <w:t xml:space="preserve"> </w:t>
      </w:r>
      <w:r>
        <w:rPr>
          <w:spacing w:val="-2"/>
          <w:sz w:val="11"/>
        </w:rPr>
        <w:t>Suecia.</w:t>
      </w:r>
    </w:p>
    <w:p w14:paraId="2BF293E2" w14:textId="77777777" w:rsidR="0014798C" w:rsidRDefault="0014798C">
      <w:pPr>
        <w:pStyle w:val="Textoindependiente"/>
        <w:rPr>
          <w:sz w:val="19"/>
        </w:rPr>
      </w:pPr>
    </w:p>
    <w:p w14:paraId="142009AA" w14:textId="77777777" w:rsidR="0014798C" w:rsidRDefault="0014798C">
      <w:pPr>
        <w:pStyle w:val="Textoindependiente"/>
        <w:spacing w:before="211"/>
        <w:rPr>
          <w:sz w:val="19"/>
        </w:rPr>
      </w:pPr>
    </w:p>
    <w:p w14:paraId="2C1F79F4" w14:textId="77777777" w:rsidR="0014798C" w:rsidRDefault="004E1F0B">
      <w:pPr>
        <w:ind w:right="719"/>
        <w:jc w:val="right"/>
        <w:rPr>
          <w:sz w:val="19"/>
        </w:rPr>
      </w:pPr>
      <w:r>
        <w:rPr>
          <w:spacing w:val="-5"/>
          <w:sz w:val="19"/>
        </w:rPr>
        <w:t>69</w:t>
      </w:r>
    </w:p>
    <w:p w14:paraId="4E964C26" w14:textId="77777777" w:rsidR="0014798C" w:rsidRDefault="0014798C">
      <w:pPr>
        <w:jc w:val="right"/>
        <w:rPr>
          <w:sz w:val="19"/>
        </w:rPr>
        <w:sectPr w:rsidR="0014798C" w:rsidSect="00F265E4">
          <w:type w:val="continuous"/>
          <w:pgSz w:w="11900" w:h="16820"/>
          <w:pgMar w:top="40" w:right="0" w:bottom="280" w:left="200" w:header="121" w:footer="0" w:gutter="0"/>
          <w:cols w:space="720"/>
        </w:sectPr>
      </w:pPr>
    </w:p>
    <w:p w14:paraId="76F424B8" w14:textId="77777777" w:rsidR="0014798C" w:rsidRDefault="0014798C">
      <w:pPr>
        <w:pStyle w:val="Textoindependiente"/>
        <w:spacing w:before="85"/>
        <w:rPr>
          <w:sz w:val="12"/>
        </w:rPr>
      </w:pPr>
    </w:p>
    <w:p w14:paraId="0F319BA9" w14:textId="77777777" w:rsidR="0014798C" w:rsidRDefault="004E1F0B">
      <w:pPr>
        <w:ind w:left="1111"/>
        <w:rPr>
          <w:sz w:val="12"/>
        </w:rPr>
      </w:pPr>
      <w:r>
        <w:rPr>
          <w:color w:val="00AC59"/>
          <w:sz w:val="12"/>
        </w:rPr>
        <w:t>PROTECCIÓN</w:t>
      </w:r>
      <w:r>
        <w:rPr>
          <w:color w:val="00AC59"/>
          <w:spacing w:val="6"/>
          <w:sz w:val="12"/>
        </w:rPr>
        <w:t xml:space="preserve"> </w:t>
      </w:r>
      <w:r>
        <w:rPr>
          <w:color w:val="00AC59"/>
          <w:sz w:val="12"/>
        </w:rPr>
        <w:t>DE</w:t>
      </w:r>
      <w:r>
        <w:rPr>
          <w:color w:val="00AC59"/>
          <w:spacing w:val="7"/>
          <w:sz w:val="12"/>
        </w:rPr>
        <w:t xml:space="preserve"> </w:t>
      </w:r>
      <w:r>
        <w:rPr>
          <w:color w:val="00AC59"/>
          <w:sz w:val="12"/>
        </w:rPr>
        <w:t>LOS</w:t>
      </w:r>
      <w:r>
        <w:rPr>
          <w:color w:val="00AC59"/>
          <w:spacing w:val="8"/>
          <w:sz w:val="12"/>
        </w:rPr>
        <w:t xml:space="preserve"> </w:t>
      </w:r>
      <w:r>
        <w:rPr>
          <w:color w:val="00AC59"/>
          <w:sz w:val="12"/>
        </w:rPr>
        <w:t>DERECHOS</w:t>
      </w:r>
      <w:r>
        <w:rPr>
          <w:color w:val="00AC59"/>
          <w:spacing w:val="8"/>
          <w:sz w:val="12"/>
        </w:rPr>
        <w:t xml:space="preserve"> </w:t>
      </w:r>
      <w:r>
        <w:rPr>
          <w:color w:val="00AC59"/>
          <w:sz w:val="12"/>
        </w:rPr>
        <w:t>DE</w:t>
      </w:r>
      <w:r>
        <w:rPr>
          <w:color w:val="00AC59"/>
          <w:spacing w:val="6"/>
          <w:sz w:val="12"/>
        </w:rPr>
        <w:t xml:space="preserve"> </w:t>
      </w:r>
      <w:r>
        <w:rPr>
          <w:color w:val="00AC59"/>
          <w:sz w:val="12"/>
        </w:rPr>
        <w:t>LAS</w:t>
      </w:r>
      <w:r>
        <w:rPr>
          <w:color w:val="00AC59"/>
          <w:spacing w:val="7"/>
          <w:sz w:val="12"/>
        </w:rPr>
        <w:t xml:space="preserve"> </w:t>
      </w:r>
      <w:r>
        <w:rPr>
          <w:color w:val="00AC59"/>
          <w:sz w:val="12"/>
        </w:rPr>
        <w:t>MINORÍAS:</w:t>
      </w:r>
      <w:r>
        <w:rPr>
          <w:color w:val="00AC59"/>
          <w:spacing w:val="8"/>
          <w:sz w:val="12"/>
        </w:rPr>
        <w:t xml:space="preserve"> </w:t>
      </w:r>
      <w:r>
        <w:rPr>
          <w:color w:val="00AC59"/>
          <w:sz w:val="12"/>
        </w:rPr>
        <w:t>una</w:t>
      </w:r>
      <w:r>
        <w:rPr>
          <w:color w:val="00AC59"/>
          <w:spacing w:val="7"/>
          <w:sz w:val="12"/>
        </w:rPr>
        <w:t xml:space="preserve"> </w:t>
      </w:r>
      <w:r>
        <w:rPr>
          <w:color w:val="00AC59"/>
          <w:sz w:val="12"/>
        </w:rPr>
        <w:t>guía</w:t>
      </w:r>
      <w:r>
        <w:rPr>
          <w:color w:val="00AC59"/>
          <w:spacing w:val="6"/>
          <w:sz w:val="12"/>
        </w:rPr>
        <w:t xml:space="preserve"> </w:t>
      </w:r>
      <w:r>
        <w:rPr>
          <w:color w:val="00AC59"/>
          <w:sz w:val="12"/>
        </w:rPr>
        <w:t>práctica</w:t>
      </w:r>
      <w:r>
        <w:rPr>
          <w:color w:val="00AC59"/>
          <w:spacing w:val="7"/>
          <w:sz w:val="12"/>
        </w:rPr>
        <w:t xml:space="preserve"> </w:t>
      </w:r>
      <w:r>
        <w:rPr>
          <w:color w:val="00AC59"/>
          <w:sz w:val="12"/>
        </w:rPr>
        <w:t>para</w:t>
      </w:r>
      <w:r>
        <w:rPr>
          <w:color w:val="00AC59"/>
          <w:spacing w:val="8"/>
          <w:sz w:val="12"/>
        </w:rPr>
        <w:t xml:space="preserve"> </w:t>
      </w:r>
      <w:r>
        <w:rPr>
          <w:color w:val="00AC59"/>
          <w:sz w:val="12"/>
        </w:rPr>
        <w:t>desarrollar</w:t>
      </w:r>
      <w:r>
        <w:rPr>
          <w:color w:val="00AC59"/>
          <w:spacing w:val="6"/>
          <w:sz w:val="12"/>
        </w:rPr>
        <w:t xml:space="preserve"> </w:t>
      </w:r>
      <w:r>
        <w:rPr>
          <w:color w:val="00AC59"/>
          <w:sz w:val="12"/>
        </w:rPr>
        <w:t>una</w:t>
      </w:r>
      <w:r>
        <w:rPr>
          <w:color w:val="00AC59"/>
          <w:spacing w:val="7"/>
          <w:sz w:val="12"/>
        </w:rPr>
        <w:t xml:space="preserve"> </w:t>
      </w:r>
      <w:r>
        <w:rPr>
          <w:color w:val="00AC59"/>
          <w:sz w:val="12"/>
        </w:rPr>
        <w:t>legislación</w:t>
      </w:r>
      <w:r>
        <w:rPr>
          <w:color w:val="00AC59"/>
          <w:spacing w:val="8"/>
          <w:sz w:val="12"/>
        </w:rPr>
        <w:t xml:space="preserve"> </w:t>
      </w:r>
      <w:r>
        <w:rPr>
          <w:color w:val="00AC59"/>
          <w:sz w:val="12"/>
        </w:rPr>
        <w:t>integral</w:t>
      </w:r>
      <w:r>
        <w:rPr>
          <w:color w:val="00AC59"/>
          <w:spacing w:val="7"/>
          <w:sz w:val="12"/>
        </w:rPr>
        <w:t xml:space="preserve"> </w:t>
      </w:r>
      <w:r>
        <w:rPr>
          <w:color w:val="00AC59"/>
          <w:sz w:val="12"/>
        </w:rPr>
        <w:t>contra</w:t>
      </w:r>
      <w:r>
        <w:rPr>
          <w:color w:val="00AC59"/>
          <w:spacing w:val="6"/>
          <w:sz w:val="12"/>
        </w:rPr>
        <w:t xml:space="preserve"> </w:t>
      </w:r>
      <w:r>
        <w:rPr>
          <w:color w:val="00AC59"/>
          <w:sz w:val="12"/>
        </w:rPr>
        <w:t>la</w:t>
      </w:r>
      <w:r>
        <w:rPr>
          <w:color w:val="00AC59"/>
          <w:spacing w:val="7"/>
          <w:sz w:val="12"/>
        </w:rPr>
        <w:t xml:space="preserve"> </w:t>
      </w:r>
      <w:r>
        <w:rPr>
          <w:color w:val="00AC59"/>
          <w:spacing w:val="-2"/>
          <w:sz w:val="12"/>
        </w:rPr>
        <w:t>discriminación</w:t>
      </w:r>
    </w:p>
    <w:p w14:paraId="7D2D5CC3" w14:textId="77777777" w:rsidR="0014798C" w:rsidRDefault="0014798C">
      <w:pPr>
        <w:pStyle w:val="Textoindependiente"/>
        <w:rPr>
          <w:sz w:val="15"/>
        </w:rPr>
      </w:pPr>
    </w:p>
    <w:p w14:paraId="504C91C9" w14:textId="77777777" w:rsidR="0014798C" w:rsidRDefault="0014798C">
      <w:pPr>
        <w:pStyle w:val="Textoindependiente"/>
        <w:rPr>
          <w:sz w:val="15"/>
        </w:rPr>
      </w:pPr>
    </w:p>
    <w:p w14:paraId="2481AA0E" w14:textId="77777777" w:rsidR="0014798C" w:rsidRDefault="0014798C">
      <w:pPr>
        <w:pStyle w:val="Textoindependiente"/>
        <w:rPr>
          <w:sz w:val="15"/>
        </w:rPr>
      </w:pPr>
    </w:p>
    <w:p w14:paraId="1D65B35B" w14:textId="77777777" w:rsidR="0014798C" w:rsidRDefault="0014798C">
      <w:pPr>
        <w:pStyle w:val="Textoindependiente"/>
        <w:rPr>
          <w:sz w:val="15"/>
        </w:rPr>
      </w:pPr>
    </w:p>
    <w:p w14:paraId="619E5C7C" w14:textId="77777777" w:rsidR="0014798C" w:rsidRDefault="0014798C">
      <w:pPr>
        <w:pStyle w:val="Textoindependiente"/>
        <w:spacing w:before="117"/>
        <w:rPr>
          <w:sz w:val="15"/>
        </w:rPr>
      </w:pPr>
    </w:p>
    <w:p w14:paraId="134EE441" w14:textId="77777777" w:rsidR="0014798C" w:rsidRDefault="004E1F0B">
      <w:pPr>
        <w:spacing w:line="348" w:lineRule="auto"/>
        <w:ind w:left="1107" w:right="1272" w:firstLine="1"/>
        <w:rPr>
          <w:sz w:val="15"/>
        </w:rPr>
      </w:pPr>
      <w:r>
        <w:rPr>
          <w:w w:val="105"/>
          <w:sz w:val="15"/>
        </w:rPr>
        <w:t>en</w:t>
      </w:r>
      <w:r>
        <w:rPr>
          <w:spacing w:val="-6"/>
          <w:w w:val="105"/>
          <w:sz w:val="15"/>
        </w:rPr>
        <w:t xml:space="preserve"> </w:t>
      </w:r>
      <w:r>
        <w:rPr>
          <w:w w:val="105"/>
          <w:sz w:val="15"/>
        </w:rPr>
        <w:t>el</w:t>
      </w:r>
      <w:r>
        <w:rPr>
          <w:spacing w:val="-6"/>
          <w:w w:val="105"/>
          <w:sz w:val="15"/>
        </w:rPr>
        <w:t xml:space="preserve"> </w:t>
      </w:r>
      <w:r>
        <w:rPr>
          <w:w w:val="105"/>
          <w:sz w:val="15"/>
        </w:rPr>
        <w:t>trabajo</w:t>
      </w:r>
      <w:r>
        <w:rPr>
          <w:spacing w:val="-6"/>
          <w:w w:val="105"/>
          <w:sz w:val="15"/>
        </w:rPr>
        <w:t xml:space="preserve"> </w:t>
      </w:r>
      <w:r>
        <w:rPr>
          <w:w w:val="105"/>
          <w:sz w:val="15"/>
        </w:rPr>
        <w:t>de</w:t>
      </w:r>
      <w:r>
        <w:rPr>
          <w:spacing w:val="-6"/>
          <w:w w:val="105"/>
          <w:sz w:val="15"/>
        </w:rPr>
        <w:t xml:space="preserve"> </w:t>
      </w:r>
      <w:r>
        <w:rPr>
          <w:w w:val="105"/>
          <w:sz w:val="15"/>
        </w:rPr>
        <w:t>organizaciones</w:t>
      </w:r>
      <w:r>
        <w:rPr>
          <w:spacing w:val="-6"/>
          <w:w w:val="105"/>
          <w:sz w:val="15"/>
        </w:rPr>
        <w:t xml:space="preserve"> </w:t>
      </w:r>
      <w:r>
        <w:rPr>
          <w:w w:val="105"/>
          <w:sz w:val="15"/>
        </w:rPr>
        <w:t>del</w:t>
      </w:r>
      <w:r>
        <w:rPr>
          <w:spacing w:val="-6"/>
          <w:w w:val="105"/>
          <w:sz w:val="15"/>
        </w:rPr>
        <w:t xml:space="preserve"> </w:t>
      </w:r>
      <w:r>
        <w:rPr>
          <w:w w:val="105"/>
          <w:sz w:val="15"/>
        </w:rPr>
        <w:t>sector</w:t>
      </w:r>
      <w:r>
        <w:rPr>
          <w:spacing w:val="-6"/>
          <w:w w:val="105"/>
          <w:sz w:val="15"/>
        </w:rPr>
        <w:t xml:space="preserve"> </w:t>
      </w:r>
      <w:r>
        <w:rPr>
          <w:w w:val="105"/>
          <w:sz w:val="15"/>
        </w:rPr>
        <w:t>público</w:t>
      </w:r>
      <w:r>
        <w:rPr>
          <w:spacing w:val="-6"/>
          <w:w w:val="105"/>
          <w:sz w:val="15"/>
        </w:rPr>
        <w:t xml:space="preserve"> </w:t>
      </w:r>
      <w:r>
        <w:rPr>
          <w:w w:val="105"/>
          <w:sz w:val="15"/>
        </w:rPr>
        <w:t>y</w:t>
      </w:r>
      <w:r>
        <w:rPr>
          <w:spacing w:val="-6"/>
          <w:w w:val="105"/>
          <w:sz w:val="15"/>
        </w:rPr>
        <w:t xml:space="preserve"> </w:t>
      </w:r>
      <w:r>
        <w:rPr>
          <w:w w:val="105"/>
          <w:sz w:val="15"/>
        </w:rPr>
        <w:t>privado;</w:t>
      </w:r>
      <w:r>
        <w:rPr>
          <w:spacing w:val="-5"/>
          <w:w w:val="105"/>
          <w:sz w:val="15"/>
        </w:rPr>
        <w:t xml:space="preserve"> </w:t>
      </w:r>
      <w:r>
        <w:rPr>
          <w:w w:val="105"/>
          <w:sz w:val="15"/>
        </w:rPr>
        <w:t>y</w:t>
      </w:r>
      <w:r>
        <w:rPr>
          <w:spacing w:val="-6"/>
          <w:w w:val="105"/>
          <w:sz w:val="15"/>
        </w:rPr>
        <w:t xml:space="preserve"> </w:t>
      </w:r>
      <w:r>
        <w:rPr>
          <w:w w:val="105"/>
          <w:sz w:val="15"/>
        </w:rPr>
        <w:t>(c)</w:t>
      </w:r>
      <w:r>
        <w:rPr>
          <w:spacing w:val="-6"/>
          <w:w w:val="105"/>
          <w:sz w:val="15"/>
        </w:rPr>
        <w:t xml:space="preserve"> </w:t>
      </w:r>
      <w:r>
        <w:rPr>
          <w:w w:val="105"/>
          <w:sz w:val="15"/>
        </w:rPr>
        <w:t>incorporar</w:t>
      </w:r>
      <w:r>
        <w:rPr>
          <w:spacing w:val="-6"/>
          <w:w w:val="105"/>
          <w:sz w:val="15"/>
        </w:rPr>
        <w:t xml:space="preserve"> </w:t>
      </w:r>
      <w:r>
        <w:rPr>
          <w:w w:val="105"/>
          <w:sz w:val="15"/>
        </w:rPr>
        <w:t>deberes,</w:t>
      </w:r>
      <w:r>
        <w:rPr>
          <w:spacing w:val="-5"/>
          <w:w w:val="105"/>
          <w:sz w:val="15"/>
        </w:rPr>
        <w:t xml:space="preserve"> </w:t>
      </w:r>
      <w:r>
        <w:rPr>
          <w:w w:val="105"/>
          <w:sz w:val="15"/>
        </w:rPr>
        <w:t>destinados</w:t>
      </w:r>
      <w:r>
        <w:rPr>
          <w:spacing w:val="-6"/>
          <w:w w:val="105"/>
          <w:sz w:val="15"/>
        </w:rPr>
        <w:t xml:space="preserve"> </w:t>
      </w:r>
      <w:r>
        <w:rPr>
          <w:w w:val="105"/>
          <w:sz w:val="15"/>
        </w:rPr>
        <w:t>a</w:t>
      </w:r>
      <w:r>
        <w:rPr>
          <w:spacing w:val="-6"/>
          <w:w w:val="105"/>
          <w:sz w:val="15"/>
        </w:rPr>
        <w:t xml:space="preserve"> </w:t>
      </w:r>
      <w:r>
        <w:rPr>
          <w:w w:val="105"/>
          <w:sz w:val="15"/>
        </w:rPr>
        <w:t>centralizar</w:t>
      </w:r>
      <w:r>
        <w:rPr>
          <w:spacing w:val="-6"/>
          <w:w w:val="105"/>
          <w:sz w:val="15"/>
        </w:rPr>
        <w:t xml:space="preserve"> </w:t>
      </w:r>
      <w:r>
        <w:rPr>
          <w:w w:val="105"/>
          <w:sz w:val="15"/>
        </w:rPr>
        <w:t>la</w:t>
      </w:r>
      <w:r>
        <w:rPr>
          <w:spacing w:val="-6"/>
          <w:w w:val="105"/>
          <w:sz w:val="15"/>
        </w:rPr>
        <w:t xml:space="preserve"> </w:t>
      </w:r>
      <w:r>
        <w:rPr>
          <w:w w:val="105"/>
          <w:sz w:val="15"/>
        </w:rPr>
        <w:t>igualdad</w:t>
      </w:r>
      <w:r>
        <w:rPr>
          <w:spacing w:val="-6"/>
          <w:w w:val="105"/>
          <w:sz w:val="15"/>
        </w:rPr>
        <w:t xml:space="preserve"> </w:t>
      </w:r>
      <w:r>
        <w:rPr>
          <w:w w:val="105"/>
          <w:sz w:val="15"/>
        </w:rPr>
        <w:t>en</w:t>
      </w:r>
      <w:r>
        <w:rPr>
          <w:spacing w:val="-6"/>
          <w:w w:val="105"/>
          <w:sz w:val="15"/>
        </w:rPr>
        <w:t xml:space="preserve"> </w:t>
      </w:r>
      <w:r>
        <w:rPr>
          <w:w w:val="105"/>
          <w:sz w:val="15"/>
        </w:rPr>
        <w:t>los procesos</w:t>
      </w:r>
      <w:r>
        <w:rPr>
          <w:spacing w:val="-1"/>
          <w:w w:val="105"/>
          <w:sz w:val="15"/>
        </w:rPr>
        <w:t xml:space="preserve"> </w:t>
      </w:r>
      <w:r>
        <w:rPr>
          <w:w w:val="105"/>
          <w:sz w:val="15"/>
        </w:rPr>
        <w:t>de</w:t>
      </w:r>
      <w:r>
        <w:rPr>
          <w:spacing w:val="-1"/>
          <w:w w:val="105"/>
          <w:sz w:val="15"/>
        </w:rPr>
        <w:t xml:space="preserve"> </w:t>
      </w:r>
      <w:r>
        <w:rPr>
          <w:w w:val="105"/>
          <w:sz w:val="15"/>
        </w:rPr>
        <w:t>toma</w:t>
      </w:r>
      <w:r>
        <w:rPr>
          <w:spacing w:val="-1"/>
          <w:w w:val="105"/>
          <w:sz w:val="15"/>
        </w:rPr>
        <w:t xml:space="preserve"> </w:t>
      </w:r>
      <w:r>
        <w:rPr>
          <w:w w:val="105"/>
          <w:sz w:val="15"/>
        </w:rPr>
        <w:t>de</w:t>
      </w:r>
      <w:r>
        <w:rPr>
          <w:spacing w:val="-1"/>
          <w:w w:val="105"/>
          <w:sz w:val="15"/>
        </w:rPr>
        <w:t xml:space="preserve"> </w:t>
      </w:r>
      <w:r>
        <w:rPr>
          <w:w w:val="105"/>
          <w:sz w:val="15"/>
        </w:rPr>
        <w:t>decisiones</w:t>
      </w:r>
      <w:r>
        <w:rPr>
          <w:spacing w:val="-1"/>
          <w:w w:val="105"/>
          <w:sz w:val="15"/>
        </w:rPr>
        <w:t xml:space="preserve"> </w:t>
      </w:r>
      <w:r>
        <w:rPr>
          <w:w w:val="105"/>
          <w:sz w:val="15"/>
        </w:rPr>
        <w:t>de</w:t>
      </w:r>
      <w:r>
        <w:rPr>
          <w:spacing w:val="-1"/>
          <w:w w:val="105"/>
          <w:sz w:val="15"/>
        </w:rPr>
        <w:t xml:space="preserve"> </w:t>
      </w:r>
      <w:r>
        <w:rPr>
          <w:w w:val="105"/>
          <w:sz w:val="15"/>
        </w:rPr>
        <w:t>las</w:t>
      </w:r>
      <w:r>
        <w:rPr>
          <w:spacing w:val="-1"/>
          <w:w w:val="105"/>
          <w:sz w:val="15"/>
        </w:rPr>
        <w:t xml:space="preserve"> </w:t>
      </w:r>
      <w:r>
        <w:rPr>
          <w:w w:val="105"/>
          <w:sz w:val="15"/>
        </w:rPr>
        <w:t>autoridades</w:t>
      </w:r>
      <w:r>
        <w:rPr>
          <w:spacing w:val="-1"/>
          <w:w w:val="105"/>
          <w:sz w:val="15"/>
        </w:rPr>
        <w:t xml:space="preserve"> </w:t>
      </w:r>
      <w:r>
        <w:rPr>
          <w:w w:val="105"/>
          <w:sz w:val="15"/>
        </w:rPr>
        <w:t>públicas.547</w:t>
      </w:r>
      <w:r>
        <w:rPr>
          <w:spacing w:val="-1"/>
          <w:w w:val="105"/>
          <w:sz w:val="15"/>
        </w:rPr>
        <w:t xml:space="preserve"> </w:t>
      </w:r>
      <w:r>
        <w:rPr>
          <w:w w:val="105"/>
          <w:sz w:val="15"/>
        </w:rPr>
        <w:t>Si</w:t>
      </w:r>
      <w:r>
        <w:rPr>
          <w:spacing w:val="-1"/>
          <w:w w:val="105"/>
          <w:sz w:val="15"/>
        </w:rPr>
        <w:t xml:space="preserve"> </w:t>
      </w:r>
      <w:r>
        <w:rPr>
          <w:w w:val="105"/>
          <w:sz w:val="15"/>
        </w:rPr>
        <w:t>bien</w:t>
      </w:r>
      <w:r>
        <w:rPr>
          <w:spacing w:val="-1"/>
          <w:w w:val="105"/>
          <w:sz w:val="15"/>
        </w:rPr>
        <w:t xml:space="preserve"> </w:t>
      </w:r>
      <w:r>
        <w:rPr>
          <w:w w:val="105"/>
          <w:sz w:val="15"/>
        </w:rPr>
        <w:t>está</w:t>
      </w:r>
      <w:r>
        <w:rPr>
          <w:spacing w:val="-1"/>
          <w:w w:val="105"/>
          <w:sz w:val="15"/>
        </w:rPr>
        <w:t xml:space="preserve"> </w:t>
      </w:r>
      <w:r>
        <w:rPr>
          <w:w w:val="105"/>
          <w:sz w:val="15"/>
        </w:rPr>
        <w:t>fuera</w:t>
      </w:r>
      <w:r>
        <w:rPr>
          <w:spacing w:val="-1"/>
          <w:w w:val="105"/>
          <w:sz w:val="15"/>
        </w:rPr>
        <w:t xml:space="preserve"> </w:t>
      </w:r>
      <w:r>
        <w:rPr>
          <w:w w:val="105"/>
          <w:sz w:val="15"/>
        </w:rPr>
        <w:t>del</w:t>
      </w:r>
      <w:r>
        <w:rPr>
          <w:spacing w:val="-1"/>
          <w:w w:val="105"/>
          <w:sz w:val="15"/>
        </w:rPr>
        <w:t xml:space="preserve"> </w:t>
      </w:r>
      <w:r>
        <w:rPr>
          <w:w w:val="105"/>
          <w:sz w:val="15"/>
        </w:rPr>
        <w:t>alcance</w:t>
      </w:r>
      <w:r>
        <w:rPr>
          <w:spacing w:val="-1"/>
          <w:w w:val="105"/>
          <w:sz w:val="15"/>
        </w:rPr>
        <w:t xml:space="preserve"> </w:t>
      </w:r>
      <w:r>
        <w:rPr>
          <w:w w:val="105"/>
          <w:sz w:val="15"/>
        </w:rPr>
        <w:t>de</w:t>
      </w:r>
      <w:r>
        <w:rPr>
          <w:spacing w:val="-1"/>
          <w:w w:val="105"/>
          <w:sz w:val="15"/>
        </w:rPr>
        <w:t xml:space="preserve"> </w:t>
      </w:r>
      <w:r>
        <w:rPr>
          <w:w w:val="105"/>
          <w:sz w:val="15"/>
        </w:rPr>
        <w:t>la</w:t>
      </w:r>
      <w:r>
        <w:rPr>
          <w:spacing w:val="-1"/>
          <w:w w:val="105"/>
          <w:sz w:val="15"/>
        </w:rPr>
        <w:t xml:space="preserve"> </w:t>
      </w:r>
      <w:r>
        <w:rPr>
          <w:w w:val="105"/>
          <w:sz w:val="15"/>
        </w:rPr>
        <w:t>presente</w:t>
      </w:r>
      <w:r>
        <w:rPr>
          <w:spacing w:val="-1"/>
          <w:w w:val="105"/>
          <w:sz w:val="15"/>
        </w:rPr>
        <w:t xml:space="preserve"> </w:t>
      </w:r>
      <w:r>
        <w:rPr>
          <w:w w:val="105"/>
          <w:sz w:val="15"/>
        </w:rPr>
        <w:t>guía</w:t>
      </w:r>
      <w:r>
        <w:rPr>
          <w:spacing w:val="-1"/>
          <w:w w:val="105"/>
          <w:sz w:val="15"/>
        </w:rPr>
        <w:t xml:space="preserve"> </w:t>
      </w:r>
      <w:r>
        <w:rPr>
          <w:w w:val="105"/>
          <w:sz w:val="15"/>
        </w:rPr>
        <w:t>discutir</w:t>
      </w:r>
      <w:r>
        <w:rPr>
          <w:spacing w:val="-1"/>
          <w:w w:val="105"/>
          <w:sz w:val="15"/>
        </w:rPr>
        <w:t xml:space="preserve"> </w:t>
      </w:r>
      <w:r>
        <w:rPr>
          <w:w w:val="105"/>
          <w:sz w:val="15"/>
        </w:rPr>
        <w:t>estas categorías</w:t>
      </w:r>
      <w:r>
        <w:rPr>
          <w:spacing w:val="-7"/>
          <w:w w:val="105"/>
          <w:sz w:val="15"/>
        </w:rPr>
        <w:t xml:space="preserve"> </w:t>
      </w:r>
      <w:r>
        <w:rPr>
          <w:w w:val="105"/>
          <w:sz w:val="15"/>
        </w:rPr>
        <w:t>en</w:t>
      </w:r>
      <w:r>
        <w:rPr>
          <w:spacing w:val="-7"/>
          <w:w w:val="105"/>
          <w:sz w:val="15"/>
        </w:rPr>
        <w:t xml:space="preserve"> </w:t>
      </w:r>
      <w:r>
        <w:rPr>
          <w:w w:val="105"/>
          <w:sz w:val="15"/>
        </w:rPr>
        <w:t>profundidad,</w:t>
      </w:r>
      <w:r>
        <w:rPr>
          <w:spacing w:val="-6"/>
          <w:w w:val="105"/>
          <w:sz w:val="15"/>
        </w:rPr>
        <w:t xml:space="preserve"> </w:t>
      </w:r>
      <w:r>
        <w:rPr>
          <w:w w:val="105"/>
          <w:sz w:val="15"/>
        </w:rPr>
        <w:t>una</w:t>
      </w:r>
      <w:r>
        <w:rPr>
          <w:spacing w:val="-7"/>
          <w:w w:val="105"/>
          <w:sz w:val="15"/>
        </w:rPr>
        <w:t xml:space="preserve"> </w:t>
      </w:r>
      <w:r>
        <w:rPr>
          <w:w w:val="105"/>
          <w:sz w:val="15"/>
        </w:rPr>
        <w:t>introducción</w:t>
      </w:r>
      <w:r>
        <w:rPr>
          <w:spacing w:val="-7"/>
          <w:w w:val="105"/>
          <w:sz w:val="15"/>
        </w:rPr>
        <w:t xml:space="preserve"> </w:t>
      </w:r>
      <w:r>
        <w:rPr>
          <w:w w:val="105"/>
          <w:sz w:val="15"/>
        </w:rPr>
        <w:t>a</w:t>
      </w:r>
      <w:r>
        <w:rPr>
          <w:spacing w:val="-7"/>
          <w:w w:val="105"/>
          <w:sz w:val="15"/>
        </w:rPr>
        <w:t xml:space="preserve"> </w:t>
      </w:r>
      <w:r>
        <w:rPr>
          <w:w w:val="105"/>
          <w:sz w:val="15"/>
        </w:rPr>
        <w:t>cada</w:t>
      </w:r>
      <w:r>
        <w:rPr>
          <w:spacing w:val="-7"/>
          <w:w w:val="105"/>
          <w:sz w:val="15"/>
        </w:rPr>
        <w:t xml:space="preserve"> </w:t>
      </w:r>
      <w:r>
        <w:rPr>
          <w:w w:val="105"/>
          <w:sz w:val="15"/>
        </w:rPr>
        <w:t>uno</w:t>
      </w:r>
      <w:r>
        <w:rPr>
          <w:spacing w:val="-7"/>
          <w:w w:val="105"/>
          <w:sz w:val="15"/>
        </w:rPr>
        <w:t xml:space="preserve"> </w:t>
      </w:r>
      <w:r>
        <w:rPr>
          <w:w w:val="105"/>
          <w:sz w:val="15"/>
        </w:rPr>
        <w:t>de</w:t>
      </w:r>
      <w:r>
        <w:rPr>
          <w:spacing w:val="-7"/>
          <w:w w:val="105"/>
          <w:sz w:val="15"/>
        </w:rPr>
        <w:t xml:space="preserve"> </w:t>
      </w:r>
      <w:r>
        <w:rPr>
          <w:w w:val="105"/>
          <w:sz w:val="15"/>
        </w:rPr>
        <w:t>los</w:t>
      </w:r>
      <w:r>
        <w:rPr>
          <w:spacing w:val="-7"/>
          <w:w w:val="105"/>
          <w:sz w:val="15"/>
        </w:rPr>
        <w:t xml:space="preserve"> </w:t>
      </w:r>
      <w:r>
        <w:rPr>
          <w:w w:val="105"/>
          <w:sz w:val="15"/>
        </w:rPr>
        <w:t>modelos</w:t>
      </w:r>
      <w:r>
        <w:rPr>
          <w:spacing w:val="-7"/>
          <w:w w:val="105"/>
          <w:sz w:val="15"/>
        </w:rPr>
        <w:t xml:space="preserve"> </w:t>
      </w:r>
      <w:r>
        <w:rPr>
          <w:w w:val="105"/>
          <w:sz w:val="15"/>
        </w:rPr>
        <w:t>básicos</w:t>
      </w:r>
      <w:r>
        <w:rPr>
          <w:spacing w:val="-7"/>
          <w:w w:val="105"/>
          <w:sz w:val="15"/>
        </w:rPr>
        <w:t xml:space="preserve"> </w:t>
      </w:r>
      <w:r>
        <w:rPr>
          <w:w w:val="105"/>
          <w:sz w:val="15"/>
        </w:rPr>
        <w:t>y</w:t>
      </w:r>
      <w:r>
        <w:rPr>
          <w:spacing w:val="-7"/>
          <w:w w:val="105"/>
          <w:sz w:val="15"/>
        </w:rPr>
        <w:t xml:space="preserve"> </w:t>
      </w:r>
      <w:r>
        <w:rPr>
          <w:w w:val="105"/>
          <w:sz w:val="15"/>
        </w:rPr>
        <w:t>sus</w:t>
      </w:r>
      <w:r>
        <w:rPr>
          <w:spacing w:val="-7"/>
          <w:w w:val="105"/>
          <w:sz w:val="15"/>
        </w:rPr>
        <w:t xml:space="preserve"> </w:t>
      </w:r>
      <w:r>
        <w:rPr>
          <w:w w:val="105"/>
          <w:sz w:val="15"/>
        </w:rPr>
        <w:t>ámbito</w:t>
      </w:r>
      <w:r>
        <w:rPr>
          <w:spacing w:val="-7"/>
          <w:w w:val="105"/>
          <w:sz w:val="15"/>
        </w:rPr>
        <w:t xml:space="preserve"> </w:t>
      </w:r>
      <w:r>
        <w:rPr>
          <w:w w:val="105"/>
          <w:sz w:val="15"/>
        </w:rPr>
        <w:t>de</w:t>
      </w:r>
      <w:r>
        <w:rPr>
          <w:spacing w:val="-7"/>
          <w:w w:val="105"/>
          <w:sz w:val="15"/>
        </w:rPr>
        <w:t xml:space="preserve"> </w:t>
      </w:r>
      <w:r>
        <w:rPr>
          <w:w w:val="105"/>
          <w:sz w:val="15"/>
        </w:rPr>
        <w:t>aplicación,</w:t>
      </w:r>
      <w:r>
        <w:rPr>
          <w:spacing w:val="-6"/>
          <w:w w:val="105"/>
          <w:sz w:val="15"/>
        </w:rPr>
        <w:t xml:space="preserve"> </w:t>
      </w:r>
      <w:r>
        <w:rPr>
          <w:w w:val="105"/>
          <w:sz w:val="15"/>
        </w:rPr>
        <w:t>se</w:t>
      </w:r>
      <w:r>
        <w:rPr>
          <w:spacing w:val="-7"/>
          <w:w w:val="105"/>
          <w:sz w:val="15"/>
        </w:rPr>
        <w:t xml:space="preserve"> </w:t>
      </w:r>
      <w:r>
        <w:rPr>
          <w:w w:val="105"/>
          <w:sz w:val="15"/>
        </w:rPr>
        <w:t>detalla</w:t>
      </w:r>
      <w:r>
        <w:rPr>
          <w:spacing w:val="-7"/>
          <w:w w:val="105"/>
          <w:sz w:val="15"/>
        </w:rPr>
        <w:t xml:space="preserve"> </w:t>
      </w:r>
      <w:r>
        <w:rPr>
          <w:w w:val="105"/>
          <w:sz w:val="15"/>
        </w:rPr>
        <w:t>a</w:t>
      </w:r>
      <w:r>
        <w:rPr>
          <w:spacing w:val="-7"/>
          <w:w w:val="105"/>
          <w:sz w:val="15"/>
        </w:rPr>
        <w:t xml:space="preserve"> </w:t>
      </w:r>
      <w:r>
        <w:rPr>
          <w:w w:val="105"/>
          <w:sz w:val="15"/>
        </w:rPr>
        <w:t>continuación. En 2022 se publicó un compendio de buenas prácticas en este ámbito.548</w:t>
      </w:r>
    </w:p>
    <w:p w14:paraId="549757F8" w14:textId="77777777" w:rsidR="0014798C" w:rsidRDefault="0014798C">
      <w:pPr>
        <w:pStyle w:val="Textoindependiente"/>
        <w:spacing w:before="7"/>
      </w:pPr>
    </w:p>
    <w:p w14:paraId="4D16B470" w14:textId="77777777" w:rsidR="0014798C" w:rsidRDefault="004E1F0B">
      <w:pPr>
        <w:pStyle w:val="Prrafodelista"/>
        <w:numPr>
          <w:ilvl w:val="0"/>
          <w:numId w:val="53"/>
        </w:numPr>
        <w:tabs>
          <w:tab w:val="left" w:pos="1364"/>
        </w:tabs>
        <w:ind w:left="1364" w:hanging="249"/>
        <w:jc w:val="left"/>
        <w:rPr>
          <w:sz w:val="16"/>
        </w:rPr>
      </w:pPr>
      <w:r>
        <w:rPr>
          <w:w w:val="105"/>
          <w:sz w:val="16"/>
        </w:rPr>
        <w:t>Deberes</w:t>
      </w:r>
      <w:r>
        <w:rPr>
          <w:spacing w:val="-8"/>
          <w:w w:val="105"/>
          <w:sz w:val="16"/>
        </w:rPr>
        <w:t xml:space="preserve"> </w:t>
      </w:r>
      <w:r>
        <w:rPr>
          <w:spacing w:val="-2"/>
          <w:w w:val="105"/>
          <w:sz w:val="16"/>
        </w:rPr>
        <w:t>preventivos</w:t>
      </w:r>
    </w:p>
    <w:p w14:paraId="7B150360" w14:textId="77777777" w:rsidR="0014798C" w:rsidRDefault="0014798C">
      <w:pPr>
        <w:pStyle w:val="Textoindependiente"/>
        <w:spacing w:before="34"/>
        <w:rPr>
          <w:sz w:val="15"/>
        </w:rPr>
      </w:pPr>
    </w:p>
    <w:p w14:paraId="702F8025" w14:textId="77777777" w:rsidR="0014798C" w:rsidRDefault="004E1F0B">
      <w:pPr>
        <w:spacing w:line="348" w:lineRule="auto"/>
        <w:ind w:left="1108" w:right="1272"/>
        <w:rPr>
          <w:sz w:val="15"/>
        </w:rPr>
      </w:pPr>
      <w:r>
        <w:rPr>
          <w:w w:val="105"/>
          <w:sz w:val="15"/>
        </w:rPr>
        <w:t>Los deberes preventivos exigen que los titulares de deberes adopten medidas destinadas a impedir que se produzcan actos de discriminación.</w:t>
      </w:r>
      <w:r>
        <w:rPr>
          <w:spacing w:val="-6"/>
          <w:w w:val="105"/>
          <w:sz w:val="15"/>
        </w:rPr>
        <w:t xml:space="preserve"> </w:t>
      </w:r>
      <w:r>
        <w:rPr>
          <w:w w:val="105"/>
          <w:sz w:val="15"/>
        </w:rPr>
        <w:t>Estos</w:t>
      </w:r>
      <w:r>
        <w:rPr>
          <w:spacing w:val="-8"/>
          <w:w w:val="105"/>
          <w:sz w:val="15"/>
        </w:rPr>
        <w:t xml:space="preserve"> </w:t>
      </w:r>
      <w:r>
        <w:rPr>
          <w:w w:val="105"/>
          <w:sz w:val="15"/>
        </w:rPr>
        <w:t>deberes</w:t>
      </w:r>
      <w:r>
        <w:rPr>
          <w:spacing w:val="-8"/>
          <w:w w:val="105"/>
          <w:sz w:val="15"/>
        </w:rPr>
        <w:t xml:space="preserve"> </w:t>
      </w:r>
      <w:r>
        <w:rPr>
          <w:w w:val="105"/>
          <w:sz w:val="15"/>
        </w:rPr>
        <w:t>a</w:t>
      </w:r>
      <w:r>
        <w:rPr>
          <w:spacing w:val="-8"/>
          <w:w w:val="105"/>
          <w:sz w:val="15"/>
        </w:rPr>
        <w:t xml:space="preserve"> </w:t>
      </w:r>
      <w:r>
        <w:rPr>
          <w:w w:val="105"/>
          <w:sz w:val="15"/>
        </w:rPr>
        <w:t>menudo</w:t>
      </w:r>
      <w:r>
        <w:rPr>
          <w:spacing w:val="-8"/>
          <w:w w:val="105"/>
          <w:sz w:val="15"/>
        </w:rPr>
        <w:t xml:space="preserve"> </w:t>
      </w:r>
      <w:r>
        <w:rPr>
          <w:w w:val="105"/>
          <w:sz w:val="15"/>
        </w:rPr>
        <w:t>se</w:t>
      </w:r>
      <w:r>
        <w:rPr>
          <w:spacing w:val="-8"/>
          <w:w w:val="105"/>
          <w:sz w:val="15"/>
        </w:rPr>
        <w:t xml:space="preserve"> </w:t>
      </w:r>
      <w:r>
        <w:rPr>
          <w:w w:val="105"/>
          <w:sz w:val="15"/>
        </w:rPr>
        <w:t>expresan</w:t>
      </w:r>
      <w:r>
        <w:rPr>
          <w:spacing w:val="-8"/>
          <w:w w:val="105"/>
          <w:sz w:val="15"/>
        </w:rPr>
        <w:t xml:space="preserve"> </w:t>
      </w:r>
      <w:r>
        <w:rPr>
          <w:w w:val="105"/>
          <w:sz w:val="15"/>
        </w:rPr>
        <w:t>en</w:t>
      </w:r>
      <w:r>
        <w:rPr>
          <w:spacing w:val="-8"/>
          <w:w w:val="105"/>
          <w:sz w:val="15"/>
        </w:rPr>
        <w:t xml:space="preserve"> </w:t>
      </w:r>
      <w:r>
        <w:rPr>
          <w:w w:val="105"/>
          <w:sz w:val="15"/>
        </w:rPr>
        <w:t>términos</w:t>
      </w:r>
      <w:r>
        <w:rPr>
          <w:spacing w:val="-8"/>
          <w:w w:val="105"/>
          <w:sz w:val="15"/>
        </w:rPr>
        <w:t xml:space="preserve"> </w:t>
      </w:r>
      <w:r>
        <w:rPr>
          <w:w w:val="105"/>
          <w:sz w:val="15"/>
        </w:rPr>
        <w:t>amplios,</w:t>
      </w:r>
      <w:r>
        <w:rPr>
          <w:spacing w:val="-7"/>
          <w:w w:val="105"/>
          <w:sz w:val="15"/>
        </w:rPr>
        <w:t xml:space="preserve"> </w:t>
      </w:r>
      <w:r>
        <w:rPr>
          <w:w w:val="105"/>
          <w:sz w:val="15"/>
        </w:rPr>
        <w:t>exigiendo,</w:t>
      </w:r>
      <w:r>
        <w:rPr>
          <w:spacing w:val="-7"/>
          <w:w w:val="105"/>
          <w:sz w:val="15"/>
        </w:rPr>
        <w:t xml:space="preserve"> </w:t>
      </w:r>
      <w:r>
        <w:rPr>
          <w:w w:val="105"/>
          <w:sz w:val="15"/>
        </w:rPr>
        <w:t>por</w:t>
      </w:r>
      <w:r>
        <w:rPr>
          <w:spacing w:val="-8"/>
          <w:w w:val="105"/>
          <w:sz w:val="15"/>
        </w:rPr>
        <w:t xml:space="preserve"> </w:t>
      </w:r>
      <w:r>
        <w:rPr>
          <w:w w:val="105"/>
          <w:sz w:val="15"/>
        </w:rPr>
        <w:t>ejemplo,</w:t>
      </w:r>
      <w:r>
        <w:rPr>
          <w:spacing w:val="-7"/>
          <w:w w:val="105"/>
          <w:sz w:val="15"/>
        </w:rPr>
        <w:t xml:space="preserve"> </w:t>
      </w:r>
      <w:r>
        <w:rPr>
          <w:w w:val="105"/>
          <w:sz w:val="15"/>
        </w:rPr>
        <w:t>que</w:t>
      </w:r>
      <w:r>
        <w:rPr>
          <w:spacing w:val="-8"/>
          <w:w w:val="105"/>
          <w:sz w:val="15"/>
        </w:rPr>
        <w:t xml:space="preserve"> </w:t>
      </w:r>
      <w:r>
        <w:rPr>
          <w:w w:val="105"/>
          <w:sz w:val="15"/>
        </w:rPr>
        <w:t>un</w:t>
      </w:r>
      <w:r>
        <w:rPr>
          <w:spacing w:val="-8"/>
          <w:w w:val="105"/>
          <w:sz w:val="15"/>
        </w:rPr>
        <w:t xml:space="preserve"> </w:t>
      </w:r>
      <w:r>
        <w:rPr>
          <w:w w:val="105"/>
          <w:sz w:val="15"/>
        </w:rPr>
        <w:t>empleador</w:t>
      </w:r>
      <w:r>
        <w:rPr>
          <w:spacing w:val="-8"/>
          <w:w w:val="105"/>
          <w:sz w:val="15"/>
        </w:rPr>
        <w:t xml:space="preserve"> </w:t>
      </w:r>
      <w:r>
        <w:rPr>
          <w:w w:val="105"/>
          <w:sz w:val="15"/>
        </w:rPr>
        <w:t>“tome</w:t>
      </w:r>
      <w:r>
        <w:rPr>
          <w:spacing w:val="-8"/>
          <w:w w:val="105"/>
          <w:sz w:val="15"/>
        </w:rPr>
        <w:t xml:space="preserve"> </w:t>
      </w:r>
      <w:r>
        <w:rPr>
          <w:w w:val="105"/>
          <w:sz w:val="15"/>
        </w:rPr>
        <w:t>medidas” para</w:t>
      </w:r>
      <w:r>
        <w:rPr>
          <w:spacing w:val="-2"/>
          <w:w w:val="105"/>
          <w:sz w:val="15"/>
        </w:rPr>
        <w:t xml:space="preserve"> </w:t>
      </w:r>
      <w:r>
        <w:rPr>
          <w:w w:val="105"/>
          <w:sz w:val="15"/>
        </w:rPr>
        <w:t>prevenir</w:t>
      </w:r>
      <w:r>
        <w:rPr>
          <w:spacing w:val="-2"/>
          <w:w w:val="105"/>
          <w:sz w:val="15"/>
        </w:rPr>
        <w:t xml:space="preserve"> </w:t>
      </w:r>
      <w:r>
        <w:rPr>
          <w:w w:val="105"/>
          <w:sz w:val="15"/>
        </w:rPr>
        <w:t>la</w:t>
      </w:r>
      <w:r>
        <w:rPr>
          <w:spacing w:val="-2"/>
          <w:w w:val="105"/>
          <w:sz w:val="15"/>
        </w:rPr>
        <w:t xml:space="preserve"> </w:t>
      </w:r>
      <w:r>
        <w:rPr>
          <w:w w:val="105"/>
          <w:sz w:val="15"/>
        </w:rPr>
        <w:t>discriminación</w:t>
      </w:r>
      <w:r>
        <w:rPr>
          <w:spacing w:val="-2"/>
          <w:w w:val="105"/>
          <w:sz w:val="15"/>
        </w:rPr>
        <w:t xml:space="preserve"> </w:t>
      </w:r>
      <w:r>
        <w:rPr>
          <w:w w:val="105"/>
          <w:sz w:val="15"/>
        </w:rPr>
        <w:t>en</w:t>
      </w:r>
      <w:r>
        <w:rPr>
          <w:spacing w:val="-2"/>
          <w:w w:val="105"/>
          <w:sz w:val="15"/>
        </w:rPr>
        <w:t xml:space="preserve"> </w:t>
      </w:r>
      <w:r>
        <w:rPr>
          <w:w w:val="105"/>
          <w:sz w:val="15"/>
        </w:rPr>
        <w:t>el</w:t>
      </w:r>
      <w:r>
        <w:rPr>
          <w:spacing w:val="-2"/>
          <w:w w:val="105"/>
          <w:sz w:val="15"/>
        </w:rPr>
        <w:t xml:space="preserve"> </w:t>
      </w:r>
      <w:r>
        <w:rPr>
          <w:w w:val="105"/>
          <w:sz w:val="15"/>
        </w:rPr>
        <w:t>lugar</w:t>
      </w:r>
      <w:r>
        <w:rPr>
          <w:spacing w:val="-2"/>
          <w:w w:val="105"/>
          <w:sz w:val="15"/>
        </w:rPr>
        <w:t xml:space="preserve"> </w:t>
      </w:r>
      <w:r>
        <w:rPr>
          <w:w w:val="105"/>
          <w:sz w:val="15"/>
        </w:rPr>
        <w:t>de</w:t>
      </w:r>
      <w:r>
        <w:rPr>
          <w:spacing w:val="-2"/>
          <w:w w:val="105"/>
          <w:sz w:val="15"/>
        </w:rPr>
        <w:t xml:space="preserve"> </w:t>
      </w:r>
      <w:r>
        <w:rPr>
          <w:w w:val="105"/>
          <w:sz w:val="15"/>
        </w:rPr>
        <w:t>trabajo,</w:t>
      </w:r>
      <w:r>
        <w:rPr>
          <w:spacing w:val="-1"/>
          <w:w w:val="105"/>
          <w:sz w:val="15"/>
        </w:rPr>
        <w:t xml:space="preserve"> </w:t>
      </w:r>
      <w:r>
        <w:rPr>
          <w:w w:val="105"/>
          <w:sz w:val="15"/>
        </w:rPr>
        <w:t>pero</w:t>
      </w:r>
      <w:r>
        <w:rPr>
          <w:spacing w:val="-2"/>
          <w:w w:val="105"/>
          <w:sz w:val="15"/>
        </w:rPr>
        <w:t xml:space="preserve"> </w:t>
      </w:r>
      <w:r>
        <w:rPr>
          <w:w w:val="105"/>
          <w:sz w:val="15"/>
        </w:rPr>
        <w:t>a</w:t>
      </w:r>
      <w:r>
        <w:rPr>
          <w:spacing w:val="-2"/>
          <w:w w:val="105"/>
          <w:sz w:val="15"/>
        </w:rPr>
        <w:t xml:space="preserve"> </w:t>
      </w:r>
      <w:r>
        <w:rPr>
          <w:w w:val="105"/>
          <w:sz w:val="15"/>
        </w:rPr>
        <w:t>veces</w:t>
      </w:r>
      <w:r>
        <w:rPr>
          <w:spacing w:val="-2"/>
          <w:w w:val="105"/>
          <w:sz w:val="15"/>
        </w:rPr>
        <w:t xml:space="preserve"> </w:t>
      </w:r>
      <w:r>
        <w:rPr>
          <w:w w:val="105"/>
          <w:sz w:val="15"/>
        </w:rPr>
        <w:t>se</w:t>
      </w:r>
      <w:r>
        <w:rPr>
          <w:spacing w:val="-2"/>
          <w:w w:val="105"/>
          <w:sz w:val="15"/>
        </w:rPr>
        <w:t xml:space="preserve"> </w:t>
      </w:r>
      <w:r>
        <w:rPr>
          <w:w w:val="105"/>
          <w:sz w:val="15"/>
        </w:rPr>
        <w:t>expresan</w:t>
      </w:r>
      <w:r>
        <w:rPr>
          <w:spacing w:val="-2"/>
          <w:w w:val="105"/>
          <w:sz w:val="15"/>
        </w:rPr>
        <w:t xml:space="preserve"> </w:t>
      </w:r>
      <w:r>
        <w:rPr>
          <w:w w:val="105"/>
          <w:sz w:val="15"/>
        </w:rPr>
        <w:t>de</w:t>
      </w:r>
      <w:r>
        <w:rPr>
          <w:spacing w:val="-2"/>
          <w:w w:val="105"/>
          <w:sz w:val="15"/>
        </w:rPr>
        <w:t xml:space="preserve"> </w:t>
      </w:r>
      <w:r>
        <w:rPr>
          <w:w w:val="105"/>
          <w:sz w:val="15"/>
        </w:rPr>
        <w:t>manera</w:t>
      </w:r>
      <w:r>
        <w:rPr>
          <w:spacing w:val="-2"/>
          <w:w w:val="105"/>
          <w:sz w:val="15"/>
        </w:rPr>
        <w:t xml:space="preserve"> </w:t>
      </w:r>
      <w:r>
        <w:rPr>
          <w:w w:val="105"/>
          <w:sz w:val="15"/>
        </w:rPr>
        <w:t>más</w:t>
      </w:r>
      <w:r>
        <w:rPr>
          <w:spacing w:val="-2"/>
          <w:w w:val="105"/>
          <w:sz w:val="15"/>
        </w:rPr>
        <w:t xml:space="preserve"> </w:t>
      </w:r>
      <w:r>
        <w:rPr>
          <w:w w:val="105"/>
          <w:sz w:val="15"/>
        </w:rPr>
        <w:t>concreta,</w:t>
      </w:r>
      <w:r>
        <w:rPr>
          <w:spacing w:val="-1"/>
          <w:w w:val="105"/>
          <w:sz w:val="15"/>
        </w:rPr>
        <w:t xml:space="preserve"> </w:t>
      </w:r>
      <w:r>
        <w:rPr>
          <w:w w:val="105"/>
          <w:sz w:val="15"/>
        </w:rPr>
        <w:t>como</w:t>
      </w:r>
      <w:r>
        <w:rPr>
          <w:spacing w:val="-2"/>
          <w:w w:val="105"/>
          <w:sz w:val="15"/>
        </w:rPr>
        <w:t xml:space="preserve"> </w:t>
      </w:r>
      <w:r>
        <w:rPr>
          <w:w w:val="105"/>
          <w:sz w:val="15"/>
        </w:rPr>
        <w:t>la</w:t>
      </w:r>
      <w:r>
        <w:rPr>
          <w:spacing w:val="-2"/>
          <w:w w:val="105"/>
          <w:sz w:val="15"/>
        </w:rPr>
        <w:t xml:space="preserve"> </w:t>
      </w:r>
      <w:r>
        <w:rPr>
          <w:w w:val="105"/>
          <w:sz w:val="15"/>
        </w:rPr>
        <w:t>condición</w:t>
      </w:r>
      <w:r>
        <w:rPr>
          <w:spacing w:val="-2"/>
          <w:w w:val="105"/>
          <w:sz w:val="15"/>
        </w:rPr>
        <w:t xml:space="preserve"> </w:t>
      </w:r>
      <w:r>
        <w:rPr>
          <w:w w:val="105"/>
          <w:sz w:val="15"/>
        </w:rPr>
        <w:t>de</w:t>
      </w:r>
      <w:r>
        <w:rPr>
          <w:spacing w:val="-2"/>
          <w:w w:val="105"/>
          <w:sz w:val="15"/>
        </w:rPr>
        <w:t xml:space="preserve"> </w:t>
      </w:r>
      <w:r>
        <w:rPr>
          <w:w w:val="105"/>
          <w:sz w:val="15"/>
        </w:rPr>
        <w:t>que una</w:t>
      </w:r>
      <w:r>
        <w:rPr>
          <w:spacing w:val="-2"/>
          <w:w w:val="105"/>
          <w:sz w:val="15"/>
        </w:rPr>
        <w:t xml:space="preserve"> </w:t>
      </w:r>
      <w:r>
        <w:rPr>
          <w:w w:val="105"/>
          <w:sz w:val="15"/>
        </w:rPr>
        <w:t>organización</w:t>
      </w:r>
      <w:r>
        <w:rPr>
          <w:spacing w:val="-2"/>
          <w:w w:val="105"/>
          <w:sz w:val="15"/>
        </w:rPr>
        <w:t xml:space="preserve"> </w:t>
      </w:r>
      <w:r>
        <w:rPr>
          <w:w w:val="105"/>
          <w:sz w:val="15"/>
        </w:rPr>
        <w:t>adopte</w:t>
      </w:r>
      <w:r>
        <w:rPr>
          <w:spacing w:val="-2"/>
          <w:w w:val="105"/>
          <w:sz w:val="15"/>
        </w:rPr>
        <w:t xml:space="preserve"> </w:t>
      </w:r>
      <w:r>
        <w:rPr>
          <w:w w:val="105"/>
          <w:sz w:val="15"/>
        </w:rPr>
        <w:t>una</w:t>
      </w:r>
      <w:r>
        <w:rPr>
          <w:spacing w:val="-2"/>
          <w:w w:val="105"/>
          <w:sz w:val="15"/>
        </w:rPr>
        <w:t xml:space="preserve"> </w:t>
      </w:r>
      <w:r>
        <w:rPr>
          <w:w w:val="105"/>
          <w:sz w:val="15"/>
        </w:rPr>
        <w:t>política</w:t>
      </w:r>
      <w:r>
        <w:rPr>
          <w:spacing w:val="-2"/>
          <w:w w:val="105"/>
          <w:sz w:val="15"/>
        </w:rPr>
        <w:t xml:space="preserve"> </w:t>
      </w:r>
      <w:r>
        <w:rPr>
          <w:w w:val="105"/>
          <w:sz w:val="15"/>
        </w:rPr>
        <w:t>de</w:t>
      </w:r>
      <w:r>
        <w:rPr>
          <w:spacing w:val="-2"/>
          <w:w w:val="105"/>
          <w:sz w:val="15"/>
        </w:rPr>
        <w:t xml:space="preserve"> </w:t>
      </w:r>
      <w:r>
        <w:rPr>
          <w:w w:val="105"/>
          <w:sz w:val="15"/>
        </w:rPr>
        <w:t>acoso</w:t>
      </w:r>
      <w:r>
        <w:rPr>
          <w:spacing w:val="-2"/>
          <w:w w:val="105"/>
          <w:sz w:val="15"/>
        </w:rPr>
        <w:t xml:space="preserve"> </w:t>
      </w:r>
      <w:r>
        <w:rPr>
          <w:w w:val="105"/>
          <w:sz w:val="15"/>
        </w:rPr>
        <w:t>en</w:t>
      </w:r>
      <w:r>
        <w:rPr>
          <w:spacing w:val="-2"/>
          <w:w w:val="105"/>
          <w:sz w:val="15"/>
        </w:rPr>
        <w:t xml:space="preserve"> </w:t>
      </w:r>
      <w:r>
        <w:rPr>
          <w:w w:val="105"/>
          <w:sz w:val="15"/>
        </w:rPr>
        <w:t>el</w:t>
      </w:r>
      <w:r>
        <w:rPr>
          <w:spacing w:val="-2"/>
          <w:w w:val="105"/>
          <w:sz w:val="15"/>
        </w:rPr>
        <w:t xml:space="preserve"> </w:t>
      </w:r>
      <w:r>
        <w:rPr>
          <w:w w:val="105"/>
          <w:sz w:val="15"/>
        </w:rPr>
        <w:t>lugar</w:t>
      </w:r>
      <w:r>
        <w:rPr>
          <w:spacing w:val="-2"/>
          <w:w w:val="105"/>
          <w:sz w:val="15"/>
        </w:rPr>
        <w:t xml:space="preserve"> </w:t>
      </w:r>
      <w:r>
        <w:rPr>
          <w:w w:val="105"/>
          <w:sz w:val="15"/>
        </w:rPr>
        <w:t>de</w:t>
      </w:r>
      <w:r>
        <w:rPr>
          <w:spacing w:val="-2"/>
          <w:w w:val="105"/>
          <w:sz w:val="15"/>
        </w:rPr>
        <w:t xml:space="preserve"> </w:t>
      </w:r>
      <w:r>
        <w:rPr>
          <w:w w:val="105"/>
          <w:sz w:val="15"/>
        </w:rPr>
        <w:t>trabajo</w:t>
      </w:r>
      <w:r>
        <w:rPr>
          <w:spacing w:val="-2"/>
          <w:w w:val="105"/>
          <w:sz w:val="15"/>
        </w:rPr>
        <w:t xml:space="preserve"> </w:t>
      </w:r>
      <w:r>
        <w:rPr>
          <w:w w:val="105"/>
          <w:sz w:val="15"/>
        </w:rPr>
        <w:t>o</w:t>
      </w:r>
      <w:r>
        <w:rPr>
          <w:spacing w:val="-2"/>
          <w:w w:val="105"/>
          <w:sz w:val="15"/>
        </w:rPr>
        <w:t xml:space="preserve"> </w:t>
      </w:r>
      <w:r>
        <w:rPr>
          <w:w w:val="105"/>
          <w:sz w:val="15"/>
        </w:rPr>
        <w:t>publique</w:t>
      </w:r>
      <w:r>
        <w:rPr>
          <w:spacing w:val="-2"/>
          <w:w w:val="105"/>
          <w:sz w:val="15"/>
        </w:rPr>
        <w:t xml:space="preserve"> </w:t>
      </w:r>
      <w:r>
        <w:rPr>
          <w:w w:val="105"/>
          <w:sz w:val="15"/>
        </w:rPr>
        <w:t>datos</w:t>
      </w:r>
      <w:r>
        <w:rPr>
          <w:spacing w:val="-2"/>
          <w:w w:val="105"/>
          <w:sz w:val="15"/>
        </w:rPr>
        <w:t xml:space="preserve"> </w:t>
      </w:r>
      <w:r>
        <w:rPr>
          <w:w w:val="105"/>
          <w:sz w:val="15"/>
        </w:rPr>
        <w:t>relacionados.</w:t>
      </w:r>
      <w:r>
        <w:rPr>
          <w:spacing w:val="-1"/>
          <w:w w:val="105"/>
          <w:sz w:val="15"/>
        </w:rPr>
        <w:t xml:space="preserve"> </w:t>
      </w:r>
      <w:r>
        <w:rPr>
          <w:w w:val="105"/>
          <w:sz w:val="15"/>
        </w:rPr>
        <w:t>a</w:t>
      </w:r>
      <w:r>
        <w:rPr>
          <w:spacing w:val="-2"/>
          <w:w w:val="105"/>
          <w:sz w:val="15"/>
        </w:rPr>
        <w:t xml:space="preserve"> </w:t>
      </w:r>
      <w:r>
        <w:rPr>
          <w:w w:val="105"/>
          <w:sz w:val="15"/>
        </w:rPr>
        <w:t>la</w:t>
      </w:r>
      <w:r>
        <w:rPr>
          <w:spacing w:val="-2"/>
          <w:w w:val="105"/>
          <w:sz w:val="15"/>
        </w:rPr>
        <w:t xml:space="preserve"> </w:t>
      </w:r>
      <w:r>
        <w:rPr>
          <w:w w:val="105"/>
          <w:sz w:val="15"/>
        </w:rPr>
        <w:t>igualdad</w:t>
      </w:r>
      <w:r>
        <w:rPr>
          <w:spacing w:val="-2"/>
          <w:w w:val="105"/>
          <w:sz w:val="15"/>
        </w:rPr>
        <w:t xml:space="preserve"> </w:t>
      </w:r>
      <w:r>
        <w:rPr>
          <w:w w:val="105"/>
          <w:sz w:val="15"/>
        </w:rPr>
        <w:t>salarial.549</w:t>
      </w:r>
    </w:p>
    <w:p w14:paraId="6953F876" w14:textId="77777777" w:rsidR="0014798C" w:rsidRDefault="004E1F0B">
      <w:pPr>
        <w:spacing w:line="348" w:lineRule="auto"/>
        <w:ind w:left="1109" w:right="1418" w:hanging="7"/>
        <w:rPr>
          <w:sz w:val="15"/>
        </w:rPr>
      </w:pPr>
      <w:r>
        <w:rPr>
          <w:w w:val="105"/>
          <w:sz w:val="15"/>
        </w:rPr>
        <w:t>Si</w:t>
      </w:r>
      <w:r>
        <w:rPr>
          <w:spacing w:val="-1"/>
          <w:w w:val="105"/>
          <w:sz w:val="15"/>
        </w:rPr>
        <w:t xml:space="preserve"> </w:t>
      </w:r>
      <w:r>
        <w:rPr>
          <w:w w:val="105"/>
          <w:sz w:val="15"/>
        </w:rPr>
        <w:t>bien</w:t>
      </w:r>
      <w:r>
        <w:rPr>
          <w:spacing w:val="-1"/>
          <w:w w:val="105"/>
          <w:sz w:val="15"/>
        </w:rPr>
        <w:t xml:space="preserve"> </w:t>
      </w:r>
      <w:r>
        <w:rPr>
          <w:w w:val="105"/>
          <w:sz w:val="15"/>
        </w:rPr>
        <w:t>los</w:t>
      </w:r>
      <w:r>
        <w:rPr>
          <w:spacing w:val="-1"/>
          <w:w w:val="105"/>
          <w:sz w:val="15"/>
        </w:rPr>
        <w:t xml:space="preserve"> </w:t>
      </w:r>
      <w:r>
        <w:rPr>
          <w:w w:val="105"/>
          <w:sz w:val="15"/>
        </w:rPr>
        <w:t>deberes</w:t>
      </w:r>
      <w:r>
        <w:rPr>
          <w:spacing w:val="-1"/>
          <w:w w:val="105"/>
          <w:sz w:val="15"/>
        </w:rPr>
        <w:t xml:space="preserve"> </w:t>
      </w:r>
      <w:r>
        <w:rPr>
          <w:w w:val="105"/>
          <w:sz w:val="15"/>
        </w:rPr>
        <w:t>preventivos</w:t>
      </w:r>
      <w:r>
        <w:rPr>
          <w:spacing w:val="-1"/>
          <w:w w:val="105"/>
          <w:sz w:val="15"/>
        </w:rPr>
        <w:t xml:space="preserve"> </w:t>
      </w:r>
      <w:r>
        <w:rPr>
          <w:w w:val="105"/>
          <w:sz w:val="15"/>
        </w:rPr>
        <w:t>están</w:t>
      </w:r>
      <w:r>
        <w:rPr>
          <w:spacing w:val="-1"/>
          <w:w w:val="105"/>
          <w:sz w:val="15"/>
        </w:rPr>
        <w:t xml:space="preserve"> </w:t>
      </w:r>
      <w:r>
        <w:rPr>
          <w:w w:val="105"/>
          <w:sz w:val="15"/>
        </w:rPr>
        <w:t>estrechamente</w:t>
      </w:r>
      <w:r>
        <w:rPr>
          <w:spacing w:val="-1"/>
          <w:w w:val="105"/>
          <w:sz w:val="15"/>
        </w:rPr>
        <w:t xml:space="preserve"> </w:t>
      </w:r>
      <w:r>
        <w:rPr>
          <w:w w:val="105"/>
          <w:sz w:val="15"/>
        </w:rPr>
        <w:t>vinculados</w:t>
      </w:r>
      <w:r>
        <w:rPr>
          <w:spacing w:val="-1"/>
          <w:w w:val="105"/>
          <w:sz w:val="15"/>
        </w:rPr>
        <w:t xml:space="preserve"> </w:t>
      </w:r>
      <w:r>
        <w:rPr>
          <w:w w:val="105"/>
          <w:sz w:val="15"/>
        </w:rPr>
        <w:t>a</w:t>
      </w:r>
      <w:r>
        <w:rPr>
          <w:spacing w:val="-1"/>
          <w:w w:val="105"/>
          <w:sz w:val="15"/>
        </w:rPr>
        <w:t xml:space="preserve"> </w:t>
      </w:r>
      <w:r>
        <w:rPr>
          <w:w w:val="105"/>
          <w:sz w:val="15"/>
        </w:rPr>
        <w:t>la</w:t>
      </w:r>
      <w:r>
        <w:rPr>
          <w:spacing w:val="-1"/>
          <w:w w:val="105"/>
          <w:sz w:val="15"/>
        </w:rPr>
        <w:t xml:space="preserve"> </w:t>
      </w:r>
      <w:r>
        <w:rPr>
          <w:w w:val="105"/>
          <w:sz w:val="15"/>
        </w:rPr>
        <w:t>obligación</w:t>
      </w:r>
      <w:r>
        <w:rPr>
          <w:spacing w:val="-1"/>
          <w:w w:val="105"/>
          <w:sz w:val="15"/>
        </w:rPr>
        <w:t xml:space="preserve"> </w:t>
      </w:r>
      <w:r>
        <w:rPr>
          <w:w w:val="105"/>
          <w:sz w:val="15"/>
        </w:rPr>
        <w:t>inmediata</w:t>
      </w:r>
      <w:r>
        <w:rPr>
          <w:spacing w:val="-1"/>
          <w:w w:val="105"/>
          <w:sz w:val="15"/>
        </w:rPr>
        <w:t xml:space="preserve"> </w:t>
      </w:r>
      <w:r>
        <w:rPr>
          <w:w w:val="105"/>
          <w:sz w:val="15"/>
        </w:rPr>
        <w:t>de</w:t>
      </w:r>
      <w:r>
        <w:rPr>
          <w:spacing w:val="-1"/>
          <w:w w:val="105"/>
          <w:sz w:val="15"/>
        </w:rPr>
        <w:t xml:space="preserve"> </w:t>
      </w:r>
      <w:r>
        <w:rPr>
          <w:w w:val="105"/>
          <w:sz w:val="15"/>
        </w:rPr>
        <w:t>abstenerse</w:t>
      </w:r>
      <w:r>
        <w:rPr>
          <w:spacing w:val="-1"/>
          <w:w w:val="105"/>
          <w:sz w:val="15"/>
        </w:rPr>
        <w:t xml:space="preserve"> </w:t>
      </w:r>
      <w:r>
        <w:rPr>
          <w:w w:val="105"/>
          <w:sz w:val="15"/>
        </w:rPr>
        <w:t>de</w:t>
      </w:r>
      <w:r>
        <w:rPr>
          <w:spacing w:val="-1"/>
          <w:w w:val="105"/>
          <w:sz w:val="15"/>
        </w:rPr>
        <w:t xml:space="preserve"> </w:t>
      </w:r>
      <w:r>
        <w:rPr>
          <w:w w:val="105"/>
          <w:sz w:val="15"/>
        </w:rPr>
        <w:t>discriminar,550</w:t>
      </w:r>
      <w:r>
        <w:rPr>
          <w:spacing w:val="-1"/>
          <w:w w:val="105"/>
          <w:sz w:val="15"/>
        </w:rPr>
        <w:t xml:space="preserve"> </w:t>
      </w:r>
      <w:r>
        <w:rPr>
          <w:w w:val="105"/>
          <w:sz w:val="15"/>
        </w:rPr>
        <w:t>se diferencian</w:t>
      </w:r>
      <w:r>
        <w:rPr>
          <w:spacing w:val="-6"/>
          <w:w w:val="105"/>
          <w:sz w:val="15"/>
        </w:rPr>
        <w:t xml:space="preserve"> </w:t>
      </w:r>
      <w:r>
        <w:rPr>
          <w:w w:val="105"/>
          <w:sz w:val="15"/>
        </w:rPr>
        <w:t>de</w:t>
      </w:r>
      <w:r>
        <w:rPr>
          <w:spacing w:val="-6"/>
          <w:w w:val="105"/>
          <w:sz w:val="15"/>
        </w:rPr>
        <w:t xml:space="preserve"> </w:t>
      </w:r>
      <w:r>
        <w:rPr>
          <w:w w:val="105"/>
          <w:sz w:val="15"/>
        </w:rPr>
        <w:t>las</w:t>
      </w:r>
      <w:r>
        <w:rPr>
          <w:spacing w:val="-6"/>
          <w:w w:val="105"/>
          <w:sz w:val="15"/>
        </w:rPr>
        <w:t xml:space="preserve"> </w:t>
      </w:r>
      <w:r>
        <w:rPr>
          <w:w w:val="105"/>
          <w:sz w:val="15"/>
        </w:rPr>
        <w:t>disposiciones</w:t>
      </w:r>
      <w:r>
        <w:rPr>
          <w:spacing w:val="-6"/>
          <w:w w:val="105"/>
          <w:sz w:val="15"/>
        </w:rPr>
        <w:t xml:space="preserve"> </w:t>
      </w:r>
      <w:r>
        <w:rPr>
          <w:w w:val="105"/>
          <w:sz w:val="15"/>
        </w:rPr>
        <w:t>de</w:t>
      </w:r>
      <w:r>
        <w:rPr>
          <w:spacing w:val="-6"/>
          <w:w w:val="105"/>
          <w:sz w:val="15"/>
        </w:rPr>
        <w:t xml:space="preserve"> </w:t>
      </w:r>
      <w:r>
        <w:rPr>
          <w:w w:val="105"/>
          <w:sz w:val="15"/>
        </w:rPr>
        <w:t>no</w:t>
      </w:r>
      <w:r>
        <w:rPr>
          <w:spacing w:val="-6"/>
          <w:w w:val="105"/>
          <w:sz w:val="15"/>
        </w:rPr>
        <w:t xml:space="preserve"> </w:t>
      </w:r>
      <w:r>
        <w:rPr>
          <w:w w:val="105"/>
          <w:sz w:val="15"/>
        </w:rPr>
        <w:t>discriminación</w:t>
      </w:r>
      <w:r>
        <w:rPr>
          <w:spacing w:val="-6"/>
          <w:w w:val="105"/>
          <w:sz w:val="15"/>
        </w:rPr>
        <w:t xml:space="preserve"> </w:t>
      </w:r>
      <w:r>
        <w:rPr>
          <w:w w:val="105"/>
          <w:sz w:val="15"/>
        </w:rPr>
        <w:t>en</w:t>
      </w:r>
      <w:r>
        <w:rPr>
          <w:spacing w:val="-6"/>
          <w:w w:val="105"/>
          <w:sz w:val="15"/>
        </w:rPr>
        <w:t xml:space="preserve"> </w:t>
      </w:r>
      <w:r>
        <w:rPr>
          <w:w w:val="105"/>
          <w:sz w:val="15"/>
        </w:rPr>
        <w:t>que</w:t>
      </w:r>
      <w:r>
        <w:rPr>
          <w:spacing w:val="-6"/>
          <w:w w:val="105"/>
          <w:sz w:val="15"/>
        </w:rPr>
        <w:t xml:space="preserve"> </w:t>
      </w:r>
      <w:r>
        <w:rPr>
          <w:w w:val="105"/>
          <w:sz w:val="15"/>
        </w:rPr>
        <w:t>la</w:t>
      </w:r>
      <w:r>
        <w:rPr>
          <w:spacing w:val="-6"/>
          <w:w w:val="105"/>
          <w:sz w:val="15"/>
        </w:rPr>
        <w:t xml:space="preserve"> </w:t>
      </w:r>
      <w:r>
        <w:rPr>
          <w:w w:val="105"/>
          <w:sz w:val="15"/>
        </w:rPr>
        <w:t>violación</w:t>
      </w:r>
      <w:r>
        <w:rPr>
          <w:spacing w:val="-6"/>
          <w:w w:val="105"/>
          <w:sz w:val="15"/>
        </w:rPr>
        <w:t xml:space="preserve"> </w:t>
      </w:r>
      <w:r>
        <w:rPr>
          <w:w w:val="105"/>
          <w:sz w:val="15"/>
        </w:rPr>
        <w:t>se</w:t>
      </w:r>
      <w:r>
        <w:rPr>
          <w:spacing w:val="-6"/>
          <w:w w:val="105"/>
          <w:sz w:val="15"/>
        </w:rPr>
        <w:t xml:space="preserve"> </w:t>
      </w:r>
      <w:r>
        <w:rPr>
          <w:w w:val="105"/>
          <w:sz w:val="15"/>
        </w:rPr>
        <w:t>produce</w:t>
      </w:r>
      <w:r>
        <w:rPr>
          <w:spacing w:val="-6"/>
          <w:w w:val="105"/>
          <w:sz w:val="15"/>
        </w:rPr>
        <w:t xml:space="preserve"> </w:t>
      </w:r>
      <w:r>
        <w:rPr>
          <w:w w:val="105"/>
          <w:sz w:val="15"/>
        </w:rPr>
        <w:t>por</w:t>
      </w:r>
      <w:r>
        <w:rPr>
          <w:spacing w:val="-6"/>
          <w:w w:val="105"/>
          <w:sz w:val="15"/>
        </w:rPr>
        <w:t xml:space="preserve"> </w:t>
      </w:r>
      <w:r>
        <w:rPr>
          <w:w w:val="105"/>
          <w:sz w:val="15"/>
        </w:rPr>
        <w:t>no</w:t>
      </w:r>
      <w:r>
        <w:rPr>
          <w:spacing w:val="-6"/>
          <w:w w:val="105"/>
          <w:sz w:val="15"/>
        </w:rPr>
        <w:t xml:space="preserve"> </w:t>
      </w:r>
      <w:r>
        <w:rPr>
          <w:w w:val="105"/>
          <w:sz w:val="15"/>
        </w:rPr>
        <w:t>seguir</w:t>
      </w:r>
      <w:r>
        <w:rPr>
          <w:spacing w:val="-6"/>
          <w:w w:val="105"/>
          <w:sz w:val="15"/>
        </w:rPr>
        <w:t xml:space="preserve"> </w:t>
      </w:r>
      <w:r>
        <w:rPr>
          <w:w w:val="105"/>
          <w:sz w:val="15"/>
        </w:rPr>
        <w:t>el</w:t>
      </w:r>
      <w:r>
        <w:rPr>
          <w:spacing w:val="-6"/>
          <w:w w:val="105"/>
          <w:sz w:val="15"/>
        </w:rPr>
        <w:t xml:space="preserve"> </w:t>
      </w:r>
      <w:r>
        <w:rPr>
          <w:w w:val="105"/>
          <w:sz w:val="15"/>
        </w:rPr>
        <w:t>procedimiento</w:t>
      </w:r>
      <w:r>
        <w:rPr>
          <w:spacing w:val="-6"/>
          <w:w w:val="105"/>
          <w:sz w:val="15"/>
        </w:rPr>
        <w:t xml:space="preserve"> </w:t>
      </w:r>
      <w:r>
        <w:rPr>
          <w:w w:val="105"/>
          <w:sz w:val="15"/>
        </w:rPr>
        <w:t>pertinente</w:t>
      </w:r>
      <w:r>
        <w:rPr>
          <w:spacing w:val="-6"/>
          <w:w w:val="105"/>
          <w:sz w:val="15"/>
        </w:rPr>
        <w:t xml:space="preserve"> </w:t>
      </w:r>
      <w:r>
        <w:rPr>
          <w:w w:val="105"/>
          <w:sz w:val="15"/>
        </w:rPr>
        <w:t>y,</w:t>
      </w:r>
      <w:r>
        <w:rPr>
          <w:spacing w:val="-6"/>
          <w:w w:val="105"/>
          <w:sz w:val="15"/>
        </w:rPr>
        <w:t xml:space="preserve"> </w:t>
      </w:r>
      <w:r>
        <w:rPr>
          <w:w w:val="105"/>
          <w:sz w:val="15"/>
        </w:rPr>
        <w:t>por lo</w:t>
      </w:r>
      <w:r>
        <w:rPr>
          <w:spacing w:val="-5"/>
          <w:w w:val="105"/>
          <w:sz w:val="15"/>
        </w:rPr>
        <w:t xml:space="preserve"> </w:t>
      </w:r>
      <w:r>
        <w:rPr>
          <w:w w:val="105"/>
          <w:sz w:val="15"/>
        </w:rPr>
        <w:t>tanto,</w:t>
      </w:r>
      <w:r>
        <w:rPr>
          <w:spacing w:val="-5"/>
          <w:w w:val="105"/>
          <w:sz w:val="15"/>
        </w:rPr>
        <w:t xml:space="preserve"> </w:t>
      </w:r>
      <w:r>
        <w:rPr>
          <w:w w:val="105"/>
          <w:sz w:val="15"/>
        </w:rPr>
        <w:t>no</w:t>
      </w:r>
      <w:r>
        <w:rPr>
          <w:spacing w:val="-5"/>
          <w:w w:val="105"/>
          <w:sz w:val="15"/>
        </w:rPr>
        <w:t xml:space="preserve"> </w:t>
      </w:r>
      <w:r>
        <w:rPr>
          <w:w w:val="105"/>
          <w:sz w:val="15"/>
        </w:rPr>
        <w:t>es</w:t>
      </w:r>
      <w:r>
        <w:rPr>
          <w:spacing w:val="-5"/>
          <w:w w:val="105"/>
          <w:sz w:val="15"/>
        </w:rPr>
        <w:t xml:space="preserve"> </w:t>
      </w:r>
      <w:r>
        <w:rPr>
          <w:w w:val="105"/>
          <w:sz w:val="15"/>
        </w:rPr>
        <w:t>necesario</w:t>
      </w:r>
      <w:r>
        <w:rPr>
          <w:spacing w:val="-5"/>
          <w:w w:val="105"/>
          <w:sz w:val="15"/>
        </w:rPr>
        <w:t xml:space="preserve"> </w:t>
      </w:r>
      <w:r>
        <w:rPr>
          <w:w w:val="105"/>
          <w:sz w:val="15"/>
        </w:rPr>
        <w:t>establecer</w:t>
      </w:r>
      <w:r>
        <w:rPr>
          <w:spacing w:val="-5"/>
          <w:w w:val="105"/>
          <w:sz w:val="15"/>
        </w:rPr>
        <w:t xml:space="preserve"> </w:t>
      </w:r>
      <w:r>
        <w:rPr>
          <w:w w:val="105"/>
          <w:sz w:val="15"/>
        </w:rPr>
        <w:t>pruebas</w:t>
      </w:r>
      <w:r>
        <w:rPr>
          <w:spacing w:val="-5"/>
          <w:w w:val="105"/>
          <w:sz w:val="15"/>
        </w:rPr>
        <w:t xml:space="preserve"> </w:t>
      </w:r>
      <w:r>
        <w:rPr>
          <w:w w:val="105"/>
          <w:sz w:val="15"/>
        </w:rPr>
        <w:t>de</w:t>
      </w:r>
      <w:r>
        <w:rPr>
          <w:spacing w:val="-5"/>
          <w:w w:val="105"/>
          <w:sz w:val="15"/>
        </w:rPr>
        <w:t xml:space="preserve"> </w:t>
      </w:r>
      <w:r>
        <w:rPr>
          <w:w w:val="105"/>
          <w:sz w:val="15"/>
        </w:rPr>
        <w:t>una</w:t>
      </w:r>
      <w:r>
        <w:rPr>
          <w:spacing w:val="-5"/>
          <w:w w:val="105"/>
          <w:sz w:val="15"/>
        </w:rPr>
        <w:t xml:space="preserve"> </w:t>
      </w:r>
      <w:r>
        <w:rPr>
          <w:w w:val="105"/>
          <w:sz w:val="15"/>
        </w:rPr>
        <w:t>violación</w:t>
      </w:r>
      <w:r>
        <w:rPr>
          <w:spacing w:val="-5"/>
          <w:w w:val="105"/>
          <w:sz w:val="15"/>
        </w:rPr>
        <w:t xml:space="preserve"> </w:t>
      </w:r>
      <w:r>
        <w:rPr>
          <w:w w:val="105"/>
          <w:sz w:val="15"/>
        </w:rPr>
        <w:t>de</w:t>
      </w:r>
      <w:r>
        <w:rPr>
          <w:spacing w:val="-5"/>
          <w:w w:val="105"/>
          <w:sz w:val="15"/>
        </w:rPr>
        <w:t xml:space="preserve"> </w:t>
      </w:r>
      <w:r>
        <w:rPr>
          <w:w w:val="105"/>
          <w:sz w:val="15"/>
        </w:rPr>
        <w:t>derechos.</w:t>
      </w:r>
      <w:r>
        <w:rPr>
          <w:spacing w:val="-4"/>
          <w:w w:val="105"/>
          <w:sz w:val="15"/>
        </w:rPr>
        <w:t xml:space="preserve"> </w:t>
      </w:r>
      <w:r>
        <w:rPr>
          <w:w w:val="105"/>
          <w:sz w:val="15"/>
        </w:rPr>
        <w:t>En</w:t>
      </w:r>
      <w:r>
        <w:rPr>
          <w:spacing w:val="-5"/>
          <w:w w:val="105"/>
          <w:sz w:val="15"/>
        </w:rPr>
        <w:t xml:space="preserve"> </w:t>
      </w:r>
      <w:r>
        <w:rPr>
          <w:w w:val="105"/>
          <w:sz w:val="15"/>
        </w:rPr>
        <w:t>este</w:t>
      </w:r>
      <w:r>
        <w:rPr>
          <w:spacing w:val="-5"/>
          <w:w w:val="105"/>
          <w:sz w:val="15"/>
        </w:rPr>
        <w:t xml:space="preserve"> </w:t>
      </w:r>
      <w:r>
        <w:rPr>
          <w:w w:val="105"/>
          <w:sz w:val="15"/>
        </w:rPr>
        <w:t>sentido,</w:t>
      </w:r>
      <w:r>
        <w:rPr>
          <w:spacing w:val="-4"/>
          <w:w w:val="105"/>
          <w:sz w:val="15"/>
        </w:rPr>
        <w:t xml:space="preserve"> </w:t>
      </w:r>
      <w:r>
        <w:rPr>
          <w:w w:val="105"/>
          <w:sz w:val="15"/>
        </w:rPr>
        <w:t>los</w:t>
      </w:r>
      <w:r>
        <w:rPr>
          <w:spacing w:val="-5"/>
          <w:w w:val="105"/>
          <w:sz w:val="15"/>
        </w:rPr>
        <w:t xml:space="preserve"> </w:t>
      </w:r>
      <w:r>
        <w:rPr>
          <w:w w:val="105"/>
          <w:sz w:val="15"/>
        </w:rPr>
        <w:t>deberes</w:t>
      </w:r>
      <w:r>
        <w:rPr>
          <w:spacing w:val="-5"/>
          <w:w w:val="105"/>
          <w:sz w:val="15"/>
        </w:rPr>
        <w:t xml:space="preserve"> </w:t>
      </w:r>
      <w:r>
        <w:rPr>
          <w:w w:val="105"/>
          <w:sz w:val="15"/>
        </w:rPr>
        <w:t>preventivos</w:t>
      </w:r>
      <w:r>
        <w:rPr>
          <w:spacing w:val="-5"/>
          <w:w w:val="105"/>
          <w:sz w:val="15"/>
        </w:rPr>
        <w:t xml:space="preserve"> </w:t>
      </w:r>
      <w:r>
        <w:rPr>
          <w:w w:val="105"/>
          <w:sz w:val="15"/>
        </w:rPr>
        <w:t>son</w:t>
      </w:r>
      <w:r>
        <w:rPr>
          <w:spacing w:val="-5"/>
          <w:w w:val="105"/>
          <w:sz w:val="15"/>
        </w:rPr>
        <w:t xml:space="preserve"> </w:t>
      </w:r>
      <w:r>
        <w:rPr>
          <w:w w:val="105"/>
          <w:sz w:val="15"/>
        </w:rPr>
        <w:t>útiles</w:t>
      </w:r>
      <w:r>
        <w:rPr>
          <w:spacing w:val="-5"/>
          <w:w w:val="105"/>
          <w:sz w:val="15"/>
        </w:rPr>
        <w:t xml:space="preserve"> </w:t>
      </w:r>
      <w:r>
        <w:rPr>
          <w:w w:val="105"/>
          <w:sz w:val="15"/>
        </w:rPr>
        <w:t>para desafiar las formas estructurales de discriminación, particularmente en aquellas áreas en las que las personas pueden verse disuadidas de presentar casos, como el sector laboral.</w:t>
      </w:r>
    </w:p>
    <w:p w14:paraId="556FABCB" w14:textId="77777777" w:rsidR="0014798C" w:rsidRDefault="0014798C">
      <w:pPr>
        <w:pStyle w:val="Textoindependiente"/>
        <w:spacing w:before="5"/>
      </w:pPr>
    </w:p>
    <w:p w14:paraId="381E7E49" w14:textId="77777777" w:rsidR="0014798C" w:rsidRDefault="004E1F0B">
      <w:pPr>
        <w:pStyle w:val="Prrafodelista"/>
        <w:numPr>
          <w:ilvl w:val="0"/>
          <w:numId w:val="53"/>
        </w:numPr>
        <w:tabs>
          <w:tab w:val="left" w:pos="1364"/>
        </w:tabs>
        <w:ind w:left="1364" w:hanging="249"/>
        <w:jc w:val="left"/>
        <w:rPr>
          <w:sz w:val="16"/>
        </w:rPr>
      </w:pPr>
      <w:r>
        <w:rPr>
          <w:w w:val="105"/>
          <w:sz w:val="16"/>
        </w:rPr>
        <w:t>Deberes</w:t>
      </w:r>
      <w:r>
        <w:rPr>
          <w:spacing w:val="-8"/>
          <w:w w:val="105"/>
          <w:sz w:val="16"/>
        </w:rPr>
        <w:t xml:space="preserve"> </w:t>
      </w:r>
      <w:r>
        <w:rPr>
          <w:spacing w:val="-2"/>
          <w:w w:val="105"/>
          <w:sz w:val="16"/>
        </w:rPr>
        <w:t>institucionales</w:t>
      </w:r>
    </w:p>
    <w:p w14:paraId="04DF93CF" w14:textId="77777777" w:rsidR="0014798C" w:rsidRDefault="0014798C">
      <w:pPr>
        <w:pStyle w:val="Textoindependiente"/>
        <w:spacing w:before="30"/>
        <w:rPr>
          <w:sz w:val="15"/>
        </w:rPr>
      </w:pPr>
    </w:p>
    <w:p w14:paraId="10362526" w14:textId="77777777" w:rsidR="0014798C" w:rsidRDefault="004E1F0B">
      <w:pPr>
        <w:spacing w:line="340" w:lineRule="auto"/>
        <w:ind w:left="1107" w:right="1301" w:firstLine="1"/>
        <w:rPr>
          <w:sz w:val="15"/>
        </w:rPr>
      </w:pPr>
      <w:r>
        <w:rPr>
          <w:w w:val="105"/>
          <w:sz w:val="15"/>
        </w:rPr>
        <w:t>Los</w:t>
      </w:r>
      <w:r>
        <w:rPr>
          <w:spacing w:val="-7"/>
          <w:w w:val="105"/>
          <w:sz w:val="15"/>
        </w:rPr>
        <w:t xml:space="preserve"> </w:t>
      </w:r>
      <w:r>
        <w:rPr>
          <w:w w:val="105"/>
          <w:sz w:val="15"/>
        </w:rPr>
        <w:t>deberes</w:t>
      </w:r>
      <w:r>
        <w:rPr>
          <w:spacing w:val="-7"/>
          <w:w w:val="105"/>
          <w:sz w:val="15"/>
        </w:rPr>
        <w:t xml:space="preserve"> </w:t>
      </w:r>
      <w:r>
        <w:rPr>
          <w:w w:val="105"/>
          <w:sz w:val="15"/>
        </w:rPr>
        <w:t>institucionales</w:t>
      </w:r>
      <w:r>
        <w:rPr>
          <w:spacing w:val="-7"/>
          <w:w w:val="105"/>
          <w:sz w:val="15"/>
        </w:rPr>
        <w:t xml:space="preserve"> </w:t>
      </w:r>
      <w:r>
        <w:rPr>
          <w:w w:val="105"/>
          <w:sz w:val="15"/>
        </w:rPr>
        <w:t>en</w:t>
      </w:r>
      <w:r>
        <w:rPr>
          <w:spacing w:val="-7"/>
          <w:w w:val="105"/>
          <w:sz w:val="15"/>
        </w:rPr>
        <w:t xml:space="preserve"> </w:t>
      </w:r>
      <w:r>
        <w:rPr>
          <w:w w:val="105"/>
          <w:sz w:val="15"/>
        </w:rPr>
        <w:t>materia</w:t>
      </w:r>
      <w:r>
        <w:rPr>
          <w:spacing w:val="-7"/>
          <w:w w:val="105"/>
          <w:sz w:val="15"/>
        </w:rPr>
        <w:t xml:space="preserve"> </w:t>
      </w:r>
      <w:r>
        <w:rPr>
          <w:w w:val="105"/>
          <w:sz w:val="15"/>
        </w:rPr>
        <w:t>de</w:t>
      </w:r>
      <w:r>
        <w:rPr>
          <w:spacing w:val="-7"/>
          <w:w w:val="105"/>
          <w:sz w:val="15"/>
        </w:rPr>
        <w:t xml:space="preserve"> </w:t>
      </w:r>
      <w:r>
        <w:rPr>
          <w:w w:val="105"/>
          <w:sz w:val="15"/>
        </w:rPr>
        <w:t>igualdad</w:t>
      </w:r>
      <w:r>
        <w:rPr>
          <w:spacing w:val="-7"/>
          <w:w w:val="105"/>
          <w:sz w:val="15"/>
        </w:rPr>
        <w:t xml:space="preserve"> </w:t>
      </w:r>
      <w:r>
        <w:rPr>
          <w:w w:val="105"/>
          <w:sz w:val="15"/>
        </w:rPr>
        <w:t>implican</w:t>
      </w:r>
      <w:r>
        <w:rPr>
          <w:spacing w:val="-7"/>
          <w:w w:val="105"/>
          <w:sz w:val="15"/>
        </w:rPr>
        <w:t xml:space="preserve"> </w:t>
      </w:r>
      <w:r>
        <w:rPr>
          <w:w w:val="105"/>
          <w:sz w:val="15"/>
        </w:rPr>
        <w:t>la</w:t>
      </w:r>
      <w:r>
        <w:rPr>
          <w:spacing w:val="-7"/>
          <w:w w:val="105"/>
          <w:sz w:val="15"/>
        </w:rPr>
        <w:t xml:space="preserve"> </w:t>
      </w:r>
      <w:r>
        <w:rPr>
          <w:w w:val="105"/>
          <w:sz w:val="15"/>
        </w:rPr>
        <w:t>imposición</w:t>
      </w:r>
      <w:r>
        <w:rPr>
          <w:spacing w:val="-7"/>
          <w:w w:val="105"/>
          <w:sz w:val="15"/>
        </w:rPr>
        <w:t xml:space="preserve"> </w:t>
      </w:r>
      <w:r>
        <w:rPr>
          <w:w w:val="105"/>
          <w:sz w:val="15"/>
        </w:rPr>
        <w:t>de</w:t>
      </w:r>
      <w:r>
        <w:rPr>
          <w:spacing w:val="-7"/>
          <w:w w:val="105"/>
          <w:sz w:val="15"/>
        </w:rPr>
        <w:t xml:space="preserve"> </w:t>
      </w:r>
      <w:r>
        <w:rPr>
          <w:w w:val="105"/>
          <w:sz w:val="15"/>
        </w:rPr>
        <w:t>la</w:t>
      </w:r>
      <w:r>
        <w:rPr>
          <w:spacing w:val="-7"/>
          <w:w w:val="105"/>
          <w:sz w:val="15"/>
        </w:rPr>
        <w:t xml:space="preserve"> </w:t>
      </w:r>
      <w:r>
        <w:rPr>
          <w:w w:val="105"/>
          <w:sz w:val="15"/>
        </w:rPr>
        <w:t>obligación</w:t>
      </w:r>
      <w:r>
        <w:rPr>
          <w:spacing w:val="-7"/>
          <w:w w:val="105"/>
          <w:sz w:val="15"/>
        </w:rPr>
        <w:t xml:space="preserve"> </w:t>
      </w:r>
      <w:r>
        <w:rPr>
          <w:w w:val="105"/>
          <w:sz w:val="15"/>
        </w:rPr>
        <w:t>a</w:t>
      </w:r>
      <w:r>
        <w:rPr>
          <w:spacing w:val="-7"/>
          <w:w w:val="105"/>
          <w:sz w:val="15"/>
        </w:rPr>
        <w:t xml:space="preserve"> </w:t>
      </w:r>
      <w:r>
        <w:rPr>
          <w:w w:val="105"/>
          <w:sz w:val="15"/>
        </w:rPr>
        <w:t>las</w:t>
      </w:r>
      <w:r>
        <w:rPr>
          <w:spacing w:val="-7"/>
          <w:w w:val="105"/>
          <w:sz w:val="15"/>
        </w:rPr>
        <w:t xml:space="preserve"> </w:t>
      </w:r>
      <w:r>
        <w:rPr>
          <w:w w:val="105"/>
          <w:sz w:val="15"/>
        </w:rPr>
        <w:t>organizaciones</w:t>
      </w:r>
      <w:r>
        <w:rPr>
          <w:spacing w:val="-7"/>
          <w:w w:val="105"/>
          <w:sz w:val="15"/>
        </w:rPr>
        <w:t xml:space="preserve"> </w:t>
      </w:r>
      <w:r>
        <w:rPr>
          <w:w w:val="105"/>
          <w:sz w:val="15"/>
        </w:rPr>
        <w:t>privadas</w:t>
      </w:r>
      <w:r>
        <w:rPr>
          <w:spacing w:val="-7"/>
          <w:w w:val="105"/>
          <w:sz w:val="15"/>
        </w:rPr>
        <w:t xml:space="preserve"> </w:t>
      </w:r>
      <w:r>
        <w:rPr>
          <w:w w:val="105"/>
          <w:sz w:val="15"/>
        </w:rPr>
        <w:t>(junto</w:t>
      </w:r>
      <w:r>
        <w:rPr>
          <w:spacing w:val="-7"/>
          <w:w w:val="105"/>
          <w:sz w:val="15"/>
        </w:rPr>
        <w:t xml:space="preserve"> </w:t>
      </w:r>
      <w:r>
        <w:rPr>
          <w:w w:val="105"/>
          <w:sz w:val="15"/>
        </w:rPr>
        <w:t>con</w:t>
      </w:r>
      <w:r>
        <w:rPr>
          <w:spacing w:val="-7"/>
          <w:w w:val="105"/>
          <w:sz w:val="15"/>
        </w:rPr>
        <w:t xml:space="preserve"> </w:t>
      </w:r>
      <w:r>
        <w:rPr>
          <w:w w:val="105"/>
          <w:sz w:val="15"/>
        </w:rPr>
        <w:t>los organismos del sector público) de revisar sus políticas, procedimientos y prácticas internas e integrar la planificación de la igualdad en sus modos de trabajo. De esta manera, los deberes institucionales pueden ayudar a facilitar las condiciones necesarias para desafiar</w:t>
      </w:r>
      <w:r>
        <w:rPr>
          <w:spacing w:val="-1"/>
          <w:w w:val="105"/>
          <w:sz w:val="15"/>
        </w:rPr>
        <w:t xml:space="preserve"> </w:t>
      </w:r>
      <w:r>
        <w:rPr>
          <w:w w:val="105"/>
          <w:sz w:val="15"/>
        </w:rPr>
        <w:t>aquellas</w:t>
      </w:r>
      <w:r>
        <w:rPr>
          <w:spacing w:val="-1"/>
          <w:w w:val="105"/>
          <w:sz w:val="15"/>
        </w:rPr>
        <w:t xml:space="preserve"> </w:t>
      </w:r>
      <w:r>
        <w:rPr>
          <w:w w:val="105"/>
          <w:sz w:val="15"/>
        </w:rPr>
        <w:t>normas</w:t>
      </w:r>
      <w:r>
        <w:rPr>
          <w:spacing w:val="-1"/>
          <w:w w:val="105"/>
          <w:sz w:val="15"/>
        </w:rPr>
        <w:t xml:space="preserve"> </w:t>
      </w:r>
      <w:r>
        <w:rPr>
          <w:w w:val="105"/>
          <w:sz w:val="15"/>
        </w:rPr>
        <w:t>institucionales</w:t>
      </w:r>
      <w:r>
        <w:rPr>
          <w:spacing w:val="-1"/>
          <w:w w:val="105"/>
          <w:sz w:val="15"/>
        </w:rPr>
        <w:t xml:space="preserve"> </w:t>
      </w:r>
      <w:r>
        <w:rPr>
          <w:w w:val="105"/>
          <w:sz w:val="15"/>
        </w:rPr>
        <w:t>arraigadas</w:t>
      </w:r>
      <w:r>
        <w:rPr>
          <w:spacing w:val="-1"/>
          <w:w w:val="105"/>
          <w:sz w:val="15"/>
        </w:rPr>
        <w:t xml:space="preserve"> </w:t>
      </w:r>
      <w:r>
        <w:rPr>
          <w:w w:val="105"/>
          <w:sz w:val="15"/>
        </w:rPr>
        <w:t>que</w:t>
      </w:r>
      <w:r>
        <w:rPr>
          <w:spacing w:val="-1"/>
          <w:w w:val="105"/>
          <w:sz w:val="15"/>
        </w:rPr>
        <w:t xml:space="preserve"> </w:t>
      </w:r>
      <w:r>
        <w:rPr>
          <w:w w:val="105"/>
          <w:sz w:val="15"/>
        </w:rPr>
        <w:t>conducen</w:t>
      </w:r>
      <w:r>
        <w:rPr>
          <w:spacing w:val="-1"/>
          <w:w w:val="105"/>
          <w:sz w:val="15"/>
        </w:rPr>
        <w:t xml:space="preserve"> </w:t>
      </w:r>
      <w:r>
        <w:rPr>
          <w:w w:val="105"/>
          <w:sz w:val="15"/>
        </w:rPr>
        <w:t>a</w:t>
      </w:r>
      <w:r>
        <w:rPr>
          <w:spacing w:val="-1"/>
          <w:w w:val="105"/>
          <w:sz w:val="15"/>
        </w:rPr>
        <w:t xml:space="preserve"> </w:t>
      </w:r>
      <w:r>
        <w:rPr>
          <w:w w:val="105"/>
          <w:sz w:val="15"/>
        </w:rPr>
        <w:t>la</w:t>
      </w:r>
      <w:r>
        <w:rPr>
          <w:spacing w:val="-1"/>
          <w:w w:val="105"/>
          <w:sz w:val="15"/>
        </w:rPr>
        <w:t xml:space="preserve"> </w:t>
      </w:r>
      <w:r>
        <w:rPr>
          <w:w w:val="105"/>
          <w:sz w:val="15"/>
        </w:rPr>
        <w:t>discriminación</w:t>
      </w:r>
      <w:r>
        <w:rPr>
          <w:spacing w:val="-1"/>
          <w:w w:val="105"/>
          <w:sz w:val="15"/>
        </w:rPr>
        <w:t xml:space="preserve"> </w:t>
      </w:r>
      <w:r>
        <w:rPr>
          <w:w w:val="105"/>
          <w:sz w:val="15"/>
        </w:rPr>
        <w:t>y</w:t>
      </w:r>
      <w:r>
        <w:rPr>
          <w:spacing w:val="-1"/>
          <w:w w:val="105"/>
          <w:sz w:val="15"/>
        </w:rPr>
        <w:t xml:space="preserve"> </w:t>
      </w:r>
      <w:r>
        <w:rPr>
          <w:w w:val="105"/>
          <w:sz w:val="15"/>
        </w:rPr>
        <w:t>perpetúan</w:t>
      </w:r>
      <w:r>
        <w:rPr>
          <w:spacing w:val="-1"/>
          <w:w w:val="105"/>
          <w:sz w:val="15"/>
        </w:rPr>
        <w:t xml:space="preserve"> </w:t>
      </w:r>
      <w:r>
        <w:rPr>
          <w:w w:val="105"/>
          <w:sz w:val="15"/>
        </w:rPr>
        <w:t>la</w:t>
      </w:r>
      <w:r>
        <w:rPr>
          <w:spacing w:val="-1"/>
          <w:w w:val="105"/>
          <w:sz w:val="15"/>
        </w:rPr>
        <w:t xml:space="preserve"> </w:t>
      </w:r>
      <w:r>
        <w:rPr>
          <w:w w:val="105"/>
          <w:sz w:val="15"/>
        </w:rPr>
        <w:t>desigualdad.551</w:t>
      </w:r>
      <w:r>
        <w:rPr>
          <w:spacing w:val="-1"/>
          <w:w w:val="105"/>
          <w:sz w:val="15"/>
        </w:rPr>
        <w:t xml:space="preserve"> </w:t>
      </w:r>
      <w:proofErr w:type="spellStart"/>
      <w:r>
        <w:rPr>
          <w:w w:val="105"/>
          <w:sz w:val="15"/>
        </w:rPr>
        <w:t>Equinet</w:t>
      </w:r>
      <w:proofErr w:type="spellEnd"/>
      <w:r>
        <w:rPr>
          <w:spacing w:val="-1"/>
          <w:w w:val="105"/>
          <w:sz w:val="15"/>
        </w:rPr>
        <w:t xml:space="preserve"> </w:t>
      </w:r>
      <w:r>
        <w:rPr>
          <w:w w:val="105"/>
          <w:sz w:val="15"/>
        </w:rPr>
        <w:t>define</w:t>
      </w:r>
    </w:p>
    <w:p w14:paraId="083BD815" w14:textId="77777777" w:rsidR="0014798C" w:rsidRDefault="004E1F0B">
      <w:pPr>
        <w:spacing w:before="3" w:line="340" w:lineRule="auto"/>
        <w:ind w:left="1107" w:right="1272" w:firstLine="2"/>
        <w:rPr>
          <w:sz w:val="15"/>
        </w:rPr>
      </w:pPr>
      <w:r>
        <w:rPr>
          <w:w w:val="105"/>
          <w:sz w:val="15"/>
        </w:rPr>
        <w:t>los</w:t>
      </w:r>
      <w:r>
        <w:rPr>
          <w:spacing w:val="-7"/>
          <w:w w:val="105"/>
          <w:sz w:val="15"/>
        </w:rPr>
        <w:t xml:space="preserve"> </w:t>
      </w:r>
      <w:r>
        <w:rPr>
          <w:w w:val="105"/>
          <w:sz w:val="15"/>
        </w:rPr>
        <w:t>deberes</w:t>
      </w:r>
      <w:r>
        <w:rPr>
          <w:spacing w:val="-7"/>
          <w:w w:val="105"/>
          <w:sz w:val="15"/>
        </w:rPr>
        <w:t xml:space="preserve"> </w:t>
      </w:r>
      <w:r>
        <w:rPr>
          <w:w w:val="105"/>
          <w:sz w:val="15"/>
        </w:rPr>
        <w:t>institucionales</w:t>
      </w:r>
      <w:r>
        <w:rPr>
          <w:spacing w:val="-7"/>
          <w:w w:val="105"/>
          <w:sz w:val="15"/>
        </w:rPr>
        <w:t xml:space="preserve"> </w:t>
      </w:r>
      <w:r>
        <w:rPr>
          <w:w w:val="105"/>
          <w:sz w:val="15"/>
        </w:rPr>
        <w:t>de</w:t>
      </w:r>
      <w:r>
        <w:rPr>
          <w:spacing w:val="-7"/>
          <w:w w:val="105"/>
          <w:sz w:val="15"/>
        </w:rPr>
        <w:t xml:space="preserve"> </w:t>
      </w:r>
      <w:r>
        <w:rPr>
          <w:w w:val="105"/>
          <w:sz w:val="15"/>
        </w:rPr>
        <w:t>igualdad</w:t>
      </w:r>
      <w:r>
        <w:rPr>
          <w:spacing w:val="-7"/>
          <w:w w:val="105"/>
          <w:sz w:val="15"/>
        </w:rPr>
        <w:t xml:space="preserve"> </w:t>
      </w:r>
      <w:r>
        <w:rPr>
          <w:w w:val="105"/>
          <w:sz w:val="15"/>
        </w:rPr>
        <w:t>como</w:t>
      </w:r>
      <w:r>
        <w:rPr>
          <w:spacing w:val="-7"/>
          <w:w w:val="105"/>
          <w:sz w:val="15"/>
        </w:rPr>
        <w:t xml:space="preserve"> </w:t>
      </w:r>
      <w:r>
        <w:rPr>
          <w:w w:val="105"/>
          <w:sz w:val="15"/>
        </w:rPr>
        <w:t>“deberes</w:t>
      </w:r>
      <w:r>
        <w:rPr>
          <w:spacing w:val="-7"/>
          <w:w w:val="105"/>
          <w:sz w:val="15"/>
        </w:rPr>
        <w:t xml:space="preserve"> </w:t>
      </w:r>
      <w:r>
        <w:rPr>
          <w:w w:val="105"/>
          <w:sz w:val="15"/>
        </w:rPr>
        <w:t>estatutarios</w:t>
      </w:r>
      <w:r>
        <w:rPr>
          <w:spacing w:val="-7"/>
          <w:w w:val="105"/>
          <w:sz w:val="15"/>
        </w:rPr>
        <w:t xml:space="preserve"> </w:t>
      </w:r>
      <w:r>
        <w:rPr>
          <w:w w:val="105"/>
          <w:sz w:val="15"/>
        </w:rPr>
        <w:t>de</w:t>
      </w:r>
      <w:r>
        <w:rPr>
          <w:spacing w:val="-7"/>
          <w:w w:val="105"/>
          <w:sz w:val="15"/>
        </w:rPr>
        <w:t xml:space="preserve"> </w:t>
      </w:r>
      <w:r>
        <w:rPr>
          <w:w w:val="105"/>
          <w:sz w:val="15"/>
        </w:rPr>
        <w:t>las</w:t>
      </w:r>
      <w:r>
        <w:rPr>
          <w:spacing w:val="-7"/>
          <w:w w:val="105"/>
          <w:sz w:val="15"/>
        </w:rPr>
        <w:t xml:space="preserve"> </w:t>
      </w:r>
      <w:r>
        <w:rPr>
          <w:w w:val="105"/>
          <w:sz w:val="15"/>
        </w:rPr>
        <w:t>organizaciones</w:t>
      </w:r>
      <w:r>
        <w:rPr>
          <w:spacing w:val="-7"/>
          <w:w w:val="105"/>
          <w:sz w:val="15"/>
        </w:rPr>
        <w:t xml:space="preserve"> </w:t>
      </w:r>
      <w:r>
        <w:rPr>
          <w:w w:val="105"/>
          <w:sz w:val="15"/>
        </w:rPr>
        <w:t>para</w:t>
      </w:r>
      <w:r>
        <w:rPr>
          <w:spacing w:val="-7"/>
          <w:w w:val="105"/>
          <w:sz w:val="15"/>
        </w:rPr>
        <w:t xml:space="preserve"> </w:t>
      </w:r>
      <w:r>
        <w:rPr>
          <w:w w:val="105"/>
          <w:sz w:val="15"/>
        </w:rPr>
        <w:t>promover</w:t>
      </w:r>
      <w:r>
        <w:rPr>
          <w:spacing w:val="-7"/>
          <w:w w:val="105"/>
          <w:sz w:val="15"/>
        </w:rPr>
        <w:t xml:space="preserve"> </w:t>
      </w:r>
      <w:r>
        <w:rPr>
          <w:w w:val="105"/>
          <w:sz w:val="15"/>
        </w:rPr>
        <w:t>la</w:t>
      </w:r>
      <w:r>
        <w:rPr>
          <w:spacing w:val="-7"/>
          <w:w w:val="105"/>
          <w:sz w:val="15"/>
        </w:rPr>
        <w:t xml:space="preserve"> </w:t>
      </w:r>
      <w:r>
        <w:rPr>
          <w:w w:val="105"/>
          <w:sz w:val="15"/>
        </w:rPr>
        <w:t>igualdad</w:t>
      </w:r>
      <w:r>
        <w:rPr>
          <w:spacing w:val="-7"/>
          <w:w w:val="105"/>
          <w:sz w:val="15"/>
        </w:rPr>
        <w:t xml:space="preserve"> </w:t>
      </w:r>
      <w:r>
        <w:rPr>
          <w:w w:val="105"/>
          <w:sz w:val="15"/>
        </w:rPr>
        <w:t>de</w:t>
      </w:r>
      <w:r>
        <w:rPr>
          <w:spacing w:val="-7"/>
          <w:w w:val="105"/>
          <w:sz w:val="15"/>
        </w:rPr>
        <w:t xml:space="preserve"> </w:t>
      </w:r>
      <w:r>
        <w:rPr>
          <w:w w:val="105"/>
          <w:sz w:val="15"/>
        </w:rPr>
        <w:t>los</w:t>
      </w:r>
      <w:r>
        <w:rPr>
          <w:spacing w:val="-7"/>
          <w:w w:val="105"/>
          <w:sz w:val="15"/>
        </w:rPr>
        <w:t xml:space="preserve"> </w:t>
      </w:r>
      <w:r>
        <w:rPr>
          <w:w w:val="105"/>
          <w:sz w:val="15"/>
        </w:rPr>
        <w:t>empleados o</w:t>
      </w:r>
      <w:r>
        <w:rPr>
          <w:spacing w:val="-4"/>
          <w:w w:val="105"/>
          <w:sz w:val="15"/>
        </w:rPr>
        <w:t xml:space="preserve"> </w:t>
      </w:r>
      <w:r>
        <w:rPr>
          <w:w w:val="105"/>
          <w:sz w:val="15"/>
        </w:rPr>
        <w:t>de</w:t>
      </w:r>
      <w:r>
        <w:rPr>
          <w:spacing w:val="-4"/>
          <w:w w:val="105"/>
          <w:sz w:val="15"/>
        </w:rPr>
        <w:t xml:space="preserve"> </w:t>
      </w:r>
      <w:r>
        <w:rPr>
          <w:w w:val="105"/>
          <w:sz w:val="15"/>
        </w:rPr>
        <w:t>las</w:t>
      </w:r>
      <w:r>
        <w:rPr>
          <w:spacing w:val="-4"/>
          <w:w w:val="105"/>
          <w:sz w:val="15"/>
        </w:rPr>
        <w:t xml:space="preserve"> </w:t>
      </w:r>
      <w:r>
        <w:rPr>
          <w:w w:val="105"/>
          <w:sz w:val="15"/>
        </w:rPr>
        <w:t>personas</w:t>
      </w:r>
      <w:r>
        <w:rPr>
          <w:spacing w:val="-4"/>
          <w:w w:val="105"/>
          <w:sz w:val="15"/>
        </w:rPr>
        <w:t xml:space="preserve"> </w:t>
      </w:r>
      <w:r>
        <w:rPr>
          <w:w w:val="105"/>
          <w:sz w:val="15"/>
        </w:rPr>
        <w:t>que</w:t>
      </w:r>
      <w:r>
        <w:rPr>
          <w:spacing w:val="-4"/>
          <w:w w:val="105"/>
          <w:sz w:val="15"/>
        </w:rPr>
        <w:t xml:space="preserve"> </w:t>
      </w:r>
      <w:r>
        <w:rPr>
          <w:w w:val="105"/>
          <w:sz w:val="15"/>
        </w:rPr>
        <w:t>acceden</w:t>
      </w:r>
      <w:r>
        <w:rPr>
          <w:spacing w:val="-4"/>
          <w:w w:val="105"/>
          <w:sz w:val="15"/>
        </w:rPr>
        <w:t xml:space="preserve"> </w:t>
      </w:r>
      <w:r>
        <w:rPr>
          <w:w w:val="105"/>
          <w:sz w:val="15"/>
        </w:rPr>
        <w:t>a</w:t>
      </w:r>
      <w:r>
        <w:rPr>
          <w:spacing w:val="-4"/>
          <w:w w:val="105"/>
          <w:sz w:val="15"/>
        </w:rPr>
        <w:t xml:space="preserve"> </w:t>
      </w:r>
      <w:r>
        <w:rPr>
          <w:w w:val="105"/>
          <w:sz w:val="15"/>
        </w:rPr>
        <w:t>sus</w:t>
      </w:r>
      <w:r>
        <w:rPr>
          <w:spacing w:val="-4"/>
          <w:w w:val="105"/>
          <w:sz w:val="15"/>
        </w:rPr>
        <w:t xml:space="preserve"> </w:t>
      </w:r>
      <w:r>
        <w:rPr>
          <w:w w:val="105"/>
          <w:sz w:val="15"/>
        </w:rPr>
        <w:t>derechos”.</w:t>
      </w:r>
      <w:r>
        <w:rPr>
          <w:spacing w:val="-3"/>
          <w:w w:val="105"/>
          <w:sz w:val="15"/>
        </w:rPr>
        <w:t xml:space="preserve"> </w:t>
      </w:r>
      <w:r>
        <w:rPr>
          <w:w w:val="105"/>
          <w:sz w:val="15"/>
        </w:rPr>
        <w:t>servicios”.552</w:t>
      </w:r>
      <w:r>
        <w:rPr>
          <w:spacing w:val="-4"/>
          <w:w w:val="105"/>
          <w:sz w:val="15"/>
        </w:rPr>
        <w:t xml:space="preserve"> </w:t>
      </w:r>
      <w:r>
        <w:rPr>
          <w:w w:val="105"/>
          <w:sz w:val="15"/>
        </w:rPr>
        <w:t>Estos</w:t>
      </w:r>
      <w:r>
        <w:rPr>
          <w:spacing w:val="-4"/>
          <w:w w:val="105"/>
          <w:sz w:val="15"/>
        </w:rPr>
        <w:t xml:space="preserve"> </w:t>
      </w:r>
      <w:r>
        <w:rPr>
          <w:w w:val="105"/>
          <w:sz w:val="15"/>
        </w:rPr>
        <w:t>deberes</w:t>
      </w:r>
      <w:r>
        <w:rPr>
          <w:spacing w:val="-4"/>
          <w:w w:val="105"/>
          <w:sz w:val="15"/>
        </w:rPr>
        <w:t xml:space="preserve"> </w:t>
      </w:r>
      <w:r>
        <w:rPr>
          <w:w w:val="105"/>
          <w:sz w:val="15"/>
        </w:rPr>
        <w:t>normalmente</w:t>
      </w:r>
      <w:r>
        <w:rPr>
          <w:spacing w:val="-4"/>
          <w:w w:val="105"/>
          <w:sz w:val="15"/>
        </w:rPr>
        <w:t xml:space="preserve"> </w:t>
      </w:r>
      <w:r>
        <w:rPr>
          <w:w w:val="105"/>
          <w:sz w:val="15"/>
        </w:rPr>
        <w:t>se</w:t>
      </w:r>
      <w:r>
        <w:rPr>
          <w:spacing w:val="-4"/>
          <w:w w:val="105"/>
          <w:sz w:val="15"/>
        </w:rPr>
        <w:t xml:space="preserve"> </w:t>
      </w:r>
      <w:r>
        <w:rPr>
          <w:w w:val="105"/>
          <w:sz w:val="15"/>
        </w:rPr>
        <w:t>aplican</w:t>
      </w:r>
      <w:r>
        <w:rPr>
          <w:spacing w:val="-4"/>
          <w:w w:val="105"/>
          <w:sz w:val="15"/>
        </w:rPr>
        <w:t xml:space="preserve"> </w:t>
      </w:r>
      <w:r>
        <w:rPr>
          <w:w w:val="105"/>
          <w:sz w:val="15"/>
        </w:rPr>
        <w:t>en</w:t>
      </w:r>
      <w:r>
        <w:rPr>
          <w:spacing w:val="-4"/>
          <w:w w:val="105"/>
          <w:sz w:val="15"/>
        </w:rPr>
        <w:t xml:space="preserve"> </w:t>
      </w:r>
      <w:r>
        <w:rPr>
          <w:w w:val="105"/>
          <w:sz w:val="15"/>
        </w:rPr>
        <w:t>los</w:t>
      </w:r>
      <w:r>
        <w:rPr>
          <w:spacing w:val="-4"/>
          <w:w w:val="105"/>
          <w:sz w:val="15"/>
        </w:rPr>
        <w:t xml:space="preserve"> </w:t>
      </w:r>
      <w:r>
        <w:rPr>
          <w:w w:val="105"/>
          <w:sz w:val="15"/>
        </w:rPr>
        <w:t>campos</w:t>
      </w:r>
      <w:r>
        <w:rPr>
          <w:spacing w:val="-4"/>
          <w:w w:val="105"/>
          <w:sz w:val="15"/>
        </w:rPr>
        <w:t xml:space="preserve"> </w:t>
      </w:r>
      <w:r>
        <w:rPr>
          <w:w w:val="105"/>
          <w:sz w:val="15"/>
        </w:rPr>
        <w:t>del</w:t>
      </w:r>
      <w:r>
        <w:rPr>
          <w:spacing w:val="-4"/>
          <w:w w:val="105"/>
          <w:sz w:val="15"/>
        </w:rPr>
        <w:t xml:space="preserve"> </w:t>
      </w:r>
      <w:r>
        <w:rPr>
          <w:w w:val="105"/>
          <w:sz w:val="15"/>
        </w:rPr>
        <w:t>empleo</w:t>
      </w:r>
      <w:r>
        <w:rPr>
          <w:spacing w:val="-4"/>
          <w:w w:val="105"/>
          <w:sz w:val="15"/>
        </w:rPr>
        <w:t xml:space="preserve"> </w:t>
      </w:r>
      <w:r>
        <w:rPr>
          <w:w w:val="105"/>
          <w:sz w:val="15"/>
        </w:rPr>
        <w:t>y</w:t>
      </w:r>
      <w:r>
        <w:rPr>
          <w:spacing w:val="-4"/>
          <w:w w:val="105"/>
          <w:sz w:val="15"/>
        </w:rPr>
        <w:t xml:space="preserve"> </w:t>
      </w:r>
      <w:r>
        <w:rPr>
          <w:w w:val="105"/>
          <w:sz w:val="15"/>
        </w:rPr>
        <w:t>la educación,</w:t>
      </w:r>
      <w:r>
        <w:rPr>
          <w:spacing w:val="-1"/>
          <w:w w:val="105"/>
          <w:sz w:val="15"/>
        </w:rPr>
        <w:t xml:space="preserve"> </w:t>
      </w:r>
      <w:r>
        <w:rPr>
          <w:w w:val="105"/>
          <w:sz w:val="15"/>
        </w:rPr>
        <w:t>pero</w:t>
      </w:r>
      <w:r>
        <w:rPr>
          <w:spacing w:val="-2"/>
          <w:w w:val="105"/>
          <w:sz w:val="15"/>
        </w:rPr>
        <w:t xml:space="preserve"> </w:t>
      </w:r>
      <w:r>
        <w:rPr>
          <w:w w:val="105"/>
          <w:sz w:val="15"/>
        </w:rPr>
        <w:t>también</w:t>
      </w:r>
      <w:r>
        <w:rPr>
          <w:spacing w:val="-2"/>
          <w:w w:val="105"/>
          <w:sz w:val="15"/>
        </w:rPr>
        <w:t xml:space="preserve"> </w:t>
      </w:r>
      <w:r>
        <w:rPr>
          <w:w w:val="105"/>
          <w:sz w:val="15"/>
        </w:rPr>
        <w:t>pueden</w:t>
      </w:r>
      <w:r>
        <w:rPr>
          <w:spacing w:val="-2"/>
          <w:w w:val="105"/>
          <w:sz w:val="15"/>
        </w:rPr>
        <w:t xml:space="preserve"> </w:t>
      </w:r>
      <w:r>
        <w:rPr>
          <w:w w:val="105"/>
          <w:sz w:val="15"/>
        </w:rPr>
        <w:t>aplicarse</w:t>
      </w:r>
      <w:r>
        <w:rPr>
          <w:spacing w:val="-2"/>
          <w:w w:val="105"/>
          <w:sz w:val="15"/>
        </w:rPr>
        <w:t xml:space="preserve"> </w:t>
      </w:r>
      <w:r>
        <w:rPr>
          <w:w w:val="105"/>
          <w:sz w:val="15"/>
        </w:rPr>
        <w:t>en</w:t>
      </w:r>
      <w:r>
        <w:rPr>
          <w:spacing w:val="-2"/>
          <w:w w:val="105"/>
          <w:sz w:val="15"/>
        </w:rPr>
        <w:t xml:space="preserve"> </w:t>
      </w:r>
      <w:r>
        <w:rPr>
          <w:w w:val="105"/>
          <w:sz w:val="15"/>
        </w:rPr>
        <w:t>una</w:t>
      </w:r>
      <w:r>
        <w:rPr>
          <w:spacing w:val="-2"/>
          <w:w w:val="105"/>
          <w:sz w:val="15"/>
        </w:rPr>
        <w:t xml:space="preserve"> </w:t>
      </w:r>
      <w:r>
        <w:rPr>
          <w:w w:val="105"/>
          <w:sz w:val="15"/>
        </w:rPr>
        <w:t>gama</w:t>
      </w:r>
      <w:r>
        <w:rPr>
          <w:spacing w:val="-2"/>
          <w:w w:val="105"/>
          <w:sz w:val="15"/>
        </w:rPr>
        <w:t xml:space="preserve"> </w:t>
      </w:r>
      <w:r>
        <w:rPr>
          <w:w w:val="105"/>
          <w:sz w:val="15"/>
        </w:rPr>
        <w:t>más</w:t>
      </w:r>
      <w:r>
        <w:rPr>
          <w:spacing w:val="-2"/>
          <w:w w:val="105"/>
          <w:sz w:val="15"/>
        </w:rPr>
        <w:t xml:space="preserve"> </w:t>
      </w:r>
      <w:r>
        <w:rPr>
          <w:w w:val="105"/>
          <w:sz w:val="15"/>
        </w:rPr>
        <w:t>amplia</w:t>
      </w:r>
      <w:r>
        <w:rPr>
          <w:spacing w:val="-2"/>
          <w:w w:val="105"/>
          <w:sz w:val="15"/>
        </w:rPr>
        <w:t xml:space="preserve"> </w:t>
      </w:r>
      <w:r>
        <w:rPr>
          <w:w w:val="105"/>
          <w:sz w:val="15"/>
        </w:rPr>
        <w:t>de</w:t>
      </w:r>
      <w:r>
        <w:rPr>
          <w:spacing w:val="-2"/>
          <w:w w:val="105"/>
          <w:sz w:val="15"/>
        </w:rPr>
        <w:t xml:space="preserve"> </w:t>
      </w:r>
      <w:r>
        <w:rPr>
          <w:w w:val="105"/>
          <w:sz w:val="15"/>
        </w:rPr>
        <w:t>áreas</w:t>
      </w:r>
      <w:r>
        <w:rPr>
          <w:spacing w:val="-2"/>
          <w:w w:val="105"/>
          <w:sz w:val="15"/>
        </w:rPr>
        <w:t xml:space="preserve"> </w:t>
      </w:r>
      <w:r>
        <w:rPr>
          <w:w w:val="105"/>
          <w:sz w:val="15"/>
        </w:rPr>
        <w:t>de</w:t>
      </w:r>
      <w:r>
        <w:rPr>
          <w:spacing w:val="-2"/>
          <w:w w:val="105"/>
          <w:sz w:val="15"/>
        </w:rPr>
        <w:t xml:space="preserve"> </w:t>
      </w:r>
      <w:r>
        <w:rPr>
          <w:w w:val="105"/>
          <w:sz w:val="15"/>
        </w:rPr>
        <w:t>la</w:t>
      </w:r>
      <w:r>
        <w:rPr>
          <w:spacing w:val="-2"/>
          <w:w w:val="105"/>
          <w:sz w:val="15"/>
        </w:rPr>
        <w:t xml:space="preserve"> </w:t>
      </w:r>
      <w:r>
        <w:rPr>
          <w:w w:val="105"/>
          <w:sz w:val="15"/>
        </w:rPr>
        <w:t>vida.</w:t>
      </w:r>
      <w:r>
        <w:rPr>
          <w:spacing w:val="-2"/>
          <w:w w:val="105"/>
          <w:sz w:val="15"/>
        </w:rPr>
        <w:t xml:space="preserve"> </w:t>
      </w:r>
      <w:r>
        <w:rPr>
          <w:w w:val="105"/>
          <w:sz w:val="15"/>
        </w:rPr>
        <w:t>Los</w:t>
      </w:r>
      <w:r>
        <w:rPr>
          <w:spacing w:val="-2"/>
          <w:w w:val="105"/>
          <w:sz w:val="15"/>
        </w:rPr>
        <w:t xml:space="preserve"> </w:t>
      </w:r>
      <w:r>
        <w:rPr>
          <w:w w:val="105"/>
          <w:sz w:val="15"/>
        </w:rPr>
        <w:t>deberes</w:t>
      </w:r>
      <w:r>
        <w:rPr>
          <w:spacing w:val="-2"/>
          <w:w w:val="105"/>
          <w:sz w:val="15"/>
        </w:rPr>
        <w:t xml:space="preserve"> </w:t>
      </w:r>
      <w:r>
        <w:rPr>
          <w:w w:val="105"/>
          <w:sz w:val="15"/>
        </w:rPr>
        <w:t>institucionales</w:t>
      </w:r>
      <w:r>
        <w:rPr>
          <w:spacing w:val="-2"/>
          <w:w w:val="105"/>
          <w:sz w:val="15"/>
        </w:rPr>
        <w:t xml:space="preserve"> </w:t>
      </w:r>
      <w:r>
        <w:rPr>
          <w:w w:val="105"/>
          <w:sz w:val="15"/>
        </w:rPr>
        <w:t>pueden</w:t>
      </w:r>
      <w:r>
        <w:rPr>
          <w:spacing w:val="-2"/>
          <w:w w:val="105"/>
          <w:sz w:val="15"/>
        </w:rPr>
        <w:t xml:space="preserve"> </w:t>
      </w:r>
      <w:r>
        <w:rPr>
          <w:w w:val="105"/>
          <w:sz w:val="15"/>
        </w:rPr>
        <w:t>abarcar una</w:t>
      </w:r>
      <w:r>
        <w:rPr>
          <w:spacing w:val="-2"/>
          <w:w w:val="105"/>
          <w:sz w:val="15"/>
        </w:rPr>
        <w:t xml:space="preserve"> </w:t>
      </w:r>
      <w:r>
        <w:rPr>
          <w:w w:val="105"/>
          <w:sz w:val="15"/>
        </w:rPr>
        <w:t>amplia</w:t>
      </w:r>
      <w:r>
        <w:rPr>
          <w:spacing w:val="-2"/>
          <w:w w:val="105"/>
          <w:sz w:val="15"/>
        </w:rPr>
        <w:t xml:space="preserve"> </w:t>
      </w:r>
      <w:r>
        <w:rPr>
          <w:w w:val="105"/>
          <w:sz w:val="15"/>
        </w:rPr>
        <w:t>gama</w:t>
      </w:r>
      <w:r>
        <w:rPr>
          <w:spacing w:val="-2"/>
          <w:w w:val="105"/>
          <w:sz w:val="15"/>
        </w:rPr>
        <w:t xml:space="preserve"> </w:t>
      </w:r>
      <w:r>
        <w:rPr>
          <w:w w:val="105"/>
          <w:sz w:val="15"/>
        </w:rPr>
        <w:t>de</w:t>
      </w:r>
      <w:r>
        <w:rPr>
          <w:spacing w:val="-2"/>
          <w:w w:val="105"/>
          <w:sz w:val="15"/>
        </w:rPr>
        <w:t xml:space="preserve"> </w:t>
      </w:r>
      <w:r>
        <w:rPr>
          <w:w w:val="105"/>
          <w:sz w:val="15"/>
        </w:rPr>
        <w:t>medidas</w:t>
      </w:r>
      <w:r>
        <w:rPr>
          <w:spacing w:val="-2"/>
          <w:w w:val="105"/>
          <w:sz w:val="15"/>
        </w:rPr>
        <w:t xml:space="preserve"> </w:t>
      </w:r>
      <w:r>
        <w:rPr>
          <w:w w:val="105"/>
          <w:sz w:val="15"/>
        </w:rPr>
        <w:t>de</w:t>
      </w:r>
      <w:r>
        <w:rPr>
          <w:spacing w:val="-2"/>
          <w:w w:val="105"/>
          <w:sz w:val="15"/>
        </w:rPr>
        <w:t xml:space="preserve"> </w:t>
      </w:r>
      <w:r>
        <w:rPr>
          <w:w w:val="105"/>
          <w:sz w:val="15"/>
        </w:rPr>
        <w:t>implementación</w:t>
      </w:r>
      <w:r>
        <w:rPr>
          <w:spacing w:val="-2"/>
          <w:w w:val="105"/>
          <w:sz w:val="15"/>
        </w:rPr>
        <w:t xml:space="preserve"> </w:t>
      </w:r>
      <w:r>
        <w:rPr>
          <w:w w:val="105"/>
          <w:sz w:val="15"/>
        </w:rPr>
        <w:t>proactiva</w:t>
      </w:r>
      <w:r>
        <w:rPr>
          <w:spacing w:val="-2"/>
          <w:w w:val="105"/>
          <w:sz w:val="15"/>
        </w:rPr>
        <w:t xml:space="preserve"> </w:t>
      </w:r>
      <w:r>
        <w:rPr>
          <w:w w:val="105"/>
          <w:sz w:val="15"/>
        </w:rPr>
        <w:t>analizadas</w:t>
      </w:r>
      <w:r>
        <w:rPr>
          <w:spacing w:val="-2"/>
          <w:w w:val="105"/>
          <w:sz w:val="15"/>
        </w:rPr>
        <w:t xml:space="preserve"> </w:t>
      </w:r>
      <w:r>
        <w:rPr>
          <w:w w:val="105"/>
          <w:sz w:val="15"/>
        </w:rPr>
        <w:t>en</w:t>
      </w:r>
      <w:r>
        <w:rPr>
          <w:spacing w:val="-2"/>
          <w:w w:val="105"/>
          <w:sz w:val="15"/>
        </w:rPr>
        <w:t xml:space="preserve"> </w:t>
      </w:r>
      <w:r>
        <w:rPr>
          <w:w w:val="105"/>
          <w:sz w:val="15"/>
        </w:rPr>
        <w:t>otras</w:t>
      </w:r>
      <w:r>
        <w:rPr>
          <w:spacing w:val="-2"/>
          <w:w w:val="105"/>
          <w:sz w:val="15"/>
        </w:rPr>
        <w:t xml:space="preserve"> </w:t>
      </w:r>
      <w:r>
        <w:rPr>
          <w:w w:val="105"/>
          <w:sz w:val="15"/>
        </w:rPr>
        <w:t>partes</w:t>
      </w:r>
      <w:r>
        <w:rPr>
          <w:spacing w:val="-2"/>
          <w:w w:val="105"/>
          <w:sz w:val="15"/>
        </w:rPr>
        <w:t xml:space="preserve"> </w:t>
      </w:r>
      <w:r>
        <w:rPr>
          <w:w w:val="105"/>
          <w:sz w:val="15"/>
        </w:rPr>
        <w:t>de</w:t>
      </w:r>
      <w:r>
        <w:rPr>
          <w:spacing w:val="-2"/>
          <w:w w:val="105"/>
          <w:sz w:val="15"/>
        </w:rPr>
        <w:t xml:space="preserve"> </w:t>
      </w:r>
      <w:r>
        <w:rPr>
          <w:w w:val="105"/>
          <w:sz w:val="15"/>
        </w:rPr>
        <w:t>la</w:t>
      </w:r>
      <w:r>
        <w:rPr>
          <w:spacing w:val="-2"/>
          <w:w w:val="105"/>
          <w:sz w:val="15"/>
        </w:rPr>
        <w:t xml:space="preserve"> </w:t>
      </w:r>
      <w:r>
        <w:rPr>
          <w:w w:val="105"/>
          <w:sz w:val="15"/>
        </w:rPr>
        <w:t>presente</w:t>
      </w:r>
      <w:r>
        <w:rPr>
          <w:spacing w:val="-2"/>
          <w:w w:val="105"/>
          <w:sz w:val="15"/>
        </w:rPr>
        <w:t xml:space="preserve"> </w:t>
      </w:r>
      <w:r>
        <w:rPr>
          <w:w w:val="105"/>
          <w:sz w:val="15"/>
        </w:rPr>
        <w:t>guía,</w:t>
      </w:r>
      <w:r>
        <w:rPr>
          <w:spacing w:val="-2"/>
          <w:w w:val="105"/>
          <w:sz w:val="15"/>
        </w:rPr>
        <w:t xml:space="preserve"> </w:t>
      </w:r>
      <w:r>
        <w:rPr>
          <w:w w:val="105"/>
          <w:sz w:val="15"/>
        </w:rPr>
        <w:t>incluida</w:t>
      </w:r>
      <w:r>
        <w:rPr>
          <w:spacing w:val="-2"/>
          <w:w w:val="105"/>
          <w:sz w:val="15"/>
        </w:rPr>
        <w:t xml:space="preserve"> </w:t>
      </w:r>
      <w:r>
        <w:rPr>
          <w:w w:val="105"/>
          <w:sz w:val="15"/>
        </w:rPr>
        <w:t>la</w:t>
      </w:r>
      <w:r>
        <w:rPr>
          <w:spacing w:val="-2"/>
          <w:w w:val="105"/>
          <w:sz w:val="15"/>
        </w:rPr>
        <w:t xml:space="preserve"> </w:t>
      </w:r>
      <w:r>
        <w:rPr>
          <w:w w:val="105"/>
          <w:sz w:val="15"/>
        </w:rPr>
        <w:t>preparación</w:t>
      </w:r>
      <w:r>
        <w:rPr>
          <w:spacing w:val="-2"/>
          <w:w w:val="105"/>
          <w:sz w:val="15"/>
        </w:rPr>
        <w:t xml:space="preserve"> </w:t>
      </w:r>
      <w:r>
        <w:rPr>
          <w:w w:val="105"/>
          <w:sz w:val="15"/>
        </w:rPr>
        <w:t>de planes</w:t>
      </w:r>
      <w:r>
        <w:rPr>
          <w:spacing w:val="-2"/>
          <w:w w:val="105"/>
          <w:sz w:val="15"/>
        </w:rPr>
        <w:t xml:space="preserve"> </w:t>
      </w:r>
      <w:r>
        <w:rPr>
          <w:w w:val="105"/>
          <w:sz w:val="15"/>
        </w:rPr>
        <w:t>de</w:t>
      </w:r>
      <w:r>
        <w:rPr>
          <w:spacing w:val="-2"/>
          <w:w w:val="105"/>
          <w:sz w:val="15"/>
        </w:rPr>
        <w:t xml:space="preserve"> </w:t>
      </w:r>
      <w:r>
        <w:rPr>
          <w:w w:val="105"/>
          <w:sz w:val="15"/>
        </w:rPr>
        <w:t>acción</w:t>
      </w:r>
      <w:r>
        <w:rPr>
          <w:spacing w:val="-2"/>
          <w:w w:val="105"/>
          <w:sz w:val="15"/>
        </w:rPr>
        <w:t xml:space="preserve"> </w:t>
      </w:r>
      <w:r>
        <w:rPr>
          <w:w w:val="105"/>
          <w:sz w:val="15"/>
        </w:rPr>
        <w:t>para</w:t>
      </w:r>
      <w:r>
        <w:rPr>
          <w:spacing w:val="-2"/>
          <w:w w:val="105"/>
          <w:sz w:val="15"/>
        </w:rPr>
        <w:t xml:space="preserve"> </w:t>
      </w:r>
      <w:r>
        <w:rPr>
          <w:w w:val="105"/>
          <w:sz w:val="15"/>
        </w:rPr>
        <w:t>la</w:t>
      </w:r>
      <w:r>
        <w:rPr>
          <w:spacing w:val="-2"/>
          <w:w w:val="105"/>
          <w:sz w:val="15"/>
        </w:rPr>
        <w:t xml:space="preserve"> </w:t>
      </w:r>
      <w:r>
        <w:rPr>
          <w:w w:val="105"/>
          <w:sz w:val="15"/>
        </w:rPr>
        <w:t>igualdad</w:t>
      </w:r>
      <w:r>
        <w:rPr>
          <w:spacing w:val="-2"/>
          <w:w w:val="105"/>
          <w:sz w:val="15"/>
        </w:rPr>
        <w:t xml:space="preserve"> </w:t>
      </w:r>
      <w:r>
        <w:rPr>
          <w:w w:val="105"/>
          <w:sz w:val="15"/>
        </w:rPr>
        <w:t>(que</w:t>
      </w:r>
      <w:r>
        <w:rPr>
          <w:spacing w:val="-2"/>
          <w:w w:val="105"/>
          <w:sz w:val="15"/>
        </w:rPr>
        <w:t xml:space="preserve"> </w:t>
      </w:r>
      <w:r>
        <w:rPr>
          <w:w w:val="105"/>
          <w:sz w:val="15"/>
        </w:rPr>
        <w:t>pueden</w:t>
      </w:r>
      <w:r>
        <w:rPr>
          <w:spacing w:val="-2"/>
          <w:w w:val="105"/>
          <w:sz w:val="15"/>
        </w:rPr>
        <w:t xml:space="preserve"> </w:t>
      </w:r>
      <w:r>
        <w:rPr>
          <w:w w:val="105"/>
          <w:sz w:val="15"/>
        </w:rPr>
        <w:t>incluir</w:t>
      </w:r>
      <w:r>
        <w:rPr>
          <w:spacing w:val="-2"/>
          <w:w w:val="105"/>
          <w:sz w:val="15"/>
        </w:rPr>
        <w:t xml:space="preserve"> </w:t>
      </w:r>
      <w:r>
        <w:rPr>
          <w:w w:val="105"/>
          <w:sz w:val="15"/>
        </w:rPr>
        <w:t>estrategias</w:t>
      </w:r>
      <w:r>
        <w:rPr>
          <w:spacing w:val="-2"/>
          <w:w w:val="105"/>
          <w:sz w:val="15"/>
        </w:rPr>
        <w:t xml:space="preserve"> </w:t>
      </w:r>
      <w:r>
        <w:rPr>
          <w:w w:val="105"/>
          <w:sz w:val="15"/>
        </w:rPr>
        <w:t>de</w:t>
      </w:r>
      <w:r>
        <w:rPr>
          <w:spacing w:val="-2"/>
          <w:w w:val="105"/>
          <w:sz w:val="15"/>
        </w:rPr>
        <w:t xml:space="preserve"> </w:t>
      </w:r>
      <w:r>
        <w:rPr>
          <w:w w:val="105"/>
          <w:sz w:val="15"/>
        </w:rPr>
        <w:t>capacitación</w:t>
      </w:r>
      <w:r>
        <w:rPr>
          <w:spacing w:val="-2"/>
          <w:w w:val="105"/>
          <w:sz w:val="15"/>
        </w:rPr>
        <w:t xml:space="preserve"> </w:t>
      </w:r>
      <w:r>
        <w:rPr>
          <w:w w:val="105"/>
          <w:sz w:val="15"/>
        </w:rPr>
        <w:t>y</w:t>
      </w:r>
      <w:r>
        <w:rPr>
          <w:spacing w:val="-2"/>
          <w:w w:val="105"/>
          <w:sz w:val="15"/>
        </w:rPr>
        <w:t xml:space="preserve"> </w:t>
      </w:r>
      <w:r>
        <w:rPr>
          <w:w w:val="105"/>
          <w:sz w:val="15"/>
        </w:rPr>
        <w:t>sensibilización</w:t>
      </w:r>
      <w:r>
        <w:rPr>
          <w:spacing w:val="-2"/>
          <w:w w:val="105"/>
          <w:sz w:val="15"/>
        </w:rPr>
        <w:t xml:space="preserve"> </w:t>
      </w:r>
      <w:r>
        <w:rPr>
          <w:w w:val="105"/>
          <w:sz w:val="15"/>
        </w:rPr>
        <w:t>sobre</w:t>
      </w:r>
      <w:r>
        <w:rPr>
          <w:spacing w:val="-2"/>
          <w:w w:val="105"/>
          <w:sz w:val="15"/>
        </w:rPr>
        <w:t xml:space="preserve"> </w:t>
      </w:r>
      <w:r>
        <w:rPr>
          <w:w w:val="105"/>
          <w:sz w:val="15"/>
        </w:rPr>
        <w:t>la</w:t>
      </w:r>
      <w:r>
        <w:rPr>
          <w:spacing w:val="-2"/>
          <w:w w:val="105"/>
          <w:sz w:val="15"/>
        </w:rPr>
        <w:t xml:space="preserve"> </w:t>
      </w:r>
      <w:r>
        <w:rPr>
          <w:w w:val="105"/>
          <w:sz w:val="15"/>
        </w:rPr>
        <w:t>igualdad),</w:t>
      </w:r>
      <w:r>
        <w:rPr>
          <w:spacing w:val="-1"/>
          <w:w w:val="105"/>
          <w:sz w:val="15"/>
        </w:rPr>
        <w:t xml:space="preserve"> </w:t>
      </w:r>
      <w:r>
        <w:rPr>
          <w:w w:val="105"/>
          <w:sz w:val="15"/>
        </w:rPr>
        <w:t>la</w:t>
      </w:r>
      <w:r>
        <w:rPr>
          <w:spacing w:val="-2"/>
          <w:w w:val="105"/>
          <w:sz w:val="15"/>
        </w:rPr>
        <w:t xml:space="preserve"> </w:t>
      </w:r>
      <w:r>
        <w:rPr>
          <w:w w:val="105"/>
          <w:sz w:val="15"/>
        </w:rPr>
        <w:t>recopilación de datos desglosados para informar la igualdad planificación y medidas para aumentar la diversidad.</w:t>
      </w:r>
    </w:p>
    <w:p w14:paraId="7ADD56B9" w14:textId="77777777" w:rsidR="0014798C" w:rsidRDefault="0014798C">
      <w:pPr>
        <w:pStyle w:val="Textoindependiente"/>
        <w:spacing w:before="2"/>
        <w:rPr>
          <w:sz w:val="15"/>
        </w:rPr>
      </w:pPr>
    </w:p>
    <w:p w14:paraId="1854E0C9" w14:textId="77777777" w:rsidR="0014798C" w:rsidRDefault="004E1F0B">
      <w:pPr>
        <w:spacing w:before="1" w:line="340" w:lineRule="auto"/>
        <w:ind w:left="1107" w:right="1272" w:hanging="1"/>
        <w:rPr>
          <w:sz w:val="15"/>
        </w:rPr>
      </w:pPr>
      <w:r>
        <w:rPr>
          <w:w w:val="105"/>
          <w:sz w:val="15"/>
        </w:rPr>
        <w:t>El Comité de Derechos Económicos, Sociales y Culturales ha declarado que “se debe exigir a las instituciones públicas y privadas que</w:t>
      </w:r>
      <w:r>
        <w:rPr>
          <w:spacing w:val="-7"/>
          <w:w w:val="105"/>
          <w:sz w:val="15"/>
        </w:rPr>
        <w:t xml:space="preserve"> </w:t>
      </w:r>
      <w:r>
        <w:rPr>
          <w:w w:val="105"/>
          <w:sz w:val="15"/>
        </w:rPr>
        <w:t>desarrollen</w:t>
      </w:r>
      <w:r>
        <w:rPr>
          <w:spacing w:val="-7"/>
          <w:w w:val="105"/>
          <w:sz w:val="15"/>
        </w:rPr>
        <w:t xml:space="preserve"> </w:t>
      </w:r>
      <w:r>
        <w:rPr>
          <w:w w:val="105"/>
          <w:sz w:val="15"/>
        </w:rPr>
        <w:t>planes</w:t>
      </w:r>
      <w:r>
        <w:rPr>
          <w:spacing w:val="-7"/>
          <w:w w:val="105"/>
          <w:sz w:val="15"/>
        </w:rPr>
        <w:t xml:space="preserve"> </w:t>
      </w:r>
      <w:r>
        <w:rPr>
          <w:w w:val="105"/>
          <w:sz w:val="15"/>
        </w:rPr>
        <w:t>de</w:t>
      </w:r>
      <w:r>
        <w:rPr>
          <w:spacing w:val="-7"/>
          <w:w w:val="105"/>
          <w:sz w:val="15"/>
        </w:rPr>
        <w:t xml:space="preserve"> </w:t>
      </w:r>
      <w:r>
        <w:rPr>
          <w:w w:val="105"/>
          <w:sz w:val="15"/>
        </w:rPr>
        <w:t>acción</w:t>
      </w:r>
      <w:r>
        <w:rPr>
          <w:spacing w:val="-7"/>
          <w:w w:val="105"/>
          <w:sz w:val="15"/>
        </w:rPr>
        <w:t xml:space="preserve"> </w:t>
      </w:r>
      <w:r>
        <w:rPr>
          <w:w w:val="105"/>
          <w:sz w:val="15"/>
        </w:rPr>
        <w:t>para</w:t>
      </w:r>
      <w:r>
        <w:rPr>
          <w:spacing w:val="-7"/>
          <w:w w:val="105"/>
          <w:sz w:val="15"/>
        </w:rPr>
        <w:t xml:space="preserve"> </w:t>
      </w:r>
      <w:r>
        <w:rPr>
          <w:w w:val="105"/>
          <w:sz w:val="15"/>
        </w:rPr>
        <w:t>abordar</w:t>
      </w:r>
      <w:r>
        <w:rPr>
          <w:spacing w:val="-7"/>
          <w:w w:val="105"/>
          <w:sz w:val="15"/>
        </w:rPr>
        <w:t xml:space="preserve"> </w:t>
      </w:r>
      <w:r>
        <w:rPr>
          <w:w w:val="105"/>
          <w:sz w:val="15"/>
        </w:rPr>
        <w:t>la</w:t>
      </w:r>
      <w:r>
        <w:rPr>
          <w:spacing w:val="-7"/>
          <w:w w:val="105"/>
          <w:sz w:val="15"/>
        </w:rPr>
        <w:t xml:space="preserve"> </w:t>
      </w:r>
      <w:r>
        <w:rPr>
          <w:w w:val="105"/>
          <w:sz w:val="15"/>
        </w:rPr>
        <w:t>no</w:t>
      </w:r>
      <w:r>
        <w:rPr>
          <w:spacing w:val="-7"/>
          <w:w w:val="105"/>
          <w:sz w:val="15"/>
        </w:rPr>
        <w:t xml:space="preserve"> </w:t>
      </w:r>
      <w:r>
        <w:rPr>
          <w:w w:val="105"/>
          <w:sz w:val="15"/>
        </w:rPr>
        <w:t>discriminación”.553</w:t>
      </w:r>
      <w:r>
        <w:rPr>
          <w:spacing w:val="-7"/>
          <w:w w:val="105"/>
          <w:sz w:val="15"/>
        </w:rPr>
        <w:t xml:space="preserve"> </w:t>
      </w:r>
      <w:r>
        <w:rPr>
          <w:w w:val="105"/>
          <w:sz w:val="15"/>
        </w:rPr>
        <w:t>De</w:t>
      </w:r>
      <w:r>
        <w:rPr>
          <w:spacing w:val="-7"/>
          <w:w w:val="105"/>
          <w:sz w:val="15"/>
        </w:rPr>
        <w:t xml:space="preserve"> </w:t>
      </w:r>
      <w:r>
        <w:rPr>
          <w:w w:val="105"/>
          <w:sz w:val="15"/>
        </w:rPr>
        <w:t>conformidad</w:t>
      </w:r>
      <w:r>
        <w:rPr>
          <w:spacing w:val="-7"/>
          <w:w w:val="105"/>
          <w:sz w:val="15"/>
        </w:rPr>
        <w:t xml:space="preserve"> </w:t>
      </w:r>
      <w:r>
        <w:rPr>
          <w:w w:val="105"/>
          <w:sz w:val="15"/>
        </w:rPr>
        <w:t>con</w:t>
      </w:r>
      <w:r>
        <w:rPr>
          <w:spacing w:val="-7"/>
          <w:w w:val="105"/>
          <w:sz w:val="15"/>
        </w:rPr>
        <w:t xml:space="preserve"> </w:t>
      </w:r>
      <w:r>
        <w:rPr>
          <w:w w:val="105"/>
          <w:sz w:val="15"/>
        </w:rPr>
        <w:t>este</w:t>
      </w:r>
      <w:r>
        <w:rPr>
          <w:spacing w:val="-7"/>
          <w:w w:val="105"/>
          <w:sz w:val="15"/>
        </w:rPr>
        <w:t xml:space="preserve"> </w:t>
      </w:r>
      <w:r>
        <w:rPr>
          <w:w w:val="105"/>
          <w:sz w:val="15"/>
        </w:rPr>
        <w:t>principio,</w:t>
      </w:r>
      <w:r>
        <w:rPr>
          <w:spacing w:val="-6"/>
          <w:w w:val="105"/>
          <w:sz w:val="15"/>
        </w:rPr>
        <w:t xml:space="preserve"> </w:t>
      </w:r>
      <w:r>
        <w:rPr>
          <w:w w:val="105"/>
          <w:sz w:val="15"/>
        </w:rPr>
        <w:t>en</w:t>
      </w:r>
      <w:r>
        <w:rPr>
          <w:spacing w:val="-7"/>
          <w:w w:val="105"/>
          <w:sz w:val="15"/>
        </w:rPr>
        <w:t xml:space="preserve"> </w:t>
      </w:r>
      <w:r>
        <w:rPr>
          <w:w w:val="105"/>
          <w:sz w:val="15"/>
        </w:rPr>
        <w:t>muchas</w:t>
      </w:r>
      <w:r>
        <w:rPr>
          <w:spacing w:val="-7"/>
          <w:w w:val="105"/>
          <w:sz w:val="15"/>
        </w:rPr>
        <w:t xml:space="preserve"> </w:t>
      </w:r>
      <w:r>
        <w:rPr>
          <w:w w:val="105"/>
          <w:sz w:val="15"/>
        </w:rPr>
        <w:t>jurisdicciones nacionales se han impuesto deberes estatutarios positivos a empleadores, autoridades locales u otros organismos deben ser planificados y sistemáticos para promover la igualdad y combatir la discriminación. A algunos organismos de igualdad se les han</w:t>
      </w:r>
    </w:p>
    <w:p w14:paraId="0B402FF4" w14:textId="77777777" w:rsidR="0014798C" w:rsidRDefault="004E1F0B">
      <w:pPr>
        <w:spacing w:before="3" w:line="340" w:lineRule="auto"/>
        <w:ind w:left="1111" w:right="1256"/>
        <w:rPr>
          <w:sz w:val="15"/>
        </w:rPr>
      </w:pPr>
      <w:r>
        <w:rPr>
          <w:w w:val="105"/>
          <w:sz w:val="15"/>
        </w:rPr>
        <w:t>asignado</w:t>
      </w:r>
      <w:r>
        <w:rPr>
          <w:spacing w:val="-7"/>
          <w:w w:val="105"/>
          <w:sz w:val="15"/>
        </w:rPr>
        <w:t xml:space="preserve"> </w:t>
      </w:r>
      <w:r>
        <w:rPr>
          <w:w w:val="105"/>
          <w:sz w:val="15"/>
        </w:rPr>
        <w:t>funciones</w:t>
      </w:r>
      <w:r>
        <w:rPr>
          <w:spacing w:val="-7"/>
          <w:w w:val="105"/>
          <w:sz w:val="15"/>
        </w:rPr>
        <w:t xml:space="preserve"> </w:t>
      </w:r>
      <w:r>
        <w:rPr>
          <w:w w:val="105"/>
          <w:sz w:val="15"/>
        </w:rPr>
        <w:t>para</w:t>
      </w:r>
      <w:r>
        <w:rPr>
          <w:spacing w:val="-7"/>
          <w:w w:val="105"/>
          <w:sz w:val="15"/>
        </w:rPr>
        <w:t xml:space="preserve"> </w:t>
      </w:r>
      <w:r>
        <w:rPr>
          <w:w w:val="105"/>
          <w:sz w:val="15"/>
        </w:rPr>
        <w:t>apoyar</w:t>
      </w:r>
      <w:r>
        <w:rPr>
          <w:spacing w:val="-7"/>
          <w:w w:val="105"/>
          <w:sz w:val="15"/>
        </w:rPr>
        <w:t xml:space="preserve"> </w:t>
      </w:r>
      <w:r>
        <w:rPr>
          <w:w w:val="105"/>
          <w:sz w:val="15"/>
        </w:rPr>
        <w:t>y</w:t>
      </w:r>
      <w:r>
        <w:rPr>
          <w:spacing w:val="-7"/>
          <w:w w:val="105"/>
          <w:sz w:val="15"/>
        </w:rPr>
        <w:t xml:space="preserve"> </w:t>
      </w:r>
      <w:r>
        <w:rPr>
          <w:w w:val="105"/>
          <w:sz w:val="15"/>
        </w:rPr>
        <w:t>hacer</w:t>
      </w:r>
      <w:r>
        <w:rPr>
          <w:spacing w:val="-7"/>
          <w:w w:val="105"/>
          <w:sz w:val="15"/>
        </w:rPr>
        <w:t xml:space="preserve"> </w:t>
      </w:r>
      <w:r>
        <w:rPr>
          <w:w w:val="105"/>
          <w:sz w:val="15"/>
        </w:rPr>
        <w:t>cumplir</w:t>
      </w:r>
      <w:r>
        <w:rPr>
          <w:spacing w:val="-7"/>
          <w:w w:val="105"/>
          <w:sz w:val="15"/>
        </w:rPr>
        <w:t xml:space="preserve"> </w:t>
      </w:r>
      <w:r>
        <w:rPr>
          <w:w w:val="105"/>
          <w:sz w:val="15"/>
        </w:rPr>
        <w:t>tales</w:t>
      </w:r>
      <w:r>
        <w:rPr>
          <w:spacing w:val="-7"/>
          <w:w w:val="105"/>
          <w:sz w:val="15"/>
        </w:rPr>
        <w:t xml:space="preserve"> </w:t>
      </w:r>
      <w:r>
        <w:rPr>
          <w:w w:val="105"/>
          <w:sz w:val="15"/>
        </w:rPr>
        <w:t>deberes,</w:t>
      </w:r>
      <w:r>
        <w:rPr>
          <w:spacing w:val="-6"/>
          <w:w w:val="105"/>
          <w:sz w:val="15"/>
        </w:rPr>
        <w:t xml:space="preserve"> </w:t>
      </w:r>
      <w:r>
        <w:rPr>
          <w:w w:val="105"/>
          <w:sz w:val="15"/>
        </w:rPr>
        <w:t>que</w:t>
      </w:r>
      <w:r>
        <w:rPr>
          <w:spacing w:val="-7"/>
          <w:w w:val="105"/>
          <w:sz w:val="15"/>
        </w:rPr>
        <w:t xml:space="preserve"> </w:t>
      </w:r>
      <w:r>
        <w:rPr>
          <w:w w:val="105"/>
          <w:sz w:val="15"/>
        </w:rPr>
        <w:t>han</w:t>
      </w:r>
      <w:r>
        <w:rPr>
          <w:spacing w:val="-7"/>
          <w:w w:val="105"/>
          <w:sz w:val="15"/>
        </w:rPr>
        <w:t xml:space="preserve"> </w:t>
      </w:r>
      <w:r>
        <w:rPr>
          <w:w w:val="105"/>
          <w:sz w:val="15"/>
        </w:rPr>
        <w:t>demostrado</w:t>
      </w:r>
      <w:r>
        <w:rPr>
          <w:spacing w:val="-7"/>
          <w:w w:val="105"/>
          <w:sz w:val="15"/>
        </w:rPr>
        <w:t xml:space="preserve"> </w:t>
      </w:r>
      <w:r>
        <w:rPr>
          <w:w w:val="105"/>
          <w:sz w:val="15"/>
        </w:rPr>
        <w:t>ser</w:t>
      </w:r>
      <w:r>
        <w:rPr>
          <w:spacing w:val="-7"/>
          <w:w w:val="105"/>
          <w:sz w:val="15"/>
        </w:rPr>
        <w:t xml:space="preserve"> </w:t>
      </w:r>
      <w:r>
        <w:rPr>
          <w:w w:val="105"/>
          <w:sz w:val="15"/>
        </w:rPr>
        <w:t>clave</w:t>
      </w:r>
      <w:r>
        <w:rPr>
          <w:spacing w:val="-7"/>
          <w:w w:val="105"/>
          <w:sz w:val="15"/>
        </w:rPr>
        <w:t xml:space="preserve"> </w:t>
      </w:r>
      <w:r>
        <w:rPr>
          <w:w w:val="105"/>
          <w:sz w:val="15"/>
        </w:rPr>
        <w:t>para</w:t>
      </w:r>
      <w:r>
        <w:rPr>
          <w:spacing w:val="-7"/>
          <w:w w:val="105"/>
          <w:sz w:val="15"/>
        </w:rPr>
        <w:t xml:space="preserve"> </w:t>
      </w:r>
      <w:r>
        <w:rPr>
          <w:w w:val="105"/>
          <w:sz w:val="15"/>
        </w:rPr>
        <w:t>abordar</w:t>
      </w:r>
      <w:r>
        <w:rPr>
          <w:spacing w:val="-7"/>
          <w:w w:val="105"/>
          <w:sz w:val="15"/>
        </w:rPr>
        <w:t xml:space="preserve"> </w:t>
      </w:r>
      <w:r>
        <w:rPr>
          <w:w w:val="105"/>
          <w:sz w:val="15"/>
        </w:rPr>
        <w:t>la</w:t>
      </w:r>
      <w:r>
        <w:rPr>
          <w:spacing w:val="-7"/>
          <w:w w:val="105"/>
          <w:sz w:val="15"/>
        </w:rPr>
        <w:t xml:space="preserve"> </w:t>
      </w:r>
      <w:r>
        <w:rPr>
          <w:w w:val="105"/>
          <w:sz w:val="15"/>
        </w:rPr>
        <w:t>discriminación</w:t>
      </w:r>
      <w:r>
        <w:rPr>
          <w:spacing w:val="-7"/>
          <w:w w:val="105"/>
          <w:sz w:val="15"/>
        </w:rPr>
        <w:t xml:space="preserve"> </w:t>
      </w:r>
      <w:r>
        <w:rPr>
          <w:w w:val="105"/>
          <w:sz w:val="15"/>
        </w:rPr>
        <w:t>sistémica y avanzar hacia el logro de la plena igualdad en la práctica.</w:t>
      </w:r>
    </w:p>
    <w:p w14:paraId="387C4835" w14:textId="77777777" w:rsidR="0014798C" w:rsidRDefault="004E1F0B">
      <w:pPr>
        <w:pStyle w:val="Textoindependiente"/>
        <w:spacing w:before="1"/>
      </w:pPr>
      <w:r>
        <w:rPr>
          <w:noProof/>
        </w:rPr>
        <mc:AlternateContent>
          <mc:Choice Requires="wpg">
            <w:drawing>
              <wp:anchor distT="0" distB="0" distL="0" distR="0" simplePos="0" relativeHeight="251658532" behindDoc="1" locked="0" layoutInCell="1" allowOverlap="1" wp14:anchorId="43C4F98F" wp14:editId="76A6B00C">
                <wp:simplePos x="0" y="0"/>
                <wp:positionH relativeFrom="page">
                  <wp:posOffset>813154</wp:posOffset>
                </wp:positionH>
                <wp:positionV relativeFrom="paragraph">
                  <wp:posOffset>132734</wp:posOffset>
                </wp:positionV>
                <wp:extent cx="5944235" cy="1977389"/>
                <wp:effectExtent l="0" t="0" r="0" b="0"/>
                <wp:wrapTopAndBottom/>
                <wp:docPr id="170" name="Group 17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944235" cy="1977389"/>
                          <a:chOff x="0" y="0"/>
                          <a:chExt cx="5944235" cy="1977389"/>
                        </a:xfrm>
                      </wpg:grpSpPr>
                      <pic:pic xmlns:pic="http://schemas.openxmlformats.org/drawingml/2006/picture">
                        <pic:nvPicPr>
                          <pic:cNvPr id="171" name="Image 171"/>
                          <pic:cNvPicPr/>
                        </pic:nvPicPr>
                        <pic:blipFill>
                          <a:blip r:embed="rId154" cstate="print"/>
                          <a:stretch>
                            <a:fillRect/>
                          </a:stretch>
                        </pic:blipFill>
                        <pic:spPr>
                          <a:xfrm>
                            <a:off x="0" y="0"/>
                            <a:ext cx="5943667" cy="1977075"/>
                          </a:xfrm>
                          <a:prstGeom prst="rect">
                            <a:avLst/>
                          </a:prstGeom>
                        </pic:spPr>
                      </pic:pic>
                      <wps:wsp>
                        <wps:cNvPr id="172" name="Textbox 172"/>
                        <wps:cNvSpPr txBox="1"/>
                        <wps:spPr>
                          <a:xfrm>
                            <a:off x="0" y="0"/>
                            <a:ext cx="5944235" cy="1977389"/>
                          </a:xfrm>
                          <a:prstGeom prst="rect">
                            <a:avLst/>
                          </a:prstGeom>
                        </wps:spPr>
                        <wps:txbx>
                          <w:txbxContent>
                            <w:p w14:paraId="13316348" w14:textId="77777777" w:rsidR="0014798C" w:rsidRDefault="0014798C">
                              <w:pPr>
                                <w:spacing w:before="93"/>
                                <w:rPr>
                                  <w:sz w:val="15"/>
                                </w:rPr>
                              </w:pPr>
                            </w:p>
                            <w:p w14:paraId="68BA75FB" w14:textId="77777777" w:rsidR="0014798C" w:rsidRDefault="004E1F0B">
                              <w:pPr>
                                <w:spacing w:line="336" w:lineRule="auto"/>
                                <w:ind w:left="250" w:right="2179" w:firstLine="11"/>
                                <w:rPr>
                                  <w:sz w:val="15"/>
                                </w:rPr>
                              </w:pPr>
                              <w:r>
                                <w:rPr>
                                  <w:w w:val="105"/>
                                  <w:sz w:val="15"/>
                                </w:rPr>
                                <w:t>IRLANDA</w:t>
                              </w:r>
                              <w:r>
                                <w:rPr>
                                  <w:spacing w:val="-8"/>
                                  <w:w w:val="105"/>
                                  <w:sz w:val="15"/>
                                </w:rPr>
                                <w:t xml:space="preserve"> </w:t>
                              </w:r>
                              <w:r>
                                <w:rPr>
                                  <w:w w:val="105"/>
                                  <w:sz w:val="15"/>
                                </w:rPr>
                                <w:t>DEL</w:t>
                              </w:r>
                              <w:r>
                                <w:rPr>
                                  <w:spacing w:val="-8"/>
                                  <w:w w:val="105"/>
                                  <w:sz w:val="15"/>
                                </w:rPr>
                                <w:t xml:space="preserve"> </w:t>
                              </w:r>
                              <w:r>
                                <w:rPr>
                                  <w:w w:val="105"/>
                                  <w:sz w:val="15"/>
                                </w:rPr>
                                <w:t>NORTE:</w:t>
                              </w:r>
                              <w:r>
                                <w:rPr>
                                  <w:spacing w:val="-8"/>
                                  <w:w w:val="105"/>
                                  <w:sz w:val="15"/>
                                </w:rPr>
                                <w:t xml:space="preserve"> </w:t>
                              </w:r>
                              <w:r>
                                <w:rPr>
                                  <w:w w:val="105"/>
                                  <w:sz w:val="15"/>
                                </w:rPr>
                                <w:t>DEBERES</w:t>
                              </w:r>
                              <w:r>
                                <w:rPr>
                                  <w:spacing w:val="-8"/>
                                  <w:w w:val="105"/>
                                  <w:sz w:val="15"/>
                                </w:rPr>
                                <w:t xml:space="preserve"> </w:t>
                              </w:r>
                              <w:r>
                                <w:rPr>
                                  <w:w w:val="105"/>
                                  <w:sz w:val="15"/>
                                </w:rPr>
                                <w:t>DE</w:t>
                              </w:r>
                              <w:r>
                                <w:rPr>
                                  <w:spacing w:val="-8"/>
                                  <w:w w:val="105"/>
                                  <w:sz w:val="15"/>
                                </w:rPr>
                                <w:t xml:space="preserve"> </w:t>
                              </w:r>
                              <w:r>
                                <w:rPr>
                                  <w:w w:val="105"/>
                                  <w:sz w:val="15"/>
                                </w:rPr>
                                <w:t>IGUALDAD</w:t>
                              </w:r>
                              <w:r>
                                <w:rPr>
                                  <w:spacing w:val="-8"/>
                                  <w:w w:val="105"/>
                                  <w:sz w:val="15"/>
                                </w:rPr>
                                <w:t xml:space="preserve"> </w:t>
                              </w:r>
                              <w:r>
                                <w:rPr>
                                  <w:w w:val="105"/>
                                  <w:sz w:val="15"/>
                                </w:rPr>
                                <w:t>EN</w:t>
                              </w:r>
                              <w:r>
                                <w:rPr>
                                  <w:spacing w:val="-8"/>
                                  <w:w w:val="105"/>
                                  <w:sz w:val="15"/>
                                </w:rPr>
                                <w:t xml:space="preserve"> </w:t>
                              </w:r>
                              <w:r>
                                <w:rPr>
                                  <w:w w:val="105"/>
                                  <w:sz w:val="15"/>
                                </w:rPr>
                                <w:t>EL</w:t>
                              </w:r>
                              <w:r>
                                <w:rPr>
                                  <w:spacing w:val="-8"/>
                                  <w:w w:val="105"/>
                                  <w:sz w:val="15"/>
                                </w:rPr>
                                <w:t xml:space="preserve"> </w:t>
                              </w:r>
                              <w:r>
                                <w:rPr>
                                  <w:w w:val="105"/>
                                  <w:sz w:val="15"/>
                                </w:rPr>
                                <w:t>MARCO</w:t>
                              </w:r>
                              <w:r>
                                <w:rPr>
                                  <w:spacing w:val="-8"/>
                                  <w:w w:val="105"/>
                                  <w:sz w:val="15"/>
                                </w:rPr>
                                <w:t xml:space="preserve"> </w:t>
                              </w:r>
                              <w:r>
                                <w:rPr>
                                  <w:w w:val="105"/>
                                  <w:sz w:val="15"/>
                                </w:rPr>
                                <w:t>DEL</w:t>
                              </w:r>
                              <w:r>
                                <w:rPr>
                                  <w:spacing w:val="-8"/>
                                  <w:w w:val="105"/>
                                  <w:sz w:val="15"/>
                                </w:rPr>
                                <w:t xml:space="preserve"> </w:t>
                              </w:r>
                              <w:r>
                                <w:rPr>
                                  <w:w w:val="105"/>
                                  <w:sz w:val="15"/>
                                </w:rPr>
                                <w:t>EMPLEO</w:t>
                              </w:r>
                              <w:r>
                                <w:rPr>
                                  <w:spacing w:val="-8"/>
                                  <w:w w:val="105"/>
                                  <w:sz w:val="15"/>
                                </w:rPr>
                                <w:t xml:space="preserve"> </w:t>
                              </w:r>
                              <w:r>
                                <w:rPr>
                                  <w:w w:val="105"/>
                                  <w:sz w:val="15"/>
                                </w:rPr>
                                <w:t>JUSTO</w:t>
                              </w:r>
                              <w:r>
                                <w:rPr>
                                  <w:spacing w:val="-8"/>
                                  <w:w w:val="105"/>
                                  <w:sz w:val="15"/>
                                </w:rPr>
                                <w:t xml:space="preserve"> </w:t>
                              </w:r>
                              <w:r>
                                <w:rPr>
                                  <w:w w:val="105"/>
                                  <w:sz w:val="15"/>
                                </w:rPr>
                                <w:t>Y ORDEN DE TRATAMIENTO</w:t>
                              </w:r>
                            </w:p>
                            <w:p w14:paraId="544CFA32" w14:textId="77777777" w:rsidR="0014798C" w:rsidRDefault="004E1F0B">
                              <w:pPr>
                                <w:spacing w:before="158" w:line="340" w:lineRule="auto"/>
                                <w:ind w:left="253" w:right="250" w:hanging="2"/>
                                <w:rPr>
                                  <w:sz w:val="15"/>
                                </w:rPr>
                              </w:pPr>
                              <w:r>
                                <w:rPr>
                                  <w:w w:val="105"/>
                                  <w:sz w:val="15"/>
                                </w:rPr>
                                <w:t>La</w:t>
                              </w:r>
                              <w:r>
                                <w:rPr>
                                  <w:spacing w:val="-2"/>
                                  <w:w w:val="105"/>
                                  <w:sz w:val="15"/>
                                </w:rPr>
                                <w:t xml:space="preserve"> </w:t>
                              </w:r>
                              <w:r>
                                <w:rPr>
                                  <w:w w:val="105"/>
                                  <w:sz w:val="15"/>
                                </w:rPr>
                                <w:t>Orden</w:t>
                              </w:r>
                              <w:r>
                                <w:rPr>
                                  <w:spacing w:val="-2"/>
                                  <w:w w:val="105"/>
                                  <w:sz w:val="15"/>
                                </w:rPr>
                                <w:t xml:space="preserve"> </w:t>
                              </w:r>
                              <w:r>
                                <w:rPr>
                                  <w:w w:val="105"/>
                                  <w:sz w:val="15"/>
                                </w:rPr>
                                <w:t>sobre</w:t>
                              </w:r>
                              <w:r>
                                <w:rPr>
                                  <w:spacing w:val="-2"/>
                                  <w:w w:val="105"/>
                                  <w:sz w:val="15"/>
                                </w:rPr>
                                <w:t xml:space="preserve"> </w:t>
                              </w:r>
                              <w:r>
                                <w:rPr>
                                  <w:w w:val="105"/>
                                  <w:sz w:val="15"/>
                                </w:rPr>
                                <w:t>Empleo</w:t>
                              </w:r>
                              <w:r>
                                <w:rPr>
                                  <w:spacing w:val="-2"/>
                                  <w:w w:val="105"/>
                                  <w:sz w:val="15"/>
                                </w:rPr>
                                <w:t xml:space="preserve"> </w:t>
                              </w:r>
                              <w:r>
                                <w:rPr>
                                  <w:w w:val="105"/>
                                  <w:sz w:val="15"/>
                                </w:rPr>
                                <w:t>y</w:t>
                              </w:r>
                              <w:r>
                                <w:rPr>
                                  <w:spacing w:val="-2"/>
                                  <w:w w:val="105"/>
                                  <w:sz w:val="15"/>
                                </w:rPr>
                                <w:t xml:space="preserve"> </w:t>
                              </w:r>
                              <w:r>
                                <w:rPr>
                                  <w:w w:val="105"/>
                                  <w:sz w:val="15"/>
                                </w:rPr>
                                <w:t>Trato</w:t>
                              </w:r>
                              <w:r>
                                <w:rPr>
                                  <w:spacing w:val="-2"/>
                                  <w:w w:val="105"/>
                                  <w:sz w:val="15"/>
                                </w:rPr>
                                <w:t xml:space="preserve"> </w:t>
                              </w:r>
                              <w:r>
                                <w:rPr>
                                  <w:w w:val="105"/>
                                  <w:sz w:val="15"/>
                                </w:rPr>
                                <w:t>Justo</w:t>
                              </w:r>
                              <w:r>
                                <w:rPr>
                                  <w:spacing w:val="-2"/>
                                  <w:w w:val="105"/>
                                  <w:sz w:val="15"/>
                                </w:rPr>
                                <w:t xml:space="preserve"> </w:t>
                              </w:r>
                              <w:r>
                                <w:rPr>
                                  <w:w w:val="105"/>
                                  <w:sz w:val="15"/>
                                </w:rPr>
                                <w:t>(Irlanda</w:t>
                              </w:r>
                              <w:r>
                                <w:rPr>
                                  <w:spacing w:val="-2"/>
                                  <w:w w:val="105"/>
                                  <w:sz w:val="15"/>
                                </w:rPr>
                                <w:t xml:space="preserve"> </w:t>
                              </w:r>
                              <w:r>
                                <w:rPr>
                                  <w:w w:val="105"/>
                                  <w:sz w:val="15"/>
                                </w:rPr>
                                <w:t>del</w:t>
                              </w:r>
                              <w:r>
                                <w:rPr>
                                  <w:spacing w:val="-2"/>
                                  <w:w w:val="105"/>
                                  <w:sz w:val="15"/>
                                </w:rPr>
                                <w:t xml:space="preserve"> </w:t>
                              </w:r>
                              <w:r>
                                <w:rPr>
                                  <w:w w:val="105"/>
                                  <w:sz w:val="15"/>
                                </w:rPr>
                                <w:t>Norte)</w:t>
                              </w:r>
                              <w:r>
                                <w:rPr>
                                  <w:spacing w:val="-2"/>
                                  <w:w w:val="105"/>
                                  <w:sz w:val="15"/>
                                </w:rPr>
                                <w:t xml:space="preserve"> </w:t>
                              </w:r>
                              <w:r>
                                <w:rPr>
                                  <w:w w:val="105"/>
                                  <w:sz w:val="15"/>
                                </w:rPr>
                                <w:t>se</w:t>
                              </w:r>
                              <w:r>
                                <w:rPr>
                                  <w:spacing w:val="-2"/>
                                  <w:w w:val="105"/>
                                  <w:sz w:val="15"/>
                                </w:rPr>
                                <w:t xml:space="preserve"> </w:t>
                              </w:r>
                              <w:r>
                                <w:rPr>
                                  <w:w w:val="105"/>
                                  <w:sz w:val="15"/>
                                </w:rPr>
                                <w:t>adoptó</w:t>
                              </w:r>
                              <w:r>
                                <w:rPr>
                                  <w:spacing w:val="-2"/>
                                  <w:w w:val="105"/>
                                  <w:sz w:val="15"/>
                                </w:rPr>
                                <w:t xml:space="preserve"> </w:t>
                              </w:r>
                              <w:r>
                                <w:rPr>
                                  <w:w w:val="105"/>
                                  <w:sz w:val="15"/>
                                </w:rPr>
                                <w:t>en</w:t>
                              </w:r>
                              <w:r>
                                <w:rPr>
                                  <w:spacing w:val="-2"/>
                                  <w:w w:val="105"/>
                                  <w:sz w:val="15"/>
                                </w:rPr>
                                <w:t xml:space="preserve"> </w:t>
                              </w:r>
                              <w:r>
                                <w:rPr>
                                  <w:w w:val="105"/>
                                  <w:sz w:val="15"/>
                                </w:rPr>
                                <w:t>1998,</w:t>
                              </w:r>
                              <w:r>
                                <w:rPr>
                                  <w:spacing w:val="-2"/>
                                  <w:w w:val="105"/>
                                  <w:sz w:val="15"/>
                                </w:rPr>
                                <w:t xml:space="preserve"> </w:t>
                              </w:r>
                              <w:r>
                                <w:rPr>
                                  <w:w w:val="105"/>
                                  <w:sz w:val="15"/>
                                </w:rPr>
                                <w:t>consolidando</w:t>
                              </w:r>
                              <w:r>
                                <w:rPr>
                                  <w:spacing w:val="-2"/>
                                  <w:w w:val="105"/>
                                  <w:sz w:val="15"/>
                                </w:rPr>
                                <w:t xml:space="preserve"> </w:t>
                              </w:r>
                              <w:r>
                                <w:rPr>
                                  <w:w w:val="105"/>
                                  <w:sz w:val="15"/>
                                </w:rPr>
                                <w:t>y</w:t>
                              </w:r>
                              <w:r>
                                <w:rPr>
                                  <w:spacing w:val="-2"/>
                                  <w:w w:val="105"/>
                                  <w:sz w:val="15"/>
                                </w:rPr>
                                <w:t xml:space="preserve"> </w:t>
                              </w:r>
                              <w:r>
                                <w:rPr>
                                  <w:w w:val="105"/>
                                  <w:sz w:val="15"/>
                                </w:rPr>
                                <w:t>ampliando</w:t>
                              </w:r>
                              <w:r>
                                <w:rPr>
                                  <w:spacing w:val="-2"/>
                                  <w:w w:val="105"/>
                                  <w:sz w:val="15"/>
                                </w:rPr>
                                <w:t xml:space="preserve"> </w:t>
                              </w:r>
                              <w:r>
                                <w:rPr>
                                  <w:w w:val="105"/>
                                  <w:sz w:val="15"/>
                                </w:rPr>
                                <w:t>la</w:t>
                              </w:r>
                              <w:r>
                                <w:rPr>
                                  <w:spacing w:val="-2"/>
                                  <w:w w:val="105"/>
                                  <w:sz w:val="15"/>
                                </w:rPr>
                                <w:t xml:space="preserve"> </w:t>
                              </w:r>
                              <w:r>
                                <w:rPr>
                                  <w:w w:val="105"/>
                                  <w:sz w:val="15"/>
                                </w:rPr>
                                <w:t>legislación</w:t>
                              </w:r>
                              <w:r>
                                <w:rPr>
                                  <w:spacing w:val="-2"/>
                                  <w:w w:val="105"/>
                                  <w:sz w:val="15"/>
                                </w:rPr>
                                <w:t xml:space="preserve"> </w:t>
                              </w:r>
                              <w:r>
                                <w:rPr>
                                  <w:w w:val="105"/>
                                  <w:sz w:val="15"/>
                                </w:rPr>
                                <w:t>anterior. Según</w:t>
                              </w:r>
                              <w:r>
                                <w:rPr>
                                  <w:spacing w:val="-7"/>
                                  <w:w w:val="105"/>
                                  <w:sz w:val="15"/>
                                </w:rPr>
                                <w:t xml:space="preserve"> </w:t>
                              </w:r>
                              <w:r>
                                <w:rPr>
                                  <w:w w:val="105"/>
                                  <w:sz w:val="15"/>
                                </w:rPr>
                                <w:t>la</w:t>
                              </w:r>
                              <w:r>
                                <w:rPr>
                                  <w:spacing w:val="-7"/>
                                  <w:w w:val="105"/>
                                  <w:sz w:val="15"/>
                                </w:rPr>
                                <w:t xml:space="preserve"> </w:t>
                              </w:r>
                              <w:r>
                                <w:rPr>
                                  <w:w w:val="105"/>
                                  <w:sz w:val="15"/>
                                </w:rPr>
                                <w:t>Orden,</w:t>
                              </w:r>
                              <w:r>
                                <w:rPr>
                                  <w:spacing w:val="-7"/>
                                  <w:w w:val="105"/>
                                  <w:sz w:val="15"/>
                                </w:rPr>
                                <w:t xml:space="preserve"> </w:t>
                              </w:r>
                              <w:r>
                                <w:rPr>
                                  <w:w w:val="105"/>
                                  <w:sz w:val="15"/>
                                </w:rPr>
                                <w:t>los</w:t>
                              </w:r>
                              <w:r>
                                <w:rPr>
                                  <w:spacing w:val="-7"/>
                                  <w:w w:val="105"/>
                                  <w:sz w:val="15"/>
                                </w:rPr>
                                <w:t xml:space="preserve"> </w:t>
                              </w:r>
                              <w:r>
                                <w:rPr>
                                  <w:w w:val="105"/>
                                  <w:sz w:val="15"/>
                                </w:rPr>
                                <w:t>empleadores</w:t>
                              </w:r>
                              <w:r>
                                <w:rPr>
                                  <w:spacing w:val="-7"/>
                                  <w:w w:val="105"/>
                                  <w:sz w:val="15"/>
                                </w:rPr>
                                <w:t xml:space="preserve"> </w:t>
                              </w:r>
                              <w:r>
                                <w:rPr>
                                  <w:w w:val="105"/>
                                  <w:sz w:val="15"/>
                                </w:rPr>
                                <w:t>con</w:t>
                              </w:r>
                              <w:r>
                                <w:rPr>
                                  <w:spacing w:val="-7"/>
                                  <w:w w:val="105"/>
                                  <w:sz w:val="15"/>
                                </w:rPr>
                                <w:t xml:space="preserve"> </w:t>
                              </w:r>
                              <w:r>
                                <w:rPr>
                                  <w:w w:val="105"/>
                                  <w:sz w:val="15"/>
                                </w:rPr>
                                <w:t>más</w:t>
                              </w:r>
                              <w:r>
                                <w:rPr>
                                  <w:spacing w:val="-7"/>
                                  <w:w w:val="105"/>
                                  <w:sz w:val="15"/>
                                </w:rPr>
                                <w:t xml:space="preserve"> </w:t>
                              </w:r>
                              <w:r>
                                <w:rPr>
                                  <w:w w:val="105"/>
                                  <w:sz w:val="15"/>
                                </w:rPr>
                                <w:t>de</w:t>
                              </w:r>
                              <w:r>
                                <w:rPr>
                                  <w:spacing w:val="-7"/>
                                  <w:w w:val="105"/>
                                  <w:sz w:val="15"/>
                                </w:rPr>
                                <w:t xml:space="preserve"> </w:t>
                              </w:r>
                              <w:r>
                                <w:rPr>
                                  <w:w w:val="105"/>
                                  <w:sz w:val="15"/>
                                </w:rPr>
                                <w:t>10</w:t>
                              </w:r>
                              <w:r>
                                <w:rPr>
                                  <w:spacing w:val="-7"/>
                                  <w:w w:val="105"/>
                                  <w:sz w:val="15"/>
                                </w:rPr>
                                <w:t xml:space="preserve"> </w:t>
                              </w:r>
                              <w:r>
                                <w:rPr>
                                  <w:w w:val="105"/>
                                  <w:sz w:val="15"/>
                                </w:rPr>
                                <w:t>empleados</w:t>
                              </w:r>
                              <w:r>
                                <w:rPr>
                                  <w:spacing w:val="-7"/>
                                  <w:w w:val="105"/>
                                  <w:sz w:val="15"/>
                                </w:rPr>
                                <w:t xml:space="preserve"> </w:t>
                              </w:r>
                              <w:r>
                                <w:rPr>
                                  <w:w w:val="105"/>
                                  <w:sz w:val="15"/>
                                </w:rPr>
                                <w:t>deben</w:t>
                              </w:r>
                              <w:r>
                                <w:rPr>
                                  <w:spacing w:val="-7"/>
                                  <w:w w:val="105"/>
                                  <w:sz w:val="15"/>
                                </w:rPr>
                                <w:t xml:space="preserve"> </w:t>
                              </w:r>
                              <w:r>
                                <w:rPr>
                                  <w:w w:val="105"/>
                                  <w:sz w:val="15"/>
                                </w:rPr>
                                <w:t>monitorear</w:t>
                              </w:r>
                              <w:r>
                                <w:rPr>
                                  <w:spacing w:val="-7"/>
                                  <w:w w:val="105"/>
                                  <w:sz w:val="15"/>
                                </w:rPr>
                                <w:t xml:space="preserve"> </w:t>
                              </w:r>
                              <w:r>
                                <w:rPr>
                                  <w:w w:val="105"/>
                                  <w:sz w:val="15"/>
                                </w:rPr>
                                <w:t>la</w:t>
                              </w:r>
                              <w:r>
                                <w:rPr>
                                  <w:spacing w:val="-7"/>
                                  <w:w w:val="105"/>
                                  <w:sz w:val="15"/>
                                </w:rPr>
                                <w:t xml:space="preserve"> </w:t>
                              </w:r>
                              <w:r>
                                <w:rPr>
                                  <w:w w:val="105"/>
                                  <w:sz w:val="15"/>
                                </w:rPr>
                                <w:t>composición</w:t>
                              </w:r>
                              <w:r>
                                <w:rPr>
                                  <w:spacing w:val="-7"/>
                                  <w:w w:val="105"/>
                                  <w:sz w:val="15"/>
                                </w:rPr>
                                <w:t xml:space="preserve"> </w:t>
                              </w:r>
                              <w:r>
                                <w:rPr>
                                  <w:w w:val="105"/>
                                  <w:sz w:val="15"/>
                                </w:rPr>
                                <w:t>comunitaria</w:t>
                              </w:r>
                              <w:r>
                                <w:rPr>
                                  <w:spacing w:val="-7"/>
                                  <w:w w:val="105"/>
                                  <w:sz w:val="15"/>
                                </w:rPr>
                                <w:t xml:space="preserve"> </w:t>
                              </w:r>
                              <w:r>
                                <w:rPr>
                                  <w:w w:val="105"/>
                                  <w:sz w:val="15"/>
                                </w:rPr>
                                <w:t>de</w:t>
                              </w:r>
                              <w:r>
                                <w:rPr>
                                  <w:spacing w:val="-7"/>
                                  <w:w w:val="105"/>
                                  <w:sz w:val="15"/>
                                </w:rPr>
                                <w:t xml:space="preserve"> </w:t>
                              </w:r>
                              <w:r>
                                <w:rPr>
                                  <w:w w:val="105"/>
                                  <w:sz w:val="15"/>
                                </w:rPr>
                                <w:t>su</w:t>
                              </w:r>
                              <w:r>
                                <w:rPr>
                                  <w:spacing w:val="-7"/>
                                  <w:w w:val="105"/>
                                  <w:sz w:val="15"/>
                                </w:rPr>
                                <w:t xml:space="preserve"> </w:t>
                              </w:r>
                              <w:r>
                                <w:rPr>
                                  <w:w w:val="105"/>
                                  <w:sz w:val="15"/>
                                </w:rPr>
                                <w:t>fuerza</w:t>
                              </w:r>
                              <w:r>
                                <w:rPr>
                                  <w:spacing w:val="-7"/>
                                  <w:w w:val="105"/>
                                  <w:sz w:val="15"/>
                                </w:rPr>
                                <w:t xml:space="preserve"> </w:t>
                              </w:r>
                              <w:r>
                                <w:rPr>
                                  <w:w w:val="105"/>
                                  <w:sz w:val="15"/>
                                </w:rPr>
                                <w:t>laboral (definida</w:t>
                              </w:r>
                              <w:r>
                                <w:rPr>
                                  <w:spacing w:val="-1"/>
                                  <w:w w:val="105"/>
                                  <w:sz w:val="15"/>
                                </w:rPr>
                                <w:t xml:space="preserve"> </w:t>
                              </w:r>
                              <w:r>
                                <w:rPr>
                                  <w:w w:val="105"/>
                                  <w:sz w:val="15"/>
                                </w:rPr>
                                <w:t>según</w:t>
                              </w:r>
                              <w:r>
                                <w:rPr>
                                  <w:spacing w:val="-1"/>
                                  <w:w w:val="105"/>
                                  <w:sz w:val="15"/>
                                </w:rPr>
                                <w:t xml:space="preserve"> </w:t>
                              </w:r>
                              <w:r>
                                <w:rPr>
                                  <w:w w:val="105"/>
                                  <w:sz w:val="15"/>
                                </w:rPr>
                                <w:t>la</w:t>
                              </w:r>
                              <w:r>
                                <w:rPr>
                                  <w:spacing w:val="-1"/>
                                  <w:w w:val="105"/>
                                  <w:sz w:val="15"/>
                                </w:rPr>
                                <w:t xml:space="preserve"> </w:t>
                              </w:r>
                              <w:r>
                                <w:rPr>
                                  <w:w w:val="105"/>
                                  <w:sz w:val="15"/>
                                </w:rPr>
                                <w:t>ley</w:t>
                              </w:r>
                              <w:r>
                                <w:rPr>
                                  <w:spacing w:val="-1"/>
                                  <w:w w:val="105"/>
                                  <w:sz w:val="15"/>
                                </w:rPr>
                                <w:t xml:space="preserve"> </w:t>
                              </w:r>
                              <w:r>
                                <w:rPr>
                                  <w:w w:val="105"/>
                                  <w:sz w:val="15"/>
                                </w:rPr>
                                <w:t>como</w:t>
                              </w:r>
                              <w:r>
                                <w:rPr>
                                  <w:spacing w:val="-1"/>
                                  <w:w w:val="105"/>
                                  <w:sz w:val="15"/>
                                </w:rPr>
                                <w:t xml:space="preserve"> </w:t>
                              </w:r>
                              <w:r>
                                <w:rPr>
                                  <w:w w:val="105"/>
                                  <w:sz w:val="15"/>
                                </w:rPr>
                                <w:t>la</w:t>
                              </w:r>
                              <w:r>
                                <w:rPr>
                                  <w:spacing w:val="-1"/>
                                  <w:w w:val="105"/>
                                  <w:sz w:val="15"/>
                                </w:rPr>
                                <w:t xml:space="preserve"> </w:t>
                              </w:r>
                              <w:r>
                                <w:rPr>
                                  <w:w w:val="105"/>
                                  <w:sz w:val="15"/>
                                </w:rPr>
                                <w:t>“</w:t>
                              </w:r>
                              <w:r>
                                <w:rPr>
                                  <w:spacing w:val="-1"/>
                                  <w:w w:val="105"/>
                                  <w:sz w:val="15"/>
                                </w:rPr>
                                <w:t xml:space="preserve"> </w:t>
                              </w:r>
                              <w:r>
                                <w:rPr>
                                  <w:w w:val="105"/>
                                  <w:sz w:val="15"/>
                                </w:rPr>
                                <w:t>comunidad</w:t>
                              </w:r>
                              <w:r>
                                <w:rPr>
                                  <w:spacing w:val="-1"/>
                                  <w:w w:val="105"/>
                                  <w:sz w:val="15"/>
                                </w:rPr>
                                <w:t xml:space="preserve"> </w:t>
                              </w:r>
                              <w:r>
                                <w:rPr>
                                  <w:w w:val="105"/>
                                  <w:sz w:val="15"/>
                                </w:rPr>
                                <w:t>protestante</w:t>
                              </w:r>
                              <w:r>
                                <w:rPr>
                                  <w:spacing w:val="-1"/>
                                  <w:w w:val="105"/>
                                  <w:sz w:val="15"/>
                                </w:rPr>
                                <w:t xml:space="preserve"> </w:t>
                              </w:r>
                              <w:r>
                                <w:rPr>
                                  <w:w w:val="105"/>
                                  <w:sz w:val="15"/>
                                </w:rPr>
                                <w:t>o</w:t>
                              </w:r>
                              <w:r>
                                <w:rPr>
                                  <w:spacing w:val="-1"/>
                                  <w:w w:val="105"/>
                                  <w:sz w:val="15"/>
                                </w:rPr>
                                <w:t xml:space="preserve"> </w:t>
                              </w:r>
                              <w:r>
                                <w:rPr>
                                  <w:w w:val="105"/>
                                  <w:sz w:val="15"/>
                                </w:rPr>
                                <w:t>la</w:t>
                              </w:r>
                              <w:r>
                                <w:rPr>
                                  <w:spacing w:val="-1"/>
                                  <w:w w:val="105"/>
                                  <w:sz w:val="15"/>
                                </w:rPr>
                                <w:t xml:space="preserve"> </w:t>
                              </w:r>
                              <w:r>
                                <w:rPr>
                                  <w:w w:val="105"/>
                                  <w:sz w:val="15"/>
                                </w:rPr>
                                <w:t>comunidad</w:t>
                              </w:r>
                              <w:r>
                                <w:rPr>
                                  <w:spacing w:val="-1"/>
                                  <w:w w:val="105"/>
                                  <w:sz w:val="15"/>
                                </w:rPr>
                                <w:t xml:space="preserve"> </w:t>
                              </w:r>
                              <w:r>
                                <w:rPr>
                                  <w:w w:val="105"/>
                                  <w:sz w:val="15"/>
                                </w:rPr>
                                <w:t>católica</w:t>
                              </w:r>
                              <w:r>
                                <w:rPr>
                                  <w:spacing w:val="-1"/>
                                  <w:w w:val="105"/>
                                  <w:sz w:val="15"/>
                                </w:rPr>
                                <w:t xml:space="preserve"> </w:t>
                              </w:r>
                              <w:r>
                                <w:rPr>
                                  <w:w w:val="105"/>
                                  <w:sz w:val="15"/>
                                </w:rPr>
                                <w:t>romana”)</w:t>
                              </w:r>
                              <w:r>
                                <w:rPr>
                                  <w:spacing w:val="-1"/>
                                  <w:w w:val="105"/>
                                  <w:sz w:val="15"/>
                                </w:rPr>
                                <w:t xml:space="preserve"> </w:t>
                              </w:r>
                              <w:r>
                                <w:rPr>
                                  <w:w w:val="105"/>
                                  <w:sz w:val="15"/>
                                </w:rPr>
                                <w:t>y</w:t>
                              </w:r>
                              <w:r>
                                <w:rPr>
                                  <w:spacing w:val="-1"/>
                                  <w:w w:val="105"/>
                                  <w:sz w:val="15"/>
                                </w:rPr>
                                <w:t xml:space="preserve"> </w:t>
                              </w:r>
                              <w:r>
                                <w:rPr>
                                  <w:w w:val="105"/>
                                  <w:sz w:val="15"/>
                                </w:rPr>
                                <w:t>presentar</w:t>
                              </w:r>
                              <w:r>
                                <w:rPr>
                                  <w:spacing w:val="-1"/>
                                  <w:w w:val="105"/>
                                  <w:sz w:val="15"/>
                                </w:rPr>
                                <w:t xml:space="preserve"> </w:t>
                              </w:r>
                              <w:r>
                                <w:rPr>
                                  <w:w w:val="105"/>
                                  <w:sz w:val="15"/>
                                </w:rPr>
                                <w:t>declaraciones</w:t>
                              </w:r>
                              <w:r>
                                <w:rPr>
                                  <w:spacing w:val="-1"/>
                                  <w:w w:val="105"/>
                                  <w:sz w:val="15"/>
                                </w:rPr>
                                <w:t xml:space="preserve"> </w:t>
                              </w:r>
                              <w:r>
                                <w:rPr>
                                  <w:w w:val="105"/>
                                  <w:sz w:val="15"/>
                                </w:rPr>
                                <w:t>anuales</w:t>
                              </w:r>
                              <w:r>
                                <w:rPr>
                                  <w:spacing w:val="-1"/>
                                  <w:w w:val="105"/>
                                  <w:sz w:val="15"/>
                                </w:rPr>
                                <w:t xml:space="preserve"> </w:t>
                              </w:r>
                              <w:r>
                                <w:rPr>
                                  <w:w w:val="105"/>
                                  <w:sz w:val="15"/>
                                </w:rPr>
                                <w:t>a la</w:t>
                              </w:r>
                              <w:r>
                                <w:rPr>
                                  <w:spacing w:val="-4"/>
                                  <w:w w:val="105"/>
                                  <w:sz w:val="15"/>
                                </w:rPr>
                                <w:t xml:space="preserve"> </w:t>
                              </w:r>
                              <w:r>
                                <w:rPr>
                                  <w:w w:val="105"/>
                                  <w:sz w:val="15"/>
                                </w:rPr>
                                <w:t>Comisión</w:t>
                              </w:r>
                              <w:r>
                                <w:rPr>
                                  <w:spacing w:val="-4"/>
                                  <w:w w:val="105"/>
                                  <w:sz w:val="15"/>
                                </w:rPr>
                                <w:t xml:space="preserve"> </w:t>
                              </w:r>
                              <w:r>
                                <w:rPr>
                                  <w:w w:val="105"/>
                                  <w:sz w:val="15"/>
                                </w:rPr>
                                <w:t>de</w:t>
                              </w:r>
                              <w:r>
                                <w:rPr>
                                  <w:spacing w:val="-4"/>
                                  <w:w w:val="105"/>
                                  <w:sz w:val="15"/>
                                </w:rPr>
                                <w:t xml:space="preserve"> </w:t>
                              </w:r>
                              <w:r>
                                <w:rPr>
                                  <w:w w:val="105"/>
                                  <w:sz w:val="15"/>
                                </w:rPr>
                                <w:t>Igualdad</w:t>
                              </w:r>
                              <w:r>
                                <w:rPr>
                                  <w:spacing w:val="-4"/>
                                  <w:w w:val="105"/>
                                  <w:sz w:val="15"/>
                                </w:rPr>
                                <w:t xml:space="preserve"> </w:t>
                              </w:r>
                              <w:r>
                                <w:rPr>
                                  <w:w w:val="105"/>
                                  <w:sz w:val="15"/>
                                </w:rPr>
                                <w:t>para</w:t>
                              </w:r>
                              <w:r>
                                <w:rPr>
                                  <w:spacing w:val="-4"/>
                                  <w:w w:val="105"/>
                                  <w:sz w:val="15"/>
                                </w:rPr>
                                <w:t xml:space="preserve"> </w:t>
                              </w:r>
                              <w:r>
                                <w:rPr>
                                  <w:w w:val="105"/>
                                  <w:sz w:val="15"/>
                                </w:rPr>
                                <w:t>Irlanda</w:t>
                              </w:r>
                              <w:r>
                                <w:rPr>
                                  <w:spacing w:val="-4"/>
                                  <w:w w:val="105"/>
                                  <w:sz w:val="15"/>
                                </w:rPr>
                                <w:t xml:space="preserve"> </w:t>
                              </w:r>
                              <w:r>
                                <w:rPr>
                                  <w:w w:val="105"/>
                                  <w:sz w:val="15"/>
                                </w:rPr>
                                <w:t>del</w:t>
                              </w:r>
                              <w:r>
                                <w:rPr>
                                  <w:spacing w:val="-4"/>
                                  <w:w w:val="105"/>
                                  <w:sz w:val="15"/>
                                </w:rPr>
                                <w:t xml:space="preserve"> </w:t>
                              </w:r>
                              <w:r>
                                <w:rPr>
                                  <w:w w:val="105"/>
                                  <w:sz w:val="15"/>
                                </w:rPr>
                                <w:t>Norte.</w:t>
                              </w:r>
                              <w:r>
                                <w:rPr>
                                  <w:spacing w:val="-4"/>
                                  <w:w w:val="105"/>
                                  <w:sz w:val="15"/>
                                </w:rPr>
                                <w:t xml:space="preserve"> </w:t>
                              </w:r>
                              <w:r>
                                <w:rPr>
                                  <w:w w:val="105"/>
                                  <w:sz w:val="15"/>
                                </w:rPr>
                                <w:t>Si,</w:t>
                              </w:r>
                              <w:r>
                                <w:rPr>
                                  <w:spacing w:val="-4"/>
                                  <w:w w:val="105"/>
                                  <w:sz w:val="15"/>
                                </w:rPr>
                                <w:t xml:space="preserve"> </w:t>
                              </w:r>
                              <w:r>
                                <w:rPr>
                                  <w:w w:val="105"/>
                                  <w:sz w:val="15"/>
                                </w:rPr>
                                <w:t>durante</w:t>
                              </w:r>
                              <w:r>
                                <w:rPr>
                                  <w:spacing w:val="-4"/>
                                  <w:w w:val="105"/>
                                  <w:sz w:val="15"/>
                                </w:rPr>
                                <w:t xml:space="preserve"> </w:t>
                              </w:r>
                              <w:r>
                                <w:rPr>
                                  <w:w w:val="105"/>
                                  <w:sz w:val="15"/>
                                </w:rPr>
                                <w:t>este</w:t>
                              </w:r>
                              <w:r>
                                <w:rPr>
                                  <w:spacing w:val="-4"/>
                                  <w:w w:val="105"/>
                                  <w:sz w:val="15"/>
                                </w:rPr>
                                <w:t xml:space="preserve"> </w:t>
                              </w:r>
                              <w:r>
                                <w:rPr>
                                  <w:w w:val="105"/>
                                  <w:sz w:val="15"/>
                                </w:rPr>
                                <w:t>proceso,</w:t>
                              </w:r>
                              <w:r>
                                <w:rPr>
                                  <w:spacing w:val="-3"/>
                                  <w:w w:val="105"/>
                                  <w:sz w:val="15"/>
                                </w:rPr>
                                <w:t xml:space="preserve"> </w:t>
                              </w:r>
                              <w:r>
                                <w:rPr>
                                  <w:w w:val="105"/>
                                  <w:sz w:val="15"/>
                                </w:rPr>
                                <w:t>un</w:t>
                              </w:r>
                              <w:r>
                                <w:rPr>
                                  <w:spacing w:val="-4"/>
                                  <w:w w:val="105"/>
                                  <w:sz w:val="15"/>
                                </w:rPr>
                                <w:t xml:space="preserve"> </w:t>
                              </w:r>
                              <w:r>
                                <w:rPr>
                                  <w:w w:val="105"/>
                                  <w:sz w:val="15"/>
                                </w:rPr>
                                <w:t>empleador</w:t>
                              </w:r>
                              <w:r>
                                <w:rPr>
                                  <w:spacing w:val="-4"/>
                                  <w:w w:val="105"/>
                                  <w:sz w:val="15"/>
                                </w:rPr>
                                <w:t xml:space="preserve"> </w:t>
                              </w:r>
                              <w:r>
                                <w:rPr>
                                  <w:w w:val="105"/>
                                  <w:sz w:val="15"/>
                                </w:rPr>
                                <w:t>identifica</w:t>
                              </w:r>
                              <w:r>
                                <w:rPr>
                                  <w:spacing w:val="-4"/>
                                  <w:w w:val="105"/>
                                  <w:sz w:val="15"/>
                                </w:rPr>
                                <w:t xml:space="preserve"> </w:t>
                              </w:r>
                              <w:r>
                                <w:rPr>
                                  <w:w w:val="105"/>
                                  <w:sz w:val="15"/>
                                </w:rPr>
                                <w:t>brechas</w:t>
                              </w:r>
                              <w:r>
                                <w:rPr>
                                  <w:spacing w:val="-4"/>
                                  <w:w w:val="105"/>
                                  <w:sz w:val="15"/>
                                </w:rPr>
                                <w:t xml:space="preserve"> </w:t>
                              </w:r>
                              <w:r>
                                <w:rPr>
                                  <w:w w:val="105"/>
                                  <w:sz w:val="15"/>
                                </w:rPr>
                                <w:t>en</w:t>
                              </w:r>
                              <w:r>
                                <w:rPr>
                                  <w:spacing w:val="-4"/>
                                  <w:w w:val="105"/>
                                  <w:sz w:val="15"/>
                                </w:rPr>
                                <w:t xml:space="preserve"> </w:t>
                              </w:r>
                              <w:r>
                                <w:rPr>
                                  <w:w w:val="105"/>
                                  <w:sz w:val="15"/>
                                </w:rPr>
                                <w:t>la</w:t>
                              </w:r>
                              <w:r>
                                <w:rPr>
                                  <w:spacing w:val="-4"/>
                                  <w:w w:val="105"/>
                                  <w:sz w:val="15"/>
                                </w:rPr>
                                <w:t xml:space="preserve"> </w:t>
                              </w:r>
                              <w:r>
                                <w:rPr>
                                  <w:w w:val="105"/>
                                  <w:sz w:val="15"/>
                                </w:rPr>
                                <w:t>representación</w:t>
                              </w:r>
                            </w:p>
                            <w:p w14:paraId="28272C1A" w14:textId="77777777" w:rsidR="0014798C" w:rsidRDefault="004E1F0B">
                              <w:pPr>
                                <w:spacing w:before="4" w:line="340" w:lineRule="auto"/>
                                <w:ind w:left="256" w:right="38" w:hanging="2"/>
                                <w:rPr>
                                  <w:sz w:val="15"/>
                                </w:rPr>
                              </w:pPr>
                              <w:r>
                                <w:rPr>
                                  <w:w w:val="105"/>
                                  <w:sz w:val="15"/>
                                </w:rPr>
                                <w:t>proporcional</w:t>
                              </w:r>
                              <w:r>
                                <w:rPr>
                                  <w:spacing w:val="-7"/>
                                  <w:w w:val="105"/>
                                  <w:sz w:val="15"/>
                                </w:rPr>
                                <w:t xml:space="preserve"> </w:t>
                              </w:r>
                              <w:r>
                                <w:rPr>
                                  <w:w w:val="105"/>
                                  <w:sz w:val="15"/>
                                </w:rPr>
                                <w:t>de</w:t>
                              </w:r>
                              <w:r>
                                <w:rPr>
                                  <w:spacing w:val="-7"/>
                                  <w:w w:val="105"/>
                                  <w:sz w:val="15"/>
                                </w:rPr>
                                <w:t xml:space="preserve"> </w:t>
                              </w:r>
                              <w:r>
                                <w:rPr>
                                  <w:w w:val="105"/>
                                  <w:sz w:val="15"/>
                                </w:rPr>
                                <w:t>su</w:t>
                              </w:r>
                              <w:r>
                                <w:rPr>
                                  <w:spacing w:val="-7"/>
                                  <w:w w:val="105"/>
                                  <w:sz w:val="15"/>
                                </w:rPr>
                                <w:t xml:space="preserve"> </w:t>
                              </w:r>
                              <w:r>
                                <w:rPr>
                                  <w:w w:val="105"/>
                                  <w:sz w:val="15"/>
                                </w:rPr>
                                <w:t>fuerza</w:t>
                              </w:r>
                              <w:r>
                                <w:rPr>
                                  <w:spacing w:val="-7"/>
                                  <w:w w:val="105"/>
                                  <w:sz w:val="15"/>
                                </w:rPr>
                                <w:t xml:space="preserve"> </w:t>
                              </w:r>
                              <w:r>
                                <w:rPr>
                                  <w:w w:val="105"/>
                                  <w:sz w:val="15"/>
                                </w:rPr>
                                <w:t>laboral,</w:t>
                              </w:r>
                              <w:r>
                                <w:rPr>
                                  <w:spacing w:val="-6"/>
                                  <w:w w:val="105"/>
                                  <w:sz w:val="15"/>
                                </w:rPr>
                                <w:t xml:space="preserve"> </w:t>
                              </w:r>
                              <w:r>
                                <w:rPr>
                                  <w:w w:val="105"/>
                                  <w:sz w:val="15"/>
                                </w:rPr>
                                <w:t>debe</w:t>
                              </w:r>
                              <w:r>
                                <w:rPr>
                                  <w:spacing w:val="-7"/>
                                  <w:w w:val="105"/>
                                  <w:sz w:val="15"/>
                                </w:rPr>
                                <w:t xml:space="preserve"> </w:t>
                              </w:r>
                              <w:r>
                                <w:rPr>
                                  <w:w w:val="105"/>
                                  <w:sz w:val="15"/>
                                </w:rPr>
                                <w:t>tomar</w:t>
                              </w:r>
                              <w:r>
                                <w:rPr>
                                  <w:spacing w:val="-7"/>
                                  <w:w w:val="105"/>
                                  <w:sz w:val="15"/>
                                </w:rPr>
                                <w:t xml:space="preserve"> </w:t>
                              </w:r>
                              <w:r>
                                <w:rPr>
                                  <w:w w:val="105"/>
                                  <w:sz w:val="15"/>
                                </w:rPr>
                                <w:t>medidas</w:t>
                              </w:r>
                              <w:r>
                                <w:rPr>
                                  <w:spacing w:val="-7"/>
                                  <w:w w:val="105"/>
                                  <w:sz w:val="15"/>
                                </w:rPr>
                                <w:t xml:space="preserve"> </w:t>
                              </w:r>
                              <w:r>
                                <w:rPr>
                                  <w:w w:val="105"/>
                                  <w:sz w:val="15"/>
                                </w:rPr>
                                <w:t>correctivas</w:t>
                              </w:r>
                              <w:r>
                                <w:rPr>
                                  <w:spacing w:val="-7"/>
                                  <w:w w:val="105"/>
                                  <w:sz w:val="15"/>
                                </w:rPr>
                                <w:t xml:space="preserve"> </w:t>
                              </w:r>
                              <w:r>
                                <w:rPr>
                                  <w:w w:val="105"/>
                                  <w:sz w:val="15"/>
                                </w:rPr>
                                <w:t>para</w:t>
                              </w:r>
                              <w:r>
                                <w:rPr>
                                  <w:spacing w:val="-7"/>
                                  <w:w w:val="105"/>
                                  <w:sz w:val="15"/>
                                </w:rPr>
                                <w:t xml:space="preserve"> </w:t>
                              </w:r>
                              <w:r>
                                <w:rPr>
                                  <w:w w:val="105"/>
                                  <w:sz w:val="15"/>
                                </w:rPr>
                                <w:t>abordar</w:t>
                              </w:r>
                              <w:r>
                                <w:rPr>
                                  <w:spacing w:val="-7"/>
                                  <w:w w:val="105"/>
                                  <w:sz w:val="15"/>
                                </w:rPr>
                                <w:t xml:space="preserve"> </w:t>
                              </w:r>
                              <w:r>
                                <w:rPr>
                                  <w:w w:val="105"/>
                                  <w:sz w:val="15"/>
                                </w:rPr>
                                <w:t>el</w:t>
                              </w:r>
                              <w:r>
                                <w:rPr>
                                  <w:spacing w:val="-7"/>
                                  <w:w w:val="105"/>
                                  <w:sz w:val="15"/>
                                </w:rPr>
                                <w:t xml:space="preserve"> </w:t>
                              </w:r>
                              <w:r>
                                <w:rPr>
                                  <w:w w:val="105"/>
                                  <w:sz w:val="15"/>
                                </w:rPr>
                                <w:t>desequilibrio.</w:t>
                              </w:r>
                              <w:r>
                                <w:rPr>
                                  <w:spacing w:val="-6"/>
                                  <w:w w:val="105"/>
                                  <w:sz w:val="15"/>
                                </w:rPr>
                                <w:t xml:space="preserve"> </w:t>
                              </w:r>
                              <w:r>
                                <w:rPr>
                                  <w:w w:val="105"/>
                                  <w:sz w:val="15"/>
                                </w:rPr>
                                <w:t>El</w:t>
                              </w:r>
                              <w:r>
                                <w:rPr>
                                  <w:spacing w:val="-7"/>
                                  <w:w w:val="105"/>
                                  <w:sz w:val="15"/>
                                </w:rPr>
                                <w:t xml:space="preserve"> </w:t>
                              </w:r>
                              <w:r>
                                <w:rPr>
                                  <w:w w:val="105"/>
                                  <w:sz w:val="15"/>
                                </w:rPr>
                                <w:t>artículo</w:t>
                              </w:r>
                              <w:r>
                                <w:rPr>
                                  <w:spacing w:val="-7"/>
                                  <w:w w:val="105"/>
                                  <w:sz w:val="15"/>
                                </w:rPr>
                                <w:t xml:space="preserve"> </w:t>
                              </w:r>
                              <w:r>
                                <w:rPr>
                                  <w:w w:val="105"/>
                                  <w:sz w:val="15"/>
                                </w:rPr>
                                <w:t>55</w:t>
                              </w:r>
                              <w:r>
                                <w:rPr>
                                  <w:spacing w:val="-7"/>
                                  <w:w w:val="105"/>
                                  <w:sz w:val="15"/>
                                </w:rPr>
                                <w:t xml:space="preserve"> </w:t>
                              </w:r>
                              <w:r>
                                <w:rPr>
                                  <w:w w:val="105"/>
                                  <w:sz w:val="15"/>
                                </w:rPr>
                                <w:t>de</w:t>
                              </w:r>
                              <w:r>
                                <w:rPr>
                                  <w:spacing w:val="-7"/>
                                  <w:w w:val="105"/>
                                  <w:sz w:val="15"/>
                                </w:rPr>
                                <w:t xml:space="preserve"> </w:t>
                              </w:r>
                              <w:r>
                                <w:rPr>
                                  <w:w w:val="105"/>
                                  <w:sz w:val="15"/>
                                </w:rPr>
                                <w:t>la</w:t>
                              </w:r>
                              <w:r>
                                <w:rPr>
                                  <w:spacing w:val="-7"/>
                                  <w:w w:val="105"/>
                                  <w:sz w:val="15"/>
                                </w:rPr>
                                <w:t xml:space="preserve"> </w:t>
                              </w:r>
                              <w:r>
                                <w:rPr>
                                  <w:w w:val="105"/>
                                  <w:sz w:val="15"/>
                                </w:rPr>
                                <w:t>Orden</w:t>
                              </w:r>
                              <w:r>
                                <w:rPr>
                                  <w:spacing w:val="-7"/>
                                  <w:w w:val="105"/>
                                  <w:sz w:val="15"/>
                                </w:rPr>
                                <w:t xml:space="preserve"> </w:t>
                              </w:r>
                              <w:r>
                                <w:rPr>
                                  <w:w w:val="105"/>
                                  <w:sz w:val="15"/>
                                </w:rPr>
                                <w:t>exige que los empleadores lleven a cabo una revisión completa de sus políticas y prácticas de empleo pertinentes (por ejemplo, en relación con</w:t>
                              </w:r>
                            </w:p>
                          </w:txbxContent>
                        </wps:txbx>
                        <wps:bodyPr wrap="square" lIns="0" tIns="0" rIns="0" bIns="0" rtlCol="0">
                          <a:noAutofit/>
                        </wps:bodyPr>
                      </wps:wsp>
                    </wpg:wgp>
                  </a:graphicData>
                </a:graphic>
              </wp:anchor>
            </w:drawing>
          </mc:Choice>
          <mc:Fallback>
            <w:pict>
              <v:group w14:anchorId="43C4F98F" id="Group 170" o:spid="_x0000_s1093" style="position:absolute;margin-left:64.05pt;margin-top:10.45pt;width:468.05pt;height:155.7pt;z-index:-251657948;mso-wrap-distance-left:0;mso-wrap-distance-right:0;mso-position-horizontal-relative:page" coordsize="59442,19773"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">
                <v:shape id="Image 171" o:spid="_x0000_s1094" type="#_x0000_t75" style="position:absolute;width:59436;height:1977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">
                  <v:imagedata r:id="rId155" o:title=""/>
                </v:shape>
                <v:shape id="Textbox 172" o:spid="_x0000_s1095" type="#_x0000_t202" style="position:absolute;width:59442;height:1977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" filled="f" stroked="f">
                  <v:textbox inset="0,0,0,0">
                    <w:txbxContent>
                      <w:p w14:paraId="13316348" w14:textId="77777777" w:rsidR="0014798C" w:rsidRDefault="0014798C">
                        <w:pPr>
                          <w:spacing w:before="93"/>
                          <w:rPr>
                            <w:sz w:val="15"/>
                          </w:rPr>
                        </w:pPr>
                      </w:p>
                      <w:p w14:paraId="68BA75FB" w14:textId="77777777" w:rsidR="0014798C" w:rsidRDefault="004E1F0B">
                        <w:pPr>
                          <w:spacing w:line="336" w:lineRule="auto"/>
                          <w:ind w:left="250" w:right="2179" w:firstLine="11"/>
                          <w:rPr>
                            <w:sz w:val="15"/>
                          </w:rPr>
                        </w:pPr>
                        <w:r>
                          <w:rPr>
                            <w:w w:val="105"/>
                            <w:sz w:val="15"/>
                          </w:rPr>
                          <w:t>IRLANDA</w:t>
                        </w:r>
                        <w:r>
                          <w:rPr>
                            <w:spacing w:val="-8"/>
                            <w:w w:val="105"/>
                            <w:sz w:val="15"/>
                          </w:rPr>
                          <w:t xml:space="preserve"> </w:t>
                        </w:r>
                        <w:r>
                          <w:rPr>
                            <w:w w:val="105"/>
                            <w:sz w:val="15"/>
                          </w:rPr>
                          <w:t>DEL</w:t>
                        </w:r>
                        <w:r>
                          <w:rPr>
                            <w:spacing w:val="-8"/>
                            <w:w w:val="105"/>
                            <w:sz w:val="15"/>
                          </w:rPr>
                          <w:t xml:space="preserve"> </w:t>
                        </w:r>
                        <w:r>
                          <w:rPr>
                            <w:w w:val="105"/>
                            <w:sz w:val="15"/>
                          </w:rPr>
                          <w:t>NORTE:</w:t>
                        </w:r>
                        <w:r>
                          <w:rPr>
                            <w:spacing w:val="-8"/>
                            <w:w w:val="105"/>
                            <w:sz w:val="15"/>
                          </w:rPr>
                          <w:t xml:space="preserve"> </w:t>
                        </w:r>
                        <w:r>
                          <w:rPr>
                            <w:w w:val="105"/>
                            <w:sz w:val="15"/>
                          </w:rPr>
                          <w:t>DEBERES</w:t>
                        </w:r>
                        <w:r>
                          <w:rPr>
                            <w:spacing w:val="-8"/>
                            <w:w w:val="105"/>
                            <w:sz w:val="15"/>
                          </w:rPr>
                          <w:t xml:space="preserve"> </w:t>
                        </w:r>
                        <w:r>
                          <w:rPr>
                            <w:w w:val="105"/>
                            <w:sz w:val="15"/>
                          </w:rPr>
                          <w:t>DE</w:t>
                        </w:r>
                        <w:r>
                          <w:rPr>
                            <w:spacing w:val="-8"/>
                            <w:w w:val="105"/>
                            <w:sz w:val="15"/>
                          </w:rPr>
                          <w:t xml:space="preserve"> </w:t>
                        </w:r>
                        <w:r>
                          <w:rPr>
                            <w:w w:val="105"/>
                            <w:sz w:val="15"/>
                          </w:rPr>
                          <w:t>IGUALDAD</w:t>
                        </w:r>
                        <w:r>
                          <w:rPr>
                            <w:spacing w:val="-8"/>
                            <w:w w:val="105"/>
                            <w:sz w:val="15"/>
                          </w:rPr>
                          <w:t xml:space="preserve"> </w:t>
                        </w:r>
                        <w:r>
                          <w:rPr>
                            <w:w w:val="105"/>
                            <w:sz w:val="15"/>
                          </w:rPr>
                          <w:t>EN</w:t>
                        </w:r>
                        <w:r>
                          <w:rPr>
                            <w:spacing w:val="-8"/>
                            <w:w w:val="105"/>
                            <w:sz w:val="15"/>
                          </w:rPr>
                          <w:t xml:space="preserve"> </w:t>
                        </w:r>
                        <w:r>
                          <w:rPr>
                            <w:w w:val="105"/>
                            <w:sz w:val="15"/>
                          </w:rPr>
                          <w:t>EL</w:t>
                        </w:r>
                        <w:r>
                          <w:rPr>
                            <w:spacing w:val="-8"/>
                            <w:w w:val="105"/>
                            <w:sz w:val="15"/>
                          </w:rPr>
                          <w:t xml:space="preserve"> </w:t>
                        </w:r>
                        <w:r>
                          <w:rPr>
                            <w:w w:val="105"/>
                            <w:sz w:val="15"/>
                          </w:rPr>
                          <w:t>MARCO</w:t>
                        </w:r>
                        <w:r>
                          <w:rPr>
                            <w:spacing w:val="-8"/>
                            <w:w w:val="105"/>
                            <w:sz w:val="15"/>
                          </w:rPr>
                          <w:t xml:space="preserve"> </w:t>
                        </w:r>
                        <w:r>
                          <w:rPr>
                            <w:w w:val="105"/>
                            <w:sz w:val="15"/>
                          </w:rPr>
                          <w:t>DEL</w:t>
                        </w:r>
                        <w:r>
                          <w:rPr>
                            <w:spacing w:val="-8"/>
                            <w:w w:val="105"/>
                            <w:sz w:val="15"/>
                          </w:rPr>
                          <w:t xml:space="preserve"> </w:t>
                        </w:r>
                        <w:r>
                          <w:rPr>
                            <w:w w:val="105"/>
                            <w:sz w:val="15"/>
                          </w:rPr>
                          <w:t>EMPLEO</w:t>
                        </w:r>
                        <w:r>
                          <w:rPr>
                            <w:spacing w:val="-8"/>
                            <w:w w:val="105"/>
                            <w:sz w:val="15"/>
                          </w:rPr>
                          <w:t xml:space="preserve"> </w:t>
                        </w:r>
                        <w:r>
                          <w:rPr>
                            <w:w w:val="105"/>
                            <w:sz w:val="15"/>
                          </w:rPr>
                          <w:t>JUSTO</w:t>
                        </w:r>
                        <w:r>
                          <w:rPr>
                            <w:spacing w:val="-8"/>
                            <w:w w:val="105"/>
                            <w:sz w:val="15"/>
                          </w:rPr>
                          <w:t xml:space="preserve"> </w:t>
                        </w:r>
                        <w:r>
                          <w:rPr>
                            <w:w w:val="105"/>
                            <w:sz w:val="15"/>
                          </w:rPr>
                          <w:t>Y ORDEN DE TRATAMIENTO</w:t>
                        </w:r>
                      </w:p>
                      <w:p w14:paraId="544CFA32" w14:textId="77777777" w:rsidR="0014798C" w:rsidRDefault="004E1F0B">
                        <w:pPr>
                          <w:spacing w:before="158" w:line="340" w:lineRule="auto"/>
                          <w:ind w:left="253" w:right="250" w:hanging="2"/>
                          <w:rPr>
                            <w:sz w:val="15"/>
                          </w:rPr>
                        </w:pPr>
                        <w:r>
                          <w:rPr>
                            <w:w w:val="105"/>
                            <w:sz w:val="15"/>
                          </w:rPr>
                          <w:t>La</w:t>
                        </w:r>
                        <w:r>
                          <w:rPr>
                            <w:spacing w:val="-2"/>
                            <w:w w:val="105"/>
                            <w:sz w:val="15"/>
                          </w:rPr>
                          <w:t xml:space="preserve"> </w:t>
                        </w:r>
                        <w:r>
                          <w:rPr>
                            <w:w w:val="105"/>
                            <w:sz w:val="15"/>
                          </w:rPr>
                          <w:t>Orden</w:t>
                        </w:r>
                        <w:r>
                          <w:rPr>
                            <w:spacing w:val="-2"/>
                            <w:w w:val="105"/>
                            <w:sz w:val="15"/>
                          </w:rPr>
                          <w:t xml:space="preserve"> </w:t>
                        </w:r>
                        <w:r>
                          <w:rPr>
                            <w:w w:val="105"/>
                            <w:sz w:val="15"/>
                          </w:rPr>
                          <w:t>sobre</w:t>
                        </w:r>
                        <w:r>
                          <w:rPr>
                            <w:spacing w:val="-2"/>
                            <w:w w:val="105"/>
                            <w:sz w:val="15"/>
                          </w:rPr>
                          <w:t xml:space="preserve"> </w:t>
                        </w:r>
                        <w:r>
                          <w:rPr>
                            <w:w w:val="105"/>
                            <w:sz w:val="15"/>
                          </w:rPr>
                          <w:t>Empleo</w:t>
                        </w:r>
                        <w:r>
                          <w:rPr>
                            <w:spacing w:val="-2"/>
                            <w:w w:val="105"/>
                            <w:sz w:val="15"/>
                          </w:rPr>
                          <w:t xml:space="preserve"> </w:t>
                        </w:r>
                        <w:r>
                          <w:rPr>
                            <w:w w:val="105"/>
                            <w:sz w:val="15"/>
                          </w:rPr>
                          <w:t>y</w:t>
                        </w:r>
                        <w:r>
                          <w:rPr>
                            <w:spacing w:val="-2"/>
                            <w:w w:val="105"/>
                            <w:sz w:val="15"/>
                          </w:rPr>
                          <w:t xml:space="preserve"> </w:t>
                        </w:r>
                        <w:r>
                          <w:rPr>
                            <w:w w:val="105"/>
                            <w:sz w:val="15"/>
                          </w:rPr>
                          <w:t>Trato</w:t>
                        </w:r>
                        <w:r>
                          <w:rPr>
                            <w:spacing w:val="-2"/>
                            <w:w w:val="105"/>
                            <w:sz w:val="15"/>
                          </w:rPr>
                          <w:t xml:space="preserve"> </w:t>
                        </w:r>
                        <w:r>
                          <w:rPr>
                            <w:w w:val="105"/>
                            <w:sz w:val="15"/>
                          </w:rPr>
                          <w:t>Justo</w:t>
                        </w:r>
                        <w:r>
                          <w:rPr>
                            <w:spacing w:val="-2"/>
                            <w:w w:val="105"/>
                            <w:sz w:val="15"/>
                          </w:rPr>
                          <w:t xml:space="preserve"> </w:t>
                        </w:r>
                        <w:r>
                          <w:rPr>
                            <w:w w:val="105"/>
                            <w:sz w:val="15"/>
                          </w:rPr>
                          <w:t>(Irlanda</w:t>
                        </w:r>
                        <w:r>
                          <w:rPr>
                            <w:spacing w:val="-2"/>
                            <w:w w:val="105"/>
                            <w:sz w:val="15"/>
                          </w:rPr>
                          <w:t xml:space="preserve"> </w:t>
                        </w:r>
                        <w:r>
                          <w:rPr>
                            <w:w w:val="105"/>
                            <w:sz w:val="15"/>
                          </w:rPr>
                          <w:t>del</w:t>
                        </w:r>
                        <w:r>
                          <w:rPr>
                            <w:spacing w:val="-2"/>
                            <w:w w:val="105"/>
                            <w:sz w:val="15"/>
                          </w:rPr>
                          <w:t xml:space="preserve"> </w:t>
                        </w:r>
                        <w:r>
                          <w:rPr>
                            <w:w w:val="105"/>
                            <w:sz w:val="15"/>
                          </w:rPr>
                          <w:t>Norte)</w:t>
                        </w:r>
                        <w:r>
                          <w:rPr>
                            <w:spacing w:val="-2"/>
                            <w:w w:val="105"/>
                            <w:sz w:val="15"/>
                          </w:rPr>
                          <w:t xml:space="preserve"> </w:t>
                        </w:r>
                        <w:r>
                          <w:rPr>
                            <w:w w:val="105"/>
                            <w:sz w:val="15"/>
                          </w:rPr>
                          <w:t>se</w:t>
                        </w:r>
                        <w:r>
                          <w:rPr>
                            <w:spacing w:val="-2"/>
                            <w:w w:val="105"/>
                            <w:sz w:val="15"/>
                          </w:rPr>
                          <w:t xml:space="preserve"> </w:t>
                        </w:r>
                        <w:r>
                          <w:rPr>
                            <w:w w:val="105"/>
                            <w:sz w:val="15"/>
                          </w:rPr>
                          <w:t>adoptó</w:t>
                        </w:r>
                        <w:r>
                          <w:rPr>
                            <w:spacing w:val="-2"/>
                            <w:w w:val="105"/>
                            <w:sz w:val="15"/>
                          </w:rPr>
                          <w:t xml:space="preserve"> </w:t>
                        </w:r>
                        <w:r>
                          <w:rPr>
                            <w:w w:val="105"/>
                            <w:sz w:val="15"/>
                          </w:rPr>
                          <w:t>en</w:t>
                        </w:r>
                        <w:r>
                          <w:rPr>
                            <w:spacing w:val="-2"/>
                            <w:w w:val="105"/>
                            <w:sz w:val="15"/>
                          </w:rPr>
                          <w:t xml:space="preserve"> </w:t>
                        </w:r>
                        <w:r>
                          <w:rPr>
                            <w:w w:val="105"/>
                            <w:sz w:val="15"/>
                          </w:rPr>
                          <w:t>1998,</w:t>
                        </w:r>
                        <w:r>
                          <w:rPr>
                            <w:spacing w:val="-2"/>
                            <w:w w:val="105"/>
                            <w:sz w:val="15"/>
                          </w:rPr>
                          <w:t xml:space="preserve"> </w:t>
                        </w:r>
                        <w:r>
                          <w:rPr>
                            <w:w w:val="105"/>
                            <w:sz w:val="15"/>
                          </w:rPr>
                          <w:t>consolidando</w:t>
                        </w:r>
                        <w:r>
                          <w:rPr>
                            <w:spacing w:val="-2"/>
                            <w:w w:val="105"/>
                            <w:sz w:val="15"/>
                          </w:rPr>
                          <w:t xml:space="preserve"> </w:t>
                        </w:r>
                        <w:r>
                          <w:rPr>
                            <w:w w:val="105"/>
                            <w:sz w:val="15"/>
                          </w:rPr>
                          <w:t>y</w:t>
                        </w:r>
                        <w:r>
                          <w:rPr>
                            <w:spacing w:val="-2"/>
                            <w:w w:val="105"/>
                            <w:sz w:val="15"/>
                          </w:rPr>
                          <w:t xml:space="preserve"> </w:t>
                        </w:r>
                        <w:r>
                          <w:rPr>
                            <w:w w:val="105"/>
                            <w:sz w:val="15"/>
                          </w:rPr>
                          <w:t>ampliando</w:t>
                        </w:r>
                        <w:r>
                          <w:rPr>
                            <w:spacing w:val="-2"/>
                            <w:w w:val="105"/>
                            <w:sz w:val="15"/>
                          </w:rPr>
                          <w:t xml:space="preserve"> </w:t>
                        </w:r>
                        <w:r>
                          <w:rPr>
                            <w:w w:val="105"/>
                            <w:sz w:val="15"/>
                          </w:rPr>
                          <w:t>la</w:t>
                        </w:r>
                        <w:r>
                          <w:rPr>
                            <w:spacing w:val="-2"/>
                            <w:w w:val="105"/>
                            <w:sz w:val="15"/>
                          </w:rPr>
                          <w:t xml:space="preserve"> </w:t>
                        </w:r>
                        <w:r>
                          <w:rPr>
                            <w:w w:val="105"/>
                            <w:sz w:val="15"/>
                          </w:rPr>
                          <w:t>legislación</w:t>
                        </w:r>
                        <w:r>
                          <w:rPr>
                            <w:spacing w:val="-2"/>
                            <w:w w:val="105"/>
                            <w:sz w:val="15"/>
                          </w:rPr>
                          <w:t xml:space="preserve"> </w:t>
                        </w:r>
                        <w:r>
                          <w:rPr>
                            <w:w w:val="105"/>
                            <w:sz w:val="15"/>
                          </w:rPr>
                          <w:t>anterior. Según</w:t>
                        </w:r>
                        <w:r>
                          <w:rPr>
                            <w:spacing w:val="-7"/>
                            <w:w w:val="105"/>
                            <w:sz w:val="15"/>
                          </w:rPr>
                          <w:t xml:space="preserve"> </w:t>
                        </w:r>
                        <w:r>
                          <w:rPr>
                            <w:w w:val="105"/>
                            <w:sz w:val="15"/>
                          </w:rPr>
                          <w:t>la</w:t>
                        </w:r>
                        <w:r>
                          <w:rPr>
                            <w:spacing w:val="-7"/>
                            <w:w w:val="105"/>
                            <w:sz w:val="15"/>
                          </w:rPr>
                          <w:t xml:space="preserve"> </w:t>
                        </w:r>
                        <w:r>
                          <w:rPr>
                            <w:w w:val="105"/>
                            <w:sz w:val="15"/>
                          </w:rPr>
                          <w:t>Orden,</w:t>
                        </w:r>
                        <w:r>
                          <w:rPr>
                            <w:spacing w:val="-7"/>
                            <w:w w:val="105"/>
                            <w:sz w:val="15"/>
                          </w:rPr>
                          <w:t xml:space="preserve"> </w:t>
                        </w:r>
                        <w:r>
                          <w:rPr>
                            <w:w w:val="105"/>
                            <w:sz w:val="15"/>
                          </w:rPr>
                          <w:t>los</w:t>
                        </w:r>
                        <w:r>
                          <w:rPr>
                            <w:spacing w:val="-7"/>
                            <w:w w:val="105"/>
                            <w:sz w:val="15"/>
                          </w:rPr>
                          <w:t xml:space="preserve"> </w:t>
                        </w:r>
                        <w:r>
                          <w:rPr>
                            <w:w w:val="105"/>
                            <w:sz w:val="15"/>
                          </w:rPr>
                          <w:t>empleadores</w:t>
                        </w:r>
                        <w:r>
                          <w:rPr>
                            <w:spacing w:val="-7"/>
                            <w:w w:val="105"/>
                            <w:sz w:val="15"/>
                          </w:rPr>
                          <w:t xml:space="preserve"> </w:t>
                        </w:r>
                        <w:r>
                          <w:rPr>
                            <w:w w:val="105"/>
                            <w:sz w:val="15"/>
                          </w:rPr>
                          <w:t>con</w:t>
                        </w:r>
                        <w:r>
                          <w:rPr>
                            <w:spacing w:val="-7"/>
                            <w:w w:val="105"/>
                            <w:sz w:val="15"/>
                          </w:rPr>
                          <w:t xml:space="preserve"> </w:t>
                        </w:r>
                        <w:r>
                          <w:rPr>
                            <w:w w:val="105"/>
                            <w:sz w:val="15"/>
                          </w:rPr>
                          <w:t>más</w:t>
                        </w:r>
                        <w:r>
                          <w:rPr>
                            <w:spacing w:val="-7"/>
                            <w:w w:val="105"/>
                            <w:sz w:val="15"/>
                          </w:rPr>
                          <w:t xml:space="preserve"> </w:t>
                        </w:r>
                        <w:r>
                          <w:rPr>
                            <w:w w:val="105"/>
                            <w:sz w:val="15"/>
                          </w:rPr>
                          <w:t>de</w:t>
                        </w:r>
                        <w:r>
                          <w:rPr>
                            <w:spacing w:val="-7"/>
                            <w:w w:val="105"/>
                            <w:sz w:val="15"/>
                          </w:rPr>
                          <w:t xml:space="preserve"> </w:t>
                        </w:r>
                        <w:r>
                          <w:rPr>
                            <w:w w:val="105"/>
                            <w:sz w:val="15"/>
                          </w:rPr>
                          <w:t>10</w:t>
                        </w:r>
                        <w:r>
                          <w:rPr>
                            <w:spacing w:val="-7"/>
                            <w:w w:val="105"/>
                            <w:sz w:val="15"/>
                          </w:rPr>
                          <w:t xml:space="preserve"> </w:t>
                        </w:r>
                        <w:r>
                          <w:rPr>
                            <w:w w:val="105"/>
                            <w:sz w:val="15"/>
                          </w:rPr>
                          <w:t>empleados</w:t>
                        </w:r>
                        <w:r>
                          <w:rPr>
                            <w:spacing w:val="-7"/>
                            <w:w w:val="105"/>
                            <w:sz w:val="15"/>
                          </w:rPr>
                          <w:t xml:space="preserve"> </w:t>
                        </w:r>
                        <w:r>
                          <w:rPr>
                            <w:w w:val="105"/>
                            <w:sz w:val="15"/>
                          </w:rPr>
                          <w:t>deben</w:t>
                        </w:r>
                        <w:r>
                          <w:rPr>
                            <w:spacing w:val="-7"/>
                            <w:w w:val="105"/>
                            <w:sz w:val="15"/>
                          </w:rPr>
                          <w:t xml:space="preserve"> </w:t>
                        </w:r>
                        <w:r>
                          <w:rPr>
                            <w:w w:val="105"/>
                            <w:sz w:val="15"/>
                          </w:rPr>
                          <w:t>monitorear</w:t>
                        </w:r>
                        <w:r>
                          <w:rPr>
                            <w:spacing w:val="-7"/>
                            <w:w w:val="105"/>
                            <w:sz w:val="15"/>
                          </w:rPr>
                          <w:t xml:space="preserve"> </w:t>
                        </w:r>
                        <w:r>
                          <w:rPr>
                            <w:w w:val="105"/>
                            <w:sz w:val="15"/>
                          </w:rPr>
                          <w:t>la</w:t>
                        </w:r>
                        <w:r>
                          <w:rPr>
                            <w:spacing w:val="-7"/>
                            <w:w w:val="105"/>
                            <w:sz w:val="15"/>
                          </w:rPr>
                          <w:t xml:space="preserve"> </w:t>
                        </w:r>
                        <w:r>
                          <w:rPr>
                            <w:w w:val="105"/>
                            <w:sz w:val="15"/>
                          </w:rPr>
                          <w:t>composición</w:t>
                        </w:r>
                        <w:r>
                          <w:rPr>
                            <w:spacing w:val="-7"/>
                            <w:w w:val="105"/>
                            <w:sz w:val="15"/>
                          </w:rPr>
                          <w:t xml:space="preserve"> </w:t>
                        </w:r>
                        <w:r>
                          <w:rPr>
                            <w:w w:val="105"/>
                            <w:sz w:val="15"/>
                          </w:rPr>
                          <w:t>comunitaria</w:t>
                        </w:r>
                        <w:r>
                          <w:rPr>
                            <w:spacing w:val="-7"/>
                            <w:w w:val="105"/>
                            <w:sz w:val="15"/>
                          </w:rPr>
                          <w:t xml:space="preserve"> </w:t>
                        </w:r>
                        <w:r>
                          <w:rPr>
                            <w:w w:val="105"/>
                            <w:sz w:val="15"/>
                          </w:rPr>
                          <w:t>de</w:t>
                        </w:r>
                        <w:r>
                          <w:rPr>
                            <w:spacing w:val="-7"/>
                            <w:w w:val="105"/>
                            <w:sz w:val="15"/>
                          </w:rPr>
                          <w:t xml:space="preserve"> </w:t>
                        </w:r>
                        <w:r>
                          <w:rPr>
                            <w:w w:val="105"/>
                            <w:sz w:val="15"/>
                          </w:rPr>
                          <w:t>su</w:t>
                        </w:r>
                        <w:r>
                          <w:rPr>
                            <w:spacing w:val="-7"/>
                            <w:w w:val="105"/>
                            <w:sz w:val="15"/>
                          </w:rPr>
                          <w:t xml:space="preserve"> </w:t>
                        </w:r>
                        <w:r>
                          <w:rPr>
                            <w:w w:val="105"/>
                            <w:sz w:val="15"/>
                          </w:rPr>
                          <w:t>fuerza</w:t>
                        </w:r>
                        <w:r>
                          <w:rPr>
                            <w:spacing w:val="-7"/>
                            <w:w w:val="105"/>
                            <w:sz w:val="15"/>
                          </w:rPr>
                          <w:t xml:space="preserve"> </w:t>
                        </w:r>
                        <w:r>
                          <w:rPr>
                            <w:w w:val="105"/>
                            <w:sz w:val="15"/>
                          </w:rPr>
                          <w:t>laboral (definida</w:t>
                        </w:r>
                        <w:r>
                          <w:rPr>
                            <w:spacing w:val="-1"/>
                            <w:w w:val="105"/>
                            <w:sz w:val="15"/>
                          </w:rPr>
                          <w:t xml:space="preserve"> </w:t>
                        </w:r>
                        <w:r>
                          <w:rPr>
                            <w:w w:val="105"/>
                            <w:sz w:val="15"/>
                          </w:rPr>
                          <w:t>según</w:t>
                        </w:r>
                        <w:r>
                          <w:rPr>
                            <w:spacing w:val="-1"/>
                            <w:w w:val="105"/>
                            <w:sz w:val="15"/>
                          </w:rPr>
                          <w:t xml:space="preserve"> </w:t>
                        </w:r>
                        <w:r>
                          <w:rPr>
                            <w:w w:val="105"/>
                            <w:sz w:val="15"/>
                          </w:rPr>
                          <w:t>la</w:t>
                        </w:r>
                        <w:r>
                          <w:rPr>
                            <w:spacing w:val="-1"/>
                            <w:w w:val="105"/>
                            <w:sz w:val="15"/>
                          </w:rPr>
                          <w:t xml:space="preserve"> </w:t>
                        </w:r>
                        <w:r>
                          <w:rPr>
                            <w:w w:val="105"/>
                            <w:sz w:val="15"/>
                          </w:rPr>
                          <w:t>ley</w:t>
                        </w:r>
                        <w:r>
                          <w:rPr>
                            <w:spacing w:val="-1"/>
                            <w:w w:val="105"/>
                            <w:sz w:val="15"/>
                          </w:rPr>
                          <w:t xml:space="preserve"> </w:t>
                        </w:r>
                        <w:r>
                          <w:rPr>
                            <w:w w:val="105"/>
                            <w:sz w:val="15"/>
                          </w:rPr>
                          <w:t>como</w:t>
                        </w:r>
                        <w:r>
                          <w:rPr>
                            <w:spacing w:val="-1"/>
                            <w:w w:val="105"/>
                            <w:sz w:val="15"/>
                          </w:rPr>
                          <w:t xml:space="preserve"> </w:t>
                        </w:r>
                        <w:r>
                          <w:rPr>
                            <w:w w:val="105"/>
                            <w:sz w:val="15"/>
                          </w:rPr>
                          <w:t>la</w:t>
                        </w:r>
                        <w:r>
                          <w:rPr>
                            <w:spacing w:val="-1"/>
                            <w:w w:val="105"/>
                            <w:sz w:val="15"/>
                          </w:rPr>
                          <w:t xml:space="preserve"> </w:t>
                        </w:r>
                        <w:proofErr w:type="gramStart"/>
                        <w:r>
                          <w:rPr>
                            <w:w w:val="105"/>
                            <w:sz w:val="15"/>
                          </w:rPr>
                          <w:t>“</w:t>
                        </w:r>
                        <w:r>
                          <w:rPr>
                            <w:spacing w:val="-1"/>
                            <w:w w:val="105"/>
                            <w:sz w:val="15"/>
                          </w:rPr>
                          <w:t xml:space="preserve"> </w:t>
                        </w:r>
                        <w:r>
                          <w:rPr>
                            <w:w w:val="105"/>
                            <w:sz w:val="15"/>
                          </w:rPr>
                          <w:t>comunidad</w:t>
                        </w:r>
                        <w:proofErr w:type="gramEnd"/>
                        <w:r>
                          <w:rPr>
                            <w:spacing w:val="-1"/>
                            <w:w w:val="105"/>
                            <w:sz w:val="15"/>
                          </w:rPr>
                          <w:t xml:space="preserve"> </w:t>
                        </w:r>
                        <w:r>
                          <w:rPr>
                            <w:w w:val="105"/>
                            <w:sz w:val="15"/>
                          </w:rPr>
                          <w:t>protestante</w:t>
                        </w:r>
                        <w:r>
                          <w:rPr>
                            <w:spacing w:val="-1"/>
                            <w:w w:val="105"/>
                            <w:sz w:val="15"/>
                          </w:rPr>
                          <w:t xml:space="preserve"> </w:t>
                        </w:r>
                        <w:r>
                          <w:rPr>
                            <w:w w:val="105"/>
                            <w:sz w:val="15"/>
                          </w:rPr>
                          <w:t>o</w:t>
                        </w:r>
                        <w:r>
                          <w:rPr>
                            <w:spacing w:val="-1"/>
                            <w:w w:val="105"/>
                            <w:sz w:val="15"/>
                          </w:rPr>
                          <w:t xml:space="preserve"> </w:t>
                        </w:r>
                        <w:r>
                          <w:rPr>
                            <w:w w:val="105"/>
                            <w:sz w:val="15"/>
                          </w:rPr>
                          <w:t>la</w:t>
                        </w:r>
                        <w:r>
                          <w:rPr>
                            <w:spacing w:val="-1"/>
                            <w:w w:val="105"/>
                            <w:sz w:val="15"/>
                          </w:rPr>
                          <w:t xml:space="preserve"> </w:t>
                        </w:r>
                        <w:r>
                          <w:rPr>
                            <w:w w:val="105"/>
                            <w:sz w:val="15"/>
                          </w:rPr>
                          <w:t>comunidad</w:t>
                        </w:r>
                        <w:r>
                          <w:rPr>
                            <w:spacing w:val="-1"/>
                            <w:w w:val="105"/>
                            <w:sz w:val="15"/>
                          </w:rPr>
                          <w:t xml:space="preserve"> </w:t>
                        </w:r>
                        <w:r>
                          <w:rPr>
                            <w:w w:val="105"/>
                            <w:sz w:val="15"/>
                          </w:rPr>
                          <w:t>católica</w:t>
                        </w:r>
                        <w:r>
                          <w:rPr>
                            <w:spacing w:val="-1"/>
                            <w:w w:val="105"/>
                            <w:sz w:val="15"/>
                          </w:rPr>
                          <w:t xml:space="preserve"> </w:t>
                        </w:r>
                        <w:r>
                          <w:rPr>
                            <w:w w:val="105"/>
                            <w:sz w:val="15"/>
                          </w:rPr>
                          <w:t>romana”)</w:t>
                        </w:r>
                        <w:r>
                          <w:rPr>
                            <w:spacing w:val="-1"/>
                            <w:w w:val="105"/>
                            <w:sz w:val="15"/>
                          </w:rPr>
                          <w:t xml:space="preserve"> </w:t>
                        </w:r>
                        <w:r>
                          <w:rPr>
                            <w:w w:val="105"/>
                            <w:sz w:val="15"/>
                          </w:rPr>
                          <w:t>y</w:t>
                        </w:r>
                        <w:r>
                          <w:rPr>
                            <w:spacing w:val="-1"/>
                            <w:w w:val="105"/>
                            <w:sz w:val="15"/>
                          </w:rPr>
                          <w:t xml:space="preserve"> </w:t>
                        </w:r>
                        <w:r>
                          <w:rPr>
                            <w:w w:val="105"/>
                            <w:sz w:val="15"/>
                          </w:rPr>
                          <w:t>presentar</w:t>
                        </w:r>
                        <w:r>
                          <w:rPr>
                            <w:spacing w:val="-1"/>
                            <w:w w:val="105"/>
                            <w:sz w:val="15"/>
                          </w:rPr>
                          <w:t xml:space="preserve"> </w:t>
                        </w:r>
                        <w:r>
                          <w:rPr>
                            <w:w w:val="105"/>
                            <w:sz w:val="15"/>
                          </w:rPr>
                          <w:t>declaraciones</w:t>
                        </w:r>
                        <w:r>
                          <w:rPr>
                            <w:spacing w:val="-1"/>
                            <w:w w:val="105"/>
                            <w:sz w:val="15"/>
                          </w:rPr>
                          <w:t xml:space="preserve"> </w:t>
                        </w:r>
                        <w:r>
                          <w:rPr>
                            <w:w w:val="105"/>
                            <w:sz w:val="15"/>
                          </w:rPr>
                          <w:t>anuales</w:t>
                        </w:r>
                        <w:r>
                          <w:rPr>
                            <w:spacing w:val="-1"/>
                            <w:w w:val="105"/>
                            <w:sz w:val="15"/>
                          </w:rPr>
                          <w:t xml:space="preserve"> </w:t>
                        </w:r>
                        <w:r>
                          <w:rPr>
                            <w:w w:val="105"/>
                            <w:sz w:val="15"/>
                          </w:rPr>
                          <w:t>a la</w:t>
                        </w:r>
                        <w:r>
                          <w:rPr>
                            <w:spacing w:val="-4"/>
                            <w:w w:val="105"/>
                            <w:sz w:val="15"/>
                          </w:rPr>
                          <w:t xml:space="preserve"> </w:t>
                        </w:r>
                        <w:r>
                          <w:rPr>
                            <w:w w:val="105"/>
                            <w:sz w:val="15"/>
                          </w:rPr>
                          <w:t>Comisión</w:t>
                        </w:r>
                        <w:r>
                          <w:rPr>
                            <w:spacing w:val="-4"/>
                            <w:w w:val="105"/>
                            <w:sz w:val="15"/>
                          </w:rPr>
                          <w:t xml:space="preserve"> </w:t>
                        </w:r>
                        <w:r>
                          <w:rPr>
                            <w:w w:val="105"/>
                            <w:sz w:val="15"/>
                          </w:rPr>
                          <w:t>de</w:t>
                        </w:r>
                        <w:r>
                          <w:rPr>
                            <w:spacing w:val="-4"/>
                            <w:w w:val="105"/>
                            <w:sz w:val="15"/>
                          </w:rPr>
                          <w:t xml:space="preserve"> </w:t>
                        </w:r>
                        <w:r>
                          <w:rPr>
                            <w:w w:val="105"/>
                            <w:sz w:val="15"/>
                          </w:rPr>
                          <w:t>Igualdad</w:t>
                        </w:r>
                        <w:r>
                          <w:rPr>
                            <w:spacing w:val="-4"/>
                            <w:w w:val="105"/>
                            <w:sz w:val="15"/>
                          </w:rPr>
                          <w:t xml:space="preserve"> </w:t>
                        </w:r>
                        <w:r>
                          <w:rPr>
                            <w:w w:val="105"/>
                            <w:sz w:val="15"/>
                          </w:rPr>
                          <w:t>para</w:t>
                        </w:r>
                        <w:r>
                          <w:rPr>
                            <w:spacing w:val="-4"/>
                            <w:w w:val="105"/>
                            <w:sz w:val="15"/>
                          </w:rPr>
                          <w:t xml:space="preserve"> </w:t>
                        </w:r>
                        <w:r>
                          <w:rPr>
                            <w:w w:val="105"/>
                            <w:sz w:val="15"/>
                          </w:rPr>
                          <w:t>Irlanda</w:t>
                        </w:r>
                        <w:r>
                          <w:rPr>
                            <w:spacing w:val="-4"/>
                            <w:w w:val="105"/>
                            <w:sz w:val="15"/>
                          </w:rPr>
                          <w:t xml:space="preserve"> </w:t>
                        </w:r>
                        <w:r>
                          <w:rPr>
                            <w:w w:val="105"/>
                            <w:sz w:val="15"/>
                          </w:rPr>
                          <w:t>del</w:t>
                        </w:r>
                        <w:r>
                          <w:rPr>
                            <w:spacing w:val="-4"/>
                            <w:w w:val="105"/>
                            <w:sz w:val="15"/>
                          </w:rPr>
                          <w:t xml:space="preserve"> </w:t>
                        </w:r>
                        <w:r>
                          <w:rPr>
                            <w:w w:val="105"/>
                            <w:sz w:val="15"/>
                          </w:rPr>
                          <w:t>Norte.</w:t>
                        </w:r>
                        <w:r>
                          <w:rPr>
                            <w:spacing w:val="-4"/>
                            <w:w w:val="105"/>
                            <w:sz w:val="15"/>
                          </w:rPr>
                          <w:t xml:space="preserve"> </w:t>
                        </w:r>
                        <w:r>
                          <w:rPr>
                            <w:w w:val="105"/>
                            <w:sz w:val="15"/>
                          </w:rPr>
                          <w:t>Si,</w:t>
                        </w:r>
                        <w:r>
                          <w:rPr>
                            <w:spacing w:val="-4"/>
                            <w:w w:val="105"/>
                            <w:sz w:val="15"/>
                          </w:rPr>
                          <w:t xml:space="preserve"> </w:t>
                        </w:r>
                        <w:r>
                          <w:rPr>
                            <w:w w:val="105"/>
                            <w:sz w:val="15"/>
                          </w:rPr>
                          <w:t>durante</w:t>
                        </w:r>
                        <w:r>
                          <w:rPr>
                            <w:spacing w:val="-4"/>
                            <w:w w:val="105"/>
                            <w:sz w:val="15"/>
                          </w:rPr>
                          <w:t xml:space="preserve"> </w:t>
                        </w:r>
                        <w:r>
                          <w:rPr>
                            <w:w w:val="105"/>
                            <w:sz w:val="15"/>
                          </w:rPr>
                          <w:t>este</w:t>
                        </w:r>
                        <w:r>
                          <w:rPr>
                            <w:spacing w:val="-4"/>
                            <w:w w:val="105"/>
                            <w:sz w:val="15"/>
                          </w:rPr>
                          <w:t xml:space="preserve"> </w:t>
                        </w:r>
                        <w:r>
                          <w:rPr>
                            <w:w w:val="105"/>
                            <w:sz w:val="15"/>
                          </w:rPr>
                          <w:t>proceso,</w:t>
                        </w:r>
                        <w:r>
                          <w:rPr>
                            <w:spacing w:val="-3"/>
                            <w:w w:val="105"/>
                            <w:sz w:val="15"/>
                          </w:rPr>
                          <w:t xml:space="preserve"> </w:t>
                        </w:r>
                        <w:r>
                          <w:rPr>
                            <w:w w:val="105"/>
                            <w:sz w:val="15"/>
                          </w:rPr>
                          <w:t>un</w:t>
                        </w:r>
                        <w:r>
                          <w:rPr>
                            <w:spacing w:val="-4"/>
                            <w:w w:val="105"/>
                            <w:sz w:val="15"/>
                          </w:rPr>
                          <w:t xml:space="preserve"> </w:t>
                        </w:r>
                        <w:r>
                          <w:rPr>
                            <w:w w:val="105"/>
                            <w:sz w:val="15"/>
                          </w:rPr>
                          <w:t>empleador</w:t>
                        </w:r>
                        <w:r>
                          <w:rPr>
                            <w:spacing w:val="-4"/>
                            <w:w w:val="105"/>
                            <w:sz w:val="15"/>
                          </w:rPr>
                          <w:t xml:space="preserve"> </w:t>
                        </w:r>
                        <w:r>
                          <w:rPr>
                            <w:w w:val="105"/>
                            <w:sz w:val="15"/>
                          </w:rPr>
                          <w:t>identifica</w:t>
                        </w:r>
                        <w:r>
                          <w:rPr>
                            <w:spacing w:val="-4"/>
                            <w:w w:val="105"/>
                            <w:sz w:val="15"/>
                          </w:rPr>
                          <w:t xml:space="preserve"> </w:t>
                        </w:r>
                        <w:r>
                          <w:rPr>
                            <w:w w:val="105"/>
                            <w:sz w:val="15"/>
                          </w:rPr>
                          <w:t>brechas</w:t>
                        </w:r>
                        <w:r>
                          <w:rPr>
                            <w:spacing w:val="-4"/>
                            <w:w w:val="105"/>
                            <w:sz w:val="15"/>
                          </w:rPr>
                          <w:t xml:space="preserve"> </w:t>
                        </w:r>
                        <w:r>
                          <w:rPr>
                            <w:w w:val="105"/>
                            <w:sz w:val="15"/>
                          </w:rPr>
                          <w:t>en</w:t>
                        </w:r>
                        <w:r>
                          <w:rPr>
                            <w:spacing w:val="-4"/>
                            <w:w w:val="105"/>
                            <w:sz w:val="15"/>
                          </w:rPr>
                          <w:t xml:space="preserve"> </w:t>
                        </w:r>
                        <w:r>
                          <w:rPr>
                            <w:w w:val="105"/>
                            <w:sz w:val="15"/>
                          </w:rPr>
                          <w:t>la</w:t>
                        </w:r>
                        <w:r>
                          <w:rPr>
                            <w:spacing w:val="-4"/>
                            <w:w w:val="105"/>
                            <w:sz w:val="15"/>
                          </w:rPr>
                          <w:t xml:space="preserve"> </w:t>
                        </w:r>
                        <w:r>
                          <w:rPr>
                            <w:w w:val="105"/>
                            <w:sz w:val="15"/>
                          </w:rPr>
                          <w:t>representación</w:t>
                        </w:r>
                      </w:p>
                      <w:p w14:paraId="28272C1A" w14:textId="77777777" w:rsidR="0014798C" w:rsidRDefault="004E1F0B">
                        <w:pPr>
                          <w:spacing w:before="4" w:line="340" w:lineRule="auto"/>
                          <w:ind w:left="256" w:right="38" w:hanging="2"/>
                          <w:rPr>
                            <w:sz w:val="15"/>
                          </w:rPr>
                        </w:pPr>
                        <w:r>
                          <w:rPr>
                            <w:w w:val="105"/>
                            <w:sz w:val="15"/>
                          </w:rPr>
                          <w:t>proporcional</w:t>
                        </w:r>
                        <w:r>
                          <w:rPr>
                            <w:spacing w:val="-7"/>
                            <w:w w:val="105"/>
                            <w:sz w:val="15"/>
                          </w:rPr>
                          <w:t xml:space="preserve"> </w:t>
                        </w:r>
                        <w:r>
                          <w:rPr>
                            <w:w w:val="105"/>
                            <w:sz w:val="15"/>
                          </w:rPr>
                          <w:t>de</w:t>
                        </w:r>
                        <w:r>
                          <w:rPr>
                            <w:spacing w:val="-7"/>
                            <w:w w:val="105"/>
                            <w:sz w:val="15"/>
                          </w:rPr>
                          <w:t xml:space="preserve"> </w:t>
                        </w:r>
                        <w:r>
                          <w:rPr>
                            <w:w w:val="105"/>
                            <w:sz w:val="15"/>
                          </w:rPr>
                          <w:t>su</w:t>
                        </w:r>
                        <w:r>
                          <w:rPr>
                            <w:spacing w:val="-7"/>
                            <w:w w:val="105"/>
                            <w:sz w:val="15"/>
                          </w:rPr>
                          <w:t xml:space="preserve"> </w:t>
                        </w:r>
                        <w:r>
                          <w:rPr>
                            <w:w w:val="105"/>
                            <w:sz w:val="15"/>
                          </w:rPr>
                          <w:t>fuerza</w:t>
                        </w:r>
                        <w:r>
                          <w:rPr>
                            <w:spacing w:val="-7"/>
                            <w:w w:val="105"/>
                            <w:sz w:val="15"/>
                          </w:rPr>
                          <w:t xml:space="preserve"> </w:t>
                        </w:r>
                        <w:r>
                          <w:rPr>
                            <w:w w:val="105"/>
                            <w:sz w:val="15"/>
                          </w:rPr>
                          <w:t>laboral,</w:t>
                        </w:r>
                        <w:r>
                          <w:rPr>
                            <w:spacing w:val="-6"/>
                            <w:w w:val="105"/>
                            <w:sz w:val="15"/>
                          </w:rPr>
                          <w:t xml:space="preserve"> </w:t>
                        </w:r>
                        <w:r>
                          <w:rPr>
                            <w:w w:val="105"/>
                            <w:sz w:val="15"/>
                          </w:rPr>
                          <w:t>debe</w:t>
                        </w:r>
                        <w:r>
                          <w:rPr>
                            <w:spacing w:val="-7"/>
                            <w:w w:val="105"/>
                            <w:sz w:val="15"/>
                          </w:rPr>
                          <w:t xml:space="preserve"> </w:t>
                        </w:r>
                        <w:r>
                          <w:rPr>
                            <w:w w:val="105"/>
                            <w:sz w:val="15"/>
                          </w:rPr>
                          <w:t>tomar</w:t>
                        </w:r>
                        <w:r>
                          <w:rPr>
                            <w:spacing w:val="-7"/>
                            <w:w w:val="105"/>
                            <w:sz w:val="15"/>
                          </w:rPr>
                          <w:t xml:space="preserve"> </w:t>
                        </w:r>
                        <w:r>
                          <w:rPr>
                            <w:w w:val="105"/>
                            <w:sz w:val="15"/>
                          </w:rPr>
                          <w:t>medidas</w:t>
                        </w:r>
                        <w:r>
                          <w:rPr>
                            <w:spacing w:val="-7"/>
                            <w:w w:val="105"/>
                            <w:sz w:val="15"/>
                          </w:rPr>
                          <w:t xml:space="preserve"> </w:t>
                        </w:r>
                        <w:r>
                          <w:rPr>
                            <w:w w:val="105"/>
                            <w:sz w:val="15"/>
                          </w:rPr>
                          <w:t>correctivas</w:t>
                        </w:r>
                        <w:r>
                          <w:rPr>
                            <w:spacing w:val="-7"/>
                            <w:w w:val="105"/>
                            <w:sz w:val="15"/>
                          </w:rPr>
                          <w:t xml:space="preserve"> </w:t>
                        </w:r>
                        <w:r>
                          <w:rPr>
                            <w:w w:val="105"/>
                            <w:sz w:val="15"/>
                          </w:rPr>
                          <w:t>para</w:t>
                        </w:r>
                        <w:r>
                          <w:rPr>
                            <w:spacing w:val="-7"/>
                            <w:w w:val="105"/>
                            <w:sz w:val="15"/>
                          </w:rPr>
                          <w:t xml:space="preserve"> </w:t>
                        </w:r>
                        <w:r>
                          <w:rPr>
                            <w:w w:val="105"/>
                            <w:sz w:val="15"/>
                          </w:rPr>
                          <w:t>abordar</w:t>
                        </w:r>
                        <w:r>
                          <w:rPr>
                            <w:spacing w:val="-7"/>
                            <w:w w:val="105"/>
                            <w:sz w:val="15"/>
                          </w:rPr>
                          <w:t xml:space="preserve"> </w:t>
                        </w:r>
                        <w:r>
                          <w:rPr>
                            <w:w w:val="105"/>
                            <w:sz w:val="15"/>
                          </w:rPr>
                          <w:t>el</w:t>
                        </w:r>
                        <w:r>
                          <w:rPr>
                            <w:spacing w:val="-7"/>
                            <w:w w:val="105"/>
                            <w:sz w:val="15"/>
                          </w:rPr>
                          <w:t xml:space="preserve"> </w:t>
                        </w:r>
                        <w:r>
                          <w:rPr>
                            <w:w w:val="105"/>
                            <w:sz w:val="15"/>
                          </w:rPr>
                          <w:t>desequilibrio.</w:t>
                        </w:r>
                        <w:r>
                          <w:rPr>
                            <w:spacing w:val="-6"/>
                            <w:w w:val="105"/>
                            <w:sz w:val="15"/>
                          </w:rPr>
                          <w:t xml:space="preserve"> </w:t>
                        </w:r>
                        <w:r>
                          <w:rPr>
                            <w:w w:val="105"/>
                            <w:sz w:val="15"/>
                          </w:rPr>
                          <w:t>El</w:t>
                        </w:r>
                        <w:r>
                          <w:rPr>
                            <w:spacing w:val="-7"/>
                            <w:w w:val="105"/>
                            <w:sz w:val="15"/>
                          </w:rPr>
                          <w:t xml:space="preserve"> </w:t>
                        </w:r>
                        <w:r>
                          <w:rPr>
                            <w:w w:val="105"/>
                            <w:sz w:val="15"/>
                          </w:rPr>
                          <w:t>artículo</w:t>
                        </w:r>
                        <w:r>
                          <w:rPr>
                            <w:spacing w:val="-7"/>
                            <w:w w:val="105"/>
                            <w:sz w:val="15"/>
                          </w:rPr>
                          <w:t xml:space="preserve"> </w:t>
                        </w:r>
                        <w:r>
                          <w:rPr>
                            <w:w w:val="105"/>
                            <w:sz w:val="15"/>
                          </w:rPr>
                          <w:t>55</w:t>
                        </w:r>
                        <w:r>
                          <w:rPr>
                            <w:spacing w:val="-7"/>
                            <w:w w:val="105"/>
                            <w:sz w:val="15"/>
                          </w:rPr>
                          <w:t xml:space="preserve"> </w:t>
                        </w:r>
                        <w:r>
                          <w:rPr>
                            <w:w w:val="105"/>
                            <w:sz w:val="15"/>
                          </w:rPr>
                          <w:t>de</w:t>
                        </w:r>
                        <w:r>
                          <w:rPr>
                            <w:spacing w:val="-7"/>
                            <w:w w:val="105"/>
                            <w:sz w:val="15"/>
                          </w:rPr>
                          <w:t xml:space="preserve"> </w:t>
                        </w:r>
                        <w:r>
                          <w:rPr>
                            <w:w w:val="105"/>
                            <w:sz w:val="15"/>
                          </w:rPr>
                          <w:t>la</w:t>
                        </w:r>
                        <w:r>
                          <w:rPr>
                            <w:spacing w:val="-7"/>
                            <w:w w:val="105"/>
                            <w:sz w:val="15"/>
                          </w:rPr>
                          <w:t xml:space="preserve"> </w:t>
                        </w:r>
                        <w:r>
                          <w:rPr>
                            <w:w w:val="105"/>
                            <w:sz w:val="15"/>
                          </w:rPr>
                          <w:t>Orden</w:t>
                        </w:r>
                        <w:r>
                          <w:rPr>
                            <w:spacing w:val="-7"/>
                            <w:w w:val="105"/>
                            <w:sz w:val="15"/>
                          </w:rPr>
                          <w:t xml:space="preserve"> </w:t>
                        </w:r>
                        <w:r>
                          <w:rPr>
                            <w:w w:val="105"/>
                            <w:sz w:val="15"/>
                          </w:rPr>
                          <w:t>exige que los empleadores lleven a cabo una revisión completa de sus políticas y prácticas de empleo pertinentes (por ejemplo, en relación con</w:t>
                        </w:r>
                      </w:p>
                    </w:txbxContent>
                  </v:textbox>
                </v:shape>
                <w10:wrap type="topAndBottom" anchorx="page"/>
              </v:group>
            </w:pict>
          </mc:Fallback>
        </mc:AlternateContent>
      </w:r>
    </w:p>
    <w:p w14:paraId="12EAE54F" w14:textId="77777777" w:rsidR="0014798C" w:rsidRDefault="0014798C">
      <w:pPr>
        <w:pStyle w:val="Textoindependiente"/>
        <w:spacing w:before="23"/>
        <w:rPr>
          <w:sz w:val="12"/>
        </w:rPr>
      </w:pPr>
    </w:p>
    <w:p w14:paraId="586BC92F" w14:textId="77777777" w:rsidR="0014798C" w:rsidRDefault="004E1F0B">
      <w:pPr>
        <w:spacing w:before="1"/>
        <w:ind w:left="1107"/>
        <w:rPr>
          <w:sz w:val="12"/>
        </w:rPr>
      </w:pPr>
      <w:r>
        <w:rPr>
          <w:sz w:val="12"/>
        </w:rPr>
        <w:t>547</w:t>
      </w:r>
      <w:r>
        <w:rPr>
          <w:spacing w:val="-2"/>
          <w:sz w:val="12"/>
        </w:rPr>
        <w:t xml:space="preserve"> </w:t>
      </w:r>
      <w:r>
        <w:rPr>
          <w:sz w:val="12"/>
        </w:rPr>
        <w:t>Crowley,</w:t>
      </w:r>
      <w:r>
        <w:rPr>
          <w:spacing w:val="-1"/>
          <w:sz w:val="12"/>
        </w:rPr>
        <w:t xml:space="preserve"> </w:t>
      </w:r>
      <w:r>
        <w:rPr>
          <w:sz w:val="12"/>
        </w:rPr>
        <w:t>Haciendo</w:t>
      </w:r>
      <w:r>
        <w:rPr>
          <w:spacing w:val="-1"/>
          <w:sz w:val="12"/>
        </w:rPr>
        <w:t xml:space="preserve"> </w:t>
      </w:r>
      <w:r>
        <w:rPr>
          <w:sz w:val="12"/>
        </w:rPr>
        <w:t>a</w:t>
      </w:r>
      <w:r>
        <w:rPr>
          <w:spacing w:val="-1"/>
          <w:sz w:val="12"/>
        </w:rPr>
        <w:t xml:space="preserve"> </w:t>
      </w:r>
      <w:r>
        <w:rPr>
          <w:sz w:val="12"/>
        </w:rPr>
        <w:t>Europa</w:t>
      </w:r>
      <w:r>
        <w:rPr>
          <w:spacing w:val="-1"/>
          <w:sz w:val="12"/>
        </w:rPr>
        <w:t xml:space="preserve"> </w:t>
      </w:r>
      <w:r>
        <w:rPr>
          <w:sz w:val="12"/>
        </w:rPr>
        <w:t>más</w:t>
      </w:r>
      <w:r>
        <w:rPr>
          <w:spacing w:val="-1"/>
          <w:sz w:val="12"/>
        </w:rPr>
        <w:t xml:space="preserve"> </w:t>
      </w:r>
      <w:r>
        <w:rPr>
          <w:sz w:val="12"/>
        </w:rPr>
        <w:t>igualitaria,</w:t>
      </w:r>
      <w:r>
        <w:rPr>
          <w:spacing w:val="-1"/>
          <w:sz w:val="12"/>
        </w:rPr>
        <w:t xml:space="preserve"> </w:t>
      </w:r>
      <w:r>
        <w:rPr>
          <w:sz w:val="12"/>
        </w:rPr>
        <w:t>págs.</w:t>
      </w:r>
      <w:r>
        <w:rPr>
          <w:spacing w:val="-2"/>
          <w:sz w:val="12"/>
        </w:rPr>
        <w:t xml:space="preserve"> </w:t>
      </w:r>
      <w:r>
        <w:rPr>
          <w:spacing w:val="-4"/>
          <w:sz w:val="12"/>
        </w:rPr>
        <w:t>8–9.</w:t>
      </w:r>
    </w:p>
    <w:p w14:paraId="3A1206D6" w14:textId="77777777" w:rsidR="0014798C" w:rsidRDefault="0014798C">
      <w:pPr>
        <w:rPr>
          <w:sz w:val="12"/>
        </w:rPr>
        <w:sectPr w:rsidR="0014798C" w:rsidSect="00F265E4">
          <w:pgSz w:w="11900" w:h="16820"/>
          <w:pgMar w:top="340" w:right="0" w:bottom="280" w:left="200" w:header="121" w:footer="0" w:gutter="0"/>
          <w:cols w:space="720"/>
        </w:sectPr>
      </w:pPr>
    </w:p>
    <w:p w14:paraId="609D15C2" w14:textId="77777777" w:rsidR="0014798C" w:rsidRDefault="004E1F0B">
      <w:pPr>
        <w:spacing w:before="53"/>
        <w:jc w:val="right"/>
        <w:rPr>
          <w:sz w:val="8"/>
        </w:rPr>
      </w:pPr>
      <w:r>
        <w:rPr>
          <w:spacing w:val="-5"/>
          <w:w w:val="105"/>
          <w:sz w:val="8"/>
        </w:rPr>
        <w:t>548</w:t>
      </w:r>
    </w:p>
    <w:p w14:paraId="0558A166" w14:textId="77777777" w:rsidR="0014798C" w:rsidRDefault="004E1F0B">
      <w:pPr>
        <w:spacing w:before="98"/>
        <w:ind w:left="79"/>
        <w:rPr>
          <w:sz w:val="12"/>
        </w:rPr>
      </w:pPr>
      <w:r>
        <w:br w:type="column"/>
      </w:r>
      <w:proofErr w:type="spellStart"/>
      <w:r>
        <w:rPr>
          <w:sz w:val="12"/>
        </w:rPr>
        <w:t>Equinet</w:t>
      </w:r>
      <w:proofErr w:type="spellEnd"/>
      <w:r>
        <w:rPr>
          <w:sz w:val="12"/>
        </w:rPr>
        <w:t>, “Compendio de buenas prácticas</w:t>
      </w:r>
      <w:r>
        <w:rPr>
          <w:spacing w:val="1"/>
          <w:sz w:val="12"/>
        </w:rPr>
        <w:t xml:space="preserve"> </w:t>
      </w:r>
      <w:r>
        <w:rPr>
          <w:sz w:val="12"/>
        </w:rPr>
        <w:t>sobre la integración de</w:t>
      </w:r>
      <w:r>
        <w:rPr>
          <w:spacing w:val="1"/>
          <w:sz w:val="12"/>
        </w:rPr>
        <w:t xml:space="preserve"> </w:t>
      </w:r>
      <w:r>
        <w:rPr>
          <w:sz w:val="12"/>
        </w:rPr>
        <w:t>la igualdad: el uso</w:t>
      </w:r>
      <w:r>
        <w:rPr>
          <w:spacing w:val="1"/>
          <w:sz w:val="12"/>
        </w:rPr>
        <w:t xml:space="preserve"> </w:t>
      </w:r>
      <w:r>
        <w:rPr>
          <w:sz w:val="12"/>
        </w:rPr>
        <w:t>de deberes de igualdad</w:t>
      </w:r>
      <w:r>
        <w:rPr>
          <w:spacing w:val="1"/>
          <w:sz w:val="12"/>
        </w:rPr>
        <w:t xml:space="preserve"> </w:t>
      </w:r>
      <w:r>
        <w:rPr>
          <w:sz w:val="12"/>
        </w:rPr>
        <w:t>y evaluaciones de impacto</w:t>
      </w:r>
      <w:r>
        <w:rPr>
          <w:spacing w:val="1"/>
          <w:sz w:val="12"/>
        </w:rPr>
        <w:t xml:space="preserve"> </w:t>
      </w:r>
      <w:r>
        <w:rPr>
          <w:sz w:val="12"/>
        </w:rPr>
        <w:t>de la igualdad” (Bruselas,</w:t>
      </w:r>
      <w:r>
        <w:rPr>
          <w:spacing w:val="1"/>
          <w:sz w:val="12"/>
        </w:rPr>
        <w:t xml:space="preserve"> </w:t>
      </w:r>
      <w:r>
        <w:rPr>
          <w:spacing w:val="-2"/>
          <w:sz w:val="12"/>
        </w:rPr>
        <w:t>2021).</w:t>
      </w:r>
    </w:p>
    <w:p w14:paraId="34348B70" w14:textId="77777777" w:rsidR="0014798C" w:rsidRDefault="0014798C">
      <w:pPr>
        <w:rPr>
          <w:sz w:val="12"/>
        </w:rPr>
        <w:sectPr w:rsidR="0014798C" w:rsidSect="00F265E4">
          <w:type w:val="continuous"/>
          <w:pgSz w:w="11900" w:h="16820"/>
          <w:pgMar w:top="40" w:right="0" w:bottom="280" w:left="200" w:header="121" w:footer="0" w:gutter="0"/>
          <w:cols w:num="2" w:space="720" w:equalWidth="0">
            <w:col w:w="1249" w:space="40"/>
            <w:col w:w="10411"/>
          </w:cols>
        </w:sectPr>
      </w:pPr>
    </w:p>
    <w:p w14:paraId="5ED6292B" w14:textId="77777777" w:rsidR="0014798C" w:rsidRDefault="0014798C">
      <w:pPr>
        <w:pStyle w:val="Textoindependiente"/>
        <w:rPr>
          <w:sz w:val="12"/>
        </w:rPr>
      </w:pPr>
    </w:p>
    <w:p w14:paraId="58F63C86" w14:textId="77777777" w:rsidR="0014798C" w:rsidRDefault="0014798C">
      <w:pPr>
        <w:pStyle w:val="Textoindependiente"/>
        <w:spacing w:before="2"/>
        <w:rPr>
          <w:sz w:val="12"/>
        </w:rPr>
      </w:pPr>
    </w:p>
    <w:p w14:paraId="797CBBB7" w14:textId="77777777" w:rsidR="0014798C" w:rsidRDefault="004E1F0B">
      <w:pPr>
        <w:ind w:left="1107"/>
        <w:rPr>
          <w:sz w:val="12"/>
        </w:rPr>
      </w:pPr>
      <w:r>
        <w:rPr>
          <w:sz w:val="12"/>
        </w:rPr>
        <w:t>549</w:t>
      </w:r>
      <w:r>
        <w:rPr>
          <w:spacing w:val="-9"/>
          <w:sz w:val="12"/>
        </w:rPr>
        <w:t xml:space="preserve"> </w:t>
      </w:r>
      <w:proofErr w:type="spellStart"/>
      <w:r>
        <w:rPr>
          <w:sz w:val="12"/>
        </w:rPr>
        <w:t>Ibíd</w:t>
      </w:r>
      <w:proofErr w:type="spellEnd"/>
      <w:r>
        <w:rPr>
          <w:sz w:val="12"/>
        </w:rPr>
        <w:t>.,</w:t>
      </w:r>
      <w:r>
        <w:rPr>
          <w:spacing w:val="-8"/>
          <w:sz w:val="12"/>
        </w:rPr>
        <w:t xml:space="preserve"> </w:t>
      </w:r>
      <w:r>
        <w:rPr>
          <w:sz w:val="12"/>
        </w:rPr>
        <w:t>págs.</w:t>
      </w:r>
      <w:r>
        <w:rPr>
          <w:spacing w:val="-8"/>
          <w:sz w:val="12"/>
        </w:rPr>
        <w:t xml:space="preserve"> </w:t>
      </w:r>
      <w:r>
        <w:rPr>
          <w:sz w:val="12"/>
        </w:rPr>
        <w:t>16-21.</w:t>
      </w:r>
      <w:r>
        <w:rPr>
          <w:spacing w:val="-7"/>
          <w:sz w:val="12"/>
        </w:rPr>
        <w:t xml:space="preserve"> </w:t>
      </w:r>
      <w:r>
        <w:rPr>
          <w:sz w:val="12"/>
        </w:rPr>
        <w:t>Véase</w:t>
      </w:r>
      <w:r>
        <w:rPr>
          <w:spacing w:val="-8"/>
          <w:sz w:val="12"/>
        </w:rPr>
        <w:t xml:space="preserve"> </w:t>
      </w:r>
      <w:r>
        <w:rPr>
          <w:sz w:val="12"/>
        </w:rPr>
        <w:t>también</w:t>
      </w:r>
      <w:r>
        <w:rPr>
          <w:spacing w:val="-9"/>
          <w:sz w:val="12"/>
        </w:rPr>
        <w:t xml:space="preserve"> </w:t>
      </w:r>
      <w:r>
        <w:rPr>
          <w:sz w:val="12"/>
        </w:rPr>
        <w:t>Comité</w:t>
      </w:r>
      <w:r>
        <w:rPr>
          <w:spacing w:val="-8"/>
          <w:sz w:val="12"/>
        </w:rPr>
        <w:t xml:space="preserve"> </w:t>
      </w:r>
      <w:r>
        <w:rPr>
          <w:sz w:val="12"/>
        </w:rPr>
        <w:t>de</w:t>
      </w:r>
      <w:r>
        <w:rPr>
          <w:spacing w:val="-8"/>
          <w:sz w:val="12"/>
        </w:rPr>
        <w:t xml:space="preserve"> </w:t>
      </w:r>
      <w:r>
        <w:rPr>
          <w:sz w:val="12"/>
        </w:rPr>
        <w:t>Derechos</w:t>
      </w:r>
      <w:r>
        <w:rPr>
          <w:spacing w:val="-8"/>
          <w:sz w:val="12"/>
        </w:rPr>
        <w:t xml:space="preserve"> </w:t>
      </w:r>
      <w:r>
        <w:rPr>
          <w:sz w:val="12"/>
        </w:rPr>
        <w:t>Económicos,</w:t>
      </w:r>
      <w:r>
        <w:rPr>
          <w:spacing w:val="-8"/>
          <w:sz w:val="12"/>
        </w:rPr>
        <w:t xml:space="preserve"> </w:t>
      </w:r>
      <w:r>
        <w:rPr>
          <w:sz w:val="12"/>
        </w:rPr>
        <w:t>Sociales</w:t>
      </w:r>
      <w:r>
        <w:rPr>
          <w:spacing w:val="-8"/>
          <w:sz w:val="12"/>
        </w:rPr>
        <w:t xml:space="preserve"> </w:t>
      </w:r>
      <w:r>
        <w:rPr>
          <w:sz w:val="12"/>
        </w:rPr>
        <w:t>y</w:t>
      </w:r>
      <w:r>
        <w:rPr>
          <w:spacing w:val="-8"/>
          <w:sz w:val="12"/>
        </w:rPr>
        <w:t xml:space="preserve"> </w:t>
      </w:r>
      <w:r>
        <w:rPr>
          <w:sz w:val="12"/>
        </w:rPr>
        <w:t>Culturales,</w:t>
      </w:r>
      <w:r>
        <w:rPr>
          <w:spacing w:val="-8"/>
          <w:sz w:val="12"/>
        </w:rPr>
        <w:t xml:space="preserve"> </w:t>
      </w:r>
      <w:r>
        <w:rPr>
          <w:sz w:val="12"/>
        </w:rPr>
        <w:t>observación</w:t>
      </w:r>
      <w:r>
        <w:rPr>
          <w:spacing w:val="-8"/>
          <w:sz w:val="12"/>
        </w:rPr>
        <w:t xml:space="preserve"> </w:t>
      </w:r>
      <w:r>
        <w:rPr>
          <w:sz w:val="12"/>
        </w:rPr>
        <w:t>general</w:t>
      </w:r>
      <w:r>
        <w:rPr>
          <w:spacing w:val="-8"/>
          <w:sz w:val="12"/>
        </w:rPr>
        <w:t xml:space="preserve"> </w:t>
      </w:r>
      <w:r>
        <w:rPr>
          <w:sz w:val="12"/>
        </w:rPr>
        <w:t>núm.</w:t>
      </w:r>
      <w:r>
        <w:rPr>
          <w:spacing w:val="-9"/>
          <w:sz w:val="12"/>
        </w:rPr>
        <w:t xml:space="preserve"> </w:t>
      </w:r>
      <w:r>
        <w:rPr>
          <w:sz w:val="12"/>
        </w:rPr>
        <w:t>23</w:t>
      </w:r>
      <w:r>
        <w:rPr>
          <w:spacing w:val="-8"/>
          <w:sz w:val="12"/>
        </w:rPr>
        <w:t xml:space="preserve"> </w:t>
      </w:r>
      <w:r>
        <w:rPr>
          <w:sz w:val="12"/>
        </w:rPr>
        <w:t>(2016),</w:t>
      </w:r>
      <w:r>
        <w:rPr>
          <w:spacing w:val="-7"/>
          <w:sz w:val="12"/>
        </w:rPr>
        <w:t xml:space="preserve"> </w:t>
      </w:r>
      <w:proofErr w:type="spellStart"/>
      <w:r>
        <w:rPr>
          <w:sz w:val="12"/>
        </w:rPr>
        <w:t>párrs</w:t>
      </w:r>
      <w:proofErr w:type="spellEnd"/>
      <w:r>
        <w:rPr>
          <w:sz w:val="12"/>
        </w:rPr>
        <w:t>.</w:t>
      </w:r>
      <w:r>
        <w:rPr>
          <w:spacing w:val="-8"/>
          <w:sz w:val="12"/>
        </w:rPr>
        <w:t xml:space="preserve"> </w:t>
      </w:r>
      <w:r>
        <w:rPr>
          <w:sz w:val="12"/>
        </w:rPr>
        <w:t>48</w:t>
      </w:r>
      <w:r>
        <w:rPr>
          <w:spacing w:val="-8"/>
          <w:sz w:val="12"/>
        </w:rPr>
        <w:t xml:space="preserve"> </w:t>
      </w:r>
      <w:r>
        <w:rPr>
          <w:sz w:val="12"/>
        </w:rPr>
        <w:t>y</w:t>
      </w:r>
      <w:r>
        <w:rPr>
          <w:spacing w:val="-8"/>
          <w:sz w:val="12"/>
        </w:rPr>
        <w:t xml:space="preserve"> </w:t>
      </w:r>
      <w:r>
        <w:rPr>
          <w:spacing w:val="-5"/>
          <w:sz w:val="12"/>
        </w:rPr>
        <w:t>62.</w:t>
      </w:r>
    </w:p>
    <w:p w14:paraId="413A4FEB" w14:textId="77777777" w:rsidR="0014798C" w:rsidRDefault="004E1F0B">
      <w:pPr>
        <w:spacing w:before="98"/>
        <w:ind w:left="1107"/>
        <w:rPr>
          <w:sz w:val="12"/>
        </w:rPr>
      </w:pPr>
      <w:r>
        <w:rPr>
          <w:sz w:val="12"/>
        </w:rPr>
        <w:t>550</w:t>
      </w:r>
      <w:r>
        <w:rPr>
          <w:spacing w:val="-7"/>
          <w:sz w:val="12"/>
        </w:rPr>
        <w:t xml:space="preserve"> </w:t>
      </w:r>
      <w:r>
        <w:rPr>
          <w:sz w:val="12"/>
        </w:rPr>
        <w:t>Para</w:t>
      </w:r>
      <w:r>
        <w:rPr>
          <w:spacing w:val="-6"/>
          <w:sz w:val="12"/>
        </w:rPr>
        <w:t xml:space="preserve"> </w:t>
      </w:r>
      <w:r>
        <w:rPr>
          <w:sz w:val="12"/>
        </w:rPr>
        <w:t>un</w:t>
      </w:r>
      <w:r>
        <w:rPr>
          <w:spacing w:val="-7"/>
          <w:sz w:val="12"/>
        </w:rPr>
        <w:t xml:space="preserve"> </w:t>
      </w:r>
      <w:r>
        <w:rPr>
          <w:sz w:val="12"/>
        </w:rPr>
        <w:t>análisis</w:t>
      </w:r>
      <w:r>
        <w:rPr>
          <w:spacing w:val="-6"/>
          <w:sz w:val="12"/>
        </w:rPr>
        <w:t xml:space="preserve"> </w:t>
      </w:r>
      <w:r>
        <w:rPr>
          <w:sz w:val="12"/>
        </w:rPr>
        <w:t>más</w:t>
      </w:r>
      <w:r>
        <w:rPr>
          <w:spacing w:val="-7"/>
          <w:sz w:val="12"/>
        </w:rPr>
        <w:t xml:space="preserve"> </w:t>
      </w:r>
      <w:r>
        <w:rPr>
          <w:sz w:val="12"/>
        </w:rPr>
        <w:t>detallado</w:t>
      </w:r>
      <w:r>
        <w:rPr>
          <w:spacing w:val="-6"/>
          <w:sz w:val="12"/>
        </w:rPr>
        <w:t xml:space="preserve"> </w:t>
      </w:r>
      <w:r>
        <w:rPr>
          <w:sz w:val="12"/>
        </w:rPr>
        <w:t>de</w:t>
      </w:r>
      <w:r>
        <w:rPr>
          <w:spacing w:val="-7"/>
          <w:sz w:val="12"/>
        </w:rPr>
        <w:t xml:space="preserve"> </w:t>
      </w:r>
      <w:r>
        <w:rPr>
          <w:sz w:val="12"/>
        </w:rPr>
        <w:t>este</w:t>
      </w:r>
      <w:r>
        <w:rPr>
          <w:spacing w:val="-6"/>
          <w:sz w:val="12"/>
        </w:rPr>
        <w:t xml:space="preserve"> </w:t>
      </w:r>
      <w:r>
        <w:rPr>
          <w:sz w:val="12"/>
        </w:rPr>
        <w:t>marco,</w:t>
      </w:r>
      <w:r>
        <w:rPr>
          <w:spacing w:val="-6"/>
          <w:sz w:val="12"/>
        </w:rPr>
        <w:t xml:space="preserve"> </w:t>
      </w:r>
      <w:r>
        <w:rPr>
          <w:sz w:val="12"/>
        </w:rPr>
        <w:t>consulte</w:t>
      </w:r>
      <w:r>
        <w:rPr>
          <w:spacing w:val="-7"/>
          <w:sz w:val="12"/>
        </w:rPr>
        <w:t xml:space="preserve"> </w:t>
      </w:r>
      <w:r>
        <w:rPr>
          <w:sz w:val="12"/>
        </w:rPr>
        <w:t>la</w:t>
      </w:r>
      <w:r>
        <w:rPr>
          <w:spacing w:val="-6"/>
          <w:sz w:val="12"/>
        </w:rPr>
        <w:t xml:space="preserve"> </w:t>
      </w:r>
      <w:r>
        <w:rPr>
          <w:sz w:val="12"/>
        </w:rPr>
        <w:t>sección</w:t>
      </w:r>
      <w:r>
        <w:rPr>
          <w:spacing w:val="-6"/>
          <w:sz w:val="12"/>
        </w:rPr>
        <w:t xml:space="preserve"> </w:t>
      </w:r>
      <w:r>
        <w:rPr>
          <w:sz w:val="12"/>
        </w:rPr>
        <w:t>IB</w:t>
      </w:r>
      <w:r>
        <w:rPr>
          <w:spacing w:val="-7"/>
          <w:sz w:val="12"/>
        </w:rPr>
        <w:t xml:space="preserve"> </w:t>
      </w:r>
      <w:r>
        <w:rPr>
          <w:sz w:val="12"/>
        </w:rPr>
        <w:t>de</w:t>
      </w:r>
      <w:r>
        <w:rPr>
          <w:spacing w:val="-6"/>
          <w:sz w:val="12"/>
        </w:rPr>
        <w:t xml:space="preserve"> </w:t>
      </w:r>
      <w:r>
        <w:rPr>
          <w:sz w:val="12"/>
        </w:rPr>
        <w:t>la</w:t>
      </w:r>
      <w:r>
        <w:rPr>
          <w:spacing w:val="-7"/>
          <w:sz w:val="12"/>
        </w:rPr>
        <w:t xml:space="preserve"> </w:t>
      </w:r>
      <w:r>
        <w:rPr>
          <w:sz w:val="12"/>
        </w:rPr>
        <w:t>primera</w:t>
      </w:r>
      <w:r>
        <w:rPr>
          <w:spacing w:val="-6"/>
          <w:sz w:val="12"/>
        </w:rPr>
        <w:t xml:space="preserve"> </w:t>
      </w:r>
      <w:r>
        <w:rPr>
          <w:sz w:val="12"/>
        </w:rPr>
        <w:t>parte</w:t>
      </w:r>
      <w:r>
        <w:rPr>
          <w:spacing w:val="-7"/>
          <w:sz w:val="12"/>
        </w:rPr>
        <w:t xml:space="preserve"> </w:t>
      </w:r>
      <w:r>
        <w:rPr>
          <w:sz w:val="12"/>
        </w:rPr>
        <w:t>de</w:t>
      </w:r>
      <w:r>
        <w:rPr>
          <w:spacing w:val="-6"/>
          <w:sz w:val="12"/>
        </w:rPr>
        <w:t xml:space="preserve"> </w:t>
      </w:r>
      <w:r>
        <w:rPr>
          <w:sz w:val="12"/>
        </w:rPr>
        <w:t>la</w:t>
      </w:r>
      <w:r>
        <w:rPr>
          <w:spacing w:val="-7"/>
          <w:sz w:val="12"/>
        </w:rPr>
        <w:t xml:space="preserve"> </w:t>
      </w:r>
      <w:r>
        <w:rPr>
          <w:sz w:val="12"/>
        </w:rPr>
        <w:t>presente</w:t>
      </w:r>
      <w:r>
        <w:rPr>
          <w:spacing w:val="-6"/>
          <w:sz w:val="12"/>
        </w:rPr>
        <w:t xml:space="preserve"> </w:t>
      </w:r>
      <w:r>
        <w:rPr>
          <w:spacing w:val="-2"/>
          <w:sz w:val="12"/>
        </w:rPr>
        <w:t>guía.</w:t>
      </w:r>
    </w:p>
    <w:p w14:paraId="7518CEB2" w14:textId="77777777" w:rsidR="0014798C" w:rsidRDefault="004E1F0B">
      <w:pPr>
        <w:spacing w:before="99"/>
        <w:ind w:left="1107"/>
        <w:rPr>
          <w:sz w:val="12"/>
        </w:rPr>
      </w:pPr>
      <w:r>
        <w:rPr>
          <w:sz w:val="12"/>
        </w:rPr>
        <w:t>551</w:t>
      </w:r>
      <w:r>
        <w:rPr>
          <w:spacing w:val="-1"/>
          <w:sz w:val="12"/>
        </w:rPr>
        <w:t xml:space="preserve"> </w:t>
      </w:r>
      <w:r>
        <w:rPr>
          <w:sz w:val="12"/>
        </w:rPr>
        <w:t>Crowley,</w:t>
      </w:r>
      <w:r>
        <w:rPr>
          <w:spacing w:val="-1"/>
          <w:sz w:val="12"/>
        </w:rPr>
        <w:t xml:space="preserve"> </w:t>
      </w:r>
      <w:r>
        <w:rPr>
          <w:sz w:val="12"/>
        </w:rPr>
        <w:t>Hacer que</w:t>
      </w:r>
      <w:r>
        <w:rPr>
          <w:spacing w:val="-1"/>
          <w:sz w:val="12"/>
        </w:rPr>
        <w:t xml:space="preserve"> </w:t>
      </w:r>
      <w:r>
        <w:rPr>
          <w:sz w:val="12"/>
        </w:rPr>
        <w:t>Europa</w:t>
      </w:r>
      <w:r>
        <w:rPr>
          <w:spacing w:val="-1"/>
          <w:sz w:val="12"/>
        </w:rPr>
        <w:t xml:space="preserve"> </w:t>
      </w:r>
      <w:r>
        <w:rPr>
          <w:sz w:val="12"/>
        </w:rPr>
        <w:t>sea más</w:t>
      </w:r>
      <w:r>
        <w:rPr>
          <w:spacing w:val="-1"/>
          <w:sz w:val="12"/>
        </w:rPr>
        <w:t xml:space="preserve"> </w:t>
      </w:r>
      <w:r>
        <w:rPr>
          <w:sz w:val="12"/>
        </w:rPr>
        <w:t>igualitaria,</w:t>
      </w:r>
      <w:r>
        <w:rPr>
          <w:spacing w:val="-1"/>
          <w:sz w:val="12"/>
        </w:rPr>
        <w:t xml:space="preserve"> </w:t>
      </w:r>
      <w:r>
        <w:rPr>
          <w:sz w:val="12"/>
        </w:rPr>
        <w:t>págs. 10-</w:t>
      </w:r>
      <w:r>
        <w:rPr>
          <w:spacing w:val="-5"/>
          <w:sz w:val="12"/>
        </w:rPr>
        <w:t>11.</w:t>
      </w:r>
    </w:p>
    <w:p w14:paraId="53BE8B2F" w14:textId="77777777" w:rsidR="0014798C" w:rsidRDefault="004E1F0B">
      <w:pPr>
        <w:spacing w:before="98"/>
        <w:ind w:left="1107"/>
        <w:rPr>
          <w:sz w:val="12"/>
        </w:rPr>
      </w:pPr>
      <w:r>
        <w:rPr>
          <w:sz w:val="12"/>
        </w:rPr>
        <w:t>552</w:t>
      </w:r>
      <w:r>
        <w:rPr>
          <w:spacing w:val="-9"/>
          <w:sz w:val="12"/>
        </w:rPr>
        <w:t xml:space="preserve"> </w:t>
      </w:r>
      <w:proofErr w:type="spellStart"/>
      <w:r>
        <w:rPr>
          <w:sz w:val="12"/>
        </w:rPr>
        <w:t>Ibíd</w:t>
      </w:r>
      <w:proofErr w:type="spellEnd"/>
      <w:r>
        <w:rPr>
          <w:sz w:val="12"/>
        </w:rPr>
        <w:t>.,</w:t>
      </w:r>
      <w:r>
        <w:rPr>
          <w:spacing w:val="-7"/>
          <w:sz w:val="12"/>
        </w:rPr>
        <w:t xml:space="preserve"> </w:t>
      </w:r>
      <w:r>
        <w:rPr>
          <w:sz w:val="12"/>
        </w:rPr>
        <w:t>pág.</w:t>
      </w:r>
      <w:r>
        <w:rPr>
          <w:spacing w:val="-6"/>
          <w:sz w:val="12"/>
        </w:rPr>
        <w:t xml:space="preserve"> </w:t>
      </w:r>
      <w:r>
        <w:rPr>
          <w:spacing w:val="-5"/>
          <w:sz w:val="12"/>
        </w:rPr>
        <w:t>8.</w:t>
      </w:r>
    </w:p>
    <w:p w14:paraId="4FEE621D" w14:textId="77777777" w:rsidR="0014798C" w:rsidRDefault="004E1F0B">
      <w:pPr>
        <w:spacing w:before="99"/>
        <w:ind w:left="1107"/>
        <w:rPr>
          <w:sz w:val="12"/>
        </w:rPr>
      </w:pPr>
      <w:r>
        <w:rPr>
          <w:spacing w:val="-2"/>
          <w:sz w:val="12"/>
        </w:rPr>
        <w:t>553</w:t>
      </w:r>
      <w:r>
        <w:rPr>
          <w:spacing w:val="3"/>
          <w:sz w:val="12"/>
        </w:rPr>
        <w:t xml:space="preserve"> </w:t>
      </w:r>
      <w:r>
        <w:rPr>
          <w:spacing w:val="-2"/>
          <w:sz w:val="12"/>
        </w:rPr>
        <w:t>Comité</w:t>
      </w:r>
      <w:r>
        <w:rPr>
          <w:spacing w:val="3"/>
          <w:sz w:val="12"/>
        </w:rPr>
        <w:t xml:space="preserve"> </w:t>
      </w:r>
      <w:r>
        <w:rPr>
          <w:spacing w:val="-2"/>
          <w:sz w:val="12"/>
        </w:rPr>
        <w:t>de</w:t>
      </w:r>
      <w:r>
        <w:rPr>
          <w:spacing w:val="4"/>
          <w:sz w:val="12"/>
        </w:rPr>
        <w:t xml:space="preserve"> </w:t>
      </w:r>
      <w:r>
        <w:rPr>
          <w:spacing w:val="-2"/>
          <w:sz w:val="12"/>
        </w:rPr>
        <w:t>Derechos</w:t>
      </w:r>
      <w:r>
        <w:rPr>
          <w:spacing w:val="3"/>
          <w:sz w:val="12"/>
        </w:rPr>
        <w:t xml:space="preserve"> </w:t>
      </w:r>
      <w:r>
        <w:rPr>
          <w:spacing w:val="-2"/>
          <w:sz w:val="12"/>
        </w:rPr>
        <w:t>Económicos,</w:t>
      </w:r>
      <w:r>
        <w:rPr>
          <w:spacing w:val="5"/>
          <w:sz w:val="12"/>
        </w:rPr>
        <w:t xml:space="preserve"> </w:t>
      </w:r>
      <w:r>
        <w:rPr>
          <w:spacing w:val="-2"/>
          <w:sz w:val="12"/>
        </w:rPr>
        <w:t>Sociales</w:t>
      </w:r>
      <w:r>
        <w:rPr>
          <w:spacing w:val="4"/>
          <w:sz w:val="12"/>
        </w:rPr>
        <w:t xml:space="preserve"> </w:t>
      </w:r>
      <w:r>
        <w:rPr>
          <w:spacing w:val="-2"/>
          <w:sz w:val="12"/>
        </w:rPr>
        <w:t>y</w:t>
      </w:r>
      <w:r>
        <w:rPr>
          <w:spacing w:val="3"/>
          <w:sz w:val="12"/>
        </w:rPr>
        <w:t xml:space="preserve"> </w:t>
      </w:r>
      <w:r>
        <w:rPr>
          <w:spacing w:val="-2"/>
          <w:sz w:val="12"/>
        </w:rPr>
        <w:t>Culturales,</w:t>
      </w:r>
      <w:r>
        <w:rPr>
          <w:spacing w:val="5"/>
          <w:sz w:val="12"/>
        </w:rPr>
        <w:t xml:space="preserve"> </w:t>
      </w:r>
      <w:r>
        <w:rPr>
          <w:spacing w:val="-2"/>
          <w:sz w:val="12"/>
        </w:rPr>
        <w:t>observación</w:t>
      </w:r>
      <w:r>
        <w:rPr>
          <w:spacing w:val="3"/>
          <w:sz w:val="12"/>
        </w:rPr>
        <w:t xml:space="preserve"> </w:t>
      </w:r>
      <w:r>
        <w:rPr>
          <w:spacing w:val="-2"/>
          <w:sz w:val="12"/>
        </w:rPr>
        <w:t>general</w:t>
      </w:r>
      <w:r>
        <w:rPr>
          <w:spacing w:val="4"/>
          <w:sz w:val="12"/>
        </w:rPr>
        <w:t xml:space="preserve"> </w:t>
      </w:r>
      <w:r>
        <w:rPr>
          <w:spacing w:val="-2"/>
          <w:sz w:val="12"/>
        </w:rPr>
        <w:t>núm.</w:t>
      </w:r>
      <w:r>
        <w:rPr>
          <w:spacing w:val="3"/>
          <w:sz w:val="12"/>
        </w:rPr>
        <w:t xml:space="preserve"> </w:t>
      </w:r>
      <w:r>
        <w:rPr>
          <w:spacing w:val="-2"/>
          <w:sz w:val="12"/>
        </w:rPr>
        <w:t>20</w:t>
      </w:r>
      <w:r>
        <w:rPr>
          <w:spacing w:val="4"/>
          <w:sz w:val="12"/>
        </w:rPr>
        <w:t xml:space="preserve"> </w:t>
      </w:r>
      <w:r>
        <w:rPr>
          <w:spacing w:val="-2"/>
          <w:sz w:val="12"/>
        </w:rPr>
        <w:t>(2009),</w:t>
      </w:r>
      <w:r>
        <w:rPr>
          <w:spacing w:val="4"/>
          <w:sz w:val="12"/>
        </w:rPr>
        <w:t xml:space="preserve"> </w:t>
      </w:r>
      <w:r>
        <w:rPr>
          <w:spacing w:val="-2"/>
          <w:sz w:val="12"/>
        </w:rPr>
        <w:t>párr.</w:t>
      </w:r>
      <w:r>
        <w:rPr>
          <w:spacing w:val="5"/>
          <w:sz w:val="12"/>
        </w:rPr>
        <w:t xml:space="preserve"> </w:t>
      </w:r>
      <w:r>
        <w:rPr>
          <w:spacing w:val="-5"/>
          <w:sz w:val="12"/>
        </w:rPr>
        <w:t>38.</w:t>
      </w:r>
    </w:p>
    <w:p w14:paraId="0736DCCA" w14:textId="77777777" w:rsidR="0014798C" w:rsidRDefault="0014798C">
      <w:pPr>
        <w:pStyle w:val="Textoindependiente"/>
        <w:rPr>
          <w:sz w:val="19"/>
        </w:rPr>
      </w:pPr>
    </w:p>
    <w:p w14:paraId="5EC0D439" w14:textId="77777777" w:rsidR="0014798C" w:rsidRDefault="0014798C">
      <w:pPr>
        <w:pStyle w:val="Textoindependiente"/>
        <w:spacing w:before="200"/>
        <w:rPr>
          <w:sz w:val="19"/>
        </w:rPr>
      </w:pPr>
    </w:p>
    <w:p w14:paraId="269A7A4E" w14:textId="77777777" w:rsidR="0014798C" w:rsidRDefault="004E1F0B">
      <w:pPr>
        <w:spacing w:before="1"/>
        <w:ind w:left="554"/>
        <w:rPr>
          <w:sz w:val="19"/>
        </w:rPr>
      </w:pPr>
      <w:r>
        <w:rPr>
          <w:spacing w:val="-5"/>
          <w:sz w:val="19"/>
        </w:rPr>
        <w:t>70</w:t>
      </w:r>
    </w:p>
    <w:p w14:paraId="0F52D5E2" w14:textId="77777777" w:rsidR="0014798C" w:rsidRDefault="0014798C">
      <w:pPr>
        <w:rPr>
          <w:sz w:val="19"/>
        </w:rPr>
        <w:sectPr w:rsidR="0014798C" w:rsidSect="00F265E4">
          <w:type w:val="continuous"/>
          <w:pgSz w:w="11900" w:h="16820"/>
          <w:pgMar w:top="40" w:right="0" w:bottom="280" w:left="200" w:header="121" w:footer="0" w:gutter="0"/>
          <w:cols w:space="720"/>
        </w:sectPr>
      </w:pPr>
    </w:p>
    <w:p w14:paraId="77E406E1" w14:textId="77777777" w:rsidR="0014798C" w:rsidRDefault="0014798C">
      <w:pPr>
        <w:pStyle w:val="Textoindependiente"/>
        <w:spacing w:before="51"/>
        <w:rPr>
          <w:sz w:val="14"/>
        </w:rPr>
      </w:pPr>
    </w:p>
    <w:p w14:paraId="01E8E665" w14:textId="77777777" w:rsidR="0014798C" w:rsidRDefault="004E1F0B">
      <w:pPr>
        <w:ind w:left="1111"/>
        <w:rPr>
          <w:sz w:val="14"/>
        </w:rPr>
      </w:pPr>
      <w:r>
        <w:rPr>
          <w:color w:val="00AC59"/>
          <w:sz w:val="14"/>
        </w:rPr>
        <w:t>SEGUNDA</w:t>
      </w:r>
      <w:r>
        <w:rPr>
          <w:color w:val="00AC59"/>
          <w:spacing w:val="-5"/>
          <w:sz w:val="14"/>
        </w:rPr>
        <w:t xml:space="preserve"> </w:t>
      </w:r>
      <w:r>
        <w:rPr>
          <w:color w:val="00AC59"/>
          <w:sz w:val="14"/>
        </w:rPr>
        <w:t>PARTE:</w:t>
      </w:r>
      <w:r>
        <w:rPr>
          <w:color w:val="00AC59"/>
          <w:spacing w:val="-5"/>
          <w:sz w:val="14"/>
        </w:rPr>
        <w:t xml:space="preserve"> </w:t>
      </w:r>
      <w:r>
        <w:rPr>
          <w:color w:val="00AC59"/>
          <w:sz w:val="14"/>
        </w:rPr>
        <w:t>CONTENIDO</w:t>
      </w:r>
      <w:r>
        <w:rPr>
          <w:color w:val="00AC59"/>
          <w:spacing w:val="-4"/>
          <w:sz w:val="14"/>
        </w:rPr>
        <w:t xml:space="preserve"> </w:t>
      </w:r>
      <w:r>
        <w:rPr>
          <w:color w:val="00AC59"/>
          <w:sz w:val="14"/>
        </w:rPr>
        <w:t>DE</w:t>
      </w:r>
      <w:r>
        <w:rPr>
          <w:color w:val="00AC59"/>
          <w:spacing w:val="-5"/>
          <w:sz w:val="14"/>
        </w:rPr>
        <w:t xml:space="preserve"> </w:t>
      </w:r>
      <w:r>
        <w:rPr>
          <w:color w:val="00AC59"/>
          <w:sz w:val="14"/>
        </w:rPr>
        <w:t>LA</w:t>
      </w:r>
      <w:r>
        <w:rPr>
          <w:color w:val="00AC59"/>
          <w:spacing w:val="-4"/>
          <w:sz w:val="14"/>
        </w:rPr>
        <w:t xml:space="preserve"> </w:t>
      </w:r>
      <w:r>
        <w:rPr>
          <w:color w:val="00AC59"/>
          <w:sz w:val="14"/>
        </w:rPr>
        <w:t>LEY</w:t>
      </w:r>
      <w:r>
        <w:rPr>
          <w:color w:val="00AC59"/>
          <w:spacing w:val="-4"/>
          <w:sz w:val="14"/>
        </w:rPr>
        <w:t xml:space="preserve"> </w:t>
      </w:r>
      <w:r>
        <w:rPr>
          <w:color w:val="00AC59"/>
          <w:sz w:val="14"/>
        </w:rPr>
        <w:t>INTEGRAL</w:t>
      </w:r>
      <w:r>
        <w:rPr>
          <w:color w:val="00AC59"/>
          <w:spacing w:val="-5"/>
          <w:sz w:val="14"/>
        </w:rPr>
        <w:t xml:space="preserve"> </w:t>
      </w:r>
      <w:r>
        <w:rPr>
          <w:color w:val="00AC59"/>
          <w:spacing w:val="-2"/>
          <w:sz w:val="14"/>
        </w:rPr>
        <w:t>ANTIDISCRIMINACIÓN</w:t>
      </w:r>
    </w:p>
    <w:p w14:paraId="5EDB5F85" w14:textId="77777777" w:rsidR="0014798C" w:rsidRDefault="0014798C">
      <w:pPr>
        <w:pStyle w:val="Textoindependiente"/>
      </w:pPr>
    </w:p>
    <w:p w14:paraId="20EC5F51" w14:textId="77777777" w:rsidR="0014798C" w:rsidRDefault="0014798C">
      <w:pPr>
        <w:pStyle w:val="Textoindependiente"/>
      </w:pPr>
    </w:p>
    <w:p w14:paraId="2711636B" w14:textId="77777777" w:rsidR="0014798C" w:rsidRDefault="0014798C">
      <w:pPr>
        <w:pStyle w:val="Textoindependiente"/>
      </w:pPr>
    </w:p>
    <w:p w14:paraId="611FD42A" w14:textId="77777777" w:rsidR="0014798C" w:rsidRDefault="0014798C">
      <w:pPr>
        <w:pStyle w:val="Textoindependiente"/>
      </w:pPr>
    </w:p>
    <w:p w14:paraId="1D1B365D" w14:textId="77777777" w:rsidR="0014798C" w:rsidRDefault="0014798C">
      <w:pPr>
        <w:pStyle w:val="Textoindependiente"/>
        <w:spacing w:before="61"/>
      </w:pPr>
    </w:p>
    <w:p w14:paraId="38013EDD" w14:textId="77777777" w:rsidR="0014798C" w:rsidRDefault="004E1F0B">
      <w:pPr>
        <w:pStyle w:val="Textoindependiente"/>
        <w:spacing w:line="321" w:lineRule="auto"/>
        <w:ind w:left="1334" w:right="1463" w:hanging="1"/>
      </w:pPr>
      <w:r>
        <w:rPr>
          <w:noProof/>
        </w:rPr>
        <w:drawing>
          <wp:anchor distT="0" distB="0" distL="0" distR="0" simplePos="0" relativeHeight="251658413" behindDoc="1" locked="0" layoutInCell="1" allowOverlap="1" wp14:anchorId="73BCB90A" wp14:editId="2A139810">
            <wp:simplePos x="0" y="0"/>
            <wp:positionH relativeFrom="page">
              <wp:posOffset>813154</wp:posOffset>
            </wp:positionH>
            <wp:positionV relativeFrom="paragraph">
              <wp:posOffset>-152463</wp:posOffset>
            </wp:positionV>
            <wp:extent cx="6743345" cy="6793949"/>
            <wp:effectExtent l="0" t="0" r="0" b="0"/>
            <wp:wrapNone/>
            <wp:docPr id="173" name="Image 17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73" name="Image 173"/>
                    <pic:cNvPicPr/>
                  </pic:nvPicPr>
                  <pic:blipFill>
                    <a:blip r:embed="rId156" cstate="print"/>
                    <a:stretch>
                      <a:fillRect/>
                    </a:stretch>
                  </pic:blipFill>
                  <pic:spPr>
                    <a:xfrm>
                      <a:off x="0" y="0"/>
                      <a:ext cx="6743345" cy="6793949"/>
                    </a:xfrm>
                    <a:prstGeom prst="rect">
                      <a:avLst/>
                    </a:prstGeom>
                  </pic:spPr>
                </pic:pic>
              </a:graphicData>
            </a:graphic>
          </wp:anchor>
        </w:drawing>
      </w:r>
      <w:r>
        <w:t>a la contratación y promoción) al menos cada tres años. Para garantizar una “participación justa en el empleo”, los empleadores están facultados para tomar “medidas afirmativas” y la Comisión de Igualdad puede exigirles que implementen medidas de acción positiva, que puede imponer sanciones por incumplimiento.</w:t>
      </w:r>
    </w:p>
    <w:p w14:paraId="22D57D27" w14:textId="77777777" w:rsidR="0014798C" w:rsidRDefault="004E1F0B">
      <w:pPr>
        <w:pStyle w:val="Textoindependiente"/>
        <w:spacing w:before="111" w:line="321" w:lineRule="auto"/>
        <w:ind w:left="1332" w:right="1626" w:hanging="1"/>
      </w:pPr>
      <w:r>
        <w:t>La Orden ha demostrado ser un importante motor de cambio en términos de igualdad en el empleo entre la fuerza laboral de Irlanda del Norte. En 2004, una evaluación del marco de empleo justo en Irlanda del Norte554 encontró evidencia de:</w:t>
      </w:r>
    </w:p>
    <w:p w14:paraId="732F04FA" w14:textId="77777777" w:rsidR="0014798C" w:rsidRDefault="0014798C">
      <w:pPr>
        <w:pStyle w:val="Textoindependiente"/>
        <w:spacing w:before="173"/>
      </w:pPr>
    </w:p>
    <w:p w14:paraId="6DDED36B" w14:textId="77777777" w:rsidR="0014798C" w:rsidRDefault="004E1F0B">
      <w:pPr>
        <w:pStyle w:val="Prrafodelista"/>
        <w:numPr>
          <w:ilvl w:val="0"/>
          <w:numId w:val="2"/>
        </w:numPr>
        <w:tabs>
          <w:tab w:val="left" w:pos="1758"/>
        </w:tabs>
        <w:ind w:left="1758" w:hanging="188"/>
        <w:rPr>
          <w:sz w:val="16"/>
        </w:rPr>
      </w:pPr>
      <w:r>
        <w:rPr>
          <w:sz w:val="16"/>
        </w:rPr>
        <w:t>Una</w:t>
      </w:r>
      <w:r>
        <w:rPr>
          <w:spacing w:val="-1"/>
          <w:sz w:val="16"/>
        </w:rPr>
        <w:t xml:space="preserve"> </w:t>
      </w:r>
      <w:r>
        <w:rPr>
          <w:sz w:val="16"/>
        </w:rPr>
        <w:t xml:space="preserve">mejora sustancial del perfil laboral de los </w:t>
      </w:r>
      <w:r>
        <w:rPr>
          <w:spacing w:val="-2"/>
          <w:sz w:val="16"/>
        </w:rPr>
        <w:t>católicos;</w:t>
      </w:r>
    </w:p>
    <w:p w14:paraId="18619F98" w14:textId="77777777" w:rsidR="0014798C" w:rsidRDefault="004E1F0B">
      <w:pPr>
        <w:pStyle w:val="Prrafodelista"/>
        <w:numPr>
          <w:ilvl w:val="0"/>
          <w:numId w:val="2"/>
        </w:numPr>
        <w:tabs>
          <w:tab w:val="left" w:pos="1757"/>
          <w:tab w:val="left" w:pos="1900"/>
        </w:tabs>
        <w:spacing w:before="119" w:line="321" w:lineRule="auto"/>
        <w:ind w:left="1900" w:right="1984" w:hanging="331"/>
        <w:rPr>
          <w:sz w:val="16"/>
        </w:rPr>
      </w:pPr>
      <w:r>
        <w:rPr>
          <w:sz w:val="16"/>
        </w:rPr>
        <w:t>Un aumento considerable del número de personas que trabajan en lugares de trabajo integrados, en contraste con la continua segregación en la vivienda pública;</w:t>
      </w:r>
    </w:p>
    <w:p w14:paraId="74343719" w14:textId="77777777" w:rsidR="0014798C" w:rsidRDefault="004E1F0B">
      <w:pPr>
        <w:pStyle w:val="Prrafodelista"/>
        <w:numPr>
          <w:ilvl w:val="0"/>
          <w:numId w:val="53"/>
        </w:numPr>
        <w:tabs>
          <w:tab w:val="left" w:pos="1802"/>
          <w:tab w:val="left" w:pos="1900"/>
        </w:tabs>
        <w:spacing w:before="55" w:line="321" w:lineRule="auto"/>
        <w:ind w:left="1900" w:right="1915" w:hanging="331"/>
        <w:jc w:val="left"/>
        <w:rPr>
          <w:sz w:val="16"/>
        </w:rPr>
      </w:pPr>
      <w:r>
        <w:rPr>
          <w:noProof/>
        </w:rPr>
        <mc:AlternateContent>
          <mc:Choice Requires="wps">
            <w:drawing>
              <wp:anchor distT="0" distB="0" distL="0" distR="0" simplePos="0" relativeHeight="251658276" behindDoc="0" locked="0" layoutInCell="1" allowOverlap="1" wp14:anchorId="4CBD7926" wp14:editId="1BDD90C1">
                <wp:simplePos x="0" y="0"/>
                <wp:positionH relativeFrom="page">
                  <wp:posOffset>7313138</wp:posOffset>
                </wp:positionH>
                <wp:positionV relativeFrom="paragraph">
                  <wp:posOffset>95128</wp:posOffset>
                </wp:positionV>
                <wp:extent cx="83820" cy="281940"/>
                <wp:effectExtent l="0" t="0" r="0" b="0"/>
                <wp:wrapNone/>
                <wp:docPr id="174" name="Textbox 17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83820" cy="281940"/>
                        </a:xfrm>
                        <a:prstGeom prst="rect">
                          <a:avLst/>
                        </a:prstGeom>
                      </wps:spPr>
                      <wps:txbx>
                        <w:txbxContent>
                          <w:p w14:paraId="3209D999" w14:textId="77777777" w:rsidR="0014798C" w:rsidRDefault="004E1F0B">
                            <w:pPr>
                              <w:spacing w:before="19"/>
                              <w:ind w:left="20"/>
                              <w:rPr>
                                <w:sz w:val="8"/>
                              </w:rPr>
                            </w:pPr>
                            <w:r>
                              <w:rPr>
                                <w:color w:val="FFFFFF"/>
                                <w:spacing w:val="-24"/>
                                <w:sz w:val="8"/>
                              </w:rPr>
                              <w:t>I–P</w:t>
                            </w:r>
                            <w:r>
                              <w:rPr>
                                <w:spacing w:val="-24"/>
                                <w:sz w:val="8"/>
                              </w:rPr>
                              <w:t>S</w:t>
                            </w:r>
                            <w:r>
                              <w:rPr>
                                <w:color w:val="FFFFFF"/>
                                <w:spacing w:val="-24"/>
                                <w:sz w:val="8"/>
                              </w:rPr>
                              <w:t>A</w:t>
                            </w:r>
                            <w:r>
                              <w:rPr>
                                <w:spacing w:val="-24"/>
                                <w:sz w:val="8"/>
                              </w:rPr>
                              <w:t>E</w:t>
                            </w:r>
                            <w:r>
                              <w:rPr>
                                <w:color w:val="FFFFFF"/>
                                <w:spacing w:val="-24"/>
                                <w:sz w:val="8"/>
                              </w:rPr>
                              <w:t>R</w:t>
                            </w:r>
                            <w:r>
                              <w:rPr>
                                <w:spacing w:val="-24"/>
                                <w:sz w:val="8"/>
                              </w:rPr>
                              <w:t>G</w:t>
                            </w:r>
                            <w:r>
                              <w:rPr>
                                <w:color w:val="FFFFFF"/>
                                <w:spacing w:val="-24"/>
                                <w:sz w:val="8"/>
                              </w:rPr>
                              <w:t>T</w:t>
                            </w:r>
                            <w:r>
                              <w:rPr>
                                <w:spacing w:val="-24"/>
                                <w:sz w:val="8"/>
                              </w:rPr>
                              <w:t>U</w:t>
                            </w:r>
                            <w:r>
                              <w:rPr>
                                <w:color w:val="FFFFFF"/>
                                <w:spacing w:val="-24"/>
                                <w:sz w:val="8"/>
                              </w:rPr>
                              <w:t>E</w:t>
                            </w:r>
                            <w:r>
                              <w:rPr>
                                <w:spacing w:val="-24"/>
                                <w:sz w:val="8"/>
                              </w:rPr>
                              <w:t>NDA</w:t>
                            </w:r>
                          </w:p>
                        </w:txbxContent>
                      </wps:txbx>
                      <wps:bodyPr vert="vert270" wrap="square" lIns="0" tIns="0" rIns="0" bIns="0" rtlCol="0">
                        <a:noAutofit/>
                      </wps:bodyPr>
                    </wps:wsp>
                  </a:graphicData>
                </a:graphic>
              </wp:anchor>
            </w:drawing>
          </mc:Choice>
          <mc:Fallback>
            <w:pict>
              <v:shape w14:anchorId="4CBD7926" id="Textbox 174" o:spid="_x0000_s1096" type="#_x0000_t202" style="position:absolute;left:0;text-align:left;margin-left:575.85pt;margin-top:7.5pt;width:6.6pt;height:22.2pt;z-index:251658276;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" filled="f" stroked="f">
                <v:textbox style="layout-flow:vertical;mso-layout-flow-alt:bottom-to-top" inset="0,0,0,0">
                  <w:txbxContent>
                    <w:p w14:paraId="3209D999" w14:textId="77777777" w:rsidR="0014798C" w:rsidRDefault="004E1F0B">
                      <w:pPr>
                        <w:spacing w:before="19"/>
                        <w:ind w:left="20"/>
                        <w:rPr>
                          <w:sz w:val="8"/>
                        </w:rPr>
                      </w:pPr>
                      <w:r>
                        <w:rPr>
                          <w:color w:val="FFFFFF"/>
                          <w:spacing w:val="-24"/>
                          <w:sz w:val="8"/>
                        </w:rPr>
                        <w:t>I–P</w:t>
                      </w:r>
                      <w:r>
                        <w:rPr>
                          <w:spacing w:val="-24"/>
                          <w:sz w:val="8"/>
                        </w:rPr>
                        <w:t>S</w:t>
                      </w:r>
                      <w:r>
                        <w:rPr>
                          <w:color w:val="FFFFFF"/>
                          <w:spacing w:val="-24"/>
                          <w:sz w:val="8"/>
                        </w:rPr>
                        <w:t>A</w:t>
                      </w:r>
                      <w:r>
                        <w:rPr>
                          <w:spacing w:val="-24"/>
                          <w:sz w:val="8"/>
                        </w:rPr>
                        <w:t>E</w:t>
                      </w:r>
                      <w:r>
                        <w:rPr>
                          <w:color w:val="FFFFFF"/>
                          <w:spacing w:val="-24"/>
                          <w:sz w:val="8"/>
                        </w:rPr>
                        <w:t>R</w:t>
                      </w:r>
                      <w:r>
                        <w:rPr>
                          <w:spacing w:val="-24"/>
                          <w:sz w:val="8"/>
                        </w:rPr>
                        <w:t>G</w:t>
                      </w:r>
                      <w:r>
                        <w:rPr>
                          <w:color w:val="FFFFFF"/>
                          <w:spacing w:val="-24"/>
                          <w:sz w:val="8"/>
                        </w:rPr>
                        <w:t>T</w:t>
                      </w:r>
                      <w:r>
                        <w:rPr>
                          <w:spacing w:val="-24"/>
                          <w:sz w:val="8"/>
                        </w:rPr>
                        <w:t>U</w:t>
                      </w:r>
                      <w:r>
                        <w:rPr>
                          <w:color w:val="FFFFFF"/>
                          <w:spacing w:val="-24"/>
                          <w:sz w:val="8"/>
                        </w:rPr>
                        <w:t>E</w:t>
                      </w:r>
                      <w:r>
                        <w:rPr>
                          <w:spacing w:val="-24"/>
                          <w:sz w:val="8"/>
                        </w:rPr>
                        <w:t>NDA</w:t>
                      </w:r>
                    </w:p>
                  </w:txbxContent>
                </v:textbox>
                <w10:wrap anchorx="page"/>
              </v:shape>
            </w:pict>
          </mc:Fallback>
        </mc:AlternateContent>
      </w:r>
      <w:r>
        <w:rPr>
          <w:sz w:val="16"/>
        </w:rPr>
        <w:t>Los empleadores indican que una legislación sólida ha ayudado a cambiar las prácticas y la evidencia sugiere que los acuerdos de acción afirmativa han ayudado a corregir la subrepresentación en el lugar de trabajo.555</w:t>
      </w:r>
    </w:p>
    <w:p w14:paraId="1232B2B8" w14:textId="77777777" w:rsidR="0014798C" w:rsidRDefault="004E1F0B">
      <w:pPr>
        <w:pStyle w:val="Textoindependiente"/>
        <w:spacing w:before="111" w:line="314" w:lineRule="auto"/>
        <w:ind w:left="1332" w:right="1626" w:firstLine="1"/>
      </w:pPr>
      <w:r>
        <w:t>El compromiso con la igualdad en el marco de la Orden también ha trabajado para fortalecer la diversidad y corregir los obstáculos internos a la inclusión y el avance de las mujeres, las minorías, las personas con discapacidad, las personas que viven con el VIH/SIDA, los no ciudadanos y otros.</w:t>
      </w:r>
    </w:p>
    <w:p w14:paraId="3DFF0167" w14:textId="77777777" w:rsidR="0014798C" w:rsidRDefault="004E1F0B">
      <w:pPr>
        <w:pStyle w:val="Textoindependiente"/>
        <w:spacing w:before="128" w:line="321" w:lineRule="auto"/>
        <w:ind w:left="1332" w:right="1626"/>
      </w:pPr>
      <w:r>
        <w:t>En términos conceptuales, dichas órdenes complementan el sistema de respuesta a la discriminación de “alarma contra incendios” (es decir, dependiente de una denuncia de la víctima) existente, con un sistema adicional de “patrulla policial”</w:t>
      </w:r>
      <w:r>
        <w:rPr>
          <w:spacing w:val="80"/>
        </w:rPr>
        <w:t xml:space="preserve"> </w:t>
      </w:r>
      <w:r>
        <w:t>(es decir, revisión periódica de las cuestiones de igualdad y diversidad en empresas individuales)</w:t>
      </w:r>
      <w:proofErr w:type="gramStart"/>
      <w:r>
        <w:t>. .</w:t>
      </w:r>
      <w:proofErr w:type="gramEnd"/>
      <w:r>
        <w:t xml:space="preserve"> La experiencia indica que, para abordar la exclusión de grupos estigmatizados o marginados, se necesitan sistemas de control tanto de “alarma contra incendios” como de “patrulla policial”.556 Como resultado del éxito del modelo, otros países también han incluido poderes similares en leyes nacionales integrales contra la discriminación y han ampliado poderes para la supervisión de la diversidad en las autoridades locales.557</w:t>
      </w:r>
    </w:p>
    <w:p w14:paraId="7AE5ADF9" w14:textId="77777777" w:rsidR="0014798C" w:rsidRDefault="0014798C">
      <w:pPr>
        <w:pStyle w:val="Textoindependiente"/>
      </w:pPr>
    </w:p>
    <w:p w14:paraId="58501654" w14:textId="77777777" w:rsidR="0014798C" w:rsidRDefault="0014798C">
      <w:pPr>
        <w:pStyle w:val="Textoindependiente"/>
        <w:spacing w:before="94"/>
      </w:pPr>
    </w:p>
    <w:p w14:paraId="13756B83" w14:textId="77777777" w:rsidR="0014798C" w:rsidRDefault="004E1F0B">
      <w:pPr>
        <w:pStyle w:val="Prrafodelista"/>
        <w:numPr>
          <w:ilvl w:val="0"/>
          <w:numId w:val="52"/>
        </w:numPr>
        <w:tabs>
          <w:tab w:val="left" w:pos="1348"/>
        </w:tabs>
        <w:ind w:left="1348" w:hanging="233"/>
        <w:rPr>
          <w:sz w:val="16"/>
        </w:rPr>
      </w:pPr>
      <w:r>
        <w:rPr>
          <w:sz w:val="16"/>
        </w:rPr>
        <w:t>Funciones</w:t>
      </w:r>
      <w:r>
        <w:rPr>
          <w:spacing w:val="4"/>
          <w:sz w:val="16"/>
        </w:rPr>
        <w:t xml:space="preserve"> </w:t>
      </w:r>
      <w:r>
        <w:rPr>
          <w:sz w:val="16"/>
        </w:rPr>
        <w:t>de</w:t>
      </w:r>
      <w:r>
        <w:rPr>
          <w:spacing w:val="4"/>
          <w:sz w:val="16"/>
        </w:rPr>
        <w:t xml:space="preserve"> </w:t>
      </w:r>
      <w:r>
        <w:rPr>
          <w:spacing w:val="-2"/>
          <w:sz w:val="16"/>
        </w:rPr>
        <w:t>integración</w:t>
      </w:r>
    </w:p>
    <w:p w14:paraId="1AAA2FA6" w14:textId="77777777" w:rsidR="0014798C" w:rsidRDefault="004E1F0B">
      <w:pPr>
        <w:pStyle w:val="Textoindependiente"/>
        <w:spacing w:before="162" w:line="321" w:lineRule="auto"/>
        <w:ind w:left="1107" w:right="1335"/>
      </w:pPr>
      <w:r>
        <w:t>Las funciones de integración regulan las acciones de las autoridades públicas y apuntan a integrar la planificación de la igualdad</w:t>
      </w:r>
      <w:r>
        <w:rPr>
          <w:spacing w:val="80"/>
        </w:rPr>
        <w:t xml:space="preserve"> </w:t>
      </w:r>
      <w:r>
        <w:t xml:space="preserve">en todos los niveles de la toma de decisiones públicas, incluido el desarrollo de “legislación, presupuestos, políticas y programas”.558 Tanto el Comité para la Eliminación de Discriminación contra la Mujer y el Comité sobre los Derechos de las Personas con Discapacidad han reconocido la obligación de los Estados de incorporar consideraciones de igualdad en el proceso </w:t>
      </w:r>
      <w:r>
        <w:rPr>
          <w:spacing w:val="-2"/>
        </w:rPr>
        <w:t>político.559</w:t>
      </w:r>
    </w:p>
    <w:p w14:paraId="0DF2A97B" w14:textId="77777777" w:rsidR="0014798C" w:rsidRDefault="0014798C">
      <w:pPr>
        <w:pStyle w:val="Textoindependiente"/>
        <w:rPr>
          <w:sz w:val="12"/>
        </w:rPr>
      </w:pPr>
    </w:p>
    <w:p w14:paraId="315C93AC" w14:textId="77777777" w:rsidR="0014798C" w:rsidRDefault="0014798C">
      <w:pPr>
        <w:pStyle w:val="Textoindependiente"/>
        <w:rPr>
          <w:sz w:val="12"/>
        </w:rPr>
      </w:pPr>
    </w:p>
    <w:p w14:paraId="479A0BF8" w14:textId="77777777" w:rsidR="0014798C" w:rsidRDefault="0014798C">
      <w:pPr>
        <w:pStyle w:val="Textoindependiente"/>
        <w:rPr>
          <w:sz w:val="12"/>
        </w:rPr>
      </w:pPr>
    </w:p>
    <w:p w14:paraId="7BCA04CD" w14:textId="77777777" w:rsidR="0014798C" w:rsidRDefault="0014798C">
      <w:pPr>
        <w:pStyle w:val="Textoindependiente"/>
        <w:rPr>
          <w:sz w:val="12"/>
        </w:rPr>
      </w:pPr>
    </w:p>
    <w:p w14:paraId="10273944" w14:textId="77777777" w:rsidR="0014798C" w:rsidRDefault="0014798C">
      <w:pPr>
        <w:pStyle w:val="Textoindependiente"/>
        <w:rPr>
          <w:sz w:val="12"/>
        </w:rPr>
      </w:pPr>
    </w:p>
    <w:p w14:paraId="4BCCA4DE" w14:textId="77777777" w:rsidR="0014798C" w:rsidRDefault="0014798C">
      <w:pPr>
        <w:pStyle w:val="Textoindependiente"/>
        <w:rPr>
          <w:sz w:val="12"/>
        </w:rPr>
      </w:pPr>
    </w:p>
    <w:p w14:paraId="04DDB736" w14:textId="77777777" w:rsidR="0014798C" w:rsidRDefault="0014798C">
      <w:pPr>
        <w:pStyle w:val="Textoindependiente"/>
        <w:rPr>
          <w:sz w:val="12"/>
        </w:rPr>
      </w:pPr>
    </w:p>
    <w:p w14:paraId="48CA4EEF" w14:textId="77777777" w:rsidR="0014798C" w:rsidRDefault="0014798C">
      <w:pPr>
        <w:pStyle w:val="Textoindependiente"/>
        <w:rPr>
          <w:sz w:val="12"/>
        </w:rPr>
      </w:pPr>
    </w:p>
    <w:p w14:paraId="14430922" w14:textId="77777777" w:rsidR="0014798C" w:rsidRDefault="0014798C">
      <w:pPr>
        <w:pStyle w:val="Textoindependiente"/>
        <w:rPr>
          <w:sz w:val="12"/>
        </w:rPr>
      </w:pPr>
    </w:p>
    <w:p w14:paraId="6AC21CD0" w14:textId="77777777" w:rsidR="0014798C" w:rsidRDefault="0014798C">
      <w:pPr>
        <w:pStyle w:val="Textoindependiente"/>
        <w:rPr>
          <w:sz w:val="12"/>
        </w:rPr>
      </w:pPr>
    </w:p>
    <w:p w14:paraId="33D851FF" w14:textId="77777777" w:rsidR="0014798C" w:rsidRDefault="0014798C">
      <w:pPr>
        <w:pStyle w:val="Textoindependiente"/>
        <w:rPr>
          <w:sz w:val="12"/>
        </w:rPr>
      </w:pPr>
    </w:p>
    <w:p w14:paraId="0CCE75D6" w14:textId="77777777" w:rsidR="0014798C" w:rsidRDefault="0014798C">
      <w:pPr>
        <w:pStyle w:val="Textoindependiente"/>
        <w:rPr>
          <w:sz w:val="12"/>
        </w:rPr>
      </w:pPr>
    </w:p>
    <w:p w14:paraId="678B502E" w14:textId="77777777" w:rsidR="0014798C" w:rsidRDefault="0014798C">
      <w:pPr>
        <w:pStyle w:val="Textoindependiente"/>
        <w:rPr>
          <w:sz w:val="12"/>
        </w:rPr>
      </w:pPr>
    </w:p>
    <w:p w14:paraId="668FF2D0" w14:textId="77777777" w:rsidR="0014798C" w:rsidRDefault="0014798C">
      <w:pPr>
        <w:pStyle w:val="Textoindependiente"/>
        <w:rPr>
          <w:sz w:val="12"/>
        </w:rPr>
      </w:pPr>
    </w:p>
    <w:p w14:paraId="3B630A4D" w14:textId="77777777" w:rsidR="0014798C" w:rsidRDefault="0014798C">
      <w:pPr>
        <w:pStyle w:val="Textoindependiente"/>
        <w:rPr>
          <w:sz w:val="12"/>
        </w:rPr>
      </w:pPr>
    </w:p>
    <w:p w14:paraId="618F05A9" w14:textId="77777777" w:rsidR="0014798C" w:rsidRDefault="0014798C">
      <w:pPr>
        <w:pStyle w:val="Textoindependiente"/>
        <w:rPr>
          <w:sz w:val="12"/>
        </w:rPr>
      </w:pPr>
    </w:p>
    <w:p w14:paraId="46D90E7E" w14:textId="77777777" w:rsidR="0014798C" w:rsidRDefault="0014798C">
      <w:pPr>
        <w:pStyle w:val="Textoindependiente"/>
        <w:rPr>
          <w:sz w:val="12"/>
        </w:rPr>
      </w:pPr>
    </w:p>
    <w:p w14:paraId="100DD969" w14:textId="77777777" w:rsidR="0014798C" w:rsidRDefault="0014798C">
      <w:pPr>
        <w:pStyle w:val="Textoindependiente"/>
        <w:rPr>
          <w:sz w:val="12"/>
        </w:rPr>
      </w:pPr>
    </w:p>
    <w:p w14:paraId="7E5A3841" w14:textId="77777777" w:rsidR="0014798C" w:rsidRDefault="0014798C">
      <w:pPr>
        <w:pStyle w:val="Textoindependiente"/>
        <w:rPr>
          <w:sz w:val="12"/>
        </w:rPr>
      </w:pPr>
    </w:p>
    <w:p w14:paraId="662D0EC5" w14:textId="77777777" w:rsidR="0014798C" w:rsidRDefault="0014798C">
      <w:pPr>
        <w:pStyle w:val="Textoindependiente"/>
        <w:spacing w:before="58"/>
        <w:rPr>
          <w:sz w:val="12"/>
        </w:rPr>
      </w:pPr>
    </w:p>
    <w:p w14:paraId="699C90D4" w14:textId="77777777" w:rsidR="0014798C" w:rsidRPr="00537489" w:rsidRDefault="004E1F0B">
      <w:pPr>
        <w:ind w:left="1107"/>
        <w:rPr>
          <w:sz w:val="12"/>
          <w:lang w:val="en-US"/>
        </w:rPr>
      </w:pPr>
      <w:r w:rsidRPr="00537489">
        <w:rPr>
          <w:sz w:val="12"/>
          <w:lang w:val="en-US"/>
        </w:rPr>
        <w:t>554</w:t>
      </w:r>
      <w:r w:rsidRPr="00537489">
        <w:rPr>
          <w:spacing w:val="-7"/>
          <w:sz w:val="12"/>
          <w:lang w:val="en-US"/>
        </w:rPr>
        <w:t xml:space="preserve"> </w:t>
      </w:r>
      <w:r w:rsidRPr="00537489">
        <w:rPr>
          <w:sz w:val="12"/>
          <w:lang w:val="en-US"/>
        </w:rPr>
        <w:t>Robert</w:t>
      </w:r>
      <w:r w:rsidRPr="00537489">
        <w:rPr>
          <w:spacing w:val="-4"/>
          <w:sz w:val="12"/>
          <w:lang w:val="en-US"/>
        </w:rPr>
        <w:t xml:space="preserve"> </w:t>
      </w:r>
      <w:r w:rsidRPr="00537489">
        <w:rPr>
          <w:sz w:val="12"/>
          <w:lang w:val="en-US"/>
        </w:rPr>
        <w:t>D.</w:t>
      </w:r>
      <w:r w:rsidRPr="00537489">
        <w:rPr>
          <w:spacing w:val="-5"/>
          <w:sz w:val="12"/>
          <w:lang w:val="en-US"/>
        </w:rPr>
        <w:t xml:space="preserve"> </w:t>
      </w:r>
      <w:r w:rsidRPr="00537489">
        <w:rPr>
          <w:sz w:val="12"/>
          <w:lang w:val="en-US"/>
        </w:rPr>
        <w:t>Osborne</w:t>
      </w:r>
      <w:r w:rsidRPr="00537489">
        <w:rPr>
          <w:spacing w:val="-4"/>
          <w:sz w:val="12"/>
          <w:lang w:val="en-US"/>
        </w:rPr>
        <w:t xml:space="preserve"> </w:t>
      </w:r>
      <w:r w:rsidRPr="00537489">
        <w:rPr>
          <w:sz w:val="12"/>
          <w:lang w:val="en-US"/>
        </w:rPr>
        <w:t>e</w:t>
      </w:r>
      <w:r w:rsidRPr="00537489">
        <w:rPr>
          <w:spacing w:val="-4"/>
          <w:sz w:val="12"/>
          <w:lang w:val="en-US"/>
        </w:rPr>
        <w:t xml:space="preserve"> </w:t>
      </w:r>
      <w:r w:rsidRPr="00537489">
        <w:rPr>
          <w:sz w:val="12"/>
          <w:lang w:val="en-US"/>
        </w:rPr>
        <w:t>Ian</w:t>
      </w:r>
      <w:r w:rsidRPr="00537489">
        <w:rPr>
          <w:spacing w:val="-6"/>
          <w:sz w:val="12"/>
          <w:lang w:val="en-US"/>
        </w:rPr>
        <w:t xml:space="preserve"> </w:t>
      </w:r>
      <w:r w:rsidRPr="00537489">
        <w:rPr>
          <w:sz w:val="12"/>
          <w:lang w:val="en-US"/>
        </w:rPr>
        <w:t>Shuttleworth,</w:t>
      </w:r>
      <w:r w:rsidRPr="00537489">
        <w:rPr>
          <w:spacing w:val="-4"/>
          <w:sz w:val="12"/>
          <w:lang w:val="en-US"/>
        </w:rPr>
        <w:t xml:space="preserve"> </w:t>
      </w:r>
      <w:r w:rsidRPr="00537489">
        <w:rPr>
          <w:sz w:val="12"/>
          <w:lang w:val="en-US"/>
        </w:rPr>
        <w:t>eds.,</w:t>
      </w:r>
      <w:r w:rsidRPr="00537489">
        <w:rPr>
          <w:spacing w:val="-4"/>
          <w:sz w:val="12"/>
          <w:lang w:val="en-US"/>
        </w:rPr>
        <w:t xml:space="preserve"> </w:t>
      </w:r>
      <w:r w:rsidRPr="00537489">
        <w:rPr>
          <w:sz w:val="12"/>
          <w:lang w:val="en-US"/>
        </w:rPr>
        <w:t>Empleo</w:t>
      </w:r>
      <w:r w:rsidRPr="00537489">
        <w:rPr>
          <w:spacing w:val="-6"/>
          <w:sz w:val="12"/>
          <w:lang w:val="en-US"/>
        </w:rPr>
        <w:t xml:space="preserve"> </w:t>
      </w:r>
      <w:proofErr w:type="spellStart"/>
      <w:r w:rsidRPr="00537489">
        <w:rPr>
          <w:sz w:val="12"/>
          <w:lang w:val="en-US"/>
        </w:rPr>
        <w:t>justo</w:t>
      </w:r>
      <w:proofErr w:type="spellEnd"/>
      <w:r w:rsidRPr="00537489">
        <w:rPr>
          <w:spacing w:val="-4"/>
          <w:sz w:val="12"/>
          <w:lang w:val="en-US"/>
        </w:rPr>
        <w:t xml:space="preserve"> </w:t>
      </w:r>
      <w:r w:rsidRPr="00537489">
        <w:rPr>
          <w:sz w:val="12"/>
          <w:lang w:val="en-US"/>
        </w:rPr>
        <w:t>en</w:t>
      </w:r>
      <w:r w:rsidRPr="00537489">
        <w:rPr>
          <w:spacing w:val="-5"/>
          <w:sz w:val="12"/>
          <w:lang w:val="en-US"/>
        </w:rPr>
        <w:t xml:space="preserve"> </w:t>
      </w:r>
      <w:r w:rsidRPr="00537489">
        <w:rPr>
          <w:sz w:val="12"/>
          <w:lang w:val="en-US"/>
        </w:rPr>
        <w:t>Irlanda</w:t>
      </w:r>
      <w:r w:rsidRPr="00537489">
        <w:rPr>
          <w:spacing w:val="-5"/>
          <w:sz w:val="12"/>
          <w:lang w:val="en-US"/>
        </w:rPr>
        <w:t xml:space="preserve"> </w:t>
      </w:r>
      <w:r w:rsidRPr="00537489">
        <w:rPr>
          <w:sz w:val="12"/>
          <w:lang w:val="en-US"/>
        </w:rPr>
        <w:t>del</w:t>
      </w:r>
      <w:r w:rsidRPr="00537489">
        <w:rPr>
          <w:spacing w:val="-4"/>
          <w:sz w:val="12"/>
          <w:lang w:val="en-US"/>
        </w:rPr>
        <w:t xml:space="preserve"> </w:t>
      </w:r>
      <w:r w:rsidRPr="00537489">
        <w:rPr>
          <w:sz w:val="12"/>
          <w:lang w:val="en-US"/>
        </w:rPr>
        <w:t>Norte,</w:t>
      </w:r>
      <w:r w:rsidRPr="00537489">
        <w:rPr>
          <w:spacing w:val="-5"/>
          <w:sz w:val="12"/>
          <w:lang w:val="en-US"/>
        </w:rPr>
        <w:t xml:space="preserve"> </w:t>
      </w:r>
      <w:r w:rsidRPr="00537489">
        <w:rPr>
          <w:sz w:val="12"/>
          <w:lang w:val="en-US"/>
        </w:rPr>
        <w:t>A</w:t>
      </w:r>
      <w:r w:rsidRPr="00537489">
        <w:rPr>
          <w:spacing w:val="-5"/>
          <w:sz w:val="12"/>
          <w:lang w:val="en-US"/>
        </w:rPr>
        <w:t xml:space="preserve"> </w:t>
      </w:r>
      <w:r w:rsidRPr="00537489">
        <w:rPr>
          <w:sz w:val="12"/>
          <w:lang w:val="en-US"/>
        </w:rPr>
        <w:t>Generation</w:t>
      </w:r>
      <w:r w:rsidRPr="00537489">
        <w:rPr>
          <w:spacing w:val="-5"/>
          <w:sz w:val="12"/>
          <w:lang w:val="en-US"/>
        </w:rPr>
        <w:t xml:space="preserve"> </w:t>
      </w:r>
      <w:r w:rsidRPr="00537489">
        <w:rPr>
          <w:sz w:val="12"/>
          <w:lang w:val="en-US"/>
        </w:rPr>
        <w:t>On</w:t>
      </w:r>
      <w:r w:rsidRPr="00537489">
        <w:rPr>
          <w:spacing w:val="-5"/>
          <w:sz w:val="12"/>
          <w:lang w:val="en-US"/>
        </w:rPr>
        <w:t xml:space="preserve"> </w:t>
      </w:r>
      <w:r w:rsidRPr="00537489">
        <w:rPr>
          <w:sz w:val="12"/>
          <w:lang w:val="en-US"/>
        </w:rPr>
        <w:t>(Belfast,</w:t>
      </w:r>
      <w:r w:rsidRPr="00537489">
        <w:rPr>
          <w:spacing w:val="-5"/>
          <w:sz w:val="12"/>
          <w:lang w:val="en-US"/>
        </w:rPr>
        <w:t xml:space="preserve"> </w:t>
      </w:r>
      <w:r w:rsidRPr="00537489">
        <w:rPr>
          <w:sz w:val="12"/>
          <w:lang w:val="en-US"/>
        </w:rPr>
        <w:t>Blackstaff</w:t>
      </w:r>
      <w:r w:rsidRPr="00537489">
        <w:rPr>
          <w:spacing w:val="-4"/>
          <w:sz w:val="12"/>
          <w:lang w:val="en-US"/>
        </w:rPr>
        <w:t xml:space="preserve"> </w:t>
      </w:r>
      <w:r w:rsidRPr="00537489">
        <w:rPr>
          <w:sz w:val="12"/>
          <w:lang w:val="en-US"/>
        </w:rPr>
        <w:t>Press,</w:t>
      </w:r>
      <w:r w:rsidRPr="00537489">
        <w:rPr>
          <w:spacing w:val="-4"/>
          <w:sz w:val="12"/>
          <w:lang w:val="en-US"/>
        </w:rPr>
        <w:t xml:space="preserve"> </w:t>
      </w:r>
      <w:r w:rsidRPr="00537489">
        <w:rPr>
          <w:spacing w:val="-2"/>
          <w:sz w:val="12"/>
          <w:lang w:val="en-US"/>
        </w:rPr>
        <w:t>2004).</w:t>
      </w:r>
    </w:p>
    <w:p w14:paraId="366CF91F" w14:textId="77777777" w:rsidR="0014798C" w:rsidRDefault="004E1F0B">
      <w:pPr>
        <w:spacing w:before="78"/>
        <w:ind w:left="1107"/>
        <w:rPr>
          <w:sz w:val="12"/>
        </w:rPr>
      </w:pPr>
      <w:r>
        <w:rPr>
          <w:sz w:val="12"/>
        </w:rPr>
        <w:t>555</w:t>
      </w:r>
      <w:r>
        <w:rPr>
          <w:spacing w:val="-2"/>
          <w:sz w:val="12"/>
        </w:rPr>
        <w:t xml:space="preserve"> </w:t>
      </w:r>
      <w:proofErr w:type="spellStart"/>
      <w:r>
        <w:rPr>
          <w:spacing w:val="-2"/>
          <w:sz w:val="12"/>
        </w:rPr>
        <w:t>Ibíd</w:t>
      </w:r>
      <w:proofErr w:type="spellEnd"/>
      <w:r>
        <w:rPr>
          <w:spacing w:val="-2"/>
          <w:sz w:val="12"/>
        </w:rPr>
        <w:t>.</w:t>
      </w:r>
    </w:p>
    <w:p w14:paraId="0D9DE784" w14:textId="77777777" w:rsidR="0014798C" w:rsidRDefault="004E1F0B">
      <w:pPr>
        <w:spacing w:before="119" w:line="312" w:lineRule="auto"/>
        <w:ind w:left="1369" w:right="1463" w:hanging="263"/>
        <w:rPr>
          <w:sz w:val="12"/>
        </w:rPr>
      </w:pPr>
      <w:r>
        <w:rPr>
          <w:sz w:val="12"/>
        </w:rPr>
        <w:t>556 Sobre</w:t>
      </w:r>
      <w:r>
        <w:rPr>
          <w:spacing w:val="-1"/>
          <w:sz w:val="12"/>
        </w:rPr>
        <w:t xml:space="preserve"> </w:t>
      </w:r>
      <w:r>
        <w:rPr>
          <w:sz w:val="12"/>
        </w:rPr>
        <w:t>los mecanismos</w:t>
      </w:r>
      <w:r>
        <w:rPr>
          <w:spacing w:val="-1"/>
          <w:sz w:val="12"/>
        </w:rPr>
        <w:t xml:space="preserve"> </w:t>
      </w:r>
      <w:r>
        <w:rPr>
          <w:sz w:val="12"/>
        </w:rPr>
        <w:t>de supervisión administrativa</w:t>
      </w:r>
      <w:r>
        <w:rPr>
          <w:spacing w:val="-1"/>
          <w:sz w:val="12"/>
        </w:rPr>
        <w:t xml:space="preserve"> </w:t>
      </w:r>
      <w:r>
        <w:rPr>
          <w:sz w:val="12"/>
        </w:rPr>
        <w:t>de “patrulla policial”</w:t>
      </w:r>
      <w:r>
        <w:rPr>
          <w:spacing w:val="-1"/>
          <w:sz w:val="12"/>
        </w:rPr>
        <w:t xml:space="preserve"> </w:t>
      </w:r>
      <w:r>
        <w:rPr>
          <w:sz w:val="12"/>
        </w:rPr>
        <w:t>y “alarma de incendio”</w:t>
      </w:r>
      <w:r>
        <w:rPr>
          <w:spacing w:val="-1"/>
          <w:sz w:val="12"/>
        </w:rPr>
        <w:t xml:space="preserve"> </w:t>
      </w:r>
      <w:r>
        <w:rPr>
          <w:sz w:val="12"/>
        </w:rPr>
        <w:t xml:space="preserve">en el ámbito del derecho de igualdad, véase </w:t>
      </w:r>
      <w:proofErr w:type="spellStart"/>
      <w:r>
        <w:rPr>
          <w:sz w:val="12"/>
        </w:rPr>
        <w:t>Ayelet</w:t>
      </w:r>
      <w:proofErr w:type="spellEnd"/>
      <w:r>
        <w:rPr>
          <w:sz w:val="12"/>
        </w:rPr>
        <w:t xml:space="preserve"> </w:t>
      </w:r>
      <w:proofErr w:type="spellStart"/>
      <w:r>
        <w:rPr>
          <w:sz w:val="12"/>
        </w:rPr>
        <w:t>Shachar</w:t>
      </w:r>
      <w:proofErr w:type="spellEnd"/>
      <w:r>
        <w:rPr>
          <w:sz w:val="12"/>
        </w:rPr>
        <w:t>,</w:t>
      </w:r>
      <w:r>
        <w:rPr>
          <w:spacing w:val="40"/>
          <w:sz w:val="12"/>
        </w:rPr>
        <w:t xml:space="preserve"> </w:t>
      </w:r>
      <w:r>
        <w:rPr>
          <w:sz w:val="12"/>
        </w:rPr>
        <w:t>“</w:t>
      </w:r>
      <w:proofErr w:type="spellStart"/>
      <w:r>
        <w:rPr>
          <w:sz w:val="12"/>
        </w:rPr>
        <w:t>Privatizing</w:t>
      </w:r>
      <w:proofErr w:type="spellEnd"/>
      <w:r>
        <w:rPr>
          <w:sz w:val="12"/>
        </w:rPr>
        <w:t xml:space="preserve"> </w:t>
      </w:r>
      <w:proofErr w:type="spellStart"/>
      <w:r>
        <w:rPr>
          <w:sz w:val="12"/>
        </w:rPr>
        <w:t>Diversity</w:t>
      </w:r>
      <w:proofErr w:type="spellEnd"/>
      <w:r>
        <w:rPr>
          <w:sz w:val="12"/>
        </w:rPr>
        <w:t xml:space="preserve">: A Advertencias sobre el arbitraje religioso en el derecho de familia”, </w:t>
      </w:r>
      <w:proofErr w:type="spellStart"/>
      <w:r>
        <w:rPr>
          <w:sz w:val="12"/>
        </w:rPr>
        <w:t>Theoretical</w:t>
      </w:r>
      <w:proofErr w:type="spellEnd"/>
      <w:r>
        <w:rPr>
          <w:sz w:val="12"/>
        </w:rPr>
        <w:t xml:space="preserve"> </w:t>
      </w:r>
      <w:proofErr w:type="spellStart"/>
      <w:r>
        <w:rPr>
          <w:sz w:val="12"/>
        </w:rPr>
        <w:t>Inquiries</w:t>
      </w:r>
      <w:proofErr w:type="spellEnd"/>
      <w:r>
        <w:rPr>
          <w:sz w:val="12"/>
        </w:rPr>
        <w:t xml:space="preserve"> in </w:t>
      </w:r>
      <w:proofErr w:type="spellStart"/>
      <w:r>
        <w:rPr>
          <w:sz w:val="12"/>
        </w:rPr>
        <w:t>Law</w:t>
      </w:r>
      <w:proofErr w:type="spellEnd"/>
      <w:r>
        <w:rPr>
          <w:sz w:val="12"/>
        </w:rPr>
        <w:t>, vol. 9, núm. 2 (2008).</w:t>
      </w:r>
    </w:p>
    <w:p w14:paraId="7DC770D7" w14:textId="77777777" w:rsidR="0014798C" w:rsidRDefault="0014798C">
      <w:pPr>
        <w:spacing w:line="312" w:lineRule="auto"/>
        <w:rPr>
          <w:sz w:val="12"/>
        </w:rPr>
        <w:sectPr w:rsidR="0014798C" w:rsidSect="00F265E4">
          <w:pgSz w:w="11900" w:h="16820"/>
          <w:pgMar w:top="340" w:right="0" w:bottom="280" w:left="200" w:header="121" w:footer="0" w:gutter="0"/>
          <w:cols w:space="720"/>
        </w:sectPr>
      </w:pPr>
    </w:p>
    <w:p w14:paraId="6740E9A8" w14:textId="77777777" w:rsidR="0014798C" w:rsidRDefault="004E1F0B">
      <w:pPr>
        <w:spacing w:before="23"/>
        <w:jc w:val="right"/>
        <w:rPr>
          <w:sz w:val="8"/>
        </w:rPr>
      </w:pPr>
      <w:r>
        <w:rPr>
          <w:spacing w:val="-5"/>
          <w:w w:val="105"/>
          <w:sz w:val="8"/>
        </w:rPr>
        <w:t>557</w:t>
      </w:r>
    </w:p>
    <w:p w14:paraId="4050AE1E" w14:textId="77777777" w:rsidR="0014798C" w:rsidRDefault="004E1F0B">
      <w:pPr>
        <w:spacing w:before="57"/>
        <w:ind w:left="82"/>
        <w:rPr>
          <w:sz w:val="12"/>
        </w:rPr>
      </w:pPr>
      <w:r>
        <w:br w:type="column"/>
      </w:r>
      <w:r>
        <w:rPr>
          <w:sz w:val="12"/>
        </w:rPr>
        <w:t>Véase,</w:t>
      </w:r>
      <w:r>
        <w:rPr>
          <w:spacing w:val="-6"/>
          <w:sz w:val="12"/>
        </w:rPr>
        <w:t xml:space="preserve"> </w:t>
      </w:r>
      <w:r>
        <w:rPr>
          <w:sz w:val="12"/>
        </w:rPr>
        <w:t>por</w:t>
      </w:r>
      <w:r>
        <w:rPr>
          <w:spacing w:val="-3"/>
          <w:sz w:val="12"/>
        </w:rPr>
        <w:t xml:space="preserve"> </w:t>
      </w:r>
      <w:r>
        <w:rPr>
          <w:sz w:val="12"/>
        </w:rPr>
        <w:t>ejemplo,</w:t>
      </w:r>
      <w:r>
        <w:rPr>
          <w:spacing w:val="-4"/>
          <w:sz w:val="12"/>
        </w:rPr>
        <w:t xml:space="preserve"> </w:t>
      </w:r>
      <w:r>
        <w:rPr>
          <w:sz w:val="12"/>
        </w:rPr>
        <w:t>la</w:t>
      </w:r>
      <w:r>
        <w:rPr>
          <w:spacing w:val="-3"/>
          <w:sz w:val="12"/>
        </w:rPr>
        <w:t xml:space="preserve"> </w:t>
      </w:r>
      <w:r>
        <w:rPr>
          <w:sz w:val="12"/>
        </w:rPr>
        <w:t>Ley</w:t>
      </w:r>
      <w:r>
        <w:rPr>
          <w:spacing w:val="-4"/>
          <w:sz w:val="12"/>
        </w:rPr>
        <w:t xml:space="preserve"> </w:t>
      </w:r>
      <w:r>
        <w:rPr>
          <w:sz w:val="12"/>
        </w:rPr>
        <w:t>CXXV</w:t>
      </w:r>
      <w:r>
        <w:rPr>
          <w:spacing w:val="-3"/>
          <w:sz w:val="12"/>
        </w:rPr>
        <w:t xml:space="preserve"> </w:t>
      </w:r>
      <w:r>
        <w:rPr>
          <w:sz w:val="12"/>
        </w:rPr>
        <w:t>de</w:t>
      </w:r>
      <w:r>
        <w:rPr>
          <w:spacing w:val="-3"/>
          <w:sz w:val="12"/>
        </w:rPr>
        <w:t xml:space="preserve"> </w:t>
      </w:r>
      <w:r>
        <w:rPr>
          <w:sz w:val="12"/>
        </w:rPr>
        <w:t>Hungría</w:t>
      </w:r>
      <w:r>
        <w:rPr>
          <w:spacing w:val="-5"/>
          <w:sz w:val="12"/>
        </w:rPr>
        <w:t xml:space="preserve"> </w:t>
      </w:r>
      <w:r>
        <w:rPr>
          <w:sz w:val="12"/>
        </w:rPr>
        <w:t>de</w:t>
      </w:r>
      <w:r>
        <w:rPr>
          <w:spacing w:val="-3"/>
          <w:sz w:val="12"/>
        </w:rPr>
        <w:t xml:space="preserve"> </w:t>
      </w:r>
      <w:r>
        <w:rPr>
          <w:sz w:val="12"/>
        </w:rPr>
        <w:t>2003</w:t>
      </w:r>
      <w:r>
        <w:rPr>
          <w:spacing w:val="-4"/>
          <w:sz w:val="12"/>
        </w:rPr>
        <w:t xml:space="preserve"> </w:t>
      </w:r>
      <w:r>
        <w:rPr>
          <w:sz w:val="12"/>
        </w:rPr>
        <w:t>sobre</w:t>
      </w:r>
      <w:r>
        <w:rPr>
          <w:spacing w:val="-3"/>
          <w:sz w:val="12"/>
        </w:rPr>
        <w:t xml:space="preserve"> </w:t>
      </w:r>
      <w:r>
        <w:rPr>
          <w:sz w:val="12"/>
        </w:rPr>
        <w:t>igualdad</w:t>
      </w:r>
      <w:r>
        <w:rPr>
          <w:spacing w:val="-3"/>
          <w:sz w:val="12"/>
        </w:rPr>
        <w:t xml:space="preserve"> </w:t>
      </w:r>
      <w:r>
        <w:rPr>
          <w:sz w:val="12"/>
        </w:rPr>
        <w:t>de</w:t>
      </w:r>
      <w:r>
        <w:rPr>
          <w:spacing w:val="-4"/>
          <w:sz w:val="12"/>
        </w:rPr>
        <w:t xml:space="preserve"> </w:t>
      </w:r>
      <w:r>
        <w:rPr>
          <w:sz w:val="12"/>
        </w:rPr>
        <w:t>trato</w:t>
      </w:r>
      <w:r>
        <w:rPr>
          <w:spacing w:val="-4"/>
          <w:sz w:val="12"/>
        </w:rPr>
        <w:t xml:space="preserve"> </w:t>
      </w:r>
      <w:r>
        <w:rPr>
          <w:sz w:val="12"/>
        </w:rPr>
        <w:t>y</w:t>
      </w:r>
      <w:r>
        <w:rPr>
          <w:spacing w:val="-4"/>
          <w:sz w:val="12"/>
        </w:rPr>
        <w:t xml:space="preserve"> </w:t>
      </w:r>
      <w:r>
        <w:rPr>
          <w:sz w:val="12"/>
        </w:rPr>
        <w:t>promoción</w:t>
      </w:r>
      <w:r>
        <w:rPr>
          <w:spacing w:val="-3"/>
          <w:sz w:val="12"/>
        </w:rPr>
        <w:t xml:space="preserve"> </w:t>
      </w:r>
      <w:r>
        <w:rPr>
          <w:sz w:val="12"/>
        </w:rPr>
        <w:t>de</w:t>
      </w:r>
      <w:r>
        <w:rPr>
          <w:spacing w:val="-3"/>
          <w:sz w:val="12"/>
        </w:rPr>
        <w:t xml:space="preserve"> </w:t>
      </w:r>
      <w:r>
        <w:rPr>
          <w:sz w:val="12"/>
        </w:rPr>
        <w:t>la</w:t>
      </w:r>
      <w:r>
        <w:rPr>
          <w:spacing w:val="-4"/>
          <w:sz w:val="12"/>
        </w:rPr>
        <w:t xml:space="preserve"> </w:t>
      </w:r>
      <w:r>
        <w:rPr>
          <w:sz w:val="12"/>
        </w:rPr>
        <w:t>igualdad</w:t>
      </w:r>
      <w:r>
        <w:rPr>
          <w:spacing w:val="-3"/>
          <w:sz w:val="12"/>
        </w:rPr>
        <w:t xml:space="preserve"> </w:t>
      </w:r>
      <w:r>
        <w:rPr>
          <w:sz w:val="12"/>
        </w:rPr>
        <w:t>de</w:t>
      </w:r>
      <w:r>
        <w:rPr>
          <w:spacing w:val="-4"/>
          <w:sz w:val="12"/>
        </w:rPr>
        <w:t xml:space="preserve"> </w:t>
      </w:r>
      <w:r>
        <w:rPr>
          <w:sz w:val="12"/>
        </w:rPr>
        <w:t>oportunidades,</w:t>
      </w:r>
      <w:r>
        <w:rPr>
          <w:spacing w:val="-2"/>
          <w:sz w:val="12"/>
        </w:rPr>
        <w:t xml:space="preserve"> </w:t>
      </w:r>
      <w:r>
        <w:rPr>
          <w:sz w:val="12"/>
        </w:rPr>
        <w:t>en</w:t>
      </w:r>
      <w:r>
        <w:rPr>
          <w:spacing w:val="-4"/>
          <w:sz w:val="12"/>
        </w:rPr>
        <w:t xml:space="preserve"> </w:t>
      </w:r>
      <w:r>
        <w:rPr>
          <w:sz w:val="12"/>
        </w:rPr>
        <w:t>su</w:t>
      </w:r>
      <w:r>
        <w:rPr>
          <w:spacing w:val="-3"/>
          <w:sz w:val="12"/>
        </w:rPr>
        <w:t xml:space="preserve"> </w:t>
      </w:r>
      <w:r>
        <w:rPr>
          <w:sz w:val="12"/>
        </w:rPr>
        <w:t>versión</w:t>
      </w:r>
      <w:r>
        <w:rPr>
          <w:spacing w:val="-3"/>
          <w:sz w:val="12"/>
        </w:rPr>
        <w:t xml:space="preserve"> </w:t>
      </w:r>
      <w:r>
        <w:rPr>
          <w:spacing w:val="-2"/>
          <w:sz w:val="12"/>
        </w:rPr>
        <w:t>enmendada.</w:t>
      </w:r>
    </w:p>
    <w:p w14:paraId="723497CD" w14:textId="77777777" w:rsidR="0014798C" w:rsidRDefault="004E1F0B">
      <w:pPr>
        <w:spacing w:before="42"/>
        <w:ind w:left="82"/>
        <w:rPr>
          <w:sz w:val="12"/>
        </w:rPr>
      </w:pPr>
      <w:r>
        <w:rPr>
          <w:sz w:val="12"/>
        </w:rPr>
        <w:t>El</w:t>
      </w:r>
      <w:r>
        <w:rPr>
          <w:spacing w:val="-4"/>
          <w:sz w:val="12"/>
        </w:rPr>
        <w:t xml:space="preserve"> </w:t>
      </w:r>
      <w:r>
        <w:rPr>
          <w:sz w:val="12"/>
        </w:rPr>
        <w:t>artículo</w:t>
      </w:r>
      <w:r>
        <w:rPr>
          <w:spacing w:val="-3"/>
          <w:sz w:val="12"/>
        </w:rPr>
        <w:t xml:space="preserve"> </w:t>
      </w:r>
      <w:r>
        <w:rPr>
          <w:sz w:val="12"/>
        </w:rPr>
        <w:t>14</w:t>
      </w:r>
      <w:r>
        <w:rPr>
          <w:spacing w:val="-3"/>
          <w:sz w:val="12"/>
        </w:rPr>
        <w:t xml:space="preserve"> </w:t>
      </w:r>
      <w:r>
        <w:rPr>
          <w:sz w:val="12"/>
        </w:rPr>
        <w:t>(1)</w:t>
      </w:r>
      <w:r>
        <w:rPr>
          <w:spacing w:val="-2"/>
          <w:sz w:val="12"/>
        </w:rPr>
        <w:t xml:space="preserve"> </w:t>
      </w:r>
      <w:r>
        <w:rPr>
          <w:sz w:val="12"/>
        </w:rPr>
        <w:t>(a)</w:t>
      </w:r>
      <w:r>
        <w:rPr>
          <w:spacing w:val="-3"/>
          <w:sz w:val="12"/>
        </w:rPr>
        <w:t xml:space="preserve"> </w:t>
      </w:r>
      <w:r>
        <w:rPr>
          <w:sz w:val="12"/>
        </w:rPr>
        <w:t>de</w:t>
      </w:r>
      <w:r>
        <w:rPr>
          <w:spacing w:val="-2"/>
          <w:sz w:val="12"/>
        </w:rPr>
        <w:t xml:space="preserve"> </w:t>
      </w:r>
      <w:r>
        <w:rPr>
          <w:sz w:val="12"/>
        </w:rPr>
        <w:t>la</w:t>
      </w:r>
      <w:r>
        <w:rPr>
          <w:spacing w:val="-3"/>
          <w:sz w:val="12"/>
        </w:rPr>
        <w:t xml:space="preserve"> </w:t>
      </w:r>
      <w:r>
        <w:rPr>
          <w:sz w:val="12"/>
        </w:rPr>
        <w:t>ley</w:t>
      </w:r>
      <w:r>
        <w:rPr>
          <w:spacing w:val="-2"/>
          <w:sz w:val="12"/>
        </w:rPr>
        <w:t xml:space="preserve"> </w:t>
      </w:r>
      <w:r>
        <w:rPr>
          <w:sz w:val="12"/>
        </w:rPr>
        <w:t>estipula</w:t>
      </w:r>
      <w:r>
        <w:rPr>
          <w:spacing w:val="-3"/>
          <w:sz w:val="12"/>
        </w:rPr>
        <w:t xml:space="preserve"> </w:t>
      </w:r>
      <w:r>
        <w:rPr>
          <w:sz w:val="12"/>
        </w:rPr>
        <w:t>en</w:t>
      </w:r>
      <w:r>
        <w:rPr>
          <w:spacing w:val="-3"/>
          <w:sz w:val="12"/>
        </w:rPr>
        <w:t xml:space="preserve"> </w:t>
      </w:r>
      <w:r>
        <w:rPr>
          <w:sz w:val="12"/>
        </w:rPr>
        <w:t>la</w:t>
      </w:r>
      <w:r>
        <w:rPr>
          <w:spacing w:val="-2"/>
          <w:sz w:val="12"/>
        </w:rPr>
        <w:t xml:space="preserve"> </w:t>
      </w:r>
      <w:r>
        <w:rPr>
          <w:sz w:val="12"/>
        </w:rPr>
        <w:t>lista</w:t>
      </w:r>
      <w:r>
        <w:rPr>
          <w:spacing w:val="-4"/>
          <w:sz w:val="12"/>
        </w:rPr>
        <w:t xml:space="preserve"> </w:t>
      </w:r>
      <w:r>
        <w:rPr>
          <w:sz w:val="12"/>
        </w:rPr>
        <w:t>de</w:t>
      </w:r>
      <w:r>
        <w:rPr>
          <w:spacing w:val="-2"/>
          <w:sz w:val="12"/>
        </w:rPr>
        <w:t xml:space="preserve"> </w:t>
      </w:r>
      <w:r>
        <w:rPr>
          <w:sz w:val="12"/>
        </w:rPr>
        <w:t>sus</w:t>
      </w:r>
      <w:r>
        <w:rPr>
          <w:spacing w:val="-3"/>
          <w:sz w:val="12"/>
        </w:rPr>
        <w:t xml:space="preserve"> </w:t>
      </w:r>
      <w:r>
        <w:rPr>
          <w:sz w:val="12"/>
        </w:rPr>
        <w:t>tareas</w:t>
      </w:r>
      <w:r>
        <w:rPr>
          <w:spacing w:val="-3"/>
          <w:sz w:val="12"/>
        </w:rPr>
        <w:t xml:space="preserve"> </w:t>
      </w:r>
      <w:r>
        <w:rPr>
          <w:sz w:val="12"/>
        </w:rPr>
        <w:t>que</w:t>
      </w:r>
      <w:r>
        <w:rPr>
          <w:spacing w:val="-2"/>
          <w:sz w:val="12"/>
        </w:rPr>
        <w:t xml:space="preserve"> </w:t>
      </w:r>
      <w:r>
        <w:rPr>
          <w:sz w:val="12"/>
        </w:rPr>
        <w:t>el</w:t>
      </w:r>
      <w:r>
        <w:rPr>
          <w:spacing w:val="-3"/>
          <w:sz w:val="12"/>
        </w:rPr>
        <w:t xml:space="preserve"> </w:t>
      </w:r>
      <w:r>
        <w:rPr>
          <w:sz w:val="12"/>
        </w:rPr>
        <w:t>Comisario</w:t>
      </w:r>
      <w:r>
        <w:rPr>
          <w:spacing w:val="-2"/>
          <w:sz w:val="12"/>
        </w:rPr>
        <w:t xml:space="preserve"> </w:t>
      </w:r>
      <w:r>
        <w:rPr>
          <w:sz w:val="12"/>
        </w:rPr>
        <w:t>de</w:t>
      </w:r>
      <w:r>
        <w:rPr>
          <w:spacing w:val="-3"/>
          <w:sz w:val="12"/>
        </w:rPr>
        <w:t xml:space="preserve"> </w:t>
      </w:r>
      <w:r>
        <w:rPr>
          <w:sz w:val="12"/>
        </w:rPr>
        <w:t>Derechos</w:t>
      </w:r>
      <w:r>
        <w:rPr>
          <w:spacing w:val="-3"/>
          <w:sz w:val="12"/>
        </w:rPr>
        <w:t xml:space="preserve"> </w:t>
      </w:r>
      <w:r>
        <w:rPr>
          <w:sz w:val="12"/>
        </w:rPr>
        <w:t>Fundamentales</w:t>
      </w:r>
      <w:r>
        <w:rPr>
          <w:spacing w:val="-4"/>
          <w:sz w:val="12"/>
        </w:rPr>
        <w:t xml:space="preserve"> </w:t>
      </w:r>
      <w:r>
        <w:rPr>
          <w:sz w:val="12"/>
        </w:rPr>
        <w:t>“llevará</w:t>
      </w:r>
      <w:r>
        <w:rPr>
          <w:spacing w:val="-2"/>
          <w:sz w:val="12"/>
        </w:rPr>
        <w:t xml:space="preserve"> </w:t>
      </w:r>
      <w:r>
        <w:rPr>
          <w:sz w:val="12"/>
        </w:rPr>
        <w:t>a</w:t>
      </w:r>
      <w:r>
        <w:rPr>
          <w:spacing w:val="-3"/>
          <w:sz w:val="12"/>
        </w:rPr>
        <w:t xml:space="preserve"> </w:t>
      </w:r>
      <w:r>
        <w:rPr>
          <w:sz w:val="12"/>
        </w:rPr>
        <w:t>cabo</w:t>
      </w:r>
      <w:r>
        <w:rPr>
          <w:spacing w:val="-2"/>
          <w:sz w:val="12"/>
        </w:rPr>
        <w:t xml:space="preserve"> </w:t>
      </w:r>
      <w:r>
        <w:rPr>
          <w:sz w:val="12"/>
        </w:rPr>
        <w:t>una</w:t>
      </w:r>
      <w:r>
        <w:rPr>
          <w:spacing w:val="-2"/>
          <w:sz w:val="12"/>
        </w:rPr>
        <w:t xml:space="preserve"> </w:t>
      </w:r>
      <w:r>
        <w:rPr>
          <w:sz w:val="12"/>
        </w:rPr>
        <w:t>investigación,</w:t>
      </w:r>
      <w:r>
        <w:rPr>
          <w:spacing w:val="-2"/>
          <w:sz w:val="12"/>
        </w:rPr>
        <w:t xml:space="preserve"> </w:t>
      </w:r>
      <w:r>
        <w:rPr>
          <w:sz w:val="12"/>
        </w:rPr>
        <w:t>sobre</w:t>
      </w:r>
      <w:r>
        <w:rPr>
          <w:spacing w:val="-2"/>
          <w:sz w:val="12"/>
        </w:rPr>
        <w:t xml:space="preserve"> </w:t>
      </w:r>
      <w:r>
        <w:rPr>
          <w:spacing w:val="-5"/>
          <w:sz w:val="12"/>
        </w:rPr>
        <w:t>la</w:t>
      </w:r>
    </w:p>
    <w:p w14:paraId="66B08AAE" w14:textId="77777777" w:rsidR="0014798C" w:rsidRDefault="004E1F0B">
      <w:pPr>
        <w:spacing w:before="42" w:line="312" w:lineRule="auto"/>
        <w:ind w:left="77" w:right="1354" w:firstLine="1"/>
        <w:rPr>
          <w:sz w:val="12"/>
        </w:rPr>
      </w:pPr>
      <w:r>
        <w:rPr>
          <w:sz w:val="12"/>
        </w:rPr>
        <w:t>base de una solicitud, para determinar si los empleadores que estaban obligados a hacerlo o no adoptó un plan de igualdad de oportunidades, y tomará una decisión</w:t>
      </w:r>
      <w:r>
        <w:rPr>
          <w:spacing w:val="40"/>
          <w:sz w:val="12"/>
        </w:rPr>
        <w:t xml:space="preserve"> </w:t>
      </w:r>
      <w:r>
        <w:rPr>
          <w:sz w:val="12"/>
        </w:rPr>
        <w:t>basada en la investigación”. El artículo 17/A (6) de la Ley (sobre las consecuencias jurídicas de la infracción) estipula que: “Si la Autoridad determina que un empleador</w:t>
      </w:r>
      <w:r>
        <w:rPr>
          <w:spacing w:val="40"/>
          <w:sz w:val="12"/>
        </w:rPr>
        <w:t xml:space="preserve"> </w:t>
      </w:r>
      <w:r>
        <w:rPr>
          <w:sz w:val="12"/>
        </w:rPr>
        <w:t>al que se le exigía adoptar un plan de igualdad de oportunidades no lo hizo, invitará al empleador a rectificar la omisión, y podrá aplicar las consecuencias legales</w:t>
      </w:r>
      <w:r>
        <w:rPr>
          <w:spacing w:val="40"/>
          <w:sz w:val="12"/>
        </w:rPr>
        <w:t xml:space="preserve"> </w:t>
      </w:r>
      <w:r>
        <w:rPr>
          <w:sz w:val="12"/>
        </w:rPr>
        <w:t>especificadas</w:t>
      </w:r>
      <w:r>
        <w:rPr>
          <w:spacing w:val="-1"/>
          <w:sz w:val="12"/>
        </w:rPr>
        <w:t xml:space="preserve"> </w:t>
      </w:r>
      <w:r>
        <w:rPr>
          <w:sz w:val="12"/>
        </w:rPr>
        <w:t>en el párrafo (1) c) a e) mientras</w:t>
      </w:r>
      <w:r>
        <w:rPr>
          <w:spacing w:val="-1"/>
          <w:sz w:val="12"/>
        </w:rPr>
        <w:t xml:space="preserve"> </w:t>
      </w:r>
      <w:r>
        <w:rPr>
          <w:sz w:val="12"/>
        </w:rPr>
        <w:t>aplica los párrafos</w:t>
      </w:r>
      <w:r>
        <w:rPr>
          <w:spacing w:val="-1"/>
          <w:sz w:val="12"/>
        </w:rPr>
        <w:t xml:space="preserve"> </w:t>
      </w:r>
      <w:r>
        <w:rPr>
          <w:sz w:val="12"/>
        </w:rPr>
        <w:t xml:space="preserve">(3) a (4) en consecuencia”. Disponible en </w:t>
      </w:r>
      <w:r>
        <w:rPr>
          <w:color w:val="0075BF"/>
          <w:sz w:val="12"/>
        </w:rPr>
        <w:t>https://njt.hu/translation/J2003T0125P_20210301_FIN.PDF.</w:t>
      </w:r>
    </w:p>
    <w:p w14:paraId="1DC5351E" w14:textId="77777777" w:rsidR="0014798C" w:rsidRDefault="0014798C">
      <w:pPr>
        <w:spacing w:line="312" w:lineRule="auto"/>
        <w:rPr>
          <w:sz w:val="12"/>
        </w:rPr>
        <w:sectPr w:rsidR="0014798C" w:rsidSect="00F265E4">
          <w:type w:val="continuous"/>
          <w:pgSz w:w="11900" w:h="16820"/>
          <w:pgMar w:top="40" w:right="0" w:bottom="280" w:left="200" w:header="121" w:footer="0" w:gutter="0"/>
          <w:cols w:num="2" w:space="720" w:equalWidth="0">
            <w:col w:w="1249" w:space="40"/>
            <w:col w:w="10411"/>
          </w:cols>
        </w:sectPr>
      </w:pPr>
    </w:p>
    <w:p w14:paraId="319375B3" w14:textId="77777777" w:rsidR="0014798C" w:rsidRDefault="0014798C">
      <w:pPr>
        <w:pStyle w:val="Textoindependiente"/>
        <w:spacing w:before="100"/>
        <w:rPr>
          <w:sz w:val="12"/>
        </w:rPr>
      </w:pPr>
    </w:p>
    <w:p w14:paraId="0117178B" w14:textId="77777777" w:rsidR="0014798C" w:rsidRDefault="004E1F0B">
      <w:pPr>
        <w:ind w:left="1107"/>
        <w:rPr>
          <w:sz w:val="12"/>
        </w:rPr>
      </w:pPr>
      <w:r>
        <w:rPr>
          <w:sz w:val="12"/>
        </w:rPr>
        <w:t>558</w:t>
      </w:r>
      <w:r>
        <w:rPr>
          <w:spacing w:val="-6"/>
          <w:sz w:val="12"/>
        </w:rPr>
        <w:t xml:space="preserve"> </w:t>
      </w:r>
      <w:r>
        <w:rPr>
          <w:sz w:val="12"/>
        </w:rPr>
        <w:t>Crowley,</w:t>
      </w:r>
      <w:r>
        <w:rPr>
          <w:spacing w:val="-5"/>
          <w:sz w:val="12"/>
        </w:rPr>
        <w:t xml:space="preserve"> </w:t>
      </w:r>
      <w:r>
        <w:rPr>
          <w:sz w:val="12"/>
        </w:rPr>
        <w:t>Haciendo</w:t>
      </w:r>
      <w:r>
        <w:rPr>
          <w:spacing w:val="-5"/>
          <w:sz w:val="12"/>
        </w:rPr>
        <w:t xml:space="preserve"> </w:t>
      </w:r>
      <w:r>
        <w:rPr>
          <w:sz w:val="12"/>
        </w:rPr>
        <w:t>Europa</w:t>
      </w:r>
      <w:r>
        <w:rPr>
          <w:spacing w:val="-5"/>
          <w:sz w:val="12"/>
        </w:rPr>
        <w:t xml:space="preserve"> </w:t>
      </w:r>
      <w:r>
        <w:rPr>
          <w:sz w:val="12"/>
        </w:rPr>
        <w:t>más</w:t>
      </w:r>
      <w:r>
        <w:rPr>
          <w:spacing w:val="-5"/>
          <w:sz w:val="12"/>
        </w:rPr>
        <w:t xml:space="preserve"> </w:t>
      </w:r>
      <w:r>
        <w:rPr>
          <w:sz w:val="12"/>
        </w:rPr>
        <w:t>igualitaria,</w:t>
      </w:r>
      <w:r>
        <w:rPr>
          <w:spacing w:val="-5"/>
          <w:sz w:val="12"/>
        </w:rPr>
        <w:t xml:space="preserve"> </w:t>
      </w:r>
      <w:r>
        <w:rPr>
          <w:sz w:val="12"/>
        </w:rPr>
        <w:t>pág.</w:t>
      </w:r>
      <w:r>
        <w:rPr>
          <w:spacing w:val="-5"/>
          <w:sz w:val="12"/>
        </w:rPr>
        <w:t xml:space="preserve"> 30.</w:t>
      </w:r>
    </w:p>
    <w:p w14:paraId="6DEED5DB" w14:textId="77777777" w:rsidR="0014798C" w:rsidRDefault="004E1F0B">
      <w:pPr>
        <w:spacing w:before="110" w:line="312" w:lineRule="auto"/>
        <w:ind w:left="1365" w:right="1463" w:hanging="258"/>
        <w:rPr>
          <w:sz w:val="12"/>
        </w:rPr>
      </w:pPr>
      <w:r>
        <w:rPr>
          <w:sz w:val="12"/>
        </w:rPr>
        <w:t>559 Tanto</w:t>
      </w:r>
      <w:r>
        <w:rPr>
          <w:spacing w:val="-1"/>
          <w:sz w:val="12"/>
        </w:rPr>
        <w:t xml:space="preserve"> </w:t>
      </w:r>
      <w:r>
        <w:rPr>
          <w:sz w:val="12"/>
        </w:rPr>
        <w:t>en sus recomendaciones</w:t>
      </w:r>
      <w:r>
        <w:rPr>
          <w:spacing w:val="-1"/>
          <w:sz w:val="12"/>
        </w:rPr>
        <w:t xml:space="preserve"> </w:t>
      </w:r>
      <w:r>
        <w:rPr>
          <w:sz w:val="12"/>
        </w:rPr>
        <w:t>generales</w:t>
      </w:r>
      <w:r>
        <w:rPr>
          <w:spacing w:val="-1"/>
          <w:sz w:val="12"/>
        </w:rPr>
        <w:t xml:space="preserve"> </w:t>
      </w:r>
      <w:r>
        <w:rPr>
          <w:sz w:val="12"/>
        </w:rPr>
        <w:t>como en sus observaciones</w:t>
      </w:r>
      <w:r>
        <w:rPr>
          <w:spacing w:val="-1"/>
          <w:sz w:val="12"/>
        </w:rPr>
        <w:t xml:space="preserve"> </w:t>
      </w:r>
      <w:r>
        <w:rPr>
          <w:sz w:val="12"/>
        </w:rPr>
        <w:t>finales, el Comité para la Eliminación de la Discriminación contra la Mujer ha reconocido las</w:t>
      </w:r>
      <w:r>
        <w:rPr>
          <w:spacing w:val="40"/>
          <w:sz w:val="12"/>
        </w:rPr>
        <w:t xml:space="preserve"> </w:t>
      </w:r>
      <w:r>
        <w:rPr>
          <w:sz w:val="12"/>
        </w:rPr>
        <w:t>obligaciones de los Estados para incorporar la perspectiva de género. Véase, por ejemplo, Comité para la Eliminación de la Discriminación contra la Mujer,</w:t>
      </w:r>
      <w:r>
        <w:rPr>
          <w:spacing w:val="40"/>
          <w:sz w:val="12"/>
        </w:rPr>
        <w:t xml:space="preserve"> </w:t>
      </w:r>
      <w:r>
        <w:rPr>
          <w:sz w:val="12"/>
        </w:rPr>
        <w:t>recomendación</w:t>
      </w:r>
      <w:r>
        <w:rPr>
          <w:spacing w:val="-2"/>
          <w:sz w:val="12"/>
        </w:rPr>
        <w:t xml:space="preserve"> </w:t>
      </w:r>
      <w:r>
        <w:rPr>
          <w:sz w:val="12"/>
        </w:rPr>
        <w:t>general</w:t>
      </w:r>
      <w:r>
        <w:rPr>
          <w:spacing w:val="-2"/>
          <w:sz w:val="12"/>
        </w:rPr>
        <w:t xml:space="preserve"> </w:t>
      </w:r>
      <w:r>
        <w:rPr>
          <w:sz w:val="12"/>
        </w:rPr>
        <w:t>núm.</w:t>
      </w:r>
      <w:r>
        <w:rPr>
          <w:spacing w:val="-2"/>
          <w:sz w:val="12"/>
        </w:rPr>
        <w:t xml:space="preserve"> </w:t>
      </w:r>
      <w:r>
        <w:rPr>
          <w:sz w:val="12"/>
        </w:rPr>
        <w:t>24</w:t>
      </w:r>
      <w:r>
        <w:rPr>
          <w:spacing w:val="-2"/>
          <w:sz w:val="12"/>
        </w:rPr>
        <w:t xml:space="preserve"> </w:t>
      </w:r>
      <w:r>
        <w:rPr>
          <w:sz w:val="12"/>
        </w:rPr>
        <w:t>(1999),</w:t>
      </w:r>
      <w:r>
        <w:rPr>
          <w:spacing w:val="-2"/>
          <w:sz w:val="12"/>
        </w:rPr>
        <w:t xml:space="preserve"> </w:t>
      </w:r>
      <w:r>
        <w:rPr>
          <w:sz w:val="12"/>
        </w:rPr>
        <w:t>párr.</w:t>
      </w:r>
      <w:r>
        <w:rPr>
          <w:spacing w:val="-2"/>
          <w:sz w:val="12"/>
        </w:rPr>
        <w:t xml:space="preserve"> </w:t>
      </w:r>
      <w:r>
        <w:rPr>
          <w:sz w:val="12"/>
        </w:rPr>
        <w:t>31</w:t>
      </w:r>
      <w:r>
        <w:rPr>
          <w:spacing w:val="-2"/>
          <w:sz w:val="12"/>
        </w:rPr>
        <w:t xml:space="preserve"> </w:t>
      </w:r>
      <w:r>
        <w:rPr>
          <w:sz w:val="12"/>
        </w:rPr>
        <w:t>(a);</w:t>
      </w:r>
      <w:r>
        <w:rPr>
          <w:spacing w:val="-2"/>
          <w:sz w:val="12"/>
        </w:rPr>
        <w:t xml:space="preserve"> </w:t>
      </w:r>
      <w:r>
        <w:rPr>
          <w:sz w:val="12"/>
        </w:rPr>
        <w:t>y</w:t>
      </w:r>
      <w:r>
        <w:rPr>
          <w:spacing w:val="-2"/>
          <w:sz w:val="12"/>
        </w:rPr>
        <w:t xml:space="preserve"> </w:t>
      </w:r>
      <w:r>
        <w:rPr>
          <w:sz w:val="12"/>
        </w:rPr>
        <w:t>CEDAW/C/BGR/CO/8,</w:t>
      </w:r>
      <w:r>
        <w:rPr>
          <w:spacing w:val="-2"/>
          <w:sz w:val="12"/>
        </w:rPr>
        <w:t xml:space="preserve"> </w:t>
      </w:r>
      <w:r>
        <w:rPr>
          <w:sz w:val="12"/>
        </w:rPr>
        <w:t>párr.</w:t>
      </w:r>
      <w:r>
        <w:rPr>
          <w:spacing w:val="-2"/>
          <w:sz w:val="12"/>
        </w:rPr>
        <w:t xml:space="preserve"> </w:t>
      </w:r>
      <w:r>
        <w:rPr>
          <w:sz w:val="12"/>
        </w:rPr>
        <w:t>14(a).</w:t>
      </w:r>
      <w:r>
        <w:rPr>
          <w:spacing w:val="-2"/>
          <w:sz w:val="12"/>
        </w:rPr>
        <w:t xml:space="preserve"> </w:t>
      </w:r>
      <w:r>
        <w:rPr>
          <w:sz w:val="12"/>
        </w:rPr>
        <w:t>Véase</w:t>
      </w:r>
      <w:r>
        <w:rPr>
          <w:spacing w:val="-2"/>
          <w:sz w:val="12"/>
        </w:rPr>
        <w:t xml:space="preserve"> </w:t>
      </w:r>
      <w:r>
        <w:rPr>
          <w:sz w:val="12"/>
        </w:rPr>
        <w:t>también</w:t>
      </w:r>
      <w:r>
        <w:rPr>
          <w:spacing w:val="-2"/>
          <w:sz w:val="12"/>
        </w:rPr>
        <w:t xml:space="preserve"> </w:t>
      </w:r>
      <w:r>
        <w:rPr>
          <w:sz w:val="12"/>
        </w:rPr>
        <w:t>Convención</w:t>
      </w:r>
      <w:r>
        <w:rPr>
          <w:spacing w:val="-2"/>
          <w:sz w:val="12"/>
        </w:rPr>
        <w:t xml:space="preserve"> </w:t>
      </w:r>
      <w:r>
        <w:rPr>
          <w:sz w:val="12"/>
        </w:rPr>
        <w:t>sobre</w:t>
      </w:r>
      <w:r>
        <w:rPr>
          <w:spacing w:val="-2"/>
          <w:sz w:val="12"/>
        </w:rPr>
        <w:t xml:space="preserve"> </w:t>
      </w:r>
      <w:r>
        <w:rPr>
          <w:sz w:val="12"/>
        </w:rPr>
        <w:t>los</w:t>
      </w:r>
      <w:r>
        <w:rPr>
          <w:spacing w:val="-2"/>
          <w:sz w:val="12"/>
        </w:rPr>
        <w:t xml:space="preserve"> </w:t>
      </w:r>
      <w:r>
        <w:rPr>
          <w:sz w:val="12"/>
        </w:rPr>
        <w:t>Derechos</w:t>
      </w:r>
      <w:r>
        <w:rPr>
          <w:spacing w:val="-2"/>
          <w:sz w:val="12"/>
        </w:rPr>
        <w:t xml:space="preserve"> </w:t>
      </w:r>
      <w:r>
        <w:rPr>
          <w:sz w:val="12"/>
        </w:rPr>
        <w:t>de</w:t>
      </w:r>
      <w:r>
        <w:rPr>
          <w:spacing w:val="-2"/>
          <w:sz w:val="12"/>
        </w:rPr>
        <w:t xml:space="preserve"> </w:t>
      </w:r>
      <w:r>
        <w:rPr>
          <w:sz w:val="12"/>
        </w:rPr>
        <w:t>las</w:t>
      </w:r>
      <w:r>
        <w:rPr>
          <w:spacing w:val="-2"/>
          <w:sz w:val="12"/>
        </w:rPr>
        <w:t xml:space="preserve"> </w:t>
      </w:r>
      <w:r>
        <w:rPr>
          <w:sz w:val="12"/>
        </w:rPr>
        <w:t>Personas</w:t>
      </w:r>
      <w:r>
        <w:rPr>
          <w:spacing w:val="-3"/>
          <w:sz w:val="12"/>
        </w:rPr>
        <w:t xml:space="preserve"> </w:t>
      </w:r>
      <w:r>
        <w:rPr>
          <w:sz w:val="12"/>
        </w:rPr>
        <w:t>con</w:t>
      </w:r>
      <w:r>
        <w:rPr>
          <w:spacing w:val="40"/>
          <w:sz w:val="12"/>
        </w:rPr>
        <w:t xml:space="preserve"> </w:t>
      </w:r>
      <w:r>
        <w:rPr>
          <w:sz w:val="12"/>
        </w:rPr>
        <w:t>Discapacidad,</w:t>
      </w:r>
      <w:r>
        <w:rPr>
          <w:spacing w:val="-1"/>
          <w:sz w:val="12"/>
        </w:rPr>
        <w:t xml:space="preserve"> </w:t>
      </w:r>
      <w:r>
        <w:rPr>
          <w:sz w:val="12"/>
        </w:rPr>
        <w:t>art.</w:t>
      </w:r>
      <w:r>
        <w:rPr>
          <w:spacing w:val="-2"/>
          <w:sz w:val="12"/>
        </w:rPr>
        <w:t xml:space="preserve"> </w:t>
      </w:r>
      <w:r>
        <w:rPr>
          <w:sz w:val="12"/>
        </w:rPr>
        <w:t>4</w:t>
      </w:r>
      <w:r>
        <w:rPr>
          <w:spacing w:val="-2"/>
          <w:sz w:val="12"/>
        </w:rPr>
        <w:t xml:space="preserve"> </w:t>
      </w:r>
      <w:r>
        <w:rPr>
          <w:sz w:val="12"/>
        </w:rPr>
        <w:t>(1)</w:t>
      </w:r>
      <w:r>
        <w:rPr>
          <w:spacing w:val="-2"/>
          <w:sz w:val="12"/>
        </w:rPr>
        <w:t xml:space="preserve"> </w:t>
      </w:r>
      <w:r>
        <w:rPr>
          <w:sz w:val="12"/>
        </w:rPr>
        <w:t>(c);</w:t>
      </w:r>
      <w:r>
        <w:rPr>
          <w:spacing w:val="-2"/>
          <w:sz w:val="12"/>
        </w:rPr>
        <w:t xml:space="preserve"> </w:t>
      </w:r>
      <w:r>
        <w:rPr>
          <w:sz w:val="12"/>
        </w:rPr>
        <w:t>y</w:t>
      </w:r>
      <w:r>
        <w:rPr>
          <w:spacing w:val="-2"/>
          <w:sz w:val="12"/>
        </w:rPr>
        <w:t xml:space="preserve"> </w:t>
      </w:r>
      <w:r>
        <w:rPr>
          <w:sz w:val="12"/>
        </w:rPr>
        <w:t>Comité</w:t>
      </w:r>
      <w:r>
        <w:rPr>
          <w:spacing w:val="-2"/>
          <w:sz w:val="12"/>
        </w:rPr>
        <w:t xml:space="preserve"> </w:t>
      </w:r>
      <w:r>
        <w:rPr>
          <w:sz w:val="12"/>
        </w:rPr>
        <w:t>sobre</w:t>
      </w:r>
      <w:r>
        <w:rPr>
          <w:spacing w:val="-2"/>
          <w:sz w:val="12"/>
        </w:rPr>
        <w:t xml:space="preserve"> </w:t>
      </w:r>
      <w:r>
        <w:rPr>
          <w:sz w:val="12"/>
        </w:rPr>
        <w:t>los</w:t>
      </w:r>
      <w:r>
        <w:rPr>
          <w:spacing w:val="-2"/>
          <w:sz w:val="12"/>
        </w:rPr>
        <w:t xml:space="preserve"> </w:t>
      </w:r>
      <w:r>
        <w:rPr>
          <w:sz w:val="12"/>
        </w:rPr>
        <w:t>Derechos</w:t>
      </w:r>
      <w:r>
        <w:rPr>
          <w:spacing w:val="-2"/>
          <w:sz w:val="12"/>
        </w:rPr>
        <w:t xml:space="preserve"> </w:t>
      </w:r>
      <w:r>
        <w:rPr>
          <w:sz w:val="12"/>
        </w:rPr>
        <w:t>de</w:t>
      </w:r>
      <w:r>
        <w:rPr>
          <w:spacing w:val="-2"/>
          <w:sz w:val="12"/>
        </w:rPr>
        <w:t xml:space="preserve"> </w:t>
      </w:r>
      <w:r>
        <w:rPr>
          <w:sz w:val="12"/>
        </w:rPr>
        <w:t>las</w:t>
      </w:r>
      <w:r>
        <w:rPr>
          <w:spacing w:val="-2"/>
          <w:sz w:val="12"/>
        </w:rPr>
        <w:t xml:space="preserve"> </w:t>
      </w:r>
      <w:r>
        <w:rPr>
          <w:sz w:val="12"/>
        </w:rPr>
        <w:t>Personas</w:t>
      </w:r>
      <w:r>
        <w:rPr>
          <w:spacing w:val="-3"/>
          <w:sz w:val="12"/>
        </w:rPr>
        <w:t xml:space="preserve"> </w:t>
      </w:r>
      <w:r>
        <w:rPr>
          <w:sz w:val="12"/>
        </w:rPr>
        <w:t>con</w:t>
      </w:r>
      <w:r>
        <w:rPr>
          <w:spacing w:val="-2"/>
          <w:sz w:val="12"/>
        </w:rPr>
        <w:t xml:space="preserve"> </w:t>
      </w:r>
      <w:r>
        <w:rPr>
          <w:sz w:val="12"/>
        </w:rPr>
        <w:t>Discapacidad,</w:t>
      </w:r>
      <w:r>
        <w:rPr>
          <w:spacing w:val="-1"/>
          <w:sz w:val="12"/>
        </w:rPr>
        <w:t xml:space="preserve"> </w:t>
      </w:r>
      <w:r>
        <w:rPr>
          <w:sz w:val="12"/>
        </w:rPr>
        <w:t>observación</w:t>
      </w:r>
      <w:r>
        <w:rPr>
          <w:spacing w:val="-2"/>
          <w:sz w:val="12"/>
        </w:rPr>
        <w:t xml:space="preserve"> </w:t>
      </w:r>
      <w:r>
        <w:rPr>
          <w:sz w:val="12"/>
        </w:rPr>
        <w:t>general</w:t>
      </w:r>
      <w:r>
        <w:rPr>
          <w:spacing w:val="-2"/>
          <w:sz w:val="12"/>
        </w:rPr>
        <w:t xml:space="preserve"> </w:t>
      </w:r>
      <w:r>
        <w:rPr>
          <w:sz w:val="12"/>
        </w:rPr>
        <w:t>núm.</w:t>
      </w:r>
      <w:r>
        <w:rPr>
          <w:spacing w:val="-2"/>
          <w:sz w:val="12"/>
        </w:rPr>
        <w:t xml:space="preserve"> </w:t>
      </w:r>
      <w:r>
        <w:rPr>
          <w:sz w:val="12"/>
        </w:rPr>
        <w:t>6</w:t>
      </w:r>
      <w:r>
        <w:rPr>
          <w:spacing w:val="-2"/>
          <w:sz w:val="12"/>
        </w:rPr>
        <w:t xml:space="preserve"> </w:t>
      </w:r>
      <w:r>
        <w:rPr>
          <w:sz w:val="12"/>
        </w:rPr>
        <w:t>(2018),</w:t>
      </w:r>
      <w:r>
        <w:rPr>
          <w:spacing w:val="-2"/>
          <w:sz w:val="12"/>
        </w:rPr>
        <w:t xml:space="preserve"> </w:t>
      </w:r>
      <w:proofErr w:type="spellStart"/>
      <w:r>
        <w:rPr>
          <w:sz w:val="12"/>
        </w:rPr>
        <w:t>párrs</w:t>
      </w:r>
      <w:proofErr w:type="spellEnd"/>
      <w:r>
        <w:rPr>
          <w:sz w:val="12"/>
        </w:rPr>
        <w:t>.</w:t>
      </w:r>
      <w:r>
        <w:rPr>
          <w:spacing w:val="-2"/>
          <w:sz w:val="12"/>
        </w:rPr>
        <w:t xml:space="preserve"> </w:t>
      </w:r>
      <w:r>
        <w:rPr>
          <w:sz w:val="12"/>
        </w:rPr>
        <w:t>14-15.</w:t>
      </w:r>
    </w:p>
    <w:p w14:paraId="7E8F32C2" w14:textId="77777777" w:rsidR="0014798C" w:rsidRDefault="0014798C">
      <w:pPr>
        <w:pStyle w:val="Textoindependiente"/>
        <w:rPr>
          <w:sz w:val="18"/>
        </w:rPr>
      </w:pPr>
    </w:p>
    <w:p w14:paraId="569B4020" w14:textId="77777777" w:rsidR="0014798C" w:rsidRDefault="0014798C">
      <w:pPr>
        <w:pStyle w:val="Textoindependiente"/>
        <w:spacing w:before="188"/>
        <w:rPr>
          <w:sz w:val="18"/>
        </w:rPr>
      </w:pPr>
    </w:p>
    <w:p w14:paraId="1CF7EB03" w14:textId="77777777" w:rsidR="0014798C" w:rsidRDefault="004E1F0B">
      <w:pPr>
        <w:ind w:right="723"/>
        <w:jc w:val="right"/>
        <w:rPr>
          <w:sz w:val="18"/>
        </w:rPr>
      </w:pPr>
      <w:r>
        <w:rPr>
          <w:spacing w:val="-5"/>
          <w:sz w:val="18"/>
        </w:rPr>
        <w:t>71</w:t>
      </w:r>
    </w:p>
    <w:p w14:paraId="6DFF8E54" w14:textId="77777777" w:rsidR="0014798C" w:rsidRDefault="0014798C">
      <w:pPr>
        <w:jc w:val="right"/>
        <w:rPr>
          <w:sz w:val="18"/>
        </w:rPr>
        <w:sectPr w:rsidR="0014798C" w:rsidSect="00F265E4">
          <w:type w:val="continuous"/>
          <w:pgSz w:w="11900" w:h="16820"/>
          <w:pgMar w:top="40" w:right="0" w:bottom="280" w:left="200" w:header="121" w:footer="0" w:gutter="0"/>
          <w:cols w:space="720"/>
        </w:sectPr>
      </w:pPr>
    </w:p>
    <w:p w14:paraId="00042E39" w14:textId="77777777" w:rsidR="0014798C" w:rsidRDefault="0014798C">
      <w:pPr>
        <w:pStyle w:val="Textoindependiente"/>
        <w:spacing w:before="85"/>
        <w:rPr>
          <w:sz w:val="12"/>
        </w:rPr>
      </w:pPr>
    </w:p>
    <w:p w14:paraId="3B6DDE01" w14:textId="77777777" w:rsidR="0014798C" w:rsidRDefault="004E1F0B">
      <w:pPr>
        <w:ind w:left="1111"/>
        <w:rPr>
          <w:sz w:val="12"/>
        </w:rPr>
      </w:pPr>
      <w:r>
        <w:rPr>
          <w:color w:val="00AC59"/>
          <w:sz w:val="12"/>
        </w:rPr>
        <w:t>PROTECCIÓN</w:t>
      </w:r>
      <w:r>
        <w:rPr>
          <w:color w:val="00AC59"/>
          <w:spacing w:val="6"/>
          <w:sz w:val="12"/>
        </w:rPr>
        <w:t xml:space="preserve"> </w:t>
      </w:r>
      <w:r>
        <w:rPr>
          <w:color w:val="00AC59"/>
          <w:sz w:val="12"/>
        </w:rPr>
        <w:t>DE</w:t>
      </w:r>
      <w:r>
        <w:rPr>
          <w:color w:val="00AC59"/>
          <w:spacing w:val="7"/>
          <w:sz w:val="12"/>
        </w:rPr>
        <w:t xml:space="preserve"> </w:t>
      </w:r>
      <w:r>
        <w:rPr>
          <w:color w:val="00AC59"/>
          <w:sz w:val="12"/>
        </w:rPr>
        <w:t>LOS</w:t>
      </w:r>
      <w:r>
        <w:rPr>
          <w:color w:val="00AC59"/>
          <w:spacing w:val="8"/>
          <w:sz w:val="12"/>
        </w:rPr>
        <w:t xml:space="preserve"> </w:t>
      </w:r>
      <w:r>
        <w:rPr>
          <w:color w:val="00AC59"/>
          <w:sz w:val="12"/>
        </w:rPr>
        <w:t>DERECHOS</w:t>
      </w:r>
      <w:r>
        <w:rPr>
          <w:color w:val="00AC59"/>
          <w:spacing w:val="8"/>
          <w:sz w:val="12"/>
        </w:rPr>
        <w:t xml:space="preserve"> </w:t>
      </w:r>
      <w:r>
        <w:rPr>
          <w:color w:val="00AC59"/>
          <w:sz w:val="12"/>
        </w:rPr>
        <w:t>DE</w:t>
      </w:r>
      <w:r>
        <w:rPr>
          <w:color w:val="00AC59"/>
          <w:spacing w:val="6"/>
          <w:sz w:val="12"/>
        </w:rPr>
        <w:t xml:space="preserve"> </w:t>
      </w:r>
      <w:r>
        <w:rPr>
          <w:color w:val="00AC59"/>
          <w:sz w:val="12"/>
        </w:rPr>
        <w:t>LAS</w:t>
      </w:r>
      <w:r>
        <w:rPr>
          <w:color w:val="00AC59"/>
          <w:spacing w:val="7"/>
          <w:sz w:val="12"/>
        </w:rPr>
        <w:t xml:space="preserve"> </w:t>
      </w:r>
      <w:r>
        <w:rPr>
          <w:color w:val="00AC59"/>
          <w:sz w:val="12"/>
        </w:rPr>
        <w:t>MINORÍAS:</w:t>
      </w:r>
      <w:r>
        <w:rPr>
          <w:color w:val="00AC59"/>
          <w:spacing w:val="8"/>
          <w:sz w:val="12"/>
        </w:rPr>
        <w:t xml:space="preserve"> </w:t>
      </w:r>
      <w:r>
        <w:rPr>
          <w:color w:val="00AC59"/>
          <w:sz w:val="12"/>
        </w:rPr>
        <w:t>una</w:t>
      </w:r>
      <w:r>
        <w:rPr>
          <w:color w:val="00AC59"/>
          <w:spacing w:val="7"/>
          <w:sz w:val="12"/>
        </w:rPr>
        <w:t xml:space="preserve"> </w:t>
      </w:r>
      <w:r>
        <w:rPr>
          <w:color w:val="00AC59"/>
          <w:sz w:val="12"/>
        </w:rPr>
        <w:t>guía</w:t>
      </w:r>
      <w:r>
        <w:rPr>
          <w:color w:val="00AC59"/>
          <w:spacing w:val="6"/>
          <w:sz w:val="12"/>
        </w:rPr>
        <w:t xml:space="preserve"> </w:t>
      </w:r>
      <w:r>
        <w:rPr>
          <w:color w:val="00AC59"/>
          <w:sz w:val="12"/>
        </w:rPr>
        <w:t>práctica</w:t>
      </w:r>
      <w:r>
        <w:rPr>
          <w:color w:val="00AC59"/>
          <w:spacing w:val="7"/>
          <w:sz w:val="12"/>
        </w:rPr>
        <w:t xml:space="preserve"> </w:t>
      </w:r>
      <w:r>
        <w:rPr>
          <w:color w:val="00AC59"/>
          <w:sz w:val="12"/>
        </w:rPr>
        <w:t>para</w:t>
      </w:r>
      <w:r>
        <w:rPr>
          <w:color w:val="00AC59"/>
          <w:spacing w:val="8"/>
          <w:sz w:val="12"/>
        </w:rPr>
        <w:t xml:space="preserve"> </w:t>
      </w:r>
      <w:r>
        <w:rPr>
          <w:color w:val="00AC59"/>
          <w:sz w:val="12"/>
        </w:rPr>
        <w:t>desarrollar</w:t>
      </w:r>
      <w:r>
        <w:rPr>
          <w:color w:val="00AC59"/>
          <w:spacing w:val="6"/>
          <w:sz w:val="12"/>
        </w:rPr>
        <w:t xml:space="preserve"> </w:t>
      </w:r>
      <w:r>
        <w:rPr>
          <w:color w:val="00AC59"/>
          <w:sz w:val="12"/>
        </w:rPr>
        <w:t>una</w:t>
      </w:r>
      <w:r>
        <w:rPr>
          <w:color w:val="00AC59"/>
          <w:spacing w:val="7"/>
          <w:sz w:val="12"/>
        </w:rPr>
        <w:t xml:space="preserve"> </w:t>
      </w:r>
      <w:r>
        <w:rPr>
          <w:color w:val="00AC59"/>
          <w:sz w:val="12"/>
        </w:rPr>
        <w:t>legislación</w:t>
      </w:r>
      <w:r>
        <w:rPr>
          <w:color w:val="00AC59"/>
          <w:spacing w:val="8"/>
          <w:sz w:val="12"/>
        </w:rPr>
        <w:t xml:space="preserve"> </w:t>
      </w:r>
      <w:r>
        <w:rPr>
          <w:color w:val="00AC59"/>
          <w:sz w:val="12"/>
        </w:rPr>
        <w:t>integral</w:t>
      </w:r>
      <w:r>
        <w:rPr>
          <w:color w:val="00AC59"/>
          <w:spacing w:val="7"/>
          <w:sz w:val="12"/>
        </w:rPr>
        <w:t xml:space="preserve"> </w:t>
      </w:r>
      <w:r>
        <w:rPr>
          <w:color w:val="00AC59"/>
          <w:sz w:val="12"/>
        </w:rPr>
        <w:t>contra</w:t>
      </w:r>
      <w:r>
        <w:rPr>
          <w:color w:val="00AC59"/>
          <w:spacing w:val="6"/>
          <w:sz w:val="12"/>
        </w:rPr>
        <w:t xml:space="preserve"> </w:t>
      </w:r>
      <w:r>
        <w:rPr>
          <w:color w:val="00AC59"/>
          <w:sz w:val="12"/>
        </w:rPr>
        <w:t>la</w:t>
      </w:r>
      <w:r>
        <w:rPr>
          <w:color w:val="00AC59"/>
          <w:spacing w:val="7"/>
          <w:sz w:val="12"/>
        </w:rPr>
        <w:t xml:space="preserve"> </w:t>
      </w:r>
      <w:r>
        <w:rPr>
          <w:color w:val="00AC59"/>
          <w:spacing w:val="-2"/>
          <w:sz w:val="12"/>
        </w:rPr>
        <w:t>discriminación</w:t>
      </w:r>
    </w:p>
    <w:p w14:paraId="00EAA708" w14:textId="77777777" w:rsidR="0014798C" w:rsidRDefault="0014798C">
      <w:pPr>
        <w:pStyle w:val="Textoindependiente"/>
        <w:rPr>
          <w:sz w:val="15"/>
        </w:rPr>
      </w:pPr>
    </w:p>
    <w:p w14:paraId="45169700" w14:textId="77777777" w:rsidR="0014798C" w:rsidRDefault="0014798C">
      <w:pPr>
        <w:pStyle w:val="Textoindependiente"/>
        <w:rPr>
          <w:sz w:val="15"/>
        </w:rPr>
      </w:pPr>
    </w:p>
    <w:p w14:paraId="0EABC494" w14:textId="77777777" w:rsidR="0014798C" w:rsidRDefault="0014798C">
      <w:pPr>
        <w:pStyle w:val="Textoindependiente"/>
        <w:rPr>
          <w:sz w:val="15"/>
        </w:rPr>
      </w:pPr>
    </w:p>
    <w:p w14:paraId="6EA11E15" w14:textId="77777777" w:rsidR="0014798C" w:rsidRDefault="0014798C">
      <w:pPr>
        <w:pStyle w:val="Textoindependiente"/>
        <w:rPr>
          <w:sz w:val="15"/>
        </w:rPr>
      </w:pPr>
    </w:p>
    <w:p w14:paraId="360BEDF0" w14:textId="77777777" w:rsidR="0014798C" w:rsidRDefault="0014798C">
      <w:pPr>
        <w:pStyle w:val="Textoindependiente"/>
        <w:spacing w:before="106"/>
        <w:rPr>
          <w:sz w:val="15"/>
        </w:rPr>
      </w:pPr>
    </w:p>
    <w:p w14:paraId="02B3CFA8" w14:textId="77777777" w:rsidR="0014798C" w:rsidRDefault="004E1F0B">
      <w:pPr>
        <w:ind w:left="1342"/>
        <w:rPr>
          <w:sz w:val="15"/>
        </w:rPr>
      </w:pPr>
      <w:r>
        <w:rPr>
          <w:noProof/>
        </w:rPr>
        <w:drawing>
          <wp:anchor distT="0" distB="0" distL="0" distR="0" simplePos="0" relativeHeight="251658414" behindDoc="1" locked="0" layoutInCell="1" allowOverlap="1" wp14:anchorId="1E070FD0" wp14:editId="0FF64DEC">
            <wp:simplePos x="0" y="0"/>
            <wp:positionH relativeFrom="page">
              <wp:posOffset>795184</wp:posOffset>
            </wp:positionH>
            <wp:positionV relativeFrom="paragraph">
              <wp:posOffset>-141404</wp:posOffset>
            </wp:positionV>
            <wp:extent cx="5966130" cy="8380103"/>
            <wp:effectExtent l="0" t="0" r="0" b="0"/>
            <wp:wrapNone/>
            <wp:docPr id="175" name="Image 17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75" name="Image 175"/>
                    <pic:cNvPicPr/>
                  </pic:nvPicPr>
                  <pic:blipFill>
                    <a:blip r:embed="rId157" cstate="print"/>
                    <a:stretch>
                      <a:fillRect/>
                    </a:stretch>
                  </pic:blipFill>
                  <pic:spPr>
                    <a:xfrm>
                      <a:off x="0" y="0"/>
                      <a:ext cx="5966130" cy="8380103"/>
                    </a:xfrm>
                    <a:prstGeom prst="rect">
                      <a:avLst/>
                    </a:prstGeom>
                  </pic:spPr>
                </pic:pic>
              </a:graphicData>
            </a:graphic>
          </wp:anchor>
        </w:drawing>
      </w:r>
      <w:r>
        <w:rPr>
          <w:spacing w:val="-2"/>
          <w:sz w:val="15"/>
        </w:rPr>
        <w:t>INDIA:</w:t>
      </w:r>
      <w:r>
        <w:rPr>
          <w:spacing w:val="-5"/>
          <w:sz w:val="15"/>
        </w:rPr>
        <w:t xml:space="preserve"> </w:t>
      </w:r>
      <w:r>
        <w:rPr>
          <w:spacing w:val="-2"/>
          <w:sz w:val="15"/>
        </w:rPr>
        <w:t>DEBERES</w:t>
      </w:r>
      <w:r>
        <w:rPr>
          <w:spacing w:val="-5"/>
          <w:sz w:val="15"/>
        </w:rPr>
        <w:t xml:space="preserve"> </w:t>
      </w:r>
      <w:r>
        <w:rPr>
          <w:spacing w:val="-2"/>
          <w:sz w:val="15"/>
        </w:rPr>
        <w:t>DE</w:t>
      </w:r>
      <w:r>
        <w:rPr>
          <w:spacing w:val="-5"/>
          <w:sz w:val="15"/>
        </w:rPr>
        <w:t xml:space="preserve"> </w:t>
      </w:r>
      <w:r>
        <w:rPr>
          <w:spacing w:val="-2"/>
          <w:sz w:val="15"/>
        </w:rPr>
        <w:t>IGUALDAD</w:t>
      </w:r>
      <w:r>
        <w:rPr>
          <w:spacing w:val="-6"/>
          <w:sz w:val="15"/>
        </w:rPr>
        <w:t xml:space="preserve"> </w:t>
      </w:r>
      <w:r>
        <w:rPr>
          <w:spacing w:val="-2"/>
          <w:sz w:val="15"/>
        </w:rPr>
        <w:t>BAJO</w:t>
      </w:r>
      <w:r>
        <w:rPr>
          <w:spacing w:val="-4"/>
          <w:sz w:val="15"/>
        </w:rPr>
        <w:t xml:space="preserve"> </w:t>
      </w:r>
      <w:r>
        <w:rPr>
          <w:spacing w:val="-2"/>
          <w:sz w:val="15"/>
        </w:rPr>
        <w:t>EL</w:t>
      </w:r>
      <w:r>
        <w:rPr>
          <w:spacing w:val="-5"/>
          <w:sz w:val="15"/>
        </w:rPr>
        <w:t xml:space="preserve"> </w:t>
      </w:r>
      <w:r>
        <w:rPr>
          <w:spacing w:val="-2"/>
          <w:sz w:val="15"/>
        </w:rPr>
        <w:t>LEY</w:t>
      </w:r>
      <w:r>
        <w:rPr>
          <w:spacing w:val="-5"/>
          <w:sz w:val="15"/>
        </w:rPr>
        <w:t xml:space="preserve"> </w:t>
      </w:r>
      <w:r>
        <w:rPr>
          <w:spacing w:val="-2"/>
          <w:sz w:val="15"/>
        </w:rPr>
        <w:t>ANTIDISCRIMINACIÓN</w:t>
      </w:r>
      <w:r>
        <w:rPr>
          <w:spacing w:val="-6"/>
          <w:sz w:val="15"/>
        </w:rPr>
        <w:t xml:space="preserve"> </w:t>
      </w:r>
      <w:r>
        <w:rPr>
          <w:spacing w:val="-2"/>
          <w:sz w:val="15"/>
        </w:rPr>
        <w:t>E</w:t>
      </w:r>
      <w:r>
        <w:rPr>
          <w:spacing w:val="-4"/>
          <w:sz w:val="15"/>
        </w:rPr>
        <w:t xml:space="preserve"> </w:t>
      </w:r>
      <w:r>
        <w:rPr>
          <w:spacing w:val="-2"/>
          <w:sz w:val="15"/>
        </w:rPr>
        <w:t>IGUALDAD</w:t>
      </w:r>
    </w:p>
    <w:p w14:paraId="47320DBD" w14:textId="77777777" w:rsidR="0014798C" w:rsidRDefault="0014798C">
      <w:pPr>
        <w:pStyle w:val="Textoindependiente"/>
        <w:spacing w:before="50"/>
        <w:rPr>
          <w:sz w:val="15"/>
        </w:rPr>
      </w:pPr>
    </w:p>
    <w:p w14:paraId="6645DDDB" w14:textId="77777777" w:rsidR="0014798C" w:rsidRDefault="004E1F0B">
      <w:pPr>
        <w:spacing w:line="340" w:lineRule="auto"/>
        <w:ind w:left="1329" w:right="1463" w:firstLine="8"/>
        <w:rPr>
          <w:sz w:val="15"/>
        </w:rPr>
      </w:pPr>
      <w:r>
        <w:rPr>
          <w:sz w:val="15"/>
        </w:rPr>
        <w:t>Las</w:t>
      </w:r>
      <w:r>
        <w:rPr>
          <w:spacing w:val="-3"/>
          <w:sz w:val="15"/>
        </w:rPr>
        <w:t xml:space="preserve"> </w:t>
      </w:r>
      <w:r>
        <w:rPr>
          <w:sz w:val="15"/>
        </w:rPr>
        <w:t>secciones</w:t>
      </w:r>
      <w:r>
        <w:rPr>
          <w:spacing w:val="-3"/>
          <w:sz w:val="15"/>
        </w:rPr>
        <w:t xml:space="preserve"> </w:t>
      </w:r>
      <w:r>
        <w:rPr>
          <w:sz w:val="15"/>
        </w:rPr>
        <w:t>14</w:t>
      </w:r>
      <w:r>
        <w:rPr>
          <w:spacing w:val="-3"/>
          <w:sz w:val="15"/>
        </w:rPr>
        <w:t xml:space="preserve"> </w:t>
      </w:r>
      <w:r>
        <w:rPr>
          <w:sz w:val="15"/>
        </w:rPr>
        <w:t>a</w:t>
      </w:r>
      <w:r>
        <w:rPr>
          <w:spacing w:val="-3"/>
          <w:sz w:val="15"/>
        </w:rPr>
        <w:t xml:space="preserve"> </w:t>
      </w:r>
      <w:r>
        <w:rPr>
          <w:sz w:val="15"/>
        </w:rPr>
        <w:t>16</w:t>
      </w:r>
      <w:r>
        <w:rPr>
          <w:spacing w:val="-3"/>
          <w:sz w:val="15"/>
        </w:rPr>
        <w:t xml:space="preserve"> </w:t>
      </w:r>
      <w:r>
        <w:rPr>
          <w:sz w:val="15"/>
        </w:rPr>
        <w:t>del</w:t>
      </w:r>
      <w:r>
        <w:rPr>
          <w:spacing w:val="-3"/>
          <w:sz w:val="15"/>
        </w:rPr>
        <w:t xml:space="preserve"> </w:t>
      </w:r>
      <w:r>
        <w:rPr>
          <w:sz w:val="15"/>
        </w:rPr>
        <w:t>Proyecto</w:t>
      </w:r>
      <w:r>
        <w:rPr>
          <w:spacing w:val="-3"/>
          <w:sz w:val="15"/>
        </w:rPr>
        <w:t xml:space="preserve"> </w:t>
      </w:r>
      <w:r>
        <w:rPr>
          <w:sz w:val="15"/>
        </w:rPr>
        <w:t>de</w:t>
      </w:r>
      <w:r>
        <w:rPr>
          <w:spacing w:val="-3"/>
          <w:sz w:val="15"/>
        </w:rPr>
        <w:t xml:space="preserve"> </w:t>
      </w:r>
      <w:r>
        <w:rPr>
          <w:sz w:val="15"/>
        </w:rPr>
        <w:t>Ley</w:t>
      </w:r>
      <w:r>
        <w:rPr>
          <w:spacing w:val="-3"/>
          <w:sz w:val="15"/>
        </w:rPr>
        <w:t xml:space="preserve"> </w:t>
      </w:r>
      <w:r>
        <w:rPr>
          <w:sz w:val="15"/>
        </w:rPr>
        <w:t>contra</w:t>
      </w:r>
      <w:r>
        <w:rPr>
          <w:spacing w:val="-3"/>
          <w:sz w:val="15"/>
        </w:rPr>
        <w:t xml:space="preserve"> </w:t>
      </w:r>
      <w:r>
        <w:rPr>
          <w:sz w:val="15"/>
        </w:rPr>
        <w:t>la</w:t>
      </w:r>
      <w:r>
        <w:rPr>
          <w:spacing w:val="-3"/>
          <w:sz w:val="15"/>
        </w:rPr>
        <w:t xml:space="preserve"> </w:t>
      </w:r>
      <w:r>
        <w:rPr>
          <w:sz w:val="15"/>
        </w:rPr>
        <w:t>Discriminación</w:t>
      </w:r>
      <w:r>
        <w:rPr>
          <w:spacing w:val="-3"/>
          <w:sz w:val="15"/>
        </w:rPr>
        <w:t xml:space="preserve"> </w:t>
      </w:r>
      <w:r>
        <w:rPr>
          <w:sz w:val="15"/>
        </w:rPr>
        <w:t>y</w:t>
      </w:r>
      <w:r>
        <w:rPr>
          <w:spacing w:val="-3"/>
          <w:sz w:val="15"/>
        </w:rPr>
        <w:t xml:space="preserve"> </w:t>
      </w:r>
      <w:r>
        <w:rPr>
          <w:sz w:val="15"/>
        </w:rPr>
        <w:t>la</w:t>
      </w:r>
      <w:r>
        <w:rPr>
          <w:spacing w:val="-3"/>
          <w:sz w:val="15"/>
        </w:rPr>
        <w:t xml:space="preserve"> </w:t>
      </w:r>
      <w:r>
        <w:rPr>
          <w:sz w:val="15"/>
        </w:rPr>
        <w:t>Igualdad</w:t>
      </w:r>
      <w:r>
        <w:rPr>
          <w:spacing w:val="-3"/>
          <w:sz w:val="15"/>
        </w:rPr>
        <w:t xml:space="preserve"> </w:t>
      </w:r>
      <w:r>
        <w:rPr>
          <w:sz w:val="15"/>
        </w:rPr>
        <w:t>de</w:t>
      </w:r>
      <w:r>
        <w:rPr>
          <w:spacing w:val="-3"/>
          <w:sz w:val="15"/>
        </w:rPr>
        <w:t xml:space="preserve"> </w:t>
      </w:r>
      <w:r>
        <w:rPr>
          <w:sz w:val="15"/>
        </w:rPr>
        <w:t>la</w:t>
      </w:r>
      <w:r>
        <w:rPr>
          <w:spacing w:val="-3"/>
          <w:sz w:val="15"/>
        </w:rPr>
        <w:t xml:space="preserve"> </w:t>
      </w:r>
      <w:r>
        <w:rPr>
          <w:sz w:val="15"/>
        </w:rPr>
        <w:t>India560</w:t>
      </w:r>
      <w:r>
        <w:rPr>
          <w:spacing w:val="-3"/>
          <w:sz w:val="15"/>
        </w:rPr>
        <w:t xml:space="preserve"> </w:t>
      </w:r>
      <w:r>
        <w:rPr>
          <w:sz w:val="15"/>
        </w:rPr>
        <w:t>establecen</w:t>
      </w:r>
      <w:r>
        <w:rPr>
          <w:spacing w:val="-3"/>
          <w:sz w:val="15"/>
        </w:rPr>
        <w:t xml:space="preserve"> </w:t>
      </w:r>
      <w:r>
        <w:rPr>
          <w:sz w:val="15"/>
        </w:rPr>
        <w:t>tres</w:t>
      </w:r>
      <w:r>
        <w:rPr>
          <w:spacing w:val="-3"/>
          <w:sz w:val="15"/>
        </w:rPr>
        <w:t xml:space="preserve"> </w:t>
      </w:r>
      <w:r>
        <w:rPr>
          <w:sz w:val="15"/>
        </w:rPr>
        <w:t>deberes</w:t>
      </w:r>
      <w:r>
        <w:rPr>
          <w:spacing w:val="-3"/>
          <w:sz w:val="15"/>
        </w:rPr>
        <w:t xml:space="preserve"> </w:t>
      </w:r>
      <w:r>
        <w:rPr>
          <w:sz w:val="15"/>
        </w:rPr>
        <w:t>que</w:t>
      </w:r>
      <w:r>
        <w:rPr>
          <w:spacing w:val="-3"/>
          <w:sz w:val="15"/>
        </w:rPr>
        <w:t xml:space="preserve"> </w:t>
      </w:r>
      <w:r>
        <w:rPr>
          <w:sz w:val="15"/>
        </w:rPr>
        <w:t xml:space="preserve">los </w:t>
      </w:r>
      <w:r>
        <w:rPr>
          <w:spacing w:val="-2"/>
          <w:sz w:val="15"/>
        </w:rPr>
        <w:t>titulares</w:t>
      </w:r>
      <w:r>
        <w:rPr>
          <w:spacing w:val="-3"/>
          <w:sz w:val="15"/>
        </w:rPr>
        <w:t xml:space="preserve"> </w:t>
      </w:r>
      <w:r>
        <w:rPr>
          <w:spacing w:val="-2"/>
          <w:sz w:val="15"/>
        </w:rPr>
        <w:t>de deberes identificados</w:t>
      </w:r>
      <w:r>
        <w:rPr>
          <w:spacing w:val="-3"/>
          <w:sz w:val="15"/>
        </w:rPr>
        <w:t xml:space="preserve"> </w:t>
      </w:r>
      <w:r>
        <w:rPr>
          <w:spacing w:val="-2"/>
          <w:sz w:val="15"/>
        </w:rPr>
        <w:t>en virtud de la Ley deben cumplir, que son (a) un deber contra la discriminación; (b) un deber de</w:t>
      </w:r>
      <w:r>
        <w:rPr>
          <w:sz w:val="15"/>
        </w:rPr>
        <w:t xml:space="preserve"> diversificación;</w:t>
      </w:r>
      <w:r>
        <w:rPr>
          <w:spacing w:val="-9"/>
          <w:sz w:val="15"/>
        </w:rPr>
        <w:t xml:space="preserve"> </w:t>
      </w:r>
      <w:r>
        <w:rPr>
          <w:sz w:val="15"/>
        </w:rPr>
        <w:t>y</w:t>
      </w:r>
      <w:r>
        <w:rPr>
          <w:spacing w:val="-9"/>
          <w:sz w:val="15"/>
        </w:rPr>
        <w:t xml:space="preserve"> </w:t>
      </w:r>
      <w:r>
        <w:rPr>
          <w:sz w:val="15"/>
        </w:rPr>
        <w:t>(c)</w:t>
      </w:r>
      <w:r>
        <w:rPr>
          <w:spacing w:val="-9"/>
          <w:sz w:val="15"/>
        </w:rPr>
        <w:t xml:space="preserve"> </w:t>
      </w:r>
      <w:r>
        <w:rPr>
          <w:sz w:val="15"/>
        </w:rPr>
        <w:t>un</w:t>
      </w:r>
      <w:r>
        <w:rPr>
          <w:spacing w:val="-9"/>
          <w:sz w:val="15"/>
        </w:rPr>
        <w:t xml:space="preserve"> </w:t>
      </w:r>
      <w:r>
        <w:rPr>
          <w:sz w:val="15"/>
        </w:rPr>
        <w:t>deber</w:t>
      </w:r>
      <w:r>
        <w:rPr>
          <w:spacing w:val="-9"/>
          <w:sz w:val="15"/>
        </w:rPr>
        <w:t xml:space="preserve"> </w:t>
      </w:r>
      <w:r>
        <w:rPr>
          <w:sz w:val="15"/>
        </w:rPr>
        <w:t>de</w:t>
      </w:r>
      <w:r>
        <w:rPr>
          <w:spacing w:val="-9"/>
          <w:sz w:val="15"/>
        </w:rPr>
        <w:t xml:space="preserve"> </w:t>
      </w:r>
      <w:r>
        <w:rPr>
          <w:sz w:val="15"/>
        </w:rPr>
        <w:t>debida</w:t>
      </w:r>
      <w:r>
        <w:rPr>
          <w:spacing w:val="-9"/>
          <w:sz w:val="15"/>
        </w:rPr>
        <w:t xml:space="preserve"> </w:t>
      </w:r>
      <w:r>
        <w:rPr>
          <w:sz w:val="15"/>
        </w:rPr>
        <w:t>consideración.</w:t>
      </w:r>
    </w:p>
    <w:p w14:paraId="215D155E" w14:textId="77777777" w:rsidR="0014798C" w:rsidRDefault="004E1F0B">
      <w:pPr>
        <w:spacing w:before="116" w:line="340" w:lineRule="auto"/>
        <w:ind w:left="1332" w:right="1626"/>
        <w:rPr>
          <w:sz w:val="15"/>
        </w:rPr>
      </w:pPr>
      <w:r>
        <w:rPr>
          <w:sz w:val="15"/>
        </w:rPr>
        <w:t>El</w:t>
      </w:r>
      <w:r>
        <w:rPr>
          <w:spacing w:val="-3"/>
          <w:sz w:val="15"/>
        </w:rPr>
        <w:t xml:space="preserve"> </w:t>
      </w:r>
      <w:r>
        <w:rPr>
          <w:sz w:val="15"/>
        </w:rPr>
        <w:t>deber</w:t>
      </w:r>
      <w:r>
        <w:rPr>
          <w:spacing w:val="-3"/>
          <w:sz w:val="15"/>
        </w:rPr>
        <w:t xml:space="preserve"> </w:t>
      </w:r>
      <w:r>
        <w:rPr>
          <w:sz w:val="15"/>
        </w:rPr>
        <w:t>de</w:t>
      </w:r>
      <w:r>
        <w:rPr>
          <w:spacing w:val="-3"/>
          <w:sz w:val="15"/>
        </w:rPr>
        <w:t xml:space="preserve"> </w:t>
      </w:r>
      <w:r>
        <w:rPr>
          <w:sz w:val="15"/>
        </w:rPr>
        <w:t>lucha</w:t>
      </w:r>
      <w:r>
        <w:rPr>
          <w:spacing w:val="-3"/>
          <w:sz w:val="15"/>
        </w:rPr>
        <w:t xml:space="preserve"> </w:t>
      </w:r>
      <w:r>
        <w:rPr>
          <w:sz w:val="15"/>
        </w:rPr>
        <w:t>contra</w:t>
      </w:r>
      <w:r>
        <w:rPr>
          <w:spacing w:val="-3"/>
          <w:sz w:val="15"/>
        </w:rPr>
        <w:t xml:space="preserve"> </w:t>
      </w:r>
      <w:r>
        <w:rPr>
          <w:sz w:val="15"/>
        </w:rPr>
        <w:t>la</w:t>
      </w:r>
      <w:r>
        <w:rPr>
          <w:spacing w:val="-3"/>
          <w:sz w:val="15"/>
        </w:rPr>
        <w:t xml:space="preserve"> </w:t>
      </w:r>
      <w:r>
        <w:rPr>
          <w:sz w:val="15"/>
        </w:rPr>
        <w:t>discriminación</w:t>
      </w:r>
      <w:r>
        <w:rPr>
          <w:spacing w:val="-3"/>
          <w:sz w:val="15"/>
        </w:rPr>
        <w:t xml:space="preserve"> </w:t>
      </w:r>
      <w:r>
        <w:rPr>
          <w:sz w:val="15"/>
        </w:rPr>
        <w:t>se</w:t>
      </w:r>
      <w:r>
        <w:rPr>
          <w:spacing w:val="-3"/>
          <w:sz w:val="15"/>
        </w:rPr>
        <w:t xml:space="preserve"> </w:t>
      </w:r>
      <w:r>
        <w:rPr>
          <w:sz w:val="15"/>
        </w:rPr>
        <w:t>detalla</w:t>
      </w:r>
      <w:r>
        <w:rPr>
          <w:spacing w:val="-3"/>
          <w:sz w:val="15"/>
        </w:rPr>
        <w:t xml:space="preserve"> </w:t>
      </w:r>
      <w:r>
        <w:rPr>
          <w:sz w:val="15"/>
        </w:rPr>
        <w:t>en</w:t>
      </w:r>
      <w:r>
        <w:rPr>
          <w:spacing w:val="-3"/>
          <w:sz w:val="15"/>
        </w:rPr>
        <w:t xml:space="preserve"> </w:t>
      </w:r>
      <w:r>
        <w:rPr>
          <w:sz w:val="15"/>
        </w:rPr>
        <w:t>el</w:t>
      </w:r>
      <w:r>
        <w:rPr>
          <w:spacing w:val="-3"/>
          <w:sz w:val="15"/>
        </w:rPr>
        <w:t xml:space="preserve"> </w:t>
      </w:r>
      <w:r>
        <w:rPr>
          <w:sz w:val="15"/>
        </w:rPr>
        <w:t>artículo</w:t>
      </w:r>
      <w:r>
        <w:rPr>
          <w:spacing w:val="-3"/>
          <w:sz w:val="15"/>
        </w:rPr>
        <w:t xml:space="preserve"> </w:t>
      </w:r>
      <w:r>
        <w:rPr>
          <w:sz w:val="15"/>
        </w:rPr>
        <w:t>14</w:t>
      </w:r>
      <w:r>
        <w:rPr>
          <w:spacing w:val="-3"/>
          <w:sz w:val="15"/>
        </w:rPr>
        <w:t xml:space="preserve"> </w:t>
      </w:r>
      <w:r>
        <w:rPr>
          <w:sz w:val="15"/>
        </w:rPr>
        <w:t>del</w:t>
      </w:r>
      <w:r>
        <w:rPr>
          <w:spacing w:val="-3"/>
          <w:sz w:val="15"/>
        </w:rPr>
        <w:t xml:space="preserve"> </w:t>
      </w:r>
      <w:r>
        <w:rPr>
          <w:sz w:val="15"/>
        </w:rPr>
        <w:t>proyecto</w:t>
      </w:r>
      <w:r>
        <w:rPr>
          <w:spacing w:val="-3"/>
          <w:sz w:val="15"/>
        </w:rPr>
        <w:t xml:space="preserve"> </w:t>
      </w:r>
      <w:r>
        <w:rPr>
          <w:sz w:val="15"/>
        </w:rPr>
        <w:t>de</w:t>
      </w:r>
      <w:r>
        <w:rPr>
          <w:spacing w:val="-3"/>
          <w:sz w:val="15"/>
        </w:rPr>
        <w:t xml:space="preserve"> </w:t>
      </w:r>
      <w:r>
        <w:rPr>
          <w:sz w:val="15"/>
        </w:rPr>
        <w:t>ley.</w:t>
      </w:r>
      <w:r>
        <w:rPr>
          <w:spacing w:val="-3"/>
          <w:sz w:val="15"/>
        </w:rPr>
        <w:t xml:space="preserve"> </w:t>
      </w:r>
      <w:r>
        <w:rPr>
          <w:sz w:val="15"/>
        </w:rPr>
        <w:t>Este</w:t>
      </w:r>
      <w:r>
        <w:rPr>
          <w:spacing w:val="-3"/>
          <w:sz w:val="15"/>
        </w:rPr>
        <w:t xml:space="preserve"> </w:t>
      </w:r>
      <w:r>
        <w:rPr>
          <w:sz w:val="15"/>
        </w:rPr>
        <w:t>deber</w:t>
      </w:r>
      <w:r>
        <w:rPr>
          <w:spacing w:val="-3"/>
          <w:sz w:val="15"/>
        </w:rPr>
        <w:t xml:space="preserve"> </w:t>
      </w:r>
      <w:r>
        <w:rPr>
          <w:sz w:val="15"/>
        </w:rPr>
        <w:t>requeriría</w:t>
      </w:r>
      <w:r>
        <w:rPr>
          <w:spacing w:val="-3"/>
          <w:sz w:val="15"/>
        </w:rPr>
        <w:t xml:space="preserve"> </w:t>
      </w:r>
      <w:r>
        <w:rPr>
          <w:sz w:val="15"/>
        </w:rPr>
        <w:t>que</w:t>
      </w:r>
      <w:r>
        <w:rPr>
          <w:spacing w:val="-3"/>
          <w:sz w:val="15"/>
        </w:rPr>
        <w:t xml:space="preserve"> </w:t>
      </w:r>
      <w:r>
        <w:rPr>
          <w:sz w:val="15"/>
        </w:rPr>
        <w:t>los</w:t>
      </w:r>
      <w:r>
        <w:rPr>
          <w:spacing w:val="-3"/>
          <w:sz w:val="15"/>
        </w:rPr>
        <w:t xml:space="preserve"> </w:t>
      </w:r>
      <w:r>
        <w:rPr>
          <w:sz w:val="15"/>
        </w:rPr>
        <w:t>titulares</w:t>
      </w:r>
      <w:r>
        <w:rPr>
          <w:spacing w:val="-4"/>
          <w:sz w:val="15"/>
        </w:rPr>
        <w:t xml:space="preserve"> </w:t>
      </w:r>
      <w:r>
        <w:rPr>
          <w:sz w:val="15"/>
        </w:rPr>
        <w:t>de deberes</w:t>
      </w:r>
      <w:r>
        <w:rPr>
          <w:spacing w:val="-10"/>
          <w:sz w:val="15"/>
        </w:rPr>
        <w:t xml:space="preserve"> </w:t>
      </w:r>
      <w:r>
        <w:rPr>
          <w:sz w:val="15"/>
        </w:rPr>
        <w:t>pertinentes</w:t>
      </w:r>
      <w:r>
        <w:rPr>
          <w:spacing w:val="-11"/>
          <w:sz w:val="15"/>
        </w:rPr>
        <w:t xml:space="preserve"> </w:t>
      </w:r>
      <w:r>
        <w:rPr>
          <w:sz w:val="15"/>
        </w:rPr>
        <w:t>se</w:t>
      </w:r>
      <w:r>
        <w:rPr>
          <w:spacing w:val="-9"/>
          <w:sz w:val="15"/>
        </w:rPr>
        <w:t xml:space="preserve"> </w:t>
      </w:r>
      <w:r>
        <w:rPr>
          <w:sz w:val="15"/>
        </w:rPr>
        <w:t>abstengan</w:t>
      </w:r>
      <w:r>
        <w:rPr>
          <w:spacing w:val="-10"/>
          <w:sz w:val="15"/>
        </w:rPr>
        <w:t xml:space="preserve"> </w:t>
      </w:r>
      <w:r>
        <w:rPr>
          <w:sz w:val="15"/>
        </w:rPr>
        <w:t>de</w:t>
      </w:r>
      <w:r>
        <w:rPr>
          <w:spacing w:val="-10"/>
          <w:sz w:val="15"/>
        </w:rPr>
        <w:t xml:space="preserve"> </w:t>
      </w:r>
      <w:r>
        <w:rPr>
          <w:sz w:val="15"/>
        </w:rPr>
        <w:t>discriminar</w:t>
      </w:r>
      <w:r>
        <w:rPr>
          <w:spacing w:val="-10"/>
          <w:sz w:val="15"/>
        </w:rPr>
        <w:t xml:space="preserve"> </w:t>
      </w:r>
      <w:r>
        <w:rPr>
          <w:sz w:val="15"/>
        </w:rPr>
        <w:t>e</w:t>
      </w:r>
      <w:r>
        <w:rPr>
          <w:spacing w:val="-10"/>
          <w:sz w:val="15"/>
        </w:rPr>
        <w:t xml:space="preserve"> </w:t>
      </w:r>
      <w:r>
        <w:rPr>
          <w:sz w:val="15"/>
        </w:rPr>
        <w:t>“instituyan</w:t>
      </w:r>
      <w:r>
        <w:rPr>
          <w:spacing w:val="-10"/>
          <w:sz w:val="15"/>
        </w:rPr>
        <w:t xml:space="preserve"> </w:t>
      </w:r>
      <w:r>
        <w:rPr>
          <w:sz w:val="15"/>
        </w:rPr>
        <w:t>un</w:t>
      </w:r>
      <w:r>
        <w:rPr>
          <w:spacing w:val="-10"/>
          <w:sz w:val="15"/>
        </w:rPr>
        <w:t xml:space="preserve"> </w:t>
      </w:r>
      <w:r>
        <w:rPr>
          <w:sz w:val="15"/>
        </w:rPr>
        <w:t>mecanismo</w:t>
      </w:r>
      <w:r>
        <w:rPr>
          <w:spacing w:val="-10"/>
          <w:sz w:val="15"/>
        </w:rPr>
        <w:t xml:space="preserve"> </w:t>
      </w:r>
      <w:r>
        <w:rPr>
          <w:sz w:val="15"/>
        </w:rPr>
        <w:t>formal</w:t>
      </w:r>
      <w:r>
        <w:rPr>
          <w:spacing w:val="-10"/>
          <w:sz w:val="15"/>
        </w:rPr>
        <w:t xml:space="preserve"> </w:t>
      </w:r>
      <w:r>
        <w:rPr>
          <w:sz w:val="15"/>
        </w:rPr>
        <w:t>de</w:t>
      </w:r>
      <w:r>
        <w:rPr>
          <w:spacing w:val="-10"/>
          <w:sz w:val="15"/>
        </w:rPr>
        <w:t xml:space="preserve"> </w:t>
      </w:r>
      <w:r>
        <w:rPr>
          <w:sz w:val="15"/>
        </w:rPr>
        <w:t>quejas</w:t>
      </w:r>
      <w:r>
        <w:rPr>
          <w:spacing w:val="-10"/>
          <w:sz w:val="15"/>
        </w:rPr>
        <w:t xml:space="preserve"> </w:t>
      </w:r>
      <w:r>
        <w:rPr>
          <w:sz w:val="15"/>
        </w:rPr>
        <w:t>fácilmente</w:t>
      </w:r>
      <w:r>
        <w:rPr>
          <w:spacing w:val="-10"/>
          <w:sz w:val="15"/>
        </w:rPr>
        <w:t xml:space="preserve"> </w:t>
      </w:r>
      <w:r>
        <w:rPr>
          <w:sz w:val="15"/>
        </w:rPr>
        <w:t>accesible,</w:t>
      </w:r>
      <w:r>
        <w:rPr>
          <w:spacing w:val="-9"/>
          <w:sz w:val="15"/>
        </w:rPr>
        <w:t xml:space="preserve"> </w:t>
      </w:r>
      <w:r>
        <w:rPr>
          <w:sz w:val="15"/>
        </w:rPr>
        <w:t>independiente</w:t>
      </w:r>
      <w:r>
        <w:rPr>
          <w:spacing w:val="-10"/>
          <w:sz w:val="15"/>
        </w:rPr>
        <w:t xml:space="preserve"> </w:t>
      </w:r>
      <w:r>
        <w:rPr>
          <w:sz w:val="15"/>
        </w:rPr>
        <w:t>y bien</w:t>
      </w:r>
      <w:r>
        <w:rPr>
          <w:spacing w:val="-7"/>
          <w:sz w:val="15"/>
        </w:rPr>
        <w:t xml:space="preserve"> </w:t>
      </w:r>
      <w:r>
        <w:rPr>
          <w:sz w:val="15"/>
        </w:rPr>
        <w:t>publicitado”</w:t>
      </w:r>
      <w:r>
        <w:rPr>
          <w:spacing w:val="-7"/>
          <w:sz w:val="15"/>
        </w:rPr>
        <w:t xml:space="preserve"> </w:t>
      </w:r>
      <w:r>
        <w:rPr>
          <w:sz w:val="15"/>
        </w:rPr>
        <w:t>de</w:t>
      </w:r>
      <w:r>
        <w:rPr>
          <w:spacing w:val="-7"/>
          <w:sz w:val="15"/>
        </w:rPr>
        <w:t xml:space="preserve"> </w:t>
      </w:r>
      <w:r>
        <w:rPr>
          <w:sz w:val="15"/>
        </w:rPr>
        <w:t>conformidad</w:t>
      </w:r>
      <w:r>
        <w:rPr>
          <w:spacing w:val="-7"/>
          <w:sz w:val="15"/>
        </w:rPr>
        <w:t xml:space="preserve"> </w:t>
      </w:r>
      <w:r>
        <w:rPr>
          <w:sz w:val="15"/>
        </w:rPr>
        <w:t>con</w:t>
      </w:r>
      <w:r>
        <w:rPr>
          <w:spacing w:val="-7"/>
          <w:sz w:val="15"/>
        </w:rPr>
        <w:t xml:space="preserve"> </w:t>
      </w:r>
      <w:r>
        <w:rPr>
          <w:sz w:val="15"/>
        </w:rPr>
        <w:t>las</w:t>
      </w:r>
      <w:r>
        <w:rPr>
          <w:spacing w:val="-7"/>
          <w:sz w:val="15"/>
        </w:rPr>
        <w:t xml:space="preserve"> </w:t>
      </w:r>
      <w:r>
        <w:rPr>
          <w:sz w:val="15"/>
        </w:rPr>
        <w:t>orientaciones</w:t>
      </w:r>
      <w:r>
        <w:rPr>
          <w:spacing w:val="-7"/>
          <w:sz w:val="15"/>
        </w:rPr>
        <w:t xml:space="preserve"> </w:t>
      </w:r>
      <w:r>
        <w:rPr>
          <w:sz w:val="15"/>
        </w:rPr>
        <w:t>emitidas</w:t>
      </w:r>
      <w:r>
        <w:rPr>
          <w:spacing w:val="-7"/>
          <w:sz w:val="15"/>
        </w:rPr>
        <w:t xml:space="preserve"> </w:t>
      </w:r>
      <w:r>
        <w:rPr>
          <w:sz w:val="15"/>
        </w:rPr>
        <w:t>por</w:t>
      </w:r>
      <w:r>
        <w:rPr>
          <w:spacing w:val="-7"/>
          <w:sz w:val="15"/>
        </w:rPr>
        <w:t xml:space="preserve"> </w:t>
      </w:r>
      <w:r>
        <w:rPr>
          <w:sz w:val="15"/>
        </w:rPr>
        <w:t>la</w:t>
      </w:r>
      <w:r>
        <w:rPr>
          <w:spacing w:val="-7"/>
          <w:sz w:val="15"/>
        </w:rPr>
        <w:t xml:space="preserve"> </w:t>
      </w:r>
      <w:r>
        <w:rPr>
          <w:sz w:val="15"/>
        </w:rPr>
        <w:t>Comisión</w:t>
      </w:r>
      <w:r>
        <w:rPr>
          <w:spacing w:val="-7"/>
          <w:sz w:val="15"/>
        </w:rPr>
        <w:t xml:space="preserve"> </w:t>
      </w:r>
      <w:r>
        <w:rPr>
          <w:sz w:val="15"/>
        </w:rPr>
        <w:t>Central</w:t>
      </w:r>
      <w:r>
        <w:rPr>
          <w:spacing w:val="-7"/>
          <w:sz w:val="15"/>
        </w:rPr>
        <w:t xml:space="preserve"> </w:t>
      </w:r>
      <w:r>
        <w:rPr>
          <w:sz w:val="15"/>
        </w:rPr>
        <w:t>para</w:t>
      </w:r>
      <w:r>
        <w:rPr>
          <w:spacing w:val="-7"/>
          <w:sz w:val="15"/>
        </w:rPr>
        <w:t xml:space="preserve"> </w:t>
      </w:r>
      <w:r>
        <w:rPr>
          <w:sz w:val="15"/>
        </w:rPr>
        <w:t>la</w:t>
      </w:r>
      <w:r>
        <w:rPr>
          <w:spacing w:val="-7"/>
          <w:sz w:val="15"/>
        </w:rPr>
        <w:t xml:space="preserve"> </w:t>
      </w:r>
      <w:r>
        <w:rPr>
          <w:sz w:val="15"/>
        </w:rPr>
        <w:t>Igualdad</w:t>
      </w:r>
      <w:r>
        <w:rPr>
          <w:spacing w:val="-7"/>
          <w:sz w:val="15"/>
        </w:rPr>
        <w:t xml:space="preserve"> </w:t>
      </w:r>
      <w:r>
        <w:rPr>
          <w:sz w:val="15"/>
        </w:rPr>
        <w:t>(cuyo</w:t>
      </w:r>
      <w:r>
        <w:rPr>
          <w:spacing w:val="-7"/>
          <w:sz w:val="15"/>
        </w:rPr>
        <w:t xml:space="preserve"> </w:t>
      </w:r>
      <w:r>
        <w:rPr>
          <w:sz w:val="15"/>
        </w:rPr>
        <w:t>establecimiento</w:t>
      </w:r>
      <w:r>
        <w:rPr>
          <w:spacing w:val="-7"/>
          <w:sz w:val="15"/>
        </w:rPr>
        <w:t xml:space="preserve"> </w:t>
      </w:r>
      <w:r>
        <w:rPr>
          <w:sz w:val="15"/>
        </w:rPr>
        <w:t>está previsto en el capítulo III).</w:t>
      </w:r>
    </w:p>
    <w:p w14:paraId="0B0985D4" w14:textId="77777777" w:rsidR="0014798C" w:rsidRDefault="004E1F0B">
      <w:pPr>
        <w:spacing w:before="116" w:line="340" w:lineRule="auto"/>
        <w:ind w:left="1334" w:right="1272" w:hanging="2"/>
        <w:rPr>
          <w:sz w:val="15"/>
        </w:rPr>
      </w:pPr>
      <w:r>
        <w:rPr>
          <w:sz w:val="15"/>
        </w:rPr>
        <w:t>El</w:t>
      </w:r>
      <w:r>
        <w:rPr>
          <w:spacing w:val="-5"/>
          <w:sz w:val="15"/>
        </w:rPr>
        <w:t xml:space="preserve"> </w:t>
      </w:r>
      <w:r>
        <w:rPr>
          <w:sz w:val="15"/>
        </w:rPr>
        <w:t>deber</w:t>
      </w:r>
      <w:r>
        <w:rPr>
          <w:spacing w:val="-5"/>
          <w:sz w:val="15"/>
        </w:rPr>
        <w:t xml:space="preserve"> </w:t>
      </w:r>
      <w:r>
        <w:rPr>
          <w:sz w:val="15"/>
        </w:rPr>
        <w:t>de</w:t>
      </w:r>
      <w:r>
        <w:rPr>
          <w:spacing w:val="-5"/>
          <w:sz w:val="15"/>
        </w:rPr>
        <w:t xml:space="preserve"> </w:t>
      </w:r>
      <w:r>
        <w:rPr>
          <w:sz w:val="15"/>
        </w:rPr>
        <w:t>diversificación,</w:t>
      </w:r>
      <w:r>
        <w:rPr>
          <w:spacing w:val="-4"/>
          <w:sz w:val="15"/>
        </w:rPr>
        <w:t xml:space="preserve"> </w:t>
      </w:r>
      <w:r>
        <w:rPr>
          <w:sz w:val="15"/>
        </w:rPr>
        <w:t>que</w:t>
      </w:r>
      <w:r>
        <w:rPr>
          <w:spacing w:val="-5"/>
          <w:sz w:val="15"/>
        </w:rPr>
        <w:t xml:space="preserve"> </w:t>
      </w:r>
      <w:r>
        <w:rPr>
          <w:sz w:val="15"/>
        </w:rPr>
        <w:t>se</w:t>
      </w:r>
      <w:r>
        <w:rPr>
          <w:spacing w:val="-5"/>
          <w:sz w:val="15"/>
        </w:rPr>
        <w:t xml:space="preserve"> </w:t>
      </w:r>
      <w:r>
        <w:rPr>
          <w:sz w:val="15"/>
        </w:rPr>
        <w:t>detalla</w:t>
      </w:r>
      <w:r>
        <w:rPr>
          <w:spacing w:val="-5"/>
          <w:sz w:val="15"/>
        </w:rPr>
        <w:t xml:space="preserve"> </w:t>
      </w:r>
      <w:r>
        <w:rPr>
          <w:sz w:val="15"/>
        </w:rPr>
        <w:t>en</w:t>
      </w:r>
      <w:r>
        <w:rPr>
          <w:spacing w:val="-5"/>
          <w:sz w:val="15"/>
        </w:rPr>
        <w:t xml:space="preserve"> </w:t>
      </w:r>
      <w:r>
        <w:rPr>
          <w:sz w:val="15"/>
        </w:rPr>
        <w:t>el</w:t>
      </w:r>
      <w:r>
        <w:rPr>
          <w:spacing w:val="-5"/>
          <w:sz w:val="15"/>
        </w:rPr>
        <w:t xml:space="preserve"> </w:t>
      </w:r>
      <w:r>
        <w:rPr>
          <w:sz w:val="15"/>
        </w:rPr>
        <w:t>artículo</w:t>
      </w:r>
      <w:r>
        <w:rPr>
          <w:spacing w:val="-5"/>
          <w:sz w:val="15"/>
        </w:rPr>
        <w:t xml:space="preserve"> </w:t>
      </w:r>
      <w:r>
        <w:rPr>
          <w:sz w:val="15"/>
        </w:rPr>
        <w:t>15,</w:t>
      </w:r>
      <w:r>
        <w:rPr>
          <w:spacing w:val="-5"/>
          <w:sz w:val="15"/>
        </w:rPr>
        <w:t xml:space="preserve"> </w:t>
      </w:r>
      <w:r>
        <w:rPr>
          <w:sz w:val="15"/>
        </w:rPr>
        <w:t>requeriría:</w:t>
      </w:r>
      <w:r>
        <w:rPr>
          <w:spacing w:val="-4"/>
          <w:sz w:val="15"/>
        </w:rPr>
        <w:t xml:space="preserve"> </w:t>
      </w:r>
      <w:r>
        <w:rPr>
          <w:sz w:val="15"/>
        </w:rPr>
        <w:t>“Toda</w:t>
      </w:r>
      <w:r>
        <w:rPr>
          <w:spacing w:val="-5"/>
          <w:sz w:val="15"/>
        </w:rPr>
        <w:t xml:space="preserve"> </w:t>
      </w:r>
      <w:r>
        <w:rPr>
          <w:sz w:val="15"/>
        </w:rPr>
        <w:t>autoridad</w:t>
      </w:r>
      <w:r>
        <w:rPr>
          <w:spacing w:val="-5"/>
          <w:sz w:val="15"/>
        </w:rPr>
        <w:t xml:space="preserve"> </w:t>
      </w:r>
      <w:r>
        <w:rPr>
          <w:sz w:val="15"/>
        </w:rPr>
        <w:t>pública,</w:t>
      </w:r>
      <w:r>
        <w:rPr>
          <w:spacing w:val="-5"/>
          <w:sz w:val="15"/>
        </w:rPr>
        <w:t xml:space="preserve"> </w:t>
      </w:r>
      <w:r>
        <w:rPr>
          <w:sz w:val="15"/>
        </w:rPr>
        <w:t>propietario</w:t>
      </w:r>
      <w:r>
        <w:rPr>
          <w:spacing w:val="-5"/>
          <w:sz w:val="15"/>
        </w:rPr>
        <w:t xml:space="preserve"> </w:t>
      </w:r>
      <w:r>
        <w:rPr>
          <w:sz w:val="15"/>
        </w:rPr>
        <w:t>o</w:t>
      </w:r>
      <w:r>
        <w:rPr>
          <w:spacing w:val="-5"/>
          <w:sz w:val="15"/>
        </w:rPr>
        <w:t xml:space="preserve"> </w:t>
      </w:r>
      <w:r>
        <w:rPr>
          <w:sz w:val="15"/>
        </w:rPr>
        <w:t>sociedad</w:t>
      </w:r>
      <w:r>
        <w:rPr>
          <w:spacing w:val="-5"/>
          <w:sz w:val="15"/>
        </w:rPr>
        <w:t xml:space="preserve"> </w:t>
      </w:r>
      <w:r>
        <w:rPr>
          <w:sz w:val="15"/>
        </w:rPr>
        <w:t>de</w:t>
      </w:r>
      <w:r>
        <w:rPr>
          <w:spacing w:val="-5"/>
          <w:sz w:val="15"/>
        </w:rPr>
        <w:t xml:space="preserve"> </w:t>
      </w:r>
      <w:r>
        <w:rPr>
          <w:sz w:val="15"/>
        </w:rPr>
        <w:t>vivienda</w:t>
      </w:r>
      <w:r>
        <w:rPr>
          <w:spacing w:val="-5"/>
          <w:sz w:val="15"/>
        </w:rPr>
        <w:t xml:space="preserve"> </w:t>
      </w:r>
      <w:r>
        <w:rPr>
          <w:sz w:val="15"/>
        </w:rPr>
        <w:t>que administre</w:t>
      </w:r>
      <w:r>
        <w:rPr>
          <w:spacing w:val="-11"/>
          <w:sz w:val="15"/>
        </w:rPr>
        <w:t xml:space="preserve"> </w:t>
      </w:r>
      <w:r>
        <w:rPr>
          <w:sz w:val="15"/>
        </w:rPr>
        <w:t>más</w:t>
      </w:r>
      <w:r>
        <w:rPr>
          <w:spacing w:val="-10"/>
          <w:sz w:val="15"/>
        </w:rPr>
        <w:t xml:space="preserve"> </w:t>
      </w:r>
      <w:r>
        <w:rPr>
          <w:sz w:val="15"/>
        </w:rPr>
        <w:t>de</w:t>
      </w:r>
      <w:r>
        <w:rPr>
          <w:spacing w:val="-11"/>
          <w:sz w:val="15"/>
        </w:rPr>
        <w:t xml:space="preserve"> </w:t>
      </w:r>
      <w:r>
        <w:rPr>
          <w:sz w:val="15"/>
        </w:rPr>
        <w:t>cincuenta</w:t>
      </w:r>
      <w:r>
        <w:rPr>
          <w:spacing w:val="-10"/>
          <w:sz w:val="15"/>
        </w:rPr>
        <w:t xml:space="preserve"> </w:t>
      </w:r>
      <w:r>
        <w:rPr>
          <w:sz w:val="15"/>
        </w:rPr>
        <w:t>unidades</w:t>
      </w:r>
      <w:r>
        <w:rPr>
          <w:spacing w:val="-11"/>
          <w:sz w:val="15"/>
        </w:rPr>
        <w:t xml:space="preserve"> </w:t>
      </w:r>
      <w:r>
        <w:rPr>
          <w:sz w:val="15"/>
        </w:rPr>
        <w:t>residenciales,</w:t>
      </w:r>
      <w:r>
        <w:rPr>
          <w:spacing w:val="-10"/>
          <w:sz w:val="15"/>
        </w:rPr>
        <w:t xml:space="preserve"> </w:t>
      </w:r>
      <w:r>
        <w:rPr>
          <w:sz w:val="15"/>
        </w:rPr>
        <w:t>instituciones</w:t>
      </w:r>
      <w:r>
        <w:rPr>
          <w:spacing w:val="-10"/>
          <w:sz w:val="15"/>
        </w:rPr>
        <w:t xml:space="preserve"> </w:t>
      </w:r>
      <w:r>
        <w:rPr>
          <w:sz w:val="15"/>
        </w:rPr>
        <w:t>de</w:t>
      </w:r>
      <w:r>
        <w:rPr>
          <w:spacing w:val="-11"/>
          <w:sz w:val="15"/>
        </w:rPr>
        <w:t xml:space="preserve"> </w:t>
      </w:r>
      <w:r>
        <w:rPr>
          <w:sz w:val="15"/>
        </w:rPr>
        <w:t>educación</w:t>
      </w:r>
      <w:r>
        <w:rPr>
          <w:spacing w:val="-10"/>
          <w:sz w:val="15"/>
        </w:rPr>
        <w:t xml:space="preserve"> </w:t>
      </w:r>
      <w:r>
        <w:rPr>
          <w:sz w:val="15"/>
        </w:rPr>
        <w:t>secundaria</w:t>
      </w:r>
      <w:r>
        <w:rPr>
          <w:spacing w:val="-11"/>
          <w:sz w:val="15"/>
        </w:rPr>
        <w:t xml:space="preserve"> </w:t>
      </w:r>
      <w:r>
        <w:rPr>
          <w:sz w:val="15"/>
        </w:rPr>
        <w:t>o</w:t>
      </w:r>
      <w:r>
        <w:rPr>
          <w:spacing w:val="-10"/>
          <w:sz w:val="15"/>
        </w:rPr>
        <w:t xml:space="preserve"> </w:t>
      </w:r>
      <w:r>
        <w:rPr>
          <w:sz w:val="15"/>
        </w:rPr>
        <w:t>terciaria,</w:t>
      </w:r>
      <w:r>
        <w:rPr>
          <w:spacing w:val="-11"/>
          <w:sz w:val="15"/>
        </w:rPr>
        <w:t xml:space="preserve"> </w:t>
      </w:r>
      <w:r>
        <w:rPr>
          <w:sz w:val="15"/>
        </w:rPr>
        <w:t>persona</w:t>
      </w:r>
      <w:r>
        <w:rPr>
          <w:spacing w:val="-10"/>
          <w:sz w:val="15"/>
        </w:rPr>
        <w:t xml:space="preserve"> </w:t>
      </w:r>
      <w:r>
        <w:rPr>
          <w:sz w:val="15"/>
        </w:rPr>
        <w:t>privada</w:t>
      </w:r>
      <w:r>
        <w:rPr>
          <w:spacing w:val="-10"/>
          <w:sz w:val="15"/>
        </w:rPr>
        <w:t xml:space="preserve"> </w:t>
      </w:r>
      <w:r>
        <w:rPr>
          <w:sz w:val="15"/>
        </w:rPr>
        <w:t>que</w:t>
      </w:r>
      <w:r>
        <w:rPr>
          <w:spacing w:val="-11"/>
          <w:sz w:val="15"/>
        </w:rPr>
        <w:t xml:space="preserve"> </w:t>
      </w:r>
      <w:r>
        <w:rPr>
          <w:sz w:val="15"/>
        </w:rPr>
        <w:t>desempeñe funciones</w:t>
      </w:r>
      <w:r>
        <w:rPr>
          <w:spacing w:val="-2"/>
          <w:sz w:val="15"/>
        </w:rPr>
        <w:t xml:space="preserve"> </w:t>
      </w:r>
      <w:r>
        <w:rPr>
          <w:sz w:val="15"/>
        </w:rPr>
        <w:t>públicas</w:t>
      </w:r>
      <w:r>
        <w:rPr>
          <w:spacing w:val="-2"/>
          <w:sz w:val="15"/>
        </w:rPr>
        <w:t xml:space="preserve"> </w:t>
      </w:r>
      <w:r>
        <w:rPr>
          <w:sz w:val="15"/>
        </w:rPr>
        <w:t>y</w:t>
      </w:r>
      <w:r>
        <w:rPr>
          <w:spacing w:val="-2"/>
          <w:sz w:val="15"/>
        </w:rPr>
        <w:t xml:space="preserve"> </w:t>
      </w:r>
      <w:r>
        <w:rPr>
          <w:sz w:val="15"/>
        </w:rPr>
        <w:t>empleadores</w:t>
      </w:r>
      <w:r>
        <w:rPr>
          <w:spacing w:val="-2"/>
          <w:sz w:val="15"/>
        </w:rPr>
        <w:t xml:space="preserve"> </w:t>
      </w:r>
      <w:r>
        <w:rPr>
          <w:sz w:val="15"/>
        </w:rPr>
        <w:t>con</w:t>
      </w:r>
      <w:r>
        <w:rPr>
          <w:spacing w:val="-2"/>
          <w:sz w:val="15"/>
        </w:rPr>
        <w:t xml:space="preserve"> </w:t>
      </w:r>
      <w:r>
        <w:rPr>
          <w:sz w:val="15"/>
        </w:rPr>
        <w:t>más</w:t>
      </w:r>
      <w:r>
        <w:rPr>
          <w:spacing w:val="-2"/>
          <w:sz w:val="15"/>
        </w:rPr>
        <w:t xml:space="preserve"> </w:t>
      </w:r>
      <w:r>
        <w:rPr>
          <w:sz w:val="15"/>
        </w:rPr>
        <w:t>de</w:t>
      </w:r>
      <w:r>
        <w:rPr>
          <w:spacing w:val="-2"/>
          <w:sz w:val="15"/>
        </w:rPr>
        <w:t xml:space="preserve"> </w:t>
      </w:r>
      <w:r>
        <w:rPr>
          <w:sz w:val="15"/>
        </w:rPr>
        <w:t>cien</w:t>
      </w:r>
      <w:r>
        <w:rPr>
          <w:spacing w:val="-2"/>
          <w:sz w:val="15"/>
        </w:rPr>
        <w:t xml:space="preserve"> </w:t>
      </w:r>
      <w:r>
        <w:rPr>
          <w:sz w:val="15"/>
        </w:rPr>
        <w:t>empleados</w:t>
      </w:r>
      <w:r>
        <w:rPr>
          <w:spacing w:val="-2"/>
          <w:sz w:val="15"/>
        </w:rPr>
        <w:t xml:space="preserve"> </w:t>
      </w:r>
      <w:r>
        <w:rPr>
          <w:sz w:val="15"/>
        </w:rPr>
        <w:t>[</w:t>
      </w:r>
      <w:proofErr w:type="gramStart"/>
      <w:r>
        <w:rPr>
          <w:sz w:val="15"/>
        </w:rPr>
        <w:t>a</w:t>
      </w:r>
      <w:r>
        <w:rPr>
          <w:spacing w:val="-2"/>
          <w:sz w:val="15"/>
        </w:rPr>
        <w:t xml:space="preserve"> </w:t>
      </w:r>
      <w:r>
        <w:rPr>
          <w:sz w:val="15"/>
        </w:rPr>
        <w:t>]</w:t>
      </w:r>
      <w:proofErr w:type="gramEnd"/>
      <w:r>
        <w:rPr>
          <w:spacing w:val="-2"/>
          <w:sz w:val="15"/>
        </w:rPr>
        <w:t xml:space="preserve"> </w:t>
      </w:r>
      <w:r>
        <w:rPr>
          <w:sz w:val="15"/>
        </w:rPr>
        <w:t>calcular,</w:t>
      </w:r>
      <w:r>
        <w:rPr>
          <w:spacing w:val="-1"/>
          <w:sz w:val="15"/>
        </w:rPr>
        <w:t xml:space="preserve"> </w:t>
      </w:r>
      <w:r>
        <w:rPr>
          <w:sz w:val="15"/>
        </w:rPr>
        <w:t>publicar</w:t>
      </w:r>
      <w:r>
        <w:rPr>
          <w:spacing w:val="-2"/>
          <w:sz w:val="15"/>
        </w:rPr>
        <w:t xml:space="preserve"> </w:t>
      </w:r>
      <w:r>
        <w:rPr>
          <w:sz w:val="15"/>
        </w:rPr>
        <w:t>e</w:t>
      </w:r>
      <w:r>
        <w:rPr>
          <w:spacing w:val="-2"/>
          <w:sz w:val="15"/>
        </w:rPr>
        <w:t xml:space="preserve"> </w:t>
      </w:r>
      <w:r>
        <w:rPr>
          <w:sz w:val="15"/>
        </w:rPr>
        <w:t>informar</w:t>
      </w:r>
      <w:r>
        <w:rPr>
          <w:spacing w:val="-2"/>
          <w:sz w:val="15"/>
        </w:rPr>
        <w:t xml:space="preserve"> </w:t>
      </w:r>
      <w:r>
        <w:rPr>
          <w:sz w:val="15"/>
        </w:rPr>
        <w:t>su</w:t>
      </w:r>
      <w:r>
        <w:rPr>
          <w:spacing w:val="-2"/>
          <w:sz w:val="15"/>
        </w:rPr>
        <w:t xml:space="preserve"> </w:t>
      </w:r>
      <w:r>
        <w:rPr>
          <w:sz w:val="15"/>
        </w:rPr>
        <w:t>Índice</w:t>
      </w:r>
      <w:r>
        <w:rPr>
          <w:spacing w:val="-2"/>
          <w:sz w:val="15"/>
        </w:rPr>
        <w:t xml:space="preserve"> </w:t>
      </w:r>
      <w:r>
        <w:rPr>
          <w:sz w:val="15"/>
        </w:rPr>
        <w:t>de</w:t>
      </w:r>
      <w:r>
        <w:rPr>
          <w:spacing w:val="-2"/>
          <w:sz w:val="15"/>
        </w:rPr>
        <w:t xml:space="preserve"> </w:t>
      </w:r>
      <w:r>
        <w:rPr>
          <w:sz w:val="15"/>
        </w:rPr>
        <w:t>Diversidad</w:t>
      </w:r>
      <w:r>
        <w:rPr>
          <w:spacing w:val="-2"/>
          <w:sz w:val="15"/>
        </w:rPr>
        <w:t xml:space="preserve"> </w:t>
      </w:r>
      <w:r>
        <w:rPr>
          <w:sz w:val="15"/>
        </w:rPr>
        <w:t>a</w:t>
      </w:r>
      <w:r>
        <w:rPr>
          <w:spacing w:val="-2"/>
          <w:sz w:val="15"/>
        </w:rPr>
        <w:t xml:space="preserve"> </w:t>
      </w:r>
      <w:r>
        <w:rPr>
          <w:sz w:val="15"/>
        </w:rPr>
        <w:t>la</w:t>
      </w:r>
      <w:r>
        <w:rPr>
          <w:spacing w:val="-2"/>
          <w:sz w:val="15"/>
        </w:rPr>
        <w:t xml:space="preserve"> </w:t>
      </w:r>
      <w:r>
        <w:rPr>
          <w:sz w:val="15"/>
        </w:rPr>
        <w:t>Comisión Estatal de Igualdad, en la forma prescrita por la Comisión Central de Igualdad”.</w:t>
      </w:r>
    </w:p>
    <w:p w14:paraId="075FBEDB" w14:textId="77777777" w:rsidR="0014798C" w:rsidRDefault="0014798C">
      <w:pPr>
        <w:pStyle w:val="Textoindependiente"/>
        <w:spacing w:before="139"/>
        <w:rPr>
          <w:sz w:val="17"/>
        </w:rPr>
      </w:pPr>
    </w:p>
    <w:p w14:paraId="7F298ACE" w14:textId="77777777" w:rsidR="0014798C" w:rsidRDefault="004E1F0B">
      <w:pPr>
        <w:spacing w:line="302" w:lineRule="auto"/>
        <w:ind w:left="1333" w:right="1418" w:firstLine="1"/>
        <w:rPr>
          <w:sz w:val="17"/>
        </w:rPr>
      </w:pPr>
      <w:r>
        <w:rPr>
          <w:sz w:val="17"/>
        </w:rPr>
        <w:t>Las personas y organismos obligados por el deber de diversificación deberían tomar “medidas para realizar progresivamente la diversificación en todos los aspectos de su trabajo” y el cumplimiento de sus responsabilidades. Además, se exigiría a las autoridades públicas que lleven a cabo “sesiones periódicas de capacitación para su personal a fin de sensibilizarlos [sobre] la importancia de la igualdad, la antidiscriminación y la diversidad, y educarlos para llevar a cabo los propósitos de esta Ley”.</w:t>
      </w:r>
    </w:p>
    <w:p w14:paraId="77BF0A54" w14:textId="77777777" w:rsidR="0014798C" w:rsidRDefault="004E1F0B">
      <w:pPr>
        <w:spacing w:before="139" w:line="340" w:lineRule="auto"/>
        <w:ind w:left="1333" w:right="1463" w:hanging="1"/>
        <w:rPr>
          <w:sz w:val="15"/>
        </w:rPr>
      </w:pPr>
      <w:r>
        <w:rPr>
          <w:sz w:val="15"/>
        </w:rPr>
        <w:t>El</w:t>
      </w:r>
      <w:r>
        <w:rPr>
          <w:spacing w:val="-3"/>
          <w:sz w:val="15"/>
        </w:rPr>
        <w:t xml:space="preserve"> </w:t>
      </w:r>
      <w:r>
        <w:rPr>
          <w:sz w:val="15"/>
        </w:rPr>
        <w:t>deber</w:t>
      </w:r>
      <w:r>
        <w:rPr>
          <w:spacing w:val="-3"/>
          <w:sz w:val="15"/>
        </w:rPr>
        <w:t xml:space="preserve"> </w:t>
      </w:r>
      <w:r>
        <w:rPr>
          <w:sz w:val="15"/>
        </w:rPr>
        <w:t>de</w:t>
      </w:r>
      <w:r>
        <w:rPr>
          <w:spacing w:val="-3"/>
          <w:sz w:val="15"/>
        </w:rPr>
        <w:t xml:space="preserve"> </w:t>
      </w:r>
      <w:r>
        <w:rPr>
          <w:sz w:val="15"/>
        </w:rPr>
        <w:t>debida</w:t>
      </w:r>
      <w:r>
        <w:rPr>
          <w:spacing w:val="-3"/>
          <w:sz w:val="15"/>
        </w:rPr>
        <w:t xml:space="preserve"> </w:t>
      </w:r>
      <w:r>
        <w:rPr>
          <w:sz w:val="15"/>
        </w:rPr>
        <w:t>consideración</w:t>
      </w:r>
      <w:r>
        <w:rPr>
          <w:spacing w:val="-3"/>
          <w:sz w:val="15"/>
        </w:rPr>
        <w:t xml:space="preserve"> </w:t>
      </w:r>
      <w:r>
        <w:rPr>
          <w:sz w:val="15"/>
        </w:rPr>
        <w:t>se</w:t>
      </w:r>
      <w:r>
        <w:rPr>
          <w:spacing w:val="-3"/>
          <w:sz w:val="15"/>
        </w:rPr>
        <w:t xml:space="preserve"> </w:t>
      </w:r>
      <w:r>
        <w:rPr>
          <w:sz w:val="15"/>
        </w:rPr>
        <w:t>establece</w:t>
      </w:r>
      <w:r>
        <w:rPr>
          <w:spacing w:val="-3"/>
          <w:sz w:val="15"/>
        </w:rPr>
        <w:t xml:space="preserve"> </w:t>
      </w:r>
      <w:r>
        <w:rPr>
          <w:sz w:val="15"/>
        </w:rPr>
        <w:t>en</w:t>
      </w:r>
      <w:r>
        <w:rPr>
          <w:spacing w:val="-3"/>
          <w:sz w:val="15"/>
        </w:rPr>
        <w:t xml:space="preserve"> </w:t>
      </w:r>
      <w:r>
        <w:rPr>
          <w:sz w:val="15"/>
        </w:rPr>
        <w:t>el</w:t>
      </w:r>
      <w:r>
        <w:rPr>
          <w:spacing w:val="-3"/>
          <w:sz w:val="15"/>
        </w:rPr>
        <w:t xml:space="preserve"> </w:t>
      </w:r>
      <w:r>
        <w:rPr>
          <w:sz w:val="15"/>
        </w:rPr>
        <w:t>artículo</w:t>
      </w:r>
      <w:r>
        <w:rPr>
          <w:spacing w:val="-3"/>
          <w:sz w:val="15"/>
        </w:rPr>
        <w:t xml:space="preserve"> </w:t>
      </w:r>
      <w:r>
        <w:rPr>
          <w:sz w:val="15"/>
        </w:rPr>
        <w:t>16</w:t>
      </w:r>
      <w:r>
        <w:rPr>
          <w:spacing w:val="-3"/>
          <w:sz w:val="15"/>
        </w:rPr>
        <w:t xml:space="preserve"> </w:t>
      </w:r>
      <w:r>
        <w:rPr>
          <w:sz w:val="15"/>
        </w:rPr>
        <w:t>y</w:t>
      </w:r>
      <w:r>
        <w:rPr>
          <w:spacing w:val="-3"/>
          <w:sz w:val="15"/>
        </w:rPr>
        <w:t xml:space="preserve"> </w:t>
      </w:r>
      <w:r>
        <w:rPr>
          <w:sz w:val="15"/>
        </w:rPr>
        <w:t>establece</w:t>
      </w:r>
      <w:r>
        <w:rPr>
          <w:spacing w:val="-3"/>
          <w:sz w:val="15"/>
        </w:rPr>
        <w:t xml:space="preserve"> </w:t>
      </w:r>
      <w:r>
        <w:rPr>
          <w:sz w:val="15"/>
        </w:rPr>
        <w:t>que:</w:t>
      </w:r>
      <w:r>
        <w:rPr>
          <w:spacing w:val="-3"/>
          <w:sz w:val="15"/>
        </w:rPr>
        <w:t xml:space="preserve"> </w:t>
      </w:r>
      <w:r>
        <w:rPr>
          <w:sz w:val="15"/>
        </w:rPr>
        <w:t>“Todas</w:t>
      </w:r>
      <w:r>
        <w:rPr>
          <w:spacing w:val="-3"/>
          <w:sz w:val="15"/>
        </w:rPr>
        <w:t xml:space="preserve"> </w:t>
      </w:r>
      <w:r>
        <w:rPr>
          <w:sz w:val="15"/>
        </w:rPr>
        <w:t>las</w:t>
      </w:r>
      <w:r>
        <w:rPr>
          <w:spacing w:val="-3"/>
          <w:sz w:val="15"/>
        </w:rPr>
        <w:t xml:space="preserve"> </w:t>
      </w:r>
      <w:r>
        <w:rPr>
          <w:sz w:val="15"/>
        </w:rPr>
        <w:t>autoridades</w:t>
      </w:r>
      <w:r>
        <w:rPr>
          <w:spacing w:val="-3"/>
          <w:sz w:val="15"/>
        </w:rPr>
        <w:t xml:space="preserve"> </w:t>
      </w:r>
      <w:r>
        <w:rPr>
          <w:sz w:val="15"/>
        </w:rPr>
        <w:t>públicas,</w:t>
      </w:r>
      <w:r>
        <w:rPr>
          <w:spacing w:val="-2"/>
          <w:sz w:val="15"/>
        </w:rPr>
        <w:t xml:space="preserve"> </w:t>
      </w:r>
      <w:r>
        <w:rPr>
          <w:sz w:val="15"/>
        </w:rPr>
        <w:t>al</w:t>
      </w:r>
      <w:r>
        <w:rPr>
          <w:spacing w:val="-3"/>
          <w:sz w:val="15"/>
        </w:rPr>
        <w:t xml:space="preserve"> </w:t>
      </w:r>
      <w:r>
        <w:rPr>
          <w:sz w:val="15"/>
        </w:rPr>
        <w:t>elaborar</w:t>
      </w:r>
      <w:r>
        <w:rPr>
          <w:spacing w:val="-3"/>
          <w:sz w:val="15"/>
        </w:rPr>
        <w:t xml:space="preserve"> </w:t>
      </w:r>
      <w:r>
        <w:rPr>
          <w:sz w:val="15"/>
        </w:rPr>
        <w:t>una norma,</w:t>
      </w:r>
      <w:r>
        <w:rPr>
          <w:spacing w:val="-10"/>
          <w:sz w:val="15"/>
        </w:rPr>
        <w:t xml:space="preserve"> </w:t>
      </w:r>
      <w:r>
        <w:rPr>
          <w:sz w:val="15"/>
        </w:rPr>
        <w:t>reglamento,</w:t>
      </w:r>
      <w:r>
        <w:rPr>
          <w:spacing w:val="-10"/>
          <w:sz w:val="15"/>
        </w:rPr>
        <w:t xml:space="preserve"> </w:t>
      </w:r>
      <w:r>
        <w:rPr>
          <w:sz w:val="15"/>
        </w:rPr>
        <w:t>política</w:t>
      </w:r>
      <w:r>
        <w:rPr>
          <w:spacing w:val="-10"/>
          <w:sz w:val="15"/>
        </w:rPr>
        <w:t xml:space="preserve"> </w:t>
      </w:r>
      <w:r>
        <w:rPr>
          <w:sz w:val="15"/>
        </w:rPr>
        <w:t>o</w:t>
      </w:r>
      <w:r>
        <w:rPr>
          <w:spacing w:val="-10"/>
          <w:sz w:val="15"/>
        </w:rPr>
        <w:t xml:space="preserve"> </w:t>
      </w:r>
      <w:r>
        <w:rPr>
          <w:sz w:val="15"/>
        </w:rPr>
        <w:t>decisión</w:t>
      </w:r>
      <w:r>
        <w:rPr>
          <w:spacing w:val="-10"/>
          <w:sz w:val="15"/>
        </w:rPr>
        <w:t xml:space="preserve"> </w:t>
      </w:r>
      <w:r>
        <w:rPr>
          <w:sz w:val="15"/>
        </w:rPr>
        <w:t>estratégica,</w:t>
      </w:r>
      <w:r>
        <w:rPr>
          <w:spacing w:val="-10"/>
          <w:sz w:val="15"/>
        </w:rPr>
        <w:t xml:space="preserve"> </w:t>
      </w:r>
      <w:r>
        <w:rPr>
          <w:sz w:val="15"/>
        </w:rPr>
        <w:t>tendrán</w:t>
      </w:r>
      <w:r>
        <w:rPr>
          <w:spacing w:val="-10"/>
          <w:sz w:val="15"/>
        </w:rPr>
        <w:t xml:space="preserve"> </w:t>
      </w:r>
      <w:r>
        <w:rPr>
          <w:sz w:val="15"/>
        </w:rPr>
        <w:t>debidamente</w:t>
      </w:r>
      <w:r>
        <w:rPr>
          <w:spacing w:val="-10"/>
          <w:sz w:val="15"/>
        </w:rPr>
        <w:t xml:space="preserve"> </w:t>
      </w:r>
      <w:r>
        <w:rPr>
          <w:sz w:val="15"/>
        </w:rPr>
        <w:t>en</w:t>
      </w:r>
      <w:r>
        <w:rPr>
          <w:spacing w:val="-10"/>
          <w:sz w:val="15"/>
        </w:rPr>
        <w:t xml:space="preserve"> </w:t>
      </w:r>
      <w:r>
        <w:rPr>
          <w:sz w:val="15"/>
        </w:rPr>
        <w:t>cuenta</w:t>
      </w:r>
      <w:r>
        <w:rPr>
          <w:spacing w:val="-10"/>
          <w:sz w:val="15"/>
        </w:rPr>
        <w:t xml:space="preserve"> </w:t>
      </w:r>
      <w:r>
        <w:rPr>
          <w:sz w:val="15"/>
        </w:rPr>
        <w:t>[eliminar]</w:t>
      </w:r>
      <w:r>
        <w:rPr>
          <w:spacing w:val="-10"/>
          <w:sz w:val="15"/>
        </w:rPr>
        <w:t xml:space="preserve"> </w:t>
      </w:r>
      <w:r>
        <w:rPr>
          <w:sz w:val="15"/>
        </w:rPr>
        <w:t>todas</w:t>
      </w:r>
      <w:r>
        <w:rPr>
          <w:spacing w:val="-10"/>
          <w:sz w:val="15"/>
        </w:rPr>
        <w:t xml:space="preserve"> </w:t>
      </w:r>
      <w:r>
        <w:rPr>
          <w:sz w:val="15"/>
        </w:rPr>
        <w:t>las</w:t>
      </w:r>
      <w:r>
        <w:rPr>
          <w:spacing w:val="-10"/>
          <w:sz w:val="15"/>
        </w:rPr>
        <w:t xml:space="preserve"> </w:t>
      </w:r>
      <w:r>
        <w:rPr>
          <w:sz w:val="15"/>
        </w:rPr>
        <w:t>formas</w:t>
      </w:r>
      <w:r>
        <w:rPr>
          <w:spacing w:val="-10"/>
          <w:sz w:val="15"/>
        </w:rPr>
        <w:t xml:space="preserve"> </w:t>
      </w:r>
      <w:r>
        <w:rPr>
          <w:sz w:val="15"/>
        </w:rPr>
        <w:t>de</w:t>
      </w:r>
      <w:r>
        <w:rPr>
          <w:spacing w:val="-10"/>
          <w:sz w:val="15"/>
        </w:rPr>
        <w:t xml:space="preserve"> </w:t>
      </w:r>
      <w:r>
        <w:rPr>
          <w:sz w:val="15"/>
        </w:rPr>
        <w:t>discriminación</w:t>
      </w:r>
      <w:r>
        <w:rPr>
          <w:spacing w:val="-10"/>
          <w:sz w:val="15"/>
        </w:rPr>
        <w:t xml:space="preserve"> </w:t>
      </w:r>
      <w:r>
        <w:rPr>
          <w:sz w:val="15"/>
        </w:rPr>
        <w:t>para promover la igualdad y la diversidad”.</w:t>
      </w:r>
    </w:p>
    <w:p w14:paraId="76FC1E57" w14:textId="77777777" w:rsidR="0014798C" w:rsidRDefault="004E1F0B">
      <w:pPr>
        <w:spacing w:before="115" w:line="340" w:lineRule="auto"/>
        <w:ind w:left="1334" w:right="1463"/>
        <w:rPr>
          <w:sz w:val="15"/>
        </w:rPr>
      </w:pPr>
      <w:r>
        <w:rPr>
          <w:sz w:val="15"/>
        </w:rPr>
        <w:t>Los</w:t>
      </w:r>
      <w:r>
        <w:rPr>
          <w:spacing w:val="-4"/>
          <w:sz w:val="15"/>
        </w:rPr>
        <w:t xml:space="preserve"> </w:t>
      </w:r>
      <w:r>
        <w:rPr>
          <w:sz w:val="15"/>
        </w:rPr>
        <w:t>recursos</w:t>
      </w:r>
      <w:r>
        <w:rPr>
          <w:spacing w:val="-4"/>
          <w:sz w:val="15"/>
        </w:rPr>
        <w:t xml:space="preserve"> </w:t>
      </w:r>
      <w:r>
        <w:rPr>
          <w:sz w:val="15"/>
        </w:rPr>
        <w:t>por</w:t>
      </w:r>
      <w:r>
        <w:rPr>
          <w:spacing w:val="-4"/>
          <w:sz w:val="15"/>
        </w:rPr>
        <w:t xml:space="preserve"> </w:t>
      </w:r>
      <w:r>
        <w:rPr>
          <w:sz w:val="15"/>
        </w:rPr>
        <w:t>incumplimiento</w:t>
      </w:r>
      <w:r>
        <w:rPr>
          <w:spacing w:val="-4"/>
          <w:sz w:val="15"/>
        </w:rPr>
        <w:t xml:space="preserve"> </w:t>
      </w:r>
      <w:r>
        <w:rPr>
          <w:sz w:val="15"/>
        </w:rPr>
        <w:t>de</w:t>
      </w:r>
      <w:r>
        <w:rPr>
          <w:spacing w:val="-4"/>
          <w:sz w:val="15"/>
        </w:rPr>
        <w:t xml:space="preserve"> </w:t>
      </w:r>
      <w:r>
        <w:rPr>
          <w:sz w:val="15"/>
        </w:rPr>
        <w:t>los</w:t>
      </w:r>
      <w:r>
        <w:rPr>
          <w:spacing w:val="-4"/>
          <w:sz w:val="15"/>
        </w:rPr>
        <w:t xml:space="preserve"> </w:t>
      </w:r>
      <w:r>
        <w:rPr>
          <w:sz w:val="15"/>
        </w:rPr>
        <w:t>deberes</w:t>
      </w:r>
      <w:r>
        <w:rPr>
          <w:spacing w:val="-4"/>
          <w:sz w:val="15"/>
        </w:rPr>
        <w:t xml:space="preserve"> </w:t>
      </w:r>
      <w:r>
        <w:rPr>
          <w:sz w:val="15"/>
        </w:rPr>
        <w:t>de</w:t>
      </w:r>
      <w:r>
        <w:rPr>
          <w:spacing w:val="-4"/>
          <w:sz w:val="15"/>
        </w:rPr>
        <w:t xml:space="preserve"> </w:t>
      </w:r>
      <w:r>
        <w:rPr>
          <w:sz w:val="15"/>
        </w:rPr>
        <w:t>antidiscriminación,</w:t>
      </w:r>
      <w:r>
        <w:rPr>
          <w:spacing w:val="-3"/>
          <w:sz w:val="15"/>
        </w:rPr>
        <w:t xml:space="preserve"> </w:t>
      </w:r>
      <w:r>
        <w:rPr>
          <w:sz w:val="15"/>
        </w:rPr>
        <w:t>diversificación</w:t>
      </w:r>
      <w:r>
        <w:rPr>
          <w:spacing w:val="-4"/>
          <w:sz w:val="15"/>
        </w:rPr>
        <w:t xml:space="preserve"> </w:t>
      </w:r>
      <w:r>
        <w:rPr>
          <w:sz w:val="15"/>
        </w:rPr>
        <w:t>y</w:t>
      </w:r>
      <w:r>
        <w:rPr>
          <w:spacing w:val="-4"/>
          <w:sz w:val="15"/>
        </w:rPr>
        <w:t xml:space="preserve"> </w:t>
      </w:r>
      <w:r>
        <w:rPr>
          <w:sz w:val="15"/>
        </w:rPr>
        <w:t>debida</w:t>
      </w:r>
      <w:r>
        <w:rPr>
          <w:spacing w:val="-4"/>
          <w:sz w:val="15"/>
        </w:rPr>
        <w:t xml:space="preserve"> </w:t>
      </w:r>
      <w:r>
        <w:rPr>
          <w:sz w:val="15"/>
        </w:rPr>
        <w:t>consideración</w:t>
      </w:r>
      <w:r>
        <w:rPr>
          <w:spacing w:val="-4"/>
          <w:sz w:val="15"/>
        </w:rPr>
        <w:t xml:space="preserve"> </w:t>
      </w:r>
      <w:r>
        <w:rPr>
          <w:sz w:val="15"/>
        </w:rPr>
        <w:t>se</w:t>
      </w:r>
      <w:r>
        <w:rPr>
          <w:spacing w:val="-4"/>
          <w:sz w:val="15"/>
        </w:rPr>
        <w:t xml:space="preserve"> </w:t>
      </w:r>
      <w:r>
        <w:rPr>
          <w:sz w:val="15"/>
        </w:rPr>
        <w:t>establecen</w:t>
      </w:r>
      <w:r>
        <w:rPr>
          <w:spacing w:val="-4"/>
          <w:sz w:val="15"/>
        </w:rPr>
        <w:t xml:space="preserve"> </w:t>
      </w:r>
      <w:r>
        <w:rPr>
          <w:sz w:val="15"/>
        </w:rPr>
        <w:t>en</w:t>
      </w:r>
      <w:r>
        <w:rPr>
          <w:spacing w:val="-4"/>
          <w:sz w:val="15"/>
        </w:rPr>
        <w:t xml:space="preserve"> </w:t>
      </w:r>
      <w:r>
        <w:rPr>
          <w:sz w:val="15"/>
        </w:rPr>
        <w:t>el artículo</w:t>
      </w:r>
      <w:r>
        <w:rPr>
          <w:spacing w:val="-9"/>
          <w:sz w:val="15"/>
        </w:rPr>
        <w:t xml:space="preserve"> </w:t>
      </w:r>
      <w:r>
        <w:rPr>
          <w:sz w:val="15"/>
        </w:rPr>
        <w:t>33</w:t>
      </w:r>
      <w:r>
        <w:rPr>
          <w:spacing w:val="-9"/>
          <w:sz w:val="15"/>
        </w:rPr>
        <w:t xml:space="preserve"> </w:t>
      </w:r>
      <w:r>
        <w:rPr>
          <w:sz w:val="15"/>
        </w:rPr>
        <w:t>y</w:t>
      </w:r>
      <w:r>
        <w:rPr>
          <w:spacing w:val="-9"/>
          <w:sz w:val="15"/>
        </w:rPr>
        <w:t xml:space="preserve"> </w:t>
      </w:r>
      <w:r>
        <w:rPr>
          <w:sz w:val="15"/>
        </w:rPr>
        <w:t>pueden</w:t>
      </w:r>
      <w:r>
        <w:rPr>
          <w:spacing w:val="-9"/>
          <w:sz w:val="15"/>
        </w:rPr>
        <w:t xml:space="preserve"> </w:t>
      </w:r>
      <w:r>
        <w:rPr>
          <w:sz w:val="15"/>
        </w:rPr>
        <w:t>incluir</w:t>
      </w:r>
      <w:r>
        <w:rPr>
          <w:spacing w:val="-9"/>
          <w:sz w:val="15"/>
        </w:rPr>
        <w:t xml:space="preserve"> </w:t>
      </w:r>
      <w:r>
        <w:rPr>
          <w:sz w:val="15"/>
        </w:rPr>
        <w:t>“cualquier</w:t>
      </w:r>
      <w:r>
        <w:rPr>
          <w:spacing w:val="-9"/>
          <w:sz w:val="15"/>
        </w:rPr>
        <w:t xml:space="preserve"> </w:t>
      </w:r>
      <w:r>
        <w:rPr>
          <w:sz w:val="15"/>
        </w:rPr>
        <w:t>orden,</w:t>
      </w:r>
      <w:r>
        <w:rPr>
          <w:spacing w:val="-9"/>
          <w:sz w:val="15"/>
        </w:rPr>
        <w:t xml:space="preserve"> </w:t>
      </w:r>
      <w:r>
        <w:rPr>
          <w:sz w:val="15"/>
        </w:rPr>
        <w:t>declaración,</w:t>
      </w:r>
      <w:r>
        <w:rPr>
          <w:spacing w:val="-8"/>
          <w:sz w:val="15"/>
        </w:rPr>
        <w:t xml:space="preserve"> </w:t>
      </w:r>
      <w:r>
        <w:rPr>
          <w:sz w:val="15"/>
        </w:rPr>
        <w:t>mandato</w:t>
      </w:r>
      <w:r>
        <w:rPr>
          <w:spacing w:val="-9"/>
          <w:sz w:val="15"/>
        </w:rPr>
        <w:t xml:space="preserve"> </w:t>
      </w:r>
      <w:r>
        <w:rPr>
          <w:sz w:val="15"/>
        </w:rPr>
        <w:t>judicial,</w:t>
      </w:r>
      <w:r>
        <w:rPr>
          <w:spacing w:val="-8"/>
          <w:sz w:val="15"/>
        </w:rPr>
        <w:t xml:space="preserve"> </w:t>
      </w:r>
      <w:r>
        <w:rPr>
          <w:sz w:val="15"/>
        </w:rPr>
        <w:t>reparación</w:t>
      </w:r>
      <w:r>
        <w:rPr>
          <w:spacing w:val="-9"/>
          <w:sz w:val="15"/>
        </w:rPr>
        <w:t xml:space="preserve"> </w:t>
      </w:r>
      <w:r>
        <w:rPr>
          <w:sz w:val="15"/>
        </w:rPr>
        <w:t>o</w:t>
      </w:r>
      <w:r>
        <w:rPr>
          <w:spacing w:val="-9"/>
          <w:sz w:val="15"/>
        </w:rPr>
        <w:t xml:space="preserve"> </w:t>
      </w:r>
      <w:r>
        <w:rPr>
          <w:sz w:val="15"/>
        </w:rPr>
        <w:t>laudo</w:t>
      </w:r>
      <w:r>
        <w:rPr>
          <w:spacing w:val="-9"/>
          <w:sz w:val="15"/>
        </w:rPr>
        <w:t xml:space="preserve"> </w:t>
      </w:r>
      <w:r>
        <w:rPr>
          <w:sz w:val="15"/>
        </w:rPr>
        <w:t>apropiado”.</w:t>
      </w:r>
      <w:r>
        <w:rPr>
          <w:spacing w:val="-8"/>
          <w:sz w:val="15"/>
        </w:rPr>
        <w:t xml:space="preserve"> </w:t>
      </w:r>
      <w:r>
        <w:rPr>
          <w:sz w:val="15"/>
        </w:rPr>
        <w:t>Estas</w:t>
      </w:r>
      <w:r>
        <w:rPr>
          <w:spacing w:val="-9"/>
          <w:sz w:val="15"/>
        </w:rPr>
        <w:t xml:space="preserve"> </w:t>
      </w:r>
      <w:r>
        <w:rPr>
          <w:sz w:val="15"/>
        </w:rPr>
        <w:t>pueden</w:t>
      </w:r>
      <w:r>
        <w:rPr>
          <w:spacing w:val="-9"/>
          <w:sz w:val="15"/>
        </w:rPr>
        <w:t xml:space="preserve"> </w:t>
      </w:r>
      <w:r>
        <w:rPr>
          <w:sz w:val="15"/>
        </w:rPr>
        <w:t>incluir,</w:t>
      </w:r>
      <w:r>
        <w:rPr>
          <w:spacing w:val="-9"/>
          <w:sz w:val="15"/>
        </w:rPr>
        <w:t xml:space="preserve"> </w:t>
      </w:r>
      <w:r>
        <w:rPr>
          <w:sz w:val="15"/>
        </w:rPr>
        <w:t>entre otras</w:t>
      </w:r>
      <w:r>
        <w:rPr>
          <w:spacing w:val="-8"/>
          <w:sz w:val="15"/>
        </w:rPr>
        <w:t xml:space="preserve"> </w:t>
      </w:r>
      <w:r>
        <w:rPr>
          <w:sz w:val="15"/>
        </w:rPr>
        <w:t>cosas,</w:t>
      </w:r>
      <w:r>
        <w:rPr>
          <w:spacing w:val="-8"/>
          <w:sz w:val="15"/>
        </w:rPr>
        <w:t xml:space="preserve"> </w:t>
      </w:r>
      <w:r>
        <w:rPr>
          <w:sz w:val="15"/>
        </w:rPr>
        <w:t>una</w:t>
      </w:r>
      <w:r>
        <w:rPr>
          <w:spacing w:val="-8"/>
          <w:sz w:val="15"/>
        </w:rPr>
        <w:t xml:space="preserve"> </w:t>
      </w:r>
      <w:r>
        <w:rPr>
          <w:sz w:val="15"/>
        </w:rPr>
        <w:t>orden</w:t>
      </w:r>
      <w:r>
        <w:rPr>
          <w:spacing w:val="-8"/>
          <w:sz w:val="15"/>
        </w:rPr>
        <w:t xml:space="preserve"> </w:t>
      </w:r>
      <w:r>
        <w:rPr>
          <w:sz w:val="15"/>
        </w:rPr>
        <w:t>de</w:t>
      </w:r>
      <w:r>
        <w:rPr>
          <w:spacing w:val="-8"/>
          <w:sz w:val="15"/>
        </w:rPr>
        <w:t xml:space="preserve"> </w:t>
      </w:r>
      <w:r>
        <w:rPr>
          <w:sz w:val="15"/>
        </w:rPr>
        <w:t>indemnización</w:t>
      </w:r>
      <w:r>
        <w:rPr>
          <w:spacing w:val="-8"/>
          <w:sz w:val="15"/>
        </w:rPr>
        <w:t xml:space="preserve"> </w:t>
      </w:r>
      <w:r>
        <w:rPr>
          <w:sz w:val="15"/>
        </w:rPr>
        <w:t>por</w:t>
      </w:r>
      <w:r>
        <w:rPr>
          <w:spacing w:val="-8"/>
          <w:sz w:val="15"/>
        </w:rPr>
        <w:t xml:space="preserve"> </w:t>
      </w:r>
      <w:r>
        <w:rPr>
          <w:sz w:val="15"/>
        </w:rPr>
        <w:t>daños</w:t>
      </w:r>
      <w:r>
        <w:rPr>
          <w:spacing w:val="-8"/>
          <w:sz w:val="15"/>
        </w:rPr>
        <w:t xml:space="preserve"> </w:t>
      </w:r>
      <w:r>
        <w:rPr>
          <w:sz w:val="15"/>
        </w:rPr>
        <w:t>y</w:t>
      </w:r>
      <w:r>
        <w:rPr>
          <w:spacing w:val="-8"/>
          <w:sz w:val="15"/>
        </w:rPr>
        <w:t xml:space="preserve"> </w:t>
      </w:r>
      <w:r>
        <w:rPr>
          <w:sz w:val="15"/>
        </w:rPr>
        <w:t>perjuicios</w:t>
      </w:r>
      <w:r>
        <w:rPr>
          <w:spacing w:val="-8"/>
          <w:sz w:val="15"/>
        </w:rPr>
        <w:t xml:space="preserve"> </w:t>
      </w:r>
      <w:r>
        <w:rPr>
          <w:sz w:val="15"/>
        </w:rPr>
        <w:t>(y</w:t>
      </w:r>
      <w:r>
        <w:rPr>
          <w:spacing w:val="-8"/>
          <w:sz w:val="15"/>
        </w:rPr>
        <w:t xml:space="preserve"> </w:t>
      </w:r>
      <w:r>
        <w:rPr>
          <w:sz w:val="15"/>
        </w:rPr>
        <w:t>el</w:t>
      </w:r>
      <w:r>
        <w:rPr>
          <w:spacing w:val="-8"/>
          <w:sz w:val="15"/>
        </w:rPr>
        <w:t xml:space="preserve"> </w:t>
      </w:r>
      <w:r>
        <w:rPr>
          <w:sz w:val="15"/>
        </w:rPr>
        <w:t>pago</w:t>
      </w:r>
      <w:r>
        <w:rPr>
          <w:spacing w:val="-8"/>
          <w:sz w:val="15"/>
        </w:rPr>
        <w:t xml:space="preserve"> </w:t>
      </w:r>
      <w:r>
        <w:rPr>
          <w:sz w:val="15"/>
        </w:rPr>
        <w:t>de</w:t>
      </w:r>
      <w:r>
        <w:rPr>
          <w:spacing w:val="-8"/>
          <w:sz w:val="15"/>
        </w:rPr>
        <w:t xml:space="preserve"> </w:t>
      </w:r>
      <w:r>
        <w:rPr>
          <w:sz w:val="15"/>
        </w:rPr>
        <w:t>una</w:t>
      </w:r>
      <w:r>
        <w:rPr>
          <w:spacing w:val="-8"/>
          <w:sz w:val="15"/>
        </w:rPr>
        <w:t xml:space="preserve"> </w:t>
      </w:r>
      <w:r>
        <w:rPr>
          <w:sz w:val="15"/>
        </w:rPr>
        <w:t>indemnización</w:t>
      </w:r>
      <w:r>
        <w:rPr>
          <w:spacing w:val="-8"/>
          <w:sz w:val="15"/>
        </w:rPr>
        <w:t xml:space="preserve"> </w:t>
      </w:r>
      <w:r>
        <w:rPr>
          <w:sz w:val="15"/>
        </w:rPr>
        <w:t>ejemplar</w:t>
      </w:r>
      <w:r>
        <w:rPr>
          <w:spacing w:val="-8"/>
          <w:sz w:val="15"/>
        </w:rPr>
        <w:t xml:space="preserve"> </w:t>
      </w:r>
      <w:r>
        <w:rPr>
          <w:sz w:val="15"/>
        </w:rPr>
        <w:t>en</w:t>
      </w:r>
      <w:r>
        <w:rPr>
          <w:spacing w:val="-8"/>
          <w:sz w:val="15"/>
        </w:rPr>
        <w:t xml:space="preserve"> </w:t>
      </w:r>
      <w:r>
        <w:rPr>
          <w:sz w:val="15"/>
        </w:rPr>
        <w:t>casos</w:t>
      </w:r>
      <w:r>
        <w:rPr>
          <w:spacing w:val="-8"/>
          <w:sz w:val="15"/>
        </w:rPr>
        <w:t xml:space="preserve"> </w:t>
      </w:r>
      <w:r>
        <w:rPr>
          <w:sz w:val="15"/>
        </w:rPr>
        <w:t>de</w:t>
      </w:r>
      <w:r>
        <w:rPr>
          <w:spacing w:val="-8"/>
          <w:sz w:val="15"/>
        </w:rPr>
        <w:t xml:space="preserve"> </w:t>
      </w:r>
      <w:r>
        <w:rPr>
          <w:sz w:val="15"/>
        </w:rPr>
        <w:t>discriminación agravada), una</w:t>
      </w:r>
      <w:r>
        <w:rPr>
          <w:spacing w:val="-1"/>
          <w:sz w:val="15"/>
        </w:rPr>
        <w:t xml:space="preserve"> </w:t>
      </w:r>
      <w:r>
        <w:rPr>
          <w:sz w:val="15"/>
        </w:rPr>
        <w:t>orden</w:t>
      </w:r>
      <w:r>
        <w:rPr>
          <w:spacing w:val="-1"/>
          <w:sz w:val="15"/>
        </w:rPr>
        <w:t xml:space="preserve"> </w:t>
      </w:r>
      <w:r>
        <w:rPr>
          <w:sz w:val="15"/>
        </w:rPr>
        <w:t>de</w:t>
      </w:r>
      <w:r>
        <w:rPr>
          <w:spacing w:val="-1"/>
          <w:sz w:val="15"/>
        </w:rPr>
        <w:t xml:space="preserve"> </w:t>
      </w:r>
      <w:r>
        <w:rPr>
          <w:sz w:val="15"/>
        </w:rPr>
        <w:t>pedir</w:t>
      </w:r>
      <w:r>
        <w:rPr>
          <w:spacing w:val="-1"/>
          <w:sz w:val="15"/>
        </w:rPr>
        <w:t xml:space="preserve"> </w:t>
      </w:r>
      <w:r>
        <w:rPr>
          <w:sz w:val="15"/>
        </w:rPr>
        <w:t>disculpas</w:t>
      </w:r>
      <w:r>
        <w:rPr>
          <w:spacing w:val="-1"/>
          <w:sz w:val="15"/>
        </w:rPr>
        <w:t xml:space="preserve"> </w:t>
      </w:r>
      <w:r>
        <w:rPr>
          <w:sz w:val="15"/>
        </w:rPr>
        <w:t>y</w:t>
      </w:r>
      <w:r>
        <w:rPr>
          <w:spacing w:val="-1"/>
          <w:sz w:val="15"/>
        </w:rPr>
        <w:t xml:space="preserve"> </w:t>
      </w:r>
      <w:r>
        <w:rPr>
          <w:sz w:val="15"/>
        </w:rPr>
        <w:t>garantizar</w:t>
      </w:r>
      <w:r>
        <w:rPr>
          <w:spacing w:val="-1"/>
          <w:sz w:val="15"/>
        </w:rPr>
        <w:t xml:space="preserve"> </w:t>
      </w:r>
      <w:r>
        <w:rPr>
          <w:sz w:val="15"/>
        </w:rPr>
        <w:t>la</w:t>
      </w:r>
      <w:r>
        <w:rPr>
          <w:spacing w:val="-1"/>
          <w:sz w:val="15"/>
        </w:rPr>
        <w:t xml:space="preserve"> </w:t>
      </w:r>
      <w:r>
        <w:rPr>
          <w:sz w:val="15"/>
        </w:rPr>
        <w:t>no</w:t>
      </w:r>
      <w:r>
        <w:rPr>
          <w:spacing w:val="-1"/>
          <w:sz w:val="15"/>
        </w:rPr>
        <w:t xml:space="preserve"> </w:t>
      </w:r>
      <w:r>
        <w:rPr>
          <w:sz w:val="15"/>
        </w:rPr>
        <w:t>repetición</w:t>
      </w:r>
      <w:r>
        <w:rPr>
          <w:spacing w:val="-1"/>
          <w:sz w:val="15"/>
        </w:rPr>
        <w:t xml:space="preserve"> </w:t>
      </w:r>
      <w:r>
        <w:rPr>
          <w:sz w:val="15"/>
        </w:rPr>
        <w:t>y</w:t>
      </w:r>
      <w:r>
        <w:rPr>
          <w:spacing w:val="-1"/>
          <w:sz w:val="15"/>
        </w:rPr>
        <w:t xml:space="preserve"> </w:t>
      </w:r>
      <w:r>
        <w:rPr>
          <w:sz w:val="15"/>
        </w:rPr>
        <w:t>una</w:t>
      </w:r>
      <w:r>
        <w:rPr>
          <w:spacing w:val="-1"/>
          <w:sz w:val="15"/>
        </w:rPr>
        <w:t xml:space="preserve"> </w:t>
      </w:r>
      <w:r>
        <w:rPr>
          <w:sz w:val="15"/>
        </w:rPr>
        <w:t>orden</w:t>
      </w:r>
      <w:r>
        <w:rPr>
          <w:spacing w:val="-1"/>
          <w:sz w:val="15"/>
        </w:rPr>
        <w:t xml:space="preserve"> </w:t>
      </w:r>
      <w:r>
        <w:rPr>
          <w:sz w:val="15"/>
        </w:rPr>
        <w:t>de</w:t>
      </w:r>
      <w:r>
        <w:rPr>
          <w:spacing w:val="-1"/>
          <w:sz w:val="15"/>
        </w:rPr>
        <w:t xml:space="preserve"> </w:t>
      </w:r>
      <w:r>
        <w:rPr>
          <w:sz w:val="15"/>
        </w:rPr>
        <w:t>recibir</w:t>
      </w:r>
      <w:r>
        <w:rPr>
          <w:spacing w:val="-1"/>
          <w:sz w:val="15"/>
        </w:rPr>
        <w:t xml:space="preserve"> </w:t>
      </w:r>
      <w:r>
        <w:rPr>
          <w:sz w:val="15"/>
        </w:rPr>
        <w:t>capacitación.</w:t>
      </w:r>
    </w:p>
    <w:p w14:paraId="4124EA1D" w14:textId="77777777" w:rsidR="0014798C" w:rsidRDefault="0014798C">
      <w:pPr>
        <w:pStyle w:val="Textoindependiente"/>
        <w:rPr>
          <w:sz w:val="15"/>
        </w:rPr>
      </w:pPr>
    </w:p>
    <w:p w14:paraId="403633C6" w14:textId="77777777" w:rsidR="0014798C" w:rsidRDefault="0014798C">
      <w:pPr>
        <w:pStyle w:val="Textoindependiente"/>
        <w:spacing w:before="59"/>
        <w:rPr>
          <w:sz w:val="15"/>
        </w:rPr>
      </w:pPr>
    </w:p>
    <w:p w14:paraId="7A6D1994" w14:textId="77777777" w:rsidR="0014798C" w:rsidRDefault="004E1F0B">
      <w:pPr>
        <w:spacing w:line="348" w:lineRule="auto"/>
        <w:ind w:left="1105" w:right="1283" w:firstLine="3"/>
        <w:rPr>
          <w:sz w:val="15"/>
        </w:rPr>
      </w:pPr>
      <w:proofErr w:type="spellStart"/>
      <w:r>
        <w:rPr>
          <w:sz w:val="15"/>
        </w:rPr>
        <w:t>Equinet</w:t>
      </w:r>
      <w:proofErr w:type="spellEnd"/>
      <w:r>
        <w:rPr>
          <w:spacing w:val="-4"/>
          <w:sz w:val="15"/>
        </w:rPr>
        <w:t xml:space="preserve"> </w:t>
      </w:r>
      <w:r>
        <w:rPr>
          <w:sz w:val="15"/>
        </w:rPr>
        <w:t>identifica</w:t>
      </w:r>
      <w:r>
        <w:rPr>
          <w:spacing w:val="-4"/>
          <w:sz w:val="15"/>
        </w:rPr>
        <w:t xml:space="preserve"> </w:t>
      </w:r>
      <w:r>
        <w:rPr>
          <w:sz w:val="15"/>
        </w:rPr>
        <w:t>cuatro</w:t>
      </w:r>
      <w:r>
        <w:rPr>
          <w:spacing w:val="-4"/>
          <w:sz w:val="15"/>
        </w:rPr>
        <w:t xml:space="preserve"> </w:t>
      </w:r>
      <w:r>
        <w:rPr>
          <w:sz w:val="15"/>
        </w:rPr>
        <w:t>enfoques</w:t>
      </w:r>
      <w:r>
        <w:rPr>
          <w:spacing w:val="-4"/>
          <w:sz w:val="15"/>
        </w:rPr>
        <w:t xml:space="preserve"> </w:t>
      </w:r>
      <w:r>
        <w:rPr>
          <w:sz w:val="15"/>
        </w:rPr>
        <w:t>para</w:t>
      </w:r>
      <w:r>
        <w:rPr>
          <w:spacing w:val="-4"/>
          <w:sz w:val="15"/>
        </w:rPr>
        <w:t xml:space="preserve"> </w:t>
      </w:r>
      <w:r>
        <w:rPr>
          <w:sz w:val="15"/>
        </w:rPr>
        <w:t>la</w:t>
      </w:r>
      <w:r>
        <w:rPr>
          <w:spacing w:val="-4"/>
          <w:sz w:val="15"/>
        </w:rPr>
        <w:t xml:space="preserve"> </w:t>
      </w:r>
      <w:r>
        <w:rPr>
          <w:sz w:val="15"/>
        </w:rPr>
        <w:t>transversalización</w:t>
      </w:r>
      <w:r>
        <w:rPr>
          <w:spacing w:val="-4"/>
          <w:sz w:val="15"/>
        </w:rPr>
        <w:t xml:space="preserve"> </w:t>
      </w:r>
      <w:r>
        <w:rPr>
          <w:sz w:val="15"/>
        </w:rPr>
        <w:t>de</w:t>
      </w:r>
      <w:r>
        <w:rPr>
          <w:spacing w:val="-4"/>
          <w:sz w:val="15"/>
        </w:rPr>
        <w:t xml:space="preserve"> </w:t>
      </w:r>
      <w:r>
        <w:rPr>
          <w:sz w:val="15"/>
        </w:rPr>
        <w:t>deberes</w:t>
      </w:r>
      <w:r>
        <w:rPr>
          <w:spacing w:val="-4"/>
          <w:sz w:val="15"/>
        </w:rPr>
        <w:t xml:space="preserve"> </w:t>
      </w:r>
      <w:r>
        <w:rPr>
          <w:sz w:val="15"/>
        </w:rPr>
        <w:t>adoptados</w:t>
      </w:r>
      <w:r>
        <w:rPr>
          <w:spacing w:val="-4"/>
          <w:sz w:val="15"/>
        </w:rPr>
        <w:t xml:space="preserve"> </w:t>
      </w:r>
      <w:r>
        <w:rPr>
          <w:sz w:val="15"/>
        </w:rPr>
        <w:t>en</w:t>
      </w:r>
      <w:r>
        <w:rPr>
          <w:spacing w:val="-4"/>
          <w:sz w:val="15"/>
        </w:rPr>
        <w:t xml:space="preserve"> </w:t>
      </w:r>
      <w:r>
        <w:rPr>
          <w:sz w:val="15"/>
        </w:rPr>
        <w:t>Europa:</w:t>
      </w:r>
      <w:r>
        <w:rPr>
          <w:spacing w:val="-4"/>
          <w:sz w:val="15"/>
        </w:rPr>
        <w:t xml:space="preserve"> </w:t>
      </w:r>
      <w:r>
        <w:rPr>
          <w:sz w:val="15"/>
        </w:rPr>
        <w:t>(a)</w:t>
      </w:r>
      <w:r>
        <w:rPr>
          <w:spacing w:val="-4"/>
          <w:sz w:val="15"/>
        </w:rPr>
        <w:t xml:space="preserve"> </w:t>
      </w:r>
      <w:r>
        <w:rPr>
          <w:sz w:val="15"/>
        </w:rPr>
        <w:t>un</w:t>
      </w:r>
      <w:r>
        <w:rPr>
          <w:spacing w:val="-4"/>
          <w:sz w:val="15"/>
        </w:rPr>
        <w:t xml:space="preserve"> </w:t>
      </w:r>
      <w:r>
        <w:rPr>
          <w:sz w:val="15"/>
        </w:rPr>
        <w:t>“enfoque</w:t>
      </w:r>
      <w:r>
        <w:rPr>
          <w:spacing w:val="-4"/>
          <w:sz w:val="15"/>
        </w:rPr>
        <w:t xml:space="preserve"> </w:t>
      </w:r>
      <w:r>
        <w:rPr>
          <w:sz w:val="15"/>
        </w:rPr>
        <w:t>de</w:t>
      </w:r>
      <w:r>
        <w:rPr>
          <w:spacing w:val="-4"/>
          <w:sz w:val="15"/>
        </w:rPr>
        <w:t xml:space="preserve"> </w:t>
      </w:r>
      <w:r>
        <w:rPr>
          <w:sz w:val="15"/>
        </w:rPr>
        <w:t>plan</w:t>
      </w:r>
      <w:r>
        <w:rPr>
          <w:spacing w:val="-4"/>
          <w:sz w:val="15"/>
        </w:rPr>
        <w:t xml:space="preserve"> </w:t>
      </w:r>
      <w:r>
        <w:rPr>
          <w:sz w:val="15"/>
        </w:rPr>
        <w:t>de</w:t>
      </w:r>
      <w:r>
        <w:rPr>
          <w:spacing w:val="-4"/>
          <w:sz w:val="15"/>
        </w:rPr>
        <w:t xml:space="preserve"> </w:t>
      </w:r>
      <w:r>
        <w:rPr>
          <w:sz w:val="15"/>
        </w:rPr>
        <w:t>igualdad”,</w:t>
      </w:r>
      <w:r>
        <w:rPr>
          <w:spacing w:val="-3"/>
          <w:sz w:val="15"/>
        </w:rPr>
        <w:t xml:space="preserve"> </w:t>
      </w:r>
      <w:r>
        <w:rPr>
          <w:sz w:val="15"/>
        </w:rPr>
        <w:t>que requiere</w:t>
      </w:r>
      <w:r>
        <w:rPr>
          <w:spacing w:val="-9"/>
          <w:sz w:val="15"/>
        </w:rPr>
        <w:t xml:space="preserve"> </w:t>
      </w:r>
      <w:r>
        <w:rPr>
          <w:sz w:val="15"/>
        </w:rPr>
        <w:t>el</w:t>
      </w:r>
      <w:r>
        <w:rPr>
          <w:spacing w:val="-9"/>
          <w:sz w:val="15"/>
        </w:rPr>
        <w:t xml:space="preserve"> </w:t>
      </w:r>
      <w:r>
        <w:rPr>
          <w:sz w:val="15"/>
        </w:rPr>
        <w:t>análisis</w:t>
      </w:r>
      <w:r>
        <w:rPr>
          <w:spacing w:val="-9"/>
          <w:sz w:val="15"/>
        </w:rPr>
        <w:t xml:space="preserve"> </w:t>
      </w:r>
      <w:r>
        <w:rPr>
          <w:sz w:val="15"/>
        </w:rPr>
        <w:t>de</w:t>
      </w:r>
      <w:r>
        <w:rPr>
          <w:spacing w:val="-9"/>
          <w:sz w:val="15"/>
        </w:rPr>
        <w:t xml:space="preserve"> </w:t>
      </w:r>
      <w:r>
        <w:rPr>
          <w:sz w:val="15"/>
        </w:rPr>
        <w:t>las</w:t>
      </w:r>
      <w:r>
        <w:rPr>
          <w:spacing w:val="-9"/>
          <w:sz w:val="15"/>
        </w:rPr>
        <w:t xml:space="preserve"> </w:t>
      </w:r>
      <w:r>
        <w:rPr>
          <w:sz w:val="15"/>
        </w:rPr>
        <w:t>diferentes</w:t>
      </w:r>
      <w:r>
        <w:rPr>
          <w:spacing w:val="-9"/>
          <w:sz w:val="15"/>
        </w:rPr>
        <w:t xml:space="preserve"> </w:t>
      </w:r>
      <w:r>
        <w:rPr>
          <w:sz w:val="15"/>
        </w:rPr>
        <w:t>“situaciones</w:t>
      </w:r>
      <w:r>
        <w:rPr>
          <w:spacing w:val="-9"/>
          <w:sz w:val="15"/>
        </w:rPr>
        <w:t xml:space="preserve"> </w:t>
      </w:r>
      <w:r>
        <w:rPr>
          <w:sz w:val="15"/>
        </w:rPr>
        <w:t>y</w:t>
      </w:r>
      <w:r>
        <w:rPr>
          <w:spacing w:val="-9"/>
          <w:sz w:val="15"/>
        </w:rPr>
        <w:t xml:space="preserve"> </w:t>
      </w:r>
      <w:r>
        <w:rPr>
          <w:sz w:val="15"/>
        </w:rPr>
        <w:t>experiencias</w:t>
      </w:r>
      <w:r>
        <w:rPr>
          <w:spacing w:val="-9"/>
          <w:sz w:val="15"/>
        </w:rPr>
        <w:t xml:space="preserve"> </w:t>
      </w:r>
      <w:r>
        <w:rPr>
          <w:sz w:val="15"/>
        </w:rPr>
        <w:t>de</w:t>
      </w:r>
      <w:r>
        <w:rPr>
          <w:spacing w:val="-9"/>
          <w:sz w:val="15"/>
        </w:rPr>
        <w:t xml:space="preserve"> </w:t>
      </w:r>
      <w:r>
        <w:rPr>
          <w:sz w:val="15"/>
        </w:rPr>
        <w:t>discriminación</w:t>
      </w:r>
      <w:r>
        <w:rPr>
          <w:spacing w:val="-9"/>
          <w:sz w:val="15"/>
        </w:rPr>
        <w:t xml:space="preserve"> </w:t>
      </w:r>
      <w:r>
        <w:rPr>
          <w:sz w:val="15"/>
        </w:rPr>
        <w:t>y</w:t>
      </w:r>
      <w:r>
        <w:rPr>
          <w:spacing w:val="-9"/>
          <w:sz w:val="15"/>
        </w:rPr>
        <w:t xml:space="preserve"> </w:t>
      </w:r>
      <w:r>
        <w:rPr>
          <w:sz w:val="15"/>
        </w:rPr>
        <w:t>desigualdad</w:t>
      </w:r>
      <w:r>
        <w:rPr>
          <w:spacing w:val="-9"/>
          <w:sz w:val="15"/>
        </w:rPr>
        <w:t xml:space="preserve"> </w:t>
      </w:r>
      <w:r>
        <w:rPr>
          <w:sz w:val="15"/>
        </w:rPr>
        <w:t>y</w:t>
      </w:r>
      <w:r>
        <w:rPr>
          <w:spacing w:val="-9"/>
          <w:sz w:val="15"/>
        </w:rPr>
        <w:t xml:space="preserve"> </w:t>
      </w:r>
      <w:r>
        <w:rPr>
          <w:sz w:val="15"/>
        </w:rPr>
        <w:t>la</w:t>
      </w:r>
      <w:r>
        <w:rPr>
          <w:spacing w:val="-9"/>
          <w:sz w:val="15"/>
        </w:rPr>
        <w:t xml:space="preserve"> </w:t>
      </w:r>
      <w:r>
        <w:rPr>
          <w:sz w:val="15"/>
        </w:rPr>
        <w:t>definición</w:t>
      </w:r>
      <w:r>
        <w:rPr>
          <w:spacing w:val="-9"/>
          <w:sz w:val="15"/>
        </w:rPr>
        <w:t xml:space="preserve"> </w:t>
      </w:r>
      <w:r>
        <w:rPr>
          <w:sz w:val="15"/>
        </w:rPr>
        <w:t>de</w:t>
      </w:r>
      <w:r>
        <w:rPr>
          <w:spacing w:val="-9"/>
          <w:sz w:val="15"/>
        </w:rPr>
        <w:t xml:space="preserve"> </w:t>
      </w:r>
      <w:r>
        <w:rPr>
          <w:sz w:val="15"/>
        </w:rPr>
        <w:t>objetivos,</w:t>
      </w:r>
      <w:r>
        <w:rPr>
          <w:spacing w:val="-8"/>
          <w:sz w:val="15"/>
        </w:rPr>
        <w:t xml:space="preserve"> </w:t>
      </w:r>
      <w:r>
        <w:rPr>
          <w:sz w:val="15"/>
        </w:rPr>
        <w:t>metas</w:t>
      </w:r>
      <w:r>
        <w:rPr>
          <w:spacing w:val="-9"/>
          <w:sz w:val="15"/>
        </w:rPr>
        <w:t xml:space="preserve"> </w:t>
      </w:r>
      <w:r>
        <w:rPr>
          <w:sz w:val="15"/>
        </w:rPr>
        <w:t>y</w:t>
      </w:r>
      <w:r>
        <w:rPr>
          <w:spacing w:val="-9"/>
          <w:sz w:val="15"/>
        </w:rPr>
        <w:t xml:space="preserve"> </w:t>
      </w:r>
      <w:r>
        <w:rPr>
          <w:sz w:val="15"/>
        </w:rPr>
        <w:t xml:space="preserve">medidas </w:t>
      </w:r>
      <w:r>
        <w:rPr>
          <w:spacing w:val="-2"/>
          <w:sz w:val="15"/>
        </w:rPr>
        <w:t xml:space="preserve">para </w:t>
      </w:r>
      <w:proofErr w:type="gramStart"/>
      <w:r>
        <w:rPr>
          <w:spacing w:val="-2"/>
          <w:sz w:val="15"/>
        </w:rPr>
        <w:t>abordarlas”;</w:t>
      </w:r>
      <w:proofErr w:type="gramEnd"/>
      <w:r>
        <w:rPr>
          <w:spacing w:val="-2"/>
          <w:sz w:val="15"/>
        </w:rPr>
        <w:t xml:space="preserve"> b) un “enfoque de coordinación”, que requiere la colaboración institucional entre departamentos gubernamentales, entre</w:t>
      </w:r>
      <w:r>
        <w:rPr>
          <w:sz w:val="15"/>
        </w:rPr>
        <w:t xml:space="preserve"> otras</w:t>
      </w:r>
      <w:r>
        <w:rPr>
          <w:spacing w:val="-9"/>
          <w:sz w:val="15"/>
        </w:rPr>
        <w:t xml:space="preserve"> </w:t>
      </w:r>
      <w:r>
        <w:rPr>
          <w:sz w:val="15"/>
        </w:rPr>
        <w:t>cosas,</w:t>
      </w:r>
      <w:r>
        <w:rPr>
          <w:spacing w:val="-9"/>
          <w:sz w:val="15"/>
        </w:rPr>
        <w:t xml:space="preserve"> </w:t>
      </w:r>
      <w:r>
        <w:rPr>
          <w:sz w:val="15"/>
        </w:rPr>
        <w:t>para</w:t>
      </w:r>
      <w:r>
        <w:rPr>
          <w:spacing w:val="-9"/>
          <w:sz w:val="15"/>
        </w:rPr>
        <w:t xml:space="preserve"> </w:t>
      </w:r>
      <w:r>
        <w:rPr>
          <w:sz w:val="15"/>
        </w:rPr>
        <w:t>desarrollar</w:t>
      </w:r>
      <w:r>
        <w:rPr>
          <w:spacing w:val="-9"/>
          <w:sz w:val="15"/>
        </w:rPr>
        <w:t xml:space="preserve"> </w:t>
      </w:r>
      <w:r>
        <w:rPr>
          <w:sz w:val="15"/>
        </w:rPr>
        <w:t>una</w:t>
      </w:r>
      <w:r>
        <w:rPr>
          <w:spacing w:val="-9"/>
          <w:sz w:val="15"/>
        </w:rPr>
        <w:t xml:space="preserve"> </w:t>
      </w:r>
      <w:r>
        <w:rPr>
          <w:sz w:val="15"/>
        </w:rPr>
        <w:t>estrategia</w:t>
      </w:r>
      <w:r>
        <w:rPr>
          <w:spacing w:val="-9"/>
          <w:sz w:val="15"/>
        </w:rPr>
        <w:t xml:space="preserve"> </w:t>
      </w:r>
      <w:r>
        <w:rPr>
          <w:sz w:val="15"/>
        </w:rPr>
        <w:t>integral</w:t>
      </w:r>
      <w:r>
        <w:rPr>
          <w:spacing w:val="-9"/>
          <w:sz w:val="15"/>
        </w:rPr>
        <w:t xml:space="preserve"> </w:t>
      </w:r>
      <w:r>
        <w:rPr>
          <w:sz w:val="15"/>
        </w:rPr>
        <w:t>de</w:t>
      </w:r>
      <w:r>
        <w:rPr>
          <w:spacing w:val="-9"/>
          <w:sz w:val="15"/>
        </w:rPr>
        <w:t xml:space="preserve"> </w:t>
      </w:r>
      <w:r>
        <w:rPr>
          <w:sz w:val="15"/>
        </w:rPr>
        <w:t>igualdad;</w:t>
      </w:r>
      <w:r>
        <w:rPr>
          <w:spacing w:val="-8"/>
          <w:sz w:val="15"/>
        </w:rPr>
        <w:t xml:space="preserve"> </w:t>
      </w:r>
      <w:r>
        <w:rPr>
          <w:sz w:val="15"/>
        </w:rPr>
        <w:t>(c)</w:t>
      </w:r>
      <w:r>
        <w:rPr>
          <w:spacing w:val="-9"/>
          <w:sz w:val="15"/>
        </w:rPr>
        <w:t xml:space="preserve"> </w:t>
      </w:r>
      <w:r>
        <w:rPr>
          <w:sz w:val="15"/>
        </w:rPr>
        <w:t>un</w:t>
      </w:r>
      <w:r>
        <w:rPr>
          <w:spacing w:val="-9"/>
          <w:sz w:val="15"/>
        </w:rPr>
        <w:t xml:space="preserve"> </w:t>
      </w:r>
      <w:r>
        <w:rPr>
          <w:sz w:val="15"/>
        </w:rPr>
        <w:t>enfoque</w:t>
      </w:r>
      <w:r>
        <w:rPr>
          <w:spacing w:val="-9"/>
          <w:sz w:val="15"/>
        </w:rPr>
        <w:t xml:space="preserve"> </w:t>
      </w:r>
      <w:r>
        <w:rPr>
          <w:sz w:val="15"/>
        </w:rPr>
        <w:t>de</w:t>
      </w:r>
      <w:r>
        <w:rPr>
          <w:spacing w:val="-9"/>
          <w:sz w:val="15"/>
        </w:rPr>
        <w:t xml:space="preserve"> </w:t>
      </w:r>
      <w:r>
        <w:rPr>
          <w:sz w:val="15"/>
        </w:rPr>
        <w:t>proceso,</w:t>
      </w:r>
      <w:r>
        <w:rPr>
          <w:spacing w:val="-9"/>
          <w:sz w:val="15"/>
        </w:rPr>
        <w:t xml:space="preserve"> </w:t>
      </w:r>
      <w:r>
        <w:rPr>
          <w:sz w:val="15"/>
        </w:rPr>
        <w:t>que</w:t>
      </w:r>
      <w:r>
        <w:rPr>
          <w:spacing w:val="-9"/>
          <w:sz w:val="15"/>
        </w:rPr>
        <w:t xml:space="preserve"> </w:t>
      </w:r>
      <w:r>
        <w:rPr>
          <w:sz w:val="15"/>
        </w:rPr>
        <w:t>implica</w:t>
      </w:r>
      <w:r>
        <w:rPr>
          <w:spacing w:val="-9"/>
          <w:sz w:val="15"/>
        </w:rPr>
        <w:t xml:space="preserve"> </w:t>
      </w:r>
      <w:r>
        <w:rPr>
          <w:sz w:val="15"/>
        </w:rPr>
        <w:t>incorporar</w:t>
      </w:r>
      <w:r>
        <w:rPr>
          <w:spacing w:val="-9"/>
          <w:sz w:val="15"/>
        </w:rPr>
        <w:t xml:space="preserve"> </w:t>
      </w:r>
      <w:r>
        <w:rPr>
          <w:sz w:val="15"/>
        </w:rPr>
        <w:t>la</w:t>
      </w:r>
      <w:r>
        <w:rPr>
          <w:spacing w:val="-9"/>
          <w:sz w:val="15"/>
        </w:rPr>
        <w:t xml:space="preserve"> </w:t>
      </w:r>
      <w:r>
        <w:rPr>
          <w:sz w:val="15"/>
        </w:rPr>
        <w:t>igualdad</w:t>
      </w:r>
      <w:r>
        <w:rPr>
          <w:spacing w:val="-9"/>
          <w:sz w:val="15"/>
        </w:rPr>
        <w:t xml:space="preserve"> </w:t>
      </w:r>
      <w:r>
        <w:rPr>
          <w:sz w:val="15"/>
        </w:rPr>
        <w:t>dentro</w:t>
      </w:r>
      <w:r>
        <w:rPr>
          <w:spacing w:val="-9"/>
          <w:sz w:val="15"/>
        </w:rPr>
        <w:t xml:space="preserve"> </w:t>
      </w:r>
      <w:r>
        <w:rPr>
          <w:sz w:val="15"/>
        </w:rPr>
        <w:t>de</w:t>
      </w:r>
      <w:r>
        <w:rPr>
          <w:spacing w:val="-9"/>
          <w:sz w:val="15"/>
        </w:rPr>
        <w:t xml:space="preserve"> </w:t>
      </w:r>
      <w:r>
        <w:rPr>
          <w:sz w:val="15"/>
        </w:rPr>
        <w:t>los</w:t>
      </w:r>
    </w:p>
    <w:p w14:paraId="467B3D20" w14:textId="77777777" w:rsidR="0014798C" w:rsidRDefault="004E1F0B">
      <w:pPr>
        <w:spacing w:line="348" w:lineRule="auto"/>
        <w:ind w:left="1107" w:right="1272" w:firstLine="2"/>
        <w:rPr>
          <w:sz w:val="15"/>
        </w:rPr>
      </w:pPr>
      <w:proofErr w:type="gramStart"/>
      <w:r>
        <w:rPr>
          <w:spacing w:val="-2"/>
          <w:sz w:val="15"/>
        </w:rPr>
        <w:t>“ procesos</w:t>
      </w:r>
      <w:proofErr w:type="gramEnd"/>
      <w:r>
        <w:rPr>
          <w:spacing w:val="-2"/>
          <w:sz w:val="15"/>
        </w:rPr>
        <w:t xml:space="preserve"> existentes</w:t>
      </w:r>
      <w:r>
        <w:rPr>
          <w:spacing w:val="-3"/>
          <w:sz w:val="15"/>
        </w:rPr>
        <w:t xml:space="preserve"> </w:t>
      </w:r>
      <w:r>
        <w:rPr>
          <w:spacing w:val="-2"/>
          <w:sz w:val="15"/>
        </w:rPr>
        <w:t>del sector público”, por ejemplo, en relación con la contratación pública; y (d) un “enfoque de evaluación del impacto</w:t>
      </w:r>
      <w:r>
        <w:rPr>
          <w:sz w:val="15"/>
        </w:rPr>
        <w:t xml:space="preserve"> sobre la igualdad”.561</w:t>
      </w:r>
    </w:p>
    <w:p w14:paraId="00E4BFEF" w14:textId="77777777" w:rsidR="0014798C" w:rsidRDefault="004E1F0B">
      <w:pPr>
        <w:spacing w:line="348" w:lineRule="auto"/>
        <w:ind w:left="1108" w:right="1290" w:hanging="2"/>
        <w:rPr>
          <w:sz w:val="15"/>
        </w:rPr>
      </w:pPr>
      <w:r>
        <w:rPr>
          <w:sz w:val="15"/>
        </w:rPr>
        <w:t>Este</w:t>
      </w:r>
      <w:r>
        <w:rPr>
          <w:spacing w:val="-4"/>
          <w:sz w:val="15"/>
        </w:rPr>
        <w:t xml:space="preserve"> </w:t>
      </w:r>
      <w:r>
        <w:rPr>
          <w:sz w:val="15"/>
        </w:rPr>
        <w:t>último</w:t>
      </w:r>
      <w:r>
        <w:rPr>
          <w:spacing w:val="-4"/>
          <w:sz w:val="15"/>
        </w:rPr>
        <w:t xml:space="preserve"> </w:t>
      </w:r>
      <w:r>
        <w:rPr>
          <w:sz w:val="15"/>
        </w:rPr>
        <w:t>enfoque</w:t>
      </w:r>
      <w:r>
        <w:rPr>
          <w:spacing w:val="-4"/>
          <w:sz w:val="15"/>
        </w:rPr>
        <w:t xml:space="preserve"> </w:t>
      </w:r>
      <w:r>
        <w:rPr>
          <w:sz w:val="15"/>
        </w:rPr>
        <w:t>–que</w:t>
      </w:r>
      <w:r>
        <w:rPr>
          <w:spacing w:val="-4"/>
          <w:sz w:val="15"/>
        </w:rPr>
        <w:t xml:space="preserve"> </w:t>
      </w:r>
      <w:r>
        <w:rPr>
          <w:sz w:val="15"/>
        </w:rPr>
        <w:t>se</w:t>
      </w:r>
      <w:r>
        <w:rPr>
          <w:spacing w:val="-4"/>
          <w:sz w:val="15"/>
        </w:rPr>
        <w:t xml:space="preserve"> </w:t>
      </w:r>
      <w:r>
        <w:rPr>
          <w:sz w:val="15"/>
        </w:rPr>
        <w:t>sigue,</w:t>
      </w:r>
      <w:r>
        <w:rPr>
          <w:spacing w:val="-4"/>
          <w:sz w:val="15"/>
        </w:rPr>
        <w:t xml:space="preserve"> </w:t>
      </w:r>
      <w:r>
        <w:rPr>
          <w:sz w:val="15"/>
        </w:rPr>
        <w:t>por</w:t>
      </w:r>
      <w:r>
        <w:rPr>
          <w:spacing w:val="-4"/>
          <w:sz w:val="15"/>
        </w:rPr>
        <w:t xml:space="preserve"> </w:t>
      </w:r>
      <w:r>
        <w:rPr>
          <w:sz w:val="15"/>
        </w:rPr>
        <w:t>ejemplo,</w:t>
      </w:r>
      <w:r>
        <w:rPr>
          <w:spacing w:val="-4"/>
          <w:sz w:val="15"/>
        </w:rPr>
        <w:t xml:space="preserve"> </w:t>
      </w:r>
      <w:r>
        <w:rPr>
          <w:sz w:val="15"/>
        </w:rPr>
        <w:t>en</w:t>
      </w:r>
      <w:r>
        <w:rPr>
          <w:spacing w:val="-4"/>
          <w:sz w:val="15"/>
        </w:rPr>
        <w:t xml:space="preserve"> </w:t>
      </w:r>
      <w:r>
        <w:rPr>
          <w:sz w:val="15"/>
        </w:rPr>
        <w:t>Bélgica,</w:t>
      </w:r>
      <w:r>
        <w:rPr>
          <w:spacing w:val="-4"/>
          <w:sz w:val="15"/>
        </w:rPr>
        <w:t xml:space="preserve"> </w:t>
      </w:r>
      <w:r>
        <w:rPr>
          <w:sz w:val="15"/>
        </w:rPr>
        <w:t>Estonia,</w:t>
      </w:r>
      <w:r>
        <w:rPr>
          <w:spacing w:val="-4"/>
          <w:sz w:val="15"/>
        </w:rPr>
        <w:t xml:space="preserve"> </w:t>
      </w:r>
      <w:r>
        <w:rPr>
          <w:sz w:val="15"/>
        </w:rPr>
        <w:t>Finlandia,</w:t>
      </w:r>
      <w:r>
        <w:rPr>
          <w:spacing w:val="-4"/>
          <w:sz w:val="15"/>
        </w:rPr>
        <w:t xml:space="preserve"> </w:t>
      </w:r>
      <w:r>
        <w:rPr>
          <w:sz w:val="15"/>
        </w:rPr>
        <w:t>Gran</w:t>
      </w:r>
      <w:r>
        <w:rPr>
          <w:spacing w:val="-4"/>
          <w:sz w:val="15"/>
        </w:rPr>
        <w:t xml:space="preserve"> </w:t>
      </w:r>
      <w:r>
        <w:rPr>
          <w:sz w:val="15"/>
        </w:rPr>
        <w:t>Bretaña</w:t>
      </w:r>
      <w:r>
        <w:rPr>
          <w:spacing w:val="-4"/>
          <w:sz w:val="15"/>
        </w:rPr>
        <w:t xml:space="preserve"> </w:t>
      </w:r>
      <w:r>
        <w:rPr>
          <w:sz w:val="15"/>
        </w:rPr>
        <w:t>e</w:t>
      </w:r>
      <w:r>
        <w:rPr>
          <w:spacing w:val="-4"/>
          <w:sz w:val="15"/>
        </w:rPr>
        <w:t xml:space="preserve"> </w:t>
      </w:r>
      <w:r>
        <w:rPr>
          <w:sz w:val="15"/>
        </w:rPr>
        <w:t>Irlanda</w:t>
      </w:r>
      <w:r>
        <w:rPr>
          <w:spacing w:val="-4"/>
          <w:sz w:val="15"/>
        </w:rPr>
        <w:t xml:space="preserve"> </w:t>
      </w:r>
      <w:r>
        <w:rPr>
          <w:sz w:val="15"/>
        </w:rPr>
        <w:t>del</w:t>
      </w:r>
      <w:r>
        <w:rPr>
          <w:spacing w:val="-4"/>
          <w:sz w:val="15"/>
        </w:rPr>
        <w:t xml:space="preserve"> </w:t>
      </w:r>
      <w:r>
        <w:rPr>
          <w:sz w:val="15"/>
        </w:rPr>
        <w:t>Norte562–</w:t>
      </w:r>
      <w:r>
        <w:rPr>
          <w:spacing w:val="-4"/>
          <w:sz w:val="15"/>
        </w:rPr>
        <w:t xml:space="preserve"> </w:t>
      </w:r>
      <w:r>
        <w:rPr>
          <w:sz w:val="15"/>
        </w:rPr>
        <w:t>se</w:t>
      </w:r>
      <w:r>
        <w:rPr>
          <w:spacing w:val="-4"/>
          <w:sz w:val="15"/>
        </w:rPr>
        <w:t xml:space="preserve"> </w:t>
      </w:r>
      <w:r>
        <w:rPr>
          <w:sz w:val="15"/>
        </w:rPr>
        <w:t>analiza</w:t>
      </w:r>
      <w:r>
        <w:rPr>
          <w:spacing w:val="-4"/>
          <w:sz w:val="15"/>
        </w:rPr>
        <w:t xml:space="preserve"> </w:t>
      </w:r>
      <w:r>
        <w:rPr>
          <w:sz w:val="15"/>
        </w:rPr>
        <w:t>con</w:t>
      </w:r>
      <w:r>
        <w:rPr>
          <w:spacing w:val="-4"/>
          <w:sz w:val="15"/>
        </w:rPr>
        <w:t xml:space="preserve"> </w:t>
      </w:r>
      <w:r>
        <w:rPr>
          <w:sz w:val="15"/>
        </w:rPr>
        <w:t>más detalle</w:t>
      </w:r>
      <w:r>
        <w:rPr>
          <w:spacing w:val="-8"/>
          <w:sz w:val="15"/>
        </w:rPr>
        <w:t xml:space="preserve"> </w:t>
      </w:r>
      <w:r>
        <w:rPr>
          <w:sz w:val="15"/>
        </w:rPr>
        <w:t>a</w:t>
      </w:r>
      <w:r>
        <w:rPr>
          <w:spacing w:val="-8"/>
          <w:sz w:val="15"/>
        </w:rPr>
        <w:t xml:space="preserve"> </w:t>
      </w:r>
      <w:r>
        <w:rPr>
          <w:sz w:val="15"/>
        </w:rPr>
        <w:t>continuación,</w:t>
      </w:r>
      <w:r>
        <w:rPr>
          <w:spacing w:val="-7"/>
          <w:sz w:val="15"/>
        </w:rPr>
        <w:t xml:space="preserve"> </w:t>
      </w:r>
      <w:r>
        <w:rPr>
          <w:sz w:val="15"/>
        </w:rPr>
        <w:t>dado</w:t>
      </w:r>
      <w:r>
        <w:rPr>
          <w:spacing w:val="-8"/>
          <w:sz w:val="15"/>
        </w:rPr>
        <w:t xml:space="preserve"> </w:t>
      </w:r>
      <w:r>
        <w:rPr>
          <w:sz w:val="15"/>
        </w:rPr>
        <w:t>el</w:t>
      </w:r>
      <w:r>
        <w:rPr>
          <w:spacing w:val="-8"/>
          <w:sz w:val="15"/>
        </w:rPr>
        <w:t xml:space="preserve"> </w:t>
      </w:r>
      <w:r>
        <w:rPr>
          <w:sz w:val="15"/>
        </w:rPr>
        <w:t>papel</w:t>
      </w:r>
      <w:r>
        <w:rPr>
          <w:spacing w:val="-8"/>
          <w:sz w:val="15"/>
        </w:rPr>
        <w:t xml:space="preserve"> </w:t>
      </w:r>
      <w:r>
        <w:rPr>
          <w:sz w:val="15"/>
        </w:rPr>
        <w:t>más</w:t>
      </w:r>
      <w:r>
        <w:rPr>
          <w:spacing w:val="-8"/>
          <w:sz w:val="15"/>
        </w:rPr>
        <w:t xml:space="preserve"> </w:t>
      </w:r>
      <w:r>
        <w:rPr>
          <w:sz w:val="15"/>
        </w:rPr>
        <w:t>amplio</w:t>
      </w:r>
      <w:r>
        <w:rPr>
          <w:spacing w:val="-8"/>
          <w:sz w:val="15"/>
        </w:rPr>
        <w:t xml:space="preserve"> </w:t>
      </w:r>
      <w:r>
        <w:rPr>
          <w:sz w:val="15"/>
        </w:rPr>
        <w:t>de</w:t>
      </w:r>
      <w:r>
        <w:rPr>
          <w:spacing w:val="-8"/>
          <w:sz w:val="15"/>
        </w:rPr>
        <w:t xml:space="preserve"> </w:t>
      </w:r>
      <w:r>
        <w:rPr>
          <w:sz w:val="15"/>
        </w:rPr>
        <w:t>la</w:t>
      </w:r>
      <w:r>
        <w:rPr>
          <w:spacing w:val="-8"/>
          <w:sz w:val="15"/>
        </w:rPr>
        <w:t xml:space="preserve"> </w:t>
      </w:r>
      <w:r>
        <w:rPr>
          <w:sz w:val="15"/>
        </w:rPr>
        <w:t>evaluación</w:t>
      </w:r>
      <w:r>
        <w:rPr>
          <w:spacing w:val="-8"/>
          <w:sz w:val="15"/>
        </w:rPr>
        <w:t xml:space="preserve"> </w:t>
      </w:r>
      <w:r>
        <w:rPr>
          <w:sz w:val="15"/>
        </w:rPr>
        <w:t>del</w:t>
      </w:r>
      <w:r>
        <w:rPr>
          <w:spacing w:val="-8"/>
          <w:sz w:val="15"/>
        </w:rPr>
        <w:t xml:space="preserve"> </w:t>
      </w:r>
      <w:r>
        <w:rPr>
          <w:sz w:val="15"/>
        </w:rPr>
        <w:t>impacto</w:t>
      </w:r>
      <w:r>
        <w:rPr>
          <w:spacing w:val="-8"/>
          <w:sz w:val="15"/>
        </w:rPr>
        <w:t xml:space="preserve"> </w:t>
      </w:r>
      <w:r>
        <w:rPr>
          <w:sz w:val="15"/>
        </w:rPr>
        <w:t>sobre</w:t>
      </w:r>
      <w:r>
        <w:rPr>
          <w:spacing w:val="-8"/>
          <w:sz w:val="15"/>
        </w:rPr>
        <w:t xml:space="preserve"> </w:t>
      </w:r>
      <w:r>
        <w:rPr>
          <w:sz w:val="15"/>
        </w:rPr>
        <w:t>la</w:t>
      </w:r>
      <w:r>
        <w:rPr>
          <w:spacing w:val="-8"/>
          <w:sz w:val="15"/>
        </w:rPr>
        <w:t xml:space="preserve"> </w:t>
      </w:r>
      <w:r>
        <w:rPr>
          <w:sz w:val="15"/>
        </w:rPr>
        <w:t>igualdad</w:t>
      </w:r>
      <w:r>
        <w:rPr>
          <w:spacing w:val="-8"/>
          <w:sz w:val="15"/>
        </w:rPr>
        <w:t xml:space="preserve"> </w:t>
      </w:r>
      <w:r>
        <w:rPr>
          <w:sz w:val="15"/>
        </w:rPr>
        <w:t>en</w:t>
      </w:r>
      <w:r>
        <w:rPr>
          <w:spacing w:val="-8"/>
          <w:sz w:val="15"/>
        </w:rPr>
        <w:t xml:space="preserve"> </w:t>
      </w:r>
      <w:r>
        <w:rPr>
          <w:sz w:val="15"/>
        </w:rPr>
        <w:t>el</w:t>
      </w:r>
      <w:r>
        <w:rPr>
          <w:spacing w:val="-8"/>
          <w:sz w:val="15"/>
        </w:rPr>
        <w:t xml:space="preserve"> </w:t>
      </w:r>
      <w:r>
        <w:rPr>
          <w:sz w:val="15"/>
        </w:rPr>
        <w:t>cumplimiento</w:t>
      </w:r>
      <w:r>
        <w:rPr>
          <w:spacing w:val="-8"/>
          <w:sz w:val="15"/>
        </w:rPr>
        <w:t xml:space="preserve"> </w:t>
      </w:r>
      <w:r>
        <w:rPr>
          <w:sz w:val="15"/>
        </w:rPr>
        <w:t>de</w:t>
      </w:r>
      <w:r>
        <w:rPr>
          <w:spacing w:val="-8"/>
          <w:sz w:val="15"/>
        </w:rPr>
        <w:t xml:space="preserve"> </w:t>
      </w:r>
      <w:r>
        <w:rPr>
          <w:sz w:val="15"/>
        </w:rPr>
        <w:t>los</w:t>
      </w:r>
      <w:r>
        <w:rPr>
          <w:spacing w:val="-8"/>
          <w:sz w:val="15"/>
        </w:rPr>
        <w:t xml:space="preserve"> </w:t>
      </w:r>
      <w:r>
        <w:rPr>
          <w:sz w:val="15"/>
        </w:rPr>
        <w:t>Estados</w:t>
      </w:r>
      <w:r>
        <w:rPr>
          <w:spacing w:val="-8"/>
          <w:sz w:val="15"/>
        </w:rPr>
        <w:t xml:space="preserve"> </w:t>
      </w:r>
      <w:r>
        <w:rPr>
          <w:sz w:val="15"/>
        </w:rPr>
        <w:t>con</w:t>
      </w:r>
      <w:r>
        <w:rPr>
          <w:spacing w:val="-8"/>
          <w:sz w:val="15"/>
        </w:rPr>
        <w:t xml:space="preserve"> </w:t>
      </w:r>
      <w:r>
        <w:rPr>
          <w:sz w:val="15"/>
        </w:rPr>
        <w:t>sus obligaciones de derecho internacional.</w:t>
      </w:r>
    </w:p>
    <w:p w14:paraId="62A3D5FD" w14:textId="77777777" w:rsidR="0014798C" w:rsidRDefault="0014798C">
      <w:pPr>
        <w:pStyle w:val="Textoindependiente"/>
        <w:rPr>
          <w:sz w:val="15"/>
        </w:rPr>
      </w:pPr>
    </w:p>
    <w:p w14:paraId="42554485" w14:textId="77777777" w:rsidR="0014798C" w:rsidRDefault="0014798C">
      <w:pPr>
        <w:pStyle w:val="Textoindependiente"/>
        <w:spacing w:before="164"/>
        <w:rPr>
          <w:sz w:val="15"/>
        </w:rPr>
      </w:pPr>
    </w:p>
    <w:p w14:paraId="5C32800D" w14:textId="77777777" w:rsidR="0014798C" w:rsidRDefault="004E1F0B">
      <w:pPr>
        <w:ind w:left="1327"/>
        <w:rPr>
          <w:sz w:val="15"/>
        </w:rPr>
      </w:pPr>
      <w:r>
        <w:rPr>
          <w:spacing w:val="-2"/>
          <w:sz w:val="15"/>
        </w:rPr>
        <w:t>VICTORIA</w:t>
      </w:r>
      <w:r>
        <w:rPr>
          <w:spacing w:val="-5"/>
          <w:sz w:val="15"/>
        </w:rPr>
        <w:t xml:space="preserve"> </w:t>
      </w:r>
      <w:r>
        <w:rPr>
          <w:spacing w:val="-2"/>
          <w:sz w:val="15"/>
        </w:rPr>
        <w:t>(AUSTRALIA):</w:t>
      </w:r>
      <w:r>
        <w:rPr>
          <w:spacing w:val="-5"/>
          <w:sz w:val="15"/>
        </w:rPr>
        <w:t xml:space="preserve"> </w:t>
      </w:r>
      <w:r>
        <w:rPr>
          <w:spacing w:val="-2"/>
          <w:sz w:val="15"/>
        </w:rPr>
        <w:t>LEY</w:t>
      </w:r>
      <w:r>
        <w:rPr>
          <w:spacing w:val="-5"/>
          <w:sz w:val="15"/>
        </w:rPr>
        <w:t xml:space="preserve"> </w:t>
      </w:r>
      <w:r>
        <w:rPr>
          <w:spacing w:val="-2"/>
          <w:sz w:val="15"/>
        </w:rPr>
        <w:t>DE</w:t>
      </w:r>
      <w:r>
        <w:rPr>
          <w:spacing w:val="-4"/>
          <w:sz w:val="15"/>
        </w:rPr>
        <w:t xml:space="preserve"> </w:t>
      </w:r>
      <w:r>
        <w:rPr>
          <w:spacing w:val="-2"/>
          <w:sz w:val="15"/>
        </w:rPr>
        <w:t>IGUALDAD</w:t>
      </w:r>
      <w:r>
        <w:rPr>
          <w:spacing w:val="-6"/>
          <w:sz w:val="15"/>
        </w:rPr>
        <w:t xml:space="preserve"> </w:t>
      </w:r>
      <w:r>
        <w:rPr>
          <w:spacing w:val="-2"/>
          <w:sz w:val="15"/>
        </w:rPr>
        <w:t>DE</w:t>
      </w:r>
      <w:r>
        <w:rPr>
          <w:spacing w:val="-5"/>
          <w:sz w:val="15"/>
        </w:rPr>
        <w:t xml:space="preserve"> </w:t>
      </w:r>
      <w:r>
        <w:rPr>
          <w:spacing w:val="-2"/>
          <w:sz w:val="15"/>
        </w:rPr>
        <w:t>GÉNERO</w:t>
      </w:r>
    </w:p>
    <w:p w14:paraId="1867557B" w14:textId="77777777" w:rsidR="0014798C" w:rsidRDefault="004E1F0B">
      <w:pPr>
        <w:spacing w:before="160"/>
        <w:ind w:left="1332"/>
        <w:rPr>
          <w:sz w:val="17"/>
        </w:rPr>
      </w:pPr>
      <w:r>
        <w:rPr>
          <w:sz w:val="17"/>
        </w:rPr>
        <w:t>La</w:t>
      </w:r>
      <w:r>
        <w:rPr>
          <w:spacing w:val="1"/>
          <w:sz w:val="17"/>
        </w:rPr>
        <w:t xml:space="preserve"> </w:t>
      </w:r>
      <w:r>
        <w:rPr>
          <w:sz w:val="17"/>
        </w:rPr>
        <w:t>Ley</w:t>
      </w:r>
      <w:r>
        <w:rPr>
          <w:spacing w:val="1"/>
          <w:sz w:val="17"/>
        </w:rPr>
        <w:t xml:space="preserve"> </w:t>
      </w:r>
      <w:r>
        <w:rPr>
          <w:sz w:val="17"/>
        </w:rPr>
        <w:t>de</w:t>
      </w:r>
      <w:r>
        <w:rPr>
          <w:spacing w:val="1"/>
          <w:sz w:val="17"/>
        </w:rPr>
        <w:t xml:space="preserve"> </w:t>
      </w:r>
      <w:r>
        <w:rPr>
          <w:sz w:val="17"/>
        </w:rPr>
        <w:t>Igualdad</w:t>
      </w:r>
      <w:r>
        <w:rPr>
          <w:spacing w:val="1"/>
          <w:sz w:val="17"/>
        </w:rPr>
        <w:t xml:space="preserve"> </w:t>
      </w:r>
      <w:r>
        <w:rPr>
          <w:sz w:val="17"/>
        </w:rPr>
        <w:t>de</w:t>
      </w:r>
      <w:r>
        <w:rPr>
          <w:spacing w:val="1"/>
          <w:sz w:val="17"/>
        </w:rPr>
        <w:t xml:space="preserve"> </w:t>
      </w:r>
      <w:r>
        <w:rPr>
          <w:sz w:val="17"/>
        </w:rPr>
        <w:t>Género</w:t>
      </w:r>
      <w:r>
        <w:rPr>
          <w:spacing w:val="1"/>
          <w:sz w:val="17"/>
        </w:rPr>
        <w:t xml:space="preserve"> </w:t>
      </w:r>
      <w:r>
        <w:rPr>
          <w:sz w:val="17"/>
        </w:rPr>
        <w:t>de</w:t>
      </w:r>
      <w:r>
        <w:rPr>
          <w:spacing w:val="1"/>
          <w:sz w:val="17"/>
        </w:rPr>
        <w:t xml:space="preserve"> </w:t>
      </w:r>
      <w:r>
        <w:rPr>
          <w:sz w:val="17"/>
        </w:rPr>
        <w:t>Victoria</w:t>
      </w:r>
      <w:r>
        <w:rPr>
          <w:spacing w:val="1"/>
          <w:sz w:val="17"/>
        </w:rPr>
        <w:t xml:space="preserve"> </w:t>
      </w:r>
      <w:r>
        <w:rPr>
          <w:sz w:val="17"/>
        </w:rPr>
        <w:t>(Australia) fue</w:t>
      </w:r>
      <w:r>
        <w:rPr>
          <w:spacing w:val="1"/>
          <w:sz w:val="17"/>
        </w:rPr>
        <w:t xml:space="preserve"> </w:t>
      </w:r>
      <w:r>
        <w:rPr>
          <w:sz w:val="17"/>
        </w:rPr>
        <w:t>adoptada</w:t>
      </w:r>
      <w:r>
        <w:rPr>
          <w:spacing w:val="2"/>
          <w:sz w:val="17"/>
        </w:rPr>
        <w:t xml:space="preserve"> </w:t>
      </w:r>
      <w:r>
        <w:rPr>
          <w:sz w:val="17"/>
        </w:rPr>
        <w:t>en</w:t>
      </w:r>
      <w:r>
        <w:rPr>
          <w:spacing w:val="1"/>
          <w:sz w:val="17"/>
        </w:rPr>
        <w:t xml:space="preserve"> </w:t>
      </w:r>
      <w:r>
        <w:rPr>
          <w:sz w:val="17"/>
        </w:rPr>
        <w:t>2020</w:t>
      </w:r>
      <w:r>
        <w:rPr>
          <w:spacing w:val="1"/>
          <w:sz w:val="17"/>
        </w:rPr>
        <w:t xml:space="preserve"> </w:t>
      </w:r>
      <w:r>
        <w:rPr>
          <w:sz w:val="17"/>
        </w:rPr>
        <w:t>y</w:t>
      </w:r>
      <w:r>
        <w:rPr>
          <w:spacing w:val="1"/>
          <w:sz w:val="17"/>
        </w:rPr>
        <w:t xml:space="preserve"> </w:t>
      </w:r>
      <w:r>
        <w:rPr>
          <w:sz w:val="17"/>
        </w:rPr>
        <w:t>entró</w:t>
      </w:r>
      <w:r>
        <w:rPr>
          <w:spacing w:val="1"/>
          <w:sz w:val="17"/>
        </w:rPr>
        <w:t xml:space="preserve"> </w:t>
      </w:r>
      <w:r>
        <w:rPr>
          <w:sz w:val="17"/>
        </w:rPr>
        <w:t>en</w:t>
      </w:r>
      <w:r>
        <w:rPr>
          <w:spacing w:val="1"/>
          <w:sz w:val="17"/>
        </w:rPr>
        <w:t xml:space="preserve"> </w:t>
      </w:r>
      <w:r>
        <w:rPr>
          <w:sz w:val="17"/>
        </w:rPr>
        <w:t>vigor</w:t>
      </w:r>
      <w:r>
        <w:rPr>
          <w:spacing w:val="1"/>
          <w:sz w:val="17"/>
        </w:rPr>
        <w:t xml:space="preserve"> </w:t>
      </w:r>
      <w:r>
        <w:rPr>
          <w:sz w:val="17"/>
        </w:rPr>
        <w:t>el</w:t>
      </w:r>
      <w:r>
        <w:rPr>
          <w:spacing w:val="1"/>
          <w:sz w:val="17"/>
        </w:rPr>
        <w:t xml:space="preserve"> </w:t>
      </w:r>
      <w:r>
        <w:rPr>
          <w:sz w:val="17"/>
        </w:rPr>
        <w:t>31</w:t>
      </w:r>
      <w:r>
        <w:rPr>
          <w:spacing w:val="1"/>
          <w:sz w:val="17"/>
        </w:rPr>
        <w:t xml:space="preserve"> </w:t>
      </w:r>
      <w:r>
        <w:rPr>
          <w:sz w:val="17"/>
        </w:rPr>
        <w:t>de</w:t>
      </w:r>
      <w:r>
        <w:rPr>
          <w:spacing w:val="1"/>
          <w:sz w:val="17"/>
        </w:rPr>
        <w:t xml:space="preserve"> </w:t>
      </w:r>
      <w:r>
        <w:rPr>
          <w:sz w:val="17"/>
        </w:rPr>
        <w:t>marzo</w:t>
      </w:r>
      <w:r>
        <w:rPr>
          <w:spacing w:val="1"/>
          <w:sz w:val="17"/>
        </w:rPr>
        <w:t xml:space="preserve"> </w:t>
      </w:r>
      <w:r>
        <w:rPr>
          <w:sz w:val="17"/>
        </w:rPr>
        <w:t>de</w:t>
      </w:r>
      <w:r>
        <w:rPr>
          <w:spacing w:val="2"/>
          <w:sz w:val="17"/>
        </w:rPr>
        <w:t xml:space="preserve"> </w:t>
      </w:r>
      <w:r>
        <w:rPr>
          <w:spacing w:val="-2"/>
          <w:sz w:val="17"/>
        </w:rPr>
        <w:t>2021.</w:t>
      </w:r>
    </w:p>
    <w:p w14:paraId="4F471298" w14:textId="77777777" w:rsidR="0014798C" w:rsidRDefault="004E1F0B">
      <w:pPr>
        <w:spacing w:before="82"/>
        <w:ind w:left="1332"/>
        <w:rPr>
          <w:sz w:val="15"/>
        </w:rPr>
      </w:pPr>
      <w:r>
        <w:rPr>
          <w:sz w:val="15"/>
        </w:rPr>
        <w:t>Se</w:t>
      </w:r>
      <w:r>
        <w:rPr>
          <w:spacing w:val="-10"/>
          <w:sz w:val="15"/>
        </w:rPr>
        <w:t xml:space="preserve"> </w:t>
      </w:r>
      <w:r>
        <w:rPr>
          <w:sz w:val="15"/>
        </w:rPr>
        <w:t>aplica</w:t>
      </w:r>
      <w:r>
        <w:rPr>
          <w:spacing w:val="-9"/>
          <w:sz w:val="15"/>
        </w:rPr>
        <w:t xml:space="preserve"> </w:t>
      </w:r>
      <w:r>
        <w:rPr>
          <w:sz w:val="15"/>
        </w:rPr>
        <w:t>a</w:t>
      </w:r>
      <w:r>
        <w:rPr>
          <w:spacing w:val="-9"/>
          <w:sz w:val="15"/>
        </w:rPr>
        <w:t xml:space="preserve"> </w:t>
      </w:r>
      <w:r>
        <w:rPr>
          <w:sz w:val="15"/>
        </w:rPr>
        <w:t>los</w:t>
      </w:r>
      <w:r>
        <w:rPr>
          <w:spacing w:val="-9"/>
          <w:sz w:val="15"/>
        </w:rPr>
        <w:t xml:space="preserve"> </w:t>
      </w:r>
      <w:r>
        <w:rPr>
          <w:sz w:val="15"/>
        </w:rPr>
        <w:t>organismos</w:t>
      </w:r>
      <w:r>
        <w:rPr>
          <w:spacing w:val="-9"/>
          <w:sz w:val="15"/>
        </w:rPr>
        <w:t xml:space="preserve"> </w:t>
      </w:r>
      <w:r>
        <w:rPr>
          <w:sz w:val="15"/>
        </w:rPr>
        <w:t>del</w:t>
      </w:r>
      <w:r>
        <w:rPr>
          <w:spacing w:val="-9"/>
          <w:sz w:val="15"/>
        </w:rPr>
        <w:t xml:space="preserve"> </w:t>
      </w:r>
      <w:r>
        <w:rPr>
          <w:sz w:val="15"/>
        </w:rPr>
        <w:t>sector</w:t>
      </w:r>
      <w:r>
        <w:rPr>
          <w:spacing w:val="-10"/>
          <w:sz w:val="15"/>
        </w:rPr>
        <w:t xml:space="preserve"> </w:t>
      </w:r>
      <w:r>
        <w:rPr>
          <w:sz w:val="15"/>
        </w:rPr>
        <w:t>público</w:t>
      </w:r>
      <w:r>
        <w:rPr>
          <w:spacing w:val="-9"/>
          <w:sz w:val="15"/>
        </w:rPr>
        <w:t xml:space="preserve"> </w:t>
      </w:r>
      <w:r>
        <w:rPr>
          <w:sz w:val="15"/>
        </w:rPr>
        <w:t>y</w:t>
      </w:r>
      <w:r>
        <w:rPr>
          <w:spacing w:val="-9"/>
          <w:sz w:val="15"/>
        </w:rPr>
        <w:t xml:space="preserve"> </w:t>
      </w:r>
      <w:r>
        <w:rPr>
          <w:sz w:val="15"/>
        </w:rPr>
        <w:t>tiene</w:t>
      </w:r>
      <w:r>
        <w:rPr>
          <w:spacing w:val="-9"/>
          <w:sz w:val="15"/>
        </w:rPr>
        <w:t xml:space="preserve"> </w:t>
      </w:r>
      <w:r>
        <w:rPr>
          <w:sz w:val="15"/>
        </w:rPr>
        <w:t>dos</w:t>
      </w:r>
      <w:r>
        <w:rPr>
          <w:spacing w:val="-9"/>
          <w:sz w:val="15"/>
        </w:rPr>
        <w:t xml:space="preserve"> </w:t>
      </w:r>
      <w:r>
        <w:rPr>
          <w:sz w:val="15"/>
        </w:rPr>
        <w:t>funciones</w:t>
      </w:r>
      <w:r>
        <w:rPr>
          <w:spacing w:val="-9"/>
          <w:sz w:val="15"/>
        </w:rPr>
        <w:t xml:space="preserve"> </w:t>
      </w:r>
      <w:r>
        <w:rPr>
          <w:spacing w:val="-2"/>
          <w:sz w:val="15"/>
        </w:rPr>
        <w:t>principales.</w:t>
      </w:r>
    </w:p>
    <w:p w14:paraId="74A132EC" w14:textId="77777777" w:rsidR="0014798C" w:rsidRDefault="0014798C">
      <w:pPr>
        <w:pStyle w:val="Textoindependiente"/>
        <w:spacing w:before="18"/>
        <w:rPr>
          <w:sz w:val="15"/>
        </w:rPr>
      </w:pPr>
    </w:p>
    <w:p w14:paraId="672B828A" w14:textId="77777777" w:rsidR="0014798C" w:rsidRDefault="004E1F0B">
      <w:pPr>
        <w:spacing w:line="348" w:lineRule="auto"/>
        <w:ind w:left="1332" w:right="1554" w:firstLine="1"/>
        <w:rPr>
          <w:sz w:val="15"/>
        </w:rPr>
      </w:pPr>
      <w:r>
        <w:rPr>
          <w:sz w:val="15"/>
        </w:rPr>
        <w:t>En</w:t>
      </w:r>
      <w:r>
        <w:rPr>
          <w:spacing w:val="-8"/>
          <w:sz w:val="15"/>
        </w:rPr>
        <w:t xml:space="preserve"> </w:t>
      </w:r>
      <w:r>
        <w:rPr>
          <w:sz w:val="15"/>
        </w:rPr>
        <w:t>primer</w:t>
      </w:r>
      <w:r>
        <w:rPr>
          <w:spacing w:val="-8"/>
          <w:sz w:val="15"/>
        </w:rPr>
        <w:t xml:space="preserve"> </w:t>
      </w:r>
      <w:r>
        <w:rPr>
          <w:sz w:val="15"/>
        </w:rPr>
        <w:t>lugar,</w:t>
      </w:r>
      <w:r>
        <w:rPr>
          <w:spacing w:val="-8"/>
          <w:sz w:val="15"/>
        </w:rPr>
        <w:t xml:space="preserve"> </w:t>
      </w:r>
      <w:r>
        <w:rPr>
          <w:sz w:val="15"/>
        </w:rPr>
        <w:t>la</w:t>
      </w:r>
      <w:r>
        <w:rPr>
          <w:spacing w:val="-8"/>
          <w:sz w:val="15"/>
        </w:rPr>
        <w:t xml:space="preserve"> </w:t>
      </w:r>
      <w:r>
        <w:rPr>
          <w:sz w:val="15"/>
        </w:rPr>
        <w:t>ley</w:t>
      </w:r>
      <w:r>
        <w:rPr>
          <w:spacing w:val="-8"/>
          <w:sz w:val="15"/>
        </w:rPr>
        <w:t xml:space="preserve"> </w:t>
      </w:r>
      <w:r>
        <w:rPr>
          <w:sz w:val="15"/>
        </w:rPr>
        <w:t>impone</w:t>
      </w:r>
      <w:r>
        <w:rPr>
          <w:spacing w:val="-8"/>
          <w:sz w:val="15"/>
        </w:rPr>
        <w:t xml:space="preserve"> </w:t>
      </w:r>
      <w:r>
        <w:rPr>
          <w:sz w:val="15"/>
        </w:rPr>
        <w:t>a</w:t>
      </w:r>
      <w:r>
        <w:rPr>
          <w:spacing w:val="-8"/>
          <w:sz w:val="15"/>
        </w:rPr>
        <w:t xml:space="preserve"> </w:t>
      </w:r>
      <w:r>
        <w:rPr>
          <w:sz w:val="15"/>
        </w:rPr>
        <w:t>las</w:t>
      </w:r>
      <w:r>
        <w:rPr>
          <w:spacing w:val="-8"/>
          <w:sz w:val="15"/>
        </w:rPr>
        <w:t xml:space="preserve"> </w:t>
      </w:r>
      <w:r>
        <w:rPr>
          <w:sz w:val="15"/>
        </w:rPr>
        <w:t>organizaciones</w:t>
      </w:r>
      <w:r>
        <w:rPr>
          <w:spacing w:val="-8"/>
          <w:sz w:val="15"/>
        </w:rPr>
        <w:t xml:space="preserve"> </w:t>
      </w:r>
      <w:r>
        <w:rPr>
          <w:sz w:val="15"/>
        </w:rPr>
        <w:t>el</w:t>
      </w:r>
      <w:r>
        <w:rPr>
          <w:spacing w:val="-8"/>
          <w:sz w:val="15"/>
        </w:rPr>
        <w:t xml:space="preserve"> </w:t>
      </w:r>
      <w:r>
        <w:rPr>
          <w:sz w:val="15"/>
        </w:rPr>
        <w:t>deber</w:t>
      </w:r>
      <w:r>
        <w:rPr>
          <w:spacing w:val="-8"/>
          <w:sz w:val="15"/>
        </w:rPr>
        <w:t xml:space="preserve"> </w:t>
      </w:r>
      <w:r>
        <w:rPr>
          <w:sz w:val="15"/>
        </w:rPr>
        <w:t>positivo</w:t>
      </w:r>
      <w:r>
        <w:rPr>
          <w:spacing w:val="-8"/>
          <w:sz w:val="15"/>
        </w:rPr>
        <w:t xml:space="preserve"> </w:t>
      </w:r>
      <w:r>
        <w:rPr>
          <w:sz w:val="15"/>
        </w:rPr>
        <w:t>de</w:t>
      </w:r>
      <w:r>
        <w:rPr>
          <w:spacing w:val="-8"/>
          <w:sz w:val="15"/>
        </w:rPr>
        <w:t xml:space="preserve"> </w:t>
      </w:r>
      <w:r>
        <w:rPr>
          <w:sz w:val="15"/>
        </w:rPr>
        <w:t>incorporar</w:t>
      </w:r>
      <w:r>
        <w:rPr>
          <w:spacing w:val="-8"/>
          <w:sz w:val="15"/>
        </w:rPr>
        <w:t xml:space="preserve"> </w:t>
      </w:r>
      <w:r>
        <w:rPr>
          <w:sz w:val="15"/>
        </w:rPr>
        <w:t>la</w:t>
      </w:r>
      <w:r>
        <w:rPr>
          <w:spacing w:val="-8"/>
          <w:sz w:val="15"/>
        </w:rPr>
        <w:t xml:space="preserve"> </w:t>
      </w:r>
      <w:r>
        <w:rPr>
          <w:sz w:val="15"/>
        </w:rPr>
        <w:t>igualdad</w:t>
      </w:r>
      <w:r>
        <w:rPr>
          <w:spacing w:val="-8"/>
          <w:sz w:val="15"/>
        </w:rPr>
        <w:t xml:space="preserve"> </w:t>
      </w:r>
      <w:r>
        <w:rPr>
          <w:sz w:val="15"/>
        </w:rPr>
        <w:t>de</w:t>
      </w:r>
      <w:r>
        <w:rPr>
          <w:spacing w:val="-8"/>
          <w:sz w:val="15"/>
        </w:rPr>
        <w:t xml:space="preserve"> </w:t>
      </w:r>
      <w:r>
        <w:rPr>
          <w:sz w:val="15"/>
        </w:rPr>
        <w:t>género</w:t>
      </w:r>
      <w:r>
        <w:rPr>
          <w:spacing w:val="-8"/>
          <w:sz w:val="15"/>
        </w:rPr>
        <w:t xml:space="preserve"> </w:t>
      </w:r>
      <w:r>
        <w:rPr>
          <w:sz w:val="15"/>
        </w:rPr>
        <w:t>en</w:t>
      </w:r>
      <w:r>
        <w:rPr>
          <w:spacing w:val="-8"/>
          <w:sz w:val="15"/>
        </w:rPr>
        <w:t xml:space="preserve"> </w:t>
      </w:r>
      <w:r>
        <w:rPr>
          <w:sz w:val="15"/>
        </w:rPr>
        <w:t>la</w:t>
      </w:r>
      <w:r>
        <w:rPr>
          <w:spacing w:val="-8"/>
          <w:sz w:val="15"/>
        </w:rPr>
        <w:t xml:space="preserve"> </w:t>
      </w:r>
      <w:r>
        <w:rPr>
          <w:sz w:val="15"/>
        </w:rPr>
        <w:t>formulación</w:t>
      </w:r>
      <w:r>
        <w:rPr>
          <w:spacing w:val="-8"/>
          <w:sz w:val="15"/>
        </w:rPr>
        <w:t xml:space="preserve"> </w:t>
      </w:r>
      <w:r>
        <w:rPr>
          <w:sz w:val="15"/>
        </w:rPr>
        <w:t>de</w:t>
      </w:r>
      <w:r>
        <w:rPr>
          <w:spacing w:val="-8"/>
          <w:sz w:val="15"/>
        </w:rPr>
        <w:t xml:space="preserve"> </w:t>
      </w:r>
      <w:r>
        <w:rPr>
          <w:sz w:val="15"/>
        </w:rPr>
        <w:t>políticas y</w:t>
      </w:r>
      <w:r>
        <w:rPr>
          <w:spacing w:val="-4"/>
          <w:sz w:val="15"/>
        </w:rPr>
        <w:t xml:space="preserve"> </w:t>
      </w:r>
      <w:r>
        <w:rPr>
          <w:sz w:val="15"/>
        </w:rPr>
        <w:t>programas</w:t>
      </w:r>
      <w:r>
        <w:rPr>
          <w:spacing w:val="-4"/>
          <w:sz w:val="15"/>
        </w:rPr>
        <w:t xml:space="preserve"> </w:t>
      </w:r>
      <w:r>
        <w:rPr>
          <w:sz w:val="15"/>
        </w:rPr>
        <w:t>y</w:t>
      </w:r>
      <w:r>
        <w:rPr>
          <w:spacing w:val="-4"/>
          <w:sz w:val="15"/>
        </w:rPr>
        <w:t xml:space="preserve"> </w:t>
      </w:r>
      <w:r>
        <w:rPr>
          <w:sz w:val="15"/>
        </w:rPr>
        <w:t>en</w:t>
      </w:r>
      <w:r>
        <w:rPr>
          <w:spacing w:val="-4"/>
          <w:sz w:val="15"/>
        </w:rPr>
        <w:t xml:space="preserve"> </w:t>
      </w:r>
      <w:r>
        <w:rPr>
          <w:sz w:val="15"/>
        </w:rPr>
        <w:t>la</w:t>
      </w:r>
      <w:r>
        <w:rPr>
          <w:spacing w:val="-4"/>
          <w:sz w:val="15"/>
        </w:rPr>
        <w:t xml:space="preserve"> </w:t>
      </w:r>
      <w:r>
        <w:rPr>
          <w:sz w:val="15"/>
        </w:rPr>
        <w:t>prestación</w:t>
      </w:r>
      <w:r>
        <w:rPr>
          <w:spacing w:val="-4"/>
          <w:sz w:val="15"/>
        </w:rPr>
        <w:t xml:space="preserve"> </w:t>
      </w:r>
      <w:r>
        <w:rPr>
          <w:sz w:val="15"/>
        </w:rPr>
        <w:t>de</w:t>
      </w:r>
      <w:r>
        <w:rPr>
          <w:spacing w:val="-4"/>
          <w:sz w:val="15"/>
        </w:rPr>
        <w:t xml:space="preserve"> </w:t>
      </w:r>
      <w:r>
        <w:rPr>
          <w:sz w:val="15"/>
        </w:rPr>
        <w:t>servicios</w:t>
      </w:r>
      <w:r>
        <w:rPr>
          <w:spacing w:val="-4"/>
          <w:sz w:val="15"/>
        </w:rPr>
        <w:t xml:space="preserve"> </w:t>
      </w:r>
      <w:r>
        <w:rPr>
          <w:sz w:val="15"/>
        </w:rPr>
        <w:t>públicos</w:t>
      </w:r>
      <w:r>
        <w:rPr>
          <w:spacing w:val="-4"/>
          <w:sz w:val="15"/>
        </w:rPr>
        <w:t xml:space="preserve"> </w:t>
      </w:r>
      <w:r>
        <w:rPr>
          <w:sz w:val="15"/>
        </w:rPr>
        <w:t>(art.</w:t>
      </w:r>
      <w:r>
        <w:rPr>
          <w:spacing w:val="-4"/>
          <w:sz w:val="15"/>
        </w:rPr>
        <w:t xml:space="preserve"> </w:t>
      </w:r>
      <w:r>
        <w:rPr>
          <w:sz w:val="15"/>
        </w:rPr>
        <w:t>7).</w:t>
      </w:r>
      <w:r>
        <w:rPr>
          <w:spacing w:val="-4"/>
          <w:sz w:val="15"/>
        </w:rPr>
        <w:t xml:space="preserve"> </w:t>
      </w:r>
      <w:r>
        <w:rPr>
          <w:sz w:val="15"/>
        </w:rPr>
        <w:t>El</w:t>
      </w:r>
      <w:r>
        <w:rPr>
          <w:spacing w:val="-4"/>
          <w:sz w:val="15"/>
        </w:rPr>
        <w:t xml:space="preserve"> </w:t>
      </w:r>
      <w:r>
        <w:rPr>
          <w:sz w:val="15"/>
        </w:rPr>
        <w:t>deber</w:t>
      </w:r>
      <w:r>
        <w:rPr>
          <w:spacing w:val="-4"/>
          <w:sz w:val="15"/>
        </w:rPr>
        <w:t xml:space="preserve"> </w:t>
      </w:r>
      <w:r>
        <w:rPr>
          <w:sz w:val="15"/>
        </w:rPr>
        <w:t>requiere</w:t>
      </w:r>
      <w:r>
        <w:rPr>
          <w:spacing w:val="-4"/>
          <w:sz w:val="15"/>
        </w:rPr>
        <w:t xml:space="preserve"> </w:t>
      </w:r>
      <w:r>
        <w:rPr>
          <w:sz w:val="15"/>
        </w:rPr>
        <w:t>que</w:t>
      </w:r>
      <w:r>
        <w:rPr>
          <w:spacing w:val="-4"/>
          <w:sz w:val="15"/>
        </w:rPr>
        <w:t xml:space="preserve"> </w:t>
      </w:r>
      <w:r>
        <w:rPr>
          <w:sz w:val="15"/>
        </w:rPr>
        <w:t>las</w:t>
      </w:r>
      <w:r>
        <w:rPr>
          <w:spacing w:val="-4"/>
          <w:sz w:val="15"/>
        </w:rPr>
        <w:t xml:space="preserve"> </w:t>
      </w:r>
      <w:r>
        <w:rPr>
          <w:sz w:val="15"/>
        </w:rPr>
        <w:t>organizaciones</w:t>
      </w:r>
      <w:r>
        <w:rPr>
          <w:spacing w:val="-4"/>
          <w:sz w:val="15"/>
        </w:rPr>
        <w:t xml:space="preserve"> </w:t>
      </w:r>
      <w:r>
        <w:rPr>
          <w:sz w:val="15"/>
        </w:rPr>
        <w:t>(a)</w:t>
      </w:r>
      <w:r>
        <w:rPr>
          <w:spacing w:val="-4"/>
          <w:sz w:val="15"/>
        </w:rPr>
        <w:t xml:space="preserve"> </w:t>
      </w:r>
      <w:r>
        <w:rPr>
          <w:sz w:val="15"/>
        </w:rPr>
        <w:t>consideren</w:t>
      </w:r>
      <w:r>
        <w:rPr>
          <w:spacing w:val="-4"/>
          <w:sz w:val="15"/>
        </w:rPr>
        <w:t xml:space="preserve"> </w:t>
      </w:r>
      <w:r>
        <w:rPr>
          <w:sz w:val="15"/>
        </w:rPr>
        <w:t>y</w:t>
      </w:r>
      <w:r>
        <w:rPr>
          <w:spacing w:val="-4"/>
          <w:sz w:val="15"/>
        </w:rPr>
        <w:t xml:space="preserve"> </w:t>
      </w:r>
      <w:r>
        <w:rPr>
          <w:sz w:val="15"/>
        </w:rPr>
        <w:t>promuevan</w:t>
      </w:r>
      <w:r>
        <w:rPr>
          <w:spacing w:val="-4"/>
          <w:sz w:val="15"/>
        </w:rPr>
        <w:t xml:space="preserve"> </w:t>
      </w:r>
      <w:r>
        <w:rPr>
          <w:sz w:val="15"/>
        </w:rPr>
        <w:t>la igualdad</w:t>
      </w:r>
      <w:r>
        <w:rPr>
          <w:spacing w:val="-7"/>
          <w:sz w:val="15"/>
        </w:rPr>
        <w:t xml:space="preserve"> </w:t>
      </w:r>
      <w:r>
        <w:rPr>
          <w:sz w:val="15"/>
        </w:rPr>
        <w:t>de</w:t>
      </w:r>
      <w:r>
        <w:rPr>
          <w:spacing w:val="-7"/>
          <w:sz w:val="15"/>
        </w:rPr>
        <w:t xml:space="preserve"> </w:t>
      </w:r>
      <w:r>
        <w:rPr>
          <w:sz w:val="15"/>
        </w:rPr>
        <w:t>género;</w:t>
      </w:r>
      <w:r>
        <w:rPr>
          <w:spacing w:val="-7"/>
          <w:sz w:val="15"/>
        </w:rPr>
        <w:t xml:space="preserve"> </w:t>
      </w:r>
      <w:r>
        <w:rPr>
          <w:sz w:val="15"/>
        </w:rPr>
        <w:t>y</w:t>
      </w:r>
      <w:r>
        <w:rPr>
          <w:spacing w:val="-7"/>
          <w:sz w:val="15"/>
        </w:rPr>
        <w:t xml:space="preserve"> </w:t>
      </w:r>
      <w:r>
        <w:rPr>
          <w:sz w:val="15"/>
        </w:rPr>
        <w:t>(b)</w:t>
      </w:r>
      <w:r>
        <w:rPr>
          <w:spacing w:val="-7"/>
          <w:sz w:val="15"/>
        </w:rPr>
        <w:t xml:space="preserve"> </w:t>
      </w:r>
      <w:r>
        <w:rPr>
          <w:sz w:val="15"/>
        </w:rPr>
        <w:t>tomar</w:t>
      </w:r>
      <w:r>
        <w:rPr>
          <w:spacing w:val="-7"/>
          <w:sz w:val="15"/>
        </w:rPr>
        <w:t xml:space="preserve"> </w:t>
      </w:r>
      <w:r>
        <w:rPr>
          <w:sz w:val="15"/>
        </w:rPr>
        <w:t>medidas</w:t>
      </w:r>
      <w:r>
        <w:rPr>
          <w:spacing w:val="-7"/>
          <w:sz w:val="15"/>
        </w:rPr>
        <w:t xml:space="preserve"> </w:t>
      </w:r>
      <w:r>
        <w:rPr>
          <w:sz w:val="15"/>
        </w:rPr>
        <w:t>necesarias</w:t>
      </w:r>
      <w:r>
        <w:rPr>
          <w:spacing w:val="-7"/>
          <w:sz w:val="15"/>
        </w:rPr>
        <w:t xml:space="preserve"> </w:t>
      </w:r>
      <w:r>
        <w:rPr>
          <w:sz w:val="15"/>
        </w:rPr>
        <w:t>y</w:t>
      </w:r>
      <w:r>
        <w:rPr>
          <w:spacing w:val="-7"/>
          <w:sz w:val="15"/>
        </w:rPr>
        <w:t xml:space="preserve"> </w:t>
      </w:r>
      <w:r>
        <w:rPr>
          <w:sz w:val="15"/>
        </w:rPr>
        <w:t>proporcionadas</w:t>
      </w:r>
      <w:r>
        <w:rPr>
          <w:spacing w:val="-7"/>
          <w:sz w:val="15"/>
        </w:rPr>
        <w:t xml:space="preserve"> </w:t>
      </w:r>
      <w:r>
        <w:rPr>
          <w:sz w:val="15"/>
        </w:rPr>
        <w:t>para</w:t>
      </w:r>
      <w:r>
        <w:rPr>
          <w:spacing w:val="-7"/>
          <w:sz w:val="15"/>
        </w:rPr>
        <w:t xml:space="preserve"> </w:t>
      </w:r>
      <w:r>
        <w:rPr>
          <w:sz w:val="15"/>
        </w:rPr>
        <w:t>lograr</w:t>
      </w:r>
      <w:r>
        <w:rPr>
          <w:spacing w:val="-7"/>
          <w:sz w:val="15"/>
        </w:rPr>
        <w:t xml:space="preserve"> </w:t>
      </w:r>
      <w:r>
        <w:rPr>
          <w:sz w:val="15"/>
        </w:rPr>
        <w:t>la</w:t>
      </w:r>
      <w:r>
        <w:rPr>
          <w:spacing w:val="-7"/>
          <w:sz w:val="15"/>
        </w:rPr>
        <w:t xml:space="preserve"> </w:t>
      </w:r>
      <w:r>
        <w:rPr>
          <w:sz w:val="15"/>
        </w:rPr>
        <w:t>igualdad</w:t>
      </w:r>
      <w:r>
        <w:rPr>
          <w:spacing w:val="-7"/>
          <w:sz w:val="15"/>
        </w:rPr>
        <w:t xml:space="preserve"> </w:t>
      </w:r>
      <w:r>
        <w:rPr>
          <w:sz w:val="15"/>
        </w:rPr>
        <w:t>de</w:t>
      </w:r>
      <w:r>
        <w:rPr>
          <w:spacing w:val="-7"/>
          <w:sz w:val="15"/>
        </w:rPr>
        <w:t xml:space="preserve"> </w:t>
      </w:r>
      <w:r>
        <w:rPr>
          <w:sz w:val="15"/>
        </w:rPr>
        <w:t>género.</w:t>
      </w:r>
      <w:r>
        <w:rPr>
          <w:spacing w:val="-7"/>
          <w:sz w:val="15"/>
        </w:rPr>
        <w:t xml:space="preserve"> </w:t>
      </w:r>
      <w:r>
        <w:rPr>
          <w:sz w:val="15"/>
        </w:rPr>
        <w:t>Si</w:t>
      </w:r>
      <w:r>
        <w:rPr>
          <w:spacing w:val="-7"/>
          <w:sz w:val="15"/>
        </w:rPr>
        <w:t xml:space="preserve"> </w:t>
      </w:r>
      <w:r>
        <w:rPr>
          <w:sz w:val="15"/>
        </w:rPr>
        <w:t>bien</w:t>
      </w:r>
      <w:r>
        <w:rPr>
          <w:spacing w:val="-7"/>
          <w:sz w:val="15"/>
        </w:rPr>
        <w:t xml:space="preserve"> </w:t>
      </w:r>
      <w:r>
        <w:rPr>
          <w:sz w:val="15"/>
        </w:rPr>
        <w:t>este</w:t>
      </w:r>
      <w:r>
        <w:rPr>
          <w:spacing w:val="-7"/>
          <w:sz w:val="15"/>
        </w:rPr>
        <w:t xml:space="preserve"> </w:t>
      </w:r>
      <w:r>
        <w:rPr>
          <w:sz w:val="15"/>
        </w:rPr>
        <w:t>deber</w:t>
      </w:r>
      <w:r>
        <w:rPr>
          <w:spacing w:val="-7"/>
          <w:sz w:val="15"/>
        </w:rPr>
        <w:t xml:space="preserve"> </w:t>
      </w:r>
      <w:r>
        <w:rPr>
          <w:sz w:val="15"/>
        </w:rPr>
        <w:t>no</w:t>
      </w:r>
      <w:r>
        <w:rPr>
          <w:spacing w:val="-7"/>
          <w:sz w:val="15"/>
        </w:rPr>
        <w:t xml:space="preserve"> </w:t>
      </w:r>
      <w:r>
        <w:rPr>
          <w:sz w:val="15"/>
        </w:rPr>
        <w:t>es directamente aplicable, es el primero de su tipo en Australia.</w:t>
      </w:r>
    </w:p>
    <w:p w14:paraId="0B3BDD40" w14:textId="77777777" w:rsidR="0014798C" w:rsidRDefault="004E1F0B">
      <w:pPr>
        <w:spacing w:before="112" w:line="348" w:lineRule="auto"/>
        <w:ind w:left="1337" w:right="1463"/>
        <w:rPr>
          <w:sz w:val="15"/>
        </w:rPr>
      </w:pPr>
      <w:r>
        <w:rPr>
          <w:sz w:val="15"/>
        </w:rPr>
        <w:t>En</w:t>
      </w:r>
      <w:r>
        <w:rPr>
          <w:spacing w:val="-9"/>
          <w:sz w:val="15"/>
        </w:rPr>
        <w:t xml:space="preserve"> </w:t>
      </w:r>
      <w:r>
        <w:rPr>
          <w:sz w:val="15"/>
        </w:rPr>
        <w:t>segundo</w:t>
      </w:r>
      <w:r>
        <w:rPr>
          <w:spacing w:val="-9"/>
          <w:sz w:val="15"/>
        </w:rPr>
        <w:t xml:space="preserve"> </w:t>
      </w:r>
      <w:r>
        <w:rPr>
          <w:sz w:val="15"/>
        </w:rPr>
        <w:t>lugar,</w:t>
      </w:r>
      <w:r>
        <w:rPr>
          <w:spacing w:val="-9"/>
          <w:sz w:val="15"/>
        </w:rPr>
        <w:t xml:space="preserve"> </w:t>
      </w:r>
      <w:r>
        <w:rPr>
          <w:sz w:val="15"/>
        </w:rPr>
        <w:t>la</w:t>
      </w:r>
      <w:r>
        <w:rPr>
          <w:spacing w:val="-9"/>
          <w:sz w:val="15"/>
        </w:rPr>
        <w:t xml:space="preserve"> </w:t>
      </w:r>
      <w:r>
        <w:rPr>
          <w:sz w:val="15"/>
        </w:rPr>
        <w:t>Ley</w:t>
      </w:r>
      <w:r>
        <w:rPr>
          <w:spacing w:val="-9"/>
          <w:sz w:val="15"/>
        </w:rPr>
        <w:t xml:space="preserve"> </w:t>
      </w:r>
      <w:r>
        <w:rPr>
          <w:sz w:val="15"/>
        </w:rPr>
        <w:t>establece</w:t>
      </w:r>
      <w:r>
        <w:rPr>
          <w:spacing w:val="-9"/>
          <w:sz w:val="15"/>
        </w:rPr>
        <w:t xml:space="preserve"> </w:t>
      </w:r>
      <w:r>
        <w:rPr>
          <w:sz w:val="15"/>
        </w:rPr>
        <w:t>un</w:t>
      </w:r>
      <w:r>
        <w:rPr>
          <w:spacing w:val="-9"/>
          <w:sz w:val="15"/>
        </w:rPr>
        <w:t xml:space="preserve"> </w:t>
      </w:r>
      <w:r>
        <w:rPr>
          <w:sz w:val="15"/>
        </w:rPr>
        <w:t>proceso</w:t>
      </w:r>
      <w:r>
        <w:rPr>
          <w:spacing w:val="-9"/>
          <w:sz w:val="15"/>
        </w:rPr>
        <w:t xml:space="preserve"> </w:t>
      </w:r>
      <w:r>
        <w:rPr>
          <w:sz w:val="15"/>
        </w:rPr>
        <w:t>de</w:t>
      </w:r>
      <w:r>
        <w:rPr>
          <w:spacing w:val="-9"/>
          <w:sz w:val="15"/>
        </w:rPr>
        <w:t xml:space="preserve"> </w:t>
      </w:r>
      <w:r>
        <w:rPr>
          <w:sz w:val="15"/>
        </w:rPr>
        <w:t>revisión,</w:t>
      </w:r>
      <w:r>
        <w:rPr>
          <w:spacing w:val="-8"/>
          <w:sz w:val="15"/>
        </w:rPr>
        <w:t xml:space="preserve"> </w:t>
      </w:r>
      <w:r>
        <w:rPr>
          <w:sz w:val="15"/>
        </w:rPr>
        <w:t>presentación</w:t>
      </w:r>
      <w:r>
        <w:rPr>
          <w:spacing w:val="-9"/>
          <w:sz w:val="15"/>
        </w:rPr>
        <w:t xml:space="preserve"> </w:t>
      </w:r>
      <w:r>
        <w:rPr>
          <w:sz w:val="15"/>
        </w:rPr>
        <w:t>de</w:t>
      </w:r>
      <w:r>
        <w:rPr>
          <w:spacing w:val="-9"/>
          <w:sz w:val="15"/>
        </w:rPr>
        <w:t xml:space="preserve"> </w:t>
      </w:r>
      <w:r>
        <w:rPr>
          <w:sz w:val="15"/>
        </w:rPr>
        <w:t>informes,</w:t>
      </w:r>
      <w:r>
        <w:rPr>
          <w:spacing w:val="-9"/>
          <w:sz w:val="15"/>
        </w:rPr>
        <w:t xml:space="preserve"> </w:t>
      </w:r>
      <w:r>
        <w:rPr>
          <w:sz w:val="15"/>
        </w:rPr>
        <w:t>seguimiento</w:t>
      </w:r>
      <w:r>
        <w:rPr>
          <w:spacing w:val="-9"/>
          <w:sz w:val="15"/>
        </w:rPr>
        <w:t xml:space="preserve"> </w:t>
      </w:r>
      <w:r>
        <w:rPr>
          <w:sz w:val="15"/>
        </w:rPr>
        <w:t>y</w:t>
      </w:r>
      <w:r>
        <w:rPr>
          <w:spacing w:val="-9"/>
          <w:sz w:val="15"/>
        </w:rPr>
        <w:t xml:space="preserve"> </w:t>
      </w:r>
      <w:r>
        <w:rPr>
          <w:sz w:val="15"/>
        </w:rPr>
        <w:t>aplicación</w:t>
      </w:r>
      <w:r>
        <w:rPr>
          <w:spacing w:val="-9"/>
          <w:sz w:val="15"/>
        </w:rPr>
        <w:t xml:space="preserve"> </w:t>
      </w:r>
      <w:r>
        <w:rPr>
          <w:sz w:val="15"/>
        </w:rPr>
        <w:t>para</w:t>
      </w:r>
      <w:r>
        <w:rPr>
          <w:spacing w:val="-9"/>
          <w:sz w:val="15"/>
        </w:rPr>
        <w:t xml:space="preserve"> </w:t>
      </w:r>
      <w:r>
        <w:rPr>
          <w:sz w:val="15"/>
        </w:rPr>
        <w:t>promover</w:t>
      </w:r>
      <w:r>
        <w:rPr>
          <w:spacing w:val="-9"/>
          <w:sz w:val="15"/>
        </w:rPr>
        <w:t xml:space="preserve"> </w:t>
      </w:r>
      <w:r>
        <w:rPr>
          <w:sz w:val="15"/>
        </w:rPr>
        <w:t>la igualdad</w:t>
      </w:r>
      <w:r>
        <w:rPr>
          <w:spacing w:val="-3"/>
          <w:sz w:val="15"/>
        </w:rPr>
        <w:t xml:space="preserve"> </w:t>
      </w:r>
      <w:r>
        <w:rPr>
          <w:sz w:val="15"/>
        </w:rPr>
        <w:t>de</w:t>
      </w:r>
      <w:r>
        <w:rPr>
          <w:spacing w:val="-3"/>
          <w:sz w:val="15"/>
        </w:rPr>
        <w:t xml:space="preserve"> </w:t>
      </w:r>
      <w:r>
        <w:rPr>
          <w:sz w:val="15"/>
        </w:rPr>
        <w:t>género</w:t>
      </w:r>
      <w:r>
        <w:rPr>
          <w:spacing w:val="-3"/>
          <w:sz w:val="15"/>
        </w:rPr>
        <w:t xml:space="preserve"> </w:t>
      </w:r>
      <w:r>
        <w:rPr>
          <w:sz w:val="15"/>
        </w:rPr>
        <w:t>en</w:t>
      </w:r>
      <w:r>
        <w:rPr>
          <w:spacing w:val="-3"/>
          <w:sz w:val="15"/>
        </w:rPr>
        <w:t xml:space="preserve"> </w:t>
      </w:r>
      <w:r>
        <w:rPr>
          <w:sz w:val="15"/>
        </w:rPr>
        <w:t>el</w:t>
      </w:r>
      <w:r>
        <w:rPr>
          <w:spacing w:val="-3"/>
          <w:sz w:val="15"/>
        </w:rPr>
        <w:t xml:space="preserve"> </w:t>
      </w:r>
      <w:r>
        <w:rPr>
          <w:sz w:val="15"/>
        </w:rPr>
        <w:t>empleo</w:t>
      </w:r>
      <w:r>
        <w:rPr>
          <w:spacing w:val="-3"/>
          <w:sz w:val="15"/>
        </w:rPr>
        <w:t xml:space="preserve"> </w:t>
      </w:r>
      <w:r>
        <w:rPr>
          <w:sz w:val="15"/>
        </w:rPr>
        <w:t>en</w:t>
      </w:r>
      <w:r>
        <w:rPr>
          <w:spacing w:val="-3"/>
          <w:sz w:val="15"/>
        </w:rPr>
        <w:t xml:space="preserve"> </w:t>
      </w:r>
      <w:r>
        <w:rPr>
          <w:sz w:val="15"/>
        </w:rPr>
        <w:t>los</w:t>
      </w:r>
      <w:r>
        <w:rPr>
          <w:spacing w:val="-3"/>
          <w:sz w:val="15"/>
        </w:rPr>
        <w:t xml:space="preserve"> </w:t>
      </w:r>
      <w:r>
        <w:rPr>
          <w:sz w:val="15"/>
        </w:rPr>
        <w:t>organismos</w:t>
      </w:r>
      <w:r>
        <w:rPr>
          <w:spacing w:val="-3"/>
          <w:sz w:val="15"/>
        </w:rPr>
        <w:t xml:space="preserve"> </w:t>
      </w:r>
      <w:r>
        <w:rPr>
          <w:sz w:val="15"/>
        </w:rPr>
        <w:t>del</w:t>
      </w:r>
      <w:r>
        <w:rPr>
          <w:spacing w:val="-3"/>
          <w:sz w:val="15"/>
        </w:rPr>
        <w:t xml:space="preserve"> </w:t>
      </w:r>
      <w:r>
        <w:rPr>
          <w:sz w:val="15"/>
        </w:rPr>
        <w:t>sector</w:t>
      </w:r>
      <w:r>
        <w:rPr>
          <w:spacing w:val="-3"/>
          <w:sz w:val="15"/>
        </w:rPr>
        <w:t xml:space="preserve"> </w:t>
      </w:r>
      <w:r>
        <w:rPr>
          <w:sz w:val="15"/>
        </w:rPr>
        <w:t>público,</w:t>
      </w:r>
      <w:r>
        <w:rPr>
          <w:spacing w:val="-3"/>
          <w:sz w:val="15"/>
        </w:rPr>
        <w:t xml:space="preserve"> </w:t>
      </w:r>
      <w:r>
        <w:rPr>
          <w:sz w:val="15"/>
        </w:rPr>
        <w:t>con</w:t>
      </w:r>
      <w:r>
        <w:rPr>
          <w:spacing w:val="-3"/>
          <w:sz w:val="15"/>
        </w:rPr>
        <w:t xml:space="preserve"> </w:t>
      </w:r>
      <w:r>
        <w:rPr>
          <w:sz w:val="15"/>
        </w:rPr>
        <w:t>énfasis</w:t>
      </w:r>
      <w:r>
        <w:rPr>
          <w:spacing w:val="-3"/>
          <w:sz w:val="15"/>
        </w:rPr>
        <w:t xml:space="preserve"> </w:t>
      </w:r>
      <w:r>
        <w:rPr>
          <w:sz w:val="15"/>
        </w:rPr>
        <w:t>en</w:t>
      </w:r>
      <w:r>
        <w:rPr>
          <w:spacing w:val="-3"/>
          <w:sz w:val="15"/>
        </w:rPr>
        <w:t xml:space="preserve"> </w:t>
      </w:r>
      <w:r>
        <w:rPr>
          <w:sz w:val="15"/>
        </w:rPr>
        <w:t>la</w:t>
      </w:r>
      <w:r>
        <w:rPr>
          <w:spacing w:val="-3"/>
          <w:sz w:val="15"/>
        </w:rPr>
        <w:t xml:space="preserve"> </w:t>
      </w:r>
      <w:r>
        <w:rPr>
          <w:sz w:val="15"/>
        </w:rPr>
        <w:t>igualdad</w:t>
      </w:r>
      <w:r>
        <w:rPr>
          <w:spacing w:val="-3"/>
          <w:sz w:val="15"/>
        </w:rPr>
        <w:t xml:space="preserve"> </w:t>
      </w:r>
      <w:r>
        <w:rPr>
          <w:sz w:val="15"/>
        </w:rPr>
        <w:t>interseccional.</w:t>
      </w:r>
      <w:r>
        <w:rPr>
          <w:spacing w:val="-2"/>
          <w:sz w:val="15"/>
        </w:rPr>
        <w:t xml:space="preserve"> </w:t>
      </w:r>
      <w:r>
        <w:rPr>
          <w:sz w:val="15"/>
        </w:rPr>
        <w:t>Este</w:t>
      </w:r>
      <w:r>
        <w:rPr>
          <w:spacing w:val="-3"/>
          <w:sz w:val="15"/>
        </w:rPr>
        <w:t xml:space="preserve"> </w:t>
      </w:r>
      <w:r>
        <w:rPr>
          <w:sz w:val="15"/>
        </w:rPr>
        <w:t>proceso</w:t>
      </w:r>
    </w:p>
    <w:p w14:paraId="12A3900F" w14:textId="77777777" w:rsidR="0014798C" w:rsidRDefault="0014798C">
      <w:pPr>
        <w:pStyle w:val="Textoindependiente"/>
        <w:rPr>
          <w:sz w:val="11"/>
        </w:rPr>
      </w:pPr>
    </w:p>
    <w:p w14:paraId="27DA3E95" w14:textId="77777777" w:rsidR="0014798C" w:rsidRDefault="0014798C">
      <w:pPr>
        <w:pStyle w:val="Textoindependiente"/>
        <w:rPr>
          <w:sz w:val="11"/>
        </w:rPr>
      </w:pPr>
    </w:p>
    <w:p w14:paraId="7A9F9744" w14:textId="77777777" w:rsidR="0014798C" w:rsidRDefault="0014798C">
      <w:pPr>
        <w:pStyle w:val="Textoindependiente"/>
        <w:rPr>
          <w:sz w:val="11"/>
        </w:rPr>
      </w:pPr>
    </w:p>
    <w:p w14:paraId="577B144C" w14:textId="77777777" w:rsidR="0014798C" w:rsidRDefault="0014798C">
      <w:pPr>
        <w:pStyle w:val="Textoindependiente"/>
        <w:spacing w:before="18"/>
        <w:rPr>
          <w:sz w:val="11"/>
        </w:rPr>
      </w:pPr>
    </w:p>
    <w:p w14:paraId="27C6868C" w14:textId="77777777" w:rsidR="0014798C" w:rsidRDefault="004E1F0B">
      <w:pPr>
        <w:ind w:left="1107"/>
        <w:rPr>
          <w:sz w:val="11"/>
        </w:rPr>
      </w:pPr>
      <w:r>
        <w:rPr>
          <w:sz w:val="11"/>
        </w:rPr>
        <w:t>560</w:t>
      </w:r>
      <w:r>
        <w:rPr>
          <w:spacing w:val="2"/>
          <w:sz w:val="11"/>
        </w:rPr>
        <w:t xml:space="preserve"> </w:t>
      </w:r>
      <w:r>
        <w:rPr>
          <w:sz w:val="11"/>
        </w:rPr>
        <w:t>Para</w:t>
      </w:r>
      <w:r>
        <w:rPr>
          <w:spacing w:val="2"/>
          <w:sz w:val="11"/>
        </w:rPr>
        <w:t xml:space="preserve"> </w:t>
      </w:r>
      <w:r>
        <w:rPr>
          <w:sz w:val="11"/>
        </w:rPr>
        <w:t>un</w:t>
      </w:r>
      <w:r>
        <w:rPr>
          <w:spacing w:val="2"/>
          <w:sz w:val="11"/>
        </w:rPr>
        <w:t xml:space="preserve"> </w:t>
      </w:r>
      <w:r>
        <w:rPr>
          <w:sz w:val="11"/>
        </w:rPr>
        <w:t>análisis</w:t>
      </w:r>
      <w:r>
        <w:rPr>
          <w:spacing w:val="2"/>
          <w:sz w:val="11"/>
        </w:rPr>
        <w:t xml:space="preserve"> </w:t>
      </w:r>
      <w:r>
        <w:rPr>
          <w:sz w:val="11"/>
        </w:rPr>
        <w:t>más</w:t>
      </w:r>
      <w:r>
        <w:rPr>
          <w:spacing w:val="2"/>
          <w:sz w:val="11"/>
        </w:rPr>
        <w:t xml:space="preserve"> </w:t>
      </w:r>
      <w:r>
        <w:rPr>
          <w:sz w:val="11"/>
        </w:rPr>
        <w:t>detallado</w:t>
      </w:r>
      <w:r>
        <w:rPr>
          <w:spacing w:val="2"/>
          <w:sz w:val="11"/>
        </w:rPr>
        <w:t xml:space="preserve"> </w:t>
      </w:r>
      <w:r>
        <w:rPr>
          <w:sz w:val="11"/>
        </w:rPr>
        <w:t>del</w:t>
      </w:r>
      <w:r>
        <w:rPr>
          <w:spacing w:val="2"/>
          <w:sz w:val="11"/>
        </w:rPr>
        <w:t xml:space="preserve"> </w:t>
      </w:r>
      <w:r>
        <w:rPr>
          <w:sz w:val="11"/>
        </w:rPr>
        <w:t>proyecto</w:t>
      </w:r>
      <w:r>
        <w:rPr>
          <w:spacing w:val="2"/>
          <w:sz w:val="11"/>
        </w:rPr>
        <w:t xml:space="preserve"> </w:t>
      </w:r>
      <w:r>
        <w:rPr>
          <w:sz w:val="11"/>
        </w:rPr>
        <w:t>de</w:t>
      </w:r>
      <w:r>
        <w:rPr>
          <w:spacing w:val="2"/>
          <w:sz w:val="11"/>
        </w:rPr>
        <w:t xml:space="preserve"> </w:t>
      </w:r>
      <w:r>
        <w:rPr>
          <w:sz w:val="11"/>
        </w:rPr>
        <w:t>ley</w:t>
      </w:r>
      <w:r>
        <w:rPr>
          <w:spacing w:val="3"/>
          <w:sz w:val="11"/>
        </w:rPr>
        <w:t xml:space="preserve"> </w:t>
      </w:r>
      <w:r>
        <w:rPr>
          <w:sz w:val="11"/>
        </w:rPr>
        <w:t>y</w:t>
      </w:r>
      <w:r>
        <w:rPr>
          <w:spacing w:val="2"/>
          <w:sz w:val="11"/>
        </w:rPr>
        <w:t xml:space="preserve"> </w:t>
      </w:r>
      <w:r>
        <w:rPr>
          <w:sz w:val="11"/>
        </w:rPr>
        <w:t>sus</w:t>
      </w:r>
      <w:r>
        <w:rPr>
          <w:spacing w:val="2"/>
          <w:sz w:val="11"/>
        </w:rPr>
        <w:t xml:space="preserve"> </w:t>
      </w:r>
      <w:r>
        <w:rPr>
          <w:sz w:val="11"/>
        </w:rPr>
        <w:t>antecedentes</w:t>
      </w:r>
      <w:r>
        <w:rPr>
          <w:spacing w:val="2"/>
          <w:sz w:val="11"/>
        </w:rPr>
        <w:t xml:space="preserve"> </w:t>
      </w:r>
      <w:r>
        <w:rPr>
          <w:sz w:val="11"/>
        </w:rPr>
        <w:t>legislativos,</w:t>
      </w:r>
      <w:r>
        <w:rPr>
          <w:spacing w:val="3"/>
          <w:sz w:val="11"/>
        </w:rPr>
        <w:t xml:space="preserve"> </w:t>
      </w:r>
      <w:r>
        <w:rPr>
          <w:sz w:val="11"/>
        </w:rPr>
        <w:t>consulte</w:t>
      </w:r>
      <w:r>
        <w:rPr>
          <w:spacing w:val="2"/>
          <w:sz w:val="11"/>
        </w:rPr>
        <w:t xml:space="preserve"> </w:t>
      </w:r>
      <w:r>
        <w:rPr>
          <w:sz w:val="11"/>
        </w:rPr>
        <w:t>la</w:t>
      </w:r>
      <w:r>
        <w:rPr>
          <w:spacing w:val="2"/>
          <w:sz w:val="11"/>
        </w:rPr>
        <w:t xml:space="preserve"> </w:t>
      </w:r>
      <w:r>
        <w:rPr>
          <w:sz w:val="11"/>
        </w:rPr>
        <w:t>sección</w:t>
      </w:r>
      <w:r>
        <w:rPr>
          <w:spacing w:val="2"/>
          <w:sz w:val="11"/>
        </w:rPr>
        <w:t xml:space="preserve"> </w:t>
      </w:r>
      <w:r>
        <w:rPr>
          <w:sz w:val="11"/>
        </w:rPr>
        <w:t>III.D</w:t>
      </w:r>
      <w:r>
        <w:rPr>
          <w:spacing w:val="2"/>
          <w:sz w:val="11"/>
        </w:rPr>
        <w:t xml:space="preserve"> </w:t>
      </w:r>
      <w:r>
        <w:rPr>
          <w:sz w:val="11"/>
        </w:rPr>
        <w:t>de</w:t>
      </w:r>
      <w:r>
        <w:rPr>
          <w:spacing w:val="3"/>
          <w:sz w:val="11"/>
        </w:rPr>
        <w:t xml:space="preserve"> </w:t>
      </w:r>
      <w:r>
        <w:rPr>
          <w:sz w:val="11"/>
        </w:rPr>
        <w:t>la</w:t>
      </w:r>
      <w:r>
        <w:rPr>
          <w:spacing w:val="2"/>
          <w:sz w:val="11"/>
        </w:rPr>
        <w:t xml:space="preserve"> </w:t>
      </w:r>
      <w:r>
        <w:rPr>
          <w:sz w:val="11"/>
        </w:rPr>
        <w:t>primera</w:t>
      </w:r>
      <w:r>
        <w:rPr>
          <w:spacing w:val="2"/>
          <w:sz w:val="11"/>
        </w:rPr>
        <w:t xml:space="preserve"> </w:t>
      </w:r>
      <w:r>
        <w:rPr>
          <w:sz w:val="11"/>
        </w:rPr>
        <w:t>parte</w:t>
      </w:r>
      <w:r>
        <w:rPr>
          <w:spacing w:val="2"/>
          <w:sz w:val="11"/>
        </w:rPr>
        <w:t xml:space="preserve"> </w:t>
      </w:r>
      <w:r>
        <w:rPr>
          <w:sz w:val="11"/>
        </w:rPr>
        <w:t>de</w:t>
      </w:r>
      <w:r>
        <w:rPr>
          <w:spacing w:val="2"/>
          <w:sz w:val="11"/>
        </w:rPr>
        <w:t xml:space="preserve"> </w:t>
      </w:r>
      <w:r>
        <w:rPr>
          <w:sz w:val="11"/>
        </w:rPr>
        <w:t>la</w:t>
      </w:r>
      <w:r>
        <w:rPr>
          <w:spacing w:val="2"/>
          <w:sz w:val="11"/>
        </w:rPr>
        <w:t xml:space="preserve"> </w:t>
      </w:r>
      <w:r>
        <w:rPr>
          <w:sz w:val="11"/>
        </w:rPr>
        <w:t>presente</w:t>
      </w:r>
      <w:r>
        <w:rPr>
          <w:spacing w:val="2"/>
          <w:sz w:val="11"/>
        </w:rPr>
        <w:t xml:space="preserve"> </w:t>
      </w:r>
      <w:r>
        <w:rPr>
          <w:spacing w:val="-2"/>
          <w:sz w:val="11"/>
        </w:rPr>
        <w:t>guía.</w:t>
      </w:r>
    </w:p>
    <w:p w14:paraId="062461A9" w14:textId="77777777" w:rsidR="0014798C" w:rsidRDefault="004E1F0B">
      <w:pPr>
        <w:spacing w:before="105"/>
        <w:ind w:left="1107"/>
        <w:rPr>
          <w:sz w:val="12"/>
        </w:rPr>
      </w:pPr>
      <w:r>
        <w:rPr>
          <w:w w:val="105"/>
          <w:sz w:val="12"/>
        </w:rPr>
        <w:t>561</w:t>
      </w:r>
      <w:r>
        <w:rPr>
          <w:spacing w:val="-6"/>
          <w:w w:val="105"/>
          <w:sz w:val="12"/>
        </w:rPr>
        <w:t xml:space="preserve"> </w:t>
      </w:r>
      <w:r>
        <w:rPr>
          <w:w w:val="105"/>
          <w:sz w:val="12"/>
        </w:rPr>
        <w:t>Crowley,</w:t>
      </w:r>
      <w:r>
        <w:rPr>
          <w:spacing w:val="-4"/>
          <w:w w:val="105"/>
          <w:sz w:val="12"/>
        </w:rPr>
        <w:t xml:space="preserve"> </w:t>
      </w:r>
      <w:r>
        <w:rPr>
          <w:w w:val="105"/>
          <w:sz w:val="12"/>
        </w:rPr>
        <w:t>Haciendo</w:t>
      </w:r>
      <w:r>
        <w:rPr>
          <w:spacing w:val="-5"/>
          <w:w w:val="105"/>
          <w:sz w:val="12"/>
        </w:rPr>
        <w:t xml:space="preserve"> </w:t>
      </w:r>
      <w:r>
        <w:rPr>
          <w:w w:val="105"/>
          <w:sz w:val="12"/>
        </w:rPr>
        <w:t>a</w:t>
      </w:r>
      <w:r>
        <w:rPr>
          <w:spacing w:val="-5"/>
          <w:w w:val="105"/>
          <w:sz w:val="12"/>
        </w:rPr>
        <w:t xml:space="preserve"> </w:t>
      </w:r>
      <w:r>
        <w:rPr>
          <w:w w:val="105"/>
          <w:sz w:val="12"/>
        </w:rPr>
        <w:t>Europa</w:t>
      </w:r>
      <w:r>
        <w:rPr>
          <w:spacing w:val="-5"/>
          <w:w w:val="105"/>
          <w:sz w:val="12"/>
        </w:rPr>
        <w:t xml:space="preserve"> </w:t>
      </w:r>
      <w:r>
        <w:rPr>
          <w:w w:val="105"/>
          <w:sz w:val="12"/>
        </w:rPr>
        <w:t>más</w:t>
      </w:r>
      <w:r>
        <w:rPr>
          <w:spacing w:val="-5"/>
          <w:w w:val="105"/>
          <w:sz w:val="12"/>
        </w:rPr>
        <w:t xml:space="preserve"> </w:t>
      </w:r>
      <w:r>
        <w:rPr>
          <w:w w:val="105"/>
          <w:sz w:val="12"/>
        </w:rPr>
        <w:t>igualitaria,</w:t>
      </w:r>
      <w:r>
        <w:rPr>
          <w:spacing w:val="-5"/>
          <w:w w:val="105"/>
          <w:sz w:val="12"/>
        </w:rPr>
        <w:t xml:space="preserve"> </w:t>
      </w:r>
      <w:r>
        <w:rPr>
          <w:w w:val="105"/>
          <w:sz w:val="12"/>
        </w:rPr>
        <w:t>págs.</w:t>
      </w:r>
      <w:r>
        <w:rPr>
          <w:spacing w:val="-4"/>
          <w:w w:val="105"/>
          <w:sz w:val="12"/>
        </w:rPr>
        <w:t xml:space="preserve"> </w:t>
      </w:r>
      <w:r>
        <w:rPr>
          <w:spacing w:val="-2"/>
          <w:w w:val="105"/>
          <w:sz w:val="12"/>
        </w:rPr>
        <w:t>30–40.</w:t>
      </w:r>
    </w:p>
    <w:p w14:paraId="3CC337BB" w14:textId="77777777" w:rsidR="0014798C" w:rsidRDefault="004E1F0B">
      <w:pPr>
        <w:spacing w:before="104"/>
        <w:ind w:left="1107"/>
        <w:rPr>
          <w:sz w:val="11"/>
        </w:rPr>
      </w:pPr>
      <w:r>
        <w:rPr>
          <w:sz w:val="11"/>
        </w:rPr>
        <w:t xml:space="preserve">562 </w:t>
      </w:r>
      <w:proofErr w:type="spellStart"/>
      <w:r>
        <w:rPr>
          <w:sz w:val="11"/>
        </w:rPr>
        <w:t>Ibíd</w:t>
      </w:r>
      <w:proofErr w:type="spellEnd"/>
      <w:r>
        <w:rPr>
          <w:sz w:val="11"/>
        </w:rPr>
        <w:t>.,</w:t>
      </w:r>
      <w:r>
        <w:rPr>
          <w:spacing w:val="1"/>
          <w:sz w:val="11"/>
        </w:rPr>
        <w:t xml:space="preserve"> </w:t>
      </w:r>
      <w:r>
        <w:rPr>
          <w:sz w:val="11"/>
        </w:rPr>
        <w:t>pág.</w:t>
      </w:r>
      <w:r>
        <w:rPr>
          <w:spacing w:val="1"/>
          <w:sz w:val="11"/>
        </w:rPr>
        <w:t xml:space="preserve"> </w:t>
      </w:r>
      <w:r>
        <w:rPr>
          <w:spacing w:val="-5"/>
          <w:sz w:val="11"/>
        </w:rPr>
        <w:t>30.</w:t>
      </w:r>
    </w:p>
    <w:p w14:paraId="283DE8A3" w14:textId="77777777" w:rsidR="0014798C" w:rsidRDefault="0014798C">
      <w:pPr>
        <w:pStyle w:val="Textoindependiente"/>
        <w:rPr>
          <w:sz w:val="19"/>
        </w:rPr>
      </w:pPr>
    </w:p>
    <w:p w14:paraId="6A1277AD" w14:textId="77777777" w:rsidR="0014798C" w:rsidRDefault="0014798C">
      <w:pPr>
        <w:pStyle w:val="Textoindependiente"/>
        <w:spacing w:before="213"/>
        <w:rPr>
          <w:sz w:val="19"/>
        </w:rPr>
      </w:pPr>
    </w:p>
    <w:p w14:paraId="6186061B" w14:textId="77777777" w:rsidR="0014798C" w:rsidRDefault="004E1F0B">
      <w:pPr>
        <w:spacing w:before="1"/>
        <w:ind w:left="552"/>
        <w:rPr>
          <w:sz w:val="19"/>
        </w:rPr>
      </w:pPr>
      <w:r>
        <w:rPr>
          <w:spacing w:val="-5"/>
          <w:sz w:val="19"/>
        </w:rPr>
        <w:t>72</w:t>
      </w:r>
    </w:p>
    <w:p w14:paraId="6DA526FA" w14:textId="77777777" w:rsidR="0014798C" w:rsidRDefault="0014798C">
      <w:pPr>
        <w:rPr>
          <w:sz w:val="19"/>
        </w:rPr>
        <w:sectPr w:rsidR="0014798C" w:rsidSect="00F265E4">
          <w:pgSz w:w="11900" w:h="16820"/>
          <w:pgMar w:top="340" w:right="0" w:bottom="280" w:left="200" w:header="121" w:footer="0" w:gutter="0"/>
          <w:cols w:space="720"/>
        </w:sectPr>
      </w:pPr>
    </w:p>
    <w:p w14:paraId="73D5379C" w14:textId="77777777" w:rsidR="0014798C" w:rsidRDefault="0014798C">
      <w:pPr>
        <w:pStyle w:val="Textoindependiente"/>
        <w:spacing w:before="51"/>
        <w:rPr>
          <w:sz w:val="14"/>
        </w:rPr>
      </w:pPr>
    </w:p>
    <w:p w14:paraId="55C34000" w14:textId="77777777" w:rsidR="0014798C" w:rsidRDefault="004E1F0B">
      <w:pPr>
        <w:ind w:left="1111"/>
        <w:rPr>
          <w:sz w:val="14"/>
        </w:rPr>
      </w:pPr>
      <w:r>
        <w:rPr>
          <w:color w:val="00AC59"/>
          <w:sz w:val="14"/>
        </w:rPr>
        <w:t>SEGUNDA</w:t>
      </w:r>
      <w:r>
        <w:rPr>
          <w:color w:val="00AC59"/>
          <w:spacing w:val="-5"/>
          <w:sz w:val="14"/>
        </w:rPr>
        <w:t xml:space="preserve"> </w:t>
      </w:r>
      <w:r>
        <w:rPr>
          <w:color w:val="00AC59"/>
          <w:sz w:val="14"/>
        </w:rPr>
        <w:t>PARTE:</w:t>
      </w:r>
      <w:r>
        <w:rPr>
          <w:color w:val="00AC59"/>
          <w:spacing w:val="-5"/>
          <w:sz w:val="14"/>
        </w:rPr>
        <w:t xml:space="preserve"> </w:t>
      </w:r>
      <w:r>
        <w:rPr>
          <w:color w:val="00AC59"/>
          <w:sz w:val="14"/>
        </w:rPr>
        <w:t>CONTENIDO</w:t>
      </w:r>
      <w:r>
        <w:rPr>
          <w:color w:val="00AC59"/>
          <w:spacing w:val="-4"/>
          <w:sz w:val="14"/>
        </w:rPr>
        <w:t xml:space="preserve"> </w:t>
      </w:r>
      <w:r>
        <w:rPr>
          <w:color w:val="00AC59"/>
          <w:sz w:val="14"/>
        </w:rPr>
        <w:t>DE</w:t>
      </w:r>
      <w:r>
        <w:rPr>
          <w:color w:val="00AC59"/>
          <w:spacing w:val="-5"/>
          <w:sz w:val="14"/>
        </w:rPr>
        <w:t xml:space="preserve"> </w:t>
      </w:r>
      <w:r>
        <w:rPr>
          <w:color w:val="00AC59"/>
          <w:sz w:val="14"/>
        </w:rPr>
        <w:t>LA</w:t>
      </w:r>
      <w:r>
        <w:rPr>
          <w:color w:val="00AC59"/>
          <w:spacing w:val="-4"/>
          <w:sz w:val="14"/>
        </w:rPr>
        <w:t xml:space="preserve"> </w:t>
      </w:r>
      <w:r>
        <w:rPr>
          <w:color w:val="00AC59"/>
          <w:sz w:val="14"/>
        </w:rPr>
        <w:t>LEY</w:t>
      </w:r>
      <w:r>
        <w:rPr>
          <w:color w:val="00AC59"/>
          <w:spacing w:val="-4"/>
          <w:sz w:val="14"/>
        </w:rPr>
        <w:t xml:space="preserve"> </w:t>
      </w:r>
      <w:r>
        <w:rPr>
          <w:color w:val="00AC59"/>
          <w:sz w:val="14"/>
        </w:rPr>
        <w:t>INTEGRAL</w:t>
      </w:r>
      <w:r>
        <w:rPr>
          <w:color w:val="00AC59"/>
          <w:spacing w:val="-5"/>
          <w:sz w:val="14"/>
        </w:rPr>
        <w:t xml:space="preserve"> </w:t>
      </w:r>
      <w:r>
        <w:rPr>
          <w:color w:val="00AC59"/>
          <w:spacing w:val="-2"/>
          <w:sz w:val="14"/>
        </w:rPr>
        <w:t>ANTIDISCRIMINACIÓN</w:t>
      </w:r>
    </w:p>
    <w:p w14:paraId="3E7B223B" w14:textId="77777777" w:rsidR="0014798C" w:rsidRDefault="0014798C">
      <w:pPr>
        <w:pStyle w:val="Textoindependiente"/>
      </w:pPr>
    </w:p>
    <w:p w14:paraId="14DD104C" w14:textId="77777777" w:rsidR="0014798C" w:rsidRDefault="0014798C">
      <w:pPr>
        <w:pStyle w:val="Textoindependiente"/>
      </w:pPr>
    </w:p>
    <w:p w14:paraId="7FC6E56F" w14:textId="77777777" w:rsidR="0014798C" w:rsidRDefault="0014798C">
      <w:pPr>
        <w:pStyle w:val="Textoindependiente"/>
      </w:pPr>
    </w:p>
    <w:p w14:paraId="0C5CCB83" w14:textId="77777777" w:rsidR="0014798C" w:rsidRDefault="0014798C">
      <w:pPr>
        <w:pStyle w:val="Textoindependiente"/>
      </w:pPr>
    </w:p>
    <w:p w14:paraId="5EF8218D" w14:textId="77777777" w:rsidR="0014798C" w:rsidRDefault="0014798C">
      <w:pPr>
        <w:pStyle w:val="Textoindependiente"/>
        <w:spacing w:before="40"/>
      </w:pPr>
    </w:p>
    <w:p w14:paraId="702C0A91" w14:textId="77777777" w:rsidR="0014798C" w:rsidRDefault="004E1F0B">
      <w:pPr>
        <w:pStyle w:val="Textoindependiente"/>
        <w:spacing w:line="326" w:lineRule="auto"/>
        <w:ind w:left="1332" w:right="1582"/>
      </w:pPr>
      <w:r>
        <w:rPr>
          <w:noProof/>
        </w:rPr>
        <w:drawing>
          <wp:anchor distT="0" distB="0" distL="0" distR="0" simplePos="0" relativeHeight="251658415" behindDoc="1" locked="0" layoutInCell="1" allowOverlap="1" wp14:anchorId="7718026A" wp14:editId="6F2198BD">
            <wp:simplePos x="0" y="0"/>
            <wp:positionH relativeFrom="page">
              <wp:posOffset>813154</wp:posOffset>
            </wp:positionH>
            <wp:positionV relativeFrom="paragraph">
              <wp:posOffset>-139128</wp:posOffset>
            </wp:positionV>
            <wp:extent cx="6743345" cy="7836407"/>
            <wp:effectExtent l="0" t="0" r="0" b="0"/>
            <wp:wrapNone/>
            <wp:docPr id="176" name="Image 17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76" name="Image 176"/>
                    <pic:cNvPicPr/>
                  </pic:nvPicPr>
                  <pic:blipFill>
                    <a:blip r:embed="rId158" cstate="print"/>
                    <a:stretch>
                      <a:fillRect/>
                    </a:stretch>
                  </pic:blipFill>
                  <pic:spPr>
                    <a:xfrm>
                      <a:off x="0" y="0"/>
                      <a:ext cx="6743345" cy="7836407"/>
                    </a:xfrm>
                    <a:prstGeom prst="rect">
                      <a:avLst/>
                    </a:prstGeom>
                  </pic:spPr>
                </pic:pic>
              </a:graphicData>
            </a:graphic>
          </wp:anchor>
        </w:drawing>
      </w:r>
      <w:r>
        <w:t>se basa en requisitos para llevar a cabo auditorías de género en la fuerza laboral, adoptar planes de igualdad de género</w:t>
      </w:r>
      <w:r>
        <w:rPr>
          <w:spacing w:val="80"/>
        </w:rPr>
        <w:t xml:space="preserve"> </w:t>
      </w:r>
      <w:r>
        <w:t>basados</w:t>
      </w:r>
      <w:r>
        <w:rPr>
          <w:spacing w:val="24"/>
        </w:rPr>
        <w:t xml:space="preserve"> </w:t>
      </w:r>
      <w:r>
        <w:t>en</w:t>
      </w:r>
      <w:r>
        <w:rPr>
          <w:spacing w:val="24"/>
        </w:rPr>
        <w:t xml:space="preserve"> </w:t>
      </w:r>
      <w:r>
        <w:t>las</w:t>
      </w:r>
      <w:r>
        <w:rPr>
          <w:spacing w:val="24"/>
        </w:rPr>
        <w:t xml:space="preserve"> </w:t>
      </w:r>
      <w:r>
        <w:t>auditorías,</w:t>
      </w:r>
      <w:r>
        <w:rPr>
          <w:spacing w:val="26"/>
        </w:rPr>
        <w:t xml:space="preserve"> </w:t>
      </w:r>
      <w:r>
        <w:t>que</w:t>
      </w:r>
      <w:r>
        <w:rPr>
          <w:spacing w:val="24"/>
        </w:rPr>
        <w:t xml:space="preserve"> </w:t>
      </w:r>
      <w:r>
        <w:t>deben</w:t>
      </w:r>
      <w:r>
        <w:rPr>
          <w:spacing w:val="24"/>
        </w:rPr>
        <w:t xml:space="preserve"> </w:t>
      </w:r>
      <w:r>
        <w:t>actualizarse</w:t>
      </w:r>
      <w:r>
        <w:rPr>
          <w:spacing w:val="24"/>
        </w:rPr>
        <w:t xml:space="preserve"> </w:t>
      </w:r>
      <w:r>
        <w:t>cada</w:t>
      </w:r>
      <w:r>
        <w:rPr>
          <w:spacing w:val="24"/>
        </w:rPr>
        <w:t xml:space="preserve"> </w:t>
      </w:r>
      <w:r>
        <w:t>cuatro</w:t>
      </w:r>
      <w:r>
        <w:rPr>
          <w:spacing w:val="24"/>
        </w:rPr>
        <w:t xml:space="preserve"> </w:t>
      </w:r>
      <w:r>
        <w:t>años,</w:t>
      </w:r>
      <w:r>
        <w:rPr>
          <w:spacing w:val="24"/>
        </w:rPr>
        <w:t xml:space="preserve"> </w:t>
      </w:r>
      <w:r>
        <w:t>lograr</w:t>
      </w:r>
      <w:r>
        <w:rPr>
          <w:spacing w:val="24"/>
        </w:rPr>
        <w:t xml:space="preserve"> </w:t>
      </w:r>
      <w:r>
        <w:t>“progresos</w:t>
      </w:r>
      <w:r>
        <w:rPr>
          <w:spacing w:val="24"/>
        </w:rPr>
        <w:t xml:space="preserve"> </w:t>
      </w:r>
      <w:r>
        <w:t>razonables</w:t>
      </w:r>
      <w:r>
        <w:rPr>
          <w:spacing w:val="24"/>
        </w:rPr>
        <w:t xml:space="preserve"> </w:t>
      </w:r>
      <w:r>
        <w:t>y</w:t>
      </w:r>
      <w:r>
        <w:rPr>
          <w:spacing w:val="24"/>
        </w:rPr>
        <w:t xml:space="preserve"> </w:t>
      </w:r>
      <w:r>
        <w:t>materiales”</w:t>
      </w:r>
      <w:r>
        <w:rPr>
          <w:spacing w:val="24"/>
        </w:rPr>
        <w:t xml:space="preserve"> </w:t>
      </w:r>
      <w:r>
        <w:t>en relación con el plan de igualdad de género e informar públicamente cada dos años. sobre el progreso del plan al</w:t>
      </w:r>
      <w:r>
        <w:rPr>
          <w:spacing w:val="40"/>
        </w:rPr>
        <w:t xml:space="preserve"> </w:t>
      </w:r>
      <w:r>
        <w:t>Comisionado</w:t>
      </w:r>
      <w:r>
        <w:rPr>
          <w:spacing w:val="21"/>
        </w:rPr>
        <w:t xml:space="preserve"> </w:t>
      </w:r>
      <w:r>
        <w:t>de</w:t>
      </w:r>
      <w:r>
        <w:rPr>
          <w:spacing w:val="21"/>
        </w:rPr>
        <w:t xml:space="preserve"> </w:t>
      </w:r>
      <w:r>
        <w:t>Igualdad</w:t>
      </w:r>
      <w:r>
        <w:rPr>
          <w:spacing w:val="21"/>
        </w:rPr>
        <w:t xml:space="preserve"> </w:t>
      </w:r>
      <w:r>
        <w:t>de</w:t>
      </w:r>
      <w:r>
        <w:rPr>
          <w:spacing w:val="21"/>
        </w:rPr>
        <w:t xml:space="preserve"> </w:t>
      </w:r>
      <w:r>
        <w:t>Género</w:t>
      </w:r>
      <w:r>
        <w:rPr>
          <w:spacing w:val="21"/>
        </w:rPr>
        <w:t xml:space="preserve"> </w:t>
      </w:r>
      <w:r>
        <w:t>del</w:t>
      </w:r>
      <w:r>
        <w:rPr>
          <w:spacing w:val="21"/>
        </w:rPr>
        <w:t xml:space="preserve"> </w:t>
      </w:r>
      <w:r>
        <w:t>Sector</w:t>
      </w:r>
      <w:r>
        <w:rPr>
          <w:spacing w:val="21"/>
        </w:rPr>
        <w:t xml:space="preserve"> </w:t>
      </w:r>
      <w:r>
        <w:t>Público,</w:t>
      </w:r>
      <w:r>
        <w:rPr>
          <w:spacing w:val="21"/>
        </w:rPr>
        <w:t xml:space="preserve"> </w:t>
      </w:r>
      <w:r>
        <w:t>quien</w:t>
      </w:r>
      <w:r>
        <w:rPr>
          <w:spacing w:val="21"/>
        </w:rPr>
        <w:t xml:space="preserve"> </w:t>
      </w:r>
      <w:r>
        <w:t>tiene</w:t>
      </w:r>
      <w:r>
        <w:rPr>
          <w:spacing w:val="21"/>
        </w:rPr>
        <w:t xml:space="preserve"> </w:t>
      </w:r>
      <w:r>
        <w:t>poderes</w:t>
      </w:r>
      <w:r>
        <w:rPr>
          <w:spacing w:val="21"/>
        </w:rPr>
        <w:t xml:space="preserve"> </w:t>
      </w:r>
      <w:r>
        <w:t>para</w:t>
      </w:r>
      <w:r>
        <w:rPr>
          <w:spacing w:val="21"/>
        </w:rPr>
        <w:t xml:space="preserve"> </w:t>
      </w:r>
      <w:r>
        <w:t>emitir</w:t>
      </w:r>
      <w:r>
        <w:rPr>
          <w:spacing w:val="21"/>
        </w:rPr>
        <w:t xml:space="preserve"> </w:t>
      </w:r>
      <w:r>
        <w:t>avisos</w:t>
      </w:r>
      <w:r>
        <w:rPr>
          <w:spacing w:val="21"/>
        </w:rPr>
        <w:t xml:space="preserve"> </w:t>
      </w:r>
      <w:r>
        <w:t>de</w:t>
      </w:r>
      <w:r>
        <w:rPr>
          <w:spacing w:val="21"/>
        </w:rPr>
        <w:t xml:space="preserve"> </w:t>
      </w:r>
      <w:r>
        <w:t>cumplimiento</w:t>
      </w:r>
      <w:r>
        <w:rPr>
          <w:spacing w:val="21"/>
        </w:rPr>
        <w:t xml:space="preserve"> </w:t>
      </w:r>
      <w:r>
        <w:t>y aceptar compromisos exigibles si no se logran avances. Los indicadores de igualdad de género contenidos en la Ley</w:t>
      </w:r>
      <w:r>
        <w:rPr>
          <w:spacing w:val="80"/>
        </w:rPr>
        <w:t xml:space="preserve"> </w:t>
      </w:r>
      <w:r>
        <w:t>incluyen: composición de género en todos los niveles de la fuerza laboral; composición de género de los órganos de gobierno; igualdad</w:t>
      </w:r>
      <w:r>
        <w:rPr>
          <w:spacing w:val="-1"/>
        </w:rPr>
        <w:t xml:space="preserve"> </w:t>
      </w:r>
      <w:r>
        <w:t>de</w:t>
      </w:r>
      <w:r>
        <w:rPr>
          <w:spacing w:val="-1"/>
        </w:rPr>
        <w:t xml:space="preserve"> </w:t>
      </w:r>
      <w:r>
        <w:t>remuneración</w:t>
      </w:r>
      <w:r>
        <w:rPr>
          <w:spacing w:val="-1"/>
        </w:rPr>
        <w:t xml:space="preserve"> </w:t>
      </w:r>
      <w:r>
        <w:t>por</w:t>
      </w:r>
      <w:r>
        <w:rPr>
          <w:spacing w:val="-1"/>
        </w:rPr>
        <w:t xml:space="preserve"> </w:t>
      </w:r>
      <w:r>
        <w:t>trabajo</w:t>
      </w:r>
      <w:r>
        <w:rPr>
          <w:spacing w:val="-1"/>
        </w:rPr>
        <w:t xml:space="preserve"> </w:t>
      </w:r>
      <w:r>
        <w:t>de</w:t>
      </w:r>
      <w:r>
        <w:rPr>
          <w:spacing w:val="-1"/>
        </w:rPr>
        <w:t xml:space="preserve"> </w:t>
      </w:r>
      <w:r>
        <w:t>igual</w:t>
      </w:r>
      <w:r>
        <w:rPr>
          <w:spacing w:val="-1"/>
        </w:rPr>
        <w:t xml:space="preserve"> </w:t>
      </w:r>
      <w:r>
        <w:t>o</w:t>
      </w:r>
      <w:r>
        <w:rPr>
          <w:spacing w:val="-1"/>
        </w:rPr>
        <w:t xml:space="preserve"> </w:t>
      </w:r>
      <w:r>
        <w:t>comparable</w:t>
      </w:r>
      <w:r>
        <w:rPr>
          <w:spacing w:val="-1"/>
        </w:rPr>
        <w:t xml:space="preserve"> </w:t>
      </w:r>
      <w:r>
        <w:t>valor;</w:t>
      </w:r>
      <w:r>
        <w:rPr>
          <w:spacing w:val="-1"/>
        </w:rPr>
        <w:t xml:space="preserve"> </w:t>
      </w:r>
      <w:r>
        <w:t>Acoso</w:t>
      </w:r>
      <w:r>
        <w:rPr>
          <w:spacing w:val="-1"/>
        </w:rPr>
        <w:t xml:space="preserve"> </w:t>
      </w:r>
      <w:r>
        <w:t>sexual;</w:t>
      </w:r>
      <w:r>
        <w:rPr>
          <w:spacing w:val="-1"/>
        </w:rPr>
        <w:t xml:space="preserve"> </w:t>
      </w:r>
      <w:r>
        <w:t>prácticas</w:t>
      </w:r>
      <w:r>
        <w:rPr>
          <w:spacing w:val="-1"/>
        </w:rPr>
        <w:t xml:space="preserve"> </w:t>
      </w:r>
      <w:r>
        <w:t>de</w:t>
      </w:r>
      <w:r>
        <w:rPr>
          <w:spacing w:val="-1"/>
        </w:rPr>
        <w:t xml:space="preserve"> </w:t>
      </w:r>
      <w:r>
        <w:t>contratación</w:t>
      </w:r>
      <w:r>
        <w:rPr>
          <w:spacing w:val="-1"/>
        </w:rPr>
        <w:t xml:space="preserve"> </w:t>
      </w:r>
      <w:r>
        <w:t xml:space="preserve">y promoción </w:t>
      </w:r>
      <w:r>
        <w:rPr>
          <w:w w:val="70"/>
        </w:rPr>
        <w:t>;</w:t>
      </w:r>
      <w:r>
        <w:t xml:space="preserve"> disponibilidad y utilización de términos, condiciones y prácticas relacionadas con la violencia familiar,</w:t>
      </w:r>
      <w:r>
        <w:rPr>
          <w:spacing w:val="80"/>
        </w:rPr>
        <w:t xml:space="preserve"> </w:t>
      </w:r>
      <w:r>
        <w:t>licencias,</w:t>
      </w:r>
      <w:r>
        <w:rPr>
          <w:spacing w:val="31"/>
        </w:rPr>
        <w:t xml:space="preserve"> </w:t>
      </w:r>
      <w:r>
        <w:t>acuerdos</w:t>
      </w:r>
      <w:r>
        <w:rPr>
          <w:spacing w:val="29"/>
        </w:rPr>
        <w:t xml:space="preserve"> </w:t>
      </w:r>
      <w:r>
        <w:t>laborales</w:t>
      </w:r>
      <w:r>
        <w:rPr>
          <w:spacing w:val="29"/>
        </w:rPr>
        <w:t xml:space="preserve"> </w:t>
      </w:r>
      <w:r>
        <w:t>flexibles</w:t>
      </w:r>
      <w:r>
        <w:rPr>
          <w:spacing w:val="29"/>
        </w:rPr>
        <w:t xml:space="preserve"> </w:t>
      </w:r>
      <w:r>
        <w:t>y</w:t>
      </w:r>
      <w:r>
        <w:rPr>
          <w:spacing w:val="29"/>
        </w:rPr>
        <w:t xml:space="preserve"> </w:t>
      </w:r>
      <w:r>
        <w:t>acuerdos</w:t>
      </w:r>
      <w:r>
        <w:rPr>
          <w:spacing w:val="29"/>
        </w:rPr>
        <w:t xml:space="preserve"> </w:t>
      </w:r>
      <w:r>
        <w:t>laborales</w:t>
      </w:r>
      <w:r>
        <w:rPr>
          <w:spacing w:val="29"/>
        </w:rPr>
        <w:t xml:space="preserve"> </w:t>
      </w:r>
      <w:r>
        <w:t>que</w:t>
      </w:r>
      <w:r>
        <w:rPr>
          <w:spacing w:val="29"/>
        </w:rPr>
        <w:t xml:space="preserve"> </w:t>
      </w:r>
      <w:r>
        <w:t>apoyan</w:t>
      </w:r>
      <w:r>
        <w:rPr>
          <w:spacing w:val="29"/>
        </w:rPr>
        <w:t xml:space="preserve"> </w:t>
      </w:r>
      <w:r>
        <w:t>a</w:t>
      </w:r>
      <w:r>
        <w:rPr>
          <w:spacing w:val="29"/>
        </w:rPr>
        <w:t xml:space="preserve"> </w:t>
      </w:r>
      <w:r>
        <w:t>los</w:t>
      </w:r>
      <w:r>
        <w:rPr>
          <w:spacing w:val="29"/>
        </w:rPr>
        <w:t xml:space="preserve"> </w:t>
      </w:r>
      <w:r>
        <w:t>empleados</w:t>
      </w:r>
      <w:r>
        <w:rPr>
          <w:spacing w:val="29"/>
        </w:rPr>
        <w:t xml:space="preserve"> </w:t>
      </w:r>
      <w:r>
        <w:t>con</w:t>
      </w:r>
      <w:r>
        <w:rPr>
          <w:spacing w:val="29"/>
        </w:rPr>
        <w:t xml:space="preserve"> </w:t>
      </w:r>
      <w:r>
        <w:t>responsabilidades familiares o de cuidado; segregación de género en el lugar de trabajo; y cuantas materias se añadan por reglamento.</w:t>
      </w:r>
    </w:p>
    <w:p w14:paraId="649E4F8A" w14:textId="77777777" w:rsidR="0014798C" w:rsidRDefault="0014798C">
      <w:pPr>
        <w:pStyle w:val="Textoindependiente"/>
        <w:spacing w:before="178"/>
        <w:rPr>
          <w:sz w:val="22"/>
        </w:rPr>
      </w:pPr>
    </w:p>
    <w:p w14:paraId="285E4C82" w14:textId="77777777" w:rsidR="0014798C" w:rsidRDefault="004E1F0B">
      <w:pPr>
        <w:ind w:left="1117"/>
      </w:pPr>
      <w:r>
        <w:rPr>
          <w:noProof/>
        </w:rPr>
        <mc:AlternateContent>
          <mc:Choice Requires="wps">
            <w:drawing>
              <wp:anchor distT="0" distB="0" distL="0" distR="0" simplePos="0" relativeHeight="251658277" behindDoc="0" locked="0" layoutInCell="1" allowOverlap="1" wp14:anchorId="76ED6ACA" wp14:editId="0D26C963">
                <wp:simplePos x="0" y="0"/>
                <wp:positionH relativeFrom="page">
                  <wp:posOffset>7313138</wp:posOffset>
                </wp:positionH>
                <wp:positionV relativeFrom="paragraph">
                  <wp:posOffset>-168665</wp:posOffset>
                </wp:positionV>
                <wp:extent cx="83820" cy="281940"/>
                <wp:effectExtent l="0" t="0" r="0" b="0"/>
                <wp:wrapNone/>
                <wp:docPr id="177" name="Textbox 17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83820" cy="281940"/>
                        </a:xfrm>
                        <a:prstGeom prst="rect">
                          <a:avLst/>
                        </a:prstGeom>
                      </wps:spPr>
                      <wps:txbx>
                        <w:txbxContent>
                          <w:p w14:paraId="3C6BA5DA" w14:textId="77777777" w:rsidR="0014798C" w:rsidRDefault="004E1F0B">
                            <w:pPr>
                              <w:spacing w:before="19"/>
                              <w:ind w:left="20"/>
                              <w:rPr>
                                <w:sz w:val="8"/>
                              </w:rPr>
                            </w:pPr>
                            <w:r>
                              <w:rPr>
                                <w:color w:val="FFFFFF"/>
                                <w:spacing w:val="-24"/>
                                <w:sz w:val="8"/>
                              </w:rPr>
                              <w:t>I–P</w:t>
                            </w:r>
                            <w:r>
                              <w:rPr>
                                <w:spacing w:val="-24"/>
                                <w:sz w:val="8"/>
                              </w:rPr>
                              <w:t>S</w:t>
                            </w:r>
                            <w:r>
                              <w:rPr>
                                <w:color w:val="FFFFFF"/>
                                <w:spacing w:val="-24"/>
                                <w:sz w:val="8"/>
                              </w:rPr>
                              <w:t>A</w:t>
                            </w:r>
                            <w:r>
                              <w:rPr>
                                <w:spacing w:val="-24"/>
                                <w:sz w:val="8"/>
                              </w:rPr>
                              <w:t>E</w:t>
                            </w:r>
                            <w:r>
                              <w:rPr>
                                <w:color w:val="FFFFFF"/>
                                <w:spacing w:val="-24"/>
                                <w:sz w:val="8"/>
                              </w:rPr>
                              <w:t>R</w:t>
                            </w:r>
                            <w:r>
                              <w:rPr>
                                <w:spacing w:val="-24"/>
                                <w:sz w:val="8"/>
                              </w:rPr>
                              <w:t>G</w:t>
                            </w:r>
                            <w:r>
                              <w:rPr>
                                <w:color w:val="FFFFFF"/>
                                <w:spacing w:val="-24"/>
                                <w:sz w:val="8"/>
                              </w:rPr>
                              <w:t>T</w:t>
                            </w:r>
                            <w:r>
                              <w:rPr>
                                <w:spacing w:val="-24"/>
                                <w:sz w:val="8"/>
                              </w:rPr>
                              <w:t>U</w:t>
                            </w:r>
                            <w:r>
                              <w:rPr>
                                <w:color w:val="FFFFFF"/>
                                <w:spacing w:val="-24"/>
                                <w:sz w:val="8"/>
                              </w:rPr>
                              <w:t>E</w:t>
                            </w:r>
                            <w:r>
                              <w:rPr>
                                <w:spacing w:val="-24"/>
                                <w:sz w:val="8"/>
                              </w:rPr>
                              <w:t>NDA</w:t>
                            </w:r>
                          </w:p>
                        </w:txbxContent>
                      </wps:txbx>
                      <wps:bodyPr vert="vert270" wrap="square" lIns="0" tIns="0" rIns="0" bIns="0" rtlCol="0">
                        <a:noAutofit/>
                      </wps:bodyPr>
                    </wps:wsp>
                  </a:graphicData>
                </a:graphic>
              </wp:anchor>
            </w:drawing>
          </mc:Choice>
          <mc:Fallback>
            <w:pict>
              <v:shape w14:anchorId="76ED6ACA" id="Textbox 177" o:spid="_x0000_s1097" type="#_x0000_t202" style="position:absolute;left:0;text-align:left;margin-left:575.85pt;margin-top:-13.3pt;width:6.6pt;height:22.2pt;z-index:251658277;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" filled="f" stroked="f">
                <v:textbox style="layout-flow:vertical;mso-layout-flow-alt:bottom-to-top" inset="0,0,0,0">
                  <w:txbxContent>
                    <w:p w14:paraId="3C6BA5DA" w14:textId="77777777" w:rsidR="0014798C" w:rsidRDefault="004E1F0B">
                      <w:pPr>
                        <w:spacing w:before="19"/>
                        <w:ind w:left="20"/>
                        <w:rPr>
                          <w:sz w:val="8"/>
                        </w:rPr>
                      </w:pPr>
                      <w:r>
                        <w:rPr>
                          <w:color w:val="FFFFFF"/>
                          <w:spacing w:val="-24"/>
                          <w:sz w:val="8"/>
                        </w:rPr>
                        <w:t>I–P</w:t>
                      </w:r>
                      <w:r>
                        <w:rPr>
                          <w:spacing w:val="-24"/>
                          <w:sz w:val="8"/>
                        </w:rPr>
                        <w:t>S</w:t>
                      </w:r>
                      <w:r>
                        <w:rPr>
                          <w:color w:val="FFFFFF"/>
                          <w:spacing w:val="-24"/>
                          <w:sz w:val="8"/>
                        </w:rPr>
                        <w:t>A</w:t>
                      </w:r>
                      <w:r>
                        <w:rPr>
                          <w:spacing w:val="-24"/>
                          <w:sz w:val="8"/>
                        </w:rPr>
                        <w:t>E</w:t>
                      </w:r>
                      <w:r>
                        <w:rPr>
                          <w:color w:val="FFFFFF"/>
                          <w:spacing w:val="-24"/>
                          <w:sz w:val="8"/>
                        </w:rPr>
                        <w:t>R</w:t>
                      </w:r>
                      <w:r>
                        <w:rPr>
                          <w:spacing w:val="-24"/>
                          <w:sz w:val="8"/>
                        </w:rPr>
                        <w:t>G</w:t>
                      </w:r>
                      <w:r>
                        <w:rPr>
                          <w:color w:val="FFFFFF"/>
                          <w:spacing w:val="-24"/>
                          <w:sz w:val="8"/>
                        </w:rPr>
                        <w:t>T</w:t>
                      </w:r>
                      <w:r>
                        <w:rPr>
                          <w:spacing w:val="-24"/>
                          <w:sz w:val="8"/>
                        </w:rPr>
                        <w:t>U</w:t>
                      </w:r>
                      <w:r>
                        <w:rPr>
                          <w:color w:val="FFFFFF"/>
                          <w:spacing w:val="-24"/>
                          <w:sz w:val="8"/>
                        </w:rPr>
                        <w:t>E</w:t>
                      </w:r>
                      <w:r>
                        <w:rPr>
                          <w:spacing w:val="-24"/>
                          <w:sz w:val="8"/>
                        </w:rPr>
                        <w:t>NDA</w:t>
                      </w:r>
                    </w:p>
                  </w:txbxContent>
                </v:textbox>
                <w10:wrap anchorx="page"/>
              </v:shape>
            </w:pict>
          </mc:Fallback>
        </mc:AlternateContent>
      </w:r>
      <w:r>
        <w:rPr>
          <w:color w:val="00AC59"/>
        </w:rPr>
        <w:t>3.</w:t>
      </w:r>
      <w:r>
        <w:rPr>
          <w:color w:val="00AC59"/>
          <w:spacing w:val="-2"/>
        </w:rPr>
        <w:t xml:space="preserve"> </w:t>
      </w:r>
      <w:r>
        <w:rPr>
          <w:color w:val="00AC59"/>
        </w:rPr>
        <w:t>Garantizar</w:t>
      </w:r>
      <w:r>
        <w:rPr>
          <w:color w:val="00AC59"/>
          <w:spacing w:val="-2"/>
        </w:rPr>
        <w:t xml:space="preserve"> </w:t>
      </w:r>
      <w:r>
        <w:rPr>
          <w:color w:val="00AC59"/>
        </w:rPr>
        <w:t>la</w:t>
      </w:r>
      <w:r>
        <w:rPr>
          <w:color w:val="00AC59"/>
          <w:spacing w:val="-2"/>
        </w:rPr>
        <w:t xml:space="preserve"> </w:t>
      </w:r>
      <w:r>
        <w:rPr>
          <w:color w:val="00AC59"/>
        </w:rPr>
        <w:t>eficacia</w:t>
      </w:r>
      <w:r>
        <w:rPr>
          <w:color w:val="00AC59"/>
          <w:spacing w:val="-1"/>
        </w:rPr>
        <w:t xml:space="preserve"> </w:t>
      </w:r>
      <w:r>
        <w:rPr>
          <w:color w:val="00AC59"/>
        </w:rPr>
        <w:t>de</w:t>
      </w:r>
      <w:r>
        <w:rPr>
          <w:color w:val="00AC59"/>
          <w:spacing w:val="-1"/>
        </w:rPr>
        <w:t xml:space="preserve"> </w:t>
      </w:r>
      <w:r>
        <w:rPr>
          <w:color w:val="00AC59"/>
        </w:rPr>
        <w:t>los</w:t>
      </w:r>
      <w:r>
        <w:rPr>
          <w:color w:val="00AC59"/>
          <w:spacing w:val="-2"/>
        </w:rPr>
        <w:t xml:space="preserve"> </w:t>
      </w:r>
      <w:r>
        <w:rPr>
          <w:color w:val="00AC59"/>
        </w:rPr>
        <w:t>deberes</w:t>
      </w:r>
      <w:r>
        <w:rPr>
          <w:color w:val="00AC59"/>
          <w:spacing w:val="-1"/>
        </w:rPr>
        <w:t xml:space="preserve"> </w:t>
      </w:r>
      <w:r>
        <w:rPr>
          <w:color w:val="00AC59"/>
        </w:rPr>
        <w:t>de</w:t>
      </w:r>
      <w:r>
        <w:rPr>
          <w:color w:val="00AC59"/>
          <w:spacing w:val="-1"/>
        </w:rPr>
        <w:t xml:space="preserve"> </w:t>
      </w:r>
      <w:r>
        <w:rPr>
          <w:color w:val="00AC59"/>
          <w:spacing w:val="-2"/>
        </w:rPr>
        <w:t>igualdad</w:t>
      </w:r>
    </w:p>
    <w:p w14:paraId="44A9D5DE" w14:textId="77777777" w:rsidR="0014798C" w:rsidRDefault="0014798C">
      <w:pPr>
        <w:pStyle w:val="Textoindependiente"/>
        <w:spacing w:before="50"/>
      </w:pPr>
    </w:p>
    <w:p w14:paraId="427E79CB" w14:textId="77777777" w:rsidR="0014798C" w:rsidRDefault="004E1F0B">
      <w:pPr>
        <w:pStyle w:val="Textoindependiente"/>
        <w:spacing w:line="326" w:lineRule="auto"/>
        <w:ind w:left="1106" w:right="1244" w:firstLine="6"/>
      </w:pPr>
      <w:r>
        <w:rPr>
          <w:w w:val="105"/>
        </w:rPr>
        <w:t>Los</w:t>
      </w:r>
      <w:r>
        <w:rPr>
          <w:spacing w:val="-9"/>
          <w:w w:val="105"/>
        </w:rPr>
        <w:t xml:space="preserve"> </w:t>
      </w:r>
      <w:r>
        <w:rPr>
          <w:w w:val="105"/>
        </w:rPr>
        <w:t>Estados</w:t>
      </w:r>
      <w:r>
        <w:rPr>
          <w:spacing w:val="-10"/>
          <w:w w:val="105"/>
        </w:rPr>
        <w:t xml:space="preserve"> </w:t>
      </w:r>
      <w:r>
        <w:rPr>
          <w:w w:val="105"/>
        </w:rPr>
        <w:t>conservan</w:t>
      </w:r>
      <w:r>
        <w:rPr>
          <w:spacing w:val="-9"/>
          <w:w w:val="105"/>
        </w:rPr>
        <w:t xml:space="preserve"> </w:t>
      </w:r>
      <w:r>
        <w:rPr>
          <w:w w:val="105"/>
        </w:rPr>
        <w:t>un</w:t>
      </w:r>
      <w:r>
        <w:rPr>
          <w:spacing w:val="-9"/>
          <w:w w:val="105"/>
        </w:rPr>
        <w:t xml:space="preserve"> </w:t>
      </w:r>
      <w:r>
        <w:rPr>
          <w:w w:val="105"/>
        </w:rPr>
        <w:t>alto</w:t>
      </w:r>
      <w:r>
        <w:rPr>
          <w:spacing w:val="-9"/>
          <w:w w:val="105"/>
        </w:rPr>
        <w:t xml:space="preserve"> </w:t>
      </w:r>
      <w:r>
        <w:rPr>
          <w:w w:val="105"/>
        </w:rPr>
        <w:t>grado</w:t>
      </w:r>
      <w:r>
        <w:rPr>
          <w:spacing w:val="-9"/>
          <w:w w:val="105"/>
        </w:rPr>
        <w:t xml:space="preserve"> </w:t>
      </w:r>
      <w:r>
        <w:rPr>
          <w:w w:val="105"/>
        </w:rPr>
        <w:t>de</w:t>
      </w:r>
      <w:r>
        <w:rPr>
          <w:spacing w:val="-9"/>
          <w:w w:val="105"/>
        </w:rPr>
        <w:t xml:space="preserve"> </w:t>
      </w:r>
      <w:r>
        <w:rPr>
          <w:w w:val="105"/>
        </w:rPr>
        <w:t>discreción</w:t>
      </w:r>
      <w:r>
        <w:rPr>
          <w:spacing w:val="-9"/>
          <w:w w:val="105"/>
        </w:rPr>
        <w:t xml:space="preserve"> </w:t>
      </w:r>
      <w:r>
        <w:rPr>
          <w:w w:val="105"/>
        </w:rPr>
        <w:t>en</w:t>
      </w:r>
      <w:r>
        <w:rPr>
          <w:spacing w:val="-9"/>
          <w:w w:val="105"/>
        </w:rPr>
        <w:t xml:space="preserve"> </w:t>
      </w:r>
      <w:r>
        <w:rPr>
          <w:w w:val="105"/>
        </w:rPr>
        <w:t>los</w:t>
      </w:r>
      <w:r>
        <w:rPr>
          <w:spacing w:val="-9"/>
          <w:w w:val="105"/>
        </w:rPr>
        <w:t xml:space="preserve"> </w:t>
      </w:r>
      <w:r>
        <w:rPr>
          <w:w w:val="105"/>
        </w:rPr>
        <w:t>medios</w:t>
      </w:r>
      <w:r>
        <w:rPr>
          <w:spacing w:val="-9"/>
          <w:w w:val="105"/>
        </w:rPr>
        <w:t xml:space="preserve"> </w:t>
      </w:r>
      <w:r>
        <w:rPr>
          <w:w w:val="105"/>
        </w:rPr>
        <w:t>a</w:t>
      </w:r>
      <w:r>
        <w:rPr>
          <w:spacing w:val="-9"/>
          <w:w w:val="105"/>
        </w:rPr>
        <w:t xml:space="preserve"> </w:t>
      </w:r>
      <w:r>
        <w:rPr>
          <w:w w:val="105"/>
        </w:rPr>
        <w:t>través</w:t>
      </w:r>
      <w:r>
        <w:rPr>
          <w:spacing w:val="-9"/>
          <w:w w:val="105"/>
        </w:rPr>
        <w:t xml:space="preserve"> </w:t>
      </w:r>
      <w:r>
        <w:rPr>
          <w:w w:val="105"/>
        </w:rPr>
        <w:t>de</w:t>
      </w:r>
      <w:r>
        <w:rPr>
          <w:spacing w:val="-9"/>
          <w:w w:val="105"/>
        </w:rPr>
        <w:t xml:space="preserve"> </w:t>
      </w:r>
      <w:r>
        <w:rPr>
          <w:w w:val="105"/>
        </w:rPr>
        <w:t>los</w:t>
      </w:r>
      <w:r>
        <w:rPr>
          <w:spacing w:val="-9"/>
          <w:w w:val="105"/>
        </w:rPr>
        <w:t xml:space="preserve"> </w:t>
      </w:r>
      <w:r>
        <w:rPr>
          <w:w w:val="105"/>
        </w:rPr>
        <w:t>cuales</w:t>
      </w:r>
      <w:r>
        <w:rPr>
          <w:spacing w:val="-9"/>
          <w:w w:val="105"/>
        </w:rPr>
        <w:t xml:space="preserve"> </w:t>
      </w:r>
      <w:r>
        <w:rPr>
          <w:w w:val="105"/>
        </w:rPr>
        <w:t>deciden</w:t>
      </w:r>
      <w:r>
        <w:rPr>
          <w:spacing w:val="-9"/>
          <w:w w:val="105"/>
        </w:rPr>
        <w:t xml:space="preserve"> </w:t>
      </w:r>
      <w:r>
        <w:rPr>
          <w:w w:val="105"/>
        </w:rPr>
        <w:t>implementar</w:t>
      </w:r>
      <w:r>
        <w:rPr>
          <w:spacing w:val="-9"/>
          <w:w w:val="105"/>
        </w:rPr>
        <w:t xml:space="preserve"> </w:t>
      </w:r>
      <w:r>
        <w:rPr>
          <w:w w:val="105"/>
        </w:rPr>
        <w:t>sus</w:t>
      </w:r>
      <w:r>
        <w:rPr>
          <w:spacing w:val="-9"/>
          <w:w w:val="105"/>
        </w:rPr>
        <w:t xml:space="preserve"> </w:t>
      </w:r>
      <w:r>
        <w:rPr>
          <w:w w:val="105"/>
        </w:rPr>
        <w:t>obligaciones proactivas</w:t>
      </w:r>
      <w:r>
        <w:rPr>
          <w:spacing w:val="-7"/>
          <w:w w:val="105"/>
        </w:rPr>
        <w:t xml:space="preserve"> </w:t>
      </w:r>
      <w:r>
        <w:rPr>
          <w:w w:val="105"/>
        </w:rPr>
        <w:t>de</w:t>
      </w:r>
      <w:r>
        <w:rPr>
          <w:spacing w:val="-7"/>
          <w:w w:val="105"/>
        </w:rPr>
        <w:t xml:space="preserve"> </w:t>
      </w:r>
      <w:r>
        <w:rPr>
          <w:w w:val="105"/>
        </w:rPr>
        <w:t>igualdad</w:t>
      </w:r>
      <w:r>
        <w:rPr>
          <w:spacing w:val="-7"/>
          <w:w w:val="105"/>
        </w:rPr>
        <w:t xml:space="preserve"> </w:t>
      </w:r>
      <w:r>
        <w:rPr>
          <w:w w:val="105"/>
        </w:rPr>
        <w:t>y,</w:t>
      </w:r>
      <w:r>
        <w:rPr>
          <w:spacing w:val="-7"/>
          <w:w w:val="105"/>
        </w:rPr>
        <w:t xml:space="preserve"> </w:t>
      </w:r>
      <w:r>
        <w:rPr>
          <w:w w:val="105"/>
        </w:rPr>
        <w:t>como</w:t>
      </w:r>
      <w:r>
        <w:rPr>
          <w:spacing w:val="-7"/>
          <w:w w:val="105"/>
        </w:rPr>
        <w:t xml:space="preserve"> </w:t>
      </w:r>
      <w:r>
        <w:rPr>
          <w:w w:val="105"/>
        </w:rPr>
        <w:t>se</w:t>
      </w:r>
      <w:r>
        <w:rPr>
          <w:spacing w:val="-7"/>
          <w:w w:val="105"/>
        </w:rPr>
        <w:t xml:space="preserve"> </w:t>
      </w:r>
      <w:r>
        <w:rPr>
          <w:w w:val="105"/>
        </w:rPr>
        <w:t>analizó</w:t>
      </w:r>
      <w:r>
        <w:rPr>
          <w:spacing w:val="-7"/>
          <w:w w:val="105"/>
        </w:rPr>
        <w:t xml:space="preserve"> </w:t>
      </w:r>
      <w:r>
        <w:rPr>
          <w:w w:val="105"/>
        </w:rPr>
        <w:t>anteriormente,</w:t>
      </w:r>
      <w:r>
        <w:rPr>
          <w:spacing w:val="-6"/>
          <w:w w:val="105"/>
        </w:rPr>
        <w:t xml:space="preserve"> </w:t>
      </w:r>
      <w:r>
        <w:rPr>
          <w:w w:val="105"/>
        </w:rPr>
        <w:t>se</w:t>
      </w:r>
      <w:r>
        <w:rPr>
          <w:spacing w:val="-7"/>
          <w:w w:val="105"/>
        </w:rPr>
        <w:t xml:space="preserve"> </w:t>
      </w:r>
      <w:r>
        <w:rPr>
          <w:w w:val="105"/>
        </w:rPr>
        <w:t>ha</w:t>
      </w:r>
      <w:r>
        <w:rPr>
          <w:spacing w:val="-7"/>
          <w:w w:val="105"/>
        </w:rPr>
        <w:t xml:space="preserve"> </w:t>
      </w:r>
      <w:r>
        <w:rPr>
          <w:w w:val="105"/>
        </w:rPr>
        <w:t>adoptado</w:t>
      </w:r>
      <w:r>
        <w:rPr>
          <w:spacing w:val="-7"/>
          <w:w w:val="105"/>
        </w:rPr>
        <w:t xml:space="preserve"> </w:t>
      </w:r>
      <w:r>
        <w:rPr>
          <w:w w:val="105"/>
        </w:rPr>
        <w:t>una</w:t>
      </w:r>
      <w:r>
        <w:rPr>
          <w:spacing w:val="-7"/>
          <w:w w:val="105"/>
        </w:rPr>
        <w:t xml:space="preserve"> </w:t>
      </w:r>
      <w:r>
        <w:rPr>
          <w:w w:val="105"/>
        </w:rPr>
        <w:t>variedad</w:t>
      </w:r>
      <w:r>
        <w:rPr>
          <w:spacing w:val="-7"/>
          <w:w w:val="105"/>
        </w:rPr>
        <w:t xml:space="preserve"> </w:t>
      </w:r>
      <w:r>
        <w:rPr>
          <w:w w:val="105"/>
        </w:rPr>
        <w:t>de</w:t>
      </w:r>
      <w:r>
        <w:rPr>
          <w:spacing w:val="-7"/>
          <w:w w:val="105"/>
        </w:rPr>
        <w:t xml:space="preserve"> </w:t>
      </w:r>
      <w:r>
        <w:rPr>
          <w:w w:val="105"/>
        </w:rPr>
        <w:t>modelos</w:t>
      </w:r>
      <w:r>
        <w:rPr>
          <w:spacing w:val="-7"/>
          <w:w w:val="105"/>
        </w:rPr>
        <w:t xml:space="preserve"> </w:t>
      </w:r>
      <w:r>
        <w:rPr>
          <w:w w:val="105"/>
        </w:rPr>
        <w:t>diferentes</w:t>
      </w:r>
      <w:r>
        <w:rPr>
          <w:spacing w:val="-8"/>
          <w:w w:val="105"/>
        </w:rPr>
        <w:t xml:space="preserve"> </w:t>
      </w:r>
      <w:r>
        <w:rPr>
          <w:w w:val="105"/>
        </w:rPr>
        <w:t>a</w:t>
      </w:r>
      <w:r>
        <w:rPr>
          <w:spacing w:val="-7"/>
          <w:w w:val="105"/>
        </w:rPr>
        <w:t xml:space="preserve"> </w:t>
      </w:r>
      <w:r>
        <w:rPr>
          <w:w w:val="105"/>
        </w:rPr>
        <w:t>nivel</w:t>
      </w:r>
      <w:r>
        <w:rPr>
          <w:spacing w:val="-7"/>
          <w:w w:val="105"/>
        </w:rPr>
        <w:t xml:space="preserve"> </w:t>
      </w:r>
      <w:r>
        <w:rPr>
          <w:w w:val="105"/>
        </w:rPr>
        <w:t>nacional, a</w:t>
      </w:r>
      <w:r>
        <w:rPr>
          <w:spacing w:val="-4"/>
          <w:w w:val="105"/>
        </w:rPr>
        <w:t xml:space="preserve"> </w:t>
      </w:r>
      <w:r>
        <w:rPr>
          <w:w w:val="105"/>
        </w:rPr>
        <w:t>través</w:t>
      </w:r>
      <w:r>
        <w:rPr>
          <w:spacing w:val="-4"/>
          <w:w w:val="105"/>
        </w:rPr>
        <w:t xml:space="preserve"> </w:t>
      </w:r>
      <w:r>
        <w:rPr>
          <w:w w:val="105"/>
        </w:rPr>
        <w:t>del</w:t>
      </w:r>
      <w:r>
        <w:rPr>
          <w:spacing w:val="-4"/>
          <w:w w:val="105"/>
        </w:rPr>
        <w:t xml:space="preserve"> </w:t>
      </w:r>
      <w:r>
        <w:rPr>
          <w:w w:val="105"/>
        </w:rPr>
        <w:t>desarrollo</w:t>
      </w:r>
      <w:r>
        <w:rPr>
          <w:spacing w:val="-4"/>
          <w:w w:val="105"/>
        </w:rPr>
        <w:t xml:space="preserve"> </w:t>
      </w:r>
      <w:r>
        <w:rPr>
          <w:w w:val="105"/>
        </w:rPr>
        <w:t>de</w:t>
      </w:r>
      <w:r>
        <w:rPr>
          <w:spacing w:val="-4"/>
          <w:w w:val="105"/>
        </w:rPr>
        <w:t xml:space="preserve"> </w:t>
      </w:r>
      <w:r>
        <w:rPr>
          <w:w w:val="105"/>
        </w:rPr>
        <w:t>deberes</w:t>
      </w:r>
      <w:r>
        <w:rPr>
          <w:spacing w:val="-4"/>
          <w:w w:val="105"/>
        </w:rPr>
        <w:t xml:space="preserve"> </w:t>
      </w:r>
      <w:r>
        <w:rPr>
          <w:w w:val="105"/>
        </w:rPr>
        <w:t>estatutarios</w:t>
      </w:r>
      <w:r>
        <w:rPr>
          <w:spacing w:val="-4"/>
          <w:w w:val="105"/>
        </w:rPr>
        <w:t xml:space="preserve"> </w:t>
      </w:r>
      <w:r>
        <w:rPr>
          <w:w w:val="105"/>
        </w:rPr>
        <w:t>de</w:t>
      </w:r>
      <w:r>
        <w:rPr>
          <w:spacing w:val="-4"/>
          <w:w w:val="105"/>
        </w:rPr>
        <w:t xml:space="preserve"> </w:t>
      </w:r>
      <w:r>
        <w:rPr>
          <w:w w:val="105"/>
        </w:rPr>
        <w:t>igualdad</w:t>
      </w:r>
      <w:r>
        <w:rPr>
          <w:spacing w:val="-4"/>
          <w:w w:val="105"/>
        </w:rPr>
        <w:t xml:space="preserve"> </w:t>
      </w:r>
      <w:r>
        <w:rPr>
          <w:w w:val="105"/>
        </w:rPr>
        <w:t>que</w:t>
      </w:r>
      <w:r>
        <w:rPr>
          <w:spacing w:val="-4"/>
          <w:w w:val="105"/>
        </w:rPr>
        <w:t xml:space="preserve"> </w:t>
      </w:r>
      <w:r>
        <w:rPr>
          <w:w w:val="105"/>
        </w:rPr>
        <w:t>buscan</w:t>
      </w:r>
      <w:r>
        <w:rPr>
          <w:spacing w:val="-4"/>
          <w:w w:val="105"/>
        </w:rPr>
        <w:t xml:space="preserve"> </w:t>
      </w:r>
      <w:r>
        <w:rPr>
          <w:w w:val="105"/>
        </w:rPr>
        <w:t>sistematizar</w:t>
      </w:r>
      <w:r>
        <w:rPr>
          <w:spacing w:val="-4"/>
          <w:w w:val="105"/>
        </w:rPr>
        <w:t xml:space="preserve"> </w:t>
      </w:r>
      <w:r>
        <w:rPr>
          <w:w w:val="105"/>
        </w:rPr>
        <w:t>y</w:t>
      </w:r>
      <w:r>
        <w:rPr>
          <w:spacing w:val="-4"/>
          <w:w w:val="105"/>
        </w:rPr>
        <w:t xml:space="preserve"> </w:t>
      </w:r>
      <w:r>
        <w:rPr>
          <w:w w:val="105"/>
        </w:rPr>
        <w:t>poner</w:t>
      </w:r>
      <w:r>
        <w:rPr>
          <w:spacing w:val="-4"/>
          <w:w w:val="105"/>
        </w:rPr>
        <w:t xml:space="preserve"> </w:t>
      </w:r>
      <w:r>
        <w:rPr>
          <w:w w:val="105"/>
        </w:rPr>
        <w:t>en</w:t>
      </w:r>
      <w:r>
        <w:rPr>
          <w:spacing w:val="-4"/>
          <w:w w:val="105"/>
        </w:rPr>
        <w:t xml:space="preserve"> </w:t>
      </w:r>
      <w:r>
        <w:rPr>
          <w:w w:val="105"/>
        </w:rPr>
        <w:t>práctica</w:t>
      </w:r>
      <w:r>
        <w:rPr>
          <w:spacing w:val="-4"/>
          <w:w w:val="105"/>
        </w:rPr>
        <w:t xml:space="preserve"> </w:t>
      </w:r>
      <w:r>
        <w:rPr>
          <w:w w:val="105"/>
        </w:rPr>
        <w:t>su</w:t>
      </w:r>
      <w:r>
        <w:rPr>
          <w:spacing w:val="-4"/>
          <w:w w:val="105"/>
        </w:rPr>
        <w:t xml:space="preserve"> </w:t>
      </w:r>
      <w:r>
        <w:rPr>
          <w:w w:val="105"/>
        </w:rPr>
        <w:t>aplicación.</w:t>
      </w:r>
      <w:r>
        <w:rPr>
          <w:spacing w:val="-3"/>
          <w:w w:val="105"/>
        </w:rPr>
        <w:t xml:space="preserve"> </w:t>
      </w:r>
      <w:r>
        <w:rPr>
          <w:w w:val="105"/>
        </w:rPr>
        <w:t>En situaciones</w:t>
      </w:r>
      <w:r>
        <w:rPr>
          <w:spacing w:val="-10"/>
          <w:w w:val="105"/>
        </w:rPr>
        <w:t xml:space="preserve"> </w:t>
      </w:r>
      <w:r>
        <w:rPr>
          <w:w w:val="105"/>
        </w:rPr>
        <w:t>en</w:t>
      </w:r>
      <w:r>
        <w:rPr>
          <w:spacing w:val="-10"/>
          <w:w w:val="105"/>
        </w:rPr>
        <w:t xml:space="preserve"> </w:t>
      </w:r>
      <w:r>
        <w:rPr>
          <w:w w:val="105"/>
        </w:rPr>
        <w:t>las</w:t>
      </w:r>
      <w:r>
        <w:rPr>
          <w:spacing w:val="-10"/>
          <w:w w:val="105"/>
        </w:rPr>
        <w:t xml:space="preserve"> </w:t>
      </w:r>
      <w:r>
        <w:rPr>
          <w:w w:val="105"/>
        </w:rPr>
        <w:t>que</w:t>
      </w:r>
      <w:r>
        <w:rPr>
          <w:spacing w:val="-10"/>
          <w:w w:val="105"/>
        </w:rPr>
        <w:t xml:space="preserve"> </w:t>
      </w:r>
      <w:r>
        <w:rPr>
          <w:w w:val="105"/>
        </w:rPr>
        <w:t>se</w:t>
      </w:r>
      <w:r>
        <w:rPr>
          <w:spacing w:val="-10"/>
          <w:w w:val="105"/>
        </w:rPr>
        <w:t xml:space="preserve"> </w:t>
      </w:r>
      <w:r>
        <w:rPr>
          <w:w w:val="105"/>
        </w:rPr>
        <w:t>adoptan</w:t>
      </w:r>
      <w:r>
        <w:rPr>
          <w:spacing w:val="-10"/>
          <w:w w:val="105"/>
        </w:rPr>
        <w:t xml:space="preserve"> </w:t>
      </w:r>
      <w:r>
        <w:rPr>
          <w:w w:val="105"/>
        </w:rPr>
        <w:t>deberes</w:t>
      </w:r>
      <w:r>
        <w:rPr>
          <w:spacing w:val="-10"/>
          <w:w w:val="105"/>
        </w:rPr>
        <w:t xml:space="preserve"> </w:t>
      </w:r>
      <w:r>
        <w:rPr>
          <w:w w:val="105"/>
        </w:rPr>
        <w:t>estatutarios</w:t>
      </w:r>
      <w:r>
        <w:rPr>
          <w:spacing w:val="-11"/>
          <w:w w:val="105"/>
        </w:rPr>
        <w:t xml:space="preserve"> </w:t>
      </w:r>
      <w:r>
        <w:rPr>
          <w:w w:val="105"/>
        </w:rPr>
        <w:t>de</w:t>
      </w:r>
      <w:r>
        <w:rPr>
          <w:spacing w:val="-10"/>
          <w:w w:val="105"/>
        </w:rPr>
        <w:t xml:space="preserve"> </w:t>
      </w:r>
      <w:r>
        <w:rPr>
          <w:w w:val="105"/>
        </w:rPr>
        <w:t>igualdad,</w:t>
      </w:r>
      <w:r>
        <w:rPr>
          <w:spacing w:val="-9"/>
          <w:w w:val="105"/>
        </w:rPr>
        <w:t xml:space="preserve"> </w:t>
      </w:r>
      <w:r>
        <w:rPr>
          <w:w w:val="105"/>
        </w:rPr>
        <w:t>de</w:t>
      </w:r>
      <w:r>
        <w:rPr>
          <w:spacing w:val="-10"/>
          <w:w w:val="105"/>
        </w:rPr>
        <w:t xml:space="preserve"> </w:t>
      </w:r>
      <w:r>
        <w:rPr>
          <w:w w:val="105"/>
        </w:rPr>
        <w:t>la</w:t>
      </w:r>
      <w:r>
        <w:rPr>
          <w:spacing w:val="-10"/>
          <w:w w:val="105"/>
        </w:rPr>
        <w:t xml:space="preserve"> </w:t>
      </w:r>
      <w:r>
        <w:rPr>
          <w:w w:val="105"/>
        </w:rPr>
        <w:t>práctica</w:t>
      </w:r>
      <w:r>
        <w:rPr>
          <w:spacing w:val="-10"/>
          <w:w w:val="105"/>
        </w:rPr>
        <w:t xml:space="preserve"> </w:t>
      </w:r>
      <w:r>
        <w:rPr>
          <w:w w:val="105"/>
        </w:rPr>
        <w:t>de</w:t>
      </w:r>
      <w:r>
        <w:rPr>
          <w:spacing w:val="-10"/>
          <w:w w:val="105"/>
        </w:rPr>
        <w:t xml:space="preserve"> </w:t>
      </w:r>
      <w:r>
        <w:rPr>
          <w:w w:val="105"/>
        </w:rPr>
        <w:t>los</w:t>
      </w:r>
      <w:r>
        <w:rPr>
          <w:spacing w:val="-10"/>
          <w:w w:val="105"/>
        </w:rPr>
        <w:t xml:space="preserve"> </w:t>
      </w:r>
      <w:r>
        <w:rPr>
          <w:w w:val="105"/>
        </w:rPr>
        <w:t>órganos</w:t>
      </w:r>
      <w:r>
        <w:rPr>
          <w:spacing w:val="-10"/>
          <w:w w:val="105"/>
        </w:rPr>
        <w:t xml:space="preserve"> </w:t>
      </w:r>
      <w:r>
        <w:rPr>
          <w:w w:val="105"/>
        </w:rPr>
        <w:t>creados</w:t>
      </w:r>
      <w:r>
        <w:rPr>
          <w:spacing w:val="-10"/>
          <w:w w:val="105"/>
        </w:rPr>
        <w:t xml:space="preserve"> </w:t>
      </w:r>
      <w:r>
        <w:rPr>
          <w:w w:val="105"/>
        </w:rPr>
        <w:t>en</w:t>
      </w:r>
      <w:r>
        <w:rPr>
          <w:spacing w:val="-10"/>
          <w:w w:val="105"/>
        </w:rPr>
        <w:t xml:space="preserve"> </w:t>
      </w:r>
      <w:r>
        <w:rPr>
          <w:w w:val="105"/>
        </w:rPr>
        <w:t>virtud</w:t>
      </w:r>
      <w:r>
        <w:rPr>
          <w:spacing w:val="-10"/>
          <w:w w:val="105"/>
        </w:rPr>
        <w:t xml:space="preserve"> </w:t>
      </w:r>
      <w:r>
        <w:rPr>
          <w:w w:val="105"/>
        </w:rPr>
        <w:t>de</w:t>
      </w:r>
      <w:r>
        <w:rPr>
          <w:spacing w:val="-10"/>
          <w:w w:val="105"/>
        </w:rPr>
        <w:t xml:space="preserve"> </w:t>
      </w:r>
      <w:r>
        <w:rPr>
          <w:w w:val="105"/>
        </w:rPr>
        <w:t>tratados y</w:t>
      </w:r>
      <w:r>
        <w:rPr>
          <w:spacing w:val="-5"/>
          <w:w w:val="105"/>
        </w:rPr>
        <w:t xml:space="preserve"> </w:t>
      </w:r>
      <w:r>
        <w:rPr>
          <w:w w:val="105"/>
        </w:rPr>
        <w:t>procedimientos</w:t>
      </w:r>
      <w:r>
        <w:rPr>
          <w:spacing w:val="-6"/>
          <w:w w:val="105"/>
        </w:rPr>
        <w:t xml:space="preserve"> </w:t>
      </w:r>
      <w:r>
        <w:rPr>
          <w:w w:val="105"/>
        </w:rPr>
        <w:t>especiales</w:t>
      </w:r>
      <w:r>
        <w:rPr>
          <w:spacing w:val="-5"/>
          <w:w w:val="105"/>
        </w:rPr>
        <w:t xml:space="preserve"> </w:t>
      </w:r>
      <w:r>
        <w:rPr>
          <w:w w:val="105"/>
        </w:rPr>
        <w:t>de</w:t>
      </w:r>
      <w:r>
        <w:rPr>
          <w:spacing w:val="-5"/>
          <w:w w:val="105"/>
        </w:rPr>
        <w:t xml:space="preserve"> </w:t>
      </w:r>
      <w:r>
        <w:rPr>
          <w:w w:val="105"/>
        </w:rPr>
        <w:t>las</w:t>
      </w:r>
      <w:r>
        <w:rPr>
          <w:spacing w:val="-5"/>
          <w:w w:val="105"/>
        </w:rPr>
        <w:t xml:space="preserve"> </w:t>
      </w:r>
      <w:r>
        <w:rPr>
          <w:w w:val="105"/>
        </w:rPr>
        <w:t>Naciones</w:t>
      </w:r>
      <w:r>
        <w:rPr>
          <w:spacing w:val="-5"/>
          <w:w w:val="105"/>
        </w:rPr>
        <w:t xml:space="preserve"> </w:t>
      </w:r>
      <w:r>
        <w:rPr>
          <w:w w:val="105"/>
        </w:rPr>
        <w:t>Unidas</w:t>
      </w:r>
      <w:r>
        <w:rPr>
          <w:spacing w:val="-5"/>
          <w:w w:val="105"/>
        </w:rPr>
        <w:t xml:space="preserve"> </w:t>
      </w:r>
      <w:r>
        <w:rPr>
          <w:w w:val="105"/>
        </w:rPr>
        <w:t>se</w:t>
      </w:r>
      <w:r>
        <w:rPr>
          <w:spacing w:val="-5"/>
          <w:w w:val="105"/>
        </w:rPr>
        <w:t xml:space="preserve"> </w:t>
      </w:r>
      <w:r>
        <w:rPr>
          <w:w w:val="105"/>
        </w:rPr>
        <w:t>desprende</w:t>
      </w:r>
      <w:r>
        <w:rPr>
          <w:spacing w:val="-5"/>
          <w:w w:val="105"/>
        </w:rPr>
        <w:t xml:space="preserve"> </w:t>
      </w:r>
      <w:r>
        <w:rPr>
          <w:w w:val="105"/>
        </w:rPr>
        <w:t>claramente</w:t>
      </w:r>
      <w:r>
        <w:rPr>
          <w:spacing w:val="-5"/>
          <w:w w:val="105"/>
        </w:rPr>
        <w:t xml:space="preserve"> </w:t>
      </w:r>
      <w:r>
        <w:rPr>
          <w:w w:val="105"/>
        </w:rPr>
        <w:t>que</w:t>
      </w:r>
      <w:r>
        <w:rPr>
          <w:spacing w:val="-5"/>
          <w:w w:val="105"/>
        </w:rPr>
        <w:t xml:space="preserve"> </w:t>
      </w:r>
      <w:r>
        <w:rPr>
          <w:w w:val="105"/>
        </w:rPr>
        <w:t>deben</w:t>
      </w:r>
      <w:r>
        <w:rPr>
          <w:spacing w:val="-5"/>
          <w:w w:val="105"/>
        </w:rPr>
        <w:t xml:space="preserve"> </w:t>
      </w:r>
      <w:r>
        <w:rPr>
          <w:w w:val="105"/>
        </w:rPr>
        <w:t>cumplir</w:t>
      </w:r>
      <w:r>
        <w:rPr>
          <w:spacing w:val="-5"/>
          <w:w w:val="105"/>
        </w:rPr>
        <w:t xml:space="preserve"> </w:t>
      </w:r>
      <w:r>
        <w:rPr>
          <w:w w:val="105"/>
        </w:rPr>
        <w:t>algunos</w:t>
      </w:r>
      <w:r>
        <w:rPr>
          <w:spacing w:val="-5"/>
          <w:w w:val="105"/>
        </w:rPr>
        <w:t xml:space="preserve"> </w:t>
      </w:r>
      <w:r>
        <w:rPr>
          <w:w w:val="105"/>
        </w:rPr>
        <w:t>requisitos</w:t>
      </w:r>
      <w:r>
        <w:rPr>
          <w:spacing w:val="-5"/>
          <w:w w:val="105"/>
        </w:rPr>
        <w:t xml:space="preserve"> </w:t>
      </w:r>
      <w:r>
        <w:rPr>
          <w:w w:val="105"/>
        </w:rPr>
        <w:t>mínimos básicos.</w:t>
      </w:r>
      <w:r>
        <w:rPr>
          <w:spacing w:val="-4"/>
          <w:w w:val="105"/>
        </w:rPr>
        <w:t xml:space="preserve"> </w:t>
      </w:r>
      <w:r>
        <w:rPr>
          <w:w w:val="105"/>
        </w:rPr>
        <w:t>En</w:t>
      </w:r>
      <w:r>
        <w:rPr>
          <w:spacing w:val="-5"/>
          <w:w w:val="105"/>
        </w:rPr>
        <w:t xml:space="preserve"> </w:t>
      </w:r>
      <w:r>
        <w:rPr>
          <w:w w:val="105"/>
        </w:rPr>
        <w:t>particular,</w:t>
      </w:r>
      <w:r>
        <w:rPr>
          <w:spacing w:val="-4"/>
          <w:w w:val="105"/>
        </w:rPr>
        <w:t xml:space="preserve"> </w:t>
      </w:r>
      <w:r>
        <w:rPr>
          <w:w w:val="105"/>
        </w:rPr>
        <w:t>estos</w:t>
      </w:r>
      <w:r>
        <w:rPr>
          <w:spacing w:val="-5"/>
          <w:w w:val="105"/>
        </w:rPr>
        <w:t xml:space="preserve"> </w:t>
      </w:r>
      <w:r>
        <w:rPr>
          <w:w w:val="105"/>
        </w:rPr>
        <w:t>deberes</w:t>
      </w:r>
      <w:r>
        <w:rPr>
          <w:spacing w:val="-5"/>
          <w:w w:val="105"/>
        </w:rPr>
        <w:t xml:space="preserve"> </w:t>
      </w:r>
      <w:r>
        <w:rPr>
          <w:w w:val="105"/>
        </w:rPr>
        <w:t>deben</w:t>
      </w:r>
      <w:r>
        <w:rPr>
          <w:spacing w:val="-5"/>
          <w:w w:val="105"/>
        </w:rPr>
        <w:t xml:space="preserve"> </w:t>
      </w:r>
      <w:r>
        <w:rPr>
          <w:w w:val="105"/>
        </w:rPr>
        <w:t>cubrir</w:t>
      </w:r>
      <w:r>
        <w:rPr>
          <w:spacing w:val="-5"/>
          <w:w w:val="105"/>
        </w:rPr>
        <w:t xml:space="preserve"> </w:t>
      </w:r>
      <w:r>
        <w:rPr>
          <w:w w:val="105"/>
        </w:rPr>
        <w:t>formas</w:t>
      </w:r>
      <w:r>
        <w:rPr>
          <w:spacing w:val="-5"/>
          <w:w w:val="105"/>
        </w:rPr>
        <w:t xml:space="preserve"> </w:t>
      </w:r>
      <w:r>
        <w:rPr>
          <w:w w:val="105"/>
        </w:rPr>
        <w:t>interseccionales</w:t>
      </w:r>
      <w:r>
        <w:rPr>
          <w:spacing w:val="-6"/>
          <w:w w:val="105"/>
        </w:rPr>
        <w:t xml:space="preserve"> </w:t>
      </w:r>
      <w:r>
        <w:rPr>
          <w:w w:val="105"/>
        </w:rPr>
        <w:t>de</w:t>
      </w:r>
      <w:r>
        <w:rPr>
          <w:spacing w:val="-5"/>
          <w:w w:val="105"/>
        </w:rPr>
        <w:t xml:space="preserve"> </w:t>
      </w:r>
      <w:r>
        <w:rPr>
          <w:w w:val="105"/>
        </w:rPr>
        <w:t>discriminación,563</w:t>
      </w:r>
      <w:r>
        <w:rPr>
          <w:spacing w:val="-5"/>
          <w:w w:val="105"/>
        </w:rPr>
        <w:t xml:space="preserve"> </w:t>
      </w:r>
      <w:r>
        <w:rPr>
          <w:w w:val="105"/>
        </w:rPr>
        <w:t>deben</w:t>
      </w:r>
      <w:r>
        <w:rPr>
          <w:spacing w:val="-5"/>
          <w:w w:val="105"/>
        </w:rPr>
        <w:t xml:space="preserve"> </w:t>
      </w:r>
      <w:r>
        <w:rPr>
          <w:w w:val="105"/>
        </w:rPr>
        <w:t>aplicarse</w:t>
      </w:r>
      <w:r>
        <w:rPr>
          <w:spacing w:val="-5"/>
          <w:w w:val="105"/>
        </w:rPr>
        <w:t xml:space="preserve"> </w:t>
      </w:r>
      <w:r>
        <w:rPr>
          <w:w w:val="105"/>
        </w:rPr>
        <w:t>de</w:t>
      </w:r>
      <w:r>
        <w:rPr>
          <w:spacing w:val="-5"/>
          <w:w w:val="105"/>
        </w:rPr>
        <w:t xml:space="preserve"> </w:t>
      </w:r>
      <w:r>
        <w:rPr>
          <w:w w:val="105"/>
        </w:rPr>
        <w:t>manera uniforme</w:t>
      </w:r>
      <w:r>
        <w:rPr>
          <w:spacing w:val="-4"/>
          <w:w w:val="105"/>
        </w:rPr>
        <w:t xml:space="preserve"> </w:t>
      </w:r>
      <w:r>
        <w:rPr>
          <w:w w:val="105"/>
        </w:rPr>
        <w:t>en</w:t>
      </w:r>
      <w:r>
        <w:rPr>
          <w:spacing w:val="-4"/>
          <w:w w:val="105"/>
        </w:rPr>
        <w:t xml:space="preserve"> </w:t>
      </w:r>
      <w:r>
        <w:rPr>
          <w:w w:val="105"/>
        </w:rPr>
        <w:t>todos</w:t>
      </w:r>
      <w:r>
        <w:rPr>
          <w:spacing w:val="-4"/>
          <w:w w:val="105"/>
        </w:rPr>
        <w:t xml:space="preserve"> </w:t>
      </w:r>
      <w:r>
        <w:rPr>
          <w:w w:val="105"/>
        </w:rPr>
        <w:t>los</w:t>
      </w:r>
      <w:r>
        <w:rPr>
          <w:spacing w:val="-4"/>
          <w:w w:val="105"/>
        </w:rPr>
        <w:t xml:space="preserve"> </w:t>
      </w:r>
      <w:r>
        <w:rPr>
          <w:w w:val="105"/>
        </w:rPr>
        <w:t>organismos</w:t>
      </w:r>
      <w:r>
        <w:rPr>
          <w:spacing w:val="-4"/>
          <w:w w:val="105"/>
        </w:rPr>
        <w:t xml:space="preserve"> </w:t>
      </w:r>
      <w:r>
        <w:rPr>
          <w:w w:val="105"/>
        </w:rPr>
        <w:t>públicos,564</w:t>
      </w:r>
      <w:r>
        <w:rPr>
          <w:spacing w:val="-4"/>
          <w:w w:val="105"/>
        </w:rPr>
        <w:t xml:space="preserve"> </w:t>
      </w:r>
      <w:r>
        <w:rPr>
          <w:w w:val="105"/>
        </w:rPr>
        <w:t>en</w:t>
      </w:r>
      <w:r>
        <w:rPr>
          <w:spacing w:val="-4"/>
          <w:w w:val="105"/>
        </w:rPr>
        <w:t xml:space="preserve"> </w:t>
      </w:r>
      <w:r>
        <w:rPr>
          <w:w w:val="105"/>
        </w:rPr>
        <w:t>múltiples</w:t>
      </w:r>
      <w:r>
        <w:rPr>
          <w:spacing w:val="-4"/>
          <w:w w:val="105"/>
        </w:rPr>
        <w:t xml:space="preserve"> </w:t>
      </w:r>
      <w:r>
        <w:rPr>
          <w:w w:val="105"/>
        </w:rPr>
        <w:t>áreas</w:t>
      </w:r>
      <w:r>
        <w:rPr>
          <w:spacing w:val="-4"/>
          <w:w w:val="105"/>
        </w:rPr>
        <w:t xml:space="preserve"> </w:t>
      </w:r>
      <w:r>
        <w:rPr>
          <w:w w:val="105"/>
        </w:rPr>
        <w:t>de</w:t>
      </w:r>
      <w:r>
        <w:rPr>
          <w:spacing w:val="-4"/>
          <w:w w:val="105"/>
        </w:rPr>
        <w:t xml:space="preserve"> </w:t>
      </w:r>
      <w:r>
        <w:rPr>
          <w:w w:val="105"/>
        </w:rPr>
        <w:t>la</w:t>
      </w:r>
      <w:r>
        <w:rPr>
          <w:spacing w:val="-4"/>
          <w:w w:val="105"/>
        </w:rPr>
        <w:t xml:space="preserve"> </w:t>
      </w:r>
      <w:r>
        <w:rPr>
          <w:w w:val="105"/>
        </w:rPr>
        <w:t>vida565</w:t>
      </w:r>
      <w:r>
        <w:rPr>
          <w:spacing w:val="-4"/>
          <w:w w:val="105"/>
        </w:rPr>
        <w:t xml:space="preserve"> </w:t>
      </w:r>
      <w:r>
        <w:rPr>
          <w:w w:val="105"/>
        </w:rPr>
        <w:t>y</w:t>
      </w:r>
      <w:r>
        <w:rPr>
          <w:spacing w:val="-4"/>
          <w:w w:val="105"/>
        </w:rPr>
        <w:t xml:space="preserve"> </w:t>
      </w:r>
      <w:r>
        <w:rPr>
          <w:w w:val="105"/>
        </w:rPr>
        <w:t>deben</w:t>
      </w:r>
      <w:r>
        <w:rPr>
          <w:spacing w:val="-4"/>
          <w:w w:val="105"/>
        </w:rPr>
        <w:t xml:space="preserve"> </w:t>
      </w:r>
      <w:r>
        <w:rPr>
          <w:w w:val="105"/>
        </w:rPr>
        <w:t>ir</w:t>
      </w:r>
      <w:r>
        <w:rPr>
          <w:spacing w:val="-4"/>
          <w:w w:val="105"/>
        </w:rPr>
        <w:t xml:space="preserve"> </w:t>
      </w:r>
      <w:r>
        <w:rPr>
          <w:w w:val="105"/>
        </w:rPr>
        <w:t>acompañados</w:t>
      </w:r>
      <w:r>
        <w:rPr>
          <w:spacing w:val="-4"/>
          <w:w w:val="105"/>
        </w:rPr>
        <w:t xml:space="preserve"> </w:t>
      </w:r>
      <w:r>
        <w:rPr>
          <w:w w:val="105"/>
        </w:rPr>
        <w:t>de</w:t>
      </w:r>
      <w:r>
        <w:rPr>
          <w:spacing w:val="-4"/>
          <w:w w:val="105"/>
        </w:rPr>
        <w:t xml:space="preserve"> </w:t>
      </w:r>
      <w:r>
        <w:rPr>
          <w:w w:val="105"/>
        </w:rPr>
        <w:t>orientación</w:t>
      </w:r>
      <w:r>
        <w:rPr>
          <w:spacing w:val="-4"/>
          <w:w w:val="105"/>
        </w:rPr>
        <w:t xml:space="preserve"> </w:t>
      </w:r>
      <w:r>
        <w:rPr>
          <w:w w:val="105"/>
        </w:rPr>
        <w:t>legal para</w:t>
      </w:r>
      <w:r>
        <w:rPr>
          <w:spacing w:val="-8"/>
          <w:w w:val="105"/>
        </w:rPr>
        <w:t xml:space="preserve"> </w:t>
      </w:r>
      <w:r>
        <w:rPr>
          <w:w w:val="105"/>
        </w:rPr>
        <w:t>ayudar</w:t>
      </w:r>
      <w:r>
        <w:rPr>
          <w:spacing w:val="-8"/>
          <w:w w:val="105"/>
        </w:rPr>
        <w:t xml:space="preserve"> </w:t>
      </w:r>
      <w:r>
        <w:rPr>
          <w:w w:val="105"/>
        </w:rPr>
        <w:t>a</w:t>
      </w:r>
      <w:r>
        <w:rPr>
          <w:spacing w:val="-8"/>
          <w:w w:val="105"/>
        </w:rPr>
        <w:t xml:space="preserve"> </w:t>
      </w:r>
      <w:r>
        <w:rPr>
          <w:w w:val="105"/>
        </w:rPr>
        <w:t>la</w:t>
      </w:r>
      <w:r>
        <w:rPr>
          <w:spacing w:val="-8"/>
          <w:w w:val="105"/>
        </w:rPr>
        <w:t xml:space="preserve"> </w:t>
      </w:r>
      <w:r>
        <w:rPr>
          <w:w w:val="105"/>
        </w:rPr>
        <w:t>implementación.566</w:t>
      </w:r>
      <w:r>
        <w:rPr>
          <w:spacing w:val="-8"/>
          <w:w w:val="105"/>
        </w:rPr>
        <w:t xml:space="preserve"> </w:t>
      </w:r>
      <w:r>
        <w:rPr>
          <w:w w:val="105"/>
        </w:rPr>
        <w:t>En</w:t>
      </w:r>
      <w:r>
        <w:rPr>
          <w:spacing w:val="-8"/>
          <w:w w:val="105"/>
        </w:rPr>
        <w:t xml:space="preserve"> </w:t>
      </w:r>
      <w:r>
        <w:rPr>
          <w:w w:val="105"/>
        </w:rPr>
        <w:t>situaciones</w:t>
      </w:r>
      <w:r>
        <w:rPr>
          <w:spacing w:val="-8"/>
          <w:w w:val="105"/>
        </w:rPr>
        <w:t xml:space="preserve"> </w:t>
      </w:r>
      <w:r>
        <w:rPr>
          <w:w w:val="105"/>
        </w:rPr>
        <w:t>en</w:t>
      </w:r>
      <w:r>
        <w:rPr>
          <w:spacing w:val="-8"/>
          <w:w w:val="105"/>
        </w:rPr>
        <w:t xml:space="preserve"> </w:t>
      </w:r>
      <w:r>
        <w:rPr>
          <w:w w:val="105"/>
        </w:rPr>
        <w:t>las</w:t>
      </w:r>
      <w:r>
        <w:rPr>
          <w:spacing w:val="-8"/>
          <w:w w:val="105"/>
        </w:rPr>
        <w:t xml:space="preserve"> </w:t>
      </w:r>
      <w:r>
        <w:rPr>
          <w:w w:val="105"/>
        </w:rPr>
        <w:t>que</w:t>
      </w:r>
      <w:r>
        <w:rPr>
          <w:spacing w:val="-8"/>
          <w:w w:val="105"/>
        </w:rPr>
        <w:t xml:space="preserve"> </w:t>
      </w:r>
      <w:r>
        <w:rPr>
          <w:w w:val="105"/>
        </w:rPr>
        <w:t>los</w:t>
      </w:r>
      <w:r>
        <w:rPr>
          <w:spacing w:val="-8"/>
          <w:w w:val="105"/>
        </w:rPr>
        <w:t xml:space="preserve"> </w:t>
      </w:r>
      <w:r>
        <w:rPr>
          <w:w w:val="105"/>
        </w:rPr>
        <w:t>Estados</w:t>
      </w:r>
      <w:r>
        <w:rPr>
          <w:spacing w:val="-9"/>
          <w:w w:val="105"/>
        </w:rPr>
        <w:t xml:space="preserve"> </w:t>
      </w:r>
      <w:r>
        <w:rPr>
          <w:w w:val="105"/>
        </w:rPr>
        <w:t>han</w:t>
      </w:r>
      <w:r>
        <w:rPr>
          <w:spacing w:val="-8"/>
          <w:w w:val="105"/>
        </w:rPr>
        <w:t xml:space="preserve"> </w:t>
      </w:r>
      <w:r>
        <w:rPr>
          <w:w w:val="105"/>
        </w:rPr>
        <w:t>adoptado</w:t>
      </w:r>
      <w:r>
        <w:rPr>
          <w:spacing w:val="-8"/>
          <w:w w:val="105"/>
        </w:rPr>
        <w:t xml:space="preserve"> </w:t>
      </w:r>
      <w:r>
        <w:rPr>
          <w:w w:val="105"/>
        </w:rPr>
        <w:t>deberes</w:t>
      </w:r>
      <w:r>
        <w:rPr>
          <w:spacing w:val="-8"/>
          <w:w w:val="105"/>
        </w:rPr>
        <w:t xml:space="preserve"> </w:t>
      </w:r>
      <w:r>
        <w:rPr>
          <w:w w:val="105"/>
        </w:rPr>
        <w:t>de</w:t>
      </w:r>
      <w:r>
        <w:rPr>
          <w:spacing w:val="-8"/>
          <w:w w:val="105"/>
        </w:rPr>
        <w:t xml:space="preserve"> </w:t>
      </w:r>
      <w:proofErr w:type="gramStart"/>
      <w:r>
        <w:rPr>
          <w:w w:val="105"/>
        </w:rPr>
        <w:t>igualdad</w:t>
      </w:r>
      <w:r>
        <w:rPr>
          <w:spacing w:val="-8"/>
          <w:w w:val="105"/>
        </w:rPr>
        <w:t xml:space="preserve"> </w:t>
      </w:r>
      <w:r>
        <w:rPr>
          <w:w w:val="105"/>
        </w:rPr>
        <w:t>,</w:t>
      </w:r>
      <w:proofErr w:type="gramEnd"/>
      <w:r>
        <w:rPr>
          <w:spacing w:val="-8"/>
          <w:w w:val="105"/>
        </w:rPr>
        <w:t xml:space="preserve"> </w:t>
      </w:r>
      <w:r>
        <w:rPr>
          <w:w w:val="105"/>
        </w:rPr>
        <w:t>es</w:t>
      </w:r>
      <w:r>
        <w:rPr>
          <w:spacing w:val="-8"/>
          <w:w w:val="105"/>
        </w:rPr>
        <w:t xml:space="preserve"> </w:t>
      </w:r>
      <w:r>
        <w:rPr>
          <w:w w:val="105"/>
        </w:rPr>
        <w:t>importante que</w:t>
      </w:r>
      <w:r>
        <w:rPr>
          <w:spacing w:val="-1"/>
          <w:w w:val="105"/>
        </w:rPr>
        <w:t xml:space="preserve"> </w:t>
      </w:r>
      <w:r>
        <w:rPr>
          <w:w w:val="105"/>
        </w:rPr>
        <w:t>estén</w:t>
      </w:r>
      <w:r>
        <w:rPr>
          <w:spacing w:val="-1"/>
          <w:w w:val="105"/>
        </w:rPr>
        <w:t xml:space="preserve"> </w:t>
      </w:r>
      <w:r>
        <w:rPr>
          <w:w w:val="105"/>
        </w:rPr>
        <w:t>sujetos</w:t>
      </w:r>
      <w:r>
        <w:rPr>
          <w:spacing w:val="-1"/>
          <w:w w:val="105"/>
        </w:rPr>
        <w:t xml:space="preserve"> </w:t>
      </w:r>
      <w:r>
        <w:rPr>
          <w:w w:val="105"/>
        </w:rPr>
        <w:t>a</w:t>
      </w:r>
      <w:r>
        <w:rPr>
          <w:spacing w:val="-1"/>
          <w:w w:val="105"/>
        </w:rPr>
        <w:t xml:space="preserve"> </w:t>
      </w:r>
      <w:r>
        <w:rPr>
          <w:w w:val="105"/>
        </w:rPr>
        <w:t>mecanismos</w:t>
      </w:r>
      <w:r>
        <w:rPr>
          <w:spacing w:val="-1"/>
          <w:w w:val="105"/>
        </w:rPr>
        <w:t xml:space="preserve"> </w:t>
      </w:r>
      <w:r>
        <w:rPr>
          <w:w w:val="105"/>
        </w:rPr>
        <w:t>legales</w:t>
      </w:r>
      <w:r>
        <w:rPr>
          <w:spacing w:val="-1"/>
          <w:w w:val="105"/>
        </w:rPr>
        <w:t xml:space="preserve"> </w:t>
      </w:r>
      <w:r>
        <w:rPr>
          <w:w w:val="105"/>
        </w:rPr>
        <w:t>claros</w:t>
      </w:r>
      <w:r>
        <w:rPr>
          <w:spacing w:val="-1"/>
          <w:w w:val="105"/>
        </w:rPr>
        <w:t xml:space="preserve"> </w:t>
      </w:r>
      <w:r>
        <w:rPr>
          <w:w w:val="105"/>
        </w:rPr>
        <w:t>de</w:t>
      </w:r>
      <w:r>
        <w:rPr>
          <w:spacing w:val="-1"/>
          <w:w w:val="105"/>
        </w:rPr>
        <w:t xml:space="preserve"> </w:t>
      </w:r>
      <w:r>
        <w:rPr>
          <w:w w:val="105"/>
        </w:rPr>
        <w:t>aplicación</w:t>
      </w:r>
      <w:r>
        <w:rPr>
          <w:spacing w:val="-1"/>
          <w:w w:val="105"/>
        </w:rPr>
        <w:t xml:space="preserve"> </w:t>
      </w:r>
      <w:r>
        <w:rPr>
          <w:w w:val="105"/>
        </w:rPr>
        <w:t>para</w:t>
      </w:r>
      <w:r>
        <w:rPr>
          <w:spacing w:val="-1"/>
          <w:w w:val="105"/>
        </w:rPr>
        <w:t xml:space="preserve"> </w:t>
      </w:r>
      <w:r>
        <w:rPr>
          <w:w w:val="105"/>
        </w:rPr>
        <w:t>garantizar</w:t>
      </w:r>
      <w:r>
        <w:rPr>
          <w:spacing w:val="-1"/>
          <w:w w:val="105"/>
        </w:rPr>
        <w:t xml:space="preserve"> </w:t>
      </w:r>
      <w:r>
        <w:rPr>
          <w:w w:val="105"/>
        </w:rPr>
        <w:t>su</w:t>
      </w:r>
      <w:r>
        <w:rPr>
          <w:spacing w:val="-1"/>
          <w:w w:val="105"/>
        </w:rPr>
        <w:t xml:space="preserve"> </w:t>
      </w:r>
      <w:r>
        <w:rPr>
          <w:w w:val="105"/>
        </w:rPr>
        <w:t>eficacia.567</w:t>
      </w:r>
    </w:p>
    <w:p w14:paraId="091339EA" w14:textId="77777777" w:rsidR="0014798C" w:rsidRDefault="0014798C">
      <w:pPr>
        <w:pStyle w:val="Textoindependiente"/>
        <w:rPr>
          <w:sz w:val="12"/>
        </w:rPr>
      </w:pPr>
    </w:p>
    <w:p w14:paraId="41A17F54" w14:textId="77777777" w:rsidR="0014798C" w:rsidRDefault="0014798C">
      <w:pPr>
        <w:pStyle w:val="Textoindependiente"/>
        <w:rPr>
          <w:sz w:val="12"/>
        </w:rPr>
      </w:pPr>
    </w:p>
    <w:p w14:paraId="6B9E91A1" w14:textId="77777777" w:rsidR="0014798C" w:rsidRDefault="0014798C">
      <w:pPr>
        <w:pStyle w:val="Textoindependiente"/>
        <w:rPr>
          <w:sz w:val="12"/>
        </w:rPr>
      </w:pPr>
    </w:p>
    <w:p w14:paraId="3D45BEB5" w14:textId="77777777" w:rsidR="0014798C" w:rsidRDefault="0014798C">
      <w:pPr>
        <w:pStyle w:val="Textoindependiente"/>
        <w:rPr>
          <w:sz w:val="12"/>
        </w:rPr>
      </w:pPr>
    </w:p>
    <w:p w14:paraId="37B1EAEA" w14:textId="77777777" w:rsidR="0014798C" w:rsidRDefault="0014798C">
      <w:pPr>
        <w:pStyle w:val="Textoindependiente"/>
        <w:rPr>
          <w:sz w:val="12"/>
        </w:rPr>
      </w:pPr>
    </w:p>
    <w:p w14:paraId="3F8DDF96" w14:textId="77777777" w:rsidR="0014798C" w:rsidRDefault="0014798C">
      <w:pPr>
        <w:pStyle w:val="Textoindependiente"/>
        <w:rPr>
          <w:sz w:val="12"/>
        </w:rPr>
      </w:pPr>
    </w:p>
    <w:p w14:paraId="40C74965" w14:textId="77777777" w:rsidR="0014798C" w:rsidRDefault="0014798C">
      <w:pPr>
        <w:pStyle w:val="Textoindependiente"/>
        <w:rPr>
          <w:sz w:val="12"/>
        </w:rPr>
      </w:pPr>
    </w:p>
    <w:p w14:paraId="3857819B" w14:textId="77777777" w:rsidR="0014798C" w:rsidRDefault="0014798C">
      <w:pPr>
        <w:pStyle w:val="Textoindependiente"/>
        <w:rPr>
          <w:sz w:val="12"/>
        </w:rPr>
      </w:pPr>
    </w:p>
    <w:p w14:paraId="1013EFF4" w14:textId="77777777" w:rsidR="0014798C" w:rsidRDefault="0014798C">
      <w:pPr>
        <w:pStyle w:val="Textoindependiente"/>
        <w:rPr>
          <w:sz w:val="12"/>
        </w:rPr>
      </w:pPr>
    </w:p>
    <w:p w14:paraId="67E9128B" w14:textId="77777777" w:rsidR="0014798C" w:rsidRDefault="0014798C">
      <w:pPr>
        <w:pStyle w:val="Textoindependiente"/>
        <w:rPr>
          <w:sz w:val="12"/>
        </w:rPr>
      </w:pPr>
    </w:p>
    <w:p w14:paraId="73795375" w14:textId="77777777" w:rsidR="0014798C" w:rsidRDefault="0014798C">
      <w:pPr>
        <w:pStyle w:val="Textoindependiente"/>
        <w:rPr>
          <w:sz w:val="12"/>
        </w:rPr>
      </w:pPr>
    </w:p>
    <w:p w14:paraId="10839E1A" w14:textId="77777777" w:rsidR="0014798C" w:rsidRDefault="0014798C">
      <w:pPr>
        <w:pStyle w:val="Textoindependiente"/>
        <w:rPr>
          <w:sz w:val="12"/>
        </w:rPr>
      </w:pPr>
    </w:p>
    <w:p w14:paraId="245502D2" w14:textId="77777777" w:rsidR="0014798C" w:rsidRDefault="0014798C">
      <w:pPr>
        <w:pStyle w:val="Textoindependiente"/>
        <w:rPr>
          <w:sz w:val="12"/>
        </w:rPr>
      </w:pPr>
    </w:p>
    <w:p w14:paraId="6C59EEAE" w14:textId="77777777" w:rsidR="0014798C" w:rsidRDefault="0014798C">
      <w:pPr>
        <w:pStyle w:val="Textoindependiente"/>
        <w:rPr>
          <w:sz w:val="12"/>
        </w:rPr>
      </w:pPr>
    </w:p>
    <w:p w14:paraId="5126727C" w14:textId="77777777" w:rsidR="0014798C" w:rsidRDefault="0014798C">
      <w:pPr>
        <w:pStyle w:val="Textoindependiente"/>
        <w:rPr>
          <w:sz w:val="12"/>
        </w:rPr>
      </w:pPr>
    </w:p>
    <w:p w14:paraId="4B02E0D4" w14:textId="77777777" w:rsidR="0014798C" w:rsidRDefault="0014798C">
      <w:pPr>
        <w:pStyle w:val="Textoindependiente"/>
        <w:rPr>
          <w:sz w:val="12"/>
        </w:rPr>
      </w:pPr>
    </w:p>
    <w:p w14:paraId="4878006E" w14:textId="77777777" w:rsidR="0014798C" w:rsidRDefault="0014798C">
      <w:pPr>
        <w:pStyle w:val="Textoindependiente"/>
        <w:rPr>
          <w:sz w:val="12"/>
        </w:rPr>
      </w:pPr>
    </w:p>
    <w:p w14:paraId="3EB54684" w14:textId="77777777" w:rsidR="0014798C" w:rsidRDefault="0014798C">
      <w:pPr>
        <w:pStyle w:val="Textoindependiente"/>
        <w:rPr>
          <w:sz w:val="12"/>
        </w:rPr>
      </w:pPr>
    </w:p>
    <w:p w14:paraId="4B5F0587" w14:textId="77777777" w:rsidR="0014798C" w:rsidRDefault="0014798C">
      <w:pPr>
        <w:pStyle w:val="Textoindependiente"/>
        <w:rPr>
          <w:sz w:val="12"/>
        </w:rPr>
      </w:pPr>
    </w:p>
    <w:p w14:paraId="1763E223" w14:textId="77777777" w:rsidR="0014798C" w:rsidRDefault="0014798C">
      <w:pPr>
        <w:pStyle w:val="Textoindependiente"/>
        <w:rPr>
          <w:sz w:val="12"/>
        </w:rPr>
      </w:pPr>
    </w:p>
    <w:p w14:paraId="6DE7273D" w14:textId="77777777" w:rsidR="0014798C" w:rsidRDefault="0014798C">
      <w:pPr>
        <w:pStyle w:val="Textoindependiente"/>
        <w:rPr>
          <w:sz w:val="12"/>
        </w:rPr>
      </w:pPr>
    </w:p>
    <w:p w14:paraId="57D936C9" w14:textId="77777777" w:rsidR="0014798C" w:rsidRDefault="0014798C">
      <w:pPr>
        <w:pStyle w:val="Textoindependiente"/>
        <w:rPr>
          <w:sz w:val="12"/>
        </w:rPr>
      </w:pPr>
    </w:p>
    <w:p w14:paraId="43179EF3" w14:textId="77777777" w:rsidR="0014798C" w:rsidRDefault="0014798C">
      <w:pPr>
        <w:pStyle w:val="Textoindependiente"/>
        <w:rPr>
          <w:sz w:val="12"/>
        </w:rPr>
      </w:pPr>
    </w:p>
    <w:p w14:paraId="7C39B9A0" w14:textId="77777777" w:rsidR="0014798C" w:rsidRDefault="0014798C">
      <w:pPr>
        <w:pStyle w:val="Textoindependiente"/>
        <w:rPr>
          <w:sz w:val="12"/>
        </w:rPr>
      </w:pPr>
    </w:p>
    <w:p w14:paraId="4D9317CD" w14:textId="77777777" w:rsidR="0014798C" w:rsidRDefault="0014798C">
      <w:pPr>
        <w:pStyle w:val="Textoindependiente"/>
        <w:rPr>
          <w:sz w:val="12"/>
        </w:rPr>
      </w:pPr>
    </w:p>
    <w:p w14:paraId="1F04E3E0" w14:textId="77777777" w:rsidR="0014798C" w:rsidRDefault="0014798C">
      <w:pPr>
        <w:pStyle w:val="Textoindependiente"/>
        <w:rPr>
          <w:sz w:val="12"/>
        </w:rPr>
      </w:pPr>
    </w:p>
    <w:p w14:paraId="19A6B808" w14:textId="77777777" w:rsidR="0014798C" w:rsidRDefault="0014798C">
      <w:pPr>
        <w:pStyle w:val="Textoindependiente"/>
        <w:rPr>
          <w:sz w:val="12"/>
        </w:rPr>
      </w:pPr>
    </w:p>
    <w:p w14:paraId="2BEED277" w14:textId="77777777" w:rsidR="0014798C" w:rsidRDefault="0014798C">
      <w:pPr>
        <w:pStyle w:val="Textoindependiente"/>
        <w:rPr>
          <w:sz w:val="12"/>
        </w:rPr>
      </w:pPr>
    </w:p>
    <w:p w14:paraId="040CE49E" w14:textId="77777777" w:rsidR="0014798C" w:rsidRDefault="0014798C">
      <w:pPr>
        <w:pStyle w:val="Textoindependiente"/>
        <w:rPr>
          <w:sz w:val="12"/>
        </w:rPr>
      </w:pPr>
    </w:p>
    <w:p w14:paraId="7DAB3C83" w14:textId="77777777" w:rsidR="0014798C" w:rsidRDefault="0014798C">
      <w:pPr>
        <w:pStyle w:val="Textoindependiente"/>
        <w:rPr>
          <w:sz w:val="12"/>
        </w:rPr>
      </w:pPr>
    </w:p>
    <w:p w14:paraId="2D3D79DB" w14:textId="77777777" w:rsidR="0014798C" w:rsidRDefault="0014798C">
      <w:pPr>
        <w:pStyle w:val="Textoindependiente"/>
        <w:rPr>
          <w:sz w:val="12"/>
        </w:rPr>
      </w:pPr>
    </w:p>
    <w:p w14:paraId="2A78A199" w14:textId="77777777" w:rsidR="0014798C" w:rsidRDefault="0014798C">
      <w:pPr>
        <w:pStyle w:val="Textoindependiente"/>
        <w:rPr>
          <w:sz w:val="12"/>
        </w:rPr>
      </w:pPr>
    </w:p>
    <w:p w14:paraId="70DC38A8" w14:textId="77777777" w:rsidR="0014798C" w:rsidRDefault="0014798C">
      <w:pPr>
        <w:pStyle w:val="Textoindependiente"/>
        <w:rPr>
          <w:sz w:val="12"/>
        </w:rPr>
      </w:pPr>
    </w:p>
    <w:p w14:paraId="4B766936" w14:textId="77777777" w:rsidR="0014798C" w:rsidRDefault="0014798C">
      <w:pPr>
        <w:pStyle w:val="Textoindependiente"/>
        <w:rPr>
          <w:sz w:val="12"/>
        </w:rPr>
      </w:pPr>
    </w:p>
    <w:p w14:paraId="18AF10EA" w14:textId="77777777" w:rsidR="0014798C" w:rsidRDefault="0014798C">
      <w:pPr>
        <w:pStyle w:val="Textoindependiente"/>
        <w:rPr>
          <w:sz w:val="12"/>
        </w:rPr>
      </w:pPr>
    </w:p>
    <w:p w14:paraId="0F28A1C0" w14:textId="77777777" w:rsidR="0014798C" w:rsidRDefault="0014798C">
      <w:pPr>
        <w:pStyle w:val="Textoindependiente"/>
        <w:rPr>
          <w:sz w:val="12"/>
        </w:rPr>
      </w:pPr>
    </w:p>
    <w:p w14:paraId="24D1F3D4" w14:textId="77777777" w:rsidR="0014798C" w:rsidRDefault="0014798C">
      <w:pPr>
        <w:pStyle w:val="Textoindependiente"/>
        <w:rPr>
          <w:sz w:val="12"/>
        </w:rPr>
      </w:pPr>
    </w:p>
    <w:p w14:paraId="2583E4E2" w14:textId="77777777" w:rsidR="0014798C" w:rsidRDefault="0014798C">
      <w:pPr>
        <w:pStyle w:val="Textoindependiente"/>
        <w:rPr>
          <w:sz w:val="12"/>
        </w:rPr>
      </w:pPr>
    </w:p>
    <w:p w14:paraId="4FF075E9" w14:textId="77777777" w:rsidR="0014798C" w:rsidRDefault="0014798C">
      <w:pPr>
        <w:pStyle w:val="Textoindependiente"/>
        <w:rPr>
          <w:sz w:val="12"/>
        </w:rPr>
      </w:pPr>
    </w:p>
    <w:p w14:paraId="56E8543E" w14:textId="77777777" w:rsidR="0014798C" w:rsidRDefault="0014798C">
      <w:pPr>
        <w:pStyle w:val="Textoindependiente"/>
        <w:rPr>
          <w:sz w:val="12"/>
        </w:rPr>
      </w:pPr>
    </w:p>
    <w:p w14:paraId="29F4BE3E" w14:textId="77777777" w:rsidR="0014798C" w:rsidRDefault="0014798C">
      <w:pPr>
        <w:pStyle w:val="Textoindependiente"/>
        <w:rPr>
          <w:sz w:val="12"/>
        </w:rPr>
      </w:pPr>
    </w:p>
    <w:p w14:paraId="2D3323B2" w14:textId="77777777" w:rsidR="0014798C" w:rsidRDefault="0014798C">
      <w:pPr>
        <w:pStyle w:val="Textoindependiente"/>
        <w:rPr>
          <w:sz w:val="12"/>
        </w:rPr>
      </w:pPr>
    </w:p>
    <w:p w14:paraId="1DED2EF8" w14:textId="77777777" w:rsidR="0014798C" w:rsidRDefault="0014798C">
      <w:pPr>
        <w:pStyle w:val="Textoindependiente"/>
        <w:rPr>
          <w:sz w:val="12"/>
        </w:rPr>
      </w:pPr>
    </w:p>
    <w:p w14:paraId="2F2FA8A0" w14:textId="77777777" w:rsidR="0014798C" w:rsidRDefault="0014798C">
      <w:pPr>
        <w:pStyle w:val="Textoindependiente"/>
        <w:rPr>
          <w:sz w:val="12"/>
        </w:rPr>
      </w:pPr>
    </w:p>
    <w:p w14:paraId="5264D55F" w14:textId="77777777" w:rsidR="0014798C" w:rsidRDefault="0014798C">
      <w:pPr>
        <w:pStyle w:val="Textoindependiente"/>
        <w:rPr>
          <w:sz w:val="12"/>
        </w:rPr>
      </w:pPr>
    </w:p>
    <w:p w14:paraId="015A6FCA" w14:textId="77777777" w:rsidR="0014798C" w:rsidRDefault="0014798C">
      <w:pPr>
        <w:pStyle w:val="Textoindependiente"/>
        <w:rPr>
          <w:sz w:val="12"/>
        </w:rPr>
      </w:pPr>
    </w:p>
    <w:p w14:paraId="057F366F" w14:textId="77777777" w:rsidR="0014798C" w:rsidRDefault="0014798C">
      <w:pPr>
        <w:pStyle w:val="Textoindependiente"/>
        <w:spacing w:before="133"/>
        <w:rPr>
          <w:sz w:val="12"/>
        </w:rPr>
      </w:pPr>
    </w:p>
    <w:p w14:paraId="7C57ED94" w14:textId="77777777" w:rsidR="0014798C" w:rsidRDefault="004E1F0B">
      <w:pPr>
        <w:ind w:left="1107"/>
        <w:rPr>
          <w:sz w:val="12"/>
        </w:rPr>
      </w:pPr>
      <w:r>
        <w:rPr>
          <w:w w:val="105"/>
          <w:sz w:val="12"/>
          <w:vertAlign w:val="superscript"/>
        </w:rPr>
        <w:t>563</w:t>
      </w:r>
      <w:r>
        <w:rPr>
          <w:spacing w:val="77"/>
          <w:w w:val="105"/>
          <w:sz w:val="12"/>
        </w:rPr>
        <w:t xml:space="preserve"> </w:t>
      </w:r>
      <w:r>
        <w:rPr>
          <w:w w:val="105"/>
          <w:sz w:val="12"/>
        </w:rPr>
        <w:t>Véase,</w:t>
      </w:r>
      <w:r>
        <w:rPr>
          <w:spacing w:val="-2"/>
          <w:w w:val="105"/>
          <w:sz w:val="12"/>
        </w:rPr>
        <w:t xml:space="preserve"> </w:t>
      </w:r>
      <w:r>
        <w:rPr>
          <w:w w:val="105"/>
          <w:sz w:val="12"/>
        </w:rPr>
        <w:t>por</w:t>
      </w:r>
      <w:r>
        <w:rPr>
          <w:spacing w:val="-4"/>
          <w:w w:val="105"/>
          <w:sz w:val="12"/>
        </w:rPr>
        <w:t xml:space="preserve"> </w:t>
      </w:r>
      <w:r>
        <w:rPr>
          <w:w w:val="105"/>
          <w:sz w:val="12"/>
        </w:rPr>
        <w:t>ejemplo,</w:t>
      </w:r>
      <w:r>
        <w:rPr>
          <w:spacing w:val="-2"/>
          <w:w w:val="105"/>
          <w:sz w:val="12"/>
        </w:rPr>
        <w:t xml:space="preserve"> </w:t>
      </w:r>
      <w:r>
        <w:rPr>
          <w:w w:val="105"/>
          <w:sz w:val="12"/>
        </w:rPr>
        <w:t>CEDAW/C/GBR/CO/8,</w:t>
      </w:r>
      <w:r>
        <w:rPr>
          <w:spacing w:val="-3"/>
          <w:w w:val="105"/>
          <w:sz w:val="12"/>
        </w:rPr>
        <w:t xml:space="preserve"> </w:t>
      </w:r>
      <w:r>
        <w:rPr>
          <w:w w:val="105"/>
          <w:sz w:val="12"/>
        </w:rPr>
        <w:t>párr.</w:t>
      </w:r>
      <w:r>
        <w:rPr>
          <w:spacing w:val="-2"/>
          <w:w w:val="105"/>
          <w:sz w:val="12"/>
        </w:rPr>
        <w:t xml:space="preserve"> 16c).</w:t>
      </w:r>
    </w:p>
    <w:p w14:paraId="54424760" w14:textId="77777777" w:rsidR="0014798C" w:rsidRDefault="0014798C">
      <w:pPr>
        <w:pStyle w:val="Textoindependiente"/>
        <w:spacing w:before="17"/>
        <w:rPr>
          <w:sz w:val="11"/>
        </w:rPr>
      </w:pPr>
    </w:p>
    <w:p w14:paraId="0DB90B2A" w14:textId="77777777" w:rsidR="0014798C" w:rsidRDefault="004E1F0B">
      <w:pPr>
        <w:ind w:left="1107"/>
        <w:rPr>
          <w:sz w:val="11"/>
        </w:rPr>
      </w:pPr>
      <w:r>
        <w:rPr>
          <w:w w:val="105"/>
          <w:sz w:val="11"/>
        </w:rPr>
        <w:t>564</w:t>
      </w:r>
      <w:r>
        <w:rPr>
          <w:spacing w:val="-2"/>
          <w:w w:val="105"/>
          <w:sz w:val="11"/>
        </w:rPr>
        <w:t xml:space="preserve"> </w:t>
      </w:r>
      <w:proofErr w:type="spellStart"/>
      <w:r>
        <w:rPr>
          <w:w w:val="105"/>
          <w:sz w:val="11"/>
        </w:rPr>
        <w:t>Ibíd</w:t>
      </w:r>
      <w:proofErr w:type="spellEnd"/>
      <w:r>
        <w:rPr>
          <w:w w:val="105"/>
          <w:sz w:val="11"/>
        </w:rPr>
        <w:t>.,</w:t>
      </w:r>
      <w:r>
        <w:rPr>
          <w:spacing w:val="-2"/>
          <w:w w:val="105"/>
          <w:sz w:val="11"/>
        </w:rPr>
        <w:t xml:space="preserve"> </w:t>
      </w:r>
      <w:r>
        <w:rPr>
          <w:w w:val="105"/>
          <w:sz w:val="11"/>
        </w:rPr>
        <w:t>párr. 16</w:t>
      </w:r>
      <w:r>
        <w:rPr>
          <w:spacing w:val="-2"/>
          <w:w w:val="105"/>
          <w:sz w:val="11"/>
        </w:rPr>
        <w:t xml:space="preserve"> </w:t>
      </w:r>
      <w:r>
        <w:rPr>
          <w:spacing w:val="-4"/>
          <w:w w:val="105"/>
          <w:sz w:val="11"/>
        </w:rPr>
        <w:t>(b).</w:t>
      </w:r>
    </w:p>
    <w:p w14:paraId="0EEE0335" w14:textId="77777777" w:rsidR="0014798C" w:rsidRDefault="004E1F0B">
      <w:pPr>
        <w:spacing w:before="110"/>
        <w:ind w:left="1107"/>
        <w:rPr>
          <w:sz w:val="11"/>
        </w:rPr>
      </w:pPr>
      <w:r>
        <w:rPr>
          <w:w w:val="105"/>
          <w:sz w:val="11"/>
        </w:rPr>
        <w:t>565</w:t>
      </w:r>
      <w:r>
        <w:rPr>
          <w:spacing w:val="-2"/>
          <w:w w:val="105"/>
          <w:sz w:val="11"/>
        </w:rPr>
        <w:t xml:space="preserve"> </w:t>
      </w:r>
      <w:r>
        <w:rPr>
          <w:w w:val="105"/>
          <w:sz w:val="11"/>
        </w:rPr>
        <w:t>En</w:t>
      </w:r>
      <w:r>
        <w:rPr>
          <w:spacing w:val="-1"/>
          <w:w w:val="105"/>
          <w:sz w:val="11"/>
        </w:rPr>
        <w:t xml:space="preserve"> </w:t>
      </w:r>
      <w:r>
        <w:rPr>
          <w:w w:val="105"/>
          <w:sz w:val="11"/>
        </w:rPr>
        <w:t>su</w:t>
      </w:r>
      <w:r>
        <w:rPr>
          <w:spacing w:val="-1"/>
          <w:w w:val="105"/>
          <w:sz w:val="11"/>
        </w:rPr>
        <w:t xml:space="preserve"> </w:t>
      </w:r>
      <w:r>
        <w:rPr>
          <w:w w:val="105"/>
          <w:sz w:val="11"/>
        </w:rPr>
        <w:t>visita</w:t>
      </w:r>
      <w:r>
        <w:rPr>
          <w:spacing w:val="-1"/>
          <w:w w:val="105"/>
          <w:sz w:val="11"/>
        </w:rPr>
        <w:t xml:space="preserve"> </w:t>
      </w:r>
      <w:r>
        <w:rPr>
          <w:w w:val="105"/>
          <w:sz w:val="11"/>
        </w:rPr>
        <w:t>al</w:t>
      </w:r>
      <w:r>
        <w:rPr>
          <w:spacing w:val="-1"/>
          <w:w w:val="105"/>
          <w:sz w:val="11"/>
        </w:rPr>
        <w:t xml:space="preserve"> </w:t>
      </w:r>
      <w:r>
        <w:rPr>
          <w:w w:val="105"/>
          <w:sz w:val="11"/>
        </w:rPr>
        <w:t>Reino</w:t>
      </w:r>
      <w:r>
        <w:rPr>
          <w:spacing w:val="-1"/>
          <w:w w:val="105"/>
          <w:sz w:val="11"/>
        </w:rPr>
        <w:t xml:space="preserve"> </w:t>
      </w:r>
      <w:r>
        <w:rPr>
          <w:w w:val="105"/>
          <w:sz w:val="11"/>
        </w:rPr>
        <w:t>Unido, por</w:t>
      </w:r>
      <w:r>
        <w:rPr>
          <w:spacing w:val="-1"/>
          <w:w w:val="105"/>
          <w:sz w:val="11"/>
        </w:rPr>
        <w:t xml:space="preserve"> </w:t>
      </w:r>
      <w:r>
        <w:rPr>
          <w:w w:val="105"/>
          <w:sz w:val="11"/>
        </w:rPr>
        <w:t>ejemplo, la</w:t>
      </w:r>
      <w:r>
        <w:rPr>
          <w:spacing w:val="-1"/>
          <w:w w:val="105"/>
          <w:sz w:val="11"/>
        </w:rPr>
        <w:t xml:space="preserve"> </w:t>
      </w:r>
      <w:r>
        <w:rPr>
          <w:w w:val="105"/>
          <w:sz w:val="11"/>
        </w:rPr>
        <w:t>Relatora</w:t>
      </w:r>
      <w:r>
        <w:rPr>
          <w:spacing w:val="-1"/>
          <w:w w:val="105"/>
          <w:sz w:val="11"/>
        </w:rPr>
        <w:t xml:space="preserve"> </w:t>
      </w:r>
      <w:r>
        <w:rPr>
          <w:w w:val="105"/>
          <w:sz w:val="11"/>
        </w:rPr>
        <w:t>Especial</w:t>
      </w:r>
      <w:r>
        <w:rPr>
          <w:spacing w:val="-1"/>
          <w:w w:val="105"/>
          <w:sz w:val="11"/>
        </w:rPr>
        <w:t xml:space="preserve"> </w:t>
      </w:r>
      <w:r>
        <w:rPr>
          <w:w w:val="105"/>
          <w:sz w:val="11"/>
        </w:rPr>
        <w:t>sobre</w:t>
      </w:r>
      <w:r>
        <w:rPr>
          <w:spacing w:val="-1"/>
          <w:w w:val="105"/>
          <w:sz w:val="11"/>
        </w:rPr>
        <w:t xml:space="preserve"> </w:t>
      </w:r>
      <w:r>
        <w:rPr>
          <w:w w:val="105"/>
          <w:sz w:val="11"/>
        </w:rPr>
        <w:t>las</w:t>
      </w:r>
      <w:r>
        <w:rPr>
          <w:spacing w:val="-1"/>
          <w:w w:val="105"/>
          <w:sz w:val="11"/>
        </w:rPr>
        <w:t xml:space="preserve"> </w:t>
      </w:r>
      <w:r>
        <w:rPr>
          <w:w w:val="105"/>
          <w:sz w:val="11"/>
        </w:rPr>
        <w:t>formas</w:t>
      </w:r>
      <w:r>
        <w:rPr>
          <w:spacing w:val="-1"/>
          <w:w w:val="105"/>
          <w:sz w:val="11"/>
        </w:rPr>
        <w:t xml:space="preserve"> </w:t>
      </w:r>
      <w:r>
        <w:rPr>
          <w:w w:val="105"/>
          <w:sz w:val="11"/>
        </w:rPr>
        <w:t>contemporáneas</w:t>
      </w:r>
      <w:r>
        <w:rPr>
          <w:spacing w:val="-1"/>
          <w:w w:val="105"/>
          <w:sz w:val="11"/>
        </w:rPr>
        <w:t xml:space="preserve"> </w:t>
      </w:r>
      <w:r>
        <w:rPr>
          <w:w w:val="105"/>
          <w:sz w:val="11"/>
        </w:rPr>
        <w:t>de</w:t>
      </w:r>
      <w:r>
        <w:rPr>
          <w:spacing w:val="-1"/>
          <w:w w:val="105"/>
          <w:sz w:val="11"/>
        </w:rPr>
        <w:t xml:space="preserve"> </w:t>
      </w:r>
      <w:r>
        <w:rPr>
          <w:w w:val="105"/>
          <w:sz w:val="11"/>
        </w:rPr>
        <w:t>racismo, discriminación</w:t>
      </w:r>
      <w:r>
        <w:rPr>
          <w:spacing w:val="-1"/>
          <w:w w:val="105"/>
          <w:sz w:val="11"/>
        </w:rPr>
        <w:t xml:space="preserve"> </w:t>
      </w:r>
      <w:r>
        <w:rPr>
          <w:spacing w:val="-2"/>
          <w:w w:val="105"/>
          <w:sz w:val="11"/>
        </w:rPr>
        <w:t>racial,</w:t>
      </w:r>
    </w:p>
    <w:p w14:paraId="5BFDBD87" w14:textId="77777777" w:rsidR="0014798C" w:rsidRDefault="004E1F0B">
      <w:pPr>
        <w:spacing w:before="8" w:line="312" w:lineRule="auto"/>
        <w:ind w:left="1366" w:right="1272" w:hanging="1"/>
        <w:rPr>
          <w:sz w:val="12"/>
        </w:rPr>
      </w:pPr>
      <w:r>
        <w:rPr>
          <w:w w:val="105"/>
          <w:sz w:val="12"/>
        </w:rPr>
        <w:t>la xenofobia y las formas conexas de intolerancia recomendaron que el deber de igualdad del sector público se aplicara en “todos los contextos necesarios,</w:t>
      </w:r>
      <w:r>
        <w:rPr>
          <w:spacing w:val="40"/>
          <w:w w:val="105"/>
          <w:sz w:val="12"/>
        </w:rPr>
        <w:t xml:space="preserve"> </w:t>
      </w:r>
      <w:r>
        <w:rPr>
          <w:w w:val="105"/>
          <w:sz w:val="12"/>
        </w:rPr>
        <w:t>incluido el contexto de las funciones de inmigración” (A/HRC/41/54/Add.2, párr. 74 d)).</w:t>
      </w:r>
    </w:p>
    <w:p w14:paraId="305CC381" w14:textId="77777777" w:rsidR="0014798C" w:rsidRDefault="004E1F0B">
      <w:pPr>
        <w:spacing w:before="58"/>
        <w:ind w:left="1107"/>
        <w:rPr>
          <w:sz w:val="12"/>
        </w:rPr>
      </w:pPr>
      <w:r>
        <w:rPr>
          <w:w w:val="105"/>
          <w:sz w:val="12"/>
          <w:vertAlign w:val="superscript"/>
        </w:rPr>
        <w:t>566</w:t>
      </w:r>
      <w:r>
        <w:rPr>
          <w:spacing w:val="66"/>
          <w:w w:val="150"/>
          <w:sz w:val="12"/>
        </w:rPr>
        <w:t xml:space="preserve"> </w:t>
      </w:r>
      <w:r>
        <w:rPr>
          <w:w w:val="105"/>
          <w:sz w:val="12"/>
        </w:rPr>
        <w:t>CEDAW/C/GBR/CO/7,</w:t>
      </w:r>
      <w:r>
        <w:rPr>
          <w:spacing w:val="-2"/>
          <w:w w:val="105"/>
          <w:sz w:val="12"/>
        </w:rPr>
        <w:t xml:space="preserve"> </w:t>
      </w:r>
      <w:r>
        <w:rPr>
          <w:w w:val="105"/>
          <w:sz w:val="12"/>
        </w:rPr>
        <w:t>párr.</w:t>
      </w:r>
      <w:r>
        <w:rPr>
          <w:spacing w:val="-1"/>
          <w:w w:val="105"/>
          <w:sz w:val="12"/>
        </w:rPr>
        <w:t xml:space="preserve"> </w:t>
      </w:r>
      <w:r>
        <w:rPr>
          <w:spacing w:val="-5"/>
          <w:w w:val="105"/>
          <w:sz w:val="12"/>
        </w:rPr>
        <w:t>17.</w:t>
      </w:r>
    </w:p>
    <w:p w14:paraId="71C4EF12" w14:textId="77777777" w:rsidR="0014798C" w:rsidRDefault="004E1F0B">
      <w:pPr>
        <w:pStyle w:val="Prrafodelista"/>
        <w:numPr>
          <w:ilvl w:val="0"/>
          <w:numId w:val="51"/>
        </w:numPr>
        <w:tabs>
          <w:tab w:val="left" w:pos="1350"/>
        </w:tabs>
        <w:spacing w:before="98"/>
        <w:ind w:left="1350" w:hanging="243"/>
        <w:rPr>
          <w:sz w:val="12"/>
        </w:rPr>
      </w:pPr>
      <w:r>
        <w:rPr>
          <w:w w:val="105"/>
          <w:sz w:val="12"/>
        </w:rPr>
        <w:t>Crowley,</w:t>
      </w:r>
      <w:r>
        <w:rPr>
          <w:spacing w:val="-8"/>
          <w:w w:val="105"/>
          <w:sz w:val="12"/>
        </w:rPr>
        <w:t xml:space="preserve"> </w:t>
      </w:r>
      <w:r>
        <w:rPr>
          <w:w w:val="105"/>
          <w:sz w:val="12"/>
        </w:rPr>
        <w:t>Haciendo</w:t>
      </w:r>
      <w:r>
        <w:rPr>
          <w:spacing w:val="-6"/>
          <w:w w:val="105"/>
          <w:sz w:val="12"/>
        </w:rPr>
        <w:t xml:space="preserve"> </w:t>
      </w:r>
      <w:r>
        <w:rPr>
          <w:w w:val="105"/>
          <w:sz w:val="12"/>
        </w:rPr>
        <w:t>Europa</w:t>
      </w:r>
      <w:r>
        <w:rPr>
          <w:spacing w:val="-6"/>
          <w:w w:val="105"/>
          <w:sz w:val="12"/>
        </w:rPr>
        <w:t xml:space="preserve"> </w:t>
      </w:r>
      <w:r>
        <w:rPr>
          <w:w w:val="105"/>
          <w:sz w:val="12"/>
        </w:rPr>
        <w:t>más</w:t>
      </w:r>
      <w:r>
        <w:rPr>
          <w:spacing w:val="-6"/>
          <w:w w:val="105"/>
          <w:sz w:val="12"/>
        </w:rPr>
        <w:t xml:space="preserve"> </w:t>
      </w:r>
      <w:r>
        <w:rPr>
          <w:w w:val="105"/>
          <w:sz w:val="12"/>
        </w:rPr>
        <w:t>igualitaria,</w:t>
      </w:r>
      <w:r>
        <w:rPr>
          <w:spacing w:val="-5"/>
          <w:w w:val="105"/>
          <w:sz w:val="12"/>
        </w:rPr>
        <w:t xml:space="preserve"> </w:t>
      </w:r>
      <w:r>
        <w:rPr>
          <w:w w:val="105"/>
          <w:sz w:val="12"/>
        </w:rPr>
        <w:t>pág.</w:t>
      </w:r>
      <w:r>
        <w:rPr>
          <w:spacing w:val="-6"/>
          <w:w w:val="105"/>
          <w:sz w:val="12"/>
        </w:rPr>
        <w:t xml:space="preserve"> </w:t>
      </w:r>
      <w:r>
        <w:rPr>
          <w:spacing w:val="-5"/>
          <w:w w:val="105"/>
          <w:sz w:val="12"/>
        </w:rPr>
        <w:t>46.</w:t>
      </w:r>
    </w:p>
    <w:p w14:paraId="2B14831F" w14:textId="77777777" w:rsidR="0014798C" w:rsidRDefault="0014798C">
      <w:pPr>
        <w:pStyle w:val="Textoindependiente"/>
        <w:rPr>
          <w:sz w:val="19"/>
        </w:rPr>
      </w:pPr>
    </w:p>
    <w:p w14:paraId="4CF70039" w14:textId="77777777" w:rsidR="0014798C" w:rsidRDefault="0014798C">
      <w:pPr>
        <w:pStyle w:val="Textoindependiente"/>
        <w:spacing w:before="203"/>
        <w:rPr>
          <w:sz w:val="19"/>
        </w:rPr>
      </w:pPr>
    </w:p>
    <w:p w14:paraId="3AD05AE2" w14:textId="77777777" w:rsidR="0014798C" w:rsidRPr="00537489" w:rsidRDefault="004E1F0B">
      <w:pPr>
        <w:ind w:right="722"/>
        <w:jc w:val="right"/>
        <w:rPr>
          <w:sz w:val="19"/>
          <w:lang w:val="en-US"/>
        </w:rPr>
      </w:pPr>
      <w:r w:rsidRPr="00537489">
        <w:rPr>
          <w:spacing w:val="-5"/>
          <w:sz w:val="19"/>
          <w:lang w:val="en-US"/>
        </w:rPr>
        <w:t>73</w:t>
      </w:r>
    </w:p>
    <w:p w14:paraId="663B5136" w14:textId="77777777" w:rsidR="0014798C" w:rsidRPr="00537489" w:rsidRDefault="0014798C">
      <w:pPr>
        <w:jc w:val="right"/>
        <w:rPr>
          <w:sz w:val="19"/>
          <w:lang w:val="en-US"/>
        </w:rPr>
        <w:sectPr w:rsidR="0014798C" w:rsidRPr="00537489" w:rsidSect="00F265E4">
          <w:pgSz w:w="11900" w:h="16820"/>
          <w:pgMar w:top="340" w:right="0" w:bottom="280" w:left="200" w:header="121" w:footer="0" w:gutter="0"/>
          <w:cols w:space="720"/>
        </w:sectPr>
      </w:pPr>
    </w:p>
    <w:p w14:paraId="0CA77EE7" w14:textId="77777777" w:rsidR="0014798C" w:rsidRPr="00537489" w:rsidRDefault="004E1F0B">
      <w:pPr>
        <w:spacing w:before="76"/>
        <w:ind w:left="113"/>
        <w:rPr>
          <w:sz w:val="21"/>
          <w:lang w:val="en-US"/>
        </w:rPr>
      </w:pPr>
      <w:r>
        <w:rPr>
          <w:noProof/>
        </w:rPr>
        <w:lastRenderedPageBreak/>
        <w:drawing>
          <wp:anchor distT="0" distB="0" distL="0" distR="0" simplePos="0" relativeHeight="251658416" behindDoc="1" locked="0" layoutInCell="1" allowOverlap="1" wp14:anchorId="24089423" wp14:editId="7827CCE4">
            <wp:simplePos x="0" y="0"/>
            <wp:positionH relativeFrom="page">
              <wp:posOffset>0</wp:posOffset>
            </wp:positionH>
            <wp:positionV relativeFrom="page">
              <wp:posOffset>0</wp:posOffset>
            </wp:positionV>
            <wp:extent cx="7556500" cy="10680700"/>
            <wp:effectExtent l="0" t="0" r="0" b="0"/>
            <wp:wrapNone/>
            <wp:docPr id="178" name="Image 17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78" name="Image 178"/>
                    <pic:cNvPicPr/>
                  </pic:nvPicPr>
                  <pic:blipFill>
                    <a:blip r:embed="rId159" cstate="print"/>
                    <a:stretch>
                      <a:fillRect/>
                    </a:stretch>
                  </pic:blipFill>
                  <pic:spPr>
                    <a:xfrm>
                      <a:off x="0" y="0"/>
                      <a:ext cx="7556500" cy="10680700"/>
                    </a:xfrm>
                    <a:prstGeom prst="rect">
                      <a:avLst/>
                    </a:prstGeom>
                  </pic:spPr>
                </pic:pic>
              </a:graphicData>
            </a:graphic>
          </wp:anchor>
        </w:drawing>
      </w:r>
      <w:r w:rsidRPr="00537489">
        <w:rPr>
          <w:sz w:val="21"/>
          <w:lang w:val="en-US"/>
        </w:rPr>
        <w:t>Machine</w:t>
      </w:r>
      <w:r w:rsidRPr="00537489">
        <w:rPr>
          <w:spacing w:val="6"/>
          <w:sz w:val="21"/>
          <w:lang w:val="en-US"/>
        </w:rPr>
        <w:t xml:space="preserve"> </w:t>
      </w:r>
      <w:r w:rsidRPr="00537489">
        <w:rPr>
          <w:sz w:val="21"/>
          <w:lang w:val="en-US"/>
        </w:rPr>
        <w:t>Translated</w:t>
      </w:r>
      <w:r w:rsidRPr="00537489">
        <w:rPr>
          <w:spacing w:val="7"/>
          <w:sz w:val="21"/>
          <w:lang w:val="en-US"/>
        </w:rPr>
        <w:t xml:space="preserve"> </w:t>
      </w:r>
      <w:r w:rsidRPr="00537489">
        <w:rPr>
          <w:sz w:val="21"/>
          <w:lang w:val="en-US"/>
        </w:rPr>
        <w:t>by</w:t>
      </w:r>
      <w:r w:rsidRPr="00537489">
        <w:rPr>
          <w:spacing w:val="7"/>
          <w:sz w:val="21"/>
          <w:lang w:val="en-US"/>
        </w:rPr>
        <w:t xml:space="preserve"> </w:t>
      </w:r>
      <w:r w:rsidRPr="00537489">
        <w:rPr>
          <w:spacing w:val="-2"/>
          <w:sz w:val="21"/>
          <w:lang w:val="en-US"/>
        </w:rPr>
        <w:t>Google</w:t>
      </w:r>
    </w:p>
    <w:p w14:paraId="10BC282E" w14:textId="77777777" w:rsidR="0014798C" w:rsidRPr="00537489" w:rsidRDefault="0014798C">
      <w:pPr>
        <w:rPr>
          <w:sz w:val="21"/>
          <w:lang w:val="en-US"/>
        </w:rPr>
        <w:sectPr w:rsidR="0014798C" w:rsidRPr="00537489" w:rsidSect="00F265E4">
          <w:headerReference w:type="default" r:id="rId160"/>
          <w:pgSz w:w="11900" w:h="16820"/>
          <w:pgMar w:top="40" w:right="0" w:bottom="280" w:left="200" w:header="0" w:footer="0" w:gutter="0"/>
          <w:cols w:space="720"/>
        </w:sectPr>
      </w:pPr>
    </w:p>
    <w:p w14:paraId="1D5E3266" w14:textId="77777777" w:rsidR="0014798C" w:rsidRPr="00537489" w:rsidRDefault="004E1F0B">
      <w:pPr>
        <w:spacing w:before="76"/>
        <w:ind w:left="113"/>
        <w:rPr>
          <w:sz w:val="21"/>
          <w:lang w:val="en-US"/>
        </w:rPr>
      </w:pPr>
      <w:r>
        <w:rPr>
          <w:noProof/>
        </w:rPr>
        <w:lastRenderedPageBreak/>
        <w:drawing>
          <wp:anchor distT="0" distB="0" distL="0" distR="0" simplePos="0" relativeHeight="251658417" behindDoc="1" locked="0" layoutInCell="1" allowOverlap="1" wp14:anchorId="29EC404A" wp14:editId="676B1B4A">
            <wp:simplePos x="0" y="0"/>
            <wp:positionH relativeFrom="page">
              <wp:posOffset>0</wp:posOffset>
            </wp:positionH>
            <wp:positionV relativeFrom="page">
              <wp:posOffset>0</wp:posOffset>
            </wp:positionV>
            <wp:extent cx="7556500" cy="10680700"/>
            <wp:effectExtent l="0" t="0" r="0" b="0"/>
            <wp:wrapNone/>
            <wp:docPr id="179" name="Image 17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79" name="Image 179"/>
                    <pic:cNvPicPr/>
                  </pic:nvPicPr>
                  <pic:blipFill>
                    <a:blip r:embed="rId161" cstate="print"/>
                    <a:stretch>
                      <a:fillRect/>
                    </a:stretch>
                  </pic:blipFill>
                  <pic:spPr>
                    <a:xfrm>
                      <a:off x="0" y="0"/>
                      <a:ext cx="7556500" cy="10680700"/>
                    </a:xfrm>
                    <a:prstGeom prst="rect">
                      <a:avLst/>
                    </a:prstGeom>
                  </pic:spPr>
                </pic:pic>
              </a:graphicData>
            </a:graphic>
          </wp:anchor>
        </w:drawing>
      </w:r>
      <w:r w:rsidRPr="00537489">
        <w:rPr>
          <w:sz w:val="21"/>
          <w:lang w:val="en-US"/>
        </w:rPr>
        <w:t>Machine</w:t>
      </w:r>
      <w:r w:rsidRPr="00537489">
        <w:rPr>
          <w:spacing w:val="6"/>
          <w:sz w:val="21"/>
          <w:lang w:val="en-US"/>
        </w:rPr>
        <w:t xml:space="preserve"> </w:t>
      </w:r>
      <w:r w:rsidRPr="00537489">
        <w:rPr>
          <w:sz w:val="21"/>
          <w:lang w:val="en-US"/>
        </w:rPr>
        <w:t>Translated</w:t>
      </w:r>
      <w:r w:rsidRPr="00537489">
        <w:rPr>
          <w:spacing w:val="7"/>
          <w:sz w:val="21"/>
          <w:lang w:val="en-US"/>
        </w:rPr>
        <w:t xml:space="preserve"> </w:t>
      </w:r>
      <w:r w:rsidRPr="00537489">
        <w:rPr>
          <w:sz w:val="21"/>
          <w:lang w:val="en-US"/>
        </w:rPr>
        <w:t>by</w:t>
      </w:r>
      <w:r w:rsidRPr="00537489">
        <w:rPr>
          <w:spacing w:val="7"/>
          <w:sz w:val="21"/>
          <w:lang w:val="en-US"/>
        </w:rPr>
        <w:t xml:space="preserve"> </w:t>
      </w:r>
      <w:r w:rsidRPr="00537489">
        <w:rPr>
          <w:spacing w:val="-2"/>
          <w:sz w:val="21"/>
          <w:lang w:val="en-US"/>
        </w:rPr>
        <w:t>Google</w:t>
      </w:r>
    </w:p>
    <w:p w14:paraId="41C023AF" w14:textId="77777777" w:rsidR="0014798C" w:rsidRPr="00537489" w:rsidRDefault="0014798C">
      <w:pPr>
        <w:pStyle w:val="Textoindependiente"/>
        <w:spacing w:before="51"/>
        <w:rPr>
          <w:sz w:val="14"/>
          <w:lang w:val="en-US"/>
        </w:rPr>
      </w:pPr>
    </w:p>
    <w:p w14:paraId="0325C5FF" w14:textId="77777777" w:rsidR="0014798C" w:rsidRDefault="004E1F0B">
      <w:pPr>
        <w:ind w:left="1111"/>
        <w:rPr>
          <w:sz w:val="14"/>
        </w:rPr>
      </w:pPr>
      <w:r>
        <w:rPr>
          <w:color w:val="00AC59"/>
          <w:sz w:val="14"/>
        </w:rPr>
        <w:t>SEGUNDA</w:t>
      </w:r>
      <w:r>
        <w:rPr>
          <w:color w:val="00AC59"/>
          <w:spacing w:val="-5"/>
          <w:sz w:val="14"/>
        </w:rPr>
        <w:t xml:space="preserve"> </w:t>
      </w:r>
      <w:r>
        <w:rPr>
          <w:color w:val="00AC59"/>
          <w:sz w:val="14"/>
        </w:rPr>
        <w:t>PARTE:</w:t>
      </w:r>
      <w:r>
        <w:rPr>
          <w:color w:val="00AC59"/>
          <w:spacing w:val="-5"/>
          <w:sz w:val="14"/>
        </w:rPr>
        <w:t xml:space="preserve"> </w:t>
      </w:r>
      <w:r>
        <w:rPr>
          <w:color w:val="00AC59"/>
          <w:sz w:val="14"/>
        </w:rPr>
        <w:t>CONTENIDO</w:t>
      </w:r>
      <w:r>
        <w:rPr>
          <w:color w:val="00AC59"/>
          <w:spacing w:val="-4"/>
          <w:sz w:val="14"/>
        </w:rPr>
        <w:t xml:space="preserve"> </w:t>
      </w:r>
      <w:r>
        <w:rPr>
          <w:color w:val="00AC59"/>
          <w:sz w:val="14"/>
        </w:rPr>
        <w:t>DE</w:t>
      </w:r>
      <w:r>
        <w:rPr>
          <w:color w:val="00AC59"/>
          <w:spacing w:val="-5"/>
          <w:sz w:val="14"/>
        </w:rPr>
        <w:t xml:space="preserve"> </w:t>
      </w:r>
      <w:r>
        <w:rPr>
          <w:color w:val="00AC59"/>
          <w:sz w:val="14"/>
        </w:rPr>
        <w:t>LA</w:t>
      </w:r>
      <w:r>
        <w:rPr>
          <w:color w:val="00AC59"/>
          <w:spacing w:val="-4"/>
          <w:sz w:val="14"/>
        </w:rPr>
        <w:t xml:space="preserve"> </w:t>
      </w:r>
      <w:r>
        <w:rPr>
          <w:color w:val="00AC59"/>
          <w:sz w:val="14"/>
        </w:rPr>
        <w:t>LEY</w:t>
      </w:r>
      <w:r>
        <w:rPr>
          <w:color w:val="00AC59"/>
          <w:spacing w:val="-4"/>
          <w:sz w:val="14"/>
        </w:rPr>
        <w:t xml:space="preserve"> </w:t>
      </w:r>
      <w:r>
        <w:rPr>
          <w:color w:val="00AC59"/>
          <w:sz w:val="14"/>
        </w:rPr>
        <w:t>INTEGRAL</w:t>
      </w:r>
      <w:r>
        <w:rPr>
          <w:color w:val="00AC59"/>
          <w:spacing w:val="-5"/>
          <w:sz w:val="14"/>
        </w:rPr>
        <w:t xml:space="preserve"> </w:t>
      </w:r>
      <w:r>
        <w:rPr>
          <w:color w:val="00AC59"/>
          <w:spacing w:val="-2"/>
          <w:sz w:val="14"/>
        </w:rPr>
        <w:t>ANTIDISCRIMINACIÓN</w:t>
      </w:r>
    </w:p>
    <w:p w14:paraId="5B297DCF" w14:textId="77777777" w:rsidR="0014798C" w:rsidRDefault="0014798C">
      <w:pPr>
        <w:pStyle w:val="Textoindependiente"/>
        <w:rPr>
          <w:sz w:val="30"/>
        </w:rPr>
      </w:pPr>
    </w:p>
    <w:p w14:paraId="61CC548D" w14:textId="77777777" w:rsidR="0014798C" w:rsidRDefault="0014798C">
      <w:pPr>
        <w:pStyle w:val="Textoindependiente"/>
        <w:spacing w:before="253"/>
        <w:rPr>
          <w:sz w:val="30"/>
        </w:rPr>
      </w:pPr>
    </w:p>
    <w:p w14:paraId="76D49AB5" w14:textId="764BE39D" w:rsidR="0014798C" w:rsidRDefault="004E1F0B">
      <w:pPr>
        <w:pStyle w:val="Ttulo7"/>
        <w:numPr>
          <w:ilvl w:val="0"/>
          <w:numId w:val="3"/>
        </w:numPr>
        <w:tabs>
          <w:tab w:val="left" w:pos="1454"/>
        </w:tabs>
        <w:ind w:left="1454" w:hanging="331"/>
        <w:rPr>
          <w:color w:val="00AC59"/>
        </w:rPr>
      </w:pPr>
      <w:bookmarkStart w:id="14" w:name="recursos"/>
      <w:r>
        <w:rPr>
          <w:color w:val="00AC59"/>
          <w:spacing w:val="-2"/>
        </w:rPr>
        <w:t>RECURSO</w:t>
      </w:r>
      <w:r w:rsidR="00D06876">
        <w:rPr>
          <w:color w:val="00AC59"/>
          <w:spacing w:val="-2"/>
        </w:rPr>
        <w:t>S</w:t>
      </w:r>
    </w:p>
    <w:bookmarkEnd w:id="14"/>
    <w:p w14:paraId="55400AC3" w14:textId="77777777" w:rsidR="0014798C" w:rsidRDefault="0014798C">
      <w:pPr>
        <w:pStyle w:val="Textoindependiente"/>
        <w:rPr>
          <w:sz w:val="17"/>
        </w:rPr>
      </w:pPr>
    </w:p>
    <w:p w14:paraId="14E9C22B" w14:textId="77777777" w:rsidR="0014798C" w:rsidRDefault="0014798C">
      <w:pPr>
        <w:pStyle w:val="Textoindependiente"/>
        <w:spacing w:before="52"/>
        <w:rPr>
          <w:sz w:val="17"/>
        </w:rPr>
      </w:pPr>
    </w:p>
    <w:p w14:paraId="66CAB19A" w14:textId="77777777" w:rsidR="0014798C" w:rsidRDefault="004E1F0B">
      <w:pPr>
        <w:spacing w:before="1"/>
        <w:ind w:left="1335"/>
        <w:rPr>
          <w:sz w:val="17"/>
        </w:rPr>
      </w:pPr>
      <w:r>
        <w:rPr>
          <w:color w:val="FFFFFF"/>
          <w:spacing w:val="-2"/>
          <w:sz w:val="17"/>
        </w:rPr>
        <w:t>RESUMEN</w:t>
      </w:r>
    </w:p>
    <w:p w14:paraId="090C53D0" w14:textId="77777777" w:rsidR="0014798C" w:rsidRDefault="0014798C">
      <w:pPr>
        <w:pStyle w:val="Textoindependiente"/>
        <w:spacing w:before="126"/>
        <w:rPr>
          <w:sz w:val="17"/>
        </w:rPr>
      </w:pPr>
    </w:p>
    <w:p w14:paraId="38F8177F" w14:textId="77777777" w:rsidR="0014798C" w:rsidRDefault="004E1F0B">
      <w:pPr>
        <w:pStyle w:val="Prrafodelista"/>
        <w:numPr>
          <w:ilvl w:val="0"/>
          <w:numId w:val="50"/>
        </w:numPr>
        <w:tabs>
          <w:tab w:val="left" w:pos="1464"/>
          <w:tab w:val="left" w:pos="1556"/>
        </w:tabs>
        <w:spacing w:line="307" w:lineRule="auto"/>
        <w:ind w:right="1656" w:hanging="199"/>
        <w:rPr>
          <w:sz w:val="17"/>
        </w:rPr>
      </w:pPr>
      <w:r>
        <w:rPr>
          <w:sz w:val="17"/>
        </w:rPr>
        <w:t>Las leyes contra la discriminación deben prever un remedio efectivo para la discriminación. El recurso incluye, entre</w:t>
      </w:r>
      <w:r>
        <w:rPr>
          <w:spacing w:val="-2"/>
          <w:sz w:val="17"/>
        </w:rPr>
        <w:t xml:space="preserve"> </w:t>
      </w:r>
      <w:r>
        <w:rPr>
          <w:sz w:val="17"/>
        </w:rPr>
        <w:t>otros:</w:t>
      </w:r>
      <w:r>
        <w:rPr>
          <w:spacing w:val="-2"/>
          <w:sz w:val="17"/>
        </w:rPr>
        <w:t xml:space="preserve"> </w:t>
      </w:r>
      <w:r>
        <w:rPr>
          <w:sz w:val="17"/>
        </w:rPr>
        <w:t>sanciones</w:t>
      </w:r>
      <w:r>
        <w:rPr>
          <w:spacing w:val="-2"/>
          <w:sz w:val="17"/>
        </w:rPr>
        <w:t xml:space="preserve"> </w:t>
      </w:r>
      <w:r>
        <w:rPr>
          <w:sz w:val="17"/>
        </w:rPr>
        <w:t>para</w:t>
      </w:r>
      <w:r>
        <w:rPr>
          <w:spacing w:val="-3"/>
          <w:sz w:val="17"/>
        </w:rPr>
        <w:t xml:space="preserve"> </w:t>
      </w:r>
      <w:r>
        <w:rPr>
          <w:sz w:val="17"/>
        </w:rPr>
        <w:t>quienes</w:t>
      </w:r>
      <w:r>
        <w:rPr>
          <w:spacing w:val="-2"/>
          <w:sz w:val="17"/>
        </w:rPr>
        <w:t xml:space="preserve"> </w:t>
      </w:r>
      <w:r>
        <w:rPr>
          <w:sz w:val="17"/>
        </w:rPr>
        <w:t>sean</w:t>
      </w:r>
      <w:r>
        <w:rPr>
          <w:spacing w:val="-3"/>
          <w:sz w:val="17"/>
        </w:rPr>
        <w:t xml:space="preserve"> </w:t>
      </w:r>
      <w:r>
        <w:rPr>
          <w:sz w:val="17"/>
        </w:rPr>
        <w:t>declarados</w:t>
      </w:r>
      <w:r>
        <w:rPr>
          <w:spacing w:val="-2"/>
          <w:sz w:val="17"/>
        </w:rPr>
        <w:t xml:space="preserve"> </w:t>
      </w:r>
      <w:r>
        <w:rPr>
          <w:sz w:val="17"/>
        </w:rPr>
        <w:t>responsables</w:t>
      </w:r>
      <w:r>
        <w:rPr>
          <w:spacing w:val="-3"/>
          <w:sz w:val="17"/>
        </w:rPr>
        <w:t xml:space="preserve"> </w:t>
      </w:r>
      <w:r>
        <w:rPr>
          <w:sz w:val="17"/>
        </w:rPr>
        <w:t>de</w:t>
      </w:r>
      <w:r>
        <w:rPr>
          <w:spacing w:val="-2"/>
          <w:sz w:val="17"/>
        </w:rPr>
        <w:t xml:space="preserve"> </w:t>
      </w:r>
      <w:r>
        <w:rPr>
          <w:sz w:val="17"/>
        </w:rPr>
        <w:t>discriminación;</w:t>
      </w:r>
      <w:r>
        <w:rPr>
          <w:spacing w:val="-1"/>
          <w:sz w:val="17"/>
        </w:rPr>
        <w:t xml:space="preserve"> </w:t>
      </w:r>
      <w:r>
        <w:rPr>
          <w:sz w:val="17"/>
        </w:rPr>
        <w:t>reparaciones,</w:t>
      </w:r>
      <w:r>
        <w:rPr>
          <w:spacing w:val="-1"/>
          <w:sz w:val="17"/>
        </w:rPr>
        <w:t xml:space="preserve"> </w:t>
      </w:r>
      <w:r>
        <w:rPr>
          <w:sz w:val="17"/>
        </w:rPr>
        <w:t>incluido</w:t>
      </w:r>
      <w:r>
        <w:rPr>
          <w:spacing w:val="-2"/>
          <w:sz w:val="17"/>
        </w:rPr>
        <w:t xml:space="preserve"> </w:t>
      </w:r>
      <w:r>
        <w:rPr>
          <w:sz w:val="17"/>
        </w:rPr>
        <w:t>el reconocimiento, la</w:t>
      </w:r>
      <w:r>
        <w:rPr>
          <w:spacing w:val="-1"/>
          <w:sz w:val="17"/>
        </w:rPr>
        <w:t xml:space="preserve"> </w:t>
      </w:r>
      <w:r>
        <w:rPr>
          <w:sz w:val="17"/>
        </w:rPr>
        <w:t>compensación</w:t>
      </w:r>
      <w:r>
        <w:rPr>
          <w:spacing w:val="-1"/>
          <w:sz w:val="17"/>
        </w:rPr>
        <w:t xml:space="preserve"> </w:t>
      </w:r>
      <w:r>
        <w:rPr>
          <w:sz w:val="17"/>
        </w:rPr>
        <w:t>y</w:t>
      </w:r>
      <w:r>
        <w:rPr>
          <w:spacing w:val="-1"/>
          <w:sz w:val="17"/>
        </w:rPr>
        <w:t xml:space="preserve"> </w:t>
      </w:r>
      <w:r>
        <w:rPr>
          <w:sz w:val="17"/>
        </w:rPr>
        <w:t>la</w:t>
      </w:r>
      <w:r>
        <w:rPr>
          <w:spacing w:val="-1"/>
          <w:sz w:val="17"/>
        </w:rPr>
        <w:t xml:space="preserve"> </w:t>
      </w:r>
      <w:r>
        <w:rPr>
          <w:sz w:val="17"/>
        </w:rPr>
        <w:t>restitución</w:t>
      </w:r>
      <w:r>
        <w:rPr>
          <w:spacing w:val="-1"/>
          <w:sz w:val="17"/>
        </w:rPr>
        <w:t xml:space="preserve"> </w:t>
      </w:r>
      <w:r>
        <w:rPr>
          <w:sz w:val="17"/>
        </w:rPr>
        <w:t>para</w:t>
      </w:r>
      <w:r>
        <w:rPr>
          <w:spacing w:val="-1"/>
          <w:sz w:val="17"/>
        </w:rPr>
        <w:t xml:space="preserve"> </w:t>
      </w:r>
      <w:r>
        <w:rPr>
          <w:sz w:val="17"/>
        </w:rPr>
        <w:t>las</w:t>
      </w:r>
      <w:r>
        <w:rPr>
          <w:spacing w:val="-1"/>
          <w:sz w:val="17"/>
        </w:rPr>
        <w:t xml:space="preserve"> </w:t>
      </w:r>
      <w:r>
        <w:rPr>
          <w:sz w:val="17"/>
        </w:rPr>
        <w:t>víctimas</w:t>
      </w:r>
      <w:r>
        <w:rPr>
          <w:spacing w:val="-1"/>
          <w:sz w:val="17"/>
        </w:rPr>
        <w:t xml:space="preserve"> </w:t>
      </w:r>
      <w:r>
        <w:rPr>
          <w:sz w:val="17"/>
        </w:rPr>
        <w:t>de</w:t>
      </w:r>
      <w:r>
        <w:rPr>
          <w:spacing w:val="-1"/>
          <w:sz w:val="17"/>
        </w:rPr>
        <w:t xml:space="preserve"> </w:t>
      </w:r>
      <w:r>
        <w:rPr>
          <w:sz w:val="17"/>
        </w:rPr>
        <w:t>discriminación; y</w:t>
      </w:r>
      <w:r>
        <w:rPr>
          <w:spacing w:val="-1"/>
          <w:sz w:val="17"/>
        </w:rPr>
        <w:t xml:space="preserve"> </w:t>
      </w:r>
      <w:r>
        <w:rPr>
          <w:sz w:val="17"/>
        </w:rPr>
        <w:t>medidas</w:t>
      </w:r>
      <w:r>
        <w:rPr>
          <w:spacing w:val="-1"/>
          <w:sz w:val="17"/>
        </w:rPr>
        <w:t xml:space="preserve"> </w:t>
      </w:r>
      <w:r>
        <w:rPr>
          <w:sz w:val="17"/>
        </w:rPr>
        <w:t>institucionales y sociales diseñadas para abordar las causas y consecuencias sociales de la discriminación.</w:t>
      </w:r>
    </w:p>
    <w:p w14:paraId="20AA412D" w14:textId="77777777" w:rsidR="0014798C" w:rsidRDefault="004E1F0B">
      <w:pPr>
        <w:pStyle w:val="Prrafodelista"/>
        <w:numPr>
          <w:ilvl w:val="0"/>
          <w:numId w:val="50"/>
        </w:numPr>
        <w:tabs>
          <w:tab w:val="left" w:pos="1464"/>
          <w:tab w:val="left" w:pos="1565"/>
        </w:tabs>
        <w:spacing w:before="112" w:line="307" w:lineRule="auto"/>
        <w:ind w:left="1565" w:right="1719" w:hanging="208"/>
        <w:rPr>
          <w:sz w:val="17"/>
        </w:rPr>
      </w:pPr>
      <w:r>
        <w:rPr>
          <w:noProof/>
        </w:rPr>
        <mc:AlternateContent>
          <mc:Choice Requires="wps">
            <w:drawing>
              <wp:anchor distT="0" distB="0" distL="0" distR="0" simplePos="0" relativeHeight="251658278" behindDoc="0" locked="0" layoutInCell="1" allowOverlap="1" wp14:anchorId="1302DFDE" wp14:editId="70531665">
                <wp:simplePos x="0" y="0"/>
                <wp:positionH relativeFrom="page">
                  <wp:posOffset>7312079</wp:posOffset>
                </wp:positionH>
                <wp:positionV relativeFrom="paragraph">
                  <wp:posOffset>253372</wp:posOffset>
                </wp:positionV>
                <wp:extent cx="85090" cy="287655"/>
                <wp:effectExtent l="0" t="0" r="0" b="0"/>
                <wp:wrapNone/>
                <wp:docPr id="180" name="Textbox 18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85090" cy="287655"/>
                        </a:xfrm>
                        <a:prstGeom prst="rect">
                          <a:avLst/>
                        </a:prstGeom>
                      </wps:spPr>
                      <wps:txbx>
                        <w:txbxContent>
                          <w:p w14:paraId="3D01F31A" w14:textId="77777777" w:rsidR="0014798C" w:rsidRDefault="004E1F0B">
                            <w:pPr>
                              <w:spacing w:before="20"/>
                              <w:ind w:left="20"/>
                              <w:rPr>
                                <w:sz w:val="8"/>
                              </w:rPr>
                            </w:pPr>
                            <w:r>
                              <w:rPr>
                                <w:color w:val="FFFFFF"/>
                                <w:spacing w:val="-37"/>
                                <w:sz w:val="8"/>
                              </w:rPr>
                              <w:t>P–I</w:t>
                            </w:r>
                            <w:r>
                              <w:rPr>
                                <w:spacing w:val="-37"/>
                                <w:sz w:val="8"/>
                              </w:rPr>
                              <w:t>S</w:t>
                            </w:r>
                            <w:r>
                              <w:rPr>
                                <w:color w:val="FFFFFF"/>
                                <w:spacing w:val="-37"/>
                                <w:sz w:val="8"/>
                              </w:rPr>
                              <w:t>I</w:t>
                            </w:r>
                            <w:r>
                              <w:rPr>
                                <w:color w:val="FFFFFF"/>
                                <w:spacing w:val="-8"/>
                                <w:sz w:val="8"/>
                              </w:rPr>
                              <w:t xml:space="preserve"> </w:t>
                            </w:r>
                            <w:r>
                              <w:rPr>
                                <w:color w:val="FFFFFF"/>
                                <w:spacing w:val="-20"/>
                                <w:sz w:val="8"/>
                              </w:rPr>
                              <w:t>A</w:t>
                            </w:r>
                            <w:r>
                              <w:rPr>
                                <w:spacing w:val="-20"/>
                                <w:sz w:val="8"/>
                              </w:rPr>
                              <w:t>E</w:t>
                            </w:r>
                            <w:r>
                              <w:rPr>
                                <w:color w:val="FFFFFF"/>
                                <w:spacing w:val="-20"/>
                                <w:sz w:val="8"/>
                              </w:rPr>
                              <w:t>R</w:t>
                            </w:r>
                            <w:r>
                              <w:rPr>
                                <w:spacing w:val="-20"/>
                                <w:sz w:val="8"/>
                              </w:rPr>
                              <w:t>G</w:t>
                            </w:r>
                            <w:r>
                              <w:rPr>
                                <w:color w:val="FFFFFF"/>
                                <w:spacing w:val="-20"/>
                                <w:sz w:val="8"/>
                              </w:rPr>
                              <w:t>T</w:t>
                            </w:r>
                            <w:r>
                              <w:rPr>
                                <w:spacing w:val="-20"/>
                                <w:sz w:val="8"/>
                              </w:rPr>
                              <w:t>U</w:t>
                            </w:r>
                            <w:r>
                              <w:rPr>
                                <w:color w:val="FFFFFF"/>
                                <w:spacing w:val="-20"/>
                                <w:sz w:val="8"/>
                              </w:rPr>
                              <w:t>E</w:t>
                            </w:r>
                            <w:r>
                              <w:rPr>
                                <w:spacing w:val="-20"/>
                                <w:sz w:val="8"/>
                              </w:rPr>
                              <w:t>NDA</w:t>
                            </w:r>
                          </w:p>
                        </w:txbxContent>
                      </wps:txbx>
                      <wps:bodyPr vert="vert270" wrap="square" lIns="0" tIns="0" rIns="0" bIns="0" rtlCol="0">
                        <a:noAutofit/>
                      </wps:bodyPr>
                    </wps:wsp>
                  </a:graphicData>
                </a:graphic>
              </wp:anchor>
            </w:drawing>
          </mc:Choice>
          <mc:Fallback>
            <w:pict>
              <v:shape w14:anchorId="1302DFDE" id="Textbox 180" o:spid="_x0000_s1098" type="#_x0000_t202" style="position:absolute;left:0;text-align:left;margin-left:575.75pt;margin-top:19.95pt;width:6.7pt;height:22.65pt;z-index:251658278;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" filled="f" stroked="f">
                <v:textbox style="layout-flow:vertical;mso-layout-flow-alt:bottom-to-top" inset="0,0,0,0">
                  <w:txbxContent>
                    <w:p w14:paraId="3D01F31A" w14:textId="77777777" w:rsidR="0014798C" w:rsidRDefault="004E1F0B">
                      <w:pPr>
                        <w:spacing w:before="20"/>
                        <w:ind w:left="20"/>
                        <w:rPr>
                          <w:sz w:val="8"/>
                        </w:rPr>
                      </w:pPr>
                      <w:r>
                        <w:rPr>
                          <w:color w:val="FFFFFF"/>
                          <w:spacing w:val="-37"/>
                          <w:sz w:val="8"/>
                        </w:rPr>
                        <w:t>P–I</w:t>
                      </w:r>
                      <w:r>
                        <w:rPr>
                          <w:spacing w:val="-37"/>
                          <w:sz w:val="8"/>
                        </w:rPr>
                        <w:t>S</w:t>
                      </w:r>
                      <w:r>
                        <w:rPr>
                          <w:color w:val="FFFFFF"/>
                          <w:spacing w:val="-37"/>
                          <w:sz w:val="8"/>
                        </w:rPr>
                        <w:t>I</w:t>
                      </w:r>
                      <w:r>
                        <w:rPr>
                          <w:color w:val="FFFFFF"/>
                          <w:spacing w:val="-8"/>
                          <w:sz w:val="8"/>
                        </w:rPr>
                        <w:t xml:space="preserve"> </w:t>
                      </w:r>
                      <w:r>
                        <w:rPr>
                          <w:color w:val="FFFFFF"/>
                          <w:spacing w:val="-20"/>
                          <w:sz w:val="8"/>
                        </w:rPr>
                        <w:t>A</w:t>
                      </w:r>
                      <w:r>
                        <w:rPr>
                          <w:spacing w:val="-20"/>
                          <w:sz w:val="8"/>
                        </w:rPr>
                        <w:t>E</w:t>
                      </w:r>
                      <w:r>
                        <w:rPr>
                          <w:color w:val="FFFFFF"/>
                          <w:spacing w:val="-20"/>
                          <w:sz w:val="8"/>
                        </w:rPr>
                        <w:t>R</w:t>
                      </w:r>
                      <w:r>
                        <w:rPr>
                          <w:spacing w:val="-20"/>
                          <w:sz w:val="8"/>
                        </w:rPr>
                        <w:t>G</w:t>
                      </w:r>
                      <w:r>
                        <w:rPr>
                          <w:color w:val="FFFFFF"/>
                          <w:spacing w:val="-20"/>
                          <w:sz w:val="8"/>
                        </w:rPr>
                        <w:t>T</w:t>
                      </w:r>
                      <w:r>
                        <w:rPr>
                          <w:spacing w:val="-20"/>
                          <w:sz w:val="8"/>
                        </w:rPr>
                        <w:t>U</w:t>
                      </w:r>
                      <w:r>
                        <w:rPr>
                          <w:color w:val="FFFFFF"/>
                          <w:spacing w:val="-20"/>
                          <w:sz w:val="8"/>
                        </w:rPr>
                        <w:t>E</w:t>
                      </w:r>
                      <w:r>
                        <w:rPr>
                          <w:spacing w:val="-20"/>
                          <w:sz w:val="8"/>
                        </w:rPr>
                        <w:t>NDA</w:t>
                      </w:r>
                    </w:p>
                  </w:txbxContent>
                </v:textbox>
                <w10:wrap anchorx="page"/>
              </v:shape>
            </w:pict>
          </mc:Fallback>
        </mc:AlternateContent>
      </w:r>
      <w:r>
        <w:rPr>
          <w:sz w:val="17"/>
        </w:rPr>
        <w:t>Las leyes contra la discriminación deben prever sanciones por discriminación que sean efectivas y disuasorias.</w:t>
      </w:r>
      <w:r>
        <w:rPr>
          <w:spacing w:val="80"/>
          <w:sz w:val="17"/>
        </w:rPr>
        <w:t xml:space="preserve"> </w:t>
      </w:r>
      <w:r>
        <w:rPr>
          <w:sz w:val="17"/>
        </w:rPr>
        <w:t>y proporcionada.</w:t>
      </w:r>
    </w:p>
    <w:p w14:paraId="3E930D40" w14:textId="77777777" w:rsidR="0014798C" w:rsidRDefault="004E1F0B">
      <w:pPr>
        <w:pStyle w:val="Prrafodelista"/>
        <w:numPr>
          <w:ilvl w:val="0"/>
          <w:numId w:val="50"/>
        </w:numPr>
        <w:tabs>
          <w:tab w:val="left" w:pos="1465"/>
          <w:tab w:val="left" w:pos="1561"/>
        </w:tabs>
        <w:spacing w:before="112" w:line="307" w:lineRule="auto"/>
        <w:ind w:left="1561" w:right="1374" w:hanging="203"/>
        <w:rPr>
          <w:sz w:val="17"/>
        </w:rPr>
      </w:pPr>
      <w:r>
        <w:rPr>
          <w:sz w:val="17"/>
        </w:rPr>
        <w:t>Las leyes contra la discriminación deben prever el reconocimiento y la reparación de las víctimas de discriminación, incluso</w:t>
      </w:r>
      <w:r>
        <w:rPr>
          <w:spacing w:val="14"/>
          <w:sz w:val="17"/>
        </w:rPr>
        <w:t xml:space="preserve"> </w:t>
      </w:r>
      <w:r>
        <w:rPr>
          <w:sz w:val="17"/>
        </w:rPr>
        <w:t>en</w:t>
      </w:r>
      <w:r>
        <w:rPr>
          <w:spacing w:val="14"/>
          <w:sz w:val="17"/>
        </w:rPr>
        <w:t xml:space="preserve"> </w:t>
      </w:r>
      <w:r>
        <w:rPr>
          <w:sz w:val="17"/>
        </w:rPr>
        <w:t>forma</w:t>
      </w:r>
      <w:r>
        <w:rPr>
          <w:spacing w:val="14"/>
          <w:sz w:val="17"/>
        </w:rPr>
        <w:t xml:space="preserve"> </w:t>
      </w:r>
      <w:r>
        <w:rPr>
          <w:sz w:val="17"/>
        </w:rPr>
        <w:t>de</w:t>
      </w:r>
      <w:r>
        <w:rPr>
          <w:spacing w:val="14"/>
          <w:sz w:val="17"/>
        </w:rPr>
        <w:t xml:space="preserve"> </w:t>
      </w:r>
      <w:r>
        <w:rPr>
          <w:sz w:val="17"/>
        </w:rPr>
        <w:t>compensación,</w:t>
      </w:r>
      <w:r>
        <w:rPr>
          <w:spacing w:val="16"/>
          <w:sz w:val="17"/>
        </w:rPr>
        <w:t xml:space="preserve"> </w:t>
      </w:r>
      <w:r>
        <w:rPr>
          <w:sz w:val="17"/>
        </w:rPr>
        <w:t>restitución</w:t>
      </w:r>
      <w:r>
        <w:rPr>
          <w:spacing w:val="14"/>
          <w:sz w:val="17"/>
        </w:rPr>
        <w:t xml:space="preserve"> </w:t>
      </w:r>
      <w:r>
        <w:rPr>
          <w:sz w:val="17"/>
        </w:rPr>
        <w:t>y</w:t>
      </w:r>
      <w:r>
        <w:rPr>
          <w:spacing w:val="14"/>
          <w:sz w:val="17"/>
        </w:rPr>
        <w:t xml:space="preserve"> </w:t>
      </w:r>
      <w:r>
        <w:rPr>
          <w:sz w:val="17"/>
        </w:rPr>
        <w:t>rehabilitación.</w:t>
      </w:r>
      <w:r>
        <w:rPr>
          <w:spacing w:val="16"/>
          <w:sz w:val="17"/>
        </w:rPr>
        <w:t xml:space="preserve"> </w:t>
      </w:r>
      <w:r>
        <w:rPr>
          <w:sz w:val="17"/>
        </w:rPr>
        <w:t>Las</w:t>
      </w:r>
      <w:r>
        <w:rPr>
          <w:spacing w:val="14"/>
          <w:sz w:val="17"/>
        </w:rPr>
        <w:t xml:space="preserve"> </w:t>
      </w:r>
      <w:r>
        <w:rPr>
          <w:sz w:val="17"/>
        </w:rPr>
        <w:t>reparaciones</w:t>
      </w:r>
      <w:r>
        <w:rPr>
          <w:spacing w:val="14"/>
          <w:sz w:val="17"/>
        </w:rPr>
        <w:t xml:space="preserve"> </w:t>
      </w:r>
      <w:r>
        <w:rPr>
          <w:sz w:val="17"/>
        </w:rPr>
        <w:t>deben</w:t>
      </w:r>
      <w:r>
        <w:rPr>
          <w:spacing w:val="14"/>
          <w:sz w:val="17"/>
        </w:rPr>
        <w:t xml:space="preserve"> </w:t>
      </w:r>
      <w:r>
        <w:rPr>
          <w:sz w:val="17"/>
        </w:rPr>
        <w:t>centrarse</w:t>
      </w:r>
      <w:r>
        <w:rPr>
          <w:spacing w:val="14"/>
          <w:sz w:val="17"/>
        </w:rPr>
        <w:t xml:space="preserve"> </w:t>
      </w:r>
      <w:r>
        <w:rPr>
          <w:sz w:val="17"/>
        </w:rPr>
        <w:t>en</w:t>
      </w:r>
      <w:r>
        <w:rPr>
          <w:spacing w:val="14"/>
          <w:sz w:val="17"/>
        </w:rPr>
        <w:t xml:space="preserve"> </w:t>
      </w:r>
      <w:r>
        <w:rPr>
          <w:sz w:val="17"/>
        </w:rPr>
        <w:t>las</w:t>
      </w:r>
      <w:r>
        <w:rPr>
          <w:spacing w:val="14"/>
          <w:sz w:val="17"/>
        </w:rPr>
        <w:t xml:space="preserve"> </w:t>
      </w:r>
      <w:r>
        <w:rPr>
          <w:sz w:val="17"/>
        </w:rPr>
        <w:t>víctimas y ser sensibles a la igualdad.</w:t>
      </w:r>
    </w:p>
    <w:p w14:paraId="2A70290B" w14:textId="77777777" w:rsidR="0014798C" w:rsidRDefault="004E1F0B">
      <w:pPr>
        <w:pStyle w:val="Prrafodelista"/>
        <w:numPr>
          <w:ilvl w:val="0"/>
          <w:numId w:val="50"/>
        </w:numPr>
        <w:tabs>
          <w:tab w:val="left" w:pos="1465"/>
          <w:tab w:val="left" w:pos="1564"/>
        </w:tabs>
        <w:spacing w:before="112" w:line="307" w:lineRule="auto"/>
        <w:ind w:left="1564" w:right="1602" w:hanging="206"/>
        <w:rPr>
          <w:sz w:val="17"/>
        </w:rPr>
      </w:pPr>
      <w:r>
        <w:rPr>
          <w:sz w:val="17"/>
        </w:rPr>
        <w:t>Las leyes contra la discriminación deberían facultar a los tribunales y organismos responsables de determinar casos de discriminación para ordenar las medidas institucionales o sociales que sean apropiadas para corregir, disuadir y prevenir la discriminación y garantizar la no repetición.</w:t>
      </w:r>
    </w:p>
    <w:p w14:paraId="2BE347D7" w14:textId="77777777" w:rsidR="0014798C" w:rsidRDefault="004E1F0B">
      <w:pPr>
        <w:pStyle w:val="Prrafodelista"/>
        <w:numPr>
          <w:ilvl w:val="0"/>
          <w:numId w:val="50"/>
        </w:numPr>
        <w:tabs>
          <w:tab w:val="left" w:pos="1465"/>
          <w:tab w:val="left" w:pos="1561"/>
        </w:tabs>
        <w:spacing w:before="112" w:line="307" w:lineRule="auto"/>
        <w:ind w:left="1561" w:right="1615" w:hanging="203"/>
        <w:rPr>
          <w:sz w:val="17"/>
        </w:rPr>
      </w:pPr>
      <w:r>
        <w:rPr>
          <w:sz w:val="17"/>
        </w:rPr>
        <w:t>En situaciones en las que las leyes nacionales especifican tipos de recursos para las víctimas de discriminación, dichas listas de posibles recursos no deben ser exhaustivas; los tribunales y otros órganos de decisión deben tener discreción y alcance para diseñar remedios que sean apropiados en tipo, alcance y orden al daño en cuestión en cualquier caso particular.</w:t>
      </w:r>
    </w:p>
    <w:p w14:paraId="4947C977" w14:textId="77777777" w:rsidR="0014798C" w:rsidRDefault="0014798C">
      <w:pPr>
        <w:pStyle w:val="Textoindependiente"/>
        <w:rPr>
          <w:sz w:val="17"/>
        </w:rPr>
      </w:pPr>
    </w:p>
    <w:p w14:paraId="6208A335" w14:textId="77777777" w:rsidR="0014798C" w:rsidRDefault="0014798C">
      <w:pPr>
        <w:pStyle w:val="Textoindependiente"/>
        <w:spacing w:before="116"/>
        <w:rPr>
          <w:sz w:val="17"/>
        </w:rPr>
      </w:pPr>
    </w:p>
    <w:p w14:paraId="006A2550" w14:textId="77777777" w:rsidR="0014798C" w:rsidRDefault="004E1F0B">
      <w:pPr>
        <w:spacing w:line="307" w:lineRule="auto"/>
        <w:ind w:left="1110" w:right="1272" w:firstLine="2"/>
        <w:rPr>
          <w:sz w:val="17"/>
        </w:rPr>
      </w:pPr>
      <w:r>
        <w:rPr>
          <w:sz w:val="17"/>
        </w:rPr>
        <w:t>Los Estados no cumplen con su obligación de brindar protección contra la discriminación simplemente prohibiendo la discriminación por ley. También deben garantizar que el derecho a la no discriminación sea efectivo en la práctica. Un elemento esencial para garantizar esta eficacia es garantizar que se remedien las violaciones del derecho, se apliquen sanciones, se proporcione a las víctimas reconocimiento, compensación y restitución, y se tomen medidas para garantizar</w:t>
      </w:r>
      <w:r>
        <w:rPr>
          <w:spacing w:val="40"/>
          <w:sz w:val="17"/>
        </w:rPr>
        <w:t xml:space="preserve"> </w:t>
      </w:r>
      <w:r>
        <w:rPr>
          <w:sz w:val="17"/>
        </w:rPr>
        <w:t>la no repetición.</w:t>
      </w:r>
    </w:p>
    <w:p w14:paraId="0326279D" w14:textId="77777777" w:rsidR="0014798C" w:rsidRDefault="004E1F0B">
      <w:pPr>
        <w:spacing w:before="168" w:line="307" w:lineRule="auto"/>
        <w:ind w:left="1105" w:right="1463"/>
        <w:rPr>
          <w:sz w:val="17"/>
        </w:rPr>
      </w:pPr>
      <w:r>
        <w:rPr>
          <w:sz w:val="17"/>
        </w:rPr>
        <w:t>El derecho a un recurso efectivo en caso de discriminación abarca una serie de elementos. En primer lugar, un recurso efectivo implica llevar a los perpetradores ante la justicia y garantizar la aplicación de sanciones efectivas. En segundo lugar, requiere reparaciones sensibles a la igualdad en forma de compensación por daños materiales y morales, junto</w:t>
      </w:r>
      <w:r>
        <w:rPr>
          <w:spacing w:val="80"/>
          <w:sz w:val="17"/>
        </w:rPr>
        <w:t xml:space="preserve"> </w:t>
      </w:r>
      <w:r>
        <w:rPr>
          <w:sz w:val="17"/>
        </w:rPr>
        <w:t>con las medidas de restitución y rehabilitación necesarias para devolver a las víctimas a las situaciones que habrían disfrutado si no hubiera ocurrido la discriminación. Las reparaciones sensibles a la igualdad son aquellas que “toman en cuenta las relaciones... y los desequilibrios de poder preexistentes” entre diferentes grupos “para garantizar una evaluación justa del daño infligido” y “la igualdad de acceso a la reparación y de los beneficios de ésta”.568 Incluidas</w:t>
      </w:r>
    </w:p>
    <w:p w14:paraId="69CA5254" w14:textId="77777777" w:rsidR="0014798C" w:rsidRDefault="004E1F0B">
      <w:pPr>
        <w:spacing w:line="307" w:lineRule="auto"/>
        <w:ind w:left="1106" w:right="9" w:firstLine="1"/>
        <w:rPr>
          <w:sz w:val="17"/>
        </w:rPr>
      </w:pPr>
      <w:r>
        <w:rPr>
          <w:sz w:val="17"/>
        </w:rPr>
        <w:t>dentro la reparación es el elemento esencial del reconocimiento del daño, incluido, cuando corresponda, el debido reconocimiento público En tercer lugar, un recurso efectivo requiere la adopción e implementación de medidas que vayan más allá de abordar y</w:t>
      </w:r>
    </w:p>
    <w:p w14:paraId="11C550DF" w14:textId="77777777" w:rsidR="0014798C" w:rsidRDefault="004E1F0B">
      <w:pPr>
        <w:spacing w:line="307" w:lineRule="auto"/>
        <w:ind w:left="1108" w:right="1405" w:firstLine="3"/>
        <w:jc w:val="both"/>
        <w:rPr>
          <w:sz w:val="17"/>
        </w:rPr>
      </w:pPr>
      <w:r>
        <w:rPr>
          <w:sz w:val="17"/>
        </w:rPr>
        <w:t>corregir el daño sufrido por un denunciante y, en cambio, se centren en remediar y abordar las causas y consecuencias de la discriminación histórica, estructural o sistémica. Estos tres elementos diferentes de reparación pueden entenderse como centrados en la víctima, centrados en el perpetrador y dirigidos a la sociedad, respectivamente.</w:t>
      </w:r>
    </w:p>
    <w:p w14:paraId="59BC38E7" w14:textId="77777777" w:rsidR="0014798C" w:rsidRDefault="004E1F0B">
      <w:pPr>
        <w:spacing w:before="152" w:line="307" w:lineRule="auto"/>
        <w:ind w:left="1107" w:right="1288" w:hanging="1"/>
        <w:rPr>
          <w:sz w:val="17"/>
        </w:rPr>
      </w:pPr>
      <w:r>
        <w:rPr>
          <w:sz w:val="18"/>
        </w:rPr>
        <w:t xml:space="preserve">Se puede entender que el tercer grupo de remedios incluye tanto remedios institucionales como remedios sociales. </w:t>
      </w:r>
      <w:r>
        <w:rPr>
          <w:sz w:val="17"/>
        </w:rPr>
        <w:t>Los remedios institucionales son aquellos que exigen la eliminación de leyes, políticas o prácticas discriminatorias y requieren reformas o cambios organizativos o estructurales necesarios para rectificar la discriminación y evitar su repetición. Los remedios sociales incluyen programas de educación y sensibilización, monumentos conmemorativos y disculpas</w:t>
      </w:r>
      <w:r>
        <w:rPr>
          <w:spacing w:val="18"/>
          <w:sz w:val="17"/>
        </w:rPr>
        <w:t xml:space="preserve"> </w:t>
      </w:r>
      <w:r>
        <w:rPr>
          <w:sz w:val="17"/>
        </w:rPr>
        <w:t>públicas</w:t>
      </w:r>
      <w:r>
        <w:rPr>
          <w:spacing w:val="18"/>
          <w:sz w:val="17"/>
        </w:rPr>
        <w:t xml:space="preserve"> </w:t>
      </w:r>
      <w:r>
        <w:rPr>
          <w:sz w:val="17"/>
        </w:rPr>
        <w:t>y</w:t>
      </w:r>
      <w:r>
        <w:rPr>
          <w:spacing w:val="18"/>
          <w:sz w:val="17"/>
        </w:rPr>
        <w:t xml:space="preserve"> </w:t>
      </w:r>
      <w:r>
        <w:rPr>
          <w:sz w:val="17"/>
        </w:rPr>
        <w:t>otras</w:t>
      </w:r>
      <w:r>
        <w:rPr>
          <w:spacing w:val="18"/>
          <w:sz w:val="17"/>
        </w:rPr>
        <w:t xml:space="preserve"> </w:t>
      </w:r>
      <w:r>
        <w:rPr>
          <w:sz w:val="17"/>
        </w:rPr>
        <w:t>medidas</w:t>
      </w:r>
      <w:r>
        <w:rPr>
          <w:spacing w:val="18"/>
          <w:sz w:val="17"/>
        </w:rPr>
        <w:t xml:space="preserve"> </w:t>
      </w:r>
      <w:r>
        <w:rPr>
          <w:sz w:val="17"/>
        </w:rPr>
        <w:t>diseñadas</w:t>
      </w:r>
      <w:r>
        <w:rPr>
          <w:spacing w:val="18"/>
          <w:sz w:val="17"/>
        </w:rPr>
        <w:t xml:space="preserve"> </w:t>
      </w:r>
      <w:r>
        <w:rPr>
          <w:sz w:val="17"/>
        </w:rPr>
        <w:t>para</w:t>
      </w:r>
      <w:r>
        <w:rPr>
          <w:spacing w:val="18"/>
          <w:sz w:val="17"/>
        </w:rPr>
        <w:t xml:space="preserve"> </w:t>
      </w:r>
      <w:r>
        <w:rPr>
          <w:sz w:val="17"/>
        </w:rPr>
        <w:t>remediar</w:t>
      </w:r>
      <w:r>
        <w:rPr>
          <w:spacing w:val="18"/>
          <w:sz w:val="17"/>
        </w:rPr>
        <w:t xml:space="preserve"> </w:t>
      </w:r>
      <w:r>
        <w:rPr>
          <w:sz w:val="17"/>
        </w:rPr>
        <w:t>las</w:t>
      </w:r>
      <w:r>
        <w:rPr>
          <w:spacing w:val="18"/>
          <w:sz w:val="17"/>
        </w:rPr>
        <w:t xml:space="preserve"> </w:t>
      </w:r>
      <w:r>
        <w:rPr>
          <w:sz w:val="17"/>
        </w:rPr>
        <w:t>desventajas</w:t>
      </w:r>
      <w:r>
        <w:rPr>
          <w:spacing w:val="18"/>
          <w:sz w:val="17"/>
        </w:rPr>
        <w:t xml:space="preserve"> </w:t>
      </w:r>
      <w:r>
        <w:rPr>
          <w:sz w:val="17"/>
        </w:rPr>
        <w:t>del</w:t>
      </w:r>
      <w:r>
        <w:rPr>
          <w:spacing w:val="18"/>
          <w:sz w:val="17"/>
        </w:rPr>
        <w:t xml:space="preserve"> </w:t>
      </w:r>
      <w:r>
        <w:rPr>
          <w:sz w:val="17"/>
        </w:rPr>
        <w:t>pasado,</w:t>
      </w:r>
      <w:r>
        <w:rPr>
          <w:spacing w:val="19"/>
          <w:sz w:val="17"/>
        </w:rPr>
        <w:t xml:space="preserve"> </w:t>
      </w:r>
      <w:r>
        <w:rPr>
          <w:sz w:val="17"/>
        </w:rPr>
        <w:t>abordar</w:t>
      </w:r>
      <w:r>
        <w:rPr>
          <w:spacing w:val="18"/>
          <w:sz w:val="17"/>
        </w:rPr>
        <w:t xml:space="preserve"> </w:t>
      </w:r>
      <w:r>
        <w:rPr>
          <w:sz w:val="17"/>
        </w:rPr>
        <w:t>las</w:t>
      </w:r>
      <w:r>
        <w:rPr>
          <w:spacing w:val="18"/>
          <w:sz w:val="17"/>
        </w:rPr>
        <w:t xml:space="preserve"> </w:t>
      </w:r>
      <w:r>
        <w:rPr>
          <w:sz w:val="17"/>
        </w:rPr>
        <w:t>causas</w:t>
      </w:r>
      <w:r>
        <w:rPr>
          <w:spacing w:val="18"/>
          <w:sz w:val="17"/>
        </w:rPr>
        <w:t xml:space="preserve"> </w:t>
      </w:r>
      <w:r>
        <w:rPr>
          <w:sz w:val="17"/>
        </w:rPr>
        <w:t>profundas de la discriminación, exponer, discutir y abordar los prejuicios, los estereotipos y el estigma, y generar solidaridad con las</w:t>
      </w:r>
    </w:p>
    <w:p w14:paraId="24DFD11C" w14:textId="77777777" w:rsidR="0014798C" w:rsidRDefault="004E1F0B">
      <w:pPr>
        <w:spacing w:line="190" w:lineRule="exact"/>
        <w:ind w:left="1107"/>
        <w:rPr>
          <w:sz w:val="17"/>
        </w:rPr>
      </w:pPr>
      <w:r>
        <w:rPr>
          <w:sz w:val="17"/>
        </w:rPr>
        <w:t>personas</w:t>
      </w:r>
      <w:r>
        <w:rPr>
          <w:spacing w:val="1"/>
          <w:sz w:val="17"/>
        </w:rPr>
        <w:t xml:space="preserve"> </w:t>
      </w:r>
      <w:r>
        <w:rPr>
          <w:sz w:val="17"/>
        </w:rPr>
        <w:t>y</w:t>
      </w:r>
      <w:r>
        <w:rPr>
          <w:spacing w:val="1"/>
          <w:sz w:val="17"/>
        </w:rPr>
        <w:t xml:space="preserve"> </w:t>
      </w:r>
      <w:r>
        <w:rPr>
          <w:sz w:val="17"/>
        </w:rPr>
        <w:t>grupos</w:t>
      </w:r>
      <w:r>
        <w:rPr>
          <w:spacing w:val="1"/>
          <w:sz w:val="17"/>
        </w:rPr>
        <w:t xml:space="preserve"> </w:t>
      </w:r>
      <w:r>
        <w:rPr>
          <w:sz w:val="17"/>
        </w:rPr>
        <w:t>afectados.</w:t>
      </w:r>
      <w:r>
        <w:rPr>
          <w:spacing w:val="2"/>
          <w:sz w:val="17"/>
        </w:rPr>
        <w:t xml:space="preserve"> </w:t>
      </w:r>
      <w:r>
        <w:rPr>
          <w:sz w:val="17"/>
        </w:rPr>
        <w:t>Los</w:t>
      </w:r>
      <w:r>
        <w:rPr>
          <w:spacing w:val="1"/>
          <w:sz w:val="17"/>
        </w:rPr>
        <w:t xml:space="preserve"> </w:t>
      </w:r>
      <w:r>
        <w:rPr>
          <w:sz w:val="17"/>
        </w:rPr>
        <w:t>recursos</w:t>
      </w:r>
      <w:r>
        <w:rPr>
          <w:spacing w:val="1"/>
          <w:sz w:val="17"/>
        </w:rPr>
        <w:t xml:space="preserve"> </w:t>
      </w:r>
      <w:r>
        <w:rPr>
          <w:sz w:val="17"/>
        </w:rPr>
        <w:t>de</w:t>
      </w:r>
      <w:r>
        <w:rPr>
          <w:spacing w:val="1"/>
          <w:sz w:val="17"/>
        </w:rPr>
        <w:t xml:space="preserve"> </w:t>
      </w:r>
      <w:r>
        <w:rPr>
          <w:sz w:val="17"/>
        </w:rPr>
        <w:t>esta</w:t>
      </w:r>
      <w:r>
        <w:rPr>
          <w:spacing w:val="1"/>
          <w:sz w:val="17"/>
        </w:rPr>
        <w:t xml:space="preserve"> </w:t>
      </w:r>
      <w:r>
        <w:rPr>
          <w:sz w:val="17"/>
        </w:rPr>
        <w:t>naturaleza</w:t>
      </w:r>
      <w:r>
        <w:rPr>
          <w:spacing w:val="1"/>
          <w:sz w:val="17"/>
        </w:rPr>
        <w:t xml:space="preserve"> </w:t>
      </w:r>
      <w:r>
        <w:rPr>
          <w:sz w:val="17"/>
        </w:rPr>
        <w:t>reflejan</w:t>
      </w:r>
      <w:r>
        <w:rPr>
          <w:spacing w:val="1"/>
          <w:sz w:val="17"/>
        </w:rPr>
        <w:t xml:space="preserve"> </w:t>
      </w:r>
      <w:r>
        <w:rPr>
          <w:sz w:val="17"/>
        </w:rPr>
        <w:t>la</w:t>
      </w:r>
      <w:r>
        <w:rPr>
          <w:spacing w:val="1"/>
          <w:sz w:val="17"/>
        </w:rPr>
        <w:t xml:space="preserve"> </w:t>
      </w:r>
      <w:r>
        <w:rPr>
          <w:sz w:val="17"/>
        </w:rPr>
        <w:t>importancia</w:t>
      </w:r>
      <w:r>
        <w:rPr>
          <w:spacing w:val="1"/>
          <w:sz w:val="17"/>
        </w:rPr>
        <w:t xml:space="preserve"> </w:t>
      </w:r>
      <w:r>
        <w:rPr>
          <w:sz w:val="17"/>
        </w:rPr>
        <w:t>de</w:t>
      </w:r>
      <w:r>
        <w:rPr>
          <w:spacing w:val="1"/>
          <w:sz w:val="17"/>
        </w:rPr>
        <w:t xml:space="preserve"> </w:t>
      </w:r>
      <w:r>
        <w:rPr>
          <w:sz w:val="17"/>
        </w:rPr>
        <w:t>la</w:t>
      </w:r>
      <w:r>
        <w:rPr>
          <w:spacing w:val="1"/>
          <w:sz w:val="17"/>
        </w:rPr>
        <w:t xml:space="preserve"> </w:t>
      </w:r>
      <w:r>
        <w:rPr>
          <w:sz w:val="17"/>
        </w:rPr>
        <w:t>no</w:t>
      </w:r>
      <w:r>
        <w:rPr>
          <w:spacing w:val="1"/>
          <w:sz w:val="17"/>
        </w:rPr>
        <w:t xml:space="preserve"> </w:t>
      </w:r>
      <w:r>
        <w:rPr>
          <w:sz w:val="17"/>
        </w:rPr>
        <w:t>repetición</w:t>
      </w:r>
      <w:r>
        <w:rPr>
          <w:spacing w:val="1"/>
          <w:sz w:val="17"/>
        </w:rPr>
        <w:t xml:space="preserve"> </w:t>
      </w:r>
      <w:r>
        <w:rPr>
          <w:sz w:val="17"/>
        </w:rPr>
        <w:t>como</w:t>
      </w:r>
      <w:r>
        <w:rPr>
          <w:spacing w:val="1"/>
          <w:sz w:val="17"/>
        </w:rPr>
        <w:t xml:space="preserve"> </w:t>
      </w:r>
      <w:r>
        <w:rPr>
          <w:sz w:val="17"/>
        </w:rPr>
        <w:t>elemento</w:t>
      </w:r>
      <w:r>
        <w:rPr>
          <w:spacing w:val="1"/>
          <w:sz w:val="17"/>
        </w:rPr>
        <w:t xml:space="preserve"> </w:t>
      </w:r>
      <w:r>
        <w:rPr>
          <w:sz w:val="17"/>
        </w:rPr>
        <w:t>esencial</w:t>
      </w:r>
      <w:r>
        <w:rPr>
          <w:spacing w:val="1"/>
          <w:sz w:val="17"/>
        </w:rPr>
        <w:t xml:space="preserve"> </w:t>
      </w:r>
      <w:r>
        <w:rPr>
          <w:sz w:val="17"/>
        </w:rPr>
        <w:t>de</w:t>
      </w:r>
      <w:r>
        <w:rPr>
          <w:spacing w:val="1"/>
          <w:sz w:val="17"/>
        </w:rPr>
        <w:t xml:space="preserve"> </w:t>
      </w:r>
      <w:r>
        <w:rPr>
          <w:spacing w:val="-5"/>
          <w:sz w:val="17"/>
        </w:rPr>
        <w:t>una</w:t>
      </w:r>
    </w:p>
    <w:p w14:paraId="3965D4D2" w14:textId="77777777" w:rsidR="0014798C" w:rsidRDefault="0014798C">
      <w:pPr>
        <w:pStyle w:val="Textoindependiente"/>
        <w:rPr>
          <w:sz w:val="13"/>
        </w:rPr>
      </w:pPr>
    </w:p>
    <w:p w14:paraId="12A2583B" w14:textId="77777777" w:rsidR="0014798C" w:rsidRDefault="0014798C">
      <w:pPr>
        <w:pStyle w:val="Textoindependiente"/>
        <w:rPr>
          <w:sz w:val="13"/>
        </w:rPr>
      </w:pPr>
    </w:p>
    <w:p w14:paraId="791F7E09" w14:textId="77777777" w:rsidR="0014798C" w:rsidRDefault="0014798C">
      <w:pPr>
        <w:pStyle w:val="Textoindependiente"/>
        <w:rPr>
          <w:sz w:val="13"/>
        </w:rPr>
      </w:pPr>
    </w:p>
    <w:p w14:paraId="48331EB9" w14:textId="77777777" w:rsidR="0014798C" w:rsidRDefault="0014798C">
      <w:pPr>
        <w:pStyle w:val="Textoindependiente"/>
        <w:spacing w:before="103"/>
        <w:rPr>
          <w:sz w:val="13"/>
        </w:rPr>
      </w:pPr>
    </w:p>
    <w:p w14:paraId="6C2E77FF" w14:textId="77777777" w:rsidR="0014798C" w:rsidRDefault="004E1F0B">
      <w:pPr>
        <w:pStyle w:val="Prrafodelista"/>
        <w:numPr>
          <w:ilvl w:val="0"/>
          <w:numId w:val="51"/>
        </w:numPr>
        <w:tabs>
          <w:tab w:val="left" w:pos="1372"/>
        </w:tabs>
        <w:ind w:left="1372" w:hanging="265"/>
        <w:rPr>
          <w:sz w:val="13"/>
        </w:rPr>
      </w:pPr>
      <w:r>
        <w:rPr>
          <w:w w:val="105"/>
          <w:sz w:val="13"/>
        </w:rPr>
        <w:t>Secretario</w:t>
      </w:r>
      <w:r>
        <w:rPr>
          <w:spacing w:val="-6"/>
          <w:w w:val="105"/>
          <w:sz w:val="13"/>
        </w:rPr>
        <w:t xml:space="preserve"> </w:t>
      </w:r>
      <w:r>
        <w:rPr>
          <w:w w:val="105"/>
          <w:sz w:val="13"/>
        </w:rPr>
        <w:t>General,</w:t>
      </w:r>
      <w:r>
        <w:rPr>
          <w:spacing w:val="-6"/>
          <w:w w:val="105"/>
          <w:sz w:val="13"/>
        </w:rPr>
        <w:t xml:space="preserve"> </w:t>
      </w:r>
      <w:r>
        <w:rPr>
          <w:w w:val="105"/>
          <w:sz w:val="13"/>
        </w:rPr>
        <w:t>“Nota</w:t>
      </w:r>
      <w:r>
        <w:rPr>
          <w:spacing w:val="-6"/>
          <w:w w:val="105"/>
          <w:sz w:val="13"/>
        </w:rPr>
        <w:t xml:space="preserve"> </w:t>
      </w:r>
      <w:r>
        <w:rPr>
          <w:w w:val="105"/>
          <w:sz w:val="13"/>
        </w:rPr>
        <w:t>orientativa</w:t>
      </w:r>
      <w:r>
        <w:rPr>
          <w:spacing w:val="-6"/>
          <w:w w:val="105"/>
          <w:sz w:val="13"/>
        </w:rPr>
        <w:t xml:space="preserve"> </w:t>
      </w:r>
      <w:r>
        <w:rPr>
          <w:w w:val="105"/>
          <w:sz w:val="13"/>
        </w:rPr>
        <w:t>del</w:t>
      </w:r>
      <w:r>
        <w:rPr>
          <w:spacing w:val="-5"/>
          <w:w w:val="105"/>
          <w:sz w:val="13"/>
        </w:rPr>
        <w:t xml:space="preserve"> </w:t>
      </w:r>
      <w:r>
        <w:rPr>
          <w:w w:val="105"/>
          <w:sz w:val="13"/>
        </w:rPr>
        <w:t>Secretario</w:t>
      </w:r>
      <w:r>
        <w:rPr>
          <w:spacing w:val="-6"/>
          <w:w w:val="105"/>
          <w:sz w:val="13"/>
        </w:rPr>
        <w:t xml:space="preserve"> </w:t>
      </w:r>
      <w:r>
        <w:rPr>
          <w:w w:val="105"/>
          <w:sz w:val="13"/>
        </w:rPr>
        <w:t>General:</w:t>
      </w:r>
      <w:r>
        <w:rPr>
          <w:spacing w:val="-5"/>
          <w:w w:val="105"/>
          <w:sz w:val="13"/>
        </w:rPr>
        <w:t xml:space="preserve"> </w:t>
      </w:r>
      <w:r>
        <w:rPr>
          <w:w w:val="105"/>
          <w:sz w:val="13"/>
        </w:rPr>
        <w:t>reparaciones</w:t>
      </w:r>
      <w:r>
        <w:rPr>
          <w:spacing w:val="-6"/>
          <w:w w:val="105"/>
          <w:sz w:val="13"/>
        </w:rPr>
        <w:t xml:space="preserve"> </w:t>
      </w:r>
      <w:r>
        <w:rPr>
          <w:w w:val="105"/>
          <w:sz w:val="13"/>
        </w:rPr>
        <w:t>por</w:t>
      </w:r>
      <w:r>
        <w:rPr>
          <w:spacing w:val="-5"/>
          <w:w w:val="105"/>
          <w:sz w:val="13"/>
        </w:rPr>
        <w:t xml:space="preserve"> </w:t>
      </w:r>
      <w:r>
        <w:rPr>
          <w:w w:val="105"/>
          <w:sz w:val="13"/>
        </w:rPr>
        <w:t>violencia</w:t>
      </w:r>
      <w:r>
        <w:rPr>
          <w:spacing w:val="-5"/>
          <w:w w:val="105"/>
          <w:sz w:val="13"/>
        </w:rPr>
        <w:t xml:space="preserve"> </w:t>
      </w:r>
      <w:r>
        <w:rPr>
          <w:w w:val="105"/>
          <w:sz w:val="13"/>
        </w:rPr>
        <w:t>sexual</w:t>
      </w:r>
      <w:r>
        <w:rPr>
          <w:spacing w:val="-5"/>
          <w:w w:val="105"/>
          <w:sz w:val="13"/>
        </w:rPr>
        <w:t xml:space="preserve"> </w:t>
      </w:r>
      <w:r>
        <w:rPr>
          <w:w w:val="105"/>
          <w:sz w:val="13"/>
        </w:rPr>
        <w:t>relacionada</w:t>
      </w:r>
      <w:r>
        <w:rPr>
          <w:spacing w:val="-5"/>
          <w:w w:val="105"/>
          <w:sz w:val="13"/>
        </w:rPr>
        <w:t xml:space="preserve"> </w:t>
      </w:r>
      <w:r>
        <w:rPr>
          <w:w w:val="105"/>
          <w:sz w:val="13"/>
        </w:rPr>
        <w:t>con</w:t>
      </w:r>
      <w:r>
        <w:rPr>
          <w:spacing w:val="-5"/>
          <w:w w:val="105"/>
          <w:sz w:val="13"/>
        </w:rPr>
        <w:t xml:space="preserve"> </w:t>
      </w:r>
      <w:r>
        <w:rPr>
          <w:w w:val="105"/>
          <w:sz w:val="13"/>
        </w:rPr>
        <w:t>conflictos”</w:t>
      </w:r>
      <w:r>
        <w:rPr>
          <w:spacing w:val="-6"/>
          <w:w w:val="105"/>
          <w:sz w:val="13"/>
        </w:rPr>
        <w:t xml:space="preserve"> </w:t>
      </w:r>
      <w:r>
        <w:rPr>
          <w:w w:val="105"/>
          <w:sz w:val="13"/>
        </w:rPr>
        <w:t>(2014),</w:t>
      </w:r>
      <w:r>
        <w:rPr>
          <w:spacing w:val="-6"/>
          <w:w w:val="105"/>
          <w:sz w:val="13"/>
        </w:rPr>
        <w:t xml:space="preserve"> </w:t>
      </w:r>
      <w:r>
        <w:rPr>
          <w:spacing w:val="-2"/>
          <w:w w:val="105"/>
          <w:sz w:val="13"/>
        </w:rPr>
        <w:t>págs.</w:t>
      </w:r>
    </w:p>
    <w:p w14:paraId="4DBE54D7" w14:textId="77777777" w:rsidR="0014798C" w:rsidRDefault="004E1F0B">
      <w:pPr>
        <w:spacing w:before="30" w:line="288" w:lineRule="auto"/>
        <w:ind w:left="1369" w:right="1272"/>
        <w:rPr>
          <w:sz w:val="13"/>
        </w:rPr>
      </w:pPr>
      <w:r>
        <w:rPr>
          <w:w w:val="105"/>
          <w:sz w:val="13"/>
        </w:rPr>
        <w:t xml:space="preserve">Disponible en </w:t>
      </w:r>
      <w:hyperlink r:id="rId162">
        <w:r>
          <w:rPr>
            <w:color w:val="0075BF"/>
            <w:w w:val="105"/>
            <w:sz w:val="13"/>
          </w:rPr>
          <w:t>www.ohchr.org/Documents/Press/GuidanceNoteReparationsJune-2014.pdf.</w:t>
        </w:r>
      </w:hyperlink>
      <w:r>
        <w:rPr>
          <w:color w:val="0075BF"/>
          <w:w w:val="105"/>
          <w:sz w:val="13"/>
        </w:rPr>
        <w:t xml:space="preserve"> </w:t>
      </w:r>
      <w:r>
        <w:rPr>
          <w:w w:val="105"/>
          <w:sz w:val="13"/>
        </w:rPr>
        <w:t>Véase también Comité para la Eliminación de la</w:t>
      </w:r>
      <w:r>
        <w:rPr>
          <w:spacing w:val="40"/>
          <w:w w:val="105"/>
          <w:sz w:val="13"/>
        </w:rPr>
        <w:t xml:space="preserve"> </w:t>
      </w:r>
      <w:r>
        <w:rPr>
          <w:w w:val="105"/>
          <w:sz w:val="13"/>
        </w:rPr>
        <w:t>Discriminación contra la Mujer, recomendación general núm. 33 (2015).</w:t>
      </w:r>
    </w:p>
    <w:p w14:paraId="19C9A8D4" w14:textId="77777777" w:rsidR="0014798C" w:rsidRDefault="0014798C">
      <w:pPr>
        <w:pStyle w:val="Textoindependiente"/>
        <w:rPr>
          <w:sz w:val="18"/>
        </w:rPr>
      </w:pPr>
    </w:p>
    <w:p w14:paraId="685E95FE" w14:textId="77777777" w:rsidR="0014798C" w:rsidRDefault="0014798C">
      <w:pPr>
        <w:pStyle w:val="Textoindependiente"/>
        <w:spacing w:before="201"/>
        <w:rPr>
          <w:sz w:val="18"/>
        </w:rPr>
      </w:pPr>
    </w:p>
    <w:p w14:paraId="0FAD2E55" w14:textId="77777777" w:rsidR="0014798C" w:rsidRDefault="004E1F0B">
      <w:pPr>
        <w:ind w:right="720"/>
        <w:jc w:val="right"/>
        <w:rPr>
          <w:sz w:val="18"/>
        </w:rPr>
      </w:pPr>
      <w:r>
        <w:rPr>
          <w:spacing w:val="-5"/>
          <w:sz w:val="18"/>
        </w:rPr>
        <w:t>75</w:t>
      </w:r>
    </w:p>
    <w:p w14:paraId="01D72C6E" w14:textId="77777777" w:rsidR="0014798C" w:rsidRDefault="0014798C">
      <w:pPr>
        <w:jc w:val="right"/>
        <w:rPr>
          <w:sz w:val="18"/>
        </w:rPr>
        <w:sectPr w:rsidR="0014798C" w:rsidSect="00F265E4">
          <w:headerReference w:type="default" r:id="rId163"/>
          <w:pgSz w:w="11900" w:h="16820"/>
          <w:pgMar w:top="40" w:right="0" w:bottom="280" w:left="200" w:header="0" w:footer="0" w:gutter="0"/>
          <w:cols w:space="720"/>
        </w:sectPr>
      </w:pPr>
    </w:p>
    <w:p w14:paraId="36D01842" w14:textId="77777777" w:rsidR="0014798C" w:rsidRDefault="0014798C">
      <w:pPr>
        <w:pStyle w:val="Textoindependiente"/>
        <w:spacing w:before="85"/>
        <w:rPr>
          <w:sz w:val="12"/>
        </w:rPr>
      </w:pPr>
    </w:p>
    <w:p w14:paraId="683F5A78" w14:textId="77777777" w:rsidR="0014798C" w:rsidRDefault="004E1F0B">
      <w:pPr>
        <w:ind w:left="1111"/>
        <w:rPr>
          <w:sz w:val="12"/>
        </w:rPr>
      </w:pPr>
      <w:r>
        <w:rPr>
          <w:color w:val="00AC59"/>
          <w:sz w:val="12"/>
        </w:rPr>
        <w:t>PROTECCIÓN</w:t>
      </w:r>
      <w:r>
        <w:rPr>
          <w:color w:val="00AC59"/>
          <w:spacing w:val="6"/>
          <w:sz w:val="12"/>
        </w:rPr>
        <w:t xml:space="preserve"> </w:t>
      </w:r>
      <w:r>
        <w:rPr>
          <w:color w:val="00AC59"/>
          <w:sz w:val="12"/>
        </w:rPr>
        <w:t>DE</w:t>
      </w:r>
      <w:r>
        <w:rPr>
          <w:color w:val="00AC59"/>
          <w:spacing w:val="7"/>
          <w:sz w:val="12"/>
        </w:rPr>
        <w:t xml:space="preserve"> </w:t>
      </w:r>
      <w:r>
        <w:rPr>
          <w:color w:val="00AC59"/>
          <w:sz w:val="12"/>
        </w:rPr>
        <w:t>LOS</w:t>
      </w:r>
      <w:r>
        <w:rPr>
          <w:color w:val="00AC59"/>
          <w:spacing w:val="8"/>
          <w:sz w:val="12"/>
        </w:rPr>
        <w:t xml:space="preserve"> </w:t>
      </w:r>
      <w:r>
        <w:rPr>
          <w:color w:val="00AC59"/>
          <w:sz w:val="12"/>
        </w:rPr>
        <w:t>DERECHOS</w:t>
      </w:r>
      <w:r>
        <w:rPr>
          <w:color w:val="00AC59"/>
          <w:spacing w:val="8"/>
          <w:sz w:val="12"/>
        </w:rPr>
        <w:t xml:space="preserve"> </w:t>
      </w:r>
      <w:r>
        <w:rPr>
          <w:color w:val="00AC59"/>
          <w:sz w:val="12"/>
        </w:rPr>
        <w:t>DE</w:t>
      </w:r>
      <w:r>
        <w:rPr>
          <w:color w:val="00AC59"/>
          <w:spacing w:val="6"/>
          <w:sz w:val="12"/>
        </w:rPr>
        <w:t xml:space="preserve"> </w:t>
      </w:r>
      <w:r>
        <w:rPr>
          <w:color w:val="00AC59"/>
          <w:sz w:val="12"/>
        </w:rPr>
        <w:t>LAS</w:t>
      </w:r>
      <w:r>
        <w:rPr>
          <w:color w:val="00AC59"/>
          <w:spacing w:val="7"/>
          <w:sz w:val="12"/>
        </w:rPr>
        <w:t xml:space="preserve"> </w:t>
      </w:r>
      <w:r>
        <w:rPr>
          <w:color w:val="00AC59"/>
          <w:sz w:val="12"/>
        </w:rPr>
        <w:t>MINORÍAS:</w:t>
      </w:r>
      <w:r>
        <w:rPr>
          <w:color w:val="00AC59"/>
          <w:spacing w:val="8"/>
          <w:sz w:val="12"/>
        </w:rPr>
        <w:t xml:space="preserve"> </w:t>
      </w:r>
      <w:r>
        <w:rPr>
          <w:color w:val="00AC59"/>
          <w:sz w:val="12"/>
        </w:rPr>
        <w:t>una</w:t>
      </w:r>
      <w:r>
        <w:rPr>
          <w:color w:val="00AC59"/>
          <w:spacing w:val="7"/>
          <w:sz w:val="12"/>
        </w:rPr>
        <w:t xml:space="preserve"> </w:t>
      </w:r>
      <w:r>
        <w:rPr>
          <w:color w:val="00AC59"/>
          <w:sz w:val="12"/>
        </w:rPr>
        <w:t>guía</w:t>
      </w:r>
      <w:r>
        <w:rPr>
          <w:color w:val="00AC59"/>
          <w:spacing w:val="6"/>
          <w:sz w:val="12"/>
        </w:rPr>
        <w:t xml:space="preserve"> </w:t>
      </w:r>
      <w:r>
        <w:rPr>
          <w:color w:val="00AC59"/>
          <w:sz w:val="12"/>
        </w:rPr>
        <w:t>práctica</w:t>
      </w:r>
      <w:r>
        <w:rPr>
          <w:color w:val="00AC59"/>
          <w:spacing w:val="7"/>
          <w:sz w:val="12"/>
        </w:rPr>
        <w:t xml:space="preserve"> </w:t>
      </w:r>
      <w:r>
        <w:rPr>
          <w:color w:val="00AC59"/>
          <w:sz w:val="12"/>
        </w:rPr>
        <w:t>para</w:t>
      </w:r>
      <w:r>
        <w:rPr>
          <w:color w:val="00AC59"/>
          <w:spacing w:val="8"/>
          <w:sz w:val="12"/>
        </w:rPr>
        <w:t xml:space="preserve"> </w:t>
      </w:r>
      <w:r>
        <w:rPr>
          <w:color w:val="00AC59"/>
          <w:sz w:val="12"/>
        </w:rPr>
        <w:t>desarrollar</w:t>
      </w:r>
      <w:r>
        <w:rPr>
          <w:color w:val="00AC59"/>
          <w:spacing w:val="6"/>
          <w:sz w:val="12"/>
        </w:rPr>
        <w:t xml:space="preserve"> </w:t>
      </w:r>
      <w:r>
        <w:rPr>
          <w:color w:val="00AC59"/>
          <w:sz w:val="12"/>
        </w:rPr>
        <w:t>una</w:t>
      </w:r>
      <w:r>
        <w:rPr>
          <w:color w:val="00AC59"/>
          <w:spacing w:val="7"/>
          <w:sz w:val="12"/>
        </w:rPr>
        <w:t xml:space="preserve"> </w:t>
      </w:r>
      <w:r>
        <w:rPr>
          <w:color w:val="00AC59"/>
          <w:sz w:val="12"/>
        </w:rPr>
        <w:t>legislación</w:t>
      </w:r>
      <w:r>
        <w:rPr>
          <w:color w:val="00AC59"/>
          <w:spacing w:val="8"/>
          <w:sz w:val="12"/>
        </w:rPr>
        <w:t xml:space="preserve"> </w:t>
      </w:r>
      <w:r>
        <w:rPr>
          <w:color w:val="00AC59"/>
          <w:sz w:val="12"/>
        </w:rPr>
        <w:t>integral</w:t>
      </w:r>
      <w:r>
        <w:rPr>
          <w:color w:val="00AC59"/>
          <w:spacing w:val="7"/>
          <w:sz w:val="12"/>
        </w:rPr>
        <w:t xml:space="preserve"> </w:t>
      </w:r>
      <w:r>
        <w:rPr>
          <w:color w:val="00AC59"/>
          <w:sz w:val="12"/>
        </w:rPr>
        <w:t>contra</w:t>
      </w:r>
      <w:r>
        <w:rPr>
          <w:color w:val="00AC59"/>
          <w:spacing w:val="6"/>
          <w:sz w:val="12"/>
        </w:rPr>
        <w:t xml:space="preserve"> </w:t>
      </w:r>
      <w:r>
        <w:rPr>
          <w:color w:val="00AC59"/>
          <w:sz w:val="12"/>
        </w:rPr>
        <w:t>la</w:t>
      </w:r>
      <w:r>
        <w:rPr>
          <w:color w:val="00AC59"/>
          <w:spacing w:val="7"/>
          <w:sz w:val="12"/>
        </w:rPr>
        <w:t xml:space="preserve"> </w:t>
      </w:r>
      <w:r>
        <w:rPr>
          <w:color w:val="00AC59"/>
          <w:spacing w:val="-2"/>
          <w:sz w:val="12"/>
        </w:rPr>
        <w:t>discriminación</w:t>
      </w:r>
    </w:p>
    <w:p w14:paraId="617E8ACE" w14:textId="77777777" w:rsidR="0014798C" w:rsidRDefault="0014798C">
      <w:pPr>
        <w:pStyle w:val="Textoindependiente"/>
      </w:pPr>
    </w:p>
    <w:p w14:paraId="4E9FD92D" w14:textId="77777777" w:rsidR="0014798C" w:rsidRDefault="0014798C">
      <w:pPr>
        <w:pStyle w:val="Textoindependiente"/>
      </w:pPr>
    </w:p>
    <w:p w14:paraId="655B731B" w14:textId="77777777" w:rsidR="0014798C" w:rsidRDefault="0014798C">
      <w:pPr>
        <w:pStyle w:val="Textoindependiente"/>
      </w:pPr>
    </w:p>
    <w:p w14:paraId="005BB1E6" w14:textId="77777777" w:rsidR="0014798C" w:rsidRDefault="0014798C">
      <w:pPr>
        <w:pStyle w:val="Textoindependiente"/>
      </w:pPr>
    </w:p>
    <w:p w14:paraId="58C464EC" w14:textId="77777777" w:rsidR="0014798C" w:rsidRDefault="0014798C">
      <w:pPr>
        <w:pStyle w:val="Textoindependiente"/>
        <w:spacing w:before="72"/>
      </w:pPr>
    </w:p>
    <w:p w14:paraId="01609D90" w14:textId="77777777" w:rsidR="0014798C" w:rsidRDefault="004E1F0B">
      <w:pPr>
        <w:pStyle w:val="Textoindependiente"/>
        <w:spacing w:line="326" w:lineRule="auto"/>
        <w:ind w:left="1108" w:right="1272" w:hanging="1"/>
      </w:pPr>
      <w:r>
        <w:t>recurso.</w:t>
      </w:r>
      <w:r>
        <w:rPr>
          <w:spacing w:val="-7"/>
        </w:rPr>
        <w:t xml:space="preserve"> </w:t>
      </w:r>
      <w:r>
        <w:t>También</w:t>
      </w:r>
      <w:r>
        <w:rPr>
          <w:spacing w:val="-8"/>
        </w:rPr>
        <w:t xml:space="preserve"> </w:t>
      </w:r>
      <w:r>
        <w:t>reflejan</w:t>
      </w:r>
      <w:r>
        <w:rPr>
          <w:spacing w:val="-8"/>
        </w:rPr>
        <w:t xml:space="preserve"> </w:t>
      </w:r>
      <w:r>
        <w:t>el</w:t>
      </w:r>
      <w:r>
        <w:rPr>
          <w:spacing w:val="-8"/>
        </w:rPr>
        <w:t xml:space="preserve"> </w:t>
      </w:r>
      <w:r>
        <w:t>hecho</w:t>
      </w:r>
      <w:r>
        <w:rPr>
          <w:spacing w:val="-8"/>
        </w:rPr>
        <w:t xml:space="preserve"> </w:t>
      </w:r>
      <w:r>
        <w:t>de</w:t>
      </w:r>
      <w:r>
        <w:rPr>
          <w:spacing w:val="-8"/>
        </w:rPr>
        <w:t xml:space="preserve"> </w:t>
      </w:r>
      <w:r>
        <w:t>que</w:t>
      </w:r>
      <w:r>
        <w:rPr>
          <w:spacing w:val="-8"/>
        </w:rPr>
        <w:t xml:space="preserve"> </w:t>
      </w:r>
      <w:r>
        <w:t>la</w:t>
      </w:r>
      <w:r>
        <w:rPr>
          <w:spacing w:val="-8"/>
        </w:rPr>
        <w:t xml:space="preserve"> </w:t>
      </w:r>
      <w:r>
        <w:t>discriminación</w:t>
      </w:r>
      <w:r>
        <w:rPr>
          <w:spacing w:val="-8"/>
        </w:rPr>
        <w:t xml:space="preserve"> </w:t>
      </w:r>
      <w:r>
        <w:t>tiene</w:t>
      </w:r>
      <w:r>
        <w:rPr>
          <w:spacing w:val="-8"/>
        </w:rPr>
        <w:t xml:space="preserve"> </w:t>
      </w:r>
      <w:r>
        <w:t>efectos</w:t>
      </w:r>
      <w:r>
        <w:rPr>
          <w:spacing w:val="-9"/>
        </w:rPr>
        <w:t xml:space="preserve"> </w:t>
      </w:r>
      <w:r>
        <w:t>perniciosos</w:t>
      </w:r>
      <w:r>
        <w:rPr>
          <w:spacing w:val="-8"/>
        </w:rPr>
        <w:t xml:space="preserve"> </w:t>
      </w:r>
      <w:r>
        <w:t>y</w:t>
      </w:r>
      <w:r>
        <w:rPr>
          <w:spacing w:val="-8"/>
        </w:rPr>
        <w:t xml:space="preserve"> </w:t>
      </w:r>
      <w:r>
        <w:t>de</w:t>
      </w:r>
      <w:r>
        <w:rPr>
          <w:spacing w:val="-8"/>
        </w:rPr>
        <w:t xml:space="preserve"> </w:t>
      </w:r>
      <w:r>
        <w:t>largo</w:t>
      </w:r>
      <w:r>
        <w:rPr>
          <w:spacing w:val="-8"/>
        </w:rPr>
        <w:t xml:space="preserve"> </w:t>
      </w:r>
      <w:r>
        <w:t>alcance</w:t>
      </w:r>
      <w:r>
        <w:rPr>
          <w:spacing w:val="-8"/>
        </w:rPr>
        <w:t xml:space="preserve"> </w:t>
      </w:r>
      <w:r>
        <w:t>en</w:t>
      </w:r>
      <w:r>
        <w:rPr>
          <w:spacing w:val="-8"/>
        </w:rPr>
        <w:t xml:space="preserve"> </w:t>
      </w:r>
      <w:r>
        <w:t>la</w:t>
      </w:r>
      <w:r>
        <w:rPr>
          <w:spacing w:val="-8"/>
        </w:rPr>
        <w:t xml:space="preserve"> </w:t>
      </w:r>
      <w:r>
        <w:t>sociedad</w:t>
      </w:r>
      <w:r>
        <w:rPr>
          <w:spacing w:val="-8"/>
        </w:rPr>
        <w:t xml:space="preserve"> </w:t>
      </w:r>
      <w:r>
        <w:t>y</w:t>
      </w:r>
      <w:r>
        <w:rPr>
          <w:spacing w:val="-8"/>
        </w:rPr>
        <w:t xml:space="preserve"> </w:t>
      </w:r>
      <w:r>
        <w:t>que</w:t>
      </w:r>
      <w:r>
        <w:rPr>
          <w:spacing w:val="-8"/>
        </w:rPr>
        <w:t xml:space="preserve"> </w:t>
      </w:r>
      <w:r>
        <w:t>puede ser</w:t>
      </w:r>
      <w:r>
        <w:rPr>
          <w:spacing w:val="-4"/>
        </w:rPr>
        <w:t xml:space="preserve"> </w:t>
      </w:r>
      <w:r>
        <w:t>tanto</w:t>
      </w:r>
      <w:r>
        <w:rPr>
          <w:spacing w:val="-4"/>
        </w:rPr>
        <w:t xml:space="preserve"> </w:t>
      </w:r>
      <w:r>
        <w:t>la</w:t>
      </w:r>
      <w:r>
        <w:rPr>
          <w:spacing w:val="-4"/>
        </w:rPr>
        <w:t xml:space="preserve"> </w:t>
      </w:r>
      <w:r>
        <w:t>causa</w:t>
      </w:r>
      <w:r>
        <w:rPr>
          <w:spacing w:val="-4"/>
        </w:rPr>
        <w:t xml:space="preserve"> </w:t>
      </w:r>
      <w:r>
        <w:t>como</w:t>
      </w:r>
      <w:r>
        <w:rPr>
          <w:spacing w:val="-4"/>
        </w:rPr>
        <w:t xml:space="preserve"> </w:t>
      </w:r>
      <w:r>
        <w:t>la</w:t>
      </w:r>
      <w:r>
        <w:rPr>
          <w:spacing w:val="-4"/>
        </w:rPr>
        <w:t xml:space="preserve"> </w:t>
      </w:r>
      <w:r>
        <w:t>consecuencia</w:t>
      </w:r>
      <w:r>
        <w:rPr>
          <w:spacing w:val="-4"/>
        </w:rPr>
        <w:t xml:space="preserve"> </w:t>
      </w:r>
      <w:r>
        <w:t>de</w:t>
      </w:r>
      <w:r>
        <w:rPr>
          <w:spacing w:val="-4"/>
        </w:rPr>
        <w:t xml:space="preserve"> </w:t>
      </w:r>
      <w:r>
        <w:t>fuerzas</w:t>
      </w:r>
      <w:r>
        <w:rPr>
          <w:spacing w:val="-4"/>
        </w:rPr>
        <w:t xml:space="preserve"> </w:t>
      </w:r>
      <w:r>
        <w:t>sociales</w:t>
      </w:r>
      <w:r>
        <w:rPr>
          <w:spacing w:val="-4"/>
        </w:rPr>
        <w:t xml:space="preserve"> </w:t>
      </w:r>
      <w:r>
        <w:t>negativas,</w:t>
      </w:r>
      <w:r>
        <w:rPr>
          <w:spacing w:val="-3"/>
        </w:rPr>
        <w:t xml:space="preserve"> </w:t>
      </w:r>
      <w:r>
        <w:t>como</w:t>
      </w:r>
      <w:r>
        <w:rPr>
          <w:spacing w:val="-4"/>
        </w:rPr>
        <w:t xml:space="preserve"> </w:t>
      </w:r>
      <w:r>
        <w:t>la</w:t>
      </w:r>
      <w:r>
        <w:rPr>
          <w:spacing w:val="-4"/>
        </w:rPr>
        <w:t xml:space="preserve"> </w:t>
      </w:r>
      <w:r>
        <w:t>discriminación</w:t>
      </w:r>
      <w:r>
        <w:rPr>
          <w:spacing w:val="-4"/>
        </w:rPr>
        <w:t xml:space="preserve"> </w:t>
      </w:r>
      <w:r>
        <w:t>por</w:t>
      </w:r>
      <w:r>
        <w:rPr>
          <w:spacing w:val="-4"/>
        </w:rPr>
        <w:t xml:space="preserve"> </w:t>
      </w:r>
      <w:r>
        <w:t>discapacidad,</w:t>
      </w:r>
      <w:r>
        <w:rPr>
          <w:spacing w:val="-3"/>
        </w:rPr>
        <w:t xml:space="preserve"> </w:t>
      </w:r>
      <w:r>
        <w:t>la</w:t>
      </w:r>
      <w:r>
        <w:rPr>
          <w:spacing w:val="-4"/>
        </w:rPr>
        <w:t xml:space="preserve"> </w:t>
      </w:r>
      <w:r>
        <w:t>discriminación</w:t>
      </w:r>
    </w:p>
    <w:p w14:paraId="7289476B" w14:textId="77777777" w:rsidR="0014798C" w:rsidRDefault="004E1F0B">
      <w:pPr>
        <w:pStyle w:val="Textoindependiente"/>
        <w:spacing w:line="271" w:lineRule="auto"/>
        <w:ind w:left="1109" w:right="1378" w:hanging="2"/>
      </w:pPr>
      <w:r>
        <w:t>por</w:t>
      </w:r>
      <w:r>
        <w:rPr>
          <w:spacing w:val="-8"/>
        </w:rPr>
        <w:t xml:space="preserve"> </w:t>
      </w:r>
      <w:r>
        <w:t>edad,</w:t>
      </w:r>
      <w:r>
        <w:rPr>
          <w:spacing w:val="-8"/>
        </w:rPr>
        <w:t xml:space="preserve"> </w:t>
      </w:r>
      <w:r>
        <w:t>la</w:t>
      </w:r>
      <w:r>
        <w:rPr>
          <w:spacing w:val="-8"/>
        </w:rPr>
        <w:t xml:space="preserve"> </w:t>
      </w:r>
      <w:r>
        <w:t>homofobia,</w:t>
      </w:r>
      <w:r>
        <w:rPr>
          <w:spacing w:val="-7"/>
        </w:rPr>
        <w:t xml:space="preserve"> </w:t>
      </w:r>
      <w:r>
        <w:t>el</w:t>
      </w:r>
      <w:r>
        <w:rPr>
          <w:spacing w:val="-8"/>
        </w:rPr>
        <w:t xml:space="preserve"> </w:t>
      </w:r>
      <w:r>
        <w:t>racismo,</w:t>
      </w:r>
      <w:r>
        <w:rPr>
          <w:spacing w:val="-7"/>
        </w:rPr>
        <w:t xml:space="preserve"> </w:t>
      </w:r>
      <w:r>
        <w:t>el</w:t>
      </w:r>
      <w:r>
        <w:rPr>
          <w:spacing w:val="-8"/>
        </w:rPr>
        <w:t xml:space="preserve"> </w:t>
      </w:r>
      <w:r>
        <w:t>sexismo,</w:t>
      </w:r>
      <w:r>
        <w:rPr>
          <w:spacing w:val="-7"/>
        </w:rPr>
        <w:t xml:space="preserve"> </w:t>
      </w:r>
      <w:r>
        <w:t>la</w:t>
      </w:r>
      <w:r>
        <w:rPr>
          <w:spacing w:val="-8"/>
        </w:rPr>
        <w:t xml:space="preserve"> </w:t>
      </w:r>
      <w:r>
        <w:t>transfobia</w:t>
      </w:r>
      <w:r>
        <w:rPr>
          <w:spacing w:val="-8"/>
        </w:rPr>
        <w:t xml:space="preserve"> </w:t>
      </w:r>
      <w:r>
        <w:t>y</w:t>
      </w:r>
      <w:r>
        <w:rPr>
          <w:spacing w:val="-8"/>
        </w:rPr>
        <w:t xml:space="preserve"> </w:t>
      </w:r>
      <w:r>
        <w:t>la</w:t>
      </w:r>
      <w:r>
        <w:rPr>
          <w:spacing w:val="-8"/>
        </w:rPr>
        <w:t xml:space="preserve"> </w:t>
      </w:r>
      <w:r>
        <w:t>xenofobia,</w:t>
      </w:r>
      <w:r>
        <w:rPr>
          <w:spacing w:val="-7"/>
        </w:rPr>
        <w:t xml:space="preserve"> </w:t>
      </w:r>
      <w:r>
        <w:t>que</w:t>
      </w:r>
      <w:r>
        <w:rPr>
          <w:spacing w:val="-8"/>
        </w:rPr>
        <w:t xml:space="preserve"> </w:t>
      </w:r>
      <w:r>
        <w:t>resultan</w:t>
      </w:r>
      <w:r>
        <w:rPr>
          <w:spacing w:val="-8"/>
        </w:rPr>
        <w:t xml:space="preserve"> </w:t>
      </w:r>
      <w:r>
        <w:t>de</w:t>
      </w:r>
      <w:r>
        <w:rPr>
          <w:spacing w:val="-8"/>
        </w:rPr>
        <w:t xml:space="preserve"> </w:t>
      </w:r>
      <w:r>
        <w:t>en</w:t>
      </w:r>
      <w:r>
        <w:rPr>
          <w:spacing w:val="-8"/>
        </w:rPr>
        <w:t xml:space="preserve"> </w:t>
      </w:r>
      <w:r>
        <w:t>daños</w:t>
      </w:r>
      <w:r>
        <w:rPr>
          <w:spacing w:val="-8"/>
        </w:rPr>
        <w:t xml:space="preserve"> </w:t>
      </w:r>
      <w:r>
        <w:t>a</w:t>
      </w:r>
      <w:r>
        <w:rPr>
          <w:spacing w:val="-8"/>
        </w:rPr>
        <w:t xml:space="preserve"> </w:t>
      </w:r>
      <w:r>
        <w:t>nivel</w:t>
      </w:r>
      <w:r>
        <w:rPr>
          <w:spacing w:val="-8"/>
        </w:rPr>
        <w:t xml:space="preserve"> </w:t>
      </w:r>
      <w:r>
        <w:t>individual,</w:t>
      </w:r>
      <w:r>
        <w:rPr>
          <w:spacing w:val="-7"/>
        </w:rPr>
        <w:t xml:space="preserve"> </w:t>
      </w:r>
      <w:r>
        <w:t>comunitario y social.</w:t>
      </w:r>
    </w:p>
    <w:p w14:paraId="1785D739" w14:textId="77777777" w:rsidR="0014798C" w:rsidRDefault="0014798C">
      <w:pPr>
        <w:pStyle w:val="Textoindependiente"/>
        <w:spacing w:before="68"/>
      </w:pPr>
    </w:p>
    <w:p w14:paraId="049E74C3" w14:textId="77777777" w:rsidR="0014798C" w:rsidRDefault="004E1F0B">
      <w:pPr>
        <w:pStyle w:val="Textoindependiente"/>
        <w:spacing w:line="326" w:lineRule="auto"/>
        <w:ind w:left="1106" w:right="1272" w:firstLine="2"/>
      </w:pPr>
      <w:r>
        <w:t>Está</w:t>
      </w:r>
      <w:r>
        <w:rPr>
          <w:spacing w:val="-2"/>
        </w:rPr>
        <w:t xml:space="preserve"> </w:t>
      </w:r>
      <w:r>
        <w:t>firmemente</w:t>
      </w:r>
      <w:r>
        <w:rPr>
          <w:spacing w:val="-2"/>
        </w:rPr>
        <w:t xml:space="preserve"> </w:t>
      </w:r>
      <w:r>
        <w:t>establecido</w:t>
      </w:r>
      <w:r>
        <w:rPr>
          <w:spacing w:val="-2"/>
        </w:rPr>
        <w:t xml:space="preserve"> </w:t>
      </w:r>
      <w:r>
        <w:t>que</w:t>
      </w:r>
      <w:r>
        <w:rPr>
          <w:spacing w:val="-2"/>
        </w:rPr>
        <w:t xml:space="preserve"> </w:t>
      </w:r>
      <w:r>
        <w:t>las</w:t>
      </w:r>
      <w:r>
        <w:rPr>
          <w:spacing w:val="-2"/>
        </w:rPr>
        <w:t xml:space="preserve"> </w:t>
      </w:r>
      <w:r>
        <w:t>personas</w:t>
      </w:r>
      <w:r>
        <w:rPr>
          <w:spacing w:val="-2"/>
        </w:rPr>
        <w:t xml:space="preserve"> </w:t>
      </w:r>
      <w:r>
        <w:t>cuyos</w:t>
      </w:r>
      <w:r>
        <w:rPr>
          <w:spacing w:val="-2"/>
        </w:rPr>
        <w:t xml:space="preserve"> </w:t>
      </w:r>
      <w:r>
        <w:t>derechos</w:t>
      </w:r>
      <w:r>
        <w:rPr>
          <w:spacing w:val="-2"/>
        </w:rPr>
        <w:t xml:space="preserve"> </w:t>
      </w:r>
      <w:r>
        <w:t>han</w:t>
      </w:r>
      <w:r>
        <w:rPr>
          <w:spacing w:val="-2"/>
        </w:rPr>
        <w:t xml:space="preserve"> </w:t>
      </w:r>
      <w:r>
        <w:t>sido</w:t>
      </w:r>
      <w:r>
        <w:rPr>
          <w:spacing w:val="-2"/>
        </w:rPr>
        <w:t xml:space="preserve"> </w:t>
      </w:r>
      <w:r>
        <w:t>violados</w:t>
      </w:r>
      <w:r>
        <w:rPr>
          <w:spacing w:val="-2"/>
        </w:rPr>
        <w:t xml:space="preserve"> </w:t>
      </w:r>
      <w:r>
        <w:t>tienen</w:t>
      </w:r>
      <w:r>
        <w:rPr>
          <w:spacing w:val="-2"/>
        </w:rPr>
        <w:t xml:space="preserve"> </w:t>
      </w:r>
      <w:r>
        <w:t>derecho</w:t>
      </w:r>
      <w:r>
        <w:rPr>
          <w:spacing w:val="-2"/>
        </w:rPr>
        <w:t xml:space="preserve"> </w:t>
      </w:r>
      <w:r>
        <w:t>a</w:t>
      </w:r>
      <w:r>
        <w:rPr>
          <w:spacing w:val="-2"/>
        </w:rPr>
        <w:t xml:space="preserve"> </w:t>
      </w:r>
      <w:r>
        <w:t>un</w:t>
      </w:r>
      <w:r>
        <w:rPr>
          <w:spacing w:val="-2"/>
        </w:rPr>
        <w:t xml:space="preserve"> </w:t>
      </w:r>
      <w:r>
        <w:t>recurso</w:t>
      </w:r>
      <w:r>
        <w:rPr>
          <w:spacing w:val="-2"/>
        </w:rPr>
        <w:t xml:space="preserve"> </w:t>
      </w:r>
      <w:r>
        <w:t>efectivo.</w:t>
      </w:r>
      <w:r>
        <w:rPr>
          <w:spacing w:val="-2"/>
        </w:rPr>
        <w:t xml:space="preserve"> </w:t>
      </w:r>
      <w:r>
        <w:t>Así,</w:t>
      </w:r>
      <w:r>
        <w:rPr>
          <w:spacing w:val="-2"/>
        </w:rPr>
        <w:t xml:space="preserve"> </w:t>
      </w:r>
      <w:r>
        <w:t>por ejemplo,</w:t>
      </w:r>
      <w:r>
        <w:rPr>
          <w:spacing w:val="-6"/>
        </w:rPr>
        <w:t xml:space="preserve"> </w:t>
      </w:r>
      <w:r>
        <w:t>la</w:t>
      </w:r>
      <w:r>
        <w:rPr>
          <w:spacing w:val="-6"/>
        </w:rPr>
        <w:t xml:space="preserve"> </w:t>
      </w:r>
      <w:r>
        <w:t>Convención</w:t>
      </w:r>
      <w:r>
        <w:rPr>
          <w:spacing w:val="-6"/>
        </w:rPr>
        <w:t xml:space="preserve"> </w:t>
      </w:r>
      <w:r>
        <w:t>Internacional</w:t>
      </w:r>
      <w:r>
        <w:rPr>
          <w:spacing w:val="-6"/>
        </w:rPr>
        <w:t xml:space="preserve"> </w:t>
      </w:r>
      <w:r>
        <w:t>sobre</w:t>
      </w:r>
      <w:r>
        <w:rPr>
          <w:spacing w:val="-6"/>
        </w:rPr>
        <w:t xml:space="preserve"> </w:t>
      </w:r>
      <w:r>
        <w:t>la</w:t>
      </w:r>
      <w:r>
        <w:rPr>
          <w:spacing w:val="-6"/>
        </w:rPr>
        <w:t xml:space="preserve"> </w:t>
      </w:r>
      <w:r>
        <w:t>Eliminación</w:t>
      </w:r>
      <w:r>
        <w:rPr>
          <w:spacing w:val="-6"/>
        </w:rPr>
        <w:t xml:space="preserve"> </w:t>
      </w:r>
      <w:r>
        <w:t>de</w:t>
      </w:r>
      <w:r>
        <w:rPr>
          <w:spacing w:val="-6"/>
        </w:rPr>
        <w:t xml:space="preserve"> </w:t>
      </w:r>
      <w:r>
        <w:t>todas</w:t>
      </w:r>
      <w:r>
        <w:rPr>
          <w:spacing w:val="-6"/>
        </w:rPr>
        <w:t xml:space="preserve"> </w:t>
      </w:r>
      <w:r>
        <w:t>las</w:t>
      </w:r>
      <w:r>
        <w:rPr>
          <w:spacing w:val="-6"/>
        </w:rPr>
        <w:t xml:space="preserve"> </w:t>
      </w:r>
      <w:r>
        <w:t>Formas</w:t>
      </w:r>
      <w:r>
        <w:rPr>
          <w:spacing w:val="-6"/>
        </w:rPr>
        <w:t xml:space="preserve"> </w:t>
      </w:r>
      <w:r>
        <w:t>de</w:t>
      </w:r>
      <w:r>
        <w:rPr>
          <w:spacing w:val="-6"/>
        </w:rPr>
        <w:t xml:space="preserve"> </w:t>
      </w:r>
      <w:r>
        <w:t>Discriminación</w:t>
      </w:r>
      <w:r>
        <w:rPr>
          <w:spacing w:val="-6"/>
        </w:rPr>
        <w:t xml:space="preserve"> </w:t>
      </w:r>
      <w:r>
        <w:t>Racial</w:t>
      </w:r>
      <w:r>
        <w:rPr>
          <w:spacing w:val="-6"/>
        </w:rPr>
        <w:t xml:space="preserve"> </w:t>
      </w:r>
      <w:r>
        <w:t>incluye,</w:t>
      </w:r>
      <w:r>
        <w:rPr>
          <w:spacing w:val="-6"/>
        </w:rPr>
        <w:t xml:space="preserve"> </w:t>
      </w:r>
      <w:r>
        <w:t>en</w:t>
      </w:r>
      <w:r>
        <w:rPr>
          <w:spacing w:val="-6"/>
        </w:rPr>
        <w:t xml:space="preserve"> </w:t>
      </w:r>
      <w:r>
        <w:t>su</w:t>
      </w:r>
      <w:r>
        <w:rPr>
          <w:spacing w:val="-6"/>
        </w:rPr>
        <w:t xml:space="preserve"> </w:t>
      </w:r>
      <w:r>
        <w:t>artículo</w:t>
      </w:r>
      <w:r>
        <w:rPr>
          <w:spacing w:val="-6"/>
        </w:rPr>
        <w:t xml:space="preserve"> </w:t>
      </w:r>
      <w:r>
        <w:t>6,</w:t>
      </w:r>
      <w:r>
        <w:rPr>
          <w:spacing w:val="-6"/>
        </w:rPr>
        <w:t xml:space="preserve"> </w:t>
      </w:r>
      <w:r>
        <w:t>un derecho</w:t>
      </w:r>
      <w:r>
        <w:rPr>
          <w:spacing w:val="-7"/>
        </w:rPr>
        <w:t xml:space="preserve"> </w:t>
      </w:r>
      <w:r>
        <w:t>explícito</w:t>
      </w:r>
      <w:r>
        <w:rPr>
          <w:spacing w:val="-7"/>
        </w:rPr>
        <w:t xml:space="preserve"> </w:t>
      </w:r>
      <w:r>
        <w:t>a</w:t>
      </w:r>
      <w:r>
        <w:rPr>
          <w:spacing w:val="-7"/>
        </w:rPr>
        <w:t xml:space="preserve"> </w:t>
      </w:r>
      <w:r>
        <w:t>un</w:t>
      </w:r>
      <w:r>
        <w:rPr>
          <w:spacing w:val="-7"/>
        </w:rPr>
        <w:t xml:space="preserve"> </w:t>
      </w:r>
      <w:r>
        <w:t>recurso</w:t>
      </w:r>
      <w:r>
        <w:rPr>
          <w:spacing w:val="-7"/>
        </w:rPr>
        <w:t xml:space="preserve"> </w:t>
      </w:r>
      <w:r>
        <w:t>efectivo</w:t>
      </w:r>
      <w:r>
        <w:rPr>
          <w:spacing w:val="-7"/>
        </w:rPr>
        <w:t xml:space="preserve"> </w:t>
      </w:r>
      <w:r>
        <w:t>en</w:t>
      </w:r>
      <w:r>
        <w:rPr>
          <w:spacing w:val="-7"/>
        </w:rPr>
        <w:t xml:space="preserve"> </w:t>
      </w:r>
      <w:r>
        <w:t>caso</w:t>
      </w:r>
      <w:r>
        <w:rPr>
          <w:spacing w:val="-7"/>
        </w:rPr>
        <w:t xml:space="preserve"> </w:t>
      </w:r>
      <w:r>
        <w:t>de</w:t>
      </w:r>
      <w:r>
        <w:rPr>
          <w:spacing w:val="-7"/>
        </w:rPr>
        <w:t xml:space="preserve"> </w:t>
      </w:r>
      <w:r>
        <w:t>discriminación</w:t>
      </w:r>
      <w:r>
        <w:rPr>
          <w:spacing w:val="-7"/>
        </w:rPr>
        <w:t xml:space="preserve"> </w:t>
      </w:r>
      <w:r>
        <w:t>racial.</w:t>
      </w:r>
      <w:r>
        <w:rPr>
          <w:spacing w:val="-7"/>
        </w:rPr>
        <w:t xml:space="preserve"> </w:t>
      </w:r>
      <w:r>
        <w:t>En</w:t>
      </w:r>
      <w:r>
        <w:rPr>
          <w:spacing w:val="-7"/>
        </w:rPr>
        <w:t xml:space="preserve"> </w:t>
      </w:r>
      <w:r>
        <w:t>su</w:t>
      </w:r>
      <w:r>
        <w:rPr>
          <w:spacing w:val="-7"/>
        </w:rPr>
        <w:t xml:space="preserve"> </w:t>
      </w:r>
      <w:r>
        <w:t>recomendación</w:t>
      </w:r>
      <w:r>
        <w:rPr>
          <w:spacing w:val="-7"/>
        </w:rPr>
        <w:t xml:space="preserve"> </w:t>
      </w:r>
      <w:r>
        <w:t>general</w:t>
      </w:r>
      <w:r>
        <w:rPr>
          <w:spacing w:val="-7"/>
        </w:rPr>
        <w:t xml:space="preserve"> </w:t>
      </w:r>
      <w:r>
        <w:t>No.</w:t>
      </w:r>
      <w:r>
        <w:rPr>
          <w:spacing w:val="-7"/>
        </w:rPr>
        <w:t xml:space="preserve"> </w:t>
      </w:r>
      <w:r>
        <w:t>26</w:t>
      </w:r>
      <w:r>
        <w:rPr>
          <w:spacing w:val="-7"/>
        </w:rPr>
        <w:t xml:space="preserve"> </w:t>
      </w:r>
      <w:r>
        <w:t>(2000),</w:t>
      </w:r>
      <w:r>
        <w:rPr>
          <w:spacing w:val="-7"/>
        </w:rPr>
        <w:t xml:space="preserve"> </w:t>
      </w:r>
      <w:r>
        <w:t>el</w:t>
      </w:r>
      <w:r>
        <w:rPr>
          <w:spacing w:val="-7"/>
        </w:rPr>
        <w:t xml:space="preserve"> </w:t>
      </w:r>
      <w:r>
        <w:t>Comité</w:t>
      </w:r>
      <w:r>
        <w:rPr>
          <w:spacing w:val="-7"/>
        </w:rPr>
        <w:t xml:space="preserve"> </w:t>
      </w:r>
      <w:r>
        <w:t>para la</w:t>
      </w:r>
      <w:r>
        <w:rPr>
          <w:spacing w:val="-4"/>
        </w:rPr>
        <w:t xml:space="preserve"> </w:t>
      </w:r>
      <w:r>
        <w:t>Eliminación</w:t>
      </w:r>
      <w:r>
        <w:rPr>
          <w:spacing w:val="-4"/>
        </w:rPr>
        <w:t xml:space="preserve"> </w:t>
      </w:r>
      <w:r>
        <w:t>de</w:t>
      </w:r>
      <w:r>
        <w:rPr>
          <w:spacing w:val="-4"/>
        </w:rPr>
        <w:t xml:space="preserve"> </w:t>
      </w:r>
      <w:r>
        <w:t>la</w:t>
      </w:r>
      <w:r>
        <w:rPr>
          <w:spacing w:val="-4"/>
        </w:rPr>
        <w:t xml:space="preserve"> </w:t>
      </w:r>
      <w:r>
        <w:t>Discriminación</w:t>
      </w:r>
      <w:r>
        <w:rPr>
          <w:spacing w:val="-4"/>
        </w:rPr>
        <w:t xml:space="preserve"> </w:t>
      </w:r>
      <w:r>
        <w:t>Racial</w:t>
      </w:r>
      <w:r>
        <w:rPr>
          <w:spacing w:val="-4"/>
        </w:rPr>
        <w:t xml:space="preserve"> </w:t>
      </w:r>
      <w:r>
        <w:t>afirmó</w:t>
      </w:r>
      <w:r>
        <w:rPr>
          <w:spacing w:val="-4"/>
        </w:rPr>
        <w:t xml:space="preserve"> </w:t>
      </w:r>
      <w:r>
        <w:t>que</w:t>
      </w:r>
      <w:r>
        <w:rPr>
          <w:spacing w:val="-4"/>
        </w:rPr>
        <w:t xml:space="preserve"> </w:t>
      </w:r>
      <w:r>
        <w:t>eso</w:t>
      </w:r>
      <w:r>
        <w:rPr>
          <w:spacing w:val="-4"/>
        </w:rPr>
        <w:t xml:space="preserve"> </w:t>
      </w:r>
      <w:r>
        <w:t>incluía</w:t>
      </w:r>
      <w:r>
        <w:rPr>
          <w:spacing w:val="-4"/>
        </w:rPr>
        <w:t xml:space="preserve"> </w:t>
      </w:r>
      <w:r>
        <w:t>tanto</w:t>
      </w:r>
      <w:r>
        <w:rPr>
          <w:spacing w:val="-4"/>
        </w:rPr>
        <w:t xml:space="preserve"> </w:t>
      </w:r>
      <w:r>
        <w:t>el</w:t>
      </w:r>
      <w:r>
        <w:rPr>
          <w:spacing w:val="-4"/>
        </w:rPr>
        <w:t xml:space="preserve"> </w:t>
      </w:r>
      <w:r>
        <w:t>castigo</w:t>
      </w:r>
      <w:r>
        <w:rPr>
          <w:spacing w:val="-4"/>
        </w:rPr>
        <w:t xml:space="preserve"> </w:t>
      </w:r>
      <w:r>
        <w:t>para</w:t>
      </w:r>
      <w:r>
        <w:rPr>
          <w:spacing w:val="-4"/>
        </w:rPr>
        <w:t xml:space="preserve"> </w:t>
      </w:r>
      <w:r>
        <w:t>los</w:t>
      </w:r>
      <w:r>
        <w:rPr>
          <w:spacing w:val="-4"/>
        </w:rPr>
        <w:t xml:space="preserve"> </w:t>
      </w:r>
      <w:r>
        <w:t>responsables</w:t>
      </w:r>
      <w:r>
        <w:rPr>
          <w:spacing w:val="-4"/>
        </w:rPr>
        <w:t xml:space="preserve"> </w:t>
      </w:r>
      <w:r>
        <w:t>de</w:t>
      </w:r>
      <w:r>
        <w:rPr>
          <w:spacing w:val="-4"/>
        </w:rPr>
        <w:t xml:space="preserve"> </w:t>
      </w:r>
      <w:r>
        <w:t>la</w:t>
      </w:r>
      <w:r>
        <w:rPr>
          <w:spacing w:val="-4"/>
        </w:rPr>
        <w:t xml:space="preserve"> </w:t>
      </w:r>
      <w:r>
        <w:t>discriminación</w:t>
      </w:r>
      <w:r>
        <w:rPr>
          <w:spacing w:val="-4"/>
        </w:rPr>
        <w:t xml:space="preserve"> </w:t>
      </w:r>
      <w:r>
        <w:t>como</w:t>
      </w:r>
      <w:r>
        <w:rPr>
          <w:spacing w:val="-4"/>
        </w:rPr>
        <w:t xml:space="preserve"> </w:t>
      </w:r>
      <w:r>
        <w:t>el daño</w:t>
      </w:r>
      <w:r>
        <w:rPr>
          <w:spacing w:val="-4"/>
        </w:rPr>
        <w:t xml:space="preserve"> </w:t>
      </w:r>
      <w:r>
        <w:t>pecuniario</w:t>
      </w:r>
      <w:r>
        <w:rPr>
          <w:spacing w:val="-4"/>
        </w:rPr>
        <w:t xml:space="preserve"> </w:t>
      </w:r>
      <w:r>
        <w:t>y</w:t>
      </w:r>
      <w:r>
        <w:rPr>
          <w:spacing w:val="-4"/>
        </w:rPr>
        <w:t xml:space="preserve"> </w:t>
      </w:r>
      <w:r>
        <w:t>moral.569</w:t>
      </w:r>
      <w:r>
        <w:rPr>
          <w:spacing w:val="-4"/>
        </w:rPr>
        <w:t xml:space="preserve"> </w:t>
      </w:r>
      <w:r>
        <w:t>El</w:t>
      </w:r>
      <w:r>
        <w:rPr>
          <w:spacing w:val="-4"/>
        </w:rPr>
        <w:t xml:space="preserve"> </w:t>
      </w:r>
      <w:r>
        <w:t>Pacto</w:t>
      </w:r>
      <w:r>
        <w:rPr>
          <w:spacing w:val="-4"/>
        </w:rPr>
        <w:t xml:space="preserve"> </w:t>
      </w:r>
      <w:r>
        <w:t>Internacional</w:t>
      </w:r>
      <w:r>
        <w:rPr>
          <w:spacing w:val="-4"/>
        </w:rPr>
        <w:t xml:space="preserve"> </w:t>
      </w:r>
      <w:r>
        <w:t>de</w:t>
      </w:r>
      <w:r>
        <w:rPr>
          <w:spacing w:val="-4"/>
        </w:rPr>
        <w:t xml:space="preserve"> </w:t>
      </w:r>
      <w:r>
        <w:t>Derechos</w:t>
      </w:r>
      <w:r>
        <w:rPr>
          <w:spacing w:val="-4"/>
        </w:rPr>
        <w:t xml:space="preserve"> </w:t>
      </w:r>
      <w:r>
        <w:t>Civiles</w:t>
      </w:r>
      <w:r>
        <w:rPr>
          <w:spacing w:val="-4"/>
        </w:rPr>
        <w:t xml:space="preserve"> </w:t>
      </w:r>
      <w:r>
        <w:t>y</w:t>
      </w:r>
      <w:r>
        <w:rPr>
          <w:spacing w:val="-4"/>
        </w:rPr>
        <w:t xml:space="preserve"> </w:t>
      </w:r>
      <w:r>
        <w:t>Políticos</w:t>
      </w:r>
      <w:r>
        <w:rPr>
          <w:spacing w:val="-5"/>
        </w:rPr>
        <w:t xml:space="preserve"> </w:t>
      </w:r>
      <w:r>
        <w:t>incluye</w:t>
      </w:r>
      <w:r>
        <w:rPr>
          <w:spacing w:val="-4"/>
        </w:rPr>
        <w:t xml:space="preserve"> </w:t>
      </w:r>
      <w:r>
        <w:t>una</w:t>
      </w:r>
      <w:r>
        <w:rPr>
          <w:spacing w:val="-4"/>
        </w:rPr>
        <w:t xml:space="preserve"> </w:t>
      </w:r>
      <w:r>
        <w:t>obligación</w:t>
      </w:r>
      <w:r>
        <w:rPr>
          <w:spacing w:val="-4"/>
        </w:rPr>
        <w:t xml:space="preserve"> </w:t>
      </w:r>
      <w:r>
        <w:t>específica</w:t>
      </w:r>
      <w:r>
        <w:rPr>
          <w:spacing w:val="-4"/>
        </w:rPr>
        <w:t xml:space="preserve"> </w:t>
      </w:r>
      <w:r>
        <w:t>de</w:t>
      </w:r>
      <w:r>
        <w:rPr>
          <w:spacing w:val="-4"/>
        </w:rPr>
        <w:t xml:space="preserve"> </w:t>
      </w:r>
      <w:r>
        <w:t>los</w:t>
      </w:r>
      <w:r>
        <w:rPr>
          <w:spacing w:val="-4"/>
        </w:rPr>
        <w:t xml:space="preserve"> </w:t>
      </w:r>
      <w:r>
        <w:t>Estados de</w:t>
      </w:r>
      <w:r>
        <w:rPr>
          <w:spacing w:val="-6"/>
        </w:rPr>
        <w:t xml:space="preserve"> </w:t>
      </w:r>
      <w:r>
        <w:t>garantizar</w:t>
      </w:r>
      <w:r>
        <w:rPr>
          <w:spacing w:val="-6"/>
        </w:rPr>
        <w:t xml:space="preserve"> </w:t>
      </w:r>
      <w:r>
        <w:t>reparación</w:t>
      </w:r>
      <w:r>
        <w:rPr>
          <w:spacing w:val="-6"/>
        </w:rPr>
        <w:t xml:space="preserve"> </w:t>
      </w:r>
      <w:r>
        <w:t>por</w:t>
      </w:r>
      <w:r>
        <w:rPr>
          <w:spacing w:val="-6"/>
        </w:rPr>
        <w:t xml:space="preserve"> </w:t>
      </w:r>
      <w:r>
        <w:t>cualquier</w:t>
      </w:r>
      <w:r>
        <w:rPr>
          <w:spacing w:val="-6"/>
        </w:rPr>
        <w:t xml:space="preserve"> </w:t>
      </w:r>
      <w:r>
        <w:t>violación</w:t>
      </w:r>
      <w:r>
        <w:rPr>
          <w:spacing w:val="-6"/>
        </w:rPr>
        <w:t xml:space="preserve"> </w:t>
      </w:r>
      <w:r>
        <w:t>de</w:t>
      </w:r>
      <w:r>
        <w:rPr>
          <w:spacing w:val="-6"/>
        </w:rPr>
        <w:t xml:space="preserve"> </w:t>
      </w:r>
      <w:r>
        <w:t>los</w:t>
      </w:r>
      <w:r>
        <w:rPr>
          <w:spacing w:val="-6"/>
        </w:rPr>
        <w:t xml:space="preserve"> </w:t>
      </w:r>
      <w:r>
        <w:t>derechos</w:t>
      </w:r>
      <w:r>
        <w:rPr>
          <w:spacing w:val="-6"/>
        </w:rPr>
        <w:t xml:space="preserve"> </w:t>
      </w:r>
      <w:r>
        <w:t>del</w:t>
      </w:r>
      <w:r>
        <w:rPr>
          <w:spacing w:val="-6"/>
        </w:rPr>
        <w:t xml:space="preserve"> </w:t>
      </w:r>
      <w:r>
        <w:t>Pacto,</w:t>
      </w:r>
      <w:r>
        <w:rPr>
          <w:spacing w:val="-6"/>
        </w:rPr>
        <w:t xml:space="preserve"> </w:t>
      </w:r>
      <w:r>
        <w:t>y</w:t>
      </w:r>
      <w:r>
        <w:rPr>
          <w:spacing w:val="-6"/>
        </w:rPr>
        <w:t xml:space="preserve"> </w:t>
      </w:r>
      <w:r>
        <w:t>el</w:t>
      </w:r>
      <w:r>
        <w:rPr>
          <w:spacing w:val="-6"/>
        </w:rPr>
        <w:t xml:space="preserve"> </w:t>
      </w:r>
      <w:r>
        <w:t>Comité</w:t>
      </w:r>
      <w:r>
        <w:rPr>
          <w:spacing w:val="-6"/>
        </w:rPr>
        <w:t xml:space="preserve"> </w:t>
      </w:r>
      <w:r>
        <w:t>de</w:t>
      </w:r>
      <w:r>
        <w:rPr>
          <w:spacing w:val="-6"/>
        </w:rPr>
        <w:t xml:space="preserve"> </w:t>
      </w:r>
      <w:r>
        <w:t>Derechos</w:t>
      </w:r>
      <w:r>
        <w:rPr>
          <w:spacing w:val="-6"/>
        </w:rPr>
        <w:t xml:space="preserve"> </w:t>
      </w:r>
      <w:r>
        <w:t>Humanos</w:t>
      </w:r>
      <w:r>
        <w:rPr>
          <w:spacing w:val="-6"/>
        </w:rPr>
        <w:t xml:space="preserve"> </w:t>
      </w:r>
      <w:r>
        <w:t>ha</w:t>
      </w:r>
      <w:r>
        <w:rPr>
          <w:spacing w:val="-6"/>
        </w:rPr>
        <w:t xml:space="preserve"> </w:t>
      </w:r>
      <w:r>
        <w:t>enfatizado</w:t>
      </w:r>
      <w:r>
        <w:rPr>
          <w:spacing w:val="-6"/>
        </w:rPr>
        <w:t xml:space="preserve"> </w:t>
      </w:r>
      <w:r>
        <w:t>que</w:t>
      </w:r>
      <w:r>
        <w:rPr>
          <w:spacing w:val="-6"/>
        </w:rPr>
        <w:t xml:space="preserve"> </w:t>
      </w:r>
      <w:r>
        <w:t>los Estados</w:t>
      </w:r>
      <w:r>
        <w:rPr>
          <w:spacing w:val="-2"/>
        </w:rPr>
        <w:t xml:space="preserve"> </w:t>
      </w:r>
      <w:r>
        <w:t>deben</w:t>
      </w:r>
      <w:r>
        <w:rPr>
          <w:spacing w:val="-1"/>
        </w:rPr>
        <w:t xml:space="preserve"> </w:t>
      </w:r>
      <w:r>
        <w:t>garantizar</w:t>
      </w:r>
      <w:r>
        <w:rPr>
          <w:spacing w:val="-1"/>
        </w:rPr>
        <w:t xml:space="preserve"> </w:t>
      </w:r>
      <w:r>
        <w:t>que</w:t>
      </w:r>
      <w:r>
        <w:rPr>
          <w:spacing w:val="-1"/>
        </w:rPr>
        <w:t xml:space="preserve"> </w:t>
      </w:r>
      <w:r>
        <w:t>los</w:t>
      </w:r>
      <w:r>
        <w:rPr>
          <w:spacing w:val="-1"/>
        </w:rPr>
        <w:t xml:space="preserve"> </w:t>
      </w:r>
      <w:r>
        <w:t>sobrevivientes</w:t>
      </w:r>
      <w:r>
        <w:rPr>
          <w:spacing w:val="-2"/>
        </w:rPr>
        <w:t xml:space="preserve"> </w:t>
      </w:r>
      <w:r>
        <w:t>de</w:t>
      </w:r>
      <w:r>
        <w:rPr>
          <w:spacing w:val="-1"/>
        </w:rPr>
        <w:t xml:space="preserve"> </w:t>
      </w:r>
      <w:r>
        <w:t>discriminación</w:t>
      </w:r>
      <w:r>
        <w:rPr>
          <w:spacing w:val="-1"/>
        </w:rPr>
        <w:t xml:space="preserve"> </w:t>
      </w:r>
      <w:r>
        <w:t>tengan</w:t>
      </w:r>
      <w:r>
        <w:rPr>
          <w:spacing w:val="-1"/>
        </w:rPr>
        <w:t xml:space="preserve"> </w:t>
      </w:r>
      <w:r>
        <w:t>recursos</w:t>
      </w:r>
      <w:r>
        <w:rPr>
          <w:spacing w:val="-1"/>
        </w:rPr>
        <w:t xml:space="preserve"> </w:t>
      </w:r>
      <w:r>
        <w:t>accesibles</w:t>
      </w:r>
      <w:r>
        <w:rPr>
          <w:spacing w:val="-1"/>
        </w:rPr>
        <w:t xml:space="preserve"> </w:t>
      </w:r>
      <w:r>
        <w:t>y</w:t>
      </w:r>
      <w:r>
        <w:rPr>
          <w:spacing w:val="-1"/>
        </w:rPr>
        <w:t xml:space="preserve"> </w:t>
      </w:r>
      <w:r>
        <w:t>efectivos</w:t>
      </w:r>
      <w:r>
        <w:rPr>
          <w:spacing w:val="-2"/>
        </w:rPr>
        <w:t xml:space="preserve"> </w:t>
      </w:r>
      <w:r>
        <w:t>para</w:t>
      </w:r>
      <w:r>
        <w:rPr>
          <w:spacing w:val="-1"/>
        </w:rPr>
        <w:t xml:space="preserve"> </w:t>
      </w:r>
      <w:r>
        <w:t>reivindicar</w:t>
      </w:r>
      <w:r>
        <w:rPr>
          <w:spacing w:val="-1"/>
        </w:rPr>
        <w:t xml:space="preserve"> </w:t>
      </w:r>
      <w:r>
        <w:t>sus derechos570,</w:t>
      </w:r>
      <w:r>
        <w:rPr>
          <w:spacing w:val="-2"/>
        </w:rPr>
        <w:t xml:space="preserve"> </w:t>
      </w:r>
      <w:r>
        <w:t>incluido</w:t>
      </w:r>
      <w:r>
        <w:rPr>
          <w:spacing w:val="-3"/>
        </w:rPr>
        <w:t xml:space="preserve"> </w:t>
      </w:r>
      <w:r>
        <w:t>el</w:t>
      </w:r>
      <w:r>
        <w:rPr>
          <w:spacing w:val="-3"/>
        </w:rPr>
        <w:t xml:space="preserve"> </w:t>
      </w:r>
      <w:r>
        <w:t>derecho</w:t>
      </w:r>
      <w:r>
        <w:rPr>
          <w:spacing w:val="-3"/>
        </w:rPr>
        <w:t xml:space="preserve"> </w:t>
      </w:r>
      <w:r>
        <w:t>a</w:t>
      </w:r>
      <w:r>
        <w:rPr>
          <w:spacing w:val="-3"/>
        </w:rPr>
        <w:t xml:space="preserve"> </w:t>
      </w:r>
      <w:r>
        <w:t>la</w:t>
      </w:r>
      <w:r>
        <w:rPr>
          <w:spacing w:val="-3"/>
        </w:rPr>
        <w:t xml:space="preserve"> </w:t>
      </w:r>
      <w:r>
        <w:t>no</w:t>
      </w:r>
      <w:r>
        <w:rPr>
          <w:spacing w:val="-3"/>
        </w:rPr>
        <w:t xml:space="preserve"> </w:t>
      </w:r>
      <w:r>
        <w:t>discriminación.</w:t>
      </w:r>
      <w:r>
        <w:rPr>
          <w:spacing w:val="-2"/>
        </w:rPr>
        <w:t xml:space="preserve"> </w:t>
      </w:r>
      <w:r>
        <w:t>El</w:t>
      </w:r>
      <w:r>
        <w:rPr>
          <w:spacing w:val="-3"/>
        </w:rPr>
        <w:t xml:space="preserve"> </w:t>
      </w:r>
      <w:r>
        <w:t>Comité</w:t>
      </w:r>
      <w:r>
        <w:rPr>
          <w:spacing w:val="-3"/>
        </w:rPr>
        <w:t xml:space="preserve"> </w:t>
      </w:r>
      <w:r>
        <w:t>de</w:t>
      </w:r>
      <w:r>
        <w:rPr>
          <w:spacing w:val="-3"/>
        </w:rPr>
        <w:t xml:space="preserve"> </w:t>
      </w:r>
      <w:r>
        <w:t>Derechos</w:t>
      </w:r>
      <w:r>
        <w:rPr>
          <w:spacing w:val="-3"/>
        </w:rPr>
        <w:t xml:space="preserve"> </w:t>
      </w:r>
      <w:r>
        <w:t>Económicos,</w:t>
      </w:r>
      <w:r>
        <w:rPr>
          <w:spacing w:val="-2"/>
        </w:rPr>
        <w:t xml:space="preserve"> </w:t>
      </w:r>
      <w:r>
        <w:t>Sociales</w:t>
      </w:r>
      <w:r>
        <w:rPr>
          <w:spacing w:val="-3"/>
        </w:rPr>
        <w:t xml:space="preserve"> </w:t>
      </w:r>
      <w:r>
        <w:t>y</w:t>
      </w:r>
      <w:r>
        <w:rPr>
          <w:spacing w:val="-3"/>
        </w:rPr>
        <w:t xml:space="preserve"> </w:t>
      </w:r>
      <w:r>
        <w:t>Culturales</w:t>
      </w:r>
      <w:r>
        <w:rPr>
          <w:spacing w:val="-3"/>
        </w:rPr>
        <w:t xml:space="preserve"> </w:t>
      </w:r>
      <w:r>
        <w:t>ha</w:t>
      </w:r>
      <w:r>
        <w:rPr>
          <w:spacing w:val="-3"/>
        </w:rPr>
        <w:t xml:space="preserve"> </w:t>
      </w:r>
      <w:r>
        <w:t>declarado que</w:t>
      </w:r>
      <w:r>
        <w:rPr>
          <w:spacing w:val="-1"/>
        </w:rPr>
        <w:t xml:space="preserve"> </w:t>
      </w:r>
      <w:r>
        <w:t>las</w:t>
      </w:r>
      <w:r>
        <w:rPr>
          <w:spacing w:val="-1"/>
        </w:rPr>
        <w:t xml:space="preserve"> </w:t>
      </w:r>
      <w:r>
        <w:t>instituciones</w:t>
      </w:r>
      <w:r>
        <w:rPr>
          <w:spacing w:val="-2"/>
        </w:rPr>
        <w:t xml:space="preserve"> </w:t>
      </w:r>
      <w:r>
        <w:t>que</w:t>
      </w:r>
      <w:r>
        <w:rPr>
          <w:spacing w:val="-1"/>
        </w:rPr>
        <w:t xml:space="preserve"> </w:t>
      </w:r>
      <w:r>
        <w:t>se</w:t>
      </w:r>
      <w:r>
        <w:rPr>
          <w:spacing w:val="-1"/>
        </w:rPr>
        <w:t xml:space="preserve"> </w:t>
      </w:r>
      <w:r>
        <w:t>ocupan</w:t>
      </w:r>
      <w:r>
        <w:rPr>
          <w:spacing w:val="-1"/>
        </w:rPr>
        <w:t xml:space="preserve"> </w:t>
      </w:r>
      <w:r>
        <w:t>de</w:t>
      </w:r>
      <w:r>
        <w:rPr>
          <w:spacing w:val="-1"/>
        </w:rPr>
        <w:t xml:space="preserve"> </w:t>
      </w:r>
      <w:r>
        <w:t>la</w:t>
      </w:r>
      <w:r>
        <w:rPr>
          <w:spacing w:val="-1"/>
        </w:rPr>
        <w:t xml:space="preserve"> </w:t>
      </w:r>
      <w:r>
        <w:t>discriminación</w:t>
      </w:r>
      <w:r>
        <w:rPr>
          <w:spacing w:val="-1"/>
        </w:rPr>
        <w:t xml:space="preserve"> </w:t>
      </w:r>
      <w:r>
        <w:t>deben</w:t>
      </w:r>
      <w:r>
        <w:rPr>
          <w:spacing w:val="-1"/>
        </w:rPr>
        <w:t xml:space="preserve"> </w:t>
      </w:r>
      <w:r>
        <w:t>estar</w:t>
      </w:r>
      <w:r>
        <w:rPr>
          <w:spacing w:val="-1"/>
        </w:rPr>
        <w:t xml:space="preserve"> </w:t>
      </w:r>
      <w:r>
        <w:t>facultadas</w:t>
      </w:r>
      <w:r>
        <w:rPr>
          <w:spacing w:val="-2"/>
        </w:rPr>
        <w:t xml:space="preserve"> </w:t>
      </w:r>
      <w:r>
        <w:t>para</w:t>
      </w:r>
      <w:r>
        <w:rPr>
          <w:spacing w:val="-1"/>
        </w:rPr>
        <w:t xml:space="preserve"> </w:t>
      </w:r>
      <w:r>
        <w:t>proporcionar</w:t>
      </w:r>
      <w:r>
        <w:rPr>
          <w:spacing w:val="-1"/>
        </w:rPr>
        <w:t xml:space="preserve"> </w:t>
      </w:r>
      <w:r>
        <w:t>recursos</w:t>
      </w:r>
      <w:r>
        <w:rPr>
          <w:spacing w:val="-1"/>
        </w:rPr>
        <w:t xml:space="preserve"> </w:t>
      </w:r>
      <w:r>
        <w:t>efectivos, incluidas “compensación,</w:t>
      </w:r>
      <w:r>
        <w:rPr>
          <w:spacing w:val="-3"/>
        </w:rPr>
        <w:t xml:space="preserve"> </w:t>
      </w:r>
      <w:r>
        <w:t>reparación,</w:t>
      </w:r>
      <w:r>
        <w:rPr>
          <w:spacing w:val="-3"/>
        </w:rPr>
        <w:t xml:space="preserve"> </w:t>
      </w:r>
      <w:r>
        <w:t>restitución,</w:t>
      </w:r>
      <w:r>
        <w:rPr>
          <w:spacing w:val="-3"/>
        </w:rPr>
        <w:t xml:space="preserve"> </w:t>
      </w:r>
      <w:r>
        <w:t>rehabilitación,</w:t>
      </w:r>
      <w:r>
        <w:rPr>
          <w:spacing w:val="-3"/>
        </w:rPr>
        <w:t xml:space="preserve"> </w:t>
      </w:r>
      <w:r>
        <w:t>garantías</w:t>
      </w:r>
      <w:r>
        <w:rPr>
          <w:spacing w:val="-5"/>
        </w:rPr>
        <w:t xml:space="preserve"> </w:t>
      </w:r>
      <w:r>
        <w:t>de</w:t>
      </w:r>
      <w:r>
        <w:rPr>
          <w:spacing w:val="-4"/>
        </w:rPr>
        <w:t xml:space="preserve"> </w:t>
      </w:r>
      <w:r>
        <w:t>no</w:t>
      </w:r>
      <w:r>
        <w:rPr>
          <w:spacing w:val="-4"/>
        </w:rPr>
        <w:t xml:space="preserve"> </w:t>
      </w:r>
      <w:r>
        <w:t>repetición</w:t>
      </w:r>
      <w:r>
        <w:rPr>
          <w:spacing w:val="-4"/>
        </w:rPr>
        <w:t xml:space="preserve"> </w:t>
      </w:r>
      <w:r>
        <w:t>y</w:t>
      </w:r>
      <w:r>
        <w:rPr>
          <w:spacing w:val="-4"/>
        </w:rPr>
        <w:t xml:space="preserve"> </w:t>
      </w:r>
      <w:r>
        <w:t>disculpas</w:t>
      </w:r>
      <w:r>
        <w:rPr>
          <w:spacing w:val="-4"/>
        </w:rPr>
        <w:t xml:space="preserve"> </w:t>
      </w:r>
      <w:r>
        <w:t>públicas”.571</w:t>
      </w:r>
      <w:r>
        <w:rPr>
          <w:spacing w:val="-4"/>
        </w:rPr>
        <w:t xml:space="preserve"> </w:t>
      </w:r>
      <w:r>
        <w:t>El</w:t>
      </w:r>
      <w:r>
        <w:rPr>
          <w:spacing w:val="-4"/>
        </w:rPr>
        <w:t xml:space="preserve"> </w:t>
      </w:r>
      <w:r>
        <w:t>Comité</w:t>
      </w:r>
      <w:r>
        <w:rPr>
          <w:spacing w:val="-4"/>
        </w:rPr>
        <w:t xml:space="preserve"> </w:t>
      </w:r>
      <w:r>
        <w:t>para</w:t>
      </w:r>
      <w:r>
        <w:rPr>
          <w:spacing w:val="-4"/>
        </w:rPr>
        <w:t xml:space="preserve"> </w:t>
      </w:r>
      <w:r>
        <w:t>la Eliminación</w:t>
      </w:r>
      <w:r>
        <w:rPr>
          <w:spacing w:val="-12"/>
        </w:rPr>
        <w:t xml:space="preserve"> </w:t>
      </w:r>
      <w:r>
        <w:t>El</w:t>
      </w:r>
      <w:r>
        <w:rPr>
          <w:spacing w:val="-11"/>
        </w:rPr>
        <w:t xml:space="preserve"> </w:t>
      </w:r>
      <w:r>
        <w:t>Departamento</w:t>
      </w:r>
      <w:r>
        <w:rPr>
          <w:spacing w:val="-11"/>
        </w:rPr>
        <w:t xml:space="preserve"> </w:t>
      </w:r>
      <w:r>
        <w:t>de</w:t>
      </w:r>
      <w:r>
        <w:rPr>
          <w:spacing w:val="-11"/>
        </w:rPr>
        <w:t xml:space="preserve"> </w:t>
      </w:r>
      <w:r>
        <w:t>Discriminación</w:t>
      </w:r>
      <w:r>
        <w:rPr>
          <w:spacing w:val="-11"/>
        </w:rPr>
        <w:t xml:space="preserve"> </w:t>
      </w:r>
      <w:r>
        <w:t>contra</w:t>
      </w:r>
      <w:r>
        <w:rPr>
          <w:spacing w:val="-11"/>
        </w:rPr>
        <w:t xml:space="preserve"> </w:t>
      </w:r>
      <w:r>
        <w:t>la</w:t>
      </w:r>
      <w:r>
        <w:rPr>
          <w:spacing w:val="-11"/>
        </w:rPr>
        <w:t xml:space="preserve"> </w:t>
      </w:r>
      <w:r>
        <w:t>Mujer</w:t>
      </w:r>
      <w:r>
        <w:rPr>
          <w:spacing w:val="-11"/>
        </w:rPr>
        <w:t xml:space="preserve"> </w:t>
      </w:r>
      <w:r>
        <w:t>ha</w:t>
      </w:r>
      <w:r>
        <w:rPr>
          <w:spacing w:val="-12"/>
        </w:rPr>
        <w:t xml:space="preserve"> </w:t>
      </w:r>
      <w:r>
        <w:t>hecho</w:t>
      </w:r>
      <w:r>
        <w:rPr>
          <w:spacing w:val="-11"/>
        </w:rPr>
        <w:t xml:space="preserve"> </w:t>
      </w:r>
      <w:r>
        <w:t>recomendaciones</w:t>
      </w:r>
      <w:r>
        <w:rPr>
          <w:spacing w:val="-11"/>
        </w:rPr>
        <w:t xml:space="preserve"> </w:t>
      </w:r>
      <w:r>
        <w:t>similares,572</w:t>
      </w:r>
      <w:r>
        <w:rPr>
          <w:spacing w:val="-11"/>
        </w:rPr>
        <w:t xml:space="preserve"> </w:t>
      </w:r>
      <w:r>
        <w:t>señalando</w:t>
      </w:r>
      <w:r>
        <w:rPr>
          <w:spacing w:val="-11"/>
        </w:rPr>
        <w:t xml:space="preserve"> </w:t>
      </w:r>
      <w:r>
        <w:t>las</w:t>
      </w:r>
      <w:r>
        <w:rPr>
          <w:spacing w:val="-11"/>
        </w:rPr>
        <w:t xml:space="preserve"> </w:t>
      </w:r>
      <w:r>
        <w:t>obligaciones de los Estados</w:t>
      </w:r>
      <w:r>
        <w:rPr>
          <w:spacing w:val="-1"/>
        </w:rPr>
        <w:t xml:space="preserve"> </w:t>
      </w:r>
      <w:r>
        <w:t>de “proporcionar y aplicar recursos apropiados y oportunos para la discriminación” y “garantizar que los recursos sean</w:t>
      </w:r>
      <w:r>
        <w:rPr>
          <w:spacing w:val="-2"/>
        </w:rPr>
        <w:t xml:space="preserve"> </w:t>
      </w:r>
      <w:r>
        <w:t>adecuados,</w:t>
      </w:r>
      <w:r>
        <w:rPr>
          <w:spacing w:val="-1"/>
        </w:rPr>
        <w:t xml:space="preserve"> </w:t>
      </w:r>
      <w:r>
        <w:t>efectivos,</w:t>
      </w:r>
      <w:r>
        <w:rPr>
          <w:spacing w:val="-1"/>
        </w:rPr>
        <w:t xml:space="preserve"> </w:t>
      </w:r>
      <w:r>
        <w:t>prontamente</w:t>
      </w:r>
      <w:r>
        <w:rPr>
          <w:spacing w:val="-2"/>
        </w:rPr>
        <w:t xml:space="preserve"> </w:t>
      </w:r>
      <w:r>
        <w:t>atribuidos,</w:t>
      </w:r>
      <w:r>
        <w:rPr>
          <w:spacing w:val="-1"/>
        </w:rPr>
        <w:t xml:space="preserve"> </w:t>
      </w:r>
      <w:r>
        <w:t>holísticos</w:t>
      </w:r>
      <w:r>
        <w:rPr>
          <w:spacing w:val="-3"/>
        </w:rPr>
        <w:t xml:space="preserve"> </w:t>
      </w:r>
      <w:r>
        <w:t>y</w:t>
      </w:r>
      <w:r>
        <w:rPr>
          <w:spacing w:val="-2"/>
        </w:rPr>
        <w:t xml:space="preserve"> </w:t>
      </w:r>
      <w:r>
        <w:t>proporcionales</w:t>
      </w:r>
      <w:r>
        <w:rPr>
          <w:spacing w:val="-2"/>
        </w:rPr>
        <w:t xml:space="preserve"> </w:t>
      </w:r>
      <w:r>
        <w:t>a</w:t>
      </w:r>
      <w:r>
        <w:rPr>
          <w:spacing w:val="-2"/>
        </w:rPr>
        <w:t xml:space="preserve"> </w:t>
      </w:r>
      <w:r>
        <w:t>la</w:t>
      </w:r>
      <w:r>
        <w:rPr>
          <w:spacing w:val="-2"/>
        </w:rPr>
        <w:t xml:space="preserve"> </w:t>
      </w:r>
      <w:r>
        <w:t>gravedad</w:t>
      </w:r>
      <w:r>
        <w:rPr>
          <w:spacing w:val="-2"/>
        </w:rPr>
        <w:t xml:space="preserve"> </w:t>
      </w:r>
      <w:r>
        <w:t>del</w:t>
      </w:r>
      <w:r>
        <w:rPr>
          <w:spacing w:val="-2"/>
        </w:rPr>
        <w:t xml:space="preserve"> </w:t>
      </w:r>
      <w:r>
        <w:t>daño</w:t>
      </w:r>
      <w:r>
        <w:rPr>
          <w:spacing w:val="-2"/>
        </w:rPr>
        <w:t xml:space="preserve"> </w:t>
      </w:r>
      <w:r>
        <w:t>sufrido”</w:t>
      </w:r>
      <w:r>
        <w:rPr>
          <w:spacing w:val="-2"/>
        </w:rPr>
        <w:t xml:space="preserve"> </w:t>
      </w:r>
      <w:r>
        <w:t>.573</w:t>
      </w:r>
    </w:p>
    <w:p w14:paraId="4DF20227" w14:textId="77777777" w:rsidR="0014798C" w:rsidRDefault="0014798C">
      <w:pPr>
        <w:pStyle w:val="Textoindependiente"/>
        <w:spacing w:before="60"/>
      </w:pPr>
    </w:p>
    <w:p w14:paraId="58497D8A" w14:textId="77777777" w:rsidR="0014798C" w:rsidRDefault="004E1F0B">
      <w:pPr>
        <w:pStyle w:val="Textoindependiente"/>
        <w:spacing w:line="326" w:lineRule="auto"/>
        <w:ind w:left="1108" w:right="1272" w:hanging="2"/>
      </w:pPr>
      <w:r>
        <w:t>El</w:t>
      </w:r>
      <w:r>
        <w:rPr>
          <w:spacing w:val="-8"/>
        </w:rPr>
        <w:t xml:space="preserve"> </w:t>
      </w:r>
      <w:r>
        <w:t>Comité</w:t>
      </w:r>
      <w:r>
        <w:rPr>
          <w:spacing w:val="-8"/>
        </w:rPr>
        <w:t xml:space="preserve"> </w:t>
      </w:r>
      <w:r>
        <w:t>sobre</w:t>
      </w:r>
      <w:r>
        <w:rPr>
          <w:spacing w:val="-8"/>
        </w:rPr>
        <w:t xml:space="preserve"> </w:t>
      </w:r>
      <w:r>
        <w:t>los</w:t>
      </w:r>
      <w:r>
        <w:rPr>
          <w:spacing w:val="-8"/>
        </w:rPr>
        <w:t xml:space="preserve"> </w:t>
      </w:r>
      <w:r>
        <w:t>Derechos</w:t>
      </w:r>
      <w:r>
        <w:rPr>
          <w:spacing w:val="-8"/>
        </w:rPr>
        <w:t xml:space="preserve"> </w:t>
      </w:r>
      <w:r>
        <w:t>de</w:t>
      </w:r>
      <w:r>
        <w:rPr>
          <w:spacing w:val="-8"/>
        </w:rPr>
        <w:t xml:space="preserve"> </w:t>
      </w:r>
      <w:r>
        <w:t>las</w:t>
      </w:r>
      <w:r>
        <w:rPr>
          <w:spacing w:val="-8"/>
        </w:rPr>
        <w:t xml:space="preserve"> </w:t>
      </w:r>
      <w:r>
        <w:t>Personas</w:t>
      </w:r>
      <w:r>
        <w:rPr>
          <w:spacing w:val="-8"/>
        </w:rPr>
        <w:t xml:space="preserve"> </w:t>
      </w:r>
      <w:r>
        <w:t>con</w:t>
      </w:r>
      <w:r>
        <w:rPr>
          <w:spacing w:val="-8"/>
        </w:rPr>
        <w:t xml:space="preserve"> </w:t>
      </w:r>
      <w:r>
        <w:t>Discapacidad</w:t>
      </w:r>
      <w:r>
        <w:rPr>
          <w:spacing w:val="-8"/>
        </w:rPr>
        <w:t xml:space="preserve"> </w:t>
      </w:r>
      <w:r>
        <w:t>ha</w:t>
      </w:r>
      <w:r>
        <w:rPr>
          <w:spacing w:val="-8"/>
        </w:rPr>
        <w:t xml:space="preserve"> </w:t>
      </w:r>
      <w:r>
        <w:t>enfatizado</w:t>
      </w:r>
      <w:r>
        <w:rPr>
          <w:spacing w:val="-8"/>
        </w:rPr>
        <w:t xml:space="preserve"> </w:t>
      </w:r>
      <w:r>
        <w:t>que</w:t>
      </w:r>
      <w:r>
        <w:rPr>
          <w:spacing w:val="-8"/>
        </w:rPr>
        <w:t xml:space="preserve"> </w:t>
      </w:r>
      <w:r>
        <w:t>las</w:t>
      </w:r>
      <w:r>
        <w:rPr>
          <w:spacing w:val="-8"/>
        </w:rPr>
        <w:t xml:space="preserve"> </w:t>
      </w:r>
      <w:r>
        <w:t>sanciones</w:t>
      </w:r>
      <w:r>
        <w:rPr>
          <w:spacing w:val="-8"/>
        </w:rPr>
        <w:t xml:space="preserve"> </w:t>
      </w:r>
      <w:r>
        <w:t>por</w:t>
      </w:r>
      <w:r>
        <w:rPr>
          <w:spacing w:val="-8"/>
        </w:rPr>
        <w:t xml:space="preserve"> </w:t>
      </w:r>
      <w:r>
        <w:t>violación</w:t>
      </w:r>
      <w:r>
        <w:rPr>
          <w:spacing w:val="-8"/>
        </w:rPr>
        <w:t xml:space="preserve"> </w:t>
      </w:r>
      <w:r>
        <w:t>del</w:t>
      </w:r>
      <w:r>
        <w:rPr>
          <w:spacing w:val="-8"/>
        </w:rPr>
        <w:t xml:space="preserve"> </w:t>
      </w:r>
      <w:r>
        <w:t>derecho</w:t>
      </w:r>
      <w:r>
        <w:rPr>
          <w:spacing w:val="-8"/>
        </w:rPr>
        <w:t xml:space="preserve"> </w:t>
      </w:r>
      <w:r>
        <w:t>a</w:t>
      </w:r>
      <w:r>
        <w:rPr>
          <w:spacing w:val="-8"/>
        </w:rPr>
        <w:t xml:space="preserve"> </w:t>
      </w:r>
      <w:r>
        <w:t>la</w:t>
      </w:r>
      <w:r>
        <w:rPr>
          <w:spacing w:val="-8"/>
        </w:rPr>
        <w:t xml:space="preserve"> </w:t>
      </w:r>
      <w:r>
        <w:t>no discriminación deben ser “efectivas, proporcionadas y disuasorias”574.</w:t>
      </w:r>
    </w:p>
    <w:p w14:paraId="1661FC24" w14:textId="77777777" w:rsidR="0014798C" w:rsidRDefault="004E1F0B">
      <w:pPr>
        <w:pStyle w:val="Textoindependiente"/>
        <w:spacing w:before="169" w:line="326" w:lineRule="auto"/>
        <w:ind w:left="1107" w:right="1239" w:hanging="1"/>
      </w:pPr>
      <w:r>
        <w:t>El</w:t>
      </w:r>
      <w:r>
        <w:rPr>
          <w:spacing w:val="-2"/>
        </w:rPr>
        <w:t xml:space="preserve"> </w:t>
      </w:r>
      <w:r>
        <w:t>Comité</w:t>
      </w:r>
      <w:r>
        <w:rPr>
          <w:spacing w:val="-2"/>
        </w:rPr>
        <w:t xml:space="preserve"> </w:t>
      </w:r>
      <w:r>
        <w:t>de</w:t>
      </w:r>
      <w:r>
        <w:rPr>
          <w:spacing w:val="-2"/>
        </w:rPr>
        <w:t xml:space="preserve"> </w:t>
      </w:r>
      <w:r>
        <w:t>Derechos</w:t>
      </w:r>
      <w:r>
        <w:rPr>
          <w:spacing w:val="-2"/>
        </w:rPr>
        <w:t xml:space="preserve"> </w:t>
      </w:r>
      <w:r>
        <w:t>Humanos,</w:t>
      </w:r>
      <w:r>
        <w:rPr>
          <w:spacing w:val="-2"/>
        </w:rPr>
        <w:t xml:space="preserve"> </w:t>
      </w:r>
      <w:r>
        <w:t>en</w:t>
      </w:r>
      <w:r>
        <w:rPr>
          <w:spacing w:val="-2"/>
        </w:rPr>
        <w:t xml:space="preserve"> </w:t>
      </w:r>
      <w:r>
        <w:t>su</w:t>
      </w:r>
      <w:r>
        <w:rPr>
          <w:spacing w:val="-2"/>
        </w:rPr>
        <w:t xml:space="preserve"> </w:t>
      </w:r>
      <w:r>
        <w:t>Observación</w:t>
      </w:r>
      <w:r>
        <w:rPr>
          <w:spacing w:val="-2"/>
        </w:rPr>
        <w:t xml:space="preserve"> </w:t>
      </w:r>
      <w:r>
        <w:t>general</w:t>
      </w:r>
      <w:r>
        <w:rPr>
          <w:spacing w:val="-2"/>
        </w:rPr>
        <w:t xml:space="preserve"> </w:t>
      </w:r>
      <w:proofErr w:type="spellStart"/>
      <w:r>
        <w:t>Nº</w:t>
      </w:r>
      <w:proofErr w:type="spellEnd"/>
      <w:r>
        <w:rPr>
          <w:spacing w:val="-2"/>
        </w:rPr>
        <w:t xml:space="preserve"> </w:t>
      </w:r>
      <w:r>
        <w:t>31</w:t>
      </w:r>
      <w:r>
        <w:rPr>
          <w:spacing w:val="-2"/>
        </w:rPr>
        <w:t xml:space="preserve"> </w:t>
      </w:r>
      <w:r>
        <w:t>(2004),</w:t>
      </w:r>
      <w:r>
        <w:rPr>
          <w:spacing w:val="-2"/>
        </w:rPr>
        <w:t xml:space="preserve"> </w:t>
      </w:r>
      <w:r>
        <w:t>que</w:t>
      </w:r>
      <w:r>
        <w:rPr>
          <w:spacing w:val="-2"/>
        </w:rPr>
        <w:t xml:space="preserve"> </w:t>
      </w:r>
      <w:r>
        <w:t>trata</w:t>
      </w:r>
      <w:r>
        <w:rPr>
          <w:spacing w:val="-2"/>
        </w:rPr>
        <w:t xml:space="preserve"> </w:t>
      </w:r>
      <w:r>
        <w:t>de</w:t>
      </w:r>
      <w:r>
        <w:rPr>
          <w:spacing w:val="-2"/>
        </w:rPr>
        <w:t xml:space="preserve"> </w:t>
      </w:r>
      <w:r>
        <w:t>las</w:t>
      </w:r>
      <w:r>
        <w:rPr>
          <w:spacing w:val="-2"/>
        </w:rPr>
        <w:t xml:space="preserve"> </w:t>
      </w:r>
      <w:r>
        <w:t>obligaciones</w:t>
      </w:r>
      <w:r>
        <w:rPr>
          <w:spacing w:val="-2"/>
        </w:rPr>
        <w:t xml:space="preserve"> </w:t>
      </w:r>
      <w:r>
        <w:t>jurídicas</w:t>
      </w:r>
      <w:r>
        <w:rPr>
          <w:spacing w:val="-2"/>
        </w:rPr>
        <w:t xml:space="preserve"> </w:t>
      </w:r>
      <w:r>
        <w:t>generales</w:t>
      </w:r>
      <w:r>
        <w:rPr>
          <w:spacing w:val="-2"/>
        </w:rPr>
        <w:t xml:space="preserve"> </w:t>
      </w:r>
      <w:r>
        <w:t>de</w:t>
      </w:r>
      <w:r>
        <w:rPr>
          <w:spacing w:val="-2"/>
        </w:rPr>
        <w:t xml:space="preserve"> </w:t>
      </w:r>
      <w:r>
        <w:t>los Estados</w:t>
      </w:r>
      <w:r>
        <w:rPr>
          <w:spacing w:val="-4"/>
        </w:rPr>
        <w:t xml:space="preserve"> </w:t>
      </w:r>
      <w:r>
        <w:t>en</w:t>
      </w:r>
      <w:r>
        <w:rPr>
          <w:spacing w:val="-3"/>
        </w:rPr>
        <w:t xml:space="preserve"> </w:t>
      </w:r>
      <w:r>
        <w:t>virtud</w:t>
      </w:r>
      <w:r>
        <w:rPr>
          <w:spacing w:val="-3"/>
        </w:rPr>
        <w:t xml:space="preserve"> </w:t>
      </w:r>
      <w:r>
        <w:t>del</w:t>
      </w:r>
      <w:r>
        <w:rPr>
          <w:spacing w:val="-3"/>
        </w:rPr>
        <w:t xml:space="preserve"> </w:t>
      </w:r>
      <w:r>
        <w:t>Pacto</w:t>
      </w:r>
      <w:r>
        <w:rPr>
          <w:spacing w:val="-3"/>
        </w:rPr>
        <w:t xml:space="preserve"> </w:t>
      </w:r>
      <w:r>
        <w:t>Internacional</w:t>
      </w:r>
      <w:r>
        <w:rPr>
          <w:spacing w:val="-3"/>
        </w:rPr>
        <w:t xml:space="preserve"> </w:t>
      </w:r>
      <w:r>
        <w:t>de</w:t>
      </w:r>
      <w:r>
        <w:rPr>
          <w:spacing w:val="-3"/>
        </w:rPr>
        <w:t xml:space="preserve"> </w:t>
      </w:r>
      <w:r>
        <w:t>Derechos</w:t>
      </w:r>
      <w:r>
        <w:rPr>
          <w:spacing w:val="-3"/>
        </w:rPr>
        <w:t xml:space="preserve"> </w:t>
      </w:r>
      <w:r>
        <w:t>Civiles</w:t>
      </w:r>
      <w:r>
        <w:rPr>
          <w:spacing w:val="-3"/>
        </w:rPr>
        <w:t xml:space="preserve"> </w:t>
      </w:r>
      <w:r>
        <w:t>y</w:t>
      </w:r>
      <w:r>
        <w:rPr>
          <w:spacing w:val="-3"/>
        </w:rPr>
        <w:t xml:space="preserve"> </w:t>
      </w:r>
      <w:r>
        <w:t>Políticos,</w:t>
      </w:r>
      <w:r>
        <w:rPr>
          <w:spacing w:val="-3"/>
        </w:rPr>
        <w:t xml:space="preserve"> </w:t>
      </w:r>
      <w:r>
        <w:t>ha</w:t>
      </w:r>
      <w:r>
        <w:rPr>
          <w:spacing w:val="-3"/>
        </w:rPr>
        <w:t xml:space="preserve"> </w:t>
      </w:r>
      <w:r>
        <w:t>señalado</w:t>
      </w:r>
      <w:r>
        <w:rPr>
          <w:spacing w:val="-3"/>
        </w:rPr>
        <w:t xml:space="preserve"> </w:t>
      </w:r>
      <w:r>
        <w:t>que</w:t>
      </w:r>
      <w:r>
        <w:rPr>
          <w:spacing w:val="-3"/>
        </w:rPr>
        <w:t xml:space="preserve"> </w:t>
      </w:r>
      <w:r>
        <w:t>“la</w:t>
      </w:r>
      <w:r>
        <w:rPr>
          <w:spacing w:val="-3"/>
        </w:rPr>
        <w:t xml:space="preserve"> </w:t>
      </w:r>
      <w:r>
        <w:t>reparación</w:t>
      </w:r>
      <w:r>
        <w:rPr>
          <w:spacing w:val="-3"/>
        </w:rPr>
        <w:t xml:space="preserve"> </w:t>
      </w:r>
      <w:r>
        <w:t>puede</w:t>
      </w:r>
      <w:r>
        <w:rPr>
          <w:spacing w:val="-3"/>
        </w:rPr>
        <w:t xml:space="preserve"> </w:t>
      </w:r>
      <w:r>
        <w:t>implicar</w:t>
      </w:r>
      <w:r>
        <w:rPr>
          <w:spacing w:val="-3"/>
        </w:rPr>
        <w:t xml:space="preserve"> </w:t>
      </w:r>
      <w:r>
        <w:t>restitución, rehabilitación</w:t>
      </w:r>
      <w:r>
        <w:rPr>
          <w:spacing w:val="-3"/>
        </w:rPr>
        <w:t xml:space="preserve"> </w:t>
      </w:r>
      <w:r>
        <w:t>y</w:t>
      </w:r>
      <w:r>
        <w:rPr>
          <w:spacing w:val="-3"/>
        </w:rPr>
        <w:t xml:space="preserve"> </w:t>
      </w:r>
      <w:r>
        <w:t>medidas</w:t>
      </w:r>
      <w:r>
        <w:rPr>
          <w:spacing w:val="-3"/>
        </w:rPr>
        <w:t xml:space="preserve"> </w:t>
      </w:r>
      <w:r>
        <w:t>de</w:t>
      </w:r>
      <w:r>
        <w:rPr>
          <w:spacing w:val="-3"/>
        </w:rPr>
        <w:t xml:space="preserve"> </w:t>
      </w:r>
      <w:r>
        <w:t>satisfacción,</w:t>
      </w:r>
      <w:r>
        <w:rPr>
          <w:spacing w:val="-2"/>
        </w:rPr>
        <w:t xml:space="preserve"> </w:t>
      </w:r>
      <w:r>
        <w:t>como</w:t>
      </w:r>
      <w:r>
        <w:rPr>
          <w:spacing w:val="-3"/>
        </w:rPr>
        <w:t xml:space="preserve"> </w:t>
      </w:r>
      <w:r>
        <w:t>como</w:t>
      </w:r>
      <w:r>
        <w:rPr>
          <w:spacing w:val="-3"/>
        </w:rPr>
        <w:t xml:space="preserve"> </w:t>
      </w:r>
      <w:r>
        <w:t>disculpas</w:t>
      </w:r>
      <w:r>
        <w:rPr>
          <w:spacing w:val="-3"/>
        </w:rPr>
        <w:t xml:space="preserve"> </w:t>
      </w:r>
      <w:r>
        <w:t>públicas,</w:t>
      </w:r>
      <w:r>
        <w:rPr>
          <w:spacing w:val="-2"/>
        </w:rPr>
        <w:t xml:space="preserve"> </w:t>
      </w:r>
      <w:r>
        <w:t>memoriales</w:t>
      </w:r>
      <w:r>
        <w:rPr>
          <w:spacing w:val="-3"/>
        </w:rPr>
        <w:t xml:space="preserve"> </w:t>
      </w:r>
      <w:r>
        <w:t>públicos,</w:t>
      </w:r>
      <w:r>
        <w:rPr>
          <w:spacing w:val="-2"/>
        </w:rPr>
        <w:t xml:space="preserve"> </w:t>
      </w:r>
      <w:r>
        <w:t>garantías</w:t>
      </w:r>
      <w:r>
        <w:rPr>
          <w:spacing w:val="-4"/>
        </w:rPr>
        <w:t xml:space="preserve"> </w:t>
      </w:r>
      <w:r>
        <w:t>de</w:t>
      </w:r>
      <w:r>
        <w:rPr>
          <w:spacing w:val="-3"/>
        </w:rPr>
        <w:t xml:space="preserve"> </w:t>
      </w:r>
      <w:r>
        <w:t>no</w:t>
      </w:r>
      <w:r>
        <w:rPr>
          <w:spacing w:val="-3"/>
        </w:rPr>
        <w:t xml:space="preserve"> </w:t>
      </w:r>
      <w:r>
        <w:t>repetición</w:t>
      </w:r>
      <w:r>
        <w:rPr>
          <w:spacing w:val="-3"/>
        </w:rPr>
        <w:t xml:space="preserve"> </w:t>
      </w:r>
      <w:r>
        <w:t>y</w:t>
      </w:r>
      <w:r>
        <w:rPr>
          <w:spacing w:val="-3"/>
        </w:rPr>
        <w:t xml:space="preserve"> </w:t>
      </w:r>
      <w:r>
        <w:t>cambios en</w:t>
      </w:r>
      <w:r>
        <w:rPr>
          <w:spacing w:val="-8"/>
        </w:rPr>
        <w:t xml:space="preserve"> </w:t>
      </w:r>
      <w:r>
        <w:t>las</w:t>
      </w:r>
      <w:r>
        <w:rPr>
          <w:spacing w:val="-8"/>
        </w:rPr>
        <w:t xml:space="preserve"> </w:t>
      </w:r>
      <w:r>
        <w:t>leyes</w:t>
      </w:r>
      <w:r>
        <w:rPr>
          <w:spacing w:val="-8"/>
        </w:rPr>
        <w:t xml:space="preserve"> </w:t>
      </w:r>
      <w:r>
        <w:t>y</w:t>
      </w:r>
      <w:r>
        <w:rPr>
          <w:spacing w:val="-8"/>
        </w:rPr>
        <w:t xml:space="preserve"> </w:t>
      </w:r>
      <w:r>
        <w:t>prácticas</w:t>
      </w:r>
      <w:r>
        <w:rPr>
          <w:spacing w:val="-8"/>
        </w:rPr>
        <w:t xml:space="preserve"> </w:t>
      </w:r>
      <w:r>
        <w:t>pertinentes,</w:t>
      </w:r>
      <w:r>
        <w:rPr>
          <w:spacing w:val="-7"/>
        </w:rPr>
        <w:t xml:space="preserve"> </w:t>
      </w:r>
      <w:r>
        <w:t>así</w:t>
      </w:r>
      <w:r>
        <w:rPr>
          <w:spacing w:val="-8"/>
        </w:rPr>
        <w:t xml:space="preserve"> </w:t>
      </w:r>
      <w:r>
        <w:t>como</w:t>
      </w:r>
      <w:r>
        <w:rPr>
          <w:spacing w:val="-8"/>
        </w:rPr>
        <w:t xml:space="preserve"> </w:t>
      </w:r>
      <w:r>
        <w:t>llevar</w:t>
      </w:r>
      <w:r>
        <w:rPr>
          <w:spacing w:val="-8"/>
        </w:rPr>
        <w:t xml:space="preserve"> </w:t>
      </w:r>
      <w:r>
        <w:t>ante</w:t>
      </w:r>
      <w:r>
        <w:rPr>
          <w:spacing w:val="-8"/>
        </w:rPr>
        <w:t xml:space="preserve"> </w:t>
      </w:r>
      <w:r>
        <w:t>la</w:t>
      </w:r>
      <w:r>
        <w:rPr>
          <w:spacing w:val="-8"/>
        </w:rPr>
        <w:t xml:space="preserve"> </w:t>
      </w:r>
      <w:r>
        <w:t>justicia</w:t>
      </w:r>
      <w:r>
        <w:rPr>
          <w:spacing w:val="-8"/>
        </w:rPr>
        <w:t xml:space="preserve"> </w:t>
      </w:r>
      <w:r>
        <w:t>a</w:t>
      </w:r>
      <w:r>
        <w:rPr>
          <w:spacing w:val="-8"/>
        </w:rPr>
        <w:t xml:space="preserve"> </w:t>
      </w:r>
      <w:r>
        <w:t>los</w:t>
      </w:r>
      <w:r>
        <w:rPr>
          <w:spacing w:val="-8"/>
        </w:rPr>
        <w:t xml:space="preserve"> </w:t>
      </w:r>
      <w:r>
        <w:t>autores</w:t>
      </w:r>
      <w:r>
        <w:rPr>
          <w:spacing w:val="-8"/>
        </w:rPr>
        <w:t xml:space="preserve"> </w:t>
      </w:r>
      <w:r>
        <w:t>de</w:t>
      </w:r>
      <w:r>
        <w:rPr>
          <w:spacing w:val="-8"/>
        </w:rPr>
        <w:t xml:space="preserve"> </w:t>
      </w:r>
      <w:r>
        <w:t>violaciones</w:t>
      </w:r>
      <w:r>
        <w:rPr>
          <w:spacing w:val="-8"/>
        </w:rPr>
        <w:t xml:space="preserve"> </w:t>
      </w:r>
      <w:r>
        <w:t>de</w:t>
      </w:r>
      <w:r>
        <w:rPr>
          <w:spacing w:val="-8"/>
        </w:rPr>
        <w:t xml:space="preserve"> </w:t>
      </w:r>
      <w:r>
        <w:t>derechos</w:t>
      </w:r>
      <w:r>
        <w:rPr>
          <w:spacing w:val="-8"/>
        </w:rPr>
        <w:t xml:space="preserve"> </w:t>
      </w:r>
      <w:r>
        <w:t>humanos”.575</w:t>
      </w:r>
      <w:r>
        <w:rPr>
          <w:spacing w:val="-8"/>
        </w:rPr>
        <w:t xml:space="preserve"> </w:t>
      </w:r>
      <w:r>
        <w:t>El</w:t>
      </w:r>
      <w:r>
        <w:rPr>
          <w:spacing w:val="-8"/>
        </w:rPr>
        <w:t xml:space="preserve"> </w:t>
      </w:r>
      <w:r>
        <w:t>Comité ha</w:t>
      </w:r>
      <w:r>
        <w:rPr>
          <w:spacing w:val="-6"/>
        </w:rPr>
        <w:t xml:space="preserve"> </w:t>
      </w:r>
      <w:r>
        <w:t>observado</w:t>
      </w:r>
      <w:r>
        <w:rPr>
          <w:spacing w:val="-6"/>
        </w:rPr>
        <w:t xml:space="preserve"> </w:t>
      </w:r>
      <w:r>
        <w:t>además</w:t>
      </w:r>
      <w:r>
        <w:rPr>
          <w:spacing w:val="-6"/>
        </w:rPr>
        <w:t xml:space="preserve"> </w:t>
      </w:r>
      <w:r>
        <w:t>que</w:t>
      </w:r>
      <w:r>
        <w:rPr>
          <w:spacing w:val="-6"/>
        </w:rPr>
        <w:t xml:space="preserve"> </w:t>
      </w:r>
      <w:r>
        <w:t>“en</w:t>
      </w:r>
      <w:r>
        <w:rPr>
          <w:spacing w:val="-6"/>
        </w:rPr>
        <w:t xml:space="preserve"> </w:t>
      </w:r>
      <w:r>
        <w:t>general,</w:t>
      </w:r>
      <w:r>
        <w:rPr>
          <w:spacing w:val="-6"/>
        </w:rPr>
        <w:t xml:space="preserve"> </w:t>
      </w:r>
      <w:r>
        <w:t>los</w:t>
      </w:r>
      <w:r>
        <w:rPr>
          <w:spacing w:val="-6"/>
        </w:rPr>
        <w:t xml:space="preserve"> </w:t>
      </w:r>
      <w:r>
        <w:t>propósitos</w:t>
      </w:r>
      <w:r>
        <w:rPr>
          <w:spacing w:val="-6"/>
        </w:rPr>
        <w:t xml:space="preserve"> </w:t>
      </w:r>
      <w:r>
        <w:t>del</w:t>
      </w:r>
      <w:r>
        <w:rPr>
          <w:spacing w:val="-6"/>
        </w:rPr>
        <w:t xml:space="preserve"> </w:t>
      </w:r>
      <w:r>
        <w:t>Pacto</w:t>
      </w:r>
      <w:r>
        <w:rPr>
          <w:spacing w:val="-6"/>
        </w:rPr>
        <w:t xml:space="preserve"> </w:t>
      </w:r>
      <w:r>
        <w:t>sería</w:t>
      </w:r>
      <w:r>
        <w:rPr>
          <w:spacing w:val="-6"/>
        </w:rPr>
        <w:t xml:space="preserve"> </w:t>
      </w:r>
      <w:r>
        <w:t>derrotada</w:t>
      </w:r>
      <w:r>
        <w:rPr>
          <w:spacing w:val="-6"/>
        </w:rPr>
        <w:t xml:space="preserve"> </w:t>
      </w:r>
      <w:r>
        <w:t>sin</w:t>
      </w:r>
      <w:r>
        <w:rPr>
          <w:spacing w:val="-6"/>
        </w:rPr>
        <w:t xml:space="preserve"> </w:t>
      </w:r>
      <w:r>
        <w:t>la</w:t>
      </w:r>
      <w:r>
        <w:rPr>
          <w:spacing w:val="-6"/>
        </w:rPr>
        <w:t xml:space="preserve"> </w:t>
      </w:r>
      <w:r>
        <w:t>obligación...</w:t>
      </w:r>
      <w:r>
        <w:rPr>
          <w:spacing w:val="-5"/>
        </w:rPr>
        <w:t xml:space="preserve"> </w:t>
      </w:r>
      <w:r>
        <w:t>de</w:t>
      </w:r>
      <w:r>
        <w:rPr>
          <w:spacing w:val="-6"/>
        </w:rPr>
        <w:t xml:space="preserve"> </w:t>
      </w:r>
      <w:r>
        <w:t>tomar</w:t>
      </w:r>
      <w:r>
        <w:rPr>
          <w:spacing w:val="-6"/>
        </w:rPr>
        <w:t xml:space="preserve"> </w:t>
      </w:r>
      <w:r>
        <w:t>medidas</w:t>
      </w:r>
      <w:r>
        <w:rPr>
          <w:spacing w:val="-6"/>
        </w:rPr>
        <w:t xml:space="preserve"> </w:t>
      </w:r>
      <w:r>
        <w:t>para</w:t>
      </w:r>
      <w:r>
        <w:rPr>
          <w:spacing w:val="-6"/>
        </w:rPr>
        <w:t xml:space="preserve"> </w:t>
      </w:r>
      <w:r>
        <w:t>evitar</w:t>
      </w:r>
      <w:r>
        <w:rPr>
          <w:spacing w:val="-6"/>
        </w:rPr>
        <w:t xml:space="preserve"> </w:t>
      </w:r>
      <w:r>
        <w:t>que se</w:t>
      </w:r>
      <w:r>
        <w:rPr>
          <w:spacing w:val="-2"/>
        </w:rPr>
        <w:t xml:space="preserve"> </w:t>
      </w:r>
      <w:r>
        <w:t>repita</w:t>
      </w:r>
      <w:r>
        <w:rPr>
          <w:spacing w:val="-2"/>
        </w:rPr>
        <w:t xml:space="preserve"> </w:t>
      </w:r>
      <w:r>
        <w:t>una</w:t>
      </w:r>
      <w:r>
        <w:rPr>
          <w:spacing w:val="-2"/>
        </w:rPr>
        <w:t xml:space="preserve"> </w:t>
      </w:r>
      <w:r>
        <w:t>violación”,</w:t>
      </w:r>
      <w:r>
        <w:rPr>
          <w:spacing w:val="-1"/>
        </w:rPr>
        <w:t xml:space="preserve"> </w:t>
      </w:r>
      <w:r>
        <w:t>y</w:t>
      </w:r>
      <w:r>
        <w:rPr>
          <w:spacing w:val="-2"/>
        </w:rPr>
        <w:t xml:space="preserve"> </w:t>
      </w:r>
      <w:r>
        <w:t>luego</w:t>
      </w:r>
      <w:r>
        <w:rPr>
          <w:spacing w:val="-2"/>
        </w:rPr>
        <w:t xml:space="preserve"> </w:t>
      </w:r>
      <w:r>
        <w:t>destacó</w:t>
      </w:r>
      <w:r>
        <w:rPr>
          <w:spacing w:val="-2"/>
        </w:rPr>
        <w:t xml:space="preserve"> </w:t>
      </w:r>
      <w:r>
        <w:t>sus</w:t>
      </w:r>
      <w:r>
        <w:rPr>
          <w:spacing w:val="-2"/>
        </w:rPr>
        <w:t xml:space="preserve"> </w:t>
      </w:r>
      <w:r>
        <w:t>propios</w:t>
      </w:r>
      <w:r>
        <w:rPr>
          <w:spacing w:val="-2"/>
        </w:rPr>
        <w:t xml:space="preserve"> </w:t>
      </w:r>
      <w:r>
        <w:t>llamamientos</w:t>
      </w:r>
      <w:r>
        <w:rPr>
          <w:spacing w:val="-3"/>
        </w:rPr>
        <w:t xml:space="preserve"> </w:t>
      </w:r>
      <w:r>
        <w:t>repetidos</w:t>
      </w:r>
      <w:r>
        <w:rPr>
          <w:spacing w:val="-2"/>
        </w:rPr>
        <w:t xml:space="preserve"> </w:t>
      </w:r>
      <w:r>
        <w:t>para</w:t>
      </w:r>
      <w:r>
        <w:rPr>
          <w:spacing w:val="-2"/>
        </w:rPr>
        <w:t xml:space="preserve"> </w:t>
      </w:r>
      <w:r>
        <w:t>que</w:t>
      </w:r>
      <w:r>
        <w:rPr>
          <w:spacing w:val="-2"/>
        </w:rPr>
        <w:t xml:space="preserve"> </w:t>
      </w:r>
      <w:r>
        <w:t>se</w:t>
      </w:r>
      <w:r>
        <w:rPr>
          <w:spacing w:val="-2"/>
        </w:rPr>
        <w:t xml:space="preserve"> </w:t>
      </w:r>
      <w:r>
        <w:t>tomen</w:t>
      </w:r>
      <w:r>
        <w:rPr>
          <w:spacing w:val="-2"/>
        </w:rPr>
        <w:t xml:space="preserve"> </w:t>
      </w:r>
      <w:r>
        <w:t>“medidas,</w:t>
      </w:r>
      <w:r>
        <w:rPr>
          <w:spacing w:val="-1"/>
        </w:rPr>
        <w:t xml:space="preserve"> </w:t>
      </w:r>
      <w:r>
        <w:t>más</w:t>
      </w:r>
      <w:r>
        <w:rPr>
          <w:spacing w:val="-2"/>
        </w:rPr>
        <w:t xml:space="preserve"> </w:t>
      </w:r>
      <w:r>
        <w:t>allá</w:t>
      </w:r>
      <w:r>
        <w:rPr>
          <w:spacing w:val="-2"/>
        </w:rPr>
        <w:t xml:space="preserve"> </w:t>
      </w:r>
      <w:r>
        <w:t>de</w:t>
      </w:r>
      <w:r>
        <w:rPr>
          <w:spacing w:val="-2"/>
        </w:rPr>
        <w:t xml:space="preserve"> </w:t>
      </w:r>
      <w:r>
        <w:t>un</w:t>
      </w:r>
      <w:r>
        <w:rPr>
          <w:spacing w:val="-2"/>
        </w:rPr>
        <w:t xml:space="preserve"> </w:t>
      </w:r>
      <w:r>
        <w:t>remedio específico</w:t>
      </w:r>
      <w:r>
        <w:rPr>
          <w:spacing w:val="-4"/>
        </w:rPr>
        <w:t xml:space="preserve"> </w:t>
      </w:r>
      <w:r>
        <w:t>para</w:t>
      </w:r>
      <w:r>
        <w:rPr>
          <w:spacing w:val="-4"/>
        </w:rPr>
        <w:t xml:space="preserve"> </w:t>
      </w:r>
      <w:r>
        <w:t>la</w:t>
      </w:r>
      <w:r>
        <w:rPr>
          <w:spacing w:val="-4"/>
        </w:rPr>
        <w:t xml:space="preserve"> </w:t>
      </w:r>
      <w:r>
        <w:t>víctima,</w:t>
      </w:r>
      <w:r>
        <w:rPr>
          <w:spacing w:val="-4"/>
        </w:rPr>
        <w:t xml:space="preserve"> </w:t>
      </w:r>
      <w:r>
        <w:t>para</w:t>
      </w:r>
      <w:r>
        <w:rPr>
          <w:spacing w:val="-4"/>
        </w:rPr>
        <w:t xml:space="preserve"> </w:t>
      </w:r>
      <w:r>
        <w:t>evitar</w:t>
      </w:r>
      <w:r>
        <w:rPr>
          <w:spacing w:val="-4"/>
        </w:rPr>
        <w:t xml:space="preserve"> </w:t>
      </w:r>
      <w:r>
        <w:t>que</w:t>
      </w:r>
      <w:r>
        <w:rPr>
          <w:spacing w:val="-4"/>
        </w:rPr>
        <w:t xml:space="preserve"> </w:t>
      </w:r>
      <w:r>
        <w:t>se</w:t>
      </w:r>
      <w:r>
        <w:rPr>
          <w:spacing w:val="-4"/>
        </w:rPr>
        <w:t xml:space="preserve"> </w:t>
      </w:r>
      <w:r>
        <w:t>repita</w:t>
      </w:r>
      <w:r>
        <w:rPr>
          <w:spacing w:val="-4"/>
        </w:rPr>
        <w:t xml:space="preserve"> </w:t>
      </w:r>
      <w:r>
        <w:t>el</w:t>
      </w:r>
      <w:r>
        <w:rPr>
          <w:spacing w:val="-4"/>
        </w:rPr>
        <w:t xml:space="preserve"> </w:t>
      </w:r>
      <w:r>
        <w:t>tipo</w:t>
      </w:r>
      <w:r>
        <w:rPr>
          <w:spacing w:val="-4"/>
        </w:rPr>
        <w:t xml:space="preserve"> </w:t>
      </w:r>
      <w:r>
        <w:t>de</w:t>
      </w:r>
      <w:r>
        <w:rPr>
          <w:spacing w:val="-4"/>
        </w:rPr>
        <w:t xml:space="preserve"> </w:t>
      </w:r>
      <w:r>
        <w:t>violación</w:t>
      </w:r>
      <w:r>
        <w:rPr>
          <w:spacing w:val="-4"/>
        </w:rPr>
        <w:t xml:space="preserve"> </w:t>
      </w:r>
      <w:r>
        <w:t>en</w:t>
      </w:r>
      <w:r>
        <w:rPr>
          <w:spacing w:val="-4"/>
        </w:rPr>
        <w:t xml:space="preserve"> </w:t>
      </w:r>
      <w:r>
        <w:t>cuestión”.</w:t>
      </w:r>
      <w:r>
        <w:rPr>
          <w:spacing w:val="-3"/>
        </w:rPr>
        <w:t xml:space="preserve"> </w:t>
      </w:r>
      <w:r>
        <w:t>cuestión”.576</w:t>
      </w:r>
      <w:r>
        <w:rPr>
          <w:spacing w:val="-4"/>
        </w:rPr>
        <w:t xml:space="preserve"> </w:t>
      </w:r>
      <w:r>
        <w:t>Las</w:t>
      </w:r>
      <w:r>
        <w:rPr>
          <w:spacing w:val="-4"/>
        </w:rPr>
        <w:t xml:space="preserve"> </w:t>
      </w:r>
      <w:r>
        <w:t>recomendaciones</w:t>
      </w:r>
      <w:r>
        <w:rPr>
          <w:spacing w:val="-4"/>
        </w:rPr>
        <w:t xml:space="preserve"> </w:t>
      </w:r>
      <w:r>
        <w:t>del</w:t>
      </w:r>
      <w:r>
        <w:rPr>
          <w:spacing w:val="-4"/>
        </w:rPr>
        <w:t xml:space="preserve"> </w:t>
      </w:r>
      <w:r>
        <w:t>Comité a</w:t>
      </w:r>
      <w:r>
        <w:rPr>
          <w:spacing w:val="-6"/>
        </w:rPr>
        <w:t xml:space="preserve"> </w:t>
      </w:r>
      <w:r>
        <w:t>este</w:t>
      </w:r>
      <w:r>
        <w:rPr>
          <w:spacing w:val="-6"/>
        </w:rPr>
        <w:t xml:space="preserve"> </w:t>
      </w:r>
      <w:r>
        <w:t>respecto</w:t>
      </w:r>
      <w:r>
        <w:rPr>
          <w:spacing w:val="-6"/>
        </w:rPr>
        <w:t xml:space="preserve"> </w:t>
      </w:r>
      <w:r>
        <w:t>están</w:t>
      </w:r>
      <w:r>
        <w:rPr>
          <w:spacing w:val="-6"/>
        </w:rPr>
        <w:t xml:space="preserve"> </w:t>
      </w:r>
      <w:r>
        <w:t>alineadas</w:t>
      </w:r>
      <w:r>
        <w:rPr>
          <w:spacing w:val="-6"/>
        </w:rPr>
        <w:t xml:space="preserve"> </w:t>
      </w:r>
      <w:r>
        <w:t>con</w:t>
      </w:r>
      <w:r>
        <w:rPr>
          <w:spacing w:val="-6"/>
        </w:rPr>
        <w:t xml:space="preserve"> </w:t>
      </w:r>
      <w:r>
        <w:t>los</w:t>
      </w:r>
      <w:r>
        <w:rPr>
          <w:spacing w:val="-6"/>
        </w:rPr>
        <w:t xml:space="preserve"> </w:t>
      </w:r>
      <w:r>
        <w:t>Principios</w:t>
      </w:r>
      <w:r>
        <w:rPr>
          <w:spacing w:val="-6"/>
        </w:rPr>
        <w:t xml:space="preserve"> </w:t>
      </w:r>
      <w:r>
        <w:t>y</w:t>
      </w:r>
      <w:r>
        <w:rPr>
          <w:spacing w:val="-6"/>
        </w:rPr>
        <w:t xml:space="preserve"> </w:t>
      </w:r>
      <w:r>
        <w:t>Directrices</w:t>
      </w:r>
      <w:r>
        <w:rPr>
          <w:spacing w:val="-6"/>
        </w:rPr>
        <w:t xml:space="preserve"> </w:t>
      </w:r>
      <w:r>
        <w:t>Básicos</w:t>
      </w:r>
      <w:r>
        <w:rPr>
          <w:spacing w:val="-6"/>
        </w:rPr>
        <w:t xml:space="preserve"> </w:t>
      </w:r>
      <w:r>
        <w:t>sobre</w:t>
      </w:r>
      <w:r>
        <w:rPr>
          <w:spacing w:val="-6"/>
        </w:rPr>
        <w:t xml:space="preserve"> </w:t>
      </w:r>
      <w:r>
        <w:t>el</w:t>
      </w:r>
      <w:r>
        <w:rPr>
          <w:spacing w:val="-6"/>
        </w:rPr>
        <w:t xml:space="preserve"> </w:t>
      </w:r>
      <w:r>
        <w:t>derecho</w:t>
      </w:r>
      <w:r>
        <w:rPr>
          <w:spacing w:val="-6"/>
        </w:rPr>
        <w:t xml:space="preserve"> </w:t>
      </w:r>
      <w:r>
        <w:t>a</w:t>
      </w:r>
      <w:r>
        <w:rPr>
          <w:spacing w:val="-6"/>
        </w:rPr>
        <w:t xml:space="preserve"> </w:t>
      </w:r>
      <w:r>
        <w:t>un</w:t>
      </w:r>
      <w:r>
        <w:rPr>
          <w:spacing w:val="-6"/>
        </w:rPr>
        <w:t xml:space="preserve"> </w:t>
      </w:r>
      <w:r>
        <w:t>recurso</w:t>
      </w:r>
      <w:r>
        <w:rPr>
          <w:spacing w:val="-6"/>
        </w:rPr>
        <w:t xml:space="preserve"> </w:t>
      </w:r>
      <w:r>
        <w:t>y</w:t>
      </w:r>
      <w:r>
        <w:rPr>
          <w:spacing w:val="-6"/>
        </w:rPr>
        <w:t xml:space="preserve"> </w:t>
      </w:r>
      <w:r>
        <w:t>reparación</w:t>
      </w:r>
      <w:r>
        <w:rPr>
          <w:spacing w:val="-6"/>
        </w:rPr>
        <w:t xml:space="preserve"> </w:t>
      </w:r>
      <w:r>
        <w:t>para</w:t>
      </w:r>
      <w:r>
        <w:rPr>
          <w:spacing w:val="-6"/>
        </w:rPr>
        <w:t xml:space="preserve"> </w:t>
      </w:r>
      <w:r>
        <w:t>las</w:t>
      </w:r>
      <w:r>
        <w:rPr>
          <w:spacing w:val="-6"/>
        </w:rPr>
        <w:t xml:space="preserve"> </w:t>
      </w:r>
      <w:r>
        <w:t>víctimas de</w:t>
      </w:r>
      <w:r>
        <w:rPr>
          <w:spacing w:val="-2"/>
        </w:rPr>
        <w:t xml:space="preserve"> </w:t>
      </w:r>
      <w:r>
        <w:t>violaciones</w:t>
      </w:r>
      <w:r>
        <w:rPr>
          <w:spacing w:val="-2"/>
        </w:rPr>
        <w:t xml:space="preserve"> </w:t>
      </w:r>
      <w:r>
        <w:t>flagrantes</w:t>
      </w:r>
      <w:r>
        <w:rPr>
          <w:spacing w:val="-3"/>
        </w:rPr>
        <w:t xml:space="preserve"> </w:t>
      </w:r>
      <w:r>
        <w:t>del</w:t>
      </w:r>
      <w:r>
        <w:rPr>
          <w:spacing w:val="-2"/>
        </w:rPr>
        <w:t xml:space="preserve"> </w:t>
      </w:r>
      <w:r>
        <w:t>derecho</w:t>
      </w:r>
      <w:r>
        <w:rPr>
          <w:spacing w:val="-2"/>
        </w:rPr>
        <w:t xml:space="preserve"> </w:t>
      </w:r>
      <w:r>
        <w:t>internacional</w:t>
      </w:r>
      <w:r>
        <w:rPr>
          <w:spacing w:val="-2"/>
        </w:rPr>
        <w:t xml:space="preserve"> </w:t>
      </w:r>
      <w:r>
        <w:t>de</w:t>
      </w:r>
      <w:r>
        <w:rPr>
          <w:spacing w:val="-2"/>
        </w:rPr>
        <w:t xml:space="preserve"> </w:t>
      </w:r>
      <w:r>
        <w:t>los</w:t>
      </w:r>
      <w:r>
        <w:rPr>
          <w:spacing w:val="-2"/>
        </w:rPr>
        <w:t xml:space="preserve"> </w:t>
      </w:r>
      <w:r>
        <w:t>derechos</w:t>
      </w:r>
      <w:r>
        <w:rPr>
          <w:spacing w:val="-2"/>
        </w:rPr>
        <w:t xml:space="preserve"> </w:t>
      </w:r>
      <w:r>
        <w:t>humanos</w:t>
      </w:r>
      <w:r>
        <w:rPr>
          <w:spacing w:val="-2"/>
        </w:rPr>
        <w:t xml:space="preserve"> </w:t>
      </w:r>
      <w:r>
        <w:t>y</w:t>
      </w:r>
      <w:r>
        <w:rPr>
          <w:spacing w:val="-2"/>
        </w:rPr>
        <w:t xml:space="preserve"> </w:t>
      </w:r>
      <w:r>
        <w:t>de</w:t>
      </w:r>
      <w:r>
        <w:rPr>
          <w:spacing w:val="-2"/>
        </w:rPr>
        <w:t xml:space="preserve"> </w:t>
      </w:r>
      <w:r>
        <w:t>violaciones</w:t>
      </w:r>
      <w:r>
        <w:rPr>
          <w:spacing w:val="-2"/>
        </w:rPr>
        <w:t xml:space="preserve"> </w:t>
      </w:r>
      <w:r>
        <w:t>graves</w:t>
      </w:r>
      <w:r>
        <w:rPr>
          <w:spacing w:val="-2"/>
        </w:rPr>
        <w:t xml:space="preserve"> </w:t>
      </w:r>
      <w:r>
        <w:t>del</w:t>
      </w:r>
      <w:r>
        <w:rPr>
          <w:spacing w:val="-2"/>
        </w:rPr>
        <w:t xml:space="preserve"> </w:t>
      </w:r>
      <w:r>
        <w:t>derecho</w:t>
      </w:r>
      <w:r>
        <w:rPr>
          <w:spacing w:val="-2"/>
        </w:rPr>
        <w:t xml:space="preserve"> </w:t>
      </w:r>
      <w:r>
        <w:t>internacional</w:t>
      </w:r>
    </w:p>
    <w:p w14:paraId="48129EDC" w14:textId="77777777" w:rsidR="0014798C" w:rsidRDefault="004E1F0B">
      <w:pPr>
        <w:pStyle w:val="Textoindependiente"/>
        <w:spacing w:line="326" w:lineRule="auto"/>
        <w:ind w:left="1110" w:right="1166" w:firstLine="4"/>
      </w:pPr>
      <w:r>
        <w:t>humanitario,</w:t>
      </w:r>
      <w:r>
        <w:rPr>
          <w:spacing w:val="-12"/>
        </w:rPr>
        <w:t xml:space="preserve"> </w:t>
      </w:r>
      <w:r>
        <w:t>que</w:t>
      </w:r>
      <w:r>
        <w:rPr>
          <w:spacing w:val="-11"/>
        </w:rPr>
        <w:t xml:space="preserve"> </w:t>
      </w:r>
      <w:r>
        <w:t>enumeran</w:t>
      </w:r>
      <w:r>
        <w:rPr>
          <w:spacing w:val="-11"/>
        </w:rPr>
        <w:t xml:space="preserve"> </w:t>
      </w:r>
      <w:r>
        <w:t>cinco</w:t>
      </w:r>
      <w:r>
        <w:rPr>
          <w:spacing w:val="-11"/>
        </w:rPr>
        <w:t xml:space="preserve"> </w:t>
      </w:r>
      <w:r>
        <w:t>elementos</w:t>
      </w:r>
      <w:r>
        <w:rPr>
          <w:spacing w:val="-11"/>
        </w:rPr>
        <w:t xml:space="preserve"> </w:t>
      </w:r>
      <w:r>
        <w:t>de</w:t>
      </w:r>
      <w:r>
        <w:rPr>
          <w:spacing w:val="-11"/>
        </w:rPr>
        <w:t xml:space="preserve"> </w:t>
      </w:r>
      <w:proofErr w:type="gramStart"/>
      <w:r>
        <w:t>“</w:t>
      </w:r>
      <w:r>
        <w:rPr>
          <w:spacing w:val="-11"/>
        </w:rPr>
        <w:t xml:space="preserve"> </w:t>
      </w:r>
      <w:r>
        <w:t>reparación</w:t>
      </w:r>
      <w:proofErr w:type="gramEnd"/>
      <w:r>
        <w:rPr>
          <w:spacing w:val="-11"/>
        </w:rPr>
        <w:t xml:space="preserve"> </w:t>
      </w:r>
      <w:r>
        <w:t>integral</w:t>
      </w:r>
      <w:r>
        <w:rPr>
          <w:spacing w:val="-12"/>
        </w:rPr>
        <w:t xml:space="preserve"> </w:t>
      </w:r>
      <w:r>
        <w:t>y</w:t>
      </w:r>
      <w:r>
        <w:rPr>
          <w:spacing w:val="-11"/>
        </w:rPr>
        <w:t xml:space="preserve"> </w:t>
      </w:r>
      <w:r>
        <w:t>efectiva”:</w:t>
      </w:r>
      <w:r>
        <w:rPr>
          <w:spacing w:val="-11"/>
        </w:rPr>
        <w:t xml:space="preserve"> </w:t>
      </w:r>
      <w:r>
        <w:t>restitución,</w:t>
      </w:r>
      <w:r>
        <w:rPr>
          <w:spacing w:val="-11"/>
        </w:rPr>
        <w:t xml:space="preserve"> </w:t>
      </w:r>
      <w:r>
        <w:t>compensación,</w:t>
      </w:r>
      <w:r>
        <w:rPr>
          <w:spacing w:val="-11"/>
        </w:rPr>
        <w:t xml:space="preserve"> </w:t>
      </w:r>
      <w:r>
        <w:t>rehabilitación,</w:t>
      </w:r>
      <w:r>
        <w:rPr>
          <w:spacing w:val="-11"/>
        </w:rPr>
        <w:t xml:space="preserve"> </w:t>
      </w:r>
      <w:r>
        <w:t>satisfacción y garantías de no repetición.577</w:t>
      </w:r>
    </w:p>
    <w:p w14:paraId="0D653717" w14:textId="77777777" w:rsidR="0014798C" w:rsidRDefault="0014798C">
      <w:pPr>
        <w:pStyle w:val="Textoindependiente"/>
      </w:pPr>
    </w:p>
    <w:p w14:paraId="7EFF26AC" w14:textId="77777777" w:rsidR="0014798C" w:rsidRDefault="0014798C">
      <w:pPr>
        <w:pStyle w:val="Textoindependiente"/>
        <w:spacing w:before="46"/>
      </w:pPr>
    </w:p>
    <w:p w14:paraId="1D7B92F7" w14:textId="77777777" w:rsidR="0014798C" w:rsidRDefault="004E1F0B">
      <w:pPr>
        <w:pStyle w:val="Textoindependiente"/>
        <w:spacing w:line="326" w:lineRule="auto"/>
        <w:ind w:left="1105" w:right="1272" w:firstLine="2"/>
      </w:pPr>
      <w:r>
        <w:t>En</w:t>
      </w:r>
      <w:r>
        <w:rPr>
          <w:spacing w:val="-3"/>
        </w:rPr>
        <w:t xml:space="preserve"> </w:t>
      </w:r>
      <w:r>
        <w:t>consonancia</w:t>
      </w:r>
      <w:r>
        <w:rPr>
          <w:spacing w:val="-3"/>
        </w:rPr>
        <w:t xml:space="preserve"> </w:t>
      </w:r>
      <w:r>
        <w:t>con</w:t>
      </w:r>
      <w:r>
        <w:rPr>
          <w:spacing w:val="-3"/>
        </w:rPr>
        <w:t xml:space="preserve"> </w:t>
      </w:r>
      <w:r>
        <w:t>el</w:t>
      </w:r>
      <w:r>
        <w:rPr>
          <w:spacing w:val="-3"/>
        </w:rPr>
        <w:t xml:space="preserve"> </w:t>
      </w:r>
      <w:r>
        <w:t>enfoque</w:t>
      </w:r>
      <w:r>
        <w:rPr>
          <w:spacing w:val="-3"/>
        </w:rPr>
        <w:t xml:space="preserve"> </w:t>
      </w:r>
      <w:r>
        <w:t>del</w:t>
      </w:r>
      <w:r>
        <w:rPr>
          <w:spacing w:val="-3"/>
        </w:rPr>
        <w:t xml:space="preserve"> </w:t>
      </w:r>
      <w:r>
        <w:t>Comité</w:t>
      </w:r>
      <w:r>
        <w:rPr>
          <w:spacing w:val="-3"/>
        </w:rPr>
        <w:t xml:space="preserve"> </w:t>
      </w:r>
      <w:r>
        <w:t>de</w:t>
      </w:r>
      <w:r>
        <w:rPr>
          <w:spacing w:val="-3"/>
        </w:rPr>
        <w:t xml:space="preserve"> </w:t>
      </w:r>
      <w:r>
        <w:t>Derechos</w:t>
      </w:r>
      <w:r>
        <w:rPr>
          <w:spacing w:val="-3"/>
        </w:rPr>
        <w:t xml:space="preserve"> </w:t>
      </w:r>
      <w:r>
        <w:t>Humanos,</w:t>
      </w:r>
      <w:r>
        <w:rPr>
          <w:spacing w:val="-3"/>
        </w:rPr>
        <w:t xml:space="preserve"> </w:t>
      </w:r>
      <w:r>
        <w:t>el</w:t>
      </w:r>
      <w:r>
        <w:rPr>
          <w:spacing w:val="-3"/>
        </w:rPr>
        <w:t xml:space="preserve"> </w:t>
      </w:r>
      <w:r>
        <w:t>Comité</w:t>
      </w:r>
      <w:r>
        <w:rPr>
          <w:spacing w:val="-3"/>
        </w:rPr>
        <w:t xml:space="preserve"> </w:t>
      </w:r>
      <w:r>
        <w:t>para</w:t>
      </w:r>
      <w:r>
        <w:rPr>
          <w:spacing w:val="-3"/>
        </w:rPr>
        <w:t xml:space="preserve"> </w:t>
      </w:r>
      <w:r>
        <w:t>la</w:t>
      </w:r>
      <w:r>
        <w:rPr>
          <w:spacing w:val="-3"/>
        </w:rPr>
        <w:t xml:space="preserve"> </w:t>
      </w:r>
      <w:r>
        <w:t>Eliminación</w:t>
      </w:r>
      <w:r>
        <w:rPr>
          <w:spacing w:val="-3"/>
        </w:rPr>
        <w:t xml:space="preserve"> </w:t>
      </w:r>
      <w:r>
        <w:t>de</w:t>
      </w:r>
      <w:r>
        <w:rPr>
          <w:spacing w:val="-3"/>
        </w:rPr>
        <w:t xml:space="preserve"> </w:t>
      </w:r>
      <w:r>
        <w:t>la</w:t>
      </w:r>
      <w:r>
        <w:rPr>
          <w:spacing w:val="-3"/>
        </w:rPr>
        <w:t xml:space="preserve"> </w:t>
      </w:r>
      <w:r>
        <w:t>Discriminación</w:t>
      </w:r>
      <w:r>
        <w:rPr>
          <w:spacing w:val="-3"/>
        </w:rPr>
        <w:t xml:space="preserve"> </w:t>
      </w:r>
      <w:r>
        <w:t>contra</w:t>
      </w:r>
      <w:r>
        <w:rPr>
          <w:spacing w:val="-3"/>
        </w:rPr>
        <w:t xml:space="preserve"> </w:t>
      </w:r>
      <w:r>
        <w:t>la Mujer</w:t>
      </w:r>
      <w:r>
        <w:rPr>
          <w:spacing w:val="-4"/>
        </w:rPr>
        <w:t xml:space="preserve"> </w:t>
      </w:r>
      <w:r>
        <w:t>ha</w:t>
      </w:r>
      <w:r>
        <w:rPr>
          <w:spacing w:val="-4"/>
        </w:rPr>
        <w:t xml:space="preserve"> </w:t>
      </w:r>
      <w:r>
        <w:t>señalado</w:t>
      </w:r>
      <w:r>
        <w:rPr>
          <w:spacing w:val="-4"/>
        </w:rPr>
        <w:t xml:space="preserve"> </w:t>
      </w:r>
      <w:r>
        <w:t>que</w:t>
      </w:r>
      <w:r>
        <w:rPr>
          <w:spacing w:val="-4"/>
        </w:rPr>
        <w:t xml:space="preserve"> </w:t>
      </w:r>
      <w:r>
        <w:t>el</w:t>
      </w:r>
      <w:r>
        <w:rPr>
          <w:spacing w:val="-4"/>
        </w:rPr>
        <w:t xml:space="preserve"> </w:t>
      </w:r>
      <w:r>
        <w:t>remedio</w:t>
      </w:r>
      <w:r>
        <w:rPr>
          <w:spacing w:val="-4"/>
        </w:rPr>
        <w:t xml:space="preserve"> </w:t>
      </w:r>
      <w:r>
        <w:t>incluye</w:t>
      </w:r>
      <w:r>
        <w:rPr>
          <w:spacing w:val="-4"/>
        </w:rPr>
        <w:t xml:space="preserve"> </w:t>
      </w:r>
      <w:r>
        <w:t>la</w:t>
      </w:r>
      <w:r>
        <w:rPr>
          <w:spacing w:val="-4"/>
        </w:rPr>
        <w:t xml:space="preserve"> </w:t>
      </w:r>
      <w:r>
        <w:t>restitución,</w:t>
      </w:r>
      <w:r>
        <w:rPr>
          <w:spacing w:val="-3"/>
        </w:rPr>
        <w:t xml:space="preserve"> </w:t>
      </w:r>
      <w:r>
        <w:t>la</w:t>
      </w:r>
      <w:r>
        <w:rPr>
          <w:spacing w:val="-4"/>
        </w:rPr>
        <w:t xml:space="preserve"> </w:t>
      </w:r>
      <w:r>
        <w:t>compensación,</w:t>
      </w:r>
      <w:r>
        <w:rPr>
          <w:spacing w:val="-3"/>
        </w:rPr>
        <w:t xml:space="preserve"> </w:t>
      </w:r>
      <w:r>
        <w:t>la</w:t>
      </w:r>
      <w:r>
        <w:rPr>
          <w:spacing w:val="-4"/>
        </w:rPr>
        <w:t xml:space="preserve"> </w:t>
      </w:r>
      <w:r>
        <w:t>rehabilitación</w:t>
      </w:r>
      <w:r>
        <w:rPr>
          <w:spacing w:val="-4"/>
        </w:rPr>
        <w:t xml:space="preserve"> </w:t>
      </w:r>
      <w:r>
        <w:t>y</w:t>
      </w:r>
      <w:r>
        <w:rPr>
          <w:spacing w:val="-4"/>
        </w:rPr>
        <w:t xml:space="preserve"> </w:t>
      </w:r>
      <w:r>
        <w:t>“medidas</w:t>
      </w:r>
      <w:r>
        <w:rPr>
          <w:spacing w:val="-4"/>
        </w:rPr>
        <w:t xml:space="preserve"> </w:t>
      </w:r>
      <w:r>
        <w:t>de</w:t>
      </w:r>
      <w:r>
        <w:rPr>
          <w:spacing w:val="-4"/>
        </w:rPr>
        <w:t xml:space="preserve"> </w:t>
      </w:r>
      <w:r>
        <w:t>satisfacción,</w:t>
      </w:r>
      <w:r>
        <w:rPr>
          <w:spacing w:val="-3"/>
        </w:rPr>
        <w:t xml:space="preserve"> </w:t>
      </w:r>
      <w:r>
        <w:t>como disculpas</w:t>
      </w:r>
      <w:r>
        <w:rPr>
          <w:spacing w:val="-3"/>
        </w:rPr>
        <w:t xml:space="preserve"> </w:t>
      </w:r>
      <w:r>
        <w:t>públicas,</w:t>
      </w:r>
      <w:r>
        <w:rPr>
          <w:spacing w:val="-2"/>
        </w:rPr>
        <w:t xml:space="preserve"> </w:t>
      </w:r>
      <w:r>
        <w:t>memoriales</w:t>
      </w:r>
      <w:r>
        <w:rPr>
          <w:spacing w:val="-3"/>
        </w:rPr>
        <w:t xml:space="preserve"> </w:t>
      </w:r>
      <w:r>
        <w:t>públicos</w:t>
      </w:r>
      <w:r>
        <w:rPr>
          <w:spacing w:val="-3"/>
        </w:rPr>
        <w:t xml:space="preserve"> </w:t>
      </w:r>
      <w:r>
        <w:t>y</w:t>
      </w:r>
      <w:r>
        <w:rPr>
          <w:spacing w:val="-3"/>
        </w:rPr>
        <w:t xml:space="preserve"> </w:t>
      </w:r>
      <w:r>
        <w:t>garantías</w:t>
      </w:r>
      <w:r>
        <w:rPr>
          <w:spacing w:val="-4"/>
        </w:rPr>
        <w:t xml:space="preserve"> </w:t>
      </w:r>
      <w:r>
        <w:t>de</w:t>
      </w:r>
      <w:r>
        <w:rPr>
          <w:spacing w:val="-3"/>
        </w:rPr>
        <w:t xml:space="preserve"> </w:t>
      </w:r>
      <w:r>
        <w:t>no</w:t>
      </w:r>
      <w:r>
        <w:rPr>
          <w:spacing w:val="-3"/>
        </w:rPr>
        <w:t xml:space="preserve"> </w:t>
      </w:r>
      <w:r>
        <w:t>repetición”578.</w:t>
      </w:r>
      <w:r>
        <w:rPr>
          <w:spacing w:val="-2"/>
        </w:rPr>
        <w:t xml:space="preserve"> </w:t>
      </w:r>
      <w:r>
        <w:t>posición</w:t>
      </w:r>
      <w:r>
        <w:rPr>
          <w:spacing w:val="-3"/>
        </w:rPr>
        <w:t xml:space="preserve"> </w:t>
      </w:r>
      <w:r>
        <w:t>de</w:t>
      </w:r>
      <w:r>
        <w:rPr>
          <w:spacing w:val="-3"/>
        </w:rPr>
        <w:t xml:space="preserve"> </w:t>
      </w:r>
      <w:r>
        <w:t>la</w:t>
      </w:r>
      <w:r>
        <w:rPr>
          <w:spacing w:val="-3"/>
        </w:rPr>
        <w:t xml:space="preserve"> </w:t>
      </w:r>
      <w:r>
        <w:t>que</w:t>
      </w:r>
      <w:r>
        <w:rPr>
          <w:spacing w:val="-3"/>
        </w:rPr>
        <w:t xml:space="preserve"> </w:t>
      </w:r>
      <w:r>
        <w:t>se</w:t>
      </w:r>
      <w:r>
        <w:rPr>
          <w:spacing w:val="-3"/>
        </w:rPr>
        <w:t xml:space="preserve"> </w:t>
      </w:r>
      <w:r>
        <w:t>hizo</w:t>
      </w:r>
      <w:r>
        <w:rPr>
          <w:spacing w:val="-3"/>
        </w:rPr>
        <w:t xml:space="preserve"> </w:t>
      </w:r>
      <w:r>
        <w:t>eco</w:t>
      </w:r>
      <w:r>
        <w:rPr>
          <w:spacing w:val="-3"/>
        </w:rPr>
        <w:t xml:space="preserve"> </w:t>
      </w:r>
      <w:r>
        <w:t>en</w:t>
      </w:r>
      <w:r>
        <w:rPr>
          <w:spacing w:val="-3"/>
        </w:rPr>
        <w:t xml:space="preserve"> </w:t>
      </w:r>
      <w:r>
        <w:t>gran</w:t>
      </w:r>
      <w:r>
        <w:rPr>
          <w:spacing w:val="-3"/>
        </w:rPr>
        <w:t xml:space="preserve"> </w:t>
      </w:r>
      <w:r>
        <w:t>medida</w:t>
      </w:r>
      <w:r>
        <w:rPr>
          <w:spacing w:val="-3"/>
        </w:rPr>
        <w:t xml:space="preserve"> </w:t>
      </w:r>
      <w:r>
        <w:t>el</w:t>
      </w:r>
      <w:r>
        <w:rPr>
          <w:spacing w:val="-3"/>
        </w:rPr>
        <w:t xml:space="preserve"> </w:t>
      </w:r>
      <w:r>
        <w:t>Comité de</w:t>
      </w:r>
      <w:r>
        <w:rPr>
          <w:spacing w:val="-10"/>
        </w:rPr>
        <w:t xml:space="preserve"> </w:t>
      </w:r>
      <w:r>
        <w:t>Derechos</w:t>
      </w:r>
      <w:r>
        <w:rPr>
          <w:spacing w:val="-10"/>
        </w:rPr>
        <w:t xml:space="preserve"> </w:t>
      </w:r>
      <w:r>
        <w:t>Económicos,</w:t>
      </w:r>
      <w:r>
        <w:rPr>
          <w:spacing w:val="-9"/>
        </w:rPr>
        <w:t xml:space="preserve"> </w:t>
      </w:r>
      <w:r>
        <w:t>Sociales</w:t>
      </w:r>
      <w:r>
        <w:rPr>
          <w:spacing w:val="-10"/>
        </w:rPr>
        <w:t xml:space="preserve"> </w:t>
      </w:r>
      <w:r>
        <w:t>y</w:t>
      </w:r>
      <w:r>
        <w:rPr>
          <w:spacing w:val="-10"/>
        </w:rPr>
        <w:t xml:space="preserve"> </w:t>
      </w:r>
      <w:r>
        <w:t>Culturales.579</w:t>
      </w:r>
      <w:r>
        <w:rPr>
          <w:spacing w:val="-10"/>
        </w:rPr>
        <w:t xml:space="preserve"> </w:t>
      </w:r>
      <w:r>
        <w:t>El</w:t>
      </w:r>
      <w:r>
        <w:rPr>
          <w:spacing w:val="-10"/>
        </w:rPr>
        <w:t xml:space="preserve"> </w:t>
      </w:r>
      <w:r>
        <w:t>Comité</w:t>
      </w:r>
      <w:r>
        <w:rPr>
          <w:spacing w:val="-10"/>
        </w:rPr>
        <w:t xml:space="preserve"> </w:t>
      </w:r>
      <w:r>
        <w:t>sobre</w:t>
      </w:r>
      <w:r>
        <w:rPr>
          <w:spacing w:val="-10"/>
        </w:rPr>
        <w:t xml:space="preserve"> </w:t>
      </w:r>
      <w:r>
        <w:t>los</w:t>
      </w:r>
      <w:r>
        <w:rPr>
          <w:spacing w:val="-10"/>
        </w:rPr>
        <w:t xml:space="preserve"> </w:t>
      </w:r>
      <w:r>
        <w:t>Derechos</w:t>
      </w:r>
      <w:r>
        <w:rPr>
          <w:spacing w:val="-10"/>
        </w:rPr>
        <w:t xml:space="preserve"> </w:t>
      </w:r>
      <w:r>
        <w:t>de</w:t>
      </w:r>
      <w:r>
        <w:rPr>
          <w:spacing w:val="-10"/>
        </w:rPr>
        <w:t xml:space="preserve"> </w:t>
      </w:r>
      <w:r>
        <w:t>las</w:t>
      </w:r>
      <w:r>
        <w:rPr>
          <w:spacing w:val="-10"/>
        </w:rPr>
        <w:t xml:space="preserve"> </w:t>
      </w:r>
      <w:r>
        <w:t>Personas</w:t>
      </w:r>
      <w:r>
        <w:rPr>
          <w:spacing w:val="-10"/>
        </w:rPr>
        <w:t xml:space="preserve"> </w:t>
      </w:r>
      <w:r>
        <w:t>con</w:t>
      </w:r>
      <w:r>
        <w:rPr>
          <w:spacing w:val="-10"/>
        </w:rPr>
        <w:t xml:space="preserve"> </w:t>
      </w:r>
      <w:r>
        <w:t>Discapacidad</w:t>
      </w:r>
      <w:r>
        <w:rPr>
          <w:spacing w:val="-10"/>
        </w:rPr>
        <w:t xml:space="preserve"> </w:t>
      </w:r>
      <w:r>
        <w:t>ha</w:t>
      </w:r>
      <w:r>
        <w:rPr>
          <w:spacing w:val="-10"/>
        </w:rPr>
        <w:t xml:space="preserve"> </w:t>
      </w:r>
      <w:r>
        <w:t>observado que en situaciones en las que la discriminación es de naturaleza sistémica, la mera concesión</w:t>
      </w:r>
    </w:p>
    <w:p w14:paraId="28C1D896" w14:textId="77777777" w:rsidR="0014798C" w:rsidRDefault="0014798C">
      <w:pPr>
        <w:pStyle w:val="Textoindependiente"/>
        <w:rPr>
          <w:sz w:val="20"/>
        </w:rPr>
      </w:pPr>
    </w:p>
    <w:p w14:paraId="2F9EB794" w14:textId="77777777" w:rsidR="0014798C" w:rsidRDefault="004E1F0B">
      <w:pPr>
        <w:pStyle w:val="Textoindependiente"/>
        <w:spacing w:before="54"/>
        <w:rPr>
          <w:sz w:val="20"/>
        </w:rPr>
      </w:pPr>
      <w:r>
        <w:rPr>
          <w:noProof/>
        </w:rPr>
        <w:drawing>
          <wp:anchor distT="0" distB="0" distL="0" distR="0" simplePos="0" relativeHeight="251658533" behindDoc="1" locked="0" layoutInCell="1" allowOverlap="1" wp14:anchorId="3E8F1D39" wp14:editId="1360E95A">
            <wp:simplePos x="0" y="0"/>
            <wp:positionH relativeFrom="page">
              <wp:posOffset>826632</wp:posOffset>
            </wp:positionH>
            <wp:positionV relativeFrom="paragraph">
              <wp:posOffset>195745</wp:posOffset>
            </wp:positionV>
            <wp:extent cx="931001" cy="35813"/>
            <wp:effectExtent l="0" t="0" r="0" b="0"/>
            <wp:wrapTopAndBottom/>
            <wp:docPr id="182" name="Image 18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82" name="Image 182"/>
                    <pic:cNvPicPr/>
                  </pic:nvPicPr>
                  <pic:blipFill>
                    <a:blip r:embed="rId164" cstate="print"/>
                    <a:stretch>
                      <a:fillRect/>
                    </a:stretch>
                  </pic:blipFill>
                  <pic:spPr>
                    <a:xfrm>
                      <a:off x="0" y="0"/>
                      <a:ext cx="931001" cy="35813"/>
                    </a:xfrm>
                    <a:prstGeom prst="rect">
                      <a:avLst/>
                    </a:prstGeom>
                  </pic:spPr>
                </pic:pic>
              </a:graphicData>
            </a:graphic>
          </wp:anchor>
        </w:drawing>
      </w:r>
    </w:p>
    <w:p w14:paraId="76F56E5F" w14:textId="77777777" w:rsidR="0014798C" w:rsidRDefault="0014798C">
      <w:pPr>
        <w:pStyle w:val="Textoindependiente"/>
        <w:spacing w:before="4"/>
        <w:rPr>
          <w:sz w:val="12"/>
        </w:rPr>
      </w:pPr>
    </w:p>
    <w:p w14:paraId="409828E6" w14:textId="77777777" w:rsidR="0014798C" w:rsidRDefault="004E1F0B">
      <w:pPr>
        <w:pStyle w:val="Prrafodelista"/>
        <w:numPr>
          <w:ilvl w:val="0"/>
          <w:numId w:val="51"/>
        </w:numPr>
        <w:tabs>
          <w:tab w:val="left" w:pos="1342"/>
        </w:tabs>
        <w:ind w:left="1342" w:hanging="235"/>
        <w:rPr>
          <w:sz w:val="12"/>
        </w:rPr>
      </w:pPr>
      <w:r>
        <w:rPr>
          <w:sz w:val="12"/>
        </w:rPr>
        <w:t>Comité</w:t>
      </w:r>
      <w:r>
        <w:rPr>
          <w:spacing w:val="-2"/>
          <w:sz w:val="12"/>
        </w:rPr>
        <w:t xml:space="preserve"> </w:t>
      </w:r>
      <w:r>
        <w:rPr>
          <w:sz w:val="12"/>
        </w:rPr>
        <w:t>para</w:t>
      </w:r>
      <w:r>
        <w:rPr>
          <w:spacing w:val="-2"/>
          <w:sz w:val="12"/>
        </w:rPr>
        <w:t xml:space="preserve"> </w:t>
      </w:r>
      <w:r>
        <w:rPr>
          <w:sz w:val="12"/>
        </w:rPr>
        <w:t>la</w:t>
      </w:r>
      <w:r>
        <w:rPr>
          <w:spacing w:val="-1"/>
          <w:sz w:val="12"/>
        </w:rPr>
        <w:t xml:space="preserve"> </w:t>
      </w:r>
      <w:r>
        <w:rPr>
          <w:sz w:val="12"/>
        </w:rPr>
        <w:t>Eliminación</w:t>
      </w:r>
      <w:r>
        <w:rPr>
          <w:spacing w:val="-2"/>
          <w:sz w:val="12"/>
        </w:rPr>
        <w:t xml:space="preserve"> </w:t>
      </w:r>
      <w:r>
        <w:rPr>
          <w:sz w:val="12"/>
        </w:rPr>
        <w:t>de</w:t>
      </w:r>
      <w:r>
        <w:rPr>
          <w:spacing w:val="-2"/>
          <w:sz w:val="12"/>
        </w:rPr>
        <w:t xml:space="preserve"> </w:t>
      </w:r>
      <w:r>
        <w:rPr>
          <w:sz w:val="12"/>
        </w:rPr>
        <w:t>la</w:t>
      </w:r>
      <w:r>
        <w:rPr>
          <w:spacing w:val="-1"/>
          <w:sz w:val="12"/>
        </w:rPr>
        <w:t xml:space="preserve"> </w:t>
      </w:r>
      <w:r>
        <w:rPr>
          <w:sz w:val="12"/>
        </w:rPr>
        <w:t>Discriminación</w:t>
      </w:r>
      <w:r>
        <w:rPr>
          <w:spacing w:val="-2"/>
          <w:sz w:val="12"/>
        </w:rPr>
        <w:t xml:space="preserve"> </w:t>
      </w:r>
      <w:r>
        <w:rPr>
          <w:sz w:val="12"/>
        </w:rPr>
        <w:t>Racial,</w:t>
      </w:r>
      <w:r>
        <w:rPr>
          <w:spacing w:val="-1"/>
          <w:sz w:val="12"/>
        </w:rPr>
        <w:t xml:space="preserve"> </w:t>
      </w:r>
      <w:r>
        <w:rPr>
          <w:sz w:val="12"/>
        </w:rPr>
        <w:t>recomendación</w:t>
      </w:r>
      <w:r>
        <w:rPr>
          <w:spacing w:val="-2"/>
          <w:sz w:val="12"/>
        </w:rPr>
        <w:t xml:space="preserve"> </w:t>
      </w:r>
      <w:r>
        <w:rPr>
          <w:sz w:val="12"/>
        </w:rPr>
        <w:t>general</w:t>
      </w:r>
      <w:r>
        <w:rPr>
          <w:spacing w:val="-2"/>
          <w:sz w:val="12"/>
        </w:rPr>
        <w:t xml:space="preserve"> </w:t>
      </w:r>
      <w:r>
        <w:rPr>
          <w:sz w:val="12"/>
        </w:rPr>
        <w:t>núm.</w:t>
      </w:r>
      <w:r>
        <w:rPr>
          <w:spacing w:val="-1"/>
          <w:sz w:val="12"/>
        </w:rPr>
        <w:t xml:space="preserve"> </w:t>
      </w:r>
      <w:r>
        <w:rPr>
          <w:sz w:val="12"/>
        </w:rPr>
        <w:t>26</w:t>
      </w:r>
      <w:r>
        <w:rPr>
          <w:spacing w:val="-2"/>
          <w:sz w:val="12"/>
        </w:rPr>
        <w:t xml:space="preserve"> </w:t>
      </w:r>
      <w:r>
        <w:rPr>
          <w:sz w:val="12"/>
        </w:rPr>
        <w:t>(2000), párr.</w:t>
      </w:r>
      <w:r>
        <w:rPr>
          <w:spacing w:val="-2"/>
          <w:sz w:val="12"/>
        </w:rPr>
        <w:t xml:space="preserve"> </w:t>
      </w:r>
      <w:r>
        <w:rPr>
          <w:spacing w:val="-5"/>
          <w:sz w:val="12"/>
        </w:rPr>
        <w:t>2.</w:t>
      </w:r>
    </w:p>
    <w:p w14:paraId="2865D919" w14:textId="77777777" w:rsidR="0014798C" w:rsidRDefault="004E1F0B">
      <w:pPr>
        <w:pStyle w:val="Prrafodelista"/>
        <w:numPr>
          <w:ilvl w:val="0"/>
          <w:numId w:val="51"/>
        </w:numPr>
        <w:tabs>
          <w:tab w:val="left" w:pos="1342"/>
        </w:tabs>
        <w:spacing w:before="99"/>
        <w:ind w:left="1342" w:hanging="235"/>
        <w:rPr>
          <w:sz w:val="12"/>
        </w:rPr>
      </w:pPr>
      <w:r>
        <w:rPr>
          <w:sz w:val="12"/>
        </w:rPr>
        <w:t>Pacto</w:t>
      </w:r>
      <w:r>
        <w:rPr>
          <w:spacing w:val="-5"/>
          <w:sz w:val="12"/>
        </w:rPr>
        <w:t xml:space="preserve"> </w:t>
      </w:r>
      <w:r>
        <w:rPr>
          <w:sz w:val="12"/>
        </w:rPr>
        <w:t>Internacional</w:t>
      </w:r>
      <w:r>
        <w:rPr>
          <w:spacing w:val="-5"/>
          <w:sz w:val="12"/>
        </w:rPr>
        <w:t xml:space="preserve"> </w:t>
      </w:r>
      <w:r>
        <w:rPr>
          <w:sz w:val="12"/>
        </w:rPr>
        <w:t>de</w:t>
      </w:r>
      <w:r>
        <w:rPr>
          <w:spacing w:val="-4"/>
          <w:sz w:val="12"/>
        </w:rPr>
        <w:t xml:space="preserve"> </w:t>
      </w:r>
      <w:r>
        <w:rPr>
          <w:sz w:val="12"/>
        </w:rPr>
        <w:t>Derechos</w:t>
      </w:r>
      <w:r>
        <w:rPr>
          <w:spacing w:val="-5"/>
          <w:sz w:val="12"/>
        </w:rPr>
        <w:t xml:space="preserve"> </w:t>
      </w:r>
      <w:r>
        <w:rPr>
          <w:sz w:val="12"/>
        </w:rPr>
        <w:t>Civiles</w:t>
      </w:r>
      <w:r>
        <w:rPr>
          <w:spacing w:val="-4"/>
          <w:sz w:val="12"/>
        </w:rPr>
        <w:t xml:space="preserve"> </w:t>
      </w:r>
      <w:r>
        <w:rPr>
          <w:sz w:val="12"/>
        </w:rPr>
        <w:t>y</w:t>
      </w:r>
      <w:r>
        <w:rPr>
          <w:spacing w:val="-5"/>
          <w:sz w:val="12"/>
        </w:rPr>
        <w:t xml:space="preserve"> </w:t>
      </w:r>
      <w:r>
        <w:rPr>
          <w:sz w:val="12"/>
        </w:rPr>
        <w:t>Políticos,</w:t>
      </w:r>
      <w:r>
        <w:rPr>
          <w:spacing w:val="-4"/>
          <w:sz w:val="12"/>
        </w:rPr>
        <w:t xml:space="preserve"> </w:t>
      </w:r>
      <w:r>
        <w:rPr>
          <w:sz w:val="12"/>
        </w:rPr>
        <w:t>art.</w:t>
      </w:r>
      <w:r>
        <w:rPr>
          <w:spacing w:val="-5"/>
          <w:sz w:val="12"/>
        </w:rPr>
        <w:t xml:space="preserve"> </w:t>
      </w:r>
      <w:r>
        <w:rPr>
          <w:sz w:val="12"/>
        </w:rPr>
        <w:t>2</w:t>
      </w:r>
      <w:r>
        <w:rPr>
          <w:spacing w:val="-4"/>
          <w:sz w:val="12"/>
        </w:rPr>
        <w:t xml:space="preserve"> </w:t>
      </w:r>
      <w:r>
        <w:rPr>
          <w:sz w:val="12"/>
        </w:rPr>
        <w:t>(</w:t>
      </w:r>
      <w:proofErr w:type="gramStart"/>
      <w:r>
        <w:rPr>
          <w:sz w:val="12"/>
        </w:rPr>
        <w:t>3);</w:t>
      </w:r>
      <w:proofErr w:type="gramEnd"/>
      <w:r>
        <w:rPr>
          <w:spacing w:val="-5"/>
          <w:sz w:val="12"/>
        </w:rPr>
        <w:t xml:space="preserve"> </w:t>
      </w:r>
      <w:r>
        <w:rPr>
          <w:sz w:val="12"/>
        </w:rPr>
        <w:t>y</w:t>
      </w:r>
      <w:r>
        <w:rPr>
          <w:spacing w:val="-4"/>
          <w:sz w:val="12"/>
        </w:rPr>
        <w:t xml:space="preserve"> </w:t>
      </w:r>
      <w:r>
        <w:rPr>
          <w:sz w:val="12"/>
        </w:rPr>
        <w:t>Comité</w:t>
      </w:r>
      <w:r>
        <w:rPr>
          <w:spacing w:val="-5"/>
          <w:sz w:val="12"/>
        </w:rPr>
        <w:t xml:space="preserve"> </w:t>
      </w:r>
      <w:r>
        <w:rPr>
          <w:sz w:val="12"/>
        </w:rPr>
        <w:t>de</w:t>
      </w:r>
      <w:r>
        <w:rPr>
          <w:spacing w:val="-4"/>
          <w:sz w:val="12"/>
        </w:rPr>
        <w:t xml:space="preserve"> </w:t>
      </w:r>
      <w:r>
        <w:rPr>
          <w:sz w:val="12"/>
        </w:rPr>
        <w:t>Derechos</w:t>
      </w:r>
      <w:r>
        <w:rPr>
          <w:spacing w:val="-5"/>
          <w:sz w:val="12"/>
        </w:rPr>
        <w:t xml:space="preserve"> </w:t>
      </w:r>
      <w:r>
        <w:rPr>
          <w:sz w:val="12"/>
        </w:rPr>
        <w:t>Humanos,</w:t>
      </w:r>
      <w:r>
        <w:rPr>
          <w:spacing w:val="-4"/>
          <w:sz w:val="12"/>
        </w:rPr>
        <w:t xml:space="preserve"> </w:t>
      </w:r>
      <w:r>
        <w:rPr>
          <w:sz w:val="12"/>
        </w:rPr>
        <w:t>observación</w:t>
      </w:r>
      <w:r>
        <w:rPr>
          <w:spacing w:val="-4"/>
          <w:sz w:val="12"/>
        </w:rPr>
        <w:t xml:space="preserve"> </w:t>
      </w:r>
      <w:r>
        <w:rPr>
          <w:sz w:val="12"/>
        </w:rPr>
        <w:t>general</w:t>
      </w:r>
      <w:r>
        <w:rPr>
          <w:spacing w:val="-5"/>
          <w:sz w:val="12"/>
        </w:rPr>
        <w:t xml:space="preserve"> </w:t>
      </w:r>
      <w:r>
        <w:rPr>
          <w:sz w:val="12"/>
        </w:rPr>
        <w:t>núm.</w:t>
      </w:r>
      <w:r>
        <w:rPr>
          <w:spacing w:val="-4"/>
          <w:sz w:val="12"/>
        </w:rPr>
        <w:t xml:space="preserve"> </w:t>
      </w:r>
      <w:r>
        <w:rPr>
          <w:sz w:val="12"/>
        </w:rPr>
        <w:t>31</w:t>
      </w:r>
      <w:r>
        <w:rPr>
          <w:spacing w:val="-5"/>
          <w:sz w:val="12"/>
        </w:rPr>
        <w:t xml:space="preserve"> </w:t>
      </w:r>
      <w:r>
        <w:rPr>
          <w:sz w:val="12"/>
        </w:rPr>
        <w:t>(2004),</w:t>
      </w:r>
      <w:r>
        <w:rPr>
          <w:spacing w:val="-3"/>
          <w:sz w:val="12"/>
        </w:rPr>
        <w:t xml:space="preserve"> </w:t>
      </w:r>
      <w:r>
        <w:rPr>
          <w:sz w:val="12"/>
        </w:rPr>
        <w:t>párr.</w:t>
      </w:r>
      <w:r>
        <w:rPr>
          <w:spacing w:val="-5"/>
          <w:sz w:val="12"/>
        </w:rPr>
        <w:t xml:space="preserve"> 15.</w:t>
      </w:r>
    </w:p>
    <w:p w14:paraId="664649E1" w14:textId="77777777" w:rsidR="0014798C" w:rsidRDefault="004E1F0B">
      <w:pPr>
        <w:pStyle w:val="Prrafodelista"/>
        <w:numPr>
          <w:ilvl w:val="0"/>
          <w:numId w:val="51"/>
        </w:numPr>
        <w:tabs>
          <w:tab w:val="left" w:pos="1342"/>
        </w:tabs>
        <w:spacing w:before="98"/>
        <w:ind w:left="1342" w:hanging="235"/>
        <w:rPr>
          <w:sz w:val="12"/>
        </w:rPr>
      </w:pPr>
      <w:r>
        <w:rPr>
          <w:sz w:val="12"/>
        </w:rPr>
        <w:t>Comité</w:t>
      </w:r>
      <w:r>
        <w:rPr>
          <w:spacing w:val="-1"/>
          <w:sz w:val="12"/>
        </w:rPr>
        <w:t xml:space="preserve"> </w:t>
      </w:r>
      <w:r>
        <w:rPr>
          <w:sz w:val="12"/>
        </w:rPr>
        <w:t>de</w:t>
      </w:r>
      <w:r>
        <w:rPr>
          <w:spacing w:val="-1"/>
          <w:sz w:val="12"/>
        </w:rPr>
        <w:t xml:space="preserve"> </w:t>
      </w:r>
      <w:r>
        <w:rPr>
          <w:sz w:val="12"/>
        </w:rPr>
        <w:t>Derechos Económicos, Sociales y</w:t>
      </w:r>
      <w:r>
        <w:rPr>
          <w:spacing w:val="-1"/>
          <w:sz w:val="12"/>
        </w:rPr>
        <w:t xml:space="preserve"> </w:t>
      </w:r>
      <w:r>
        <w:rPr>
          <w:sz w:val="12"/>
        </w:rPr>
        <w:t>Culturales,</w:t>
      </w:r>
      <w:r>
        <w:rPr>
          <w:spacing w:val="1"/>
          <w:sz w:val="12"/>
        </w:rPr>
        <w:t xml:space="preserve"> </w:t>
      </w:r>
      <w:r>
        <w:rPr>
          <w:sz w:val="12"/>
        </w:rPr>
        <w:t>observación</w:t>
      </w:r>
      <w:r>
        <w:rPr>
          <w:spacing w:val="-1"/>
          <w:sz w:val="12"/>
        </w:rPr>
        <w:t xml:space="preserve"> </w:t>
      </w:r>
      <w:r>
        <w:rPr>
          <w:sz w:val="12"/>
        </w:rPr>
        <w:t>general</w:t>
      </w:r>
      <w:r>
        <w:rPr>
          <w:spacing w:val="-1"/>
          <w:sz w:val="12"/>
        </w:rPr>
        <w:t xml:space="preserve"> </w:t>
      </w:r>
      <w:r>
        <w:rPr>
          <w:sz w:val="12"/>
        </w:rPr>
        <w:t>núm. 20</w:t>
      </w:r>
      <w:r>
        <w:rPr>
          <w:spacing w:val="-1"/>
          <w:sz w:val="12"/>
        </w:rPr>
        <w:t xml:space="preserve"> </w:t>
      </w:r>
      <w:r>
        <w:rPr>
          <w:sz w:val="12"/>
        </w:rPr>
        <w:t>(2009),</w:t>
      </w:r>
      <w:r>
        <w:rPr>
          <w:spacing w:val="1"/>
          <w:sz w:val="12"/>
        </w:rPr>
        <w:t xml:space="preserve"> </w:t>
      </w:r>
      <w:r>
        <w:rPr>
          <w:sz w:val="12"/>
        </w:rPr>
        <w:t>párr.</w:t>
      </w:r>
      <w:r>
        <w:rPr>
          <w:spacing w:val="-1"/>
          <w:sz w:val="12"/>
        </w:rPr>
        <w:t xml:space="preserve"> </w:t>
      </w:r>
      <w:r>
        <w:rPr>
          <w:spacing w:val="-5"/>
          <w:sz w:val="12"/>
        </w:rPr>
        <w:t>40.</w:t>
      </w:r>
    </w:p>
    <w:p w14:paraId="318D269D" w14:textId="77777777" w:rsidR="0014798C" w:rsidRDefault="004E1F0B">
      <w:pPr>
        <w:pStyle w:val="Prrafodelista"/>
        <w:numPr>
          <w:ilvl w:val="0"/>
          <w:numId w:val="51"/>
        </w:numPr>
        <w:tabs>
          <w:tab w:val="left" w:pos="1342"/>
        </w:tabs>
        <w:spacing w:before="99"/>
        <w:ind w:left="1342" w:hanging="235"/>
        <w:rPr>
          <w:sz w:val="12"/>
        </w:rPr>
      </w:pPr>
      <w:r>
        <w:rPr>
          <w:sz w:val="12"/>
        </w:rPr>
        <w:t>Comité</w:t>
      </w:r>
      <w:r>
        <w:rPr>
          <w:spacing w:val="-2"/>
          <w:sz w:val="12"/>
        </w:rPr>
        <w:t xml:space="preserve"> </w:t>
      </w:r>
      <w:r>
        <w:rPr>
          <w:sz w:val="12"/>
        </w:rPr>
        <w:t>para</w:t>
      </w:r>
      <w:r>
        <w:rPr>
          <w:spacing w:val="-1"/>
          <w:sz w:val="12"/>
        </w:rPr>
        <w:t xml:space="preserve"> </w:t>
      </w:r>
      <w:r>
        <w:rPr>
          <w:sz w:val="12"/>
        </w:rPr>
        <w:t>la</w:t>
      </w:r>
      <w:r>
        <w:rPr>
          <w:spacing w:val="-2"/>
          <w:sz w:val="12"/>
        </w:rPr>
        <w:t xml:space="preserve"> </w:t>
      </w:r>
      <w:r>
        <w:rPr>
          <w:sz w:val="12"/>
        </w:rPr>
        <w:t>Eliminación</w:t>
      </w:r>
      <w:r>
        <w:rPr>
          <w:spacing w:val="-1"/>
          <w:sz w:val="12"/>
        </w:rPr>
        <w:t xml:space="preserve"> </w:t>
      </w:r>
      <w:r>
        <w:rPr>
          <w:sz w:val="12"/>
        </w:rPr>
        <w:t>de</w:t>
      </w:r>
      <w:r>
        <w:rPr>
          <w:spacing w:val="-2"/>
          <w:sz w:val="12"/>
        </w:rPr>
        <w:t xml:space="preserve"> </w:t>
      </w:r>
      <w:r>
        <w:rPr>
          <w:sz w:val="12"/>
        </w:rPr>
        <w:t>la</w:t>
      </w:r>
      <w:r>
        <w:rPr>
          <w:spacing w:val="-1"/>
          <w:sz w:val="12"/>
        </w:rPr>
        <w:t xml:space="preserve"> </w:t>
      </w:r>
      <w:r>
        <w:rPr>
          <w:sz w:val="12"/>
        </w:rPr>
        <w:t>Discriminación</w:t>
      </w:r>
      <w:r>
        <w:rPr>
          <w:spacing w:val="-2"/>
          <w:sz w:val="12"/>
        </w:rPr>
        <w:t xml:space="preserve"> </w:t>
      </w:r>
      <w:r>
        <w:rPr>
          <w:sz w:val="12"/>
        </w:rPr>
        <w:t>contra</w:t>
      </w:r>
      <w:r>
        <w:rPr>
          <w:spacing w:val="-1"/>
          <w:sz w:val="12"/>
        </w:rPr>
        <w:t xml:space="preserve"> </w:t>
      </w:r>
      <w:r>
        <w:rPr>
          <w:sz w:val="12"/>
        </w:rPr>
        <w:t>la</w:t>
      </w:r>
      <w:r>
        <w:rPr>
          <w:spacing w:val="-2"/>
          <w:sz w:val="12"/>
        </w:rPr>
        <w:t xml:space="preserve"> </w:t>
      </w:r>
      <w:r>
        <w:rPr>
          <w:sz w:val="12"/>
        </w:rPr>
        <w:t>Mujer,</w:t>
      </w:r>
      <w:r>
        <w:rPr>
          <w:spacing w:val="-1"/>
          <w:sz w:val="12"/>
        </w:rPr>
        <w:t xml:space="preserve"> </w:t>
      </w:r>
      <w:r>
        <w:rPr>
          <w:sz w:val="12"/>
        </w:rPr>
        <w:t>recomendación</w:t>
      </w:r>
      <w:r>
        <w:rPr>
          <w:spacing w:val="-2"/>
          <w:sz w:val="12"/>
        </w:rPr>
        <w:t xml:space="preserve"> </w:t>
      </w:r>
      <w:r>
        <w:rPr>
          <w:sz w:val="12"/>
        </w:rPr>
        <w:t>general</w:t>
      </w:r>
      <w:r>
        <w:rPr>
          <w:spacing w:val="-1"/>
          <w:sz w:val="12"/>
        </w:rPr>
        <w:t xml:space="preserve"> </w:t>
      </w:r>
      <w:r>
        <w:rPr>
          <w:sz w:val="12"/>
        </w:rPr>
        <w:t>núm.</w:t>
      </w:r>
      <w:r>
        <w:rPr>
          <w:spacing w:val="-2"/>
          <w:sz w:val="12"/>
        </w:rPr>
        <w:t xml:space="preserve"> </w:t>
      </w:r>
      <w:r>
        <w:rPr>
          <w:sz w:val="12"/>
        </w:rPr>
        <w:t>28</w:t>
      </w:r>
      <w:r>
        <w:rPr>
          <w:spacing w:val="-1"/>
          <w:sz w:val="12"/>
        </w:rPr>
        <w:t xml:space="preserve"> </w:t>
      </w:r>
      <w:r>
        <w:rPr>
          <w:sz w:val="12"/>
        </w:rPr>
        <w:t>(2010),</w:t>
      </w:r>
      <w:r>
        <w:rPr>
          <w:spacing w:val="-1"/>
          <w:sz w:val="12"/>
        </w:rPr>
        <w:t xml:space="preserve"> </w:t>
      </w:r>
      <w:r>
        <w:rPr>
          <w:sz w:val="12"/>
        </w:rPr>
        <w:t>párr.</w:t>
      </w:r>
      <w:r>
        <w:rPr>
          <w:spacing w:val="-1"/>
          <w:sz w:val="12"/>
        </w:rPr>
        <w:t xml:space="preserve"> </w:t>
      </w:r>
      <w:r>
        <w:rPr>
          <w:spacing w:val="-5"/>
          <w:sz w:val="12"/>
        </w:rPr>
        <w:t>32.</w:t>
      </w:r>
    </w:p>
    <w:p w14:paraId="0F0F21C4" w14:textId="77777777" w:rsidR="0014798C" w:rsidRDefault="004E1F0B">
      <w:pPr>
        <w:pStyle w:val="Prrafodelista"/>
        <w:numPr>
          <w:ilvl w:val="0"/>
          <w:numId w:val="51"/>
        </w:numPr>
        <w:tabs>
          <w:tab w:val="left" w:pos="1342"/>
        </w:tabs>
        <w:spacing w:before="98"/>
        <w:ind w:left="1342" w:hanging="235"/>
        <w:rPr>
          <w:sz w:val="12"/>
        </w:rPr>
      </w:pPr>
      <w:r>
        <w:rPr>
          <w:sz w:val="12"/>
        </w:rPr>
        <w:t>Comité</w:t>
      </w:r>
      <w:r>
        <w:rPr>
          <w:spacing w:val="-2"/>
          <w:sz w:val="12"/>
        </w:rPr>
        <w:t xml:space="preserve"> </w:t>
      </w:r>
      <w:r>
        <w:rPr>
          <w:sz w:val="12"/>
        </w:rPr>
        <w:t>para</w:t>
      </w:r>
      <w:r>
        <w:rPr>
          <w:spacing w:val="-1"/>
          <w:sz w:val="12"/>
        </w:rPr>
        <w:t xml:space="preserve"> </w:t>
      </w:r>
      <w:r>
        <w:rPr>
          <w:sz w:val="12"/>
        </w:rPr>
        <w:t>la</w:t>
      </w:r>
      <w:r>
        <w:rPr>
          <w:spacing w:val="-1"/>
          <w:sz w:val="12"/>
        </w:rPr>
        <w:t xml:space="preserve"> </w:t>
      </w:r>
      <w:r>
        <w:rPr>
          <w:sz w:val="12"/>
        </w:rPr>
        <w:t>Eliminación</w:t>
      </w:r>
      <w:r>
        <w:rPr>
          <w:spacing w:val="-1"/>
          <w:sz w:val="12"/>
        </w:rPr>
        <w:t xml:space="preserve"> </w:t>
      </w:r>
      <w:r>
        <w:rPr>
          <w:sz w:val="12"/>
        </w:rPr>
        <w:t>de</w:t>
      </w:r>
      <w:r>
        <w:rPr>
          <w:spacing w:val="-1"/>
          <w:sz w:val="12"/>
        </w:rPr>
        <w:t xml:space="preserve"> </w:t>
      </w:r>
      <w:r>
        <w:rPr>
          <w:sz w:val="12"/>
        </w:rPr>
        <w:t>la</w:t>
      </w:r>
      <w:r>
        <w:rPr>
          <w:spacing w:val="-1"/>
          <w:sz w:val="12"/>
        </w:rPr>
        <w:t xml:space="preserve"> </w:t>
      </w:r>
      <w:r>
        <w:rPr>
          <w:sz w:val="12"/>
        </w:rPr>
        <w:t>Discriminación</w:t>
      </w:r>
      <w:r>
        <w:rPr>
          <w:spacing w:val="-1"/>
          <w:sz w:val="12"/>
        </w:rPr>
        <w:t xml:space="preserve"> </w:t>
      </w:r>
      <w:r>
        <w:rPr>
          <w:sz w:val="12"/>
        </w:rPr>
        <w:t>contra</w:t>
      </w:r>
      <w:r>
        <w:rPr>
          <w:spacing w:val="-1"/>
          <w:sz w:val="12"/>
        </w:rPr>
        <w:t xml:space="preserve"> </w:t>
      </w:r>
      <w:r>
        <w:rPr>
          <w:sz w:val="12"/>
        </w:rPr>
        <w:t>la</w:t>
      </w:r>
      <w:r>
        <w:rPr>
          <w:spacing w:val="-2"/>
          <w:sz w:val="12"/>
        </w:rPr>
        <w:t xml:space="preserve"> </w:t>
      </w:r>
      <w:r>
        <w:rPr>
          <w:sz w:val="12"/>
        </w:rPr>
        <w:t>Mujer,</w:t>
      </w:r>
      <w:r>
        <w:rPr>
          <w:spacing w:val="-1"/>
          <w:sz w:val="12"/>
        </w:rPr>
        <w:t xml:space="preserve"> </w:t>
      </w:r>
      <w:r>
        <w:rPr>
          <w:sz w:val="12"/>
        </w:rPr>
        <w:t>recomendación</w:t>
      </w:r>
      <w:r>
        <w:rPr>
          <w:spacing w:val="-1"/>
          <w:sz w:val="12"/>
        </w:rPr>
        <w:t xml:space="preserve"> </w:t>
      </w:r>
      <w:r>
        <w:rPr>
          <w:sz w:val="12"/>
        </w:rPr>
        <w:t>general</w:t>
      </w:r>
      <w:r>
        <w:rPr>
          <w:spacing w:val="-1"/>
          <w:sz w:val="12"/>
        </w:rPr>
        <w:t xml:space="preserve"> </w:t>
      </w:r>
      <w:r>
        <w:rPr>
          <w:sz w:val="12"/>
        </w:rPr>
        <w:t>núm.</w:t>
      </w:r>
      <w:r>
        <w:rPr>
          <w:spacing w:val="-1"/>
          <w:sz w:val="12"/>
        </w:rPr>
        <w:t xml:space="preserve"> </w:t>
      </w:r>
      <w:r>
        <w:rPr>
          <w:sz w:val="12"/>
        </w:rPr>
        <w:t>33</w:t>
      </w:r>
      <w:r>
        <w:rPr>
          <w:spacing w:val="-1"/>
          <w:sz w:val="12"/>
        </w:rPr>
        <w:t xml:space="preserve"> </w:t>
      </w:r>
      <w:r>
        <w:rPr>
          <w:sz w:val="12"/>
        </w:rPr>
        <w:t>(2015), párr.</w:t>
      </w:r>
      <w:r>
        <w:rPr>
          <w:spacing w:val="-1"/>
          <w:sz w:val="12"/>
        </w:rPr>
        <w:t xml:space="preserve"> </w:t>
      </w:r>
      <w:r>
        <w:rPr>
          <w:sz w:val="12"/>
        </w:rPr>
        <w:t>19</w:t>
      </w:r>
      <w:r>
        <w:rPr>
          <w:spacing w:val="-1"/>
          <w:sz w:val="12"/>
        </w:rPr>
        <w:t xml:space="preserve"> </w:t>
      </w:r>
      <w:r>
        <w:rPr>
          <w:sz w:val="12"/>
        </w:rPr>
        <w:t>(a)</w:t>
      </w:r>
      <w:r>
        <w:rPr>
          <w:spacing w:val="-2"/>
          <w:sz w:val="12"/>
        </w:rPr>
        <w:t xml:space="preserve"> </w:t>
      </w:r>
      <w:r>
        <w:rPr>
          <w:sz w:val="12"/>
        </w:rPr>
        <w:t>y</w:t>
      </w:r>
      <w:r>
        <w:rPr>
          <w:spacing w:val="-1"/>
          <w:sz w:val="12"/>
        </w:rPr>
        <w:t xml:space="preserve"> </w:t>
      </w:r>
      <w:r>
        <w:rPr>
          <w:spacing w:val="-4"/>
          <w:sz w:val="12"/>
        </w:rPr>
        <w:t>(b).</w:t>
      </w:r>
    </w:p>
    <w:p w14:paraId="528F0FAE" w14:textId="77777777" w:rsidR="0014798C" w:rsidRDefault="004E1F0B">
      <w:pPr>
        <w:pStyle w:val="Prrafodelista"/>
        <w:numPr>
          <w:ilvl w:val="0"/>
          <w:numId w:val="51"/>
        </w:numPr>
        <w:tabs>
          <w:tab w:val="left" w:pos="1342"/>
        </w:tabs>
        <w:spacing w:before="99"/>
        <w:ind w:left="1342" w:hanging="235"/>
        <w:rPr>
          <w:sz w:val="12"/>
        </w:rPr>
      </w:pPr>
      <w:r>
        <w:rPr>
          <w:sz w:val="12"/>
        </w:rPr>
        <w:t>Comité</w:t>
      </w:r>
      <w:r>
        <w:rPr>
          <w:spacing w:val="-1"/>
          <w:sz w:val="12"/>
        </w:rPr>
        <w:t xml:space="preserve"> </w:t>
      </w:r>
      <w:r>
        <w:rPr>
          <w:sz w:val="12"/>
        </w:rPr>
        <w:t>sobre los Derechos de las Personas con Discapacidad,</w:t>
      </w:r>
      <w:r>
        <w:rPr>
          <w:spacing w:val="1"/>
          <w:sz w:val="12"/>
        </w:rPr>
        <w:t xml:space="preserve"> </w:t>
      </w:r>
      <w:r>
        <w:rPr>
          <w:sz w:val="12"/>
        </w:rPr>
        <w:t>observación</w:t>
      </w:r>
      <w:r>
        <w:rPr>
          <w:spacing w:val="-1"/>
          <w:sz w:val="12"/>
        </w:rPr>
        <w:t xml:space="preserve"> </w:t>
      </w:r>
      <w:r>
        <w:rPr>
          <w:sz w:val="12"/>
        </w:rPr>
        <w:t>general núm. 6 (2018),</w:t>
      </w:r>
      <w:r>
        <w:rPr>
          <w:spacing w:val="1"/>
          <w:sz w:val="12"/>
        </w:rPr>
        <w:t xml:space="preserve"> </w:t>
      </w:r>
      <w:r>
        <w:rPr>
          <w:sz w:val="12"/>
        </w:rPr>
        <w:t xml:space="preserve">párr. 31 </w:t>
      </w:r>
      <w:r>
        <w:rPr>
          <w:spacing w:val="-4"/>
          <w:sz w:val="12"/>
        </w:rPr>
        <w:t>(f).</w:t>
      </w:r>
    </w:p>
    <w:p w14:paraId="555957E2" w14:textId="77777777" w:rsidR="0014798C" w:rsidRDefault="004E1F0B">
      <w:pPr>
        <w:pStyle w:val="Prrafodelista"/>
        <w:numPr>
          <w:ilvl w:val="0"/>
          <w:numId w:val="51"/>
        </w:numPr>
        <w:tabs>
          <w:tab w:val="left" w:pos="1342"/>
        </w:tabs>
        <w:spacing w:before="98"/>
        <w:ind w:left="1342" w:hanging="235"/>
        <w:rPr>
          <w:sz w:val="12"/>
        </w:rPr>
      </w:pPr>
      <w:r>
        <w:rPr>
          <w:sz w:val="12"/>
        </w:rPr>
        <w:t>Comité</w:t>
      </w:r>
      <w:r>
        <w:rPr>
          <w:spacing w:val="-1"/>
          <w:sz w:val="12"/>
        </w:rPr>
        <w:t xml:space="preserve"> </w:t>
      </w:r>
      <w:r>
        <w:rPr>
          <w:sz w:val="12"/>
        </w:rPr>
        <w:t>de</w:t>
      </w:r>
      <w:r>
        <w:rPr>
          <w:spacing w:val="-1"/>
          <w:sz w:val="12"/>
        </w:rPr>
        <w:t xml:space="preserve"> </w:t>
      </w:r>
      <w:r>
        <w:rPr>
          <w:sz w:val="12"/>
        </w:rPr>
        <w:t>Derechos Humanos, observación</w:t>
      </w:r>
      <w:r>
        <w:rPr>
          <w:spacing w:val="-1"/>
          <w:sz w:val="12"/>
        </w:rPr>
        <w:t xml:space="preserve"> </w:t>
      </w:r>
      <w:r>
        <w:rPr>
          <w:sz w:val="12"/>
        </w:rPr>
        <w:t>general núm.</w:t>
      </w:r>
      <w:r>
        <w:rPr>
          <w:spacing w:val="-1"/>
          <w:sz w:val="12"/>
        </w:rPr>
        <w:t xml:space="preserve"> </w:t>
      </w:r>
      <w:r>
        <w:rPr>
          <w:sz w:val="12"/>
        </w:rPr>
        <w:t>31</w:t>
      </w:r>
      <w:r>
        <w:rPr>
          <w:spacing w:val="-1"/>
          <w:sz w:val="12"/>
        </w:rPr>
        <w:t xml:space="preserve"> </w:t>
      </w:r>
      <w:r>
        <w:rPr>
          <w:sz w:val="12"/>
        </w:rPr>
        <w:t>(2004),</w:t>
      </w:r>
      <w:r>
        <w:rPr>
          <w:spacing w:val="1"/>
          <w:sz w:val="12"/>
        </w:rPr>
        <w:t xml:space="preserve"> </w:t>
      </w:r>
      <w:r>
        <w:rPr>
          <w:sz w:val="12"/>
        </w:rPr>
        <w:t>párr.</w:t>
      </w:r>
      <w:r>
        <w:rPr>
          <w:spacing w:val="-1"/>
          <w:sz w:val="12"/>
        </w:rPr>
        <w:t xml:space="preserve"> </w:t>
      </w:r>
      <w:r>
        <w:rPr>
          <w:spacing w:val="-2"/>
          <w:sz w:val="12"/>
        </w:rPr>
        <w:t>dieciséis.</w:t>
      </w:r>
    </w:p>
    <w:p w14:paraId="5F8D527D" w14:textId="77777777" w:rsidR="0014798C" w:rsidRDefault="004E1F0B">
      <w:pPr>
        <w:pStyle w:val="Prrafodelista"/>
        <w:numPr>
          <w:ilvl w:val="0"/>
          <w:numId w:val="51"/>
        </w:numPr>
        <w:tabs>
          <w:tab w:val="left" w:pos="1342"/>
        </w:tabs>
        <w:spacing w:before="98"/>
        <w:ind w:left="1342" w:hanging="235"/>
        <w:rPr>
          <w:sz w:val="12"/>
        </w:rPr>
      </w:pPr>
      <w:proofErr w:type="spellStart"/>
      <w:r>
        <w:rPr>
          <w:sz w:val="12"/>
        </w:rPr>
        <w:t>Ibíd</w:t>
      </w:r>
      <w:proofErr w:type="spellEnd"/>
      <w:r>
        <w:rPr>
          <w:sz w:val="12"/>
        </w:rPr>
        <w:t>.,</w:t>
      </w:r>
      <w:r>
        <w:rPr>
          <w:spacing w:val="-2"/>
          <w:sz w:val="12"/>
        </w:rPr>
        <w:t xml:space="preserve"> </w:t>
      </w:r>
      <w:r>
        <w:rPr>
          <w:sz w:val="12"/>
        </w:rPr>
        <w:t>párr.</w:t>
      </w:r>
      <w:r>
        <w:rPr>
          <w:spacing w:val="-2"/>
          <w:sz w:val="12"/>
        </w:rPr>
        <w:t xml:space="preserve"> </w:t>
      </w:r>
      <w:r>
        <w:rPr>
          <w:spacing w:val="-5"/>
          <w:sz w:val="12"/>
        </w:rPr>
        <w:t>17.</w:t>
      </w:r>
    </w:p>
    <w:p w14:paraId="4BA27A00" w14:textId="77777777" w:rsidR="0014798C" w:rsidRDefault="004E1F0B">
      <w:pPr>
        <w:pStyle w:val="Prrafodelista"/>
        <w:numPr>
          <w:ilvl w:val="0"/>
          <w:numId w:val="51"/>
        </w:numPr>
        <w:tabs>
          <w:tab w:val="left" w:pos="1341"/>
          <w:tab w:val="left" w:pos="1368"/>
        </w:tabs>
        <w:spacing w:before="99" w:line="312" w:lineRule="auto"/>
        <w:ind w:left="1368" w:right="1608" w:hanging="262"/>
        <w:rPr>
          <w:sz w:val="12"/>
        </w:rPr>
      </w:pPr>
      <w:r>
        <w:rPr>
          <w:sz w:val="12"/>
        </w:rPr>
        <w:t>Principios y directrices básicos sobre el derecho a un recurso y reparación para las víctimas de violaciones manifiestas del derecho internacional de los derechos</w:t>
      </w:r>
      <w:r>
        <w:rPr>
          <w:spacing w:val="40"/>
          <w:sz w:val="12"/>
        </w:rPr>
        <w:t xml:space="preserve"> </w:t>
      </w:r>
      <w:r>
        <w:rPr>
          <w:sz w:val="12"/>
        </w:rPr>
        <w:t xml:space="preserve">humanos y de violaciones graves del derecho internacional humanitario (resolución 60/147 de la Asamblea General, anexo), </w:t>
      </w:r>
      <w:proofErr w:type="spellStart"/>
      <w:r>
        <w:rPr>
          <w:sz w:val="12"/>
        </w:rPr>
        <w:t>párrs</w:t>
      </w:r>
      <w:proofErr w:type="spellEnd"/>
      <w:r>
        <w:rPr>
          <w:sz w:val="12"/>
        </w:rPr>
        <w:t>. 15 a 22, en el párr. 18.</w:t>
      </w:r>
    </w:p>
    <w:p w14:paraId="332F1DC1" w14:textId="77777777" w:rsidR="0014798C" w:rsidRDefault="004E1F0B">
      <w:pPr>
        <w:spacing w:line="288" w:lineRule="auto"/>
        <w:ind w:left="1367" w:right="1272" w:hanging="2"/>
        <w:rPr>
          <w:sz w:val="13"/>
        </w:rPr>
      </w:pPr>
      <w:r>
        <w:rPr>
          <w:w w:val="105"/>
          <w:sz w:val="13"/>
        </w:rPr>
        <w:t>Los</w:t>
      </w:r>
      <w:r>
        <w:rPr>
          <w:spacing w:val="-10"/>
          <w:w w:val="105"/>
          <w:sz w:val="13"/>
        </w:rPr>
        <w:t xml:space="preserve"> </w:t>
      </w:r>
      <w:r>
        <w:rPr>
          <w:w w:val="105"/>
          <w:sz w:val="13"/>
        </w:rPr>
        <w:t>Principios</w:t>
      </w:r>
      <w:r>
        <w:rPr>
          <w:spacing w:val="-9"/>
          <w:w w:val="105"/>
          <w:sz w:val="13"/>
        </w:rPr>
        <w:t xml:space="preserve"> </w:t>
      </w:r>
      <w:r>
        <w:rPr>
          <w:w w:val="105"/>
          <w:sz w:val="13"/>
        </w:rPr>
        <w:t>y</w:t>
      </w:r>
      <w:r>
        <w:rPr>
          <w:spacing w:val="-9"/>
          <w:w w:val="105"/>
          <w:sz w:val="13"/>
        </w:rPr>
        <w:t xml:space="preserve"> </w:t>
      </w:r>
      <w:r>
        <w:rPr>
          <w:w w:val="105"/>
          <w:sz w:val="13"/>
        </w:rPr>
        <w:t>Directrices</w:t>
      </w:r>
      <w:r>
        <w:rPr>
          <w:spacing w:val="-10"/>
          <w:w w:val="105"/>
          <w:sz w:val="13"/>
        </w:rPr>
        <w:t xml:space="preserve"> </w:t>
      </w:r>
      <w:r>
        <w:rPr>
          <w:w w:val="105"/>
          <w:sz w:val="13"/>
        </w:rPr>
        <w:t>Básicos</w:t>
      </w:r>
      <w:r>
        <w:rPr>
          <w:spacing w:val="-9"/>
          <w:w w:val="105"/>
          <w:sz w:val="13"/>
        </w:rPr>
        <w:t xml:space="preserve"> </w:t>
      </w:r>
      <w:r>
        <w:rPr>
          <w:w w:val="105"/>
          <w:sz w:val="13"/>
        </w:rPr>
        <w:t>han</w:t>
      </w:r>
      <w:r>
        <w:rPr>
          <w:spacing w:val="-9"/>
          <w:w w:val="105"/>
          <w:sz w:val="13"/>
        </w:rPr>
        <w:t xml:space="preserve"> </w:t>
      </w:r>
      <w:r>
        <w:rPr>
          <w:w w:val="105"/>
          <w:sz w:val="13"/>
        </w:rPr>
        <w:t>sido</w:t>
      </w:r>
      <w:r>
        <w:rPr>
          <w:spacing w:val="-9"/>
          <w:w w:val="105"/>
          <w:sz w:val="13"/>
        </w:rPr>
        <w:t xml:space="preserve"> </w:t>
      </w:r>
      <w:r>
        <w:rPr>
          <w:w w:val="105"/>
          <w:sz w:val="13"/>
        </w:rPr>
        <w:t>citados</w:t>
      </w:r>
      <w:r>
        <w:rPr>
          <w:spacing w:val="-10"/>
          <w:w w:val="105"/>
          <w:sz w:val="13"/>
        </w:rPr>
        <w:t xml:space="preserve"> </w:t>
      </w:r>
      <w:r>
        <w:rPr>
          <w:w w:val="105"/>
          <w:sz w:val="13"/>
        </w:rPr>
        <w:t>con</w:t>
      </w:r>
      <w:r>
        <w:rPr>
          <w:spacing w:val="-9"/>
          <w:w w:val="105"/>
          <w:sz w:val="13"/>
        </w:rPr>
        <w:t xml:space="preserve"> </w:t>
      </w:r>
      <w:r>
        <w:rPr>
          <w:w w:val="105"/>
          <w:sz w:val="13"/>
        </w:rPr>
        <w:t>aprobación</w:t>
      </w:r>
      <w:r>
        <w:rPr>
          <w:spacing w:val="-9"/>
          <w:w w:val="105"/>
          <w:sz w:val="13"/>
        </w:rPr>
        <w:t xml:space="preserve"> </w:t>
      </w:r>
      <w:r>
        <w:rPr>
          <w:w w:val="105"/>
          <w:sz w:val="13"/>
        </w:rPr>
        <w:t>por</w:t>
      </w:r>
      <w:r>
        <w:rPr>
          <w:spacing w:val="-9"/>
          <w:w w:val="105"/>
          <w:sz w:val="13"/>
        </w:rPr>
        <w:t xml:space="preserve"> </w:t>
      </w:r>
      <w:r>
        <w:rPr>
          <w:w w:val="105"/>
          <w:sz w:val="13"/>
        </w:rPr>
        <w:t>el</w:t>
      </w:r>
      <w:r>
        <w:rPr>
          <w:spacing w:val="-9"/>
          <w:w w:val="105"/>
          <w:sz w:val="13"/>
        </w:rPr>
        <w:t xml:space="preserve"> </w:t>
      </w:r>
      <w:r>
        <w:rPr>
          <w:w w:val="105"/>
          <w:sz w:val="13"/>
        </w:rPr>
        <w:t>Comité</w:t>
      </w:r>
      <w:r>
        <w:rPr>
          <w:spacing w:val="-10"/>
          <w:w w:val="105"/>
          <w:sz w:val="13"/>
        </w:rPr>
        <w:t xml:space="preserve"> </w:t>
      </w:r>
      <w:r>
        <w:rPr>
          <w:w w:val="105"/>
          <w:sz w:val="13"/>
        </w:rPr>
        <w:t>de</w:t>
      </w:r>
      <w:r>
        <w:rPr>
          <w:spacing w:val="-9"/>
          <w:w w:val="105"/>
          <w:sz w:val="13"/>
        </w:rPr>
        <w:t xml:space="preserve"> </w:t>
      </w:r>
      <w:r>
        <w:rPr>
          <w:w w:val="105"/>
          <w:sz w:val="13"/>
        </w:rPr>
        <w:t>Derechos</w:t>
      </w:r>
      <w:r>
        <w:rPr>
          <w:spacing w:val="-10"/>
          <w:w w:val="105"/>
          <w:sz w:val="13"/>
        </w:rPr>
        <w:t xml:space="preserve"> </w:t>
      </w:r>
      <w:r>
        <w:rPr>
          <w:w w:val="105"/>
          <w:sz w:val="13"/>
        </w:rPr>
        <w:t>Económicos,</w:t>
      </w:r>
      <w:r>
        <w:rPr>
          <w:spacing w:val="-8"/>
          <w:w w:val="105"/>
          <w:sz w:val="13"/>
        </w:rPr>
        <w:t xml:space="preserve"> </w:t>
      </w:r>
      <w:r>
        <w:rPr>
          <w:w w:val="105"/>
          <w:sz w:val="13"/>
        </w:rPr>
        <w:t>Sociales</w:t>
      </w:r>
      <w:r>
        <w:rPr>
          <w:spacing w:val="-10"/>
          <w:w w:val="105"/>
          <w:sz w:val="13"/>
        </w:rPr>
        <w:t xml:space="preserve"> </w:t>
      </w:r>
      <w:r>
        <w:rPr>
          <w:w w:val="105"/>
          <w:sz w:val="13"/>
        </w:rPr>
        <w:t>y</w:t>
      </w:r>
      <w:r>
        <w:rPr>
          <w:spacing w:val="-9"/>
          <w:w w:val="105"/>
          <w:sz w:val="13"/>
        </w:rPr>
        <w:t xml:space="preserve"> </w:t>
      </w:r>
      <w:r>
        <w:rPr>
          <w:w w:val="105"/>
          <w:sz w:val="13"/>
        </w:rPr>
        <w:t>Culturales,</w:t>
      </w:r>
      <w:r>
        <w:rPr>
          <w:spacing w:val="-9"/>
          <w:w w:val="105"/>
          <w:sz w:val="13"/>
        </w:rPr>
        <w:t xml:space="preserve"> </w:t>
      </w:r>
      <w:r>
        <w:rPr>
          <w:w w:val="105"/>
          <w:sz w:val="13"/>
        </w:rPr>
        <w:t>que</w:t>
      </w:r>
      <w:r>
        <w:rPr>
          <w:spacing w:val="-9"/>
          <w:w w:val="105"/>
          <w:sz w:val="13"/>
        </w:rPr>
        <w:t xml:space="preserve"> </w:t>
      </w:r>
      <w:r>
        <w:rPr>
          <w:w w:val="105"/>
          <w:sz w:val="13"/>
        </w:rPr>
        <w:t>ha</w:t>
      </w:r>
      <w:r>
        <w:rPr>
          <w:spacing w:val="-9"/>
          <w:w w:val="105"/>
          <w:sz w:val="13"/>
        </w:rPr>
        <w:t xml:space="preserve"> </w:t>
      </w:r>
      <w:r>
        <w:rPr>
          <w:w w:val="105"/>
          <w:sz w:val="13"/>
        </w:rPr>
        <w:t>observado</w:t>
      </w:r>
      <w:r>
        <w:rPr>
          <w:spacing w:val="40"/>
          <w:w w:val="105"/>
          <w:sz w:val="13"/>
        </w:rPr>
        <w:t xml:space="preserve"> </w:t>
      </w:r>
      <w:r>
        <w:rPr>
          <w:w w:val="105"/>
          <w:sz w:val="13"/>
        </w:rPr>
        <w:t>que</w:t>
      </w:r>
      <w:r>
        <w:rPr>
          <w:spacing w:val="-5"/>
          <w:w w:val="105"/>
          <w:sz w:val="13"/>
        </w:rPr>
        <w:t xml:space="preserve"> </w:t>
      </w:r>
      <w:r>
        <w:rPr>
          <w:w w:val="105"/>
          <w:sz w:val="13"/>
        </w:rPr>
        <w:t>“proporcionan</w:t>
      </w:r>
      <w:r>
        <w:rPr>
          <w:spacing w:val="-5"/>
          <w:w w:val="105"/>
          <w:sz w:val="13"/>
        </w:rPr>
        <w:t xml:space="preserve"> </w:t>
      </w:r>
      <w:r>
        <w:rPr>
          <w:w w:val="105"/>
          <w:sz w:val="13"/>
        </w:rPr>
        <w:t>indicaciones</w:t>
      </w:r>
      <w:r>
        <w:rPr>
          <w:spacing w:val="-6"/>
          <w:w w:val="105"/>
          <w:sz w:val="13"/>
        </w:rPr>
        <w:t xml:space="preserve"> </w:t>
      </w:r>
      <w:r>
        <w:rPr>
          <w:w w:val="105"/>
          <w:sz w:val="13"/>
        </w:rPr>
        <w:t>útiles</w:t>
      </w:r>
      <w:r>
        <w:rPr>
          <w:spacing w:val="-6"/>
          <w:w w:val="105"/>
          <w:sz w:val="13"/>
        </w:rPr>
        <w:t xml:space="preserve"> </w:t>
      </w:r>
      <w:r>
        <w:rPr>
          <w:w w:val="105"/>
          <w:sz w:val="13"/>
        </w:rPr>
        <w:t>sobre</w:t>
      </w:r>
      <w:r>
        <w:rPr>
          <w:spacing w:val="-5"/>
          <w:w w:val="105"/>
          <w:sz w:val="13"/>
        </w:rPr>
        <w:t xml:space="preserve"> </w:t>
      </w:r>
      <w:r>
        <w:rPr>
          <w:w w:val="105"/>
          <w:sz w:val="13"/>
        </w:rPr>
        <w:t>las</w:t>
      </w:r>
      <w:r>
        <w:rPr>
          <w:spacing w:val="-5"/>
          <w:w w:val="105"/>
          <w:sz w:val="13"/>
        </w:rPr>
        <w:t xml:space="preserve"> </w:t>
      </w:r>
      <w:r>
        <w:rPr>
          <w:w w:val="105"/>
          <w:sz w:val="13"/>
        </w:rPr>
        <w:t>obligaciones</w:t>
      </w:r>
      <w:r>
        <w:rPr>
          <w:spacing w:val="-6"/>
          <w:w w:val="105"/>
          <w:sz w:val="13"/>
        </w:rPr>
        <w:t xml:space="preserve"> </w:t>
      </w:r>
      <w:r>
        <w:rPr>
          <w:w w:val="105"/>
          <w:sz w:val="13"/>
        </w:rPr>
        <w:t>que</w:t>
      </w:r>
      <w:r>
        <w:rPr>
          <w:spacing w:val="-5"/>
          <w:w w:val="105"/>
          <w:sz w:val="13"/>
        </w:rPr>
        <w:t xml:space="preserve"> </w:t>
      </w:r>
      <w:r>
        <w:rPr>
          <w:w w:val="105"/>
          <w:sz w:val="13"/>
        </w:rPr>
        <w:t>se</w:t>
      </w:r>
      <w:r>
        <w:rPr>
          <w:spacing w:val="-5"/>
          <w:w w:val="105"/>
          <w:sz w:val="13"/>
        </w:rPr>
        <w:t xml:space="preserve"> </w:t>
      </w:r>
      <w:r>
        <w:rPr>
          <w:w w:val="105"/>
          <w:sz w:val="13"/>
        </w:rPr>
        <w:t>derivan</w:t>
      </w:r>
      <w:r>
        <w:rPr>
          <w:spacing w:val="-5"/>
          <w:w w:val="105"/>
          <w:sz w:val="13"/>
        </w:rPr>
        <w:t xml:space="preserve"> </w:t>
      </w:r>
      <w:r>
        <w:rPr>
          <w:w w:val="105"/>
          <w:sz w:val="13"/>
        </w:rPr>
        <w:t>para</w:t>
      </w:r>
      <w:r>
        <w:rPr>
          <w:spacing w:val="-5"/>
          <w:w w:val="105"/>
          <w:sz w:val="13"/>
        </w:rPr>
        <w:t xml:space="preserve"> </w:t>
      </w:r>
      <w:r>
        <w:rPr>
          <w:w w:val="105"/>
          <w:sz w:val="13"/>
        </w:rPr>
        <w:t>los</w:t>
      </w:r>
      <w:r>
        <w:rPr>
          <w:spacing w:val="-5"/>
          <w:w w:val="105"/>
          <w:sz w:val="13"/>
        </w:rPr>
        <w:t xml:space="preserve"> </w:t>
      </w:r>
      <w:r>
        <w:rPr>
          <w:w w:val="105"/>
          <w:sz w:val="13"/>
        </w:rPr>
        <w:t>Estados</w:t>
      </w:r>
      <w:r>
        <w:rPr>
          <w:spacing w:val="-6"/>
          <w:w w:val="105"/>
          <w:sz w:val="13"/>
        </w:rPr>
        <w:t xml:space="preserve"> </w:t>
      </w:r>
      <w:r>
        <w:rPr>
          <w:w w:val="105"/>
          <w:sz w:val="13"/>
        </w:rPr>
        <w:t>de</w:t>
      </w:r>
      <w:r>
        <w:rPr>
          <w:spacing w:val="-5"/>
          <w:w w:val="105"/>
          <w:sz w:val="13"/>
        </w:rPr>
        <w:t xml:space="preserve"> </w:t>
      </w:r>
      <w:r>
        <w:rPr>
          <w:w w:val="105"/>
          <w:sz w:val="13"/>
        </w:rPr>
        <w:t>la</w:t>
      </w:r>
      <w:r>
        <w:rPr>
          <w:spacing w:val="-5"/>
          <w:w w:val="105"/>
          <w:sz w:val="13"/>
        </w:rPr>
        <w:t xml:space="preserve"> </w:t>
      </w:r>
      <w:r>
        <w:rPr>
          <w:w w:val="105"/>
          <w:sz w:val="13"/>
        </w:rPr>
        <w:t>obligación</w:t>
      </w:r>
      <w:r>
        <w:rPr>
          <w:spacing w:val="-5"/>
          <w:w w:val="105"/>
          <w:sz w:val="13"/>
        </w:rPr>
        <w:t xml:space="preserve"> </w:t>
      </w:r>
      <w:r>
        <w:rPr>
          <w:w w:val="105"/>
          <w:sz w:val="13"/>
        </w:rPr>
        <w:t>general</w:t>
      </w:r>
      <w:r>
        <w:rPr>
          <w:spacing w:val="-5"/>
          <w:w w:val="105"/>
          <w:sz w:val="13"/>
        </w:rPr>
        <w:t xml:space="preserve"> </w:t>
      </w:r>
      <w:r>
        <w:rPr>
          <w:w w:val="105"/>
          <w:sz w:val="13"/>
        </w:rPr>
        <w:t>de</w:t>
      </w:r>
      <w:r>
        <w:rPr>
          <w:spacing w:val="-5"/>
          <w:w w:val="105"/>
          <w:sz w:val="13"/>
        </w:rPr>
        <w:t xml:space="preserve"> </w:t>
      </w:r>
      <w:r>
        <w:rPr>
          <w:w w:val="105"/>
          <w:sz w:val="13"/>
        </w:rPr>
        <w:t>proporcionar</w:t>
      </w:r>
      <w:r>
        <w:rPr>
          <w:spacing w:val="-6"/>
          <w:w w:val="105"/>
          <w:sz w:val="13"/>
        </w:rPr>
        <w:t xml:space="preserve"> </w:t>
      </w:r>
      <w:r>
        <w:rPr>
          <w:w w:val="105"/>
          <w:sz w:val="13"/>
        </w:rPr>
        <w:t>acceso</w:t>
      </w:r>
      <w:r>
        <w:rPr>
          <w:spacing w:val="-5"/>
          <w:w w:val="105"/>
          <w:sz w:val="13"/>
        </w:rPr>
        <w:t xml:space="preserve"> </w:t>
      </w:r>
      <w:r>
        <w:rPr>
          <w:w w:val="105"/>
          <w:sz w:val="13"/>
        </w:rPr>
        <w:t>a</w:t>
      </w:r>
      <w:r>
        <w:rPr>
          <w:spacing w:val="40"/>
          <w:w w:val="105"/>
          <w:sz w:val="13"/>
        </w:rPr>
        <w:t xml:space="preserve"> </w:t>
      </w:r>
      <w:r>
        <w:rPr>
          <w:w w:val="105"/>
          <w:sz w:val="13"/>
        </w:rPr>
        <w:t>recursos</w:t>
      </w:r>
      <w:r>
        <w:rPr>
          <w:spacing w:val="-6"/>
          <w:w w:val="105"/>
          <w:sz w:val="13"/>
        </w:rPr>
        <w:t xml:space="preserve"> </w:t>
      </w:r>
      <w:r>
        <w:rPr>
          <w:w w:val="105"/>
          <w:sz w:val="13"/>
        </w:rPr>
        <w:t>efectivos”.</w:t>
      </w:r>
      <w:r>
        <w:rPr>
          <w:spacing w:val="-6"/>
          <w:w w:val="105"/>
          <w:sz w:val="13"/>
        </w:rPr>
        <w:t xml:space="preserve"> </w:t>
      </w:r>
      <w:r>
        <w:rPr>
          <w:w w:val="105"/>
          <w:sz w:val="13"/>
        </w:rPr>
        <w:t>Véase</w:t>
      </w:r>
      <w:r>
        <w:rPr>
          <w:spacing w:val="-7"/>
          <w:w w:val="105"/>
          <w:sz w:val="13"/>
        </w:rPr>
        <w:t xml:space="preserve"> </w:t>
      </w:r>
      <w:r>
        <w:rPr>
          <w:w w:val="105"/>
          <w:sz w:val="13"/>
        </w:rPr>
        <w:t>Comité</w:t>
      </w:r>
      <w:r>
        <w:rPr>
          <w:spacing w:val="-7"/>
          <w:w w:val="105"/>
          <w:sz w:val="13"/>
        </w:rPr>
        <w:t xml:space="preserve"> </w:t>
      </w:r>
      <w:r>
        <w:rPr>
          <w:w w:val="105"/>
          <w:sz w:val="13"/>
        </w:rPr>
        <w:t>de</w:t>
      </w:r>
      <w:r>
        <w:rPr>
          <w:spacing w:val="-6"/>
          <w:w w:val="105"/>
          <w:sz w:val="13"/>
        </w:rPr>
        <w:t xml:space="preserve"> </w:t>
      </w:r>
      <w:r>
        <w:rPr>
          <w:w w:val="105"/>
          <w:sz w:val="13"/>
        </w:rPr>
        <w:t>Derechos</w:t>
      </w:r>
      <w:r>
        <w:rPr>
          <w:spacing w:val="-7"/>
          <w:w w:val="105"/>
          <w:sz w:val="13"/>
        </w:rPr>
        <w:t xml:space="preserve"> </w:t>
      </w:r>
      <w:r>
        <w:rPr>
          <w:w w:val="105"/>
          <w:sz w:val="13"/>
        </w:rPr>
        <w:t>Económicos,</w:t>
      </w:r>
      <w:r>
        <w:rPr>
          <w:spacing w:val="-6"/>
          <w:w w:val="105"/>
          <w:sz w:val="13"/>
        </w:rPr>
        <w:t xml:space="preserve"> </w:t>
      </w:r>
      <w:r>
        <w:rPr>
          <w:w w:val="105"/>
          <w:sz w:val="13"/>
        </w:rPr>
        <w:t>Sociales</w:t>
      </w:r>
      <w:r>
        <w:rPr>
          <w:spacing w:val="-7"/>
          <w:w w:val="105"/>
          <w:sz w:val="13"/>
        </w:rPr>
        <w:t xml:space="preserve"> </w:t>
      </w:r>
      <w:r>
        <w:rPr>
          <w:w w:val="105"/>
          <w:sz w:val="13"/>
        </w:rPr>
        <w:t>y</w:t>
      </w:r>
      <w:r>
        <w:rPr>
          <w:spacing w:val="-6"/>
          <w:w w:val="105"/>
          <w:sz w:val="13"/>
        </w:rPr>
        <w:t xml:space="preserve"> </w:t>
      </w:r>
      <w:r>
        <w:rPr>
          <w:w w:val="105"/>
          <w:sz w:val="13"/>
        </w:rPr>
        <w:t>Culturales,</w:t>
      </w:r>
      <w:r>
        <w:rPr>
          <w:spacing w:val="-6"/>
          <w:w w:val="105"/>
          <w:sz w:val="13"/>
        </w:rPr>
        <w:t xml:space="preserve"> </w:t>
      </w:r>
      <w:r>
        <w:rPr>
          <w:w w:val="105"/>
          <w:sz w:val="13"/>
        </w:rPr>
        <w:t>observación</w:t>
      </w:r>
      <w:r>
        <w:rPr>
          <w:spacing w:val="-6"/>
          <w:w w:val="105"/>
          <w:sz w:val="13"/>
        </w:rPr>
        <w:t xml:space="preserve"> </w:t>
      </w:r>
      <w:r>
        <w:rPr>
          <w:w w:val="105"/>
          <w:sz w:val="13"/>
        </w:rPr>
        <w:t>general</w:t>
      </w:r>
      <w:r>
        <w:rPr>
          <w:spacing w:val="-6"/>
          <w:w w:val="105"/>
          <w:sz w:val="13"/>
        </w:rPr>
        <w:t xml:space="preserve"> </w:t>
      </w:r>
      <w:r>
        <w:rPr>
          <w:w w:val="105"/>
          <w:sz w:val="13"/>
        </w:rPr>
        <w:t>núm.</w:t>
      </w:r>
      <w:r>
        <w:rPr>
          <w:spacing w:val="-6"/>
          <w:w w:val="105"/>
          <w:sz w:val="13"/>
        </w:rPr>
        <w:t xml:space="preserve"> </w:t>
      </w:r>
      <w:r>
        <w:rPr>
          <w:w w:val="105"/>
          <w:sz w:val="13"/>
        </w:rPr>
        <w:t>24</w:t>
      </w:r>
      <w:r>
        <w:rPr>
          <w:spacing w:val="-6"/>
          <w:w w:val="105"/>
          <w:sz w:val="13"/>
        </w:rPr>
        <w:t xml:space="preserve"> </w:t>
      </w:r>
      <w:r>
        <w:rPr>
          <w:w w:val="105"/>
          <w:sz w:val="13"/>
        </w:rPr>
        <w:t>(2017),</w:t>
      </w:r>
      <w:r>
        <w:rPr>
          <w:spacing w:val="-6"/>
          <w:w w:val="105"/>
          <w:sz w:val="13"/>
        </w:rPr>
        <w:t xml:space="preserve"> </w:t>
      </w:r>
      <w:r>
        <w:rPr>
          <w:w w:val="105"/>
          <w:sz w:val="13"/>
        </w:rPr>
        <w:t>párr.</w:t>
      </w:r>
      <w:r>
        <w:rPr>
          <w:spacing w:val="-6"/>
          <w:w w:val="105"/>
          <w:sz w:val="13"/>
        </w:rPr>
        <w:t xml:space="preserve"> </w:t>
      </w:r>
      <w:r>
        <w:rPr>
          <w:w w:val="105"/>
          <w:sz w:val="13"/>
        </w:rPr>
        <w:t>40.</w:t>
      </w:r>
    </w:p>
    <w:p w14:paraId="31954117" w14:textId="77777777" w:rsidR="0014798C" w:rsidRDefault="004E1F0B">
      <w:pPr>
        <w:pStyle w:val="Prrafodelista"/>
        <w:numPr>
          <w:ilvl w:val="0"/>
          <w:numId w:val="51"/>
        </w:numPr>
        <w:tabs>
          <w:tab w:val="left" w:pos="1342"/>
        </w:tabs>
        <w:spacing w:before="59"/>
        <w:ind w:left="1342" w:hanging="235"/>
        <w:rPr>
          <w:sz w:val="12"/>
        </w:rPr>
      </w:pPr>
      <w:r>
        <w:rPr>
          <w:sz w:val="12"/>
        </w:rPr>
        <w:t>Comité</w:t>
      </w:r>
      <w:r>
        <w:rPr>
          <w:spacing w:val="-2"/>
          <w:sz w:val="12"/>
        </w:rPr>
        <w:t xml:space="preserve"> </w:t>
      </w:r>
      <w:r>
        <w:rPr>
          <w:sz w:val="12"/>
        </w:rPr>
        <w:t>para</w:t>
      </w:r>
      <w:r>
        <w:rPr>
          <w:spacing w:val="-1"/>
          <w:sz w:val="12"/>
        </w:rPr>
        <w:t xml:space="preserve"> </w:t>
      </w:r>
      <w:r>
        <w:rPr>
          <w:sz w:val="12"/>
        </w:rPr>
        <w:t>la</w:t>
      </w:r>
      <w:r>
        <w:rPr>
          <w:spacing w:val="-2"/>
          <w:sz w:val="12"/>
        </w:rPr>
        <w:t xml:space="preserve"> </w:t>
      </w:r>
      <w:r>
        <w:rPr>
          <w:sz w:val="12"/>
        </w:rPr>
        <w:t>Eliminación</w:t>
      </w:r>
      <w:r>
        <w:rPr>
          <w:spacing w:val="-1"/>
          <w:sz w:val="12"/>
        </w:rPr>
        <w:t xml:space="preserve"> </w:t>
      </w:r>
      <w:r>
        <w:rPr>
          <w:sz w:val="12"/>
        </w:rPr>
        <w:t>de</w:t>
      </w:r>
      <w:r>
        <w:rPr>
          <w:spacing w:val="-2"/>
          <w:sz w:val="12"/>
        </w:rPr>
        <w:t xml:space="preserve"> </w:t>
      </w:r>
      <w:r>
        <w:rPr>
          <w:sz w:val="12"/>
        </w:rPr>
        <w:t>la</w:t>
      </w:r>
      <w:r>
        <w:rPr>
          <w:spacing w:val="-1"/>
          <w:sz w:val="12"/>
        </w:rPr>
        <w:t xml:space="preserve"> </w:t>
      </w:r>
      <w:r>
        <w:rPr>
          <w:sz w:val="12"/>
        </w:rPr>
        <w:t>Discriminación</w:t>
      </w:r>
      <w:r>
        <w:rPr>
          <w:spacing w:val="-2"/>
          <w:sz w:val="12"/>
        </w:rPr>
        <w:t xml:space="preserve"> </w:t>
      </w:r>
      <w:r>
        <w:rPr>
          <w:sz w:val="12"/>
        </w:rPr>
        <w:t>contra</w:t>
      </w:r>
      <w:r>
        <w:rPr>
          <w:spacing w:val="-1"/>
          <w:sz w:val="12"/>
        </w:rPr>
        <w:t xml:space="preserve"> </w:t>
      </w:r>
      <w:r>
        <w:rPr>
          <w:sz w:val="12"/>
        </w:rPr>
        <w:t>la</w:t>
      </w:r>
      <w:r>
        <w:rPr>
          <w:spacing w:val="-2"/>
          <w:sz w:val="12"/>
        </w:rPr>
        <w:t xml:space="preserve"> </w:t>
      </w:r>
      <w:r>
        <w:rPr>
          <w:sz w:val="12"/>
        </w:rPr>
        <w:t>Mujer,</w:t>
      </w:r>
      <w:r>
        <w:rPr>
          <w:spacing w:val="-1"/>
          <w:sz w:val="12"/>
        </w:rPr>
        <w:t xml:space="preserve"> </w:t>
      </w:r>
      <w:r>
        <w:rPr>
          <w:sz w:val="12"/>
        </w:rPr>
        <w:t>recomendación</w:t>
      </w:r>
      <w:r>
        <w:rPr>
          <w:spacing w:val="-2"/>
          <w:sz w:val="12"/>
        </w:rPr>
        <w:t xml:space="preserve"> </w:t>
      </w:r>
      <w:r>
        <w:rPr>
          <w:sz w:val="12"/>
        </w:rPr>
        <w:t>general</w:t>
      </w:r>
      <w:r>
        <w:rPr>
          <w:spacing w:val="-1"/>
          <w:sz w:val="12"/>
        </w:rPr>
        <w:t xml:space="preserve"> </w:t>
      </w:r>
      <w:r>
        <w:rPr>
          <w:sz w:val="12"/>
        </w:rPr>
        <w:t>núm.</w:t>
      </w:r>
      <w:r>
        <w:rPr>
          <w:spacing w:val="-2"/>
          <w:sz w:val="12"/>
        </w:rPr>
        <w:t xml:space="preserve"> </w:t>
      </w:r>
      <w:r>
        <w:rPr>
          <w:sz w:val="12"/>
        </w:rPr>
        <w:t>28</w:t>
      </w:r>
      <w:r>
        <w:rPr>
          <w:spacing w:val="-1"/>
          <w:sz w:val="12"/>
        </w:rPr>
        <w:t xml:space="preserve"> </w:t>
      </w:r>
      <w:r>
        <w:rPr>
          <w:sz w:val="12"/>
        </w:rPr>
        <w:t>(2010),</w:t>
      </w:r>
      <w:r>
        <w:rPr>
          <w:spacing w:val="-1"/>
          <w:sz w:val="12"/>
        </w:rPr>
        <w:t xml:space="preserve"> </w:t>
      </w:r>
      <w:r>
        <w:rPr>
          <w:sz w:val="12"/>
        </w:rPr>
        <w:t>párr.</w:t>
      </w:r>
      <w:r>
        <w:rPr>
          <w:spacing w:val="-1"/>
          <w:sz w:val="12"/>
        </w:rPr>
        <w:t xml:space="preserve"> </w:t>
      </w:r>
      <w:r>
        <w:rPr>
          <w:spacing w:val="-5"/>
          <w:sz w:val="12"/>
        </w:rPr>
        <w:t>32.</w:t>
      </w:r>
    </w:p>
    <w:p w14:paraId="45EEF03D" w14:textId="77777777" w:rsidR="0014798C" w:rsidRDefault="004E1F0B">
      <w:pPr>
        <w:pStyle w:val="Prrafodelista"/>
        <w:numPr>
          <w:ilvl w:val="0"/>
          <w:numId w:val="51"/>
        </w:numPr>
        <w:tabs>
          <w:tab w:val="left" w:pos="1342"/>
        </w:tabs>
        <w:spacing w:before="98"/>
        <w:ind w:left="1342" w:hanging="235"/>
        <w:rPr>
          <w:sz w:val="12"/>
        </w:rPr>
      </w:pPr>
      <w:r>
        <w:rPr>
          <w:sz w:val="12"/>
        </w:rPr>
        <w:t>Comité</w:t>
      </w:r>
      <w:r>
        <w:rPr>
          <w:spacing w:val="-1"/>
          <w:sz w:val="12"/>
        </w:rPr>
        <w:t xml:space="preserve"> </w:t>
      </w:r>
      <w:r>
        <w:rPr>
          <w:sz w:val="12"/>
        </w:rPr>
        <w:t>de</w:t>
      </w:r>
      <w:r>
        <w:rPr>
          <w:spacing w:val="-1"/>
          <w:sz w:val="12"/>
        </w:rPr>
        <w:t xml:space="preserve"> </w:t>
      </w:r>
      <w:r>
        <w:rPr>
          <w:sz w:val="12"/>
        </w:rPr>
        <w:t>Derechos Económicos, Sociales y</w:t>
      </w:r>
      <w:r>
        <w:rPr>
          <w:spacing w:val="-1"/>
          <w:sz w:val="12"/>
        </w:rPr>
        <w:t xml:space="preserve"> </w:t>
      </w:r>
      <w:r>
        <w:rPr>
          <w:sz w:val="12"/>
        </w:rPr>
        <w:t>Culturales,</w:t>
      </w:r>
      <w:r>
        <w:rPr>
          <w:spacing w:val="1"/>
          <w:sz w:val="12"/>
        </w:rPr>
        <w:t xml:space="preserve"> </w:t>
      </w:r>
      <w:r>
        <w:rPr>
          <w:sz w:val="12"/>
        </w:rPr>
        <w:t>observación</w:t>
      </w:r>
      <w:r>
        <w:rPr>
          <w:spacing w:val="-1"/>
          <w:sz w:val="12"/>
        </w:rPr>
        <w:t xml:space="preserve"> </w:t>
      </w:r>
      <w:r>
        <w:rPr>
          <w:sz w:val="12"/>
        </w:rPr>
        <w:t>general</w:t>
      </w:r>
      <w:r>
        <w:rPr>
          <w:spacing w:val="-1"/>
          <w:sz w:val="12"/>
        </w:rPr>
        <w:t xml:space="preserve"> </w:t>
      </w:r>
      <w:r>
        <w:rPr>
          <w:sz w:val="12"/>
        </w:rPr>
        <w:t>núm. 20</w:t>
      </w:r>
      <w:r>
        <w:rPr>
          <w:spacing w:val="-1"/>
          <w:sz w:val="12"/>
        </w:rPr>
        <w:t xml:space="preserve"> </w:t>
      </w:r>
      <w:r>
        <w:rPr>
          <w:sz w:val="12"/>
        </w:rPr>
        <w:t>(2009),</w:t>
      </w:r>
      <w:r>
        <w:rPr>
          <w:spacing w:val="1"/>
          <w:sz w:val="12"/>
        </w:rPr>
        <w:t xml:space="preserve"> </w:t>
      </w:r>
      <w:r>
        <w:rPr>
          <w:sz w:val="12"/>
        </w:rPr>
        <w:t>párr.</w:t>
      </w:r>
      <w:r>
        <w:rPr>
          <w:spacing w:val="-1"/>
          <w:sz w:val="12"/>
        </w:rPr>
        <w:t xml:space="preserve"> </w:t>
      </w:r>
      <w:r>
        <w:rPr>
          <w:spacing w:val="-5"/>
          <w:sz w:val="12"/>
        </w:rPr>
        <w:t>40.</w:t>
      </w:r>
    </w:p>
    <w:p w14:paraId="7A8328AD" w14:textId="77777777" w:rsidR="0014798C" w:rsidRDefault="0014798C">
      <w:pPr>
        <w:pStyle w:val="Textoindependiente"/>
        <w:rPr>
          <w:sz w:val="18"/>
        </w:rPr>
      </w:pPr>
    </w:p>
    <w:p w14:paraId="14BC70DB" w14:textId="77777777" w:rsidR="0014798C" w:rsidRDefault="0014798C">
      <w:pPr>
        <w:pStyle w:val="Textoindependiente"/>
        <w:rPr>
          <w:sz w:val="18"/>
        </w:rPr>
      </w:pPr>
    </w:p>
    <w:p w14:paraId="1C424CB7" w14:textId="77777777" w:rsidR="0014798C" w:rsidRDefault="0014798C">
      <w:pPr>
        <w:pStyle w:val="Textoindependiente"/>
        <w:spacing w:before="30"/>
        <w:rPr>
          <w:sz w:val="18"/>
        </w:rPr>
      </w:pPr>
    </w:p>
    <w:p w14:paraId="3685C313" w14:textId="77777777" w:rsidR="0014798C" w:rsidRDefault="004E1F0B">
      <w:pPr>
        <w:ind w:left="566"/>
        <w:rPr>
          <w:sz w:val="18"/>
        </w:rPr>
      </w:pPr>
      <w:r>
        <w:rPr>
          <w:spacing w:val="-5"/>
          <w:sz w:val="18"/>
        </w:rPr>
        <w:t>76</w:t>
      </w:r>
    </w:p>
    <w:p w14:paraId="44998B64" w14:textId="77777777" w:rsidR="0014798C" w:rsidRDefault="0014798C">
      <w:pPr>
        <w:rPr>
          <w:sz w:val="18"/>
        </w:rPr>
        <w:sectPr w:rsidR="0014798C" w:rsidSect="00F265E4">
          <w:headerReference w:type="default" r:id="rId165"/>
          <w:pgSz w:w="11900" w:h="16820"/>
          <w:pgMar w:top="340" w:right="0" w:bottom="280" w:left="200" w:header="121" w:footer="0" w:gutter="0"/>
          <w:cols w:space="720"/>
        </w:sectPr>
      </w:pPr>
    </w:p>
    <w:p w14:paraId="51854CD9" w14:textId="77777777" w:rsidR="0014798C" w:rsidRDefault="0014798C">
      <w:pPr>
        <w:pStyle w:val="Textoindependiente"/>
        <w:spacing w:before="51"/>
        <w:rPr>
          <w:sz w:val="14"/>
        </w:rPr>
      </w:pPr>
    </w:p>
    <w:p w14:paraId="01E212A7" w14:textId="77777777" w:rsidR="0014798C" w:rsidRDefault="004E1F0B">
      <w:pPr>
        <w:ind w:left="1111"/>
        <w:rPr>
          <w:sz w:val="14"/>
        </w:rPr>
      </w:pPr>
      <w:r>
        <w:rPr>
          <w:color w:val="00AC59"/>
          <w:sz w:val="14"/>
        </w:rPr>
        <w:t>SEGUNDA</w:t>
      </w:r>
      <w:r>
        <w:rPr>
          <w:color w:val="00AC59"/>
          <w:spacing w:val="-5"/>
          <w:sz w:val="14"/>
        </w:rPr>
        <w:t xml:space="preserve"> </w:t>
      </w:r>
      <w:r>
        <w:rPr>
          <w:color w:val="00AC59"/>
          <w:sz w:val="14"/>
        </w:rPr>
        <w:t>PARTE:</w:t>
      </w:r>
      <w:r>
        <w:rPr>
          <w:color w:val="00AC59"/>
          <w:spacing w:val="-5"/>
          <w:sz w:val="14"/>
        </w:rPr>
        <w:t xml:space="preserve"> </w:t>
      </w:r>
      <w:r>
        <w:rPr>
          <w:color w:val="00AC59"/>
          <w:sz w:val="14"/>
        </w:rPr>
        <w:t>CONTENIDO</w:t>
      </w:r>
      <w:r>
        <w:rPr>
          <w:color w:val="00AC59"/>
          <w:spacing w:val="-4"/>
          <w:sz w:val="14"/>
        </w:rPr>
        <w:t xml:space="preserve"> </w:t>
      </w:r>
      <w:r>
        <w:rPr>
          <w:color w:val="00AC59"/>
          <w:sz w:val="14"/>
        </w:rPr>
        <w:t>DE</w:t>
      </w:r>
      <w:r>
        <w:rPr>
          <w:color w:val="00AC59"/>
          <w:spacing w:val="-5"/>
          <w:sz w:val="14"/>
        </w:rPr>
        <w:t xml:space="preserve"> </w:t>
      </w:r>
      <w:r>
        <w:rPr>
          <w:color w:val="00AC59"/>
          <w:sz w:val="14"/>
        </w:rPr>
        <w:t>LA</w:t>
      </w:r>
      <w:r>
        <w:rPr>
          <w:color w:val="00AC59"/>
          <w:spacing w:val="-4"/>
          <w:sz w:val="14"/>
        </w:rPr>
        <w:t xml:space="preserve"> </w:t>
      </w:r>
      <w:r>
        <w:rPr>
          <w:color w:val="00AC59"/>
          <w:sz w:val="14"/>
        </w:rPr>
        <w:t>LEY</w:t>
      </w:r>
      <w:r>
        <w:rPr>
          <w:color w:val="00AC59"/>
          <w:spacing w:val="-4"/>
          <w:sz w:val="14"/>
        </w:rPr>
        <w:t xml:space="preserve"> </w:t>
      </w:r>
      <w:r>
        <w:rPr>
          <w:color w:val="00AC59"/>
          <w:sz w:val="14"/>
        </w:rPr>
        <w:t>INTEGRAL</w:t>
      </w:r>
      <w:r>
        <w:rPr>
          <w:color w:val="00AC59"/>
          <w:spacing w:val="-5"/>
          <w:sz w:val="14"/>
        </w:rPr>
        <w:t xml:space="preserve"> </w:t>
      </w:r>
      <w:r>
        <w:rPr>
          <w:color w:val="00AC59"/>
          <w:spacing w:val="-2"/>
          <w:sz w:val="14"/>
        </w:rPr>
        <w:t>ANTIDISCRIMINACIÓN</w:t>
      </w:r>
    </w:p>
    <w:p w14:paraId="58F240C5" w14:textId="77777777" w:rsidR="0014798C" w:rsidRDefault="0014798C">
      <w:pPr>
        <w:pStyle w:val="Textoindependiente"/>
      </w:pPr>
    </w:p>
    <w:p w14:paraId="60ABB6EF" w14:textId="77777777" w:rsidR="0014798C" w:rsidRDefault="0014798C">
      <w:pPr>
        <w:pStyle w:val="Textoindependiente"/>
      </w:pPr>
    </w:p>
    <w:p w14:paraId="3695D8D9" w14:textId="77777777" w:rsidR="0014798C" w:rsidRDefault="0014798C">
      <w:pPr>
        <w:pStyle w:val="Textoindependiente"/>
      </w:pPr>
    </w:p>
    <w:p w14:paraId="2DACD77F" w14:textId="77777777" w:rsidR="0014798C" w:rsidRDefault="0014798C">
      <w:pPr>
        <w:pStyle w:val="Textoindependiente"/>
      </w:pPr>
    </w:p>
    <w:p w14:paraId="5AD3F4BB" w14:textId="77777777" w:rsidR="0014798C" w:rsidRDefault="0014798C">
      <w:pPr>
        <w:pStyle w:val="Textoindependiente"/>
        <w:spacing w:before="61"/>
      </w:pPr>
    </w:p>
    <w:p w14:paraId="1060A2B9" w14:textId="77777777" w:rsidR="0014798C" w:rsidRDefault="004E1F0B">
      <w:pPr>
        <w:pStyle w:val="Textoindependiente"/>
        <w:spacing w:line="326" w:lineRule="auto"/>
        <w:ind w:left="1111" w:right="1272"/>
      </w:pPr>
      <w:r>
        <w:t>de compensación a las víctimas puede no tener ningún efecto real en términos de cambiar el enfoque y que los Estados también deberían implementar “reparaciones no pecuniarias con visión de futuro” en su legislación.580</w:t>
      </w:r>
    </w:p>
    <w:p w14:paraId="664F3F30" w14:textId="77777777" w:rsidR="0014798C" w:rsidRDefault="004E1F0B">
      <w:pPr>
        <w:numPr>
          <w:ilvl w:val="1"/>
          <w:numId w:val="3"/>
        </w:numPr>
        <w:tabs>
          <w:tab w:val="left" w:pos="1441"/>
        </w:tabs>
        <w:spacing w:before="277"/>
        <w:ind w:left="1441" w:hanging="341"/>
        <w:rPr>
          <w:color w:val="00AC59"/>
          <w:sz w:val="28"/>
        </w:rPr>
      </w:pPr>
      <w:r>
        <w:rPr>
          <w:color w:val="00AC59"/>
          <w:sz w:val="28"/>
        </w:rPr>
        <w:t>Recursos</w:t>
      </w:r>
      <w:r>
        <w:rPr>
          <w:color w:val="00AC59"/>
          <w:spacing w:val="-2"/>
          <w:sz w:val="28"/>
        </w:rPr>
        <w:t xml:space="preserve"> </w:t>
      </w:r>
      <w:r>
        <w:rPr>
          <w:color w:val="00AC59"/>
          <w:sz w:val="28"/>
        </w:rPr>
        <w:t>en</w:t>
      </w:r>
      <w:r>
        <w:rPr>
          <w:color w:val="00AC59"/>
          <w:spacing w:val="-2"/>
          <w:sz w:val="28"/>
        </w:rPr>
        <w:t xml:space="preserve"> </w:t>
      </w:r>
      <w:r>
        <w:rPr>
          <w:color w:val="00AC59"/>
          <w:sz w:val="28"/>
        </w:rPr>
        <w:t>diferentes</w:t>
      </w:r>
      <w:r>
        <w:rPr>
          <w:color w:val="00AC59"/>
          <w:spacing w:val="-1"/>
          <w:sz w:val="28"/>
        </w:rPr>
        <w:t xml:space="preserve"> </w:t>
      </w:r>
      <w:r>
        <w:rPr>
          <w:color w:val="00AC59"/>
          <w:sz w:val="28"/>
        </w:rPr>
        <w:t>ramas</w:t>
      </w:r>
      <w:r>
        <w:rPr>
          <w:color w:val="00AC59"/>
          <w:spacing w:val="-2"/>
          <w:sz w:val="28"/>
        </w:rPr>
        <w:t xml:space="preserve"> </w:t>
      </w:r>
      <w:r>
        <w:rPr>
          <w:color w:val="00AC59"/>
          <w:sz w:val="28"/>
        </w:rPr>
        <w:t>del</w:t>
      </w:r>
      <w:r>
        <w:rPr>
          <w:color w:val="00AC59"/>
          <w:spacing w:val="-1"/>
          <w:sz w:val="28"/>
        </w:rPr>
        <w:t xml:space="preserve"> </w:t>
      </w:r>
      <w:r>
        <w:rPr>
          <w:color w:val="00AC59"/>
          <w:spacing w:val="-2"/>
          <w:sz w:val="28"/>
        </w:rPr>
        <w:t>derecho</w:t>
      </w:r>
    </w:p>
    <w:p w14:paraId="0938062F" w14:textId="77777777" w:rsidR="0014798C" w:rsidRDefault="0014798C">
      <w:pPr>
        <w:pStyle w:val="Textoindependiente"/>
        <w:spacing w:before="69"/>
      </w:pPr>
    </w:p>
    <w:p w14:paraId="4551E236" w14:textId="77777777" w:rsidR="0014798C" w:rsidRDefault="004E1F0B">
      <w:pPr>
        <w:pStyle w:val="Textoindependiente"/>
        <w:spacing w:line="326" w:lineRule="auto"/>
        <w:ind w:left="1107" w:right="1317" w:firstLine="1"/>
      </w:pPr>
      <w:r>
        <w:rPr>
          <w:noProof/>
        </w:rPr>
        <w:drawing>
          <wp:anchor distT="0" distB="0" distL="0" distR="0" simplePos="0" relativeHeight="251658418" behindDoc="1" locked="0" layoutInCell="1" allowOverlap="1" wp14:anchorId="07E4ECC7" wp14:editId="745C41EA">
            <wp:simplePos x="0" y="0"/>
            <wp:positionH relativeFrom="page">
              <wp:posOffset>826632</wp:posOffset>
            </wp:positionH>
            <wp:positionV relativeFrom="paragraph">
              <wp:posOffset>210958</wp:posOffset>
            </wp:positionV>
            <wp:extent cx="6729867" cy="5068502"/>
            <wp:effectExtent l="0" t="0" r="0" b="0"/>
            <wp:wrapNone/>
            <wp:docPr id="183" name="Image 18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83" name="Image 183"/>
                    <pic:cNvPicPr/>
                  </pic:nvPicPr>
                  <pic:blipFill>
                    <a:blip r:embed="rId166" cstate="print"/>
                    <a:stretch>
                      <a:fillRect/>
                    </a:stretch>
                  </pic:blipFill>
                  <pic:spPr>
                    <a:xfrm>
                      <a:off x="0" y="0"/>
                      <a:ext cx="6729867" cy="5068502"/>
                    </a:xfrm>
                    <a:prstGeom prst="rect">
                      <a:avLst/>
                    </a:prstGeom>
                  </pic:spPr>
                </pic:pic>
              </a:graphicData>
            </a:graphic>
          </wp:anchor>
        </w:drawing>
      </w:r>
      <w:r>
        <w:rPr>
          <w:noProof/>
        </w:rPr>
        <mc:AlternateContent>
          <mc:Choice Requires="wps">
            <w:drawing>
              <wp:anchor distT="0" distB="0" distL="0" distR="0" simplePos="0" relativeHeight="251658279" behindDoc="0" locked="0" layoutInCell="1" allowOverlap="1" wp14:anchorId="1259B3FC" wp14:editId="165A7555">
                <wp:simplePos x="0" y="0"/>
                <wp:positionH relativeFrom="page">
                  <wp:posOffset>7312079</wp:posOffset>
                </wp:positionH>
                <wp:positionV relativeFrom="paragraph">
                  <wp:posOffset>834931</wp:posOffset>
                </wp:positionV>
                <wp:extent cx="85090" cy="287655"/>
                <wp:effectExtent l="0" t="0" r="0" b="0"/>
                <wp:wrapNone/>
                <wp:docPr id="184" name="Textbox 18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85090" cy="287655"/>
                        </a:xfrm>
                        <a:prstGeom prst="rect">
                          <a:avLst/>
                        </a:prstGeom>
                      </wps:spPr>
                      <wps:txbx>
                        <w:txbxContent>
                          <w:p w14:paraId="10816FAD" w14:textId="77777777" w:rsidR="0014798C" w:rsidRDefault="004E1F0B">
                            <w:pPr>
                              <w:spacing w:before="20"/>
                              <w:ind w:left="20"/>
                              <w:rPr>
                                <w:sz w:val="8"/>
                              </w:rPr>
                            </w:pPr>
                            <w:r>
                              <w:rPr>
                                <w:color w:val="FFFFFF"/>
                                <w:spacing w:val="-37"/>
                                <w:sz w:val="8"/>
                              </w:rPr>
                              <w:t>P–I</w:t>
                            </w:r>
                            <w:r>
                              <w:rPr>
                                <w:spacing w:val="-37"/>
                                <w:sz w:val="8"/>
                              </w:rPr>
                              <w:t>S</w:t>
                            </w:r>
                            <w:r>
                              <w:rPr>
                                <w:color w:val="FFFFFF"/>
                                <w:spacing w:val="-37"/>
                                <w:sz w:val="8"/>
                              </w:rPr>
                              <w:t>I</w:t>
                            </w:r>
                            <w:r>
                              <w:rPr>
                                <w:color w:val="FFFFFF"/>
                                <w:spacing w:val="-8"/>
                                <w:sz w:val="8"/>
                              </w:rPr>
                              <w:t xml:space="preserve"> </w:t>
                            </w:r>
                            <w:r>
                              <w:rPr>
                                <w:color w:val="FFFFFF"/>
                                <w:spacing w:val="-20"/>
                                <w:sz w:val="8"/>
                              </w:rPr>
                              <w:t>A</w:t>
                            </w:r>
                            <w:r>
                              <w:rPr>
                                <w:spacing w:val="-20"/>
                                <w:sz w:val="8"/>
                              </w:rPr>
                              <w:t>E</w:t>
                            </w:r>
                            <w:r>
                              <w:rPr>
                                <w:color w:val="FFFFFF"/>
                                <w:spacing w:val="-20"/>
                                <w:sz w:val="8"/>
                              </w:rPr>
                              <w:t>R</w:t>
                            </w:r>
                            <w:r>
                              <w:rPr>
                                <w:spacing w:val="-20"/>
                                <w:sz w:val="8"/>
                              </w:rPr>
                              <w:t>G</w:t>
                            </w:r>
                            <w:r>
                              <w:rPr>
                                <w:color w:val="FFFFFF"/>
                                <w:spacing w:val="-20"/>
                                <w:sz w:val="8"/>
                              </w:rPr>
                              <w:t>T</w:t>
                            </w:r>
                            <w:r>
                              <w:rPr>
                                <w:spacing w:val="-20"/>
                                <w:sz w:val="8"/>
                              </w:rPr>
                              <w:t>U</w:t>
                            </w:r>
                            <w:r>
                              <w:rPr>
                                <w:color w:val="FFFFFF"/>
                                <w:spacing w:val="-20"/>
                                <w:sz w:val="8"/>
                              </w:rPr>
                              <w:t>E</w:t>
                            </w:r>
                            <w:r>
                              <w:rPr>
                                <w:spacing w:val="-20"/>
                                <w:sz w:val="8"/>
                              </w:rPr>
                              <w:t>NDA</w:t>
                            </w:r>
                          </w:p>
                        </w:txbxContent>
                      </wps:txbx>
                      <wps:bodyPr vert="vert270" wrap="square" lIns="0" tIns="0" rIns="0" bIns="0" rtlCol="0">
                        <a:noAutofit/>
                      </wps:bodyPr>
                    </wps:wsp>
                  </a:graphicData>
                </a:graphic>
              </wp:anchor>
            </w:drawing>
          </mc:Choice>
          <mc:Fallback>
            <w:pict>
              <v:shape w14:anchorId="1259B3FC" id="Textbox 184" o:spid="_x0000_s1099" type="#_x0000_t202" style="position:absolute;left:0;text-align:left;margin-left:575.75pt;margin-top:65.75pt;width:6.7pt;height:22.65pt;z-index:251658279;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" filled="f" stroked="f">
                <v:textbox style="layout-flow:vertical;mso-layout-flow-alt:bottom-to-top" inset="0,0,0,0">
                  <w:txbxContent>
                    <w:p w14:paraId="10816FAD" w14:textId="77777777" w:rsidR="0014798C" w:rsidRDefault="004E1F0B">
                      <w:pPr>
                        <w:spacing w:before="20"/>
                        <w:ind w:left="20"/>
                        <w:rPr>
                          <w:sz w:val="8"/>
                        </w:rPr>
                      </w:pPr>
                      <w:r>
                        <w:rPr>
                          <w:color w:val="FFFFFF"/>
                          <w:spacing w:val="-37"/>
                          <w:sz w:val="8"/>
                        </w:rPr>
                        <w:t>P–I</w:t>
                      </w:r>
                      <w:r>
                        <w:rPr>
                          <w:spacing w:val="-37"/>
                          <w:sz w:val="8"/>
                        </w:rPr>
                        <w:t>S</w:t>
                      </w:r>
                      <w:r>
                        <w:rPr>
                          <w:color w:val="FFFFFF"/>
                          <w:spacing w:val="-37"/>
                          <w:sz w:val="8"/>
                        </w:rPr>
                        <w:t>I</w:t>
                      </w:r>
                      <w:r>
                        <w:rPr>
                          <w:color w:val="FFFFFF"/>
                          <w:spacing w:val="-8"/>
                          <w:sz w:val="8"/>
                        </w:rPr>
                        <w:t xml:space="preserve"> </w:t>
                      </w:r>
                      <w:r>
                        <w:rPr>
                          <w:color w:val="FFFFFF"/>
                          <w:spacing w:val="-20"/>
                          <w:sz w:val="8"/>
                        </w:rPr>
                        <w:t>A</w:t>
                      </w:r>
                      <w:r>
                        <w:rPr>
                          <w:spacing w:val="-20"/>
                          <w:sz w:val="8"/>
                        </w:rPr>
                        <w:t>E</w:t>
                      </w:r>
                      <w:r>
                        <w:rPr>
                          <w:color w:val="FFFFFF"/>
                          <w:spacing w:val="-20"/>
                          <w:sz w:val="8"/>
                        </w:rPr>
                        <w:t>R</w:t>
                      </w:r>
                      <w:r>
                        <w:rPr>
                          <w:spacing w:val="-20"/>
                          <w:sz w:val="8"/>
                        </w:rPr>
                        <w:t>G</w:t>
                      </w:r>
                      <w:r>
                        <w:rPr>
                          <w:color w:val="FFFFFF"/>
                          <w:spacing w:val="-20"/>
                          <w:sz w:val="8"/>
                        </w:rPr>
                        <w:t>T</w:t>
                      </w:r>
                      <w:r>
                        <w:rPr>
                          <w:spacing w:val="-20"/>
                          <w:sz w:val="8"/>
                        </w:rPr>
                        <w:t>U</w:t>
                      </w:r>
                      <w:r>
                        <w:rPr>
                          <w:color w:val="FFFFFF"/>
                          <w:spacing w:val="-20"/>
                          <w:sz w:val="8"/>
                        </w:rPr>
                        <w:t>E</w:t>
                      </w:r>
                      <w:r>
                        <w:rPr>
                          <w:spacing w:val="-20"/>
                          <w:sz w:val="8"/>
                        </w:rPr>
                        <w:t>NDA</w:t>
                      </w:r>
                    </w:p>
                  </w:txbxContent>
                </v:textbox>
                <w10:wrap anchorx="page"/>
              </v:shape>
            </w:pict>
          </mc:Fallback>
        </mc:AlternateContent>
      </w:r>
      <w:r>
        <w:t>Históricamente,</w:t>
      </w:r>
      <w:r>
        <w:rPr>
          <w:spacing w:val="16"/>
        </w:rPr>
        <w:t xml:space="preserve"> </w:t>
      </w:r>
      <w:r>
        <w:t>los</w:t>
      </w:r>
      <w:r>
        <w:rPr>
          <w:spacing w:val="13"/>
        </w:rPr>
        <w:t xml:space="preserve"> </w:t>
      </w:r>
      <w:r>
        <w:t>ordenamientos</w:t>
      </w:r>
      <w:r>
        <w:rPr>
          <w:spacing w:val="13"/>
        </w:rPr>
        <w:t xml:space="preserve"> </w:t>
      </w:r>
      <w:r>
        <w:t>jurídicos</w:t>
      </w:r>
      <w:r>
        <w:rPr>
          <w:spacing w:val="13"/>
        </w:rPr>
        <w:t xml:space="preserve"> </w:t>
      </w:r>
      <w:r>
        <w:t>de</w:t>
      </w:r>
      <w:r>
        <w:rPr>
          <w:spacing w:val="13"/>
        </w:rPr>
        <w:t xml:space="preserve"> </w:t>
      </w:r>
      <w:r>
        <w:t>muchas</w:t>
      </w:r>
      <w:r>
        <w:rPr>
          <w:spacing w:val="13"/>
        </w:rPr>
        <w:t xml:space="preserve"> </w:t>
      </w:r>
      <w:r>
        <w:t>jurisdicciones</w:t>
      </w:r>
      <w:r>
        <w:rPr>
          <w:spacing w:val="13"/>
        </w:rPr>
        <w:t xml:space="preserve"> </w:t>
      </w:r>
      <w:r>
        <w:t>incluían</w:t>
      </w:r>
      <w:r>
        <w:rPr>
          <w:spacing w:val="13"/>
        </w:rPr>
        <w:t xml:space="preserve"> </w:t>
      </w:r>
      <w:r>
        <w:t>prohibiciones</w:t>
      </w:r>
      <w:r>
        <w:rPr>
          <w:spacing w:val="13"/>
        </w:rPr>
        <w:t xml:space="preserve"> </w:t>
      </w:r>
      <w:r>
        <w:t>de</w:t>
      </w:r>
      <w:r>
        <w:rPr>
          <w:spacing w:val="13"/>
        </w:rPr>
        <w:t xml:space="preserve"> </w:t>
      </w:r>
      <w:r>
        <w:t>discriminación</w:t>
      </w:r>
      <w:r>
        <w:rPr>
          <w:spacing w:val="15"/>
        </w:rPr>
        <w:t xml:space="preserve"> </w:t>
      </w:r>
      <w:r>
        <w:t>en</w:t>
      </w:r>
      <w:r>
        <w:rPr>
          <w:spacing w:val="13"/>
        </w:rPr>
        <w:t xml:space="preserve"> </w:t>
      </w:r>
      <w:r>
        <w:t>la</w:t>
      </w:r>
      <w:r>
        <w:rPr>
          <w:spacing w:val="13"/>
        </w:rPr>
        <w:t xml:space="preserve"> </w:t>
      </w:r>
      <w:r>
        <w:t>constitución y el derecho penal. A medida que se ha desarrollado la comprensión del campo del derecho antidiscriminatorio, se ha ido reconociendo cada vez más que, para que los Estados garanticen un recurso efectivo –particularmente si han de cumplir con la obligación de asegurar compensación y restitución para los demandantes– se deben prever prohibiciones de discriminación. en</w:t>
      </w:r>
      <w:r>
        <w:rPr>
          <w:spacing w:val="80"/>
        </w:rPr>
        <w:t xml:space="preserve"> </w:t>
      </w:r>
      <w:r>
        <w:t>las ramas del derecho civil o administrativo. Surgen excepciones claras respecto de la violencia discriminatoria y otros actos delictivos motivados por prejuicios, que deberían ser objeto de sanciones penales específicas; Estas áreas del derecho se analizan en la cuarta parte. Los Estados con prohibiciones de discriminación avanzadas y bien desarrolladas elaboradas en el sistema nacional proporcionan</w:t>
      </w:r>
      <w:r>
        <w:rPr>
          <w:spacing w:val="23"/>
        </w:rPr>
        <w:t xml:space="preserve"> </w:t>
      </w:r>
      <w:r>
        <w:t>recursos pertinentes y apropiados en el derecho administrativo,</w:t>
      </w:r>
      <w:r>
        <w:rPr>
          <w:spacing w:val="24"/>
        </w:rPr>
        <w:t xml:space="preserve"> </w:t>
      </w:r>
      <w:r>
        <w:t>civil</w:t>
      </w:r>
      <w:r>
        <w:rPr>
          <w:spacing w:val="23"/>
        </w:rPr>
        <w:t xml:space="preserve"> </w:t>
      </w:r>
      <w:r>
        <w:t>(incluidos ámbitos</w:t>
      </w:r>
      <w:r>
        <w:rPr>
          <w:spacing w:val="40"/>
        </w:rPr>
        <w:t xml:space="preserve"> </w:t>
      </w:r>
      <w:r>
        <w:t>particulares, como el derecho laboral y de medios) y el derecho penal.</w:t>
      </w:r>
    </w:p>
    <w:p w14:paraId="716000BD" w14:textId="77777777" w:rsidR="0014798C" w:rsidRDefault="004E1F0B">
      <w:pPr>
        <w:pStyle w:val="Textoindependiente"/>
        <w:spacing w:before="166" w:line="326" w:lineRule="auto"/>
        <w:ind w:left="1107" w:right="1463" w:hanging="1"/>
      </w:pPr>
      <w:r>
        <w:t>Se ha presentado que el uso de recursos de derecho civil parte de la premisa de que la discriminación es una infracción de los derechos personales y, como tal, los recursos civiles con frecuencia se consideran el marco apropiado para el alivio y la reparación.581 Por el contrario, algunos países han optado por sancionar la discriminación. como delito penal, en un aparente esfuerzo por reflejar el impacto de la discriminación al “afectar no sólo la dignidad de la víctima sino también erosionar el tejido social”. 582 Sin embargo, un estudio comparativo sobre la efectividad de diferentes enfoques para remediar y sancionar en Europa encontraron importantes limitaciones del derecho penal en la práctica.583</w:t>
      </w:r>
    </w:p>
    <w:p w14:paraId="0B094BAC" w14:textId="77777777" w:rsidR="0014798C" w:rsidRDefault="004E1F0B">
      <w:pPr>
        <w:pStyle w:val="Textoindependiente"/>
        <w:spacing w:before="167" w:line="326" w:lineRule="auto"/>
        <w:ind w:left="1107" w:right="1463"/>
      </w:pPr>
      <w:r>
        <w:t>En términos más generales, si bien el Comité para la Eliminación de la Discriminación Racial ha sostenido que las sanciones penales pueden ser importantes para proporcionar un remedio efectivo para ciertas formas de discriminación racial,584 se reconoce cada vez más que el derecho civil y administrativo proporciona los remedios y sanciones más efectivos para las víctimas directas. y discriminación indirecta y falta de realización de ajustes razonables.585 De hecho, el derecho penal proporciona</w:t>
      </w:r>
      <w:r>
        <w:rPr>
          <w:spacing w:val="7"/>
        </w:rPr>
        <w:t xml:space="preserve"> </w:t>
      </w:r>
      <w:r>
        <w:t>un</w:t>
      </w:r>
      <w:r>
        <w:rPr>
          <w:spacing w:val="6"/>
        </w:rPr>
        <w:t xml:space="preserve"> </w:t>
      </w:r>
      <w:r>
        <w:t>medio</w:t>
      </w:r>
      <w:r>
        <w:rPr>
          <w:spacing w:val="6"/>
        </w:rPr>
        <w:t xml:space="preserve"> </w:t>
      </w:r>
      <w:r>
        <w:t>tanto</w:t>
      </w:r>
      <w:r>
        <w:rPr>
          <w:spacing w:val="6"/>
        </w:rPr>
        <w:t xml:space="preserve"> </w:t>
      </w:r>
      <w:r>
        <w:t>inadecuado</w:t>
      </w:r>
      <w:r>
        <w:rPr>
          <w:spacing w:val="7"/>
        </w:rPr>
        <w:t xml:space="preserve"> </w:t>
      </w:r>
      <w:r>
        <w:t>como</w:t>
      </w:r>
      <w:r>
        <w:rPr>
          <w:spacing w:val="6"/>
        </w:rPr>
        <w:t xml:space="preserve"> </w:t>
      </w:r>
      <w:r>
        <w:t>inadecuado</w:t>
      </w:r>
      <w:r>
        <w:rPr>
          <w:spacing w:val="6"/>
        </w:rPr>
        <w:t xml:space="preserve"> </w:t>
      </w:r>
      <w:r>
        <w:t>para</w:t>
      </w:r>
      <w:r>
        <w:rPr>
          <w:spacing w:val="6"/>
        </w:rPr>
        <w:t xml:space="preserve"> </w:t>
      </w:r>
      <w:r>
        <w:t>remediar</w:t>
      </w:r>
      <w:r>
        <w:rPr>
          <w:spacing w:val="7"/>
        </w:rPr>
        <w:t xml:space="preserve"> </w:t>
      </w:r>
      <w:r>
        <w:t>estas</w:t>
      </w:r>
      <w:r>
        <w:rPr>
          <w:spacing w:val="6"/>
        </w:rPr>
        <w:t xml:space="preserve"> </w:t>
      </w:r>
      <w:r>
        <w:t>formas</w:t>
      </w:r>
      <w:r>
        <w:rPr>
          <w:spacing w:val="6"/>
        </w:rPr>
        <w:t xml:space="preserve"> </w:t>
      </w:r>
      <w:r>
        <w:t>de</w:t>
      </w:r>
      <w:r>
        <w:rPr>
          <w:spacing w:val="6"/>
        </w:rPr>
        <w:t xml:space="preserve"> </w:t>
      </w:r>
      <w:r>
        <w:t>discriminación,</w:t>
      </w:r>
      <w:r>
        <w:rPr>
          <w:spacing w:val="9"/>
        </w:rPr>
        <w:t xml:space="preserve"> </w:t>
      </w:r>
      <w:r>
        <w:t>por</w:t>
      </w:r>
      <w:r>
        <w:rPr>
          <w:spacing w:val="6"/>
        </w:rPr>
        <w:t xml:space="preserve"> </w:t>
      </w:r>
      <w:r>
        <w:t>varias</w:t>
      </w:r>
      <w:r>
        <w:rPr>
          <w:spacing w:val="6"/>
        </w:rPr>
        <w:t xml:space="preserve"> </w:t>
      </w:r>
      <w:r>
        <w:rPr>
          <w:spacing w:val="-2"/>
        </w:rPr>
        <w:t>razones:</w:t>
      </w:r>
    </w:p>
    <w:p w14:paraId="7EA8C672" w14:textId="77777777" w:rsidR="0014798C" w:rsidRDefault="0014798C">
      <w:pPr>
        <w:pStyle w:val="Textoindependiente"/>
        <w:spacing w:before="176"/>
      </w:pPr>
    </w:p>
    <w:p w14:paraId="2BD1EFC3" w14:textId="77777777" w:rsidR="0014798C" w:rsidRDefault="004E1F0B">
      <w:pPr>
        <w:pStyle w:val="Prrafodelista"/>
        <w:numPr>
          <w:ilvl w:val="2"/>
          <w:numId w:val="3"/>
        </w:numPr>
        <w:tabs>
          <w:tab w:val="left" w:pos="1219"/>
          <w:tab w:val="left" w:pos="1347"/>
        </w:tabs>
        <w:spacing w:line="326" w:lineRule="auto"/>
        <w:ind w:right="1419" w:hanging="229"/>
        <w:rPr>
          <w:color w:val="00AC59"/>
          <w:sz w:val="16"/>
        </w:rPr>
      </w:pPr>
      <w:r>
        <w:rPr>
          <w:color w:val="00AC59"/>
          <w:sz w:val="16"/>
        </w:rPr>
        <w:t xml:space="preserve">No hay necesidad de intención o motivo malicioso. </w:t>
      </w:r>
      <w:r>
        <w:rPr>
          <w:sz w:val="16"/>
        </w:rPr>
        <w:t>En primer lugar, una conclusión de discriminación no requiere un motivo malicioso o intención de discriminar.586 Como se analiza en la sección IA2(a) de esta parte, la discriminación puede ser</w:t>
      </w:r>
      <w:r>
        <w:rPr>
          <w:spacing w:val="40"/>
          <w:sz w:val="16"/>
        </w:rPr>
        <w:t xml:space="preserve"> </w:t>
      </w:r>
      <w:r>
        <w:rPr>
          <w:sz w:val="16"/>
        </w:rPr>
        <w:t>tanto intencional como no intencional o puede ocurrir debido al mantenimiento de reglas, políticas o procedimientos que –a pesar de perseguir un objetivo legítimo– tienen un impacto desproporcionado en quienes comparten una característica particular (ver sección IA2(b)). El procesamiento penal por discriminación en los casos en que la discriminación sea involuntaria o indirecta será desproporcionada e injustificada.</w:t>
      </w:r>
    </w:p>
    <w:p w14:paraId="2FE7D87E" w14:textId="77777777" w:rsidR="0014798C" w:rsidRDefault="0014798C">
      <w:pPr>
        <w:pStyle w:val="Textoindependiente"/>
        <w:rPr>
          <w:sz w:val="12"/>
        </w:rPr>
      </w:pPr>
    </w:p>
    <w:p w14:paraId="6C692CA4" w14:textId="77777777" w:rsidR="0014798C" w:rsidRDefault="0014798C">
      <w:pPr>
        <w:pStyle w:val="Textoindependiente"/>
        <w:rPr>
          <w:sz w:val="12"/>
        </w:rPr>
      </w:pPr>
    </w:p>
    <w:p w14:paraId="19E28BBD" w14:textId="77777777" w:rsidR="0014798C" w:rsidRDefault="0014798C">
      <w:pPr>
        <w:pStyle w:val="Textoindependiente"/>
        <w:rPr>
          <w:sz w:val="12"/>
        </w:rPr>
      </w:pPr>
    </w:p>
    <w:p w14:paraId="23178464" w14:textId="77777777" w:rsidR="0014798C" w:rsidRDefault="0014798C">
      <w:pPr>
        <w:pStyle w:val="Textoindependiente"/>
        <w:rPr>
          <w:sz w:val="12"/>
        </w:rPr>
      </w:pPr>
    </w:p>
    <w:p w14:paraId="583EA2AE" w14:textId="77777777" w:rsidR="0014798C" w:rsidRDefault="0014798C">
      <w:pPr>
        <w:pStyle w:val="Textoindependiente"/>
        <w:rPr>
          <w:sz w:val="12"/>
        </w:rPr>
      </w:pPr>
    </w:p>
    <w:p w14:paraId="75F3C972" w14:textId="77777777" w:rsidR="0014798C" w:rsidRDefault="0014798C">
      <w:pPr>
        <w:pStyle w:val="Textoindependiente"/>
        <w:rPr>
          <w:sz w:val="12"/>
        </w:rPr>
      </w:pPr>
    </w:p>
    <w:p w14:paraId="24840B42" w14:textId="77777777" w:rsidR="0014798C" w:rsidRDefault="0014798C">
      <w:pPr>
        <w:pStyle w:val="Textoindependiente"/>
        <w:rPr>
          <w:sz w:val="12"/>
        </w:rPr>
      </w:pPr>
    </w:p>
    <w:p w14:paraId="78B0ABBB" w14:textId="77777777" w:rsidR="0014798C" w:rsidRDefault="0014798C">
      <w:pPr>
        <w:pStyle w:val="Textoindependiente"/>
        <w:rPr>
          <w:sz w:val="12"/>
        </w:rPr>
      </w:pPr>
    </w:p>
    <w:p w14:paraId="2CB90D16" w14:textId="77777777" w:rsidR="0014798C" w:rsidRDefault="0014798C">
      <w:pPr>
        <w:pStyle w:val="Textoindependiente"/>
        <w:spacing w:before="24"/>
        <w:rPr>
          <w:sz w:val="12"/>
        </w:rPr>
      </w:pPr>
    </w:p>
    <w:p w14:paraId="5237CB0D" w14:textId="77777777" w:rsidR="0014798C" w:rsidRDefault="004E1F0B">
      <w:pPr>
        <w:pStyle w:val="Prrafodelista"/>
        <w:numPr>
          <w:ilvl w:val="0"/>
          <w:numId w:val="51"/>
        </w:numPr>
        <w:tabs>
          <w:tab w:val="left" w:pos="1353"/>
        </w:tabs>
        <w:ind w:hanging="246"/>
        <w:rPr>
          <w:sz w:val="12"/>
        </w:rPr>
      </w:pPr>
      <w:r>
        <w:rPr>
          <w:w w:val="105"/>
          <w:sz w:val="12"/>
        </w:rPr>
        <w:t>Comité</w:t>
      </w:r>
      <w:r>
        <w:rPr>
          <w:spacing w:val="-1"/>
          <w:w w:val="105"/>
          <w:sz w:val="12"/>
        </w:rPr>
        <w:t xml:space="preserve"> </w:t>
      </w:r>
      <w:r>
        <w:rPr>
          <w:w w:val="105"/>
          <w:sz w:val="12"/>
        </w:rPr>
        <w:t>sobre los</w:t>
      </w:r>
      <w:r>
        <w:rPr>
          <w:spacing w:val="-1"/>
          <w:w w:val="105"/>
          <w:sz w:val="12"/>
        </w:rPr>
        <w:t xml:space="preserve"> </w:t>
      </w:r>
      <w:r>
        <w:rPr>
          <w:w w:val="105"/>
          <w:sz w:val="12"/>
        </w:rPr>
        <w:t>Derechos</w:t>
      </w:r>
      <w:r>
        <w:rPr>
          <w:spacing w:val="-1"/>
          <w:w w:val="105"/>
          <w:sz w:val="12"/>
        </w:rPr>
        <w:t xml:space="preserve"> </w:t>
      </w:r>
      <w:r>
        <w:rPr>
          <w:w w:val="105"/>
          <w:sz w:val="12"/>
        </w:rPr>
        <w:t>de</w:t>
      </w:r>
      <w:r>
        <w:rPr>
          <w:spacing w:val="1"/>
          <w:w w:val="105"/>
          <w:sz w:val="12"/>
        </w:rPr>
        <w:t xml:space="preserve"> </w:t>
      </w:r>
      <w:r>
        <w:rPr>
          <w:w w:val="105"/>
          <w:sz w:val="12"/>
        </w:rPr>
        <w:t>las</w:t>
      </w:r>
      <w:r>
        <w:rPr>
          <w:spacing w:val="-1"/>
          <w:w w:val="105"/>
          <w:sz w:val="12"/>
        </w:rPr>
        <w:t xml:space="preserve"> </w:t>
      </w:r>
      <w:r>
        <w:rPr>
          <w:w w:val="105"/>
          <w:sz w:val="12"/>
        </w:rPr>
        <w:t>Personas</w:t>
      </w:r>
      <w:r>
        <w:rPr>
          <w:spacing w:val="-1"/>
          <w:w w:val="105"/>
          <w:sz w:val="12"/>
        </w:rPr>
        <w:t xml:space="preserve"> </w:t>
      </w:r>
      <w:r>
        <w:rPr>
          <w:w w:val="105"/>
          <w:sz w:val="12"/>
        </w:rPr>
        <w:t>con Discapacidad,</w:t>
      </w:r>
      <w:r>
        <w:rPr>
          <w:spacing w:val="1"/>
          <w:w w:val="105"/>
          <w:sz w:val="12"/>
        </w:rPr>
        <w:t xml:space="preserve"> </w:t>
      </w:r>
      <w:r>
        <w:rPr>
          <w:w w:val="105"/>
          <w:sz w:val="12"/>
        </w:rPr>
        <w:t>observación general</w:t>
      </w:r>
      <w:r>
        <w:rPr>
          <w:spacing w:val="1"/>
          <w:w w:val="105"/>
          <w:sz w:val="12"/>
        </w:rPr>
        <w:t xml:space="preserve"> </w:t>
      </w:r>
      <w:r>
        <w:rPr>
          <w:w w:val="105"/>
          <w:sz w:val="12"/>
        </w:rPr>
        <w:t xml:space="preserve">núm. 6 (2018), párr. </w:t>
      </w:r>
      <w:r>
        <w:rPr>
          <w:spacing w:val="-5"/>
          <w:w w:val="105"/>
          <w:sz w:val="12"/>
        </w:rPr>
        <w:t>22.</w:t>
      </w:r>
    </w:p>
    <w:p w14:paraId="41758531" w14:textId="77777777" w:rsidR="0014798C" w:rsidRDefault="004E1F0B">
      <w:pPr>
        <w:pStyle w:val="Prrafodelista"/>
        <w:numPr>
          <w:ilvl w:val="0"/>
          <w:numId w:val="51"/>
        </w:numPr>
        <w:tabs>
          <w:tab w:val="left" w:pos="1362"/>
          <w:tab w:val="left" w:pos="1366"/>
        </w:tabs>
        <w:spacing w:before="98" w:line="288" w:lineRule="auto"/>
        <w:ind w:left="1366" w:right="1592" w:hanging="259"/>
        <w:rPr>
          <w:sz w:val="13"/>
        </w:rPr>
      </w:pPr>
      <w:r>
        <w:rPr>
          <w:sz w:val="13"/>
        </w:rPr>
        <w:t xml:space="preserve">Como señalaron </w:t>
      </w:r>
      <w:proofErr w:type="spellStart"/>
      <w:r>
        <w:rPr>
          <w:sz w:val="13"/>
        </w:rPr>
        <w:t>Romaniţa</w:t>
      </w:r>
      <w:proofErr w:type="spellEnd"/>
      <w:r>
        <w:rPr>
          <w:sz w:val="13"/>
        </w:rPr>
        <w:t xml:space="preserve"> </w:t>
      </w:r>
      <w:proofErr w:type="spellStart"/>
      <w:r>
        <w:rPr>
          <w:sz w:val="13"/>
        </w:rPr>
        <w:t>Iordache</w:t>
      </w:r>
      <w:proofErr w:type="spellEnd"/>
      <w:r>
        <w:rPr>
          <w:sz w:val="13"/>
        </w:rPr>
        <w:t xml:space="preserve"> e </w:t>
      </w:r>
      <w:proofErr w:type="spellStart"/>
      <w:r>
        <w:rPr>
          <w:sz w:val="13"/>
        </w:rPr>
        <w:t>Iustina</w:t>
      </w:r>
      <w:proofErr w:type="spellEnd"/>
      <w:r>
        <w:rPr>
          <w:sz w:val="13"/>
        </w:rPr>
        <w:t xml:space="preserve"> </w:t>
      </w:r>
      <w:proofErr w:type="spellStart"/>
      <w:r>
        <w:rPr>
          <w:sz w:val="13"/>
        </w:rPr>
        <w:t>Ionescu</w:t>
      </w:r>
      <w:proofErr w:type="spellEnd"/>
      <w:r>
        <w:rPr>
          <w:sz w:val="13"/>
        </w:rPr>
        <w:t>: “Los recursos civiles se centran en las víctimas e incluyen recursos de naturaleza personal</w:t>
      </w:r>
      <w:r>
        <w:rPr>
          <w:spacing w:val="40"/>
          <w:sz w:val="13"/>
        </w:rPr>
        <w:t xml:space="preserve"> </w:t>
      </w:r>
      <w:r>
        <w:rPr>
          <w:sz w:val="13"/>
        </w:rPr>
        <w:t>que benefician a la víctima de la discriminación poniendo fin a la discriminación,</w:t>
      </w:r>
      <w:r>
        <w:rPr>
          <w:spacing w:val="10"/>
          <w:sz w:val="13"/>
        </w:rPr>
        <w:t xml:space="preserve"> </w:t>
      </w:r>
      <w:r>
        <w:rPr>
          <w:sz w:val="13"/>
        </w:rPr>
        <w:t xml:space="preserve">restaurando el </w:t>
      </w:r>
      <w:proofErr w:type="spellStart"/>
      <w:r>
        <w:rPr>
          <w:sz w:val="13"/>
        </w:rPr>
        <w:t>status</w:t>
      </w:r>
      <w:proofErr w:type="spellEnd"/>
      <w:r>
        <w:rPr>
          <w:sz w:val="13"/>
        </w:rPr>
        <w:t xml:space="preserve"> quo antes y garantizando compensación y</w:t>
      </w:r>
      <w:r>
        <w:rPr>
          <w:spacing w:val="80"/>
          <w:sz w:val="13"/>
        </w:rPr>
        <w:t xml:space="preserve"> </w:t>
      </w:r>
      <w:r>
        <w:rPr>
          <w:sz w:val="13"/>
        </w:rPr>
        <w:t>daños por los daños sufridos. así como por futuras pérdidas de ingresos. También podrían incluir el reintegro de la víctima en su puesto anterior a la</w:t>
      </w:r>
      <w:r>
        <w:rPr>
          <w:spacing w:val="40"/>
          <w:sz w:val="13"/>
        </w:rPr>
        <w:t xml:space="preserve"> </w:t>
      </w:r>
      <w:r>
        <w:rPr>
          <w:sz w:val="13"/>
        </w:rPr>
        <w:t xml:space="preserve">discriminación en casos de discriminación en el empleo”. Véase </w:t>
      </w:r>
      <w:proofErr w:type="spellStart"/>
      <w:r>
        <w:rPr>
          <w:sz w:val="13"/>
        </w:rPr>
        <w:t>Romaniţa</w:t>
      </w:r>
      <w:proofErr w:type="spellEnd"/>
      <w:r>
        <w:rPr>
          <w:sz w:val="13"/>
        </w:rPr>
        <w:t xml:space="preserve"> </w:t>
      </w:r>
      <w:proofErr w:type="spellStart"/>
      <w:r>
        <w:rPr>
          <w:sz w:val="13"/>
        </w:rPr>
        <w:t>Iordache</w:t>
      </w:r>
      <w:proofErr w:type="spellEnd"/>
      <w:r>
        <w:rPr>
          <w:sz w:val="13"/>
        </w:rPr>
        <w:t xml:space="preserve"> e </w:t>
      </w:r>
      <w:proofErr w:type="spellStart"/>
      <w:r>
        <w:rPr>
          <w:sz w:val="13"/>
        </w:rPr>
        <w:t>Iustina</w:t>
      </w:r>
      <w:proofErr w:type="spellEnd"/>
      <w:r>
        <w:rPr>
          <w:sz w:val="13"/>
        </w:rPr>
        <w:t xml:space="preserve"> </w:t>
      </w:r>
      <w:proofErr w:type="spellStart"/>
      <w:r>
        <w:rPr>
          <w:sz w:val="13"/>
        </w:rPr>
        <w:t>Ionescu</w:t>
      </w:r>
      <w:proofErr w:type="spellEnd"/>
      <w:r>
        <w:rPr>
          <w:sz w:val="13"/>
        </w:rPr>
        <w:t>, “Discriminación y sus sanciones: remedios</w:t>
      </w:r>
      <w:r>
        <w:rPr>
          <w:spacing w:val="40"/>
          <w:sz w:val="13"/>
        </w:rPr>
        <w:t xml:space="preserve"> </w:t>
      </w:r>
      <w:r>
        <w:rPr>
          <w:sz w:val="13"/>
        </w:rPr>
        <w:t xml:space="preserve">simbólicos versus efectivos en la legislación europea contra la discriminación”, </w:t>
      </w:r>
      <w:proofErr w:type="spellStart"/>
      <w:r>
        <w:rPr>
          <w:sz w:val="13"/>
        </w:rPr>
        <w:t>European</w:t>
      </w:r>
      <w:proofErr w:type="spellEnd"/>
      <w:r>
        <w:rPr>
          <w:sz w:val="13"/>
        </w:rPr>
        <w:t xml:space="preserve"> Anti-</w:t>
      </w:r>
      <w:proofErr w:type="spellStart"/>
      <w:r>
        <w:rPr>
          <w:sz w:val="13"/>
        </w:rPr>
        <w:t>Discrimination</w:t>
      </w:r>
      <w:proofErr w:type="spellEnd"/>
      <w:r>
        <w:rPr>
          <w:sz w:val="13"/>
        </w:rPr>
        <w:t xml:space="preserve"> </w:t>
      </w:r>
      <w:proofErr w:type="spellStart"/>
      <w:r>
        <w:rPr>
          <w:sz w:val="13"/>
        </w:rPr>
        <w:t>Law</w:t>
      </w:r>
      <w:proofErr w:type="spellEnd"/>
      <w:r>
        <w:rPr>
          <w:sz w:val="13"/>
        </w:rPr>
        <w:t xml:space="preserve"> </w:t>
      </w:r>
      <w:proofErr w:type="spellStart"/>
      <w:r>
        <w:rPr>
          <w:sz w:val="13"/>
        </w:rPr>
        <w:t>Review</w:t>
      </w:r>
      <w:proofErr w:type="spellEnd"/>
      <w:r>
        <w:rPr>
          <w:sz w:val="13"/>
        </w:rPr>
        <w:t>, núm. 19 (2014), pág. 13.</w:t>
      </w:r>
    </w:p>
    <w:p w14:paraId="54838FFA" w14:textId="77777777" w:rsidR="0014798C" w:rsidRDefault="0014798C">
      <w:pPr>
        <w:pStyle w:val="Textoindependiente"/>
        <w:spacing w:before="101"/>
        <w:rPr>
          <w:sz w:val="12"/>
        </w:rPr>
      </w:pPr>
    </w:p>
    <w:p w14:paraId="5637483B" w14:textId="77777777" w:rsidR="0014798C" w:rsidRDefault="004E1F0B">
      <w:pPr>
        <w:pStyle w:val="Prrafodelista"/>
        <w:numPr>
          <w:ilvl w:val="0"/>
          <w:numId w:val="51"/>
        </w:numPr>
        <w:tabs>
          <w:tab w:val="left" w:pos="1353"/>
        </w:tabs>
        <w:ind w:hanging="246"/>
        <w:rPr>
          <w:sz w:val="12"/>
        </w:rPr>
      </w:pPr>
      <w:proofErr w:type="spellStart"/>
      <w:r>
        <w:rPr>
          <w:w w:val="105"/>
          <w:sz w:val="12"/>
        </w:rPr>
        <w:t>Iordache</w:t>
      </w:r>
      <w:proofErr w:type="spellEnd"/>
      <w:r>
        <w:rPr>
          <w:spacing w:val="-2"/>
          <w:w w:val="105"/>
          <w:sz w:val="12"/>
        </w:rPr>
        <w:t xml:space="preserve"> </w:t>
      </w:r>
      <w:r>
        <w:rPr>
          <w:w w:val="105"/>
          <w:sz w:val="12"/>
        </w:rPr>
        <w:t xml:space="preserve">e </w:t>
      </w:r>
      <w:proofErr w:type="spellStart"/>
      <w:r>
        <w:rPr>
          <w:w w:val="105"/>
          <w:sz w:val="12"/>
        </w:rPr>
        <w:t>Ionescu</w:t>
      </w:r>
      <w:proofErr w:type="spellEnd"/>
      <w:r>
        <w:rPr>
          <w:w w:val="105"/>
          <w:sz w:val="12"/>
        </w:rPr>
        <w:t>, “La</w:t>
      </w:r>
      <w:r>
        <w:rPr>
          <w:spacing w:val="-1"/>
          <w:w w:val="105"/>
          <w:sz w:val="12"/>
        </w:rPr>
        <w:t xml:space="preserve"> </w:t>
      </w:r>
      <w:r>
        <w:rPr>
          <w:w w:val="105"/>
          <w:sz w:val="12"/>
        </w:rPr>
        <w:t>discriminación y sus</w:t>
      </w:r>
      <w:r>
        <w:rPr>
          <w:spacing w:val="-1"/>
          <w:w w:val="105"/>
          <w:sz w:val="12"/>
        </w:rPr>
        <w:t xml:space="preserve"> </w:t>
      </w:r>
      <w:r>
        <w:rPr>
          <w:w w:val="105"/>
          <w:sz w:val="12"/>
        </w:rPr>
        <w:t>sanciones”, pág. 15. Véase</w:t>
      </w:r>
      <w:r>
        <w:rPr>
          <w:spacing w:val="-2"/>
          <w:w w:val="105"/>
          <w:sz w:val="12"/>
        </w:rPr>
        <w:t xml:space="preserve"> </w:t>
      </w:r>
      <w:r>
        <w:rPr>
          <w:w w:val="105"/>
          <w:sz w:val="12"/>
        </w:rPr>
        <w:t>allí ejemplos</w:t>
      </w:r>
      <w:r>
        <w:rPr>
          <w:spacing w:val="-1"/>
          <w:w w:val="105"/>
          <w:sz w:val="12"/>
        </w:rPr>
        <w:t xml:space="preserve"> </w:t>
      </w:r>
      <w:r>
        <w:rPr>
          <w:w w:val="105"/>
          <w:sz w:val="12"/>
        </w:rPr>
        <w:t>de</w:t>
      </w:r>
      <w:r>
        <w:rPr>
          <w:spacing w:val="-1"/>
          <w:w w:val="105"/>
          <w:sz w:val="12"/>
        </w:rPr>
        <w:t xml:space="preserve"> </w:t>
      </w:r>
      <w:r>
        <w:rPr>
          <w:w w:val="105"/>
          <w:sz w:val="12"/>
        </w:rPr>
        <w:t>dentro</w:t>
      </w:r>
      <w:r>
        <w:rPr>
          <w:spacing w:val="-1"/>
          <w:w w:val="105"/>
          <w:sz w:val="12"/>
        </w:rPr>
        <w:t xml:space="preserve"> </w:t>
      </w:r>
      <w:r>
        <w:rPr>
          <w:w w:val="105"/>
          <w:sz w:val="12"/>
        </w:rPr>
        <w:t>de la Unión</w:t>
      </w:r>
      <w:r>
        <w:rPr>
          <w:spacing w:val="-1"/>
          <w:w w:val="105"/>
          <w:sz w:val="12"/>
        </w:rPr>
        <w:t xml:space="preserve"> </w:t>
      </w:r>
      <w:r>
        <w:rPr>
          <w:spacing w:val="-2"/>
          <w:w w:val="105"/>
          <w:sz w:val="12"/>
        </w:rPr>
        <w:t>Europea.</w:t>
      </w:r>
    </w:p>
    <w:p w14:paraId="21DAD42E" w14:textId="77777777" w:rsidR="0014798C" w:rsidRDefault="004E1F0B">
      <w:pPr>
        <w:pStyle w:val="Prrafodelista"/>
        <w:numPr>
          <w:ilvl w:val="0"/>
          <w:numId w:val="51"/>
        </w:numPr>
        <w:tabs>
          <w:tab w:val="left" w:pos="1353"/>
        </w:tabs>
        <w:spacing w:before="98"/>
        <w:ind w:hanging="246"/>
        <w:rPr>
          <w:sz w:val="12"/>
        </w:rPr>
      </w:pPr>
      <w:proofErr w:type="spellStart"/>
      <w:r>
        <w:rPr>
          <w:w w:val="105"/>
          <w:sz w:val="12"/>
        </w:rPr>
        <w:t>Ibíd</w:t>
      </w:r>
      <w:proofErr w:type="spellEnd"/>
      <w:r>
        <w:rPr>
          <w:w w:val="105"/>
          <w:sz w:val="12"/>
        </w:rPr>
        <w:t>., pág. 17. “El</w:t>
      </w:r>
      <w:r>
        <w:rPr>
          <w:spacing w:val="-1"/>
          <w:w w:val="105"/>
          <w:sz w:val="12"/>
        </w:rPr>
        <w:t xml:space="preserve"> </w:t>
      </w:r>
      <w:r>
        <w:rPr>
          <w:w w:val="105"/>
          <w:sz w:val="12"/>
        </w:rPr>
        <w:t>estudio</w:t>
      </w:r>
      <w:r>
        <w:rPr>
          <w:spacing w:val="-1"/>
          <w:w w:val="105"/>
          <w:sz w:val="12"/>
        </w:rPr>
        <w:t xml:space="preserve"> </w:t>
      </w:r>
      <w:r>
        <w:rPr>
          <w:w w:val="105"/>
          <w:sz w:val="12"/>
        </w:rPr>
        <w:t>comparativo... [encontró] limitaciones de los</w:t>
      </w:r>
      <w:r>
        <w:rPr>
          <w:spacing w:val="-1"/>
          <w:w w:val="105"/>
          <w:sz w:val="12"/>
        </w:rPr>
        <w:t xml:space="preserve"> </w:t>
      </w:r>
      <w:r>
        <w:rPr>
          <w:w w:val="105"/>
          <w:sz w:val="12"/>
        </w:rPr>
        <w:t>mecanismos</w:t>
      </w:r>
      <w:r>
        <w:rPr>
          <w:spacing w:val="-1"/>
          <w:w w:val="105"/>
          <w:sz w:val="12"/>
        </w:rPr>
        <w:t xml:space="preserve"> </w:t>
      </w:r>
      <w:r>
        <w:rPr>
          <w:w w:val="105"/>
          <w:sz w:val="12"/>
        </w:rPr>
        <w:t>punitivos</w:t>
      </w:r>
      <w:r>
        <w:rPr>
          <w:spacing w:val="-1"/>
          <w:w w:val="105"/>
          <w:sz w:val="12"/>
        </w:rPr>
        <w:t xml:space="preserve"> </w:t>
      </w:r>
      <w:r>
        <w:rPr>
          <w:w w:val="105"/>
          <w:sz w:val="12"/>
        </w:rPr>
        <w:t>establecidos: capacidad limitada para iniciar</w:t>
      </w:r>
      <w:r>
        <w:rPr>
          <w:spacing w:val="-1"/>
          <w:w w:val="105"/>
          <w:sz w:val="12"/>
        </w:rPr>
        <w:t xml:space="preserve"> </w:t>
      </w:r>
      <w:r>
        <w:rPr>
          <w:spacing w:val="-5"/>
          <w:w w:val="105"/>
          <w:sz w:val="12"/>
        </w:rPr>
        <w:t>una</w:t>
      </w:r>
    </w:p>
    <w:p w14:paraId="630AACE5" w14:textId="77777777" w:rsidR="0014798C" w:rsidRDefault="004E1F0B">
      <w:pPr>
        <w:spacing w:before="42" w:line="288" w:lineRule="auto"/>
        <w:ind w:left="1366" w:right="1463"/>
        <w:rPr>
          <w:sz w:val="13"/>
        </w:rPr>
      </w:pPr>
      <w:r>
        <w:rPr>
          <w:sz w:val="13"/>
        </w:rPr>
        <w:t>caso penal o administrativo y poderes limitados de las autoridades encargadas de responder a la discriminación. La investigación también muestra que</w:t>
      </w:r>
      <w:r>
        <w:rPr>
          <w:spacing w:val="40"/>
          <w:sz w:val="13"/>
        </w:rPr>
        <w:t xml:space="preserve"> </w:t>
      </w:r>
      <w:r>
        <w:rPr>
          <w:sz w:val="13"/>
        </w:rPr>
        <w:t>los recursos administrativos previstos son a menudo inadecuados o sólo están disponibles para formas particulares de discriminación”.</w:t>
      </w:r>
    </w:p>
    <w:p w14:paraId="2B97B245" w14:textId="77777777" w:rsidR="0014798C" w:rsidRDefault="004E1F0B">
      <w:pPr>
        <w:pStyle w:val="Prrafodelista"/>
        <w:numPr>
          <w:ilvl w:val="0"/>
          <w:numId w:val="51"/>
        </w:numPr>
        <w:tabs>
          <w:tab w:val="left" w:pos="1362"/>
        </w:tabs>
        <w:spacing w:before="57"/>
        <w:ind w:left="1362" w:hanging="255"/>
        <w:rPr>
          <w:sz w:val="13"/>
        </w:rPr>
      </w:pPr>
      <w:r>
        <w:rPr>
          <w:sz w:val="13"/>
        </w:rPr>
        <w:t>Comité</w:t>
      </w:r>
      <w:r>
        <w:rPr>
          <w:spacing w:val="2"/>
          <w:sz w:val="13"/>
        </w:rPr>
        <w:t xml:space="preserve"> </w:t>
      </w:r>
      <w:r>
        <w:rPr>
          <w:sz w:val="13"/>
        </w:rPr>
        <w:t>para</w:t>
      </w:r>
      <w:r>
        <w:rPr>
          <w:spacing w:val="2"/>
          <w:sz w:val="13"/>
        </w:rPr>
        <w:t xml:space="preserve"> </w:t>
      </w:r>
      <w:r>
        <w:rPr>
          <w:sz w:val="13"/>
        </w:rPr>
        <w:t>la</w:t>
      </w:r>
      <w:r>
        <w:rPr>
          <w:spacing w:val="3"/>
          <w:sz w:val="13"/>
        </w:rPr>
        <w:t xml:space="preserve"> </w:t>
      </w:r>
      <w:r>
        <w:rPr>
          <w:sz w:val="13"/>
        </w:rPr>
        <w:t>Eliminación</w:t>
      </w:r>
      <w:r>
        <w:rPr>
          <w:spacing w:val="2"/>
          <w:sz w:val="13"/>
        </w:rPr>
        <w:t xml:space="preserve"> </w:t>
      </w:r>
      <w:r>
        <w:rPr>
          <w:sz w:val="13"/>
        </w:rPr>
        <w:t>de</w:t>
      </w:r>
      <w:r>
        <w:rPr>
          <w:spacing w:val="3"/>
          <w:sz w:val="13"/>
        </w:rPr>
        <w:t xml:space="preserve"> </w:t>
      </w:r>
      <w:r>
        <w:rPr>
          <w:sz w:val="13"/>
        </w:rPr>
        <w:t>la</w:t>
      </w:r>
      <w:r>
        <w:rPr>
          <w:spacing w:val="2"/>
          <w:sz w:val="13"/>
        </w:rPr>
        <w:t xml:space="preserve"> </w:t>
      </w:r>
      <w:r>
        <w:rPr>
          <w:sz w:val="13"/>
        </w:rPr>
        <w:t>Discriminación</w:t>
      </w:r>
      <w:r>
        <w:rPr>
          <w:spacing w:val="3"/>
          <w:sz w:val="13"/>
        </w:rPr>
        <w:t xml:space="preserve"> </w:t>
      </w:r>
      <w:r>
        <w:rPr>
          <w:sz w:val="13"/>
        </w:rPr>
        <w:t>Racial,</w:t>
      </w:r>
      <w:r>
        <w:rPr>
          <w:spacing w:val="3"/>
          <w:sz w:val="13"/>
        </w:rPr>
        <w:t xml:space="preserve"> </w:t>
      </w:r>
      <w:proofErr w:type="spellStart"/>
      <w:r>
        <w:rPr>
          <w:sz w:val="13"/>
        </w:rPr>
        <w:t>Lacko</w:t>
      </w:r>
      <w:proofErr w:type="spellEnd"/>
      <w:r>
        <w:rPr>
          <w:spacing w:val="3"/>
          <w:sz w:val="13"/>
        </w:rPr>
        <w:t xml:space="preserve"> </w:t>
      </w:r>
      <w:r>
        <w:rPr>
          <w:sz w:val="13"/>
        </w:rPr>
        <w:t>c.</w:t>
      </w:r>
      <w:r>
        <w:rPr>
          <w:spacing w:val="2"/>
          <w:sz w:val="13"/>
        </w:rPr>
        <w:t xml:space="preserve"> </w:t>
      </w:r>
      <w:r>
        <w:rPr>
          <w:sz w:val="13"/>
        </w:rPr>
        <w:t>República</w:t>
      </w:r>
      <w:r>
        <w:rPr>
          <w:spacing w:val="3"/>
          <w:sz w:val="13"/>
        </w:rPr>
        <w:t xml:space="preserve"> </w:t>
      </w:r>
      <w:r>
        <w:rPr>
          <w:sz w:val="13"/>
        </w:rPr>
        <w:t>Eslovaca</w:t>
      </w:r>
      <w:r>
        <w:rPr>
          <w:spacing w:val="2"/>
          <w:sz w:val="13"/>
        </w:rPr>
        <w:t xml:space="preserve"> </w:t>
      </w:r>
      <w:r>
        <w:rPr>
          <w:spacing w:val="-2"/>
          <w:sz w:val="13"/>
        </w:rPr>
        <w:t>(CERD/C/59/D/11/1998).</w:t>
      </w:r>
    </w:p>
    <w:p w14:paraId="759EDC2D" w14:textId="77777777" w:rsidR="0014798C" w:rsidRDefault="004E1F0B">
      <w:pPr>
        <w:pStyle w:val="Prrafodelista"/>
        <w:numPr>
          <w:ilvl w:val="0"/>
          <w:numId w:val="51"/>
        </w:numPr>
        <w:tabs>
          <w:tab w:val="left" w:pos="1353"/>
        </w:tabs>
        <w:spacing w:before="88"/>
        <w:ind w:hanging="246"/>
        <w:rPr>
          <w:sz w:val="12"/>
        </w:rPr>
      </w:pPr>
      <w:r>
        <w:rPr>
          <w:w w:val="105"/>
          <w:sz w:val="12"/>
        </w:rPr>
        <w:t>El</w:t>
      </w:r>
      <w:r>
        <w:rPr>
          <w:spacing w:val="-2"/>
          <w:w w:val="105"/>
          <w:sz w:val="12"/>
        </w:rPr>
        <w:t xml:space="preserve"> </w:t>
      </w:r>
      <w:r>
        <w:rPr>
          <w:w w:val="105"/>
          <w:sz w:val="12"/>
        </w:rPr>
        <w:t>enfoque</w:t>
      </w:r>
      <w:r>
        <w:rPr>
          <w:spacing w:val="-1"/>
          <w:w w:val="105"/>
          <w:sz w:val="12"/>
        </w:rPr>
        <w:t xml:space="preserve"> </w:t>
      </w:r>
      <w:r>
        <w:rPr>
          <w:w w:val="105"/>
          <w:sz w:val="12"/>
        </w:rPr>
        <w:t>del</w:t>
      </w:r>
      <w:r>
        <w:rPr>
          <w:spacing w:val="-1"/>
          <w:w w:val="105"/>
          <w:sz w:val="12"/>
        </w:rPr>
        <w:t xml:space="preserve"> </w:t>
      </w:r>
      <w:r>
        <w:rPr>
          <w:w w:val="105"/>
          <w:sz w:val="12"/>
        </w:rPr>
        <w:t>acoso es más</w:t>
      </w:r>
      <w:r>
        <w:rPr>
          <w:spacing w:val="-1"/>
          <w:w w:val="105"/>
          <w:sz w:val="12"/>
        </w:rPr>
        <w:t xml:space="preserve"> </w:t>
      </w:r>
      <w:r>
        <w:rPr>
          <w:w w:val="105"/>
          <w:sz w:val="12"/>
        </w:rPr>
        <w:t>complicado: en algunas</w:t>
      </w:r>
      <w:r>
        <w:rPr>
          <w:spacing w:val="-2"/>
          <w:w w:val="105"/>
          <w:sz w:val="12"/>
        </w:rPr>
        <w:t xml:space="preserve"> </w:t>
      </w:r>
      <w:r>
        <w:rPr>
          <w:w w:val="105"/>
          <w:sz w:val="12"/>
        </w:rPr>
        <w:t>jurisdicciones,</w:t>
      </w:r>
      <w:r>
        <w:rPr>
          <w:spacing w:val="1"/>
          <w:w w:val="105"/>
          <w:sz w:val="12"/>
        </w:rPr>
        <w:t xml:space="preserve"> </w:t>
      </w:r>
      <w:r>
        <w:rPr>
          <w:w w:val="105"/>
          <w:sz w:val="12"/>
        </w:rPr>
        <w:t>el acoso</w:t>
      </w:r>
      <w:r>
        <w:rPr>
          <w:spacing w:val="-1"/>
          <w:w w:val="105"/>
          <w:sz w:val="12"/>
        </w:rPr>
        <w:t xml:space="preserve"> </w:t>
      </w:r>
      <w:r>
        <w:rPr>
          <w:w w:val="105"/>
          <w:sz w:val="12"/>
        </w:rPr>
        <w:t>está</w:t>
      </w:r>
      <w:r>
        <w:rPr>
          <w:spacing w:val="-1"/>
          <w:w w:val="105"/>
          <w:sz w:val="12"/>
        </w:rPr>
        <w:t xml:space="preserve"> </w:t>
      </w:r>
      <w:r>
        <w:rPr>
          <w:w w:val="105"/>
          <w:sz w:val="12"/>
        </w:rPr>
        <w:t>prohibido tanto</w:t>
      </w:r>
      <w:r>
        <w:rPr>
          <w:spacing w:val="-2"/>
          <w:w w:val="105"/>
          <w:sz w:val="12"/>
        </w:rPr>
        <w:t xml:space="preserve"> </w:t>
      </w:r>
      <w:r>
        <w:rPr>
          <w:w w:val="105"/>
          <w:sz w:val="12"/>
        </w:rPr>
        <w:t>en el derecho</w:t>
      </w:r>
      <w:r>
        <w:rPr>
          <w:spacing w:val="-1"/>
          <w:w w:val="105"/>
          <w:sz w:val="12"/>
        </w:rPr>
        <w:t xml:space="preserve"> </w:t>
      </w:r>
      <w:r>
        <w:rPr>
          <w:w w:val="105"/>
          <w:sz w:val="12"/>
        </w:rPr>
        <w:t>civil como en</w:t>
      </w:r>
      <w:r>
        <w:rPr>
          <w:spacing w:val="-1"/>
          <w:w w:val="105"/>
          <w:sz w:val="12"/>
        </w:rPr>
        <w:t xml:space="preserve"> </w:t>
      </w:r>
      <w:r>
        <w:rPr>
          <w:w w:val="105"/>
          <w:sz w:val="12"/>
        </w:rPr>
        <w:t>el penal.</w:t>
      </w:r>
      <w:r>
        <w:rPr>
          <w:spacing w:val="-1"/>
          <w:w w:val="105"/>
          <w:sz w:val="12"/>
        </w:rPr>
        <w:t xml:space="preserve"> </w:t>
      </w:r>
      <w:r>
        <w:rPr>
          <w:spacing w:val="-5"/>
          <w:w w:val="105"/>
          <w:sz w:val="12"/>
        </w:rPr>
        <w:t>En</w:t>
      </w:r>
    </w:p>
    <w:p w14:paraId="6A71A5C1" w14:textId="77777777" w:rsidR="0014798C" w:rsidRDefault="004E1F0B">
      <w:pPr>
        <w:spacing w:before="41"/>
        <w:ind w:left="1366"/>
        <w:rPr>
          <w:sz w:val="13"/>
        </w:rPr>
      </w:pPr>
      <w:r>
        <w:rPr>
          <w:sz w:val="13"/>
        </w:rPr>
        <w:t>En</w:t>
      </w:r>
      <w:r>
        <w:rPr>
          <w:spacing w:val="2"/>
          <w:sz w:val="13"/>
        </w:rPr>
        <w:t xml:space="preserve"> </w:t>
      </w:r>
      <w:r>
        <w:rPr>
          <w:sz w:val="13"/>
        </w:rPr>
        <w:t>el</w:t>
      </w:r>
      <w:r>
        <w:rPr>
          <w:spacing w:val="2"/>
          <w:sz w:val="13"/>
        </w:rPr>
        <w:t xml:space="preserve"> </w:t>
      </w:r>
      <w:r>
        <w:rPr>
          <w:sz w:val="13"/>
        </w:rPr>
        <w:t>Reino</w:t>
      </w:r>
      <w:r>
        <w:rPr>
          <w:spacing w:val="3"/>
          <w:sz w:val="13"/>
        </w:rPr>
        <w:t xml:space="preserve"> </w:t>
      </w:r>
      <w:r>
        <w:rPr>
          <w:sz w:val="13"/>
        </w:rPr>
        <w:t>Unido,</w:t>
      </w:r>
      <w:r>
        <w:rPr>
          <w:spacing w:val="3"/>
          <w:sz w:val="13"/>
        </w:rPr>
        <w:t xml:space="preserve"> </w:t>
      </w:r>
      <w:r>
        <w:rPr>
          <w:sz w:val="13"/>
        </w:rPr>
        <w:t>por</w:t>
      </w:r>
      <w:r>
        <w:rPr>
          <w:spacing w:val="3"/>
          <w:sz w:val="13"/>
        </w:rPr>
        <w:t xml:space="preserve"> </w:t>
      </w:r>
      <w:r>
        <w:rPr>
          <w:sz w:val="13"/>
        </w:rPr>
        <w:t>ejemplo,</w:t>
      </w:r>
      <w:r>
        <w:rPr>
          <w:spacing w:val="3"/>
          <w:sz w:val="13"/>
        </w:rPr>
        <w:t xml:space="preserve"> </w:t>
      </w:r>
      <w:r>
        <w:rPr>
          <w:sz w:val="13"/>
        </w:rPr>
        <w:t>tanto</w:t>
      </w:r>
      <w:r>
        <w:rPr>
          <w:spacing w:val="3"/>
          <w:sz w:val="13"/>
        </w:rPr>
        <w:t xml:space="preserve"> </w:t>
      </w:r>
      <w:r>
        <w:rPr>
          <w:sz w:val="13"/>
        </w:rPr>
        <w:t>la</w:t>
      </w:r>
      <w:r>
        <w:rPr>
          <w:spacing w:val="2"/>
          <w:sz w:val="13"/>
        </w:rPr>
        <w:t xml:space="preserve"> </w:t>
      </w:r>
      <w:r>
        <w:rPr>
          <w:sz w:val="13"/>
        </w:rPr>
        <w:t>Ley</w:t>
      </w:r>
      <w:r>
        <w:rPr>
          <w:spacing w:val="2"/>
          <w:sz w:val="13"/>
        </w:rPr>
        <w:t xml:space="preserve"> </w:t>
      </w:r>
      <w:r>
        <w:rPr>
          <w:sz w:val="13"/>
        </w:rPr>
        <w:t>de</w:t>
      </w:r>
      <w:r>
        <w:rPr>
          <w:spacing w:val="3"/>
          <w:sz w:val="13"/>
        </w:rPr>
        <w:t xml:space="preserve"> </w:t>
      </w:r>
      <w:r>
        <w:rPr>
          <w:sz w:val="13"/>
        </w:rPr>
        <w:t>Igualdad</w:t>
      </w:r>
      <w:r>
        <w:rPr>
          <w:spacing w:val="2"/>
          <w:sz w:val="13"/>
        </w:rPr>
        <w:t xml:space="preserve"> </w:t>
      </w:r>
      <w:r>
        <w:rPr>
          <w:sz w:val="13"/>
        </w:rPr>
        <w:t>de</w:t>
      </w:r>
      <w:r>
        <w:rPr>
          <w:spacing w:val="3"/>
          <w:sz w:val="13"/>
        </w:rPr>
        <w:t xml:space="preserve"> </w:t>
      </w:r>
      <w:r>
        <w:rPr>
          <w:sz w:val="13"/>
        </w:rPr>
        <w:t>2010</w:t>
      </w:r>
      <w:r>
        <w:rPr>
          <w:spacing w:val="2"/>
          <w:sz w:val="13"/>
        </w:rPr>
        <w:t xml:space="preserve"> </w:t>
      </w:r>
      <w:r>
        <w:rPr>
          <w:sz w:val="13"/>
        </w:rPr>
        <w:t>como</w:t>
      </w:r>
      <w:r>
        <w:rPr>
          <w:spacing w:val="3"/>
          <w:sz w:val="13"/>
        </w:rPr>
        <w:t xml:space="preserve"> </w:t>
      </w:r>
      <w:r>
        <w:rPr>
          <w:sz w:val="13"/>
        </w:rPr>
        <w:t>la</w:t>
      </w:r>
      <w:r>
        <w:rPr>
          <w:spacing w:val="2"/>
          <w:sz w:val="13"/>
        </w:rPr>
        <w:t xml:space="preserve"> </w:t>
      </w:r>
      <w:r>
        <w:rPr>
          <w:sz w:val="13"/>
        </w:rPr>
        <w:t>Ley</w:t>
      </w:r>
      <w:r>
        <w:rPr>
          <w:spacing w:val="2"/>
          <w:sz w:val="13"/>
        </w:rPr>
        <w:t xml:space="preserve"> </w:t>
      </w:r>
      <w:r>
        <w:rPr>
          <w:sz w:val="13"/>
        </w:rPr>
        <w:t>de</w:t>
      </w:r>
      <w:r>
        <w:rPr>
          <w:spacing w:val="3"/>
          <w:sz w:val="13"/>
        </w:rPr>
        <w:t xml:space="preserve"> </w:t>
      </w:r>
      <w:r>
        <w:rPr>
          <w:sz w:val="13"/>
        </w:rPr>
        <w:t>Protección</w:t>
      </w:r>
      <w:r>
        <w:rPr>
          <w:spacing w:val="2"/>
          <w:sz w:val="13"/>
        </w:rPr>
        <w:t xml:space="preserve"> </w:t>
      </w:r>
      <w:r>
        <w:rPr>
          <w:sz w:val="13"/>
        </w:rPr>
        <w:t>contra</w:t>
      </w:r>
      <w:r>
        <w:rPr>
          <w:spacing w:val="3"/>
          <w:sz w:val="13"/>
        </w:rPr>
        <w:t xml:space="preserve"> </w:t>
      </w:r>
      <w:r>
        <w:rPr>
          <w:sz w:val="13"/>
        </w:rPr>
        <w:t>el</w:t>
      </w:r>
      <w:r>
        <w:rPr>
          <w:spacing w:val="2"/>
          <w:sz w:val="13"/>
        </w:rPr>
        <w:t xml:space="preserve"> </w:t>
      </w:r>
      <w:r>
        <w:rPr>
          <w:sz w:val="13"/>
        </w:rPr>
        <w:t>Acoso</w:t>
      </w:r>
      <w:r>
        <w:rPr>
          <w:spacing w:val="3"/>
          <w:sz w:val="13"/>
        </w:rPr>
        <w:t xml:space="preserve"> </w:t>
      </w:r>
      <w:r>
        <w:rPr>
          <w:sz w:val="13"/>
        </w:rPr>
        <w:t>de</w:t>
      </w:r>
      <w:r>
        <w:rPr>
          <w:spacing w:val="2"/>
          <w:sz w:val="13"/>
        </w:rPr>
        <w:t xml:space="preserve"> </w:t>
      </w:r>
      <w:r>
        <w:rPr>
          <w:sz w:val="13"/>
        </w:rPr>
        <w:t>1997</w:t>
      </w:r>
      <w:r>
        <w:rPr>
          <w:spacing w:val="2"/>
          <w:sz w:val="13"/>
        </w:rPr>
        <w:t xml:space="preserve"> </w:t>
      </w:r>
      <w:r>
        <w:rPr>
          <w:sz w:val="13"/>
        </w:rPr>
        <w:t>prohíben</w:t>
      </w:r>
      <w:r>
        <w:rPr>
          <w:spacing w:val="3"/>
          <w:sz w:val="13"/>
        </w:rPr>
        <w:t xml:space="preserve"> </w:t>
      </w:r>
      <w:r>
        <w:rPr>
          <w:sz w:val="13"/>
        </w:rPr>
        <w:t>el</w:t>
      </w:r>
      <w:r>
        <w:rPr>
          <w:spacing w:val="2"/>
          <w:sz w:val="13"/>
        </w:rPr>
        <w:t xml:space="preserve"> </w:t>
      </w:r>
      <w:r>
        <w:rPr>
          <w:spacing w:val="-2"/>
          <w:sz w:val="13"/>
        </w:rPr>
        <w:t>acoso.</w:t>
      </w:r>
    </w:p>
    <w:p w14:paraId="24F0BD40" w14:textId="77777777" w:rsidR="0014798C" w:rsidRDefault="004E1F0B">
      <w:pPr>
        <w:spacing w:before="30" w:line="288" w:lineRule="auto"/>
        <w:ind w:left="1366" w:right="1626" w:firstLine="4"/>
        <w:rPr>
          <w:sz w:val="13"/>
        </w:rPr>
      </w:pPr>
      <w:r>
        <w:rPr>
          <w:sz w:val="13"/>
        </w:rPr>
        <w:t>El artículo 26 (1) de la Ley de Igualdad establece: “Una persona (A) acosa a otra (B) si: (a) A participa en una conducta no deseada relacionada con</w:t>
      </w:r>
      <w:r>
        <w:rPr>
          <w:spacing w:val="40"/>
          <w:sz w:val="13"/>
        </w:rPr>
        <w:t xml:space="preserve"> </w:t>
      </w:r>
      <w:r>
        <w:rPr>
          <w:sz w:val="13"/>
        </w:rPr>
        <w:t>una característica protegida relevante, y (b) la conducta tiene el propósito o efecto de – (i) violar la dignidad de B, o (</w:t>
      </w:r>
      <w:proofErr w:type="spellStart"/>
      <w:r>
        <w:rPr>
          <w:sz w:val="13"/>
        </w:rPr>
        <w:t>ii</w:t>
      </w:r>
      <w:proofErr w:type="spellEnd"/>
      <w:r>
        <w:rPr>
          <w:sz w:val="13"/>
        </w:rPr>
        <w:t>) crear un entorno intimidante,</w:t>
      </w:r>
      <w:r>
        <w:rPr>
          <w:spacing w:val="40"/>
          <w:sz w:val="13"/>
        </w:rPr>
        <w:t xml:space="preserve"> </w:t>
      </w:r>
      <w:r>
        <w:rPr>
          <w:sz w:val="13"/>
        </w:rPr>
        <w:t>hostil, degradante, humillante u ofensivo para B”. Si bien la Ley de Protección contra el Acoso no define el acoso, se ha interpretado que cubre las</w:t>
      </w:r>
      <w:r>
        <w:rPr>
          <w:spacing w:val="40"/>
          <w:sz w:val="13"/>
        </w:rPr>
        <w:t xml:space="preserve"> </w:t>
      </w:r>
      <w:r>
        <w:rPr>
          <w:sz w:val="13"/>
        </w:rPr>
        <w:t>mismas formas de daño.</w:t>
      </w:r>
    </w:p>
    <w:p w14:paraId="4298F573" w14:textId="77777777" w:rsidR="0014798C" w:rsidRDefault="004E1F0B">
      <w:pPr>
        <w:pStyle w:val="Prrafodelista"/>
        <w:numPr>
          <w:ilvl w:val="0"/>
          <w:numId w:val="51"/>
        </w:numPr>
        <w:tabs>
          <w:tab w:val="left" w:pos="1352"/>
          <w:tab w:val="left" w:pos="1366"/>
        </w:tabs>
        <w:spacing w:before="59" w:line="312" w:lineRule="auto"/>
        <w:ind w:left="1366" w:right="1839" w:hanging="260"/>
        <w:rPr>
          <w:sz w:val="12"/>
        </w:rPr>
      </w:pPr>
      <w:r>
        <w:rPr>
          <w:sz w:val="12"/>
        </w:rPr>
        <w:t>Véase</w:t>
      </w:r>
      <w:r>
        <w:rPr>
          <w:spacing w:val="16"/>
          <w:sz w:val="12"/>
        </w:rPr>
        <w:t xml:space="preserve"> </w:t>
      </w:r>
      <w:r>
        <w:rPr>
          <w:sz w:val="12"/>
        </w:rPr>
        <w:t>también</w:t>
      </w:r>
      <w:r>
        <w:rPr>
          <w:spacing w:val="16"/>
          <w:sz w:val="12"/>
        </w:rPr>
        <w:t xml:space="preserve"> </w:t>
      </w:r>
      <w:r>
        <w:rPr>
          <w:sz w:val="12"/>
        </w:rPr>
        <w:t>Comité</w:t>
      </w:r>
      <w:r>
        <w:rPr>
          <w:spacing w:val="16"/>
          <w:sz w:val="12"/>
        </w:rPr>
        <w:t xml:space="preserve"> </w:t>
      </w:r>
      <w:r>
        <w:rPr>
          <w:sz w:val="12"/>
        </w:rPr>
        <w:t>sobre</w:t>
      </w:r>
      <w:r>
        <w:rPr>
          <w:spacing w:val="17"/>
          <w:sz w:val="12"/>
        </w:rPr>
        <w:t xml:space="preserve"> </w:t>
      </w:r>
      <w:r>
        <w:rPr>
          <w:sz w:val="12"/>
        </w:rPr>
        <w:t>los</w:t>
      </w:r>
      <w:r>
        <w:rPr>
          <w:spacing w:val="16"/>
          <w:sz w:val="12"/>
        </w:rPr>
        <w:t xml:space="preserve"> </w:t>
      </w:r>
      <w:r>
        <w:rPr>
          <w:sz w:val="12"/>
        </w:rPr>
        <w:t>Derechos</w:t>
      </w:r>
      <w:r>
        <w:rPr>
          <w:spacing w:val="16"/>
          <w:sz w:val="12"/>
        </w:rPr>
        <w:t xml:space="preserve"> </w:t>
      </w:r>
      <w:r>
        <w:rPr>
          <w:sz w:val="12"/>
        </w:rPr>
        <w:t>de</w:t>
      </w:r>
      <w:r>
        <w:rPr>
          <w:spacing w:val="17"/>
          <w:sz w:val="12"/>
        </w:rPr>
        <w:t xml:space="preserve"> </w:t>
      </w:r>
      <w:r>
        <w:rPr>
          <w:sz w:val="12"/>
        </w:rPr>
        <w:t>las</w:t>
      </w:r>
      <w:r>
        <w:rPr>
          <w:spacing w:val="16"/>
          <w:sz w:val="12"/>
        </w:rPr>
        <w:t xml:space="preserve"> </w:t>
      </w:r>
      <w:r>
        <w:rPr>
          <w:sz w:val="12"/>
        </w:rPr>
        <w:t>Personas</w:t>
      </w:r>
      <w:r>
        <w:rPr>
          <w:spacing w:val="16"/>
          <w:sz w:val="12"/>
        </w:rPr>
        <w:t xml:space="preserve"> </w:t>
      </w:r>
      <w:r>
        <w:rPr>
          <w:sz w:val="12"/>
        </w:rPr>
        <w:t>con</w:t>
      </w:r>
      <w:r>
        <w:rPr>
          <w:spacing w:val="17"/>
          <w:sz w:val="12"/>
        </w:rPr>
        <w:t xml:space="preserve"> </w:t>
      </w:r>
      <w:r>
        <w:rPr>
          <w:sz w:val="12"/>
        </w:rPr>
        <w:t>Discapacidad,</w:t>
      </w:r>
      <w:r>
        <w:rPr>
          <w:spacing w:val="19"/>
          <w:sz w:val="12"/>
        </w:rPr>
        <w:t xml:space="preserve"> </w:t>
      </w:r>
      <w:r>
        <w:rPr>
          <w:sz w:val="12"/>
        </w:rPr>
        <w:t>observación</w:t>
      </w:r>
      <w:r>
        <w:rPr>
          <w:spacing w:val="17"/>
          <w:sz w:val="12"/>
        </w:rPr>
        <w:t xml:space="preserve"> </w:t>
      </w:r>
      <w:r>
        <w:rPr>
          <w:sz w:val="12"/>
        </w:rPr>
        <w:t>general</w:t>
      </w:r>
      <w:r>
        <w:rPr>
          <w:spacing w:val="17"/>
          <w:sz w:val="12"/>
        </w:rPr>
        <w:t xml:space="preserve"> </w:t>
      </w:r>
      <w:r>
        <w:rPr>
          <w:sz w:val="12"/>
        </w:rPr>
        <w:t>núm.</w:t>
      </w:r>
      <w:r>
        <w:rPr>
          <w:spacing w:val="17"/>
          <w:sz w:val="12"/>
        </w:rPr>
        <w:t xml:space="preserve"> </w:t>
      </w:r>
      <w:r>
        <w:rPr>
          <w:sz w:val="12"/>
        </w:rPr>
        <w:t>6</w:t>
      </w:r>
      <w:r>
        <w:rPr>
          <w:spacing w:val="17"/>
          <w:sz w:val="12"/>
        </w:rPr>
        <w:t xml:space="preserve"> </w:t>
      </w:r>
      <w:r>
        <w:rPr>
          <w:sz w:val="12"/>
        </w:rPr>
        <w:t>(2018),</w:t>
      </w:r>
      <w:r>
        <w:rPr>
          <w:spacing w:val="17"/>
          <w:sz w:val="12"/>
        </w:rPr>
        <w:t xml:space="preserve"> </w:t>
      </w:r>
      <w:r>
        <w:rPr>
          <w:sz w:val="12"/>
        </w:rPr>
        <w:t>párr.</w:t>
      </w:r>
      <w:r>
        <w:rPr>
          <w:spacing w:val="17"/>
          <w:sz w:val="12"/>
        </w:rPr>
        <w:t xml:space="preserve"> </w:t>
      </w:r>
      <w:r>
        <w:rPr>
          <w:sz w:val="12"/>
        </w:rPr>
        <w:t>18</w:t>
      </w:r>
      <w:r>
        <w:rPr>
          <w:spacing w:val="17"/>
          <w:sz w:val="12"/>
        </w:rPr>
        <w:t xml:space="preserve"> </w:t>
      </w:r>
      <w:r>
        <w:rPr>
          <w:sz w:val="12"/>
        </w:rPr>
        <w:t>(a);</w:t>
      </w:r>
      <w:r>
        <w:rPr>
          <w:spacing w:val="17"/>
          <w:sz w:val="12"/>
        </w:rPr>
        <w:t xml:space="preserve"> </w:t>
      </w:r>
      <w:r>
        <w:rPr>
          <w:sz w:val="12"/>
        </w:rPr>
        <w:t>y</w:t>
      </w:r>
      <w:r>
        <w:rPr>
          <w:spacing w:val="17"/>
          <w:sz w:val="12"/>
        </w:rPr>
        <w:t xml:space="preserve"> </w:t>
      </w:r>
      <w:r>
        <w:rPr>
          <w:sz w:val="12"/>
        </w:rPr>
        <w:t>Comité</w:t>
      </w:r>
      <w:r>
        <w:rPr>
          <w:spacing w:val="16"/>
          <w:sz w:val="12"/>
        </w:rPr>
        <w:t xml:space="preserve"> </w:t>
      </w:r>
      <w:r>
        <w:rPr>
          <w:sz w:val="12"/>
        </w:rPr>
        <w:t>de</w:t>
      </w:r>
      <w:r>
        <w:rPr>
          <w:spacing w:val="17"/>
          <w:sz w:val="12"/>
        </w:rPr>
        <w:t xml:space="preserve"> </w:t>
      </w:r>
      <w:r>
        <w:rPr>
          <w:sz w:val="12"/>
        </w:rPr>
        <w:t>Derechos</w:t>
      </w:r>
      <w:r>
        <w:rPr>
          <w:spacing w:val="40"/>
          <w:sz w:val="12"/>
        </w:rPr>
        <w:t xml:space="preserve"> </w:t>
      </w:r>
      <w:r>
        <w:rPr>
          <w:sz w:val="12"/>
        </w:rPr>
        <w:t>Humanos,</w:t>
      </w:r>
      <w:r>
        <w:rPr>
          <w:spacing w:val="31"/>
          <w:sz w:val="12"/>
        </w:rPr>
        <w:t xml:space="preserve"> </w:t>
      </w:r>
      <w:r>
        <w:rPr>
          <w:sz w:val="12"/>
        </w:rPr>
        <w:t>observación</w:t>
      </w:r>
      <w:r>
        <w:rPr>
          <w:spacing w:val="31"/>
          <w:sz w:val="12"/>
        </w:rPr>
        <w:t xml:space="preserve"> </w:t>
      </w:r>
      <w:r>
        <w:rPr>
          <w:sz w:val="12"/>
        </w:rPr>
        <w:t>general</w:t>
      </w:r>
      <w:r>
        <w:rPr>
          <w:spacing w:val="31"/>
          <w:sz w:val="12"/>
        </w:rPr>
        <w:t xml:space="preserve"> </w:t>
      </w:r>
      <w:r>
        <w:rPr>
          <w:sz w:val="12"/>
        </w:rPr>
        <w:t>núm.</w:t>
      </w:r>
      <w:r>
        <w:rPr>
          <w:spacing w:val="31"/>
          <w:sz w:val="12"/>
        </w:rPr>
        <w:t xml:space="preserve"> </w:t>
      </w:r>
      <w:r>
        <w:rPr>
          <w:sz w:val="12"/>
        </w:rPr>
        <w:t>18</w:t>
      </w:r>
      <w:r>
        <w:rPr>
          <w:spacing w:val="31"/>
          <w:sz w:val="12"/>
        </w:rPr>
        <w:t xml:space="preserve"> </w:t>
      </w:r>
      <w:r>
        <w:rPr>
          <w:sz w:val="12"/>
        </w:rPr>
        <w:t>(1989),</w:t>
      </w:r>
      <w:r>
        <w:rPr>
          <w:spacing w:val="31"/>
          <w:sz w:val="12"/>
        </w:rPr>
        <w:t xml:space="preserve"> </w:t>
      </w:r>
      <w:r>
        <w:rPr>
          <w:sz w:val="12"/>
        </w:rPr>
        <w:t>párr.</w:t>
      </w:r>
      <w:r>
        <w:rPr>
          <w:spacing w:val="31"/>
          <w:sz w:val="12"/>
        </w:rPr>
        <w:t xml:space="preserve"> </w:t>
      </w:r>
      <w:r>
        <w:rPr>
          <w:sz w:val="12"/>
        </w:rPr>
        <w:t>7.</w:t>
      </w:r>
    </w:p>
    <w:p w14:paraId="010D1546" w14:textId="77777777" w:rsidR="0014798C" w:rsidRDefault="0014798C">
      <w:pPr>
        <w:pStyle w:val="Textoindependiente"/>
        <w:rPr>
          <w:sz w:val="19"/>
        </w:rPr>
      </w:pPr>
    </w:p>
    <w:p w14:paraId="6DF5BF65" w14:textId="77777777" w:rsidR="0014798C" w:rsidRDefault="0014798C">
      <w:pPr>
        <w:pStyle w:val="Textoindependiente"/>
        <w:spacing w:before="166"/>
        <w:rPr>
          <w:sz w:val="19"/>
        </w:rPr>
      </w:pPr>
    </w:p>
    <w:p w14:paraId="07BC82E7" w14:textId="77777777" w:rsidR="0014798C" w:rsidRDefault="004E1F0B">
      <w:pPr>
        <w:ind w:right="725"/>
        <w:jc w:val="right"/>
        <w:rPr>
          <w:sz w:val="19"/>
        </w:rPr>
      </w:pPr>
      <w:r>
        <w:rPr>
          <w:spacing w:val="-5"/>
          <w:sz w:val="19"/>
        </w:rPr>
        <w:t>77</w:t>
      </w:r>
    </w:p>
    <w:p w14:paraId="65F684A6" w14:textId="77777777" w:rsidR="0014798C" w:rsidRDefault="0014798C">
      <w:pPr>
        <w:jc w:val="right"/>
        <w:rPr>
          <w:sz w:val="19"/>
        </w:rPr>
        <w:sectPr w:rsidR="0014798C" w:rsidSect="00F265E4">
          <w:pgSz w:w="11900" w:h="16820"/>
          <w:pgMar w:top="340" w:right="0" w:bottom="280" w:left="200" w:header="121" w:footer="0" w:gutter="0"/>
          <w:cols w:space="720"/>
        </w:sectPr>
      </w:pPr>
    </w:p>
    <w:p w14:paraId="3D4BBF01" w14:textId="77777777" w:rsidR="0014798C" w:rsidRDefault="0014798C">
      <w:pPr>
        <w:pStyle w:val="Textoindependiente"/>
        <w:spacing w:before="85"/>
        <w:rPr>
          <w:sz w:val="12"/>
        </w:rPr>
      </w:pPr>
    </w:p>
    <w:p w14:paraId="1DEB5604" w14:textId="77777777" w:rsidR="0014798C" w:rsidRDefault="004E1F0B">
      <w:pPr>
        <w:ind w:left="1111"/>
        <w:rPr>
          <w:sz w:val="12"/>
        </w:rPr>
      </w:pPr>
      <w:r>
        <w:rPr>
          <w:color w:val="00AC59"/>
          <w:sz w:val="12"/>
        </w:rPr>
        <w:t>PROTECCIÓN</w:t>
      </w:r>
      <w:r>
        <w:rPr>
          <w:color w:val="00AC59"/>
          <w:spacing w:val="6"/>
          <w:sz w:val="12"/>
        </w:rPr>
        <w:t xml:space="preserve"> </w:t>
      </w:r>
      <w:r>
        <w:rPr>
          <w:color w:val="00AC59"/>
          <w:sz w:val="12"/>
        </w:rPr>
        <w:t>DE</w:t>
      </w:r>
      <w:r>
        <w:rPr>
          <w:color w:val="00AC59"/>
          <w:spacing w:val="7"/>
          <w:sz w:val="12"/>
        </w:rPr>
        <w:t xml:space="preserve"> </w:t>
      </w:r>
      <w:r>
        <w:rPr>
          <w:color w:val="00AC59"/>
          <w:sz w:val="12"/>
        </w:rPr>
        <w:t>LOS</w:t>
      </w:r>
      <w:r>
        <w:rPr>
          <w:color w:val="00AC59"/>
          <w:spacing w:val="8"/>
          <w:sz w:val="12"/>
        </w:rPr>
        <w:t xml:space="preserve"> </w:t>
      </w:r>
      <w:r>
        <w:rPr>
          <w:color w:val="00AC59"/>
          <w:sz w:val="12"/>
        </w:rPr>
        <w:t>DERECHOS</w:t>
      </w:r>
      <w:r>
        <w:rPr>
          <w:color w:val="00AC59"/>
          <w:spacing w:val="8"/>
          <w:sz w:val="12"/>
        </w:rPr>
        <w:t xml:space="preserve"> </w:t>
      </w:r>
      <w:r>
        <w:rPr>
          <w:color w:val="00AC59"/>
          <w:sz w:val="12"/>
        </w:rPr>
        <w:t>DE</w:t>
      </w:r>
      <w:r>
        <w:rPr>
          <w:color w:val="00AC59"/>
          <w:spacing w:val="6"/>
          <w:sz w:val="12"/>
        </w:rPr>
        <w:t xml:space="preserve"> </w:t>
      </w:r>
      <w:r>
        <w:rPr>
          <w:color w:val="00AC59"/>
          <w:sz w:val="12"/>
        </w:rPr>
        <w:t>LAS</w:t>
      </w:r>
      <w:r>
        <w:rPr>
          <w:color w:val="00AC59"/>
          <w:spacing w:val="7"/>
          <w:sz w:val="12"/>
        </w:rPr>
        <w:t xml:space="preserve"> </w:t>
      </w:r>
      <w:r>
        <w:rPr>
          <w:color w:val="00AC59"/>
          <w:sz w:val="12"/>
        </w:rPr>
        <w:t>MINORÍAS:</w:t>
      </w:r>
      <w:r>
        <w:rPr>
          <w:color w:val="00AC59"/>
          <w:spacing w:val="8"/>
          <w:sz w:val="12"/>
        </w:rPr>
        <w:t xml:space="preserve"> </w:t>
      </w:r>
      <w:r>
        <w:rPr>
          <w:color w:val="00AC59"/>
          <w:sz w:val="12"/>
        </w:rPr>
        <w:t>una</w:t>
      </w:r>
      <w:r>
        <w:rPr>
          <w:color w:val="00AC59"/>
          <w:spacing w:val="7"/>
          <w:sz w:val="12"/>
        </w:rPr>
        <w:t xml:space="preserve"> </w:t>
      </w:r>
      <w:r>
        <w:rPr>
          <w:color w:val="00AC59"/>
          <w:sz w:val="12"/>
        </w:rPr>
        <w:t>guía</w:t>
      </w:r>
      <w:r>
        <w:rPr>
          <w:color w:val="00AC59"/>
          <w:spacing w:val="6"/>
          <w:sz w:val="12"/>
        </w:rPr>
        <w:t xml:space="preserve"> </w:t>
      </w:r>
      <w:r>
        <w:rPr>
          <w:color w:val="00AC59"/>
          <w:sz w:val="12"/>
        </w:rPr>
        <w:t>práctica</w:t>
      </w:r>
      <w:r>
        <w:rPr>
          <w:color w:val="00AC59"/>
          <w:spacing w:val="7"/>
          <w:sz w:val="12"/>
        </w:rPr>
        <w:t xml:space="preserve"> </w:t>
      </w:r>
      <w:r>
        <w:rPr>
          <w:color w:val="00AC59"/>
          <w:sz w:val="12"/>
        </w:rPr>
        <w:t>para</w:t>
      </w:r>
      <w:r>
        <w:rPr>
          <w:color w:val="00AC59"/>
          <w:spacing w:val="8"/>
          <w:sz w:val="12"/>
        </w:rPr>
        <w:t xml:space="preserve"> </w:t>
      </w:r>
      <w:r>
        <w:rPr>
          <w:color w:val="00AC59"/>
          <w:sz w:val="12"/>
        </w:rPr>
        <w:t>desarrollar</w:t>
      </w:r>
      <w:r>
        <w:rPr>
          <w:color w:val="00AC59"/>
          <w:spacing w:val="6"/>
          <w:sz w:val="12"/>
        </w:rPr>
        <w:t xml:space="preserve"> </w:t>
      </w:r>
      <w:r>
        <w:rPr>
          <w:color w:val="00AC59"/>
          <w:sz w:val="12"/>
        </w:rPr>
        <w:t>una</w:t>
      </w:r>
      <w:r>
        <w:rPr>
          <w:color w:val="00AC59"/>
          <w:spacing w:val="7"/>
          <w:sz w:val="12"/>
        </w:rPr>
        <w:t xml:space="preserve"> </w:t>
      </w:r>
      <w:r>
        <w:rPr>
          <w:color w:val="00AC59"/>
          <w:sz w:val="12"/>
        </w:rPr>
        <w:t>legislación</w:t>
      </w:r>
      <w:r>
        <w:rPr>
          <w:color w:val="00AC59"/>
          <w:spacing w:val="8"/>
          <w:sz w:val="12"/>
        </w:rPr>
        <w:t xml:space="preserve"> </w:t>
      </w:r>
      <w:r>
        <w:rPr>
          <w:color w:val="00AC59"/>
          <w:sz w:val="12"/>
        </w:rPr>
        <w:t>integral</w:t>
      </w:r>
      <w:r>
        <w:rPr>
          <w:color w:val="00AC59"/>
          <w:spacing w:val="7"/>
          <w:sz w:val="12"/>
        </w:rPr>
        <w:t xml:space="preserve"> </w:t>
      </w:r>
      <w:r>
        <w:rPr>
          <w:color w:val="00AC59"/>
          <w:sz w:val="12"/>
        </w:rPr>
        <w:t>contra</w:t>
      </w:r>
      <w:r>
        <w:rPr>
          <w:color w:val="00AC59"/>
          <w:spacing w:val="6"/>
          <w:sz w:val="12"/>
        </w:rPr>
        <w:t xml:space="preserve"> </w:t>
      </w:r>
      <w:r>
        <w:rPr>
          <w:color w:val="00AC59"/>
          <w:sz w:val="12"/>
        </w:rPr>
        <w:t>la</w:t>
      </w:r>
      <w:r>
        <w:rPr>
          <w:color w:val="00AC59"/>
          <w:spacing w:val="7"/>
          <w:sz w:val="12"/>
        </w:rPr>
        <w:t xml:space="preserve"> </w:t>
      </w:r>
      <w:r>
        <w:rPr>
          <w:color w:val="00AC59"/>
          <w:spacing w:val="-2"/>
          <w:sz w:val="12"/>
        </w:rPr>
        <w:t>discriminación</w:t>
      </w:r>
    </w:p>
    <w:p w14:paraId="684FAA52" w14:textId="77777777" w:rsidR="0014798C" w:rsidRDefault="0014798C">
      <w:pPr>
        <w:pStyle w:val="Textoindependiente"/>
        <w:rPr>
          <w:sz w:val="14"/>
        </w:rPr>
      </w:pPr>
    </w:p>
    <w:p w14:paraId="534607F2" w14:textId="77777777" w:rsidR="0014798C" w:rsidRDefault="0014798C">
      <w:pPr>
        <w:pStyle w:val="Textoindependiente"/>
        <w:rPr>
          <w:sz w:val="14"/>
        </w:rPr>
      </w:pPr>
    </w:p>
    <w:p w14:paraId="40ABA7EE" w14:textId="77777777" w:rsidR="0014798C" w:rsidRDefault="0014798C">
      <w:pPr>
        <w:pStyle w:val="Textoindependiente"/>
        <w:rPr>
          <w:sz w:val="14"/>
        </w:rPr>
      </w:pPr>
    </w:p>
    <w:p w14:paraId="14562736" w14:textId="77777777" w:rsidR="0014798C" w:rsidRDefault="0014798C">
      <w:pPr>
        <w:pStyle w:val="Textoindependiente"/>
        <w:rPr>
          <w:sz w:val="14"/>
        </w:rPr>
      </w:pPr>
    </w:p>
    <w:p w14:paraId="482AFC9D" w14:textId="77777777" w:rsidR="0014798C" w:rsidRDefault="0014798C">
      <w:pPr>
        <w:pStyle w:val="Textoindependiente"/>
        <w:rPr>
          <w:sz w:val="14"/>
        </w:rPr>
      </w:pPr>
    </w:p>
    <w:p w14:paraId="3429DD24" w14:textId="77777777" w:rsidR="0014798C" w:rsidRDefault="0014798C">
      <w:pPr>
        <w:pStyle w:val="Textoindependiente"/>
        <w:spacing w:before="41"/>
        <w:rPr>
          <w:sz w:val="14"/>
        </w:rPr>
      </w:pPr>
    </w:p>
    <w:p w14:paraId="45157A35" w14:textId="77777777" w:rsidR="0014798C" w:rsidRDefault="004E1F0B">
      <w:pPr>
        <w:pStyle w:val="Prrafodelista"/>
        <w:numPr>
          <w:ilvl w:val="2"/>
          <w:numId w:val="3"/>
        </w:numPr>
        <w:tabs>
          <w:tab w:val="left" w:pos="1209"/>
          <w:tab w:val="left" w:pos="1348"/>
        </w:tabs>
        <w:spacing w:line="372" w:lineRule="auto"/>
        <w:ind w:left="1348" w:right="1224" w:hanging="230"/>
        <w:rPr>
          <w:color w:val="00AC59"/>
          <w:sz w:val="14"/>
        </w:rPr>
      </w:pPr>
      <w:r>
        <w:rPr>
          <w:color w:val="00AC59"/>
          <w:w w:val="105"/>
          <w:sz w:val="14"/>
        </w:rPr>
        <w:t>Estándar</w:t>
      </w:r>
      <w:r>
        <w:rPr>
          <w:color w:val="00AC59"/>
          <w:spacing w:val="-5"/>
          <w:w w:val="105"/>
          <w:sz w:val="14"/>
        </w:rPr>
        <w:t xml:space="preserve"> </w:t>
      </w:r>
      <w:r>
        <w:rPr>
          <w:color w:val="00AC59"/>
          <w:w w:val="105"/>
          <w:sz w:val="14"/>
        </w:rPr>
        <w:t>de</w:t>
      </w:r>
      <w:r>
        <w:rPr>
          <w:color w:val="00AC59"/>
          <w:spacing w:val="-5"/>
          <w:w w:val="105"/>
          <w:sz w:val="14"/>
        </w:rPr>
        <w:t xml:space="preserve"> </w:t>
      </w:r>
      <w:r>
        <w:rPr>
          <w:color w:val="00AC59"/>
          <w:w w:val="105"/>
          <w:sz w:val="14"/>
        </w:rPr>
        <w:t>prueba.</w:t>
      </w:r>
      <w:r>
        <w:rPr>
          <w:color w:val="00AC59"/>
          <w:spacing w:val="-4"/>
          <w:w w:val="105"/>
          <w:sz w:val="14"/>
        </w:rPr>
        <w:t xml:space="preserve"> </w:t>
      </w:r>
      <w:r>
        <w:rPr>
          <w:w w:val="105"/>
          <w:sz w:val="14"/>
        </w:rPr>
        <w:t>En</w:t>
      </w:r>
      <w:r>
        <w:rPr>
          <w:spacing w:val="-5"/>
          <w:w w:val="105"/>
          <w:sz w:val="14"/>
        </w:rPr>
        <w:t xml:space="preserve"> </w:t>
      </w:r>
      <w:r>
        <w:rPr>
          <w:w w:val="105"/>
          <w:sz w:val="14"/>
        </w:rPr>
        <w:t>muchos</w:t>
      </w:r>
      <w:r>
        <w:rPr>
          <w:spacing w:val="-5"/>
          <w:w w:val="105"/>
          <w:sz w:val="14"/>
        </w:rPr>
        <w:t xml:space="preserve"> </w:t>
      </w:r>
      <w:r>
        <w:rPr>
          <w:w w:val="105"/>
          <w:sz w:val="14"/>
        </w:rPr>
        <w:t>sistemas</w:t>
      </w:r>
      <w:r>
        <w:rPr>
          <w:spacing w:val="-5"/>
          <w:w w:val="105"/>
          <w:sz w:val="14"/>
        </w:rPr>
        <w:t xml:space="preserve"> </w:t>
      </w:r>
      <w:r>
        <w:rPr>
          <w:w w:val="105"/>
          <w:sz w:val="14"/>
        </w:rPr>
        <w:t>legales,</w:t>
      </w:r>
      <w:r>
        <w:rPr>
          <w:spacing w:val="-4"/>
          <w:w w:val="105"/>
          <w:sz w:val="14"/>
        </w:rPr>
        <w:t xml:space="preserve"> </w:t>
      </w:r>
      <w:r>
        <w:rPr>
          <w:w w:val="105"/>
          <w:sz w:val="14"/>
        </w:rPr>
        <w:t>el</w:t>
      </w:r>
      <w:r>
        <w:rPr>
          <w:spacing w:val="-5"/>
          <w:w w:val="105"/>
          <w:sz w:val="14"/>
        </w:rPr>
        <w:t xml:space="preserve"> </w:t>
      </w:r>
      <w:r>
        <w:rPr>
          <w:w w:val="105"/>
          <w:sz w:val="14"/>
        </w:rPr>
        <w:t>estándar</w:t>
      </w:r>
      <w:r>
        <w:rPr>
          <w:spacing w:val="-5"/>
          <w:w w:val="105"/>
          <w:sz w:val="14"/>
        </w:rPr>
        <w:t xml:space="preserve"> </w:t>
      </w:r>
      <w:r>
        <w:rPr>
          <w:w w:val="105"/>
          <w:sz w:val="14"/>
        </w:rPr>
        <w:t>de</w:t>
      </w:r>
      <w:r>
        <w:rPr>
          <w:spacing w:val="-5"/>
          <w:w w:val="105"/>
          <w:sz w:val="14"/>
        </w:rPr>
        <w:t xml:space="preserve"> </w:t>
      </w:r>
      <w:r>
        <w:rPr>
          <w:w w:val="105"/>
          <w:sz w:val="14"/>
        </w:rPr>
        <w:t>prueba</w:t>
      </w:r>
      <w:r>
        <w:rPr>
          <w:spacing w:val="-5"/>
          <w:w w:val="105"/>
          <w:sz w:val="14"/>
        </w:rPr>
        <w:t xml:space="preserve"> </w:t>
      </w:r>
      <w:r>
        <w:rPr>
          <w:w w:val="105"/>
          <w:sz w:val="14"/>
        </w:rPr>
        <w:t>penal</w:t>
      </w:r>
      <w:r>
        <w:rPr>
          <w:spacing w:val="-5"/>
          <w:w w:val="105"/>
          <w:sz w:val="14"/>
        </w:rPr>
        <w:t xml:space="preserve"> </w:t>
      </w:r>
      <w:r>
        <w:rPr>
          <w:w w:val="105"/>
          <w:sz w:val="14"/>
        </w:rPr>
        <w:t>implica</w:t>
      </w:r>
      <w:r>
        <w:rPr>
          <w:spacing w:val="-5"/>
          <w:w w:val="105"/>
          <w:sz w:val="14"/>
        </w:rPr>
        <w:t xml:space="preserve"> </w:t>
      </w:r>
      <w:r>
        <w:rPr>
          <w:w w:val="105"/>
          <w:sz w:val="14"/>
        </w:rPr>
        <w:t>probar</w:t>
      </w:r>
      <w:r>
        <w:rPr>
          <w:spacing w:val="-5"/>
          <w:w w:val="105"/>
          <w:sz w:val="14"/>
        </w:rPr>
        <w:t xml:space="preserve"> </w:t>
      </w:r>
      <w:r>
        <w:rPr>
          <w:w w:val="105"/>
          <w:sz w:val="14"/>
        </w:rPr>
        <w:t>los</w:t>
      </w:r>
      <w:r>
        <w:rPr>
          <w:spacing w:val="-5"/>
          <w:w w:val="105"/>
          <w:sz w:val="14"/>
        </w:rPr>
        <w:t xml:space="preserve"> </w:t>
      </w:r>
      <w:r>
        <w:rPr>
          <w:w w:val="105"/>
          <w:sz w:val="14"/>
        </w:rPr>
        <w:t>hechos</w:t>
      </w:r>
      <w:r>
        <w:rPr>
          <w:spacing w:val="-5"/>
          <w:w w:val="105"/>
          <w:sz w:val="14"/>
        </w:rPr>
        <w:t xml:space="preserve"> </w:t>
      </w:r>
      <w:r>
        <w:rPr>
          <w:w w:val="105"/>
          <w:sz w:val="14"/>
        </w:rPr>
        <w:t>más</w:t>
      </w:r>
      <w:r>
        <w:rPr>
          <w:spacing w:val="-5"/>
          <w:w w:val="105"/>
          <w:sz w:val="14"/>
        </w:rPr>
        <w:t xml:space="preserve"> </w:t>
      </w:r>
      <w:r>
        <w:rPr>
          <w:w w:val="105"/>
          <w:sz w:val="14"/>
        </w:rPr>
        <w:t>allá</w:t>
      </w:r>
      <w:r>
        <w:rPr>
          <w:spacing w:val="-5"/>
          <w:w w:val="105"/>
          <w:sz w:val="14"/>
        </w:rPr>
        <w:t xml:space="preserve"> </w:t>
      </w:r>
      <w:r>
        <w:rPr>
          <w:w w:val="105"/>
          <w:sz w:val="14"/>
        </w:rPr>
        <w:t>de</w:t>
      </w:r>
      <w:r>
        <w:rPr>
          <w:spacing w:val="-5"/>
          <w:w w:val="105"/>
          <w:sz w:val="14"/>
        </w:rPr>
        <w:t xml:space="preserve"> </w:t>
      </w:r>
      <w:r>
        <w:rPr>
          <w:w w:val="105"/>
          <w:sz w:val="14"/>
        </w:rPr>
        <w:t>toda</w:t>
      </w:r>
      <w:r>
        <w:rPr>
          <w:spacing w:val="-5"/>
          <w:w w:val="105"/>
          <w:sz w:val="14"/>
        </w:rPr>
        <w:t xml:space="preserve"> </w:t>
      </w:r>
      <w:r>
        <w:rPr>
          <w:w w:val="105"/>
          <w:sz w:val="14"/>
        </w:rPr>
        <w:t>duda</w:t>
      </w:r>
      <w:r>
        <w:rPr>
          <w:spacing w:val="-5"/>
          <w:w w:val="105"/>
          <w:sz w:val="14"/>
        </w:rPr>
        <w:t xml:space="preserve"> </w:t>
      </w:r>
      <w:r>
        <w:rPr>
          <w:w w:val="105"/>
          <w:sz w:val="14"/>
        </w:rPr>
        <w:t>razonable.587 Este estándar de prueba es mucho más alto que el estándar de equilibrio de probabilidades comúnmente utilizado en los procedimientos civiles. Como</w:t>
      </w:r>
      <w:r>
        <w:rPr>
          <w:spacing w:val="-1"/>
          <w:w w:val="105"/>
          <w:sz w:val="14"/>
        </w:rPr>
        <w:t xml:space="preserve"> </w:t>
      </w:r>
      <w:r>
        <w:rPr>
          <w:w w:val="105"/>
          <w:sz w:val="14"/>
        </w:rPr>
        <w:t>se</w:t>
      </w:r>
      <w:r>
        <w:rPr>
          <w:spacing w:val="-1"/>
          <w:w w:val="105"/>
          <w:sz w:val="14"/>
        </w:rPr>
        <w:t xml:space="preserve"> </w:t>
      </w:r>
      <w:r>
        <w:rPr>
          <w:w w:val="105"/>
          <w:sz w:val="14"/>
        </w:rPr>
        <w:t>analiza</w:t>
      </w:r>
      <w:r>
        <w:rPr>
          <w:spacing w:val="-1"/>
          <w:w w:val="105"/>
          <w:sz w:val="14"/>
        </w:rPr>
        <w:t xml:space="preserve"> </w:t>
      </w:r>
      <w:r>
        <w:rPr>
          <w:w w:val="105"/>
          <w:sz w:val="14"/>
        </w:rPr>
        <w:t>en</w:t>
      </w:r>
      <w:r>
        <w:rPr>
          <w:spacing w:val="-1"/>
          <w:w w:val="105"/>
          <w:sz w:val="14"/>
        </w:rPr>
        <w:t xml:space="preserve"> </w:t>
      </w:r>
      <w:r>
        <w:rPr>
          <w:w w:val="105"/>
          <w:sz w:val="14"/>
        </w:rPr>
        <w:t>la</w:t>
      </w:r>
      <w:r>
        <w:rPr>
          <w:spacing w:val="-1"/>
          <w:w w:val="105"/>
          <w:sz w:val="14"/>
        </w:rPr>
        <w:t xml:space="preserve"> </w:t>
      </w:r>
      <w:r>
        <w:rPr>
          <w:w w:val="105"/>
          <w:sz w:val="14"/>
        </w:rPr>
        <w:t>sección</w:t>
      </w:r>
      <w:r>
        <w:rPr>
          <w:spacing w:val="-1"/>
          <w:w w:val="105"/>
          <w:sz w:val="14"/>
        </w:rPr>
        <w:t xml:space="preserve"> </w:t>
      </w:r>
      <w:r>
        <w:rPr>
          <w:w w:val="105"/>
          <w:sz w:val="14"/>
        </w:rPr>
        <w:t>III.B</w:t>
      </w:r>
      <w:r>
        <w:rPr>
          <w:spacing w:val="-1"/>
          <w:w w:val="105"/>
          <w:sz w:val="14"/>
        </w:rPr>
        <w:t xml:space="preserve"> </w:t>
      </w:r>
      <w:r>
        <w:rPr>
          <w:w w:val="105"/>
          <w:sz w:val="14"/>
        </w:rPr>
        <w:t>de</w:t>
      </w:r>
      <w:r>
        <w:rPr>
          <w:spacing w:val="-1"/>
          <w:w w:val="105"/>
          <w:sz w:val="14"/>
        </w:rPr>
        <w:t xml:space="preserve"> </w:t>
      </w:r>
      <w:r>
        <w:rPr>
          <w:w w:val="105"/>
          <w:sz w:val="14"/>
        </w:rPr>
        <w:t>esta</w:t>
      </w:r>
      <w:r>
        <w:rPr>
          <w:spacing w:val="-1"/>
          <w:w w:val="105"/>
          <w:sz w:val="14"/>
        </w:rPr>
        <w:t xml:space="preserve"> </w:t>
      </w:r>
      <w:r>
        <w:rPr>
          <w:w w:val="105"/>
          <w:sz w:val="14"/>
        </w:rPr>
        <w:t>parte,</w:t>
      </w:r>
      <w:r>
        <w:rPr>
          <w:spacing w:val="-1"/>
          <w:w w:val="105"/>
          <w:sz w:val="14"/>
        </w:rPr>
        <w:t xml:space="preserve"> </w:t>
      </w:r>
      <w:r>
        <w:rPr>
          <w:w w:val="105"/>
          <w:sz w:val="14"/>
        </w:rPr>
        <w:t>el</w:t>
      </w:r>
      <w:r>
        <w:rPr>
          <w:spacing w:val="-1"/>
          <w:w w:val="105"/>
          <w:sz w:val="14"/>
        </w:rPr>
        <w:t xml:space="preserve"> </w:t>
      </w:r>
      <w:r>
        <w:rPr>
          <w:w w:val="105"/>
          <w:sz w:val="14"/>
        </w:rPr>
        <w:t>estándar</w:t>
      </w:r>
      <w:r>
        <w:rPr>
          <w:spacing w:val="-1"/>
          <w:w w:val="105"/>
          <w:sz w:val="14"/>
        </w:rPr>
        <w:t xml:space="preserve"> </w:t>
      </w:r>
      <w:r>
        <w:rPr>
          <w:w w:val="105"/>
          <w:sz w:val="14"/>
        </w:rPr>
        <w:t>de</w:t>
      </w:r>
      <w:r>
        <w:rPr>
          <w:spacing w:val="-1"/>
          <w:w w:val="105"/>
          <w:sz w:val="14"/>
        </w:rPr>
        <w:t xml:space="preserve"> </w:t>
      </w:r>
      <w:r>
        <w:rPr>
          <w:w w:val="105"/>
          <w:sz w:val="14"/>
        </w:rPr>
        <w:t>prueba</w:t>
      </w:r>
      <w:r>
        <w:rPr>
          <w:spacing w:val="-1"/>
          <w:w w:val="105"/>
          <w:sz w:val="14"/>
        </w:rPr>
        <w:t xml:space="preserve"> </w:t>
      </w:r>
      <w:r>
        <w:rPr>
          <w:w w:val="105"/>
          <w:sz w:val="14"/>
        </w:rPr>
        <w:t>requerido</w:t>
      </w:r>
      <w:r>
        <w:rPr>
          <w:spacing w:val="-1"/>
          <w:w w:val="105"/>
          <w:sz w:val="14"/>
        </w:rPr>
        <w:t xml:space="preserve"> </w:t>
      </w:r>
      <w:r>
        <w:rPr>
          <w:w w:val="105"/>
          <w:sz w:val="14"/>
        </w:rPr>
        <w:t>por</w:t>
      </w:r>
      <w:r>
        <w:rPr>
          <w:spacing w:val="-1"/>
          <w:w w:val="105"/>
          <w:sz w:val="14"/>
        </w:rPr>
        <w:t xml:space="preserve"> </w:t>
      </w:r>
      <w:r>
        <w:rPr>
          <w:w w:val="105"/>
          <w:sz w:val="14"/>
        </w:rPr>
        <w:t>el</w:t>
      </w:r>
      <w:r>
        <w:rPr>
          <w:spacing w:val="-1"/>
          <w:w w:val="105"/>
          <w:sz w:val="14"/>
        </w:rPr>
        <w:t xml:space="preserve"> </w:t>
      </w:r>
      <w:r>
        <w:rPr>
          <w:w w:val="105"/>
          <w:sz w:val="14"/>
        </w:rPr>
        <w:t>derecho</w:t>
      </w:r>
      <w:r>
        <w:rPr>
          <w:spacing w:val="-1"/>
          <w:w w:val="105"/>
          <w:sz w:val="14"/>
        </w:rPr>
        <w:t xml:space="preserve"> </w:t>
      </w:r>
      <w:r>
        <w:rPr>
          <w:w w:val="105"/>
          <w:sz w:val="14"/>
        </w:rPr>
        <w:t>penal</w:t>
      </w:r>
      <w:r>
        <w:rPr>
          <w:spacing w:val="-1"/>
          <w:w w:val="105"/>
          <w:sz w:val="14"/>
        </w:rPr>
        <w:t xml:space="preserve"> </w:t>
      </w:r>
      <w:r>
        <w:rPr>
          <w:w w:val="105"/>
          <w:sz w:val="14"/>
        </w:rPr>
        <w:t>no</w:t>
      </w:r>
      <w:r>
        <w:rPr>
          <w:spacing w:val="-1"/>
          <w:w w:val="105"/>
          <w:sz w:val="14"/>
        </w:rPr>
        <w:t xml:space="preserve"> </w:t>
      </w:r>
      <w:r>
        <w:rPr>
          <w:w w:val="105"/>
          <w:sz w:val="14"/>
        </w:rPr>
        <w:t>es</w:t>
      </w:r>
      <w:r>
        <w:rPr>
          <w:spacing w:val="-1"/>
          <w:w w:val="105"/>
          <w:sz w:val="14"/>
        </w:rPr>
        <w:t xml:space="preserve"> </w:t>
      </w:r>
      <w:r>
        <w:rPr>
          <w:w w:val="105"/>
          <w:sz w:val="14"/>
        </w:rPr>
        <w:t>apropiado</w:t>
      </w:r>
      <w:r>
        <w:rPr>
          <w:spacing w:val="-1"/>
          <w:w w:val="105"/>
          <w:sz w:val="14"/>
        </w:rPr>
        <w:t xml:space="preserve"> </w:t>
      </w:r>
      <w:r>
        <w:rPr>
          <w:w w:val="105"/>
          <w:sz w:val="14"/>
        </w:rPr>
        <w:t>en</w:t>
      </w:r>
      <w:r>
        <w:rPr>
          <w:spacing w:val="-1"/>
          <w:w w:val="105"/>
          <w:sz w:val="14"/>
        </w:rPr>
        <w:t xml:space="preserve"> </w:t>
      </w:r>
      <w:r>
        <w:rPr>
          <w:w w:val="105"/>
          <w:sz w:val="14"/>
        </w:rPr>
        <w:t>casos</w:t>
      </w:r>
    </w:p>
    <w:p w14:paraId="63FE0BB5" w14:textId="77777777" w:rsidR="0014798C" w:rsidRDefault="004E1F0B">
      <w:pPr>
        <w:spacing w:before="1" w:line="372" w:lineRule="auto"/>
        <w:ind w:left="1347" w:right="1463" w:firstLine="5"/>
        <w:rPr>
          <w:sz w:val="14"/>
        </w:rPr>
      </w:pPr>
      <w:r>
        <w:rPr>
          <w:w w:val="105"/>
          <w:sz w:val="14"/>
        </w:rPr>
        <w:t>de</w:t>
      </w:r>
      <w:r>
        <w:rPr>
          <w:spacing w:val="-5"/>
          <w:w w:val="105"/>
          <w:sz w:val="14"/>
        </w:rPr>
        <w:t xml:space="preserve"> </w:t>
      </w:r>
      <w:r>
        <w:rPr>
          <w:w w:val="105"/>
          <w:sz w:val="14"/>
        </w:rPr>
        <w:t>discriminación,</w:t>
      </w:r>
      <w:r>
        <w:rPr>
          <w:spacing w:val="-4"/>
          <w:w w:val="105"/>
          <w:sz w:val="14"/>
        </w:rPr>
        <w:t xml:space="preserve"> </w:t>
      </w:r>
      <w:r>
        <w:rPr>
          <w:w w:val="105"/>
          <w:sz w:val="14"/>
        </w:rPr>
        <w:t>dada</w:t>
      </w:r>
      <w:r>
        <w:rPr>
          <w:spacing w:val="-5"/>
          <w:w w:val="105"/>
          <w:sz w:val="14"/>
        </w:rPr>
        <w:t xml:space="preserve"> </w:t>
      </w:r>
      <w:r>
        <w:rPr>
          <w:w w:val="105"/>
          <w:sz w:val="14"/>
        </w:rPr>
        <w:t>la</w:t>
      </w:r>
      <w:r>
        <w:rPr>
          <w:spacing w:val="-5"/>
          <w:w w:val="105"/>
          <w:sz w:val="14"/>
        </w:rPr>
        <w:t xml:space="preserve"> </w:t>
      </w:r>
      <w:r>
        <w:rPr>
          <w:w w:val="105"/>
          <w:sz w:val="14"/>
        </w:rPr>
        <w:t>dificultad</w:t>
      </w:r>
      <w:r>
        <w:rPr>
          <w:spacing w:val="-5"/>
          <w:w w:val="105"/>
          <w:sz w:val="14"/>
        </w:rPr>
        <w:t xml:space="preserve"> </w:t>
      </w:r>
      <w:r>
        <w:rPr>
          <w:w w:val="105"/>
          <w:sz w:val="14"/>
        </w:rPr>
        <w:t>para</w:t>
      </w:r>
      <w:r>
        <w:rPr>
          <w:spacing w:val="-5"/>
          <w:w w:val="105"/>
          <w:sz w:val="14"/>
        </w:rPr>
        <w:t xml:space="preserve"> </w:t>
      </w:r>
      <w:r>
        <w:rPr>
          <w:w w:val="105"/>
          <w:sz w:val="14"/>
        </w:rPr>
        <w:t>el</w:t>
      </w:r>
      <w:r>
        <w:rPr>
          <w:spacing w:val="-5"/>
          <w:w w:val="105"/>
          <w:sz w:val="14"/>
        </w:rPr>
        <w:t xml:space="preserve"> </w:t>
      </w:r>
      <w:r>
        <w:rPr>
          <w:w w:val="105"/>
          <w:sz w:val="14"/>
        </w:rPr>
        <w:t>demandante</w:t>
      </w:r>
      <w:r>
        <w:rPr>
          <w:spacing w:val="-5"/>
          <w:w w:val="105"/>
          <w:sz w:val="14"/>
        </w:rPr>
        <w:t xml:space="preserve"> </w:t>
      </w:r>
      <w:r>
        <w:rPr>
          <w:w w:val="105"/>
          <w:sz w:val="14"/>
        </w:rPr>
        <w:t>de</w:t>
      </w:r>
      <w:r>
        <w:rPr>
          <w:spacing w:val="-5"/>
          <w:w w:val="105"/>
          <w:sz w:val="14"/>
        </w:rPr>
        <w:t xml:space="preserve"> </w:t>
      </w:r>
      <w:r>
        <w:rPr>
          <w:w w:val="105"/>
          <w:sz w:val="14"/>
        </w:rPr>
        <w:t>acceder</w:t>
      </w:r>
      <w:r>
        <w:rPr>
          <w:spacing w:val="-5"/>
          <w:w w:val="105"/>
          <w:sz w:val="14"/>
        </w:rPr>
        <w:t xml:space="preserve"> </w:t>
      </w:r>
      <w:r>
        <w:rPr>
          <w:w w:val="105"/>
          <w:sz w:val="14"/>
        </w:rPr>
        <w:t>a</w:t>
      </w:r>
      <w:r>
        <w:rPr>
          <w:spacing w:val="-5"/>
          <w:w w:val="105"/>
          <w:sz w:val="14"/>
        </w:rPr>
        <w:t xml:space="preserve"> </w:t>
      </w:r>
      <w:r>
        <w:rPr>
          <w:w w:val="105"/>
          <w:sz w:val="14"/>
        </w:rPr>
        <w:t>las</w:t>
      </w:r>
      <w:r>
        <w:rPr>
          <w:spacing w:val="-5"/>
          <w:w w:val="105"/>
          <w:sz w:val="14"/>
        </w:rPr>
        <w:t xml:space="preserve"> </w:t>
      </w:r>
      <w:r>
        <w:rPr>
          <w:w w:val="105"/>
          <w:sz w:val="14"/>
        </w:rPr>
        <w:t>pruebas</w:t>
      </w:r>
      <w:r>
        <w:rPr>
          <w:spacing w:val="-5"/>
          <w:w w:val="105"/>
          <w:sz w:val="14"/>
        </w:rPr>
        <w:t xml:space="preserve"> </w:t>
      </w:r>
      <w:r>
        <w:rPr>
          <w:w w:val="105"/>
          <w:sz w:val="14"/>
        </w:rPr>
        <w:t>necesarias</w:t>
      </w:r>
      <w:r>
        <w:rPr>
          <w:spacing w:val="-5"/>
          <w:w w:val="105"/>
          <w:sz w:val="14"/>
        </w:rPr>
        <w:t xml:space="preserve"> </w:t>
      </w:r>
      <w:r>
        <w:rPr>
          <w:w w:val="105"/>
          <w:sz w:val="14"/>
        </w:rPr>
        <w:t>para</w:t>
      </w:r>
      <w:r>
        <w:rPr>
          <w:spacing w:val="-5"/>
          <w:w w:val="105"/>
          <w:sz w:val="14"/>
        </w:rPr>
        <w:t xml:space="preserve"> </w:t>
      </w:r>
      <w:r>
        <w:rPr>
          <w:w w:val="105"/>
          <w:sz w:val="14"/>
        </w:rPr>
        <w:t>cumplir</w:t>
      </w:r>
      <w:r>
        <w:rPr>
          <w:spacing w:val="-5"/>
          <w:w w:val="105"/>
          <w:sz w:val="14"/>
        </w:rPr>
        <w:t xml:space="preserve"> </w:t>
      </w:r>
      <w:r>
        <w:rPr>
          <w:w w:val="105"/>
          <w:sz w:val="14"/>
        </w:rPr>
        <w:t>con</w:t>
      </w:r>
      <w:r>
        <w:rPr>
          <w:spacing w:val="-5"/>
          <w:w w:val="105"/>
          <w:sz w:val="14"/>
        </w:rPr>
        <w:t xml:space="preserve"> </w:t>
      </w:r>
      <w:r>
        <w:rPr>
          <w:w w:val="105"/>
          <w:sz w:val="14"/>
        </w:rPr>
        <w:t>el</w:t>
      </w:r>
      <w:r>
        <w:rPr>
          <w:spacing w:val="-5"/>
          <w:w w:val="105"/>
          <w:sz w:val="14"/>
        </w:rPr>
        <w:t xml:space="preserve"> </w:t>
      </w:r>
      <w:r>
        <w:rPr>
          <w:w w:val="105"/>
          <w:sz w:val="14"/>
        </w:rPr>
        <w:t>estándar</w:t>
      </w:r>
      <w:r>
        <w:rPr>
          <w:spacing w:val="-5"/>
          <w:w w:val="105"/>
          <w:sz w:val="14"/>
        </w:rPr>
        <w:t xml:space="preserve"> </w:t>
      </w:r>
      <w:r>
        <w:rPr>
          <w:w w:val="105"/>
          <w:sz w:val="14"/>
        </w:rPr>
        <w:t>“más</w:t>
      </w:r>
      <w:r>
        <w:rPr>
          <w:spacing w:val="-5"/>
          <w:w w:val="105"/>
          <w:sz w:val="14"/>
        </w:rPr>
        <w:t xml:space="preserve"> </w:t>
      </w:r>
      <w:r>
        <w:rPr>
          <w:w w:val="105"/>
          <w:sz w:val="14"/>
        </w:rPr>
        <w:t>allá</w:t>
      </w:r>
      <w:r>
        <w:rPr>
          <w:spacing w:val="-5"/>
          <w:w w:val="105"/>
          <w:sz w:val="14"/>
        </w:rPr>
        <w:t xml:space="preserve"> </w:t>
      </w:r>
      <w:r>
        <w:rPr>
          <w:w w:val="105"/>
          <w:sz w:val="14"/>
        </w:rPr>
        <w:t>de toda duda razonable”.</w:t>
      </w:r>
    </w:p>
    <w:p w14:paraId="24141165" w14:textId="77777777" w:rsidR="0014798C" w:rsidRDefault="004E1F0B">
      <w:pPr>
        <w:pStyle w:val="Prrafodelista"/>
        <w:numPr>
          <w:ilvl w:val="2"/>
          <w:numId w:val="3"/>
        </w:numPr>
        <w:tabs>
          <w:tab w:val="left" w:pos="1209"/>
          <w:tab w:val="left" w:pos="1348"/>
        </w:tabs>
        <w:spacing w:before="114" w:line="372" w:lineRule="auto"/>
        <w:ind w:left="1348" w:right="1344" w:hanging="230"/>
        <w:rPr>
          <w:color w:val="00AC59"/>
          <w:sz w:val="14"/>
        </w:rPr>
      </w:pPr>
      <w:r>
        <w:rPr>
          <w:color w:val="00AC59"/>
          <w:w w:val="105"/>
          <w:sz w:val="14"/>
        </w:rPr>
        <w:t>Reglas</w:t>
      </w:r>
      <w:r>
        <w:rPr>
          <w:color w:val="00AC59"/>
          <w:spacing w:val="-1"/>
          <w:w w:val="105"/>
          <w:sz w:val="14"/>
        </w:rPr>
        <w:t xml:space="preserve"> </w:t>
      </w:r>
      <w:r>
        <w:rPr>
          <w:color w:val="00AC59"/>
          <w:w w:val="105"/>
          <w:sz w:val="14"/>
        </w:rPr>
        <w:t>de</w:t>
      </w:r>
      <w:r>
        <w:rPr>
          <w:color w:val="00AC59"/>
          <w:spacing w:val="-1"/>
          <w:w w:val="105"/>
          <w:sz w:val="14"/>
        </w:rPr>
        <w:t xml:space="preserve"> </w:t>
      </w:r>
      <w:r>
        <w:rPr>
          <w:color w:val="00AC59"/>
          <w:w w:val="105"/>
          <w:sz w:val="14"/>
        </w:rPr>
        <w:t>prueba</w:t>
      </w:r>
      <w:r>
        <w:rPr>
          <w:color w:val="00AC59"/>
          <w:spacing w:val="-1"/>
          <w:w w:val="105"/>
          <w:sz w:val="14"/>
        </w:rPr>
        <w:t xml:space="preserve"> </w:t>
      </w:r>
      <w:r>
        <w:rPr>
          <w:color w:val="00AC59"/>
          <w:w w:val="105"/>
          <w:sz w:val="14"/>
        </w:rPr>
        <w:t>y</w:t>
      </w:r>
      <w:r>
        <w:rPr>
          <w:color w:val="00AC59"/>
          <w:spacing w:val="-1"/>
          <w:w w:val="105"/>
          <w:sz w:val="14"/>
        </w:rPr>
        <w:t xml:space="preserve"> </w:t>
      </w:r>
      <w:r>
        <w:rPr>
          <w:color w:val="00AC59"/>
          <w:w w:val="105"/>
          <w:sz w:val="14"/>
        </w:rPr>
        <w:t>transferencia</w:t>
      </w:r>
      <w:r>
        <w:rPr>
          <w:color w:val="00AC59"/>
          <w:spacing w:val="-1"/>
          <w:w w:val="105"/>
          <w:sz w:val="14"/>
        </w:rPr>
        <w:t xml:space="preserve"> </w:t>
      </w:r>
      <w:r>
        <w:rPr>
          <w:color w:val="00AC59"/>
          <w:w w:val="105"/>
          <w:sz w:val="14"/>
        </w:rPr>
        <w:t>de</w:t>
      </w:r>
      <w:r>
        <w:rPr>
          <w:color w:val="00AC59"/>
          <w:spacing w:val="-1"/>
          <w:w w:val="105"/>
          <w:sz w:val="14"/>
        </w:rPr>
        <w:t xml:space="preserve"> </w:t>
      </w:r>
      <w:r>
        <w:rPr>
          <w:color w:val="00AC59"/>
          <w:w w:val="105"/>
          <w:sz w:val="14"/>
        </w:rPr>
        <w:t>la</w:t>
      </w:r>
      <w:r>
        <w:rPr>
          <w:color w:val="00AC59"/>
          <w:spacing w:val="-1"/>
          <w:w w:val="105"/>
          <w:sz w:val="14"/>
        </w:rPr>
        <w:t xml:space="preserve"> </w:t>
      </w:r>
      <w:r>
        <w:rPr>
          <w:color w:val="00AC59"/>
          <w:w w:val="105"/>
          <w:sz w:val="14"/>
        </w:rPr>
        <w:t>carga</w:t>
      </w:r>
      <w:r>
        <w:rPr>
          <w:color w:val="00AC59"/>
          <w:spacing w:val="-1"/>
          <w:w w:val="105"/>
          <w:sz w:val="14"/>
        </w:rPr>
        <w:t xml:space="preserve"> </w:t>
      </w:r>
      <w:r>
        <w:rPr>
          <w:color w:val="00AC59"/>
          <w:w w:val="105"/>
          <w:sz w:val="14"/>
        </w:rPr>
        <w:t>de</w:t>
      </w:r>
      <w:r>
        <w:rPr>
          <w:color w:val="00AC59"/>
          <w:spacing w:val="-1"/>
          <w:w w:val="105"/>
          <w:sz w:val="14"/>
        </w:rPr>
        <w:t xml:space="preserve"> </w:t>
      </w:r>
      <w:r>
        <w:rPr>
          <w:color w:val="00AC59"/>
          <w:w w:val="105"/>
          <w:sz w:val="14"/>
        </w:rPr>
        <w:t>la</w:t>
      </w:r>
      <w:r>
        <w:rPr>
          <w:color w:val="00AC59"/>
          <w:spacing w:val="-1"/>
          <w:w w:val="105"/>
          <w:sz w:val="14"/>
        </w:rPr>
        <w:t xml:space="preserve"> </w:t>
      </w:r>
      <w:r>
        <w:rPr>
          <w:color w:val="00AC59"/>
          <w:w w:val="105"/>
          <w:sz w:val="14"/>
        </w:rPr>
        <w:t xml:space="preserve">prueba. </w:t>
      </w:r>
      <w:r>
        <w:rPr>
          <w:w w:val="105"/>
          <w:sz w:val="14"/>
        </w:rPr>
        <w:t>Como</w:t>
      </w:r>
      <w:r>
        <w:rPr>
          <w:spacing w:val="-1"/>
          <w:w w:val="105"/>
          <w:sz w:val="14"/>
        </w:rPr>
        <w:t xml:space="preserve"> </w:t>
      </w:r>
      <w:r>
        <w:rPr>
          <w:w w:val="105"/>
          <w:sz w:val="14"/>
        </w:rPr>
        <w:t>se</w:t>
      </w:r>
      <w:r>
        <w:rPr>
          <w:spacing w:val="-1"/>
          <w:w w:val="105"/>
          <w:sz w:val="14"/>
        </w:rPr>
        <w:t xml:space="preserve"> </w:t>
      </w:r>
      <w:r>
        <w:rPr>
          <w:w w:val="105"/>
          <w:sz w:val="14"/>
        </w:rPr>
        <w:t>analiza</w:t>
      </w:r>
      <w:r>
        <w:rPr>
          <w:spacing w:val="-1"/>
          <w:w w:val="105"/>
          <w:sz w:val="14"/>
        </w:rPr>
        <w:t xml:space="preserve"> </w:t>
      </w:r>
      <w:r>
        <w:rPr>
          <w:w w:val="105"/>
          <w:sz w:val="14"/>
        </w:rPr>
        <w:t>en</w:t>
      </w:r>
      <w:r>
        <w:rPr>
          <w:spacing w:val="-1"/>
          <w:w w:val="105"/>
          <w:sz w:val="14"/>
        </w:rPr>
        <w:t xml:space="preserve"> </w:t>
      </w:r>
      <w:r>
        <w:rPr>
          <w:w w:val="105"/>
          <w:sz w:val="14"/>
        </w:rPr>
        <w:t>detalle</w:t>
      </w:r>
      <w:r>
        <w:rPr>
          <w:spacing w:val="-1"/>
          <w:w w:val="105"/>
          <w:sz w:val="14"/>
        </w:rPr>
        <w:t xml:space="preserve"> </w:t>
      </w:r>
      <w:r>
        <w:rPr>
          <w:w w:val="105"/>
          <w:sz w:val="14"/>
        </w:rPr>
        <w:t>en</w:t>
      </w:r>
      <w:r>
        <w:rPr>
          <w:spacing w:val="-1"/>
          <w:w w:val="105"/>
          <w:sz w:val="14"/>
        </w:rPr>
        <w:t xml:space="preserve"> </w:t>
      </w:r>
      <w:r>
        <w:rPr>
          <w:w w:val="105"/>
          <w:sz w:val="14"/>
        </w:rPr>
        <w:t>la</w:t>
      </w:r>
      <w:r>
        <w:rPr>
          <w:spacing w:val="-1"/>
          <w:w w:val="105"/>
          <w:sz w:val="14"/>
        </w:rPr>
        <w:t xml:space="preserve"> </w:t>
      </w:r>
      <w:r>
        <w:rPr>
          <w:w w:val="105"/>
          <w:sz w:val="14"/>
        </w:rPr>
        <w:t>sección</w:t>
      </w:r>
      <w:r>
        <w:rPr>
          <w:spacing w:val="-1"/>
          <w:w w:val="105"/>
          <w:sz w:val="14"/>
        </w:rPr>
        <w:t xml:space="preserve"> </w:t>
      </w:r>
      <w:r>
        <w:rPr>
          <w:w w:val="105"/>
          <w:sz w:val="14"/>
        </w:rPr>
        <w:t>III.B.1</w:t>
      </w:r>
      <w:r>
        <w:rPr>
          <w:spacing w:val="-2"/>
          <w:w w:val="105"/>
          <w:sz w:val="14"/>
        </w:rPr>
        <w:t xml:space="preserve"> </w:t>
      </w:r>
      <w:r>
        <w:rPr>
          <w:w w:val="105"/>
          <w:sz w:val="14"/>
        </w:rPr>
        <w:t>de</w:t>
      </w:r>
      <w:r>
        <w:rPr>
          <w:spacing w:val="-1"/>
          <w:w w:val="105"/>
          <w:sz w:val="14"/>
        </w:rPr>
        <w:t xml:space="preserve"> </w:t>
      </w:r>
      <w:r>
        <w:rPr>
          <w:w w:val="105"/>
          <w:sz w:val="14"/>
        </w:rPr>
        <w:t>esta</w:t>
      </w:r>
      <w:r>
        <w:rPr>
          <w:spacing w:val="-1"/>
          <w:w w:val="105"/>
          <w:sz w:val="14"/>
        </w:rPr>
        <w:t xml:space="preserve"> </w:t>
      </w:r>
      <w:r>
        <w:rPr>
          <w:w w:val="105"/>
          <w:sz w:val="14"/>
        </w:rPr>
        <w:t>parte,</w:t>
      </w:r>
      <w:r>
        <w:rPr>
          <w:spacing w:val="-1"/>
          <w:w w:val="105"/>
          <w:sz w:val="14"/>
        </w:rPr>
        <w:t xml:space="preserve"> </w:t>
      </w:r>
      <w:r>
        <w:rPr>
          <w:w w:val="105"/>
          <w:sz w:val="14"/>
        </w:rPr>
        <w:t>para</w:t>
      </w:r>
      <w:r>
        <w:rPr>
          <w:spacing w:val="-1"/>
          <w:w w:val="105"/>
          <w:sz w:val="14"/>
        </w:rPr>
        <w:t xml:space="preserve"> </w:t>
      </w:r>
      <w:r>
        <w:rPr>
          <w:w w:val="105"/>
          <w:sz w:val="14"/>
        </w:rPr>
        <w:t>garantizar</w:t>
      </w:r>
      <w:r>
        <w:rPr>
          <w:spacing w:val="-1"/>
          <w:w w:val="105"/>
          <w:sz w:val="14"/>
        </w:rPr>
        <w:t xml:space="preserve"> </w:t>
      </w:r>
      <w:r>
        <w:rPr>
          <w:w w:val="105"/>
          <w:sz w:val="14"/>
        </w:rPr>
        <w:t>la efectividad</w:t>
      </w:r>
      <w:r>
        <w:rPr>
          <w:spacing w:val="-5"/>
          <w:w w:val="105"/>
          <w:sz w:val="14"/>
        </w:rPr>
        <w:t xml:space="preserve"> </w:t>
      </w:r>
      <w:r>
        <w:rPr>
          <w:w w:val="105"/>
          <w:sz w:val="14"/>
        </w:rPr>
        <w:t>del</w:t>
      </w:r>
      <w:r>
        <w:rPr>
          <w:spacing w:val="-5"/>
          <w:w w:val="105"/>
          <w:sz w:val="14"/>
        </w:rPr>
        <w:t xml:space="preserve"> </w:t>
      </w:r>
      <w:r>
        <w:rPr>
          <w:w w:val="105"/>
          <w:sz w:val="14"/>
        </w:rPr>
        <w:t>derecho</w:t>
      </w:r>
      <w:r>
        <w:rPr>
          <w:spacing w:val="-5"/>
          <w:w w:val="105"/>
          <w:sz w:val="14"/>
        </w:rPr>
        <w:t xml:space="preserve"> </w:t>
      </w:r>
      <w:r>
        <w:rPr>
          <w:w w:val="105"/>
          <w:sz w:val="14"/>
        </w:rPr>
        <w:t>a</w:t>
      </w:r>
      <w:r>
        <w:rPr>
          <w:spacing w:val="-5"/>
          <w:w w:val="105"/>
          <w:sz w:val="14"/>
        </w:rPr>
        <w:t xml:space="preserve"> </w:t>
      </w:r>
      <w:r>
        <w:rPr>
          <w:w w:val="105"/>
          <w:sz w:val="14"/>
        </w:rPr>
        <w:t>la</w:t>
      </w:r>
      <w:r>
        <w:rPr>
          <w:spacing w:val="-5"/>
          <w:w w:val="105"/>
          <w:sz w:val="14"/>
        </w:rPr>
        <w:t xml:space="preserve"> </w:t>
      </w:r>
      <w:r>
        <w:rPr>
          <w:w w:val="105"/>
          <w:sz w:val="14"/>
        </w:rPr>
        <w:t>no</w:t>
      </w:r>
      <w:r>
        <w:rPr>
          <w:spacing w:val="-5"/>
          <w:w w:val="105"/>
          <w:sz w:val="14"/>
        </w:rPr>
        <w:t xml:space="preserve"> </w:t>
      </w:r>
      <w:r>
        <w:rPr>
          <w:w w:val="105"/>
          <w:sz w:val="14"/>
        </w:rPr>
        <w:t>discriminación,</w:t>
      </w:r>
      <w:r>
        <w:rPr>
          <w:spacing w:val="-4"/>
          <w:w w:val="105"/>
          <w:sz w:val="14"/>
        </w:rPr>
        <w:t xml:space="preserve"> </w:t>
      </w:r>
      <w:r>
        <w:rPr>
          <w:w w:val="105"/>
          <w:sz w:val="14"/>
        </w:rPr>
        <w:t>las</w:t>
      </w:r>
      <w:r>
        <w:rPr>
          <w:spacing w:val="-5"/>
          <w:w w:val="105"/>
          <w:sz w:val="14"/>
        </w:rPr>
        <w:t xml:space="preserve"> </w:t>
      </w:r>
      <w:r>
        <w:rPr>
          <w:w w:val="105"/>
          <w:sz w:val="14"/>
        </w:rPr>
        <w:t>leyes</w:t>
      </w:r>
      <w:r>
        <w:rPr>
          <w:spacing w:val="-5"/>
          <w:w w:val="105"/>
          <w:sz w:val="14"/>
        </w:rPr>
        <w:t xml:space="preserve"> </w:t>
      </w:r>
      <w:r>
        <w:rPr>
          <w:w w:val="105"/>
          <w:sz w:val="14"/>
        </w:rPr>
        <w:t>contra</w:t>
      </w:r>
      <w:r>
        <w:rPr>
          <w:spacing w:val="-5"/>
          <w:w w:val="105"/>
          <w:sz w:val="14"/>
        </w:rPr>
        <w:t xml:space="preserve"> </w:t>
      </w:r>
      <w:r>
        <w:rPr>
          <w:w w:val="105"/>
          <w:sz w:val="14"/>
        </w:rPr>
        <w:t>la</w:t>
      </w:r>
      <w:r>
        <w:rPr>
          <w:spacing w:val="-5"/>
          <w:w w:val="105"/>
          <w:sz w:val="14"/>
        </w:rPr>
        <w:t xml:space="preserve"> </w:t>
      </w:r>
      <w:r>
        <w:rPr>
          <w:w w:val="105"/>
          <w:sz w:val="14"/>
        </w:rPr>
        <w:t>discriminación</w:t>
      </w:r>
      <w:r>
        <w:rPr>
          <w:spacing w:val="-5"/>
          <w:w w:val="105"/>
          <w:sz w:val="14"/>
        </w:rPr>
        <w:t xml:space="preserve"> </w:t>
      </w:r>
      <w:r>
        <w:rPr>
          <w:w w:val="105"/>
          <w:sz w:val="14"/>
        </w:rPr>
        <w:t>deben</w:t>
      </w:r>
      <w:r>
        <w:rPr>
          <w:spacing w:val="-5"/>
          <w:w w:val="105"/>
          <w:sz w:val="14"/>
        </w:rPr>
        <w:t xml:space="preserve"> </w:t>
      </w:r>
      <w:r>
        <w:rPr>
          <w:w w:val="105"/>
          <w:sz w:val="14"/>
        </w:rPr>
        <w:t>prever</w:t>
      </w:r>
      <w:r>
        <w:rPr>
          <w:spacing w:val="-5"/>
          <w:w w:val="105"/>
          <w:sz w:val="14"/>
        </w:rPr>
        <w:t xml:space="preserve"> </w:t>
      </w:r>
      <w:r>
        <w:rPr>
          <w:w w:val="105"/>
          <w:sz w:val="14"/>
        </w:rPr>
        <w:t>el</w:t>
      </w:r>
      <w:r>
        <w:rPr>
          <w:spacing w:val="-5"/>
          <w:w w:val="105"/>
          <w:sz w:val="14"/>
        </w:rPr>
        <w:t xml:space="preserve"> </w:t>
      </w:r>
      <w:r>
        <w:rPr>
          <w:w w:val="105"/>
          <w:sz w:val="14"/>
        </w:rPr>
        <w:t>“desplazamiento”</w:t>
      </w:r>
      <w:r>
        <w:rPr>
          <w:spacing w:val="-5"/>
          <w:w w:val="105"/>
          <w:sz w:val="14"/>
        </w:rPr>
        <w:t xml:space="preserve"> </w:t>
      </w:r>
      <w:r>
        <w:rPr>
          <w:w w:val="105"/>
          <w:sz w:val="14"/>
        </w:rPr>
        <w:t>o</w:t>
      </w:r>
      <w:r>
        <w:rPr>
          <w:spacing w:val="-5"/>
          <w:w w:val="105"/>
          <w:sz w:val="14"/>
        </w:rPr>
        <w:t xml:space="preserve"> </w:t>
      </w:r>
      <w:r>
        <w:rPr>
          <w:w w:val="105"/>
          <w:sz w:val="14"/>
        </w:rPr>
        <w:t>la</w:t>
      </w:r>
      <w:r>
        <w:rPr>
          <w:spacing w:val="-5"/>
          <w:w w:val="105"/>
          <w:sz w:val="14"/>
        </w:rPr>
        <w:t xml:space="preserve"> </w:t>
      </w:r>
      <w:r>
        <w:rPr>
          <w:w w:val="105"/>
          <w:sz w:val="14"/>
        </w:rPr>
        <w:t>“transferencia”</w:t>
      </w:r>
      <w:r>
        <w:rPr>
          <w:spacing w:val="-5"/>
          <w:w w:val="105"/>
          <w:sz w:val="14"/>
        </w:rPr>
        <w:t xml:space="preserve"> </w:t>
      </w:r>
      <w:r>
        <w:rPr>
          <w:w w:val="105"/>
          <w:sz w:val="14"/>
        </w:rPr>
        <w:t>de</w:t>
      </w:r>
      <w:r>
        <w:rPr>
          <w:spacing w:val="-5"/>
          <w:w w:val="105"/>
          <w:sz w:val="14"/>
        </w:rPr>
        <w:t xml:space="preserve"> </w:t>
      </w:r>
      <w:r>
        <w:rPr>
          <w:w w:val="105"/>
          <w:sz w:val="14"/>
        </w:rPr>
        <w:t>la carga</w:t>
      </w:r>
      <w:r>
        <w:rPr>
          <w:spacing w:val="-1"/>
          <w:w w:val="105"/>
          <w:sz w:val="14"/>
        </w:rPr>
        <w:t xml:space="preserve"> </w:t>
      </w:r>
      <w:r>
        <w:rPr>
          <w:w w:val="105"/>
          <w:sz w:val="14"/>
        </w:rPr>
        <w:t>de</w:t>
      </w:r>
      <w:r>
        <w:rPr>
          <w:spacing w:val="-1"/>
          <w:w w:val="105"/>
          <w:sz w:val="14"/>
        </w:rPr>
        <w:t xml:space="preserve"> </w:t>
      </w:r>
      <w:r>
        <w:rPr>
          <w:w w:val="105"/>
          <w:sz w:val="14"/>
        </w:rPr>
        <w:t>la</w:t>
      </w:r>
      <w:r>
        <w:rPr>
          <w:spacing w:val="-1"/>
          <w:w w:val="105"/>
          <w:sz w:val="14"/>
        </w:rPr>
        <w:t xml:space="preserve"> </w:t>
      </w:r>
      <w:r>
        <w:rPr>
          <w:w w:val="105"/>
          <w:sz w:val="14"/>
        </w:rPr>
        <w:t>prueba</w:t>
      </w:r>
      <w:r>
        <w:rPr>
          <w:spacing w:val="-1"/>
          <w:w w:val="105"/>
          <w:sz w:val="14"/>
        </w:rPr>
        <w:t xml:space="preserve"> </w:t>
      </w:r>
      <w:r>
        <w:rPr>
          <w:w w:val="105"/>
          <w:sz w:val="14"/>
        </w:rPr>
        <w:t>en</w:t>
      </w:r>
      <w:r>
        <w:rPr>
          <w:spacing w:val="-1"/>
          <w:w w:val="105"/>
          <w:sz w:val="14"/>
        </w:rPr>
        <w:t xml:space="preserve"> </w:t>
      </w:r>
      <w:r>
        <w:rPr>
          <w:w w:val="105"/>
          <w:sz w:val="14"/>
        </w:rPr>
        <w:t>casos</w:t>
      </w:r>
      <w:r>
        <w:rPr>
          <w:spacing w:val="-1"/>
          <w:w w:val="105"/>
          <w:sz w:val="14"/>
        </w:rPr>
        <w:t xml:space="preserve"> </w:t>
      </w:r>
      <w:r>
        <w:rPr>
          <w:w w:val="105"/>
          <w:sz w:val="14"/>
        </w:rPr>
        <w:t>de</w:t>
      </w:r>
      <w:r>
        <w:rPr>
          <w:spacing w:val="-1"/>
          <w:w w:val="105"/>
          <w:sz w:val="14"/>
        </w:rPr>
        <w:t xml:space="preserve"> </w:t>
      </w:r>
      <w:r>
        <w:rPr>
          <w:w w:val="105"/>
          <w:sz w:val="14"/>
        </w:rPr>
        <w:t>discriminación. Esto</w:t>
      </w:r>
      <w:r>
        <w:rPr>
          <w:spacing w:val="-1"/>
          <w:w w:val="105"/>
          <w:sz w:val="14"/>
        </w:rPr>
        <w:t xml:space="preserve"> </w:t>
      </w:r>
      <w:r>
        <w:rPr>
          <w:w w:val="105"/>
          <w:sz w:val="14"/>
        </w:rPr>
        <w:t>refleja</w:t>
      </w:r>
      <w:r>
        <w:rPr>
          <w:spacing w:val="-1"/>
          <w:w w:val="105"/>
          <w:sz w:val="14"/>
        </w:rPr>
        <w:t xml:space="preserve"> </w:t>
      </w:r>
      <w:r>
        <w:rPr>
          <w:w w:val="105"/>
          <w:sz w:val="14"/>
        </w:rPr>
        <w:t>el</w:t>
      </w:r>
      <w:r>
        <w:rPr>
          <w:spacing w:val="-1"/>
          <w:w w:val="105"/>
          <w:sz w:val="14"/>
        </w:rPr>
        <w:t xml:space="preserve"> </w:t>
      </w:r>
      <w:r>
        <w:rPr>
          <w:w w:val="105"/>
          <w:sz w:val="14"/>
        </w:rPr>
        <w:t>hecho</w:t>
      </w:r>
      <w:r>
        <w:rPr>
          <w:spacing w:val="-1"/>
          <w:w w:val="105"/>
          <w:sz w:val="14"/>
        </w:rPr>
        <w:t xml:space="preserve"> </w:t>
      </w:r>
      <w:r>
        <w:rPr>
          <w:w w:val="105"/>
          <w:sz w:val="14"/>
        </w:rPr>
        <w:t>de</w:t>
      </w:r>
      <w:r>
        <w:rPr>
          <w:spacing w:val="-1"/>
          <w:w w:val="105"/>
          <w:sz w:val="14"/>
        </w:rPr>
        <w:t xml:space="preserve"> </w:t>
      </w:r>
      <w:r>
        <w:rPr>
          <w:w w:val="105"/>
          <w:sz w:val="14"/>
        </w:rPr>
        <w:t>que,</w:t>
      </w:r>
      <w:r>
        <w:rPr>
          <w:spacing w:val="-1"/>
          <w:w w:val="105"/>
          <w:sz w:val="14"/>
        </w:rPr>
        <w:t xml:space="preserve"> </w:t>
      </w:r>
      <w:r>
        <w:rPr>
          <w:w w:val="105"/>
          <w:sz w:val="14"/>
        </w:rPr>
        <w:t>en</w:t>
      </w:r>
      <w:r>
        <w:rPr>
          <w:spacing w:val="-1"/>
          <w:w w:val="105"/>
          <w:sz w:val="14"/>
        </w:rPr>
        <w:t xml:space="preserve"> </w:t>
      </w:r>
      <w:r>
        <w:rPr>
          <w:w w:val="105"/>
          <w:sz w:val="14"/>
        </w:rPr>
        <w:t>muchos</w:t>
      </w:r>
      <w:r>
        <w:rPr>
          <w:spacing w:val="-1"/>
          <w:w w:val="105"/>
          <w:sz w:val="14"/>
        </w:rPr>
        <w:t xml:space="preserve"> </w:t>
      </w:r>
      <w:r>
        <w:rPr>
          <w:w w:val="105"/>
          <w:sz w:val="14"/>
        </w:rPr>
        <w:t>casos, los</w:t>
      </w:r>
      <w:r>
        <w:rPr>
          <w:spacing w:val="-1"/>
          <w:w w:val="105"/>
          <w:sz w:val="14"/>
        </w:rPr>
        <w:t xml:space="preserve"> </w:t>
      </w:r>
      <w:r>
        <w:rPr>
          <w:w w:val="105"/>
          <w:sz w:val="14"/>
        </w:rPr>
        <w:t>demandantes</w:t>
      </w:r>
      <w:r>
        <w:rPr>
          <w:spacing w:val="-1"/>
          <w:w w:val="105"/>
          <w:sz w:val="14"/>
        </w:rPr>
        <w:t xml:space="preserve"> </w:t>
      </w:r>
      <w:r>
        <w:rPr>
          <w:w w:val="105"/>
          <w:sz w:val="14"/>
        </w:rPr>
        <w:t>no</w:t>
      </w:r>
      <w:r>
        <w:rPr>
          <w:spacing w:val="-1"/>
          <w:w w:val="105"/>
          <w:sz w:val="14"/>
        </w:rPr>
        <w:t xml:space="preserve"> </w:t>
      </w:r>
      <w:r>
        <w:rPr>
          <w:w w:val="105"/>
          <w:sz w:val="14"/>
        </w:rPr>
        <w:t>tendrán</w:t>
      </w:r>
      <w:r>
        <w:rPr>
          <w:spacing w:val="-1"/>
          <w:w w:val="105"/>
          <w:sz w:val="14"/>
        </w:rPr>
        <w:t xml:space="preserve"> </w:t>
      </w:r>
      <w:r>
        <w:rPr>
          <w:w w:val="105"/>
          <w:sz w:val="14"/>
        </w:rPr>
        <w:t>acceso</w:t>
      </w:r>
      <w:r>
        <w:rPr>
          <w:spacing w:val="-1"/>
          <w:w w:val="105"/>
          <w:sz w:val="14"/>
        </w:rPr>
        <w:t xml:space="preserve"> </w:t>
      </w:r>
      <w:r>
        <w:rPr>
          <w:w w:val="105"/>
          <w:sz w:val="14"/>
        </w:rPr>
        <w:t>a</w:t>
      </w:r>
      <w:r>
        <w:rPr>
          <w:spacing w:val="-1"/>
          <w:w w:val="105"/>
          <w:sz w:val="14"/>
        </w:rPr>
        <w:t xml:space="preserve"> </w:t>
      </w:r>
      <w:r>
        <w:rPr>
          <w:w w:val="105"/>
          <w:sz w:val="14"/>
        </w:rPr>
        <w:t>las pruebas</w:t>
      </w:r>
      <w:r>
        <w:rPr>
          <w:spacing w:val="-1"/>
          <w:w w:val="105"/>
          <w:sz w:val="14"/>
        </w:rPr>
        <w:t xml:space="preserve"> </w:t>
      </w:r>
      <w:r>
        <w:rPr>
          <w:w w:val="105"/>
          <w:sz w:val="14"/>
        </w:rPr>
        <w:t>necesarias</w:t>
      </w:r>
      <w:r>
        <w:rPr>
          <w:spacing w:val="-1"/>
          <w:w w:val="105"/>
          <w:sz w:val="14"/>
        </w:rPr>
        <w:t xml:space="preserve"> </w:t>
      </w:r>
      <w:r>
        <w:rPr>
          <w:w w:val="105"/>
          <w:sz w:val="14"/>
        </w:rPr>
        <w:t>para</w:t>
      </w:r>
      <w:r>
        <w:rPr>
          <w:spacing w:val="-1"/>
          <w:w w:val="105"/>
          <w:sz w:val="14"/>
        </w:rPr>
        <w:t xml:space="preserve"> </w:t>
      </w:r>
      <w:r>
        <w:rPr>
          <w:w w:val="105"/>
          <w:sz w:val="14"/>
        </w:rPr>
        <w:t>establecer</w:t>
      </w:r>
      <w:r>
        <w:rPr>
          <w:spacing w:val="-1"/>
          <w:w w:val="105"/>
          <w:sz w:val="14"/>
        </w:rPr>
        <w:t xml:space="preserve"> </w:t>
      </w:r>
      <w:r>
        <w:rPr>
          <w:w w:val="105"/>
          <w:sz w:val="14"/>
        </w:rPr>
        <w:t>si</w:t>
      </w:r>
      <w:r>
        <w:rPr>
          <w:spacing w:val="-1"/>
          <w:w w:val="105"/>
          <w:sz w:val="14"/>
        </w:rPr>
        <w:t xml:space="preserve"> </w:t>
      </w:r>
      <w:r>
        <w:rPr>
          <w:w w:val="105"/>
          <w:sz w:val="14"/>
        </w:rPr>
        <w:t>se</w:t>
      </w:r>
      <w:r>
        <w:rPr>
          <w:spacing w:val="-1"/>
          <w:w w:val="105"/>
          <w:sz w:val="14"/>
        </w:rPr>
        <w:t xml:space="preserve"> </w:t>
      </w:r>
      <w:r>
        <w:rPr>
          <w:w w:val="105"/>
          <w:sz w:val="14"/>
        </w:rPr>
        <w:t>ha</w:t>
      </w:r>
      <w:r>
        <w:rPr>
          <w:spacing w:val="-1"/>
          <w:w w:val="105"/>
          <w:sz w:val="14"/>
        </w:rPr>
        <w:t xml:space="preserve"> </w:t>
      </w:r>
      <w:r>
        <w:rPr>
          <w:w w:val="105"/>
          <w:sz w:val="14"/>
        </w:rPr>
        <w:t>producido</w:t>
      </w:r>
      <w:r>
        <w:rPr>
          <w:spacing w:val="-1"/>
          <w:w w:val="105"/>
          <w:sz w:val="14"/>
        </w:rPr>
        <w:t xml:space="preserve"> </w:t>
      </w:r>
      <w:r>
        <w:rPr>
          <w:w w:val="105"/>
          <w:sz w:val="14"/>
        </w:rPr>
        <w:t>discriminación. La</w:t>
      </w:r>
      <w:r>
        <w:rPr>
          <w:spacing w:val="-1"/>
          <w:w w:val="105"/>
          <w:sz w:val="14"/>
        </w:rPr>
        <w:t xml:space="preserve"> </w:t>
      </w:r>
      <w:r>
        <w:rPr>
          <w:w w:val="105"/>
          <w:sz w:val="14"/>
        </w:rPr>
        <w:t>presunción</w:t>
      </w:r>
      <w:r>
        <w:rPr>
          <w:spacing w:val="-1"/>
          <w:w w:val="105"/>
          <w:sz w:val="14"/>
        </w:rPr>
        <w:t xml:space="preserve"> </w:t>
      </w:r>
      <w:r>
        <w:rPr>
          <w:w w:val="105"/>
          <w:sz w:val="14"/>
        </w:rPr>
        <w:t>de</w:t>
      </w:r>
      <w:r>
        <w:rPr>
          <w:spacing w:val="-1"/>
          <w:w w:val="105"/>
          <w:sz w:val="14"/>
        </w:rPr>
        <w:t xml:space="preserve"> </w:t>
      </w:r>
      <w:r>
        <w:rPr>
          <w:w w:val="105"/>
          <w:sz w:val="14"/>
        </w:rPr>
        <w:t>inocencia</w:t>
      </w:r>
      <w:r>
        <w:rPr>
          <w:spacing w:val="-1"/>
          <w:w w:val="105"/>
          <w:sz w:val="14"/>
        </w:rPr>
        <w:t xml:space="preserve"> </w:t>
      </w:r>
      <w:r>
        <w:rPr>
          <w:w w:val="105"/>
          <w:sz w:val="14"/>
        </w:rPr>
        <w:t>en</w:t>
      </w:r>
      <w:r>
        <w:rPr>
          <w:spacing w:val="-1"/>
          <w:w w:val="105"/>
          <w:sz w:val="14"/>
        </w:rPr>
        <w:t xml:space="preserve"> </w:t>
      </w:r>
      <w:r>
        <w:rPr>
          <w:w w:val="105"/>
          <w:sz w:val="14"/>
        </w:rPr>
        <w:t>el</w:t>
      </w:r>
      <w:r>
        <w:rPr>
          <w:spacing w:val="-1"/>
          <w:w w:val="105"/>
          <w:sz w:val="14"/>
        </w:rPr>
        <w:t xml:space="preserve"> </w:t>
      </w:r>
      <w:r>
        <w:rPr>
          <w:w w:val="105"/>
          <w:sz w:val="14"/>
        </w:rPr>
        <w:t>derecho</w:t>
      </w:r>
      <w:r>
        <w:rPr>
          <w:spacing w:val="-1"/>
          <w:w w:val="105"/>
          <w:sz w:val="14"/>
        </w:rPr>
        <w:t xml:space="preserve"> </w:t>
      </w:r>
      <w:r>
        <w:rPr>
          <w:w w:val="105"/>
          <w:sz w:val="14"/>
        </w:rPr>
        <w:t>penal</w:t>
      </w:r>
      <w:r>
        <w:rPr>
          <w:spacing w:val="-1"/>
          <w:w w:val="105"/>
          <w:sz w:val="14"/>
        </w:rPr>
        <w:t xml:space="preserve"> </w:t>
      </w:r>
      <w:r>
        <w:rPr>
          <w:w w:val="105"/>
          <w:sz w:val="14"/>
        </w:rPr>
        <w:t>es</w:t>
      </w:r>
      <w:r>
        <w:rPr>
          <w:spacing w:val="-1"/>
          <w:w w:val="105"/>
          <w:sz w:val="14"/>
        </w:rPr>
        <w:t xml:space="preserve"> </w:t>
      </w:r>
      <w:r>
        <w:rPr>
          <w:w w:val="105"/>
          <w:sz w:val="14"/>
        </w:rPr>
        <w:t>un</w:t>
      </w:r>
      <w:r>
        <w:rPr>
          <w:spacing w:val="-1"/>
          <w:w w:val="105"/>
          <w:sz w:val="14"/>
        </w:rPr>
        <w:t xml:space="preserve"> </w:t>
      </w:r>
      <w:r>
        <w:rPr>
          <w:w w:val="105"/>
          <w:sz w:val="14"/>
        </w:rPr>
        <w:t>principio importante y bien establecido que es incompatible con un cambio en la carga de la prueba.588</w:t>
      </w:r>
    </w:p>
    <w:p w14:paraId="30EC2616" w14:textId="77777777" w:rsidR="0014798C" w:rsidRDefault="0014798C">
      <w:pPr>
        <w:pStyle w:val="Textoindependiente"/>
        <w:rPr>
          <w:sz w:val="14"/>
        </w:rPr>
      </w:pPr>
    </w:p>
    <w:p w14:paraId="6E7DDE06" w14:textId="77777777" w:rsidR="0014798C" w:rsidRDefault="0014798C">
      <w:pPr>
        <w:pStyle w:val="Textoindependiente"/>
        <w:spacing w:before="42"/>
        <w:rPr>
          <w:sz w:val="14"/>
        </w:rPr>
      </w:pPr>
    </w:p>
    <w:p w14:paraId="6DBB89AF" w14:textId="77777777" w:rsidR="0014798C" w:rsidRDefault="004E1F0B">
      <w:pPr>
        <w:pStyle w:val="Prrafodelista"/>
        <w:numPr>
          <w:ilvl w:val="2"/>
          <w:numId w:val="3"/>
        </w:numPr>
        <w:tabs>
          <w:tab w:val="left" w:pos="1208"/>
          <w:tab w:val="left" w:pos="1351"/>
        </w:tabs>
        <w:spacing w:line="372" w:lineRule="auto"/>
        <w:ind w:left="1351" w:right="1331" w:hanging="234"/>
        <w:rPr>
          <w:color w:val="00AC59"/>
          <w:sz w:val="14"/>
        </w:rPr>
      </w:pPr>
      <w:r>
        <w:rPr>
          <w:color w:val="00AC59"/>
          <w:w w:val="105"/>
          <w:sz w:val="14"/>
        </w:rPr>
        <w:t>Incompatibilidad</w:t>
      </w:r>
      <w:r>
        <w:rPr>
          <w:color w:val="00AC59"/>
          <w:spacing w:val="-5"/>
          <w:w w:val="105"/>
          <w:sz w:val="14"/>
        </w:rPr>
        <w:t xml:space="preserve"> </w:t>
      </w:r>
      <w:r>
        <w:rPr>
          <w:color w:val="00AC59"/>
          <w:w w:val="105"/>
          <w:sz w:val="14"/>
        </w:rPr>
        <w:t>con</w:t>
      </w:r>
      <w:r>
        <w:rPr>
          <w:color w:val="00AC59"/>
          <w:spacing w:val="-5"/>
          <w:w w:val="105"/>
          <w:sz w:val="14"/>
        </w:rPr>
        <w:t xml:space="preserve"> </w:t>
      </w:r>
      <w:r>
        <w:rPr>
          <w:color w:val="00AC59"/>
          <w:w w:val="105"/>
          <w:sz w:val="14"/>
        </w:rPr>
        <w:t>lista</w:t>
      </w:r>
      <w:r>
        <w:rPr>
          <w:color w:val="00AC59"/>
          <w:spacing w:val="-5"/>
          <w:w w:val="105"/>
          <w:sz w:val="14"/>
        </w:rPr>
        <w:t xml:space="preserve"> </w:t>
      </w:r>
      <w:r>
        <w:rPr>
          <w:color w:val="00AC59"/>
          <w:w w:val="105"/>
          <w:sz w:val="14"/>
        </w:rPr>
        <w:t>abierta</w:t>
      </w:r>
      <w:r>
        <w:rPr>
          <w:color w:val="00AC59"/>
          <w:spacing w:val="-5"/>
          <w:w w:val="105"/>
          <w:sz w:val="14"/>
        </w:rPr>
        <w:t xml:space="preserve"> </w:t>
      </w:r>
      <w:r>
        <w:rPr>
          <w:color w:val="00AC59"/>
          <w:w w:val="105"/>
          <w:sz w:val="14"/>
        </w:rPr>
        <w:t>de</w:t>
      </w:r>
      <w:r>
        <w:rPr>
          <w:color w:val="00AC59"/>
          <w:spacing w:val="-5"/>
          <w:w w:val="105"/>
          <w:sz w:val="14"/>
        </w:rPr>
        <w:t xml:space="preserve"> </w:t>
      </w:r>
      <w:r>
        <w:rPr>
          <w:color w:val="00AC59"/>
          <w:w w:val="105"/>
          <w:sz w:val="14"/>
        </w:rPr>
        <w:t>causas.</w:t>
      </w:r>
      <w:r>
        <w:rPr>
          <w:color w:val="00AC59"/>
          <w:spacing w:val="-4"/>
          <w:w w:val="105"/>
          <w:sz w:val="14"/>
        </w:rPr>
        <w:t xml:space="preserve"> </w:t>
      </w:r>
      <w:r>
        <w:rPr>
          <w:w w:val="105"/>
          <w:sz w:val="14"/>
        </w:rPr>
        <w:t>Como</w:t>
      </w:r>
      <w:r>
        <w:rPr>
          <w:spacing w:val="-5"/>
          <w:w w:val="105"/>
          <w:sz w:val="14"/>
        </w:rPr>
        <w:t xml:space="preserve"> </w:t>
      </w:r>
      <w:r>
        <w:rPr>
          <w:w w:val="105"/>
          <w:sz w:val="14"/>
        </w:rPr>
        <w:t>se</w:t>
      </w:r>
      <w:r>
        <w:rPr>
          <w:spacing w:val="-5"/>
          <w:w w:val="105"/>
          <w:sz w:val="14"/>
        </w:rPr>
        <w:t xml:space="preserve"> </w:t>
      </w:r>
      <w:r>
        <w:rPr>
          <w:w w:val="105"/>
          <w:sz w:val="14"/>
        </w:rPr>
        <w:t>señala</w:t>
      </w:r>
      <w:r>
        <w:rPr>
          <w:spacing w:val="-5"/>
          <w:w w:val="105"/>
          <w:sz w:val="14"/>
        </w:rPr>
        <w:t xml:space="preserve"> </w:t>
      </w:r>
      <w:r>
        <w:rPr>
          <w:w w:val="105"/>
          <w:sz w:val="14"/>
        </w:rPr>
        <w:t>en</w:t>
      </w:r>
      <w:r>
        <w:rPr>
          <w:spacing w:val="-5"/>
          <w:w w:val="105"/>
          <w:sz w:val="14"/>
        </w:rPr>
        <w:t xml:space="preserve"> </w:t>
      </w:r>
      <w:r>
        <w:rPr>
          <w:w w:val="105"/>
          <w:sz w:val="14"/>
        </w:rPr>
        <w:t>la</w:t>
      </w:r>
      <w:r>
        <w:rPr>
          <w:spacing w:val="-5"/>
          <w:w w:val="105"/>
          <w:sz w:val="14"/>
        </w:rPr>
        <w:t xml:space="preserve"> </w:t>
      </w:r>
      <w:r>
        <w:rPr>
          <w:w w:val="105"/>
          <w:sz w:val="14"/>
        </w:rPr>
        <w:t>sección</w:t>
      </w:r>
      <w:r>
        <w:rPr>
          <w:spacing w:val="-5"/>
          <w:w w:val="105"/>
          <w:sz w:val="14"/>
        </w:rPr>
        <w:t xml:space="preserve"> </w:t>
      </w:r>
      <w:r>
        <w:rPr>
          <w:w w:val="105"/>
          <w:sz w:val="14"/>
        </w:rPr>
        <w:t>IA1(a)</w:t>
      </w:r>
      <w:r>
        <w:rPr>
          <w:spacing w:val="-5"/>
          <w:w w:val="105"/>
          <w:sz w:val="14"/>
        </w:rPr>
        <w:t xml:space="preserve"> </w:t>
      </w:r>
      <w:r>
        <w:rPr>
          <w:w w:val="105"/>
          <w:sz w:val="14"/>
        </w:rPr>
        <w:t>de</w:t>
      </w:r>
      <w:r>
        <w:rPr>
          <w:spacing w:val="-5"/>
          <w:w w:val="105"/>
          <w:sz w:val="14"/>
        </w:rPr>
        <w:t xml:space="preserve"> </w:t>
      </w:r>
      <w:r>
        <w:rPr>
          <w:w w:val="105"/>
          <w:sz w:val="14"/>
        </w:rPr>
        <w:t>esta</w:t>
      </w:r>
      <w:r>
        <w:rPr>
          <w:spacing w:val="-5"/>
          <w:w w:val="105"/>
          <w:sz w:val="14"/>
        </w:rPr>
        <w:t xml:space="preserve"> </w:t>
      </w:r>
      <w:r>
        <w:rPr>
          <w:w w:val="105"/>
          <w:sz w:val="14"/>
        </w:rPr>
        <w:t>parte,</w:t>
      </w:r>
      <w:r>
        <w:rPr>
          <w:spacing w:val="-5"/>
          <w:w w:val="105"/>
          <w:sz w:val="14"/>
        </w:rPr>
        <w:t xml:space="preserve"> </w:t>
      </w:r>
      <w:r>
        <w:rPr>
          <w:w w:val="105"/>
          <w:sz w:val="14"/>
        </w:rPr>
        <w:t>la</w:t>
      </w:r>
      <w:r>
        <w:rPr>
          <w:spacing w:val="-5"/>
          <w:w w:val="105"/>
          <w:sz w:val="14"/>
        </w:rPr>
        <w:t xml:space="preserve"> </w:t>
      </w:r>
      <w:r>
        <w:rPr>
          <w:w w:val="105"/>
          <w:sz w:val="14"/>
        </w:rPr>
        <w:t>ley</w:t>
      </w:r>
      <w:r>
        <w:rPr>
          <w:spacing w:val="-5"/>
          <w:w w:val="105"/>
          <w:sz w:val="14"/>
        </w:rPr>
        <w:t xml:space="preserve"> </w:t>
      </w:r>
      <w:r>
        <w:rPr>
          <w:w w:val="105"/>
          <w:sz w:val="14"/>
        </w:rPr>
        <w:t>integral</w:t>
      </w:r>
      <w:r>
        <w:rPr>
          <w:spacing w:val="-5"/>
          <w:w w:val="105"/>
          <w:sz w:val="14"/>
        </w:rPr>
        <w:t xml:space="preserve"> </w:t>
      </w:r>
      <w:r>
        <w:rPr>
          <w:w w:val="105"/>
          <w:sz w:val="14"/>
        </w:rPr>
        <w:t>contra</w:t>
      </w:r>
      <w:r>
        <w:rPr>
          <w:spacing w:val="-5"/>
          <w:w w:val="105"/>
          <w:sz w:val="14"/>
        </w:rPr>
        <w:t xml:space="preserve"> </w:t>
      </w:r>
      <w:r>
        <w:rPr>
          <w:w w:val="105"/>
          <w:sz w:val="14"/>
        </w:rPr>
        <w:t>la</w:t>
      </w:r>
      <w:r>
        <w:rPr>
          <w:spacing w:val="-5"/>
          <w:w w:val="105"/>
          <w:sz w:val="14"/>
        </w:rPr>
        <w:t xml:space="preserve"> </w:t>
      </w:r>
      <w:r>
        <w:rPr>
          <w:w w:val="105"/>
          <w:sz w:val="14"/>
        </w:rPr>
        <w:t>discriminación</w:t>
      </w:r>
      <w:r>
        <w:rPr>
          <w:spacing w:val="-5"/>
          <w:w w:val="105"/>
          <w:sz w:val="14"/>
        </w:rPr>
        <w:t xml:space="preserve"> </w:t>
      </w:r>
      <w:r>
        <w:rPr>
          <w:w w:val="105"/>
          <w:sz w:val="14"/>
        </w:rPr>
        <w:t>dentro de</w:t>
      </w:r>
      <w:r>
        <w:rPr>
          <w:spacing w:val="-4"/>
          <w:w w:val="105"/>
          <w:sz w:val="14"/>
        </w:rPr>
        <w:t xml:space="preserve"> </w:t>
      </w:r>
      <w:r>
        <w:rPr>
          <w:w w:val="105"/>
          <w:sz w:val="14"/>
        </w:rPr>
        <w:t>los</w:t>
      </w:r>
      <w:r>
        <w:rPr>
          <w:spacing w:val="-4"/>
          <w:w w:val="105"/>
          <w:sz w:val="14"/>
        </w:rPr>
        <w:t xml:space="preserve"> </w:t>
      </w:r>
      <w:r>
        <w:rPr>
          <w:w w:val="105"/>
          <w:sz w:val="14"/>
        </w:rPr>
        <w:t>ámbitos</w:t>
      </w:r>
      <w:r>
        <w:rPr>
          <w:spacing w:val="-4"/>
          <w:w w:val="105"/>
          <w:sz w:val="14"/>
        </w:rPr>
        <w:t xml:space="preserve"> </w:t>
      </w:r>
      <w:r>
        <w:rPr>
          <w:w w:val="105"/>
          <w:sz w:val="14"/>
        </w:rPr>
        <w:t>del</w:t>
      </w:r>
      <w:r>
        <w:rPr>
          <w:spacing w:val="-4"/>
          <w:w w:val="105"/>
          <w:sz w:val="14"/>
        </w:rPr>
        <w:t xml:space="preserve"> </w:t>
      </w:r>
      <w:r>
        <w:rPr>
          <w:w w:val="105"/>
          <w:sz w:val="14"/>
        </w:rPr>
        <w:t>derecho</w:t>
      </w:r>
      <w:r>
        <w:rPr>
          <w:spacing w:val="-4"/>
          <w:w w:val="105"/>
          <w:sz w:val="14"/>
        </w:rPr>
        <w:t xml:space="preserve"> </w:t>
      </w:r>
      <w:r>
        <w:rPr>
          <w:w w:val="105"/>
          <w:sz w:val="14"/>
        </w:rPr>
        <w:t>civil</w:t>
      </w:r>
      <w:r>
        <w:rPr>
          <w:spacing w:val="-4"/>
          <w:w w:val="105"/>
          <w:sz w:val="14"/>
        </w:rPr>
        <w:t xml:space="preserve"> </w:t>
      </w:r>
      <w:r>
        <w:rPr>
          <w:w w:val="105"/>
          <w:sz w:val="14"/>
        </w:rPr>
        <w:t>y</w:t>
      </w:r>
      <w:r>
        <w:rPr>
          <w:spacing w:val="-4"/>
          <w:w w:val="105"/>
          <w:sz w:val="14"/>
        </w:rPr>
        <w:t xml:space="preserve"> </w:t>
      </w:r>
      <w:r>
        <w:rPr>
          <w:w w:val="105"/>
          <w:sz w:val="14"/>
        </w:rPr>
        <w:t>administrativo</w:t>
      </w:r>
      <w:r>
        <w:rPr>
          <w:spacing w:val="-4"/>
          <w:w w:val="105"/>
          <w:sz w:val="14"/>
        </w:rPr>
        <w:t xml:space="preserve"> </w:t>
      </w:r>
      <w:r>
        <w:rPr>
          <w:w w:val="105"/>
          <w:sz w:val="14"/>
        </w:rPr>
        <w:t>debería</w:t>
      </w:r>
      <w:r>
        <w:rPr>
          <w:spacing w:val="-4"/>
          <w:w w:val="105"/>
          <w:sz w:val="14"/>
        </w:rPr>
        <w:t xml:space="preserve"> </w:t>
      </w:r>
      <w:r>
        <w:rPr>
          <w:w w:val="105"/>
          <w:sz w:val="14"/>
        </w:rPr>
        <w:t>prohibir</w:t>
      </w:r>
      <w:r>
        <w:rPr>
          <w:spacing w:val="-4"/>
          <w:w w:val="105"/>
          <w:sz w:val="14"/>
        </w:rPr>
        <w:t xml:space="preserve"> </w:t>
      </w:r>
      <w:r>
        <w:rPr>
          <w:w w:val="105"/>
          <w:sz w:val="14"/>
        </w:rPr>
        <w:t>la</w:t>
      </w:r>
      <w:r>
        <w:rPr>
          <w:spacing w:val="-4"/>
          <w:w w:val="105"/>
          <w:sz w:val="14"/>
        </w:rPr>
        <w:t xml:space="preserve"> </w:t>
      </w:r>
      <w:r>
        <w:rPr>
          <w:w w:val="105"/>
          <w:sz w:val="14"/>
        </w:rPr>
        <w:t>discriminación</w:t>
      </w:r>
      <w:r>
        <w:rPr>
          <w:spacing w:val="-4"/>
          <w:w w:val="105"/>
          <w:sz w:val="14"/>
        </w:rPr>
        <w:t xml:space="preserve"> </w:t>
      </w:r>
      <w:r>
        <w:rPr>
          <w:w w:val="105"/>
          <w:sz w:val="14"/>
        </w:rPr>
        <w:t>basada</w:t>
      </w:r>
      <w:r>
        <w:rPr>
          <w:spacing w:val="-4"/>
          <w:w w:val="105"/>
          <w:sz w:val="14"/>
        </w:rPr>
        <w:t xml:space="preserve"> </w:t>
      </w:r>
      <w:r>
        <w:rPr>
          <w:w w:val="105"/>
          <w:sz w:val="14"/>
        </w:rPr>
        <w:t>en</w:t>
      </w:r>
      <w:r>
        <w:rPr>
          <w:spacing w:val="-4"/>
          <w:w w:val="105"/>
          <w:sz w:val="14"/>
        </w:rPr>
        <w:t xml:space="preserve"> </w:t>
      </w:r>
      <w:r>
        <w:rPr>
          <w:w w:val="105"/>
          <w:sz w:val="14"/>
        </w:rPr>
        <w:t>cualquier</w:t>
      </w:r>
      <w:r>
        <w:rPr>
          <w:spacing w:val="-4"/>
          <w:w w:val="105"/>
          <w:sz w:val="14"/>
        </w:rPr>
        <w:t xml:space="preserve"> </w:t>
      </w:r>
      <w:r>
        <w:rPr>
          <w:w w:val="105"/>
          <w:sz w:val="14"/>
        </w:rPr>
        <w:t>“otra</w:t>
      </w:r>
      <w:r>
        <w:rPr>
          <w:spacing w:val="-4"/>
          <w:w w:val="105"/>
          <w:sz w:val="14"/>
        </w:rPr>
        <w:t xml:space="preserve"> </w:t>
      </w:r>
      <w:r>
        <w:rPr>
          <w:w w:val="105"/>
          <w:sz w:val="14"/>
        </w:rPr>
        <w:t>condición”.</w:t>
      </w:r>
      <w:r>
        <w:rPr>
          <w:spacing w:val="-3"/>
          <w:w w:val="105"/>
          <w:sz w:val="14"/>
        </w:rPr>
        <w:t xml:space="preserve"> </w:t>
      </w:r>
      <w:r>
        <w:rPr>
          <w:w w:val="105"/>
          <w:sz w:val="14"/>
        </w:rPr>
        <w:t>Sin</w:t>
      </w:r>
      <w:r>
        <w:rPr>
          <w:spacing w:val="-4"/>
          <w:w w:val="105"/>
          <w:sz w:val="14"/>
        </w:rPr>
        <w:t xml:space="preserve"> </w:t>
      </w:r>
      <w:r>
        <w:rPr>
          <w:w w:val="105"/>
          <w:sz w:val="14"/>
        </w:rPr>
        <w:t>embargo,</w:t>
      </w:r>
      <w:r>
        <w:rPr>
          <w:spacing w:val="-3"/>
          <w:w w:val="105"/>
          <w:sz w:val="14"/>
        </w:rPr>
        <w:t xml:space="preserve"> </w:t>
      </w:r>
      <w:r>
        <w:rPr>
          <w:w w:val="105"/>
          <w:sz w:val="14"/>
        </w:rPr>
        <w:t>en</w:t>
      </w:r>
      <w:r>
        <w:rPr>
          <w:spacing w:val="-4"/>
          <w:w w:val="105"/>
          <w:sz w:val="14"/>
        </w:rPr>
        <w:t xml:space="preserve"> </w:t>
      </w:r>
      <w:r>
        <w:rPr>
          <w:w w:val="105"/>
          <w:sz w:val="14"/>
        </w:rPr>
        <w:t>el derecho</w:t>
      </w:r>
      <w:r>
        <w:rPr>
          <w:spacing w:val="-1"/>
          <w:w w:val="105"/>
          <w:sz w:val="14"/>
        </w:rPr>
        <w:t xml:space="preserve"> </w:t>
      </w:r>
      <w:r>
        <w:rPr>
          <w:w w:val="105"/>
          <w:sz w:val="14"/>
        </w:rPr>
        <w:t>penal</w:t>
      </w:r>
      <w:r>
        <w:rPr>
          <w:spacing w:val="-1"/>
          <w:w w:val="105"/>
          <w:sz w:val="14"/>
        </w:rPr>
        <w:t xml:space="preserve"> </w:t>
      </w:r>
      <w:r>
        <w:rPr>
          <w:w w:val="105"/>
          <w:sz w:val="14"/>
        </w:rPr>
        <w:t>–en</w:t>
      </w:r>
      <w:r>
        <w:rPr>
          <w:spacing w:val="-1"/>
          <w:w w:val="105"/>
          <w:sz w:val="14"/>
        </w:rPr>
        <w:t xml:space="preserve"> </w:t>
      </w:r>
      <w:r>
        <w:rPr>
          <w:w w:val="105"/>
          <w:sz w:val="14"/>
        </w:rPr>
        <w:t>el</w:t>
      </w:r>
      <w:r>
        <w:rPr>
          <w:spacing w:val="-1"/>
          <w:w w:val="105"/>
          <w:sz w:val="14"/>
        </w:rPr>
        <w:t xml:space="preserve"> </w:t>
      </w:r>
      <w:r>
        <w:rPr>
          <w:w w:val="105"/>
          <w:sz w:val="14"/>
        </w:rPr>
        <w:t>que</w:t>
      </w:r>
      <w:r>
        <w:rPr>
          <w:spacing w:val="-1"/>
          <w:w w:val="105"/>
          <w:sz w:val="14"/>
        </w:rPr>
        <w:t xml:space="preserve"> </w:t>
      </w:r>
      <w:r>
        <w:rPr>
          <w:w w:val="105"/>
          <w:sz w:val="14"/>
        </w:rPr>
        <w:t>las</w:t>
      </w:r>
      <w:r>
        <w:rPr>
          <w:spacing w:val="-1"/>
          <w:w w:val="105"/>
          <w:sz w:val="14"/>
        </w:rPr>
        <w:t xml:space="preserve"> </w:t>
      </w:r>
      <w:r>
        <w:rPr>
          <w:w w:val="105"/>
          <w:sz w:val="14"/>
        </w:rPr>
        <w:t>consecuencias</w:t>
      </w:r>
      <w:r>
        <w:rPr>
          <w:spacing w:val="-1"/>
          <w:w w:val="105"/>
          <w:sz w:val="14"/>
        </w:rPr>
        <w:t xml:space="preserve"> </w:t>
      </w:r>
      <w:r>
        <w:rPr>
          <w:w w:val="105"/>
          <w:sz w:val="14"/>
        </w:rPr>
        <w:t>para</w:t>
      </w:r>
      <w:r>
        <w:rPr>
          <w:spacing w:val="-1"/>
          <w:w w:val="105"/>
          <w:sz w:val="14"/>
        </w:rPr>
        <w:t xml:space="preserve"> </w:t>
      </w:r>
      <w:r>
        <w:rPr>
          <w:w w:val="105"/>
          <w:sz w:val="14"/>
        </w:rPr>
        <w:t>el</w:t>
      </w:r>
      <w:r>
        <w:rPr>
          <w:spacing w:val="-1"/>
          <w:w w:val="105"/>
          <w:sz w:val="14"/>
        </w:rPr>
        <w:t xml:space="preserve"> </w:t>
      </w:r>
      <w:r>
        <w:rPr>
          <w:w w:val="105"/>
          <w:sz w:val="14"/>
        </w:rPr>
        <w:t>autor</w:t>
      </w:r>
      <w:r>
        <w:rPr>
          <w:spacing w:val="-1"/>
          <w:w w:val="105"/>
          <w:sz w:val="14"/>
        </w:rPr>
        <w:t xml:space="preserve"> </w:t>
      </w:r>
      <w:r>
        <w:rPr>
          <w:w w:val="105"/>
          <w:sz w:val="14"/>
        </w:rPr>
        <w:t>son</w:t>
      </w:r>
      <w:r>
        <w:rPr>
          <w:spacing w:val="-1"/>
          <w:w w:val="105"/>
          <w:sz w:val="14"/>
        </w:rPr>
        <w:t xml:space="preserve"> </w:t>
      </w:r>
      <w:r>
        <w:rPr>
          <w:w w:val="105"/>
          <w:sz w:val="14"/>
        </w:rPr>
        <w:t>más</w:t>
      </w:r>
      <w:r>
        <w:rPr>
          <w:spacing w:val="-1"/>
          <w:w w:val="105"/>
          <w:sz w:val="14"/>
        </w:rPr>
        <w:t xml:space="preserve"> </w:t>
      </w:r>
      <w:r>
        <w:rPr>
          <w:w w:val="105"/>
          <w:sz w:val="14"/>
        </w:rPr>
        <w:t>graves–</w:t>
      </w:r>
      <w:r>
        <w:rPr>
          <w:spacing w:val="-1"/>
          <w:w w:val="105"/>
          <w:sz w:val="14"/>
        </w:rPr>
        <w:t xml:space="preserve"> </w:t>
      </w:r>
      <w:r>
        <w:rPr>
          <w:w w:val="105"/>
          <w:sz w:val="14"/>
        </w:rPr>
        <w:t>el</w:t>
      </w:r>
      <w:r>
        <w:rPr>
          <w:spacing w:val="-1"/>
          <w:w w:val="105"/>
          <w:sz w:val="14"/>
        </w:rPr>
        <w:t xml:space="preserve"> </w:t>
      </w:r>
      <w:r>
        <w:rPr>
          <w:w w:val="105"/>
          <w:sz w:val="14"/>
        </w:rPr>
        <w:t>requisito</w:t>
      </w:r>
      <w:r>
        <w:rPr>
          <w:spacing w:val="-1"/>
          <w:w w:val="105"/>
          <w:sz w:val="14"/>
        </w:rPr>
        <w:t xml:space="preserve"> </w:t>
      </w:r>
      <w:r>
        <w:rPr>
          <w:w w:val="105"/>
          <w:sz w:val="14"/>
        </w:rPr>
        <w:t>de</w:t>
      </w:r>
      <w:r>
        <w:rPr>
          <w:spacing w:val="-1"/>
          <w:w w:val="105"/>
          <w:sz w:val="14"/>
        </w:rPr>
        <w:t xml:space="preserve"> </w:t>
      </w:r>
      <w:r>
        <w:rPr>
          <w:w w:val="105"/>
          <w:sz w:val="14"/>
        </w:rPr>
        <w:t>previsibilidad</w:t>
      </w:r>
      <w:r>
        <w:rPr>
          <w:spacing w:val="-1"/>
          <w:w w:val="105"/>
          <w:sz w:val="14"/>
        </w:rPr>
        <w:t xml:space="preserve"> </w:t>
      </w:r>
      <w:r>
        <w:rPr>
          <w:w w:val="105"/>
          <w:sz w:val="14"/>
        </w:rPr>
        <w:t>hace</w:t>
      </w:r>
      <w:r>
        <w:rPr>
          <w:spacing w:val="-1"/>
          <w:w w:val="105"/>
          <w:sz w:val="14"/>
        </w:rPr>
        <w:t xml:space="preserve"> </w:t>
      </w:r>
      <w:r>
        <w:rPr>
          <w:w w:val="105"/>
          <w:sz w:val="14"/>
        </w:rPr>
        <w:t>que</w:t>
      </w:r>
      <w:r>
        <w:rPr>
          <w:spacing w:val="-1"/>
          <w:w w:val="105"/>
          <w:sz w:val="14"/>
        </w:rPr>
        <w:t xml:space="preserve"> </w:t>
      </w:r>
      <w:r>
        <w:rPr>
          <w:w w:val="105"/>
          <w:sz w:val="14"/>
        </w:rPr>
        <w:t>el</w:t>
      </w:r>
      <w:r>
        <w:rPr>
          <w:spacing w:val="-1"/>
          <w:w w:val="105"/>
          <w:sz w:val="14"/>
        </w:rPr>
        <w:t xml:space="preserve"> </w:t>
      </w:r>
      <w:r>
        <w:rPr>
          <w:w w:val="105"/>
          <w:sz w:val="14"/>
        </w:rPr>
        <w:t>uso</w:t>
      </w:r>
      <w:r>
        <w:rPr>
          <w:spacing w:val="-1"/>
          <w:w w:val="105"/>
          <w:sz w:val="14"/>
        </w:rPr>
        <w:t xml:space="preserve"> </w:t>
      </w:r>
      <w:r>
        <w:rPr>
          <w:w w:val="105"/>
          <w:sz w:val="14"/>
        </w:rPr>
        <w:t>de</w:t>
      </w:r>
      <w:r>
        <w:rPr>
          <w:spacing w:val="-1"/>
          <w:w w:val="105"/>
          <w:sz w:val="14"/>
        </w:rPr>
        <w:t xml:space="preserve"> </w:t>
      </w:r>
      <w:r>
        <w:rPr>
          <w:w w:val="105"/>
          <w:sz w:val="14"/>
        </w:rPr>
        <w:t>una</w:t>
      </w:r>
      <w:r>
        <w:rPr>
          <w:spacing w:val="-1"/>
          <w:w w:val="105"/>
          <w:sz w:val="14"/>
        </w:rPr>
        <w:t xml:space="preserve"> </w:t>
      </w:r>
      <w:r>
        <w:rPr>
          <w:w w:val="105"/>
          <w:sz w:val="14"/>
        </w:rPr>
        <w:t>lista</w:t>
      </w:r>
      <w:r>
        <w:rPr>
          <w:spacing w:val="-1"/>
          <w:w w:val="105"/>
          <w:sz w:val="14"/>
        </w:rPr>
        <w:t xml:space="preserve"> </w:t>
      </w:r>
      <w:r>
        <w:rPr>
          <w:w w:val="105"/>
          <w:sz w:val="14"/>
        </w:rPr>
        <w:t>tan abierta sea inapropiado.</w:t>
      </w:r>
    </w:p>
    <w:p w14:paraId="4E9DE201" w14:textId="77777777" w:rsidR="0014798C" w:rsidRDefault="004E1F0B">
      <w:pPr>
        <w:pStyle w:val="Prrafodelista"/>
        <w:numPr>
          <w:ilvl w:val="2"/>
          <w:numId w:val="3"/>
        </w:numPr>
        <w:tabs>
          <w:tab w:val="left" w:pos="1208"/>
          <w:tab w:val="left" w:pos="1346"/>
        </w:tabs>
        <w:spacing w:before="114" w:line="372" w:lineRule="auto"/>
        <w:ind w:left="1346" w:right="1307" w:hanging="229"/>
        <w:rPr>
          <w:color w:val="00AC59"/>
          <w:sz w:val="14"/>
        </w:rPr>
      </w:pPr>
      <w:r>
        <w:rPr>
          <w:color w:val="00AC59"/>
          <w:w w:val="105"/>
          <w:sz w:val="14"/>
        </w:rPr>
        <w:t>Dificultades</w:t>
      </w:r>
      <w:r>
        <w:rPr>
          <w:color w:val="00AC59"/>
          <w:spacing w:val="-5"/>
          <w:w w:val="105"/>
          <w:sz w:val="14"/>
        </w:rPr>
        <w:t xml:space="preserve"> </w:t>
      </w:r>
      <w:r>
        <w:rPr>
          <w:color w:val="00AC59"/>
          <w:w w:val="105"/>
          <w:sz w:val="14"/>
        </w:rPr>
        <w:t>para</w:t>
      </w:r>
      <w:r>
        <w:rPr>
          <w:color w:val="00AC59"/>
          <w:spacing w:val="-5"/>
          <w:w w:val="105"/>
          <w:sz w:val="14"/>
        </w:rPr>
        <w:t xml:space="preserve"> </w:t>
      </w:r>
      <w:r>
        <w:rPr>
          <w:color w:val="00AC59"/>
          <w:w w:val="105"/>
          <w:sz w:val="14"/>
        </w:rPr>
        <w:t>ofrecer</w:t>
      </w:r>
      <w:r>
        <w:rPr>
          <w:color w:val="00AC59"/>
          <w:spacing w:val="-5"/>
          <w:w w:val="105"/>
          <w:sz w:val="14"/>
        </w:rPr>
        <w:t xml:space="preserve"> </w:t>
      </w:r>
      <w:r>
        <w:rPr>
          <w:color w:val="00AC59"/>
          <w:w w:val="105"/>
          <w:sz w:val="14"/>
        </w:rPr>
        <w:t>todos</w:t>
      </w:r>
      <w:r>
        <w:rPr>
          <w:color w:val="00AC59"/>
          <w:spacing w:val="-5"/>
          <w:w w:val="105"/>
          <w:sz w:val="14"/>
        </w:rPr>
        <w:t xml:space="preserve"> </w:t>
      </w:r>
      <w:r>
        <w:rPr>
          <w:color w:val="00AC59"/>
          <w:w w:val="105"/>
          <w:sz w:val="14"/>
        </w:rPr>
        <w:t>los</w:t>
      </w:r>
      <w:r>
        <w:rPr>
          <w:color w:val="00AC59"/>
          <w:spacing w:val="-5"/>
          <w:w w:val="105"/>
          <w:sz w:val="14"/>
        </w:rPr>
        <w:t xml:space="preserve"> </w:t>
      </w:r>
      <w:r>
        <w:rPr>
          <w:color w:val="00AC59"/>
          <w:w w:val="105"/>
          <w:sz w:val="14"/>
        </w:rPr>
        <w:t>aspectos</w:t>
      </w:r>
      <w:r>
        <w:rPr>
          <w:color w:val="00AC59"/>
          <w:spacing w:val="-5"/>
          <w:w w:val="105"/>
          <w:sz w:val="14"/>
        </w:rPr>
        <w:t xml:space="preserve"> </w:t>
      </w:r>
      <w:r>
        <w:rPr>
          <w:color w:val="00AC59"/>
          <w:w w:val="105"/>
          <w:sz w:val="14"/>
        </w:rPr>
        <w:t>de</w:t>
      </w:r>
      <w:r>
        <w:rPr>
          <w:color w:val="00AC59"/>
          <w:spacing w:val="-5"/>
          <w:w w:val="105"/>
          <w:sz w:val="14"/>
        </w:rPr>
        <w:t xml:space="preserve"> </w:t>
      </w:r>
      <w:r>
        <w:rPr>
          <w:color w:val="00AC59"/>
          <w:w w:val="105"/>
          <w:sz w:val="14"/>
        </w:rPr>
        <w:t>un</w:t>
      </w:r>
      <w:r>
        <w:rPr>
          <w:color w:val="00AC59"/>
          <w:spacing w:val="-5"/>
          <w:w w:val="105"/>
          <w:sz w:val="14"/>
        </w:rPr>
        <w:t xml:space="preserve"> </w:t>
      </w:r>
      <w:r>
        <w:rPr>
          <w:color w:val="00AC59"/>
          <w:w w:val="105"/>
          <w:sz w:val="14"/>
        </w:rPr>
        <w:t>recurso</w:t>
      </w:r>
      <w:r>
        <w:rPr>
          <w:color w:val="00AC59"/>
          <w:spacing w:val="-5"/>
          <w:w w:val="105"/>
          <w:sz w:val="14"/>
        </w:rPr>
        <w:t xml:space="preserve"> </w:t>
      </w:r>
      <w:r>
        <w:rPr>
          <w:color w:val="00AC59"/>
          <w:w w:val="105"/>
          <w:sz w:val="14"/>
        </w:rPr>
        <w:t>efectivo</w:t>
      </w:r>
      <w:r>
        <w:rPr>
          <w:color w:val="00AC59"/>
          <w:spacing w:val="-5"/>
          <w:w w:val="105"/>
          <w:sz w:val="14"/>
        </w:rPr>
        <w:t xml:space="preserve"> </w:t>
      </w:r>
      <w:r>
        <w:rPr>
          <w:color w:val="00AC59"/>
          <w:w w:val="105"/>
          <w:sz w:val="14"/>
        </w:rPr>
        <w:t>a</w:t>
      </w:r>
      <w:r>
        <w:rPr>
          <w:color w:val="00AC59"/>
          <w:spacing w:val="-5"/>
          <w:w w:val="105"/>
          <w:sz w:val="14"/>
        </w:rPr>
        <w:t xml:space="preserve"> </w:t>
      </w:r>
      <w:r>
        <w:rPr>
          <w:color w:val="00AC59"/>
          <w:w w:val="105"/>
          <w:sz w:val="14"/>
        </w:rPr>
        <w:t>las</w:t>
      </w:r>
      <w:r>
        <w:rPr>
          <w:color w:val="00AC59"/>
          <w:spacing w:val="-5"/>
          <w:w w:val="105"/>
          <w:sz w:val="14"/>
        </w:rPr>
        <w:t xml:space="preserve"> </w:t>
      </w:r>
      <w:r>
        <w:rPr>
          <w:color w:val="00AC59"/>
          <w:w w:val="105"/>
          <w:sz w:val="14"/>
        </w:rPr>
        <w:t>víctimas</w:t>
      </w:r>
      <w:r>
        <w:rPr>
          <w:color w:val="00AC59"/>
          <w:spacing w:val="-5"/>
          <w:w w:val="105"/>
          <w:sz w:val="14"/>
        </w:rPr>
        <w:t xml:space="preserve"> </w:t>
      </w:r>
      <w:r>
        <w:rPr>
          <w:color w:val="00AC59"/>
          <w:w w:val="105"/>
          <w:sz w:val="14"/>
        </w:rPr>
        <w:t>en</w:t>
      </w:r>
      <w:r>
        <w:rPr>
          <w:color w:val="00AC59"/>
          <w:spacing w:val="-5"/>
          <w:w w:val="105"/>
          <w:sz w:val="14"/>
        </w:rPr>
        <w:t xml:space="preserve"> </w:t>
      </w:r>
      <w:r>
        <w:rPr>
          <w:color w:val="00AC59"/>
          <w:w w:val="105"/>
          <w:sz w:val="14"/>
        </w:rPr>
        <w:t>el</w:t>
      </w:r>
      <w:r>
        <w:rPr>
          <w:color w:val="00AC59"/>
          <w:spacing w:val="-5"/>
          <w:w w:val="105"/>
          <w:sz w:val="14"/>
        </w:rPr>
        <w:t xml:space="preserve"> </w:t>
      </w:r>
      <w:r>
        <w:rPr>
          <w:color w:val="00AC59"/>
          <w:w w:val="105"/>
          <w:sz w:val="14"/>
        </w:rPr>
        <w:t>derecho</w:t>
      </w:r>
      <w:r>
        <w:rPr>
          <w:color w:val="00AC59"/>
          <w:spacing w:val="-5"/>
          <w:w w:val="105"/>
          <w:sz w:val="14"/>
        </w:rPr>
        <w:t xml:space="preserve"> </w:t>
      </w:r>
      <w:r>
        <w:rPr>
          <w:color w:val="00AC59"/>
          <w:w w:val="105"/>
          <w:sz w:val="14"/>
        </w:rPr>
        <w:t>penal.</w:t>
      </w:r>
      <w:r>
        <w:rPr>
          <w:color w:val="00AC59"/>
          <w:spacing w:val="-5"/>
          <w:w w:val="105"/>
          <w:sz w:val="14"/>
        </w:rPr>
        <w:t xml:space="preserve"> </w:t>
      </w:r>
      <w:r>
        <w:rPr>
          <w:w w:val="105"/>
          <w:sz w:val="14"/>
        </w:rPr>
        <w:t>En</w:t>
      </w:r>
      <w:r>
        <w:rPr>
          <w:spacing w:val="-5"/>
          <w:w w:val="105"/>
          <w:sz w:val="14"/>
        </w:rPr>
        <w:t xml:space="preserve"> </w:t>
      </w:r>
      <w:r>
        <w:rPr>
          <w:w w:val="105"/>
          <w:sz w:val="14"/>
        </w:rPr>
        <w:t>términos</w:t>
      </w:r>
      <w:r>
        <w:rPr>
          <w:spacing w:val="-5"/>
          <w:w w:val="105"/>
          <w:sz w:val="14"/>
        </w:rPr>
        <w:t xml:space="preserve"> </w:t>
      </w:r>
      <w:r>
        <w:rPr>
          <w:w w:val="105"/>
          <w:sz w:val="14"/>
        </w:rPr>
        <w:t>generales,</w:t>
      </w:r>
      <w:r>
        <w:rPr>
          <w:spacing w:val="-4"/>
          <w:w w:val="105"/>
          <w:sz w:val="14"/>
        </w:rPr>
        <w:t xml:space="preserve"> </w:t>
      </w:r>
      <w:r>
        <w:rPr>
          <w:w w:val="105"/>
          <w:sz w:val="14"/>
        </w:rPr>
        <w:t>el</w:t>
      </w:r>
      <w:r>
        <w:rPr>
          <w:spacing w:val="-5"/>
          <w:w w:val="105"/>
          <w:sz w:val="14"/>
        </w:rPr>
        <w:t xml:space="preserve"> </w:t>
      </w:r>
      <w:r>
        <w:rPr>
          <w:w w:val="105"/>
          <w:sz w:val="14"/>
        </w:rPr>
        <w:t>propósito</w:t>
      </w:r>
      <w:r>
        <w:rPr>
          <w:spacing w:val="-5"/>
          <w:w w:val="105"/>
          <w:sz w:val="14"/>
        </w:rPr>
        <w:t xml:space="preserve"> </w:t>
      </w:r>
      <w:r>
        <w:rPr>
          <w:w w:val="105"/>
          <w:sz w:val="14"/>
        </w:rPr>
        <w:t>del derecho penal es castigar al autor de un delito y reconocer el daño social causado por sus acciones, más que compensar a la víctima por</w:t>
      </w:r>
    </w:p>
    <w:p w14:paraId="19F41BB4" w14:textId="77777777" w:rsidR="0014798C" w:rsidRDefault="004E1F0B">
      <w:pPr>
        <w:spacing w:line="372" w:lineRule="auto"/>
        <w:ind w:left="1347" w:right="1253" w:hanging="1"/>
        <w:rPr>
          <w:sz w:val="14"/>
        </w:rPr>
      </w:pPr>
      <w:r>
        <w:rPr>
          <w:w w:val="105"/>
          <w:sz w:val="14"/>
        </w:rPr>
        <w:t>el</w:t>
      </w:r>
      <w:r>
        <w:rPr>
          <w:spacing w:val="-4"/>
          <w:w w:val="105"/>
          <w:sz w:val="14"/>
        </w:rPr>
        <w:t xml:space="preserve"> </w:t>
      </w:r>
      <w:r>
        <w:rPr>
          <w:w w:val="105"/>
          <w:sz w:val="14"/>
        </w:rPr>
        <w:t>daño</w:t>
      </w:r>
      <w:r>
        <w:rPr>
          <w:spacing w:val="-4"/>
          <w:w w:val="105"/>
          <w:sz w:val="14"/>
        </w:rPr>
        <w:t xml:space="preserve"> </w:t>
      </w:r>
      <w:r>
        <w:rPr>
          <w:w w:val="105"/>
          <w:sz w:val="14"/>
        </w:rPr>
        <w:t>causado</w:t>
      </w:r>
      <w:r>
        <w:rPr>
          <w:spacing w:val="-4"/>
          <w:w w:val="105"/>
          <w:sz w:val="14"/>
        </w:rPr>
        <w:t xml:space="preserve"> </w:t>
      </w:r>
      <w:r>
        <w:rPr>
          <w:w w:val="105"/>
          <w:sz w:val="14"/>
        </w:rPr>
        <w:t>por</w:t>
      </w:r>
      <w:r>
        <w:rPr>
          <w:spacing w:val="-4"/>
          <w:w w:val="105"/>
          <w:sz w:val="14"/>
        </w:rPr>
        <w:t xml:space="preserve"> </w:t>
      </w:r>
      <w:r>
        <w:rPr>
          <w:w w:val="105"/>
          <w:sz w:val="14"/>
        </w:rPr>
        <w:t>un</w:t>
      </w:r>
      <w:r>
        <w:rPr>
          <w:spacing w:val="-4"/>
          <w:w w:val="105"/>
          <w:sz w:val="14"/>
        </w:rPr>
        <w:t xml:space="preserve"> </w:t>
      </w:r>
      <w:r>
        <w:rPr>
          <w:w w:val="105"/>
          <w:sz w:val="14"/>
        </w:rPr>
        <w:t>delito</w:t>
      </w:r>
      <w:r>
        <w:rPr>
          <w:spacing w:val="-4"/>
          <w:w w:val="105"/>
          <w:sz w:val="14"/>
        </w:rPr>
        <w:t xml:space="preserve"> </w:t>
      </w:r>
      <w:r>
        <w:rPr>
          <w:w w:val="105"/>
          <w:sz w:val="14"/>
        </w:rPr>
        <w:t>en</w:t>
      </w:r>
      <w:r>
        <w:rPr>
          <w:spacing w:val="-4"/>
          <w:w w:val="105"/>
          <w:sz w:val="14"/>
        </w:rPr>
        <w:t xml:space="preserve"> </w:t>
      </w:r>
      <w:r>
        <w:rPr>
          <w:w w:val="105"/>
          <w:sz w:val="14"/>
        </w:rPr>
        <w:t>particular.</w:t>
      </w:r>
      <w:r>
        <w:rPr>
          <w:spacing w:val="-4"/>
          <w:w w:val="105"/>
          <w:sz w:val="14"/>
        </w:rPr>
        <w:t xml:space="preserve"> </w:t>
      </w:r>
      <w:r>
        <w:rPr>
          <w:w w:val="105"/>
          <w:sz w:val="14"/>
        </w:rPr>
        <w:t>En</w:t>
      </w:r>
      <w:r>
        <w:rPr>
          <w:spacing w:val="-4"/>
          <w:w w:val="105"/>
          <w:sz w:val="14"/>
        </w:rPr>
        <w:t xml:space="preserve"> </w:t>
      </w:r>
      <w:r>
        <w:rPr>
          <w:w w:val="105"/>
          <w:sz w:val="14"/>
        </w:rPr>
        <w:t>el</w:t>
      </w:r>
      <w:r>
        <w:rPr>
          <w:spacing w:val="-4"/>
          <w:w w:val="105"/>
          <w:sz w:val="14"/>
        </w:rPr>
        <w:t xml:space="preserve"> </w:t>
      </w:r>
      <w:r>
        <w:rPr>
          <w:w w:val="105"/>
          <w:sz w:val="14"/>
        </w:rPr>
        <w:t>contexto</w:t>
      </w:r>
      <w:r>
        <w:rPr>
          <w:spacing w:val="-4"/>
          <w:w w:val="105"/>
          <w:sz w:val="14"/>
        </w:rPr>
        <w:t xml:space="preserve"> </w:t>
      </w:r>
      <w:r>
        <w:rPr>
          <w:w w:val="105"/>
          <w:sz w:val="14"/>
        </w:rPr>
        <w:t>de</w:t>
      </w:r>
      <w:r>
        <w:rPr>
          <w:spacing w:val="-4"/>
          <w:w w:val="105"/>
          <w:sz w:val="14"/>
        </w:rPr>
        <w:t xml:space="preserve"> </w:t>
      </w:r>
      <w:r>
        <w:rPr>
          <w:w w:val="105"/>
          <w:sz w:val="14"/>
        </w:rPr>
        <w:t>las</w:t>
      </w:r>
      <w:r>
        <w:rPr>
          <w:spacing w:val="-4"/>
          <w:w w:val="105"/>
          <w:sz w:val="14"/>
        </w:rPr>
        <w:t xml:space="preserve"> </w:t>
      </w:r>
      <w:r>
        <w:rPr>
          <w:w w:val="105"/>
          <w:sz w:val="14"/>
        </w:rPr>
        <w:t>demandas</w:t>
      </w:r>
      <w:r>
        <w:rPr>
          <w:spacing w:val="-4"/>
          <w:w w:val="105"/>
          <w:sz w:val="14"/>
        </w:rPr>
        <w:t xml:space="preserve"> </w:t>
      </w:r>
      <w:r>
        <w:rPr>
          <w:w w:val="105"/>
          <w:sz w:val="14"/>
        </w:rPr>
        <w:t>por</w:t>
      </w:r>
      <w:r>
        <w:rPr>
          <w:spacing w:val="-4"/>
          <w:w w:val="105"/>
          <w:sz w:val="14"/>
        </w:rPr>
        <w:t xml:space="preserve"> </w:t>
      </w:r>
      <w:r>
        <w:rPr>
          <w:w w:val="105"/>
          <w:sz w:val="14"/>
        </w:rPr>
        <w:t>discriminación,</w:t>
      </w:r>
      <w:r>
        <w:rPr>
          <w:spacing w:val="-4"/>
          <w:w w:val="105"/>
          <w:sz w:val="14"/>
        </w:rPr>
        <w:t xml:space="preserve"> </w:t>
      </w:r>
      <w:r>
        <w:rPr>
          <w:w w:val="105"/>
          <w:sz w:val="14"/>
        </w:rPr>
        <w:t>si</w:t>
      </w:r>
      <w:r>
        <w:rPr>
          <w:spacing w:val="-4"/>
          <w:w w:val="105"/>
          <w:sz w:val="14"/>
        </w:rPr>
        <w:t xml:space="preserve"> </w:t>
      </w:r>
      <w:r>
        <w:rPr>
          <w:w w:val="105"/>
          <w:sz w:val="14"/>
        </w:rPr>
        <w:t>bien</w:t>
      </w:r>
      <w:r>
        <w:rPr>
          <w:spacing w:val="-4"/>
          <w:w w:val="105"/>
          <w:sz w:val="14"/>
        </w:rPr>
        <w:t xml:space="preserve"> </w:t>
      </w:r>
      <w:r>
        <w:rPr>
          <w:w w:val="105"/>
          <w:sz w:val="14"/>
        </w:rPr>
        <w:t>el</w:t>
      </w:r>
      <w:r>
        <w:rPr>
          <w:spacing w:val="-4"/>
          <w:w w:val="105"/>
          <w:sz w:val="14"/>
        </w:rPr>
        <w:t xml:space="preserve"> </w:t>
      </w:r>
      <w:r>
        <w:rPr>
          <w:w w:val="105"/>
          <w:sz w:val="14"/>
        </w:rPr>
        <w:t>derecho</w:t>
      </w:r>
      <w:r>
        <w:rPr>
          <w:spacing w:val="-4"/>
          <w:w w:val="105"/>
          <w:sz w:val="14"/>
        </w:rPr>
        <w:t xml:space="preserve"> </w:t>
      </w:r>
      <w:r>
        <w:rPr>
          <w:w w:val="105"/>
          <w:sz w:val="14"/>
        </w:rPr>
        <w:t>penal</w:t>
      </w:r>
      <w:r>
        <w:rPr>
          <w:spacing w:val="-4"/>
          <w:w w:val="105"/>
          <w:sz w:val="14"/>
        </w:rPr>
        <w:t xml:space="preserve"> </w:t>
      </w:r>
      <w:r>
        <w:rPr>
          <w:w w:val="105"/>
          <w:sz w:val="14"/>
        </w:rPr>
        <w:t>ofrece</w:t>
      </w:r>
      <w:r>
        <w:rPr>
          <w:spacing w:val="-4"/>
          <w:w w:val="105"/>
          <w:sz w:val="14"/>
        </w:rPr>
        <w:t xml:space="preserve"> </w:t>
      </w:r>
      <w:r>
        <w:rPr>
          <w:w w:val="105"/>
          <w:sz w:val="14"/>
        </w:rPr>
        <w:t>la</w:t>
      </w:r>
      <w:r>
        <w:rPr>
          <w:spacing w:val="-4"/>
          <w:w w:val="105"/>
          <w:sz w:val="14"/>
        </w:rPr>
        <w:t xml:space="preserve"> </w:t>
      </w:r>
      <w:r>
        <w:rPr>
          <w:w w:val="105"/>
          <w:sz w:val="14"/>
        </w:rPr>
        <w:t>posibilidad de</w:t>
      </w:r>
      <w:r>
        <w:rPr>
          <w:spacing w:val="-2"/>
          <w:w w:val="105"/>
          <w:sz w:val="14"/>
        </w:rPr>
        <w:t xml:space="preserve"> </w:t>
      </w:r>
      <w:r>
        <w:rPr>
          <w:w w:val="105"/>
          <w:sz w:val="14"/>
        </w:rPr>
        <w:t>sanciones</w:t>
      </w:r>
      <w:r>
        <w:rPr>
          <w:spacing w:val="-2"/>
          <w:w w:val="105"/>
          <w:sz w:val="14"/>
        </w:rPr>
        <w:t xml:space="preserve"> </w:t>
      </w:r>
      <w:r>
        <w:rPr>
          <w:w w:val="105"/>
          <w:sz w:val="14"/>
        </w:rPr>
        <w:t>disuasorias,</w:t>
      </w:r>
      <w:r>
        <w:rPr>
          <w:spacing w:val="-1"/>
          <w:w w:val="105"/>
          <w:sz w:val="14"/>
        </w:rPr>
        <w:t xml:space="preserve"> </w:t>
      </w:r>
      <w:r>
        <w:rPr>
          <w:w w:val="105"/>
          <w:sz w:val="14"/>
        </w:rPr>
        <w:t>con</w:t>
      </w:r>
      <w:r>
        <w:rPr>
          <w:spacing w:val="-2"/>
          <w:w w:val="105"/>
          <w:sz w:val="14"/>
        </w:rPr>
        <w:t xml:space="preserve"> </w:t>
      </w:r>
      <w:r>
        <w:rPr>
          <w:w w:val="105"/>
          <w:sz w:val="14"/>
        </w:rPr>
        <w:t>frecuencia</w:t>
      </w:r>
      <w:r>
        <w:rPr>
          <w:spacing w:val="-2"/>
          <w:w w:val="105"/>
          <w:sz w:val="14"/>
        </w:rPr>
        <w:t xml:space="preserve"> </w:t>
      </w:r>
      <w:r>
        <w:rPr>
          <w:w w:val="105"/>
          <w:sz w:val="14"/>
        </w:rPr>
        <w:t>no</w:t>
      </w:r>
      <w:r>
        <w:rPr>
          <w:spacing w:val="-2"/>
          <w:w w:val="105"/>
          <w:sz w:val="14"/>
        </w:rPr>
        <w:t xml:space="preserve"> </w:t>
      </w:r>
      <w:r>
        <w:rPr>
          <w:w w:val="105"/>
          <w:sz w:val="14"/>
        </w:rPr>
        <w:t>proporciona</w:t>
      </w:r>
      <w:r>
        <w:rPr>
          <w:spacing w:val="-2"/>
          <w:w w:val="105"/>
          <w:sz w:val="14"/>
        </w:rPr>
        <w:t xml:space="preserve"> </w:t>
      </w:r>
      <w:r>
        <w:rPr>
          <w:w w:val="105"/>
          <w:sz w:val="14"/>
        </w:rPr>
        <w:t>un</w:t>
      </w:r>
      <w:r>
        <w:rPr>
          <w:spacing w:val="-2"/>
          <w:w w:val="105"/>
          <w:sz w:val="14"/>
        </w:rPr>
        <w:t xml:space="preserve"> </w:t>
      </w:r>
      <w:r>
        <w:rPr>
          <w:w w:val="105"/>
          <w:sz w:val="14"/>
        </w:rPr>
        <w:t>recurso</w:t>
      </w:r>
      <w:r>
        <w:rPr>
          <w:spacing w:val="-2"/>
          <w:w w:val="105"/>
          <w:sz w:val="14"/>
        </w:rPr>
        <w:t xml:space="preserve"> </w:t>
      </w:r>
      <w:r>
        <w:rPr>
          <w:w w:val="105"/>
          <w:sz w:val="14"/>
        </w:rPr>
        <w:t>efectivo</w:t>
      </w:r>
      <w:r>
        <w:rPr>
          <w:spacing w:val="-2"/>
          <w:w w:val="105"/>
          <w:sz w:val="14"/>
        </w:rPr>
        <w:t xml:space="preserve"> </w:t>
      </w:r>
      <w:r>
        <w:rPr>
          <w:w w:val="105"/>
          <w:sz w:val="14"/>
        </w:rPr>
        <w:t>a</w:t>
      </w:r>
      <w:r>
        <w:rPr>
          <w:spacing w:val="-2"/>
          <w:w w:val="105"/>
          <w:sz w:val="14"/>
        </w:rPr>
        <w:t xml:space="preserve"> </w:t>
      </w:r>
      <w:r>
        <w:rPr>
          <w:w w:val="105"/>
          <w:sz w:val="14"/>
        </w:rPr>
        <w:t>las</w:t>
      </w:r>
      <w:r>
        <w:rPr>
          <w:spacing w:val="-2"/>
          <w:w w:val="105"/>
          <w:sz w:val="14"/>
        </w:rPr>
        <w:t xml:space="preserve"> </w:t>
      </w:r>
      <w:r>
        <w:rPr>
          <w:w w:val="105"/>
          <w:sz w:val="14"/>
        </w:rPr>
        <w:t>víctimas.</w:t>
      </w:r>
      <w:r>
        <w:rPr>
          <w:spacing w:val="-1"/>
          <w:w w:val="105"/>
          <w:sz w:val="14"/>
        </w:rPr>
        <w:t xml:space="preserve"> </w:t>
      </w:r>
      <w:r>
        <w:rPr>
          <w:w w:val="105"/>
          <w:sz w:val="14"/>
        </w:rPr>
        <w:t>Como</w:t>
      </w:r>
      <w:r>
        <w:rPr>
          <w:spacing w:val="-2"/>
          <w:w w:val="105"/>
          <w:sz w:val="14"/>
        </w:rPr>
        <w:t xml:space="preserve"> </w:t>
      </w:r>
      <w:r>
        <w:rPr>
          <w:w w:val="105"/>
          <w:sz w:val="14"/>
        </w:rPr>
        <w:t>señaló</w:t>
      </w:r>
      <w:r>
        <w:rPr>
          <w:spacing w:val="-2"/>
          <w:w w:val="105"/>
          <w:sz w:val="14"/>
        </w:rPr>
        <w:t xml:space="preserve"> </w:t>
      </w:r>
      <w:r>
        <w:rPr>
          <w:w w:val="105"/>
          <w:sz w:val="14"/>
        </w:rPr>
        <w:t>el</w:t>
      </w:r>
      <w:r>
        <w:rPr>
          <w:spacing w:val="-2"/>
          <w:w w:val="105"/>
          <w:sz w:val="14"/>
        </w:rPr>
        <w:t xml:space="preserve"> </w:t>
      </w:r>
      <w:r>
        <w:rPr>
          <w:w w:val="105"/>
          <w:sz w:val="14"/>
        </w:rPr>
        <w:t>Comité</w:t>
      </w:r>
      <w:r>
        <w:rPr>
          <w:spacing w:val="-2"/>
          <w:w w:val="105"/>
          <w:sz w:val="14"/>
        </w:rPr>
        <w:t xml:space="preserve"> </w:t>
      </w:r>
      <w:r>
        <w:rPr>
          <w:w w:val="105"/>
          <w:sz w:val="14"/>
        </w:rPr>
        <w:t>para</w:t>
      </w:r>
      <w:r>
        <w:rPr>
          <w:spacing w:val="-2"/>
          <w:w w:val="105"/>
          <w:sz w:val="14"/>
        </w:rPr>
        <w:t xml:space="preserve"> </w:t>
      </w:r>
      <w:r>
        <w:rPr>
          <w:w w:val="105"/>
          <w:sz w:val="14"/>
        </w:rPr>
        <w:t>la</w:t>
      </w:r>
      <w:r>
        <w:rPr>
          <w:spacing w:val="-2"/>
          <w:w w:val="105"/>
          <w:sz w:val="14"/>
        </w:rPr>
        <w:t xml:space="preserve"> </w:t>
      </w:r>
      <w:r>
        <w:rPr>
          <w:w w:val="105"/>
          <w:sz w:val="14"/>
        </w:rPr>
        <w:t>Eliminación</w:t>
      </w:r>
      <w:r>
        <w:rPr>
          <w:spacing w:val="-2"/>
          <w:w w:val="105"/>
          <w:sz w:val="14"/>
        </w:rPr>
        <w:t xml:space="preserve"> </w:t>
      </w:r>
      <w:r>
        <w:rPr>
          <w:w w:val="105"/>
          <w:sz w:val="14"/>
        </w:rPr>
        <w:t>de</w:t>
      </w:r>
      <w:r>
        <w:rPr>
          <w:spacing w:val="40"/>
          <w:w w:val="105"/>
          <w:sz w:val="14"/>
        </w:rPr>
        <w:t xml:space="preserve"> </w:t>
      </w:r>
      <w:r>
        <w:rPr>
          <w:w w:val="105"/>
          <w:sz w:val="14"/>
        </w:rPr>
        <w:t>la</w:t>
      </w:r>
      <w:r>
        <w:rPr>
          <w:spacing w:val="-2"/>
          <w:w w:val="105"/>
          <w:sz w:val="14"/>
        </w:rPr>
        <w:t xml:space="preserve"> </w:t>
      </w:r>
      <w:r>
        <w:rPr>
          <w:w w:val="105"/>
          <w:sz w:val="14"/>
        </w:rPr>
        <w:t>Discriminación</w:t>
      </w:r>
      <w:r>
        <w:rPr>
          <w:spacing w:val="-2"/>
          <w:w w:val="105"/>
          <w:sz w:val="14"/>
        </w:rPr>
        <w:t xml:space="preserve"> </w:t>
      </w:r>
      <w:r>
        <w:rPr>
          <w:w w:val="105"/>
          <w:sz w:val="14"/>
        </w:rPr>
        <w:t>Racial</w:t>
      </w:r>
      <w:r>
        <w:rPr>
          <w:spacing w:val="-2"/>
          <w:w w:val="105"/>
          <w:sz w:val="14"/>
        </w:rPr>
        <w:t xml:space="preserve"> </w:t>
      </w:r>
      <w:r>
        <w:rPr>
          <w:w w:val="105"/>
          <w:sz w:val="14"/>
        </w:rPr>
        <w:t>en</w:t>
      </w:r>
      <w:r>
        <w:rPr>
          <w:spacing w:val="-2"/>
          <w:w w:val="105"/>
          <w:sz w:val="14"/>
        </w:rPr>
        <w:t xml:space="preserve"> </w:t>
      </w:r>
      <w:r>
        <w:rPr>
          <w:w w:val="105"/>
          <w:sz w:val="14"/>
        </w:rPr>
        <w:t>BJ</w:t>
      </w:r>
      <w:r>
        <w:rPr>
          <w:spacing w:val="-2"/>
          <w:w w:val="105"/>
          <w:sz w:val="14"/>
        </w:rPr>
        <w:t xml:space="preserve"> </w:t>
      </w:r>
      <w:r>
        <w:rPr>
          <w:w w:val="105"/>
          <w:sz w:val="14"/>
        </w:rPr>
        <w:t>c.</w:t>
      </w:r>
      <w:r>
        <w:rPr>
          <w:spacing w:val="-2"/>
          <w:w w:val="105"/>
          <w:sz w:val="14"/>
        </w:rPr>
        <w:t xml:space="preserve"> </w:t>
      </w:r>
      <w:r>
        <w:rPr>
          <w:w w:val="105"/>
          <w:sz w:val="14"/>
        </w:rPr>
        <w:t>Dinamarca,</w:t>
      </w:r>
      <w:r>
        <w:rPr>
          <w:spacing w:val="-1"/>
          <w:w w:val="105"/>
          <w:sz w:val="14"/>
        </w:rPr>
        <w:t xml:space="preserve"> </w:t>
      </w:r>
      <w:r>
        <w:rPr>
          <w:w w:val="105"/>
          <w:sz w:val="14"/>
        </w:rPr>
        <w:t>por</w:t>
      </w:r>
      <w:r>
        <w:rPr>
          <w:spacing w:val="-2"/>
          <w:w w:val="105"/>
          <w:sz w:val="14"/>
        </w:rPr>
        <w:t xml:space="preserve"> </w:t>
      </w:r>
      <w:r>
        <w:rPr>
          <w:w w:val="105"/>
          <w:sz w:val="14"/>
        </w:rPr>
        <w:t>ejemplo,</w:t>
      </w:r>
      <w:r>
        <w:rPr>
          <w:spacing w:val="-1"/>
          <w:w w:val="105"/>
          <w:sz w:val="14"/>
        </w:rPr>
        <w:t xml:space="preserve"> </w:t>
      </w:r>
      <w:r>
        <w:rPr>
          <w:w w:val="105"/>
          <w:sz w:val="14"/>
        </w:rPr>
        <w:t>los</w:t>
      </w:r>
      <w:r>
        <w:rPr>
          <w:spacing w:val="-2"/>
          <w:w w:val="105"/>
          <w:sz w:val="14"/>
        </w:rPr>
        <w:t xml:space="preserve"> </w:t>
      </w:r>
      <w:r>
        <w:rPr>
          <w:w w:val="105"/>
          <w:sz w:val="14"/>
        </w:rPr>
        <w:t>actos</w:t>
      </w:r>
      <w:r>
        <w:rPr>
          <w:spacing w:val="-2"/>
          <w:w w:val="105"/>
          <w:sz w:val="14"/>
        </w:rPr>
        <w:t xml:space="preserve"> </w:t>
      </w:r>
      <w:r>
        <w:rPr>
          <w:w w:val="105"/>
          <w:sz w:val="14"/>
        </w:rPr>
        <w:t>de</w:t>
      </w:r>
      <w:r>
        <w:rPr>
          <w:spacing w:val="-2"/>
          <w:w w:val="105"/>
          <w:sz w:val="14"/>
        </w:rPr>
        <w:t xml:space="preserve"> </w:t>
      </w:r>
      <w:r>
        <w:rPr>
          <w:w w:val="105"/>
          <w:sz w:val="14"/>
        </w:rPr>
        <w:t>discriminación</w:t>
      </w:r>
      <w:r>
        <w:rPr>
          <w:spacing w:val="-2"/>
          <w:w w:val="105"/>
          <w:sz w:val="14"/>
        </w:rPr>
        <w:t xml:space="preserve"> </w:t>
      </w:r>
      <w:r>
        <w:rPr>
          <w:w w:val="105"/>
          <w:sz w:val="14"/>
        </w:rPr>
        <w:t>“pueden</w:t>
      </w:r>
      <w:r>
        <w:rPr>
          <w:spacing w:val="-2"/>
          <w:w w:val="105"/>
          <w:sz w:val="14"/>
        </w:rPr>
        <w:t xml:space="preserve"> </w:t>
      </w:r>
      <w:r>
        <w:rPr>
          <w:w w:val="105"/>
          <w:sz w:val="14"/>
        </w:rPr>
        <w:t>merecer</w:t>
      </w:r>
      <w:r>
        <w:rPr>
          <w:spacing w:val="-2"/>
          <w:w w:val="105"/>
          <w:sz w:val="14"/>
        </w:rPr>
        <w:t xml:space="preserve"> </w:t>
      </w:r>
      <w:r>
        <w:rPr>
          <w:w w:val="105"/>
          <w:sz w:val="14"/>
        </w:rPr>
        <w:t>una</w:t>
      </w:r>
      <w:r>
        <w:rPr>
          <w:spacing w:val="-2"/>
          <w:w w:val="105"/>
          <w:sz w:val="14"/>
        </w:rPr>
        <w:t xml:space="preserve"> </w:t>
      </w:r>
      <w:r>
        <w:rPr>
          <w:w w:val="105"/>
          <w:sz w:val="14"/>
        </w:rPr>
        <w:t>compensación</w:t>
      </w:r>
      <w:r>
        <w:rPr>
          <w:spacing w:val="-2"/>
          <w:w w:val="105"/>
          <w:sz w:val="14"/>
        </w:rPr>
        <w:t xml:space="preserve"> </w:t>
      </w:r>
      <w:r>
        <w:rPr>
          <w:w w:val="105"/>
          <w:sz w:val="14"/>
        </w:rPr>
        <w:t>económica</w:t>
      </w:r>
      <w:r>
        <w:rPr>
          <w:spacing w:val="-2"/>
          <w:w w:val="105"/>
          <w:sz w:val="14"/>
        </w:rPr>
        <w:t xml:space="preserve"> </w:t>
      </w:r>
      <w:r>
        <w:rPr>
          <w:w w:val="105"/>
          <w:sz w:val="14"/>
        </w:rPr>
        <w:t>y</w:t>
      </w:r>
      <w:r>
        <w:rPr>
          <w:spacing w:val="-2"/>
          <w:w w:val="105"/>
          <w:sz w:val="14"/>
        </w:rPr>
        <w:t xml:space="preserve"> </w:t>
      </w:r>
      <w:r>
        <w:rPr>
          <w:w w:val="105"/>
          <w:sz w:val="14"/>
        </w:rPr>
        <w:t>no siempre</w:t>
      </w:r>
      <w:r>
        <w:rPr>
          <w:spacing w:val="-2"/>
          <w:w w:val="105"/>
          <w:sz w:val="14"/>
        </w:rPr>
        <w:t xml:space="preserve"> </w:t>
      </w:r>
      <w:r>
        <w:rPr>
          <w:w w:val="105"/>
          <w:sz w:val="14"/>
        </w:rPr>
        <w:t>pueden</w:t>
      </w:r>
      <w:r>
        <w:rPr>
          <w:spacing w:val="-2"/>
          <w:w w:val="105"/>
          <w:sz w:val="14"/>
        </w:rPr>
        <w:t xml:space="preserve"> </w:t>
      </w:r>
      <w:r>
        <w:rPr>
          <w:w w:val="105"/>
          <w:sz w:val="14"/>
        </w:rPr>
        <w:t>repararse</w:t>
      </w:r>
      <w:r>
        <w:rPr>
          <w:spacing w:val="-2"/>
          <w:w w:val="105"/>
          <w:sz w:val="14"/>
        </w:rPr>
        <w:t xml:space="preserve"> </w:t>
      </w:r>
      <w:r>
        <w:rPr>
          <w:w w:val="105"/>
          <w:sz w:val="14"/>
        </w:rPr>
        <w:t>o</w:t>
      </w:r>
      <w:r>
        <w:rPr>
          <w:spacing w:val="-2"/>
          <w:w w:val="105"/>
          <w:sz w:val="14"/>
        </w:rPr>
        <w:t xml:space="preserve"> </w:t>
      </w:r>
      <w:r>
        <w:rPr>
          <w:w w:val="105"/>
          <w:sz w:val="14"/>
        </w:rPr>
        <w:t>satisfacerse</w:t>
      </w:r>
      <w:r>
        <w:rPr>
          <w:spacing w:val="-2"/>
          <w:w w:val="105"/>
          <w:sz w:val="14"/>
        </w:rPr>
        <w:t xml:space="preserve"> </w:t>
      </w:r>
      <w:r>
        <w:rPr>
          <w:w w:val="105"/>
          <w:sz w:val="14"/>
        </w:rPr>
        <w:t>adecuadamente</w:t>
      </w:r>
      <w:r>
        <w:rPr>
          <w:spacing w:val="-2"/>
          <w:w w:val="105"/>
          <w:sz w:val="14"/>
        </w:rPr>
        <w:t xml:space="preserve"> </w:t>
      </w:r>
      <w:r>
        <w:rPr>
          <w:w w:val="105"/>
          <w:sz w:val="14"/>
        </w:rPr>
        <w:t>imponiendo</w:t>
      </w:r>
      <w:r>
        <w:rPr>
          <w:spacing w:val="-2"/>
          <w:w w:val="105"/>
          <w:sz w:val="14"/>
        </w:rPr>
        <w:t xml:space="preserve"> </w:t>
      </w:r>
      <w:r>
        <w:rPr>
          <w:w w:val="105"/>
          <w:sz w:val="14"/>
        </w:rPr>
        <w:t>simplemente</w:t>
      </w:r>
      <w:r>
        <w:rPr>
          <w:spacing w:val="-2"/>
          <w:w w:val="105"/>
          <w:sz w:val="14"/>
        </w:rPr>
        <w:t xml:space="preserve"> </w:t>
      </w:r>
      <w:r>
        <w:rPr>
          <w:w w:val="105"/>
          <w:sz w:val="14"/>
        </w:rPr>
        <w:t>una</w:t>
      </w:r>
      <w:r>
        <w:rPr>
          <w:spacing w:val="-2"/>
          <w:w w:val="105"/>
          <w:sz w:val="14"/>
        </w:rPr>
        <w:t xml:space="preserve"> </w:t>
      </w:r>
      <w:r>
        <w:rPr>
          <w:w w:val="105"/>
          <w:sz w:val="14"/>
        </w:rPr>
        <w:t>sanción</w:t>
      </w:r>
      <w:r>
        <w:rPr>
          <w:spacing w:val="-2"/>
          <w:w w:val="105"/>
          <w:sz w:val="14"/>
        </w:rPr>
        <w:t xml:space="preserve"> </w:t>
      </w:r>
      <w:r>
        <w:rPr>
          <w:w w:val="105"/>
          <w:sz w:val="14"/>
        </w:rPr>
        <w:t>penal</w:t>
      </w:r>
      <w:r>
        <w:rPr>
          <w:spacing w:val="-2"/>
          <w:w w:val="105"/>
          <w:sz w:val="14"/>
        </w:rPr>
        <w:t xml:space="preserve"> </w:t>
      </w:r>
      <w:r>
        <w:rPr>
          <w:w w:val="105"/>
          <w:sz w:val="14"/>
        </w:rPr>
        <w:t>al</w:t>
      </w:r>
      <w:r>
        <w:rPr>
          <w:spacing w:val="-2"/>
          <w:w w:val="105"/>
          <w:sz w:val="14"/>
        </w:rPr>
        <w:t xml:space="preserve"> </w:t>
      </w:r>
      <w:r>
        <w:rPr>
          <w:w w:val="105"/>
          <w:sz w:val="14"/>
        </w:rPr>
        <w:t>perpetrador”589.</w:t>
      </w:r>
    </w:p>
    <w:p w14:paraId="44D78BFA" w14:textId="77777777" w:rsidR="0014798C" w:rsidRDefault="0014798C">
      <w:pPr>
        <w:pStyle w:val="Textoindependiente"/>
        <w:rPr>
          <w:sz w:val="14"/>
        </w:rPr>
      </w:pPr>
    </w:p>
    <w:p w14:paraId="1C21C985" w14:textId="77777777" w:rsidR="0014798C" w:rsidRDefault="0014798C">
      <w:pPr>
        <w:pStyle w:val="Textoindependiente"/>
        <w:spacing w:before="99"/>
        <w:rPr>
          <w:sz w:val="14"/>
        </w:rPr>
      </w:pPr>
    </w:p>
    <w:p w14:paraId="573CA2AC" w14:textId="77777777" w:rsidR="0014798C" w:rsidRDefault="004E1F0B">
      <w:pPr>
        <w:spacing w:line="372" w:lineRule="auto"/>
        <w:ind w:left="1109" w:right="1210" w:hanging="4"/>
        <w:rPr>
          <w:sz w:val="14"/>
        </w:rPr>
      </w:pPr>
      <w:r>
        <w:rPr>
          <w:w w:val="105"/>
          <w:sz w:val="14"/>
        </w:rPr>
        <w:t>Por lo tanto, las mejores prácticas internacionales establecen que, para garantizar recursos y reparaciones efectivos para las manifestaciones de</w:t>
      </w:r>
      <w:r>
        <w:rPr>
          <w:spacing w:val="-4"/>
          <w:w w:val="105"/>
          <w:sz w:val="14"/>
        </w:rPr>
        <w:t xml:space="preserve"> </w:t>
      </w:r>
      <w:r>
        <w:rPr>
          <w:w w:val="105"/>
          <w:sz w:val="14"/>
        </w:rPr>
        <w:t>discriminación</w:t>
      </w:r>
      <w:r>
        <w:rPr>
          <w:spacing w:val="-4"/>
          <w:w w:val="105"/>
          <w:sz w:val="14"/>
        </w:rPr>
        <w:t xml:space="preserve"> </w:t>
      </w:r>
      <w:r>
        <w:rPr>
          <w:w w:val="105"/>
          <w:sz w:val="14"/>
        </w:rPr>
        <w:t>directa</w:t>
      </w:r>
      <w:r>
        <w:rPr>
          <w:spacing w:val="-4"/>
          <w:w w:val="105"/>
          <w:sz w:val="14"/>
        </w:rPr>
        <w:t xml:space="preserve"> </w:t>
      </w:r>
      <w:r>
        <w:rPr>
          <w:w w:val="105"/>
          <w:sz w:val="14"/>
        </w:rPr>
        <w:t>e</w:t>
      </w:r>
      <w:r>
        <w:rPr>
          <w:spacing w:val="-4"/>
          <w:w w:val="105"/>
          <w:sz w:val="14"/>
        </w:rPr>
        <w:t xml:space="preserve"> </w:t>
      </w:r>
      <w:r>
        <w:rPr>
          <w:w w:val="105"/>
          <w:sz w:val="14"/>
        </w:rPr>
        <w:t>indirecta</w:t>
      </w:r>
      <w:r>
        <w:rPr>
          <w:spacing w:val="-4"/>
          <w:w w:val="105"/>
          <w:sz w:val="14"/>
        </w:rPr>
        <w:t xml:space="preserve"> </w:t>
      </w:r>
      <w:r>
        <w:rPr>
          <w:w w:val="105"/>
          <w:sz w:val="14"/>
        </w:rPr>
        <w:t>en</w:t>
      </w:r>
      <w:r>
        <w:rPr>
          <w:spacing w:val="-4"/>
          <w:w w:val="105"/>
          <w:sz w:val="14"/>
        </w:rPr>
        <w:t xml:space="preserve"> </w:t>
      </w:r>
      <w:r>
        <w:rPr>
          <w:w w:val="105"/>
          <w:sz w:val="14"/>
        </w:rPr>
        <w:t>la</w:t>
      </w:r>
      <w:r>
        <w:rPr>
          <w:spacing w:val="-4"/>
          <w:w w:val="105"/>
          <w:sz w:val="14"/>
        </w:rPr>
        <w:t xml:space="preserve"> </w:t>
      </w:r>
      <w:r>
        <w:rPr>
          <w:w w:val="105"/>
          <w:sz w:val="14"/>
        </w:rPr>
        <w:t>mayoría</w:t>
      </w:r>
      <w:r>
        <w:rPr>
          <w:spacing w:val="-4"/>
          <w:w w:val="105"/>
          <w:sz w:val="14"/>
        </w:rPr>
        <w:t xml:space="preserve"> </w:t>
      </w:r>
      <w:r>
        <w:rPr>
          <w:w w:val="105"/>
          <w:sz w:val="14"/>
        </w:rPr>
        <w:t>de</w:t>
      </w:r>
      <w:r>
        <w:rPr>
          <w:spacing w:val="-4"/>
          <w:w w:val="105"/>
          <w:sz w:val="14"/>
        </w:rPr>
        <w:t xml:space="preserve"> </w:t>
      </w:r>
      <w:r>
        <w:rPr>
          <w:w w:val="105"/>
          <w:sz w:val="14"/>
        </w:rPr>
        <w:t>las</w:t>
      </w:r>
      <w:r>
        <w:rPr>
          <w:spacing w:val="-4"/>
          <w:w w:val="105"/>
          <w:sz w:val="14"/>
        </w:rPr>
        <w:t xml:space="preserve"> </w:t>
      </w:r>
      <w:r>
        <w:rPr>
          <w:w w:val="105"/>
          <w:sz w:val="14"/>
        </w:rPr>
        <w:t>áreas</w:t>
      </w:r>
      <w:r>
        <w:rPr>
          <w:spacing w:val="-4"/>
          <w:w w:val="105"/>
          <w:sz w:val="14"/>
        </w:rPr>
        <w:t xml:space="preserve"> </w:t>
      </w:r>
      <w:r>
        <w:rPr>
          <w:w w:val="105"/>
          <w:sz w:val="14"/>
        </w:rPr>
        <w:t>de</w:t>
      </w:r>
      <w:r>
        <w:rPr>
          <w:spacing w:val="-4"/>
          <w:w w:val="105"/>
          <w:sz w:val="14"/>
        </w:rPr>
        <w:t xml:space="preserve"> </w:t>
      </w:r>
      <w:r>
        <w:rPr>
          <w:w w:val="105"/>
          <w:sz w:val="14"/>
        </w:rPr>
        <w:t>la</w:t>
      </w:r>
      <w:r>
        <w:rPr>
          <w:spacing w:val="-4"/>
          <w:w w:val="105"/>
          <w:sz w:val="14"/>
        </w:rPr>
        <w:t xml:space="preserve"> </w:t>
      </w:r>
      <w:r>
        <w:rPr>
          <w:w w:val="105"/>
          <w:sz w:val="14"/>
        </w:rPr>
        <w:t>vida</w:t>
      </w:r>
      <w:r>
        <w:rPr>
          <w:spacing w:val="-4"/>
          <w:w w:val="105"/>
          <w:sz w:val="14"/>
        </w:rPr>
        <w:t xml:space="preserve"> </w:t>
      </w:r>
      <w:r>
        <w:rPr>
          <w:w w:val="105"/>
          <w:sz w:val="14"/>
        </w:rPr>
        <w:t>dentro</w:t>
      </w:r>
      <w:r>
        <w:rPr>
          <w:spacing w:val="-4"/>
          <w:w w:val="105"/>
          <w:sz w:val="14"/>
        </w:rPr>
        <w:t xml:space="preserve"> </w:t>
      </w:r>
      <w:r>
        <w:rPr>
          <w:w w:val="105"/>
          <w:sz w:val="14"/>
        </w:rPr>
        <w:t>del</w:t>
      </w:r>
      <w:r>
        <w:rPr>
          <w:spacing w:val="-4"/>
          <w:w w:val="105"/>
          <w:sz w:val="14"/>
        </w:rPr>
        <w:t xml:space="preserve"> </w:t>
      </w:r>
      <w:r>
        <w:rPr>
          <w:w w:val="105"/>
          <w:sz w:val="14"/>
        </w:rPr>
        <w:t>alcance</w:t>
      </w:r>
      <w:r>
        <w:rPr>
          <w:spacing w:val="-4"/>
          <w:w w:val="105"/>
          <w:sz w:val="14"/>
        </w:rPr>
        <w:t xml:space="preserve"> </w:t>
      </w:r>
      <w:r>
        <w:rPr>
          <w:w w:val="105"/>
          <w:sz w:val="14"/>
        </w:rPr>
        <w:t>de</w:t>
      </w:r>
      <w:r>
        <w:rPr>
          <w:spacing w:val="-4"/>
          <w:w w:val="105"/>
          <w:sz w:val="14"/>
        </w:rPr>
        <w:t xml:space="preserve"> </w:t>
      </w:r>
      <w:r>
        <w:rPr>
          <w:w w:val="105"/>
          <w:sz w:val="14"/>
        </w:rPr>
        <w:t>una</w:t>
      </w:r>
      <w:r>
        <w:rPr>
          <w:spacing w:val="-4"/>
          <w:w w:val="105"/>
          <w:sz w:val="14"/>
        </w:rPr>
        <w:t xml:space="preserve"> </w:t>
      </w:r>
      <w:r>
        <w:rPr>
          <w:w w:val="105"/>
          <w:sz w:val="14"/>
        </w:rPr>
        <w:t>legislación</w:t>
      </w:r>
      <w:r>
        <w:rPr>
          <w:spacing w:val="-4"/>
          <w:w w:val="105"/>
          <w:sz w:val="14"/>
        </w:rPr>
        <w:t xml:space="preserve"> </w:t>
      </w:r>
      <w:r>
        <w:rPr>
          <w:w w:val="105"/>
          <w:sz w:val="14"/>
        </w:rPr>
        <w:t>integral</w:t>
      </w:r>
      <w:r>
        <w:rPr>
          <w:spacing w:val="-4"/>
          <w:w w:val="105"/>
          <w:sz w:val="14"/>
        </w:rPr>
        <w:t xml:space="preserve"> </w:t>
      </w:r>
      <w:r>
        <w:rPr>
          <w:w w:val="105"/>
          <w:sz w:val="14"/>
        </w:rPr>
        <w:t>contra</w:t>
      </w:r>
      <w:r>
        <w:rPr>
          <w:spacing w:val="-4"/>
          <w:w w:val="105"/>
          <w:sz w:val="14"/>
        </w:rPr>
        <w:t xml:space="preserve"> </w:t>
      </w:r>
      <w:r>
        <w:rPr>
          <w:w w:val="105"/>
          <w:sz w:val="14"/>
        </w:rPr>
        <w:t>la</w:t>
      </w:r>
      <w:r>
        <w:rPr>
          <w:spacing w:val="-4"/>
          <w:w w:val="105"/>
          <w:sz w:val="14"/>
        </w:rPr>
        <w:t xml:space="preserve"> </w:t>
      </w:r>
      <w:proofErr w:type="gramStart"/>
      <w:r>
        <w:rPr>
          <w:w w:val="105"/>
          <w:sz w:val="14"/>
        </w:rPr>
        <w:t>discriminación</w:t>
      </w:r>
      <w:r>
        <w:rPr>
          <w:spacing w:val="-4"/>
          <w:w w:val="105"/>
          <w:sz w:val="14"/>
        </w:rPr>
        <w:t xml:space="preserve"> </w:t>
      </w:r>
      <w:r>
        <w:rPr>
          <w:w w:val="105"/>
          <w:sz w:val="14"/>
        </w:rPr>
        <w:t>,</w:t>
      </w:r>
      <w:proofErr w:type="gramEnd"/>
    </w:p>
    <w:p w14:paraId="4C397288" w14:textId="77777777" w:rsidR="0014798C" w:rsidRDefault="004E1F0B">
      <w:pPr>
        <w:spacing w:line="309" w:lineRule="auto"/>
        <w:ind w:left="1108" w:right="1272" w:firstLine="1"/>
        <w:rPr>
          <w:sz w:val="14"/>
        </w:rPr>
      </w:pPr>
      <w:r>
        <w:rPr>
          <w:w w:val="105"/>
          <w:sz w:val="14"/>
        </w:rPr>
        <w:t>las</w:t>
      </w:r>
      <w:r>
        <w:rPr>
          <w:spacing w:val="-5"/>
          <w:w w:val="105"/>
          <w:sz w:val="14"/>
        </w:rPr>
        <w:t xml:space="preserve"> </w:t>
      </w:r>
      <w:r>
        <w:rPr>
          <w:w w:val="105"/>
          <w:sz w:val="14"/>
        </w:rPr>
        <w:t>sanciones</w:t>
      </w:r>
      <w:r>
        <w:rPr>
          <w:spacing w:val="-5"/>
          <w:w w:val="105"/>
          <w:sz w:val="14"/>
        </w:rPr>
        <w:t xml:space="preserve"> </w:t>
      </w:r>
      <w:r>
        <w:rPr>
          <w:w w:val="105"/>
          <w:sz w:val="14"/>
        </w:rPr>
        <w:t>deben</w:t>
      </w:r>
      <w:r>
        <w:rPr>
          <w:spacing w:val="-5"/>
          <w:w w:val="105"/>
          <w:sz w:val="14"/>
        </w:rPr>
        <w:t xml:space="preserve"> </w:t>
      </w:r>
      <w:r>
        <w:rPr>
          <w:w w:val="105"/>
          <w:sz w:val="14"/>
        </w:rPr>
        <w:t>incluirse</w:t>
      </w:r>
      <w:r>
        <w:rPr>
          <w:spacing w:val="-5"/>
          <w:w w:val="105"/>
          <w:sz w:val="14"/>
        </w:rPr>
        <w:t xml:space="preserve"> </w:t>
      </w:r>
      <w:r>
        <w:rPr>
          <w:w w:val="105"/>
          <w:sz w:val="14"/>
        </w:rPr>
        <w:t>en</w:t>
      </w:r>
      <w:r>
        <w:rPr>
          <w:spacing w:val="-5"/>
          <w:w w:val="105"/>
          <w:sz w:val="14"/>
        </w:rPr>
        <w:t xml:space="preserve"> </w:t>
      </w:r>
      <w:r>
        <w:rPr>
          <w:w w:val="105"/>
          <w:sz w:val="14"/>
        </w:rPr>
        <w:t>el</w:t>
      </w:r>
      <w:r>
        <w:rPr>
          <w:spacing w:val="-5"/>
          <w:w w:val="105"/>
          <w:sz w:val="14"/>
        </w:rPr>
        <w:t xml:space="preserve"> </w:t>
      </w:r>
      <w:r>
        <w:rPr>
          <w:w w:val="105"/>
          <w:sz w:val="14"/>
        </w:rPr>
        <w:t>derecho</w:t>
      </w:r>
      <w:r>
        <w:rPr>
          <w:spacing w:val="-5"/>
          <w:w w:val="105"/>
          <w:sz w:val="14"/>
        </w:rPr>
        <w:t xml:space="preserve"> </w:t>
      </w:r>
      <w:r>
        <w:rPr>
          <w:w w:val="105"/>
          <w:sz w:val="14"/>
        </w:rPr>
        <w:t>civil</w:t>
      </w:r>
      <w:r>
        <w:rPr>
          <w:spacing w:val="-5"/>
          <w:w w:val="105"/>
          <w:sz w:val="14"/>
        </w:rPr>
        <w:t xml:space="preserve"> </w:t>
      </w:r>
      <w:r>
        <w:rPr>
          <w:w w:val="105"/>
          <w:sz w:val="14"/>
        </w:rPr>
        <w:t>y</w:t>
      </w:r>
      <w:r>
        <w:rPr>
          <w:spacing w:val="-5"/>
          <w:w w:val="105"/>
          <w:sz w:val="14"/>
        </w:rPr>
        <w:t xml:space="preserve"> </w:t>
      </w:r>
      <w:r>
        <w:rPr>
          <w:w w:val="105"/>
          <w:sz w:val="14"/>
        </w:rPr>
        <w:t>administrativo.</w:t>
      </w:r>
      <w:r>
        <w:rPr>
          <w:spacing w:val="-4"/>
          <w:w w:val="105"/>
          <w:sz w:val="14"/>
        </w:rPr>
        <w:t xml:space="preserve"> </w:t>
      </w:r>
      <w:r>
        <w:rPr>
          <w:w w:val="105"/>
          <w:sz w:val="14"/>
        </w:rPr>
        <w:t>Los</w:t>
      </w:r>
      <w:r>
        <w:rPr>
          <w:spacing w:val="-5"/>
          <w:w w:val="105"/>
          <w:sz w:val="14"/>
        </w:rPr>
        <w:t xml:space="preserve"> </w:t>
      </w:r>
      <w:r>
        <w:rPr>
          <w:w w:val="105"/>
          <w:sz w:val="14"/>
        </w:rPr>
        <w:t>esfuerzos</w:t>
      </w:r>
      <w:r>
        <w:rPr>
          <w:spacing w:val="-5"/>
          <w:w w:val="105"/>
          <w:sz w:val="14"/>
        </w:rPr>
        <w:t xml:space="preserve"> </w:t>
      </w:r>
      <w:r>
        <w:rPr>
          <w:w w:val="105"/>
          <w:sz w:val="14"/>
        </w:rPr>
        <w:t>positivos</w:t>
      </w:r>
      <w:r>
        <w:rPr>
          <w:spacing w:val="-5"/>
          <w:w w:val="105"/>
          <w:sz w:val="14"/>
        </w:rPr>
        <w:t xml:space="preserve"> </w:t>
      </w:r>
      <w:r>
        <w:rPr>
          <w:w w:val="105"/>
          <w:sz w:val="14"/>
        </w:rPr>
        <w:t>de</w:t>
      </w:r>
      <w:r>
        <w:rPr>
          <w:spacing w:val="-5"/>
          <w:w w:val="105"/>
          <w:sz w:val="14"/>
        </w:rPr>
        <w:t xml:space="preserve"> </w:t>
      </w:r>
      <w:r>
        <w:rPr>
          <w:w w:val="105"/>
          <w:sz w:val="14"/>
        </w:rPr>
        <w:t>reforma</w:t>
      </w:r>
      <w:r>
        <w:rPr>
          <w:spacing w:val="-5"/>
          <w:w w:val="105"/>
          <w:sz w:val="14"/>
        </w:rPr>
        <w:t xml:space="preserve"> </w:t>
      </w:r>
      <w:r>
        <w:rPr>
          <w:w w:val="105"/>
          <w:sz w:val="14"/>
        </w:rPr>
        <w:t>por</w:t>
      </w:r>
      <w:r>
        <w:rPr>
          <w:spacing w:val="-5"/>
          <w:w w:val="105"/>
          <w:sz w:val="14"/>
        </w:rPr>
        <w:t xml:space="preserve"> </w:t>
      </w:r>
      <w:r>
        <w:rPr>
          <w:w w:val="105"/>
          <w:sz w:val="14"/>
        </w:rPr>
        <w:t>parte</w:t>
      </w:r>
      <w:r>
        <w:rPr>
          <w:spacing w:val="-5"/>
          <w:w w:val="105"/>
          <w:sz w:val="14"/>
        </w:rPr>
        <w:t xml:space="preserve"> </w:t>
      </w:r>
      <w:r>
        <w:rPr>
          <w:w w:val="105"/>
          <w:sz w:val="14"/>
        </w:rPr>
        <w:t>de</w:t>
      </w:r>
      <w:r>
        <w:rPr>
          <w:spacing w:val="-5"/>
          <w:w w:val="105"/>
          <w:sz w:val="14"/>
        </w:rPr>
        <w:t xml:space="preserve"> </w:t>
      </w:r>
      <w:r>
        <w:rPr>
          <w:w w:val="105"/>
          <w:sz w:val="14"/>
        </w:rPr>
        <w:t>los</w:t>
      </w:r>
      <w:r>
        <w:rPr>
          <w:spacing w:val="-5"/>
          <w:w w:val="105"/>
          <w:sz w:val="14"/>
        </w:rPr>
        <w:t xml:space="preserve"> </w:t>
      </w:r>
      <w:r>
        <w:rPr>
          <w:w w:val="105"/>
          <w:sz w:val="14"/>
        </w:rPr>
        <w:t>Estados</w:t>
      </w:r>
      <w:r>
        <w:rPr>
          <w:spacing w:val="-5"/>
          <w:w w:val="105"/>
          <w:sz w:val="14"/>
        </w:rPr>
        <w:t xml:space="preserve"> </w:t>
      </w:r>
      <w:r>
        <w:rPr>
          <w:w w:val="105"/>
          <w:sz w:val="14"/>
        </w:rPr>
        <w:t>darán</w:t>
      </w:r>
      <w:r>
        <w:rPr>
          <w:spacing w:val="-5"/>
          <w:w w:val="105"/>
          <w:sz w:val="14"/>
        </w:rPr>
        <w:t xml:space="preserve"> </w:t>
      </w:r>
      <w:r>
        <w:rPr>
          <w:w w:val="105"/>
          <w:sz w:val="14"/>
        </w:rPr>
        <w:t>como resultado un enriquecimiento de todos los ámbitos pertinentes del derecho.</w:t>
      </w:r>
    </w:p>
    <w:p w14:paraId="52EBA146" w14:textId="77777777" w:rsidR="0014798C" w:rsidRDefault="0014798C">
      <w:pPr>
        <w:pStyle w:val="Textoindependiente"/>
        <w:spacing w:before="74"/>
        <w:rPr>
          <w:sz w:val="26"/>
        </w:rPr>
      </w:pPr>
    </w:p>
    <w:p w14:paraId="3496DA6A" w14:textId="77777777" w:rsidR="0014798C" w:rsidRDefault="004E1F0B">
      <w:pPr>
        <w:numPr>
          <w:ilvl w:val="1"/>
          <w:numId w:val="3"/>
        </w:numPr>
        <w:tabs>
          <w:tab w:val="left" w:pos="1434"/>
        </w:tabs>
        <w:ind w:left="1434" w:hanging="314"/>
        <w:rPr>
          <w:color w:val="00AC59"/>
          <w:sz w:val="26"/>
        </w:rPr>
      </w:pPr>
      <w:r>
        <w:rPr>
          <w:color w:val="00AC59"/>
          <w:sz w:val="26"/>
        </w:rPr>
        <w:t>Sanción:</w:t>
      </w:r>
      <w:r>
        <w:rPr>
          <w:color w:val="00AC59"/>
          <w:spacing w:val="-9"/>
          <w:sz w:val="26"/>
        </w:rPr>
        <w:t xml:space="preserve"> </w:t>
      </w:r>
      <w:r>
        <w:rPr>
          <w:color w:val="00AC59"/>
          <w:sz w:val="26"/>
        </w:rPr>
        <w:t>llevar</w:t>
      </w:r>
      <w:r>
        <w:rPr>
          <w:color w:val="00AC59"/>
          <w:spacing w:val="-8"/>
          <w:sz w:val="26"/>
        </w:rPr>
        <w:t xml:space="preserve"> </w:t>
      </w:r>
      <w:r>
        <w:rPr>
          <w:color w:val="00AC59"/>
          <w:sz w:val="26"/>
        </w:rPr>
        <w:t>a</w:t>
      </w:r>
      <w:r>
        <w:rPr>
          <w:color w:val="00AC59"/>
          <w:spacing w:val="-9"/>
          <w:sz w:val="26"/>
        </w:rPr>
        <w:t xml:space="preserve"> </w:t>
      </w:r>
      <w:r>
        <w:rPr>
          <w:color w:val="00AC59"/>
          <w:sz w:val="26"/>
        </w:rPr>
        <w:t>los</w:t>
      </w:r>
      <w:r>
        <w:rPr>
          <w:color w:val="00AC59"/>
          <w:spacing w:val="-9"/>
          <w:sz w:val="26"/>
        </w:rPr>
        <w:t xml:space="preserve"> </w:t>
      </w:r>
      <w:r>
        <w:rPr>
          <w:color w:val="00AC59"/>
          <w:sz w:val="26"/>
        </w:rPr>
        <w:t>perpetradores</w:t>
      </w:r>
      <w:r>
        <w:rPr>
          <w:color w:val="00AC59"/>
          <w:spacing w:val="-10"/>
          <w:sz w:val="26"/>
        </w:rPr>
        <w:t xml:space="preserve"> </w:t>
      </w:r>
      <w:r>
        <w:rPr>
          <w:color w:val="00AC59"/>
          <w:sz w:val="26"/>
        </w:rPr>
        <w:t>ante</w:t>
      </w:r>
      <w:r>
        <w:rPr>
          <w:color w:val="00AC59"/>
          <w:spacing w:val="-9"/>
          <w:sz w:val="26"/>
        </w:rPr>
        <w:t xml:space="preserve"> </w:t>
      </w:r>
      <w:r>
        <w:rPr>
          <w:color w:val="00AC59"/>
          <w:sz w:val="26"/>
        </w:rPr>
        <w:t>la</w:t>
      </w:r>
      <w:r>
        <w:rPr>
          <w:color w:val="00AC59"/>
          <w:spacing w:val="-9"/>
          <w:sz w:val="26"/>
        </w:rPr>
        <w:t xml:space="preserve"> </w:t>
      </w:r>
      <w:r>
        <w:rPr>
          <w:color w:val="00AC59"/>
          <w:spacing w:val="-2"/>
          <w:sz w:val="26"/>
        </w:rPr>
        <w:t>justicia</w:t>
      </w:r>
    </w:p>
    <w:p w14:paraId="1A45E223" w14:textId="77777777" w:rsidR="0014798C" w:rsidRDefault="0014798C">
      <w:pPr>
        <w:pStyle w:val="Textoindependiente"/>
        <w:spacing w:before="104"/>
        <w:rPr>
          <w:sz w:val="14"/>
        </w:rPr>
      </w:pPr>
    </w:p>
    <w:p w14:paraId="06011316" w14:textId="77777777" w:rsidR="0014798C" w:rsidRDefault="004E1F0B">
      <w:pPr>
        <w:spacing w:line="372" w:lineRule="auto"/>
        <w:ind w:left="1107" w:right="1166" w:firstLine="2"/>
        <w:rPr>
          <w:sz w:val="14"/>
        </w:rPr>
      </w:pPr>
      <w:r>
        <w:rPr>
          <w:w w:val="105"/>
          <w:sz w:val="14"/>
        </w:rPr>
        <w:t>Para garantizar</w:t>
      </w:r>
      <w:r>
        <w:rPr>
          <w:spacing w:val="-1"/>
          <w:w w:val="105"/>
          <w:sz w:val="14"/>
        </w:rPr>
        <w:t xml:space="preserve"> </w:t>
      </w:r>
      <w:r>
        <w:rPr>
          <w:w w:val="105"/>
          <w:sz w:val="14"/>
        </w:rPr>
        <w:t>un recurso</w:t>
      </w:r>
      <w:r>
        <w:rPr>
          <w:spacing w:val="-1"/>
          <w:w w:val="105"/>
          <w:sz w:val="14"/>
        </w:rPr>
        <w:t xml:space="preserve"> </w:t>
      </w:r>
      <w:r>
        <w:rPr>
          <w:w w:val="105"/>
          <w:sz w:val="14"/>
        </w:rPr>
        <w:t>efectivo contra</w:t>
      </w:r>
      <w:r>
        <w:rPr>
          <w:spacing w:val="-1"/>
          <w:w w:val="105"/>
          <w:sz w:val="14"/>
        </w:rPr>
        <w:t xml:space="preserve"> </w:t>
      </w:r>
      <w:r>
        <w:rPr>
          <w:w w:val="105"/>
          <w:sz w:val="14"/>
        </w:rPr>
        <w:t>la discriminación</w:t>
      </w:r>
      <w:r>
        <w:rPr>
          <w:spacing w:val="-1"/>
          <w:w w:val="105"/>
          <w:sz w:val="14"/>
        </w:rPr>
        <w:t xml:space="preserve"> </w:t>
      </w:r>
      <w:r>
        <w:rPr>
          <w:w w:val="105"/>
          <w:sz w:val="14"/>
        </w:rPr>
        <w:t>es necesario</w:t>
      </w:r>
      <w:r>
        <w:rPr>
          <w:spacing w:val="-1"/>
          <w:w w:val="105"/>
          <w:sz w:val="14"/>
        </w:rPr>
        <w:t xml:space="preserve"> </w:t>
      </w:r>
      <w:r>
        <w:rPr>
          <w:w w:val="105"/>
          <w:sz w:val="14"/>
        </w:rPr>
        <w:t>llevar ante</w:t>
      </w:r>
      <w:r>
        <w:rPr>
          <w:spacing w:val="-1"/>
          <w:w w:val="105"/>
          <w:sz w:val="14"/>
        </w:rPr>
        <w:t xml:space="preserve"> </w:t>
      </w:r>
      <w:r>
        <w:rPr>
          <w:w w:val="105"/>
          <w:sz w:val="14"/>
        </w:rPr>
        <w:t>la justicia</w:t>
      </w:r>
      <w:r>
        <w:rPr>
          <w:spacing w:val="-1"/>
          <w:w w:val="105"/>
          <w:sz w:val="14"/>
        </w:rPr>
        <w:t xml:space="preserve"> </w:t>
      </w:r>
      <w:r>
        <w:rPr>
          <w:w w:val="105"/>
          <w:sz w:val="14"/>
        </w:rPr>
        <w:t>a los</w:t>
      </w:r>
      <w:r>
        <w:rPr>
          <w:spacing w:val="-1"/>
          <w:w w:val="105"/>
          <w:sz w:val="14"/>
        </w:rPr>
        <w:t xml:space="preserve"> </w:t>
      </w:r>
      <w:r>
        <w:rPr>
          <w:w w:val="105"/>
          <w:sz w:val="14"/>
        </w:rPr>
        <w:t>responsables y</w:t>
      </w:r>
      <w:r>
        <w:rPr>
          <w:spacing w:val="-1"/>
          <w:w w:val="105"/>
          <w:sz w:val="14"/>
        </w:rPr>
        <w:t xml:space="preserve"> </w:t>
      </w:r>
      <w:r>
        <w:rPr>
          <w:w w:val="105"/>
          <w:sz w:val="14"/>
        </w:rPr>
        <w:t>castigar el</w:t>
      </w:r>
      <w:r>
        <w:rPr>
          <w:spacing w:val="-1"/>
          <w:w w:val="105"/>
          <w:sz w:val="14"/>
        </w:rPr>
        <w:t xml:space="preserve"> </w:t>
      </w:r>
      <w:r>
        <w:rPr>
          <w:w w:val="105"/>
          <w:sz w:val="14"/>
        </w:rPr>
        <w:t>acto de discriminación, como</w:t>
      </w:r>
      <w:r>
        <w:rPr>
          <w:spacing w:val="-1"/>
          <w:w w:val="105"/>
          <w:sz w:val="14"/>
        </w:rPr>
        <w:t xml:space="preserve"> </w:t>
      </w:r>
      <w:r>
        <w:rPr>
          <w:w w:val="105"/>
          <w:sz w:val="14"/>
        </w:rPr>
        <w:t>medio</w:t>
      </w:r>
      <w:r>
        <w:rPr>
          <w:spacing w:val="-1"/>
          <w:w w:val="105"/>
          <w:sz w:val="14"/>
        </w:rPr>
        <w:t xml:space="preserve"> </w:t>
      </w:r>
      <w:r>
        <w:rPr>
          <w:w w:val="105"/>
          <w:sz w:val="14"/>
        </w:rPr>
        <w:t>de</w:t>
      </w:r>
      <w:r>
        <w:rPr>
          <w:spacing w:val="-1"/>
          <w:w w:val="105"/>
          <w:sz w:val="14"/>
        </w:rPr>
        <w:t xml:space="preserve"> </w:t>
      </w:r>
      <w:r>
        <w:rPr>
          <w:w w:val="105"/>
          <w:sz w:val="14"/>
        </w:rPr>
        <w:t>disuasión</w:t>
      </w:r>
      <w:r>
        <w:rPr>
          <w:spacing w:val="-1"/>
          <w:w w:val="105"/>
          <w:sz w:val="14"/>
        </w:rPr>
        <w:t xml:space="preserve"> </w:t>
      </w:r>
      <w:r>
        <w:rPr>
          <w:w w:val="105"/>
          <w:sz w:val="14"/>
        </w:rPr>
        <w:t>tanto</w:t>
      </w:r>
      <w:r>
        <w:rPr>
          <w:spacing w:val="-1"/>
          <w:w w:val="105"/>
          <w:sz w:val="14"/>
        </w:rPr>
        <w:t xml:space="preserve"> </w:t>
      </w:r>
      <w:r>
        <w:rPr>
          <w:w w:val="105"/>
          <w:sz w:val="14"/>
        </w:rPr>
        <w:t>específico</w:t>
      </w:r>
      <w:r>
        <w:rPr>
          <w:spacing w:val="-1"/>
          <w:w w:val="105"/>
          <w:sz w:val="14"/>
        </w:rPr>
        <w:t xml:space="preserve"> </w:t>
      </w:r>
      <w:r>
        <w:rPr>
          <w:w w:val="105"/>
          <w:sz w:val="14"/>
        </w:rPr>
        <w:t>como</w:t>
      </w:r>
      <w:r>
        <w:rPr>
          <w:spacing w:val="-1"/>
          <w:w w:val="105"/>
          <w:sz w:val="14"/>
        </w:rPr>
        <w:t xml:space="preserve"> </w:t>
      </w:r>
      <w:r>
        <w:rPr>
          <w:w w:val="105"/>
          <w:sz w:val="14"/>
        </w:rPr>
        <w:t>general. De</w:t>
      </w:r>
      <w:r>
        <w:rPr>
          <w:spacing w:val="-1"/>
          <w:w w:val="105"/>
          <w:sz w:val="14"/>
        </w:rPr>
        <w:t xml:space="preserve"> </w:t>
      </w:r>
      <w:r>
        <w:rPr>
          <w:w w:val="105"/>
          <w:sz w:val="14"/>
        </w:rPr>
        <w:t>hecho, cada</w:t>
      </w:r>
      <w:r>
        <w:rPr>
          <w:spacing w:val="-1"/>
          <w:w w:val="105"/>
          <w:sz w:val="14"/>
        </w:rPr>
        <w:t xml:space="preserve"> </w:t>
      </w:r>
      <w:r>
        <w:rPr>
          <w:w w:val="105"/>
          <w:sz w:val="14"/>
        </w:rPr>
        <w:t>uno</w:t>
      </w:r>
      <w:r>
        <w:rPr>
          <w:spacing w:val="-1"/>
          <w:w w:val="105"/>
          <w:sz w:val="14"/>
        </w:rPr>
        <w:t xml:space="preserve"> </w:t>
      </w:r>
      <w:r>
        <w:rPr>
          <w:w w:val="105"/>
          <w:sz w:val="14"/>
        </w:rPr>
        <w:t>de</w:t>
      </w:r>
      <w:r>
        <w:rPr>
          <w:spacing w:val="-1"/>
          <w:w w:val="105"/>
          <w:sz w:val="14"/>
        </w:rPr>
        <w:t xml:space="preserve"> </w:t>
      </w:r>
      <w:r>
        <w:rPr>
          <w:w w:val="105"/>
          <w:sz w:val="14"/>
        </w:rPr>
        <w:t>los</w:t>
      </w:r>
      <w:r>
        <w:rPr>
          <w:spacing w:val="-1"/>
          <w:w w:val="105"/>
          <w:sz w:val="14"/>
        </w:rPr>
        <w:t xml:space="preserve"> </w:t>
      </w:r>
      <w:r>
        <w:rPr>
          <w:w w:val="105"/>
          <w:sz w:val="14"/>
        </w:rPr>
        <w:t>órganos</w:t>
      </w:r>
      <w:r>
        <w:rPr>
          <w:spacing w:val="-1"/>
          <w:w w:val="105"/>
          <w:sz w:val="14"/>
        </w:rPr>
        <w:t xml:space="preserve"> </w:t>
      </w:r>
      <w:r>
        <w:rPr>
          <w:w w:val="105"/>
          <w:sz w:val="14"/>
        </w:rPr>
        <w:t>creados</w:t>
      </w:r>
      <w:r>
        <w:rPr>
          <w:spacing w:val="-1"/>
          <w:w w:val="105"/>
          <w:sz w:val="14"/>
        </w:rPr>
        <w:t xml:space="preserve"> </w:t>
      </w:r>
      <w:r>
        <w:rPr>
          <w:w w:val="105"/>
          <w:sz w:val="14"/>
        </w:rPr>
        <w:t>en</w:t>
      </w:r>
      <w:r>
        <w:rPr>
          <w:spacing w:val="-1"/>
          <w:w w:val="105"/>
          <w:sz w:val="14"/>
        </w:rPr>
        <w:t xml:space="preserve"> </w:t>
      </w:r>
      <w:r>
        <w:rPr>
          <w:w w:val="105"/>
          <w:sz w:val="14"/>
        </w:rPr>
        <w:t>virtud</w:t>
      </w:r>
      <w:r>
        <w:rPr>
          <w:spacing w:val="-1"/>
          <w:w w:val="105"/>
          <w:sz w:val="14"/>
        </w:rPr>
        <w:t xml:space="preserve"> </w:t>
      </w:r>
      <w:r>
        <w:rPr>
          <w:w w:val="105"/>
          <w:sz w:val="14"/>
        </w:rPr>
        <w:t>de</w:t>
      </w:r>
      <w:r>
        <w:rPr>
          <w:spacing w:val="-1"/>
          <w:w w:val="105"/>
          <w:sz w:val="14"/>
        </w:rPr>
        <w:t xml:space="preserve"> </w:t>
      </w:r>
      <w:r>
        <w:rPr>
          <w:w w:val="105"/>
          <w:sz w:val="14"/>
        </w:rPr>
        <w:t>tratados</w:t>
      </w:r>
      <w:r>
        <w:rPr>
          <w:spacing w:val="-1"/>
          <w:w w:val="105"/>
          <w:sz w:val="14"/>
        </w:rPr>
        <w:t xml:space="preserve"> </w:t>
      </w:r>
      <w:r>
        <w:rPr>
          <w:w w:val="105"/>
          <w:sz w:val="14"/>
        </w:rPr>
        <w:t>de derechos humanos se ha referido explícitamente a la necesidad de garantizar sanciones para los responsables de la discriminación.590 Como se</w:t>
      </w:r>
      <w:r>
        <w:rPr>
          <w:spacing w:val="-5"/>
          <w:w w:val="105"/>
          <w:sz w:val="14"/>
        </w:rPr>
        <w:t xml:space="preserve"> </w:t>
      </w:r>
      <w:r>
        <w:rPr>
          <w:w w:val="105"/>
          <w:sz w:val="14"/>
        </w:rPr>
        <w:t>señaló</w:t>
      </w:r>
      <w:r>
        <w:rPr>
          <w:spacing w:val="-5"/>
          <w:w w:val="105"/>
          <w:sz w:val="14"/>
        </w:rPr>
        <w:t xml:space="preserve"> </w:t>
      </w:r>
      <w:r>
        <w:rPr>
          <w:w w:val="105"/>
          <w:sz w:val="14"/>
        </w:rPr>
        <w:t>anteriormente,</w:t>
      </w:r>
      <w:r>
        <w:rPr>
          <w:spacing w:val="-4"/>
          <w:w w:val="105"/>
          <w:sz w:val="14"/>
        </w:rPr>
        <w:t xml:space="preserve"> </w:t>
      </w:r>
      <w:r>
        <w:rPr>
          <w:w w:val="105"/>
          <w:sz w:val="14"/>
        </w:rPr>
        <w:t>el</w:t>
      </w:r>
      <w:r>
        <w:rPr>
          <w:spacing w:val="-5"/>
          <w:w w:val="105"/>
          <w:sz w:val="14"/>
        </w:rPr>
        <w:t xml:space="preserve"> </w:t>
      </w:r>
      <w:r>
        <w:rPr>
          <w:w w:val="105"/>
          <w:sz w:val="14"/>
        </w:rPr>
        <w:t>Comité</w:t>
      </w:r>
      <w:r>
        <w:rPr>
          <w:spacing w:val="-5"/>
          <w:w w:val="105"/>
          <w:sz w:val="14"/>
        </w:rPr>
        <w:t xml:space="preserve"> </w:t>
      </w:r>
      <w:r>
        <w:rPr>
          <w:w w:val="105"/>
          <w:sz w:val="14"/>
        </w:rPr>
        <w:t>sobre</w:t>
      </w:r>
      <w:r>
        <w:rPr>
          <w:spacing w:val="-5"/>
          <w:w w:val="105"/>
          <w:sz w:val="14"/>
        </w:rPr>
        <w:t xml:space="preserve"> </w:t>
      </w:r>
      <w:r>
        <w:rPr>
          <w:w w:val="105"/>
          <w:sz w:val="14"/>
        </w:rPr>
        <w:t>los</w:t>
      </w:r>
      <w:r>
        <w:rPr>
          <w:spacing w:val="-5"/>
          <w:w w:val="105"/>
          <w:sz w:val="14"/>
        </w:rPr>
        <w:t xml:space="preserve"> </w:t>
      </w:r>
      <w:r>
        <w:rPr>
          <w:w w:val="105"/>
          <w:sz w:val="14"/>
        </w:rPr>
        <w:t>Derechos</w:t>
      </w:r>
      <w:r>
        <w:rPr>
          <w:spacing w:val="-5"/>
          <w:w w:val="105"/>
          <w:sz w:val="14"/>
        </w:rPr>
        <w:t xml:space="preserve"> </w:t>
      </w:r>
      <w:r>
        <w:rPr>
          <w:w w:val="105"/>
          <w:sz w:val="14"/>
        </w:rPr>
        <w:t>de</w:t>
      </w:r>
      <w:r>
        <w:rPr>
          <w:spacing w:val="-5"/>
          <w:w w:val="105"/>
          <w:sz w:val="14"/>
        </w:rPr>
        <w:t xml:space="preserve"> </w:t>
      </w:r>
      <w:r>
        <w:rPr>
          <w:w w:val="105"/>
          <w:sz w:val="14"/>
        </w:rPr>
        <w:t>las</w:t>
      </w:r>
      <w:r>
        <w:rPr>
          <w:spacing w:val="-5"/>
          <w:w w:val="105"/>
          <w:sz w:val="14"/>
        </w:rPr>
        <w:t xml:space="preserve"> </w:t>
      </w:r>
      <w:r>
        <w:rPr>
          <w:w w:val="105"/>
          <w:sz w:val="14"/>
        </w:rPr>
        <w:t>Personas</w:t>
      </w:r>
      <w:r>
        <w:rPr>
          <w:spacing w:val="-5"/>
          <w:w w:val="105"/>
          <w:sz w:val="14"/>
        </w:rPr>
        <w:t xml:space="preserve"> </w:t>
      </w:r>
      <w:r>
        <w:rPr>
          <w:w w:val="105"/>
          <w:sz w:val="14"/>
        </w:rPr>
        <w:t>con</w:t>
      </w:r>
      <w:r>
        <w:rPr>
          <w:spacing w:val="-5"/>
          <w:w w:val="105"/>
          <w:sz w:val="14"/>
        </w:rPr>
        <w:t xml:space="preserve"> </w:t>
      </w:r>
      <w:r>
        <w:rPr>
          <w:w w:val="105"/>
          <w:sz w:val="14"/>
        </w:rPr>
        <w:t>Discapacidad</w:t>
      </w:r>
      <w:r>
        <w:rPr>
          <w:spacing w:val="-5"/>
          <w:w w:val="105"/>
          <w:sz w:val="14"/>
        </w:rPr>
        <w:t xml:space="preserve"> </w:t>
      </w:r>
      <w:r>
        <w:rPr>
          <w:w w:val="105"/>
          <w:sz w:val="14"/>
        </w:rPr>
        <w:t>ha</w:t>
      </w:r>
      <w:r>
        <w:rPr>
          <w:spacing w:val="-5"/>
          <w:w w:val="105"/>
          <w:sz w:val="14"/>
        </w:rPr>
        <w:t xml:space="preserve"> </w:t>
      </w:r>
      <w:r>
        <w:rPr>
          <w:w w:val="105"/>
          <w:sz w:val="14"/>
        </w:rPr>
        <w:t>enfatizado</w:t>
      </w:r>
      <w:r>
        <w:rPr>
          <w:spacing w:val="-5"/>
          <w:w w:val="105"/>
          <w:sz w:val="14"/>
        </w:rPr>
        <w:t xml:space="preserve"> </w:t>
      </w:r>
      <w:r>
        <w:rPr>
          <w:w w:val="105"/>
          <w:sz w:val="14"/>
        </w:rPr>
        <w:t>que</w:t>
      </w:r>
      <w:r>
        <w:rPr>
          <w:spacing w:val="-5"/>
          <w:w w:val="105"/>
          <w:sz w:val="14"/>
        </w:rPr>
        <w:t xml:space="preserve"> </w:t>
      </w:r>
      <w:r>
        <w:rPr>
          <w:w w:val="105"/>
          <w:sz w:val="14"/>
        </w:rPr>
        <w:t>las</w:t>
      </w:r>
      <w:r>
        <w:rPr>
          <w:spacing w:val="-5"/>
          <w:w w:val="105"/>
          <w:sz w:val="14"/>
        </w:rPr>
        <w:t xml:space="preserve"> </w:t>
      </w:r>
      <w:r>
        <w:rPr>
          <w:w w:val="105"/>
          <w:sz w:val="14"/>
        </w:rPr>
        <w:t>sanciones</w:t>
      </w:r>
      <w:r>
        <w:rPr>
          <w:spacing w:val="-5"/>
          <w:w w:val="105"/>
          <w:sz w:val="14"/>
        </w:rPr>
        <w:t xml:space="preserve"> </w:t>
      </w:r>
      <w:r>
        <w:rPr>
          <w:w w:val="105"/>
          <w:sz w:val="14"/>
        </w:rPr>
        <w:t>deben</w:t>
      </w:r>
      <w:r>
        <w:rPr>
          <w:spacing w:val="-5"/>
          <w:w w:val="105"/>
          <w:sz w:val="14"/>
        </w:rPr>
        <w:t xml:space="preserve"> </w:t>
      </w:r>
      <w:r>
        <w:rPr>
          <w:w w:val="105"/>
          <w:sz w:val="14"/>
        </w:rPr>
        <w:t>ser</w:t>
      </w:r>
      <w:r>
        <w:rPr>
          <w:spacing w:val="-5"/>
          <w:w w:val="105"/>
          <w:sz w:val="14"/>
        </w:rPr>
        <w:t xml:space="preserve"> </w:t>
      </w:r>
      <w:r>
        <w:rPr>
          <w:w w:val="105"/>
          <w:sz w:val="14"/>
        </w:rPr>
        <w:t>“eficaces, proporcionadas y disuasorias”. ”.591</w:t>
      </w:r>
    </w:p>
    <w:p w14:paraId="7245F992" w14:textId="77777777" w:rsidR="0014798C" w:rsidRDefault="0014798C">
      <w:pPr>
        <w:pStyle w:val="Textoindependiente"/>
        <w:spacing w:before="10"/>
        <w:rPr>
          <w:sz w:val="14"/>
        </w:rPr>
      </w:pPr>
    </w:p>
    <w:p w14:paraId="01845A4B" w14:textId="77777777" w:rsidR="0014798C" w:rsidRDefault="004E1F0B">
      <w:pPr>
        <w:spacing w:line="372" w:lineRule="auto"/>
        <w:ind w:left="1108" w:right="1272"/>
        <w:rPr>
          <w:sz w:val="14"/>
        </w:rPr>
      </w:pPr>
      <w:r>
        <w:rPr>
          <w:w w:val="105"/>
          <w:sz w:val="14"/>
        </w:rPr>
        <w:t>En</w:t>
      </w:r>
      <w:r>
        <w:rPr>
          <w:spacing w:val="-1"/>
          <w:w w:val="105"/>
          <w:sz w:val="14"/>
        </w:rPr>
        <w:t xml:space="preserve"> </w:t>
      </w:r>
      <w:r>
        <w:rPr>
          <w:w w:val="105"/>
          <w:sz w:val="14"/>
        </w:rPr>
        <w:t>los</w:t>
      </w:r>
      <w:r>
        <w:rPr>
          <w:spacing w:val="-1"/>
          <w:w w:val="105"/>
          <w:sz w:val="14"/>
        </w:rPr>
        <w:t xml:space="preserve"> </w:t>
      </w:r>
      <w:r>
        <w:rPr>
          <w:w w:val="105"/>
          <w:sz w:val="14"/>
        </w:rPr>
        <w:t>sistemas</w:t>
      </w:r>
      <w:r>
        <w:rPr>
          <w:spacing w:val="-1"/>
          <w:w w:val="105"/>
          <w:sz w:val="14"/>
        </w:rPr>
        <w:t xml:space="preserve"> </w:t>
      </w:r>
      <w:r>
        <w:rPr>
          <w:w w:val="105"/>
          <w:sz w:val="14"/>
        </w:rPr>
        <w:t>en</w:t>
      </w:r>
      <w:r>
        <w:rPr>
          <w:spacing w:val="-1"/>
          <w:w w:val="105"/>
          <w:sz w:val="14"/>
        </w:rPr>
        <w:t xml:space="preserve"> </w:t>
      </w:r>
      <w:r>
        <w:rPr>
          <w:w w:val="105"/>
          <w:sz w:val="14"/>
        </w:rPr>
        <w:t>los</w:t>
      </w:r>
      <w:r>
        <w:rPr>
          <w:spacing w:val="-1"/>
          <w:w w:val="105"/>
          <w:sz w:val="14"/>
        </w:rPr>
        <w:t xml:space="preserve"> </w:t>
      </w:r>
      <w:r>
        <w:rPr>
          <w:w w:val="105"/>
          <w:sz w:val="14"/>
        </w:rPr>
        <w:t>que</w:t>
      </w:r>
      <w:r>
        <w:rPr>
          <w:spacing w:val="-1"/>
          <w:w w:val="105"/>
          <w:sz w:val="14"/>
        </w:rPr>
        <w:t xml:space="preserve"> </w:t>
      </w:r>
      <w:r>
        <w:rPr>
          <w:w w:val="105"/>
          <w:sz w:val="14"/>
        </w:rPr>
        <w:t>la</w:t>
      </w:r>
      <w:r>
        <w:rPr>
          <w:spacing w:val="-1"/>
          <w:w w:val="105"/>
          <w:sz w:val="14"/>
        </w:rPr>
        <w:t xml:space="preserve"> </w:t>
      </w:r>
      <w:r>
        <w:rPr>
          <w:w w:val="105"/>
          <w:sz w:val="14"/>
        </w:rPr>
        <w:t>discriminación</w:t>
      </w:r>
      <w:r>
        <w:rPr>
          <w:spacing w:val="-1"/>
          <w:w w:val="105"/>
          <w:sz w:val="14"/>
        </w:rPr>
        <w:t xml:space="preserve"> </w:t>
      </w:r>
      <w:r>
        <w:rPr>
          <w:w w:val="105"/>
          <w:sz w:val="14"/>
        </w:rPr>
        <w:t>es</w:t>
      </w:r>
      <w:r>
        <w:rPr>
          <w:spacing w:val="-1"/>
          <w:w w:val="105"/>
          <w:sz w:val="14"/>
        </w:rPr>
        <w:t xml:space="preserve"> </w:t>
      </w:r>
      <w:r>
        <w:rPr>
          <w:w w:val="105"/>
          <w:sz w:val="14"/>
        </w:rPr>
        <w:t>una</w:t>
      </w:r>
      <w:r>
        <w:rPr>
          <w:spacing w:val="-1"/>
          <w:w w:val="105"/>
          <w:sz w:val="14"/>
        </w:rPr>
        <w:t xml:space="preserve"> </w:t>
      </w:r>
      <w:r>
        <w:rPr>
          <w:w w:val="105"/>
          <w:sz w:val="14"/>
        </w:rPr>
        <w:t>cuestión</w:t>
      </w:r>
      <w:r>
        <w:rPr>
          <w:spacing w:val="-1"/>
          <w:w w:val="105"/>
          <w:sz w:val="14"/>
        </w:rPr>
        <w:t xml:space="preserve"> </w:t>
      </w:r>
      <w:r>
        <w:rPr>
          <w:w w:val="105"/>
          <w:sz w:val="14"/>
        </w:rPr>
        <w:t>de</w:t>
      </w:r>
      <w:r>
        <w:rPr>
          <w:spacing w:val="-1"/>
          <w:w w:val="105"/>
          <w:sz w:val="14"/>
        </w:rPr>
        <w:t xml:space="preserve"> </w:t>
      </w:r>
      <w:r>
        <w:rPr>
          <w:w w:val="105"/>
          <w:sz w:val="14"/>
        </w:rPr>
        <w:t>derecho</w:t>
      </w:r>
      <w:r>
        <w:rPr>
          <w:spacing w:val="-1"/>
          <w:w w:val="105"/>
          <w:sz w:val="14"/>
        </w:rPr>
        <w:t xml:space="preserve"> </w:t>
      </w:r>
      <w:r>
        <w:rPr>
          <w:w w:val="105"/>
          <w:sz w:val="14"/>
        </w:rPr>
        <w:t>civil</w:t>
      </w:r>
      <w:r>
        <w:rPr>
          <w:spacing w:val="-1"/>
          <w:w w:val="105"/>
          <w:sz w:val="14"/>
        </w:rPr>
        <w:t xml:space="preserve"> </w:t>
      </w:r>
      <w:r>
        <w:rPr>
          <w:w w:val="105"/>
          <w:sz w:val="14"/>
        </w:rPr>
        <w:t>o</w:t>
      </w:r>
      <w:r>
        <w:rPr>
          <w:spacing w:val="-1"/>
          <w:w w:val="105"/>
          <w:sz w:val="14"/>
        </w:rPr>
        <w:t xml:space="preserve"> </w:t>
      </w:r>
      <w:r>
        <w:rPr>
          <w:w w:val="105"/>
          <w:sz w:val="14"/>
        </w:rPr>
        <w:t>administrativo, las</w:t>
      </w:r>
      <w:r>
        <w:rPr>
          <w:spacing w:val="-1"/>
          <w:w w:val="105"/>
          <w:sz w:val="14"/>
        </w:rPr>
        <w:t xml:space="preserve"> </w:t>
      </w:r>
      <w:r>
        <w:rPr>
          <w:w w:val="105"/>
          <w:sz w:val="14"/>
        </w:rPr>
        <w:t>sanciones</w:t>
      </w:r>
      <w:r>
        <w:rPr>
          <w:spacing w:val="-1"/>
          <w:w w:val="105"/>
          <w:sz w:val="14"/>
        </w:rPr>
        <w:t xml:space="preserve"> </w:t>
      </w:r>
      <w:r>
        <w:rPr>
          <w:w w:val="105"/>
          <w:sz w:val="14"/>
        </w:rPr>
        <w:t>adoptarán</w:t>
      </w:r>
      <w:r>
        <w:rPr>
          <w:spacing w:val="-1"/>
          <w:w w:val="105"/>
          <w:sz w:val="14"/>
        </w:rPr>
        <w:t xml:space="preserve"> </w:t>
      </w:r>
      <w:r>
        <w:rPr>
          <w:w w:val="105"/>
          <w:sz w:val="14"/>
        </w:rPr>
        <w:t>la</w:t>
      </w:r>
      <w:r>
        <w:rPr>
          <w:spacing w:val="-1"/>
          <w:w w:val="105"/>
          <w:sz w:val="14"/>
        </w:rPr>
        <w:t xml:space="preserve"> </w:t>
      </w:r>
      <w:r>
        <w:rPr>
          <w:w w:val="105"/>
          <w:sz w:val="14"/>
        </w:rPr>
        <w:t>forma</w:t>
      </w:r>
      <w:r>
        <w:rPr>
          <w:spacing w:val="-1"/>
          <w:w w:val="105"/>
          <w:sz w:val="14"/>
        </w:rPr>
        <w:t xml:space="preserve"> </w:t>
      </w:r>
      <w:r>
        <w:rPr>
          <w:w w:val="105"/>
          <w:sz w:val="14"/>
        </w:rPr>
        <w:t>de</w:t>
      </w:r>
      <w:r>
        <w:rPr>
          <w:spacing w:val="-1"/>
          <w:w w:val="105"/>
          <w:sz w:val="14"/>
        </w:rPr>
        <w:t xml:space="preserve"> </w:t>
      </w:r>
      <w:r>
        <w:rPr>
          <w:w w:val="105"/>
          <w:sz w:val="14"/>
        </w:rPr>
        <w:t>multas monetarias</w:t>
      </w:r>
      <w:r>
        <w:rPr>
          <w:spacing w:val="-5"/>
          <w:w w:val="105"/>
          <w:sz w:val="14"/>
        </w:rPr>
        <w:t xml:space="preserve"> </w:t>
      </w:r>
      <w:r>
        <w:rPr>
          <w:w w:val="105"/>
          <w:sz w:val="14"/>
        </w:rPr>
        <w:t>o</w:t>
      </w:r>
      <w:r>
        <w:rPr>
          <w:spacing w:val="-5"/>
          <w:w w:val="105"/>
          <w:sz w:val="14"/>
        </w:rPr>
        <w:t xml:space="preserve"> </w:t>
      </w:r>
      <w:r>
        <w:rPr>
          <w:w w:val="105"/>
          <w:sz w:val="14"/>
        </w:rPr>
        <w:t>penas</w:t>
      </w:r>
      <w:r>
        <w:rPr>
          <w:spacing w:val="-5"/>
          <w:w w:val="105"/>
          <w:sz w:val="14"/>
        </w:rPr>
        <w:t xml:space="preserve"> </w:t>
      </w:r>
      <w:r>
        <w:rPr>
          <w:w w:val="105"/>
          <w:sz w:val="14"/>
        </w:rPr>
        <w:t>similares.</w:t>
      </w:r>
      <w:r>
        <w:rPr>
          <w:spacing w:val="-4"/>
          <w:w w:val="105"/>
          <w:sz w:val="14"/>
        </w:rPr>
        <w:t xml:space="preserve"> </w:t>
      </w:r>
      <w:r>
        <w:rPr>
          <w:w w:val="105"/>
          <w:sz w:val="14"/>
        </w:rPr>
        <w:t>De</w:t>
      </w:r>
      <w:r>
        <w:rPr>
          <w:spacing w:val="-5"/>
          <w:w w:val="105"/>
          <w:sz w:val="14"/>
        </w:rPr>
        <w:t xml:space="preserve"> </w:t>
      </w:r>
      <w:r>
        <w:rPr>
          <w:w w:val="105"/>
          <w:sz w:val="14"/>
        </w:rPr>
        <w:t>hecho,</w:t>
      </w:r>
      <w:r>
        <w:rPr>
          <w:spacing w:val="-4"/>
          <w:w w:val="105"/>
          <w:sz w:val="14"/>
        </w:rPr>
        <w:t xml:space="preserve"> </w:t>
      </w:r>
      <w:r>
        <w:rPr>
          <w:w w:val="105"/>
          <w:sz w:val="14"/>
        </w:rPr>
        <w:t>en</w:t>
      </w:r>
      <w:r>
        <w:rPr>
          <w:spacing w:val="-5"/>
          <w:w w:val="105"/>
          <w:sz w:val="14"/>
        </w:rPr>
        <w:t xml:space="preserve"> </w:t>
      </w:r>
      <w:r>
        <w:rPr>
          <w:w w:val="105"/>
          <w:sz w:val="14"/>
        </w:rPr>
        <w:t>algunas</w:t>
      </w:r>
      <w:r>
        <w:rPr>
          <w:spacing w:val="-5"/>
          <w:w w:val="105"/>
          <w:sz w:val="14"/>
        </w:rPr>
        <w:t xml:space="preserve"> </w:t>
      </w:r>
      <w:r>
        <w:rPr>
          <w:w w:val="105"/>
          <w:sz w:val="14"/>
        </w:rPr>
        <w:t>jurisdicciones,</w:t>
      </w:r>
      <w:r>
        <w:rPr>
          <w:spacing w:val="-4"/>
          <w:w w:val="105"/>
          <w:sz w:val="14"/>
        </w:rPr>
        <w:t xml:space="preserve"> </w:t>
      </w:r>
      <w:r>
        <w:rPr>
          <w:w w:val="105"/>
          <w:sz w:val="14"/>
        </w:rPr>
        <w:t>la</w:t>
      </w:r>
      <w:r>
        <w:rPr>
          <w:spacing w:val="-5"/>
          <w:w w:val="105"/>
          <w:sz w:val="14"/>
        </w:rPr>
        <w:t xml:space="preserve"> </w:t>
      </w:r>
      <w:r>
        <w:rPr>
          <w:w w:val="105"/>
          <w:sz w:val="14"/>
        </w:rPr>
        <w:t>concesión</w:t>
      </w:r>
      <w:r>
        <w:rPr>
          <w:spacing w:val="-5"/>
          <w:w w:val="105"/>
          <w:sz w:val="14"/>
        </w:rPr>
        <w:t xml:space="preserve"> </w:t>
      </w:r>
      <w:r>
        <w:rPr>
          <w:w w:val="105"/>
          <w:sz w:val="14"/>
        </w:rPr>
        <w:t>de</w:t>
      </w:r>
      <w:r>
        <w:rPr>
          <w:spacing w:val="-5"/>
          <w:w w:val="105"/>
          <w:sz w:val="14"/>
        </w:rPr>
        <w:t xml:space="preserve"> </w:t>
      </w:r>
      <w:r>
        <w:rPr>
          <w:w w:val="105"/>
          <w:sz w:val="14"/>
        </w:rPr>
        <w:t>indemnización</w:t>
      </w:r>
      <w:r>
        <w:rPr>
          <w:spacing w:val="-5"/>
          <w:w w:val="105"/>
          <w:sz w:val="14"/>
        </w:rPr>
        <w:t xml:space="preserve"> </w:t>
      </w:r>
      <w:r>
        <w:rPr>
          <w:w w:val="105"/>
          <w:sz w:val="14"/>
        </w:rPr>
        <w:t>a</w:t>
      </w:r>
      <w:r>
        <w:rPr>
          <w:spacing w:val="-5"/>
          <w:w w:val="105"/>
          <w:sz w:val="14"/>
        </w:rPr>
        <w:t xml:space="preserve"> </w:t>
      </w:r>
      <w:r>
        <w:rPr>
          <w:w w:val="105"/>
          <w:sz w:val="14"/>
        </w:rPr>
        <w:t>los</w:t>
      </w:r>
      <w:r>
        <w:rPr>
          <w:spacing w:val="-5"/>
          <w:w w:val="105"/>
          <w:sz w:val="14"/>
        </w:rPr>
        <w:t xml:space="preserve"> </w:t>
      </w:r>
      <w:r>
        <w:rPr>
          <w:w w:val="105"/>
          <w:sz w:val="14"/>
        </w:rPr>
        <w:t>demandantes</w:t>
      </w:r>
      <w:r>
        <w:rPr>
          <w:spacing w:val="-5"/>
          <w:w w:val="105"/>
          <w:sz w:val="14"/>
        </w:rPr>
        <w:t xml:space="preserve"> </w:t>
      </w:r>
      <w:proofErr w:type="gramStart"/>
      <w:r>
        <w:rPr>
          <w:w w:val="105"/>
          <w:sz w:val="14"/>
        </w:rPr>
        <w:t>(</w:t>
      </w:r>
      <w:r>
        <w:rPr>
          <w:spacing w:val="-5"/>
          <w:w w:val="105"/>
          <w:sz w:val="14"/>
        </w:rPr>
        <w:t xml:space="preserve"> </w:t>
      </w:r>
      <w:r>
        <w:rPr>
          <w:w w:val="105"/>
          <w:sz w:val="14"/>
        </w:rPr>
        <w:t>un</w:t>
      </w:r>
      <w:proofErr w:type="gramEnd"/>
      <w:r>
        <w:rPr>
          <w:spacing w:val="-5"/>
          <w:w w:val="105"/>
          <w:sz w:val="14"/>
        </w:rPr>
        <w:t xml:space="preserve"> </w:t>
      </w:r>
      <w:r>
        <w:rPr>
          <w:w w:val="105"/>
          <w:sz w:val="14"/>
        </w:rPr>
        <w:t>elemento</w:t>
      </w:r>
      <w:r>
        <w:rPr>
          <w:spacing w:val="-5"/>
          <w:w w:val="105"/>
          <w:sz w:val="14"/>
        </w:rPr>
        <w:t xml:space="preserve"> </w:t>
      </w:r>
      <w:r>
        <w:rPr>
          <w:w w:val="105"/>
          <w:sz w:val="14"/>
        </w:rPr>
        <w:t>necesario de</w:t>
      </w:r>
      <w:r>
        <w:rPr>
          <w:spacing w:val="-2"/>
          <w:w w:val="105"/>
          <w:sz w:val="14"/>
        </w:rPr>
        <w:t xml:space="preserve"> </w:t>
      </w:r>
      <w:r>
        <w:rPr>
          <w:w w:val="105"/>
          <w:sz w:val="14"/>
        </w:rPr>
        <w:t>reparación</w:t>
      </w:r>
      <w:r>
        <w:rPr>
          <w:spacing w:val="-2"/>
          <w:w w:val="105"/>
          <w:sz w:val="14"/>
        </w:rPr>
        <w:t xml:space="preserve"> </w:t>
      </w:r>
      <w:r>
        <w:rPr>
          <w:w w:val="105"/>
          <w:sz w:val="14"/>
        </w:rPr>
        <w:t>centrada</w:t>
      </w:r>
      <w:r>
        <w:rPr>
          <w:spacing w:val="-2"/>
          <w:w w:val="105"/>
          <w:sz w:val="14"/>
        </w:rPr>
        <w:t xml:space="preserve"> </w:t>
      </w:r>
      <w:r>
        <w:rPr>
          <w:w w:val="105"/>
          <w:sz w:val="14"/>
        </w:rPr>
        <w:t>en</w:t>
      </w:r>
      <w:r>
        <w:rPr>
          <w:spacing w:val="-2"/>
          <w:w w:val="105"/>
          <w:sz w:val="14"/>
        </w:rPr>
        <w:t xml:space="preserve"> </w:t>
      </w:r>
      <w:r>
        <w:rPr>
          <w:w w:val="105"/>
          <w:sz w:val="14"/>
        </w:rPr>
        <w:t>las</w:t>
      </w:r>
      <w:r>
        <w:rPr>
          <w:spacing w:val="-2"/>
          <w:w w:val="105"/>
          <w:sz w:val="14"/>
        </w:rPr>
        <w:t xml:space="preserve"> </w:t>
      </w:r>
      <w:r>
        <w:rPr>
          <w:w w:val="105"/>
          <w:sz w:val="14"/>
        </w:rPr>
        <w:t>víctimas)</w:t>
      </w:r>
      <w:r>
        <w:rPr>
          <w:spacing w:val="-2"/>
          <w:w w:val="105"/>
          <w:sz w:val="14"/>
        </w:rPr>
        <w:t xml:space="preserve"> </w:t>
      </w:r>
      <w:r>
        <w:rPr>
          <w:w w:val="105"/>
          <w:sz w:val="14"/>
        </w:rPr>
        <w:t>se</w:t>
      </w:r>
      <w:r>
        <w:rPr>
          <w:spacing w:val="-2"/>
          <w:w w:val="105"/>
          <w:sz w:val="14"/>
        </w:rPr>
        <w:t xml:space="preserve"> </w:t>
      </w:r>
      <w:r>
        <w:rPr>
          <w:w w:val="105"/>
          <w:sz w:val="14"/>
        </w:rPr>
        <w:t>considera</w:t>
      </w:r>
      <w:r>
        <w:rPr>
          <w:spacing w:val="-2"/>
          <w:w w:val="105"/>
          <w:sz w:val="14"/>
        </w:rPr>
        <w:t xml:space="preserve"> </w:t>
      </w:r>
      <w:r>
        <w:rPr>
          <w:w w:val="105"/>
          <w:sz w:val="14"/>
        </w:rPr>
        <w:t>una</w:t>
      </w:r>
      <w:r>
        <w:rPr>
          <w:spacing w:val="-2"/>
          <w:w w:val="105"/>
          <w:sz w:val="14"/>
        </w:rPr>
        <w:t xml:space="preserve"> </w:t>
      </w:r>
      <w:r>
        <w:rPr>
          <w:w w:val="105"/>
          <w:sz w:val="14"/>
        </w:rPr>
        <w:t>forma</w:t>
      </w:r>
      <w:r>
        <w:rPr>
          <w:spacing w:val="-2"/>
          <w:w w:val="105"/>
          <w:sz w:val="14"/>
        </w:rPr>
        <w:t xml:space="preserve"> </w:t>
      </w:r>
      <w:r>
        <w:rPr>
          <w:w w:val="105"/>
          <w:sz w:val="14"/>
        </w:rPr>
        <w:t>de</w:t>
      </w:r>
      <w:r>
        <w:rPr>
          <w:spacing w:val="-2"/>
          <w:w w:val="105"/>
          <w:sz w:val="14"/>
        </w:rPr>
        <w:t xml:space="preserve"> </w:t>
      </w:r>
      <w:r>
        <w:rPr>
          <w:w w:val="105"/>
          <w:sz w:val="14"/>
        </w:rPr>
        <w:t>sanción.</w:t>
      </w:r>
      <w:r>
        <w:rPr>
          <w:spacing w:val="-1"/>
          <w:w w:val="105"/>
          <w:sz w:val="14"/>
        </w:rPr>
        <w:t xml:space="preserve"> </w:t>
      </w:r>
      <w:r>
        <w:rPr>
          <w:w w:val="105"/>
          <w:sz w:val="14"/>
        </w:rPr>
        <w:t>La</w:t>
      </w:r>
      <w:r>
        <w:rPr>
          <w:spacing w:val="-2"/>
          <w:w w:val="105"/>
          <w:sz w:val="14"/>
        </w:rPr>
        <w:t xml:space="preserve"> </w:t>
      </w:r>
      <w:r>
        <w:rPr>
          <w:w w:val="105"/>
          <w:sz w:val="14"/>
        </w:rPr>
        <w:t>cuestión</w:t>
      </w:r>
      <w:r>
        <w:rPr>
          <w:spacing w:val="-2"/>
          <w:w w:val="105"/>
          <w:sz w:val="14"/>
        </w:rPr>
        <w:t xml:space="preserve"> </w:t>
      </w:r>
      <w:r>
        <w:rPr>
          <w:w w:val="105"/>
          <w:sz w:val="14"/>
        </w:rPr>
        <w:t>de</w:t>
      </w:r>
      <w:r>
        <w:rPr>
          <w:spacing w:val="-2"/>
          <w:w w:val="105"/>
          <w:sz w:val="14"/>
        </w:rPr>
        <w:t xml:space="preserve"> </w:t>
      </w:r>
      <w:r>
        <w:rPr>
          <w:w w:val="105"/>
          <w:sz w:val="14"/>
        </w:rPr>
        <w:t>qué</w:t>
      </w:r>
      <w:r>
        <w:rPr>
          <w:spacing w:val="-2"/>
          <w:w w:val="105"/>
          <w:sz w:val="14"/>
        </w:rPr>
        <w:t xml:space="preserve"> </w:t>
      </w:r>
      <w:r>
        <w:rPr>
          <w:w w:val="105"/>
          <w:sz w:val="14"/>
        </w:rPr>
        <w:t>nivel</w:t>
      </w:r>
      <w:r>
        <w:rPr>
          <w:spacing w:val="-2"/>
          <w:w w:val="105"/>
          <w:sz w:val="14"/>
        </w:rPr>
        <w:t xml:space="preserve"> </w:t>
      </w:r>
      <w:r>
        <w:rPr>
          <w:w w:val="105"/>
          <w:sz w:val="14"/>
        </w:rPr>
        <w:t>de</w:t>
      </w:r>
      <w:r>
        <w:rPr>
          <w:spacing w:val="-2"/>
          <w:w w:val="105"/>
          <w:sz w:val="14"/>
        </w:rPr>
        <w:t xml:space="preserve"> </w:t>
      </w:r>
      <w:r>
        <w:rPr>
          <w:w w:val="105"/>
          <w:sz w:val="14"/>
        </w:rPr>
        <w:t>multa</w:t>
      </w:r>
      <w:r>
        <w:rPr>
          <w:spacing w:val="-2"/>
          <w:w w:val="105"/>
          <w:sz w:val="14"/>
        </w:rPr>
        <w:t xml:space="preserve"> </w:t>
      </w:r>
      <w:r>
        <w:rPr>
          <w:w w:val="105"/>
          <w:sz w:val="14"/>
        </w:rPr>
        <w:t>monetaria</w:t>
      </w:r>
      <w:r>
        <w:rPr>
          <w:spacing w:val="-2"/>
          <w:w w:val="105"/>
          <w:sz w:val="14"/>
        </w:rPr>
        <w:t xml:space="preserve"> </w:t>
      </w:r>
      <w:r>
        <w:rPr>
          <w:w w:val="105"/>
          <w:sz w:val="14"/>
        </w:rPr>
        <w:t>es</w:t>
      </w:r>
      <w:r>
        <w:rPr>
          <w:spacing w:val="-2"/>
          <w:w w:val="105"/>
          <w:sz w:val="14"/>
        </w:rPr>
        <w:t xml:space="preserve"> </w:t>
      </w:r>
      <w:r>
        <w:rPr>
          <w:w w:val="105"/>
          <w:sz w:val="14"/>
        </w:rPr>
        <w:t>suficiente</w:t>
      </w:r>
      <w:r>
        <w:rPr>
          <w:spacing w:val="-2"/>
          <w:w w:val="105"/>
          <w:sz w:val="14"/>
        </w:rPr>
        <w:t xml:space="preserve"> </w:t>
      </w:r>
      <w:r>
        <w:rPr>
          <w:w w:val="105"/>
          <w:sz w:val="14"/>
        </w:rPr>
        <w:t xml:space="preserve">para cumplir con los criterios de ser “efectiva, proporcionada y disuasoria” es </w:t>
      </w:r>
      <w:proofErr w:type="gramStart"/>
      <w:r>
        <w:rPr>
          <w:w w:val="105"/>
          <w:sz w:val="14"/>
        </w:rPr>
        <w:t>contextual .</w:t>
      </w:r>
      <w:proofErr w:type="gramEnd"/>
      <w:r>
        <w:rPr>
          <w:w w:val="105"/>
          <w:sz w:val="14"/>
        </w:rPr>
        <w:t xml:space="preserve"> En algunas jurisdicciones, los niveles de daños han aumentado con el tiempo,592 a medida que la conciencia de la discriminación</w:t>
      </w:r>
    </w:p>
    <w:p w14:paraId="4D889349" w14:textId="77777777" w:rsidR="0014798C" w:rsidRDefault="004E1F0B">
      <w:pPr>
        <w:pStyle w:val="Textoindependiente"/>
        <w:spacing w:before="9"/>
        <w:rPr>
          <w:sz w:val="15"/>
        </w:rPr>
      </w:pPr>
      <w:r>
        <w:rPr>
          <w:noProof/>
        </w:rPr>
        <w:drawing>
          <wp:anchor distT="0" distB="0" distL="0" distR="0" simplePos="0" relativeHeight="251658534" behindDoc="1" locked="0" layoutInCell="1" allowOverlap="1" wp14:anchorId="27540CDB" wp14:editId="5E7DF244">
            <wp:simplePos x="0" y="0"/>
            <wp:positionH relativeFrom="page">
              <wp:posOffset>826632</wp:posOffset>
            </wp:positionH>
            <wp:positionV relativeFrom="paragraph">
              <wp:posOffset>130775</wp:posOffset>
            </wp:positionV>
            <wp:extent cx="931001" cy="35813"/>
            <wp:effectExtent l="0" t="0" r="0" b="0"/>
            <wp:wrapTopAndBottom/>
            <wp:docPr id="185" name="Image 18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85" name="Image 185"/>
                    <pic:cNvPicPr/>
                  </pic:nvPicPr>
                  <pic:blipFill>
                    <a:blip r:embed="rId137" cstate="print"/>
                    <a:stretch>
                      <a:fillRect/>
                    </a:stretch>
                  </pic:blipFill>
                  <pic:spPr>
                    <a:xfrm>
                      <a:off x="0" y="0"/>
                      <a:ext cx="931001" cy="35813"/>
                    </a:xfrm>
                    <a:prstGeom prst="rect">
                      <a:avLst/>
                    </a:prstGeom>
                  </pic:spPr>
                </pic:pic>
              </a:graphicData>
            </a:graphic>
          </wp:anchor>
        </w:drawing>
      </w:r>
    </w:p>
    <w:p w14:paraId="0B873F86" w14:textId="77777777" w:rsidR="0014798C" w:rsidRDefault="0014798C">
      <w:pPr>
        <w:pStyle w:val="Textoindependiente"/>
        <w:spacing w:before="48"/>
        <w:rPr>
          <w:sz w:val="11"/>
        </w:rPr>
      </w:pPr>
    </w:p>
    <w:p w14:paraId="5E9CBB1D" w14:textId="77777777" w:rsidR="0014798C" w:rsidRDefault="004E1F0B">
      <w:pPr>
        <w:pStyle w:val="Prrafodelista"/>
        <w:numPr>
          <w:ilvl w:val="0"/>
          <w:numId w:val="51"/>
        </w:numPr>
        <w:tabs>
          <w:tab w:val="left" w:pos="1315"/>
        </w:tabs>
        <w:spacing w:before="1"/>
        <w:ind w:left="1315" w:hanging="208"/>
        <w:rPr>
          <w:sz w:val="11"/>
        </w:rPr>
      </w:pPr>
      <w:r>
        <w:rPr>
          <w:spacing w:val="-2"/>
          <w:sz w:val="11"/>
        </w:rPr>
        <w:t>Comité</w:t>
      </w:r>
      <w:r>
        <w:rPr>
          <w:sz w:val="11"/>
        </w:rPr>
        <w:t xml:space="preserve"> </w:t>
      </w:r>
      <w:r>
        <w:rPr>
          <w:spacing w:val="-2"/>
          <w:sz w:val="11"/>
        </w:rPr>
        <w:t>de</w:t>
      </w:r>
      <w:r>
        <w:rPr>
          <w:sz w:val="11"/>
        </w:rPr>
        <w:t xml:space="preserve"> </w:t>
      </w:r>
      <w:r>
        <w:rPr>
          <w:spacing w:val="-2"/>
          <w:sz w:val="11"/>
        </w:rPr>
        <w:t>Derechos</w:t>
      </w:r>
      <w:r>
        <w:rPr>
          <w:sz w:val="11"/>
        </w:rPr>
        <w:t xml:space="preserve"> </w:t>
      </w:r>
      <w:r>
        <w:rPr>
          <w:spacing w:val="-2"/>
          <w:sz w:val="11"/>
        </w:rPr>
        <w:t>Humanos,</w:t>
      </w:r>
      <w:r>
        <w:rPr>
          <w:sz w:val="11"/>
        </w:rPr>
        <w:t xml:space="preserve"> </w:t>
      </w:r>
      <w:r>
        <w:rPr>
          <w:spacing w:val="-2"/>
          <w:sz w:val="11"/>
        </w:rPr>
        <w:t>observación</w:t>
      </w:r>
      <w:r>
        <w:rPr>
          <w:sz w:val="11"/>
        </w:rPr>
        <w:t xml:space="preserve"> </w:t>
      </w:r>
      <w:r>
        <w:rPr>
          <w:spacing w:val="-2"/>
          <w:sz w:val="11"/>
        </w:rPr>
        <w:t>general</w:t>
      </w:r>
      <w:r>
        <w:rPr>
          <w:sz w:val="11"/>
        </w:rPr>
        <w:t xml:space="preserve"> </w:t>
      </w:r>
      <w:r>
        <w:rPr>
          <w:spacing w:val="-2"/>
          <w:sz w:val="11"/>
        </w:rPr>
        <w:t>núm.</w:t>
      </w:r>
      <w:r>
        <w:rPr>
          <w:sz w:val="11"/>
        </w:rPr>
        <w:t xml:space="preserve"> </w:t>
      </w:r>
      <w:r>
        <w:rPr>
          <w:spacing w:val="-2"/>
          <w:sz w:val="11"/>
        </w:rPr>
        <w:t>32</w:t>
      </w:r>
      <w:r>
        <w:rPr>
          <w:sz w:val="11"/>
        </w:rPr>
        <w:t xml:space="preserve"> </w:t>
      </w:r>
      <w:r>
        <w:rPr>
          <w:spacing w:val="-2"/>
          <w:sz w:val="11"/>
        </w:rPr>
        <w:t>(2007),</w:t>
      </w:r>
      <w:r>
        <w:rPr>
          <w:sz w:val="11"/>
        </w:rPr>
        <w:t xml:space="preserve"> </w:t>
      </w:r>
      <w:r>
        <w:rPr>
          <w:spacing w:val="-2"/>
          <w:sz w:val="11"/>
        </w:rPr>
        <w:t>párr.</w:t>
      </w:r>
      <w:r>
        <w:rPr>
          <w:sz w:val="11"/>
        </w:rPr>
        <w:t xml:space="preserve"> </w:t>
      </w:r>
      <w:r>
        <w:rPr>
          <w:spacing w:val="-5"/>
          <w:sz w:val="11"/>
        </w:rPr>
        <w:t>30.</w:t>
      </w:r>
    </w:p>
    <w:p w14:paraId="3DC333A8" w14:textId="77777777" w:rsidR="0014798C" w:rsidRDefault="0014798C">
      <w:pPr>
        <w:rPr>
          <w:sz w:val="11"/>
        </w:rPr>
        <w:sectPr w:rsidR="0014798C" w:rsidSect="00F265E4">
          <w:pgSz w:w="11900" w:h="16820"/>
          <w:pgMar w:top="340" w:right="0" w:bottom="280" w:left="200" w:header="121" w:footer="0" w:gutter="0"/>
          <w:cols w:space="720"/>
        </w:sectPr>
      </w:pPr>
    </w:p>
    <w:p w14:paraId="04A191FF" w14:textId="77777777" w:rsidR="0014798C" w:rsidRDefault="004E1F0B">
      <w:pPr>
        <w:spacing w:before="55"/>
        <w:jc w:val="right"/>
        <w:rPr>
          <w:sz w:val="8"/>
        </w:rPr>
      </w:pPr>
      <w:r>
        <w:rPr>
          <w:spacing w:val="-5"/>
          <w:w w:val="105"/>
          <w:sz w:val="8"/>
        </w:rPr>
        <w:t>588</w:t>
      </w:r>
    </w:p>
    <w:p w14:paraId="456A8E92" w14:textId="77777777" w:rsidR="0014798C" w:rsidRDefault="004E1F0B">
      <w:pPr>
        <w:spacing w:before="92" w:line="312" w:lineRule="auto"/>
        <w:ind w:left="86" w:right="1556" w:hanging="6"/>
        <w:rPr>
          <w:sz w:val="12"/>
        </w:rPr>
      </w:pPr>
      <w:r>
        <w:br w:type="column"/>
      </w:r>
      <w:r>
        <w:rPr>
          <w:sz w:val="12"/>
        </w:rPr>
        <w:t>Véase,</w:t>
      </w:r>
      <w:r>
        <w:rPr>
          <w:spacing w:val="13"/>
          <w:sz w:val="12"/>
        </w:rPr>
        <w:t xml:space="preserve"> </w:t>
      </w:r>
      <w:r>
        <w:rPr>
          <w:sz w:val="12"/>
        </w:rPr>
        <w:t>entre</w:t>
      </w:r>
      <w:r>
        <w:rPr>
          <w:spacing w:val="13"/>
          <w:sz w:val="12"/>
        </w:rPr>
        <w:t xml:space="preserve"> </w:t>
      </w:r>
      <w:r>
        <w:rPr>
          <w:sz w:val="12"/>
        </w:rPr>
        <w:t>otros,</w:t>
      </w:r>
      <w:r>
        <w:rPr>
          <w:spacing w:val="13"/>
          <w:sz w:val="12"/>
        </w:rPr>
        <w:t xml:space="preserve"> </w:t>
      </w:r>
      <w:r>
        <w:rPr>
          <w:sz w:val="12"/>
        </w:rPr>
        <w:t>Pacto</w:t>
      </w:r>
      <w:r>
        <w:rPr>
          <w:spacing w:val="13"/>
          <w:sz w:val="12"/>
        </w:rPr>
        <w:t xml:space="preserve"> </w:t>
      </w:r>
      <w:r>
        <w:rPr>
          <w:sz w:val="12"/>
        </w:rPr>
        <w:t>Internacional</w:t>
      </w:r>
      <w:r>
        <w:rPr>
          <w:spacing w:val="13"/>
          <w:sz w:val="12"/>
        </w:rPr>
        <w:t xml:space="preserve"> </w:t>
      </w:r>
      <w:r>
        <w:rPr>
          <w:sz w:val="12"/>
        </w:rPr>
        <w:t>de</w:t>
      </w:r>
      <w:r>
        <w:rPr>
          <w:spacing w:val="13"/>
          <w:sz w:val="12"/>
        </w:rPr>
        <w:t xml:space="preserve"> </w:t>
      </w:r>
      <w:r>
        <w:rPr>
          <w:sz w:val="12"/>
        </w:rPr>
        <w:t>Derechos</w:t>
      </w:r>
      <w:r>
        <w:rPr>
          <w:spacing w:val="13"/>
          <w:sz w:val="12"/>
        </w:rPr>
        <w:t xml:space="preserve"> </w:t>
      </w:r>
      <w:r>
        <w:rPr>
          <w:sz w:val="12"/>
        </w:rPr>
        <w:t>Civiles</w:t>
      </w:r>
      <w:r>
        <w:rPr>
          <w:spacing w:val="13"/>
          <w:sz w:val="12"/>
        </w:rPr>
        <w:t xml:space="preserve"> </w:t>
      </w:r>
      <w:r>
        <w:rPr>
          <w:sz w:val="12"/>
        </w:rPr>
        <w:t>y</w:t>
      </w:r>
      <w:r>
        <w:rPr>
          <w:spacing w:val="13"/>
          <w:sz w:val="12"/>
        </w:rPr>
        <w:t xml:space="preserve"> </w:t>
      </w:r>
      <w:r>
        <w:rPr>
          <w:sz w:val="12"/>
        </w:rPr>
        <w:t>Políticos,</w:t>
      </w:r>
      <w:r>
        <w:rPr>
          <w:spacing w:val="15"/>
          <w:sz w:val="12"/>
        </w:rPr>
        <w:t xml:space="preserve"> </w:t>
      </w:r>
      <w:r>
        <w:rPr>
          <w:sz w:val="12"/>
        </w:rPr>
        <w:t>art.</w:t>
      </w:r>
      <w:r>
        <w:rPr>
          <w:spacing w:val="13"/>
          <w:sz w:val="12"/>
        </w:rPr>
        <w:t xml:space="preserve"> </w:t>
      </w:r>
      <w:r>
        <w:rPr>
          <w:sz w:val="12"/>
        </w:rPr>
        <w:t>14</w:t>
      </w:r>
      <w:r>
        <w:rPr>
          <w:spacing w:val="13"/>
          <w:sz w:val="12"/>
        </w:rPr>
        <w:t xml:space="preserve"> </w:t>
      </w:r>
      <w:r>
        <w:rPr>
          <w:sz w:val="12"/>
        </w:rPr>
        <w:t>(</w:t>
      </w:r>
      <w:proofErr w:type="gramStart"/>
      <w:r>
        <w:rPr>
          <w:sz w:val="12"/>
        </w:rPr>
        <w:t>2);</w:t>
      </w:r>
      <w:proofErr w:type="gramEnd"/>
      <w:r>
        <w:rPr>
          <w:spacing w:val="13"/>
          <w:sz w:val="12"/>
        </w:rPr>
        <w:t xml:space="preserve"> </w:t>
      </w:r>
      <w:r>
        <w:rPr>
          <w:sz w:val="12"/>
        </w:rPr>
        <w:t>y</w:t>
      </w:r>
      <w:r>
        <w:rPr>
          <w:spacing w:val="13"/>
          <w:sz w:val="12"/>
        </w:rPr>
        <w:t xml:space="preserve"> </w:t>
      </w:r>
      <w:r>
        <w:rPr>
          <w:sz w:val="12"/>
        </w:rPr>
        <w:t>Comité</w:t>
      </w:r>
      <w:r>
        <w:rPr>
          <w:spacing w:val="13"/>
          <w:sz w:val="12"/>
        </w:rPr>
        <w:t xml:space="preserve"> </w:t>
      </w:r>
      <w:r>
        <w:rPr>
          <w:sz w:val="12"/>
        </w:rPr>
        <w:t>de</w:t>
      </w:r>
      <w:r>
        <w:rPr>
          <w:spacing w:val="13"/>
          <w:sz w:val="12"/>
        </w:rPr>
        <w:t xml:space="preserve"> </w:t>
      </w:r>
      <w:r>
        <w:rPr>
          <w:sz w:val="12"/>
        </w:rPr>
        <w:t>Derechos</w:t>
      </w:r>
      <w:r>
        <w:rPr>
          <w:spacing w:val="13"/>
          <w:sz w:val="12"/>
        </w:rPr>
        <w:t xml:space="preserve"> </w:t>
      </w:r>
      <w:r>
        <w:rPr>
          <w:sz w:val="12"/>
        </w:rPr>
        <w:t>Humanos,</w:t>
      </w:r>
      <w:r>
        <w:rPr>
          <w:spacing w:val="15"/>
          <w:sz w:val="12"/>
        </w:rPr>
        <w:t xml:space="preserve"> </w:t>
      </w:r>
      <w:r>
        <w:rPr>
          <w:sz w:val="12"/>
        </w:rPr>
        <w:t>observación</w:t>
      </w:r>
      <w:r>
        <w:rPr>
          <w:spacing w:val="13"/>
          <w:sz w:val="12"/>
        </w:rPr>
        <w:t xml:space="preserve"> </w:t>
      </w:r>
      <w:r>
        <w:rPr>
          <w:sz w:val="12"/>
        </w:rPr>
        <w:t>general</w:t>
      </w:r>
      <w:r>
        <w:rPr>
          <w:spacing w:val="13"/>
          <w:sz w:val="12"/>
        </w:rPr>
        <w:t xml:space="preserve"> </w:t>
      </w:r>
      <w:r>
        <w:rPr>
          <w:sz w:val="12"/>
        </w:rPr>
        <w:t>núm.</w:t>
      </w:r>
      <w:r>
        <w:rPr>
          <w:spacing w:val="13"/>
          <w:sz w:val="12"/>
        </w:rPr>
        <w:t xml:space="preserve"> </w:t>
      </w:r>
      <w:r>
        <w:rPr>
          <w:sz w:val="12"/>
        </w:rPr>
        <w:t>32</w:t>
      </w:r>
      <w:r>
        <w:rPr>
          <w:spacing w:val="13"/>
          <w:sz w:val="12"/>
        </w:rPr>
        <w:t xml:space="preserve"> </w:t>
      </w:r>
      <w:r>
        <w:rPr>
          <w:sz w:val="12"/>
        </w:rPr>
        <w:t>(2007),</w:t>
      </w:r>
      <w:r>
        <w:rPr>
          <w:spacing w:val="40"/>
          <w:sz w:val="12"/>
        </w:rPr>
        <w:t xml:space="preserve"> </w:t>
      </w:r>
      <w:r>
        <w:rPr>
          <w:sz w:val="12"/>
        </w:rPr>
        <w:t>párr.</w:t>
      </w:r>
      <w:r>
        <w:rPr>
          <w:spacing w:val="-5"/>
          <w:sz w:val="12"/>
        </w:rPr>
        <w:t xml:space="preserve"> </w:t>
      </w:r>
      <w:r>
        <w:rPr>
          <w:sz w:val="12"/>
        </w:rPr>
        <w:t>30.</w:t>
      </w:r>
    </w:p>
    <w:p w14:paraId="23EC53F4" w14:textId="77777777" w:rsidR="0014798C" w:rsidRDefault="0014798C">
      <w:pPr>
        <w:spacing w:line="312" w:lineRule="auto"/>
        <w:rPr>
          <w:sz w:val="12"/>
        </w:rPr>
        <w:sectPr w:rsidR="0014798C" w:rsidSect="00F265E4">
          <w:type w:val="continuous"/>
          <w:pgSz w:w="11900" w:h="16820"/>
          <w:pgMar w:top="40" w:right="0" w:bottom="280" w:left="200" w:header="121" w:footer="0" w:gutter="0"/>
          <w:cols w:num="2" w:space="720" w:equalWidth="0">
            <w:col w:w="1249" w:space="40"/>
            <w:col w:w="10411"/>
          </w:cols>
        </w:sectPr>
      </w:pPr>
    </w:p>
    <w:p w14:paraId="3C5D741C" w14:textId="77777777" w:rsidR="0014798C" w:rsidRDefault="004E1F0B">
      <w:pPr>
        <w:spacing w:before="57"/>
        <w:ind w:left="1107"/>
        <w:rPr>
          <w:sz w:val="12"/>
        </w:rPr>
      </w:pPr>
      <w:r>
        <w:rPr>
          <w:w w:val="105"/>
          <w:sz w:val="12"/>
        </w:rPr>
        <w:t>589</w:t>
      </w:r>
      <w:r>
        <w:rPr>
          <w:spacing w:val="-6"/>
          <w:w w:val="105"/>
          <w:sz w:val="12"/>
        </w:rPr>
        <w:t xml:space="preserve"> </w:t>
      </w:r>
      <w:r>
        <w:rPr>
          <w:w w:val="105"/>
          <w:sz w:val="12"/>
        </w:rPr>
        <w:t>Comité</w:t>
      </w:r>
      <w:r>
        <w:rPr>
          <w:spacing w:val="-6"/>
          <w:w w:val="105"/>
          <w:sz w:val="12"/>
        </w:rPr>
        <w:t xml:space="preserve"> </w:t>
      </w:r>
      <w:r>
        <w:rPr>
          <w:w w:val="105"/>
          <w:sz w:val="12"/>
        </w:rPr>
        <w:t>para</w:t>
      </w:r>
      <w:r>
        <w:rPr>
          <w:spacing w:val="-6"/>
          <w:w w:val="105"/>
          <w:sz w:val="12"/>
        </w:rPr>
        <w:t xml:space="preserve"> </w:t>
      </w:r>
      <w:r>
        <w:rPr>
          <w:w w:val="105"/>
          <w:sz w:val="12"/>
        </w:rPr>
        <w:t>la</w:t>
      </w:r>
      <w:r>
        <w:rPr>
          <w:spacing w:val="-6"/>
          <w:w w:val="105"/>
          <w:sz w:val="12"/>
        </w:rPr>
        <w:t xml:space="preserve"> </w:t>
      </w:r>
      <w:r>
        <w:rPr>
          <w:w w:val="105"/>
          <w:sz w:val="12"/>
        </w:rPr>
        <w:t>Eliminación</w:t>
      </w:r>
      <w:r>
        <w:rPr>
          <w:spacing w:val="-5"/>
          <w:w w:val="105"/>
          <w:sz w:val="12"/>
        </w:rPr>
        <w:t xml:space="preserve"> </w:t>
      </w:r>
      <w:r>
        <w:rPr>
          <w:w w:val="105"/>
          <w:sz w:val="12"/>
        </w:rPr>
        <w:t>de</w:t>
      </w:r>
      <w:r>
        <w:rPr>
          <w:spacing w:val="-6"/>
          <w:w w:val="105"/>
          <w:sz w:val="12"/>
        </w:rPr>
        <w:t xml:space="preserve"> </w:t>
      </w:r>
      <w:r>
        <w:rPr>
          <w:w w:val="105"/>
          <w:sz w:val="12"/>
        </w:rPr>
        <w:t>la</w:t>
      </w:r>
      <w:r>
        <w:rPr>
          <w:spacing w:val="-6"/>
          <w:w w:val="105"/>
          <w:sz w:val="12"/>
        </w:rPr>
        <w:t xml:space="preserve"> </w:t>
      </w:r>
      <w:r>
        <w:rPr>
          <w:w w:val="105"/>
          <w:sz w:val="12"/>
        </w:rPr>
        <w:t>Discriminación</w:t>
      </w:r>
      <w:r>
        <w:rPr>
          <w:spacing w:val="-6"/>
          <w:w w:val="105"/>
          <w:sz w:val="12"/>
        </w:rPr>
        <w:t xml:space="preserve"> </w:t>
      </w:r>
      <w:r>
        <w:rPr>
          <w:w w:val="105"/>
          <w:sz w:val="12"/>
        </w:rPr>
        <w:t>Racial,</w:t>
      </w:r>
      <w:r>
        <w:rPr>
          <w:spacing w:val="-5"/>
          <w:w w:val="105"/>
          <w:sz w:val="12"/>
        </w:rPr>
        <w:t xml:space="preserve"> </w:t>
      </w:r>
      <w:r>
        <w:rPr>
          <w:w w:val="105"/>
          <w:sz w:val="12"/>
        </w:rPr>
        <w:t>BJ</w:t>
      </w:r>
      <w:r>
        <w:rPr>
          <w:spacing w:val="-6"/>
          <w:w w:val="105"/>
          <w:sz w:val="12"/>
        </w:rPr>
        <w:t xml:space="preserve"> </w:t>
      </w:r>
      <w:r>
        <w:rPr>
          <w:w w:val="105"/>
          <w:sz w:val="12"/>
        </w:rPr>
        <w:t>c.</w:t>
      </w:r>
      <w:r>
        <w:rPr>
          <w:spacing w:val="-5"/>
          <w:w w:val="105"/>
          <w:sz w:val="12"/>
        </w:rPr>
        <w:t xml:space="preserve"> </w:t>
      </w:r>
      <w:r>
        <w:rPr>
          <w:w w:val="105"/>
          <w:sz w:val="12"/>
        </w:rPr>
        <w:t>Dinamarca</w:t>
      </w:r>
      <w:r>
        <w:rPr>
          <w:spacing w:val="-6"/>
          <w:w w:val="105"/>
          <w:sz w:val="12"/>
        </w:rPr>
        <w:t xml:space="preserve"> </w:t>
      </w:r>
      <w:r>
        <w:rPr>
          <w:w w:val="105"/>
          <w:sz w:val="12"/>
        </w:rPr>
        <w:t>(CERD/C/56/D/17/1999),</w:t>
      </w:r>
      <w:r>
        <w:rPr>
          <w:spacing w:val="-5"/>
          <w:w w:val="105"/>
          <w:sz w:val="12"/>
        </w:rPr>
        <w:t xml:space="preserve"> </w:t>
      </w:r>
      <w:r>
        <w:rPr>
          <w:w w:val="105"/>
          <w:sz w:val="12"/>
        </w:rPr>
        <w:t>párr.</w:t>
      </w:r>
      <w:r>
        <w:rPr>
          <w:spacing w:val="-6"/>
          <w:w w:val="105"/>
          <w:sz w:val="12"/>
        </w:rPr>
        <w:t xml:space="preserve"> </w:t>
      </w:r>
      <w:r>
        <w:rPr>
          <w:spacing w:val="-4"/>
          <w:w w:val="105"/>
          <w:sz w:val="12"/>
        </w:rPr>
        <w:t>6.3.</w:t>
      </w:r>
    </w:p>
    <w:p w14:paraId="683C200D" w14:textId="77777777" w:rsidR="0014798C" w:rsidRDefault="0014798C">
      <w:pPr>
        <w:rPr>
          <w:sz w:val="12"/>
        </w:rPr>
        <w:sectPr w:rsidR="0014798C" w:rsidSect="00F265E4">
          <w:type w:val="continuous"/>
          <w:pgSz w:w="11900" w:h="16820"/>
          <w:pgMar w:top="40" w:right="0" w:bottom="280" w:left="200" w:header="121" w:footer="0" w:gutter="0"/>
          <w:cols w:space="720"/>
        </w:sectPr>
      </w:pPr>
    </w:p>
    <w:p w14:paraId="65A6704E" w14:textId="77777777" w:rsidR="0014798C" w:rsidRDefault="004E1F0B">
      <w:pPr>
        <w:spacing w:before="62"/>
        <w:jc w:val="right"/>
        <w:rPr>
          <w:sz w:val="8"/>
        </w:rPr>
      </w:pPr>
      <w:r>
        <w:rPr>
          <w:spacing w:val="-5"/>
          <w:w w:val="105"/>
          <w:sz w:val="8"/>
        </w:rPr>
        <w:t>590</w:t>
      </w:r>
    </w:p>
    <w:p w14:paraId="3D2F5B85" w14:textId="77777777" w:rsidR="0014798C" w:rsidRDefault="004E1F0B">
      <w:pPr>
        <w:spacing w:before="99" w:line="312" w:lineRule="auto"/>
        <w:ind w:left="78" w:right="1826" w:firstLine="2"/>
        <w:rPr>
          <w:sz w:val="12"/>
        </w:rPr>
      </w:pPr>
      <w:r>
        <w:br w:type="column"/>
      </w:r>
      <w:r>
        <w:rPr>
          <w:sz w:val="12"/>
        </w:rPr>
        <w:t>Véase,</w:t>
      </w:r>
      <w:r>
        <w:rPr>
          <w:spacing w:val="14"/>
          <w:sz w:val="12"/>
        </w:rPr>
        <w:t xml:space="preserve"> </w:t>
      </w:r>
      <w:r>
        <w:rPr>
          <w:sz w:val="12"/>
        </w:rPr>
        <w:t>por</w:t>
      </w:r>
      <w:r>
        <w:rPr>
          <w:spacing w:val="14"/>
          <w:sz w:val="12"/>
        </w:rPr>
        <w:t xml:space="preserve"> </w:t>
      </w:r>
      <w:r>
        <w:rPr>
          <w:sz w:val="12"/>
        </w:rPr>
        <w:t>ejemplo,</w:t>
      </w:r>
      <w:r>
        <w:rPr>
          <w:spacing w:val="15"/>
          <w:sz w:val="12"/>
        </w:rPr>
        <w:t xml:space="preserve"> </w:t>
      </w:r>
      <w:r>
        <w:rPr>
          <w:sz w:val="12"/>
        </w:rPr>
        <w:t>Comité</w:t>
      </w:r>
      <w:r>
        <w:rPr>
          <w:spacing w:val="14"/>
          <w:sz w:val="12"/>
        </w:rPr>
        <w:t xml:space="preserve"> </w:t>
      </w:r>
      <w:r>
        <w:rPr>
          <w:sz w:val="12"/>
        </w:rPr>
        <w:t>de</w:t>
      </w:r>
      <w:r>
        <w:rPr>
          <w:spacing w:val="14"/>
          <w:sz w:val="12"/>
        </w:rPr>
        <w:t xml:space="preserve"> </w:t>
      </w:r>
      <w:r>
        <w:rPr>
          <w:sz w:val="12"/>
        </w:rPr>
        <w:t>Derechos</w:t>
      </w:r>
      <w:r>
        <w:rPr>
          <w:spacing w:val="14"/>
          <w:sz w:val="12"/>
        </w:rPr>
        <w:t xml:space="preserve"> </w:t>
      </w:r>
      <w:r>
        <w:rPr>
          <w:sz w:val="12"/>
        </w:rPr>
        <w:t>Humanos,</w:t>
      </w:r>
      <w:r>
        <w:rPr>
          <w:spacing w:val="15"/>
          <w:sz w:val="12"/>
        </w:rPr>
        <w:t xml:space="preserve"> </w:t>
      </w:r>
      <w:r>
        <w:rPr>
          <w:sz w:val="12"/>
        </w:rPr>
        <w:t>observación</w:t>
      </w:r>
      <w:r>
        <w:rPr>
          <w:spacing w:val="14"/>
          <w:sz w:val="12"/>
        </w:rPr>
        <w:t xml:space="preserve"> </w:t>
      </w:r>
      <w:r>
        <w:rPr>
          <w:sz w:val="12"/>
        </w:rPr>
        <w:t>general</w:t>
      </w:r>
      <w:r>
        <w:rPr>
          <w:spacing w:val="14"/>
          <w:sz w:val="12"/>
        </w:rPr>
        <w:t xml:space="preserve"> </w:t>
      </w:r>
      <w:r>
        <w:rPr>
          <w:sz w:val="12"/>
        </w:rPr>
        <w:t>núm.</w:t>
      </w:r>
      <w:r>
        <w:rPr>
          <w:spacing w:val="14"/>
          <w:sz w:val="12"/>
        </w:rPr>
        <w:t xml:space="preserve"> </w:t>
      </w:r>
      <w:r>
        <w:rPr>
          <w:sz w:val="12"/>
        </w:rPr>
        <w:t>31</w:t>
      </w:r>
      <w:r>
        <w:rPr>
          <w:spacing w:val="14"/>
          <w:sz w:val="12"/>
        </w:rPr>
        <w:t xml:space="preserve"> </w:t>
      </w:r>
      <w:r>
        <w:rPr>
          <w:sz w:val="12"/>
        </w:rPr>
        <w:t>(2004),</w:t>
      </w:r>
      <w:r>
        <w:rPr>
          <w:spacing w:val="15"/>
          <w:sz w:val="12"/>
        </w:rPr>
        <w:t xml:space="preserve"> </w:t>
      </w:r>
      <w:proofErr w:type="spellStart"/>
      <w:r>
        <w:rPr>
          <w:sz w:val="12"/>
        </w:rPr>
        <w:t>párrs</w:t>
      </w:r>
      <w:proofErr w:type="spellEnd"/>
      <w:r>
        <w:rPr>
          <w:sz w:val="12"/>
        </w:rPr>
        <w:t>.</w:t>
      </w:r>
      <w:r>
        <w:rPr>
          <w:spacing w:val="15"/>
          <w:sz w:val="12"/>
        </w:rPr>
        <w:t xml:space="preserve"> </w:t>
      </w:r>
      <w:r>
        <w:rPr>
          <w:sz w:val="12"/>
        </w:rPr>
        <w:t>16</w:t>
      </w:r>
      <w:r>
        <w:rPr>
          <w:spacing w:val="14"/>
          <w:sz w:val="12"/>
        </w:rPr>
        <w:t xml:space="preserve"> </w:t>
      </w:r>
      <w:r>
        <w:rPr>
          <w:sz w:val="12"/>
        </w:rPr>
        <w:t>y</w:t>
      </w:r>
      <w:r>
        <w:rPr>
          <w:spacing w:val="14"/>
          <w:sz w:val="12"/>
        </w:rPr>
        <w:t xml:space="preserve"> </w:t>
      </w:r>
      <w:r>
        <w:rPr>
          <w:sz w:val="12"/>
        </w:rPr>
        <w:t>18;</w:t>
      </w:r>
      <w:r>
        <w:rPr>
          <w:spacing w:val="14"/>
          <w:sz w:val="12"/>
        </w:rPr>
        <w:t xml:space="preserve"> </w:t>
      </w:r>
      <w:r>
        <w:rPr>
          <w:sz w:val="12"/>
        </w:rPr>
        <w:t>Comité</w:t>
      </w:r>
      <w:r>
        <w:rPr>
          <w:spacing w:val="14"/>
          <w:sz w:val="12"/>
        </w:rPr>
        <w:t xml:space="preserve"> </w:t>
      </w:r>
      <w:r>
        <w:rPr>
          <w:sz w:val="12"/>
        </w:rPr>
        <w:t>para</w:t>
      </w:r>
      <w:r>
        <w:rPr>
          <w:spacing w:val="14"/>
          <w:sz w:val="12"/>
        </w:rPr>
        <w:t xml:space="preserve"> </w:t>
      </w:r>
      <w:r>
        <w:rPr>
          <w:sz w:val="12"/>
        </w:rPr>
        <w:t>la</w:t>
      </w:r>
      <w:r>
        <w:rPr>
          <w:spacing w:val="14"/>
          <w:sz w:val="12"/>
        </w:rPr>
        <w:t xml:space="preserve"> </w:t>
      </w:r>
      <w:r>
        <w:rPr>
          <w:sz w:val="12"/>
        </w:rPr>
        <w:t>Eliminación</w:t>
      </w:r>
      <w:r>
        <w:rPr>
          <w:spacing w:val="14"/>
          <w:sz w:val="12"/>
        </w:rPr>
        <w:t xml:space="preserve"> </w:t>
      </w:r>
      <w:r>
        <w:rPr>
          <w:sz w:val="12"/>
        </w:rPr>
        <w:t>de</w:t>
      </w:r>
      <w:r>
        <w:rPr>
          <w:spacing w:val="14"/>
          <w:sz w:val="12"/>
        </w:rPr>
        <w:t xml:space="preserve"> </w:t>
      </w:r>
      <w:r>
        <w:rPr>
          <w:sz w:val="12"/>
        </w:rPr>
        <w:t>la</w:t>
      </w:r>
      <w:r>
        <w:rPr>
          <w:spacing w:val="40"/>
          <w:sz w:val="12"/>
        </w:rPr>
        <w:t xml:space="preserve"> </w:t>
      </w:r>
      <w:r>
        <w:rPr>
          <w:sz w:val="12"/>
        </w:rPr>
        <w:t>Discriminación</w:t>
      </w:r>
      <w:r>
        <w:rPr>
          <w:spacing w:val="13"/>
          <w:sz w:val="12"/>
        </w:rPr>
        <w:t xml:space="preserve"> </w:t>
      </w:r>
      <w:r>
        <w:rPr>
          <w:sz w:val="12"/>
        </w:rPr>
        <w:t>contra</w:t>
      </w:r>
      <w:r>
        <w:rPr>
          <w:spacing w:val="13"/>
          <w:sz w:val="12"/>
        </w:rPr>
        <w:t xml:space="preserve"> </w:t>
      </w:r>
      <w:r>
        <w:rPr>
          <w:sz w:val="12"/>
        </w:rPr>
        <w:t>la</w:t>
      </w:r>
      <w:r>
        <w:rPr>
          <w:spacing w:val="13"/>
          <w:sz w:val="12"/>
        </w:rPr>
        <w:t xml:space="preserve"> </w:t>
      </w:r>
      <w:r>
        <w:rPr>
          <w:sz w:val="12"/>
        </w:rPr>
        <w:t>Mujer,</w:t>
      </w:r>
      <w:r>
        <w:rPr>
          <w:spacing w:val="14"/>
          <w:sz w:val="12"/>
        </w:rPr>
        <w:t xml:space="preserve"> </w:t>
      </w:r>
      <w:r>
        <w:rPr>
          <w:sz w:val="12"/>
        </w:rPr>
        <w:t>recomendación</w:t>
      </w:r>
      <w:r>
        <w:rPr>
          <w:spacing w:val="13"/>
          <w:sz w:val="12"/>
        </w:rPr>
        <w:t xml:space="preserve"> </w:t>
      </w:r>
      <w:r>
        <w:rPr>
          <w:sz w:val="12"/>
        </w:rPr>
        <w:t>general</w:t>
      </w:r>
      <w:r>
        <w:rPr>
          <w:spacing w:val="13"/>
          <w:sz w:val="12"/>
        </w:rPr>
        <w:t xml:space="preserve"> </w:t>
      </w:r>
      <w:r>
        <w:rPr>
          <w:sz w:val="12"/>
        </w:rPr>
        <w:t>núm.</w:t>
      </w:r>
      <w:r>
        <w:rPr>
          <w:spacing w:val="13"/>
          <w:sz w:val="12"/>
        </w:rPr>
        <w:t xml:space="preserve"> </w:t>
      </w:r>
      <w:r>
        <w:rPr>
          <w:sz w:val="12"/>
        </w:rPr>
        <w:t>28</w:t>
      </w:r>
      <w:r>
        <w:rPr>
          <w:spacing w:val="13"/>
          <w:sz w:val="12"/>
        </w:rPr>
        <w:t xml:space="preserve"> </w:t>
      </w:r>
      <w:r>
        <w:rPr>
          <w:sz w:val="12"/>
        </w:rPr>
        <w:t>(2010),</w:t>
      </w:r>
      <w:r>
        <w:rPr>
          <w:spacing w:val="14"/>
          <w:sz w:val="12"/>
        </w:rPr>
        <w:t xml:space="preserve"> </w:t>
      </w:r>
      <w:proofErr w:type="spellStart"/>
      <w:r>
        <w:rPr>
          <w:sz w:val="12"/>
        </w:rPr>
        <w:t>párrs</w:t>
      </w:r>
      <w:proofErr w:type="spellEnd"/>
      <w:r>
        <w:rPr>
          <w:sz w:val="12"/>
        </w:rPr>
        <w:t>.</w:t>
      </w:r>
      <w:r>
        <w:rPr>
          <w:spacing w:val="14"/>
          <w:sz w:val="12"/>
        </w:rPr>
        <w:t xml:space="preserve"> </w:t>
      </w:r>
      <w:r>
        <w:rPr>
          <w:sz w:val="12"/>
        </w:rPr>
        <w:t>17</w:t>
      </w:r>
      <w:r>
        <w:rPr>
          <w:spacing w:val="13"/>
          <w:sz w:val="12"/>
        </w:rPr>
        <w:t xml:space="preserve"> </w:t>
      </w:r>
      <w:r>
        <w:rPr>
          <w:sz w:val="12"/>
        </w:rPr>
        <w:t>y</w:t>
      </w:r>
      <w:r>
        <w:rPr>
          <w:spacing w:val="13"/>
          <w:sz w:val="12"/>
        </w:rPr>
        <w:t xml:space="preserve"> </w:t>
      </w:r>
      <w:r>
        <w:rPr>
          <w:sz w:val="12"/>
        </w:rPr>
        <w:t>33;</w:t>
      </w:r>
      <w:r>
        <w:rPr>
          <w:spacing w:val="13"/>
          <w:sz w:val="12"/>
        </w:rPr>
        <w:t xml:space="preserve"> </w:t>
      </w:r>
      <w:r>
        <w:rPr>
          <w:sz w:val="12"/>
        </w:rPr>
        <w:t>y</w:t>
      </w:r>
      <w:r>
        <w:rPr>
          <w:spacing w:val="13"/>
          <w:sz w:val="12"/>
        </w:rPr>
        <w:t xml:space="preserve"> </w:t>
      </w:r>
      <w:r>
        <w:rPr>
          <w:sz w:val="12"/>
        </w:rPr>
        <w:t>Comité</w:t>
      </w:r>
      <w:r>
        <w:rPr>
          <w:spacing w:val="13"/>
          <w:sz w:val="12"/>
        </w:rPr>
        <w:t xml:space="preserve"> </w:t>
      </w:r>
      <w:r>
        <w:rPr>
          <w:sz w:val="12"/>
        </w:rPr>
        <w:t>sobre</w:t>
      </w:r>
      <w:r>
        <w:rPr>
          <w:spacing w:val="13"/>
          <w:sz w:val="12"/>
        </w:rPr>
        <w:t xml:space="preserve"> </w:t>
      </w:r>
      <w:r>
        <w:rPr>
          <w:sz w:val="12"/>
        </w:rPr>
        <w:t>los</w:t>
      </w:r>
      <w:r>
        <w:rPr>
          <w:spacing w:val="13"/>
          <w:sz w:val="12"/>
        </w:rPr>
        <w:t xml:space="preserve"> </w:t>
      </w:r>
      <w:r>
        <w:rPr>
          <w:sz w:val="12"/>
        </w:rPr>
        <w:t>Derechos</w:t>
      </w:r>
      <w:r>
        <w:rPr>
          <w:spacing w:val="13"/>
          <w:sz w:val="12"/>
        </w:rPr>
        <w:t xml:space="preserve"> </w:t>
      </w:r>
      <w:r>
        <w:rPr>
          <w:sz w:val="12"/>
        </w:rPr>
        <w:t>de</w:t>
      </w:r>
      <w:r>
        <w:rPr>
          <w:spacing w:val="13"/>
          <w:sz w:val="12"/>
        </w:rPr>
        <w:t xml:space="preserve"> </w:t>
      </w:r>
      <w:r>
        <w:rPr>
          <w:sz w:val="12"/>
        </w:rPr>
        <w:t>las</w:t>
      </w:r>
      <w:r>
        <w:rPr>
          <w:spacing w:val="13"/>
          <w:sz w:val="12"/>
        </w:rPr>
        <w:t xml:space="preserve"> </w:t>
      </w:r>
      <w:r>
        <w:rPr>
          <w:sz w:val="12"/>
        </w:rPr>
        <w:t>Personas</w:t>
      </w:r>
      <w:r>
        <w:rPr>
          <w:spacing w:val="13"/>
          <w:sz w:val="12"/>
        </w:rPr>
        <w:t xml:space="preserve"> </w:t>
      </w:r>
      <w:r>
        <w:rPr>
          <w:sz w:val="12"/>
        </w:rPr>
        <w:t>con</w:t>
      </w:r>
      <w:r>
        <w:rPr>
          <w:spacing w:val="13"/>
          <w:sz w:val="12"/>
        </w:rPr>
        <w:t xml:space="preserve"> </w:t>
      </w:r>
      <w:r>
        <w:rPr>
          <w:sz w:val="12"/>
        </w:rPr>
        <w:t>Discapacidad,</w:t>
      </w:r>
      <w:r>
        <w:rPr>
          <w:spacing w:val="40"/>
          <w:sz w:val="12"/>
        </w:rPr>
        <w:t xml:space="preserve"> </w:t>
      </w:r>
      <w:r>
        <w:rPr>
          <w:sz w:val="12"/>
        </w:rPr>
        <w:t>observación general núm. 6 (2018), párr. 31 (f).</w:t>
      </w:r>
    </w:p>
    <w:p w14:paraId="5CD6C878" w14:textId="77777777" w:rsidR="0014798C" w:rsidRDefault="0014798C">
      <w:pPr>
        <w:spacing w:line="312" w:lineRule="auto"/>
        <w:rPr>
          <w:sz w:val="12"/>
        </w:rPr>
        <w:sectPr w:rsidR="0014798C" w:rsidSect="00F265E4">
          <w:type w:val="continuous"/>
          <w:pgSz w:w="11900" w:h="16820"/>
          <w:pgMar w:top="40" w:right="0" w:bottom="280" w:left="200" w:header="121" w:footer="0" w:gutter="0"/>
          <w:cols w:num="2" w:space="720" w:equalWidth="0">
            <w:col w:w="1249" w:space="40"/>
            <w:col w:w="10411"/>
          </w:cols>
        </w:sectPr>
      </w:pPr>
    </w:p>
    <w:p w14:paraId="36D5848D" w14:textId="77777777" w:rsidR="0014798C" w:rsidRDefault="004E1F0B">
      <w:pPr>
        <w:spacing w:before="75"/>
        <w:ind w:left="1107"/>
        <w:rPr>
          <w:sz w:val="11"/>
        </w:rPr>
      </w:pPr>
      <w:r>
        <w:rPr>
          <w:spacing w:val="-2"/>
          <w:sz w:val="11"/>
        </w:rPr>
        <w:t>591</w:t>
      </w:r>
      <w:r>
        <w:rPr>
          <w:sz w:val="11"/>
        </w:rPr>
        <w:t xml:space="preserve"> </w:t>
      </w:r>
      <w:r>
        <w:rPr>
          <w:spacing w:val="-2"/>
          <w:sz w:val="11"/>
        </w:rPr>
        <w:t>Comité</w:t>
      </w:r>
      <w:r>
        <w:rPr>
          <w:spacing w:val="1"/>
          <w:sz w:val="11"/>
        </w:rPr>
        <w:t xml:space="preserve"> </w:t>
      </w:r>
      <w:r>
        <w:rPr>
          <w:spacing w:val="-2"/>
          <w:sz w:val="11"/>
        </w:rPr>
        <w:t>sobre</w:t>
      </w:r>
      <w:r>
        <w:rPr>
          <w:sz w:val="11"/>
        </w:rPr>
        <w:t xml:space="preserve"> </w:t>
      </w:r>
      <w:r>
        <w:rPr>
          <w:spacing w:val="-2"/>
          <w:sz w:val="11"/>
        </w:rPr>
        <w:t>los</w:t>
      </w:r>
      <w:r>
        <w:rPr>
          <w:spacing w:val="1"/>
          <w:sz w:val="11"/>
        </w:rPr>
        <w:t xml:space="preserve"> </w:t>
      </w:r>
      <w:r>
        <w:rPr>
          <w:spacing w:val="-2"/>
          <w:sz w:val="11"/>
        </w:rPr>
        <w:t>Derechos</w:t>
      </w:r>
      <w:r>
        <w:rPr>
          <w:sz w:val="11"/>
        </w:rPr>
        <w:t xml:space="preserve"> </w:t>
      </w:r>
      <w:r>
        <w:rPr>
          <w:spacing w:val="-2"/>
          <w:sz w:val="11"/>
        </w:rPr>
        <w:t>de</w:t>
      </w:r>
      <w:r>
        <w:rPr>
          <w:spacing w:val="1"/>
          <w:sz w:val="11"/>
        </w:rPr>
        <w:t xml:space="preserve"> </w:t>
      </w:r>
      <w:r>
        <w:rPr>
          <w:spacing w:val="-2"/>
          <w:sz w:val="11"/>
        </w:rPr>
        <w:t>las</w:t>
      </w:r>
      <w:r>
        <w:rPr>
          <w:sz w:val="11"/>
        </w:rPr>
        <w:t xml:space="preserve"> </w:t>
      </w:r>
      <w:r>
        <w:rPr>
          <w:spacing w:val="-2"/>
          <w:sz w:val="11"/>
        </w:rPr>
        <w:t>Personas</w:t>
      </w:r>
      <w:r>
        <w:rPr>
          <w:spacing w:val="1"/>
          <w:sz w:val="11"/>
        </w:rPr>
        <w:t xml:space="preserve"> </w:t>
      </w:r>
      <w:r>
        <w:rPr>
          <w:spacing w:val="-2"/>
          <w:sz w:val="11"/>
        </w:rPr>
        <w:t>con</w:t>
      </w:r>
      <w:r>
        <w:rPr>
          <w:sz w:val="11"/>
        </w:rPr>
        <w:t xml:space="preserve"> </w:t>
      </w:r>
      <w:r>
        <w:rPr>
          <w:spacing w:val="-2"/>
          <w:sz w:val="11"/>
        </w:rPr>
        <w:t>Discapacidad,</w:t>
      </w:r>
      <w:r>
        <w:rPr>
          <w:spacing w:val="2"/>
          <w:sz w:val="11"/>
        </w:rPr>
        <w:t xml:space="preserve"> </w:t>
      </w:r>
      <w:r>
        <w:rPr>
          <w:spacing w:val="-2"/>
          <w:sz w:val="11"/>
        </w:rPr>
        <w:t>observación</w:t>
      </w:r>
      <w:r>
        <w:rPr>
          <w:spacing w:val="1"/>
          <w:sz w:val="11"/>
        </w:rPr>
        <w:t xml:space="preserve"> </w:t>
      </w:r>
      <w:r>
        <w:rPr>
          <w:spacing w:val="-2"/>
          <w:sz w:val="11"/>
        </w:rPr>
        <w:t>general</w:t>
      </w:r>
      <w:r>
        <w:rPr>
          <w:sz w:val="11"/>
        </w:rPr>
        <w:t xml:space="preserve"> </w:t>
      </w:r>
      <w:r>
        <w:rPr>
          <w:spacing w:val="-2"/>
          <w:sz w:val="11"/>
        </w:rPr>
        <w:t>núm.</w:t>
      </w:r>
      <w:r>
        <w:rPr>
          <w:spacing w:val="1"/>
          <w:sz w:val="11"/>
        </w:rPr>
        <w:t xml:space="preserve"> </w:t>
      </w:r>
      <w:r>
        <w:rPr>
          <w:spacing w:val="-2"/>
          <w:sz w:val="11"/>
        </w:rPr>
        <w:t>6</w:t>
      </w:r>
      <w:r>
        <w:rPr>
          <w:sz w:val="11"/>
        </w:rPr>
        <w:t xml:space="preserve"> </w:t>
      </w:r>
      <w:r>
        <w:rPr>
          <w:spacing w:val="-2"/>
          <w:sz w:val="11"/>
        </w:rPr>
        <w:t>(2018),</w:t>
      </w:r>
      <w:r>
        <w:rPr>
          <w:spacing w:val="1"/>
          <w:sz w:val="11"/>
        </w:rPr>
        <w:t xml:space="preserve"> </w:t>
      </w:r>
      <w:r>
        <w:rPr>
          <w:spacing w:val="-2"/>
          <w:sz w:val="11"/>
        </w:rPr>
        <w:t>párr.</w:t>
      </w:r>
      <w:r>
        <w:rPr>
          <w:sz w:val="11"/>
        </w:rPr>
        <w:t xml:space="preserve"> </w:t>
      </w:r>
      <w:r>
        <w:rPr>
          <w:spacing w:val="-2"/>
          <w:sz w:val="11"/>
        </w:rPr>
        <w:t>31</w:t>
      </w:r>
      <w:r>
        <w:rPr>
          <w:spacing w:val="1"/>
          <w:sz w:val="11"/>
        </w:rPr>
        <w:t xml:space="preserve"> </w:t>
      </w:r>
      <w:r>
        <w:rPr>
          <w:spacing w:val="-4"/>
          <w:sz w:val="11"/>
        </w:rPr>
        <w:t>(f).</w:t>
      </w:r>
    </w:p>
    <w:p w14:paraId="384AF0B6" w14:textId="77777777" w:rsidR="0014798C" w:rsidRDefault="004E1F0B">
      <w:pPr>
        <w:spacing w:before="93" w:line="307" w:lineRule="auto"/>
        <w:ind w:left="1366" w:right="1626" w:hanging="260"/>
        <w:rPr>
          <w:sz w:val="12"/>
        </w:rPr>
      </w:pPr>
      <w:r>
        <w:rPr>
          <w:w w:val="105"/>
          <w:sz w:val="12"/>
        </w:rPr>
        <w:t>592</w:t>
      </w:r>
      <w:r>
        <w:rPr>
          <w:spacing w:val="-1"/>
          <w:w w:val="105"/>
          <w:sz w:val="12"/>
        </w:rPr>
        <w:t xml:space="preserve"> </w:t>
      </w:r>
      <w:r>
        <w:rPr>
          <w:w w:val="105"/>
          <w:sz w:val="12"/>
        </w:rPr>
        <w:t>Por</w:t>
      </w:r>
      <w:r>
        <w:rPr>
          <w:spacing w:val="-1"/>
          <w:w w:val="105"/>
          <w:sz w:val="12"/>
        </w:rPr>
        <w:t xml:space="preserve"> </w:t>
      </w:r>
      <w:r>
        <w:rPr>
          <w:w w:val="105"/>
          <w:sz w:val="12"/>
        </w:rPr>
        <w:t>ejemplo, en</w:t>
      </w:r>
      <w:r>
        <w:rPr>
          <w:spacing w:val="-1"/>
          <w:w w:val="105"/>
          <w:sz w:val="12"/>
        </w:rPr>
        <w:t xml:space="preserve"> </w:t>
      </w:r>
      <w:r>
        <w:rPr>
          <w:w w:val="105"/>
          <w:sz w:val="12"/>
        </w:rPr>
        <w:t>Estados</w:t>
      </w:r>
      <w:r>
        <w:rPr>
          <w:spacing w:val="-1"/>
          <w:w w:val="105"/>
          <w:sz w:val="12"/>
        </w:rPr>
        <w:t xml:space="preserve"> </w:t>
      </w:r>
      <w:r>
        <w:rPr>
          <w:w w:val="105"/>
          <w:sz w:val="12"/>
        </w:rPr>
        <w:t>Unidos, a</w:t>
      </w:r>
      <w:r>
        <w:rPr>
          <w:spacing w:val="-1"/>
          <w:w w:val="105"/>
          <w:sz w:val="12"/>
        </w:rPr>
        <w:t xml:space="preserve"> </w:t>
      </w:r>
      <w:r>
        <w:rPr>
          <w:w w:val="105"/>
          <w:sz w:val="12"/>
        </w:rPr>
        <w:t>mediados</w:t>
      </w:r>
      <w:r>
        <w:rPr>
          <w:spacing w:val="-1"/>
          <w:w w:val="105"/>
          <w:sz w:val="12"/>
        </w:rPr>
        <w:t xml:space="preserve"> </w:t>
      </w:r>
      <w:r>
        <w:rPr>
          <w:w w:val="105"/>
          <w:sz w:val="12"/>
        </w:rPr>
        <w:t>de</w:t>
      </w:r>
      <w:r>
        <w:rPr>
          <w:spacing w:val="-1"/>
          <w:w w:val="105"/>
          <w:sz w:val="12"/>
        </w:rPr>
        <w:t xml:space="preserve"> </w:t>
      </w:r>
      <w:r>
        <w:rPr>
          <w:w w:val="105"/>
          <w:sz w:val="12"/>
        </w:rPr>
        <w:t>la</w:t>
      </w:r>
      <w:r>
        <w:rPr>
          <w:spacing w:val="-1"/>
          <w:w w:val="105"/>
          <w:sz w:val="12"/>
        </w:rPr>
        <w:t xml:space="preserve"> </w:t>
      </w:r>
      <w:r>
        <w:rPr>
          <w:w w:val="105"/>
          <w:sz w:val="12"/>
        </w:rPr>
        <w:t>década</w:t>
      </w:r>
      <w:r>
        <w:rPr>
          <w:spacing w:val="-1"/>
          <w:w w:val="105"/>
          <w:sz w:val="12"/>
        </w:rPr>
        <w:t xml:space="preserve"> </w:t>
      </w:r>
      <w:r>
        <w:rPr>
          <w:w w:val="105"/>
          <w:sz w:val="12"/>
        </w:rPr>
        <w:t>de</w:t>
      </w:r>
      <w:r>
        <w:rPr>
          <w:spacing w:val="-1"/>
          <w:w w:val="105"/>
          <w:sz w:val="12"/>
        </w:rPr>
        <w:t xml:space="preserve"> </w:t>
      </w:r>
      <w:r>
        <w:rPr>
          <w:w w:val="105"/>
          <w:sz w:val="12"/>
        </w:rPr>
        <w:t>1970,</w:t>
      </w:r>
      <w:r>
        <w:rPr>
          <w:spacing w:val="-1"/>
          <w:w w:val="105"/>
          <w:sz w:val="12"/>
        </w:rPr>
        <w:t xml:space="preserve"> </w:t>
      </w:r>
      <w:r>
        <w:rPr>
          <w:w w:val="105"/>
          <w:sz w:val="12"/>
        </w:rPr>
        <w:t>“los</w:t>
      </w:r>
      <w:r>
        <w:rPr>
          <w:spacing w:val="-1"/>
          <w:w w:val="105"/>
          <w:sz w:val="12"/>
        </w:rPr>
        <w:t xml:space="preserve"> </w:t>
      </w:r>
      <w:r>
        <w:rPr>
          <w:w w:val="105"/>
          <w:sz w:val="12"/>
        </w:rPr>
        <w:t>acuerdos</w:t>
      </w:r>
      <w:r>
        <w:rPr>
          <w:spacing w:val="-1"/>
          <w:w w:val="105"/>
          <w:sz w:val="12"/>
        </w:rPr>
        <w:t xml:space="preserve"> </w:t>
      </w:r>
      <w:r>
        <w:rPr>
          <w:w w:val="105"/>
          <w:sz w:val="12"/>
        </w:rPr>
        <w:t>en</w:t>
      </w:r>
      <w:r>
        <w:rPr>
          <w:spacing w:val="-1"/>
          <w:w w:val="105"/>
          <w:sz w:val="12"/>
        </w:rPr>
        <w:t xml:space="preserve"> </w:t>
      </w:r>
      <w:r>
        <w:rPr>
          <w:w w:val="105"/>
          <w:sz w:val="12"/>
        </w:rPr>
        <w:t>casos</w:t>
      </w:r>
      <w:r>
        <w:rPr>
          <w:spacing w:val="-1"/>
          <w:w w:val="105"/>
          <w:sz w:val="12"/>
        </w:rPr>
        <w:t xml:space="preserve"> </w:t>
      </w:r>
      <w:r>
        <w:rPr>
          <w:w w:val="105"/>
          <w:sz w:val="12"/>
        </w:rPr>
        <w:t>de</w:t>
      </w:r>
      <w:r>
        <w:rPr>
          <w:spacing w:val="-1"/>
          <w:w w:val="105"/>
          <w:sz w:val="12"/>
        </w:rPr>
        <w:t xml:space="preserve"> </w:t>
      </w:r>
      <w:r>
        <w:rPr>
          <w:w w:val="105"/>
          <w:sz w:val="12"/>
        </w:rPr>
        <w:t>discriminación</w:t>
      </w:r>
      <w:r>
        <w:rPr>
          <w:spacing w:val="-1"/>
          <w:w w:val="105"/>
          <w:sz w:val="12"/>
        </w:rPr>
        <w:t xml:space="preserve"> </w:t>
      </w:r>
      <w:r>
        <w:rPr>
          <w:w w:val="105"/>
          <w:sz w:val="12"/>
        </w:rPr>
        <w:t>que</w:t>
      </w:r>
      <w:r>
        <w:rPr>
          <w:spacing w:val="-1"/>
          <w:w w:val="105"/>
          <w:sz w:val="12"/>
        </w:rPr>
        <w:t xml:space="preserve"> </w:t>
      </w:r>
      <w:r>
        <w:rPr>
          <w:w w:val="105"/>
          <w:sz w:val="12"/>
        </w:rPr>
        <w:t>implicaban</w:t>
      </w:r>
      <w:r>
        <w:rPr>
          <w:spacing w:val="-1"/>
          <w:w w:val="105"/>
          <w:sz w:val="12"/>
        </w:rPr>
        <w:t xml:space="preserve"> </w:t>
      </w:r>
      <w:r>
        <w:rPr>
          <w:w w:val="105"/>
          <w:sz w:val="12"/>
        </w:rPr>
        <w:t>el</w:t>
      </w:r>
      <w:r>
        <w:rPr>
          <w:spacing w:val="-1"/>
          <w:w w:val="105"/>
          <w:sz w:val="12"/>
        </w:rPr>
        <w:t xml:space="preserve"> </w:t>
      </w:r>
      <w:r>
        <w:rPr>
          <w:w w:val="105"/>
          <w:sz w:val="12"/>
        </w:rPr>
        <w:t>pago</w:t>
      </w:r>
      <w:r>
        <w:rPr>
          <w:spacing w:val="-1"/>
          <w:w w:val="105"/>
          <w:sz w:val="12"/>
        </w:rPr>
        <w:t xml:space="preserve"> </w:t>
      </w:r>
      <w:r>
        <w:rPr>
          <w:w w:val="105"/>
          <w:sz w:val="12"/>
        </w:rPr>
        <w:t>de</w:t>
      </w:r>
      <w:r>
        <w:rPr>
          <w:spacing w:val="-1"/>
          <w:w w:val="105"/>
          <w:sz w:val="12"/>
        </w:rPr>
        <w:t xml:space="preserve"> </w:t>
      </w:r>
      <w:r>
        <w:rPr>
          <w:w w:val="105"/>
          <w:sz w:val="12"/>
        </w:rPr>
        <w:t>varios</w:t>
      </w:r>
      <w:r>
        <w:rPr>
          <w:spacing w:val="-1"/>
          <w:w w:val="105"/>
          <w:sz w:val="12"/>
        </w:rPr>
        <w:t xml:space="preserve"> </w:t>
      </w:r>
      <w:r>
        <w:rPr>
          <w:w w:val="105"/>
          <w:sz w:val="12"/>
        </w:rPr>
        <w:t>dólares...</w:t>
      </w:r>
      <w:r>
        <w:rPr>
          <w:spacing w:val="40"/>
          <w:w w:val="105"/>
          <w:sz w:val="12"/>
        </w:rPr>
        <w:t xml:space="preserve"> </w:t>
      </w:r>
      <w:r>
        <w:rPr>
          <w:w w:val="105"/>
          <w:sz w:val="12"/>
        </w:rPr>
        <w:t>generalmente se consideraban victorias sustanciales. Sin embargo, para 1990, el Consejo de Vivienda Justa del Gran Washington (FHCGW) había</w:t>
      </w:r>
      <w:r>
        <w:rPr>
          <w:spacing w:val="40"/>
          <w:w w:val="105"/>
          <w:sz w:val="12"/>
        </w:rPr>
        <w:t xml:space="preserve"> </w:t>
      </w:r>
      <w:r>
        <w:rPr>
          <w:w w:val="105"/>
          <w:sz w:val="12"/>
        </w:rPr>
        <w:t>conseguido más de una docena de acuerdos o veredictos por más de 20.000 dólares cada uno, y las recuperaciones en varios casos han excedido los</w:t>
      </w:r>
    </w:p>
    <w:p w14:paraId="2E0147A4" w14:textId="77777777" w:rsidR="0014798C" w:rsidRDefault="004E1F0B">
      <w:pPr>
        <w:spacing w:before="9" w:line="312" w:lineRule="auto"/>
        <w:ind w:left="1368" w:right="1807"/>
        <w:rPr>
          <w:sz w:val="12"/>
        </w:rPr>
      </w:pPr>
      <w:r>
        <w:rPr>
          <w:w w:val="105"/>
          <w:sz w:val="12"/>
        </w:rPr>
        <w:t xml:space="preserve">100.000 dólares” (notas a pie de página omitidas). Véase </w:t>
      </w:r>
      <w:proofErr w:type="spellStart"/>
      <w:r>
        <w:rPr>
          <w:w w:val="105"/>
          <w:sz w:val="12"/>
        </w:rPr>
        <w:t>Fitsum</w:t>
      </w:r>
      <w:proofErr w:type="spellEnd"/>
      <w:r>
        <w:rPr>
          <w:w w:val="105"/>
          <w:sz w:val="12"/>
        </w:rPr>
        <w:t xml:space="preserve"> </w:t>
      </w:r>
      <w:proofErr w:type="spellStart"/>
      <w:r>
        <w:rPr>
          <w:w w:val="105"/>
          <w:sz w:val="12"/>
        </w:rPr>
        <w:t>Alemu</w:t>
      </w:r>
      <w:proofErr w:type="spellEnd"/>
      <w:r>
        <w:rPr>
          <w:w w:val="105"/>
          <w:sz w:val="12"/>
        </w:rPr>
        <w:t>, “</w:t>
      </w:r>
      <w:proofErr w:type="spellStart"/>
      <w:r>
        <w:rPr>
          <w:w w:val="105"/>
          <w:sz w:val="12"/>
        </w:rPr>
        <w:t>Testing</w:t>
      </w:r>
      <w:proofErr w:type="spellEnd"/>
      <w:r>
        <w:rPr>
          <w:w w:val="105"/>
          <w:sz w:val="12"/>
        </w:rPr>
        <w:t xml:space="preserve"> </w:t>
      </w:r>
      <w:proofErr w:type="spellStart"/>
      <w:r>
        <w:rPr>
          <w:w w:val="105"/>
          <w:sz w:val="12"/>
        </w:rPr>
        <w:t>to</w:t>
      </w:r>
      <w:proofErr w:type="spellEnd"/>
      <w:r>
        <w:rPr>
          <w:w w:val="105"/>
          <w:sz w:val="12"/>
        </w:rPr>
        <w:t xml:space="preserve"> pruebe la discriminación racial: metodología y aplicación en</w:t>
      </w:r>
      <w:r>
        <w:rPr>
          <w:spacing w:val="40"/>
          <w:w w:val="105"/>
          <w:sz w:val="12"/>
        </w:rPr>
        <w:t xml:space="preserve"> </w:t>
      </w:r>
      <w:r>
        <w:rPr>
          <w:w w:val="105"/>
          <w:sz w:val="12"/>
        </w:rPr>
        <w:t>Hungría”,</w:t>
      </w:r>
      <w:r>
        <w:rPr>
          <w:spacing w:val="-2"/>
          <w:w w:val="105"/>
          <w:sz w:val="12"/>
        </w:rPr>
        <w:t xml:space="preserve"> </w:t>
      </w:r>
      <w:r>
        <w:rPr>
          <w:w w:val="105"/>
          <w:sz w:val="12"/>
        </w:rPr>
        <w:t>Centro</w:t>
      </w:r>
      <w:r>
        <w:rPr>
          <w:spacing w:val="-3"/>
          <w:w w:val="105"/>
          <w:sz w:val="12"/>
        </w:rPr>
        <w:t xml:space="preserve"> </w:t>
      </w:r>
      <w:r>
        <w:rPr>
          <w:w w:val="105"/>
          <w:sz w:val="12"/>
        </w:rPr>
        <w:t>Europeo</w:t>
      </w:r>
      <w:r>
        <w:rPr>
          <w:spacing w:val="-3"/>
          <w:w w:val="105"/>
          <w:sz w:val="12"/>
        </w:rPr>
        <w:t xml:space="preserve"> </w:t>
      </w:r>
      <w:r>
        <w:rPr>
          <w:w w:val="105"/>
          <w:sz w:val="12"/>
        </w:rPr>
        <w:t>de</w:t>
      </w:r>
      <w:r>
        <w:rPr>
          <w:spacing w:val="-3"/>
          <w:w w:val="105"/>
          <w:sz w:val="12"/>
        </w:rPr>
        <w:t xml:space="preserve"> </w:t>
      </w:r>
      <w:r>
        <w:rPr>
          <w:w w:val="105"/>
          <w:sz w:val="12"/>
        </w:rPr>
        <w:t>Derechos</w:t>
      </w:r>
      <w:r>
        <w:rPr>
          <w:spacing w:val="-3"/>
          <w:w w:val="105"/>
          <w:sz w:val="12"/>
        </w:rPr>
        <w:t xml:space="preserve"> </w:t>
      </w:r>
      <w:r>
        <w:rPr>
          <w:w w:val="105"/>
          <w:sz w:val="12"/>
        </w:rPr>
        <w:t>de</w:t>
      </w:r>
      <w:r>
        <w:rPr>
          <w:spacing w:val="-3"/>
          <w:w w:val="105"/>
          <w:sz w:val="12"/>
        </w:rPr>
        <w:t xml:space="preserve"> </w:t>
      </w:r>
      <w:r>
        <w:rPr>
          <w:w w:val="105"/>
          <w:sz w:val="12"/>
        </w:rPr>
        <w:t>los</w:t>
      </w:r>
      <w:r>
        <w:rPr>
          <w:spacing w:val="-3"/>
          <w:w w:val="105"/>
          <w:sz w:val="12"/>
        </w:rPr>
        <w:t xml:space="preserve"> </w:t>
      </w:r>
      <w:r>
        <w:rPr>
          <w:w w:val="105"/>
          <w:sz w:val="12"/>
        </w:rPr>
        <w:t>Romaníes,</w:t>
      </w:r>
      <w:r>
        <w:rPr>
          <w:spacing w:val="-2"/>
          <w:w w:val="105"/>
          <w:sz w:val="12"/>
        </w:rPr>
        <w:t xml:space="preserve"> </w:t>
      </w:r>
      <w:r>
        <w:rPr>
          <w:w w:val="105"/>
          <w:sz w:val="12"/>
        </w:rPr>
        <w:t>3</w:t>
      </w:r>
      <w:r>
        <w:rPr>
          <w:spacing w:val="-3"/>
          <w:w w:val="105"/>
          <w:sz w:val="12"/>
        </w:rPr>
        <w:t xml:space="preserve"> </w:t>
      </w:r>
      <w:r>
        <w:rPr>
          <w:w w:val="105"/>
          <w:sz w:val="12"/>
        </w:rPr>
        <w:t>de</w:t>
      </w:r>
      <w:r>
        <w:rPr>
          <w:spacing w:val="-3"/>
          <w:w w:val="105"/>
          <w:sz w:val="12"/>
        </w:rPr>
        <w:t xml:space="preserve"> </w:t>
      </w:r>
      <w:r>
        <w:rPr>
          <w:w w:val="105"/>
          <w:sz w:val="12"/>
        </w:rPr>
        <w:t>octubre</w:t>
      </w:r>
      <w:r>
        <w:rPr>
          <w:spacing w:val="-3"/>
          <w:w w:val="105"/>
          <w:sz w:val="12"/>
        </w:rPr>
        <w:t xml:space="preserve"> </w:t>
      </w:r>
      <w:r>
        <w:rPr>
          <w:w w:val="105"/>
          <w:sz w:val="12"/>
        </w:rPr>
        <w:t>de</w:t>
      </w:r>
      <w:r>
        <w:rPr>
          <w:spacing w:val="-3"/>
          <w:w w:val="105"/>
          <w:sz w:val="12"/>
        </w:rPr>
        <w:t xml:space="preserve"> </w:t>
      </w:r>
      <w:r>
        <w:rPr>
          <w:w w:val="105"/>
          <w:sz w:val="12"/>
        </w:rPr>
        <w:t>2000.</w:t>
      </w:r>
      <w:r>
        <w:rPr>
          <w:spacing w:val="-3"/>
          <w:w w:val="105"/>
          <w:sz w:val="12"/>
        </w:rPr>
        <w:t xml:space="preserve"> </w:t>
      </w:r>
      <w:r>
        <w:rPr>
          <w:w w:val="105"/>
          <w:sz w:val="12"/>
        </w:rPr>
        <w:t>Disponible</w:t>
      </w:r>
      <w:r>
        <w:rPr>
          <w:spacing w:val="-3"/>
          <w:w w:val="105"/>
          <w:sz w:val="12"/>
        </w:rPr>
        <w:t xml:space="preserve"> </w:t>
      </w:r>
      <w:r>
        <w:rPr>
          <w:w w:val="105"/>
          <w:sz w:val="12"/>
        </w:rPr>
        <w:t>en</w:t>
      </w:r>
      <w:r>
        <w:rPr>
          <w:spacing w:val="-3"/>
          <w:w w:val="105"/>
          <w:sz w:val="12"/>
        </w:rPr>
        <w:t xml:space="preserve"> </w:t>
      </w:r>
      <w:hyperlink r:id="rId167">
        <w:r>
          <w:rPr>
            <w:color w:val="0075BF"/>
            <w:w w:val="105"/>
            <w:sz w:val="12"/>
          </w:rPr>
          <w:t>www.errc.org/roma-rights-journal/testing-to-prove-racial-</w:t>
        </w:r>
      </w:hyperlink>
      <w:r>
        <w:rPr>
          <w:color w:val="0075BF"/>
          <w:spacing w:val="40"/>
          <w:w w:val="105"/>
          <w:sz w:val="12"/>
        </w:rPr>
        <w:t xml:space="preserve"> </w:t>
      </w:r>
      <w:proofErr w:type="spellStart"/>
      <w:r>
        <w:rPr>
          <w:color w:val="0075BF"/>
          <w:w w:val="105"/>
          <w:sz w:val="12"/>
        </w:rPr>
        <w:t>discrimination</w:t>
      </w:r>
      <w:proofErr w:type="spellEnd"/>
      <w:r>
        <w:rPr>
          <w:color w:val="0075BF"/>
          <w:spacing w:val="-7"/>
          <w:w w:val="105"/>
          <w:sz w:val="12"/>
        </w:rPr>
        <w:t xml:space="preserve"> </w:t>
      </w:r>
      <w:r>
        <w:rPr>
          <w:color w:val="0075BF"/>
          <w:w w:val="105"/>
          <w:sz w:val="12"/>
        </w:rPr>
        <w:t>-metodología-y-aplicación-en-</w:t>
      </w:r>
      <w:proofErr w:type="spellStart"/>
      <w:r>
        <w:rPr>
          <w:color w:val="0075BF"/>
          <w:w w:val="105"/>
          <w:sz w:val="12"/>
        </w:rPr>
        <w:t>hungría</w:t>
      </w:r>
      <w:proofErr w:type="spellEnd"/>
      <w:r>
        <w:rPr>
          <w:color w:val="0075BF"/>
          <w:w w:val="105"/>
          <w:sz w:val="12"/>
        </w:rPr>
        <w:t>.</w:t>
      </w:r>
    </w:p>
    <w:p w14:paraId="02262A09" w14:textId="77777777" w:rsidR="0014798C" w:rsidRDefault="0014798C">
      <w:pPr>
        <w:pStyle w:val="Textoindependiente"/>
        <w:rPr>
          <w:sz w:val="19"/>
        </w:rPr>
      </w:pPr>
    </w:p>
    <w:p w14:paraId="0D274B60" w14:textId="77777777" w:rsidR="0014798C" w:rsidRDefault="0014798C">
      <w:pPr>
        <w:pStyle w:val="Textoindependiente"/>
        <w:spacing w:before="161"/>
        <w:rPr>
          <w:sz w:val="19"/>
        </w:rPr>
      </w:pPr>
    </w:p>
    <w:p w14:paraId="37836CE2" w14:textId="77777777" w:rsidR="0014798C" w:rsidRDefault="004E1F0B">
      <w:pPr>
        <w:ind w:left="554"/>
        <w:rPr>
          <w:sz w:val="19"/>
        </w:rPr>
      </w:pPr>
      <w:r>
        <w:rPr>
          <w:spacing w:val="-5"/>
          <w:sz w:val="19"/>
        </w:rPr>
        <w:t>78</w:t>
      </w:r>
    </w:p>
    <w:p w14:paraId="47F4DDC1" w14:textId="77777777" w:rsidR="0014798C" w:rsidRDefault="0014798C">
      <w:pPr>
        <w:rPr>
          <w:sz w:val="19"/>
        </w:rPr>
        <w:sectPr w:rsidR="0014798C" w:rsidSect="00F265E4">
          <w:type w:val="continuous"/>
          <w:pgSz w:w="11900" w:h="16820"/>
          <w:pgMar w:top="40" w:right="0" w:bottom="280" w:left="200" w:header="121" w:footer="0" w:gutter="0"/>
          <w:cols w:space="720"/>
        </w:sectPr>
      </w:pPr>
    </w:p>
    <w:p w14:paraId="17EC007E" w14:textId="77777777" w:rsidR="0014798C" w:rsidRDefault="0014798C">
      <w:pPr>
        <w:pStyle w:val="Textoindependiente"/>
        <w:spacing w:before="51"/>
        <w:rPr>
          <w:sz w:val="14"/>
        </w:rPr>
      </w:pPr>
    </w:p>
    <w:p w14:paraId="53DBB145" w14:textId="77777777" w:rsidR="0014798C" w:rsidRDefault="004E1F0B">
      <w:pPr>
        <w:ind w:left="1111"/>
        <w:rPr>
          <w:sz w:val="14"/>
        </w:rPr>
      </w:pPr>
      <w:r>
        <w:rPr>
          <w:color w:val="00AC59"/>
          <w:sz w:val="14"/>
        </w:rPr>
        <w:t>SEGUNDA</w:t>
      </w:r>
      <w:r>
        <w:rPr>
          <w:color w:val="00AC59"/>
          <w:spacing w:val="-5"/>
          <w:sz w:val="14"/>
        </w:rPr>
        <w:t xml:space="preserve"> </w:t>
      </w:r>
      <w:r>
        <w:rPr>
          <w:color w:val="00AC59"/>
          <w:sz w:val="14"/>
        </w:rPr>
        <w:t>PARTE:</w:t>
      </w:r>
      <w:r>
        <w:rPr>
          <w:color w:val="00AC59"/>
          <w:spacing w:val="-5"/>
          <w:sz w:val="14"/>
        </w:rPr>
        <w:t xml:space="preserve"> </w:t>
      </w:r>
      <w:r>
        <w:rPr>
          <w:color w:val="00AC59"/>
          <w:sz w:val="14"/>
        </w:rPr>
        <w:t>CONTENIDO</w:t>
      </w:r>
      <w:r>
        <w:rPr>
          <w:color w:val="00AC59"/>
          <w:spacing w:val="-4"/>
          <w:sz w:val="14"/>
        </w:rPr>
        <w:t xml:space="preserve"> </w:t>
      </w:r>
      <w:r>
        <w:rPr>
          <w:color w:val="00AC59"/>
          <w:sz w:val="14"/>
        </w:rPr>
        <w:t>DE</w:t>
      </w:r>
      <w:r>
        <w:rPr>
          <w:color w:val="00AC59"/>
          <w:spacing w:val="-5"/>
          <w:sz w:val="14"/>
        </w:rPr>
        <w:t xml:space="preserve"> </w:t>
      </w:r>
      <w:r>
        <w:rPr>
          <w:color w:val="00AC59"/>
          <w:sz w:val="14"/>
        </w:rPr>
        <w:t>LA</w:t>
      </w:r>
      <w:r>
        <w:rPr>
          <w:color w:val="00AC59"/>
          <w:spacing w:val="-4"/>
          <w:sz w:val="14"/>
        </w:rPr>
        <w:t xml:space="preserve"> </w:t>
      </w:r>
      <w:r>
        <w:rPr>
          <w:color w:val="00AC59"/>
          <w:sz w:val="14"/>
        </w:rPr>
        <w:t>LEY</w:t>
      </w:r>
      <w:r>
        <w:rPr>
          <w:color w:val="00AC59"/>
          <w:spacing w:val="-4"/>
          <w:sz w:val="14"/>
        </w:rPr>
        <w:t xml:space="preserve"> </w:t>
      </w:r>
      <w:r>
        <w:rPr>
          <w:color w:val="00AC59"/>
          <w:sz w:val="14"/>
        </w:rPr>
        <w:t>INTEGRAL</w:t>
      </w:r>
      <w:r>
        <w:rPr>
          <w:color w:val="00AC59"/>
          <w:spacing w:val="-5"/>
          <w:sz w:val="14"/>
        </w:rPr>
        <w:t xml:space="preserve"> </w:t>
      </w:r>
      <w:r>
        <w:rPr>
          <w:color w:val="00AC59"/>
          <w:spacing w:val="-2"/>
          <w:sz w:val="14"/>
        </w:rPr>
        <w:t>ANTIDISCRIMINACIÓN</w:t>
      </w:r>
    </w:p>
    <w:p w14:paraId="2E2C998E" w14:textId="77777777" w:rsidR="0014798C" w:rsidRDefault="0014798C">
      <w:pPr>
        <w:pStyle w:val="Textoindependiente"/>
        <w:rPr>
          <w:sz w:val="15"/>
        </w:rPr>
      </w:pPr>
    </w:p>
    <w:p w14:paraId="000BAF3C" w14:textId="77777777" w:rsidR="0014798C" w:rsidRDefault="0014798C">
      <w:pPr>
        <w:pStyle w:val="Textoindependiente"/>
        <w:rPr>
          <w:sz w:val="15"/>
        </w:rPr>
      </w:pPr>
    </w:p>
    <w:p w14:paraId="5B4E51AF" w14:textId="77777777" w:rsidR="0014798C" w:rsidRDefault="0014798C">
      <w:pPr>
        <w:pStyle w:val="Textoindependiente"/>
        <w:rPr>
          <w:sz w:val="15"/>
        </w:rPr>
      </w:pPr>
    </w:p>
    <w:p w14:paraId="66A08BF4" w14:textId="77777777" w:rsidR="0014798C" w:rsidRDefault="0014798C">
      <w:pPr>
        <w:pStyle w:val="Textoindependiente"/>
        <w:rPr>
          <w:sz w:val="15"/>
        </w:rPr>
      </w:pPr>
    </w:p>
    <w:p w14:paraId="3825EDE7" w14:textId="77777777" w:rsidR="0014798C" w:rsidRDefault="0014798C">
      <w:pPr>
        <w:pStyle w:val="Textoindependiente"/>
        <w:spacing w:before="121"/>
        <w:rPr>
          <w:sz w:val="15"/>
        </w:rPr>
      </w:pPr>
    </w:p>
    <w:p w14:paraId="22247DBA" w14:textId="77777777" w:rsidR="0014798C" w:rsidRDefault="004E1F0B">
      <w:pPr>
        <w:spacing w:line="348" w:lineRule="auto"/>
        <w:ind w:left="1108" w:right="1239"/>
        <w:rPr>
          <w:sz w:val="15"/>
        </w:rPr>
      </w:pPr>
      <w:r>
        <w:rPr>
          <w:noProof/>
        </w:rPr>
        <w:drawing>
          <wp:anchor distT="0" distB="0" distL="0" distR="0" simplePos="0" relativeHeight="251658419" behindDoc="1" locked="0" layoutInCell="1" allowOverlap="1" wp14:anchorId="20C40A33" wp14:editId="1BC804CC">
            <wp:simplePos x="0" y="0"/>
            <wp:positionH relativeFrom="page">
              <wp:posOffset>799677</wp:posOffset>
            </wp:positionH>
            <wp:positionV relativeFrom="paragraph">
              <wp:posOffset>1068138</wp:posOffset>
            </wp:positionV>
            <wp:extent cx="6756822" cy="6506375"/>
            <wp:effectExtent l="0" t="0" r="0" b="0"/>
            <wp:wrapNone/>
            <wp:docPr id="186" name="Image 18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86" name="Image 186"/>
                    <pic:cNvPicPr/>
                  </pic:nvPicPr>
                  <pic:blipFill>
                    <a:blip r:embed="rId168" cstate="print"/>
                    <a:stretch>
                      <a:fillRect/>
                    </a:stretch>
                  </pic:blipFill>
                  <pic:spPr>
                    <a:xfrm>
                      <a:off x="0" y="0"/>
                      <a:ext cx="6756822" cy="6506375"/>
                    </a:xfrm>
                    <a:prstGeom prst="rect">
                      <a:avLst/>
                    </a:prstGeom>
                  </pic:spPr>
                </pic:pic>
              </a:graphicData>
            </a:graphic>
          </wp:anchor>
        </w:drawing>
      </w:r>
      <w:r>
        <w:rPr>
          <w:w w:val="105"/>
          <w:sz w:val="15"/>
        </w:rPr>
        <w:t>ha</w:t>
      </w:r>
      <w:r>
        <w:rPr>
          <w:spacing w:val="-4"/>
          <w:w w:val="105"/>
          <w:sz w:val="15"/>
        </w:rPr>
        <w:t xml:space="preserve"> </w:t>
      </w:r>
      <w:r>
        <w:rPr>
          <w:w w:val="105"/>
          <w:sz w:val="15"/>
        </w:rPr>
        <w:t>crecido.</w:t>
      </w:r>
      <w:r>
        <w:rPr>
          <w:spacing w:val="-4"/>
          <w:w w:val="105"/>
          <w:sz w:val="15"/>
        </w:rPr>
        <w:t xml:space="preserve"> </w:t>
      </w:r>
      <w:r>
        <w:rPr>
          <w:w w:val="105"/>
          <w:sz w:val="15"/>
        </w:rPr>
        <w:t>En</w:t>
      </w:r>
      <w:r>
        <w:rPr>
          <w:spacing w:val="-4"/>
          <w:w w:val="105"/>
          <w:sz w:val="15"/>
        </w:rPr>
        <w:t xml:space="preserve"> </w:t>
      </w:r>
      <w:r>
        <w:rPr>
          <w:w w:val="105"/>
          <w:sz w:val="15"/>
        </w:rPr>
        <w:t>otras</w:t>
      </w:r>
      <w:r>
        <w:rPr>
          <w:spacing w:val="-4"/>
          <w:w w:val="105"/>
          <w:sz w:val="15"/>
        </w:rPr>
        <w:t xml:space="preserve"> </w:t>
      </w:r>
      <w:r>
        <w:rPr>
          <w:w w:val="105"/>
          <w:sz w:val="15"/>
        </w:rPr>
        <w:t>jurisdicciones,</w:t>
      </w:r>
      <w:r>
        <w:rPr>
          <w:spacing w:val="-4"/>
          <w:w w:val="105"/>
          <w:sz w:val="15"/>
        </w:rPr>
        <w:t xml:space="preserve"> </w:t>
      </w:r>
      <w:r>
        <w:rPr>
          <w:w w:val="105"/>
          <w:sz w:val="15"/>
        </w:rPr>
        <w:t>las</w:t>
      </w:r>
      <w:r>
        <w:rPr>
          <w:spacing w:val="-4"/>
          <w:w w:val="105"/>
          <w:sz w:val="15"/>
        </w:rPr>
        <w:t xml:space="preserve"> </w:t>
      </w:r>
      <w:r>
        <w:rPr>
          <w:w w:val="105"/>
          <w:sz w:val="15"/>
        </w:rPr>
        <w:t>leyes</w:t>
      </w:r>
      <w:r>
        <w:rPr>
          <w:spacing w:val="-4"/>
          <w:w w:val="105"/>
          <w:sz w:val="15"/>
        </w:rPr>
        <w:t xml:space="preserve"> </w:t>
      </w:r>
      <w:r>
        <w:rPr>
          <w:w w:val="105"/>
          <w:sz w:val="15"/>
        </w:rPr>
        <w:t>contra</w:t>
      </w:r>
      <w:r>
        <w:rPr>
          <w:spacing w:val="-4"/>
          <w:w w:val="105"/>
          <w:sz w:val="15"/>
        </w:rPr>
        <w:t xml:space="preserve"> </w:t>
      </w:r>
      <w:r>
        <w:rPr>
          <w:w w:val="105"/>
          <w:sz w:val="15"/>
        </w:rPr>
        <w:t>la</w:t>
      </w:r>
      <w:r>
        <w:rPr>
          <w:spacing w:val="-4"/>
          <w:w w:val="105"/>
          <w:sz w:val="15"/>
        </w:rPr>
        <w:t xml:space="preserve"> </w:t>
      </w:r>
      <w:r>
        <w:rPr>
          <w:w w:val="105"/>
          <w:sz w:val="15"/>
        </w:rPr>
        <w:t>discriminación</w:t>
      </w:r>
      <w:r>
        <w:rPr>
          <w:spacing w:val="-4"/>
          <w:w w:val="105"/>
          <w:sz w:val="15"/>
        </w:rPr>
        <w:t xml:space="preserve"> </w:t>
      </w:r>
      <w:r>
        <w:rPr>
          <w:w w:val="105"/>
          <w:sz w:val="15"/>
        </w:rPr>
        <w:t>especifican</w:t>
      </w:r>
      <w:r>
        <w:rPr>
          <w:spacing w:val="-4"/>
          <w:w w:val="105"/>
          <w:sz w:val="15"/>
        </w:rPr>
        <w:t xml:space="preserve"> </w:t>
      </w:r>
      <w:r>
        <w:rPr>
          <w:w w:val="105"/>
          <w:sz w:val="15"/>
        </w:rPr>
        <w:t>el</w:t>
      </w:r>
      <w:r>
        <w:rPr>
          <w:spacing w:val="-4"/>
          <w:w w:val="105"/>
          <w:sz w:val="15"/>
        </w:rPr>
        <w:t xml:space="preserve"> </w:t>
      </w:r>
      <w:r>
        <w:rPr>
          <w:w w:val="105"/>
          <w:sz w:val="15"/>
        </w:rPr>
        <w:t>rango</w:t>
      </w:r>
      <w:r>
        <w:rPr>
          <w:spacing w:val="-4"/>
          <w:w w:val="105"/>
          <w:sz w:val="15"/>
        </w:rPr>
        <w:t xml:space="preserve"> </w:t>
      </w:r>
      <w:r>
        <w:rPr>
          <w:w w:val="105"/>
          <w:sz w:val="15"/>
        </w:rPr>
        <w:t>de</w:t>
      </w:r>
      <w:r>
        <w:rPr>
          <w:spacing w:val="-4"/>
          <w:w w:val="105"/>
          <w:sz w:val="15"/>
        </w:rPr>
        <w:t xml:space="preserve"> </w:t>
      </w:r>
      <w:r>
        <w:rPr>
          <w:w w:val="105"/>
          <w:sz w:val="15"/>
        </w:rPr>
        <w:t>multas</w:t>
      </w:r>
      <w:r>
        <w:rPr>
          <w:spacing w:val="-4"/>
          <w:w w:val="105"/>
          <w:sz w:val="15"/>
        </w:rPr>
        <w:t xml:space="preserve"> </w:t>
      </w:r>
      <w:r>
        <w:rPr>
          <w:w w:val="105"/>
          <w:sz w:val="15"/>
        </w:rPr>
        <w:t>que</w:t>
      </w:r>
      <w:r>
        <w:rPr>
          <w:spacing w:val="-4"/>
          <w:w w:val="105"/>
          <w:sz w:val="15"/>
        </w:rPr>
        <w:t xml:space="preserve"> </w:t>
      </w:r>
      <w:r>
        <w:rPr>
          <w:w w:val="105"/>
          <w:sz w:val="15"/>
        </w:rPr>
        <w:t>se</w:t>
      </w:r>
      <w:r>
        <w:rPr>
          <w:spacing w:val="-4"/>
          <w:w w:val="105"/>
          <w:sz w:val="15"/>
        </w:rPr>
        <w:t xml:space="preserve"> </w:t>
      </w:r>
      <w:r>
        <w:rPr>
          <w:w w:val="105"/>
          <w:sz w:val="15"/>
        </w:rPr>
        <w:t>impondrán</w:t>
      </w:r>
      <w:r>
        <w:rPr>
          <w:spacing w:val="-4"/>
          <w:w w:val="105"/>
          <w:sz w:val="15"/>
        </w:rPr>
        <w:t xml:space="preserve"> </w:t>
      </w:r>
      <w:r>
        <w:rPr>
          <w:w w:val="105"/>
          <w:sz w:val="15"/>
        </w:rPr>
        <w:t>en</w:t>
      </w:r>
      <w:r>
        <w:rPr>
          <w:spacing w:val="-4"/>
          <w:w w:val="105"/>
          <w:sz w:val="15"/>
        </w:rPr>
        <w:t xml:space="preserve"> </w:t>
      </w:r>
      <w:r>
        <w:rPr>
          <w:w w:val="105"/>
          <w:sz w:val="15"/>
        </w:rPr>
        <w:t>casos</w:t>
      </w:r>
      <w:r>
        <w:rPr>
          <w:spacing w:val="-4"/>
          <w:w w:val="105"/>
          <w:sz w:val="15"/>
        </w:rPr>
        <w:t xml:space="preserve"> </w:t>
      </w:r>
      <w:r>
        <w:rPr>
          <w:w w:val="105"/>
          <w:sz w:val="15"/>
        </w:rPr>
        <w:t>de discriminación.</w:t>
      </w:r>
      <w:r>
        <w:rPr>
          <w:spacing w:val="-3"/>
          <w:w w:val="105"/>
          <w:sz w:val="15"/>
        </w:rPr>
        <w:t xml:space="preserve"> </w:t>
      </w:r>
      <w:r>
        <w:rPr>
          <w:w w:val="105"/>
          <w:sz w:val="15"/>
        </w:rPr>
        <w:t>En</w:t>
      </w:r>
      <w:r>
        <w:rPr>
          <w:spacing w:val="-4"/>
          <w:w w:val="105"/>
          <w:sz w:val="15"/>
        </w:rPr>
        <w:t xml:space="preserve"> </w:t>
      </w:r>
      <w:r>
        <w:rPr>
          <w:w w:val="105"/>
          <w:sz w:val="15"/>
        </w:rPr>
        <w:t>algunos</w:t>
      </w:r>
      <w:r>
        <w:rPr>
          <w:spacing w:val="-4"/>
          <w:w w:val="105"/>
          <w:sz w:val="15"/>
        </w:rPr>
        <w:t xml:space="preserve"> </w:t>
      </w:r>
      <w:r>
        <w:rPr>
          <w:w w:val="105"/>
          <w:sz w:val="15"/>
        </w:rPr>
        <w:t>casos,</w:t>
      </w:r>
      <w:r>
        <w:rPr>
          <w:spacing w:val="-4"/>
          <w:w w:val="105"/>
          <w:sz w:val="15"/>
        </w:rPr>
        <w:t xml:space="preserve"> </w:t>
      </w:r>
      <w:r>
        <w:rPr>
          <w:w w:val="105"/>
          <w:sz w:val="15"/>
        </w:rPr>
        <w:t>esto</w:t>
      </w:r>
      <w:r>
        <w:rPr>
          <w:spacing w:val="-4"/>
          <w:w w:val="105"/>
          <w:sz w:val="15"/>
        </w:rPr>
        <w:t xml:space="preserve"> </w:t>
      </w:r>
      <w:r>
        <w:rPr>
          <w:w w:val="105"/>
          <w:sz w:val="15"/>
        </w:rPr>
        <w:t>ha</w:t>
      </w:r>
      <w:r>
        <w:rPr>
          <w:spacing w:val="-4"/>
          <w:w w:val="105"/>
          <w:sz w:val="15"/>
        </w:rPr>
        <w:t xml:space="preserve"> </w:t>
      </w:r>
      <w:r>
        <w:rPr>
          <w:w w:val="105"/>
          <w:sz w:val="15"/>
        </w:rPr>
        <w:t>generado</w:t>
      </w:r>
      <w:r>
        <w:rPr>
          <w:spacing w:val="-4"/>
          <w:w w:val="105"/>
          <w:sz w:val="15"/>
        </w:rPr>
        <w:t xml:space="preserve"> </w:t>
      </w:r>
      <w:r>
        <w:rPr>
          <w:w w:val="105"/>
          <w:sz w:val="15"/>
        </w:rPr>
        <w:t>preocupación</w:t>
      </w:r>
      <w:r>
        <w:rPr>
          <w:spacing w:val="-4"/>
          <w:w w:val="105"/>
          <w:sz w:val="15"/>
        </w:rPr>
        <w:t xml:space="preserve"> </w:t>
      </w:r>
      <w:r>
        <w:rPr>
          <w:w w:val="105"/>
          <w:sz w:val="15"/>
        </w:rPr>
        <w:t>de</w:t>
      </w:r>
      <w:r>
        <w:rPr>
          <w:spacing w:val="-4"/>
          <w:w w:val="105"/>
          <w:sz w:val="15"/>
        </w:rPr>
        <w:t xml:space="preserve"> </w:t>
      </w:r>
      <w:r>
        <w:rPr>
          <w:w w:val="105"/>
          <w:sz w:val="15"/>
        </w:rPr>
        <w:t>que</w:t>
      </w:r>
      <w:r>
        <w:rPr>
          <w:spacing w:val="-4"/>
          <w:w w:val="105"/>
          <w:sz w:val="15"/>
        </w:rPr>
        <w:t xml:space="preserve"> </w:t>
      </w:r>
      <w:r>
        <w:rPr>
          <w:w w:val="105"/>
          <w:sz w:val="15"/>
        </w:rPr>
        <w:t>los</w:t>
      </w:r>
      <w:r>
        <w:rPr>
          <w:spacing w:val="-4"/>
          <w:w w:val="105"/>
          <w:sz w:val="15"/>
        </w:rPr>
        <w:t xml:space="preserve"> </w:t>
      </w:r>
      <w:r>
        <w:rPr>
          <w:w w:val="105"/>
          <w:sz w:val="15"/>
        </w:rPr>
        <w:t>límites</w:t>
      </w:r>
      <w:r>
        <w:rPr>
          <w:spacing w:val="-4"/>
          <w:w w:val="105"/>
          <w:sz w:val="15"/>
        </w:rPr>
        <w:t xml:space="preserve"> </w:t>
      </w:r>
      <w:r>
        <w:rPr>
          <w:w w:val="105"/>
          <w:sz w:val="15"/>
        </w:rPr>
        <w:t>superiores</w:t>
      </w:r>
      <w:r>
        <w:rPr>
          <w:spacing w:val="-4"/>
          <w:w w:val="105"/>
          <w:sz w:val="15"/>
        </w:rPr>
        <w:t xml:space="preserve"> </w:t>
      </w:r>
      <w:r>
        <w:rPr>
          <w:w w:val="105"/>
          <w:sz w:val="15"/>
        </w:rPr>
        <w:t>de</w:t>
      </w:r>
      <w:r>
        <w:rPr>
          <w:spacing w:val="-4"/>
          <w:w w:val="105"/>
          <w:sz w:val="15"/>
        </w:rPr>
        <w:t xml:space="preserve"> </w:t>
      </w:r>
      <w:r>
        <w:rPr>
          <w:w w:val="105"/>
          <w:sz w:val="15"/>
        </w:rPr>
        <w:t>las</w:t>
      </w:r>
      <w:r>
        <w:rPr>
          <w:spacing w:val="-4"/>
          <w:w w:val="105"/>
          <w:sz w:val="15"/>
        </w:rPr>
        <w:t xml:space="preserve"> </w:t>
      </w:r>
      <w:r>
        <w:rPr>
          <w:w w:val="105"/>
          <w:sz w:val="15"/>
        </w:rPr>
        <w:t>posibles</w:t>
      </w:r>
      <w:r>
        <w:rPr>
          <w:spacing w:val="-4"/>
          <w:w w:val="105"/>
          <w:sz w:val="15"/>
        </w:rPr>
        <w:t xml:space="preserve"> </w:t>
      </w:r>
      <w:r>
        <w:rPr>
          <w:w w:val="105"/>
          <w:sz w:val="15"/>
        </w:rPr>
        <w:t>multas</w:t>
      </w:r>
      <w:r>
        <w:rPr>
          <w:spacing w:val="-4"/>
          <w:w w:val="105"/>
          <w:sz w:val="15"/>
        </w:rPr>
        <w:t xml:space="preserve"> </w:t>
      </w:r>
      <w:r>
        <w:rPr>
          <w:w w:val="105"/>
          <w:sz w:val="15"/>
        </w:rPr>
        <w:t>no</w:t>
      </w:r>
      <w:r>
        <w:rPr>
          <w:spacing w:val="-4"/>
          <w:w w:val="105"/>
          <w:sz w:val="15"/>
        </w:rPr>
        <w:t xml:space="preserve"> </w:t>
      </w:r>
      <w:r>
        <w:rPr>
          <w:w w:val="105"/>
          <w:sz w:val="15"/>
        </w:rPr>
        <w:t>sean</w:t>
      </w:r>
      <w:r>
        <w:rPr>
          <w:spacing w:val="-4"/>
          <w:w w:val="105"/>
          <w:sz w:val="15"/>
        </w:rPr>
        <w:t xml:space="preserve"> </w:t>
      </w:r>
      <w:r>
        <w:rPr>
          <w:w w:val="105"/>
          <w:sz w:val="15"/>
        </w:rPr>
        <w:t>lo suficientemente</w:t>
      </w:r>
      <w:r>
        <w:rPr>
          <w:spacing w:val="-11"/>
          <w:w w:val="105"/>
          <w:sz w:val="15"/>
        </w:rPr>
        <w:t xml:space="preserve"> </w:t>
      </w:r>
      <w:r>
        <w:rPr>
          <w:w w:val="105"/>
          <w:sz w:val="15"/>
        </w:rPr>
        <w:t>altos</w:t>
      </w:r>
      <w:r>
        <w:rPr>
          <w:spacing w:val="-11"/>
          <w:w w:val="105"/>
          <w:sz w:val="15"/>
        </w:rPr>
        <w:t xml:space="preserve"> </w:t>
      </w:r>
      <w:r>
        <w:rPr>
          <w:w w:val="105"/>
          <w:sz w:val="15"/>
        </w:rPr>
        <w:t>como</w:t>
      </w:r>
      <w:r>
        <w:rPr>
          <w:spacing w:val="-11"/>
          <w:w w:val="105"/>
          <w:sz w:val="15"/>
        </w:rPr>
        <w:t xml:space="preserve"> </w:t>
      </w:r>
      <w:r>
        <w:rPr>
          <w:w w:val="105"/>
          <w:sz w:val="15"/>
        </w:rPr>
        <w:t>para</w:t>
      </w:r>
      <w:r>
        <w:rPr>
          <w:spacing w:val="-11"/>
          <w:w w:val="105"/>
          <w:sz w:val="15"/>
        </w:rPr>
        <w:t xml:space="preserve"> </w:t>
      </w:r>
      <w:r>
        <w:rPr>
          <w:w w:val="105"/>
          <w:sz w:val="15"/>
        </w:rPr>
        <w:t>ser</w:t>
      </w:r>
      <w:r>
        <w:rPr>
          <w:spacing w:val="-11"/>
          <w:w w:val="105"/>
          <w:sz w:val="15"/>
        </w:rPr>
        <w:t xml:space="preserve"> </w:t>
      </w:r>
      <w:r>
        <w:rPr>
          <w:w w:val="105"/>
          <w:sz w:val="15"/>
        </w:rPr>
        <w:t>“disuasivos”.593</w:t>
      </w:r>
      <w:r>
        <w:rPr>
          <w:spacing w:val="-11"/>
          <w:w w:val="105"/>
          <w:sz w:val="15"/>
        </w:rPr>
        <w:t xml:space="preserve"> </w:t>
      </w:r>
      <w:r>
        <w:rPr>
          <w:w w:val="105"/>
          <w:sz w:val="15"/>
        </w:rPr>
        <w:t>Además,</w:t>
      </w:r>
      <w:r>
        <w:rPr>
          <w:spacing w:val="-11"/>
          <w:w w:val="105"/>
          <w:sz w:val="15"/>
        </w:rPr>
        <w:t xml:space="preserve"> </w:t>
      </w:r>
      <w:r>
        <w:rPr>
          <w:w w:val="105"/>
          <w:sz w:val="15"/>
        </w:rPr>
        <w:t>en</w:t>
      </w:r>
      <w:r>
        <w:rPr>
          <w:spacing w:val="-11"/>
          <w:w w:val="105"/>
          <w:sz w:val="15"/>
        </w:rPr>
        <w:t xml:space="preserve"> </w:t>
      </w:r>
      <w:r>
        <w:rPr>
          <w:w w:val="105"/>
          <w:sz w:val="15"/>
        </w:rPr>
        <w:t>algunos</w:t>
      </w:r>
      <w:r>
        <w:rPr>
          <w:spacing w:val="-10"/>
          <w:w w:val="105"/>
          <w:sz w:val="15"/>
        </w:rPr>
        <w:t xml:space="preserve"> </w:t>
      </w:r>
      <w:r>
        <w:rPr>
          <w:w w:val="105"/>
          <w:sz w:val="15"/>
        </w:rPr>
        <w:t>países,</w:t>
      </w:r>
      <w:r>
        <w:rPr>
          <w:spacing w:val="-11"/>
          <w:w w:val="105"/>
          <w:sz w:val="15"/>
        </w:rPr>
        <w:t xml:space="preserve"> </w:t>
      </w:r>
      <w:r>
        <w:rPr>
          <w:w w:val="105"/>
          <w:sz w:val="15"/>
        </w:rPr>
        <w:t>existe</w:t>
      </w:r>
      <w:r>
        <w:rPr>
          <w:spacing w:val="-11"/>
          <w:w w:val="105"/>
          <w:sz w:val="15"/>
        </w:rPr>
        <w:t xml:space="preserve"> </w:t>
      </w:r>
      <w:r>
        <w:rPr>
          <w:w w:val="105"/>
          <w:sz w:val="15"/>
        </w:rPr>
        <w:t>un</w:t>
      </w:r>
      <w:r>
        <w:rPr>
          <w:spacing w:val="-11"/>
          <w:w w:val="105"/>
          <w:sz w:val="15"/>
        </w:rPr>
        <w:t xml:space="preserve"> </w:t>
      </w:r>
      <w:r>
        <w:rPr>
          <w:w w:val="105"/>
          <w:sz w:val="15"/>
        </w:rPr>
        <w:t>fenómeno</w:t>
      </w:r>
      <w:r>
        <w:rPr>
          <w:spacing w:val="-11"/>
          <w:w w:val="105"/>
          <w:sz w:val="15"/>
        </w:rPr>
        <w:t xml:space="preserve"> </w:t>
      </w:r>
      <w:r>
        <w:rPr>
          <w:w w:val="105"/>
          <w:sz w:val="15"/>
        </w:rPr>
        <w:t>documentado</w:t>
      </w:r>
      <w:r>
        <w:rPr>
          <w:spacing w:val="-11"/>
          <w:w w:val="105"/>
          <w:sz w:val="15"/>
        </w:rPr>
        <w:t xml:space="preserve"> </w:t>
      </w:r>
      <w:r>
        <w:rPr>
          <w:w w:val="105"/>
          <w:sz w:val="15"/>
        </w:rPr>
        <w:t>en</w:t>
      </w:r>
      <w:r>
        <w:rPr>
          <w:spacing w:val="-11"/>
          <w:w w:val="105"/>
          <w:sz w:val="15"/>
        </w:rPr>
        <w:t xml:space="preserve"> </w:t>
      </w:r>
      <w:r>
        <w:rPr>
          <w:w w:val="105"/>
          <w:sz w:val="15"/>
        </w:rPr>
        <w:t>el</w:t>
      </w:r>
      <w:r>
        <w:rPr>
          <w:spacing w:val="-11"/>
          <w:w w:val="105"/>
          <w:sz w:val="15"/>
        </w:rPr>
        <w:t xml:space="preserve"> </w:t>
      </w:r>
      <w:r>
        <w:rPr>
          <w:w w:val="105"/>
          <w:sz w:val="15"/>
        </w:rPr>
        <w:t>que</w:t>
      </w:r>
      <w:r>
        <w:rPr>
          <w:spacing w:val="-11"/>
          <w:w w:val="105"/>
          <w:sz w:val="15"/>
        </w:rPr>
        <w:t xml:space="preserve"> </w:t>
      </w:r>
      <w:r>
        <w:rPr>
          <w:w w:val="105"/>
          <w:sz w:val="15"/>
        </w:rPr>
        <w:t>grandes empresas</w:t>
      </w:r>
      <w:r>
        <w:rPr>
          <w:spacing w:val="-4"/>
          <w:w w:val="105"/>
          <w:sz w:val="15"/>
        </w:rPr>
        <w:t xml:space="preserve"> </w:t>
      </w:r>
      <w:r>
        <w:rPr>
          <w:w w:val="105"/>
          <w:sz w:val="15"/>
        </w:rPr>
        <w:t>u</w:t>
      </w:r>
      <w:r>
        <w:rPr>
          <w:spacing w:val="-4"/>
          <w:w w:val="105"/>
          <w:sz w:val="15"/>
        </w:rPr>
        <w:t xml:space="preserve"> </w:t>
      </w:r>
      <w:r>
        <w:rPr>
          <w:w w:val="105"/>
          <w:sz w:val="15"/>
        </w:rPr>
        <w:t>otros</w:t>
      </w:r>
      <w:r>
        <w:rPr>
          <w:spacing w:val="-4"/>
          <w:w w:val="105"/>
          <w:sz w:val="15"/>
        </w:rPr>
        <w:t xml:space="preserve"> </w:t>
      </w:r>
      <w:r>
        <w:rPr>
          <w:w w:val="105"/>
          <w:sz w:val="15"/>
        </w:rPr>
        <w:t>proveedores</w:t>
      </w:r>
      <w:r>
        <w:rPr>
          <w:spacing w:val="-4"/>
          <w:w w:val="105"/>
          <w:sz w:val="15"/>
        </w:rPr>
        <w:t xml:space="preserve"> </w:t>
      </w:r>
      <w:r>
        <w:rPr>
          <w:w w:val="105"/>
          <w:sz w:val="15"/>
        </w:rPr>
        <w:t>de</w:t>
      </w:r>
      <w:r>
        <w:rPr>
          <w:spacing w:val="-4"/>
          <w:w w:val="105"/>
          <w:sz w:val="15"/>
        </w:rPr>
        <w:t xml:space="preserve"> </w:t>
      </w:r>
      <w:r>
        <w:rPr>
          <w:w w:val="105"/>
          <w:sz w:val="15"/>
        </w:rPr>
        <w:t>servicios</w:t>
      </w:r>
      <w:r>
        <w:rPr>
          <w:spacing w:val="-4"/>
          <w:w w:val="105"/>
          <w:sz w:val="15"/>
        </w:rPr>
        <w:t xml:space="preserve"> </w:t>
      </w:r>
      <w:r>
        <w:rPr>
          <w:w w:val="105"/>
          <w:sz w:val="15"/>
        </w:rPr>
        <w:t>“pagan</w:t>
      </w:r>
      <w:r>
        <w:rPr>
          <w:spacing w:val="-4"/>
          <w:w w:val="105"/>
          <w:sz w:val="15"/>
        </w:rPr>
        <w:t xml:space="preserve"> </w:t>
      </w:r>
      <w:r>
        <w:rPr>
          <w:w w:val="105"/>
          <w:sz w:val="15"/>
        </w:rPr>
        <w:t>una</w:t>
      </w:r>
      <w:r>
        <w:rPr>
          <w:spacing w:val="-4"/>
          <w:w w:val="105"/>
          <w:sz w:val="15"/>
        </w:rPr>
        <w:t xml:space="preserve"> </w:t>
      </w:r>
      <w:r>
        <w:rPr>
          <w:w w:val="105"/>
          <w:sz w:val="15"/>
        </w:rPr>
        <w:t>tarifa</w:t>
      </w:r>
      <w:r>
        <w:rPr>
          <w:spacing w:val="-4"/>
          <w:w w:val="105"/>
          <w:sz w:val="15"/>
        </w:rPr>
        <w:t xml:space="preserve"> </w:t>
      </w:r>
      <w:r>
        <w:rPr>
          <w:w w:val="105"/>
          <w:sz w:val="15"/>
        </w:rPr>
        <w:t>discriminatoria”.</w:t>
      </w:r>
      <w:r>
        <w:rPr>
          <w:spacing w:val="-3"/>
          <w:w w:val="105"/>
          <w:sz w:val="15"/>
        </w:rPr>
        <w:t xml:space="preserve"> </w:t>
      </w:r>
      <w:r>
        <w:rPr>
          <w:w w:val="105"/>
          <w:sz w:val="15"/>
        </w:rPr>
        <w:t>licencia”,</w:t>
      </w:r>
      <w:r>
        <w:rPr>
          <w:spacing w:val="-3"/>
          <w:w w:val="105"/>
          <w:sz w:val="15"/>
        </w:rPr>
        <w:t xml:space="preserve"> </w:t>
      </w:r>
      <w:r>
        <w:rPr>
          <w:w w:val="105"/>
          <w:sz w:val="15"/>
        </w:rPr>
        <w:t>es</w:t>
      </w:r>
      <w:r>
        <w:rPr>
          <w:spacing w:val="-4"/>
          <w:w w:val="105"/>
          <w:sz w:val="15"/>
        </w:rPr>
        <w:t xml:space="preserve"> </w:t>
      </w:r>
      <w:r>
        <w:rPr>
          <w:w w:val="105"/>
          <w:sz w:val="15"/>
        </w:rPr>
        <w:t>decir,</w:t>
      </w:r>
      <w:r>
        <w:rPr>
          <w:spacing w:val="-4"/>
          <w:w w:val="105"/>
          <w:sz w:val="15"/>
        </w:rPr>
        <w:t xml:space="preserve"> </w:t>
      </w:r>
      <w:r>
        <w:rPr>
          <w:w w:val="105"/>
          <w:sz w:val="15"/>
        </w:rPr>
        <w:t>estar</w:t>
      </w:r>
      <w:r>
        <w:rPr>
          <w:spacing w:val="-4"/>
          <w:w w:val="105"/>
          <w:sz w:val="15"/>
        </w:rPr>
        <w:t xml:space="preserve"> </w:t>
      </w:r>
      <w:r>
        <w:rPr>
          <w:w w:val="105"/>
          <w:sz w:val="15"/>
        </w:rPr>
        <w:t>dispuesto</w:t>
      </w:r>
      <w:r>
        <w:rPr>
          <w:spacing w:val="-4"/>
          <w:w w:val="105"/>
          <w:sz w:val="15"/>
        </w:rPr>
        <w:t xml:space="preserve"> </w:t>
      </w:r>
      <w:r>
        <w:rPr>
          <w:w w:val="105"/>
          <w:sz w:val="15"/>
        </w:rPr>
        <w:t>a</w:t>
      </w:r>
      <w:r>
        <w:rPr>
          <w:spacing w:val="-4"/>
          <w:w w:val="105"/>
          <w:sz w:val="15"/>
        </w:rPr>
        <w:t xml:space="preserve"> </w:t>
      </w:r>
      <w:r>
        <w:rPr>
          <w:w w:val="105"/>
          <w:sz w:val="15"/>
        </w:rPr>
        <w:t>no</w:t>
      </w:r>
      <w:r>
        <w:rPr>
          <w:spacing w:val="-4"/>
          <w:w w:val="105"/>
          <w:sz w:val="15"/>
        </w:rPr>
        <w:t xml:space="preserve"> </w:t>
      </w:r>
      <w:r>
        <w:rPr>
          <w:w w:val="105"/>
          <w:sz w:val="15"/>
        </w:rPr>
        <w:t>abordar</w:t>
      </w:r>
      <w:r>
        <w:rPr>
          <w:spacing w:val="-4"/>
          <w:w w:val="105"/>
          <w:sz w:val="15"/>
        </w:rPr>
        <w:t xml:space="preserve"> </w:t>
      </w:r>
      <w:r>
        <w:rPr>
          <w:w w:val="105"/>
          <w:sz w:val="15"/>
        </w:rPr>
        <w:t>los problemas</w:t>
      </w:r>
      <w:r>
        <w:rPr>
          <w:spacing w:val="-6"/>
          <w:w w:val="105"/>
          <w:sz w:val="15"/>
        </w:rPr>
        <w:t xml:space="preserve"> </w:t>
      </w:r>
      <w:r>
        <w:rPr>
          <w:w w:val="105"/>
          <w:sz w:val="15"/>
        </w:rPr>
        <w:t>de</w:t>
      </w:r>
      <w:r>
        <w:rPr>
          <w:spacing w:val="-6"/>
          <w:w w:val="105"/>
          <w:sz w:val="15"/>
        </w:rPr>
        <w:t xml:space="preserve"> </w:t>
      </w:r>
      <w:r>
        <w:rPr>
          <w:w w:val="105"/>
          <w:sz w:val="15"/>
        </w:rPr>
        <w:t>discriminación</w:t>
      </w:r>
      <w:r>
        <w:rPr>
          <w:spacing w:val="-6"/>
          <w:w w:val="105"/>
          <w:sz w:val="15"/>
        </w:rPr>
        <w:t xml:space="preserve"> </w:t>
      </w:r>
      <w:r>
        <w:rPr>
          <w:w w:val="105"/>
          <w:sz w:val="15"/>
        </w:rPr>
        <w:t>en</w:t>
      </w:r>
      <w:r>
        <w:rPr>
          <w:spacing w:val="-6"/>
          <w:w w:val="105"/>
          <w:sz w:val="15"/>
        </w:rPr>
        <w:t xml:space="preserve"> </w:t>
      </w:r>
      <w:r>
        <w:rPr>
          <w:w w:val="105"/>
          <w:sz w:val="15"/>
        </w:rPr>
        <w:t>la</w:t>
      </w:r>
      <w:r>
        <w:rPr>
          <w:spacing w:val="-6"/>
          <w:w w:val="105"/>
          <w:sz w:val="15"/>
        </w:rPr>
        <w:t xml:space="preserve"> </w:t>
      </w:r>
      <w:r>
        <w:rPr>
          <w:w w:val="105"/>
          <w:sz w:val="15"/>
        </w:rPr>
        <w:t>práctica</w:t>
      </w:r>
      <w:r>
        <w:rPr>
          <w:spacing w:val="-6"/>
          <w:w w:val="105"/>
          <w:sz w:val="15"/>
        </w:rPr>
        <w:t xml:space="preserve"> </w:t>
      </w:r>
      <w:r>
        <w:rPr>
          <w:w w:val="105"/>
          <w:sz w:val="15"/>
        </w:rPr>
        <w:t>y</w:t>
      </w:r>
      <w:r>
        <w:rPr>
          <w:spacing w:val="-6"/>
          <w:w w:val="105"/>
          <w:sz w:val="15"/>
        </w:rPr>
        <w:t xml:space="preserve"> </w:t>
      </w:r>
      <w:r>
        <w:rPr>
          <w:w w:val="105"/>
          <w:sz w:val="15"/>
        </w:rPr>
        <w:t>simplemente</w:t>
      </w:r>
      <w:r>
        <w:rPr>
          <w:spacing w:val="-6"/>
          <w:w w:val="105"/>
          <w:sz w:val="15"/>
        </w:rPr>
        <w:t xml:space="preserve"> </w:t>
      </w:r>
      <w:r>
        <w:rPr>
          <w:w w:val="105"/>
          <w:sz w:val="15"/>
        </w:rPr>
        <w:t>pagar</w:t>
      </w:r>
      <w:r>
        <w:rPr>
          <w:spacing w:val="-6"/>
          <w:w w:val="105"/>
          <w:sz w:val="15"/>
        </w:rPr>
        <w:t xml:space="preserve"> </w:t>
      </w:r>
      <w:r>
        <w:rPr>
          <w:w w:val="105"/>
          <w:sz w:val="15"/>
        </w:rPr>
        <w:t>multas</w:t>
      </w:r>
      <w:r>
        <w:rPr>
          <w:spacing w:val="-6"/>
          <w:w w:val="105"/>
          <w:sz w:val="15"/>
        </w:rPr>
        <w:t xml:space="preserve"> </w:t>
      </w:r>
      <w:r>
        <w:rPr>
          <w:w w:val="105"/>
          <w:sz w:val="15"/>
        </w:rPr>
        <w:t>en</w:t>
      </w:r>
      <w:r>
        <w:rPr>
          <w:spacing w:val="-6"/>
          <w:w w:val="105"/>
          <w:sz w:val="15"/>
        </w:rPr>
        <w:t xml:space="preserve"> </w:t>
      </w:r>
      <w:r>
        <w:rPr>
          <w:w w:val="105"/>
          <w:sz w:val="15"/>
        </w:rPr>
        <w:t>casos</w:t>
      </w:r>
      <w:r>
        <w:rPr>
          <w:spacing w:val="-6"/>
          <w:w w:val="105"/>
          <w:sz w:val="15"/>
        </w:rPr>
        <w:t xml:space="preserve"> </w:t>
      </w:r>
      <w:r>
        <w:rPr>
          <w:w w:val="105"/>
          <w:sz w:val="15"/>
        </w:rPr>
        <w:t>individuales,</w:t>
      </w:r>
      <w:r>
        <w:rPr>
          <w:spacing w:val="-5"/>
          <w:w w:val="105"/>
          <w:sz w:val="15"/>
        </w:rPr>
        <w:t xml:space="preserve"> </w:t>
      </w:r>
      <w:r>
        <w:rPr>
          <w:w w:val="105"/>
          <w:sz w:val="15"/>
        </w:rPr>
        <w:t>si</w:t>
      </w:r>
      <w:r>
        <w:rPr>
          <w:spacing w:val="-6"/>
          <w:w w:val="105"/>
          <w:sz w:val="15"/>
        </w:rPr>
        <w:t xml:space="preserve"> </w:t>
      </w:r>
      <w:r>
        <w:rPr>
          <w:w w:val="105"/>
          <w:sz w:val="15"/>
        </w:rPr>
        <w:t>éstas</w:t>
      </w:r>
      <w:r>
        <w:rPr>
          <w:spacing w:val="-6"/>
          <w:w w:val="105"/>
          <w:sz w:val="15"/>
        </w:rPr>
        <w:t xml:space="preserve"> </w:t>
      </w:r>
      <w:r>
        <w:rPr>
          <w:w w:val="105"/>
          <w:sz w:val="15"/>
        </w:rPr>
        <w:t>no</w:t>
      </w:r>
      <w:r>
        <w:rPr>
          <w:spacing w:val="-6"/>
          <w:w w:val="105"/>
          <w:sz w:val="15"/>
        </w:rPr>
        <w:t xml:space="preserve"> </w:t>
      </w:r>
      <w:r>
        <w:rPr>
          <w:w w:val="105"/>
          <w:sz w:val="15"/>
        </w:rPr>
        <w:t>son</w:t>
      </w:r>
      <w:r>
        <w:rPr>
          <w:spacing w:val="-6"/>
          <w:w w:val="105"/>
          <w:sz w:val="15"/>
        </w:rPr>
        <w:t xml:space="preserve"> </w:t>
      </w:r>
      <w:r>
        <w:rPr>
          <w:w w:val="105"/>
          <w:sz w:val="15"/>
        </w:rPr>
        <w:t>lo</w:t>
      </w:r>
      <w:r>
        <w:rPr>
          <w:spacing w:val="-6"/>
          <w:w w:val="105"/>
          <w:sz w:val="15"/>
        </w:rPr>
        <w:t xml:space="preserve"> </w:t>
      </w:r>
      <w:r>
        <w:rPr>
          <w:w w:val="105"/>
          <w:sz w:val="15"/>
        </w:rPr>
        <w:t>suficientemente</w:t>
      </w:r>
      <w:r>
        <w:rPr>
          <w:spacing w:val="-6"/>
          <w:w w:val="105"/>
          <w:sz w:val="15"/>
        </w:rPr>
        <w:t xml:space="preserve"> </w:t>
      </w:r>
      <w:r>
        <w:rPr>
          <w:w w:val="105"/>
          <w:sz w:val="15"/>
        </w:rPr>
        <w:t>altas. Los</w:t>
      </w:r>
      <w:r>
        <w:rPr>
          <w:spacing w:val="-7"/>
          <w:w w:val="105"/>
          <w:sz w:val="15"/>
        </w:rPr>
        <w:t xml:space="preserve"> </w:t>
      </w:r>
      <w:r>
        <w:rPr>
          <w:w w:val="105"/>
          <w:sz w:val="15"/>
        </w:rPr>
        <w:t>órganos</w:t>
      </w:r>
      <w:r>
        <w:rPr>
          <w:spacing w:val="-7"/>
          <w:w w:val="105"/>
          <w:sz w:val="15"/>
        </w:rPr>
        <w:t xml:space="preserve"> </w:t>
      </w:r>
      <w:r>
        <w:rPr>
          <w:w w:val="105"/>
          <w:sz w:val="15"/>
        </w:rPr>
        <w:t>de</w:t>
      </w:r>
      <w:r>
        <w:rPr>
          <w:spacing w:val="-7"/>
          <w:w w:val="105"/>
          <w:sz w:val="15"/>
        </w:rPr>
        <w:t xml:space="preserve"> </w:t>
      </w:r>
      <w:r>
        <w:rPr>
          <w:w w:val="105"/>
          <w:sz w:val="15"/>
        </w:rPr>
        <w:t>tratados</w:t>
      </w:r>
      <w:r>
        <w:rPr>
          <w:spacing w:val="-8"/>
          <w:w w:val="105"/>
          <w:sz w:val="15"/>
        </w:rPr>
        <w:t xml:space="preserve"> </w:t>
      </w:r>
      <w:r>
        <w:rPr>
          <w:w w:val="105"/>
          <w:sz w:val="15"/>
        </w:rPr>
        <w:t>han</w:t>
      </w:r>
      <w:r>
        <w:rPr>
          <w:spacing w:val="-7"/>
          <w:w w:val="105"/>
          <w:sz w:val="15"/>
        </w:rPr>
        <w:t xml:space="preserve"> </w:t>
      </w:r>
      <w:r>
        <w:rPr>
          <w:w w:val="105"/>
          <w:sz w:val="15"/>
        </w:rPr>
        <w:t>expresado</w:t>
      </w:r>
      <w:r>
        <w:rPr>
          <w:spacing w:val="-7"/>
          <w:w w:val="105"/>
          <w:sz w:val="15"/>
        </w:rPr>
        <w:t xml:space="preserve"> </w:t>
      </w:r>
      <w:r>
        <w:rPr>
          <w:w w:val="105"/>
          <w:sz w:val="15"/>
        </w:rPr>
        <w:t>preocupación</w:t>
      </w:r>
      <w:r>
        <w:rPr>
          <w:spacing w:val="-7"/>
          <w:w w:val="105"/>
          <w:sz w:val="15"/>
        </w:rPr>
        <w:t xml:space="preserve"> </w:t>
      </w:r>
      <w:r>
        <w:rPr>
          <w:w w:val="105"/>
          <w:sz w:val="15"/>
        </w:rPr>
        <w:t>por</w:t>
      </w:r>
      <w:r>
        <w:rPr>
          <w:spacing w:val="-7"/>
          <w:w w:val="105"/>
          <w:sz w:val="15"/>
        </w:rPr>
        <w:t xml:space="preserve"> </w:t>
      </w:r>
      <w:r>
        <w:rPr>
          <w:w w:val="105"/>
          <w:sz w:val="15"/>
        </w:rPr>
        <w:t>los</w:t>
      </w:r>
      <w:r>
        <w:rPr>
          <w:spacing w:val="-7"/>
          <w:w w:val="105"/>
          <w:sz w:val="15"/>
        </w:rPr>
        <w:t xml:space="preserve"> </w:t>
      </w:r>
      <w:r>
        <w:rPr>
          <w:w w:val="105"/>
          <w:sz w:val="15"/>
        </w:rPr>
        <w:t>bajos</w:t>
      </w:r>
      <w:r>
        <w:rPr>
          <w:spacing w:val="-7"/>
          <w:w w:val="105"/>
          <w:sz w:val="15"/>
        </w:rPr>
        <w:t xml:space="preserve"> </w:t>
      </w:r>
      <w:r>
        <w:rPr>
          <w:w w:val="105"/>
          <w:sz w:val="15"/>
        </w:rPr>
        <w:t>niveles</w:t>
      </w:r>
      <w:r>
        <w:rPr>
          <w:spacing w:val="-7"/>
          <w:w w:val="105"/>
          <w:sz w:val="15"/>
        </w:rPr>
        <w:t xml:space="preserve"> </w:t>
      </w:r>
      <w:r>
        <w:rPr>
          <w:w w:val="105"/>
          <w:sz w:val="15"/>
        </w:rPr>
        <w:t>de</w:t>
      </w:r>
      <w:r>
        <w:rPr>
          <w:spacing w:val="-7"/>
          <w:w w:val="105"/>
          <w:sz w:val="15"/>
        </w:rPr>
        <w:t xml:space="preserve"> </w:t>
      </w:r>
      <w:r>
        <w:rPr>
          <w:w w:val="105"/>
          <w:sz w:val="15"/>
        </w:rPr>
        <w:t>multas</w:t>
      </w:r>
      <w:r>
        <w:rPr>
          <w:spacing w:val="-7"/>
          <w:w w:val="105"/>
          <w:sz w:val="15"/>
        </w:rPr>
        <w:t xml:space="preserve"> </w:t>
      </w:r>
      <w:r>
        <w:rPr>
          <w:w w:val="105"/>
          <w:sz w:val="15"/>
        </w:rPr>
        <w:t>por</w:t>
      </w:r>
      <w:r>
        <w:rPr>
          <w:spacing w:val="-7"/>
          <w:w w:val="105"/>
          <w:sz w:val="15"/>
        </w:rPr>
        <w:t xml:space="preserve"> </w:t>
      </w:r>
      <w:r>
        <w:rPr>
          <w:w w:val="105"/>
          <w:sz w:val="15"/>
        </w:rPr>
        <w:t>discriminación</w:t>
      </w:r>
      <w:r>
        <w:rPr>
          <w:spacing w:val="-7"/>
          <w:w w:val="105"/>
          <w:sz w:val="15"/>
        </w:rPr>
        <w:t xml:space="preserve"> </w:t>
      </w:r>
      <w:r>
        <w:rPr>
          <w:w w:val="105"/>
          <w:sz w:val="15"/>
        </w:rPr>
        <w:t>en</w:t>
      </w:r>
      <w:r>
        <w:rPr>
          <w:spacing w:val="-7"/>
          <w:w w:val="105"/>
          <w:sz w:val="15"/>
        </w:rPr>
        <w:t xml:space="preserve"> </w:t>
      </w:r>
      <w:r>
        <w:rPr>
          <w:w w:val="105"/>
          <w:sz w:val="15"/>
        </w:rPr>
        <w:t>las</w:t>
      </w:r>
      <w:r>
        <w:rPr>
          <w:spacing w:val="-7"/>
          <w:w w:val="105"/>
          <w:sz w:val="15"/>
        </w:rPr>
        <w:t xml:space="preserve"> </w:t>
      </w:r>
      <w:r>
        <w:rPr>
          <w:w w:val="105"/>
          <w:sz w:val="15"/>
        </w:rPr>
        <w:t>leyes</w:t>
      </w:r>
      <w:r>
        <w:rPr>
          <w:spacing w:val="-7"/>
          <w:w w:val="105"/>
          <w:sz w:val="15"/>
        </w:rPr>
        <w:t xml:space="preserve"> </w:t>
      </w:r>
      <w:r>
        <w:rPr>
          <w:w w:val="105"/>
          <w:sz w:val="15"/>
        </w:rPr>
        <w:t>nacionales</w:t>
      </w:r>
      <w:r>
        <w:rPr>
          <w:spacing w:val="-7"/>
          <w:w w:val="105"/>
          <w:sz w:val="15"/>
        </w:rPr>
        <w:t xml:space="preserve"> </w:t>
      </w:r>
      <w:r>
        <w:rPr>
          <w:w w:val="105"/>
          <w:sz w:val="15"/>
        </w:rPr>
        <w:t>de</w:t>
      </w:r>
      <w:r>
        <w:rPr>
          <w:spacing w:val="-7"/>
          <w:w w:val="105"/>
          <w:sz w:val="15"/>
        </w:rPr>
        <w:t xml:space="preserve"> </w:t>
      </w:r>
      <w:r>
        <w:rPr>
          <w:w w:val="105"/>
          <w:sz w:val="15"/>
        </w:rPr>
        <w:t>los Estados</w:t>
      </w:r>
      <w:r>
        <w:rPr>
          <w:spacing w:val="-5"/>
          <w:w w:val="105"/>
          <w:sz w:val="15"/>
        </w:rPr>
        <w:t xml:space="preserve"> </w:t>
      </w:r>
      <w:r>
        <w:rPr>
          <w:w w:val="105"/>
          <w:sz w:val="15"/>
        </w:rPr>
        <w:t>y</w:t>
      </w:r>
      <w:r>
        <w:rPr>
          <w:spacing w:val="-4"/>
          <w:w w:val="105"/>
          <w:sz w:val="15"/>
        </w:rPr>
        <w:t xml:space="preserve"> </w:t>
      </w:r>
      <w:r>
        <w:rPr>
          <w:w w:val="105"/>
          <w:sz w:val="15"/>
        </w:rPr>
        <w:t>han</w:t>
      </w:r>
      <w:r>
        <w:rPr>
          <w:spacing w:val="-4"/>
          <w:w w:val="105"/>
          <w:sz w:val="15"/>
        </w:rPr>
        <w:t xml:space="preserve"> </w:t>
      </w:r>
      <w:r>
        <w:rPr>
          <w:w w:val="105"/>
          <w:sz w:val="15"/>
        </w:rPr>
        <w:t>formulado</w:t>
      </w:r>
      <w:r>
        <w:rPr>
          <w:spacing w:val="-4"/>
          <w:w w:val="105"/>
          <w:sz w:val="15"/>
        </w:rPr>
        <w:t xml:space="preserve"> </w:t>
      </w:r>
      <w:r>
        <w:rPr>
          <w:w w:val="105"/>
          <w:sz w:val="15"/>
        </w:rPr>
        <w:t>recomendaciones</w:t>
      </w:r>
      <w:r>
        <w:rPr>
          <w:spacing w:val="-4"/>
          <w:w w:val="105"/>
          <w:sz w:val="15"/>
        </w:rPr>
        <w:t xml:space="preserve"> </w:t>
      </w:r>
      <w:r>
        <w:rPr>
          <w:w w:val="105"/>
          <w:sz w:val="15"/>
        </w:rPr>
        <w:t>pertinentes.594</w:t>
      </w:r>
      <w:r>
        <w:rPr>
          <w:spacing w:val="-4"/>
          <w:w w:val="105"/>
          <w:sz w:val="15"/>
        </w:rPr>
        <w:t xml:space="preserve"> </w:t>
      </w:r>
      <w:r>
        <w:rPr>
          <w:w w:val="105"/>
          <w:sz w:val="15"/>
        </w:rPr>
        <w:t>Estas</w:t>
      </w:r>
      <w:r>
        <w:rPr>
          <w:spacing w:val="-4"/>
          <w:w w:val="105"/>
          <w:sz w:val="15"/>
        </w:rPr>
        <w:t xml:space="preserve"> </w:t>
      </w:r>
      <w:r>
        <w:rPr>
          <w:w w:val="105"/>
          <w:sz w:val="15"/>
        </w:rPr>
        <w:t>declaraciones</w:t>
      </w:r>
      <w:r>
        <w:rPr>
          <w:spacing w:val="-4"/>
          <w:w w:val="105"/>
          <w:sz w:val="15"/>
        </w:rPr>
        <w:t xml:space="preserve"> </w:t>
      </w:r>
      <w:r>
        <w:rPr>
          <w:w w:val="105"/>
          <w:sz w:val="15"/>
        </w:rPr>
        <w:t>reflejan</w:t>
      </w:r>
      <w:r>
        <w:rPr>
          <w:spacing w:val="-4"/>
          <w:w w:val="105"/>
          <w:sz w:val="15"/>
        </w:rPr>
        <w:t xml:space="preserve"> </w:t>
      </w:r>
      <w:r>
        <w:rPr>
          <w:w w:val="105"/>
          <w:sz w:val="15"/>
        </w:rPr>
        <w:t>el</w:t>
      </w:r>
      <w:r>
        <w:rPr>
          <w:spacing w:val="-4"/>
          <w:w w:val="105"/>
          <w:sz w:val="15"/>
        </w:rPr>
        <w:t xml:space="preserve"> </w:t>
      </w:r>
      <w:r>
        <w:rPr>
          <w:w w:val="105"/>
          <w:sz w:val="15"/>
        </w:rPr>
        <w:t>hecho</w:t>
      </w:r>
      <w:r>
        <w:rPr>
          <w:spacing w:val="-4"/>
          <w:w w:val="105"/>
          <w:sz w:val="15"/>
        </w:rPr>
        <w:t xml:space="preserve"> </w:t>
      </w:r>
      <w:r>
        <w:rPr>
          <w:w w:val="105"/>
          <w:sz w:val="15"/>
        </w:rPr>
        <w:t>de</w:t>
      </w:r>
      <w:r>
        <w:rPr>
          <w:spacing w:val="-4"/>
          <w:w w:val="105"/>
          <w:sz w:val="15"/>
        </w:rPr>
        <w:t xml:space="preserve"> </w:t>
      </w:r>
      <w:r>
        <w:rPr>
          <w:w w:val="105"/>
          <w:sz w:val="15"/>
        </w:rPr>
        <w:t>que,</w:t>
      </w:r>
      <w:r>
        <w:rPr>
          <w:spacing w:val="-4"/>
          <w:w w:val="105"/>
          <w:sz w:val="15"/>
        </w:rPr>
        <w:t xml:space="preserve"> </w:t>
      </w:r>
      <w:r>
        <w:rPr>
          <w:w w:val="105"/>
          <w:sz w:val="15"/>
        </w:rPr>
        <w:t>si</w:t>
      </w:r>
      <w:r>
        <w:rPr>
          <w:spacing w:val="-4"/>
          <w:w w:val="105"/>
          <w:sz w:val="15"/>
        </w:rPr>
        <w:t xml:space="preserve"> </w:t>
      </w:r>
      <w:r>
        <w:rPr>
          <w:w w:val="105"/>
          <w:sz w:val="15"/>
        </w:rPr>
        <w:t>los</w:t>
      </w:r>
      <w:r>
        <w:rPr>
          <w:spacing w:val="-4"/>
          <w:w w:val="105"/>
          <w:sz w:val="15"/>
        </w:rPr>
        <w:t xml:space="preserve"> </w:t>
      </w:r>
      <w:r>
        <w:rPr>
          <w:w w:val="105"/>
          <w:sz w:val="15"/>
        </w:rPr>
        <w:t>Estados</w:t>
      </w:r>
      <w:r>
        <w:rPr>
          <w:spacing w:val="-5"/>
          <w:w w:val="105"/>
          <w:sz w:val="15"/>
        </w:rPr>
        <w:t xml:space="preserve"> </w:t>
      </w:r>
      <w:r>
        <w:rPr>
          <w:w w:val="105"/>
          <w:sz w:val="15"/>
        </w:rPr>
        <w:t>quieren cumplir</w:t>
      </w:r>
      <w:r>
        <w:rPr>
          <w:spacing w:val="-4"/>
          <w:w w:val="105"/>
          <w:sz w:val="15"/>
        </w:rPr>
        <w:t xml:space="preserve"> </w:t>
      </w:r>
      <w:r>
        <w:rPr>
          <w:w w:val="105"/>
          <w:sz w:val="15"/>
        </w:rPr>
        <w:t>con</w:t>
      </w:r>
      <w:r>
        <w:rPr>
          <w:spacing w:val="-4"/>
          <w:w w:val="105"/>
          <w:sz w:val="15"/>
        </w:rPr>
        <w:t xml:space="preserve"> </w:t>
      </w:r>
      <w:r>
        <w:rPr>
          <w:w w:val="105"/>
          <w:sz w:val="15"/>
        </w:rPr>
        <w:t>su</w:t>
      </w:r>
      <w:r>
        <w:rPr>
          <w:spacing w:val="-4"/>
          <w:w w:val="105"/>
          <w:sz w:val="15"/>
        </w:rPr>
        <w:t xml:space="preserve"> </w:t>
      </w:r>
      <w:r>
        <w:rPr>
          <w:w w:val="105"/>
          <w:sz w:val="15"/>
        </w:rPr>
        <w:t>obligación</w:t>
      </w:r>
      <w:r>
        <w:rPr>
          <w:spacing w:val="-4"/>
          <w:w w:val="105"/>
          <w:sz w:val="15"/>
        </w:rPr>
        <w:t xml:space="preserve"> </w:t>
      </w:r>
      <w:r>
        <w:rPr>
          <w:w w:val="105"/>
          <w:sz w:val="15"/>
        </w:rPr>
        <w:t>de</w:t>
      </w:r>
      <w:r>
        <w:rPr>
          <w:spacing w:val="-4"/>
          <w:w w:val="105"/>
          <w:sz w:val="15"/>
        </w:rPr>
        <w:t xml:space="preserve"> </w:t>
      </w:r>
      <w:r>
        <w:rPr>
          <w:w w:val="105"/>
          <w:sz w:val="15"/>
        </w:rPr>
        <w:t>proporcionar</w:t>
      </w:r>
      <w:r>
        <w:rPr>
          <w:spacing w:val="-4"/>
          <w:w w:val="105"/>
          <w:sz w:val="15"/>
        </w:rPr>
        <w:t xml:space="preserve"> </w:t>
      </w:r>
      <w:r>
        <w:rPr>
          <w:w w:val="105"/>
          <w:sz w:val="15"/>
        </w:rPr>
        <w:t>un</w:t>
      </w:r>
      <w:r>
        <w:rPr>
          <w:spacing w:val="-4"/>
          <w:w w:val="105"/>
          <w:sz w:val="15"/>
        </w:rPr>
        <w:t xml:space="preserve"> </w:t>
      </w:r>
      <w:r>
        <w:rPr>
          <w:w w:val="105"/>
          <w:sz w:val="15"/>
        </w:rPr>
        <w:t>recurso</w:t>
      </w:r>
      <w:r>
        <w:rPr>
          <w:spacing w:val="-4"/>
          <w:w w:val="105"/>
          <w:sz w:val="15"/>
        </w:rPr>
        <w:t xml:space="preserve"> </w:t>
      </w:r>
      <w:r>
        <w:rPr>
          <w:w w:val="105"/>
          <w:sz w:val="15"/>
        </w:rPr>
        <w:t>efectivo,</w:t>
      </w:r>
      <w:r>
        <w:rPr>
          <w:spacing w:val="-4"/>
          <w:w w:val="105"/>
          <w:sz w:val="15"/>
        </w:rPr>
        <w:t xml:space="preserve"> </w:t>
      </w:r>
      <w:r>
        <w:rPr>
          <w:w w:val="105"/>
          <w:sz w:val="15"/>
        </w:rPr>
        <w:t>es</w:t>
      </w:r>
      <w:r>
        <w:rPr>
          <w:spacing w:val="-4"/>
          <w:w w:val="105"/>
          <w:sz w:val="15"/>
        </w:rPr>
        <w:t xml:space="preserve"> </w:t>
      </w:r>
      <w:r>
        <w:rPr>
          <w:w w:val="105"/>
          <w:sz w:val="15"/>
        </w:rPr>
        <w:t>esencial</w:t>
      </w:r>
      <w:r>
        <w:rPr>
          <w:spacing w:val="-4"/>
          <w:w w:val="105"/>
          <w:sz w:val="15"/>
        </w:rPr>
        <w:t xml:space="preserve"> </w:t>
      </w:r>
      <w:r>
        <w:rPr>
          <w:w w:val="105"/>
          <w:sz w:val="15"/>
        </w:rPr>
        <w:t>que</w:t>
      </w:r>
      <w:r>
        <w:rPr>
          <w:spacing w:val="-4"/>
          <w:w w:val="105"/>
          <w:sz w:val="15"/>
        </w:rPr>
        <w:t xml:space="preserve"> </w:t>
      </w:r>
      <w:r>
        <w:rPr>
          <w:w w:val="105"/>
          <w:sz w:val="15"/>
        </w:rPr>
        <w:t>las</w:t>
      </w:r>
      <w:r>
        <w:rPr>
          <w:spacing w:val="-4"/>
          <w:w w:val="105"/>
          <w:sz w:val="15"/>
        </w:rPr>
        <w:t xml:space="preserve"> </w:t>
      </w:r>
      <w:r>
        <w:rPr>
          <w:w w:val="105"/>
          <w:sz w:val="15"/>
        </w:rPr>
        <w:t>medidas</w:t>
      </w:r>
      <w:r>
        <w:rPr>
          <w:spacing w:val="-4"/>
          <w:w w:val="105"/>
          <w:sz w:val="15"/>
        </w:rPr>
        <w:t xml:space="preserve"> </w:t>
      </w:r>
      <w:r>
        <w:rPr>
          <w:w w:val="105"/>
          <w:sz w:val="15"/>
        </w:rPr>
        <w:t>contra</w:t>
      </w:r>
      <w:r>
        <w:rPr>
          <w:spacing w:val="-4"/>
          <w:w w:val="105"/>
          <w:sz w:val="15"/>
        </w:rPr>
        <w:t xml:space="preserve"> </w:t>
      </w:r>
      <w:r>
        <w:rPr>
          <w:w w:val="105"/>
          <w:sz w:val="15"/>
        </w:rPr>
        <w:t>la</w:t>
      </w:r>
      <w:r>
        <w:rPr>
          <w:spacing w:val="-4"/>
          <w:w w:val="105"/>
          <w:sz w:val="15"/>
        </w:rPr>
        <w:t xml:space="preserve"> </w:t>
      </w:r>
      <w:r>
        <w:rPr>
          <w:w w:val="105"/>
          <w:sz w:val="15"/>
        </w:rPr>
        <w:t>discriminación</w:t>
      </w:r>
      <w:r>
        <w:rPr>
          <w:spacing w:val="-4"/>
          <w:w w:val="105"/>
          <w:sz w:val="15"/>
        </w:rPr>
        <w:t xml:space="preserve"> </w:t>
      </w:r>
      <w:r>
        <w:rPr>
          <w:w w:val="105"/>
          <w:sz w:val="15"/>
        </w:rPr>
        <w:t>La</w:t>
      </w:r>
      <w:r>
        <w:rPr>
          <w:spacing w:val="-4"/>
          <w:w w:val="105"/>
          <w:sz w:val="15"/>
        </w:rPr>
        <w:t xml:space="preserve"> </w:t>
      </w:r>
      <w:r>
        <w:rPr>
          <w:w w:val="105"/>
          <w:sz w:val="15"/>
        </w:rPr>
        <w:t>ley</w:t>
      </w:r>
      <w:r>
        <w:rPr>
          <w:spacing w:val="-4"/>
          <w:w w:val="105"/>
          <w:sz w:val="15"/>
        </w:rPr>
        <w:t xml:space="preserve"> </w:t>
      </w:r>
      <w:r>
        <w:rPr>
          <w:w w:val="105"/>
          <w:sz w:val="15"/>
        </w:rPr>
        <w:t>prevé</w:t>
      </w:r>
      <w:r>
        <w:rPr>
          <w:spacing w:val="-4"/>
          <w:w w:val="105"/>
          <w:sz w:val="15"/>
        </w:rPr>
        <w:t xml:space="preserve"> </w:t>
      </w:r>
      <w:r>
        <w:rPr>
          <w:w w:val="105"/>
          <w:sz w:val="15"/>
        </w:rPr>
        <w:t>un enfoque proporcionado para determinar el nivel de las multas.</w:t>
      </w:r>
    </w:p>
    <w:p w14:paraId="6CF814FF" w14:textId="77777777" w:rsidR="0014798C" w:rsidRDefault="0014798C">
      <w:pPr>
        <w:pStyle w:val="Textoindependiente"/>
        <w:rPr>
          <w:sz w:val="15"/>
        </w:rPr>
      </w:pPr>
    </w:p>
    <w:p w14:paraId="044A5EF8" w14:textId="77777777" w:rsidR="0014798C" w:rsidRDefault="0014798C">
      <w:pPr>
        <w:pStyle w:val="Textoindependiente"/>
        <w:spacing w:before="121"/>
        <w:rPr>
          <w:sz w:val="15"/>
        </w:rPr>
      </w:pPr>
    </w:p>
    <w:p w14:paraId="342A0BF6" w14:textId="77777777" w:rsidR="0014798C" w:rsidRDefault="004E1F0B">
      <w:pPr>
        <w:spacing w:line="345" w:lineRule="auto"/>
        <w:ind w:left="1335" w:right="3645"/>
        <w:rPr>
          <w:sz w:val="15"/>
        </w:rPr>
      </w:pPr>
      <w:r>
        <w:rPr>
          <w:noProof/>
        </w:rPr>
        <mc:AlternateContent>
          <mc:Choice Requires="wps">
            <w:drawing>
              <wp:anchor distT="0" distB="0" distL="0" distR="0" simplePos="0" relativeHeight="251658280" behindDoc="0" locked="0" layoutInCell="1" allowOverlap="1" wp14:anchorId="636CB769" wp14:editId="5CC524EA">
                <wp:simplePos x="0" y="0"/>
                <wp:positionH relativeFrom="page">
                  <wp:posOffset>7312079</wp:posOffset>
                </wp:positionH>
                <wp:positionV relativeFrom="paragraph">
                  <wp:posOffset>-33123</wp:posOffset>
                </wp:positionV>
                <wp:extent cx="85090" cy="287655"/>
                <wp:effectExtent l="0" t="0" r="0" b="0"/>
                <wp:wrapNone/>
                <wp:docPr id="187" name="Textbox 18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85090" cy="287655"/>
                        </a:xfrm>
                        <a:prstGeom prst="rect">
                          <a:avLst/>
                        </a:prstGeom>
                      </wps:spPr>
                      <wps:txbx>
                        <w:txbxContent>
                          <w:p w14:paraId="0CAAA3D7" w14:textId="77777777" w:rsidR="0014798C" w:rsidRDefault="004E1F0B">
                            <w:pPr>
                              <w:spacing w:before="20"/>
                              <w:ind w:left="20"/>
                              <w:rPr>
                                <w:sz w:val="8"/>
                              </w:rPr>
                            </w:pPr>
                            <w:r>
                              <w:rPr>
                                <w:color w:val="FFFFFF"/>
                                <w:spacing w:val="-37"/>
                                <w:sz w:val="8"/>
                              </w:rPr>
                              <w:t>P–I</w:t>
                            </w:r>
                            <w:r>
                              <w:rPr>
                                <w:spacing w:val="-37"/>
                                <w:sz w:val="8"/>
                              </w:rPr>
                              <w:t>S</w:t>
                            </w:r>
                            <w:r>
                              <w:rPr>
                                <w:color w:val="FFFFFF"/>
                                <w:spacing w:val="-37"/>
                                <w:sz w:val="8"/>
                              </w:rPr>
                              <w:t>I</w:t>
                            </w:r>
                            <w:r>
                              <w:rPr>
                                <w:color w:val="FFFFFF"/>
                                <w:spacing w:val="-8"/>
                                <w:sz w:val="8"/>
                              </w:rPr>
                              <w:t xml:space="preserve"> </w:t>
                            </w:r>
                            <w:r>
                              <w:rPr>
                                <w:color w:val="FFFFFF"/>
                                <w:spacing w:val="-20"/>
                                <w:sz w:val="8"/>
                              </w:rPr>
                              <w:t>A</w:t>
                            </w:r>
                            <w:r>
                              <w:rPr>
                                <w:spacing w:val="-20"/>
                                <w:sz w:val="8"/>
                              </w:rPr>
                              <w:t>E</w:t>
                            </w:r>
                            <w:r>
                              <w:rPr>
                                <w:color w:val="FFFFFF"/>
                                <w:spacing w:val="-20"/>
                                <w:sz w:val="8"/>
                              </w:rPr>
                              <w:t>R</w:t>
                            </w:r>
                            <w:r>
                              <w:rPr>
                                <w:spacing w:val="-20"/>
                                <w:sz w:val="8"/>
                              </w:rPr>
                              <w:t>G</w:t>
                            </w:r>
                            <w:r>
                              <w:rPr>
                                <w:color w:val="FFFFFF"/>
                                <w:spacing w:val="-20"/>
                                <w:sz w:val="8"/>
                              </w:rPr>
                              <w:t>T</w:t>
                            </w:r>
                            <w:r>
                              <w:rPr>
                                <w:spacing w:val="-20"/>
                                <w:sz w:val="8"/>
                              </w:rPr>
                              <w:t>U</w:t>
                            </w:r>
                            <w:r>
                              <w:rPr>
                                <w:color w:val="FFFFFF"/>
                                <w:spacing w:val="-20"/>
                                <w:sz w:val="8"/>
                              </w:rPr>
                              <w:t>E</w:t>
                            </w:r>
                            <w:r>
                              <w:rPr>
                                <w:spacing w:val="-20"/>
                                <w:sz w:val="8"/>
                              </w:rPr>
                              <w:t>NDA</w:t>
                            </w:r>
                          </w:p>
                        </w:txbxContent>
                      </wps:txbx>
                      <wps:bodyPr vert="vert270" wrap="square" lIns="0" tIns="0" rIns="0" bIns="0" rtlCol="0">
                        <a:noAutofit/>
                      </wps:bodyPr>
                    </wps:wsp>
                  </a:graphicData>
                </a:graphic>
              </wp:anchor>
            </w:drawing>
          </mc:Choice>
          <mc:Fallback>
            <w:pict>
              <v:shape w14:anchorId="636CB769" id="Textbox 187" o:spid="_x0000_s1100" type="#_x0000_t202" style="position:absolute;left:0;text-align:left;margin-left:575.75pt;margin-top:-2.6pt;width:6.7pt;height:22.65pt;z-index:251658280;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" filled="f" stroked="f">
                <v:textbox style="layout-flow:vertical;mso-layout-flow-alt:bottom-to-top" inset="0,0,0,0">
                  <w:txbxContent>
                    <w:p w14:paraId="0CAAA3D7" w14:textId="77777777" w:rsidR="0014798C" w:rsidRDefault="004E1F0B">
                      <w:pPr>
                        <w:spacing w:before="20"/>
                        <w:ind w:left="20"/>
                        <w:rPr>
                          <w:sz w:val="8"/>
                        </w:rPr>
                      </w:pPr>
                      <w:r>
                        <w:rPr>
                          <w:color w:val="FFFFFF"/>
                          <w:spacing w:val="-37"/>
                          <w:sz w:val="8"/>
                        </w:rPr>
                        <w:t>P–I</w:t>
                      </w:r>
                      <w:r>
                        <w:rPr>
                          <w:spacing w:val="-37"/>
                          <w:sz w:val="8"/>
                        </w:rPr>
                        <w:t>S</w:t>
                      </w:r>
                      <w:r>
                        <w:rPr>
                          <w:color w:val="FFFFFF"/>
                          <w:spacing w:val="-37"/>
                          <w:sz w:val="8"/>
                        </w:rPr>
                        <w:t>I</w:t>
                      </w:r>
                      <w:r>
                        <w:rPr>
                          <w:color w:val="FFFFFF"/>
                          <w:spacing w:val="-8"/>
                          <w:sz w:val="8"/>
                        </w:rPr>
                        <w:t xml:space="preserve"> </w:t>
                      </w:r>
                      <w:r>
                        <w:rPr>
                          <w:color w:val="FFFFFF"/>
                          <w:spacing w:val="-20"/>
                          <w:sz w:val="8"/>
                        </w:rPr>
                        <w:t>A</w:t>
                      </w:r>
                      <w:r>
                        <w:rPr>
                          <w:spacing w:val="-20"/>
                          <w:sz w:val="8"/>
                        </w:rPr>
                        <w:t>E</w:t>
                      </w:r>
                      <w:r>
                        <w:rPr>
                          <w:color w:val="FFFFFF"/>
                          <w:spacing w:val="-20"/>
                          <w:sz w:val="8"/>
                        </w:rPr>
                        <w:t>R</w:t>
                      </w:r>
                      <w:r>
                        <w:rPr>
                          <w:spacing w:val="-20"/>
                          <w:sz w:val="8"/>
                        </w:rPr>
                        <w:t>G</w:t>
                      </w:r>
                      <w:r>
                        <w:rPr>
                          <w:color w:val="FFFFFF"/>
                          <w:spacing w:val="-20"/>
                          <w:sz w:val="8"/>
                        </w:rPr>
                        <w:t>T</w:t>
                      </w:r>
                      <w:r>
                        <w:rPr>
                          <w:spacing w:val="-20"/>
                          <w:sz w:val="8"/>
                        </w:rPr>
                        <w:t>U</w:t>
                      </w:r>
                      <w:r>
                        <w:rPr>
                          <w:color w:val="FFFFFF"/>
                          <w:spacing w:val="-20"/>
                          <w:sz w:val="8"/>
                        </w:rPr>
                        <w:t>E</w:t>
                      </w:r>
                      <w:r>
                        <w:rPr>
                          <w:spacing w:val="-20"/>
                          <w:sz w:val="8"/>
                        </w:rPr>
                        <w:t>NDA</w:t>
                      </w:r>
                    </w:p>
                  </w:txbxContent>
                </v:textbox>
                <w10:wrap anchorx="page"/>
              </v:shape>
            </w:pict>
          </mc:Fallback>
        </mc:AlternateContent>
      </w:r>
      <w:r>
        <w:rPr>
          <w:w w:val="105"/>
          <w:sz w:val="15"/>
        </w:rPr>
        <w:t>SANCIONES</w:t>
      </w:r>
      <w:r>
        <w:rPr>
          <w:spacing w:val="-11"/>
          <w:w w:val="105"/>
          <w:sz w:val="15"/>
        </w:rPr>
        <w:t xml:space="preserve"> </w:t>
      </w:r>
      <w:r>
        <w:rPr>
          <w:w w:val="105"/>
          <w:sz w:val="15"/>
        </w:rPr>
        <w:t>EN</w:t>
      </w:r>
      <w:r>
        <w:rPr>
          <w:spacing w:val="-11"/>
          <w:w w:val="105"/>
          <w:sz w:val="15"/>
        </w:rPr>
        <w:t xml:space="preserve"> </w:t>
      </w:r>
      <w:r>
        <w:rPr>
          <w:w w:val="105"/>
          <w:sz w:val="15"/>
        </w:rPr>
        <w:t>EL</w:t>
      </w:r>
      <w:r>
        <w:rPr>
          <w:spacing w:val="-11"/>
          <w:w w:val="105"/>
          <w:sz w:val="15"/>
        </w:rPr>
        <w:t xml:space="preserve"> </w:t>
      </w:r>
      <w:r>
        <w:rPr>
          <w:w w:val="105"/>
          <w:sz w:val="15"/>
        </w:rPr>
        <w:t>TRIBUNAL</w:t>
      </w:r>
      <w:r>
        <w:rPr>
          <w:spacing w:val="-11"/>
          <w:w w:val="105"/>
          <w:sz w:val="15"/>
        </w:rPr>
        <w:t xml:space="preserve"> </w:t>
      </w:r>
      <w:r>
        <w:rPr>
          <w:w w:val="105"/>
          <w:sz w:val="15"/>
        </w:rPr>
        <w:t>DE</w:t>
      </w:r>
      <w:r>
        <w:rPr>
          <w:spacing w:val="-11"/>
          <w:w w:val="105"/>
          <w:sz w:val="15"/>
        </w:rPr>
        <w:t xml:space="preserve"> </w:t>
      </w:r>
      <w:r>
        <w:rPr>
          <w:w w:val="105"/>
          <w:sz w:val="15"/>
        </w:rPr>
        <w:t>JUSTICIA</w:t>
      </w:r>
      <w:r>
        <w:rPr>
          <w:spacing w:val="-11"/>
          <w:w w:val="105"/>
          <w:sz w:val="15"/>
        </w:rPr>
        <w:t xml:space="preserve"> </w:t>
      </w:r>
      <w:r>
        <w:rPr>
          <w:w w:val="105"/>
          <w:sz w:val="15"/>
        </w:rPr>
        <w:t>DE</w:t>
      </w:r>
      <w:r>
        <w:rPr>
          <w:spacing w:val="-11"/>
          <w:w w:val="105"/>
          <w:sz w:val="15"/>
        </w:rPr>
        <w:t xml:space="preserve"> </w:t>
      </w:r>
      <w:r>
        <w:rPr>
          <w:w w:val="105"/>
          <w:sz w:val="15"/>
        </w:rPr>
        <w:t>LA</w:t>
      </w:r>
      <w:r>
        <w:rPr>
          <w:spacing w:val="-11"/>
          <w:w w:val="105"/>
          <w:sz w:val="15"/>
        </w:rPr>
        <w:t xml:space="preserve"> </w:t>
      </w:r>
      <w:r>
        <w:rPr>
          <w:w w:val="105"/>
          <w:sz w:val="15"/>
        </w:rPr>
        <w:t>UNIÓN</w:t>
      </w:r>
      <w:r>
        <w:rPr>
          <w:spacing w:val="-11"/>
          <w:w w:val="105"/>
          <w:sz w:val="15"/>
        </w:rPr>
        <w:t xml:space="preserve"> </w:t>
      </w:r>
      <w:r>
        <w:rPr>
          <w:w w:val="105"/>
          <w:sz w:val="15"/>
        </w:rPr>
        <w:t>EUROPEA:</w:t>
      </w:r>
      <w:r>
        <w:rPr>
          <w:spacing w:val="-11"/>
          <w:w w:val="105"/>
          <w:sz w:val="15"/>
        </w:rPr>
        <w:t xml:space="preserve"> </w:t>
      </w:r>
      <w:r>
        <w:rPr>
          <w:w w:val="105"/>
          <w:sz w:val="15"/>
        </w:rPr>
        <w:t>EL</w:t>
      </w:r>
      <w:r>
        <w:rPr>
          <w:spacing w:val="-11"/>
          <w:w w:val="105"/>
          <w:sz w:val="15"/>
        </w:rPr>
        <w:t xml:space="preserve"> </w:t>
      </w:r>
      <w:r>
        <w:rPr>
          <w:w w:val="105"/>
          <w:sz w:val="15"/>
        </w:rPr>
        <w:t xml:space="preserve">MARSHALL </w:t>
      </w:r>
      <w:r>
        <w:rPr>
          <w:spacing w:val="-2"/>
          <w:w w:val="105"/>
          <w:sz w:val="15"/>
        </w:rPr>
        <w:t>CASO595</w:t>
      </w:r>
    </w:p>
    <w:p w14:paraId="4C19BB3A" w14:textId="77777777" w:rsidR="0014798C" w:rsidRDefault="004E1F0B">
      <w:pPr>
        <w:spacing w:before="157"/>
        <w:ind w:left="1333"/>
        <w:rPr>
          <w:sz w:val="15"/>
        </w:rPr>
      </w:pPr>
      <w:r>
        <w:rPr>
          <w:spacing w:val="-2"/>
          <w:w w:val="105"/>
          <w:sz w:val="15"/>
        </w:rPr>
        <w:t>Helen</w:t>
      </w:r>
      <w:r>
        <w:rPr>
          <w:spacing w:val="-3"/>
          <w:w w:val="105"/>
          <w:sz w:val="15"/>
        </w:rPr>
        <w:t xml:space="preserve"> </w:t>
      </w:r>
      <w:r>
        <w:rPr>
          <w:spacing w:val="-2"/>
          <w:w w:val="105"/>
          <w:sz w:val="15"/>
        </w:rPr>
        <w:t>Marshall</w:t>
      </w:r>
      <w:r>
        <w:rPr>
          <w:spacing w:val="-3"/>
          <w:w w:val="105"/>
          <w:sz w:val="15"/>
        </w:rPr>
        <w:t xml:space="preserve"> </w:t>
      </w:r>
      <w:r>
        <w:rPr>
          <w:spacing w:val="-2"/>
          <w:w w:val="105"/>
          <w:sz w:val="15"/>
        </w:rPr>
        <w:t>era empleada</w:t>
      </w:r>
      <w:r>
        <w:rPr>
          <w:spacing w:val="-3"/>
          <w:w w:val="105"/>
          <w:sz w:val="15"/>
        </w:rPr>
        <w:t xml:space="preserve"> </w:t>
      </w:r>
      <w:r>
        <w:rPr>
          <w:spacing w:val="-2"/>
          <w:w w:val="105"/>
          <w:sz w:val="15"/>
        </w:rPr>
        <w:t>de</w:t>
      </w:r>
      <w:r>
        <w:rPr>
          <w:spacing w:val="-3"/>
          <w:w w:val="105"/>
          <w:sz w:val="15"/>
        </w:rPr>
        <w:t xml:space="preserve"> </w:t>
      </w:r>
      <w:r>
        <w:rPr>
          <w:spacing w:val="-2"/>
          <w:w w:val="105"/>
          <w:sz w:val="15"/>
        </w:rPr>
        <w:t>la</w:t>
      </w:r>
      <w:r>
        <w:rPr>
          <w:spacing w:val="-3"/>
          <w:w w:val="105"/>
          <w:sz w:val="15"/>
        </w:rPr>
        <w:t xml:space="preserve"> </w:t>
      </w:r>
      <w:r>
        <w:rPr>
          <w:spacing w:val="-2"/>
          <w:w w:val="105"/>
          <w:sz w:val="15"/>
        </w:rPr>
        <w:t>Autoridad Sanitaria</w:t>
      </w:r>
      <w:r>
        <w:rPr>
          <w:spacing w:val="-3"/>
          <w:w w:val="105"/>
          <w:sz w:val="15"/>
        </w:rPr>
        <w:t xml:space="preserve"> </w:t>
      </w:r>
      <w:r>
        <w:rPr>
          <w:spacing w:val="-2"/>
          <w:w w:val="105"/>
          <w:sz w:val="15"/>
        </w:rPr>
        <w:t>del</w:t>
      </w:r>
      <w:r>
        <w:rPr>
          <w:spacing w:val="-3"/>
          <w:w w:val="105"/>
          <w:sz w:val="15"/>
        </w:rPr>
        <w:t xml:space="preserve"> </w:t>
      </w:r>
      <w:r>
        <w:rPr>
          <w:spacing w:val="-2"/>
          <w:w w:val="105"/>
          <w:sz w:val="15"/>
        </w:rPr>
        <w:t>Área de</w:t>
      </w:r>
      <w:r>
        <w:rPr>
          <w:spacing w:val="-3"/>
          <w:w w:val="105"/>
          <w:sz w:val="15"/>
        </w:rPr>
        <w:t xml:space="preserve"> </w:t>
      </w:r>
      <w:r>
        <w:rPr>
          <w:spacing w:val="-2"/>
          <w:w w:val="105"/>
          <w:sz w:val="15"/>
        </w:rPr>
        <w:t>Southampton</w:t>
      </w:r>
      <w:r>
        <w:rPr>
          <w:spacing w:val="-3"/>
          <w:w w:val="105"/>
          <w:sz w:val="15"/>
        </w:rPr>
        <w:t xml:space="preserve"> </w:t>
      </w:r>
      <w:r>
        <w:rPr>
          <w:spacing w:val="-2"/>
          <w:w w:val="105"/>
          <w:sz w:val="15"/>
        </w:rPr>
        <w:t>y</w:t>
      </w:r>
      <w:r>
        <w:rPr>
          <w:spacing w:val="-3"/>
          <w:w w:val="105"/>
          <w:sz w:val="15"/>
        </w:rPr>
        <w:t xml:space="preserve"> </w:t>
      </w:r>
      <w:r>
        <w:rPr>
          <w:spacing w:val="-2"/>
          <w:w w:val="105"/>
          <w:sz w:val="15"/>
        </w:rPr>
        <w:t>South</w:t>
      </w:r>
      <w:r>
        <w:rPr>
          <w:spacing w:val="-3"/>
          <w:w w:val="105"/>
          <w:sz w:val="15"/>
        </w:rPr>
        <w:t xml:space="preserve"> </w:t>
      </w:r>
      <w:r>
        <w:rPr>
          <w:spacing w:val="-2"/>
          <w:w w:val="105"/>
          <w:sz w:val="15"/>
        </w:rPr>
        <w:t>West Hampshire.</w:t>
      </w:r>
    </w:p>
    <w:p w14:paraId="12307844" w14:textId="77777777" w:rsidR="0014798C" w:rsidRDefault="004E1F0B">
      <w:pPr>
        <w:spacing w:before="77" w:line="348" w:lineRule="auto"/>
        <w:ind w:left="1337" w:right="1463" w:hanging="5"/>
        <w:rPr>
          <w:sz w:val="15"/>
        </w:rPr>
      </w:pPr>
      <w:r>
        <w:rPr>
          <w:w w:val="105"/>
          <w:sz w:val="15"/>
        </w:rPr>
        <w:t>En</w:t>
      </w:r>
      <w:r>
        <w:rPr>
          <w:spacing w:val="-8"/>
          <w:w w:val="105"/>
          <w:sz w:val="15"/>
        </w:rPr>
        <w:t xml:space="preserve"> </w:t>
      </w:r>
      <w:r>
        <w:rPr>
          <w:w w:val="105"/>
          <w:sz w:val="15"/>
        </w:rPr>
        <w:t>1980</w:t>
      </w:r>
      <w:r>
        <w:rPr>
          <w:spacing w:val="-8"/>
          <w:w w:val="105"/>
          <w:sz w:val="15"/>
        </w:rPr>
        <w:t xml:space="preserve"> </w:t>
      </w:r>
      <w:r>
        <w:rPr>
          <w:w w:val="105"/>
          <w:sz w:val="15"/>
        </w:rPr>
        <w:t>fue</w:t>
      </w:r>
      <w:r>
        <w:rPr>
          <w:spacing w:val="-8"/>
          <w:w w:val="105"/>
          <w:sz w:val="15"/>
        </w:rPr>
        <w:t xml:space="preserve"> </w:t>
      </w:r>
      <w:r>
        <w:rPr>
          <w:w w:val="105"/>
          <w:sz w:val="15"/>
        </w:rPr>
        <w:t>despedida</w:t>
      </w:r>
      <w:r>
        <w:rPr>
          <w:spacing w:val="-8"/>
          <w:w w:val="105"/>
          <w:sz w:val="15"/>
        </w:rPr>
        <w:t xml:space="preserve"> </w:t>
      </w:r>
      <w:r>
        <w:rPr>
          <w:w w:val="105"/>
          <w:sz w:val="15"/>
        </w:rPr>
        <w:t>por</w:t>
      </w:r>
      <w:r>
        <w:rPr>
          <w:spacing w:val="-8"/>
          <w:w w:val="105"/>
          <w:sz w:val="15"/>
        </w:rPr>
        <w:t xml:space="preserve"> </w:t>
      </w:r>
      <w:r>
        <w:rPr>
          <w:w w:val="105"/>
          <w:sz w:val="15"/>
        </w:rPr>
        <w:t>el</w:t>
      </w:r>
      <w:r>
        <w:rPr>
          <w:spacing w:val="-8"/>
          <w:w w:val="105"/>
          <w:sz w:val="15"/>
        </w:rPr>
        <w:t xml:space="preserve"> </w:t>
      </w:r>
      <w:r>
        <w:rPr>
          <w:w w:val="105"/>
          <w:sz w:val="15"/>
        </w:rPr>
        <w:t>único</w:t>
      </w:r>
      <w:r>
        <w:rPr>
          <w:spacing w:val="-8"/>
          <w:w w:val="105"/>
          <w:sz w:val="15"/>
        </w:rPr>
        <w:t xml:space="preserve"> </w:t>
      </w:r>
      <w:r>
        <w:rPr>
          <w:w w:val="105"/>
          <w:sz w:val="15"/>
        </w:rPr>
        <w:t>motivo</w:t>
      </w:r>
      <w:r>
        <w:rPr>
          <w:spacing w:val="-8"/>
          <w:w w:val="105"/>
          <w:sz w:val="15"/>
        </w:rPr>
        <w:t xml:space="preserve"> </w:t>
      </w:r>
      <w:r>
        <w:rPr>
          <w:w w:val="105"/>
          <w:sz w:val="15"/>
        </w:rPr>
        <w:t>de</w:t>
      </w:r>
      <w:r>
        <w:rPr>
          <w:spacing w:val="-8"/>
          <w:w w:val="105"/>
          <w:sz w:val="15"/>
        </w:rPr>
        <w:t xml:space="preserve"> </w:t>
      </w:r>
      <w:r>
        <w:rPr>
          <w:w w:val="105"/>
          <w:sz w:val="15"/>
        </w:rPr>
        <w:t>haber</w:t>
      </w:r>
      <w:r>
        <w:rPr>
          <w:spacing w:val="-8"/>
          <w:w w:val="105"/>
          <w:sz w:val="15"/>
        </w:rPr>
        <w:t xml:space="preserve"> </w:t>
      </w:r>
      <w:r>
        <w:rPr>
          <w:w w:val="105"/>
          <w:sz w:val="15"/>
        </w:rPr>
        <w:t>superado</w:t>
      </w:r>
      <w:r>
        <w:rPr>
          <w:spacing w:val="-8"/>
          <w:w w:val="105"/>
          <w:sz w:val="15"/>
        </w:rPr>
        <w:t xml:space="preserve"> </w:t>
      </w:r>
      <w:r>
        <w:rPr>
          <w:w w:val="105"/>
          <w:sz w:val="15"/>
        </w:rPr>
        <w:t>los</w:t>
      </w:r>
      <w:r>
        <w:rPr>
          <w:spacing w:val="-8"/>
          <w:w w:val="105"/>
          <w:sz w:val="15"/>
        </w:rPr>
        <w:t xml:space="preserve"> </w:t>
      </w:r>
      <w:r>
        <w:rPr>
          <w:w w:val="105"/>
          <w:sz w:val="15"/>
        </w:rPr>
        <w:t>60</w:t>
      </w:r>
      <w:r>
        <w:rPr>
          <w:spacing w:val="-8"/>
          <w:w w:val="105"/>
          <w:sz w:val="15"/>
        </w:rPr>
        <w:t xml:space="preserve"> </w:t>
      </w:r>
      <w:r>
        <w:rPr>
          <w:w w:val="105"/>
          <w:sz w:val="15"/>
        </w:rPr>
        <w:t>años,</w:t>
      </w:r>
      <w:r>
        <w:rPr>
          <w:spacing w:val="-8"/>
          <w:w w:val="105"/>
          <w:sz w:val="15"/>
        </w:rPr>
        <w:t xml:space="preserve"> </w:t>
      </w:r>
      <w:r>
        <w:rPr>
          <w:w w:val="105"/>
          <w:sz w:val="15"/>
        </w:rPr>
        <w:t>edad</w:t>
      </w:r>
      <w:r>
        <w:rPr>
          <w:spacing w:val="-8"/>
          <w:w w:val="105"/>
          <w:sz w:val="15"/>
        </w:rPr>
        <w:t xml:space="preserve"> </w:t>
      </w:r>
      <w:r>
        <w:rPr>
          <w:w w:val="105"/>
          <w:sz w:val="15"/>
        </w:rPr>
        <w:t>a</w:t>
      </w:r>
      <w:r>
        <w:rPr>
          <w:spacing w:val="-8"/>
          <w:w w:val="105"/>
          <w:sz w:val="15"/>
        </w:rPr>
        <w:t xml:space="preserve"> </w:t>
      </w:r>
      <w:r>
        <w:rPr>
          <w:w w:val="105"/>
          <w:sz w:val="15"/>
        </w:rPr>
        <w:t>la</w:t>
      </w:r>
      <w:r>
        <w:rPr>
          <w:spacing w:val="-8"/>
          <w:w w:val="105"/>
          <w:sz w:val="15"/>
        </w:rPr>
        <w:t xml:space="preserve"> </w:t>
      </w:r>
      <w:r>
        <w:rPr>
          <w:w w:val="105"/>
          <w:sz w:val="15"/>
        </w:rPr>
        <w:t>que</w:t>
      </w:r>
      <w:r>
        <w:rPr>
          <w:spacing w:val="-8"/>
          <w:w w:val="105"/>
          <w:sz w:val="15"/>
        </w:rPr>
        <w:t xml:space="preserve"> </w:t>
      </w:r>
      <w:r>
        <w:rPr>
          <w:w w:val="105"/>
          <w:sz w:val="15"/>
        </w:rPr>
        <w:t>tenía</w:t>
      </w:r>
      <w:r>
        <w:rPr>
          <w:spacing w:val="-8"/>
          <w:w w:val="105"/>
          <w:sz w:val="15"/>
        </w:rPr>
        <w:t xml:space="preserve"> </w:t>
      </w:r>
      <w:r>
        <w:rPr>
          <w:w w:val="105"/>
          <w:sz w:val="15"/>
        </w:rPr>
        <w:t>derecho</w:t>
      </w:r>
      <w:r>
        <w:rPr>
          <w:spacing w:val="-8"/>
          <w:w w:val="105"/>
          <w:sz w:val="15"/>
        </w:rPr>
        <w:t xml:space="preserve"> </w:t>
      </w:r>
      <w:r>
        <w:rPr>
          <w:w w:val="105"/>
          <w:sz w:val="15"/>
        </w:rPr>
        <w:t>a</w:t>
      </w:r>
      <w:r>
        <w:rPr>
          <w:spacing w:val="-8"/>
          <w:w w:val="105"/>
          <w:sz w:val="15"/>
        </w:rPr>
        <w:t xml:space="preserve"> </w:t>
      </w:r>
      <w:r>
        <w:rPr>
          <w:w w:val="105"/>
          <w:sz w:val="15"/>
        </w:rPr>
        <w:t>recibir</w:t>
      </w:r>
      <w:r>
        <w:rPr>
          <w:spacing w:val="-8"/>
          <w:w w:val="105"/>
          <w:sz w:val="15"/>
        </w:rPr>
        <w:t xml:space="preserve"> </w:t>
      </w:r>
      <w:r>
        <w:rPr>
          <w:w w:val="105"/>
          <w:sz w:val="15"/>
        </w:rPr>
        <w:t>una</w:t>
      </w:r>
      <w:r>
        <w:rPr>
          <w:spacing w:val="-8"/>
          <w:w w:val="105"/>
          <w:sz w:val="15"/>
        </w:rPr>
        <w:t xml:space="preserve"> </w:t>
      </w:r>
      <w:r>
        <w:rPr>
          <w:w w:val="105"/>
          <w:sz w:val="15"/>
        </w:rPr>
        <w:t>pensión estatal. La edad de jubilación para los hombres era 65 años.</w:t>
      </w:r>
    </w:p>
    <w:p w14:paraId="68827429" w14:textId="77777777" w:rsidR="0014798C" w:rsidRDefault="004E1F0B">
      <w:pPr>
        <w:spacing w:before="112" w:line="348" w:lineRule="auto"/>
        <w:ind w:left="1334" w:right="1626" w:hanging="1"/>
        <w:rPr>
          <w:sz w:val="15"/>
        </w:rPr>
      </w:pPr>
      <w:r>
        <w:rPr>
          <w:w w:val="105"/>
          <w:sz w:val="15"/>
        </w:rPr>
        <w:t>La</w:t>
      </w:r>
      <w:r>
        <w:rPr>
          <w:spacing w:val="-5"/>
          <w:w w:val="105"/>
          <w:sz w:val="15"/>
        </w:rPr>
        <w:t xml:space="preserve"> </w:t>
      </w:r>
      <w:r>
        <w:rPr>
          <w:w w:val="105"/>
          <w:sz w:val="15"/>
        </w:rPr>
        <w:t>Sra.</w:t>
      </w:r>
      <w:r>
        <w:rPr>
          <w:spacing w:val="-5"/>
          <w:w w:val="105"/>
          <w:sz w:val="15"/>
        </w:rPr>
        <w:t xml:space="preserve"> </w:t>
      </w:r>
      <w:r>
        <w:rPr>
          <w:w w:val="105"/>
          <w:sz w:val="15"/>
        </w:rPr>
        <w:t>Marshall</w:t>
      </w:r>
      <w:r>
        <w:rPr>
          <w:spacing w:val="-5"/>
          <w:w w:val="105"/>
          <w:sz w:val="15"/>
        </w:rPr>
        <w:t xml:space="preserve"> </w:t>
      </w:r>
      <w:r>
        <w:rPr>
          <w:w w:val="105"/>
          <w:sz w:val="15"/>
        </w:rPr>
        <w:t>argumentó</w:t>
      </w:r>
      <w:r>
        <w:rPr>
          <w:spacing w:val="-5"/>
          <w:w w:val="105"/>
          <w:sz w:val="15"/>
        </w:rPr>
        <w:t xml:space="preserve"> </w:t>
      </w:r>
      <w:r>
        <w:rPr>
          <w:w w:val="105"/>
          <w:sz w:val="15"/>
        </w:rPr>
        <w:t>ante</w:t>
      </w:r>
      <w:r>
        <w:rPr>
          <w:spacing w:val="-5"/>
          <w:w w:val="105"/>
          <w:sz w:val="15"/>
        </w:rPr>
        <w:t xml:space="preserve"> </w:t>
      </w:r>
      <w:r>
        <w:rPr>
          <w:w w:val="105"/>
          <w:sz w:val="15"/>
        </w:rPr>
        <w:t>el</w:t>
      </w:r>
      <w:r>
        <w:rPr>
          <w:spacing w:val="-5"/>
          <w:w w:val="105"/>
          <w:sz w:val="15"/>
        </w:rPr>
        <w:t xml:space="preserve"> </w:t>
      </w:r>
      <w:r>
        <w:rPr>
          <w:w w:val="105"/>
          <w:sz w:val="15"/>
        </w:rPr>
        <w:t>tribunal</w:t>
      </w:r>
      <w:r>
        <w:rPr>
          <w:spacing w:val="-5"/>
          <w:w w:val="105"/>
          <w:sz w:val="15"/>
        </w:rPr>
        <w:t xml:space="preserve"> </w:t>
      </w:r>
      <w:r>
        <w:rPr>
          <w:w w:val="105"/>
          <w:sz w:val="15"/>
        </w:rPr>
        <w:t>nacional</w:t>
      </w:r>
      <w:r>
        <w:rPr>
          <w:spacing w:val="-5"/>
          <w:w w:val="105"/>
          <w:sz w:val="15"/>
        </w:rPr>
        <w:t xml:space="preserve"> </w:t>
      </w:r>
      <w:r>
        <w:rPr>
          <w:w w:val="105"/>
          <w:sz w:val="15"/>
        </w:rPr>
        <w:t>que</w:t>
      </w:r>
      <w:r>
        <w:rPr>
          <w:spacing w:val="-5"/>
          <w:w w:val="105"/>
          <w:sz w:val="15"/>
        </w:rPr>
        <w:t xml:space="preserve"> </w:t>
      </w:r>
      <w:r>
        <w:rPr>
          <w:w w:val="105"/>
          <w:sz w:val="15"/>
        </w:rPr>
        <w:t>el</w:t>
      </w:r>
      <w:r>
        <w:rPr>
          <w:spacing w:val="-5"/>
          <w:w w:val="105"/>
          <w:sz w:val="15"/>
        </w:rPr>
        <w:t xml:space="preserve"> </w:t>
      </w:r>
      <w:r>
        <w:rPr>
          <w:w w:val="105"/>
          <w:sz w:val="15"/>
        </w:rPr>
        <w:t>despido</w:t>
      </w:r>
      <w:r>
        <w:rPr>
          <w:spacing w:val="-5"/>
          <w:w w:val="105"/>
          <w:sz w:val="15"/>
        </w:rPr>
        <w:t xml:space="preserve"> </w:t>
      </w:r>
      <w:r>
        <w:rPr>
          <w:w w:val="105"/>
          <w:sz w:val="15"/>
        </w:rPr>
        <w:t>era</w:t>
      </w:r>
      <w:r>
        <w:rPr>
          <w:spacing w:val="-5"/>
          <w:w w:val="105"/>
          <w:sz w:val="15"/>
        </w:rPr>
        <w:t xml:space="preserve"> </w:t>
      </w:r>
      <w:r>
        <w:rPr>
          <w:w w:val="105"/>
          <w:sz w:val="15"/>
        </w:rPr>
        <w:t>contrario</w:t>
      </w:r>
      <w:r>
        <w:rPr>
          <w:spacing w:val="-5"/>
          <w:w w:val="105"/>
          <w:sz w:val="15"/>
        </w:rPr>
        <w:t xml:space="preserve"> </w:t>
      </w:r>
      <w:r>
        <w:rPr>
          <w:w w:val="105"/>
          <w:sz w:val="15"/>
        </w:rPr>
        <w:t>a</w:t>
      </w:r>
      <w:r>
        <w:rPr>
          <w:spacing w:val="-5"/>
          <w:w w:val="105"/>
          <w:sz w:val="15"/>
        </w:rPr>
        <w:t xml:space="preserve"> </w:t>
      </w:r>
      <w:r>
        <w:rPr>
          <w:w w:val="105"/>
          <w:sz w:val="15"/>
        </w:rPr>
        <w:t>la</w:t>
      </w:r>
      <w:r>
        <w:rPr>
          <w:spacing w:val="-5"/>
          <w:w w:val="105"/>
          <w:sz w:val="15"/>
        </w:rPr>
        <w:t xml:space="preserve"> </w:t>
      </w:r>
      <w:r>
        <w:rPr>
          <w:w w:val="105"/>
          <w:sz w:val="15"/>
        </w:rPr>
        <w:t>Directiva</w:t>
      </w:r>
      <w:r>
        <w:rPr>
          <w:spacing w:val="-5"/>
          <w:w w:val="105"/>
          <w:sz w:val="15"/>
        </w:rPr>
        <w:t xml:space="preserve"> </w:t>
      </w:r>
      <w:r>
        <w:rPr>
          <w:w w:val="105"/>
          <w:sz w:val="15"/>
        </w:rPr>
        <w:t>76/207/CEE</w:t>
      </w:r>
      <w:r>
        <w:rPr>
          <w:spacing w:val="-5"/>
          <w:w w:val="105"/>
          <w:sz w:val="15"/>
        </w:rPr>
        <w:t xml:space="preserve"> </w:t>
      </w:r>
      <w:r>
        <w:rPr>
          <w:w w:val="105"/>
          <w:sz w:val="15"/>
        </w:rPr>
        <w:t>del</w:t>
      </w:r>
      <w:r>
        <w:rPr>
          <w:spacing w:val="-5"/>
          <w:w w:val="105"/>
          <w:sz w:val="15"/>
        </w:rPr>
        <w:t xml:space="preserve"> </w:t>
      </w:r>
      <w:r>
        <w:rPr>
          <w:w w:val="105"/>
          <w:sz w:val="15"/>
        </w:rPr>
        <w:t>Consejo</w:t>
      </w:r>
      <w:r>
        <w:rPr>
          <w:spacing w:val="-5"/>
          <w:w w:val="105"/>
          <w:sz w:val="15"/>
        </w:rPr>
        <w:t xml:space="preserve"> </w:t>
      </w:r>
      <w:r>
        <w:rPr>
          <w:w w:val="105"/>
          <w:sz w:val="15"/>
        </w:rPr>
        <w:t>de</w:t>
      </w:r>
      <w:r>
        <w:rPr>
          <w:spacing w:val="-5"/>
          <w:w w:val="105"/>
          <w:sz w:val="15"/>
        </w:rPr>
        <w:t xml:space="preserve"> </w:t>
      </w:r>
      <w:r>
        <w:rPr>
          <w:w w:val="105"/>
          <w:sz w:val="15"/>
        </w:rPr>
        <w:t>la Unión</w:t>
      </w:r>
      <w:r>
        <w:rPr>
          <w:spacing w:val="-4"/>
          <w:w w:val="105"/>
          <w:sz w:val="15"/>
        </w:rPr>
        <w:t xml:space="preserve"> </w:t>
      </w:r>
      <w:r>
        <w:rPr>
          <w:w w:val="105"/>
          <w:sz w:val="15"/>
        </w:rPr>
        <w:t>Europea,</w:t>
      </w:r>
      <w:r>
        <w:rPr>
          <w:spacing w:val="-4"/>
          <w:w w:val="105"/>
          <w:sz w:val="15"/>
        </w:rPr>
        <w:t xml:space="preserve"> </w:t>
      </w:r>
      <w:r>
        <w:rPr>
          <w:w w:val="105"/>
          <w:sz w:val="15"/>
        </w:rPr>
        <w:t>de</w:t>
      </w:r>
      <w:r>
        <w:rPr>
          <w:spacing w:val="-4"/>
          <w:w w:val="105"/>
          <w:sz w:val="15"/>
        </w:rPr>
        <w:t xml:space="preserve"> </w:t>
      </w:r>
      <w:r>
        <w:rPr>
          <w:w w:val="105"/>
          <w:sz w:val="15"/>
        </w:rPr>
        <w:t>9</w:t>
      </w:r>
      <w:r>
        <w:rPr>
          <w:spacing w:val="-4"/>
          <w:w w:val="105"/>
          <w:sz w:val="15"/>
        </w:rPr>
        <w:t xml:space="preserve"> </w:t>
      </w:r>
      <w:r>
        <w:rPr>
          <w:w w:val="105"/>
          <w:sz w:val="15"/>
        </w:rPr>
        <w:t>de</w:t>
      </w:r>
      <w:r>
        <w:rPr>
          <w:spacing w:val="-4"/>
          <w:w w:val="105"/>
          <w:sz w:val="15"/>
        </w:rPr>
        <w:t xml:space="preserve"> </w:t>
      </w:r>
      <w:r>
        <w:rPr>
          <w:w w:val="105"/>
          <w:sz w:val="15"/>
        </w:rPr>
        <w:t>febrero</w:t>
      </w:r>
      <w:r>
        <w:rPr>
          <w:spacing w:val="-4"/>
          <w:w w:val="105"/>
          <w:sz w:val="15"/>
        </w:rPr>
        <w:t xml:space="preserve"> </w:t>
      </w:r>
      <w:r>
        <w:rPr>
          <w:w w:val="105"/>
          <w:sz w:val="15"/>
        </w:rPr>
        <w:t>de</w:t>
      </w:r>
      <w:r>
        <w:rPr>
          <w:spacing w:val="-4"/>
          <w:w w:val="105"/>
          <w:sz w:val="15"/>
        </w:rPr>
        <w:t xml:space="preserve"> </w:t>
      </w:r>
      <w:r>
        <w:rPr>
          <w:w w:val="105"/>
          <w:sz w:val="15"/>
        </w:rPr>
        <w:t>1976,</w:t>
      </w:r>
      <w:r>
        <w:rPr>
          <w:spacing w:val="-4"/>
          <w:w w:val="105"/>
          <w:sz w:val="15"/>
        </w:rPr>
        <w:t xml:space="preserve"> </w:t>
      </w:r>
      <w:r>
        <w:rPr>
          <w:w w:val="105"/>
          <w:sz w:val="15"/>
        </w:rPr>
        <w:t>sobre</w:t>
      </w:r>
      <w:r>
        <w:rPr>
          <w:spacing w:val="-4"/>
          <w:w w:val="105"/>
          <w:sz w:val="15"/>
        </w:rPr>
        <w:t xml:space="preserve"> </w:t>
      </w:r>
      <w:r>
        <w:rPr>
          <w:w w:val="105"/>
          <w:sz w:val="15"/>
        </w:rPr>
        <w:t>la</w:t>
      </w:r>
      <w:r>
        <w:rPr>
          <w:spacing w:val="-4"/>
          <w:w w:val="105"/>
          <w:sz w:val="15"/>
        </w:rPr>
        <w:t xml:space="preserve"> </w:t>
      </w:r>
      <w:r>
        <w:rPr>
          <w:w w:val="105"/>
          <w:sz w:val="15"/>
        </w:rPr>
        <w:t>aplicación</w:t>
      </w:r>
      <w:r>
        <w:rPr>
          <w:spacing w:val="-4"/>
          <w:w w:val="105"/>
          <w:sz w:val="15"/>
        </w:rPr>
        <w:t xml:space="preserve"> </w:t>
      </w:r>
      <w:r>
        <w:rPr>
          <w:w w:val="105"/>
          <w:sz w:val="15"/>
        </w:rPr>
        <w:t>del</w:t>
      </w:r>
      <w:r>
        <w:rPr>
          <w:spacing w:val="-4"/>
          <w:w w:val="105"/>
          <w:sz w:val="15"/>
        </w:rPr>
        <w:t xml:space="preserve"> </w:t>
      </w:r>
      <w:r>
        <w:rPr>
          <w:w w:val="105"/>
          <w:sz w:val="15"/>
        </w:rPr>
        <w:t>principio</w:t>
      </w:r>
      <w:r>
        <w:rPr>
          <w:spacing w:val="-4"/>
          <w:w w:val="105"/>
          <w:sz w:val="15"/>
        </w:rPr>
        <w:t xml:space="preserve"> </w:t>
      </w:r>
      <w:r>
        <w:rPr>
          <w:w w:val="105"/>
          <w:sz w:val="15"/>
        </w:rPr>
        <w:t>de</w:t>
      </w:r>
      <w:r>
        <w:rPr>
          <w:spacing w:val="-4"/>
          <w:w w:val="105"/>
          <w:sz w:val="15"/>
        </w:rPr>
        <w:t xml:space="preserve"> </w:t>
      </w:r>
      <w:r>
        <w:rPr>
          <w:w w:val="105"/>
          <w:sz w:val="15"/>
        </w:rPr>
        <w:t>igualdad</w:t>
      </w:r>
      <w:r>
        <w:rPr>
          <w:spacing w:val="-4"/>
          <w:w w:val="105"/>
          <w:sz w:val="15"/>
        </w:rPr>
        <w:t xml:space="preserve"> </w:t>
      </w:r>
      <w:r>
        <w:rPr>
          <w:w w:val="105"/>
          <w:sz w:val="15"/>
        </w:rPr>
        <w:t>de</w:t>
      </w:r>
      <w:r>
        <w:rPr>
          <w:spacing w:val="-4"/>
          <w:w w:val="105"/>
          <w:sz w:val="15"/>
        </w:rPr>
        <w:t xml:space="preserve"> </w:t>
      </w:r>
      <w:r>
        <w:rPr>
          <w:w w:val="105"/>
          <w:sz w:val="15"/>
        </w:rPr>
        <w:t>trato</w:t>
      </w:r>
      <w:r>
        <w:rPr>
          <w:spacing w:val="-4"/>
          <w:w w:val="105"/>
          <w:sz w:val="15"/>
        </w:rPr>
        <w:t xml:space="preserve"> </w:t>
      </w:r>
      <w:r>
        <w:rPr>
          <w:w w:val="105"/>
          <w:sz w:val="15"/>
        </w:rPr>
        <w:t>entre</w:t>
      </w:r>
      <w:r>
        <w:rPr>
          <w:spacing w:val="-4"/>
          <w:w w:val="105"/>
          <w:sz w:val="15"/>
        </w:rPr>
        <w:t xml:space="preserve"> </w:t>
      </w:r>
      <w:r>
        <w:rPr>
          <w:w w:val="105"/>
          <w:sz w:val="15"/>
        </w:rPr>
        <w:t>hombres</w:t>
      </w:r>
      <w:r>
        <w:rPr>
          <w:spacing w:val="-4"/>
          <w:w w:val="105"/>
          <w:sz w:val="15"/>
        </w:rPr>
        <w:t xml:space="preserve"> </w:t>
      </w:r>
      <w:r>
        <w:rPr>
          <w:w w:val="105"/>
          <w:sz w:val="15"/>
        </w:rPr>
        <w:t>y</w:t>
      </w:r>
      <w:r>
        <w:rPr>
          <w:spacing w:val="-4"/>
          <w:w w:val="105"/>
          <w:sz w:val="15"/>
        </w:rPr>
        <w:t xml:space="preserve"> </w:t>
      </w:r>
      <w:r>
        <w:rPr>
          <w:w w:val="105"/>
          <w:sz w:val="15"/>
        </w:rPr>
        <w:t>mujeres</w:t>
      </w:r>
      <w:r>
        <w:rPr>
          <w:spacing w:val="-4"/>
          <w:w w:val="105"/>
          <w:sz w:val="15"/>
        </w:rPr>
        <w:t xml:space="preserve"> </w:t>
      </w:r>
      <w:r>
        <w:rPr>
          <w:w w:val="105"/>
          <w:sz w:val="15"/>
        </w:rPr>
        <w:t>en</w:t>
      </w:r>
      <w:r>
        <w:rPr>
          <w:spacing w:val="-4"/>
          <w:w w:val="105"/>
          <w:sz w:val="15"/>
        </w:rPr>
        <w:t xml:space="preserve"> </w:t>
      </w:r>
      <w:r>
        <w:rPr>
          <w:w w:val="105"/>
          <w:sz w:val="15"/>
        </w:rPr>
        <w:t>lo que</w:t>
      </w:r>
      <w:r>
        <w:rPr>
          <w:spacing w:val="-10"/>
          <w:w w:val="105"/>
          <w:sz w:val="15"/>
        </w:rPr>
        <w:t xml:space="preserve"> </w:t>
      </w:r>
      <w:r>
        <w:rPr>
          <w:w w:val="105"/>
          <w:sz w:val="15"/>
        </w:rPr>
        <w:t>respecta</w:t>
      </w:r>
      <w:r>
        <w:rPr>
          <w:spacing w:val="-10"/>
          <w:w w:val="105"/>
          <w:sz w:val="15"/>
        </w:rPr>
        <w:t xml:space="preserve"> </w:t>
      </w:r>
      <w:r>
        <w:rPr>
          <w:w w:val="105"/>
          <w:sz w:val="15"/>
        </w:rPr>
        <w:t>al</w:t>
      </w:r>
      <w:r>
        <w:rPr>
          <w:spacing w:val="-10"/>
          <w:w w:val="105"/>
          <w:sz w:val="15"/>
        </w:rPr>
        <w:t xml:space="preserve"> </w:t>
      </w:r>
      <w:r>
        <w:rPr>
          <w:w w:val="105"/>
          <w:sz w:val="15"/>
        </w:rPr>
        <w:t>acceso</w:t>
      </w:r>
      <w:r>
        <w:rPr>
          <w:spacing w:val="-10"/>
          <w:w w:val="105"/>
          <w:sz w:val="15"/>
        </w:rPr>
        <w:t xml:space="preserve"> </w:t>
      </w:r>
      <w:r>
        <w:rPr>
          <w:w w:val="105"/>
          <w:sz w:val="15"/>
        </w:rPr>
        <w:t>al</w:t>
      </w:r>
      <w:r>
        <w:rPr>
          <w:spacing w:val="-10"/>
          <w:w w:val="105"/>
          <w:sz w:val="15"/>
        </w:rPr>
        <w:t xml:space="preserve"> </w:t>
      </w:r>
      <w:r>
        <w:rPr>
          <w:w w:val="105"/>
          <w:sz w:val="15"/>
        </w:rPr>
        <w:t>empleo,</w:t>
      </w:r>
      <w:r>
        <w:rPr>
          <w:spacing w:val="-10"/>
          <w:w w:val="105"/>
          <w:sz w:val="15"/>
        </w:rPr>
        <w:t xml:space="preserve"> </w:t>
      </w:r>
      <w:r>
        <w:rPr>
          <w:w w:val="105"/>
          <w:sz w:val="15"/>
        </w:rPr>
        <w:t>a</w:t>
      </w:r>
      <w:r>
        <w:rPr>
          <w:spacing w:val="-10"/>
          <w:w w:val="105"/>
          <w:sz w:val="15"/>
        </w:rPr>
        <w:t xml:space="preserve"> </w:t>
      </w:r>
      <w:r>
        <w:rPr>
          <w:w w:val="105"/>
          <w:sz w:val="15"/>
        </w:rPr>
        <w:t>la</w:t>
      </w:r>
      <w:r>
        <w:rPr>
          <w:spacing w:val="-10"/>
          <w:w w:val="105"/>
          <w:sz w:val="15"/>
        </w:rPr>
        <w:t xml:space="preserve"> </w:t>
      </w:r>
      <w:r>
        <w:rPr>
          <w:w w:val="105"/>
          <w:sz w:val="15"/>
        </w:rPr>
        <w:t>formación</w:t>
      </w:r>
      <w:r>
        <w:rPr>
          <w:spacing w:val="-10"/>
          <w:w w:val="105"/>
          <w:sz w:val="15"/>
        </w:rPr>
        <w:t xml:space="preserve"> </w:t>
      </w:r>
      <w:r>
        <w:rPr>
          <w:w w:val="105"/>
          <w:sz w:val="15"/>
        </w:rPr>
        <w:t>profesional</w:t>
      </w:r>
      <w:r>
        <w:rPr>
          <w:spacing w:val="-10"/>
          <w:w w:val="105"/>
          <w:sz w:val="15"/>
        </w:rPr>
        <w:t xml:space="preserve"> </w:t>
      </w:r>
      <w:r>
        <w:rPr>
          <w:w w:val="105"/>
          <w:sz w:val="15"/>
        </w:rPr>
        <w:t>y</w:t>
      </w:r>
      <w:r>
        <w:rPr>
          <w:spacing w:val="-10"/>
          <w:w w:val="105"/>
          <w:sz w:val="15"/>
        </w:rPr>
        <w:t xml:space="preserve"> </w:t>
      </w:r>
      <w:r>
        <w:rPr>
          <w:w w:val="105"/>
          <w:sz w:val="15"/>
        </w:rPr>
        <w:t>promoción</w:t>
      </w:r>
      <w:r>
        <w:rPr>
          <w:spacing w:val="-10"/>
          <w:w w:val="105"/>
          <w:sz w:val="15"/>
        </w:rPr>
        <w:t xml:space="preserve"> </w:t>
      </w:r>
      <w:r>
        <w:rPr>
          <w:w w:val="105"/>
          <w:sz w:val="15"/>
        </w:rPr>
        <w:t>y</w:t>
      </w:r>
      <w:r>
        <w:rPr>
          <w:spacing w:val="-10"/>
          <w:w w:val="105"/>
          <w:sz w:val="15"/>
        </w:rPr>
        <w:t xml:space="preserve"> </w:t>
      </w:r>
      <w:r>
        <w:rPr>
          <w:w w:val="105"/>
          <w:sz w:val="15"/>
        </w:rPr>
        <w:t>condiciones</w:t>
      </w:r>
      <w:r>
        <w:rPr>
          <w:spacing w:val="-10"/>
          <w:w w:val="105"/>
          <w:sz w:val="15"/>
        </w:rPr>
        <w:t xml:space="preserve"> </w:t>
      </w:r>
      <w:r>
        <w:rPr>
          <w:w w:val="105"/>
          <w:sz w:val="15"/>
        </w:rPr>
        <w:t>de</w:t>
      </w:r>
      <w:r>
        <w:rPr>
          <w:spacing w:val="-10"/>
          <w:w w:val="105"/>
          <w:sz w:val="15"/>
        </w:rPr>
        <w:t xml:space="preserve"> </w:t>
      </w:r>
      <w:r>
        <w:rPr>
          <w:w w:val="105"/>
          <w:sz w:val="15"/>
        </w:rPr>
        <w:t>trabajo.</w:t>
      </w:r>
      <w:r>
        <w:rPr>
          <w:spacing w:val="-10"/>
          <w:w w:val="105"/>
          <w:sz w:val="15"/>
        </w:rPr>
        <w:t xml:space="preserve"> </w:t>
      </w:r>
      <w:r>
        <w:rPr>
          <w:w w:val="105"/>
          <w:sz w:val="15"/>
        </w:rPr>
        <w:t>Solicitó</w:t>
      </w:r>
      <w:r>
        <w:rPr>
          <w:spacing w:val="-10"/>
          <w:w w:val="105"/>
          <w:sz w:val="15"/>
        </w:rPr>
        <w:t xml:space="preserve"> </w:t>
      </w:r>
      <w:r>
        <w:rPr>
          <w:w w:val="105"/>
          <w:sz w:val="15"/>
        </w:rPr>
        <w:t>una</w:t>
      </w:r>
      <w:r>
        <w:rPr>
          <w:spacing w:val="-10"/>
          <w:w w:val="105"/>
          <w:sz w:val="15"/>
        </w:rPr>
        <w:t xml:space="preserve"> </w:t>
      </w:r>
      <w:r>
        <w:rPr>
          <w:w w:val="105"/>
          <w:sz w:val="15"/>
        </w:rPr>
        <w:t>indemnización adecuada por su pérdida de ingresos.</w:t>
      </w:r>
    </w:p>
    <w:p w14:paraId="6FAF3038" w14:textId="77777777" w:rsidR="0014798C" w:rsidRDefault="004E1F0B">
      <w:pPr>
        <w:spacing w:line="348" w:lineRule="auto"/>
        <w:ind w:left="1332" w:right="1272"/>
        <w:rPr>
          <w:sz w:val="15"/>
        </w:rPr>
      </w:pPr>
      <w:r>
        <w:rPr>
          <w:w w:val="105"/>
          <w:sz w:val="15"/>
        </w:rPr>
        <w:t>Los</w:t>
      </w:r>
      <w:r>
        <w:rPr>
          <w:spacing w:val="-4"/>
          <w:w w:val="105"/>
          <w:sz w:val="15"/>
        </w:rPr>
        <w:t xml:space="preserve"> </w:t>
      </w:r>
      <w:r>
        <w:rPr>
          <w:w w:val="105"/>
          <w:sz w:val="15"/>
        </w:rPr>
        <w:t>tribunales</w:t>
      </w:r>
      <w:r>
        <w:rPr>
          <w:spacing w:val="-4"/>
          <w:w w:val="105"/>
          <w:sz w:val="15"/>
        </w:rPr>
        <w:t xml:space="preserve"> </w:t>
      </w:r>
      <w:r>
        <w:rPr>
          <w:w w:val="105"/>
          <w:sz w:val="15"/>
        </w:rPr>
        <w:t>nacionales</w:t>
      </w:r>
      <w:r>
        <w:rPr>
          <w:spacing w:val="-4"/>
          <w:w w:val="105"/>
          <w:sz w:val="15"/>
        </w:rPr>
        <w:t xml:space="preserve"> </w:t>
      </w:r>
      <w:r>
        <w:rPr>
          <w:w w:val="105"/>
          <w:sz w:val="15"/>
        </w:rPr>
        <w:t>fallaron</w:t>
      </w:r>
      <w:r>
        <w:rPr>
          <w:spacing w:val="-4"/>
          <w:w w:val="105"/>
          <w:sz w:val="15"/>
        </w:rPr>
        <w:t xml:space="preserve"> </w:t>
      </w:r>
      <w:r>
        <w:rPr>
          <w:w w:val="105"/>
          <w:sz w:val="15"/>
        </w:rPr>
        <w:t>a</w:t>
      </w:r>
      <w:r>
        <w:rPr>
          <w:spacing w:val="-4"/>
          <w:w w:val="105"/>
          <w:sz w:val="15"/>
        </w:rPr>
        <w:t xml:space="preserve"> </w:t>
      </w:r>
      <w:r>
        <w:rPr>
          <w:w w:val="105"/>
          <w:sz w:val="15"/>
        </w:rPr>
        <w:t>favor</w:t>
      </w:r>
      <w:r>
        <w:rPr>
          <w:spacing w:val="-4"/>
          <w:w w:val="105"/>
          <w:sz w:val="15"/>
        </w:rPr>
        <w:t xml:space="preserve"> </w:t>
      </w:r>
      <w:r>
        <w:rPr>
          <w:w w:val="105"/>
          <w:sz w:val="15"/>
        </w:rPr>
        <w:t>de</w:t>
      </w:r>
      <w:r>
        <w:rPr>
          <w:spacing w:val="-4"/>
          <w:w w:val="105"/>
          <w:sz w:val="15"/>
        </w:rPr>
        <w:t xml:space="preserve"> </w:t>
      </w:r>
      <w:r>
        <w:rPr>
          <w:w w:val="105"/>
          <w:sz w:val="15"/>
        </w:rPr>
        <w:t>la</w:t>
      </w:r>
      <w:r>
        <w:rPr>
          <w:spacing w:val="-4"/>
          <w:w w:val="105"/>
          <w:sz w:val="15"/>
        </w:rPr>
        <w:t xml:space="preserve"> </w:t>
      </w:r>
      <w:r>
        <w:rPr>
          <w:w w:val="105"/>
          <w:sz w:val="15"/>
        </w:rPr>
        <w:t>Sra.</w:t>
      </w:r>
      <w:r>
        <w:rPr>
          <w:spacing w:val="-4"/>
          <w:w w:val="105"/>
          <w:sz w:val="15"/>
        </w:rPr>
        <w:t xml:space="preserve"> </w:t>
      </w:r>
      <w:r>
        <w:rPr>
          <w:w w:val="105"/>
          <w:sz w:val="15"/>
        </w:rPr>
        <w:t>Marshall.</w:t>
      </w:r>
      <w:r>
        <w:rPr>
          <w:spacing w:val="-3"/>
          <w:w w:val="105"/>
          <w:sz w:val="15"/>
        </w:rPr>
        <w:t xml:space="preserve"> </w:t>
      </w:r>
      <w:r>
        <w:rPr>
          <w:w w:val="105"/>
          <w:sz w:val="15"/>
        </w:rPr>
        <w:t>Sin</w:t>
      </w:r>
      <w:r>
        <w:rPr>
          <w:spacing w:val="-4"/>
          <w:w w:val="105"/>
          <w:sz w:val="15"/>
        </w:rPr>
        <w:t xml:space="preserve"> </w:t>
      </w:r>
      <w:r>
        <w:rPr>
          <w:w w:val="105"/>
          <w:sz w:val="15"/>
        </w:rPr>
        <w:t>embargo,</w:t>
      </w:r>
      <w:r>
        <w:rPr>
          <w:spacing w:val="-4"/>
          <w:w w:val="105"/>
          <w:sz w:val="15"/>
        </w:rPr>
        <w:t xml:space="preserve"> </w:t>
      </w:r>
      <w:r>
        <w:rPr>
          <w:w w:val="105"/>
          <w:sz w:val="15"/>
        </w:rPr>
        <w:t>según</w:t>
      </w:r>
      <w:r>
        <w:rPr>
          <w:spacing w:val="-4"/>
          <w:w w:val="105"/>
          <w:sz w:val="15"/>
        </w:rPr>
        <w:t xml:space="preserve"> </w:t>
      </w:r>
      <w:r>
        <w:rPr>
          <w:w w:val="105"/>
          <w:sz w:val="15"/>
        </w:rPr>
        <w:t>la</w:t>
      </w:r>
      <w:r>
        <w:rPr>
          <w:spacing w:val="-4"/>
          <w:w w:val="105"/>
          <w:sz w:val="15"/>
        </w:rPr>
        <w:t xml:space="preserve"> </w:t>
      </w:r>
      <w:r>
        <w:rPr>
          <w:w w:val="105"/>
          <w:sz w:val="15"/>
        </w:rPr>
        <w:t>Ley</w:t>
      </w:r>
      <w:r>
        <w:rPr>
          <w:spacing w:val="-4"/>
          <w:w w:val="105"/>
          <w:sz w:val="15"/>
        </w:rPr>
        <w:t xml:space="preserve"> </w:t>
      </w:r>
      <w:r>
        <w:rPr>
          <w:w w:val="105"/>
          <w:sz w:val="15"/>
        </w:rPr>
        <w:t>contra</w:t>
      </w:r>
      <w:r>
        <w:rPr>
          <w:spacing w:val="-4"/>
          <w:w w:val="105"/>
          <w:sz w:val="15"/>
        </w:rPr>
        <w:t xml:space="preserve"> </w:t>
      </w:r>
      <w:r>
        <w:rPr>
          <w:w w:val="105"/>
          <w:sz w:val="15"/>
        </w:rPr>
        <w:t>la</w:t>
      </w:r>
      <w:r>
        <w:rPr>
          <w:spacing w:val="-4"/>
          <w:w w:val="105"/>
          <w:sz w:val="15"/>
        </w:rPr>
        <w:t xml:space="preserve"> </w:t>
      </w:r>
      <w:r>
        <w:rPr>
          <w:w w:val="105"/>
          <w:sz w:val="15"/>
        </w:rPr>
        <w:t>Discriminación</w:t>
      </w:r>
      <w:r>
        <w:rPr>
          <w:spacing w:val="-4"/>
          <w:w w:val="105"/>
          <w:sz w:val="15"/>
        </w:rPr>
        <w:t xml:space="preserve"> </w:t>
      </w:r>
      <w:r>
        <w:rPr>
          <w:w w:val="105"/>
          <w:sz w:val="15"/>
        </w:rPr>
        <w:t>Sexual,</w:t>
      </w:r>
      <w:r>
        <w:rPr>
          <w:spacing w:val="-4"/>
          <w:w w:val="105"/>
          <w:sz w:val="15"/>
        </w:rPr>
        <w:t xml:space="preserve"> </w:t>
      </w:r>
      <w:r>
        <w:rPr>
          <w:w w:val="105"/>
          <w:sz w:val="15"/>
        </w:rPr>
        <w:t>la indemnización</w:t>
      </w:r>
      <w:r>
        <w:rPr>
          <w:spacing w:val="-10"/>
          <w:w w:val="105"/>
          <w:sz w:val="15"/>
        </w:rPr>
        <w:t xml:space="preserve"> </w:t>
      </w:r>
      <w:r>
        <w:rPr>
          <w:w w:val="105"/>
          <w:sz w:val="15"/>
        </w:rPr>
        <w:t>máxima</w:t>
      </w:r>
      <w:r>
        <w:rPr>
          <w:spacing w:val="-10"/>
          <w:w w:val="105"/>
          <w:sz w:val="15"/>
        </w:rPr>
        <w:t xml:space="preserve"> </w:t>
      </w:r>
      <w:r>
        <w:rPr>
          <w:w w:val="105"/>
          <w:sz w:val="15"/>
        </w:rPr>
        <w:t>que</w:t>
      </w:r>
      <w:r>
        <w:rPr>
          <w:spacing w:val="-10"/>
          <w:w w:val="105"/>
          <w:sz w:val="15"/>
        </w:rPr>
        <w:t xml:space="preserve"> </w:t>
      </w:r>
      <w:r>
        <w:rPr>
          <w:w w:val="105"/>
          <w:sz w:val="15"/>
        </w:rPr>
        <w:t>se</w:t>
      </w:r>
      <w:r>
        <w:rPr>
          <w:spacing w:val="-10"/>
          <w:w w:val="105"/>
          <w:sz w:val="15"/>
        </w:rPr>
        <w:t xml:space="preserve"> </w:t>
      </w:r>
      <w:r>
        <w:rPr>
          <w:w w:val="105"/>
          <w:sz w:val="15"/>
        </w:rPr>
        <w:t>podía</w:t>
      </w:r>
      <w:r>
        <w:rPr>
          <w:spacing w:val="-10"/>
          <w:w w:val="105"/>
          <w:sz w:val="15"/>
        </w:rPr>
        <w:t xml:space="preserve"> </w:t>
      </w:r>
      <w:r>
        <w:rPr>
          <w:w w:val="105"/>
          <w:sz w:val="15"/>
        </w:rPr>
        <w:t>conceder</w:t>
      </w:r>
      <w:r>
        <w:rPr>
          <w:spacing w:val="-10"/>
          <w:w w:val="105"/>
          <w:sz w:val="15"/>
        </w:rPr>
        <w:t xml:space="preserve"> </w:t>
      </w:r>
      <w:r>
        <w:rPr>
          <w:w w:val="105"/>
          <w:sz w:val="15"/>
        </w:rPr>
        <w:t>en</w:t>
      </w:r>
      <w:r>
        <w:rPr>
          <w:spacing w:val="-10"/>
          <w:w w:val="105"/>
          <w:sz w:val="15"/>
        </w:rPr>
        <w:t xml:space="preserve"> </w:t>
      </w:r>
      <w:r>
        <w:rPr>
          <w:w w:val="105"/>
          <w:sz w:val="15"/>
        </w:rPr>
        <w:t>cualquier</w:t>
      </w:r>
      <w:r>
        <w:rPr>
          <w:spacing w:val="-10"/>
          <w:w w:val="105"/>
          <w:sz w:val="15"/>
        </w:rPr>
        <w:t xml:space="preserve"> </w:t>
      </w:r>
      <w:r>
        <w:rPr>
          <w:w w:val="105"/>
          <w:sz w:val="15"/>
        </w:rPr>
        <w:t>caso</w:t>
      </w:r>
      <w:r>
        <w:rPr>
          <w:spacing w:val="-10"/>
          <w:w w:val="105"/>
          <w:sz w:val="15"/>
        </w:rPr>
        <w:t xml:space="preserve"> </w:t>
      </w:r>
      <w:r>
        <w:rPr>
          <w:w w:val="105"/>
          <w:sz w:val="15"/>
        </w:rPr>
        <w:t>de</w:t>
      </w:r>
      <w:r>
        <w:rPr>
          <w:spacing w:val="-10"/>
          <w:w w:val="105"/>
          <w:sz w:val="15"/>
        </w:rPr>
        <w:t xml:space="preserve"> </w:t>
      </w:r>
      <w:r>
        <w:rPr>
          <w:w w:val="105"/>
          <w:sz w:val="15"/>
        </w:rPr>
        <w:t>discriminación</w:t>
      </w:r>
      <w:r>
        <w:rPr>
          <w:spacing w:val="-10"/>
          <w:w w:val="105"/>
          <w:sz w:val="15"/>
        </w:rPr>
        <w:t xml:space="preserve"> </w:t>
      </w:r>
      <w:r>
        <w:rPr>
          <w:w w:val="105"/>
          <w:sz w:val="15"/>
        </w:rPr>
        <w:t>era</w:t>
      </w:r>
      <w:r>
        <w:rPr>
          <w:spacing w:val="-10"/>
          <w:w w:val="105"/>
          <w:sz w:val="15"/>
        </w:rPr>
        <w:t xml:space="preserve"> </w:t>
      </w:r>
      <w:r>
        <w:rPr>
          <w:w w:val="105"/>
          <w:sz w:val="15"/>
        </w:rPr>
        <w:t>de</w:t>
      </w:r>
      <w:r>
        <w:rPr>
          <w:spacing w:val="-10"/>
          <w:w w:val="105"/>
          <w:sz w:val="15"/>
        </w:rPr>
        <w:t xml:space="preserve"> </w:t>
      </w:r>
      <w:r>
        <w:rPr>
          <w:w w:val="105"/>
          <w:sz w:val="15"/>
        </w:rPr>
        <w:t>6.250</w:t>
      </w:r>
      <w:r>
        <w:rPr>
          <w:spacing w:val="-10"/>
          <w:w w:val="105"/>
          <w:sz w:val="15"/>
        </w:rPr>
        <w:t xml:space="preserve"> </w:t>
      </w:r>
      <w:r>
        <w:rPr>
          <w:w w:val="105"/>
          <w:sz w:val="15"/>
        </w:rPr>
        <w:t>libras.</w:t>
      </w:r>
      <w:r>
        <w:rPr>
          <w:spacing w:val="-10"/>
          <w:w w:val="105"/>
          <w:sz w:val="15"/>
        </w:rPr>
        <w:t xml:space="preserve"> </w:t>
      </w:r>
      <w:r>
        <w:rPr>
          <w:w w:val="105"/>
          <w:sz w:val="15"/>
        </w:rPr>
        <w:t>La</w:t>
      </w:r>
      <w:r>
        <w:rPr>
          <w:spacing w:val="-10"/>
          <w:w w:val="105"/>
          <w:sz w:val="15"/>
        </w:rPr>
        <w:t xml:space="preserve"> </w:t>
      </w:r>
      <w:r>
        <w:rPr>
          <w:w w:val="105"/>
          <w:sz w:val="15"/>
        </w:rPr>
        <w:t>señora</w:t>
      </w:r>
      <w:r>
        <w:rPr>
          <w:spacing w:val="-10"/>
          <w:w w:val="105"/>
          <w:sz w:val="15"/>
        </w:rPr>
        <w:t xml:space="preserve"> </w:t>
      </w:r>
      <w:r>
        <w:rPr>
          <w:w w:val="105"/>
          <w:sz w:val="15"/>
        </w:rPr>
        <w:t>Marshall</w:t>
      </w:r>
      <w:r>
        <w:rPr>
          <w:spacing w:val="-10"/>
          <w:w w:val="105"/>
          <w:sz w:val="15"/>
        </w:rPr>
        <w:t xml:space="preserve"> </w:t>
      </w:r>
      <w:r>
        <w:rPr>
          <w:w w:val="105"/>
          <w:sz w:val="15"/>
        </w:rPr>
        <w:t>apeló.</w:t>
      </w:r>
    </w:p>
    <w:p w14:paraId="2ED9C0B1" w14:textId="77777777" w:rsidR="0014798C" w:rsidRDefault="0014798C">
      <w:pPr>
        <w:pStyle w:val="Textoindependiente"/>
        <w:rPr>
          <w:sz w:val="15"/>
        </w:rPr>
      </w:pPr>
    </w:p>
    <w:p w14:paraId="72C212F3" w14:textId="77777777" w:rsidR="0014798C" w:rsidRDefault="0014798C">
      <w:pPr>
        <w:pStyle w:val="Textoindependiente"/>
        <w:spacing w:before="16"/>
        <w:rPr>
          <w:sz w:val="15"/>
        </w:rPr>
      </w:pPr>
    </w:p>
    <w:p w14:paraId="1A5DED84" w14:textId="77777777" w:rsidR="0014798C" w:rsidRDefault="004E1F0B">
      <w:pPr>
        <w:spacing w:line="348" w:lineRule="auto"/>
        <w:ind w:left="1333" w:right="1553" w:hanging="2"/>
        <w:rPr>
          <w:sz w:val="15"/>
        </w:rPr>
      </w:pPr>
      <w:r>
        <w:rPr>
          <w:w w:val="105"/>
          <w:sz w:val="15"/>
        </w:rPr>
        <w:t>El</w:t>
      </w:r>
      <w:r>
        <w:rPr>
          <w:spacing w:val="-4"/>
          <w:w w:val="105"/>
          <w:sz w:val="15"/>
        </w:rPr>
        <w:t xml:space="preserve"> </w:t>
      </w:r>
      <w:r>
        <w:rPr>
          <w:w w:val="105"/>
          <w:sz w:val="15"/>
        </w:rPr>
        <w:t>artículo</w:t>
      </w:r>
      <w:r>
        <w:rPr>
          <w:spacing w:val="-4"/>
          <w:w w:val="105"/>
          <w:sz w:val="15"/>
        </w:rPr>
        <w:t xml:space="preserve"> </w:t>
      </w:r>
      <w:r>
        <w:rPr>
          <w:w w:val="105"/>
          <w:sz w:val="15"/>
        </w:rPr>
        <w:t>6</w:t>
      </w:r>
      <w:r>
        <w:rPr>
          <w:spacing w:val="-4"/>
          <w:w w:val="105"/>
          <w:sz w:val="15"/>
        </w:rPr>
        <w:t xml:space="preserve"> </w:t>
      </w:r>
      <w:r>
        <w:rPr>
          <w:w w:val="105"/>
          <w:sz w:val="15"/>
        </w:rPr>
        <w:t>de</w:t>
      </w:r>
      <w:r>
        <w:rPr>
          <w:spacing w:val="-4"/>
          <w:w w:val="105"/>
          <w:sz w:val="15"/>
        </w:rPr>
        <w:t xml:space="preserve"> </w:t>
      </w:r>
      <w:r>
        <w:rPr>
          <w:w w:val="105"/>
          <w:sz w:val="15"/>
        </w:rPr>
        <w:t>la</w:t>
      </w:r>
      <w:r>
        <w:rPr>
          <w:spacing w:val="-4"/>
          <w:w w:val="105"/>
          <w:sz w:val="15"/>
        </w:rPr>
        <w:t xml:space="preserve"> </w:t>
      </w:r>
      <w:r>
        <w:rPr>
          <w:w w:val="105"/>
          <w:sz w:val="15"/>
        </w:rPr>
        <w:t>Directiva</w:t>
      </w:r>
      <w:r>
        <w:rPr>
          <w:spacing w:val="-4"/>
          <w:w w:val="105"/>
          <w:sz w:val="15"/>
        </w:rPr>
        <w:t xml:space="preserve"> </w:t>
      </w:r>
      <w:r>
        <w:rPr>
          <w:w w:val="105"/>
          <w:sz w:val="15"/>
        </w:rPr>
        <w:t>exige</w:t>
      </w:r>
      <w:r>
        <w:rPr>
          <w:spacing w:val="-4"/>
          <w:w w:val="105"/>
          <w:sz w:val="15"/>
        </w:rPr>
        <w:t xml:space="preserve"> </w:t>
      </w:r>
      <w:r>
        <w:rPr>
          <w:w w:val="105"/>
          <w:sz w:val="15"/>
        </w:rPr>
        <w:t>que</w:t>
      </w:r>
      <w:r>
        <w:rPr>
          <w:spacing w:val="-4"/>
          <w:w w:val="105"/>
          <w:sz w:val="15"/>
        </w:rPr>
        <w:t xml:space="preserve"> </w:t>
      </w:r>
      <w:r>
        <w:rPr>
          <w:w w:val="105"/>
          <w:sz w:val="15"/>
        </w:rPr>
        <w:t>los</w:t>
      </w:r>
      <w:r>
        <w:rPr>
          <w:spacing w:val="-4"/>
          <w:w w:val="105"/>
          <w:sz w:val="15"/>
        </w:rPr>
        <w:t xml:space="preserve"> </w:t>
      </w:r>
      <w:r>
        <w:rPr>
          <w:w w:val="105"/>
          <w:sz w:val="15"/>
        </w:rPr>
        <w:t>Estados</w:t>
      </w:r>
      <w:r>
        <w:rPr>
          <w:spacing w:val="-5"/>
          <w:w w:val="105"/>
          <w:sz w:val="15"/>
        </w:rPr>
        <w:t xml:space="preserve"> </w:t>
      </w:r>
      <w:r>
        <w:rPr>
          <w:w w:val="105"/>
          <w:sz w:val="15"/>
        </w:rPr>
        <w:t>miembros</w:t>
      </w:r>
      <w:r>
        <w:rPr>
          <w:spacing w:val="-4"/>
          <w:w w:val="105"/>
          <w:sz w:val="15"/>
        </w:rPr>
        <w:t xml:space="preserve"> </w:t>
      </w:r>
      <w:r>
        <w:rPr>
          <w:w w:val="105"/>
          <w:sz w:val="15"/>
        </w:rPr>
        <w:t>proporcionen</w:t>
      </w:r>
      <w:r>
        <w:rPr>
          <w:spacing w:val="-4"/>
          <w:w w:val="105"/>
          <w:sz w:val="15"/>
        </w:rPr>
        <w:t xml:space="preserve"> </w:t>
      </w:r>
      <w:r>
        <w:rPr>
          <w:w w:val="105"/>
          <w:sz w:val="15"/>
        </w:rPr>
        <w:t>una</w:t>
      </w:r>
      <w:r>
        <w:rPr>
          <w:spacing w:val="-4"/>
          <w:w w:val="105"/>
          <w:sz w:val="15"/>
        </w:rPr>
        <w:t xml:space="preserve"> </w:t>
      </w:r>
      <w:r>
        <w:rPr>
          <w:w w:val="105"/>
          <w:sz w:val="15"/>
        </w:rPr>
        <w:t>solución.</w:t>
      </w:r>
      <w:r>
        <w:rPr>
          <w:spacing w:val="-3"/>
          <w:w w:val="105"/>
          <w:sz w:val="15"/>
        </w:rPr>
        <w:t xml:space="preserve"> </w:t>
      </w:r>
      <w:r>
        <w:rPr>
          <w:w w:val="105"/>
          <w:sz w:val="15"/>
        </w:rPr>
        <w:t>El</w:t>
      </w:r>
      <w:r>
        <w:rPr>
          <w:spacing w:val="-4"/>
          <w:w w:val="105"/>
          <w:sz w:val="15"/>
        </w:rPr>
        <w:t xml:space="preserve"> </w:t>
      </w:r>
      <w:r>
        <w:rPr>
          <w:w w:val="105"/>
          <w:sz w:val="15"/>
        </w:rPr>
        <w:t>Tribunal</w:t>
      </w:r>
      <w:r>
        <w:rPr>
          <w:spacing w:val="-4"/>
          <w:w w:val="105"/>
          <w:sz w:val="15"/>
        </w:rPr>
        <w:t xml:space="preserve"> </w:t>
      </w:r>
      <w:r>
        <w:rPr>
          <w:w w:val="105"/>
          <w:sz w:val="15"/>
        </w:rPr>
        <w:t>de</w:t>
      </w:r>
      <w:r>
        <w:rPr>
          <w:spacing w:val="-4"/>
          <w:w w:val="105"/>
          <w:sz w:val="15"/>
        </w:rPr>
        <w:t xml:space="preserve"> </w:t>
      </w:r>
      <w:r>
        <w:rPr>
          <w:w w:val="105"/>
          <w:sz w:val="15"/>
        </w:rPr>
        <w:t>Justicia</w:t>
      </w:r>
      <w:r>
        <w:rPr>
          <w:spacing w:val="-4"/>
          <w:w w:val="105"/>
          <w:sz w:val="15"/>
        </w:rPr>
        <w:t xml:space="preserve"> </w:t>
      </w:r>
      <w:r>
        <w:rPr>
          <w:w w:val="105"/>
          <w:sz w:val="15"/>
        </w:rPr>
        <w:t>de</w:t>
      </w:r>
      <w:r>
        <w:rPr>
          <w:spacing w:val="-4"/>
          <w:w w:val="105"/>
          <w:sz w:val="15"/>
        </w:rPr>
        <w:t xml:space="preserve"> </w:t>
      </w:r>
      <w:r>
        <w:rPr>
          <w:w w:val="105"/>
          <w:sz w:val="15"/>
        </w:rPr>
        <w:t>la</w:t>
      </w:r>
      <w:r>
        <w:rPr>
          <w:spacing w:val="-4"/>
          <w:w w:val="105"/>
          <w:sz w:val="15"/>
        </w:rPr>
        <w:t xml:space="preserve"> </w:t>
      </w:r>
      <w:r>
        <w:rPr>
          <w:w w:val="105"/>
          <w:sz w:val="15"/>
        </w:rPr>
        <w:t>Unión Europea</w:t>
      </w:r>
      <w:r>
        <w:rPr>
          <w:spacing w:val="-4"/>
          <w:w w:val="105"/>
          <w:sz w:val="15"/>
        </w:rPr>
        <w:t xml:space="preserve"> </w:t>
      </w:r>
      <w:r>
        <w:rPr>
          <w:w w:val="105"/>
          <w:sz w:val="15"/>
        </w:rPr>
        <w:t>dictaminó</w:t>
      </w:r>
      <w:r>
        <w:rPr>
          <w:spacing w:val="-4"/>
          <w:w w:val="105"/>
          <w:sz w:val="15"/>
        </w:rPr>
        <w:t xml:space="preserve"> </w:t>
      </w:r>
      <w:r>
        <w:rPr>
          <w:w w:val="105"/>
          <w:sz w:val="15"/>
        </w:rPr>
        <w:t>que</w:t>
      </w:r>
      <w:r>
        <w:rPr>
          <w:spacing w:val="-4"/>
          <w:w w:val="105"/>
          <w:sz w:val="15"/>
        </w:rPr>
        <w:t xml:space="preserve"> </w:t>
      </w:r>
      <w:r>
        <w:rPr>
          <w:w w:val="105"/>
          <w:sz w:val="15"/>
        </w:rPr>
        <w:t>“la</w:t>
      </w:r>
      <w:r>
        <w:rPr>
          <w:spacing w:val="-4"/>
          <w:w w:val="105"/>
          <w:sz w:val="15"/>
        </w:rPr>
        <w:t xml:space="preserve"> </w:t>
      </w:r>
      <w:r>
        <w:rPr>
          <w:w w:val="105"/>
          <w:sz w:val="15"/>
        </w:rPr>
        <w:t>interpretación</w:t>
      </w:r>
      <w:r>
        <w:rPr>
          <w:spacing w:val="-4"/>
          <w:w w:val="105"/>
          <w:sz w:val="15"/>
        </w:rPr>
        <w:t xml:space="preserve"> </w:t>
      </w:r>
      <w:r>
        <w:rPr>
          <w:w w:val="105"/>
          <w:sz w:val="15"/>
        </w:rPr>
        <w:t>del</w:t>
      </w:r>
      <w:r>
        <w:rPr>
          <w:spacing w:val="-4"/>
          <w:w w:val="105"/>
          <w:sz w:val="15"/>
        </w:rPr>
        <w:t xml:space="preserve"> </w:t>
      </w:r>
      <w:r>
        <w:rPr>
          <w:w w:val="105"/>
          <w:sz w:val="15"/>
        </w:rPr>
        <w:t>artículo</w:t>
      </w:r>
      <w:r>
        <w:rPr>
          <w:spacing w:val="-4"/>
          <w:w w:val="105"/>
          <w:sz w:val="15"/>
        </w:rPr>
        <w:t xml:space="preserve"> </w:t>
      </w:r>
      <w:r>
        <w:rPr>
          <w:w w:val="105"/>
          <w:sz w:val="15"/>
        </w:rPr>
        <w:t>6...</w:t>
      </w:r>
      <w:r>
        <w:rPr>
          <w:spacing w:val="-4"/>
          <w:w w:val="105"/>
          <w:sz w:val="15"/>
        </w:rPr>
        <w:t xml:space="preserve"> </w:t>
      </w:r>
      <w:r>
        <w:rPr>
          <w:w w:val="105"/>
          <w:sz w:val="15"/>
        </w:rPr>
        <w:t>debe</w:t>
      </w:r>
      <w:r>
        <w:rPr>
          <w:spacing w:val="-4"/>
          <w:w w:val="105"/>
          <w:sz w:val="15"/>
        </w:rPr>
        <w:t xml:space="preserve"> </w:t>
      </w:r>
      <w:r>
        <w:rPr>
          <w:w w:val="105"/>
          <w:sz w:val="15"/>
        </w:rPr>
        <w:t>ser</w:t>
      </w:r>
      <w:r>
        <w:rPr>
          <w:spacing w:val="-4"/>
          <w:w w:val="105"/>
          <w:sz w:val="15"/>
        </w:rPr>
        <w:t xml:space="preserve"> </w:t>
      </w:r>
      <w:r>
        <w:rPr>
          <w:w w:val="105"/>
          <w:sz w:val="15"/>
        </w:rPr>
        <w:t>que</w:t>
      </w:r>
      <w:r>
        <w:rPr>
          <w:spacing w:val="-4"/>
          <w:w w:val="105"/>
          <w:sz w:val="15"/>
        </w:rPr>
        <w:t xml:space="preserve"> </w:t>
      </w:r>
      <w:r>
        <w:rPr>
          <w:w w:val="105"/>
          <w:sz w:val="15"/>
        </w:rPr>
        <w:t>la</w:t>
      </w:r>
      <w:r>
        <w:rPr>
          <w:spacing w:val="-4"/>
          <w:w w:val="105"/>
          <w:sz w:val="15"/>
        </w:rPr>
        <w:t xml:space="preserve"> </w:t>
      </w:r>
      <w:r>
        <w:rPr>
          <w:w w:val="105"/>
          <w:sz w:val="15"/>
        </w:rPr>
        <w:t>reparación</w:t>
      </w:r>
      <w:r>
        <w:rPr>
          <w:spacing w:val="-4"/>
          <w:w w:val="105"/>
          <w:sz w:val="15"/>
        </w:rPr>
        <w:t xml:space="preserve"> </w:t>
      </w:r>
      <w:r>
        <w:rPr>
          <w:w w:val="105"/>
          <w:sz w:val="15"/>
        </w:rPr>
        <w:t>de</w:t>
      </w:r>
      <w:r>
        <w:rPr>
          <w:spacing w:val="-4"/>
          <w:w w:val="105"/>
          <w:sz w:val="15"/>
        </w:rPr>
        <w:t xml:space="preserve"> </w:t>
      </w:r>
      <w:r>
        <w:rPr>
          <w:w w:val="105"/>
          <w:sz w:val="15"/>
        </w:rPr>
        <w:t>los</w:t>
      </w:r>
      <w:r>
        <w:rPr>
          <w:spacing w:val="-4"/>
          <w:w w:val="105"/>
          <w:sz w:val="15"/>
        </w:rPr>
        <w:t xml:space="preserve"> </w:t>
      </w:r>
      <w:r>
        <w:rPr>
          <w:w w:val="105"/>
          <w:sz w:val="15"/>
        </w:rPr>
        <w:t>daños</w:t>
      </w:r>
      <w:r>
        <w:rPr>
          <w:spacing w:val="-4"/>
          <w:w w:val="105"/>
          <w:sz w:val="15"/>
        </w:rPr>
        <w:t xml:space="preserve"> </w:t>
      </w:r>
      <w:r>
        <w:rPr>
          <w:w w:val="105"/>
          <w:sz w:val="15"/>
        </w:rPr>
        <w:t>sufridos</w:t>
      </w:r>
      <w:r>
        <w:rPr>
          <w:spacing w:val="-4"/>
          <w:w w:val="105"/>
          <w:sz w:val="15"/>
        </w:rPr>
        <w:t xml:space="preserve"> </w:t>
      </w:r>
      <w:r>
        <w:rPr>
          <w:w w:val="105"/>
          <w:sz w:val="15"/>
        </w:rPr>
        <w:t>por</w:t>
      </w:r>
      <w:r>
        <w:rPr>
          <w:spacing w:val="-4"/>
          <w:w w:val="105"/>
          <w:sz w:val="15"/>
        </w:rPr>
        <w:t xml:space="preserve"> </w:t>
      </w:r>
      <w:r>
        <w:rPr>
          <w:w w:val="105"/>
          <w:sz w:val="15"/>
        </w:rPr>
        <w:t>una</w:t>
      </w:r>
      <w:r>
        <w:rPr>
          <w:spacing w:val="-4"/>
          <w:w w:val="105"/>
          <w:sz w:val="15"/>
        </w:rPr>
        <w:t xml:space="preserve"> </w:t>
      </w:r>
      <w:r>
        <w:rPr>
          <w:w w:val="105"/>
          <w:sz w:val="15"/>
        </w:rPr>
        <w:t>persona perjudicada</w:t>
      </w:r>
      <w:r>
        <w:rPr>
          <w:spacing w:val="-9"/>
          <w:w w:val="105"/>
          <w:sz w:val="15"/>
        </w:rPr>
        <w:t xml:space="preserve"> </w:t>
      </w:r>
      <w:r>
        <w:rPr>
          <w:w w:val="105"/>
          <w:sz w:val="15"/>
        </w:rPr>
        <w:t>como</w:t>
      </w:r>
      <w:r>
        <w:rPr>
          <w:spacing w:val="-9"/>
          <w:w w:val="105"/>
          <w:sz w:val="15"/>
        </w:rPr>
        <w:t xml:space="preserve"> </w:t>
      </w:r>
      <w:r>
        <w:rPr>
          <w:w w:val="105"/>
          <w:sz w:val="15"/>
        </w:rPr>
        <w:t>resultado</w:t>
      </w:r>
      <w:r>
        <w:rPr>
          <w:spacing w:val="-9"/>
          <w:w w:val="105"/>
          <w:sz w:val="15"/>
        </w:rPr>
        <w:t xml:space="preserve"> </w:t>
      </w:r>
      <w:r>
        <w:rPr>
          <w:w w:val="105"/>
          <w:sz w:val="15"/>
        </w:rPr>
        <w:t>de</w:t>
      </w:r>
      <w:r>
        <w:rPr>
          <w:spacing w:val="-9"/>
          <w:w w:val="105"/>
          <w:sz w:val="15"/>
        </w:rPr>
        <w:t xml:space="preserve"> </w:t>
      </w:r>
      <w:r>
        <w:rPr>
          <w:w w:val="105"/>
          <w:sz w:val="15"/>
        </w:rPr>
        <w:t>un</w:t>
      </w:r>
      <w:r>
        <w:rPr>
          <w:spacing w:val="-9"/>
          <w:w w:val="105"/>
          <w:sz w:val="15"/>
        </w:rPr>
        <w:t xml:space="preserve"> </w:t>
      </w:r>
      <w:r>
        <w:rPr>
          <w:w w:val="105"/>
          <w:sz w:val="15"/>
        </w:rPr>
        <w:t>despido</w:t>
      </w:r>
      <w:r>
        <w:rPr>
          <w:spacing w:val="-9"/>
          <w:w w:val="105"/>
          <w:sz w:val="15"/>
        </w:rPr>
        <w:t xml:space="preserve"> </w:t>
      </w:r>
      <w:r>
        <w:rPr>
          <w:w w:val="105"/>
          <w:sz w:val="15"/>
        </w:rPr>
        <w:t>discriminatorio</w:t>
      </w:r>
      <w:r>
        <w:rPr>
          <w:spacing w:val="-9"/>
          <w:w w:val="105"/>
          <w:sz w:val="15"/>
        </w:rPr>
        <w:t xml:space="preserve"> </w:t>
      </w:r>
      <w:r>
        <w:rPr>
          <w:w w:val="105"/>
          <w:sz w:val="15"/>
        </w:rPr>
        <w:t>no</w:t>
      </w:r>
      <w:r>
        <w:rPr>
          <w:spacing w:val="-9"/>
          <w:w w:val="105"/>
          <w:sz w:val="15"/>
        </w:rPr>
        <w:t xml:space="preserve"> </w:t>
      </w:r>
      <w:r>
        <w:rPr>
          <w:w w:val="105"/>
          <w:sz w:val="15"/>
        </w:rPr>
        <w:t>puede</w:t>
      </w:r>
      <w:r>
        <w:rPr>
          <w:spacing w:val="-9"/>
          <w:w w:val="105"/>
          <w:sz w:val="15"/>
        </w:rPr>
        <w:t xml:space="preserve"> </w:t>
      </w:r>
      <w:r>
        <w:rPr>
          <w:w w:val="105"/>
          <w:sz w:val="15"/>
        </w:rPr>
        <w:t>limitarse</w:t>
      </w:r>
      <w:r>
        <w:rPr>
          <w:spacing w:val="-9"/>
          <w:w w:val="105"/>
          <w:sz w:val="15"/>
        </w:rPr>
        <w:t xml:space="preserve"> </w:t>
      </w:r>
      <w:r>
        <w:rPr>
          <w:w w:val="105"/>
          <w:sz w:val="15"/>
        </w:rPr>
        <w:t>a</w:t>
      </w:r>
      <w:r>
        <w:rPr>
          <w:spacing w:val="-9"/>
          <w:w w:val="105"/>
          <w:sz w:val="15"/>
        </w:rPr>
        <w:t xml:space="preserve"> </w:t>
      </w:r>
      <w:r>
        <w:rPr>
          <w:w w:val="105"/>
          <w:sz w:val="15"/>
        </w:rPr>
        <w:t>un</w:t>
      </w:r>
      <w:r>
        <w:rPr>
          <w:spacing w:val="-9"/>
          <w:w w:val="105"/>
          <w:sz w:val="15"/>
        </w:rPr>
        <w:t xml:space="preserve"> </w:t>
      </w:r>
      <w:r>
        <w:rPr>
          <w:w w:val="105"/>
          <w:sz w:val="15"/>
        </w:rPr>
        <w:t>límite</w:t>
      </w:r>
      <w:r>
        <w:rPr>
          <w:spacing w:val="-9"/>
          <w:w w:val="105"/>
          <w:sz w:val="15"/>
        </w:rPr>
        <w:t xml:space="preserve"> </w:t>
      </w:r>
      <w:r>
        <w:rPr>
          <w:w w:val="105"/>
          <w:sz w:val="15"/>
        </w:rPr>
        <w:t>superior</w:t>
      </w:r>
      <w:r>
        <w:rPr>
          <w:spacing w:val="-9"/>
          <w:w w:val="105"/>
          <w:sz w:val="15"/>
        </w:rPr>
        <w:t xml:space="preserve"> </w:t>
      </w:r>
      <w:r>
        <w:rPr>
          <w:w w:val="105"/>
          <w:sz w:val="15"/>
        </w:rPr>
        <w:t>fijado</w:t>
      </w:r>
      <w:r>
        <w:rPr>
          <w:spacing w:val="-9"/>
          <w:w w:val="105"/>
          <w:sz w:val="15"/>
        </w:rPr>
        <w:t xml:space="preserve"> </w:t>
      </w:r>
      <w:r>
        <w:rPr>
          <w:w w:val="105"/>
          <w:sz w:val="15"/>
        </w:rPr>
        <w:t>a</w:t>
      </w:r>
      <w:r>
        <w:rPr>
          <w:spacing w:val="-9"/>
          <w:w w:val="105"/>
          <w:sz w:val="15"/>
        </w:rPr>
        <w:t xml:space="preserve"> </w:t>
      </w:r>
      <w:r>
        <w:rPr>
          <w:w w:val="105"/>
          <w:sz w:val="15"/>
        </w:rPr>
        <w:t>priori</w:t>
      </w:r>
      <w:r>
        <w:rPr>
          <w:spacing w:val="-9"/>
          <w:w w:val="105"/>
          <w:sz w:val="15"/>
        </w:rPr>
        <w:t xml:space="preserve"> </w:t>
      </w:r>
      <w:r>
        <w:rPr>
          <w:w w:val="105"/>
          <w:sz w:val="15"/>
        </w:rPr>
        <w:t>o</w:t>
      </w:r>
      <w:r>
        <w:rPr>
          <w:spacing w:val="-9"/>
          <w:w w:val="105"/>
          <w:sz w:val="15"/>
        </w:rPr>
        <w:t xml:space="preserve"> </w:t>
      </w:r>
      <w:r>
        <w:rPr>
          <w:w w:val="105"/>
          <w:sz w:val="15"/>
        </w:rPr>
        <w:t>por</w:t>
      </w:r>
      <w:r>
        <w:rPr>
          <w:spacing w:val="-9"/>
          <w:w w:val="105"/>
          <w:sz w:val="15"/>
        </w:rPr>
        <w:t xml:space="preserve"> </w:t>
      </w:r>
      <w:r>
        <w:rPr>
          <w:w w:val="105"/>
          <w:sz w:val="15"/>
        </w:rPr>
        <w:t>excluyendo la</w:t>
      </w:r>
      <w:r>
        <w:rPr>
          <w:spacing w:val="-4"/>
          <w:w w:val="105"/>
          <w:sz w:val="15"/>
        </w:rPr>
        <w:t xml:space="preserve"> </w:t>
      </w:r>
      <w:r>
        <w:rPr>
          <w:w w:val="105"/>
          <w:sz w:val="15"/>
        </w:rPr>
        <w:t>concesión</w:t>
      </w:r>
      <w:r>
        <w:rPr>
          <w:spacing w:val="-4"/>
          <w:w w:val="105"/>
          <w:sz w:val="15"/>
        </w:rPr>
        <w:t xml:space="preserve"> </w:t>
      </w:r>
      <w:r>
        <w:rPr>
          <w:w w:val="105"/>
          <w:sz w:val="15"/>
        </w:rPr>
        <w:t>de</w:t>
      </w:r>
      <w:r>
        <w:rPr>
          <w:spacing w:val="-4"/>
          <w:w w:val="105"/>
          <w:sz w:val="15"/>
        </w:rPr>
        <w:t xml:space="preserve"> </w:t>
      </w:r>
      <w:r>
        <w:rPr>
          <w:w w:val="105"/>
          <w:sz w:val="15"/>
        </w:rPr>
        <w:t>intereses</w:t>
      </w:r>
      <w:r>
        <w:rPr>
          <w:spacing w:val="-4"/>
          <w:w w:val="105"/>
          <w:sz w:val="15"/>
        </w:rPr>
        <w:t xml:space="preserve"> </w:t>
      </w:r>
      <w:r>
        <w:rPr>
          <w:w w:val="105"/>
          <w:sz w:val="15"/>
        </w:rPr>
        <w:t>para</w:t>
      </w:r>
      <w:r>
        <w:rPr>
          <w:spacing w:val="-4"/>
          <w:w w:val="105"/>
          <w:sz w:val="15"/>
        </w:rPr>
        <w:t xml:space="preserve"> </w:t>
      </w:r>
      <w:r>
        <w:rPr>
          <w:w w:val="105"/>
          <w:sz w:val="15"/>
        </w:rPr>
        <w:t>compensar</w:t>
      </w:r>
      <w:r>
        <w:rPr>
          <w:spacing w:val="-4"/>
          <w:w w:val="105"/>
          <w:sz w:val="15"/>
        </w:rPr>
        <w:t xml:space="preserve"> </w:t>
      </w:r>
      <w:r>
        <w:rPr>
          <w:w w:val="105"/>
          <w:sz w:val="15"/>
        </w:rPr>
        <w:t>la</w:t>
      </w:r>
      <w:r>
        <w:rPr>
          <w:spacing w:val="-4"/>
          <w:w w:val="105"/>
          <w:sz w:val="15"/>
        </w:rPr>
        <w:t xml:space="preserve"> </w:t>
      </w:r>
      <w:r>
        <w:rPr>
          <w:w w:val="105"/>
          <w:sz w:val="15"/>
        </w:rPr>
        <w:t>pérdida</w:t>
      </w:r>
      <w:r>
        <w:rPr>
          <w:spacing w:val="-4"/>
          <w:w w:val="105"/>
          <w:sz w:val="15"/>
        </w:rPr>
        <w:t xml:space="preserve"> </w:t>
      </w:r>
      <w:r>
        <w:rPr>
          <w:w w:val="105"/>
          <w:sz w:val="15"/>
        </w:rPr>
        <w:t>sufrida</w:t>
      </w:r>
      <w:r>
        <w:rPr>
          <w:spacing w:val="-4"/>
          <w:w w:val="105"/>
          <w:sz w:val="15"/>
        </w:rPr>
        <w:t xml:space="preserve"> </w:t>
      </w:r>
      <w:r>
        <w:rPr>
          <w:w w:val="105"/>
          <w:sz w:val="15"/>
        </w:rPr>
        <w:t>por</w:t>
      </w:r>
      <w:r>
        <w:rPr>
          <w:spacing w:val="-4"/>
          <w:w w:val="105"/>
          <w:sz w:val="15"/>
        </w:rPr>
        <w:t xml:space="preserve"> </w:t>
      </w:r>
      <w:r>
        <w:rPr>
          <w:w w:val="105"/>
          <w:sz w:val="15"/>
        </w:rPr>
        <w:t>el</w:t>
      </w:r>
      <w:r>
        <w:rPr>
          <w:spacing w:val="-4"/>
          <w:w w:val="105"/>
          <w:sz w:val="15"/>
        </w:rPr>
        <w:t xml:space="preserve"> </w:t>
      </w:r>
      <w:r>
        <w:rPr>
          <w:w w:val="105"/>
          <w:sz w:val="15"/>
        </w:rPr>
        <w:t>destinatario</w:t>
      </w:r>
      <w:r>
        <w:rPr>
          <w:spacing w:val="-4"/>
          <w:w w:val="105"/>
          <w:sz w:val="15"/>
        </w:rPr>
        <w:t xml:space="preserve"> </w:t>
      </w:r>
      <w:r>
        <w:rPr>
          <w:w w:val="105"/>
          <w:sz w:val="15"/>
        </w:rPr>
        <w:t>de</w:t>
      </w:r>
      <w:r>
        <w:rPr>
          <w:spacing w:val="-4"/>
          <w:w w:val="105"/>
          <w:sz w:val="15"/>
        </w:rPr>
        <w:t xml:space="preserve"> </w:t>
      </w:r>
      <w:r>
        <w:rPr>
          <w:w w:val="105"/>
          <w:sz w:val="15"/>
        </w:rPr>
        <w:t>la</w:t>
      </w:r>
      <w:r>
        <w:rPr>
          <w:spacing w:val="-4"/>
          <w:w w:val="105"/>
          <w:sz w:val="15"/>
        </w:rPr>
        <w:t xml:space="preserve"> </w:t>
      </w:r>
      <w:r>
        <w:rPr>
          <w:w w:val="105"/>
          <w:sz w:val="15"/>
        </w:rPr>
        <w:t>compensación</w:t>
      </w:r>
      <w:r>
        <w:rPr>
          <w:spacing w:val="-4"/>
          <w:w w:val="105"/>
          <w:sz w:val="15"/>
        </w:rPr>
        <w:t xml:space="preserve"> </w:t>
      </w:r>
      <w:r>
        <w:rPr>
          <w:w w:val="105"/>
          <w:sz w:val="15"/>
        </w:rPr>
        <w:t>como</w:t>
      </w:r>
      <w:r>
        <w:rPr>
          <w:spacing w:val="-4"/>
          <w:w w:val="105"/>
          <w:sz w:val="15"/>
        </w:rPr>
        <w:t xml:space="preserve"> </w:t>
      </w:r>
      <w:r>
        <w:rPr>
          <w:w w:val="105"/>
          <w:sz w:val="15"/>
        </w:rPr>
        <w:t>resultado”</w:t>
      </w:r>
      <w:r>
        <w:rPr>
          <w:spacing w:val="-4"/>
          <w:w w:val="105"/>
          <w:sz w:val="15"/>
        </w:rPr>
        <w:t xml:space="preserve"> </w:t>
      </w:r>
      <w:r>
        <w:rPr>
          <w:w w:val="105"/>
          <w:sz w:val="15"/>
        </w:rPr>
        <w:t>del</w:t>
      </w:r>
      <w:r>
        <w:rPr>
          <w:spacing w:val="-4"/>
          <w:w w:val="105"/>
          <w:sz w:val="15"/>
        </w:rPr>
        <w:t xml:space="preserve"> </w:t>
      </w:r>
      <w:r>
        <w:rPr>
          <w:w w:val="105"/>
          <w:sz w:val="15"/>
        </w:rPr>
        <w:t>paso del tiempo hasta que se pague la suma concedida.596</w:t>
      </w:r>
    </w:p>
    <w:p w14:paraId="206D9089" w14:textId="77777777" w:rsidR="0014798C" w:rsidRDefault="0014798C">
      <w:pPr>
        <w:pStyle w:val="Textoindependiente"/>
        <w:rPr>
          <w:sz w:val="15"/>
        </w:rPr>
      </w:pPr>
    </w:p>
    <w:p w14:paraId="264E985C" w14:textId="77777777" w:rsidR="0014798C" w:rsidRDefault="0014798C">
      <w:pPr>
        <w:pStyle w:val="Textoindependiente"/>
        <w:spacing w:before="106"/>
        <w:rPr>
          <w:sz w:val="15"/>
        </w:rPr>
      </w:pPr>
    </w:p>
    <w:p w14:paraId="3037CAEE" w14:textId="77777777" w:rsidR="0014798C" w:rsidRDefault="004E1F0B">
      <w:pPr>
        <w:spacing w:line="348" w:lineRule="auto"/>
        <w:ind w:left="1105" w:right="1272" w:firstLine="6"/>
        <w:rPr>
          <w:sz w:val="15"/>
        </w:rPr>
      </w:pPr>
      <w:r>
        <w:rPr>
          <w:w w:val="105"/>
          <w:sz w:val="15"/>
        </w:rPr>
        <w:t>Algunas</w:t>
      </w:r>
      <w:r>
        <w:rPr>
          <w:spacing w:val="-6"/>
          <w:w w:val="105"/>
          <w:sz w:val="15"/>
        </w:rPr>
        <w:t xml:space="preserve"> </w:t>
      </w:r>
      <w:r>
        <w:rPr>
          <w:w w:val="105"/>
          <w:sz w:val="15"/>
        </w:rPr>
        <w:t>jurisdicciones</w:t>
      </w:r>
      <w:r>
        <w:rPr>
          <w:spacing w:val="-6"/>
          <w:w w:val="105"/>
          <w:sz w:val="15"/>
        </w:rPr>
        <w:t xml:space="preserve"> </w:t>
      </w:r>
      <w:r>
        <w:rPr>
          <w:w w:val="105"/>
          <w:sz w:val="15"/>
        </w:rPr>
        <w:t>abordan</w:t>
      </w:r>
      <w:r>
        <w:rPr>
          <w:spacing w:val="-6"/>
          <w:w w:val="105"/>
          <w:sz w:val="15"/>
        </w:rPr>
        <w:t xml:space="preserve"> </w:t>
      </w:r>
      <w:r>
        <w:rPr>
          <w:w w:val="105"/>
          <w:sz w:val="15"/>
        </w:rPr>
        <w:t>la</w:t>
      </w:r>
      <w:r>
        <w:rPr>
          <w:spacing w:val="-6"/>
          <w:w w:val="105"/>
          <w:sz w:val="15"/>
        </w:rPr>
        <w:t xml:space="preserve"> </w:t>
      </w:r>
      <w:r>
        <w:rPr>
          <w:w w:val="105"/>
          <w:sz w:val="15"/>
        </w:rPr>
        <w:t>discriminación</w:t>
      </w:r>
      <w:r>
        <w:rPr>
          <w:spacing w:val="-6"/>
          <w:w w:val="105"/>
          <w:sz w:val="15"/>
        </w:rPr>
        <w:t xml:space="preserve"> </w:t>
      </w:r>
      <w:r>
        <w:rPr>
          <w:w w:val="105"/>
          <w:sz w:val="15"/>
        </w:rPr>
        <w:t>como</w:t>
      </w:r>
      <w:r>
        <w:rPr>
          <w:spacing w:val="-6"/>
          <w:w w:val="105"/>
          <w:sz w:val="15"/>
        </w:rPr>
        <w:t xml:space="preserve"> </w:t>
      </w:r>
      <w:r>
        <w:rPr>
          <w:w w:val="105"/>
          <w:sz w:val="15"/>
        </w:rPr>
        <w:t>una</w:t>
      </w:r>
      <w:r>
        <w:rPr>
          <w:spacing w:val="-6"/>
          <w:w w:val="105"/>
          <w:sz w:val="15"/>
        </w:rPr>
        <w:t xml:space="preserve"> </w:t>
      </w:r>
      <w:r>
        <w:rPr>
          <w:w w:val="105"/>
          <w:sz w:val="15"/>
        </w:rPr>
        <w:t>cuestión</w:t>
      </w:r>
      <w:r>
        <w:rPr>
          <w:spacing w:val="-6"/>
          <w:w w:val="105"/>
          <w:sz w:val="15"/>
        </w:rPr>
        <w:t xml:space="preserve"> </w:t>
      </w:r>
      <w:r>
        <w:rPr>
          <w:w w:val="105"/>
          <w:sz w:val="15"/>
        </w:rPr>
        <w:t>de</w:t>
      </w:r>
      <w:r>
        <w:rPr>
          <w:spacing w:val="-6"/>
          <w:w w:val="105"/>
          <w:sz w:val="15"/>
        </w:rPr>
        <w:t xml:space="preserve"> </w:t>
      </w:r>
      <w:r>
        <w:rPr>
          <w:w w:val="105"/>
          <w:sz w:val="15"/>
        </w:rPr>
        <w:t>derecho</w:t>
      </w:r>
      <w:r>
        <w:rPr>
          <w:spacing w:val="-6"/>
          <w:w w:val="105"/>
          <w:sz w:val="15"/>
        </w:rPr>
        <w:t xml:space="preserve"> </w:t>
      </w:r>
      <w:r>
        <w:rPr>
          <w:w w:val="105"/>
          <w:sz w:val="15"/>
        </w:rPr>
        <w:t>administrativo,</w:t>
      </w:r>
      <w:r>
        <w:rPr>
          <w:spacing w:val="-5"/>
          <w:w w:val="105"/>
          <w:sz w:val="15"/>
        </w:rPr>
        <w:t xml:space="preserve"> </w:t>
      </w:r>
      <w:r>
        <w:rPr>
          <w:w w:val="105"/>
          <w:sz w:val="15"/>
        </w:rPr>
        <w:t>en</w:t>
      </w:r>
      <w:r>
        <w:rPr>
          <w:spacing w:val="-6"/>
          <w:w w:val="105"/>
          <w:sz w:val="15"/>
        </w:rPr>
        <w:t xml:space="preserve"> </w:t>
      </w:r>
      <w:r>
        <w:rPr>
          <w:w w:val="105"/>
          <w:sz w:val="15"/>
        </w:rPr>
        <w:t>la</w:t>
      </w:r>
      <w:r>
        <w:rPr>
          <w:spacing w:val="-6"/>
          <w:w w:val="105"/>
          <w:sz w:val="15"/>
        </w:rPr>
        <w:t xml:space="preserve"> </w:t>
      </w:r>
      <w:r>
        <w:rPr>
          <w:w w:val="105"/>
          <w:sz w:val="15"/>
        </w:rPr>
        <w:t>que</w:t>
      </w:r>
      <w:r>
        <w:rPr>
          <w:spacing w:val="-6"/>
          <w:w w:val="105"/>
          <w:sz w:val="15"/>
        </w:rPr>
        <w:t xml:space="preserve"> </w:t>
      </w:r>
      <w:r>
        <w:rPr>
          <w:w w:val="105"/>
          <w:sz w:val="15"/>
        </w:rPr>
        <w:t>efectivamente</w:t>
      </w:r>
      <w:r>
        <w:rPr>
          <w:spacing w:val="-6"/>
          <w:w w:val="105"/>
          <w:sz w:val="15"/>
        </w:rPr>
        <w:t xml:space="preserve"> </w:t>
      </w:r>
      <w:r>
        <w:rPr>
          <w:w w:val="105"/>
          <w:sz w:val="15"/>
        </w:rPr>
        <w:t>se</w:t>
      </w:r>
      <w:r>
        <w:rPr>
          <w:spacing w:val="-6"/>
          <w:w w:val="105"/>
          <w:sz w:val="15"/>
        </w:rPr>
        <w:t xml:space="preserve"> </w:t>
      </w:r>
      <w:r>
        <w:rPr>
          <w:w w:val="105"/>
          <w:sz w:val="15"/>
        </w:rPr>
        <w:t>trata</w:t>
      </w:r>
      <w:r>
        <w:rPr>
          <w:spacing w:val="-6"/>
          <w:w w:val="105"/>
          <w:sz w:val="15"/>
        </w:rPr>
        <w:t xml:space="preserve"> </w:t>
      </w:r>
      <w:r>
        <w:rPr>
          <w:w w:val="105"/>
          <w:sz w:val="15"/>
        </w:rPr>
        <w:t>como un</w:t>
      </w:r>
      <w:r>
        <w:rPr>
          <w:spacing w:val="-11"/>
          <w:w w:val="105"/>
          <w:sz w:val="15"/>
        </w:rPr>
        <w:t xml:space="preserve"> </w:t>
      </w:r>
      <w:r>
        <w:rPr>
          <w:w w:val="105"/>
          <w:sz w:val="15"/>
        </w:rPr>
        <w:t>delito</w:t>
      </w:r>
      <w:r>
        <w:rPr>
          <w:spacing w:val="-11"/>
          <w:w w:val="105"/>
          <w:sz w:val="15"/>
        </w:rPr>
        <w:t xml:space="preserve"> </w:t>
      </w:r>
      <w:r>
        <w:rPr>
          <w:w w:val="105"/>
          <w:sz w:val="15"/>
        </w:rPr>
        <w:t>menor.</w:t>
      </w:r>
      <w:r>
        <w:rPr>
          <w:spacing w:val="-11"/>
          <w:w w:val="105"/>
          <w:sz w:val="15"/>
        </w:rPr>
        <w:t xml:space="preserve"> </w:t>
      </w:r>
      <w:r>
        <w:rPr>
          <w:w w:val="105"/>
          <w:sz w:val="15"/>
        </w:rPr>
        <w:t>Además</w:t>
      </w:r>
      <w:r>
        <w:rPr>
          <w:spacing w:val="-11"/>
          <w:w w:val="105"/>
          <w:sz w:val="15"/>
        </w:rPr>
        <w:t xml:space="preserve"> </w:t>
      </w:r>
      <w:r>
        <w:rPr>
          <w:w w:val="105"/>
          <w:sz w:val="15"/>
        </w:rPr>
        <w:t>de</w:t>
      </w:r>
      <w:r>
        <w:rPr>
          <w:spacing w:val="-11"/>
          <w:w w:val="105"/>
          <w:sz w:val="15"/>
        </w:rPr>
        <w:t xml:space="preserve"> </w:t>
      </w:r>
      <w:r>
        <w:rPr>
          <w:w w:val="105"/>
          <w:sz w:val="15"/>
        </w:rPr>
        <w:t>las</w:t>
      </w:r>
      <w:r>
        <w:rPr>
          <w:spacing w:val="-11"/>
          <w:w w:val="105"/>
          <w:sz w:val="15"/>
        </w:rPr>
        <w:t xml:space="preserve"> </w:t>
      </w:r>
      <w:r>
        <w:rPr>
          <w:w w:val="105"/>
          <w:sz w:val="15"/>
        </w:rPr>
        <w:t>multas,</w:t>
      </w:r>
      <w:r>
        <w:rPr>
          <w:spacing w:val="-11"/>
          <w:w w:val="105"/>
          <w:sz w:val="15"/>
        </w:rPr>
        <w:t xml:space="preserve"> </w:t>
      </w:r>
      <w:r>
        <w:rPr>
          <w:w w:val="105"/>
          <w:sz w:val="15"/>
        </w:rPr>
        <w:t>las</w:t>
      </w:r>
      <w:r>
        <w:rPr>
          <w:spacing w:val="-11"/>
          <w:w w:val="105"/>
          <w:sz w:val="15"/>
        </w:rPr>
        <w:t xml:space="preserve"> </w:t>
      </w:r>
      <w:r>
        <w:rPr>
          <w:w w:val="105"/>
          <w:sz w:val="15"/>
        </w:rPr>
        <w:t>sanciones</w:t>
      </w:r>
      <w:r>
        <w:rPr>
          <w:spacing w:val="-11"/>
          <w:w w:val="105"/>
          <w:sz w:val="15"/>
        </w:rPr>
        <w:t xml:space="preserve"> </w:t>
      </w:r>
      <w:r>
        <w:rPr>
          <w:w w:val="105"/>
          <w:sz w:val="15"/>
        </w:rPr>
        <w:t>administrativas</w:t>
      </w:r>
      <w:r>
        <w:rPr>
          <w:spacing w:val="-11"/>
          <w:w w:val="105"/>
          <w:sz w:val="15"/>
        </w:rPr>
        <w:t xml:space="preserve"> </w:t>
      </w:r>
      <w:r>
        <w:rPr>
          <w:w w:val="105"/>
          <w:sz w:val="15"/>
        </w:rPr>
        <w:t>podrán</w:t>
      </w:r>
      <w:r>
        <w:rPr>
          <w:spacing w:val="-11"/>
          <w:w w:val="105"/>
          <w:sz w:val="15"/>
        </w:rPr>
        <w:t xml:space="preserve"> </w:t>
      </w:r>
      <w:r>
        <w:rPr>
          <w:w w:val="105"/>
          <w:sz w:val="15"/>
        </w:rPr>
        <w:t>incluir</w:t>
      </w:r>
      <w:r>
        <w:rPr>
          <w:spacing w:val="-10"/>
          <w:w w:val="105"/>
          <w:sz w:val="15"/>
        </w:rPr>
        <w:t xml:space="preserve"> </w:t>
      </w:r>
      <w:r>
        <w:rPr>
          <w:w w:val="105"/>
          <w:sz w:val="15"/>
        </w:rPr>
        <w:t>amonestaciones,</w:t>
      </w:r>
      <w:r>
        <w:rPr>
          <w:spacing w:val="-10"/>
          <w:w w:val="105"/>
          <w:sz w:val="15"/>
        </w:rPr>
        <w:t xml:space="preserve"> </w:t>
      </w:r>
      <w:r>
        <w:rPr>
          <w:w w:val="105"/>
          <w:sz w:val="15"/>
        </w:rPr>
        <w:t>medidas</w:t>
      </w:r>
      <w:r>
        <w:rPr>
          <w:spacing w:val="-11"/>
          <w:w w:val="105"/>
          <w:sz w:val="15"/>
        </w:rPr>
        <w:t xml:space="preserve"> </w:t>
      </w:r>
      <w:r>
        <w:rPr>
          <w:w w:val="105"/>
          <w:sz w:val="15"/>
        </w:rPr>
        <w:t>disciplinarias</w:t>
      </w:r>
      <w:r>
        <w:rPr>
          <w:spacing w:val="-11"/>
          <w:w w:val="105"/>
          <w:sz w:val="15"/>
        </w:rPr>
        <w:t xml:space="preserve"> </w:t>
      </w:r>
      <w:r>
        <w:rPr>
          <w:w w:val="105"/>
          <w:sz w:val="15"/>
        </w:rPr>
        <w:t>o</w:t>
      </w:r>
      <w:r>
        <w:rPr>
          <w:spacing w:val="-11"/>
          <w:w w:val="105"/>
          <w:sz w:val="15"/>
        </w:rPr>
        <w:t xml:space="preserve"> </w:t>
      </w:r>
      <w:r>
        <w:rPr>
          <w:w w:val="105"/>
          <w:sz w:val="15"/>
        </w:rPr>
        <w:t>medidas similares.</w:t>
      </w:r>
      <w:r>
        <w:rPr>
          <w:spacing w:val="-2"/>
          <w:w w:val="105"/>
          <w:sz w:val="15"/>
        </w:rPr>
        <w:t xml:space="preserve"> </w:t>
      </w:r>
      <w:r>
        <w:rPr>
          <w:w w:val="105"/>
          <w:sz w:val="15"/>
        </w:rPr>
        <w:t>Además</w:t>
      </w:r>
      <w:r>
        <w:rPr>
          <w:spacing w:val="-3"/>
          <w:w w:val="105"/>
          <w:sz w:val="15"/>
        </w:rPr>
        <w:t xml:space="preserve"> </w:t>
      </w:r>
      <w:r>
        <w:rPr>
          <w:w w:val="105"/>
          <w:sz w:val="15"/>
        </w:rPr>
        <w:t>de</w:t>
      </w:r>
      <w:r>
        <w:rPr>
          <w:spacing w:val="-3"/>
          <w:w w:val="105"/>
          <w:sz w:val="15"/>
        </w:rPr>
        <w:t xml:space="preserve"> </w:t>
      </w:r>
      <w:r>
        <w:rPr>
          <w:w w:val="105"/>
          <w:sz w:val="15"/>
        </w:rPr>
        <w:t>los</w:t>
      </w:r>
      <w:r>
        <w:rPr>
          <w:spacing w:val="-3"/>
          <w:w w:val="105"/>
          <w:sz w:val="15"/>
        </w:rPr>
        <w:t xml:space="preserve"> </w:t>
      </w:r>
      <w:r>
        <w:rPr>
          <w:w w:val="105"/>
          <w:sz w:val="15"/>
        </w:rPr>
        <w:t>tribunales,</w:t>
      </w:r>
      <w:r>
        <w:rPr>
          <w:spacing w:val="-2"/>
          <w:w w:val="105"/>
          <w:sz w:val="15"/>
        </w:rPr>
        <w:t xml:space="preserve"> </w:t>
      </w:r>
      <w:r>
        <w:rPr>
          <w:w w:val="105"/>
          <w:sz w:val="15"/>
        </w:rPr>
        <w:t>las</w:t>
      </w:r>
      <w:r>
        <w:rPr>
          <w:spacing w:val="-3"/>
          <w:w w:val="105"/>
          <w:sz w:val="15"/>
        </w:rPr>
        <w:t xml:space="preserve"> </w:t>
      </w:r>
      <w:r>
        <w:rPr>
          <w:w w:val="105"/>
          <w:sz w:val="15"/>
        </w:rPr>
        <w:t>sanciones</w:t>
      </w:r>
      <w:r>
        <w:rPr>
          <w:spacing w:val="-3"/>
          <w:w w:val="105"/>
          <w:sz w:val="15"/>
        </w:rPr>
        <w:t xml:space="preserve"> </w:t>
      </w:r>
      <w:r>
        <w:rPr>
          <w:w w:val="105"/>
          <w:sz w:val="15"/>
        </w:rPr>
        <w:t>administrativas</w:t>
      </w:r>
      <w:r>
        <w:rPr>
          <w:spacing w:val="-4"/>
          <w:w w:val="105"/>
          <w:sz w:val="15"/>
        </w:rPr>
        <w:t xml:space="preserve"> </w:t>
      </w:r>
      <w:r>
        <w:rPr>
          <w:w w:val="105"/>
          <w:sz w:val="15"/>
        </w:rPr>
        <w:t>pueden</w:t>
      </w:r>
      <w:r>
        <w:rPr>
          <w:spacing w:val="-3"/>
          <w:w w:val="105"/>
          <w:sz w:val="15"/>
        </w:rPr>
        <w:t xml:space="preserve"> </w:t>
      </w:r>
      <w:r>
        <w:rPr>
          <w:w w:val="105"/>
          <w:sz w:val="15"/>
        </w:rPr>
        <w:t>ser</w:t>
      </w:r>
      <w:r>
        <w:rPr>
          <w:spacing w:val="-3"/>
          <w:w w:val="105"/>
          <w:sz w:val="15"/>
        </w:rPr>
        <w:t xml:space="preserve"> </w:t>
      </w:r>
      <w:r>
        <w:rPr>
          <w:w w:val="105"/>
          <w:sz w:val="15"/>
        </w:rPr>
        <w:t>dictadas</w:t>
      </w:r>
      <w:r>
        <w:rPr>
          <w:spacing w:val="-3"/>
          <w:w w:val="105"/>
          <w:sz w:val="15"/>
        </w:rPr>
        <w:t xml:space="preserve"> </w:t>
      </w:r>
      <w:r>
        <w:rPr>
          <w:w w:val="105"/>
          <w:sz w:val="15"/>
        </w:rPr>
        <w:t>por</w:t>
      </w:r>
      <w:r>
        <w:rPr>
          <w:spacing w:val="-3"/>
          <w:w w:val="105"/>
          <w:sz w:val="15"/>
        </w:rPr>
        <w:t xml:space="preserve"> </w:t>
      </w:r>
      <w:r>
        <w:rPr>
          <w:w w:val="105"/>
          <w:sz w:val="15"/>
        </w:rPr>
        <w:t>órganos</w:t>
      </w:r>
      <w:r>
        <w:rPr>
          <w:spacing w:val="-3"/>
          <w:w w:val="105"/>
          <w:sz w:val="15"/>
        </w:rPr>
        <w:t xml:space="preserve"> </w:t>
      </w:r>
      <w:r>
        <w:rPr>
          <w:w w:val="105"/>
          <w:sz w:val="15"/>
        </w:rPr>
        <w:t>administrativos</w:t>
      </w:r>
      <w:r>
        <w:rPr>
          <w:spacing w:val="-4"/>
          <w:w w:val="105"/>
          <w:sz w:val="15"/>
        </w:rPr>
        <w:t xml:space="preserve"> </w:t>
      </w:r>
      <w:r>
        <w:rPr>
          <w:w w:val="105"/>
          <w:sz w:val="15"/>
        </w:rPr>
        <w:t>como</w:t>
      </w:r>
      <w:r>
        <w:rPr>
          <w:spacing w:val="-3"/>
          <w:w w:val="105"/>
          <w:sz w:val="15"/>
        </w:rPr>
        <w:t xml:space="preserve"> </w:t>
      </w:r>
      <w:r>
        <w:rPr>
          <w:w w:val="105"/>
          <w:sz w:val="15"/>
        </w:rPr>
        <w:t>órganos especializados</w:t>
      </w:r>
      <w:r>
        <w:rPr>
          <w:spacing w:val="-5"/>
          <w:w w:val="105"/>
          <w:sz w:val="15"/>
        </w:rPr>
        <w:t xml:space="preserve"> </w:t>
      </w:r>
      <w:r>
        <w:rPr>
          <w:w w:val="105"/>
          <w:sz w:val="15"/>
        </w:rPr>
        <w:t>en</w:t>
      </w:r>
      <w:r>
        <w:rPr>
          <w:spacing w:val="-5"/>
          <w:w w:val="105"/>
          <w:sz w:val="15"/>
        </w:rPr>
        <w:t xml:space="preserve"> </w:t>
      </w:r>
      <w:r>
        <w:rPr>
          <w:w w:val="105"/>
          <w:sz w:val="15"/>
        </w:rPr>
        <w:t>igualdad</w:t>
      </w:r>
      <w:r>
        <w:rPr>
          <w:spacing w:val="-5"/>
          <w:w w:val="105"/>
          <w:sz w:val="15"/>
        </w:rPr>
        <w:t xml:space="preserve"> </w:t>
      </w:r>
      <w:r>
        <w:rPr>
          <w:w w:val="105"/>
          <w:sz w:val="15"/>
        </w:rPr>
        <w:t>y</w:t>
      </w:r>
      <w:r>
        <w:rPr>
          <w:spacing w:val="-5"/>
          <w:w w:val="105"/>
          <w:sz w:val="15"/>
        </w:rPr>
        <w:t xml:space="preserve"> </w:t>
      </w:r>
      <w:r>
        <w:rPr>
          <w:w w:val="105"/>
          <w:sz w:val="15"/>
        </w:rPr>
        <w:t>entidades</w:t>
      </w:r>
      <w:r>
        <w:rPr>
          <w:spacing w:val="-5"/>
          <w:w w:val="105"/>
          <w:sz w:val="15"/>
        </w:rPr>
        <w:t xml:space="preserve"> </w:t>
      </w:r>
      <w:r>
        <w:rPr>
          <w:w w:val="105"/>
          <w:sz w:val="15"/>
        </w:rPr>
        <w:t>con</w:t>
      </w:r>
      <w:r>
        <w:rPr>
          <w:spacing w:val="-5"/>
          <w:w w:val="105"/>
          <w:sz w:val="15"/>
        </w:rPr>
        <w:t xml:space="preserve"> </w:t>
      </w:r>
      <w:r>
        <w:rPr>
          <w:w w:val="105"/>
          <w:sz w:val="15"/>
        </w:rPr>
        <w:t>poderes</w:t>
      </w:r>
      <w:r>
        <w:rPr>
          <w:spacing w:val="-5"/>
          <w:w w:val="105"/>
          <w:sz w:val="15"/>
        </w:rPr>
        <w:t xml:space="preserve"> </w:t>
      </w:r>
      <w:r>
        <w:rPr>
          <w:w w:val="105"/>
          <w:sz w:val="15"/>
        </w:rPr>
        <w:t>en</w:t>
      </w:r>
      <w:r>
        <w:rPr>
          <w:spacing w:val="-5"/>
          <w:w w:val="105"/>
          <w:sz w:val="15"/>
        </w:rPr>
        <w:t xml:space="preserve"> </w:t>
      </w:r>
      <w:r>
        <w:rPr>
          <w:w w:val="105"/>
          <w:sz w:val="15"/>
        </w:rPr>
        <w:t>relación</w:t>
      </w:r>
      <w:r>
        <w:rPr>
          <w:spacing w:val="-5"/>
          <w:w w:val="105"/>
          <w:sz w:val="15"/>
        </w:rPr>
        <w:t xml:space="preserve"> </w:t>
      </w:r>
      <w:r>
        <w:rPr>
          <w:w w:val="105"/>
          <w:sz w:val="15"/>
        </w:rPr>
        <w:t>con</w:t>
      </w:r>
      <w:r>
        <w:rPr>
          <w:spacing w:val="-5"/>
          <w:w w:val="105"/>
          <w:sz w:val="15"/>
        </w:rPr>
        <w:t xml:space="preserve"> </w:t>
      </w:r>
      <w:r>
        <w:rPr>
          <w:w w:val="105"/>
          <w:sz w:val="15"/>
        </w:rPr>
        <w:t>el</w:t>
      </w:r>
      <w:r>
        <w:rPr>
          <w:spacing w:val="-5"/>
          <w:w w:val="105"/>
          <w:sz w:val="15"/>
        </w:rPr>
        <w:t xml:space="preserve"> </w:t>
      </w:r>
      <w:r>
        <w:rPr>
          <w:w w:val="105"/>
          <w:sz w:val="15"/>
        </w:rPr>
        <w:t>trabajo,</w:t>
      </w:r>
      <w:r>
        <w:rPr>
          <w:spacing w:val="-5"/>
          <w:w w:val="105"/>
          <w:sz w:val="15"/>
        </w:rPr>
        <w:t xml:space="preserve"> </w:t>
      </w:r>
      <w:r>
        <w:rPr>
          <w:w w:val="105"/>
          <w:sz w:val="15"/>
        </w:rPr>
        <w:t>la</w:t>
      </w:r>
      <w:r>
        <w:rPr>
          <w:spacing w:val="-5"/>
          <w:w w:val="105"/>
          <w:sz w:val="15"/>
        </w:rPr>
        <w:t xml:space="preserve"> </w:t>
      </w:r>
      <w:r>
        <w:rPr>
          <w:w w:val="105"/>
          <w:sz w:val="15"/>
        </w:rPr>
        <w:t>educación,</w:t>
      </w:r>
      <w:r>
        <w:rPr>
          <w:spacing w:val="-5"/>
          <w:w w:val="105"/>
          <w:sz w:val="15"/>
        </w:rPr>
        <w:t xml:space="preserve"> </w:t>
      </w:r>
      <w:r>
        <w:rPr>
          <w:w w:val="105"/>
          <w:sz w:val="15"/>
        </w:rPr>
        <w:t>la</w:t>
      </w:r>
      <w:r>
        <w:rPr>
          <w:spacing w:val="-5"/>
          <w:w w:val="105"/>
          <w:sz w:val="15"/>
        </w:rPr>
        <w:t xml:space="preserve"> </w:t>
      </w:r>
      <w:r>
        <w:rPr>
          <w:w w:val="105"/>
          <w:sz w:val="15"/>
        </w:rPr>
        <w:t>protección</w:t>
      </w:r>
      <w:r>
        <w:rPr>
          <w:spacing w:val="-5"/>
          <w:w w:val="105"/>
          <w:sz w:val="15"/>
        </w:rPr>
        <w:t xml:space="preserve"> </w:t>
      </w:r>
      <w:r>
        <w:rPr>
          <w:w w:val="105"/>
          <w:sz w:val="15"/>
        </w:rPr>
        <w:t>del</w:t>
      </w:r>
      <w:r>
        <w:rPr>
          <w:spacing w:val="-5"/>
          <w:w w:val="105"/>
          <w:sz w:val="15"/>
        </w:rPr>
        <w:t xml:space="preserve"> </w:t>
      </w:r>
      <w:r>
        <w:rPr>
          <w:w w:val="105"/>
          <w:sz w:val="15"/>
        </w:rPr>
        <w:t>consumidor,</w:t>
      </w:r>
      <w:r>
        <w:rPr>
          <w:spacing w:val="-5"/>
          <w:w w:val="105"/>
          <w:sz w:val="15"/>
        </w:rPr>
        <w:t xml:space="preserve"> </w:t>
      </w:r>
      <w:r>
        <w:rPr>
          <w:w w:val="105"/>
          <w:sz w:val="15"/>
        </w:rPr>
        <w:t>los</w:t>
      </w:r>
      <w:r>
        <w:rPr>
          <w:spacing w:val="-5"/>
          <w:w w:val="105"/>
          <w:sz w:val="15"/>
        </w:rPr>
        <w:t xml:space="preserve"> </w:t>
      </w:r>
      <w:r>
        <w:rPr>
          <w:w w:val="105"/>
          <w:sz w:val="15"/>
        </w:rPr>
        <w:t>medios de</w:t>
      </w:r>
      <w:r>
        <w:rPr>
          <w:spacing w:val="-3"/>
          <w:w w:val="105"/>
          <w:sz w:val="15"/>
        </w:rPr>
        <w:t xml:space="preserve"> </w:t>
      </w:r>
      <w:r>
        <w:rPr>
          <w:w w:val="105"/>
          <w:sz w:val="15"/>
        </w:rPr>
        <w:t>comunicación</w:t>
      </w:r>
      <w:r>
        <w:rPr>
          <w:spacing w:val="-3"/>
          <w:w w:val="105"/>
          <w:sz w:val="15"/>
        </w:rPr>
        <w:t xml:space="preserve"> </w:t>
      </w:r>
      <w:r>
        <w:rPr>
          <w:w w:val="105"/>
          <w:sz w:val="15"/>
        </w:rPr>
        <w:t>u</w:t>
      </w:r>
      <w:r>
        <w:rPr>
          <w:spacing w:val="-3"/>
          <w:w w:val="105"/>
          <w:sz w:val="15"/>
        </w:rPr>
        <w:t xml:space="preserve"> </w:t>
      </w:r>
      <w:r>
        <w:rPr>
          <w:w w:val="105"/>
          <w:sz w:val="15"/>
        </w:rPr>
        <w:t>otros</w:t>
      </w:r>
      <w:r>
        <w:rPr>
          <w:spacing w:val="-3"/>
          <w:w w:val="105"/>
          <w:sz w:val="15"/>
        </w:rPr>
        <w:t xml:space="preserve"> </w:t>
      </w:r>
      <w:r>
        <w:rPr>
          <w:w w:val="105"/>
          <w:sz w:val="15"/>
        </w:rPr>
        <w:t>ámbitos</w:t>
      </w:r>
      <w:r>
        <w:rPr>
          <w:spacing w:val="-3"/>
          <w:w w:val="105"/>
          <w:sz w:val="15"/>
        </w:rPr>
        <w:t xml:space="preserve"> </w:t>
      </w:r>
      <w:r>
        <w:rPr>
          <w:w w:val="105"/>
          <w:sz w:val="15"/>
        </w:rPr>
        <w:t>específicos.597</w:t>
      </w:r>
      <w:r>
        <w:rPr>
          <w:spacing w:val="-3"/>
          <w:w w:val="105"/>
          <w:sz w:val="15"/>
        </w:rPr>
        <w:t xml:space="preserve"> </w:t>
      </w:r>
      <w:r>
        <w:rPr>
          <w:w w:val="105"/>
          <w:sz w:val="15"/>
        </w:rPr>
        <w:t>En</w:t>
      </w:r>
      <w:r>
        <w:rPr>
          <w:spacing w:val="-3"/>
          <w:w w:val="105"/>
          <w:sz w:val="15"/>
        </w:rPr>
        <w:t xml:space="preserve"> </w:t>
      </w:r>
      <w:r>
        <w:rPr>
          <w:w w:val="105"/>
          <w:sz w:val="15"/>
        </w:rPr>
        <w:t>situaciones</w:t>
      </w:r>
      <w:r>
        <w:rPr>
          <w:spacing w:val="-3"/>
          <w:w w:val="105"/>
          <w:sz w:val="15"/>
        </w:rPr>
        <w:t xml:space="preserve"> </w:t>
      </w:r>
      <w:r>
        <w:rPr>
          <w:w w:val="105"/>
          <w:sz w:val="15"/>
        </w:rPr>
        <w:t>en</w:t>
      </w:r>
      <w:r>
        <w:rPr>
          <w:spacing w:val="-3"/>
          <w:w w:val="105"/>
          <w:sz w:val="15"/>
        </w:rPr>
        <w:t xml:space="preserve"> </w:t>
      </w:r>
      <w:r>
        <w:rPr>
          <w:w w:val="105"/>
          <w:sz w:val="15"/>
        </w:rPr>
        <w:t>las</w:t>
      </w:r>
      <w:r>
        <w:rPr>
          <w:spacing w:val="-3"/>
          <w:w w:val="105"/>
          <w:sz w:val="15"/>
        </w:rPr>
        <w:t xml:space="preserve"> </w:t>
      </w:r>
      <w:r>
        <w:rPr>
          <w:w w:val="105"/>
          <w:sz w:val="15"/>
        </w:rPr>
        <w:t>que</w:t>
      </w:r>
      <w:r>
        <w:rPr>
          <w:spacing w:val="-3"/>
          <w:w w:val="105"/>
          <w:sz w:val="15"/>
        </w:rPr>
        <w:t xml:space="preserve"> </w:t>
      </w:r>
      <w:r>
        <w:rPr>
          <w:w w:val="105"/>
          <w:sz w:val="15"/>
        </w:rPr>
        <w:t>los</w:t>
      </w:r>
      <w:r>
        <w:rPr>
          <w:spacing w:val="-3"/>
          <w:w w:val="105"/>
          <w:sz w:val="15"/>
        </w:rPr>
        <w:t xml:space="preserve"> </w:t>
      </w:r>
      <w:r>
        <w:rPr>
          <w:w w:val="105"/>
          <w:sz w:val="15"/>
        </w:rPr>
        <w:t>legisladores</w:t>
      </w:r>
      <w:r>
        <w:rPr>
          <w:spacing w:val="-3"/>
          <w:w w:val="105"/>
          <w:sz w:val="15"/>
        </w:rPr>
        <w:t xml:space="preserve"> </w:t>
      </w:r>
      <w:r>
        <w:rPr>
          <w:w w:val="105"/>
          <w:sz w:val="15"/>
        </w:rPr>
        <w:t>nacionales</w:t>
      </w:r>
      <w:r>
        <w:rPr>
          <w:spacing w:val="-3"/>
          <w:w w:val="105"/>
          <w:sz w:val="15"/>
        </w:rPr>
        <w:t xml:space="preserve"> </w:t>
      </w:r>
      <w:r>
        <w:rPr>
          <w:w w:val="105"/>
          <w:sz w:val="15"/>
        </w:rPr>
        <w:t>han</w:t>
      </w:r>
      <w:r>
        <w:rPr>
          <w:spacing w:val="-3"/>
          <w:w w:val="105"/>
          <w:sz w:val="15"/>
        </w:rPr>
        <w:t xml:space="preserve"> </w:t>
      </w:r>
      <w:r>
        <w:rPr>
          <w:w w:val="105"/>
          <w:sz w:val="15"/>
        </w:rPr>
        <w:t>habilitado</w:t>
      </w:r>
      <w:r>
        <w:rPr>
          <w:spacing w:val="-3"/>
          <w:w w:val="105"/>
          <w:sz w:val="15"/>
        </w:rPr>
        <w:t xml:space="preserve"> </w:t>
      </w:r>
      <w:r>
        <w:rPr>
          <w:w w:val="105"/>
          <w:sz w:val="15"/>
        </w:rPr>
        <w:t>órganos</w:t>
      </w:r>
      <w:r>
        <w:rPr>
          <w:spacing w:val="-3"/>
          <w:w w:val="105"/>
          <w:sz w:val="15"/>
        </w:rPr>
        <w:t xml:space="preserve"> </w:t>
      </w:r>
      <w:r>
        <w:rPr>
          <w:w w:val="105"/>
          <w:sz w:val="15"/>
        </w:rPr>
        <w:t>de igualdad</w:t>
      </w:r>
      <w:r>
        <w:rPr>
          <w:spacing w:val="-3"/>
          <w:w w:val="105"/>
          <w:sz w:val="15"/>
        </w:rPr>
        <w:t xml:space="preserve"> </w:t>
      </w:r>
      <w:r>
        <w:rPr>
          <w:w w:val="105"/>
          <w:sz w:val="15"/>
        </w:rPr>
        <w:t>con</w:t>
      </w:r>
      <w:r>
        <w:rPr>
          <w:spacing w:val="-3"/>
          <w:w w:val="105"/>
          <w:sz w:val="15"/>
        </w:rPr>
        <w:t xml:space="preserve"> </w:t>
      </w:r>
      <w:r>
        <w:rPr>
          <w:w w:val="105"/>
          <w:sz w:val="15"/>
        </w:rPr>
        <w:t>el</w:t>
      </w:r>
      <w:r>
        <w:rPr>
          <w:spacing w:val="-3"/>
          <w:w w:val="105"/>
          <w:sz w:val="15"/>
        </w:rPr>
        <w:t xml:space="preserve"> </w:t>
      </w:r>
      <w:r>
        <w:rPr>
          <w:w w:val="105"/>
          <w:sz w:val="15"/>
        </w:rPr>
        <w:t>facultades</w:t>
      </w:r>
      <w:r>
        <w:rPr>
          <w:spacing w:val="-4"/>
          <w:w w:val="105"/>
          <w:sz w:val="15"/>
        </w:rPr>
        <w:t xml:space="preserve"> </w:t>
      </w:r>
      <w:r>
        <w:rPr>
          <w:w w:val="105"/>
          <w:sz w:val="15"/>
        </w:rPr>
        <w:t>para</w:t>
      </w:r>
      <w:r>
        <w:rPr>
          <w:spacing w:val="-3"/>
          <w:w w:val="105"/>
          <w:sz w:val="15"/>
        </w:rPr>
        <w:t xml:space="preserve"> </w:t>
      </w:r>
      <w:r>
        <w:rPr>
          <w:w w:val="105"/>
          <w:sz w:val="15"/>
        </w:rPr>
        <w:t>sancionar</w:t>
      </w:r>
      <w:r>
        <w:rPr>
          <w:spacing w:val="-3"/>
          <w:w w:val="105"/>
          <w:sz w:val="15"/>
        </w:rPr>
        <w:t xml:space="preserve"> </w:t>
      </w:r>
      <w:r>
        <w:rPr>
          <w:w w:val="105"/>
          <w:sz w:val="15"/>
        </w:rPr>
        <w:t>a</w:t>
      </w:r>
      <w:r>
        <w:rPr>
          <w:spacing w:val="-3"/>
          <w:w w:val="105"/>
          <w:sz w:val="15"/>
        </w:rPr>
        <w:t xml:space="preserve"> </w:t>
      </w:r>
      <w:r>
        <w:rPr>
          <w:w w:val="105"/>
          <w:sz w:val="15"/>
        </w:rPr>
        <w:t>los</w:t>
      </w:r>
      <w:r>
        <w:rPr>
          <w:spacing w:val="-3"/>
          <w:w w:val="105"/>
          <w:sz w:val="15"/>
        </w:rPr>
        <w:t xml:space="preserve"> </w:t>
      </w:r>
      <w:r>
        <w:rPr>
          <w:w w:val="105"/>
          <w:sz w:val="15"/>
        </w:rPr>
        <w:t>perpetradores</w:t>
      </w:r>
      <w:r>
        <w:rPr>
          <w:spacing w:val="-3"/>
          <w:w w:val="105"/>
          <w:sz w:val="15"/>
        </w:rPr>
        <w:t xml:space="preserve"> </w:t>
      </w:r>
      <w:r>
        <w:rPr>
          <w:w w:val="105"/>
          <w:sz w:val="15"/>
        </w:rPr>
        <w:t>(un</w:t>
      </w:r>
      <w:r>
        <w:rPr>
          <w:spacing w:val="-3"/>
          <w:w w:val="105"/>
          <w:sz w:val="15"/>
        </w:rPr>
        <w:t xml:space="preserve"> </w:t>
      </w:r>
      <w:r>
        <w:rPr>
          <w:w w:val="105"/>
          <w:sz w:val="15"/>
        </w:rPr>
        <w:t>asunto</w:t>
      </w:r>
      <w:r>
        <w:rPr>
          <w:spacing w:val="-3"/>
          <w:w w:val="105"/>
          <w:sz w:val="15"/>
        </w:rPr>
        <w:t xml:space="preserve"> </w:t>
      </w:r>
      <w:r>
        <w:rPr>
          <w:w w:val="105"/>
          <w:sz w:val="15"/>
        </w:rPr>
        <w:t>tratado</w:t>
      </w:r>
      <w:r>
        <w:rPr>
          <w:spacing w:val="-3"/>
          <w:w w:val="105"/>
          <w:sz w:val="15"/>
        </w:rPr>
        <w:t xml:space="preserve"> </w:t>
      </w:r>
      <w:r>
        <w:rPr>
          <w:w w:val="105"/>
          <w:sz w:val="15"/>
        </w:rPr>
        <w:t>más</w:t>
      </w:r>
      <w:r>
        <w:rPr>
          <w:spacing w:val="-3"/>
          <w:w w:val="105"/>
          <w:sz w:val="15"/>
        </w:rPr>
        <w:t xml:space="preserve"> </w:t>
      </w:r>
      <w:r>
        <w:rPr>
          <w:w w:val="105"/>
          <w:sz w:val="15"/>
        </w:rPr>
        <w:t>adelante</w:t>
      </w:r>
      <w:r>
        <w:rPr>
          <w:spacing w:val="-3"/>
          <w:w w:val="105"/>
          <w:sz w:val="15"/>
        </w:rPr>
        <w:t xml:space="preserve"> </w:t>
      </w:r>
      <w:r>
        <w:rPr>
          <w:w w:val="105"/>
          <w:sz w:val="15"/>
        </w:rPr>
        <w:t>en</w:t>
      </w:r>
      <w:r>
        <w:rPr>
          <w:spacing w:val="-3"/>
          <w:w w:val="105"/>
          <w:sz w:val="15"/>
        </w:rPr>
        <w:t xml:space="preserve"> </w:t>
      </w:r>
      <w:r>
        <w:rPr>
          <w:w w:val="105"/>
          <w:sz w:val="15"/>
        </w:rPr>
        <w:t>la</w:t>
      </w:r>
      <w:r>
        <w:rPr>
          <w:spacing w:val="-3"/>
          <w:w w:val="105"/>
          <w:sz w:val="15"/>
        </w:rPr>
        <w:t xml:space="preserve"> </w:t>
      </w:r>
      <w:r>
        <w:rPr>
          <w:w w:val="105"/>
          <w:sz w:val="15"/>
        </w:rPr>
        <w:t>sección</w:t>
      </w:r>
      <w:r>
        <w:rPr>
          <w:spacing w:val="-3"/>
          <w:w w:val="105"/>
          <w:sz w:val="15"/>
        </w:rPr>
        <w:t xml:space="preserve"> </w:t>
      </w:r>
      <w:r>
        <w:rPr>
          <w:w w:val="105"/>
          <w:sz w:val="15"/>
        </w:rPr>
        <w:t>IV.C.3</w:t>
      </w:r>
      <w:r>
        <w:rPr>
          <w:spacing w:val="-4"/>
          <w:w w:val="105"/>
          <w:sz w:val="15"/>
        </w:rPr>
        <w:t xml:space="preserve"> </w:t>
      </w:r>
      <w:r>
        <w:rPr>
          <w:w w:val="105"/>
          <w:sz w:val="15"/>
        </w:rPr>
        <w:t>de</w:t>
      </w:r>
      <w:r>
        <w:rPr>
          <w:spacing w:val="-3"/>
          <w:w w:val="105"/>
          <w:sz w:val="15"/>
        </w:rPr>
        <w:t xml:space="preserve"> </w:t>
      </w:r>
      <w:r>
        <w:rPr>
          <w:w w:val="105"/>
          <w:sz w:val="15"/>
        </w:rPr>
        <w:t>esta</w:t>
      </w:r>
      <w:r>
        <w:rPr>
          <w:spacing w:val="-3"/>
          <w:w w:val="105"/>
          <w:sz w:val="15"/>
        </w:rPr>
        <w:t xml:space="preserve"> </w:t>
      </w:r>
      <w:r>
        <w:rPr>
          <w:w w:val="105"/>
          <w:sz w:val="15"/>
        </w:rPr>
        <w:t>parte) generalmente están dentro del derecho administrativo.</w:t>
      </w:r>
    </w:p>
    <w:p w14:paraId="6770C734" w14:textId="77777777" w:rsidR="0014798C" w:rsidRDefault="004E1F0B">
      <w:pPr>
        <w:spacing w:before="168" w:line="348" w:lineRule="auto"/>
        <w:ind w:left="1107" w:right="1301" w:hanging="1"/>
        <w:rPr>
          <w:sz w:val="15"/>
        </w:rPr>
      </w:pPr>
      <w:r>
        <w:rPr>
          <w:w w:val="105"/>
          <w:sz w:val="15"/>
        </w:rPr>
        <w:t>Como</w:t>
      </w:r>
      <w:r>
        <w:rPr>
          <w:spacing w:val="-4"/>
          <w:w w:val="105"/>
          <w:sz w:val="15"/>
        </w:rPr>
        <w:t xml:space="preserve"> </w:t>
      </w:r>
      <w:r>
        <w:rPr>
          <w:w w:val="105"/>
          <w:sz w:val="15"/>
        </w:rPr>
        <w:t>se</w:t>
      </w:r>
      <w:r>
        <w:rPr>
          <w:spacing w:val="-4"/>
          <w:w w:val="105"/>
          <w:sz w:val="15"/>
        </w:rPr>
        <w:t xml:space="preserve"> </w:t>
      </w:r>
      <w:r>
        <w:rPr>
          <w:w w:val="105"/>
          <w:sz w:val="15"/>
        </w:rPr>
        <w:t>señaló,</w:t>
      </w:r>
      <w:r>
        <w:rPr>
          <w:spacing w:val="-4"/>
          <w:w w:val="105"/>
          <w:sz w:val="15"/>
        </w:rPr>
        <w:t xml:space="preserve"> </w:t>
      </w:r>
      <w:r>
        <w:rPr>
          <w:w w:val="105"/>
          <w:sz w:val="15"/>
        </w:rPr>
        <w:t>algunas</w:t>
      </w:r>
      <w:r>
        <w:rPr>
          <w:spacing w:val="-4"/>
          <w:w w:val="105"/>
          <w:sz w:val="15"/>
        </w:rPr>
        <w:t xml:space="preserve"> </w:t>
      </w:r>
      <w:r>
        <w:rPr>
          <w:w w:val="105"/>
          <w:sz w:val="15"/>
        </w:rPr>
        <w:t>jurisdicciones</w:t>
      </w:r>
      <w:r>
        <w:rPr>
          <w:spacing w:val="-4"/>
          <w:w w:val="105"/>
          <w:sz w:val="15"/>
        </w:rPr>
        <w:t xml:space="preserve"> </w:t>
      </w:r>
      <w:r>
        <w:rPr>
          <w:w w:val="105"/>
          <w:sz w:val="15"/>
        </w:rPr>
        <w:t>tipifican</w:t>
      </w:r>
      <w:r>
        <w:rPr>
          <w:spacing w:val="-4"/>
          <w:w w:val="105"/>
          <w:sz w:val="15"/>
        </w:rPr>
        <w:t xml:space="preserve"> </w:t>
      </w:r>
      <w:r>
        <w:rPr>
          <w:w w:val="105"/>
          <w:sz w:val="15"/>
        </w:rPr>
        <w:t>como</w:t>
      </w:r>
      <w:r>
        <w:rPr>
          <w:spacing w:val="-4"/>
          <w:w w:val="105"/>
          <w:sz w:val="15"/>
        </w:rPr>
        <w:t xml:space="preserve"> </w:t>
      </w:r>
      <w:r>
        <w:rPr>
          <w:w w:val="105"/>
          <w:sz w:val="15"/>
        </w:rPr>
        <w:t>delito</w:t>
      </w:r>
      <w:r>
        <w:rPr>
          <w:spacing w:val="-4"/>
          <w:w w:val="105"/>
          <w:sz w:val="15"/>
        </w:rPr>
        <w:t xml:space="preserve"> </w:t>
      </w:r>
      <w:r>
        <w:rPr>
          <w:w w:val="105"/>
          <w:sz w:val="15"/>
        </w:rPr>
        <w:t>la</w:t>
      </w:r>
      <w:r>
        <w:rPr>
          <w:spacing w:val="-4"/>
          <w:w w:val="105"/>
          <w:sz w:val="15"/>
        </w:rPr>
        <w:t xml:space="preserve"> </w:t>
      </w:r>
      <w:r>
        <w:rPr>
          <w:w w:val="105"/>
          <w:sz w:val="15"/>
        </w:rPr>
        <w:t>discriminación,</w:t>
      </w:r>
      <w:r>
        <w:rPr>
          <w:spacing w:val="-3"/>
          <w:w w:val="105"/>
          <w:sz w:val="15"/>
        </w:rPr>
        <w:t xml:space="preserve"> </w:t>
      </w:r>
      <w:r>
        <w:rPr>
          <w:w w:val="105"/>
          <w:sz w:val="15"/>
        </w:rPr>
        <w:t>con</w:t>
      </w:r>
      <w:r>
        <w:rPr>
          <w:spacing w:val="-4"/>
          <w:w w:val="105"/>
          <w:sz w:val="15"/>
        </w:rPr>
        <w:t xml:space="preserve"> </w:t>
      </w:r>
      <w:r>
        <w:rPr>
          <w:w w:val="105"/>
          <w:sz w:val="15"/>
        </w:rPr>
        <w:t>el</w:t>
      </w:r>
      <w:r>
        <w:rPr>
          <w:spacing w:val="-4"/>
          <w:w w:val="105"/>
          <w:sz w:val="15"/>
        </w:rPr>
        <w:t xml:space="preserve"> </w:t>
      </w:r>
      <w:r>
        <w:rPr>
          <w:w w:val="105"/>
          <w:sz w:val="15"/>
        </w:rPr>
        <w:t>efecto</w:t>
      </w:r>
      <w:r>
        <w:rPr>
          <w:spacing w:val="-4"/>
          <w:w w:val="105"/>
          <w:sz w:val="15"/>
        </w:rPr>
        <w:t xml:space="preserve"> </w:t>
      </w:r>
      <w:r>
        <w:rPr>
          <w:w w:val="105"/>
          <w:sz w:val="15"/>
        </w:rPr>
        <w:t>de</w:t>
      </w:r>
      <w:r>
        <w:rPr>
          <w:spacing w:val="-4"/>
          <w:w w:val="105"/>
          <w:sz w:val="15"/>
        </w:rPr>
        <w:t xml:space="preserve"> </w:t>
      </w:r>
      <w:r>
        <w:rPr>
          <w:w w:val="105"/>
          <w:sz w:val="15"/>
        </w:rPr>
        <w:t>que</w:t>
      </w:r>
      <w:r>
        <w:rPr>
          <w:spacing w:val="-4"/>
          <w:w w:val="105"/>
          <w:sz w:val="15"/>
        </w:rPr>
        <w:t xml:space="preserve"> </w:t>
      </w:r>
      <w:r>
        <w:rPr>
          <w:w w:val="105"/>
          <w:sz w:val="15"/>
        </w:rPr>
        <w:t>las</w:t>
      </w:r>
      <w:r>
        <w:rPr>
          <w:spacing w:val="-4"/>
          <w:w w:val="105"/>
          <w:sz w:val="15"/>
        </w:rPr>
        <w:t xml:space="preserve"> </w:t>
      </w:r>
      <w:r>
        <w:rPr>
          <w:w w:val="105"/>
          <w:sz w:val="15"/>
        </w:rPr>
        <w:t>sanciones</w:t>
      </w:r>
      <w:r>
        <w:rPr>
          <w:spacing w:val="-4"/>
          <w:w w:val="105"/>
          <w:sz w:val="15"/>
        </w:rPr>
        <w:t xml:space="preserve"> </w:t>
      </w:r>
      <w:r>
        <w:rPr>
          <w:w w:val="105"/>
          <w:sz w:val="15"/>
        </w:rPr>
        <w:t>incluyen</w:t>
      </w:r>
      <w:r>
        <w:rPr>
          <w:spacing w:val="-4"/>
          <w:w w:val="105"/>
          <w:sz w:val="15"/>
        </w:rPr>
        <w:t xml:space="preserve"> </w:t>
      </w:r>
      <w:r>
        <w:rPr>
          <w:w w:val="105"/>
          <w:sz w:val="15"/>
        </w:rPr>
        <w:t>–además de</w:t>
      </w:r>
      <w:r>
        <w:rPr>
          <w:spacing w:val="-10"/>
          <w:w w:val="105"/>
          <w:sz w:val="15"/>
        </w:rPr>
        <w:t xml:space="preserve"> </w:t>
      </w:r>
      <w:r>
        <w:rPr>
          <w:w w:val="105"/>
          <w:sz w:val="15"/>
        </w:rPr>
        <w:t>multas</w:t>
      </w:r>
      <w:r>
        <w:rPr>
          <w:spacing w:val="-10"/>
          <w:w w:val="105"/>
          <w:sz w:val="15"/>
        </w:rPr>
        <w:t xml:space="preserve"> </w:t>
      </w:r>
      <w:r>
        <w:rPr>
          <w:w w:val="105"/>
          <w:sz w:val="15"/>
        </w:rPr>
        <w:t>y</w:t>
      </w:r>
      <w:r>
        <w:rPr>
          <w:spacing w:val="-10"/>
          <w:w w:val="105"/>
          <w:sz w:val="15"/>
        </w:rPr>
        <w:t xml:space="preserve"> </w:t>
      </w:r>
      <w:r>
        <w:rPr>
          <w:w w:val="105"/>
          <w:sz w:val="15"/>
        </w:rPr>
        <w:t>penas–</w:t>
      </w:r>
      <w:r>
        <w:rPr>
          <w:spacing w:val="-10"/>
          <w:w w:val="105"/>
          <w:sz w:val="15"/>
        </w:rPr>
        <w:t xml:space="preserve"> </w:t>
      </w:r>
      <w:r>
        <w:rPr>
          <w:w w:val="105"/>
          <w:sz w:val="15"/>
        </w:rPr>
        <w:t>la</w:t>
      </w:r>
      <w:r>
        <w:rPr>
          <w:spacing w:val="-10"/>
          <w:w w:val="105"/>
          <w:sz w:val="15"/>
        </w:rPr>
        <w:t xml:space="preserve"> </w:t>
      </w:r>
      <w:r>
        <w:rPr>
          <w:w w:val="105"/>
          <w:sz w:val="15"/>
        </w:rPr>
        <w:t>privación</w:t>
      </w:r>
      <w:r>
        <w:rPr>
          <w:spacing w:val="-10"/>
          <w:w w:val="105"/>
          <w:sz w:val="15"/>
        </w:rPr>
        <w:t xml:space="preserve"> </w:t>
      </w:r>
      <w:r>
        <w:rPr>
          <w:w w:val="105"/>
          <w:sz w:val="15"/>
        </w:rPr>
        <w:t>de</w:t>
      </w:r>
      <w:r>
        <w:rPr>
          <w:spacing w:val="-10"/>
          <w:w w:val="105"/>
          <w:sz w:val="15"/>
        </w:rPr>
        <w:t xml:space="preserve"> </w:t>
      </w:r>
      <w:r>
        <w:rPr>
          <w:w w:val="105"/>
          <w:sz w:val="15"/>
        </w:rPr>
        <w:t>libertad.</w:t>
      </w:r>
      <w:r>
        <w:rPr>
          <w:spacing w:val="-10"/>
          <w:w w:val="105"/>
          <w:sz w:val="15"/>
        </w:rPr>
        <w:t xml:space="preserve"> </w:t>
      </w:r>
      <w:r>
        <w:rPr>
          <w:w w:val="105"/>
          <w:sz w:val="15"/>
        </w:rPr>
        <w:t>Sin</w:t>
      </w:r>
      <w:r>
        <w:rPr>
          <w:spacing w:val="-10"/>
          <w:w w:val="105"/>
          <w:sz w:val="15"/>
        </w:rPr>
        <w:t xml:space="preserve"> </w:t>
      </w:r>
      <w:r>
        <w:rPr>
          <w:w w:val="105"/>
          <w:sz w:val="15"/>
        </w:rPr>
        <w:t>embargo,</w:t>
      </w:r>
      <w:r>
        <w:rPr>
          <w:spacing w:val="-10"/>
          <w:w w:val="105"/>
          <w:sz w:val="15"/>
        </w:rPr>
        <w:t xml:space="preserve"> </w:t>
      </w:r>
      <w:r>
        <w:rPr>
          <w:w w:val="105"/>
          <w:sz w:val="15"/>
        </w:rPr>
        <w:t>por</w:t>
      </w:r>
      <w:r>
        <w:rPr>
          <w:spacing w:val="-10"/>
          <w:w w:val="105"/>
          <w:sz w:val="15"/>
        </w:rPr>
        <w:t xml:space="preserve"> </w:t>
      </w:r>
      <w:r>
        <w:rPr>
          <w:w w:val="105"/>
          <w:sz w:val="15"/>
        </w:rPr>
        <w:t>las</w:t>
      </w:r>
      <w:r>
        <w:rPr>
          <w:spacing w:val="-10"/>
          <w:w w:val="105"/>
          <w:sz w:val="15"/>
        </w:rPr>
        <w:t xml:space="preserve"> </w:t>
      </w:r>
      <w:r>
        <w:rPr>
          <w:w w:val="105"/>
          <w:sz w:val="15"/>
        </w:rPr>
        <w:t>razones</w:t>
      </w:r>
      <w:r>
        <w:rPr>
          <w:spacing w:val="-10"/>
          <w:w w:val="105"/>
          <w:sz w:val="15"/>
        </w:rPr>
        <w:t xml:space="preserve"> </w:t>
      </w:r>
      <w:r>
        <w:rPr>
          <w:w w:val="105"/>
          <w:sz w:val="15"/>
        </w:rPr>
        <w:t>expuestas</w:t>
      </w:r>
      <w:r>
        <w:rPr>
          <w:spacing w:val="-10"/>
          <w:w w:val="105"/>
          <w:sz w:val="15"/>
        </w:rPr>
        <w:t xml:space="preserve"> </w:t>
      </w:r>
      <w:r>
        <w:rPr>
          <w:w w:val="105"/>
          <w:sz w:val="15"/>
        </w:rPr>
        <w:t>anteriormente,</w:t>
      </w:r>
      <w:r>
        <w:rPr>
          <w:spacing w:val="-9"/>
          <w:w w:val="105"/>
          <w:sz w:val="15"/>
        </w:rPr>
        <w:t xml:space="preserve"> </w:t>
      </w:r>
      <w:r>
        <w:rPr>
          <w:w w:val="105"/>
          <w:sz w:val="15"/>
        </w:rPr>
        <w:t>la</w:t>
      </w:r>
      <w:r>
        <w:rPr>
          <w:spacing w:val="-10"/>
          <w:w w:val="105"/>
          <w:sz w:val="15"/>
        </w:rPr>
        <w:t xml:space="preserve"> </w:t>
      </w:r>
      <w:r>
        <w:rPr>
          <w:w w:val="105"/>
          <w:sz w:val="15"/>
        </w:rPr>
        <w:t>aplicación</w:t>
      </w:r>
      <w:r>
        <w:rPr>
          <w:spacing w:val="-10"/>
          <w:w w:val="105"/>
          <w:sz w:val="15"/>
        </w:rPr>
        <w:t xml:space="preserve"> </w:t>
      </w:r>
      <w:r>
        <w:rPr>
          <w:w w:val="105"/>
          <w:sz w:val="15"/>
        </w:rPr>
        <w:t>de</w:t>
      </w:r>
      <w:r>
        <w:rPr>
          <w:spacing w:val="-10"/>
          <w:w w:val="105"/>
          <w:sz w:val="15"/>
        </w:rPr>
        <w:t xml:space="preserve"> </w:t>
      </w:r>
      <w:r>
        <w:rPr>
          <w:w w:val="105"/>
          <w:sz w:val="15"/>
        </w:rPr>
        <w:t>sanciones</w:t>
      </w:r>
      <w:r>
        <w:rPr>
          <w:spacing w:val="-10"/>
          <w:w w:val="105"/>
          <w:sz w:val="15"/>
        </w:rPr>
        <w:t xml:space="preserve"> </w:t>
      </w:r>
      <w:r>
        <w:rPr>
          <w:w w:val="105"/>
          <w:sz w:val="15"/>
        </w:rPr>
        <w:t>penales para</w:t>
      </w:r>
      <w:r>
        <w:rPr>
          <w:spacing w:val="-8"/>
          <w:w w:val="105"/>
          <w:sz w:val="15"/>
        </w:rPr>
        <w:t xml:space="preserve"> </w:t>
      </w:r>
      <w:r>
        <w:rPr>
          <w:w w:val="105"/>
          <w:sz w:val="15"/>
        </w:rPr>
        <w:t>casos</w:t>
      </w:r>
      <w:r>
        <w:rPr>
          <w:spacing w:val="-8"/>
          <w:w w:val="105"/>
          <w:sz w:val="15"/>
        </w:rPr>
        <w:t xml:space="preserve"> </w:t>
      </w:r>
      <w:r>
        <w:rPr>
          <w:w w:val="105"/>
          <w:sz w:val="15"/>
        </w:rPr>
        <w:t>de</w:t>
      </w:r>
      <w:r>
        <w:rPr>
          <w:spacing w:val="-8"/>
          <w:w w:val="105"/>
          <w:sz w:val="15"/>
        </w:rPr>
        <w:t xml:space="preserve"> </w:t>
      </w:r>
      <w:r>
        <w:rPr>
          <w:w w:val="105"/>
          <w:sz w:val="15"/>
        </w:rPr>
        <w:t>discriminación</w:t>
      </w:r>
      <w:r>
        <w:rPr>
          <w:spacing w:val="-8"/>
          <w:w w:val="105"/>
          <w:sz w:val="15"/>
        </w:rPr>
        <w:t xml:space="preserve"> </w:t>
      </w:r>
      <w:r>
        <w:rPr>
          <w:w w:val="105"/>
          <w:sz w:val="15"/>
        </w:rPr>
        <w:t>que</w:t>
      </w:r>
      <w:r>
        <w:rPr>
          <w:spacing w:val="-8"/>
          <w:w w:val="105"/>
          <w:sz w:val="15"/>
        </w:rPr>
        <w:t xml:space="preserve"> </w:t>
      </w:r>
      <w:r>
        <w:rPr>
          <w:w w:val="105"/>
          <w:sz w:val="15"/>
        </w:rPr>
        <w:t>no</w:t>
      </w:r>
      <w:r>
        <w:rPr>
          <w:spacing w:val="-8"/>
          <w:w w:val="105"/>
          <w:sz w:val="15"/>
        </w:rPr>
        <w:t xml:space="preserve"> </w:t>
      </w:r>
      <w:r>
        <w:rPr>
          <w:w w:val="105"/>
          <w:sz w:val="15"/>
        </w:rPr>
        <w:t>implican</w:t>
      </w:r>
      <w:r>
        <w:rPr>
          <w:spacing w:val="-8"/>
          <w:w w:val="105"/>
          <w:sz w:val="15"/>
        </w:rPr>
        <w:t xml:space="preserve"> </w:t>
      </w:r>
      <w:r>
        <w:rPr>
          <w:w w:val="105"/>
          <w:sz w:val="15"/>
        </w:rPr>
        <w:t>violencia</w:t>
      </w:r>
      <w:r>
        <w:rPr>
          <w:spacing w:val="-8"/>
          <w:w w:val="105"/>
          <w:sz w:val="15"/>
        </w:rPr>
        <w:t xml:space="preserve"> </w:t>
      </w:r>
      <w:r>
        <w:rPr>
          <w:w w:val="105"/>
          <w:sz w:val="15"/>
        </w:rPr>
        <w:t>o</w:t>
      </w:r>
      <w:r>
        <w:rPr>
          <w:spacing w:val="-8"/>
          <w:w w:val="105"/>
          <w:sz w:val="15"/>
        </w:rPr>
        <w:t xml:space="preserve"> </w:t>
      </w:r>
      <w:r>
        <w:rPr>
          <w:w w:val="105"/>
          <w:sz w:val="15"/>
        </w:rPr>
        <w:t>crímenes</w:t>
      </w:r>
      <w:r>
        <w:rPr>
          <w:spacing w:val="-8"/>
          <w:w w:val="105"/>
          <w:sz w:val="15"/>
        </w:rPr>
        <w:t xml:space="preserve"> </w:t>
      </w:r>
      <w:r>
        <w:rPr>
          <w:w w:val="105"/>
          <w:sz w:val="15"/>
        </w:rPr>
        <w:t>de</w:t>
      </w:r>
      <w:r>
        <w:rPr>
          <w:spacing w:val="-8"/>
          <w:w w:val="105"/>
          <w:sz w:val="15"/>
        </w:rPr>
        <w:t xml:space="preserve"> </w:t>
      </w:r>
      <w:r>
        <w:rPr>
          <w:w w:val="105"/>
          <w:sz w:val="15"/>
        </w:rPr>
        <w:t>odio</w:t>
      </w:r>
      <w:r>
        <w:rPr>
          <w:spacing w:val="-8"/>
          <w:w w:val="105"/>
          <w:sz w:val="15"/>
        </w:rPr>
        <w:t xml:space="preserve"> </w:t>
      </w:r>
      <w:r>
        <w:rPr>
          <w:w w:val="105"/>
          <w:sz w:val="15"/>
        </w:rPr>
        <w:t>es</w:t>
      </w:r>
      <w:r>
        <w:rPr>
          <w:spacing w:val="-8"/>
          <w:w w:val="105"/>
          <w:sz w:val="15"/>
        </w:rPr>
        <w:t xml:space="preserve"> </w:t>
      </w:r>
      <w:r>
        <w:rPr>
          <w:w w:val="105"/>
          <w:sz w:val="15"/>
        </w:rPr>
        <w:t>desproporcionada</w:t>
      </w:r>
      <w:r>
        <w:rPr>
          <w:spacing w:val="-8"/>
          <w:w w:val="105"/>
          <w:sz w:val="15"/>
        </w:rPr>
        <w:t xml:space="preserve"> </w:t>
      </w:r>
      <w:r>
        <w:rPr>
          <w:w w:val="105"/>
          <w:sz w:val="15"/>
        </w:rPr>
        <w:t>y</w:t>
      </w:r>
      <w:r>
        <w:rPr>
          <w:spacing w:val="-8"/>
          <w:w w:val="105"/>
          <w:sz w:val="15"/>
        </w:rPr>
        <w:t xml:space="preserve"> </w:t>
      </w:r>
      <w:r>
        <w:rPr>
          <w:w w:val="105"/>
          <w:sz w:val="15"/>
        </w:rPr>
        <w:t>probablemente</w:t>
      </w:r>
      <w:r>
        <w:rPr>
          <w:spacing w:val="-8"/>
          <w:w w:val="105"/>
          <w:sz w:val="15"/>
        </w:rPr>
        <w:t xml:space="preserve"> </w:t>
      </w:r>
      <w:r>
        <w:rPr>
          <w:w w:val="105"/>
          <w:sz w:val="15"/>
        </w:rPr>
        <w:t>sea</w:t>
      </w:r>
      <w:r>
        <w:rPr>
          <w:spacing w:val="-8"/>
          <w:w w:val="105"/>
          <w:sz w:val="15"/>
        </w:rPr>
        <w:t xml:space="preserve"> </w:t>
      </w:r>
      <w:r>
        <w:rPr>
          <w:w w:val="105"/>
          <w:sz w:val="15"/>
        </w:rPr>
        <w:t>ineficaz</w:t>
      </w:r>
      <w:r>
        <w:rPr>
          <w:spacing w:val="-8"/>
          <w:w w:val="105"/>
          <w:sz w:val="15"/>
        </w:rPr>
        <w:t xml:space="preserve"> </w:t>
      </w:r>
      <w:r>
        <w:rPr>
          <w:w w:val="105"/>
          <w:sz w:val="15"/>
        </w:rPr>
        <w:t>por</w:t>
      </w:r>
      <w:r>
        <w:rPr>
          <w:spacing w:val="-8"/>
          <w:w w:val="105"/>
          <w:sz w:val="15"/>
        </w:rPr>
        <w:t xml:space="preserve"> </w:t>
      </w:r>
      <w:r>
        <w:rPr>
          <w:w w:val="105"/>
          <w:sz w:val="15"/>
        </w:rPr>
        <w:t>una serie de razones prácticas.</w:t>
      </w:r>
    </w:p>
    <w:p w14:paraId="6C96FF50" w14:textId="77777777" w:rsidR="0014798C" w:rsidRDefault="0014798C">
      <w:pPr>
        <w:pStyle w:val="Textoindependiente"/>
        <w:rPr>
          <w:sz w:val="13"/>
        </w:rPr>
      </w:pPr>
    </w:p>
    <w:p w14:paraId="77CD8FB4" w14:textId="77777777" w:rsidR="0014798C" w:rsidRDefault="0014798C">
      <w:pPr>
        <w:pStyle w:val="Textoindependiente"/>
        <w:rPr>
          <w:sz w:val="13"/>
        </w:rPr>
      </w:pPr>
    </w:p>
    <w:p w14:paraId="240EDF1C" w14:textId="77777777" w:rsidR="0014798C" w:rsidRDefault="0014798C">
      <w:pPr>
        <w:pStyle w:val="Textoindependiente"/>
        <w:rPr>
          <w:sz w:val="13"/>
        </w:rPr>
      </w:pPr>
    </w:p>
    <w:p w14:paraId="6991EC3E" w14:textId="77777777" w:rsidR="0014798C" w:rsidRDefault="0014798C">
      <w:pPr>
        <w:pStyle w:val="Textoindependiente"/>
        <w:rPr>
          <w:sz w:val="13"/>
        </w:rPr>
      </w:pPr>
    </w:p>
    <w:p w14:paraId="1E20F3C5" w14:textId="77777777" w:rsidR="0014798C" w:rsidRDefault="0014798C">
      <w:pPr>
        <w:pStyle w:val="Textoindependiente"/>
        <w:rPr>
          <w:sz w:val="13"/>
        </w:rPr>
      </w:pPr>
    </w:p>
    <w:p w14:paraId="71349FF5" w14:textId="77777777" w:rsidR="0014798C" w:rsidRDefault="0014798C">
      <w:pPr>
        <w:pStyle w:val="Textoindependiente"/>
        <w:rPr>
          <w:sz w:val="13"/>
        </w:rPr>
      </w:pPr>
    </w:p>
    <w:p w14:paraId="0AE98094" w14:textId="77777777" w:rsidR="0014798C" w:rsidRDefault="0014798C">
      <w:pPr>
        <w:pStyle w:val="Textoindependiente"/>
        <w:rPr>
          <w:sz w:val="13"/>
        </w:rPr>
      </w:pPr>
    </w:p>
    <w:p w14:paraId="3AF669EF" w14:textId="77777777" w:rsidR="0014798C" w:rsidRDefault="0014798C">
      <w:pPr>
        <w:pStyle w:val="Textoindependiente"/>
        <w:rPr>
          <w:sz w:val="13"/>
        </w:rPr>
      </w:pPr>
    </w:p>
    <w:p w14:paraId="1A4ACA32" w14:textId="77777777" w:rsidR="0014798C" w:rsidRDefault="0014798C">
      <w:pPr>
        <w:pStyle w:val="Textoindependiente"/>
        <w:spacing w:before="26"/>
        <w:rPr>
          <w:sz w:val="13"/>
        </w:rPr>
      </w:pPr>
    </w:p>
    <w:p w14:paraId="423BA7DF" w14:textId="77777777" w:rsidR="0014798C" w:rsidRDefault="004E1F0B">
      <w:pPr>
        <w:spacing w:before="1"/>
        <w:ind w:left="1107"/>
        <w:rPr>
          <w:sz w:val="13"/>
        </w:rPr>
      </w:pPr>
      <w:r>
        <w:rPr>
          <w:spacing w:val="-2"/>
          <w:w w:val="105"/>
          <w:sz w:val="13"/>
        </w:rPr>
        <w:t>593</w:t>
      </w:r>
      <w:r>
        <w:rPr>
          <w:w w:val="105"/>
          <w:sz w:val="13"/>
        </w:rPr>
        <w:t xml:space="preserve"> </w:t>
      </w:r>
      <w:r>
        <w:rPr>
          <w:spacing w:val="-2"/>
          <w:w w:val="105"/>
          <w:sz w:val="13"/>
        </w:rPr>
        <w:t>Isabelle</w:t>
      </w:r>
      <w:r>
        <w:rPr>
          <w:w w:val="105"/>
          <w:sz w:val="13"/>
        </w:rPr>
        <w:t xml:space="preserve"> </w:t>
      </w:r>
      <w:r>
        <w:rPr>
          <w:spacing w:val="-2"/>
          <w:w w:val="105"/>
          <w:sz w:val="13"/>
        </w:rPr>
        <w:t>Chopin,</w:t>
      </w:r>
      <w:r>
        <w:rPr>
          <w:w w:val="105"/>
          <w:sz w:val="13"/>
        </w:rPr>
        <w:t xml:space="preserve"> </w:t>
      </w:r>
      <w:proofErr w:type="spellStart"/>
      <w:r>
        <w:rPr>
          <w:spacing w:val="-2"/>
          <w:w w:val="105"/>
          <w:sz w:val="13"/>
        </w:rPr>
        <w:t>Carmine</w:t>
      </w:r>
      <w:proofErr w:type="spellEnd"/>
      <w:r>
        <w:rPr>
          <w:w w:val="105"/>
          <w:sz w:val="13"/>
        </w:rPr>
        <w:t xml:space="preserve"> </w:t>
      </w:r>
      <w:r>
        <w:rPr>
          <w:spacing w:val="-2"/>
          <w:w w:val="105"/>
          <w:sz w:val="13"/>
        </w:rPr>
        <w:t>Conte</w:t>
      </w:r>
      <w:r>
        <w:rPr>
          <w:w w:val="105"/>
          <w:sz w:val="13"/>
        </w:rPr>
        <w:t xml:space="preserve"> </w:t>
      </w:r>
      <w:r>
        <w:rPr>
          <w:spacing w:val="-2"/>
          <w:w w:val="105"/>
          <w:sz w:val="13"/>
        </w:rPr>
        <w:t>y</w:t>
      </w:r>
      <w:r>
        <w:rPr>
          <w:w w:val="105"/>
          <w:sz w:val="13"/>
        </w:rPr>
        <w:t xml:space="preserve"> </w:t>
      </w:r>
      <w:r>
        <w:rPr>
          <w:spacing w:val="-2"/>
          <w:w w:val="105"/>
          <w:sz w:val="13"/>
        </w:rPr>
        <w:t xml:space="preserve">Edith </w:t>
      </w:r>
      <w:proofErr w:type="spellStart"/>
      <w:r>
        <w:rPr>
          <w:spacing w:val="-2"/>
          <w:w w:val="105"/>
          <w:sz w:val="13"/>
        </w:rPr>
        <w:t>Chambrier</w:t>
      </w:r>
      <w:proofErr w:type="spellEnd"/>
      <w:r>
        <w:rPr>
          <w:w w:val="105"/>
          <w:sz w:val="13"/>
        </w:rPr>
        <w:t xml:space="preserve"> </w:t>
      </w:r>
      <w:r>
        <w:rPr>
          <w:spacing w:val="-2"/>
          <w:w w:val="105"/>
          <w:sz w:val="13"/>
        </w:rPr>
        <w:t>(por</w:t>
      </w:r>
      <w:r>
        <w:rPr>
          <w:w w:val="105"/>
          <w:sz w:val="13"/>
        </w:rPr>
        <w:t xml:space="preserve"> </w:t>
      </w:r>
      <w:r>
        <w:rPr>
          <w:spacing w:val="-2"/>
          <w:w w:val="105"/>
          <w:sz w:val="13"/>
        </w:rPr>
        <w:t>la</w:t>
      </w:r>
      <w:r>
        <w:rPr>
          <w:spacing w:val="1"/>
          <w:w w:val="105"/>
          <w:sz w:val="13"/>
        </w:rPr>
        <w:t xml:space="preserve"> </w:t>
      </w:r>
      <w:r>
        <w:rPr>
          <w:spacing w:val="-2"/>
          <w:w w:val="105"/>
          <w:sz w:val="13"/>
        </w:rPr>
        <w:t>Red</w:t>
      </w:r>
      <w:r>
        <w:rPr>
          <w:w w:val="105"/>
          <w:sz w:val="13"/>
        </w:rPr>
        <w:t xml:space="preserve"> </w:t>
      </w:r>
      <w:r>
        <w:rPr>
          <w:spacing w:val="-2"/>
          <w:w w:val="105"/>
          <w:sz w:val="13"/>
        </w:rPr>
        <w:t>Europea</w:t>
      </w:r>
      <w:r>
        <w:rPr>
          <w:w w:val="105"/>
          <w:sz w:val="13"/>
        </w:rPr>
        <w:t xml:space="preserve"> </w:t>
      </w:r>
      <w:r>
        <w:rPr>
          <w:spacing w:val="-2"/>
          <w:w w:val="105"/>
          <w:sz w:val="13"/>
        </w:rPr>
        <w:t>de</w:t>
      </w:r>
      <w:r>
        <w:rPr>
          <w:w w:val="105"/>
          <w:sz w:val="13"/>
        </w:rPr>
        <w:t xml:space="preserve"> </w:t>
      </w:r>
      <w:r>
        <w:rPr>
          <w:spacing w:val="-2"/>
          <w:w w:val="105"/>
          <w:sz w:val="13"/>
        </w:rPr>
        <w:t>Expertos Jurídicos</w:t>
      </w:r>
      <w:r>
        <w:rPr>
          <w:spacing w:val="-1"/>
          <w:w w:val="105"/>
          <w:sz w:val="13"/>
        </w:rPr>
        <w:t xml:space="preserve"> </w:t>
      </w:r>
      <w:r>
        <w:rPr>
          <w:spacing w:val="-2"/>
          <w:w w:val="105"/>
          <w:sz w:val="13"/>
        </w:rPr>
        <w:t>en</w:t>
      </w:r>
      <w:r>
        <w:rPr>
          <w:w w:val="105"/>
          <w:sz w:val="13"/>
        </w:rPr>
        <w:t xml:space="preserve"> </w:t>
      </w:r>
      <w:r>
        <w:rPr>
          <w:spacing w:val="-2"/>
          <w:w w:val="105"/>
          <w:sz w:val="13"/>
        </w:rPr>
        <w:t>Igualdad</w:t>
      </w:r>
      <w:r>
        <w:rPr>
          <w:w w:val="105"/>
          <w:sz w:val="13"/>
        </w:rPr>
        <w:t xml:space="preserve"> </w:t>
      </w:r>
      <w:r>
        <w:rPr>
          <w:spacing w:val="-2"/>
          <w:w w:val="105"/>
          <w:sz w:val="13"/>
        </w:rPr>
        <w:t>de</w:t>
      </w:r>
      <w:r>
        <w:rPr>
          <w:w w:val="105"/>
          <w:sz w:val="13"/>
        </w:rPr>
        <w:t xml:space="preserve"> </w:t>
      </w:r>
      <w:r>
        <w:rPr>
          <w:spacing w:val="-2"/>
          <w:w w:val="105"/>
          <w:sz w:val="13"/>
        </w:rPr>
        <w:t>Género</w:t>
      </w:r>
      <w:r>
        <w:rPr>
          <w:w w:val="105"/>
          <w:sz w:val="13"/>
        </w:rPr>
        <w:t xml:space="preserve"> </w:t>
      </w:r>
      <w:r>
        <w:rPr>
          <w:spacing w:val="-2"/>
          <w:w w:val="105"/>
          <w:sz w:val="13"/>
        </w:rPr>
        <w:t>y</w:t>
      </w:r>
      <w:r>
        <w:rPr>
          <w:w w:val="105"/>
          <w:sz w:val="13"/>
        </w:rPr>
        <w:t xml:space="preserve"> </w:t>
      </w:r>
      <w:r>
        <w:rPr>
          <w:spacing w:val="-5"/>
          <w:w w:val="105"/>
          <w:sz w:val="13"/>
        </w:rPr>
        <w:t>No</w:t>
      </w:r>
    </w:p>
    <w:p w14:paraId="05A3E956" w14:textId="77777777" w:rsidR="0014798C" w:rsidRDefault="004E1F0B">
      <w:pPr>
        <w:spacing w:before="37"/>
        <w:ind w:left="1367"/>
        <w:rPr>
          <w:sz w:val="11"/>
        </w:rPr>
      </w:pPr>
      <w:r>
        <w:rPr>
          <w:sz w:val="11"/>
        </w:rPr>
        <w:t>Discriminación),</w:t>
      </w:r>
      <w:r>
        <w:rPr>
          <w:spacing w:val="-6"/>
          <w:sz w:val="11"/>
        </w:rPr>
        <w:t xml:space="preserve"> </w:t>
      </w:r>
      <w:r>
        <w:rPr>
          <w:sz w:val="11"/>
        </w:rPr>
        <w:t>Un</w:t>
      </w:r>
      <w:r>
        <w:rPr>
          <w:spacing w:val="-5"/>
          <w:sz w:val="11"/>
        </w:rPr>
        <w:t xml:space="preserve"> </w:t>
      </w:r>
      <w:r>
        <w:rPr>
          <w:sz w:val="11"/>
        </w:rPr>
        <w:t>análisis</w:t>
      </w:r>
      <w:r>
        <w:rPr>
          <w:spacing w:val="-4"/>
          <w:sz w:val="11"/>
        </w:rPr>
        <w:t xml:space="preserve"> </w:t>
      </w:r>
      <w:r>
        <w:rPr>
          <w:sz w:val="11"/>
        </w:rPr>
        <w:t>comparativo</w:t>
      </w:r>
      <w:r>
        <w:rPr>
          <w:spacing w:val="-5"/>
          <w:sz w:val="11"/>
        </w:rPr>
        <w:t xml:space="preserve"> </w:t>
      </w:r>
      <w:r>
        <w:rPr>
          <w:sz w:val="11"/>
        </w:rPr>
        <w:t>de</w:t>
      </w:r>
      <w:r>
        <w:rPr>
          <w:spacing w:val="-5"/>
          <w:sz w:val="11"/>
        </w:rPr>
        <w:t xml:space="preserve"> </w:t>
      </w:r>
      <w:r>
        <w:rPr>
          <w:sz w:val="11"/>
        </w:rPr>
        <w:t>la</w:t>
      </w:r>
      <w:r>
        <w:rPr>
          <w:spacing w:val="-4"/>
          <w:sz w:val="11"/>
        </w:rPr>
        <w:t xml:space="preserve"> </w:t>
      </w:r>
      <w:r>
        <w:rPr>
          <w:sz w:val="11"/>
        </w:rPr>
        <w:t>legislación</w:t>
      </w:r>
      <w:r>
        <w:rPr>
          <w:spacing w:val="-5"/>
          <w:sz w:val="11"/>
        </w:rPr>
        <w:t xml:space="preserve"> </w:t>
      </w:r>
      <w:r>
        <w:rPr>
          <w:sz w:val="11"/>
        </w:rPr>
        <w:t>sobre</w:t>
      </w:r>
      <w:r>
        <w:rPr>
          <w:spacing w:val="-4"/>
          <w:sz w:val="11"/>
        </w:rPr>
        <w:t xml:space="preserve"> </w:t>
      </w:r>
      <w:r>
        <w:rPr>
          <w:sz w:val="11"/>
        </w:rPr>
        <w:t>no</w:t>
      </w:r>
      <w:r>
        <w:rPr>
          <w:spacing w:val="-5"/>
          <w:sz w:val="11"/>
        </w:rPr>
        <w:t xml:space="preserve"> </w:t>
      </w:r>
      <w:r>
        <w:rPr>
          <w:sz w:val="11"/>
        </w:rPr>
        <w:t>discriminación</w:t>
      </w:r>
      <w:r>
        <w:rPr>
          <w:spacing w:val="-5"/>
          <w:sz w:val="11"/>
        </w:rPr>
        <w:t xml:space="preserve"> </w:t>
      </w:r>
      <w:r>
        <w:rPr>
          <w:sz w:val="11"/>
        </w:rPr>
        <w:t>en</w:t>
      </w:r>
      <w:r>
        <w:rPr>
          <w:spacing w:val="-4"/>
          <w:sz w:val="11"/>
        </w:rPr>
        <w:t xml:space="preserve"> </w:t>
      </w:r>
      <w:r>
        <w:rPr>
          <w:sz w:val="11"/>
        </w:rPr>
        <w:t>Europa</w:t>
      </w:r>
      <w:r>
        <w:rPr>
          <w:spacing w:val="-5"/>
          <w:sz w:val="11"/>
        </w:rPr>
        <w:t xml:space="preserve"> </w:t>
      </w:r>
      <w:r>
        <w:rPr>
          <w:sz w:val="11"/>
        </w:rPr>
        <w:t>2018</w:t>
      </w:r>
      <w:r>
        <w:rPr>
          <w:spacing w:val="-4"/>
          <w:sz w:val="11"/>
        </w:rPr>
        <w:t xml:space="preserve"> </w:t>
      </w:r>
      <w:r>
        <w:rPr>
          <w:sz w:val="11"/>
        </w:rPr>
        <w:t>(Luxemburgo,</w:t>
      </w:r>
      <w:r>
        <w:rPr>
          <w:spacing w:val="-5"/>
          <w:sz w:val="11"/>
        </w:rPr>
        <w:t xml:space="preserve"> </w:t>
      </w:r>
      <w:r>
        <w:rPr>
          <w:sz w:val="11"/>
        </w:rPr>
        <w:t>Oficina</w:t>
      </w:r>
      <w:r>
        <w:rPr>
          <w:spacing w:val="-5"/>
          <w:sz w:val="11"/>
        </w:rPr>
        <w:t xml:space="preserve"> </w:t>
      </w:r>
      <w:r>
        <w:rPr>
          <w:sz w:val="11"/>
        </w:rPr>
        <w:t>de</w:t>
      </w:r>
      <w:r>
        <w:rPr>
          <w:spacing w:val="-5"/>
          <w:sz w:val="11"/>
        </w:rPr>
        <w:t xml:space="preserve"> </w:t>
      </w:r>
      <w:r>
        <w:rPr>
          <w:sz w:val="11"/>
        </w:rPr>
        <w:t>Publicaciones</w:t>
      </w:r>
      <w:r>
        <w:rPr>
          <w:spacing w:val="-6"/>
          <w:sz w:val="11"/>
        </w:rPr>
        <w:t xml:space="preserve"> </w:t>
      </w:r>
      <w:r>
        <w:rPr>
          <w:sz w:val="11"/>
        </w:rPr>
        <w:t>de</w:t>
      </w:r>
      <w:r>
        <w:rPr>
          <w:spacing w:val="-4"/>
          <w:sz w:val="11"/>
        </w:rPr>
        <w:t xml:space="preserve"> </w:t>
      </w:r>
      <w:r>
        <w:rPr>
          <w:sz w:val="11"/>
        </w:rPr>
        <w:t>la</w:t>
      </w:r>
      <w:r>
        <w:rPr>
          <w:spacing w:val="-5"/>
          <w:sz w:val="11"/>
        </w:rPr>
        <w:t xml:space="preserve"> </w:t>
      </w:r>
      <w:r>
        <w:rPr>
          <w:sz w:val="11"/>
        </w:rPr>
        <w:t>Unión</w:t>
      </w:r>
      <w:r>
        <w:rPr>
          <w:spacing w:val="-4"/>
          <w:sz w:val="11"/>
        </w:rPr>
        <w:t xml:space="preserve"> </w:t>
      </w:r>
      <w:r>
        <w:rPr>
          <w:sz w:val="11"/>
        </w:rPr>
        <w:t>Europea,</w:t>
      </w:r>
      <w:r>
        <w:rPr>
          <w:spacing w:val="-5"/>
          <w:sz w:val="11"/>
        </w:rPr>
        <w:t xml:space="preserve"> </w:t>
      </w:r>
      <w:r>
        <w:rPr>
          <w:sz w:val="11"/>
        </w:rPr>
        <w:t>2019),</w:t>
      </w:r>
      <w:r>
        <w:rPr>
          <w:spacing w:val="-4"/>
          <w:sz w:val="11"/>
        </w:rPr>
        <w:t xml:space="preserve"> </w:t>
      </w:r>
      <w:r>
        <w:rPr>
          <w:spacing w:val="-2"/>
          <w:sz w:val="11"/>
        </w:rPr>
        <w:t>págs.</w:t>
      </w:r>
    </w:p>
    <w:p w14:paraId="7C3B3B1D" w14:textId="77777777" w:rsidR="0014798C" w:rsidRDefault="0014798C">
      <w:pPr>
        <w:pStyle w:val="Textoindependiente"/>
        <w:spacing w:before="7"/>
        <w:rPr>
          <w:sz w:val="12"/>
        </w:rPr>
      </w:pPr>
    </w:p>
    <w:p w14:paraId="0757D48E" w14:textId="77777777" w:rsidR="0014798C" w:rsidRDefault="0014798C">
      <w:pPr>
        <w:rPr>
          <w:sz w:val="12"/>
        </w:rPr>
        <w:sectPr w:rsidR="0014798C" w:rsidSect="00F265E4">
          <w:pgSz w:w="11900" w:h="16820"/>
          <w:pgMar w:top="340" w:right="0" w:bottom="280" w:left="200" w:header="121" w:footer="0" w:gutter="0"/>
          <w:cols w:space="720"/>
        </w:sectPr>
      </w:pPr>
    </w:p>
    <w:p w14:paraId="4F81F95E" w14:textId="77777777" w:rsidR="0014798C" w:rsidRDefault="0014798C">
      <w:pPr>
        <w:pStyle w:val="Textoindependiente"/>
        <w:spacing w:before="10"/>
        <w:rPr>
          <w:sz w:val="8"/>
        </w:rPr>
      </w:pPr>
    </w:p>
    <w:p w14:paraId="48486450" w14:textId="77777777" w:rsidR="0014798C" w:rsidRDefault="004E1F0B">
      <w:pPr>
        <w:jc w:val="right"/>
        <w:rPr>
          <w:sz w:val="8"/>
        </w:rPr>
      </w:pPr>
      <w:r>
        <w:rPr>
          <w:spacing w:val="-5"/>
          <w:w w:val="105"/>
          <w:sz w:val="8"/>
        </w:rPr>
        <w:t>594</w:t>
      </w:r>
    </w:p>
    <w:p w14:paraId="1C3D30C0" w14:textId="77777777" w:rsidR="0014798C" w:rsidRDefault="004E1F0B">
      <w:pPr>
        <w:spacing w:before="18"/>
        <w:rPr>
          <w:sz w:val="11"/>
        </w:rPr>
      </w:pPr>
      <w:r>
        <w:br w:type="column"/>
      </w:r>
    </w:p>
    <w:p w14:paraId="7283E780" w14:textId="77777777" w:rsidR="0014798C" w:rsidRDefault="004E1F0B">
      <w:pPr>
        <w:spacing w:before="1"/>
        <w:ind w:left="81"/>
        <w:rPr>
          <w:sz w:val="11"/>
        </w:rPr>
      </w:pPr>
      <w:r>
        <w:rPr>
          <w:spacing w:val="-2"/>
          <w:sz w:val="11"/>
        </w:rPr>
        <w:t>Véase, por</w:t>
      </w:r>
      <w:r>
        <w:rPr>
          <w:sz w:val="11"/>
        </w:rPr>
        <w:t xml:space="preserve"> </w:t>
      </w:r>
      <w:r>
        <w:rPr>
          <w:spacing w:val="-2"/>
          <w:sz w:val="11"/>
        </w:rPr>
        <w:t>ejemplo,</w:t>
      </w:r>
      <w:r>
        <w:rPr>
          <w:spacing w:val="1"/>
          <w:sz w:val="11"/>
        </w:rPr>
        <w:t xml:space="preserve"> </w:t>
      </w:r>
      <w:r>
        <w:rPr>
          <w:spacing w:val="-2"/>
          <w:sz w:val="11"/>
        </w:rPr>
        <w:t>CRPD/C/RUS/CO/1,</w:t>
      </w:r>
      <w:r>
        <w:rPr>
          <w:sz w:val="11"/>
        </w:rPr>
        <w:t xml:space="preserve"> </w:t>
      </w:r>
      <w:r>
        <w:rPr>
          <w:spacing w:val="-2"/>
          <w:sz w:val="11"/>
        </w:rPr>
        <w:t>párr.</w:t>
      </w:r>
      <w:r>
        <w:rPr>
          <w:sz w:val="11"/>
        </w:rPr>
        <w:t xml:space="preserve"> </w:t>
      </w:r>
      <w:r>
        <w:rPr>
          <w:spacing w:val="-2"/>
          <w:sz w:val="11"/>
        </w:rPr>
        <w:t>13;</w:t>
      </w:r>
      <w:r>
        <w:rPr>
          <w:spacing w:val="1"/>
          <w:sz w:val="11"/>
        </w:rPr>
        <w:t xml:space="preserve"> </w:t>
      </w:r>
      <w:r>
        <w:rPr>
          <w:spacing w:val="-2"/>
          <w:sz w:val="11"/>
        </w:rPr>
        <w:t>y</w:t>
      </w:r>
      <w:r>
        <w:rPr>
          <w:sz w:val="11"/>
        </w:rPr>
        <w:t xml:space="preserve"> </w:t>
      </w:r>
      <w:r>
        <w:rPr>
          <w:spacing w:val="-2"/>
          <w:sz w:val="11"/>
        </w:rPr>
        <w:t>CCPR/C/GEO/CO/4,</w:t>
      </w:r>
      <w:r>
        <w:rPr>
          <w:sz w:val="11"/>
        </w:rPr>
        <w:t xml:space="preserve"> </w:t>
      </w:r>
      <w:r>
        <w:rPr>
          <w:spacing w:val="-2"/>
          <w:sz w:val="11"/>
        </w:rPr>
        <w:t>párr.</w:t>
      </w:r>
      <w:r>
        <w:rPr>
          <w:spacing w:val="1"/>
          <w:sz w:val="11"/>
        </w:rPr>
        <w:t xml:space="preserve"> </w:t>
      </w:r>
      <w:r>
        <w:rPr>
          <w:spacing w:val="-5"/>
          <w:sz w:val="11"/>
        </w:rPr>
        <w:t>6.</w:t>
      </w:r>
    </w:p>
    <w:p w14:paraId="49550AB7" w14:textId="77777777" w:rsidR="0014798C" w:rsidRDefault="0014798C">
      <w:pPr>
        <w:rPr>
          <w:sz w:val="11"/>
        </w:rPr>
        <w:sectPr w:rsidR="0014798C" w:rsidSect="00F265E4">
          <w:type w:val="continuous"/>
          <w:pgSz w:w="11900" w:h="16820"/>
          <w:pgMar w:top="40" w:right="0" w:bottom="280" w:left="200" w:header="121" w:footer="0" w:gutter="0"/>
          <w:cols w:num="2" w:space="720" w:equalWidth="0">
            <w:col w:w="1249" w:space="40"/>
            <w:col w:w="10411"/>
          </w:cols>
        </w:sectPr>
      </w:pPr>
    </w:p>
    <w:p w14:paraId="5E88FA00" w14:textId="77777777" w:rsidR="0014798C" w:rsidRDefault="004E1F0B">
      <w:pPr>
        <w:spacing w:before="110" w:line="340" w:lineRule="auto"/>
        <w:ind w:left="1358" w:right="3645" w:hanging="252"/>
        <w:rPr>
          <w:sz w:val="11"/>
        </w:rPr>
      </w:pPr>
      <w:r>
        <w:rPr>
          <w:sz w:val="11"/>
        </w:rPr>
        <w:t>595 Tribunal de Justicia de la Unión Europea, Marshall contra Southampton</w:t>
      </w:r>
      <w:r>
        <w:rPr>
          <w:spacing w:val="-1"/>
          <w:sz w:val="11"/>
        </w:rPr>
        <w:t xml:space="preserve"> </w:t>
      </w:r>
      <w:r>
        <w:rPr>
          <w:sz w:val="11"/>
        </w:rPr>
        <w:t>y South</w:t>
      </w:r>
      <w:r>
        <w:rPr>
          <w:spacing w:val="-1"/>
          <w:sz w:val="11"/>
        </w:rPr>
        <w:t xml:space="preserve"> </w:t>
      </w:r>
      <w:r>
        <w:rPr>
          <w:sz w:val="11"/>
        </w:rPr>
        <w:t xml:space="preserve">West Hampshire </w:t>
      </w:r>
      <w:proofErr w:type="spellStart"/>
      <w:r>
        <w:rPr>
          <w:sz w:val="11"/>
        </w:rPr>
        <w:t>Area</w:t>
      </w:r>
      <w:proofErr w:type="spellEnd"/>
      <w:r>
        <w:rPr>
          <w:sz w:val="11"/>
        </w:rPr>
        <w:t xml:space="preserve"> </w:t>
      </w:r>
      <w:proofErr w:type="spellStart"/>
      <w:r>
        <w:rPr>
          <w:sz w:val="11"/>
        </w:rPr>
        <w:t>Health</w:t>
      </w:r>
      <w:proofErr w:type="spellEnd"/>
      <w:r>
        <w:rPr>
          <w:sz w:val="11"/>
        </w:rPr>
        <w:t xml:space="preserve"> </w:t>
      </w:r>
      <w:proofErr w:type="spellStart"/>
      <w:r>
        <w:rPr>
          <w:sz w:val="11"/>
        </w:rPr>
        <w:t>Authority</w:t>
      </w:r>
      <w:proofErr w:type="spellEnd"/>
      <w:r>
        <w:rPr>
          <w:sz w:val="11"/>
        </w:rPr>
        <w:t>, Caso C-271/91,</w:t>
      </w:r>
      <w:r>
        <w:rPr>
          <w:spacing w:val="40"/>
          <w:sz w:val="11"/>
        </w:rPr>
        <w:t xml:space="preserve"> </w:t>
      </w:r>
      <w:r>
        <w:rPr>
          <w:sz w:val="11"/>
        </w:rPr>
        <w:t>Sentencia de 2 de agosto de 1993.</w:t>
      </w:r>
    </w:p>
    <w:p w14:paraId="47EBC4F1" w14:textId="77777777" w:rsidR="0014798C" w:rsidRDefault="004E1F0B">
      <w:pPr>
        <w:spacing w:before="49"/>
        <w:ind w:left="1107"/>
        <w:rPr>
          <w:sz w:val="13"/>
        </w:rPr>
      </w:pPr>
      <w:r>
        <w:rPr>
          <w:spacing w:val="-2"/>
          <w:w w:val="105"/>
          <w:sz w:val="13"/>
        </w:rPr>
        <w:t>596</w:t>
      </w:r>
      <w:r>
        <w:rPr>
          <w:spacing w:val="-1"/>
          <w:w w:val="105"/>
          <w:sz w:val="13"/>
        </w:rPr>
        <w:t xml:space="preserve"> </w:t>
      </w:r>
      <w:proofErr w:type="spellStart"/>
      <w:r>
        <w:rPr>
          <w:spacing w:val="-2"/>
          <w:w w:val="105"/>
          <w:sz w:val="13"/>
        </w:rPr>
        <w:t>Ibíd</w:t>
      </w:r>
      <w:proofErr w:type="spellEnd"/>
      <w:r>
        <w:rPr>
          <w:spacing w:val="-2"/>
          <w:w w:val="105"/>
          <w:sz w:val="13"/>
        </w:rPr>
        <w:t>.,</w:t>
      </w:r>
      <w:r>
        <w:rPr>
          <w:w w:val="105"/>
          <w:sz w:val="13"/>
        </w:rPr>
        <w:t xml:space="preserve"> </w:t>
      </w:r>
      <w:r>
        <w:rPr>
          <w:spacing w:val="-2"/>
          <w:w w:val="105"/>
          <w:sz w:val="13"/>
        </w:rPr>
        <w:t>párr.</w:t>
      </w:r>
      <w:r>
        <w:rPr>
          <w:w w:val="105"/>
          <w:sz w:val="13"/>
        </w:rPr>
        <w:t xml:space="preserve"> </w:t>
      </w:r>
      <w:r>
        <w:rPr>
          <w:spacing w:val="-5"/>
          <w:w w:val="105"/>
          <w:sz w:val="13"/>
        </w:rPr>
        <w:t>32.</w:t>
      </w:r>
    </w:p>
    <w:p w14:paraId="3AEF1D74" w14:textId="77777777" w:rsidR="0014798C" w:rsidRDefault="004E1F0B">
      <w:pPr>
        <w:spacing w:before="82"/>
        <w:ind w:left="1107"/>
        <w:rPr>
          <w:sz w:val="13"/>
        </w:rPr>
      </w:pPr>
      <w:r>
        <w:rPr>
          <w:spacing w:val="-2"/>
          <w:w w:val="105"/>
          <w:sz w:val="13"/>
        </w:rPr>
        <w:t>597</w:t>
      </w:r>
      <w:r>
        <w:rPr>
          <w:spacing w:val="-1"/>
          <w:w w:val="105"/>
          <w:sz w:val="13"/>
        </w:rPr>
        <w:t xml:space="preserve"> </w:t>
      </w:r>
      <w:proofErr w:type="spellStart"/>
      <w:r>
        <w:rPr>
          <w:spacing w:val="-2"/>
          <w:w w:val="105"/>
          <w:sz w:val="13"/>
        </w:rPr>
        <w:t>Iordache</w:t>
      </w:r>
      <w:proofErr w:type="spellEnd"/>
      <w:r>
        <w:rPr>
          <w:spacing w:val="-1"/>
          <w:w w:val="105"/>
          <w:sz w:val="13"/>
        </w:rPr>
        <w:t xml:space="preserve"> </w:t>
      </w:r>
      <w:r>
        <w:rPr>
          <w:spacing w:val="-2"/>
          <w:w w:val="105"/>
          <w:sz w:val="13"/>
        </w:rPr>
        <w:t>e</w:t>
      </w:r>
      <w:r>
        <w:rPr>
          <w:spacing w:val="-1"/>
          <w:w w:val="105"/>
          <w:sz w:val="13"/>
        </w:rPr>
        <w:t xml:space="preserve"> </w:t>
      </w:r>
      <w:proofErr w:type="spellStart"/>
      <w:r>
        <w:rPr>
          <w:spacing w:val="-2"/>
          <w:w w:val="105"/>
          <w:sz w:val="13"/>
        </w:rPr>
        <w:t>Ionescu</w:t>
      </w:r>
      <w:proofErr w:type="spellEnd"/>
      <w:r>
        <w:rPr>
          <w:spacing w:val="-2"/>
          <w:w w:val="105"/>
          <w:sz w:val="13"/>
        </w:rPr>
        <w:t>,</w:t>
      </w:r>
      <w:r>
        <w:rPr>
          <w:spacing w:val="-1"/>
          <w:w w:val="105"/>
          <w:sz w:val="13"/>
        </w:rPr>
        <w:t xml:space="preserve"> </w:t>
      </w:r>
      <w:r>
        <w:rPr>
          <w:spacing w:val="-2"/>
          <w:w w:val="105"/>
          <w:sz w:val="13"/>
        </w:rPr>
        <w:t>“La</w:t>
      </w:r>
      <w:r>
        <w:rPr>
          <w:spacing w:val="-1"/>
          <w:w w:val="105"/>
          <w:sz w:val="13"/>
        </w:rPr>
        <w:t xml:space="preserve"> </w:t>
      </w:r>
      <w:r>
        <w:rPr>
          <w:spacing w:val="-2"/>
          <w:w w:val="105"/>
          <w:sz w:val="13"/>
        </w:rPr>
        <w:t>discriminación</w:t>
      </w:r>
      <w:r>
        <w:rPr>
          <w:spacing w:val="-1"/>
          <w:w w:val="105"/>
          <w:sz w:val="13"/>
        </w:rPr>
        <w:t xml:space="preserve"> </w:t>
      </w:r>
      <w:r>
        <w:rPr>
          <w:spacing w:val="-2"/>
          <w:w w:val="105"/>
          <w:sz w:val="13"/>
        </w:rPr>
        <w:t>y</w:t>
      </w:r>
      <w:r>
        <w:rPr>
          <w:w w:val="105"/>
          <w:sz w:val="13"/>
        </w:rPr>
        <w:t xml:space="preserve"> </w:t>
      </w:r>
      <w:r>
        <w:rPr>
          <w:spacing w:val="-2"/>
          <w:w w:val="105"/>
          <w:sz w:val="13"/>
        </w:rPr>
        <w:t>sus</w:t>
      </w:r>
      <w:r>
        <w:rPr>
          <w:spacing w:val="-1"/>
          <w:w w:val="105"/>
          <w:sz w:val="13"/>
        </w:rPr>
        <w:t xml:space="preserve"> </w:t>
      </w:r>
      <w:r>
        <w:rPr>
          <w:spacing w:val="-2"/>
          <w:w w:val="105"/>
          <w:sz w:val="13"/>
        </w:rPr>
        <w:t>sanciones”.</w:t>
      </w:r>
    </w:p>
    <w:p w14:paraId="0249C50F" w14:textId="77777777" w:rsidR="0014798C" w:rsidRDefault="0014798C">
      <w:pPr>
        <w:pStyle w:val="Textoindependiente"/>
        <w:rPr>
          <w:sz w:val="19"/>
        </w:rPr>
      </w:pPr>
    </w:p>
    <w:p w14:paraId="631982B9" w14:textId="77777777" w:rsidR="0014798C" w:rsidRDefault="0014798C">
      <w:pPr>
        <w:pStyle w:val="Textoindependiente"/>
        <w:spacing w:before="197"/>
        <w:rPr>
          <w:sz w:val="19"/>
        </w:rPr>
      </w:pPr>
    </w:p>
    <w:p w14:paraId="64B8EED7" w14:textId="77777777" w:rsidR="0014798C" w:rsidRDefault="004E1F0B">
      <w:pPr>
        <w:ind w:right="722"/>
        <w:jc w:val="right"/>
        <w:rPr>
          <w:sz w:val="19"/>
        </w:rPr>
      </w:pPr>
      <w:r>
        <w:rPr>
          <w:spacing w:val="-5"/>
          <w:sz w:val="19"/>
        </w:rPr>
        <w:t>79</w:t>
      </w:r>
    </w:p>
    <w:p w14:paraId="25AF93B6" w14:textId="77777777" w:rsidR="0014798C" w:rsidRDefault="0014798C">
      <w:pPr>
        <w:jc w:val="right"/>
        <w:rPr>
          <w:sz w:val="19"/>
        </w:rPr>
        <w:sectPr w:rsidR="0014798C" w:rsidSect="00F265E4">
          <w:type w:val="continuous"/>
          <w:pgSz w:w="11900" w:h="16820"/>
          <w:pgMar w:top="40" w:right="0" w:bottom="280" w:left="200" w:header="121" w:footer="0" w:gutter="0"/>
          <w:cols w:space="720"/>
        </w:sectPr>
      </w:pPr>
    </w:p>
    <w:p w14:paraId="5BC26C48" w14:textId="77777777" w:rsidR="0014798C" w:rsidRDefault="0014798C">
      <w:pPr>
        <w:pStyle w:val="Textoindependiente"/>
        <w:spacing w:before="85"/>
        <w:rPr>
          <w:sz w:val="12"/>
        </w:rPr>
      </w:pPr>
    </w:p>
    <w:p w14:paraId="4CC0E4B7" w14:textId="77777777" w:rsidR="0014798C" w:rsidRDefault="004E1F0B">
      <w:pPr>
        <w:ind w:left="1111"/>
        <w:rPr>
          <w:sz w:val="12"/>
        </w:rPr>
      </w:pPr>
      <w:r>
        <w:rPr>
          <w:color w:val="00AC59"/>
          <w:sz w:val="12"/>
        </w:rPr>
        <w:t>PROTECCIÓN</w:t>
      </w:r>
      <w:r>
        <w:rPr>
          <w:color w:val="00AC59"/>
          <w:spacing w:val="6"/>
          <w:sz w:val="12"/>
        </w:rPr>
        <w:t xml:space="preserve"> </w:t>
      </w:r>
      <w:r>
        <w:rPr>
          <w:color w:val="00AC59"/>
          <w:sz w:val="12"/>
        </w:rPr>
        <w:t>DE</w:t>
      </w:r>
      <w:r>
        <w:rPr>
          <w:color w:val="00AC59"/>
          <w:spacing w:val="7"/>
          <w:sz w:val="12"/>
        </w:rPr>
        <w:t xml:space="preserve"> </w:t>
      </w:r>
      <w:r>
        <w:rPr>
          <w:color w:val="00AC59"/>
          <w:sz w:val="12"/>
        </w:rPr>
        <w:t>LOS</w:t>
      </w:r>
      <w:r>
        <w:rPr>
          <w:color w:val="00AC59"/>
          <w:spacing w:val="8"/>
          <w:sz w:val="12"/>
        </w:rPr>
        <w:t xml:space="preserve"> </w:t>
      </w:r>
      <w:r>
        <w:rPr>
          <w:color w:val="00AC59"/>
          <w:sz w:val="12"/>
        </w:rPr>
        <w:t>DERECHOS</w:t>
      </w:r>
      <w:r>
        <w:rPr>
          <w:color w:val="00AC59"/>
          <w:spacing w:val="8"/>
          <w:sz w:val="12"/>
        </w:rPr>
        <w:t xml:space="preserve"> </w:t>
      </w:r>
      <w:r>
        <w:rPr>
          <w:color w:val="00AC59"/>
          <w:sz w:val="12"/>
        </w:rPr>
        <w:t>DE</w:t>
      </w:r>
      <w:r>
        <w:rPr>
          <w:color w:val="00AC59"/>
          <w:spacing w:val="6"/>
          <w:sz w:val="12"/>
        </w:rPr>
        <w:t xml:space="preserve"> </w:t>
      </w:r>
      <w:r>
        <w:rPr>
          <w:color w:val="00AC59"/>
          <w:sz w:val="12"/>
        </w:rPr>
        <w:t>LAS</w:t>
      </w:r>
      <w:r>
        <w:rPr>
          <w:color w:val="00AC59"/>
          <w:spacing w:val="7"/>
          <w:sz w:val="12"/>
        </w:rPr>
        <w:t xml:space="preserve"> </w:t>
      </w:r>
      <w:r>
        <w:rPr>
          <w:color w:val="00AC59"/>
          <w:sz w:val="12"/>
        </w:rPr>
        <w:t>MINORÍAS:</w:t>
      </w:r>
      <w:r>
        <w:rPr>
          <w:color w:val="00AC59"/>
          <w:spacing w:val="8"/>
          <w:sz w:val="12"/>
        </w:rPr>
        <w:t xml:space="preserve"> </w:t>
      </w:r>
      <w:r>
        <w:rPr>
          <w:color w:val="00AC59"/>
          <w:sz w:val="12"/>
        </w:rPr>
        <w:t>una</w:t>
      </w:r>
      <w:r>
        <w:rPr>
          <w:color w:val="00AC59"/>
          <w:spacing w:val="7"/>
          <w:sz w:val="12"/>
        </w:rPr>
        <w:t xml:space="preserve"> </w:t>
      </w:r>
      <w:r>
        <w:rPr>
          <w:color w:val="00AC59"/>
          <w:sz w:val="12"/>
        </w:rPr>
        <w:t>guía</w:t>
      </w:r>
      <w:r>
        <w:rPr>
          <w:color w:val="00AC59"/>
          <w:spacing w:val="6"/>
          <w:sz w:val="12"/>
        </w:rPr>
        <w:t xml:space="preserve"> </w:t>
      </w:r>
      <w:r>
        <w:rPr>
          <w:color w:val="00AC59"/>
          <w:sz w:val="12"/>
        </w:rPr>
        <w:t>práctica</w:t>
      </w:r>
      <w:r>
        <w:rPr>
          <w:color w:val="00AC59"/>
          <w:spacing w:val="7"/>
          <w:sz w:val="12"/>
        </w:rPr>
        <w:t xml:space="preserve"> </w:t>
      </w:r>
      <w:r>
        <w:rPr>
          <w:color w:val="00AC59"/>
          <w:sz w:val="12"/>
        </w:rPr>
        <w:t>para</w:t>
      </w:r>
      <w:r>
        <w:rPr>
          <w:color w:val="00AC59"/>
          <w:spacing w:val="8"/>
          <w:sz w:val="12"/>
        </w:rPr>
        <w:t xml:space="preserve"> </w:t>
      </w:r>
      <w:r>
        <w:rPr>
          <w:color w:val="00AC59"/>
          <w:sz w:val="12"/>
        </w:rPr>
        <w:t>desarrollar</w:t>
      </w:r>
      <w:r>
        <w:rPr>
          <w:color w:val="00AC59"/>
          <w:spacing w:val="6"/>
          <w:sz w:val="12"/>
        </w:rPr>
        <w:t xml:space="preserve"> </w:t>
      </w:r>
      <w:r>
        <w:rPr>
          <w:color w:val="00AC59"/>
          <w:sz w:val="12"/>
        </w:rPr>
        <w:t>una</w:t>
      </w:r>
      <w:r>
        <w:rPr>
          <w:color w:val="00AC59"/>
          <w:spacing w:val="7"/>
          <w:sz w:val="12"/>
        </w:rPr>
        <w:t xml:space="preserve"> </w:t>
      </w:r>
      <w:r>
        <w:rPr>
          <w:color w:val="00AC59"/>
          <w:sz w:val="12"/>
        </w:rPr>
        <w:t>legislación</w:t>
      </w:r>
      <w:r>
        <w:rPr>
          <w:color w:val="00AC59"/>
          <w:spacing w:val="8"/>
          <w:sz w:val="12"/>
        </w:rPr>
        <w:t xml:space="preserve"> </w:t>
      </w:r>
      <w:r>
        <w:rPr>
          <w:color w:val="00AC59"/>
          <w:sz w:val="12"/>
        </w:rPr>
        <w:t>integral</w:t>
      </w:r>
      <w:r>
        <w:rPr>
          <w:color w:val="00AC59"/>
          <w:spacing w:val="7"/>
          <w:sz w:val="12"/>
        </w:rPr>
        <w:t xml:space="preserve"> </w:t>
      </w:r>
      <w:r>
        <w:rPr>
          <w:color w:val="00AC59"/>
          <w:sz w:val="12"/>
        </w:rPr>
        <w:t>contra</w:t>
      </w:r>
      <w:r>
        <w:rPr>
          <w:color w:val="00AC59"/>
          <w:spacing w:val="6"/>
          <w:sz w:val="12"/>
        </w:rPr>
        <w:t xml:space="preserve"> </w:t>
      </w:r>
      <w:r>
        <w:rPr>
          <w:color w:val="00AC59"/>
          <w:sz w:val="12"/>
        </w:rPr>
        <w:t>la</w:t>
      </w:r>
      <w:r>
        <w:rPr>
          <w:color w:val="00AC59"/>
          <w:spacing w:val="7"/>
          <w:sz w:val="12"/>
        </w:rPr>
        <w:t xml:space="preserve"> </w:t>
      </w:r>
      <w:r>
        <w:rPr>
          <w:color w:val="00AC59"/>
          <w:spacing w:val="-2"/>
          <w:sz w:val="12"/>
        </w:rPr>
        <w:t>discriminación</w:t>
      </w:r>
    </w:p>
    <w:p w14:paraId="1F13232A" w14:textId="77777777" w:rsidR="0014798C" w:rsidRDefault="0014798C">
      <w:pPr>
        <w:pStyle w:val="Textoindependiente"/>
        <w:rPr>
          <w:sz w:val="29"/>
        </w:rPr>
      </w:pPr>
    </w:p>
    <w:p w14:paraId="3C38BE33" w14:textId="77777777" w:rsidR="0014798C" w:rsidRDefault="0014798C">
      <w:pPr>
        <w:pStyle w:val="Textoindependiente"/>
        <w:spacing w:before="289"/>
        <w:rPr>
          <w:sz w:val="29"/>
        </w:rPr>
      </w:pPr>
    </w:p>
    <w:p w14:paraId="67E5905A" w14:textId="77777777" w:rsidR="0014798C" w:rsidRDefault="004E1F0B">
      <w:pPr>
        <w:pStyle w:val="Ttulo8"/>
        <w:numPr>
          <w:ilvl w:val="1"/>
          <w:numId w:val="3"/>
        </w:numPr>
        <w:tabs>
          <w:tab w:val="left" w:pos="1486"/>
        </w:tabs>
        <w:ind w:left="1486" w:hanging="377"/>
        <w:rPr>
          <w:color w:val="00AC59"/>
        </w:rPr>
      </w:pPr>
      <w:r>
        <w:rPr>
          <w:color w:val="00AC59"/>
        </w:rPr>
        <w:t>Reparación:</w:t>
      </w:r>
      <w:r>
        <w:rPr>
          <w:color w:val="00AC59"/>
          <w:spacing w:val="22"/>
        </w:rPr>
        <w:t xml:space="preserve"> </w:t>
      </w:r>
      <w:r>
        <w:rPr>
          <w:color w:val="00AC59"/>
        </w:rPr>
        <w:t>reconocimiento,</w:t>
      </w:r>
      <w:r>
        <w:rPr>
          <w:color w:val="00AC59"/>
          <w:spacing w:val="24"/>
        </w:rPr>
        <w:t xml:space="preserve"> </w:t>
      </w:r>
      <w:r>
        <w:rPr>
          <w:color w:val="00AC59"/>
        </w:rPr>
        <w:t>compensación</w:t>
      </w:r>
      <w:r>
        <w:rPr>
          <w:color w:val="00AC59"/>
          <w:spacing w:val="20"/>
        </w:rPr>
        <w:t xml:space="preserve"> </w:t>
      </w:r>
      <w:r>
        <w:rPr>
          <w:color w:val="00AC59"/>
        </w:rPr>
        <w:t>y</w:t>
      </w:r>
      <w:r>
        <w:rPr>
          <w:color w:val="00AC59"/>
          <w:spacing w:val="20"/>
        </w:rPr>
        <w:t xml:space="preserve"> </w:t>
      </w:r>
      <w:r>
        <w:rPr>
          <w:color w:val="00AC59"/>
          <w:spacing w:val="-2"/>
        </w:rPr>
        <w:t>restitución</w:t>
      </w:r>
    </w:p>
    <w:p w14:paraId="6CDFC720" w14:textId="77777777" w:rsidR="0014798C" w:rsidRDefault="0014798C">
      <w:pPr>
        <w:pStyle w:val="Textoindependiente"/>
        <w:spacing w:before="50"/>
      </w:pPr>
    </w:p>
    <w:p w14:paraId="5FE70F2F" w14:textId="77777777" w:rsidR="0014798C" w:rsidRDefault="004E1F0B">
      <w:pPr>
        <w:pStyle w:val="Textoindependiente"/>
        <w:spacing w:before="1" w:line="326" w:lineRule="auto"/>
        <w:ind w:left="1108" w:right="1272" w:hanging="2"/>
      </w:pPr>
      <w:r>
        <w:t>Como se indicó anteriormente, está bien establecido que las víctimas de discriminación tienen derecho a reparación. De hecho, como ha señalado el Comité de Derechos Humanos, sin reparación a aquellos cuyos derechos del Pacto han sido violados, “la obligación de proporcionar un recurso efectivo... no se cumple”.598 Se puede entender que la reparación incluye al menos tres elementos: reconocimiento, compensación y restitución.</w:t>
      </w:r>
    </w:p>
    <w:p w14:paraId="3E3E61F4" w14:textId="77777777" w:rsidR="0014798C" w:rsidRDefault="004E1F0B">
      <w:pPr>
        <w:pStyle w:val="Textoindependiente"/>
        <w:spacing w:before="168" w:line="326" w:lineRule="auto"/>
        <w:ind w:left="1107" w:right="1326" w:hanging="1"/>
      </w:pPr>
      <w:r>
        <w:t>Como punto de partida,</w:t>
      </w:r>
      <w:r>
        <w:rPr>
          <w:spacing w:val="15"/>
        </w:rPr>
        <w:t xml:space="preserve"> </w:t>
      </w:r>
      <w:r>
        <w:t>la reparación</w:t>
      </w:r>
      <w:r>
        <w:rPr>
          <w:spacing w:val="15"/>
        </w:rPr>
        <w:t xml:space="preserve"> </w:t>
      </w:r>
      <w:r>
        <w:t>comienza</w:t>
      </w:r>
      <w:r>
        <w:rPr>
          <w:spacing w:val="15"/>
        </w:rPr>
        <w:t xml:space="preserve"> </w:t>
      </w:r>
      <w:r>
        <w:t>con el acto público de reconocer el daño a los derechos humanos.</w:t>
      </w:r>
      <w:r>
        <w:rPr>
          <w:spacing w:val="15"/>
        </w:rPr>
        <w:t xml:space="preserve"> </w:t>
      </w:r>
      <w:r>
        <w:t>También</w:t>
      </w:r>
      <w:r>
        <w:rPr>
          <w:spacing w:val="40"/>
        </w:rPr>
        <w:t xml:space="preserve"> </w:t>
      </w:r>
      <w:r>
        <w:t>puede</w:t>
      </w:r>
      <w:r>
        <w:rPr>
          <w:spacing w:val="20"/>
        </w:rPr>
        <w:t xml:space="preserve"> </w:t>
      </w:r>
      <w:r>
        <w:t>requerir</w:t>
      </w:r>
      <w:r>
        <w:rPr>
          <w:spacing w:val="20"/>
        </w:rPr>
        <w:t xml:space="preserve"> </w:t>
      </w:r>
      <w:r>
        <w:t>reconocer</w:t>
      </w:r>
      <w:r>
        <w:rPr>
          <w:spacing w:val="20"/>
        </w:rPr>
        <w:t xml:space="preserve"> </w:t>
      </w:r>
      <w:r>
        <w:t>y</w:t>
      </w:r>
      <w:r>
        <w:rPr>
          <w:spacing w:val="20"/>
        </w:rPr>
        <w:t xml:space="preserve"> </w:t>
      </w:r>
      <w:r>
        <w:t>hacer</w:t>
      </w:r>
      <w:r>
        <w:rPr>
          <w:spacing w:val="20"/>
        </w:rPr>
        <w:t xml:space="preserve"> </w:t>
      </w:r>
      <w:r>
        <w:t>visibles</w:t>
      </w:r>
      <w:r>
        <w:rPr>
          <w:spacing w:val="20"/>
        </w:rPr>
        <w:t xml:space="preserve"> </w:t>
      </w:r>
      <w:r>
        <w:t>ciertas</w:t>
      </w:r>
      <w:r>
        <w:rPr>
          <w:spacing w:val="20"/>
        </w:rPr>
        <w:t xml:space="preserve"> </w:t>
      </w:r>
      <w:r>
        <w:t>categorías</w:t>
      </w:r>
      <w:r>
        <w:rPr>
          <w:spacing w:val="20"/>
        </w:rPr>
        <w:t xml:space="preserve"> </w:t>
      </w:r>
      <w:r>
        <w:t>de</w:t>
      </w:r>
      <w:r>
        <w:rPr>
          <w:spacing w:val="20"/>
        </w:rPr>
        <w:t xml:space="preserve"> </w:t>
      </w:r>
      <w:r>
        <w:t>personas,</w:t>
      </w:r>
      <w:r>
        <w:rPr>
          <w:spacing w:val="21"/>
        </w:rPr>
        <w:t xml:space="preserve"> </w:t>
      </w:r>
      <w:r>
        <w:t>así</w:t>
      </w:r>
      <w:r>
        <w:rPr>
          <w:spacing w:val="21"/>
        </w:rPr>
        <w:t xml:space="preserve"> </w:t>
      </w:r>
      <w:r>
        <w:t>como</w:t>
      </w:r>
      <w:r>
        <w:rPr>
          <w:spacing w:val="20"/>
        </w:rPr>
        <w:t xml:space="preserve"> </w:t>
      </w:r>
      <w:r>
        <w:t>sus</w:t>
      </w:r>
      <w:r>
        <w:rPr>
          <w:spacing w:val="20"/>
        </w:rPr>
        <w:t xml:space="preserve"> </w:t>
      </w:r>
      <w:r>
        <w:t>experiencias</w:t>
      </w:r>
      <w:r>
        <w:rPr>
          <w:spacing w:val="20"/>
        </w:rPr>
        <w:t xml:space="preserve"> </w:t>
      </w:r>
      <w:r>
        <w:t>individuales</w:t>
      </w:r>
      <w:r>
        <w:rPr>
          <w:spacing w:val="20"/>
        </w:rPr>
        <w:t xml:space="preserve"> </w:t>
      </w:r>
      <w:r>
        <w:t>o</w:t>
      </w:r>
      <w:r>
        <w:rPr>
          <w:spacing w:val="20"/>
        </w:rPr>
        <w:t xml:space="preserve"> </w:t>
      </w:r>
      <w:r>
        <w:t xml:space="preserve">colectivas de sufrimiento.599 El reconocimiento es de particular importancia para las víctimas de violaciones de derechos humanos. </w:t>
      </w:r>
      <w:proofErr w:type="spellStart"/>
      <w:r>
        <w:t>Dinah</w:t>
      </w:r>
      <w:proofErr w:type="spellEnd"/>
      <w:r>
        <w:t xml:space="preserve"> </w:t>
      </w:r>
      <w:proofErr w:type="spellStart"/>
      <w:r>
        <w:t>Shelton</w:t>
      </w:r>
      <w:proofErr w:type="spellEnd"/>
      <w:r>
        <w:rPr>
          <w:spacing w:val="15"/>
        </w:rPr>
        <w:t xml:space="preserve"> </w:t>
      </w:r>
      <w:r>
        <w:t>señala</w:t>
      </w:r>
      <w:r>
        <w:rPr>
          <w:spacing w:val="15"/>
        </w:rPr>
        <w:t xml:space="preserve"> </w:t>
      </w:r>
      <w:r>
        <w:t>que:</w:t>
      </w:r>
      <w:r>
        <w:rPr>
          <w:spacing w:val="16"/>
        </w:rPr>
        <w:t xml:space="preserve"> </w:t>
      </w:r>
      <w:r>
        <w:t>“Este</w:t>
      </w:r>
      <w:r>
        <w:rPr>
          <w:spacing w:val="15"/>
        </w:rPr>
        <w:t xml:space="preserve"> </w:t>
      </w:r>
      <w:r>
        <w:t>reconocimiento</w:t>
      </w:r>
      <w:r>
        <w:rPr>
          <w:spacing w:val="15"/>
        </w:rPr>
        <w:t xml:space="preserve"> </w:t>
      </w:r>
      <w:r>
        <w:t>sirve</w:t>
      </w:r>
      <w:r>
        <w:rPr>
          <w:spacing w:val="16"/>
        </w:rPr>
        <w:t xml:space="preserve"> </w:t>
      </w:r>
      <w:r>
        <w:t>de</w:t>
      </w:r>
      <w:r>
        <w:rPr>
          <w:spacing w:val="15"/>
        </w:rPr>
        <w:t xml:space="preserve"> </w:t>
      </w:r>
      <w:r>
        <w:t>manera</w:t>
      </w:r>
      <w:r>
        <w:rPr>
          <w:spacing w:val="15"/>
        </w:rPr>
        <w:t xml:space="preserve"> </w:t>
      </w:r>
      <w:r>
        <w:t>importante</w:t>
      </w:r>
      <w:r>
        <w:rPr>
          <w:spacing w:val="15"/>
        </w:rPr>
        <w:t xml:space="preserve"> </w:t>
      </w:r>
      <w:r>
        <w:t>para</w:t>
      </w:r>
      <w:r>
        <w:rPr>
          <w:spacing w:val="15"/>
        </w:rPr>
        <w:t xml:space="preserve"> </w:t>
      </w:r>
      <w:r>
        <w:t>indicar</w:t>
      </w:r>
      <w:r>
        <w:rPr>
          <w:spacing w:val="15"/>
        </w:rPr>
        <w:t xml:space="preserve"> </w:t>
      </w:r>
      <w:r>
        <w:t>que</w:t>
      </w:r>
      <w:r>
        <w:rPr>
          <w:spacing w:val="15"/>
        </w:rPr>
        <w:t xml:space="preserve"> </w:t>
      </w:r>
      <w:r>
        <w:t>la</w:t>
      </w:r>
      <w:r>
        <w:rPr>
          <w:spacing w:val="15"/>
        </w:rPr>
        <w:t xml:space="preserve"> </w:t>
      </w:r>
      <w:r>
        <w:t>sociedad</w:t>
      </w:r>
      <w:r>
        <w:rPr>
          <w:spacing w:val="15"/>
        </w:rPr>
        <w:t xml:space="preserve"> </w:t>
      </w:r>
      <w:r>
        <w:t>comprende</w:t>
      </w:r>
      <w:r>
        <w:rPr>
          <w:spacing w:val="16"/>
        </w:rPr>
        <w:t xml:space="preserve"> </w:t>
      </w:r>
      <w:r>
        <w:t>y</w:t>
      </w:r>
      <w:r>
        <w:rPr>
          <w:spacing w:val="15"/>
        </w:rPr>
        <w:t xml:space="preserve"> </w:t>
      </w:r>
      <w:r>
        <w:t>reconoce</w:t>
      </w:r>
      <w:r>
        <w:rPr>
          <w:spacing w:val="16"/>
        </w:rPr>
        <w:t xml:space="preserve"> </w:t>
      </w:r>
      <w:r>
        <w:t>el dolor y la humillación experimentados por las víctimas, así como su sentimiento de injusticia”. 600 Además de constituir un reconocimiento</w:t>
      </w:r>
      <w:r>
        <w:rPr>
          <w:spacing w:val="18"/>
        </w:rPr>
        <w:t xml:space="preserve"> </w:t>
      </w:r>
      <w:r>
        <w:t>claro</w:t>
      </w:r>
      <w:r>
        <w:rPr>
          <w:spacing w:val="18"/>
        </w:rPr>
        <w:t xml:space="preserve"> </w:t>
      </w:r>
      <w:r>
        <w:t>y</w:t>
      </w:r>
      <w:r>
        <w:rPr>
          <w:spacing w:val="18"/>
        </w:rPr>
        <w:t xml:space="preserve"> </w:t>
      </w:r>
      <w:r>
        <w:t>público</w:t>
      </w:r>
      <w:r>
        <w:rPr>
          <w:spacing w:val="18"/>
        </w:rPr>
        <w:t xml:space="preserve"> </w:t>
      </w:r>
      <w:r>
        <w:t>de</w:t>
      </w:r>
      <w:r>
        <w:rPr>
          <w:spacing w:val="18"/>
        </w:rPr>
        <w:t xml:space="preserve"> </w:t>
      </w:r>
      <w:r>
        <w:t>las</w:t>
      </w:r>
      <w:r>
        <w:rPr>
          <w:spacing w:val="18"/>
        </w:rPr>
        <w:t xml:space="preserve"> </w:t>
      </w:r>
      <w:r>
        <w:t>malas</w:t>
      </w:r>
      <w:r>
        <w:rPr>
          <w:spacing w:val="18"/>
        </w:rPr>
        <w:t xml:space="preserve"> </w:t>
      </w:r>
      <w:r>
        <w:t>acciones</w:t>
      </w:r>
      <w:r>
        <w:rPr>
          <w:spacing w:val="18"/>
        </w:rPr>
        <w:t xml:space="preserve"> </w:t>
      </w:r>
      <w:r>
        <w:t>perjudiciales</w:t>
      </w:r>
      <w:r>
        <w:rPr>
          <w:spacing w:val="18"/>
        </w:rPr>
        <w:t xml:space="preserve"> </w:t>
      </w:r>
      <w:r>
        <w:t>cometidas</w:t>
      </w:r>
      <w:r>
        <w:rPr>
          <w:spacing w:val="18"/>
        </w:rPr>
        <w:t xml:space="preserve"> </w:t>
      </w:r>
      <w:r>
        <w:t>por</w:t>
      </w:r>
      <w:r>
        <w:rPr>
          <w:spacing w:val="18"/>
        </w:rPr>
        <w:t xml:space="preserve"> </w:t>
      </w:r>
      <w:r>
        <w:t>los</w:t>
      </w:r>
      <w:r>
        <w:rPr>
          <w:spacing w:val="18"/>
        </w:rPr>
        <w:t xml:space="preserve"> </w:t>
      </w:r>
      <w:r>
        <w:t>perpetradores</w:t>
      </w:r>
      <w:r>
        <w:rPr>
          <w:spacing w:val="18"/>
        </w:rPr>
        <w:t xml:space="preserve"> </w:t>
      </w:r>
      <w:r>
        <w:t>y</w:t>
      </w:r>
      <w:r>
        <w:rPr>
          <w:spacing w:val="18"/>
        </w:rPr>
        <w:t xml:space="preserve"> </w:t>
      </w:r>
      <w:r>
        <w:t>de</w:t>
      </w:r>
      <w:r>
        <w:rPr>
          <w:spacing w:val="18"/>
        </w:rPr>
        <w:t xml:space="preserve"> </w:t>
      </w:r>
      <w:r>
        <w:t>la</w:t>
      </w:r>
      <w:r>
        <w:rPr>
          <w:spacing w:val="18"/>
        </w:rPr>
        <w:t xml:space="preserve"> </w:t>
      </w:r>
      <w:r>
        <w:t>discriminación sufrida por ciertos individuos o grupos, el reconocimiento tiene el potencial de restaurar la dignidad de las víctimas y permitir su rehabilitación.</w:t>
      </w:r>
      <w:r>
        <w:rPr>
          <w:spacing w:val="19"/>
        </w:rPr>
        <w:t xml:space="preserve"> </w:t>
      </w:r>
      <w:r>
        <w:t>A</w:t>
      </w:r>
      <w:r>
        <w:rPr>
          <w:spacing w:val="16"/>
        </w:rPr>
        <w:t xml:space="preserve"> </w:t>
      </w:r>
      <w:r>
        <w:t>nivel</w:t>
      </w:r>
      <w:r>
        <w:rPr>
          <w:spacing w:val="16"/>
        </w:rPr>
        <w:t xml:space="preserve"> </w:t>
      </w:r>
      <w:r>
        <w:t>regional,</w:t>
      </w:r>
      <w:r>
        <w:rPr>
          <w:spacing w:val="17"/>
        </w:rPr>
        <w:t xml:space="preserve"> </w:t>
      </w:r>
      <w:r>
        <w:t>la</w:t>
      </w:r>
      <w:r>
        <w:rPr>
          <w:spacing w:val="16"/>
        </w:rPr>
        <w:t xml:space="preserve"> </w:t>
      </w:r>
      <w:r>
        <w:t>Corte</w:t>
      </w:r>
      <w:r>
        <w:rPr>
          <w:spacing w:val="16"/>
        </w:rPr>
        <w:t xml:space="preserve"> </w:t>
      </w:r>
      <w:r>
        <w:t>Interamericana</w:t>
      </w:r>
      <w:r>
        <w:rPr>
          <w:spacing w:val="16"/>
        </w:rPr>
        <w:t xml:space="preserve"> </w:t>
      </w:r>
      <w:r>
        <w:t>de</w:t>
      </w:r>
      <w:r>
        <w:rPr>
          <w:spacing w:val="16"/>
        </w:rPr>
        <w:t xml:space="preserve"> </w:t>
      </w:r>
      <w:r>
        <w:t>Derechos</w:t>
      </w:r>
      <w:r>
        <w:rPr>
          <w:spacing w:val="16"/>
        </w:rPr>
        <w:t xml:space="preserve"> </w:t>
      </w:r>
      <w:r>
        <w:t>Humanos</w:t>
      </w:r>
      <w:r>
        <w:rPr>
          <w:spacing w:val="16"/>
        </w:rPr>
        <w:t xml:space="preserve"> </w:t>
      </w:r>
      <w:r>
        <w:t>ha</w:t>
      </w:r>
      <w:r>
        <w:rPr>
          <w:spacing w:val="16"/>
        </w:rPr>
        <w:t xml:space="preserve"> </w:t>
      </w:r>
      <w:r>
        <w:t>avanzado</w:t>
      </w:r>
      <w:r>
        <w:rPr>
          <w:spacing w:val="16"/>
        </w:rPr>
        <w:t xml:space="preserve"> </w:t>
      </w:r>
      <w:r>
        <w:t>en</w:t>
      </w:r>
      <w:r>
        <w:rPr>
          <w:spacing w:val="16"/>
        </w:rPr>
        <w:t xml:space="preserve"> </w:t>
      </w:r>
      <w:r>
        <w:t>la</w:t>
      </w:r>
      <w:r>
        <w:rPr>
          <w:spacing w:val="16"/>
        </w:rPr>
        <w:t xml:space="preserve"> </w:t>
      </w:r>
      <w:r>
        <w:t>incorporación</w:t>
      </w:r>
      <w:r>
        <w:rPr>
          <w:spacing w:val="17"/>
        </w:rPr>
        <w:t xml:space="preserve"> </w:t>
      </w:r>
      <w:r>
        <w:t>de</w:t>
      </w:r>
      <w:r>
        <w:rPr>
          <w:spacing w:val="16"/>
        </w:rPr>
        <w:t xml:space="preserve"> </w:t>
      </w:r>
      <w:r>
        <w:t>las demandas</w:t>
      </w:r>
      <w:r>
        <w:rPr>
          <w:spacing w:val="16"/>
        </w:rPr>
        <w:t xml:space="preserve"> </w:t>
      </w:r>
      <w:r>
        <w:t>de</w:t>
      </w:r>
      <w:r>
        <w:rPr>
          <w:spacing w:val="16"/>
        </w:rPr>
        <w:t xml:space="preserve"> </w:t>
      </w:r>
      <w:r>
        <w:t>reconocimiento</w:t>
      </w:r>
      <w:r>
        <w:rPr>
          <w:spacing w:val="16"/>
        </w:rPr>
        <w:t xml:space="preserve"> </w:t>
      </w:r>
      <w:r>
        <w:t>de</w:t>
      </w:r>
      <w:r>
        <w:rPr>
          <w:spacing w:val="16"/>
        </w:rPr>
        <w:t xml:space="preserve"> </w:t>
      </w:r>
      <w:r>
        <w:t>las</w:t>
      </w:r>
      <w:r>
        <w:rPr>
          <w:spacing w:val="16"/>
        </w:rPr>
        <w:t xml:space="preserve"> </w:t>
      </w:r>
      <w:r>
        <w:t>víctimas</w:t>
      </w:r>
      <w:r>
        <w:rPr>
          <w:spacing w:val="16"/>
        </w:rPr>
        <w:t xml:space="preserve"> </w:t>
      </w:r>
      <w:r>
        <w:t>en</w:t>
      </w:r>
      <w:r>
        <w:rPr>
          <w:spacing w:val="16"/>
        </w:rPr>
        <w:t xml:space="preserve"> </w:t>
      </w:r>
      <w:r>
        <w:t>la</w:t>
      </w:r>
      <w:r>
        <w:rPr>
          <w:spacing w:val="16"/>
        </w:rPr>
        <w:t xml:space="preserve"> </w:t>
      </w:r>
      <w:r>
        <w:t>determinación</w:t>
      </w:r>
      <w:r>
        <w:rPr>
          <w:spacing w:val="16"/>
        </w:rPr>
        <w:t xml:space="preserve"> </w:t>
      </w:r>
      <w:r>
        <w:t>del</w:t>
      </w:r>
      <w:r>
        <w:rPr>
          <w:spacing w:val="16"/>
        </w:rPr>
        <w:t xml:space="preserve"> </w:t>
      </w:r>
      <w:r>
        <w:t>alcance</w:t>
      </w:r>
      <w:r>
        <w:rPr>
          <w:spacing w:val="16"/>
        </w:rPr>
        <w:t xml:space="preserve"> </w:t>
      </w:r>
      <w:r>
        <w:t>de</w:t>
      </w:r>
      <w:r>
        <w:rPr>
          <w:spacing w:val="16"/>
        </w:rPr>
        <w:t xml:space="preserve"> </w:t>
      </w:r>
      <w:r>
        <w:t>las</w:t>
      </w:r>
      <w:r>
        <w:rPr>
          <w:spacing w:val="16"/>
        </w:rPr>
        <w:t xml:space="preserve"> </w:t>
      </w:r>
      <w:r>
        <w:t>medidas</w:t>
      </w:r>
      <w:r>
        <w:rPr>
          <w:spacing w:val="16"/>
        </w:rPr>
        <w:t xml:space="preserve"> </w:t>
      </w:r>
      <w:r>
        <w:t>de</w:t>
      </w:r>
      <w:r>
        <w:rPr>
          <w:spacing w:val="16"/>
        </w:rPr>
        <w:t xml:space="preserve"> </w:t>
      </w:r>
      <w:r>
        <w:t>reparación.601</w:t>
      </w:r>
      <w:r>
        <w:rPr>
          <w:spacing w:val="16"/>
        </w:rPr>
        <w:t xml:space="preserve"> </w:t>
      </w:r>
      <w:r>
        <w:t>Por</w:t>
      </w:r>
      <w:r>
        <w:rPr>
          <w:spacing w:val="16"/>
        </w:rPr>
        <w:t xml:space="preserve"> </w:t>
      </w:r>
      <w:r>
        <w:t xml:space="preserve">ejemplo, en varios casos, la Corte ha ordenado a los Estados reconocer públicamente la culpabilidad </w:t>
      </w:r>
      <w:r>
        <w:rPr>
          <w:w w:val="70"/>
        </w:rPr>
        <w:t>;</w:t>
      </w:r>
      <w:r>
        <w:t xml:space="preserve"> pedir disculpas a las víctimas y a sus familiares; publicar selecciones de sus sentencias en el diario oficial del gobierno o en otros medios de circulación nacional</w:t>
      </w:r>
    </w:p>
    <w:p w14:paraId="7A40AC59" w14:textId="77777777" w:rsidR="0014798C" w:rsidRDefault="004E1F0B">
      <w:pPr>
        <w:pStyle w:val="Textoindependiente"/>
        <w:spacing w:line="271" w:lineRule="auto"/>
        <w:ind w:left="1108" w:right="1272" w:firstLine="3"/>
      </w:pPr>
      <w:r>
        <w:t xml:space="preserve">(por ejemplo, radio o </w:t>
      </w:r>
      <w:proofErr w:type="gramStart"/>
      <w:r>
        <w:t>periódicos);</w:t>
      </w:r>
      <w:proofErr w:type="gramEnd"/>
      <w:r>
        <w:t xml:space="preserve"> y construir monumentos conmemorativos y/u organizar conmemoraciones en honor de las </w:t>
      </w:r>
      <w:r>
        <w:rPr>
          <w:spacing w:val="-2"/>
        </w:rPr>
        <w:t>víctimas.602</w:t>
      </w:r>
    </w:p>
    <w:p w14:paraId="1E20C2F4" w14:textId="77777777" w:rsidR="0014798C" w:rsidRDefault="0014798C">
      <w:pPr>
        <w:pStyle w:val="Textoindependiente"/>
        <w:spacing w:before="64"/>
      </w:pPr>
    </w:p>
    <w:p w14:paraId="69E3BE6A" w14:textId="77777777" w:rsidR="0014798C" w:rsidRDefault="004E1F0B">
      <w:pPr>
        <w:pStyle w:val="Textoindependiente"/>
        <w:spacing w:line="326" w:lineRule="auto"/>
        <w:ind w:left="1107" w:right="1378" w:firstLine="3"/>
      </w:pPr>
      <w:r>
        <w:t>La</w:t>
      </w:r>
      <w:r>
        <w:rPr>
          <w:spacing w:val="14"/>
        </w:rPr>
        <w:t xml:space="preserve"> </w:t>
      </w:r>
      <w:r>
        <w:t>reparación</w:t>
      </w:r>
      <w:r>
        <w:rPr>
          <w:spacing w:val="16"/>
        </w:rPr>
        <w:t xml:space="preserve"> </w:t>
      </w:r>
      <w:r>
        <w:t>también</w:t>
      </w:r>
      <w:r>
        <w:rPr>
          <w:spacing w:val="14"/>
        </w:rPr>
        <w:t xml:space="preserve"> </w:t>
      </w:r>
      <w:r>
        <w:t>incluye</w:t>
      </w:r>
      <w:r>
        <w:rPr>
          <w:spacing w:val="14"/>
        </w:rPr>
        <w:t xml:space="preserve"> </w:t>
      </w:r>
      <w:r>
        <w:t>la</w:t>
      </w:r>
      <w:r>
        <w:rPr>
          <w:spacing w:val="14"/>
        </w:rPr>
        <w:t xml:space="preserve"> </w:t>
      </w:r>
      <w:r>
        <w:t>compensación</w:t>
      </w:r>
      <w:r>
        <w:rPr>
          <w:spacing w:val="16"/>
        </w:rPr>
        <w:t xml:space="preserve"> </w:t>
      </w:r>
      <w:r>
        <w:t>económica</w:t>
      </w:r>
      <w:r>
        <w:rPr>
          <w:spacing w:val="16"/>
        </w:rPr>
        <w:t xml:space="preserve"> </w:t>
      </w:r>
      <w:r>
        <w:t>por</w:t>
      </w:r>
      <w:r>
        <w:rPr>
          <w:spacing w:val="14"/>
        </w:rPr>
        <w:t xml:space="preserve"> </w:t>
      </w:r>
      <w:r>
        <w:t>daños</w:t>
      </w:r>
      <w:r>
        <w:rPr>
          <w:spacing w:val="14"/>
        </w:rPr>
        <w:t xml:space="preserve"> </w:t>
      </w:r>
      <w:r>
        <w:t>materiales</w:t>
      </w:r>
      <w:r>
        <w:rPr>
          <w:spacing w:val="14"/>
        </w:rPr>
        <w:t xml:space="preserve"> </w:t>
      </w:r>
      <w:r>
        <w:t>y</w:t>
      </w:r>
      <w:r>
        <w:rPr>
          <w:spacing w:val="14"/>
        </w:rPr>
        <w:t xml:space="preserve"> </w:t>
      </w:r>
      <w:r>
        <w:t>morales.</w:t>
      </w:r>
      <w:r>
        <w:rPr>
          <w:spacing w:val="16"/>
        </w:rPr>
        <w:t xml:space="preserve"> </w:t>
      </w:r>
      <w:r>
        <w:t>El</w:t>
      </w:r>
      <w:r>
        <w:rPr>
          <w:spacing w:val="14"/>
        </w:rPr>
        <w:t xml:space="preserve"> </w:t>
      </w:r>
      <w:r>
        <w:t>Comité</w:t>
      </w:r>
      <w:r>
        <w:rPr>
          <w:spacing w:val="14"/>
        </w:rPr>
        <w:t xml:space="preserve"> </w:t>
      </w:r>
      <w:r>
        <w:t>de</w:t>
      </w:r>
      <w:r>
        <w:rPr>
          <w:spacing w:val="14"/>
        </w:rPr>
        <w:t xml:space="preserve"> </w:t>
      </w:r>
      <w:r>
        <w:t>Derechos</w:t>
      </w:r>
      <w:r>
        <w:rPr>
          <w:spacing w:val="14"/>
        </w:rPr>
        <w:t xml:space="preserve"> </w:t>
      </w:r>
      <w:r>
        <w:t>Humanos ha declarado que la reparación por la violación de los derechos protegidos por el Pacto Internacional de Derechos Civiles y Políticos</w:t>
      </w:r>
      <w:r>
        <w:rPr>
          <w:spacing w:val="20"/>
        </w:rPr>
        <w:t xml:space="preserve"> </w:t>
      </w:r>
      <w:r>
        <w:t>“implica</w:t>
      </w:r>
      <w:r>
        <w:rPr>
          <w:spacing w:val="22"/>
        </w:rPr>
        <w:t xml:space="preserve"> </w:t>
      </w:r>
      <w:r>
        <w:t>una</w:t>
      </w:r>
      <w:r>
        <w:rPr>
          <w:spacing w:val="20"/>
        </w:rPr>
        <w:t xml:space="preserve"> </w:t>
      </w:r>
      <w:r>
        <w:t>compensación</w:t>
      </w:r>
      <w:r>
        <w:rPr>
          <w:spacing w:val="22"/>
        </w:rPr>
        <w:t xml:space="preserve"> </w:t>
      </w:r>
      <w:r>
        <w:t>adecuada”.603</w:t>
      </w:r>
      <w:r>
        <w:rPr>
          <w:spacing w:val="20"/>
        </w:rPr>
        <w:t xml:space="preserve"> </w:t>
      </w:r>
      <w:r>
        <w:t>El</w:t>
      </w:r>
      <w:r>
        <w:rPr>
          <w:spacing w:val="20"/>
        </w:rPr>
        <w:t xml:space="preserve"> </w:t>
      </w:r>
      <w:r>
        <w:t>Comité</w:t>
      </w:r>
      <w:r>
        <w:rPr>
          <w:spacing w:val="20"/>
        </w:rPr>
        <w:t xml:space="preserve"> </w:t>
      </w:r>
      <w:r>
        <w:t>de</w:t>
      </w:r>
      <w:r>
        <w:rPr>
          <w:spacing w:val="20"/>
        </w:rPr>
        <w:t xml:space="preserve"> </w:t>
      </w:r>
      <w:r>
        <w:t>Derechos</w:t>
      </w:r>
      <w:r>
        <w:rPr>
          <w:spacing w:val="20"/>
        </w:rPr>
        <w:t xml:space="preserve"> </w:t>
      </w:r>
      <w:r>
        <w:t>Económicos,</w:t>
      </w:r>
      <w:r>
        <w:rPr>
          <w:spacing w:val="22"/>
        </w:rPr>
        <w:t xml:space="preserve"> </w:t>
      </w:r>
      <w:r>
        <w:t>Sociales</w:t>
      </w:r>
      <w:r>
        <w:rPr>
          <w:spacing w:val="20"/>
        </w:rPr>
        <w:t xml:space="preserve"> </w:t>
      </w:r>
      <w:r>
        <w:t>y</w:t>
      </w:r>
      <w:r>
        <w:rPr>
          <w:spacing w:val="20"/>
        </w:rPr>
        <w:t xml:space="preserve"> </w:t>
      </w:r>
      <w:r>
        <w:t>Culturales</w:t>
      </w:r>
      <w:r>
        <w:rPr>
          <w:spacing w:val="20"/>
        </w:rPr>
        <w:t xml:space="preserve"> </w:t>
      </w:r>
      <w:r>
        <w:t>ha</w:t>
      </w:r>
      <w:r>
        <w:rPr>
          <w:spacing w:val="20"/>
        </w:rPr>
        <w:t xml:space="preserve"> </w:t>
      </w:r>
      <w:r>
        <w:t>adoptado una posición similar.604 Al igual que con las multas, es necesario garantizar la disponibilidad de una gama suficientemente</w:t>
      </w:r>
      <w:r>
        <w:rPr>
          <w:spacing w:val="40"/>
        </w:rPr>
        <w:t xml:space="preserve"> </w:t>
      </w:r>
      <w:r>
        <w:t>amplia de niveles de posibles compensaciones o daños, de modo que se cumplan los criterios de “eficaces, proporcionadas y disuasorias”. El Comité para la Eliminación de la Discriminación Racial ha sostenido que las víctimas de discriminación tienen derecho a una compensación financiera que vaya más allá del daño financiero básico, señalando que “los tribunales y otras autoridades competentes deberían considerar la posibilidad de otorgar una compensación financiera por el daño, material o</w:t>
      </w:r>
      <w:r>
        <w:rPr>
          <w:spacing w:val="40"/>
        </w:rPr>
        <w:t xml:space="preserve"> </w:t>
      </w:r>
      <w:r>
        <w:t>moral, sufrido por la víctima”. , cuando corresponda”.605 El Comité para la Eliminación de la Discriminación contra la Mujer ha señalado que los Estados deben garantizar la disponibilidad de compensación, que puede proporcionarse en forma de “dinero, bienes o servicios”.606</w:t>
      </w:r>
    </w:p>
    <w:p w14:paraId="610CD60D" w14:textId="77777777" w:rsidR="0014798C" w:rsidRDefault="0014798C">
      <w:pPr>
        <w:pStyle w:val="Textoindependiente"/>
        <w:rPr>
          <w:sz w:val="20"/>
        </w:rPr>
      </w:pPr>
    </w:p>
    <w:p w14:paraId="447C9FFE" w14:textId="77777777" w:rsidR="0014798C" w:rsidRDefault="0014798C">
      <w:pPr>
        <w:pStyle w:val="Textoindependiente"/>
        <w:rPr>
          <w:sz w:val="20"/>
        </w:rPr>
      </w:pPr>
    </w:p>
    <w:p w14:paraId="7C12A2FE" w14:textId="77777777" w:rsidR="0014798C" w:rsidRDefault="0014798C">
      <w:pPr>
        <w:pStyle w:val="Textoindependiente"/>
        <w:rPr>
          <w:sz w:val="20"/>
        </w:rPr>
      </w:pPr>
    </w:p>
    <w:p w14:paraId="7203F4AA" w14:textId="77777777" w:rsidR="0014798C" w:rsidRDefault="0014798C">
      <w:pPr>
        <w:pStyle w:val="Textoindependiente"/>
        <w:rPr>
          <w:sz w:val="20"/>
        </w:rPr>
      </w:pPr>
    </w:p>
    <w:p w14:paraId="1CCE0A7B" w14:textId="77777777" w:rsidR="0014798C" w:rsidRDefault="0014798C">
      <w:pPr>
        <w:pStyle w:val="Textoindependiente"/>
        <w:rPr>
          <w:sz w:val="20"/>
        </w:rPr>
      </w:pPr>
    </w:p>
    <w:p w14:paraId="2774D9BE" w14:textId="77777777" w:rsidR="0014798C" w:rsidRDefault="0014798C">
      <w:pPr>
        <w:pStyle w:val="Textoindependiente"/>
        <w:rPr>
          <w:sz w:val="20"/>
        </w:rPr>
      </w:pPr>
    </w:p>
    <w:p w14:paraId="48D20552" w14:textId="77777777" w:rsidR="0014798C" w:rsidRDefault="0014798C">
      <w:pPr>
        <w:pStyle w:val="Textoindependiente"/>
        <w:rPr>
          <w:sz w:val="20"/>
        </w:rPr>
      </w:pPr>
    </w:p>
    <w:p w14:paraId="3C22F694" w14:textId="77777777" w:rsidR="0014798C" w:rsidRDefault="004E1F0B">
      <w:pPr>
        <w:pStyle w:val="Textoindependiente"/>
        <w:spacing w:before="103"/>
        <w:rPr>
          <w:sz w:val="20"/>
        </w:rPr>
      </w:pPr>
      <w:r>
        <w:rPr>
          <w:noProof/>
        </w:rPr>
        <w:drawing>
          <wp:anchor distT="0" distB="0" distL="0" distR="0" simplePos="0" relativeHeight="251658535" behindDoc="1" locked="0" layoutInCell="1" allowOverlap="1" wp14:anchorId="122602D2" wp14:editId="5746F5A6">
            <wp:simplePos x="0" y="0"/>
            <wp:positionH relativeFrom="page">
              <wp:posOffset>826632</wp:posOffset>
            </wp:positionH>
            <wp:positionV relativeFrom="paragraph">
              <wp:posOffset>227019</wp:posOffset>
            </wp:positionV>
            <wp:extent cx="931001" cy="35813"/>
            <wp:effectExtent l="0" t="0" r="0" b="0"/>
            <wp:wrapTopAndBottom/>
            <wp:docPr id="188" name="Image 18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88" name="Image 188"/>
                    <pic:cNvPicPr/>
                  </pic:nvPicPr>
                  <pic:blipFill>
                    <a:blip r:embed="rId169" cstate="print"/>
                    <a:stretch>
                      <a:fillRect/>
                    </a:stretch>
                  </pic:blipFill>
                  <pic:spPr>
                    <a:xfrm>
                      <a:off x="0" y="0"/>
                      <a:ext cx="931001" cy="35813"/>
                    </a:xfrm>
                    <a:prstGeom prst="rect">
                      <a:avLst/>
                    </a:prstGeom>
                  </pic:spPr>
                </pic:pic>
              </a:graphicData>
            </a:graphic>
          </wp:anchor>
        </w:drawing>
      </w:r>
    </w:p>
    <w:p w14:paraId="245A52CD" w14:textId="77777777" w:rsidR="0014798C" w:rsidRDefault="0014798C">
      <w:pPr>
        <w:pStyle w:val="Textoindependiente"/>
        <w:spacing w:before="36"/>
        <w:rPr>
          <w:sz w:val="12"/>
        </w:rPr>
      </w:pPr>
    </w:p>
    <w:p w14:paraId="38273D71" w14:textId="77777777" w:rsidR="0014798C" w:rsidRDefault="004E1F0B">
      <w:pPr>
        <w:spacing w:before="1"/>
        <w:ind w:left="1107"/>
        <w:rPr>
          <w:sz w:val="12"/>
        </w:rPr>
      </w:pPr>
      <w:r>
        <w:rPr>
          <w:sz w:val="12"/>
        </w:rPr>
        <w:t>598</w:t>
      </w:r>
      <w:r>
        <w:rPr>
          <w:spacing w:val="-1"/>
          <w:sz w:val="12"/>
        </w:rPr>
        <w:t xml:space="preserve"> </w:t>
      </w:r>
      <w:r>
        <w:rPr>
          <w:sz w:val="12"/>
        </w:rPr>
        <w:t>Comité</w:t>
      </w:r>
      <w:r>
        <w:rPr>
          <w:spacing w:val="-1"/>
          <w:sz w:val="12"/>
        </w:rPr>
        <w:t xml:space="preserve"> </w:t>
      </w:r>
      <w:r>
        <w:rPr>
          <w:sz w:val="12"/>
        </w:rPr>
        <w:t>de Derechos</w:t>
      </w:r>
      <w:r>
        <w:rPr>
          <w:spacing w:val="-1"/>
          <w:sz w:val="12"/>
        </w:rPr>
        <w:t xml:space="preserve"> </w:t>
      </w:r>
      <w:r>
        <w:rPr>
          <w:sz w:val="12"/>
        </w:rPr>
        <w:t>Humanos,</w:t>
      </w:r>
      <w:r>
        <w:rPr>
          <w:spacing w:val="1"/>
          <w:sz w:val="12"/>
        </w:rPr>
        <w:t xml:space="preserve"> </w:t>
      </w:r>
      <w:r>
        <w:rPr>
          <w:sz w:val="12"/>
        </w:rPr>
        <w:t>observación</w:t>
      </w:r>
      <w:r>
        <w:rPr>
          <w:spacing w:val="-1"/>
          <w:sz w:val="12"/>
        </w:rPr>
        <w:t xml:space="preserve"> </w:t>
      </w:r>
      <w:r>
        <w:rPr>
          <w:sz w:val="12"/>
        </w:rPr>
        <w:t>general</w:t>
      </w:r>
      <w:r>
        <w:rPr>
          <w:spacing w:val="-1"/>
          <w:sz w:val="12"/>
        </w:rPr>
        <w:t xml:space="preserve"> </w:t>
      </w:r>
      <w:r>
        <w:rPr>
          <w:sz w:val="12"/>
        </w:rPr>
        <w:t>núm. 31</w:t>
      </w:r>
      <w:r>
        <w:rPr>
          <w:spacing w:val="-1"/>
          <w:sz w:val="12"/>
        </w:rPr>
        <w:t xml:space="preserve"> </w:t>
      </w:r>
      <w:r>
        <w:rPr>
          <w:sz w:val="12"/>
        </w:rPr>
        <w:t>(2004), párr.</w:t>
      </w:r>
      <w:r>
        <w:rPr>
          <w:spacing w:val="-1"/>
          <w:sz w:val="12"/>
        </w:rPr>
        <w:t xml:space="preserve"> </w:t>
      </w:r>
      <w:r>
        <w:rPr>
          <w:spacing w:val="-2"/>
          <w:sz w:val="12"/>
        </w:rPr>
        <w:t>dieciséis.</w:t>
      </w:r>
    </w:p>
    <w:p w14:paraId="546CF004" w14:textId="77777777" w:rsidR="0014798C" w:rsidRDefault="004E1F0B">
      <w:pPr>
        <w:spacing w:before="100" w:line="312" w:lineRule="auto"/>
        <w:ind w:left="1376" w:right="2337" w:hanging="270"/>
        <w:rPr>
          <w:sz w:val="12"/>
        </w:rPr>
      </w:pPr>
      <w:r>
        <w:rPr>
          <w:w w:val="105"/>
          <w:sz w:val="12"/>
        </w:rPr>
        <w:t xml:space="preserve">599 Peter J. Dixon, “Reparaciones y política de reconocimiento”, en </w:t>
      </w:r>
      <w:proofErr w:type="spellStart"/>
      <w:r>
        <w:rPr>
          <w:w w:val="105"/>
          <w:sz w:val="12"/>
        </w:rPr>
        <w:t>Contested</w:t>
      </w:r>
      <w:proofErr w:type="spellEnd"/>
      <w:r>
        <w:rPr>
          <w:w w:val="105"/>
          <w:sz w:val="12"/>
        </w:rPr>
        <w:t xml:space="preserve"> </w:t>
      </w:r>
      <w:proofErr w:type="spellStart"/>
      <w:r>
        <w:rPr>
          <w:w w:val="105"/>
          <w:sz w:val="12"/>
        </w:rPr>
        <w:t>Justice</w:t>
      </w:r>
      <w:proofErr w:type="spellEnd"/>
      <w:r>
        <w:rPr>
          <w:w w:val="105"/>
          <w:sz w:val="12"/>
        </w:rPr>
        <w:t xml:space="preserve">: The </w:t>
      </w:r>
      <w:proofErr w:type="spellStart"/>
      <w:r>
        <w:rPr>
          <w:w w:val="105"/>
          <w:sz w:val="12"/>
        </w:rPr>
        <w:t>Politics</w:t>
      </w:r>
      <w:proofErr w:type="spellEnd"/>
      <w:r>
        <w:rPr>
          <w:w w:val="105"/>
          <w:sz w:val="12"/>
        </w:rPr>
        <w:t xml:space="preserve"> and </w:t>
      </w:r>
      <w:proofErr w:type="spellStart"/>
      <w:r>
        <w:rPr>
          <w:w w:val="105"/>
          <w:sz w:val="12"/>
        </w:rPr>
        <w:t>Practice</w:t>
      </w:r>
      <w:proofErr w:type="spellEnd"/>
      <w:r>
        <w:rPr>
          <w:w w:val="105"/>
          <w:sz w:val="12"/>
        </w:rPr>
        <w:t xml:space="preserve"> of International Criminal</w:t>
      </w:r>
      <w:r>
        <w:rPr>
          <w:spacing w:val="40"/>
          <w:w w:val="105"/>
          <w:sz w:val="12"/>
        </w:rPr>
        <w:t xml:space="preserve"> </w:t>
      </w:r>
      <w:r>
        <w:rPr>
          <w:w w:val="105"/>
          <w:sz w:val="12"/>
        </w:rPr>
        <w:t>Intervenciones</w:t>
      </w:r>
      <w:r>
        <w:rPr>
          <w:spacing w:val="-2"/>
          <w:w w:val="105"/>
          <w:sz w:val="12"/>
        </w:rPr>
        <w:t xml:space="preserve"> </w:t>
      </w:r>
      <w:r>
        <w:rPr>
          <w:w w:val="105"/>
          <w:sz w:val="12"/>
        </w:rPr>
        <w:t>judiciales,</w:t>
      </w:r>
      <w:r>
        <w:rPr>
          <w:spacing w:val="-1"/>
          <w:w w:val="105"/>
          <w:sz w:val="12"/>
        </w:rPr>
        <w:t xml:space="preserve"> </w:t>
      </w:r>
      <w:r>
        <w:rPr>
          <w:w w:val="105"/>
          <w:sz w:val="12"/>
        </w:rPr>
        <w:t>Christian</w:t>
      </w:r>
      <w:r>
        <w:rPr>
          <w:spacing w:val="-2"/>
          <w:w w:val="105"/>
          <w:sz w:val="12"/>
        </w:rPr>
        <w:t xml:space="preserve"> </w:t>
      </w:r>
      <w:r>
        <w:rPr>
          <w:w w:val="105"/>
          <w:sz w:val="12"/>
        </w:rPr>
        <w:t>De</w:t>
      </w:r>
      <w:r>
        <w:rPr>
          <w:spacing w:val="-2"/>
          <w:w w:val="105"/>
          <w:sz w:val="12"/>
        </w:rPr>
        <w:t xml:space="preserve"> </w:t>
      </w:r>
      <w:r>
        <w:rPr>
          <w:w w:val="105"/>
          <w:sz w:val="12"/>
        </w:rPr>
        <w:t>Vos,</w:t>
      </w:r>
      <w:r>
        <w:rPr>
          <w:spacing w:val="-2"/>
          <w:w w:val="105"/>
          <w:sz w:val="12"/>
        </w:rPr>
        <w:t xml:space="preserve"> </w:t>
      </w:r>
      <w:r>
        <w:rPr>
          <w:w w:val="105"/>
          <w:sz w:val="12"/>
        </w:rPr>
        <w:t>Sara</w:t>
      </w:r>
      <w:r>
        <w:rPr>
          <w:spacing w:val="-2"/>
          <w:w w:val="105"/>
          <w:sz w:val="12"/>
        </w:rPr>
        <w:t xml:space="preserve"> </w:t>
      </w:r>
      <w:r>
        <w:rPr>
          <w:w w:val="105"/>
          <w:sz w:val="12"/>
        </w:rPr>
        <w:t>Kendall</w:t>
      </w:r>
      <w:r>
        <w:rPr>
          <w:spacing w:val="-2"/>
          <w:w w:val="105"/>
          <w:sz w:val="12"/>
        </w:rPr>
        <w:t xml:space="preserve"> </w:t>
      </w:r>
      <w:r>
        <w:rPr>
          <w:w w:val="105"/>
          <w:sz w:val="12"/>
        </w:rPr>
        <w:t>y</w:t>
      </w:r>
      <w:r>
        <w:rPr>
          <w:spacing w:val="-2"/>
          <w:w w:val="105"/>
          <w:sz w:val="12"/>
        </w:rPr>
        <w:t xml:space="preserve"> </w:t>
      </w:r>
      <w:proofErr w:type="spellStart"/>
      <w:r>
        <w:rPr>
          <w:w w:val="105"/>
          <w:sz w:val="12"/>
        </w:rPr>
        <w:t>Carsten</w:t>
      </w:r>
      <w:proofErr w:type="spellEnd"/>
      <w:r>
        <w:rPr>
          <w:spacing w:val="-2"/>
          <w:w w:val="105"/>
          <w:sz w:val="12"/>
        </w:rPr>
        <w:t xml:space="preserve"> </w:t>
      </w:r>
      <w:proofErr w:type="spellStart"/>
      <w:r>
        <w:rPr>
          <w:w w:val="105"/>
          <w:sz w:val="12"/>
        </w:rPr>
        <w:t>Stahn</w:t>
      </w:r>
      <w:proofErr w:type="spellEnd"/>
      <w:r>
        <w:rPr>
          <w:w w:val="105"/>
          <w:sz w:val="12"/>
        </w:rPr>
        <w:t>,</w:t>
      </w:r>
      <w:r>
        <w:rPr>
          <w:spacing w:val="-2"/>
          <w:w w:val="105"/>
          <w:sz w:val="12"/>
        </w:rPr>
        <w:t xml:space="preserve"> </w:t>
      </w:r>
      <w:r>
        <w:rPr>
          <w:w w:val="105"/>
          <w:sz w:val="12"/>
        </w:rPr>
        <w:t>eds.</w:t>
      </w:r>
      <w:r>
        <w:rPr>
          <w:spacing w:val="-2"/>
          <w:w w:val="105"/>
          <w:sz w:val="12"/>
        </w:rPr>
        <w:t xml:space="preserve"> </w:t>
      </w:r>
      <w:r>
        <w:rPr>
          <w:w w:val="105"/>
          <w:sz w:val="12"/>
        </w:rPr>
        <w:t>(Cambridge,</w:t>
      </w:r>
      <w:r>
        <w:rPr>
          <w:spacing w:val="-1"/>
          <w:w w:val="105"/>
          <w:sz w:val="12"/>
        </w:rPr>
        <w:t xml:space="preserve"> </w:t>
      </w:r>
      <w:r>
        <w:rPr>
          <w:w w:val="105"/>
          <w:sz w:val="12"/>
        </w:rPr>
        <w:t>Reino</w:t>
      </w:r>
      <w:r>
        <w:rPr>
          <w:spacing w:val="-2"/>
          <w:w w:val="105"/>
          <w:sz w:val="12"/>
        </w:rPr>
        <w:t xml:space="preserve"> </w:t>
      </w:r>
      <w:r>
        <w:rPr>
          <w:w w:val="105"/>
          <w:sz w:val="12"/>
        </w:rPr>
        <w:t>Unido,</w:t>
      </w:r>
      <w:r>
        <w:rPr>
          <w:spacing w:val="-2"/>
          <w:w w:val="105"/>
          <w:sz w:val="12"/>
        </w:rPr>
        <w:t xml:space="preserve"> </w:t>
      </w:r>
      <w:r>
        <w:rPr>
          <w:w w:val="105"/>
          <w:sz w:val="12"/>
        </w:rPr>
        <w:t>Cambridge</w:t>
      </w:r>
      <w:r>
        <w:rPr>
          <w:spacing w:val="-2"/>
          <w:w w:val="105"/>
          <w:sz w:val="12"/>
        </w:rPr>
        <w:t xml:space="preserve"> </w:t>
      </w:r>
      <w:proofErr w:type="spellStart"/>
      <w:r>
        <w:rPr>
          <w:w w:val="105"/>
          <w:sz w:val="12"/>
        </w:rPr>
        <w:t>University</w:t>
      </w:r>
      <w:proofErr w:type="spellEnd"/>
      <w:r>
        <w:rPr>
          <w:spacing w:val="-2"/>
          <w:w w:val="105"/>
          <w:sz w:val="12"/>
        </w:rPr>
        <w:t xml:space="preserve"> </w:t>
      </w:r>
      <w:proofErr w:type="spellStart"/>
      <w:r>
        <w:rPr>
          <w:w w:val="105"/>
          <w:sz w:val="12"/>
        </w:rPr>
        <w:t>Press</w:t>
      </w:r>
      <w:proofErr w:type="spellEnd"/>
      <w:r>
        <w:rPr>
          <w:w w:val="105"/>
          <w:sz w:val="12"/>
        </w:rPr>
        <w:t>,</w:t>
      </w:r>
      <w:r>
        <w:rPr>
          <w:spacing w:val="-2"/>
          <w:w w:val="105"/>
          <w:sz w:val="12"/>
        </w:rPr>
        <w:t xml:space="preserve"> </w:t>
      </w:r>
      <w:r>
        <w:rPr>
          <w:w w:val="105"/>
          <w:sz w:val="12"/>
        </w:rPr>
        <w:t>2015).</w:t>
      </w:r>
    </w:p>
    <w:p w14:paraId="7240ACBB" w14:textId="77777777" w:rsidR="0014798C" w:rsidRDefault="0014798C">
      <w:pPr>
        <w:pStyle w:val="Textoindependiente"/>
        <w:spacing w:before="99"/>
        <w:rPr>
          <w:sz w:val="12"/>
        </w:rPr>
      </w:pPr>
    </w:p>
    <w:p w14:paraId="362F75A0" w14:textId="77777777" w:rsidR="0014798C" w:rsidRDefault="004E1F0B">
      <w:pPr>
        <w:spacing w:line="304" w:lineRule="auto"/>
        <w:ind w:left="1369" w:right="2004" w:hanging="262"/>
        <w:rPr>
          <w:sz w:val="12"/>
        </w:rPr>
      </w:pPr>
      <w:r>
        <w:rPr>
          <w:w w:val="105"/>
          <w:sz w:val="12"/>
        </w:rPr>
        <w:t>600</w:t>
      </w:r>
      <w:r>
        <w:rPr>
          <w:spacing w:val="-2"/>
          <w:w w:val="105"/>
          <w:sz w:val="12"/>
        </w:rPr>
        <w:t xml:space="preserve"> </w:t>
      </w:r>
      <w:proofErr w:type="spellStart"/>
      <w:r>
        <w:rPr>
          <w:w w:val="105"/>
          <w:sz w:val="12"/>
        </w:rPr>
        <w:t>Dinah</w:t>
      </w:r>
      <w:proofErr w:type="spellEnd"/>
      <w:r>
        <w:rPr>
          <w:spacing w:val="-2"/>
          <w:w w:val="105"/>
          <w:sz w:val="12"/>
        </w:rPr>
        <w:t xml:space="preserve"> </w:t>
      </w:r>
      <w:proofErr w:type="spellStart"/>
      <w:r>
        <w:rPr>
          <w:w w:val="105"/>
          <w:sz w:val="12"/>
        </w:rPr>
        <w:t>Shelton</w:t>
      </w:r>
      <w:proofErr w:type="spellEnd"/>
      <w:r>
        <w:rPr>
          <w:w w:val="105"/>
          <w:sz w:val="12"/>
        </w:rPr>
        <w:t>,</w:t>
      </w:r>
      <w:r>
        <w:rPr>
          <w:spacing w:val="-2"/>
          <w:w w:val="105"/>
          <w:sz w:val="12"/>
        </w:rPr>
        <w:t xml:space="preserve"> </w:t>
      </w:r>
      <w:r>
        <w:rPr>
          <w:w w:val="105"/>
          <w:sz w:val="12"/>
        </w:rPr>
        <w:t>Remedies</w:t>
      </w:r>
      <w:r>
        <w:rPr>
          <w:spacing w:val="-2"/>
          <w:w w:val="105"/>
          <w:sz w:val="12"/>
        </w:rPr>
        <w:t xml:space="preserve"> </w:t>
      </w:r>
      <w:r>
        <w:rPr>
          <w:w w:val="105"/>
          <w:sz w:val="12"/>
        </w:rPr>
        <w:t>in</w:t>
      </w:r>
      <w:r>
        <w:rPr>
          <w:spacing w:val="-2"/>
          <w:w w:val="105"/>
          <w:sz w:val="12"/>
        </w:rPr>
        <w:t xml:space="preserve"> </w:t>
      </w:r>
      <w:r>
        <w:rPr>
          <w:w w:val="105"/>
          <w:sz w:val="12"/>
        </w:rPr>
        <w:t>International</w:t>
      </w:r>
      <w:r>
        <w:rPr>
          <w:spacing w:val="-2"/>
          <w:w w:val="105"/>
          <w:sz w:val="12"/>
        </w:rPr>
        <w:t xml:space="preserve"> </w:t>
      </w:r>
      <w:r>
        <w:rPr>
          <w:w w:val="105"/>
          <w:sz w:val="12"/>
        </w:rPr>
        <w:t>Human</w:t>
      </w:r>
      <w:r>
        <w:rPr>
          <w:spacing w:val="-2"/>
          <w:w w:val="105"/>
          <w:sz w:val="12"/>
        </w:rPr>
        <w:t xml:space="preserve"> </w:t>
      </w:r>
      <w:proofErr w:type="spellStart"/>
      <w:r>
        <w:rPr>
          <w:w w:val="105"/>
          <w:sz w:val="12"/>
        </w:rPr>
        <w:t>Rights</w:t>
      </w:r>
      <w:proofErr w:type="spellEnd"/>
      <w:r>
        <w:rPr>
          <w:spacing w:val="-2"/>
          <w:w w:val="105"/>
          <w:sz w:val="12"/>
        </w:rPr>
        <w:t xml:space="preserve"> </w:t>
      </w:r>
      <w:proofErr w:type="spellStart"/>
      <w:r>
        <w:rPr>
          <w:w w:val="105"/>
          <w:sz w:val="12"/>
        </w:rPr>
        <w:t>Law</w:t>
      </w:r>
      <w:proofErr w:type="spellEnd"/>
      <w:r>
        <w:rPr>
          <w:w w:val="105"/>
          <w:sz w:val="12"/>
        </w:rPr>
        <w:t>,</w:t>
      </w:r>
      <w:r>
        <w:rPr>
          <w:spacing w:val="-2"/>
          <w:w w:val="105"/>
          <w:sz w:val="12"/>
        </w:rPr>
        <w:t xml:space="preserve"> </w:t>
      </w:r>
      <w:r>
        <w:rPr>
          <w:w w:val="105"/>
          <w:sz w:val="12"/>
        </w:rPr>
        <w:t>tercera</w:t>
      </w:r>
      <w:r>
        <w:rPr>
          <w:spacing w:val="-2"/>
          <w:w w:val="105"/>
          <w:sz w:val="12"/>
        </w:rPr>
        <w:t xml:space="preserve"> </w:t>
      </w:r>
      <w:r>
        <w:rPr>
          <w:w w:val="105"/>
          <w:sz w:val="12"/>
        </w:rPr>
        <w:t>edición</w:t>
      </w:r>
      <w:r>
        <w:rPr>
          <w:spacing w:val="-2"/>
          <w:w w:val="105"/>
          <w:sz w:val="12"/>
        </w:rPr>
        <w:t xml:space="preserve"> </w:t>
      </w:r>
      <w:r>
        <w:rPr>
          <w:w w:val="105"/>
          <w:sz w:val="12"/>
        </w:rPr>
        <w:t>(Oxford,</w:t>
      </w:r>
      <w:r>
        <w:rPr>
          <w:spacing w:val="-1"/>
          <w:w w:val="105"/>
          <w:sz w:val="12"/>
        </w:rPr>
        <w:t xml:space="preserve"> </w:t>
      </w:r>
      <w:r>
        <w:rPr>
          <w:w w:val="105"/>
          <w:sz w:val="12"/>
        </w:rPr>
        <w:t>Oxford</w:t>
      </w:r>
      <w:r>
        <w:rPr>
          <w:spacing w:val="-2"/>
          <w:w w:val="105"/>
          <w:sz w:val="12"/>
        </w:rPr>
        <w:t xml:space="preserve"> </w:t>
      </w:r>
      <w:proofErr w:type="spellStart"/>
      <w:r>
        <w:rPr>
          <w:w w:val="105"/>
          <w:sz w:val="12"/>
        </w:rPr>
        <w:t>University</w:t>
      </w:r>
      <w:proofErr w:type="spellEnd"/>
      <w:r>
        <w:rPr>
          <w:spacing w:val="-2"/>
          <w:w w:val="105"/>
          <w:sz w:val="12"/>
        </w:rPr>
        <w:t xml:space="preserve"> </w:t>
      </w:r>
      <w:proofErr w:type="spellStart"/>
      <w:r>
        <w:rPr>
          <w:w w:val="105"/>
          <w:sz w:val="12"/>
        </w:rPr>
        <w:t>Press</w:t>
      </w:r>
      <w:proofErr w:type="spellEnd"/>
      <w:r>
        <w:rPr>
          <w:w w:val="105"/>
          <w:sz w:val="12"/>
        </w:rPr>
        <w:t>,</w:t>
      </w:r>
      <w:r>
        <w:rPr>
          <w:spacing w:val="-2"/>
          <w:w w:val="105"/>
          <w:sz w:val="12"/>
        </w:rPr>
        <w:t xml:space="preserve"> </w:t>
      </w:r>
      <w:r>
        <w:rPr>
          <w:w w:val="105"/>
          <w:sz w:val="12"/>
        </w:rPr>
        <w:t>2005),</w:t>
      </w:r>
      <w:r>
        <w:rPr>
          <w:spacing w:val="-1"/>
          <w:w w:val="105"/>
          <w:sz w:val="12"/>
        </w:rPr>
        <w:t xml:space="preserve"> </w:t>
      </w:r>
      <w:r>
        <w:rPr>
          <w:w w:val="105"/>
          <w:sz w:val="12"/>
        </w:rPr>
        <w:t>pág.</w:t>
      </w:r>
      <w:r>
        <w:rPr>
          <w:spacing w:val="-2"/>
          <w:w w:val="105"/>
          <w:sz w:val="12"/>
        </w:rPr>
        <w:t xml:space="preserve"> </w:t>
      </w:r>
      <w:r>
        <w:rPr>
          <w:w w:val="105"/>
          <w:sz w:val="12"/>
        </w:rPr>
        <w:t>14</w:t>
      </w:r>
      <w:r>
        <w:rPr>
          <w:spacing w:val="-2"/>
          <w:w w:val="105"/>
          <w:sz w:val="12"/>
        </w:rPr>
        <w:t xml:space="preserve"> </w:t>
      </w:r>
      <w:r>
        <w:rPr>
          <w:w w:val="105"/>
          <w:sz w:val="12"/>
        </w:rPr>
        <w:t>(notas</w:t>
      </w:r>
      <w:r>
        <w:rPr>
          <w:spacing w:val="-2"/>
          <w:w w:val="105"/>
          <w:sz w:val="12"/>
        </w:rPr>
        <w:t xml:space="preserve"> </w:t>
      </w:r>
      <w:r>
        <w:rPr>
          <w:w w:val="105"/>
          <w:sz w:val="12"/>
        </w:rPr>
        <w:t>a</w:t>
      </w:r>
      <w:r>
        <w:rPr>
          <w:spacing w:val="-2"/>
          <w:w w:val="105"/>
          <w:sz w:val="12"/>
        </w:rPr>
        <w:t xml:space="preserve"> </w:t>
      </w:r>
      <w:r>
        <w:rPr>
          <w:w w:val="105"/>
          <w:sz w:val="12"/>
        </w:rPr>
        <w:t>pie</w:t>
      </w:r>
      <w:r>
        <w:rPr>
          <w:spacing w:val="-2"/>
          <w:w w:val="105"/>
          <w:sz w:val="12"/>
        </w:rPr>
        <w:t xml:space="preserve"> </w:t>
      </w:r>
      <w:r>
        <w:rPr>
          <w:w w:val="105"/>
          <w:sz w:val="12"/>
        </w:rPr>
        <w:t>de</w:t>
      </w:r>
      <w:r>
        <w:rPr>
          <w:spacing w:val="-2"/>
          <w:w w:val="105"/>
          <w:sz w:val="12"/>
        </w:rPr>
        <w:t xml:space="preserve"> </w:t>
      </w:r>
      <w:r>
        <w:rPr>
          <w:w w:val="105"/>
          <w:sz w:val="12"/>
        </w:rPr>
        <w:t>página</w:t>
      </w:r>
      <w:r>
        <w:rPr>
          <w:spacing w:val="40"/>
          <w:w w:val="105"/>
          <w:sz w:val="12"/>
        </w:rPr>
        <w:t xml:space="preserve"> </w:t>
      </w:r>
      <w:r>
        <w:rPr>
          <w:spacing w:val="-2"/>
          <w:w w:val="105"/>
          <w:sz w:val="12"/>
        </w:rPr>
        <w:t>omitido).</w:t>
      </w:r>
    </w:p>
    <w:p w14:paraId="55C03FFC" w14:textId="77777777" w:rsidR="0014798C" w:rsidRDefault="0014798C">
      <w:pPr>
        <w:spacing w:line="304" w:lineRule="auto"/>
        <w:rPr>
          <w:sz w:val="12"/>
        </w:rPr>
        <w:sectPr w:rsidR="0014798C" w:rsidSect="00F265E4">
          <w:pgSz w:w="11900" w:h="16820"/>
          <w:pgMar w:top="340" w:right="0" w:bottom="280" w:left="200" w:header="121" w:footer="0" w:gutter="0"/>
          <w:cols w:space="720"/>
        </w:sectPr>
      </w:pPr>
    </w:p>
    <w:p w14:paraId="4B637D9D" w14:textId="77777777" w:rsidR="0014798C" w:rsidRDefault="004E1F0B">
      <w:pPr>
        <w:spacing w:before="19"/>
        <w:jc w:val="right"/>
        <w:rPr>
          <w:sz w:val="8"/>
        </w:rPr>
      </w:pPr>
      <w:r>
        <w:rPr>
          <w:spacing w:val="-5"/>
          <w:w w:val="105"/>
          <w:sz w:val="8"/>
        </w:rPr>
        <w:t>601</w:t>
      </w:r>
    </w:p>
    <w:p w14:paraId="42D6CC6C" w14:textId="77777777" w:rsidR="0014798C" w:rsidRDefault="004E1F0B">
      <w:pPr>
        <w:spacing w:before="66" w:line="312" w:lineRule="auto"/>
        <w:ind w:left="76" w:right="1550" w:firstLine="4"/>
        <w:rPr>
          <w:sz w:val="12"/>
        </w:rPr>
      </w:pPr>
      <w:r>
        <w:br w:type="column"/>
      </w:r>
      <w:r>
        <w:rPr>
          <w:w w:val="105"/>
          <w:sz w:val="12"/>
        </w:rPr>
        <w:t>Véase,</w:t>
      </w:r>
      <w:r>
        <w:rPr>
          <w:spacing w:val="-2"/>
          <w:w w:val="105"/>
          <w:sz w:val="12"/>
        </w:rPr>
        <w:t xml:space="preserve"> </w:t>
      </w:r>
      <w:r>
        <w:rPr>
          <w:w w:val="105"/>
          <w:sz w:val="12"/>
        </w:rPr>
        <w:t>por</w:t>
      </w:r>
      <w:r>
        <w:rPr>
          <w:spacing w:val="-2"/>
          <w:w w:val="105"/>
          <w:sz w:val="12"/>
        </w:rPr>
        <w:t xml:space="preserve"> </w:t>
      </w:r>
      <w:r>
        <w:rPr>
          <w:w w:val="105"/>
          <w:sz w:val="12"/>
        </w:rPr>
        <w:t>ejemplo,</w:t>
      </w:r>
      <w:r>
        <w:rPr>
          <w:spacing w:val="-1"/>
          <w:w w:val="105"/>
          <w:sz w:val="12"/>
        </w:rPr>
        <w:t xml:space="preserve"> </w:t>
      </w:r>
      <w:r>
        <w:rPr>
          <w:w w:val="105"/>
          <w:sz w:val="12"/>
        </w:rPr>
        <w:t>Corte</w:t>
      </w:r>
      <w:r>
        <w:rPr>
          <w:spacing w:val="-2"/>
          <w:w w:val="105"/>
          <w:sz w:val="12"/>
        </w:rPr>
        <w:t xml:space="preserve"> </w:t>
      </w:r>
      <w:r>
        <w:rPr>
          <w:w w:val="105"/>
          <w:sz w:val="12"/>
        </w:rPr>
        <w:t>Interamericana</w:t>
      </w:r>
      <w:r>
        <w:rPr>
          <w:spacing w:val="-2"/>
          <w:w w:val="105"/>
          <w:sz w:val="12"/>
        </w:rPr>
        <w:t xml:space="preserve"> </w:t>
      </w:r>
      <w:r>
        <w:rPr>
          <w:w w:val="105"/>
          <w:sz w:val="12"/>
        </w:rPr>
        <w:t>de</w:t>
      </w:r>
      <w:r>
        <w:rPr>
          <w:spacing w:val="-2"/>
          <w:w w:val="105"/>
          <w:sz w:val="12"/>
        </w:rPr>
        <w:t xml:space="preserve"> </w:t>
      </w:r>
      <w:r>
        <w:rPr>
          <w:w w:val="105"/>
          <w:sz w:val="12"/>
        </w:rPr>
        <w:t>Derechos</w:t>
      </w:r>
      <w:r>
        <w:rPr>
          <w:spacing w:val="-2"/>
          <w:w w:val="105"/>
          <w:sz w:val="12"/>
        </w:rPr>
        <w:t xml:space="preserve"> </w:t>
      </w:r>
      <w:r>
        <w:rPr>
          <w:w w:val="105"/>
          <w:sz w:val="12"/>
        </w:rPr>
        <w:t>Humanos,</w:t>
      </w:r>
      <w:r>
        <w:rPr>
          <w:spacing w:val="-1"/>
          <w:w w:val="105"/>
          <w:sz w:val="12"/>
        </w:rPr>
        <w:t xml:space="preserve"> </w:t>
      </w:r>
      <w:r>
        <w:rPr>
          <w:w w:val="105"/>
          <w:sz w:val="12"/>
        </w:rPr>
        <w:t>Masacres</w:t>
      </w:r>
      <w:r>
        <w:rPr>
          <w:spacing w:val="-2"/>
          <w:w w:val="105"/>
          <w:sz w:val="12"/>
        </w:rPr>
        <w:t xml:space="preserve"> </w:t>
      </w:r>
      <w:r>
        <w:rPr>
          <w:w w:val="105"/>
          <w:sz w:val="12"/>
        </w:rPr>
        <w:t>de</w:t>
      </w:r>
      <w:r>
        <w:rPr>
          <w:spacing w:val="-2"/>
          <w:w w:val="105"/>
          <w:sz w:val="12"/>
        </w:rPr>
        <w:t xml:space="preserve"> </w:t>
      </w:r>
      <w:r>
        <w:rPr>
          <w:w w:val="105"/>
          <w:sz w:val="12"/>
        </w:rPr>
        <w:t>Río</w:t>
      </w:r>
      <w:r>
        <w:rPr>
          <w:spacing w:val="-2"/>
          <w:w w:val="105"/>
          <w:sz w:val="12"/>
        </w:rPr>
        <w:t xml:space="preserve"> </w:t>
      </w:r>
      <w:r>
        <w:rPr>
          <w:w w:val="105"/>
          <w:sz w:val="12"/>
        </w:rPr>
        <w:t>Negro</w:t>
      </w:r>
      <w:r>
        <w:rPr>
          <w:spacing w:val="-2"/>
          <w:w w:val="105"/>
          <w:sz w:val="12"/>
        </w:rPr>
        <w:t xml:space="preserve"> </w:t>
      </w:r>
      <w:r>
        <w:rPr>
          <w:w w:val="105"/>
          <w:sz w:val="12"/>
        </w:rPr>
        <w:t>v.</w:t>
      </w:r>
      <w:r>
        <w:rPr>
          <w:spacing w:val="-2"/>
          <w:w w:val="105"/>
          <w:sz w:val="12"/>
        </w:rPr>
        <w:t xml:space="preserve"> </w:t>
      </w:r>
      <w:r>
        <w:rPr>
          <w:w w:val="105"/>
          <w:sz w:val="12"/>
        </w:rPr>
        <w:t>Guatemala,</w:t>
      </w:r>
      <w:r>
        <w:rPr>
          <w:spacing w:val="-1"/>
          <w:w w:val="105"/>
          <w:sz w:val="12"/>
        </w:rPr>
        <w:t xml:space="preserve"> </w:t>
      </w:r>
      <w:r>
        <w:rPr>
          <w:w w:val="105"/>
          <w:sz w:val="12"/>
        </w:rPr>
        <w:t>sentencia</w:t>
      </w:r>
      <w:r>
        <w:rPr>
          <w:spacing w:val="-2"/>
          <w:w w:val="105"/>
          <w:sz w:val="12"/>
        </w:rPr>
        <w:t xml:space="preserve"> </w:t>
      </w:r>
      <w:r>
        <w:rPr>
          <w:w w:val="105"/>
          <w:sz w:val="12"/>
        </w:rPr>
        <w:t>de</w:t>
      </w:r>
      <w:r>
        <w:rPr>
          <w:spacing w:val="-2"/>
          <w:w w:val="105"/>
          <w:sz w:val="12"/>
        </w:rPr>
        <w:t xml:space="preserve"> </w:t>
      </w:r>
      <w:r>
        <w:rPr>
          <w:w w:val="105"/>
          <w:sz w:val="12"/>
        </w:rPr>
        <w:t>4</w:t>
      </w:r>
      <w:r>
        <w:rPr>
          <w:spacing w:val="-2"/>
          <w:w w:val="105"/>
          <w:sz w:val="12"/>
        </w:rPr>
        <w:t xml:space="preserve"> </w:t>
      </w:r>
      <w:r>
        <w:rPr>
          <w:w w:val="105"/>
          <w:sz w:val="12"/>
        </w:rPr>
        <w:t>de</w:t>
      </w:r>
      <w:r>
        <w:rPr>
          <w:spacing w:val="-2"/>
          <w:w w:val="105"/>
          <w:sz w:val="12"/>
        </w:rPr>
        <w:t xml:space="preserve"> </w:t>
      </w:r>
      <w:r>
        <w:rPr>
          <w:w w:val="105"/>
          <w:sz w:val="12"/>
        </w:rPr>
        <w:t>septiembre</w:t>
      </w:r>
      <w:r>
        <w:rPr>
          <w:spacing w:val="-2"/>
          <w:w w:val="105"/>
          <w:sz w:val="12"/>
        </w:rPr>
        <w:t xml:space="preserve"> </w:t>
      </w:r>
      <w:r>
        <w:rPr>
          <w:w w:val="105"/>
          <w:sz w:val="12"/>
        </w:rPr>
        <w:t>de</w:t>
      </w:r>
      <w:r>
        <w:rPr>
          <w:spacing w:val="-2"/>
          <w:w w:val="105"/>
          <w:sz w:val="12"/>
        </w:rPr>
        <w:t xml:space="preserve"> </w:t>
      </w:r>
      <w:r>
        <w:rPr>
          <w:w w:val="105"/>
          <w:sz w:val="12"/>
        </w:rPr>
        <w:t>2012.</w:t>
      </w:r>
      <w:r>
        <w:rPr>
          <w:spacing w:val="-2"/>
          <w:w w:val="105"/>
          <w:sz w:val="12"/>
        </w:rPr>
        <w:t xml:space="preserve"> </w:t>
      </w:r>
      <w:r>
        <w:rPr>
          <w:w w:val="105"/>
          <w:sz w:val="12"/>
        </w:rPr>
        <w:t>El</w:t>
      </w:r>
      <w:r>
        <w:rPr>
          <w:spacing w:val="-2"/>
          <w:w w:val="105"/>
          <w:sz w:val="12"/>
        </w:rPr>
        <w:t xml:space="preserve"> </w:t>
      </w:r>
      <w:r>
        <w:rPr>
          <w:w w:val="105"/>
          <w:sz w:val="12"/>
        </w:rPr>
        <w:t>caso</w:t>
      </w:r>
      <w:r>
        <w:rPr>
          <w:spacing w:val="40"/>
          <w:w w:val="105"/>
          <w:sz w:val="12"/>
        </w:rPr>
        <w:t xml:space="preserve"> </w:t>
      </w:r>
      <w:r>
        <w:rPr>
          <w:w w:val="105"/>
          <w:sz w:val="12"/>
        </w:rPr>
        <w:t>Masacres de Río Negro constituye un ejemplo interesante de reconocimiento, tal como la Corte Interamericana de Derechos Humanos solicitó al público</w:t>
      </w:r>
      <w:r>
        <w:rPr>
          <w:spacing w:val="40"/>
          <w:w w:val="105"/>
          <w:sz w:val="12"/>
        </w:rPr>
        <w:t xml:space="preserve"> </w:t>
      </w:r>
      <w:r>
        <w:rPr>
          <w:w w:val="105"/>
          <w:sz w:val="12"/>
        </w:rPr>
        <w:t>reconocimiento de las masacres cometidas contra las comunidades maya achí por parte de Guatemala (</w:t>
      </w:r>
      <w:proofErr w:type="spellStart"/>
      <w:r>
        <w:rPr>
          <w:w w:val="105"/>
          <w:sz w:val="12"/>
        </w:rPr>
        <w:t>párrs</w:t>
      </w:r>
      <w:proofErr w:type="spellEnd"/>
      <w:r>
        <w:rPr>
          <w:w w:val="105"/>
          <w:sz w:val="12"/>
        </w:rPr>
        <w:t>. 276 a 278) y la creación de un museo en</w:t>
      </w:r>
      <w:r>
        <w:rPr>
          <w:spacing w:val="40"/>
          <w:w w:val="105"/>
          <w:sz w:val="12"/>
        </w:rPr>
        <w:t xml:space="preserve"> </w:t>
      </w:r>
      <w:r>
        <w:rPr>
          <w:w w:val="105"/>
          <w:sz w:val="12"/>
        </w:rPr>
        <w:t>honor a las víctimas del conflicto armado interno (</w:t>
      </w:r>
      <w:proofErr w:type="spellStart"/>
      <w:r>
        <w:rPr>
          <w:w w:val="105"/>
          <w:sz w:val="12"/>
        </w:rPr>
        <w:t>párrs</w:t>
      </w:r>
      <w:proofErr w:type="spellEnd"/>
      <w:r>
        <w:rPr>
          <w:w w:val="105"/>
          <w:sz w:val="12"/>
        </w:rPr>
        <w:t>. 279 a 280), entre otras medidas de reparación.</w:t>
      </w:r>
    </w:p>
    <w:p w14:paraId="456D23A6" w14:textId="77777777" w:rsidR="0014798C" w:rsidRDefault="0014798C">
      <w:pPr>
        <w:spacing w:line="312" w:lineRule="auto"/>
        <w:rPr>
          <w:sz w:val="12"/>
        </w:rPr>
        <w:sectPr w:rsidR="0014798C" w:rsidSect="00F265E4">
          <w:type w:val="continuous"/>
          <w:pgSz w:w="11900" w:h="16820"/>
          <w:pgMar w:top="40" w:right="0" w:bottom="280" w:left="200" w:header="121" w:footer="0" w:gutter="0"/>
          <w:cols w:num="2" w:space="720" w:equalWidth="0">
            <w:col w:w="1250" w:space="40"/>
            <w:col w:w="10410"/>
          </w:cols>
        </w:sectPr>
      </w:pPr>
    </w:p>
    <w:p w14:paraId="06FD7E09" w14:textId="77777777" w:rsidR="0014798C" w:rsidRDefault="004E1F0B">
      <w:pPr>
        <w:pStyle w:val="Prrafodelista"/>
        <w:numPr>
          <w:ilvl w:val="0"/>
          <w:numId w:val="49"/>
        </w:numPr>
        <w:tabs>
          <w:tab w:val="left" w:pos="1350"/>
          <w:tab w:val="left" w:pos="1352"/>
        </w:tabs>
        <w:spacing w:before="58" w:line="312" w:lineRule="auto"/>
        <w:ind w:right="1833" w:hanging="245"/>
        <w:jc w:val="both"/>
        <w:rPr>
          <w:sz w:val="12"/>
        </w:rPr>
      </w:pPr>
      <w:r>
        <w:rPr>
          <w:w w:val="105"/>
          <w:sz w:val="12"/>
        </w:rPr>
        <w:t xml:space="preserve">Thomas M. </w:t>
      </w:r>
      <w:proofErr w:type="spellStart"/>
      <w:r>
        <w:rPr>
          <w:w w:val="105"/>
          <w:sz w:val="12"/>
        </w:rPr>
        <w:t>Antkowiak</w:t>
      </w:r>
      <w:proofErr w:type="spellEnd"/>
      <w:r>
        <w:rPr>
          <w:w w:val="105"/>
          <w:sz w:val="12"/>
        </w:rPr>
        <w:t>, “Un mandato emergente para los tribunales internacionales: remedios centrados en las víctimas y justicia restaurativa”, Stanford</w:t>
      </w:r>
      <w:r>
        <w:rPr>
          <w:spacing w:val="40"/>
          <w:w w:val="105"/>
          <w:sz w:val="12"/>
        </w:rPr>
        <w:t xml:space="preserve"> </w:t>
      </w:r>
      <w:r>
        <w:rPr>
          <w:w w:val="105"/>
          <w:sz w:val="12"/>
        </w:rPr>
        <w:t>Revista</w:t>
      </w:r>
      <w:r>
        <w:rPr>
          <w:spacing w:val="-2"/>
          <w:w w:val="105"/>
          <w:sz w:val="12"/>
        </w:rPr>
        <w:t xml:space="preserve"> </w:t>
      </w:r>
      <w:r>
        <w:rPr>
          <w:w w:val="105"/>
          <w:sz w:val="12"/>
        </w:rPr>
        <w:t>de</w:t>
      </w:r>
      <w:r>
        <w:rPr>
          <w:spacing w:val="-2"/>
          <w:w w:val="105"/>
          <w:sz w:val="12"/>
        </w:rPr>
        <w:t xml:space="preserve"> </w:t>
      </w:r>
      <w:r>
        <w:rPr>
          <w:w w:val="105"/>
          <w:sz w:val="12"/>
        </w:rPr>
        <w:t>Derecho</w:t>
      </w:r>
      <w:r>
        <w:rPr>
          <w:spacing w:val="-2"/>
          <w:w w:val="105"/>
          <w:sz w:val="12"/>
        </w:rPr>
        <w:t xml:space="preserve"> </w:t>
      </w:r>
      <w:r>
        <w:rPr>
          <w:w w:val="105"/>
          <w:sz w:val="12"/>
        </w:rPr>
        <w:t>Internacional,</w:t>
      </w:r>
      <w:r>
        <w:rPr>
          <w:spacing w:val="-1"/>
          <w:w w:val="105"/>
          <w:sz w:val="12"/>
        </w:rPr>
        <w:t xml:space="preserve"> </w:t>
      </w:r>
      <w:r>
        <w:rPr>
          <w:w w:val="105"/>
          <w:sz w:val="12"/>
        </w:rPr>
        <w:t>vol.</w:t>
      </w:r>
      <w:r>
        <w:rPr>
          <w:spacing w:val="-2"/>
          <w:w w:val="105"/>
          <w:sz w:val="12"/>
        </w:rPr>
        <w:t xml:space="preserve"> </w:t>
      </w:r>
      <w:r>
        <w:rPr>
          <w:w w:val="105"/>
          <w:sz w:val="12"/>
        </w:rPr>
        <w:t>47,</w:t>
      </w:r>
      <w:r>
        <w:rPr>
          <w:spacing w:val="-2"/>
          <w:w w:val="105"/>
          <w:sz w:val="12"/>
        </w:rPr>
        <w:t xml:space="preserve"> </w:t>
      </w:r>
      <w:r>
        <w:rPr>
          <w:w w:val="105"/>
          <w:sz w:val="12"/>
        </w:rPr>
        <w:t>núm.</w:t>
      </w:r>
      <w:r>
        <w:rPr>
          <w:spacing w:val="-2"/>
          <w:w w:val="105"/>
          <w:sz w:val="12"/>
        </w:rPr>
        <w:t xml:space="preserve"> </w:t>
      </w:r>
      <w:r>
        <w:rPr>
          <w:w w:val="105"/>
          <w:sz w:val="12"/>
        </w:rPr>
        <w:t>2</w:t>
      </w:r>
      <w:r>
        <w:rPr>
          <w:spacing w:val="-2"/>
          <w:w w:val="105"/>
          <w:sz w:val="12"/>
        </w:rPr>
        <w:t xml:space="preserve"> </w:t>
      </w:r>
      <w:r>
        <w:rPr>
          <w:w w:val="105"/>
          <w:sz w:val="12"/>
        </w:rPr>
        <w:t>(2011).</w:t>
      </w:r>
      <w:r>
        <w:rPr>
          <w:spacing w:val="-1"/>
          <w:w w:val="105"/>
          <w:sz w:val="12"/>
        </w:rPr>
        <w:t xml:space="preserve"> </w:t>
      </w:r>
      <w:r>
        <w:rPr>
          <w:w w:val="105"/>
          <w:sz w:val="12"/>
        </w:rPr>
        <w:t>Como</w:t>
      </w:r>
      <w:r>
        <w:rPr>
          <w:spacing w:val="-2"/>
          <w:w w:val="105"/>
          <w:sz w:val="12"/>
        </w:rPr>
        <w:t xml:space="preserve"> </w:t>
      </w:r>
      <w:r>
        <w:rPr>
          <w:w w:val="105"/>
          <w:sz w:val="12"/>
        </w:rPr>
        <w:t>señaló</w:t>
      </w:r>
      <w:r>
        <w:rPr>
          <w:spacing w:val="-2"/>
          <w:w w:val="105"/>
          <w:sz w:val="12"/>
        </w:rPr>
        <w:t xml:space="preserve"> </w:t>
      </w:r>
      <w:r>
        <w:rPr>
          <w:w w:val="105"/>
          <w:sz w:val="12"/>
        </w:rPr>
        <w:t>Thomas</w:t>
      </w:r>
      <w:r>
        <w:rPr>
          <w:spacing w:val="-2"/>
          <w:w w:val="105"/>
          <w:sz w:val="12"/>
        </w:rPr>
        <w:t xml:space="preserve"> </w:t>
      </w:r>
      <w:proofErr w:type="spellStart"/>
      <w:r>
        <w:rPr>
          <w:w w:val="105"/>
          <w:sz w:val="12"/>
        </w:rPr>
        <w:t>Antkowiak</w:t>
      </w:r>
      <w:proofErr w:type="spellEnd"/>
      <w:r>
        <w:rPr>
          <w:w w:val="105"/>
          <w:sz w:val="12"/>
        </w:rPr>
        <w:t>,</w:t>
      </w:r>
      <w:r>
        <w:rPr>
          <w:spacing w:val="-1"/>
          <w:w w:val="105"/>
          <w:sz w:val="12"/>
        </w:rPr>
        <w:t xml:space="preserve"> </w:t>
      </w:r>
      <w:r>
        <w:rPr>
          <w:w w:val="105"/>
          <w:sz w:val="12"/>
        </w:rPr>
        <w:t>las</w:t>
      </w:r>
      <w:r>
        <w:rPr>
          <w:spacing w:val="-2"/>
          <w:w w:val="105"/>
          <w:sz w:val="12"/>
        </w:rPr>
        <w:t xml:space="preserve"> </w:t>
      </w:r>
      <w:r>
        <w:rPr>
          <w:w w:val="105"/>
          <w:sz w:val="12"/>
        </w:rPr>
        <w:t>disculpas</w:t>
      </w:r>
      <w:r>
        <w:rPr>
          <w:spacing w:val="-2"/>
          <w:w w:val="105"/>
          <w:sz w:val="12"/>
        </w:rPr>
        <w:t xml:space="preserve"> </w:t>
      </w:r>
      <w:r>
        <w:rPr>
          <w:w w:val="105"/>
          <w:sz w:val="12"/>
        </w:rPr>
        <w:t>públicas</w:t>
      </w:r>
      <w:r>
        <w:rPr>
          <w:spacing w:val="-2"/>
          <w:w w:val="105"/>
          <w:sz w:val="12"/>
        </w:rPr>
        <w:t xml:space="preserve"> </w:t>
      </w:r>
      <w:r>
        <w:rPr>
          <w:w w:val="105"/>
          <w:sz w:val="12"/>
        </w:rPr>
        <w:t>por</w:t>
      </w:r>
      <w:r>
        <w:rPr>
          <w:spacing w:val="-2"/>
          <w:w w:val="105"/>
          <w:sz w:val="12"/>
        </w:rPr>
        <w:t xml:space="preserve"> </w:t>
      </w:r>
      <w:r>
        <w:rPr>
          <w:w w:val="105"/>
          <w:sz w:val="12"/>
        </w:rPr>
        <w:t>parte</w:t>
      </w:r>
      <w:r>
        <w:rPr>
          <w:spacing w:val="-2"/>
          <w:w w:val="105"/>
          <w:sz w:val="12"/>
        </w:rPr>
        <w:t xml:space="preserve"> </w:t>
      </w:r>
      <w:r>
        <w:rPr>
          <w:w w:val="105"/>
          <w:sz w:val="12"/>
        </w:rPr>
        <w:t>de</w:t>
      </w:r>
      <w:r>
        <w:rPr>
          <w:spacing w:val="-2"/>
          <w:w w:val="105"/>
          <w:sz w:val="12"/>
        </w:rPr>
        <w:t xml:space="preserve"> </w:t>
      </w:r>
      <w:r>
        <w:rPr>
          <w:w w:val="105"/>
          <w:sz w:val="12"/>
        </w:rPr>
        <w:t>un</w:t>
      </w:r>
      <w:r>
        <w:rPr>
          <w:spacing w:val="-2"/>
          <w:w w:val="105"/>
          <w:sz w:val="12"/>
        </w:rPr>
        <w:t xml:space="preserve"> </w:t>
      </w:r>
      <w:r>
        <w:rPr>
          <w:w w:val="105"/>
          <w:sz w:val="12"/>
        </w:rPr>
        <w:t>Estado</w:t>
      </w:r>
      <w:r>
        <w:rPr>
          <w:spacing w:val="-2"/>
          <w:w w:val="105"/>
          <w:sz w:val="12"/>
        </w:rPr>
        <w:t xml:space="preserve"> </w:t>
      </w:r>
      <w:r>
        <w:rPr>
          <w:w w:val="105"/>
          <w:sz w:val="12"/>
        </w:rPr>
        <w:t>ocurrieron</w:t>
      </w:r>
      <w:r>
        <w:rPr>
          <w:spacing w:val="-2"/>
          <w:w w:val="105"/>
          <w:sz w:val="12"/>
        </w:rPr>
        <w:t xml:space="preserve"> </w:t>
      </w:r>
      <w:r>
        <w:rPr>
          <w:w w:val="105"/>
          <w:sz w:val="12"/>
        </w:rPr>
        <w:t>por</w:t>
      </w:r>
      <w:r>
        <w:rPr>
          <w:spacing w:val="40"/>
          <w:w w:val="105"/>
          <w:sz w:val="12"/>
        </w:rPr>
        <w:t xml:space="preserve"> </w:t>
      </w:r>
      <w:r>
        <w:rPr>
          <w:w w:val="105"/>
          <w:sz w:val="12"/>
        </w:rPr>
        <w:t>primera vez en 2004 durante las audiencias de los casos Masacre Plan de Sánchez vs. Guatemala y Molina-</w:t>
      </w:r>
      <w:proofErr w:type="spellStart"/>
      <w:r>
        <w:rPr>
          <w:w w:val="105"/>
          <w:sz w:val="12"/>
        </w:rPr>
        <w:t>Theissen</w:t>
      </w:r>
      <w:proofErr w:type="spellEnd"/>
      <w:r>
        <w:rPr>
          <w:w w:val="105"/>
          <w:sz w:val="12"/>
        </w:rPr>
        <w:t xml:space="preserve"> vs. Guatemala.</w:t>
      </w:r>
    </w:p>
    <w:p w14:paraId="45D8D3DF" w14:textId="77777777" w:rsidR="0014798C" w:rsidRDefault="004E1F0B">
      <w:pPr>
        <w:pStyle w:val="Prrafodelista"/>
        <w:numPr>
          <w:ilvl w:val="0"/>
          <w:numId w:val="49"/>
        </w:numPr>
        <w:tabs>
          <w:tab w:val="left" w:pos="1343"/>
        </w:tabs>
        <w:spacing w:before="56"/>
        <w:ind w:left="1343" w:hanging="235"/>
        <w:jc w:val="both"/>
        <w:rPr>
          <w:sz w:val="12"/>
        </w:rPr>
      </w:pPr>
      <w:r>
        <w:rPr>
          <w:sz w:val="12"/>
        </w:rPr>
        <w:t>Comité</w:t>
      </w:r>
      <w:r>
        <w:rPr>
          <w:spacing w:val="-1"/>
          <w:sz w:val="12"/>
        </w:rPr>
        <w:t xml:space="preserve"> </w:t>
      </w:r>
      <w:r>
        <w:rPr>
          <w:sz w:val="12"/>
        </w:rPr>
        <w:t>de</w:t>
      </w:r>
      <w:r>
        <w:rPr>
          <w:spacing w:val="-1"/>
          <w:sz w:val="12"/>
        </w:rPr>
        <w:t xml:space="preserve"> </w:t>
      </w:r>
      <w:r>
        <w:rPr>
          <w:sz w:val="12"/>
        </w:rPr>
        <w:t>Derechos Humanos, observación</w:t>
      </w:r>
      <w:r>
        <w:rPr>
          <w:spacing w:val="-1"/>
          <w:sz w:val="12"/>
        </w:rPr>
        <w:t xml:space="preserve"> </w:t>
      </w:r>
      <w:r>
        <w:rPr>
          <w:sz w:val="12"/>
        </w:rPr>
        <w:t>general núm.</w:t>
      </w:r>
      <w:r>
        <w:rPr>
          <w:spacing w:val="-1"/>
          <w:sz w:val="12"/>
        </w:rPr>
        <w:t xml:space="preserve"> </w:t>
      </w:r>
      <w:r>
        <w:rPr>
          <w:sz w:val="12"/>
        </w:rPr>
        <w:t>31</w:t>
      </w:r>
      <w:r>
        <w:rPr>
          <w:spacing w:val="-1"/>
          <w:sz w:val="12"/>
        </w:rPr>
        <w:t xml:space="preserve"> </w:t>
      </w:r>
      <w:r>
        <w:rPr>
          <w:sz w:val="12"/>
        </w:rPr>
        <w:t>(2004), párr.</w:t>
      </w:r>
      <w:r>
        <w:rPr>
          <w:spacing w:val="-1"/>
          <w:sz w:val="12"/>
        </w:rPr>
        <w:t xml:space="preserve"> </w:t>
      </w:r>
      <w:r>
        <w:rPr>
          <w:spacing w:val="-2"/>
          <w:sz w:val="12"/>
        </w:rPr>
        <w:t>dieciséis.</w:t>
      </w:r>
    </w:p>
    <w:p w14:paraId="2A44D91F" w14:textId="77777777" w:rsidR="0014798C" w:rsidRDefault="004E1F0B">
      <w:pPr>
        <w:pStyle w:val="Prrafodelista"/>
        <w:numPr>
          <w:ilvl w:val="0"/>
          <w:numId w:val="49"/>
        </w:numPr>
        <w:tabs>
          <w:tab w:val="left" w:pos="1343"/>
        </w:tabs>
        <w:spacing w:before="99"/>
        <w:ind w:left="1343" w:hanging="235"/>
        <w:jc w:val="both"/>
        <w:rPr>
          <w:sz w:val="12"/>
        </w:rPr>
      </w:pPr>
      <w:r>
        <w:rPr>
          <w:sz w:val="12"/>
        </w:rPr>
        <w:t>Comité</w:t>
      </w:r>
      <w:r>
        <w:rPr>
          <w:spacing w:val="-1"/>
          <w:sz w:val="12"/>
        </w:rPr>
        <w:t xml:space="preserve"> </w:t>
      </w:r>
      <w:r>
        <w:rPr>
          <w:sz w:val="12"/>
        </w:rPr>
        <w:t>de</w:t>
      </w:r>
      <w:r>
        <w:rPr>
          <w:spacing w:val="-1"/>
          <w:sz w:val="12"/>
        </w:rPr>
        <w:t xml:space="preserve"> </w:t>
      </w:r>
      <w:r>
        <w:rPr>
          <w:sz w:val="12"/>
        </w:rPr>
        <w:t>Derechos Económicos, Sociales y</w:t>
      </w:r>
      <w:r>
        <w:rPr>
          <w:spacing w:val="-1"/>
          <w:sz w:val="12"/>
        </w:rPr>
        <w:t xml:space="preserve"> </w:t>
      </w:r>
      <w:r>
        <w:rPr>
          <w:sz w:val="12"/>
        </w:rPr>
        <w:t>Culturales,</w:t>
      </w:r>
      <w:r>
        <w:rPr>
          <w:spacing w:val="1"/>
          <w:sz w:val="12"/>
        </w:rPr>
        <w:t xml:space="preserve"> </w:t>
      </w:r>
      <w:r>
        <w:rPr>
          <w:sz w:val="12"/>
        </w:rPr>
        <w:t>observación</w:t>
      </w:r>
      <w:r>
        <w:rPr>
          <w:spacing w:val="-1"/>
          <w:sz w:val="12"/>
        </w:rPr>
        <w:t xml:space="preserve"> </w:t>
      </w:r>
      <w:r>
        <w:rPr>
          <w:sz w:val="12"/>
        </w:rPr>
        <w:t>general</w:t>
      </w:r>
      <w:r>
        <w:rPr>
          <w:spacing w:val="-1"/>
          <w:sz w:val="12"/>
        </w:rPr>
        <w:t xml:space="preserve"> </w:t>
      </w:r>
      <w:r>
        <w:rPr>
          <w:sz w:val="12"/>
        </w:rPr>
        <w:t>núm. 20</w:t>
      </w:r>
      <w:r>
        <w:rPr>
          <w:spacing w:val="-1"/>
          <w:sz w:val="12"/>
        </w:rPr>
        <w:t xml:space="preserve"> </w:t>
      </w:r>
      <w:r>
        <w:rPr>
          <w:sz w:val="12"/>
        </w:rPr>
        <w:t>(2009), párr.</w:t>
      </w:r>
      <w:r>
        <w:rPr>
          <w:spacing w:val="-1"/>
          <w:sz w:val="12"/>
        </w:rPr>
        <w:t xml:space="preserve"> </w:t>
      </w:r>
      <w:r>
        <w:rPr>
          <w:spacing w:val="-5"/>
          <w:sz w:val="12"/>
        </w:rPr>
        <w:t>40.</w:t>
      </w:r>
    </w:p>
    <w:p w14:paraId="2E4A3C33" w14:textId="77777777" w:rsidR="0014798C" w:rsidRDefault="004E1F0B">
      <w:pPr>
        <w:pStyle w:val="Prrafodelista"/>
        <w:numPr>
          <w:ilvl w:val="0"/>
          <w:numId w:val="49"/>
        </w:numPr>
        <w:tabs>
          <w:tab w:val="left" w:pos="1343"/>
        </w:tabs>
        <w:spacing w:before="98"/>
        <w:ind w:left="1343" w:hanging="235"/>
        <w:jc w:val="both"/>
        <w:rPr>
          <w:sz w:val="12"/>
        </w:rPr>
      </w:pPr>
      <w:r>
        <w:rPr>
          <w:sz w:val="12"/>
        </w:rPr>
        <w:t>Comité</w:t>
      </w:r>
      <w:r>
        <w:rPr>
          <w:spacing w:val="-2"/>
          <w:sz w:val="12"/>
        </w:rPr>
        <w:t xml:space="preserve"> </w:t>
      </w:r>
      <w:r>
        <w:rPr>
          <w:sz w:val="12"/>
        </w:rPr>
        <w:t>para</w:t>
      </w:r>
      <w:r>
        <w:rPr>
          <w:spacing w:val="-2"/>
          <w:sz w:val="12"/>
        </w:rPr>
        <w:t xml:space="preserve"> </w:t>
      </w:r>
      <w:r>
        <w:rPr>
          <w:sz w:val="12"/>
        </w:rPr>
        <w:t>la</w:t>
      </w:r>
      <w:r>
        <w:rPr>
          <w:spacing w:val="-1"/>
          <w:sz w:val="12"/>
        </w:rPr>
        <w:t xml:space="preserve"> </w:t>
      </w:r>
      <w:r>
        <w:rPr>
          <w:sz w:val="12"/>
        </w:rPr>
        <w:t>Eliminación</w:t>
      </w:r>
      <w:r>
        <w:rPr>
          <w:spacing w:val="-2"/>
          <w:sz w:val="12"/>
        </w:rPr>
        <w:t xml:space="preserve"> </w:t>
      </w:r>
      <w:r>
        <w:rPr>
          <w:sz w:val="12"/>
        </w:rPr>
        <w:t>de</w:t>
      </w:r>
      <w:r>
        <w:rPr>
          <w:spacing w:val="-2"/>
          <w:sz w:val="12"/>
        </w:rPr>
        <w:t xml:space="preserve"> </w:t>
      </w:r>
      <w:r>
        <w:rPr>
          <w:sz w:val="12"/>
        </w:rPr>
        <w:t>la</w:t>
      </w:r>
      <w:r>
        <w:rPr>
          <w:spacing w:val="-1"/>
          <w:sz w:val="12"/>
        </w:rPr>
        <w:t xml:space="preserve"> </w:t>
      </w:r>
      <w:r>
        <w:rPr>
          <w:sz w:val="12"/>
        </w:rPr>
        <w:t>Discriminación</w:t>
      </w:r>
      <w:r>
        <w:rPr>
          <w:spacing w:val="-2"/>
          <w:sz w:val="12"/>
        </w:rPr>
        <w:t xml:space="preserve"> </w:t>
      </w:r>
      <w:r>
        <w:rPr>
          <w:sz w:val="12"/>
        </w:rPr>
        <w:t>Racial,</w:t>
      </w:r>
      <w:r>
        <w:rPr>
          <w:spacing w:val="-1"/>
          <w:sz w:val="12"/>
        </w:rPr>
        <w:t xml:space="preserve"> </w:t>
      </w:r>
      <w:r>
        <w:rPr>
          <w:sz w:val="12"/>
        </w:rPr>
        <w:t>recomendación</w:t>
      </w:r>
      <w:r>
        <w:rPr>
          <w:spacing w:val="-2"/>
          <w:sz w:val="12"/>
        </w:rPr>
        <w:t xml:space="preserve"> </w:t>
      </w:r>
      <w:r>
        <w:rPr>
          <w:sz w:val="12"/>
        </w:rPr>
        <w:t>general</w:t>
      </w:r>
      <w:r>
        <w:rPr>
          <w:spacing w:val="-2"/>
          <w:sz w:val="12"/>
        </w:rPr>
        <w:t xml:space="preserve"> </w:t>
      </w:r>
      <w:r>
        <w:rPr>
          <w:sz w:val="12"/>
        </w:rPr>
        <w:t>núm.</w:t>
      </w:r>
      <w:r>
        <w:rPr>
          <w:spacing w:val="-1"/>
          <w:sz w:val="12"/>
        </w:rPr>
        <w:t xml:space="preserve"> </w:t>
      </w:r>
      <w:r>
        <w:rPr>
          <w:sz w:val="12"/>
        </w:rPr>
        <w:t>26</w:t>
      </w:r>
      <w:r>
        <w:rPr>
          <w:spacing w:val="-2"/>
          <w:sz w:val="12"/>
        </w:rPr>
        <w:t xml:space="preserve"> </w:t>
      </w:r>
      <w:r>
        <w:rPr>
          <w:sz w:val="12"/>
        </w:rPr>
        <w:t>(2000),</w:t>
      </w:r>
      <w:r>
        <w:rPr>
          <w:spacing w:val="-1"/>
          <w:sz w:val="12"/>
        </w:rPr>
        <w:t xml:space="preserve"> </w:t>
      </w:r>
      <w:r>
        <w:rPr>
          <w:sz w:val="12"/>
        </w:rPr>
        <w:t>párr.</w:t>
      </w:r>
      <w:r>
        <w:rPr>
          <w:spacing w:val="-2"/>
          <w:sz w:val="12"/>
        </w:rPr>
        <w:t xml:space="preserve"> </w:t>
      </w:r>
      <w:r>
        <w:rPr>
          <w:spacing w:val="-5"/>
          <w:sz w:val="12"/>
        </w:rPr>
        <w:t>2.</w:t>
      </w:r>
    </w:p>
    <w:p w14:paraId="70F4445F" w14:textId="77777777" w:rsidR="0014798C" w:rsidRDefault="004E1F0B">
      <w:pPr>
        <w:pStyle w:val="Prrafodelista"/>
        <w:numPr>
          <w:ilvl w:val="0"/>
          <w:numId w:val="49"/>
        </w:numPr>
        <w:tabs>
          <w:tab w:val="left" w:pos="1342"/>
          <w:tab w:val="left" w:pos="1371"/>
        </w:tabs>
        <w:spacing w:before="99" w:line="312" w:lineRule="auto"/>
        <w:ind w:left="1371" w:right="2406" w:hanging="264"/>
        <w:rPr>
          <w:sz w:val="12"/>
        </w:rPr>
      </w:pPr>
      <w:r>
        <w:rPr>
          <w:sz w:val="12"/>
        </w:rPr>
        <w:t>Comité para la Eliminación de la Discriminación contra la Mujer, recomendación general núm. 33 (2015), párr. 19b). Véase también Comité para la</w:t>
      </w:r>
      <w:r>
        <w:rPr>
          <w:spacing w:val="40"/>
          <w:sz w:val="12"/>
        </w:rPr>
        <w:t xml:space="preserve"> </w:t>
      </w:r>
      <w:r>
        <w:rPr>
          <w:sz w:val="12"/>
        </w:rPr>
        <w:t>Eliminación de la Discriminación contra la Mujer, recomendación general núm. 28 (2010), párr. 32.</w:t>
      </w:r>
    </w:p>
    <w:p w14:paraId="65EFD42A" w14:textId="77777777" w:rsidR="0014798C" w:rsidRDefault="0014798C">
      <w:pPr>
        <w:pStyle w:val="Textoindependiente"/>
        <w:rPr>
          <w:sz w:val="19"/>
        </w:rPr>
      </w:pPr>
    </w:p>
    <w:p w14:paraId="3CAB3F93" w14:textId="77777777" w:rsidR="0014798C" w:rsidRDefault="0014798C">
      <w:pPr>
        <w:pStyle w:val="Textoindependiente"/>
        <w:spacing w:before="160"/>
        <w:rPr>
          <w:sz w:val="19"/>
        </w:rPr>
      </w:pPr>
    </w:p>
    <w:p w14:paraId="10B2CEF6" w14:textId="77777777" w:rsidR="0014798C" w:rsidRDefault="004E1F0B">
      <w:pPr>
        <w:ind w:left="555"/>
        <w:rPr>
          <w:sz w:val="19"/>
        </w:rPr>
      </w:pPr>
      <w:r>
        <w:rPr>
          <w:spacing w:val="-5"/>
          <w:sz w:val="19"/>
        </w:rPr>
        <w:t>80</w:t>
      </w:r>
    </w:p>
    <w:p w14:paraId="36BA5DB4" w14:textId="77777777" w:rsidR="0014798C" w:rsidRDefault="0014798C">
      <w:pPr>
        <w:rPr>
          <w:sz w:val="19"/>
        </w:rPr>
        <w:sectPr w:rsidR="0014798C" w:rsidSect="00F265E4">
          <w:type w:val="continuous"/>
          <w:pgSz w:w="11900" w:h="16820"/>
          <w:pgMar w:top="40" w:right="0" w:bottom="280" w:left="200" w:header="121" w:footer="0" w:gutter="0"/>
          <w:cols w:space="720"/>
        </w:sectPr>
      </w:pPr>
    </w:p>
    <w:p w14:paraId="26A98DEC" w14:textId="77777777" w:rsidR="0014798C" w:rsidRDefault="0014798C">
      <w:pPr>
        <w:pStyle w:val="Textoindependiente"/>
        <w:spacing w:before="51"/>
        <w:rPr>
          <w:sz w:val="14"/>
        </w:rPr>
      </w:pPr>
    </w:p>
    <w:p w14:paraId="51B64DCE" w14:textId="77777777" w:rsidR="0014798C" w:rsidRDefault="004E1F0B">
      <w:pPr>
        <w:ind w:left="1111"/>
        <w:rPr>
          <w:sz w:val="14"/>
        </w:rPr>
      </w:pPr>
      <w:r>
        <w:rPr>
          <w:color w:val="00AC59"/>
          <w:sz w:val="14"/>
        </w:rPr>
        <w:t>SEGUNDA</w:t>
      </w:r>
      <w:r>
        <w:rPr>
          <w:color w:val="00AC59"/>
          <w:spacing w:val="-5"/>
          <w:sz w:val="14"/>
        </w:rPr>
        <w:t xml:space="preserve"> </w:t>
      </w:r>
      <w:r>
        <w:rPr>
          <w:color w:val="00AC59"/>
          <w:sz w:val="14"/>
        </w:rPr>
        <w:t>PARTE:</w:t>
      </w:r>
      <w:r>
        <w:rPr>
          <w:color w:val="00AC59"/>
          <w:spacing w:val="-5"/>
          <w:sz w:val="14"/>
        </w:rPr>
        <w:t xml:space="preserve"> </w:t>
      </w:r>
      <w:r>
        <w:rPr>
          <w:color w:val="00AC59"/>
          <w:sz w:val="14"/>
        </w:rPr>
        <w:t>CONTENIDO</w:t>
      </w:r>
      <w:r>
        <w:rPr>
          <w:color w:val="00AC59"/>
          <w:spacing w:val="-4"/>
          <w:sz w:val="14"/>
        </w:rPr>
        <w:t xml:space="preserve"> </w:t>
      </w:r>
      <w:r>
        <w:rPr>
          <w:color w:val="00AC59"/>
          <w:sz w:val="14"/>
        </w:rPr>
        <w:t>DE</w:t>
      </w:r>
      <w:r>
        <w:rPr>
          <w:color w:val="00AC59"/>
          <w:spacing w:val="-5"/>
          <w:sz w:val="14"/>
        </w:rPr>
        <w:t xml:space="preserve"> </w:t>
      </w:r>
      <w:r>
        <w:rPr>
          <w:color w:val="00AC59"/>
          <w:sz w:val="14"/>
        </w:rPr>
        <w:t>LA</w:t>
      </w:r>
      <w:r>
        <w:rPr>
          <w:color w:val="00AC59"/>
          <w:spacing w:val="-4"/>
          <w:sz w:val="14"/>
        </w:rPr>
        <w:t xml:space="preserve"> </w:t>
      </w:r>
      <w:r>
        <w:rPr>
          <w:color w:val="00AC59"/>
          <w:sz w:val="14"/>
        </w:rPr>
        <w:t>LEY</w:t>
      </w:r>
      <w:r>
        <w:rPr>
          <w:color w:val="00AC59"/>
          <w:spacing w:val="-4"/>
          <w:sz w:val="14"/>
        </w:rPr>
        <w:t xml:space="preserve"> </w:t>
      </w:r>
      <w:r>
        <w:rPr>
          <w:color w:val="00AC59"/>
          <w:sz w:val="14"/>
        </w:rPr>
        <w:t>INTEGRAL</w:t>
      </w:r>
      <w:r>
        <w:rPr>
          <w:color w:val="00AC59"/>
          <w:spacing w:val="-5"/>
          <w:sz w:val="14"/>
        </w:rPr>
        <w:t xml:space="preserve"> </w:t>
      </w:r>
      <w:r>
        <w:rPr>
          <w:color w:val="00AC59"/>
          <w:spacing w:val="-2"/>
          <w:sz w:val="14"/>
        </w:rPr>
        <w:t>ANTIDISCRIMINACIÓN</w:t>
      </w:r>
    </w:p>
    <w:p w14:paraId="59D3C515" w14:textId="77777777" w:rsidR="0014798C" w:rsidRDefault="0014798C">
      <w:pPr>
        <w:pStyle w:val="Textoindependiente"/>
      </w:pPr>
    </w:p>
    <w:p w14:paraId="2C3C8A07" w14:textId="77777777" w:rsidR="0014798C" w:rsidRDefault="0014798C">
      <w:pPr>
        <w:pStyle w:val="Textoindependiente"/>
      </w:pPr>
    </w:p>
    <w:p w14:paraId="2987E864" w14:textId="77777777" w:rsidR="0014798C" w:rsidRDefault="0014798C">
      <w:pPr>
        <w:pStyle w:val="Textoindependiente"/>
      </w:pPr>
    </w:p>
    <w:p w14:paraId="5DEB007E" w14:textId="77777777" w:rsidR="0014798C" w:rsidRDefault="0014798C">
      <w:pPr>
        <w:pStyle w:val="Textoindependiente"/>
      </w:pPr>
    </w:p>
    <w:p w14:paraId="1B7EDC82" w14:textId="77777777" w:rsidR="0014798C" w:rsidRDefault="0014798C">
      <w:pPr>
        <w:pStyle w:val="Textoindependiente"/>
        <w:spacing w:before="29"/>
      </w:pPr>
    </w:p>
    <w:p w14:paraId="6CDE2EEE" w14:textId="77777777" w:rsidR="0014798C" w:rsidRDefault="004E1F0B">
      <w:pPr>
        <w:pStyle w:val="Textoindependiente"/>
        <w:spacing w:line="326" w:lineRule="auto"/>
        <w:ind w:left="1335" w:right="4743"/>
      </w:pPr>
      <w:r>
        <w:rPr>
          <w:noProof/>
        </w:rPr>
        <w:drawing>
          <wp:anchor distT="0" distB="0" distL="0" distR="0" simplePos="0" relativeHeight="251658420" behindDoc="1" locked="0" layoutInCell="1" allowOverlap="1" wp14:anchorId="584AC675" wp14:editId="47AC5896">
            <wp:simplePos x="0" y="0"/>
            <wp:positionH relativeFrom="page">
              <wp:posOffset>808662</wp:posOffset>
            </wp:positionH>
            <wp:positionV relativeFrom="paragraph">
              <wp:posOffset>-136636</wp:posOffset>
            </wp:positionV>
            <wp:extent cx="6747837" cy="7229804"/>
            <wp:effectExtent l="0" t="0" r="0" b="0"/>
            <wp:wrapNone/>
            <wp:docPr id="189" name="Image 18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89" name="Image 189"/>
                    <pic:cNvPicPr/>
                  </pic:nvPicPr>
                  <pic:blipFill>
                    <a:blip r:embed="rId170" cstate="print"/>
                    <a:stretch>
                      <a:fillRect/>
                    </a:stretch>
                  </pic:blipFill>
                  <pic:spPr>
                    <a:xfrm>
                      <a:off x="0" y="0"/>
                      <a:ext cx="6747837" cy="7229804"/>
                    </a:xfrm>
                    <a:prstGeom prst="rect">
                      <a:avLst/>
                    </a:prstGeom>
                  </pic:spPr>
                </pic:pic>
              </a:graphicData>
            </a:graphic>
          </wp:anchor>
        </w:drawing>
      </w:r>
      <w:r>
        <w:rPr>
          <w:w w:val="105"/>
        </w:rPr>
        <w:t>COMPENSACIÓN</w:t>
      </w:r>
      <w:r>
        <w:rPr>
          <w:spacing w:val="-12"/>
          <w:w w:val="105"/>
        </w:rPr>
        <w:t xml:space="preserve"> </w:t>
      </w:r>
      <w:r>
        <w:rPr>
          <w:w w:val="105"/>
        </w:rPr>
        <w:t>EN</w:t>
      </w:r>
      <w:r>
        <w:rPr>
          <w:spacing w:val="-11"/>
          <w:w w:val="105"/>
        </w:rPr>
        <w:t xml:space="preserve"> </w:t>
      </w:r>
      <w:r>
        <w:rPr>
          <w:w w:val="105"/>
        </w:rPr>
        <w:t>TAILANDIA:</w:t>
      </w:r>
      <w:r>
        <w:rPr>
          <w:spacing w:val="-11"/>
          <w:w w:val="105"/>
        </w:rPr>
        <w:t xml:space="preserve"> </w:t>
      </w:r>
      <w:r>
        <w:rPr>
          <w:w w:val="105"/>
        </w:rPr>
        <w:t>EL</w:t>
      </w:r>
      <w:r>
        <w:rPr>
          <w:spacing w:val="-11"/>
          <w:w w:val="105"/>
        </w:rPr>
        <w:t xml:space="preserve"> </w:t>
      </w:r>
      <w:r>
        <w:rPr>
          <w:w w:val="105"/>
        </w:rPr>
        <w:t>PAPEL</w:t>
      </w:r>
      <w:r>
        <w:rPr>
          <w:spacing w:val="-11"/>
          <w:w w:val="105"/>
        </w:rPr>
        <w:t xml:space="preserve"> </w:t>
      </w:r>
      <w:r>
        <w:rPr>
          <w:w w:val="105"/>
        </w:rPr>
        <w:t>DEL</w:t>
      </w:r>
      <w:r>
        <w:rPr>
          <w:spacing w:val="-11"/>
          <w:w w:val="105"/>
        </w:rPr>
        <w:t xml:space="preserve"> </w:t>
      </w:r>
      <w:r>
        <w:rPr>
          <w:w w:val="105"/>
        </w:rPr>
        <w:t>COMITÉ</w:t>
      </w:r>
      <w:r>
        <w:rPr>
          <w:spacing w:val="-11"/>
          <w:w w:val="105"/>
        </w:rPr>
        <w:t xml:space="preserve"> </w:t>
      </w:r>
      <w:r>
        <w:rPr>
          <w:w w:val="105"/>
        </w:rPr>
        <w:t>DE</w:t>
      </w:r>
      <w:r>
        <w:rPr>
          <w:spacing w:val="-11"/>
          <w:w w:val="105"/>
        </w:rPr>
        <w:t xml:space="preserve"> </w:t>
      </w:r>
      <w:r>
        <w:rPr>
          <w:w w:val="105"/>
        </w:rPr>
        <w:t>EXAMEN DE DISCRIMINACIÓN INJUSTA DE GÉNERO</w:t>
      </w:r>
    </w:p>
    <w:p w14:paraId="22BB5A26" w14:textId="77777777" w:rsidR="0014798C" w:rsidRDefault="004E1F0B">
      <w:pPr>
        <w:pStyle w:val="Textoindependiente"/>
        <w:spacing w:before="145" w:line="328" w:lineRule="auto"/>
        <w:ind w:left="1334" w:right="1463" w:hanging="2"/>
      </w:pPr>
      <w:r>
        <w:rPr>
          <w:w w:val="105"/>
        </w:rPr>
        <w:t>En</w:t>
      </w:r>
      <w:r>
        <w:rPr>
          <w:spacing w:val="-8"/>
          <w:w w:val="105"/>
        </w:rPr>
        <w:t xml:space="preserve"> </w:t>
      </w:r>
      <w:r>
        <w:rPr>
          <w:w w:val="105"/>
        </w:rPr>
        <w:t>Tailandia,</w:t>
      </w:r>
      <w:r>
        <w:rPr>
          <w:spacing w:val="-7"/>
          <w:w w:val="105"/>
        </w:rPr>
        <w:t xml:space="preserve"> </w:t>
      </w:r>
      <w:r>
        <w:rPr>
          <w:w w:val="105"/>
        </w:rPr>
        <w:t>el</w:t>
      </w:r>
      <w:r>
        <w:rPr>
          <w:spacing w:val="-8"/>
          <w:w w:val="105"/>
        </w:rPr>
        <w:t xml:space="preserve"> </w:t>
      </w:r>
      <w:r>
        <w:rPr>
          <w:w w:val="105"/>
        </w:rPr>
        <w:t>Comité</w:t>
      </w:r>
      <w:r>
        <w:rPr>
          <w:spacing w:val="-8"/>
          <w:w w:val="105"/>
        </w:rPr>
        <w:t xml:space="preserve"> </w:t>
      </w:r>
      <w:r>
        <w:rPr>
          <w:w w:val="105"/>
        </w:rPr>
        <w:t>para</w:t>
      </w:r>
      <w:r>
        <w:rPr>
          <w:spacing w:val="-8"/>
          <w:w w:val="105"/>
        </w:rPr>
        <w:t xml:space="preserve"> </w:t>
      </w:r>
      <w:r>
        <w:rPr>
          <w:w w:val="105"/>
        </w:rPr>
        <w:t>la</w:t>
      </w:r>
      <w:r>
        <w:rPr>
          <w:spacing w:val="-8"/>
          <w:w w:val="105"/>
        </w:rPr>
        <w:t xml:space="preserve"> </w:t>
      </w:r>
      <w:r>
        <w:rPr>
          <w:w w:val="105"/>
        </w:rPr>
        <w:t>Consideración</w:t>
      </w:r>
      <w:r>
        <w:rPr>
          <w:spacing w:val="-8"/>
          <w:w w:val="105"/>
        </w:rPr>
        <w:t xml:space="preserve"> </w:t>
      </w:r>
      <w:r>
        <w:rPr>
          <w:w w:val="105"/>
        </w:rPr>
        <w:t>de</w:t>
      </w:r>
      <w:r>
        <w:rPr>
          <w:spacing w:val="-8"/>
          <w:w w:val="105"/>
        </w:rPr>
        <w:t xml:space="preserve"> </w:t>
      </w:r>
      <w:r>
        <w:rPr>
          <w:w w:val="105"/>
        </w:rPr>
        <w:t>la</w:t>
      </w:r>
      <w:r>
        <w:rPr>
          <w:spacing w:val="-8"/>
          <w:w w:val="105"/>
        </w:rPr>
        <w:t xml:space="preserve"> </w:t>
      </w:r>
      <w:r>
        <w:rPr>
          <w:w w:val="105"/>
        </w:rPr>
        <w:t>Discriminación</w:t>
      </w:r>
      <w:r>
        <w:rPr>
          <w:spacing w:val="-8"/>
          <w:w w:val="105"/>
        </w:rPr>
        <w:t xml:space="preserve"> </w:t>
      </w:r>
      <w:r>
        <w:rPr>
          <w:w w:val="105"/>
        </w:rPr>
        <w:t>Injusta</w:t>
      </w:r>
      <w:r>
        <w:rPr>
          <w:spacing w:val="-8"/>
          <w:w w:val="105"/>
        </w:rPr>
        <w:t xml:space="preserve"> </w:t>
      </w:r>
      <w:r>
        <w:rPr>
          <w:w w:val="105"/>
        </w:rPr>
        <w:t>de</w:t>
      </w:r>
      <w:r>
        <w:rPr>
          <w:spacing w:val="-8"/>
          <w:w w:val="105"/>
        </w:rPr>
        <w:t xml:space="preserve"> </w:t>
      </w:r>
      <w:r>
        <w:rPr>
          <w:w w:val="105"/>
        </w:rPr>
        <w:t>Género</w:t>
      </w:r>
      <w:r>
        <w:rPr>
          <w:spacing w:val="-8"/>
          <w:w w:val="105"/>
        </w:rPr>
        <w:t xml:space="preserve"> </w:t>
      </w:r>
      <w:r>
        <w:rPr>
          <w:w w:val="105"/>
        </w:rPr>
        <w:t>(Comité</w:t>
      </w:r>
      <w:r>
        <w:rPr>
          <w:spacing w:val="-8"/>
          <w:w w:val="105"/>
        </w:rPr>
        <w:t xml:space="preserve"> </w:t>
      </w:r>
      <w:proofErr w:type="spellStart"/>
      <w:r>
        <w:rPr>
          <w:w w:val="105"/>
        </w:rPr>
        <w:t>WorLorPor</w:t>
      </w:r>
      <w:proofErr w:type="spellEnd"/>
      <w:r>
        <w:rPr>
          <w:w w:val="105"/>
        </w:rPr>
        <w:t>)</w:t>
      </w:r>
      <w:r>
        <w:rPr>
          <w:spacing w:val="-8"/>
          <w:w w:val="105"/>
        </w:rPr>
        <w:t xml:space="preserve"> </w:t>
      </w:r>
      <w:r>
        <w:rPr>
          <w:w w:val="105"/>
        </w:rPr>
        <w:t>tiene</w:t>
      </w:r>
      <w:r>
        <w:rPr>
          <w:spacing w:val="-8"/>
          <w:w w:val="105"/>
        </w:rPr>
        <w:t xml:space="preserve"> </w:t>
      </w:r>
      <w:r>
        <w:rPr>
          <w:w w:val="105"/>
        </w:rPr>
        <w:t>poderes para establecer medidas temporales de protección o mitigación, emitir órdenes y presentar quejas al Defensor del Pueblo, entre</w:t>
      </w:r>
      <w:r>
        <w:rPr>
          <w:spacing w:val="-1"/>
          <w:w w:val="105"/>
        </w:rPr>
        <w:t xml:space="preserve"> </w:t>
      </w:r>
      <w:r>
        <w:rPr>
          <w:w w:val="105"/>
        </w:rPr>
        <w:t>otras</w:t>
      </w:r>
      <w:r>
        <w:rPr>
          <w:spacing w:val="-1"/>
          <w:w w:val="105"/>
        </w:rPr>
        <w:t xml:space="preserve"> </w:t>
      </w:r>
      <w:r>
        <w:rPr>
          <w:w w:val="105"/>
        </w:rPr>
        <w:t>facultades. Los</w:t>
      </w:r>
      <w:r>
        <w:rPr>
          <w:spacing w:val="-1"/>
          <w:w w:val="105"/>
        </w:rPr>
        <w:t xml:space="preserve"> </w:t>
      </w:r>
      <w:r>
        <w:rPr>
          <w:w w:val="105"/>
        </w:rPr>
        <w:t>recursos</w:t>
      </w:r>
      <w:r>
        <w:rPr>
          <w:spacing w:val="-1"/>
          <w:w w:val="105"/>
        </w:rPr>
        <w:t xml:space="preserve"> </w:t>
      </w:r>
      <w:r>
        <w:rPr>
          <w:w w:val="105"/>
        </w:rPr>
        <w:t>incluyen</w:t>
      </w:r>
      <w:r>
        <w:rPr>
          <w:spacing w:val="-1"/>
          <w:w w:val="105"/>
        </w:rPr>
        <w:t xml:space="preserve"> </w:t>
      </w:r>
      <w:r>
        <w:rPr>
          <w:w w:val="105"/>
        </w:rPr>
        <w:t>compensación, pagada</w:t>
      </w:r>
      <w:r>
        <w:rPr>
          <w:spacing w:val="-1"/>
          <w:w w:val="105"/>
        </w:rPr>
        <w:t xml:space="preserve"> </w:t>
      </w:r>
      <w:r>
        <w:rPr>
          <w:w w:val="105"/>
        </w:rPr>
        <w:t>en</w:t>
      </w:r>
      <w:r>
        <w:rPr>
          <w:spacing w:val="-1"/>
          <w:w w:val="105"/>
        </w:rPr>
        <w:t xml:space="preserve"> </w:t>
      </w:r>
      <w:r>
        <w:rPr>
          <w:w w:val="105"/>
        </w:rPr>
        <w:t>efectivo</w:t>
      </w:r>
      <w:r>
        <w:rPr>
          <w:spacing w:val="-1"/>
          <w:w w:val="105"/>
        </w:rPr>
        <w:t xml:space="preserve"> </w:t>
      </w:r>
      <w:r>
        <w:rPr>
          <w:w w:val="105"/>
        </w:rPr>
        <w:t>o</w:t>
      </w:r>
      <w:r>
        <w:rPr>
          <w:spacing w:val="-1"/>
          <w:w w:val="105"/>
        </w:rPr>
        <w:t xml:space="preserve"> </w:t>
      </w:r>
      <w:r>
        <w:rPr>
          <w:w w:val="105"/>
        </w:rPr>
        <w:t>en</w:t>
      </w:r>
      <w:r>
        <w:rPr>
          <w:spacing w:val="-1"/>
          <w:w w:val="105"/>
        </w:rPr>
        <w:t xml:space="preserve"> </w:t>
      </w:r>
      <w:r>
        <w:rPr>
          <w:w w:val="105"/>
        </w:rPr>
        <w:t>especie, por</w:t>
      </w:r>
      <w:r>
        <w:rPr>
          <w:spacing w:val="-1"/>
          <w:w w:val="105"/>
        </w:rPr>
        <w:t xml:space="preserve"> </w:t>
      </w:r>
      <w:r>
        <w:rPr>
          <w:w w:val="105"/>
        </w:rPr>
        <w:t>“pérdida</w:t>
      </w:r>
      <w:r>
        <w:rPr>
          <w:spacing w:val="-1"/>
          <w:w w:val="105"/>
        </w:rPr>
        <w:t xml:space="preserve"> </w:t>
      </w:r>
      <w:r>
        <w:rPr>
          <w:w w:val="105"/>
        </w:rPr>
        <w:t>de ingresos</w:t>
      </w:r>
      <w:r>
        <w:rPr>
          <w:spacing w:val="-12"/>
          <w:w w:val="105"/>
        </w:rPr>
        <w:t xml:space="preserve"> </w:t>
      </w:r>
      <w:r>
        <w:rPr>
          <w:w w:val="105"/>
        </w:rPr>
        <w:t>durante</w:t>
      </w:r>
      <w:r>
        <w:rPr>
          <w:spacing w:val="-12"/>
          <w:w w:val="105"/>
        </w:rPr>
        <w:t xml:space="preserve"> </w:t>
      </w:r>
      <w:r>
        <w:rPr>
          <w:w w:val="105"/>
        </w:rPr>
        <w:t>el</w:t>
      </w:r>
      <w:r>
        <w:rPr>
          <w:spacing w:val="-11"/>
          <w:w w:val="105"/>
        </w:rPr>
        <w:t xml:space="preserve"> </w:t>
      </w:r>
      <w:r>
        <w:rPr>
          <w:w w:val="105"/>
        </w:rPr>
        <w:t>período</w:t>
      </w:r>
      <w:r>
        <w:rPr>
          <w:spacing w:val="-12"/>
          <w:w w:val="105"/>
        </w:rPr>
        <w:t xml:space="preserve"> </w:t>
      </w:r>
      <w:r>
        <w:rPr>
          <w:w w:val="105"/>
        </w:rPr>
        <w:t>de</w:t>
      </w:r>
      <w:r>
        <w:rPr>
          <w:spacing w:val="-12"/>
          <w:w w:val="105"/>
        </w:rPr>
        <w:t xml:space="preserve"> </w:t>
      </w:r>
      <w:r>
        <w:rPr>
          <w:w w:val="105"/>
        </w:rPr>
        <w:t>incapacidad</w:t>
      </w:r>
      <w:r>
        <w:rPr>
          <w:spacing w:val="-12"/>
          <w:w w:val="105"/>
        </w:rPr>
        <w:t xml:space="preserve"> </w:t>
      </w:r>
      <w:r>
        <w:rPr>
          <w:w w:val="105"/>
        </w:rPr>
        <w:t>para</w:t>
      </w:r>
      <w:r>
        <w:rPr>
          <w:spacing w:val="-11"/>
          <w:w w:val="105"/>
        </w:rPr>
        <w:t xml:space="preserve"> </w:t>
      </w:r>
      <w:r>
        <w:rPr>
          <w:w w:val="105"/>
        </w:rPr>
        <w:t>trabajar”</w:t>
      </w:r>
      <w:r>
        <w:rPr>
          <w:spacing w:val="-12"/>
          <w:w w:val="105"/>
        </w:rPr>
        <w:t xml:space="preserve"> </w:t>
      </w:r>
      <w:r>
        <w:rPr>
          <w:w w:val="105"/>
        </w:rPr>
        <w:t>o</w:t>
      </w:r>
      <w:r>
        <w:rPr>
          <w:spacing w:val="-12"/>
          <w:w w:val="105"/>
        </w:rPr>
        <w:t xml:space="preserve"> </w:t>
      </w:r>
      <w:r>
        <w:rPr>
          <w:w w:val="105"/>
        </w:rPr>
        <w:t>por</w:t>
      </w:r>
      <w:r>
        <w:rPr>
          <w:spacing w:val="-11"/>
          <w:w w:val="105"/>
        </w:rPr>
        <w:t xml:space="preserve"> </w:t>
      </w:r>
      <w:r>
        <w:rPr>
          <w:w w:val="105"/>
        </w:rPr>
        <w:t>“pérdida</w:t>
      </w:r>
      <w:r>
        <w:rPr>
          <w:spacing w:val="-12"/>
          <w:w w:val="105"/>
        </w:rPr>
        <w:t xml:space="preserve"> </w:t>
      </w:r>
      <w:r>
        <w:rPr>
          <w:w w:val="105"/>
        </w:rPr>
        <w:t>de</w:t>
      </w:r>
      <w:r>
        <w:rPr>
          <w:spacing w:val="-12"/>
          <w:w w:val="105"/>
        </w:rPr>
        <w:t xml:space="preserve"> </w:t>
      </w:r>
      <w:r>
        <w:rPr>
          <w:w w:val="105"/>
        </w:rPr>
        <w:t>oportunidades</w:t>
      </w:r>
      <w:r>
        <w:rPr>
          <w:spacing w:val="-11"/>
          <w:w w:val="105"/>
        </w:rPr>
        <w:t xml:space="preserve"> </w:t>
      </w:r>
      <w:proofErr w:type="gramStart"/>
      <w:r>
        <w:rPr>
          <w:w w:val="105"/>
        </w:rPr>
        <w:t>comerciales”;</w:t>
      </w:r>
      <w:proofErr w:type="gramEnd"/>
      <w:r>
        <w:rPr>
          <w:spacing w:val="-11"/>
          <w:w w:val="105"/>
        </w:rPr>
        <w:t xml:space="preserve"> </w:t>
      </w:r>
      <w:r>
        <w:rPr>
          <w:w w:val="105"/>
        </w:rPr>
        <w:t>compensación “por</w:t>
      </w:r>
      <w:r>
        <w:rPr>
          <w:spacing w:val="-12"/>
          <w:w w:val="105"/>
        </w:rPr>
        <w:t xml:space="preserve"> </w:t>
      </w:r>
      <w:r>
        <w:rPr>
          <w:w w:val="105"/>
        </w:rPr>
        <w:t>gastos</w:t>
      </w:r>
      <w:r>
        <w:rPr>
          <w:spacing w:val="-12"/>
          <w:w w:val="105"/>
        </w:rPr>
        <w:t xml:space="preserve"> </w:t>
      </w:r>
      <w:r>
        <w:rPr>
          <w:w w:val="105"/>
        </w:rPr>
        <w:t>de</w:t>
      </w:r>
      <w:r>
        <w:rPr>
          <w:spacing w:val="-11"/>
          <w:w w:val="105"/>
        </w:rPr>
        <w:t xml:space="preserve"> </w:t>
      </w:r>
      <w:r>
        <w:rPr>
          <w:w w:val="105"/>
        </w:rPr>
        <w:t>atención</w:t>
      </w:r>
      <w:r>
        <w:rPr>
          <w:spacing w:val="-12"/>
          <w:w w:val="105"/>
        </w:rPr>
        <w:t xml:space="preserve"> </w:t>
      </w:r>
      <w:r>
        <w:rPr>
          <w:w w:val="105"/>
        </w:rPr>
        <w:t>médica,</w:t>
      </w:r>
      <w:r>
        <w:rPr>
          <w:spacing w:val="-12"/>
          <w:w w:val="105"/>
        </w:rPr>
        <w:t xml:space="preserve"> </w:t>
      </w:r>
      <w:r>
        <w:rPr>
          <w:w w:val="105"/>
        </w:rPr>
        <w:t>incluida</w:t>
      </w:r>
      <w:r>
        <w:rPr>
          <w:spacing w:val="-12"/>
          <w:w w:val="105"/>
        </w:rPr>
        <w:t xml:space="preserve"> </w:t>
      </w:r>
      <w:r>
        <w:rPr>
          <w:w w:val="105"/>
        </w:rPr>
        <w:t>la</w:t>
      </w:r>
      <w:r>
        <w:rPr>
          <w:spacing w:val="-11"/>
          <w:w w:val="105"/>
        </w:rPr>
        <w:t xml:space="preserve"> </w:t>
      </w:r>
      <w:r>
        <w:rPr>
          <w:w w:val="105"/>
        </w:rPr>
        <w:t>rehabilitación</w:t>
      </w:r>
      <w:r>
        <w:rPr>
          <w:spacing w:val="-12"/>
          <w:w w:val="105"/>
        </w:rPr>
        <w:t xml:space="preserve"> </w:t>
      </w:r>
      <w:r>
        <w:rPr>
          <w:w w:val="105"/>
        </w:rPr>
        <w:t>física</w:t>
      </w:r>
      <w:r>
        <w:rPr>
          <w:spacing w:val="-12"/>
          <w:w w:val="105"/>
        </w:rPr>
        <w:t xml:space="preserve"> </w:t>
      </w:r>
      <w:r>
        <w:rPr>
          <w:w w:val="105"/>
        </w:rPr>
        <w:t>y</w:t>
      </w:r>
      <w:r>
        <w:rPr>
          <w:spacing w:val="-11"/>
          <w:w w:val="105"/>
        </w:rPr>
        <w:t xml:space="preserve"> </w:t>
      </w:r>
      <w:proofErr w:type="gramStart"/>
      <w:r>
        <w:rPr>
          <w:w w:val="105"/>
        </w:rPr>
        <w:t>mental”;</w:t>
      </w:r>
      <w:proofErr w:type="gramEnd"/>
      <w:r>
        <w:rPr>
          <w:spacing w:val="-12"/>
          <w:w w:val="105"/>
        </w:rPr>
        <w:t xml:space="preserve"> </w:t>
      </w:r>
      <w:r>
        <w:rPr>
          <w:w w:val="105"/>
        </w:rPr>
        <w:t>y</w:t>
      </w:r>
      <w:r>
        <w:rPr>
          <w:spacing w:val="-12"/>
          <w:w w:val="105"/>
        </w:rPr>
        <w:t xml:space="preserve"> </w:t>
      </w:r>
      <w:r>
        <w:rPr>
          <w:w w:val="105"/>
        </w:rPr>
        <w:t>“compensación</w:t>
      </w:r>
      <w:r>
        <w:rPr>
          <w:spacing w:val="-11"/>
          <w:w w:val="105"/>
        </w:rPr>
        <w:t xml:space="preserve"> </w:t>
      </w:r>
      <w:r>
        <w:rPr>
          <w:w w:val="105"/>
        </w:rPr>
        <w:t>y</w:t>
      </w:r>
      <w:r>
        <w:rPr>
          <w:spacing w:val="-12"/>
          <w:w w:val="105"/>
        </w:rPr>
        <w:t xml:space="preserve"> </w:t>
      </w:r>
      <w:r>
        <w:rPr>
          <w:w w:val="105"/>
        </w:rPr>
        <w:t>reparación</w:t>
      </w:r>
      <w:r>
        <w:rPr>
          <w:spacing w:val="-12"/>
          <w:w w:val="105"/>
        </w:rPr>
        <w:t xml:space="preserve"> </w:t>
      </w:r>
      <w:r>
        <w:rPr>
          <w:w w:val="105"/>
        </w:rPr>
        <w:t>en</w:t>
      </w:r>
      <w:r>
        <w:rPr>
          <w:spacing w:val="-11"/>
          <w:w w:val="105"/>
        </w:rPr>
        <w:t xml:space="preserve"> </w:t>
      </w:r>
      <w:r>
        <w:rPr>
          <w:w w:val="105"/>
        </w:rPr>
        <w:t>otras</w:t>
      </w:r>
      <w:r>
        <w:rPr>
          <w:spacing w:val="-12"/>
          <w:w w:val="105"/>
        </w:rPr>
        <w:t xml:space="preserve"> </w:t>
      </w:r>
      <w:r>
        <w:rPr>
          <w:w w:val="105"/>
        </w:rPr>
        <w:t>formas o características”.607</w:t>
      </w:r>
    </w:p>
    <w:p w14:paraId="087E16AF" w14:textId="77777777" w:rsidR="0014798C" w:rsidRDefault="0014798C">
      <w:pPr>
        <w:pStyle w:val="Textoindependiente"/>
      </w:pPr>
    </w:p>
    <w:p w14:paraId="6838F7DC" w14:textId="77777777" w:rsidR="0014798C" w:rsidRDefault="0014798C">
      <w:pPr>
        <w:pStyle w:val="Textoindependiente"/>
        <w:spacing w:before="79"/>
      </w:pPr>
    </w:p>
    <w:p w14:paraId="6C89AD47" w14:textId="77777777" w:rsidR="0014798C" w:rsidRDefault="004E1F0B">
      <w:pPr>
        <w:pStyle w:val="Textoindependiente"/>
        <w:ind w:left="1110"/>
      </w:pPr>
      <w:r>
        <w:rPr>
          <w:noProof/>
        </w:rPr>
        <mc:AlternateContent>
          <mc:Choice Requires="wps">
            <w:drawing>
              <wp:anchor distT="0" distB="0" distL="0" distR="0" simplePos="0" relativeHeight="251658281" behindDoc="0" locked="0" layoutInCell="1" allowOverlap="1" wp14:anchorId="39CF436A" wp14:editId="5F5A19F0">
                <wp:simplePos x="0" y="0"/>
                <wp:positionH relativeFrom="page">
                  <wp:posOffset>7312079</wp:posOffset>
                </wp:positionH>
                <wp:positionV relativeFrom="paragraph">
                  <wp:posOffset>60000</wp:posOffset>
                </wp:positionV>
                <wp:extent cx="85090" cy="287655"/>
                <wp:effectExtent l="0" t="0" r="0" b="0"/>
                <wp:wrapNone/>
                <wp:docPr id="190" name="Textbox 19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85090" cy="287655"/>
                        </a:xfrm>
                        <a:prstGeom prst="rect">
                          <a:avLst/>
                        </a:prstGeom>
                      </wps:spPr>
                      <wps:txbx>
                        <w:txbxContent>
                          <w:p w14:paraId="302E6E37" w14:textId="77777777" w:rsidR="0014798C" w:rsidRDefault="004E1F0B">
                            <w:pPr>
                              <w:spacing w:before="20"/>
                              <w:ind w:left="20"/>
                              <w:rPr>
                                <w:sz w:val="8"/>
                              </w:rPr>
                            </w:pPr>
                            <w:r>
                              <w:rPr>
                                <w:color w:val="FFFFFF"/>
                                <w:spacing w:val="-37"/>
                                <w:sz w:val="8"/>
                              </w:rPr>
                              <w:t>P–I</w:t>
                            </w:r>
                            <w:r>
                              <w:rPr>
                                <w:spacing w:val="-37"/>
                                <w:sz w:val="8"/>
                              </w:rPr>
                              <w:t>S</w:t>
                            </w:r>
                            <w:r>
                              <w:rPr>
                                <w:color w:val="FFFFFF"/>
                                <w:spacing w:val="-37"/>
                                <w:sz w:val="8"/>
                              </w:rPr>
                              <w:t>I</w:t>
                            </w:r>
                            <w:r>
                              <w:rPr>
                                <w:color w:val="FFFFFF"/>
                                <w:spacing w:val="-8"/>
                                <w:sz w:val="8"/>
                              </w:rPr>
                              <w:t xml:space="preserve"> </w:t>
                            </w:r>
                            <w:r>
                              <w:rPr>
                                <w:color w:val="FFFFFF"/>
                                <w:spacing w:val="-20"/>
                                <w:sz w:val="8"/>
                              </w:rPr>
                              <w:t>A</w:t>
                            </w:r>
                            <w:r>
                              <w:rPr>
                                <w:spacing w:val="-20"/>
                                <w:sz w:val="8"/>
                              </w:rPr>
                              <w:t>E</w:t>
                            </w:r>
                            <w:r>
                              <w:rPr>
                                <w:color w:val="FFFFFF"/>
                                <w:spacing w:val="-20"/>
                                <w:sz w:val="8"/>
                              </w:rPr>
                              <w:t>R</w:t>
                            </w:r>
                            <w:r>
                              <w:rPr>
                                <w:spacing w:val="-20"/>
                                <w:sz w:val="8"/>
                              </w:rPr>
                              <w:t>G</w:t>
                            </w:r>
                            <w:r>
                              <w:rPr>
                                <w:color w:val="FFFFFF"/>
                                <w:spacing w:val="-20"/>
                                <w:sz w:val="8"/>
                              </w:rPr>
                              <w:t>T</w:t>
                            </w:r>
                            <w:r>
                              <w:rPr>
                                <w:spacing w:val="-20"/>
                                <w:sz w:val="8"/>
                              </w:rPr>
                              <w:t>U</w:t>
                            </w:r>
                            <w:r>
                              <w:rPr>
                                <w:color w:val="FFFFFF"/>
                                <w:spacing w:val="-20"/>
                                <w:sz w:val="8"/>
                              </w:rPr>
                              <w:t>E</w:t>
                            </w:r>
                            <w:r>
                              <w:rPr>
                                <w:spacing w:val="-20"/>
                                <w:sz w:val="8"/>
                              </w:rPr>
                              <w:t>NDA</w:t>
                            </w:r>
                          </w:p>
                        </w:txbxContent>
                      </wps:txbx>
                      <wps:bodyPr vert="vert270" wrap="square" lIns="0" tIns="0" rIns="0" bIns="0" rtlCol="0">
                        <a:noAutofit/>
                      </wps:bodyPr>
                    </wps:wsp>
                  </a:graphicData>
                </a:graphic>
              </wp:anchor>
            </w:drawing>
          </mc:Choice>
          <mc:Fallback>
            <w:pict>
              <v:shape w14:anchorId="39CF436A" id="Textbox 190" o:spid="_x0000_s1101" type="#_x0000_t202" style="position:absolute;left:0;text-align:left;margin-left:575.75pt;margin-top:4.7pt;width:6.7pt;height:22.65pt;z-index:251658281;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" filled="f" stroked="f">
                <v:textbox style="layout-flow:vertical;mso-layout-flow-alt:bottom-to-top" inset="0,0,0,0">
                  <w:txbxContent>
                    <w:p w14:paraId="302E6E37" w14:textId="77777777" w:rsidR="0014798C" w:rsidRDefault="004E1F0B">
                      <w:pPr>
                        <w:spacing w:before="20"/>
                        <w:ind w:left="20"/>
                        <w:rPr>
                          <w:sz w:val="8"/>
                        </w:rPr>
                      </w:pPr>
                      <w:r>
                        <w:rPr>
                          <w:color w:val="FFFFFF"/>
                          <w:spacing w:val="-37"/>
                          <w:sz w:val="8"/>
                        </w:rPr>
                        <w:t>P–I</w:t>
                      </w:r>
                      <w:r>
                        <w:rPr>
                          <w:spacing w:val="-37"/>
                          <w:sz w:val="8"/>
                        </w:rPr>
                        <w:t>S</w:t>
                      </w:r>
                      <w:r>
                        <w:rPr>
                          <w:color w:val="FFFFFF"/>
                          <w:spacing w:val="-37"/>
                          <w:sz w:val="8"/>
                        </w:rPr>
                        <w:t>I</w:t>
                      </w:r>
                      <w:r>
                        <w:rPr>
                          <w:color w:val="FFFFFF"/>
                          <w:spacing w:val="-8"/>
                          <w:sz w:val="8"/>
                        </w:rPr>
                        <w:t xml:space="preserve"> </w:t>
                      </w:r>
                      <w:r>
                        <w:rPr>
                          <w:color w:val="FFFFFF"/>
                          <w:spacing w:val="-20"/>
                          <w:sz w:val="8"/>
                        </w:rPr>
                        <w:t>A</w:t>
                      </w:r>
                      <w:r>
                        <w:rPr>
                          <w:spacing w:val="-20"/>
                          <w:sz w:val="8"/>
                        </w:rPr>
                        <w:t>E</w:t>
                      </w:r>
                      <w:r>
                        <w:rPr>
                          <w:color w:val="FFFFFF"/>
                          <w:spacing w:val="-20"/>
                          <w:sz w:val="8"/>
                        </w:rPr>
                        <w:t>R</w:t>
                      </w:r>
                      <w:r>
                        <w:rPr>
                          <w:spacing w:val="-20"/>
                          <w:sz w:val="8"/>
                        </w:rPr>
                        <w:t>G</w:t>
                      </w:r>
                      <w:r>
                        <w:rPr>
                          <w:color w:val="FFFFFF"/>
                          <w:spacing w:val="-20"/>
                          <w:sz w:val="8"/>
                        </w:rPr>
                        <w:t>T</w:t>
                      </w:r>
                      <w:r>
                        <w:rPr>
                          <w:spacing w:val="-20"/>
                          <w:sz w:val="8"/>
                        </w:rPr>
                        <w:t>U</w:t>
                      </w:r>
                      <w:r>
                        <w:rPr>
                          <w:color w:val="FFFFFF"/>
                          <w:spacing w:val="-20"/>
                          <w:sz w:val="8"/>
                        </w:rPr>
                        <w:t>E</w:t>
                      </w:r>
                      <w:r>
                        <w:rPr>
                          <w:spacing w:val="-20"/>
                          <w:sz w:val="8"/>
                        </w:rPr>
                        <w:t>NDA</w:t>
                      </w:r>
                    </w:p>
                  </w:txbxContent>
                </v:textbox>
                <w10:wrap anchorx="page"/>
              </v:shape>
            </w:pict>
          </mc:Fallback>
        </mc:AlternateContent>
      </w:r>
      <w:r>
        <w:rPr>
          <w:w w:val="105"/>
        </w:rPr>
        <w:t>Más</w:t>
      </w:r>
      <w:r>
        <w:rPr>
          <w:spacing w:val="-9"/>
          <w:w w:val="105"/>
        </w:rPr>
        <w:t xml:space="preserve"> </w:t>
      </w:r>
      <w:r>
        <w:rPr>
          <w:w w:val="105"/>
        </w:rPr>
        <w:t>allá</w:t>
      </w:r>
      <w:r>
        <w:rPr>
          <w:spacing w:val="-8"/>
          <w:w w:val="105"/>
        </w:rPr>
        <w:t xml:space="preserve"> </w:t>
      </w:r>
      <w:r>
        <w:rPr>
          <w:w w:val="105"/>
        </w:rPr>
        <w:t>de</w:t>
      </w:r>
      <w:r>
        <w:rPr>
          <w:spacing w:val="-8"/>
          <w:w w:val="105"/>
        </w:rPr>
        <w:t xml:space="preserve"> </w:t>
      </w:r>
      <w:r>
        <w:rPr>
          <w:w w:val="105"/>
        </w:rPr>
        <w:t>una</w:t>
      </w:r>
      <w:r>
        <w:rPr>
          <w:spacing w:val="-9"/>
          <w:w w:val="105"/>
        </w:rPr>
        <w:t xml:space="preserve"> </w:t>
      </w:r>
      <w:r>
        <w:rPr>
          <w:w w:val="105"/>
        </w:rPr>
        <w:t>compensación</w:t>
      </w:r>
      <w:r>
        <w:rPr>
          <w:spacing w:val="-8"/>
          <w:w w:val="105"/>
        </w:rPr>
        <w:t xml:space="preserve"> </w:t>
      </w:r>
      <w:r>
        <w:rPr>
          <w:w w:val="105"/>
        </w:rPr>
        <w:t>adecuada</w:t>
      </w:r>
      <w:r>
        <w:rPr>
          <w:spacing w:val="-8"/>
          <w:w w:val="105"/>
        </w:rPr>
        <w:t xml:space="preserve"> </w:t>
      </w:r>
      <w:r>
        <w:rPr>
          <w:w w:val="105"/>
        </w:rPr>
        <w:t>tanto</w:t>
      </w:r>
      <w:r>
        <w:rPr>
          <w:spacing w:val="-8"/>
          <w:w w:val="105"/>
        </w:rPr>
        <w:t xml:space="preserve"> </w:t>
      </w:r>
      <w:r>
        <w:rPr>
          <w:w w:val="105"/>
        </w:rPr>
        <w:t>por</w:t>
      </w:r>
      <w:r>
        <w:rPr>
          <w:spacing w:val="-9"/>
          <w:w w:val="105"/>
        </w:rPr>
        <w:t xml:space="preserve"> </w:t>
      </w:r>
      <w:r>
        <w:rPr>
          <w:w w:val="105"/>
        </w:rPr>
        <w:t>las</w:t>
      </w:r>
      <w:r>
        <w:rPr>
          <w:spacing w:val="-8"/>
          <w:w w:val="105"/>
        </w:rPr>
        <w:t xml:space="preserve"> </w:t>
      </w:r>
      <w:r>
        <w:rPr>
          <w:w w:val="105"/>
        </w:rPr>
        <w:t>pérdidas</w:t>
      </w:r>
      <w:r>
        <w:rPr>
          <w:spacing w:val="-8"/>
          <w:w w:val="105"/>
        </w:rPr>
        <w:t xml:space="preserve"> </w:t>
      </w:r>
      <w:r>
        <w:rPr>
          <w:w w:val="105"/>
        </w:rPr>
        <w:t>financieras</w:t>
      </w:r>
      <w:r>
        <w:rPr>
          <w:spacing w:val="-8"/>
          <w:w w:val="105"/>
        </w:rPr>
        <w:t xml:space="preserve"> </w:t>
      </w:r>
      <w:r>
        <w:rPr>
          <w:w w:val="105"/>
        </w:rPr>
        <w:t>como</w:t>
      </w:r>
      <w:r>
        <w:rPr>
          <w:spacing w:val="-9"/>
          <w:w w:val="105"/>
        </w:rPr>
        <w:t xml:space="preserve"> </w:t>
      </w:r>
      <w:r>
        <w:rPr>
          <w:w w:val="105"/>
        </w:rPr>
        <w:t>por</w:t>
      </w:r>
      <w:r>
        <w:rPr>
          <w:spacing w:val="-8"/>
          <w:w w:val="105"/>
        </w:rPr>
        <w:t xml:space="preserve"> </w:t>
      </w:r>
      <w:r>
        <w:rPr>
          <w:w w:val="105"/>
        </w:rPr>
        <w:t>otros</w:t>
      </w:r>
      <w:r>
        <w:rPr>
          <w:spacing w:val="-8"/>
          <w:w w:val="105"/>
        </w:rPr>
        <w:t xml:space="preserve"> </w:t>
      </w:r>
      <w:r>
        <w:rPr>
          <w:w w:val="105"/>
        </w:rPr>
        <w:t>daños,</w:t>
      </w:r>
      <w:r>
        <w:rPr>
          <w:spacing w:val="-7"/>
          <w:w w:val="105"/>
        </w:rPr>
        <w:t xml:space="preserve"> </w:t>
      </w:r>
      <w:r>
        <w:rPr>
          <w:w w:val="105"/>
        </w:rPr>
        <w:t>un</w:t>
      </w:r>
      <w:r>
        <w:rPr>
          <w:spacing w:val="-9"/>
          <w:w w:val="105"/>
        </w:rPr>
        <w:t xml:space="preserve"> </w:t>
      </w:r>
      <w:r>
        <w:rPr>
          <w:w w:val="105"/>
        </w:rPr>
        <w:t>remedio</w:t>
      </w:r>
      <w:r>
        <w:rPr>
          <w:spacing w:val="-8"/>
          <w:w w:val="105"/>
        </w:rPr>
        <w:t xml:space="preserve"> </w:t>
      </w:r>
      <w:r>
        <w:rPr>
          <w:w w:val="105"/>
        </w:rPr>
        <w:t>efectivo</w:t>
      </w:r>
      <w:r>
        <w:rPr>
          <w:spacing w:val="-8"/>
          <w:w w:val="105"/>
        </w:rPr>
        <w:t xml:space="preserve"> </w:t>
      </w:r>
      <w:r>
        <w:rPr>
          <w:spacing w:val="-4"/>
          <w:w w:val="105"/>
        </w:rPr>
        <w:t>para</w:t>
      </w:r>
    </w:p>
    <w:p w14:paraId="78C96E62" w14:textId="77777777" w:rsidR="0014798C" w:rsidRDefault="004E1F0B">
      <w:pPr>
        <w:pStyle w:val="Textoindependiente"/>
        <w:spacing w:before="66" w:line="326" w:lineRule="auto"/>
        <w:ind w:left="1105" w:right="1166" w:firstLine="2"/>
      </w:pPr>
      <w:r>
        <w:rPr>
          <w:w w:val="105"/>
        </w:rPr>
        <w:t>la</w:t>
      </w:r>
      <w:r>
        <w:rPr>
          <w:spacing w:val="-8"/>
          <w:w w:val="105"/>
        </w:rPr>
        <w:t xml:space="preserve"> </w:t>
      </w:r>
      <w:r>
        <w:rPr>
          <w:w w:val="105"/>
        </w:rPr>
        <w:t>discriminación</w:t>
      </w:r>
      <w:r>
        <w:rPr>
          <w:spacing w:val="-8"/>
          <w:w w:val="105"/>
        </w:rPr>
        <w:t xml:space="preserve"> </w:t>
      </w:r>
      <w:r>
        <w:rPr>
          <w:w w:val="105"/>
        </w:rPr>
        <w:t>requiere</w:t>
      </w:r>
      <w:r>
        <w:rPr>
          <w:spacing w:val="-8"/>
          <w:w w:val="105"/>
        </w:rPr>
        <w:t xml:space="preserve"> </w:t>
      </w:r>
      <w:r>
        <w:rPr>
          <w:w w:val="105"/>
        </w:rPr>
        <w:t>restitución:</w:t>
      </w:r>
      <w:r>
        <w:rPr>
          <w:spacing w:val="-7"/>
          <w:w w:val="105"/>
        </w:rPr>
        <w:t xml:space="preserve"> </w:t>
      </w:r>
      <w:r>
        <w:rPr>
          <w:w w:val="105"/>
        </w:rPr>
        <w:t>medidas</w:t>
      </w:r>
      <w:r>
        <w:rPr>
          <w:spacing w:val="-8"/>
          <w:w w:val="105"/>
        </w:rPr>
        <w:t xml:space="preserve"> </w:t>
      </w:r>
      <w:r>
        <w:rPr>
          <w:w w:val="105"/>
        </w:rPr>
        <w:t>diseñadas</w:t>
      </w:r>
      <w:r>
        <w:rPr>
          <w:spacing w:val="-8"/>
          <w:w w:val="105"/>
        </w:rPr>
        <w:t xml:space="preserve"> </w:t>
      </w:r>
      <w:r>
        <w:rPr>
          <w:w w:val="105"/>
        </w:rPr>
        <w:t>para</w:t>
      </w:r>
      <w:r>
        <w:rPr>
          <w:spacing w:val="-8"/>
          <w:w w:val="105"/>
        </w:rPr>
        <w:t xml:space="preserve"> </w:t>
      </w:r>
      <w:r>
        <w:rPr>
          <w:w w:val="105"/>
        </w:rPr>
        <w:t>“restaurar</w:t>
      </w:r>
      <w:r>
        <w:rPr>
          <w:spacing w:val="-8"/>
          <w:w w:val="105"/>
        </w:rPr>
        <w:t xml:space="preserve"> </w:t>
      </w:r>
      <w:r>
        <w:rPr>
          <w:w w:val="105"/>
        </w:rPr>
        <w:t>a</w:t>
      </w:r>
      <w:r>
        <w:rPr>
          <w:spacing w:val="-8"/>
          <w:w w:val="105"/>
        </w:rPr>
        <w:t xml:space="preserve"> </w:t>
      </w:r>
      <w:r>
        <w:rPr>
          <w:w w:val="105"/>
        </w:rPr>
        <w:t>la</w:t>
      </w:r>
      <w:r>
        <w:rPr>
          <w:spacing w:val="-8"/>
          <w:w w:val="105"/>
        </w:rPr>
        <w:t xml:space="preserve"> </w:t>
      </w:r>
      <w:r>
        <w:rPr>
          <w:w w:val="105"/>
        </w:rPr>
        <w:t>víctima</w:t>
      </w:r>
      <w:r>
        <w:rPr>
          <w:spacing w:val="-8"/>
          <w:w w:val="105"/>
        </w:rPr>
        <w:t xml:space="preserve"> </w:t>
      </w:r>
      <w:r>
        <w:rPr>
          <w:w w:val="105"/>
        </w:rPr>
        <w:t>a</w:t>
      </w:r>
      <w:r>
        <w:rPr>
          <w:spacing w:val="-8"/>
          <w:w w:val="105"/>
        </w:rPr>
        <w:t xml:space="preserve"> </w:t>
      </w:r>
      <w:r>
        <w:rPr>
          <w:w w:val="105"/>
        </w:rPr>
        <w:t>la</w:t>
      </w:r>
      <w:r>
        <w:rPr>
          <w:spacing w:val="-8"/>
          <w:w w:val="105"/>
        </w:rPr>
        <w:t xml:space="preserve"> </w:t>
      </w:r>
      <w:r>
        <w:rPr>
          <w:w w:val="105"/>
        </w:rPr>
        <w:t>situación</w:t>
      </w:r>
      <w:r>
        <w:rPr>
          <w:spacing w:val="-8"/>
          <w:w w:val="105"/>
        </w:rPr>
        <w:t xml:space="preserve"> </w:t>
      </w:r>
      <w:r>
        <w:rPr>
          <w:w w:val="105"/>
        </w:rPr>
        <w:t>original”.608</w:t>
      </w:r>
      <w:r>
        <w:rPr>
          <w:spacing w:val="-8"/>
          <w:w w:val="105"/>
        </w:rPr>
        <w:t xml:space="preserve"> </w:t>
      </w:r>
      <w:r>
        <w:rPr>
          <w:w w:val="105"/>
        </w:rPr>
        <w:t>Tales</w:t>
      </w:r>
      <w:r>
        <w:rPr>
          <w:spacing w:val="-8"/>
          <w:w w:val="105"/>
        </w:rPr>
        <w:t xml:space="preserve"> </w:t>
      </w:r>
      <w:r>
        <w:rPr>
          <w:w w:val="105"/>
        </w:rPr>
        <w:t>medidas incluirían</w:t>
      </w:r>
      <w:r>
        <w:rPr>
          <w:spacing w:val="-3"/>
          <w:w w:val="105"/>
        </w:rPr>
        <w:t xml:space="preserve"> </w:t>
      </w:r>
      <w:r>
        <w:rPr>
          <w:w w:val="105"/>
        </w:rPr>
        <w:t>el</w:t>
      </w:r>
      <w:r>
        <w:rPr>
          <w:spacing w:val="-3"/>
          <w:w w:val="105"/>
        </w:rPr>
        <w:t xml:space="preserve"> </w:t>
      </w:r>
      <w:r>
        <w:rPr>
          <w:w w:val="105"/>
        </w:rPr>
        <w:t>reintegro</w:t>
      </w:r>
      <w:r>
        <w:rPr>
          <w:spacing w:val="-3"/>
          <w:w w:val="105"/>
        </w:rPr>
        <w:t xml:space="preserve"> </w:t>
      </w:r>
      <w:r>
        <w:rPr>
          <w:w w:val="105"/>
        </w:rPr>
        <w:t>a</w:t>
      </w:r>
      <w:r>
        <w:rPr>
          <w:spacing w:val="-3"/>
          <w:w w:val="105"/>
        </w:rPr>
        <w:t xml:space="preserve"> </w:t>
      </w:r>
      <w:r>
        <w:rPr>
          <w:w w:val="105"/>
        </w:rPr>
        <w:t>un</w:t>
      </w:r>
      <w:r>
        <w:rPr>
          <w:spacing w:val="-3"/>
          <w:w w:val="105"/>
        </w:rPr>
        <w:t xml:space="preserve"> </w:t>
      </w:r>
      <w:r>
        <w:rPr>
          <w:w w:val="105"/>
        </w:rPr>
        <w:t>trabajo</w:t>
      </w:r>
      <w:r>
        <w:rPr>
          <w:spacing w:val="-3"/>
          <w:w w:val="105"/>
        </w:rPr>
        <w:t xml:space="preserve"> </w:t>
      </w:r>
      <w:r>
        <w:rPr>
          <w:w w:val="105"/>
        </w:rPr>
        <w:t>u</w:t>
      </w:r>
      <w:r>
        <w:rPr>
          <w:spacing w:val="-3"/>
          <w:w w:val="105"/>
        </w:rPr>
        <w:t xml:space="preserve"> </w:t>
      </w:r>
      <w:r>
        <w:rPr>
          <w:w w:val="105"/>
        </w:rPr>
        <w:t>otro</w:t>
      </w:r>
      <w:r>
        <w:rPr>
          <w:spacing w:val="-3"/>
          <w:w w:val="105"/>
        </w:rPr>
        <w:t xml:space="preserve"> </w:t>
      </w:r>
      <w:r>
        <w:rPr>
          <w:w w:val="105"/>
        </w:rPr>
        <w:t>puesto,</w:t>
      </w:r>
      <w:r>
        <w:rPr>
          <w:spacing w:val="-2"/>
          <w:w w:val="105"/>
        </w:rPr>
        <w:t xml:space="preserve"> </w:t>
      </w:r>
      <w:r>
        <w:rPr>
          <w:w w:val="105"/>
        </w:rPr>
        <w:t>o</w:t>
      </w:r>
      <w:r>
        <w:rPr>
          <w:spacing w:val="-3"/>
          <w:w w:val="105"/>
        </w:rPr>
        <w:t xml:space="preserve"> </w:t>
      </w:r>
      <w:r>
        <w:rPr>
          <w:w w:val="105"/>
        </w:rPr>
        <w:t>la</w:t>
      </w:r>
      <w:r>
        <w:rPr>
          <w:spacing w:val="-3"/>
          <w:w w:val="105"/>
        </w:rPr>
        <w:t xml:space="preserve"> </w:t>
      </w:r>
      <w:r>
        <w:rPr>
          <w:w w:val="105"/>
        </w:rPr>
        <w:t>provisión</w:t>
      </w:r>
      <w:r>
        <w:rPr>
          <w:spacing w:val="-3"/>
          <w:w w:val="105"/>
        </w:rPr>
        <w:t xml:space="preserve"> </w:t>
      </w:r>
      <w:r>
        <w:rPr>
          <w:w w:val="105"/>
        </w:rPr>
        <w:t>de</w:t>
      </w:r>
      <w:r>
        <w:rPr>
          <w:spacing w:val="-3"/>
          <w:w w:val="105"/>
        </w:rPr>
        <w:t xml:space="preserve"> </w:t>
      </w:r>
      <w:r>
        <w:rPr>
          <w:w w:val="105"/>
        </w:rPr>
        <w:t>un</w:t>
      </w:r>
      <w:r>
        <w:rPr>
          <w:spacing w:val="-3"/>
          <w:w w:val="105"/>
        </w:rPr>
        <w:t xml:space="preserve"> </w:t>
      </w:r>
      <w:r>
        <w:rPr>
          <w:w w:val="105"/>
        </w:rPr>
        <w:t>bien</w:t>
      </w:r>
      <w:r>
        <w:rPr>
          <w:spacing w:val="-3"/>
          <w:w w:val="105"/>
        </w:rPr>
        <w:t xml:space="preserve"> </w:t>
      </w:r>
      <w:r>
        <w:rPr>
          <w:w w:val="105"/>
        </w:rPr>
        <w:t>o</w:t>
      </w:r>
      <w:r>
        <w:rPr>
          <w:spacing w:val="-3"/>
          <w:w w:val="105"/>
        </w:rPr>
        <w:t xml:space="preserve"> </w:t>
      </w:r>
      <w:r>
        <w:rPr>
          <w:w w:val="105"/>
        </w:rPr>
        <w:t>servicio</w:t>
      </w:r>
      <w:r>
        <w:rPr>
          <w:spacing w:val="-3"/>
          <w:w w:val="105"/>
        </w:rPr>
        <w:t xml:space="preserve"> </w:t>
      </w:r>
      <w:r>
        <w:rPr>
          <w:w w:val="105"/>
        </w:rPr>
        <w:t>negado</w:t>
      </w:r>
      <w:r>
        <w:rPr>
          <w:spacing w:val="-3"/>
          <w:w w:val="105"/>
        </w:rPr>
        <w:t xml:space="preserve"> </w:t>
      </w:r>
      <w:r>
        <w:rPr>
          <w:w w:val="105"/>
        </w:rPr>
        <w:t>como</w:t>
      </w:r>
      <w:r>
        <w:rPr>
          <w:spacing w:val="-3"/>
          <w:w w:val="105"/>
        </w:rPr>
        <w:t xml:space="preserve"> </w:t>
      </w:r>
      <w:r>
        <w:rPr>
          <w:w w:val="105"/>
        </w:rPr>
        <w:t>resultado</w:t>
      </w:r>
      <w:r>
        <w:rPr>
          <w:spacing w:val="-3"/>
          <w:w w:val="105"/>
        </w:rPr>
        <w:t xml:space="preserve"> </w:t>
      </w:r>
      <w:r>
        <w:rPr>
          <w:w w:val="105"/>
        </w:rPr>
        <w:t>de</w:t>
      </w:r>
      <w:r>
        <w:rPr>
          <w:spacing w:val="-3"/>
          <w:w w:val="105"/>
        </w:rPr>
        <w:t xml:space="preserve"> </w:t>
      </w:r>
      <w:r>
        <w:rPr>
          <w:w w:val="105"/>
        </w:rPr>
        <w:t>discriminación, por ejemplo. El Comité de Derechos Humanos609 y el Comité de Derechos Económicos, Sociales y Culturales610 han señalado</w:t>
      </w:r>
      <w:r>
        <w:rPr>
          <w:spacing w:val="-1"/>
          <w:w w:val="105"/>
        </w:rPr>
        <w:t xml:space="preserve"> </w:t>
      </w:r>
      <w:r>
        <w:rPr>
          <w:w w:val="105"/>
        </w:rPr>
        <w:t>que</w:t>
      </w:r>
      <w:r>
        <w:rPr>
          <w:spacing w:val="-1"/>
          <w:w w:val="105"/>
        </w:rPr>
        <w:t xml:space="preserve"> </w:t>
      </w:r>
      <w:r>
        <w:rPr>
          <w:w w:val="105"/>
        </w:rPr>
        <w:t>la</w:t>
      </w:r>
      <w:r>
        <w:rPr>
          <w:spacing w:val="-1"/>
          <w:w w:val="105"/>
        </w:rPr>
        <w:t xml:space="preserve"> </w:t>
      </w:r>
      <w:r>
        <w:rPr>
          <w:w w:val="105"/>
        </w:rPr>
        <w:t>reparación</w:t>
      </w:r>
      <w:r>
        <w:rPr>
          <w:spacing w:val="-1"/>
          <w:w w:val="105"/>
        </w:rPr>
        <w:t xml:space="preserve"> </w:t>
      </w:r>
      <w:r>
        <w:rPr>
          <w:w w:val="105"/>
        </w:rPr>
        <w:t>entraña</w:t>
      </w:r>
      <w:r>
        <w:rPr>
          <w:spacing w:val="-1"/>
          <w:w w:val="105"/>
        </w:rPr>
        <w:t xml:space="preserve"> </w:t>
      </w:r>
      <w:r>
        <w:rPr>
          <w:w w:val="105"/>
        </w:rPr>
        <w:t>obligaciones</w:t>
      </w:r>
      <w:r>
        <w:rPr>
          <w:spacing w:val="-1"/>
          <w:w w:val="105"/>
        </w:rPr>
        <w:t xml:space="preserve"> </w:t>
      </w:r>
      <w:r>
        <w:rPr>
          <w:w w:val="105"/>
        </w:rPr>
        <w:t>de</w:t>
      </w:r>
      <w:r>
        <w:rPr>
          <w:spacing w:val="-1"/>
          <w:w w:val="105"/>
        </w:rPr>
        <w:t xml:space="preserve"> </w:t>
      </w:r>
      <w:r>
        <w:rPr>
          <w:w w:val="105"/>
        </w:rPr>
        <w:t>restitución</w:t>
      </w:r>
      <w:r>
        <w:rPr>
          <w:spacing w:val="-1"/>
          <w:w w:val="105"/>
        </w:rPr>
        <w:t xml:space="preserve"> </w:t>
      </w:r>
      <w:r>
        <w:rPr>
          <w:w w:val="105"/>
        </w:rPr>
        <w:t>y</w:t>
      </w:r>
      <w:r>
        <w:rPr>
          <w:spacing w:val="-1"/>
          <w:w w:val="105"/>
        </w:rPr>
        <w:t xml:space="preserve"> </w:t>
      </w:r>
      <w:r>
        <w:rPr>
          <w:w w:val="105"/>
        </w:rPr>
        <w:t>rehabilitación. El</w:t>
      </w:r>
      <w:r>
        <w:rPr>
          <w:spacing w:val="-1"/>
          <w:w w:val="105"/>
        </w:rPr>
        <w:t xml:space="preserve"> </w:t>
      </w:r>
      <w:r>
        <w:rPr>
          <w:w w:val="105"/>
        </w:rPr>
        <w:t>Comité</w:t>
      </w:r>
      <w:r>
        <w:rPr>
          <w:spacing w:val="-1"/>
          <w:w w:val="105"/>
        </w:rPr>
        <w:t xml:space="preserve"> </w:t>
      </w:r>
      <w:r>
        <w:rPr>
          <w:w w:val="105"/>
        </w:rPr>
        <w:t>para</w:t>
      </w:r>
      <w:r>
        <w:rPr>
          <w:spacing w:val="-1"/>
          <w:w w:val="105"/>
        </w:rPr>
        <w:t xml:space="preserve"> </w:t>
      </w:r>
      <w:r>
        <w:rPr>
          <w:w w:val="105"/>
        </w:rPr>
        <w:t>la</w:t>
      </w:r>
      <w:r>
        <w:rPr>
          <w:spacing w:val="-1"/>
          <w:w w:val="105"/>
        </w:rPr>
        <w:t xml:space="preserve"> </w:t>
      </w:r>
      <w:r>
        <w:rPr>
          <w:w w:val="105"/>
        </w:rPr>
        <w:t>Eliminación</w:t>
      </w:r>
      <w:r>
        <w:rPr>
          <w:spacing w:val="-1"/>
          <w:w w:val="105"/>
        </w:rPr>
        <w:t xml:space="preserve"> </w:t>
      </w:r>
      <w:r>
        <w:rPr>
          <w:w w:val="105"/>
        </w:rPr>
        <w:t>de</w:t>
      </w:r>
      <w:r>
        <w:rPr>
          <w:spacing w:val="-1"/>
          <w:w w:val="105"/>
        </w:rPr>
        <w:t xml:space="preserve"> </w:t>
      </w:r>
      <w:r>
        <w:rPr>
          <w:w w:val="105"/>
        </w:rPr>
        <w:t>la Discriminación</w:t>
      </w:r>
      <w:r>
        <w:rPr>
          <w:spacing w:val="-3"/>
          <w:w w:val="105"/>
        </w:rPr>
        <w:t xml:space="preserve"> </w:t>
      </w:r>
      <w:r>
        <w:rPr>
          <w:w w:val="105"/>
        </w:rPr>
        <w:t>Racial</w:t>
      </w:r>
      <w:r>
        <w:rPr>
          <w:spacing w:val="-3"/>
          <w:w w:val="105"/>
        </w:rPr>
        <w:t xml:space="preserve"> </w:t>
      </w:r>
      <w:r>
        <w:rPr>
          <w:w w:val="105"/>
        </w:rPr>
        <w:t>ha</w:t>
      </w:r>
      <w:r>
        <w:rPr>
          <w:spacing w:val="-3"/>
          <w:w w:val="105"/>
        </w:rPr>
        <w:t xml:space="preserve"> </w:t>
      </w:r>
      <w:r>
        <w:rPr>
          <w:w w:val="105"/>
        </w:rPr>
        <w:t>reconocido</w:t>
      </w:r>
      <w:r>
        <w:rPr>
          <w:spacing w:val="-3"/>
          <w:w w:val="105"/>
        </w:rPr>
        <w:t xml:space="preserve"> </w:t>
      </w:r>
      <w:r>
        <w:rPr>
          <w:w w:val="105"/>
        </w:rPr>
        <w:t>una</w:t>
      </w:r>
      <w:r>
        <w:rPr>
          <w:spacing w:val="-3"/>
          <w:w w:val="105"/>
        </w:rPr>
        <w:t xml:space="preserve"> </w:t>
      </w:r>
      <w:r>
        <w:rPr>
          <w:w w:val="105"/>
        </w:rPr>
        <w:t>obligación</w:t>
      </w:r>
      <w:r>
        <w:rPr>
          <w:spacing w:val="-3"/>
          <w:w w:val="105"/>
        </w:rPr>
        <w:t xml:space="preserve"> </w:t>
      </w:r>
      <w:r>
        <w:rPr>
          <w:w w:val="105"/>
        </w:rPr>
        <w:t>similar,</w:t>
      </w:r>
      <w:r>
        <w:rPr>
          <w:spacing w:val="-2"/>
          <w:w w:val="105"/>
        </w:rPr>
        <w:t xml:space="preserve"> </w:t>
      </w:r>
      <w:r>
        <w:rPr>
          <w:w w:val="105"/>
        </w:rPr>
        <w:t>señalando</w:t>
      </w:r>
      <w:r>
        <w:rPr>
          <w:spacing w:val="-3"/>
          <w:w w:val="105"/>
        </w:rPr>
        <w:t xml:space="preserve"> </w:t>
      </w:r>
      <w:r>
        <w:rPr>
          <w:w w:val="105"/>
        </w:rPr>
        <w:t>en</w:t>
      </w:r>
      <w:r>
        <w:rPr>
          <w:spacing w:val="-3"/>
          <w:w w:val="105"/>
        </w:rPr>
        <w:t xml:space="preserve"> </w:t>
      </w:r>
      <w:r>
        <w:rPr>
          <w:w w:val="105"/>
        </w:rPr>
        <w:t>LR</w:t>
      </w:r>
      <w:r>
        <w:rPr>
          <w:spacing w:val="-3"/>
          <w:w w:val="105"/>
        </w:rPr>
        <w:t xml:space="preserve"> </w:t>
      </w:r>
      <w:r>
        <w:rPr>
          <w:w w:val="105"/>
        </w:rPr>
        <w:t>et</w:t>
      </w:r>
      <w:r>
        <w:rPr>
          <w:spacing w:val="-3"/>
          <w:w w:val="105"/>
        </w:rPr>
        <w:t xml:space="preserve"> </w:t>
      </w:r>
      <w:r>
        <w:rPr>
          <w:w w:val="105"/>
        </w:rPr>
        <w:t>al.</w:t>
      </w:r>
      <w:r>
        <w:rPr>
          <w:spacing w:val="-3"/>
          <w:w w:val="105"/>
        </w:rPr>
        <w:t xml:space="preserve"> </w:t>
      </w:r>
      <w:r>
        <w:rPr>
          <w:w w:val="105"/>
        </w:rPr>
        <w:t>contra</w:t>
      </w:r>
      <w:r>
        <w:rPr>
          <w:spacing w:val="-3"/>
          <w:w w:val="105"/>
        </w:rPr>
        <w:t xml:space="preserve"> </w:t>
      </w:r>
      <w:r>
        <w:rPr>
          <w:w w:val="105"/>
        </w:rPr>
        <w:t>la</w:t>
      </w:r>
      <w:r>
        <w:rPr>
          <w:spacing w:val="-3"/>
          <w:w w:val="105"/>
        </w:rPr>
        <w:t xml:space="preserve"> </w:t>
      </w:r>
      <w:r>
        <w:rPr>
          <w:w w:val="105"/>
        </w:rPr>
        <w:t>República</w:t>
      </w:r>
      <w:r>
        <w:rPr>
          <w:spacing w:val="-3"/>
          <w:w w:val="105"/>
        </w:rPr>
        <w:t xml:space="preserve"> </w:t>
      </w:r>
      <w:r>
        <w:rPr>
          <w:w w:val="105"/>
        </w:rPr>
        <w:t>Eslovaca,</w:t>
      </w:r>
      <w:r>
        <w:rPr>
          <w:spacing w:val="-2"/>
          <w:w w:val="105"/>
        </w:rPr>
        <w:t xml:space="preserve"> </w:t>
      </w:r>
      <w:r>
        <w:rPr>
          <w:w w:val="105"/>
        </w:rPr>
        <w:t>por</w:t>
      </w:r>
      <w:r>
        <w:rPr>
          <w:spacing w:val="-3"/>
          <w:w w:val="105"/>
        </w:rPr>
        <w:t xml:space="preserve"> </w:t>
      </w:r>
      <w:r>
        <w:rPr>
          <w:w w:val="105"/>
        </w:rPr>
        <w:t>ejemplo, que</w:t>
      </w:r>
      <w:r>
        <w:rPr>
          <w:spacing w:val="-1"/>
          <w:w w:val="105"/>
        </w:rPr>
        <w:t xml:space="preserve"> </w:t>
      </w:r>
      <w:r>
        <w:rPr>
          <w:w w:val="105"/>
        </w:rPr>
        <w:t>el</w:t>
      </w:r>
      <w:r>
        <w:rPr>
          <w:spacing w:val="-1"/>
          <w:w w:val="105"/>
        </w:rPr>
        <w:t xml:space="preserve"> </w:t>
      </w:r>
      <w:r>
        <w:rPr>
          <w:w w:val="105"/>
        </w:rPr>
        <w:t>recurso</w:t>
      </w:r>
      <w:r>
        <w:rPr>
          <w:spacing w:val="-1"/>
          <w:w w:val="105"/>
        </w:rPr>
        <w:t xml:space="preserve"> </w:t>
      </w:r>
      <w:r>
        <w:rPr>
          <w:w w:val="105"/>
        </w:rPr>
        <w:t>efectivo</w:t>
      </w:r>
      <w:r>
        <w:rPr>
          <w:spacing w:val="-1"/>
          <w:w w:val="105"/>
        </w:rPr>
        <w:t xml:space="preserve"> </w:t>
      </w:r>
      <w:r>
        <w:rPr>
          <w:w w:val="105"/>
        </w:rPr>
        <w:t>previsto</w:t>
      </w:r>
      <w:r>
        <w:rPr>
          <w:spacing w:val="-1"/>
          <w:w w:val="105"/>
        </w:rPr>
        <w:t xml:space="preserve"> </w:t>
      </w:r>
      <w:r>
        <w:rPr>
          <w:w w:val="105"/>
        </w:rPr>
        <w:t>en</w:t>
      </w:r>
      <w:r>
        <w:rPr>
          <w:spacing w:val="-1"/>
          <w:w w:val="105"/>
        </w:rPr>
        <w:t xml:space="preserve"> </w:t>
      </w:r>
      <w:r>
        <w:rPr>
          <w:w w:val="105"/>
        </w:rPr>
        <w:t>el</w:t>
      </w:r>
      <w:r>
        <w:rPr>
          <w:spacing w:val="-1"/>
          <w:w w:val="105"/>
        </w:rPr>
        <w:t xml:space="preserve"> </w:t>
      </w:r>
      <w:r>
        <w:rPr>
          <w:w w:val="105"/>
        </w:rPr>
        <w:t>artículo</w:t>
      </w:r>
      <w:r>
        <w:rPr>
          <w:spacing w:val="-1"/>
          <w:w w:val="105"/>
        </w:rPr>
        <w:t xml:space="preserve"> </w:t>
      </w:r>
      <w:r>
        <w:rPr>
          <w:w w:val="105"/>
        </w:rPr>
        <w:t>6</w:t>
      </w:r>
      <w:r>
        <w:rPr>
          <w:spacing w:val="-1"/>
          <w:w w:val="105"/>
        </w:rPr>
        <w:t xml:space="preserve"> </w:t>
      </w:r>
      <w:r>
        <w:rPr>
          <w:w w:val="105"/>
        </w:rPr>
        <w:t>de</w:t>
      </w:r>
      <w:r>
        <w:rPr>
          <w:spacing w:val="-1"/>
          <w:w w:val="105"/>
        </w:rPr>
        <w:t xml:space="preserve"> </w:t>
      </w:r>
      <w:r>
        <w:rPr>
          <w:w w:val="105"/>
        </w:rPr>
        <w:t>la</w:t>
      </w:r>
      <w:r>
        <w:rPr>
          <w:spacing w:val="-1"/>
          <w:w w:val="105"/>
        </w:rPr>
        <w:t xml:space="preserve"> </w:t>
      </w:r>
      <w:r>
        <w:rPr>
          <w:w w:val="105"/>
        </w:rPr>
        <w:t>Convención</w:t>
      </w:r>
      <w:r>
        <w:rPr>
          <w:spacing w:val="-1"/>
          <w:w w:val="105"/>
        </w:rPr>
        <w:t xml:space="preserve"> </w:t>
      </w:r>
      <w:r>
        <w:rPr>
          <w:w w:val="105"/>
        </w:rPr>
        <w:t>Internacional</w:t>
      </w:r>
      <w:r>
        <w:rPr>
          <w:spacing w:val="-1"/>
          <w:w w:val="105"/>
        </w:rPr>
        <w:t xml:space="preserve"> </w:t>
      </w:r>
      <w:r>
        <w:rPr>
          <w:w w:val="105"/>
        </w:rPr>
        <w:t>sobre</w:t>
      </w:r>
      <w:r>
        <w:rPr>
          <w:spacing w:val="-1"/>
          <w:w w:val="105"/>
        </w:rPr>
        <w:t xml:space="preserve"> </w:t>
      </w:r>
      <w:r>
        <w:rPr>
          <w:w w:val="105"/>
        </w:rPr>
        <w:t>la</w:t>
      </w:r>
      <w:r>
        <w:rPr>
          <w:spacing w:val="-1"/>
          <w:w w:val="105"/>
        </w:rPr>
        <w:t xml:space="preserve"> </w:t>
      </w:r>
      <w:r>
        <w:rPr>
          <w:w w:val="105"/>
        </w:rPr>
        <w:t>Eliminación</w:t>
      </w:r>
      <w:r>
        <w:rPr>
          <w:spacing w:val="-1"/>
          <w:w w:val="105"/>
        </w:rPr>
        <w:t xml:space="preserve"> </w:t>
      </w:r>
      <w:r>
        <w:rPr>
          <w:w w:val="105"/>
        </w:rPr>
        <w:t>de</w:t>
      </w:r>
      <w:r>
        <w:rPr>
          <w:spacing w:val="-1"/>
          <w:w w:val="105"/>
        </w:rPr>
        <w:t xml:space="preserve"> </w:t>
      </w:r>
      <w:r>
        <w:rPr>
          <w:w w:val="105"/>
        </w:rPr>
        <w:t>todas</w:t>
      </w:r>
      <w:r>
        <w:rPr>
          <w:spacing w:val="-1"/>
          <w:w w:val="105"/>
        </w:rPr>
        <w:t xml:space="preserve"> </w:t>
      </w:r>
      <w:r>
        <w:rPr>
          <w:w w:val="105"/>
        </w:rPr>
        <w:t>las</w:t>
      </w:r>
      <w:r>
        <w:rPr>
          <w:spacing w:val="-1"/>
          <w:w w:val="105"/>
        </w:rPr>
        <w:t xml:space="preserve"> </w:t>
      </w:r>
      <w:r>
        <w:rPr>
          <w:w w:val="105"/>
        </w:rPr>
        <w:t>Formas</w:t>
      </w:r>
      <w:r>
        <w:rPr>
          <w:spacing w:val="-1"/>
          <w:w w:val="105"/>
        </w:rPr>
        <w:t xml:space="preserve"> </w:t>
      </w:r>
      <w:r>
        <w:rPr>
          <w:w w:val="105"/>
        </w:rPr>
        <w:t>de Discriminación</w:t>
      </w:r>
      <w:r>
        <w:rPr>
          <w:spacing w:val="-1"/>
          <w:w w:val="105"/>
        </w:rPr>
        <w:t xml:space="preserve"> </w:t>
      </w:r>
      <w:r>
        <w:rPr>
          <w:w w:val="105"/>
        </w:rPr>
        <w:t>Racial</w:t>
      </w:r>
      <w:r>
        <w:rPr>
          <w:spacing w:val="-1"/>
          <w:w w:val="105"/>
        </w:rPr>
        <w:t xml:space="preserve"> </w:t>
      </w:r>
      <w:r>
        <w:rPr>
          <w:w w:val="105"/>
        </w:rPr>
        <w:t>requiere</w:t>
      </w:r>
      <w:r>
        <w:rPr>
          <w:spacing w:val="-1"/>
          <w:w w:val="105"/>
        </w:rPr>
        <w:t xml:space="preserve"> </w:t>
      </w:r>
      <w:r>
        <w:rPr>
          <w:w w:val="105"/>
        </w:rPr>
        <w:t>que</w:t>
      </w:r>
      <w:r>
        <w:rPr>
          <w:spacing w:val="-1"/>
          <w:w w:val="105"/>
        </w:rPr>
        <w:t xml:space="preserve"> </w:t>
      </w:r>
      <w:r>
        <w:rPr>
          <w:w w:val="105"/>
        </w:rPr>
        <w:t>el</w:t>
      </w:r>
      <w:r>
        <w:rPr>
          <w:spacing w:val="-1"/>
          <w:w w:val="105"/>
        </w:rPr>
        <w:t xml:space="preserve"> </w:t>
      </w:r>
      <w:r>
        <w:rPr>
          <w:w w:val="105"/>
        </w:rPr>
        <w:t>Estado</w:t>
      </w:r>
      <w:r>
        <w:rPr>
          <w:spacing w:val="-1"/>
          <w:w w:val="105"/>
        </w:rPr>
        <w:t xml:space="preserve"> </w:t>
      </w:r>
      <w:r>
        <w:rPr>
          <w:w w:val="105"/>
        </w:rPr>
        <w:t>“tome</w:t>
      </w:r>
      <w:r>
        <w:rPr>
          <w:spacing w:val="-1"/>
          <w:w w:val="105"/>
        </w:rPr>
        <w:t xml:space="preserve"> </w:t>
      </w:r>
      <w:r>
        <w:rPr>
          <w:w w:val="105"/>
        </w:rPr>
        <w:t>medidas</w:t>
      </w:r>
      <w:r>
        <w:rPr>
          <w:spacing w:val="-1"/>
          <w:w w:val="105"/>
        </w:rPr>
        <w:t xml:space="preserve"> </w:t>
      </w:r>
      <w:r>
        <w:rPr>
          <w:w w:val="105"/>
        </w:rPr>
        <w:t>para</w:t>
      </w:r>
      <w:r>
        <w:rPr>
          <w:spacing w:val="-1"/>
          <w:w w:val="105"/>
        </w:rPr>
        <w:t xml:space="preserve"> </w:t>
      </w:r>
      <w:r>
        <w:rPr>
          <w:w w:val="105"/>
        </w:rPr>
        <w:t>garantizar</w:t>
      </w:r>
      <w:r>
        <w:rPr>
          <w:spacing w:val="-1"/>
          <w:w w:val="105"/>
        </w:rPr>
        <w:t xml:space="preserve"> </w:t>
      </w:r>
      <w:r>
        <w:rPr>
          <w:w w:val="105"/>
        </w:rPr>
        <w:t>que</w:t>
      </w:r>
      <w:r>
        <w:rPr>
          <w:spacing w:val="-1"/>
          <w:w w:val="105"/>
        </w:rPr>
        <w:t xml:space="preserve"> </w:t>
      </w:r>
      <w:r>
        <w:rPr>
          <w:w w:val="105"/>
        </w:rPr>
        <w:t>los</w:t>
      </w:r>
      <w:r>
        <w:rPr>
          <w:spacing w:val="-1"/>
          <w:w w:val="105"/>
        </w:rPr>
        <w:t xml:space="preserve"> </w:t>
      </w:r>
      <w:r>
        <w:rPr>
          <w:w w:val="105"/>
        </w:rPr>
        <w:t>peticionarios</w:t>
      </w:r>
      <w:r>
        <w:rPr>
          <w:spacing w:val="-1"/>
          <w:w w:val="105"/>
        </w:rPr>
        <w:t xml:space="preserve"> </w:t>
      </w:r>
      <w:r>
        <w:rPr>
          <w:w w:val="105"/>
        </w:rPr>
        <w:t>se</w:t>
      </w:r>
      <w:r>
        <w:rPr>
          <w:spacing w:val="-1"/>
          <w:w w:val="105"/>
        </w:rPr>
        <w:t xml:space="preserve"> </w:t>
      </w:r>
      <w:r>
        <w:rPr>
          <w:w w:val="105"/>
        </w:rPr>
        <w:t>encuentren</w:t>
      </w:r>
      <w:r>
        <w:rPr>
          <w:spacing w:val="-1"/>
          <w:w w:val="105"/>
        </w:rPr>
        <w:t xml:space="preserve"> </w:t>
      </w:r>
      <w:r>
        <w:rPr>
          <w:w w:val="105"/>
        </w:rPr>
        <w:t>en</w:t>
      </w:r>
      <w:r>
        <w:rPr>
          <w:spacing w:val="-1"/>
          <w:w w:val="105"/>
        </w:rPr>
        <w:t xml:space="preserve"> </w:t>
      </w:r>
      <w:r>
        <w:rPr>
          <w:w w:val="105"/>
        </w:rPr>
        <w:t>la</w:t>
      </w:r>
      <w:r>
        <w:rPr>
          <w:spacing w:val="-1"/>
          <w:w w:val="105"/>
        </w:rPr>
        <w:t xml:space="preserve"> </w:t>
      </w:r>
      <w:r>
        <w:rPr>
          <w:w w:val="105"/>
        </w:rPr>
        <w:t>misma posición</w:t>
      </w:r>
      <w:r>
        <w:rPr>
          <w:spacing w:val="-1"/>
          <w:w w:val="105"/>
        </w:rPr>
        <w:t xml:space="preserve"> </w:t>
      </w:r>
      <w:r>
        <w:rPr>
          <w:w w:val="105"/>
        </w:rPr>
        <w:t>en</w:t>
      </w:r>
      <w:r>
        <w:rPr>
          <w:spacing w:val="-1"/>
          <w:w w:val="105"/>
        </w:rPr>
        <w:t xml:space="preserve"> </w:t>
      </w:r>
      <w:r>
        <w:rPr>
          <w:w w:val="105"/>
        </w:rPr>
        <w:t>la</w:t>
      </w:r>
      <w:r>
        <w:rPr>
          <w:spacing w:val="-1"/>
          <w:w w:val="105"/>
        </w:rPr>
        <w:t xml:space="preserve"> </w:t>
      </w:r>
      <w:r>
        <w:rPr>
          <w:w w:val="105"/>
        </w:rPr>
        <w:t>que</w:t>
      </w:r>
      <w:r>
        <w:rPr>
          <w:spacing w:val="-1"/>
          <w:w w:val="105"/>
        </w:rPr>
        <w:t xml:space="preserve"> </w:t>
      </w:r>
      <w:r>
        <w:rPr>
          <w:w w:val="105"/>
        </w:rPr>
        <w:t>se</w:t>
      </w:r>
      <w:r>
        <w:rPr>
          <w:spacing w:val="-1"/>
          <w:w w:val="105"/>
        </w:rPr>
        <w:t xml:space="preserve"> </w:t>
      </w:r>
      <w:r>
        <w:rPr>
          <w:w w:val="105"/>
        </w:rPr>
        <w:t>encontraban”</w:t>
      </w:r>
      <w:r>
        <w:rPr>
          <w:spacing w:val="-1"/>
          <w:w w:val="105"/>
        </w:rPr>
        <w:t xml:space="preserve"> </w:t>
      </w:r>
      <w:r>
        <w:rPr>
          <w:w w:val="105"/>
        </w:rPr>
        <w:t>antes</w:t>
      </w:r>
      <w:r>
        <w:rPr>
          <w:spacing w:val="-1"/>
          <w:w w:val="105"/>
        </w:rPr>
        <w:t xml:space="preserve"> </w:t>
      </w:r>
      <w:r>
        <w:rPr>
          <w:w w:val="105"/>
        </w:rPr>
        <w:t>de</w:t>
      </w:r>
      <w:r>
        <w:rPr>
          <w:spacing w:val="-1"/>
          <w:w w:val="105"/>
        </w:rPr>
        <w:t xml:space="preserve"> </w:t>
      </w:r>
      <w:r>
        <w:rPr>
          <w:w w:val="105"/>
        </w:rPr>
        <w:t>una</w:t>
      </w:r>
      <w:r>
        <w:rPr>
          <w:spacing w:val="-1"/>
          <w:w w:val="105"/>
        </w:rPr>
        <w:t xml:space="preserve"> </w:t>
      </w:r>
      <w:r>
        <w:rPr>
          <w:w w:val="105"/>
        </w:rPr>
        <w:t>decisión</w:t>
      </w:r>
      <w:r>
        <w:rPr>
          <w:spacing w:val="-1"/>
          <w:w w:val="105"/>
        </w:rPr>
        <w:t xml:space="preserve"> </w:t>
      </w:r>
      <w:r>
        <w:rPr>
          <w:w w:val="105"/>
        </w:rPr>
        <w:t>discriminatoria</w:t>
      </w:r>
      <w:r>
        <w:rPr>
          <w:spacing w:val="-1"/>
          <w:w w:val="105"/>
        </w:rPr>
        <w:t xml:space="preserve"> </w:t>
      </w:r>
      <w:r>
        <w:rPr>
          <w:w w:val="105"/>
        </w:rPr>
        <w:t>por</w:t>
      </w:r>
      <w:r>
        <w:rPr>
          <w:spacing w:val="-1"/>
          <w:w w:val="105"/>
        </w:rPr>
        <w:t xml:space="preserve"> </w:t>
      </w:r>
      <w:r>
        <w:rPr>
          <w:w w:val="105"/>
        </w:rPr>
        <w:t>parte</w:t>
      </w:r>
      <w:r>
        <w:rPr>
          <w:spacing w:val="-1"/>
          <w:w w:val="105"/>
        </w:rPr>
        <w:t xml:space="preserve"> </w:t>
      </w:r>
      <w:r>
        <w:rPr>
          <w:w w:val="105"/>
        </w:rPr>
        <w:t>de</w:t>
      </w:r>
      <w:r>
        <w:rPr>
          <w:spacing w:val="-1"/>
          <w:w w:val="105"/>
        </w:rPr>
        <w:t xml:space="preserve"> </w:t>
      </w:r>
      <w:r>
        <w:rPr>
          <w:w w:val="105"/>
        </w:rPr>
        <w:t>las</w:t>
      </w:r>
      <w:r>
        <w:rPr>
          <w:spacing w:val="-1"/>
          <w:w w:val="105"/>
        </w:rPr>
        <w:t xml:space="preserve"> </w:t>
      </w:r>
      <w:r>
        <w:rPr>
          <w:w w:val="105"/>
        </w:rPr>
        <w:t>autoridades</w:t>
      </w:r>
      <w:r>
        <w:rPr>
          <w:spacing w:val="-1"/>
          <w:w w:val="105"/>
        </w:rPr>
        <w:t xml:space="preserve"> </w:t>
      </w:r>
      <w:r>
        <w:rPr>
          <w:w w:val="105"/>
        </w:rPr>
        <w:t>locales.611</w:t>
      </w:r>
      <w:r>
        <w:rPr>
          <w:spacing w:val="-1"/>
          <w:w w:val="105"/>
        </w:rPr>
        <w:t xml:space="preserve"> </w:t>
      </w:r>
      <w:r>
        <w:rPr>
          <w:w w:val="105"/>
        </w:rPr>
        <w:t>El</w:t>
      </w:r>
      <w:r>
        <w:rPr>
          <w:spacing w:val="-1"/>
          <w:w w:val="105"/>
        </w:rPr>
        <w:t xml:space="preserve"> </w:t>
      </w:r>
      <w:r>
        <w:rPr>
          <w:w w:val="105"/>
        </w:rPr>
        <w:t>Comité para</w:t>
      </w:r>
      <w:r>
        <w:rPr>
          <w:spacing w:val="-1"/>
          <w:w w:val="105"/>
        </w:rPr>
        <w:t xml:space="preserve"> </w:t>
      </w:r>
      <w:r>
        <w:rPr>
          <w:w w:val="105"/>
        </w:rPr>
        <w:t>la</w:t>
      </w:r>
      <w:r>
        <w:rPr>
          <w:spacing w:val="-1"/>
          <w:w w:val="105"/>
        </w:rPr>
        <w:t xml:space="preserve"> </w:t>
      </w:r>
      <w:r>
        <w:rPr>
          <w:w w:val="105"/>
        </w:rPr>
        <w:t>Eliminación</w:t>
      </w:r>
      <w:r>
        <w:rPr>
          <w:spacing w:val="-1"/>
          <w:w w:val="105"/>
        </w:rPr>
        <w:t xml:space="preserve"> </w:t>
      </w:r>
      <w:r>
        <w:rPr>
          <w:w w:val="105"/>
        </w:rPr>
        <w:t>de</w:t>
      </w:r>
      <w:r>
        <w:rPr>
          <w:spacing w:val="-1"/>
          <w:w w:val="105"/>
        </w:rPr>
        <w:t xml:space="preserve"> </w:t>
      </w:r>
      <w:r>
        <w:rPr>
          <w:w w:val="105"/>
        </w:rPr>
        <w:t>la</w:t>
      </w:r>
      <w:r>
        <w:rPr>
          <w:spacing w:val="-1"/>
          <w:w w:val="105"/>
        </w:rPr>
        <w:t xml:space="preserve"> </w:t>
      </w:r>
      <w:r>
        <w:rPr>
          <w:w w:val="105"/>
        </w:rPr>
        <w:t>Discriminación</w:t>
      </w:r>
      <w:r>
        <w:rPr>
          <w:spacing w:val="-1"/>
          <w:w w:val="105"/>
        </w:rPr>
        <w:t xml:space="preserve"> </w:t>
      </w:r>
      <w:r>
        <w:rPr>
          <w:w w:val="105"/>
        </w:rPr>
        <w:t>contra</w:t>
      </w:r>
      <w:r>
        <w:rPr>
          <w:spacing w:val="-1"/>
          <w:w w:val="105"/>
        </w:rPr>
        <w:t xml:space="preserve"> </w:t>
      </w:r>
      <w:r>
        <w:rPr>
          <w:w w:val="105"/>
        </w:rPr>
        <w:t>la</w:t>
      </w:r>
      <w:r>
        <w:rPr>
          <w:spacing w:val="-1"/>
          <w:w w:val="105"/>
        </w:rPr>
        <w:t xml:space="preserve"> </w:t>
      </w:r>
      <w:r>
        <w:rPr>
          <w:w w:val="105"/>
        </w:rPr>
        <w:t>Mujer</w:t>
      </w:r>
      <w:r>
        <w:rPr>
          <w:spacing w:val="-1"/>
          <w:w w:val="105"/>
        </w:rPr>
        <w:t xml:space="preserve"> </w:t>
      </w:r>
      <w:r>
        <w:rPr>
          <w:w w:val="105"/>
        </w:rPr>
        <w:t>ha</w:t>
      </w:r>
      <w:r>
        <w:rPr>
          <w:spacing w:val="-1"/>
          <w:w w:val="105"/>
        </w:rPr>
        <w:t xml:space="preserve"> </w:t>
      </w:r>
      <w:r>
        <w:rPr>
          <w:w w:val="105"/>
        </w:rPr>
        <w:t>observado</w:t>
      </w:r>
      <w:r>
        <w:rPr>
          <w:spacing w:val="-1"/>
          <w:w w:val="105"/>
        </w:rPr>
        <w:t xml:space="preserve"> </w:t>
      </w:r>
      <w:r>
        <w:rPr>
          <w:w w:val="105"/>
        </w:rPr>
        <w:t>que</w:t>
      </w:r>
      <w:r>
        <w:rPr>
          <w:spacing w:val="-1"/>
          <w:w w:val="105"/>
        </w:rPr>
        <w:t xml:space="preserve"> </w:t>
      </w:r>
      <w:r>
        <w:rPr>
          <w:w w:val="105"/>
        </w:rPr>
        <w:t>la</w:t>
      </w:r>
      <w:r>
        <w:rPr>
          <w:spacing w:val="-1"/>
          <w:w w:val="105"/>
        </w:rPr>
        <w:t xml:space="preserve"> </w:t>
      </w:r>
      <w:r>
        <w:rPr>
          <w:w w:val="105"/>
        </w:rPr>
        <w:t>Convención</w:t>
      </w:r>
      <w:r>
        <w:rPr>
          <w:spacing w:val="-1"/>
          <w:w w:val="105"/>
        </w:rPr>
        <w:t xml:space="preserve"> </w:t>
      </w:r>
      <w:r>
        <w:rPr>
          <w:w w:val="105"/>
        </w:rPr>
        <w:t>pertinente</w:t>
      </w:r>
      <w:r>
        <w:rPr>
          <w:spacing w:val="-1"/>
          <w:w w:val="105"/>
        </w:rPr>
        <w:t xml:space="preserve"> </w:t>
      </w:r>
      <w:r>
        <w:rPr>
          <w:w w:val="105"/>
        </w:rPr>
        <w:t>crea</w:t>
      </w:r>
      <w:r>
        <w:rPr>
          <w:spacing w:val="-1"/>
          <w:w w:val="105"/>
        </w:rPr>
        <w:t xml:space="preserve"> </w:t>
      </w:r>
      <w:r>
        <w:rPr>
          <w:w w:val="105"/>
        </w:rPr>
        <w:t>obligaciones</w:t>
      </w:r>
      <w:r>
        <w:rPr>
          <w:spacing w:val="-1"/>
          <w:w w:val="105"/>
        </w:rPr>
        <w:t xml:space="preserve"> </w:t>
      </w:r>
      <w:r>
        <w:rPr>
          <w:w w:val="105"/>
        </w:rPr>
        <w:t>de “restitución, rehabilitación y reintegro”.612</w:t>
      </w:r>
    </w:p>
    <w:p w14:paraId="629C8D86" w14:textId="77777777" w:rsidR="0014798C" w:rsidRDefault="004E1F0B">
      <w:pPr>
        <w:pStyle w:val="Textoindependiente"/>
        <w:spacing w:before="165" w:line="326" w:lineRule="auto"/>
        <w:ind w:left="1106" w:right="1272" w:hanging="1"/>
      </w:pPr>
      <w:r>
        <w:rPr>
          <w:w w:val="105"/>
        </w:rPr>
        <w:t>Estos</w:t>
      </w:r>
      <w:r>
        <w:rPr>
          <w:spacing w:val="-7"/>
          <w:w w:val="105"/>
        </w:rPr>
        <w:t xml:space="preserve"> </w:t>
      </w:r>
      <w:r>
        <w:rPr>
          <w:w w:val="105"/>
        </w:rPr>
        <w:t>elementos</w:t>
      </w:r>
      <w:r>
        <w:rPr>
          <w:spacing w:val="-7"/>
          <w:w w:val="105"/>
        </w:rPr>
        <w:t xml:space="preserve"> </w:t>
      </w:r>
      <w:r>
        <w:rPr>
          <w:w w:val="105"/>
        </w:rPr>
        <w:t>de</w:t>
      </w:r>
      <w:r>
        <w:rPr>
          <w:spacing w:val="-7"/>
          <w:w w:val="105"/>
        </w:rPr>
        <w:t xml:space="preserve"> </w:t>
      </w:r>
      <w:r>
        <w:rPr>
          <w:w w:val="105"/>
        </w:rPr>
        <w:t>reparación</w:t>
      </w:r>
      <w:r>
        <w:rPr>
          <w:spacing w:val="-7"/>
          <w:w w:val="105"/>
        </w:rPr>
        <w:t xml:space="preserve"> </w:t>
      </w:r>
      <w:r>
        <w:rPr>
          <w:w w:val="105"/>
        </w:rPr>
        <w:t>deben</w:t>
      </w:r>
      <w:r>
        <w:rPr>
          <w:spacing w:val="-7"/>
          <w:w w:val="105"/>
        </w:rPr>
        <w:t xml:space="preserve"> </w:t>
      </w:r>
      <w:r>
        <w:rPr>
          <w:w w:val="105"/>
        </w:rPr>
        <w:t>guiarse</w:t>
      </w:r>
      <w:r>
        <w:rPr>
          <w:spacing w:val="-7"/>
          <w:w w:val="105"/>
        </w:rPr>
        <w:t xml:space="preserve"> </w:t>
      </w:r>
      <w:r>
        <w:rPr>
          <w:w w:val="105"/>
        </w:rPr>
        <w:t>por</w:t>
      </w:r>
      <w:r>
        <w:rPr>
          <w:spacing w:val="-7"/>
          <w:w w:val="105"/>
        </w:rPr>
        <w:t xml:space="preserve"> </w:t>
      </w:r>
      <w:r>
        <w:rPr>
          <w:w w:val="105"/>
        </w:rPr>
        <w:t>un</w:t>
      </w:r>
      <w:r>
        <w:rPr>
          <w:spacing w:val="-7"/>
          <w:w w:val="105"/>
        </w:rPr>
        <w:t xml:space="preserve"> </w:t>
      </w:r>
      <w:r>
        <w:rPr>
          <w:w w:val="105"/>
        </w:rPr>
        <w:t>enfoque</w:t>
      </w:r>
      <w:r>
        <w:rPr>
          <w:spacing w:val="-7"/>
          <w:w w:val="105"/>
        </w:rPr>
        <w:t xml:space="preserve"> </w:t>
      </w:r>
      <w:r>
        <w:rPr>
          <w:w w:val="105"/>
        </w:rPr>
        <w:t>global</w:t>
      </w:r>
      <w:r>
        <w:rPr>
          <w:spacing w:val="-7"/>
          <w:w w:val="105"/>
        </w:rPr>
        <w:t xml:space="preserve"> </w:t>
      </w:r>
      <w:r>
        <w:rPr>
          <w:w w:val="105"/>
        </w:rPr>
        <w:t>centrado</w:t>
      </w:r>
      <w:r>
        <w:rPr>
          <w:spacing w:val="-7"/>
          <w:w w:val="105"/>
        </w:rPr>
        <w:t xml:space="preserve"> </w:t>
      </w:r>
      <w:r>
        <w:rPr>
          <w:w w:val="105"/>
        </w:rPr>
        <w:t>en</w:t>
      </w:r>
      <w:r>
        <w:rPr>
          <w:spacing w:val="-7"/>
          <w:w w:val="105"/>
        </w:rPr>
        <w:t xml:space="preserve"> </w:t>
      </w:r>
      <w:r>
        <w:rPr>
          <w:w w:val="105"/>
        </w:rPr>
        <w:t>las</w:t>
      </w:r>
      <w:r>
        <w:rPr>
          <w:spacing w:val="-7"/>
          <w:w w:val="105"/>
        </w:rPr>
        <w:t xml:space="preserve"> </w:t>
      </w:r>
      <w:r>
        <w:rPr>
          <w:w w:val="105"/>
        </w:rPr>
        <w:t>víctimas.</w:t>
      </w:r>
      <w:r>
        <w:rPr>
          <w:spacing w:val="-7"/>
          <w:w w:val="105"/>
        </w:rPr>
        <w:t xml:space="preserve"> </w:t>
      </w:r>
      <w:r>
        <w:rPr>
          <w:w w:val="105"/>
        </w:rPr>
        <w:t>En</w:t>
      </w:r>
      <w:r>
        <w:rPr>
          <w:spacing w:val="-7"/>
          <w:w w:val="105"/>
        </w:rPr>
        <w:t xml:space="preserve"> </w:t>
      </w:r>
      <w:r>
        <w:rPr>
          <w:w w:val="105"/>
        </w:rPr>
        <w:t>general,</w:t>
      </w:r>
      <w:r>
        <w:rPr>
          <w:spacing w:val="-7"/>
          <w:w w:val="105"/>
        </w:rPr>
        <w:t xml:space="preserve"> </w:t>
      </w:r>
      <w:r>
        <w:rPr>
          <w:w w:val="105"/>
        </w:rPr>
        <w:t>Thomas</w:t>
      </w:r>
      <w:r>
        <w:rPr>
          <w:spacing w:val="-7"/>
          <w:w w:val="105"/>
        </w:rPr>
        <w:t xml:space="preserve"> </w:t>
      </w:r>
      <w:proofErr w:type="spellStart"/>
      <w:r>
        <w:rPr>
          <w:w w:val="105"/>
        </w:rPr>
        <w:t>Antkowiak</w:t>
      </w:r>
      <w:proofErr w:type="spellEnd"/>
      <w:r>
        <w:rPr>
          <w:w w:val="105"/>
        </w:rPr>
        <w:t xml:space="preserve"> señala que un enfoque centrado en las víctimas es fundamental para garantizar que las medidas de reparación se ajusten a las necesidades, preocupaciones y derechos específicos de las víctimas de violaciones de derechos humanos.613 Las medidas de reparación centradas en las víctimas tienen un mayor potencial para permitir la recuperación y curación a nivel individual</w:t>
      </w:r>
      <w:r>
        <w:rPr>
          <w:spacing w:val="-2"/>
          <w:w w:val="105"/>
        </w:rPr>
        <w:t xml:space="preserve"> </w:t>
      </w:r>
      <w:r>
        <w:rPr>
          <w:w w:val="105"/>
        </w:rPr>
        <w:t>y</w:t>
      </w:r>
      <w:r>
        <w:rPr>
          <w:spacing w:val="-2"/>
          <w:w w:val="105"/>
        </w:rPr>
        <w:t xml:space="preserve"> </w:t>
      </w:r>
      <w:r>
        <w:rPr>
          <w:w w:val="105"/>
        </w:rPr>
        <w:t>comunitario,</w:t>
      </w:r>
      <w:r>
        <w:rPr>
          <w:spacing w:val="-1"/>
          <w:w w:val="105"/>
        </w:rPr>
        <w:t xml:space="preserve"> </w:t>
      </w:r>
      <w:r>
        <w:rPr>
          <w:w w:val="105"/>
        </w:rPr>
        <w:t>en</w:t>
      </w:r>
      <w:r>
        <w:rPr>
          <w:spacing w:val="-2"/>
          <w:w w:val="105"/>
        </w:rPr>
        <w:t xml:space="preserve"> </w:t>
      </w:r>
      <w:r>
        <w:rPr>
          <w:w w:val="105"/>
        </w:rPr>
        <w:t>línea</w:t>
      </w:r>
      <w:r>
        <w:rPr>
          <w:spacing w:val="-2"/>
          <w:w w:val="105"/>
        </w:rPr>
        <w:t xml:space="preserve"> </w:t>
      </w:r>
      <w:r>
        <w:rPr>
          <w:w w:val="105"/>
        </w:rPr>
        <w:t>con</w:t>
      </w:r>
      <w:r>
        <w:rPr>
          <w:spacing w:val="-2"/>
          <w:w w:val="105"/>
        </w:rPr>
        <w:t xml:space="preserve"> </w:t>
      </w:r>
      <w:r>
        <w:rPr>
          <w:w w:val="105"/>
        </w:rPr>
        <w:t>el</w:t>
      </w:r>
      <w:r>
        <w:rPr>
          <w:spacing w:val="-2"/>
          <w:w w:val="105"/>
        </w:rPr>
        <w:t xml:space="preserve"> </w:t>
      </w:r>
      <w:r>
        <w:rPr>
          <w:w w:val="105"/>
        </w:rPr>
        <w:t>modelo</w:t>
      </w:r>
      <w:r>
        <w:rPr>
          <w:spacing w:val="-2"/>
          <w:w w:val="105"/>
        </w:rPr>
        <w:t xml:space="preserve"> </w:t>
      </w:r>
      <w:r>
        <w:rPr>
          <w:w w:val="105"/>
        </w:rPr>
        <w:t>de</w:t>
      </w:r>
      <w:r>
        <w:rPr>
          <w:spacing w:val="-2"/>
          <w:w w:val="105"/>
        </w:rPr>
        <w:t xml:space="preserve"> </w:t>
      </w:r>
      <w:r>
        <w:rPr>
          <w:w w:val="105"/>
        </w:rPr>
        <w:t>justicia</w:t>
      </w:r>
      <w:r>
        <w:rPr>
          <w:spacing w:val="-2"/>
          <w:w w:val="105"/>
        </w:rPr>
        <w:t xml:space="preserve"> </w:t>
      </w:r>
      <w:r>
        <w:rPr>
          <w:w w:val="105"/>
        </w:rPr>
        <w:t>restaurativa.614</w:t>
      </w:r>
      <w:r>
        <w:rPr>
          <w:spacing w:val="-2"/>
          <w:w w:val="105"/>
        </w:rPr>
        <w:t xml:space="preserve"> </w:t>
      </w:r>
      <w:r>
        <w:rPr>
          <w:w w:val="105"/>
        </w:rPr>
        <w:t>Además,</w:t>
      </w:r>
      <w:r>
        <w:rPr>
          <w:spacing w:val="-1"/>
          <w:w w:val="105"/>
        </w:rPr>
        <w:t xml:space="preserve"> </w:t>
      </w:r>
      <w:r>
        <w:rPr>
          <w:w w:val="105"/>
        </w:rPr>
        <w:t>es</w:t>
      </w:r>
      <w:r>
        <w:rPr>
          <w:spacing w:val="-2"/>
          <w:w w:val="105"/>
        </w:rPr>
        <w:t xml:space="preserve"> </w:t>
      </w:r>
      <w:r>
        <w:rPr>
          <w:w w:val="105"/>
        </w:rPr>
        <w:t>esencial</w:t>
      </w:r>
      <w:r>
        <w:rPr>
          <w:spacing w:val="-2"/>
          <w:w w:val="105"/>
        </w:rPr>
        <w:t xml:space="preserve"> </w:t>
      </w:r>
      <w:r>
        <w:rPr>
          <w:w w:val="105"/>
        </w:rPr>
        <w:t>que</w:t>
      </w:r>
      <w:r>
        <w:rPr>
          <w:spacing w:val="-2"/>
          <w:w w:val="105"/>
        </w:rPr>
        <w:t xml:space="preserve"> </w:t>
      </w:r>
      <w:r>
        <w:rPr>
          <w:w w:val="105"/>
        </w:rPr>
        <w:t>las</w:t>
      </w:r>
      <w:r>
        <w:rPr>
          <w:spacing w:val="-2"/>
          <w:w w:val="105"/>
        </w:rPr>
        <w:t xml:space="preserve"> </w:t>
      </w:r>
      <w:r>
        <w:rPr>
          <w:w w:val="105"/>
        </w:rPr>
        <w:t>reparaciones</w:t>
      </w:r>
      <w:r>
        <w:rPr>
          <w:spacing w:val="-2"/>
          <w:w w:val="105"/>
        </w:rPr>
        <w:t xml:space="preserve"> </w:t>
      </w:r>
      <w:r>
        <w:rPr>
          <w:w w:val="105"/>
        </w:rPr>
        <w:t>sean sensibles</w:t>
      </w:r>
      <w:r>
        <w:rPr>
          <w:spacing w:val="-1"/>
          <w:w w:val="105"/>
        </w:rPr>
        <w:t xml:space="preserve"> </w:t>
      </w:r>
      <w:r>
        <w:rPr>
          <w:w w:val="105"/>
        </w:rPr>
        <w:t>a</w:t>
      </w:r>
      <w:r>
        <w:rPr>
          <w:spacing w:val="-1"/>
          <w:w w:val="105"/>
        </w:rPr>
        <w:t xml:space="preserve"> </w:t>
      </w:r>
      <w:r>
        <w:rPr>
          <w:w w:val="105"/>
        </w:rPr>
        <w:t>la</w:t>
      </w:r>
      <w:r>
        <w:rPr>
          <w:spacing w:val="-1"/>
          <w:w w:val="105"/>
        </w:rPr>
        <w:t xml:space="preserve"> </w:t>
      </w:r>
      <w:r>
        <w:rPr>
          <w:w w:val="105"/>
        </w:rPr>
        <w:t>igualdad, reflejen</w:t>
      </w:r>
      <w:r>
        <w:rPr>
          <w:spacing w:val="-1"/>
          <w:w w:val="105"/>
        </w:rPr>
        <w:t xml:space="preserve"> </w:t>
      </w:r>
      <w:r>
        <w:rPr>
          <w:w w:val="105"/>
        </w:rPr>
        <w:t>la</w:t>
      </w:r>
      <w:r>
        <w:rPr>
          <w:spacing w:val="-1"/>
          <w:w w:val="105"/>
        </w:rPr>
        <w:t xml:space="preserve"> </w:t>
      </w:r>
      <w:r>
        <w:rPr>
          <w:w w:val="105"/>
        </w:rPr>
        <w:t>situación</w:t>
      </w:r>
      <w:r>
        <w:rPr>
          <w:spacing w:val="-1"/>
          <w:w w:val="105"/>
        </w:rPr>
        <w:t xml:space="preserve"> </w:t>
      </w:r>
      <w:r>
        <w:rPr>
          <w:w w:val="105"/>
        </w:rPr>
        <w:t>específica</w:t>
      </w:r>
      <w:r>
        <w:rPr>
          <w:spacing w:val="-1"/>
          <w:w w:val="105"/>
        </w:rPr>
        <w:t xml:space="preserve"> </w:t>
      </w:r>
      <w:r>
        <w:rPr>
          <w:w w:val="105"/>
        </w:rPr>
        <w:t>de</w:t>
      </w:r>
      <w:r>
        <w:rPr>
          <w:spacing w:val="-1"/>
          <w:w w:val="105"/>
        </w:rPr>
        <w:t xml:space="preserve"> </w:t>
      </w:r>
      <w:r>
        <w:rPr>
          <w:w w:val="105"/>
        </w:rPr>
        <w:t>aquellos</w:t>
      </w:r>
      <w:r>
        <w:rPr>
          <w:spacing w:val="-1"/>
          <w:w w:val="105"/>
        </w:rPr>
        <w:t xml:space="preserve"> </w:t>
      </w:r>
      <w:r>
        <w:rPr>
          <w:w w:val="105"/>
        </w:rPr>
        <w:t>expuestos</w:t>
      </w:r>
      <w:r>
        <w:rPr>
          <w:spacing w:val="-1"/>
          <w:w w:val="105"/>
        </w:rPr>
        <w:t xml:space="preserve"> </w:t>
      </w:r>
      <w:r>
        <w:rPr>
          <w:w w:val="105"/>
        </w:rPr>
        <w:t>a</w:t>
      </w:r>
      <w:r>
        <w:rPr>
          <w:spacing w:val="-1"/>
          <w:w w:val="105"/>
        </w:rPr>
        <w:t xml:space="preserve"> </w:t>
      </w:r>
      <w:r>
        <w:rPr>
          <w:w w:val="105"/>
        </w:rPr>
        <w:t>la</w:t>
      </w:r>
      <w:r>
        <w:rPr>
          <w:spacing w:val="-1"/>
          <w:w w:val="105"/>
        </w:rPr>
        <w:t xml:space="preserve"> </w:t>
      </w:r>
      <w:r>
        <w:rPr>
          <w:w w:val="105"/>
        </w:rPr>
        <w:t>discriminación</w:t>
      </w:r>
      <w:r>
        <w:rPr>
          <w:spacing w:val="-1"/>
          <w:w w:val="105"/>
        </w:rPr>
        <w:t xml:space="preserve"> </w:t>
      </w:r>
      <w:r>
        <w:rPr>
          <w:w w:val="105"/>
        </w:rPr>
        <w:t>e</w:t>
      </w:r>
      <w:r>
        <w:rPr>
          <w:spacing w:val="-1"/>
          <w:w w:val="105"/>
        </w:rPr>
        <w:t xml:space="preserve"> </w:t>
      </w:r>
      <w:r>
        <w:rPr>
          <w:w w:val="105"/>
        </w:rPr>
        <w:t>involucren</w:t>
      </w:r>
      <w:r>
        <w:rPr>
          <w:spacing w:val="-1"/>
          <w:w w:val="105"/>
        </w:rPr>
        <w:t xml:space="preserve"> </w:t>
      </w:r>
      <w:r>
        <w:rPr>
          <w:w w:val="105"/>
        </w:rPr>
        <w:t>a</w:t>
      </w:r>
      <w:r>
        <w:rPr>
          <w:spacing w:val="-1"/>
          <w:w w:val="105"/>
        </w:rPr>
        <w:t xml:space="preserve"> </w:t>
      </w:r>
      <w:r>
        <w:rPr>
          <w:w w:val="105"/>
        </w:rPr>
        <w:t>las</w:t>
      </w:r>
      <w:r>
        <w:rPr>
          <w:spacing w:val="-1"/>
          <w:w w:val="105"/>
        </w:rPr>
        <w:t xml:space="preserve"> </w:t>
      </w:r>
      <w:r>
        <w:rPr>
          <w:w w:val="105"/>
        </w:rPr>
        <w:t>víctimas en la determinación de cuál sería el remedio apropiado. .</w:t>
      </w:r>
    </w:p>
    <w:p w14:paraId="2AEE4B7C" w14:textId="77777777" w:rsidR="0014798C" w:rsidRDefault="0014798C">
      <w:pPr>
        <w:pStyle w:val="Textoindependiente"/>
        <w:spacing w:before="60"/>
      </w:pPr>
    </w:p>
    <w:p w14:paraId="12D2ACEA" w14:textId="77777777" w:rsidR="0014798C" w:rsidRDefault="004E1F0B">
      <w:pPr>
        <w:pStyle w:val="Ttulo8"/>
        <w:numPr>
          <w:ilvl w:val="1"/>
          <w:numId w:val="3"/>
        </w:numPr>
        <w:tabs>
          <w:tab w:val="left" w:pos="1496"/>
        </w:tabs>
        <w:spacing w:before="1"/>
        <w:ind w:left="1496" w:hanging="376"/>
        <w:rPr>
          <w:color w:val="00AC59"/>
        </w:rPr>
      </w:pPr>
      <w:r>
        <w:rPr>
          <w:color w:val="00AC59"/>
        </w:rPr>
        <w:t>Remedios</w:t>
      </w:r>
      <w:r>
        <w:rPr>
          <w:color w:val="00AC59"/>
          <w:spacing w:val="22"/>
        </w:rPr>
        <w:t xml:space="preserve"> </w:t>
      </w:r>
      <w:r>
        <w:rPr>
          <w:color w:val="00AC59"/>
        </w:rPr>
        <w:t>institucionales</w:t>
      </w:r>
      <w:r>
        <w:rPr>
          <w:color w:val="00AC59"/>
          <w:spacing w:val="22"/>
        </w:rPr>
        <w:t xml:space="preserve"> </w:t>
      </w:r>
      <w:r>
        <w:rPr>
          <w:color w:val="00AC59"/>
        </w:rPr>
        <w:t>y</w:t>
      </w:r>
      <w:r>
        <w:rPr>
          <w:color w:val="00AC59"/>
          <w:spacing w:val="23"/>
        </w:rPr>
        <w:t xml:space="preserve"> </w:t>
      </w:r>
      <w:r>
        <w:rPr>
          <w:color w:val="00AC59"/>
          <w:spacing w:val="-2"/>
        </w:rPr>
        <w:t>sociales</w:t>
      </w:r>
    </w:p>
    <w:p w14:paraId="374050D2" w14:textId="77777777" w:rsidR="0014798C" w:rsidRDefault="0014798C">
      <w:pPr>
        <w:pStyle w:val="Textoindependiente"/>
        <w:spacing w:before="86"/>
      </w:pPr>
    </w:p>
    <w:p w14:paraId="39694A87" w14:textId="77777777" w:rsidR="0014798C" w:rsidRDefault="004E1F0B">
      <w:pPr>
        <w:pStyle w:val="Textoindependiente"/>
        <w:spacing w:before="1" w:line="326" w:lineRule="auto"/>
        <w:ind w:left="1103" w:right="1272" w:firstLine="5"/>
      </w:pPr>
      <w:r>
        <w:rPr>
          <w:w w:val="105"/>
        </w:rPr>
        <w:t>Además de la aplicación de sanciones efectivas, proporcionadas y disuasorias para los perpetradores y la provisión de una reparación</w:t>
      </w:r>
      <w:r>
        <w:rPr>
          <w:spacing w:val="-8"/>
          <w:w w:val="105"/>
        </w:rPr>
        <w:t xml:space="preserve"> </w:t>
      </w:r>
      <w:r>
        <w:rPr>
          <w:w w:val="105"/>
        </w:rPr>
        <w:t>adecuada</w:t>
      </w:r>
      <w:r>
        <w:rPr>
          <w:spacing w:val="-8"/>
          <w:w w:val="105"/>
        </w:rPr>
        <w:t xml:space="preserve"> </w:t>
      </w:r>
      <w:r>
        <w:rPr>
          <w:w w:val="105"/>
        </w:rPr>
        <w:t>y</w:t>
      </w:r>
      <w:r>
        <w:rPr>
          <w:spacing w:val="-8"/>
          <w:w w:val="105"/>
        </w:rPr>
        <w:t xml:space="preserve"> </w:t>
      </w:r>
      <w:r>
        <w:rPr>
          <w:w w:val="105"/>
        </w:rPr>
        <w:t>apropiada</w:t>
      </w:r>
      <w:r>
        <w:rPr>
          <w:spacing w:val="-8"/>
          <w:w w:val="105"/>
        </w:rPr>
        <w:t xml:space="preserve"> </w:t>
      </w:r>
      <w:r>
        <w:rPr>
          <w:w w:val="105"/>
        </w:rPr>
        <w:t>para</w:t>
      </w:r>
      <w:r>
        <w:rPr>
          <w:spacing w:val="-8"/>
          <w:w w:val="105"/>
        </w:rPr>
        <w:t xml:space="preserve"> </w:t>
      </w:r>
      <w:r>
        <w:rPr>
          <w:w w:val="105"/>
        </w:rPr>
        <w:t>la</w:t>
      </w:r>
      <w:r>
        <w:rPr>
          <w:spacing w:val="-8"/>
          <w:w w:val="105"/>
        </w:rPr>
        <w:t xml:space="preserve"> </w:t>
      </w:r>
      <w:r>
        <w:rPr>
          <w:w w:val="105"/>
        </w:rPr>
        <w:t>víctima</w:t>
      </w:r>
      <w:r>
        <w:rPr>
          <w:spacing w:val="-8"/>
          <w:w w:val="105"/>
        </w:rPr>
        <w:t xml:space="preserve"> </w:t>
      </w:r>
      <w:r>
        <w:rPr>
          <w:w w:val="105"/>
        </w:rPr>
        <w:t>individual</w:t>
      </w:r>
      <w:r>
        <w:rPr>
          <w:spacing w:val="-8"/>
          <w:w w:val="105"/>
        </w:rPr>
        <w:t xml:space="preserve"> </w:t>
      </w:r>
      <w:r>
        <w:rPr>
          <w:w w:val="105"/>
        </w:rPr>
        <w:t>de</w:t>
      </w:r>
      <w:r>
        <w:rPr>
          <w:spacing w:val="-8"/>
          <w:w w:val="105"/>
        </w:rPr>
        <w:t xml:space="preserve"> </w:t>
      </w:r>
      <w:r>
        <w:rPr>
          <w:w w:val="105"/>
        </w:rPr>
        <w:t>la</w:t>
      </w:r>
      <w:r>
        <w:rPr>
          <w:spacing w:val="-8"/>
          <w:w w:val="105"/>
        </w:rPr>
        <w:t xml:space="preserve"> </w:t>
      </w:r>
      <w:r>
        <w:rPr>
          <w:w w:val="105"/>
        </w:rPr>
        <w:t>discriminación,</w:t>
      </w:r>
      <w:r>
        <w:rPr>
          <w:spacing w:val="-6"/>
          <w:w w:val="105"/>
        </w:rPr>
        <w:t xml:space="preserve"> </w:t>
      </w:r>
      <w:r>
        <w:rPr>
          <w:w w:val="105"/>
        </w:rPr>
        <w:t>un</w:t>
      </w:r>
      <w:r>
        <w:rPr>
          <w:spacing w:val="-8"/>
          <w:w w:val="105"/>
        </w:rPr>
        <w:t xml:space="preserve"> </w:t>
      </w:r>
      <w:r>
        <w:rPr>
          <w:w w:val="105"/>
        </w:rPr>
        <w:t>remedio</w:t>
      </w:r>
      <w:r>
        <w:rPr>
          <w:spacing w:val="-8"/>
          <w:w w:val="105"/>
        </w:rPr>
        <w:t xml:space="preserve"> </w:t>
      </w:r>
      <w:r>
        <w:rPr>
          <w:w w:val="105"/>
        </w:rPr>
        <w:t>efectivo</w:t>
      </w:r>
      <w:r>
        <w:rPr>
          <w:spacing w:val="-8"/>
          <w:w w:val="105"/>
        </w:rPr>
        <w:t xml:space="preserve"> </w:t>
      </w:r>
      <w:r>
        <w:rPr>
          <w:w w:val="105"/>
        </w:rPr>
        <w:t>puede</w:t>
      </w:r>
      <w:r>
        <w:rPr>
          <w:spacing w:val="-8"/>
          <w:w w:val="105"/>
        </w:rPr>
        <w:t xml:space="preserve"> </w:t>
      </w:r>
      <w:r>
        <w:rPr>
          <w:w w:val="105"/>
        </w:rPr>
        <w:t>requerir</w:t>
      </w:r>
      <w:r>
        <w:rPr>
          <w:spacing w:val="-8"/>
          <w:w w:val="105"/>
        </w:rPr>
        <w:t xml:space="preserve"> </w:t>
      </w:r>
      <w:r>
        <w:rPr>
          <w:w w:val="105"/>
        </w:rPr>
        <w:t xml:space="preserve">medidas que aborden los impactos sociales e institucionales más amplios de la discriminación. Tales remedios – descritos como “progresistas” o transformadores por algunos autores – “indican el compromiso de abordar los efectos generalizados de la </w:t>
      </w:r>
      <w:r>
        <w:rPr>
          <w:spacing w:val="-2"/>
          <w:w w:val="105"/>
        </w:rPr>
        <w:t>discriminación”615.</w:t>
      </w:r>
    </w:p>
    <w:p w14:paraId="175CE667" w14:textId="77777777" w:rsidR="0014798C" w:rsidRDefault="004E1F0B">
      <w:pPr>
        <w:pStyle w:val="Textoindependiente"/>
        <w:spacing w:before="167" w:line="326" w:lineRule="auto"/>
        <w:ind w:left="1107" w:right="1272" w:hanging="1"/>
      </w:pPr>
      <w:r>
        <w:rPr>
          <w:w w:val="105"/>
        </w:rPr>
        <w:t>El</w:t>
      </w:r>
      <w:r>
        <w:rPr>
          <w:spacing w:val="-1"/>
          <w:w w:val="105"/>
        </w:rPr>
        <w:t xml:space="preserve"> </w:t>
      </w:r>
      <w:r>
        <w:rPr>
          <w:w w:val="105"/>
        </w:rPr>
        <w:t>Comité</w:t>
      </w:r>
      <w:r>
        <w:rPr>
          <w:spacing w:val="-1"/>
          <w:w w:val="105"/>
        </w:rPr>
        <w:t xml:space="preserve"> </w:t>
      </w:r>
      <w:r>
        <w:rPr>
          <w:w w:val="105"/>
        </w:rPr>
        <w:t>de</w:t>
      </w:r>
      <w:r>
        <w:rPr>
          <w:spacing w:val="-1"/>
          <w:w w:val="105"/>
        </w:rPr>
        <w:t xml:space="preserve"> </w:t>
      </w:r>
      <w:r>
        <w:rPr>
          <w:w w:val="105"/>
        </w:rPr>
        <w:t>Derechos</w:t>
      </w:r>
      <w:r>
        <w:rPr>
          <w:spacing w:val="-1"/>
          <w:w w:val="105"/>
        </w:rPr>
        <w:t xml:space="preserve"> </w:t>
      </w:r>
      <w:r>
        <w:rPr>
          <w:w w:val="105"/>
        </w:rPr>
        <w:t>Humanos</w:t>
      </w:r>
      <w:r>
        <w:rPr>
          <w:spacing w:val="-1"/>
          <w:w w:val="105"/>
        </w:rPr>
        <w:t xml:space="preserve"> </w:t>
      </w:r>
      <w:r>
        <w:rPr>
          <w:w w:val="105"/>
        </w:rPr>
        <w:t>ha</w:t>
      </w:r>
      <w:r>
        <w:rPr>
          <w:spacing w:val="-1"/>
          <w:w w:val="105"/>
        </w:rPr>
        <w:t xml:space="preserve"> </w:t>
      </w:r>
      <w:r>
        <w:rPr>
          <w:w w:val="105"/>
        </w:rPr>
        <w:t>observado</w:t>
      </w:r>
      <w:r>
        <w:rPr>
          <w:spacing w:val="-1"/>
          <w:w w:val="105"/>
        </w:rPr>
        <w:t xml:space="preserve"> </w:t>
      </w:r>
      <w:r>
        <w:rPr>
          <w:w w:val="105"/>
        </w:rPr>
        <w:t>que</w:t>
      </w:r>
      <w:r>
        <w:rPr>
          <w:spacing w:val="-1"/>
          <w:w w:val="105"/>
        </w:rPr>
        <w:t xml:space="preserve"> </w:t>
      </w:r>
      <w:r>
        <w:rPr>
          <w:w w:val="105"/>
        </w:rPr>
        <w:t>la</w:t>
      </w:r>
      <w:r>
        <w:rPr>
          <w:spacing w:val="-1"/>
          <w:w w:val="105"/>
        </w:rPr>
        <w:t xml:space="preserve"> </w:t>
      </w:r>
      <w:r>
        <w:rPr>
          <w:w w:val="105"/>
        </w:rPr>
        <w:t>reparación</w:t>
      </w:r>
      <w:r>
        <w:rPr>
          <w:spacing w:val="-1"/>
          <w:w w:val="105"/>
        </w:rPr>
        <w:t xml:space="preserve"> </w:t>
      </w:r>
      <w:r>
        <w:rPr>
          <w:w w:val="105"/>
        </w:rPr>
        <w:t>prevista</w:t>
      </w:r>
      <w:r>
        <w:rPr>
          <w:spacing w:val="-1"/>
          <w:w w:val="105"/>
        </w:rPr>
        <w:t xml:space="preserve"> </w:t>
      </w:r>
      <w:r>
        <w:rPr>
          <w:w w:val="105"/>
        </w:rPr>
        <w:t>en</w:t>
      </w:r>
      <w:r>
        <w:rPr>
          <w:spacing w:val="-1"/>
          <w:w w:val="105"/>
        </w:rPr>
        <w:t xml:space="preserve"> </w:t>
      </w:r>
      <w:r>
        <w:rPr>
          <w:w w:val="105"/>
        </w:rPr>
        <w:t>el</w:t>
      </w:r>
      <w:r>
        <w:rPr>
          <w:spacing w:val="-1"/>
          <w:w w:val="105"/>
        </w:rPr>
        <w:t xml:space="preserve"> </w:t>
      </w:r>
      <w:r>
        <w:rPr>
          <w:w w:val="105"/>
        </w:rPr>
        <w:t>artículo</w:t>
      </w:r>
      <w:r>
        <w:rPr>
          <w:spacing w:val="-1"/>
          <w:w w:val="105"/>
        </w:rPr>
        <w:t xml:space="preserve"> </w:t>
      </w:r>
      <w:r>
        <w:rPr>
          <w:w w:val="105"/>
        </w:rPr>
        <w:t>2</w:t>
      </w:r>
      <w:r>
        <w:rPr>
          <w:spacing w:val="-1"/>
          <w:w w:val="105"/>
        </w:rPr>
        <w:t xml:space="preserve"> </w:t>
      </w:r>
      <w:r>
        <w:rPr>
          <w:w w:val="105"/>
        </w:rPr>
        <w:t>(3)</w:t>
      </w:r>
      <w:r>
        <w:rPr>
          <w:spacing w:val="-1"/>
          <w:w w:val="105"/>
        </w:rPr>
        <w:t xml:space="preserve"> </w:t>
      </w:r>
      <w:r>
        <w:rPr>
          <w:w w:val="105"/>
        </w:rPr>
        <w:t>del</w:t>
      </w:r>
      <w:r>
        <w:rPr>
          <w:spacing w:val="-1"/>
          <w:w w:val="105"/>
        </w:rPr>
        <w:t xml:space="preserve"> </w:t>
      </w:r>
      <w:r>
        <w:rPr>
          <w:w w:val="105"/>
        </w:rPr>
        <w:t>Pacto</w:t>
      </w:r>
      <w:r>
        <w:rPr>
          <w:spacing w:val="-1"/>
          <w:w w:val="105"/>
        </w:rPr>
        <w:t xml:space="preserve"> </w:t>
      </w:r>
      <w:r>
        <w:rPr>
          <w:w w:val="105"/>
        </w:rPr>
        <w:t>Internacional</w:t>
      </w:r>
      <w:r>
        <w:rPr>
          <w:spacing w:val="-1"/>
          <w:w w:val="105"/>
        </w:rPr>
        <w:t xml:space="preserve"> </w:t>
      </w:r>
      <w:r>
        <w:rPr>
          <w:w w:val="105"/>
        </w:rPr>
        <w:t>de Derechos</w:t>
      </w:r>
      <w:r>
        <w:rPr>
          <w:spacing w:val="-6"/>
          <w:w w:val="105"/>
        </w:rPr>
        <w:t xml:space="preserve"> </w:t>
      </w:r>
      <w:r>
        <w:rPr>
          <w:w w:val="105"/>
        </w:rPr>
        <w:t>Civiles</w:t>
      </w:r>
      <w:r>
        <w:rPr>
          <w:spacing w:val="-6"/>
          <w:w w:val="105"/>
        </w:rPr>
        <w:t xml:space="preserve"> </w:t>
      </w:r>
      <w:r>
        <w:rPr>
          <w:w w:val="105"/>
        </w:rPr>
        <w:t>y</w:t>
      </w:r>
      <w:r>
        <w:rPr>
          <w:spacing w:val="-6"/>
          <w:w w:val="105"/>
        </w:rPr>
        <w:t xml:space="preserve"> </w:t>
      </w:r>
      <w:r>
        <w:rPr>
          <w:w w:val="105"/>
        </w:rPr>
        <w:t>Políticos</w:t>
      </w:r>
      <w:r>
        <w:rPr>
          <w:spacing w:val="-6"/>
          <w:w w:val="105"/>
        </w:rPr>
        <w:t xml:space="preserve"> </w:t>
      </w:r>
      <w:r>
        <w:rPr>
          <w:w w:val="105"/>
        </w:rPr>
        <w:t>incluye</w:t>
      </w:r>
      <w:r>
        <w:rPr>
          <w:spacing w:val="-6"/>
          <w:w w:val="105"/>
        </w:rPr>
        <w:t xml:space="preserve"> </w:t>
      </w:r>
      <w:r>
        <w:rPr>
          <w:w w:val="105"/>
        </w:rPr>
        <w:t>“medidas</w:t>
      </w:r>
      <w:r>
        <w:rPr>
          <w:spacing w:val="-6"/>
          <w:w w:val="105"/>
        </w:rPr>
        <w:t xml:space="preserve"> </w:t>
      </w:r>
      <w:r>
        <w:rPr>
          <w:w w:val="105"/>
        </w:rPr>
        <w:t>de</w:t>
      </w:r>
      <w:r>
        <w:rPr>
          <w:spacing w:val="-6"/>
          <w:w w:val="105"/>
        </w:rPr>
        <w:t xml:space="preserve"> </w:t>
      </w:r>
      <w:r>
        <w:rPr>
          <w:w w:val="105"/>
        </w:rPr>
        <w:t>satisfacción,</w:t>
      </w:r>
      <w:r>
        <w:rPr>
          <w:spacing w:val="-5"/>
          <w:w w:val="105"/>
        </w:rPr>
        <w:t xml:space="preserve"> </w:t>
      </w:r>
      <w:r>
        <w:rPr>
          <w:w w:val="105"/>
        </w:rPr>
        <w:t>como</w:t>
      </w:r>
      <w:r>
        <w:rPr>
          <w:spacing w:val="-6"/>
          <w:w w:val="105"/>
        </w:rPr>
        <w:t xml:space="preserve"> </w:t>
      </w:r>
      <w:r>
        <w:rPr>
          <w:w w:val="105"/>
        </w:rPr>
        <w:t>disculpas</w:t>
      </w:r>
      <w:r>
        <w:rPr>
          <w:spacing w:val="-6"/>
          <w:w w:val="105"/>
        </w:rPr>
        <w:t xml:space="preserve"> </w:t>
      </w:r>
      <w:r>
        <w:rPr>
          <w:w w:val="105"/>
        </w:rPr>
        <w:t>públicas,</w:t>
      </w:r>
      <w:r>
        <w:rPr>
          <w:spacing w:val="-5"/>
          <w:w w:val="105"/>
        </w:rPr>
        <w:t xml:space="preserve"> </w:t>
      </w:r>
      <w:r>
        <w:rPr>
          <w:w w:val="105"/>
        </w:rPr>
        <w:t>memoriales</w:t>
      </w:r>
      <w:r>
        <w:rPr>
          <w:spacing w:val="-6"/>
          <w:w w:val="105"/>
        </w:rPr>
        <w:t xml:space="preserve"> </w:t>
      </w:r>
      <w:r>
        <w:rPr>
          <w:w w:val="105"/>
        </w:rPr>
        <w:t>públicos,</w:t>
      </w:r>
      <w:r>
        <w:rPr>
          <w:spacing w:val="-5"/>
          <w:w w:val="105"/>
        </w:rPr>
        <w:t xml:space="preserve"> </w:t>
      </w:r>
      <w:r>
        <w:rPr>
          <w:w w:val="105"/>
        </w:rPr>
        <w:t>garantías</w:t>
      </w:r>
      <w:r>
        <w:rPr>
          <w:spacing w:val="-6"/>
          <w:w w:val="105"/>
        </w:rPr>
        <w:t xml:space="preserve"> </w:t>
      </w:r>
      <w:r>
        <w:rPr>
          <w:w w:val="105"/>
        </w:rPr>
        <w:t>de</w:t>
      </w:r>
      <w:r>
        <w:rPr>
          <w:spacing w:val="-6"/>
          <w:w w:val="105"/>
        </w:rPr>
        <w:t xml:space="preserve"> </w:t>
      </w:r>
      <w:r>
        <w:rPr>
          <w:w w:val="105"/>
        </w:rPr>
        <w:t>no repetición</w:t>
      </w:r>
      <w:r>
        <w:rPr>
          <w:spacing w:val="-7"/>
          <w:w w:val="105"/>
        </w:rPr>
        <w:t xml:space="preserve"> </w:t>
      </w:r>
      <w:r>
        <w:rPr>
          <w:w w:val="105"/>
        </w:rPr>
        <w:t>y</w:t>
      </w:r>
      <w:r>
        <w:rPr>
          <w:spacing w:val="-7"/>
          <w:w w:val="105"/>
        </w:rPr>
        <w:t xml:space="preserve"> </w:t>
      </w:r>
      <w:r>
        <w:rPr>
          <w:w w:val="105"/>
        </w:rPr>
        <w:t>cambios</w:t>
      </w:r>
      <w:r>
        <w:rPr>
          <w:spacing w:val="-7"/>
          <w:w w:val="105"/>
        </w:rPr>
        <w:t xml:space="preserve"> </w:t>
      </w:r>
      <w:r>
        <w:rPr>
          <w:w w:val="105"/>
        </w:rPr>
        <w:t>en</w:t>
      </w:r>
      <w:r>
        <w:rPr>
          <w:spacing w:val="-7"/>
          <w:w w:val="105"/>
        </w:rPr>
        <w:t xml:space="preserve"> </w:t>
      </w:r>
      <w:r>
        <w:rPr>
          <w:w w:val="105"/>
        </w:rPr>
        <w:t>las</w:t>
      </w:r>
      <w:r>
        <w:rPr>
          <w:spacing w:val="-7"/>
          <w:w w:val="105"/>
        </w:rPr>
        <w:t xml:space="preserve"> </w:t>
      </w:r>
      <w:r>
        <w:rPr>
          <w:w w:val="105"/>
        </w:rPr>
        <w:t>leyes</w:t>
      </w:r>
      <w:r>
        <w:rPr>
          <w:spacing w:val="-7"/>
          <w:w w:val="105"/>
        </w:rPr>
        <w:t xml:space="preserve"> </w:t>
      </w:r>
      <w:r>
        <w:rPr>
          <w:w w:val="105"/>
        </w:rPr>
        <w:t>y</w:t>
      </w:r>
      <w:r>
        <w:rPr>
          <w:spacing w:val="-7"/>
          <w:w w:val="105"/>
        </w:rPr>
        <w:t xml:space="preserve"> </w:t>
      </w:r>
      <w:r>
        <w:rPr>
          <w:w w:val="105"/>
        </w:rPr>
        <w:t>prácticas</w:t>
      </w:r>
      <w:r>
        <w:rPr>
          <w:spacing w:val="-7"/>
          <w:w w:val="105"/>
        </w:rPr>
        <w:t xml:space="preserve"> </w:t>
      </w:r>
      <w:r>
        <w:rPr>
          <w:w w:val="105"/>
        </w:rPr>
        <w:t>pertinentes”.</w:t>
      </w:r>
      <w:r>
        <w:rPr>
          <w:spacing w:val="-7"/>
          <w:w w:val="105"/>
        </w:rPr>
        <w:t xml:space="preserve"> </w:t>
      </w:r>
      <w:r>
        <w:rPr>
          <w:w w:val="105"/>
        </w:rPr>
        <w:t>,</w:t>
      </w:r>
      <w:r>
        <w:rPr>
          <w:spacing w:val="-6"/>
          <w:w w:val="105"/>
        </w:rPr>
        <w:t xml:space="preserve"> </w:t>
      </w:r>
      <w:r>
        <w:rPr>
          <w:w w:val="105"/>
        </w:rPr>
        <w:t>señalando</w:t>
      </w:r>
      <w:r>
        <w:rPr>
          <w:spacing w:val="-7"/>
          <w:w w:val="105"/>
        </w:rPr>
        <w:t xml:space="preserve"> </w:t>
      </w:r>
      <w:r>
        <w:rPr>
          <w:w w:val="105"/>
        </w:rPr>
        <w:t>además</w:t>
      </w:r>
      <w:r>
        <w:rPr>
          <w:spacing w:val="-7"/>
          <w:w w:val="105"/>
        </w:rPr>
        <w:t xml:space="preserve"> </w:t>
      </w:r>
      <w:r>
        <w:rPr>
          <w:w w:val="105"/>
        </w:rPr>
        <w:t>que</w:t>
      </w:r>
      <w:r>
        <w:rPr>
          <w:spacing w:val="-7"/>
          <w:w w:val="105"/>
        </w:rPr>
        <w:t xml:space="preserve"> </w:t>
      </w:r>
      <w:r>
        <w:rPr>
          <w:w w:val="105"/>
        </w:rPr>
        <w:t>“los</w:t>
      </w:r>
      <w:r>
        <w:rPr>
          <w:spacing w:val="-7"/>
          <w:w w:val="105"/>
        </w:rPr>
        <w:t xml:space="preserve"> </w:t>
      </w:r>
      <w:r>
        <w:rPr>
          <w:w w:val="105"/>
        </w:rPr>
        <w:t>propósitos</w:t>
      </w:r>
      <w:r>
        <w:rPr>
          <w:spacing w:val="-7"/>
          <w:w w:val="105"/>
        </w:rPr>
        <w:t xml:space="preserve"> </w:t>
      </w:r>
      <w:r>
        <w:rPr>
          <w:w w:val="105"/>
        </w:rPr>
        <w:t>del</w:t>
      </w:r>
      <w:r>
        <w:rPr>
          <w:spacing w:val="-7"/>
          <w:w w:val="105"/>
        </w:rPr>
        <w:t xml:space="preserve"> </w:t>
      </w:r>
      <w:r>
        <w:rPr>
          <w:w w:val="105"/>
        </w:rPr>
        <w:t>Pacto</w:t>
      </w:r>
      <w:r>
        <w:rPr>
          <w:spacing w:val="-7"/>
          <w:w w:val="105"/>
        </w:rPr>
        <w:t xml:space="preserve"> </w:t>
      </w:r>
      <w:r>
        <w:rPr>
          <w:w w:val="105"/>
        </w:rPr>
        <w:t>serían</w:t>
      </w:r>
      <w:r>
        <w:rPr>
          <w:spacing w:val="-7"/>
          <w:w w:val="105"/>
        </w:rPr>
        <w:t xml:space="preserve"> </w:t>
      </w:r>
      <w:r>
        <w:rPr>
          <w:w w:val="105"/>
        </w:rPr>
        <w:t>frustrados sin</w:t>
      </w:r>
      <w:r>
        <w:rPr>
          <w:spacing w:val="-1"/>
          <w:w w:val="105"/>
        </w:rPr>
        <w:t xml:space="preserve"> </w:t>
      </w:r>
      <w:r>
        <w:rPr>
          <w:w w:val="105"/>
        </w:rPr>
        <w:t>la</w:t>
      </w:r>
      <w:r>
        <w:rPr>
          <w:spacing w:val="-1"/>
          <w:w w:val="105"/>
        </w:rPr>
        <w:t xml:space="preserve"> </w:t>
      </w:r>
      <w:r>
        <w:rPr>
          <w:w w:val="105"/>
        </w:rPr>
        <w:t>obligación... de</w:t>
      </w:r>
      <w:r>
        <w:rPr>
          <w:spacing w:val="-1"/>
          <w:w w:val="105"/>
        </w:rPr>
        <w:t xml:space="preserve"> </w:t>
      </w:r>
      <w:r>
        <w:rPr>
          <w:w w:val="105"/>
        </w:rPr>
        <w:t>tomar</w:t>
      </w:r>
      <w:r>
        <w:rPr>
          <w:spacing w:val="-1"/>
          <w:w w:val="105"/>
        </w:rPr>
        <w:t xml:space="preserve"> </w:t>
      </w:r>
      <w:r>
        <w:rPr>
          <w:w w:val="105"/>
        </w:rPr>
        <w:t>medidas</w:t>
      </w:r>
      <w:r>
        <w:rPr>
          <w:spacing w:val="-1"/>
          <w:w w:val="105"/>
        </w:rPr>
        <w:t xml:space="preserve"> </w:t>
      </w:r>
      <w:r>
        <w:rPr>
          <w:w w:val="105"/>
        </w:rPr>
        <w:t>para</w:t>
      </w:r>
      <w:r>
        <w:rPr>
          <w:spacing w:val="-1"/>
          <w:w w:val="105"/>
        </w:rPr>
        <w:t xml:space="preserve"> </w:t>
      </w:r>
      <w:r>
        <w:rPr>
          <w:w w:val="105"/>
        </w:rPr>
        <w:t>impedir</w:t>
      </w:r>
      <w:r>
        <w:rPr>
          <w:spacing w:val="-1"/>
          <w:w w:val="105"/>
        </w:rPr>
        <w:t xml:space="preserve"> </w:t>
      </w:r>
      <w:r>
        <w:rPr>
          <w:w w:val="105"/>
        </w:rPr>
        <w:t>que</w:t>
      </w:r>
      <w:r>
        <w:rPr>
          <w:spacing w:val="-1"/>
          <w:w w:val="105"/>
        </w:rPr>
        <w:t xml:space="preserve"> </w:t>
      </w:r>
      <w:r>
        <w:rPr>
          <w:w w:val="105"/>
        </w:rPr>
        <w:t>se</w:t>
      </w:r>
      <w:r>
        <w:rPr>
          <w:spacing w:val="-1"/>
          <w:w w:val="105"/>
        </w:rPr>
        <w:t xml:space="preserve"> </w:t>
      </w:r>
      <w:r>
        <w:rPr>
          <w:w w:val="105"/>
        </w:rPr>
        <w:t>repita</w:t>
      </w:r>
      <w:r>
        <w:rPr>
          <w:spacing w:val="-1"/>
          <w:w w:val="105"/>
        </w:rPr>
        <w:t xml:space="preserve"> </w:t>
      </w:r>
      <w:r>
        <w:rPr>
          <w:w w:val="105"/>
        </w:rPr>
        <w:t>una</w:t>
      </w:r>
      <w:r>
        <w:rPr>
          <w:spacing w:val="-1"/>
          <w:w w:val="105"/>
        </w:rPr>
        <w:t xml:space="preserve"> </w:t>
      </w:r>
      <w:r>
        <w:rPr>
          <w:w w:val="105"/>
        </w:rPr>
        <w:t>violación”.616</w:t>
      </w:r>
      <w:r>
        <w:rPr>
          <w:spacing w:val="-1"/>
          <w:w w:val="105"/>
        </w:rPr>
        <w:t xml:space="preserve"> </w:t>
      </w:r>
      <w:r>
        <w:rPr>
          <w:w w:val="105"/>
        </w:rPr>
        <w:t>El</w:t>
      </w:r>
      <w:r>
        <w:rPr>
          <w:spacing w:val="-1"/>
          <w:w w:val="105"/>
        </w:rPr>
        <w:t xml:space="preserve"> </w:t>
      </w:r>
      <w:r>
        <w:rPr>
          <w:w w:val="105"/>
        </w:rPr>
        <w:t>Comité</w:t>
      </w:r>
      <w:r>
        <w:rPr>
          <w:spacing w:val="-1"/>
          <w:w w:val="105"/>
        </w:rPr>
        <w:t xml:space="preserve"> </w:t>
      </w:r>
      <w:r>
        <w:rPr>
          <w:w w:val="105"/>
        </w:rPr>
        <w:t>de</w:t>
      </w:r>
      <w:r>
        <w:rPr>
          <w:spacing w:val="-1"/>
          <w:w w:val="105"/>
        </w:rPr>
        <w:t xml:space="preserve"> </w:t>
      </w:r>
      <w:r>
        <w:rPr>
          <w:w w:val="105"/>
        </w:rPr>
        <w:t>Derechos</w:t>
      </w:r>
      <w:r>
        <w:rPr>
          <w:spacing w:val="-1"/>
          <w:w w:val="105"/>
        </w:rPr>
        <w:t xml:space="preserve"> </w:t>
      </w:r>
      <w:r>
        <w:rPr>
          <w:w w:val="105"/>
        </w:rPr>
        <w:t>Económicos, Sociales y Culturales ha observado que un recurso efectivo para</w:t>
      </w:r>
    </w:p>
    <w:p w14:paraId="61FFAA39" w14:textId="77777777" w:rsidR="0014798C" w:rsidRDefault="0014798C">
      <w:pPr>
        <w:pStyle w:val="Textoindependiente"/>
        <w:rPr>
          <w:sz w:val="12"/>
        </w:rPr>
      </w:pPr>
    </w:p>
    <w:p w14:paraId="28323E60" w14:textId="77777777" w:rsidR="0014798C" w:rsidRDefault="0014798C">
      <w:pPr>
        <w:pStyle w:val="Textoindependiente"/>
        <w:rPr>
          <w:sz w:val="12"/>
        </w:rPr>
      </w:pPr>
    </w:p>
    <w:p w14:paraId="2A8FB168" w14:textId="77777777" w:rsidR="0014798C" w:rsidRDefault="0014798C">
      <w:pPr>
        <w:pStyle w:val="Textoindependiente"/>
        <w:spacing w:before="94"/>
        <w:rPr>
          <w:sz w:val="12"/>
        </w:rPr>
      </w:pPr>
    </w:p>
    <w:p w14:paraId="6595B606" w14:textId="77777777" w:rsidR="0014798C" w:rsidRDefault="004E1F0B">
      <w:pPr>
        <w:pStyle w:val="Prrafodelista"/>
        <w:numPr>
          <w:ilvl w:val="0"/>
          <w:numId w:val="49"/>
        </w:numPr>
        <w:tabs>
          <w:tab w:val="left" w:pos="1343"/>
        </w:tabs>
        <w:ind w:left="1343" w:hanging="235"/>
        <w:rPr>
          <w:sz w:val="12"/>
        </w:rPr>
      </w:pPr>
      <w:r>
        <w:rPr>
          <w:sz w:val="12"/>
        </w:rPr>
        <w:t>Ley</w:t>
      </w:r>
      <w:r>
        <w:rPr>
          <w:spacing w:val="-1"/>
          <w:sz w:val="12"/>
        </w:rPr>
        <w:t xml:space="preserve"> </w:t>
      </w:r>
      <w:r>
        <w:rPr>
          <w:sz w:val="12"/>
        </w:rPr>
        <w:t>de</w:t>
      </w:r>
      <w:r>
        <w:rPr>
          <w:spacing w:val="-1"/>
          <w:sz w:val="12"/>
        </w:rPr>
        <w:t xml:space="preserve"> </w:t>
      </w:r>
      <w:r>
        <w:rPr>
          <w:sz w:val="12"/>
        </w:rPr>
        <w:t>Igualdad de</w:t>
      </w:r>
      <w:r>
        <w:rPr>
          <w:spacing w:val="-1"/>
          <w:sz w:val="12"/>
        </w:rPr>
        <w:t xml:space="preserve"> </w:t>
      </w:r>
      <w:r>
        <w:rPr>
          <w:sz w:val="12"/>
        </w:rPr>
        <w:t>Género, BE</w:t>
      </w:r>
      <w:r>
        <w:rPr>
          <w:spacing w:val="-1"/>
          <w:sz w:val="12"/>
        </w:rPr>
        <w:t xml:space="preserve"> </w:t>
      </w:r>
      <w:r>
        <w:rPr>
          <w:sz w:val="12"/>
        </w:rPr>
        <w:t>2558 (2015),</w:t>
      </w:r>
      <w:r>
        <w:rPr>
          <w:spacing w:val="-1"/>
          <w:sz w:val="12"/>
        </w:rPr>
        <w:t xml:space="preserve"> </w:t>
      </w:r>
      <w:r>
        <w:rPr>
          <w:sz w:val="12"/>
        </w:rPr>
        <w:t xml:space="preserve">art. </w:t>
      </w:r>
      <w:r>
        <w:rPr>
          <w:spacing w:val="-5"/>
          <w:sz w:val="12"/>
        </w:rPr>
        <w:t>26.</w:t>
      </w:r>
    </w:p>
    <w:p w14:paraId="3B74FCD1" w14:textId="77777777" w:rsidR="0014798C" w:rsidRDefault="004E1F0B">
      <w:pPr>
        <w:pStyle w:val="Prrafodelista"/>
        <w:numPr>
          <w:ilvl w:val="0"/>
          <w:numId w:val="49"/>
        </w:numPr>
        <w:tabs>
          <w:tab w:val="left" w:pos="1343"/>
        </w:tabs>
        <w:spacing w:before="98"/>
        <w:ind w:left="1343" w:hanging="235"/>
        <w:rPr>
          <w:sz w:val="12"/>
        </w:rPr>
      </w:pPr>
      <w:r>
        <w:rPr>
          <w:sz w:val="12"/>
        </w:rPr>
        <w:t>Principios</w:t>
      </w:r>
      <w:r>
        <w:rPr>
          <w:spacing w:val="1"/>
          <w:sz w:val="12"/>
        </w:rPr>
        <w:t xml:space="preserve"> </w:t>
      </w:r>
      <w:r>
        <w:rPr>
          <w:sz w:val="12"/>
        </w:rPr>
        <w:t>y</w:t>
      </w:r>
      <w:r>
        <w:rPr>
          <w:spacing w:val="2"/>
          <w:sz w:val="12"/>
        </w:rPr>
        <w:t xml:space="preserve"> </w:t>
      </w:r>
      <w:r>
        <w:rPr>
          <w:sz w:val="12"/>
        </w:rPr>
        <w:t>directrices</w:t>
      </w:r>
      <w:r>
        <w:rPr>
          <w:spacing w:val="2"/>
          <w:sz w:val="12"/>
        </w:rPr>
        <w:t xml:space="preserve"> </w:t>
      </w:r>
      <w:r>
        <w:rPr>
          <w:sz w:val="12"/>
        </w:rPr>
        <w:t>básicos</w:t>
      </w:r>
      <w:r>
        <w:rPr>
          <w:spacing w:val="1"/>
          <w:sz w:val="12"/>
        </w:rPr>
        <w:t xml:space="preserve"> </w:t>
      </w:r>
      <w:r>
        <w:rPr>
          <w:sz w:val="12"/>
        </w:rPr>
        <w:t>sobre</w:t>
      </w:r>
      <w:r>
        <w:rPr>
          <w:spacing w:val="2"/>
          <w:sz w:val="12"/>
        </w:rPr>
        <w:t xml:space="preserve"> </w:t>
      </w:r>
      <w:r>
        <w:rPr>
          <w:sz w:val="12"/>
        </w:rPr>
        <w:t>el</w:t>
      </w:r>
      <w:r>
        <w:rPr>
          <w:spacing w:val="2"/>
          <w:sz w:val="12"/>
        </w:rPr>
        <w:t xml:space="preserve"> </w:t>
      </w:r>
      <w:r>
        <w:rPr>
          <w:sz w:val="12"/>
        </w:rPr>
        <w:t>derecho</w:t>
      </w:r>
      <w:r>
        <w:rPr>
          <w:spacing w:val="2"/>
          <w:sz w:val="12"/>
        </w:rPr>
        <w:t xml:space="preserve"> </w:t>
      </w:r>
      <w:r>
        <w:rPr>
          <w:sz w:val="12"/>
        </w:rPr>
        <w:t>a</w:t>
      </w:r>
      <w:r>
        <w:rPr>
          <w:spacing w:val="1"/>
          <w:sz w:val="12"/>
        </w:rPr>
        <w:t xml:space="preserve"> </w:t>
      </w:r>
      <w:r>
        <w:rPr>
          <w:sz w:val="12"/>
        </w:rPr>
        <w:t>un</w:t>
      </w:r>
      <w:r>
        <w:rPr>
          <w:spacing w:val="2"/>
          <w:sz w:val="12"/>
        </w:rPr>
        <w:t xml:space="preserve"> </w:t>
      </w:r>
      <w:r>
        <w:rPr>
          <w:sz w:val="12"/>
        </w:rPr>
        <w:t>recurso</w:t>
      </w:r>
      <w:r>
        <w:rPr>
          <w:spacing w:val="2"/>
          <w:sz w:val="12"/>
        </w:rPr>
        <w:t xml:space="preserve"> </w:t>
      </w:r>
      <w:r>
        <w:rPr>
          <w:sz w:val="12"/>
        </w:rPr>
        <w:t>y</w:t>
      </w:r>
      <w:r>
        <w:rPr>
          <w:spacing w:val="2"/>
          <w:sz w:val="12"/>
        </w:rPr>
        <w:t xml:space="preserve"> </w:t>
      </w:r>
      <w:r>
        <w:rPr>
          <w:sz w:val="12"/>
        </w:rPr>
        <w:t>reparación</w:t>
      </w:r>
      <w:r>
        <w:rPr>
          <w:spacing w:val="1"/>
          <w:sz w:val="12"/>
        </w:rPr>
        <w:t xml:space="preserve"> </w:t>
      </w:r>
      <w:r>
        <w:rPr>
          <w:sz w:val="12"/>
        </w:rPr>
        <w:t>para</w:t>
      </w:r>
      <w:r>
        <w:rPr>
          <w:spacing w:val="2"/>
          <w:sz w:val="12"/>
        </w:rPr>
        <w:t xml:space="preserve"> </w:t>
      </w:r>
      <w:r>
        <w:rPr>
          <w:sz w:val="12"/>
        </w:rPr>
        <w:t>las</w:t>
      </w:r>
      <w:r>
        <w:rPr>
          <w:spacing w:val="2"/>
          <w:sz w:val="12"/>
        </w:rPr>
        <w:t xml:space="preserve"> </w:t>
      </w:r>
      <w:r>
        <w:rPr>
          <w:sz w:val="12"/>
        </w:rPr>
        <w:t>víctimas</w:t>
      </w:r>
      <w:r>
        <w:rPr>
          <w:spacing w:val="2"/>
          <w:sz w:val="12"/>
        </w:rPr>
        <w:t xml:space="preserve"> </w:t>
      </w:r>
      <w:r>
        <w:rPr>
          <w:sz w:val="12"/>
        </w:rPr>
        <w:t>de</w:t>
      </w:r>
      <w:r>
        <w:rPr>
          <w:spacing w:val="1"/>
          <w:sz w:val="12"/>
        </w:rPr>
        <w:t xml:space="preserve"> </w:t>
      </w:r>
      <w:r>
        <w:rPr>
          <w:sz w:val="12"/>
        </w:rPr>
        <w:t>violaciones</w:t>
      </w:r>
      <w:r>
        <w:rPr>
          <w:spacing w:val="2"/>
          <w:sz w:val="12"/>
        </w:rPr>
        <w:t xml:space="preserve"> </w:t>
      </w:r>
      <w:r>
        <w:rPr>
          <w:sz w:val="12"/>
        </w:rPr>
        <w:t>manifiestas</w:t>
      </w:r>
      <w:r>
        <w:rPr>
          <w:spacing w:val="2"/>
          <w:sz w:val="12"/>
        </w:rPr>
        <w:t xml:space="preserve"> </w:t>
      </w:r>
      <w:r>
        <w:rPr>
          <w:sz w:val="12"/>
        </w:rPr>
        <w:t>de</w:t>
      </w:r>
      <w:r>
        <w:rPr>
          <w:spacing w:val="2"/>
          <w:sz w:val="12"/>
        </w:rPr>
        <w:t xml:space="preserve"> </w:t>
      </w:r>
      <w:r>
        <w:rPr>
          <w:sz w:val="12"/>
        </w:rPr>
        <w:t>los</w:t>
      </w:r>
      <w:r>
        <w:rPr>
          <w:spacing w:val="1"/>
          <w:sz w:val="12"/>
        </w:rPr>
        <w:t xml:space="preserve"> </w:t>
      </w:r>
      <w:r>
        <w:rPr>
          <w:sz w:val="12"/>
        </w:rPr>
        <w:t>derechos</w:t>
      </w:r>
      <w:r>
        <w:rPr>
          <w:spacing w:val="2"/>
          <w:sz w:val="12"/>
        </w:rPr>
        <w:t xml:space="preserve"> </w:t>
      </w:r>
      <w:r>
        <w:rPr>
          <w:sz w:val="12"/>
        </w:rPr>
        <w:t>humanos</w:t>
      </w:r>
      <w:r>
        <w:rPr>
          <w:spacing w:val="2"/>
          <w:sz w:val="12"/>
        </w:rPr>
        <w:t xml:space="preserve"> </w:t>
      </w:r>
      <w:r>
        <w:rPr>
          <w:spacing w:val="-2"/>
          <w:sz w:val="12"/>
        </w:rPr>
        <w:t>internacionales</w:t>
      </w:r>
    </w:p>
    <w:p w14:paraId="1213A257" w14:textId="77777777" w:rsidR="0014798C" w:rsidRDefault="004E1F0B">
      <w:pPr>
        <w:spacing w:before="40"/>
        <w:ind w:left="1368"/>
        <w:rPr>
          <w:sz w:val="12"/>
        </w:rPr>
      </w:pPr>
      <w:r>
        <w:rPr>
          <w:w w:val="105"/>
          <w:sz w:val="12"/>
        </w:rPr>
        <w:t>Derecho</w:t>
      </w:r>
      <w:r>
        <w:rPr>
          <w:spacing w:val="-1"/>
          <w:w w:val="105"/>
          <w:sz w:val="12"/>
        </w:rPr>
        <w:t xml:space="preserve"> </w:t>
      </w:r>
      <w:r>
        <w:rPr>
          <w:w w:val="105"/>
          <w:sz w:val="12"/>
        </w:rPr>
        <w:t>y violaciones</w:t>
      </w:r>
      <w:r>
        <w:rPr>
          <w:spacing w:val="-1"/>
          <w:w w:val="105"/>
          <w:sz w:val="12"/>
        </w:rPr>
        <w:t xml:space="preserve"> </w:t>
      </w:r>
      <w:r>
        <w:rPr>
          <w:w w:val="105"/>
          <w:sz w:val="12"/>
        </w:rPr>
        <w:t>graves</w:t>
      </w:r>
      <w:r>
        <w:rPr>
          <w:spacing w:val="-1"/>
          <w:w w:val="105"/>
          <w:sz w:val="12"/>
        </w:rPr>
        <w:t xml:space="preserve"> </w:t>
      </w:r>
      <w:r>
        <w:rPr>
          <w:w w:val="105"/>
          <w:sz w:val="12"/>
        </w:rPr>
        <w:t>del derecho internacional</w:t>
      </w:r>
      <w:r>
        <w:rPr>
          <w:spacing w:val="-1"/>
          <w:w w:val="105"/>
          <w:sz w:val="12"/>
        </w:rPr>
        <w:t xml:space="preserve"> </w:t>
      </w:r>
      <w:r>
        <w:rPr>
          <w:w w:val="105"/>
          <w:sz w:val="12"/>
        </w:rPr>
        <w:t xml:space="preserve">humanitario, párr. </w:t>
      </w:r>
      <w:r>
        <w:rPr>
          <w:spacing w:val="-5"/>
          <w:w w:val="105"/>
          <w:sz w:val="12"/>
        </w:rPr>
        <w:t>19.</w:t>
      </w:r>
    </w:p>
    <w:p w14:paraId="164790DD" w14:textId="77777777" w:rsidR="0014798C" w:rsidRDefault="004E1F0B">
      <w:pPr>
        <w:pStyle w:val="Prrafodelista"/>
        <w:numPr>
          <w:ilvl w:val="0"/>
          <w:numId w:val="49"/>
        </w:numPr>
        <w:tabs>
          <w:tab w:val="left" w:pos="1343"/>
        </w:tabs>
        <w:spacing w:before="101"/>
        <w:ind w:left="1343" w:hanging="235"/>
        <w:rPr>
          <w:sz w:val="12"/>
        </w:rPr>
      </w:pPr>
      <w:r>
        <w:rPr>
          <w:sz w:val="12"/>
        </w:rPr>
        <w:t>Comité</w:t>
      </w:r>
      <w:r>
        <w:rPr>
          <w:spacing w:val="-1"/>
          <w:sz w:val="12"/>
        </w:rPr>
        <w:t xml:space="preserve"> </w:t>
      </w:r>
      <w:r>
        <w:rPr>
          <w:sz w:val="12"/>
        </w:rPr>
        <w:t>de</w:t>
      </w:r>
      <w:r>
        <w:rPr>
          <w:spacing w:val="-1"/>
          <w:sz w:val="12"/>
        </w:rPr>
        <w:t xml:space="preserve"> </w:t>
      </w:r>
      <w:r>
        <w:rPr>
          <w:sz w:val="12"/>
        </w:rPr>
        <w:t>Derechos Humanos, observación</w:t>
      </w:r>
      <w:r>
        <w:rPr>
          <w:spacing w:val="-1"/>
          <w:sz w:val="12"/>
        </w:rPr>
        <w:t xml:space="preserve"> </w:t>
      </w:r>
      <w:r>
        <w:rPr>
          <w:sz w:val="12"/>
        </w:rPr>
        <w:t>general núm.</w:t>
      </w:r>
      <w:r>
        <w:rPr>
          <w:spacing w:val="-1"/>
          <w:sz w:val="12"/>
        </w:rPr>
        <w:t xml:space="preserve"> </w:t>
      </w:r>
      <w:r>
        <w:rPr>
          <w:sz w:val="12"/>
        </w:rPr>
        <w:t>31</w:t>
      </w:r>
      <w:r>
        <w:rPr>
          <w:spacing w:val="-1"/>
          <w:sz w:val="12"/>
        </w:rPr>
        <w:t xml:space="preserve"> </w:t>
      </w:r>
      <w:r>
        <w:rPr>
          <w:sz w:val="12"/>
        </w:rPr>
        <w:t>(2004), párr.</w:t>
      </w:r>
      <w:r>
        <w:rPr>
          <w:spacing w:val="-1"/>
          <w:sz w:val="12"/>
        </w:rPr>
        <w:t xml:space="preserve"> </w:t>
      </w:r>
      <w:r>
        <w:rPr>
          <w:spacing w:val="-2"/>
          <w:sz w:val="12"/>
        </w:rPr>
        <w:t>dieciséis.</w:t>
      </w:r>
    </w:p>
    <w:p w14:paraId="528D3D09" w14:textId="77777777" w:rsidR="0014798C" w:rsidRDefault="004E1F0B">
      <w:pPr>
        <w:pStyle w:val="Prrafodelista"/>
        <w:numPr>
          <w:ilvl w:val="0"/>
          <w:numId w:val="49"/>
        </w:numPr>
        <w:tabs>
          <w:tab w:val="left" w:pos="1343"/>
        </w:tabs>
        <w:spacing w:before="98"/>
        <w:ind w:left="1343" w:hanging="235"/>
        <w:rPr>
          <w:sz w:val="12"/>
        </w:rPr>
      </w:pPr>
      <w:r>
        <w:rPr>
          <w:sz w:val="12"/>
        </w:rPr>
        <w:t>Comité</w:t>
      </w:r>
      <w:r>
        <w:rPr>
          <w:spacing w:val="-1"/>
          <w:sz w:val="12"/>
        </w:rPr>
        <w:t xml:space="preserve"> </w:t>
      </w:r>
      <w:r>
        <w:rPr>
          <w:sz w:val="12"/>
        </w:rPr>
        <w:t>de</w:t>
      </w:r>
      <w:r>
        <w:rPr>
          <w:spacing w:val="-1"/>
          <w:sz w:val="12"/>
        </w:rPr>
        <w:t xml:space="preserve"> </w:t>
      </w:r>
      <w:r>
        <w:rPr>
          <w:sz w:val="12"/>
        </w:rPr>
        <w:t>Derechos Económicos, Sociales y</w:t>
      </w:r>
      <w:r>
        <w:rPr>
          <w:spacing w:val="-1"/>
          <w:sz w:val="12"/>
        </w:rPr>
        <w:t xml:space="preserve"> </w:t>
      </w:r>
      <w:r>
        <w:rPr>
          <w:sz w:val="12"/>
        </w:rPr>
        <w:t>Culturales,</w:t>
      </w:r>
      <w:r>
        <w:rPr>
          <w:spacing w:val="1"/>
          <w:sz w:val="12"/>
        </w:rPr>
        <w:t xml:space="preserve"> </w:t>
      </w:r>
      <w:r>
        <w:rPr>
          <w:sz w:val="12"/>
        </w:rPr>
        <w:t>observación</w:t>
      </w:r>
      <w:r>
        <w:rPr>
          <w:spacing w:val="-1"/>
          <w:sz w:val="12"/>
        </w:rPr>
        <w:t xml:space="preserve"> </w:t>
      </w:r>
      <w:r>
        <w:rPr>
          <w:sz w:val="12"/>
        </w:rPr>
        <w:t>general</w:t>
      </w:r>
      <w:r>
        <w:rPr>
          <w:spacing w:val="-1"/>
          <w:sz w:val="12"/>
        </w:rPr>
        <w:t xml:space="preserve"> </w:t>
      </w:r>
      <w:r>
        <w:rPr>
          <w:sz w:val="12"/>
        </w:rPr>
        <w:t>núm. 20</w:t>
      </w:r>
      <w:r>
        <w:rPr>
          <w:spacing w:val="-1"/>
          <w:sz w:val="12"/>
        </w:rPr>
        <w:t xml:space="preserve"> </w:t>
      </w:r>
      <w:r>
        <w:rPr>
          <w:sz w:val="12"/>
        </w:rPr>
        <w:t>(2009), párr.</w:t>
      </w:r>
      <w:r>
        <w:rPr>
          <w:spacing w:val="-1"/>
          <w:sz w:val="12"/>
        </w:rPr>
        <w:t xml:space="preserve"> </w:t>
      </w:r>
      <w:r>
        <w:rPr>
          <w:spacing w:val="-5"/>
          <w:sz w:val="12"/>
        </w:rPr>
        <w:t>40.</w:t>
      </w:r>
    </w:p>
    <w:p w14:paraId="0F6B5871" w14:textId="77777777" w:rsidR="0014798C" w:rsidRDefault="004E1F0B">
      <w:pPr>
        <w:pStyle w:val="Prrafodelista"/>
        <w:numPr>
          <w:ilvl w:val="0"/>
          <w:numId w:val="49"/>
        </w:numPr>
        <w:tabs>
          <w:tab w:val="left" w:pos="1354"/>
        </w:tabs>
        <w:spacing w:before="96"/>
        <w:ind w:left="1354"/>
        <w:rPr>
          <w:sz w:val="12"/>
        </w:rPr>
      </w:pPr>
      <w:r>
        <w:rPr>
          <w:w w:val="105"/>
          <w:sz w:val="12"/>
        </w:rPr>
        <w:t>Comité</w:t>
      </w:r>
      <w:r>
        <w:rPr>
          <w:spacing w:val="-3"/>
          <w:w w:val="105"/>
          <w:sz w:val="12"/>
        </w:rPr>
        <w:t xml:space="preserve"> </w:t>
      </w:r>
      <w:r>
        <w:rPr>
          <w:w w:val="105"/>
          <w:sz w:val="12"/>
        </w:rPr>
        <w:t>para</w:t>
      </w:r>
      <w:r>
        <w:rPr>
          <w:spacing w:val="-1"/>
          <w:w w:val="105"/>
          <w:sz w:val="12"/>
        </w:rPr>
        <w:t xml:space="preserve"> </w:t>
      </w:r>
      <w:r>
        <w:rPr>
          <w:w w:val="105"/>
          <w:sz w:val="12"/>
        </w:rPr>
        <w:t>la</w:t>
      </w:r>
      <w:r>
        <w:rPr>
          <w:spacing w:val="-1"/>
          <w:w w:val="105"/>
          <w:sz w:val="12"/>
        </w:rPr>
        <w:t xml:space="preserve"> </w:t>
      </w:r>
      <w:r>
        <w:rPr>
          <w:w w:val="105"/>
          <w:sz w:val="12"/>
        </w:rPr>
        <w:t>Eliminación</w:t>
      </w:r>
      <w:r>
        <w:rPr>
          <w:spacing w:val="-2"/>
          <w:w w:val="105"/>
          <w:sz w:val="12"/>
        </w:rPr>
        <w:t xml:space="preserve"> </w:t>
      </w:r>
      <w:r>
        <w:rPr>
          <w:w w:val="105"/>
          <w:sz w:val="12"/>
        </w:rPr>
        <w:t>de</w:t>
      </w:r>
      <w:r>
        <w:rPr>
          <w:spacing w:val="-1"/>
          <w:w w:val="105"/>
          <w:sz w:val="12"/>
        </w:rPr>
        <w:t xml:space="preserve"> </w:t>
      </w:r>
      <w:r>
        <w:rPr>
          <w:w w:val="105"/>
          <w:sz w:val="12"/>
        </w:rPr>
        <w:t>la</w:t>
      </w:r>
      <w:r>
        <w:rPr>
          <w:spacing w:val="-1"/>
          <w:w w:val="105"/>
          <w:sz w:val="12"/>
        </w:rPr>
        <w:t xml:space="preserve"> </w:t>
      </w:r>
      <w:r>
        <w:rPr>
          <w:w w:val="105"/>
          <w:sz w:val="12"/>
        </w:rPr>
        <w:t>Discriminación</w:t>
      </w:r>
      <w:r>
        <w:rPr>
          <w:spacing w:val="-1"/>
          <w:w w:val="105"/>
          <w:sz w:val="12"/>
        </w:rPr>
        <w:t xml:space="preserve"> </w:t>
      </w:r>
      <w:r>
        <w:rPr>
          <w:w w:val="105"/>
          <w:sz w:val="12"/>
        </w:rPr>
        <w:t>Racial,</w:t>
      </w:r>
      <w:r>
        <w:rPr>
          <w:spacing w:val="-1"/>
          <w:w w:val="105"/>
          <w:sz w:val="12"/>
        </w:rPr>
        <w:t xml:space="preserve"> </w:t>
      </w:r>
      <w:r>
        <w:rPr>
          <w:w w:val="105"/>
          <w:sz w:val="12"/>
        </w:rPr>
        <w:t>LR</w:t>
      </w:r>
      <w:r>
        <w:rPr>
          <w:spacing w:val="-2"/>
          <w:w w:val="105"/>
          <w:sz w:val="12"/>
        </w:rPr>
        <w:t xml:space="preserve"> </w:t>
      </w:r>
      <w:r>
        <w:rPr>
          <w:w w:val="105"/>
          <w:sz w:val="12"/>
        </w:rPr>
        <w:t>et</w:t>
      </w:r>
      <w:r>
        <w:rPr>
          <w:spacing w:val="-1"/>
          <w:w w:val="105"/>
          <w:sz w:val="12"/>
        </w:rPr>
        <w:t xml:space="preserve"> </w:t>
      </w:r>
      <w:r>
        <w:rPr>
          <w:w w:val="105"/>
          <w:sz w:val="12"/>
        </w:rPr>
        <w:t>al.</w:t>
      </w:r>
      <w:r>
        <w:rPr>
          <w:spacing w:val="-1"/>
          <w:w w:val="105"/>
          <w:sz w:val="12"/>
        </w:rPr>
        <w:t xml:space="preserve"> </w:t>
      </w:r>
      <w:r>
        <w:rPr>
          <w:w w:val="105"/>
          <w:sz w:val="12"/>
        </w:rPr>
        <w:t>c.</w:t>
      </w:r>
      <w:r>
        <w:rPr>
          <w:spacing w:val="-1"/>
          <w:w w:val="105"/>
          <w:sz w:val="12"/>
        </w:rPr>
        <w:t xml:space="preserve"> </w:t>
      </w:r>
      <w:r>
        <w:rPr>
          <w:w w:val="105"/>
          <w:sz w:val="12"/>
        </w:rPr>
        <w:t>República</w:t>
      </w:r>
      <w:r>
        <w:rPr>
          <w:spacing w:val="-1"/>
          <w:w w:val="105"/>
          <w:sz w:val="12"/>
        </w:rPr>
        <w:t xml:space="preserve"> </w:t>
      </w:r>
      <w:r>
        <w:rPr>
          <w:w w:val="105"/>
          <w:sz w:val="12"/>
        </w:rPr>
        <w:t>Eslovaca</w:t>
      </w:r>
      <w:r>
        <w:rPr>
          <w:spacing w:val="-2"/>
          <w:w w:val="105"/>
          <w:sz w:val="12"/>
        </w:rPr>
        <w:t xml:space="preserve"> </w:t>
      </w:r>
      <w:r>
        <w:rPr>
          <w:w w:val="105"/>
          <w:sz w:val="12"/>
        </w:rPr>
        <w:t>(CERD/C/66/D/31/2003),</w:t>
      </w:r>
      <w:r>
        <w:rPr>
          <w:spacing w:val="-1"/>
          <w:w w:val="105"/>
          <w:sz w:val="12"/>
        </w:rPr>
        <w:t xml:space="preserve"> </w:t>
      </w:r>
      <w:r>
        <w:rPr>
          <w:w w:val="105"/>
          <w:sz w:val="12"/>
        </w:rPr>
        <w:t>párr.</w:t>
      </w:r>
      <w:r>
        <w:rPr>
          <w:spacing w:val="-1"/>
          <w:w w:val="105"/>
          <w:sz w:val="12"/>
        </w:rPr>
        <w:t xml:space="preserve"> </w:t>
      </w:r>
      <w:r>
        <w:rPr>
          <w:spacing w:val="-5"/>
          <w:w w:val="105"/>
          <w:sz w:val="12"/>
        </w:rPr>
        <w:t>12.</w:t>
      </w:r>
    </w:p>
    <w:p w14:paraId="242C962F" w14:textId="77777777" w:rsidR="0014798C" w:rsidRDefault="004E1F0B">
      <w:pPr>
        <w:pStyle w:val="Prrafodelista"/>
        <w:numPr>
          <w:ilvl w:val="0"/>
          <w:numId w:val="49"/>
        </w:numPr>
        <w:tabs>
          <w:tab w:val="left" w:pos="1343"/>
        </w:tabs>
        <w:spacing w:before="101"/>
        <w:ind w:left="1343" w:hanging="235"/>
        <w:rPr>
          <w:sz w:val="12"/>
        </w:rPr>
      </w:pPr>
      <w:r>
        <w:rPr>
          <w:sz w:val="12"/>
        </w:rPr>
        <w:t>Comité</w:t>
      </w:r>
      <w:r>
        <w:rPr>
          <w:spacing w:val="-2"/>
          <w:sz w:val="12"/>
        </w:rPr>
        <w:t xml:space="preserve"> </w:t>
      </w:r>
      <w:r>
        <w:rPr>
          <w:sz w:val="12"/>
        </w:rPr>
        <w:t>para</w:t>
      </w:r>
      <w:r>
        <w:rPr>
          <w:spacing w:val="-1"/>
          <w:sz w:val="12"/>
        </w:rPr>
        <w:t xml:space="preserve"> </w:t>
      </w:r>
      <w:r>
        <w:rPr>
          <w:sz w:val="12"/>
        </w:rPr>
        <w:t>la</w:t>
      </w:r>
      <w:r>
        <w:rPr>
          <w:spacing w:val="-2"/>
          <w:sz w:val="12"/>
        </w:rPr>
        <w:t xml:space="preserve"> </w:t>
      </w:r>
      <w:r>
        <w:rPr>
          <w:sz w:val="12"/>
        </w:rPr>
        <w:t>Eliminación</w:t>
      </w:r>
      <w:r>
        <w:rPr>
          <w:spacing w:val="-1"/>
          <w:sz w:val="12"/>
        </w:rPr>
        <w:t xml:space="preserve"> </w:t>
      </w:r>
      <w:r>
        <w:rPr>
          <w:sz w:val="12"/>
        </w:rPr>
        <w:t>de</w:t>
      </w:r>
      <w:r>
        <w:rPr>
          <w:spacing w:val="-2"/>
          <w:sz w:val="12"/>
        </w:rPr>
        <w:t xml:space="preserve"> </w:t>
      </w:r>
      <w:r>
        <w:rPr>
          <w:sz w:val="12"/>
        </w:rPr>
        <w:t>la</w:t>
      </w:r>
      <w:r>
        <w:rPr>
          <w:spacing w:val="-1"/>
          <w:sz w:val="12"/>
        </w:rPr>
        <w:t xml:space="preserve"> </w:t>
      </w:r>
      <w:r>
        <w:rPr>
          <w:sz w:val="12"/>
        </w:rPr>
        <w:t>Discriminación</w:t>
      </w:r>
      <w:r>
        <w:rPr>
          <w:spacing w:val="-2"/>
          <w:sz w:val="12"/>
        </w:rPr>
        <w:t xml:space="preserve"> </w:t>
      </w:r>
      <w:r>
        <w:rPr>
          <w:sz w:val="12"/>
        </w:rPr>
        <w:t>contra</w:t>
      </w:r>
      <w:r>
        <w:rPr>
          <w:spacing w:val="-1"/>
          <w:sz w:val="12"/>
        </w:rPr>
        <w:t xml:space="preserve"> </w:t>
      </w:r>
      <w:r>
        <w:rPr>
          <w:sz w:val="12"/>
        </w:rPr>
        <w:t>la</w:t>
      </w:r>
      <w:r>
        <w:rPr>
          <w:spacing w:val="-2"/>
          <w:sz w:val="12"/>
        </w:rPr>
        <w:t xml:space="preserve"> </w:t>
      </w:r>
      <w:r>
        <w:rPr>
          <w:sz w:val="12"/>
        </w:rPr>
        <w:t>Mujer,</w:t>
      </w:r>
      <w:r>
        <w:rPr>
          <w:spacing w:val="-1"/>
          <w:sz w:val="12"/>
        </w:rPr>
        <w:t xml:space="preserve"> </w:t>
      </w:r>
      <w:r>
        <w:rPr>
          <w:sz w:val="12"/>
        </w:rPr>
        <w:t>recomendación</w:t>
      </w:r>
      <w:r>
        <w:rPr>
          <w:spacing w:val="-2"/>
          <w:sz w:val="12"/>
        </w:rPr>
        <w:t xml:space="preserve"> </w:t>
      </w:r>
      <w:r>
        <w:rPr>
          <w:sz w:val="12"/>
        </w:rPr>
        <w:t>general</w:t>
      </w:r>
      <w:r>
        <w:rPr>
          <w:spacing w:val="-1"/>
          <w:sz w:val="12"/>
        </w:rPr>
        <w:t xml:space="preserve"> </w:t>
      </w:r>
      <w:r>
        <w:rPr>
          <w:sz w:val="12"/>
        </w:rPr>
        <w:t>núm.</w:t>
      </w:r>
      <w:r>
        <w:rPr>
          <w:spacing w:val="-2"/>
          <w:sz w:val="12"/>
        </w:rPr>
        <w:t xml:space="preserve"> </w:t>
      </w:r>
      <w:r>
        <w:rPr>
          <w:sz w:val="12"/>
        </w:rPr>
        <w:t>28</w:t>
      </w:r>
      <w:r>
        <w:rPr>
          <w:spacing w:val="-1"/>
          <w:sz w:val="12"/>
        </w:rPr>
        <w:t xml:space="preserve"> </w:t>
      </w:r>
      <w:r>
        <w:rPr>
          <w:sz w:val="12"/>
        </w:rPr>
        <w:t>(2010),</w:t>
      </w:r>
      <w:r>
        <w:rPr>
          <w:spacing w:val="-2"/>
          <w:sz w:val="12"/>
        </w:rPr>
        <w:t xml:space="preserve"> </w:t>
      </w:r>
      <w:r>
        <w:rPr>
          <w:sz w:val="12"/>
        </w:rPr>
        <w:t>párr.</w:t>
      </w:r>
      <w:r>
        <w:rPr>
          <w:spacing w:val="-1"/>
          <w:sz w:val="12"/>
        </w:rPr>
        <w:t xml:space="preserve"> </w:t>
      </w:r>
      <w:r>
        <w:rPr>
          <w:spacing w:val="-5"/>
          <w:sz w:val="12"/>
        </w:rPr>
        <w:t>32.</w:t>
      </w:r>
    </w:p>
    <w:p w14:paraId="5D8A4637" w14:textId="77777777" w:rsidR="0014798C" w:rsidRDefault="0014798C">
      <w:pPr>
        <w:rPr>
          <w:sz w:val="12"/>
        </w:rPr>
        <w:sectPr w:rsidR="0014798C" w:rsidSect="00F265E4">
          <w:pgSz w:w="11900" w:h="16820"/>
          <w:pgMar w:top="340" w:right="0" w:bottom="280" w:left="200" w:header="121" w:footer="0" w:gutter="0"/>
          <w:cols w:space="720"/>
        </w:sectPr>
      </w:pPr>
    </w:p>
    <w:p w14:paraId="1CB48E37" w14:textId="77777777" w:rsidR="0014798C" w:rsidRDefault="004E1F0B">
      <w:pPr>
        <w:spacing w:before="53"/>
        <w:jc w:val="right"/>
        <w:rPr>
          <w:sz w:val="8"/>
        </w:rPr>
      </w:pPr>
      <w:r>
        <w:rPr>
          <w:spacing w:val="-5"/>
          <w:w w:val="105"/>
          <w:sz w:val="8"/>
        </w:rPr>
        <w:t>613</w:t>
      </w:r>
    </w:p>
    <w:p w14:paraId="55C08C7A" w14:textId="77777777" w:rsidR="0014798C" w:rsidRDefault="004E1F0B">
      <w:pPr>
        <w:spacing w:before="96"/>
        <w:ind w:left="81"/>
        <w:rPr>
          <w:sz w:val="12"/>
        </w:rPr>
      </w:pPr>
      <w:r>
        <w:br w:type="column"/>
      </w:r>
      <w:r>
        <w:rPr>
          <w:w w:val="105"/>
          <w:sz w:val="12"/>
        </w:rPr>
        <w:t>Véase, por</w:t>
      </w:r>
      <w:r>
        <w:rPr>
          <w:spacing w:val="1"/>
          <w:w w:val="105"/>
          <w:sz w:val="12"/>
        </w:rPr>
        <w:t xml:space="preserve"> </w:t>
      </w:r>
      <w:r>
        <w:rPr>
          <w:w w:val="105"/>
          <w:sz w:val="12"/>
        </w:rPr>
        <w:t>ejemplo, Thomas</w:t>
      </w:r>
      <w:r>
        <w:rPr>
          <w:spacing w:val="-1"/>
          <w:w w:val="105"/>
          <w:sz w:val="12"/>
        </w:rPr>
        <w:t xml:space="preserve"> </w:t>
      </w:r>
      <w:r>
        <w:rPr>
          <w:w w:val="105"/>
          <w:sz w:val="12"/>
        </w:rPr>
        <w:t>M.</w:t>
      </w:r>
      <w:r>
        <w:rPr>
          <w:spacing w:val="1"/>
          <w:w w:val="105"/>
          <w:sz w:val="12"/>
        </w:rPr>
        <w:t xml:space="preserve"> </w:t>
      </w:r>
      <w:proofErr w:type="spellStart"/>
      <w:r>
        <w:rPr>
          <w:w w:val="105"/>
          <w:sz w:val="12"/>
        </w:rPr>
        <w:t>Antkowiak</w:t>
      </w:r>
      <w:proofErr w:type="spellEnd"/>
      <w:r>
        <w:rPr>
          <w:w w:val="105"/>
          <w:sz w:val="12"/>
        </w:rPr>
        <w:t>, “Un</w:t>
      </w:r>
      <w:r>
        <w:rPr>
          <w:spacing w:val="1"/>
          <w:w w:val="105"/>
          <w:sz w:val="12"/>
        </w:rPr>
        <w:t xml:space="preserve"> </w:t>
      </w:r>
      <w:r>
        <w:rPr>
          <w:w w:val="105"/>
          <w:sz w:val="12"/>
        </w:rPr>
        <w:t>mandato</w:t>
      </w:r>
      <w:r>
        <w:rPr>
          <w:spacing w:val="-1"/>
          <w:w w:val="105"/>
          <w:sz w:val="12"/>
        </w:rPr>
        <w:t xml:space="preserve"> </w:t>
      </w:r>
      <w:r>
        <w:rPr>
          <w:w w:val="105"/>
          <w:sz w:val="12"/>
        </w:rPr>
        <w:t>emergente para los</w:t>
      </w:r>
      <w:r>
        <w:rPr>
          <w:spacing w:val="1"/>
          <w:w w:val="105"/>
          <w:sz w:val="12"/>
        </w:rPr>
        <w:t xml:space="preserve"> </w:t>
      </w:r>
      <w:r>
        <w:rPr>
          <w:w w:val="105"/>
          <w:sz w:val="12"/>
        </w:rPr>
        <w:t>tribunales</w:t>
      </w:r>
      <w:r>
        <w:rPr>
          <w:spacing w:val="-1"/>
          <w:w w:val="105"/>
          <w:sz w:val="12"/>
        </w:rPr>
        <w:t xml:space="preserve"> </w:t>
      </w:r>
      <w:r>
        <w:rPr>
          <w:spacing w:val="-2"/>
          <w:w w:val="105"/>
          <w:sz w:val="12"/>
        </w:rPr>
        <w:t>internacionales”.</w:t>
      </w:r>
    </w:p>
    <w:p w14:paraId="56D9FC83" w14:textId="77777777" w:rsidR="0014798C" w:rsidRDefault="0014798C">
      <w:pPr>
        <w:rPr>
          <w:sz w:val="12"/>
        </w:rPr>
        <w:sectPr w:rsidR="0014798C" w:rsidSect="00F265E4">
          <w:type w:val="continuous"/>
          <w:pgSz w:w="11900" w:h="16820"/>
          <w:pgMar w:top="40" w:right="0" w:bottom="280" w:left="200" w:header="121" w:footer="0" w:gutter="0"/>
          <w:cols w:num="2" w:space="720" w:equalWidth="0">
            <w:col w:w="1249" w:space="40"/>
            <w:col w:w="10411"/>
          </w:cols>
        </w:sectPr>
      </w:pPr>
    </w:p>
    <w:p w14:paraId="03B8FF6A" w14:textId="77777777" w:rsidR="0014798C" w:rsidRDefault="004E1F0B">
      <w:pPr>
        <w:spacing w:before="98"/>
        <w:ind w:left="1108"/>
        <w:rPr>
          <w:sz w:val="12"/>
        </w:rPr>
      </w:pPr>
      <w:r w:rsidRPr="00537489">
        <w:rPr>
          <w:w w:val="105"/>
          <w:sz w:val="12"/>
          <w:lang w:val="en-US"/>
        </w:rPr>
        <w:t>614</w:t>
      </w:r>
      <w:r w:rsidRPr="00537489">
        <w:rPr>
          <w:spacing w:val="-1"/>
          <w:w w:val="105"/>
          <w:sz w:val="12"/>
          <w:lang w:val="en-US"/>
        </w:rPr>
        <w:t xml:space="preserve"> </w:t>
      </w:r>
      <w:r w:rsidRPr="00537489">
        <w:rPr>
          <w:w w:val="105"/>
          <w:sz w:val="12"/>
          <w:lang w:val="en-US"/>
        </w:rPr>
        <w:t>Shelton, Remedies</w:t>
      </w:r>
      <w:r w:rsidRPr="00537489">
        <w:rPr>
          <w:spacing w:val="-1"/>
          <w:w w:val="105"/>
          <w:sz w:val="12"/>
          <w:lang w:val="en-US"/>
        </w:rPr>
        <w:t xml:space="preserve"> </w:t>
      </w:r>
      <w:r w:rsidRPr="00537489">
        <w:rPr>
          <w:w w:val="105"/>
          <w:sz w:val="12"/>
          <w:lang w:val="en-US"/>
        </w:rPr>
        <w:t>in</w:t>
      </w:r>
      <w:r w:rsidRPr="00537489">
        <w:rPr>
          <w:spacing w:val="-1"/>
          <w:w w:val="105"/>
          <w:sz w:val="12"/>
          <w:lang w:val="en-US"/>
        </w:rPr>
        <w:t xml:space="preserve"> </w:t>
      </w:r>
      <w:r w:rsidRPr="00537489">
        <w:rPr>
          <w:w w:val="105"/>
          <w:sz w:val="12"/>
          <w:lang w:val="en-US"/>
        </w:rPr>
        <w:t>International</w:t>
      </w:r>
      <w:r w:rsidRPr="00537489">
        <w:rPr>
          <w:spacing w:val="-1"/>
          <w:w w:val="105"/>
          <w:sz w:val="12"/>
          <w:lang w:val="en-US"/>
        </w:rPr>
        <w:t xml:space="preserve"> </w:t>
      </w:r>
      <w:r w:rsidRPr="00537489">
        <w:rPr>
          <w:w w:val="105"/>
          <w:sz w:val="12"/>
          <w:lang w:val="en-US"/>
        </w:rPr>
        <w:t>Human Rights</w:t>
      </w:r>
      <w:r w:rsidRPr="00537489">
        <w:rPr>
          <w:spacing w:val="-1"/>
          <w:w w:val="105"/>
          <w:sz w:val="12"/>
          <w:lang w:val="en-US"/>
        </w:rPr>
        <w:t xml:space="preserve"> </w:t>
      </w:r>
      <w:r w:rsidRPr="00537489">
        <w:rPr>
          <w:w w:val="105"/>
          <w:sz w:val="12"/>
          <w:lang w:val="en-US"/>
        </w:rPr>
        <w:t>Law,</w:t>
      </w:r>
      <w:r w:rsidRPr="00537489">
        <w:rPr>
          <w:spacing w:val="-1"/>
          <w:w w:val="105"/>
          <w:sz w:val="12"/>
          <w:lang w:val="en-US"/>
        </w:rPr>
        <w:t xml:space="preserve"> </w:t>
      </w:r>
      <w:r w:rsidRPr="00537489">
        <w:rPr>
          <w:w w:val="105"/>
          <w:sz w:val="12"/>
          <w:lang w:val="en-US"/>
        </w:rPr>
        <w:t xml:space="preserve">cap. </w:t>
      </w:r>
      <w:r>
        <w:rPr>
          <w:w w:val="105"/>
          <w:sz w:val="12"/>
        </w:rPr>
        <w:t>Yo, especialmente</w:t>
      </w:r>
      <w:r>
        <w:rPr>
          <w:spacing w:val="-1"/>
          <w:w w:val="105"/>
          <w:sz w:val="12"/>
        </w:rPr>
        <w:t xml:space="preserve"> </w:t>
      </w:r>
      <w:r>
        <w:rPr>
          <w:w w:val="105"/>
          <w:sz w:val="12"/>
        </w:rPr>
        <w:t>págs. 22-</w:t>
      </w:r>
      <w:r>
        <w:rPr>
          <w:spacing w:val="-5"/>
          <w:w w:val="105"/>
          <w:sz w:val="12"/>
        </w:rPr>
        <w:t>27.</w:t>
      </w:r>
    </w:p>
    <w:p w14:paraId="6B2B4678" w14:textId="77777777" w:rsidR="0014798C" w:rsidRDefault="004E1F0B">
      <w:pPr>
        <w:spacing w:before="101"/>
        <w:ind w:left="1108"/>
        <w:rPr>
          <w:sz w:val="12"/>
        </w:rPr>
      </w:pPr>
      <w:r>
        <w:rPr>
          <w:sz w:val="12"/>
        </w:rPr>
        <w:t>615</w:t>
      </w:r>
      <w:r>
        <w:rPr>
          <w:spacing w:val="-1"/>
          <w:sz w:val="12"/>
        </w:rPr>
        <w:t xml:space="preserve"> </w:t>
      </w:r>
      <w:proofErr w:type="spellStart"/>
      <w:r>
        <w:rPr>
          <w:sz w:val="12"/>
        </w:rPr>
        <w:t>Iordache</w:t>
      </w:r>
      <w:proofErr w:type="spellEnd"/>
      <w:r>
        <w:rPr>
          <w:spacing w:val="-1"/>
          <w:sz w:val="12"/>
        </w:rPr>
        <w:t xml:space="preserve"> </w:t>
      </w:r>
      <w:r>
        <w:rPr>
          <w:sz w:val="12"/>
        </w:rPr>
        <w:t>e</w:t>
      </w:r>
      <w:r>
        <w:rPr>
          <w:spacing w:val="-1"/>
          <w:sz w:val="12"/>
        </w:rPr>
        <w:t xml:space="preserve"> </w:t>
      </w:r>
      <w:proofErr w:type="spellStart"/>
      <w:r>
        <w:rPr>
          <w:sz w:val="12"/>
        </w:rPr>
        <w:t>Ionescu</w:t>
      </w:r>
      <w:proofErr w:type="spellEnd"/>
      <w:r>
        <w:rPr>
          <w:sz w:val="12"/>
        </w:rPr>
        <w:t>,</w:t>
      </w:r>
      <w:r>
        <w:rPr>
          <w:spacing w:val="-1"/>
          <w:sz w:val="12"/>
        </w:rPr>
        <w:t xml:space="preserve"> </w:t>
      </w:r>
      <w:r>
        <w:rPr>
          <w:sz w:val="12"/>
        </w:rPr>
        <w:t>“La</w:t>
      </w:r>
      <w:r>
        <w:rPr>
          <w:spacing w:val="-1"/>
          <w:sz w:val="12"/>
        </w:rPr>
        <w:t xml:space="preserve"> </w:t>
      </w:r>
      <w:r>
        <w:rPr>
          <w:sz w:val="12"/>
        </w:rPr>
        <w:t>discriminación</w:t>
      </w:r>
      <w:r>
        <w:rPr>
          <w:spacing w:val="-1"/>
          <w:sz w:val="12"/>
        </w:rPr>
        <w:t xml:space="preserve"> </w:t>
      </w:r>
      <w:r>
        <w:rPr>
          <w:sz w:val="12"/>
        </w:rPr>
        <w:t>y</w:t>
      </w:r>
      <w:r>
        <w:rPr>
          <w:spacing w:val="-1"/>
          <w:sz w:val="12"/>
        </w:rPr>
        <w:t xml:space="preserve"> </w:t>
      </w:r>
      <w:r>
        <w:rPr>
          <w:sz w:val="12"/>
        </w:rPr>
        <w:t>sus</w:t>
      </w:r>
      <w:r>
        <w:rPr>
          <w:spacing w:val="-1"/>
          <w:sz w:val="12"/>
        </w:rPr>
        <w:t xml:space="preserve"> </w:t>
      </w:r>
      <w:r>
        <w:rPr>
          <w:sz w:val="12"/>
        </w:rPr>
        <w:t>sanciones”, págs.</w:t>
      </w:r>
      <w:r>
        <w:rPr>
          <w:spacing w:val="-1"/>
          <w:sz w:val="12"/>
        </w:rPr>
        <w:t xml:space="preserve"> </w:t>
      </w:r>
      <w:r>
        <w:rPr>
          <w:sz w:val="12"/>
        </w:rPr>
        <w:t>18</w:t>
      </w:r>
      <w:r>
        <w:rPr>
          <w:spacing w:val="-1"/>
          <w:sz w:val="12"/>
        </w:rPr>
        <w:t xml:space="preserve"> </w:t>
      </w:r>
      <w:r>
        <w:rPr>
          <w:sz w:val="12"/>
        </w:rPr>
        <w:t>y</w:t>
      </w:r>
      <w:r>
        <w:rPr>
          <w:spacing w:val="-1"/>
          <w:sz w:val="12"/>
        </w:rPr>
        <w:t xml:space="preserve"> </w:t>
      </w:r>
      <w:r>
        <w:rPr>
          <w:spacing w:val="-5"/>
          <w:sz w:val="12"/>
        </w:rPr>
        <w:t>19.</w:t>
      </w:r>
    </w:p>
    <w:p w14:paraId="763B55F0" w14:textId="77777777" w:rsidR="0014798C" w:rsidRDefault="004E1F0B">
      <w:pPr>
        <w:spacing w:before="99"/>
        <w:ind w:left="1108"/>
        <w:rPr>
          <w:sz w:val="12"/>
        </w:rPr>
      </w:pPr>
      <w:r>
        <w:rPr>
          <w:sz w:val="12"/>
        </w:rPr>
        <w:t>616</w:t>
      </w:r>
      <w:r>
        <w:rPr>
          <w:spacing w:val="-1"/>
          <w:sz w:val="12"/>
        </w:rPr>
        <w:t xml:space="preserve"> </w:t>
      </w:r>
      <w:r>
        <w:rPr>
          <w:sz w:val="12"/>
        </w:rPr>
        <w:t>Comité</w:t>
      </w:r>
      <w:r>
        <w:rPr>
          <w:spacing w:val="-1"/>
          <w:sz w:val="12"/>
        </w:rPr>
        <w:t xml:space="preserve"> </w:t>
      </w:r>
      <w:r>
        <w:rPr>
          <w:sz w:val="12"/>
        </w:rPr>
        <w:t>de Derechos</w:t>
      </w:r>
      <w:r>
        <w:rPr>
          <w:spacing w:val="-1"/>
          <w:sz w:val="12"/>
        </w:rPr>
        <w:t xml:space="preserve"> </w:t>
      </w:r>
      <w:r>
        <w:rPr>
          <w:sz w:val="12"/>
        </w:rPr>
        <w:t>Humanos, observación general</w:t>
      </w:r>
      <w:r>
        <w:rPr>
          <w:spacing w:val="-1"/>
          <w:sz w:val="12"/>
        </w:rPr>
        <w:t xml:space="preserve"> </w:t>
      </w:r>
      <w:r>
        <w:rPr>
          <w:sz w:val="12"/>
        </w:rPr>
        <w:t>núm.</w:t>
      </w:r>
      <w:r>
        <w:rPr>
          <w:spacing w:val="-1"/>
          <w:sz w:val="12"/>
        </w:rPr>
        <w:t xml:space="preserve"> </w:t>
      </w:r>
      <w:r>
        <w:rPr>
          <w:sz w:val="12"/>
        </w:rPr>
        <w:t>31 (2004),</w:t>
      </w:r>
      <w:r>
        <w:rPr>
          <w:spacing w:val="-1"/>
          <w:sz w:val="12"/>
        </w:rPr>
        <w:t xml:space="preserve"> </w:t>
      </w:r>
      <w:proofErr w:type="spellStart"/>
      <w:r>
        <w:rPr>
          <w:sz w:val="12"/>
        </w:rPr>
        <w:t>párrs</w:t>
      </w:r>
      <w:proofErr w:type="spellEnd"/>
      <w:r>
        <w:rPr>
          <w:sz w:val="12"/>
        </w:rPr>
        <w:t xml:space="preserve">. </w:t>
      </w:r>
      <w:r>
        <w:rPr>
          <w:spacing w:val="-2"/>
          <w:sz w:val="12"/>
        </w:rPr>
        <w:t>16–17.</w:t>
      </w:r>
    </w:p>
    <w:p w14:paraId="5D5CCB33" w14:textId="77777777" w:rsidR="0014798C" w:rsidRDefault="0014798C">
      <w:pPr>
        <w:pStyle w:val="Textoindependiente"/>
      </w:pPr>
    </w:p>
    <w:p w14:paraId="4BEC5CD6" w14:textId="77777777" w:rsidR="0014798C" w:rsidRDefault="0014798C">
      <w:pPr>
        <w:pStyle w:val="Textoindependiente"/>
      </w:pPr>
    </w:p>
    <w:p w14:paraId="45B25A81" w14:textId="77777777" w:rsidR="0014798C" w:rsidRDefault="0014798C">
      <w:pPr>
        <w:pStyle w:val="Textoindependiente"/>
        <w:spacing w:before="107"/>
      </w:pPr>
    </w:p>
    <w:p w14:paraId="6646DBC1" w14:textId="77777777" w:rsidR="0014798C" w:rsidRDefault="004E1F0B">
      <w:pPr>
        <w:pStyle w:val="Textoindependiente"/>
        <w:ind w:right="729"/>
        <w:jc w:val="right"/>
      </w:pPr>
      <w:r>
        <w:rPr>
          <w:spacing w:val="-5"/>
          <w:w w:val="105"/>
        </w:rPr>
        <w:t>81</w:t>
      </w:r>
    </w:p>
    <w:p w14:paraId="47697399" w14:textId="77777777" w:rsidR="0014798C" w:rsidRDefault="0014798C">
      <w:pPr>
        <w:jc w:val="right"/>
        <w:sectPr w:rsidR="0014798C" w:rsidSect="00F265E4">
          <w:type w:val="continuous"/>
          <w:pgSz w:w="11900" w:h="16820"/>
          <w:pgMar w:top="40" w:right="0" w:bottom="280" w:left="200" w:header="121" w:footer="0" w:gutter="0"/>
          <w:cols w:space="720"/>
        </w:sectPr>
      </w:pPr>
    </w:p>
    <w:p w14:paraId="3384916B" w14:textId="77777777" w:rsidR="0014798C" w:rsidRDefault="0014798C">
      <w:pPr>
        <w:pStyle w:val="Textoindependiente"/>
        <w:spacing w:before="85"/>
        <w:rPr>
          <w:sz w:val="12"/>
        </w:rPr>
      </w:pPr>
    </w:p>
    <w:p w14:paraId="7FCB91BB" w14:textId="77777777" w:rsidR="0014798C" w:rsidRDefault="004E1F0B">
      <w:pPr>
        <w:ind w:left="1111"/>
        <w:rPr>
          <w:sz w:val="12"/>
        </w:rPr>
      </w:pPr>
      <w:r>
        <w:rPr>
          <w:color w:val="00AC59"/>
          <w:sz w:val="12"/>
        </w:rPr>
        <w:t>PROTECCIÓN</w:t>
      </w:r>
      <w:r>
        <w:rPr>
          <w:color w:val="00AC59"/>
          <w:spacing w:val="6"/>
          <w:sz w:val="12"/>
        </w:rPr>
        <w:t xml:space="preserve"> </w:t>
      </w:r>
      <w:r>
        <w:rPr>
          <w:color w:val="00AC59"/>
          <w:sz w:val="12"/>
        </w:rPr>
        <w:t>DE</w:t>
      </w:r>
      <w:r>
        <w:rPr>
          <w:color w:val="00AC59"/>
          <w:spacing w:val="7"/>
          <w:sz w:val="12"/>
        </w:rPr>
        <w:t xml:space="preserve"> </w:t>
      </w:r>
      <w:r>
        <w:rPr>
          <w:color w:val="00AC59"/>
          <w:sz w:val="12"/>
        </w:rPr>
        <w:t>LOS</w:t>
      </w:r>
      <w:r>
        <w:rPr>
          <w:color w:val="00AC59"/>
          <w:spacing w:val="8"/>
          <w:sz w:val="12"/>
        </w:rPr>
        <w:t xml:space="preserve"> </w:t>
      </w:r>
      <w:r>
        <w:rPr>
          <w:color w:val="00AC59"/>
          <w:sz w:val="12"/>
        </w:rPr>
        <w:t>DERECHOS</w:t>
      </w:r>
      <w:r>
        <w:rPr>
          <w:color w:val="00AC59"/>
          <w:spacing w:val="8"/>
          <w:sz w:val="12"/>
        </w:rPr>
        <w:t xml:space="preserve"> </w:t>
      </w:r>
      <w:r>
        <w:rPr>
          <w:color w:val="00AC59"/>
          <w:sz w:val="12"/>
        </w:rPr>
        <w:t>DE</w:t>
      </w:r>
      <w:r>
        <w:rPr>
          <w:color w:val="00AC59"/>
          <w:spacing w:val="6"/>
          <w:sz w:val="12"/>
        </w:rPr>
        <w:t xml:space="preserve"> </w:t>
      </w:r>
      <w:r>
        <w:rPr>
          <w:color w:val="00AC59"/>
          <w:sz w:val="12"/>
        </w:rPr>
        <w:t>LAS</w:t>
      </w:r>
      <w:r>
        <w:rPr>
          <w:color w:val="00AC59"/>
          <w:spacing w:val="7"/>
          <w:sz w:val="12"/>
        </w:rPr>
        <w:t xml:space="preserve"> </w:t>
      </w:r>
      <w:r>
        <w:rPr>
          <w:color w:val="00AC59"/>
          <w:sz w:val="12"/>
        </w:rPr>
        <w:t>MINORÍAS:</w:t>
      </w:r>
      <w:r>
        <w:rPr>
          <w:color w:val="00AC59"/>
          <w:spacing w:val="8"/>
          <w:sz w:val="12"/>
        </w:rPr>
        <w:t xml:space="preserve"> </w:t>
      </w:r>
      <w:r>
        <w:rPr>
          <w:color w:val="00AC59"/>
          <w:sz w:val="12"/>
        </w:rPr>
        <w:t>una</w:t>
      </w:r>
      <w:r>
        <w:rPr>
          <w:color w:val="00AC59"/>
          <w:spacing w:val="7"/>
          <w:sz w:val="12"/>
        </w:rPr>
        <w:t xml:space="preserve"> </w:t>
      </w:r>
      <w:r>
        <w:rPr>
          <w:color w:val="00AC59"/>
          <w:sz w:val="12"/>
        </w:rPr>
        <w:t>guía</w:t>
      </w:r>
      <w:r>
        <w:rPr>
          <w:color w:val="00AC59"/>
          <w:spacing w:val="6"/>
          <w:sz w:val="12"/>
        </w:rPr>
        <w:t xml:space="preserve"> </w:t>
      </w:r>
      <w:r>
        <w:rPr>
          <w:color w:val="00AC59"/>
          <w:sz w:val="12"/>
        </w:rPr>
        <w:t>práctica</w:t>
      </w:r>
      <w:r>
        <w:rPr>
          <w:color w:val="00AC59"/>
          <w:spacing w:val="7"/>
          <w:sz w:val="12"/>
        </w:rPr>
        <w:t xml:space="preserve"> </w:t>
      </w:r>
      <w:r>
        <w:rPr>
          <w:color w:val="00AC59"/>
          <w:sz w:val="12"/>
        </w:rPr>
        <w:t>para</w:t>
      </w:r>
      <w:r>
        <w:rPr>
          <w:color w:val="00AC59"/>
          <w:spacing w:val="8"/>
          <w:sz w:val="12"/>
        </w:rPr>
        <w:t xml:space="preserve"> </w:t>
      </w:r>
      <w:r>
        <w:rPr>
          <w:color w:val="00AC59"/>
          <w:sz w:val="12"/>
        </w:rPr>
        <w:t>desarrollar</w:t>
      </w:r>
      <w:r>
        <w:rPr>
          <w:color w:val="00AC59"/>
          <w:spacing w:val="6"/>
          <w:sz w:val="12"/>
        </w:rPr>
        <w:t xml:space="preserve"> </w:t>
      </w:r>
      <w:r>
        <w:rPr>
          <w:color w:val="00AC59"/>
          <w:sz w:val="12"/>
        </w:rPr>
        <w:t>una</w:t>
      </w:r>
      <w:r>
        <w:rPr>
          <w:color w:val="00AC59"/>
          <w:spacing w:val="7"/>
          <w:sz w:val="12"/>
        </w:rPr>
        <w:t xml:space="preserve"> </w:t>
      </w:r>
      <w:r>
        <w:rPr>
          <w:color w:val="00AC59"/>
          <w:sz w:val="12"/>
        </w:rPr>
        <w:t>legislación</w:t>
      </w:r>
      <w:r>
        <w:rPr>
          <w:color w:val="00AC59"/>
          <w:spacing w:val="8"/>
          <w:sz w:val="12"/>
        </w:rPr>
        <w:t xml:space="preserve"> </w:t>
      </w:r>
      <w:r>
        <w:rPr>
          <w:color w:val="00AC59"/>
          <w:sz w:val="12"/>
        </w:rPr>
        <w:t>integral</w:t>
      </w:r>
      <w:r>
        <w:rPr>
          <w:color w:val="00AC59"/>
          <w:spacing w:val="7"/>
          <w:sz w:val="12"/>
        </w:rPr>
        <w:t xml:space="preserve"> </w:t>
      </w:r>
      <w:r>
        <w:rPr>
          <w:color w:val="00AC59"/>
          <w:sz w:val="12"/>
        </w:rPr>
        <w:t>contra</w:t>
      </w:r>
      <w:r>
        <w:rPr>
          <w:color w:val="00AC59"/>
          <w:spacing w:val="6"/>
          <w:sz w:val="12"/>
        </w:rPr>
        <w:t xml:space="preserve"> </w:t>
      </w:r>
      <w:r>
        <w:rPr>
          <w:color w:val="00AC59"/>
          <w:sz w:val="12"/>
        </w:rPr>
        <w:t>la</w:t>
      </w:r>
      <w:r>
        <w:rPr>
          <w:color w:val="00AC59"/>
          <w:spacing w:val="7"/>
          <w:sz w:val="12"/>
        </w:rPr>
        <w:t xml:space="preserve"> </w:t>
      </w:r>
      <w:r>
        <w:rPr>
          <w:color w:val="00AC59"/>
          <w:spacing w:val="-2"/>
          <w:sz w:val="12"/>
        </w:rPr>
        <w:t>discriminación</w:t>
      </w:r>
    </w:p>
    <w:p w14:paraId="3FA2A74C" w14:textId="77777777" w:rsidR="0014798C" w:rsidRDefault="0014798C">
      <w:pPr>
        <w:pStyle w:val="Textoindependiente"/>
        <w:rPr>
          <w:sz w:val="17"/>
        </w:rPr>
      </w:pPr>
    </w:p>
    <w:p w14:paraId="5DF8EBE5" w14:textId="77777777" w:rsidR="0014798C" w:rsidRDefault="0014798C">
      <w:pPr>
        <w:pStyle w:val="Textoindependiente"/>
        <w:rPr>
          <w:sz w:val="17"/>
        </w:rPr>
      </w:pPr>
    </w:p>
    <w:p w14:paraId="317E8F80" w14:textId="77777777" w:rsidR="0014798C" w:rsidRDefault="0014798C">
      <w:pPr>
        <w:pStyle w:val="Textoindependiente"/>
        <w:rPr>
          <w:sz w:val="17"/>
        </w:rPr>
      </w:pPr>
    </w:p>
    <w:p w14:paraId="5F53FD23" w14:textId="77777777" w:rsidR="0014798C" w:rsidRDefault="0014798C">
      <w:pPr>
        <w:pStyle w:val="Textoindependiente"/>
        <w:rPr>
          <w:sz w:val="17"/>
        </w:rPr>
      </w:pPr>
    </w:p>
    <w:p w14:paraId="3423072D" w14:textId="77777777" w:rsidR="0014798C" w:rsidRDefault="0014798C">
      <w:pPr>
        <w:pStyle w:val="Textoindependiente"/>
        <w:spacing w:before="37"/>
        <w:rPr>
          <w:sz w:val="17"/>
        </w:rPr>
      </w:pPr>
    </w:p>
    <w:p w14:paraId="3ED70C8F" w14:textId="77777777" w:rsidR="0014798C" w:rsidRDefault="004E1F0B">
      <w:pPr>
        <w:spacing w:line="307" w:lineRule="auto"/>
        <w:ind w:left="1107" w:right="1272" w:firstLine="3"/>
        <w:rPr>
          <w:sz w:val="17"/>
        </w:rPr>
      </w:pPr>
      <w:r>
        <w:rPr>
          <w:sz w:val="17"/>
        </w:rPr>
        <w:t>La discriminación incluye “garantías de no repetición y disculpas públicas”.617 El Comité sobre los Derechos de las Personas</w:t>
      </w:r>
      <w:r>
        <w:rPr>
          <w:spacing w:val="-2"/>
          <w:sz w:val="17"/>
        </w:rPr>
        <w:t xml:space="preserve"> </w:t>
      </w:r>
      <w:r>
        <w:rPr>
          <w:sz w:val="17"/>
        </w:rPr>
        <w:t>con</w:t>
      </w:r>
      <w:r>
        <w:rPr>
          <w:spacing w:val="-2"/>
          <w:sz w:val="17"/>
        </w:rPr>
        <w:t xml:space="preserve"> </w:t>
      </w:r>
      <w:r>
        <w:rPr>
          <w:sz w:val="17"/>
        </w:rPr>
        <w:t>Discapacidad</w:t>
      </w:r>
      <w:r>
        <w:rPr>
          <w:spacing w:val="-1"/>
          <w:sz w:val="17"/>
        </w:rPr>
        <w:t xml:space="preserve"> </w:t>
      </w:r>
      <w:r>
        <w:rPr>
          <w:sz w:val="17"/>
        </w:rPr>
        <w:t>ha</w:t>
      </w:r>
      <w:r>
        <w:rPr>
          <w:spacing w:val="-2"/>
          <w:sz w:val="17"/>
        </w:rPr>
        <w:t xml:space="preserve"> </w:t>
      </w:r>
      <w:r>
        <w:rPr>
          <w:sz w:val="17"/>
        </w:rPr>
        <w:t>explicado</w:t>
      </w:r>
      <w:r>
        <w:rPr>
          <w:spacing w:val="-1"/>
          <w:sz w:val="17"/>
        </w:rPr>
        <w:t xml:space="preserve"> </w:t>
      </w:r>
      <w:r>
        <w:rPr>
          <w:sz w:val="17"/>
        </w:rPr>
        <w:t>que</w:t>
      </w:r>
      <w:r>
        <w:rPr>
          <w:spacing w:val="-2"/>
          <w:sz w:val="17"/>
        </w:rPr>
        <w:t xml:space="preserve"> </w:t>
      </w:r>
      <w:r>
        <w:rPr>
          <w:sz w:val="17"/>
        </w:rPr>
        <w:t>“cuando</w:t>
      </w:r>
      <w:r>
        <w:rPr>
          <w:spacing w:val="-1"/>
          <w:sz w:val="17"/>
        </w:rPr>
        <w:t xml:space="preserve"> </w:t>
      </w:r>
      <w:r>
        <w:rPr>
          <w:sz w:val="17"/>
        </w:rPr>
        <w:t>la</w:t>
      </w:r>
      <w:r>
        <w:rPr>
          <w:spacing w:val="-2"/>
          <w:sz w:val="17"/>
        </w:rPr>
        <w:t xml:space="preserve"> </w:t>
      </w:r>
      <w:r>
        <w:rPr>
          <w:sz w:val="17"/>
        </w:rPr>
        <w:t>discriminación</w:t>
      </w:r>
      <w:r>
        <w:rPr>
          <w:spacing w:val="-1"/>
          <w:sz w:val="17"/>
        </w:rPr>
        <w:t xml:space="preserve"> </w:t>
      </w:r>
      <w:r>
        <w:rPr>
          <w:sz w:val="17"/>
        </w:rPr>
        <w:t>es</w:t>
      </w:r>
      <w:r>
        <w:rPr>
          <w:spacing w:val="-2"/>
          <w:sz w:val="17"/>
        </w:rPr>
        <w:t xml:space="preserve"> </w:t>
      </w:r>
      <w:r>
        <w:rPr>
          <w:sz w:val="17"/>
        </w:rPr>
        <w:t>de</w:t>
      </w:r>
      <w:r>
        <w:rPr>
          <w:spacing w:val="-2"/>
          <w:sz w:val="17"/>
        </w:rPr>
        <w:t xml:space="preserve"> </w:t>
      </w:r>
      <w:r>
        <w:rPr>
          <w:sz w:val="17"/>
        </w:rPr>
        <w:t>naturaleza</w:t>
      </w:r>
      <w:r>
        <w:rPr>
          <w:spacing w:val="-2"/>
          <w:sz w:val="17"/>
        </w:rPr>
        <w:t xml:space="preserve"> </w:t>
      </w:r>
      <w:r>
        <w:rPr>
          <w:sz w:val="17"/>
        </w:rPr>
        <w:t>sistémica,</w:t>
      </w:r>
      <w:r>
        <w:rPr>
          <w:spacing w:val="-1"/>
          <w:sz w:val="17"/>
        </w:rPr>
        <w:t xml:space="preserve"> </w:t>
      </w:r>
      <w:r>
        <w:rPr>
          <w:sz w:val="17"/>
        </w:rPr>
        <w:t>la</w:t>
      </w:r>
      <w:r>
        <w:rPr>
          <w:spacing w:val="-2"/>
          <w:sz w:val="17"/>
        </w:rPr>
        <w:t xml:space="preserve"> </w:t>
      </w:r>
      <w:r>
        <w:rPr>
          <w:sz w:val="17"/>
        </w:rPr>
        <w:t>mera</w:t>
      </w:r>
      <w:r>
        <w:rPr>
          <w:spacing w:val="-1"/>
          <w:sz w:val="17"/>
        </w:rPr>
        <w:t xml:space="preserve"> </w:t>
      </w:r>
      <w:r>
        <w:rPr>
          <w:sz w:val="17"/>
        </w:rPr>
        <w:t>concesión</w:t>
      </w:r>
      <w:r>
        <w:rPr>
          <w:spacing w:val="-1"/>
          <w:sz w:val="17"/>
        </w:rPr>
        <w:t xml:space="preserve"> </w:t>
      </w:r>
      <w:r>
        <w:rPr>
          <w:sz w:val="17"/>
        </w:rPr>
        <w:t>de compensación a un individuo puede no tener ningún efecto real”. en términos de cambiar el enfoque. …</w:t>
      </w:r>
    </w:p>
    <w:p w14:paraId="5B09A12A" w14:textId="77777777" w:rsidR="0014798C" w:rsidRDefault="004E1F0B">
      <w:pPr>
        <w:spacing w:line="307" w:lineRule="auto"/>
        <w:ind w:left="1107" w:right="1166" w:firstLine="5"/>
        <w:rPr>
          <w:sz w:val="17"/>
        </w:rPr>
      </w:pPr>
      <w:r>
        <w:rPr>
          <w:sz w:val="17"/>
        </w:rPr>
        <w:t>Los</w:t>
      </w:r>
      <w:r>
        <w:rPr>
          <w:spacing w:val="-2"/>
          <w:sz w:val="17"/>
        </w:rPr>
        <w:t xml:space="preserve"> </w:t>
      </w:r>
      <w:r>
        <w:rPr>
          <w:sz w:val="17"/>
        </w:rPr>
        <w:t>Estados</w:t>
      </w:r>
      <w:r>
        <w:rPr>
          <w:spacing w:val="-2"/>
          <w:sz w:val="17"/>
        </w:rPr>
        <w:t xml:space="preserve"> </w:t>
      </w:r>
      <w:r>
        <w:rPr>
          <w:sz w:val="17"/>
        </w:rPr>
        <w:t>partes</w:t>
      </w:r>
      <w:r>
        <w:rPr>
          <w:spacing w:val="-2"/>
          <w:sz w:val="17"/>
        </w:rPr>
        <w:t xml:space="preserve"> </w:t>
      </w:r>
      <w:r>
        <w:rPr>
          <w:sz w:val="17"/>
        </w:rPr>
        <w:t>también</w:t>
      </w:r>
      <w:r>
        <w:rPr>
          <w:spacing w:val="-2"/>
          <w:sz w:val="17"/>
        </w:rPr>
        <w:t xml:space="preserve"> </w:t>
      </w:r>
      <w:r>
        <w:rPr>
          <w:sz w:val="17"/>
        </w:rPr>
        <w:t>deben</w:t>
      </w:r>
      <w:r>
        <w:rPr>
          <w:spacing w:val="-2"/>
          <w:sz w:val="17"/>
        </w:rPr>
        <w:t xml:space="preserve"> </w:t>
      </w:r>
      <w:r>
        <w:rPr>
          <w:sz w:val="17"/>
        </w:rPr>
        <w:t>implementar</w:t>
      </w:r>
      <w:r>
        <w:rPr>
          <w:spacing w:val="-2"/>
          <w:sz w:val="17"/>
        </w:rPr>
        <w:t xml:space="preserve"> </w:t>
      </w:r>
      <w:r>
        <w:rPr>
          <w:sz w:val="17"/>
        </w:rPr>
        <w:t>'reparaciones</w:t>
      </w:r>
      <w:r>
        <w:rPr>
          <w:spacing w:val="-2"/>
          <w:sz w:val="17"/>
        </w:rPr>
        <w:t xml:space="preserve"> </w:t>
      </w:r>
      <w:r>
        <w:rPr>
          <w:sz w:val="17"/>
        </w:rPr>
        <w:t>no</w:t>
      </w:r>
      <w:r>
        <w:rPr>
          <w:spacing w:val="-2"/>
          <w:sz w:val="17"/>
        </w:rPr>
        <w:t xml:space="preserve"> </w:t>
      </w:r>
      <w:r>
        <w:rPr>
          <w:sz w:val="17"/>
        </w:rPr>
        <w:t>pecuniarias</w:t>
      </w:r>
      <w:r>
        <w:rPr>
          <w:spacing w:val="-2"/>
          <w:sz w:val="17"/>
        </w:rPr>
        <w:t xml:space="preserve"> </w:t>
      </w:r>
      <w:r>
        <w:rPr>
          <w:sz w:val="17"/>
        </w:rPr>
        <w:t>con</w:t>
      </w:r>
      <w:r>
        <w:rPr>
          <w:spacing w:val="-2"/>
          <w:sz w:val="17"/>
        </w:rPr>
        <w:t xml:space="preserve"> </w:t>
      </w:r>
      <w:r>
        <w:rPr>
          <w:sz w:val="17"/>
        </w:rPr>
        <w:t>visión</w:t>
      </w:r>
      <w:r>
        <w:rPr>
          <w:spacing w:val="-1"/>
          <w:sz w:val="17"/>
        </w:rPr>
        <w:t xml:space="preserve"> </w:t>
      </w:r>
      <w:r>
        <w:rPr>
          <w:sz w:val="17"/>
        </w:rPr>
        <w:t>de</w:t>
      </w:r>
      <w:r>
        <w:rPr>
          <w:spacing w:val="-2"/>
          <w:sz w:val="17"/>
        </w:rPr>
        <w:t xml:space="preserve"> </w:t>
      </w:r>
      <w:r>
        <w:rPr>
          <w:sz w:val="17"/>
        </w:rPr>
        <w:t>futuro'”.618</w:t>
      </w:r>
      <w:r>
        <w:rPr>
          <w:spacing w:val="-2"/>
          <w:sz w:val="17"/>
        </w:rPr>
        <w:t xml:space="preserve"> </w:t>
      </w:r>
      <w:r>
        <w:rPr>
          <w:sz w:val="17"/>
        </w:rPr>
        <w:t>En</w:t>
      </w:r>
      <w:r>
        <w:rPr>
          <w:spacing w:val="-2"/>
          <w:sz w:val="17"/>
        </w:rPr>
        <w:t xml:space="preserve"> </w:t>
      </w:r>
      <w:r>
        <w:rPr>
          <w:sz w:val="17"/>
        </w:rPr>
        <w:t>su</w:t>
      </w:r>
      <w:r>
        <w:rPr>
          <w:spacing w:val="-2"/>
          <w:sz w:val="17"/>
        </w:rPr>
        <w:t xml:space="preserve"> </w:t>
      </w:r>
      <w:r>
        <w:rPr>
          <w:sz w:val="17"/>
        </w:rPr>
        <w:t>jurisprudencia bajo el Protocolo Facultativo de la Convención sobre la Eliminación de Todas las Formas de Discriminación contra la Mujer, el Comité para la Eliminación de la Discriminación contra la Mujer ha reiterado Recomendó que, además de las medidas diseñadas para abordar las necesidades de los denunciantes, los Estados adopten medidas sistémicas, como revisar y fortalecer las leyes y brindar capacitación a los profesionales pertinentes.619 En la práctica, las soluciones en esta área pueden considerarse de manera útil como institucionales (centradas en corregir, disuadir y prevenir la discriminación dentro de las instituciones consideradas responsables de la discriminación (o en la sociedad) centrándose en abordar las causas</w:t>
      </w:r>
    </w:p>
    <w:p w14:paraId="1B78B295" w14:textId="77777777" w:rsidR="0014798C" w:rsidRDefault="004E1F0B">
      <w:pPr>
        <w:spacing w:line="192" w:lineRule="exact"/>
        <w:ind w:left="1111"/>
        <w:rPr>
          <w:sz w:val="17"/>
        </w:rPr>
      </w:pPr>
      <w:r>
        <w:rPr>
          <w:sz w:val="17"/>
        </w:rPr>
        <w:t>y</w:t>
      </w:r>
      <w:r>
        <w:rPr>
          <w:spacing w:val="-2"/>
          <w:sz w:val="17"/>
        </w:rPr>
        <w:t xml:space="preserve"> </w:t>
      </w:r>
      <w:r>
        <w:rPr>
          <w:sz w:val="17"/>
        </w:rPr>
        <w:t>consecuencias</w:t>
      </w:r>
      <w:r>
        <w:rPr>
          <w:spacing w:val="-1"/>
          <w:sz w:val="17"/>
        </w:rPr>
        <w:t xml:space="preserve"> </w:t>
      </w:r>
      <w:r>
        <w:rPr>
          <w:sz w:val="17"/>
        </w:rPr>
        <w:t>sociales</w:t>
      </w:r>
      <w:r>
        <w:rPr>
          <w:spacing w:val="-2"/>
          <w:sz w:val="17"/>
        </w:rPr>
        <w:t xml:space="preserve"> </w:t>
      </w:r>
      <w:r>
        <w:rPr>
          <w:sz w:val="17"/>
        </w:rPr>
        <w:t>de</w:t>
      </w:r>
      <w:r>
        <w:rPr>
          <w:spacing w:val="-1"/>
          <w:sz w:val="17"/>
        </w:rPr>
        <w:t xml:space="preserve"> </w:t>
      </w:r>
      <w:r>
        <w:rPr>
          <w:sz w:val="17"/>
        </w:rPr>
        <w:t>la</w:t>
      </w:r>
      <w:r>
        <w:rPr>
          <w:spacing w:val="-1"/>
          <w:sz w:val="17"/>
        </w:rPr>
        <w:t xml:space="preserve"> </w:t>
      </w:r>
      <w:r>
        <w:rPr>
          <w:spacing w:val="-2"/>
          <w:sz w:val="17"/>
        </w:rPr>
        <w:t>discriminación.</w:t>
      </w:r>
    </w:p>
    <w:p w14:paraId="0067CE4E" w14:textId="77777777" w:rsidR="0014798C" w:rsidRDefault="0014798C">
      <w:pPr>
        <w:pStyle w:val="Textoindependiente"/>
        <w:spacing w:before="32"/>
        <w:rPr>
          <w:sz w:val="21"/>
        </w:rPr>
      </w:pPr>
    </w:p>
    <w:p w14:paraId="29624773" w14:textId="77777777" w:rsidR="0014798C" w:rsidRDefault="004E1F0B">
      <w:pPr>
        <w:numPr>
          <w:ilvl w:val="0"/>
          <w:numId w:val="48"/>
        </w:numPr>
        <w:tabs>
          <w:tab w:val="left" w:pos="1372"/>
        </w:tabs>
        <w:ind w:left="1372" w:hanging="237"/>
        <w:rPr>
          <w:color w:val="00AC59"/>
          <w:sz w:val="21"/>
        </w:rPr>
      </w:pPr>
      <w:r>
        <w:rPr>
          <w:color w:val="00AC59"/>
          <w:sz w:val="21"/>
        </w:rPr>
        <w:t>Remedios</w:t>
      </w:r>
      <w:r>
        <w:rPr>
          <w:color w:val="00AC59"/>
          <w:spacing w:val="19"/>
          <w:sz w:val="21"/>
        </w:rPr>
        <w:t xml:space="preserve"> </w:t>
      </w:r>
      <w:r>
        <w:rPr>
          <w:color w:val="00AC59"/>
          <w:spacing w:val="-2"/>
          <w:sz w:val="21"/>
        </w:rPr>
        <w:t>institucionales</w:t>
      </w:r>
    </w:p>
    <w:p w14:paraId="3A5BDAB3" w14:textId="77777777" w:rsidR="0014798C" w:rsidRDefault="0014798C">
      <w:pPr>
        <w:pStyle w:val="Textoindependiente"/>
        <w:spacing w:before="95"/>
        <w:rPr>
          <w:sz w:val="17"/>
        </w:rPr>
      </w:pPr>
    </w:p>
    <w:p w14:paraId="70E1D7AC" w14:textId="77777777" w:rsidR="0014798C" w:rsidRDefault="004E1F0B">
      <w:pPr>
        <w:spacing w:line="307" w:lineRule="auto"/>
        <w:ind w:left="1107" w:right="1352" w:firstLine="1"/>
        <w:rPr>
          <w:sz w:val="17"/>
        </w:rPr>
      </w:pPr>
      <w:r>
        <w:rPr>
          <w:sz w:val="17"/>
        </w:rPr>
        <w:t>Los remedios institucionales se centran en corregir y reformar las condiciones estructurales, organizativas y políticas que dieron lugar a la discriminación. Estas medidas van desde órdenes judiciales para derogar o modificar políticas discriminatorias o adoptar políticas de igualdad hasta requisitos para impartir formación y cursos de sensibilización a los miembros del personal. Los tribunales de Irlanda han dictado órdenes que crean obligaciones tales como: “revisar las políticas de contratación, auditar la diversidad, adoptar políticas de diversidad o códigos de no discriminación, o el deber de organizar capacitación en materia de igualdad”.620 En Sudáfrica, la Promoción de la Igualdad y la Prevención de Injusticias La Ley contra la Discriminación establece que los tribunales de igualdad establecidos por la Ley pueden dictar órdenes que incluyan, entre otras, “una orden que restrinja las prácticas discriminatorias injustas o que ordene que se adopten</w:t>
      </w:r>
      <w:r>
        <w:rPr>
          <w:spacing w:val="-2"/>
          <w:sz w:val="17"/>
        </w:rPr>
        <w:t xml:space="preserve"> </w:t>
      </w:r>
      <w:r>
        <w:rPr>
          <w:sz w:val="17"/>
        </w:rPr>
        <w:t>medidas</w:t>
      </w:r>
      <w:r>
        <w:rPr>
          <w:spacing w:val="-2"/>
          <w:sz w:val="17"/>
        </w:rPr>
        <w:t xml:space="preserve"> </w:t>
      </w:r>
      <w:r>
        <w:rPr>
          <w:sz w:val="17"/>
        </w:rPr>
        <w:t>específicas</w:t>
      </w:r>
      <w:r>
        <w:rPr>
          <w:spacing w:val="-2"/>
          <w:sz w:val="17"/>
        </w:rPr>
        <w:t xml:space="preserve"> </w:t>
      </w:r>
      <w:r>
        <w:rPr>
          <w:sz w:val="17"/>
        </w:rPr>
        <w:t>para</w:t>
      </w:r>
      <w:r>
        <w:rPr>
          <w:spacing w:val="-2"/>
          <w:sz w:val="17"/>
        </w:rPr>
        <w:t xml:space="preserve"> </w:t>
      </w:r>
      <w:r>
        <w:rPr>
          <w:sz w:val="17"/>
        </w:rPr>
        <w:t>detener”</w:t>
      </w:r>
      <w:r>
        <w:rPr>
          <w:spacing w:val="-2"/>
          <w:sz w:val="17"/>
        </w:rPr>
        <w:t xml:space="preserve"> </w:t>
      </w:r>
      <w:r>
        <w:rPr>
          <w:sz w:val="17"/>
        </w:rPr>
        <w:t>la</w:t>
      </w:r>
      <w:r>
        <w:rPr>
          <w:spacing w:val="-2"/>
          <w:sz w:val="17"/>
        </w:rPr>
        <w:t xml:space="preserve"> </w:t>
      </w:r>
      <w:r>
        <w:rPr>
          <w:sz w:val="17"/>
        </w:rPr>
        <w:t>discriminación; “una</w:t>
      </w:r>
      <w:r>
        <w:rPr>
          <w:spacing w:val="-2"/>
          <w:sz w:val="17"/>
        </w:rPr>
        <w:t xml:space="preserve"> </w:t>
      </w:r>
      <w:r>
        <w:rPr>
          <w:sz w:val="17"/>
        </w:rPr>
        <w:t>orden</w:t>
      </w:r>
      <w:r>
        <w:rPr>
          <w:spacing w:val="-2"/>
          <w:sz w:val="17"/>
        </w:rPr>
        <w:t xml:space="preserve"> </w:t>
      </w:r>
      <w:r>
        <w:rPr>
          <w:sz w:val="17"/>
        </w:rPr>
        <w:t>que</w:t>
      </w:r>
      <w:r>
        <w:rPr>
          <w:spacing w:val="-2"/>
          <w:sz w:val="17"/>
        </w:rPr>
        <w:t xml:space="preserve"> </w:t>
      </w:r>
      <w:r>
        <w:rPr>
          <w:sz w:val="17"/>
        </w:rPr>
        <w:t>exige</w:t>
      </w:r>
      <w:r>
        <w:rPr>
          <w:spacing w:val="-2"/>
          <w:sz w:val="17"/>
        </w:rPr>
        <w:t xml:space="preserve"> </w:t>
      </w:r>
      <w:r>
        <w:rPr>
          <w:sz w:val="17"/>
        </w:rPr>
        <w:t>que</w:t>
      </w:r>
      <w:r>
        <w:rPr>
          <w:spacing w:val="-2"/>
          <w:sz w:val="17"/>
        </w:rPr>
        <w:t xml:space="preserve"> </w:t>
      </w:r>
      <w:r>
        <w:rPr>
          <w:sz w:val="17"/>
        </w:rPr>
        <w:t>el</w:t>
      </w:r>
      <w:r>
        <w:rPr>
          <w:spacing w:val="-2"/>
          <w:sz w:val="17"/>
        </w:rPr>
        <w:t xml:space="preserve"> </w:t>
      </w:r>
      <w:r>
        <w:rPr>
          <w:sz w:val="17"/>
        </w:rPr>
        <w:t>demandado</w:t>
      </w:r>
      <w:r>
        <w:rPr>
          <w:spacing w:val="-2"/>
          <w:sz w:val="17"/>
        </w:rPr>
        <w:t xml:space="preserve"> </w:t>
      </w:r>
      <w:r>
        <w:rPr>
          <w:sz w:val="17"/>
        </w:rPr>
        <w:t>se</w:t>
      </w:r>
      <w:r>
        <w:rPr>
          <w:spacing w:val="-2"/>
          <w:sz w:val="17"/>
        </w:rPr>
        <w:t xml:space="preserve"> </w:t>
      </w:r>
      <w:r>
        <w:rPr>
          <w:sz w:val="17"/>
        </w:rPr>
        <w:t>someta</w:t>
      </w:r>
      <w:r>
        <w:rPr>
          <w:spacing w:val="-2"/>
          <w:sz w:val="17"/>
        </w:rPr>
        <w:t xml:space="preserve"> </w:t>
      </w:r>
      <w:r>
        <w:rPr>
          <w:sz w:val="17"/>
        </w:rPr>
        <w:t>a</w:t>
      </w:r>
      <w:r>
        <w:rPr>
          <w:spacing w:val="-2"/>
          <w:sz w:val="17"/>
        </w:rPr>
        <w:t xml:space="preserve"> </w:t>
      </w:r>
      <w:r>
        <w:rPr>
          <w:sz w:val="17"/>
        </w:rPr>
        <w:t>una auditoría</w:t>
      </w:r>
      <w:r>
        <w:rPr>
          <w:spacing w:val="-2"/>
          <w:sz w:val="17"/>
        </w:rPr>
        <w:t xml:space="preserve"> </w:t>
      </w:r>
      <w:r>
        <w:rPr>
          <w:sz w:val="17"/>
        </w:rPr>
        <w:t>de</w:t>
      </w:r>
      <w:r>
        <w:rPr>
          <w:spacing w:val="-2"/>
          <w:sz w:val="17"/>
        </w:rPr>
        <w:t xml:space="preserve"> </w:t>
      </w:r>
      <w:r>
        <w:rPr>
          <w:sz w:val="17"/>
        </w:rPr>
        <w:t>políticas</w:t>
      </w:r>
      <w:r>
        <w:rPr>
          <w:spacing w:val="-2"/>
          <w:sz w:val="17"/>
        </w:rPr>
        <w:t xml:space="preserve"> </w:t>
      </w:r>
      <w:r>
        <w:rPr>
          <w:sz w:val="17"/>
        </w:rPr>
        <w:t>o</w:t>
      </w:r>
      <w:r>
        <w:rPr>
          <w:spacing w:val="-2"/>
          <w:sz w:val="17"/>
        </w:rPr>
        <w:t xml:space="preserve"> </w:t>
      </w:r>
      <w:r>
        <w:rPr>
          <w:sz w:val="17"/>
        </w:rPr>
        <w:t>prácticas</w:t>
      </w:r>
      <w:r>
        <w:rPr>
          <w:spacing w:val="-2"/>
          <w:sz w:val="17"/>
        </w:rPr>
        <w:t xml:space="preserve"> </w:t>
      </w:r>
      <w:r>
        <w:rPr>
          <w:sz w:val="17"/>
        </w:rPr>
        <w:t>específicas”; o</w:t>
      </w:r>
      <w:r>
        <w:rPr>
          <w:spacing w:val="-2"/>
          <w:sz w:val="17"/>
        </w:rPr>
        <w:t xml:space="preserve"> </w:t>
      </w:r>
      <w:r>
        <w:rPr>
          <w:sz w:val="17"/>
        </w:rPr>
        <w:t>“una</w:t>
      </w:r>
      <w:r>
        <w:rPr>
          <w:spacing w:val="-2"/>
          <w:sz w:val="17"/>
        </w:rPr>
        <w:t xml:space="preserve"> </w:t>
      </w:r>
      <w:r>
        <w:rPr>
          <w:sz w:val="17"/>
        </w:rPr>
        <w:t>orden</w:t>
      </w:r>
      <w:r>
        <w:rPr>
          <w:spacing w:val="-2"/>
          <w:sz w:val="17"/>
        </w:rPr>
        <w:t xml:space="preserve"> </w:t>
      </w:r>
      <w:r>
        <w:rPr>
          <w:sz w:val="17"/>
        </w:rPr>
        <w:t>apropiada...</w:t>
      </w:r>
      <w:r>
        <w:rPr>
          <w:spacing w:val="-1"/>
          <w:sz w:val="17"/>
        </w:rPr>
        <w:t xml:space="preserve"> </w:t>
      </w:r>
      <w:r>
        <w:rPr>
          <w:sz w:val="17"/>
        </w:rPr>
        <w:t>para</w:t>
      </w:r>
      <w:r>
        <w:rPr>
          <w:spacing w:val="-2"/>
          <w:sz w:val="17"/>
        </w:rPr>
        <w:t xml:space="preserve"> </w:t>
      </w:r>
      <w:r>
        <w:rPr>
          <w:sz w:val="17"/>
        </w:rPr>
        <w:t>suspender</w:t>
      </w:r>
      <w:r>
        <w:rPr>
          <w:spacing w:val="-2"/>
          <w:sz w:val="17"/>
        </w:rPr>
        <w:t xml:space="preserve"> </w:t>
      </w:r>
      <w:r>
        <w:rPr>
          <w:sz w:val="17"/>
        </w:rPr>
        <w:t>o</w:t>
      </w:r>
      <w:r>
        <w:rPr>
          <w:spacing w:val="-2"/>
          <w:sz w:val="17"/>
        </w:rPr>
        <w:t xml:space="preserve"> </w:t>
      </w:r>
      <w:r>
        <w:rPr>
          <w:sz w:val="17"/>
        </w:rPr>
        <w:t>revocar</w:t>
      </w:r>
      <w:r>
        <w:rPr>
          <w:spacing w:val="-2"/>
          <w:sz w:val="17"/>
        </w:rPr>
        <w:t xml:space="preserve"> </w:t>
      </w:r>
      <w:r>
        <w:rPr>
          <w:sz w:val="17"/>
        </w:rPr>
        <w:t>la</w:t>
      </w:r>
      <w:r>
        <w:rPr>
          <w:spacing w:val="-2"/>
          <w:sz w:val="17"/>
        </w:rPr>
        <w:t xml:space="preserve"> </w:t>
      </w:r>
      <w:r>
        <w:rPr>
          <w:sz w:val="17"/>
        </w:rPr>
        <w:t>licencia</w:t>
      </w:r>
      <w:r>
        <w:rPr>
          <w:spacing w:val="-1"/>
          <w:sz w:val="17"/>
        </w:rPr>
        <w:t xml:space="preserve"> </w:t>
      </w:r>
      <w:r>
        <w:rPr>
          <w:sz w:val="17"/>
        </w:rPr>
        <w:t>de</w:t>
      </w:r>
      <w:r>
        <w:rPr>
          <w:spacing w:val="-2"/>
          <w:sz w:val="17"/>
        </w:rPr>
        <w:t xml:space="preserve"> </w:t>
      </w:r>
      <w:r>
        <w:rPr>
          <w:sz w:val="17"/>
        </w:rPr>
        <w:t>una persona”.621 En otro lugar, un estudio comparativo sobre los enfoques de reparación y sanción en Europa encontró ejemplos</w:t>
      </w:r>
      <w:r>
        <w:rPr>
          <w:spacing w:val="-1"/>
          <w:sz w:val="17"/>
        </w:rPr>
        <w:t xml:space="preserve"> </w:t>
      </w:r>
      <w:r>
        <w:rPr>
          <w:sz w:val="17"/>
        </w:rPr>
        <w:t>de</w:t>
      </w:r>
      <w:r>
        <w:rPr>
          <w:spacing w:val="-1"/>
          <w:sz w:val="17"/>
        </w:rPr>
        <w:t xml:space="preserve"> </w:t>
      </w:r>
      <w:r>
        <w:rPr>
          <w:sz w:val="17"/>
        </w:rPr>
        <w:t>Estados</w:t>
      </w:r>
      <w:r>
        <w:rPr>
          <w:spacing w:val="-1"/>
          <w:sz w:val="17"/>
        </w:rPr>
        <w:t xml:space="preserve"> </w:t>
      </w:r>
      <w:r>
        <w:rPr>
          <w:sz w:val="17"/>
        </w:rPr>
        <w:t>que</w:t>
      </w:r>
      <w:r>
        <w:rPr>
          <w:spacing w:val="-1"/>
          <w:sz w:val="17"/>
        </w:rPr>
        <w:t xml:space="preserve"> </w:t>
      </w:r>
      <w:r>
        <w:rPr>
          <w:sz w:val="17"/>
        </w:rPr>
        <w:t>otorgan</w:t>
      </w:r>
      <w:r>
        <w:rPr>
          <w:spacing w:val="-1"/>
          <w:sz w:val="17"/>
        </w:rPr>
        <w:t xml:space="preserve"> </w:t>
      </w:r>
      <w:r>
        <w:rPr>
          <w:sz w:val="17"/>
        </w:rPr>
        <w:t>poderes</w:t>
      </w:r>
      <w:r>
        <w:rPr>
          <w:spacing w:val="-1"/>
          <w:sz w:val="17"/>
        </w:rPr>
        <w:t xml:space="preserve"> </w:t>
      </w:r>
      <w:r>
        <w:rPr>
          <w:sz w:val="17"/>
        </w:rPr>
        <w:t>tales</w:t>
      </w:r>
      <w:r>
        <w:rPr>
          <w:spacing w:val="-1"/>
          <w:sz w:val="17"/>
        </w:rPr>
        <w:t xml:space="preserve"> </w:t>
      </w:r>
      <w:r>
        <w:rPr>
          <w:sz w:val="17"/>
        </w:rPr>
        <w:t>como el</w:t>
      </w:r>
      <w:r>
        <w:rPr>
          <w:spacing w:val="-1"/>
          <w:sz w:val="17"/>
        </w:rPr>
        <w:t xml:space="preserve"> </w:t>
      </w:r>
      <w:r>
        <w:rPr>
          <w:sz w:val="17"/>
        </w:rPr>
        <w:t>retiro</w:t>
      </w:r>
      <w:r>
        <w:rPr>
          <w:spacing w:val="-1"/>
          <w:sz w:val="17"/>
        </w:rPr>
        <w:t xml:space="preserve"> </w:t>
      </w:r>
      <w:r>
        <w:rPr>
          <w:sz w:val="17"/>
        </w:rPr>
        <w:t>o</w:t>
      </w:r>
      <w:r>
        <w:rPr>
          <w:spacing w:val="-1"/>
          <w:sz w:val="17"/>
        </w:rPr>
        <w:t xml:space="preserve"> </w:t>
      </w:r>
      <w:r>
        <w:rPr>
          <w:sz w:val="17"/>
        </w:rPr>
        <w:t>la</w:t>
      </w:r>
      <w:r>
        <w:rPr>
          <w:spacing w:val="-1"/>
          <w:sz w:val="17"/>
        </w:rPr>
        <w:t xml:space="preserve"> </w:t>
      </w:r>
      <w:r>
        <w:rPr>
          <w:sz w:val="17"/>
        </w:rPr>
        <w:t>suspensión temporal</w:t>
      </w:r>
      <w:r>
        <w:rPr>
          <w:spacing w:val="-1"/>
          <w:sz w:val="17"/>
        </w:rPr>
        <w:t xml:space="preserve"> </w:t>
      </w:r>
      <w:r>
        <w:rPr>
          <w:sz w:val="17"/>
        </w:rPr>
        <w:t>de</w:t>
      </w:r>
      <w:r>
        <w:rPr>
          <w:spacing w:val="-1"/>
          <w:sz w:val="17"/>
        </w:rPr>
        <w:t xml:space="preserve"> </w:t>
      </w:r>
      <w:r>
        <w:rPr>
          <w:sz w:val="17"/>
        </w:rPr>
        <w:t>autorizaciones</w:t>
      </w:r>
      <w:r>
        <w:rPr>
          <w:spacing w:val="-1"/>
          <w:sz w:val="17"/>
        </w:rPr>
        <w:t xml:space="preserve"> </w:t>
      </w:r>
      <w:r>
        <w:rPr>
          <w:sz w:val="17"/>
        </w:rPr>
        <w:t>o</w:t>
      </w:r>
      <w:r>
        <w:rPr>
          <w:spacing w:val="-1"/>
          <w:sz w:val="17"/>
        </w:rPr>
        <w:t xml:space="preserve"> </w:t>
      </w:r>
      <w:r>
        <w:rPr>
          <w:sz w:val="17"/>
        </w:rPr>
        <w:t>licencias, 622 retiro de fondos estatales o exclusión de licitaciones públicas623 y órdenes de confiscación.624 Como indican estos ejemplos, los remedios institucionales incluyen componentes correctivos, disuasorios y preventivos.</w:t>
      </w:r>
    </w:p>
    <w:p w14:paraId="231BC8BD" w14:textId="77777777" w:rsidR="0014798C" w:rsidRDefault="0014798C">
      <w:pPr>
        <w:pStyle w:val="Textoindependiente"/>
        <w:rPr>
          <w:sz w:val="17"/>
        </w:rPr>
      </w:pPr>
    </w:p>
    <w:p w14:paraId="7BF0B9D2" w14:textId="77777777" w:rsidR="0014798C" w:rsidRDefault="0014798C">
      <w:pPr>
        <w:pStyle w:val="Textoindependiente"/>
        <w:spacing w:before="71"/>
        <w:rPr>
          <w:sz w:val="17"/>
        </w:rPr>
      </w:pPr>
    </w:p>
    <w:p w14:paraId="5D15B236" w14:textId="77777777" w:rsidR="0014798C" w:rsidRDefault="004E1F0B">
      <w:pPr>
        <w:spacing w:before="1"/>
        <w:ind w:left="1336"/>
        <w:rPr>
          <w:sz w:val="17"/>
        </w:rPr>
      </w:pPr>
      <w:r>
        <w:rPr>
          <w:noProof/>
        </w:rPr>
        <w:drawing>
          <wp:anchor distT="0" distB="0" distL="0" distR="0" simplePos="0" relativeHeight="251658421" behindDoc="1" locked="0" layoutInCell="1" allowOverlap="1" wp14:anchorId="1EA203A0" wp14:editId="4871D922">
            <wp:simplePos x="0" y="0"/>
            <wp:positionH relativeFrom="page">
              <wp:posOffset>790692</wp:posOffset>
            </wp:positionH>
            <wp:positionV relativeFrom="paragraph">
              <wp:posOffset>-165751</wp:posOffset>
            </wp:positionV>
            <wp:extent cx="5966130" cy="2412930"/>
            <wp:effectExtent l="0" t="0" r="0" b="0"/>
            <wp:wrapNone/>
            <wp:docPr id="191" name="Image 19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91" name="Image 191"/>
                    <pic:cNvPicPr/>
                  </pic:nvPicPr>
                  <pic:blipFill>
                    <a:blip r:embed="rId171" cstate="print"/>
                    <a:stretch>
                      <a:fillRect/>
                    </a:stretch>
                  </pic:blipFill>
                  <pic:spPr>
                    <a:xfrm>
                      <a:off x="0" y="0"/>
                      <a:ext cx="5966130" cy="2412930"/>
                    </a:xfrm>
                    <a:prstGeom prst="rect">
                      <a:avLst/>
                    </a:prstGeom>
                  </pic:spPr>
                </pic:pic>
              </a:graphicData>
            </a:graphic>
          </wp:anchor>
        </w:drawing>
      </w:r>
      <w:r>
        <w:rPr>
          <w:sz w:val="17"/>
        </w:rPr>
        <w:t>DISPOSICIONES</w:t>
      </w:r>
      <w:r>
        <w:rPr>
          <w:spacing w:val="-7"/>
          <w:sz w:val="17"/>
        </w:rPr>
        <w:t xml:space="preserve"> </w:t>
      </w:r>
      <w:r>
        <w:rPr>
          <w:sz w:val="17"/>
        </w:rPr>
        <w:t>ESTRUCTURALES</w:t>
      </w:r>
      <w:r>
        <w:rPr>
          <w:spacing w:val="-6"/>
          <w:sz w:val="17"/>
        </w:rPr>
        <w:t xml:space="preserve"> </w:t>
      </w:r>
      <w:r>
        <w:rPr>
          <w:sz w:val="17"/>
        </w:rPr>
        <w:t>EN</w:t>
      </w:r>
      <w:r>
        <w:rPr>
          <w:spacing w:val="-7"/>
          <w:sz w:val="17"/>
        </w:rPr>
        <w:t xml:space="preserve"> </w:t>
      </w:r>
      <w:r>
        <w:rPr>
          <w:sz w:val="17"/>
        </w:rPr>
        <w:t>CANADÁ</w:t>
      </w:r>
      <w:r>
        <w:rPr>
          <w:spacing w:val="-6"/>
          <w:sz w:val="17"/>
        </w:rPr>
        <w:t xml:space="preserve"> </w:t>
      </w:r>
      <w:r>
        <w:rPr>
          <w:sz w:val="17"/>
        </w:rPr>
        <w:t>Y</w:t>
      </w:r>
      <w:r>
        <w:rPr>
          <w:spacing w:val="-6"/>
          <w:sz w:val="17"/>
        </w:rPr>
        <w:t xml:space="preserve"> </w:t>
      </w:r>
      <w:r>
        <w:rPr>
          <w:spacing w:val="-2"/>
          <w:sz w:val="17"/>
        </w:rPr>
        <w:t>COLOMBIA</w:t>
      </w:r>
    </w:p>
    <w:p w14:paraId="2462A473" w14:textId="77777777" w:rsidR="0014798C" w:rsidRDefault="004E1F0B">
      <w:pPr>
        <w:spacing w:before="161" w:line="307" w:lineRule="auto"/>
        <w:ind w:left="1332" w:right="1505"/>
        <w:rPr>
          <w:sz w:val="17"/>
        </w:rPr>
      </w:pPr>
      <w:r>
        <w:rPr>
          <w:sz w:val="17"/>
        </w:rPr>
        <w:t>En Doucet-</w:t>
      </w:r>
      <w:proofErr w:type="spellStart"/>
      <w:r>
        <w:rPr>
          <w:sz w:val="17"/>
        </w:rPr>
        <w:t>Boudreau</w:t>
      </w:r>
      <w:proofErr w:type="spellEnd"/>
      <w:r>
        <w:rPr>
          <w:sz w:val="17"/>
        </w:rPr>
        <w:t xml:space="preserve"> contra Nueva Escocia (Ministro de Educación), los demandantes buscaron un recurso </w:t>
      </w:r>
      <w:proofErr w:type="gramStart"/>
      <w:r>
        <w:rPr>
          <w:sz w:val="17"/>
        </w:rPr>
        <w:t>institucional</w:t>
      </w:r>
      <w:r>
        <w:rPr>
          <w:spacing w:val="16"/>
          <w:sz w:val="17"/>
        </w:rPr>
        <w:t xml:space="preserve"> </w:t>
      </w:r>
      <w:r>
        <w:rPr>
          <w:sz w:val="17"/>
        </w:rPr>
        <w:t>:</w:t>
      </w:r>
      <w:proofErr w:type="gramEnd"/>
      <w:r>
        <w:rPr>
          <w:spacing w:val="16"/>
          <w:sz w:val="17"/>
        </w:rPr>
        <w:t xml:space="preserve"> </w:t>
      </w:r>
      <w:r>
        <w:rPr>
          <w:sz w:val="17"/>
        </w:rPr>
        <w:t>una</w:t>
      </w:r>
      <w:r>
        <w:rPr>
          <w:spacing w:val="16"/>
          <w:sz w:val="17"/>
        </w:rPr>
        <w:t xml:space="preserve"> </w:t>
      </w:r>
      <w:r>
        <w:rPr>
          <w:sz w:val="17"/>
        </w:rPr>
        <w:t>orden</w:t>
      </w:r>
      <w:r>
        <w:rPr>
          <w:spacing w:val="18"/>
          <w:sz w:val="17"/>
        </w:rPr>
        <w:t xml:space="preserve"> </w:t>
      </w:r>
      <w:r>
        <w:rPr>
          <w:sz w:val="17"/>
        </w:rPr>
        <w:t>para</w:t>
      </w:r>
      <w:r>
        <w:rPr>
          <w:spacing w:val="18"/>
          <w:sz w:val="17"/>
        </w:rPr>
        <w:t xml:space="preserve"> </w:t>
      </w:r>
      <w:r>
        <w:rPr>
          <w:sz w:val="17"/>
        </w:rPr>
        <w:t>que</w:t>
      </w:r>
      <w:r>
        <w:rPr>
          <w:spacing w:val="16"/>
          <w:sz w:val="17"/>
        </w:rPr>
        <w:t xml:space="preserve"> </w:t>
      </w:r>
      <w:r>
        <w:rPr>
          <w:sz w:val="17"/>
        </w:rPr>
        <w:t>se</w:t>
      </w:r>
      <w:r>
        <w:rPr>
          <w:spacing w:val="18"/>
          <w:sz w:val="17"/>
        </w:rPr>
        <w:t xml:space="preserve"> </w:t>
      </w:r>
      <w:r>
        <w:rPr>
          <w:sz w:val="17"/>
        </w:rPr>
        <w:t>proporcionaran</w:t>
      </w:r>
      <w:r>
        <w:rPr>
          <w:spacing w:val="18"/>
          <w:sz w:val="17"/>
        </w:rPr>
        <w:t xml:space="preserve"> </w:t>
      </w:r>
      <w:r>
        <w:rPr>
          <w:sz w:val="17"/>
        </w:rPr>
        <w:t>instalaciones</w:t>
      </w:r>
      <w:r>
        <w:rPr>
          <w:spacing w:val="16"/>
          <w:sz w:val="17"/>
        </w:rPr>
        <w:t xml:space="preserve"> </w:t>
      </w:r>
      <w:r>
        <w:rPr>
          <w:sz w:val="17"/>
        </w:rPr>
        <w:t>y</w:t>
      </w:r>
      <w:r>
        <w:rPr>
          <w:spacing w:val="18"/>
          <w:sz w:val="17"/>
        </w:rPr>
        <w:t xml:space="preserve"> </w:t>
      </w:r>
      <w:r>
        <w:rPr>
          <w:sz w:val="17"/>
        </w:rPr>
        <w:t>programas</w:t>
      </w:r>
      <w:r>
        <w:rPr>
          <w:spacing w:val="16"/>
          <w:sz w:val="17"/>
        </w:rPr>
        <w:t xml:space="preserve"> </w:t>
      </w:r>
      <w:r>
        <w:rPr>
          <w:sz w:val="17"/>
        </w:rPr>
        <w:t>de</w:t>
      </w:r>
      <w:r>
        <w:rPr>
          <w:spacing w:val="16"/>
          <w:sz w:val="17"/>
        </w:rPr>
        <w:t xml:space="preserve"> </w:t>
      </w:r>
      <w:r>
        <w:rPr>
          <w:sz w:val="17"/>
        </w:rPr>
        <w:t>lengua</w:t>
      </w:r>
      <w:r>
        <w:rPr>
          <w:spacing w:val="16"/>
          <w:sz w:val="17"/>
        </w:rPr>
        <w:t xml:space="preserve"> </w:t>
      </w:r>
      <w:r>
        <w:rPr>
          <w:sz w:val="17"/>
        </w:rPr>
        <w:t>francesa</w:t>
      </w:r>
      <w:r>
        <w:rPr>
          <w:spacing w:val="16"/>
          <w:sz w:val="17"/>
        </w:rPr>
        <w:t xml:space="preserve"> </w:t>
      </w:r>
      <w:r>
        <w:rPr>
          <w:sz w:val="17"/>
        </w:rPr>
        <w:t>en</w:t>
      </w:r>
      <w:r>
        <w:rPr>
          <w:spacing w:val="16"/>
          <w:sz w:val="17"/>
        </w:rPr>
        <w:t xml:space="preserve"> </w:t>
      </w:r>
      <w:r>
        <w:rPr>
          <w:sz w:val="17"/>
        </w:rPr>
        <w:t>el</w:t>
      </w:r>
      <w:r>
        <w:rPr>
          <w:spacing w:val="16"/>
          <w:sz w:val="17"/>
        </w:rPr>
        <w:t xml:space="preserve"> </w:t>
      </w:r>
      <w:r>
        <w:rPr>
          <w:sz w:val="17"/>
        </w:rPr>
        <w:t>nivel</w:t>
      </w:r>
      <w:r>
        <w:rPr>
          <w:spacing w:val="18"/>
          <w:sz w:val="17"/>
        </w:rPr>
        <w:t xml:space="preserve"> </w:t>
      </w:r>
      <w:r>
        <w:rPr>
          <w:sz w:val="17"/>
        </w:rPr>
        <w:t>de la</w:t>
      </w:r>
      <w:r>
        <w:rPr>
          <w:spacing w:val="17"/>
          <w:sz w:val="17"/>
        </w:rPr>
        <w:t xml:space="preserve"> </w:t>
      </w:r>
      <w:r>
        <w:rPr>
          <w:sz w:val="17"/>
        </w:rPr>
        <w:t>escuela</w:t>
      </w:r>
      <w:r>
        <w:rPr>
          <w:spacing w:val="18"/>
          <w:sz w:val="17"/>
        </w:rPr>
        <w:t xml:space="preserve"> </w:t>
      </w:r>
      <w:r>
        <w:rPr>
          <w:sz w:val="17"/>
        </w:rPr>
        <w:t>secundaria.</w:t>
      </w:r>
      <w:r>
        <w:rPr>
          <w:spacing w:val="20"/>
          <w:sz w:val="17"/>
        </w:rPr>
        <w:t xml:space="preserve"> </w:t>
      </w:r>
      <w:r>
        <w:rPr>
          <w:sz w:val="17"/>
        </w:rPr>
        <w:t>El</w:t>
      </w:r>
      <w:r>
        <w:rPr>
          <w:spacing w:val="17"/>
          <w:sz w:val="17"/>
        </w:rPr>
        <w:t xml:space="preserve"> </w:t>
      </w:r>
      <w:r>
        <w:rPr>
          <w:sz w:val="17"/>
        </w:rPr>
        <w:t>establecimiento</w:t>
      </w:r>
      <w:r>
        <w:rPr>
          <w:spacing w:val="17"/>
          <w:sz w:val="17"/>
        </w:rPr>
        <w:t xml:space="preserve"> </w:t>
      </w:r>
      <w:r>
        <w:rPr>
          <w:sz w:val="17"/>
        </w:rPr>
        <w:t>y</w:t>
      </w:r>
      <w:r>
        <w:rPr>
          <w:spacing w:val="18"/>
          <w:sz w:val="17"/>
        </w:rPr>
        <w:t xml:space="preserve"> </w:t>
      </w:r>
      <w:r>
        <w:rPr>
          <w:sz w:val="17"/>
        </w:rPr>
        <w:t>funcionamiento</w:t>
      </w:r>
      <w:r>
        <w:rPr>
          <w:spacing w:val="17"/>
          <w:sz w:val="17"/>
        </w:rPr>
        <w:t xml:space="preserve"> </w:t>
      </w:r>
      <w:r>
        <w:rPr>
          <w:sz w:val="17"/>
        </w:rPr>
        <w:t>de</w:t>
      </w:r>
      <w:r>
        <w:rPr>
          <w:spacing w:val="17"/>
          <w:sz w:val="17"/>
        </w:rPr>
        <w:t xml:space="preserve"> </w:t>
      </w:r>
      <w:r>
        <w:rPr>
          <w:sz w:val="17"/>
        </w:rPr>
        <w:t>la</w:t>
      </w:r>
      <w:r>
        <w:rPr>
          <w:spacing w:val="17"/>
          <w:sz w:val="17"/>
        </w:rPr>
        <w:t xml:space="preserve"> </w:t>
      </w:r>
      <w:r>
        <w:rPr>
          <w:sz w:val="17"/>
        </w:rPr>
        <w:t>educación</w:t>
      </w:r>
      <w:r>
        <w:rPr>
          <w:spacing w:val="18"/>
          <w:sz w:val="17"/>
        </w:rPr>
        <w:t xml:space="preserve"> </w:t>
      </w:r>
      <w:r>
        <w:rPr>
          <w:sz w:val="17"/>
        </w:rPr>
        <w:t>en</w:t>
      </w:r>
      <w:r>
        <w:rPr>
          <w:spacing w:val="17"/>
          <w:sz w:val="17"/>
        </w:rPr>
        <w:t xml:space="preserve"> </w:t>
      </w:r>
      <w:r>
        <w:rPr>
          <w:sz w:val="17"/>
        </w:rPr>
        <w:t>francés</w:t>
      </w:r>
      <w:r>
        <w:rPr>
          <w:spacing w:val="17"/>
          <w:sz w:val="17"/>
        </w:rPr>
        <w:t xml:space="preserve"> </w:t>
      </w:r>
      <w:r>
        <w:rPr>
          <w:sz w:val="17"/>
        </w:rPr>
        <w:t>estaba</w:t>
      </w:r>
      <w:r>
        <w:rPr>
          <w:spacing w:val="17"/>
          <w:sz w:val="17"/>
        </w:rPr>
        <w:t xml:space="preserve"> </w:t>
      </w:r>
      <w:r>
        <w:rPr>
          <w:sz w:val="17"/>
        </w:rPr>
        <w:t>previsto</w:t>
      </w:r>
      <w:r>
        <w:rPr>
          <w:spacing w:val="17"/>
          <w:sz w:val="17"/>
        </w:rPr>
        <w:t xml:space="preserve"> </w:t>
      </w:r>
      <w:r>
        <w:rPr>
          <w:sz w:val="17"/>
        </w:rPr>
        <w:t>en</w:t>
      </w:r>
      <w:r>
        <w:rPr>
          <w:spacing w:val="17"/>
          <w:sz w:val="17"/>
        </w:rPr>
        <w:t xml:space="preserve"> </w:t>
      </w:r>
      <w:r>
        <w:rPr>
          <w:sz w:val="17"/>
        </w:rPr>
        <w:t>el artículo 23 de la Carta Canadiense de Derechos y Libertades, pero el gobierno de Nueva Escocia no lo había cumplido, ya que no había priorizado esa obligación. La Corte Suprema confirmó la orden inicial de un juez de primera instancia de que la provincia estaba en violación y debía hacer “los mejores esfuerzos” para brindar el programa educativo relevante en fechas específicas. Ordenó no sólo que a la minoría de habla francesa en Nueva Escocia</w:t>
      </w:r>
      <w:r>
        <w:rPr>
          <w:spacing w:val="28"/>
          <w:sz w:val="17"/>
        </w:rPr>
        <w:t xml:space="preserve"> </w:t>
      </w:r>
      <w:r>
        <w:rPr>
          <w:sz w:val="17"/>
        </w:rPr>
        <w:t>se</w:t>
      </w:r>
      <w:r>
        <w:rPr>
          <w:spacing w:val="29"/>
          <w:sz w:val="17"/>
        </w:rPr>
        <w:t xml:space="preserve"> </w:t>
      </w:r>
      <w:r>
        <w:rPr>
          <w:sz w:val="17"/>
        </w:rPr>
        <w:t>le</w:t>
      </w:r>
      <w:r>
        <w:rPr>
          <w:spacing w:val="28"/>
          <w:sz w:val="17"/>
        </w:rPr>
        <w:t xml:space="preserve"> </w:t>
      </w:r>
      <w:r>
        <w:rPr>
          <w:sz w:val="17"/>
        </w:rPr>
        <w:t>proporcionaran</w:t>
      </w:r>
      <w:r>
        <w:rPr>
          <w:spacing w:val="29"/>
          <w:sz w:val="17"/>
        </w:rPr>
        <w:t xml:space="preserve"> </w:t>
      </w:r>
      <w:r>
        <w:rPr>
          <w:sz w:val="17"/>
        </w:rPr>
        <w:t>instalaciones</w:t>
      </w:r>
      <w:r>
        <w:rPr>
          <w:spacing w:val="28"/>
          <w:sz w:val="17"/>
        </w:rPr>
        <w:t xml:space="preserve"> </w:t>
      </w:r>
      <w:r>
        <w:rPr>
          <w:sz w:val="17"/>
        </w:rPr>
        <w:t>educativas</w:t>
      </w:r>
      <w:r>
        <w:rPr>
          <w:spacing w:val="28"/>
          <w:sz w:val="17"/>
        </w:rPr>
        <w:t xml:space="preserve"> </w:t>
      </w:r>
      <w:r>
        <w:rPr>
          <w:sz w:val="17"/>
        </w:rPr>
        <w:t>homogéneas</w:t>
      </w:r>
      <w:r>
        <w:rPr>
          <w:spacing w:val="28"/>
          <w:sz w:val="17"/>
        </w:rPr>
        <w:t xml:space="preserve"> </w:t>
      </w:r>
      <w:r>
        <w:rPr>
          <w:sz w:val="17"/>
        </w:rPr>
        <w:t>en</w:t>
      </w:r>
      <w:r>
        <w:rPr>
          <w:spacing w:val="28"/>
          <w:sz w:val="17"/>
        </w:rPr>
        <w:t xml:space="preserve"> </w:t>
      </w:r>
      <w:r>
        <w:rPr>
          <w:sz w:val="17"/>
        </w:rPr>
        <w:t>regiones</w:t>
      </w:r>
      <w:r>
        <w:rPr>
          <w:spacing w:val="28"/>
          <w:sz w:val="17"/>
        </w:rPr>
        <w:t xml:space="preserve"> </w:t>
      </w:r>
      <w:r>
        <w:rPr>
          <w:sz w:val="17"/>
        </w:rPr>
        <w:t>específicas</w:t>
      </w:r>
      <w:r>
        <w:rPr>
          <w:spacing w:val="28"/>
          <w:sz w:val="17"/>
        </w:rPr>
        <w:t xml:space="preserve"> </w:t>
      </w:r>
      <w:r>
        <w:rPr>
          <w:sz w:val="17"/>
        </w:rPr>
        <w:t>para</w:t>
      </w:r>
      <w:r>
        <w:rPr>
          <w:spacing w:val="29"/>
          <w:sz w:val="17"/>
        </w:rPr>
        <w:t xml:space="preserve"> </w:t>
      </w:r>
      <w:r>
        <w:rPr>
          <w:sz w:val="17"/>
        </w:rPr>
        <w:t>grados específicos en momentos específicos, sino también que los funcionarios del gobierno hicieran sus mejores</w:t>
      </w:r>
    </w:p>
    <w:p w14:paraId="774B99A7" w14:textId="77777777" w:rsidR="0014798C" w:rsidRDefault="004E1F0B">
      <w:pPr>
        <w:spacing w:line="189" w:lineRule="exact"/>
        <w:ind w:left="1337" w:right="-15"/>
        <w:rPr>
          <w:sz w:val="17"/>
        </w:rPr>
      </w:pPr>
      <w:r>
        <w:rPr>
          <w:sz w:val="17"/>
        </w:rPr>
        <w:t>esfuerzos</w:t>
      </w:r>
      <w:r>
        <w:rPr>
          <w:spacing w:val="5"/>
          <w:sz w:val="17"/>
        </w:rPr>
        <w:t xml:space="preserve"> </w:t>
      </w:r>
      <w:r>
        <w:rPr>
          <w:sz w:val="17"/>
        </w:rPr>
        <w:t>para</w:t>
      </w:r>
      <w:r>
        <w:rPr>
          <w:spacing w:val="7"/>
          <w:sz w:val="17"/>
        </w:rPr>
        <w:t xml:space="preserve"> </w:t>
      </w:r>
      <w:r>
        <w:rPr>
          <w:sz w:val="17"/>
        </w:rPr>
        <w:t>cumplir</w:t>
      </w:r>
      <w:r>
        <w:rPr>
          <w:spacing w:val="6"/>
          <w:sz w:val="17"/>
        </w:rPr>
        <w:t xml:space="preserve"> </w:t>
      </w:r>
      <w:r>
        <w:rPr>
          <w:sz w:val="17"/>
        </w:rPr>
        <w:t>con</w:t>
      </w:r>
      <w:r>
        <w:rPr>
          <w:spacing w:val="7"/>
          <w:sz w:val="17"/>
        </w:rPr>
        <w:t xml:space="preserve"> </w:t>
      </w:r>
      <w:r>
        <w:rPr>
          <w:sz w:val="17"/>
        </w:rPr>
        <w:t>esta</w:t>
      </w:r>
      <w:r>
        <w:rPr>
          <w:spacing w:val="6"/>
          <w:sz w:val="17"/>
        </w:rPr>
        <w:t xml:space="preserve"> </w:t>
      </w:r>
      <w:r>
        <w:rPr>
          <w:sz w:val="17"/>
        </w:rPr>
        <w:t>orden</w:t>
      </w:r>
      <w:r>
        <w:rPr>
          <w:spacing w:val="7"/>
          <w:sz w:val="17"/>
        </w:rPr>
        <w:t xml:space="preserve"> </w:t>
      </w:r>
      <w:r>
        <w:rPr>
          <w:sz w:val="17"/>
        </w:rPr>
        <w:t>y</w:t>
      </w:r>
      <w:r>
        <w:rPr>
          <w:spacing w:val="7"/>
          <w:sz w:val="17"/>
        </w:rPr>
        <w:t xml:space="preserve"> </w:t>
      </w:r>
      <w:r>
        <w:rPr>
          <w:sz w:val="17"/>
        </w:rPr>
        <w:t>que</w:t>
      </w:r>
      <w:r>
        <w:rPr>
          <w:spacing w:val="5"/>
          <w:sz w:val="17"/>
        </w:rPr>
        <w:t xml:space="preserve"> </w:t>
      </w:r>
      <w:r>
        <w:rPr>
          <w:sz w:val="17"/>
        </w:rPr>
        <w:t>el</w:t>
      </w:r>
      <w:r>
        <w:rPr>
          <w:spacing w:val="6"/>
          <w:sz w:val="17"/>
        </w:rPr>
        <w:t xml:space="preserve"> </w:t>
      </w:r>
      <w:r>
        <w:rPr>
          <w:sz w:val="17"/>
        </w:rPr>
        <w:t>tribunal</w:t>
      </w:r>
      <w:r>
        <w:rPr>
          <w:spacing w:val="6"/>
          <w:sz w:val="17"/>
        </w:rPr>
        <w:t xml:space="preserve"> </w:t>
      </w:r>
      <w:r>
        <w:rPr>
          <w:sz w:val="17"/>
        </w:rPr>
        <w:t>mantendría</w:t>
      </w:r>
      <w:r>
        <w:rPr>
          <w:spacing w:val="6"/>
          <w:sz w:val="17"/>
        </w:rPr>
        <w:t xml:space="preserve"> </w:t>
      </w:r>
      <w:r>
        <w:rPr>
          <w:sz w:val="17"/>
        </w:rPr>
        <w:t>su</w:t>
      </w:r>
      <w:r>
        <w:rPr>
          <w:spacing w:val="7"/>
          <w:sz w:val="17"/>
        </w:rPr>
        <w:t xml:space="preserve"> </w:t>
      </w:r>
      <w:r>
        <w:rPr>
          <w:sz w:val="17"/>
        </w:rPr>
        <w:t>jurisdicción.</w:t>
      </w:r>
      <w:r>
        <w:rPr>
          <w:spacing w:val="8"/>
          <w:sz w:val="17"/>
        </w:rPr>
        <w:t xml:space="preserve"> </w:t>
      </w:r>
      <w:r>
        <w:rPr>
          <w:sz w:val="17"/>
        </w:rPr>
        <w:t>escuchar</w:t>
      </w:r>
      <w:r>
        <w:rPr>
          <w:spacing w:val="6"/>
          <w:sz w:val="17"/>
        </w:rPr>
        <w:t xml:space="preserve"> </w:t>
      </w:r>
      <w:r>
        <w:rPr>
          <w:sz w:val="17"/>
        </w:rPr>
        <w:t>informes</w:t>
      </w:r>
      <w:r>
        <w:rPr>
          <w:spacing w:val="5"/>
          <w:sz w:val="17"/>
        </w:rPr>
        <w:t xml:space="preserve"> </w:t>
      </w:r>
      <w:r>
        <w:rPr>
          <w:sz w:val="17"/>
        </w:rPr>
        <w:t>del</w:t>
      </w:r>
      <w:r>
        <w:rPr>
          <w:spacing w:val="6"/>
          <w:sz w:val="17"/>
        </w:rPr>
        <w:t xml:space="preserve"> </w:t>
      </w:r>
      <w:r>
        <w:rPr>
          <w:sz w:val="17"/>
        </w:rPr>
        <w:t>Gobierno</w:t>
      </w:r>
      <w:r>
        <w:rPr>
          <w:spacing w:val="6"/>
          <w:sz w:val="17"/>
        </w:rPr>
        <w:t xml:space="preserve"> </w:t>
      </w:r>
      <w:r>
        <w:rPr>
          <w:sz w:val="17"/>
        </w:rPr>
        <w:t>sobre</w:t>
      </w:r>
      <w:r>
        <w:rPr>
          <w:spacing w:val="7"/>
          <w:sz w:val="17"/>
        </w:rPr>
        <w:t xml:space="preserve"> </w:t>
      </w:r>
      <w:r>
        <w:rPr>
          <w:sz w:val="17"/>
        </w:rPr>
        <w:t>el</w:t>
      </w:r>
      <w:r>
        <w:rPr>
          <w:spacing w:val="6"/>
          <w:sz w:val="17"/>
        </w:rPr>
        <w:t xml:space="preserve"> </w:t>
      </w:r>
      <w:proofErr w:type="spellStart"/>
      <w:r>
        <w:rPr>
          <w:spacing w:val="-2"/>
          <w:sz w:val="17"/>
        </w:rPr>
        <w:t>cumplimie</w:t>
      </w:r>
      <w:proofErr w:type="spellEnd"/>
    </w:p>
    <w:p w14:paraId="2A529F9E" w14:textId="77777777" w:rsidR="0014798C" w:rsidRDefault="0014798C">
      <w:pPr>
        <w:pStyle w:val="Textoindependiente"/>
        <w:rPr>
          <w:sz w:val="12"/>
        </w:rPr>
      </w:pPr>
    </w:p>
    <w:p w14:paraId="3EC2454B" w14:textId="77777777" w:rsidR="0014798C" w:rsidRDefault="0014798C">
      <w:pPr>
        <w:pStyle w:val="Textoindependiente"/>
        <w:rPr>
          <w:sz w:val="12"/>
        </w:rPr>
      </w:pPr>
    </w:p>
    <w:p w14:paraId="3DE9205E" w14:textId="77777777" w:rsidR="0014798C" w:rsidRDefault="0014798C">
      <w:pPr>
        <w:pStyle w:val="Textoindependiente"/>
        <w:rPr>
          <w:sz w:val="12"/>
        </w:rPr>
      </w:pPr>
    </w:p>
    <w:p w14:paraId="338B92FC" w14:textId="77777777" w:rsidR="0014798C" w:rsidRDefault="0014798C">
      <w:pPr>
        <w:pStyle w:val="Textoindependiente"/>
        <w:rPr>
          <w:sz w:val="12"/>
        </w:rPr>
      </w:pPr>
    </w:p>
    <w:p w14:paraId="0C92A96A" w14:textId="77777777" w:rsidR="0014798C" w:rsidRDefault="0014798C">
      <w:pPr>
        <w:pStyle w:val="Textoindependiente"/>
        <w:rPr>
          <w:sz w:val="12"/>
        </w:rPr>
      </w:pPr>
    </w:p>
    <w:p w14:paraId="7179EF24" w14:textId="77777777" w:rsidR="0014798C" w:rsidRDefault="0014798C">
      <w:pPr>
        <w:pStyle w:val="Textoindependiente"/>
        <w:spacing w:before="63"/>
        <w:rPr>
          <w:sz w:val="12"/>
        </w:rPr>
      </w:pPr>
    </w:p>
    <w:p w14:paraId="6DD83BA6" w14:textId="77777777" w:rsidR="0014798C" w:rsidRDefault="004E1F0B">
      <w:pPr>
        <w:ind w:left="1108"/>
        <w:rPr>
          <w:sz w:val="12"/>
        </w:rPr>
      </w:pPr>
      <w:r>
        <w:rPr>
          <w:w w:val="105"/>
          <w:sz w:val="12"/>
        </w:rPr>
        <w:t>617</w:t>
      </w:r>
      <w:r>
        <w:rPr>
          <w:spacing w:val="-2"/>
          <w:w w:val="105"/>
          <w:sz w:val="12"/>
        </w:rPr>
        <w:t xml:space="preserve"> </w:t>
      </w:r>
      <w:r>
        <w:rPr>
          <w:w w:val="105"/>
          <w:sz w:val="12"/>
        </w:rPr>
        <w:t>Comité</w:t>
      </w:r>
      <w:r>
        <w:rPr>
          <w:spacing w:val="-1"/>
          <w:w w:val="105"/>
          <w:sz w:val="12"/>
        </w:rPr>
        <w:t xml:space="preserve"> </w:t>
      </w:r>
      <w:r>
        <w:rPr>
          <w:w w:val="105"/>
          <w:sz w:val="12"/>
        </w:rPr>
        <w:t>de</w:t>
      </w:r>
      <w:r>
        <w:rPr>
          <w:spacing w:val="-1"/>
          <w:w w:val="105"/>
          <w:sz w:val="12"/>
        </w:rPr>
        <w:t xml:space="preserve"> </w:t>
      </w:r>
      <w:r>
        <w:rPr>
          <w:w w:val="105"/>
          <w:sz w:val="12"/>
        </w:rPr>
        <w:t>Derechos</w:t>
      </w:r>
      <w:r>
        <w:rPr>
          <w:spacing w:val="-1"/>
          <w:w w:val="105"/>
          <w:sz w:val="12"/>
        </w:rPr>
        <w:t xml:space="preserve"> </w:t>
      </w:r>
      <w:r>
        <w:rPr>
          <w:w w:val="105"/>
          <w:sz w:val="12"/>
        </w:rPr>
        <w:t>Económicos, Sociales</w:t>
      </w:r>
      <w:r>
        <w:rPr>
          <w:spacing w:val="-2"/>
          <w:w w:val="105"/>
          <w:sz w:val="12"/>
        </w:rPr>
        <w:t xml:space="preserve"> </w:t>
      </w:r>
      <w:r>
        <w:rPr>
          <w:w w:val="105"/>
          <w:sz w:val="12"/>
        </w:rPr>
        <w:t>y</w:t>
      </w:r>
      <w:r>
        <w:rPr>
          <w:spacing w:val="-1"/>
          <w:w w:val="105"/>
          <w:sz w:val="12"/>
        </w:rPr>
        <w:t xml:space="preserve"> </w:t>
      </w:r>
      <w:r>
        <w:rPr>
          <w:w w:val="105"/>
          <w:sz w:val="12"/>
        </w:rPr>
        <w:t>Culturales, observación general</w:t>
      </w:r>
      <w:r>
        <w:rPr>
          <w:spacing w:val="-1"/>
          <w:w w:val="105"/>
          <w:sz w:val="12"/>
        </w:rPr>
        <w:t xml:space="preserve"> </w:t>
      </w:r>
      <w:r>
        <w:rPr>
          <w:w w:val="105"/>
          <w:sz w:val="12"/>
        </w:rPr>
        <w:t>núm.</w:t>
      </w:r>
      <w:r>
        <w:rPr>
          <w:spacing w:val="-1"/>
          <w:w w:val="105"/>
          <w:sz w:val="12"/>
        </w:rPr>
        <w:t xml:space="preserve"> </w:t>
      </w:r>
      <w:r>
        <w:rPr>
          <w:w w:val="105"/>
          <w:sz w:val="12"/>
        </w:rPr>
        <w:t>20</w:t>
      </w:r>
      <w:r>
        <w:rPr>
          <w:spacing w:val="-1"/>
          <w:w w:val="105"/>
          <w:sz w:val="12"/>
        </w:rPr>
        <w:t xml:space="preserve"> </w:t>
      </w:r>
      <w:r>
        <w:rPr>
          <w:w w:val="105"/>
          <w:sz w:val="12"/>
        </w:rPr>
        <w:t xml:space="preserve">(2009), párr. </w:t>
      </w:r>
      <w:r>
        <w:rPr>
          <w:spacing w:val="-5"/>
          <w:w w:val="105"/>
          <w:sz w:val="12"/>
        </w:rPr>
        <w:t>40.</w:t>
      </w:r>
    </w:p>
    <w:p w14:paraId="1B754E03" w14:textId="77777777" w:rsidR="0014798C" w:rsidRDefault="004E1F0B">
      <w:pPr>
        <w:spacing w:before="99"/>
        <w:ind w:left="1108"/>
        <w:rPr>
          <w:sz w:val="12"/>
        </w:rPr>
      </w:pPr>
      <w:r>
        <w:rPr>
          <w:w w:val="105"/>
          <w:sz w:val="12"/>
        </w:rPr>
        <w:t>618</w:t>
      </w:r>
      <w:r>
        <w:rPr>
          <w:spacing w:val="-1"/>
          <w:w w:val="105"/>
          <w:sz w:val="12"/>
        </w:rPr>
        <w:t xml:space="preserve"> </w:t>
      </w:r>
      <w:r>
        <w:rPr>
          <w:w w:val="105"/>
          <w:sz w:val="12"/>
        </w:rPr>
        <w:t>Comité</w:t>
      </w:r>
      <w:r>
        <w:rPr>
          <w:spacing w:val="-1"/>
          <w:w w:val="105"/>
          <w:sz w:val="12"/>
        </w:rPr>
        <w:t xml:space="preserve"> </w:t>
      </w:r>
      <w:r>
        <w:rPr>
          <w:w w:val="105"/>
          <w:sz w:val="12"/>
        </w:rPr>
        <w:t>sobre los</w:t>
      </w:r>
      <w:r>
        <w:rPr>
          <w:spacing w:val="-1"/>
          <w:w w:val="105"/>
          <w:sz w:val="12"/>
        </w:rPr>
        <w:t xml:space="preserve"> </w:t>
      </w:r>
      <w:r>
        <w:rPr>
          <w:w w:val="105"/>
          <w:sz w:val="12"/>
        </w:rPr>
        <w:t>Derechos de</w:t>
      </w:r>
      <w:r>
        <w:rPr>
          <w:spacing w:val="-1"/>
          <w:w w:val="105"/>
          <w:sz w:val="12"/>
        </w:rPr>
        <w:t xml:space="preserve"> </w:t>
      </w:r>
      <w:r>
        <w:rPr>
          <w:w w:val="105"/>
          <w:sz w:val="12"/>
        </w:rPr>
        <w:t>las</w:t>
      </w:r>
      <w:r>
        <w:rPr>
          <w:spacing w:val="-1"/>
          <w:w w:val="105"/>
          <w:sz w:val="12"/>
        </w:rPr>
        <w:t xml:space="preserve"> </w:t>
      </w:r>
      <w:r>
        <w:rPr>
          <w:w w:val="105"/>
          <w:sz w:val="12"/>
        </w:rPr>
        <w:t>Personas</w:t>
      </w:r>
      <w:r>
        <w:rPr>
          <w:spacing w:val="-1"/>
          <w:w w:val="105"/>
          <w:sz w:val="12"/>
        </w:rPr>
        <w:t xml:space="preserve"> </w:t>
      </w:r>
      <w:r>
        <w:rPr>
          <w:w w:val="105"/>
          <w:sz w:val="12"/>
        </w:rPr>
        <w:t>con</w:t>
      </w:r>
      <w:r>
        <w:rPr>
          <w:spacing w:val="-1"/>
          <w:w w:val="105"/>
          <w:sz w:val="12"/>
        </w:rPr>
        <w:t xml:space="preserve"> </w:t>
      </w:r>
      <w:r>
        <w:rPr>
          <w:w w:val="105"/>
          <w:sz w:val="12"/>
        </w:rPr>
        <w:t>Discapacidad,</w:t>
      </w:r>
      <w:r>
        <w:rPr>
          <w:spacing w:val="1"/>
          <w:w w:val="105"/>
          <w:sz w:val="12"/>
        </w:rPr>
        <w:t xml:space="preserve"> </w:t>
      </w:r>
      <w:r>
        <w:rPr>
          <w:w w:val="105"/>
          <w:sz w:val="12"/>
        </w:rPr>
        <w:t>observación general</w:t>
      </w:r>
      <w:r>
        <w:rPr>
          <w:spacing w:val="-1"/>
          <w:w w:val="105"/>
          <w:sz w:val="12"/>
        </w:rPr>
        <w:t xml:space="preserve"> </w:t>
      </w:r>
      <w:r>
        <w:rPr>
          <w:w w:val="105"/>
          <w:sz w:val="12"/>
        </w:rPr>
        <w:t>núm. 6</w:t>
      </w:r>
      <w:r>
        <w:rPr>
          <w:spacing w:val="-1"/>
          <w:w w:val="105"/>
          <w:sz w:val="12"/>
        </w:rPr>
        <w:t xml:space="preserve"> </w:t>
      </w:r>
      <w:r>
        <w:rPr>
          <w:w w:val="105"/>
          <w:sz w:val="12"/>
        </w:rPr>
        <w:t>(2018),</w:t>
      </w:r>
      <w:r>
        <w:rPr>
          <w:spacing w:val="1"/>
          <w:w w:val="105"/>
          <w:sz w:val="12"/>
        </w:rPr>
        <w:t xml:space="preserve"> </w:t>
      </w:r>
      <w:r>
        <w:rPr>
          <w:w w:val="105"/>
          <w:sz w:val="12"/>
        </w:rPr>
        <w:t xml:space="preserve">párr. </w:t>
      </w:r>
      <w:r>
        <w:rPr>
          <w:spacing w:val="-5"/>
          <w:w w:val="105"/>
          <w:sz w:val="12"/>
        </w:rPr>
        <w:t>22.</w:t>
      </w:r>
    </w:p>
    <w:p w14:paraId="7E3E828E" w14:textId="77777777" w:rsidR="0014798C" w:rsidRDefault="004E1F0B">
      <w:pPr>
        <w:spacing w:before="61"/>
        <w:ind w:left="1108"/>
        <w:rPr>
          <w:sz w:val="13"/>
        </w:rPr>
      </w:pPr>
      <w:r>
        <w:rPr>
          <w:w w:val="105"/>
          <w:sz w:val="13"/>
          <w:vertAlign w:val="superscript"/>
        </w:rPr>
        <w:t>619</w:t>
      </w:r>
      <w:r>
        <w:rPr>
          <w:spacing w:val="58"/>
          <w:w w:val="105"/>
          <w:sz w:val="13"/>
        </w:rPr>
        <w:t xml:space="preserve"> </w:t>
      </w:r>
      <w:r>
        <w:rPr>
          <w:w w:val="105"/>
          <w:sz w:val="13"/>
        </w:rPr>
        <w:t>Véase,</w:t>
      </w:r>
      <w:r>
        <w:rPr>
          <w:spacing w:val="-8"/>
          <w:w w:val="105"/>
          <w:sz w:val="13"/>
        </w:rPr>
        <w:t xml:space="preserve"> </w:t>
      </w:r>
      <w:r>
        <w:rPr>
          <w:w w:val="105"/>
          <w:sz w:val="13"/>
        </w:rPr>
        <w:t>por</w:t>
      </w:r>
      <w:r>
        <w:rPr>
          <w:spacing w:val="-8"/>
          <w:w w:val="105"/>
          <w:sz w:val="13"/>
        </w:rPr>
        <w:t xml:space="preserve"> </w:t>
      </w:r>
      <w:r>
        <w:rPr>
          <w:w w:val="105"/>
          <w:sz w:val="13"/>
        </w:rPr>
        <w:t>ejemplo,</w:t>
      </w:r>
      <w:r>
        <w:rPr>
          <w:spacing w:val="-7"/>
          <w:w w:val="105"/>
          <w:sz w:val="13"/>
        </w:rPr>
        <w:t xml:space="preserve"> </w:t>
      </w:r>
      <w:r>
        <w:rPr>
          <w:w w:val="105"/>
          <w:sz w:val="13"/>
        </w:rPr>
        <w:t>Comité</w:t>
      </w:r>
      <w:r>
        <w:rPr>
          <w:spacing w:val="-8"/>
          <w:w w:val="105"/>
          <w:sz w:val="13"/>
        </w:rPr>
        <w:t xml:space="preserve"> </w:t>
      </w:r>
      <w:r>
        <w:rPr>
          <w:w w:val="105"/>
          <w:sz w:val="13"/>
        </w:rPr>
        <w:t>para</w:t>
      </w:r>
      <w:r>
        <w:rPr>
          <w:spacing w:val="-8"/>
          <w:w w:val="105"/>
          <w:sz w:val="13"/>
        </w:rPr>
        <w:t xml:space="preserve"> </w:t>
      </w:r>
      <w:r>
        <w:rPr>
          <w:w w:val="105"/>
          <w:sz w:val="13"/>
        </w:rPr>
        <w:t>la</w:t>
      </w:r>
      <w:r>
        <w:rPr>
          <w:spacing w:val="-8"/>
          <w:w w:val="105"/>
          <w:sz w:val="13"/>
        </w:rPr>
        <w:t xml:space="preserve"> </w:t>
      </w:r>
      <w:r>
        <w:rPr>
          <w:w w:val="105"/>
          <w:sz w:val="13"/>
        </w:rPr>
        <w:t>Eliminación</w:t>
      </w:r>
      <w:r>
        <w:rPr>
          <w:spacing w:val="-8"/>
          <w:w w:val="105"/>
          <w:sz w:val="13"/>
        </w:rPr>
        <w:t xml:space="preserve"> </w:t>
      </w:r>
      <w:r>
        <w:rPr>
          <w:w w:val="105"/>
          <w:sz w:val="13"/>
        </w:rPr>
        <w:t>de</w:t>
      </w:r>
      <w:r>
        <w:rPr>
          <w:spacing w:val="-7"/>
          <w:w w:val="105"/>
          <w:sz w:val="13"/>
        </w:rPr>
        <w:t xml:space="preserve"> </w:t>
      </w:r>
      <w:r>
        <w:rPr>
          <w:w w:val="105"/>
          <w:sz w:val="13"/>
        </w:rPr>
        <w:t>la</w:t>
      </w:r>
      <w:r>
        <w:rPr>
          <w:spacing w:val="-8"/>
          <w:w w:val="105"/>
          <w:sz w:val="13"/>
        </w:rPr>
        <w:t xml:space="preserve"> </w:t>
      </w:r>
      <w:r>
        <w:rPr>
          <w:w w:val="105"/>
          <w:sz w:val="13"/>
        </w:rPr>
        <w:t>Discriminación</w:t>
      </w:r>
      <w:r>
        <w:rPr>
          <w:spacing w:val="-8"/>
          <w:w w:val="105"/>
          <w:sz w:val="13"/>
        </w:rPr>
        <w:t xml:space="preserve"> </w:t>
      </w:r>
      <w:r>
        <w:rPr>
          <w:w w:val="105"/>
          <w:sz w:val="13"/>
        </w:rPr>
        <w:t>contra</w:t>
      </w:r>
      <w:r>
        <w:rPr>
          <w:spacing w:val="-8"/>
          <w:w w:val="105"/>
          <w:sz w:val="13"/>
        </w:rPr>
        <w:t xml:space="preserve"> </w:t>
      </w:r>
      <w:r>
        <w:rPr>
          <w:w w:val="105"/>
          <w:sz w:val="13"/>
        </w:rPr>
        <w:t>la</w:t>
      </w:r>
      <w:r>
        <w:rPr>
          <w:spacing w:val="-8"/>
          <w:w w:val="105"/>
          <w:sz w:val="13"/>
        </w:rPr>
        <w:t xml:space="preserve"> </w:t>
      </w:r>
      <w:r>
        <w:rPr>
          <w:w w:val="105"/>
          <w:sz w:val="13"/>
        </w:rPr>
        <w:t>Mujer,</w:t>
      </w:r>
      <w:r>
        <w:rPr>
          <w:spacing w:val="-8"/>
          <w:w w:val="105"/>
          <w:sz w:val="13"/>
        </w:rPr>
        <w:t xml:space="preserve"> </w:t>
      </w:r>
      <w:r>
        <w:rPr>
          <w:w w:val="105"/>
          <w:sz w:val="13"/>
        </w:rPr>
        <w:t>OG</w:t>
      </w:r>
      <w:r>
        <w:rPr>
          <w:spacing w:val="-8"/>
          <w:w w:val="105"/>
          <w:sz w:val="13"/>
        </w:rPr>
        <w:t xml:space="preserve"> </w:t>
      </w:r>
      <w:r>
        <w:rPr>
          <w:w w:val="105"/>
          <w:sz w:val="13"/>
        </w:rPr>
        <w:t>c.</w:t>
      </w:r>
      <w:r>
        <w:rPr>
          <w:spacing w:val="-8"/>
          <w:w w:val="105"/>
          <w:sz w:val="13"/>
        </w:rPr>
        <w:t xml:space="preserve"> </w:t>
      </w:r>
      <w:r>
        <w:rPr>
          <w:w w:val="105"/>
          <w:sz w:val="13"/>
        </w:rPr>
        <w:t>Federación</w:t>
      </w:r>
      <w:r>
        <w:rPr>
          <w:spacing w:val="-8"/>
          <w:w w:val="105"/>
          <w:sz w:val="13"/>
        </w:rPr>
        <w:t xml:space="preserve"> </w:t>
      </w:r>
      <w:r>
        <w:rPr>
          <w:w w:val="105"/>
          <w:sz w:val="13"/>
        </w:rPr>
        <w:t>de</w:t>
      </w:r>
      <w:r>
        <w:rPr>
          <w:spacing w:val="-7"/>
          <w:w w:val="105"/>
          <w:sz w:val="13"/>
        </w:rPr>
        <w:t xml:space="preserve"> </w:t>
      </w:r>
      <w:r>
        <w:rPr>
          <w:w w:val="105"/>
          <w:sz w:val="13"/>
        </w:rPr>
        <w:t>Rusia</w:t>
      </w:r>
      <w:r>
        <w:rPr>
          <w:spacing w:val="-8"/>
          <w:w w:val="105"/>
          <w:sz w:val="13"/>
        </w:rPr>
        <w:t xml:space="preserve"> </w:t>
      </w:r>
      <w:r>
        <w:rPr>
          <w:w w:val="105"/>
          <w:sz w:val="13"/>
        </w:rPr>
        <w:t>(CEDAW/C/68/D/91/2015),</w:t>
      </w:r>
      <w:r>
        <w:rPr>
          <w:spacing w:val="-7"/>
          <w:w w:val="105"/>
          <w:sz w:val="13"/>
        </w:rPr>
        <w:t xml:space="preserve"> </w:t>
      </w:r>
      <w:r>
        <w:rPr>
          <w:spacing w:val="-2"/>
          <w:w w:val="105"/>
          <w:sz w:val="13"/>
        </w:rPr>
        <w:t>párr.</w:t>
      </w:r>
    </w:p>
    <w:p w14:paraId="3F238E00" w14:textId="77777777" w:rsidR="0014798C" w:rsidRDefault="004E1F0B">
      <w:pPr>
        <w:spacing w:before="31"/>
        <w:ind w:left="1366"/>
        <w:rPr>
          <w:sz w:val="13"/>
        </w:rPr>
      </w:pPr>
      <w:r>
        <w:rPr>
          <w:sz w:val="13"/>
        </w:rPr>
        <w:t>9</w:t>
      </w:r>
      <w:proofErr w:type="gramStart"/>
      <w:r>
        <w:rPr>
          <w:sz w:val="13"/>
        </w:rPr>
        <w:t>b);</w:t>
      </w:r>
      <w:proofErr w:type="gramEnd"/>
      <w:r>
        <w:rPr>
          <w:spacing w:val="1"/>
          <w:sz w:val="13"/>
        </w:rPr>
        <w:t xml:space="preserve"> </w:t>
      </w:r>
      <w:r>
        <w:rPr>
          <w:sz w:val="13"/>
        </w:rPr>
        <w:t>ES</w:t>
      </w:r>
      <w:r>
        <w:rPr>
          <w:spacing w:val="1"/>
          <w:sz w:val="13"/>
        </w:rPr>
        <w:t xml:space="preserve"> </w:t>
      </w:r>
      <w:r>
        <w:rPr>
          <w:sz w:val="13"/>
        </w:rPr>
        <w:t>y</w:t>
      </w:r>
      <w:r>
        <w:rPr>
          <w:spacing w:val="1"/>
          <w:sz w:val="13"/>
        </w:rPr>
        <w:t xml:space="preserve"> </w:t>
      </w:r>
      <w:r>
        <w:rPr>
          <w:sz w:val="13"/>
        </w:rPr>
        <w:t>SC</w:t>
      </w:r>
      <w:r>
        <w:rPr>
          <w:spacing w:val="2"/>
          <w:sz w:val="13"/>
        </w:rPr>
        <w:t xml:space="preserve"> </w:t>
      </w:r>
      <w:r>
        <w:rPr>
          <w:sz w:val="13"/>
        </w:rPr>
        <w:t>c.</w:t>
      </w:r>
      <w:r>
        <w:rPr>
          <w:spacing w:val="1"/>
          <w:sz w:val="13"/>
        </w:rPr>
        <w:t xml:space="preserve"> </w:t>
      </w:r>
      <w:r>
        <w:rPr>
          <w:sz w:val="13"/>
        </w:rPr>
        <w:t>República</w:t>
      </w:r>
      <w:r>
        <w:rPr>
          <w:spacing w:val="1"/>
          <w:sz w:val="13"/>
        </w:rPr>
        <w:t xml:space="preserve"> </w:t>
      </w:r>
      <w:r>
        <w:rPr>
          <w:sz w:val="13"/>
        </w:rPr>
        <w:t>Unida</w:t>
      </w:r>
      <w:r>
        <w:rPr>
          <w:spacing w:val="1"/>
          <w:sz w:val="13"/>
        </w:rPr>
        <w:t xml:space="preserve"> </w:t>
      </w:r>
      <w:r>
        <w:rPr>
          <w:sz w:val="13"/>
        </w:rPr>
        <w:t>de</w:t>
      </w:r>
      <w:r>
        <w:rPr>
          <w:spacing w:val="2"/>
          <w:sz w:val="13"/>
        </w:rPr>
        <w:t xml:space="preserve"> </w:t>
      </w:r>
      <w:r>
        <w:rPr>
          <w:sz w:val="13"/>
        </w:rPr>
        <w:t>Tanzania</w:t>
      </w:r>
      <w:r>
        <w:rPr>
          <w:spacing w:val="1"/>
          <w:sz w:val="13"/>
        </w:rPr>
        <w:t xml:space="preserve"> </w:t>
      </w:r>
      <w:r>
        <w:rPr>
          <w:sz w:val="13"/>
        </w:rPr>
        <w:t>(CEDAW/C/60/D/48/2013),</w:t>
      </w:r>
      <w:r>
        <w:rPr>
          <w:spacing w:val="2"/>
          <w:sz w:val="13"/>
        </w:rPr>
        <w:t xml:space="preserve"> </w:t>
      </w:r>
      <w:r>
        <w:rPr>
          <w:sz w:val="13"/>
        </w:rPr>
        <w:t>párr.</w:t>
      </w:r>
      <w:r>
        <w:rPr>
          <w:spacing w:val="2"/>
          <w:sz w:val="13"/>
        </w:rPr>
        <w:t xml:space="preserve"> </w:t>
      </w:r>
      <w:r>
        <w:rPr>
          <w:sz w:val="13"/>
        </w:rPr>
        <w:t>9</w:t>
      </w:r>
      <w:proofErr w:type="gramStart"/>
      <w:r>
        <w:rPr>
          <w:sz w:val="13"/>
        </w:rPr>
        <w:t>b);</w:t>
      </w:r>
      <w:proofErr w:type="gramEnd"/>
      <w:r>
        <w:rPr>
          <w:spacing w:val="1"/>
          <w:sz w:val="13"/>
        </w:rPr>
        <w:t xml:space="preserve"> </w:t>
      </w:r>
      <w:r>
        <w:rPr>
          <w:sz w:val="13"/>
        </w:rPr>
        <w:t>y</w:t>
      </w:r>
      <w:r>
        <w:rPr>
          <w:spacing w:val="1"/>
          <w:sz w:val="13"/>
        </w:rPr>
        <w:t xml:space="preserve"> </w:t>
      </w:r>
      <w:r>
        <w:rPr>
          <w:sz w:val="13"/>
        </w:rPr>
        <w:t>LC</w:t>
      </w:r>
      <w:r>
        <w:rPr>
          <w:spacing w:val="1"/>
          <w:sz w:val="13"/>
        </w:rPr>
        <w:t xml:space="preserve"> </w:t>
      </w:r>
      <w:r>
        <w:rPr>
          <w:sz w:val="13"/>
        </w:rPr>
        <w:t>c.</w:t>
      </w:r>
      <w:r>
        <w:rPr>
          <w:spacing w:val="2"/>
          <w:sz w:val="13"/>
        </w:rPr>
        <w:t xml:space="preserve"> </w:t>
      </w:r>
      <w:r>
        <w:rPr>
          <w:sz w:val="13"/>
        </w:rPr>
        <w:t>Perú</w:t>
      </w:r>
      <w:r>
        <w:rPr>
          <w:spacing w:val="1"/>
          <w:sz w:val="13"/>
        </w:rPr>
        <w:t xml:space="preserve"> </w:t>
      </w:r>
      <w:r>
        <w:rPr>
          <w:sz w:val="13"/>
        </w:rPr>
        <w:t>(CEDAW/C/50/D/22/2009),</w:t>
      </w:r>
      <w:r>
        <w:rPr>
          <w:spacing w:val="2"/>
          <w:sz w:val="13"/>
        </w:rPr>
        <w:t xml:space="preserve"> </w:t>
      </w:r>
      <w:r>
        <w:rPr>
          <w:sz w:val="13"/>
        </w:rPr>
        <w:t>párr.</w:t>
      </w:r>
      <w:r>
        <w:rPr>
          <w:spacing w:val="1"/>
          <w:sz w:val="13"/>
        </w:rPr>
        <w:t xml:space="preserve"> </w:t>
      </w:r>
      <w:r>
        <w:rPr>
          <w:spacing w:val="-4"/>
          <w:sz w:val="13"/>
        </w:rPr>
        <w:t>9.2.</w:t>
      </w:r>
    </w:p>
    <w:p w14:paraId="520B7F20" w14:textId="77777777" w:rsidR="0014798C" w:rsidRDefault="0014798C">
      <w:pPr>
        <w:pStyle w:val="Textoindependiente"/>
        <w:rPr>
          <w:sz w:val="12"/>
        </w:rPr>
      </w:pPr>
    </w:p>
    <w:p w14:paraId="1E18C266" w14:textId="77777777" w:rsidR="0014798C" w:rsidRDefault="0014798C">
      <w:pPr>
        <w:pStyle w:val="Textoindependiente"/>
        <w:spacing w:before="27"/>
        <w:rPr>
          <w:sz w:val="12"/>
        </w:rPr>
      </w:pPr>
    </w:p>
    <w:p w14:paraId="36E67961" w14:textId="77777777" w:rsidR="0014798C" w:rsidRDefault="004E1F0B">
      <w:pPr>
        <w:ind w:left="1108"/>
        <w:rPr>
          <w:sz w:val="12"/>
        </w:rPr>
      </w:pPr>
      <w:r>
        <w:rPr>
          <w:w w:val="105"/>
          <w:sz w:val="12"/>
        </w:rPr>
        <w:t>620</w:t>
      </w:r>
      <w:r>
        <w:rPr>
          <w:spacing w:val="-2"/>
          <w:w w:val="105"/>
          <w:sz w:val="12"/>
        </w:rPr>
        <w:t xml:space="preserve"> </w:t>
      </w:r>
      <w:proofErr w:type="spellStart"/>
      <w:r>
        <w:rPr>
          <w:w w:val="105"/>
          <w:sz w:val="12"/>
        </w:rPr>
        <w:t>Iordache</w:t>
      </w:r>
      <w:proofErr w:type="spellEnd"/>
      <w:r>
        <w:rPr>
          <w:spacing w:val="-2"/>
          <w:w w:val="105"/>
          <w:sz w:val="12"/>
        </w:rPr>
        <w:t xml:space="preserve"> </w:t>
      </w:r>
      <w:r>
        <w:rPr>
          <w:w w:val="105"/>
          <w:sz w:val="12"/>
        </w:rPr>
        <w:t>e</w:t>
      </w:r>
      <w:r>
        <w:rPr>
          <w:spacing w:val="-1"/>
          <w:w w:val="105"/>
          <w:sz w:val="12"/>
        </w:rPr>
        <w:t xml:space="preserve"> </w:t>
      </w:r>
      <w:proofErr w:type="spellStart"/>
      <w:r>
        <w:rPr>
          <w:w w:val="105"/>
          <w:sz w:val="12"/>
        </w:rPr>
        <w:t>Ionescu</w:t>
      </w:r>
      <w:proofErr w:type="spellEnd"/>
      <w:r>
        <w:rPr>
          <w:w w:val="105"/>
          <w:sz w:val="12"/>
        </w:rPr>
        <w:t>,</w:t>
      </w:r>
      <w:r>
        <w:rPr>
          <w:spacing w:val="-1"/>
          <w:w w:val="105"/>
          <w:sz w:val="12"/>
        </w:rPr>
        <w:t xml:space="preserve"> </w:t>
      </w:r>
      <w:r>
        <w:rPr>
          <w:w w:val="105"/>
          <w:sz w:val="12"/>
        </w:rPr>
        <w:t>“La</w:t>
      </w:r>
      <w:r>
        <w:rPr>
          <w:spacing w:val="-1"/>
          <w:w w:val="105"/>
          <w:sz w:val="12"/>
        </w:rPr>
        <w:t xml:space="preserve"> </w:t>
      </w:r>
      <w:r>
        <w:rPr>
          <w:w w:val="105"/>
          <w:sz w:val="12"/>
        </w:rPr>
        <w:t>discriminación</w:t>
      </w:r>
      <w:r>
        <w:rPr>
          <w:spacing w:val="-1"/>
          <w:w w:val="105"/>
          <w:sz w:val="12"/>
        </w:rPr>
        <w:t xml:space="preserve"> </w:t>
      </w:r>
      <w:r>
        <w:rPr>
          <w:w w:val="105"/>
          <w:sz w:val="12"/>
        </w:rPr>
        <w:t>y</w:t>
      </w:r>
      <w:r>
        <w:rPr>
          <w:spacing w:val="-1"/>
          <w:w w:val="105"/>
          <w:sz w:val="12"/>
        </w:rPr>
        <w:t xml:space="preserve"> </w:t>
      </w:r>
      <w:r>
        <w:rPr>
          <w:w w:val="105"/>
          <w:sz w:val="12"/>
        </w:rPr>
        <w:t>sus</w:t>
      </w:r>
      <w:r>
        <w:rPr>
          <w:spacing w:val="-2"/>
          <w:w w:val="105"/>
          <w:sz w:val="12"/>
        </w:rPr>
        <w:t xml:space="preserve"> </w:t>
      </w:r>
      <w:r>
        <w:rPr>
          <w:w w:val="105"/>
          <w:sz w:val="12"/>
        </w:rPr>
        <w:t>sanciones”, pág.</w:t>
      </w:r>
      <w:r>
        <w:rPr>
          <w:spacing w:val="-1"/>
          <w:w w:val="105"/>
          <w:sz w:val="12"/>
        </w:rPr>
        <w:t xml:space="preserve"> </w:t>
      </w:r>
      <w:r>
        <w:rPr>
          <w:w w:val="105"/>
          <w:sz w:val="12"/>
        </w:rPr>
        <w:t>19</w:t>
      </w:r>
      <w:r>
        <w:rPr>
          <w:spacing w:val="-1"/>
          <w:w w:val="105"/>
          <w:sz w:val="12"/>
        </w:rPr>
        <w:t xml:space="preserve"> </w:t>
      </w:r>
      <w:r>
        <w:rPr>
          <w:w w:val="105"/>
          <w:sz w:val="12"/>
        </w:rPr>
        <w:t>(nota</w:t>
      </w:r>
      <w:r>
        <w:rPr>
          <w:spacing w:val="-2"/>
          <w:w w:val="105"/>
          <w:sz w:val="12"/>
        </w:rPr>
        <w:t xml:space="preserve"> </w:t>
      </w:r>
      <w:r>
        <w:rPr>
          <w:w w:val="105"/>
          <w:sz w:val="12"/>
        </w:rPr>
        <w:t>a</w:t>
      </w:r>
      <w:r>
        <w:rPr>
          <w:spacing w:val="-1"/>
          <w:w w:val="105"/>
          <w:sz w:val="12"/>
        </w:rPr>
        <w:t xml:space="preserve"> </w:t>
      </w:r>
      <w:r>
        <w:rPr>
          <w:w w:val="105"/>
          <w:sz w:val="12"/>
        </w:rPr>
        <w:t>pie</w:t>
      </w:r>
      <w:r>
        <w:rPr>
          <w:spacing w:val="-2"/>
          <w:w w:val="105"/>
          <w:sz w:val="12"/>
        </w:rPr>
        <w:t xml:space="preserve"> </w:t>
      </w:r>
      <w:r>
        <w:rPr>
          <w:w w:val="105"/>
          <w:sz w:val="12"/>
        </w:rPr>
        <w:t>de</w:t>
      </w:r>
      <w:r>
        <w:rPr>
          <w:spacing w:val="-1"/>
          <w:w w:val="105"/>
          <w:sz w:val="12"/>
        </w:rPr>
        <w:t xml:space="preserve"> </w:t>
      </w:r>
      <w:r>
        <w:rPr>
          <w:w w:val="105"/>
          <w:sz w:val="12"/>
        </w:rPr>
        <w:t>página</w:t>
      </w:r>
      <w:r>
        <w:rPr>
          <w:spacing w:val="-2"/>
          <w:w w:val="105"/>
          <w:sz w:val="12"/>
        </w:rPr>
        <w:t xml:space="preserve"> omitida).</w:t>
      </w:r>
    </w:p>
    <w:p w14:paraId="42CB4C2A" w14:textId="77777777" w:rsidR="0014798C" w:rsidRDefault="004E1F0B">
      <w:pPr>
        <w:spacing w:before="99"/>
        <w:ind w:left="1108"/>
        <w:rPr>
          <w:sz w:val="12"/>
        </w:rPr>
      </w:pPr>
      <w:r>
        <w:rPr>
          <w:w w:val="105"/>
          <w:sz w:val="12"/>
        </w:rPr>
        <w:t>621</w:t>
      </w:r>
      <w:r>
        <w:rPr>
          <w:spacing w:val="-2"/>
          <w:w w:val="105"/>
          <w:sz w:val="12"/>
        </w:rPr>
        <w:t xml:space="preserve"> </w:t>
      </w:r>
      <w:r>
        <w:rPr>
          <w:w w:val="105"/>
          <w:sz w:val="12"/>
        </w:rPr>
        <w:t>Sudáfrica,</w:t>
      </w:r>
      <w:r>
        <w:rPr>
          <w:spacing w:val="-1"/>
          <w:w w:val="105"/>
          <w:sz w:val="12"/>
        </w:rPr>
        <w:t xml:space="preserve"> </w:t>
      </w:r>
      <w:r>
        <w:rPr>
          <w:w w:val="105"/>
          <w:sz w:val="12"/>
        </w:rPr>
        <w:t>Ley</w:t>
      </w:r>
      <w:r>
        <w:rPr>
          <w:spacing w:val="-2"/>
          <w:w w:val="105"/>
          <w:sz w:val="12"/>
        </w:rPr>
        <w:t xml:space="preserve"> </w:t>
      </w:r>
      <w:r>
        <w:rPr>
          <w:w w:val="105"/>
          <w:sz w:val="12"/>
        </w:rPr>
        <w:t>de</w:t>
      </w:r>
      <w:r>
        <w:rPr>
          <w:spacing w:val="-1"/>
          <w:w w:val="105"/>
          <w:sz w:val="12"/>
        </w:rPr>
        <w:t xml:space="preserve"> </w:t>
      </w:r>
      <w:r>
        <w:rPr>
          <w:w w:val="105"/>
          <w:sz w:val="12"/>
        </w:rPr>
        <w:t>Promoción</w:t>
      </w:r>
      <w:r>
        <w:rPr>
          <w:spacing w:val="-2"/>
          <w:w w:val="105"/>
          <w:sz w:val="12"/>
        </w:rPr>
        <w:t xml:space="preserve"> </w:t>
      </w:r>
      <w:r>
        <w:rPr>
          <w:w w:val="105"/>
          <w:sz w:val="12"/>
        </w:rPr>
        <w:t>de</w:t>
      </w:r>
      <w:r>
        <w:rPr>
          <w:spacing w:val="-2"/>
          <w:w w:val="105"/>
          <w:sz w:val="12"/>
        </w:rPr>
        <w:t xml:space="preserve"> </w:t>
      </w:r>
      <w:r>
        <w:rPr>
          <w:w w:val="105"/>
          <w:sz w:val="12"/>
        </w:rPr>
        <w:t>la</w:t>
      </w:r>
      <w:r>
        <w:rPr>
          <w:spacing w:val="-2"/>
          <w:w w:val="105"/>
          <w:sz w:val="12"/>
        </w:rPr>
        <w:t xml:space="preserve"> </w:t>
      </w:r>
      <w:r>
        <w:rPr>
          <w:w w:val="105"/>
          <w:sz w:val="12"/>
        </w:rPr>
        <w:t>Igualdad</w:t>
      </w:r>
      <w:r>
        <w:rPr>
          <w:spacing w:val="-1"/>
          <w:w w:val="105"/>
          <w:sz w:val="12"/>
        </w:rPr>
        <w:t xml:space="preserve"> </w:t>
      </w:r>
      <w:r>
        <w:rPr>
          <w:w w:val="105"/>
          <w:sz w:val="12"/>
        </w:rPr>
        <w:t>y</w:t>
      </w:r>
      <w:r>
        <w:rPr>
          <w:spacing w:val="-2"/>
          <w:w w:val="105"/>
          <w:sz w:val="12"/>
        </w:rPr>
        <w:t xml:space="preserve"> </w:t>
      </w:r>
      <w:r>
        <w:rPr>
          <w:w w:val="105"/>
          <w:sz w:val="12"/>
        </w:rPr>
        <w:t>Prevención</w:t>
      </w:r>
      <w:r>
        <w:rPr>
          <w:spacing w:val="-2"/>
          <w:w w:val="105"/>
          <w:sz w:val="12"/>
        </w:rPr>
        <w:t xml:space="preserve"> </w:t>
      </w:r>
      <w:r>
        <w:rPr>
          <w:w w:val="105"/>
          <w:sz w:val="12"/>
        </w:rPr>
        <w:t>de</w:t>
      </w:r>
      <w:r>
        <w:rPr>
          <w:spacing w:val="-2"/>
          <w:w w:val="105"/>
          <w:sz w:val="12"/>
        </w:rPr>
        <w:t xml:space="preserve"> </w:t>
      </w:r>
      <w:r>
        <w:rPr>
          <w:w w:val="105"/>
          <w:sz w:val="12"/>
        </w:rPr>
        <w:t>la</w:t>
      </w:r>
      <w:r>
        <w:rPr>
          <w:spacing w:val="-1"/>
          <w:w w:val="105"/>
          <w:sz w:val="12"/>
        </w:rPr>
        <w:t xml:space="preserve"> </w:t>
      </w:r>
      <w:r>
        <w:rPr>
          <w:w w:val="105"/>
          <w:sz w:val="12"/>
        </w:rPr>
        <w:t>Discriminación</w:t>
      </w:r>
      <w:r>
        <w:rPr>
          <w:spacing w:val="-1"/>
          <w:w w:val="105"/>
          <w:sz w:val="12"/>
        </w:rPr>
        <w:t xml:space="preserve"> </w:t>
      </w:r>
      <w:r>
        <w:rPr>
          <w:w w:val="105"/>
          <w:sz w:val="12"/>
        </w:rPr>
        <w:t>Injusta,</w:t>
      </w:r>
      <w:r>
        <w:rPr>
          <w:spacing w:val="-1"/>
          <w:w w:val="105"/>
          <w:sz w:val="12"/>
        </w:rPr>
        <w:t xml:space="preserve"> </w:t>
      </w:r>
      <w:r>
        <w:rPr>
          <w:w w:val="105"/>
          <w:sz w:val="12"/>
        </w:rPr>
        <w:t>art.</w:t>
      </w:r>
      <w:r>
        <w:rPr>
          <w:spacing w:val="-1"/>
          <w:w w:val="105"/>
          <w:sz w:val="12"/>
        </w:rPr>
        <w:t xml:space="preserve"> </w:t>
      </w:r>
      <w:r>
        <w:rPr>
          <w:w w:val="105"/>
          <w:sz w:val="12"/>
        </w:rPr>
        <w:t>21</w:t>
      </w:r>
      <w:r>
        <w:rPr>
          <w:spacing w:val="-1"/>
          <w:w w:val="105"/>
          <w:sz w:val="12"/>
        </w:rPr>
        <w:t xml:space="preserve"> </w:t>
      </w:r>
      <w:r>
        <w:rPr>
          <w:spacing w:val="-4"/>
          <w:w w:val="105"/>
          <w:sz w:val="12"/>
        </w:rPr>
        <w:t>(2).</w:t>
      </w:r>
    </w:p>
    <w:p w14:paraId="0C35BD81" w14:textId="77777777" w:rsidR="0014798C" w:rsidRDefault="004E1F0B">
      <w:pPr>
        <w:spacing w:before="98"/>
        <w:ind w:left="1108"/>
        <w:rPr>
          <w:sz w:val="12"/>
        </w:rPr>
      </w:pPr>
      <w:r>
        <w:rPr>
          <w:w w:val="105"/>
          <w:sz w:val="12"/>
        </w:rPr>
        <w:t>622</w:t>
      </w:r>
      <w:r>
        <w:rPr>
          <w:spacing w:val="-3"/>
          <w:w w:val="105"/>
          <w:sz w:val="12"/>
        </w:rPr>
        <w:t xml:space="preserve"> </w:t>
      </w:r>
      <w:r>
        <w:rPr>
          <w:w w:val="105"/>
          <w:sz w:val="12"/>
        </w:rPr>
        <w:t>Esto</w:t>
      </w:r>
      <w:r>
        <w:rPr>
          <w:spacing w:val="-2"/>
          <w:w w:val="105"/>
          <w:sz w:val="12"/>
        </w:rPr>
        <w:t xml:space="preserve"> </w:t>
      </w:r>
      <w:r>
        <w:rPr>
          <w:w w:val="105"/>
          <w:sz w:val="12"/>
        </w:rPr>
        <w:t>incluye</w:t>
      </w:r>
      <w:r>
        <w:rPr>
          <w:spacing w:val="-1"/>
          <w:w w:val="105"/>
          <w:sz w:val="12"/>
        </w:rPr>
        <w:t xml:space="preserve"> </w:t>
      </w:r>
      <w:r>
        <w:rPr>
          <w:w w:val="105"/>
          <w:sz w:val="12"/>
        </w:rPr>
        <w:t>a</w:t>
      </w:r>
      <w:r>
        <w:rPr>
          <w:spacing w:val="-2"/>
          <w:w w:val="105"/>
          <w:sz w:val="12"/>
        </w:rPr>
        <w:t xml:space="preserve"> </w:t>
      </w:r>
      <w:r>
        <w:rPr>
          <w:w w:val="105"/>
          <w:sz w:val="12"/>
        </w:rPr>
        <w:t>Chequia,</w:t>
      </w:r>
      <w:r>
        <w:rPr>
          <w:spacing w:val="-1"/>
          <w:w w:val="105"/>
          <w:sz w:val="12"/>
        </w:rPr>
        <w:t xml:space="preserve"> </w:t>
      </w:r>
      <w:r>
        <w:rPr>
          <w:w w:val="105"/>
          <w:sz w:val="12"/>
        </w:rPr>
        <w:t>Alemania,</w:t>
      </w:r>
      <w:r>
        <w:rPr>
          <w:spacing w:val="-1"/>
          <w:w w:val="105"/>
          <w:sz w:val="12"/>
        </w:rPr>
        <w:t xml:space="preserve"> </w:t>
      </w:r>
      <w:r>
        <w:rPr>
          <w:w w:val="105"/>
          <w:sz w:val="12"/>
        </w:rPr>
        <w:t>Hungría,</w:t>
      </w:r>
      <w:r>
        <w:rPr>
          <w:spacing w:val="-1"/>
          <w:w w:val="105"/>
          <w:sz w:val="12"/>
        </w:rPr>
        <w:t xml:space="preserve"> </w:t>
      </w:r>
      <w:r>
        <w:rPr>
          <w:w w:val="105"/>
          <w:sz w:val="12"/>
        </w:rPr>
        <w:t>Irlanda,</w:t>
      </w:r>
      <w:r>
        <w:rPr>
          <w:spacing w:val="-1"/>
          <w:w w:val="105"/>
          <w:sz w:val="12"/>
        </w:rPr>
        <w:t xml:space="preserve"> </w:t>
      </w:r>
      <w:r>
        <w:rPr>
          <w:w w:val="105"/>
          <w:sz w:val="12"/>
        </w:rPr>
        <w:t>Macedonia</w:t>
      </w:r>
      <w:r>
        <w:rPr>
          <w:spacing w:val="-1"/>
          <w:w w:val="105"/>
          <w:sz w:val="12"/>
        </w:rPr>
        <w:t xml:space="preserve"> </w:t>
      </w:r>
      <w:r>
        <w:rPr>
          <w:w w:val="105"/>
          <w:sz w:val="12"/>
        </w:rPr>
        <w:t>del</w:t>
      </w:r>
      <w:r>
        <w:rPr>
          <w:spacing w:val="-2"/>
          <w:w w:val="105"/>
          <w:sz w:val="12"/>
        </w:rPr>
        <w:t xml:space="preserve"> </w:t>
      </w:r>
      <w:r>
        <w:rPr>
          <w:w w:val="105"/>
          <w:sz w:val="12"/>
        </w:rPr>
        <w:t>Norte,</w:t>
      </w:r>
      <w:r>
        <w:rPr>
          <w:spacing w:val="-1"/>
          <w:w w:val="105"/>
          <w:sz w:val="12"/>
        </w:rPr>
        <w:t xml:space="preserve"> </w:t>
      </w:r>
      <w:r>
        <w:rPr>
          <w:w w:val="105"/>
          <w:sz w:val="12"/>
        </w:rPr>
        <w:t>Portugal</w:t>
      </w:r>
      <w:r>
        <w:rPr>
          <w:spacing w:val="-2"/>
          <w:w w:val="105"/>
          <w:sz w:val="12"/>
        </w:rPr>
        <w:t xml:space="preserve"> </w:t>
      </w:r>
      <w:r>
        <w:rPr>
          <w:w w:val="105"/>
          <w:sz w:val="12"/>
        </w:rPr>
        <w:t>y</w:t>
      </w:r>
      <w:r>
        <w:rPr>
          <w:spacing w:val="-2"/>
          <w:w w:val="105"/>
          <w:sz w:val="12"/>
        </w:rPr>
        <w:t xml:space="preserve"> </w:t>
      </w:r>
      <w:r>
        <w:rPr>
          <w:w w:val="105"/>
          <w:sz w:val="12"/>
        </w:rPr>
        <w:t>Rumania.</w:t>
      </w:r>
      <w:r>
        <w:rPr>
          <w:spacing w:val="-1"/>
          <w:w w:val="105"/>
          <w:sz w:val="12"/>
        </w:rPr>
        <w:t xml:space="preserve"> </w:t>
      </w:r>
      <w:r>
        <w:rPr>
          <w:w w:val="105"/>
          <w:sz w:val="12"/>
        </w:rPr>
        <w:t>Véase</w:t>
      </w:r>
      <w:r>
        <w:rPr>
          <w:spacing w:val="-3"/>
          <w:w w:val="105"/>
          <w:sz w:val="12"/>
        </w:rPr>
        <w:t xml:space="preserve"> </w:t>
      </w:r>
      <w:proofErr w:type="spellStart"/>
      <w:r>
        <w:rPr>
          <w:w w:val="105"/>
          <w:sz w:val="12"/>
        </w:rPr>
        <w:t>Iordache</w:t>
      </w:r>
      <w:proofErr w:type="spellEnd"/>
      <w:r>
        <w:rPr>
          <w:spacing w:val="-2"/>
          <w:w w:val="105"/>
          <w:sz w:val="12"/>
        </w:rPr>
        <w:t xml:space="preserve"> </w:t>
      </w:r>
      <w:r>
        <w:rPr>
          <w:w w:val="105"/>
          <w:sz w:val="12"/>
        </w:rPr>
        <w:t>e</w:t>
      </w:r>
      <w:r>
        <w:rPr>
          <w:spacing w:val="-2"/>
          <w:w w:val="105"/>
          <w:sz w:val="12"/>
        </w:rPr>
        <w:t xml:space="preserve"> </w:t>
      </w:r>
      <w:proofErr w:type="spellStart"/>
      <w:r>
        <w:rPr>
          <w:w w:val="105"/>
          <w:sz w:val="12"/>
        </w:rPr>
        <w:t>Ionescu</w:t>
      </w:r>
      <w:proofErr w:type="spellEnd"/>
      <w:r>
        <w:rPr>
          <w:w w:val="105"/>
          <w:sz w:val="12"/>
        </w:rPr>
        <w:t>,</w:t>
      </w:r>
      <w:r>
        <w:rPr>
          <w:spacing w:val="-1"/>
          <w:w w:val="105"/>
          <w:sz w:val="12"/>
        </w:rPr>
        <w:t xml:space="preserve"> </w:t>
      </w:r>
      <w:r>
        <w:rPr>
          <w:spacing w:val="-2"/>
          <w:w w:val="105"/>
          <w:sz w:val="12"/>
        </w:rPr>
        <w:t>“</w:t>
      </w:r>
      <w:proofErr w:type="spellStart"/>
      <w:r>
        <w:rPr>
          <w:spacing w:val="-2"/>
          <w:w w:val="105"/>
          <w:sz w:val="12"/>
        </w:rPr>
        <w:t>Discrimination</w:t>
      </w:r>
      <w:proofErr w:type="spellEnd"/>
    </w:p>
    <w:p w14:paraId="04B3B3F7" w14:textId="77777777" w:rsidR="0014798C" w:rsidRDefault="004E1F0B">
      <w:pPr>
        <w:spacing w:before="5"/>
        <w:ind w:left="1369"/>
        <w:rPr>
          <w:sz w:val="13"/>
        </w:rPr>
      </w:pPr>
      <w:r>
        <w:rPr>
          <w:w w:val="105"/>
          <w:sz w:val="13"/>
        </w:rPr>
        <w:t>y</w:t>
      </w:r>
      <w:r>
        <w:rPr>
          <w:spacing w:val="-7"/>
          <w:w w:val="105"/>
          <w:sz w:val="13"/>
        </w:rPr>
        <w:t xml:space="preserve"> </w:t>
      </w:r>
      <w:r>
        <w:rPr>
          <w:w w:val="105"/>
          <w:sz w:val="13"/>
        </w:rPr>
        <w:t>sus</w:t>
      </w:r>
      <w:r>
        <w:rPr>
          <w:spacing w:val="-7"/>
          <w:w w:val="105"/>
          <w:sz w:val="13"/>
        </w:rPr>
        <w:t xml:space="preserve"> </w:t>
      </w:r>
      <w:r>
        <w:rPr>
          <w:w w:val="105"/>
          <w:sz w:val="13"/>
        </w:rPr>
        <w:t>sanciones”,</w:t>
      </w:r>
      <w:r>
        <w:rPr>
          <w:spacing w:val="-7"/>
          <w:w w:val="105"/>
          <w:sz w:val="13"/>
        </w:rPr>
        <w:t xml:space="preserve"> </w:t>
      </w:r>
      <w:r>
        <w:rPr>
          <w:w w:val="105"/>
          <w:sz w:val="13"/>
        </w:rPr>
        <w:t>pág.</w:t>
      </w:r>
      <w:r>
        <w:rPr>
          <w:spacing w:val="-7"/>
          <w:w w:val="105"/>
          <w:sz w:val="13"/>
        </w:rPr>
        <w:t xml:space="preserve"> </w:t>
      </w:r>
      <w:r>
        <w:rPr>
          <w:spacing w:val="-5"/>
          <w:w w:val="105"/>
          <w:sz w:val="13"/>
        </w:rPr>
        <w:t>19.</w:t>
      </w:r>
    </w:p>
    <w:p w14:paraId="7D0BC3BF" w14:textId="77777777" w:rsidR="0014798C" w:rsidRDefault="004E1F0B">
      <w:pPr>
        <w:spacing w:before="124"/>
        <w:ind w:left="1108"/>
        <w:rPr>
          <w:sz w:val="12"/>
        </w:rPr>
      </w:pPr>
      <w:r>
        <w:rPr>
          <w:w w:val="105"/>
          <w:sz w:val="12"/>
        </w:rPr>
        <w:t>623</w:t>
      </w:r>
      <w:r>
        <w:rPr>
          <w:spacing w:val="-2"/>
          <w:w w:val="105"/>
          <w:sz w:val="12"/>
        </w:rPr>
        <w:t xml:space="preserve"> </w:t>
      </w:r>
      <w:proofErr w:type="spellStart"/>
      <w:r>
        <w:rPr>
          <w:w w:val="105"/>
          <w:sz w:val="12"/>
        </w:rPr>
        <w:t>Ibíd</w:t>
      </w:r>
      <w:proofErr w:type="spellEnd"/>
      <w:r>
        <w:rPr>
          <w:w w:val="105"/>
          <w:sz w:val="12"/>
        </w:rPr>
        <w:t>. Por</w:t>
      </w:r>
      <w:r>
        <w:rPr>
          <w:spacing w:val="-1"/>
          <w:w w:val="105"/>
          <w:sz w:val="12"/>
        </w:rPr>
        <w:t xml:space="preserve"> </w:t>
      </w:r>
      <w:r>
        <w:rPr>
          <w:w w:val="105"/>
          <w:sz w:val="12"/>
        </w:rPr>
        <w:t xml:space="preserve">ejemplo, </w:t>
      </w:r>
      <w:r>
        <w:rPr>
          <w:spacing w:val="-2"/>
          <w:w w:val="105"/>
          <w:sz w:val="12"/>
        </w:rPr>
        <w:t>Italia.</w:t>
      </w:r>
    </w:p>
    <w:p w14:paraId="47617F5B" w14:textId="77777777" w:rsidR="0014798C" w:rsidRDefault="004E1F0B">
      <w:pPr>
        <w:spacing w:before="98"/>
        <w:ind w:left="1108"/>
        <w:rPr>
          <w:sz w:val="12"/>
        </w:rPr>
      </w:pPr>
      <w:r>
        <w:rPr>
          <w:w w:val="105"/>
          <w:sz w:val="12"/>
        </w:rPr>
        <w:t>624</w:t>
      </w:r>
      <w:r>
        <w:rPr>
          <w:spacing w:val="-2"/>
          <w:w w:val="105"/>
          <w:sz w:val="12"/>
        </w:rPr>
        <w:t xml:space="preserve"> </w:t>
      </w:r>
      <w:proofErr w:type="spellStart"/>
      <w:r>
        <w:rPr>
          <w:w w:val="105"/>
          <w:sz w:val="12"/>
        </w:rPr>
        <w:t>Ibíd</w:t>
      </w:r>
      <w:proofErr w:type="spellEnd"/>
      <w:r>
        <w:rPr>
          <w:w w:val="105"/>
          <w:sz w:val="12"/>
        </w:rPr>
        <w:t>. Por</w:t>
      </w:r>
      <w:r>
        <w:rPr>
          <w:spacing w:val="-1"/>
          <w:w w:val="105"/>
          <w:sz w:val="12"/>
        </w:rPr>
        <w:t xml:space="preserve"> </w:t>
      </w:r>
      <w:r>
        <w:rPr>
          <w:w w:val="105"/>
          <w:sz w:val="12"/>
        </w:rPr>
        <w:t>ejemplo, Chequia</w:t>
      </w:r>
      <w:r>
        <w:rPr>
          <w:spacing w:val="-1"/>
          <w:w w:val="105"/>
          <w:sz w:val="12"/>
        </w:rPr>
        <w:t xml:space="preserve"> </w:t>
      </w:r>
      <w:r>
        <w:rPr>
          <w:w w:val="105"/>
          <w:sz w:val="12"/>
        </w:rPr>
        <w:t>y</w:t>
      </w:r>
      <w:r>
        <w:rPr>
          <w:spacing w:val="-2"/>
          <w:w w:val="105"/>
          <w:sz w:val="12"/>
        </w:rPr>
        <w:t xml:space="preserve"> Portugal.</w:t>
      </w:r>
    </w:p>
    <w:p w14:paraId="025FA166" w14:textId="77777777" w:rsidR="0014798C" w:rsidRDefault="004E1F0B">
      <w:pPr>
        <w:spacing w:before="62"/>
        <w:ind w:left="1108"/>
        <w:rPr>
          <w:sz w:val="13"/>
        </w:rPr>
      </w:pPr>
      <w:r>
        <w:rPr>
          <w:w w:val="105"/>
          <w:sz w:val="13"/>
          <w:vertAlign w:val="superscript"/>
        </w:rPr>
        <w:t>625</w:t>
      </w:r>
      <w:r>
        <w:rPr>
          <w:spacing w:val="59"/>
          <w:w w:val="105"/>
          <w:sz w:val="13"/>
        </w:rPr>
        <w:t xml:space="preserve"> </w:t>
      </w:r>
      <w:r>
        <w:rPr>
          <w:w w:val="105"/>
          <w:sz w:val="13"/>
        </w:rPr>
        <w:t>Corte</w:t>
      </w:r>
      <w:r>
        <w:rPr>
          <w:spacing w:val="-7"/>
          <w:w w:val="105"/>
          <w:sz w:val="13"/>
        </w:rPr>
        <w:t xml:space="preserve"> </w:t>
      </w:r>
      <w:r>
        <w:rPr>
          <w:w w:val="105"/>
          <w:sz w:val="13"/>
        </w:rPr>
        <w:t>Suprema</w:t>
      </w:r>
      <w:r>
        <w:rPr>
          <w:spacing w:val="-8"/>
          <w:w w:val="105"/>
          <w:sz w:val="13"/>
        </w:rPr>
        <w:t xml:space="preserve"> </w:t>
      </w:r>
      <w:r>
        <w:rPr>
          <w:w w:val="105"/>
          <w:sz w:val="13"/>
        </w:rPr>
        <w:t>de</w:t>
      </w:r>
      <w:r>
        <w:rPr>
          <w:spacing w:val="-7"/>
          <w:w w:val="105"/>
          <w:sz w:val="13"/>
        </w:rPr>
        <w:t xml:space="preserve"> </w:t>
      </w:r>
      <w:r>
        <w:rPr>
          <w:w w:val="105"/>
          <w:sz w:val="13"/>
        </w:rPr>
        <w:t>Canadá,</w:t>
      </w:r>
      <w:r>
        <w:rPr>
          <w:spacing w:val="-8"/>
          <w:w w:val="105"/>
          <w:sz w:val="13"/>
        </w:rPr>
        <w:t xml:space="preserve"> </w:t>
      </w:r>
      <w:r>
        <w:rPr>
          <w:w w:val="105"/>
          <w:sz w:val="13"/>
        </w:rPr>
        <w:t>Doucet-</w:t>
      </w:r>
      <w:proofErr w:type="spellStart"/>
      <w:r>
        <w:rPr>
          <w:w w:val="105"/>
          <w:sz w:val="13"/>
        </w:rPr>
        <w:t>Boudreau</w:t>
      </w:r>
      <w:proofErr w:type="spellEnd"/>
      <w:r>
        <w:rPr>
          <w:spacing w:val="-7"/>
          <w:w w:val="105"/>
          <w:sz w:val="13"/>
        </w:rPr>
        <w:t xml:space="preserve"> </w:t>
      </w:r>
      <w:r>
        <w:rPr>
          <w:w w:val="105"/>
          <w:sz w:val="13"/>
        </w:rPr>
        <w:t>contra</w:t>
      </w:r>
      <w:r>
        <w:rPr>
          <w:spacing w:val="-8"/>
          <w:w w:val="105"/>
          <w:sz w:val="13"/>
        </w:rPr>
        <w:t xml:space="preserve"> </w:t>
      </w:r>
      <w:r>
        <w:rPr>
          <w:w w:val="105"/>
          <w:sz w:val="13"/>
        </w:rPr>
        <w:t>Nueva</w:t>
      </w:r>
      <w:r>
        <w:rPr>
          <w:spacing w:val="-8"/>
          <w:w w:val="105"/>
          <w:sz w:val="13"/>
        </w:rPr>
        <w:t xml:space="preserve"> </w:t>
      </w:r>
      <w:r>
        <w:rPr>
          <w:w w:val="105"/>
          <w:sz w:val="13"/>
        </w:rPr>
        <w:t>Escocia</w:t>
      </w:r>
      <w:r>
        <w:rPr>
          <w:spacing w:val="-7"/>
          <w:w w:val="105"/>
          <w:sz w:val="13"/>
        </w:rPr>
        <w:t xml:space="preserve"> </w:t>
      </w:r>
      <w:r>
        <w:rPr>
          <w:w w:val="105"/>
          <w:sz w:val="13"/>
        </w:rPr>
        <w:t>(Ministro</w:t>
      </w:r>
      <w:r>
        <w:rPr>
          <w:spacing w:val="-8"/>
          <w:w w:val="105"/>
          <w:sz w:val="13"/>
        </w:rPr>
        <w:t xml:space="preserve"> </w:t>
      </w:r>
      <w:r>
        <w:rPr>
          <w:w w:val="105"/>
          <w:sz w:val="13"/>
        </w:rPr>
        <w:t>de</w:t>
      </w:r>
      <w:r>
        <w:rPr>
          <w:spacing w:val="-7"/>
          <w:w w:val="105"/>
          <w:sz w:val="13"/>
        </w:rPr>
        <w:t xml:space="preserve"> </w:t>
      </w:r>
      <w:r>
        <w:rPr>
          <w:w w:val="105"/>
          <w:sz w:val="13"/>
        </w:rPr>
        <w:t>Educación)</w:t>
      </w:r>
      <w:r>
        <w:rPr>
          <w:spacing w:val="-8"/>
          <w:w w:val="105"/>
          <w:sz w:val="13"/>
        </w:rPr>
        <w:t xml:space="preserve"> </w:t>
      </w:r>
      <w:r>
        <w:rPr>
          <w:w w:val="105"/>
          <w:sz w:val="13"/>
        </w:rPr>
        <w:t>[2003]</w:t>
      </w:r>
      <w:r>
        <w:rPr>
          <w:spacing w:val="-7"/>
          <w:w w:val="105"/>
          <w:sz w:val="13"/>
        </w:rPr>
        <w:t xml:space="preserve"> </w:t>
      </w:r>
      <w:r>
        <w:rPr>
          <w:w w:val="105"/>
          <w:sz w:val="13"/>
        </w:rPr>
        <w:t>SCC</w:t>
      </w:r>
      <w:r>
        <w:rPr>
          <w:spacing w:val="-8"/>
          <w:w w:val="105"/>
          <w:sz w:val="13"/>
        </w:rPr>
        <w:t xml:space="preserve"> </w:t>
      </w:r>
      <w:r>
        <w:rPr>
          <w:spacing w:val="-5"/>
          <w:w w:val="105"/>
          <w:sz w:val="13"/>
        </w:rPr>
        <w:t>62.</w:t>
      </w:r>
    </w:p>
    <w:p w14:paraId="29BF89A4" w14:textId="77777777" w:rsidR="0014798C" w:rsidRDefault="0014798C">
      <w:pPr>
        <w:pStyle w:val="Textoindependiente"/>
        <w:rPr>
          <w:sz w:val="18"/>
        </w:rPr>
      </w:pPr>
    </w:p>
    <w:p w14:paraId="34102C47" w14:textId="77777777" w:rsidR="0014798C" w:rsidRDefault="0014798C">
      <w:pPr>
        <w:pStyle w:val="Textoindependiente"/>
        <w:rPr>
          <w:sz w:val="18"/>
        </w:rPr>
      </w:pPr>
    </w:p>
    <w:p w14:paraId="6B7F6626" w14:textId="77777777" w:rsidR="0014798C" w:rsidRDefault="0014798C">
      <w:pPr>
        <w:pStyle w:val="Textoindependiente"/>
        <w:spacing w:before="20"/>
        <w:rPr>
          <w:sz w:val="18"/>
        </w:rPr>
      </w:pPr>
    </w:p>
    <w:p w14:paraId="117EAF27" w14:textId="77777777" w:rsidR="0014798C" w:rsidRDefault="004E1F0B">
      <w:pPr>
        <w:ind w:left="560"/>
        <w:rPr>
          <w:sz w:val="18"/>
        </w:rPr>
      </w:pPr>
      <w:r>
        <w:rPr>
          <w:spacing w:val="-5"/>
          <w:sz w:val="18"/>
        </w:rPr>
        <w:t>82</w:t>
      </w:r>
    </w:p>
    <w:p w14:paraId="44121BA6" w14:textId="77777777" w:rsidR="0014798C" w:rsidRDefault="0014798C">
      <w:pPr>
        <w:rPr>
          <w:sz w:val="18"/>
        </w:rPr>
        <w:sectPr w:rsidR="0014798C" w:rsidSect="00F265E4">
          <w:pgSz w:w="11900" w:h="16820"/>
          <w:pgMar w:top="340" w:right="0" w:bottom="280" w:left="200" w:header="121" w:footer="0" w:gutter="0"/>
          <w:cols w:space="720"/>
        </w:sectPr>
      </w:pPr>
    </w:p>
    <w:p w14:paraId="05BB76CA" w14:textId="77777777" w:rsidR="0014798C" w:rsidRDefault="0014798C">
      <w:pPr>
        <w:pStyle w:val="Textoindependiente"/>
        <w:spacing w:before="51"/>
        <w:rPr>
          <w:sz w:val="14"/>
        </w:rPr>
      </w:pPr>
    </w:p>
    <w:p w14:paraId="03C8E1CD" w14:textId="77777777" w:rsidR="0014798C" w:rsidRDefault="004E1F0B">
      <w:pPr>
        <w:ind w:left="1111"/>
        <w:rPr>
          <w:sz w:val="14"/>
        </w:rPr>
      </w:pPr>
      <w:r>
        <w:rPr>
          <w:color w:val="00AC59"/>
          <w:sz w:val="14"/>
        </w:rPr>
        <w:t>SEGUNDA</w:t>
      </w:r>
      <w:r>
        <w:rPr>
          <w:color w:val="00AC59"/>
          <w:spacing w:val="-5"/>
          <w:sz w:val="14"/>
        </w:rPr>
        <w:t xml:space="preserve"> </w:t>
      </w:r>
      <w:r>
        <w:rPr>
          <w:color w:val="00AC59"/>
          <w:sz w:val="14"/>
        </w:rPr>
        <w:t>PARTE:</w:t>
      </w:r>
      <w:r>
        <w:rPr>
          <w:color w:val="00AC59"/>
          <w:spacing w:val="-5"/>
          <w:sz w:val="14"/>
        </w:rPr>
        <w:t xml:space="preserve"> </w:t>
      </w:r>
      <w:r>
        <w:rPr>
          <w:color w:val="00AC59"/>
          <w:sz w:val="14"/>
        </w:rPr>
        <w:t>CONTENIDO</w:t>
      </w:r>
      <w:r>
        <w:rPr>
          <w:color w:val="00AC59"/>
          <w:spacing w:val="-4"/>
          <w:sz w:val="14"/>
        </w:rPr>
        <w:t xml:space="preserve"> </w:t>
      </w:r>
      <w:r>
        <w:rPr>
          <w:color w:val="00AC59"/>
          <w:sz w:val="14"/>
        </w:rPr>
        <w:t>DE</w:t>
      </w:r>
      <w:r>
        <w:rPr>
          <w:color w:val="00AC59"/>
          <w:spacing w:val="-5"/>
          <w:sz w:val="14"/>
        </w:rPr>
        <w:t xml:space="preserve"> </w:t>
      </w:r>
      <w:r>
        <w:rPr>
          <w:color w:val="00AC59"/>
          <w:sz w:val="14"/>
        </w:rPr>
        <w:t>LA</w:t>
      </w:r>
      <w:r>
        <w:rPr>
          <w:color w:val="00AC59"/>
          <w:spacing w:val="-4"/>
          <w:sz w:val="14"/>
        </w:rPr>
        <w:t xml:space="preserve"> </w:t>
      </w:r>
      <w:r>
        <w:rPr>
          <w:color w:val="00AC59"/>
          <w:sz w:val="14"/>
        </w:rPr>
        <w:t>LEY</w:t>
      </w:r>
      <w:r>
        <w:rPr>
          <w:color w:val="00AC59"/>
          <w:spacing w:val="-4"/>
          <w:sz w:val="14"/>
        </w:rPr>
        <w:t xml:space="preserve"> </w:t>
      </w:r>
      <w:r>
        <w:rPr>
          <w:color w:val="00AC59"/>
          <w:sz w:val="14"/>
        </w:rPr>
        <w:t>INTEGRAL</w:t>
      </w:r>
      <w:r>
        <w:rPr>
          <w:color w:val="00AC59"/>
          <w:spacing w:val="-5"/>
          <w:sz w:val="14"/>
        </w:rPr>
        <w:t xml:space="preserve"> </w:t>
      </w:r>
      <w:r>
        <w:rPr>
          <w:color w:val="00AC59"/>
          <w:spacing w:val="-2"/>
          <w:sz w:val="14"/>
        </w:rPr>
        <w:t>ANTIDISCRIMINACIÓN</w:t>
      </w:r>
    </w:p>
    <w:p w14:paraId="4C8B34B6" w14:textId="77777777" w:rsidR="0014798C" w:rsidRDefault="0014798C">
      <w:pPr>
        <w:pStyle w:val="Textoindependiente"/>
      </w:pPr>
    </w:p>
    <w:p w14:paraId="13720FA6" w14:textId="77777777" w:rsidR="0014798C" w:rsidRDefault="0014798C">
      <w:pPr>
        <w:pStyle w:val="Textoindependiente"/>
      </w:pPr>
    </w:p>
    <w:p w14:paraId="19CF0B81" w14:textId="77777777" w:rsidR="0014798C" w:rsidRDefault="0014798C">
      <w:pPr>
        <w:pStyle w:val="Textoindependiente"/>
      </w:pPr>
    </w:p>
    <w:p w14:paraId="36F9102E" w14:textId="77777777" w:rsidR="0014798C" w:rsidRDefault="0014798C">
      <w:pPr>
        <w:pStyle w:val="Textoindependiente"/>
      </w:pPr>
    </w:p>
    <w:p w14:paraId="0BEE9705" w14:textId="77777777" w:rsidR="0014798C" w:rsidRDefault="0014798C">
      <w:pPr>
        <w:pStyle w:val="Textoindependiente"/>
        <w:spacing w:before="61"/>
      </w:pPr>
    </w:p>
    <w:p w14:paraId="5B245A48" w14:textId="77777777" w:rsidR="0014798C" w:rsidRDefault="004E1F0B">
      <w:pPr>
        <w:pStyle w:val="Textoindependiente"/>
        <w:spacing w:line="326" w:lineRule="auto"/>
        <w:ind w:left="1332" w:right="1463"/>
      </w:pPr>
      <w:r>
        <w:rPr>
          <w:noProof/>
        </w:rPr>
        <w:drawing>
          <wp:anchor distT="0" distB="0" distL="0" distR="0" simplePos="0" relativeHeight="251658422" behindDoc="1" locked="0" layoutInCell="1" allowOverlap="1" wp14:anchorId="52A3B62E" wp14:editId="6D90F1D4">
            <wp:simplePos x="0" y="0"/>
            <wp:positionH relativeFrom="page">
              <wp:posOffset>808662</wp:posOffset>
            </wp:positionH>
            <wp:positionV relativeFrom="paragraph">
              <wp:posOffset>-152463</wp:posOffset>
            </wp:positionV>
            <wp:extent cx="6747837" cy="8016141"/>
            <wp:effectExtent l="0" t="0" r="0" b="0"/>
            <wp:wrapNone/>
            <wp:docPr id="192" name="Image 19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92" name="Image 192"/>
                    <pic:cNvPicPr/>
                  </pic:nvPicPr>
                  <pic:blipFill>
                    <a:blip r:embed="rId172" cstate="print"/>
                    <a:stretch>
                      <a:fillRect/>
                    </a:stretch>
                  </pic:blipFill>
                  <pic:spPr>
                    <a:xfrm>
                      <a:off x="0" y="0"/>
                      <a:ext cx="6747837" cy="8016141"/>
                    </a:xfrm>
                    <a:prstGeom prst="rect">
                      <a:avLst/>
                    </a:prstGeom>
                  </pic:spPr>
                </pic:pic>
              </a:graphicData>
            </a:graphic>
          </wp:anchor>
        </w:drawing>
      </w:r>
      <w:r>
        <w:t>En 2004, la Corte Constitucional de Colombia emitió una sentencia histórica protegiendo los derechos de las personas sometidas</w:t>
      </w:r>
      <w:r>
        <w:rPr>
          <w:spacing w:val="25"/>
        </w:rPr>
        <w:t xml:space="preserve"> </w:t>
      </w:r>
      <w:r>
        <w:t>a</w:t>
      </w:r>
      <w:r>
        <w:rPr>
          <w:spacing w:val="25"/>
        </w:rPr>
        <w:t xml:space="preserve"> </w:t>
      </w:r>
      <w:r>
        <w:t>desplazamiento</w:t>
      </w:r>
      <w:r>
        <w:rPr>
          <w:spacing w:val="25"/>
        </w:rPr>
        <w:t xml:space="preserve"> </w:t>
      </w:r>
      <w:r>
        <w:t>forzado.626</w:t>
      </w:r>
      <w:r>
        <w:rPr>
          <w:spacing w:val="25"/>
        </w:rPr>
        <w:t xml:space="preserve"> </w:t>
      </w:r>
      <w:r>
        <w:t>Habiendo</w:t>
      </w:r>
      <w:r>
        <w:rPr>
          <w:spacing w:val="25"/>
        </w:rPr>
        <w:t xml:space="preserve"> </w:t>
      </w:r>
      <w:r>
        <w:t>emitido</w:t>
      </w:r>
      <w:r>
        <w:rPr>
          <w:spacing w:val="25"/>
        </w:rPr>
        <w:t xml:space="preserve"> </w:t>
      </w:r>
      <w:r>
        <w:t>17</w:t>
      </w:r>
      <w:r>
        <w:rPr>
          <w:spacing w:val="25"/>
        </w:rPr>
        <w:t xml:space="preserve"> </w:t>
      </w:r>
      <w:r>
        <w:t>sentencias</w:t>
      </w:r>
      <w:r>
        <w:rPr>
          <w:spacing w:val="25"/>
        </w:rPr>
        <w:t xml:space="preserve"> </w:t>
      </w:r>
      <w:r>
        <w:t>anteriores</w:t>
      </w:r>
      <w:r>
        <w:rPr>
          <w:spacing w:val="25"/>
        </w:rPr>
        <w:t xml:space="preserve"> </w:t>
      </w:r>
      <w:r>
        <w:t>que</w:t>
      </w:r>
      <w:r>
        <w:rPr>
          <w:spacing w:val="25"/>
        </w:rPr>
        <w:t xml:space="preserve"> </w:t>
      </w:r>
      <w:r>
        <w:t>abordaban</w:t>
      </w:r>
      <w:r>
        <w:rPr>
          <w:spacing w:val="25"/>
        </w:rPr>
        <w:t xml:space="preserve"> </w:t>
      </w:r>
      <w:r>
        <w:t>cuestiones individuales</w:t>
      </w:r>
      <w:r>
        <w:rPr>
          <w:spacing w:val="18"/>
        </w:rPr>
        <w:t xml:space="preserve"> </w:t>
      </w:r>
      <w:r>
        <w:t>y</w:t>
      </w:r>
      <w:r>
        <w:rPr>
          <w:spacing w:val="18"/>
        </w:rPr>
        <w:t xml:space="preserve"> </w:t>
      </w:r>
      <w:r>
        <w:t>generales</w:t>
      </w:r>
      <w:r>
        <w:rPr>
          <w:spacing w:val="18"/>
        </w:rPr>
        <w:t xml:space="preserve"> </w:t>
      </w:r>
      <w:r>
        <w:t>relativas</w:t>
      </w:r>
      <w:r>
        <w:rPr>
          <w:spacing w:val="18"/>
        </w:rPr>
        <w:t xml:space="preserve"> </w:t>
      </w:r>
      <w:r>
        <w:t>a</w:t>
      </w:r>
      <w:r>
        <w:rPr>
          <w:spacing w:val="18"/>
        </w:rPr>
        <w:t xml:space="preserve"> </w:t>
      </w:r>
      <w:r>
        <w:t>la</w:t>
      </w:r>
      <w:r>
        <w:rPr>
          <w:spacing w:val="18"/>
        </w:rPr>
        <w:t xml:space="preserve"> </w:t>
      </w:r>
      <w:r>
        <w:t>situación</w:t>
      </w:r>
      <w:r>
        <w:rPr>
          <w:spacing w:val="18"/>
        </w:rPr>
        <w:t xml:space="preserve"> </w:t>
      </w:r>
      <w:r>
        <w:t>precaria</w:t>
      </w:r>
      <w:r>
        <w:rPr>
          <w:spacing w:val="19"/>
        </w:rPr>
        <w:t xml:space="preserve"> </w:t>
      </w:r>
      <w:r>
        <w:t>de</w:t>
      </w:r>
      <w:r>
        <w:rPr>
          <w:spacing w:val="18"/>
        </w:rPr>
        <w:t xml:space="preserve"> </w:t>
      </w:r>
      <w:r>
        <w:t>las</w:t>
      </w:r>
      <w:r>
        <w:rPr>
          <w:spacing w:val="18"/>
        </w:rPr>
        <w:t xml:space="preserve"> </w:t>
      </w:r>
      <w:r>
        <w:t>personas</w:t>
      </w:r>
      <w:r>
        <w:rPr>
          <w:spacing w:val="18"/>
        </w:rPr>
        <w:t xml:space="preserve"> </w:t>
      </w:r>
      <w:r>
        <w:t>sometidas</w:t>
      </w:r>
      <w:r>
        <w:rPr>
          <w:spacing w:val="18"/>
        </w:rPr>
        <w:t xml:space="preserve"> </w:t>
      </w:r>
      <w:r>
        <w:t>a</w:t>
      </w:r>
      <w:r>
        <w:rPr>
          <w:spacing w:val="18"/>
        </w:rPr>
        <w:t xml:space="preserve"> </w:t>
      </w:r>
      <w:r>
        <w:t>desplazamiento</w:t>
      </w:r>
      <w:r>
        <w:rPr>
          <w:spacing w:val="18"/>
        </w:rPr>
        <w:t xml:space="preserve"> </w:t>
      </w:r>
      <w:r>
        <w:t>forzado,</w:t>
      </w:r>
      <w:r>
        <w:rPr>
          <w:spacing w:val="19"/>
        </w:rPr>
        <w:t xml:space="preserve"> </w:t>
      </w:r>
      <w:r>
        <w:t>la</w:t>
      </w:r>
      <w:r>
        <w:rPr>
          <w:spacing w:val="18"/>
        </w:rPr>
        <w:t xml:space="preserve"> </w:t>
      </w:r>
      <w:r>
        <w:t>Corte, en su sentencia de 2004 sentencia, declaró un estado de cosas inconstitucional ordenando al Estado adoptar una política pública para superar la situación, reconociendo la violación de varios derechos humanos entre ellos el derecho a la no discriminación.</w:t>
      </w:r>
      <w:r>
        <w:rPr>
          <w:spacing w:val="15"/>
        </w:rPr>
        <w:t xml:space="preserve"> </w:t>
      </w:r>
      <w:r>
        <w:t>Además,</w:t>
      </w:r>
      <w:r>
        <w:rPr>
          <w:spacing w:val="14"/>
        </w:rPr>
        <w:t xml:space="preserve"> </w:t>
      </w:r>
      <w:r>
        <w:t>la</w:t>
      </w:r>
      <w:r>
        <w:rPr>
          <w:spacing w:val="13"/>
        </w:rPr>
        <w:t xml:space="preserve"> </w:t>
      </w:r>
      <w:r>
        <w:t>Corte</w:t>
      </w:r>
      <w:r>
        <w:rPr>
          <w:spacing w:val="13"/>
        </w:rPr>
        <w:t xml:space="preserve"> </w:t>
      </w:r>
      <w:r>
        <w:t>estableció</w:t>
      </w:r>
      <w:r>
        <w:rPr>
          <w:spacing w:val="13"/>
        </w:rPr>
        <w:t xml:space="preserve"> </w:t>
      </w:r>
      <w:r>
        <w:t>que</w:t>
      </w:r>
      <w:r>
        <w:rPr>
          <w:spacing w:val="13"/>
        </w:rPr>
        <w:t xml:space="preserve"> </w:t>
      </w:r>
      <w:r>
        <w:t>conservaría</w:t>
      </w:r>
      <w:r>
        <w:rPr>
          <w:spacing w:val="13"/>
        </w:rPr>
        <w:t xml:space="preserve"> </w:t>
      </w:r>
      <w:r>
        <w:t>competencia</w:t>
      </w:r>
      <w:r>
        <w:rPr>
          <w:spacing w:val="13"/>
        </w:rPr>
        <w:t xml:space="preserve"> </w:t>
      </w:r>
      <w:r>
        <w:t>para</w:t>
      </w:r>
      <w:r>
        <w:rPr>
          <w:spacing w:val="13"/>
        </w:rPr>
        <w:t xml:space="preserve"> </w:t>
      </w:r>
      <w:r>
        <w:t>escuchar</w:t>
      </w:r>
      <w:r>
        <w:rPr>
          <w:spacing w:val="13"/>
        </w:rPr>
        <w:t xml:space="preserve"> </w:t>
      </w:r>
      <w:r>
        <w:t>los</w:t>
      </w:r>
      <w:r>
        <w:rPr>
          <w:spacing w:val="13"/>
        </w:rPr>
        <w:t xml:space="preserve"> </w:t>
      </w:r>
      <w:r>
        <w:t>informes</w:t>
      </w:r>
      <w:r>
        <w:rPr>
          <w:spacing w:val="13"/>
        </w:rPr>
        <w:t xml:space="preserve"> </w:t>
      </w:r>
      <w:r>
        <w:t>del</w:t>
      </w:r>
      <w:r>
        <w:rPr>
          <w:spacing w:val="13"/>
        </w:rPr>
        <w:t xml:space="preserve"> </w:t>
      </w:r>
      <w:r>
        <w:t>Gobierno</w:t>
      </w:r>
      <w:r>
        <w:rPr>
          <w:spacing w:val="13"/>
        </w:rPr>
        <w:t xml:space="preserve"> </w:t>
      </w:r>
      <w:r>
        <w:t>sobre el cumplimiento de la orden, mediante audiencias públicas anuales.</w:t>
      </w:r>
    </w:p>
    <w:p w14:paraId="1CA8503A" w14:textId="77777777" w:rsidR="0014798C" w:rsidRDefault="0014798C">
      <w:pPr>
        <w:pStyle w:val="Textoindependiente"/>
        <w:spacing w:before="133"/>
        <w:rPr>
          <w:sz w:val="23"/>
        </w:rPr>
      </w:pPr>
    </w:p>
    <w:p w14:paraId="001A9345" w14:textId="77777777" w:rsidR="0014798C" w:rsidRDefault="004E1F0B">
      <w:pPr>
        <w:numPr>
          <w:ilvl w:val="0"/>
          <w:numId w:val="48"/>
        </w:numPr>
        <w:tabs>
          <w:tab w:val="left" w:pos="1376"/>
        </w:tabs>
        <w:ind w:left="1376" w:hanging="261"/>
        <w:rPr>
          <w:color w:val="00AC59"/>
          <w:sz w:val="23"/>
        </w:rPr>
      </w:pPr>
      <w:r>
        <w:rPr>
          <w:color w:val="00AC59"/>
          <w:sz w:val="23"/>
        </w:rPr>
        <w:t>Remedios</w:t>
      </w:r>
      <w:r>
        <w:rPr>
          <w:color w:val="00AC59"/>
          <w:spacing w:val="21"/>
          <w:sz w:val="23"/>
        </w:rPr>
        <w:t xml:space="preserve"> </w:t>
      </w:r>
      <w:r>
        <w:rPr>
          <w:color w:val="00AC59"/>
          <w:spacing w:val="-2"/>
          <w:sz w:val="23"/>
        </w:rPr>
        <w:t>sociales</w:t>
      </w:r>
    </w:p>
    <w:p w14:paraId="16907B83" w14:textId="77777777" w:rsidR="0014798C" w:rsidRDefault="0014798C">
      <w:pPr>
        <w:pStyle w:val="Textoindependiente"/>
        <w:spacing w:before="74"/>
      </w:pPr>
    </w:p>
    <w:p w14:paraId="3FDF01F8" w14:textId="77777777" w:rsidR="0014798C" w:rsidRDefault="004E1F0B">
      <w:pPr>
        <w:pStyle w:val="Textoindependiente"/>
        <w:spacing w:line="326" w:lineRule="auto"/>
        <w:ind w:left="1107" w:right="1326" w:firstLine="5"/>
      </w:pPr>
      <w:r>
        <w:rPr>
          <w:noProof/>
        </w:rPr>
        <mc:AlternateContent>
          <mc:Choice Requires="wps">
            <w:drawing>
              <wp:anchor distT="0" distB="0" distL="0" distR="0" simplePos="0" relativeHeight="251658282" behindDoc="0" locked="0" layoutInCell="1" allowOverlap="1" wp14:anchorId="6C9A3A2A" wp14:editId="73B649AD">
                <wp:simplePos x="0" y="0"/>
                <wp:positionH relativeFrom="page">
                  <wp:posOffset>7312079</wp:posOffset>
                </wp:positionH>
                <wp:positionV relativeFrom="paragraph">
                  <wp:posOffset>-2682</wp:posOffset>
                </wp:positionV>
                <wp:extent cx="85090" cy="287655"/>
                <wp:effectExtent l="0" t="0" r="0" b="0"/>
                <wp:wrapNone/>
                <wp:docPr id="193" name="Textbox 19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85090" cy="287655"/>
                        </a:xfrm>
                        <a:prstGeom prst="rect">
                          <a:avLst/>
                        </a:prstGeom>
                      </wps:spPr>
                      <wps:txbx>
                        <w:txbxContent>
                          <w:p w14:paraId="3D57EC16" w14:textId="77777777" w:rsidR="0014798C" w:rsidRDefault="004E1F0B">
                            <w:pPr>
                              <w:spacing w:before="20"/>
                              <w:ind w:left="20"/>
                              <w:rPr>
                                <w:sz w:val="8"/>
                              </w:rPr>
                            </w:pPr>
                            <w:r>
                              <w:rPr>
                                <w:color w:val="FFFFFF"/>
                                <w:spacing w:val="-37"/>
                                <w:sz w:val="8"/>
                              </w:rPr>
                              <w:t>P–I</w:t>
                            </w:r>
                            <w:r>
                              <w:rPr>
                                <w:spacing w:val="-37"/>
                                <w:sz w:val="8"/>
                              </w:rPr>
                              <w:t>S</w:t>
                            </w:r>
                            <w:r>
                              <w:rPr>
                                <w:color w:val="FFFFFF"/>
                                <w:spacing w:val="-37"/>
                                <w:sz w:val="8"/>
                              </w:rPr>
                              <w:t>I</w:t>
                            </w:r>
                            <w:r>
                              <w:rPr>
                                <w:color w:val="FFFFFF"/>
                                <w:spacing w:val="-8"/>
                                <w:sz w:val="8"/>
                              </w:rPr>
                              <w:t xml:space="preserve"> </w:t>
                            </w:r>
                            <w:r>
                              <w:rPr>
                                <w:color w:val="FFFFFF"/>
                                <w:spacing w:val="-20"/>
                                <w:sz w:val="8"/>
                              </w:rPr>
                              <w:t>A</w:t>
                            </w:r>
                            <w:r>
                              <w:rPr>
                                <w:spacing w:val="-20"/>
                                <w:sz w:val="8"/>
                              </w:rPr>
                              <w:t>E</w:t>
                            </w:r>
                            <w:r>
                              <w:rPr>
                                <w:color w:val="FFFFFF"/>
                                <w:spacing w:val="-20"/>
                                <w:sz w:val="8"/>
                              </w:rPr>
                              <w:t>R</w:t>
                            </w:r>
                            <w:r>
                              <w:rPr>
                                <w:spacing w:val="-20"/>
                                <w:sz w:val="8"/>
                              </w:rPr>
                              <w:t>G</w:t>
                            </w:r>
                            <w:r>
                              <w:rPr>
                                <w:color w:val="FFFFFF"/>
                                <w:spacing w:val="-20"/>
                                <w:sz w:val="8"/>
                              </w:rPr>
                              <w:t>T</w:t>
                            </w:r>
                            <w:r>
                              <w:rPr>
                                <w:spacing w:val="-20"/>
                                <w:sz w:val="8"/>
                              </w:rPr>
                              <w:t>U</w:t>
                            </w:r>
                            <w:r>
                              <w:rPr>
                                <w:color w:val="FFFFFF"/>
                                <w:spacing w:val="-20"/>
                                <w:sz w:val="8"/>
                              </w:rPr>
                              <w:t>E</w:t>
                            </w:r>
                            <w:r>
                              <w:rPr>
                                <w:spacing w:val="-20"/>
                                <w:sz w:val="8"/>
                              </w:rPr>
                              <w:t>NDA</w:t>
                            </w:r>
                          </w:p>
                        </w:txbxContent>
                      </wps:txbx>
                      <wps:bodyPr vert="vert270" wrap="square" lIns="0" tIns="0" rIns="0" bIns="0" rtlCol="0">
                        <a:noAutofit/>
                      </wps:bodyPr>
                    </wps:wsp>
                  </a:graphicData>
                </a:graphic>
              </wp:anchor>
            </w:drawing>
          </mc:Choice>
          <mc:Fallback>
            <w:pict>
              <v:shape w14:anchorId="6C9A3A2A" id="Textbox 193" o:spid="_x0000_s1102" type="#_x0000_t202" style="position:absolute;left:0;text-align:left;margin-left:575.75pt;margin-top:-.2pt;width:6.7pt;height:22.65pt;z-index:251658282;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" filled="f" stroked="f">
                <v:textbox style="layout-flow:vertical;mso-layout-flow-alt:bottom-to-top" inset="0,0,0,0">
                  <w:txbxContent>
                    <w:p w14:paraId="3D57EC16" w14:textId="77777777" w:rsidR="0014798C" w:rsidRDefault="004E1F0B">
                      <w:pPr>
                        <w:spacing w:before="20"/>
                        <w:ind w:left="20"/>
                        <w:rPr>
                          <w:sz w:val="8"/>
                        </w:rPr>
                      </w:pPr>
                      <w:r>
                        <w:rPr>
                          <w:color w:val="FFFFFF"/>
                          <w:spacing w:val="-37"/>
                          <w:sz w:val="8"/>
                        </w:rPr>
                        <w:t>P–I</w:t>
                      </w:r>
                      <w:r>
                        <w:rPr>
                          <w:spacing w:val="-37"/>
                          <w:sz w:val="8"/>
                        </w:rPr>
                        <w:t>S</w:t>
                      </w:r>
                      <w:r>
                        <w:rPr>
                          <w:color w:val="FFFFFF"/>
                          <w:spacing w:val="-37"/>
                          <w:sz w:val="8"/>
                        </w:rPr>
                        <w:t>I</w:t>
                      </w:r>
                      <w:r>
                        <w:rPr>
                          <w:color w:val="FFFFFF"/>
                          <w:spacing w:val="-8"/>
                          <w:sz w:val="8"/>
                        </w:rPr>
                        <w:t xml:space="preserve"> </w:t>
                      </w:r>
                      <w:r>
                        <w:rPr>
                          <w:color w:val="FFFFFF"/>
                          <w:spacing w:val="-20"/>
                          <w:sz w:val="8"/>
                        </w:rPr>
                        <w:t>A</w:t>
                      </w:r>
                      <w:r>
                        <w:rPr>
                          <w:spacing w:val="-20"/>
                          <w:sz w:val="8"/>
                        </w:rPr>
                        <w:t>E</w:t>
                      </w:r>
                      <w:r>
                        <w:rPr>
                          <w:color w:val="FFFFFF"/>
                          <w:spacing w:val="-20"/>
                          <w:sz w:val="8"/>
                        </w:rPr>
                        <w:t>R</w:t>
                      </w:r>
                      <w:r>
                        <w:rPr>
                          <w:spacing w:val="-20"/>
                          <w:sz w:val="8"/>
                        </w:rPr>
                        <w:t>G</w:t>
                      </w:r>
                      <w:r>
                        <w:rPr>
                          <w:color w:val="FFFFFF"/>
                          <w:spacing w:val="-20"/>
                          <w:sz w:val="8"/>
                        </w:rPr>
                        <w:t>T</w:t>
                      </w:r>
                      <w:r>
                        <w:rPr>
                          <w:spacing w:val="-20"/>
                          <w:sz w:val="8"/>
                        </w:rPr>
                        <w:t>U</w:t>
                      </w:r>
                      <w:r>
                        <w:rPr>
                          <w:color w:val="FFFFFF"/>
                          <w:spacing w:val="-20"/>
                          <w:sz w:val="8"/>
                        </w:rPr>
                        <w:t>E</w:t>
                      </w:r>
                      <w:r>
                        <w:rPr>
                          <w:spacing w:val="-20"/>
                          <w:sz w:val="8"/>
                        </w:rPr>
                        <w:t>NDA</w:t>
                      </w:r>
                    </w:p>
                  </w:txbxContent>
                </v:textbox>
                <w10:wrap anchorx="page"/>
              </v:shape>
            </w:pict>
          </mc:Fallback>
        </mc:AlternateContent>
      </w:r>
      <w:r>
        <w:t>Los remedios sociales son aquellos que están dirigidos a: abordar las causas profundas de la discriminación mediante la</w:t>
      </w:r>
      <w:r>
        <w:rPr>
          <w:spacing w:val="80"/>
        </w:rPr>
        <w:t xml:space="preserve"> </w:t>
      </w:r>
      <w:r>
        <w:t>aplicación de medidas diseñadas para desafiar los prejuicios, los estereotipos y el estigma; desafiar los prejuicios públicos o disuadir la discriminación futura exponiendo la política discriminatoria de las acciones de un perpetrador; o generar comprensión</w:t>
      </w:r>
      <w:r>
        <w:rPr>
          <w:spacing w:val="40"/>
        </w:rPr>
        <w:t xml:space="preserve"> </w:t>
      </w:r>
      <w:r>
        <w:t>y</w:t>
      </w:r>
      <w:r>
        <w:rPr>
          <w:spacing w:val="16"/>
        </w:rPr>
        <w:t xml:space="preserve"> </w:t>
      </w:r>
      <w:r>
        <w:t>solidaridad</w:t>
      </w:r>
      <w:r>
        <w:rPr>
          <w:spacing w:val="16"/>
        </w:rPr>
        <w:t xml:space="preserve"> </w:t>
      </w:r>
      <w:r>
        <w:t>con</w:t>
      </w:r>
      <w:r>
        <w:rPr>
          <w:spacing w:val="16"/>
        </w:rPr>
        <w:t xml:space="preserve"> </w:t>
      </w:r>
      <w:r>
        <w:t>las</w:t>
      </w:r>
      <w:r>
        <w:rPr>
          <w:spacing w:val="16"/>
        </w:rPr>
        <w:t xml:space="preserve"> </w:t>
      </w:r>
      <w:r>
        <w:t>minorías</w:t>
      </w:r>
      <w:r>
        <w:rPr>
          <w:spacing w:val="16"/>
        </w:rPr>
        <w:t xml:space="preserve"> </w:t>
      </w:r>
      <w:r>
        <w:t>y</w:t>
      </w:r>
      <w:r>
        <w:rPr>
          <w:spacing w:val="16"/>
        </w:rPr>
        <w:t xml:space="preserve"> </w:t>
      </w:r>
      <w:r>
        <w:t>otras</w:t>
      </w:r>
      <w:r>
        <w:rPr>
          <w:spacing w:val="16"/>
        </w:rPr>
        <w:t xml:space="preserve"> </w:t>
      </w:r>
      <w:r>
        <w:t>víctimas</w:t>
      </w:r>
      <w:r>
        <w:rPr>
          <w:spacing w:val="16"/>
        </w:rPr>
        <w:t xml:space="preserve"> </w:t>
      </w:r>
      <w:r>
        <w:t>potenciales</w:t>
      </w:r>
      <w:r>
        <w:rPr>
          <w:spacing w:val="16"/>
        </w:rPr>
        <w:t xml:space="preserve"> </w:t>
      </w:r>
      <w:r>
        <w:t>y</w:t>
      </w:r>
      <w:r>
        <w:rPr>
          <w:spacing w:val="16"/>
        </w:rPr>
        <w:t xml:space="preserve"> </w:t>
      </w:r>
      <w:r>
        <w:t>grupos</w:t>
      </w:r>
      <w:r>
        <w:rPr>
          <w:spacing w:val="16"/>
        </w:rPr>
        <w:t xml:space="preserve"> </w:t>
      </w:r>
      <w:r>
        <w:t>de</w:t>
      </w:r>
      <w:r>
        <w:rPr>
          <w:spacing w:val="16"/>
        </w:rPr>
        <w:t xml:space="preserve"> </w:t>
      </w:r>
      <w:r>
        <w:t>víctimas.</w:t>
      </w:r>
      <w:r>
        <w:rPr>
          <w:spacing w:val="18"/>
        </w:rPr>
        <w:t xml:space="preserve"> </w:t>
      </w:r>
      <w:r>
        <w:t>Dichos</w:t>
      </w:r>
      <w:r>
        <w:rPr>
          <w:spacing w:val="16"/>
        </w:rPr>
        <w:t xml:space="preserve"> </w:t>
      </w:r>
      <w:r>
        <w:t>recursos</w:t>
      </w:r>
      <w:r>
        <w:rPr>
          <w:spacing w:val="16"/>
        </w:rPr>
        <w:t xml:space="preserve"> </w:t>
      </w:r>
      <w:r>
        <w:t>incluyen,</w:t>
      </w:r>
      <w:r>
        <w:rPr>
          <w:spacing w:val="18"/>
        </w:rPr>
        <w:t xml:space="preserve"> </w:t>
      </w:r>
      <w:r>
        <w:t>por</w:t>
      </w:r>
      <w:r>
        <w:rPr>
          <w:spacing w:val="16"/>
        </w:rPr>
        <w:t xml:space="preserve"> </w:t>
      </w:r>
      <w:r>
        <w:t>ejemplo,</w:t>
      </w:r>
      <w:r>
        <w:rPr>
          <w:spacing w:val="18"/>
        </w:rPr>
        <w:t xml:space="preserve"> </w:t>
      </w:r>
      <w:r>
        <w:t>una orden de disculpa pública u otra forma de conmemoración pública o establecimiento en el registro público. Los Principios y Directrices Básicos sobre el derecho a un recurso y reparación para las víctimas de violaciones flagrantes del derecho</w:t>
      </w:r>
      <w:r>
        <w:rPr>
          <w:spacing w:val="40"/>
        </w:rPr>
        <w:t xml:space="preserve"> </w:t>
      </w:r>
      <w:r>
        <w:t>internacional de los derechos humanos y de violaciones graves del derecho internacional humanitario antes mencionados proporcionan</w:t>
      </w:r>
      <w:r>
        <w:rPr>
          <w:spacing w:val="16"/>
        </w:rPr>
        <w:t xml:space="preserve"> </w:t>
      </w:r>
      <w:r>
        <w:t>una</w:t>
      </w:r>
      <w:r>
        <w:rPr>
          <w:spacing w:val="14"/>
        </w:rPr>
        <w:t xml:space="preserve"> </w:t>
      </w:r>
      <w:r>
        <w:t>lista</w:t>
      </w:r>
      <w:r>
        <w:rPr>
          <w:spacing w:val="14"/>
        </w:rPr>
        <w:t xml:space="preserve"> </w:t>
      </w:r>
      <w:r>
        <w:t>no</w:t>
      </w:r>
      <w:r>
        <w:rPr>
          <w:spacing w:val="14"/>
        </w:rPr>
        <w:t xml:space="preserve"> </w:t>
      </w:r>
      <w:r>
        <w:t>exhaustiva</w:t>
      </w:r>
      <w:r>
        <w:rPr>
          <w:spacing w:val="14"/>
        </w:rPr>
        <w:t xml:space="preserve"> </w:t>
      </w:r>
      <w:r>
        <w:t>de</w:t>
      </w:r>
      <w:r>
        <w:rPr>
          <w:spacing w:val="14"/>
        </w:rPr>
        <w:t xml:space="preserve"> </w:t>
      </w:r>
      <w:r>
        <w:t>tales</w:t>
      </w:r>
      <w:r>
        <w:rPr>
          <w:spacing w:val="14"/>
        </w:rPr>
        <w:t xml:space="preserve"> </w:t>
      </w:r>
      <w:r>
        <w:t>medidas,</w:t>
      </w:r>
      <w:r>
        <w:rPr>
          <w:spacing w:val="16"/>
        </w:rPr>
        <w:t xml:space="preserve"> </w:t>
      </w:r>
      <w:r>
        <w:t>que</w:t>
      </w:r>
      <w:r>
        <w:rPr>
          <w:spacing w:val="14"/>
        </w:rPr>
        <w:t xml:space="preserve"> </w:t>
      </w:r>
      <w:r>
        <w:t>incluyen:</w:t>
      </w:r>
      <w:r>
        <w:rPr>
          <w:spacing w:val="16"/>
        </w:rPr>
        <w:t xml:space="preserve"> </w:t>
      </w:r>
      <w:r>
        <w:t>“verificación</w:t>
      </w:r>
      <w:r>
        <w:rPr>
          <w:spacing w:val="14"/>
        </w:rPr>
        <w:t xml:space="preserve"> </w:t>
      </w:r>
      <w:r>
        <w:t>de</w:t>
      </w:r>
      <w:r>
        <w:rPr>
          <w:spacing w:val="14"/>
        </w:rPr>
        <w:t xml:space="preserve"> </w:t>
      </w:r>
      <w:r>
        <w:t>los</w:t>
      </w:r>
      <w:r>
        <w:rPr>
          <w:spacing w:val="14"/>
        </w:rPr>
        <w:t xml:space="preserve"> </w:t>
      </w:r>
      <w:r>
        <w:t>hechos</w:t>
      </w:r>
      <w:r>
        <w:rPr>
          <w:spacing w:val="14"/>
        </w:rPr>
        <w:t xml:space="preserve"> </w:t>
      </w:r>
      <w:r>
        <w:t>y</w:t>
      </w:r>
      <w:r>
        <w:rPr>
          <w:spacing w:val="14"/>
        </w:rPr>
        <w:t xml:space="preserve"> </w:t>
      </w:r>
      <w:r>
        <w:t>divulgación</w:t>
      </w:r>
      <w:r>
        <w:rPr>
          <w:spacing w:val="14"/>
        </w:rPr>
        <w:t xml:space="preserve"> </w:t>
      </w:r>
      <w:r>
        <w:t>plena</w:t>
      </w:r>
      <w:r>
        <w:rPr>
          <w:spacing w:val="14"/>
        </w:rPr>
        <w:t xml:space="preserve"> </w:t>
      </w:r>
      <w:r>
        <w:t>y</w:t>
      </w:r>
      <w:r>
        <w:rPr>
          <w:spacing w:val="14"/>
        </w:rPr>
        <w:t xml:space="preserve"> </w:t>
      </w:r>
      <w:r>
        <w:t xml:space="preserve">pública de la </w:t>
      </w:r>
      <w:proofErr w:type="gramStart"/>
      <w:r>
        <w:t>verdad”;</w:t>
      </w:r>
      <w:proofErr w:type="gramEnd"/>
      <w:r>
        <w:t xml:space="preserve"> “una declaración oficial o una decisión judicial que restablezca la dignidad, la reputación y los derechos de la víctima y de las personas estrechamente relacionadas con </w:t>
      </w:r>
      <w:proofErr w:type="gramStart"/>
      <w:r>
        <w:t>ella”;</w:t>
      </w:r>
      <w:proofErr w:type="gramEnd"/>
      <w:r>
        <w:t xml:space="preserve"> “disculpa pública, incluyendo reconocimiento de los hechos y aceptación de </w:t>
      </w:r>
      <w:proofErr w:type="gramStart"/>
      <w:r>
        <w:t>responsabilidad”;</w:t>
      </w:r>
      <w:proofErr w:type="gramEnd"/>
      <w:r>
        <w:t xml:space="preserve"> y “conmemoraciones y homenajes a las víctimas”627.</w:t>
      </w:r>
    </w:p>
    <w:p w14:paraId="695B63D6" w14:textId="77777777" w:rsidR="0014798C" w:rsidRDefault="0014798C">
      <w:pPr>
        <w:pStyle w:val="Textoindependiente"/>
      </w:pPr>
    </w:p>
    <w:p w14:paraId="7211E580" w14:textId="77777777" w:rsidR="0014798C" w:rsidRDefault="0014798C">
      <w:pPr>
        <w:pStyle w:val="Textoindependiente"/>
      </w:pPr>
    </w:p>
    <w:p w14:paraId="339E5AC2" w14:textId="77777777" w:rsidR="0014798C" w:rsidRDefault="0014798C">
      <w:pPr>
        <w:pStyle w:val="Textoindependiente"/>
        <w:spacing w:before="161"/>
      </w:pPr>
    </w:p>
    <w:p w14:paraId="5D0C96AC" w14:textId="77777777" w:rsidR="0014798C" w:rsidRDefault="004E1F0B">
      <w:pPr>
        <w:pStyle w:val="Textoindependiente"/>
        <w:ind w:left="1335"/>
      </w:pPr>
      <w:r>
        <w:t>REMEDIOS</w:t>
      </w:r>
      <w:r>
        <w:rPr>
          <w:spacing w:val="8"/>
        </w:rPr>
        <w:t xml:space="preserve"> </w:t>
      </w:r>
      <w:r>
        <w:t>SOCIALES</w:t>
      </w:r>
      <w:r>
        <w:rPr>
          <w:spacing w:val="9"/>
        </w:rPr>
        <w:t xml:space="preserve"> </w:t>
      </w:r>
      <w:r>
        <w:t>EN</w:t>
      </w:r>
      <w:r>
        <w:rPr>
          <w:spacing w:val="7"/>
        </w:rPr>
        <w:t xml:space="preserve"> </w:t>
      </w:r>
      <w:r>
        <w:rPr>
          <w:spacing w:val="-2"/>
        </w:rPr>
        <w:t>HUNGRÍA</w:t>
      </w:r>
    </w:p>
    <w:p w14:paraId="46FD284A" w14:textId="77777777" w:rsidR="0014798C" w:rsidRDefault="0014798C">
      <w:pPr>
        <w:pStyle w:val="Textoindependiente"/>
        <w:spacing w:before="36"/>
      </w:pPr>
    </w:p>
    <w:p w14:paraId="78FF769F" w14:textId="77777777" w:rsidR="0014798C" w:rsidRDefault="004E1F0B">
      <w:pPr>
        <w:pStyle w:val="Textoindependiente"/>
        <w:spacing w:line="326" w:lineRule="auto"/>
        <w:ind w:left="1328" w:right="1807" w:firstLine="4"/>
      </w:pPr>
      <w:r>
        <w:t xml:space="preserve">En 2003, la Junta Nacional de Radio y Televisión de Hungría dictaminó que la estación de televisión TV2 había violado gravemente la igualdad de dignidad de los romaníes en Hungría cuando, el 30 de marzo de 2003, emitió Mi gran boda gitana, una sátira basada en la película de 2002. Mi gran boda griega. El programa de TV2 mostraba a los gitanos sin asistir a la escuela, robando coches, peleándose y expresando orgullo por su ignorancia. El entonces Ministro de Educación, </w:t>
      </w:r>
      <w:proofErr w:type="spellStart"/>
      <w:r>
        <w:t>Bálint</w:t>
      </w:r>
      <w:proofErr w:type="spellEnd"/>
      <w:r>
        <w:t xml:space="preserve"> Magyar, opinó que el programa “aprovechaba los sentimientos </w:t>
      </w:r>
      <w:proofErr w:type="spellStart"/>
      <w:r>
        <w:t>antirromanos</w:t>
      </w:r>
      <w:proofErr w:type="spellEnd"/>
      <w:r>
        <w:t xml:space="preserve"> latentes en Hungría”.</w:t>
      </w:r>
    </w:p>
    <w:p w14:paraId="7B76A67F" w14:textId="77777777" w:rsidR="0014798C" w:rsidRDefault="004E1F0B">
      <w:pPr>
        <w:pStyle w:val="Textoindependiente"/>
        <w:spacing w:line="326" w:lineRule="auto"/>
        <w:ind w:left="1329" w:right="1448" w:firstLine="7"/>
      </w:pPr>
      <w:r>
        <w:t>Como</w:t>
      </w:r>
      <w:r>
        <w:rPr>
          <w:spacing w:val="14"/>
        </w:rPr>
        <w:t xml:space="preserve"> </w:t>
      </w:r>
      <w:r>
        <w:t>consecuencia</w:t>
      </w:r>
      <w:r>
        <w:rPr>
          <w:spacing w:val="15"/>
        </w:rPr>
        <w:t xml:space="preserve"> </w:t>
      </w:r>
      <w:r>
        <w:t>de</w:t>
      </w:r>
      <w:r>
        <w:rPr>
          <w:spacing w:val="14"/>
        </w:rPr>
        <w:t xml:space="preserve"> </w:t>
      </w:r>
      <w:r>
        <w:t>la</w:t>
      </w:r>
      <w:r>
        <w:rPr>
          <w:spacing w:val="14"/>
        </w:rPr>
        <w:t xml:space="preserve"> </w:t>
      </w:r>
      <w:r>
        <w:t>sentencia,</w:t>
      </w:r>
      <w:r>
        <w:rPr>
          <w:spacing w:val="15"/>
        </w:rPr>
        <w:t xml:space="preserve"> </w:t>
      </w:r>
      <w:r>
        <w:t>TV2</w:t>
      </w:r>
      <w:r>
        <w:rPr>
          <w:spacing w:val="14"/>
        </w:rPr>
        <w:t xml:space="preserve"> </w:t>
      </w:r>
      <w:r>
        <w:t>se</w:t>
      </w:r>
      <w:r>
        <w:rPr>
          <w:spacing w:val="14"/>
        </w:rPr>
        <w:t xml:space="preserve"> </w:t>
      </w:r>
      <w:r>
        <w:t>vio</w:t>
      </w:r>
      <w:r>
        <w:rPr>
          <w:spacing w:val="14"/>
        </w:rPr>
        <w:t xml:space="preserve"> </w:t>
      </w:r>
      <w:r>
        <w:t>obligada</w:t>
      </w:r>
      <w:r>
        <w:rPr>
          <w:spacing w:val="14"/>
        </w:rPr>
        <w:t xml:space="preserve"> </w:t>
      </w:r>
      <w:r>
        <w:t>a</w:t>
      </w:r>
      <w:r>
        <w:rPr>
          <w:spacing w:val="14"/>
        </w:rPr>
        <w:t xml:space="preserve"> </w:t>
      </w:r>
      <w:r>
        <w:t>suspender</w:t>
      </w:r>
      <w:r>
        <w:rPr>
          <w:spacing w:val="14"/>
        </w:rPr>
        <w:t xml:space="preserve"> </w:t>
      </w:r>
      <w:r>
        <w:t>su</w:t>
      </w:r>
      <w:r>
        <w:rPr>
          <w:spacing w:val="14"/>
        </w:rPr>
        <w:t xml:space="preserve"> </w:t>
      </w:r>
      <w:r>
        <w:t>emisión</w:t>
      </w:r>
      <w:r>
        <w:rPr>
          <w:spacing w:val="14"/>
        </w:rPr>
        <w:t xml:space="preserve"> </w:t>
      </w:r>
      <w:r>
        <w:t>durante</w:t>
      </w:r>
      <w:r>
        <w:rPr>
          <w:spacing w:val="14"/>
        </w:rPr>
        <w:t xml:space="preserve"> </w:t>
      </w:r>
      <w:r>
        <w:t>media</w:t>
      </w:r>
      <w:r>
        <w:rPr>
          <w:spacing w:val="14"/>
        </w:rPr>
        <w:t xml:space="preserve"> </w:t>
      </w:r>
      <w:r>
        <w:t>hora</w:t>
      </w:r>
      <w:r>
        <w:rPr>
          <w:spacing w:val="14"/>
        </w:rPr>
        <w:t xml:space="preserve"> </w:t>
      </w:r>
      <w:r>
        <w:t>en</w:t>
      </w:r>
      <w:r>
        <w:rPr>
          <w:spacing w:val="14"/>
        </w:rPr>
        <w:t xml:space="preserve"> </w:t>
      </w:r>
      <w:r>
        <w:t>horario</w:t>
      </w:r>
      <w:r>
        <w:rPr>
          <w:spacing w:val="14"/>
        </w:rPr>
        <w:t xml:space="preserve"> </w:t>
      </w:r>
      <w:r>
        <w:t>de máxima</w:t>
      </w:r>
      <w:r>
        <w:rPr>
          <w:spacing w:val="13"/>
        </w:rPr>
        <w:t xml:space="preserve"> </w:t>
      </w:r>
      <w:r>
        <w:t>audiencia</w:t>
      </w:r>
      <w:r>
        <w:rPr>
          <w:spacing w:val="12"/>
        </w:rPr>
        <w:t xml:space="preserve"> </w:t>
      </w:r>
      <w:r>
        <w:t>nocturna</w:t>
      </w:r>
      <w:r>
        <w:rPr>
          <w:spacing w:val="12"/>
        </w:rPr>
        <w:t xml:space="preserve"> </w:t>
      </w:r>
      <w:r>
        <w:t>y</w:t>
      </w:r>
      <w:r>
        <w:rPr>
          <w:spacing w:val="12"/>
        </w:rPr>
        <w:t xml:space="preserve"> </w:t>
      </w:r>
      <w:r>
        <w:t>en</w:t>
      </w:r>
      <w:r>
        <w:rPr>
          <w:spacing w:val="12"/>
        </w:rPr>
        <w:t xml:space="preserve"> </w:t>
      </w:r>
      <w:r>
        <w:t>su</w:t>
      </w:r>
      <w:r>
        <w:rPr>
          <w:spacing w:val="12"/>
        </w:rPr>
        <w:t xml:space="preserve"> </w:t>
      </w:r>
      <w:r>
        <w:t>lugar</w:t>
      </w:r>
      <w:r>
        <w:rPr>
          <w:spacing w:val="12"/>
        </w:rPr>
        <w:t xml:space="preserve"> </w:t>
      </w:r>
      <w:r>
        <w:t>emitir</w:t>
      </w:r>
      <w:r>
        <w:rPr>
          <w:spacing w:val="12"/>
        </w:rPr>
        <w:t xml:space="preserve"> </w:t>
      </w:r>
      <w:r>
        <w:t>un</w:t>
      </w:r>
      <w:r>
        <w:rPr>
          <w:spacing w:val="12"/>
        </w:rPr>
        <w:t xml:space="preserve"> </w:t>
      </w:r>
      <w:r>
        <w:t>resumen</w:t>
      </w:r>
      <w:r>
        <w:rPr>
          <w:spacing w:val="13"/>
        </w:rPr>
        <w:t xml:space="preserve"> </w:t>
      </w:r>
      <w:r>
        <w:t>de</w:t>
      </w:r>
      <w:r>
        <w:rPr>
          <w:spacing w:val="12"/>
        </w:rPr>
        <w:t xml:space="preserve"> </w:t>
      </w:r>
      <w:r>
        <w:t>la</w:t>
      </w:r>
      <w:r>
        <w:rPr>
          <w:spacing w:val="12"/>
        </w:rPr>
        <w:t xml:space="preserve"> </w:t>
      </w:r>
      <w:r>
        <w:t>sentencia.</w:t>
      </w:r>
      <w:r>
        <w:rPr>
          <w:spacing w:val="13"/>
        </w:rPr>
        <w:t xml:space="preserve"> </w:t>
      </w:r>
      <w:r>
        <w:t>La</w:t>
      </w:r>
      <w:r>
        <w:rPr>
          <w:spacing w:val="12"/>
        </w:rPr>
        <w:t xml:space="preserve"> </w:t>
      </w:r>
      <w:r>
        <w:t>dirección</w:t>
      </w:r>
      <w:r>
        <w:rPr>
          <w:spacing w:val="13"/>
        </w:rPr>
        <w:t xml:space="preserve"> </w:t>
      </w:r>
      <w:r>
        <w:t>de</w:t>
      </w:r>
      <w:r>
        <w:rPr>
          <w:spacing w:val="12"/>
        </w:rPr>
        <w:t xml:space="preserve"> </w:t>
      </w:r>
      <w:r>
        <w:t>TV2</w:t>
      </w:r>
      <w:r>
        <w:rPr>
          <w:spacing w:val="12"/>
        </w:rPr>
        <w:t xml:space="preserve"> </w:t>
      </w:r>
      <w:r>
        <w:t>se</w:t>
      </w:r>
      <w:r>
        <w:rPr>
          <w:spacing w:val="12"/>
        </w:rPr>
        <w:t xml:space="preserve"> </w:t>
      </w:r>
      <w:r>
        <w:t>negó</w:t>
      </w:r>
      <w:r>
        <w:rPr>
          <w:spacing w:val="12"/>
        </w:rPr>
        <w:t xml:space="preserve"> </w:t>
      </w:r>
      <w:r>
        <w:t>a</w:t>
      </w:r>
      <w:r>
        <w:rPr>
          <w:spacing w:val="12"/>
        </w:rPr>
        <w:t xml:space="preserve"> </w:t>
      </w:r>
      <w:r>
        <w:t>apelar</w:t>
      </w:r>
      <w:r>
        <w:rPr>
          <w:spacing w:val="12"/>
        </w:rPr>
        <w:t xml:space="preserve"> </w:t>
      </w:r>
      <w:r>
        <w:t>el</w:t>
      </w:r>
      <w:r>
        <w:rPr>
          <w:spacing w:val="12"/>
        </w:rPr>
        <w:t xml:space="preserve"> </w:t>
      </w:r>
      <w:r>
        <w:t>fallo y, además de implementar la sanción formal, TV2 transmitió un debate antes y después de la suspensión de la transmisión</w:t>
      </w:r>
      <w:r>
        <w:rPr>
          <w:spacing w:val="40"/>
        </w:rPr>
        <w:t xml:space="preserve"> </w:t>
      </w:r>
      <w:r>
        <w:t>de 30 minutos sobre la situación de los romaníes en Hungría.628</w:t>
      </w:r>
    </w:p>
    <w:p w14:paraId="11DE5658" w14:textId="77777777" w:rsidR="0014798C" w:rsidRDefault="0014798C">
      <w:pPr>
        <w:pStyle w:val="Textoindependiente"/>
      </w:pPr>
    </w:p>
    <w:p w14:paraId="19A3195B" w14:textId="77777777" w:rsidR="0014798C" w:rsidRDefault="0014798C">
      <w:pPr>
        <w:pStyle w:val="Textoindependiente"/>
      </w:pPr>
    </w:p>
    <w:p w14:paraId="2110720E" w14:textId="77777777" w:rsidR="0014798C" w:rsidRDefault="0014798C">
      <w:pPr>
        <w:pStyle w:val="Textoindependiente"/>
        <w:spacing w:before="146"/>
      </w:pPr>
    </w:p>
    <w:p w14:paraId="0EF44D31" w14:textId="77777777" w:rsidR="0014798C" w:rsidRDefault="004E1F0B">
      <w:pPr>
        <w:pStyle w:val="Textoindependiente"/>
        <w:ind w:left="1106"/>
      </w:pPr>
      <w:proofErr w:type="gramStart"/>
      <w:r>
        <w:t>Una</w:t>
      </w:r>
      <w:r>
        <w:rPr>
          <w:spacing w:val="5"/>
        </w:rPr>
        <w:t xml:space="preserve"> </w:t>
      </w:r>
      <w:r>
        <w:t>segunda</w:t>
      </w:r>
      <w:r>
        <w:rPr>
          <w:spacing w:val="6"/>
        </w:rPr>
        <w:t xml:space="preserve"> </w:t>
      </w:r>
      <w:r>
        <w:t>línea</w:t>
      </w:r>
      <w:r>
        <w:rPr>
          <w:spacing w:val="6"/>
        </w:rPr>
        <w:t xml:space="preserve"> </w:t>
      </w:r>
      <w:r>
        <w:t>de</w:t>
      </w:r>
      <w:r>
        <w:rPr>
          <w:spacing w:val="6"/>
        </w:rPr>
        <w:t xml:space="preserve"> </w:t>
      </w:r>
      <w:r>
        <w:t>remedios</w:t>
      </w:r>
      <w:r>
        <w:rPr>
          <w:spacing w:val="6"/>
        </w:rPr>
        <w:t xml:space="preserve"> </w:t>
      </w:r>
      <w:r>
        <w:t>sociales</w:t>
      </w:r>
      <w:r>
        <w:rPr>
          <w:spacing w:val="6"/>
        </w:rPr>
        <w:t xml:space="preserve"> </w:t>
      </w:r>
      <w:r>
        <w:t>son</w:t>
      </w:r>
      <w:proofErr w:type="gramEnd"/>
      <w:r>
        <w:rPr>
          <w:spacing w:val="6"/>
        </w:rPr>
        <w:t xml:space="preserve"> </w:t>
      </w:r>
      <w:r>
        <w:t>aquellos</w:t>
      </w:r>
      <w:r>
        <w:rPr>
          <w:spacing w:val="6"/>
        </w:rPr>
        <w:t xml:space="preserve"> </w:t>
      </w:r>
      <w:r>
        <w:t>que</w:t>
      </w:r>
      <w:r>
        <w:rPr>
          <w:spacing w:val="6"/>
        </w:rPr>
        <w:t xml:space="preserve"> </w:t>
      </w:r>
      <w:r>
        <w:t>tienen</w:t>
      </w:r>
      <w:r>
        <w:rPr>
          <w:spacing w:val="6"/>
        </w:rPr>
        <w:t xml:space="preserve"> </w:t>
      </w:r>
      <w:r>
        <w:t>un</w:t>
      </w:r>
      <w:r>
        <w:rPr>
          <w:spacing w:val="6"/>
        </w:rPr>
        <w:t xml:space="preserve"> </w:t>
      </w:r>
      <w:r>
        <w:t>carácter</w:t>
      </w:r>
      <w:r>
        <w:rPr>
          <w:spacing w:val="6"/>
        </w:rPr>
        <w:t xml:space="preserve"> </w:t>
      </w:r>
      <w:r>
        <w:t>institucional</w:t>
      </w:r>
      <w:r>
        <w:rPr>
          <w:spacing w:val="6"/>
        </w:rPr>
        <w:t xml:space="preserve"> </w:t>
      </w:r>
      <w:r>
        <w:t>y</w:t>
      </w:r>
      <w:r>
        <w:rPr>
          <w:spacing w:val="6"/>
        </w:rPr>
        <w:t xml:space="preserve"> </w:t>
      </w:r>
      <w:r>
        <w:t>social,</w:t>
      </w:r>
      <w:r>
        <w:rPr>
          <w:spacing w:val="7"/>
        </w:rPr>
        <w:t xml:space="preserve"> </w:t>
      </w:r>
      <w:r>
        <w:t>específicamente</w:t>
      </w:r>
      <w:r>
        <w:rPr>
          <w:spacing w:val="6"/>
        </w:rPr>
        <w:t xml:space="preserve"> </w:t>
      </w:r>
      <w:r>
        <w:rPr>
          <w:spacing w:val="-2"/>
        </w:rPr>
        <w:t>aquellos</w:t>
      </w:r>
    </w:p>
    <w:p w14:paraId="4D421CED" w14:textId="77777777" w:rsidR="0014798C" w:rsidRDefault="004E1F0B">
      <w:pPr>
        <w:pStyle w:val="Textoindependiente"/>
        <w:spacing w:before="66" w:line="326" w:lineRule="auto"/>
        <w:ind w:left="1107" w:right="1272" w:firstLine="1"/>
      </w:pPr>
      <w:r>
        <w:t>que requieren que las autoridades públicas modifiquen o deroguen leyes, políticas y prácticas discriminatorias y que implementen programas de acción positiva. En Sudáfrica, por ejemplo, los tribunales de igualdad están facultados para emitir “una orden</w:t>
      </w:r>
    </w:p>
    <w:p w14:paraId="7C5C9EEA" w14:textId="77777777" w:rsidR="0014798C" w:rsidRDefault="004E1F0B">
      <w:pPr>
        <w:pStyle w:val="Textoindependiente"/>
        <w:spacing w:line="183" w:lineRule="exact"/>
        <w:ind w:left="1109"/>
      </w:pPr>
      <w:r>
        <w:t>para</w:t>
      </w:r>
      <w:r>
        <w:rPr>
          <w:spacing w:val="4"/>
        </w:rPr>
        <w:t xml:space="preserve"> </w:t>
      </w:r>
      <w:r>
        <w:t>la</w:t>
      </w:r>
      <w:r>
        <w:rPr>
          <w:spacing w:val="5"/>
        </w:rPr>
        <w:t xml:space="preserve"> </w:t>
      </w:r>
      <w:r>
        <w:t>implementación</w:t>
      </w:r>
      <w:r>
        <w:rPr>
          <w:spacing w:val="5"/>
        </w:rPr>
        <w:t xml:space="preserve"> </w:t>
      </w:r>
      <w:r>
        <w:t>de</w:t>
      </w:r>
      <w:r>
        <w:rPr>
          <w:spacing w:val="4"/>
        </w:rPr>
        <w:t xml:space="preserve"> </w:t>
      </w:r>
      <w:r>
        <w:t>medidas</w:t>
      </w:r>
      <w:r>
        <w:rPr>
          <w:spacing w:val="5"/>
        </w:rPr>
        <w:t xml:space="preserve"> </w:t>
      </w:r>
      <w:r>
        <w:t>especiales</w:t>
      </w:r>
      <w:r>
        <w:rPr>
          <w:spacing w:val="5"/>
        </w:rPr>
        <w:t xml:space="preserve"> </w:t>
      </w:r>
      <w:r>
        <w:t>para</w:t>
      </w:r>
      <w:r>
        <w:rPr>
          <w:spacing w:val="5"/>
        </w:rPr>
        <w:t xml:space="preserve"> </w:t>
      </w:r>
      <w:r>
        <w:t>abordar...</w:t>
      </w:r>
      <w:r>
        <w:rPr>
          <w:spacing w:val="5"/>
        </w:rPr>
        <w:t xml:space="preserve"> </w:t>
      </w:r>
      <w:r>
        <w:t>la</w:t>
      </w:r>
      <w:r>
        <w:rPr>
          <w:spacing w:val="5"/>
        </w:rPr>
        <w:t xml:space="preserve"> </w:t>
      </w:r>
      <w:r>
        <w:t>discriminación,</w:t>
      </w:r>
      <w:r>
        <w:rPr>
          <w:spacing w:val="7"/>
        </w:rPr>
        <w:t xml:space="preserve"> </w:t>
      </w:r>
      <w:r>
        <w:t>el</w:t>
      </w:r>
      <w:r>
        <w:rPr>
          <w:spacing w:val="5"/>
        </w:rPr>
        <w:t xml:space="preserve"> </w:t>
      </w:r>
      <w:r>
        <w:t>discurso</w:t>
      </w:r>
      <w:r>
        <w:rPr>
          <w:spacing w:val="6"/>
        </w:rPr>
        <w:t xml:space="preserve"> </w:t>
      </w:r>
      <w:r>
        <w:t>de</w:t>
      </w:r>
      <w:r>
        <w:rPr>
          <w:spacing w:val="4"/>
        </w:rPr>
        <w:t xml:space="preserve"> </w:t>
      </w:r>
      <w:r>
        <w:t>odio</w:t>
      </w:r>
      <w:r>
        <w:rPr>
          <w:spacing w:val="5"/>
        </w:rPr>
        <w:t xml:space="preserve"> </w:t>
      </w:r>
      <w:r>
        <w:t>o</w:t>
      </w:r>
      <w:r>
        <w:rPr>
          <w:spacing w:val="5"/>
        </w:rPr>
        <w:t xml:space="preserve"> </w:t>
      </w:r>
      <w:r>
        <w:t>el</w:t>
      </w:r>
      <w:r>
        <w:rPr>
          <w:spacing w:val="5"/>
        </w:rPr>
        <w:t xml:space="preserve"> </w:t>
      </w:r>
      <w:r>
        <w:rPr>
          <w:spacing w:val="-2"/>
        </w:rPr>
        <w:t>acoso”629.</w:t>
      </w:r>
    </w:p>
    <w:p w14:paraId="084969A7" w14:textId="77777777" w:rsidR="0014798C" w:rsidRDefault="0014798C">
      <w:pPr>
        <w:pStyle w:val="Textoindependiente"/>
        <w:spacing w:before="52"/>
      </w:pPr>
    </w:p>
    <w:p w14:paraId="0366DBDA" w14:textId="77777777" w:rsidR="0014798C" w:rsidRDefault="004E1F0B">
      <w:pPr>
        <w:pStyle w:val="Textoindependiente"/>
        <w:spacing w:line="326" w:lineRule="auto"/>
        <w:ind w:left="1107" w:right="1326" w:hanging="1"/>
      </w:pPr>
      <w:r>
        <w:t>Como lo ilustra esta última clase de remedio, existen vínculos claros entre los remedios sociales y las obligaciones de acción positiva</w:t>
      </w:r>
      <w:r>
        <w:rPr>
          <w:spacing w:val="12"/>
        </w:rPr>
        <w:t xml:space="preserve"> </w:t>
      </w:r>
      <w:r>
        <w:t>de</w:t>
      </w:r>
      <w:r>
        <w:rPr>
          <w:spacing w:val="12"/>
        </w:rPr>
        <w:t xml:space="preserve"> </w:t>
      </w:r>
      <w:r>
        <w:t>los</w:t>
      </w:r>
      <w:r>
        <w:rPr>
          <w:spacing w:val="12"/>
        </w:rPr>
        <w:t xml:space="preserve"> </w:t>
      </w:r>
      <w:r>
        <w:t>Estados.</w:t>
      </w:r>
      <w:r>
        <w:rPr>
          <w:spacing w:val="14"/>
        </w:rPr>
        <w:t xml:space="preserve"> </w:t>
      </w:r>
      <w:r>
        <w:t>Sin</w:t>
      </w:r>
      <w:r>
        <w:rPr>
          <w:spacing w:val="12"/>
        </w:rPr>
        <w:t xml:space="preserve"> </w:t>
      </w:r>
      <w:r>
        <w:t>embargo,</w:t>
      </w:r>
      <w:r>
        <w:rPr>
          <w:spacing w:val="14"/>
        </w:rPr>
        <w:t xml:space="preserve"> </w:t>
      </w:r>
      <w:r>
        <w:t>como</w:t>
      </w:r>
      <w:r>
        <w:rPr>
          <w:spacing w:val="12"/>
        </w:rPr>
        <w:t xml:space="preserve"> </w:t>
      </w:r>
      <w:r>
        <w:t>se</w:t>
      </w:r>
      <w:r>
        <w:rPr>
          <w:spacing w:val="12"/>
        </w:rPr>
        <w:t xml:space="preserve"> </w:t>
      </w:r>
      <w:r>
        <w:t>analiza</w:t>
      </w:r>
      <w:r>
        <w:rPr>
          <w:spacing w:val="12"/>
        </w:rPr>
        <w:t xml:space="preserve"> </w:t>
      </w:r>
      <w:r>
        <w:t>en</w:t>
      </w:r>
      <w:r>
        <w:rPr>
          <w:spacing w:val="12"/>
        </w:rPr>
        <w:t xml:space="preserve"> </w:t>
      </w:r>
      <w:r>
        <w:t>la</w:t>
      </w:r>
      <w:r>
        <w:rPr>
          <w:spacing w:val="12"/>
        </w:rPr>
        <w:t xml:space="preserve"> </w:t>
      </w:r>
      <w:r>
        <w:t>sección</w:t>
      </w:r>
      <w:r>
        <w:rPr>
          <w:spacing w:val="14"/>
        </w:rPr>
        <w:t xml:space="preserve"> </w:t>
      </w:r>
      <w:r>
        <w:t>IB</w:t>
      </w:r>
      <w:r>
        <w:rPr>
          <w:spacing w:val="12"/>
        </w:rPr>
        <w:t xml:space="preserve"> </w:t>
      </w:r>
      <w:r>
        <w:t>de</w:t>
      </w:r>
      <w:r>
        <w:rPr>
          <w:spacing w:val="12"/>
        </w:rPr>
        <w:t xml:space="preserve"> </w:t>
      </w:r>
      <w:r>
        <w:t>esta</w:t>
      </w:r>
      <w:r>
        <w:rPr>
          <w:spacing w:val="12"/>
        </w:rPr>
        <w:t xml:space="preserve"> </w:t>
      </w:r>
      <w:r>
        <w:t>parte,</w:t>
      </w:r>
      <w:r>
        <w:rPr>
          <w:spacing w:val="14"/>
        </w:rPr>
        <w:t xml:space="preserve"> </w:t>
      </w:r>
      <w:r>
        <w:t>es</w:t>
      </w:r>
      <w:r>
        <w:rPr>
          <w:spacing w:val="12"/>
        </w:rPr>
        <w:t xml:space="preserve"> </w:t>
      </w:r>
      <w:r>
        <w:t>importante</w:t>
      </w:r>
      <w:r>
        <w:rPr>
          <w:spacing w:val="12"/>
        </w:rPr>
        <w:t xml:space="preserve"> </w:t>
      </w:r>
      <w:r>
        <w:t>distinguir</w:t>
      </w:r>
      <w:r>
        <w:rPr>
          <w:spacing w:val="12"/>
        </w:rPr>
        <w:t xml:space="preserve"> </w:t>
      </w:r>
      <w:r>
        <w:t>ambas:</w:t>
      </w:r>
      <w:r>
        <w:rPr>
          <w:spacing w:val="14"/>
        </w:rPr>
        <w:t xml:space="preserve"> </w:t>
      </w:r>
      <w:r>
        <w:t>por</w:t>
      </w:r>
      <w:r>
        <w:rPr>
          <w:spacing w:val="12"/>
        </w:rPr>
        <w:t xml:space="preserve"> </w:t>
      </w:r>
      <w:r>
        <w:t>un lado, los tribunales pueden ordenar acciones positivas como remedio en un caso específico; y, por otro lado, los Estados tienen la</w:t>
      </w:r>
      <w:r>
        <w:rPr>
          <w:spacing w:val="16"/>
        </w:rPr>
        <w:t xml:space="preserve"> </w:t>
      </w:r>
      <w:r>
        <w:t>obligación</w:t>
      </w:r>
      <w:r>
        <w:rPr>
          <w:spacing w:val="16"/>
        </w:rPr>
        <w:t xml:space="preserve"> </w:t>
      </w:r>
      <w:r>
        <w:t>inmediata</w:t>
      </w:r>
      <w:r>
        <w:rPr>
          <w:spacing w:val="16"/>
        </w:rPr>
        <w:t xml:space="preserve"> </w:t>
      </w:r>
      <w:r>
        <w:t>de</w:t>
      </w:r>
      <w:r>
        <w:rPr>
          <w:spacing w:val="16"/>
        </w:rPr>
        <w:t xml:space="preserve"> </w:t>
      </w:r>
      <w:r>
        <w:t>implementar</w:t>
      </w:r>
      <w:r>
        <w:rPr>
          <w:spacing w:val="16"/>
        </w:rPr>
        <w:t xml:space="preserve"> </w:t>
      </w:r>
      <w:r>
        <w:t>acciones</w:t>
      </w:r>
      <w:r>
        <w:rPr>
          <w:spacing w:val="16"/>
        </w:rPr>
        <w:t xml:space="preserve"> </w:t>
      </w:r>
      <w:r>
        <w:t>positivas</w:t>
      </w:r>
      <w:r>
        <w:rPr>
          <w:spacing w:val="16"/>
        </w:rPr>
        <w:t xml:space="preserve"> </w:t>
      </w:r>
      <w:r>
        <w:t>en</w:t>
      </w:r>
      <w:r>
        <w:rPr>
          <w:spacing w:val="16"/>
        </w:rPr>
        <w:t xml:space="preserve"> </w:t>
      </w:r>
      <w:r>
        <w:t>situaciones</w:t>
      </w:r>
      <w:r>
        <w:rPr>
          <w:spacing w:val="16"/>
        </w:rPr>
        <w:t xml:space="preserve"> </w:t>
      </w:r>
      <w:r>
        <w:t>en</w:t>
      </w:r>
      <w:r>
        <w:rPr>
          <w:spacing w:val="16"/>
        </w:rPr>
        <w:t xml:space="preserve"> </w:t>
      </w:r>
      <w:r>
        <w:t>las</w:t>
      </w:r>
      <w:r>
        <w:rPr>
          <w:spacing w:val="16"/>
        </w:rPr>
        <w:t xml:space="preserve"> </w:t>
      </w:r>
      <w:r>
        <w:t>que</w:t>
      </w:r>
      <w:r>
        <w:rPr>
          <w:spacing w:val="16"/>
        </w:rPr>
        <w:t xml:space="preserve"> </w:t>
      </w:r>
      <w:r>
        <w:t>existen</w:t>
      </w:r>
      <w:r>
        <w:rPr>
          <w:spacing w:val="16"/>
        </w:rPr>
        <w:t xml:space="preserve"> </w:t>
      </w:r>
      <w:r>
        <w:t>desigualdades</w:t>
      </w:r>
      <w:r>
        <w:rPr>
          <w:spacing w:val="16"/>
        </w:rPr>
        <w:t xml:space="preserve"> </w:t>
      </w:r>
      <w:r>
        <w:t>sustantivas,</w:t>
      </w:r>
      <w:r>
        <w:rPr>
          <w:spacing w:val="18"/>
        </w:rPr>
        <w:t xml:space="preserve"> </w:t>
      </w:r>
      <w:r>
        <w:t>lo</w:t>
      </w:r>
      <w:r>
        <w:rPr>
          <w:spacing w:val="16"/>
        </w:rPr>
        <w:t xml:space="preserve"> </w:t>
      </w:r>
      <w:r>
        <w:t>que no requiere una conclusión de discriminación. De manera similar, los remedios institucionales y sociales se superponen,</w:t>
      </w:r>
    </w:p>
    <w:p w14:paraId="1C0CE5CE" w14:textId="77777777" w:rsidR="0014798C" w:rsidRDefault="0014798C">
      <w:pPr>
        <w:pStyle w:val="Textoindependiente"/>
        <w:rPr>
          <w:sz w:val="14"/>
        </w:rPr>
      </w:pPr>
    </w:p>
    <w:p w14:paraId="35D8DEBD" w14:textId="77777777" w:rsidR="0014798C" w:rsidRDefault="0014798C">
      <w:pPr>
        <w:pStyle w:val="Textoindependiente"/>
        <w:rPr>
          <w:sz w:val="14"/>
        </w:rPr>
      </w:pPr>
    </w:p>
    <w:p w14:paraId="5BE5B666" w14:textId="77777777" w:rsidR="0014798C" w:rsidRDefault="0014798C">
      <w:pPr>
        <w:pStyle w:val="Textoindependiente"/>
        <w:spacing w:before="128"/>
        <w:rPr>
          <w:sz w:val="14"/>
        </w:rPr>
      </w:pPr>
    </w:p>
    <w:p w14:paraId="16935AAC" w14:textId="77777777" w:rsidR="0014798C" w:rsidRDefault="004E1F0B">
      <w:pPr>
        <w:ind w:left="1108"/>
        <w:rPr>
          <w:sz w:val="14"/>
        </w:rPr>
      </w:pPr>
      <w:r>
        <w:rPr>
          <w:spacing w:val="-2"/>
          <w:sz w:val="14"/>
        </w:rPr>
        <w:t>626</w:t>
      </w:r>
      <w:r>
        <w:rPr>
          <w:spacing w:val="13"/>
          <w:sz w:val="14"/>
        </w:rPr>
        <w:t xml:space="preserve"> </w:t>
      </w:r>
      <w:r>
        <w:rPr>
          <w:spacing w:val="-2"/>
          <w:sz w:val="14"/>
        </w:rPr>
        <w:t>Corte</w:t>
      </w:r>
      <w:r>
        <w:rPr>
          <w:spacing w:val="12"/>
          <w:sz w:val="14"/>
        </w:rPr>
        <w:t xml:space="preserve"> </w:t>
      </w:r>
      <w:r>
        <w:rPr>
          <w:spacing w:val="-2"/>
          <w:sz w:val="14"/>
        </w:rPr>
        <w:t>Constitucional</w:t>
      </w:r>
      <w:r>
        <w:rPr>
          <w:spacing w:val="12"/>
          <w:sz w:val="14"/>
        </w:rPr>
        <w:t xml:space="preserve"> </w:t>
      </w:r>
      <w:r>
        <w:rPr>
          <w:spacing w:val="-2"/>
          <w:sz w:val="14"/>
        </w:rPr>
        <w:t>de</w:t>
      </w:r>
      <w:r>
        <w:rPr>
          <w:spacing w:val="13"/>
          <w:sz w:val="14"/>
        </w:rPr>
        <w:t xml:space="preserve"> </w:t>
      </w:r>
      <w:r>
        <w:rPr>
          <w:spacing w:val="-2"/>
          <w:sz w:val="14"/>
        </w:rPr>
        <w:t>Colombia,</w:t>
      </w:r>
      <w:r>
        <w:rPr>
          <w:spacing w:val="13"/>
          <w:sz w:val="14"/>
        </w:rPr>
        <w:t xml:space="preserve"> </w:t>
      </w:r>
      <w:r>
        <w:rPr>
          <w:spacing w:val="-2"/>
          <w:sz w:val="14"/>
        </w:rPr>
        <w:t>Sentencia</w:t>
      </w:r>
      <w:r>
        <w:rPr>
          <w:spacing w:val="12"/>
          <w:sz w:val="14"/>
        </w:rPr>
        <w:t xml:space="preserve"> </w:t>
      </w:r>
      <w:r>
        <w:rPr>
          <w:spacing w:val="-2"/>
          <w:sz w:val="14"/>
        </w:rPr>
        <w:t>T-025,</w:t>
      </w:r>
      <w:r>
        <w:rPr>
          <w:spacing w:val="14"/>
          <w:sz w:val="14"/>
        </w:rPr>
        <w:t xml:space="preserve"> </w:t>
      </w:r>
      <w:r>
        <w:rPr>
          <w:spacing w:val="-2"/>
          <w:sz w:val="14"/>
        </w:rPr>
        <w:t>2004.</w:t>
      </w:r>
      <w:r>
        <w:rPr>
          <w:spacing w:val="13"/>
          <w:sz w:val="14"/>
        </w:rPr>
        <w:t xml:space="preserve"> </w:t>
      </w:r>
      <w:r>
        <w:rPr>
          <w:spacing w:val="-2"/>
          <w:sz w:val="14"/>
        </w:rPr>
        <w:t>Disponible</w:t>
      </w:r>
      <w:r>
        <w:rPr>
          <w:spacing w:val="13"/>
          <w:sz w:val="14"/>
        </w:rPr>
        <w:t xml:space="preserve"> </w:t>
      </w:r>
      <w:r>
        <w:rPr>
          <w:spacing w:val="-2"/>
          <w:sz w:val="14"/>
        </w:rPr>
        <w:t>en</w:t>
      </w:r>
      <w:r>
        <w:rPr>
          <w:spacing w:val="14"/>
          <w:sz w:val="14"/>
        </w:rPr>
        <w:t xml:space="preserve"> </w:t>
      </w:r>
      <w:hyperlink r:id="rId173">
        <w:r>
          <w:rPr>
            <w:color w:val="0075BF"/>
            <w:spacing w:val="-2"/>
            <w:sz w:val="14"/>
          </w:rPr>
          <w:t>www.corteconstitucional.gov.co/relatoria/2004/t-025-04.htm.</w:t>
        </w:r>
      </w:hyperlink>
    </w:p>
    <w:p w14:paraId="2E0A3660" w14:textId="77777777" w:rsidR="0014798C" w:rsidRDefault="004E1F0B">
      <w:pPr>
        <w:spacing w:before="66" w:line="312" w:lineRule="auto"/>
        <w:ind w:left="1368" w:right="1463" w:hanging="261"/>
        <w:rPr>
          <w:sz w:val="12"/>
        </w:rPr>
      </w:pPr>
      <w:r>
        <w:rPr>
          <w:sz w:val="12"/>
        </w:rPr>
        <w:t>627</w:t>
      </w:r>
      <w:r>
        <w:rPr>
          <w:spacing w:val="-6"/>
          <w:sz w:val="12"/>
        </w:rPr>
        <w:t xml:space="preserve"> </w:t>
      </w:r>
      <w:r>
        <w:rPr>
          <w:sz w:val="12"/>
        </w:rPr>
        <w:t>Principios</w:t>
      </w:r>
      <w:r>
        <w:rPr>
          <w:spacing w:val="-6"/>
          <w:sz w:val="12"/>
        </w:rPr>
        <w:t xml:space="preserve"> </w:t>
      </w:r>
      <w:r>
        <w:rPr>
          <w:sz w:val="12"/>
        </w:rPr>
        <w:t>y</w:t>
      </w:r>
      <w:r>
        <w:rPr>
          <w:spacing w:val="-6"/>
          <w:sz w:val="12"/>
        </w:rPr>
        <w:t xml:space="preserve"> </w:t>
      </w:r>
      <w:r>
        <w:rPr>
          <w:sz w:val="12"/>
        </w:rPr>
        <w:t>directrices</w:t>
      </w:r>
      <w:r>
        <w:rPr>
          <w:spacing w:val="-6"/>
          <w:sz w:val="12"/>
        </w:rPr>
        <w:t xml:space="preserve"> </w:t>
      </w:r>
      <w:r>
        <w:rPr>
          <w:sz w:val="12"/>
        </w:rPr>
        <w:t>básicos</w:t>
      </w:r>
      <w:r>
        <w:rPr>
          <w:spacing w:val="-6"/>
          <w:sz w:val="12"/>
        </w:rPr>
        <w:t xml:space="preserve"> </w:t>
      </w:r>
      <w:r>
        <w:rPr>
          <w:sz w:val="12"/>
        </w:rPr>
        <w:t>sobre</w:t>
      </w:r>
      <w:r>
        <w:rPr>
          <w:spacing w:val="-6"/>
          <w:sz w:val="12"/>
        </w:rPr>
        <w:t xml:space="preserve"> </w:t>
      </w:r>
      <w:r>
        <w:rPr>
          <w:sz w:val="12"/>
        </w:rPr>
        <w:t>el</w:t>
      </w:r>
      <w:r>
        <w:rPr>
          <w:spacing w:val="-6"/>
          <w:sz w:val="12"/>
        </w:rPr>
        <w:t xml:space="preserve"> </w:t>
      </w:r>
      <w:r>
        <w:rPr>
          <w:sz w:val="12"/>
        </w:rPr>
        <w:t>derecho</w:t>
      </w:r>
      <w:r>
        <w:rPr>
          <w:spacing w:val="-6"/>
          <w:sz w:val="12"/>
        </w:rPr>
        <w:t xml:space="preserve"> </w:t>
      </w:r>
      <w:r>
        <w:rPr>
          <w:sz w:val="12"/>
        </w:rPr>
        <w:t>a</w:t>
      </w:r>
      <w:r>
        <w:rPr>
          <w:spacing w:val="-6"/>
          <w:sz w:val="12"/>
        </w:rPr>
        <w:t xml:space="preserve"> </w:t>
      </w:r>
      <w:r>
        <w:rPr>
          <w:sz w:val="12"/>
        </w:rPr>
        <w:t>un</w:t>
      </w:r>
      <w:r>
        <w:rPr>
          <w:spacing w:val="-6"/>
          <w:sz w:val="12"/>
        </w:rPr>
        <w:t xml:space="preserve"> </w:t>
      </w:r>
      <w:r>
        <w:rPr>
          <w:sz w:val="12"/>
        </w:rPr>
        <w:t>recurso</w:t>
      </w:r>
      <w:r>
        <w:rPr>
          <w:spacing w:val="-6"/>
          <w:sz w:val="12"/>
        </w:rPr>
        <w:t xml:space="preserve"> </w:t>
      </w:r>
      <w:r>
        <w:rPr>
          <w:sz w:val="12"/>
        </w:rPr>
        <w:t>y</w:t>
      </w:r>
      <w:r>
        <w:rPr>
          <w:spacing w:val="-6"/>
          <w:sz w:val="12"/>
        </w:rPr>
        <w:t xml:space="preserve"> </w:t>
      </w:r>
      <w:r>
        <w:rPr>
          <w:sz w:val="12"/>
        </w:rPr>
        <w:t>reparación</w:t>
      </w:r>
      <w:r>
        <w:rPr>
          <w:spacing w:val="-6"/>
          <w:sz w:val="12"/>
        </w:rPr>
        <w:t xml:space="preserve"> </w:t>
      </w:r>
      <w:r>
        <w:rPr>
          <w:sz w:val="12"/>
        </w:rPr>
        <w:t>para</w:t>
      </w:r>
      <w:r>
        <w:rPr>
          <w:spacing w:val="-6"/>
          <w:sz w:val="12"/>
        </w:rPr>
        <w:t xml:space="preserve"> </w:t>
      </w:r>
      <w:r>
        <w:rPr>
          <w:sz w:val="12"/>
        </w:rPr>
        <w:t>las</w:t>
      </w:r>
      <w:r>
        <w:rPr>
          <w:spacing w:val="-6"/>
          <w:sz w:val="12"/>
        </w:rPr>
        <w:t xml:space="preserve"> </w:t>
      </w:r>
      <w:r>
        <w:rPr>
          <w:sz w:val="12"/>
        </w:rPr>
        <w:t>víctimas</w:t>
      </w:r>
      <w:r>
        <w:rPr>
          <w:spacing w:val="-6"/>
          <w:sz w:val="12"/>
        </w:rPr>
        <w:t xml:space="preserve"> </w:t>
      </w:r>
      <w:r>
        <w:rPr>
          <w:sz w:val="12"/>
        </w:rPr>
        <w:t>de</w:t>
      </w:r>
      <w:r>
        <w:rPr>
          <w:spacing w:val="-6"/>
          <w:sz w:val="12"/>
        </w:rPr>
        <w:t xml:space="preserve"> </w:t>
      </w:r>
      <w:r>
        <w:rPr>
          <w:sz w:val="12"/>
        </w:rPr>
        <w:t>violaciones</w:t>
      </w:r>
      <w:r>
        <w:rPr>
          <w:spacing w:val="-6"/>
          <w:sz w:val="12"/>
        </w:rPr>
        <w:t xml:space="preserve"> </w:t>
      </w:r>
      <w:r>
        <w:rPr>
          <w:sz w:val="12"/>
        </w:rPr>
        <w:t>manifiestas</w:t>
      </w:r>
      <w:r>
        <w:rPr>
          <w:spacing w:val="-6"/>
          <w:sz w:val="12"/>
        </w:rPr>
        <w:t xml:space="preserve"> </w:t>
      </w:r>
      <w:r>
        <w:rPr>
          <w:sz w:val="12"/>
        </w:rPr>
        <w:t>del</w:t>
      </w:r>
      <w:r>
        <w:rPr>
          <w:spacing w:val="-6"/>
          <w:sz w:val="12"/>
        </w:rPr>
        <w:t xml:space="preserve"> </w:t>
      </w:r>
      <w:r>
        <w:rPr>
          <w:sz w:val="12"/>
        </w:rPr>
        <w:t>derecho</w:t>
      </w:r>
      <w:r>
        <w:rPr>
          <w:spacing w:val="-6"/>
          <w:sz w:val="12"/>
        </w:rPr>
        <w:t xml:space="preserve"> </w:t>
      </w:r>
      <w:r>
        <w:rPr>
          <w:sz w:val="12"/>
        </w:rPr>
        <w:t>internacional</w:t>
      </w:r>
      <w:r>
        <w:rPr>
          <w:spacing w:val="-6"/>
          <w:sz w:val="12"/>
        </w:rPr>
        <w:t xml:space="preserve"> </w:t>
      </w:r>
      <w:r>
        <w:rPr>
          <w:sz w:val="12"/>
        </w:rPr>
        <w:t>de</w:t>
      </w:r>
      <w:r>
        <w:rPr>
          <w:spacing w:val="-6"/>
          <w:sz w:val="12"/>
        </w:rPr>
        <w:t xml:space="preserve"> </w:t>
      </w:r>
      <w:r>
        <w:rPr>
          <w:sz w:val="12"/>
        </w:rPr>
        <w:t>los</w:t>
      </w:r>
      <w:r>
        <w:rPr>
          <w:spacing w:val="-6"/>
          <w:sz w:val="12"/>
        </w:rPr>
        <w:t xml:space="preserve"> </w:t>
      </w:r>
      <w:r>
        <w:rPr>
          <w:sz w:val="12"/>
        </w:rPr>
        <w:t>derechos</w:t>
      </w:r>
      <w:r>
        <w:rPr>
          <w:spacing w:val="40"/>
          <w:sz w:val="12"/>
        </w:rPr>
        <w:t xml:space="preserve"> </w:t>
      </w:r>
      <w:r>
        <w:rPr>
          <w:sz w:val="12"/>
        </w:rPr>
        <w:t>humanos y violaciones graves del derecho internacional humanitario, párr. 22 (b)–(e) y (g).</w:t>
      </w:r>
    </w:p>
    <w:p w14:paraId="58D4DC10" w14:textId="77777777" w:rsidR="0014798C" w:rsidRDefault="0014798C">
      <w:pPr>
        <w:spacing w:line="312" w:lineRule="auto"/>
        <w:rPr>
          <w:sz w:val="12"/>
        </w:rPr>
        <w:sectPr w:rsidR="0014798C" w:rsidSect="00F265E4">
          <w:pgSz w:w="11900" w:h="16820"/>
          <w:pgMar w:top="340" w:right="0" w:bottom="280" w:left="200" w:header="121" w:footer="0" w:gutter="0"/>
          <w:cols w:space="720"/>
        </w:sectPr>
      </w:pPr>
    </w:p>
    <w:p w14:paraId="790B2DD2" w14:textId="77777777" w:rsidR="0014798C" w:rsidRDefault="004E1F0B">
      <w:pPr>
        <w:spacing w:before="13"/>
        <w:jc w:val="right"/>
        <w:rPr>
          <w:sz w:val="8"/>
        </w:rPr>
      </w:pPr>
      <w:r>
        <w:rPr>
          <w:spacing w:val="-5"/>
          <w:w w:val="105"/>
          <w:sz w:val="8"/>
        </w:rPr>
        <w:t>628</w:t>
      </w:r>
    </w:p>
    <w:p w14:paraId="3CE9D397" w14:textId="77777777" w:rsidR="0014798C" w:rsidRDefault="004E1F0B">
      <w:pPr>
        <w:spacing w:before="48" w:line="312" w:lineRule="auto"/>
        <w:ind w:left="77" w:right="1378" w:firstLine="2"/>
        <w:rPr>
          <w:sz w:val="12"/>
        </w:rPr>
      </w:pPr>
      <w:r>
        <w:br w:type="column"/>
      </w:r>
      <w:r>
        <w:rPr>
          <w:w w:val="105"/>
          <w:sz w:val="12"/>
        </w:rPr>
        <w:t>Centro</w:t>
      </w:r>
      <w:r>
        <w:rPr>
          <w:spacing w:val="-3"/>
          <w:w w:val="105"/>
          <w:sz w:val="12"/>
        </w:rPr>
        <w:t xml:space="preserve"> </w:t>
      </w:r>
      <w:r>
        <w:rPr>
          <w:w w:val="105"/>
          <w:sz w:val="12"/>
        </w:rPr>
        <w:t>Europeo</w:t>
      </w:r>
      <w:r>
        <w:rPr>
          <w:spacing w:val="-3"/>
          <w:w w:val="105"/>
          <w:sz w:val="12"/>
        </w:rPr>
        <w:t xml:space="preserve"> </w:t>
      </w:r>
      <w:r>
        <w:rPr>
          <w:w w:val="105"/>
          <w:sz w:val="12"/>
        </w:rPr>
        <w:t>de</w:t>
      </w:r>
      <w:r>
        <w:rPr>
          <w:spacing w:val="-3"/>
          <w:w w:val="105"/>
          <w:sz w:val="12"/>
        </w:rPr>
        <w:t xml:space="preserve"> </w:t>
      </w:r>
      <w:r>
        <w:rPr>
          <w:w w:val="105"/>
          <w:sz w:val="12"/>
        </w:rPr>
        <w:t>Derechos</w:t>
      </w:r>
      <w:r>
        <w:rPr>
          <w:spacing w:val="-3"/>
          <w:w w:val="105"/>
          <w:sz w:val="12"/>
        </w:rPr>
        <w:t xml:space="preserve"> </w:t>
      </w:r>
      <w:r>
        <w:rPr>
          <w:w w:val="105"/>
          <w:sz w:val="12"/>
        </w:rPr>
        <w:t>de</w:t>
      </w:r>
      <w:r>
        <w:rPr>
          <w:spacing w:val="-3"/>
          <w:w w:val="105"/>
          <w:sz w:val="12"/>
        </w:rPr>
        <w:t xml:space="preserve"> </w:t>
      </w:r>
      <w:r>
        <w:rPr>
          <w:w w:val="105"/>
          <w:sz w:val="12"/>
        </w:rPr>
        <w:t>los</w:t>
      </w:r>
      <w:r>
        <w:rPr>
          <w:spacing w:val="-3"/>
          <w:w w:val="105"/>
          <w:sz w:val="12"/>
        </w:rPr>
        <w:t xml:space="preserve"> </w:t>
      </w:r>
      <w:r>
        <w:rPr>
          <w:w w:val="105"/>
          <w:sz w:val="12"/>
        </w:rPr>
        <w:t>Romaníes,</w:t>
      </w:r>
      <w:r>
        <w:rPr>
          <w:spacing w:val="-2"/>
          <w:w w:val="105"/>
          <w:sz w:val="12"/>
        </w:rPr>
        <w:t xml:space="preserve"> </w:t>
      </w:r>
      <w:r>
        <w:rPr>
          <w:w w:val="105"/>
          <w:sz w:val="12"/>
        </w:rPr>
        <w:t>“Estación</w:t>
      </w:r>
      <w:r>
        <w:rPr>
          <w:spacing w:val="-3"/>
          <w:w w:val="105"/>
          <w:sz w:val="12"/>
        </w:rPr>
        <w:t xml:space="preserve"> </w:t>
      </w:r>
      <w:r>
        <w:rPr>
          <w:w w:val="105"/>
          <w:sz w:val="12"/>
        </w:rPr>
        <w:t>de</w:t>
      </w:r>
      <w:r>
        <w:rPr>
          <w:spacing w:val="-3"/>
          <w:w w:val="105"/>
          <w:sz w:val="12"/>
        </w:rPr>
        <w:t xml:space="preserve"> </w:t>
      </w:r>
      <w:r>
        <w:rPr>
          <w:w w:val="105"/>
          <w:sz w:val="12"/>
        </w:rPr>
        <w:t>televisión</w:t>
      </w:r>
      <w:r>
        <w:rPr>
          <w:spacing w:val="-3"/>
          <w:w w:val="105"/>
          <w:sz w:val="12"/>
        </w:rPr>
        <w:t xml:space="preserve"> </w:t>
      </w:r>
      <w:r>
        <w:rPr>
          <w:w w:val="105"/>
          <w:sz w:val="12"/>
        </w:rPr>
        <w:t>húngara</w:t>
      </w:r>
      <w:r>
        <w:rPr>
          <w:spacing w:val="-3"/>
          <w:w w:val="105"/>
          <w:sz w:val="12"/>
        </w:rPr>
        <w:t xml:space="preserve"> </w:t>
      </w:r>
      <w:r>
        <w:rPr>
          <w:w w:val="105"/>
          <w:sz w:val="12"/>
        </w:rPr>
        <w:t>sancionada</w:t>
      </w:r>
      <w:r>
        <w:rPr>
          <w:spacing w:val="-3"/>
          <w:w w:val="105"/>
          <w:sz w:val="12"/>
        </w:rPr>
        <w:t xml:space="preserve"> </w:t>
      </w:r>
      <w:r>
        <w:rPr>
          <w:w w:val="105"/>
          <w:sz w:val="12"/>
        </w:rPr>
        <w:t>por</w:t>
      </w:r>
      <w:r>
        <w:rPr>
          <w:spacing w:val="-3"/>
          <w:w w:val="105"/>
          <w:sz w:val="12"/>
        </w:rPr>
        <w:t xml:space="preserve"> </w:t>
      </w:r>
      <w:r>
        <w:rPr>
          <w:w w:val="105"/>
          <w:sz w:val="12"/>
        </w:rPr>
        <w:t>transmitir</w:t>
      </w:r>
      <w:r>
        <w:rPr>
          <w:spacing w:val="-3"/>
          <w:w w:val="105"/>
          <w:sz w:val="12"/>
        </w:rPr>
        <w:t xml:space="preserve"> </w:t>
      </w:r>
      <w:r>
        <w:rPr>
          <w:w w:val="105"/>
          <w:sz w:val="12"/>
        </w:rPr>
        <w:t>un</w:t>
      </w:r>
      <w:r>
        <w:rPr>
          <w:spacing w:val="-3"/>
          <w:w w:val="105"/>
          <w:sz w:val="12"/>
        </w:rPr>
        <w:t xml:space="preserve"> </w:t>
      </w:r>
      <w:r>
        <w:rPr>
          <w:w w:val="105"/>
          <w:sz w:val="12"/>
        </w:rPr>
        <w:t>programa</w:t>
      </w:r>
      <w:r>
        <w:rPr>
          <w:spacing w:val="-3"/>
          <w:w w:val="105"/>
          <w:sz w:val="12"/>
        </w:rPr>
        <w:t xml:space="preserve"> </w:t>
      </w:r>
      <w:r>
        <w:rPr>
          <w:w w:val="105"/>
          <w:sz w:val="12"/>
        </w:rPr>
        <w:t>difamatorio”,</w:t>
      </w:r>
      <w:r>
        <w:rPr>
          <w:spacing w:val="-2"/>
          <w:w w:val="105"/>
          <w:sz w:val="12"/>
        </w:rPr>
        <w:t xml:space="preserve"> </w:t>
      </w:r>
      <w:r>
        <w:rPr>
          <w:w w:val="105"/>
          <w:sz w:val="12"/>
        </w:rPr>
        <w:t>29</w:t>
      </w:r>
      <w:r>
        <w:rPr>
          <w:spacing w:val="-3"/>
          <w:w w:val="105"/>
          <w:sz w:val="12"/>
        </w:rPr>
        <w:t xml:space="preserve"> </w:t>
      </w:r>
      <w:r>
        <w:rPr>
          <w:w w:val="105"/>
          <w:sz w:val="12"/>
        </w:rPr>
        <w:t>de</w:t>
      </w:r>
      <w:r>
        <w:rPr>
          <w:spacing w:val="-3"/>
          <w:w w:val="105"/>
          <w:sz w:val="12"/>
        </w:rPr>
        <w:t xml:space="preserve"> </w:t>
      </w:r>
      <w:r>
        <w:rPr>
          <w:w w:val="105"/>
          <w:sz w:val="12"/>
        </w:rPr>
        <w:t>octubre</w:t>
      </w:r>
      <w:r>
        <w:rPr>
          <w:spacing w:val="-3"/>
          <w:w w:val="105"/>
          <w:sz w:val="12"/>
        </w:rPr>
        <w:t xml:space="preserve"> </w:t>
      </w:r>
      <w:r>
        <w:rPr>
          <w:w w:val="105"/>
          <w:sz w:val="12"/>
        </w:rPr>
        <w:t>de</w:t>
      </w:r>
      <w:r>
        <w:rPr>
          <w:spacing w:val="-3"/>
          <w:w w:val="105"/>
          <w:sz w:val="12"/>
        </w:rPr>
        <w:t xml:space="preserve"> </w:t>
      </w:r>
      <w:r>
        <w:rPr>
          <w:w w:val="105"/>
          <w:sz w:val="12"/>
        </w:rPr>
        <w:t>2003.</w:t>
      </w:r>
      <w:r>
        <w:rPr>
          <w:spacing w:val="40"/>
          <w:w w:val="105"/>
          <w:sz w:val="12"/>
        </w:rPr>
        <w:t xml:space="preserve"> </w:t>
      </w:r>
      <w:r>
        <w:rPr>
          <w:w w:val="105"/>
          <w:sz w:val="12"/>
        </w:rPr>
        <w:t xml:space="preserve">Disponible en </w:t>
      </w:r>
      <w:hyperlink r:id="rId174">
        <w:r>
          <w:rPr>
            <w:color w:val="0075BF"/>
            <w:w w:val="105"/>
            <w:sz w:val="12"/>
          </w:rPr>
          <w:t>www.errc.org/roma-rights-journal/hungarian-television-station-sanctioned-for-broadcasting-a-defamatory-program.</w:t>
        </w:r>
      </w:hyperlink>
    </w:p>
    <w:p w14:paraId="71671CE5" w14:textId="77777777" w:rsidR="0014798C" w:rsidRDefault="0014798C">
      <w:pPr>
        <w:spacing w:line="312" w:lineRule="auto"/>
        <w:rPr>
          <w:sz w:val="12"/>
        </w:rPr>
        <w:sectPr w:rsidR="0014798C" w:rsidSect="00F265E4">
          <w:type w:val="continuous"/>
          <w:pgSz w:w="11900" w:h="16820"/>
          <w:pgMar w:top="40" w:right="0" w:bottom="280" w:left="200" w:header="121" w:footer="0" w:gutter="0"/>
          <w:cols w:num="2" w:space="720" w:equalWidth="0">
            <w:col w:w="1249" w:space="40"/>
            <w:col w:w="10411"/>
          </w:cols>
        </w:sectPr>
      </w:pPr>
    </w:p>
    <w:p w14:paraId="1BCC839E" w14:textId="77777777" w:rsidR="0014798C" w:rsidRDefault="004E1F0B">
      <w:pPr>
        <w:spacing w:before="67"/>
        <w:ind w:left="1108"/>
        <w:rPr>
          <w:sz w:val="12"/>
        </w:rPr>
      </w:pPr>
      <w:r>
        <w:rPr>
          <w:sz w:val="12"/>
        </w:rPr>
        <w:t>629</w:t>
      </w:r>
      <w:r>
        <w:rPr>
          <w:spacing w:val="-8"/>
          <w:sz w:val="12"/>
        </w:rPr>
        <w:t xml:space="preserve"> </w:t>
      </w:r>
      <w:r>
        <w:rPr>
          <w:sz w:val="12"/>
        </w:rPr>
        <w:t>Sudáfrica,</w:t>
      </w:r>
      <w:r>
        <w:rPr>
          <w:spacing w:val="-7"/>
          <w:sz w:val="12"/>
        </w:rPr>
        <w:t xml:space="preserve"> </w:t>
      </w:r>
      <w:r>
        <w:rPr>
          <w:sz w:val="12"/>
        </w:rPr>
        <w:t>Ley</w:t>
      </w:r>
      <w:r>
        <w:rPr>
          <w:spacing w:val="-7"/>
          <w:sz w:val="12"/>
        </w:rPr>
        <w:t xml:space="preserve"> </w:t>
      </w:r>
      <w:r>
        <w:rPr>
          <w:sz w:val="12"/>
        </w:rPr>
        <w:t>de</w:t>
      </w:r>
      <w:r>
        <w:rPr>
          <w:spacing w:val="-8"/>
          <w:sz w:val="12"/>
        </w:rPr>
        <w:t xml:space="preserve"> </w:t>
      </w:r>
      <w:r>
        <w:rPr>
          <w:sz w:val="12"/>
        </w:rPr>
        <w:t>Promoción</w:t>
      </w:r>
      <w:r>
        <w:rPr>
          <w:spacing w:val="-8"/>
          <w:sz w:val="12"/>
        </w:rPr>
        <w:t xml:space="preserve"> </w:t>
      </w:r>
      <w:r>
        <w:rPr>
          <w:sz w:val="12"/>
        </w:rPr>
        <w:t>de</w:t>
      </w:r>
      <w:r>
        <w:rPr>
          <w:spacing w:val="-7"/>
          <w:sz w:val="12"/>
        </w:rPr>
        <w:t xml:space="preserve"> </w:t>
      </w:r>
      <w:r>
        <w:rPr>
          <w:sz w:val="12"/>
        </w:rPr>
        <w:t>la</w:t>
      </w:r>
      <w:r>
        <w:rPr>
          <w:spacing w:val="-8"/>
          <w:sz w:val="12"/>
        </w:rPr>
        <w:t xml:space="preserve"> </w:t>
      </w:r>
      <w:r>
        <w:rPr>
          <w:sz w:val="12"/>
        </w:rPr>
        <w:t>Igualdad</w:t>
      </w:r>
      <w:r>
        <w:rPr>
          <w:spacing w:val="-7"/>
          <w:sz w:val="12"/>
        </w:rPr>
        <w:t xml:space="preserve"> </w:t>
      </w:r>
      <w:r>
        <w:rPr>
          <w:sz w:val="12"/>
        </w:rPr>
        <w:t>y</w:t>
      </w:r>
      <w:r>
        <w:rPr>
          <w:spacing w:val="-8"/>
          <w:sz w:val="12"/>
        </w:rPr>
        <w:t xml:space="preserve"> </w:t>
      </w:r>
      <w:r>
        <w:rPr>
          <w:sz w:val="12"/>
        </w:rPr>
        <w:t>Prevención</w:t>
      </w:r>
      <w:r>
        <w:rPr>
          <w:spacing w:val="-8"/>
          <w:sz w:val="12"/>
        </w:rPr>
        <w:t xml:space="preserve"> </w:t>
      </w:r>
      <w:r>
        <w:rPr>
          <w:sz w:val="12"/>
        </w:rPr>
        <w:t>de</w:t>
      </w:r>
      <w:r>
        <w:rPr>
          <w:spacing w:val="-7"/>
          <w:sz w:val="12"/>
        </w:rPr>
        <w:t xml:space="preserve"> </w:t>
      </w:r>
      <w:r>
        <w:rPr>
          <w:sz w:val="12"/>
        </w:rPr>
        <w:t>la</w:t>
      </w:r>
      <w:r>
        <w:rPr>
          <w:spacing w:val="-8"/>
          <w:sz w:val="12"/>
        </w:rPr>
        <w:t xml:space="preserve"> </w:t>
      </w:r>
      <w:r>
        <w:rPr>
          <w:sz w:val="12"/>
        </w:rPr>
        <w:t>Discriminación</w:t>
      </w:r>
      <w:r>
        <w:rPr>
          <w:spacing w:val="-7"/>
          <w:sz w:val="12"/>
        </w:rPr>
        <w:t xml:space="preserve"> </w:t>
      </w:r>
      <w:r>
        <w:rPr>
          <w:sz w:val="12"/>
        </w:rPr>
        <w:t>Injusta,</w:t>
      </w:r>
      <w:r>
        <w:rPr>
          <w:spacing w:val="-8"/>
          <w:sz w:val="12"/>
        </w:rPr>
        <w:t xml:space="preserve"> </w:t>
      </w:r>
      <w:r>
        <w:rPr>
          <w:sz w:val="12"/>
        </w:rPr>
        <w:t>art.</w:t>
      </w:r>
      <w:r>
        <w:rPr>
          <w:spacing w:val="-8"/>
          <w:sz w:val="12"/>
        </w:rPr>
        <w:t xml:space="preserve"> </w:t>
      </w:r>
      <w:r>
        <w:rPr>
          <w:sz w:val="12"/>
        </w:rPr>
        <w:t>21</w:t>
      </w:r>
      <w:r>
        <w:rPr>
          <w:spacing w:val="-7"/>
          <w:sz w:val="12"/>
        </w:rPr>
        <w:t xml:space="preserve"> </w:t>
      </w:r>
      <w:r>
        <w:rPr>
          <w:sz w:val="12"/>
        </w:rPr>
        <w:t>(2)</w:t>
      </w:r>
      <w:r>
        <w:rPr>
          <w:spacing w:val="-8"/>
          <w:sz w:val="12"/>
        </w:rPr>
        <w:t xml:space="preserve"> </w:t>
      </w:r>
      <w:r>
        <w:rPr>
          <w:spacing w:val="-4"/>
          <w:sz w:val="12"/>
        </w:rPr>
        <w:t>(h).</w:t>
      </w:r>
    </w:p>
    <w:p w14:paraId="0FE1F2C8" w14:textId="77777777" w:rsidR="0014798C" w:rsidRDefault="0014798C">
      <w:pPr>
        <w:pStyle w:val="Textoindependiente"/>
        <w:rPr>
          <w:sz w:val="18"/>
        </w:rPr>
      </w:pPr>
    </w:p>
    <w:p w14:paraId="6A2BA6D7" w14:textId="77777777" w:rsidR="0014798C" w:rsidRDefault="0014798C">
      <w:pPr>
        <w:pStyle w:val="Textoindependiente"/>
        <w:rPr>
          <w:sz w:val="18"/>
        </w:rPr>
      </w:pPr>
    </w:p>
    <w:p w14:paraId="27AC6B2F" w14:textId="77777777" w:rsidR="0014798C" w:rsidRDefault="0014798C">
      <w:pPr>
        <w:pStyle w:val="Textoindependiente"/>
        <w:spacing w:before="19"/>
        <w:rPr>
          <w:sz w:val="18"/>
        </w:rPr>
      </w:pPr>
    </w:p>
    <w:p w14:paraId="1C98C531" w14:textId="77777777" w:rsidR="0014798C" w:rsidRDefault="004E1F0B">
      <w:pPr>
        <w:ind w:right="723"/>
        <w:jc w:val="right"/>
        <w:rPr>
          <w:sz w:val="18"/>
        </w:rPr>
      </w:pPr>
      <w:r>
        <w:rPr>
          <w:spacing w:val="-5"/>
          <w:sz w:val="18"/>
        </w:rPr>
        <w:t>83</w:t>
      </w:r>
    </w:p>
    <w:p w14:paraId="2BD1977C" w14:textId="77777777" w:rsidR="0014798C" w:rsidRDefault="0014798C">
      <w:pPr>
        <w:jc w:val="right"/>
        <w:rPr>
          <w:sz w:val="18"/>
        </w:rPr>
        <w:sectPr w:rsidR="0014798C" w:rsidSect="00F265E4">
          <w:type w:val="continuous"/>
          <w:pgSz w:w="11900" w:h="16820"/>
          <w:pgMar w:top="40" w:right="0" w:bottom="280" w:left="200" w:header="121" w:footer="0" w:gutter="0"/>
          <w:cols w:space="720"/>
        </w:sectPr>
      </w:pPr>
    </w:p>
    <w:p w14:paraId="22AD29BE" w14:textId="586816B4" w:rsidR="0014798C" w:rsidRDefault="004E1F0B">
      <w:pPr>
        <w:spacing w:before="76"/>
        <w:ind w:left="113"/>
        <w:rPr>
          <w:sz w:val="21"/>
        </w:rPr>
      </w:pPr>
      <w:r>
        <w:rPr>
          <w:noProof/>
        </w:rPr>
        <w:lastRenderedPageBreak/>
        <w:drawing>
          <wp:anchor distT="0" distB="0" distL="0" distR="0" simplePos="0" relativeHeight="251658423" behindDoc="1" locked="0" layoutInCell="1" allowOverlap="1" wp14:anchorId="33356BC2" wp14:editId="2373B956">
            <wp:simplePos x="0" y="0"/>
            <wp:positionH relativeFrom="page">
              <wp:posOffset>0</wp:posOffset>
            </wp:positionH>
            <wp:positionV relativeFrom="page">
              <wp:posOffset>0</wp:posOffset>
            </wp:positionV>
            <wp:extent cx="7556500" cy="10680700"/>
            <wp:effectExtent l="0" t="0" r="0" b="0"/>
            <wp:wrapNone/>
            <wp:docPr id="194" name="Image 19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94" name="Image 194"/>
                    <pic:cNvPicPr/>
                  </pic:nvPicPr>
                  <pic:blipFill>
                    <a:blip r:embed="rId29" cstate="print"/>
                    <a:stretch>
                      <a:fillRect/>
                    </a:stretch>
                  </pic:blipFill>
                  <pic:spPr>
                    <a:xfrm>
                      <a:off x="0" y="0"/>
                      <a:ext cx="7556500" cy="10680700"/>
                    </a:xfrm>
                    <a:prstGeom prst="rect">
                      <a:avLst/>
                    </a:prstGeom>
                  </pic:spPr>
                </pic:pic>
              </a:graphicData>
            </a:graphic>
          </wp:anchor>
        </w:drawing>
      </w:r>
    </w:p>
    <w:p w14:paraId="6827329E" w14:textId="77777777" w:rsidR="0014798C" w:rsidRDefault="0014798C">
      <w:pPr>
        <w:pStyle w:val="Textoindependiente"/>
        <w:spacing w:before="85"/>
        <w:rPr>
          <w:sz w:val="12"/>
        </w:rPr>
      </w:pPr>
    </w:p>
    <w:p w14:paraId="42CDB403" w14:textId="77777777" w:rsidR="0014798C" w:rsidRDefault="004E1F0B">
      <w:pPr>
        <w:ind w:left="1111"/>
        <w:rPr>
          <w:sz w:val="12"/>
        </w:rPr>
      </w:pPr>
      <w:r>
        <w:rPr>
          <w:color w:val="00AC59"/>
          <w:sz w:val="12"/>
        </w:rPr>
        <w:t>PROTECCIÓN</w:t>
      </w:r>
      <w:r>
        <w:rPr>
          <w:color w:val="00AC59"/>
          <w:spacing w:val="6"/>
          <w:sz w:val="12"/>
        </w:rPr>
        <w:t xml:space="preserve"> </w:t>
      </w:r>
      <w:r>
        <w:rPr>
          <w:color w:val="00AC59"/>
          <w:sz w:val="12"/>
        </w:rPr>
        <w:t>DE</w:t>
      </w:r>
      <w:r>
        <w:rPr>
          <w:color w:val="00AC59"/>
          <w:spacing w:val="7"/>
          <w:sz w:val="12"/>
        </w:rPr>
        <w:t xml:space="preserve"> </w:t>
      </w:r>
      <w:r>
        <w:rPr>
          <w:color w:val="00AC59"/>
          <w:sz w:val="12"/>
        </w:rPr>
        <w:t>LOS</w:t>
      </w:r>
      <w:r>
        <w:rPr>
          <w:color w:val="00AC59"/>
          <w:spacing w:val="8"/>
          <w:sz w:val="12"/>
        </w:rPr>
        <w:t xml:space="preserve"> </w:t>
      </w:r>
      <w:r>
        <w:rPr>
          <w:color w:val="00AC59"/>
          <w:sz w:val="12"/>
        </w:rPr>
        <w:t>DERECHOS</w:t>
      </w:r>
      <w:r>
        <w:rPr>
          <w:color w:val="00AC59"/>
          <w:spacing w:val="8"/>
          <w:sz w:val="12"/>
        </w:rPr>
        <w:t xml:space="preserve"> </w:t>
      </w:r>
      <w:r>
        <w:rPr>
          <w:color w:val="00AC59"/>
          <w:sz w:val="12"/>
        </w:rPr>
        <w:t>DE</w:t>
      </w:r>
      <w:r>
        <w:rPr>
          <w:color w:val="00AC59"/>
          <w:spacing w:val="6"/>
          <w:sz w:val="12"/>
        </w:rPr>
        <w:t xml:space="preserve"> </w:t>
      </w:r>
      <w:r>
        <w:rPr>
          <w:color w:val="00AC59"/>
          <w:sz w:val="12"/>
        </w:rPr>
        <w:t>LAS</w:t>
      </w:r>
      <w:r>
        <w:rPr>
          <w:color w:val="00AC59"/>
          <w:spacing w:val="7"/>
          <w:sz w:val="12"/>
        </w:rPr>
        <w:t xml:space="preserve"> </w:t>
      </w:r>
      <w:r>
        <w:rPr>
          <w:color w:val="00AC59"/>
          <w:sz w:val="12"/>
        </w:rPr>
        <w:t>MINORÍAS:</w:t>
      </w:r>
      <w:r>
        <w:rPr>
          <w:color w:val="00AC59"/>
          <w:spacing w:val="8"/>
          <w:sz w:val="12"/>
        </w:rPr>
        <w:t xml:space="preserve"> </w:t>
      </w:r>
      <w:r>
        <w:rPr>
          <w:color w:val="00AC59"/>
          <w:sz w:val="12"/>
        </w:rPr>
        <w:t>una</w:t>
      </w:r>
      <w:r>
        <w:rPr>
          <w:color w:val="00AC59"/>
          <w:spacing w:val="7"/>
          <w:sz w:val="12"/>
        </w:rPr>
        <w:t xml:space="preserve"> </w:t>
      </w:r>
      <w:r>
        <w:rPr>
          <w:color w:val="00AC59"/>
          <w:sz w:val="12"/>
        </w:rPr>
        <w:t>guía</w:t>
      </w:r>
      <w:r>
        <w:rPr>
          <w:color w:val="00AC59"/>
          <w:spacing w:val="6"/>
          <w:sz w:val="12"/>
        </w:rPr>
        <w:t xml:space="preserve"> </w:t>
      </w:r>
      <w:r>
        <w:rPr>
          <w:color w:val="00AC59"/>
          <w:sz w:val="12"/>
        </w:rPr>
        <w:t>práctica</w:t>
      </w:r>
      <w:r>
        <w:rPr>
          <w:color w:val="00AC59"/>
          <w:spacing w:val="7"/>
          <w:sz w:val="12"/>
        </w:rPr>
        <w:t xml:space="preserve"> </w:t>
      </w:r>
      <w:r>
        <w:rPr>
          <w:color w:val="00AC59"/>
          <w:sz w:val="12"/>
        </w:rPr>
        <w:t>para</w:t>
      </w:r>
      <w:r>
        <w:rPr>
          <w:color w:val="00AC59"/>
          <w:spacing w:val="8"/>
          <w:sz w:val="12"/>
        </w:rPr>
        <w:t xml:space="preserve"> </w:t>
      </w:r>
      <w:r>
        <w:rPr>
          <w:color w:val="00AC59"/>
          <w:sz w:val="12"/>
        </w:rPr>
        <w:t>desarrollar</w:t>
      </w:r>
      <w:r>
        <w:rPr>
          <w:color w:val="00AC59"/>
          <w:spacing w:val="6"/>
          <w:sz w:val="12"/>
        </w:rPr>
        <w:t xml:space="preserve"> </w:t>
      </w:r>
      <w:r>
        <w:rPr>
          <w:color w:val="00AC59"/>
          <w:sz w:val="12"/>
        </w:rPr>
        <w:t>una</w:t>
      </w:r>
      <w:r>
        <w:rPr>
          <w:color w:val="00AC59"/>
          <w:spacing w:val="7"/>
          <w:sz w:val="12"/>
        </w:rPr>
        <w:t xml:space="preserve"> </w:t>
      </w:r>
      <w:r>
        <w:rPr>
          <w:color w:val="00AC59"/>
          <w:sz w:val="12"/>
        </w:rPr>
        <w:t>legislación</w:t>
      </w:r>
      <w:r>
        <w:rPr>
          <w:color w:val="00AC59"/>
          <w:spacing w:val="8"/>
          <w:sz w:val="12"/>
        </w:rPr>
        <w:t xml:space="preserve"> </w:t>
      </w:r>
      <w:r>
        <w:rPr>
          <w:color w:val="00AC59"/>
          <w:sz w:val="12"/>
        </w:rPr>
        <w:t>integral</w:t>
      </w:r>
      <w:r>
        <w:rPr>
          <w:color w:val="00AC59"/>
          <w:spacing w:val="7"/>
          <w:sz w:val="12"/>
        </w:rPr>
        <w:t xml:space="preserve"> </w:t>
      </w:r>
      <w:r>
        <w:rPr>
          <w:color w:val="00AC59"/>
          <w:sz w:val="12"/>
        </w:rPr>
        <w:t>contra</w:t>
      </w:r>
      <w:r>
        <w:rPr>
          <w:color w:val="00AC59"/>
          <w:spacing w:val="6"/>
          <w:sz w:val="12"/>
        </w:rPr>
        <w:t xml:space="preserve"> </w:t>
      </w:r>
      <w:r>
        <w:rPr>
          <w:color w:val="00AC59"/>
          <w:sz w:val="12"/>
        </w:rPr>
        <w:t>la</w:t>
      </w:r>
      <w:r>
        <w:rPr>
          <w:color w:val="00AC59"/>
          <w:spacing w:val="7"/>
          <w:sz w:val="12"/>
        </w:rPr>
        <w:t xml:space="preserve"> </w:t>
      </w:r>
      <w:r>
        <w:rPr>
          <w:color w:val="00AC59"/>
          <w:spacing w:val="-2"/>
          <w:sz w:val="12"/>
        </w:rPr>
        <w:t>discriminación</w:t>
      </w:r>
    </w:p>
    <w:p w14:paraId="687F9E0B" w14:textId="77777777" w:rsidR="0014798C" w:rsidRDefault="0014798C">
      <w:pPr>
        <w:pStyle w:val="Textoindependiente"/>
      </w:pPr>
    </w:p>
    <w:p w14:paraId="02DF0CBA" w14:textId="77777777" w:rsidR="0014798C" w:rsidRDefault="0014798C">
      <w:pPr>
        <w:pStyle w:val="Textoindependiente"/>
      </w:pPr>
    </w:p>
    <w:p w14:paraId="41F7F14B" w14:textId="77777777" w:rsidR="0014798C" w:rsidRDefault="0014798C">
      <w:pPr>
        <w:pStyle w:val="Textoindependiente"/>
      </w:pPr>
    </w:p>
    <w:p w14:paraId="5FF0AD27" w14:textId="77777777" w:rsidR="0014798C" w:rsidRDefault="0014798C">
      <w:pPr>
        <w:pStyle w:val="Textoindependiente"/>
      </w:pPr>
    </w:p>
    <w:p w14:paraId="2F2F9905" w14:textId="77777777" w:rsidR="0014798C" w:rsidRDefault="0014798C">
      <w:pPr>
        <w:pStyle w:val="Textoindependiente"/>
        <w:spacing w:before="53"/>
      </w:pPr>
    </w:p>
    <w:p w14:paraId="500E2537" w14:textId="77777777" w:rsidR="0014798C" w:rsidRDefault="004E1F0B">
      <w:pPr>
        <w:pStyle w:val="Textoindependiente"/>
        <w:spacing w:line="326" w:lineRule="auto"/>
        <w:ind w:left="1107" w:right="1335" w:firstLine="2"/>
      </w:pPr>
      <w:r>
        <w:t>Inevitablemente,</w:t>
      </w:r>
      <w:r>
        <w:rPr>
          <w:spacing w:val="14"/>
        </w:rPr>
        <w:t xml:space="preserve"> </w:t>
      </w:r>
      <w:r>
        <w:t>con</w:t>
      </w:r>
      <w:r>
        <w:rPr>
          <w:spacing w:val="13"/>
        </w:rPr>
        <w:t xml:space="preserve"> </w:t>
      </w:r>
      <w:r>
        <w:t>las</w:t>
      </w:r>
      <w:r>
        <w:rPr>
          <w:spacing w:val="13"/>
        </w:rPr>
        <w:t xml:space="preserve"> </w:t>
      </w:r>
      <w:r>
        <w:t>medidas</w:t>
      </w:r>
      <w:r>
        <w:rPr>
          <w:spacing w:val="11"/>
        </w:rPr>
        <w:t xml:space="preserve"> </w:t>
      </w:r>
      <w:r>
        <w:t>que</w:t>
      </w:r>
      <w:r>
        <w:rPr>
          <w:spacing w:val="13"/>
        </w:rPr>
        <w:t xml:space="preserve"> </w:t>
      </w:r>
      <w:r>
        <w:t>los</w:t>
      </w:r>
      <w:r>
        <w:rPr>
          <w:spacing w:val="13"/>
        </w:rPr>
        <w:t xml:space="preserve"> </w:t>
      </w:r>
      <w:r>
        <w:t>Estados</w:t>
      </w:r>
      <w:r>
        <w:rPr>
          <w:spacing w:val="11"/>
        </w:rPr>
        <w:t xml:space="preserve"> </w:t>
      </w:r>
      <w:r>
        <w:t>pueden</w:t>
      </w:r>
      <w:r>
        <w:rPr>
          <w:spacing w:val="13"/>
        </w:rPr>
        <w:t xml:space="preserve"> </w:t>
      </w:r>
      <w:r>
        <w:t>iniciar</w:t>
      </w:r>
      <w:r>
        <w:rPr>
          <w:spacing w:val="11"/>
        </w:rPr>
        <w:t xml:space="preserve"> </w:t>
      </w:r>
      <w:r>
        <w:t>de</w:t>
      </w:r>
      <w:r>
        <w:rPr>
          <w:spacing w:val="13"/>
        </w:rPr>
        <w:t xml:space="preserve"> </w:t>
      </w:r>
      <w:r>
        <w:t>conformidad</w:t>
      </w:r>
      <w:r>
        <w:rPr>
          <w:spacing w:val="13"/>
        </w:rPr>
        <w:t xml:space="preserve"> </w:t>
      </w:r>
      <w:r>
        <w:t>con</w:t>
      </w:r>
      <w:r>
        <w:rPr>
          <w:spacing w:val="13"/>
        </w:rPr>
        <w:t xml:space="preserve"> </w:t>
      </w:r>
      <w:r>
        <w:t>sus</w:t>
      </w:r>
      <w:r>
        <w:rPr>
          <w:spacing w:val="13"/>
        </w:rPr>
        <w:t xml:space="preserve"> </w:t>
      </w:r>
      <w:r>
        <w:t>obligaciones</w:t>
      </w:r>
      <w:r>
        <w:rPr>
          <w:spacing w:val="11"/>
        </w:rPr>
        <w:t xml:space="preserve"> </w:t>
      </w:r>
      <w:r>
        <w:t>proactivas</w:t>
      </w:r>
      <w:r>
        <w:rPr>
          <w:spacing w:val="11"/>
        </w:rPr>
        <w:t xml:space="preserve"> </w:t>
      </w:r>
      <w:r>
        <w:t>para</w:t>
      </w:r>
      <w:r>
        <w:rPr>
          <w:spacing w:val="13"/>
        </w:rPr>
        <w:t xml:space="preserve"> </w:t>
      </w:r>
      <w:r>
        <w:t>abordar el</w:t>
      </w:r>
      <w:r>
        <w:rPr>
          <w:spacing w:val="16"/>
        </w:rPr>
        <w:t xml:space="preserve"> </w:t>
      </w:r>
      <w:r>
        <w:t>estigma,</w:t>
      </w:r>
      <w:r>
        <w:rPr>
          <w:spacing w:val="16"/>
        </w:rPr>
        <w:t xml:space="preserve"> </w:t>
      </w:r>
      <w:r>
        <w:t>los</w:t>
      </w:r>
      <w:r>
        <w:rPr>
          <w:spacing w:val="16"/>
        </w:rPr>
        <w:t xml:space="preserve"> </w:t>
      </w:r>
      <w:r>
        <w:t>prejuicios</w:t>
      </w:r>
      <w:r>
        <w:rPr>
          <w:spacing w:val="15"/>
        </w:rPr>
        <w:t xml:space="preserve"> </w:t>
      </w:r>
      <w:r>
        <w:t>y</w:t>
      </w:r>
      <w:r>
        <w:rPr>
          <w:spacing w:val="16"/>
        </w:rPr>
        <w:t xml:space="preserve"> </w:t>
      </w:r>
      <w:r>
        <w:t>las</w:t>
      </w:r>
      <w:r>
        <w:rPr>
          <w:spacing w:val="16"/>
        </w:rPr>
        <w:t xml:space="preserve"> </w:t>
      </w:r>
      <w:r>
        <w:t>causas</w:t>
      </w:r>
      <w:r>
        <w:rPr>
          <w:spacing w:val="16"/>
        </w:rPr>
        <w:t xml:space="preserve"> </w:t>
      </w:r>
      <w:r>
        <w:t>profundas</w:t>
      </w:r>
      <w:r>
        <w:rPr>
          <w:spacing w:val="15"/>
        </w:rPr>
        <w:t xml:space="preserve"> </w:t>
      </w:r>
      <w:r>
        <w:t>de</w:t>
      </w:r>
      <w:r>
        <w:rPr>
          <w:spacing w:val="16"/>
        </w:rPr>
        <w:t xml:space="preserve"> </w:t>
      </w:r>
      <w:r>
        <w:t>la</w:t>
      </w:r>
      <w:r>
        <w:rPr>
          <w:spacing w:val="16"/>
        </w:rPr>
        <w:t xml:space="preserve"> </w:t>
      </w:r>
      <w:r>
        <w:t>discriminación</w:t>
      </w:r>
      <w:r>
        <w:rPr>
          <w:spacing w:val="16"/>
        </w:rPr>
        <w:t xml:space="preserve"> </w:t>
      </w:r>
      <w:r>
        <w:t>y</w:t>
      </w:r>
      <w:r>
        <w:rPr>
          <w:spacing w:val="16"/>
        </w:rPr>
        <w:t xml:space="preserve"> </w:t>
      </w:r>
      <w:r>
        <w:t>con</w:t>
      </w:r>
      <w:r>
        <w:rPr>
          <w:spacing w:val="16"/>
        </w:rPr>
        <w:t xml:space="preserve"> </w:t>
      </w:r>
      <w:r>
        <w:t>las</w:t>
      </w:r>
      <w:r>
        <w:rPr>
          <w:spacing w:val="16"/>
        </w:rPr>
        <w:t xml:space="preserve"> </w:t>
      </w:r>
      <w:r>
        <w:t>medidas</w:t>
      </w:r>
      <w:r>
        <w:rPr>
          <w:spacing w:val="15"/>
        </w:rPr>
        <w:t xml:space="preserve"> </w:t>
      </w:r>
      <w:r>
        <w:t>exigidas</w:t>
      </w:r>
      <w:r>
        <w:rPr>
          <w:spacing w:val="15"/>
        </w:rPr>
        <w:t xml:space="preserve"> </w:t>
      </w:r>
      <w:r>
        <w:t>por</w:t>
      </w:r>
      <w:r>
        <w:rPr>
          <w:spacing w:val="16"/>
        </w:rPr>
        <w:t xml:space="preserve"> </w:t>
      </w:r>
      <w:r>
        <w:t>los</w:t>
      </w:r>
      <w:r>
        <w:rPr>
          <w:spacing w:val="16"/>
        </w:rPr>
        <w:t xml:space="preserve"> </w:t>
      </w:r>
      <w:r>
        <w:t>deberes</w:t>
      </w:r>
      <w:r>
        <w:rPr>
          <w:spacing w:val="15"/>
        </w:rPr>
        <w:t xml:space="preserve"> </w:t>
      </w:r>
      <w:r>
        <w:t>de</w:t>
      </w:r>
      <w:r>
        <w:rPr>
          <w:spacing w:val="16"/>
        </w:rPr>
        <w:t xml:space="preserve"> </w:t>
      </w:r>
      <w:r>
        <w:t xml:space="preserve">igualdad. Sin </w:t>
      </w:r>
      <w:proofErr w:type="gramStart"/>
      <w:r>
        <w:t>embargo ,</w:t>
      </w:r>
      <w:proofErr w:type="gramEnd"/>
      <w:r>
        <w:t xml:space="preserve"> nuevamente es importante distinguir estos conceptos y abordarlos por separado en la ley, dada la naturaleza proactiva de estas obligaciones y la naturaleza reactiva de la reparación. Esencialmente, si bien los tribunales deberían estar facultados</w:t>
      </w:r>
      <w:r>
        <w:rPr>
          <w:spacing w:val="18"/>
        </w:rPr>
        <w:t xml:space="preserve"> </w:t>
      </w:r>
      <w:r>
        <w:t>para</w:t>
      </w:r>
      <w:r>
        <w:rPr>
          <w:spacing w:val="19"/>
        </w:rPr>
        <w:t xml:space="preserve"> </w:t>
      </w:r>
      <w:r>
        <w:t>ordenar</w:t>
      </w:r>
      <w:r>
        <w:rPr>
          <w:spacing w:val="18"/>
        </w:rPr>
        <w:t xml:space="preserve"> </w:t>
      </w:r>
      <w:r>
        <w:t>medidas</w:t>
      </w:r>
      <w:r>
        <w:rPr>
          <w:spacing w:val="18"/>
        </w:rPr>
        <w:t xml:space="preserve"> </w:t>
      </w:r>
      <w:r>
        <w:t>proactivas</w:t>
      </w:r>
      <w:r>
        <w:rPr>
          <w:spacing w:val="18"/>
        </w:rPr>
        <w:t xml:space="preserve"> </w:t>
      </w:r>
      <w:r>
        <w:t>y</w:t>
      </w:r>
      <w:r>
        <w:rPr>
          <w:spacing w:val="19"/>
        </w:rPr>
        <w:t xml:space="preserve"> </w:t>
      </w:r>
      <w:r>
        <w:t>con</w:t>
      </w:r>
      <w:r>
        <w:rPr>
          <w:spacing w:val="19"/>
        </w:rPr>
        <w:t xml:space="preserve"> </w:t>
      </w:r>
      <w:r>
        <w:t>visión</w:t>
      </w:r>
      <w:r>
        <w:rPr>
          <w:spacing w:val="19"/>
        </w:rPr>
        <w:t xml:space="preserve"> </w:t>
      </w:r>
      <w:r>
        <w:t>de</w:t>
      </w:r>
      <w:r>
        <w:rPr>
          <w:spacing w:val="19"/>
        </w:rPr>
        <w:t xml:space="preserve"> </w:t>
      </w:r>
      <w:r>
        <w:t>futuro</w:t>
      </w:r>
      <w:r>
        <w:rPr>
          <w:spacing w:val="18"/>
        </w:rPr>
        <w:t xml:space="preserve"> </w:t>
      </w:r>
      <w:r>
        <w:t>cuando</w:t>
      </w:r>
      <w:r>
        <w:rPr>
          <w:spacing w:val="19"/>
        </w:rPr>
        <w:t xml:space="preserve"> </w:t>
      </w:r>
      <w:r>
        <w:t>lo</w:t>
      </w:r>
      <w:r>
        <w:rPr>
          <w:spacing w:val="19"/>
        </w:rPr>
        <w:t xml:space="preserve"> </w:t>
      </w:r>
      <w:r>
        <w:t>consideren</w:t>
      </w:r>
      <w:r>
        <w:rPr>
          <w:spacing w:val="19"/>
        </w:rPr>
        <w:t xml:space="preserve"> </w:t>
      </w:r>
      <w:r>
        <w:t>apropiado,</w:t>
      </w:r>
      <w:r>
        <w:rPr>
          <w:spacing w:val="19"/>
        </w:rPr>
        <w:t xml:space="preserve"> </w:t>
      </w:r>
      <w:r>
        <w:t>los</w:t>
      </w:r>
      <w:r>
        <w:rPr>
          <w:spacing w:val="19"/>
        </w:rPr>
        <w:t xml:space="preserve"> </w:t>
      </w:r>
      <w:r>
        <w:t>Estados</w:t>
      </w:r>
      <w:r>
        <w:rPr>
          <w:spacing w:val="18"/>
        </w:rPr>
        <w:t xml:space="preserve"> </w:t>
      </w:r>
      <w:r>
        <w:t>no</w:t>
      </w:r>
      <w:r>
        <w:rPr>
          <w:spacing w:val="19"/>
        </w:rPr>
        <w:t xml:space="preserve"> </w:t>
      </w:r>
      <w:r>
        <w:t>cumplen con sus obligaciones positivas al facultar a los tribunales para proporcionar tales recursos.</w:t>
      </w:r>
    </w:p>
    <w:p w14:paraId="1C1A2E8A" w14:textId="77777777" w:rsidR="00D714EA" w:rsidRDefault="004E1F0B">
      <w:pPr>
        <w:pStyle w:val="Textoindependiente"/>
        <w:spacing w:before="167" w:line="326" w:lineRule="auto"/>
        <w:ind w:left="1107" w:right="1335" w:firstLine="2"/>
      </w:pPr>
      <w:r>
        <w:t>Por último, el recurso previsto en la legislación nacional en casos de violación de la legislación contra la discriminación no debe</w:t>
      </w:r>
      <w:r>
        <w:rPr>
          <w:spacing w:val="80"/>
        </w:rPr>
        <w:t xml:space="preserve"> </w:t>
      </w:r>
      <w:r>
        <w:t>ser prescriptivo ni exhaustivo. Dada la multiplicidad de tipos, causas y manifestaciones de discriminación, los Estados deberían evitar</w:t>
      </w:r>
      <w:r>
        <w:rPr>
          <w:spacing w:val="22"/>
        </w:rPr>
        <w:t xml:space="preserve"> </w:t>
      </w:r>
      <w:r>
        <w:t>proporcionar</w:t>
      </w:r>
      <w:r>
        <w:rPr>
          <w:spacing w:val="22"/>
        </w:rPr>
        <w:t xml:space="preserve"> </w:t>
      </w:r>
      <w:r>
        <w:t>una</w:t>
      </w:r>
      <w:r>
        <w:rPr>
          <w:spacing w:val="23"/>
        </w:rPr>
        <w:t xml:space="preserve"> </w:t>
      </w:r>
      <w:r>
        <w:t>lista</w:t>
      </w:r>
      <w:r>
        <w:rPr>
          <w:spacing w:val="22"/>
        </w:rPr>
        <w:t xml:space="preserve"> </w:t>
      </w:r>
      <w:r>
        <w:t>exhaustiva</w:t>
      </w:r>
      <w:r>
        <w:rPr>
          <w:spacing w:val="23"/>
        </w:rPr>
        <w:t xml:space="preserve"> </w:t>
      </w:r>
      <w:r>
        <w:t>de</w:t>
      </w:r>
      <w:r>
        <w:rPr>
          <w:spacing w:val="23"/>
        </w:rPr>
        <w:t xml:space="preserve"> </w:t>
      </w:r>
      <w:r>
        <w:t>posibles</w:t>
      </w:r>
      <w:r>
        <w:rPr>
          <w:spacing w:val="22"/>
        </w:rPr>
        <w:t xml:space="preserve"> </w:t>
      </w:r>
      <w:r>
        <w:t>remedios</w:t>
      </w:r>
      <w:r>
        <w:rPr>
          <w:spacing w:val="22"/>
        </w:rPr>
        <w:t xml:space="preserve"> </w:t>
      </w:r>
      <w:r>
        <w:t>o</w:t>
      </w:r>
      <w:r>
        <w:rPr>
          <w:spacing w:val="23"/>
        </w:rPr>
        <w:t xml:space="preserve"> </w:t>
      </w:r>
      <w:r>
        <w:t>prescribir</w:t>
      </w:r>
      <w:r>
        <w:rPr>
          <w:spacing w:val="22"/>
        </w:rPr>
        <w:t xml:space="preserve"> </w:t>
      </w:r>
      <w:r>
        <w:t>remedios</w:t>
      </w:r>
      <w:r>
        <w:rPr>
          <w:spacing w:val="22"/>
        </w:rPr>
        <w:t xml:space="preserve"> </w:t>
      </w:r>
      <w:r>
        <w:t>particulares</w:t>
      </w:r>
      <w:r>
        <w:rPr>
          <w:spacing w:val="22"/>
        </w:rPr>
        <w:t xml:space="preserve"> </w:t>
      </w:r>
      <w:r>
        <w:t>para</w:t>
      </w:r>
      <w:r>
        <w:rPr>
          <w:spacing w:val="23"/>
        </w:rPr>
        <w:t xml:space="preserve"> </w:t>
      </w:r>
      <w:r>
        <w:t>casos</w:t>
      </w:r>
      <w:r>
        <w:rPr>
          <w:spacing w:val="23"/>
        </w:rPr>
        <w:t xml:space="preserve"> </w:t>
      </w:r>
      <w:r>
        <w:t>particulares,</w:t>
      </w:r>
      <w:r>
        <w:rPr>
          <w:spacing w:val="25"/>
        </w:rPr>
        <w:t xml:space="preserve"> </w:t>
      </w:r>
      <w:r>
        <w:t>sino que deberían garantizar que los jueces tengan suficiente libertad para proporcionar remedios efectivos tanto a nivel institucional como</w:t>
      </w:r>
      <w:r>
        <w:rPr>
          <w:spacing w:val="16"/>
        </w:rPr>
        <w:t xml:space="preserve"> </w:t>
      </w:r>
      <w:r>
        <w:t>social</w:t>
      </w:r>
      <w:proofErr w:type="gramStart"/>
      <w:r>
        <w:t>.</w:t>
      </w:r>
      <w:r>
        <w:rPr>
          <w:spacing w:val="15"/>
        </w:rPr>
        <w:t xml:space="preserve"> </w:t>
      </w:r>
      <w:r>
        <w:t>.</w:t>
      </w:r>
      <w:proofErr w:type="gramEnd"/>
      <w:r>
        <w:rPr>
          <w:spacing w:val="16"/>
        </w:rPr>
        <w:t xml:space="preserve"> </w:t>
      </w:r>
      <w:r>
        <w:t>Como</w:t>
      </w:r>
      <w:r>
        <w:rPr>
          <w:spacing w:val="16"/>
        </w:rPr>
        <w:t xml:space="preserve"> </w:t>
      </w:r>
      <w:r>
        <w:t>tal,</w:t>
      </w:r>
      <w:r>
        <w:rPr>
          <w:spacing w:val="16"/>
        </w:rPr>
        <w:t xml:space="preserve"> </w:t>
      </w:r>
      <w:r>
        <w:t>cualquier</w:t>
      </w:r>
      <w:r>
        <w:rPr>
          <w:spacing w:val="15"/>
        </w:rPr>
        <w:t xml:space="preserve"> </w:t>
      </w:r>
      <w:r>
        <w:t>lista</w:t>
      </w:r>
      <w:r>
        <w:rPr>
          <w:spacing w:val="15"/>
        </w:rPr>
        <w:t xml:space="preserve"> </w:t>
      </w:r>
      <w:r>
        <w:t>o</w:t>
      </w:r>
      <w:r>
        <w:rPr>
          <w:spacing w:val="16"/>
        </w:rPr>
        <w:t xml:space="preserve"> </w:t>
      </w:r>
      <w:r>
        <w:t>especificación</w:t>
      </w:r>
      <w:r>
        <w:rPr>
          <w:spacing w:val="16"/>
        </w:rPr>
        <w:t xml:space="preserve"> </w:t>
      </w:r>
      <w:r>
        <w:t>de</w:t>
      </w:r>
      <w:r>
        <w:rPr>
          <w:spacing w:val="16"/>
        </w:rPr>
        <w:t xml:space="preserve"> </w:t>
      </w:r>
      <w:r>
        <w:t>soluciones</w:t>
      </w:r>
      <w:r>
        <w:rPr>
          <w:spacing w:val="15"/>
        </w:rPr>
        <w:t xml:space="preserve"> </w:t>
      </w:r>
      <w:r>
        <w:t>debe</w:t>
      </w:r>
      <w:r>
        <w:rPr>
          <w:spacing w:val="16"/>
        </w:rPr>
        <w:t xml:space="preserve"> </w:t>
      </w:r>
      <w:r>
        <w:t>ser</w:t>
      </w:r>
      <w:r>
        <w:rPr>
          <w:spacing w:val="16"/>
        </w:rPr>
        <w:t xml:space="preserve"> </w:t>
      </w:r>
      <w:r>
        <w:t>abierta</w:t>
      </w:r>
      <w:r>
        <w:rPr>
          <w:spacing w:val="15"/>
        </w:rPr>
        <w:t xml:space="preserve"> </w:t>
      </w:r>
      <w:r>
        <w:t>e</w:t>
      </w:r>
      <w:r>
        <w:rPr>
          <w:spacing w:val="16"/>
        </w:rPr>
        <w:t xml:space="preserve"> </w:t>
      </w:r>
      <w:r>
        <w:t>incluir</w:t>
      </w:r>
      <w:r>
        <w:rPr>
          <w:spacing w:val="15"/>
        </w:rPr>
        <w:t xml:space="preserve"> </w:t>
      </w:r>
      <w:r>
        <w:t>la</w:t>
      </w:r>
      <w:r>
        <w:rPr>
          <w:spacing w:val="16"/>
        </w:rPr>
        <w:t xml:space="preserve"> </w:t>
      </w:r>
      <w:r>
        <w:t>posibilidad</w:t>
      </w:r>
      <w:r>
        <w:rPr>
          <w:spacing w:val="16"/>
        </w:rPr>
        <w:t xml:space="preserve"> </w:t>
      </w:r>
      <w:r>
        <w:t>de</w:t>
      </w:r>
      <w:r>
        <w:rPr>
          <w:spacing w:val="16"/>
        </w:rPr>
        <w:t xml:space="preserve"> </w:t>
      </w:r>
      <w:r>
        <w:t>“otras soluciones pertinentes</w:t>
      </w:r>
    </w:p>
    <w:p w14:paraId="2228A218" w14:textId="77777777" w:rsidR="00D714EA" w:rsidRDefault="00D714EA">
      <w:pPr>
        <w:pStyle w:val="Textoindependiente"/>
        <w:spacing w:before="167" w:line="326" w:lineRule="auto"/>
        <w:ind w:left="1107" w:right="1335" w:firstLine="2"/>
      </w:pPr>
    </w:p>
    <w:p w14:paraId="0E7AD34B" w14:textId="77777777" w:rsidR="00D714EA" w:rsidRDefault="00D714EA">
      <w:pPr>
        <w:pStyle w:val="Textoindependiente"/>
        <w:spacing w:before="167" w:line="326" w:lineRule="auto"/>
        <w:ind w:left="1107" w:right="1335" w:firstLine="2"/>
      </w:pPr>
    </w:p>
    <w:p w14:paraId="69693A45" w14:textId="2DB166AB" w:rsidR="0014798C" w:rsidRPr="002B051F" w:rsidRDefault="0014798C">
      <w:pPr>
        <w:spacing w:before="76"/>
        <w:ind w:left="113"/>
        <w:rPr>
          <w:sz w:val="21"/>
          <w:lang w:val="es-CR"/>
        </w:rPr>
      </w:pPr>
    </w:p>
    <w:p w14:paraId="04ED697F" w14:textId="77777777" w:rsidR="0014798C" w:rsidRPr="002B051F" w:rsidRDefault="0014798C">
      <w:pPr>
        <w:rPr>
          <w:sz w:val="21"/>
          <w:lang w:val="es-CR"/>
        </w:rPr>
        <w:sectPr w:rsidR="0014798C" w:rsidRPr="002B051F" w:rsidSect="00F265E4">
          <w:headerReference w:type="default" r:id="rId175"/>
          <w:pgSz w:w="11900" w:h="16820"/>
          <w:pgMar w:top="40" w:right="0" w:bottom="280" w:left="200" w:header="0" w:footer="0" w:gutter="0"/>
          <w:cols w:space="720"/>
        </w:sectPr>
      </w:pPr>
    </w:p>
    <w:p w14:paraId="22F4ED5A" w14:textId="77777777" w:rsidR="0014798C" w:rsidRPr="002B051F" w:rsidRDefault="004E1F0B">
      <w:pPr>
        <w:spacing w:before="76"/>
        <w:ind w:left="113"/>
        <w:rPr>
          <w:sz w:val="21"/>
          <w:lang w:val="es-CR"/>
        </w:rPr>
      </w:pPr>
      <w:r>
        <w:rPr>
          <w:noProof/>
        </w:rPr>
        <w:lastRenderedPageBreak/>
        <w:drawing>
          <wp:anchor distT="0" distB="0" distL="0" distR="0" simplePos="0" relativeHeight="251658425" behindDoc="1" locked="0" layoutInCell="1" allowOverlap="1" wp14:anchorId="467F4B85" wp14:editId="1C80FA45">
            <wp:simplePos x="0" y="0"/>
            <wp:positionH relativeFrom="page">
              <wp:posOffset>0</wp:posOffset>
            </wp:positionH>
            <wp:positionV relativeFrom="page">
              <wp:posOffset>0</wp:posOffset>
            </wp:positionV>
            <wp:extent cx="7556500" cy="10680700"/>
            <wp:effectExtent l="0" t="0" r="0" b="0"/>
            <wp:wrapNone/>
            <wp:docPr id="196" name="Image 19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96" name="Image 196"/>
                    <pic:cNvPicPr/>
                  </pic:nvPicPr>
                  <pic:blipFill>
                    <a:blip r:embed="rId159" cstate="print"/>
                    <a:stretch>
                      <a:fillRect/>
                    </a:stretch>
                  </pic:blipFill>
                  <pic:spPr>
                    <a:xfrm>
                      <a:off x="0" y="0"/>
                      <a:ext cx="7556500" cy="10680700"/>
                    </a:xfrm>
                    <a:prstGeom prst="rect">
                      <a:avLst/>
                    </a:prstGeom>
                  </pic:spPr>
                </pic:pic>
              </a:graphicData>
            </a:graphic>
          </wp:anchor>
        </w:drawing>
      </w:r>
      <w:r w:rsidRPr="002B051F">
        <w:rPr>
          <w:sz w:val="21"/>
          <w:lang w:val="es-CR"/>
        </w:rPr>
        <w:t>Machine</w:t>
      </w:r>
      <w:r w:rsidRPr="002B051F">
        <w:rPr>
          <w:spacing w:val="6"/>
          <w:sz w:val="21"/>
          <w:lang w:val="es-CR"/>
        </w:rPr>
        <w:t xml:space="preserve"> </w:t>
      </w:r>
      <w:proofErr w:type="spellStart"/>
      <w:r w:rsidRPr="002B051F">
        <w:rPr>
          <w:sz w:val="21"/>
          <w:lang w:val="es-CR"/>
        </w:rPr>
        <w:t>Translated</w:t>
      </w:r>
      <w:proofErr w:type="spellEnd"/>
      <w:r w:rsidRPr="002B051F">
        <w:rPr>
          <w:spacing w:val="7"/>
          <w:sz w:val="21"/>
          <w:lang w:val="es-CR"/>
        </w:rPr>
        <w:t xml:space="preserve"> </w:t>
      </w:r>
      <w:proofErr w:type="spellStart"/>
      <w:r w:rsidRPr="002B051F">
        <w:rPr>
          <w:sz w:val="21"/>
          <w:lang w:val="es-CR"/>
        </w:rPr>
        <w:t>by</w:t>
      </w:r>
      <w:proofErr w:type="spellEnd"/>
      <w:r w:rsidRPr="002B051F">
        <w:rPr>
          <w:spacing w:val="7"/>
          <w:sz w:val="21"/>
          <w:lang w:val="es-CR"/>
        </w:rPr>
        <w:t xml:space="preserve"> </w:t>
      </w:r>
      <w:r w:rsidRPr="002B051F">
        <w:rPr>
          <w:spacing w:val="-2"/>
          <w:sz w:val="21"/>
          <w:lang w:val="es-CR"/>
        </w:rPr>
        <w:t>Google</w:t>
      </w:r>
    </w:p>
    <w:p w14:paraId="294262B9" w14:textId="77777777" w:rsidR="0014798C" w:rsidRPr="002B051F" w:rsidRDefault="0014798C">
      <w:pPr>
        <w:rPr>
          <w:sz w:val="21"/>
          <w:lang w:val="es-CR"/>
        </w:rPr>
        <w:sectPr w:rsidR="0014798C" w:rsidRPr="002B051F" w:rsidSect="00F265E4">
          <w:headerReference w:type="default" r:id="rId176"/>
          <w:pgSz w:w="11900" w:h="16820"/>
          <w:pgMar w:top="40" w:right="0" w:bottom="280" w:left="200" w:header="0" w:footer="0" w:gutter="0"/>
          <w:cols w:space="720"/>
        </w:sectPr>
      </w:pPr>
    </w:p>
    <w:p w14:paraId="72D2228E" w14:textId="3F4CE530" w:rsidR="0014798C" w:rsidRDefault="004E1F0B">
      <w:pPr>
        <w:spacing w:before="76"/>
        <w:ind w:left="113"/>
        <w:rPr>
          <w:sz w:val="21"/>
        </w:rPr>
      </w:pPr>
      <w:r>
        <w:rPr>
          <w:noProof/>
        </w:rPr>
        <w:lastRenderedPageBreak/>
        <w:drawing>
          <wp:anchor distT="0" distB="0" distL="0" distR="0" simplePos="0" relativeHeight="251658426" behindDoc="1" locked="0" layoutInCell="1" allowOverlap="1" wp14:anchorId="1B0DF173" wp14:editId="00F48E17">
            <wp:simplePos x="0" y="0"/>
            <wp:positionH relativeFrom="page">
              <wp:posOffset>0</wp:posOffset>
            </wp:positionH>
            <wp:positionV relativeFrom="page">
              <wp:posOffset>0</wp:posOffset>
            </wp:positionV>
            <wp:extent cx="7556500" cy="10680700"/>
            <wp:effectExtent l="0" t="0" r="0" b="0"/>
            <wp:wrapNone/>
            <wp:docPr id="197" name="Image 19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97" name="Image 197"/>
                    <pic:cNvPicPr/>
                  </pic:nvPicPr>
                  <pic:blipFill>
                    <a:blip r:embed="rId177" cstate="print"/>
                    <a:stretch>
                      <a:fillRect/>
                    </a:stretch>
                  </pic:blipFill>
                  <pic:spPr>
                    <a:xfrm>
                      <a:off x="0" y="0"/>
                      <a:ext cx="7556500" cy="10680700"/>
                    </a:xfrm>
                    <a:prstGeom prst="rect">
                      <a:avLst/>
                    </a:prstGeom>
                  </pic:spPr>
                </pic:pic>
              </a:graphicData>
            </a:graphic>
          </wp:anchor>
        </w:drawing>
      </w:r>
    </w:p>
    <w:p w14:paraId="02848924" w14:textId="77777777" w:rsidR="0014798C" w:rsidRDefault="0014798C">
      <w:pPr>
        <w:pStyle w:val="Textoindependiente"/>
        <w:spacing w:before="51"/>
        <w:rPr>
          <w:sz w:val="14"/>
        </w:rPr>
      </w:pPr>
    </w:p>
    <w:p w14:paraId="318DDEC1" w14:textId="77777777" w:rsidR="0014798C" w:rsidRDefault="004E1F0B">
      <w:pPr>
        <w:ind w:left="1111"/>
        <w:rPr>
          <w:sz w:val="14"/>
        </w:rPr>
      </w:pPr>
      <w:r>
        <w:rPr>
          <w:color w:val="00AC59"/>
          <w:sz w:val="14"/>
        </w:rPr>
        <w:t>SEGUNDA</w:t>
      </w:r>
      <w:r>
        <w:rPr>
          <w:color w:val="00AC59"/>
          <w:spacing w:val="-5"/>
          <w:sz w:val="14"/>
        </w:rPr>
        <w:t xml:space="preserve"> </w:t>
      </w:r>
      <w:r>
        <w:rPr>
          <w:color w:val="00AC59"/>
          <w:sz w:val="14"/>
        </w:rPr>
        <w:t>PARTE:</w:t>
      </w:r>
      <w:r>
        <w:rPr>
          <w:color w:val="00AC59"/>
          <w:spacing w:val="-5"/>
          <w:sz w:val="14"/>
        </w:rPr>
        <w:t xml:space="preserve"> </w:t>
      </w:r>
      <w:r>
        <w:rPr>
          <w:color w:val="00AC59"/>
          <w:sz w:val="14"/>
        </w:rPr>
        <w:t>CONTENIDO</w:t>
      </w:r>
      <w:r>
        <w:rPr>
          <w:color w:val="00AC59"/>
          <w:spacing w:val="-4"/>
          <w:sz w:val="14"/>
        </w:rPr>
        <w:t xml:space="preserve"> </w:t>
      </w:r>
      <w:r>
        <w:rPr>
          <w:color w:val="00AC59"/>
          <w:sz w:val="14"/>
        </w:rPr>
        <w:t>DE</w:t>
      </w:r>
      <w:r>
        <w:rPr>
          <w:color w:val="00AC59"/>
          <w:spacing w:val="-5"/>
          <w:sz w:val="14"/>
        </w:rPr>
        <w:t xml:space="preserve"> </w:t>
      </w:r>
      <w:r>
        <w:rPr>
          <w:color w:val="00AC59"/>
          <w:sz w:val="14"/>
        </w:rPr>
        <w:t>LA</w:t>
      </w:r>
      <w:r>
        <w:rPr>
          <w:color w:val="00AC59"/>
          <w:spacing w:val="-4"/>
          <w:sz w:val="14"/>
        </w:rPr>
        <w:t xml:space="preserve"> </w:t>
      </w:r>
      <w:r>
        <w:rPr>
          <w:color w:val="00AC59"/>
          <w:sz w:val="14"/>
        </w:rPr>
        <w:t>LEY</w:t>
      </w:r>
      <w:r>
        <w:rPr>
          <w:color w:val="00AC59"/>
          <w:spacing w:val="-4"/>
          <w:sz w:val="14"/>
        </w:rPr>
        <w:t xml:space="preserve"> </w:t>
      </w:r>
      <w:r>
        <w:rPr>
          <w:color w:val="00AC59"/>
          <w:sz w:val="14"/>
        </w:rPr>
        <w:t>INTEGRAL</w:t>
      </w:r>
      <w:r>
        <w:rPr>
          <w:color w:val="00AC59"/>
          <w:spacing w:val="-5"/>
          <w:sz w:val="14"/>
        </w:rPr>
        <w:t xml:space="preserve"> </w:t>
      </w:r>
      <w:r>
        <w:rPr>
          <w:color w:val="00AC59"/>
          <w:spacing w:val="-2"/>
          <w:sz w:val="14"/>
        </w:rPr>
        <w:t>ANTIDISCRIMINACIÓN</w:t>
      </w:r>
    </w:p>
    <w:p w14:paraId="2AA76031" w14:textId="77777777" w:rsidR="0014798C" w:rsidRDefault="0014798C">
      <w:pPr>
        <w:pStyle w:val="Textoindependiente"/>
        <w:rPr>
          <w:sz w:val="28"/>
        </w:rPr>
      </w:pPr>
    </w:p>
    <w:p w14:paraId="72220C9E" w14:textId="77777777" w:rsidR="0014798C" w:rsidRDefault="0014798C">
      <w:pPr>
        <w:pStyle w:val="Textoindependiente"/>
        <w:rPr>
          <w:sz w:val="28"/>
        </w:rPr>
      </w:pPr>
    </w:p>
    <w:p w14:paraId="1F4AFAEB" w14:textId="77777777" w:rsidR="0014798C" w:rsidRDefault="0014798C">
      <w:pPr>
        <w:pStyle w:val="Textoindependiente"/>
        <w:spacing w:before="8"/>
        <w:rPr>
          <w:sz w:val="28"/>
        </w:rPr>
      </w:pPr>
    </w:p>
    <w:p w14:paraId="1A88C40B" w14:textId="77777777" w:rsidR="0014798C" w:rsidRDefault="004E1F0B">
      <w:pPr>
        <w:pStyle w:val="Ttulo9"/>
        <w:numPr>
          <w:ilvl w:val="0"/>
          <w:numId w:val="3"/>
        </w:numPr>
        <w:tabs>
          <w:tab w:val="left" w:pos="1428"/>
        </w:tabs>
        <w:ind w:left="1428" w:hanging="305"/>
        <w:rPr>
          <w:color w:val="00AC59"/>
          <w:sz w:val="26"/>
        </w:rPr>
      </w:pPr>
      <w:bookmarkStart w:id="15" w:name="justicia"/>
      <w:r>
        <w:rPr>
          <w:color w:val="00AC59"/>
        </w:rPr>
        <w:t>JUSTICIA</w:t>
      </w:r>
      <w:r>
        <w:rPr>
          <w:color w:val="00AC59"/>
          <w:spacing w:val="-11"/>
        </w:rPr>
        <w:t xml:space="preserve"> </w:t>
      </w:r>
      <w:r>
        <w:rPr>
          <w:color w:val="00AC59"/>
        </w:rPr>
        <w:t>Y</w:t>
      </w:r>
      <w:r>
        <w:rPr>
          <w:color w:val="00AC59"/>
          <w:spacing w:val="-12"/>
        </w:rPr>
        <w:t xml:space="preserve"> </w:t>
      </w:r>
      <w:r>
        <w:rPr>
          <w:color w:val="00AC59"/>
          <w:spacing w:val="-2"/>
        </w:rPr>
        <w:t>APLICACIÓN</w:t>
      </w:r>
    </w:p>
    <w:bookmarkEnd w:id="15"/>
    <w:p w14:paraId="0BD59618" w14:textId="77777777" w:rsidR="0014798C" w:rsidRDefault="0014798C">
      <w:pPr>
        <w:pStyle w:val="Textoindependiente"/>
        <w:rPr>
          <w:sz w:val="14"/>
        </w:rPr>
      </w:pPr>
    </w:p>
    <w:p w14:paraId="1BEBBDC2" w14:textId="77777777" w:rsidR="0014798C" w:rsidRDefault="0014798C">
      <w:pPr>
        <w:pStyle w:val="Textoindependiente"/>
        <w:spacing w:before="149"/>
        <w:rPr>
          <w:sz w:val="14"/>
        </w:rPr>
      </w:pPr>
    </w:p>
    <w:p w14:paraId="3DDB874E" w14:textId="77777777" w:rsidR="0014798C" w:rsidRDefault="004E1F0B">
      <w:pPr>
        <w:ind w:left="1335"/>
        <w:rPr>
          <w:sz w:val="14"/>
        </w:rPr>
      </w:pPr>
      <w:r>
        <w:rPr>
          <w:color w:val="FFFFFF"/>
          <w:spacing w:val="-2"/>
          <w:w w:val="105"/>
          <w:sz w:val="14"/>
        </w:rPr>
        <w:t>RESUMEN</w:t>
      </w:r>
    </w:p>
    <w:p w14:paraId="29E28E49" w14:textId="77777777" w:rsidR="0014798C" w:rsidRDefault="0014798C">
      <w:pPr>
        <w:pStyle w:val="Textoindependiente"/>
        <w:rPr>
          <w:sz w:val="14"/>
        </w:rPr>
      </w:pPr>
    </w:p>
    <w:p w14:paraId="73793CEA" w14:textId="77777777" w:rsidR="0014798C" w:rsidRDefault="0014798C">
      <w:pPr>
        <w:pStyle w:val="Textoindependiente"/>
        <w:spacing w:before="35"/>
        <w:rPr>
          <w:sz w:val="14"/>
        </w:rPr>
      </w:pPr>
    </w:p>
    <w:p w14:paraId="0D22D845" w14:textId="77777777" w:rsidR="0014798C" w:rsidRDefault="004E1F0B">
      <w:pPr>
        <w:pStyle w:val="Prrafodelista"/>
        <w:numPr>
          <w:ilvl w:val="0"/>
          <w:numId w:val="47"/>
        </w:numPr>
        <w:tabs>
          <w:tab w:val="left" w:pos="1449"/>
          <w:tab w:val="left" w:pos="1561"/>
        </w:tabs>
        <w:spacing w:line="372" w:lineRule="auto"/>
        <w:ind w:right="1556" w:hanging="203"/>
        <w:rPr>
          <w:sz w:val="14"/>
        </w:rPr>
      </w:pPr>
      <w:r>
        <w:rPr>
          <w:w w:val="105"/>
          <w:sz w:val="14"/>
        </w:rPr>
        <w:t>Para</w:t>
      </w:r>
      <w:r>
        <w:rPr>
          <w:spacing w:val="-3"/>
          <w:w w:val="105"/>
          <w:sz w:val="14"/>
        </w:rPr>
        <w:t xml:space="preserve"> </w:t>
      </w:r>
      <w:r>
        <w:rPr>
          <w:w w:val="105"/>
          <w:sz w:val="14"/>
        </w:rPr>
        <w:t>que</w:t>
      </w:r>
      <w:r>
        <w:rPr>
          <w:spacing w:val="-3"/>
          <w:w w:val="105"/>
          <w:sz w:val="14"/>
        </w:rPr>
        <w:t xml:space="preserve"> </w:t>
      </w:r>
      <w:r>
        <w:rPr>
          <w:w w:val="105"/>
          <w:sz w:val="14"/>
        </w:rPr>
        <w:t>el</w:t>
      </w:r>
      <w:r>
        <w:rPr>
          <w:spacing w:val="-3"/>
          <w:w w:val="105"/>
          <w:sz w:val="14"/>
        </w:rPr>
        <w:t xml:space="preserve"> </w:t>
      </w:r>
      <w:r>
        <w:rPr>
          <w:w w:val="105"/>
          <w:sz w:val="14"/>
        </w:rPr>
        <w:t>derecho</w:t>
      </w:r>
      <w:r>
        <w:rPr>
          <w:spacing w:val="-3"/>
          <w:w w:val="105"/>
          <w:sz w:val="14"/>
        </w:rPr>
        <w:t xml:space="preserve"> </w:t>
      </w:r>
      <w:r>
        <w:rPr>
          <w:w w:val="105"/>
          <w:sz w:val="14"/>
        </w:rPr>
        <w:t>a</w:t>
      </w:r>
      <w:r>
        <w:rPr>
          <w:spacing w:val="-3"/>
          <w:w w:val="105"/>
          <w:sz w:val="14"/>
        </w:rPr>
        <w:t xml:space="preserve"> </w:t>
      </w:r>
      <w:r>
        <w:rPr>
          <w:w w:val="105"/>
          <w:sz w:val="14"/>
        </w:rPr>
        <w:t>la</w:t>
      </w:r>
      <w:r>
        <w:rPr>
          <w:spacing w:val="-3"/>
          <w:w w:val="105"/>
          <w:sz w:val="14"/>
        </w:rPr>
        <w:t xml:space="preserve"> </w:t>
      </w:r>
      <w:r>
        <w:rPr>
          <w:w w:val="105"/>
          <w:sz w:val="14"/>
        </w:rPr>
        <w:t>no</w:t>
      </w:r>
      <w:r>
        <w:rPr>
          <w:spacing w:val="-3"/>
          <w:w w:val="105"/>
          <w:sz w:val="14"/>
        </w:rPr>
        <w:t xml:space="preserve"> </w:t>
      </w:r>
      <w:r>
        <w:rPr>
          <w:w w:val="105"/>
          <w:sz w:val="14"/>
        </w:rPr>
        <w:t>discriminación</w:t>
      </w:r>
      <w:r>
        <w:rPr>
          <w:spacing w:val="-3"/>
          <w:w w:val="105"/>
          <w:sz w:val="14"/>
        </w:rPr>
        <w:t xml:space="preserve"> </w:t>
      </w:r>
      <w:r>
        <w:rPr>
          <w:w w:val="105"/>
          <w:sz w:val="14"/>
        </w:rPr>
        <w:t>sea</w:t>
      </w:r>
      <w:r>
        <w:rPr>
          <w:spacing w:val="-3"/>
          <w:w w:val="105"/>
          <w:sz w:val="14"/>
        </w:rPr>
        <w:t xml:space="preserve"> </w:t>
      </w:r>
      <w:r>
        <w:rPr>
          <w:w w:val="105"/>
          <w:sz w:val="14"/>
        </w:rPr>
        <w:t>práctico</w:t>
      </w:r>
      <w:r>
        <w:rPr>
          <w:spacing w:val="-3"/>
          <w:w w:val="105"/>
          <w:sz w:val="14"/>
        </w:rPr>
        <w:t xml:space="preserve"> </w:t>
      </w:r>
      <w:r>
        <w:rPr>
          <w:w w:val="105"/>
          <w:sz w:val="14"/>
        </w:rPr>
        <w:t>y</w:t>
      </w:r>
      <w:r>
        <w:rPr>
          <w:spacing w:val="-3"/>
          <w:w w:val="105"/>
          <w:sz w:val="14"/>
        </w:rPr>
        <w:t xml:space="preserve"> </w:t>
      </w:r>
      <w:r>
        <w:rPr>
          <w:w w:val="105"/>
          <w:sz w:val="14"/>
        </w:rPr>
        <w:t>efectivo,</w:t>
      </w:r>
      <w:r>
        <w:rPr>
          <w:spacing w:val="-2"/>
          <w:w w:val="105"/>
          <w:sz w:val="14"/>
        </w:rPr>
        <w:t xml:space="preserve"> </w:t>
      </w:r>
      <w:r>
        <w:rPr>
          <w:w w:val="105"/>
          <w:sz w:val="14"/>
        </w:rPr>
        <w:t>se</w:t>
      </w:r>
      <w:r>
        <w:rPr>
          <w:spacing w:val="-3"/>
          <w:w w:val="105"/>
          <w:sz w:val="14"/>
        </w:rPr>
        <w:t xml:space="preserve"> </w:t>
      </w:r>
      <w:r>
        <w:rPr>
          <w:w w:val="105"/>
          <w:sz w:val="14"/>
        </w:rPr>
        <w:t>debe</w:t>
      </w:r>
      <w:r>
        <w:rPr>
          <w:spacing w:val="-3"/>
          <w:w w:val="105"/>
          <w:sz w:val="14"/>
        </w:rPr>
        <w:t xml:space="preserve"> </w:t>
      </w:r>
      <w:r>
        <w:rPr>
          <w:w w:val="105"/>
          <w:sz w:val="14"/>
        </w:rPr>
        <w:t>garantizar</w:t>
      </w:r>
      <w:r>
        <w:rPr>
          <w:spacing w:val="-3"/>
          <w:w w:val="105"/>
          <w:sz w:val="14"/>
        </w:rPr>
        <w:t xml:space="preserve"> </w:t>
      </w:r>
      <w:r>
        <w:rPr>
          <w:w w:val="105"/>
          <w:sz w:val="14"/>
        </w:rPr>
        <w:t>el</w:t>
      </w:r>
      <w:r>
        <w:rPr>
          <w:spacing w:val="-3"/>
          <w:w w:val="105"/>
          <w:sz w:val="14"/>
        </w:rPr>
        <w:t xml:space="preserve"> </w:t>
      </w:r>
      <w:r>
        <w:rPr>
          <w:w w:val="105"/>
          <w:sz w:val="14"/>
        </w:rPr>
        <w:t>acceso</w:t>
      </w:r>
      <w:r>
        <w:rPr>
          <w:spacing w:val="-3"/>
          <w:w w:val="105"/>
          <w:sz w:val="14"/>
        </w:rPr>
        <w:t xml:space="preserve"> </w:t>
      </w:r>
      <w:r>
        <w:rPr>
          <w:w w:val="105"/>
          <w:sz w:val="14"/>
        </w:rPr>
        <w:t>a</w:t>
      </w:r>
      <w:r>
        <w:rPr>
          <w:spacing w:val="-3"/>
          <w:w w:val="105"/>
          <w:sz w:val="14"/>
        </w:rPr>
        <w:t xml:space="preserve"> </w:t>
      </w:r>
      <w:r>
        <w:rPr>
          <w:w w:val="105"/>
          <w:sz w:val="14"/>
        </w:rPr>
        <w:t>la</w:t>
      </w:r>
      <w:r>
        <w:rPr>
          <w:spacing w:val="-3"/>
          <w:w w:val="105"/>
          <w:sz w:val="14"/>
        </w:rPr>
        <w:t xml:space="preserve"> </w:t>
      </w:r>
      <w:r>
        <w:rPr>
          <w:w w:val="105"/>
          <w:sz w:val="14"/>
        </w:rPr>
        <w:t>justicia</w:t>
      </w:r>
      <w:r>
        <w:rPr>
          <w:spacing w:val="-3"/>
          <w:w w:val="105"/>
          <w:sz w:val="14"/>
        </w:rPr>
        <w:t xml:space="preserve"> </w:t>
      </w:r>
      <w:r>
        <w:rPr>
          <w:w w:val="105"/>
          <w:sz w:val="14"/>
        </w:rPr>
        <w:t>a</w:t>
      </w:r>
      <w:r>
        <w:rPr>
          <w:spacing w:val="-3"/>
          <w:w w:val="105"/>
          <w:sz w:val="14"/>
        </w:rPr>
        <w:t xml:space="preserve"> </w:t>
      </w:r>
      <w:r>
        <w:rPr>
          <w:w w:val="105"/>
          <w:sz w:val="14"/>
        </w:rPr>
        <w:t>las</w:t>
      </w:r>
      <w:r>
        <w:rPr>
          <w:spacing w:val="-3"/>
          <w:w w:val="105"/>
          <w:sz w:val="14"/>
        </w:rPr>
        <w:t xml:space="preserve"> </w:t>
      </w:r>
      <w:r>
        <w:rPr>
          <w:w w:val="105"/>
          <w:sz w:val="14"/>
        </w:rPr>
        <w:t>personas</w:t>
      </w:r>
      <w:r>
        <w:rPr>
          <w:spacing w:val="-3"/>
          <w:w w:val="105"/>
          <w:sz w:val="14"/>
        </w:rPr>
        <w:t xml:space="preserve"> </w:t>
      </w:r>
      <w:r>
        <w:rPr>
          <w:w w:val="105"/>
          <w:sz w:val="14"/>
        </w:rPr>
        <w:t>expuestas a la discriminación.</w:t>
      </w:r>
    </w:p>
    <w:p w14:paraId="0CCF7AE7" w14:textId="77777777" w:rsidR="0014798C" w:rsidRDefault="004E1F0B">
      <w:pPr>
        <w:pStyle w:val="Prrafodelista"/>
        <w:numPr>
          <w:ilvl w:val="0"/>
          <w:numId w:val="47"/>
        </w:numPr>
        <w:tabs>
          <w:tab w:val="left" w:pos="1449"/>
        </w:tabs>
        <w:spacing w:before="114"/>
        <w:ind w:left="1449" w:hanging="91"/>
        <w:rPr>
          <w:sz w:val="14"/>
        </w:rPr>
      </w:pPr>
      <w:r>
        <w:rPr>
          <w:spacing w:val="-2"/>
          <w:w w:val="105"/>
          <w:sz w:val="14"/>
        </w:rPr>
        <w:t>El</w:t>
      </w:r>
      <w:r>
        <w:rPr>
          <w:spacing w:val="2"/>
          <w:w w:val="105"/>
          <w:sz w:val="14"/>
        </w:rPr>
        <w:t xml:space="preserve"> </w:t>
      </w:r>
      <w:r>
        <w:rPr>
          <w:spacing w:val="-2"/>
          <w:w w:val="105"/>
          <w:sz w:val="14"/>
        </w:rPr>
        <w:t>acceso</w:t>
      </w:r>
      <w:r>
        <w:rPr>
          <w:spacing w:val="3"/>
          <w:w w:val="105"/>
          <w:sz w:val="14"/>
        </w:rPr>
        <w:t xml:space="preserve"> </w:t>
      </w:r>
      <w:r>
        <w:rPr>
          <w:spacing w:val="-2"/>
          <w:w w:val="105"/>
          <w:sz w:val="14"/>
        </w:rPr>
        <w:t>efectivo</w:t>
      </w:r>
      <w:r>
        <w:rPr>
          <w:spacing w:val="2"/>
          <w:w w:val="105"/>
          <w:sz w:val="14"/>
        </w:rPr>
        <w:t xml:space="preserve"> </w:t>
      </w:r>
      <w:r>
        <w:rPr>
          <w:spacing w:val="-2"/>
          <w:w w:val="105"/>
          <w:sz w:val="14"/>
        </w:rPr>
        <w:t>a</w:t>
      </w:r>
      <w:r>
        <w:rPr>
          <w:spacing w:val="3"/>
          <w:w w:val="105"/>
          <w:sz w:val="14"/>
        </w:rPr>
        <w:t xml:space="preserve"> </w:t>
      </w:r>
      <w:r>
        <w:rPr>
          <w:spacing w:val="-2"/>
          <w:w w:val="105"/>
          <w:sz w:val="14"/>
        </w:rPr>
        <w:t>la</w:t>
      </w:r>
      <w:r>
        <w:rPr>
          <w:spacing w:val="3"/>
          <w:w w:val="105"/>
          <w:sz w:val="14"/>
        </w:rPr>
        <w:t xml:space="preserve"> </w:t>
      </w:r>
      <w:r>
        <w:rPr>
          <w:spacing w:val="-2"/>
          <w:w w:val="105"/>
          <w:sz w:val="14"/>
        </w:rPr>
        <w:t>justicia</w:t>
      </w:r>
      <w:r>
        <w:rPr>
          <w:spacing w:val="2"/>
          <w:w w:val="105"/>
          <w:sz w:val="14"/>
        </w:rPr>
        <w:t xml:space="preserve"> </w:t>
      </w:r>
      <w:r>
        <w:rPr>
          <w:spacing w:val="-2"/>
          <w:w w:val="105"/>
          <w:sz w:val="14"/>
        </w:rPr>
        <w:t>consiste</w:t>
      </w:r>
      <w:r>
        <w:rPr>
          <w:spacing w:val="3"/>
          <w:w w:val="105"/>
          <w:sz w:val="14"/>
        </w:rPr>
        <w:t xml:space="preserve"> </w:t>
      </w:r>
      <w:r>
        <w:rPr>
          <w:spacing w:val="-2"/>
          <w:w w:val="105"/>
          <w:sz w:val="14"/>
        </w:rPr>
        <w:t>en</w:t>
      </w:r>
      <w:r>
        <w:rPr>
          <w:spacing w:val="3"/>
          <w:w w:val="105"/>
          <w:sz w:val="14"/>
        </w:rPr>
        <w:t xml:space="preserve"> </w:t>
      </w:r>
      <w:proofErr w:type="spellStart"/>
      <w:r>
        <w:rPr>
          <w:spacing w:val="-2"/>
          <w:w w:val="105"/>
          <w:sz w:val="14"/>
        </w:rPr>
        <w:t>justiciabilidad</w:t>
      </w:r>
      <w:proofErr w:type="spellEnd"/>
      <w:r>
        <w:rPr>
          <w:spacing w:val="-2"/>
          <w:w w:val="105"/>
          <w:sz w:val="14"/>
        </w:rPr>
        <w:t>,</w:t>
      </w:r>
      <w:r>
        <w:rPr>
          <w:spacing w:val="4"/>
          <w:w w:val="105"/>
          <w:sz w:val="14"/>
        </w:rPr>
        <w:t xml:space="preserve"> </w:t>
      </w:r>
      <w:r>
        <w:rPr>
          <w:spacing w:val="-2"/>
          <w:w w:val="105"/>
          <w:sz w:val="14"/>
        </w:rPr>
        <w:t>disponibilidad,</w:t>
      </w:r>
      <w:r>
        <w:rPr>
          <w:spacing w:val="5"/>
          <w:w w:val="105"/>
          <w:sz w:val="14"/>
        </w:rPr>
        <w:t xml:space="preserve"> </w:t>
      </w:r>
      <w:r>
        <w:rPr>
          <w:spacing w:val="-2"/>
          <w:w w:val="105"/>
          <w:sz w:val="14"/>
        </w:rPr>
        <w:t>accesibilidad,</w:t>
      </w:r>
      <w:r>
        <w:rPr>
          <w:spacing w:val="4"/>
          <w:w w:val="105"/>
          <w:sz w:val="14"/>
        </w:rPr>
        <w:t xml:space="preserve"> </w:t>
      </w:r>
      <w:r>
        <w:rPr>
          <w:spacing w:val="-2"/>
          <w:w w:val="105"/>
          <w:sz w:val="14"/>
        </w:rPr>
        <w:t>calidad</w:t>
      </w:r>
      <w:r>
        <w:rPr>
          <w:spacing w:val="3"/>
          <w:w w:val="105"/>
          <w:sz w:val="14"/>
        </w:rPr>
        <w:t xml:space="preserve"> </w:t>
      </w:r>
      <w:r>
        <w:rPr>
          <w:spacing w:val="-2"/>
          <w:w w:val="105"/>
          <w:sz w:val="14"/>
        </w:rPr>
        <w:t>y</w:t>
      </w:r>
      <w:r>
        <w:rPr>
          <w:spacing w:val="2"/>
          <w:w w:val="105"/>
          <w:sz w:val="14"/>
        </w:rPr>
        <w:t xml:space="preserve"> </w:t>
      </w:r>
      <w:r>
        <w:rPr>
          <w:spacing w:val="-2"/>
          <w:w w:val="105"/>
          <w:sz w:val="14"/>
        </w:rPr>
        <w:t>rendición</w:t>
      </w:r>
      <w:r>
        <w:rPr>
          <w:spacing w:val="3"/>
          <w:w w:val="105"/>
          <w:sz w:val="14"/>
        </w:rPr>
        <w:t xml:space="preserve"> </w:t>
      </w:r>
      <w:r>
        <w:rPr>
          <w:spacing w:val="-2"/>
          <w:w w:val="105"/>
          <w:sz w:val="14"/>
        </w:rPr>
        <w:t>de</w:t>
      </w:r>
      <w:r>
        <w:rPr>
          <w:spacing w:val="3"/>
          <w:w w:val="105"/>
          <w:sz w:val="14"/>
        </w:rPr>
        <w:t xml:space="preserve"> </w:t>
      </w:r>
      <w:r>
        <w:rPr>
          <w:spacing w:val="-2"/>
          <w:w w:val="105"/>
          <w:sz w:val="14"/>
        </w:rPr>
        <w:t>cuentas.</w:t>
      </w:r>
    </w:p>
    <w:p w14:paraId="0EAAAD5D" w14:textId="77777777" w:rsidR="0014798C" w:rsidRDefault="0014798C">
      <w:pPr>
        <w:pStyle w:val="Textoindependiente"/>
        <w:spacing w:before="40"/>
        <w:rPr>
          <w:sz w:val="14"/>
        </w:rPr>
      </w:pPr>
    </w:p>
    <w:p w14:paraId="44C97A2A" w14:textId="77777777" w:rsidR="0014798C" w:rsidRDefault="004E1F0B">
      <w:pPr>
        <w:pStyle w:val="Prrafodelista"/>
        <w:numPr>
          <w:ilvl w:val="0"/>
          <w:numId w:val="47"/>
        </w:numPr>
        <w:tabs>
          <w:tab w:val="left" w:pos="1448"/>
          <w:tab w:val="left" w:pos="1560"/>
        </w:tabs>
        <w:spacing w:before="1" w:line="372" w:lineRule="auto"/>
        <w:ind w:left="1560" w:right="1641" w:hanging="203"/>
        <w:rPr>
          <w:sz w:val="14"/>
        </w:rPr>
      </w:pPr>
      <w:r>
        <w:rPr>
          <w:noProof/>
        </w:rPr>
        <mc:AlternateContent>
          <mc:Choice Requires="wps">
            <w:drawing>
              <wp:anchor distT="0" distB="0" distL="0" distR="0" simplePos="0" relativeHeight="251658283" behindDoc="0" locked="0" layoutInCell="1" allowOverlap="1" wp14:anchorId="40FBBC81" wp14:editId="147B8AE4">
                <wp:simplePos x="0" y="0"/>
                <wp:positionH relativeFrom="page">
                  <wp:posOffset>7311076</wp:posOffset>
                </wp:positionH>
                <wp:positionV relativeFrom="paragraph">
                  <wp:posOffset>260367</wp:posOffset>
                </wp:positionV>
                <wp:extent cx="86360" cy="293370"/>
                <wp:effectExtent l="0" t="0" r="0" b="0"/>
                <wp:wrapNone/>
                <wp:docPr id="198" name="Textbox 19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86360" cy="293370"/>
                        </a:xfrm>
                        <a:prstGeom prst="rect">
                          <a:avLst/>
                        </a:prstGeom>
                      </wps:spPr>
                      <wps:txbx>
                        <w:txbxContent>
                          <w:p w14:paraId="7DA6FE9B" w14:textId="77777777" w:rsidR="0014798C" w:rsidRDefault="004E1F0B">
                            <w:pPr>
                              <w:spacing w:before="22"/>
                              <w:ind w:left="20"/>
                              <w:rPr>
                                <w:sz w:val="8"/>
                              </w:rPr>
                            </w:pPr>
                            <w:r>
                              <w:rPr>
                                <w:color w:val="FFFFFF"/>
                                <w:spacing w:val="-25"/>
                                <w:w w:val="105"/>
                                <w:sz w:val="8"/>
                              </w:rPr>
                              <w:t>–IP</w:t>
                            </w:r>
                            <w:r>
                              <w:rPr>
                                <w:spacing w:val="-25"/>
                                <w:w w:val="105"/>
                                <w:sz w:val="8"/>
                              </w:rPr>
                              <w:t>S</w:t>
                            </w:r>
                            <w:r>
                              <w:rPr>
                                <w:color w:val="FFFFFF"/>
                                <w:spacing w:val="-25"/>
                                <w:w w:val="105"/>
                                <w:sz w:val="8"/>
                              </w:rPr>
                              <w:t>IIA</w:t>
                            </w:r>
                            <w:r>
                              <w:rPr>
                                <w:spacing w:val="-25"/>
                                <w:w w:val="105"/>
                                <w:sz w:val="8"/>
                              </w:rPr>
                              <w:t>E</w:t>
                            </w:r>
                            <w:r>
                              <w:rPr>
                                <w:color w:val="FFFFFF"/>
                                <w:spacing w:val="-25"/>
                                <w:w w:val="105"/>
                                <w:sz w:val="8"/>
                              </w:rPr>
                              <w:t>R</w:t>
                            </w:r>
                            <w:r>
                              <w:rPr>
                                <w:spacing w:val="-25"/>
                                <w:w w:val="105"/>
                                <w:sz w:val="8"/>
                              </w:rPr>
                              <w:t>G</w:t>
                            </w:r>
                            <w:r>
                              <w:rPr>
                                <w:color w:val="FFFFFF"/>
                                <w:spacing w:val="-25"/>
                                <w:w w:val="105"/>
                                <w:sz w:val="8"/>
                              </w:rPr>
                              <w:t>T</w:t>
                            </w:r>
                            <w:r>
                              <w:rPr>
                                <w:spacing w:val="-25"/>
                                <w:w w:val="105"/>
                                <w:sz w:val="8"/>
                              </w:rPr>
                              <w:t>U</w:t>
                            </w:r>
                            <w:r>
                              <w:rPr>
                                <w:color w:val="FFFFFF"/>
                                <w:spacing w:val="-25"/>
                                <w:w w:val="105"/>
                                <w:sz w:val="8"/>
                              </w:rPr>
                              <w:t>E</w:t>
                            </w:r>
                            <w:r>
                              <w:rPr>
                                <w:spacing w:val="-25"/>
                                <w:w w:val="105"/>
                                <w:sz w:val="8"/>
                              </w:rPr>
                              <w:t>NDA</w:t>
                            </w:r>
                          </w:p>
                        </w:txbxContent>
                      </wps:txbx>
                      <wps:bodyPr vert="vert270" wrap="square" lIns="0" tIns="0" rIns="0" bIns="0" rtlCol="0">
                        <a:noAutofit/>
                      </wps:bodyPr>
                    </wps:wsp>
                  </a:graphicData>
                </a:graphic>
              </wp:anchor>
            </w:drawing>
          </mc:Choice>
          <mc:Fallback>
            <w:pict>
              <v:shape w14:anchorId="40FBBC81" id="Textbox 198" o:spid="_x0000_s1103" type="#_x0000_t202" style="position:absolute;left:0;text-align:left;margin-left:575.7pt;margin-top:20.5pt;width:6.8pt;height:23.1pt;z-index:251658283;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" filled="f" stroked="f">
                <v:textbox style="layout-flow:vertical;mso-layout-flow-alt:bottom-to-top" inset="0,0,0,0">
                  <w:txbxContent>
                    <w:p w14:paraId="7DA6FE9B" w14:textId="77777777" w:rsidR="0014798C" w:rsidRDefault="004E1F0B">
                      <w:pPr>
                        <w:spacing w:before="22"/>
                        <w:ind w:left="20"/>
                        <w:rPr>
                          <w:sz w:val="8"/>
                        </w:rPr>
                      </w:pPr>
                      <w:r>
                        <w:rPr>
                          <w:color w:val="FFFFFF"/>
                          <w:spacing w:val="-25"/>
                          <w:w w:val="105"/>
                          <w:sz w:val="8"/>
                        </w:rPr>
                        <w:t>–IP</w:t>
                      </w:r>
                      <w:r>
                        <w:rPr>
                          <w:spacing w:val="-25"/>
                          <w:w w:val="105"/>
                          <w:sz w:val="8"/>
                        </w:rPr>
                        <w:t>S</w:t>
                      </w:r>
                      <w:r>
                        <w:rPr>
                          <w:color w:val="FFFFFF"/>
                          <w:spacing w:val="-25"/>
                          <w:w w:val="105"/>
                          <w:sz w:val="8"/>
                        </w:rPr>
                        <w:t>IIA</w:t>
                      </w:r>
                      <w:r>
                        <w:rPr>
                          <w:spacing w:val="-25"/>
                          <w:w w:val="105"/>
                          <w:sz w:val="8"/>
                        </w:rPr>
                        <w:t>E</w:t>
                      </w:r>
                      <w:r>
                        <w:rPr>
                          <w:color w:val="FFFFFF"/>
                          <w:spacing w:val="-25"/>
                          <w:w w:val="105"/>
                          <w:sz w:val="8"/>
                        </w:rPr>
                        <w:t>R</w:t>
                      </w:r>
                      <w:r>
                        <w:rPr>
                          <w:spacing w:val="-25"/>
                          <w:w w:val="105"/>
                          <w:sz w:val="8"/>
                        </w:rPr>
                        <w:t>G</w:t>
                      </w:r>
                      <w:r>
                        <w:rPr>
                          <w:color w:val="FFFFFF"/>
                          <w:spacing w:val="-25"/>
                          <w:w w:val="105"/>
                          <w:sz w:val="8"/>
                        </w:rPr>
                        <w:t>T</w:t>
                      </w:r>
                      <w:r>
                        <w:rPr>
                          <w:spacing w:val="-25"/>
                          <w:w w:val="105"/>
                          <w:sz w:val="8"/>
                        </w:rPr>
                        <w:t>U</w:t>
                      </w:r>
                      <w:r>
                        <w:rPr>
                          <w:color w:val="FFFFFF"/>
                          <w:spacing w:val="-25"/>
                          <w:w w:val="105"/>
                          <w:sz w:val="8"/>
                        </w:rPr>
                        <w:t>E</w:t>
                      </w:r>
                      <w:r>
                        <w:rPr>
                          <w:spacing w:val="-25"/>
                          <w:w w:val="105"/>
                          <w:sz w:val="8"/>
                        </w:rPr>
                        <w:t>NDA</w:t>
                      </w:r>
                    </w:p>
                  </w:txbxContent>
                </v:textbox>
                <w10:wrap anchorx="page"/>
              </v:shape>
            </w:pict>
          </mc:Fallback>
        </mc:AlternateContent>
      </w:r>
      <w:r>
        <w:rPr>
          <w:w w:val="105"/>
          <w:sz w:val="14"/>
        </w:rPr>
        <w:t>Para cumplir con estos requisitos, los Estados deben establecer y mantener órganos judiciales y de otro tipo, independientes e imparciales,</w:t>
      </w:r>
      <w:r>
        <w:rPr>
          <w:spacing w:val="-3"/>
          <w:w w:val="105"/>
          <w:sz w:val="14"/>
        </w:rPr>
        <w:t xml:space="preserve"> </w:t>
      </w:r>
      <w:r>
        <w:rPr>
          <w:w w:val="105"/>
          <w:sz w:val="14"/>
        </w:rPr>
        <w:t>dotados</w:t>
      </w:r>
      <w:r>
        <w:rPr>
          <w:spacing w:val="-4"/>
          <w:w w:val="105"/>
          <w:sz w:val="14"/>
        </w:rPr>
        <w:t xml:space="preserve"> </w:t>
      </w:r>
      <w:r>
        <w:rPr>
          <w:w w:val="105"/>
          <w:sz w:val="14"/>
        </w:rPr>
        <w:t>de</w:t>
      </w:r>
      <w:r>
        <w:rPr>
          <w:spacing w:val="-4"/>
          <w:w w:val="105"/>
          <w:sz w:val="14"/>
        </w:rPr>
        <w:t xml:space="preserve"> </w:t>
      </w:r>
      <w:r>
        <w:rPr>
          <w:w w:val="105"/>
          <w:sz w:val="14"/>
        </w:rPr>
        <w:t>recursos</w:t>
      </w:r>
      <w:r>
        <w:rPr>
          <w:spacing w:val="-4"/>
          <w:w w:val="105"/>
          <w:sz w:val="14"/>
        </w:rPr>
        <w:t xml:space="preserve"> </w:t>
      </w:r>
      <w:r>
        <w:rPr>
          <w:w w:val="105"/>
          <w:sz w:val="14"/>
        </w:rPr>
        <w:t>suficientes</w:t>
      </w:r>
      <w:r>
        <w:rPr>
          <w:spacing w:val="-4"/>
          <w:w w:val="105"/>
          <w:sz w:val="14"/>
        </w:rPr>
        <w:t xml:space="preserve"> </w:t>
      </w:r>
      <w:r>
        <w:rPr>
          <w:w w:val="105"/>
          <w:sz w:val="14"/>
        </w:rPr>
        <w:t>para</w:t>
      </w:r>
      <w:r>
        <w:rPr>
          <w:spacing w:val="-4"/>
          <w:w w:val="105"/>
          <w:sz w:val="14"/>
        </w:rPr>
        <w:t xml:space="preserve"> </w:t>
      </w:r>
      <w:r>
        <w:rPr>
          <w:w w:val="105"/>
          <w:sz w:val="14"/>
        </w:rPr>
        <w:t>abordar</w:t>
      </w:r>
      <w:r>
        <w:rPr>
          <w:spacing w:val="-4"/>
          <w:w w:val="105"/>
          <w:sz w:val="14"/>
        </w:rPr>
        <w:t xml:space="preserve"> </w:t>
      </w:r>
      <w:r>
        <w:rPr>
          <w:w w:val="105"/>
          <w:sz w:val="14"/>
        </w:rPr>
        <w:t>las</w:t>
      </w:r>
      <w:r>
        <w:rPr>
          <w:spacing w:val="-4"/>
          <w:w w:val="105"/>
          <w:sz w:val="14"/>
        </w:rPr>
        <w:t xml:space="preserve"> </w:t>
      </w:r>
      <w:r>
        <w:rPr>
          <w:w w:val="105"/>
          <w:sz w:val="14"/>
        </w:rPr>
        <w:t>denuncias</w:t>
      </w:r>
      <w:r>
        <w:rPr>
          <w:spacing w:val="-4"/>
          <w:w w:val="105"/>
          <w:sz w:val="14"/>
        </w:rPr>
        <w:t xml:space="preserve"> </w:t>
      </w:r>
      <w:r>
        <w:rPr>
          <w:w w:val="105"/>
          <w:sz w:val="14"/>
        </w:rPr>
        <w:t>de</w:t>
      </w:r>
      <w:r>
        <w:rPr>
          <w:spacing w:val="-4"/>
          <w:w w:val="105"/>
          <w:sz w:val="14"/>
        </w:rPr>
        <w:t xml:space="preserve"> </w:t>
      </w:r>
      <w:r>
        <w:rPr>
          <w:w w:val="105"/>
          <w:sz w:val="14"/>
        </w:rPr>
        <w:t>discriminación</w:t>
      </w:r>
      <w:r>
        <w:rPr>
          <w:spacing w:val="-4"/>
          <w:w w:val="105"/>
          <w:sz w:val="14"/>
        </w:rPr>
        <w:t xml:space="preserve"> </w:t>
      </w:r>
      <w:r>
        <w:rPr>
          <w:w w:val="105"/>
          <w:sz w:val="14"/>
        </w:rPr>
        <w:t>en</w:t>
      </w:r>
      <w:r>
        <w:rPr>
          <w:spacing w:val="-4"/>
          <w:w w:val="105"/>
          <w:sz w:val="14"/>
        </w:rPr>
        <w:t xml:space="preserve"> </w:t>
      </w:r>
      <w:r>
        <w:rPr>
          <w:w w:val="105"/>
          <w:sz w:val="14"/>
        </w:rPr>
        <w:t>todo</w:t>
      </w:r>
      <w:r>
        <w:rPr>
          <w:spacing w:val="-4"/>
          <w:w w:val="105"/>
          <w:sz w:val="14"/>
        </w:rPr>
        <w:t xml:space="preserve"> </w:t>
      </w:r>
      <w:r>
        <w:rPr>
          <w:w w:val="105"/>
          <w:sz w:val="14"/>
        </w:rPr>
        <w:t>su</w:t>
      </w:r>
      <w:r>
        <w:rPr>
          <w:spacing w:val="-4"/>
          <w:w w:val="105"/>
          <w:sz w:val="14"/>
        </w:rPr>
        <w:t xml:space="preserve"> </w:t>
      </w:r>
      <w:r>
        <w:rPr>
          <w:w w:val="105"/>
          <w:sz w:val="14"/>
        </w:rPr>
        <w:t>territorio,</w:t>
      </w:r>
      <w:r>
        <w:rPr>
          <w:spacing w:val="-3"/>
          <w:w w:val="105"/>
          <w:sz w:val="14"/>
        </w:rPr>
        <w:t xml:space="preserve"> </w:t>
      </w:r>
      <w:r>
        <w:rPr>
          <w:w w:val="105"/>
          <w:sz w:val="14"/>
        </w:rPr>
        <w:t>incluidas</w:t>
      </w:r>
      <w:r>
        <w:rPr>
          <w:spacing w:val="-4"/>
          <w:w w:val="105"/>
          <w:sz w:val="14"/>
        </w:rPr>
        <w:t xml:space="preserve"> </w:t>
      </w:r>
      <w:r>
        <w:rPr>
          <w:w w:val="105"/>
          <w:sz w:val="14"/>
        </w:rPr>
        <w:t>las</w:t>
      </w:r>
      <w:r>
        <w:rPr>
          <w:spacing w:val="-4"/>
          <w:w w:val="105"/>
          <w:sz w:val="14"/>
        </w:rPr>
        <w:t xml:space="preserve"> </w:t>
      </w:r>
      <w:r>
        <w:rPr>
          <w:w w:val="105"/>
          <w:sz w:val="14"/>
        </w:rPr>
        <w:t xml:space="preserve">zonas </w:t>
      </w:r>
      <w:r>
        <w:rPr>
          <w:spacing w:val="-2"/>
          <w:w w:val="105"/>
          <w:sz w:val="14"/>
        </w:rPr>
        <w:t>rurales.</w:t>
      </w:r>
    </w:p>
    <w:p w14:paraId="00606BA3" w14:textId="77777777" w:rsidR="0014798C" w:rsidRDefault="004E1F0B">
      <w:pPr>
        <w:pStyle w:val="Prrafodelista"/>
        <w:numPr>
          <w:ilvl w:val="0"/>
          <w:numId w:val="47"/>
        </w:numPr>
        <w:tabs>
          <w:tab w:val="left" w:pos="1449"/>
          <w:tab w:val="left" w:pos="1559"/>
        </w:tabs>
        <w:spacing w:before="113" w:line="372" w:lineRule="auto"/>
        <w:ind w:left="1559" w:right="1523" w:hanging="201"/>
        <w:rPr>
          <w:sz w:val="14"/>
        </w:rPr>
      </w:pPr>
      <w:r>
        <w:rPr>
          <w:w w:val="105"/>
          <w:sz w:val="14"/>
        </w:rPr>
        <w:t>Dichos</w:t>
      </w:r>
      <w:r>
        <w:rPr>
          <w:spacing w:val="-4"/>
          <w:w w:val="105"/>
          <w:sz w:val="14"/>
        </w:rPr>
        <w:t xml:space="preserve"> </w:t>
      </w:r>
      <w:r>
        <w:rPr>
          <w:w w:val="105"/>
          <w:sz w:val="14"/>
        </w:rPr>
        <w:t>organismos</w:t>
      </w:r>
      <w:r>
        <w:rPr>
          <w:spacing w:val="-4"/>
          <w:w w:val="105"/>
          <w:sz w:val="14"/>
        </w:rPr>
        <w:t xml:space="preserve"> </w:t>
      </w:r>
      <w:r>
        <w:rPr>
          <w:w w:val="105"/>
          <w:sz w:val="14"/>
        </w:rPr>
        <w:t>deben</w:t>
      </w:r>
      <w:r>
        <w:rPr>
          <w:spacing w:val="-4"/>
          <w:w w:val="105"/>
          <w:sz w:val="14"/>
        </w:rPr>
        <w:t xml:space="preserve"> </w:t>
      </w:r>
      <w:r>
        <w:rPr>
          <w:w w:val="105"/>
          <w:sz w:val="14"/>
        </w:rPr>
        <w:t>ser</w:t>
      </w:r>
      <w:r>
        <w:rPr>
          <w:spacing w:val="-4"/>
          <w:w w:val="105"/>
          <w:sz w:val="14"/>
        </w:rPr>
        <w:t xml:space="preserve"> </w:t>
      </w:r>
      <w:r>
        <w:rPr>
          <w:w w:val="105"/>
          <w:sz w:val="14"/>
        </w:rPr>
        <w:t>de</w:t>
      </w:r>
      <w:r>
        <w:rPr>
          <w:spacing w:val="-4"/>
          <w:w w:val="105"/>
          <w:sz w:val="14"/>
        </w:rPr>
        <w:t xml:space="preserve"> </w:t>
      </w:r>
      <w:r>
        <w:rPr>
          <w:w w:val="105"/>
          <w:sz w:val="14"/>
        </w:rPr>
        <w:t>buena</w:t>
      </w:r>
      <w:r>
        <w:rPr>
          <w:spacing w:val="-4"/>
          <w:w w:val="105"/>
          <w:sz w:val="14"/>
        </w:rPr>
        <w:t xml:space="preserve"> </w:t>
      </w:r>
      <w:r>
        <w:rPr>
          <w:w w:val="105"/>
          <w:sz w:val="14"/>
        </w:rPr>
        <w:t>calidad,</w:t>
      </w:r>
      <w:r>
        <w:rPr>
          <w:spacing w:val="-3"/>
          <w:w w:val="105"/>
          <w:sz w:val="14"/>
        </w:rPr>
        <w:t xml:space="preserve"> </w:t>
      </w:r>
      <w:r>
        <w:rPr>
          <w:w w:val="105"/>
          <w:sz w:val="14"/>
        </w:rPr>
        <w:t>sensibles</w:t>
      </w:r>
      <w:r>
        <w:rPr>
          <w:spacing w:val="-4"/>
          <w:w w:val="105"/>
          <w:sz w:val="14"/>
        </w:rPr>
        <w:t xml:space="preserve"> </w:t>
      </w:r>
      <w:r>
        <w:rPr>
          <w:w w:val="105"/>
          <w:sz w:val="14"/>
        </w:rPr>
        <w:t>a</w:t>
      </w:r>
      <w:r>
        <w:rPr>
          <w:spacing w:val="-4"/>
          <w:w w:val="105"/>
          <w:sz w:val="14"/>
        </w:rPr>
        <w:t xml:space="preserve"> </w:t>
      </w:r>
      <w:r>
        <w:rPr>
          <w:w w:val="105"/>
          <w:sz w:val="14"/>
        </w:rPr>
        <w:t>la</w:t>
      </w:r>
      <w:r>
        <w:rPr>
          <w:spacing w:val="-4"/>
          <w:w w:val="105"/>
          <w:sz w:val="14"/>
        </w:rPr>
        <w:t xml:space="preserve"> </w:t>
      </w:r>
      <w:r>
        <w:rPr>
          <w:w w:val="105"/>
          <w:sz w:val="14"/>
        </w:rPr>
        <w:t>igualdad,</w:t>
      </w:r>
      <w:r>
        <w:rPr>
          <w:spacing w:val="-3"/>
          <w:w w:val="105"/>
          <w:sz w:val="14"/>
        </w:rPr>
        <w:t xml:space="preserve"> </w:t>
      </w:r>
      <w:r>
        <w:rPr>
          <w:w w:val="105"/>
          <w:sz w:val="14"/>
        </w:rPr>
        <w:t>responsables,</w:t>
      </w:r>
      <w:r>
        <w:rPr>
          <w:spacing w:val="-3"/>
          <w:w w:val="105"/>
          <w:sz w:val="14"/>
        </w:rPr>
        <w:t xml:space="preserve"> </w:t>
      </w:r>
      <w:r>
        <w:rPr>
          <w:w w:val="105"/>
          <w:sz w:val="14"/>
        </w:rPr>
        <w:t>receptivos</w:t>
      </w:r>
      <w:r>
        <w:rPr>
          <w:spacing w:val="-4"/>
          <w:w w:val="105"/>
          <w:sz w:val="14"/>
        </w:rPr>
        <w:t xml:space="preserve"> </w:t>
      </w:r>
      <w:r>
        <w:rPr>
          <w:w w:val="105"/>
          <w:sz w:val="14"/>
        </w:rPr>
        <w:t>a</w:t>
      </w:r>
      <w:r>
        <w:rPr>
          <w:spacing w:val="-4"/>
          <w:w w:val="105"/>
          <w:sz w:val="14"/>
        </w:rPr>
        <w:t xml:space="preserve"> </w:t>
      </w:r>
      <w:r>
        <w:rPr>
          <w:w w:val="105"/>
          <w:sz w:val="14"/>
        </w:rPr>
        <w:t>las</w:t>
      </w:r>
      <w:r>
        <w:rPr>
          <w:spacing w:val="-4"/>
          <w:w w:val="105"/>
          <w:sz w:val="14"/>
        </w:rPr>
        <w:t xml:space="preserve"> </w:t>
      </w:r>
      <w:r>
        <w:rPr>
          <w:w w:val="105"/>
          <w:sz w:val="14"/>
        </w:rPr>
        <w:t>necesidades</w:t>
      </w:r>
      <w:r>
        <w:rPr>
          <w:spacing w:val="-4"/>
          <w:w w:val="105"/>
          <w:sz w:val="14"/>
        </w:rPr>
        <w:t xml:space="preserve"> </w:t>
      </w:r>
      <w:r>
        <w:rPr>
          <w:w w:val="105"/>
          <w:sz w:val="14"/>
        </w:rPr>
        <w:t>de</w:t>
      </w:r>
      <w:r>
        <w:rPr>
          <w:spacing w:val="-4"/>
          <w:w w:val="105"/>
          <w:sz w:val="14"/>
        </w:rPr>
        <w:t xml:space="preserve"> </w:t>
      </w:r>
      <w:r>
        <w:rPr>
          <w:w w:val="105"/>
          <w:sz w:val="14"/>
        </w:rPr>
        <w:t>los</w:t>
      </w:r>
      <w:r>
        <w:rPr>
          <w:spacing w:val="-4"/>
          <w:w w:val="105"/>
          <w:sz w:val="14"/>
        </w:rPr>
        <w:t xml:space="preserve"> </w:t>
      </w:r>
      <w:r>
        <w:rPr>
          <w:w w:val="105"/>
          <w:sz w:val="14"/>
        </w:rPr>
        <w:t>usuarios</w:t>
      </w:r>
      <w:r>
        <w:rPr>
          <w:spacing w:val="-4"/>
          <w:w w:val="105"/>
          <w:sz w:val="14"/>
        </w:rPr>
        <w:t xml:space="preserve"> </w:t>
      </w:r>
      <w:r>
        <w:rPr>
          <w:w w:val="105"/>
          <w:sz w:val="14"/>
        </w:rPr>
        <w:t xml:space="preserve">y </w:t>
      </w:r>
      <w:r>
        <w:rPr>
          <w:spacing w:val="-2"/>
          <w:w w:val="105"/>
          <w:sz w:val="14"/>
        </w:rPr>
        <w:t>participativo.</w:t>
      </w:r>
    </w:p>
    <w:p w14:paraId="0E0DFF8B" w14:textId="77777777" w:rsidR="0014798C" w:rsidRDefault="004E1F0B">
      <w:pPr>
        <w:pStyle w:val="Prrafodelista"/>
        <w:numPr>
          <w:ilvl w:val="0"/>
          <w:numId w:val="47"/>
        </w:numPr>
        <w:tabs>
          <w:tab w:val="left" w:pos="1448"/>
          <w:tab w:val="left" w:pos="1565"/>
        </w:tabs>
        <w:spacing w:before="114" w:line="372" w:lineRule="auto"/>
        <w:ind w:left="1565" w:right="2756" w:hanging="208"/>
        <w:rPr>
          <w:sz w:val="14"/>
        </w:rPr>
      </w:pPr>
      <w:r>
        <w:rPr>
          <w:w w:val="105"/>
          <w:sz w:val="14"/>
        </w:rPr>
        <w:t>Se</w:t>
      </w:r>
      <w:r>
        <w:rPr>
          <w:spacing w:val="-4"/>
          <w:w w:val="105"/>
          <w:sz w:val="14"/>
        </w:rPr>
        <w:t xml:space="preserve"> </w:t>
      </w:r>
      <w:r>
        <w:rPr>
          <w:w w:val="105"/>
          <w:sz w:val="14"/>
        </w:rPr>
        <w:t>deben</w:t>
      </w:r>
      <w:r>
        <w:rPr>
          <w:spacing w:val="-4"/>
          <w:w w:val="105"/>
          <w:sz w:val="14"/>
        </w:rPr>
        <w:t xml:space="preserve"> </w:t>
      </w:r>
      <w:r>
        <w:rPr>
          <w:w w:val="105"/>
          <w:sz w:val="14"/>
        </w:rPr>
        <w:t>identificar</w:t>
      </w:r>
      <w:r>
        <w:rPr>
          <w:spacing w:val="-4"/>
          <w:w w:val="105"/>
          <w:sz w:val="14"/>
        </w:rPr>
        <w:t xml:space="preserve"> </w:t>
      </w:r>
      <w:r>
        <w:rPr>
          <w:w w:val="105"/>
          <w:sz w:val="14"/>
        </w:rPr>
        <w:t>y</w:t>
      </w:r>
      <w:r>
        <w:rPr>
          <w:spacing w:val="-4"/>
          <w:w w:val="105"/>
          <w:sz w:val="14"/>
        </w:rPr>
        <w:t xml:space="preserve"> </w:t>
      </w:r>
      <w:r>
        <w:rPr>
          <w:w w:val="105"/>
          <w:sz w:val="14"/>
        </w:rPr>
        <w:t>eliminar</w:t>
      </w:r>
      <w:r>
        <w:rPr>
          <w:spacing w:val="-4"/>
          <w:w w:val="105"/>
          <w:sz w:val="14"/>
        </w:rPr>
        <w:t xml:space="preserve"> </w:t>
      </w:r>
      <w:r>
        <w:rPr>
          <w:w w:val="105"/>
          <w:sz w:val="14"/>
        </w:rPr>
        <w:t>las</w:t>
      </w:r>
      <w:r>
        <w:rPr>
          <w:spacing w:val="-4"/>
          <w:w w:val="105"/>
          <w:sz w:val="14"/>
        </w:rPr>
        <w:t xml:space="preserve"> </w:t>
      </w:r>
      <w:r>
        <w:rPr>
          <w:w w:val="105"/>
          <w:sz w:val="14"/>
        </w:rPr>
        <w:t>barreras</w:t>
      </w:r>
      <w:r>
        <w:rPr>
          <w:spacing w:val="-4"/>
          <w:w w:val="105"/>
          <w:sz w:val="14"/>
        </w:rPr>
        <w:t xml:space="preserve"> </w:t>
      </w:r>
      <w:r>
        <w:rPr>
          <w:w w:val="105"/>
          <w:sz w:val="14"/>
        </w:rPr>
        <w:t>a</w:t>
      </w:r>
      <w:r>
        <w:rPr>
          <w:spacing w:val="-4"/>
          <w:w w:val="105"/>
          <w:sz w:val="14"/>
        </w:rPr>
        <w:t xml:space="preserve"> </w:t>
      </w:r>
      <w:r>
        <w:rPr>
          <w:w w:val="105"/>
          <w:sz w:val="14"/>
        </w:rPr>
        <w:t>la</w:t>
      </w:r>
      <w:r>
        <w:rPr>
          <w:spacing w:val="-4"/>
          <w:w w:val="105"/>
          <w:sz w:val="14"/>
        </w:rPr>
        <w:t xml:space="preserve"> </w:t>
      </w:r>
      <w:r>
        <w:rPr>
          <w:w w:val="105"/>
          <w:sz w:val="14"/>
        </w:rPr>
        <w:t>participación</w:t>
      </w:r>
      <w:r>
        <w:rPr>
          <w:spacing w:val="-4"/>
          <w:w w:val="105"/>
          <w:sz w:val="14"/>
        </w:rPr>
        <w:t xml:space="preserve"> </w:t>
      </w:r>
      <w:r>
        <w:rPr>
          <w:w w:val="105"/>
          <w:sz w:val="14"/>
        </w:rPr>
        <w:t>igualitaria,</w:t>
      </w:r>
      <w:r>
        <w:rPr>
          <w:spacing w:val="-3"/>
          <w:w w:val="105"/>
          <w:sz w:val="14"/>
        </w:rPr>
        <w:t xml:space="preserve"> </w:t>
      </w:r>
      <w:r>
        <w:rPr>
          <w:w w:val="105"/>
          <w:sz w:val="14"/>
        </w:rPr>
        <w:t>incluso</w:t>
      </w:r>
      <w:r>
        <w:rPr>
          <w:spacing w:val="-4"/>
          <w:w w:val="105"/>
          <w:sz w:val="14"/>
        </w:rPr>
        <w:t xml:space="preserve"> </w:t>
      </w:r>
      <w:r>
        <w:rPr>
          <w:w w:val="105"/>
          <w:sz w:val="14"/>
        </w:rPr>
        <w:t>mediante</w:t>
      </w:r>
      <w:r>
        <w:rPr>
          <w:spacing w:val="-4"/>
          <w:w w:val="105"/>
          <w:sz w:val="14"/>
        </w:rPr>
        <w:t xml:space="preserve"> </w:t>
      </w:r>
      <w:r>
        <w:rPr>
          <w:w w:val="105"/>
          <w:sz w:val="14"/>
        </w:rPr>
        <w:t>medidas</w:t>
      </w:r>
      <w:r>
        <w:rPr>
          <w:spacing w:val="-4"/>
          <w:w w:val="105"/>
          <w:sz w:val="14"/>
        </w:rPr>
        <w:t xml:space="preserve"> </w:t>
      </w:r>
      <w:r>
        <w:rPr>
          <w:w w:val="105"/>
          <w:sz w:val="14"/>
        </w:rPr>
        <w:t>de</w:t>
      </w:r>
      <w:r>
        <w:rPr>
          <w:spacing w:val="-4"/>
          <w:w w:val="105"/>
          <w:sz w:val="14"/>
        </w:rPr>
        <w:t xml:space="preserve"> </w:t>
      </w:r>
      <w:r>
        <w:rPr>
          <w:w w:val="105"/>
          <w:sz w:val="14"/>
        </w:rPr>
        <w:t>accesibilidad. y adaptaciones procesales.</w:t>
      </w:r>
    </w:p>
    <w:p w14:paraId="4A113B3C" w14:textId="77777777" w:rsidR="0014798C" w:rsidRDefault="004E1F0B">
      <w:pPr>
        <w:pStyle w:val="Prrafodelista"/>
        <w:numPr>
          <w:ilvl w:val="0"/>
          <w:numId w:val="47"/>
        </w:numPr>
        <w:tabs>
          <w:tab w:val="left" w:pos="1449"/>
          <w:tab w:val="left" w:pos="1564"/>
        </w:tabs>
        <w:spacing w:before="114" w:line="372" w:lineRule="auto"/>
        <w:ind w:left="1564" w:right="2036" w:hanging="206"/>
        <w:rPr>
          <w:sz w:val="14"/>
        </w:rPr>
      </w:pPr>
      <w:r>
        <w:rPr>
          <w:w w:val="105"/>
          <w:sz w:val="14"/>
        </w:rPr>
        <w:t>Se</w:t>
      </w:r>
      <w:r>
        <w:rPr>
          <w:spacing w:val="-3"/>
          <w:w w:val="105"/>
          <w:sz w:val="14"/>
        </w:rPr>
        <w:t xml:space="preserve"> </w:t>
      </w:r>
      <w:r>
        <w:rPr>
          <w:w w:val="105"/>
          <w:sz w:val="14"/>
        </w:rPr>
        <w:t>debe</w:t>
      </w:r>
      <w:r>
        <w:rPr>
          <w:spacing w:val="-3"/>
          <w:w w:val="105"/>
          <w:sz w:val="14"/>
        </w:rPr>
        <w:t xml:space="preserve"> </w:t>
      </w:r>
      <w:r>
        <w:rPr>
          <w:w w:val="105"/>
          <w:sz w:val="14"/>
        </w:rPr>
        <w:t>brindar</w:t>
      </w:r>
      <w:r>
        <w:rPr>
          <w:spacing w:val="-3"/>
          <w:w w:val="105"/>
          <w:sz w:val="14"/>
        </w:rPr>
        <w:t xml:space="preserve"> </w:t>
      </w:r>
      <w:r>
        <w:rPr>
          <w:w w:val="105"/>
          <w:sz w:val="14"/>
        </w:rPr>
        <w:t>asistencia</w:t>
      </w:r>
      <w:r>
        <w:rPr>
          <w:spacing w:val="-3"/>
          <w:w w:val="105"/>
          <w:sz w:val="14"/>
        </w:rPr>
        <w:t xml:space="preserve"> </w:t>
      </w:r>
      <w:r>
        <w:rPr>
          <w:w w:val="105"/>
          <w:sz w:val="14"/>
        </w:rPr>
        <w:t>y</w:t>
      </w:r>
      <w:r>
        <w:rPr>
          <w:spacing w:val="-3"/>
          <w:w w:val="105"/>
          <w:sz w:val="14"/>
        </w:rPr>
        <w:t xml:space="preserve"> </w:t>
      </w:r>
      <w:r>
        <w:rPr>
          <w:w w:val="105"/>
          <w:sz w:val="14"/>
        </w:rPr>
        <w:t>apoyo</w:t>
      </w:r>
      <w:r>
        <w:rPr>
          <w:spacing w:val="-3"/>
          <w:w w:val="105"/>
          <w:sz w:val="14"/>
        </w:rPr>
        <w:t xml:space="preserve"> </w:t>
      </w:r>
      <w:r>
        <w:rPr>
          <w:w w:val="105"/>
          <w:sz w:val="14"/>
        </w:rPr>
        <w:t>legal</w:t>
      </w:r>
      <w:r>
        <w:rPr>
          <w:spacing w:val="-3"/>
          <w:w w:val="105"/>
          <w:sz w:val="14"/>
        </w:rPr>
        <w:t xml:space="preserve"> </w:t>
      </w:r>
      <w:r>
        <w:rPr>
          <w:w w:val="105"/>
          <w:sz w:val="14"/>
        </w:rPr>
        <w:t>siempre</w:t>
      </w:r>
      <w:r>
        <w:rPr>
          <w:spacing w:val="-3"/>
          <w:w w:val="105"/>
          <w:sz w:val="14"/>
        </w:rPr>
        <w:t xml:space="preserve"> </w:t>
      </w:r>
      <w:r>
        <w:rPr>
          <w:w w:val="105"/>
          <w:sz w:val="14"/>
        </w:rPr>
        <w:t>que</w:t>
      </w:r>
      <w:r>
        <w:rPr>
          <w:spacing w:val="-3"/>
          <w:w w:val="105"/>
          <w:sz w:val="14"/>
        </w:rPr>
        <w:t xml:space="preserve"> </w:t>
      </w:r>
      <w:r>
        <w:rPr>
          <w:w w:val="105"/>
          <w:sz w:val="14"/>
        </w:rPr>
        <w:t>sea</w:t>
      </w:r>
      <w:r>
        <w:rPr>
          <w:spacing w:val="-3"/>
          <w:w w:val="105"/>
          <w:sz w:val="14"/>
        </w:rPr>
        <w:t xml:space="preserve"> </w:t>
      </w:r>
      <w:r>
        <w:rPr>
          <w:w w:val="105"/>
          <w:sz w:val="14"/>
        </w:rPr>
        <w:t>necesario</w:t>
      </w:r>
      <w:r>
        <w:rPr>
          <w:spacing w:val="-3"/>
          <w:w w:val="105"/>
          <w:sz w:val="14"/>
        </w:rPr>
        <w:t xml:space="preserve"> </w:t>
      </w:r>
      <w:r>
        <w:rPr>
          <w:w w:val="105"/>
          <w:sz w:val="14"/>
        </w:rPr>
        <w:t>para</w:t>
      </w:r>
      <w:r>
        <w:rPr>
          <w:spacing w:val="-3"/>
          <w:w w:val="105"/>
          <w:sz w:val="14"/>
        </w:rPr>
        <w:t xml:space="preserve"> </w:t>
      </w:r>
      <w:r>
        <w:rPr>
          <w:w w:val="105"/>
          <w:sz w:val="14"/>
        </w:rPr>
        <w:t>garantizar</w:t>
      </w:r>
      <w:r>
        <w:rPr>
          <w:spacing w:val="-3"/>
          <w:w w:val="105"/>
          <w:sz w:val="14"/>
        </w:rPr>
        <w:t xml:space="preserve"> </w:t>
      </w:r>
      <w:r>
        <w:rPr>
          <w:w w:val="105"/>
          <w:sz w:val="14"/>
        </w:rPr>
        <w:t>que</w:t>
      </w:r>
      <w:r>
        <w:rPr>
          <w:spacing w:val="-3"/>
          <w:w w:val="105"/>
          <w:sz w:val="14"/>
        </w:rPr>
        <w:t xml:space="preserve"> </w:t>
      </w:r>
      <w:r>
        <w:rPr>
          <w:w w:val="105"/>
          <w:sz w:val="14"/>
        </w:rPr>
        <w:t>el</w:t>
      </w:r>
      <w:r>
        <w:rPr>
          <w:spacing w:val="-3"/>
          <w:w w:val="105"/>
          <w:sz w:val="14"/>
        </w:rPr>
        <w:t xml:space="preserve"> </w:t>
      </w:r>
      <w:r>
        <w:rPr>
          <w:w w:val="105"/>
          <w:sz w:val="14"/>
        </w:rPr>
        <w:t>derecho</w:t>
      </w:r>
      <w:r>
        <w:rPr>
          <w:spacing w:val="-3"/>
          <w:w w:val="105"/>
          <w:sz w:val="14"/>
        </w:rPr>
        <w:t xml:space="preserve"> </w:t>
      </w:r>
      <w:r>
        <w:rPr>
          <w:w w:val="105"/>
          <w:sz w:val="14"/>
        </w:rPr>
        <w:t>a</w:t>
      </w:r>
      <w:r>
        <w:rPr>
          <w:spacing w:val="-3"/>
          <w:w w:val="105"/>
          <w:sz w:val="14"/>
        </w:rPr>
        <w:t xml:space="preserve"> </w:t>
      </w:r>
      <w:r>
        <w:rPr>
          <w:w w:val="105"/>
          <w:sz w:val="14"/>
        </w:rPr>
        <w:t>la</w:t>
      </w:r>
      <w:r>
        <w:rPr>
          <w:spacing w:val="-3"/>
          <w:w w:val="105"/>
          <w:sz w:val="14"/>
        </w:rPr>
        <w:t xml:space="preserve"> </w:t>
      </w:r>
      <w:r>
        <w:rPr>
          <w:w w:val="105"/>
          <w:sz w:val="14"/>
        </w:rPr>
        <w:t>no</w:t>
      </w:r>
      <w:r>
        <w:rPr>
          <w:spacing w:val="-3"/>
          <w:w w:val="105"/>
          <w:sz w:val="14"/>
        </w:rPr>
        <w:t xml:space="preserve"> </w:t>
      </w:r>
      <w:r>
        <w:rPr>
          <w:w w:val="105"/>
          <w:sz w:val="14"/>
        </w:rPr>
        <w:t>discriminación</w:t>
      </w:r>
      <w:r>
        <w:rPr>
          <w:spacing w:val="-3"/>
          <w:w w:val="105"/>
          <w:sz w:val="14"/>
        </w:rPr>
        <w:t xml:space="preserve"> </w:t>
      </w:r>
      <w:r>
        <w:rPr>
          <w:w w:val="105"/>
          <w:sz w:val="14"/>
        </w:rPr>
        <w:t>sea realizable para todos los individuos y grupos cuyos derechos hayan sido violados.</w:t>
      </w:r>
    </w:p>
    <w:p w14:paraId="121A3670" w14:textId="77777777" w:rsidR="0014798C" w:rsidRDefault="004E1F0B">
      <w:pPr>
        <w:pStyle w:val="Prrafodelista"/>
        <w:numPr>
          <w:ilvl w:val="0"/>
          <w:numId w:val="47"/>
        </w:numPr>
        <w:tabs>
          <w:tab w:val="left" w:pos="1449"/>
          <w:tab w:val="left" w:pos="1561"/>
        </w:tabs>
        <w:spacing w:before="113" w:line="372" w:lineRule="auto"/>
        <w:ind w:right="2118" w:hanging="203"/>
        <w:rPr>
          <w:sz w:val="14"/>
        </w:rPr>
      </w:pPr>
      <w:r>
        <w:rPr>
          <w:w w:val="105"/>
          <w:sz w:val="14"/>
        </w:rPr>
        <w:t>Se</w:t>
      </w:r>
      <w:r>
        <w:rPr>
          <w:spacing w:val="-3"/>
          <w:w w:val="105"/>
          <w:sz w:val="14"/>
        </w:rPr>
        <w:t xml:space="preserve"> </w:t>
      </w:r>
      <w:r>
        <w:rPr>
          <w:w w:val="105"/>
          <w:sz w:val="14"/>
        </w:rPr>
        <w:t>debe</w:t>
      </w:r>
      <w:r>
        <w:rPr>
          <w:spacing w:val="-3"/>
          <w:w w:val="105"/>
          <w:sz w:val="14"/>
        </w:rPr>
        <w:t xml:space="preserve"> </w:t>
      </w:r>
      <w:r>
        <w:rPr>
          <w:w w:val="105"/>
          <w:sz w:val="14"/>
        </w:rPr>
        <w:t>adoptar</w:t>
      </w:r>
      <w:r>
        <w:rPr>
          <w:spacing w:val="-3"/>
          <w:w w:val="105"/>
          <w:sz w:val="14"/>
        </w:rPr>
        <w:t xml:space="preserve"> </w:t>
      </w:r>
      <w:r>
        <w:rPr>
          <w:w w:val="105"/>
          <w:sz w:val="14"/>
        </w:rPr>
        <w:t>un</w:t>
      </w:r>
      <w:r>
        <w:rPr>
          <w:spacing w:val="-3"/>
          <w:w w:val="105"/>
          <w:sz w:val="14"/>
        </w:rPr>
        <w:t xml:space="preserve"> </w:t>
      </w:r>
      <w:r>
        <w:rPr>
          <w:w w:val="105"/>
          <w:sz w:val="14"/>
        </w:rPr>
        <w:t>enfoque</w:t>
      </w:r>
      <w:r>
        <w:rPr>
          <w:spacing w:val="-3"/>
          <w:w w:val="105"/>
          <w:sz w:val="14"/>
        </w:rPr>
        <w:t xml:space="preserve"> </w:t>
      </w:r>
      <w:r>
        <w:rPr>
          <w:w w:val="105"/>
          <w:sz w:val="14"/>
        </w:rPr>
        <w:t>inclusivo</w:t>
      </w:r>
      <w:r>
        <w:rPr>
          <w:spacing w:val="-3"/>
          <w:w w:val="105"/>
          <w:sz w:val="14"/>
        </w:rPr>
        <w:t xml:space="preserve"> </w:t>
      </w:r>
      <w:r>
        <w:rPr>
          <w:w w:val="105"/>
          <w:sz w:val="14"/>
        </w:rPr>
        <w:t>respecto</w:t>
      </w:r>
      <w:r>
        <w:rPr>
          <w:spacing w:val="-3"/>
          <w:w w:val="105"/>
          <w:sz w:val="14"/>
        </w:rPr>
        <w:t xml:space="preserve"> </w:t>
      </w:r>
      <w:r>
        <w:rPr>
          <w:w w:val="105"/>
          <w:sz w:val="14"/>
        </w:rPr>
        <w:t>de</w:t>
      </w:r>
      <w:r>
        <w:rPr>
          <w:spacing w:val="-3"/>
          <w:w w:val="105"/>
          <w:sz w:val="14"/>
        </w:rPr>
        <w:t xml:space="preserve"> </w:t>
      </w:r>
      <w:r>
        <w:rPr>
          <w:w w:val="105"/>
          <w:sz w:val="14"/>
        </w:rPr>
        <w:t>las</w:t>
      </w:r>
      <w:r>
        <w:rPr>
          <w:spacing w:val="-3"/>
          <w:w w:val="105"/>
          <w:sz w:val="14"/>
        </w:rPr>
        <w:t xml:space="preserve"> </w:t>
      </w:r>
      <w:r>
        <w:rPr>
          <w:w w:val="105"/>
          <w:sz w:val="14"/>
        </w:rPr>
        <w:t>normas</w:t>
      </w:r>
      <w:r>
        <w:rPr>
          <w:spacing w:val="-3"/>
          <w:w w:val="105"/>
          <w:sz w:val="14"/>
        </w:rPr>
        <w:t xml:space="preserve"> </w:t>
      </w:r>
      <w:r>
        <w:rPr>
          <w:w w:val="105"/>
          <w:sz w:val="14"/>
        </w:rPr>
        <w:t>que</w:t>
      </w:r>
      <w:r>
        <w:rPr>
          <w:spacing w:val="-3"/>
          <w:w w:val="105"/>
          <w:sz w:val="14"/>
        </w:rPr>
        <w:t xml:space="preserve"> </w:t>
      </w:r>
      <w:r>
        <w:rPr>
          <w:w w:val="105"/>
          <w:sz w:val="14"/>
        </w:rPr>
        <w:t>regulan</w:t>
      </w:r>
      <w:r>
        <w:rPr>
          <w:spacing w:val="-3"/>
          <w:w w:val="105"/>
          <w:sz w:val="14"/>
        </w:rPr>
        <w:t xml:space="preserve"> </w:t>
      </w:r>
      <w:r>
        <w:rPr>
          <w:w w:val="105"/>
          <w:sz w:val="14"/>
        </w:rPr>
        <w:t>la</w:t>
      </w:r>
      <w:r>
        <w:rPr>
          <w:spacing w:val="-3"/>
          <w:w w:val="105"/>
          <w:sz w:val="14"/>
        </w:rPr>
        <w:t xml:space="preserve"> </w:t>
      </w:r>
      <w:r>
        <w:rPr>
          <w:w w:val="105"/>
          <w:sz w:val="14"/>
        </w:rPr>
        <w:t>capacidad</w:t>
      </w:r>
      <w:r>
        <w:rPr>
          <w:spacing w:val="-3"/>
          <w:w w:val="105"/>
          <w:sz w:val="14"/>
        </w:rPr>
        <w:t xml:space="preserve"> </w:t>
      </w:r>
      <w:r>
        <w:rPr>
          <w:w w:val="105"/>
          <w:sz w:val="14"/>
        </w:rPr>
        <w:t>jurídica</w:t>
      </w:r>
      <w:r>
        <w:rPr>
          <w:spacing w:val="-3"/>
          <w:w w:val="105"/>
          <w:sz w:val="14"/>
        </w:rPr>
        <w:t xml:space="preserve"> </w:t>
      </w:r>
      <w:r>
        <w:rPr>
          <w:w w:val="105"/>
          <w:sz w:val="14"/>
        </w:rPr>
        <w:t>y</w:t>
      </w:r>
      <w:r>
        <w:rPr>
          <w:spacing w:val="-3"/>
          <w:w w:val="105"/>
          <w:sz w:val="14"/>
        </w:rPr>
        <w:t xml:space="preserve"> </w:t>
      </w:r>
      <w:r>
        <w:rPr>
          <w:w w:val="105"/>
          <w:sz w:val="14"/>
        </w:rPr>
        <w:t>la</w:t>
      </w:r>
      <w:r>
        <w:rPr>
          <w:spacing w:val="-3"/>
          <w:w w:val="105"/>
          <w:sz w:val="14"/>
        </w:rPr>
        <w:t xml:space="preserve"> </w:t>
      </w:r>
      <w:r>
        <w:rPr>
          <w:w w:val="105"/>
          <w:sz w:val="14"/>
        </w:rPr>
        <w:t>participación</w:t>
      </w:r>
      <w:r>
        <w:rPr>
          <w:spacing w:val="-3"/>
          <w:w w:val="105"/>
          <w:sz w:val="14"/>
        </w:rPr>
        <w:t xml:space="preserve"> </w:t>
      </w:r>
      <w:r>
        <w:rPr>
          <w:w w:val="105"/>
          <w:sz w:val="14"/>
        </w:rPr>
        <w:t>de</w:t>
      </w:r>
      <w:r>
        <w:rPr>
          <w:spacing w:val="-3"/>
          <w:w w:val="105"/>
          <w:sz w:val="14"/>
        </w:rPr>
        <w:t xml:space="preserve"> </w:t>
      </w:r>
      <w:r>
        <w:rPr>
          <w:w w:val="105"/>
          <w:sz w:val="14"/>
        </w:rPr>
        <w:t xml:space="preserve">terceros </w:t>
      </w:r>
      <w:r>
        <w:rPr>
          <w:spacing w:val="-2"/>
          <w:w w:val="105"/>
          <w:sz w:val="14"/>
        </w:rPr>
        <w:t>interesados.</w:t>
      </w:r>
    </w:p>
    <w:p w14:paraId="12A710E0" w14:textId="77777777" w:rsidR="0014798C" w:rsidRDefault="004E1F0B">
      <w:pPr>
        <w:pStyle w:val="Prrafodelista"/>
        <w:numPr>
          <w:ilvl w:val="0"/>
          <w:numId w:val="47"/>
        </w:numPr>
        <w:tabs>
          <w:tab w:val="left" w:pos="1449"/>
          <w:tab w:val="left" w:pos="1564"/>
        </w:tabs>
        <w:spacing w:before="114" w:line="372" w:lineRule="auto"/>
        <w:ind w:left="1564" w:right="1456" w:hanging="206"/>
        <w:rPr>
          <w:sz w:val="14"/>
        </w:rPr>
      </w:pPr>
      <w:r>
        <w:rPr>
          <w:w w:val="105"/>
          <w:sz w:val="14"/>
        </w:rPr>
        <w:t>La legislación contra la discriminación debería garantizar que, en procedimientos ante un tribunal u otra autoridad competente en los que</w:t>
      </w:r>
      <w:r>
        <w:rPr>
          <w:spacing w:val="-3"/>
          <w:w w:val="105"/>
          <w:sz w:val="14"/>
        </w:rPr>
        <w:t xml:space="preserve"> </w:t>
      </w:r>
      <w:r>
        <w:rPr>
          <w:w w:val="105"/>
          <w:sz w:val="14"/>
        </w:rPr>
        <w:t>un</w:t>
      </w:r>
      <w:r>
        <w:rPr>
          <w:spacing w:val="-3"/>
          <w:w w:val="105"/>
          <w:sz w:val="14"/>
        </w:rPr>
        <w:t xml:space="preserve"> </w:t>
      </w:r>
      <w:r>
        <w:rPr>
          <w:w w:val="105"/>
          <w:sz w:val="14"/>
        </w:rPr>
        <w:t>litigante</w:t>
      </w:r>
      <w:r>
        <w:rPr>
          <w:spacing w:val="-3"/>
          <w:w w:val="105"/>
          <w:sz w:val="14"/>
        </w:rPr>
        <w:t xml:space="preserve"> </w:t>
      </w:r>
      <w:r>
        <w:rPr>
          <w:w w:val="105"/>
          <w:sz w:val="14"/>
        </w:rPr>
        <w:t>proporcione</w:t>
      </w:r>
      <w:r>
        <w:rPr>
          <w:spacing w:val="-3"/>
          <w:w w:val="105"/>
          <w:sz w:val="14"/>
        </w:rPr>
        <w:t xml:space="preserve"> </w:t>
      </w:r>
      <w:r>
        <w:rPr>
          <w:w w:val="105"/>
          <w:sz w:val="14"/>
        </w:rPr>
        <w:t>hechos</w:t>
      </w:r>
      <w:r>
        <w:rPr>
          <w:spacing w:val="-3"/>
          <w:w w:val="105"/>
          <w:sz w:val="14"/>
        </w:rPr>
        <w:t xml:space="preserve"> </w:t>
      </w:r>
      <w:r>
        <w:rPr>
          <w:w w:val="105"/>
          <w:sz w:val="14"/>
        </w:rPr>
        <w:t>de</w:t>
      </w:r>
      <w:r>
        <w:rPr>
          <w:spacing w:val="-3"/>
          <w:w w:val="105"/>
          <w:sz w:val="14"/>
        </w:rPr>
        <w:t xml:space="preserve"> </w:t>
      </w:r>
      <w:r>
        <w:rPr>
          <w:w w:val="105"/>
          <w:sz w:val="14"/>
        </w:rPr>
        <w:t>los</w:t>
      </w:r>
      <w:r>
        <w:rPr>
          <w:spacing w:val="-3"/>
          <w:w w:val="105"/>
          <w:sz w:val="14"/>
        </w:rPr>
        <w:t xml:space="preserve"> </w:t>
      </w:r>
      <w:r>
        <w:rPr>
          <w:w w:val="105"/>
          <w:sz w:val="14"/>
        </w:rPr>
        <w:t>que</w:t>
      </w:r>
      <w:r>
        <w:rPr>
          <w:spacing w:val="-3"/>
          <w:w w:val="105"/>
          <w:sz w:val="14"/>
        </w:rPr>
        <w:t xml:space="preserve"> </w:t>
      </w:r>
      <w:r>
        <w:rPr>
          <w:w w:val="105"/>
          <w:sz w:val="14"/>
        </w:rPr>
        <w:t>se</w:t>
      </w:r>
      <w:r>
        <w:rPr>
          <w:spacing w:val="-3"/>
          <w:w w:val="105"/>
          <w:sz w:val="14"/>
        </w:rPr>
        <w:t xml:space="preserve"> </w:t>
      </w:r>
      <w:r>
        <w:rPr>
          <w:w w:val="105"/>
          <w:sz w:val="14"/>
        </w:rPr>
        <w:t>puede</w:t>
      </w:r>
      <w:r>
        <w:rPr>
          <w:spacing w:val="-3"/>
          <w:w w:val="105"/>
          <w:sz w:val="14"/>
        </w:rPr>
        <w:t xml:space="preserve"> </w:t>
      </w:r>
      <w:r>
        <w:rPr>
          <w:w w:val="105"/>
          <w:sz w:val="14"/>
        </w:rPr>
        <w:t>presumir</w:t>
      </w:r>
      <w:r>
        <w:rPr>
          <w:spacing w:val="-3"/>
          <w:w w:val="105"/>
          <w:sz w:val="14"/>
        </w:rPr>
        <w:t xml:space="preserve"> </w:t>
      </w:r>
      <w:r>
        <w:rPr>
          <w:w w:val="105"/>
          <w:sz w:val="14"/>
        </w:rPr>
        <w:t>que</w:t>
      </w:r>
      <w:r>
        <w:rPr>
          <w:spacing w:val="-3"/>
          <w:w w:val="105"/>
          <w:sz w:val="14"/>
        </w:rPr>
        <w:t xml:space="preserve"> </w:t>
      </w:r>
      <w:r>
        <w:rPr>
          <w:w w:val="105"/>
          <w:sz w:val="14"/>
        </w:rPr>
        <w:t>ha</w:t>
      </w:r>
      <w:r>
        <w:rPr>
          <w:spacing w:val="-3"/>
          <w:w w:val="105"/>
          <w:sz w:val="14"/>
        </w:rPr>
        <w:t xml:space="preserve"> </w:t>
      </w:r>
      <w:r>
        <w:rPr>
          <w:w w:val="105"/>
          <w:sz w:val="14"/>
        </w:rPr>
        <w:t>habido</w:t>
      </w:r>
      <w:r>
        <w:rPr>
          <w:spacing w:val="-3"/>
          <w:w w:val="105"/>
          <w:sz w:val="14"/>
        </w:rPr>
        <w:t xml:space="preserve"> </w:t>
      </w:r>
      <w:r>
        <w:rPr>
          <w:w w:val="105"/>
          <w:sz w:val="14"/>
        </w:rPr>
        <w:t>discriminación</w:t>
      </w:r>
      <w:r>
        <w:rPr>
          <w:spacing w:val="-3"/>
          <w:w w:val="105"/>
          <w:sz w:val="14"/>
        </w:rPr>
        <w:t xml:space="preserve"> </w:t>
      </w:r>
      <w:r>
        <w:rPr>
          <w:w w:val="105"/>
          <w:sz w:val="14"/>
        </w:rPr>
        <w:t>(un</w:t>
      </w:r>
      <w:r>
        <w:rPr>
          <w:spacing w:val="-3"/>
          <w:w w:val="105"/>
          <w:sz w:val="14"/>
        </w:rPr>
        <w:t xml:space="preserve"> </w:t>
      </w:r>
      <w:r>
        <w:rPr>
          <w:w w:val="105"/>
          <w:sz w:val="14"/>
        </w:rPr>
        <w:t>caso</w:t>
      </w:r>
      <w:r>
        <w:rPr>
          <w:spacing w:val="-3"/>
          <w:w w:val="105"/>
          <w:sz w:val="14"/>
        </w:rPr>
        <w:t xml:space="preserve"> </w:t>
      </w:r>
      <w:r>
        <w:rPr>
          <w:w w:val="105"/>
          <w:sz w:val="14"/>
        </w:rPr>
        <w:t>prima</w:t>
      </w:r>
      <w:r>
        <w:rPr>
          <w:spacing w:val="-3"/>
          <w:w w:val="105"/>
          <w:sz w:val="14"/>
        </w:rPr>
        <w:t xml:space="preserve"> </w:t>
      </w:r>
      <w:r>
        <w:rPr>
          <w:w w:val="105"/>
          <w:sz w:val="14"/>
        </w:rPr>
        <w:t>facie),</w:t>
      </w:r>
      <w:r>
        <w:rPr>
          <w:spacing w:val="-2"/>
          <w:w w:val="105"/>
          <w:sz w:val="14"/>
        </w:rPr>
        <w:t xml:space="preserve"> </w:t>
      </w:r>
      <w:r>
        <w:rPr>
          <w:w w:val="105"/>
          <w:sz w:val="14"/>
        </w:rPr>
        <w:t>corresponderá al demandado probar que no ha habido violación del derecho a la no discriminación.</w:t>
      </w:r>
    </w:p>
    <w:p w14:paraId="2E3F1EF8" w14:textId="77777777" w:rsidR="0014798C" w:rsidRDefault="0014798C">
      <w:pPr>
        <w:pStyle w:val="Textoindependiente"/>
        <w:rPr>
          <w:sz w:val="14"/>
        </w:rPr>
      </w:pPr>
    </w:p>
    <w:p w14:paraId="4693CF68" w14:textId="77777777" w:rsidR="0014798C" w:rsidRDefault="0014798C">
      <w:pPr>
        <w:pStyle w:val="Textoindependiente"/>
        <w:spacing w:before="42"/>
        <w:rPr>
          <w:sz w:val="14"/>
        </w:rPr>
      </w:pPr>
    </w:p>
    <w:p w14:paraId="2F88B547" w14:textId="77777777" w:rsidR="0014798C" w:rsidRDefault="004E1F0B">
      <w:pPr>
        <w:pStyle w:val="Prrafodelista"/>
        <w:numPr>
          <w:ilvl w:val="0"/>
          <w:numId w:val="47"/>
        </w:numPr>
        <w:tabs>
          <w:tab w:val="left" w:pos="1448"/>
          <w:tab w:val="left" w:pos="1560"/>
        </w:tabs>
        <w:spacing w:line="309" w:lineRule="auto"/>
        <w:ind w:left="1560" w:right="2934" w:hanging="203"/>
        <w:rPr>
          <w:sz w:val="14"/>
        </w:rPr>
      </w:pPr>
      <w:r>
        <w:rPr>
          <w:w w:val="105"/>
          <w:sz w:val="14"/>
        </w:rPr>
        <w:t>La</w:t>
      </w:r>
      <w:r>
        <w:rPr>
          <w:spacing w:val="-4"/>
          <w:w w:val="105"/>
          <w:sz w:val="14"/>
        </w:rPr>
        <w:t xml:space="preserve"> </w:t>
      </w:r>
      <w:r>
        <w:rPr>
          <w:w w:val="105"/>
          <w:sz w:val="14"/>
        </w:rPr>
        <w:t>legislación</w:t>
      </w:r>
      <w:r>
        <w:rPr>
          <w:spacing w:val="-4"/>
          <w:w w:val="105"/>
          <w:sz w:val="14"/>
        </w:rPr>
        <w:t xml:space="preserve"> </w:t>
      </w:r>
      <w:r>
        <w:rPr>
          <w:w w:val="105"/>
          <w:sz w:val="14"/>
        </w:rPr>
        <w:t>contra</w:t>
      </w:r>
      <w:r>
        <w:rPr>
          <w:spacing w:val="-4"/>
          <w:w w:val="105"/>
          <w:sz w:val="14"/>
        </w:rPr>
        <w:t xml:space="preserve"> </w:t>
      </w:r>
      <w:r>
        <w:rPr>
          <w:w w:val="105"/>
          <w:sz w:val="14"/>
        </w:rPr>
        <w:t>la</w:t>
      </w:r>
      <w:r>
        <w:rPr>
          <w:spacing w:val="-4"/>
          <w:w w:val="105"/>
          <w:sz w:val="14"/>
        </w:rPr>
        <w:t xml:space="preserve"> </w:t>
      </w:r>
      <w:r>
        <w:rPr>
          <w:w w:val="105"/>
          <w:sz w:val="14"/>
        </w:rPr>
        <w:t>discriminación</w:t>
      </w:r>
      <w:r>
        <w:rPr>
          <w:spacing w:val="-4"/>
          <w:w w:val="105"/>
          <w:sz w:val="14"/>
        </w:rPr>
        <w:t xml:space="preserve"> </w:t>
      </w:r>
      <w:r>
        <w:rPr>
          <w:w w:val="105"/>
          <w:sz w:val="14"/>
        </w:rPr>
        <w:t>debe</w:t>
      </w:r>
      <w:r>
        <w:rPr>
          <w:spacing w:val="-4"/>
          <w:w w:val="105"/>
          <w:sz w:val="14"/>
        </w:rPr>
        <w:t xml:space="preserve"> </w:t>
      </w:r>
      <w:r>
        <w:rPr>
          <w:w w:val="105"/>
          <w:sz w:val="14"/>
        </w:rPr>
        <w:t>garantizar</w:t>
      </w:r>
      <w:r>
        <w:rPr>
          <w:spacing w:val="-4"/>
          <w:w w:val="105"/>
          <w:sz w:val="14"/>
        </w:rPr>
        <w:t xml:space="preserve"> </w:t>
      </w:r>
      <w:r>
        <w:rPr>
          <w:w w:val="105"/>
          <w:sz w:val="14"/>
        </w:rPr>
        <w:t>que</w:t>
      </w:r>
      <w:r>
        <w:rPr>
          <w:spacing w:val="-4"/>
          <w:w w:val="105"/>
          <w:sz w:val="14"/>
        </w:rPr>
        <w:t xml:space="preserve"> </w:t>
      </w:r>
      <w:r>
        <w:rPr>
          <w:w w:val="105"/>
          <w:sz w:val="14"/>
        </w:rPr>
        <w:t>no</w:t>
      </w:r>
      <w:r>
        <w:rPr>
          <w:spacing w:val="-4"/>
          <w:w w:val="105"/>
          <w:sz w:val="14"/>
        </w:rPr>
        <w:t xml:space="preserve"> </w:t>
      </w:r>
      <w:r>
        <w:rPr>
          <w:w w:val="105"/>
          <w:sz w:val="14"/>
        </w:rPr>
        <w:t>existan</w:t>
      </w:r>
      <w:r>
        <w:rPr>
          <w:spacing w:val="-4"/>
          <w:w w:val="105"/>
          <w:sz w:val="14"/>
        </w:rPr>
        <w:t xml:space="preserve"> </w:t>
      </w:r>
      <w:r>
        <w:rPr>
          <w:w w:val="105"/>
          <w:sz w:val="14"/>
        </w:rPr>
        <w:t>barreras</w:t>
      </w:r>
      <w:r>
        <w:rPr>
          <w:spacing w:val="-4"/>
          <w:w w:val="105"/>
          <w:sz w:val="14"/>
        </w:rPr>
        <w:t xml:space="preserve"> </w:t>
      </w:r>
      <w:r>
        <w:rPr>
          <w:w w:val="105"/>
          <w:sz w:val="14"/>
        </w:rPr>
        <w:t>a</w:t>
      </w:r>
      <w:r>
        <w:rPr>
          <w:spacing w:val="-4"/>
          <w:w w:val="105"/>
          <w:sz w:val="14"/>
        </w:rPr>
        <w:t xml:space="preserve"> </w:t>
      </w:r>
      <w:r>
        <w:rPr>
          <w:w w:val="105"/>
          <w:sz w:val="14"/>
        </w:rPr>
        <w:t>la</w:t>
      </w:r>
      <w:r>
        <w:rPr>
          <w:spacing w:val="-4"/>
          <w:w w:val="105"/>
          <w:sz w:val="14"/>
        </w:rPr>
        <w:t xml:space="preserve"> </w:t>
      </w:r>
      <w:r>
        <w:rPr>
          <w:w w:val="105"/>
          <w:sz w:val="14"/>
        </w:rPr>
        <w:t>admisibilidad</w:t>
      </w:r>
      <w:r>
        <w:rPr>
          <w:spacing w:val="-4"/>
          <w:w w:val="105"/>
          <w:sz w:val="14"/>
        </w:rPr>
        <w:t xml:space="preserve"> </w:t>
      </w:r>
      <w:r>
        <w:rPr>
          <w:w w:val="105"/>
          <w:sz w:val="14"/>
        </w:rPr>
        <w:t>de</w:t>
      </w:r>
      <w:r>
        <w:rPr>
          <w:spacing w:val="-4"/>
          <w:w w:val="105"/>
          <w:sz w:val="14"/>
        </w:rPr>
        <w:t xml:space="preserve"> </w:t>
      </w:r>
      <w:r>
        <w:rPr>
          <w:w w:val="105"/>
          <w:sz w:val="14"/>
        </w:rPr>
        <w:t>las</w:t>
      </w:r>
      <w:r>
        <w:rPr>
          <w:spacing w:val="-4"/>
          <w:w w:val="105"/>
          <w:sz w:val="14"/>
        </w:rPr>
        <w:t xml:space="preserve"> </w:t>
      </w:r>
      <w:r>
        <w:rPr>
          <w:w w:val="105"/>
          <w:sz w:val="14"/>
        </w:rPr>
        <w:t>pruebas. que podría establecer discriminación.</w:t>
      </w:r>
    </w:p>
    <w:p w14:paraId="2A9F3F3C" w14:textId="77777777" w:rsidR="0014798C" w:rsidRDefault="0014798C">
      <w:pPr>
        <w:pStyle w:val="Textoindependiente"/>
        <w:spacing w:before="36"/>
        <w:rPr>
          <w:sz w:val="14"/>
        </w:rPr>
      </w:pPr>
    </w:p>
    <w:p w14:paraId="3A499D7D" w14:textId="77777777" w:rsidR="0014798C" w:rsidRDefault="004E1F0B">
      <w:pPr>
        <w:pStyle w:val="Prrafodelista"/>
        <w:numPr>
          <w:ilvl w:val="0"/>
          <w:numId w:val="47"/>
        </w:numPr>
        <w:tabs>
          <w:tab w:val="left" w:pos="1448"/>
          <w:tab w:val="left" w:pos="1560"/>
        </w:tabs>
        <w:spacing w:line="372" w:lineRule="auto"/>
        <w:ind w:left="1560" w:right="1340" w:hanging="203"/>
        <w:rPr>
          <w:sz w:val="14"/>
        </w:rPr>
      </w:pPr>
      <w:r>
        <w:rPr>
          <w:w w:val="105"/>
          <w:sz w:val="14"/>
        </w:rPr>
        <w:t>Los Estados deben garantizar que las personas puedan presentar denuncias de discriminación ante los órganos de tratados de las Naciones Unidas ratificando los protocolos facultativos pertinentes y haciendo las declaraciones necesarias en virtud de los instrumentos internacionales de derechos humanos pertinentes. Los Estados deben garantizar que la legislación contra la discriminación</w:t>
      </w:r>
      <w:r>
        <w:rPr>
          <w:spacing w:val="-4"/>
          <w:w w:val="105"/>
          <w:sz w:val="14"/>
        </w:rPr>
        <w:t xml:space="preserve"> </w:t>
      </w:r>
      <w:r>
        <w:rPr>
          <w:w w:val="105"/>
          <w:sz w:val="14"/>
        </w:rPr>
        <w:t>identifique</w:t>
      </w:r>
      <w:r>
        <w:rPr>
          <w:spacing w:val="-4"/>
          <w:w w:val="105"/>
          <w:sz w:val="14"/>
        </w:rPr>
        <w:t xml:space="preserve"> </w:t>
      </w:r>
      <w:r>
        <w:rPr>
          <w:w w:val="105"/>
          <w:sz w:val="14"/>
        </w:rPr>
        <w:t>las</w:t>
      </w:r>
      <w:r>
        <w:rPr>
          <w:spacing w:val="-4"/>
          <w:w w:val="105"/>
          <w:sz w:val="14"/>
        </w:rPr>
        <w:t xml:space="preserve"> </w:t>
      </w:r>
      <w:r>
        <w:rPr>
          <w:w w:val="105"/>
          <w:sz w:val="14"/>
        </w:rPr>
        <w:t>quejas</w:t>
      </w:r>
      <w:r>
        <w:rPr>
          <w:spacing w:val="-4"/>
          <w:w w:val="105"/>
          <w:sz w:val="14"/>
        </w:rPr>
        <w:t xml:space="preserve"> </w:t>
      </w:r>
      <w:r>
        <w:rPr>
          <w:w w:val="105"/>
          <w:sz w:val="14"/>
        </w:rPr>
        <w:t>ante</w:t>
      </w:r>
      <w:r>
        <w:rPr>
          <w:spacing w:val="-4"/>
          <w:w w:val="105"/>
          <w:sz w:val="14"/>
        </w:rPr>
        <w:t xml:space="preserve"> </w:t>
      </w:r>
      <w:r>
        <w:rPr>
          <w:w w:val="105"/>
          <w:sz w:val="14"/>
        </w:rPr>
        <w:t>los</w:t>
      </w:r>
      <w:r>
        <w:rPr>
          <w:spacing w:val="-4"/>
          <w:w w:val="105"/>
          <w:sz w:val="14"/>
        </w:rPr>
        <w:t xml:space="preserve"> </w:t>
      </w:r>
      <w:r>
        <w:rPr>
          <w:w w:val="105"/>
          <w:sz w:val="14"/>
        </w:rPr>
        <w:t>órganos</w:t>
      </w:r>
      <w:r>
        <w:rPr>
          <w:spacing w:val="-4"/>
          <w:w w:val="105"/>
          <w:sz w:val="14"/>
        </w:rPr>
        <w:t xml:space="preserve"> </w:t>
      </w:r>
      <w:r>
        <w:rPr>
          <w:w w:val="105"/>
          <w:sz w:val="14"/>
        </w:rPr>
        <w:t>creados</w:t>
      </w:r>
      <w:r>
        <w:rPr>
          <w:spacing w:val="-4"/>
          <w:w w:val="105"/>
          <w:sz w:val="14"/>
        </w:rPr>
        <w:t xml:space="preserve"> </w:t>
      </w:r>
      <w:r>
        <w:rPr>
          <w:w w:val="105"/>
          <w:sz w:val="14"/>
        </w:rPr>
        <w:t>en</w:t>
      </w:r>
      <w:r>
        <w:rPr>
          <w:spacing w:val="-4"/>
          <w:w w:val="105"/>
          <w:sz w:val="14"/>
        </w:rPr>
        <w:t xml:space="preserve"> </w:t>
      </w:r>
      <w:r>
        <w:rPr>
          <w:w w:val="105"/>
          <w:sz w:val="14"/>
        </w:rPr>
        <w:t>virtud</w:t>
      </w:r>
      <w:r>
        <w:rPr>
          <w:spacing w:val="-4"/>
          <w:w w:val="105"/>
          <w:sz w:val="14"/>
        </w:rPr>
        <w:t xml:space="preserve"> </w:t>
      </w:r>
      <w:r>
        <w:rPr>
          <w:w w:val="105"/>
          <w:sz w:val="14"/>
        </w:rPr>
        <w:t>de</w:t>
      </w:r>
      <w:r>
        <w:rPr>
          <w:spacing w:val="-4"/>
          <w:w w:val="105"/>
          <w:sz w:val="14"/>
        </w:rPr>
        <w:t xml:space="preserve"> </w:t>
      </w:r>
      <w:r>
        <w:rPr>
          <w:w w:val="105"/>
          <w:sz w:val="14"/>
        </w:rPr>
        <w:t>tratados</w:t>
      </w:r>
      <w:r>
        <w:rPr>
          <w:spacing w:val="-4"/>
          <w:w w:val="105"/>
          <w:sz w:val="14"/>
        </w:rPr>
        <w:t xml:space="preserve"> </w:t>
      </w:r>
      <w:r>
        <w:rPr>
          <w:w w:val="105"/>
          <w:sz w:val="14"/>
        </w:rPr>
        <w:t>como</w:t>
      </w:r>
      <w:r>
        <w:rPr>
          <w:spacing w:val="-4"/>
          <w:w w:val="105"/>
          <w:sz w:val="14"/>
        </w:rPr>
        <w:t xml:space="preserve"> </w:t>
      </w:r>
      <w:r>
        <w:rPr>
          <w:w w:val="105"/>
          <w:sz w:val="14"/>
        </w:rPr>
        <w:t>un</w:t>
      </w:r>
      <w:r>
        <w:rPr>
          <w:spacing w:val="-4"/>
          <w:w w:val="105"/>
          <w:sz w:val="14"/>
        </w:rPr>
        <w:t xml:space="preserve"> </w:t>
      </w:r>
      <w:r>
        <w:rPr>
          <w:w w:val="105"/>
          <w:sz w:val="14"/>
        </w:rPr>
        <w:t>medio</w:t>
      </w:r>
      <w:r>
        <w:rPr>
          <w:spacing w:val="-4"/>
          <w:w w:val="105"/>
          <w:sz w:val="14"/>
        </w:rPr>
        <w:t xml:space="preserve"> </w:t>
      </w:r>
      <w:r>
        <w:rPr>
          <w:w w:val="105"/>
          <w:sz w:val="14"/>
        </w:rPr>
        <w:t>específico</w:t>
      </w:r>
      <w:r>
        <w:rPr>
          <w:spacing w:val="-4"/>
          <w:w w:val="105"/>
          <w:sz w:val="14"/>
        </w:rPr>
        <w:t xml:space="preserve"> </w:t>
      </w:r>
      <w:r>
        <w:rPr>
          <w:w w:val="105"/>
          <w:sz w:val="14"/>
        </w:rPr>
        <w:t>para</w:t>
      </w:r>
      <w:r>
        <w:rPr>
          <w:spacing w:val="-4"/>
          <w:w w:val="105"/>
          <w:sz w:val="14"/>
        </w:rPr>
        <w:t xml:space="preserve"> </w:t>
      </w:r>
      <w:r>
        <w:rPr>
          <w:w w:val="105"/>
          <w:sz w:val="14"/>
        </w:rPr>
        <w:t>obtener</w:t>
      </w:r>
      <w:r>
        <w:rPr>
          <w:spacing w:val="-4"/>
          <w:w w:val="105"/>
          <w:sz w:val="14"/>
        </w:rPr>
        <w:t xml:space="preserve"> </w:t>
      </w:r>
      <w:r>
        <w:rPr>
          <w:w w:val="105"/>
          <w:sz w:val="14"/>
        </w:rPr>
        <w:t>reparación.</w:t>
      </w:r>
    </w:p>
    <w:p w14:paraId="352BA332" w14:textId="77777777" w:rsidR="0014798C" w:rsidRDefault="0014798C">
      <w:pPr>
        <w:pStyle w:val="Textoindependiente"/>
        <w:rPr>
          <w:sz w:val="14"/>
        </w:rPr>
      </w:pPr>
    </w:p>
    <w:p w14:paraId="66208662" w14:textId="77777777" w:rsidR="0014798C" w:rsidRDefault="0014798C">
      <w:pPr>
        <w:pStyle w:val="Textoindependiente"/>
        <w:rPr>
          <w:sz w:val="14"/>
        </w:rPr>
      </w:pPr>
    </w:p>
    <w:p w14:paraId="08D059E9" w14:textId="77777777" w:rsidR="0014798C" w:rsidRDefault="0014798C">
      <w:pPr>
        <w:pStyle w:val="Textoindependiente"/>
        <w:spacing w:before="28"/>
        <w:rPr>
          <w:sz w:val="14"/>
        </w:rPr>
      </w:pPr>
    </w:p>
    <w:p w14:paraId="3C16003C" w14:textId="77777777" w:rsidR="0014798C" w:rsidRDefault="004E1F0B">
      <w:pPr>
        <w:spacing w:line="372" w:lineRule="auto"/>
        <w:ind w:left="1110" w:right="1210" w:hanging="1"/>
        <w:rPr>
          <w:sz w:val="14"/>
        </w:rPr>
      </w:pPr>
      <w:r>
        <w:rPr>
          <w:w w:val="105"/>
          <w:sz w:val="14"/>
        </w:rPr>
        <w:t>Para que los derechos a la igualdad y la no discriminación sean efectivos, deben hacerse cumplir. Esto requiere la adopción de una amplia gama de medidas jurídicas y prácticas diseñadas para garantizar y eliminar los obstáculos a la justicia y permitir a las víctimas obtener reparación.</w:t>
      </w:r>
      <w:r>
        <w:rPr>
          <w:spacing w:val="-3"/>
          <w:w w:val="105"/>
          <w:sz w:val="14"/>
        </w:rPr>
        <w:t xml:space="preserve"> </w:t>
      </w:r>
      <w:r>
        <w:rPr>
          <w:w w:val="105"/>
          <w:sz w:val="14"/>
        </w:rPr>
        <w:t>Si</w:t>
      </w:r>
      <w:r>
        <w:rPr>
          <w:spacing w:val="-4"/>
          <w:w w:val="105"/>
          <w:sz w:val="14"/>
        </w:rPr>
        <w:t xml:space="preserve"> </w:t>
      </w:r>
      <w:r>
        <w:rPr>
          <w:w w:val="105"/>
          <w:sz w:val="14"/>
        </w:rPr>
        <w:t>bien</w:t>
      </w:r>
      <w:r>
        <w:rPr>
          <w:spacing w:val="-4"/>
          <w:w w:val="105"/>
          <w:sz w:val="14"/>
        </w:rPr>
        <w:t xml:space="preserve"> </w:t>
      </w:r>
      <w:r>
        <w:rPr>
          <w:w w:val="105"/>
          <w:sz w:val="14"/>
        </w:rPr>
        <w:t>estas</w:t>
      </w:r>
      <w:r>
        <w:rPr>
          <w:spacing w:val="-4"/>
          <w:w w:val="105"/>
          <w:sz w:val="14"/>
        </w:rPr>
        <w:t xml:space="preserve"> </w:t>
      </w:r>
      <w:r>
        <w:rPr>
          <w:w w:val="105"/>
          <w:sz w:val="14"/>
        </w:rPr>
        <w:t>medidas</w:t>
      </w:r>
      <w:r>
        <w:rPr>
          <w:spacing w:val="-4"/>
          <w:w w:val="105"/>
          <w:sz w:val="14"/>
        </w:rPr>
        <w:t xml:space="preserve"> </w:t>
      </w:r>
      <w:r>
        <w:rPr>
          <w:w w:val="105"/>
          <w:sz w:val="14"/>
        </w:rPr>
        <w:t>pueden</w:t>
      </w:r>
      <w:r>
        <w:rPr>
          <w:spacing w:val="-4"/>
          <w:w w:val="105"/>
          <w:sz w:val="14"/>
        </w:rPr>
        <w:t xml:space="preserve"> </w:t>
      </w:r>
      <w:r>
        <w:rPr>
          <w:w w:val="105"/>
          <w:sz w:val="14"/>
        </w:rPr>
        <w:t>detallarse</w:t>
      </w:r>
      <w:r>
        <w:rPr>
          <w:spacing w:val="-4"/>
          <w:w w:val="105"/>
          <w:sz w:val="14"/>
        </w:rPr>
        <w:t xml:space="preserve"> </w:t>
      </w:r>
      <w:r>
        <w:rPr>
          <w:w w:val="105"/>
          <w:sz w:val="14"/>
        </w:rPr>
        <w:t>en</w:t>
      </w:r>
      <w:r>
        <w:rPr>
          <w:spacing w:val="-4"/>
          <w:w w:val="105"/>
          <w:sz w:val="14"/>
        </w:rPr>
        <w:t xml:space="preserve"> </w:t>
      </w:r>
      <w:r>
        <w:rPr>
          <w:w w:val="105"/>
          <w:sz w:val="14"/>
        </w:rPr>
        <w:t>leyes,</w:t>
      </w:r>
      <w:r>
        <w:rPr>
          <w:spacing w:val="-3"/>
          <w:w w:val="105"/>
          <w:sz w:val="14"/>
        </w:rPr>
        <w:t xml:space="preserve"> </w:t>
      </w:r>
      <w:r>
        <w:rPr>
          <w:w w:val="105"/>
          <w:sz w:val="14"/>
        </w:rPr>
        <w:t>políticas,</w:t>
      </w:r>
      <w:r>
        <w:rPr>
          <w:spacing w:val="-3"/>
          <w:w w:val="105"/>
          <w:sz w:val="14"/>
        </w:rPr>
        <w:t xml:space="preserve"> </w:t>
      </w:r>
      <w:r>
        <w:rPr>
          <w:w w:val="105"/>
          <w:sz w:val="14"/>
        </w:rPr>
        <w:t>instituciones</w:t>
      </w:r>
      <w:r>
        <w:rPr>
          <w:spacing w:val="-4"/>
          <w:w w:val="105"/>
          <w:sz w:val="14"/>
        </w:rPr>
        <w:t xml:space="preserve"> </w:t>
      </w:r>
      <w:r>
        <w:rPr>
          <w:w w:val="105"/>
          <w:sz w:val="14"/>
        </w:rPr>
        <w:t>o</w:t>
      </w:r>
      <w:r>
        <w:rPr>
          <w:spacing w:val="-4"/>
          <w:w w:val="105"/>
          <w:sz w:val="14"/>
        </w:rPr>
        <w:t xml:space="preserve"> </w:t>
      </w:r>
      <w:r>
        <w:rPr>
          <w:w w:val="105"/>
          <w:sz w:val="14"/>
        </w:rPr>
        <w:t>estructuras</w:t>
      </w:r>
      <w:r>
        <w:rPr>
          <w:spacing w:val="-4"/>
          <w:w w:val="105"/>
          <w:sz w:val="14"/>
        </w:rPr>
        <w:t xml:space="preserve"> </w:t>
      </w:r>
      <w:r>
        <w:rPr>
          <w:w w:val="105"/>
          <w:sz w:val="14"/>
        </w:rPr>
        <w:t>independientes,</w:t>
      </w:r>
      <w:r>
        <w:rPr>
          <w:spacing w:val="-3"/>
          <w:w w:val="105"/>
          <w:sz w:val="14"/>
        </w:rPr>
        <w:t xml:space="preserve"> </w:t>
      </w:r>
      <w:r>
        <w:rPr>
          <w:w w:val="105"/>
          <w:sz w:val="14"/>
        </w:rPr>
        <w:t>la</w:t>
      </w:r>
      <w:r>
        <w:rPr>
          <w:spacing w:val="-4"/>
          <w:w w:val="105"/>
          <w:sz w:val="14"/>
        </w:rPr>
        <w:t xml:space="preserve"> </w:t>
      </w:r>
      <w:r>
        <w:rPr>
          <w:w w:val="105"/>
          <w:sz w:val="14"/>
        </w:rPr>
        <w:t>eficacia</w:t>
      </w:r>
      <w:r>
        <w:rPr>
          <w:spacing w:val="-4"/>
          <w:w w:val="105"/>
          <w:sz w:val="14"/>
        </w:rPr>
        <w:t xml:space="preserve"> </w:t>
      </w:r>
      <w:r>
        <w:rPr>
          <w:w w:val="105"/>
          <w:sz w:val="14"/>
        </w:rPr>
        <w:t>de</w:t>
      </w:r>
      <w:r>
        <w:rPr>
          <w:spacing w:val="-4"/>
          <w:w w:val="105"/>
          <w:sz w:val="14"/>
        </w:rPr>
        <w:t xml:space="preserve"> </w:t>
      </w:r>
      <w:r>
        <w:rPr>
          <w:w w:val="105"/>
          <w:sz w:val="14"/>
        </w:rPr>
        <w:t>una</w:t>
      </w:r>
      <w:r>
        <w:rPr>
          <w:spacing w:val="-4"/>
          <w:w w:val="105"/>
          <w:sz w:val="14"/>
        </w:rPr>
        <w:t xml:space="preserve"> </w:t>
      </w:r>
      <w:r>
        <w:rPr>
          <w:w w:val="105"/>
          <w:sz w:val="14"/>
        </w:rPr>
        <w:t>legislación integral contra la discriminación depende de su aplicación y, como tal, las normas necesarias deben estar codificadas en la ley, ya sea en dichas leyes o en leyes separadas. leyes.</w:t>
      </w:r>
    </w:p>
    <w:p w14:paraId="3313C74D" w14:textId="77777777" w:rsidR="0014798C" w:rsidRDefault="0014798C">
      <w:pPr>
        <w:pStyle w:val="Textoindependiente"/>
        <w:spacing w:before="10"/>
        <w:rPr>
          <w:sz w:val="14"/>
        </w:rPr>
      </w:pPr>
    </w:p>
    <w:p w14:paraId="18D1B615" w14:textId="77777777" w:rsidR="0014798C" w:rsidRDefault="004E1F0B">
      <w:pPr>
        <w:spacing w:line="372" w:lineRule="auto"/>
        <w:ind w:left="1105" w:right="1272"/>
        <w:rPr>
          <w:sz w:val="14"/>
        </w:rPr>
      </w:pPr>
      <w:r>
        <w:rPr>
          <w:w w:val="105"/>
          <w:sz w:val="14"/>
        </w:rPr>
        <w:t>Esta parte de la presente guía examina los requisitos de aplicación y acceso a la justicia en los casos en los que se alega que se han violado los derechos a la igualdad o a la no discriminación. Como parte de un sistema de aplicación eficaz, se deben implementar medidas prácticas para</w:t>
      </w:r>
      <w:r>
        <w:rPr>
          <w:spacing w:val="-2"/>
          <w:w w:val="105"/>
          <w:sz w:val="14"/>
        </w:rPr>
        <w:t xml:space="preserve"> </w:t>
      </w:r>
      <w:r>
        <w:rPr>
          <w:w w:val="105"/>
          <w:sz w:val="14"/>
        </w:rPr>
        <w:t>garantizar</w:t>
      </w:r>
      <w:r>
        <w:rPr>
          <w:spacing w:val="-2"/>
          <w:w w:val="105"/>
          <w:sz w:val="14"/>
        </w:rPr>
        <w:t xml:space="preserve"> </w:t>
      </w:r>
      <w:r>
        <w:rPr>
          <w:w w:val="105"/>
          <w:sz w:val="14"/>
        </w:rPr>
        <w:t>la</w:t>
      </w:r>
      <w:r>
        <w:rPr>
          <w:spacing w:val="-2"/>
          <w:w w:val="105"/>
          <w:sz w:val="14"/>
        </w:rPr>
        <w:t xml:space="preserve"> </w:t>
      </w:r>
      <w:r>
        <w:rPr>
          <w:w w:val="105"/>
          <w:sz w:val="14"/>
        </w:rPr>
        <w:t>accesibilidad,</w:t>
      </w:r>
      <w:r>
        <w:rPr>
          <w:spacing w:val="-1"/>
          <w:w w:val="105"/>
          <w:sz w:val="14"/>
        </w:rPr>
        <w:t xml:space="preserve"> </w:t>
      </w:r>
      <w:r>
        <w:rPr>
          <w:w w:val="105"/>
          <w:sz w:val="14"/>
        </w:rPr>
        <w:t xml:space="preserve">disponibilidad, </w:t>
      </w:r>
      <w:proofErr w:type="spellStart"/>
      <w:r>
        <w:rPr>
          <w:w w:val="105"/>
          <w:sz w:val="14"/>
        </w:rPr>
        <w:t>justiciabilidad</w:t>
      </w:r>
      <w:proofErr w:type="spellEnd"/>
      <w:r>
        <w:rPr>
          <w:spacing w:val="-2"/>
          <w:w w:val="105"/>
          <w:sz w:val="14"/>
        </w:rPr>
        <w:t xml:space="preserve"> </w:t>
      </w:r>
      <w:r>
        <w:rPr>
          <w:w w:val="105"/>
          <w:sz w:val="14"/>
        </w:rPr>
        <w:t>y</w:t>
      </w:r>
      <w:r>
        <w:rPr>
          <w:spacing w:val="-2"/>
          <w:w w:val="105"/>
          <w:sz w:val="14"/>
        </w:rPr>
        <w:t xml:space="preserve"> </w:t>
      </w:r>
      <w:r>
        <w:rPr>
          <w:w w:val="105"/>
          <w:sz w:val="14"/>
        </w:rPr>
        <w:t>calidad</w:t>
      </w:r>
      <w:r>
        <w:rPr>
          <w:spacing w:val="-2"/>
          <w:w w:val="105"/>
          <w:sz w:val="14"/>
        </w:rPr>
        <w:t xml:space="preserve"> </w:t>
      </w:r>
      <w:r>
        <w:rPr>
          <w:w w:val="105"/>
          <w:sz w:val="14"/>
        </w:rPr>
        <w:t>de</w:t>
      </w:r>
      <w:r>
        <w:rPr>
          <w:spacing w:val="-2"/>
          <w:w w:val="105"/>
          <w:sz w:val="14"/>
        </w:rPr>
        <w:t xml:space="preserve"> </w:t>
      </w:r>
      <w:r>
        <w:rPr>
          <w:w w:val="105"/>
          <w:sz w:val="14"/>
        </w:rPr>
        <w:t>la</w:t>
      </w:r>
      <w:r>
        <w:rPr>
          <w:spacing w:val="-2"/>
          <w:w w:val="105"/>
          <w:sz w:val="14"/>
        </w:rPr>
        <w:t xml:space="preserve"> </w:t>
      </w:r>
      <w:r>
        <w:rPr>
          <w:w w:val="105"/>
          <w:sz w:val="14"/>
        </w:rPr>
        <w:t>justicia</w:t>
      </w:r>
      <w:r>
        <w:rPr>
          <w:spacing w:val="-2"/>
          <w:w w:val="105"/>
          <w:sz w:val="14"/>
        </w:rPr>
        <w:t xml:space="preserve"> </w:t>
      </w:r>
      <w:r>
        <w:rPr>
          <w:w w:val="105"/>
          <w:sz w:val="14"/>
        </w:rPr>
        <w:t>para</w:t>
      </w:r>
      <w:r>
        <w:rPr>
          <w:spacing w:val="-2"/>
          <w:w w:val="105"/>
          <w:sz w:val="14"/>
        </w:rPr>
        <w:t xml:space="preserve"> </w:t>
      </w:r>
      <w:r>
        <w:rPr>
          <w:w w:val="105"/>
          <w:sz w:val="14"/>
        </w:rPr>
        <w:t>los</w:t>
      </w:r>
      <w:r>
        <w:rPr>
          <w:spacing w:val="-2"/>
          <w:w w:val="105"/>
          <w:sz w:val="14"/>
        </w:rPr>
        <w:t xml:space="preserve"> </w:t>
      </w:r>
      <w:r>
        <w:rPr>
          <w:w w:val="105"/>
          <w:sz w:val="14"/>
        </w:rPr>
        <w:t>sobrevivientes</w:t>
      </w:r>
      <w:r>
        <w:rPr>
          <w:spacing w:val="-2"/>
          <w:w w:val="105"/>
          <w:sz w:val="14"/>
        </w:rPr>
        <w:t xml:space="preserve"> </w:t>
      </w:r>
      <w:r>
        <w:rPr>
          <w:w w:val="105"/>
          <w:sz w:val="14"/>
        </w:rPr>
        <w:t>de</w:t>
      </w:r>
      <w:r>
        <w:rPr>
          <w:spacing w:val="-2"/>
          <w:w w:val="105"/>
          <w:sz w:val="14"/>
        </w:rPr>
        <w:t xml:space="preserve"> </w:t>
      </w:r>
      <w:r>
        <w:rPr>
          <w:w w:val="105"/>
          <w:sz w:val="14"/>
        </w:rPr>
        <w:t>la</w:t>
      </w:r>
      <w:r>
        <w:rPr>
          <w:spacing w:val="-2"/>
          <w:w w:val="105"/>
          <w:sz w:val="14"/>
        </w:rPr>
        <w:t xml:space="preserve"> </w:t>
      </w:r>
      <w:r>
        <w:rPr>
          <w:w w:val="105"/>
          <w:sz w:val="14"/>
        </w:rPr>
        <w:t>discriminación</w:t>
      </w:r>
      <w:r>
        <w:rPr>
          <w:spacing w:val="-2"/>
          <w:w w:val="105"/>
          <w:sz w:val="14"/>
        </w:rPr>
        <w:t xml:space="preserve"> </w:t>
      </w:r>
      <w:r>
        <w:rPr>
          <w:w w:val="105"/>
          <w:sz w:val="14"/>
        </w:rPr>
        <w:t>y</w:t>
      </w:r>
      <w:r>
        <w:rPr>
          <w:spacing w:val="-2"/>
          <w:w w:val="105"/>
          <w:sz w:val="14"/>
        </w:rPr>
        <w:t xml:space="preserve"> </w:t>
      </w:r>
      <w:r>
        <w:rPr>
          <w:w w:val="105"/>
          <w:sz w:val="14"/>
        </w:rPr>
        <w:t>asegurar</w:t>
      </w:r>
      <w:r>
        <w:rPr>
          <w:spacing w:val="-2"/>
          <w:w w:val="105"/>
          <w:sz w:val="14"/>
        </w:rPr>
        <w:t xml:space="preserve"> </w:t>
      </w:r>
      <w:r>
        <w:rPr>
          <w:w w:val="105"/>
          <w:sz w:val="14"/>
        </w:rPr>
        <w:t>su participación</w:t>
      </w:r>
      <w:r>
        <w:rPr>
          <w:spacing w:val="-3"/>
          <w:w w:val="105"/>
          <w:sz w:val="14"/>
        </w:rPr>
        <w:t xml:space="preserve"> </w:t>
      </w:r>
      <w:r>
        <w:rPr>
          <w:w w:val="105"/>
          <w:sz w:val="14"/>
        </w:rPr>
        <w:t>plena</w:t>
      </w:r>
      <w:r>
        <w:rPr>
          <w:spacing w:val="-3"/>
          <w:w w:val="105"/>
          <w:sz w:val="14"/>
        </w:rPr>
        <w:t xml:space="preserve"> </w:t>
      </w:r>
      <w:r>
        <w:rPr>
          <w:w w:val="105"/>
          <w:sz w:val="14"/>
        </w:rPr>
        <w:t>y</w:t>
      </w:r>
      <w:r>
        <w:rPr>
          <w:spacing w:val="-3"/>
          <w:w w:val="105"/>
          <w:sz w:val="14"/>
        </w:rPr>
        <w:t xml:space="preserve"> </w:t>
      </w:r>
      <w:r>
        <w:rPr>
          <w:w w:val="105"/>
          <w:sz w:val="14"/>
        </w:rPr>
        <w:t>activa</w:t>
      </w:r>
      <w:r>
        <w:rPr>
          <w:spacing w:val="-3"/>
          <w:w w:val="105"/>
          <w:sz w:val="14"/>
        </w:rPr>
        <w:t xml:space="preserve"> </w:t>
      </w:r>
      <w:r>
        <w:rPr>
          <w:w w:val="105"/>
          <w:sz w:val="14"/>
        </w:rPr>
        <w:t>en</w:t>
      </w:r>
      <w:r>
        <w:rPr>
          <w:spacing w:val="-3"/>
          <w:w w:val="105"/>
          <w:sz w:val="14"/>
        </w:rPr>
        <w:t xml:space="preserve"> </w:t>
      </w:r>
      <w:r>
        <w:rPr>
          <w:w w:val="105"/>
          <w:sz w:val="14"/>
        </w:rPr>
        <w:t>el</w:t>
      </w:r>
      <w:r>
        <w:rPr>
          <w:spacing w:val="-3"/>
          <w:w w:val="105"/>
          <w:sz w:val="14"/>
        </w:rPr>
        <w:t xml:space="preserve"> </w:t>
      </w:r>
      <w:r>
        <w:rPr>
          <w:w w:val="105"/>
          <w:sz w:val="14"/>
        </w:rPr>
        <w:t>proceso</w:t>
      </w:r>
      <w:r>
        <w:rPr>
          <w:spacing w:val="-3"/>
          <w:w w:val="105"/>
          <w:sz w:val="14"/>
        </w:rPr>
        <w:t xml:space="preserve"> </w:t>
      </w:r>
      <w:r>
        <w:rPr>
          <w:w w:val="105"/>
          <w:sz w:val="14"/>
        </w:rPr>
        <w:t>de</w:t>
      </w:r>
      <w:r>
        <w:rPr>
          <w:spacing w:val="-3"/>
          <w:w w:val="105"/>
          <w:sz w:val="14"/>
        </w:rPr>
        <w:t xml:space="preserve"> </w:t>
      </w:r>
      <w:r>
        <w:rPr>
          <w:w w:val="105"/>
          <w:sz w:val="14"/>
        </w:rPr>
        <w:t>justicia,</w:t>
      </w:r>
      <w:r>
        <w:rPr>
          <w:spacing w:val="-2"/>
          <w:w w:val="105"/>
          <w:sz w:val="14"/>
        </w:rPr>
        <w:t xml:space="preserve"> </w:t>
      </w:r>
      <w:r>
        <w:rPr>
          <w:w w:val="105"/>
          <w:sz w:val="14"/>
        </w:rPr>
        <w:t>sin</w:t>
      </w:r>
      <w:r>
        <w:rPr>
          <w:spacing w:val="-3"/>
          <w:w w:val="105"/>
          <w:sz w:val="14"/>
        </w:rPr>
        <w:t xml:space="preserve"> </w:t>
      </w:r>
      <w:r>
        <w:rPr>
          <w:w w:val="105"/>
          <w:sz w:val="14"/>
        </w:rPr>
        <w:t>estigmatización</w:t>
      </w:r>
      <w:r>
        <w:rPr>
          <w:spacing w:val="-3"/>
          <w:w w:val="105"/>
          <w:sz w:val="14"/>
        </w:rPr>
        <w:t xml:space="preserve"> </w:t>
      </w:r>
      <w:r>
        <w:rPr>
          <w:w w:val="105"/>
          <w:sz w:val="14"/>
        </w:rPr>
        <w:t>ni</w:t>
      </w:r>
      <w:r>
        <w:rPr>
          <w:spacing w:val="-3"/>
          <w:w w:val="105"/>
          <w:sz w:val="14"/>
        </w:rPr>
        <w:t xml:space="preserve"> </w:t>
      </w:r>
      <w:r>
        <w:rPr>
          <w:w w:val="105"/>
          <w:sz w:val="14"/>
        </w:rPr>
        <w:t>victimización.</w:t>
      </w:r>
      <w:r>
        <w:rPr>
          <w:spacing w:val="-2"/>
          <w:w w:val="105"/>
          <w:sz w:val="14"/>
        </w:rPr>
        <w:t xml:space="preserve"> </w:t>
      </w:r>
      <w:r>
        <w:rPr>
          <w:w w:val="105"/>
          <w:sz w:val="14"/>
        </w:rPr>
        <w:t>Se</w:t>
      </w:r>
      <w:r>
        <w:rPr>
          <w:spacing w:val="-3"/>
          <w:w w:val="105"/>
          <w:sz w:val="14"/>
        </w:rPr>
        <w:t xml:space="preserve"> </w:t>
      </w:r>
      <w:r>
        <w:rPr>
          <w:w w:val="105"/>
          <w:sz w:val="14"/>
        </w:rPr>
        <w:t>requieren</w:t>
      </w:r>
      <w:r>
        <w:rPr>
          <w:spacing w:val="-3"/>
          <w:w w:val="105"/>
          <w:sz w:val="14"/>
        </w:rPr>
        <w:t xml:space="preserve"> </w:t>
      </w:r>
      <w:r>
        <w:rPr>
          <w:w w:val="105"/>
          <w:sz w:val="14"/>
        </w:rPr>
        <w:t>adaptaciones</w:t>
      </w:r>
      <w:r>
        <w:rPr>
          <w:spacing w:val="-3"/>
          <w:w w:val="105"/>
          <w:sz w:val="14"/>
        </w:rPr>
        <w:t xml:space="preserve"> </w:t>
      </w:r>
      <w:r>
        <w:rPr>
          <w:w w:val="105"/>
          <w:sz w:val="14"/>
        </w:rPr>
        <w:t>de</w:t>
      </w:r>
      <w:r>
        <w:rPr>
          <w:spacing w:val="-3"/>
          <w:w w:val="105"/>
          <w:sz w:val="14"/>
        </w:rPr>
        <w:t xml:space="preserve"> </w:t>
      </w:r>
      <w:r>
        <w:rPr>
          <w:w w:val="105"/>
          <w:sz w:val="14"/>
        </w:rPr>
        <w:t>las</w:t>
      </w:r>
      <w:r>
        <w:rPr>
          <w:spacing w:val="-3"/>
          <w:w w:val="105"/>
          <w:sz w:val="14"/>
        </w:rPr>
        <w:t xml:space="preserve"> </w:t>
      </w:r>
      <w:r>
        <w:rPr>
          <w:w w:val="105"/>
          <w:sz w:val="14"/>
        </w:rPr>
        <w:t>reglas</w:t>
      </w:r>
      <w:r>
        <w:rPr>
          <w:spacing w:val="-3"/>
          <w:w w:val="105"/>
          <w:sz w:val="14"/>
        </w:rPr>
        <w:t xml:space="preserve"> </w:t>
      </w:r>
      <w:r>
        <w:rPr>
          <w:w w:val="105"/>
          <w:sz w:val="14"/>
        </w:rPr>
        <w:t>de</w:t>
      </w:r>
      <w:r>
        <w:rPr>
          <w:spacing w:val="-3"/>
          <w:w w:val="105"/>
          <w:sz w:val="14"/>
        </w:rPr>
        <w:t xml:space="preserve"> </w:t>
      </w:r>
      <w:r>
        <w:rPr>
          <w:w w:val="105"/>
          <w:sz w:val="14"/>
        </w:rPr>
        <w:t>prueba</w:t>
      </w:r>
      <w:r>
        <w:rPr>
          <w:spacing w:val="-3"/>
          <w:w w:val="105"/>
          <w:sz w:val="14"/>
        </w:rPr>
        <w:t xml:space="preserve"> </w:t>
      </w:r>
      <w:r>
        <w:rPr>
          <w:w w:val="105"/>
          <w:sz w:val="14"/>
        </w:rPr>
        <w:t>y las disposiciones legales que regulan la carga de la prueba para eliminar las barreras a la justicia para las personas y grupos que han sufrido discriminación. Este capítulo también contiene una discusión de asuntos específicos para reivindicar los derechos a la igualdad y la no discriminación en procedimientos judiciales o de otro tipo, incluida la legitimación activa.</w:t>
      </w:r>
    </w:p>
    <w:p w14:paraId="404306B1" w14:textId="77777777" w:rsidR="0014798C" w:rsidRDefault="0014798C">
      <w:pPr>
        <w:pStyle w:val="Textoindependiente"/>
        <w:rPr>
          <w:sz w:val="19"/>
        </w:rPr>
      </w:pPr>
    </w:p>
    <w:p w14:paraId="66647D94" w14:textId="77777777" w:rsidR="0014798C" w:rsidRDefault="0014798C">
      <w:pPr>
        <w:pStyle w:val="Textoindependiente"/>
        <w:rPr>
          <w:sz w:val="19"/>
        </w:rPr>
      </w:pPr>
    </w:p>
    <w:p w14:paraId="38328955" w14:textId="77777777" w:rsidR="0014798C" w:rsidRDefault="0014798C">
      <w:pPr>
        <w:pStyle w:val="Textoindependiente"/>
        <w:rPr>
          <w:sz w:val="19"/>
        </w:rPr>
      </w:pPr>
    </w:p>
    <w:p w14:paraId="05CB514F" w14:textId="77777777" w:rsidR="0014798C" w:rsidRDefault="0014798C">
      <w:pPr>
        <w:pStyle w:val="Textoindependiente"/>
        <w:rPr>
          <w:sz w:val="19"/>
        </w:rPr>
      </w:pPr>
    </w:p>
    <w:p w14:paraId="63FAE57D" w14:textId="77777777" w:rsidR="0014798C" w:rsidRDefault="0014798C">
      <w:pPr>
        <w:pStyle w:val="Textoindependiente"/>
        <w:rPr>
          <w:sz w:val="19"/>
        </w:rPr>
      </w:pPr>
    </w:p>
    <w:p w14:paraId="2B42E98B" w14:textId="77777777" w:rsidR="0014798C" w:rsidRDefault="0014798C">
      <w:pPr>
        <w:pStyle w:val="Textoindependiente"/>
        <w:rPr>
          <w:sz w:val="19"/>
        </w:rPr>
      </w:pPr>
    </w:p>
    <w:p w14:paraId="41063A02" w14:textId="77777777" w:rsidR="0014798C" w:rsidRDefault="0014798C">
      <w:pPr>
        <w:pStyle w:val="Textoindependiente"/>
        <w:rPr>
          <w:sz w:val="19"/>
        </w:rPr>
      </w:pPr>
    </w:p>
    <w:p w14:paraId="26EC47A1" w14:textId="77777777" w:rsidR="0014798C" w:rsidRDefault="0014798C">
      <w:pPr>
        <w:pStyle w:val="Textoindependiente"/>
        <w:rPr>
          <w:sz w:val="19"/>
        </w:rPr>
      </w:pPr>
    </w:p>
    <w:p w14:paraId="5184AA5A" w14:textId="77777777" w:rsidR="0014798C" w:rsidRDefault="0014798C">
      <w:pPr>
        <w:pStyle w:val="Textoindependiente"/>
        <w:rPr>
          <w:sz w:val="19"/>
        </w:rPr>
      </w:pPr>
    </w:p>
    <w:p w14:paraId="698827BE" w14:textId="77777777" w:rsidR="0014798C" w:rsidRDefault="0014798C">
      <w:pPr>
        <w:pStyle w:val="Textoindependiente"/>
        <w:spacing w:before="177"/>
        <w:rPr>
          <w:sz w:val="19"/>
        </w:rPr>
      </w:pPr>
    </w:p>
    <w:p w14:paraId="27699731" w14:textId="77777777" w:rsidR="0014798C" w:rsidRDefault="004E1F0B">
      <w:pPr>
        <w:ind w:right="712"/>
        <w:jc w:val="right"/>
        <w:rPr>
          <w:sz w:val="19"/>
        </w:rPr>
      </w:pPr>
      <w:r>
        <w:rPr>
          <w:spacing w:val="-5"/>
          <w:sz w:val="19"/>
        </w:rPr>
        <w:t>87</w:t>
      </w:r>
    </w:p>
    <w:p w14:paraId="18D9ED3F" w14:textId="77777777" w:rsidR="0014798C" w:rsidRDefault="0014798C">
      <w:pPr>
        <w:jc w:val="right"/>
        <w:rPr>
          <w:sz w:val="19"/>
        </w:rPr>
        <w:sectPr w:rsidR="0014798C" w:rsidSect="00F265E4">
          <w:headerReference w:type="default" r:id="rId178"/>
          <w:pgSz w:w="11900" w:h="16820"/>
          <w:pgMar w:top="40" w:right="0" w:bottom="280" w:left="200" w:header="0" w:footer="0" w:gutter="0"/>
          <w:cols w:space="720"/>
        </w:sectPr>
      </w:pPr>
    </w:p>
    <w:p w14:paraId="7B6F576F" w14:textId="77777777" w:rsidR="0014798C" w:rsidRDefault="0014798C">
      <w:pPr>
        <w:pStyle w:val="Textoindependiente"/>
        <w:spacing w:before="85"/>
        <w:rPr>
          <w:sz w:val="12"/>
        </w:rPr>
      </w:pPr>
    </w:p>
    <w:p w14:paraId="797A3D73" w14:textId="77777777" w:rsidR="0014798C" w:rsidRDefault="004E1F0B">
      <w:pPr>
        <w:ind w:left="1111"/>
        <w:rPr>
          <w:sz w:val="12"/>
        </w:rPr>
      </w:pPr>
      <w:r>
        <w:rPr>
          <w:color w:val="00AC59"/>
          <w:sz w:val="12"/>
        </w:rPr>
        <w:t>PROTECCIÓN</w:t>
      </w:r>
      <w:r>
        <w:rPr>
          <w:color w:val="00AC59"/>
          <w:spacing w:val="6"/>
          <w:sz w:val="12"/>
        </w:rPr>
        <w:t xml:space="preserve"> </w:t>
      </w:r>
      <w:r>
        <w:rPr>
          <w:color w:val="00AC59"/>
          <w:sz w:val="12"/>
        </w:rPr>
        <w:t>DE</w:t>
      </w:r>
      <w:r>
        <w:rPr>
          <w:color w:val="00AC59"/>
          <w:spacing w:val="7"/>
          <w:sz w:val="12"/>
        </w:rPr>
        <w:t xml:space="preserve"> </w:t>
      </w:r>
      <w:r>
        <w:rPr>
          <w:color w:val="00AC59"/>
          <w:sz w:val="12"/>
        </w:rPr>
        <w:t>LOS</w:t>
      </w:r>
      <w:r>
        <w:rPr>
          <w:color w:val="00AC59"/>
          <w:spacing w:val="8"/>
          <w:sz w:val="12"/>
        </w:rPr>
        <w:t xml:space="preserve"> </w:t>
      </w:r>
      <w:r>
        <w:rPr>
          <w:color w:val="00AC59"/>
          <w:sz w:val="12"/>
        </w:rPr>
        <w:t>DERECHOS</w:t>
      </w:r>
      <w:r>
        <w:rPr>
          <w:color w:val="00AC59"/>
          <w:spacing w:val="8"/>
          <w:sz w:val="12"/>
        </w:rPr>
        <w:t xml:space="preserve"> </w:t>
      </w:r>
      <w:r>
        <w:rPr>
          <w:color w:val="00AC59"/>
          <w:sz w:val="12"/>
        </w:rPr>
        <w:t>DE</w:t>
      </w:r>
      <w:r>
        <w:rPr>
          <w:color w:val="00AC59"/>
          <w:spacing w:val="6"/>
          <w:sz w:val="12"/>
        </w:rPr>
        <w:t xml:space="preserve"> </w:t>
      </w:r>
      <w:r>
        <w:rPr>
          <w:color w:val="00AC59"/>
          <w:sz w:val="12"/>
        </w:rPr>
        <w:t>LAS</w:t>
      </w:r>
      <w:r>
        <w:rPr>
          <w:color w:val="00AC59"/>
          <w:spacing w:val="7"/>
          <w:sz w:val="12"/>
        </w:rPr>
        <w:t xml:space="preserve"> </w:t>
      </w:r>
      <w:r>
        <w:rPr>
          <w:color w:val="00AC59"/>
          <w:sz w:val="12"/>
        </w:rPr>
        <w:t>MINORÍAS:</w:t>
      </w:r>
      <w:r>
        <w:rPr>
          <w:color w:val="00AC59"/>
          <w:spacing w:val="8"/>
          <w:sz w:val="12"/>
        </w:rPr>
        <w:t xml:space="preserve"> </w:t>
      </w:r>
      <w:r>
        <w:rPr>
          <w:color w:val="00AC59"/>
          <w:sz w:val="12"/>
        </w:rPr>
        <w:t>una</w:t>
      </w:r>
      <w:r>
        <w:rPr>
          <w:color w:val="00AC59"/>
          <w:spacing w:val="7"/>
          <w:sz w:val="12"/>
        </w:rPr>
        <w:t xml:space="preserve"> </w:t>
      </w:r>
      <w:r>
        <w:rPr>
          <w:color w:val="00AC59"/>
          <w:sz w:val="12"/>
        </w:rPr>
        <w:t>guía</w:t>
      </w:r>
      <w:r>
        <w:rPr>
          <w:color w:val="00AC59"/>
          <w:spacing w:val="6"/>
          <w:sz w:val="12"/>
        </w:rPr>
        <w:t xml:space="preserve"> </w:t>
      </w:r>
      <w:r>
        <w:rPr>
          <w:color w:val="00AC59"/>
          <w:sz w:val="12"/>
        </w:rPr>
        <w:t>práctica</w:t>
      </w:r>
      <w:r>
        <w:rPr>
          <w:color w:val="00AC59"/>
          <w:spacing w:val="7"/>
          <w:sz w:val="12"/>
        </w:rPr>
        <w:t xml:space="preserve"> </w:t>
      </w:r>
      <w:r>
        <w:rPr>
          <w:color w:val="00AC59"/>
          <w:sz w:val="12"/>
        </w:rPr>
        <w:t>para</w:t>
      </w:r>
      <w:r>
        <w:rPr>
          <w:color w:val="00AC59"/>
          <w:spacing w:val="8"/>
          <w:sz w:val="12"/>
        </w:rPr>
        <w:t xml:space="preserve"> </w:t>
      </w:r>
      <w:r>
        <w:rPr>
          <w:color w:val="00AC59"/>
          <w:sz w:val="12"/>
        </w:rPr>
        <w:t>desarrollar</w:t>
      </w:r>
      <w:r>
        <w:rPr>
          <w:color w:val="00AC59"/>
          <w:spacing w:val="6"/>
          <w:sz w:val="12"/>
        </w:rPr>
        <w:t xml:space="preserve"> </w:t>
      </w:r>
      <w:r>
        <w:rPr>
          <w:color w:val="00AC59"/>
          <w:sz w:val="12"/>
        </w:rPr>
        <w:t>una</w:t>
      </w:r>
      <w:r>
        <w:rPr>
          <w:color w:val="00AC59"/>
          <w:spacing w:val="7"/>
          <w:sz w:val="12"/>
        </w:rPr>
        <w:t xml:space="preserve"> </w:t>
      </w:r>
      <w:r>
        <w:rPr>
          <w:color w:val="00AC59"/>
          <w:sz w:val="12"/>
        </w:rPr>
        <w:t>legislación</w:t>
      </w:r>
      <w:r>
        <w:rPr>
          <w:color w:val="00AC59"/>
          <w:spacing w:val="8"/>
          <w:sz w:val="12"/>
        </w:rPr>
        <w:t xml:space="preserve"> </w:t>
      </w:r>
      <w:r>
        <w:rPr>
          <w:color w:val="00AC59"/>
          <w:sz w:val="12"/>
        </w:rPr>
        <w:t>integral</w:t>
      </w:r>
      <w:r>
        <w:rPr>
          <w:color w:val="00AC59"/>
          <w:spacing w:val="7"/>
          <w:sz w:val="12"/>
        </w:rPr>
        <w:t xml:space="preserve"> </w:t>
      </w:r>
      <w:r>
        <w:rPr>
          <w:color w:val="00AC59"/>
          <w:sz w:val="12"/>
        </w:rPr>
        <w:t>contra</w:t>
      </w:r>
      <w:r>
        <w:rPr>
          <w:color w:val="00AC59"/>
          <w:spacing w:val="6"/>
          <w:sz w:val="12"/>
        </w:rPr>
        <w:t xml:space="preserve"> </w:t>
      </w:r>
      <w:r>
        <w:rPr>
          <w:color w:val="00AC59"/>
          <w:sz w:val="12"/>
        </w:rPr>
        <w:t>la</w:t>
      </w:r>
      <w:r>
        <w:rPr>
          <w:color w:val="00AC59"/>
          <w:spacing w:val="7"/>
          <w:sz w:val="12"/>
        </w:rPr>
        <w:t xml:space="preserve"> </w:t>
      </w:r>
      <w:r>
        <w:rPr>
          <w:color w:val="00AC59"/>
          <w:spacing w:val="-2"/>
          <w:sz w:val="12"/>
        </w:rPr>
        <w:t>discriminación</w:t>
      </w:r>
    </w:p>
    <w:p w14:paraId="619455FE" w14:textId="77777777" w:rsidR="0014798C" w:rsidRDefault="0014798C">
      <w:pPr>
        <w:pStyle w:val="Textoindependiente"/>
        <w:rPr>
          <w:sz w:val="28"/>
        </w:rPr>
      </w:pPr>
    </w:p>
    <w:p w14:paraId="12B3DCCC" w14:textId="77777777" w:rsidR="0014798C" w:rsidRDefault="0014798C">
      <w:pPr>
        <w:pStyle w:val="Textoindependiente"/>
        <w:spacing w:before="316"/>
        <w:rPr>
          <w:sz w:val="28"/>
        </w:rPr>
      </w:pPr>
    </w:p>
    <w:p w14:paraId="192A4AB0" w14:textId="77777777" w:rsidR="0014798C" w:rsidRDefault="004E1F0B">
      <w:pPr>
        <w:numPr>
          <w:ilvl w:val="1"/>
          <w:numId w:val="3"/>
        </w:numPr>
        <w:tabs>
          <w:tab w:val="left" w:pos="1444"/>
        </w:tabs>
        <w:ind w:left="1444" w:hanging="344"/>
        <w:rPr>
          <w:color w:val="00AC59"/>
          <w:sz w:val="28"/>
        </w:rPr>
      </w:pPr>
      <w:r>
        <w:rPr>
          <w:color w:val="00AC59"/>
          <w:sz w:val="28"/>
        </w:rPr>
        <w:t>Acceso</w:t>
      </w:r>
      <w:r>
        <w:rPr>
          <w:color w:val="00AC59"/>
          <w:spacing w:val="2"/>
          <w:sz w:val="28"/>
        </w:rPr>
        <w:t xml:space="preserve"> </w:t>
      </w:r>
      <w:r>
        <w:rPr>
          <w:color w:val="00AC59"/>
          <w:sz w:val="28"/>
        </w:rPr>
        <w:t>a</w:t>
      </w:r>
      <w:r>
        <w:rPr>
          <w:color w:val="00AC59"/>
          <w:spacing w:val="3"/>
          <w:sz w:val="28"/>
        </w:rPr>
        <w:t xml:space="preserve"> </w:t>
      </w:r>
      <w:r>
        <w:rPr>
          <w:color w:val="00AC59"/>
          <w:sz w:val="28"/>
        </w:rPr>
        <w:t>la</w:t>
      </w:r>
      <w:r>
        <w:rPr>
          <w:color w:val="00AC59"/>
          <w:spacing w:val="2"/>
          <w:sz w:val="28"/>
        </w:rPr>
        <w:t xml:space="preserve"> </w:t>
      </w:r>
      <w:r>
        <w:rPr>
          <w:color w:val="00AC59"/>
          <w:sz w:val="28"/>
        </w:rPr>
        <w:t>justicia</w:t>
      </w:r>
      <w:r>
        <w:rPr>
          <w:color w:val="00AC59"/>
          <w:spacing w:val="3"/>
          <w:sz w:val="28"/>
        </w:rPr>
        <w:t xml:space="preserve"> </w:t>
      </w:r>
      <w:r>
        <w:rPr>
          <w:color w:val="00AC59"/>
          <w:sz w:val="28"/>
        </w:rPr>
        <w:t>y</w:t>
      </w:r>
      <w:r>
        <w:rPr>
          <w:color w:val="00AC59"/>
          <w:spacing w:val="2"/>
          <w:sz w:val="28"/>
        </w:rPr>
        <w:t xml:space="preserve"> </w:t>
      </w:r>
      <w:r>
        <w:rPr>
          <w:color w:val="00AC59"/>
          <w:sz w:val="28"/>
        </w:rPr>
        <w:t>procedimiento</w:t>
      </w:r>
      <w:r>
        <w:rPr>
          <w:color w:val="00AC59"/>
          <w:spacing w:val="3"/>
          <w:sz w:val="28"/>
        </w:rPr>
        <w:t xml:space="preserve"> </w:t>
      </w:r>
      <w:r>
        <w:rPr>
          <w:color w:val="00AC59"/>
          <w:spacing w:val="-2"/>
          <w:sz w:val="28"/>
        </w:rPr>
        <w:t>legal</w:t>
      </w:r>
    </w:p>
    <w:p w14:paraId="06800DD8" w14:textId="77777777" w:rsidR="0014798C" w:rsidRDefault="0014798C">
      <w:pPr>
        <w:pStyle w:val="Textoindependiente"/>
        <w:spacing w:before="61"/>
        <w:rPr>
          <w:sz w:val="15"/>
        </w:rPr>
      </w:pPr>
    </w:p>
    <w:p w14:paraId="799FCB04" w14:textId="77777777" w:rsidR="0014798C" w:rsidRDefault="004E1F0B">
      <w:pPr>
        <w:spacing w:line="348" w:lineRule="auto"/>
        <w:ind w:left="1106" w:right="1166"/>
        <w:rPr>
          <w:sz w:val="15"/>
        </w:rPr>
      </w:pPr>
      <w:r>
        <w:rPr>
          <w:w w:val="105"/>
          <w:sz w:val="15"/>
        </w:rPr>
        <w:t xml:space="preserve">Para garantizar un recurso efectivo, los Estados deben garantizar y asegurar el acceso a la justicia a las víctimas de discriminación. Este deber está bien establecido en el derecho internacional630 y se hace explícito en el artículo 13 de la Convención sobre los Derechos de las Personas con Discapacidad, que exige que los </w:t>
      </w:r>
      <w:proofErr w:type="gramStart"/>
      <w:r>
        <w:rPr>
          <w:w w:val="105"/>
          <w:sz w:val="15"/>
        </w:rPr>
        <w:t>Estados partes</w:t>
      </w:r>
      <w:proofErr w:type="gramEnd"/>
      <w:r>
        <w:rPr>
          <w:w w:val="105"/>
          <w:sz w:val="15"/>
        </w:rPr>
        <w:t xml:space="preserve"> “garanticen el acceso efectivo a la justicia para las personas con discapacidad en igualdad de condiciones con las demás”. El Comité para la Eliminación de la Discriminación contra la Mujer</w:t>
      </w:r>
      <w:r>
        <w:rPr>
          <w:spacing w:val="-3"/>
          <w:w w:val="105"/>
          <w:sz w:val="15"/>
        </w:rPr>
        <w:t xml:space="preserve"> </w:t>
      </w:r>
      <w:r>
        <w:rPr>
          <w:w w:val="105"/>
          <w:sz w:val="15"/>
        </w:rPr>
        <w:t>ha</w:t>
      </w:r>
      <w:r>
        <w:rPr>
          <w:spacing w:val="-3"/>
          <w:w w:val="105"/>
          <w:sz w:val="15"/>
        </w:rPr>
        <w:t xml:space="preserve"> </w:t>
      </w:r>
      <w:r>
        <w:rPr>
          <w:w w:val="105"/>
          <w:sz w:val="15"/>
        </w:rPr>
        <w:t>afirmado</w:t>
      </w:r>
      <w:r>
        <w:rPr>
          <w:spacing w:val="-3"/>
          <w:w w:val="105"/>
          <w:sz w:val="15"/>
        </w:rPr>
        <w:t xml:space="preserve"> </w:t>
      </w:r>
      <w:r>
        <w:rPr>
          <w:w w:val="105"/>
          <w:sz w:val="15"/>
        </w:rPr>
        <w:t>que</w:t>
      </w:r>
      <w:r>
        <w:rPr>
          <w:spacing w:val="-3"/>
          <w:w w:val="105"/>
          <w:sz w:val="15"/>
        </w:rPr>
        <w:t xml:space="preserve"> </w:t>
      </w:r>
      <w:r>
        <w:rPr>
          <w:w w:val="105"/>
          <w:sz w:val="15"/>
        </w:rPr>
        <w:t>el</w:t>
      </w:r>
      <w:r>
        <w:rPr>
          <w:spacing w:val="-3"/>
          <w:w w:val="105"/>
          <w:sz w:val="15"/>
        </w:rPr>
        <w:t xml:space="preserve"> </w:t>
      </w:r>
      <w:r>
        <w:rPr>
          <w:w w:val="105"/>
          <w:sz w:val="15"/>
        </w:rPr>
        <w:t>acceso</w:t>
      </w:r>
      <w:r>
        <w:rPr>
          <w:spacing w:val="-3"/>
          <w:w w:val="105"/>
          <w:sz w:val="15"/>
        </w:rPr>
        <w:t xml:space="preserve"> </w:t>
      </w:r>
      <w:r>
        <w:rPr>
          <w:w w:val="105"/>
          <w:sz w:val="15"/>
        </w:rPr>
        <w:t>a</w:t>
      </w:r>
      <w:r>
        <w:rPr>
          <w:spacing w:val="-3"/>
          <w:w w:val="105"/>
          <w:sz w:val="15"/>
        </w:rPr>
        <w:t xml:space="preserve"> </w:t>
      </w:r>
      <w:r>
        <w:rPr>
          <w:w w:val="105"/>
          <w:sz w:val="15"/>
        </w:rPr>
        <w:t>la</w:t>
      </w:r>
      <w:r>
        <w:rPr>
          <w:spacing w:val="-3"/>
          <w:w w:val="105"/>
          <w:sz w:val="15"/>
        </w:rPr>
        <w:t xml:space="preserve"> </w:t>
      </w:r>
      <w:r>
        <w:rPr>
          <w:w w:val="105"/>
          <w:sz w:val="15"/>
        </w:rPr>
        <w:t>justicia</w:t>
      </w:r>
      <w:r>
        <w:rPr>
          <w:spacing w:val="-3"/>
          <w:w w:val="105"/>
          <w:sz w:val="15"/>
        </w:rPr>
        <w:t xml:space="preserve"> </w:t>
      </w:r>
      <w:r>
        <w:rPr>
          <w:w w:val="105"/>
          <w:sz w:val="15"/>
        </w:rPr>
        <w:t>es</w:t>
      </w:r>
      <w:r>
        <w:rPr>
          <w:spacing w:val="-3"/>
          <w:w w:val="105"/>
          <w:sz w:val="15"/>
        </w:rPr>
        <w:t xml:space="preserve"> </w:t>
      </w:r>
      <w:r>
        <w:rPr>
          <w:w w:val="105"/>
          <w:sz w:val="15"/>
        </w:rPr>
        <w:t>“esencial</w:t>
      </w:r>
      <w:r>
        <w:rPr>
          <w:spacing w:val="-3"/>
          <w:w w:val="105"/>
          <w:sz w:val="15"/>
        </w:rPr>
        <w:t xml:space="preserve"> </w:t>
      </w:r>
      <w:r>
        <w:rPr>
          <w:w w:val="105"/>
          <w:sz w:val="15"/>
        </w:rPr>
        <w:t>para</w:t>
      </w:r>
      <w:r>
        <w:rPr>
          <w:spacing w:val="-3"/>
          <w:w w:val="105"/>
          <w:sz w:val="15"/>
        </w:rPr>
        <w:t xml:space="preserve"> </w:t>
      </w:r>
      <w:r>
        <w:rPr>
          <w:w w:val="105"/>
          <w:sz w:val="15"/>
        </w:rPr>
        <w:t>la</w:t>
      </w:r>
      <w:r>
        <w:rPr>
          <w:spacing w:val="-3"/>
          <w:w w:val="105"/>
          <w:sz w:val="15"/>
        </w:rPr>
        <w:t xml:space="preserve"> </w:t>
      </w:r>
      <w:r>
        <w:rPr>
          <w:w w:val="105"/>
          <w:sz w:val="15"/>
        </w:rPr>
        <w:t>realización</w:t>
      </w:r>
      <w:r>
        <w:rPr>
          <w:spacing w:val="-3"/>
          <w:w w:val="105"/>
          <w:sz w:val="15"/>
        </w:rPr>
        <w:t xml:space="preserve"> </w:t>
      </w:r>
      <w:r>
        <w:rPr>
          <w:w w:val="105"/>
          <w:sz w:val="15"/>
        </w:rPr>
        <w:t>de</w:t>
      </w:r>
      <w:r>
        <w:rPr>
          <w:spacing w:val="-3"/>
          <w:w w:val="105"/>
          <w:sz w:val="15"/>
        </w:rPr>
        <w:t xml:space="preserve"> </w:t>
      </w:r>
      <w:r>
        <w:rPr>
          <w:w w:val="105"/>
          <w:sz w:val="15"/>
        </w:rPr>
        <w:t>todos</w:t>
      </w:r>
      <w:r>
        <w:rPr>
          <w:spacing w:val="-3"/>
          <w:w w:val="105"/>
          <w:sz w:val="15"/>
        </w:rPr>
        <w:t xml:space="preserve"> </w:t>
      </w:r>
      <w:r>
        <w:rPr>
          <w:w w:val="105"/>
          <w:sz w:val="15"/>
        </w:rPr>
        <w:t>los</w:t>
      </w:r>
      <w:r>
        <w:rPr>
          <w:spacing w:val="-3"/>
          <w:w w:val="105"/>
          <w:sz w:val="15"/>
        </w:rPr>
        <w:t xml:space="preserve"> </w:t>
      </w:r>
      <w:r>
        <w:rPr>
          <w:w w:val="105"/>
          <w:sz w:val="15"/>
        </w:rPr>
        <w:t>derechos</w:t>
      </w:r>
      <w:r>
        <w:rPr>
          <w:spacing w:val="-3"/>
          <w:w w:val="105"/>
          <w:sz w:val="15"/>
        </w:rPr>
        <w:t xml:space="preserve"> </w:t>
      </w:r>
      <w:r>
        <w:rPr>
          <w:w w:val="105"/>
          <w:sz w:val="15"/>
        </w:rPr>
        <w:t>establecidos</w:t>
      </w:r>
      <w:r>
        <w:rPr>
          <w:spacing w:val="-3"/>
          <w:w w:val="105"/>
          <w:sz w:val="15"/>
        </w:rPr>
        <w:t xml:space="preserve"> </w:t>
      </w:r>
      <w:r>
        <w:rPr>
          <w:w w:val="105"/>
          <w:sz w:val="15"/>
        </w:rPr>
        <w:t>en</w:t>
      </w:r>
      <w:r>
        <w:rPr>
          <w:spacing w:val="-3"/>
          <w:w w:val="105"/>
          <w:sz w:val="15"/>
        </w:rPr>
        <w:t xml:space="preserve"> </w:t>
      </w:r>
      <w:r>
        <w:rPr>
          <w:w w:val="105"/>
          <w:sz w:val="15"/>
        </w:rPr>
        <w:t>la</w:t>
      </w:r>
      <w:r>
        <w:rPr>
          <w:spacing w:val="-3"/>
          <w:w w:val="105"/>
          <w:sz w:val="15"/>
        </w:rPr>
        <w:t xml:space="preserve"> </w:t>
      </w:r>
      <w:r>
        <w:rPr>
          <w:w w:val="105"/>
          <w:sz w:val="15"/>
        </w:rPr>
        <w:t>Convención”.631 Otros órganos creados en virtud de tratados, incluido el Comité para la Eliminación de la Discriminación Racial, el Comité de Asuntos Económicos, Derechos Sociales y Culturales y los Comités de Derechos Humanos, han reconocido el deber de garantizar el acceso</w:t>
      </w:r>
    </w:p>
    <w:p w14:paraId="023C5776" w14:textId="77777777" w:rsidR="0014798C" w:rsidRDefault="004E1F0B">
      <w:pPr>
        <w:spacing w:line="170" w:lineRule="exact"/>
        <w:ind w:left="1107"/>
        <w:rPr>
          <w:sz w:val="15"/>
        </w:rPr>
      </w:pPr>
      <w:r>
        <w:rPr>
          <w:w w:val="105"/>
          <w:sz w:val="15"/>
        </w:rPr>
        <w:t>a</w:t>
      </w:r>
      <w:r>
        <w:rPr>
          <w:spacing w:val="-8"/>
          <w:w w:val="105"/>
          <w:sz w:val="15"/>
        </w:rPr>
        <w:t xml:space="preserve"> </w:t>
      </w:r>
      <w:r>
        <w:rPr>
          <w:w w:val="105"/>
          <w:sz w:val="15"/>
        </w:rPr>
        <w:t>la</w:t>
      </w:r>
      <w:r>
        <w:rPr>
          <w:spacing w:val="-7"/>
          <w:w w:val="105"/>
          <w:sz w:val="15"/>
        </w:rPr>
        <w:t xml:space="preserve"> </w:t>
      </w:r>
      <w:r>
        <w:rPr>
          <w:w w:val="105"/>
          <w:sz w:val="15"/>
        </w:rPr>
        <w:t>justicia</w:t>
      </w:r>
      <w:r>
        <w:rPr>
          <w:spacing w:val="-8"/>
          <w:w w:val="105"/>
          <w:sz w:val="15"/>
        </w:rPr>
        <w:t xml:space="preserve"> </w:t>
      </w:r>
      <w:r>
        <w:rPr>
          <w:w w:val="105"/>
          <w:sz w:val="15"/>
        </w:rPr>
        <w:t>como</w:t>
      </w:r>
      <w:r>
        <w:rPr>
          <w:spacing w:val="-7"/>
          <w:w w:val="105"/>
          <w:sz w:val="15"/>
        </w:rPr>
        <w:t xml:space="preserve"> </w:t>
      </w:r>
      <w:r>
        <w:rPr>
          <w:w w:val="105"/>
          <w:sz w:val="15"/>
        </w:rPr>
        <w:t>un</w:t>
      </w:r>
      <w:r>
        <w:rPr>
          <w:spacing w:val="-8"/>
          <w:w w:val="105"/>
          <w:sz w:val="15"/>
        </w:rPr>
        <w:t xml:space="preserve"> </w:t>
      </w:r>
      <w:r>
        <w:rPr>
          <w:w w:val="105"/>
          <w:sz w:val="15"/>
        </w:rPr>
        <w:t>requisito</w:t>
      </w:r>
      <w:r>
        <w:rPr>
          <w:spacing w:val="-7"/>
          <w:w w:val="105"/>
          <w:sz w:val="15"/>
        </w:rPr>
        <w:t xml:space="preserve"> </w:t>
      </w:r>
      <w:r>
        <w:rPr>
          <w:w w:val="105"/>
          <w:sz w:val="15"/>
        </w:rPr>
        <w:t>implícito</w:t>
      </w:r>
      <w:r>
        <w:rPr>
          <w:spacing w:val="-8"/>
          <w:w w:val="105"/>
          <w:sz w:val="15"/>
        </w:rPr>
        <w:t xml:space="preserve"> </w:t>
      </w:r>
      <w:r>
        <w:rPr>
          <w:w w:val="105"/>
          <w:sz w:val="15"/>
        </w:rPr>
        <w:t>de</w:t>
      </w:r>
      <w:r>
        <w:rPr>
          <w:spacing w:val="-7"/>
          <w:w w:val="105"/>
          <w:sz w:val="15"/>
        </w:rPr>
        <w:t xml:space="preserve"> </w:t>
      </w:r>
      <w:r>
        <w:rPr>
          <w:w w:val="105"/>
          <w:sz w:val="15"/>
        </w:rPr>
        <w:t>sus</w:t>
      </w:r>
      <w:r>
        <w:rPr>
          <w:spacing w:val="-8"/>
          <w:w w:val="105"/>
          <w:sz w:val="15"/>
        </w:rPr>
        <w:t xml:space="preserve"> </w:t>
      </w:r>
      <w:r>
        <w:rPr>
          <w:w w:val="105"/>
          <w:sz w:val="15"/>
        </w:rPr>
        <w:t>instrumentos</w:t>
      </w:r>
      <w:r>
        <w:rPr>
          <w:spacing w:val="-7"/>
          <w:w w:val="105"/>
          <w:sz w:val="15"/>
        </w:rPr>
        <w:t xml:space="preserve"> </w:t>
      </w:r>
      <w:r>
        <w:rPr>
          <w:w w:val="105"/>
          <w:sz w:val="15"/>
        </w:rPr>
        <w:t>fundacionales</w:t>
      </w:r>
      <w:r>
        <w:rPr>
          <w:spacing w:val="-8"/>
          <w:w w:val="105"/>
          <w:sz w:val="15"/>
        </w:rPr>
        <w:t xml:space="preserve"> </w:t>
      </w:r>
      <w:r>
        <w:rPr>
          <w:w w:val="105"/>
          <w:sz w:val="15"/>
        </w:rPr>
        <w:t>de</w:t>
      </w:r>
      <w:r>
        <w:rPr>
          <w:spacing w:val="-7"/>
          <w:w w:val="105"/>
          <w:sz w:val="15"/>
        </w:rPr>
        <w:t xml:space="preserve"> </w:t>
      </w:r>
      <w:r>
        <w:rPr>
          <w:spacing w:val="-2"/>
          <w:w w:val="105"/>
          <w:sz w:val="15"/>
        </w:rPr>
        <w:t>derechos.632</w:t>
      </w:r>
    </w:p>
    <w:p w14:paraId="5FF3F8D8" w14:textId="77777777" w:rsidR="0014798C" w:rsidRDefault="0014798C">
      <w:pPr>
        <w:pStyle w:val="Textoindependiente"/>
        <w:spacing w:before="41"/>
        <w:rPr>
          <w:sz w:val="24"/>
        </w:rPr>
      </w:pPr>
    </w:p>
    <w:p w14:paraId="2D9E7267" w14:textId="77777777" w:rsidR="0014798C" w:rsidRDefault="004E1F0B">
      <w:pPr>
        <w:numPr>
          <w:ilvl w:val="0"/>
          <w:numId w:val="46"/>
        </w:numPr>
        <w:tabs>
          <w:tab w:val="left" w:pos="1406"/>
        </w:tabs>
        <w:ind w:left="1406" w:hanging="271"/>
        <w:rPr>
          <w:sz w:val="24"/>
        </w:rPr>
      </w:pPr>
      <w:r>
        <w:rPr>
          <w:color w:val="00AC59"/>
          <w:sz w:val="24"/>
        </w:rPr>
        <w:t>Requisitos</w:t>
      </w:r>
      <w:r>
        <w:rPr>
          <w:color w:val="00AC59"/>
          <w:spacing w:val="8"/>
          <w:sz w:val="24"/>
        </w:rPr>
        <w:t xml:space="preserve"> </w:t>
      </w:r>
      <w:r>
        <w:rPr>
          <w:color w:val="00AC59"/>
          <w:sz w:val="24"/>
        </w:rPr>
        <w:t>de</w:t>
      </w:r>
      <w:r>
        <w:rPr>
          <w:color w:val="00AC59"/>
          <w:spacing w:val="9"/>
          <w:sz w:val="24"/>
        </w:rPr>
        <w:t xml:space="preserve"> </w:t>
      </w:r>
      <w:r>
        <w:rPr>
          <w:color w:val="00AC59"/>
          <w:sz w:val="24"/>
        </w:rPr>
        <w:t>acceso</w:t>
      </w:r>
      <w:r>
        <w:rPr>
          <w:color w:val="00AC59"/>
          <w:spacing w:val="10"/>
          <w:sz w:val="24"/>
        </w:rPr>
        <w:t xml:space="preserve"> </w:t>
      </w:r>
      <w:r>
        <w:rPr>
          <w:color w:val="00AC59"/>
          <w:sz w:val="24"/>
        </w:rPr>
        <w:t>a</w:t>
      </w:r>
      <w:r>
        <w:rPr>
          <w:color w:val="00AC59"/>
          <w:spacing w:val="9"/>
          <w:sz w:val="24"/>
        </w:rPr>
        <w:t xml:space="preserve"> </w:t>
      </w:r>
      <w:r>
        <w:rPr>
          <w:color w:val="00AC59"/>
          <w:sz w:val="24"/>
        </w:rPr>
        <w:t>la</w:t>
      </w:r>
      <w:r>
        <w:rPr>
          <w:color w:val="00AC59"/>
          <w:spacing w:val="10"/>
          <w:sz w:val="24"/>
        </w:rPr>
        <w:t xml:space="preserve"> </w:t>
      </w:r>
      <w:r>
        <w:rPr>
          <w:color w:val="00AC59"/>
          <w:spacing w:val="-2"/>
          <w:sz w:val="24"/>
        </w:rPr>
        <w:t>justicia</w:t>
      </w:r>
    </w:p>
    <w:p w14:paraId="3297B488" w14:textId="77777777" w:rsidR="0014798C" w:rsidRDefault="0014798C">
      <w:pPr>
        <w:pStyle w:val="Textoindependiente"/>
        <w:spacing w:before="65"/>
        <w:rPr>
          <w:sz w:val="15"/>
        </w:rPr>
      </w:pPr>
    </w:p>
    <w:p w14:paraId="00F59A74" w14:textId="77777777" w:rsidR="0014798C" w:rsidRDefault="004E1F0B">
      <w:pPr>
        <w:spacing w:line="348" w:lineRule="auto"/>
        <w:ind w:left="1106" w:right="1272" w:firstLine="2"/>
        <w:rPr>
          <w:sz w:val="15"/>
        </w:rPr>
      </w:pPr>
      <w:r>
        <w:rPr>
          <w:w w:val="105"/>
          <w:sz w:val="15"/>
        </w:rPr>
        <w:t>En</w:t>
      </w:r>
      <w:r>
        <w:rPr>
          <w:spacing w:val="-4"/>
          <w:w w:val="105"/>
          <w:sz w:val="15"/>
        </w:rPr>
        <w:t xml:space="preserve"> </w:t>
      </w:r>
      <w:r>
        <w:rPr>
          <w:w w:val="105"/>
          <w:sz w:val="15"/>
        </w:rPr>
        <w:t>2015,</w:t>
      </w:r>
      <w:r>
        <w:rPr>
          <w:spacing w:val="-3"/>
          <w:w w:val="105"/>
          <w:sz w:val="15"/>
        </w:rPr>
        <w:t xml:space="preserve"> </w:t>
      </w:r>
      <w:r>
        <w:rPr>
          <w:w w:val="105"/>
          <w:sz w:val="15"/>
        </w:rPr>
        <w:t>el</w:t>
      </w:r>
      <w:r>
        <w:rPr>
          <w:spacing w:val="-4"/>
          <w:w w:val="105"/>
          <w:sz w:val="15"/>
        </w:rPr>
        <w:t xml:space="preserve"> </w:t>
      </w:r>
      <w:r>
        <w:rPr>
          <w:w w:val="105"/>
          <w:sz w:val="15"/>
        </w:rPr>
        <w:t>Comité</w:t>
      </w:r>
      <w:r>
        <w:rPr>
          <w:spacing w:val="-4"/>
          <w:w w:val="105"/>
          <w:sz w:val="15"/>
        </w:rPr>
        <w:t xml:space="preserve"> </w:t>
      </w:r>
      <w:r>
        <w:rPr>
          <w:w w:val="105"/>
          <w:sz w:val="15"/>
        </w:rPr>
        <w:t>para</w:t>
      </w:r>
      <w:r>
        <w:rPr>
          <w:spacing w:val="-4"/>
          <w:w w:val="105"/>
          <w:sz w:val="15"/>
        </w:rPr>
        <w:t xml:space="preserve"> </w:t>
      </w:r>
      <w:r>
        <w:rPr>
          <w:w w:val="105"/>
          <w:sz w:val="15"/>
        </w:rPr>
        <w:t>la</w:t>
      </w:r>
      <w:r>
        <w:rPr>
          <w:spacing w:val="-4"/>
          <w:w w:val="105"/>
          <w:sz w:val="15"/>
        </w:rPr>
        <w:t xml:space="preserve"> </w:t>
      </w:r>
      <w:r>
        <w:rPr>
          <w:w w:val="105"/>
          <w:sz w:val="15"/>
        </w:rPr>
        <w:t>Eliminación</w:t>
      </w:r>
      <w:r>
        <w:rPr>
          <w:spacing w:val="-4"/>
          <w:w w:val="105"/>
          <w:sz w:val="15"/>
        </w:rPr>
        <w:t xml:space="preserve"> </w:t>
      </w:r>
      <w:r>
        <w:rPr>
          <w:w w:val="105"/>
          <w:sz w:val="15"/>
        </w:rPr>
        <w:t>de</w:t>
      </w:r>
      <w:r>
        <w:rPr>
          <w:spacing w:val="-4"/>
          <w:w w:val="105"/>
          <w:sz w:val="15"/>
        </w:rPr>
        <w:t xml:space="preserve"> </w:t>
      </w:r>
      <w:r>
        <w:rPr>
          <w:w w:val="105"/>
          <w:sz w:val="15"/>
        </w:rPr>
        <w:t>la</w:t>
      </w:r>
      <w:r>
        <w:rPr>
          <w:spacing w:val="-4"/>
          <w:w w:val="105"/>
          <w:sz w:val="15"/>
        </w:rPr>
        <w:t xml:space="preserve"> </w:t>
      </w:r>
      <w:r>
        <w:rPr>
          <w:w w:val="105"/>
          <w:sz w:val="15"/>
        </w:rPr>
        <w:t>Discriminación</w:t>
      </w:r>
      <w:r>
        <w:rPr>
          <w:spacing w:val="-4"/>
          <w:w w:val="105"/>
          <w:sz w:val="15"/>
        </w:rPr>
        <w:t xml:space="preserve"> </w:t>
      </w:r>
      <w:r>
        <w:rPr>
          <w:w w:val="105"/>
          <w:sz w:val="15"/>
        </w:rPr>
        <w:t>contra</w:t>
      </w:r>
      <w:r>
        <w:rPr>
          <w:spacing w:val="-4"/>
          <w:w w:val="105"/>
          <w:sz w:val="15"/>
        </w:rPr>
        <w:t xml:space="preserve"> </w:t>
      </w:r>
      <w:r>
        <w:rPr>
          <w:w w:val="105"/>
          <w:sz w:val="15"/>
        </w:rPr>
        <w:t>la</w:t>
      </w:r>
      <w:r>
        <w:rPr>
          <w:spacing w:val="-4"/>
          <w:w w:val="105"/>
          <w:sz w:val="15"/>
        </w:rPr>
        <w:t xml:space="preserve"> </w:t>
      </w:r>
      <w:r>
        <w:rPr>
          <w:w w:val="105"/>
          <w:sz w:val="15"/>
        </w:rPr>
        <w:t>Mujer</w:t>
      </w:r>
      <w:r>
        <w:rPr>
          <w:spacing w:val="-4"/>
          <w:w w:val="105"/>
          <w:sz w:val="15"/>
        </w:rPr>
        <w:t xml:space="preserve"> </w:t>
      </w:r>
      <w:r>
        <w:rPr>
          <w:w w:val="105"/>
          <w:sz w:val="15"/>
        </w:rPr>
        <w:t>emitió</w:t>
      </w:r>
      <w:r>
        <w:rPr>
          <w:spacing w:val="-4"/>
          <w:w w:val="105"/>
          <w:sz w:val="15"/>
        </w:rPr>
        <w:t xml:space="preserve"> </w:t>
      </w:r>
      <w:r>
        <w:rPr>
          <w:w w:val="105"/>
          <w:sz w:val="15"/>
        </w:rPr>
        <w:t>su</w:t>
      </w:r>
      <w:r>
        <w:rPr>
          <w:spacing w:val="-4"/>
          <w:w w:val="105"/>
          <w:sz w:val="15"/>
        </w:rPr>
        <w:t xml:space="preserve"> </w:t>
      </w:r>
      <w:r>
        <w:rPr>
          <w:w w:val="105"/>
          <w:sz w:val="15"/>
        </w:rPr>
        <w:t>recomendación</w:t>
      </w:r>
      <w:r>
        <w:rPr>
          <w:spacing w:val="-4"/>
          <w:w w:val="105"/>
          <w:sz w:val="15"/>
        </w:rPr>
        <w:t xml:space="preserve"> </w:t>
      </w:r>
      <w:r>
        <w:rPr>
          <w:w w:val="105"/>
          <w:sz w:val="15"/>
        </w:rPr>
        <w:t>general</w:t>
      </w:r>
      <w:r>
        <w:rPr>
          <w:spacing w:val="-4"/>
          <w:w w:val="105"/>
          <w:sz w:val="15"/>
        </w:rPr>
        <w:t xml:space="preserve"> </w:t>
      </w:r>
      <w:proofErr w:type="spellStart"/>
      <w:r>
        <w:rPr>
          <w:w w:val="105"/>
          <w:sz w:val="15"/>
        </w:rPr>
        <w:t>n.°</w:t>
      </w:r>
      <w:proofErr w:type="spellEnd"/>
      <w:r>
        <w:rPr>
          <w:spacing w:val="-4"/>
          <w:w w:val="105"/>
          <w:sz w:val="15"/>
        </w:rPr>
        <w:t xml:space="preserve"> </w:t>
      </w:r>
      <w:r>
        <w:rPr>
          <w:w w:val="105"/>
          <w:sz w:val="15"/>
        </w:rPr>
        <w:t>33,</w:t>
      </w:r>
      <w:r>
        <w:rPr>
          <w:spacing w:val="-4"/>
          <w:w w:val="105"/>
          <w:sz w:val="15"/>
        </w:rPr>
        <w:t xml:space="preserve"> </w:t>
      </w:r>
      <w:r>
        <w:rPr>
          <w:w w:val="105"/>
          <w:sz w:val="15"/>
        </w:rPr>
        <w:t>en</w:t>
      </w:r>
      <w:r>
        <w:rPr>
          <w:spacing w:val="-4"/>
          <w:w w:val="105"/>
          <w:sz w:val="15"/>
        </w:rPr>
        <w:t xml:space="preserve"> </w:t>
      </w:r>
      <w:r>
        <w:rPr>
          <w:w w:val="105"/>
          <w:sz w:val="15"/>
        </w:rPr>
        <w:t>la</w:t>
      </w:r>
      <w:r>
        <w:rPr>
          <w:spacing w:val="-4"/>
          <w:w w:val="105"/>
          <w:sz w:val="15"/>
        </w:rPr>
        <w:t xml:space="preserve"> </w:t>
      </w:r>
      <w:r>
        <w:rPr>
          <w:w w:val="105"/>
          <w:sz w:val="15"/>
        </w:rPr>
        <w:t>que identificó seis componentes interrelacionados y esenciales necesarios para garantizar el acceso a la justicia.633</w:t>
      </w:r>
    </w:p>
    <w:p w14:paraId="69330DD5" w14:textId="77777777" w:rsidR="0014798C" w:rsidRDefault="004E1F0B">
      <w:pPr>
        <w:spacing w:line="348" w:lineRule="auto"/>
        <w:ind w:left="1110" w:right="1316" w:hanging="4"/>
        <w:rPr>
          <w:sz w:val="15"/>
        </w:rPr>
      </w:pPr>
      <w:r>
        <w:rPr>
          <w:w w:val="105"/>
          <w:sz w:val="15"/>
        </w:rPr>
        <w:t xml:space="preserve">Estos componentes son: </w:t>
      </w:r>
      <w:proofErr w:type="spellStart"/>
      <w:r>
        <w:rPr>
          <w:w w:val="105"/>
          <w:sz w:val="15"/>
        </w:rPr>
        <w:t>justiciabilidad</w:t>
      </w:r>
      <w:proofErr w:type="spellEnd"/>
      <w:r>
        <w:rPr>
          <w:w w:val="105"/>
          <w:sz w:val="15"/>
        </w:rPr>
        <w:t>, disponibilidad, accesibilidad, buena calidad, provisión de recursos para las víctimas y rendición de cuentas de los sistemas de justicia.634 Si bien las diferencias en las condiciones legales, sociales, culturales, políticas</w:t>
      </w:r>
      <w:r>
        <w:rPr>
          <w:spacing w:val="40"/>
          <w:w w:val="105"/>
          <w:sz w:val="15"/>
        </w:rPr>
        <w:t xml:space="preserve"> </w:t>
      </w:r>
      <w:r>
        <w:rPr>
          <w:w w:val="105"/>
          <w:sz w:val="15"/>
        </w:rPr>
        <w:t>y</w:t>
      </w:r>
      <w:r>
        <w:rPr>
          <w:spacing w:val="-4"/>
          <w:w w:val="105"/>
          <w:sz w:val="15"/>
        </w:rPr>
        <w:t xml:space="preserve"> </w:t>
      </w:r>
      <w:r>
        <w:rPr>
          <w:w w:val="105"/>
          <w:sz w:val="15"/>
        </w:rPr>
        <w:t>económicas</w:t>
      </w:r>
      <w:r>
        <w:rPr>
          <w:spacing w:val="-4"/>
          <w:w w:val="105"/>
          <w:sz w:val="15"/>
        </w:rPr>
        <w:t xml:space="preserve"> </w:t>
      </w:r>
      <w:r>
        <w:rPr>
          <w:w w:val="105"/>
          <w:sz w:val="15"/>
        </w:rPr>
        <w:t>prevalecientes</w:t>
      </w:r>
      <w:r>
        <w:rPr>
          <w:spacing w:val="-4"/>
          <w:w w:val="105"/>
          <w:sz w:val="15"/>
        </w:rPr>
        <w:t xml:space="preserve"> </w:t>
      </w:r>
      <w:r>
        <w:rPr>
          <w:w w:val="105"/>
          <w:sz w:val="15"/>
        </w:rPr>
        <w:t>requerirán</w:t>
      </w:r>
      <w:r>
        <w:rPr>
          <w:spacing w:val="-4"/>
          <w:w w:val="105"/>
          <w:sz w:val="15"/>
        </w:rPr>
        <w:t xml:space="preserve"> </w:t>
      </w:r>
      <w:r>
        <w:rPr>
          <w:w w:val="105"/>
          <w:sz w:val="15"/>
        </w:rPr>
        <w:t>una</w:t>
      </w:r>
      <w:r>
        <w:rPr>
          <w:spacing w:val="-4"/>
          <w:w w:val="105"/>
          <w:sz w:val="15"/>
        </w:rPr>
        <w:t xml:space="preserve"> </w:t>
      </w:r>
      <w:r>
        <w:rPr>
          <w:w w:val="105"/>
          <w:sz w:val="15"/>
        </w:rPr>
        <w:t>aplicación</w:t>
      </w:r>
      <w:r>
        <w:rPr>
          <w:spacing w:val="-4"/>
          <w:w w:val="105"/>
          <w:sz w:val="15"/>
        </w:rPr>
        <w:t xml:space="preserve"> </w:t>
      </w:r>
      <w:r>
        <w:rPr>
          <w:w w:val="105"/>
          <w:sz w:val="15"/>
        </w:rPr>
        <w:t>diferenciada</w:t>
      </w:r>
      <w:r>
        <w:rPr>
          <w:spacing w:val="-4"/>
          <w:w w:val="105"/>
          <w:sz w:val="15"/>
        </w:rPr>
        <w:t xml:space="preserve"> </w:t>
      </w:r>
      <w:r>
        <w:rPr>
          <w:w w:val="105"/>
          <w:sz w:val="15"/>
        </w:rPr>
        <w:t>de</w:t>
      </w:r>
      <w:r>
        <w:rPr>
          <w:spacing w:val="-4"/>
          <w:w w:val="105"/>
          <w:sz w:val="15"/>
        </w:rPr>
        <w:t xml:space="preserve"> </w:t>
      </w:r>
      <w:r>
        <w:rPr>
          <w:w w:val="105"/>
          <w:sz w:val="15"/>
        </w:rPr>
        <w:t>estas</w:t>
      </w:r>
      <w:r>
        <w:rPr>
          <w:spacing w:val="-4"/>
          <w:w w:val="105"/>
          <w:sz w:val="15"/>
        </w:rPr>
        <w:t xml:space="preserve"> </w:t>
      </w:r>
      <w:r>
        <w:rPr>
          <w:w w:val="105"/>
          <w:sz w:val="15"/>
        </w:rPr>
        <w:t>características</w:t>
      </w:r>
      <w:r>
        <w:rPr>
          <w:spacing w:val="-4"/>
          <w:w w:val="105"/>
          <w:sz w:val="15"/>
        </w:rPr>
        <w:t xml:space="preserve"> </w:t>
      </w:r>
      <w:r>
        <w:rPr>
          <w:w w:val="105"/>
          <w:sz w:val="15"/>
        </w:rPr>
        <w:t>en</w:t>
      </w:r>
      <w:r>
        <w:rPr>
          <w:spacing w:val="-4"/>
          <w:w w:val="105"/>
          <w:sz w:val="15"/>
        </w:rPr>
        <w:t xml:space="preserve"> </w:t>
      </w:r>
      <w:r>
        <w:rPr>
          <w:w w:val="105"/>
          <w:sz w:val="15"/>
        </w:rPr>
        <w:t>el</w:t>
      </w:r>
      <w:r>
        <w:rPr>
          <w:spacing w:val="-4"/>
          <w:w w:val="105"/>
          <w:sz w:val="15"/>
        </w:rPr>
        <w:t xml:space="preserve"> </w:t>
      </w:r>
      <w:r>
        <w:rPr>
          <w:w w:val="105"/>
          <w:sz w:val="15"/>
        </w:rPr>
        <w:t>sistema</w:t>
      </w:r>
      <w:r>
        <w:rPr>
          <w:spacing w:val="-4"/>
          <w:w w:val="105"/>
          <w:sz w:val="15"/>
        </w:rPr>
        <w:t xml:space="preserve"> </w:t>
      </w:r>
      <w:r>
        <w:rPr>
          <w:w w:val="105"/>
          <w:sz w:val="15"/>
        </w:rPr>
        <w:t>nacional</w:t>
      </w:r>
      <w:r>
        <w:rPr>
          <w:spacing w:val="-4"/>
          <w:w w:val="105"/>
          <w:sz w:val="15"/>
        </w:rPr>
        <w:t xml:space="preserve"> </w:t>
      </w:r>
      <w:r>
        <w:rPr>
          <w:w w:val="105"/>
          <w:sz w:val="15"/>
        </w:rPr>
        <w:t>En</w:t>
      </w:r>
      <w:r>
        <w:rPr>
          <w:spacing w:val="-4"/>
          <w:w w:val="105"/>
          <w:sz w:val="15"/>
        </w:rPr>
        <w:t xml:space="preserve"> </w:t>
      </w:r>
      <w:r>
        <w:rPr>
          <w:w w:val="105"/>
          <w:sz w:val="15"/>
        </w:rPr>
        <w:t>este</w:t>
      </w:r>
      <w:r>
        <w:rPr>
          <w:spacing w:val="-4"/>
          <w:w w:val="105"/>
          <w:sz w:val="15"/>
        </w:rPr>
        <w:t xml:space="preserve"> </w:t>
      </w:r>
      <w:r>
        <w:rPr>
          <w:w w:val="105"/>
          <w:sz w:val="15"/>
        </w:rPr>
        <w:t xml:space="preserve">contexto, los elementos básicos del enfoque son de relevancia universal y de aplicación inmediata a una legislación integral contra la </w:t>
      </w:r>
      <w:r>
        <w:rPr>
          <w:spacing w:val="-2"/>
          <w:w w:val="105"/>
          <w:sz w:val="15"/>
        </w:rPr>
        <w:t>discriminación.</w:t>
      </w:r>
    </w:p>
    <w:p w14:paraId="66A69F56" w14:textId="77777777" w:rsidR="0014798C" w:rsidRDefault="004E1F0B">
      <w:pPr>
        <w:numPr>
          <w:ilvl w:val="1"/>
          <w:numId w:val="46"/>
        </w:numPr>
        <w:tabs>
          <w:tab w:val="left" w:pos="1354"/>
        </w:tabs>
        <w:spacing w:before="165"/>
        <w:ind w:left="1354" w:hanging="239"/>
        <w:jc w:val="left"/>
        <w:rPr>
          <w:sz w:val="20"/>
        </w:rPr>
      </w:pPr>
      <w:r>
        <w:rPr>
          <w:sz w:val="20"/>
        </w:rPr>
        <w:t>Disponibilidad</w:t>
      </w:r>
      <w:r>
        <w:rPr>
          <w:spacing w:val="7"/>
          <w:sz w:val="20"/>
        </w:rPr>
        <w:t xml:space="preserve"> </w:t>
      </w:r>
      <w:r>
        <w:rPr>
          <w:sz w:val="20"/>
        </w:rPr>
        <w:t>y</w:t>
      </w:r>
      <w:r>
        <w:rPr>
          <w:spacing w:val="8"/>
          <w:sz w:val="20"/>
        </w:rPr>
        <w:t xml:space="preserve"> </w:t>
      </w:r>
      <w:proofErr w:type="spellStart"/>
      <w:r>
        <w:rPr>
          <w:spacing w:val="-2"/>
          <w:sz w:val="20"/>
        </w:rPr>
        <w:t>justiciabilidad</w:t>
      </w:r>
      <w:proofErr w:type="spellEnd"/>
    </w:p>
    <w:p w14:paraId="213B8E52" w14:textId="77777777" w:rsidR="0014798C" w:rsidRDefault="0014798C">
      <w:pPr>
        <w:pStyle w:val="Textoindependiente"/>
        <w:spacing w:before="13"/>
        <w:rPr>
          <w:sz w:val="15"/>
        </w:rPr>
      </w:pPr>
    </w:p>
    <w:p w14:paraId="04CF9EBC" w14:textId="77777777" w:rsidR="0014798C" w:rsidRDefault="004E1F0B">
      <w:pPr>
        <w:spacing w:line="348" w:lineRule="auto"/>
        <w:ind w:left="1107" w:right="1272" w:firstLine="2"/>
        <w:rPr>
          <w:sz w:val="15"/>
        </w:rPr>
      </w:pPr>
      <w:r>
        <w:rPr>
          <w:w w:val="105"/>
          <w:sz w:val="15"/>
        </w:rPr>
        <w:t>La aplicación efectiva del derecho a la no discriminación requiere la adopción de mecanismos judiciales y administrativos para garantizar que todas las personas puedan hacer valer legalmente sus derechos.635 Las cortes, los tribunales, los defensores del pueblo y las instituciones nacionales de derechos humanos tienen todos, en un Estado u otro, y, en mayor o menor medida, asumieron la responsabilidad de hacer cumplir la ley.636 Como se analiza más detalladamente en la sección IV.C.3 de la segunda parte</w:t>
      </w:r>
      <w:r>
        <w:rPr>
          <w:spacing w:val="-3"/>
          <w:w w:val="105"/>
          <w:sz w:val="15"/>
        </w:rPr>
        <w:t xml:space="preserve"> </w:t>
      </w:r>
      <w:r>
        <w:rPr>
          <w:w w:val="105"/>
          <w:sz w:val="15"/>
        </w:rPr>
        <w:t>de</w:t>
      </w:r>
      <w:r>
        <w:rPr>
          <w:spacing w:val="-3"/>
          <w:w w:val="105"/>
          <w:sz w:val="15"/>
        </w:rPr>
        <w:t xml:space="preserve"> </w:t>
      </w:r>
      <w:r>
        <w:rPr>
          <w:w w:val="105"/>
          <w:sz w:val="15"/>
        </w:rPr>
        <w:t>la</w:t>
      </w:r>
      <w:r>
        <w:rPr>
          <w:spacing w:val="-3"/>
          <w:w w:val="105"/>
          <w:sz w:val="15"/>
        </w:rPr>
        <w:t xml:space="preserve"> </w:t>
      </w:r>
      <w:r>
        <w:rPr>
          <w:w w:val="105"/>
          <w:sz w:val="15"/>
        </w:rPr>
        <w:t>presente</w:t>
      </w:r>
      <w:r>
        <w:rPr>
          <w:spacing w:val="-3"/>
          <w:w w:val="105"/>
          <w:sz w:val="15"/>
        </w:rPr>
        <w:t xml:space="preserve"> </w:t>
      </w:r>
      <w:r>
        <w:rPr>
          <w:w w:val="105"/>
          <w:sz w:val="15"/>
        </w:rPr>
        <w:t>guía,</w:t>
      </w:r>
      <w:r>
        <w:rPr>
          <w:spacing w:val="-2"/>
          <w:w w:val="105"/>
          <w:sz w:val="15"/>
        </w:rPr>
        <w:t xml:space="preserve"> </w:t>
      </w:r>
      <w:r>
        <w:rPr>
          <w:w w:val="105"/>
          <w:sz w:val="15"/>
        </w:rPr>
        <w:t>en</w:t>
      </w:r>
      <w:r>
        <w:rPr>
          <w:spacing w:val="-3"/>
          <w:w w:val="105"/>
          <w:sz w:val="15"/>
        </w:rPr>
        <w:t xml:space="preserve"> </w:t>
      </w:r>
      <w:r>
        <w:rPr>
          <w:w w:val="105"/>
          <w:sz w:val="15"/>
        </w:rPr>
        <w:t>algunos</w:t>
      </w:r>
      <w:r>
        <w:rPr>
          <w:spacing w:val="-3"/>
          <w:w w:val="105"/>
          <w:sz w:val="15"/>
        </w:rPr>
        <w:t xml:space="preserve"> </w:t>
      </w:r>
      <w:r>
        <w:rPr>
          <w:w w:val="105"/>
          <w:sz w:val="15"/>
        </w:rPr>
        <w:t>países,</w:t>
      </w:r>
      <w:r>
        <w:rPr>
          <w:spacing w:val="-2"/>
          <w:w w:val="105"/>
          <w:sz w:val="15"/>
        </w:rPr>
        <w:t xml:space="preserve"> </w:t>
      </w:r>
      <w:r>
        <w:rPr>
          <w:w w:val="105"/>
          <w:sz w:val="15"/>
        </w:rPr>
        <w:t>a</w:t>
      </w:r>
      <w:r>
        <w:rPr>
          <w:spacing w:val="-3"/>
          <w:w w:val="105"/>
          <w:sz w:val="15"/>
        </w:rPr>
        <w:t xml:space="preserve"> </w:t>
      </w:r>
      <w:r>
        <w:rPr>
          <w:w w:val="105"/>
          <w:sz w:val="15"/>
        </w:rPr>
        <w:t>los</w:t>
      </w:r>
      <w:r>
        <w:rPr>
          <w:spacing w:val="-3"/>
          <w:w w:val="105"/>
          <w:sz w:val="15"/>
        </w:rPr>
        <w:t xml:space="preserve"> </w:t>
      </w:r>
      <w:r>
        <w:rPr>
          <w:w w:val="105"/>
          <w:sz w:val="15"/>
        </w:rPr>
        <w:t>organismos</w:t>
      </w:r>
      <w:r>
        <w:rPr>
          <w:spacing w:val="-3"/>
          <w:w w:val="105"/>
          <w:sz w:val="15"/>
        </w:rPr>
        <w:t xml:space="preserve"> </w:t>
      </w:r>
      <w:r>
        <w:rPr>
          <w:w w:val="105"/>
          <w:sz w:val="15"/>
        </w:rPr>
        <w:t>especializados</w:t>
      </w:r>
      <w:r>
        <w:rPr>
          <w:spacing w:val="-3"/>
          <w:w w:val="105"/>
          <w:sz w:val="15"/>
        </w:rPr>
        <w:t xml:space="preserve"> </w:t>
      </w:r>
      <w:r>
        <w:rPr>
          <w:w w:val="105"/>
          <w:sz w:val="15"/>
        </w:rPr>
        <w:t>en</w:t>
      </w:r>
      <w:r>
        <w:rPr>
          <w:spacing w:val="-3"/>
          <w:w w:val="105"/>
          <w:sz w:val="15"/>
        </w:rPr>
        <w:t xml:space="preserve"> </w:t>
      </w:r>
      <w:r>
        <w:rPr>
          <w:w w:val="105"/>
          <w:sz w:val="15"/>
        </w:rPr>
        <w:t>igualdad</w:t>
      </w:r>
      <w:r>
        <w:rPr>
          <w:spacing w:val="-3"/>
          <w:w w:val="105"/>
          <w:sz w:val="15"/>
        </w:rPr>
        <w:t xml:space="preserve"> </w:t>
      </w:r>
      <w:r>
        <w:rPr>
          <w:w w:val="105"/>
          <w:sz w:val="15"/>
        </w:rPr>
        <w:t>también</w:t>
      </w:r>
      <w:r>
        <w:rPr>
          <w:spacing w:val="-3"/>
          <w:w w:val="105"/>
          <w:sz w:val="15"/>
        </w:rPr>
        <w:t xml:space="preserve"> </w:t>
      </w:r>
      <w:r>
        <w:rPr>
          <w:w w:val="105"/>
          <w:sz w:val="15"/>
        </w:rPr>
        <w:t>se</w:t>
      </w:r>
      <w:r>
        <w:rPr>
          <w:spacing w:val="-3"/>
          <w:w w:val="105"/>
          <w:sz w:val="15"/>
        </w:rPr>
        <w:t xml:space="preserve"> </w:t>
      </w:r>
      <w:r>
        <w:rPr>
          <w:w w:val="105"/>
          <w:sz w:val="15"/>
        </w:rPr>
        <w:t>les</w:t>
      </w:r>
      <w:r>
        <w:rPr>
          <w:spacing w:val="-3"/>
          <w:w w:val="105"/>
          <w:sz w:val="15"/>
        </w:rPr>
        <w:t xml:space="preserve"> </w:t>
      </w:r>
      <w:r>
        <w:rPr>
          <w:w w:val="105"/>
          <w:sz w:val="15"/>
        </w:rPr>
        <w:t>han</w:t>
      </w:r>
      <w:r>
        <w:rPr>
          <w:spacing w:val="-3"/>
          <w:w w:val="105"/>
          <w:sz w:val="15"/>
        </w:rPr>
        <w:t xml:space="preserve"> </w:t>
      </w:r>
      <w:r>
        <w:rPr>
          <w:w w:val="105"/>
          <w:sz w:val="15"/>
        </w:rPr>
        <w:t>otorgado</w:t>
      </w:r>
      <w:r>
        <w:rPr>
          <w:spacing w:val="-3"/>
          <w:w w:val="105"/>
          <w:sz w:val="15"/>
        </w:rPr>
        <w:t xml:space="preserve"> </w:t>
      </w:r>
      <w:r>
        <w:rPr>
          <w:w w:val="105"/>
          <w:sz w:val="15"/>
        </w:rPr>
        <w:t>poderes</w:t>
      </w:r>
      <w:r>
        <w:rPr>
          <w:spacing w:val="-3"/>
          <w:w w:val="105"/>
          <w:sz w:val="15"/>
        </w:rPr>
        <w:t xml:space="preserve"> </w:t>
      </w:r>
      <w:r>
        <w:rPr>
          <w:w w:val="105"/>
          <w:sz w:val="15"/>
        </w:rPr>
        <w:t>de ejecución</w:t>
      </w:r>
      <w:r>
        <w:rPr>
          <w:spacing w:val="-2"/>
          <w:w w:val="105"/>
          <w:sz w:val="15"/>
        </w:rPr>
        <w:t xml:space="preserve"> </w:t>
      </w:r>
      <w:r>
        <w:rPr>
          <w:w w:val="105"/>
          <w:sz w:val="15"/>
        </w:rPr>
        <w:t>como</w:t>
      </w:r>
      <w:r>
        <w:rPr>
          <w:spacing w:val="-2"/>
          <w:w w:val="105"/>
          <w:sz w:val="15"/>
        </w:rPr>
        <w:t xml:space="preserve"> </w:t>
      </w:r>
      <w:r>
        <w:rPr>
          <w:w w:val="105"/>
          <w:sz w:val="15"/>
        </w:rPr>
        <w:t>parte</w:t>
      </w:r>
      <w:r>
        <w:rPr>
          <w:spacing w:val="-2"/>
          <w:w w:val="105"/>
          <w:sz w:val="15"/>
        </w:rPr>
        <w:t xml:space="preserve"> </w:t>
      </w:r>
      <w:r>
        <w:rPr>
          <w:w w:val="105"/>
          <w:sz w:val="15"/>
        </w:rPr>
        <w:t>de</w:t>
      </w:r>
      <w:r>
        <w:rPr>
          <w:spacing w:val="-2"/>
          <w:w w:val="105"/>
          <w:sz w:val="15"/>
        </w:rPr>
        <w:t xml:space="preserve"> </w:t>
      </w:r>
      <w:r>
        <w:rPr>
          <w:w w:val="105"/>
          <w:sz w:val="15"/>
        </w:rPr>
        <w:t>sus</w:t>
      </w:r>
      <w:r>
        <w:rPr>
          <w:spacing w:val="-2"/>
          <w:w w:val="105"/>
          <w:sz w:val="15"/>
        </w:rPr>
        <w:t xml:space="preserve"> </w:t>
      </w:r>
      <w:r>
        <w:rPr>
          <w:w w:val="105"/>
          <w:sz w:val="15"/>
        </w:rPr>
        <w:t>funciones</w:t>
      </w:r>
      <w:r>
        <w:rPr>
          <w:spacing w:val="-2"/>
          <w:w w:val="105"/>
          <w:sz w:val="15"/>
        </w:rPr>
        <w:t xml:space="preserve"> </w:t>
      </w:r>
      <w:r>
        <w:rPr>
          <w:w w:val="105"/>
          <w:sz w:val="15"/>
        </w:rPr>
        <w:t>institucionales. mandato.637</w:t>
      </w:r>
      <w:r>
        <w:rPr>
          <w:spacing w:val="-2"/>
          <w:w w:val="105"/>
          <w:sz w:val="15"/>
        </w:rPr>
        <w:t xml:space="preserve"> </w:t>
      </w:r>
      <w:r>
        <w:rPr>
          <w:w w:val="105"/>
          <w:sz w:val="15"/>
        </w:rPr>
        <w:t>Cualquiera</w:t>
      </w:r>
      <w:r>
        <w:rPr>
          <w:spacing w:val="-2"/>
          <w:w w:val="105"/>
          <w:sz w:val="15"/>
        </w:rPr>
        <w:t xml:space="preserve"> </w:t>
      </w:r>
      <w:r>
        <w:rPr>
          <w:w w:val="105"/>
          <w:sz w:val="15"/>
        </w:rPr>
        <w:t>que</w:t>
      </w:r>
      <w:r>
        <w:rPr>
          <w:spacing w:val="-2"/>
          <w:w w:val="105"/>
          <w:sz w:val="15"/>
        </w:rPr>
        <w:t xml:space="preserve"> </w:t>
      </w:r>
      <w:r>
        <w:rPr>
          <w:w w:val="105"/>
          <w:sz w:val="15"/>
        </w:rPr>
        <w:t>sea</w:t>
      </w:r>
      <w:r>
        <w:rPr>
          <w:spacing w:val="-2"/>
          <w:w w:val="105"/>
          <w:sz w:val="15"/>
        </w:rPr>
        <w:t xml:space="preserve"> </w:t>
      </w:r>
      <w:r>
        <w:rPr>
          <w:w w:val="105"/>
          <w:sz w:val="15"/>
        </w:rPr>
        <w:t>la</w:t>
      </w:r>
      <w:r>
        <w:rPr>
          <w:spacing w:val="-2"/>
          <w:w w:val="105"/>
          <w:sz w:val="15"/>
        </w:rPr>
        <w:t xml:space="preserve"> </w:t>
      </w:r>
      <w:r>
        <w:rPr>
          <w:w w:val="105"/>
          <w:sz w:val="15"/>
        </w:rPr>
        <w:t>forma</w:t>
      </w:r>
      <w:r>
        <w:rPr>
          <w:spacing w:val="-2"/>
          <w:w w:val="105"/>
          <w:sz w:val="15"/>
        </w:rPr>
        <w:t xml:space="preserve"> </w:t>
      </w:r>
      <w:r>
        <w:rPr>
          <w:w w:val="105"/>
          <w:sz w:val="15"/>
        </w:rPr>
        <w:t>que</w:t>
      </w:r>
      <w:r>
        <w:rPr>
          <w:spacing w:val="-2"/>
          <w:w w:val="105"/>
          <w:sz w:val="15"/>
        </w:rPr>
        <w:t xml:space="preserve"> </w:t>
      </w:r>
      <w:r>
        <w:rPr>
          <w:w w:val="105"/>
          <w:sz w:val="15"/>
        </w:rPr>
        <w:t>adopten</w:t>
      </w:r>
      <w:r>
        <w:rPr>
          <w:spacing w:val="-2"/>
          <w:w w:val="105"/>
          <w:sz w:val="15"/>
        </w:rPr>
        <w:t xml:space="preserve"> </w:t>
      </w:r>
      <w:r>
        <w:rPr>
          <w:w w:val="105"/>
          <w:sz w:val="15"/>
        </w:rPr>
        <w:t>dichas</w:t>
      </w:r>
      <w:r>
        <w:rPr>
          <w:spacing w:val="-2"/>
          <w:w w:val="105"/>
          <w:sz w:val="15"/>
        </w:rPr>
        <w:t xml:space="preserve"> </w:t>
      </w:r>
      <w:r>
        <w:rPr>
          <w:w w:val="105"/>
          <w:sz w:val="15"/>
        </w:rPr>
        <w:t>instituciones, deben ser eficaces para garantizar el acceso a la justicia.</w:t>
      </w:r>
    </w:p>
    <w:p w14:paraId="2C093597" w14:textId="77777777" w:rsidR="0014798C" w:rsidRDefault="004E1F0B">
      <w:pPr>
        <w:spacing w:before="167" w:line="348" w:lineRule="auto"/>
        <w:ind w:left="1108" w:right="1272" w:firstLine="2"/>
        <w:rPr>
          <w:sz w:val="15"/>
        </w:rPr>
      </w:pPr>
      <w:r>
        <w:rPr>
          <w:w w:val="105"/>
          <w:sz w:val="15"/>
        </w:rPr>
        <w:t>Los órganos encargados de hacer cumplir los derechos a la igualdad y la no discriminación deben ser asequibles, tener un mantenimiento adecuado y una buena financiación.638 Estos órganos deben establecerse en todo el Estado, en zonas urbanas, rurales y remotas, y estar disponibles para todas las personas. 639 El Comité de Derechos Económicos, Sociales y Culturales ha subrayado</w:t>
      </w:r>
      <w:r>
        <w:rPr>
          <w:spacing w:val="-3"/>
          <w:w w:val="105"/>
          <w:sz w:val="15"/>
        </w:rPr>
        <w:t xml:space="preserve"> </w:t>
      </w:r>
      <w:r>
        <w:rPr>
          <w:w w:val="105"/>
          <w:sz w:val="15"/>
        </w:rPr>
        <w:t>que</w:t>
      </w:r>
      <w:r>
        <w:rPr>
          <w:spacing w:val="-3"/>
          <w:w w:val="105"/>
          <w:sz w:val="15"/>
        </w:rPr>
        <w:t xml:space="preserve"> </w:t>
      </w:r>
      <w:r>
        <w:rPr>
          <w:w w:val="105"/>
          <w:sz w:val="15"/>
        </w:rPr>
        <w:t>el</w:t>
      </w:r>
      <w:r>
        <w:rPr>
          <w:spacing w:val="-3"/>
          <w:w w:val="105"/>
          <w:sz w:val="15"/>
        </w:rPr>
        <w:t xml:space="preserve"> </w:t>
      </w:r>
      <w:r>
        <w:rPr>
          <w:w w:val="105"/>
          <w:sz w:val="15"/>
        </w:rPr>
        <w:t>disfrute</w:t>
      </w:r>
      <w:r>
        <w:rPr>
          <w:spacing w:val="-3"/>
          <w:w w:val="105"/>
          <w:sz w:val="15"/>
        </w:rPr>
        <w:t xml:space="preserve"> </w:t>
      </w:r>
      <w:r>
        <w:rPr>
          <w:w w:val="105"/>
          <w:sz w:val="15"/>
        </w:rPr>
        <w:t>del</w:t>
      </w:r>
      <w:r>
        <w:rPr>
          <w:spacing w:val="-3"/>
          <w:w w:val="105"/>
          <w:sz w:val="15"/>
        </w:rPr>
        <w:t xml:space="preserve"> </w:t>
      </w:r>
      <w:r>
        <w:rPr>
          <w:w w:val="105"/>
          <w:sz w:val="15"/>
        </w:rPr>
        <w:t>derecho</w:t>
      </w:r>
      <w:r>
        <w:rPr>
          <w:spacing w:val="-3"/>
          <w:w w:val="105"/>
          <w:sz w:val="15"/>
        </w:rPr>
        <w:t xml:space="preserve"> </w:t>
      </w:r>
      <w:r>
        <w:rPr>
          <w:w w:val="105"/>
          <w:sz w:val="15"/>
        </w:rPr>
        <w:t>a</w:t>
      </w:r>
      <w:r>
        <w:rPr>
          <w:spacing w:val="-3"/>
          <w:w w:val="105"/>
          <w:sz w:val="15"/>
        </w:rPr>
        <w:t xml:space="preserve"> </w:t>
      </w:r>
      <w:r>
        <w:rPr>
          <w:w w:val="105"/>
          <w:sz w:val="15"/>
        </w:rPr>
        <w:t>la</w:t>
      </w:r>
      <w:r>
        <w:rPr>
          <w:spacing w:val="-3"/>
          <w:w w:val="105"/>
          <w:sz w:val="15"/>
        </w:rPr>
        <w:t xml:space="preserve"> </w:t>
      </w:r>
      <w:r>
        <w:rPr>
          <w:w w:val="105"/>
          <w:sz w:val="15"/>
        </w:rPr>
        <w:t>no</w:t>
      </w:r>
      <w:r>
        <w:rPr>
          <w:spacing w:val="-3"/>
          <w:w w:val="105"/>
          <w:sz w:val="15"/>
        </w:rPr>
        <w:t xml:space="preserve"> </w:t>
      </w:r>
      <w:r>
        <w:rPr>
          <w:w w:val="105"/>
          <w:sz w:val="15"/>
        </w:rPr>
        <w:t>discriminación</w:t>
      </w:r>
      <w:r>
        <w:rPr>
          <w:spacing w:val="-3"/>
          <w:w w:val="105"/>
          <w:sz w:val="15"/>
        </w:rPr>
        <w:t xml:space="preserve"> </w:t>
      </w:r>
      <w:r>
        <w:rPr>
          <w:w w:val="105"/>
          <w:sz w:val="15"/>
        </w:rPr>
        <w:t>“no</w:t>
      </w:r>
      <w:r>
        <w:rPr>
          <w:spacing w:val="-3"/>
          <w:w w:val="105"/>
          <w:sz w:val="15"/>
        </w:rPr>
        <w:t xml:space="preserve"> </w:t>
      </w:r>
      <w:r>
        <w:rPr>
          <w:w w:val="105"/>
          <w:sz w:val="15"/>
        </w:rPr>
        <w:t>debe</w:t>
      </w:r>
      <w:r>
        <w:rPr>
          <w:spacing w:val="-3"/>
          <w:w w:val="105"/>
          <w:sz w:val="15"/>
        </w:rPr>
        <w:t xml:space="preserve"> </w:t>
      </w:r>
      <w:r>
        <w:rPr>
          <w:w w:val="105"/>
          <w:sz w:val="15"/>
        </w:rPr>
        <w:t>estar</w:t>
      </w:r>
      <w:r>
        <w:rPr>
          <w:spacing w:val="-3"/>
          <w:w w:val="105"/>
          <w:sz w:val="15"/>
        </w:rPr>
        <w:t xml:space="preserve"> </w:t>
      </w:r>
      <w:r>
        <w:rPr>
          <w:w w:val="105"/>
          <w:sz w:val="15"/>
        </w:rPr>
        <w:t>condicionado</w:t>
      </w:r>
      <w:r>
        <w:rPr>
          <w:spacing w:val="-3"/>
          <w:w w:val="105"/>
          <w:sz w:val="15"/>
        </w:rPr>
        <w:t xml:space="preserve"> </w:t>
      </w:r>
      <w:r>
        <w:rPr>
          <w:w w:val="105"/>
          <w:sz w:val="15"/>
        </w:rPr>
        <w:t>o</w:t>
      </w:r>
      <w:r>
        <w:rPr>
          <w:spacing w:val="-3"/>
          <w:w w:val="105"/>
          <w:sz w:val="15"/>
        </w:rPr>
        <w:t xml:space="preserve"> </w:t>
      </w:r>
      <w:r>
        <w:rPr>
          <w:w w:val="105"/>
          <w:sz w:val="15"/>
        </w:rPr>
        <w:t>determinado</w:t>
      </w:r>
      <w:r>
        <w:rPr>
          <w:spacing w:val="-3"/>
          <w:w w:val="105"/>
          <w:sz w:val="15"/>
        </w:rPr>
        <w:t xml:space="preserve"> </w:t>
      </w:r>
      <w:r>
        <w:rPr>
          <w:w w:val="105"/>
          <w:sz w:val="15"/>
        </w:rPr>
        <w:t>por</w:t>
      </w:r>
      <w:r>
        <w:rPr>
          <w:spacing w:val="-3"/>
          <w:w w:val="105"/>
          <w:sz w:val="15"/>
        </w:rPr>
        <w:t xml:space="preserve"> </w:t>
      </w:r>
      <w:r>
        <w:rPr>
          <w:w w:val="105"/>
          <w:sz w:val="15"/>
        </w:rPr>
        <w:t>el</w:t>
      </w:r>
      <w:r>
        <w:rPr>
          <w:spacing w:val="-3"/>
          <w:w w:val="105"/>
          <w:sz w:val="15"/>
        </w:rPr>
        <w:t xml:space="preserve"> </w:t>
      </w:r>
      <w:r>
        <w:rPr>
          <w:w w:val="105"/>
          <w:sz w:val="15"/>
        </w:rPr>
        <w:t>lugar</w:t>
      </w:r>
      <w:r>
        <w:rPr>
          <w:spacing w:val="-3"/>
          <w:w w:val="105"/>
          <w:sz w:val="15"/>
        </w:rPr>
        <w:t xml:space="preserve"> </w:t>
      </w:r>
      <w:r>
        <w:rPr>
          <w:w w:val="105"/>
          <w:sz w:val="15"/>
        </w:rPr>
        <w:t>de</w:t>
      </w:r>
      <w:r>
        <w:rPr>
          <w:spacing w:val="-3"/>
          <w:w w:val="105"/>
          <w:sz w:val="15"/>
        </w:rPr>
        <w:t xml:space="preserve"> </w:t>
      </w:r>
      <w:r>
        <w:rPr>
          <w:w w:val="105"/>
          <w:sz w:val="15"/>
        </w:rPr>
        <w:t>residencia actual o anterior de una persona”. 640 Esto se aplica, entre otras cosas. otras cosas,</w:t>
      </w:r>
    </w:p>
    <w:p w14:paraId="7859AA88" w14:textId="77777777" w:rsidR="0014798C" w:rsidRDefault="0014798C">
      <w:pPr>
        <w:pStyle w:val="Textoindependiente"/>
        <w:spacing w:before="40" w:after="1"/>
        <w:rPr>
          <w:sz w:val="20"/>
        </w:rPr>
      </w:pPr>
    </w:p>
    <w:p w14:paraId="22F02AF4" w14:textId="77777777" w:rsidR="0014798C" w:rsidRDefault="004E1F0B">
      <w:pPr>
        <w:pStyle w:val="Textoindependiente"/>
        <w:spacing w:line="56" w:lineRule="exact"/>
        <w:ind w:left="1101"/>
        <w:rPr>
          <w:sz w:val="5"/>
        </w:rPr>
      </w:pPr>
      <w:r>
        <w:rPr>
          <w:noProof/>
          <w:sz w:val="5"/>
        </w:rPr>
        <w:drawing>
          <wp:inline distT="0" distB="0" distL="0" distR="0" wp14:anchorId="628C0C97" wp14:editId="31CBECCD">
            <wp:extent cx="931001" cy="35813"/>
            <wp:effectExtent l="0" t="0" r="0" b="0"/>
            <wp:docPr id="200" name="Image 20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00" name="Image 200"/>
                    <pic:cNvPicPr/>
                  </pic:nvPicPr>
                  <pic:blipFill>
                    <a:blip r:embed="rId179" cstate="print"/>
                    <a:stretch>
                      <a:fillRect/>
                    </a:stretch>
                  </pic:blipFill>
                  <pic:spPr>
                    <a:xfrm>
                      <a:off x="0" y="0"/>
                      <a:ext cx="931001" cy="35813"/>
                    </a:xfrm>
                    <a:prstGeom prst="rect">
                      <a:avLst/>
                    </a:prstGeom>
                  </pic:spPr>
                </pic:pic>
              </a:graphicData>
            </a:graphic>
          </wp:inline>
        </w:drawing>
      </w:r>
    </w:p>
    <w:p w14:paraId="72AC9CBE" w14:textId="77777777" w:rsidR="0014798C" w:rsidRDefault="0014798C">
      <w:pPr>
        <w:spacing w:line="56" w:lineRule="exact"/>
        <w:rPr>
          <w:sz w:val="5"/>
        </w:rPr>
        <w:sectPr w:rsidR="0014798C" w:rsidSect="00F265E4">
          <w:headerReference w:type="default" r:id="rId180"/>
          <w:pgSz w:w="11900" w:h="16820"/>
          <w:pgMar w:top="340" w:right="0" w:bottom="280" w:left="200" w:header="121" w:footer="0" w:gutter="0"/>
          <w:cols w:space="720"/>
        </w:sectPr>
      </w:pPr>
    </w:p>
    <w:p w14:paraId="63061783" w14:textId="77777777" w:rsidR="0014798C" w:rsidRDefault="004E1F0B">
      <w:pPr>
        <w:spacing w:before="91"/>
        <w:jc w:val="right"/>
        <w:rPr>
          <w:sz w:val="8"/>
        </w:rPr>
      </w:pPr>
      <w:r>
        <w:rPr>
          <w:spacing w:val="-5"/>
          <w:w w:val="105"/>
          <w:sz w:val="8"/>
        </w:rPr>
        <w:t>630</w:t>
      </w:r>
    </w:p>
    <w:p w14:paraId="7BC0EB68" w14:textId="77777777" w:rsidR="0014798C" w:rsidRDefault="004E1F0B">
      <w:pPr>
        <w:spacing w:before="130"/>
        <w:ind w:left="80"/>
        <w:rPr>
          <w:sz w:val="12"/>
        </w:rPr>
      </w:pPr>
      <w:r>
        <w:br w:type="column"/>
      </w:r>
      <w:r>
        <w:rPr>
          <w:sz w:val="12"/>
        </w:rPr>
        <w:t>Véase,</w:t>
      </w:r>
      <w:r>
        <w:rPr>
          <w:spacing w:val="-1"/>
          <w:sz w:val="12"/>
        </w:rPr>
        <w:t xml:space="preserve"> </w:t>
      </w:r>
      <w:r>
        <w:rPr>
          <w:sz w:val="12"/>
        </w:rPr>
        <w:t>por</w:t>
      </w:r>
      <w:r>
        <w:rPr>
          <w:spacing w:val="-1"/>
          <w:sz w:val="12"/>
        </w:rPr>
        <w:t xml:space="preserve"> </w:t>
      </w:r>
      <w:r>
        <w:rPr>
          <w:sz w:val="12"/>
        </w:rPr>
        <w:t>ejemplo, Comité</w:t>
      </w:r>
      <w:r>
        <w:rPr>
          <w:spacing w:val="-1"/>
          <w:sz w:val="12"/>
        </w:rPr>
        <w:t xml:space="preserve"> </w:t>
      </w:r>
      <w:r>
        <w:rPr>
          <w:sz w:val="12"/>
        </w:rPr>
        <w:t>sobre</w:t>
      </w:r>
      <w:r>
        <w:rPr>
          <w:spacing w:val="-1"/>
          <w:sz w:val="12"/>
        </w:rPr>
        <w:t xml:space="preserve"> </w:t>
      </w:r>
      <w:r>
        <w:rPr>
          <w:sz w:val="12"/>
        </w:rPr>
        <w:t>los</w:t>
      </w:r>
      <w:r>
        <w:rPr>
          <w:spacing w:val="-1"/>
          <w:sz w:val="12"/>
        </w:rPr>
        <w:t xml:space="preserve"> </w:t>
      </w:r>
      <w:r>
        <w:rPr>
          <w:sz w:val="12"/>
        </w:rPr>
        <w:t>Derechos</w:t>
      </w:r>
      <w:r>
        <w:rPr>
          <w:spacing w:val="-1"/>
          <w:sz w:val="12"/>
        </w:rPr>
        <w:t xml:space="preserve"> </w:t>
      </w:r>
      <w:r>
        <w:rPr>
          <w:sz w:val="12"/>
        </w:rPr>
        <w:t>de</w:t>
      </w:r>
      <w:r>
        <w:rPr>
          <w:spacing w:val="-1"/>
          <w:sz w:val="12"/>
        </w:rPr>
        <w:t xml:space="preserve"> </w:t>
      </w:r>
      <w:r>
        <w:rPr>
          <w:sz w:val="12"/>
        </w:rPr>
        <w:t>las</w:t>
      </w:r>
      <w:r>
        <w:rPr>
          <w:spacing w:val="-1"/>
          <w:sz w:val="12"/>
        </w:rPr>
        <w:t xml:space="preserve"> </w:t>
      </w:r>
      <w:r>
        <w:rPr>
          <w:sz w:val="12"/>
        </w:rPr>
        <w:t>Personas</w:t>
      </w:r>
      <w:r>
        <w:rPr>
          <w:spacing w:val="-1"/>
          <w:sz w:val="12"/>
        </w:rPr>
        <w:t xml:space="preserve"> </w:t>
      </w:r>
      <w:r>
        <w:rPr>
          <w:sz w:val="12"/>
        </w:rPr>
        <w:t>con</w:t>
      </w:r>
      <w:r>
        <w:rPr>
          <w:spacing w:val="-1"/>
          <w:sz w:val="12"/>
        </w:rPr>
        <w:t xml:space="preserve"> </w:t>
      </w:r>
      <w:r>
        <w:rPr>
          <w:sz w:val="12"/>
        </w:rPr>
        <w:t>Discapacidad,</w:t>
      </w:r>
      <w:r>
        <w:rPr>
          <w:spacing w:val="1"/>
          <w:sz w:val="12"/>
        </w:rPr>
        <w:t xml:space="preserve"> </w:t>
      </w:r>
      <w:r>
        <w:rPr>
          <w:sz w:val="12"/>
        </w:rPr>
        <w:t>observación</w:t>
      </w:r>
      <w:r>
        <w:rPr>
          <w:spacing w:val="-1"/>
          <w:sz w:val="12"/>
        </w:rPr>
        <w:t xml:space="preserve"> </w:t>
      </w:r>
      <w:r>
        <w:rPr>
          <w:sz w:val="12"/>
        </w:rPr>
        <w:t>general</w:t>
      </w:r>
      <w:r>
        <w:rPr>
          <w:spacing w:val="-1"/>
          <w:sz w:val="12"/>
        </w:rPr>
        <w:t xml:space="preserve"> </w:t>
      </w:r>
      <w:r>
        <w:rPr>
          <w:sz w:val="12"/>
        </w:rPr>
        <w:t>núm.</w:t>
      </w:r>
      <w:r>
        <w:rPr>
          <w:spacing w:val="-1"/>
          <w:sz w:val="12"/>
        </w:rPr>
        <w:t xml:space="preserve"> </w:t>
      </w:r>
      <w:r>
        <w:rPr>
          <w:sz w:val="12"/>
        </w:rPr>
        <w:t>6</w:t>
      </w:r>
      <w:r>
        <w:rPr>
          <w:spacing w:val="-1"/>
          <w:sz w:val="12"/>
        </w:rPr>
        <w:t xml:space="preserve"> </w:t>
      </w:r>
      <w:r>
        <w:rPr>
          <w:sz w:val="12"/>
        </w:rPr>
        <w:t xml:space="preserve">(2018), </w:t>
      </w:r>
      <w:proofErr w:type="spellStart"/>
      <w:r>
        <w:rPr>
          <w:sz w:val="12"/>
        </w:rPr>
        <w:t>párrs</w:t>
      </w:r>
      <w:proofErr w:type="spellEnd"/>
      <w:r>
        <w:rPr>
          <w:sz w:val="12"/>
        </w:rPr>
        <w:t>. 31</w:t>
      </w:r>
      <w:r>
        <w:rPr>
          <w:spacing w:val="-1"/>
          <w:sz w:val="12"/>
        </w:rPr>
        <w:t xml:space="preserve"> </w:t>
      </w:r>
      <w:r>
        <w:rPr>
          <w:sz w:val="12"/>
        </w:rPr>
        <w:t>(b)</w:t>
      </w:r>
      <w:r>
        <w:rPr>
          <w:spacing w:val="-1"/>
          <w:sz w:val="12"/>
        </w:rPr>
        <w:t xml:space="preserve"> </w:t>
      </w:r>
      <w:r>
        <w:rPr>
          <w:sz w:val="12"/>
        </w:rPr>
        <w:t>y</w:t>
      </w:r>
      <w:r>
        <w:rPr>
          <w:spacing w:val="-1"/>
          <w:sz w:val="12"/>
        </w:rPr>
        <w:t xml:space="preserve"> </w:t>
      </w:r>
      <w:r>
        <w:rPr>
          <w:sz w:val="12"/>
        </w:rPr>
        <w:t>73</w:t>
      </w:r>
      <w:r>
        <w:rPr>
          <w:spacing w:val="-1"/>
          <w:sz w:val="12"/>
        </w:rPr>
        <w:t xml:space="preserve"> </w:t>
      </w:r>
      <w:r>
        <w:rPr>
          <w:sz w:val="12"/>
        </w:rPr>
        <w:t>(h);</w:t>
      </w:r>
      <w:r>
        <w:rPr>
          <w:spacing w:val="-1"/>
          <w:sz w:val="12"/>
        </w:rPr>
        <w:t xml:space="preserve"> </w:t>
      </w:r>
      <w:r>
        <w:rPr>
          <w:spacing w:val="-2"/>
          <w:sz w:val="12"/>
        </w:rPr>
        <w:t>Comité</w:t>
      </w:r>
    </w:p>
    <w:p w14:paraId="3313E76C" w14:textId="77777777" w:rsidR="0014798C" w:rsidRDefault="004E1F0B">
      <w:pPr>
        <w:spacing w:before="41" w:line="312" w:lineRule="auto"/>
        <w:ind w:left="76" w:right="1784" w:firstLine="5"/>
        <w:rPr>
          <w:sz w:val="12"/>
        </w:rPr>
      </w:pPr>
      <w:r>
        <w:rPr>
          <w:sz w:val="12"/>
        </w:rPr>
        <w:t xml:space="preserve">para la Eliminación de la Discriminación contra la Mujer, recomendación general núm. 33 (2015), párr. </w:t>
      </w:r>
      <w:r>
        <w:rPr>
          <w:w w:val="95"/>
          <w:sz w:val="12"/>
        </w:rPr>
        <w:t xml:space="preserve">1; </w:t>
      </w:r>
      <w:r>
        <w:rPr>
          <w:sz w:val="12"/>
        </w:rPr>
        <w:t xml:space="preserve">E/C.12/NPL/CO/3, párr. 11 </w:t>
      </w:r>
      <w:r>
        <w:rPr>
          <w:w w:val="95"/>
          <w:sz w:val="12"/>
        </w:rPr>
        <w:t xml:space="preserve">(f); </w:t>
      </w:r>
      <w:r>
        <w:rPr>
          <w:sz w:val="12"/>
        </w:rPr>
        <w:t>CCPR/C/SVK/CO/4,</w:t>
      </w:r>
      <w:r>
        <w:rPr>
          <w:spacing w:val="40"/>
          <w:sz w:val="12"/>
        </w:rPr>
        <w:t xml:space="preserve"> </w:t>
      </w:r>
      <w:r>
        <w:rPr>
          <w:sz w:val="12"/>
        </w:rPr>
        <w:t xml:space="preserve">párr. </w:t>
      </w:r>
      <w:r>
        <w:rPr>
          <w:w w:val="95"/>
          <w:sz w:val="12"/>
        </w:rPr>
        <w:t xml:space="preserve">11; </w:t>
      </w:r>
      <w:r>
        <w:rPr>
          <w:sz w:val="12"/>
        </w:rPr>
        <w:t>y CERD/C/POL/CO/22-24, párr. 8b).</w:t>
      </w:r>
    </w:p>
    <w:p w14:paraId="1DA1F0C7" w14:textId="77777777" w:rsidR="0014798C" w:rsidRDefault="0014798C">
      <w:pPr>
        <w:spacing w:line="312" w:lineRule="auto"/>
        <w:rPr>
          <w:sz w:val="12"/>
        </w:rPr>
        <w:sectPr w:rsidR="0014798C" w:rsidSect="00F265E4">
          <w:type w:val="continuous"/>
          <w:pgSz w:w="11900" w:h="16820"/>
          <w:pgMar w:top="40" w:right="0" w:bottom="280" w:left="200" w:header="121" w:footer="0" w:gutter="0"/>
          <w:cols w:num="2" w:space="720" w:equalWidth="0">
            <w:col w:w="1250" w:space="40"/>
            <w:col w:w="10410"/>
          </w:cols>
        </w:sectPr>
      </w:pPr>
    </w:p>
    <w:p w14:paraId="689ED443" w14:textId="77777777" w:rsidR="0014798C" w:rsidRDefault="004E1F0B">
      <w:pPr>
        <w:spacing w:before="65"/>
        <w:ind w:left="1108"/>
        <w:rPr>
          <w:sz w:val="12"/>
        </w:rPr>
      </w:pPr>
      <w:r>
        <w:rPr>
          <w:sz w:val="12"/>
        </w:rPr>
        <w:t>631</w:t>
      </w:r>
      <w:r>
        <w:rPr>
          <w:spacing w:val="1"/>
          <w:sz w:val="12"/>
        </w:rPr>
        <w:t xml:space="preserve"> </w:t>
      </w:r>
      <w:r>
        <w:rPr>
          <w:sz w:val="12"/>
        </w:rPr>
        <w:t>Comité</w:t>
      </w:r>
      <w:r>
        <w:rPr>
          <w:spacing w:val="2"/>
          <w:sz w:val="12"/>
        </w:rPr>
        <w:t xml:space="preserve"> </w:t>
      </w:r>
      <w:r>
        <w:rPr>
          <w:sz w:val="12"/>
        </w:rPr>
        <w:t>para</w:t>
      </w:r>
      <w:r>
        <w:rPr>
          <w:spacing w:val="2"/>
          <w:sz w:val="12"/>
        </w:rPr>
        <w:t xml:space="preserve"> </w:t>
      </w:r>
      <w:r>
        <w:rPr>
          <w:sz w:val="12"/>
        </w:rPr>
        <w:t>la</w:t>
      </w:r>
      <w:r>
        <w:rPr>
          <w:spacing w:val="2"/>
          <w:sz w:val="12"/>
        </w:rPr>
        <w:t xml:space="preserve"> </w:t>
      </w:r>
      <w:r>
        <w:rPr>
          <w:sz w:val="12"/>
        </w:rPr>
        <w:t>Eliminación</w:t>
      </w:r>
      <w:r>
        <w:rPr>
          <w:spacing w:val="2"/>
          <w:sz w:val="12"/>
        </w:rPr>
        <w:t xml:space="preserve"> </w:t>
      </w:r>
      <w:r>
        <w:rPr>
          <w:sz w:val="12"/>
        </w:rPr>
        <w:t>de</w:t>
      </w:r>
      <w:r>
        <w:rPr>
          <w:spacing w:val="2"/>
          <w:sz w:val="12"/>
        </w:rPr>
        <w:t xml:space="preserve"> </w:t>
      </w:r>
      <w:r>
        <w:rPr>
          <w:sz w:val="12"/>
        </w:rPr>
        <w:t>la</w:t>
      </w:r>
      <w:r>
        <w:rPr>
          <w:spacing w:val="2"/>
          <w:sz w:val="12"/>
        </w:rPr>
        <w:t xml:space="preserve"> </w:t>
      </w:r>
      <w:r>
        <w:rPr>
          <w:sz w:val="12"/>
        </w:rPr>
        <w:t>Discriminación</w:t>
      </w:r>
      <w:r>
        <w:rPr>
          <w:spacing w:val="1"/>
          <w:sz w:val="12"/>
        </w:rPr>
        <w:t xml:space="preserve"> </w:t>
      </w:r>
      <w:r>
        <w:rPr>
          <w:sz w:val="12"/>
        </w:rPr>
        <w:t>contra</w:t>
      </w:r>
      <w:r>
        <w:rPr>
          <w:spacing w:val="2"/>
          <w:sz w:val="12"/>
        </w:rPr>
        <w:t xml:space="preserve"> </w:t>
      </w:r>
      <w:r>
        <w:rPr>
          <w:sz w:val="12"/>
        </w:rPr>
        <w:t>la</w:t>
      </w:r>
      <w:r>
        <w:rPr>
          <w:spacing w:val="2"/>
          <w:sz w:val="12"/>
        </w:rPr>
        <w:t xml:space="preserve"> </w:t>
      </w:r>
      <w:r>
        <w:rPr>
          <w:sz w:val="12"/>
        </w:rPr>
        <w:t>Mujer,</w:t>
      </w:r>
      <w:r>
        <w:rPr>
          <w:spacing w:val="3"/>
          <w:sz w:val="12"/>
        </w:rPr>
        <w:t xml:space="preserve"> </w:t>
      </w:r>
      <w:r>
        <w:rPr>
          <w:sz w:val="12"/>
        </w:rPr>
        <w:t>recomendación</w:t>
      </w:r>
      <w:r>
        <w:rPr>
          <w:spacing w:val="2"/>
          <w:sz w:val="12"/>
        </w:rPr>
        <w:t xml:space="preserve"> </w:t>
      </w:r>
      <w:r>
        <w:rPr>
          <w:sz w:val="12"/>
        </w:rPr>
        <w:t>general</w:t>
      </w:r>
      <w:r>
        <w:rPr>
          <w:spacing w:val="2"/>
          <w:sz w:val="12"/>
        </w:rPr>
        <w:t xml:space="preserve"> </w:t>
      </w:r>
      <w:r>
        <w:rPr>
          <w:sz w:val="12"/>
        </w:rPr>
        <w:t>núm.</w:t>
      </w:r>
      <w:r>
        <w:rPr>
          <w:spacing w:val="3"/>
          <w:sz w:val="12"/>
        </w:rPr>
        <w:t xml:space="preserve"> </w:t>
      </w:r>
      <w:r>
        <w:rPr>
          <w:sz w:val="12"/>
        </w:rPr>
        <w:t>33</w:t>
      </w:r>
      <w:r>
        <w:rPr>
          <w:spacing w:val="2"/>
          <w:sz w:val="12"/>
        </w:rPr>
        <w:t xml:space="preserve"> </w:t>
      </w:r>
      <w:r>
        <w:rPr>
          <w:sz w:val="12"/>
        </w:rPr>
        <w:t>(2015),</w:t>
      </w:r>
      <w:r>
        <w:rPr>
          <w:spacing w:val="2"/>
          <w:sz w:val="12"/>
        </w:rPr>
        <w:t xml:space="preserve"> </w:t>
      </w:r>
      <w:r>
        <w:rPr>
          <w:sz w:val="12"/>
        </w:rPr>
        <w:t>párr.</w:t>
      </w:r>
      <w:r>
        <w:rPr>
          <w:spacing w:val="3"/>
          <w:sz w:val="12"/>
        </w:rPr>
        <w:t xml:space="preserve"> </w:t>
      </w:r>
      <w:r>
        <w:rPr>
          <w:spacing w:val="-5"/>
          <w:sz w:val="12"/>
        </w:rPr>
        <w:t>1.</w:t>
      </w:r>
    </w:p>
    <w:p w14:paraId="3042039B" w14:textId="77777777" w:rsidR="0014798C" w:rsidRDefault="0014798C">
      <w:pPr>
        <w:rPr>
          <w:sz w:val="12"/>
        </w:rPr>
        <w:sectPr w:rsidR="0014798C" w:rsidSect="00F265E4">
          <w:type w:val="continuous"/>
          <w:pgSz w:w="11900" w:h="16820"/>
          <w:pgMar w:top="40" w:right="0" w:bottom="280" w:left="200" w:header="121" w:footer="0" w:gutter="0"/>
          <w:cols w:space="720"/>
        </w:sectPr>
      </w:pPr>
    </w:p>
    <w:p w14:paraId="6F910F0C" w14:textId="77777777" w:rsidR="0014798C" w:rsidRDefault="004E1F0B">
      <w:pPr>
        <w:spacing w:before="53"/>
        <w:jc w:val="right"/>
        <w:rPr>
          <w:sz w:val="8"/>
        </w:rPr>
      </w:pPr>
      <w:r>
        <w:rPr>
          <w:spacing w:val="-5"/>
          <w:w w:val="105"/>
          <w:sz w:val="8"/>
        </w:rPr>
        <w:t>632</w:t>
      </w:r>
    </w:p>
    <w:p w14:paraId="2AFB32FA" w14:textId="77777777" w:rsidR="0014798C" w:rsidRDefault="004E1F0B">
      <w:pPr>
        <w:spacing w:before="91" w:line="312" w:lineRule="auto"/>
        <w:ind w:left="76" w:right="1663" w:firstLine="4"/>
        <w:rPr>
          <w:sz w:val="12"/>
        </w:rPr>
      </w:pPr>
      <w:r>
        <w:br w:type="column"/>
      </w:r>
      <w:r>
        <w:rPr>
          <w:sz w:val="12"/>
        </w:rPr>
        <w:t xml:space="preserve">Véanse, respectivamente, y en distintos contextos, Comité para la Eliminación de la Discriminación Racial, recomendación general núm. 31 (2005), </w:t>
      </w:r>
      <w:proofErr w:type="spellStart"/>
      <w:r>
        <w:rPr>
          <w:sz w:val="12"/>
        </w:rPr>
        <w:t>párrs</w:t>
      </w:r>
      <w:proofErr w:type="spellEnd"/>
      <w:r>
        <w:rPr>
          <w:sz w:val="12"/>
        </w:rPr>
        <w:t>. 6–9;</w:t>
      </w:r>
      <w:r>
        <w:rPr>
          <w:spacing w:val="40"/>
          <w:sz w:val="12"/>
        </w:rPr>
        <w:t xml:space="preserve"> </w:t>
      </w:r>
      <w:r>
        <w:rPr>
          <w:sz w:val="12"/>
        </w:rPr>
        <w:t>Comité de Derechos Humanos, observación general núm. 32 (2007), párr. 11; y Comité de Derechos Económicos, Sociales y Culturales, observación general</w:t>
      </w:r>
      <w:r>
        <w:rPr>
          <w:spacing w:val="40"/>
          <w:sz w:val="12"/>
        </w:rPr>
        <w:t xml:space="preserve"> </w:t>
      </w:r>
      <w:r>
        <w:rPr>
          <w:sz w:val="12"/>
        </w:rPr>
        <w:t xml:space="preserve">núm. 24 (2017), </w:t>
      </w:r>
      <w:proofErr w:type="spellStart"/>
      <w:r>
        <w:rPr>
          <w:sz w:val="12"/>
        </w:rPr>
        <w:t>párrs</w:t>
      </w:r>
      <w:proofErr w:type="spellEnd"/>
      <w:r>
        <w:rPr>
          <w:sz w:val="12"/>
        </w:rPr>
        <w:t>. 40 y 51–52. Con mayor frecuencia, los Comités examinan el acceso a la justicia en el contexto de la reparación, que se analiza en el</w:t>
      </w:r>
      <w:r>
        <w:rPr>
          <w:spacing w:val="40"/>
          <w:sz w:val="12"/>
        </w:rPr>
        <w:t xml:space="preserve"> </w:t>
      </w:r>
      <w:r>
        <w:rPr>
          <w:sz w:val="12"/>
        </w:rPr>
        <w:t>capítulo II de la segunda parte de la presente guía.</w:t>
      </w:r>
    </w:p>
    <w:p w14:paraId="01DF5ECA" w14:textId="77777777" w:rsidR="0014798C" w:rsidRDefault="0014798C">
      <w:pPr>
        <w:spacing w:line="312" w:lineRule="auto"/>
        <w:rPr>
          <w:sz w:val="12"/>
        </w:rPr>
        <w:sectPr w:rsidR="0014798C" w:rsidSect="00F265E4">
          <w:type w:val="continuous"/>
          <w:pgSz w:w="11900" w:h="16820"/>
          <w:pgMar w:top="40" w:right="0" w:bottom="280" w:left="200" w:header="121" w:footer="0" w:gutter="0"/>
          <w:cols w:num="2" w:space="720" w:equalWidth="0">
            <w:col w:w="1250" w:space="40"/>
            <w:col w:w="10410"/>
          </w:cols>
        </w:sectPr>
      </w:pPr>
    </w:p>
    <w:p w14:paraId="7144272C" w14:textId="77777777" w:rsidR="0014798C" w:rsidRDefault="004E1F0B">
      <w:pPr>
        <w:spacing w:before="66"/>
        <w:ind w:left="1108"/>
        <w:rPr>
          <w:sz w:val="12"/>
        </w:rPr>
      </w:pPr>
      <w:r>
        <w:rPr>
          <w:sz w:val="12"/>
        </w:rPr>
        <w:t>633</w:t>
      </w:r>
      <w:r>
        <w:rPr>
          <w:spacing w:val="1"/>
          <w:sz w:val="12"/>
        </w:rPr>
        <w:t xml:space="preserve"> </w:t>
      </w:r>
      <w:r>
        <w:rPr>
          <w:sz w:val="12"/>
        </w:rPr>
        <w:t>Comité</w:t>
      </w:r>
      <w:r>
        <w:rPr>
          <w:spacing w:val="2"/>
          <w:sz w:val="12"/>
        </w:rPr>
        <w:t xml:space="preserve"> </w:t>
      </w:r>
      <w:r>
        <w:rPr>
          <w:sz w:val="12"/>
        </w:rPr>
        <w:t>para</w:t>
      </w:r>
      <w:r>
        <w:rPr>
          <w:spacing w:val="2"/>
          <w:sz w:val="12"/>
        </w:rPr>
        <w:t xml:space="preserve"> </w:t>
      </w:r>
      <w:r>
        <w:rPr>
          <w:sz w:val="12"/>
        </w:rPr>
        <w:t>la</w:t>
      </w:r>
      <w:r>
        <w:rPr>
          <w:spacing w:val="2"/>
          <w:sz w:val="12"/>
        </w:rPr>
        <w:t xml:space="preserve"> </w:t>
      </w:r>
      <w:r>
        <w:rPr>
          <w:sz w:val="12"/>
        </w:rPr>
        <w:t>Eliminación</w:t>
      </w:r>
      <w:r>
        <w:rPr>
          <w:spacing w:val="2"/>
          <w:sz w:val="12"/>
        </w:rPr>
        <w:t xml:space="preserve"> </w:t>
      </w:r>
      <w:r>
        <w:rPr>
          <w:sz w:val="12"/>
        </w:rPr>
        <w:t>de</w:t>
      </w:r>
      <w:r>
        <w:rPr>
          <w:spacing w:val="2"/>
          <w:sz w:val="12"/>
        </w:rPr>
        <w:t xml:space="preserve"> </w:t>
      </w:r>
      <w:r>
        <w:rPr>
          <w:sz w:val="12"/>
        </w:rPr>
        <w:t>la</w:t>
      </w:r>
      <w:r>
        <w:rPr>
          <w:spacing w:val="2"/>
          <w:sz w:val="12"/>
        </w:rPr>
        <w:t xml:space="preserve"> </w:t>
      </w:r>
      <w:r>
        <w:rPr>
          <w:sz w:val="12"/>
        </w:rPr>
        <w:t>Discriminación</w:t>
      </w:r>
      <w:r>
        <w:rPr>
          <w:spacing w:val="1"/>
          <w:sz w:val="12"/>
        </w:rPr>
        <w:t xml:space="preserve"> </w:t>
      </w:r>
      <w:r>
        <w:rPr>
          <w:sz w:val="12"/>
        </w:rPr>
        <w:t>contra</w:t>
      </w:r>
      <w:r>
        <w:rPr>
          <w:spacing w:val="2"/>
          <w:sz w:val="12"/>
        </w:rPr>
        <w:t xml:space="preserve"> </w:t>
      </w:r>
      <w:r>
        <w:rPr>
          <w:sz w:val="12"/>
        </w:rPr>
        <w:t>la</w:t>
      </w:r>
      <w:r>
        <w:rPr>
          <w:spacing w:val="2"/>
          <w:sz w:val="12"/>
        </w:rPr>
        <w:t xml:space="preserve"> </w:t>
      </w:r>
      <w:r>
        <w:rPr>
          <w:sz w:val="12"/>
        </w:rPr>
        <w:t>Mujer,</w:t>
      </w:r>
      <w:r>
        <w:rPr>
          <w:spacing w:val="3"/>
          <w:sz w:val="12"/>
        </w:rPr>
        <w:t xml:space="preserve"> </w:t>
      </w:r>
      <w:r>
        <w:rPr>
          <w:sz w:val="12"/>
        </w:rPr>
        <w:t>recomendación</w:t>
      </w:r>
      <w:r>
        <w:rPr>
          <w:spacing w:val="2"/>
          <w:sz w:val="12"/>
        </w:rPr>
        <w:t xml:space="preserve"> </w:t>
      </w:r>
      <w:r>
        <w:rPr>
          <w:sz w:val="12"/>
        </w:rPr>
        <w:t>general</w:t>
      </w:r>
      <w:r>
        <w:rPr>
          <w:spacing w:val="2"/>
          <w:sz w:val="12"/>
        </w:rPr>
        <w:t xml:space="preserve"> </w:t>
      </w:r>
      <w:r>
        <w:rPr>
          <w:sz w:val="12"/>
        </w:rPr>
        <w:t>núm.</w:t>
      </w:r>
      <w:r>
        <w:rPr>
          <w:spacing w:val="3"/>
          <w:sz w:val="12"/>
        </w:rPr>
        <w:t xml:space="preserve"> </w:t>
      </w:r>
      <w:r>
        <w:rPr>
          <w:sz w:val="12"/>
        </w:rPr>
        <w:t>33</w:t>
      </w:r>
      <w:r>
        <w:rPr>
          <w:spacing w:val="2"/>
          <w:sz w:val="12"/>
        </w:rPr>
        <w:t xml:space="preserve"> </w:t>
      </w:r>
      <w:r>
        <w:rPr>
          <w:sz w:val="12"/>
        </w:rPr>
        <w:t>(2015),</w:t>
      </w:r>
      <w:r>
        <w:rPr>
          <w:spacing w:val="2"/>
          <w:sz w:val="12"/>
        </w:rPr>
        <w:t xml:space="preserve"> </w:t>
      </w:r>
      <w:r>
        <w:rPr>
          <w:sz w:val="12"/>
        </w:rPr>
        <w:t>párr.</w:t>
      </w:r>
      <w:r>
        <w:rPr>
          <w:spacing w:val="3"/>
          <w:sz w:val="12"/>
        </w:rPr>
        <w:t xml:space="preserve"> </w:t>
      </w:r>
      <w:r>
        <w:rPr>
          <w:spacing w:val="-5"/>
          <w:sz w:val="12"/>
        </w:rPr>
        <w:t>14.</w:t>
      </w:r>
    </w:p>
    <w:p w14:paraId="5E9FC13D" w14:textId="77777777" w:rsidR="0014798C" w:rsidRDefault="004E1F0B">
      <w:pPr>
        <w:spacing w:before="98"/>
        <w:ind w:left="1108"/>
        <w:rPr>
          <w:sz w:val="12"/>
        </w:rPr>
      </w:pPr>
      <w:r>
        <w:rPr>
          <w:sz w:val="12"/>
        </w:rPr>
        <w:t>634</w:t>
      </w:r>
      <w:r>
        <w:rPr>
          <w:spacing w:val="1"/>
          <w:sz w:val="12"/>
        </w:rPr>
        <w:t xml:space="preserve"> </w:t>
      </w:r>
      <w:proofErr w:type="spellStart"/>
      <w:r>
        <w:rPr>
          <w:sz w:val="12"/>
        </w:rPr>
        <w:t>Ibíd</w:t>
      </w:r>
      <w:proofErr w:type="spellEnd"/>
      <w:r>
        <w:rPr>
          <w:sz w:val="12"/>
        </w:rPr>
        <w:t>.</w:t>
      </w:r>
      <w:r>
        <w:rPr>
          <w:spacing w:val="2"/>
          <w:sz w:val="12"/>
        </w:rPr>
        <w:t xml:space="preserve"> </w:t>
      </w:r>
      <w:r>
        <w:rPr>
          <w:sz w:val="12"/>
        </w:rPr>
        <w:t>Para</w:t>
      </w:r>
      <w:r>
        <w:rPr>
          <w:spacing w:val="2"/>
          <w:sz w:val="12"/>
        </w:rPr>
        <w:t xml:space="preserve"> </w:t>
      </w:r>
      <w:r>
        <w:rPr>
          <w:sz w:val="12"/>
        </w:rPr>
        <w:t>el</w:t>
      </w:r>
      <w:r>
        <w:rPr>
          <w:spacing w:val="2"/>
          <w:sz w:val="12"/>
        </w:rPr>
        <w:t xml:space="preserve"> </w:t>
      </w:r>
      <w:r>
        <w:rPr>
          <w:sz w:val="12"/>
        </w:rPr>
        <w:t>análisis</w:t>
      </w:r>
      <w:r>
        <w:rPr>
          <w:spacing w:val="2"/>
          <w:sz w:val="12"/>
        </w:rPr>
        <w:t xml:space="preserve"> </w:t>
      </w:r>
      <w:r>
        <w:rPr>
          <w:sz w:val="12"/>
        </w:rPr>
        <w:t>de</w:t>
      </w:r>
      <w:r>
        <w:rPr>
          <w:spacing w:val="1"/>
          <w:sz w:val="12"/>
        </w:rPr>
        <w:t xml:space="preserve"> </w:t>
      </w:r>
      <w:r>
        <w:rPr>
          <w:sz w:val="12"/>
        </w:rPr>
        <w:t>la</w:t>
      </w:r>
      <w:r>
        <w:rPr>
          <w:spacing w:val="2"/>
          <w:sz w:val="12"/>
        </w:rPr>
        <w:t xml:space="preserve"> </w:t>
      </w:r>
      <w:r>
        <w:rPr>
          <w:sz w:val="12"/>
        </w:rPr>
        <w:t>solución,</w:t>
      </w:r>
      <w:r>
        <w:rPr>
          <w:spacing w:val="3"/>
          <w:sz w:val="12"/>
        </w:rPr>
        <w:t xml:space="preserve"> </w:t>
      </w:r>
      <w:r>
        <w:rPr>
          <w:sz w:val="12"/>
        </w:rPr>
        <w:t>véase</w:t>
      </w:r>
      <w:r>
        <w:rPr>
          <w:spacing w:val="2"/>
          <w:sz w:val="12"/>
        </w:rPr>
        <w:t xml:space="preserve"> </w:t>
      </w:r>
      <w:r>
        <w:rPr>
          <w:sz w:val="12"/>
        </w:rPr>
        <w:t>el</w:t>
      </w:r>
      <w:r>
        <w:rPr>
          <w:spacing w:val="2"/>
          <w:sz w:val="12"/>
        </w:rPr>
        <w:t xml:space="preserve"> </w:t>
      </w:r>
      <w:r>
        <w:rPr>
          <w:sz w:val="12"/>
        </w:rPr>
        <w:t>capítulo</w:t>
      </w:r>
      <w:r>
        <w:rPr>
          <w:spacing w:val="2"/>
          <w:sz w:val="12"/>
        </w:rPr>
        <w:t xml:space="preserve"> </w:t>
      </w:r>
      <w:r>
        <w:rPr>
          <w:sz w:val="12"/>
        </w:rPr>
        <w:t>II</w:t>
      </w:r>
      <w:r>
        <w:rPr>
          <w:spacing w:val="1"/>
          <w:sz w:val="12"/>
        </w:rPr>
        <w:t xml:space="preserve"> </w:t>
      </w:r>
      <w:r>
        <w:rPr>
          <w:sz w:val="12"/>
        </w:rPr>
        <w:t>de</w:t>
      </w:r>
      <w:r>
        <w:rPr>
          <w:spacing w:val="2"/>
          <w:sz w:val="12"/>
        </w:rPr>
        <w:t xml:space="preserve"> </w:t>
      </w:r>
      <w:r>
        <w:rPr>
          <w:sz w:val="12"/>
        </w:rPr>
        <w:t>la</w:t>
      </w:r>
      <w:r>
        <w:rPr>
          <w:spacing w:val="2"/>
          <w:sz w:val="12"/>
        </w:rPr>
        <w:t xml:space="preserve"> </w:t>
      </w:r>
      <w:r>
        <w:rPr>
          <w:sz w:val="12"/>
        </w:rPr>
        <w:t>segunda</w:t>
      </w:r>
      <w:r>
        <w:rPr>
          <w:spacing w:val="2"/>
          <w:sz w:val="12"/>
        </w:rPr>
        <w:t xml:space="preserve"> </w:t>
      </w:r>
      <w:r>
        <w:rPr>
          <w:sz w:val="12"/>
        </w:rPr>
        <w:t>parte</w:t>
      </w:r>
      <w:r>
        <w:rPr>
          <w:spacing w:val="2"/>
          <w:sz w:val="12"/>
        </w:rPr>
        <w:t xml:space="preserve"> </w:t>
      </w:r>
      <w:r>
        <w:rPr>
          <w:sz w:val="12"/>
        </w:rPr>
        <w:t>de</w:t>
      </w:r>
      <w:r>
        <w:rPr>
          <w:spacing w:val="2"/>
          <w:sz w:val="12"/>
        </w:rPr>
        <w:t xml:space="preserve"> </w:t>
      </w:r>
      <w:r>
        <w:rPr>
          <w:sz w:val="12"/>
        </w:rPr>
        <w:t>la</w:t>
      </w:r>
      <w:r>
        <w:rPr>
          <w:spacing w:val="1"/>
          <w:sz w:val="12"/>
        </w:rPr>
        <w:t xml:space="preserve"> </w:t>
      </w:r>
      <w:r>
        <w:rPr>
          <w:sz w:val="12"/>
        </w:rPr>
        <w:t>presente</w:t>
      </w:r>
      <w:r>
        <w:rPr>
          <w:spacing w:val="2"/>
          <w:sz w:val="12"/>
        </w:rPr>
        <w:t xml:space="preserve"> </w:t>
      </w:r>
      <w:r>
        <w:rPr>
          <w:spacing w:val="-2"/>
          <w:sz w:val="12"/>
        </w:rPr>
        <w:t>guía.</w:t>
      </w:r>
    </w:p>
    <w:p w14:paraId="31C5347A" w14:textId="77777777" w:rsidR="0014798C" w:rsidRDefault="004E1F0B">
      <w:pPr>
        <w:spacing w:before="99"/>
        <w:ind w:left="1108"/>
        <w:rPr>
          <w:sz w:val="12"/>
        </w:rPr>
      </w:pPr>
      <w:r>
        <w:rPr>
          <w:sz w:val="12"/>
        </w:rPr>
        <w:t>635</w:t>
      </w:r>
      <w:r>
        <w:rPr>
          <w:spacing w:val="1"/>
          <w:sz w:val="12"/>
        </w:rPr>
        <w:t xml:space="preserve"> </w:t>
      </w:r>
      <w:r>
        <w:rPr>
          <w:sz w:val="12"/>
        </w:rPr>
        <w:t>Comité</w:t>
      </w:r>
      <w:r>
        <w:rPr>
          <w:spacing w:val="2"/>
          <w:sz w:val="12"/>
        </w:rPr>
        <w:t xml:space="preserve"> </w:t>
      </w:r>
      <w:r>
        <w:rPr>
          <w:sz w:val="12"/>
        </w:rPr>
        <w:t>para</w:t>
      </w:r>
      <w:r>
        <w:rPr>
          <w:spacing w:val="2"/>
          <w:sz w:val="12"/>
        </w:rPr>
        <w:t xml:space="preserve"> </w:t>
      </w:r>
      <w:r>
        <w:rPr>
          <w:sz w:val="12"/>
        </w:rPr>
        <w:t>la</w:t>
      </w:r>
      <w:r>
        <w:rPr>
          <w:spacing w:val="2"/>
          <w:sz w:val="12"/>
        </w:rPr>
        <w:t xml:space="preserve"> </w:t>
      </w:r>
      <w:r>
        <w:rPr>
          <w:sz w:val="12"/>
        </w:rPr>
        <w:t>Eliminación</w:t>
      </w:r>
      <w:r>
        <w:rPr>
          <w:spacing w:val="2"/>
          <w:sz w:val="12"/>
        </w:rPr>
        <w:t xml:space="preserve"> </w:t>
      </w:r>
      <w:r>
        <w:rPr>
          <w:sz w:val="12"/>
        </w:rPr>
        <w:t>de</w:t>
      </w:r>
      <w:r>
        <w:rPr>
          <w:spacing w:val="2"/>
          <w:sz w:val="12"/>
        </w:rPr>
        <w:t xml:space="preserve"> </w:t>
      </w:r>
      <w:r>
        <w:rPr>
          <w:sz w:val="12"/>
        </w:rPr>
        <w:t>la</w:t>
      </w:r>
      <w:r>
        <w:rPr>
          <w:spacing w:val="2"/>
          <w:sz w:val="12"/>
        </w:rPr>
        <w:t xml:space="preserve"> </w:t>
      </w:r>
      <w:r>
        <w:rPr>
          <w:sz w:val="12"/>
        </w:rPr>
        <w:t>Discriminación</w:t>
      </w:r>
      <w:r>
        <w:rPr>
          <w:spacing w:val="2"/>
          <w:sz w:val="12"/>
        </w:rPr>
        <w:t xml:space="preserve"> </w:t>
      </w:r>
      <w:r>
        <w:rPr>
          <w:sz w:val="12"/>
        </w:rPr>
        <w:t>contra</w:t>
      </w:r>
      <w:r>
        <w:rPr>
          <w:spacing w:val="2"/>
          <w:sz w:val="12"/>
        </w:rPr>
        <w:t xml:space="preserve"> </w:t>
      </w:r>
      <w:r>
        <w:rPr>
          <w:sz w:val="12"/>
        </w:rPr>
        <w:t>la</w:t>
      </w:r>
      <w:r>
        <w:rPr>
          <w:spacing w:val="2"/>
          <w:sz w:val="12"/>
        </w:rPr>
        <w:t xml:space="preserve"> </w:t>
      </w:r>
      <w:r>
        <w:rPr>
          <w:sz w:val="12"/>
        </w:rPr>
        <w:t>Mujer,</w:t>
      </w:r>
      <w:r>
        <w:rPr>
          <w:spacing w:val="3"/>
          <w:sz w:val="12"/>
        </w:rPr>
        <w:t xml:space="preserve"> </w:t>
      </w:r>
      <w:r>
        <w:rPr>
          <w:sz w:val="12"/>
        </w:rPr>
        <w:t>recomendación</w:t>
      </w:r>
      <w:r>
        <w:rPr>
          <w:spacing w:val="2"/>
          <w:sz w:val="12"/>
        </w:rPr>
        <w:t xml:space="preserve"> </w:t>
      </w:r>
      <w:r>
        <w:rPr>
          <w:sz w:val="12"/>
        </w:rPr>
        <w:t>general</w:t>
      </w:r>
      <w:r>
        <w:rPr>
          <w:spacing w:val="2"/>
          <w:sz w:val="12"/>
        </w:rPr>
        <w:t xml:space="preserve"> </w:t>
      </w:r>
      <w:r>
        <w:rPr>
          <w:sz w:val="12"/>
        </w:rPr>
        <w:t>núm.</w:t>
      </w:r>
      <w:r>
        <w:rPr>
          <w:spacing w:val="3"/>
          <w:sz w:val="12"/>
        </w:rPr>
        <w:t xml:space="preserve"> </w:t>
      </w:r>
      <w:r>
        <w:rPr>
          <w:sz w:val="12"/>
        </w:rPr>
        <w:t>33</w:t>
      </w:r>
      <w:r>
        <w:rPr>
          <w:spacing w:val="1"/>
          <w:sz w:val="12"/>
        </w:rPr>
        <w:t xml:space="preserve"> </w:t>
      </w:r>
      <w:r>
        <w:rPr>
          <w:sz w:val="12"/>
        </w:rPr>
        <w:t>(2015),</w:t>
      </w:r>
      <w:r>
        <w:rPr>
          <w:spacing w:val="3"/>
          <w:sz w:val="12"/>
        </w:rPr>
        <w:t xml:space="preserve"> </w:t>
      </w:r>
      <w:r>
        <w:rPr>
          <w:sz w:val="12"/>
        </w:rPr>
        <w:t>párr.</w:t>
      </w:r>
      <w:r>
        <w:rPr>
          <w:spacing w:val="3"/>
          <w:sz w:val="12"/>
        </w:rPr>
        <w:t xml:space="preserve"> </w:t>
      </w:r>
      <w:r>
        <w:rPr>
          <w:sz w:val="12"/>
        </w:rPr>
        <w:t>14(a).</w:t>
      </w:r>
      <w:r>
        <w:rPr>
          <w:spacing w:val="3"/>
          <w:sz w:val="12"/>
        </w:rPr>
        <w:t xml:space="preserve"> </w:t>
      </w:r>
      <w:r>
        <w:rPr>
          <w:sz w:val="12"/>
        </w:rPr>
        <w:t>Ver</w:t>
      </w:r>
      <w:r>
        <w:rPr>
          <w:spacing w:val="2"/>
          <w:sz w:val="12"/>
        </w:rPr>
        <w:t xml:space="preserve"> </w:t>
      </w:r>
      <w:r>
        <w:rPr>
          <w:spacing w:val="-2"/>
          <w:sz w:val="12"/>
        </w:rPr>
        <w:t>también</w:t>
      </w:r>
    </w:p>
    <w:p w14:paraId="757AF4B3" w14:textId="77777777" w:rsidR="0014798C" w:rsidRDefault="004E1F0B">
      <w:pPr>
        <w:spacing w:before="34"/>
        <w:ind w:left="1367"/>
        <w:rPr>
          <w:sz w:val="12"/>
        </w:rPr>
      </w:pPr>
      <w:r>
        <w:rPr>
          <w:sz w:val="12"/>
        </w:rPr>
        <w:t>Pacto</w:t>
      </w:r>
      <w:r>
        <w:rPr>
          <w:spacing w:val="-2"/>
          <w:sz w:val="12"/>
        </w:rPr>
        <w:t xml:space="preserve"> </w:t>
      </w:r>
      <w:r>
        <w:rPr>
          <w:sz w:val="12"/>
        </w:rPr>
        <w:t>Internacional</w:t>
      </w:r>
      <w:r>
        <w:rPr>
          <w:spacing w:val="-1"/>
          <w:sz w:val="12"/>
        </w:rPr>
        <w:t xml:space="preserve"> </w:t>
      </w:r>
      <w:r>
        <w:rPr>
          <w:sz w:val="12"/>
        </w:rPr>
        <w:t>de</w:t>
      </w:r>
      <w:r>
        <w:rPr>
          <w:spacing w:val="-1"/>
          <w:sz w:val="12"/>
        </w:rPr>
        <w:t xml:space="preserve"> </w:t>
      </w:r>
      <w:r>
        <w:rPr>
          <w:sz w:val="12"/>
        </w:rPr>
        <w:t>Derechos</w:t>
      </w:r>
      <w:r>
        <w:rPr>
          <w:spacing w:val="-1"/>
          <w:sz w:val="12"/>
        </w:rPr>
        <w:t xml:space="preserve"> </w:t>
      </w:r>
      <w:r>
        <w:rPr>
          <w:sz w:val="12"/>
        </w:rPr>
        <w:t>Civiles</w:t>
      </w:r>
      <w:r>
        <w:rPr>
          <w:spacing w:val="-1"/>
          <w:sz w:val="12"/>
        </w:rPr>
        <w:t xml:space="preserve"> </w:t>
      </w:r>
      <w:r>
        <w:rPr>
          <w:sz w:val="12"/>
        </w:rPr>
        <w:t>y</w:t>
      </w:r>
      <w:r>
        <w:rPr>
          <w:spacing w:val="-1"/>
          <w:sz w:val="12"/>
        </w:rPr>
        <w:t xml:space="preserve"> </w:t>
      </w:r>
      <w:r>
        <w:rPr>
          <w:sz w:val="12"/>
        </w:rPr>
        <w:t>Políticos, art.</w:t>
      </w:r>
      <w:r>
        <w:rPr>
          <w:spacing w:val="-1"/>
          <w:sz w:val="12"/>
        </w:rPr>
        <w:t xml:space="preserve"> </w:t>
      </w:r>
      <w:r>
        <w:rPr>
          <w:sz w:val="12"/>
        </w:rPr>
        <w:t>2</w:t>
      </w:r>
      <w:r>
        <w:rPr>
          <w:spacing w:val="-1"/>
          <w:sz w:val="12"/>
        </w:rPr>
        <w:t xml:space="preserve"> </w:t>
      </w:r>
      <w:r>
        <w:rPr>
          <w:sz w:val="12"/>
        </w:rPr>
        <w:t>(3)</w:t>
      </w:r>
      <w:r>
        <w:rPr>
          <w:spacing w:val="-1"/>
          <w:sz w:val="12"/>
        </w:rPr>
        <w:t xml:space="preserve"> </w:t>
      </w:r>
      <w:r>
        <w:rPr>
          <w:sz w:val="12"/>
        </w:rPr>
        <w:t>(b);</w:t>
      </w:r>
      <w:r>
        <w:rPr>
          <w:spacing w:val="-1"/>
          <w:sz w:val="12"/>
        </w:rPr>
        <w:t xml:space="preserve"> </w:t>
      </w:r>
      <w:r>
        <w:rPr>
          <w:sz w:val="12"/>
        </w:rPr>
        <w:t>Convención</w:t>
      </w:r>
      <w:r>
        <w:rPr>
          <w:spacing w:val="-1"/>
          <w:sz w:val="12"/>
        </w:rPr>
        <w:t xml:space="preserve"> </w:t>
      </w:r>
      <w:r>
        <w:rPr>
          <w:sz w:val="12"/>
        </w:rPr>
        <w:t>Internacional</w:t>
      </w:r>
      <w:r>
        <w:rPr>
          <w:spacing w:val="-1"/>
          <w:sz w:val="12"/>
        </w:rPr>
        <w:t xml:space="preserve"> </w:t>
      </w:r>
      <w:r>
        <w:rPr>
          <w:sz w:val="12"/>
        </w:rPr>
        <w:t>sobre</w:t>
      </w:r>
      <w:r>
        <w:rPr>
          <w:spacing w:val="-1"/>
          <w:sz w:val="12"/>
        </w:rPr>
        <w:t xml:space="preserve"> </w:t>
      </w:r>
      <w:r>
        <w:rPr>
          <w:sz w:val="12"/>
        </w:rPr>
        <w:t>la</w:t>
      </w:r>
      <w:r>
        <w:rPr>
          <w:spacing w:val="-1"/>
          <w:sz w:val="12"/>
        </w:rPr>
        <w:t xml:space="preserve"> </w:t>
      </w:r>
      <w:r>
        <w:rPr>
          <w:sz w:val="12"/>
        </w:rPr>
        <w:t>Eliminación</w:t>
      </w:r>
      <w:r>
        <w:rPr>
          <w:spacing w:val="-1"/>
          <w:sz w:val="12"/>
        </w:rPr>
        <w:t xml:space="preserve"> </w:t>
      </w:r>
      <w:r>
        <w:rPr>
          <w:sz w:val="12"/>
        </w:rPr>
        <w:t>de</w:t>
      </w:r>
      <w:r>
        <w:rPr>
          <w:spacing w:val="-1"/>
          <w:sz w:val="12"/>
        </w:rPr>
        <w:t xml:space="preserve"> </w:t>
      </w:r>
      <w:r>
        <w:rPr>
          <w:sz w:val="12"/>
        </w:rPr>
        <w:t>todas</w:t>
      </w:r>
      <w:r>
        <w:rPr>
          <w:spacing w:val="-1"/>
          <w:sz w:val="12"/>
        </w:rPr>
        <w:t xml:space="preserve"> </w:t>
      </w:r>
      <w:r>
        <w:rPr>
          <w:sz w:val="12"/>
        </w:rPr>
        <w:t>las</w:t>
      </w:r>
      <w:r>
        <w:rPr>
          <w:spacing w:val="-1"/>
          <w:sz w:val="12"/>
        </w:rPr>
        <w:t xml:space="preserve"> </w:t>
      </w:r>
      <w:r>
        <w:rPr>
          <w:sz w:val="12"/>
        </w:rPr>
        <w:t>Formas</w:t>
      </w:r>
      <w:r>
        <w:rPr>
          <w:spacing w:val="-1"/>
          <w:sz w:val="12"/>
        </w:rPr>
        <w:t xml:space="preserve"> </w:t>
      </w:r>
      <w:r>
        <w:rPr>
          <w:sz w:val="12"/>
        </w:rPr>
        <w:t>de</w:t>
      </w:r>
      <w:r>
        <w:rPr>
          <w:spacing w:val="-1"/>
          <w:sz w:val="12"/>
        </w:rPr>
        <w:t xml:space="preserve"> </w:t>
      </w:r>
      <w:r>
        <w:rPr>
          <w:sz w:val="12"/>
        </w:rPr>
        <w:t>Discriminación</w:t>
      </w:r>
      <w:r>
        <w:rPr>
          <w:spacing w:val="-1"/>
          <w:sz w:val="12"/>
        </w:rPr>
        <w:t xml:space="preserve"> </w:t>
      </w:r>
      <w:r>
        <w:rPr>
          <w:spacing w:val="-2"/>
          <w:sz w:val="12"/>
        </w:rPr>
        <w:t>Racial,</w:t>
      </w:r>
    </w:p>
    <w:p w14:paraId="090A62B4" w14:textId="77777777" w:rsidR="0014798C" w:rsidRDefault="004E1F0B">
      <w:pPr>
        <w:spacing w:before="42" w:line="312" w:lineRule="auto"/>
        <w:ind w:left="1369" w:right="1272" w:hanging="2"/>
        <w:rPr>
          <w:sz w:val="12"/>
        </w:rPr>
      </w:pPr>
      <w:r>
        <w:rPr>
          <w:sz w:val="12"/>
        </w:rPr>
        <w:t xml:space="preserve">art. </w:t>
      </w:r>
      <w:r>
        <w:rPr>
          <w:w w:val="95"/>
          <w:sz w:val="12"/>
        </w:rPr>
        <w:t xml:space="preserve">6; </w:t>
      </w:r>
      <w:r>
        <w:rPr>
          <w:sz w:val="12"/>
        </w:rPr>
        <w:t>Convención sobre la eliminación de todas las formas de discriminación contra la mujer art. 2</w:t>
      </w:r>
      <w:proofErr w:type="gramStart"/>
      <w:r>
        <w:rPr>
          <w:sz w:val="12"/>
        </w:rPr>
        <w:t>c);</w:t>
      </w:r>
      <w:proofErr w:type="gramEnd"/>
      <w:r>
        <w:rPr>
          <w:sz w:val="12"/>
        </w:rPr>
        <w:t xml:space="preserve"> Comité sobre los Derechos de las Personas con Discapacidad,</w:t>
      </w:r>
      <w:r>
        <w:rPr>
          <w:spacing w:val="40"/>
          <w:sz w:val="12"/>
        </w:rPr>
        <w:t xml:space="preserve"> </w:t>
      </w:r>
      <w:r>
        <w:rPr>
          <w:sz w:val="12"/>
        </w:rPr>
        <w:t>observación general núm. 6 (2018), párr. 73 (h); Comité de Derechos Humanos, observación general núm. 31 (2004), párr. 15; y Comité de Derechos</w:t>
      </w:r>
    </w:p>
    <w:p w14:paraId="6E79479D" w14:textId="77777777" w:rsidR="0014798C" w:rsidRDefault="004E1F0B">
      <w:pPr>
        <w:spacing w:before="1"/>
        <w:ind w:left="1366"/>
        <w:rPr>
          <w:sz w:val="12"/>
        </w:rPr>
      </w:pPr>
      <w:r>
        <w:rPr>
          <w:sz w:val="12"/>
        </w:rPr>
        <w:t>Económicos,</w:t>
      </w:r>
      <w:r>
        <w:rPr>
          <w:spacing w:val="3"/>
          <w:sz w:val="12"/>
        </w:rPr>
        <w:t xml:space="preserve"> </w:t>
      </w:r>
      <w:r>
        <w:rPr>
          <w:sz w:val="12"/>
        </w:rPr>
        <w:t>Sociales</w:t>
      </w:r>
      <w:r>
        <w:rPr>
          <w:spacing w:val="3"/>
          <w:sz w:val="12"/>
        </w:rPr>
        <w:t xml:space="preserve"> </w:t>
      </w:r>
      <w:r>
        <w:rPr>
          <w:sz w:val="12"/>
        </w:rPr>
        <w:t>y</w:t>
      </w:r>
      <w:r>
        <w:rPr>
          <w:spacing w:val="3"/>
          <w:sz w:val="12"/>
        </w:rPr>
        <w:t xml:space="preserve"> </w:t>
      </w:r>
      <w:r>
        <w:rPr>
          <w:sz w:val="12"/>
        </w:rPr>
        <w:t>Culturales,</w:t>
      </w:r>
      <w:r>
        <w:rPr>
          <w:spacing w:val="3"/>
          <w:sz w:val="12"/>
        </w:rPr>
        <w:t xml:space="preserve"> </w:t>
      </w:r>
      <w:r>
        <w:rPr>
          <w:sz w:val="12"/>
        </w:rPr>
        <w:t>observación</w:t>
      </w:r>
      <w:r>
        <w:rPr>
          <w:spacing w:val="3"/>
          <w:sz w:val="12"/>
        </w:rPr>
        <w:t xml:space="preserve"> </w:t>
      </w:r>
      <w:r>
        <w:rPr>
          <w:sz w:val="12"/>
        </w:rPr>
        <w:t>general</w:t>
      </w:r>
      <w:r>
        <w:rPr>
          <w:spacing w:val="3"/>
          <w:sz w:val="12"/>
        </w:rPr>
        <w:t xml:space="preserve"> </w:t>
      </w:r>
      <w:r>
        <w:rPr>
          <w:sz w:val="12"/>
        </w:rPr>
        <w:t>núm.</w:t>
      </w:r>
      <w:r>
        <w:rPr>
          <w:spacing w:val="2"/>
          <w:sz w:val="12"/>
        </w:rPr>
        <w:t xml:space="preserve"> </w:t>
      </w:r>
      <w:r>
        <w:rPr>
          <w:sz w:val="12"/>
        </w:rPr>
        <w:t>20</w:t>
      </w:r>
      <w:r>
        <w:rPr>
          <w:spacing w:val="3"/>
          <w:sz w:val="12"/>
        </w:rPr>
        <w:t xml:space="preserve"> </w:t>
      </w:r>
      <w:r>
        <w:rPr>
          <w:sz w:val="12"/>
        </w:rPr>
        <w:t>(2009),</w:t>
      </w:r>
      <w:r>
        <w:rPr>
          <w:spacing w:val="4"/>
          <w:sz w:val="12"/>
        </w:rPr>
        <w:t xml:space="preserve"> </w:t>
      </w:r>
      <w:r>
        <w:rPr>
          <w:sz w:val="12"/>
        </w:rPr>
        <w:t>párr.</w:t>
      </w:r>
      <w:r>
        <w:rPr>
          <w:spacing w:val="3"/>
          <w:sz w:val="12"/>
        </w:rPr>
        <w:t xml:space="preserve"> </w:t>
      </w:r>
      <w:r>
        <w:rPr>
          <w:spacing w:val="-5"/>
          <w:sz w:val="12"/>
        </w:rPr>
        <w:t>40.</w:t>
      </w:r>
    </w:p>
    <w:p w14:paraId="3DBD4307" w14:textId="77777777" w:rsidR="0014798C" w:rsidRDefault="004E1F0B">
      <w:pPr>
        <w:spacing w:before="105"/>
        <w:ind w:left="1108"/>
        <w:rPr>
          <w:sz w:val="12"/>
        </w:rPr>
      </w:pPr>
      <w:r>
        <w:rPr>
          <w:sz w:val="12"/>
        </w:rPr>
        <w:t>636</w:t>
      </w:r>
      <w:r>
        <w:rPr>
          <w:spacing w:val="3"/>
          <w:sz w:val="12"/>
        </w:rPr>
        <w:t xml:space="preserve"> </w:t>
      </w:r>
      <w:r>
        <w:rPr>
          <w:sz w:val="12"/>
        </w:rPr>
        <w:t>Comité</w:t>
      </w:r>
      <w:r>
        <w:rPr>
          <w:spacing w:val="3"/>
          <w:sz w:val="12"/>
        </w:rPr>
        <w:t xml:space="preserve"> </w:t>
      </w:r>
      <w:r>
        <w:rPr>
          <w:sz w:val="12"/>
        </w:rPr>
        <w:t>de</w:t>
      </w:r>
      <w:r>
        <w:rPr>
          <w:spacing w:val="3"/>
          <w:sz w:val="12"/>
        </w:rPr>
        <w:t xml:space="preserve"> </w:t>
      </w:r>
      <w:r>
        <w:rPr>
          <w:sz w:val="12"/>
        </w:rPr>
        <w:t>Derechos</w:t>
      </w:r>
      <w:r>
        <w:rPr>
          <w:spacing w:val="3"/>
          <w:sz w:val="12"/>
        </w:rPr>
        <w:t xml:space="preserve"> </w:t>
      </w:r>
      <w:r>
        <w:rPr>
          <w:sz w:val="12"/>
        </w:rPr>
        <w:t>Económicos,</w:t>
      </w:r>
      <w:r>
        <w:rPr>
          <w:spacing w:val="4"/>
          <w:sz w:val="12"/>
        </w:rPr>
        <w:t xml:space="preserve"> </w:t>
      </w:r>
      <w:r>
        <w:rPr>
          <w:sz w:val="12"/>
        </w:rPr>
        <w:t>Sociales</w:t>
      </w:r>
      <w:r>
        <w:rPr>
          <w:spacing w:val="3"/>
          <w:sz w:val="12"/>
        </w:rPr>
        <w:t xml:space="preserve"> </w:t>
      </w:r>
      <w:r>
        <w:rPr>
          <w:sz w:val="12"/>
        </w:rPr>
        <w:t>y</w:t>
      </w:r>
      <w:r>
        <w:rPr>
          <w:spacing w:val="3"/>
          <w:sz w:val="12"/>
        </w:rPr>
        <w:t xml:space="preserve"> </w:t>
      </w:r>
      <w:r>
        <w:rPr>
          <w:sz w:val="12"/>
        </w:rPr>
        <w:t>Culturales,</w:t>
      </w:r>
      <w:r>
        <w:rPr>
          <w:spacing w:val="4"/>
          <w:sz w:val="12"/>
        </w:rPr>
        <w:t xml:space="preserve"> </w:t>
      </w:r>
      <w:r>
        <w:rPr>
          <w:sz w:val="12"/>
        </w:rPr>
        <w:t>observación</w:t>
      </w:r>
      <w:r>
        <w:rPr>
          <w:spacing w:val="3"/>
          <w:sz w:val="12"/>
        </w:rPr>
        <w:t xml:space="preserve"> </w:t>
      </w:r>
      <w:r>
        <w:rPr>
          <w:sz w:val="12"/>
        </w:rPr>
        <w:t>general</w:t>
      </w:r>
      <w:r>
        <w:rPr>
          <w:spacing w:val="3"/>
          <w:sz w:val="12"/>
        </w:rPr>
        <w:t xml:space="preserve"> </w:t>
      </w:r>
      <w:r>
        <w:rPr>
          <w:sz w:val="12"/>
        </w:rPr>
        <w:t>núm.</w:t>
      </w:r>
      <w:r>
        <w:rPr>
          <w:spacing w:val="5"/>
          <w:sz w:val="12"/>
        </w:rPr>
        <w:t xml:space="preserve"> </w:t>
      </w:r>
      <w:r>
        <w:rPr>
          <w:sz w:val="12"/>
        </w:rPr>
        <w:t>20</w:t>
      </w:r>
      <w:r>
        <w:rPr>
          <w:spacing w:val="3"/>
          <w:sz w:val="12"/>
        </w:rPr>
        <w:t xml:space="preserve"> </w:t>
      </w:r>
      <w:r>
        <w:rPr>
          <w:sz w:val="12"/>
        </w:rPr>
        <w:t>(2009),</w:t>
      </w:r>
      <w:r>
        <w:rPr>
          <w:spacing w:val="4"/>
          <w:sz w:val="12"/>
        </w:rPr>
        <w:t xml:space="preserve"> </w:t>
      </w:r>
      <w:r>
        <w:rPr>
          <w:sz w:val="12"/>
        </w:rPr>
        <w:t>párr.</w:t>
      </w:r>
      <w:r>
        <w:rPr>
          <w:spacing w:val="4"/>
          <w:sz w:val="12"/>
        </w:rPr>
        <w:t xml:space="preserve"> </w:t>
      </w:r>
      <w:r>
        <w:rPr>
          <w:spacing w:val="-5"/>
          <w:sz w:val="12"/>
        </w:rPr>
        <w:t>40.</w:t>
      </w:r>
    </w:p>
    <w:p w14:paraId="20C13A16" w14:textId="77777777" w:rsidR="0014798C" w:rsidRDefault="004E1F0B">
      <w:pPr>
        <w:spacing w:before="92" w:line="312" w:lineRule="auto"/>
        <w:ind w:left="1366" w:right="1400" w:hanging="259"/>
        <w:rPr>
          <w:sz w:val="12"/>
        </w:rPr>
      </w:pPr>
      <w:r>
        <w:rPr>
          <w:sz w:val="12"/>
        </w:rPr>
        <w:t>637</w:t>
      </w:r>
      <w:r>
        <w:rPr>
          <w:spacing w:val="5"/>
          <w:sz w:val="12"/>
        </w:rPr>
        <w:t xml:space="preserve"> </w:t>
      </w:r>
      <w:r>
        <w:rPr>
          <w:sz w:val="12"/>
        </w:rPr>
        <w:t>Véase</w:t>
      </w:r>
      <w:r>
        <w:rPr>
          <w:spacing w:val="5"/>
          <w:sz w:val="12"/>
        </w:rPr>
        <w:t xml:space="preserve"> </w:t>
      </w:r>
      <w:r>
        <w:rPr>
          <w:sz w:val="12"/>
        </w:rPr>
        <w:t>la</w:t>
      </w:r>
      <w:r>
        <w:rPr>
          <w:spacing w:val="5"/>
          <w:sz w:val="12"/>
        </w:rPr>
        <w:t xml:space="preserve"> </w:t>
      </w:r>
      <w:r>
        <w:rPr>
          <w:sz w:val="12"/>
        </w:rPr>
        <w:t>sección</w:t>
      </w:r>
      <w:r>
        <w:rPr>
          <w:spacing w:val="5"/>
          <w:sz w:val="12"/>
        </w:rPr>
        <w:t xml:space="preserve"> </w:t>
      </w:r>
      <w:r>
        <w:rPr>
          <w:sz w:val="12"/>
        </w:rPr>
        <w:t>IV.C.3</w:t>
      </w:r>
      <w:r>
        <w:rPr>
          <w:spacing w:val="5"/>
          <w:sz w:val="12"/>
        </w:rPr>
        <w:t xml:space="preserve"> </w:t>
      </w:r>
      <w:r>
        <w:rPr>
          <w:sz w:val="12"/>
        </w:rPr>
        <w:t>de</w:t>
      </w:r>
      <w:r>
        <w:rPr>
          <w:spacing w:val="5"/>
          <w:sz w:val="12"/>
        </w:rPr>
        <w:t xml:space="preserve"> </w:t>
      </w:r>
      <w:r>
        <w:rPr>
          <w:sz w:val="12"/>
        </w:rPr>
        <w:t>la</w:t>
      </w:r>
      <w:r>
        <w:rPr>
          <w:spacing w:val="5"/>
          <w:sz w:val="12"/>
        </w:rPr>
        <w:t xml:space="preserve"> </w:t>
      </w:r>
      <w:r>
        <w:rPr>
          <w:sz w:val="12"/>
        </w:rPr>
        <w:t>segunda</w:t>
      </w:r>
      <w:r>
        <w:rPr>
          <w:spacing w:val="5"/>
          <w:sz w:val="12"/>
        </w:rPr>
        <w:t xml:space="preserve"> </w:t>
      </w:r>
      <w:r>
        <w:rPr>
          <w:sz w:val="12"/>
        </w:rPr>
        <w:t>parte</w:t>
      </w:r>
      <w:r>
        <w:rPr>
          <w:spacing w:val="5"/>
          <w:sz w:val="12"/>
        </w:rPr>
        <w:t xml:space="preserve"> </w:t>
      </w:r>
      <w:r>
        <w:rPr>
          <w:sz w:val="12"/>
        </w:rPr>
        <w:t>de</w:t>
      </w:r>
      <w:r>
        <w:rPr>
          <w:spacing w:val="5"/>
          <w:sz w:val="12"/>
        </w:rPr>
        <w:t xml:space="preserve"> </w:t>
      </w:r>
      <w:r>
        <w:rPr>
          <w:sz w:val="12"/>
        </w:rPr>
        <w:t>la</w:t>
      </w:r>
      <w:r>
        <w:rPr>
          <w:spacing w:val="5"/>
          <w:sz w:val="12"/>
        </w:rPr>
        <w:t xml:space="preserve"> </w:t>
      </w:r>
      <w:r>
        <w:rPr>
          <w:sz w:val="12"/>
        </w:rPr>
        <w:t>presente</w:t>
      </w:r>
      <w:r>
        <w:rPr>
          <w:spacing w:val="5"/>
          <w:sz w:val="12"/>
        </w:rPr>
        <w:t xml:space="preserve"> </w:t>
      </w:r>
      <w:r>
        <w:rPr>
          <w:sz w:val="12"/>
        </w:rPr>
        <w:t>guía.</w:t>
      </w:r>
      <w:r>
        <w:rPr>
          <w:spacing w:val="5"/>
          <w:sz w:val="12"/>
        </w:rPr>
        <w:t xml:space="preserve"> </w:t>
      </w:r>
      <w:r>
        <w:rPr>
          <w:sz w:val="12"/>
        </w:rPr>
        <w:t>Para</w:t>
      </w:r>
      <w:r>
        <w:rPr>
          <w:spacing w:val="5"/>
          <w:sz w:val="12"/>
        </w:rPr>
        <w:t xml:space="preserve"> </w:t>
      </w:r>
      <w:r>
        <w:rPr>
          <w:sz w:val="12"/>
        </w:rPr>
        <w:t>un</w:t>
      </w:r>
      <w:r>
        <w:rPr>
          <w:spacing w:val="5"/>
          <w:sz w:val="12"/>
        </w:rPr>
        <w:t xml:space="preserve"> </w:t>
      </w:r>
      <w:r>
        <w:rPr>
          <w:sz w:val="12"/>
        </w:rPr>
        <w:t>debate</w:t>
      </w:r>
      <w:r>
        <w:rPr>
          <w:spacing w:val="5"/>
          <w:sz w:val="12"/>
        </w:rPr>
        <w:t xml:space="preserve"> </w:t>
      </w:r>
      <w:r>
        <w:rPr>
          <w:sz w:val="12"/>
        </w:rPr>
        <w:t>sobre</w:t>
      </w:r>
      <w:r>
        <w:rPr>
          <w:spacing w:val="5"/>
          <w:sz w:val="12"/>
        </w:rPr>
        <w:t xml:space="preserve"> </w:t>
      </w:r>
      <w:r>
        <w:rPr>
          <w:sz w:val="12"/>
        </w:rPr>
        <w:t>el</w:t>
      </w:r>
      <w:r>
        <w:rPr>
          <w:spacing w:val="5"/>
          <w:sz w:val="12"/>
        </w:rPr>
        <w:t xml:space="preserve"> </w:t>
      </w:r>
      <w:r>
        <w:rPr>
          <w:sz w:val="12"/>
        </w:rPr>
        <w:t>papel</w:t>
      </w:r>
      <w:r>
        <w:rPr>
          <w:spacing w:val="5"/>
          <w:sz w:val="12"/>
        </w:rPr>
        <w:t xml:space="preserve"> </w:t>
      </w:r>
      <w:r>
        <w:rPr>
          <w:sz w:val="12"/>
        </w:rPr>
        <w:t>de</w:t>
      </w:r>
      <w:r>
        <w:rPr>
          <w:spacing w:val="5"/>
          <w:sz w:val="12"/>
        </w:rPr>
        <w:t xml:space="preserve"> </w:t>
      </w:r>
      <w:r>
        <w:rPr>
          <w:sz w:val="12"/>
        </w:rPr>
        <w:t>dichos</w:t>
      </w:r>
      <w:r>
        <w:rPr>
          <w:spacing w:val="5"/>
          <w:sz w:val="12"/>
        </w:rPr>
        <w:t xml:space="preserve"> </w:t>
      </w:r>
      <w:r>
        <w:rPr>
          <w:sz w:val="12"/>
        </w:rPr>
        <w:t>organismos</w:t>
      </w:r>
      <w:r>
        <w:rPr>
          <w:spacing w:val="5"/>
          <w:sz w:val="12"/>
        </w:rPr>
        <w:t xml:space="preserve"> </w:t>
      </w:r>
      <w:r>
        <w:rPr>
          <w:sz w:val="12"/>
        </w:rPr>
        <w:t>a</w:t>
      </w:r>
      <w:r>
        <w:rPr>
          <w:spacing w:val="5"/>
          <w:sz w:val="12"/>
        </w:rPr>
        <w:t xml:space="preserve"> </w:t>
      </w:r>
      <w:r>
        <w:rPr>
          <w:sz w:val="12"/>
        </w:rPr>
        <w:t>la</w:t>
      </w:r>
      <w:r>
        <w:rPr>
          <w:spacing w:val="5"/>
          <w:sz w:val="12"/>
        </w:rPr>
        <w:t xml:space="preserve"> </w:t>
      </w:r>
      <w:r>
        <w:rPr>
          <w:sz w:val="12"/>
        </w:rPr>
        <w:t>hora</w:t>
      </w:r>
      <w:r>
        <w:rPr>
          <w:spacing w:val="5"/>
          <w:sz w:val="12"/>
        </w:rPr>
        <w:t xml:space="preserve"> </w:t>
      </w:r>
      <w:r>
        <w:rPr>
          <w:sz w:val="12"/>
        </w:rPr>
        <w:t>de</w:t>
      </w:r>
      <w:r>
        <w:rPr>
          <w:spacing w:val="5"/>
          <w:sz w:val="12"/>
        </w:rPr>
        <w:t xml:space="preserve"> </w:t>
      </w:r>
      <w:r>
        <w:rPr>
          <w:sz w:val="12"/>
        </w:rPr>
        <w:t>garantizar</w:t>
      </w:r>
      <w:r>
        <w:rPr>
          <w:spacing w:val="5"/>
          <w:sz w:val="12"/>
        </w:rPr>
        <w:t xml:space="preserve"> </w:t>
      </w:r>
      <w:r>
        <w:rPr>
          <w:sz w:val="12"/>
        </w:rPr>
        <w:t>el</w:t>
      </w:r>
      <w:r>
        <w:rPr>
          <w:spacing w:val="5"/>
          <w:sz w:val="12"/>
        </w:rPr>
        <w:t xml:space="preserve"> </w:t>
      </w:r>
      <w:r>
        <w:rPr>
          <w:sz w:val="12"/>
        </w:rPr>
        <w:t>acceso</w:t>
      </w:r>
      <w:r>
        <w:rPr>
          <w:spacing w:val="5"/>
          <w:sz w:val="12"/>
        </w:rPr>
        <w:t xml:space="preserve"> </w:t>
      </w:r>
      <w:r>
        <w:rPr>
          <w:sz w:val="12"/>
        </w:rPr>
        <w:t>a</w:t>
      </w:r>
      <w:r>
        <w:rPr>
          <w:spacing w:val="5"/>
          <w:sz w:val="12"/>
        </w:rPr>
        <w:t xml:space="preserve"> </w:t>
      </w:r>
      <w:r>
        <w:rPr>
          <w:sz w:val="12"/>
        </w:rPr>
        <w:t>la</w:t>
      </w:r>
      <w:r>
        <w:rPr>
          <w:spacing w:val="5"/>
          <w:sz w:val="12"/>
        </w:rPr>
        <w:t xml:space="preserve"> </w:t>
      </w:r>
      <w:r>
        <w:rPr>
          <w:sz w:val="12"/>
        </w:rPr>
        <w:t>justicia</w:t>
      </w:r>
      <w:r>
        <w:rPr>
          <w:spacing w:val="40"/>
          <w:sz w:val="12"/>
        </w:rPr>
        <w:t xml:space="preserve"> </w:t>
      </w:r>
      <w:r>
        <w:rPr>
          <w:sz w:val="12"/>
        </w:rPr>
        <w:t>en el contexto europeo,</w:t>
      </w:r>
      <w:r>
        <w:rPr>
          <w:spacing w:val="10"/>
          <w:sz w:val="12"/>
        </w:rPr>
        <w:t xml:space="preserve"> </w:t>
      </w:r>
      <w:r>
        <w:rPr>
          <w:sz w:val="12"/>
        </w:rPr>
        <w:t>véase Agencia de Derechos Fundamentales de la Unión Europea,</w:t>
      </w:r>
      <w:r>
        <w:rPr>
          <w:spacing w:val="10"/>
          <w:sz w:val="12"/>
        </w:rPr>
        <w:t xml:space="preserve"> </w:t>
      </w:r>
      <w:r>
        <w:rPr>
          <w:sz w:val="12"/>
        </w:rPr>
        <w:t xml:space="preserve">Access </w:t>
      </w:r>
      <w:proofErr w:type="spellStart"/>
      <w:r>
        <w:rPr>
          <w:sz w:val="12"/>
        </w:rPr>
        <w:t>to</w:t>
      </w:r>
      <w:proofErr w:type="spellEnd"/>
      <w:r>
        <w:rPr>
          <w:sz w:val="12"/>
        </w:rPr>
        <w:t xml:space="preserve"> </w:t>
      </w:r>
      <w:proofErr w:type="spellStart"/>
      <w:r>
        <w:rPr>
          <w:sz w:val="12"/>
        </w:rPr>
        <w:t>Justice</w:t>
      </w:r>
      <w:proofErr w:type="spellEnd"/>
      <w:r>
        <w:rPr>
          <w:sz w:val="12"/>
        </w:rPr>
        <w:t xml:space="preserve"> in Cases of </w:t>
      </w:r>
      <w:proofErr w:type="spellStart"/>
      <w:r>
        <w:rPr>
          <w:sz w:val="12"/>
        </w:rPr>
        <w:t>Discrimination</w:t>
      </w:r>
      <w:proofErr w:type="spellEnd"/>
      <w:r>
        <w:rPr>
          <w:sz w:val="12"/>
        </w:rPr>
        <w:t xml:space="preserve"> in </w:t>
      </w:r>
      <w:proofErr w:type="spellStart"/>
      <w:r>
        <w:rPr>
          <w:sz w:val="12"/>
        </w:rPr>
        <w:t>the</w:t>
      </w:r>
      <w:proofErr w:type="spellEnd"/>
      <w:r>
        <w:rPr>
          <w:sz w:val="12"/>
        </w:rPr>
        <w:t xml:space="preserve"> EU: </w:t>
      </w:r>
      <w:proofErr w:type="spellStart"/>
      <w:r>
        <w:rPr>
          <w:sz w:val="12"/>
        </w:rPr>
        <w:t>Steps</w:t>
      </w:r>
      <w:proofErr w:type="spellEnd"/>
      <w:r>
        <w:rPr>
          <w:sz w:val="12"/>
        </w:rPr>
        <w:t xml:space="preserve"> </w:t>
      </w:r>
      <w:proofErr w:type="spellStart"/>
      <w:r>
        <w:rPr>
          <w:sz w:val="12"/>
        </w:rPr>
        <w:t>to</w:t>
      </w:r>
      <w:proofErr w:type="spellEnd"/>
    </w:p>
    <w:p w14:paraId="2FDE2FF7" w14:textId="77777777" w:rsidR="0014798C" w:rsidRDefault="004E1F0B">
      <w:pPr>
        <w:spacing w:before="1"/>
        <w:ind w:left="1366"/>
        <w:rPr>
          <w:sz w:val="12"/>
        </w:rPr>
      </w:pPr>
      <w:proofErr w:type="spellStart"/>
      <w:r>
        <w:rPr>
          <w:sz w:val="12"/>
        </w:rPr>
        <w:t>Further</w:t>
      </w:r>
      <w:proofErr w:type="spellEnd"/>
      <w:r>
        <w:rPr>
          <w:spacing w:val="4"/>
          <w:sz w:val="12"/>
        </w:rPr>
        <w:t xml:space="preserve"> </w:t>
      </w:r>
      <w:proofErr w:type="spellStart"/>
      <w:r>
        <w:rPr>
          <w:sz w:val="12"/>
        </w:rPr>
        <w:t>Equality</w:t>
      </w:r>
      <w:proofErr w:type="spellEnd"/>
      <w:r>
        <w:rPr>
          <w:spacing w:val="4"/>
          <w:sz w:val="12"/>
        </w:rPr>
        <w:t xml:space="preserve"> </w:t>
      </w:r>
      <w:r>
        <w:rPr>
          <w:sz w:val="12"/>
        </w:rPr>
        <w:t>(Luxemburgo,</w:t>
      </w:r>
      <w:r>
        <w:rPr>
          <w:spacing w:val="5"/>
          <w:sz w:val="12"/>
        </w:rPr>
        <w:t xml:space="preserve"> </w:t>
      </w:r>
      <w:r>
        <w:rPr>
          <w:sz w:val="12"/>
        </w:rPr>
        <w:t>Oficina</w:t>
      </w:r>
      <w:r>
        <w:rPr>
          <w:spacing w:val="5"/>
          <w:sz w:val="12"/>
        </w:rPr>
        <w:t xml:space="preserve"> </w:t>
      </w:r>
      <w:r>
        <w:rPr>
          <w:sz w:val="12"/>
        </w:rPr>
        <w:t>de</w:t>
      </w:r>
      <w:r>
        <w:rPr>
          <w:spacing w:val="4"/>
          <w:sz w:val="12"/>
        </w:rPr>
        <w:t xml:space="preserve"> </w:t>
      </w:r>
      <w:r>
        <w:rPr>
          <w:sz w:val="12"/>
        </w:rPr>
        <w:t>Publicaciones</w:t>
      </w:r>
      <w:r>
        <w:rPr>
          <w:spacing w:val="4"/>
          <w:sz w:val="12"/>
        </w:rPr>
        <w:t xml:space="preserve"> </w:t>
      </w:r>
      <w:r>
        <w:rPr>
          <w:sz w:val="12"/>
        </w:rPr>
        <w:t>de</w:t>
      </w:r>
      <w:r>
        <w:rPr>
          <w:spacing w:val="5"/>
          <w:sz w:val="12"/>
        </w:rPr>
        <w:t xml:space="preserve"> </w:t>
      </w:r>
      <w:r>
        <w:rPr>
          <w:sz w:val="12"/>
        </w:rPr>
        <w:t>la</w:t>
      </w:r>
      <w:r>
        <w:rPr>
          <w:spacing w:val="4"/>
          <w:sz w:val="12"/>
        </w:rPr>
        <w:t xml:space="preserve"> </w:t>
      </w:r>
      <w:r>
        <w:rPr>
          <w:sz w:val="12"/>
        </w:rPr>
        <w:t>Unión</w:t>
      </w:r>
      <w:r>
        <w:rPr>
          <w:spacing w:val="4"/>
          <w:sz w:val="12"/>
        </w:rPr>
        <w:t xml:space="preserve"> </w:t>
      </w:r>
      <w:r>
        <w:rPr>
          <w:sz w:val="12"/>
        </w:rPr>
        <w:t>Europea).</w:t>
      </w:r>
      <w:r>
        <w:rPr>
          <w:spacing w:val="5"/>
          <w:sz w:val="12"/>
        </w:rPr>
        <w:t xml:space="preserve"> </w:t>
      </w:r>
      <w:r>
        <w:rPr>
          <w:sz w:val="12"/>
        </w:rPr>
        <w:t>Unión,</w:t>
      </w:r>
      <w:r>
        <w:rPr>
          <w:spacing w:val="6"/>
          <w:sz w:val="12"/>
        </w:rPr>
        <w:t xml:space="preserve"> </w:t>
      </w:r>
      <w:r>
        <w:rPr>
          <w:spacing w:val="-2"/>
          <w:sz w:val="12"/>
        </w:rPr>
        <w:t>2012).</w:t>
      </w:r>
    </w:p>
    <w:p w14:paraId="79E2E5A0" w14:textId="77777777" w:rsidR="0014798C" w:rsidRDefault="004E1F0B">
      <w:pPr>
        <w:spacing w:before="105"/>
        <w:ind w:left="1108"/>
        <w:rPr>
          <w:sz w:val="12"/>
        </w:rPr>
      </w:pPr>
      <w:r>
        <w:rPr>
          <w:sz w:val="12"/>
        </w:rPr>
        <w:t>638</w:t>
      </w:r>
      <w:r>
        <w:rPr>
          <w:spacing w:val="1"/>
          <w:sz w:val="12"/>
        </w:rPr>
        <w:t xml:space="preserve"> </w:t>
      </w:r>
      <w:r>
        <w:rPr>
          <w:sz w:val="12"/>
        </w:rPr>
        <w:t>Comité</w:t>
      </w:r>
      <w:r>
        <w:rPr>
          <w:spacing w:val="2"/>
          <w:sz w:val="12"/>
        </w:rPr>
        <w:t xml:space="preserve"> </w:t>
      </w:r>
      <w:r>
        <w:rPr>
          <w:sz w:val="12"/>
        </w:rPr>
        <w:t>para</w:t>
      </w:r>
      <w:r>
        <w:rPr>
          <w:spacing w:val="2"/>
          <w:sz w:val="12"/>
        </w:rPr>
        <w:t xml:space="preserve"> </w:t>
      </w:r>
      <w:r>
        <w:rPr>
          <w:sz w:val="12"/>
        </w:rPr>
        <w:t>la</w:t>
      </w:r>
      <w:r>
        <w:rPr>
          <w:spacing w:val="2"/>
          <w:sz w:val="12"/>
        </w:rPr>
        <w:t xml:space="preserve"> </w:t>
      </w:r>
      <w:r>
        <w:rPr>
          <w:sz w:val="12"/>
        </w:rPr>
        <w:t>Eliminación</w:t>
      </w:r>
      <w:r>
        <w:rPr>
          <w:spacing w:val="2"/>
          <w:sz w:val="12"/>
        </w:rPr>
        <w:t xml:space="preserve"> </w:t>
      </w:r>
      <w:r>
        <w:rPr>
          <w:sz w:val="12"/>
        </w:rPr>
        <w:t>de</w:t>
      </w:r>
      <w:r>
        <w:rPr>
          <w:spacing w:val="2"/>
          <w:sz w:val="12"/>
        </w:rPr>
        <w:t xml:space="preserve"> </w:t>
      </w:r>
      <w:r>
        <w:rPr>
          <w:sz w:val="12"/>
        </w:rPr>
        <w:t>la</w:t>
      </w:r>
      <w:r>
        <w:rPr>
          <w:spacing w:val="1"/>
          <w:sz w:val="12"/>
        </w:rPr>
        <w:t xml:space="preserve"> </w:t>
      </w:r>
      <w:r>
        <w:rPr>
          <w:sz w:val="12"/>
        </w:rPr>
        <w:t>Discriminación</w:t>
      </w:r>
      <w:r>
        <w:rPr>
          <w:spacing w:val="2"/>
          <w:sz w:val="12"/>
        </w:rPr>
        <w:t xml:space="preserve"> </w:t>
      </w:r>
      <w:r>
        <w:rPr>
          <w:sz w:val="12"/>
        </w:rPr>
        <w:t>contra</w:t>
      </w:r>
      <w:r>
        <w:rPr>
          <w:spacing w:val="2"/>
          <w:sz w:val="12"/>
        </w:rPr>
        <w:t xml:space="preserve"> </w:t>
      </w:r>
      <w:r>
        <w:rPr>
          <w:sz w:val="12"/>
        </w:rPr>
        <w:t>la</w:t>
      </w:r>
      <w:r>
        <w:rPr>
          <w:spacing w:val="2"/>
          <w:sz w:val="12"/>
        </w:rPr>
        <w:t xml:space="preserve"> </w:t>
      </w:r>
      <w:r>
        <w:rPr>
          <w:sz w:val="12"/>
        </w:rPr>
        <w:t>Mujer,</w:t>
      </w:r>
      <w:r>
        <w:rPr>
          <w:spacing w:val="3"/>
          <w:sz w:val="12"/>
        </w:rPr>
        <w:t xml:space="preserve"> </w:t>
      </w:r>
      <w:r>
        <w:rPr>
          <w:sz w:val="12"/>
        </w:rPr>
        <w:t>recomendación</w:t>
      </w:r>
      <w:r>
        <w:rPr>
          <w:spacing w:val="2"/>
          <w:sz w:val="12"/>
        </w:rPr>
        <w:t xml:space="preserve"> </w:t>
      </w:r>
      <w:r>
        <w:rPr>
          <w:sz w:val="12"/>
        </w:rPr>
        <w:t>general</w:t>
      </w:r>
      <w:r>
        <w:rPr>
          <w:spacing w:val="2"/>
          <w:sz w:val="12"/>
        </w:rPr>
        <w:t xml:space="preserve"> </w:t>
      </w:r>
      <w:r>
        <w:rPr>
          <w:sz w:val="12"/>
        </w:rPr>
        <w:t>núm.</w:t>
      </w:r>
      <w:r>
        <w:rPr>
          <w:spacing w:val="3"/>
          <w:sz w:val="12"/>
        </w:rPr>
        <w:t xml:space="preserve"> </w:t>
      </w:r>
      <w:r>
        <w:rPr>
          <w:sz w:val="12"/>
        </w:rPr>
        <w:t>33</w:t>
      </w:r>
      <w:r>
        <w:rPr>
          <w:spacing w:val="1"/>
          <w:sz w:val="12"/>
        </w:rPr>
        <w:t xml:space="preserve"> </w:t>
      </w:r>
      <w:r>
        <w:rPr>
          <w:sz w:val="12"/>
        </w:rPr>
        <w:t>(2015),</w:t>
      </w:r>
      <w:r>
        <w:rPr>
          <w:spacing w:val="3"/>
          <w:sz w:val="12"/>
        </w:rPr>
        <w:t xml:space="preserve"> </w:t>
      </w:r>
      <w:r>
        <w:rPr>
          <w:sz w:val="12"/>
        </w:rPr>
        <w:t>párr.</w:t>
      </w:r>
      <w:r>
        <w:rPr>
          <w:spacing w:val="3"/>
          <w:sz w:val="12"/>
        </w:rPr>
        <w:t xml:space="preserve"> </w:t>
      </w:r>
      <w:r>
        <w:rPr>
          <w:sz w:val="12"/>
        </w:rPr>
        <w:t>14</w:t>
      </w:r>
      <w:r>
        <w:rPr>
          <w:spacing w:val="2"/>
          <w:sz w:val="12"/>
        </w:rPr>
        <w:t xml:space="preserve"> </w:t>
      </w:r>
      <w:r>
        <w:rPr>
          <w:spacing w:val="-4"/>
          <w:sz w:val="12"/>
        </w:rPr>
        <w:t>(b).</w:t>
      </w:r>
    </w:p>
    <w:p w14:paraId="10903598" w14:textId="77777777" w:rsidR="0014798C" w:rsidRDefault="004E1F0B">
      <w:pPr>
        <w:spacing w:before="99"/>
        <w:ind w:left="1108"/>
        <w:rPr>
          <w:sz w:val="12"/>
        </w:rPr>
      </w:pPr>
      <w:r>
        <w:rPr>
          <w:sz w:val="12"/>
        </w:rPr>
        <w:t>639</w:t>
      </w:r>
      <w:r>
        <w:rPr>
          <w:spacing w:val="1"/>
          <w:sz w:val="12"/>
        </w:rPr>
        <w:t xml:space="preserve"> </w:t>
      </w:r>
      <w:proofErr w:type="spellStart"/>
      <w:r>
        <w:rPr>
          <w:sz w:val="12"/>
        </w:rPr>
        <w:t>Ibíd</w:t>
      </w:r>
      <w:proofErr w:type="spellEnd"/>
      <w:r>
        <w:rPr>
          <w:sz w:val="12"/>
        </w:rPr>
        <w:t>.,</w:t>
      </w:r>
      <w:r>
        <w:rPr>
          <w:spacing w:val="1"/>
          <w:sz w:val="12"/>
        </w:rPr>
        <w:t xml:space="preserve"> </w:t>
      </w:r>
      <w:r>
        <w:rPr>
          <w:sz w:val="12"/>
        </w:rPr>
        <w:t>párr.</w:t>
      </w:r>
      <w:r>
        <w:rPr>
          <w:spacing w:val="2"/>
          <w:sz w:val="12"/>
        </w:rPr>
        <w:t xml:space="preserve"> </w:t>
      </w:r>
      <w:r>
        <w:rPr>
          <w:spacing w:val="-2"/>
          <w:sz w:val="12"/>
        </w:rPr>
        <w:t>16(a).</w:t>
      </w:r>
    </w:p>
    <w:p w14:paraId="0764D579" w14:textId="77777777" w:rsidR="0014798C" w:rsidRDefault="004E1F0B">
      <w:pPr>
        <w:spacing w:before="98"/>
        <w:ind w:left="1108"/>
        <w:rPr>
          <w:sz w:val="12"/>
        </w:rPr>
      </w:pPr>
      <w:r>
        <w:rPr>
          <w:sz w:val="12"/>
        </w:rPr>
        <w:t>640</w:t>
      </w:r>
      <w:r>
        <w:rPr>
          <w:spacing w:val="3"/>
          <w:sz w:val="12"/>
        </w:rPr>
        <w:t xml:space="preserve"> </w:t>
      </w:r>
      <w:r>
        <w:rPr>
          <w:sz w:val="12"/>
        </w:rPr>
        <w:t>Comité</w:t>
      </w:r>
      <w:r>
        <w:rPr>
          <w:spacing w:val="3"/>
          <w:sz w:val="12"/>
        </w:rPr>
        <w:t xml:space="preserve"> </w:t>
      </w:r>
      <w:r>
        <w:rPr>
          <w:sz w:val="12"/>
        </w:rPr>
        <w:t>de</w:t>
      </w:r>
      <w:r>
        <w:rPr>
          <w:spacing w:val="3"/>
          <w:sz w:val="12"/>
        </w:rPr>
        <w:t xml:space="preserve"> </w:t>
      </w:r>
      <w:r>
        <w:rPr>
          <w:sz w:val="12"/>
        </w:rPr>
        <w:t>Derechos</w:t>
      </w:r>
      <w:r>
        <w:rPr>
          <w:spacing w:val="3"/>
          <w:sz w:val="12"/>
        </w:rPr>
        <w:t xml:space="preserve"> </w:t>
      </w:r>
      <w:r>
        <w:rPr>
          <w:sz w:val="12"/>
        </w:rPr>
        <w:t>Económicos,</w:t>
      </w:r>
      <w:r>
        <w:rPr>
          <w:spacing w:val="4"/>
          <w:sz w:val="12"/>
        </w:rPr>
        <w:t xml:space="preserve"> </w:t>
      </w:r>
      <w:r>
        <w:rPr>
          <w:sz w:val="12"/>
        </w:rPr>
        <w:t>Sociales</w:t>
      </w:r>
      <w:r>
        <w:rPr>
          <w:spacing w:val="3"/>
          <w:sz w:val="12"/>
        </w:rPr>
        <w:t xml:space="preserve"> </w:t>
      </w:r>
      <w:r>
        <w:rPr>
          <w:sz w:val="12"/>
        </w:rPr>
        <w:t>y</w:t>
      </w:r>
      <w:r>
        <w:rPr>
          <w:spacing w:val="3"/>
          <w:sz w:val="12"/>
        </w:rPr>
        <w:t xml:space="preserve"> </w:t>
      </w:r>
      <w:r>
        <w:rPr>
          <w:sz w:val="12"/>
        </w:rPr>
        <w:t>Culturales,</w:t>
      </w:r>
      <w:r>
        <w:rPr>
          <w:spacing w:val="4"/>
          <w:sz w:val="12"/>
        </w:rPr>
        <w:t xml:space="preserve"> </w:t>
      </w:r>
      <w:r>
        <w:rPr>
          <w:sz w:val="12"/>
        </w:rPr>
        <w:t>observación</w:t>
      </w:r>
      <w:r>
        <w:rPr>
          <w:spacing w:val="3"/>
          <w:sz w:val="12"/>
        </w:rPr>
        <w:t xml:space="preserve"> </w:t>
      </w:r>
      <w:r>
        <w:rPr>
          <w:sz w:val="12"/>
        </w:rPr>
        <w:t>general</w:t>
      </w:r>
      <w:r>
        <w:rPr>
          <w:spacing w:val="3"/>
          <w:sz w:val="12"/>
        </w:rPr>
        <w:t xml:space="preserve"> </w:t>
      </w:r>
      <w:r>
        <w:rPr>
          <w:sz w:val="12"/>
        </w:rPr>
        <w:t>núm.</w:t>
      </w:r>
      <w:r>
        <w:rPr>
          <w:spacing w:val="5"/>
          <w:sz w:val="12"/>
        </w:rPr>
        <w:t xml:space="preserve"> </w:t>
      </w:r>
      <w:r>
        <w:rPr>
          <w:sz w:val="12"/>
        </w:rPr>
        <w:t>20</w:t>
      </w:r>
      <w:r>
        <w:rPr>
          <w:spacing w:val="3"/>
          <w:sz w:val="12"/>
        </w:rPr>
        <w:t xml:space="preserve"> </w:t>
      </w:r>
      <w:r>
        <w:rPr>
          <w:sz w:val="12"/>
        </w:rPr>
        <w:t>(2009),</w:t>
      </w:r>
      <w:r>
        <w:rPr>
          <w:spacing w:val="4"/>
          <w:sz w:val="12"/>
        </w:rPr>
        <w:t xml:space="preserve"> </w:t>
      </w:r>
      <w:r>
        <w:rPr>
          <w:sz w:val="12"/>
        </w:rPr>
        <w:t>párr.</w:t>
      </w:r>
      <w:r>
        <w:rPr>
          <w:spacing w:val="4"/>
          <w:sz w:val="12"/>
        </w:rPr>
        <w:t xml:space="preserve"> </w:t>
      </w:r>
      <w:r>
        <w:rPr>
          <w:spacing w:val="-5"/>
          <w:sz w:val="12"/>
        </w:rPr>
        <w:t>34.</w:t>
      </w:r>
    </w:p>
    <w:p w14:paraId="425E40D9" w14:textId="77777777" w:rsidR="0014798C" w:rsidRDefault="0014798C">
      <w:pPr>
        <w:pStyle w:val="Textoindependiente"/>
        <w:rPr>
          <w:sz w:val="18"/>
        </w:rPr>
      </w:pPr>
    </w:p>
    <w:p w14:paraId="34EAA005" w14:textId="77777777" w:rsidR="0014798C" w:rsidRDefault="0014798C">
      <w:pPr>
        <w:pStyle w:val="Textoindependiente"/>
        <w:rPr>
          <w:sz w:val="18"/>
        </w:rPr>
      </w:pPr>
    </w:p>
    <w:p w14:paraId="2809BBD5" w14:textId="77777777" w:rsidR="0014798C" w:rsidRDefault="0014798C">
      <w:pPr>
        <w:pStyle w:val="Textoindependiente"/>
        <w:spacing w:before="24"/>
        <w:rPr>
          <w:sz w:val="18"/>
        </w:rPr>
      </w:pPr>
    </w:p>
    <w:p w14:paraId="18778FF5" w14:textId="77777777" w:rsidR="0014798C" w:rsidRDefault="004E1F0B">
      <w:pPr>
        <w:ind w:left="557"/>
        <w:rPr>
          <w:sz w:val="18"/>
        </w:rPr>
      </w:pPr>
      <w:r>
        <w:rPr>
          <w:spacing w:val="-5"/>
          <w:w w:val="105"/>
          <w:sz w:val="18"/>
        </w:rPr>
        <w:t>88</w:t>
      </w:r>
    </w:p>
    <w:p w14:paraId="3DDA589C" w14:textId="77777777" w:rsidR="0014798C" w:rsidRDefault="0014798C">
      <w:pPr>
        <w:rPr>
          <w:sz w:val="18"/>
        </w:rPr>
        <w:sectPr w:rsidR="0014798C" w:rsidSect="00F265E4">
          <w:type w:val="continuous"/>
          <w:pgSz w:w="11900" w:h="16820"/>
          <w:pgMar w:top="40" w:right="0" w:bottom="280" w:left="200" w:header="121" w:footer="0" w:gutter="0"/>
          <w:cols w:space="720"/>
        </w:sectPr>
      </w:pPr>
    </w:p>
    <w:p w14:paraId="7C8631C2" w14:textId="77777777" w:rsidR="0014798C" w:rsidRDefault="0014798C">
      <w:pPr>
        <w:pStyle w:val="Textoindependiente"/>
        <w:spacing w:before="51"/>
        <w:rPr>
          <w:sz w:val="14"/>
        </w:rPr>
      </w:pPr>
    </w:p>
    <w:p w14:paraId="432FDE8E" w14:textId="77777777" w:rsidR="0014798C" w:rsidRDefault="004E1F0B">
      <w:pPr>
        <w:ind w:left="1111"/>
        <w:rPr>
          <w:sz w:val="14"/>
        </w:rPr>
      </w:pPr>
      <w:r>
        <w:rPr>
          <w:color w:val="00AC59"/>
          <w:sz w:val="14"/>
        </w:rPr>
        <w:t>SEGUNDA</w:t>
      </w:r>
      <w:r>
        <w:rPr>
          <w:color w:val="00AC59"/>
          <w:spacing w:val="-5"/>
          <w:sz w:val="14"/>
        </w:rPr>
        <w:t xml:space="preserve"> </w:t>
      </w:r>
      <w:r>
        <w:rPr>
          <w:color w:val="00AC59"/>
          <w:sz w:val="14"/>
        </w:rPr>
        <w:t>PARTE:</w:t>
      </w:r>
      <w:r>
        <w:rPr>
          <w:color w:val="00AC59"/>
          <w:spacing w:val="-5"/>
          <w:sz w:val="14"/>
        </w:rPr>
        <w:t xml:space="preserve"> </w:t>
      </w:r>
      <w:r>
        <w:rPr>
          <w:color w:val="00AC59"/>
          <w:sz w:val="14"/>
        </w:rPr>
        <w:t>CONTENIDO</w:t>
      </w:r>
      <w:r>
        <w:rPr>
          <w:color w:val="00AC59"/>
          <w:spacing w:val="-4"/>
          <w:sz w:val="14"/>
        </w:rPr>
        <w:t xml:space="preserve"> </w:t>
      </w:r>
      <w:r>
        <w:rPr>
          <w:color w:val="00AC59"/>
          <w:sz w:val="14"/>
        </w:rPr>
        <w:t>DE</w:t>
      </w:r>
      <w:r>
        <w:rPr>
          <w:color w:val="00AC59"/>
          <w:spacing w:val="-5"/>
          <w:sz w:val="14"/>
        </w:rPr>
        <w:t xml:space="preserve"> </w:t>
      </w:r>
      <w:r>
        <w:rPr>
          <w:color w:val="00AC59"/>
          <w:sz w:val="14"/>
        </w:rPr>
        <w:t>LA</w:t>
      </w:r>
      <w:r>
        <w:rPr>
          <w:color w:val="00AC59"/>
          <w:spacing w:val="-4"/>
          <w:sz w:val="14"/>
        </w:rPr>
        <w:t xml:space="preserve"> </w:t>
      </w:r>
      <w:r>
        <w:rPr>
          <w:color w:val="00AC59"/>
          <w:sz w:val="14"/>
        </w:rPr>
        <w:t>LEY</w:t>
      </w:r>
      <w:r>
        <w:rPr>
          <w:color w:val="00AC59"/>
          <w:spacing w:val="-4"/>
          <w:sz w:val="14"/>
        </w:rPr>
        <w:t xml:space="preserve"> </w:t>
      </w:r>
      <w:r>
        <w:rPr>
          <w:color w:val="00AC59"/>
          <w:sz w:val="14"/>
        </w:rPr>
        <w:t>INTEGRAL</w:t>
      </w:r>
      <w:r>
        <w:rPr>
          <w:color w:val="00AC59"/>
          <w:spacing w:val="-5"/>
          <w:sz w:val="14"/>
        </w:rPr>
        <w:t xml:space="preserve"> </w:t>
      </w:r>
      <w:r>
        <w:rPr>
          <w:color w:val="00AC59"/>
          <w:spacing w:val="-2"/>
          <w:sz w:val="14"/>
        </w:rPr>
        <w:t>ANTIDISCRIMINACIÓN</w:t>
      </w:r>
    </w:p>
    <w:p w14:paraId="1E79C9D3" w14:textId="77777777" w:rsidR="0014798C" w:rsidRDefault="0014798C">
      <w:pPr>
        <w:pStyle w:val="Textoindependiente"/>
      </w:pPr>
    </w:p>
    <w:p w14:paraId="41406E22" w14:textId="77777777" w:rsidR="0014798C" w:rsidRDefault="0014798C">
      <w:pPr>
        <w:pStyle w:val="Textoindependiente"/>
      </w:pPr>
    </w:p>
    <w:p w14:paraId="5FCDD6F5" w14:textId="77777777" w:rsidR="0014798C" w:rsidRDefault="0014798C">
      <w:pPr>
        <w:pStyle w:val="Textoindependiente"/>
      </w:pPr>
    </w:p>
    <w:p w14:paraId="76BC4F37" w14:textId="77777777" w:rsidR="0014798C" w:rsidRDefault="0014798C">
      <w:pPr>
        <w:pStyle w:val="Textoindependiente"/>
      </w:pPr>
    </w:p>
    <w:p w14:paraId="3137E57F" w14:textId="77777777" w:rsidR="0014798C" w:rsidRDefault="0014798C">
      <w:pPr>
        <w:pStyle w:val="Textoindependiente"/>
        <w:spacing w:before="39"/>
      </w:pPr>
    </w:p>
    <w:p w14:paraId="486BFDFF" w14:textId="77777777" w:rsidR="0014798C" w:rsidRDefault="004E1F0B">
      <w:pPr>
        <w:pStyle w:val="Textoindependiente"/>
        <w:spacing w:line="326" w:lineRule="auto"/>
        <w:ind w:left="1107" w:right="1272"/>
      </w:pPr>
      <w:r>
        <w:t>a</w:t>
      </w:r>
      <w:r>
        <w:rPr>
          <w:spacing w:val="-7"/>
        </w:rPr>
        <w:t xml:space="preserve"> </w:t>
      </w:r>
      <w:r>
        <w:t>las</w:t>
      </w:r>
      <w:r>
        <w:rPr>
          <w:spacing w:val="-7"/>
        </w:rPr>
        <w:t xml:space="preserve"> </w:t>
      </w:r>
      <w:r>
        <w:t>personas</w:t>
      </w:r>
      <w:r>
        <w:rPr>
          <w:spacing w:val="-7"/>
        </w:rPr>
        <w:t xml:space="preserve"> </w:t>
      </w:r>
      <w:r>
        <w:t>que</w:t>
      </w:r>
      <w:r>
        <w:rPr>
          <w:spacing w:val="-7"/>
        </w:rPr>
        <w:t xml:space="preserve"> </w:t>
      </w:r>
      <w:r>
        <w:t>viven</w:t>
      </w:r>
      <w:r>
        <w:rPr>
          <w:spacing w:val="-7"/>
        </w:rPr>
        <w:t xml:space="preserve"> </w:t>
      </w:r>
      <w:r>
        <w:t>en</w:t>
      </w:r>
      <w:r>
        <w:rPr>
          <w:spacing w:val="-7"/>
        </w:rPr>
        <w:t xml:space="preserve"> </w:t>
      </w:r>
      <w:r>
        <w:t>un</w:t>
      </w:r>
      <w:r>
        <w:rPr>
          <w:spacing w:val="-7"/>
        </w:rPr>
        <w:t xml:space="preserve"> </w:t>
      </w:r>
      <w:r>
        <w:t>“asentamiento</w:t>
      </w:r>
      <w:r>
        <w:rPr>
          <w:spacing w:val="-7"/>
        </w:rPr>
        <w:t xml:space="preserve"> </w:t>
      </w:r>
      <w:r>
        <w:t>formal</w:t>
      </w:r>
      <w:r>
        <w:rPr>
          <w:spacing w:val="-7"/>
        </w:rPr>
        <w:t xml:space="preserve"> </w:t>
      </w:r>
      <w:r>
        <w:t>o</w:t>
      </w:r>
      <w:r>
        <w:rPr>
          <w:spacing w:val="-7"/>
        </w:rPr>
        <w:t xml:space="preserve"> </w:t>
      </w:r>
      <w:r>
        <w:t>informal”,</w:t>
      </w:r>
      <w:r>
        <w:rPr>
          <w:spacing w:val="-6"/>
        </w:rPr>
        <w:t xml:space="preserve"> </w:t>
      </w:r>
      <w:r>
        <w:t>a</w:t>
      </w:r>
      <w:r>
        <w:rPr>
          <w:spacing w:val="-7"/>
        </w:rPr>
        <w:t xml:space="preserve"> </w:t>
      </w:r>
      <w:r>
        <w:t>las</w:t>
      </w:r>
      <w:r>
        <w:rPr>
          <w:spacing w:val="-7"/>
        </w:rPr>
        <w:t xml:space="preserve"> </w:t>
      </w:r>
      <w:r>
        <w:t>personas</w:t>
      </w:r>
      <w:r>
        <w:rPr>
          <w:spacing w:val="-7"/>
        </w:rPr>
        <w:t xml:space="preserve"> </w:t>
      </w:r>
      <w:r>
        <w:t>que</w:t>
      </w:r>
      <w:r>
        <w:rPr>
          <w:spacing w:val="-7"/>
        </w:rPr>
        <w:t xml:space="preserve"> </w:t>
      </w:r>
      <w:r>
        <w:t>son</w:t>
      </w:r>
      <w:r>
        <w:rPr>
          <w:spacing w:val="-7"/>
        </w:rPr>
        <w:t xml:space="preserve"> </w:t>
      </w:r>
      <w:r>
        <w:t>“desplazadas</w:t>
      </w:r>
      <w:r>
        <w:rPr>
          <w:spacing w:val="-7"/>
        </w:rPr>
        <w:t xml:space="preserve"> </w:t>
      </w:r>
      <w:r>
        <w:t>internamente”</w:t>
      </w:r>
      <w:r>
        <w:rPr>
          <w:spacing w:val="-7"/>
        </w:rPr>
        <w:t xml:space="preserve"> </w:t>
      </w:r>
      <w:r>
        <w:t>y</w:t>
      </w:r>
      <w:r>
        <w:rPr>
          <w:spacing w:val="-7"/>
        </w:rPr>
        <w:t xml:space="preserve"> </w:t>
      </w:r>
      <w:r>
        <w:t>a</w:t>
      </w:r>
      <w:r>
        <w:rPr>
          <w:spacing w:val="-7"/>
        </w:rPr>
        <w:t xml:space="preserve"> </w:t>
      </w:r>
      <w:r>
        <w:t>quienes llevan</w:t>
      </w:r>
      <w:r>
        <w:rPr>
          <w:spacing w:val="-5"/>
        </w:rPr>
        <w:t xml:space="preserve"> </w:t>
      </w:r>
      <w:r>
        <w:t>un</w:t>
      </w:r>
      <w:r>
        <w:rPr>
          <w:spacing w:val="-5"/>
        </w:rPr>
        <w:t xml:space="preserve"> </w:t>
      </w:r>
      <w:r>
        <w:t>estilo</w:t>
      </w:r>
      <w:r>
        <w:rPr>
          <w:spacing w:val="-5"/>
        </w:rPr>
        <w:t xml:space="preserve"> </w:t>
      </w:r>
      <w:r>
        <w:t>de</w:t>
      </w:r>
      <w:r>
        <w:rPr>
          <w:spacing w:val="-5"/>
        </w:rPr>
        <w:t xml:space="preserve"> </w:t>
      </w:r>
      <w:r>
        <w:t>vida</w:t>
      </w:r>
      <w:r>
        <w:rPr>
          <w:spacing w:val="-5"/>
        </w:rPr>
        <w:t xml:space="preserve"> </w:t>
      </w:r>
      <w:r>
        <w:t>nómada.641</w:t>
      </w:r>
      <w:r>
        <w:rPr>
          <w:spacing w:val="-5"/>
        </w:rPr>
        <w:t xml:space="preserve"> </w:t>
      </w:r>
      <w:r>
        <w:t>La</w:t>
      </w:r>
      <w:r>
        <w:rPr>
          <w:spacing w:val="-5"/>
        </w:rPr>
        <w:t xml:space="preserve"> </w:t>
      </w:r>
      <w:r>
        <w:t>obligación</w:t>
      </w:r>
      <w:r>
        <w:rPr>
          <w:spacing w:val="-5"/>
        </w:rPr>
        <w:t xml:space="preserve"> </w:t>
      </w:r>
      <w:r>
        <w:t>también</w:t>
      </w:r>
      <w:r>
        <w:rPr>
          <w:spacing w:val="-5"/>
        </w:rPr>
        <w:t xml:space="preserve"> </w:t>
      </w:r>
      <w:r>
        <w:t>se</w:t>
      </w:r>
      <w:r>
        <w:rPr>
          <w:spacing w:val="-5"/>
        </w:rPr>
        <w:t xml:space="preserve"> </w:t>
      </w:r>
      <w:r>
        <w:t>extiende</w:t>
      </w:r>
      <w:r>
        <w:rPr>
          <w:spacing w:val="-5"/>
        </w:rPr>
        <w:t xml:space="preserve"> </w:t>
      </w:r>
      <w:r>
        <w:t>a</w:t>
      </w:r>
      <w:r>
        <w:rPr>
          <w:spacing w:val="-5"/>
        </w:rPr>
        <w:t xml:space="preserve"> </w:t>
      </w:r>
      <w:r>
        <w:t>los</w:t>
      </w:r>
      <w:r>
        <w:rPr>
          <w:spacing w:val="-5"/>
        </w:rPr>
        <w:t xml:space="preserve"> </w:t>
      </w:r>
      <w:r>
        <w:t>no</w:t>
      </w:r>
      <w:r>
        <w:rPr>
          <w:spacing w:val="-5"/>
        </w:rPr>
        <w:t xml:space="preserve"> </w:t>
      </w:r>
      <w:r>
        <w:t>ciudadanos</w:t>
      </w:r>
      <w:r>
        <w:rPr>
          <w:spacing w:val="-5"/>
        </w:rPr>
        <w:t xml:space="preserve"> </w:t>
      </w:r>
      <w:r>
        <w:t>que</w:t>
      </w:r>
      <w:r>
        <w:rPr>
          <w:spacing w:val="-5"/>
        </w:rPr>
        <w:t xml:space="preserve"> </w:t>
      </w:r>
      <w:r>
        <w:t>residen</w:t>
      </w:r>
      <w:r>
        <w:rPr>
          <w:spacing w:val="-5"/>
        </w:rPr>
        <w:t xml:space="preserve"> </w:t>
      </w:r>
      <w:r>
        <w:t>dentro</w:t>
      </w:r>
      <w:r>
        <w:rPr>
          <w:spacing w:val="-5"/>
        </w:rPr>
        <w:t xml:space="preserve"> </w:t>
      </w:r>
      <w:r>
        <w:t>de</w:t>
      </w:r>
      <w:r>
        <w:rPr>
          <w:spacing w:val="-5"/>
        </w:rPr>
        <w:t xml:space="preserve"> </w:t>
      </w:r>
      <w:r>
        <w:t>un</w:t>
      </w:r>
      <w:r>
        <w:rPr>
          <w:spacing w:val="-5"/>
        </w:rPr>
        <w:t xml:space="preserve"> </w:t>
      </w:r>
      <w:r>
        <w:t>Estado.642</w:t>
      </w:r>
    </w:p>
    <w:p w14:paraId="71FBF6B3" w14:textId="77777777" w:rsidR="0014798C" w:rsidRDefault="004E1F0B">
      <w:pPr>
        <w:pStyle w:val="Textoindependiente"/>
        <w:spacing w:before="169" w:line="326" w:lineRule="auto"/>
        <w:ind w:left="1108" w:right="1239" w:firstLine="6"/>
      </w:pPr>
      <w:r>
        <w:rPr>
          <w:noProof/>
        </w:rPr>
        <w:drawing>
          <wp:anchor distT="0" distB="0" distL="0" distR="0" simplePos="0" relativeHeight="251658427" behindDoc="1" locked="0" layoutInCell="1" allowOverlap="1" wp14:anchorId="7748362F" wp14:editId="28538E61">
            <wp:simplePos x="0" y="0"/>
            <wp:positionH relativeFrom="page">
              <wp:posOffset>826632</wp:posOffset>
            </wp:positionH>
            <wp:positionV relativeFrom="paragraph">
              <wp:posOffset>761427</wp:posOffset>
            </wp:positionV>
            <wp:extent cx="6729867" cy="5899772"/>
            <wp:effectExtent l="0" t="0" r="0" b="0"/>
            <wp:wrapNone/>
            <wp:docPr id="201" name="Image 20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01" name="Image 201"/>
                    <pic:cNvPicPr/>
                  </pic:nvPicPr>
                  <pic:blipFill>
                    <a:blip r:embed="rId181" cstate="print"/>
                    <a:stretch>
                      <a:fillRect/>
                    </a:stretch>
                  </pic:blipFill>
                  <pic:spPr>
                    <a:xfrm>
                      <a:off x="0" y="0"/>
                      <a:ext cx="6729867" cy="5899772"/>
                    </a:xfrm>
                    <a:prstGeom prst="rect">
                      <a:avLst/>
                    </a:prstGeom>
                  </pic:spPr>
                </pic:pic>
              </a:graphicData>
            </a:graphic>
          </wp:anchor>
        </w:drawing>
      </w:r>
      <w:r>
        <w:rPr>
          <w:noProof/>
        </w:rPr>
        <mc:AlternateContent>
          <mc:Choice Requires="wps">
            <w:drawing>
              <wp:anchor distT="0" distB="0" distL="0" distR="0" simplePos="0" relativeHeight="251658284" behindDoc="0" locked="0" layoutInCell="1" allowOverlap="1" wp14:anchorId="2889E8E5" wp14:editId="4DB861DF">
                <wp:simplePos x="0" y="0"/>
                <wp:positionH relativeFrom="page">
                  <wp:posOffset>7311076</wp:posOffset>
                </wp:positionH>
                <wp:positionV relativeFrom="paragraph">
                  <wp:posOffset>1403322</wp:posOffset>
                </wp:positionV>
                <wp:extent cx="86360" cy="293370"/>
                <wp:effectExtent l="0" t="0" r="0" b="0"/>
                <wp:wrapNone/>
                <wp:docPr id="202" name="Textbox 20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86360" cy="293370"/>
                        </a:xfrm>
                        <a:prstGeom prst="rect">
                          <a:avLst/>
                        </a:prstGeom>
                      </wps:spPr>
                      <wps:txbx>
                        <w:txbxContent>
                          <w:p w14:paraId="49D406FE" w14:textId="77777777" w:rsidR="0014798C" w:rsidRDefault="004E1F0B">
                            <w:pPr>
                              <w:spacing w:before="22"/>
                              <w:ind w:left="20"/>
                              <w:rPr>
                                <w:sz w:val="8"/>
                              </w:rPr>
                            </w:pPr>
                            <w:r>
                              <w:rPr>
                                <w:color w:val="FFFFFF"/>
                                <w:spacing w:val="-25"/>
                                <w:w w:val="105"/>
                                <w:sz w:val="8"/>
                              </w:rPr>
                              <w:t>–IP</w:t>
                            </w:r>
                            <w:r>
                              <w:rPr>
                                <w:spacing w:val="-25"/>
                                <w:w w:val="105"/>
                                <w:sz w:val="8"/>
                              </w:rPr>
                              <w:t>S</w:t>
                            </w:r>
                            <w:r>
                              <w:rPr>
                                <w:color w:val="FFFFFF"/>
                                <w:spacing w:val="-25"/>
                                <w:w w:val="105"/>
                                <w:sz w:val="8"/>
                              </w:rPr>
                              <w:t>IIA</w:t>
                            </w:r>
                            <w:r>
                              <w:rPr>
                                <w:spacing w:val="-25"/>
                                <w:w w:val="105"/>
                                <w:sz w:val="8"/>
                              </w:rPr>
                              <w:t>E</w:t>
                            </w:r>
                            <w:r>
                              <w:rPr>
                                <w:color w:val="FFFFFF"/>
                                <w:spacing w:val="-25"/>
                                <w:w w:val="105"/>
                                <w:sz w:val="8"/>
                              </w:rPr>
                              <w:t>R</w:t>
                            </w:r>
                            <w:r>
                              <w:rPr>
                                <w:spacing w:val="-25"/>
                                <w:w w:val="105"/>
                                <w:sz w:val="8"/>
                              </w:rPr>
                              <w:t>G</w:t>
                            </w:r>
                            <w:r>
                              <w:rPr>
                                <w:color w:val="FFFFFF"/>
                                <w:spacing w:val="-25"/>
                                <w:w w:val="105"/>
                                <w:sz w:val="8"/>
                              </w:rPr>
                              <w:t>T</w:t>
                            </w:r>
                            <w:r>
                              <w:rPr>
                                <w:spacing w:val="-25"/>
                                <w:w w:val="105"/>
                                <w:sz w:val="8"/>
                              </w:rPr>
                              <w:t>U</w:t>
                            </w:r>
                            <w:r>
                              <w:rPr>
                                <w:color w:val="FFFFFF"/>
                                <w:spacing w:val="-25"/>
                                <w:w w:val="105"/>
                                <w:sz w:val="8"/>
                              </w:rPr>
                              <w:t>E</w:t>
                            </w:r>
                            <w:r>
                              <w:rPr>
                                <w:spacing w:val="-25"/>
                                <w:w w:val="105"/>
                                <w:sz w:val="8"/>
                              </w:rPr>
                              <w:t>NDA</w:t>
                            </w:r>
                          </w:p>
                        </w:txbxContent>
                      </wps:txbx>
                      <wps:bodyPr vert="vert270" wrap="square" lIns="0" tIns="0" rIns="0" bIns="0" rtlCol="0">
                        <a:noAutofit/>
                      </wps:bodyPr>
                    </wps:wsp>
                  </a:graphicData>
                </a:graphic>
              </wp:anchor>
            </w:drawing>
          </mc:Choice>
          <mc:Fallback>
            <w:pict>
              <v:shape w14:anchorId="2889E8E5" id="Textbox 202" o:spid="_x0000_s1104" type="#_x0000_t202" style="position:absolute;left:0;text-align:left;margin-left:575.7pt;margin-top:110.5pt;width:6.8pt;height:23.1pt;z-index:251658284;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" filled="f" stroked="f">
                <v:textbox style="layout-flow:vertical;mso-layout-flow-alt:bottom-to-top" inset="0,0,0,0">
                  <w:txbxContent>
                    <w:p w14:paraId="49D406FE" w14:textId="77777777" w:rsidR="0014798C" w:rsidRDefault="004E1F0B">
                      <w:pPr>
                        <w:spacing w:before="22"/>
                        <w:ind w:left="20"/>
                        <w:rPr>
                          <w:sz w:val="8"/>
                        </w:rPr>
                      </w:pPr>
                      <w:r>
                        <w:rPr>
                          <w:color w:val="FFFFFF"/>
                          <w:spacing w:val="-25"/>
                          <w:w w:val="105"/>
                          <w:sz w:val="8"/>
                        </w:rPr>
                        <w:t>–IP</w:t>
                      </w:r>
                      <w:r>
                        <w:rPr>
                          <w:spacing w:val="-25"/>
                          <w:w w:val="105"/>
                          <w:sz w:val="8"/>
                        </w:rPr>
                        <w:t>S</w:t>
                      </w:r>
                      <w:r>
                        <w:rPr>
                          <w:color w:val="FFFFFF"/>
                          <w:spacing w:val="-25"/>
                          <w:w w:val="105"/>
                          <w:sz w:val="8"/>
                        </w:rPr>
                        <w:t>IIA</w:t>
                      </w:r>
                      <w:r>
                        <w:rPr>
                          <w:spacing w:val="-25"/>
                          <w:w w:val="105"/>
                          <w:sz w:val="8"/>
                        </w:rPr>
                        <w:t>E</w:t>
                      </w:r>
                      <w:r>
                        <w:rPr>
                          <w:color w:val="FFFFFF"/>
                          <w:spacing w:val="-25"/>
                          <w:w w:val="105"/>
                          <w:sz w:val="8"/>
                        </w:rPr>
                        <w:t>R</w:t>
                      </w:r>
                      <w:r>
                        <w:rPr>
                          <w:spacing w:val="-25"/>
                          <w:w w:val="105"/>
                          <w:sz w:val="8"/>
                        </w:rPr>
                        <w:t>G</w:t>
                      </w:r>
                      <w:r>
                        <w:rPr>
                          <w:color w:val="FFFFFF"/>
                          <w:spacing w:val="-25"/>
                          <w:w w:val="105"/>
                          <w:sz w:val="8"/>
                        </w:rPr>
                        <w:t>T</w:t>
                      </w:r>
                      <w:r>
                        <w:rPr>
                          <w:spacing w:val="-25"/>
                          <w:w w:val="105"/>
                          <w:sz w:val="8"/>
                        </w:rPr>
                        <w:t>U</w:t>
                      </w:r>
                      <w:r>
                        <w:rPr>
                          <w:color w:val="FFFFFF"/>
                          <w:spacing w:val="-25"/>
                          <w:w w:val="105"/>
                          <w:sz w:val="8"/>
                        </w:rPr>
                        <w:t>E</w:t>
                      </w:r>
                      <w:r>
                        <w:rPr>
                          <w:spacing w:val="-25"/>
                          <w:w w:val="105"/>
                          <w:sz w:val="8"/>
                        </w:rPr>
                        <w:t>NDA</w:t>
                      </w:r>
                    </w:p>
                  </w:txbxContent>
                </v:textbox>
                <w10:wrap anchorx="page"/>
              </v:shape>
            </w:pict>
          </mc:Fallback>
        </mc:AlternateContent>
      </w:r>
      <w:r>
        <w:t>Es</w:t>
      </w:r>
      <w:r>
        <w:rPr>
          <w:spacing w:val="-1"/>
        </w:rPr>
        <w:t xml:space="preserve"> </w:t>
      </w:r>
      <w:r>
        <w:t>posible</w:t>
      </w:r>
      <w:r>
        <w:rPr>
          <w:spacing w:val="-1"/>
        </w:rPr>
        <w:t xml:space="preserve"> </w:t>
      </w:r>
      <w:r>
        <w:t>que</w:t>
      </w:r>
      <w:r>
        <w:rPr>
          <w:spacing w:val="-1"/>
        </w:rPr>
        <w:t xml:space="preserve"> </w:t>
      </w:r>
      <w:r>
        <w:t>sean</w:t>
      </w:r>
      <w:r>
        <w:rPr>
          <w:spacing w:val="-1"/>
        </w:rPr>
        <w:t xml:space="preserve"> </w:t>
      </w:r>
      <w:r>
        <w:t>necesarios</w:t>
      </w:r>
      <w:r>
        <w:rPr>
          <w:spacing w:val="-1"/>
        </w:rPr>
        <w:t xml:space="preserve"> </w:t>
      </w:r>
      <w:r>
        <w:t>cambios</w:t>
      </w:r>
      <w:r>
        <w:rPr>
          <w:spacing w:val="-1"/>
        </w:rPr>
        <w:t xml:space="preserve"> </w:t>
      </w:r>
      <w:r>
        <w:t>en</w:t>
      </w:r>
      <w:r>
        <w:rPr>
          <w:spacing w:val="-1"/>
        </w:rPr>
        <w:t xml:space="preserve"> </w:t>
      </w:r>
      <w:r>
        <w:t>el</w:t>
      </w:r>
      <w:r>
        <w:rPr>
          <w:spacing w:val="-1"/>
        </w:rPr>
        <w:t xml:space="preserve"> </w:t>
      </w:r>
      <w:r>
        <w:t>sistema</w:t>
      </w:r>
      <w:r>
        <w:rPr>
          <w:spacing w:val="-1"/>
        </w:rPr>
        <w:t xml:space="preserve"> </w:t>
      </w:r>
      <w:r>
        <w:t>jurídico</w:t>
      </w:r>
      <w:r>
        <w:rPr>
          <w:spacing w:val="-1"/>
        </w:rPr>
        <w:t xml:space="preserve"> </w:t>
      </w:r>
      <w:r>
        <w:t>nacional</w:t>
      </w:r>
      <w:r>
        <w:rPr>
          <w:spacing w:val="-1"/>
        </w:rPr>
        <w:t xml:space="preserve"> </w:t>
      </w:r>
      <w:r>
        <w:t>para</w:t>
      </w:r>
      <w:r>
        <w:rPr>
          <w:spacing w:val="-1"/>
        </w:rPr>
        <w:t xml:space="preserve"> </w:t>
      </w:r>
      <w:r>
        <w:t>garantizar</w:t>
      </w:r>
      <w:r>
        <w:rPr>
          <w:spacing w:val="-1"/>
        </w:rPr>
        <w:t xml:space="preserve"> </w:t>
      </w:r>
      <w:r>
        <w:t>que</w:t>
      </w:r>
      <w:r>
        <w:rPr>
          <w:spacing w:val="-1"/>
        </w:rPr>
        <w:t xml:space="preserve"> </w:t>
      </w:r>
      <w:r>
        <w:t>los</w:t>
      </w:r>
      <w:r>
        <w:rPr>
          <w:spacing w:val="-1"/>
        </w:rPr>
        <w:t xml:space="preserve"> </w:t>
      </w:r>
      <w:r>
        <w:t>derechos</w:t>
      </w:r>
      <w:r>
        <w:rPr>
          <w:spacing w:val="-1"/>
        </w:rPr>
        <w:t xml:space="preserve"> </w:t>
      </w:r>
      <w:r>
        <w:t>a</w:t>
      </w:r>
      <w:r>
        <w:rPr>
          <w:spacing w:val="-1"/>
        </w:rPr>
        <w:t xml:space="preserve"> </w:t>
      </w:r>
      <w:r>
        <w:t>la</w:t>
      </w:r>
      <w:r>
        <w:rPr>
          <w:spacing w:val="-1"/>
        </w:rPr>
        <w:t xml:space="preserve"> </w:t>
      </w:r>
      <w:r>
        <w:t>igualdad</w:t>
      </w:r>
      <w:r>
        <w:rPr>
          <w:spacing w:val="-1"/>
        </w:rPr>
        <w:t xml:space="preserve"> </w:t>
      </w:r>
      <w:r>
        <w:t>y</w:t>
      </w:r>
      <w:r>
        <w:rPr>
          <w:spacing w:val="-1"/>
        </w:rPr>
        <w:t xml:space="preserve"> </w:t>
      </w:r>
      <w:r>
        <w:t>la</w:t>
      </w:r>
      <w:r>
        <w:rPr>
          <w:spacing w:val="-1"/>
        </w:rPr>
        <w:t xml:space="preserve"> </w:t>
      </w:r>
      <w:r>
        <w:t>no discriminación</w:t>
      </w:r>
      <w:r>
        <w:rPr>
          <w:spacing w:val="-3"/>
        </w:rPr>
        <w:t xml:space="preserve"> </w:t>
      </w:r>
      <w:r>
        <w:t>sean</w:t>
      </w:r>
      <w:r>
        <w:rPr>
          <w:spacing w:val="-3"/>
        </w:rPr>
        <w:t xml:space="preserve"> </w:t>
      </w:r>
      <w:r>
        <w:t>exigibles</w:t>
      </w:r>
      <w:r>
        <w:rPr>
          <w:spacing w:val="-3"/>
        </w:rPr>
        <w:t xml:space="preserve"> </w:t>
      </w:r>
      <w:r>
        <w:t>en</w:t>
      </w:r>
      <w:r>
        <w:rPr>
          <w:spacing w:val="-3"/>
        </w:rPr>
        <w:t xml:space="preserve"> </w:t>
      </w:r>
      <w:r>
        <w:t>la</w:t>
      </w:r>
      <w:r>
        <w:rPr>
          <w:spacing w:val="-3"/>
        </w:rPr>
        <w:t xml:space="preserve"> </w:t>
      </w:r>
      <w:r>
        <w:t>práctica.</w:t>
      </w:r>
      <w:r>
        <w:rPr>
          <w:spacing w:val="-2"/>
        </w:rPr>
        <w:t xml:space="preserve"> </w:t>
      </w:r>
      <w:r>
        <w:t>Como</w:t>
      </w:r>
      <w:r>
        <w:rPr>
          <w:spacing w:val="-3"/>
        </w:rPr>
        <w:t xml:space="preserve"> </w:t>
      </w:r>
      <w:r>
        <w:t>lo</w:t>
      </w:r>
      <w:r>
        <w:rPr>
          <w:spacing w:val="-3"/>
        </w:rPr>
        <w:t xml:space="preserve"> </w:t>
      </w:r>
      <w:r>
        <w:t>establece</w:t>
      </w:r>
      <w:r>
        <w:rPr>
          <w:spacing w:val="-3"/>
        </w:rPr>
        <w:t xml:space="preserve"> </w:t>
      </w:r>
      <w:r>
        <w:t>el</w:t>
      </w:r>
      <w:r>
        <w:rPr>
          <w:spacing w:val="-3"/>
        </w:rPr>
        <w:t xml:space="preserve"> </w:t>
      </w:r>
      <w:r>
        <w:t>Comité</w:t>
      </w:r>
      <w:r>
        <w:rPr>
          <w:spacing w:val="-3"/>
        </w:rPr>
        <w:t xml:space="preserve"> </w:t>
      </w:r>
      <w:r>
        <w:t>para</w:t>
      </w:r>
      <w:r>
        <w:rPr>
          <w:spacing w:val="-3"/>
        </w:rPr>
        <w:t xml:space="preserve"> </w:t>
      </w:r>
      <w:r>
        <w:t>la</w:t>
      </w:r>
      <w:r>
        <w:rPr>
          <w:spacing w:val="-3"/>
        </w:rPr>
        <w:t xml:space="preserve"> </w:t>
      </w:r>
      <w:r>
        <w:t>Eliminación</w:t>
      </w:r>
      <w:r>
        <w:rPr>
          <w:spacing w:val="-3"/>
        </w:rPr>
        <w:t xml:space="preserve"> </w:t>
      </w:r>
      <w:r>
        <w:t>de</w:t>
      </w:r>
      <w:r>
        <w:rPr>
          <w:spacing w:val="-3"/>
        </w:rPr>
        <w:t xml:space="preserve"> </w:t>
      </w:r>
      <w:r>
        <w:t>la</w:t>
      </w:r>
      <w:r>
        <w:rPr>
          <w:spacing w:val="-3"/>
        </w:rPr>
        <w:t xml:space="preserve"> </w:t>
      </w:r>
      <w:r>
        <w:t>Discriminación</w:t>
      </w:r>
      <w:r>
        <w:rPr>
          <w:spacing w:val="-3"/>
        </w:rPr>
        <w:t xml:space="preserve"> </w:t>
      </w:r>
      <w:r>
        <w:t>contra</w:t>
      </w:r>
      <w:r>
        <w:rPr>
          <w:spacing w:val="-3"/>
        </w:rPr>
        <w:t xml:space="preserve"> </w:t>
      </w:r>
      <w:r>
        <w:t>la</w:t>
      </w:r>
      <w:r>
        <w:rPr>
          <w:spacing w:val="-3"/>
        </w:rPr>
        <w:t xml:space="preserve"> </w:t>
      </w:r>
      <w:r>
        <w:t>Mujer,</w:t>
      </w:r>
      <w:r>
        <w:rPr>
          <w:spacing w:val="-3"/>
        </w:rPr>
        <w:t xml:space="preserve"> </w:t>
      </w:r>
      <w:r>
        <w:t>y se</w:t>
      </w:r>
      <w:r>
        <w:rPr>
          <w:spacing w:val="-5"/>
        </w:rPr>
        <w:t xml:space="preserve"> </w:t>
      </w:r>
      <w:r>
        <w:t>analiza</w:t>
      </w:r>
      <w:r>
        <w:rPr>
          <w:spacing w:val="-5"/>
        </w:rPr>
        <w:t xml:space="preserve"> </w:t>
      </w:r>
      <w:r>
        <w:t>con</w:t>
      </w:r>
      <w:r>
        <w:rPr>
          <w:spacing w:val="-5"/>
        </w:rPr>
        <w:t xml:space="preserve"> </w:t>
      </w:r>
      <w:r>
        <w:t>más</w:t>
      </w:r>
      <w:r>
        <w:rPr>
          <w:spacing w:val="-5"/>
        </w:rPr>
        <w:t xml:space="preserve"> </w:t>
      </w:r>
      <w:r>
        <w:t>detalle</w:t>
      </w:r>
      <w:r>
        <w:rPr>
          <w:spacing w:val="-5"/>
        </w:rPr>
        <w:t xml:space="preserve"> </w:t>
      </w:r>
      <w:r>
        <w:t>a</w:t>
      </w:r>
      <w:r>
        <w:rPr>
          <w:spacing w:val="-5"/>
        </w:rPr>
        <w:t xml:space="preserve"> </w:t>
      </w:r>
      <w:r>
        <w:t>continuación,</w:t>
      </w:r>
      <w:r>
        <w:rPr>
          <w:spacing w:val="-4"/>
        </w:rPr>
        <w:t xml:space="preserve"> </w:t>
      </w:r>
      <w:r>
        <w:t>esto</w:t>
      </w:r>
      <w:r>
        <w:rPr>
          <w:spacing w:val="-5"/>
        </w:rPr>
        <w:t xml:space="preserve"> </w:t>
      </w:r>
      <w:r>
        <w:t>incluye</w:t>
      </w:r>
      <w:r>
        <w:rPr>
          <w:spacing w:val="-5"/>
        </w:rPr>
        <w:t xml:space="preserve"> </w:t>
      </w:r>
      <w:r>
        <w:t>la</w:t>
      </w:r>
      <w:r>
        <w:rPr>
          <w:spacing w:val="-5"/>
        </w:rPr>
        <w:t xml:space="preserve"> </w:t>
      </w:r>
      <w:r>
        <w:t>adaptación</w:t>
      </w:r>
      <w:r>
        <w:rPr>
          <w:spacing w:val="-5"/>
        </w:rPr>
        <w:t xml:space="preserve"> </w:t>
      </w:r>
      <w:r>
        <w:t>de</w:t>
      </w:r>
      <w:r>
        <w:rPr>
          <w:spacing w:val="-5"/>
        </w:rPr>
        <w:t xml:space="preserve"> </w:t>
      </w:r>
      <w:r>
        <w:t>las</w:t>
      </w:r>
      <w:r>
        <w:rPr>
          <w:spacing w:val="-5"/>
        </w:rPr>
        <w:t xml:space="preserve"> </w:t>
      </w:r>
      <w:r>
        <w:t>normas</w:t>
      </w:r>
      <w:r>
        <w:rPr>
          <w:spacing w:val="-5"/>
        </w:rPr>
        <w:t xml:space="preserve"> </w:t>
      </w:r>
      <w:r>
        <w:t>que</w:t>
      </w:r>
      <w:r>
        <w:rPr>
          <w:spacing w:val="-5"/>
        </w:rPr>
        <w:t xml:space="preserve"> </w:t>
      </w:r>
      <w:r>
        <w:t>regulan</w:t>
      </w:r>
      <w:r>
        <w:rPr>
          <w:spacing w:val="-5"/>
        </w:rPr>
        <w:t xml:space="preserve"> </w:t>
      </w:r>
      <w:r>
        <w:t>las</w:t>
      </w:r>
      <w:r>
        <w:rPr>
          <w:spacing w:val="-5"/>
        </w:rPr>
        <w:t xml:space="preserve"> </w:t>
      </w:r>
      <w:r>
        <w:t>pruebas</w:t>
      </w:r>
      <w:r>
        <w:rPr>
          <w:spacing w:val="-5"/>
        </w:rPr>
        <w:t xml:space="preserve"> </w:t>
      </w:r>
      <w:r>
        <w:t>y</w:t>
      </w:r>
      <w:r>
        <w:rPr>
          <w:spacing w:val="-5"/>
        </w:rPr>
        <w:t xml:space="preserve"> </w:t>
      </w:r>
      <w:r>
        <w:t>las</w:t>
      </w:r>
      <w:r>
        <w:rPr>
          <w:spacing w:val="-5"/>
        </w:rPr>
        <w:t xml:space="preserve"> </w:t>
      </w:r>
      <w:r>
        <w:t>pruebas</w:t>
      </w:r>
      <w:r>
        <w:rPr>
          <w:spacing w:val="-5"/>
        </w:rPr>
        <w:t xml:space="preserve"> </w:t>
      </w:r>
      <w:r>
        <w:t>en</w:t>
      </w:r>
      <w:r>
        <w:rPr>
          <w:spacing w:val="-5"/>
        </w:rPr>
        <w:t xml:space="preserve"> </w:t>
      </w:r>
      <w:r>
        <w:t>casos de</w:t>
      </w:r>
      <w:r>
        <w:rPr>
          <w:spacing w:val="-10"/>
        </w:rPr>
        <w:t xml:space="preserve"> </w:t>
      </w:r>
      <w:r>
        <w:t>discriminación;643</w:t>
      </w:r>
      <w:r>
        <w:rPr>
          <w:spacing w:val="-10"/>
        </w:rPr>
        <w:t xml:space="preserve"> </w:t>
      </w:r>
      <w:r>
        <w:t>y</w:t>
      </w:r>
      <w:r>
        <w:rPr>
          <w:spacing w:val="-10"/>
        </w:rPr>
        <w:t xml:space="preserve"> </w:t>
      </w:r>
      <w:r>
        <w:t>la</w:t>
      </w:r>
      <w:r>
        <w:rPr>
          <w:spacing w:val="-10"/>
        </w:rPr>
        <w:t xml:space="preserve"> </w:t>
      </w:r>
      <w:r>
        <w:t>flexibilización</w:t>
      </w:r>
      <w:r>
        <w:rPr>
          <w:spacing w:val="-10"/>
        </w:rPr>
        <w:t xml:space="preserve"> </w:t>
      </w:r>
      <w:r>
        <w:t>de</w:t>
      </w:r>
      <w:r>
        <w:rPr>
          <w:spacing w:val="-10"/>
        </w:rPr>
        <w:t xml:space="preserve"> </w:t>
      </w:r>
      <w:r>
        <w:t>los</w:t>
      </w:r>
      <w:r>
        <w:rPr>
          <w:spacing w:val="-10"/>
        </w:rPr>
        <w:t xml:space="preserve"> </w:t>
      </w:r>
      <w:r>
        <w:t>requisitos</w:t>
      </w:r>
      <w:r>
        <w:rPr>
          <w:spacing w:val="-10"/>
        </w:rPr>
        <w:t xml:space="preserve"> </w:t>
      </w:r>
      <w:r>
        <w:t>de</w:t>
      </w:r>
      <w:r>
        <w:rPr>
          <w:spacing w:val="-10"/>
        </w:rPr>
        <w:t xml:space="preserve"> </w:t>
      </w:r>
      <w:r>
        <w:t>legitimación</w:t>
      </w:r>
      <w:r>
        <w:rPr>
          <w:spacing w:val="-10"/>
        </w:rPr>
        <w:t xml:space="preserve"> </w:t>
      </w:r>
      <w:r>
        <w:t>activa,</w:t>
      </w:r>
      <w:r>
        <w:rPr>
          <w:spacing w:val="-10"/>
        </w:rPr>
        <w:t xml:space="preserve"> </w:t>
      </w:r>
      <w:r>
        <w:t>para</w:t>
      </w:r>
      <w:r>
        <w:rPr>
          <w:spacing w:val="-10"/>
        </w:rPr>
        <w:t xml:space="preserve"> </w:t>
      </w:r>
      <w:r>
        <w:t>permitir</w:t>
      </w:r>
      <w:r>
        <w:rPr>
          <w:spacing w:val="-10"/>
        </w:rPr>
        <w:t xml:space="preserve"> </w:t>
      </w:r>
      <w:r>
        <w:t>la</w:t>
      </w:r>
      <w:r>
        <w:rPr>
          <w:spacing w:val="-10"/>
        </w:rPr>
        <w:t xml:space="preserve"> </w:t>
      </w:r>
      <w:r>
        <w:t>participación</w:t>
      </w:r>
      <w:r>
        <w:rPr>
          <w:spacing w:val="-10"/>
        </w:rPr>
        <w:t xml:space="preserve"> </w:t>
      </w:r>
      <w:r>
        <w:t>de</w:t>
      </w:r>
      <w:r>
        <w:rPr>
          <w:spacing w:val="-10"/>
        </w:rPr>
        <w:t xml:space="preserve"> </w:t>
      </w:r>
      <w:r>
        <w:t>partes</w:t>
      </w:r>
      <w:r>
        <w:rPr>
          <w:spacing w:val="-10"/>
        </w:rPr>
        <w:t xml:space="preserve"> </w:t>
      </w:r>
      <w:r>
        <w:t>interesadas. terceros.644</w:t>
      </w:r>
      <w:r>
        <w:rPr>
          <w:spacing w:val="-1"/>
        </w:rPr>
        <w:t xml:space="preserve"> </w:t>
      </w:r>
      <w:r>
        <w:t>También</w:t>
      </w:r>
      <w:r>
        <w:rPr>
          <w:spacing w:val="-1"/>
        </w:rPr>
        <w:t xml:space="preserve"> </w:t>
      </w:r>
      <w:r>
        <w:t>requiere</w:t>
      </w:r>
      <w:r>
        <w:rPr>
          <w:spacing w:val="-1"/>
        </w:rPr>
        <w:t xml:space="preserve"> </w:t>
      </w:r>
      <w:r>
        <w:t>protección</w:t>
      </w:r>
      <w:r>
        <w:rPr>
          <w:spacing w:val="-1"/>
        </w:rPr>
        <w:t xml:space="preserve"> </w:t>
      </w:r>
      <w:r>
        <w:t>contra</w:t>
      </w:r>
      <w:r>
        <w:rPr>
          <w:spacing w:val="-1"/>
        </w:rPr>
        <w:t xml:space="preserve"> </w:t>
      </w:r>
      <w:r>
        <w:t>la</w:t>
      </w:r>
      <w:r>
        <w:rPr>
          <w:spacing w:val="-1"/>
        </w:rPr>
        <w:t xml:space="preserve"> </w:t>
      </w:r>
      <w:r>
        <w:t>victimización: medidas</w:t>
      </w:r>
      <w:r>
        <w:rPr>
          <w:spacing w:val="-1"/>
        </w:rPr>
        <w:t xml:space="preserve"> </w:t>
      </w:r>
      <w:r>
        <w:t>necesarias</w:t>
      </w:r>
      <w:r>
        <w:rPr>
          <w:spacing w:val="-1"/>
        </w:rPr>
        <w:t xml:space="preserve"> </w:t>
      </w:r>
      <w:r>
        <w:t>para</w:t>
      </w:r>
      <w:r>
        <w:rPr>
          <w:spacing w:val="-1"/>
        </w:rPr>
        <w:t xml:space="preserve"> </w:t>
      </w:r>
      <w:r>
        <w:t>proteger</w:t>
      </w:r>
      <w:r>
        <w:rPr>
          <w:spacing w:val="-1"/>
        </w:rPr>
        <w:t xml:space="preserve"> </w:t>
      </w:r>
      <w:r>
        <w:t>a</w:t>
      </w:r>
      <w:r>
        <w:rPr>
          <w:spacing w:val="-1"/>
        </w:rPr>
        <w:t xml:space="preserve"> </w:t>
      </w:r>
      <w:r>
        <w:t>las</w:t>
      </w:r>
      <w:r>
        <w:rPr>
          <w:spacing w:val="-1"/>
        </w:rPr>
        <w:t xml:space="preserve"> </w:t>
      </w:r>
      <w:r>
        <w:t>personas</w:t>
      </w:r>
      <w:r>
        <w:rPr>
          <w:spacing w:val="-1"/>
        </w:rPr>
        <w:t xml:space="preserve"> </w:t>
      </w:r>
      <w:r>
        <w:t>de</w:t>
      </w:r>
      <w:r>
        <w:rPr>
          <w:spacing w:val="-1"/>
        </w:rPr>
        <w:t xml:space="preserve"> </w:t>
      </w:r>
      <w:r>
        <w:t>cualquier trato adverso o consecuencia adversa como reacción a una denuncia o a procedimientos destinados a hacer cumplir las disposiciones</w:t>
      </w:r>
      <w:r>
        <w:rPr>
          <w:spacing w:val="-8"/>
        </w:rPr>
        <w:t xml:space="preserve"> </w:t>
      </w:r>
      <w:r>
        <w:t>de</w:t>
      </w:r>
      <w:r>
        <w:rPr>
          <w:spacing w:val="-8"/>
        </w:rPr>
        <w:t xml:space="preserve"> </w:t>
      </w:r>
      <w:r>
        <w:t>no</w:t>
      </w:r>
      <w:r>
        <w:rPr>
          <w:spacing w:val="-8"/>
        </w:rPr>
        <w:t xml:space="preserve"> </w:t>
      </w:r>
      <w:r>
        <w:t>discriminación.645</w:t>
      </w:r>
      <w:r>
        <w:rPr>
          <w:spacing w:val="-8"/>
        </w:rPr>
        <w:t xml:space="preserve"> </w:t>
      </w:r>
      <w:r>
        <w:t>Este</w:t>
      </w:r>
      <w:r>
        <w:rPr>
          <w:spacing w:val="-8"/>
        </w:rPr>
        <w:t xml:space="preserve"> </w:t>
      </w:r>
      <w:r>
        <w:t>requisito</w:t>
      </w:r>
      <w:r>
        <w:rPr>
          <w:spacing w:val="-8"/>
        </w:rPr>
        <w:t xml:space="preserve"> </w:t>
      </w:r>
      <w:r>
        <w:t>fue</w:t>
      </w:r>
      <w:r>
        <w:rPr>
          <w:spacing w:val="-8"/>
        </w:rPr>
        <w:t xml:space="preserve"> </w:t>
      </w:r>
      <w:r>
        <w:t>confirmado</w:t>
      </w:r>
      <w:r>
        <w:rPr>
          <w:spacing w:val="-8"/>
        </w:rPr>
        <w:t xml:space="preserve"> </w:t>
      </w:r>
      <w:r>
        <w:t>más</w:t>
      </w:r>
      <w:r>
        <w:rPr>
          <w:spacing w:val="-8"/>
        </w:rPr>
        <w:t xml:space="preserve"> </w:t>
      </w:r>
      <w:r>
        <w:t>recientemente</w:t>
      </w:r>
      <w:r>
        <w:rPr>
          <w:spacing w:val="-8"/>
        </w:rPr>
        <w:t xml:space="preserve"> </w:t>
      </w:r>
      <w:r>
        <w:t>en</w:t>
      </w:r>
      <w:r>
        <w:rPr>
          <w:spacing w:val="-8"/>
        </w:rPr>
        <w:t xml:space="preserve"> </w:t>
      </w:r>
      <w:r>
        <w:t>a</w:t>
      </w:r>
      <w:r>
        <w:rPr>
          <w:spacing w:val="-8"/>
        </w:rPr>
        <w:t xml:space="preserve"> </w:t>
      </w:r>
      <w:r>
        <w:t>nivel</w:t>
      </w:r>
      <w:r>
        <w:rPr>
          <w:spacing w:val="-8"/>
        </w:rPr>
        <w:t xml:space="preserve"> </w:t>
      </w:r>
      <w:r>
        <w:t>internacional</w:t>
      </w:r>
      <w:r>
        <w:rPr>
          <w:spacing w:val="-8"/>
        </w:rPr>
        <w:t xml:space="preserve"> </w:t>
      </w:r>
      <w:r>
        <w:t>por</w:t>
      </w:r>
      <w:r>
        <w:rPr>
          <w:spacing w:val="-8"/>
        </w:rPr>
        <w:t xml:space="preserve"> </w:t>
      </w:r>
      <w:r>
        <w:t>el</w:t>
      </w:r>
      <w:r>
        <w:rPr>
          <w:spacing w:val="-8"/>
        </w:rPr>
        <w:t xml:space="preserve"> </w:t>
      </w:r>
      <w:r>
        <w:t>Comité</w:t>
      </w:r>
      <w:r>
        <w:rPr>
          <w:spacing w:val="-8"/>
        </w:rPr>
        <w:t xml:space="preserve"> </w:t>
      </w:r>
      <w:r>
        <w:t>sobre los</w:t>
      </w:r>
      <w:r>
        <w:rPr>
          <w:spacing w:val="-3"/>
        </w:rPr>
        <w:t xml:space="preserve"> </w:t>
      </w:r>
      <w:r>
        <w:t>Derechos</w:t>
      </w:r>
      <w:r>
        <w:rPr>
          <w:spacing w:val="-3"/>
        </w:rPr>
        <w:t xml:space="preserve"> </w:t>
      </w:r>
      <w:r>
        <w:t>de</w:t>
      </w:r>
      <w:r>
        <w:rPr>
          <w:spacing w:val="-3"/>
        </w:rPr>
        <w:t xml:space="preserve"> </w:t>
      </w:r>
      <w:r>
        <w:t>las</w:t>
      </w:r>
      <w:r>
        <w:rPr>
          <w:spacing w:val="-3"/>
        </w:rPr>
        <w:t xml:space="preserve"> </w:t>
      </w:r>
      <w:r>
        <w:t>Personas</w:t>
      </w:r>
      <w:r>
        <w:rPr>
          <w:spacing w:val="-3"/>
        </w:rPr>
        <w:t xml:space="preserve"> </w:t>
      </w:r>
      <w:r>
        <w:t>con</w:t>
      </w:r>
      <w:r>
        <w:rPr>
          <w:spacing w:val="-3"/>
        </w:rPr>
        <w:t xml:space="preserve"> </w:t>
      </w:r>
      <w:r>
        <w:t>Discapacidad</w:t>
      </w:r>
      <w:r>
        <w:rPr>
          <w:spacing w:val="-3"/>
        </w:rPr>
        <w:t xml:space="preserve"> </w:t>
      </w:r>
      <w:r>
        <w:t>en</w:t>
      </w:r>
      <w:r>
        <w:rPr>
          <w:spacing w:val="-3"/>
        </w:rPr>
        <w:t xml:space="preserve"> </w:t>
      </w:r>
      <w:r>
        <w:t>su</w:t>
      </w:r>
      <w:r>
        <w:rPr>
          <w:spacing w:val="-3"/>
        </w:rPr>
        <w:t xml:space="preserve"> </w:t>
      </w:r>
      <w:r>
        <w:t>Observación</w:t>
      </w:r>
      <w:r>
        <w:rPr>
          <w:spacing w:val="-3"/>
        </w:rPr>
        <w:t xml:space="preserve"> </w:t>
      </w:r>
      <w:r>
        <w:t>general</w:t>
      </w:r>
      <w:r>
        <w:rPr>
          <w:spacing w:val="-3"/>
        </w:rPr>
        <w:t xml:space="preserve"> </w:t>
      </w:r>
      <w:r>
        <w:t>núm.</w:t>
      </w:r>
      <w:r>
        <w:rPr>
          <w:spacing w:val="-3"/>
        </w:rPr>
        <w:t xml:space="preserve"> </w:t>
      </w:r>
      <w:r>
        <w:t>6</w:t>
      </w:r>
      <w:r>
        <w:rPr>
          <w:spacing w:val="-3"/>
        </w:rPr>
        <w:t xml:space="preserve"> </w:t>
      </w:r>
      <w:r>
        <w:t>(2018),</w:t>
      </w:r>
      <w:r>
        <w:rPr>
          <w:spacing w:val="-2"/>
        </w:rPr>
        <w:t xml:space="preserve"> </w:t>
      </w:r>
      <w:r>
        <w:t>que</w:t>
      </w:r>
      <w:r>
        <w:rPr>
          <w:spacing w:val="-3"/>
        </w:rPr>
        <w:t xml:space="preserve"> </w:t>
      </w:r>
      <w:r>
        <w:t>subraya</w:t>
      </w:r>
      <w:r>
        <w:rPr>
          <w:spacing w:val="-3"/>
        </w:rPr>
        <w:t xml:space="preserve"> </w:t>
      </w:r>
      <w:r>
        <w:t>que</w:t>
      </w:r>
      <w:r>
        <w:rPr>
          <w:spacing w:val="-3"/>
        </w:rPr>
        <w:t xml:space="preserve"> </w:t>
      </w:r>
      <w:r>
        <w:t>una</w:t>
      </w:r>
      <w:r>
        <w:rPr>
          <w:spacing w:val="-3"/>
        </w:rPr>
        <w:t xml:space="preserve"> </w:t>
      </w:r>
      <w:r>
        <w:t>ley</w:t>
      </w:r>
      <w:r>
        <w:rPr>
          <w:spacing w:val="-3"/>
        </w:rPr>
        <w:t xml:space="preserve"> </w:t>
      </w:r>
      <w:r>
        <w:t>integral</w:t>
      </w:r>
      <w:r>
        <w:rPr>
          <w:spacing w:val="-3"/>
        </w:rPr>
        <w:t xml:space="preserve"> </w:t>
      </w:r>
      <w:r>
        <w:t>contra la</w:t>
      </w:r>
      <w:r>
        <w:rPr>
          <w:spacing w:val="-1"/>
        </w:rPr>
        <w:t xml:space="preserve"> </w:t>
      </w:r>
      <w:r>
        <w:t>discriminación</w:t>
      </w:r>
      <w:r>
        <w:rPr>
          <w:spacing w:val="-1"/>
        </w:rPr>
        <w:t xml:space="preserve"> </w:t>
      </w:r>
      <w:r>
        <w:t>debe</w:t>
      </w:r>
      <w:r>
        <w:rPr>
          <w:spacing w:val="-1"/>
        </w:rPr>
        <w:t xml:space="preserve"> </w:t>
      </w:r>
      <w:r>
        <w:t>garantizar</w:t>
      </w:r>
      <w:r>
        <w:rPr>
          <w:spacing w:val="-1"/>
        </w:rPr>
        <w:t xml:space="preserve"> </w:t>
      </w:r>
      <w:r>
        <w:t>que</w:t>
      </w:r>
      <w:r>
        <w:rPr>
          <w:spacing w:val="-1"/>
        </w:rPr>
        <w:t xml:space="preserve"> </w:t>
      </w:r>
      <w:r>
        <w:t>las</w:t>
      </w:r>
      <w:r>
        <w:rPr>
          <w:spacing w:val="-1"/>
        </w:rPr>
        <w:t xml:space="preserve"> </w:t>
      </w:r>
      <w:r>
        <w:t>personas</w:t>
      </w:r>
      <w:r>
        <w:rPr>
          <w:spacing w:val="-1"/>
        </w:rPr>
        <w:t xml:space="preserve"> </w:t>
      </w:r>
      <w:r>
        <w:t>sometidas</w:t>
      </w:r>
      <w:r>
        <w:rPr>
          <w:spacing w:val="-1"/>
        </w:rPr>
        <w:t xml:space="preserve"> </w:t>
      </w:r>
      <w:r>
        <w:t>a</w:t>
      </w:r>
      <w:r>
        <w:rPr>
          <w:spacing w:val="-1"/>
        </w:rPr>
        <w:t xml:space="preserve"> </w:t>
      </w:r>
      <w:r>
        <w:t>discriminación</w:t>
      </w:r>
      <w:r>
        <w:rPr>
          <w:spacing w:val="-1"/>
        </w:rPr>
        <w:t xml:space="preserve"> </w:t>
      </w:r>
      <w:r>
        <w:t>no</w:t>
      </w:r>
      <w:r>
        <w:rPr>
          <w:spacing w:val="-1"/>
        </w:rPr>
        <w:t xml:space="preserve"> </w:t>
      </w:r>
      <w:r>
        <w:t>sean</w:t>
      </w:r>
      <w:r>
        <w:rPr>
          <w:spacing w:val="-1"/>
        </w:rPr>
        <w:t xml:space="preserve"> </w:t>
      </w:r>
      <w:r>
        <w:t>victimizadas</w:t>
      </w:r>
      <w:r>
        <w:rPr>
          <w:spacing w:val="-1"/>
        </w:rPr>
        <w:t xml:space="preserve"> </w:t>
      </w:r>
      <w:r>
        <w:t>cuando</w:t>
      </w:r>
      <w:r>
        <w:rPr>
          <w:spacing w:val="-1"/>
        </w:rPr>
        <w:t xml:space="preserve"> </w:t>
      </w:r>
      <w:r>
        <w:t>buscan</w:t>
      </w:r>
      <w:r>
        <w:rPr>
          <w:spacing w:val="-1"/>
        </w:rPr>
        <w:t xml:space="preserve"> </w:t>
      </w:r>
      <w:r>
        <w:t>reparación</w:t>
      </w:r>
      <w:r>
        <w:rPr>
          <w:spacing w:val="-1"/>
        </w:rPr>
        <w:t xml:space="preserve"> </w:t>
      </w:r>
      <w:r>
        <w:t>y remedio.646</w:t>
      </w:r>
      <w:r>
        <w:rPr>
          <w:spacing w:val="-2"/>
        </w:rPr>
        <w:t xml:space="preserve"> </w:t>
      </w:r>
      <w:r>
        <w:t>Como</w:t>
      </w:r>
      <w:r>
        <w:rPr>
          <w:spacing w:val="-2"/>
        </w:rPr>
        <w:t xml:space="preserve"> </w:t>
      </w:r>
      <w:r>
        <w:t>Como</w:t>
      </w:r>
      <w:r>
        <w:rPr>
          <w:spacing w:val="-2"/>
        </w:rPr>
        <w:t xml:space="preserve"> </w:t>
      </w:r>
      <w:r>
        <w:t>se</w:t>
      </w:r>
      <w:r>
        <w:rPr>
          <w:spacing w:val="-2"/>
        </w:rPr>
        <w:t xml:space="preserve"> </w:t>
      </w:r>
      <w:r>
        <w:t>establece</w:t>
      </w:r>
      <w:r>
        <w:rPr>
          <w:spacing w:val="-2"/>
        </w:rPr>
        <w:t xml:space="preserve"> </w:t>
      </w:r>
      <w:r>
        <w:t>en</w:t>
      </w:r>
      <w:r>
        <w:rPr>
          <w:spacing w:val="-2"/>
        </w:rPr>
        <w:t xml:space="preserve"> </w:t>
      </w:r>
      <w:r>
        <w:t>la</w:t>
      </w:r>
      <w:r>
        <w:rPr>
          <w:spacing w:val="-2"/>
        </w:rPr>
        <w:t xml:space="preserve"> </w:t>
      </w:r>
      <w:r>
        <w:t>sección</w:t>
      </w:r>
      <w:r>
        <w:rPr>
          <w:spacing w:val="-2"/>
        </w:rPr>
        <w:t xml:space="preserve"> </w:t>
      </w:r>
      <w:r>
        <w:t>IA2(f)</w:t>
      </w:r>
      <w:r>
        <w:rPr>
          <w:spacing w:val="-2"/>
        </w:rPr>
        <w:t xml:space="preserve"> </w:t>
      </w:r>
      <w:r>
        <w:t>de</w:t>
      </w:r>
      <w:r>
        <w:rPr>
          <w:spacing w:val="-2"/>
        </w:rPr>
        <w:t xml:space="preserve"> </w:t>
      </w:r>
      <w:r>
        <w:t>la</w:t>
      </w:r>
      <w:r>
        <w:rPr>
          <w:spacing w:val="-2"/>
        </w:rPr>
        <w:t xml:space="preserve"> </w:t>
      </w:r>
      <w:r>
        <w:t>segunda</w:t>
      </w:r>
      <w:r>
        <w:rPr>
          <w:spacing w:val="-2"/>
        </w:rPr>
        <w:t xml:space="preserve"> </w:t>
      </w:r>
      <w:r>
        <w:t>parte</w:t>
      </w:r>
      <w:r>
        <w:rPr>
          <w:spacing w:val="-2"/>
        </w:rPr>
        <w:t xml:space="preserve"> </w:t>
      </w:r>
      <w:r>
        <w:t>de</w:t>
      </w:r>
      <w:r>
        <w:rPr>
          <w:spacing w:val="-2"/>
        </w:rPr>
        <w:t xml:space="preserve"> </w:t>
      </w:r>
      <w:r>
        <w:t>la</w:t>
      </w:r>
      <w:r>
        <w:rPr>
          <w:spacing w:val="-2"/>
        </w:rPr>
        <w:t xml:space="preserve"> </w:t>
      </w:r>
      <w:r>
        <w:t>presente</w:t>
      </w:r>
      <w:r>
        <w:rPr>
          <w:spacing w:val="-2"/>
        </w:rPr>
        <w:t xml:space="preserve"> </w:t>
      </w:r>
      <w:r>
        <w:t>guía,</w:t>
      </w:r>
      <w:r>
        <w:rPr>
          <w:spacing w:val="-2"/>
        </w:rPr>
        <w:t xml:space="preserve"> </w:t>
      </w:r>
      <w:r>
        <w:t>la</w:t>
      </w:r>
      <w:r>
        <w:rPr>
          <w:spacing w:val="-2"/>
        </w:rPr>
        <w:t xml:space="preserve"> </w:t>
      </w:r>
      <w:r>
        <w:t>protección</w:t>
      </w:r>
      <w:r>
        <w:rPr>
          <w:spacing w:val="-2"/>
        </w:rPr>
        <w:t xml:space="preserve"> </w:t>
      </w:r>
      <w:r>
        <w:t>contra</w:t>
      </w:r>
      <w:r>
        <w:rPr>
          <w:spacing w:val="-2"/>
        </w:rPr>
        <w:t xml:space="preserve"> </w:t>
      </w:r>
      <w:r>
        <w:t>la victimización</w:t>
      </w:r>
      <w:r>
        <w:rPr>
          <w:spacing w:val="-1"/>
        </w:rPr>
        <w:t xml:space="preserve"> </w:t>
      </w:r>
      <w:r>
        <w:t>también</w:t>
      </w:r>
      <w:r>
        <w:rPr>
          <w:spacing w:val="-1"/>
        </w:rPr>
        <w:t xml:space="preserve"> </w:t>
      </w:r>
      <w:r>
        <w:t>debe</w:t>
      </w:r>
      <w:r>
        <w:rPr>
          <w:spacing w:val="-1"/>
        </w:rPr>
        <w:t xml:space="preserve"> </w:t>
      </w:r>
      <w:r>
        <w:t>integrarse</w:t>
      </w:r>
      <w:r>
        <w:rPr>
          <w:spacing w:val="-1"/>
        </w:rPr>
        <w:t xml:space="preserve"> </w:t>
      </w:r>
      <w:r>
        <w:t>en</w:t>
      </w:r>
      <w:r>
        <w:rPr>
          <w:spacing w:val="-1"/>
        </w:rPr>
        <w:t xml:space="preserve"> </w:t>
      </w:r>
      <w:r>
        <w:t>la</w:t>
      </w:r>
      <w:r>
        <w:rPr>
          <w:spacing w:val="-1"/>
        </w:rPr>
        <w:t xml:space="preserve"> </w:t>
      </w:r>
      <w:r>
        <w:t>ley</w:t>
      </w:r>
      <w:r>
        <w:rPr>
          <w:spacing w:val="-1"/>
        </w:rPr>
        <w:t xml:space="preserve"> </w:t>
      </w:r>
      <w:r>
        <w:t>integral</w:t>
      </w:r>
      <w:r>
        <w:rPr>
          <w:spacing w:val="-1"/>
        </w:rPr>
        <w:t xml:space="preserve"> </w:t>
      </w:r>
      <w:r>
        <w:t>de</w:t>
      </w:r>
      <w:r>
        <w:rPr>
          <w:spacing w:val="-1"/>
        </w:rPr>
        <w:t xml:space="preserve"> </w:t>
      </w:r>
      <w:r>
        <w:t>igualdad</w:t>
      </w:r>
      <w:r>
        <w:rPr>
          <w:spacing w:val="-1"/>
        </w:rPr>
        <w:t xml:space="preserve"> </w:t>
      </w:r>
      <w:r>
        <w:t>como</w:t>
      </w:r>
      <w:r>
        <w:rPr>
          <w:spacing w:val="-1"/>
        </w:rPr>
        <w:t xml:space="preserve"> </w:t>
      </w:r>
      <w:r>
        <w:t>una</w:t>
      </w:r>
      <w:r>
        <w:rPr>
          <w:spacing w:val="-1"/>
        </w:rPr>
        <w:t xml:space="preserve"> </w:t>
      </w:r>
      <w:r>
        <w:t>forma</w:t>
      </w:r>
      <w:r>
        <w:rPr>
          <w:spacing w:val="-1"/>
        </w:rPr>
        <w:t xml:space="preserve"> </w:t>
      </w:r>
      <w:r>
        <w:t>de</w:t>
      </w:r>
      <w:r>
        <w:rPr>
          <w:spacing w:val="-1"/>
        </w:rPr>
        <w:t xml:space="preserve"> </w:t>
      </w:r>
      <w:r>
        <w:t>conducta</w:t>
      </w:r>
      <w:r>
        <w:rPr>
          <w:spacing w:val="-1"/>
        </w:rPr>
        <w:t xml:space="preserve"> </w:t>
      </w:r>
      <w:r>
        <w:t>prohibida.</w:t>
      </w:r>
    </w:p>
    <w:p w14:paraId="6A3433C6" w14:textId="77777777" w:rsidR="0014798C" w:rsidRDefault="0014798C">
      <w:pPr>
        <w:pStyle w:val="Textoindependiente"/>
      </w:pPr>
    </w:p>
    <w:p w14:paraId="6FB331C8" w14:textId="77777777" w:rsidR="0014798C" w:rsidRDefault="0014798C">
      <w:pPr>
        <w:pStyle w:val="Textoindependiente"/>
        <w:spacing w:before="46"/>
      </w:pPr>
    </w:p>
    <w:p w14:paraId="4889B35A" w14:textId="77777777" w:rsidR="0014798C" w:rsidRDefault="004E1F0B">
      <w:pPr>
        <w:pStyle w:val="Textoindependiente"/>
        <w:spacing w:line="326" w:lineRule="auto"/>
        <w:ind w:left="1108" w:right="1166" w:firstLine="1"/>
      </w:pPr>
      <w:r>
        <w:t>Garantizar</w:t>
      </w:r>
      <w:r>
        <w:rPr>
          <w:spacing w:val="-1"/>
        </w:rPr>
        <w:t xml:space="preserve"> </w:t>
      </w:r>
      <w:r>
        <w:t>la</w:t>
      </w:r>
      <w:r>
        <w:rPr>
          <w:spacing w:val="-1"/>
        </w:rPr>
        <w:t xml:space="preserve"> </w:t>
      </w:r>
      <w:r>
        <w:t>igualdad</w:t>
      </w:r>
      <w:r>
        <w:rPr>
          <w:spacing w:val="-1"/>
        </w:rPr>
        <w:t xml:space="preserve"> </w:t>
      </w:r>
      <w:r>
        <w:t>ante</w:t>
      </w:r>
      <w:r>
        <w:rPr>
          <w:spacing w:val="-1"/>
        </w:rPr>
        <w:t xml:space="preserve"> </w:t>
      </w:r>
      <w:r>
        <w:t>la</w:t>
      </w:r>
      <w:r>
        <w:rPr>
          <w:spacing w:val="-1"/>
        </w:rPr>
        <w:t xml:space="preserve"> </w:t>
      </w:r>
      <w:r>
        <w:t>ley</w:t>
      </w:r>
      <w:r>
        <w:rPr>
          <w:spacing w:val="-1"/>
        </w:rPr>
        <w:t xml:space="preserve"> </w:t>
      </w:r>
      <w:r>
        <w:t>y</w:t>
      </w:r>
      <w:r>
        <w:rPr>
          <w:spacing w:val="-1"/>
        </w:rPr>
        <w:t xml:space="preserve"> </w:t>
      </w:r>
      <w:r>
        <w:t>el</w:t>
      </w:r>
      <w:r>
        <w:rPr>
          <w:spacing w:val="-1"/>
        </w:rPr>
        <w:t xml:space="preserve"> </w:t>
      </w:r>
      <w:r>
        <w:t>acceso</w:t>
      </w:r>
      <w:r>
        <w:rPr>
          <w:spacing w:val="-1"/>
        </w:rPr>
        <w:t xml:space="preserve"> </w:t>
      </w:r>
      <w:r>
        <w:t>igualitario</w:t>
      </w:r>
      <w:r>
        <w:rPr>
          <w:spacing w:val="-1"/>
        </w:rPr>
        <w:t xml:space="preserve"> </w:t>
      </w:r>
      <w:r>
        <w:t>y</w:t>
      </w:r>
      <w:r>
        <w:rPr>
          <w:spacing w:val="-1"/>
        </w:rPr>
        <w:t xml:space="preserve"> </w:t>
      </w:r>
      <w:r>
        <w:t>efectivo</w:t>
      </w:r>
      <w:r>
        <w:rPr>
          <w:spacing w:val="-1"/>
        </w:rPr>
        <w:t xml:space="preserve"> </w:t>
      </w:r>
      <w:r>
        <w:t>a</w:t>
      </w:r>
      <w:r>
        <w:rPr>
          <w:spacing w:val="-1"/>
        </w:rPr>
        <w:t xml:space="preserve"> </w:t>
      </w:r>
      <w:r>
        <w:t>la</w:t>
      </w:r>
      <w:r>
        <w:rPr>
          <w:spacing w:val="-1"/>
        </w:rPr>
        <w:t xml:space="preserve"> </w:t>
      </w:r>
      <w:r>
        <w:t>justicia</w:t>
      </w:r>
      <w:r>
        <w:rPr>
          <w:spacing w:val="-1"/>
        </w:rPr>
        <w:t xml:space="preserve"> </w:t>
      </w:r>
      <w:r>
        <w:t>para</w:t>
      </w:r>
      <w:r>
        <w:rPr>
          <w:spacing w:val="-1"/>
        </w:rPr>
        <w:t xml:space="preserve"> </w:t>
      </w:r>
      <w:r>
        <w:t>quienes</w:t>
      </w:r>
      <w:r>
        <w:rPr>
          <w:spacing w:val="-1"/>
        </w:rPr>
        <w:t xml:space="preserve"> </w:t>
      </w:r>
      <w:r>
        <w:t>están</w:t>
      </w:r>
      <w:r>
        <w:rPr>
          <w:spacing w:val="-1"/>
        </w:rPr>
        <w:t xml:space="preserve"> </w:t>
      </w:r>
      <w:r>
        <w:t>expuestos</w:t>
      </w:r>
      <w:r>
        <w:rPr>
          <w:spacing w:val="-1"/>
        </w:rPr>
        <w:t xml:space="preserve"> </w:t>
      </w:r>
      <w:r>
        <w:t>a</w:t>
      </w:r>
      <w:r>
        <w:rPr>
          <w:spacing w:val="-1"/>
        </w:rPr>
        <w:t xml:space="preserve"> </w:t>
      </w:r>
      <w:r>
        <w:t>la</w:t>
      </w:r>
      <w:r>
        <w:rPr>
          <w:spacing w:val="-1"/>
        </w:rPr>
        <w:t xml:space="preserve"> </w:t>
      </w:r>
      <w:r>
        <w:t>discriminación requiere</w:t>
      </w:r>
      <w:r>
        <w:rPr>
          <w:spacing w:val="-8"/>
        </w:rPr>
        <w:t xml:space="preserve"> </w:t>
      </w:r>
      <w:r>
        <w:t>que</w:t>
      </w:r>
      <w:r>
        <w:rPr>
          <w:spacing w:val="-8"/>
        </w:rPr>
        <w:t xml:space="preserve"> </w:t>
      </w:r>
      <w:r>
        <w:t>los</w:t>
      </w:r>
      <w:r>
        <w:rPr>
          <w:spacing w:val="-8"/>
        </w:rPr>
        <w:t xml:space="preserve"> </w:t>
      </w:r>
      <w:r>
        <w:t>Estados</w:t>
      </w:r>
      <w:r>
        <w:rPr>
          <w:spacing w:val="-8"/>
        </w:rPr>
        <w:t xml:space="preserve"> </w:t>
      </w:r>
      <w:r>
        <w:t>abolieran</w:t>
      </w:r>
      <w:r>
        <w:rPr>
          <w:spacing w:val="-8"/>
        </w:rPr>
        <w:t xml:space="preserve"> </w:t>
      </w:r>
      <w:r>
        <w:t>leyes,</w:t>
      </w:r>
      <w:r>
        <w:rPr>
          <w:spacing w:val="-8"/>
        </w:rPr>
        <w:t xml:space="preserve"> </w:t>
      </w:r>
      <w:r>
        <w:t>procedimientos</w:t>
      </w:r>
      <w:r>
        <w:rPr>
          <w:spacing w:val="-8"/>
        </w:rPr>
        <w:t xml:space="preserve"> </w:t>
      </w:r>
      <w:r>
        <w:t>y</w:t>
      </w:r>
      <w:r>
        <w:rPr>
          <w:spacing w:val="-8"/>
        </w:rPr>
        <w:t xml:space="preserve"> </w:t>
      </w:r>
      <w:r>
        <w:t>prácticas</w:t>
      </w:r>
      <w:r>
        <w:rPr>
          <w:spacing w:val="-8"/>
        </w:rPr>
        <w:t xml:space="preserve"> </w:t>
      </w:r>
      <w:r>
        <w:t>que</w:t>
      </w:r>
      <w:r>
        <w:rPr>
          <w:spacing w:val="-8"/>
        </w:rPr>
        <w:t xml:space="preserve"> </w:t>
      </w:r>
      <w:r>
        <w:t>directa</w:t>
      </w:r>
      <w:r>
        <w:rPr>
          <w:spacing w:val="-8"/>
        </w:rPr>
        <w:t xml:space="preserve"> </w:t>
      </w:r>
      <w:r>
        <w:t>o</w:t>
      </w:r>
      <w:r>
        <w:rPr>
          <w:spacing w:val="-8"/>
        </w:rPr>
        <w:t xml:space="preserve"> </w:t>
      </w:r>
      <w:r>
        <w:t>indirectamente</w:t>
      </w:r>
      <w:r>
        <w:rPr>
          <w:spacing w:val="-8"/>
        </w:rPr>
        <w:t xml:space="preserve"> </w:t>
      </w:r>
      <w:r>
        <w:t>discriminen</w:t>
      </w:r>
      <w:r>
        <w:rPr>
          <w:spacing w:val="-8"/>
        </w:rPr>
        <w:t xml:space="preserve"> </w:t>
      </w:r>
      <w:r>
        <w:t>en</w:t>
      </w:r>
      <w:r>
        <w:rPr>
          <w:spacing w:val="-8"/>
        </w:rPr>
        <w:t xml:space="preserve"> </w:t>
      </w:r>
      <w:r>
        <w:t>esta</w:t>
      </w:r>
      <w:r>
        <w:rPr>
          <w:spacing w:val="-8"/>
        </w:rPr>
        <w:t xml:space="preserve"> </w:t>
      </w:r>
      <w:r>
        <w:t>área,</w:t>
      </w:r>
      <w:r>
        <w:rPr>
          <w:spacing w:val="-8"/>
        </w:rPr>
        <w:t xml:space="preserve"> </w:t>
      </w:r>
      <w:r>
        <w:t>incluidas aquellas que “conceden un estatus inferior” al testimonio de mujeres o grupos. expuestos a la discriminación647</w:t>
      </w:r>
    </w:p>
    <w:p w14:paraId="65B25A89" w14:textId="77777777" w:rsidR="0014798C" w:rsidRDefault="004E1F0B">
      <w:pPr>
        <w:pStyle w:val="Textoindependiente"/>
        <w:spacing w:line="326" w:lineRule="auto"/>
        <w:ind w:left="1110" w:right="1352" w:firstLine="1"/>
      </w:pPr>
      <w:r>
        <w:t>o</w:t>
      </w:r>
      <w:r>
        <w:rPr>
          <w:spacing w:val="-7"/>
        </w:rPr>
        <w:t xml:space="preserve"> </w:t>
      </w:r>
      <w:r>
        <w:t>negar</w:t>
      </w:r>
      <w:r>
        <w:rPr>
          <w:spacing w:val="-7"/>
        </w:rPr>
        <w:t xml:space="preserve"> </w:t>
      </w:r>
      <w:r>
        <w:t>a</w:t>
      </w:r>
      <w:r>
        <w:rPr>
          <w:spacing w:val="-7"/>
        </w:rPr>
        <w:t xml:space="preserve"> </w:t>
      </w:r>
      <w:r>
        <w:t>quienes</w:t>
      </w:r>
      <w:r>
        <w:rPr>
          <w:spacing w:val="-7"/>
        </w:rPr>
        <w:t xml:space="preserve"> </w:t>
      </w:r>
      <w:r>
        <w:t>están</w:t>
      </w:r>
      <w:r>
        <w:rPr>
          <w:spacing w:val="-7"/>
        </w:rPr>
        <w:t xml:space="preserve"> </w:t>
      </w:r>
      <w:r>
        <w:t>expuestos</w:t>
      </w:r>
      <w:r>
        <w:rPr>
          <w:spacing w:val="-7"/>
        </w:rPr>
        <w:t xml:space="preserve"> </w:t>
      </w:r>
      <w:r>
        <w:t>a</w:t>
      </w:r>
      <w:r>
        <w:rPr>
          <w:spacing w:val="-7"/>
        </w:rPr>
        <w:t xml:space="preserve"> </w:t>
      </w:r>
      <w:r>
        <w:t>discriminación</w:t>
      </w:r>
      <w:r>
        <w:rPr>
          <w:spacing w:val="-7"/>
        </w:rPr>
        <w:t xml:space="preserve"> </w:t>
      </w:r>
      <w:r>
        <w:t>la</w:t>
      </w:r>
      <w:r>
        <w:rPr>
          <w:spacing w:val="-7"/>
        </w:rPr>
        <w:t xml:space="preserve"> </w:t>
      </w:r>
      <w:r>
        <w:t>capacidad</w:t>
      </w:r>
      <w:r>
        <w:rPr>
          <w:spacing w:val="-7"/>
        </w:rPr>
        <w:t xml:space="preserve"> </w:t>
      </w:r>
      <w:r>
        <w:t>de</w:t>
      </w:r>
      <w:r>
        <w:rPr>
          <w:spacing w:val="-7"/>
        </w:rPr>
        <w:t xml:space="preserve"> </w:t>
      </w:r>
      <w:r>
        <w:t>testificar</w:t>
      </w:r>
      <w:r>
        <w:rPr>
          <w:spacing w:val="-8"/>
        </w:rPr>
        <w:t xml:space="preserve"> </w:t>
      </w:r>
      <w:r>
        <w:t>en</w:t>
      </w:r>
      <w:r>
        <w:rPr>
          <w:spacing w:val="-7"/>
        </w:rPr>
        <w:t xml:space="preserve"> </w:t>
      </w:r>
      <w:r>
        <w:t>igualdad</w:t>
      </w:r>
      <w:r>
        <w:rPr>
          <w:spacing w:val="-7"/>
        </w:rPr>
        <w:t xml:space="preserve"> </w:t>
      </w:r>
      <w:r>
        <w:t>de</w:t>
      </w:r>
      <w:r>
        <w:rPr>
          <w:spacing w:val="-7"/>
        </w:rPr>
        <w:t xml:space="preserve"> </w:t>
      </w:r>
      <w:r>
        <w:t>condiciones</w:t>
      </w:r>
      <w:r>
        <w:rPr>
          <w:spacing w:val="-7"/>
        </w:rPr>
        <w:t xml:space="preserve"> </w:t>
      </w:r>
      <w:r>
        <w:t>con</w:t>
      </w:r>
      <w:r>
        <w:rPr>
          <w:spacing w:val="-7"/>
        </w:rPr>
        <w:t xml:space="preserve"> </w:t>
      </w:r>
      <w:r>
        <w:t>los</w:t>
      </w:r>
      <w:r>
        <w:rPr>
          <w:spacing w:val="-7"/>
        </w:rPr>
        <w:t xml:space="preserve"> </w:t>
      </w:r>
      <w:r>
        <w:t>demás.</w:t>
      </w:r>
      <w:r>
        <w:rPr>
          <w:spacing w:val="-7"/>
        </w:rPr>
        <w:t xml:space="preserve"> </w:t>
      </w:r>
      <w:r>
        <w:t>El</w:t>
      </w:r>
      <w:r>
        <w:rPr>
          <w:spacing w:val="-7"/>
        </w:rPr>
        <w:t xml:space="preserve"> </w:t>
      </w:r>
      <w:r>
        <w:t>Comité sobre</w:t>
      </w:r>
      <w:r>
        <w:rPr>
          <w:spacing w:val="-3"/>
        </w:rPr>
        <w:t xml:space="preserve"> </w:t>
      </w:r>
      <w:r>
        <w:t>los</w:t>
      </w:r>
      <w:r>
        <w:rPr>
          <w:spacing w:val="-3"/>
        </w:rPr>
        <w:t xml:space="preserve"> </w:t>
      </w:r>
      <w:r>
        <w:t>Derechos</w:t>
      </w:r>
      <w:r>
        <w:rPr>
          <w:spacing w:val="-3"/>
        </w:rPr>
        <w:t xml:space="preserve"> </w:t>
      </w:r>
      <w:r>
        <w:t>de</w:t>
      </w:r>
      <w:r>
        <w:rPr>
          <w:spacing w:val="-3"/>
        </w:rPr>
        <w:t xml:space="preserve"> </w:t>
      </w:r>
      <w:r>
        <w:t>las</w:t>
      </w:r>
      <w:r>
        <w:rPr>
          <w:spacing w:val="-3"/>
        </w:rPr>
        <w:t xml:space="preserve"> </w:t>
      </w:r>
      <w:r>
        <w:t>Personas</w:t>
      </w:r>
      <w:r>
        <w:rPr>
          <w:spacing w:val="-3"/>
        </w:rPr>
        <w:t xml:space="preserve"> </w:t>
      </w:r>
      <w:r>
        <w:t>con</w:t>
      </w:r>
      <w:r>
        <w:rPr>
          <w:spacing w:val="-3"/>
        </w:rPr>
        <w:t xml:space="preserve"> </w:t>
      </w:r>
      <w:r>
        <w:t>Discapacidad</w:t>
      </w:r>
      <w:r>
        <w:rPr>
          <w:spacing w:val="-3"/>
        </w:rPr>
        <w:t xml:space="preserve"> </w:t>
      </w:r>
      <w:r>
        <w:t>ha</w:t>
      </w:r>
      <w:r>
        <w:rPr>
          <w:spacing w:val="-3"/>
        </w:rPr>
        <w:t xml:space="preserve"> </w:t>
      </w:r>
      <w:r>
        <w:t>señalado</w:t>
      </w:r>
      <w:r>
        <w:rPr>
          <w:spacing w:val="-3"/>
        </w:rPr>
        <w:t xml:space="preserve"> </w:t>
      </w:r>
      <w:r>
        <w:t>que</w:t>
      </w:r>
      <w:r>
        <w:rPr>
          <w:spacing w:val="-3"/>
        </w:rPr>
        <w:t xml:space="preserve"> </w:t>
      </w:r>
      <w:r>
        <w:t>los</w:t>
      </w:r>
      <w:r>
        <w:rPr>
          <w:spacing w:val="-3"/>
        </w:rPr>
        <w:t xml:space="preserve"> </w:t>
      </w:r>
      <w:r>
        <w:t>Estados</w:t>
      </w:r>
      <w:r>
        <w:rPr>
          <w:spacing w:val="-3"/>
        </w:rPr>
        <w:t xml:space="preserve"> </w:t>
      </w:r>
      <w:r>
        <w:t>deben</w:t>
      </w:r>
      <w:r>
        <w:rPr>
          <w:spacing w:val="-3"/>
        </w:rPr>
        <w:t xml:space="preserve"> </w:t>
      </w:r>
      <w:r>
        <w:t>“dar</w:t>
      </w:r>
      <w:r>
        <w:rPr>
          <w:spacing w:val="-3"/>
        </w:rPr>
        <w:t xml:space="preserve"> </w:t>
      </w:r>
      <w:r>
        <w:t>la</w:t>
      </w:r>
      <w:r>
        <w:rPr>
          <w:spacing w:val="-3"/>
        </w:rPr>
        <w:t xml:space="preserve"> </w:t>
      </w:r>
      <w:r>
        <w:t>misma</w:t>
      </w:r>
      <w:r>
        <w:rPr>
          <w:spacing w:val="-3"/>
        </w:rPr>
        <w:t xml:space="preserve"> </w:t>
      </w:r>
      <w:r>
        <w:t>importancia</w:t>
      </w:r>
      <w:r>
        <w:rPr>
          <w:spacing w:val="-3"/>
        </w:rPr>
        <w:t xml:space="preserve"> </w:t>
      </w:r>
      <w:r>
        <w:t>a</w:t>
      </w:r>
      <w:r>
        <w:rPr>
          <w:spacing w:val="-3"/>
        </w:rPr>
        <w:t xml:space="preserve"> </w:t>
      </w:r>
      <w:r>
        <w:t>las</w:t>
      </w:r>
      <w:r>
        <w:rPr>
          <w:spacing w:val="-3"/>
        </w:rPr>
        <w:t xml:space="preserve"> </w:t>
      </w:r>
      <w:r>
        <w:t>quejas y declaraciones de las personas con discapacidad que a las de las personas sin discapacidad”.648 Los tribunales de algunos Estados</w:t>
      </w:r>
      <w:r>
        <w:rPr>
          <w:spacing w:val="-7"/>
        </w:rPr>
        <w:t xml:space="preserve"> </w:t>
      </w:r>
      <w:r>
        <w:t>están</w:t>
      </w:r>
      <w:r>
        <w:rPr>
          <w:spacing w:val="-7"/>
        </w:rPr>
        <w:t xml:space="preserve"> </w:t>
      </w:r>
      <w:r>
        <w:t>avanzando</w:t>
      </w:r>
      <w:r>
        <w:rPr>
          <w:spacing w:val="-7"/>
        </w:rPr>
        <w:t xml:space="preserve"> </w:t>
      </w:r>
      <w:r>
        <w:t>en</w:t>
      </w:r>
      <w:r>
        <w:rPr>
          <w:spacing w:val="-7"/>
        </w:rPr>
        <w:t xml:space="preserve"> </w:t>
      </w:r>
      <w:r>
        <w:t>la</w:t>
      </w:r>
      <w:r>
        <w:rPr>
          <w:spacing w:val="-7"/>
        </w:rPr>
        <w:t xml:space="preserve"> </w:t>
      </w:r>
      <w:r>
        <w:t>revocación</w:t>
      </w:r>
      <w:r>
        <w:rPr>
          <w:spacing w:val="-7"/>
        </w:rPr>
        <w:t xml:space="preserve"> </w:t>
      </w:r>
      <w:r>
        <w:t>de</w:t>
      </w:r>
      <w:r>
        <w:rPr>
          <w:spacing w:val="-7"/>
        </w:rPr>
        <w:t xml:space="preserve"> </w:t>
      </w:r>
      <w:r>
        <w:t>disposiciones</w:t>
      </w:r>
      <w:r>
        <w:rPr>
          <w:spacing w:val="-7"/>
        </w:rPr>
        <w:t xml:space="preserve"> </w:t>
      </w:r>
      <w:r>
        <w:t>discriminatorias</w:t>
      </w:r>
      <w:r>
        <w:rPr>
          <w:spacing w:val="-7"/>
        </w:rPr>
        <w:t xml:space="preserve"> </w:t>
      </w:r>
      <w:r>
        <w:t>en</w:t>
      </w:r>
      <w:r>
        <w:rPr>
          <w:spacing w:val="-7"/>
        </w:rPr>
        <w:t xml:space="preserve"> </w:t>
      </w:r>
      <w:r>
        <w:t>reglas</w:t>
      </w:r>
      <w:r>
        <w:rPr>
          <w:spacing w:val="-7"/>
        </w:rPr>
        <w:t xml:space="preserve"> </w:t>
      </w:r>
      <w:r>
        <w:t>de</w:t>
      </w:r>
      <w:r>
        <w:rPr>
          <w:spacing w:val="-7"/>
        </w:rPr>
        <w:t xml:space="preserve"> </w:t>
      </w:r>
      <w:r>
        <w:t>prueba</w:t>
      </w:r>
      <w:r>
        <w:rPr>
          <w:spacing w:val="-7"/>
        </w:rPr>
        <w:t xml:space="preserve"> </w:t>
      </w:r>
      <w:r>
        <w:t>basadas</w:t>
      </w:r>
      <w:r>
        <w:rPr>
          <w:spacing w:val="-7"/>
        </w:rPr>
        <w:t xml:space="preserve"> </w:t>
      </w:r>
      <w:r>
        <w:t>en</w:t>
      </w:r>
      <w:r>
        <w:rPr>
          <w:spacing w:val="-7"/>
        </w:rPr>
        <w:t xml:space="preserve"> </w:t>
      </w:r>
      <w:r>
        <w:t>estereotipos;</w:t>
      </w:r>
      <w:r>
        <w:rPr>
          <w:spacing w:val="-7"/>
        </w:rPr>
        <w:t xml:space="preserve"> </w:t>
      </w:r>
      <w:r>
        <w:t>por ejemplo, en</w:t>
      </w:r>
      <w:r>
        <w:rPr>
          <w:spacing w:val="-1"/>
        </w:rPr>
        <w:t xml:space="preserve"> </w:t>
      </w:r>
      <w:r>
        <w:t>R.</w:t>
      </w:r>
      <w:r>
        <w:rPr>
          <w:spacing w:val="-1"/>
        </w:rPr>
        <w:t xml:space="preserve"> </w:t>
      </w:r>
      <w:r>
        <w:t>v.</w:t>
      </w:r>
      <w:r>
        <w:rPr>
          <w:spacing w:val="-1"/>
        </w:rPr>
        <w:t xml:space="preserve"> </w:t>
      </w:r>
      <w:r>
        <w:t>DAI,</w:t>
      </w:r>
      <w:r>
        <w:rPr>
          <w:spacing w:val="-1"/>
        </w:rPr>
        <w:t xml:space="preserve"> </w:t>
      </w:r>
      <w:r>
        <w:t>la</w:t>
      </w:r>
      <w:r>
        <w:rPr>
          <w:spacing w:val="-1"/>
        </w:rPr>
        <w:t xml:space="preserve"> </w:t>
      </w:r>
      <w:r>
        <w:t>Corte</w:t>
      </w:r>
      <w:r>
        <w:rPr>
          <w:spacing w:val="-1"/>
        </w:rPr>
        <w:t xml:space="preserve"> </w:t>
      </w:r>
      <w:r>
        <w:t>Suprema</w:t>
      </w:r>
      <w:r>
        <w:rPr>
          <w:spacing w:val="-1"/>
        </w:rPr>
        <w:t xml:space="preserve"> </w:t>
      </w:r>
      <w:r>
        <w:t>de</w:t>
      </w:r>
      <w:r>
        <w:rPr>
          <w:spacing w:val="-1"/>
        </w:rPr>
        <w:t xml:space="preserve"> </w:t>
      </w:r>
      <w:r>
        <w:t>Canadá</w:t>
      </w:r>
      <w:r>
        <w:rPr>
          <w:spacing w:val="-1"/>
        </w:rPr>
        <w:t xml:space="preserve"> </w:t>
      </w:r>
      <w:r>
        <w:t>anuló</w:t>
      </w:r>
      <w:r>
        <w:rPr>
          <w:spacing w:val="-1"/>
        </w:rPr>
        <w:t xml:space="preserve"> </w:t>
      </w:r>
      <w:r>
        <w:t>disposiciones</w:t>
      </w:r>
      <w:r>
        <w:rPr>
          <w:spacing w:val="-1"/>
        </w:rPr>
        <w:t xml:space="preserve"> </w:t>
      </w:r>
      <w:r>
        <w:t>de</w:t>
      </w:r>
      <w:r>
        <w:rPr>
          <w:spacing w:val="-1"/>
        </w:rPr>
        <w:t xml:space="preserve"> </w:t>
      </w:r>
      <w:r>
        <w:t>la</w:t>
      </w:r>
      <w:r>
        <w:rPr>
          <w:spacing w:val="-1"/>
        </w:rPr>
        <w:t xml:space="preserve"> </w:t>
      </w:r>
      <w:r>
        <w:t>Ley</w:t>
      </w:r>
      <w:r>
        <w:rPr>
          <w:spacing w:val="-1"/>
        </w:rPr>
        <w:t xml:space="preserve"> </w:t>
      </w:r>
      <w:r>
        <w:t>de</w:t>
      </w:r>
      <w:r>
        <w:rPr>
          <w:spacing w:val="-1"/>
        </w:rPr>
        <w:t xml:space="preserve"> </w:t>
      </w:r>
      <w:r>
        <w:t>Pruebas,</w:t>
      </w:r>
      <w:r>
        <w:rPr>
          <w:spacing w:val="-1"/>
        </w:rPr>
        <w:t xml:space="preserve"> </w:t>
      </w:r>
      <w:r>
        <w:t>que</w:t>
      </w:r>
      <w:r>
        <w:rPr>
          <w:spacing w:val="-1"/>
        </w:rPr>
        <w:t xml:space="preserve"> </w:t>
      </w:r>
      <w:r>
        <w:t>excluían</w:t>
      </w:r>
      <w:r>
        <w:rPr>
          <w:spacing w:val="-1"/>
        </w:rPr>
        <w:t xml:space="preserve"> </w:t>
      </w:r>
      <w:r>
        <w:t>a</w:t>
      </w:r>
      <w:r>
        <w:rPr>
          <w:spacing w:val="-1"/>
        </w:rPr>
        <w:t xml:space="preserve"> </w:t>
      </w:r>
      <w:r>
        <w:t>las</w:t>
      </w:r>
      <w:r>
        <w:rPr>
          <w:spacing w:val="-1"/>
        </w:rPr>
        <w:t xml:space="preserve"> </w:t>
      </w:r>
      <w:r>
        <w:t>personas</w:t>
      </w:r>
      <w:r>
        <w:rPr>
          <w:spacing w:val="-1"/>
        </w:rPr>
        <w:t xml:space="preserve"> </w:t>
      </w:r>
      <w:r>
        <w:t>con discapacidad</w:t>
      </w:r>
      <w:r>
        <w:rPr>
          <w:spacing w:val="-2"/>
        </w:rPr>
        <w:t xml:space="preserve"> </w:t>
      </w:r>
      <w:r>
        <w:t>intelectual</w:t>
      </w:r>
      <w:r>
        <w:rPr>
          <w:spacing w:val="-2"/>
        </w:rPr>
        <w:t xml:space="preserve"> </w:t>
      </w:r>
      <w:r>
        <w:t>de</w:t>
      </w:r>
      <w:r>
        <w:rPr>
          <w:spacing w:val="-2"/>
        </w:rPr>
        <w:t xml:space="preserve"> </w:t>
      </w:r>
      <w:r>
        <w:t>testificar</w:t>
      </w:r>
      <w:r>
        <w:rPr>
          <w:spacing w:val="-3"/>
        </w:rPr>
        <w:t xml:space="preserve"> </w:t>
      </w:r>
      <w:r>
        <w:t>si</w:t>
      </w:r>
      <w:r>
        <w:rPr>
          <w:spacing w:val="-2"/>
        </w:rPr>
        <w:t xml:space="preserve"> </w:t>
      </w:r>
      <w:r>
        <w:t>no</w:t>
      </w:r>
      <w:r>
        <w:rPr>
          <w:spacing w:val="-2"/>
        </w:rPr>
        <w:t xml:space="preserve"> </w:t>
      </w:r>
      <w:r>
        <w:t>podían</w:t>
      </w:r>
      <w:r>
        <w:rPr>
          <w:spacing w:val="-2"/>
        </w:rPr>
        <w:t xml:space="preserve"> </w:t>
      </w:r>
      <w:r>
        <w:t>explicar</w:t>
      </w:r>
      <w:r>
        <w:rPr>
          <w:spacing w:val="-2"/>
        </w:rPr>
        <w:t xml:space="preserve"> </w:t>
      </w:r>
      <w:r>
        <w:t>el</w:t>
      </w:r>
      <w:r>
        <w:rPr>
          <w:spacing w:val="-2"/>
        </w:rPr>
        <w:t xml:space="preserve"> </w:t>
      </w:r>
      <w:r>
        <w:t>significado</w:t>
      </w:r>
      <w:r>
        <w:rPr>
          <w:spacing w:val="-2"/>
        </w:rPr>
        <w:t xml:space="preserve"> </w:t>
      </w:r>
      <w:r>
        <w:t>de</w:t>
      </w:r>
      <w:r>
        <w:rPr>
          <w:spacing w:val="-2"/>
        </w:rPr>
        <w:t xml:space="preserve"> </w:t>
      </w:r>
      <w:r>
        <w:t>conceptos</w:t>
      </w:r>
      <w:r>
        <w:rPr>
          <w:spacing w:val="-2"/>
        </w:rPr>
        <w:t xml:space="preserve"> </w:t>
      </w:r>
      <w:r>
        <w:t>como</w:t>
      </w:r>
      <w:r>
        <w:rPr>
          <w:spacing w:val="-2"/>
        </w:rPr>
        <w:t xml:space="preserve"> </w:t>
      </w:r>
      <w:r>
        <w:t>promesa,</w:t>
      </w:r>
      <w:r>
        <w:rPr>
          <w:spacing w:val="-1"/>
        </w:rPr>
        <w:t xml:space="preserve"> </w:t>
      </w:r>
      <w:r>
        <w:t>verdad</w:t>
      </w:r>
      <w:r>
        <w:rPr>
          <w:spacing w:val="-2"/>
        </w:rPr>
        <w:t xml:space="preserve"> </w:t>
      </w:r>
      <w:r>
        <w:t>y</w:t>
      </w:r>
      <w:r>
        <w:rPr>
          <w:spacing w:val="-2"/>
        </w:rPr>
        <w:t xml:space="preserve"> </w:t>
      </w:r>
      <w:r>
        <w:t>falsedad,</w:t>
      </w:r>
      <w:r>
        <w:rPr>
          <w:spacing w:val="-1"/>
        </w:rPr>
        <w:t xml:space="preserve"> </w:t>
      </w:r>
      <w:r>
        <w:t>mientras que ningún otro Se requería que la categoría de testigo cumpliera con ese estándar.649</w:t>
      </w:r>
    </w:p>
    <w:p w14:paraId="0648279E" w14:textId="77777777" w:rsidR="0014798C" w:rsidRDefault="004E1F0B">
      <w:pPr>
        <w:pStyle w:val="Textoindependiente"/>
        <w:spacing w:before="165" w:line="326" w:lineRule="auto"/>
        <w:ind w:left="1107" w:right="1463" w:firstLine="7"/>
      </w:pPr>
      <w:r>
        <w:t>Un</w:t>
      </w:r>
      <w:r>
        <w:rPr>
          <w:spacing w:val="-5"/>
        </w:rPr>
        <w:t xml:space="preserve"> </w:t>
      </w:r>
      <w:r>
        <w:t>problema</w:t>
      </w:r>
      <w:r>
        <w:rPr>
          <w:spacing w:val="-5"/>
        </w:rPr>
        <w:t xml:space="preserve"> </w:t>
      </w:r>
      <w:r>
        <w:t>que</w:t>
      </w:r>
      <w:r>
        <w:rPr>
          <w:spacing w:val="-5"/>
        </w:rPr>
        <w:t xml:space="preserve"> </w:t>
      </w:r>
      <w:r>
        <w:t>a</w:t>
      </w:r>
      <w:r>
        <w:rPr>
          <w:spacing w:val="-5"/>
        </w:rPr>
        <w:t xml:space="preserve"> </w:t>
      </w:r>
      <w:r>
        <w:t>veces</w:t>
      </w:r>
      <w:r>
        <w:rPr>
          <w:spacing w:val="-5"/>
        </w:rPr>
        <w:t xml:space="preserve"> </w:t>
      </w:r>
      <w:r>
        <w:t>se</w:t>
      </w:r>
      <w:r>
        <w:rPr>
          <w:spacing w:val="-5"/>
        </w:rPr>
        <w:t xml:space="preserve"> </w:t>
      </w:r>
      <w:r>
        <w:t>identifica</w:t>
      </w:r>
      <w:r>
        <w:rPr>
          <w:spacing w:val="-5"/>
        </w:rPr>
        <w:t xml:space="preserve"> </w:t>
      </w:r>
      <w:r>
        <w:t>en</w:t>
      </w:r>
      <w:r>
        <w:rPr>
          <w:spacing w:val="-5"/>
        </w:rPr>
        <w:t xml:space="preserve"> </w:t>
      </w:r>
      <w:r>
        <w:t>el</w:t>
      </w:r>
      <w:r>
        <w:rPr>
          <w:spacing w:val="-5"/>
        </w:rPr>
        <w:t xml:space="preserve"> </w:t>
      </w:r>
      <w:r>
        <w:t>funcionamiento</w:t>
      </w:r>
      <w:r>
        <w:rPr>
          <w:spacing w:val="-5"/>
        </w:rPr>
        <w:t xml:space="preserve"> </w:t>
      </w:r>
      <w:r>
        <w:t>de</w:t>
      </w:r>
      <w:r>
        <w:rPr>
          <w:spacing w:val="-5"/>
        </w:rPr>
        <w:t xml:space="preserve"> </w:t>
      </w:r>
      <w:r>
        <w:t>las</w:t>
      </w:r>
      <w:r>
        <w:rPr>
          <w:spacing w:val="-5"/>
        </w:rPr>
        <w:t xml:space="preserve"> </w:t>
      </w:r>
      <w:r>
        <w:t>leyes</w:t>
      </w:r>
      <w:r>
        <w:rPr>
          <w:spacing w:val="-5"/>
        </w:rPr>
        <w:t xml:space="preserve"> </w:t>
      </w:r>
      <w:r>
        <w:t>contra</w:t>
      </w:r>
      <w:r>
        <w:rPr>
          <w:spacing w:val="-5"/>
        </w:rPr>
        <w:t xml:space="preserve"> </w:t>
      </w:r>
      <w:r>
        <w:t>la</w:t>
      </w:r>
      <w:r>
        <w:rPr>
          <w:spacing w:val="-5"/>
        </w:rPr>
        <w:t xml:space="preserve"> </w:t>
      </w:r>
      <w:r>
        <w:t>discriminación</w:t>
      </w:r>
      <w:r>
        <w:rPr>
          <w:spacing w:val="-5"/>
        </w:rPr>
        <w:t xml:space="preserve"> </w:t>
      </w:r>
      <w:r>
        <w:t>es</w:t>
      </w:r>
      <w:r>
        <w:rPr>
          <w:spacing w:val="-5"/>
        </w:rPr>
        <w:t xml:space="preserve"> </w:t>
      </w:r>
      <w:r>
        <w:t>el</w:t>
      </w:r>
      <w:r>
        <w:rPr>
          <w:spacing w:val="-5"/>
        </w:rPr>
        <w:t xml:space="preserve"> </w:t>
      </w:r>
      <w:r>
        <w:t>exceso</w:t>
      </w:r>
      <w:r>
        <w:rPr>
          <w:spacing w:val="-5"/>
        </w:rPr>
        <w:t xml:space="preserve"> </w:t>
      </w:r>
      <w:r>
        <w:t>de</w:t>
      </w:r>
      <w:r>
        <w:rPr>
          <w:spacing w:val="-5"/>
        </w:rPr>
        <w:t xml:space="preserve"> </w:t>
      </w:r>
      <w:r>
        <w:t>procedimientos. Por</w:t>
      </w:r>
      <w:r>
        <w:rPr>
          <w:spacing w:val="-8"/>
        </w:rPr>
        <w:t xml:space="preserve"> </w:t>
      </w:r>
      <w:r>
        <w:t>ejemplo,</w:t>
      </w:r>
      <w:r>
        <w:rPr>
          <w:spacing w:val="-7"/>
        </w:rPr>
        <w:t xml:space="preserve"> </w:t>
      </w:r>
      <w:r>
        <w:t>en</w:t>
      </w:r>
      <w:r>
        <w:rPr>
          <w:spacing w:val="-8"/>
        </w:rPr>
        <w:t xml:space="preserve"> </w:t>
      </w:r>
      <w:r>
        <w:t>algunas</w:t>
      </w:r>
      <w:r>
        <w:rPr>
          <w:spacing w:val="-8"/>
        </w:rPr>
        <w:t xml:space="preserve"> </w:t>
      </w:r>
      <w:r>
        <w:t>jurisdicciones,</w:t>
      </w:r>
      <w:r>
        <w:rPr>
          <w:spacing w:val="-7"/>
        </w:rPr>
        <w:t xml:space="preserve"> </w:t>
      </w:r>
      <w:r>
        <w:t>es</w:t>
      </w:r>
      <w:r>
        <w:rPr>
          <w:spacing w:val="-8"/>
        </w:rPr>
        <w:t xml:space="preserve"> </w:t>
      </w:r>
      <w:r>
        <w:t>necesario</w:t>
      </w:r>
      <w:r>
        <w:rPr>
          <w:spacing w:val="-8"/>
        </w:rPr>
        <w:t xml:space="preserve"> </w:t>
      </w:r>
      <w:r>
        <w:t>completar</w:t>
      </w:r>
      <w:r>
        <w:rPr>
          <w:spacing w:val="-8"/>
        </w:rPr>
        <w:t xml:space="preserve"> </w:t>
      </w:r>
      <w:r>
        <w:t>procesos</w:t>
      </w:r>
      <w:r>
        <w:rPr>
          <w:spacing w:val="-8"/>
        </w:rPr>
        <w:t xml:space="preserve"> </w:t>
      </w:r>
      <w:r>
        <w:t>relacionados</w:t>
      </w:r>
      <w:r>
        <w:rPr>
          <w:spacing w:val="-8"/>
        </w:rPr>
        <w:t xml:space="preserve"> </w:t>
      </w:r>
      <w:r>
        <w:t>con</w:t>
      </w:r>
      <w:r>
        <w:rPr>
          <w:spacing w:val="-8"/>
        </w:rPr>
        <w:t xml:space="preserve"> </w:t>
      </w:r>
      <w:r>
        <w:t>multas</w:t>
      </w:r>
      <w:r>
        <w:rPr>
          <w:spacing w:val="-8"/>
        </w:rPr>
        <w:t xml:space="preserve"> </w:t>
      </w:r>
      <w:r>
        <w:t>u</w:t>
      </w:r>
      <w:r>
        <w:rPr>
          <w:spacing w:val="-8"/>
        </w:rPr>
        <w:t xml:space="preserve"> </w:t>
      </w:r>
      <w:r>
        <w:t>otras</w:t>
      </w:r>
      <w:r>
        <w:rPr>
          <w:spacing w:val="-8"/>
        </w:rPr>
        <w:t xml:space="preserve"> </w:t>
      </w:r>
      <w:r>
        <w:t>formas</w:t>
      </w:r>
      <w:r>
        <w:rPr>
          <w:spacing w:val="-8"/>
        </w:rPr>
        <w:t xml:space="preserve"> </w:t>
      </w:r>
      <w:r>
        <w:t>de</w:t>
      </w:r>
      <w:r>
        <w:rPr>
          <w:spacing w:val="-8"/>
        </w:rPr>
        <w:t xml:space="preserve"> </w:t>
      </w:r>
      <w:r>
        <w:t>castigo</w:t>
      </w:r>
      <w:r>
        <w:rPr>
          <w:spacing w:val="-8"/>
        </w:rPr>
        <w:t xml:space="preserve"> </w:t>
      </w:r>
      <w:r>
        <w:t>antes de</w:t>
      </w:r>
      <w:r>
        <w:rPr>
          <w:spacing w:val="-1"/>
        </w:rPr>
        <w:t xml:space="preserve"> </w:t>
      </w:r>
      <w:r>
        <w:t>iniciar</w:t>
      </w:r>
      <w:r>
        <w:rPr>
          <w:spacing w:val="-1"/>
        </w:rPr>
        <w:t xml:space="preserve"> </w:t>
      </w:r>
      <w:r>
        <w:t>una</w:t>
      </w:r>
      <w:r>
        <w:rPr>
          <w:spacing w:val="-1"/>
        </w:rPr>
        <w:t xml:space="preserve"> </w:t>
      </w:r>
      <w:r>
        <w:t>solicitud</w:t>
      </w:r>
      <w:r>
        <w:rPr>
          <w:spacing w:val="-1"/>
        </w:rPr>
        <w:t xml:space="preserve"> </w:t>
      </w:r>
      <w:r>
        <w:t>de</w:t>
      </w:r>
      <w:r>
        <w:rPr>
          <w:spacing w:val="-1"/>
        </w:rPr>
        <w:t xml:space="preserve"> </w:t>
      </w:r>
      <w:r>
        <w:t>indemnización</w:t>
      </w:r>
      <w:r>
        <w:rPr>
          <w:spacing w:val="-1"/>
        </w:rPr>
        <w:t xml:space="preserve"> </w:t>
      </w:r>
      <w:r>
        <w:t>por</w:t>
      </w:r>
      <w:r>
        <w:rPr>
          <w:spacing w:val="-1"/>
        </w:rPr>
        <w:t xml:space="preserve"> </w:t>
      </w:r>
      <w:r>
        <w:t>daños</w:t>
      </w:r>
      <w:r>
        <w:rPr>
          <w:spacing w:val="-1"/>
        </w:rPr>
        <w:t xml:space="preserve"> </w:t>
      </w:r>
      <w:r>
        <w:t>u</w:t>
      </w:r>
      <w:r>
        <w:rPr>
          <w:spacing w:val="-1"/>
        </w:rPr>
        <w:t xml:space="preserve"> </w:t>
      </w:r>
      <w:r>
        <w:t>otras</w:t>
      </w:r>
      <w:r>
        <w:rPr>
          <w:spacing w:val="-1"/>
        </w:rPr>
        <w:t xml:space="preserve"> </w:t>
      </w:r>
      <w:r>
        <w:t>formas</w:t>
      </w:r>
      <w:r>
        <w:rPr>
          <w:spacing w:val="-1"/>
        </w:rPr>
        <w:t xml:space="preserve"> </w:t>
      </w:r>
      <w:r>
        <w:t>de</w:t>
      </w:r>
      <w:r>
        <w:rPr>
          <w:spacing w:val="-1"/>
        </w:rPr>
        <w:t xml:space="preserve"> </w:t>
      </w:r>
      <w:r>
        <w:t>compensación</w:t>
      </w:r>
      <w:r>
        <w:rPr>
          <w:spacing w:val="-1"/>
        </w:rPr>
        <w:t xml:space="preserve"> </w:t>
      </w:r>
      <w:r>
        <w:t>financiera, y</w:t>
      </w:r>
      <w:r>
        <w:rPr>
          <w:spacing w:val="-1"/>
        </w:rPr>
        <w:t xml:space="preserve"> </w:t>
      </w:r>
      <w:r>
        <w:t>es</w:t>
      </w:r>
      <w:r>
        <w:rPr>
          <w:spacing w:val="-1"/>
        </w:rPr>
        <w:t xml:space="preserve"> </w:t>
      </w:r>
      <w:r>
        <w:t>posible</w:t>
      </w:r>
      <w:r>
        <w:rPr>
          <w:spacing w:val="-1"/>
        </w:rPr>
        <w:t xml:space="preserve"> </w:t>
      </w:r>
      <w:r>
        <w:t>que</w:t>
      </w:r>
      <w:r>
        <w:rPr>
          <w:spacing w:val="-1"/>
        </w:rPr>
        <w:t xml:space="preserve"> </w:t>
      </w:r>
      <w:r>
        <w:t>esta</w:t>
      </w:r>
      <w:r>
        <w:rPr>
          <w:spacing w:val="-1"/>
        </w:rPr>
        <w:t xml:space="preserve"> </w:t>
      </w:r>
      <w:r>
        <w:t>segunda solicitud</w:t>
      </w:r>
      <w:r>
        <w:rPr>
          <w:spacing w:val="-3"/>
        </w:rPr>
        <w:t xml:space="preserve"> </w:t>
      </w:r>
      <w:r>
        <w:t>incluso</w:t>
      </w:r>
      <w:r>
        <w:rPr>
          <w:spacing w:val="-3"/>
        </w:rPr>
        <w:t xml:space="preserve"> </w:t>
      </w:r>
      <w:r>
        <w:t>deba</w:t>
      </w:r>
      <w:r>
        <w:rPr>
          <w:spacing w:val="-3"/>
        </w:rPr>
        <w:t xml:space="preserve"> </w:t>
      </w:r>
      <w:r>
        <w:t>presentarse</w:t>
      </w:r>
      <w:r>
        <w:rPr>
          <w:spacing w:val="-3"/>
        </w:rPr>
        <w:t xml:space="preserve"> </w:t>
      </w:r>
      <w:r>
        <w:t>ante</w:t>
      </w:r>
      <w:r>
        <w:rPr>
          <w:spacing w:val="-3"/>
        </w:rPr>
        <w:t xml:space="preserve"> </w:t>
      </w:r>
      <w:r>
        <w:t>un</w:t>
      </w:r>
      <w:r>
        <w:rPr>
          <w:spacing w:val="-3"/>
        </w:rPr>
        <w:t xml:space="preserve"> </w:t>
      </w:r>
      <w:r>
        <w:t>tribunal</w:t>
      </w:r>
      <w:r>
        <w:rPr>
          <w:spacing w:val="-3"/>
        </w:rPr>
        <w:t xml:space="preserve"> </w:t>
      </w:r>
      <w:r>
        <w:t>o</w:t>
      </w:r>
      <w:r>
        <w:rPr>
          <w:spacing w:val="-3"/>
        </w:rPr>
        <w:t xml:space="preserve"> </w:t>
      </w:r>
      <w:r>
        <w:t>tribunal</w:t>
      </w:r>
      <w:r>
        <w:rPr>
          <w:spacing w:val="-3"/>
        </w:rPr>
        <w:t xml:space="preserve"> </w:t>
      </w:r>
      <w:r>
        <w:t>completamente</w:t>
      </w:r>
      <w:r>
        <w:rPr>
          <w:spacing w:val="-3"/>
        </w:rPr>
        <w:t xml:space="preserve"> </w:t>
      </w:r>
      <w:r>
        <w:t>diferente.</w:t>
      </w:r>
      <w:r>
        <w:rPr>
          <w:spacing w:val="-2"/>
        </w:rPr>
        <w:t xml:space="preserve"> </w:t>
      </w:r>
      <w:r>
        <w:t>autoridad.</w:t>
      </w:r>
      <w:r>
        <w:rPr>
          <w:spacing w:val="-2"/>
        </w:rPr>
        <w:t xml:space="preserve"> </w:t>
      </w:r>
      <w:r>
        <w:t>Dichos</w:t>
      </w:r>
      <w:r>
        <w:rPr>
          <w:spacing w:val="-3"/>
        </w:rPr>
        <w:t xml:space="preserve"> </w:t>
      </w:r>
      <w:r>
        <w:t>procedimientos</w:t>
      </w:r>
      <w:r>
        <w:rPr>
          <w:spacing w:val="-3"/>
        </w:rPr>
        <w:t xml:space="preserve"> </w:t>
      </w:r>
      <w:r>
        <w:t>pueden</w:t>
      </w:r>
    </w:p>
    <w:p w14:paraId="192496D1" w14:textId="77777777" w:rsidR="0014798C" w:rsidRDefault="004E1F0B">
      <w:pPr>
        <w:pStyle w:val="Textoindependiente"/>
        <w:spacing w:line="326" w:lineRule="auto"/>
        <w:ind w:left="1106" w:right="369" w:firstLine="1"/>
      </w:pPr>
      <w:r>
        <w:t>constituir</w:t>
      </w:r>
      <w:r>
        <w:rPr>
          <w:spacing w:val="-7"/>
        </w:rPr>
        <w:t xml:space="preserve"> </w:t>
      </w:r>
      <w:r>
        <w:t>un</w:t>
      </w:r>
      <w:r>
        <w:rPr>
          <w:spacing w:val="-7"/>
        </w:rPr>
        <w:t xml:space="preserve"> </w:t>
      </w:r>
      <w:r>
        <w:t>obstáculo</w:t>
      </w:r>
      <w:r>
        <w:rPr>
          <w:spacing w:val="-7"/>
        </w:rPr>
        <w:t xml:space="preserve"> </w:t>
      </w:r>
      <w:r>
        <w:t>para</w:t>
      </w:r>
      <w:r>
        <w:rPr>
          <w:spacing w:val="-7"/>
        </w:rPr>
        <w:t xml:space="preserve"> </w:t>
      </w:r>
      <w:r>
        <w:t>quienes</w:t>
      </w:r>
      <w:r>
        <w:rPr>
          <w:spacing w:val="-7"/>
        </w:rPr>
        <w:t xml:space="preserve"> </w:t>
      </w:r>
      <w:r>
        <w:t>buscan</w:t>
      </w:r>
      <w:r>
        <w:rPr>
          <w:spacing w:val="-7"/>
        </w:rPr>
        <w:t xml:space="preserve"> </w:t>
      </w:r>
      <w:r>
        <w:t>reparación</w:t>
      </w:r>
      <w:r>
        <w:rPr>
          <w:spacing w:val="-7"/>
        </w:rPr>
        <w:t xml:space="preserve"> </w:t>
      </w:r>
      <w:r>
        <w:t>y,</w:t>
      </w:r>
      <w:r>
        <w:rPr>
          <w:spacing w:val="-7"/>
        </w:rPr>
        <w:t xml:space="preserve"> </w:t>
      </w:r>
      <w:r>
        <w:t>por</w:t>
      </w:r>
      <w:r>
        <w:rPr>
          <w:spacing w:val="-7"/>
        </w:rPr>
        <w:t xml:space="preserve"> </w:t>
      </w:r>
      <w:r>
        <w:t>lo</w:t>
      </w:r>
      <w:r>
        <w:rPr>
          <w:spacing w:val="-7"/>
        </w:rPr>
        <w:t xml:space="preserve"> </w:t>
      </w:r>
      <w:r>
        <w:t>tanto,</w:t>
      </w:r>
      <w:r>
        <w:rPr>
          <w:spacing w:val="-7"/>
        </w:rPr>
        <w:t xml:space="preserve"> </w:t>
      </w:r>
      <w:r>
        <w:t>violar</w:t>
      </w:r>
      <w:r>
        <w:rPr>
          <w:spacing w:val="-7"/>
        </w:rPr>
        <w:t xml:space="preserve"> </w:t>
      </w:r>
      <w:r>
        <w:t>las</w:t>
      </w:r>
      <w:r>
        <w:rPr>
          <w:spacing w:val="-7"/>
        </w:rPr>
        <w:t xml:space="preserve"> </w:t>
      </w:r>
      <w:r>
        <w:t>obligaciones</w:t>
      </w:r>
      <w:r>
        <w:rPr>
          <w:spacing w:val="-7"/>
        </w:rPr>
        <w:t xml:space="preserve"> </w:t>
      </w:r>
      <w:r>
        <w:t>de</w:t>
      </w:r>
      <w:r>
        <w:rPr>
          <w:spacing w:val="-7"/>
        </w:rPr>
        <w:t xml:space="preserve"> </w:t>
      </w:r>
      <w:r>
        <w:t>los</w:t>
      </w:r>
      <w:r>
        <w:rPr>
          <w:spacing w:val="-7"/>
        </w:rPr>
        <w:t xml:space="preserve"> </w:t>
      </w:r>
      <w:r>
        <w:t>Estados</w:t>
      </w:r>
      <w:r>
        <w:rPr>
          <w:spacing w:val="-7"/>
        </w:rPr>
        <w:t xml:space="preserve"> </w:t>
      </w:r>
      <w:r>
        <w:t>de</w:t>
      </w:r>
      <w:r>
        <w:rPr>
          <w:spacing w:val="-7"/>
        </w:rPr>
        <w:t xml:space="preserve"> </w:t>
      </w:r>
      <w:r>
        <w:t>garantizar</w:t>
      </w:r>
      <w:r>
        <w:rPr>
          <w:spacing w:val="-7"/>
        </w:rPr>
        <w:t xml:space="preserve"> </w:t>
      </w:r>
      <w:r>
        <w:t>el</w:t>
      </w:r>
      <w:r>
        <w:rPr>
          <w:spacing w:val="-7"/>
        </w:rPr>
        <w:t xml:space="preserve"> </w:t>
      </w:r>
      <w:r>
        <w:t>acceso</w:t>
      </w:r>
      <w:r>
        <w:rPr>
          <w:spacing w:val="-7"/>
        </w:rPr>
        <w:t xml:space="preserve"> </w:t>
      </w:r>
      <w:r>
        <w:t>a</w:t>
      </w:r>
      <w:r>
        <w:rPr>
          <w:spacing w:val="-7"/>
        </w:rPr>
        <w:t xml:space="preserve"> </w:t>
      </w:r>
      <w:r>
        <w:t>la</w:t>
      </w:r>
      <w:r>
        <w:rPr>
          <w:spacing w:val="-7"/>
        </w:rPr>
        <w:t xml:space="preserve"> </w:t>
      </w:r>
      <w:r>
        <w:t>justicia. Para garantizar su eficacia, los procedimientos legales deben estar disponibles y accesibles para todos.</w:t>
      </w:r>
    </w:p>
    <w:p w14:paraId="2BBA8F2B" w14:textId="77777777" w:rsidR="0014798C" w:rsidRDefault="004E1F0B">
      <w:pPr>
        <w:numPr>
          <w:ilvl w:val="1"/>
          <w:numId w:val="46"/>
        </w:numPr>
        <w:tabs>
          <w:tab w:val="left" w:pos="1334"/>
        </w:tabs>
        <w:spacing w:before="184"/>
        <w:ind w:left="1334" w:hanging="219"/>
        <w:jc w:val="left"/>
        <w:rPr>
          <w:sz w:val="19"/>
        </w:rPr>
      </w:pPr>
      <w:r>
        <w:rPr>
          <w:sz w:val="19"/>
        </w:rPr>
        <w:t>Calidad</w:t>
      </w:r>
      <w:r>
        <w:rPr>
          <w:spacing w:val="-10"/>
          <w:sz w:val="19"/>
        </w:rPr>
        <w:t xml:space="preserve"> </w:t>
      </w:r>
      <w:r>
        <w:rPr>
          <w:sz w:val="19"/>
        </w:rPr>
        <w:t>y</w:t>
      </w:r>
      <w:r>
        <w:rPr>
          <w:spacing w:val="-9"/>
          <w:sz w:val="19"/>
        </w:rPr>
        <w:t xml:space="preserve"> </w:t>
      </w:r>
      <w:r>
        <w:rPr>
          <w:sz w:val="19"/>
        </w:rPr>
        <w:t>rendición</w:t>
      </w:r>
      <w:r>
        <w:rPr>
          <w:spacing w:val="-9"/>
          <w:sz w:val="19"/>
        </w:rPr>
        <w:t xml:space="preserve"> </w:t>
      </w:r>
      <w:r>
        <w:rPr>
          <w:sz w:val="19"/>
        </w:rPr>
        <w:t>de</w:t>
      </w:r>
      <w:r>
        <w:rPr>
          <w:spacing w:val="-9"/>
          <w:sz w:val="19"/>
        </w:rPr>
        <w:t xml:space="preserve"> </w:t>
      </w:r>
      <w:r>
        <w:rPr>
          <w:spacing w:val="-2"/>
          <w:sz w:val="19"/>
        </w:rPr>
        <w:t>cuentas</w:t>
      </w:r>
    </w:p>
    <w:p w14:paraId="2F1323C9" w14:textId="77777777" w:rsidR="0014798C" w:rsidRDefault="004E1F0B">
      <w:pPr>
        <w:spacing w:before="173" w:line="307" w:lineRule="auto"/>
        <w:ind w:left="1111" w:right="1272" w:hanging="15"/>
        <w:rPr>
          <w:sz w:val="17"/>
        </w:rPr>
      </w:pPr>
      <w:r>
        <w:rPr>
          <w:w w:val="105"/>
          <w:sz w:val="17"/>
        </w:rPr>
        <w:t>Los</w:t>
      </w:r>
      <w:r>
        <w:rPr>
          <w:spacing w:val="-3"/>
          <w:w w:val="105"/>
          <w:sz w:val="17"/>
        </w:rPr>
        <w:t xml:space="preserve"> </w:t>
      </w:r>
      <w:r>
        <w:rPr>
          <w:w w:val="105"/>
          <w:sz w:val="17"/>
        </w:rPr>
        <w:t>sistemas</w:t>
      </w:r>
      <w:r>
        <w:rPr>
          <w:spacing w:val="-3"/>
          <w:w w:val="105"/>
          <w:sz w:val="17"/>
        </w:rPr>
        <w:t xml:space="preserve"> </w:t>
      </w:r>
      <w:r>
        <w:rPr>
          <w:w w:val="105"/>
          <w:sz w:val="17"/>
        </w:rPr>
        <w:t>de</w:t>
      </w:r>
      <w:r>
        <w:rPr>
          <w:spacing w:val="-3"/>
          <w:w w:val="105"/>
          <w:sz w:val="17"/>
        </w:rPr>
        <w:t xml:space="preserve"> </w:t>
      </w:r>
      <w:r>
        <w:rPr>
          <w:w w:val="105"/>
          <w:sz w:val="17"/>
        </w:rPr>
        <w:t>justicia</w:t>
      </w:r>
      <w:r>
        <w:rPr>
          <w:spacing w:val="-3"/>
          <w:w w:val="105"/>
          <w:sz w:val="17"/>
        </w:rPr>
        <w:t xml:space="preserve"> </w:t>
      </w:r>
      <w:r>
        <w:rPr>
          <w:w w:val="105"/>
          <w:sz w:val="17"/>
        </w:rPr>
        <w:t>deben</w:t>
      </w:r>
      <w:r>
        <w:rPr>
          <w:spacing w:val="-3"/>
          <w:w w:val="105"/>
          <w:sz w:val="17"/>
        </w:rPr>
        <w:t xml:space="preserve"> </w:t>
      </w:r>
      <w:r>
        <w:rPr>
          <w:w w:val="105"/>
          <w:sz w:val="17"/>
        </w:rPr>
        <w:t>ser</w:t>
      </w:r>
      <w:r>
        <w:rPr>
          <w:spacing w:val="-3"/>
          <w:w w:val="105"/>
          <w:sz w:val="17"/>
        </w:rPr>
        <w:t xml:space="preserve"> </w:t>
      </w:r>
      <w:r>
        <w:rPr>
          <w:w w:val="105"/>
          <w:sz w:val="17"/>
        </w:rPr>
        <w:t>responsables</w:t>
      </w:r>
      <w:r>
        <w:rPr>
          <w:spacing w:val="-3"/>
          <w:w w:val="105"/>
          <w:sz w:val="17"/>
        </w:rPr>
        <w:t xml:space="preserve"> </w:t>
      </w:r>
      <w:r>
        <w:rPr>
          <w:w w:val="105"/>
          <w:sz w:val="17"/>
        </w:rPr>
        <w:t>y</w:t>
      </w:r>
      <w:r>
        <w:rPr>
          <w:spacing w:val="-3"/>
          <w:w w:val="105"/>
          <w:sz w:val="17"/>
        </w:rPr>
        <w:t xml:space="preserve"> </w:t>
      </w:r>
      <w:r>
        <w:rPr>
          <w:w w:val="105"/>
          <w:sz w:val="17"/>
        </w:rPr>
        <w:t>de</w:t>
      </w:r>
      <w:r>
        <w:rPr>
          <w:spacing w:val="-3"/>
          <w:w w:val="105"/>
          <w:sz w:val="17"/>
        </w:rPr>
        <w:t xml:space="preserve"> </w:t>
      </w:r>
      <w:r>
        <w:rPr>
          <w:w w:val="105"/>
          <w:sz w:val="17"/>
        </w:rPr>
        <w:t>buena</w:t>
      </w:r>
      <w:r>
        <w:rPr>
          <w:spacing w:val="-3"/>
          <w:w w:val="105"/>
          <w:sz w:val="17"/>
        </w:rPr>
        <w:t xml:space="preserve"> </w:t>
      </w:r>
      <w:r>
        <w:rPr>
          <w:w w:val="105"/>
          <w:sz w:val="17"/>
        </w:rPr>
        <w:t>calidad.650</w:t>
      </w:r>
      <w:r>
        <w:rPr>
          <w:spacing w:val="-3"/>
          <w:w w:val="105"/>
          <w:sz w:val="17"/>
        </w:rPr>
        <w:t xml:space="preserve"> </w:t>
      </w:r>
      <w:r>
        <w:rPr>
          <w:w w:val="105"/>
          <w:sz w:val="17"/>
        </w:rPr>
        <w:t>El</w:t>
      </w:r>
      <w:r>
        <w:rPr>
          <w:spacing w:val="-3"/>
          <w:w w:val="105"/>
          <w:sz w:val="17"/>
        </w:rPr>
        <w:t xml:space="preserve"> </w:t>
      </w:r>
      <w:r>
        <w:rPr>
          <w:w w:val="105"/>
          <w:sz w:val="17"/>
        </w:rPr>
        <w:t>Comité</w:t>
      </w:r>
      <w:r>
        <w:rPr>
          <w:spacing w:val="-3"/>
          <w:w w:val="105"/>
          <w:sz w:val="17"/>
        </w:rPr>
        <w:t xml:space="preserve"> </w:t>
      </w:r>
      <w:r>
        <w:rPr>
          <w:w w:val="105"/>
          <w:sz w:val="17"/>
        </w:rPr>
        <w:t>para</w:t>
      </w:r>
      <w:r>
        <w:rPr>
          <w:spacing w:val="-3"/>
          <w:w w:val="105"/>
          <w:sz w:val="17"/>
        </w:rPr>
        <w:t xml:space="preserve"> </w:t>
      </w:r>
      <w:r>
        <w:rPr>
          <w:w w:val="105"/>
          <w:sz w:val="17"/>
        </w:rPr>
        <w:t>la</w:t>
      </w:r>
      <w:r>
        <w:rPr>
          <w:spacing w:val="-3"/>
          <w:w w:val="105"/>
          <w:sz w:val="17"/>
        </w:rPr>
        <w:t xml:space="preserve"> </w:t>
      </w:r>
      <w:r>
        <w:rPr>
          <w:w w:val="105"/>
          <w:sz w:val="17"/>
        </w:rPr>
        <w:t>Eliminación</w:t>
      </w:r>
      <w:r>
        <w:rPr>
          <w:spacing w:val="-3"/>
          <w:w w:val="105"/>
          <w:sz w:val="17"/>
        </w:rPr>
        <w:t xml:space="preserve"> </w:t>
      </w:r>
      <w:r>
        <w:rPr>
          <w:w w:val="105"/>
          <w:sz w:val="17"/>
        </w:rPr>
        <w:t>de</w:t>
      </w:r>
      <w:r>
        <w:rPr>
          <w:spacing w:val="-3"/>
          <w:w w:val="105"/>
          <w:sz w:val="17"/>
        </w:rPr>
        <w:t xml:space="preserve"> </w:t>
      </w:r>
      <w:r>
        <w:rPr>
          <w:w w:val="105"/>
          <w:sz w:val="17"/>
        </w:rPr>
        <w:t>la Discriminación</w:t>
      </w:r>
      <w:r>
        <w:rPr>
          <w:spacing w:val="-13"/>
          <w:w w:val="105"/>
          <w:sz w:val="17"/>
        </w:rPr>
        <w:t xml:space="preserve"> </w:t>
      </w:r>
      <w:r>
        <w:rPr>
          <w:w w:val="105"/>
          <w:sz w:val="17"/>
        </w:rPr>
        <w:t>contra</w:t>
      </w:r>
      <w:r>
        <w:rPr>
          <w:spacing w:val="-12"/>
          <w:w w:val="105"/>
          <w:sz w:val="17"/>
        </w:rPr>
        <w:t xml:space="preserve"> </w:t>
      </w:r>
      <w:r>
        <w:rPr>
          <w:w w:val="105"/>
          <w:sz w:val="17"/>
        </w:rPr>
        <w:t>la</w:t>
      </w:r>
      <w:r>
        <w:rPr>
          <w:spacing w:val="-12"/>
          <w:w w:val="105"/>
          <w:sz w:val="17"/>
        </w:rPr>
        <w:t xml:space="preserve"> </w:t>
      </w:r>
      <w:r>
        <w:rPr>
          <w:w w:val="105"/>
          <w:sz w:val="17"/>
        </w:rPr>
        <w:t>Mujer</w:t>
      </w:r>
      <w:r>
        <w:rPr>
          <w:spacing w:val="-13"/>
          <w:w w:val="105"/>
          <w:sz w:val="17"/>
        </w:rPr>
        <w:t xml:space="preserve"> </w:t>
      </w:r>
      <w:r>
        <w:rPr>
          <w:w w:val="105"/>
          <w:sz w:val="17"/>
        </w:rPr>
        <w:t>ha</w:t>
      </w:r>
      <w:r>
        <w:rPr>
          <w:spacing w:val="-12"/>
          <w:w w:val="105"/>
          <w:sz w:val="17"/>
        </w:rPr>
        <w:t xml:space="preserve"> </w:t>
      </w:r>
      <w:r>
        <w:rPr>
          <w:w w:val="105"/>
          <w:sz w:val="17"/>
        </w:rPr>
        <w:t>señalado</w:t>
      </w:r>
      <w:r>
        <w:rPr>
          <w:spacing w:val="-12"/>
          <w:w w:val="105"/>
          <w:sz w:val="17"/>
        </w:rPr>
        <w:t xml:space="preserve"> </w:t>
      </w:r>
      <w:r>
        <w:rPr>
          <w:w w:val="105"/>
          <w:sz w:val="17"/>
        </w:rPr>
        <w:t>que</w:t>
      </w:r>
      <w:r>
        <w:rPr>
          <w:spacing w:val="-13"/>
          <w:w w:val="105"/>
          <w:sz w:val="17"/>
        </w:rPr>
        <w:t xml:space="preserve"> </w:t>
      </w:r>
      <w:r>
        <w:rPr>
          <w:w w:val="105"/>
          <w:sz w:val="17"/>
        </w:rPr>
        <w:t>“todos</w:t>
      </w:r>
      <w:r>
        <w:rPr>
          <w:spacing w:val="-12"/>
          <w:w w:val="105"/>
          <w:sz w:val="17"/>
        </w:rPr>
        <w:t xml:space="preserve"> </w:t>
      </w:r>
      <w:r>
        <w:rPr>
          <w:w w:val="105"/>
          <w:sz w:val="17"/>
        </w:rPr>
        <w:t>los</w:t>
      </w:r>
      <w:r>
        <w:rPr>
          <w:spacing w:val="-12"/>
          <w:w w:val="105"/>
          <w:sz w:val="17"/>
        </w:rPr>
        <w:t xml:space="preserve"> </w:t>
      </w:r>
      <w:r>
        <w:rPr>
          <w:w w:val="105"/>
          <w:sz w:val="17"/>
        </w:rPr>
        <w:t>componentes</w:t>
      </w:r>
      <w:r>
        <w:rPr>
          <w:spacing w:val="-13"/>
          <w:w w:val="105"/>
          <w:sz w:val="17"/>
        </w:rPr>
        <w:t xml:space="preserve"> </w:t>
      </w:r>
      <w:r>
        <w:rPr>
          <w:w w:val="105"/>
          <w:sz w:val="17"/>
        </w:rPr>
        <w:t>del</w:t>
      </w:r>
      <w:r>
        <w:rPr>
          <w:spacing w:val="-12"/>
          <w:w w:val="105"/>
          <w:sz w:val="17"/>
        </w:rPr>
        <w:t xml:space="preserve"> </w:t>
      </w:r>
      <w:r>
        <w:rPr>
          <w:w w:val="105"/>
          <w:sz w:val="17"/>
        </w:rPr>
        <w:t>sistema</w:t>
      </w:r>
      <w:r>
        <w:rPr>
          <w:spacing w:val="-12"/>
          <w:w w:val="105"/>
          <w:sz w:val="17"/>
        </w:rPr>
        <w:t xml:space="preserve"> </w:t>
      </w:r>
      <w:r>
        <w:rPr>
          <w:w w:val="105"/>
          <w:sz w:val="17"/>
        </w:rPr>
        <w:t>[deberían]</w:t>
      </w:r>
      <w:r>
        <w:rPr>
          <w:spacing w:val="-12"/>
          <w:w w:val="105"/>
          <w:sz w:val="17"/>
        </w:rPr>
        <w:t xml:space="preserve"> </w:t>
      </w:r>
      <w:r>
        <w:rPr>
          <w:w w:val="105"/>
          <w:sz w:val="17"/>
        </w:rPr>
        <w:t>adherirse</w:t>
      </w:r>
      <w:r>
        <w:rPr>
          <w:spacing w:val="-12"/>
          <w:w w:val="105"/>
          <w:sz w:val="17"/>
        </w:rPr>
        <w:t xml:space="preserve"> </w:t>
      </w:r>
      <w:r>
        <w:rPr>
          <w:w w:val="105"/>
          <w:sz w:val="17"/>
        </w:rPr>
        <w:t>a</w:t>
      </w:r>
      <w:r>
        <w:rPr>
          <w:spacing w:val="-13"/>
          <w:w w:val="105"/>
          <w:sz w:val="17"/>
        </w:rPr>
        <w:t xml:space="preserve"> </w:t>
      </w:r>
      <w:r>
        <w:rPr>
          <w:w w:val="105"/>
          <w:sz w:val="17"/>
        </w:rPr>
        <w:t>las</w:t>
      </w:r>
      <w:r>
        <w:rPr>
          <w:spacing w:val="-12"/>
          <w:w w:val="105"/>
          <w:sz w:val="17"/>
        </w:rPr>
        <w:t xml:space="preserve"> </w:t>
      </w:r>
      <w:r>
        <w:rPr>
          <w:w w:val="105"/>
          <w:sz w:val="17"/>
        </w:rPr>
        <w:t>normas internacionales</w:t>
      </w:r>
      <w:r>
        <w:rPr>
          <w:spacing w:val="-6"/>
          <w:w w:val="105"/>
          <w:sz w:val="17"/>
        </w:rPr>
        <w:t xml:space="preserve"> </w:t>
      </w:r>
      <w:r>
        <w:rPr>
          <w:w w:val="105"/>
          <w:sz w:val="17"/>
        </w:rPr>
        <w:t>de</w:t>
      </w:r>
      <w:r>
        <w:rPr>
          <w:spacing w:val="-5"/>
          <w:w w:val="105"/>
          <w:sz w:val="17"/>
        </w:rPr>
        <w:t xml:space="preserve"> </w:t>
      </w:r>
      <w:r>
        <w:rPr>
          <w:w w:val="105"/>
          <w:sz w:val="17"/>
        </w:rPr>
        <w:t>competencia</w:t>
      </w:r>
      <w:r>
        <w:rPr>
          <w:spacing w:val="-5"/>
          <w:w w:val="105"/>
          <w:sz w:val="17"/>
        </w:rPr>
        <w:t xml:space="preserve"> </w:t>
      </w:r>
      <w:r>
        <w:rPr>
          <w:w w:val="105"/>
          <w:sz w:val="17"/>
        </w:rPr>
        <w:t>[y]</w:t>
      </w:r>
      <w:r>
        <w:rPr>
          <w:spacing w:val="-5"/>
          <w:w w:val="105"/>
          <w:sz w:val="17"/>
        </w:rPr>
        <w:t xml:space="preserve"> </w:t>
      </w:r>
      <w:r>
        <w:rPr>
          <w:w w:val="105"/>
          <w:sz w:val="17"/>
        </w:rPr>
        <w:t>eficiencia”.</w:t>
      </w:r>
      <w:r>
        <w:rPr>
          <w:spacing w:val="-4"/>
          <w:w w:val="105"/>
          <w:sz w:val="17"/>
        </w:rPr>
        <w:t xml:space="preserve"> </w:t>
      </w:r>
      <w:r>
        <w:rPr>
          <w:w w:val="105"/>
          <w:sz w:val="17"/>
        </w:rPr>
        <w:t>Estos</w:t>
      </w:r>
      <w:r>
        <w:rPr>
          <w:spacing w:val="-5"/>
          <w:w w:val="105"/>
          <w:sz w:val="17"/>
        </w:rPr>
        <w:t xml:space="preserve"> </w:t>
      </w:r>
      <w:r>
        <w:rPr>
          <w:w w:val="105"/>
          <w:sz w:val="17"/>
        </w:rPr>
        <w:t>sistemas</w:t>
      </w:r>
      <w:r>
        <w:rPr>
          <w:spacing w:val="-5"/>
          <w:w w:val="105"/>
          <w:sz w:val="17"/>
        </w:rPr>
        <w:t xml:space="preserve"> </w:t>
      </w:r>
      <w:r>
        <w:rPr>
          <w:w w:val="105"/>
          <w:sz w:val="17"/>
        </w:rPr>
        <w:t>deben</w:t>
      </w:r>
      <w:r>
        <w:rPr>
          <w:spacing w:val="-5"/>
          <w:w w:val="105"/>
          <w:sz w:val="17"/>
        </w:rPr>
        <w:t xml:space="preserve"> </w:t>
      </w:r>
      <w:r>
        <w:rPr>
          <w:w w:val="105"/>
          <w:sz w:val="17"/>
        </w:rPr>
        <w:t>ser</w:t>
      </w:r>
      <w:r>
        <w:rPr>
          <w:spacing w:val="-5"/>
          <w:w w:val="105"/>
          <w:sz w:val="17"/>
        </w:rPr>
        <w:t xml:space="preserve"> </w:t>
      </w:r>
      <w:r>
        <w:rPr>
          <w:w w:val="105"/>
          <w:sz w:val="17"/>
        </w:rPr>
        <w:t>“sensibles</w:t>
      </w:r>
      <w:r>
        <w:rPr>
          <w:spacing w:val="-5"/>
          <w:w w:val="105"/>
          <w:sz w:val="17"/>
        </w:rPr>
        <w:t xml:space="preserve"> </w:t>
      </w:r>
      <w:r>
        <w:rPr>
          <w:w w:val="105"/>
          <w:sz w:val="17"/>
        </w:rPr>
        <w:t>al</w:t>
      </w:r>
      <w:r>
        <w:rPr>
          <w:spacing w:val="-5"/>
          <w:w w:val="105"/>
          <w:sz w:val="17"/>
        </w:rPr>
        <w:t xml:space="preserve"> </w:t>
      </w:r>
      <w:r>
        <w:rPr>
          <w:w w:val="105"/>
          <w:sz w:val="17"/>
        </w:rPr>
        <w:t>género”,</w:t>
      </w:r>
      <w:r>
        <w:rPr>
          <w:spacing w:val="-4"/>
          <w:w w:val="105"/>
          <w:sz w:val="17"/>
        </w:rPr>
        <w:t xml:space="preserve"> </w:t>
      </w:r>
      <w:r>
        <w:rPr>
          <w:w w:val="105"/>
          <w:sz w:val="17"/>
        </w:rPr>
        <w:t>“contextualizados,</w:t>
      </w:r>
    </w:p>
    <w:p w14:paraId="0C50B495" w14:textId="77777777" w:rsidR="0014798C" w:rsidRDefault="004E1F0B">
      <w:pPr>
        <w:spacing w:line="194" w:lineRule="exact"/>
        <w:ind w:left="1107"/>
        <w:rPr>
          <w:sz w:val="17"/>
        </w:rPr>
      </w:pPr>
      <w:r>
        <w:rPr>
          <w:sz w:val="17"/>
        </w:rPr>
        <w:t>dinámicos,</w:t>
      </w:r>
      <w:r>
        <w:rPr>
          <w:spacing w:val="14"/>
          <w:sz w:val="17"/>
        </w:rPr>
        <w:t xml:space="preserve"> </w:t>
      </w:r>
      <w:r>
        <w:rPr>
          <w:sz w:val="17"/>
        </w:rPr>
        <w:t>participativos”,</w:t>
      </w:r>
      <w:r>
        <w:rPr>
          <w:spacing w:val="17"/>
          <w:sz w:val="17"/>
        </w:rPr>
        <w:t xml:space="preserve"> </w:t>
      </w:r>
      <w:r>
        <w:rPr>
          <w:sz w:val="17"/>
        </w:rPr>
        <w:t>sensibles</w:t>
      </w:r>
      <w:r>
        <w:rPr>
          <w:spacing w:val="16"/>
          <w:sz w:val="17"/>
        </w:rPr>
        <w:t xml:space="preserve"> </w:t>
      </w:r>
      <w:r>
        <w:rPr>
          <w:sz w:val="17"/>
        </w:rPr>
        <w:t>a</w:t>
      </w:r>
      <w:r>
        <w:rPr>
          <w:spacing w:val="16"/>
          <w:sz w:val="17"/>
        </w:rPr>
        <w:t xml:space="preserve"> </w:t>
      </w:r>
      <w:r>
        <w:rPr>
          <w:sz w:val="17"/>
        </w:rPr>
        <w:t>las</w:t>
      </w:r>
      <w:r>
        <w:rPr>
          <w:spacing w:val="15"/>
          <w:sz w:val="17"/>
        </w:rPr>
        <w:t xml:space="preserve"> </w:t>
      </w:r>
      <w:r>
        <w:rPr>
          <w:sz w:val="17"/>
        </w:rPr>
        <w:t>necesidades</w:t>
      </w:r>
      <w:r>
        <w:rPr>
          <w:spacing w:val="16"/>
          <w:sz w:val="17"/>
        </w:rPr>
        <w:t xml:space="preserve"> </w:t>
      </w:r>
      <w:r>
        <w:rPr>
          <w:sz w:val="17"/>
        </w:rPr>
        <w:t>de</w:t>
      </w:r>
      <w:r>
        <w:rPr>
          <w:spacing w:val="16"/>
          <w:sz w:val="17"/>
        </w:rPr>
        <w:t xml:space="preserve"> </w:t>
      </w:r>
      <w:r>
        <w:rPr>
          <w:sz w:val="17"/>
        </w:rPr>
        <w:t>los</w:t>
      </w:r>
      <w:r>
        <w:rPr>
          <w:spacing w:val="15"/>
          <w:sz w:val="17"/>
        </w:rPr>
        <w:t xml:space="preserve"> </w:t>
      </w:r>
      <w:r>
        <w:rPr>
          <w:sz w:val="17"/>
        </w:rPr>
        <w:t>usuarios</w:t>
      </w:r>
      <w:r>
        <w:rPr>
          <w:spacing w:val="16"/>
          <w:sz w:val="17"/>
        </w:rPr>
        <w:t xml:space="preserve"> </w:t>
      </w:r>
      <w:r>
        <w:rPr>
          <w:sz w:val="17"/>
        </w:rPr>
        <w:t>y</w:t>
      </w:r>
      <w:r>
        <w:rPr>
          <w:spacing w:val="16"/>
          <w:sz w:val="17"/>
        </w:rPr>
        <w:t xml:space="preserve"> </w:t>
      </w:r>
      <w:r>
        <w:rPr>
          <w:sz w:val="17"/>
        </w:rPr>
        <w:t>aplicados</w:t>
      </w:r>
      <w:r>
        <w:rPr>
          <w:spacing w:val="15"/>
          <w:sz w:val="17"/>
        </w:rPr>
        <w:t xml:space="preserve"> </w:t>
      </w:r>
      <w:r>
        <w:rPr>
          <w:sz w:val="17"/>
        </w:rPr>
        <w:t>y</w:t>
      </w:r>
      <w:r>
        <w:rPr>
          <w:spacing w:val="16"/>
          <w:sz w:val="17"/>
        </w:rPr>
        <w:t xml:space="preserve"> </w:t>
      </w:r>
      <w:r>
        <w:rPr>
          <w:sz w:val="17"/>
        </w:rPr>
        <w:t>monitoreados</w:t>
      </w:r>
      <w:r>
        <w:rPr>
          <w:spacing w:val="16"/>
          <w:sz w:val="17"/>
        </w:rPr>
        <w:t xml:space="preserve"> </w:t>
      </w:r>
      <w:r>
        <w:rPr>
          <w:sz w:val="17"/>
        </w:rPr>
        <w:t>adecuadamente</w:t>
      </w:r>
      <w:r>
        <w:rPr>
          <w:spacing w:val="15"/>
          <w:sz w:val="17"/>
        </w:rPr>
        <w:t xml:space="preserve"> </w:t>
      </w:r>
      <w:r>
        <w:rPr>
          <w:sz w:val="17"/>
        </w:rPr>
        <w:t>para</w:t>
      </w:r>
      <w:r>
        <w:rPr>
          <w:spacing w:val="16"/>
          <w:sz w:val="17"/>
        </w:rPr>
        <w:t xml:space="preserve"> </w:t>
      </w:r>
      <w:r>
        <w:rPr>
          <w:sz w:val="17"/>
        </w:rPr>
        <w:t>garantizar</w:t>
      </w:r>
      <w:r>
        <w:rPr>
          <w:spacing w:val="16"/>
          <w:sz w:val="17"/>
        </w:rPr>
        <w:t xml:space="preserve"> </w:t>
      </w:r>
      <w:r>
        <w:rPr>
          <w:spacing w:val="-5"/>
          <w:sz w:val="17"/>
        </w:rPr>
        <w:t>que</w:t>
      </w:r>
    </w:p>
    <w:p w14:paraId="0F2C7473" w14:textId="77777777" w:rsidR="0014798C" w:rsidRDefault="0014798C">
      <w:pPr>
        <w:pStyle w:val="Textoindependiente"/>
        <w:rPr>
          <w:sz w:val="12"/>
        </w:rPr>
      </w:pPr>
    </w:p>
    <w:p w14:paraId="377C1BB9" w14:textId="77777777" w:rsidR="0014798C" w:rsidRDefault="0014798C">
      <w:pPr>
        <w:pStyle w:val="Textoindependiente"/>
        <w:rPr>
          <w:sz w:val="12"/>
        </w:rPr>
      </w:pPr>
    </w:p>
    <w:p w14:paraId="2F4047AC" w14:textId="77777777" w:rsidR="0014798C" w:rsidRDefault="0014798C">
      <w:pPr>
        <w:pStyle w:val="Textoindependiente"/>
        <w:rPr>
          <w:sz w:val="12"/>
        </w:rPr>
      </w:pPr>
    </w:p>
    <w:p w14:paraId="500A658E" w14:textId="77777777" w:rsidR="0014798C" w:rsidRDefault="0014798C">
      <w:pPr>
        <w:pStyle w:val="Textoindependiente"/>
        <w:rPr>
          <w:sz w:val="12"/>
        </w:rPr>
      </w:pPr>
    </w:p>
    <w:p w14:paraId="39E6CAC8" w14:textId="77777777" w:rsidR="0014798C" w:rsidRDefault="0014798C">
      <w:pPr>
        <w:pStyle w:val="Textoindependiente"/>
        <w:rPr>
          <w:sz w:val="12"/>
        </w:rPr>
      </w:pPr>
    </w:p>
    <w:p w14:paraId="65FE3E75" w14:textId="77777777" w:rsidR="0014798C" w:rsidRDefault="0014798C">
      <w:pPr>
        <w:pStyle w:val="Textoindependiente"/>
        <w:rPr>
          <w:sz w:val="12"/>
        </w:rPr>
      </w:pPr>
    </w:p>
    <w:p w14:paraId="65AF0C9B" w14:textId="77777777" w:rsidR="0014798C" w:rsidRDefault="0014798C">
      <w:pPr>
        <w:pStyle w:val="Textoindependiente"/>
        <w:rPr>
          <w:sz w:val="12"/>
        </w:rPr>
      </w:pPr>
    </w:p>
    <w:p w14:paraId="07838B0D" w14:textId="77777777" w:rsidR="0014798C" w:rsidRDefault="0014798C">
      <w:pPr>
        <w:pStyle w:val="Textoindependiente"/>
        <w:rPr>
          <w:sz w:val="12"/>
        </w:rPr>
      </w:pPr>
    </w:p>
    <w:p w14:paraId="5C7A250C" w14:textId="77777777" w:rsidR="0014798C" w:rsidRDefault="0014798C">
      <w:pPr>
        <w:pStyle w:val="Textoindependiente"/>
        <w:rPr>
          <w:sz w:val="12"/>
        </w:rPr>
      </w:pPr>
    </w:p>
    <w:p w14:paraId="54EC2775" w14:textId="77777777" w:rsidR="0014798C" w:rsidRDefault="0014798C">
      <w:pPr>
        <w:pStyle w:val="Textoindependiente"/>
        <w:rPr>
          <w:sz w:val="12"/>
        </w:rPr>
      </w:pPr>
    </w:p>
    <w:p w14:paraId="02B29524" w14:textId="77777777" w:rsidR="0014798C" w:rsidRDefault="0014798C">
      <w:pPr>
        <w:pStyle w:val="Textoindependiente"/>
        <w:spacing w:before="43"/>
        <w:rPr>
          <w:sz w:val="12"/>
        </w:rPr>
      </w:pPr>
    </w:p>
    <w:p w14:paraId="18102D32" w14:textId="77777777" w:rsidR="0014798C" w:rsidRDefault="004E1F0B">
      <w:pPr>
        <w:ind w:left="1108"/>
        <w:rPr>
          <w:sz w:val="12"/>
        </w:rPr>
      </w:pPr>
      <w:r>
        <w:rPr>
          <w:w w:val="105"/>
          <w:sz w:val="12"/>
        </w:rPr>
        <w:t>641</w:t>
      </w:r>
      <w:r>
        <w:rPr>
          <w:spacing w:val="-5"/>
          <w:w w:val="105"/>
          <w:sz w:val="12"/>
        </w:rPr>
        <w:t xml:space="preserve"> </w:t>
      </w:r>
      <w:proofErr w:type="spellStart"/>
      <w:r>
        <w:rPr>
          <w:spacing w:val="-4"/>
          <w:w w:val="105"/>
          <w:sz w:val="12"/>
        </w:rPr>
        <w:t>Ibíd</w:t>
      </w:r>
      <w:proofErr w:type="spellEnd"/>
      <w:r>
        <w:rPr>
          <w:spacing w:val="-4"/>
          <w:w w:val="105"/>
          <w:sz w:val="12"/>
        </w:rPr>
        <w:t>.</w:t>
      </w:r>
    </w:p>
    <w:p w14:paraId="3FA28399" w14:textId="77777777" w:rsidR="0014798C" w:rsidRDefault="0014798C">
      <w:pPr>
        <w:rPr>
          <w:sz w:val="12"/>
        </w:rPr>
        <w:sectPr w:rsidR="0014798C" w:rsidSect="00F265E4">
          <w:pgSz w:w="11900" w:h="16820"/>
          <w:pgMar w:top="340" w:right="0" w:bottom="280" w:left="200" w:header="121" w:footer="0" w:gutter="0"/>
          <w:cols w:space="720"/>
        </w:sectPr>
      </w:pPr>
    </w:p>
    <w:p w14:paraId="589F6A69" w14:textId="77777777" w:rsidR="0014798C" w:rsidRDefault="004E1F0B">
      <w:pPr>
        <w:spacing w:before="85"/>
        <w:jc w:val="right"/>
        <w:rPr>
          <w:sz w:val="8"/>
        </w:rPr>
      </w:pPr>
      <w:r>
        <w:rPr>
          <w:spacing w:val="-5"/>
          <w:w w:val="105"/>
          <w:sz w:val="8"/>
        </w:rPr>
        <w:t>642</w:t>
      </w:r>
    </w:p>
    <w:p w14:paraId="76C21236" w14:textId="77777777" w:rsidR="0014798C" w:rsidRDefault="0014798C">
      <w:pPr>
        <w:pStyle w:val="Textoindependiente"/>
        <w:rPr>
          <w:sz w:val="8"/>
        </w:rPr>
      </w:pPr>
    </w:p>
    <w:p w14:paraId="0E419A2E" w14:textId="77777777" w:rsidR="0014798C" w:rsidRDefault="0014798C">
      <w:pPr>
        <w:pStyle w:val="Textoindependiente"/>
        <w:rPr>
          <w:sz w:val="8"/>
        </w:rPr>
      </w:pPr>
    </w:p>
    <w:p w14:paraId="05C4943B" w14:textId="77777777" w:rsidR="0014798C" w:rsidRDefault="0014798C">
      <w:pPr>
        <w:pStyle w:val="Textoindependiente"/>
        <w:rPr>
          <w:sz w:val="8"/>
        </w:rPr>
      </w:pPr>
    </w:p>
    <w:p w14:paraId="617753C7" w14:textId="77777777" w:rsidR="0014798C" w:rsidRDefault="0014798C">
      <w:pPr>
        <w:pStyle w:val="Textoindependiente"/>
        <w:rPr>
          <w:sz w:val="8"/>
        </w:rPr>
      </w:pPr>
    </w:p>
    <w:p w14:paraId="39D5E9E9" w14:textId="77777777" w:rsidR="0014798C" w:rsidRDefault="0014798C">
      <w:pPr>
        <w:pStyle w:val="Textoindependiente"/>
        <w:spacing w:before="44"/>
        <w:rPr>
          <w:sz w:val="8"/>
        </w:rPr>
      </w:pPr>
    </w:p>
    <w:p w14:paraId="5E7B69B5" w14:textId="77777777" w:rsidR="0014798C" w:rsidRDefault="004E1F0B">
      <w:pPr>
        <w:jc w:val="right"/>
        <w:rPr>
          <w:sz w:val="8"/>
        </w:rPr>
      </w:pPr>
      <w:r>
        <w:rPr>
          <w:spacing w:val="-5"/>
          <w:w w:val="105"/>
          <w:sz w:val="8"/>
        </w:rPr>
        <w:t>643</w:t>
      </w:r>
    </w:p>
    <w:p w14:paraId="3F932B55" w14:textId="77777777" w:rsidR="0014798C" w:rsidRDefault="004E1F0B">
      <w:pPr>
        <w:spacing w:before="106" w:line="268" w:lineRule="auto"/>
        <w:ind w:left="77" w:right="1784" w:firstLine="3"/>
        <w:rPr>
          <w:sz w:val="14"/>
        </w:rPr>
      </w:pPr>
      <w:r>
        <w:br w:type="column"/>
      </w:r>
      <w:r>
        <w:rPr>
          <w:sz w:val="14"/>
        </w:rPr>
        <w:t>Véase,</w:t>
      </w:r>
      <w:r>
        <w:rPr>
          <w:spacing w:val="-10"/>
          <w:sz w:val="14"/>
        </w:rPr>
        <w:t xml:space="preserve"> </w:t>
      </w:r>
      <w:r>
        <w:rPr>
          <w:sz w:val="14"/>
        </w:rPr>
        <w:t>por</w:t>
      </w:r>
      <w:r>
        <w:rPr>
          <w:spacing w:val="-9"/>
          <w:sz w:val="14"/>
        </w:rPr>
        <w:t xml:space="preserve"> </w:t>
      </w:r>
      <w:r>
        <w:rPr>
          <w:sz w:val="14"/>
        </w:rPr>
        <w:t>ejemplo,</w:t>
      </w:r>
      <w:r>
        <w:rPr>
          <w:spacing w:val="-10"/>
          <w:sz w:val="14"/>
        </w:rPr>
        <w:t xml:space="preserve"> </w:t>
      </w:r>
      <w:r>
        <w:rPr>
          <w:sz w:val="14"/>
        </w:rPr>
        <w:t>Comité</w:t>
      </w:r>
      <w:r>
        <w:rPr>
          <w:spacing w:val="-9"/>
          <w:sz w:val="14"/>
        </w:rPr>
        <w:t xml:space="preserve"> </w:t>
      </w:r>
      <w:r>
        <w:rPr>
          <w:sz w:val="14"/>
        </w:rPr>
        <w:t>de</w:t>
      </w:r>
      <w:r>
        <w:rPr>
          <w:spacing w:val="-10"/>
          <w:sz w:val="14"/>
        </w:rPr>
        <w:t xml:space="preserve"> </w:t>
      </w:r>
      <w:r>
        <w:rPr>
          <w:sz w:val="14"/>
        </w:rPr>
        <w:t>Derechos</w:t>
      </w:r>
      <w:r>
        <w:rPr>
          <w:spacing w:val="-9"/>
          <w:sz w:val="14"/>
        </w:rPr>
        <w:t xml:space="preserve"> </w:t>
      </w:r>
      <w:r>
        <w:rPr>
          <w:sz w:val="14"/>
        </w:rPr>
        <w:t>Humanos,</w:t>
      </w:r>
      <w:r>
        <w:rPr>
          <w:spacing w:val="-10"/>
          <w:sz w:val="14"/>
        </w:rPr>
        <w:t xml:space="preserve"> </w:t>
      </w:r>
      <w:r>
        <w:rPr>
          <w:sz w:val="14"/>
        </w:rPr>
        <w:t>observación</w:t>
      </w:r>
      <w:r>
        <w:rPr>
          <w:spacing w:val="-9"/>
          <w:sz w:val="14"/>
        </w:rPr>
        <w:t xml:space="preserve"> </w:t>
      </w:r>
      <w:r>
        <w:rPr>
          <w:sz w:val="14"/>
        </w:rPr>
        <w:t>general</w:t>
      </w:r>
      <w:r>
        <w:rPr>
          <w:spacing w:val="-10"/>
          <w:sz w:val="14"/>
        </w:rPr>
        <w:t xml:space="preserve"> </w:t>
      </w:r>
      <w:r>
        <w:rPr>
          <w:sz w:val="14"/>
        </w:rPr>
        <w:t>núm.</w:t>
      </w:r>
      <w:r>
        <w:rPr>
          <w:spacing w:val="-9"/>
          <w:sz w:val="14"/>
        </w:rPr>
        <w:t xml:space="preserve"> </w:t>
      </w:r>
      <w:r>
        <w:rPr>
          <w:sz w:val="14"/>
        </w:rPr>
        <w:t>15</w:t>
      </w:r>
      <w:r>
        <w:rPr>
          <w:spacing w:val="-10"/>
          <w:sz w:val="14"/>
        </w:rPr>
        <w:t xml:space="preserve"> </w:t>
      </w:r>
      <w:r>
        <w:rPr>
          <w:sz w:val="14"/>
        </w:rPr>
        <w:t>(1986),</w:t>
      </w:r>
      <w:r>
        <w:rPr>
          <w:spacing w:val="-9"/>
          <w:sz w:val="14"/>
        </w:rPr>
        <w:t xml:space="preserve"> </w:t>
      </w:r>
      <w:proofErr w:type="spellStart"/>
      <w:r>
        <w:rPr>
          <w:sz w:val="14"/>
        </w:rPr>
        <w:t>párrs</w:t>
      </w:r>
      <w:proofErr w:type="spellEnd"/>
      <w:r>
        <w:rPr>
          <w:sz w:val="14"/>
        </w:rPr>
        <w:t>.</w:t>
      </w:r>
      <w:r>
        <w:rPr>
          <w:spacing w:val="-10"/>
          <w:sz w:val="14"/>
        </w:rPr>
        <w:t xml:space="preserve"> </w:t>
      </w:r>
      <w:r>
        <w:rPr>
          <w:sz w:val="14"/>
        </w:rPr>
        <w:t>1–2;</w:t>
      </w:r>
      <w:r>
        <w:rPr>
          <w:spacing w:val="-9"/>
          <w:sz w:val="14"/>
        </w:rPr>
        <w:t xml:space="preserve"> </w:t>
      </w:r>
      <w:r>
        <w:rPr>
          <w:sz w:val="14"/>
        </w:rPr>
        <w:t>Comité</w:t>
      </w:r>
      <w:r>
        <w:rPr>
          <w:spacing w:val="-10"/>
          <w:sz w:val="14"/>
        </w:rPr>
        <w:t xml:space="preserve"> </w:t>
      </w:r>
      <w:r>
        <w:rPr>
          <w:sz w:val="14"/>
        </w:rPr>
        <w:t>para</w:t>
      </w:r>
      <w:r>
        <w:rPr>
          <w:spacing w:val="-9"/>
          <w:sz w:val="14"/>
        </w:rPr>
        <w:t xml:space="preserve"> </w:t>
      </w:r>
      <w:r>
        <w:rPr>
          <w:sz w:val="14"/>
        </w:rPr>
        <w:t>la</w:t>
      </w:r>
      <w:r>
        <w:rPr>
          <w:spacing w:val="-10"/>
          <w:sz w:val="14"/>
        </w:rPr>
        <w:t xml:space="preserve"> </w:t>
      </w:r>
      <w:r>
        <w:rPr>
          <w:sz w:val="14"/>
        </w:rPr>
        <w:t>Eliminación</w:t>
      </w:r>
      <w:r>
        <w:rPr>
          <w:spacing w:val="-9"/>
          <w:sz w:val="14"/>
        </w:rPr>
        <w:t xml:space="preserve"> </w:t>
      </w:r>
      <w:r>
        <w:rPr>
          <w:sz w:val="14"/>
        </w:rPr>
        <w:t>de</w:t>
      </w:r>
      <w:r>
        <w:rPr>
          <w:spacing w:val="-10"/>
          <w:sz w:val="14"/>
        </w:rPr>
        <w:t xml:space="preserve"> </w:t>
      </w:r>
      <w:r>
        <w:rPr>
          <w:sz w:val="14"/>
        </w:rPr>
        <w:t>la</w:t>
      </w:r>
      <w:r>
        <w:rPr>
          <w:spacing w:val="40"/>
          <w:sz w:val="14"/>
        </w:rPr>
        <w:t xml:space="preserve"> </w:t>
      </w:r>
      <w:r>
        <w:rPr>
          <w:spacing w:val="-2"/>
          <w:sz w:val="14"/>
        </w:rPr>
        <w:t xml:space="preserve">Discriminación Racial, recomendación general núm. 30 (2005), </w:t>
      </w:r>
      <w:proofErr w:type="spellStart"/>
      <w:r>
        <w:rPr>
          <w:spacing w:val="-2"/>
          <w:sz w:val="14"/>
        </w:rPr>
        <w:t>párrs</w:t>
      </w:r>
      <w:proofErr w:type="spellEnd"/>
      <w:r>
        <w:rPr>
          <w:spacing w:val="-2"/>
          <w:sz w:val="14"/>
        </w:rPr>
        <w:t>. 18–24; y Comité de Derechos Económicos, Sociales y Culturales,</w:t>
      </w:r>
      <w:r>
        <w:rPr>
          <w:spacing w:val="40"/>
          <w:sz w:val="14"/>
        </w:rPr>
        <w:t xml:space="preserve"> </w:t>
      </w:r>
      <w:r>
        <w:rPr>
          <w:sz w:val="14"/>
        </w:rPr>
        <w:t>observación</w:t>
      </w:r>
      <w:r>
        <w:rPr>
          <w:spacing w:val="-3"/>
          <w:sz w:val="14"/>
        </w:rPr>
        <w:t xml:space="preserve"> </w:t>
      </w:r>
      <w:r>
        <w:rPr>
          <w:sz w:val="14"/>
        </w:rPr>
        <w:t>general</w:t>
      </w:r>
      <w:r>
        <w:rPr>
          <w:spacing w:val="-3"/>
          <w:sz w:val="14"/>
        </w:rPr>
        <w:t xml:space="preserve"> </w:t>
      </w:r>
      <w:r>
        <w:rPr>
          <w:sz w:val="14"/>
        </w:rPr>
        <w:t>núm.</w:t>
      </w:r>
      <w:r>
        <w:rPr>
          <w:spacing w:val="-3"/>
          <w:sz w:val="14"/>
        </w:rPr>
        <w:t xml:space="preserve"> </w:t>
      </w:r>
      <w:r>
        <w:rPr>
          <w:sz w:val="14"/>
        </w:rPr>
        <w:t>20</w:t>
      </w:r>
      <w:r>
        <w:rPr>
          <w:spacing w:val="-3"/>
          <w:sz w:val="14"/>
        </w:rPr>
        <w:t xml:space="preserve"> </w:t>
      </w:r>
      <w:r>
        <w:rPr>
          <w:sz w:val="14"/>
        </w:rPr>
        <w:t>(2009),</w:t>
      </w:r>
      <w:r>
        <w:rPr>
          <w:spacing w:val="-3"/>
          <w:sz w:val="14"/>
        </w:rPr>
        <w:t xml:space="preserve"> </w:t>
      </w:r>
      <w:r>
        <w:rPr>
          <w:sz w:val="14"/>
        </w:rPr>
        <w:t>párr.</w:t>
      </w:r>
      <w:r>
        <w:rPr>
          <w:spacing w:val="-3"/>
          <w:sz w:val="14"/>
        </w:rPr>
        <w:t xml:space="preserve"> </w:t>
      </w:r>
      <w:r>
        <w:rPr>
          <w:sz w:val="14"/>
        </w:rPr>
        <w:t>30.</w:t>
      </w:r>
      <w:r>
        <w:rPr>
          <w:spacing w:val="-3"/>
          <w:sz w:val="14"/>
        </w:rPr>
        <w:t xml:space="preserve"> </w:t>
      </w:r>
      <w:r>
        <w:rPr>
          <w:sz w:val="14"/>
        </w:rPr>
        <w:t>Véase</w:t>
      </w:r>
      <w:r>
        <w:rPr>
          <w:spacing w:val="-3"/>
          <w:sz w:val="14"/>
        </w:rPr>
        <w:t xml:space="preserve"> </w:t>
      </w:r>
      <w:r>
        <w:rPr>
          <w:sz w:val="14"/>
        </w:rPr>
        <w:t>la</w:t>
      </w:r>
      <w:r>
        <w:rPr>
          <w:spacing w:val="-3"/>
          <w:sz w:val="14"/>
        </w:rPr>
        <w:t xml:space="preserve"> </w:t>
      </w:r>
      <w:r>
        <w:rPr>
          <w:sz w:val="14"/>
        </w:rPr>
        <w:t>sección</w:t>
      </w:r>
      <w:r>
        <w:rPr>
          <w:spacing w:val="-3"/>
          <w:sz w:val="14"/>
        </w:rPr>
        <w:t xml:space="preserve"> </w:t>
      </w:r>
      <w:r>
        <w:rPr>
          <w:sz w:val="14"/>
        </w:rPr>
        <w:t>IA1(a)</w:t>
      </w:r>
      <w:r>
        <w:rPr>
          <w:spacing w:val="-3"/>
          <w:sz w:val="14"/>
        </w:rPr>
        <w:t xml:space="preserve"> </w:t>
      </w:r>
      <w:r>
        <w:rPr>
          <w:sz w:val="14"/>
        </w:rPr>
        <w:t>de</w:t>
      </w:r>
      <w:r>
        <w:rPr>
          <w:spacing w:val="-3"/>
          <w:sz w:val="14"/>
        </w:rPr>
        <w:t xml:space="preserve"> </w:t>
      </w:r>
      <w:r>
        <w:rPr>
          <w:sz w:val="14"/>
        </w:rPr>
        <w:t>la</w:t>
      </w:r>
      <w:r>
        <w:rPr>
          <w:spacing w:val="-3"/>
          <w:sz w:val="14"/>
        </w:rPr>
        <w:t xml:space="preserve"> </w:t>
      </w:r>
      <w:r>
        <w:rPr>
          <w:sz w:val="14"/>
        </w:rPr>
        <w:t>segunda</w:t>
      </w:r>
      <w:r>
        <w:rPr>
          <w:spacing w:val="-3"/>
          <w:sz w:val="14"/>
        </w:rPr>
        <w:t xml:space="preserve"> </w:t>
      </w:r>
      <w:r>
        <w:rPr>
          <w:sz w:val="14"/>
        </w:rPr>
        <w:t>parte</w:t>
      </w:r>
      <w:r>
        <w:rPr>
          <w:spacing w:val="-3"/>
          <w:sz w:val="14"/>
        </w:rPr>
        <w:t xml:space="preserve"> </w:t>
      </w:r>
      <w:r>
        <w:rPr>
          <w:sz w:val="14"/>
        </w:rPr>
        <w:t>de</w:t>
      </w:r>
      <w:r>
        <w:rPr>
          <w:spacing w:val="-3"/>
          <w:sz w:val="14"/>
        </w:rPr>
        <w:t xml:space="preserve"> </w:t>
      </w:r>
      <w:r>
        <w:rPr>
          <w:sz w:val="14"/>
        </w:rPr>
        <w:t>la</w:t>
      </w:r>
      <w:r>
        <w:rPr>
          <w:spacing w:val="-3"/>
          <w:sz w:val="14"/>
        </w:rPr>
        <w:t xml:space="preserve"> </w:t>
      </w:r>
      <w:r>
        <w:rPr>
          <w:sz w:val="14"/>
        </w:rPr>
        <w:t>presente</w:t>
      </w:r>
      <w:r>
        <w:rPr>
          <w:spacing w:val="-3"/>
          <w:sz w:val="14"/>
        </w:rPr>
        <w:t xml:space="preserve"> </w:t>
      </w:r>
      <w:r>
        <w:rPr>
          <w:sz w:val="14"/>
        </w:rPr>
        <w:t>guía.</w:t>
      </w:r>
    </w:p>
    <w:p w14:paraId="0BF228E9" w14:textId="77777777" w:rsidR="0014798C" w:rsidRDefault="004E1F0B">
      <w:pPr>
        <w:spacing w:before="55"/>
        <w:ind w:left="80"/>
        <w:rPr>
          <w:sz w:val="14"/>
        </w:rPr>
      </w:pPr>
      <w:r>
        <w:rPr>
          <w:spacing w:val="-2"/>
          <w:sz w:val="14"/>
        </w:rPr>
        <w:t>Véase, por ejemplo, Comité para la Eliminación</w:t>
      </w:r>
      <w:r>
        <w:rPr>
          <w:spacing w:val="-1"/>
          <w:sz w:val="14"/>
        </w:rPr>
        <w:t xml:space="preserve"> </w:t>
      </w:r>
      <w:r>
        <w:rPr>
          <w:spacing w:val="-2"/>
          <w:sz w:val="14"/>
        </w:rPr>
        <w:t>de la Discriminación contra la Mujer, recomendación</w:t>
      </w:r>
      <w:r>
        <w:rPr>
          <w:spacing w:val="-1"/>
          <w:sz w:val="14"/>
        </w:rPr>
        <w:t xml:space="preserve"> </w:t>
      </w:r>
      <w:r>
        <w:rPr>
          <w:spacing w:val="-2"/>
          <w:sz w:val="14"/>
        </w:rPr>
        <w:t xml:space="preserve">general núm. 33 (2015), párr. 15 </w:t>
      </w:r>
      <w:r>
        <w:rPr>
          <w:spacing w:val="-4"/>
          <w:sz w:val="14"/>
        </w:rPr>
        <w:t>(g).</w:t>
      </w:r>
    </w:p>
    <w:p w14:paraId="64181BA1" w14:textId="77777777" w:rsidR="0014798C" w:rsidRDefault="0014798C">
      <w:pPr>
        <w:rPr>
          <w:sz w:val="14"/>
        </w:rPr>
        <w:sectPr w:rsidR="0014798C" w:rsidSect="00F265E4">
          <w:type w:val="continuous"/>
          <w:pgSz w:w="11900" w:h="16820"/>
          <w:pgMar w:top="40" w:right="0" w:bottom="280" w:left="200" w:header="121" w:footer="0" w:gutter="0"/>
          <w:cols w:num="2" w:space="720" w:equalWidth="0">
            <w:col w:w="1250" w:space="40"/>
            <w:col w:w="10410"/>
          </w:cols>
        </w:sectPr>
      </w:pPr>
    </w:p>
    <w:p w14:paraId="0BE8D70B" w14:textId="77777777" w:rsidR="0014798C" w:rsidRDefault="004E1F0B">
      <w:pPr>
        <w:spacing w:before="100"/>
        <w:ind w:left="1108"/>
        <w:rPr>
          <w:sz w:val="12"/>
        </w:rPr>
      </w:pPr>
      <w:r>
        <w:rPr>
          <w:w w:val="105"/>
          <w:sz w:val="12"/>
        </w:rPr>
        <w:t>644</w:t>
      </w:r>
      <w:r>
        <w:rPr>
          <w:spacing w:val="-6"/>
          <w:w w:val="105"/>
          <w:sz w:val="12"/>
        </w:rPr>
        <w:t xml:space="preserve"> </w:t>
      </w:r>
      <w:proofErr w:type="spellStart"/>
      <w:r>
        <w:rPr>
          <w:w w:val="105"/>
          <w:sz w:val="12"/>
        </w:rPr>
        <w:t>Ibíd</w:t>
      </w:r>
      <w:proofErr w:type="spellEnd"/>
      <w:r>
        <w:rPr>
          <w:w w:val="105"/>
          <w:sz w:val="12"/>
        </w:rPr>
        <w:t>.,</w:t>
      </w:r>
      <w:r>
        <w:rPr>
          <w:spacing w:val="-6"/>
          <w:w w:val="105"/>
          <w:sz w:val="12"/>
        </w:rPr>
        <w:t xml:space="preserve"> </w:t>
      </w:r>
      <w:r>
        <w:rPr>
          <w:w w:val="105"/>
          <w:sz w:val="12"/>
        </w:rPr>
        <w:t>párr.</w:t>
      </w:r>
      <w:r>
        <w:rPr>
          <w:spacing w:val="-6"/>
          <w:w w:val="105"/>
          <w:sz w:val="12"/>
        </w:rPr>
        <w:t xml:space="preserve"> </w:t>
      </w:r>
      <w:r>
        <w:rPr>
          <w:w w:val="105"/>
          <w:sz w:val="12"/>
        </w:rPr>
        <w:t>15</w:t>
      </w:r>
      <w:r>
        <w:rPr>
          <w:spacing w:val="-6"/>
          <w:w w:val="105"/>
          <w:sz w:val="12"/>
        </w:rPr>
        <w:t xml:space="preserve"> </w:t>
      </w:r>
      <w:r>
        <w:rPr>
          <w:spacing w:val="-4"/>
          <w:w w:val="105"/>
          <w:sz w:val="12"/>
        </w:rPr>
        <w:t>(h).</w:t>
      </w:r>
    </w:p>
    <w:p w14:paraId="7E8E7584" w14:textId="77777777" w:rsidR="0014798C" w:rsidRDefault="004E1F0B">
      <w:pPr>
        <w:spacing w:before="98"/>
        <w:ind w:left="1108"/>
        <w:rPr>
          <w:sz w:val="12"/>
        </w:rPr>
      </w:pPr>
      <w:r>
        <w:rPr>
          <w:w w:val="105"/>
          <w:sz w:val="12"/>
        </w:rPr>
        <w:t>645</w:t>
      </w:r>
      <w:r>
        <w:rPr>
          <w:spacing w:val="-6"/>
          <w:w w:val="105"/>
          <w:sz w:val="12"/>
        </w:rPr>
        <w:t xml:space="preserve"> </w:t>
      </w:r>
      <w:proofErr w:type="spellStart"/>
      <w:r>
        <w:rPr>
          <w:w w:val="105"/>
          <w:sz w:val="12"/>
        </w:rPr>
        <w:t>Ibíd</w:t>
      </w:r>
      <w:proofErr w:type="spellEnd"/>
      <w:r>
        <w:rPr>
          <w:w w:val="105"/>
          <w:sz w:val="12"/>
        </w:rPr>
        <w:t>.,</w:t>
      </w:r>
      <w:r>
        <w:rPr>
          <w:spacing w:val="-6"/>
          <w:w w:val="105"/>
          <w:sz w:val="12"/>
        </w:rPr>
        <w:t xml:space="preserve"> </w:t>
      </w:r>
      <w:r>
        <w:rPr>
          <w:w w:val="105"/>
          <w:sz w:val="12"/>
        </w:rPr>
        <w:t>párr.</w:t>
      </w:r>
      <w:r>
        <w:rPr>
          <w:spacing w:val="-6"/>
          <w:w w:val="105"/>
          <w:sz w:val="12"/>
        </w:rPr>
        <w:t xml:space="preserve"> </w:t>
      </w:r>
      <w:r>
        <w:rPr>
          <w:w w:val="105"/>
          <w:sz w:val="12"/>
        </w:rPr>
        <w:t>18</w:t>
      </w:r>
      <w:r>
        <w:rPr>
          <w:spacing w:val="-6"/>
          <w:w w:val="105"/>
          <w:sz w:val="12"/>
        </w:rPr>
        <w:t xml:space="preserve"> </w:t>
      </w:r>
      <w:r>
        <w:rPr>
          <w:spacing w:val="-4"/>
          <w:w w:val="105"/>
          <w:sz w:val="12"/>
        </w:rPr>
        <w:t>(g).</w:t>
      </w:r>
    </w:p>
    <w:p w14:paraId="3A3F55D2" w14:textId="77777777" w:rsidR="0014798C" w:rsidRDefault="004E1F0B">
      <w:pPr>
        <w:spacing w:before="99"/>
        <w:ind w:left="1108"/>
        <w:rPr>
          <w:sz w:val="12"/>
        </w:rPr>
      </w:pPr>
      <w:r>
        <w:rPr>
          <w:w w:val="105"/>
          <w:sz w:val="12"/>
        </w:rPr>
        <w:t>646</w:t>
      </w:r>
      <w:r>
        <w:rPr>
          <w:spacing w:val="-8"/>
          <w:w w:val="105"/>
          <w:sz w:val="12"/>
        </w:rPr>
        <w:t xml:space="preserve"> </w:t>
      </w:r>
      <w:r>
        <w:rPr>
          <w:w w:val="105"/>
          <w:sz w:val="12"/>
        </w:rPr>
        <w:t>Comité</w:t>
      </w:r>
      <w:r>
        <w:rPr>
          <w:spacing w:val="-7"/>
          <w:w w:val="105"/>
          <w:sz w:val="12"/>
        </w:rPr>
        <w:t xml:space="preserve"> </w:t>
      </w:r>
      <w:r>
        <w:rPr>
          <w:w w:val="105"/>
          <w:sz w:val="12"/>
        </w:rPr>
        <w:t>sobre</w:t>
      </w:r>
      <w:r>
        <w:rPr>
          <w:spacing w:val="-8"/>
          <w:w w:val="105"/>
          <w:sz w:val="12"/>
        </w:rPr>
        <w:t xml:space="preserve"> </w:t>
      </w:r>
      <w:r>
        <w:rPr>
          <w:w w:val="105"/>
          <w:sz w:val="12"/>
        </w:rPr>
        <w:t>los</w:t>
      </w:r>
      <w:r>
        <w:rPr>
          <w:spacing w:val="-7"/>
          <w:w w:val="105"/>
          <w:sz w:val="12"/>
        </w:rPr>
        <w:t xml:space="preserve"> </w:t>
      </w:r>
      <w:r>
        <w:rPr>
          <w:w w:val="105"/>
          <w:sz w:val="12"/>
        </w:rPr>
        <w:t>Derechos</w:t>
      </w:r>
      <w:r>
        <w:rPr>
          <w:spacing w:val="-8"/>
          <w:w w:val="105"/>
          <w:sz w:val="12"/>
        </w:rPr>
        <w:t xml:space="preserve"> </w:t>
      </w:r>
      <w:r>
        <w:rPr>
          <w:w w:val="105"/>
          <w:sz w:val="12"/>
        </w:rPr>
        <w:t>de</w:t>
      </w:r>
      <w:r>
        <w:rPr>
          <w:spacing w:val="-7"/>
          <w:w w:val="105"/>
          <w:sz w:val="12"/>
        </w:rPr>
        <w:t xml:space="preserve"> </w:t>
      </w:r>
      <w:r>
        <w:rPr>
          <w:w w:val="105"/>
          <w:sz w:val="12"/>
        </w:rPr>
        <w:t>las</w:t>
      </w:r>
      <w:r>
        <w:rPr>
          <w:spacing w:val="-7"/>
          <w:w w:val="105"/>
          <w:sz w:val="12"/>
        </w:rPr>
        <w:t xml:space="preserve"> </w:t>
      </w:r>
      <w:r>
        <w:rPr>
          <w:w w:val="105"/>
          <w:sz w:val="12"/>
        </w:rPr>
        <w:t>Personas</w:t>
      </w:r>
      <w:r>
        <w:rPr>
          <w:spacing w:val="-8"/>
          <w:w w:val="105"/>
          <w:sz w:val="12"/>
        </w:rPr>
        <w:t xml:space="preserve"> </w:t>
      </w:r>
      <w:r>
        <w:rPr>
          <w:w w:val="105"/>
          <w:sz w:val="12"/>
        </w:rPr>
        <w:t>con</w:t>
      </w:r>
      <w:r>
        <w:rPr>
          <w:spacing w:val="-7"/>
          <w:w w:val="105"/>
          <w:sz w:val="12"/>
        </w:rPr>
        <w:t xml:space="preserve"> </w:t>
      </w:r>
      <w:r>
        <w:rPr>
          <w:w w:val="105"/>
          <w:sz w:val="12"/>
        </w:rPr>
        <w:t>Discapacidad,</w:t>
      </w:r>
      <w:r>
        <w:rPr>
          <w:spacing w:val="-7"/>
          <w:w w:val="105"/>
          <w:sz w:val="12"/>
        </w:rPr>
        <w:t xml:space="preserve"> </w:t>
      </w:r>
      <w:r>
        <w:rPr>
          <w:w w:val="105"/>
          <w:sz w:val="12"/>
        </w:rPr>
        <w:t>observación</w:t>
      </w:r>
      <w:r>
        <w:rPr>
          <w:spacing w:val="-7"/>
          <w:w w:val="105"/>
          <w:sz w:val="12"/>
        </w:rPr>
        <w:t xml:space="preserve"> </w:t>
      </w:r>
      <w:r>
        <w:rPr>
          <w:w w:val="105"/>
          <w:sz w:val="12"/>
        </w:rPr>
        <w:t>general</w:t>
      </w:r>
      <w:r>
        <w:rPr>
          <w:spacing w:val="-8"/>
          <w:w w:val="105"/>
          <w:sz w:val="12"/>
        </w:rPr>
        <w:t xml:space="preserve"> </w:t>
      </w:r>
      <w:r>
        <w:rPr>
          <w:w w:val="105"/>
          <w:sz w:val="12"/>
        </w:rPr>
        <w:t>núm.</w:t>
      </w:r>
      <w:r>
        <w:rPr>
          <w:spacing w:val="-7"/>
          <w:w w:val="105"/>
          <w:sz w:val="12"/>
        </w:rPr>
        <w:t xml:space="preserve"> </w:t>
      </w:r>
      <w:r>
        <w:rPr>
          <w:w w:val="105"/>
          <w:sz w:val="12"/>
        </w:rPr>
        <w:t>6</w:t>
      </w:r>
      <w:r>
        <w:rPr>
          <w:spacing w:val="-7"/>
          <w:w w:val="105"/>
          <w:sz w:val="12"/>
        </w:rPr>
        <w:t xml:space="preserve"> </w:t>
      </w:r>
      <w:r>
        <w:rPr>
          <w:w w:val="105"/>
          <w:sz w:val="12"/>
        </w:rPr>
        <w:t>(2018),</w:t>
      </w:r>
      <w:r>
        <w:rPr>
          <w:spacing w:val="-8"/>
          <w:w w:val="105"/>
          <w:sz w:val="12"/>
        </w:rPr>
        <w:t xml:space="preserve"> </w:t>
      </w:r>
      <w:r>
        <w:rPr>
          <w:w w:val="105"/>
          <w:sz w:val="12"/>
        </w:rPr>
        <w:t>párr.</w:t>
      </w:r>
      <w:r>
        <w:rPr>
          <w:spacing w:val="-7"/>
          <w:w w:val="105"/>
          <w:sz w:val="12"/>
        </w:rPr>
        <w:t xml:space="preserve"> </w:t>
      </w:r>
      <w:r>
        <w:rPr>
          <w:spacing w:val="-2"/>
          <w:w w:val="105"/>
          <w:sz w:val="12"/>
        </w:rPr>
        <w:t>73(i).</w:t>
      </w:r>
    </w:p>
    <w:p w14:paraId="2ACC1F59" w14:textId="77777777" w:rsidR="0014798C" w:rsidRDefault="004E1F0B">
      <w:pPr>
        <w:spacing w:before="98"/>
        <w:ind w:left="1108"/>
        <w:rPr>
          <w:sz w:val="12"/>
        </w:rPr>
      </w:pPr>
      <w:r>
        <w:rPr>
          <w:w w:val="105"/>
          <w:sz w:val="12"/>
        </w:rPr>
        <w:t>647</w:t>
      </w:r>
      <w:r>
        <w:rPr>
          <w:spacing w:val="-8"/>
          <w:w w:val="105"/>
          <w:sz w:val="12"/>
        </w:rPr>
        <w:t xml:space="preserve"> </w:t>
      </w:r>
      <w:r>
        <w:rPr>
          <w:w w:val="105"/>
          <w:sz w:val="12"/>
        </w:rPr>
        <w:t>Comité</w:t>
      </w:r>
      <w:r>
        <w:rPr>
          <w:spacing w:val="-8"/>
          <w:w w:val="105"/>
          <w:sz w:val="12"/>
        </w:rPr>
        <w:t xml:space="preserve"> </w:t>
      </w:r>
      <w:r>
        <w:rPr>
          <w:w w:val="105"/>
          <w:sz w:val="12"/>
        </w:rPr>
        <w:t>para</w:t>
      </w:r>
      <w:r>
        <w:rPr>
          <w:spacing w:val="-8"/>
          <w:w w:val="105"/>
          <w:sz w:val="12"/>
        </w:rPr>
        <w:t xml:space="preserve"> </w:t>
      </w:r>
      <w:r>
        <w:rPr>
          <w:w w:val="105"/>
          <w:sz w:val="12"/>
        </w:rPr>
        <w:t>la</w:t>
      </w:r>
      <w:r>
        <w:rPr>
          <w:spacing w:val="-8"/>
          <w:w w:val="105"/>
          <w:sz w:val="12"/>
        </w:rPr>
        <w:t xml:space="preserve"> </w:t>
      </w:r>
      <w:r>
        <w:rPr>
          <w:w w:val="105"/>
          <w:sz w:val="12"/>
        </w:rPr>
        <w:t>Eliminación</w:t>
      </w:r>
      <w:r>
        <w:rPr>
          <w:spacing w:val="-8"/>
          <w:w w:val="105"/>
          <w:sz w:val="12"/>
        </w:rPr>
        <w:t xml:space="preserve"> </w:t>
      </w:r>
      <w:r>
        <w:rPr>
          <w:w w:val="105"/>
          <w:sz w:val="12"/>
        </w:rPr>
        <w:t>de</w:t>
      </w:r>
      <w:r>
        <w:rPr>
          <w:spacing w:val="-8"/>
          <w:w w:val="105"/>
          <w:sz w:val="12"/>
        </w:rPr>
        <w:t xml:space="preserve"> </w:t>
      </w:r>
      <w:r>
        <w:rPr>
          <w:w w:val="105"/>
          <w:sz w:val="12"/>
        </w:rPr>
        <w:t>la</w:t>
      </w:r>
      <w:r>
        <w:rPr>
          <w:spacing w:val="-8"/>
          <w:w w:val="105"/>
          <w:sz w:val="12"/>
        </w:rPr>
        <w:t xml:space="preserve"> </w:t>
      </w:r>
      <w:r>
        <w:rPr>
          <w:w w:val="105"/>
          <w:sz w:val="12"/>
        </w:rPr>
        <w:t>Discriminación</w:t>
      </w:r>
      <w:r>
        <w:rPr>
          <w:spacing w:val="-8"/>
          <w:w w:val="105"/>
          <w:sz w:val="12"/>
        </w:rPr>
        <w:t xml:space="preserve"> </w:t>
      </w:r>
      <w:r>
        <w:rPr>
          <w:w w:val="105"/>
          <w:sz w:val="12"/>
        </w:rPr>
        <w:t>contra</w:t>
      </w:r>
      <w:r>
        <w:rPr>
          <w:spacing w:val="-8"/>
          <w:w w:val="105"/>
          <w:sz w:val="12"/>
        </w:rPr>
        <w:t xml:space="preserve"> </w:t>
      </w:r>
      <w:r>
        <w:rPr>
          <w:w w:val="105"/>
          <w:sz w:val="12"/>
        </w:rPr>
        <w:t>la</w:t>
      </w:r>
      <w:r>
        <w:rPr>
          <w:spacing w:val="-8"/>
          <w:w w:val="105"/>
          <w:sz w:val="12"/>
        </w:rPr>
        <w:t xml:space="preserve"> </w:t>
      </w:r>
      <w:r>
        <w:rPr>
          <w:w w:val="105"/>
          <w:sz w:val="12"/>
        </w:rPr>
        <w:t>Mujer,</w:t>
      </w:r>
      <w:r>
        <w:rPr>
          <w:spacing w:val="-8"/>
          <w:w w:val="105"/>
          <w:sz w:val="12"/>
        </w:rPr>
        <w:t xml:space="preserve"> </w:t>
      </w:r>
      <w:r>
        <w:rPr>
          <w:w w:val="105"/>
          <w:sz w:val="12"/>
        </w:rPr>
        <w:t>recomendación</w:t>
      </w:r>
      <w:r>
        <w:rPr>
          <w:spacing w:val="-8"/>
          <w:w w:val="105"/>
          <w:sz w:val="12"/>
        </w:rPr>
        <w:t xml:space="preserve"> </w:t>
      </w:r>
      <w:r>
        <w:rPr>
          <w:w w:val="105"/>
          <w:sz w:val="12"/>
        </w:rPr>
        <w:t>general</w:t>
      </w:r>
      <w:r>
        <w:rPr>
          <w:spacing w:val="-8"/>
          <w:w w:val="105"/>
          <w:sz w:val="12"/>
        </w:rPr>
        <w:t xml:space="preserve"> </w:t>
      </w:r>
      <w:r>
        <w:rPr>
          <w:w w:val="105"/>
          <w:sz w:val="12"/>
        </w:rPr>
        <w:t>núm.</w:t>
      </w:r>
      <w:r>
        <w:rPr>
          <w:spacing w:val="-8"/>
          <w:w w:val="105"/>
          <w:sz w:val="12"/>
        </w:rPr>
        <w:t xml:space="preserve"> </w:t>
      </w:r>
      <w:r>
        <w:rPr>
          <w:w w:val="105"/>
          <w:sz w:val="12"/>
        </w:rPr>
        <w:t>33</w:t>
      </w:r>
      <w:r>
        <w:rPr>
          <w:spacing w:val="-8"/>
          <w:w w:val="105"/>
          <w:sz w:val="12"/>
        </w:rPr>
        <w:t xml:space="preserve"> </w:t>
      </w:r>
      <w:r>
        <w:rPr>
          <w:w w:val="105"/>
          <w:sz w:val="12"/>
        </w:rPr>
        <w:t>(2015),</w:t>
      </w:r>
      <w:r>
        <w:rPr>
          <w:spacing w:val="-8"/>
          <w:w w:val="105"/>
          <w:sz w:val="12"/>
        </w:rPr>
        <w:t xml:space="preserve"> </w:t>
      </w:r>
      <w:r>
        <w:rPr>
          <w:w w:val="105"/>
          <w:sz w:val="12"/>
        </w:rPr>
        <w:t>párr.</w:t>
      </w:r>
      <w:r>
        <w:rPr>
          <w:spacing w:val="-8"/>
          <w:w w:val="105"/>
          <w:sz w:val="12"/>
        </w:rPr>
        <w:t xml:space="preserve"> </w:t>
      </w:r>
      <w:r>
        <w:rPr>
          <w:w w:val="105"/>
          <w:sz w:val="12"/>
        </w:rPr>
        <w:t>25</w:t>
      </w:r>
      <w:r>
        <w:rPr>
          <w:spacing w:val="-7"/>
          <w:w w:val="105"/>
          <w:sz w:val="12"/>
        </w:rPr>
        <w:t xml:space="preserve"> </w:t>
      </w:r>
      <w:r>
        <w:rPr>
          <w:w w:val="105"/>
          <w:sz w:val="12"/>
        </w:rPr>
        <w:t>(a)</w:t>
      </w:r>
      <w:r>
        <w:rPr>
          <w:spacing w:val="-8"/>
          <w:w w:val="105"/>
          <w:sz w:val="12"/>
        </w:rPr>
        <w:t xml:space="preserve"> </w:t>
      </w:r>
      <w:r>
        <w:rPr>
          <w:spacing w:val="-2"/>
          <w:w w:val="105"/>
          <w:sz w:val="12"/>
        </w:rPr>
        <w:t>(</w:t>
      </w:r>
      <w:proofErr w:type="spellStart"/>
      <w:r>
        <w:rPr>
          <w:spacing w:val="-2"/>
          <w:w w:val="105"/>
          <w:sz w:val="12"/>
        </w:rPr>
        <w:t>iv</w:t>
      </w:r>
      <w:proofErr w:type="spellEnd"/>
      <w:r>
        <w:rPr>
          <w:spacing w:val="-2"/>
          <w:w w:val="105"/>
          <w:sz w:val="12"/>
        </w:rPr>
        <w:t>).</w:t>
      </w:r>
    </w:p>
    <w:p w14:paraId="73DB6CCD" w14:textId="77777777" w:rsidR="0014798C" w:rsidRDefault="004E1F0B">
      <w:pPr>
        <w:spacing w:before="99"/>
        <w:ind w:left="1108"/>
        <w:rPr>
          <w:sz w:val="12"/>
        </w:rPr>
      </w:pPr>
      <w:r>
        <w:rPr>
          <w:w w:val="105"/>
          <w:sz w:val="12"/>
        </w:rPr>
        <w:t>648</w:t>
      </w:r>
      <w:r>
        <w:rPr>
          <w:spacing w:val="-8"/>
          <w:w w:val="105"/>
          <w:sz w:val="12"/>
        </w:rPr>
        <w:t xml:space="preserve"> </w:t>
      </w:r>
      <w:r>
        <w:rPr>
          <w:w w:val="105"/>
          <w:sz w:val="12"/>
        </w:rPr>
        <w:t>Comité</w:t>
      </w:r>
      <w:r>
        <w:rPr>
          <w:spacing w:val="-7"/>
          <w:w w:val="105"/>
          <w:sz w:val="12"/>
        </w:rPr>
        <w:t xml:space="preserve"> </w:t>
      </w:r>
      <w:r>
        <w:rPr>
          <w:w w:val="105"/>
          <w:sz w:val="12"/>
        </w:rPr>
        <w:t>sobre</w:t>
      </w:r>
      <w:r>
        <w:rPr>
          <w:spacing w:val="-8"/>
          <w:w w:val="105"/>
          <w:sz w:val="12"/>
        </w:rPr>
        <w:t xml:space="preserve"> </w:t>
      </w:r>
      <w:r>
        <w:rPr>
          <w:w w:val="105"/>
          <w:sz w:val="12"/>
        </w:rPr>
        <w:t>los</w:t>
      </w:r>
      <w:r>
        <w:rPr>
          <w:spacing w:val="-7"/>
          <w:w w:val="105"/>
          <w:sz w:val="12"/>
        </w:rPr>
        <w:t xml:space="preserve"> </w:t>
      </w:r>
      <w:r>
        <w:rPr>
          <w:w w:val="105"/>
          <w:sz w:val="12"/>
        </w:rPr>
        <w:t>Derechos</w:t>
      </w:r>
      <w:r>
        <w:rPr>
          <w:spacing w:val="-8"/>
          <w:w w:val="105"/>
          <w:sz w:val="12"/>
        </w:rPr>
        <w:t xml:space="preserve"> </w:t>
      </w:r>
      <w:r>
        <w:rPr>
          <w:w w:val="105"/>
          <w:sz w:val="12"/>
        </w:rPr>
        <w:t>de</w:t>
      </w:r>
      <w:r>
        <w:rPr>
          <w:spacing w:val="-7"/>
          <w:w w:val="105"/>
          <w:sz w:val="12"/>
        </w:rPr>
        <w:t xml:space="preserve"> </w:t>
      </w:r>
      <w:r>
        <w:rPr>
          <w:w w:val="105"/>
          <w:sz w:val="12"/>
        </w:rPr>
        <w:t>las</w:t>
      </w:r>
      <w:r>
        <w:rPr>
          <w:spacing w:val="-7"/>
          <w:w w:val="105"/>
          <w:sz w:val="12"/>
        </w:rPr>
        <w:t xml:space="preserve"> </w:t>
      </w:r>
      <w:r>
        <w:rPr>
          <w:w w:val="105"/>
          <w:sz w:val="12"/>
        </w:rPr>
        <w:t>Personas</w:t>
      </w:r>
      <w:r>
        <w:rPr>
          <w:spacing w:val="-8"/>
          <w:w w:val="105"/>
          <w:sz w:val="12"/>
        </w:rPr>
        <w:t xml:space="preserve"> </w:t>
      </w:r>
      <w:r>
        <w:rPr>
          <w:w w:val="105"/>
          <w:sz w:val="12"/>
        </w:rPr>
        <w:t>con</w:t>
      </w:r>
      <w:r>
        <w:rPr>
          <w:spacing w:val="-7"/>
          <w:w w:val="105"/>
          <w:sz w:val="12"/>
        </w:rPr>
        <w:t xml:space="preserve"> </w:t>
      </w:r>
      <w:r>
        <w:rPr>
          <w:w w:val="105"/>
          <w:sz w:val="12"/>
        </w:rPr>
        <w:t>Discapacidad,</w:t>
      </w:r>
      <w:r>
        <w:rPr>
          <w:spacing w:val="-7"/>
          <w:w w:val="105"/>
          <w:sz w:val="12"/>
        </w:rPr>
        <w:t xml:space="preserve"> </w:t>
      </w:r>
      <w:r>
        <w:rPr>
          <w:w w:val="105"/>
          <w:sz w:val="12"/>
        </w:rPr>
        <w:t>observación</w:t>
      </w:r>
      <w:r>
        <w:rPr>
          <w:spacing w:val="-7"/>
          <w:w w:val="105"/>
          <w:sz w:val="12"/>
        </w:rPr>
        <w:t xml:space="preserve"> </w:t>
      </w:r>
      <w:r>
        <w:rPr>
          <w:w w:val="105"/>
          <w:sz w:val="12"/>
        </w:rPr>
        <w:t>general</w:t>
      </w:r>
      <w:r>
        <w:rPr>
          <w:spacing w:val="-8"/>
          <w:w w:val="105"/>
          <w:sz w:val="12"/>
        </w:rPr>
        <w:t xml:space="preserve"> </w:t>
      </w:r>
      <w:r>
        <w:rPr>
          <w:w w:val="105"/>
          <w:sz w:val="12"/>
        </w:rPr>
        <w:t>núm.</w:t>
      </w:r>
      <w:r>
        <w:rPr>
          <w:spacing w:val="-7"/>
          <w:w w:val="105"/>
          <w:sz w:val="12"/>
        </w:rPr>
        <w:t xml:space="preserve"> </w:t>
      </w:r>
      <w:r>
        <w:rPr>
          <w:w w:val="105"/>
          <w:sz w:val="12"/>
        </w:rPr>
        <w:t>1</w:t>
      </w:r>
      <w:r>
        <w:rPr>
          <w:spacing w:val="-7"/>
          <w:w w:val="105"/>
          <w:sz w:val="12"/>
        </w:rPr>
        <w:t xml:space="preserve"> </w:t>
      </w:r>
      <w:r>
        <w:rPr>
          <w:w w:val="105"/>
          <w:sz w:val="12"/>
        </w:rPr>
        <w:t>(2014),</w:t>
      </w:r>
      <w:r>
        <w:rPr>
          <w:spacing w:val="-8"/>
          <w:w w:val="105"/>
          <w:sz w:val="12"/>
        </w:rPr>
        <w:t xml:space="preserve"> </w:t>
      </w:r>
      <w:r>
        <w:rPr>
          <w:w w:val="105"/>
          <w:sz w:val="12"/>
        </w:rPr>
        <w:t>párr.</w:t>
      </w:r>
      <w:r>
        <w:rPr>
          <w:spacing w:val="-7"/>
          <w:w w:val="105"/>
          <w:sz w:val="12"/>
        </w:rPr>
        <w:t xml:space="preserve"> </w:t>
      </w:r>
      <w:r>
        <w:rPr>
          <w:spacing w:val="-5"/>
          <w:w w:val="105"/>
          <w:sz w:val="12"/>
        </w:rPr>
        <w:t>39.</w:t>
      </w:r>
    </w:p>
    <w:p w14:paraId="43E9DBA6" w14:textId="77777777" w:rsidR="0014798C" w:rsidRDefault="0014798C">
      <w:pPr>
        <w:rPr>
          <w:sz w:val="12"/>
        </w:rPr>
        <w:sectPr w:rsidR="0014798C" w:rsidSect="00F265E4">
          <w:type w:val="continuous"/>
          <w:pgSz w:w="11900" w:h="16820"/>
          <w:pgMar w:top="40" w:right="0" w:bottom="280" w:left="200" w:header="121" w:footer="0" w:gutter="0"/>
          <w:cols w:space="720"/>
        </w:sectPr>
      </w:pPr>
    </w:p>
    <w:p w14:paraId="7D9C4DC9" w14:textId="77777777" w:rsidR="0014798C" w:rsidRDefault="004E1F0B">
      <w:pPr>
        <w:spacing w:before="53"/>
        <w:jc w:val="right"/>
        <w:rPr>
          <w:sz w:val="8"/>
        </w:rPr>
      </w:pPr>
      <w:r>
        <w:rPr>
          <w:spacing w:val="-5"/>
          <w:w w:val="105"/>
          <w:sz w:val="8"/>
        </w:rPr>
        <w:t>649</w:t>
      </w:r>
    </w:p>
    <w:p w14:paraId="70611A18" w14:textId="77777777" w:rsidR="0014798C" w:rsidRDefault="004E1F0B">
      <w:pPr>
        <w:spacing w:before="74"/>
        <w:ind w:left="80"/>
        <w:rPr>
          <w:sz w:val="14"/>
        </w:rPr>
      </w:pPr>
      <w:r>
        <w:br w:type="column"/>
      </w:r>
      <w:r>
        <w:rPr>
          <w:spacing w:val="-2"/>
          <w:sz w:val="14"/>
        </w:rPr>
        <w:t>Corte</w:t>
      </w:r>
      <w:r>
        <w:rPr>
          <w:spacing w:val="-3"/>
          <w:sz w:val="14"/>
        </w:rPr>
        <w:t xml:space="preserve"> </w:t>
      </w:r>
      <w:r>
        <w:rPr>
          <w:spacing w:val="-2"/>
          <w:sz w:val="14"/>
        </w:rPr>
        <w:t xml:space="preserve">Suprema de Canadá, R. v. DAI, 2012 SCC </w:t>
      </w:r>
      <w:r>
        <w:rPr>
          <w:spacing w:val="-5"/>
          <w:sz w:val="14"/>
        </w:rPr>
        <w:t>5.</w:t>
      </w:r>
    </w:p>
    <w:p w14:paraId="5832F125" w14:textId="77777777" w:rsidR="0014798C" w:rsidRDefault="0014798C">
      <w:pPr>
        <w:rPr>
          <w:sz w:val="14"/>
        </w:rPr>
        <w:sectPr w:rsidR="0014798C" w:rsidSect="00F265E4">
          <w:type w:val="continuous"/>
          <w:pgSz w:w="11900" w:h="16820"/>
          <w:pgMar w:top="40" w:right="0" w:bottom="280" w:left="200" w:header="121" w:footer="0" w:gutter="0"/>
          <w:cols w:num="2" w:space="720" w:equalWidth="0">
            <w:col w:w="1250" w:space="40"/>
            <w:col w:w="10410"/>
          </w:cols>
        </w:sectPr>
      </w:pPr>
    </w:p>
    <w:p w14:paraId="3559FDF8" w14:textId="77777777" w:rsidR="0014798C" w:rsidRDefault="004E1F0B">
      <w:pPr>
        <w:spacing w:before="100"/>
        <w:ind w:left="1108"/>
        <w:rPr>
          <w:sz w:val="12"/>
        </w:rPr>
      </w:pPr>
      <w:r>
        <w:rPr>
          <w:w w:val="105"/>
          <w:sz w:val="12"/>
        </w:rPr>
        <w:lastRenderedPageBreak/>
        <w:t>650</w:t>
      </w:r>
      <w:r>
        <w:rPr>
          <w:spacing w:val="-8"/>
          <w:w w:val="105"/>
          <w:sz w:val="12"/>
        </w:rPr>
        <w:t xml:space="preserve"> </w:t>
      </w:r>
      <w:r>
        <w:rPr>
          <w:w w:val="105"/>
          <w:sz w:val="12"/>
        </w:rPr>
        <w:t>Comité</w:t>
      </w:r>
      <w:r>
        <w:rPr>
          <w:spacing w:val="-7"/>
          <w:w w:val="105"/>
          <w:sz w:val="12"/>
        </w:rPr>
        <w:t xml:space="preserve"> </w:t>
      </w:r>
      <w:r>
        <w:rPr>
          <w:w w:val="105"/>
          <w:sz w:val="12"/>
        </w:rPr>
        <w:t>para</w:t>
      </w:r>
      <w:r>
        <w:rPr>
          <w:spacing w:val="-7"/>
          <w:w w:val="105"/>
          <w:sz w:val="12"/>
        </w:rPr>
        <w:t xml:space="preserve"> </w:t>
      </w:r>
      <w:r>
        <w:rPr>
          <w:w w:val="105"/>
          <w:sz w:val="12"/>
        </w:rPr>
        <w:t>la</w:t>
      </w:r>
      <w:r>
        <w:rPr>
          <w:spacing w:val="-7"/>
          <w:w w:val="105"/>
          <w:sz w:val="12"/>
        </w:rPr>
        <w:t xml:space="preserve"> </w:t>
      </w:r>
      <w:r>
        <w:rPr>
          <w:w w:val="105"/>
          <w:sz w:val="12"/>
        </w:rPr>
        <w:t>Eliminación</w:t>
      </w:r>
      <w:r>
        <w:rPr>
          <w:spacing w:val="-7"/>
          <w:w w:val="105"/>
          <w:sz w:val="12"/>
        </w:rPr>
        <w:t xml:space="preserve"> </w:t>
      </w:r>
      <w:r>
        <w:rPr>
          <w:w w:val="105"/>
          <w:sz w:val="12"/>
        </w:rPr>
        <w:t>de</w:t>
      </w:r>
      <w:r>
        <w:rPr>
          <w:spacing w:val="-7"/>
          <w:w w:val="105"/>
          <w:sz w:val="12"/>
        </w:rPr>
        <w:t xml:space="preserve"> </w:t>
      </w:r>
      <w:r>
        <w:rPr>
          <w:w w:val="105"/>
          <w:sz w:val="12"/>
        </w:rPr>
        <w:t>la</w:t>
      </w:r>
      <w:r>
        <w:rPr>
          <w:spacing w:val="-7"/>
          <w:w w:val="105"/>
          <w:sz w:val="12"/>
        </w:rPr>
        <w:t xml:space="preserve"> </w:t>
      </w:r>
      <w:r>
        <w:rPr>
          <w:w w:val="105"/>
          <w:sz w:val="12"/>
        </w:rPr>
        <w:t>Discriminación</w:t>
      </w:r>
      <w:r>
        <w:rPr>
          <w:spacing w:val="-7"/>
          <w:w w:val="105"/>
          <w:sz w:val="12"/>
        </w:rPr>
        <w:t xml:space="preserve"> </w:t>
      </w:r>
      <w:r>
        <w:rPr>
          <w:w w:val="105"/>
          <w:sz w:val="12"/>
        </w:rPr>
        <w:t>contra</w:t>
      </w:r>
      <w:r>
        <w:rPr>
          <w:spacing w:val="-7"/>
          <w:w w:val="105"/>
          <w:sz w:val="12"/>
        </w:rPr>
        <w:t xml:space="preserve"> </w:t>
      </w:r>
      <w:r>
        <w:rPr>
          <w:w w:val="105"/>
          <w:sz w:val="12"/>
        </w:rPr>
        <w:t>la</w:t>
      </w:r>
      <w:r>
        <w:rPr>
          <w:spacing w:val="-7"/>
          <w:w w:val="105"/>
          <w:sz w:val="12"/>
        </w:rPr>
        <w:t xml:space="preserve"> </w:t>
      </w:r>
      <w:r>
        <w:rPr>
          <w:w w:val="105"/>
          <w:sz w:val="12"/>
        </w:rPr>
        <w:t>Mujer,</w:t>
      </w:r>
      <w:r>
        <w:rPr>
          <w:spacing w:val="-8"/>
          <w:w w:val="105"/>
          <w:sz w:val="12"/>
        </w:rPr>
        <w:t xml:space="preserve"> </w:t>
      </w:r>
      <w:r>
        <w:rPr>
          <w:w w:val="105"/>
          <w:sz w:val="12"/>
        </w:rPr>
        <w:t>recomendación</w:t>
      </w:r>
      <w:r>
        <w:rPr>
          <w:spacing w:val="-7"/>
          <w:w w:val="105"/>
          <w:sz w:val="12"/>
        </w:rPr>
        <w:t xml:space="preserve"> </w:t>
      </w:r>
      <w:r>
        <w:rPr>
          <w:w w:val="105"/>
          <w:sz w:val="12"/>
        </w:rPr>
        <w:t>general</w:t>
      </w:r>
      <w:r>
        <w:rPr>
          <w:spacing w:val="-7"/>
          <w:w w:val="105"/>
          <w:sz w:val="12"/>
        </w:rPr>
        <w:t xml:space="preserve"> </w:t>
      </w:r>
      <w:r>
        <w:rPr>
          <w:w w:val="105"/>
          <w:sz w:val="12"/>
        </w:rPr>
        <w:t>núm.</w:t>
      </w:r>
      <w:r>
        <w:rPr>
          <w:spacing w:val="-7"/>
          <w:w w:val="105"/>
          <w:sz w:val="12"/>
        </w:rPr>
        <w:t xml:space="preserve"> </w:t>
      </w:r>
      <w:r>
        <w:rPr>
          <w:w w:val="105"/>
          <w:sz w:val="12"/>
        </w:rPr>
        <w:t>33</w:t>
      </w:r>
      <w:r>
        <w:rPr>
          <w:spacing w:val="-7"/>
          <w:w w:val="105"/>
          <w:sz w:val="12"/>
        </w:rPr>
        <w:t xml:space="preserve"> </w:t>
      </w:r>
      <w:r>
        <w:rPr>
          <w:w w:val="105"/>
          <w:sz w:val="12"/>
        </w:rPr>
        <w:t>(2015),</w:t>
      </w:r>
      <w:r>
        <w:rPr>
          <w:spacing w:val="-7"/>
          <w:w w:val="105"/>
          <w:sz w:val="12"/>
        </w:rPr>
        <w:t xml:space="preserve"> </w:t>
      </w:r>
      <w:proofErr w:type="spellStart"/>
      <w:r>
        <w:rPr>
          <w:w w:val="105"/>
          <w:sz w:val="12"/>
        </w:rPr>
        <w:t>párrs</w:t>
      </w:r>
      <w:proofErr w:type="spellEnd"/>
      <w:r>
        <w:rPr>
          <w:w w:val="105"/>
          <w:sz w:val="12"/>
        </w:rPr>
        <w:t>.</w:t>
      </w:r>
      <w:r>
        <w:rPr>
          <w:spacing w:val="-7"/>
          <w:w w:val="105"/>
          <w:sz w:val="12"/>
        </w:rPr>
        <w:t xml:space="preserve"> </w:t>
      </w:r>
      <w:r>
        <w:rPr>
          <w:w w:val="105"/>
          <w:sz w:val="12"/>
        </w:rPr>
        <w:t>14</w:t>
      </w:r>
      <w:r>
        <w:rPr>
          <w:spacing w:val="-7"/>
          <w:w w:val="105"/>
          <w:sz w:val="12"/>
        </w:rPr>
        <w:t xml:space="preserve"> </w:t>
      </w:r>
      <w:r>
        <w:rPr>
          <w:w w:val="105"/>
          <w:sz w:val="12"/>
        </w:rPr>
        <w:t>(d)</w:t>
      </w:r>
      <w:r>
        <w:rPr>
          <w:spacing w:val="-7"/>
          <w:w w:val="105"/>
          <w:sz w:val="12"/>
        </w:rPr>
        <w:t xml:space="preserve"> </w:t>
      </w:r>
      <w:r>
        <w:rPr>
          <w:w w:val="105"/>
          <w:sz w:val="12"/>
        </w:rPr>
        <w:t>y</w:t>
      </w:r>
      <w:r>
        <w:rPr>
          <w:spacing w:val="-7"/>
          <w:w w:val="105"/>
          <w:sz w:val="12"/>
        </w:rPr>
        <w:t xml:space="preserve"> </w:t>
      </w:r>
      <w:r>
        <w:rPr>
          <w:w w:val="105"/>
          <w:sz w:val="12"/>
        </w:rPr>
        <w:t>(f),</w:t>
      </w:r>
      <w:r>
        <w:rPr>
          <w:spacing w:val="-7"/>
          <w:w w:val="105"/>
          <w:sz w:val="12"/>
        </w:rPr>
        <w:t xml:space="preserve"> </w:t>
      </w:r>
      <w:r>
        <w:rPr>
          <w:w w:val="105"/>
          <w:sz w:val="12"/>
        </w:rPr>
        <w:t>18</w:t>
      </w:r>
      <w:r>
        <w:rPr>
          <w:spacing w:val="-8"/>
          <w:w w:val="105"/>
          <w:sz w:val="12"/>
        </w:rPr>
        <w:t xml:space="preserve"> </w:t>
      </w:r>
      <w:r>
        <w:rPr>
          <w:w w:val="105"/>
          <w:sz w:val="12"/>
        </w:rPr>
        <w:t>y</w:t>
      </w:r>
      <w:r>
        <w:rPr>
          <w:spacing w:val="-7"/>
          <w:w w:val="105"/>
          <w:sz w:val="12"/>
        </w:rPr>
        <w:t xml:space="preserve"> </w:t>
      </w:r>
      <w:r>
        <w:rPr>
          <w:spacing w:val="-5"/>
          <w:w w:val="105"/>
          <w:sz w:val="12"/>
        </w:rPr>
        <w:t>20.</w:t>
      </w:r>
    </w:p>
    <w:p w14:paraId="5870F1A7" w14:textId="77777777" w:rsidR="0014798C" w:rsidRDefault="0014798C">
      <w:pPr>
        <w:pStyle w:val="Textoindependiente"/>
        <w:rPr>
          <w:sz w:val="19"/>
        </w:rPr>
      </w:pPr>
    </w:p>
    <w:p w14:paraId="62CEE710" w14:textId="77777777" w:rsidR="0014798C" w:rsidRDefault="0014798C">
      <w:pPr>
        <w:pStyle w:val="Textoindependiente"/>
        <w:spacing w:before="85"/>
        <w:rPr>
          <w:sz w:val="12"/>
        </w:rPr>
      </w:pPr>
    </w:p>
    <w:p w14:paraId="3683495F" w14:textId="77777777" w:rsidR="0014798C" w:rsidRDefault="004E1F0B">
      <w:pPr>
        <w:ind w:left="1111"/>
        <w:rPr>
          <w:sz w:val="12"/>
        </w:rPr>
      </w:pPr>
      <w:r>
        <w:rPr>
          <w:color w:val="00AC59"/>
          <w:sz w:val="12"/>
        </w:rPr>
        <w:t>PROTECCIÓN</w:t>
      </w:r>
      <w:r>
        <w:rPr>
          <w:color w:val="00AC59"/>
          <w:spacing w:val="6"/>
          <w:sz w:val="12"/>
        </w:rPr>
        <w:t xml:space="preserve"> </w:t>
      </w:r>
      <w:r>
        <w:rPr>
          <w:color w:val="00AC59"/>
          <w:sz w:val="12"/>
        </w:rPr>
        <w:t>DE</w:t>
      </w:r>
      <w:r>
        <w:rPr>
          <w:color w:val="00AC59"/>
          <w:spacing w:val="7"/>
          <w:sz w:val="12"/>
        </w:rPr>
        <w:t xml:space="preserve"> </w:t>
      </w:r>
      <w:r>
        <w:rPr>
          <w:color w:val="00AC59"/>
          <w:sz w:val="12"/>
        </w:rPr>
        <w:t>LOS</w:t>
      </w:r>
      <w:r>
        <w:rPr>
          <w:color w:val="00AC59"/>
          <w:spacing w:val="8"/>
          <w:sz w:val="12"/>
        </w:rPr>
        <w:t xml:space="preserve"> </w:t>
      </w:r>
      <w:r>
        <w:rPr>
          <w:color w:val="00AC59"/>
          <w:sz w:val="12"/>
        </w:rPr>
        <w:t>DERECHOS</w:t>
      </w:r>
      <w:r>
        <w:rPr>
          <w:color w:val="00AC59"/>
          <w:spacing w:val="8"/>
          <w:sz w:val="12"/>
        </w:rPr>
        <w:t xml:space="preserve"> </w:t>
      </w:r>
      <w:r>
        <w:rPr>
          <w:color w:val="00AC59"/>
          <w:sz w:val="12"/>
        </w:rPr>
        <w:t>DE</w:t>
      </w:r>
      <w:r>
        <w:rPr>
          <w:color w:val="00AC59"/>
          <w:spacing w:val="6"/>
          <w:sz w:val="12"/>
        </w:rPr>
        <w:t xml:space="preserve"> </w:t>
      </w:r>
      <w:r>
        <w:rPr>
          <w:color w:val="00AC59"/>
          <w:sz w:val="12"/>
        </w:rPr>
        <w:t>LAS</w:t>
      </w:r>
      <w:r>
        <w:rPr>
          <w:color w:val="00AC59"/>
          <w:spacing w:val="7"/>
          <w:sz w:val="12"/>
        </w:rPr>
        <w:t xml:space="preserve"> </w:t>
      </w:r>
      <w:r>
        <w:rPr>
          <w:color w:val="00AC59"/>
          <w:sz w:val="12"/>
        </w:rPr>
        <w:t>MINORÍAS:</w:t>
      </w:r>
      <w:r>
        <w:rPr>
          <w:color w:val="00AC59"/>
          <w:spacing w:val="8"/>
          <w:sz w:val="12"/>
        </w:rPr>
        <w:t xml:space="preserve"> </w:t>
      </w:r>
      <w:r>
        <w:rPr>
          <w:color w:val="00AC59"/>
          <w:sz w:val="12"/>
        </w:rPr>
        <w:t>una</w:t>
      </w:r>
      <w:r>
        <w:rPr>
          <w:color w:val="00AC59"/>
          <w:spacing w:val="7"/>
          <w:sz w:val="12"/>
        </w:rPr>
        <w:t xml:space="preserve"> </w:t>
      </w:r>
      <w:r>
        <w:rPr>
          <w:color w:val="00AC59"/>
          <w:sz w:val="12"/>
        </w:rPr>
        <w:t>guía</w:t>
      </w:r>
      <w:r>
        <w:rPr>
          <w:color w:val="00AC59"/>
          <w:spacing w:val="6"/>
          <w:sz w:val="12"/>
        </w:rPr>
        <w:t xml:space="preserve"> </w:t>
      </w:r>
      <w:r>
        <w:rPr>
          <w:color w:val="00AC59"/>
          <w:sz w:val="12"/>
        </w:rPr>
        <w:t>práctica</w:t>
      </w:r>
      <w:r>
        <w:rPr>
          <w:color w:val="00AC59"/>
          <w:spacing w:val="7"/>
          <w:sz w:val="12"/>
        </w:rPr>
        <w:t xml:space="preserve"> </w:t>
      </w:r>
      <w:r>
        <w:rPr>
          <w:color w:val="00AC59"/>
          <w:sz w:val="12"/>
        </w:rPr>
        <w:t>para</w:t>
      </w:r>
      <w:r>
        <w:rPr>
          <w:color w:val="00AC59"/>
          <w:spacing w:val="8"/>
          <w:sz w:val="12"/>
        </w:rPr>
        <w:t xml:space="preserve"> </w:t>
      </w:r>
      <w:r>
        <w:rPr>
          <w:color w:val="00AC59"/>
          <w:sz w:val="12"/>
        </w:rPr>
        <w:t>desarrollar</w:t>
      </w:r>
      <w:r>
        <w:rPr>
          <w:color w:val="00AC59"/>
          <w:spacing w:val="6"/>
          <w:sz w:val="12"/>
        </w:rPr>
        <w:t xml:space="preserve"> </w:t>
      </w:r>
      <w:r>
        <w:rPr>
          <w:color w:val="00AC59"/>
          <w:sz w:val="12"/>
        </w:rPr>
        <w:t>una</w:t>
      </w:r>
      <w:r>
        <w:rPr>
          <w:color w:val="00AC59"/>
          <w:spacing w:val="7"/>
          <w:sz w:val="12"/>
        </w:rPr>
        <w:t xml:space="preserve"> </w:t>
      </w:r>
      <w:r>
        <w:rPr>
          <w:color w:val="00AC59"/>
          <w:sz w:val="12"/>
        </w:rPr>
        <w:t>legislación</w:t>
      </w:r>
      <w:r>
        <w:rPr>
          <w:color w:val="00AC59"/>
          <w:spacing w:val="8"/>
          <w:sz w:val="12"/>
        </w:rPr>
        <w:t xml:space="preserve"> </w:t>
      </w:r>
      <w:r>
        <w:rPr>
          <w:color w:val="00AC59"/>
          <w:sz w:val="12"/>
        </w:rPr>
        <w:t>integral</w:t>
      </w:r>
      <w:r>
        <w:rPr>
          <w:color w:val="00AC59"/>
          <w:spacing w:val="7"/>
          <w:sz w:val="12"/>
        </w:rPr>
        <w:t xml:space="preserve"> </w:t>
      </w:r>
      <w:r>
        <w:rPr>
          <w:color w:val="00AC59"/>
          <w:sz w:val="12"/>
        </w:rPr>
        <w:t>contra</w:t>
      </w:r>
      <w:r>
        <w:rPr>
          <w:color w:val="00AC59"/>
          <w:spacing w:val="6"/>
          <w:sz w:val="12"/>
        </w:rPr>
        <w:t xml:space="preserve"> </w:t>
      </w:r>
      <w:r>
        <w:rPr>
          <w:color w:val="00AC59"/>
          <w:sz w:val="12"/>
        </w:rPr>
        <w:t>la</w:t>
      </w:r>
      <w:r>
        <w:rPr>
          <w:color w:val="00AC59"/>
          <w:spacing w:val="7"/>
          <w:sz w:val="12"/>
        </w:rPr>
        <w:t xml:space="preserve"> </w:t>
      </w:r>
      <w:r>
        <w:rPr>
          <w:color w:val="00AC59"/>
          <w:spacing w:val="-2"/>
          <w:sz w:val="12"/>
        </w:rPr>
        <w:t>discriminación</w:t>
      </w:r>
    </w:p>
    <w:p w14:paraId="65A2A550" w14:textId="77777777" w:rsidR="0014798C" w:rsidRDefault="0014798C">
      <w:pPr>
        <w:pStyle w:val="Textoindependiente"/>
      </w:pPr>
    </w:p>
    <w:p w14:paraId="2BACEC2B" w14:textId="77777777" w:rsidR="0014798C" w:rsidRDefault="0014798C">
      <w:pPr>
        <w:pStyle w:val="Textoindependiente"/>
      </w:pPr>
    </w:p>
    <w:p w14:paraId="23ECFC00" w14:textId="77777777" w:rsidR="0014798C" w:rsidRDefault="0014798C">
      <w:pPr>
        <w:pStyle w:val="Textoindependiente"/>
      </w:pPr>
    </w:p>
    <w:p w14:paraId="558C3F53" w14:textId="77777777" w:rsidR="0014798C" w:rsidRDefault="0014798C">
      <w:pPr>
        <w:pStyle w:val="Textoindependiente"/>
      </w:pPr>
    </w:p>
    <w:p w14:paraId="00663D41" w14:textId="77777777" w:rsidR="0014798C" w:rsidRDefault="0014798C">
      <w:pPr>
        <w:pStyle w:val="Textoindependiente"/>
        <w:spacing w:before="71"/>
      </w:pPr>
    </w:p>
    <w:p w14:paraId="6D48A1E1" w14:textId="77777777" w:rsidR="0014798C" w:rsidRDefault="004E1F0B">
      <w:pPr>
        <w:pStyle w:val="Textoindependiente"/>
        <w:spacing w:line="271" w:lineRule="auto"/>
        <w:ind w:left="1108" w:right="1272" w:firstLine="3"/>
      </w:pPr>
      <w:r>
        <w:t>se</w:t>
      </w:r>
      <w:r>
        <w:rPr>
          <w:spacing w:val="-7"/>
        </w:rPr>
        <w:t xml:space="preserve"> </w:t>
      </w:r>
      <w:r>
        <w:t>están</w:t>
      </w:r>
      <w:r>
        <w:rPr>
          <w:spacing w:val="-7"/>
        </w:rPr>
        <w:t xml:space="preserve"> </w:t>
      </w:r>
      <w:r>
        <w:t>logrando</w:t>
      </w:r>
      <w:r>
        <w:rPr>
          <w:spacing w:val="-7"/>
        </w:rPr>
        <w:t xml:space="preserve"> </w:t>
      </w:r>
      <w:r>
        <w:t>los</w:t>
      </w:r>
      <w:r>
        <w:rPr>
          <w:spacing w:val="-7"/>
        </w:rPr>
        <w:t xml:space="preserve"> </w:t>
      </w:r>
      <w:r>
        <w:t>objetivos</w:t>
      </w:r>
      <w:r>
        <w:rPr>
          <w:spacing w:val="-7"/>
        </w:rPr>
        <w:t xml:space="preserve"> </w:t>
      </w:r>
      <w:r>
        <w:t>de</w:t>
      </w:r>
      <w:r>
        <w:rPr>
          <w:spacing w:val="-7"/>
        </w:rPr>
        <w:t xml:space="preserve"> </w:t>
      </w:r>
      <w:r>
        <w:t>la</w:t>
      </w:r>
      <w:r>
        <w:rPr>
          <w:spacing w:val="-7"/>
        </w:rPr>
        <w:t xml:space="preserve"> </w:t>
      </w:r>
      <w:r>
        <w:t>justicia.651</w:t>
      </w:r>
      <w:r>
        <w:rPr>
          <w:spacing w:val="-7"/>
        </w:rPr>
        <w:t xml:space="preserve"> </w:t>
      </w:r>
      <w:r>
        <w:t>Los</w:t>
      </w:r>
      <w:r>
        <w:rPr>
          <w:spacing w:val="-7"/>
        </w:rPr>
        <w:t xml:space="preserve"> </w:t>
      </w:r>
      <w:r>
        <w:t>Estados</w:t>
      </w:r>
      <w:r>
        <w:rPr>
          <w:spacing w:val="-7"/>
        </w:rPr>
        <w:t xml:space="preserve"> </w:t>
      </w:r>
      <w:r>
        <w:t>deben</w:t>
      </w:r>
      <w:r>
        <w:rPr>
          <w:spacing w:val="-7"/>
        </w:rPr>
        <w:t xml:space="preserve"> </w:t>
      </w:r>
      <w:r>
        <w:t>establecer</w:t>
      </w:r>
      <w:r>
        <w:rPr>
          <w:spacing w:val="-7"/>
        </w:rPr>
        <w:t xml:space="preserve"> </w:t>
      </w:r>
      <w:r>
        <w:t>salvaguardias</w:t>
      </w:r>
      <w:r>
        <w:rPr>
          <w:spacing w:val="-7"/>
        </w:rPr>
        <w:t xml:space="preserve"> </w:t>
      </w:r>
      <w:r>
        <w:t>para</w:t>
      </w:r>
      <w:r>
        <w:rPr>
          <w:spacing w:val="-7"/>
        </w:rPr>
        <w:t xml:space="preserve"> </w:t>
      </w:r>
      <w:r>
        <w:t>evitar</w:t>
      </w:r>
      <w:r>
        <w:rPr>
          <w:spacing w:val="-7"/>
        </w:rPr>
        <w:t xml:space="preserve"> </w:t>
      </w:r>
      <w:r>
        <w:t>la</w:t>
      </w:r>
      <w:r>
        <w:rPr>
          <w:spacing w:val="-7"/>
        </w:rPr>
        <w:t xml:space="preserve"> </w:t>
      </w:r>
      <w:r>
        <w:t>revictimización</w:t>
      </w:r>
      <w:r>
        <w:rPr>
          <w:spacing w:val="-7"/>
        </w:rPr>
        <w:t xml:space="preserve"> </w:t>
      </w:r>
      <w:r>
        <w:t>de</w:t>
      </w:r>
      <w:r>
        <w:rPr>
          <w:spacing w:val="-7"/>
        </w:rPr>
        <w:t xml:space="preserve"> </w:t>
      </w:r>
      <w:r>
        <w:t>los demandantes en casos de discriminación.652</w:t>
      </w:r>
    </w:p>
    <w:p w14:paraId="16772895" w14:textId="77777777" w:rsidR="0014798C" w:rsidRDefault="0014798C">
      <w:pPr>
        <w:pStyle w:val="Textoindependiente"/>
        <w:spacing w:before="69"/>
        <w:rPr>
          <w:sz w:val="15"/>
        </w:rPr>
      </w:pPr>
    </w:p>
    <w:p w14:paraId="745C96F2" w14:textId="77777777" w:rsidR="0014798C" w:rsidRDefault="004E1F0B">
      <w:pPr>
        <w:spacing w:line="348" w:lineRule="auto"/>
        <w:ind w:left="1107" w:right="1335" w:hanging="1"/>
        <w:rPr>
          <w:sz w:val="15"/>
        </w:rPr>
      </w:pPr>
      <w:r>
        <w:rPr>
          <w:sz w:val="15"/>
        </w:rPr>
        <w:t>Para garantizar el acceso a la justicia, es necesario asegurar la adhesión de todos los actores involucrados en la investigación y determinación</w:t>
      </w:r>
      <w:r>
        <w:rPr>
          <w:spacing w:val="16"/>
          <w:sz w:val="15"/>
        </w:rPr>
        <w:t xml:space="preserve"> </w:t>
      </w:r>
      <w:r>
        <w:rPr>
          <w:sz w:val="15"/>
        </w:rPr>
        <w:t>de</w:t>
      </w:r>
      <w:r>
        <w:rPr>
          <w:spacing w:val="16"/>
          <w:sz w:val="15"/>
        </w:rPr>
        <w:t xml:space="preserve"> </w:t>
      </w:r>
      <w:r>
        <w:rPr>
          <w:sz w:val="15"/>
        </w:rPr>
        <w:t>casos</w:t>
      </w:r>
      <w:r>
        <w:rPr>
          <w:spacing w:val="16"/>
          <w:sz w:val="15"/>
        </w:rPr>
        <w:t xml:space="preserve"> </w:t>
      </w:r>
      <w:r>
        <w:rPr>
          <w:sz w:val="15"/>
        </w:rPr>
        <w:t>relacionados</w:t>
      </w:r>
      <w:r>
        <w:rPr>
          <w:spacing w:val="16"/>
          <w:sz w:val="15"/>
        </w:rPr>
        <w:t xml:space="preserve"> </w:t>
      </w:r>
      <w:r>
        <w:rPr>
          <w:sz w:val="15"/>
        </w:rPr>
        <w:t>con</w:t>
      </w:r>
      <w:r>
        <w:rPr>
          <w:spacing w:val="16"/>
          <w:sz w:val="15"/>
        </w:rPr>
        <w:t xml:space="preserve"> </w:t>
      </w:r>
      <w:r>
        <w:rPr>
          <w:sz w:val="15"/>
        </w:rPr>
        <w:t>discriminación</w:t>
      </w:r>
      <w:r>
        <w:rPr>
          <w:spacing w:val="17"/>
          <w:sz w:val="15"/>
        </w:rPr>
        <w:t xml:space="preserve"> </w:t>
      </w:r>
      <w:r>
        <w:rPr>
          <w:sz w:val="15"/>
        </w:rPr>
        <w:t>a</w:t>
      </w:r>
      <w:r>
        <w:rPr>
          <w:spacing w:val="16"/>
          <w:sz w:val="15"/>
        </w:rPr>
        <w:t xml:space="preserve"> </w:t>
      </w:r>
      <w:r>
        <w:rPr>
          <w:sz w:val="15"/>
        </w:rPr>
        <w:t>los</w:t>
      </w:r>
      <w:r>
        <w:rPr>
          <w:spacing w:val="16"/>
          <w:sz w:val="15"/>
        </w:rPr>
        <w:t xml:space="preserve"> </w:t>
      </w:r>
      <w:r>
        <w:rPr>
          <w:sz w:val="15"/>
        </w:rPr>
        <w:t>principios</w:t>
      </w:r>
      <w:r>
        <w:rPr>
          <w:spacing w:val="16"/>
          <w:sz w:val="15"/>
        </w:rPr>
        <w:t xml:space="preserve"> </w:t>
      </w:r>
      <w:r>
        <w:rPr>
          <w:sz w:val="15"/>
        </w:rPr>
        <w:t>de</w:t>
      </w:r>
      <w:r>
        <w:rPr>
          <w:spacing w:val="16"/>
          <w:sz w:val="15"/>
        </w:rPr>
        <w:t xml:space="preserve"> </w:t>
      </w:r>
      <w:r>
        <w:rPr>
          <w:sz w:val="15"/>
        </w:rPr>
        <w:t>independencia</w:t>
      </w:r>
      <w:r>
        <w:rPr>
          <w:spacing w:val="16"/>
          <w:sz w:val="15"/>
        </w:rPr>
        <w:t xml:space="preserve"> </w:t>
      </w:r>
      <w:r>
        <w:rPr>
          <w:sz w:val="15"/>
        </w:rPr>
        <w:t>e</w:t>
      </w:r>
      <w:r>
        <w:rPr>
          <w:spacing w:val="16"/>
          <w:sz w:val="15"/>
        </w:rPr>
        <w:t xml:space="preserve"> </w:t>
      </w:r>
      <w:r>
        <w:rPr>
          <w:sz w:val="15"/>
        </w:rPr>
        <w:t>imparcialidad.</w:t>
      </w:r>
      <w:r>
        <w:rPr>
          <w:spacing w:val="18"/>
          <w:sz w:val="15"/>
        </w:rPr>
        <w:t xml:space="preserve"> </w:t>
      </w:r>
      <w:r>
        <w:rPr>
          <w:sz w:val="15"/>
        </w:rPr>
        <w:t>En</w:t>
      </w:r>
      <w:r>
        <w:rPr>
          <w:spacing w:val="16"/>
          <w:sz w:val="15"/>
        </w:rPr>
        <w:t xml:space="preserve"> </w:t>
      </w:r>
      <w:r>
        <w:rPr>
          <w:sz w:val="15"/>
        </w:rPr>
        <w:t>este</w:t>
      </w:r>
      <w:r>
        <w:rPr>
          <w:spacing w:val="16"/>
          <w:sz w:val="15"/>
        </w:rPr>
        <w:t xml:space="preserve"> </w:t>
      </w:r>
      <w:r>
        <w:rPr>
          <w:sz w:val="15"/>
        </w:rPr>
        <w:t>sentido,</w:t>
      </w:r>
      <w:r>
        <w:rPr>
          <w:spacing w:val="17"/>
          <w:sz w:val="15"/>
        </w:rPr>
        <w:t xml:space="preserve"> </w:t>
      </w:r>
      <w:r>
        <w:rPr>
          <w:sz w:val="15"/>
        </w:rPr>
        <w:t>el</w:t>
      </w:r>
      <w:r>
        <w:rPr>
          <w:spacing w:val="16"/>
          <w:sz w:val="15"/>
        </w:rPr>
        <w:t xml:space="preserve"> </w:t>
      </w:r>
      <w:r>
        <w:rPr>
          <w:sz w:val="15"/>
        </w:rPr>
        <w:t>Comité de Derechos Humanos ha subrayado</w:t>
      </w:r>
      <w:r>
        <w:rPr>
          <w:spacing w:val="21"/>
          <w:sz w:val="15"/>
        </w:rPr>
        <w:t xml:space="preserve"> </w:t>
      </w:r>
      <w:r>
        <w:rPr>
          <w:sz w:val="15"/>
        </w:rPr>
        <w:t>que los mecanismos existentes para investigar violaciones de derechos humanos deben ser</w:t>
      </w:r>
      <w:r>
        <w:rPr>
          <w:spacing w:val="80"/>
          <w:sz w:val="15"/>
        </w:rPr>
        <w:t xml:space="preserve"> </w:t>
      </w:r>
      <w:r>
        <w:rPr>
          <w:sz w:val="15"/>
        </w:rPr>
        <w:t>“órganos independientes e imparciales”.653 De manera similar, el Comité de Derechos Económicos, Sociales y Culturales ha observado que las instituciones facultadas para juzgar o investigar la discriminación Las denuncias deben hacerse “con prontitud, imparcialidad e independencia”.654 El Comité para la Eliminación de la Discriminación contra la Mujer ha hecho observaciones similares.655</w:t>
      </w:r>
    </w:p>
    <w:p w14:paraId="1F17B24F" w14:textId="77777777" w:rsidR="0014798C" w:rsidRDefault="0014798C">
      <w:pPr>
        <w:pStyle w:val="Textoindependiente"/>
      </w:pPr>
    </w:p>
    <w:p w14:paraId="6B2045DB" w14:textId="77777777" w:rsidR="0014798C" w:rsidRDefault="0014798C">
      <w:pPr>
        <w:pStyle w:val="Textoindependiente"/>
        <w:spacing w:before="42"/>
      </w:pPr>
    </w:p>
    <w:p w14:paraId="5024D57F" w14:textId="77777777" w:rsidR="0014798C" w:rsidRDefault="004E1F0B">
      <w:pPr>
        <w:pStyle w:val="Textoindependiente"/>
        <w:spacing w:line="326" w:lineRule="auto"/>
        <w:ind w:left="1109" w:right="1418"/>
      </w:pPr>
      <w:r>
        <w:t>Más allá de la independencia y la imparcialidad, los Estados deben garantizar que el poder judicial (y otros involucrados en la determinación de los casos de discriminación) tengan suficiente conocimiento y comprensión para garantizar una alta calidad en la administración de justicia. Los Estados tienen obligaciones positivas de capacitar al poder judicial y a otras personas</w:t>
      </w:r>
    </w:p>
    <w:p w14:paraId="301F5B8E" w14:textId="77777777" w:rsidR="0014798C" w:rsidRDefault="004E1F0B">
      <w:pPr>
        <w:pStyle w:val="Textoindependiente"/>
        <w:spacing w:line="183" w:lineRule="exact"/>
        <w:ind w:left="1107"/>
      </w:pPr>
      <w:r>
        <w:t>involucradas en</w:t>
      </w:r>
      <w:r>
        <w:rPr>
          <w:spacing w:val="1"/>
        </w:rPr>
        <w:t xml:space="preserve"> </w:t>
      </w:r>
      <w:r>
        <w:t>la</w:t>
      </w:r>
      <w:r>
        <w:rPr>
          <w:spacing w:val="1"/>
        </w:rPr>
        <w:t xml:space="preserve"> </w:t>
      </w:r>
      <w:r>
        <w:t>administración de</w:t>
      </w:r>
      <w:r>
        <w:rPr>
          <w:spacing w:val="1"/>
        </w:rPr>
        <w:t xml:space="preserve"> </w:t>
      </w:r>
      <w:r>
        <w:t>justicia.656</w:t>
      </w:r>
      <w:r>
        <w:rPr>
          <w:spacing w:val="1"/>
        </w:rPr>
        <w:t xml:space="preserve"> </w:t>
      </w:r>
      <w:r>
        <w:t>Esto incluiría,</w:t>
      </w:r>
      <w:r>
        <w:rPr>
          <w:spacing w:val="2"/>
        </w:rPr>
        <w:t xml:space="preserve"> </w:t>
      </w:r>
      <w:r>
        <w:t>por</w:t>
      </w:r>
      <w:r>
        <w:rPr>
          <w:spacing w:val="1"/>
        </w:rPr>
        <w:t xml:space="preserve"> </w:t>
      </w:r>
      <w:r>
        <w:t>ejemplo, capacitación</w:t>
      </w:r>
      <w:r>
        <w:rPr>
          <w:spacing w:val="1"/>
        </w:rPr>
        <w:t xml:space="preserve"> </w:t>
      </w:r>
      <w:r>
        <w:t>sobre</w:t>
      </w:r>
      <w:r>
        <w:rPr>
          <w:spacing w:val="1"/>
        </w:rPr>
        <w:t xml:space="preserve"> </w:t>
      </w:r>
      <w:r>
        <w:t>la eliminación</w:t>
      </w:r>
      <w:r>
        <w:rPr>
          <w:spacing w:val="1"/>
        </w:rPr>
        <w:t xml:space="preserve"> </w:t>
      </w:r>
      <w:r>
        <w:t>de</w:t>
      </w:r>
      <w:r>
        <w:rPr>
          <w:spacing w:val="1"/>
        </w:rPr>
        <w:t xml:space="preserve"> </w:t>
      </w:r>
      <w:r>
        <w:t>los estereotipos de</w:t>
      </w:r>
      <w:r>
        <w:rPr>
          <w:spacing w:val="1"/>
        </w:rPr>
        <w:t xml:space="preserve"> </w:t>
      </w:r>
      <w:r>
        <w:rPr>
          <w:spacing w:val="-2"/>
        </w:rPr>
        <w:t>género657.</w:t>
      </w:r>
    </w:p>
    <w:p w14:paraId="3E081813" w14:textId="77777777" w:rsidR="0014798C" w:rsidRDefault="004E1F0B">
      <w:pPr>
        <w:spacing w:before="73" w:line="348" w:lineRule="auto"/>
        <w:ind w:left="1111" w:right="1272"/>
        <w:rPr>
          <w:sz w:val="15"/>
        </w:rPr>
      </w:pPr>
      <w:r>
        <w:rPr>
          <w:sz w:val="15"/>
        </w:rPr>
        <w:t>y otras formas de prejuicio y estigma por parte del poder judicial. Estas obligaciones se analizan con más detalle en la sexta parte de la presente guía.</w:t>
      </w:r>
    </w:p>
    <w:p w14:paraId="5790614D" w14:textId="77777777" w:rsidR="0014798C" w:rsidRDefault="004E1F0B">
      <w:pPr>
        <w:numPr>
          <w:ilvl w:val="1"/>
          <w:numId w:val="46"/>
        </w:numPr>
        <w:tabs>
          <w:tab w:val="left" w:pos="1335"/>
        </w:tabs>
        <w:spacing w:before="172"/>
        <w:ind w:left="1335" w:hanging="220"/>
        <w:jc w:val="left"/>
        <w:rPr>
          <w:sz w:val="20"/>
        </w:rPr>
      </w:pPr>
      <w:r>
        <w:rPr>
          <w:sz w:val="20"/>
        </w:rPr>
        <w:t>Accesibilidad,</w:t>
      </w:r>
      <w:r>
        <w:rPr>
          <w:spacing w:val="-14"/>
          <w:sz w:val="20"/>
        </w:rPr>
        <w:t xml:space="preserve"> </w:t>
      </w:r>
      <w:r>
        <w:rPr>
          <w:sz w:val="20"/>
        </w:rPr>
        <w:t>adaptaciones</w:t>
      </w:r>
      <w:r>
        <w:rPr>
          <w:spacing w:val="-14"/>
          <w:sz w:val="20"/>
        </w:rPr>
        <w:t xml:space="preserve"> </w:t>
      </w:r>
      <w:r>
        <w:rPr>
          <w:sz w:val="20"/>
        </w:rPr>
        <w:t>procesales</w:t>
      </w:r>
      <w:r>
        <w:rPr>
          <w:spacing w:val="-13"/>
          <w:sz w:val="20"/>
        </w:rPr>
        <w:t xml:space="preserve"> </w:t>
      </w:r>
      <w:r>
        <w:rPr>
          <w:sz w:val="20"/>
        </w:rPr>
        <w:t>y</w:t>
      </w:r>
      <w:r>
        <w:rPr>
          <w:spacing w:val="-14"/>
          <w:sz w:val="20"/>
        </w:rPr>
        <w:t xml:space="preserve"> </w:t>
      </w:r>
      <w:r>
        <w:rPr>
          <w:sz w:val="20"/>
        </w:rPr>
        <w:t>asistencia</w:t>
      </w:r>
      <w:r>
        <w:rPr>
          <w:spacing w:val="-14"/>
          <w:sz w:val="20"/>
        </w:rPr>
        <w:t xml:space="preserve"> </w:t>
      </w:r>
      <w:r>
        <w:rPr>
          <w:spacing w:val="-2"/>
          <w:sz w:val="20"/>
        </w:rPr>
        <w:t>jurídica</w:t>
      </w:r>
    </w:p>
    <w:p w14:paraId="58F19CFD" w14:textId="77777777" w:rsidR="0014798C" w:rsidRDefault="0014798C">
      <w:pPr>
        <w:pStyle w:val="Textoindependiente"/>
        <w:spacing w:before="8"/>
        <w:rPr>
          <w:sz w:val="15"/>
        </w:rPr>
      </w:pPr>
    </w:p>
    <w:p w14:paraId="482083D4" w14:textId="77777777" w:rsidR="0014798C" w:rsidRDefault="004E1F0B">
      <w:pPr>
        <w:spacing w:line="348" w:lineRule="auto"/>
        <w:ind w:left="1107" w:right="1272" w:hanging="11"/>
        <w:rPr>
          <w:sz w:val="15"/>
        </w:rPr>
      </w:pPr>
      <w:r>
        <w:rPr>
          <w:sz w:val="15"/>
        </w:rPr>
        <w:t>Los sistemas de justicia deben ser accesibles para quienes están expuestos a la discriminación. En su recomendación general núm. 33 (2015),</w:t>
      </w:r>
      <w:r>
        <w:rPr>
          <w:spacing w:val="16"/>
          <w:sz w:val="15"/>
        </w:rPr>
        <w:t xml:space="preserve"> </w:t>
      </w:r>
      <w:r>
        <w:rPr>
          <w:sz w:val="15"/>
        </w:rPr>
        <w:t>el</w:t>
      </w:r>
      <w:r>
        <w:rPr>
          <w:spacing w:val="14"/>
          <w:sz w:val="15"/>
        </w:rPr>
        <w:t xml:space="preserve"> </w:t>
      </w:r>
      <w:r>
        <w:rPr>
          <w:sz w:val="15"/>
        </w:rPr>
        <w:t>Comité</w:t>
      </w:r>
      <w:r>
        <w:rPr>
          <w:spacing w:val="14"/>
          <w:sz w:val="15"/>
        </w:rPr>
        <w:t xml:space="preserve"> </w:t>
      </w:r>
      <w:r>
        <w:rPr>
          <w:sz w:val="15"/>
        </w:rPr>
        <w:t>para</w:t>
      </w:r>
      <w:r>
        <w:rPr>
          <w:spacing w:val="14"/>
          <w:sz w:val="15"/>
        </w:rPr>
        <w:t xml:space="preserve"> </w:t>
      </w:r>
      <w:r>
        <w:rPr>
          <w:sz w:val="15"/>
        </w:rPr>
        <w:t>la</w:t>
      </w:r>
      <w:r>
        <w:rPr>
          <w:spacing w:val="14"/>
          <w:sz w:val="15"/>
        </w:rPr>
        <w:t xml:space="preserve"> </w:t>
      </w:r>
      <w:r>
        <w:rPr>
          <w:sz w:val="15"/>
        </w:rPr>
        <w:t>Eliminación</w:t>
      </w:r>
      <w:r>
        <w:rPr>
          <w:spacing w:val="14"/>
          <w:sz w:val="15"/>
        </w:rPr>
        <w:t xml:space="preserve"> </w:t>
      </w:r>
      <w:r>
        <w:rPr>
          <w:sz w:val="15"/>
        </w:rPr>
        <w:t>de</w:t>
      </w:r>
      <w:r>
        <w:rPr>
          <w:spacing w:val="14"/>
          <w:sz w:val="15"/>
        </w:rPr>
        <w:t xml:space="preserve"> </w:t>
      </w:r>
      <w:r>
        <w:rPr>
          <w:sz w:val="15"/>
        </w:rPr>
        <w:t>la</w:t>
      </w:r>
      <w:r>
        <w:rPr>
          <w:spacing w:val="14"/>
          <w:sz w:val="15"/>
        </w:rPr>
        <w:t xml:space="preserve"> </w:t>
      </w:r>
      <w:r>
        <w:rPr>
          <w:sz w:val="15"/>
        </w:rPr>
        <w:t>Discriminación</w:t>
      </w:r>
      <w:r>
        <w:rPr>
          <w:spacing w:val="16"/>
          <w:sz w:val="15"/>
        </w:rPr>
        <w:t xml:space="preserve"> </w:t>
      </w:r>
      <w:r>
        <w:rPr>
          <w:sz w:val="15"/>
        </w:rPr>
        <w:t>contra</w:t>
      </w:r>
      <w:r>
        <w:rPr>
          <w:spacing w:val="14"/>
          <w:sz w:val="15"/>
        </w:rPr>
        <w:t xml:space="preserve"> </w:t>
      </w:r>
      <w:r>
        <w:rPr>
          <w:sz w:val="15"/>
        </w:rPr>
        <w:t>la</w:t>
      </w:r>
      <w:r>
        <w:rPr>
          <w:spacing w:val="14"/>
          <w:sz w:val="15"/>
        </w:rPr>
        <w:t xml:space="preserve"> </w:t>
      </w:r>
      <w:r>
        <w:rPr>
          <w:sz w:val="15"/>
        </w:rPr>
        <w:t>Mujer</w:t>
      </w:r>
      <w:r>
        <w:rPr>
          <w:spacing w:val="14"/>
          <w:sz w:val="15"/>
        </w:rPr>
        <w:t xml:space="preserve"> </w:t>
      </w:r>
      <w:r>
        <w:rPr>
          <w:sz w:val="15"/>
        </w:rPr>
        <w:t>identifica</w:t>
      </w:r>
      <w:r>
        <w:rPr>
          <w:spacing w:val="14"/>
          <w:sz w:val="15"/>
        </w:rPr>
        <w:t xml:space="preserve"> </w:t>
      </w:r>
      <w:r>
        <w:rPr>
          <w:sz w:val="15"/>
        </w:rPr>
        <w:t>varias</w:t>
      </w:r>
      <w:r>
        <w:rPr>
          <w:spacing w:val="14"/>
          <w:sz w:val="15"/>
        </w:rPr>
        <w:t xml:space="preserve"> </w:t>
      </w:r>
      <w:r>
        <w:rPr>
          <w:sz w:val="15"/>
        </w:rPr>
        <w:t>medidas</w:t>
      </w:r>
      <w:r>
        <w:rPr>
          <w:spacing w:val="14"/>
          <w:sz w:val="15"/>
        </w:rPr>
        <w:t xml:space="preserve"> </w:t>
      </w:r>
      <w:r>
        <w:rPr>
          <w:sz w:val="15"/>
        </w:rPr>
        <w:t>que</w:t>
      </w:r>
      <w:r>
        <w:rPr>
          <w:spacing w:val="14"/>
          <w:sz w:val="15"/>
        </w:rPr>
        <w:t xml:space="preserve"> </w:t>
      </w:r>
      <w:r>
        <w:rPr>
          <w:sz w:val="15"/>
        </w:rPr>
        <w:t>son</w:t>
      </w:r>
      <w:r>
        <w:rPr>
          <w:spacing w:val="14"/>
          <w:sz w:val="15"/>
        </w:rPr>
        <w:t xml:space="preserve"> </w:t>
      </w:r>
      <w:r>
        <w:rPr>
          <w:sz w:val="15"/>
        </w:rPr>
        <w:t>necesarias</w:t>
      </w:r>
      <w:r>
        <w:rPr>
          <w:spacing w:val="14"/>
          <w:sz w:val="15"/>
        </w:rPr>
        <w:t xml:space="preserve"> </w:t>
      </w:r>
      <w:r>
        <w:rPr>
          <w:sz w:val="15"/>
        </w:rPr>
        <w:t>para</w:t>
      </w:r>
      <w:r>
        <w:rPr>
          <w:spacing w:val="14"/>
          <w:sz w:val="15"/>
        </w:rPr>
        <w:t xml:space="preserve"> </w:t>
      </w:r>
      <w:r>
        <w:rPr>
          <w:sz w:val="15"/>
        </w:rPr>
        <w:t>garantizar la accesibilidad,</w:t>
      </w:r>
      <w:r>
        <w:rPr>
          <w:spacing w:val="12"/>
          <w:sz w:val="15"/>
        </w:rPr>
        <w:t xml:space="preserve"> </w:t>
      </w:r>
      <w:r>
        <w:rPr>
          <w:sz w:val="15"/>
        </w:rPr>
        <w:t>entre ellas: (a) la prestación de asistencia jurídica y la eliminación de barreras económicas para los usuarios (discutidas</w:t>
      </w:r>
    </w:p>
    <w:p w14:paraId="226E47C4" w14:textId="77777777" w:rsidR="0014798C" w:rsidRDefault="004E1F0B">
      <w:pPr>
        <w:spacing w:line="348" w:lineRule="auto"/>
        <w:ind w:left="1107" w:right="1301" w:firstLine="3"/>
        <w:rPr>
          <w:sz w:val="15"/>
        </w:rPr>
      </w:pPr>
      <w:r>
        <w:rPr>
          <w:sz w:val="15"/>
        </w:rPr>
        <w:t xml:space="preserve">en respecto de la asistencia jurídica </w:t>
      </w:r>
      <w:proofErr w:type="gramStart"/>
      <w:r>
        <w:rPr>
          <w:sz w:val="15"/>
        </w:rPr>
        <w:t>gratuita);</w:t>
      </w:r>
      <w:proofErr w:type="gramEnd"/>
      <w:r>
        <w:rPr>
          <w:sz w:val="15"/>
        </w:rPr>
        <w:t xml:space="preserve"> (b) la eliminación de barreras lingüísticas mediante la provisión de traductores e intérpretes</w:t>
      </w:r>
      <w:r>
        <w:rPr>
          <w:spacing w:val="80"/>
          <w:sz w:val="15"/>
        </w:rPr>
        <w:t xml:space="preserve"> </w:t>
      </w:r>
      <w:r>
        <w:rPr>
          <w:sz w:val="15"/>
        </w:rPr>
        <w:t>y la disponibilidad de asistencia para personas que no saben leer ni escribir; (c) divulgación, educación y producción de recursos legales sobre mecanismos de justicia, que deben estar disponibles en diversos formatos e idiomas comunitarios; d) el desarrollo de la tecnología de la información y las comunicaciones, garantizando al mismo tiempo su amplia disponibilidad; (e) la eliminación de barreras físicas y ambientales</w:t>
      </w:r>
      <w:r>
        <w:rPr>
          <w:spacing w:val="8"/>
          <w:sz w:val="15"/>
        </w:rPr>
        <w:t xml:space="preserve"> </w:t>
      </w:r>
      <w:r>
        <w:rPr>
          <w:sz w:val="15"/>
        </w:rPr>
        <w:t>a</w:t>
      </w:r>
      <w:r>
        <w:rPr>
          <w:spacing w:val="8"/>
          <w:sz w:val="15"/>
        </w:rPr>
        <w:t xml:space="preserve"> </w:t>
      </w:r>
      <w:r>
        <w:rPr>
          <w:sz w:val="15"/>
        </w:rPr>
        <w:t>la</w:t>
      </w:r>
      <w:r>
        <w:rPr>
          <w:spacing w:val="8"/>
          <w:sz w:val="15"/>
        </w:rPr>
        <w:t xml:space="preserve"> </w:t>
      </w:r>
      <w:r>
        <w:rPr>
          <w:sz w:val="15"/>
        </w:rPr>
        <w:t>participación;</w:t>
      </w:r>
      <w:r>
        <w:rPr>
          <w:spacing w:val="10"/>
          <w:sz w:val="15"/>
        </w:rPr>
        <w:t xml:space="preserve"> </w:t>
      </w:r>
      <w:r>
        <w:rPr>
          <w:sz w:val="15"/>
        </w:rPr>
        <w:t>y</w:t>
      </w:r>
      <w:r>
        <w:rPr>
          <w:spacing w:val="8"/>
          <w:sz w:val="15"/>
        </w:rPr>
        <w:t xml:space="preserve"> </w:t>
      </w:r>
      <w:r>
        <w:rPr>
          <w:sz w:val="15"/>
        </w:rPr>
        <w:t>(f)</w:t>
      </w:r>
      <w:r>
        <w:rPr>
          <w:spacing w:val="8"/>
          <w:sz w:val="15"/>
        </w:rPr>
        <w:t xml:space="preserve"> </w:t>
      </w:r>
      <w:r>
        <w:rPr>
          <w:sz w:val="15"/>
        </w:rPr>
        <w:t>el</w:t>
      </w:r>
      <w:r>
        <w:rPr>
          <w:spacing w:val="8"/>
          <w:sz w:val="15"/>
        </w:rPr>
        <w:t xml:space="preserve"> </w:t>
      </w:r>
      <w:r>
        <w:rPr>
          <w:sz w:val="15"/>
        </w:rPr>
        <w:t>establecimiento</w:t>
      </w:r>
      <w:r>
        <w:rPr>
          <w:spacing w:val="8"/>
          <w:sz w:val="15"/>
        </w:rPr>
        <w:t xml:space="preserve"> </w:t>
      </w:r>
      <w:r>
        <w:rPr>
          <w:sz w:val="15"/>
        </w:rPr>
        <w:t>de</w:t>
      </w:r>
      <w:r>
        <w:rPr>
          <w:spacing w:val="8"/>
          <w:sz w:val="15"/>
        </w:rPr>
        <w:t xml:space="preserve"> </w:t>
      </w:r>
      <w:r>
        <w:rPr>
          <w:sz w:val="15"/>
        </w:rPr>
        <w:t>“centros</w:t>
      </w:r>
      <w:r>
        <w:rPr>
          <w:spacing w:val="8"/>
          <w:sz w:val="15"/>
        </w:rPr>
        <w:t xml:space="preserve"> </w:t>
      </w:r>
      <w:r>
        <w:rPr>
          <w:sz w:val="15"/>
        </w:rPr>
        <w:t>de</w:t>
      </w:r>
      <w:r>
        <w:rPr>
          <w:spacing w:val="8"/>
          <w:sz w:val="15"/>
        </w:rPr>
        <w:t xml:space="preserve"> </w:t>
      </w:r>
      <w:r>
        <w:rPr>
          <w:sz w:val="15"/>
        </w:rPr>
        <w:t>acceso</w:t>
      </w:r>
      <w:r>
        <w:rPr>
          <w:spacing w:val="9"/>
          <w:sz w:val="15"/>
        </w:rPr>
        <w:t xml:space="preserve"> </w:t>
      </w:r>
      <w:r>
        <w:rPr>
          <w:sz w:val="15"/>
        </w:rPr>
        <w:t>a</w:t>
      </w:r>
      <w:r>
        <w:rPr>
          <w:spacing w:val="8"/>
          <w:sz w:val="15"/>
        </w:rPr>
        <w:t xml:space="preserve"> </w:t>
      </w:r>
      <w:r>
        <w:rPr>
          <w:sz w:val="15"/>
        </w:rPr>
        <w:t>la</w:t>
      </w:r>
      <w:r>
        <w:rPr>
          <w:spacing w:val="8"/>
          <w:sz w:val="15"/>
        </w:rPr>
        <w:t xml:space="preserve"> </w:t>
      </w:r>
      <w:r>
        <w:rPr>
          <w:sz w:val="15"/>
        </w:rPr>
        <w:t>justicia”</w:t>
      </w:r>
      <w:r>
        <w:rPr>
          <w:spacing w:val="8"/>
          <w:sz w:val="15"/>
        </w:rPr>
        <w:t xml:space="preserve"> </w:t>
      </w:r>
      <w:r>
        <w:rPr>
          <w:sz w:val="15"/>
        </w:rPr>
        <w:t>para</w:t>
      </w:r>
      <w:r>
        <w:rPr>
          <w:spacing w:val="8"/>
          <w:sz w:val="15"/>
        </w:rPr>
        <w:t xml:space="preserve"> </w:t>
      </w:r>
      <w:r>
        <w:rPr>
          <w:sz w:val="15"/>
        </w:rPr>
        <w:t>brindar</w:t>
      </w:r>
      <w:r>
        <w:rPr>
          <w:spacing w:val="8"/>
          <w:sz w:val="15"/>
        </w:rPr>
        <w:t xml:space="preserve"> </w:t>
      </w:r>
      <w:r>
        <w:rPr>
          <w:sz w:val="15"/>
        </w:rPr>
        <w:t>asistencia</w:t>
      </w:r>
      <w:r>
        <w:rPr>
          <w:spacing w:val="8"/>
          <w:sz w:val="15"/>
        </w:rPr>
        <w:t xml:space="preserve"> </w:t>
      </w:r>
      <w:r>
        <w:rPr>
          <w:sz w:val="15"/>
        </w:rPr>
        <w:t>y</w:t>
      </w:r>
      <w:r>
        <w:rPr>
          <w:spacing w:val="8"/>
          <w:sz w:val="15"/>
        </w:rPr>
        <w:t xml:space="preserve"> </w:t>
      </w:r>
      <w:r>
        <w:rPr>
          <w:sz w:val="15"/>
        </w:rPr>
        <w:t>apoyo</w:t>
      </w:r>
      <w:r>
        <w:rPr>
          <w:spacing w:val="8"/>
          <w:sz w:val="15"/>
        </w:rPr>
        <w:t xml:space="preserve"> </w:t>
      </w:r>
      <w:r>
        <w:rPr>
          <w:sz w:val="15"/>
        </w:rPr>
        <w:t>jurídico</w:t>
      </w:r>
      <w:r>
        <w:rPr>
          <w:spacing w:val="8"/>
          <w:sz w:val="15"/>
        </w:rPr>
        <w:t xml:space="preserve"> </w:t>
      </w:r>
      <w:r>
        <w:rPr>
          <w:sz w:val="15"/>
        </w:rPr>
        <w:t>y facilitar el acceso a la justicia mediante la prestación de servicios básicos como el cuidado de niños.658</w:t>
      </w:r>
    </w:p>
    <w:p w14:paraId="7BC3E551" w14:textId="77777777" w:rsidR="0014798C" w:rsidRDefault="0014798C">
      <w:pPr>
        <w:pStyle w:val="Textoindependiente"/>
        <w:rPr>
          <w:sz w:val="15"/>
        </w:rPr>
      </w:pPr>
    </w:p>
    <w:p w14:paraId="254160B2" w14:textId="77777777" w:rsidR="0014798C" w:rsidRDefault="0014798C">
      <w:pPr>
        <w:pStyle w:val="Textoindependiente"/>
        <w:spacing w:before="71"/>
        <w:rPr>
          <w:sz w:val="15"/>
        </w:rPr>
      </w:pPr>
    </w:p>
    <w:p w14:paraId="58274156" w14:textId="77777777" w:rsidR="0014798C" w:rsidRDefault="004E1F0B">
      <w:pPr>
        <w:spacing w:line="348" w:lineRule="auto"/>
        <w:ind w:left="1107" w:right="1463" w:firstLine="5"/>
        <w:rPr>
          <w:sz w:val="15"/>
        </w:rPr>
      </w:pPr>
      <w:r>
        <w:rPr>
          <w:sz w:val="15"/>
        </w:rPr>
        <w:t>Varias de estas medidas responden directamente a las obligaciones de los Estados de respetar el derecho a la no discriminación en el acceso a la justicia. Por ejemplo, pueden ser necesarios servicios de traducción e interpretación para garantizar la participación de minorías lingüísticas en los procedimientos judiciales. El Comité sobre los Derechos de las Personas con Discapacidad se ha referido a</w:t>
      </w:r>
      <w:r>
        <w:rPr>
          <w:spacing w:val="40"/>
          <w:sz w:val="15"/>
        </w:rPr>
        <w:t xml:space="preserve"> </w:t>
      </w:r>
      <w:r>
        <w:rPr>
          <w:sz w:val="15"/>
        </w:rPr>
        <w:t>medidas de este tipo como “adaptaciones procesales”659.</w:t>
      </w:r>
    </w:p>
    <w:p w14:paraId="750274AE" w14:textId="77777777" w:rsidR="0014798C" w:rsidRDefault="004E1F0B">
      <w:pPr>
        <w:spacing w:before="168"/>
        <w:ind w:left="1108"/>
        <w:rPr>
          <w:sz w:val="15"/>
        </w:rPr>
      </w:pPr>
      <w:r>
        <w:rPr>
          <w:sz w:val="15"/>
        </w:rPr>
        <w:t>En</w:t>
      </w:r>
      <w:r>
        <w:rPr>
          <w:spacing w:val="5"/>
          <w:sz w:val="15"/>
        </w:rPr>
        <w:t xml:space="preserve"> </w:t>
      </w:r>
      <w:r>
        <w:rPr>
          <w:sz w:val="15"/>
        </w:rPr>
        <w:t>2020,</w:t>
      </w:r>
      <w:r>
        <w:rPr>
          <w:spacing w:val="6"/>
          <w:sz w:val="15"/>
        </w:rPr>
        <w:t xml:space="preserve"> </w:t>
      </w:r>
      <w:r>
        <w:rPr>
          <w:sz w:val="15"/>
        </w:rPr>
        <w:t>el</w:t>
      </w:r>
      <w:r>
        <w:rPr>
          <w:spacing w:val="5"/>
          <w:sz w:val="15"/>
        </w:rPr>
        <w:t xml:space="preserve"> </w:t>
      </w:r>
      <w:r>
        <w:rPr>
          <w:sz w:val="15"/>
        </w:rPr>
        <w:t>Relator</w:t>
      </w:r>
      <w:r>
        <w:rPr>
          <w:spacing w:val="6"/>
          <w:sz w:val="15"/>
        </w:rPr>
        <w:t xml:space="preserve"> </w:t>
      </w:r>
      <w:r>
        <w:rPr>
          <w:sz w:val="15"/>
        </w:rPr>
        <w:t>Especial</w:t>
      </w:r>
      <w:r>
        <w:rPr>
          <w:spacing w:val="5"/>
          <w:sz w:val="15"/>
        </w:rPr>
        <w:t xml:space="preserve"> </w:t>
      </w:r>
      <w:r>
        <w:rPr>
          <w:sz w:val="15"/>
        </w:rPr>
        <w:t>sobre</w:t>
      </w:r>
      <w:r>
        <w:rPr>
          <w:spacing w:val="5"/>
          <w:sz w:val="15"/>
        </w:rPr>
        <w:t xml:space="preserve"> </w:t>
      </w:r>
      <w:r>
        <w:rPr>
          <w:sz w:val="15"/>
        </w:rPr>
        <w:t>los</w:t>
      </w:r>
      <w:r>
        <w:rPr>
          <w:spacing w:val="6"/>
          <w:sz w:val="15"/>
        </w:rPr>
        <w:t xml:space="preserve"> </w:t>
      </w:r>
      <w:r>
        <w:rPr>
          <w:sz w:val="15"/>
        </w:rPr>
        <w:t>derechos</w:t>
      </w:r>
      <w:r>
        <w:rPr>
          <w:spacing w:val="5"/>
          <w:sz w:val="15"/>
        </w:rPr>
        <w:t xml:space="preserve"> </w:t>
      </w:r>
      <w:r>
        <w:rPr>
          <w:sz w:val="15"/>
        </w:rPr>
        <w:t>de</w:t>
      </w:r>
      <w:r>
        <w:rPr>
          <w:spacing w:val="5"/>
          <w:sz w:val="15"/>
        </w:rPr>
        <w:t xml:space="preserve"> </w:t>
      </w:r>
      <w:r>
        <w:rPr>
          <w:sz w:val="15"/>
        </w:rPr>
        <w:t>las</w:t>
      </w:r>
      <w:r>
        <w:rPr>
          <w:spacing w:val="5"/>
          <w:sz w:val="15"/>
        </w:rPr>
        <w:t xml:space="preserve"> </w:t>
      </w:r>
      <w:r>
        <w:rPr>
          <w:sz w:val="15"/>
        </w:rPr>
        <w:t>personas</w:t>
      </w:r>
      <w:r>
        <w:rPr>
          <w:spacing w:val="6"/>
          <w:sz w:val="15"/>
        </w:rPr>
        <w:t xml:space="preserve"> </w:t>
      </w:r>
      <w:r>
        <w:rPr>
          <w:sz w:val="15"/>
        </w:rPr>
        <w:t>con</w:t>
      </w:r>
      <w:r>
        <w:rPr>
          <w:spacing w:val="5"/>
          <w:sz w:val="15"/>
        </w:rPr>
        <w:t xml:space="preserve"> </w:t>
      </w:r>
      <w:r>
        <w:rPr>
          <w:sz w:val="15"/>
        </w:rPr>
        <w:t>discapacidad,</w:t>
      </w:r>
      <w:r>
        <w:rPr>
          <w:spacing w:val="7"/>
          <w:sz w:val="15"/>
        </w:rPr>
        <w:t xml:space="preserve"> </w:t>
      </w:r>
      <w:r>
        <w:rPr>
          <w:sz w:val="15"/>
        </w:rPr>
        <w:t>el</w:t>
      </w:r>
      <w:r>
        <w:rPr>
          <w:spacing w:val="6"/>
          <w:sz w:val="15"/>
        </w:rPr>
        <w:t xml:space="preserve"> </w:t>
      </w:r>
      <w:r>
        <w:rPr>
          <w:sz w:val="15"/>
        </w:rPr>
        <w:t>Comité</w:t>
      </w:r>
      <w:r>
        <w:rPr>
          <w:spacing w:val="5"/>
          <w:sz w:val="15"/>
        </w:rPr>
        <w:t xml:space="preserve"> </w:t>
      </w:r>
      <w:r>
        <w:rPr>
          <w:sz w:val="15"/>
        </w:rPr>
        <w:t>de</w:t>
      </w:r>
      <w:r>
        <w:rPr>
          <w:spacing w:val="5"/>
          <w:sz w:val="15"/>
        </w:rPr>
        <w:t xml:space="preserve"> </w:t>
      </w:r>
      <w:r>
        <w:rPr>
          <w:sz w:val="15"/>
        </w:rPr>
        <w:t>Derechos</w:t>
      </w:r>
      <w:r>
        <w:rPr>
          <w:spacing w:val="5"/>
          <w:sz w:val="15"/>
        </w:rPr>
        <w:t xml:space="preserve"> </w:t>
      </w:r>
      <w:r>
        <w:rPr>
          <w:spacing w:val="-5"/>
          <w:sz w:val="15"/>
        </w:rPr>
        <w:t>de</w:t>
      </w:r>
    </w:p>
    <w:p w14:paraId="7A431B63" w14:textId="77777777" w:rsidR="0014798C" w:rsidRDefault="004E1F0B">
      <w:pPr>
        <w:spacing w:before="78" w:line="348" w:lineRule="auto"/>
        <w:ind w:left="1111" w:right="1290" w:hanging="4"/>
        <w:rPr>
          <w:sz w:val="15"/>
        </w:rPr>
      </w:pPr>
      <w:r>
        <w:rPr>
          <w:sz w:val="15"/>
        </w:rPr>
        <w:t>Personas con Discapacidad y el Enviado Especial del Secretario General de las Naciones Unidas para la Discapacidad y Accesibilidad publicaron conjuntamente los “Principios y Directrices Internacionales sobre el Acceso a la Justicia para las Personas con Discapacidad”.</w:t>
      </w:r>
    </w:p>
    <w:p w14:paraId="7B7E9F9F" w14:textId="77777777" w:rsidR="0014798C" w:rsidRDefault="004E1F0B">
      <w:pPr>
        <w:pStyle w:val="Textoindependiente"/>
        <w:spacing w:before="171"/>
        <w:rPr>
          <w:sz w:val="20"/>
        </w:rPr>
      </w:pPr>
      <w:r>
        <w:rPr>
          <w:noProof/>
        </w:rPr>
        <w:drawing>
          <wp:anchor distT="0" distB="0" distL="0" distR="0" simplePos="0" relativeHeight="251658536" behindDoc="1" locked="0" layoutInCell="1" allowOverlap="1" wp14:anchorId="358F8932" wp14:editId="5E8F0D31">
            <wp:simplePos x="0" y="0"/>
            <wp:positionH relativeFrom="page">
              <wp:posOffset>826632</wp:posOffset>
            </wp:positionH>
            <wp:positionV relativeFrom="paragraph">
              <wp:posOffset>270347</wp:posOffset>
            </wp:positionV>
            <wp:extent cx="931001" cy="35813"/>
            <wp:effectExtent l="0" t="0" r="0" b="0"/>
            <wp:wrapTopAndBottom/>
            <wp:docPr id="203" name="Image 20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03" name="Image 203"/>
                    <pic:cNvPicPr/>
                  </pic:nvPicPr>
                  <pic:blipFill>
                    <a:blip r:embed="rId182" cstate="print"/>
                    <a:stretch>
                      <a:fillRect/>
                    </a:stretch>
                  </pic:blipFill>
                  <pic:spPr>
                    <a:xfrm>
                      <a:off x="0" y="0"/>
                      <a:ext cx="931001" cy="35813"/>
                    </a:xfrm>
                    <a:prstGeom prst="rect">
                      <a:avLst/>
                    </a:prstGeom>
                  </pic:spPr>
                </pic:pic>
              </a:graphicData>
            </a:graphic>
          </wp:anchor>
        </w:drawing>
      </w:r>
    </w:p>
    <w:p w14:paraId="43BE7DF0" w14:textId="77777777" w:rsidR="0014798C" w:rsidRDefault="0014798C">
      <w:pPr>
        <w:pStyle w:val="Textoindependiente"/>
        <w:spacing w:before="30"/>
        <w:rPr>
          <w:sz w:val="12"/>
        </w:rPr>
      </w:pPr>
    </w:p>
    <w:p w14:paraId="7DF23EAB" w14:textId="77777777" w:rsidR="0014798C" w:rsidRDefault="004E1F0B">
      <w:pPr>
        <w:ind w:left="1108"/>
        <w:rPr>
          <w:sz w:val="12"/>
        </w:rPr>
      </w:pPr>
      <w:r>
        <w:rPr>
          <w:w w:val="105"/>
          <w:sz w:val="12"/>
        </w:rPr>
        <w:t>651</w:t>
      </w:r>
      <w:r>
        <w:rPr>
          <w:spacing w:val="-5"/>
          <w:w w:val="105"/>
          <w:sz w:val="12"/>
        </w:rPr>
        <w:t xml:space="preserve"> </w:t>
      </w:r>
      <w:proofErr w:type="spellStart"/>
      <w:r>
        <w:rPr>
          <w:w w:val="105"/>
          <w:sz w:val="12"/>
        </w:rPr>
        <w:t>Ibíd</w:t>
      </w:r>
      <w:proofErr w:type="spellEnd"/>
      <w:r>
        <w:rPr>
          <w:w w:val="105"/>
          <w:sz w:val="12"/>
        </w:rPr>
        <w:t>.,</w:t>
      </w:r>
      <w:r>
        <w:rPr>
          <w:spacing w:val="-4"/>
          <w:w w:val="105"/>
          <w:sz w:val="12"/>
        </w:rPr>
        <w:t xml:space="preserve"> </w:t>
      </w:r>
      <w:r>
        <w:rPr>
          <w:w w:val="105"/>
          <w:sz w:val="12"/>
        </w:rPr>
        <w:t>párr.</w:t>
      </w:r>
      <w:r>
        <w:rPr>
          <w:spacing w:val="-5"/>
          <w:w w:val="105"/>
          <w:sz w:val="12"/>
        </w:rPr>
        <w:t xml:space="preserve"> </w:t>
      </w:r>
      <w:r>
        <w:rPr>
          <w:w w:val="105"/>
          <w:sz w:val="12"/>
        </w:rPr>
        <w:t>14</w:t>
      </w:r>
      <w:r>
        <w:rPr>
          <w:spacing w:val="-4"/>
          <w:w w:val="105"/>
          <w:sz w:val="12"/>
        </w:rPr>
        <w:t xml:space="preserve"> </w:t>
      </w:r>
      <w:r>
        <w:rPr>
          <w:w w:val="105"/>
          <w:sz w:val="12"/>
        </w:rPr>
        <w:t>(d)</w:t>
      </w:r>
      <w:r>
        <w:rPr>
          <w:spacing w:val="-5"/>
          <w:w w:val="105"/>
          <w:sz w:val="12"/>
        </w:rPr>
        <w:t xml:space="preserve"> </w:t>
      </w:r>
      <w:r>
        <w:rPr>
          <w:w w:val="105"/>
          <w:sz w:val="12"/>
        </w:rPr>
        <w:t>y</w:t>
      </w:r>
      <w:r>
        <w:rPr>
          <w:spacing w:val="-4"/>
          <w:w w:val="105"/>
          <w:sz w:val="12"/>
        </w:rPr>
        <w:t xml:space="preserve"> (f).</w:t>
      </w:r>
    </w:p>
    <w:p w14:paraId="515B2832" w14:textId="77777777" w:rsidR="0014798C" w:rsidRDefault="004E1F0B">
      <w:pPr>
        <w:spacing w:before="92" w:line="312" w:lineRule="auto"/>
        <w:ind w:left="1371" w:right="1400" w:hanging="264"/>
        <w:rPr>
          <w:sz w:val="12"/>
        </w:rPr>
      </w:pPr>
      <w:r>
        <w:rPr>
          <w:sz w:val="12"/>
        </w:rPr>
        <w:t xml:space="preserve">652 </w:t>
      </w:r>
      <w:proofErr w:type="spellStart"/>
      <w:r>
        <w:rPr>
          <w:sz w:val="12"/>
        </w:rPr>
        <w:t>Ibíd</w:t>
      </w:r>
      <w:proofErr w:type="spellEnd"/>
      <w:r>
        <w:rPr>
          <w:sz w:val="12"/>
        </w:rPr>
        <w:t>., párr. 51c). Para</w:t>
      </w:r>
      <w:r>
        <w:rPr>
          <w:spacing w:val="-1"/>
          <w:sz w:val="12"/>
        </w:rPr>
        <w:t xml:space="preserve"> </w:t>
      </w:r>
      <w:r>
        <w:rPr>
          <w:sz w:val="12"/>
        </w:rPr>
        <w:t>obtener</w:t>
      </w:r>
      <w:r>
        <w:rPr>
          <w:spacing w:val="-1"/>
          <w:sz w:val="12"/>
        </w:rPr>
        <w:t xml:space="preserve"> </w:t>
      </w:r>
      <w:r>
        <w:rPr>
          <w:sz w:val="12"/>
        </w:rPr>
        <w:t>recursos relevantes</w:t>
      </w:r>
      <w:r>
        <w:rPr>
          <w:spacing w:val="-1"/>
          <w:sz w:val="12"/>
        </w:rPr>
        <w:t xml:space="preserve"> </w:t>
      </w:r>
      <w:r>
        <w:rPr>
          <w:sz w:val="12"/>
        </w:rPr>
        <w:t>para las necesidades</w:t>
      </w:r>
      <w:r>
        <w:rPr>
          <w:spacing w:val="-1"/>
          <w:sz w:val="12"/>
        </w:rPr>
        <w:t xml:space="preserve"> </w:t>
      </w:r>
      <w:r>
        <w:rPr>
          <w:sz w:val="12"/>
        </w:rPr>
        <w:t>de las personas</w:t>
      </w:r>
      <w:r>
        <w:rPr>
          <w:spacing w:val="-1"/>
          <w:sz w:val="12"/>
        </w:rPr>
        <w:t xml:space="preserve"> </w:t>
      </w:r>
      <w:r>
        <w:rPr>
          <w:sz w:val="12"/>
        </w:rPr>
        <w:t>expuestas</w:t>
      </w:r>
      <w:r>
        <w:rPr>
          <w:spacing w:val="-1"/>
          <w:sz w:val="12"/>
        </w:rPr>
        <w:t xml:space="preserve"> </w:t>
      </w:r>
      <w:r>
        <w:rPr>
          <w:sz w:val="12"/>
        </w:rPr>
        <w:t>a la discriminación, particularmente</w:t>
      </w:r>
      <w:r>
        <w:rPr>
          <w:spacing w:val="-1"/>
          <w:sz w:val="12"/>
        </w:rPr>
        <w:t xml:space="preserve"> </w:t>
      </w:r>
      <w:r>
        <w:rPr>
          <w:sz w:val="12"/>
        </w:rPr>
        <w:t>en el contexto</w:t>
      </w:r>
      <w:r>
        <w:rPr>
          <w:spacing w:val="-1"/>
          <w:sz w:val="12"/>
        </w:rPr>
        <w:t xml:space="preserve"> </w:t>
      </w:r>
      <w:r>
        <w:rPr>
          <w:sz w:val="12"/>
        </w:rPr>
        <w:t>de los crímenes</w:t>
      </w:r>
      <w:r>
        <w:rPr>
          <w:spacing w:val="40"/>
          <w:sz w:val="12"/>
        </w:rPr>
        <w:t xml:space="preserve"> </w:t>
      </w:r>
      <w:r>
        <w:rPr>
          <w:sz w:val="12"/>
        </w:rPr>
        <w:t>de odio, consulte Organización para la Seguridad y la Cooperación en Europa, Oficina de Instituciones Democráticas y Derechos Humanos, “</w:t>
      </w:r>
      <w:proofErr w:type="spellStart"/>
      <w:r>
        <w:rPr>
          <w:sz w:val="12"/>
        </w:rPr>
        <w:t>Understanding</w:t>
      </w:r>
      <w:proofErr w:type="spellEnd"/>
      <w:r>
        <w:rPr>
          <w:sz w:val="12"/>
        </w:rPr>
        <w:t xml:space="preserve"> </w:t>
      </w:r>
      <w:proofErr w:type="spellStart"/>
      <w:r>
        <w:rPr>
          <w:sz w:val="12"/>
        </w:rPr>
        <w:t>the</w:t>
      </w:r>
      <w:proofErr w:type="spellEnd"/>
    </w:p>
    <w:p w14:paraId="3121EC98" w14:textId="77777777" w:rsidR="0014798C" w:rsidRDefault="004E1F0B">
      <w:pPr>
        <w:spacing w:before="1" w:line="312" w:lineRule="auto"/>
        <w:ind w:left="1366" w:right="2004" w:firstLine="2"/>
        <w:rPr>
          <w:sz w:val="12"/>
        </w:rPr>
      </w:pPr>
      <w:proofErr w:type="spellStart"/>
      <w:r>
        <w:rPr>
          <w:sz w:val="12"/>
        </w:rPr>
        <w:t>need</w:t>
      </w:r>
      <w:proofErr w:type="spellEnd"/>
      <w:r>
        <w:rPr>
          <w:spacing w:val="-3"/>
          <w:sz w:val="12"/>
        </w:rPr>
        <w:t xml:space="preserve"> </w:t>
      </w:r>
      <w:r>
        <w:rPr>
          <w:sz w:val="12"/>
        </w:rPr>
        <w:t>of</w:t>
      </w:r>
      <w:r>
        <w:rPr>
          <w:spacing w:val="-3"/>
          <w:sz w:val="12"/>
        </w:rPr>
        <w:t xml:space="preserve"> </w:t>
      </w:r>
      <w:proofErr w:type="spellStart"/>
      <w:r>
        <w:rPr>
          <w:sz w:val="12"/>
        </w:rPr>
        <w:t>hate</w:t>
      </w:r>
      <w:proofErr w:type="spellEnd"/>
      <w:r>
        <w:rPr>
          <w:spacing w:val="-4"/>
          <w:sz w:val="12"/>
        </w:rPr>
        <w:t xml:space="preserve"> </w:t>
      </w:r>
      <w:proofErr w:type="spellStart"/>
      <w:r>
        <w:rPr>
          <w:sz w:val="12"/>
        </w:rPr>
        <w:t>crime</w:t>
      </w:r>
      <w:proofErr w:type="spellEnd"/>
      <w:r>
        <w:rPr>
          <w:spacing w:val="-3"/>
          <w:sz w:val="12"/>
        </w:rPr>
        <w:t xml:space="preserve"> </w:t>
      </w:r>
      <w:proofErr w:type="spellStart"/>
      <w:r>
        <w:rPr>
          <w:sz w:val="12"/>
        </w:rPr>
        <w:t>crime</w:t>
      </w:r>
      <w:proofErr w:type="spellEnd"/>
      <w:r>
        <w:rPr>
          <w:spacing w:val="-3"/>
          <w:sz w:val="12"/>
        </w:rPr>
        <w:t xml:space="preserve"> </w:t>
      </w:r>
      <w:proofErr w:type="spellStart"/>
      <w:r>
        <w:rPr>
          <w:sz w:val="12"/>
        </w:rPr>
        <w:t>victims</w:t>
      </w:r>
      <w:proofErr w:type="spellEnd"/>
      <w:r>
        <w:rPr>
          <w:sz w:val="12"/>
        </w:rPr>
        <w:t>”</w:t>
      </w:r>
      <w:r>
        <w:rPr>
          <w:spacing w:val="-4"/>
          <w:sz w:val="12"/>
        </w:rPr>
        <w:t xml:space="preserve"> </w:t>
      </w:r>
      <w:r>
        <w:rPr>
          <w:sz w:val="12"/>
        </w:rPr>
        <w:t>(Varsovia,</w:t>
      </w:r>
      <w:r>
        <w:rPr>
          <w:spacing w:val="-3"/>
          <w:sz w:val="12"/>
        </w:rPr>
        <w:t xml:space="preserve"> </w:t>
      </w:r>
      <w:r>
        <w:rPr>
          <w:sz w:val="12"/>
        </w:rPr>
        <w:t>2020)</w:t>
      </w:r>
      <w:proofErr w:type="gramStart"/>
      <w:r>
        <w:rPr>
          <w:sz w:val="12"/>
        </w:rPr>
        <w:t>.</w:t>
      </w:r>
      <w:r>
        <w:rPr>
          <w:spacing w:val="-4"/>
          <w:sz w:val="12"/>
        </w:rPr>
        <w:t xml:space="preserve"> </w:t>
      </w:r>
      <w:r>
        <w:rPr>
          <w:w w:val="85"/>
          <w:sz w:val="12"/>
        </w:rPr>
        <w:t>)</w:t>
      </w:r>
      <w:proofErr w:type="gramEnd"/>
      <w:r>
        <w:rPr>
          <w:w w:val="85"/>
          <w:sz w:val="12"/>
        </w:rPr>
        <w:t xml:space="preserve">; </w:t>
      </w:r>
      <w:r>
        <w:rPr>
          <w:sz w:val="12"/>
        </w:rPr>
        <w:t>y</w:t>
      </w:r>
      <w:r>
        <w:rPr>
          <w:spacing w:val="-3"/>
          <w:sz w:val="12"/>
        </w:rPr>
        <w:t xml:space="preserve"> </w:t>
      </w:r>
      <w:r>
        <w:rPr>
          <w:sz w:val="12"/>
        </w:rPr>
        <w:t>Agencia</w:t>
      </w:r>
      <w:r>
        <w:rPr>
          <w:spacing w:val="-4"/>
          <w:sz w:val="12"/>
        </w:rPr>
        <w:t xml:space="preserve"> </w:t>
      </w:r>
      <w:r>
        <w:rPr>
          <w:sz w:val="12"/>
        </w:rPr>
        <w:t>de</w:t>
      </w:r>
      <w:r>
        <w:rPr>
          <w:spacing w:val="-3"/>
          <w:sz w:val="12"/>
        </w:rPr>
        <w:t xml:space="preserve"> </w:t>
      </w:r>
      <w:r>
        <w:rPr>
          <w:sz w:val="12"/>
        </w:rPr>
        <w:t>Derechos</w:t>
      </w:r>
      <w:r>
        <w:rPr>
          <w:spacing w:val="-4"/>
          <w:sz w:val="12"/>
        </w:rPr>
        <w:t xml:space="preserve"> </w:t>
      </w:r>
      <w:r>
        <w:rPr>
          <w:sz w:val="12"/>
        </w:rPr>
        <w:t>Fundamentales</w:t>
      </w:r>
      <w:r>
        <w:rPr>
          <w:spacing w:val="-4"/>
          <w:sz w:val="12"/>
        </w:rPr>
        <w:t xml:space="preserve"> </w:t>
      </w:r>
      <w:r>
        <w:rPr>
          <w:sz w:val="12"/>
        </w:rPr>
        <w:t>de</w:t>
      </w:r>
      <w:r>
        <w:rPr>
          <w:spacing w:val="-3"/>
          <w:sz w:val="12"/>
        </w:rPr>
        <w:t xml:space="preserve"> </w:t>
      </w:r>
      <w:r>
        <w:rPr>
          <w:sz w:val="12"/>
        </w:rPr>
        <w:t>la</w:t>
      </w:r>
      <w:r>
        <w:rPr>
          <w:spacing w:val="-3"/>
          <w:sz w:val="12"/>
        </w:rPr>
        <w:t xml:space="preserve"> </w:t>
      </w:r>
      <w:r>
        <w:rPr>
          <w:sz w:val="12"/>
        </w:rPr>
        <w:t>Unión</w:t>
      </w:r>
      <w:r>
        <w:rPr>
          <w:spacing w:val="-3"/>
          <w:sz w:val="12"/>
        </w:rPr>
        <w:t xml:space="preserve"> </w:t>
      </w:r>
      <w:r>
        <w:rPr>
          <w:sz w:val="12"/>
        </w:rPr>
        <w:t>Europea,</w:t>
      </w:r>
      <w:r>
        <w:rPr>
          <w:spacing w:val="-3"/>
          <w:sz w:val="12"/>
        </w:rPr>
        <w:t xml:space="preserve"> </w:t>
      </w:r>
      <w:proofErr w:type="spellStart"/>
      <w:r>
        <w:rPr>
          <w:sz w:val="12"/>
        </w:rPr>
        <w:t>Ensuring</w:t>
      </w:r>
      <w:proofErr w:type="spellEnd"/>
      <w:r>
        <w:rPr>
          <w:spacing w:val="-4"/>
          <w:sz w:val="12"/>
        </w:rPr>
        <w:t xml:space="preserve"> </w:t>
      </w:r>
      <w:proofErr w:type="spellStart"/>
      <w:r>
        <w:rPr>
          <w:sz w:val="12"/>
        </w:rPr>
        <w:t>Justice</w:t>
      </w:r>
      <w:proofErr w:type="spellEnd"/>
      <w:r>
        <w:rPr>
          <w:spacing w:val="-3"/>
          <w:sz w:val="12"/>
        </w:rPr>
        <w:t xml:space="preserve"> </w:t>
      </w:r>
      <w:proofErr w:type="spellStart"/>
      <w:r>
        <w:rPr>
          <w:sz w:val="12"/>
        </w:rPr>
        <w:t>for</w:t>
      </w:r>
      <w:proofErr w:type="spellEnd"/>
      <w:r>
        <w:rPr>
          <w:spacing w:val="-4"/>
          <w:sz w:val="12"/>
        </w:rPr>
        <w:t xml:space="preserve"> </w:t>
      </w:r>
      <w:proofErr w:type="spellStart"/>
      <w:r>
        <w:rPr>
          <w:sz w:val="12"/>
        </w:rPr>
        <w:t>Hate</w:t>
      </w:r>
      <w:proofErr w:type="spellEnd"/>
      <w:r>
        <w:rPr>
          <w:spacing w:val="-4"/>
          <w:sz w:val="12"/>
        </w:rPr>
        <w:t xml:space="preserve"> </w:t>
      </w:r>
      <w:proofErr w:type="spellStart"/>
      <w:r>
        <w:rPr>
          <w:sz w:val="12"/>
        </w:rPr>
        <w:t>Crime</w:t>
      </w:r>
      <w:proofErr w:type="spellEnd"/>
      <w:r>
        <w:rPr>
          <w:spacing w:val="-3"/>
          <w:sz w:val="12"/>
        </w:rPr>
        <w:t xml:space="preserve"> </w:t>
      </w:r>
      <w:proofErr w:type="spellStart"/>
      <w:r>
        <w:rPr>
          <w:sz w:val="12"/>
        </w:rPr>
        <w:t>Victims</w:t>
      </w:r>
      <w:proofErr w:type="spellEnd"/>
      <w:r>
        <w:rPr>
          <w:sz w:val="12"/>
        </w:rPr>
        <w:t>:</w:t>
      </w:r>
      <w:r>
        <w:rPr>
          <w:spacing w:val="40"/>
          <w:sz w:val="12"/>
        </w:rPr>
        <w:t xml:space="preserve"> </w:t>
      </w:r>
      <w:r>
        <w:rPr>
          <w:sz w:val="12"/>
        </w:rPr>
        <w:t xml:space="preserve">Professional </w:t>
      </w:r>
      <w:proofErr w:type="spellStart"/>
      <w:r>
        <w:rPr>
          <w:sz w:val="12"/>
        </w:rPr>
        <w:t>Perspectives</w:t>
      </w:r>
      <w:proofErr w:type="spellEnd"/>
      <w:r>
        <w:rPr>
          <w:sz w:val="12"/>
        </w:rPr>
        <w:t xml:space="preserve"> (Luxemburgo, Oficina de Publicaciones de la Unión Europea, 2016).</w:t>
      </w:r>
    </w:p>
    <w:p w14:paraId="7D7E424E" w14:textId="77777777" w:rsidR="0014798C" w:rsidRDefault="004E1F0B">
      <w:pPr>
        <w:spacing w:before="64"/>
        <w:ind w:left="1108"/>
        <w:rPr>
          <w:sz w:val="12"/>
        </w:rPr>
      </w:pPr>
      <w:r>
        <w:rPr>
          <w:w w:val="105"/>
          <w:sz w:val="12"/>
        </w:rPr>
        <w:t>653</w:t>
      </w:r>
      <w:r>
        <w:rPr>
          <w:spacing w:val="-9"/>
          <w:w w:val="105"/>
          <w:sz w:val="12"/>
        </w:rPr>
        <w:t xml:space="preserve"> </w:t>
      </w:r>
      <w:r>
        <w:rPr>
          <w:w w:val="105"/>
          <w:sz w:val="12"/>
        </w:rPr>
        <w:t>Comité</w:t>
      </w:r>
      <w:r>
        <w:rPr>
          <w:spacing w:val="-8"/>
          <w:w w:val="105"/>
          <w:sz w:val="12"/>
        </w:rPr>
        <w:t xml:space="preserve"> </w:t>
      </w:r>
      <w:r>
        <w:rPr>
          <w:w w:val="105"/>
          <w:sz w:val="12"/>
        </w:rPr>
        <w:t>de</w:t>
      </w:r>
      <w:r>
        <w:rPr>
          <w:spacing w:val="-8"/>
          <w:w w:val="105"/>
          <w:sz w:val="12"/>
        </w:rPr>
        <w:t xml:space="preserve"> </w:t>
      </w:r>
      <w:r>
        <w:rPr>
          <w:w w:val="105"/>
          <w:sz w:val="12"/>
        </w:rPr>
        <w:t>Derechos</w:t>
      </w:r>
      <w:r>
        <w:rPr>
          <w:spacing w:val="-9"/>
          <w:w w:val="105"/>
          <w:sz w:val="12"/>
        </w:rPr>
        <w:t xml:space="preserve"> </w:t>
      </w:r>
      <w:r>
        <w:rPr>
          <w:w w:val="105"/>
          <w:sz w:val="12"/>
        </w:rPr>
        <w:t>Humanos,</w:t>
      </w:r>
      <w:r>
        <w:rPr>
          <w:spacing w:val="-8"/>
          <w:w w:val="105"/>
          <w:sz w:val="12"/>
        </w:rPr>
        <w:t xml:space="preserve"> </w:t>
      </w:r>
      <w:r>
        <w:rPr>
          <w:w w:val="105"/>
          <w:sz w:val="12"/>
        </w:rPr>
        <w:t>observación</w:t>
      </w:r>
      <w:r>
        <w:rPr>
          <w:spacing w:val="-8"/>
          <w:w w:val="105"/>
          <w:sz w:val="12"/>
        </w:rPr>
        <w:t xml:space="preserve"> </w:t>
      </w:r>
      <w:r>
        <w:rPr>
          <w:w w:val="105"/>
          <w:sz w:val="12"/>
        </w:rPr>
        <w:t>general</w:t>
      </w:r>
      <w:r>
        <w:rPr>
          <w:spacing w:val="-8"/>
          <w:w w:val="105"/>
          <w:sz w:val="12"/>
        </w:rPr>
        <w:t xml:space="preserve"> </w:t>
      </w:r>
      <w:r>
        <w:rPr>
          <w:w w:val="105"/>
          <w:sz w:val="12"/>
        </w:rPr>
        <w:t>núm.</w:t>
      </w:r>
      <w:r>
        <w:rPr>
          <w:spacing w:val="-9"/>
          <w:w w:val="105"/>
          <w:sz w:val="12"/>
        </w:rPr>
        <w:t xml:space="preserve"> </w:t>
      </w:r>
      <w:r>
        <w:rPr>
          <w:w w:val="105"/>
          <w:sz w:val="12"/>
        </w:rPr>
        <w:t>31</w:t>
      </w:r>
      <w:r>
        <w:rPr>
          <w:spacing w:val="-8"/>
          <w:w w:val="105"/>
          <w:sz w:val="12"/>
        </w:rPr>
        <w:t xml:space="preserve"> </w:t>
      </w:r>
      <w:r>
        <w:rPr>
          <w:w w:val="105"/>
          <w:sz w:val="12"/>
        </w:rPr>
        <w:t>(2004),</w:t>
      </w:r>
      <w:r>
        <w:rPr>
          <w:spacing w:val="-8"/>
          <w:w w:val="105"/>
          <w:sz w:val="12"/>
        </w:rPr>
        <w:t xml:space="preserve"> </w:t>
      </w:r>
      <w:r>
        <w:rPr>
          <w:w w:val="105"/>
          <w:sz w:val="12"/>
        </w:rPr>
        <w:t>párr.</w:t>
      </w:r>
      <w:r>
        <w:rPr>
          <w:spacing w:val="-8"/>
          <w:w w:val="105"/>
          <w:sz w:val="12"/>
        </w:rPr>
        <w:t xml:space="preserve"> </w:t>
      </w:r>
      <w:r>
        <w:rPr>
          <w:spacing w:val="-5"/>
          <w:w w:val="105"/>
          <w:sz w:val="12"/>
        </w:rPr>
        <w:t>15.</w:t>
      </w:r>
    </w:p>
    <w:p w14:paraId="6FC2A84A" w14:textId="77777777" w:rsidR="0014798C" w:rsidRDefault="004E1F0B">
      <w:pPr>
        <w:spacing w:before="99"/>
        <w:ind w:left="1108"/>
        <w:rPr>
          <w:sz w:val="12"/>
        </w:rPr>
      </w:pPr>
      <w:r>
        <w:rPr>
          <w:w w:val="105"/>
          <w:sz w:val="12"/>
        </w:rPr>
        <w:t>654</w:t>
      </w:r>
      <w:r>
        <w:rPr>
          <w:spacing w:val="-9"/>
          <w:w w:val="105"/>
          <w:sz w:val="12"/>
        </w:rPr>
        <w:t xml:space="preserve"> </w:t>
      </w:r>
      <w:r>
        <w:rPr>
          <w:w w:val="105"/>
          <w:sz w:val="12"/>
        </w:rPr>
        <w:t>Comité</w:t>
      </w:r>
      <w:r>
        <w:rPr>
          <w:spacing w:val="-8"/>
          <w:w w:val="105"/>
          <w:sz w:val="12"/>
        </w:rPr>
        <w:t xml:space="preserve"> </w:t>
      </w:r>
      <w:r>
        <w:rPr>
          <w:w w:val="105"/>
          <w:sz w:val="12"/>
        </w:rPr>
        <w:t>de</w:t>
      </w:r>
      <w:r>
        <w:rPr>
          <w:spacing w:val="-9"/>
          <w:w w:val="105"/>
          <w:sz w:val="12"/>
        </w:rPr>
        <w:t xml:space="preserve"> </w:t>
      </w:r>
      <w:r>
        <w:rPr>
          <w:w w:val="105"/>
          <w:sz w:val="12"/>
        </w:rPr>
        <w:t>Derechos</w:t>
      </w:r>
      <w:r>
        <w:rPr>
          <w:spacing w:val="-8"/>
          <w:w w:val="105"/>
          <w:sz w:val="12"/>
        </w:rPr>
        <w:t xml:space="preserve"> </w:t>
      </w:r>
      <w:r>
        <w:rPr>
          <w:w w:val="105"/>
          <w:sz w:val="12"/>
        </w:rPr>
        <w:t>Económicos,</w:t>
      </w:r>
      <w:r>
        <w:rPr>
          <w:spacing w:val="-8"/>
          <w:w w:val="105"/>
          <w:sz w:val="12"/>
        </w:rPr>
        <w:t xml:space="preserve"> </w:t>
      </w:r>
      <w:r>
        <w:rPr>
          <w:w w:val="105"/>
          <w:sz w:val="12"/>
        </w:rPr>
        <w:t>Sociales</w:t>
      </w:r>
      <w:r>
        <w:rPr>
          <w:spacing w:val="-8"/>
          <w:w w:val="105"/>
          <w:sz w:val="12"/>
        </w:rPr>
        <w:t xml:space="preserve"> </w:t>
      </w:r>
      <w:r>
        <w:rPr>
          <w:w w:val="105"/>
          <w:sz w:val="12"/>
        </w:rPr>
        <w:t>y</w:t>
      </w:r>
      <w:r>
        <w:rPr>
          <w:spacing w:val="-9"/>
          <w:w w:val="105"/>
          <w:sz w:val="12"/>
        </w:rPr>
        <w:t xml:space="preserve"> </w:t>
      </w:r>
      <w:r>
        <w:rPr>
          <w:w w:val="105"/>
          <w:sz w:val="12"/>
        </w:rPr>
        <w:t>Culturales,</w:t>
      </w:r>
      <w:r>
        <w:rPr>
          <w:spacing w:val="-7"/>
          <w:w w:val="105"/>
          <w:sz w:val="12"/>
        </w:rPr>
        <w:t xml:space="preserve"> </w:t>
      </w:r>
      <w:r>
        <w:rPr>
          <w:w w:val="105"/>
          <w:sz w:val="12"/>
        </w:rPr>
        <w:t>observación</w:t>
      </w:r>
      <w:r>
        <w:rPr>
          <w:spacing w:val="-9"/>
          <w:w w:val="105"/>
          <w:sz w:val="12"/>
        </w:rPr>
        <w:t xml:space="preserve"> </w:t>
      </w:r>
      <w:r>
        <w:rPr>
          <w:w w:val="105"/>
          <w:sz w:val="12"/>
        </w:rPr>
        <w:t>general</w:t>
      </w:r>
      <w:r>
        <w:rPr>
          <w:spacing w:val="-8"/>
          <w:w w:val="105"/>
          <w:sz w:val="12"/>
        </w:rPr>
        <w:t xml:space="preserve"> </w:t>
      </w:r>
      <w:r>
        <w:rPr>
          <w:w w:val="105"/>
          <w:sz w:val="12"/>
        </w:rPr>
        <w:t>núm.</w:t>
      </w:r>
      <w:r>
        <w:rPr>
          <w:spacing w:val="-8"/>
          <w:w w:val="105"/>
          <w:sz w:val="12"/>
        </w:rPr>
        <w:t xml:space="preserve"> </w:t>
      </w:r>
      <w:r>
        <w:rPr>
          <w:w w:val="105"/>
          <w:sz w:val="12"/>
        </w:rPr>
        <w:t>20</w:t>
      </w:r>
      <w:r>
        <w:rPr>
          <w:spacing w:val="-9"/>
          <w:w w:val="105"/>
          <w:sz w:val="12"/>
        </w:rPr>
        <w:t xml:space="preserve"> </w:t>
      </w:r>
      <w:r>
        <w:rPr>
          <w:w w:val="105"/>
          <w:sz w:val="12"/>
        </w:rPr>
        <w:t>(2009),</w:t>
      </w:r>
      <w:r>
        <w:rPr>
          <w:spacing w:val="-8"/>
          <w:w w:val="105"/>
          <w:sz w:val="12"/>
        </w:rPr>
        <w:t xml:space="preserve"> </w:t>
      </w:r>
      <w:r>
        <w:rPr>
          <w:w w:val="105"/>
          <w:sz w:val="12"/>
        </w:rPr>
        <w:t>párr.</w:t>
      </w:r>
      <w:r>
        <w:rPr>
          <w:spacing w:val="-9"/>
          <w:w w:val="105"/>
          <w:sz w:val="12"/>
        </w:rPr>
        <w:t xml:space="preserve"> </w:t>
      </w:r>
      <w:r>
        <w:rPr>
          <w:spacing w:val="-5"/>
          <w:w w:val="105"/>
          <w:sz w:val="12"/>
        </w:rPr>
        <w:t>40.</w:t>
      </w:r>
    </w:p>
    <w:p w14:paraId="19BF05C3" w14:textId="77777777" w:rsidR="0014798C" w:rsidRDefault="004E1F0B">
      <w:pPr>
        <w:spacing w:before="98"/>
        <w:ind w:left="1108"/>
        <w:rPr>
          <w:sz w:val="12"/>
        </w:rPr>
      </w:pPr>
      <w:r>
        <w:rPr>
          <w:w w:val="105"/>
          <w:sz w:val="12"/>
        </w:rPr>
        <w:t>655</w:t>
      </w:r>
      <w:r>
        <w:rPr>
          <w:spacing w:val="-8"/>
          <w:w w:val="105"/>
          <w:sz w:val="12"/>
        </w:rPr>
        <w:t xml:space="preserve"> </w:t>
      </w:r>
      <w:r>
        <w:rPr>
          <w:w w:val="105"/>
          <w:sz w:val="12"/>
        </w:rPr>
        <w:t>Comité</w:t>
      </w:r>
      <w:r>
        <w:rPr>
          <w:spacing w:val="-8"/>
          <w:w w:val="105"/>
          <w:sz w:val="12"/>
        </w:rPr>
        <w:t xml:space="preserve"> </w:t>
      </w:r>
      <w:r>
        <w:rPr>
          <w:w w:val="105"/>
          <w:sz w:val="12"/>
        </w:rPr>
        <w:t>para</w:t>
      </w:r>
      <w:r>
        <w:rPr>
          <w:spacing w:val="-7"/>
          <w:w w:val="105"/>
          <w:sz w:val="12"/>
        </w:rPr>
        <w:t xml:space="preserve"> </w:t>
      </w:r>
      <w:r>
        <w:rPr>
          <w:w w:val="105"/>
          <w:sz w:val="12"/>
        </w:rPr>
        <w:t>la</w:t>
      </w:r>
      <w:r>
        <w:rPr>
          <w:spacing w:val="-8"/>
          <w:w w:val="105"/>
          <w:sz w:val="12"/>
        </w:rPr>
        <w:t xml:space="preserve"> </w:t>
      </w:r>
      <w:r>
        <w:rPr>
          <w:w w:val="105"/>
          <w:sz w:val="12"/>
        </w:rPr>
        <w:t>Eliminación</w:t>
      </w:r>
      <w:r>
        <w:rPr>
          <w:spacing w:val="-8"/>
          <w:w w:val="105"/>
          <w:sz w:val="12"/>
        </w:rPr>
        <w:t xml:space="preserve"> </w:t>
      </w:r>
      <w:r>
        <w:rPr>
          <w:w w:val="105"/>
          <w:sz w:val="12"/>
        </w:rPr>
        <w:t>de</w:t>
      </w:r>
      <w:r>
        <w:rPr>
          <w:spacing w:val="-7"/>
          <w:w w:val="105"/>
          <w:sz w:val="12"/>
        </w:rPr>
        <w:t xml:space="preserve"> </w:t>
      </w:r>
      <w:r>
        <w:rPr>
          <w:w w:val="105"/>
          <w:sz w:val="12"/>
        </w:rPr>
        <w:t>la</w:t>
      </w:r>
      <w:r>
        <w:rPr>
          <w:spacing w:val="-8"/>
          <w:w w:val="105"/>
          <w:sz w:val="12"/>
        </w:rPr>
        <w:t xml:space="preserve"> </w:t>
      </w:r>
      <w:r>
        <w:rPr>
          <w:w w:val="105"/>
          <w:sz w:val="12"/>
        </w:rPr>
        <w:t>Discriminación</w:t>
      </w:r>
      <w:r>
        <w:rPr>
          <w:spacing w:val="-7"/>
          <w:w w:val="105"/>
          <w:sz w:val="12"/>
        </w:rPr>
        <w:t xml:space="preserve"> </w:t>
      </w:r>
      <w:r>
        <w:rPr>
          <w:w w:val="105"/>
          <w:sz w:val="12"/>
        </w:rPr>
        <w:t>contra</w:t>
      </w:r>
      <w:r>
        <w:rPr>
          <w:spacing w:val="-8"/>
          <w:w w:val="105"/>
          <w:sz w:val="12"/>
        </w:rPr>
        <w:t xml:space="preserve"> </w:t>
      </w:r>
      <w:r>
        <w:rPr>
          <w:w w:val="105"/>
          <w:sz w:val="12"/>
        </w:rPr>
        <w:t>la</w:t>
      </w:r>
      <w:r>
        <w:rPr>
          <w:spacing w:val="-8"/>
          <w:w w:val="105"/>
          <w:sz w:val="12"/>
        </w:rPr>
        <w:t xml:space="preserve"> </w:t>
      </w:r>
      <w:r>
        <w:rPr>
          <w:w w:val="105"/>
          <w:sz w:val="12"/>
        </w:rPr>
        <w:t>Mujer,</w:t>
      </w:r>
      <w:r>
        <w:rPr>
          <w:spacing w:val="-7"/>
          <w:w w:val="105"/>
          <w:sz w:val="12"/>
        </w:rPr>
        <w:t xml:space="preserve"> </w:t>
      </w:r>
      <w:r>
        <w:rPr>
          <w:w w:val="105"/>
          <w:sz w:val="12"/>
        </w:rPr>
        <w:t>recomendación</w:t>
      </w:r>
      <w:r>
        <w:rPr>
          <w:spacing w:val="-8"/>
          <w:w w:val="105"/>
          <w:sz w:val="12"/>
        </w:rPr>
        <w:t xml:space="preserve"> </w:t>
      </w:r>
      <w:r>
        <w:rPr>
          <w:w w:val="105"/>
          <w:sz w:val="12"/>
        </w:rPr>
        <w:t>general</w:t>
      </w:r>
      <w:r>
        <w:rPr>
          <w:spacing w:val="-7"/>
          <w:w w:val="105"/>
          <w:sz w:val="12"/>
        </w:rPr>
        <w:t xml:space="preserve"> </w:t>
      </w:r>
      <w:r>
        <w:rPr>
          <w:w w:val="105"/>
          <w:sz w:val="12"/>
        </w:rPr>
        <w:t>núm.</w:t>
      </w:r>
      <w:r>
        <w:rPr>
          <w:spacing w:val="-8"/>
          <w:w w:val="105"/>
          <w:sz w:val="12"/>
        </w:rPr>
        <w:t xml:space="preserve"> </w:t>
      </w:r>
      <w:r>
        <w:rPr>
          <w:w w:val="105"/>
          <w:sz w:val="12"/>
        </w:rPr>
        <w:t>33</w:t>
      </w:r>
      <w:r>
        <w:rPr>
          <w:spacing w:val="-8"/>
          <w:w w:val="105"/>
          <w:sz w:val="12"/>
        </w:rPr>
        <w:t xml:space="preserve"> </w:t>
      </w:r>
      <w:r>
        <w:rPr>
          <w:w w:val="105"/>
          <w:sz w:val="12"/>
        </w:rPr>
        <w:t>(2015),</w:t>
      </w:r>
      <w:r>
        <w:rPr>
          <w:spacing w:val="-7"/>
          <w:w w:val="105"/>
          <w:sz w:val="12"/>
        </w:rPr>
        <w:t xml:space="preserve"> </w:t>
      </w:r>
      <w:proofErr w:type="spellStart"/>
      <w:r>
        <w:rPr>
          <w:w w:val="105"/>
          <w:sz w:val="12"/>
        </w:rPr>
        <w:t>párrs</w:t>
      </w:r>
      <w:proofErr w:type="spellEnd"/>
      <w:r>
        <w:rPr>
          <w:w w:val="105"/>
          <w:sz w:val="12"/>
        </w:rPr>
        <w:t>.</w:t>
      </w:r>
      <w:r>
        <w:rPr>
          <w:spacing w:val="-8"/>
          <w:w w:val="105"/>
          <w:sz w:val="12"/>
        </w:rPr>
        <w:t xml:space="preserve"> </w:t>
      </w:r>
      <w:r>
        <w:rPr>
          <w:w w:val="105"/>
          <w:sz w:val="12"/>
        </w:rPr>
        <w:t>14</w:t>
      </w:r>
      <w:r>
        <w:rPr>
          <w:spacing w:val="-7"/>
          <w:w w:val="105"/>
          <w:sz w:val="12"/>
        </w:rPr>
        <w:t xml:space="preserve"> </w:t>
      </w:r>
      <w:r>
        <w:rPr>
          <w:w w:val="105"/>
          <w:sz w:val="12"/>
        </w:rPr>
        <w:t>(d),</w:t>
      </w:r>
      <w:r>
        <w:rPr>
          <w:spacing w:val="-8"/>
          <w:w w:val="105"/>
          <w:sz w:val="12"/>
        </w:rPr>
        <w:t xml:space="preserve"> </w:t>
      </w:r>
      <w:r>
        <w:rPr>
          <w:w w:val="105"/>
          <w:sz w:val="12"/>
        </w:rPr>
        <w:t>15</w:t>
      </w:r>
      <w:r>
        <w:rPr>
          <w:spacing w:val="-8"/>
          <w:w w:val="105"/>
          <w:sz w:val="12"/>
        </w:rPr>
        <w:t xml:space="preserve"> </w:t>
      </w:r>
      <w:r>
        <w:rPr>
          <w:w w:val="105"/>
          <w:sz w:val="12"/>
        </w:rPr>
        <w:t>(d),</w:t>
      </w:r>
      <w:r>
        <w:rPr>
          <w:spacing w:val="-7"/>
          <w:w w:val="105"/>
          <w:sz w:val="12"/>
        </w:rPr>
        <w:t xml:space="preserve"> </w:t>
      </w:r>
      <w:r>
        <w:rPr>
          <w:w w:val="105"/>
          <w:sz w:val="12"/>
        </w:rPr>
        <w:t>18</w:t>
      </w:r>
      <w:r>
        <w:rPr>
          <w:spacing w:val="-8"/>
          <w:w w:val="105"/>
          <w:sz w:val="12"/>
        </w:rPr>
        <w:t xml:space="preserve"> </w:t>
      </w:r>
      <w:r>
        <w:rPr>
          <w:spacing w:val="-4"/>
          <w:w w:val="105"/>
          <w:sz w:val="12"/>
        </w:rPr>
        <w:t>(a),</w:t>
      </w:r>
    </w:p>
    <w:p w14:paraId="504CCC73" w14:textId="77777777" w:rsidR="0014798C" w:rsidRDefault="004E1F0B">
      <w:pPr>
        <w:spacing w:before="30"/>
        <w:ind w:left="1366"/>
        <w:rPr>
          <w:sz w:val="12"/>
        </w:rPr>
      </w:pPr>
      <w:r>
        <w:rPr>
          <w:sz w:val="12"/>
        </w:rPr>
        <w:t xml:space="preserve">20(a) y </w:t>
      </w:r>
      <w:r>
        <w:rPr>
          <w:spacing w:val="-5"/>
          <w:sz w:val="12"/>
        </w:rPr>
        <w:t>54.</w:t>
      </w:r>
    </w:p>
    <w:p w14:paraId="2D4C43FA" w14:textId="77777777" w:rsidR="0014798C" w:rsidRDefault="0014798C">
      <w:pPr>
        <w:rPr>
          <w:sz w:val="12"/>
        </w:rPr>
        <w:sectPr w:rsidR="0014798C" w:rsidSect="00F265E4">
          <w:pgSz w:w="11900" w:h="16820"/>
          <w:pgMar w:top="340" w:right="0" w:bottom="280" w:left="200" w:header="121" w:footer="0" w:gutter="0"/>
          <w:cols w:space="720"/>
        </w:sectPr>
      </w:pPr>
    </w:p>
    <w:p w14:paraId="61D88C62" w14:textId="77777777" w:rsidR="0014798C" w:rsidRDefault="004E1F0B">
      <w:pPr>
        <w:spacing w:before="65"/>
        <w:jc w:val="right"/>
        <w:rPr>
          <w:sz w:val="8"/>
        </w:rPr>
      </w:pPr>
      <w:r>
        <w:rPr>
          <w:spacing w:val="-5"/>
          <w:w w:val="105"/>
          <w:sz w:val="8"/>
        </w:rPr>
        <w:t>656</w:t>
      </w:r>
    </w:p>
    <w:p w14:paraId="4B8E7F24" w14:textId="77777777" w:rsidR="0014798C" w:rsidRDefault="0014798C">
      <w:pPr>
        <w:pStyle w:val="Textoindependiente"/>
        <w:rPr>
          <w:sz w:val="8"/>
        </w:rPr>
      </w:pPr>
    </w:p>
    <w:p w14:paraId="34B0655D" w14:textId="77777777" w:rsidR="0014798C" w:rsidRDefault="0014798C">
      <w:pPr>
        <w:pStyle w:val="Textoindependiente"/>
        <w:rPr>
          <w:sz w:val="8"/>
        </w:rPr>
      </w:pPr>
    </w:p>
    <w:p w14:paraId="6E2D8017" w14:textId="77777777" w:rsidR="0014798C" w:rsidRDefault="0014798C">
      <w:pPr>
        <w:pStyle w:val="Textoindependiente"/>
        <w:spacing w:before="48"/>
        <w:rPr>
          <w:sz w:val="8"/>
        </w:rPr>
      </w:pPr>
    </w:p>
    <w:p w14:paraId="6297F45B" w14:textId="77777777" w:rsidR="0014798C" w:rsidRDefault="004E1F0B">
      <w:pPr>
        <w:jc w:val="right"/>
        <w:rPr>
          <w:sz w:val="8"/>
        </w:rPr>
      </w:pPr>
      <w:r>
        <w:rPr>
          <w:spacing w:val="-5"/>
          <w:w w:val="105"/>
          <w:sz w:val="8"/>
        </w:rPr>
        <w:t>657</w:t>
      </w:r>
    </w:p>
    <w:p w14:paraId="7A862697" w14:textId="77777777" w:rsidR="0014798C" w:rsidRDefault="004E1F0B">
      <w:pPr>
        <w:spacing w:before="103" w:line="312" w:lineRule="auto"/>
        <w:ind w:left="79" w:right="1277"/>
        <w:rPr>
          <w:sz w:val="12"/>
        </w:rPr>
      </w:pPr>
      <w:r>
        <w:br w:type="column"/>
      </w:r>
      <w:r>
        <w:rPr>
          <w:sz w:val="12"/>
        </w:rPr>
        <w:t>Véase,</w:t>
      </w:r>
      <w:r>
        <w:rPr>
          <w:spacing w:val="-4"/>
          <w:sz w:val="12"/>
        </w:rPr>
        <w:t xml:space="preserve"> </w:t>
      </w:r>
      <w:r>
        <w:rPr>
          <w:sz w:val="12"/>
        </w:rPr>
        <w:t>por</w:t>
      </w:r>
      <w:r>
        <w:rPr>
          <w:spacing w:val="-4"/>
          <w:sz w:val="12"/>
        </w:rPr>
        <w:t xml:space="preserve"> </w:t>
      </w:r>
      <w:r>
        <w:rPr>
          <w:sz w:val="12"/>
        </w:rPr>
        <w:t>ejemplo,</w:t>
      </w:r>
      <w:r>
        <w:rPr>
          <w:spacing w:val="-4"/>
          <w:sz w:val="12"/>
        </w:rPr>
        <w:t xml:space="preserve"> </w:t>
      </w:r>
      <w:r>
        <w:rPr>
          <w:sz w:val="12"/>
        </w:rPr>
        <w:t>Convención</w:t>
      </w:r>
      <w:r>
        <w:rPr>
          <w:spacing w:val="-4"/>
          <w:sz w:val="12"/>
        </w:rPr>
        <w:t xml:space="preserve"> </w:t>
      </w:r>
      <w:r>
        <w:rPr>
          <w:sz w:val="12"/>
        </w:rPr>
        <w:t>sobre</w:t>
      </w:r>
      <w:r>
        <w:rPr>
          <w:spacing w:val="-4"/>
          <w:sz w:val="12"/>
        </w:rPr>
        <w:t xml:space="preserve"> </w:t>
      </w:r>
      <w:r>
        <w:rPr>
          <w:sz w:val="12"/>
        </w:rPr>
        <w:t>los</w:t>
      </w:r>
      <w:r>
        <w:rPr>
          <w:spacing w:val="-4"/>
          <w:sz w:val="12"/>
        </w:rPr>
        <w:t xml:space="preserve"> </w:t>
      </w:r>
      <w:r>
        <w:rPr>
          <w:sz w:val="12"/>
        </w:rPr>
        <w:t>Derechos</w:t>
      </w:r>
      <w:r>
        <w:rPr>
          <w:spacing w:val="-5"/>
          <w:sz w:val="12"/>
        </w:rPr>
        <w:t xml:space="preserve"> </w:t>
      </w:r>
      <w:r>
        <w:rPr>
          <w:sz w:val="12"/>
        </w:rPr>
        <w:t>de</w:t>
      </w:r>
      <w:r>
        <w:rPr>
          <w:spacing w:val="-4"/>
          <w:sz w:val="12"/>
        </w:rPr>
        <w:t xml:space="preserve"> </w:t>
      </w:r>
      <w:r>
        <w:rPr>
          <w:sz w:val="12"/>
        </w:rPr>
        <w:t>las</w:t>
      </w:r>
      <w:r>
        <w:rPr>
          <w:spacing w:val="-4"/>
          <w:sz w:val="12"/>
        </w:rPr>
        <w:t xml:space="preserve"> </w:t>
      </w:r>
      <w:r>
        <w:rPr>
          <w:sz w:val="12"/>
        </w:rPr>
        <w:t>Personas</w:t>
      </w:r>
      <w:r>
        <w:rPr>
          <w:spacing w:val="-5"/>
          <w:sz w:val="12"/>
        </w:rPr>
        <w:t xml:space="preserve"> </w:t>
      </w:r>
      <w:r>
        <w:rPr>
          <w:sz w:val="12"/>
        </w:rPr>
        <w:t>con</w:t>
      </w:r>
      <w:r>
        <w:rPr>
          <w:spacing w:val="-4"/>
          <w:sz w:val="12"/>
        </w:rPr>
        <w:t xml:space="preserve"> </w:t>
      </w:r>
      <w:r>
        <w:rPr>
          <w:sz w:val="12"/>
        </w:rPr>
        <w:t>Discapacidad,</w:t>
      </w:r>
      <w:r>
        <w:rPr>
          <w:spacing w:val="-3"/>
          <w:sz w:val="12"/>
        </w:rPr>
        <w:t xml:space="preserve"> </w:t>
      </w:r>
      <w:r>
        <w:rPr>
          <w:sz w:val="12"/>
        </w:rPr>
        <w:t>art.</w:t>
      </w:r>
      <w:r>
        <w:rPr>
          <w:spacing w:val="-4"/>
          <w:sz w:val="12"/>
        </w:rPr>
        <w:t xml:space="preserve"> </w:t>
      </w:r>
      <w:r>
        <w:rPr>
          <w:sz w:val="12"/>
        </w:rPr>
        <w:t>13</w:t>
      </w:r>
      <w:r>
        <w:rPr>
          <w:spacing w:val="-4"/>
          <w:sz w:val="12"/>
        </w:rPr>
        <w:t xml:space="preserve"> </w:t>
      </w:r>
      <w:r>
        <w:rPr>
          <w:sz w:val="12"/>
        </w:rPr>
        <w:t>(</w:t>
      </w:r>
      <w:proofErr w:type="gramStart"/>
      <w:r>
        <w:rPr>
          <w:sz w:val="12"/>
        </w:rPr>
        <w:t>2);</w:t>
      </w:r>
      <w:proofErr w:type="gramEnd"/>
      <w:r>
        <w:rPr>
          <w:spacing w:val="-4"/>
          <w:sz w:val="12"/>
        </w:rPr>
        <w:t xml:space="preserve"> </w:t>
      </w:r>
      <w:r>
        <w:rPr>
          <w:sz w:val="12"/>
        </w:rPr>
        <w:t>y</w:t>
      </w:r>
      <w:r>
        <w:rPr>
          <w:spacing w:val="-4"/>
          <w:sz w:val="12"/>
        </w:rPr>
        <w:t xml:space="preserve"> </w:t>
      </w:r>
      <w:r>
        <w:rPr>
          <w:sz w:val="12"/>
        </w:rPr>
        <w:t>Comité</w:t>
      </w:r>
      <w:r>
        <w:rPr>
          <w:spacing w:val="-5"/>
          <w:sz w:val="12"/>
        </w:rPr>
        <w:t xml:space="preserve"> </w:t>
      </w:r>
      <w:r>
        <w:rPr>
          <w:sz w:val="12"/>
        </w:rPr>
        <w:t>para</w:t>
      </w:r>
      <w:r>
        <w:rPr>
          <w:spacing w:val="-4"/>
          <w:sz w:val="12"/>
        </w:rPr>
        <w:t xml:space="preserve"> </w:t>
      </w:r>
      <w:r>
        <w:rPr>
          <w:sz w:val="12"/>
        </w:rPr>
        <w:t>la</w:t>
      </w:r>
      <w:r>
        <w:rPr>
          <w:spacing w:val="-4"/>
          <w:sz w:val="12"/>
        </w:rPr>
        <w:t xml:space="preserve"> </w:t>
      </w:r>
      <w:r>
        <w:rPr>
          <w:sz w:val="12"/>
        </w:rPr>
        <w:t>Eliminación</w:t>
      </w:r>
      <w:r>
        <w:rPr>
          <w:spacing w:val="-5"/>
          <w:sz w:val="12"/>
        </w:rPr>
        <w:t xml:space="preserve"> </w:t>
      </w:r>
      <w:r>
        <w:rPr>
          <w:sz w:val="12"/>
        </w:rPr>
        <w:t>de</w:t>
      </w:r>
      <w:r>
        <w:rPr>
          <w:spacing w:val="-4"/>
          <w:sz w:val="12"/>
        </w:rPr>
        <w:t xml:space="preserve"> </w:t>
      </w:r>
      <w:r>
        <w:rPr>
          <w:sz w:val="12"/>
        </w:rPr>
        <w:t>la</w:t>
      </w:r>
      <w:r>
        <w:rPr>
          <w:spacing w:val="-4"/>
          <w:sz w:val="12"/>
        </w:rPr>
        <w:t xml:space="preserve"> </w:t>
      </w:r>
      <w:r>
        <w:rPr>
          <w:sz w:val="12"/>
        </w:rPr>
        <w:t>Discriminación</w:t>
      </w:r>
      <w:r>
        <w:rPr>
          <w:spacing w:val="-4"/>
          <w:sz w:val="12"/>
        </w:rPr>
        <w:t xml:space="preserve"> </w:t>
      </w:r>
      <w:r>
        <w:rPr>
          <w:sz w:val="12"/>
        </w:rPr>
        <w:t>contra</w:t>
      </w:r>
      <w:r>
        <w:rPr>
          <w:spacing w:val="-4"/>
          <w:sz w:val="12"/>
        </w:rPr>
        <w:t xml:space="preserve"> </w:t>
      </w:r>
      <w:r>
        <w:rPr>
          <w:sz w:val="12"/>
        </w:rPr>
        <w:t>la</w:t>
      </w:r>
      <w:r>
        <w:rPr>
          <w:spacing w:val="-4"/>
          <w:sz w:val="12"/>
        </w:rPr>
        <w:t xml:space="preserve"> </w:t>
      </w:r>
      <w:r>
        <w:rPr>
          <w:sz w:val="12"/>
        </w:rPr>
        <w:t>Mujer,</w:t>
      </w:r>
      <w:r>
        <w:rPr>
          <w:spacing w:val="40"/>
          <w:sz w:val="12"/>
        </w:rPr>
        <w:t xml:space="preserve"> </w:t>
      </w:r>
      <w:r>
        <w:rPr>
          <w:sz w:val="12"/>
        </w:rPr>
        <w:t>recomendación general núm. 33 (2015), párr. 64 a).</w:t>
      </w:r>
    </w:p>
    <w:p w14:paraId="07835F67" w14:textId="77777777" w:rsidR="0014798C" w:rsidRDefault="004E1F0B">
      <w:pPr>
        <w:spacing w:before="58" w:line="312" w:lineRule="auto"/>
        <w:ind w:left="76" w:right="1620" w:firstLine="4"/>
        <w:rPr>
          <w:sz w:val="12"/>
        </w:rPr>
      </w:pPr>
      <w:r>
        <w:rPr>
          <w:sz w:val="12"/>
        </w:rPr>
        <w:t>Véase, por ejemplo, Simone</w:t>
      </w:r>
      <w:r>
        <w:rPr>
          <w:spacing w:val="-1"/>
          <w:sz w:val="12"/>
        </w:rPr>
        <w:t xml:space="preserve"> </w:t>
      </w:r>
      <w:proofErr w:type="spellStart"/>
      <w:r>
        <w:rPr>
          <w:sz w:val="12"/>
        </w:rPr>
        <w:t>Cusack</w:t>
      </w:r>
      <w:proofErr w:type="spellEnd"/>
      <w:r>
        <w:rPr>
          <w:sz w:val="12"/>
        </w:rPr>
        <w:t>, “Eliminación</w:t>
      </w:r>
      <w:r>
        <w:rPr>
          <w:spacing w:val="-1"/>
          <w:sz w:val="12"/>
        </w:rPr>
        <w:t xml:space="preserve"> </w:t>
      </w:r>
      <w:r>
        <w:rPr>
          <w:sz w:val="12"/>
        </w:rPr>
        <w:t>de los estereotipos</w:t>
      </w:r>
      <w:r>
        <w:rPr>
          <w:spacing w:val="-1"/>
          <w:sz w:val="12"/>
        </w:rPr>
        <w:t xml:space="preserve"> </w:t>
      </w:r>
      <w:r>
        <w:rPr>
          <w:sz w:val="12"/>
        </w:rPr>
        <w:t>judiciales: igualdad de acceso a la justicia</w:t>
      </w:r>
      <w:r>
        <w:rPr>
          <w:spacing w:val="-1"/>
          <w:sz w:val="12"/>
        </w:rPr>
        <w:t xml:space="preserve"> </w:t>
      </w:r>
      <w:r>
        <w:rPr>
          <w:sz w:val="12"/>
        </w:rPr>
        <w:t>para las mujeres</w:t>
      </w:r>
      <w:r>
        <w:rPr>
          <w:spacing w:val="-1"/>
          <w:sz w:val="12"/>
        </w:rPr>
        <w:t xml:space="preserve"> </w:t>
      </w:r>
      <w:r>
        <w:rPr>
          <w:sz w:val="12"/>
        </w:rPr>
        <w:t>en casos de violencia de género”</w:t>
      </w:r>
      <w:r>
        <w:rPr>
          <w:spacing w:val="40"/>
          <w:sz w:val="12"/>
        </w:rPr>
        <w:t xml:space="preserve"> </w:t>
      </w:r>
      <w:r>
        <w:rPr>
          <w:sz w:val="12"/>
        </w:rPr>
        <w:t>(2014)</w:t>
      </w:r>
      <w:r>
        <w:rPr>
          <w:spacing w:val="-6"/>
          <w:sz w:val="12"/>
        </w:rPr>
        <w:t xml:space="preserve"> </w:t>
      </w:r>
      <w:hyperlink r:id="rId183">
        <w:r>
          <w:rPr>
            <w:color w:val="0075BF"/>
            <w:sz w:val="12"/>
          </w:rPr>
          <w:t>(www.ohchr.org/Documents/Issues/Women/WRGS/StudyGenderStereotyping.doc);</w:t>
        </w:r>
      </w:hyperlink>
      <w:r>
        <w:rPr>
          <w:color w:val="0075BF"/>
          <w:spacing w:val="-4"/>
          <w:sz w:val="12"/>
        </w:rPr>
        <w:t xml:space="preserve"> </w:t>
      </w:r>
      <w:r>
        <w:rPr>
          <w:sz w:val="12"/>
        </w:rPr>
        <w:t>ACNUDH,</w:t>
      </w:r>
      <w:r>
        <w:rPr>
          <w:spacing w:val="-5"/>
          <w:sz w:val="12"/>
        </w:rPr>
        <w:t xml:space="preserve"> </w:t>
      </w:r>
      <w:r>
        <w:rPr>
          <w:sz w:val="12"/>
        </w:rPr>
        <w:t>“Documento</w:t>
      </w:r>
      <w:r>
        <w:rPr>
          <w:spacing w:val="-5"/>
          <w:sz w:val="12"/>
        </w:rPr>
        <w:t xml:space="preserve"> </w:t>
      </w:r>
      <w:r>
        <w:rPr>
          <w:sz w:val="12"/>
        </w:rPr>
        <w:t>de</w:t>
      </w:r>
      <w:r>
        <w:rPr>
          <w:spacing w:val="-5"/>
          <w:sz w:val="12"/>
        </w:rPr>
        <w:t xml:space="preserve"> </w:t>
      </w:r>
      <w:r>
        <w:rPr>
          <w:sz w:val="12"/>
        </w:rPr>
        <w:t>antecedentes</w:t>
      </w:r>
      <w:r>
        <w:rPr>
          <w:spacing w:val="-6"/>
          <w:sz w:val="12"/>
        </w:rPr>
        <w:t xml:space="preserve"> </w:t>
      </w:r>
      <w:r>
        <w:rPr>
          <w:sz w:val="12"/>
        </w:rPr>
        <w:t>sobre</w:t>
      </w:r>
      <w:r>
        <w:rPr>
          <w:spacing w:val="-5"/>
          <w:sz w:val="12"/>
        </w:rPr>
        <w:t xml:space="preserve"> </w:t>
      </w:r>
      <w:r>
        <w:rPr>
          <w:sz w:val="12"/>
        </w:rPr>
        <w:t>el</w:t>
      </w:r>
      <w:r>
        <w:rPr>
          <w:spacing w:val="-5"/>
          <w:sz w:val="12"/>
        </w:rPr>
        <w:t xml:space="preserve"> </w:t>
      </w:r>
      <w:r>
        <w:rPr>
          <w:sz w:val="12"/>
        </w:rPr>
        <w:t>papel</w:t>
      </w:r>
      <w:r>
        <w:rPr>
          <w:spacing w:val="-5"/>
          <w:sz w:val="12"/>
        </w:rPr>
        <w:t xml:space="preserve"> </w:t>
      </w:r>
      <w:r>
        <w:rPr>
          <w:sz w:val="12"/>
        </w:rPr>
        <w:t>del</w:t>
      </w:r>
      <w:r>
        <w:rPr>
          <w:spacing w:val="-5"/>
          <w:sz w:val="12"/>
        </w:rPr>
        <w:t xml:space="preserve"> </w:t>
      </w:r>
      <w:r>
        <w:rPr>
          <w:sz w:val="12"/>
        </w:rPr>
        <w:t>poder</w:t>
      </w:r>
      <w:r>
        <w:rPr>
          <w:spacing w:val="40"/>
          <w:sz w:val="12"/>
        </w:rPr>
        <w:t xml:space="preserve"> </w:t>
      </w:r>
      <w:r>
        <w:rPr>
          <w:sz w:val="12"/>
        </w:rPr>
        <w:t xml:space="preserve">judicial en la lucha contra los estereotipos de género dañinos relacionados con la salud y los derechos sexuales y reproductivos” (2018) </w:t>
      </w:r>
      <w:hyperlink r:id="rId184">
        <w:r>
          <w:rPr>
            <w:color w:val="0075BF"/>
            <w:sz w:val="12"/>
          </w:rPr>
          <w:t>(www.ohchr.org/</w:t>
        </w:r>
      </w:hyperlink>
      <w:r>
        <w:rPr>
          <w:color w:val="0075BF"/>
          <w:spacing w:val="40"/>
          <w:sz w:val="12"/>
        </w:rPr>
        <w:t xml:space="preserve"> </w:t>
      </w:r>
      <w:r>
        <w:rPr>
          <w:color w:val="0075BF"/>
          <w:sz w:val="12"/>
        </w:rPr>
        <w:t>Documents/Issues/Women/WRGS/JudiciaryRoleCounterStereotypes_EN.pdf);</w:t>
      </w:r>
      <w:r>
        <w:rPr>
          <w:color w:val="0075BF"/>
          <w:spacing w:val="-5"/>
          <w:sz w:val="12"/>
        </w:rPr>
        <w:t xml:space="preserve"> </w:t>
      </w:r>
      <w:r>
        <w:rPr>
          <w:sz w:val="12"/>
        </w:rPr>
        <w:t>y</w:t>
      </w:r>
      <w:r>
        <w:rPr>
          <w:spacing w:val="-6"/>
          <w:sz w:val="12"/>
        </w:rPr>
        <w:t xml:space="preserve"> </w:t>
      </w:r>
      <w:r>
        <w:rPr>
          <w:sz w:val="12"/>
        </w:rPr>
        <w:t>ACNUDH,</w:t>
      </w:r>
      <w:r>
        <w:rPr>
          <w:spacing w:val="-6"/>
          <w:sz w:val="12"/>
        </w:rPr>
        <w:t xml:space="preserve"> </w:t>
      </w:r>
      <w:r>
        <w:rPr>
          <w:sz w:val="12"/>
        </w:rPr>
        <w:t>“Los</w:t>
      </w:r>
      <w:r>
        <w:rPr>
          <w:spacing w:val="-6"/>
          <w:sz w:val="12"/>
        </w:rPr>
        <w:t xml:space="preserve"> </w:t>
      </w:r>
      <w:r>
        <w:rPr>
          <w:sz w:val="12"/>
        </w:rPr>
        <w:t>estereotipos</w:t>
      </w:r>
      <w:r>
        <w:rPr>
          <w:spacing w:val="-7"/>
          <w:sz w:val="12"/>
        </w:rPr>
        <w:t xml:space="preserve"> </w:t>
      </w:r>
      <w:r>
        <w:rPr>
          <w:sz w:val="12"/>
        </w:rPr>
        <w:t>de</w:t>
      </w:r>
      <w:r>
        <w:rPr>
          <w:spacing w:val="-6"/>
          <w:sz w:val="12"/>
        </w:rPr>
        <w:t xml:space="preserve"> </w:t>
      </w:r>
      <w:r>
        <w:rPr>
          <w:sz w:val="12"/>
        </w:rPr>
        <w:t>género</w:t>
      </w:r>
      <w:r>
        <w:rPr>
          <w:spacing w:val="-6"/>
          <w:sz w:val="12"/>
        </w:rPr>
        <w:t xml:space="preserve"> </w:t>
      </w:r>
      <w:r>
        <w:rPr>
          <w:sz w:val="12"/>
        </w:rPr>
        <w:t>y</w:t>
      </w:r>
      <w:r>
        <w:rPr>
          <w:spacing w:val="-6"/>
          <w:sz w:val="12"/>
        </w:rPr>
        <w:t xml:space="preserve"> </w:t>
      </w:r>
      <w:r>
        <w:rPr>
          <w:sz w:val="12"/>
        </w:rPr>
        <w:t>el</w:t>
      </w:r>
      <w:r>
        <w:rPr>
          <w:spacing w:val="-6"/>
          <w:sz w:val="12"/>
        </w:rPr>
        <w:t xml:space="preserve"> </w:t>
      </w:r>
      <w:r>
        <w:rPr>
          <w:sz w:val="12"/>
        </w:rPr>
        <w:t>poder</w:t>
      </w:r>
      <w:r>
        <w:rPr>
          <w:spacing w:val="-7"/>
          <w:sz w:val="12"/>
        </w:rPr>
        <w:t xml:space="preserve"> </w:t>
      </w:r>
      <w:r>
        <w:rPr>
          <w:sz w:val="12"/>
        </w:rPr>
        <w:t>judicial”</w:t>
      </w:r>
      <w:r>
        <w:rPr>
          <w:spacing w:val="-7"/>
          <w:sz w:val="12"/>
        </w:rPr>
        <w:t xml:space="preserve"> </w:t>
      </w:r>
      <w:r>
        <w:rPr>
          <w:sz w:val="12"/>
        </w:rPr>
        <w:t>(2020)</w:t>
      </w:r>
      <w:r>
        <w:rPr>
          <w:spacing w:val="-7"/>
          <w:sz w:val="12"/>
        </w:rPr>
        <w:t xml:space="preserve"> </w:t>
      </w:r>
      <w:hyperlink r:id="rId185">
        <w:r>
          <w:rPr>
            <w:color w:val="0075BF"/>
            <w:sz w:val="12"/>
          </w:rPr>
          <w:t>(www.ohchr.org/</w:t>
        </w:r>
      </w:hyperlink>
      <w:r>
        <w:rPr>
          <w:color w:val="0075BF"/>
          <w:spacing w:val="40"/>
          <w:sz w:val="12"/>
        </w:rPr>
        <w:t xml:space="preserve"> </w:t>
      </w:r>
      <w:proofErr w:type="spellStart"/>
      <w:r>
        <w:rPr>
          <w:color w:val="0075BF"/>
          <w:spacing w:val="-2"/>
          <w:sz w:val="12"/>
        </w:rPr>
        <w:t>Documents</w:t>
      </w:r>
      <w:proofErr w:type="spellEnd"/>
      <w:r>
        <w:rPr>
          <w:color w:val="0075BF"/>
          <w:spacing w:val="-2"/>
          <w:sz w:val="12"/>
        </w:rPr>
        <w:t>/</w:t>
      </w:r>
      <w:proofErr w:type="spellStart"/>
      <w:r>
        <w:rPr>
          <w:color w:val="0075BF"/>
          <w:spacing w:val="-2"/>
          <w:sz w:val="12"/>
        </w:rPr>
        <w:t>Publications</w:t>
      </w:r>
      <w:proofErr w:type="spellEnd"/>
      <w:r>
        <w:rPr>
          <w:color w:val="0075BF"/>
          <w:spacing w:val="-2"/>
          <w:sz w:val="12"/>
        </w:rPr>
        <w:t>/GenderStereotyping_EN.pdf).</w:t>
      </w:r>
    </w:p>
    <w:p w14:paraId="55EF9F4D" w14:textId="77777777" w:rsidR="0014798C" w:rsidRDefault="0014798C">
      <w:pPr>
        <w:spacing w:line="312" w:lineRule="auto"/>
        <w:rPr>
          <w:sz w:val="12"/>
        </w:rPr>
        <w:sectPr w:rsidR="0014798C" w:rsidSect="00F265E4">
          <w:type w:val="continuous"/>
          <w:pgSz w:w="11900" w:h="16820"/>
          <w:pgMar w:top="40" w:right="0" w:bottom="280" w:left="200" w:header="121" w:footer="0" w:gutter="0"/>
          <w:cols w:num="2" w:space="720" w:equalWidth="0">
            <w:col w:w="1250" w:space="40"/>
            <w:col w:w="10410"/>
          </w:cols>
        </w:sectPr>
      </w:pPr>
    </w:p>
    <w:p w14:paraId="64BF1F3E" w14:textId="77777777" w:rsidR="0014798C" w:rsidRDefault="004E1F0B">
      <w:pPr>
        <w:pStyle w:val="Prrafodelista"/>
        <w:numPr>
          <w:ilvl w:val="0"/>
          <w:numId w:val="45"/>
        </w:numPr>
        <w:tabs>
          <w:tab w:val="left" w:pos="1349"/>
        </w:tabs>
        <w:spacing w:before="65"/>
        <w:ind w:left="1349" w:hanging="241"/>
        <w:rPr>
          <w:sz w:val="12"/>
        </w:rPr>
      </w:pPr>
      <w:r>
        <w:rPr>
          <w:spacing w:val="-2"/>
          <w:w w:val="105"/>
          <w:sz w:val="12"/>
        </w:rPr>
        <w:t>Comité</w:t>
      </w:r>
      <w:r>
        <w:rPr>
          <w:spacing w:val="2"/>
          <w:w w:val="105"/>
          <w:sz w:val="12"/>
        </w:rPr>
        <w:t xml:space="preserve"> </w:t>
      </w:r>
      <w:r>
        <w:rPr>
          <w:spacing w:val="-2"/>
          <w:w w:val="105"/>
          <w:sz w:val="12"/>
        </w:rPr>
        <w:t>para</w:t>
      </w:r>
      <w:r>
        <w:rPr>
          <w:spacing w:val="3"/>
          <w:w w:val="105"/>
          <w:sz w:val="12"/>
        </w:rPr>
        <w:t xml:space="preserve"> </w:t>
      </w:r>
      <w:r>
        <w:rPr>
          <w:spacing w:val="-2"/>
          <w:w w:val="105"/>
          <w:sz w:val="12"/>
        </w:rPr>
        <w:t>la</w:t>
      </w:r>
      <w:r>
        <w:rPr>
          <w:spacing w:val="3"/>
          <w:w w:val="105"/>
          <w:sz w:val="12"/>
        </w:rPr>
        <w:t xml:space="preserve"> </w:t>
      </w:r>
      <w:r>
        <w:rPr>
          <w:spacing w:val="-2"/>
          <w:w w:val="105"/>
          <w:sz w:val="12"/>
        </w:rPr>
        <w:t>Eliminación</w:t>
      </w:r>
      <w:r>
        <w:rPr>
          <w:spacing w:val="3"/>
          <w:w w:val="105"/>
          <w:sz w:val="12"/>
        </w:rPr>
        <w:t xml:space="preserve"> </w:t>
      </w:r>
      <w:r>
        <w:rPr>
          <w:spacing w:val="-2"/>
          <w:w w:val="105"/>
          <w:sz w:val="12"/>
        </w:rPr>
        <w:t>de</w:t>
      </w:r>
      <w:r>
        <w:rPr>
          <w:spacing w:val="3"/>
          <w:w w:val="105"/>
          <w:sz w:val="12"/>
        </w:rPr>
        <w:t xml:space="preserve"> </w:t>
      </w:r>
      <w:r>
        <w:rPr>
          <w:spacing w:val="-2"/>
          <w:w w:val="105"/>
          <w:sz w:val="12"/>
        </w:rPr>
        <w:t>la</w:t>
      </w:r>
      <w:r>
        <w:rPr>
          <w:spacing w:val="2"/>
          <w:w w:val="105"/>
          <w:sz w:val="12"/>
        </w:rPr>
        <w:t xml:space="preserve"> </w:t>
      </w:r>
      <w:r>
        <w:rPr>
          <w:spacing w:val="-2"/>
          <w:w w:val="105"/>
          <w:sz w:val="12"/>
        </w:rPr>
        <w:t>Discriminación</w:t>
      </w:r>
      <w:r>
        <w:rPr>
          <w:spacing w:val="3"/>
          <w:w w:val="105"/>
          <w:sz w:val="12"/>
        </w:rPr>
        <w:t xml:space="preserve"> </w:t>
      </w:r>
      <w:r>
        <w:rPr>
          <w:spacing w:val="-2"/>
          <w:w w:val="105"/>
          <w:sz w:val="12"/>
        </w:rPr>
        <w:t>contra</w:t>
      </w:r>
      <w:r>
        <w:rPr>
          <w:spacing w:val="3"/>
          <w:w w:val="105"/>
          <w:sz w:val="12"/>
        </w:rPr>
        <w:t xml:space="preserve"> </w:t>
      </w:r>
      <w:r>
        <w:rPr>
          <w:spacing w:val="-2"/>
          <w:w w:val="105"/>
          <w:sz w:val="12"/>
        </w:rPr>
        <w:t>la</w:t>
      </w:r>
      <w:r>
        <w:rPr>
          <w:spacing w:val="3"/>
          <w:w w:val="105"/>
          <w:sz w:val="12"/>
        </w:rPr>
        <w:t xml:space="preserve"> </w:t>
      </w:r>
      <w:r>
        <w:rPr>
          <w:spacing w:val="-2"/>
          <w:w w:val="105"/>
          <w:sz w:val="12"/>
        </w:rPr>
        <w:t>Mujer,</w:t>
      </w:r>
      <w:r>
        <w:rPr>
          <w:spacing w:val="3"/>
          <w:w w:val="105"/>
          <w:sz w:val="12"/>
        </w:rPr>
        <w:t xml:space="preserve"> </w:t>
      </w:r>
      <w:r>
        <w:rPr>
          <w:spacing w:val="-2"/>
          <w:w w:val="105"/>
          <w:sz w:val="12"/>
        </w:rPr>
        <w:t>recomendación</w:t>
      </w:r>
      <w:r>
        <w:rPr>
          <w:spacing w:val="2"/>
          <w:w w:val="105"/>
          <w:sz w:val="12"/>
        </w:rPr>
        <w:t xml:space="preserve"> </w:t>
      </w:r>
      <w:r>
        <w:rPr>
          <w:spacing w:val="-2"/>
          <w:w w:val="105"/>
          <w:sz w:val="12"/>
        </w:rPr>
        <w:t>general</w:t>
      </w:r>
      <w:r>
        <w:rPr>
          <w:spacing w:val="3"/>
          <w:w w:val="105"/>
          <w:sz w:val="12"/>
        </w:rPr>
        <w:t xml:space="preserve"> </w:t>
      </w:r>
      <w:r>
        <w:rPr>
          <w:spacing w:val="-2"/>
          <w:w w:val="105"/>
          <w:sz w:val="12"/>
        </w:rPr>
        <w:t>núm.</w:t>
      </w:r>
      <w:r>
        <w:rPr>
          <w:spacing w:val="3"/>
          <w:w w:val="105"/>
          <w:sz w:val="12"/>
        </w:rPr>
        <w:t xml:space="preserve"> </w:t>
      </w:r>
      <w:r>
        <w:rPr>
          <w:spacing w:val="-2"/>
          <w:w w:val="105"/>
          <w:sz w:val="12"/>
        </w:rPr>
        <w:t>33</w:t>
      </w:r>
      <w:r>
        <w:rPr>
          <w:spacing w:val="3"/>
          <w:w w:val="105"/>
          <w:sz w:val="12"/>
        </w:rPr>
        <w:t xml:space="preserve"> </w:t>
      </w:r>
      <w:r>
        <w:rPr>
          <w:spacing w:val="-2"/>
          <w:w w:val="105"/>
          <w:sz w:val="12"/>
        </w:rPr>
        <w:t>(2015),</w:t>
      </w:r>
      <w:r>
        <w:rPr>
          <w:spacing w:val="3"/>
          <w:w w:val="105"/>
          <w:sz w:val="12"/>
        </w:rPr>
        <w:t xml:space="preserve"> </w:t>
      </w:r>
      <w:r>
        <w:rPr>
          <w:spacing w:val="-2"/>
          <w:w w:val="105"/>
          <w:sz w:val="12"/>
        </w:rPr>
        <w:t>párr.</w:t>
      </w:r>
      <w:r>
        <w:rPr>
          <w:spacing w:val="2"/>
          <w:w w:val="105"/>
          <w:sz w:val="12"/>
        </w:rPr>
        <w:t xml:space="preserve"> </w:t>
      </w:r>
      <w:r>
        <w:rPr>
          <w:spacing w:val="-5"/>
          <w:w w:val="105"/>
          <w:sz w:val="12"/>
        </w:rPr>
        <w:t>17.</w:t>
      </w:r>
    </w:p>
    <w:p w14:paraId="131E784D" w14:textId="77777777" w:rsidR="0014798C" w:rsidRDefault="004E1F0B">
      <w:pPr>
        <w:pStyle w:val="Prrafodelista"/>
        <w:numPr>
          <w:ilvl w:val="0"/>
          <w:numId w:val="45"/>
        </w:numPr>
        <w:tabs>
          <w:tab w:val="left" w:pos="1349"/>
        </w:tabs>
        <w:spacing w:before="99"/>
        <w:ind w:left="1349" w:hanging="241"/>
        <w:rPr>
          <w:sz w:val="12"/>
        </w:rPr>
      </w:pPr>
      <w:r>
        <w:rPr>
          <w:w w:val="105"/>
          <w:sz w:val="12"/>
        </w:rPr>
        <w:t>Comité</w:t>
      </w:r>
      <w:r>
        <w:rPr>
          <w:spacing w:val="-8"/>
          <w:w w:val="105"/>
          <w:sz w:val="12"/>
        </w:rPr>
        <w:t xml:space="preserve"> </w:t>
      </w:r>
      <w:r>
        <w:rPr>
          <w:w w:val="105"/>
          <w:sz w:val="12"/>
        </w:rPr>
        <w:t>sobre</w:t>
      </w:r>
      <w:r>
        <w:rPr>
          <w:spacing w:val="-8"/>
          <w:w w:val="105"/>
          <w:sz w:val="12"/>
        </w:rPr>
        <w:t xml:space="preserve"> </w:t>
      </w:r>
      <w:r>
        <w:rPr>
          <w:w w:val="105"/>
          <w:sz w:val="12"/>
        </w:rPr>
        <w:t>los</w:t>
      </w:r>
      <w:r>
        <w:rPr>
          <w:spacing w:val="-7"/>
          <w:w w:val="105"/>
          <w:sz w:val="12"/>
        </w:rPr>
        <w:t xml:space="preserve"> </w:t>
      </w:r>
      <w:r>
        <w:rPr>
          <w:w w:val="105"/>
          <w:sz w:val="12"/>
        </w:rPr>
        <w:t>Derechos</w:t>
      </w:r>
      <w:r>
        <w:rPr>
          <w:spacing w:val="-8"/>
          <w:w w:val="105"/>
          <w:sz w:val="12"/>
        </w:rPr>
        <w:t xml:space="preserve"> </w:t>
      </w:r>
      <w:r>
        <w:rPr>
          <w:w w:val="105"/>
          <w:sz w:val="12"/>
        </w:rPr>
        <w:t>de</w:t>
      </w:r>
      <w:r>
        <w:rPr>
          <w:spacing w:val="-7"/>
          <w:w w:val="105"/>
          <w:sz w:val="12"/>
        </w:rPr>
        <w:t xml:space="preserve"> </w:t>
      </w:r>
      <w:r>
        <w:rPr>
          <w:w w:val="105"/>
          <w:sz w:val="12"/>
        </w:rPr>
        <w:t>las</w:t>
      </w:r>
      <w:r>
        <w:rPr>
          <w:spacing w:val="-8"/>
          <w:w w:val="105"/>
          <w:sz w:val="12"/>
        </w:rPr>
        <w:t xml:space="preserve"> </w:t>
      </w:r>
      <w:r>
        <w:rPr>
          <w:w w:val="105"/>
          <w:sz w:val="12"/>
        </w:rPr>
        <w:t>Personas</w:t>
      </w:r>
      <w:r>
        <w:rPr>
          <w:spacing w:val="-7"/>
          <w:w w:val="105"/>
          <w:sz w:val="12"/>
        </w:rPr>
        <w:t xml:space="preserve"> </w:t>
      </w:r>
      <w:r>
        <w:rPr>
          <w:w w:val="105"/>
          <w:sz w:val="12"/>
        </w:rPr>
        <w:t>con</w:t>
      </w:r>
      <w:r>
        <w:rPr>
          <w:spacing w:val="-8"/>
          <w:w w:val="105"/>
          <w:sz w:val="12"/>
        </w:rPr>
        <w:t xml:space="preserve"> </w:t>
      </w:r>
      <w:r>
        <w:rPr>
          <w:w w:val="105"/>
          <w:sz w:val="12"/>
        </w:rPr>
        <w:t>Discapacidad,</w:t>
      </w:r>
      <w:r>
        <w:rPr>
          <w:spacing w:val="-6"/>
          <w:w w:val="105"/>
          <w:sz w:val="12"/>
        </w:rPr>
        <w:t xml:space="preserve"> </w:t>
      </w:r>
      <w:r>
        <w:rPr>
          <w:w w:val="105"/>
          <w:sz w:val="12"/>
        </w:rPr>
        <w:t>observación</w:t>
      </w:r>
      <w:r>
        <w:rPr>
          <w:spacing w:val="-8"/>
          <w:w w:val="105"/>
          <w:sz w:val="12"/>
        </w:rPr>
        <w:t xml:space="preserve"> </w:t>
      </w:r>
      <w:r>
        <w:rPr>
          <w:w w:val="105"/>
          <w:sz w:val="12"/>
        </w:rPr>
        <w:t>general</w:t>
      </w:r>
      <w:r>
        <w:rPr>
          <w:spacing w:val="-7"/>
          <w:w w:val="105"/>
          <w:sz w:val="12"/>
        </w:rPr>
        <w:t xml:space="preserve"> </w:t>
      </w:r>
      <w:r>
        <w:rPr>
          <w:w w:val="105"/>
          <w:sz w:val="12"/>
        </w:rPr>
        <w:t>núm.</w:t>
      </w:r>
      <w:r>
        <w:rPr>
          <w:spacing w:val="-8"/>
          <w:w w:val="105"/>
          <w:sz w:val="12"/>
        </w:rPr>
        <w:t xml:space="preserve"> </w:t>
      </w:r>
      <w:r>
        <w:rPr>
          <w:w w:val="105"/>
          <w:sz w:val="12"/>
        </w:rPr>
        <w:t>6</w:t>
      </w:r>
      <w:r>
        <w:rPr>
          <w:spacing w:val="-7"/>
          <w:w w:val="105"/>
          <w:sz w:val="12"/>
        </w:rPr>
        <w:t xml:space="preserve"> </w:t>
      </w:r>
      <w:r>
        <w:rPr>
          <w:w w:val="105"/>
          <w:sz w:val="12"/>
        </w:rPr>
        <w:t>(2018),</w:t>
      </w:r>
      <w:r>
        <w:rPr>
          <w:spacing w:val="-8"/>
          <w:w w:val="105"/>
          <w:sz w:val="12"/>
        </w:rPr>
        <w:t xml:space="preserve"> </w:t>
      </w:r>
      <w:r>
        <w:rPr>
          <w:w w:val="105"/>
          <w:sz w:val="12"/>
        </w:rPr>
        <w:t>párr.</w:t>
      </w:r>
      <w:r>
        <w:rPr>
          <w:spacing w:val="-7"/>
          <w:w w:val="105"/>
          <w:sz w:val="12"/>
        </w:rPr>
        <w:t xml:space="preserve"> </w:t>
      </w:r>
      <w:r>
        <w:rPr>
          <w:w w:val="105"/>
          <w:sz w:val="12"/>
        </w:rPr>
        <w:t>25</w:t>
      </w:r>
      <w:r>
        <w:rPr>
          <w:spacing w:val="-8"/>
          <w:w w:val="105"/>
          <w:sz w:val="12"/>
        </w:rPr>
        <w:t xml:space="preserve"> </w:t>
      </w:r>
      <w:r>
        <w:rPr>
          <w:w w:val="105"/>
          <w:sz w:val="12"/>
        </w:rPr>
        <w:t>(d).</w:t>
      </w:r>
      <w:r>
        <w:rPr>
          <w:spacing w:val="-7"/>
          <w:w w:val="105"/>
          <w:sz w:val="12"/>
        </w:rPr>
        <w:t xml:space="preserve"> </w:t>
      </w:r>
      <w:r>
        <w:rPr>
          <w:w w:val="105"/>
          <w:sz w:val="12"/>
        </w:rPr>
        <w:t>Véase</w:t>
      </w:r>
      <w:r>
        <w:rPr>
          <w:spacing w:val="-8"/>
          <w:w w:val="105"/>
          <w:sz w:val="12"/>
        </w:rPr>
        <w:t xml:space="preserve"> </w:t>
      </w:r>
      <w:r>
        <w:rPr>
          <w:w w:val="105"/>
          <w:sz w:val="12"/>
        </w:rPr>
        <w:t>también</w:t>
      </w:r>
      <w:r>
        <w:rPr>
          <w:spacing w:val="-7"/>
          <w:w w:val="105"/>
          <w:sz w:val="12"/>
        </w:rPr>
        <w:t xml:space="preserve"> </w:t>
      </w:r>
      <w:r>
        <w:rPr>
          <w:w w:val="105"/>
          <w:sz w:val="12"/>
        </w:rPr>
        <w:t>la</w:t>
      </w:r>
      <w:r>
        <w:rPr>
          <w:spacing w:val="-8"/>
          <w:w w:val="105"/>
          <w:sz w:val="12"/>
        </w:rPr>
        <w:t xml:space="preserve"> </w:t>
      </w:r>
      <w:r>
        <w:rPr>
          <w:w w:val="105"/>
          <w:sz w:val="12"/>
        </w:rPr>
        <w:t>discusión</w:t>
      </w:r>
      <w:r>
        <w:rPr>
          <w:spacing w:val="-7"/>
          <w:w w:val="105"/>
          <w:sz w:val="12"/>
        </w:rPr>
        <w:t xml:space="preserve"> </w:t>
      </w:r>
      <w:r>
        <w:rPr>
          <w:w w:val="105"/>
          <w:sz w:val="12"/>
        </w:rPr>
        <w:t>sobre</w:t>
      </w:r>
      <w:r>
        <w:rPr>
          <w:spacing w:val="-8"/>
          <w:w w:val="105"/>
          <w:sz w:val="12"/>
        </w:rPr>
        <w:t xml:space="preserve"> </w:t>
      </w:r>
      <w:r>
        <w:rPr>
          <w:spacing w:val="-2"/>
          <w:w w:val="105"/>
          <w:sz w:val="12"/>
        </w:rPr>
        <w:t>justificaciones.</w:t>
      </w:r>
    </w:p>
    <w:p w14:paraId="12F9CF3C" w14:textId="77777777" w:rsidR="0014798C" w:rsidRDefault="004E1F0B">
      <w:pPr>
        <w:spacing w:before="35"/>
        <w:ind w:left="1368"/>
        <w:rPr>
          <w:spacing w:val="-2"/>
          <w:sz w:val="12"/>
        </w:rPr>
      </w:pPr>
      <w:r>
        <w:rPr>
          <w:sz w:val="12"/>
        </w:rPr>
        <w:t>en</w:t>
      </w:r>
      <w:r>
        <w:rPr>
          <w:spacing w:val="-3"/>
          <w:sz w:val="12"/>
        </w:rPr>
        <w:t xml:space="preserve"> </w:t>
      </w:r>
      <w:r>
        <w:rPr>
          <w:sz w:val="12"/>
        </w:rPr>
        <w:t>la</w:t>
      </w:r>
      <w:r>
        <w:rPr>
          <w:spacing w:val="-3"/>
          <w:sz w:val="12"/>
        </w:rPr>
        <w:t xml:space="preserve"> </w:t>
      </w:r>
      <w:r>
        <w:rPr>
          <w:sz w:val="12"/>
        </w:rPr>
        <w:t>sección</w:t>
      </w:r>
      <w:r>
        <w:rPr>
          <w:spacing w:val="-3"/>
          <w:sz w:val="12"/>
        </w:rPr>
        <w:t xml:space="preserve"> </w:t>
      </w:r>
      <w:r>
        <w:rPr>
          <w:sz w:val="12"/>
        </w:rPr>
        <w:t>IA4</w:t>
      </w:r>
      <w:r>
        <w:rPr>
          <w:spacing w:val="-4"/>
          <w:sz w:val="12"/>
        </w:rPr>
        <w:t xml:space="preserve"> </w:t>
      </w:r>
      <w:r>
        <w:rPr>
          <w:sz w:val="12"/>
        </w:rPr>
        <w:t>de</w:t>
      </w:r>
      <w:r>
        <w:rPr>
          <w:spacing w:val="-3"/>
          <w:sz w:val="12"/>
        </w:rPr>
        <w:t xml:space="preserve"> </w:t>
      </w:r>
      <w:r>
        <w:rPr>
          <w:sz w:val="12"/>
        </w:rPr>
        <w:t>la</w:t>
      </w:r>
      <w:r>
        <w:rPr>
          <w:spacing w:val="-2"/>
          <w:sz w:val="12"/>
        </w:rPr>
        <w:t xml:space="preserve"> </w:t>
      </w:r>
      <w:r>
        <w:rPr>
          <w:sz w:val="12"/>
        </w:rPr>
        <w:t>segunda</w:t>
      </w:r>
      <w:r>
        <w:rPr>
          <w:spacing w:val="-3"/>
          <w:sz w:val="12"/>
        </w:rPr>
        <w:t xml:space="preserve"> </w:t>
      </w:r>
      <w:r>
        <w:rPr>
          <w:sz w:val="12"/>
        </w:rPr>
        <w:t>parte</w:t>
      </w:r>
      <w:r>
        <w:rPr>
          <w:spacing w:val="-4"/>
          <w:sz w:val="12"/>
        </w:rPr>
        <w:t xml:space="preserve"> </w:t>
      </w:r>
      <w:r>
        <w:rPr>
          <w:sz w:val="12"/>
        </w:rPr>
        <w:t>de</w:t>
      </w:r>
      <w:r>
        <w:rPr>
          <w:spacing w:val="-3"/>
          <w:sz w:val="12"/>
        </w:rPr>
        <w:t xml:space="preserve"> </w:t>
      </w:r>
      <w:r>
        <w:rPr>
          <w:sz w:val="12"/>
        </w:rPr>
        <w:t>la</w:t>
      </w:r>
      <w:r>
        <w:rPr>
          <w:spacing w:val="-3"/>
          <w:sz w:val="12"/>
        </w:rPr>
        <w:t xml:space="preserve"> </w:t>
      </w:r>
      <w:r>
        <w:rPr>
          <w:sz w:val="12"/>
        </w:rPr>
        <w:t>presente</w:t>
      </w:r>
      <w:r>
        <w:rPr>
          <w:spacing w:val="-2"/>
          <w:sz w:val="12"/>
        </w:rPr>
        <w:t xml:space="preserve"> guía.</w:t>
      </w:r>
    </w:p>
    <w:p w14:paraId="2CE70309" w14:textId="77777777" w:rsidR="0014798C" w:rsidRDefault="0014798C">
      <w:pPr>
        <w:rPr>
          <w:sz w:val="19"/>
        </w:rPr>
        <w:sectPr w:rsidR="0014798C" w:rsidSect="00F265E4">
          <w:type w:val="continuous"/>
          <w:pgSz w:w="11900" w:h="16820"/>
          <w:pgMar w:top="40" w:right="0" w:bottom="280" w:left="200" w:header="121" w:footer="0" w:gutter="0"/>
          <w:cols w:space="720"/>
        </w:sectPr>
      </w:pPr>
    </w:p>
    <w:p w14:paraId="356C331B" w14:textId="77777777" w:rsidR="0014798C" w:rsidRDefault="0014798C">
      <w:pPr>
        <w:pStyle w:val="Textoindependiente"/>
        <w:spacing w:before="51"/>
        <w:rPr>
          <w:sz w:val="14"/>
        </w:rPr>
      </w:pPr>
    </w:p>
    <w:p w14:paraId="12F16D8D" w14:textId="77777777" w:rsidR="0014798C" w:rsidRDefault="004E1F0B">
      <w:pPr>
        <w:ind w:left="1111"/>
        <w:rPr>
          <w:sz w:val="14"/>
        </w:rPr>
      </w:pPr>
      <w:r>
        <w:rPr>
          <w:color w:val="00AC59"/>
          <w:sz w:val="14"/>
        </w:rPr>
        <w:t>SEGUNDA</w:t>
      </w:r>
      <w:r>
        <w:rPr>
          <w:color w:val="00AC59"/>
          <w:spacing w:val="-5"/>
          <w:sz w:val="14"/>
        </w:rPr>
        <w:t xml:space="preserve"> </w:t>
      </w:r>
      <w:r>
        <w:rPr>
          <w:color w:val="00AC59"/>
          <w:sz w:val="14"/>
        </w:rPr>
        <w:t>PARTE:</w:t>
      </w:r>
      <w:r>
        <w:rPr>
          <w:color w:val="00AC59"/>
          <w:spacing w:val="-5"/>
          <w:sz w:val="14"/>
        </w:rPr>
        <w:t xml:space="preserve"> </w:t>
      </w:r>
      <w:r>
        <w:rPr>
          <w:color w:val="00AC59"/>
          <w:sz w:val="14"/>
        </w:rPr>
        <w:t>CONTENIDO</w:t>
      </w:r>
      <w:r>
        <w:rPr>
          <w:color w:val="00AC59"/>
          <w:spacing w:val="-4"/>
          <w:sz w:val="14"/>
        </w:rPr>
        <w:t xml:space="preserve"> </w:t>
      </w:r>
      <w:r>
        <w:rPr>
          <w:color w:val="00AC59"/>
          <w:sz w:val="14"/>
        </w:rPr>
        <w:t>DE</w:t>
      </w:r>
      <w:r>
        <w:rPr>
          <w:color w:val="00AC59"/>
          <w:spacing w:val="-5"/>
          <w:sz w:val="14"/>
        </w:rPr>
        <w:t xml:space="preserve"> </w:t>
      </w:r>
      <w:r>
        <w:rPr>
          <w:color w:val="00AC59"/>
          <w:sz w:val="14"/>
        </w:rPr>
        <w:t>LA</w:t>
      </w:r>
      <w:r>
        <w:rPr>
          <w:color w:val="00AC59"/>
          <w:spacing w:val="-4"/>
          <w:sz w:val="14"/>
        </w:rPr>
        <w:t xml:space="preserve"> </w:t>
      </w:r>
      <w:r>
        <w:rPr>
          <w:color w:val="00AC59"/>
          <w:sz w:val="14"/>
        </w:rPr>
        <w:t>LEY</w:t>
      </w:r>
      <w:r>
        <w:rPr>
          <w:color w:val="00AC59"/>
          <w:spacing w:val="-4"/>
          <w:sz w:val="14"/>
        </w:rPr>
        <w:t xml:space="preserve"> </w:t>
      </w:r>
      <w:r>
        <w:rPr>
          <w:color w:val="00AC59"/>
          <w:sz w:val="14"/>
        </w:rPr>
        <w:t>INTEGRAL</w:t>
      </w:r>
      <w:r>
        <w:rPr>
          <w:color w:val="00AC59"/>
          <w:spacing w:val="-5"/>
          <w:sz w:val="14"/>
        </w:rPr>
        <w:t xml:space="preserve"> </w:t>
      </w:r>
      <w:r>
        <w:rPr>
          <w:color w:val="00AC59"/>
          <w:spacing w:val="-2"/>
          <w:sz w:val="14"/>
        </w:rPr>
        <w:t>ANTIDISCRIMINACIÓN</w:t>
      </w:r>
    </w:p>
    <w:p w14:paraId="53046C6C" w14:textId="77777777" w:rsidR="0014798C" w:rsidRDefault="0014798C">
      <w:pPr>
        <w:pStyle w:val="Textoindependiente"/>
      </w:pPr>
    </w:p>
    <w:p w14:paraId="6BC05FE5" w14:textId="77777777" w:rsidR="0014798C" w:rsidRDefault="0014798C">
      <w:pPr>
        <w:pStyle w:val="Textoindependiente"/>
      </w:pPr>
    </w:p>
    <w:p w14:paraId="4E2BCD46" w14:textId="77777777" w:rsidR="0014798C" w:rsidRDefault="0014798C">
      <w:pPr>
        <w:pStyle w:val="Textoindependiente"/>
      </w:pPr>
    </w:p>
    <w:p w14:paraId="016EE4A7" w14:textId="77777777" w:rsidR="0014798C" w:rsidRDefault="0014798C">
      <w:pPr>
        <w:pStyle w:val="Textoindependiente"/>
      </w:pPr>
    </w:p>
    <w:p w14:paraId="16469591" w14:textId="77777777" w:rsidR="0014798C" w:rsidRDefault="0014798C">
      <w:pPr>
        <w:pStyle w:val="Textoindependiente"/>
        <w:spacing w:before="41"/>
      </w:pPr>
    </w:p>
    <w:p w14:paraId="2CE48650" w14:textId="77777777" w:rsidR="0014798C" w:rsidRDefault="004E1F0B">
      <w:pPr>
        <w:pStyle w:val="Textoindependiente"/>
        <w:spacing w:line="326" w:lineRule="auto"/>
        <w:ind w:left="1107" w:right="1166" w:firstLine="1"/>
      </w:pPr>
      <w:r>
        <w:rPr>
          <w:noProof/>
        </w:rPr>
        <w:drawing>
          <wp:anchor distT="0" distB="0" distL="0" distR="0" simplePos="0" relativeHeight="251658428" behindDoc="1" locked="0" layoutInCell="1" allowOverlap="1" wp14:anchorId="30F9FC53" wp14:editId="0151C8BC">
            <wp:simplePos x="0" y="0"/>
            <wp:positionH relativeFrom="page">
              <wp:posOffset>826632</wp:posOffset>
            </wp:positionH>
            <wp:positionV relativeFrom="paragraph">
              <wp:posOffset>1077935</wp:posOffset>
            </wp:positionV>
            <wp:extent cx="6729867" cy="5180835"/>
            <wp:effectExtent l="0" t="0" r="0" b="0"/>
            <wp:wrapNone/>
            <wp:docPr id="204" name="Image 20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04" name="Image 204"/>
                    <pic:cNvPicPr/>
                  </pic:nvPicPr>
                  <pic:blipFill>
                    <a:blip r:embed="rId186" cstate="print"/>
                    <a:stretch>
                      <a:fillRect/>
                    </a:stretch>
                  </pic:blipFill>
                  <pic:spPr>
                    <a:xfrm>
                      <a:off x="0" y="0"/>
                      <a:ext cx="6729867" cy="5180835"/>
                    </a:xfrm>
                    <a:prstGeom prst="rect">
                      <a:avLst/>
                    </a:prstGeom>
                  </pic:spPr>
                </pic:pic>
              </a:graphicData>
            </a:graphic>
          </wp:anchor>
        </w:drawing>
      </w:r>
      <w:r>
        <w:rPr>
          <w:w w:val="105"/>
        </w:rPr>
        <w:t>Discapacidades”, que amplían las obligaciones de los Estados en esta área.660 El Principio 3 de los Principios y Directrices detalla el deber de realizar adaptaciones procesales. Dichas adaptaciones deben ser “individualizadas”, “apropiadas para el género</w:t>
      </w:r>
      <w:r>
        <w:rPr>
          <w:spacing w:val="-3"/>
          <w:w w:val="105"/>
        </w:rPr>
        <w:t xml:space="preserve"> </w:t>
      </w:r>
      <w:r>
        <w:rPr>
          <w:w w:val="105"/>
        </w:rPr>
        <w:t>y</w:t>
      </w:r>
      <w:r>
        <w:rPr>
          <w:spacing w:val="-3"/>
          <w:w w:val="105"/>
        </w:rPr>
        <w:t xml:space="preserve"> </w:t>
      </w:r>
      <w:r>
        <w:rPr>
          <w:w w:val="105"/>
        </w:rPr>
        <w:t>la</w:t>
      </w:r>
      <w:r>
        <w:rPr>
          <w:spacing w:val="-3"/>
          <w:w w:val="105"/>
        </w:rPr>
        <w:t xml:space="preserve"> </w:t>
      </w:r>
      <w:r>
        <w:rPr>
          <w:w w:val="105"/>
        </w:rPr>
        <w:t>edad”</w:t>
      </w:r>
      <w:r>
        <w:rPr>
          <w:spacing w:val="-3"/>
          <w:w w:val="105"/>
        </w:rPr>
        <w:t xml:space="preserve"> </w:t>
      </w:r>
      <w:r>
        <w:rPr>
          <w:w w:val="105"/>
        </w:rPr>
        <w:t>y</w:t>
      </w:r>
      <w:r>
        <w:rPr>
          <w:spacing w:val="-3"/>
          <w:w w:val="105"/>
        </w:rPr>
        <w:t xml:space="preserve"> </w:t>
      </w:r>
      <w:r>
        <w:rPr>
          <w:w w:val="105"/>
        </w:rPr>
        <w:t>“abarcar</w:t>
      </w:r>
      <w:r>
        <w:rPr>
          <w:spacing w:val="-3"/>
          <w:w w:val="105"/>
        </w:rPr>
        <w:t xml:space="preserve"> </w:t>
      </w:r>
      <w:r>
        <w:rPr>
          <w:w w:val="105"/>
        </w:rPr>
        <w:t>todas</w:t>
      </w:r>
      <w:r>
        <w:rPr>
          <w:spacing w:val="-3"/>
          <w:w w:val="105"/>
        </w:rPr>
        <w:t xml:space="preserve"> </w:t>
      </w:r>
      <w:r>
        <w:rPr>
          <w:w w:val="105"/>
        </w:rPr>
        <w:t>las</w:t>
      </w:r>
      <w:r>
        <w:rPr>
          <w:spacing w:val="-3"/>
          <w:w w:val="105"/>
        </w:rPr>
        <w:t xml:space="preserve"> </w:t>
      </w:r>
      <w:r>
        <w:rPr>
          <w:w w:val="105"/>
        </w:rPr>
        <w:t>modificaciones</w:t>
      </w:r>
      <w:r>
        <w:rPr>
          <w:spacing w:val="-3"/>
          <w:w w:val="105"/>
        </w:rPr>
        <w:t xml:space="preserve"> </w:t>
      </w:r>
      <w:r>
        <w:rPr>
          <w:w w:val="105"/>
        </w:rPr>
        <w:t>y</w:t>
      </w:r>
      <w:r>
        <w:rPr>
          <w:spacing w:val="-3"/>
          <w:w w:val="105"/>
        </w:rPr>
        <w:t xml:space="preserve"> </w:t>
      </w:r>
      <w:r>
        <w:rPr>
          <w:w w:val="105"/>
        </w:rPr>
        <w:t>ajustes</w:t>
      </w:r>
      <w:r>
        <w:rPr>
          <w:spacing w:val="-3"/>
          <w:w w:val="105"/>
        </w:rPr>
        <w:t xml:space="preserve"> </w:t>
      </w:r>
      <w:r>
        <w:rPr>
          <w:w w:val="105"/>
        </w:rPr>
        <w:t>necesarios</w:t>
      </w:r>
      <w:r>
        <w:rPr>
          <w:spacing w:val="-3"/>
          <w:w w:val="105"/>
        </w:rPr>
        <w:t xml:space="preserve"> </w:t>
      </w:r>
      <w:r>
        <w:rPr>
          <w:w w:val="105"/>
        </w:rPr>
        <w:t>y</w:t>
      </w:r>
      <w:r>
        <w:rPr>
          <w:spacing w:val="-3"/>
          <w:w w:val="105"/>
        </w:rPr>
        <w:t xml:space="preserve"> </w:t>
      </w:r>
      <w:r>
        <w:rPr>
          <w:w w:val="105"/>
        </w:rPr>
        <w:t>apropiados</w:t>
      </w:r>
      <w:r>
        <w:rPr>
          <w:spacing w:val="-3"/>
          <w:w w:val="105"/>
        </w:rPr>
        <w:t xml:space="preserve"> </w:t>
      </w:r>
      <w:r>
        <w:rPr>
          <w:w w:val="105"/>
        </w:rPr>
        <w:t>necesarios</w:t>
      </w:r>
      <w:r>
        <w:rPr>
          <w:spacing w:val="-3"/>
          <w:w w:val="105"/>
        </w:rPr>
        <w:t xml:space="preserve"> </w:t>
      </w:r>
      <w:r>
        <w:rPr>
          <w:w w:val="105"/>
        </w:rPr>
        <w:t>en</w:t>
      </w:r>
      <w:r>
        <w:rPr>
          <w:spacing w:val="-3"/>
          <w:w w:val="105"/>
        </w:rPr>
        <w:t xml:space="preserve"> </w:t>
      </w:r>
      <w:r>
        <w:rPr>
          <w:w w:val="105"/>
        </w:rPr>
        <w:t>un</w:t>
      </w:r>
      <w:r>
        <w:rPr>
          <w:spacing w:val="-3"/>
          <w:w w:val="105"/>
        </w:rPr>
        <w:t xml:space="preserve"> </w:t>
      </w:r>
      <w:r>
        <w:rPr>
          <w:w w:val="105"/>
        </w:rPr>
        <w:t>caso</w:t>
      </w:r>
      <w:r>
        <w:rPr>
          <w:spacing w:val="-3"/>
          <w:w w:val="105"/>
        </w:rPr>
        <w:t xml:space="preserve"> </w:t>
      </w:r>
      <w:r>
        <w:rPr>
          <w:w w:val="105"/>
        </w:rPr>
        <w:t>particular”.661 El deber de realizar adaptaciones procesales es inmediato y, a diferencia de las adaptaciones razonables, el incumplimiento hacer</w:t>
      </w:r>
      <w:r>
        <w:rPr>
          <w:spacing w:val="-4"/>
          <w:w w:val="105"/>
        </w:rPr>
        <w:t xml:space="preserve"> </w:t>
      </w:r>
      <w:r>
        <w:rPr>
          <w:w w:val="105"/>
        </w:rPr>
        <w:t>tales</w:t>
      </w:r>
      <w:r>
        <w:rPr>
          <w:spacing w:val="-4"/>
          <w:w w:val="105"/>
        </w:rPr>
        <w:t xml:space="preserve"> </w:t>
      </w:r>
      <w:r>
        <w:rPr>
          <w:w w:val="105"/>
        </w:rPr>
        <w:t>adaptaciones</w:t>
      </w:r>
      <w:r>
        <w:rPr>
          <w:spacing w:val="-4"/>
          <w:w w:val="105"/>
        </w:rPr>
        <w:t xml:space="preserve"> </w:t>
      </w:r>
      <w:r>
        <w:rPr>
          <w:w w:val="105"/>
        </w:rPr>
        <w:t>no</w:t>
      </w:r>
      <w:r>
        <w:rPr>
          <w:spacing w:val="-4"/>
          <w:w w:val="105"/>
        </w:rPr>
        <w:t xml:space="preserve"> </w:t>
      </w:r>
      <w:r>
        <w:rPr>
          <w:w w:val="105"/>
        </w:rPr>
        <w:t>puede</w:t>
      </w:r>
      <w:r>
        <w:rPr>
          <w:spacing w:val="-4"/>
          <w:w w:val="105"/>
        </w:rPr>
        <w:t xml:space="preserve"> </w:t>
      </w:r>
      <w:r>
        <w:rPr>
          <w:w w:val="105"/>
        </w:rPr>
        <w:t>justificarse</w:t>
      </w:r>
      <w:r>
        <w:rPr>
          <w:spacing w:val="-4"/>
          <w:w w:val="105"/>
        </w:rPr>
        <w:t xml:space="preserve"> </w:t>
      </w:r>
      <w:r>
        <w:rPr>
          <w:w w:val="105"/>
        </w:rPr>
        <w:t>haciendo</w:t>
      </w:r>
      <w:r>
        <w:rPr>
          <w:spacing w:val="-4"/>
          <w:w w:val="105"/>
        </w:rPr>
        <w:t xml:space="preserve"> </w:t>
      </w:r>
      <w:r>
        <w:rPr>
          <w:w w:val="105"/>
        </w:rPr>
        <w:t>referencia</w:t>
      </w:r>
      <w:r>
        <w:rPr>
          <w:spacing w:val="-4"/>
          <w:w w:val="105"/>
        </w:rPr>
        <w:t xml:space="preserve"> </w:t>
      </w:r>
      <w:r>
        <w:rPr>
          <w:w w:val="105"/>
        </w:rPr>
        <w:t>al</w:t>
      </w:r>
      <w:r>
        <w:rPr>
          <w:spacing w:val="-4"/>
          <w:w w:val="105"/>
        </w:rPr>
        <w:t xml:space="preserve"> </w:t>
      </w:r>
      <w:r>
        <w:rPr>
          <w:w w:val="105"/>
        </w:rPr>
        <w:t>“concepto</w:t>
      </w:r>
      <w:r>
        <w:rPr>
          <w:spacing w:val="-4"/>
          <w:w w:val="105"/>
        </w:rPr>
        <w:t xml:space="preserve"> </w:t>
      </w:r>
      <w:r>
        <w:rPr>
          <w:w w:val="105"/>
        </w:rPr>
        <w:t>de</w:t>
      </w:r>
      <w:r>
        <w:rPr>
          <w:spacing w:val="-4"/>
          <w:w w:val="105"/>
        </w:rPr>
        <w:t xml:space="preserve"> </w:t>
      </w:r>
      <w:r>
        <w:rPr>
          <w:w w:val="105"/>
        </w:rPr>
        <w:t>desproporcionalidad”</w:t>
      </w:r>
      <w:r>
        <w:rPr>
          <w:spacing w:val="-4"/>
          <w:w w:val="105"/>
        </w:rPr>
        <w:t xml:space="preserve"> </w:t>
      </w:r>
      <w:r>
        <w:rPr>
          <w:w w:val="105"/>
        </w:rPr>
        <w:t>o</w:t>
      </w:r>
      <w:r>
        <w:rPr>
          <w:spacing w:val="-4"/>
          <w:w w:val="105"/>
        </w:rPr>
        <w:t xml:space="preserve"> </w:t>
      </w:r>
      <w:r>
        <w:rPr>
          <w:w w:val="105"/>
        </w:rPr>
        <w:t>carga</w:t>
      </w:r>
      <w:r>
        <w:rPr>
          <w:spacing w:val="-4"/>
          <w:w w:val="105"/>
        </w:rPr>
        <w:t xml:space="preserve"> </w:t>
      </w:r>
      <w:r>
        <w:rPr>
          <w:w w:val="105"/>
        </w:rPr>
        <w:t>indebida.662 El Principio 2 de los Principios y Directrices reitera la importancia de garantizar que las instituciones de justicia sean accesibles:663 “Garantizar la igualdad de acceso a la justicia y la no discriminación, los Estados deben garantizar que las instalaciones y servicios utilizados en los sistemas jurídicos se construyan, desarrollen y proporcionen sobre la base de los principios del diseño universal.”664 Esto requiere la adopción de leyes, políticas y prácticas pertinentes, así como recursos financieros adecuados .665</w:t>
      </w:r>
    </w:p>
    <w:p w14:paraId="5601779A" w14:textId="77777777" w:rsidR="0014798C" w:rsidRDefault="0014798C">
      <w:pPr>
        <w:pStyle w:val="Textoindependiente"/>
        <w:spacing w:before="34"/>
      </w:pPr>
    </w:p>
    <w:p w14:paraId="11562A8C" w14:textId="77777777" w:rsidR="0014798C" w:rsidRDefault="004E1F0B">
      <w:pPr>
        <w:pStyle w:val="Textoindependiente"/>
        <w:spacing w:before="1"/>
        <w:ind w:left="1101"/>
      </w:pPr>
      <w:r>
        <w:rPr>
          <w:noProof/>
        </w:rPr>
        <mc:AlternateContent>
          <mc:Choice Requires="wps">
            <w:drawing>
              <wp:anchor distT="0" distB="0" distL="0" distR="0" simplePos="0" relativeHeight="251658285" behindDoc="0" locked="0" layoutInCell="1" allowOverlap="1" wp14:anchorId="398E79D6" wp14:editId="29E4E0A9">
                <wp:simplePos x="0" y="0"/>
                <wp:positionH relativeFrom="page">
                  <wp:posOffset>7311076</wp:posOffset>
                </wp:positionH>
                <wp:positionV relativeFrom="paragraph">
                  <wp:posOffset>-7478</wp:posOffset>
                </wp:positionV>
                <wp:extent cx="86360" cy="293370"/>
                <wp:effectExtent l="0" t="0" r="0" b="0"/>
                <wp:wrapNone/>
                <wp:docPr id="205" name="Textbox 20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86360" cy="293370"/>
                        </a:xfrm>
                        <a:prstGeom prst="rect">
                          <a:avLst/>
                        </a:prstGeom>
                      </wps:spPr>
                      <wps:txbx>
                        <w:txbxContent>
                          <w:p w14:paraId="080FE13C" w14:textId="77777777" w:rsidR="0014798C" w:rsidRDefault="004E1F0B">
                            <w:pPr>
                              <w:spacing w:before="22"/>
                              <w:ind w:left="20"/>
                              <w:rPr>
                                <w:sz w:val="8"/>
                              </w:rPr>
                            </w:pPr>
                            <w:r>
                              <w:rPr>
                                <w:color w:val="FFFFFF"/>
                                <w:spacing w:val="-25"/>
                                <w:w w:val="105"/>
                                <w:sz w:val="8"/>
                              </w:rPr>
                              <w:t>–IP</w:t>
                            </w:r>
                            <w:r>
                              <w:rPr>
                                <w:spacing w:val="-25"/>
                                <w:w w:val="105"/>
                                <w:sz w:val="8"/>
                              </w:rPr>
                              <w:t>S</w:t>
                            </w:r>
                            <w:r>
                              <w:rPr>
                                <w:color w:val="FFFFFF"/>
                                <w:spacing w:val="-25"/>
                                <w:w w:val="105"/>
                                <w:sz w:val="8"/>
                              </w:rPr>
                              <w:t>IIA</w:t>
                            </w:r>
                            <w:r>
                              <w:rPr>
                                <w:spacing w:val="-25"/>
                                <w:w w:val="105"/>
                                <w:sz w:val="8"/>
                              </w:rPr>
                              <w:t>E</w:t>
                            </w:r>
                            <w:r>
                              <w:rPr>
                                <w:color w:val="FFFFFF"/>
                                <w:spacing w:val="-25"/>
                                <w:w w:val="105"/>
                                <w:sz w:val="8"/>
                              </w:rPr>
                              <w:t>R</w:t>
                            </w:r>
                            <w:r>
                              <w:rPr>
                                <w:spacing w:val="-25"/>
                                <w:w w:val="105"/>
                                <w:sz w:val="8"/>
                              </w:rPr>
                              <w:t>G</w:t>
                            </w:r>
                            <w:r>
                              <w:rPr>
                                <w:color w:val="FFFFFF"/>
                                <w:spacing w:val="-25"/>
                                <w:w w:val="105"/>
                                <w:sz w:val="8"/>
                              </w:rPr>
                              <w:t>T</w:t>
                            </w:r>
                            <w:r>
                              <w:rPr>
                                <w:spacing w:val="-25"/>
                                <w:w w:val="105"/>
                                <w:sz w:val="8"/>
                              </w:rPr>
                              <w:t>U</w:t>
                            </w:r>
                            <w:r>
                              <w:rPr>
                                <w:color w:val="FFFFFF"/>
                                <w:spacing w:val="-25"/>
                                <w:w w:val="105"/>
                                <w:sz w:val="8"/>
                              </w:rPr>
                              <w:t>E</w:t>
                            </w:r>
                            <w:r>
                              <w:rPr>
                                <w:spacing w:val="-25"/>
                                <w:w w:val="105"/>
                                <w:sz w:val="8"/>
                              </w:rPr>
                              <w:t>NDA</w:t>
                            </w:r>
                          </w:p>
                        </w:txbxContent>
                      </wps:txbx>
                      <wps:bodyPr vert="vert270" wrap="square" lIns="0" tIns="0" rIns="0" bIns="0" rtlCol="0">
                        <a:noAutofit/>
                      </wps:bodyPr>
                    </wps:wsp>
                  </a:graphicData>
                </a:graphic>
              </wp:anchor>
            </w:drawing>
          </mc:Choice>
          <mc:Fallback>
            <w:pict>
              <v:shape w14:anchorId="398E79D6" id="Textbox 205" o:spid="_x0000_s1105" type="#_x0000_t202" style="position:absolute;left:0;text-align:left;margin-left:575.7pt;margin-top:-.6pt;width:6.8pt;height:23.1pt;z-index:251658285;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" filled="f" stroked="f">
                <v:textbox style="layout-flow:vertical;mso-layout-flow-alt:bottom-to-top" inset="0,0,0,0">
                  <w:txbxContent>
                    <w:p w14:paraId="080FE13C" w14:textId="77777777" w:rsidR="0014798C" w:rsidRDefault="004E1F0B">
                      <w:pPr>
                        <w:spacing w:before="22"/>
                        <w:ind w:left="20"/>
                        <w:rPr>
                          <w:sz w:val="8"/>
                        </w:rPr>
                      </w:pPr>
                      <w:r>
                        <w:rPr>
                          <w:color w:val="FFFFFF"/>
                          <w:spacing w:val="-25"/>
                          <w:w w:val="105"/>
                          <w:sz w:val="8"/>
                        </w:rPr>
                        <w:t>–IP</w:t>
                      </w:r>
                      <w:r>
                        <w:rPr>
                          <w:spacing w:val="-25"/>
                          <w:w w:val="105"/>
                          <w:sz w:val="8"/>
                        </w:rPr>
                        <w:t>S</w:t>
                      </w:r>
                      <w:r>
                        <w:rPr>
                          <w:color w:val="FFFFFF"/>
                          <w:spacing w:val="-25"/>
                          <w:w w:val="105"/>
                          <w:sz w:val="8"/>
                        </w:rPr>
                        <w:t>IIA</w:t>
                      </w:r>
                      <w:r>
                        <w:rPr>
                          <w:spacing w:val="-25"/>
                          <w:w w:val="105"/>
                          <w:sz w:val="8"/>
                        </w:rPr>
                        <w:t>E</w:t>
                      </w:r>
                      <w:r>
                        <w:rPr>
                          <w:color w:val="FFFFFF"/>
                          <w:spacing w:val="-25"/>
                          <w:w w:val="105"/>
                          <w:sz w:val="8"/>
                        </w:rPr>
                        <w:t>R</w:t>
                      </w:r>
                      <w:r>
                        <w:rPr>
                          <w:spacing w:val="-25"/>
                          <w:w w:val="105"/>
                          <w:sz w:val="8"/>
                        </w:rPr>
                        <w:t>G</w:t>
                      </w:r>
                      <w:r>
                        <w:rPr>
                          <w:color w:val="FFFFFF"/>
                          <w:spacing w:val="-25"/>
                          <w:w w:val="105"/>
                          <w:sz w:val="8"/>
                        </w:rPr>
                        <w:t>T</w:t>
                      </w:r>
                      <w:r>
                        <w:rPr>
                          <w:spacing w:val="-25"/>
                          <w:w w:val="105"/>
                          <w:sz w:val="8"/>
                        </w:rPr>
                        <w:t>U</w:t>
                      </w:r>
                      <w:r>
                        <w:rPr>
                          <w:color w:val="FFFFFF"/>
                          <w:spacing w:val="-25"/>
                          <w:w w:val="105"/>
                          <w:sz w:val="8"/>
                        </w:rPr>
                        <w:t>E</w:t>
                      </w:r>
                      <w:r>
                        <w:rPr>
                          <w:spacing w:val="-25"/>
                          <w:w w:val="105"/>
                          <w:sz w:val="8"/>
                        </w:rPr>
                        <w:t>NDA</w:t>
                      </w:r>
                    </w:p>
                  </w:txbxContent>
                </v:textbox>
                <w10:wrap anchorx="page"/>
              </v:shape>
            </w:pict>
          </mc:Fallback>
        </mc:AlternateContent>
      </w:r>
      <w:r>
        <w:t>Prestación</w:t>
      </w:r>
      <w:r>
        <w:rPr>
          <w:spacing w:val="4"/>
        </w:rPr>
        <w:t xml:space="preserve"> </w:t>
      </w:r>
      <w:r>
        <w:t>y</w:t>
      </w:r>
      <w:r>
        <w:rPr>
          <w:spacing w:val="5"/>
        </w:rPr>
        <w:t xml:space="preserve"> </w:t>
      </w:r>
      <w:r>
        <w:t>disponibilidad</w:t>
      </w:r>
      <w:r>
        <w:rPr>
          <w:spacing w:val="6"/>
        </w:rPr>
        <w:t xml:space="preserve"> </w:t>
      </w:r>
      <w:r>
        <w:t>de</w:t>
      </w:r>
      <w:r>
        <w:rPr>
          <w:spacing w:val="4"/>
        </w:rPr>
        <w:t xml:space="preserve"> </w:t>
      </w:r>
      <w:r>
        <w:t>asistencia</w:t>
      </w:r>
      <w:r>
        <w:rPr>
          <w:spacing w:val="4"/>
        </w:rPr>
        <w:t xml:space="preserve"> </w:t>
      </w:r>
      <w:r>
        <w:rPr>
          <w:spacing w:val="-2"/>
        </w:rPr>
        <w:t>jurídica</w:t>
      </w:r>
    </w:p>
    <w:p w14:paraId="31AB05B1" w14:textId="77777777" w:rsidR="0014798C" w:rsidRDefault="004E1F0B">
      <w:pPr>
        <w:pStyle w:val="Textoindependiente"/>
        <w:spacing w:before="182" w:line="326" w:lineRule="auto"/>
        <w:ind w:left="1107" w:right="1274" w:firstLine="1"/>
      </w:pPr>
      <w:r>
        <w:rPr>
          <w:w w:val="105"/>
        </w:rPr>
        <w:t>En muchas jurisdicciones, las acciones legales conllevan costos significativos, que pueden tener el efecto de disuadir a las víctimas</w:t>
      </w:r>
      <w:r>
        <w:rPr>
          <w:spacing w:val="-4"/>
          <w:w w:val="105"/>
        </w:rPr>
        <w:t xml:space="preserve"> </w:t>
      </w:r>
      <w:r>
        <w:rPr>
          <w:w w:val="105"/>
        </w:rPr>
        <w:t>de</w:t>
      </w:r>
      <w:r>
        <w:rPr>
          <w:spacing w:val="-4"/>
          <w:w w:val="105"/>
        </w:rPr>
        <w:t xml:space="preserve"> </w:t>
      </w:r>
      <w:r>
        <w:rPr>
          <w:w w:val="105"/>
        </w:rPr>
        <w:t>violaciones</w:t>
      </w:r>
      <w:r>
        <w:rPr>
          <w:spacing w:val="-5"/>
          <w:w w:val="105"/>
        </w:rPr>
        <w:t xml:space="preserve"> </w:t>
      </w:r>
      <w:r>
        <w:rPr>
          <w:w w:val="105"/>
        </w:rPr>
        <w:t>de</w:t>
      </w:r>
      <w:r>
        <w:rPr>
          <w:spacing w:val="-4"/>
          <w:w w:val="105"/>
        </w:rPr>
        <w:t xml:space="preserve"> </w:t>
      </w:r>
      <w:r>
        <w:rPr>
          <w:w w:val="105"/>
        </w:rPr>
        <w:t>derechos</w:t>
      </w:r>
      <w:r>
        <w:rPr>
          <w:spacing w:val="-4"/>
          <w:w w:val="105"/>
        </w:rPr>
        <w:t xml:space="preserve"> </w:t>
      </w:r>
      <w:r>
        <w:rPr>
          <w:w w:val="105"/>
        </w:rPr>
        <w:t>de</w:t>
      </w:r>
      <w:r>
        <w:rPr>
          <w:spacing w:val="-5"/>
          <w:w w:val="105"/>
        </w:rPr>
        <w:t xml:space="preserve"> </w:t>
      </w:r>
      <w:r>
        <w:rPr>
          <w:w w:val="105"/>
        </w:rPr>
        <w:t>iniciar</w:t>
      </w:r>
      <w:r>
        <w:rPr>
          <w:spacing w:val="-4"/>
          <w:w w:val="105"/>
        </w:rPr>
        <w:t xml:space="preserve"> </w:t>
      </w:r>
      <w:r>
        <w:rPr>
          <w:w w:val="105"/>
        </w:rPr>
        <w:t>demandas.</w:t>
      </w:r>
      <w:r>
        <w:rPr>
          <w:spacing w:val="-4"/>
          <w:w w:val="105"/>
        </w:rPr>
        <w:t xml:space="preserve"> </w:t>
      </w:r>
      <w:r>
        <w:rPr>
          <w:w w:val="105"/>
        </w:rPr>
        <w:t>Los</w:t>
      </w:r>
      <w:r>
        <w:rPr>
          <w:spacing w:val="-4"/>
          <w:w w:val="105"/>
        </w:rPr>
        <w:t xml:space="preserve"> </w:t>
      </w:r>
      <w:r>
        <w:rPr>
          <w:w w:val="105"/>
        </w:rPr>
        <w:t>Estados</w:t>
      </w:r>
      <w:r>
        <w:rPr>
          <w:spacing w:val="-4"/>
          <w:w w:val="105"/>
        </w:rPr>
        <w:t xml:space="preserve"> </w:t>
      </w:r>
      <w:r>
        <w:rPr>
          <w:w w:val="105"/>
        </w:rPr>
        <w:t>tienen</w:t>
      </w:r>
      <w:r>
        <w:rPr>
          <w:spacing w:val="-5"/>
          <w:w w:val="105"/>
        </w:rPr>
        <w:t xml:space="preserve"> </w:t>
      </w:r>
      <w:r>
        <w:rPr>
          <w:w w:val="105"/>
        </w:rPr>
        <w:t>obligaciones</w:t>
      </w:r>
      <w:r>
        <w:rPr>
          <w:spacing w:val="-4"/>
          <w:w w:val="105"/>
        </w:rPr>
        <w:t xml:space="preserve"> </w:t>
      </w:r>
      <w:r>
        <w:rPr>
          <w:w w:val="105"/>
        </w:rPr>
        <w:t>positivas</w:t>
      </w:r>
      <w:r>
        <w:rPr>
          <w:spacing w:val="-4"/>
          <w:w w:val="105"/>
        </w:rPr>
        <w:t xml:space="preserve"> </w:t>
      </w:r>
      <w:r>
        <w:rPr>
          <w:w w:val="105"/>
        </w:rPr>
        <w:t>de</w:t>
      </w:r>
      <w:r>
        <w:rPr>
          <w:spacing w:val="-5"/>
          <w:w w:val="105"/>
        </w:rPr>
        <w:t xml:space="preserve"> </w:t>
      </w:r>
      <w:r>
        <w:rPr>
          <w:w w:val="105"/>
        </w:rPr>
        <w:t>garantizar</w:t>
      </w:r>
      <w:r>
        <w:rPr>
          <w:spacing w:val="-4"/>
          <w:w w:val="105"/>
        </w:rPr>
        <w:t xml:space="preserve"> </w:t>
      </w:r>
      <w:r>
        <w:rPr>
          <w:w w:val="105"/>
        </w:rPr>
        <w:t>la</w:t>
      </w:r>
      <w:r>
        <w:rPr>
          <w:spacing w:val="-4"/>
          <w:w w:val="105"/>
        </w:rPr>
        <w:t xml:space="preserve"> </w:t>
      </w:r>
      <w:r>
        <w:rPr>
          <w:w w:val="105"/>
        </w:rPr>
        <w:t>igualdad de acceso a la justicia, que incluyen obligaciones de proporcionar asistencia jurídica. El Comité de Derechos Humanos ha señalado que: “Si bien el artículo 14 [del Pacto Internacional de Derechos Civiles y Políticos] aborda explícitamente la garantía de asistencia jurídica en los procesos penales en el párrafo 3 d), se alienta a los Estados a proporcionar asistencia jurídica gratuita en otros casos. casos, para personas que no tienen medios suficientes para pagarlo... [y] en algunos casos, incluso pueden verse obligados a hacerlo”. 666 El Comité ha enfatizado además que “la imposición de honorarios a las partes en procedimientos que impediría de facto su acceso a la justicia podría dar lugar a problemas en virtud del artículo 14”.667</w:t>
      </w:r>
      <w:r>
        <w:rPr>
          <w:spacing w:val="-1"/>
          <w:w w:val="105"/>
        </w:rPr>
        <w:t xml:space="preserve"> </w:t>
      </w:r>
      <w:r>
        <w:rPr>
          <w:w w:val="105"/>
        </w:rPr>
        <w:t>El</w:t>
      </w:r>
      <w:r>
        <w:rPr>
          <w:spacing w:val="-1"/>
          <w:w w:val="105"/>
        </w:rPr>
        <w:t xml:space="preserve"> </w:t>
      </w:r>
      <w:r>
        <w:rPr>
          <w:w w:val="105"/>
        </w:rPr>
        <w:t>Comité</w:t>
      </w:r>
      <w:r>
        <w:rPr>
          <w:spacing w:val="-1"/>
          <w:w w:val="105"/>
        </w:rPr>
        <w:t xml:space="preserve"> </w:t>
      </w:r>
      <w:r>
        <w:rPr>
          <w:w w:val="105"/>
        </w:rPr>
        <w:t>para</w:t>
      </w:r>
      <w:r>
        <w:rPr>
          <w:spacing w:val="-1"/>
          <w:w w:val="105"/>
        </w:rPr>
        <w:t xml:space="preserve"> </w:t>
      </w:r>
      <w:r>
        <w:rPr>
          <w:w w:val="105"/>
        </w:rPr>
        <w:t>la</w:t>
      </w:r>
      <w:r>
        <w:rPr>
          <w:spacing w:val="-1"/>
          <w:w w:val="105"/>
        </w:rPr>
        <w:t xml:space="preserve"> </w:t>
      </w:r>
      <w:r>
        <w:rPr>
          <w:w w:val="105"/>
        </w:rPr>
        <w:t>Eliminación</w:t>
      </w:r>
      <w:r>
        <w:rPr>
          <w:spacing w:val="-1"/>
          <w:w w:val="105"/>
        </w:rPr>
        <w:t xml:space="preserve"> </w:t>
      </w:r>
      <w:r>
        <w:rPr>
          <w:w w:val="105"/>
        </w:rPr>
        <w:t>de</w:t>
      </w:r>
      <w:r>
        <w:rPr>
          <w:spacing w:val="-1"/>
          <w:w w:val="105"/>
        </w:rPr>
        <w:t xml:space="preserve"> </w:t>
      </w:r>
      <w:r>
        <w:rPr>
          <w:w w:val="105"/>
        </w:rPr>
        <w:t>la</w:t>
      </w:r>
      <w:r>
        <w:rPr>
          <w:spacing w:val="-1"/>
          <w:w w:val="105"/>
        </w:rPr>
        <w:t xml:space="preserve"> </w:t>
      </w:r>
      <w:r>
        <w:rPr>
          <w:w w:val="105"/>
        </w:rPr>
        <w:t>Discriminación contra</w:t>
      </w:r>
      <w:r>
        <w:rPr>
          <w:spacing w:val="-1"/>
          <w:w w:val="105"/>
        </w:rPr>
        <w:t xml:space="preserve"> </w:t>
      </w:r>
      <w:r>
        <w:rPr>
          <w:w w:val="105"/>
        </w:rPr>
        <w:t>la</w:t>
      </w:r>
      <w:r>
        <w:rPr>
          <w:spacing w:val="-1"/>
          <w:w w:val="105"/>
        </w:rPr>
        <w:t xml:space="preserve"> </w:t>
      </w:r>
      <w:r>
        <w:rPr>
          <w:w w:val="105"/>
        </w:rPr>
        <w:t>Mujer</w:t>
      </w:r>
      <w:r>
        <w:rPr>
          <w:spacing w:val="-1"/>
          <w:w w:val="105"/>
        </w:rPr>
        <w:t xml:space="preserve"> </w:t>
      </w:r>
      <w:r>
        <w:rPr>
          <w:w w:val="105"/>
        </w:rPr>
        <w:t>ha</w:t>
      </w:r>
      <w:r>
        <w:rPr>
          <w:spacing w:val="-1"/>
          <w:w w:val="105"/>
        </w:rPr>
        <w:t xml:space="preserve"> </w:t>
      </w:r>
      <w:r>
        <w:rPr>
          <w:w w:val="105"/>
        </w:rPr>
        <w:t>declarado</w:t>
      </w:r>
      <w:r>
        <w:rPr>
          <w:spacing w:val="-1"/>
          <w:w w:val="105"/>
        </w:rPr>
        <w:t xml:space="preserve"> </w:t>
      </w:r>
      <w:r>
        <w:rPr>
          <w:w w:val="105"/>
        </w:rPr>
        <w:t>que</w:t>
      </w:r>
      <w:r>
        <w:rPr>
          <w:spacing w:val="-1"/>
          <w:w w:val="105"/>
        </w:rPr>
        <w:t xml:space="preserve"> </w:t>
      </w:r>
      <w:r>
        <w:rPr>
          <w:w w:val="105"/>
        </w:rPr>
        <w:t>se</w:t>
      </w:r>
      <w:r>
        <w:rPr>
          <w:spacing w:val="-1"/>
          <w:w w:val="105"/>
        </w:rPr>
        <w:t xml:space="preserve"> </w:t>
      </w:r>
      <w:r>
        <w:rPr>
          <w:w w:val="105"/>
        </w:rPr>
        <w:t>debe</w:t>
      </w:r>
      <w:r>
        <w:rPr>
          <w:spacing w:val="-1"/>
          <w:w w:val="105"/>
        </w:rPr>
        <w:t xml:space="preserve"> </w:t>
      </w:r>
      <w:r>
        <w:rPr>
          <w:w w:val="105"/>
        </w:rPr>
        <w:t>proporcionar</w:t>
      </w:r>
      <w:r>
        <w:rPr>
          <w:spacing w:val="-1"/>
          <w:w w:val="105"/>
        </w:rPr>
        <w:t xml:space="preserve"> </w:t>
      </w:r>
      <w:r>
        <w:rPr>
          <w:w w:val="105"/>
        </w:rPr>
        <w:t>asistencia</w:t>
      </w:r>
    </w:p>
    <w:p w14:paraId="0906200F" w14:textId="77777777" w:rsidR="0014798C" w:rsidRDefault="004E1F0B">
      <w:pPr>
        <w:pStyle w:val="Textoindependiente"/>
        <w:spacing w:line="326" w:lineRule="auto"/>
        <w:ind w:left="1109" w:right="1166" w:firstLine="2"/>
      </w:pPr>
      <w:r>
        <w:rPr>
          <w:w w:val="105"/>
        </w:rPr>
        <w:t>jurídica</w:t>
      </w:r>
      <w:r>
        <w:rPr>
          <w:spacing w:val="-5"/>
          <w:w w:val="105"/>
        </w:rPr>
        <w:t xml:space="preserve"> </w:t>
      </w:r>
      <w:r>
        <w:rPr>
          <w:w w:val="105"/>
        </w:rPr>
        <w:t>“según</w:t>
      </w:r>
      <w:r>
        <w:rPr>
          <w:spacing w:val="-5"/>
          <w:w w:val="105"/>
        </w:rPr>
        <w:t xml:space="preserve"> </w:t>
      </w:r>
      <w:r>
        <w:rPr>
          <w:w w:val="105"/>
        </w:rPr>
        <w:t>sea</w:t>
      </w:r>
      <w:r>
        <w:rPr>
          <w:spacing w:val="-5"/>
          <w:w w:val="105"/>
        </w:rPr>
        <w:t xml:space="preserve"> </w:t>
      </w:r>
      <w:r>
        <w:rPr>
          <w:w w:val="105"/>
        </w:rPr>
        <w:t>necesario”</w:t>
      </w:r>
      <w:r>
        <w:rPr>
          <w:spacing w:val="-5"/>
          <w:w w:val="105"/>
        </w:rPr>
        <w:t xml:space="preserve"> </w:t>
      </w:r>
      <w:r>
        <w:rPr>
          <w:w w:val="105"/>
        </w:rPr>
        <w:t>para</w:t>
      </w:r>
      <w:r>
        <w:rPr>
          <w:spacing w:val="-5"/>
          <w:w w:val="105"/>
        </w:rPr>
        <w:t xml:space="preserve"> </w:t>
      </w:r>
      <w:r>
        <w:rPr>
          <w:w w:val="105"/>
        </w:rPr>
        <w:t>garantizar</w:t>
      </w:r>
      <w:r>
        <w:rPr>
          <w:spacing w:val="-5"/>
          <w:w w:val="105"/>
        </w:rPr>
        <w:t xml:space="preserve"> </w:t>
      </w:r>
      <w:r>
        <w:rPr>
          <w:w w:val="105"/>
        </w:rPr>
        <w:t>“recursos</w:t>
      </w:r>
      <w:r>
        <w:rPr>
          <w:spacing w:val="-5"/>
          <w:w w:val="105"/>
        </w:rPr>
        <w:t xml:space="preserve"> </w:t>
      </w:r>
      <w:r>
        <w:rPr>
          <w:w w:val="105"/>
        </w:rPr>
        <w:t>asequibles,</w:t>
      </w:r>
      <w:r>
        <w:rPr>
          <w:spacing w:val="-3"/>
          <w:w w:val="105"/>
        </w:rPr>
        <w:t xml:space="preserve"> </w:t>
      </w:r>
      <w:r>
        <w:rPr>
          <w:w w:val="105"/>
        </w:rPr>
        <w:t>accesibles</w:t>
      </w:r>
      <w:r>
        <w:rPr>
          <w:spacing w:val="-5"/>
          <w:w w:val="105"/>
        </w:rPr>
        <w:t xml:space="preserve"> </w:t>
      </w:r>
      <w:r>
        <w:rPr>
          <w:w w:val="105"/>
        </w:rPr>
        <w:t>y</w:t>
      </w:r>
      <w:r>
        <w:rPr>
          <w:spacing w:val="-5"/>
          <w:w w:val="105"/>
        </w:rPr>
        <w:t xml:space="preserve"> </w:t>
      </w:r>
      <w:r>
        <w:rPr>
          <w:w w:val="105"/>
        </w:rPr>
        <w:t>oportunos”</w:t>
      </w:r>
      <w:r>
        <w:rPr>
          <w:spacing w:val="-5"/>
          <w:w w:val="105"/>
        </w:rPr>
        <w:t xml:space="preserve"> </w:t>
      </w:r>
      <w:r>
        <w:rPr>
          <w:w w:val="105"/>
        </w:rPr>
        <w:t>.668</w:t>
      </w:r>
      <w:r>
        <w:rPr>
          <w:spacing w:val="-5"/>
          <w:w w:val="105"/>
        </w:rPr>
        <w:t xml:space="preserve"> </w:t>
      </w:r>
      <w:r>
        <w:rPr>
          <w:w w:val="105"/>
        </w:rPr>
        <w:t>En</w:t>
      </w:r>
      <w:r>
        <w:rPr>
          <w:spacing w:val="-5"/>
          <w:w w:val="105"/>
        </w:rPr>
        <w:t xml:space="preserve"> </w:t>
      </w:r>
      <w:r>
        <w:rPr>
          <w:w w:val="105"/>
        </w:rPr>
        <w:t>términos</w:t>
      </w:r>
      <w:r>
        <w:rPr>
          <w:spacing w:val="-5"/>
          <w:w w:val="105"/>
        </w:rPr>
        <w:t xml:space="preserve"> </w:t>
      </w:r>
      <w:r>
        <w:rPr>
          <w:w w:val="105"/>
        </w:rPr>
        <w:t>más</w:t>
      </w:r>
      <w:r>
        <w:rPr>
          <w:spacing w:val="-5"/>
          <w:w w:val="105"/>
        </w:rPr>
        <w:t xml:space="preserve"> </w:t>
      </w:r>
      <w:r>
        <w:rPr>
          <w:w w:val="105"/>
        </w:rPr>
        <w:t>generales, en sus observaciones finales, los órganos creados en virtud de tratados de derechos humanos han pedido repetidamente</w:t>
      </w:r>
    </w:p>
    <w:p w14:paraId="4B08A13C" w14:textId="77777777" w:rsidR="0014798C" w:rsidRDefault="004E1F0B">
      <w:pPr>
        <w:pStyle w:val="Textoindependiente"/>
        <w:spacing w:line="326" w:lineRule="auto"/>
        <w:ind w:left="1107" w:right="1463" w:firstLine="4"/>
      </w:pPr>
      <w:r>
        <w:rPr>
          <w:w w:val="105"/>
        </w:rPr>
        <w:t>que se proporcione asistencia jurídica a las personas que sufren discriminación.669 Esto debería incluir tanto asistencia financiera</w:t>
      </w:r>
      <w:r>
        <w:rPr>
          <w:spacing w:val="-5"/>
          <w:w w:val="105"/>
        </w:rPr>
        <w:t xml:space="preserve"> </w:t>
      </w:r>
      <w:r>
        <w:rPr>
          <w:w w:val="105"/>
        </w:rPr>
        <w:t>para</w:t>
      </w:r>
      <w:r>
        <w:rPr>
          <w:spacing w:val="-5"/>
          <w:w w:val="105"/>
        </w:rPr>
        <w:t xml:space="preserve"> </w:t>
      </w:r>
      <w:r>
        <w:rPr>
          <w:w w:val="105"/>
        </w:rPr>
        <w:t>garantizar</w:t>
      </w:r>
      <w:r>
        <w:rPr>
          <w:spacing w:val="-5"/>
          <w:w w:val="105"/>
        </w:rPr>
        <w:t xml:space="preserve"> </w:t>
      </w:r>
      <w:r>
        <w:rPr>
          <w:w w:val="105"/>
        </w:rPr>
        <w:t>una</w:t>
      </w:r>
      <w:r>
        <w:rPr>
          <w:spacing w:val="-5"/>
          <w:w w:val="105"/>
        </w:rPr>
        <w:t xml:space="preserve"> </w:t>
      </w:r>
      <w:r>
        <w:rPr>
          <w:w w:val="105"/>
        </w:rPr>
        <w:t>representación</w:t>
      </w:r>
      <w:r>
        <w:rPr>
          <w:spacing w:val="-5"/>
          <w:w w:val="105"/>
        </w:rPr>
        <w:t xml:space="preserve"> </w:t>
      </w:r>
      <w:r>
        <w:rPr>
          <w:w w:val="105"/>
        </w:rPr>
        <w:t>legal</w:t>
      </w:r>
      <w:r>
        <w:rPr>
          <w:spacing w:val="-5"/>
          <w:w w:val="105"/>
        </w:rPr>
        <w:t xml:space="preserve"> </w:t>
      </w:r>
      <w:r>
        <w:rPr>
          <w:w w:val="105"/>
        </w:rPr>
        <w:t>efectiva</w:t>
      </w:r>
      <w:r>
        <w:rPr>
          <w:spacing w:val="-5"/>
          <w:w w:val="105"/>
        </w:rPr>
        <w:t xml:space="preserve"> </w:t>
      </w:r>
      <w:r>
        <w:rPr>
          <w:w w:val="105"/>
        </w:rPr>
        <w:t>como</w:t>
      </w:r>
      <w:r>
        <w:rPr>
          <w:spacing w:val="-5"/>
          <w:w w:val="105"/>
        </w:rPr>
        <w:t xml:space="preserve"> </w:t>
      </w:r>
      <w:r>
        <w:rPr>
          <w:w w:val="105"/>
        </w:rPr>
        <w:t>la</w:t>
      </w:r>
      <w:r>
        <w:rPr>
          <w:spacing w:val="-5"/>
          <w:w w:val="105"/>
        </w:rPr>
        <w:t xml:space="preserve"> </w:t>
      </w:r>
      <w:r>
        <w:rPr>
          <w:w w:val="105"/>
        </w:rPr>
        <w:t>exención</w:t>
      </w:r>
      <w:r>
        <w:rPr>
          <w:spacing w:val="-5"/>
          <w:w w:val="105"/>
        </w:rPr>
        <w:t xml:space="preserve"> </w:t>
      </w:r>
      <w:r>
        <w:rPr>
          <w:w w:val="105"/>
        </w:rPr>
        <w:t>de</w:t>
      </w:r>
      <w:r>
        <w:rPr>
          <w:spacing w:val="-5"/>
          <w:w w:val="105"/>
        </w:rPr>
        <w:t xml:space="preserve"> </w:t>
      </w:r>
      <w:r>
        <w:rPr>
          <w:w w:val="105"/>
        </w:rPr>
        <w:t>tasas</w:t>
      </w:r>
      <w:r>
        <w:rPr>
          <w:spacing w:val="-5"/>
          <w:w w:val="105"/>
        </w:rPr>
        <w:t xml:space="preserve"> </w:t>
      </w:r>
      <w:r>
        <w:rPr>
          <w:w w:val="105"/>
        </w:rPr>
        <w:t>judiciales</w:t>
      </w:r>
      <w:r>
        <w:rPr>
          <w:spacing w:val="-5"/>
          <w:w w:val="105"/>
        </w:rPr>
        <w:t xml:space="preserve"> </w:t>
      </w:r>
      <w:r>
        <w:rPr>
          <w:w w:val="105"/>
        </w:rPr>
        <w:t>y</w:t>
      </w:r>
      <w:r>
        <w:rPr>
          <w:spacing w:val="-5"/>
          <w:w w:val="105"/>
        </w:rPr>
        <w:t xml:space="preserve"> </w:t>
      </w:r>
      <w:r>
        <w:rPr>
          <w:w w:val="105"/>
        </w:rPr>
        <w:t>otros</w:t>
      </w:r>
      <w:r>
        <w:rPr>
          <w:spacing w:val="-5"/>
          <w:w w:val="105"/>
        </w:rPr>
        <w:t xml:space="preserve"> </w:t>
      </w:r>
      <w:r>
        <w:rPr>
          <w:w w:val="105"/>
        </w:rPr>
        <w:t>costos</w:t>
      </w:r>
      <w:r>
        <w:rPr>
          <w:spacing w:val="-5"/>
          <w:w w:val="105"/>
        </w:rPr>
        <w:t xml:space="preserve"> </w:t>
      </w:r>
      <w:r>
        <w:rPr>
          <w:w w:val="105"/>
        </w:rPr>
        <w:t>asociados con procedimientos judiciales, como los costos de designación de peritos.</w:t>
      </w:r>
    </w:p>
    <w:p w14:paraId="251E6712" w14:textId="77777777" w:rsidR="0014798C" w:rsidRDefault="004E1F0B">
      <w:pPr>
        <w:pStyle w:val="Textoindependiente"/>
        <w:spacing w:before="163" w:line="326" w:lineRule="auto"/>
        <w:ind w:left="1107" w:right="1272" w:firstLine="1"/>
      </w:pPr>
      <w:r>
        <w:rPr>
          <w:w w:val="105"/>
        </w:rPr>
        <w:t>Los</w:t>
      </w:r>
      <w:r>
        <w:rPr>
          <w:spacing w:val="-6"/>
          <w:w w:val="105"/>
        </w:rPr>
        <w:t xml:space="preserve"> </w:t>
      </w:r>
      <w:r>
        <w:rPr>
          <w:w w:val="105"/>
        </w:rPr>
        <w:t>organismos</w:t>
      </w:r>
      <w:r>
        <w:rPr>
          <w:spacing w:val="-6"/>
          <w:w w:val="105"/>
        </w:rPr>
        <w:t xml:space="preserve"> </w:t>
      </w:r>
      <w:r>
        <w:rPr>
          <w:w w:val="105"/>
        </w:rPr>
        <w:t>internacionales</w:t>
      </w:r>
      <w:r>
        <w:rPr>
          <w:spacing w:val="-6"/>
          <w:w w:val="105"/>
        </w:rPr>
        <w:t xml:space="preserve"> </w:t>
      </w:r>
      <w:r>
        <w:rPr>
          <w:w w:val="105"/>
        </w:rPr>
        <w:t>han</w:t>
      </w:r>
      <w:r>
        <w:rPr>
          <w:spacing w:val="-6"/>
          <w:w w:val="105"/>
        </w:rPr>
        <w:t xml:space="preserve"> </w:t>
      </w:r>
      <w:r>
        <w:rPr>
          <w:w w:val="105"/>
        </w:rPr>
        <w:t>identificado</w:t>
      </w:r>
      <w:r>
        <w:rPr>
          <w:spacing w:val="-6"/>
          <w:w w:val="105"/>
        </w:rPr>
        <w:t xml:space="preserve"> </w:t>
      </w:r>
      <w:r>
        <w:rPr>
          <w:w w:val="105"/>
        </w:rPr>
        <w:t>criterios</w:t>
      </w:r>
      <w:r>
        <w:rPr>
          <w:spacing w:val="-6"/>
          <w:w w:val="105"/>
        </w:rPr>
        <w:t xml:space="preserve"> </w:t>
      </w:r>
      <w:r>
        <w:rPr>
          <w:w w:val="105"/>
        </w:rPr>
        <w:t>para</w:t>
      </w:r>
      <w:r>
        <w:rPr>
          <w:spacing w:val="-6"/>
          <w:w w:val="105"/>
        </w:rPr>
        <w:t xml:space="preserve"> </w:t>
      </w:r>
      <w:r>
        <w:rPr>
          <w:w w:val="105"/>
        </w:rPr>
        <w:t>determinar</w:t>
      </w:r>
      <w:r>
        <w:rPr>
          <w:spacing w:val="-6"/>
          <w:w w:val="105"/>
        </w:rPr>
        <w:t xml:space="preserve"> </w:t>
      </w:r>
      <w:r>
        <w:rPr>
          <w:w w:val="105"/>
        </w:rPr>
        <w:t>la</w:t>
      </w:r>
      <w:r>
        <w:rPr>
          <w:spacing w:val="-6"/>
          <w:w w:val="105"/>
        </w:rPr>
        <w:t xml:space="preserve"> </w:t>
      </w:r>
      <w:r>
        <w:rPr>
          <w:w w:val="105"/>
        </w:rPr>
        <w:t>disponibilidad</w:t>
      </w:r>
      <w:r>
        <w:rPr>
          <w:spacing w:val="-6"/>
          <w:w w:val="105"/>
        </w:rPr>
        <w:t xml:space="preserve"> </w:t>
      </w:r>
      <w:r>
        <w:rPr>
          <w:w w:val="105"/>
        </w:rPr>
        <w:t>de</w:t>
      </w:r>
      <w:r>
        <w:rPr>
          <w:spacing w:val="-6"/>
          <w:w w:val="105"/>
        </w:rPr>
        <w:t xml:space="preserve"> </w:t>
      </w:r>
      <w:r>
        <w:rPr>
          <w:w w:val="105"/>
        </w:rPr>
        <w:t>asistencia</w:t>
      </w:r>
      <w:r>
        <w:rPr>
          <w:spacing w:val="-6"/>
          <w:w w:val="105"/>
        </w:rPr>
        <w:t xml:space="preserve"> </w:t>
      </w:r>
      <w:r>
        <w:rPr>
          <w:w w:val="105"/>
        </w:rPr>
        <w:t>jurídica,</w:t>
      </w:r>
      <w:r>
        <w:rPr>
          <w:spacing w:val="-5"/>
          <w:w w:val="105"/>
        </w:rPr>
        <w:t xml:space="preserve"> </w:t>
      </w:r>
      <w:r>
        <w:rPr>
          <w:w w:val="105"/>
        </w:rPr>
        <w:t>centrándose en los recursos financieros del solicitante.670 El Comité sobre los Derechos de las Personas con Discapacidad ha señalado que</w:t>
      </w:r>
      <w:r>
        <w:rPr>
          <w:spacing w:val="-4"/>
          <w:w w:val="105"/>
        </w:rPr>
        <w:t xml:space="preserve"> </w:t>
      </w:r>
      <w:r>
        <w:rPr>
          <w:w w:val="105"/>
        </w:rPr>
        <w:t>la</w:t>
      </w:r>
      <w:r>
        <w:rPr>
          <w:spacing w:val="-4"/>
          <w:w w:val="105"/>
        </w:rPr>
        <w:t xml:space="preserve"> </w:t>
      </w:r>
      <w:r>
        <w:rPr>
          <w:w w:val="105"/>
        </w:rPr>
        <w:t>asistencia</w:t>
      </w:r>
      <w:r>
        <w:rPr>
          <w:spacing w:val="-4"/>
          <w:w w:val="105"/>
        </w:rPr>
        <w:t xml:space="preserve"> </w:t>
      </w:r>
      <w:r>
        <w:rPr>
          <w:w w:val="105"/>
        </w:rPr>
        <w:t>financiera</w:t>
      </w:r>
      <w:r>
        <w:rPr>
          <w:spacing w:val="-4"/>
          <w:w w:val="105"/>
        </w:rPr>
        <w:t xml:space="preserve"> </w:t>
      </w:r>
      <w:r>
        <w:rPr>
          <w:w w:val="105"/>
        </w:rPr>
        <w:t>puede</w:t>
      </w:r>
      <w:r>
        <w:rPr>
          <w:spacing w:val="-4"/>
          <w:w w:val="105"/>
        </w:rPr>
        <w:t xml:space="preserve"> </w:t>
      </w:r>
      <w:r>
        <w:rPr>
          <w:w w:val="105"/>
        </w:rPr>
        <w:t>estar</w:t>
      </w:r>
      <w:r>
        <w:rPr>
          <w:spacing w:val="-4"/>
          <w:w w:val="105"/>
        </w:rPr>
        <w:t xml:space="preserve"> </w:t>
      </w:r>
      <w:r>
        <w:rPr>
          <w:w w:val="105"/>
        </w:rPr>
        <w:t>“sujeta</w:t>
      </w:r>
      <w:r>
        <w:rPr>
          <w:spacing w:val="-4"/>
          <w:w w:val="105"/>
        </w:rPr>
        <w:t xml:space="preserve"> </w:t>
      </w:r>
      <w:r>
        <w:rPr>
          <w:w w:val="105"/>
        </w:rPr>
        <w:t>a</w:t>
      </w:r>
      <w:r>
        <w:rPr>
          <w:spacing w:val="-4"/>
          <w:w w:val="105"/>
        </w:rPr>
        <w:t xml:space="preserve"> </w:t>
      </w:r>
      <w:r>
        <w:rPr>
          <w:w w:val="105"/>
        </w:rPr>
        <w:t>pruebas</w:t>
      </w:r>
      <w:r>
        <w:rPr>
          <w:spacing w:val="-4"/>
          <w:w w:val="105"/>
        </w:rPr>
        <w:t xml:space="preserve"> </w:t>
      </w:r>
      <w:r>
        <w:rPr>
          <w:w w:val="105"/>
        </w:rPr>
        <w:t>legales</w:t>
      </w:r>
      <w:r>
        <w:rPr>
          <w:spacing w:val="-4"/>
          <w:w w:val="105"/>
        </w:rPr>
        <w:t xml:space="preserve"> </w:t>
      </w:r>
      <w:r>
        <w:rPr>
          <w:w w:val="105"/>
        </w:rPr>
        <w:t>de</w:t>
      </w:r>
      <w:r>
        <w:rPr>
          <w:spacing w:val="-4"/>
          <w:w w:val="105"/>
        </w:rPr>
        <w:t xml:space="preserve"> </w:t>
      </w:r>
      <w:r>
        <w:rPr>
          <w:w w:val="105"/>
        </w:rPr>
        <w:t>medios</w:t>
      </w:r>
      <w:r>
        <w:rPr>
          <w:spacing w:val="-4"/>
          <w:w w:val="105"/>
        </w:rPr>
        <w:t xml:space="preserve"> </w:t>
      </w:r>
      <w:r>
        <w:rPr>
          <w:w w:val="105"/>
        </w:rPr>
        <w:t>y</w:t>
      </w:r>
      <w:r>
        <w:rPr>
          <w:spacing w:val="-4"/>
          <w:w w:val="105"/>
        </w:rPr>
        <w:t xml:space="preserve"> </w:t>
      </w:r>
      <w:r>
        <w:rPr>
          <w:w w:val="105"/>
        </w:rPr>
        <w:t>méritos”</w:t>
      </w:r>
      <w:r>
        <w:rPr>
          <w:spacing w:val="-4"/>
          <w:w w:val="105"/>
        </w:rPr>
        <w:t xml:space="preserve"> </w:t>
      </w:r>
      <w:r>
        <w:rPr>
          <w:w w:val="105"/>
        </w:rPr>
        <w:t>cuando</w:t>
      </w:r>
      <w:r>
        <w:rPr>
          <w:spacing w:val="-4"/>
          <w:w w:val="105"/>
        </w:rPr>
        <w:t xml:space="preserve"> </w:t>
      </w:r>
      <w:r>
        <w:rPr>
          <w:w w:val="105"/>
        </w:rPr>
        <w:t>apropiado.671</w:t>
      </w:r>
      <w:r>
        <w:rPr>
          <w:spacing w:val="-4"/>
          <w:w w:val="105"/>
        </w:rPr>
        <w:t xml:space="preserve"> </w:t>
      </w:r>
      <w:r>
        <w:rPr>
          <w:w w:val="105"/>
        </w:rPr>
        <w:t>Si</w:t>
      </w:r>
      <w:r>
        <w:rPr>
          <w:spacing w:val="-4"/>
          <w:w w:val="105"/>
        </w:rPr>
        <w:t xml:space="preserve"> </w:t>
      </w:r>
      <w:r>
        <w:rPr>
          <w:w w:val="105"/>
        </w:rPr>
        <w:t>los</w:t>
      </w:r>
      <w:r>
        <w:rPr>
          <w:spacing w:val="-4"/>
          <w:w w:val="105"/>
        </w:rPr>
        <w:t xml:space="preserve"> </w:t>
      </w:r>
      <w:r>
        <w:rPr>
          <w:w w:val="105"/>
        </w:rPr>
        <w:t>Estados adoptan una prueba de recursos, deben garantizar que el derecho a la no discriminación siga siendo práctico y efectivo, y la decisión de rechazar asistencia financiera individual no debe tener el efecto de impedir el acceso a la justicia en la práctica. Desarrollando</w:t>
      </w:r>
      <w:r>
        <w:rPr>
          <w:spacing w:val="-1"/>
          <w:w w:val="105"/>
        </w:rPr>
        <w:t xml:space="preserve"> </w:t>
      </w:r>
      <w:r>
        <w:rPr>
          <w:w w:val="105"/>
        </w:rPr>
        <w:t>este</w:t>
      </w:r>
      <w:r>
        <w:rPr>
          <w:spacing w:val="-2"/>
          <w:w w:val="105"/>
        </w:rPr>
        <w:t xml:space="preserve"> </w:t>
      </w:r>
      <w:r>
        <w:rPr>
          <w:w w:val="105"/>
        </w:rPr>
        <w:t>punto,</w:t>
      </w:r>
      <w:r>
        <w:rPr>
          <w:spacing w:val="-1"/>
          <w:w w:val="105"/>
        </w:rPr>
        <w:t xml:space="preserve"> </w:t>
      </w:r>
      <w:r>
        <w:rPr>
          <w:w w:val="105"/>
        </w:rPr>
        <w:t>el</w:t>
      </w:r>
      <w:r>
        <w:rPr>
          <w:spacing w:val="-2"/>
          <w:w w:val="105"/>
        </w:rPr>
        <w:t xml:space="preserve"> </w:t>
      </w:r>
      <w:r>
        <w:rPr>
          <w:w w:val="105"/>
        </w:rPr>
        <w:t>Comité</w:t>
      </w:r>
      <w:r>
        <w:rPr>
          <w:spacing w:val="-2"/>
          <w:w w:val="105"/>
        </w:rPr>
        <w:t xml:space="preserve"> </w:t>
      </w:r>
      <w:r>
        <w:rPr>
          <w:w w:val="105"/>
        </w:rPr>
        <w:t>ha</w:t>
      </w:r>
      <w:r>
        <w:rPr>
          <w:spacing w:val="-2"/>
          <w:w w:val="105"/>
        </w:rPr>
        <w:t xml:space="preserve"> </w:t>
      </w:r>
      <w:r>
        <w:rPr>
          <w:w w:val="105"/>
        </w:rPr>
        <w:t>enfatizado</w:t>
      </w:r>
      <w:r>
        <w:rPr>
          <w:spacing w:val="-2"/>
          <w:w w:val="105"/>
        </w:rPr>
        <w:t xml:space="preserve"> </w:t>
      </w:r>
      <w:r>
        <w:rPr>
          <w:w w:val="105"/>
        </w:rPr>
        <w:t>que</w:t>
      </w:r>
      <w:r>
        <w:rPr>
          <w:spacing w:val="-2"/>
          <w:w w:val="105"/>
        </w:rPr>
        <w:t xml:space="preserve"> </w:t>
      </w:r>
      <w:r>
        <w:rPr>
          <w:w w:val="105"/>
        </w:rPr>
        <w:t>el</w:t>
      </w:r>
      <w:r>
        <w:rPr>
          <w:spacing w:val="-2"/>
          <w:w w:val="105"/>
        </w:rPr>
        <w:t xml:space="preserve"> </w:t>
      </w:r>
      <w:r>
        <w:rPr>
          <w:w w:val="105"/>
        </w:rPr>
        <w:t>umbral</w:t>
      </w:r>
      <w:r>
        <w:rPr>
          <w:spacing w:val="-1"/>
          <w:w w:val="105"/>
        </w:rPr>
        <w:t xml:space="preserve"> </w:t>
      </w:r>
      <w:r>
        <w:rPr>
          <w:w w:val="105"/>
        </w:rPr>
        <w:t>para</w:t>
      </w:r>
      <w:r>
        <w:rPr>
          <w:spacing w:val="-2"/>
          <w:w w:val="105"/>
        </w:rPr>
        <w:t xml:space="preserve"> </w:t>
      </w:r>
      <w:r>
        <w:rPr>
          <w:w w:val="105"/>
        </w:rPr>
        <w:t>recibir</w:t>
      </w:r>
      <w:r>
        <w:rPr>
          <w:spacing w:val="-2"/>
          <w:w w:val="105"/>
        </w:rPr>
        <w:t xml:space="preserve"> </w:t>
      </w:r>
      <w:r>
        <w:rPr>
          <w:w w:val="105"/>
        </w:rPr>
        <w:t>asistencia</w:t>
      </w:r>
      <w:r>
        <w:rPr>
          <w:spacing w:val="-2"/>
          <w:w w:val="105"/>
        </w:rPr>
        <w:t xml:space="preserve"> </w:t>
      </w:r>
      <w:r>
        <w:rPr>
          <w:w w:val="105"/>
        </w:rPr>
        <w:t>jurídica</w:t>
      </w:r>
      <w:r>
        <w:rPr>
          <w:spacing w:val="-2"/>
          <w:w w:val="105"/>
        </w:rPr>
        <w:t xml:space="preserve"> </w:t>
      </w:r>
      <w:r>
        <w:rPr>
          <w:w w:val="105"/>
        </w:rPr>
        <w:t>debe</w:t>
      </w:r>
      <w:r>
        <w:rPr>
          <w:spacing w:val="-2"/>
          <w:w w:val="105"/>
        </w:rPr>
        <w:t xml:space="preserve"> </w:t>
      </w:r>
      <w:r>
        <w:rPr>
          <w:w w:val="105"/>
        </w:rPr>
        <w:t>ser</w:t>
      </w:r>
      <w:r>
        <w:rPr>
          <w:spacing w:val="-2"/>
          <w:w w:val="105"/>
        </w:rPr>
        <w:t xml:space="preserve"> </w:t>
      </w:r>
      <w:r>
        <w:rPr>
          <w:w w:val="105"/>
        </w:rPr>
        <w:t>bajo672</w:t>
      </w:r>
      <w:r>
        <w:rPr>
          <w:spacing w:val="-2"/>
          <w:w w:val="105"/>
        </w:rPr>
        <w:t xml:space="preserve"> </w:t>
      </w:r>
      <w:r>
        <w:rPr>
          <w:w w:val="105"/>
        </w:rPr>
        <w:t>y</w:t>
      </w:r>
      <w:r>
        <w:rPr>
          <w:spacing w:val="-2"/>
          <w:w w:val="105"/>
        </w:rPr>
        <w:t xml:space="preserve"> </w:t>
      </w:r>
      <w:r>
        <w:rPr>
          <w:w w:val="105"/>
        </w:rPr>
        <w:t>que</w:t>
      </w:r>
      <w:r>
        <w:rPr>
          <w:spacing w:val="-2"/>
          <w:w w:val="105"/>
        </w:rPr>
        <w:t xml:space="preserve"> </w:t>
      </w:r>
      <w:r>
        <w:rPr>
          <w:w w:val="105"/>
        </w:rPr>
        <w:t>debe estar “disponible localmente”.673</w:t>
      </w:r>
    </w:p>
    <w:p w14:paraId="1A64E313" w14:textId="77777777" w:rsidR="0014798C" w:rsidRDefault="004E1F0B">
      <w:pPr>
        <w:pStyle w:val="Textoindependiente"/>
        <w:spacing w:before="166" w:line="326" w:lineRule="auto"/>
        <w:ind w:left="1111" w:right="937" w:hanging="4"/>
      </w:pPr>
      <w:r>
        <w:rPr>
          <w:w w:val="105"/>
        </w:rPr>
        <w:t>En algunas circunstancias, es posible que la denegación de asistencia jurídica pueda dar lugar a una demanda por discriminación,</w:t>
      </w:r>
      <w:r>
        <w:rPr>
          <w:spacing w:val="-3"/>
          <w:w w:val="105"/>
        </w:rPr>
        <w:t xml:space="preserve"> </w:t>
      </w:r>
      <w:r>
        <w:rPr>
          <w:w w:val="105"/>
        </w:rPr>
        <w:t>debido</w:t>
      </w:r>
      <w:r>
        <w:rPr>
          <w:spacing w:val="-5"/>
          <w:w w:val="105"/>
        </w:rPr>
        <w:t xml:space="preserve"> </w:t>
      </w:r>
      <w:r>
        <w:rPr>
          <w:w w:val="105"/>
        </w:rPr>
        <w:t>a</w:t>
      </w:r>
      <w:r>
        <w:rPr>
          <w:spacing w:val="-5"/>
          <w:w w:val="105"/>
        </w:rPr>
        <w:t xml:space="preserve"> </w:t>
      </w:r>
      <w:r>
        <w:rPr>
          <w:w w:val="105"/>
        </w:rPr>
        <w:t>su</w:t>
      </w:r>
      <w:r>
        <w:rPr>
          <w:spacing w:val="-5"/>
          <w:w w:val="105"/>
        </w:rPr>
        <w:t xml:space="preserve"> </w:t>
      </w:r>
      <w:r>
        <w:rPr>
          <w:w w:val="105"/>
        </w:rPr>
        <w:t>impacto</w:t>
      </w:r>
      <w:r>
        <w:rPr>
          <w:spacing w:val="-5"/>
          <w:w w:val="105"/>
        </w:rPr>
        <w:t xml:space="preserve"> </w:t>
      </w:r>
      <w:r>
        <w:rPr>
          <w:w w:val="105"/>
        </w:rPr>
        <w:t>desproporcionado</w:t>
      </w:r>
      <w:r>
        <w:rPr>
          <w:spacing w:val="-4"/>
          <w:w w:val="105"/>
        </w:rPr>
        <w:t xml:space="preserve"> </w:t>
      </w:r>
      <w:r>
        <w:rPr>
          <w:w w:val="105"/>
        </w:rPr>
        <w:t>en</w:t>
      </w:r>
      <w:r>
        <w:rPr>
          <w:spacing w:val="-5"/>
          <w:w w:val="105"/>
        </w:rPr>
        <w:t xml:space="preserve"> </w:t>
      </w:r>
      <w:r>
        <w:rPr>
          <w:w w:val="105"/>
        </w:rPr>
        <w:t>los</w:t>
      </w:r>
      <w:r>
        <w:rPr>
          <w:spacing w:val="-5"/>
          <w:w w:val="105"/>
        </w:rPr>
        <w:t xml:space="preserve"> </w:t>
      </w:r>
      <w:r>
        <w:rPr>
          <w:w w:val="105"/>
        </w:rPr>
        <w:t>miembros</w:t>
      </w:r>
      <w:r>
        <w:rPr>
          <w:spacing w:val="-5"/>
          <w:w w:val="105"/>
        </w:rPr>
        <w:t xml:space="preserve"> </w:t>
      </w:r>
      <w:r>
        <w:rPr>
          <w:w w:val="105"/>
        </w:rPr>
        <w:t>de</w:t>
      </w:r>
      <w:r>
        <w:rPr>
          <w:spacing w:val="-5"/>
          <w:w w:val="105"/>
        </w:rPr>
        <w:t xml:space="preserve"> </w:t>
      </w:r>
      <w:r>
        <w:rPr>
          <w:w w:val="105"/>
        </w:rPr>
        <w:t>un</w:t>
      </w:r>
      <w:r>
        <w:rPr>
          <w:spacing w:val="-5"/>
          <w:w w:val="105"/>
        </w:rPr>
        <w:t xml:space="preserve"> </w:t>
      </w:r>
      <w:r>
        <w:rPr>
          <w:w w:val="105"/>
        </w:rPr>
        <w:t>grupo</w:t>
      </w:r>
      <w:r>
        <w:rPr>
          <w:spacing w:val="-5"/>
          <w:w w:val="105"/>
        </w:rPr>
        <w:t xml:space="preserve"> </w:t>
      </w:r>
      <w:r>
        <w:rPr>
          <w:w w:val="105"/>
        </w:rPr>
        <w:t>protegido.</w:t>
      </w:r>
      <w:r>
        <w:rPr>
          <w:spacing w:val="-4"/>
          <w:w w:val="105"/>
        </w:rPr>
        <w:t xml:space="preserve"> </w:t>
      </w:r>
      <w:r>
        <w:rPr>
          <w:w w:val="105"/>
        </w:rPr>
        <w:t>La</w:t>
      </w:r>
      <w:r>
        <w:rPr>
          <w:spacing w:val="-5"/>
          <w:w w:val="105"/>
        </w:rPr>
        <w:t xml:space="preserve"> </w:t>
      </w:r>
      <w:r>
        <w:rPr>
          <w:w w:val="105"/>
        </w:rPr>
        <w:t>desventaja</w:t>
      </w:r>
      <w:r>
        <w:rPr>
          <w:spacing w:val="-5"/>
          <w:w w:val="105"/>
        </w:rPr>
        <w:t xml:space="preserve"> </w:t>
      </w:r>
      <w:r>
        <w:rPr>
          <w:w w:val="105"/>
        </w:rPr>
        <w:t>socioeconómica</w:t>
      </w:r>
      <w:r>
        <w:rPr>
          <w:spacing w:val="-4"/>
          <w:w w:val="105"/>
        </w:rPr>
        <w:t xml:space="preserve"> </w:t>
      </w:r>
      <w:r>
        <w:rPr>
          <w:w w:val="105"/>
        </w:rPr>
        <w:t>ha</w:t>
      </w:r>
    </w:p>
    <w:p w14:paraId="2B6818F6" w14:textId="77777777" w:rsidR="0014798C" w:rsidRDefault="0014798C">
      <w:pPr>
        <w:pStyle w:val="Textoindependiente"/>
        <w:rPr>
          <w:sz w:val="11"/>
        </w:rPr>
      </w:pPr>
    </w:p>
    <w:p w14:paraId="53924CAA" w14:textId="77777777" w:rsidR="0014798C" w:rsidRDefault="0014798C">
      <w:pPr>
        <w:pStyle w:val="Textoindependiente"/>
        <w:rPr>
          <w:sz w:val="11"/>
        </w:rPr>
      </w:pPr>
    </w:p>
    <w:p w14:paraId="2E93F18C" w14:textId="77777777" w:rsidR="0014798C" w:rsidRDefault="0014798C">
      <w:pPr>
        <w:pStyle w:val="Textoindependiente"/>
        <w:rPr>
          <w:sz w:val="11"/>
        </w:rPr>
      </w:pPr>
    </w:p>
    <w:p w14:paraId="7CA64EE3" w14:textId="77777777" w:rsidR="0014798C" w:rsidRDefault="0014798C">
      <w:pPr>
        <w:pStyle w:val="Textoindependiente"/>
        <w:rPr>
          <w:sz w:val="11"/>
        </w:rPr>
      </w:pPr>
    </w:p>
    <w:p w14:paraId="132D622A" w14:textId="77777777" w:rsidR="0014798C" w:rsidRDefault="0014798C">
      <w:pPr>
        <w:pStyle w:val="Textoindependiente"/>
        <w:rPr>
          <w:sz w:val="11"/>
        </w:rPr>
      </w:pPr>
    </w:p>
    <w:p w14:paraId="4F1B96EF" w14:textId="77777777" w:rsidR="0014798C" w:rsidRDefault="0014798C">
      <w:pPr>
        <w:pStyle w:val="Textoindependiente"/>
        <w:spacing w:before="60"/>
        <w:rPr>
          <w:sz w:val="11"/>
        </w:rPr>
      </w:pPr>
    </w:p>
    <w:p w14:paraId="707A3912" w14:textId="77777777" w:rsidR="0014798C" w:rsidRDefault="004E1F0B">
      <w:pPr>
        <w:pStyle w:val="Prrafodelista"/>
        <w:numPr>
          <w:ilvl w:val="0"/>
          <w:numId w:val="45"/>
        </w:numPr>
        <w:tabs>
          <w:tab w:val="left" w:pos="1324"/>
        </w:tabs>
        <w:spacing w:before="1"/>
        <w:ind w:left="1324" w:hanging="216"/>
        <w:rPr>
          <w:sz w:val="11"/>
        </w:rPr>
      </w:pPr>
      <w:r>
        <w:rPr>
          <w:sz w:val="11"/>
        </w:rPr>
        <w:t>Principios</w:t>
      </w:r>
      <w:r>
        <w:rPr>
          <w:spacing w:val="4"/>
          <w:sz w:val="11"/>
        </w:rPr>
        <w:t xml:space="preserve"> </w:t>
      </w:r>
      <w:r>
        <w:rPr>
          <w:sz w:val="11"/>
        </w:rPr>
        <w:t>y</w:t>
      </w:r>
      <w:r>
        <w:rPr>
          <w:spacing w:val="4"/>
          <w:sz w:val="11"/>
        </w:rPr>
        <w:t xml:space="preserve"> </w:t>
      </w:r>
      <w:r>
        <w:rPr>
          <w:sz w:val="11"/>
        </w:rPr>
        <w:t>directrices</w:t>
      </w:r>
      <w:r>
        <w:rPr>
          <w:spacing w:val="4"/>
          <w:sz w:val="11"/>
        </w:rPr>
        <w:t xml:space="preserve"> </w:t>
      </w:r>
      <w:r>
        <w:rPr>
          <w:sz w:val="11"/>
        </w:rPr>
        <w:t>internacionales</w:t>
      </w:r>
      <w:r>
        <w:rPr>
          <w:spacing w:val="4"/>
          <w:sz w:val="11"/>
        </w:rPr>
        <w:t xml:space="preserve"> </w:t>
      </w:r>
      <w:r>
        <w:rPr>
          <w:sz w:val="11"/>
        </w:rPr>
        <w:t>sobre</w:t>
      </w:r>
      <w:r>
        <w:rPr>
          <w:spacing w:val="4"/>
          <w:sz w:val="11"/>
        </w:rPr>
        <w:t xml:space="preserve"> </w:t>
      </w:r>
      <w:r>
        <w:rPr>
          <w:sz w:val="11"/>
        </w:rPr>
        <w:t>el</w:t>
      </w:r>
      <w:r>
        <w:rPr>
          <w:spacing w:val="4"/>
          <w:sz w:val="11"/>
        </w:rPr>
        <w:t xml:space="preserve"> </w:t>
      </w:r>
      <w:r>
        <w:rPr>
          <w:sz w:val="11"/>
        </w:rPr>
        <w:t>acceso</w:t>
      </w:r>
      <w:r>
        <w:rPr>
          <w:spacing w:val="4"/>
          <w:sz w:val="11"/>
        </w:rPr>
        <w:t xml:space="preserve"> </w:t>
      </w:r>
      <w:r>
        <w:rPr>
          <w:sz w:val="11"/>
        </w:rPr>
        <w:t>a</w:t>
      </w:r>
      <w:r>
        <w:rPr>
          <w:spacing w:val="4"/>
          <w:sz w:val="11"/>
        </w:rPr>
        <w:t xml:space="preserve"> </w:t>
      </w:r>
      <w:r>
        <w:rPr>
          <w:sz w:val="11"/>
        </w:rPr>
        <w:t>la</w:t>
      </w:r>
      <w:r>
        <w:rPr>
          <w:spacing w:val="4"/>
          <w:sz w:val="11"/>
        </w:rPr>
        <w:t xml:space="preserve"> </w:t>
      </w:r>
      <w:r>
        <w:rPr>
          <w:sz w:val="11"/>
        </w:rPr>
        <w:t>justicia</w:t>
      </w:r>
      <w:r>
        <w:rPr>
          <w:spacing w:val="4"/>
          <w:sz w:val="11"/>
        </w:rPr>
        <w:t xml:space="preserve"> </w:t>
      </w:r>
      <w:r>
        <w:rPr>
          <w:sz w:val="11"/>
        </w:rPr>
        <w:t>de</w:t>
      </w:r>
      <w:r>
        <w:rPr>
          <w:spacing w:val="4"/>
          <w:sz w:val="11"/>
        </w:rPr>
        <w:t xml:space="preserve"> </w:t>
      </w:r>
      <w:r>
        <w:rPr>
          <w:sz w:val="11"/>
        </w:rPr>
        <w:t>las</w:t>
      </w:r>
      <w:r>
        <w:rPr>
          <w:spacing w:val="4"/>
          <w:sz w:val="11"/>
        </w:rPr>
        <w:t xml:space="preserve"> </w:t>
      </w:r>
      <w:r>
        <w:rPr>
          <w:sz w:val="11"/>
        </w:rPr>
        <w:t>personas</w:t>
      </w:r>
      <w:r>
        <w:rPr>
          <w:spacing w:val="4"/>
          <w:sz w:val="11"/>
        </w:rPr>
        <w:t xml:space="preserve"> </w:t>
      </w:r>
      <w:r>
        <w:rPr>
          <w:sz w:val="11"/>
        </w:rPr>
        <w:t>con</w:t>
      </w:r>
      <w:r>
        <w:rPr>
          <w:spacing w:val="4"/>
          <w:sz w:val="11"/>
        </w:rPr>
        <w:t xml:space="preserve"> </w:t>
      </w:r>
      <w:r>
        <w:rPr>
          <w:spacing w:val="-2"/>
          <w:sz w:val="11"/>
        </w:rPr>
        <w:t>discapacidad.</w:t>
      </w:r>
    </w:p>
    <w:p w14:paraId="1BEC571C" w14:textId="77777777" w:rsidR="0014798C" w:rsidRDefault="004E1F0B">
      <w:pPr>
        <w:pStyle w:val="Prrafodelista"/>
        <w:numPr>
          <w:ilvl w:val="0"/>
          <w:numId w:val="45"/>
        </w:numPr>
        <w:tabs>
          <w:tab w:val="left" w:pos="1324"/>
        </w:tabs>
        <w:spacing w:before="110"/>
        <w:ind w:left="1324" w:hanging="216"/>
        <w:rPr>
          <w:sz w:val="11"/>
        </w:rPr>
      </w:pPr>
      <w:proofErr w:type="spellStart"/>
      <w:r>
        <w:rPr>
          <w:sz w:val="11"/>
        </w:rPr>
        <w:t>Ibíd</w:t>
      </w:r>
      <w:proofErr w:type="spellEnd"/>
      <w:r>
        <w:rPr>
          <w:sz w:val="11"/>
        </w:rPr>
        <w:t>.,</w:t>
      </w:r>
      <w:r>
        <w:rPr>
          <w:spacing w:val="3"/>
          <w:sz w:val="11"/>
        </w:rPr>
        <w:t xml:space="preserve"> </w:t>
      </w:r>
      <w:r>
        <w:rPr>
          <w:sz w:val="11"/>
        </w:rPr>
        <w:t>directriz</w:t>
      </w:r>
      <w:r>
        <w:rPr>
          <w:spacing w:val="4"/>
          <w:sz w:val="11"/>
        </w:rPr>
        <w:t xml:space="preserve"> </w:t>
      </w:r>
      <w:r>
        <w:rPr>
          <w:spacing w:val="-4"/>
          <w:sz w:val="11"/>
        </w:rPr>
        <w:t>3.1.</w:t>
      </w:r>
    </w:p>
    <w:p w14:paraId="54D6927B" w14:textId="77777777" w:rsidR="0014798C" w:rsidRDefault="004E1F0B">
      <w:pPr>
        <w:pStyle w:val="Prrafodelista"/>
        <w:numPr>
          <w:ilvl w:val="0"/>
          <w:numId w:val="45"/>
        </w:numPr>
        <w:tabs>
          <w:tab w:val="left" w:pos="1324"/>
        </w:tabs>
        <w:spacing w:before="110"/>
        <w:ind w:left="1324" w:hanging="216"/>
        <w:rPr>
          <w:sz w:val="11"/>
        </w:rPr>
      </w:pPr>
      <w:r>
        <w:rPr>
          <w:sz w:val="11"/>
        </w:rPr>
        <w:t>Comité</w:t>
      </w:r>
      <w:r>
        <w:rPr>
          <w:spacing w:val="2"/>
          <w:sz w:val="11"/>
        </w:rPr>
        <w:t xml:space="preserve"> </w:t>
      </w:r>
      <w:r>
        <w:rPr>
          <w:sz w:val="11"/>
        </w:rPr>
        <w:t>sobre</w:t>
      </w:r>
      <w:r>
        <w:rPr>
          <w:spacing w:val="3"/>
          <w:sz w:val="11"/>
        </w:rPr>
        <w:t xml:space="preserve"> </w:t>
      </w:r>
      <w:r>
        <w:rPr>
          <w:sz w:val="11"/>
        </w:rPr>
        <w:t>los</w:t>
      </w:r>
      <w:r>
        <w:rPr>
          <w:spacing w:val="2"/>
          <w:sz w:val="11"/>
        </w:rPr>
        <w:t xml:space="preserve"> </w:t>
      </w:r>
      <w:r>
        <w:rPr>
          <w:sz w:val="11"/>
        </w:rPr>
        <w:t>Derechos</w:t>
      </w:r>
      <w:r>
        <w:rPr>
          <w:spacing w:val="3"/>
          <w:sz w:val="11"/>
        </w:rPr>
        <w:t xml:space="preserve"> </w:t>
      </w:r>
      <w:r>
        <w:rPr>
          <w:sz w:val="11"/>
        </w:rPr>
        <w:t>de</w:t>
      </w:r>
      <w:r>
        <w:rPr>
          <w:spacing w:val="3"/>
          <w:sz w:val="11"/>
        </w:rPr>
        <w:t xml:space="preserve"> </w:t>
      </w:r>
      <w:r>
        <w:rPr>
          <w:sz w:val="11"/>
        </w:rPr>
        <w:t>las</w:t>
      </w:r>
      <w:r>
        <w:rPr>
          <w:spacing w:val="2"/>
          <w:sz w:val="11"/>
        </w:rPr>
        <w:t xml:space="preserve"> </w:t>
      </w:r>
      <w:r>
        <w:rPr>
          <w:sz w:val="11"/>
        </w:rPr>
        <w:t>Personas</w:t>
      </w:r>
      <w:r>
        <w:rPr>
          <w:spacing w:val="3"/>
          <w:sz w:val="11"/>
        </w:rPr>
        <w:t xml:space="preserve"> </w:t>
      </w:r>
      <w:r>
        <w:rPr>
          <w:sz w:val="11"/>
        </w:rPr>
        <w:t>con</w:t>
      </w:r>
      <w:r>
        <w:rPr>
          <w:spacing w:val="2"/>
          <w:sz w:val="11"/>
        </w:rPr>
        <w:t xml:space="preserve"> </w:t>
      </w:r>
      <w:r>
        <w:rPr>
          <w:sz w:val="11"/>
        </w:rPr>
        <w:t>Discapacidad,</w:t>
      </w:r>
      <w:r>
        <w:rPr>
          <w:spacing w:val="4"/>
          <w:sz w:val="11"/>
        </w:rPr>
        <w:t xml:space="preserve"> </w:t>
      </w:r>
      <w:r>
        <w:rPr>
          <w:sz w:val="11"/>
        </w:rPr>
        <w:t>observación</w:t>
      </w:r>
      <w:r>
        <w:rPr>
          <w:spacing w:val="3"/>
          <w:sz w:val="11"/>
        </w:rPr>
        <w:t xml:space="preserve"> </w:t>
      </w:r>
      <w:r>
        <w:rPr>
          <w:sz w:val="11"/>
        </w:rPr>
        <w:t>general</w:t>
      </w:r>
      <w:r>
        <w:rPr>
          <w:spacing w:val="2"/>
          <w:sz w:val="11"/>
        </w:rPr>
        <w:t xml:space="preserve"> </w:t>
      </w:r>
      <w:r>
        <w:rPr>
          <w:sz w:val="11"/>
        </w:rPr>
        <w:t>núm.</w:t>
      </w:r>
      <w:r>
        <w:rPr>
          <w:spacing w:val="3"/>
          <w:sz w:val="11"/>
        </w:rPr>
        <w:t xml:space="preserve"> </w:t>
      </w:r>
      <w:r>
        <w:rPr>
          <w:sz w:val="11"/>
        </w:rPr>
        <w:t>6</w:t>
      </w:r>
      <w:r>
        <w:rPr>
          <w:spacing w:val="2"/>
          <w:sz w:val="11"/>
        </w:rPr>
        <w:t xml:space="preserve"> </w:t>
      </w:r>
      <w:r>
        <w:rPr>
          <w:sz w:val="11"/>
        </w:rPr>
        <w:t>(2018),</w:t>
      </w:r>
      <w:r>
        <w:rPr>
          <w:spacing w:val="4"/>
          <w:sz w:val="11"/>
        </w:rPr>
        <w:t xml:space="preserve"> </w:t>
      </w:r>
      <w:r>
        <w:rPr>
          <w:sz w:val="11"/>
        </w:rPr>
        <w:t>párr.</w:t>
      </w:r>
      <w:r>
        <w:rPr>
          <w:spacing w:val="3"/>
          <w:sz w:val="11"/>
        </w:rPr>
        <w:t xml:space="preserve"> </w:t>
      </w:r>
      <w:r>
        <w:rPr>
          <w:sz w:val="11"/>
        </w:rPr>
        <w:t>25</w:t>
      </w:r>
      <w:r>
        <w:rPr>
          <w:spacing w:val="2"/>
          <w:sz w:val="11"/>
        </w:rPr>
        <w:t xml:space="preserve"> </w:t>
      </w:r>
      <w:r>
        <w:rPr>
          <w:spacing w:val="-4"/>
          <w:sz w:val="11"/>
        </w:rPr>
        <w:t>(d).</w:t>
      </w:r>
    </w:p>
    <w:p w14:paraId="46BE5332" w14:textId="77777777" w:rsidR="0014798C" w:rsidRDefault="004E1F0B">
      <w:pPr>
        <w:pStyle w:val="Prrafodelista"/>
        <w:numPr>
          <w:ilvl w:val="0"/>
          <w:numId w:val="45"/>
        </w:numPr>
        <w:tabs>
          <w:tab w:val="left" w:pos="1324"/>
        </w:tabs>
        <w:spacing w:before="110"/>
        <w:ind w:left="1324" w:hanging="216"/>
        <w:rPr>
          <w:sz w:val="11"/>
        </w:rPr>
      </w:pPr>
      <w:r>
        <w:rPr>
          <w:sz w:val="11"/>
        </w:rPr>
        <w:t>Principios</w:t>
      </w:r>
      <w:r>
        <w:rPr>
          <w:spacing w:val="3"/>
          <w:sz w:val="11"/>
        </w:rPr>
        <w:t xml:space="preserve"> </w:t>
      </w:r>
      <w:r>
        <w:rPr>
          <w:sz w:val="11"/>
        </w:rPr>
        <w:t>y</w:t>
      </w:r>
      <w:r>
        <w:rPr>
          <w:spacing w:val="4"/>
          <w:sz w:val="11"/>
        </w:rPr>
        <w:t xml:space="preserve"> </w:t>
      </w:r>
      <w:r>
        <w:rPr>
          <w:sz w:val="11"/>
        </w:rPr>
        <w:t>directrices</w:t>
      </w:r>
      <w:r>
        <w:rPr>
          <w:spacing w:val="3"/>
          <w:sz w:val="11"/>
        </w:rPr>
        <w:t xml:space="preserve"> </w:t>
      </w:r>
      <w:r>
        <w:rPr>
          <w:sz w:val="11"/>
        </w:rPr>
        <w:t>internacionales</w:t>
      </w:r>
      <w:r>
        <w:rPr>
          <w:spacing w:val="4"/>
          <w:sz w:val="11"/>
        </w:rPr>
        <w:t xml:space="preserve"> </w:t>
      </w:r>
      <w:r>
        <w:rPr>
          <w:sz w:val="11"/>
        </w:rPr>
        <w:t>sobre</w:t>
      </w:r>
      <w:r>
        <w:rPr>
          <w:spacing w:val="4"/>
          <w:sz w:val="11"/>
        </w:rPr>
        <w:t xml:space="preserve"> </w:t>
      </w:r>
      <w:r>
        <w:rPr>
          <w:sz w:val="11"/>
        </w:rPr>
        <w:t>el</w:t>
      </w:r>
      <w:r>
        <w:rPr>
          <w:spacing w:val="3"/>
          <w:sz w:val="11"/>
        </w:rPr>
        <w:t xml:space="preserve"> </w:t>
      </w:r>
      <w:r>
        <w:rPr>
          <w:sz w:val="11"/>
        </w:rPr>
        <w:t>acceso</w:t>
      </w:r>
      <w:r>
        <w:rPr>
          <w:spacing w:val="4"/>
          <w:sz w:val="11"/>
        </w:rPr>
        <w:t xml:space="preserve"> </w:t>
      </w:r>
      <w:r>
        <w:rPr>
          <w:sz w:val="11"/>
        </w:rPr>
        <w:t>a</w:t>
      </w:r>
      <w:r>
        <w:rPr>
          <w:spacing w:val="3"/>
          <w:sz w:val="11"/>
        </w:rPr>
        <w:t xml:space="preserve"> </w:t>
      </w:r>
      <w:r>
        <w:rPr>
          <w:sz w:val="11"/>
        </w:rPr>
        <w:t>la</w:t>
      </w:r>
      <w:r>
        <w:rPr>
          <w:spacing w:val="4"/>
          <w:sz w:val="11"/>
        </w:rPr>
        <w:t xml:space="preserve"> </w:t>
      </w:r>
      <w:r>
        <w:rPr>
          <w:sz w:val="11"/>
        </w:rPr>
        <w:t>justicia</w:t>
      </w:r>
      <w:r>
        <w:rPr>
          <w:spacing w:val="4"/>
          <w:sz w:val="11"/>
        </w:rPr>
        <w:t xml:space="preserve"> </w:t>
      </w:r>
      <w:r>
        <w:rPr>
          <w:sz w:val="11"/>
        </w:rPr>
        <w:t>de</w:t>
      </w:r>
      <w:r>
        <w:rPr>
          <w:spacing w:val="3"/>
          <w:sz w:val="11"/>
        </w:rPr>
        <w:t xml:space="preserve"> </w:t>
      </w:r>
      <w:r>
        <w:rPr>
          <w:sz w:val="11"/>
        </w:rPr>
        <w:t>las</w:t>
      </w:r>
      <w:r>
        <w:rPr>
          <w:spacing w:val="4"/>
          <w:sz w:val="11"/>
        </w:rPr>
        <w:t xml:space="preserve"> </w:t>
      </w:r>
      <w:r>
        <w:rPr>
          <w:sz w:val="11"/>
        </w:rPr>
        <w:t>personas</w:t>
      </w:r>
      <w:r>
        <w:rPr>
          <w:spacing w:val="3"/>
          <w:sz w:val="11"/>
        </w:rPr>
        <w:t xml:space="preserve"> </w:t>
      </w:r>
      <w:r>
        <w:rPr>
          <w:sz w:val="11"/>
        </w:rPr>
        <w:t>con</w:t>
      </w:r>
      <w:r>
        <w:rPr>
          <w:spacing w:val="4"/>
          <w:sz w:val="11"/>
        </w:rPr>
        <w:t xml:space="preserve"> </w:t>
      </w:r>
      <w:r>
        <w:rPr>
          <w:sz w:val="11"/>
        </w:rPr>
        <w:t>discapacidad,</w:t>
      </w:r>
      <w:r>
        <w:rPr>
          <w:spacing w:val="5"/>
          <w:sz w:val="11"/>
        </w:rPr>
        <w:t xml:space="preserve"> </w:t>
      </w:r>
      <w:r>
        <w:rPr>
          <w:sz w:val="11"/>
        </w:rPr>
        <w:t>principio</w:t>
      </w:r>
      <w:r>
        <w:rPr>
          <w:spacing w:val="3"/>
          <w:sz w:val="11"/>
        </w:rPr>
        <w:t xml:space="preserve"> </w:t>
      </w:r>
      <w:r>
        <w:rPr>
          <w:spacing w:val="-5"/>
          <w:sz w:val="11"/>
        </w:rPr>
        <w:t>2.</w:t>
      </w:r>
    </w:p>
    <w:p w14:paraId="0E8A8F31" w14:textId="77777777" w:rsidR="0014798C" w:rsidRDefault="004E1F0B">
      <w:pPr>
        <w:pStyle w:val="Prrafodelista"/>
        <w:numPr>
          <w:ilvl w:val="0"/>
          <w:numId w:val="45"/>
        </w:numPr>
        <w:tabs>
          <w:tab w:val="left" w:pos="1324"/>
        </w:tabs>
        <w:spacing w:before="109"/>
        <w:ind w:left="1324" w:hanging="216"/>
        <w:rPr>
          <w:sz w:val="11"/>
        </w:rPr>
      </w:pPr>
      <w:proofErr w:type="spellStart"/>
      <w:r>
        <w:rPr>
          <w:sz w:val="11"/>
        </w:rPr>
        <w:t>Ibíd</w:t>
      </w:r>
      <w:proofErr w:type="spellEnd"/>
      <w:r>
        <w:rPr>
          <w:sz w:val="11"/>
        </w:rPr>
        <w:t>.,</w:t>
      </w:r>
      <w:r>
        <w:rPr>
          <w:spacing w:val="2"/>
          <w:sz w:val="11"/>
        </w:rPr>
        <w:t xml:space="preserve"> </w:t>
      </w:r>
      <w:r>
        <w:rPr>
          <w:sz w:val="11"/>
        </w:rPr>
        <w:t>directriz</w:t>
      </w:r>
      <w:r>
        <w:rPr>
          <w:spacing w:val="3"/>
          <w:sz w:val="11"/>
        </w:rPr>
        <w:t xml:space="preserve"> </w:t>
      </w:r>
      <w:r>
        <w:rPr>
          <w:sz w:val="11"/>
        </w:rPr>
        <w:t>2.1.</w:t>
      </w:r>
      <w:r>
        <w:rPr>
          <w:spacing w:val="2"/>
          <w:sz w:val="11"/>
        </w:rPr>
        <w:t xml:space="preserve"> </w:t>
      </w:r>
      <w:r>
        <w:rPr>
          <w:sz w:val="11"/>
        </w:rPr>
        <w:t>Para</w:t>
      </w:r>
      <w:r>
        <w:rPr>
          <w:spacing w:val="3"/>
          <w:sz w:val="11"/>
        </w:rPr>
        <w:t xml:space="preserve"> </w:t>
      </w:r>
      <w:r>
        <w:rPr>
          <w:sz w:val="11"/>
        </w:rPr>
        <w:t>obtener</w:t>
      </w:r>
      <w:r>
        <w:rPr>
          <w:spacing w:val="3"/>
          <w:sz w:val="11"/>
        </w:rPr>
        <w:t xml:space="preserve"> </w:t>
      </w:r>
      <w:r>
        <w:rPr>
          <w:sz w:val="11"/>
        </w:rPr>
        <w:t>más</w:t>
      </w:r>
      <w:r>
        <w:rPr>
          <w:spacing w:val="2"/>
          <w:sz w:val="11"/>
        </w:rPr>
        <w:t xml:space="preserve"> </w:t>
      </w:r>
      <w:r>
        <w:rPr>
          <w:sz w:val="11"/>
        </w:rPr>
        <w:t>detalles</w:t>
      </w:r>
      <w:r>
        <w:rPr>
          <w:spacing w:val="3"/>
          <w:sz w:val="11"/>
        </w:rPr>
        <w:t xml:space="preserve"> </w:t>
      </w:r>
      <w:r>
        <w:rPr>
          <w:sz w:val="11"/>
        </w:rPr>
        <w:t>sobre</w:t>
      </w:r>
      <w:r>
        <w:rPr>
          <w:spacing w:val="2"/>
          <w:sz w:val="11"/>
        </w:rPr>
        <w:t xml:space="preserve"> </w:t>
      </w:r>
      <w:r>
        <w:rPr>
          <w:sz w:val="11"/>
        </w:rPr>
        <w:t>las</w:t>
      </w:r>
      <w:r>
        <w:rPr>
          <w:spacing w:val="3"/>
          <w:sz w:val="11"/>
        </w:rPr>
        <w:t xml:space="preserve"> </w:t>
      </w:r>
      <w:r>
        <w:rPr>
          <w:sz w:val="11"/>
        </w:rPr>
        <w:t>obligaciones</w:t>
      </w:r>
      <w:r>
        <w:rPr>
          <w:spacing w:val="3"/>
          <w:sz w:val="11"/>
        </w:rPr>
        <w:t xml:space="preserve"> </w:t>
      </w:r>
      <w:r>
        <w:rPr>
          <w:sz w:val="11"/>
        </w:rPr>
        <w:t>de</w:t>
      </w:r>
      <w:r>
        <w:rPr>
          <w:spacing w:val="2"/>
          <w:sz w:val="11"/>
        </w:rPr>
        <w:t xml:space="preserve"> </w:t>
      </w:r>
      <w:r>
        <w:rPr>
          <w:sz w:val="11"/>
        </w:rPr>
        <w:t>accesibilidad</w:t>
      </w:r>
      <w:r>
        <w:rPr>
          <w:spacing w:val="3"/>
          <w:sz w:val="11"/>
        </w:rPr>
        <w:t xml:space="preserve"> </w:t>
      </w:r>
      <w:r>
        <w:rPr>
          <w:sz w:val="11"/>
        </w:rPr>
        <w:t>de</w:t>
      </w:r>
      <w:r>
        <w:rPr>
          <w:spacing w:val="2"/>
          <w:sz w:val="11"/>
        </w:rPr>
        <w:t xml:space="preserve"> </w:t>
      </w:r>
      <w:r>
        <w:rPr>
          <w:sz w:val="11"/>
        </w:rPr>
        <w:t>los</w:t>
      </w:r>
      <w:r>
        <w:rPr>
          <w:spacing w:val="3"/>
          <w:sz w:val="11"/>
        </w:rPr>
        <w:t xml:space="preserve"> </w:t>
      </w:r>
      <w:r>
        <w:rPr>
          <w:sz w:val="11"/>
        </w:rPr>
        <w:t>Estados,</w:t>
      </w:r>
      <w:r>
        <w:rPr>
          <w:spacing w:val="3"/>
          <w:sz w:val="11"/>
        </w:rPr>
        <w:t xml:space="preserve"> </w:t>
      </w:r>
      <w:r>
        <w:rPr>
          <w:sz w:val="11"/>
        </w:rPr>
        <w:t>consulte</w:t>
      </w:r>
      <w:r>
        <w:rPr>
          <w:spacing w:val="2"/>
          <w:sz w:val="11"/>
        </w:rPr>
        <w:t xml:space="preserve"> </w:t>
      </w:r>
      <w:r>
        <w:rPr>
          <w:sz w:val="11"/>
        </w:rPr>
        <w:t>la</w:t>
      </w:r>
      <w:r>
        <w:rPr>
          <w:spacing w:val="3"/>
          <w:sz w:val="11"/>
        </w:rPr>
        <w:t xml:space="preserve"> </w:t>
      </w:r>
      <w:r>
        <w:rPr>
          <w:sz w:val="11"/>
        </w:rPr>
        <w:t>sección</w:t>
      </w:r>
      <w:r>
        <w:rPr>
          <w:spacing w:val="2"/>
          <w:sz w:val="11"/>
        </w:rPr>
        <w:t xml:space="preserve"> </w:t>
      </w:r>
      <w:r>
        <w:rPr>
          <w:sz w:val="11"/>
        </w:rPr>
        <w:t>IC1</w:t>
      </w:r>
      <w:r>
        <w:rPr>
          <w:spacing w:val="3"/>
          <w:sz w:val="11"/>
        </w:rPr>
        <w:t xml:space="preserve"> </w:t>
      </w:r>
      <w:r>
        <w:rPr>
          <w:sz w:val="11"/>
        </w:rPr>
        <w:t>de</w:t>
      </w:r>
      <w:r>
        <w:rPr>
          <w:spacing w:val="3"/>
          <w:sz w:val="11"/>
        </w:rPr>
        <w:t xml:space="preserve"> </w:t>
      </w:r>
      <w:r>
        <w:rPr>
          <w:sz w:val="11"/>
        </w:rPr>
        <w:t>la</w:t>
      </w:r>
      <w:r>
        <w:rPr>
          <w:spacing w:val="2"/>
          <w:sz w:val="11"/>
        </w:rPr>
        <w:t xml:space="preserve"> </w:t>
      </w:r>
      <w:r>
        <w:rPr>
          <w:sz w:val="11"/>
        </w:rPr>
        <w:t>segunda</w:t>
      </w:r>
      <w:r>
        <w:rPr>
          <w:spacing w:val="3"/>
          <w:sz w:val="11"/>
        </w:rPr>
        <w:t xml:space="preserve"> </w:t>
      </w:r>
      <w:r>
        <w:rPr>
          <w:sz w:val="11"/>
        </w:rPr>
        <w:t>parte</w:t>
      </w:r>
      <w:r>
        <w:rPr>
          <w:spacing w:val="2"/>
          <w:sz w:val="11"/>
        </w:rPr>
        <w:t xml:space="preserve"> </w:t>
      </w:r>
      <w:r>
        <w:rPr>
          <w:sz w:val="11"/>
        </w:rPr>
        <w:t>de</w:t>
      </w:r>
      <w:r>
        <w:rPr>
          <w:spacing w:val="3"/>
          <w:sz w:val="11"/>
        </w:rPr>
        <w:t xml:space="preserve"> </w:t>
      </w:r>
      <w:r>
        <w:rPr>
          <w:sz w:val="11"/>
        </w:rPr>
        <w:t>la</w:t>
      </w:r>
      <w:r>
        <w:rPr>
          <w:spacing w:val="3"/>
          <w:sz w:val="11"/>
        </w:rPr>
        <w:t xml:space="preserve"> </w:t>
      </w:r>
      <w:r>
        <w:rPr>
          <w:sz w:val="11"/>
        </w:rPr>
        <w:t>presente</w:t>
      </w:r>
      <w:r>
        <w:rPr>
          <w:spacing w:val="2"/>
          <w:sz w:val="11"/>
        </w:rPr>
        <w:t xml:space="preserve"> </w:t>
      </w:r>
      <w:r>
        <w:rPr>
          <w:spacing w:val="-2"/>
          <w:sz w:val="11"/>
        </w:rPr>
        <w:t>guía.</w:t>
      </w:r>
    </w:p>
    <w:p w14:paraId="74A3FF19" w14:textId="77777777" w:rsidR="0014798C" w:rsidRDefault="004E1F0B">
      <w:pPr>
        <w:spacing w:before="54"/>
        <w:ind w:left="1371"/>
        <w:rPr>
          <w:sz w:val="11"/>
        </w:rPr>
      </w:pPr>
      <w:r>
        <w:rPr>
          <w:sz w:val="11"/>
        </w:rPr>
        <w:t>Véase también</w:t>
      </w:r>
      <w:r>
        <w:rPr>
          <w:spacing w:val="3"/>
          <w:sz w:val="11"/>
        </w:rPr>
        <w:t xml:space="preserve"> </w:t>
      </w:r>
      <w:r>
        <w:rPr>
          <w:sz w:val="11"/>
        </w:rPr>
        <w:t>Comité</w:t>
      </w:r>
      <w:r>
        <w:rPr>
          <w:spacing w:val="3"/>
          <w:sz w:val="11"/>
        </w:rPr>
        <w:t xml:space="preserve"> </w:t>
      </w:r>
      <w:r>
        <w:rPr>
          <w:sz w:val="11"/>
        </w:rPr>
        <w:t>sobre</w:t>
      </w:r>
      <w:r>
        <w:rPr>
          <w:spacing w:val="3"/>
          <w:sz w:val="11"/>
        </w:rPr>
        <w:t xml:space="preserve"> </w:t>
      </w:r>
      <w:r>
        <w:rPr>
          <w:sz w:val="11"/>
        </w:rPr>
        <w:t>los</w:t>
      </w:r>
      <w:r>
        <w:rPr>
          <w:spacing w:val="3"/>
          <w:sz w:val="11"/>
        </w:rPr>
        <w:t xml:space="preserve"> </w:t>
      </w:r>
      <w:r>
        <w:rPr>
          <w:sz w:val="11"/>
        </w:rPr>
        <w:t>Derechos</w:t>
      </w:r>
      <w:r>
        <w:rPr>
          <w:spacing w:val="3"/>
          <w:sz w:val="11"/>
        </w:rPr>
        <w:t xml:space="preserve"> </w:t>
      </w:r>
      <w:r>
        <w:rPr>
          <w:sz w:val="11"/>
        </w:rPr>
        <w:t>de</w:t>
      </w:r>
      <w:r>
        <w:rPr>
          <w:spacing w:val="3"/>
          <w:sz w:val="11"/>
        </w:rPr>
        <w:t xml:space="preserve"> </w:t>
      </w:r>
      <w:r>
        <w:rPr>
          <w:sz w:val="11"/>
        </w:rPr>
        <w:t>las</w:t>
      </w:r>
      <w:r>
        <w:rPr>
          <w:spacing w:val="2"/>
          <w:sz w:val="11"/>
        </w:rPr>
        <w:t xml:space="preserve"> </w:t>
      </w:r>
      <w:r>
        <w:rPr>
          <w:sz w:val="11"/>
        </w:rPr>
        <w:t>Personas</w:t>
      </w:r>
      <w:r>
        <w:rPr>
          <w:spacing w:val="3"/>
          <w:sz w:val="11"/>
        </w:rPr>
        <w:t xml:space="preserve"> </w:t>
      </w:r>
      <w:r>
        <w:rPr>
          <w:sz w:val="11"/>
        </w:rPr>
        <w:t>con</w:t>
      </w:r>
      <w:r>
        <w:rPr>
          <w:spacing w:val="3"/>
          <w:sz w:val="11"/>
        </w:rPr>
        <w:t xml:space="preserve"> </w:t>
      </w:r>
      <w:r>
        <w:rPr>
          <w:sz w:val="11"/>
        </w:rPr>
        <w:t>Discapacidad,</w:t>
      </w:r>
      <w:r>
        <w:rPr>
          <w:spacing w:val="4"/>
          <w:sz w:val="11"/>
        </w:rPr>
        <w:t xml:space="preserve"> </w:t>
      </w:r>
      <w:r>
        <w:rPr>
          <w:sz w:val="11"/>
        </w:rPr>
        <w:t>observación</w:t>
      </w:r>
      <w:r>
        <w:rPr>
          <w:spacing w:val="3"/>
          <w:sz w:val="11"/>
        </w:rPr>
        <w:t xml:space="preserve"> </w:t>
      </w:r>
      <w:r>
        <w:rPr>
          <w:sz w:val="11"/>
        </w:rPr>
        <w:t>general</w:t>
      </w:r>
      <w:r>
        <w:rPr>
          <w:spacing w:val="3"/>
          <w:sz w:val="11"/>
        </w:rPr>
        <w:t xml:space="preserve"> </w:t>
      </w:r>
      <w:r>
        <w:rPr>
          <w:sz w:val="11"/>
        </w:rPr>
        <w:t>núm.</w:t>
      </w:r>
      <w:r>
        <w:rPr>
          <w:spacing w:val="3"/>
          <w:sz w:val="11"/>
        </w:rPr>
        <w:t xml:space="preserve"> </w:t>
      </w:r>
      <w:r>
        <w:rPr>
          <w:sz w:val="11"/>
        </w:rPr>
        <w:t>2</w:t>
      </w:r>
      <w:r>
        <w:rPr>
          <w:spacing w:val="3"/>
          <w:sz w:val="11"/>
        </w:rPr>
        <w:t xml:space="preserve"> </w:t>
      </w:r>
      <w:r>
        <w:rPr>
          <w:spacing w:val="-2"/>
          <w:sz w:val="11"/>
        </w:rPr>
        <w:t>(2014).</w:t>
      </w:r>
    </w:p>
    <w:p w14:paraId="527E5A0B" w14:textId="77777777" w:rsidR="0014798C" w:rsidRDefault="004E1F0B">
      <w:pPr>
        <w:pStyle w:val="Prrafodelista"/>
        <w:numPr>
          <w:ilvl w:val="0"/>
          <w:numId w:val="45"/>
        </w:numPr>
        <w:tabs>
          <w:tab w:val="left" w:pos="1324"/>
        </w:tabs>
        <w:spacing w:before="110"/>
        <w:ind w:left="1324" w:hanging="216"/>
        <w:rPr>
          <w:sz w:val="11"/>
        </w:rPr>
      </w:pPr>
      <w:r>
        <w:rPr>
          <w:sz w:val="11"/>
        </w:rPr>
        <w:t>Principios</w:t>
      </w:r>
      <w:r>
        <w:rPr>
          <w:spacing w:val="4"/>
          <w:sz w:val="11"/>
        </w:rPr>
        <w:t xml:space="preserve"> </w:t>
      </w:r>
      <w:r>
        <w:rPr>
          <w:sz w:val="11"/>
        </w:rPr>
        <w:t>y</w:t>
      </w:r>
      <w:r>
        <w:rPr>
          <w:spacing w:val="4"/>
          <w:sz w:val="11"/>
        </w:rPr>
        <w:t xml:space="preserve"> </w:t>
      </w:r>
      <w:r>
        <w:rPr>
          <w:sz w:val="11"/>
        </w:rPr>
        <w:t>directrices</w:t>
      </w:r>
      <w:r>
        <w:rPr>
          <w:spacing w:val="4"/>
          <w:sz w:val="11"/>
        </w:rPr>
        <w:t xml:space="preserve"> </w:t>
      </w:r>
      <w:r>
        <w:rPr>
          <w:sz w:val="11"/>
        </w:rPr>
        <w:t>internacionales</w:t>
      </w:r>
      <w:r>
        <w:rPr>
          <w:spacing w:val="4"/>
          <w:sz w:val="11"/>
        </w:rPr>
        <w:t xml:space="preserve"> </w:t>
      </w:r>
      <w:r>
        <w:rPr>
          <w:sz w:val="11"/>
        </w:rPr>
        <w:t>sobre</w:t>
      </w:r>
      <w:r>
        <w:rPr>
          <w:spacing w:val="4"/>
          <w:sz w:val="11"/>
        </w:rPr>
        <w:t xml:space="preserve"> </w:t>
      </w:r>
      <w:r>
        <w:rPr>
          <w:sz w:val="11"/>
        </w:rPr>
        <w:t>el</w:t>
      </w:r>
      <w:r>
        <w:rPr>
          <w:spacing w:val="4"/>
          <w:sz w:val="11"/>
        </w:rPr>
        <w:t xml:space="preserve"> </w:t>
      </w:r>
      <w:r>
        <w:rPr>
          <w:sz w:val="11"/>
        </w:rPr>
        <w:t>acceso</w:t>
      </w:r>
      <w:r>
        <w:rPr>
          <w:spacing w:val="4"/>
          <w:sz w:val="11"/>
        </w:rPr>
        <w:t xml:space="preserve"> </w:t>
      </w:r>
      <w:r>
        <w:rPr>
          <w:sz w:val="11"/>
        </w:rPr>
        <w:t>a</w:t>
      </w:r>
      <w:r>
        <w:rPr>
          <w:spacing w:val="4"/>
          <w:sz w:val="11"/>
        </w:rPr>
        <w:t xml:space="preserve"> </w:t>
      </w:r>
      <w:r>
        <w:rPr>
          <w:sz w:val="11"/>
        </w:rPr>
        <w:t>la</w:t>
      </w:r>
      <w:r>
        <w:rPr>
          <w:spacing w:val="4"/>
          <w:sz w:val="11"/>
        </w:rPr>
        <w:t xml:space="preserve"> </w:t>
      </w:r>
      <w:r>
        <w:rPr>
          <w:sz w:val="11"/>
        </w:rPr>
        <w:t>justicia</w:t>
      </w:r>
      <w:r>
        <w:rPr>
          <w:spacing w:val="4"/>
          <w:sz w:val="11"/>
        </w:rPr>
        <w:t xml:space="preserve"> </w:t>
      </w:r>
      <w:r>
        <w:rPr>
          <w:sz w:val="11"/>
        </w:rPr>
        <w:t>de</w:t>
      </w:r>
      <w:r>
        <w:rPr>
          <w:spacing w:val="4"/>
          <w:sz w:val="11"/>
        </w:rPr>
        <w:t xml:space="preserve"> </w:t>
      </w:r>
      <w:r>
        <w:rPr>
          <w:sz w:val="11"/>
        </w:rPr>
        <w:t>las</w:t>
      </w:r>
      <w:r>
        <w:rPr>
          <w:spacing w:val="4"/>
          <w:sz w:val="11"/>
        </w:rPr>
        <w:t xml:space="preserve"> </w:t>
      </w:r>
      <w:r>
        <w:rPr>
          <w:sz w:val="11"/>
        </w:rPr>
        <w:t>personas</w:t>
      </w:r>
      <w:r>
        <w:rPr>
          <w:spacing w:val="4"/>
          <w:sz w:val="11"/>
        </w:rPr>
        <w:t xml:space="preserve"> </w:t>
      </w:r>
      <w:r>
        <w:rPr>
          <w:sz w:val="11"/>
        </w:rPr>
        <w:t>con</w:t>
      </w:r>
      <w:r>
        <w:rPr>
          <w:spacing w:val="5"/>
          <w:sz w:val="11"/>
        </w:rPr>
        <w:t xml:space="preserve"> </w:t>
      </w:r>
      <w:r>
        <w:rPr>
          <w:sz w:val="11"/>
        </w:rPr>
        <w:t>discapacidad,</w:t>
      </w:r>
      <w:r>
        <w:rPr>
          <w:spacing w:val="5"/>
          <w:sz w:val="11"/>
        </w:rPr>
        <w:t xml:space="preserve"> </w:t>
      </w:r>
      <w:r>
        <w:rPr>
          <w:sz w:val="11"/>
        </w:rPr>
        <w:t>directriz</w:t>
      </w:r>
      <w:r>
        <w:rPr>
          <w:spacing w:val="4"/>
          <w:sz w:val="11"/>
        </w:rPr>
        <w:t xml:space="preserve"> </w:t>
      </w:r>
      <w:r>
        <w:rPr>
          <w:spacing w:val="-4"/>
          <w:sz w:val="11"/>
        </w:rPr>
        <w:t>2.1.</w:t>
      </w:r>
    </w:p>
    <w:p w14:paraId="54512A7E" w14:textId="77777777" w:rsidR="0014798C" w:rsidRDefault="004E1F0B">
      <w:pPr>
        <w:pStyle w:val="Prrafodelista"/>
        <w:numPr>
          <w:ilvl w:val="0"/>
          <w:numId w:val="45"/>
        </w:numPr>
        <w:tabs>
          <w:tab w:val="left" w:pos="1324"/>
        </w:tabs>
        <w:spacing w:before="110"/>
        <w:ind w:left="1324" w:hanging="216"/>
        <w:rPr>
          <w:sz w:val="11"/>
        </w:rPr>
      </w:pPr>
      <w:r>
        <w:rPr>
          <w:sz w:val="11"/>
        </w:rPr>
        <w:t>Comité</w:t>
      </w:r>
      <w:r>
        <w:rPr>
          <w:spacing w:val="2"/>
          <w:sz w:val="11"/>
        </w:rPr>
        <w:t xml:space="preserve"> </w:t>
      </w:r>
      <w:r>
        <w:rPr>
          <w:sz w:val="11"/>
        </w:rPr>
        <w:t>de</w:t>
      </w:r>
      <w:r>
        <w:rPr>
          <w:spacing w:val="2"/>
          <w:sz w:val="11"/>
        </w:rPr>
        <w:t xml:space="preserve"> </w:t>
      </w:r>
      <w:r>
        <w:rPr>
          <w:sz w:val="11"/>
        </w:rPr>
        <w:t>Derechos</w:t>
      </w:r>
      <w:r>
        <w:rPr>
          <w:spacing w:val="3"/>
          <w:sz w:val="11"/>
        </w:rPr>
        <w:t xml:space="preserve"> </w:t>
      </w:r>
      <w:r>
        <w:rPr>
          <w:sz w:val="11"/>
        </w:rPr>
        <w:t>Humanos,</w:t>
      </w:r>
      <w:r>
        <w:rPr>
          <w:spacing w:val="3"/>
          <w:sz w:val="11"/>
        </w:rPr>
        <w:t xml:space="preserve"> </w:t>
      </w:r>
      <w:r>
        <w:rPr>
          <w:sz w:val="11"/>
        </w:rPr>
        <w:t>observación</w:t>
      </w:r>
      <w:r>
        <w:rPr>
          <w:spacing w:val="2"/>
          <w:sz w:val="11"/>
        </w:rPr>
        <w:t xml:space="preserve"> </w:t>
      </w:r>
      <w:r>
        <w:rPr>
          <w:sz w:val="11"/>
        </w:rPr>
        <w:t>general</w:t>
      </w:r>
      <w:r>
        <w:rPr>
          <w:spacing w:val="3"/>
          <w:sz w:val="11"/>
        </w:rPr>
        <w:t xml:space="preserve"> </w:t>
      </w:r>
      <w:r>
        <w:rPr>
          <w:sz w:val="11"/>
        </w:rPr>
        <w:t>núm.</w:t>
      </w:r>
      <w:r>
        <w:rPr>
          <w:spacing w:val="2"/>
          <w:sz w:val="11"/>
        </w:rPr>
        <w:t xml:space="preserve"> </w:t>
      </w:r>
      <w:r>
        <w:rPr>
          <w:sz w:val="11"/>
        </w:rPr>
        <w:t>32</w:t>
      </w:r>
      <w:r>
        <w:rPr>
          <w:spacing w:val="3"/>
          <w:sz w:val="11"/>
        </w:rPr>
        <w:t xml:space="preserve"> </w:t>
      </w:r>
      <w:r>
        <w:rPr>
          <w:sz w:val="11"/>
        </w:rPr>
        <w:t>(2007),</w:t>
      </w:r>
      <w:r>
        <w:rPr>
          <w:spacing w:val="3"/>
          <w:sz w:val="11"/>
        </w:rPr>
        <w:t xml:space="preserve"> </w:t>
      </w:r>
      <w:r>
        <w:rPr>
          <w:sz w:val="11"/>
        </w:rPr>
        <w:t>párr.</w:t>
      </w:r>
      <w:r>
        <w:rPr>
          <w:spacing w:val="2"/>
          <w:sz w:val="11"/>
        </w:rPr>
        <w:t xml:space="preserve"> </w:t>
      </w:r>
      <w:r>
        <w:rPr>
          <w:spacing w:val="-5"/>
          <w:sz w:val="11"/>
        </w:rPr>
        <w:t>10.</w:t>
      </w:r>
    </w:p>
    <w:p w14:paraId="48D7FD16" w14:textId="77777777" w:rsidR="0014798C" w:rsidRDefault="004E1F0B">
      <w:pPr>
        <w:pStyle w:val="Prrafodelista"/>
        <w:numPr>
          <w:ilvl w:val="0"/>
          <w:numId w:val="45"/>
        </w:numPr>
        <w:tabs>
          <w:tab w:val="left" w:pos="1324"/>
        </w:tabs>
        <w:spacing w:before="110"/>
        <w:ind w:left="1324" w:hanging="216"/>
        <w:rPr>
          <w:sz w:val="11"/>
        </w:rPr>
      </w:pPr>
      <w:proofErr w:type="spellStart"/>
      <w:r>
        <w:rPr>
          <w:sz w:val="11"/>
        </w:rPr>
        <w:t>Ibíd</w:t>
      </w:r>
      <w:proofErr w:type="spellEnd"/>
      <w:r>
        <w:rPr>
          <w:sz w:val="11"/>
        </w:rPr>
        <w:t xml:space="preserve">., párr. </w:t>
      </w:r>
      <w:r>
        <w:rPr>
          <w:spacing w:val="-5"/>
          <w:sz w:val="11"/>
        </w:rPr>
        <w:t>11.</w:t>
      </w:r>
    </w:p>
    <w:p w14:paraId="2115229D" w14:textId="77777777" w:rsidR="0014798C" w:rsidRDefault="004E1F0B">
      <w:pPr>
        <w:pStyle w:val="Prrafodelista"/>
        <w:numPr>
          <w:ilvl w:val="0"/>
          <w:numId w:val="45"/>
        </w:numPr>
        <w:tabs>
          <w:tab w:val="left" w:pos="1324"/>
        </w:tabs>
        <w:spacing w:before="110"/>
        <w:ind w:left="1324" w:hanging="216"/>
        <w:rPr>
          <w:sz w:val="11"/>
        </w:rPr>
      </w:pPr>
      <w:r>
        <w:rPr>
          <w:sz w:val="11"/>
        </w:rPr>
        <w:t>Comité</w:t>
      </w:r>
      <w:r>
        <w:rPr>
          <w:spacing w:val="1"/>
          <w:sz w:val="11"/>
        </w:rPr>
        <w:t xml:space="preserve"> </w:t>
      </w:r>
      <w:r>
        <w:rPr>
          <w:sz w:val="11"/>
        </w:rPr>
        <w:t>para</w:t>
      </w:r>
      <w:r>
        <w:rPr>
          <w:spacing w:val="1"/>
          <w:sz w:val="11"/>
        </w:rPr>
        <w:t xml:space="preserve"> </w:t>
      </w:r>
      <w:r>
        <w:rPr>
          <w:sz w:val="11"/>
        </w:rPr>
        <w:t>la</w:t>
      </w:r>
      <w:r>
        <w:rPr>
          <w:spacing w:val="1"/>
          <w:sz w:val="11"/>
        </w:rPr>
        <w:t xml:space="preserve"> </w:t>
      </w:r>
      <w:r>
        <w:rPr>
          <w:sz w:val="11"/>
        </w:rPr>
        <w:t>Eliminación</w:t>
      </w:r>
      <w:r>
        <w:rPr>
          <w:spacing w:val="2"/>
          <w:sz w:val="11"/>
        </w:rPr>
        <w:t xml:space="preserve"> </w:t>
      </w:r>
      <w:r>
        <w:rPr>
          <w:sz w:val="11"/>
        </w:rPr>
        <w:t>de</w:t>
      </w:r>
      <w:r>
        <w:rPr>
          <w:spacing w:val="1"/>
          <w:sz w:val="11"/>
        </w:rPr>
        <w:t xml:space="preserve"> </w:t>
      </w:r>
      <w:r>
        <w:rPr>
          <w:sz w:val="11"/>
        </w:rPr>
        <w:t>la</w:t>
      </w:r>
      <w:r>
        <w:rPr>
          <w:spacing w:val="1"/>
          <w:sz w:val="11"/>
        </w:rPr>
        <w:t xml:space="preserve"> </w:t>
      </w:r>
      <w:r>
        <w:rPr>
          <w:sz w:val="11"/>
        </w:rPr>
        <w:t>Discriminación</w:t>
      </w:r>
      <w:r>
        <w:rPr>
          <w:spacing w:val="2"/>
          <w:sz w:val="11"/>
        </w:rPr>
        <w:t xml:space="preserve"> </w:t>
      </w:r>
      <w:r>
        <w:rPr>
          <w:sz w:val="11"/>
        </w:rPr>
        <w:t>contra</w:t>
      </w:r>
      <w:r>
        <w:rPr>
          <w:spacing w:val="1"/>
          <w:sz w:val="11"/>
        </w:rPr>
        <w:t xml:space="preserve"> </w:t>
      </w:r>
      <w:r>
        <w:rPr>
          <w:sz w:val="11"/>
        </w:rPr>
        <w:t>la</w:t>
      </w:r>
      <w:r>
        <w:rPr>
          <w:spacing w:val="1"/>
          <w:sz w:val="11"/>
        </w:rPr>
        <w:t xml:space="preserve"> </w:t>
      </w:r>
      <w:r>
        <w:rPr>
          <w:sz w:val="11"/>
        </w:rPr>
        <w:t>Mujer,</w:t>
      </w:r>
      <w:r>
        <w:rPr>
          <w:spacing w:val="2"/>
          <w:sz w:val="11"/>
        </w:rPr>
        <w:t xml:space="preserve"> </w:t>
      </w:r>
      <w:r>
        <w:rPr>
          <w:sz w:val="11"/>
        </w:rPr>
        <w:t>recomendación</w:t>
      </w:r>
      <w:r>
        <w:rPr>
          <w:spacing w:val="1"/>
          <w:sz w:val="11"/>
        </w:rPr>
        <w:t xml:space="preserve"> </w:t>
      </w:r>
      <w:r>
        <w:rPr>
          <w:sz w:val="11"/>
        </w:rPr>
        <w:t>general</w:t>
      </w:r>
      <w:r>
        <w:rPr>
          <w:spacing w:val="1"/>
          <w:sz w:val="11"/>
        </w:rPr>
        <w:t xml:space="preserve"> </w:t>
      </w:r>
      <w:r>
        <w:rPr>
          <w:sz w:val="11"/>
        </w:rPr>
        <w:t>núm.</w:t>
      </w:r>
      <w:r>
        <w:rPr>
          <w:spacing w:val="1"/>
          <w:sz w:val="11"/>
        </w:rPr>
        <w:t xml:space="preserve"> </w:t>
      </w:r>
      <w:r>
        <w:rPr>
          <w:sz w:val="11"/>
        </w:rPr>
        <w:t>28</w:t>
      </w:r>
      <w:r>
        <w:rPr>
          <w:spacing w:val="2"/>
          <w:sz w:val="11"/>
        </w:rPr>
        <w:t xml:space="preserve"> </w:t>
      </w:r>
      <w:r>
        <w:rPr>
          <w:sz w:val="11"/>
        </w:rPr>
        <w:t>(2010),</w:t>
      </w:r>
      <w:r>
        <w:rPr>
          <w:spacing w:val="2"/>
          <w:sz w:val="11"/>
        </w:rPr>
        <w:t xml:space="preserve"> </w:t>
      </w:r>
      <w:r>
        <w:rPr>
          <w:sz w:val="11"/>
        </w:rPr>
        <w:t>párr.</w:t>
      </w:r>
      <w:r>
        <w:rPr>
          <w:spacing w:val="1"/>
          <w:sz w:val="11"/>
        </w:rPr>
        <w:t xml:space="preserve"> </w:t>
      </w:r>
      <w:r>
        <w:rPr>
          <w:spacing w:val="-5"/>
          <w:sz w:val="11"/>
        </w:rPr>
        <w:t>34.</w:t>
      </w:r>
    </w:p>
    <w:p w14:paraId="42DDB0E9" w14:textId="77777777" w:rsidR="0014798C" w:rsidRDefault="0014798C">
      <w:pPr>
        <w:rPr>
          <w:sz w:val="11"/>
        </w:rPr>
        <w:sectPr w:rsidR="0014798C" w:rsidSect="00F265E4">
          <w:pgSz w:w="11900" w:h="16820"/>
          <w:pgMar w:top="340" w:right="0" w:bottom="280" w:left="200" w:header="121" w:footer="0" w:gutter="0"/>
          <w:cols w:space="720"/>
        </w:sectPr>
      </w:pPr>
    </w:p>
    <w:p w14:paraId="4DD8A63F" w14:textId="77777777" w:rsidR="0014798C" w:rsidRDefault="004E1F0B">
      <w:pPr>
        <w:spacing w:before="55"/>
        <w:jc w:val="right"/>
        <w:rPr>
          <w:sz w:val="8"/>
        </w:rPr>
      </w:pPr>
      <w:r>
        <w:rPr>
          <w:spacing w:val="-5"/>
          <w:w w:val="105"/>
          <w:sz w:val="8"/>
        </w:rPr>
        <w:t>669</w:t>
      </w:r>
    </w:p>
    <w:p w14:paraId="0B6EA34B" w14:textId="77777777" w:rsidR="0014798C" w:rsidRDefault="0014798C">
      <w:pPr>
        <w:pStyle w:val="Textoindependiente"/>
        <w:rPr>
          <w:sz w:val="8"/>
        </w:rPr>
      </w:pPr>
    </w:p>
    <w:p w14:paraId="2E7B3702" w14:textId="77777777" w:rsidR="0014798C" w:rsidRDefault="0014798C">
      <w:pPr>
        <w:pStyle w:val="Textoindependiente"/>
        <w:rPr>
          <w:sz w:val="8"/>
        </w:rPr>
      </w:pPr>
    </w:p>
    <w:p w14:paraId="47FA1B7F" w14:textId="77777777" w:rsidR="0014798C" w:rsidRDefault="0014798C">
      <w:pPr>
        <w:pStyle w:val="Textoindependiente"/>
        <w:spacing w:before="48"/>
        <w:rPr>
          <w:sz w:val="8"/>
        </w:rPr>
      </w:pPr>
    </w:p>
    <w:p w14:paraId="60FDB3D2" w14:textId="77777777" w:rsidR="0014798C" w:rsidRDefault="004E1F0B">
      <w:pPr>
        <w:jc w:val="right"/>
        <w:rPr>
          <w:sz w:val="8"/>
        </w:rPr>
      </w:pPr>
      <w:r>
        <w:rPr>
          <w:spacing w:val="-5"/>
          <w:w w:val="105"/>
          <w:sz w:val="8"/>
        </w:rPr>
        <w:t>670</w:t>
      </w:r>
    </w:p>
    <w:p w14:paraId="7FE87393" w14:textId="77777777" w:rsidR="0014798C" w:rsidRDefault="004E1F0B">
      <w:pPr>
        <w:spacing w:before="91" w:line="288" w:lineRule="auto"/>
        <w:ind w:left="82" w:right="1784" w:hanging="2"/>
        <w:rPr>
          <w:sz w:val="13"/>
        </w:rPr>
      </w:pPr>
      <w:r>
        <w:br w:type="column"/>
      </w:r>
      <w:r>
        <w:rPr>
          <w:sz w:val="13"/>
        </w:rPr>
        <w:t>Véase,</w:t>
      </w:r>
      <w:r>
        <w:rPr>
          <w:spacing w:val="-9"/>
          <w:sz w:val="13"/>
        </w:rPr>
        <w:t xml:space="preserve"> </w:t>
      </w:r>
      <w:r>
        <w:rPr>
          <w:sz w:val="13"/>
        </w:rPr>
        <w:t>a</w:t>
      </w:r>
      <w:r>
        <w:rPr>
          <w:spacing w:val="-9"/>
          <w:sz w:val="13"/>
        </w:rPr>
        <w:t xml:space="preserve"> </w:t>
      </w:r>
      <w:r>
        <w:rPr>
          <w:sz w:val="13"/>
        </w:rPr>
        <w:t>modo</w:t>
      </w:r>
      <w:r>
        <w:rPr>
          <w:spacing w:val="-9"/>
          <w:sz w:val="13"/>
        </w:rPr>
        <w:t xml:space="preserve"> </w:t>
      </w:r>
      <w:r>
        <w:rPr>
          <w:sz w:val="13"/>
        </w:rPr>
        <w:t>de</w:t>
      </w:r>
      <w:r>
        <w:rPr>
          <w:spacing w:val="-9"/>
          <w:sz w:val="13"/>
        </w:rPr>
        <w:t xml:space="preserve"> </w:t>
      </w:r>
      <w:r>
        <w:rPr>
          <w:sz w:val="13"/>
        </w:rPr>
        <w:t>ejemplo,</w:t>
      </w:r>
      <w:r>
        <w:rPr>
          <w:spacing w:val="-8"/>
          <w:sz w:val="13"/>
        </w:rPr>
        <w:t xml:space="preserve"> </w:t>
      </w:r>
      <w:r>
        <w:rPr>
          <w:sz w:val="13"/>
        </w:rPr>
        <w:t>CEDAW/C/ERI/CO/6,</w:t>
      </w:r>
      <w:r>
        <w:rPr>
          <w:spacing w:val="-9"/>
          <w:sz w:val="13"/>
        </w:rPr>
        <w:t xml:space="preserve"> </w:t>
      </w:r>
      <w:proofErr w:type="spellStart"/>
      <w:r>
        <w:rPr>
          <w:sz w:val="13"/>
        </w:rPr>
        <w:t>párrs</w:t>
      </w:r>
      <w:proofErr w:type="spellEnd"/>
      <w:r>
        <w:rPr>
          <w:sz w:val="13"/>
        </w:rPr>
        <w:t>.</w:t>
      </w:r>
      <w:r>
        <w:rPr>
          <w:spacing w:val="-9"/>
          <w:sz w:val="13"/>
        </w:rPr>
        <w:t xml:space="preserve"> </w:t>
      </w:r>
      <w:r>
        <w:rPr>
          <w:sz w:val="13"/>
        </w:rPr>
        <w:t>25–26;</w:t>
      </w:r>
      <w:r>
        <w:rPr>
          <w:spacing w:val="-8"/>
          <w:sz w:val="13"/>
        </w:rPr>
        <w:t xml:space="preserve"> </w:t>
      </w:r>
      <w:r>
        <w:rPr>
          <w:sz w:val="13"/>
        </w:rPr>
        <w:t>E/C.12/BGR/CO/6,</w:t>
      </w:r>
      <w:r>
        <w:rPr>
          <w:spacing w:val="-9"/>
          <w:sz w:val="13"/>
        </w:rPr>
        <w:t xml:space="preserve"> </w:t>
      </w:r>
      <w:proofErr w:type="spellStart"/>
      <w:r>
        <w:rPr>
          <w:sz w:val="13"/>
        </w:rPr>
        <w:t>párrs</w:t>
      </w:r>
      <w:proofErr w:type="spellEnd"/>
      <w:r>
        <w:rPr>
          <w:sz w:val="13"/>
        </w:rPr>
        <w:t>.</w:t>
      </w:r>
      <w:r>
        <w:rPr>
          <w:spacing w:val="-9"/>
          <w:sz w:val="13"/>
        </w:rPr>
        <w:t xml:space="preserve"> </w:t>
      </w:r>
      <w:r>
        <w:rPr>
          <w:sz w:val="13"/>
        </w:rPr>
        <w:t>12-13;</w:t>
      </w:r>
      <w:r>
        <w:rPr>
          <w:spacing w:val="-8"/>
          <w:sz w:val="13"/>
        </w:rPr>
        <w:t xml:space="preserve"> </w:t>
      </w:r>
      <w:r>
        <w:rPr>
          <w:sz w:val="13"/>
        </w:rPr>
        <w:t>CRPD/C/HTI/CO/1,</w:t>
      </w:r>
      <w:r>
        <w:rPr>
          <w:spacing w:val="-9"/>
          <w:sz w:val="13"/>
        </w:rPr>
        <w:t xml:space="preserve"> </w:t>
      </w:r>
      <w:proofErr w:type="spellStart"/>
      <w:r>
        <w:rPr>
          <w:sz w:val="13"/>
        </w:rPr>
        <w:t>párrs</w:t>
      </w:r>
      <w:proofErr w:type="spellEnd"/>
      <w:r>
        <w:rPr>
          <w:sz w:val="13"/>
        </w:rPr>
        <w:t>.</w:t>
      </w:r>
      <w:r>
        <w:rPr>
          <w:spacing w:val="-9"/>
          <w:sz w:val="13"/>
        </w:rPr>
        <w:t xml:space="preserve"> </w:t>
      </w:r>
      <w:r>
        <w:rPr>
          <w:sz w:val="13"/>
        </w:rPr>
        <w:t>24–25;</w:t>
      </w:r>
      <w:r>
        <w:rPr>
          <w:spacing w:val="40"/>
          <w:sz w:val="13"/>
        </w:rPr>
        <w:t xml:space="preserve"> </w:t>
      </w:r>
      <w:r>
        <w:rPr>
          <w:sz w:val="13"/>
        </w:rPr>
        <w:t>CCPR/C/CZE/CO/2, párr. dieciséis; y CERD/C/KEN/CO/5-7, párr. 16 (b).</w:t>
      </w:r>
    </w:p>
    <w:p w14:paraId="13A6CB03" w14:textId="77777777" w:rsidR="0014798C" w:rsidRDefault="004E1F0B">
      <w:pPr>
        <w:spacing w:before="57" w:line="288" w:lineRule="auto"/>
        <w:ind w:left="77" w:right="1277" w:firstLine="2"/>
        <w:rPr>
          <w:sz w:val="13"/>
        </w:rPr>
      </w:pPr>
      <w:r>
        <w:rPr>
          <w:sz w:val="13"/>
        </w:rPr>
        <w:t>Véase, por ejemplo, Comité de Derechos Humanos, observación general núm. 32 (2007), párr. 10; y Comité de los Derechos de las Personas con</w:t>
      </w:r>
      <w:r>
        <w:rPr>
          <w:spacing w:val="40"/>
          <w:sz w:val="13"/>
        </w:rPr>
        <w:t xml:space="preserve"> </w:t>
      </w:r>
      <w:r>
        <w:rPr>
          <w:sz w:val="13"/>
        </w:rPr>
        <w:t xml:space="preserve">Discapacidad, observación general núm. 6 (2018), </w:t>
      </w:r>
      <w:proofErr w:type="spellStart"/>
      <w:r>
        <w:rPr>
          <w:sz w:val="13"/>
        </w:rPr>
        <w:t>párrs</w:t>
      </w:r>
      <w:proofErr w:type="spellEnd"/>
      <w:r>
        <w:rPr>
          <w:sz w:val="13"/>
        </w:rPr>
        <w:t>. 49 y 52 (d).</w:t>
      </w:r>
    </w:p>
    <w:p w14:paraId="00C6E844" w14:textId="77777777" w:rsidR="0014798C" w:rsidRDefault="0014798C">
      <w:pPr>
        <w:spacing w:line="288" w:lineRule="auto"/>
        <w:rPr>
          <w:sz w:val="13"/>
        </w:rPr>
        <w:sectPr w:rsidR="0014798C" w:rsidSect="00F265E4">
          <w:type w:val="continuous"/>
          <w:pgSz w:w="11900" w:h="16820"/>
          <w:pgMar w:top="40" w:right="0" w:bottom="280" w:left="200" w:header="121" w:footer="0" w:gutter="0"/>
          <w:cols w:num="2" w:space="720" w:equalWidth="0">
            <w:col w:w="1250" w:space="40"/>
            <w:col w:w="10410"/>
          </w:cols>
        </w:sectPr>
      </w:pPr>
    </w:p>
    <w:p w14:paraId="69C938B1" w14:textId="77777777" w:rsidR="0014798C" w:rsidRDefault="004E1F0B">
      <w:pPr>
        <w:spacing w:before="77"/>
        <w:ind w:left="1108"/>
        <w:rPr>
          <w:sz w:val="11"/>
        </w:rPr>
      </w:pPr>
      <w:r>
        <w:rPr>
          <w:sz w:val="11"/>
        </w:rPr>
        <w:t>671</w:t>
      </w:r>
      <w:r>
        <w:rPr>
          <w:spacing w:val="2"/>
          <w:sz w:val="11"/>
        </w:rPr>
        <w:t xml:space="preserve"> </w:t>
      </w:r>
      <w:r>
        <w:rPr>
          <w:sz w:val="11"/>
        </w:rPr>
        <w:t>Comité</w:t>
      </w:r>
      <w:r>
        <w:rPr>
          <w:spacing w:val="3"/>
          <w:sz w:val="11"/>
        </w:rPr>
        <w:t xml:space="preserve"> </w:t>
      </w:r>
      <w:r>
        <w:rPr>
          <w:sz w:val="11"/>
        </w:rPr>
        <w:t>sobre</w:t>
      </w:r>
      <w:r>
        <w:rPr>
          <w:spacing w:val="2"/>
          <w:sz w:val="11"/>
        </w:rPr>
        <w:t xml:space="preserve"> </w:t>
      </w:r>
      <w:r>
        <w:rPr>
          <w:sz w:val="11"/>
        </w:rPr>
        <w:t>los</w:t>
      </w:r>
      <w:r>
        <w:rPr>
          <w:spacing w:val="3"/>
          <w:sz w:val="11"/>
        </w:rPr>
        <w:t xml:space="preserve"> </w:t>
      </w:r>
      <w:r>
        <w:rPr>
          <w:sz w:val="11"/>
        </w:rPr>
        <w:t>Derechos</w:t>
      </w:r>
      <w:r>
        <w:rPr>
          <w:spacing w:val="2"/>
          <w:sz w:val="11"/>
        </w:rPr>
        <w:t xml:space="preserve"> </w:t>
      </w:r>
      <w:r>
        <w:rPr>
          <w:sz w:val="11"/>
        </w:rPr>
        <w:t>de</w:t>
      </w:r>
      <w:r>
        <w:rPr>
          <w:spacing w:val="3"/>
          <w:sz w:val="11"/>
        </w:rPr>
        <w:t xml:space="preserve"> </w:t>
      </w:r>
      <w:r>
        <w:rPr>
          <w:sz w:val="11"/>
        </w:rPr>
        <w:t>las</w:t>
      </w:r>
      <w:r>
        <w:rPr>
          <w:spacing w:val="2"/>
          <w:sz w:val="11"/>
        </w:rPr>
        <w:t xml:space="preserve"> </w:t>
      </w:r>
      <w:r>
        <w:rPr>
          <w:sz w:val="11"/>
        </w:rPr>
        <w:t>Personas</w:t>
      </w:r>
      <w:r>
        <w:rPr>
          <w:spacing w:val="3"/>
          <w:sz w:val="11"/>
        </w:rPr>
        <w:t xml:space="preserve"> </w:t>
      </w:r>
      <w:r>
        <w:rPr>
          <w:sz w:val="11"/>
        </w:rPr>
        <w:t>con</w:t>
      </w:r>
      <w:r>
        <w:rPr>
          <w:spacing w:val="2"/>
          <w:sz w:val="11"/>
        </w:rPr>
        <w:t xml:space="preserve"> </w:t>
      </w:r>
      <w:r>
        <w:rPr>
          <w:sz w:val="11"/>
        </w:rPr>
        <w:t>Discapacidad,</w:t>
      </w:r>
      <w:r>
        <w:rPr>
          <w:spacing w:val="4"/>
          <w:sz w:val="11"/>
        </w:rPr>
        <w:t xml:space="preserve"> </w:t>
      </w:r>
      <w:r>
        <w:rPr>
          <w:sz w:val="11"/>
        </w:rPr>
        <w:t>observación</w:t>
      </w:r>
      <w:r>
        <w:rPr>
          <w:spacing w:val="3"/>
          <w:sz w:val="11"/>
        </w:rPr>
        <w:t xml:space="preserve"> </w:t>
      </w:r>
      <w:r>
        <w:rPr>
          <w:sz w:val="11"/>
        </w:rPr>
        <w:t>general</w:t>
      </w:r>
      <w:r>
        <w:rPr>
          <w:spacing w:val="2"/>
          <w:sz w:val="11"/>
        </w:rPr>
        <w:t xml:space="preserve"> </w:t>
      </w:r>
      <w:r>
        <w:rPr>
          <w:sz w:val="11"/>
        </w:rPr>
        <w:t>núm.</w:t>
      </w:r>
      <w:r>
        <w:rPr>
          <w:spacing w:val="3"/>
          <w:sz w:val="11"/>
        </w:rPr>
        <w:t xml:space="preserve"> </w:t>
      </w:r>
      <w:r>
        <w:rPr>
          <w:sz w:val="11"/>
        </w:rPr>
        <w:t>6</w:t>
      </w:r>
      <w:r>
        <w:rPr>
          <w:spacing w:val="2"/>
          <w:sz w:val="11"/>
        </w:rPr>
        <w:t xml:space="preserve"> </w:t>
      </w:r>
      <w:r>
        <w:rPr>
          <w:sz w:val="11"/>
        </w:rPr>
        <w:t>(2018),</w:t>
      </w:r>
      <w:r>
        <w:rPr>
          <w:spacing w:val="4"/>
          <w:sz w:val="11"/>
        </w:rPr>
        <w:t xml:space="preserve"> </w:t>
      </w:r>
      <w:r>
        <w:rPr>
          <w:sz w:val="11"/>
        </w:rPr>
        <w:t>párr.</w:t>
      </w:r>
      <w:r>
        <w:rPr>
          <w:spacing w:val="3"/>
          <w:sz w:val="11"/>
        </w:rPr>
        <w:t xml:space="preserve"> </w:t>
      </w:r>
      <w:r>
        <w:rPr>
          <w:sz w:val="11"/>
        </w:rPr>
        <w:t>52</w:t>
      </w:r>
      <w:r>
        <w:rPr>
          <w:spacing w:val="2"/>
          <w:sz w:val="11"/>
        </w:rPr>
        <w:t xml:space="preserve"> </w:t>
      </w:r>
      <w:r>
        <w:rPr>
          <w:spacing w:val="-5"/>
          <w:sz w:val="11"/>
        </w:rPr>
        <w:t>d).</w:t>
      </w:r>
    </w:p>
    <w:p w14:paraId="6790BCC9" w14:textId="77777777" w:rsidR="0014798C" w:rsidRDefault="004E1F0B">
      <w:pPr>
        <w:spacing w:before="110"/>
        <w:ind w:left="1108"/>
        <w:rPr>
          <w:sz w:val="11"/>
        </w:rPr>
      </w:pPr>
      <w:r>
        <w:rPr>
          <w:sz w:val="11"/>
        </w:rPr>
        <w:t xml:space="preserve">672 </w:t>
      </w:r>
      <w:proofErr w:type="spellStart"/>
      <w:r>
        <w:rPr>
          <w:sz w:val="11"/>
        </w:rPr>
        <w:t>Ibíd</w:t>
      </w:r>
      <w:proofErr w:type="spellEnd"/>
      <w:r>
        <w:rPr>
          <w:sz w:val="11"/>
        </w:rPr>
        <w:t>.,</w:t>
      </w:r>
      <w:r>
        <w:rPr>
          <w:spacing w:val="1"/>
          <w:sz w:val="11"/>
        </w:rPr>
        <w:t xml:space="preserve"> </w:t>
      </w:r>
      <w:r>
        <w:rPr>
          <w:sz w:val="11"/>
        </w:rPr>
        <w:t>párr.</w:t>
      </w:r>
      <w:r>
        <w:rPr>
          <w:spacing w:val="1"/>
          <w:sz w:val="11"/>
        </w:rPr>
        <w:t xml:space="preserve"> </w:t>
      </w:r>
      <w:r>
        <w:rPr>
          <w:spacing w:val="-5"/>
          <w:sz w:val="11"/>
        </w:rPr>
        <w:t>49.</w:t>
      </w:r>
    </w:p>
    <w:p w14:paraId="36A75232" w14:textId="77777777" w:rsidR="0014798C" w:rsidRDefault="004E1F0B">
      <w:pPr>
        <w:spacing w:before="109"/>
        <w:ind w:left="1108"/>
        <w:rPr>
          <w:sz w:val="11"/>
        </w:rPr>
      </w:pPr>
      <w:r>
        <w:rPr>
          <w:sz w:val="11"/>
        </w:rPr>
        <w:t xml:space="preserve">673 </w:t>
      </w:r>
      <w:proofErr w:type="spellStart"/>
      <w:r>
        <w:rPr>
          <w:sz w:val="11"/>
        </w:rPr>
        <w:t>Ibíd</w:t>
      </w:r>
      <w:proofErr w:type="spellEnd"/>
      <w:r>
        <w:rPr>
          <w:sz w:val="11"/>
        </w:rPr>
        <w:t>.,</w:t>
      </w:r>
      <w:r>
        <w:rPr>
          <w:spacing w:val="1"/>
          <w:sz w:val="11"/>
        </w:rPr>
        <w:t xml:space="preserve"> </w:t>
      </w:r>
      <w:r>
        <w:rPr>
          <w:sz w:val="11"/>
        </w:rPr>
        <w:t>párr.</w:t>
      </w:r>
      <w:r>
        <w:rPr>
          <w:spacing w:val="1"/>
          <w:sz w:val="11"/>
        </w:rPr>
        <w:t xml:space="preserve"> </w:t>
      </w:r>
      <w:r>
        <w:rPr>
          <w:spacing w:val="-2"/>
          <w:sz w:val="11"/>
        </w:rPr>
        <w:t>49c).</w:t>
      </w:r>
    </w:p>
    <w:p w14:paraId="4C092693" w14:textId="77777777" w:rsidR="0014798C" w:rsidRDefault="0014798C">
      <w:pPr>
        <w:pStyle w:val="Textoindependiente"/>
        <w:rPr>
          <w:sz w:val="17"/>
        </w:rPr>
      </w:pPr>
    </w:p>
    <w:p w14:paraId="1619AA26" w14:textId="77777777" w:rsidR="0014798C" w:rsidRDefault="0014798C">
      <w:pPr>
        <w:pStyle w:val="Textoindependiente"/>
        <w:rPr>
          <w:sz w:val="17"/>
        </w:rPr>
      </w:pPr>
    </w:p>
    <w:p w14:paraId="71A137FD" w14:textId="77777777" w:rsidR="0014798C" w:rsidRDefault="0014798C">
      <w:pPr>
        <w:pStyle w:val="Textoindependiente"/>
        <w:spacing w:before="70"/>
        <w:rPr>
          <w:sz w:val="17"/>
        </w:rPr>
      </w:pPr>
    </w:p>
    <w:p w14:paraId="50EDC9FD" w14:textId="77777777" w:rsidR="0014798C" w:rsidRDefault="004E1F0B">
      <w:pPr>
        <w:ind w:right="726"/>
        <w:jc w:val="right"/>
        <w:rPr>
          <w:sz w:val="17"/>
        </w:rPr>
      </w:pPr>
      <w:r>
        <w:rPr>
          <w:spacing w:val="-5"/>
          <w:sz w:val="17"/>
        </w:rPr>
        <w:t>91</w:t>
      </w:r>
    </w:p>
    <w:p w14:paraId="4D6ACA19" w14:textId="77777777" w:rsidR="0014798C" w:rsidRDefault="0014798C">
      <w:pPr>
        <w:jc w:val="right"/>
        <w:rPr>
          <w:sz w:val="17"/>
        </w:rPr>
        <w:sectPr w:rsidR="0014798C" w:rsidSect="00F265E4">
          <w:type w:val="continuous"/>
          <w:pgSz w:w="11900" w:h="16820"/>
          <w:pgMar w:top="40" w:right="0" w:bottom="280" w:left="200" w:header="121" w:footer="0" w:gutter="0"/>
          <w:cols w:space="720"/>
        </w:sectPr>
      </w:pPr>
    </w:p>
    <w:p w14:paraId="14D7FD19" w14:textId="77777777" w:rsidR="0014798C" w:rsidRDefault="0014798C">
      <w:pPr>
        <w:pStyle w:val="Textoindependiente"/>
        <w:spacing w:before="85"/>
        <w:rPr>
          <w:sz w:val="12"/>
        </w:rPr>
      </w:pPr>
    </w:p>
    <w:p w14:paraId="3D155DA8" w14:textId="77777777" w:rsidR="0014798C" w:rsidRDefault="004E1F0B">
      <w:pPr>
        <w:ind w:left="1111"/>
        <w:rPr>
          <w:sz w:val="12"/>
        </w:rPr>
      </w:pPr>
      <w:r>
        <w:rPr>
          <w:color w:val="00AC59"/>
          <w:sz w:val="12"/>
        </w:rPr>
        <w:t>PROTECCIÓN</w:t>
      </w:r>
      <w:r>
        <w:rPr>
          <w:color w:val="00AC59"/>
          <w:spacing w:val="6"/>
          <w:sz w:val="12"/>
        </w:rPr>
        <w:t xml:space="preserve"> </w:t>
      </w:r>
      <w:r>
        <w:rPr>
          <w:color w:val="00AC59"/>
          <w:sz w:val="12"/>
        </w:rPr>
        <w:t>DE</w:t>
      </w:r>
      <w:r>
        <w:rPr>
          <w:color w:val="00AC59"/>
          <w:spacing w:val="7"/>
          <w:sz w:val="12"/>
        </w:rPr>
        <w:t xml:space="preserve"> </w:t>
      </w:r>
      <w:r>
        <w:rPr>
          <w:color w:val="00AC59"/>
          <w:sz w:val="12"/>
        </w:rPr>
        <w:t>LOS</w:t>
      </w:r>
      <w:r>
        <w:rPr>
          <w:color w:val="00AC59"/>
          <w:spacing w:val="8"/>
          <w:sz w:val="12"/>
        </w:rPr>
        <w:t xml:space="preserve"> </w:t>
      </w:r>
      <w:r>
        <w:rPr>
          <w:color w:val="00AC59"/>
          <w:sz w:val="12"/>
        </w:rPr>
        <w:t>DERECHOS</w:t>
      </w:r>
      <w:r>
        <w:rPr>
          <w:color w:val="00AC59"/>
          <w:spacing w:val="8"/>
          <w:sz w:val="12"/>
        </w:rPr>
        <w:t xml:space="preserve"> </w:t>
      </w:r>
      <w:r>
        <w:rPr>
          <w:color w:val="00AC59"/>
          <w:sz w:val="12"/>
        </w:rPr>
        <w:t>DE</w:t>
      </w:r>
      <w:r>
        <w:rPr>
          <w:color w:val="00AC59"/>
          <w:spacing w:val="6"/>
          <w:sz w:val="12"/>
        </w:rPr>
        <w:t xml:space="preserve"> </w:t>
      </w:r>
      <w:r>
        <w:rPr>
          <w:color w:val="00AC59"/>
          <w:sz w:val="12"/>
        </w:rPr>
        <w:t>LAS</w:t>
      </w:r>
      <w:r>
        <w:rPr>
          <w:color w:val="00AC59"/>
          <w:spacing w:val="7"/>
          <w:sz w:val="12"/>
        </w:rPr>
        <w:t xml:space="preserve"> </w:t>
      </w:r>
      <w:r>
        <w:rPr>
          <w:color w:val="00AC59"/>
          <w:sz w:val="12"/>
        </w:rPr>
        <w:t>MINORÍAS:</w:t>
      </w:r>
      <w:r>
        <w:rPr>
          <w:color w:val="00AC59"/>
          <w:spacing w:val="8"/>
          <w:sz w:val="12"/>
        </w:rPr>
        <w:t xml:space="preserve"> </w:t>
      </w:r>
      <w:r>
        <w:rPr>
          <w:color w:val="00AC59"/>
          <w:sz w:val="12"/>
        </w:rPr>
        <w:t>una</w:t>
      </w:r>
      <w:r>
        <w:rPr>
          <w:color w:val="00AC59"/>
          <w:spacing w:val="7"/>
          <w:sz w:val="12"/>
        </w:rPr>
        <w:t xml:space="preserve"> </w:t>
      </w:r>
      <w:r>
        <w:rPr>
          <w:color w:val="00AC59"/>
          <w:sz w:val="12"/>
        </w:rPr>
        <w:t>guía</w:t>
      </w:r>
      <w:r>
        <w:rPr>
          <w:color w:val="00AC59"/>
          <w:spacing w:val="6"/>
          <w:sz w:val="12"/>
        </w:rPr>
        <w:t xml:space="preserve"> </w:t>
      </w:r>
      <w:r>
        <w:rPr>
          <w:color w:val="00AC59"/>
          <w:sz w:val="12"/>
        </w:rPr>
        <w:t>práctica</w:t>
      </w:r>
      <w:r>
        <w:rPr>
          <w:color w:val="00AC59"/>
          <w:spacing w:val="7"/>
          <w:sz w:val="12"/>
        </w:rPr>
        <w:t xml:space="preserve"> </w:t>
      </w:r>
      <w:r>
        <w:rPr>
          <w:color w:val="00AC59"/>
          <w:sz w:val="12"/>
        </w:rPr>
        <w:t>para</w:t>
      </w:r>
      <w:r>
        <w:rPr>
          <w:color w:val="00AC59"/>
          <w:spacing w:val="8"/>
          <w:sz w:val="12"/>
        </w:rPr>
        <w:t xml:space="preserve"> </w:t>
      </w:r>
      <w:r>
        <w:rPr>
          <w:color w:val="00AC59"/>
          <w:sz w:val="12"/>
        </w:rPr>
        <w:t>desarrollar</w:t>
      </w:r>
      <w:r>
        <w:rPr>
          <w:color w:val="00AC59"/>
          <w:spacing w:val="6"/>
          <w:sz w:val="12"/>
        </w:rPr>
        <w:t xml:space="preserve"> </w:t>
      </w:r>
      <w:r>
        <w:rPr>
          <w:color w:val="00AC59"/>
          <w:sz w:val="12"/>
        </w:rPr>
        <w:t>una</w:t>
      </w:r>
      <w:r>
        <w:rPr>
          <w:color w:val="00AC59"/>
          <w:spacing w:val="7"/>
          <w:sz w:val="12"/>
        </w:rPr>
        <w:t xml:space="preserve"> </w:t>
      </w:r>
      <w:r>
        <w:rPr>
          <w:color w:val="00AC59"/>
          <w:sz w:val="12"/>
        </w:rPr>
        <w:t>legislación</w:t>
      </w:r>
      <w:r>
        <w:rPr>
          <w:color w:val="00AC59"/>
          <w:spacing w:val="8"/>
          <w:sz w:val="12"/>
        </w:rPr>
        <w:t xml:space="preserve"> </w:t>
      </w:r>
      <w:r>
        <w:rPr>
          <w:color w:val="00AC59"/>
          <w:sz w:val="12"/>
        </w:rPr>
        <w:t>integral</w:t>
      </w:r>
      <w:r>
        <w:rPr>
          <w:color w:val="00AC59"/>
          <w:spacing w:val="7"/>
          <w:sz w:val="12"/>
        </w:rPr>
        <w:t xml:space="preserve"> </w:t>
      </w:r>
      <w:r>
        <w:rPr>
          <w:color w:val="00AC59"/>
          <w:sz w:val="12"/>
        </w:rPr>
        <w:t>contra</w:t>
      </w:r>
      <w:r>
        <w:rPr>
          <w:color w:val="00AC59"/>
          <w:spacing w:val="6"/>
          <w:sz w:val="12"/>
        </w:rPr>
        <w:t xml:space="preserve"> </w:t>
      </w:r>
      <w:r>
        <w:rPr>
          <w:color w:val="00AC59"/>
          <w:sz w:val="12"/>
        </w:rPr>
        <w:t>la</w:t>
      </w:r>
      <w:r>
        <w:rPr>
          <w:color w:val="00AC59"/>
          <w:spacing w:val="7"/>
          <w:sz w:val="12"/>
        </w:rPr>
        <w:t xml:space="preserve"> </w:t>
      </w:r>
      <w:r>
        <w:rPr>
          <w:color w:val="00AC59"/>
          <w:spacing w:val="-2"/>
          <w:sz w:val="12"/>
        </w:rPr>
        <w:t>discriminación</w:t>
      </w:r>
    </w:p>
    <w:p w14:paraId="77B6CAFF" w14:textId="77777777" w:rsidR="0014798C" w:rsidRDefault="0014798C">
      <w:pPr>
        <w:pStyle w:val="Textoindependiente"/>
        <w:rPr>
          <w:sz w:val="15"/>
        </w:rPr>
      </w:pPr>
    </w:p>
    <w:p w14:paraId="3A969817" w14:textId="77777777" w:rsidR="0014798C" w:rsidRDefault="0014798C">
      <w:pPr>
        <w:pStyle w:val="Textoindependiente"/>
        <w:rPr>
          <w:sz w:val="15"/>
        </w:rPr>
      </w:pPr>
    </w:p>
    <w:p w14:paraId="3E558325" w14:textId="77777777" w:rsidR="0014798C" w:rsidRDefault="0014798C">
      <w:pPr>
        <w:pStyle w:val="Textoindependiente"/>
        <w:rPr>
          <w:sz w:val="15"/>
        </w:rPr>
      </w:pPr>
    </w:p>
    <w:p w14:paraId="719505A5" w14:textId="77777777" w:rsidR="0014798C" w:rsidRDefault="0014798C">
      <w:pPr>
        <w:pStyle w:val="Textoindependiente"/>
        <w:rPr>
          <w:sz w:val="15"/>
        </w:rPr>
      </w:pPr>
    </w:p>
    <w:p w14:paraId="7D0677A9" w14:textId="77777777" w:rsidR="0014798C" w:rsidRDefault="0014798C">
      <w:pPr>
        <w:pStyle w:val="Textoindependiente"/>
        <w:spacing w:before="136"/>
        <w:rPr>
          <w:sz w:val="15"/>
        </w:rPr>
      </w:pPr>
    </w:p>
    <w:p w14:paraId="7C297DCF" w14:textId="77777777" w:rsidR="0014798C" w:rsidRDefault="004E1F0B">
      <w:pPr>
        <w:spacing w:line="348" w:lineRule="auto"/>
        <w:ind w:left="1107" w:right="1272" w:firstLine="5"/>
        <w:rPr>
          <w:sz w:val="15"/>
        </w:rPr>
      </w:pPr>
      <w:r>
        <w:rPr>
          <w:sz w:val="15"/>
        </w:rPr>
        <w:t>ha</w:t>
      </w:r>
      <w:r>
        <w:rPr>
          <w:spacing w:val="-4"/>
          <w:sz w:val="15"/>
        </w:rPr>
        <w:t xml:space="preserve"> </w:t>
      </w:r>
      <w:r>
        <w:rPr>
          <w:sz w:val="15"/>
        </w:rPr>
        <w:t>sido</w:t>
      </w:r>
      <w:r>
        <w:rPr>
          <w:spacing w:val="-4"/>
          <w:sz w:val="15"/>
        </w:rPr>
        <w:t xml:space="preserve"> </w:t>
      </w:r>
      <w:r>
        <w:rPr>
          <w:sz w:val="15"/>
        </w:rPr>
        <w:t>reconocida</w:t>
      </w:r>
      <w:r>
        <w:rPr>
          <w:spacing w:val="-4"/>
          <w:sz w:val="15"/>
        </w:rPr>
        <w:t xml:space="preserve"> </w:t>
      </w:r>
      <w:r>
        <w:rPr>
          <w:sz w:val="15"/>
        </w:rPr>
        <w:t>como</w:t>
      </w:r>
      <w:r>
        <w:rPr>
          <w:spacing w:val="-4"/>
          <w:sz w:val="15"/>
        </w:rPr>
        <w:t xml:space="preserve"> </w:t>
      </w:r>
      <w:r>
        <w:rPr>
          <w:sz w:val="15"/>
        </w:rPr>
        <w:t>“una</w:t>
      </w:r>
      <w:r>
        <w:rPr>
          <w:spacing w:val="-4"/>
          <w:sz w:val="15"/>
        </w:rPr>
        <w:t xml:space="preserve"> </w:t>
      </w:r>
      <w:r>
        <w:rPr>
          <w:sz w:val="15"/>
        </w:rPr>
        <w:t>causa</w:t>
      </w:r>
      <w:r>
        <w:rPr>
          <w:spacing w:val="-4"/>
          <w:sz w:val="15"/>
        </w:rPr>
        <w:t xml:space="preserve"> </w:t>
      </w:r>
      <w:r>
        <w:rPr>
          <w:sz w:val="15"/>
        </w:rPr>
        <w:t>y</w:t>
      </w:r>
      <w:r>
        <w:rPr>
          <w:spacing w:val="-4"/>
          <w:sz w:val="15"/>
        </w:rPr>
        <w:t xml:space="preserve"> </w:t>
      </w:r>
      <w:r>
        <w:rPr>
          <w:sz w:val="15"/>
        </w:rPr>
        <w:t>una</w:t>
      </w:r>
      <w:r>
        <w:rPr>
          <w:spacing w:val="-4"/>
          <w:sz w:val="15"/>
        </w:rPr>
        <w:t xml:space="preserve"> </w:t>
      </w:r>
      <w:r>
        <w:rPr>
          <w:sz w:val="15"/>
        </w:rPr>
        <w:t>consecuencia”</w:t>
      </w:r>
      <w:r>
        <w:rPr>
          <w:spacing w:val="-4"/>
          <w:sz w:val="15"/>
        </w:rPr>
        <w:t xml:space="preserve"> </w:t>
      </w:r>
      <w:r>
        <w:rPr>
          <w:sz w:val="15"/>
        </w:rPr>
        <w:t>de</w:t>
      </w:r>
      <w:r>
        <w:rPr>
          <w:spacing w:val="-4"/>
          <w:sz w:val="15"/>
        </w:rPr>
        <w:t xml:space="preserve"> </w:t>
      </w:r>
      <w:r>
        <w:rPr>
          <w:sz w:val="15"/>
        </w:rPr>
        <w:t>la</w:t>
      </w:r>
      <w:r>
        <w:rPr>
          <w:spacing w:val="-4"/>
          <w:sz w:val="15"/>
        </w:rPr>
        <w:t xml:space="preserve"> </w:t>
      </w:r>
      <w:r>
        <w:rPr>
          <w:sz w:val="15"/>
        </w:rPr>
        <w:t>discriminación,674</w:t>
      </w:r>
      <w:r>
        <w:rPr>
          <w:spacing w:val="-4"/>
          <w:sz w:val="15"/>
        </w:rPr>
        <w:t xml:space="preserve"> </w:t>
      </w:r>
      <w:r>
        <w:rPr>
          <w:sz w:val="15"/>
        </w:rPr>
        <w:t>y</w:t>
      </w:r>
      <w:r>
        <w:rPr>
          <w:spacing w:val="-4"/>
          <w:sz w:val="15"/>
        </w:rPr>
        <w:t xml:space="preserve"> </w:t>
      </w:r>
      <w:r>
        <w:rPr>
          <w:sz w:val="15"/>
        </w:rPr>
        <w:t>–</w:t>
      </w:r>
      <w:r>
        <w:rPr>
          <w:spacing w:val="-4"/>
          <w:sz w:val="15"/>
        </w:rPr>
        <w:t xml:space="preserve"> </w:t>
      </w:r>
      <w:r>
        <w:rPr>
          <w:sz w:val="15"/>
        </w:rPr>
        <w:t>de</w:t>
      </w:r>
      <w:r>
        <w:rPr>
          <w:spacing w:val="-4"/>
          <w:sz w:val="15"/>
        </w:rPr>
        <w:t xml:space="preserve"> </w:t>
      </w:r>
      <w:r>
        <w:rPr>
          <w:sz w:val="15"/>
        </w:rPr>
        <w:t>lo</w:t>
      </w:r>
      <w:r>
        <w:rPr>
          <w:spacing w:val="-4"/>
          <w:sz w:val="15"/>
        </w:rPr>
        <w:t xml:space="preserve"> </w:t>
      </w:r>
      <w:r>
        <w:rPr>
          <w:sz w:val="15"/>
        </w:rPr>
        <w:t>anterior</w:t>
      </w:r>
      <w:r>
        <w:rPr>
          <w:spacing w:val="-4"/>
          <w:sz w:val="15"/>
        </w:rPr>
        <w:t xml:space="preserve"> </w:t>
      </w:r>
      <w:r>
        <w:rPr>
          <w:sz w:val="15"/>
        </w:rPr>
        <w:t>se</w:t>
      </w:r>
      <w:r>
        <w:rPr>
          <w:spacing w:val="-4"/>
          <w:sz w:val="15"/>
        </w:rPr>
        <w:t xml:space="preserve"> </w:t>
      </w:r>
      <w:r>
        <w:rPr>
          <w:sz w:val="15"/>
        </w:rPr>
        <w:t>desprende</w:t>
      </w:r>
      <w:r>
        <w:rPr>
          <w:spacing w:val="-4"/>
          <w:sz w:val="15"/>
        </w:rPr>
        <w:t xml:space="preserve"> </w:t>
      </w:r>
      <w:r>
        <w:rPr>
          <w:sz w:val="15"/>
        </w:rPr>
        <w:t>–</w:t>
      </w:r>
      <w:r>
        <w:rPr>
          <w:spacing w:val="-4"/>
          <w:sz w:val="15"/>
        </w:rPr>
        <w:t xml:space="preserve"> </w:t>
      </w:r>
      <w:r>
        <w:rPr>
          <w:sz w:val="15"/>
        </w:rPr>
        <w:t>las</w:t>
      </w:r>
      <w:r>
        <w:rPr>
          <w:spacing w:val="-4"/>
          <w:sz w:val="15"/>
        </w:rPr>
        <w:t xml:space="preserve"> </w:t>
      </w:r>
      <w:r>
        <w:rPr>
          <w:sz w:val="15"/>
        </w:rPr>
        <w:t>personas</w:t>
      </w:r>
      <w:r>
        <w:rPr>
          <w:spacing w:val="-4"/>
          <w:sz w:val="15"/>
        </w:rPr>
        <w:t xml:space="preserve"> </w:t>
      </w:r>
      <w:r>
        <w:rPr>
          <w:sz w:val="15"/>
        </w:rPr>
        <w:t>que</w:t>
      </w:r>
      <w:r>
        <w:rPr>
          <w:spacing w:val="-4"/>
          <w:sz w:val="15"/>
        </w:rPr>
        <w:t xml:space="preserve"> </w:t>
      </w:r>
      <w:r>
        <w:rPr>
          <w:sz w:val="15"/>
        </w:rPr>
        <w:t>han experimentado</w:t>
      </w:r>
      <w:r>
        <w:rPr>
          <w:spacing w:val="-9"/>
          <w:sz w:val="15"/>
        </w:rPr>
        <w:t xml:space="preserve"> </w:t>
      </w:r>
      <w:r>
        <w:rPr>
          <w:sz w:val="15"/>
        </w:rPr>
        <w:t>discriminación</w:t>
      </w:r>
      <w:r>
        <w:rPr>
          <w:spacing w:val="-9"/>
          <w:sz w:val="15"/>
        </w:rPr>
        <w:t xml:space="preserve"> </w:t>
      </w:r>
      <w:r>
        <w:rPr>
          <w:sz w:val="15"/>
        </w:rPr>
        <w:t>a</w:t>
      </w:r>
      <w:r>
        <w:rPr>
          <w:spacing w:val="-9"/>
          <w:sz w:val="15"/>
        </w:rPr>
        <w:t xml:space="preserve"> </w:t>
      </w:r>
      <w:r>
        <w:rPr>
          <w:sz w:val="15"/>
        </w:rPr>
        <w:t>menudo</w:t>
      </w:r>
      <w:r>
        <w:rPr>
          <w:spacing w:val="-9"/>
          <w:sz w:val="15"/>
        </w:rPr>
        <w:t xml:space="preserve"> </w:t>
      </w:r>
      <w:r>
        <w:rPr>
          <w:sz w:val="15"/>
        </w:rPr>
        <w:t>se</w:t>
      </w:r>
      <w:r>
        <w:rPr>
          <w:spacing w:val="-9"/>
          <w:sz w:val="15"/>
        </w:rPr>
        <w:t xml:space="preserve"> </w:t>
      </w:r>
      <w:r>
        <w:rPr>
          <w:sz w:val="15"/>
        </w:rPr>
        <w:t>encuentran</w:t>
      </w:r>
      <w:r>
        <w:rPr>
          <w:spacing w:val="-9"/>
          <w:sz w:val="15"/>
        </w:rPr>
        <w:t xml:space="preserve"> </w:t>
      </w:r>
      <w:r>
        <w:rPr>
          <w:sz w:val="15"/>
        </w:rPr>
        <w:t>entre</w:t>
      </w:r>
      <w:r>
        <w:rPr>
          <w:spacing w:val="-9"/>
          <w:sz w:val="15"/>
        </w:rPr>
        <w:t xml:space="preserve"> </w:t>
      </w:r>
      <w:r>
        <w:rPr>
          <w:sz w:val="15"/>
        </w:rPr>
        <w:t>las</w:t>
      </w:r>
      <w:r>
        <w:rPr>
          <w:spacing w:val="-9"/>
          <w:sz w:val="15"/>
        </w:rPr>
        <w:t xml:space="preserve"> </w:t>
      </w:r>
      <w:r>
        <w:rPr>
          <w:sz w:val="15"/>
        </w:rPr>
        <w:t>personas</w:t>
      </w:r>
      <w:r>
        <w:rPr>
          <w:spacing w:val="-9"/>
          <w:sz w:val="15"/>
        </w:rPr>
        <w:t xml:space="preserve"> </w:t>
      </w:r>
      <w:r>
        <w:rPr>
          <w:sz w:val="15"/>
        </w:rPr>
        <w:t>con</w:t>
      </w:r>
      <w:r>
        <w:rPr>
          <w:spacing w:val="-9"/>
          <w:sz w:val="15"/>
        </w:rPr>
        <w:t xml:space="preserve"> </w:t>
      </w:r>
      <w:r>
        <w:rPr>
          <w:sz w:val="15"/>
        </w:rPr>
        <w:t>menos</w:t>
      </w:r>
      <w:r>
        <w:rPr>
          <w:spacing w:val="-9"/>
          <w:sz w:val="15"/>
        </w:rPr>
        <w:t xml:space="preserve"> </w:t>
      </w:r>
      <w:r>
        <w:rPr>
          <w:sz w:val="15"/>
        </w:rPr>
        <w:t>probabilidades</w:t>
      </w:r>
      <w:r>
        <w:rPr>
          <w:spacing w:val="-9"/>
          <w:sz w:val="15"/>
        </w:rPr>
        <w:t xml:space="preserve"> </w:t>
      </w:r>
      <w:r>
        <w:rPr>
          <w:sz w:val="15"/>
        </w:rPr>
        <w:t>en</w:t>
      </w:r>
      <w:r>
        <w:rPr>
          <w:spacing w:val="-9"/>
          <w:sz w:val="15"/>
        </w:rPr>
        <w:t xml:space="preserve"> </w:t>
      </w:r>
      <w:r>
        <w:rPr>
          <w:sz w:val="15"/>
        </w:rPr>
        <w:t>la</w:t>
      </w:r>
      <w:r>
        <w:rPr>
          <w:spacing w:val="-9"/>
          <w:sz w:val="15"/>
        </w:rPr>
        <w:t xml:space="preserve"> </w:t>
      </w:r>
      <w:r>
        <w:rPr>
          <w:sz w:val="15"/>
        </w:rPr>
        <w:t>sociedad</w:t>
      </w:r>
      <w:r>
        <w:rPr>
          <w:spacing w:val="-9"/>
          <w:sz w:val="15"/>
        </w:rPr>
        <w:t xml:space="preserve"> </w:t>
      </w:r>
      <w:r>
        <w:rPr>
          <w:sz w:val="15"/>
        </w:rPr>
        <w:t>de</w:t>
      </w:r>
      <w:r>
        <w:rPr>
          <w:spacing w:val="-9"/>
          <w:sz w:val="15"/>
        </w:rPr>
        <w:t xml:space="preserve"> </w:t>
      </w:r>
      <w:r>
        <w:rPr>
          <w:sz w:val="15"/>
        </w:rPr>
        <w:t>poseer</w:t>
      </w:r>
      <w:r>
        <w:rPr>
          <w:spacing w:val="-9"/>
          <w:sz w:val="15"/>
        </w:rPr>
        <w:t xml:space="preserve"> </w:t>
      </w:r>
      <w:r>
        <w:rPr>
          <w:sz w:val="15"/>
        </w:rPr>
        <w:t>los</w:t>
      </w:r>
      <w:r>
        <w:rPr>
          <w:spacing w:val="-9"/>
          <w:sz w:val="15"/>
        </w:rPr>
        <w:t xml:space="preserve"> </w:t>
      </w:r>
      <w:r>
        <w:rPr>
          <w:sz w:val="15"/>
        </w:rPr>
        <w:t>recursos financieros</w:t>
      </w:r>
      <w:r>
        <w:rPr>
          <w:spacing w:val="-6"/>
          <w:sz w:val="15"/>
        </w:rPr>
        <w:t xml:space="preserve"> </w:t>
      </w:r>
      <w:r>
        <w:rPr>
          <w:sz w:val="15"/>
        </w:rPr>
        <w:t>necesarios</w:t>
      </w:r>
      <w:r>
        <w:rPr>
          <w:spacing w:val="-6"/>
          <w:sz w:val="15"/>
        </w:rPr>
        <w:t xml:space="preserve"> </w:t>
      </w:r>
      <w:r>
        <w:rPr>
          <w:sz w:val="15"/>
        </w:rPr>
        <w:t>para</w:t>
      </w:r>
      <w:r>
        <w:rPr>
          <w:spacing w:val="-6"/>
          <w:sz w:val="15"/>
        </w:rPr>
        <w:t xml:space="preserve"> </w:t>
      </w:r>
      <w:r>
        <w:rPr>
          <w:sz w:val="15"/>
        </w:rPr>
        <w:t>presentar</w:t>
      </w:r>
      <w:r>
        <w:rPr>
          <w:spacing w:val="-6"/>
          <w:sz w:val="15"/>
        </w:rPr>
        <w:t xml:space="preserve"> </w:t>
      </w:r>
      <w:r>
        <w:rPr>
          <w:sz w:val="15"/>
        </w:rPr>
        <w:t>una</w:t>
      </w:r>
      <w:r>
        <w:rPr>
          <w:spacing w:val="-6"/>
          <w:sz w:val="15"/>
        </w:rPr>
        <w:t xml:space="preserve"> </w:t>
      </w:r>
      <w:r>
        <w:rPr>
          <w:sz w:val="15"/>
        </w:rPr>
        <w:t>demanda</w:t>
      </w:r>
      <w:r>
        <w:rPr>
          <w:spacing w:val="-6"/>
          <w:sz w:val="15"/>
        </w:rPr>
        <w:t xml:space="preserve"> </w:t>
      </w:r>
      <w:r>
        <w:rPr>
          <w:sz w:val="15"/>
        </w:rPr>
        <w:t>por</w:t>
      </w:r>
      <w:r>
        <w:rPr>
          <w:spacing w:val="-6"/>
          <w:sz w:val="15"/>
        </w:rPr>
        <w:t xml:space="preserve"> </w:t>
      </w:r>
      <w:r>
        <w:rPr>
          <w:sz w:val="15"/>
        </w:rPr>
        <w:t>discriminación</w:t>
      </w:r>
      <w:r>
        <w:rPr>
          <w:spacing w:val="-6"/>
          <w:sz w:val="15"/>
        </w:rPr>
        <w:t xml:space="preserve"> </w:t>
      </w:r>
      <w:r>
        <w:rPr>
          <w:sz w:val="15"/>
        </w:rPr>
        <w:t>o</w:t>
      </w:r>
      <w:r>
        <w:rPr>
          <w:spacing w:val="-6"/>
          <w:sz w:val="15"/>
        </w:rPr>
        <w:t xml:space="preserve"> </w:t>
      </w:r>
      <w:r>
        <w:rPr>
          <w:sz w:val="15"/>
        </w:rPr>
        <w:t>para</w:t>
      </w:r>
      <w:r>
        <w:rPr>
          <w:spacing w:val="-6"/>
          <w:sz w:val="15"/>
        </w:rPr>
        <w:t xml:space="preserve"> </w:t>
      </w:r>
      <w:r>
        <w:rPr>
          <w:sz w:val="15"/>
        </w:rPr>
        <w:t>brindar</w:t>
      </w:r>
      <w:r>
        <w:rPr>
          <w:spacing w:val="-6"/>
          <w:sz w:val="15"/>
        </w:rPr>
        <w:t xml:space="preserve"> </w:t>
      </w:r>
      <w:r>
        <w:rPr>
          <w:sz w:val="15"/>
        </w:rPr>
        <w:t>apoyo</w:t>
      </w:r>
      <w:r>
        <w:rPr>
          <w:spacing w:val="-6"/>
          <w:sz w:val="15"/>
        </w:rPr>
        <w:t xml:space="preserve"> </w:t>
      </w:r>
      <w:r>
        <w:rPr>
          <w:sz w:val="15"/>
        </w:rPr>
        <w:t>legal.</w:t>
      </w:r>
      <w:r>
        <w:rPr>
          <w:spacing w:val="-6"/>
          <w:sz w:val="15"/>
        </w:rPr>
        <w:t xml:space="preserve"> </w:t>
      </w:r>
      <w:r>
        <w:rPr>
          <w:sz w:val="15"/>
        </w:rPr>
        <w:t>El</w:t>
      </w:r>
      <w:r>
        <w:rPr>
          <w:spacing w:val="-6"/>
          <w:sz w:val="15"/>
        </w:rPr>
        <w:t xml:space="preserve"> </w:t>
      </w:r>
      <w:r>
        <w:rPr>
          <w:sz w:val="15"/>
        </w:rPr>
        <w:t>ACNUDH,</w:t>
      </w:r>
      <w:r>
        <w:rPr>
          <w:spacing w:val="-6"/>
          <w:sz w:val="15"/>
        </w:rPr>
        <w:t xml:space="preserve"> </w:t>
      </w:r>
      <w:r>
        <w:rPr>
          <w:sz w:val="15"/>
        </w:rPr>
        <w:t>por</w:t>
      </w:r>
      <w:r>
        <w:rPr>
          <w:spacing w:val="-6"/>
          <w:sz w:val="15"/>
        </w:rPr>
        <w:t xml:space="preserve"> </w:t>
      </w:r>
      <w:r>
        <w:rPr>
          <w:sz w:val="15"/>
        </w:rPr>
        <w:t>ejemplo,</w:t>
      </w:r>
      <w:r>
        <w:rPr>
          <w:spacing w:val="-6"/>
          <w:sz w:val="15"/>
        </w:rPr>
        <w:t xml:space="preserve"> </w:t>
      </w:r>
      <w:r>
        <w:rPr>
          <w:sz w:val="15"/>
        </w:rPr>
        <w:t>ha</w:t>
      </w:r>
      <w:r>
        <w:rPr>
          <w:spacing w:val="-6"/>
          <w:sz w:val="15"/>
        </w:rPr>
        <w:t xml:space="preserve"> </w:t>
      </w:r>
      <w:r>
        <w:rPr>
          <w:sz w:val="15"/>
        </w:rPr>
        <w:t>observado que</w:t>
      </w:r>
      <w:r>
        <w:rPr>
          <w:spacing w:val="-3"/>
          <w:sz w:val="15"/>
        </w:rPr>
        <w:t xml:space="preserve"> </w:t>
      </w:r>
      <w:r>
        <w:rPr>
          <w:sz w:val="15"/>
        </w:rPr>
        <w:t>las</w:t>
      </w:r>
      <w:r>
        <w:rPr>
          <w:spacing w:val="-3"/>
          <w:sz w:val="15"/>
        </w:rPr>
        <w:t xml:space="preserve"> </w:t>
      </w:r>
      <w:r>
        <w:rPr>
          <w:sz w:val="15"/>
        </w:rPr>
        <w:t>personas</w:t>
      </w:r>
      <w:r>
        <w:rPr>
          <w:spacing w:val="-3"/>
          <w:sz w:val="15"/>
        </w:rPr>
        <w:t xml:space="preserve"> </w:t>
      </w:r>
      <w:r>
        <w:rPr>
          <w:sz w:val="15"/>
        </w:rPr>
        <w:t>con</w:t>
      </w:r>
      <w:r>
        <w:rPr>
          <w:spacing w:val="-3"/>
          <w:sz w:val="15"/>
        </w:rPr>
        <w:t xml:space="preserve"> </w:t>
      </w:r>
      <w:r>
        <w:rPr>
          <w:sz w:val="15"/>
        </w:rPr>
        <w:t>discapacidad</w:t>
      </w:r>
      <w:r>
        <w:rPr>
          <w:spacing w:val="-3"/>
          <w:sz w:val="15"/>
        </w:rPr>
        <w:t xml:space="preserve"> </w:t>
      </w:r>
      <w:r>
        <w:rPr>
          <w:sz w:val="15"/>
        </w:rPr>
        <w:t>“son</w:t>
      </w:r>
      <w:r>
        <w:rPr>
          <w:spacing w:val="-3"/>
          <w:sz w:val="15"/>
        </w:rPr>
        <w:t xml:space="preserve"> </w:t>
      </w:r>
      <w:r>
        <w:rPr>
          <w:sz w:val="15"/>
        </w:rPr>
        <w:t>desproporcionadamente</w:t>
      </w:r>
      <w:r>
        <w:rPr>
          <w:spacing w:val="-3"/>
          <w:sz w:val="15"/>
        </w:rPr>
        <w:t xml:space="preserve"> </w:t>
      </w:r>
      <w:r>
        <w:rPr>
          <w:sz w:val="15"/>
        </w:rPr>
        <w:t>entre</w:t>
      </w:r>
      <w:r>
        <w:rPr>
          <w:spacing w:val="-3"/>
          <w:sz w:val="15"/>
        </w:rPr>
        <w:t xml:space="preserve"> </w:t>
      </w:r>
      <w:r>
        <w:rPr>
          <w:sz w:val="15"/>
        </w:rPr>
        <w:t>los</w:t>
      </w:r>
      <w:r>
        <w:rPr>
          <w:spacing w:val="-3"/>
          <w:sz w:val="15"/>
        </w:rPr>
        <w:t xml:space="preserve"> </w:t>
      </w:r>
      <w:r>
        <w:rPr>
          <w:sz w:val="15"/>
        </w:rPr>
        <w:t>pobres</w:t>
      </w:r>
      <w:r>
        <w:rPr>
          <w:spacing w:val="-3"/>
          <w:sz w:val="15"/>
        </w:rPr>
        <w:t xml:space="preserve"> </w:t>
      </w:r>
      <w:r>
        <w:rPr>
          <w:sz w:val="15"/>
        </w:rPr>
        <w:t>del</w:t>
      </w:r>
      <w:r>
        <w:rPr>
          <w:spacing w:val="-3"/>
          <w:sz w:val="15"/>
        </w:rPr>
        <w:t xml:space="preserve"> </w:t>
      </w:r>
      <w:r>
        <w:rPr>
          <w:sz w:val="15"/>
        </w:rPr>
        <w:t>mundo</w:t>
      </w:r>
      <w:r>
        <w:rPr>
          <w:spacing w:val="-3"/>
          <w:sz w:val="15"/>
        </w:rPr>
        <w:t xml:space="preserve"> </w:t>
      </w:r>
      <w:r>
        <w:rPr>
          <w:sz w:val="15"/>
        </w:rPr>
        <w:t>y</w:t>
      </w:r>
      <w:r>
        <w:rPr>
          <w:spacing w:val="-3"/>
          <w:sz w:val="15"/>
        </w:rPr>
        <w:t xml:space="preserve"> </w:t>
      </w:r>
      <w:r>
        <w:rPr>
          <w:sz w:val="15"/>
        </w:rPr>
        <w:t>enfrentan</w:t>
      </w:r>
      <w:r>
        <w:rPr>
          <w:spacing w:val="-3"/>
          <w:sz w:val="15"/>
        </w:rPr>
        <w:t xml:space="preserve"> </w:t>
      </w:r>
      <w:r>
        <w:rPr>
          <w:sz w:val="15"/>
        </w:rPr>
        <w:t>dificultades</w:t>
      </w:r>
      <w:r>
        <w:rPr>
          <w:spacing w:val="-4"/>
          <w:sz w:val="15"/>
        </w:rPr>
        <w:t xml:space="preserve"> </w:t>
      </w:r>
      <w:r>
        <w:rPr>
          <w:sz w:val="15"/>
        </w:rPr>
        <w:t>para</w:t>
      </w:r>
      <w:r>
        <w:rPr>
          <w:spacing w:val="-3"/>
          <w:sz w:val="15"/>
        </w:rPr>
        <w:t xml:space="preserve"> </w:t>
      </w:r>
      <w:r>
        <w:rPr>
          <w:sz w:val="15"/>
        </w:rPr>
        <w:t>obtener</w:t>
      </w:r>
    </w:p>
    <w:p w14:paraId="5ECC724C" w14:textId="77777777" w:rsidR="0014798C" w:rsidRDefault="004E1F0B">
      <w:pPr>
        <w:spacing w:line="348" w:lineRule="auto"/>
        <w:ind w:left="1112" w:right="629" w:hanging="1"/>
        <w:rPr>
          <w:sz w:val="15"/>
        </w:rPr>
      </w:pPr>
      <w:r>
        <w:rPr>
          <w:sz w:val="15"/>
        </w:rPr>
        <w:t>asesoramiento</w:t>
      </w:r>
      <w:r>
        <w:rPr>
          <w:spacing w:val="-11"/>
          <w:sz w:val="15"/>
        </w:rPr>
        <w:t xml:space="preserve"> </w:t>
      </w:r>
      <w:r>
        <w:rPr>
          <w:sz w:val="15"/>
        </w:rPr>
        <w:t>y</w:t>
      </w:r>
      <w:r>
        <w:rPr>
          <w:spacing w:val="-10"/>
          <w:sz w:val="15"/>
        </w:rPr>
        <w:t xml:space="preserve"> </w:t>
      </w:r>
      <w:r>
        <w:rPr>
          <w:sz w:val="15"/>
        </w:rPr>
        <w:t>representación</w:t>
      </w:r>
      <w:r>
        <w:rPr>
          <w:spacing w:val="-10"/>
          <w:sz w:val="15"/>
        </w:rPr>
        <w:t xml:space="preserve"> </w:t>
      </w:r>
      <w:r>
        <w:rPr>
          <w:sz w:val="15"/>
        </w:rPr>
        <w:t>legal”.675</w:t>
      </w:r>
      <w:r>
        <w:rPr>
          <w:spacing w:val="-11"/>
          <w:sz w:val="15"/>
        </w:rPr>
        <w:t xml:space="preserve"> </w:t>
      </w:r>
      <w:r>
        <w:rPr>
          <w:sz w:val="15"/>
        </w:rPr>
        <w:t>Los</w:t>
      </w:r>
      <w:r>
        <w:rPr>
          <w:spacing w:val="-10"/>
          <w:sz w:val="15"/>
        </w:rPr>
        <w:t xml:space="preserve"> </w:t>
      </w:r>
      <w:r>
        <w:rPr>
          <w:sz w:val="15"/>
        </w:rPr>
        <w:t>titulares</w:t>
      </w:r>
      <w:r>
        <w:rPr>
          <w:spacing w:val="-11"/>
          <w:sz w:val="15"/>
        </w:rPr>
        <w:t xml:space="preserve"> </w:t>
      </w:r>
      <w:r>
        <w:rPr>
          <w:sz w:val="15"/>
        </w:rPr>
        <w:t>de</w:t>
      </w:r>
      <w:r>
        <w:rPr>
          <w:spacing w:val="-10"/>
          <w:sz w:val="15"/>
        </w:rPr>
        <w:t xml:space="preserve"> </w:t>
      </w:r>
      <w:r>
        <w:rPr>
          <w:sz w:val="15"/>
        </w:rPr>
        <w:t>mandatos</w:t>
      </w:r>
      <w:r>
        <w:rPr>
          <w:spacing w:val="-10"/>
          <w:sz w:val="15"/>
        </w:rPr>
        <w:t xml:space="preserve"> </w:t>
      </w:r>
      <w:r>
        <w:rPr>
          <w:sz w:val="15"/>
        </w:rPr>
        <w:t>de</w:t>
      </w:r>
      <w:r>
        <w:rPr>
          <w:spacing w:val="-10"/>
          <w:sz w:val="15"/>
        </w:rPr>
        <w:t xml:space="preserve"> </w:t>
      </w:r>
      <w:r>
        <w:rPr>
          <w:sz w:val="15"/>
        </w:rPr>
        <w:t>procedimientos</w:t>
      </w:r>
      <w:r>
        <w:rPr>
          <w:spacing w:val="-11"/>
          <w:sz w:val="15"/>
        </w:rPr>
        <w:t xml:space="preserve"> </w:t>
      </w:r>
      <w:r>
        <w:rPr>
          <w:sz w:val="15"/>
        </w:rPr>
        <w:t>especiales</w:t>
      </w:r>
      <w:r>
        <w:rPr>
          <w:spacing w:val="-10"/>
          <w:sz w:val="15"/>
        </w:rPr>
        <w:t xml:space="preserve"> </w:t>
      </w:r>
      <w:r>
        <w:rPr>
          <w:sz w:val="15"/>
        </w:rPr>
        <w:t>han</w:t>
      </w:r>
      <w:r>
        <w:rPr>
          <w:spacing w:val="-10"/>
          <w:sz w:val="15"/>
        </w:rPr>
        <w:t xml:space="preserve"> </w:t>
      </w:r>
      <w:r>
        <w:rPr>
          <w:sz w:val="15"/>
        </w:rPr>
        <w:t>notado</w:t>
      </w:r>
      <w:r>
        <w:rPr>
          <w:spacing w:val="-11"/>
          <w:sz w:val="15"/>
        </w:rPr>
        <w:t xml:space="preserve"> </w:t>
      </w:r>
      <w:r>
        <w:rPr>
          <w:sz w:val="15"/>
        </w:rPr>
        <w:t>patrones</w:t>
      </w:r>
      <w:r>
        <w:rPr>
          <w:spacing w:val="-10"/>
          <w:sz w:val="15"/>
        </w:rPr>
        <w:t xml:space="preserve"> </w:t>
      </w:r>
      <w:r>
        <w:rPr>
          <w:sz w:val="15"/>
        </w:rPr>
        <w:t>similares</w:t>
      </w:r>
      <w:r>
        <w:rPr>
          <w:spacing w:val="-10"/>
          <w:sz w:val="15"/>
        </w:rPr>
        <w:t xml:space="preserve"> </w:t>
      </w:r>
      <w:r>
        <w:rPr>
          <w:sz w:val="15"/>
        </w:rPr>
        <w:t>a</w:t>
      </w:r>
      <w:r>
        <w:rPr>
          <w:spacing w:val="-11"/>
          <w:sz w:val="15"/>
        </w:rPr>
        <w:t xml:space="preserve"> </w:t>
      </w:r>
      <w:r>
        <w:rPr>
          <w:sz w:val="15"/>
        </w:rPr>
        <w:t>nivel</w:t>
      </w:r>
      <w:r>
        <w:rPr>
          <w:spacing w:val="-10"/>
          <w:sz w:val="15"/>
        </w:rPr>
        <w:t xml:space="preserve"> </w:t>
      </w:r>
      <w:r>
        <w:rPr>
          <w:sz w:val="15"/>
        </w:rPr>
        <w:t>nacional.676 Algunos</w:t>
      </w:r>
      <w:r>
        <w:rPr>
          <w:spacing w:val="-4"/>
          <w:sz w:val="15"/>
        </w:rPr>
        <w:t xml:space="preserve"> </w:t>
      </w:r>
      <w:r>
        <w:rPr>
          <w:sz w:val="15"/>
        </w:rPr>
        <w:t>órganos</w:t>
      </w:r>
      <w:r>
        <w:rPr>
          <w:spacing w:val="-4"/>
          <w:sz w:val="15"/>
        </w:rPr>
        <w:t xml:space="preserve"> </w:t>
      </w:r>
      <w:r>
        <w:rPr>
          <w:sz w:val="15"/>
        </w:rPr>
        <w:t>creados</w:t>
      </w:r>
      <w:r>
        <w:rPr>
          <w:spacing w:val="-4"/>
          <w:sz w:val="15"/>
        </w:rPr>
        <w:t xml:space="preserve"> </w:t>
      </w:r>
      <w:r>
        <w:rPr>
          <w:sz w:val="15"/>
        </w:rPr>
        <w:t>en</w:t>
      </w:r>
      <w:r>
        <w:rPr>
          <w:spacing w:val="-4"/>
          <w:sz w:val="15"/>
        </w:rPr>
        <w:t xml:space="preserve"> </w:t>
      </w:r>
      <w:r>
        <w:rPr>
          <w:sz w:val="15"/>
        </w:rPr>
        <w:t>virtud</w:t>
      </w:r>
      <w:r>
        <w:rPr>
          <w:spacing w:val="-4"/>
          <w:sz w:val="15"/>
        </w:rPr>
        <w:t xml:space="preserve"> </w:t>
      </w:r>
      <w:r>
        <w:rPr>
          <w:sz w:val="15"/>
        </w:rPr>
        <w:t>de</w:t>
      </w:r>
      <w:r>
        <w:rPr>
          <w:spacing w:val="-4"/>
          <w:sz w:val="15"/>
        </w:rPr>
        <w:t xml:space="preserve"> </w:t>
      </w:r>
      <w:r>
        <w:rPr>
          <w:sz w:val="15"/>
        </w:rPr>
        <w:t>tratados</w:t>
      </w:r>
      <w:r>
        <w:rPr>
          <w:spacing w:val="-4"/>
          <w:sz w:val="15"/>
        </w:rPr>
        <w:t xml:space="preserve"> </w:t>
      </w:r>
      <w:r>
        <w:rPr>
          <w:sz w:val="15"/>
        </w:rPr>
        <w:t>también</w:t>
      </w:r>
      <w:r>
        <w:rPr>
          <w:spacing w:val="-4"/>
          <w:sz w:val="15"/>
        </w:rPr>
        <w:t xml:space="preserve"> </w:t>
      </w:r>
      <w:r>
        <w:rPr>
          <w:sz w:val="15"/>
        </w:rPr>
        <w:t>han</w:t>
      </w:r>
      <w:r>
        <w:rPr>
          <w:spacing w:val="-4"/>
          <w:sz w:val="15"/>
        </w:rPr>
        <w:t xml:space="preserve"> </w:t>
      </w:r>
      <w:r>
        <w:rPr>
          <w:sz w:val="15"/>
        </w:rPr>
        <w:t>reconocido</w:t>
      </w:r>
      <w:r>
        <w:rPr>
          <w:spacing w:val="-4"/>
          <w:sz w:val="15"/>
        </w:rPr>
        <w:t xml:space="preserve"> </w:t>
      </w:r>
      <w:r>
        <w:rPr>
          <w:sz w:val="15"/>
        </w:rPr>
        <w:t>el</w:t>
      </w:r>
      <w:r>
        <w:rPr>
          <w:spacing w:val="-4"/>
          <w:sz w:val="15"/>
        </w:rPr>
        <w:t xml:space="preserve"> </w:t>
      </w:r>
      <w:r>
        <w:rPr>
          <w:sz w:val="15"/>
        </w:rPr>
        <w:t>estatus</w:t>
      </w:r>
      <w:r>
        <w:rPr>
          <w:spacing w:val="-4"/>
          <w:sz w:val="15"/>
        </w:rPr>
        <w:t xml:space="preserve"> </w:t>
      </w:r>
      <w:r>
        <w:rPr>
          <w:sz w:val="15"/>
        </w:rPr>
        <w:t>socioeconómico</w:t>
      </w:r>
      <w:r>
        <w:rPr>
          <w:spacing w:val="-4"/>
          <w:sz w:val="15"/>
        </w:rPr>
        <w:t xml:space="preserve"> </w:t>
      </w:r>
      <w:r>
        <w:rPr>
          <w:sz w:val="15"/>
        </w:rPr>
        <w:t>como</w:t>
      </w:r>
      <w:r>
        <w:rPr>
          <w:spacing w:val="-4"/>
          <w:sz w:val="15"/>
        </w:rPr>
        <w:t xml:space="preserve"> </w:t>
      </w:r>
      <w:r>
        <w:rPr>
          <w:sz w:val="15"/>
        </w:rPr>
        <w:t>un</w:t>
      </w:r>
      <w:r>
        <w:rPr>
          <w:spacing w:val="-4"/>
          <w:sz w:val="15"/>
        </w:rPr>
        <w:t xml:space="preserve"> </w:t>
      </w:r>
      <w:r>
        <w:rPr>
          <w:sz w:val="15"/>
        </w:rPr>
        <w:t>motivo</w:t>
      </w:r>
      <w:r>
        <w:rPr>
          <w:spacing w:val="-4"/>
          <w:sz w:val="15"/>
        </w:rPr>
        <w:t xml:space="preserve"> </w:t>
      </w:r>
      <w:r>
        <w:rPr>
          <w:sz w:val="15"/>
        </w:rPr>
        <w:t>distinto</w:t>
      </w:r>
      <w:r>
        <w:rPr>
          <w:spacing w:val="-4"/>
          <w:sz w:val="15"/>
        </w:rPr>
        <w:t xml:space="preserve"> </w:t>
      </w:r>
      <w:r>
        <w:rPr>
          <w:sz w:val="15"/>
        </w:rPr>
        <w:t>de</w:t>
      </w:r>
      <w:r>
        <w:rPr>
          <w:spacing w:val="-4"/>
          <w:sz w:val="15"/>
        </w:rPr>
        <w:t xml:space="preserve"> </w:t>
      </w:r>
      <w:r>
        <w:rPr>
          <w:sz w:val="15"/>
        </w:rPr>
        <w:t>discriminación</w:t>
      </w:r>
    </w:p>
    <w:p w14:paraId="6449B070" w14:textId="77777777" w:rsidR="0014798C" w:rsidRDefault="004E1F0B">
      <w:pPr>
        <w:spacing w:line="348" w:lineRule="auto"/>
        <w:ind w:left="1112" w:right="1272" w:hanging="7"/>
        <w:rPr>
          <w:sz w:val="15"/>
        </w:rPr>
      </w:pPr>
      <w:r>
        <w:rPr>
          <w:sz w:val="15"/>
        </w:rPr>
        <w:t>que</w:t>
      </w:r>
      <w:r>
        <w:rPr>
          <w:spacing w:val="-9"/>
          <w:sz w:val="15"/>
        </w:rPr>
        <w:t xml:space="preserve"> </w:t>
      </w:r>
      <w:r>
        <w:rPr>
          <w:sz w:val="15"/>
        </w:rPr>
        <w:t>entra</w:t>
      </w:r>
      <w:r>
        <w:rPr>
          <w:spacing w:val="-9"/>
          <w:sz w:val="15"/>
        </w:rPr>
        <w:t xml:space="preserve"> </w:t>
      </w:r>
      <w:r>
        <w:rPr>
          <w:sz w:val="15"/>
        </w:rPr>
        <w:t>dentro</w:t>
      </w:r>
      <w:r>
        <w:rPr>
          <w:spacing w:val="-9"/>
          <w:sz w:val="15"/>
        </w:rPr>
        <w:t xml:space="preserve"> </w:t>
      </w:r>
      <w:r>
        <w:rPr>
          <w:sz w:val="15"/>
        </w:rPr>
        <w:t>de</w:t>
      </w:r>
      <w:r>
        <w:rPr>
          <w:spacing w:val="-9"/>
          <w:sz w:val="15"/>
        </w:rPr>
        <w:t xml:space="preserve"> </w:t>
      </w:r>
      <w:r>
        <w:rPr>
          <w:sz w:val="15"/>
        </w:rPr>
        <w:t>“otro</w:t>
      </w:r>
      <w:r>
        <w:rPr>
          <w:spacing w:val="-9"/>
          <w:sz w:val="15"/>
        </w:rPr>
        <w:t xml:space="preserve"> </w:t>
      </w:r>
      <w:r>
        <w:rPr>
          <w:sz w:val="15"/>
        </w:rPr>
        <w:t>estatus”677</w:t>
      </w:r>
      <w:r>
        <w:rPr>
          <w:spacing w:val="-9"/>
          <w:sz w:val="15"/>
        </w:rPr>
        <w:t xml:space="preserve"> </w:t>
      </w:r>
      <w:r>
        <w:rPr>
          <w:sz w:val="15"/>
        </w:rPr>
        <w:t>y</w:t>
      </w:r>
      <w:r>
        <w:rPr>
          <w:spacing w:val="-9"/>
          <w:sz w:val="15"/>
        </w:rPr>
        <w:t xml:space="preserve"> </w:t>
      </w:r>
      <w:r>
        <w:rPr>
          <w:sz w:val="15"/>
        </w:rPr>
        <w:t>se</w:t>
      </w:r>
      <w:r>
        <w:rPr>
          <w:spacing w:val="-9"/>
          <w:sz w:val="15"/>
        </w:rPr>
        <w:t xml:space="preserve"> </w:t>
      </w:r>
      <w:r>
        <w:rPr>
          <w:sz w:val="15"/>
        </w:rPr>
        <w:t>han</w:t>
      </w:r>
      <w:r>
        <w:rPr>
          <w:spacing w:val="-9"/>
          <w:sz w:val="15"/>
        </w:rPr>
        <w:t xml:space="preserve"> </w:t>
      </w:r>
      <w:r>
        <w:rPr>
          <w:sz w:val="15"/>
        </w:rPr>
        <w:t>presentado</w:t>
      </w:r>
      <w:r>
        <w:rPr>
          <w:spacing w:val="-9"/>
          <w:sz w:val="15"/>
        </w:rPr>
        <w:t xml:space="preserve"> </w:t>
      </w:r>
      <w:r>
        <w:rPr>
          <w:sz w:val="15"/>
        </w:rPr>
        <w:t>casos</w:t>
      </w:r>
      <w:r>
        <w:rPr>
          <w:spacing w:val="-9"/>
          <w:sz w:val="15"/>
        </w:rPr>
        <w:t xml:space="preserve"> </w:t>
      </w:r>
      <w:r>
        <w:rPr>
          <w:sz w:val="15"/>
        </w:rPr>
        <w:t>que</w:t>
      </w:r>
      <w:r>
        <w:rPr>
          <w:spacing w:val="-9"/>
          <w:sz w:val="15"/>
        </w:rPr>
        <w:t xml:space="preserve"> </w:t>
      </w:r>
      <w:r>
        <w:rPr>
          <w:sz w:val="15"/>
        </w:rPr>
        <w:t>impugnan</w:t>
      </w:r>
      <w:r>
        <w:rPr>
          <w:spacing w:val="-9"/>
          <w:sz w:val="15"/>
        </w:rPr>
        <w:t xml:space="preserve"> </w:t>
      </w:r>
      <w:r>
        <w:rPr>
          <w:sz w:val="15"/>
        </w:rPr>
        <w:t>la</w:t>
      </w:r>
      <w:r>
        <w:rPr>
          <w:spacing w:val="-9"/>
          <w:sz w:val="15"/>
        </w:rPr>
        <w:t xml:space="preserve"> </w:t>
      </w:r>
      <w:r>
        <w:rPr>
          <w:sz w:val="15"/>
        </w:rPr>
        <w:t>denegación</w:t>
      </w:r>
      <w:r>
        <w:rPr>
          <w:spacing w:val="-9"/>
          <w:sz w:val="15"/>
        </w:rPr>
        <w:t xml:space="preserve"> </w:t>
      </w:r>
      <w:r>
        <w:rPr>
          <w:sz w:val="15"/>
        </w:rPr>
        <w:t>de</w:t>
      </w:r>
      <w:r>
        <w:rPr>
          <w:spacing w:val="-9"/>
          <w:sz w:val="15"/>
        </w:rPr>
        <w:t xml:space="preserve"> </w:t>
      </w:r>
      <w:r>
        <w:rPr>
          <w:sz w:val="15"/>
        </w:rPr>
        <w:t>asistencia</w:t>
      </w:r>
      <w:r>
        <w:rPr>
          <w:spacing w:val="-9"/>
          <w:sz w:val="15"/>
        </w:rPr>
        <w:t xml:space="preserve"> </w:t>
      </w:r>
      <w:r>
        <w:rPr>
          <w:sz w:val="15"/>
        </w:rPr>
        <w:t>jurídica</w:t>
      </w:r>
      <w:r>
        <w:rPr>
          <w:spacing w:val="-9"/>
          <w:sz w:val="15"/>
        </w:rPr>
        <w:t xml:space="preserve"> </w:t>
      </w:r>
      <w:r>
        <w:rPr>
          <w:sz w:val="15"/>
        </w:rPr>
        <w:t>por</w:t>
      </w:r>
      <w:r>
        <w:rPr>
          <w:spacing w:val="-9"/>
          <w:sz w:val="15"/>
        </w:rPr>
        <w:t xml:space="preserve"> </w:t>
      </w:r>
      <w:r>
        <w:rPr>
          <w:sz w:val="15"/>
        </w:rPr>
        <w:t>motivos</w:t>
      </w:r>
      <w:r>
        <w:rPr>
          <w:spacing w:val="-9"/>
          <w:sz w:val="15"/>
        </w:rPr>
        <w:t xml:space="preserve"> </w:t>
      </w:r>
      <w:r>
        <w:rPr>
          <w:sz w:val="15"/>
        </w:rPr>
        <w:t>relacionados ante tribunales regionales de derechos humanos.678</w:t>
      </w:r>
    </w:p>
    <w:p w14:paraId="7A02A8ED" w14:textId="77777777" w:rsidR="0014798C" w:rsidRDefault="0014798C">
      <w:pPr>
        <w:pStyle w:val="Textoindependiente"/>
        <w:spacing w:before="58"/>
        <w:rPr>
          <w:sz w:val="15"/>
        </w:rPr>
      </w:pPr>
    </w:p>
    <w:p w14:paraId="5317900C" w14:textId="77777777" w:rsidR="0014798C" w:rsidRDefault="004E1F0B">
      <w:pPr>
        <w:pStyle w:val="Prrafodelista"/>
        <w:numPr>
          <w:ilvl w:val="0"/>
          <w:numId w:val="52"/>
        </w:numPr>
        <w:tabs>
          <w:tab w:val="left" w:pos="1336"/>
        </w:tabs>
        <w:ind w:left="1336" w:hanging="221"/>
        <w:rPr>
          <w:sz w:val="15"/>
        </w:rPr>
      </w:pPr>
      <w:r>
        <w:rPr>
          <w:sz w:val="15"/>
        </w:rPr>
        <w:t>Los</w:t>
      </w:r>
      <w:r>
        <w:rPr>
          <w:spacing w:val="-6"/>
          <w:sz w:val="15"/>
        </w:rPr>
        <w:t xml:space="preserve"> </w:t>
      </w:r>
      <w:r>
        <w:rPr>
          <w:spacing w:val="-2"/>
          <w:sz w:val="15"/>
        </w:rPr>
        <w:t>órganos</w:t>
      </w:r>
    </w:p>
    <w:p w14:paraId="49FDF141" w14:textId="77777777" w:rsidR="0014798C" w:rsidRDefault="0014798C">
      <w:pPr>
        <w:pStyle w:val="Textoindependiente"/>
        <w:spacing w:before="4"/>
        <w:rPr>
          <w:sz w:val="15"/>
        </w:rPr>
      </w:pPr>
    </w:p>
    <w:p w14:paraId="2E1D1CBC" w14:textId="77777777" w:rsidR="0014798C" w:rsidRDefault="004E1F0B">
      <w:pPr>
        <w:spacing w:before="1" w:line="348" w:lineRule="auto"/>
        <w:ind w:left="1109" w:right="1335" w:hanging="4"/>
        <w:rPr>
          <w:sz w:val="15"/>
        </w:rPr>
      </w:pPr>
      <w:r>
        <w:rPr>
          <w:sz w:val="15"/>
        </w:rPr>
        <w:t>permanentes</w:t>
      </w:r>
      <w:r>
        <w:rPr>
          <w:spacing w:val="-3"/>
          <w:sz w:val="15"/>
        </w:rPr>
        <w:t xml:space="preserve"> </w:t>
      </w:r>
      <w:r>
        <w:rPr>
          <w:sz w:val="15"/>
        </w:rPr>
        <w:t>de</w:t>
      </w:r>
      <w:r>
        <w:rPr>
          <w:spacing w:val="-3"/>
          <w:sz w:val="15"/>
        </w:rPr>
        <w:t xml:space="preserve"> </w:t>
      </w:r>
      <w:r>
        <w:rPr>
          <w:sz w:val="15"/>
        </w:rPr>
        <w:t>tratados</w:t>
      </w:r>
      <w:r>
        <w:rPr>
          <w:spacing w:val="-3"/>
          <w:sz w:val="15"/>
        </w:rPr>
        <w:t xml:space="preserve"> </w:t>
      </w:r>
      <w:r>
        <w:rPr>
          <w:sz w:val="15"/>
        </w:rPr>
        <w:t>han</w:t>
      </w:r>
      <w:r>
        <w:rPr>
          <w:spacing w:val="-3"/>
          <w:sz w:val="15"/>
        </w:rPr>
        <w:t xml:space="preserve"> </w:t>
      </w:r>
      <w:r>
        <w:rPr>
          <w:sz w:val="15"/>
        </w:rPr>
        <w:t>recomendado</w:t>
      </w:r>
      <w:r>
        <w:rPr>
          <w:spacing w:val="-3"/>
          <w:sz w:val="15"/>
        </w:rPr>
        <w:t xml:space="preserve"> </w:t>
      </w:r>
      <w:r>
        <w:rPr>
          <w:sz w:val="15"/>
        </w:rPr>
        <w:t>cada</w:t>
      </w:r>
      <w:r>
        <w:rPr>
          <w:spacing w:val="-3"/>
          <w:sz w:val="15"/>
        </w:rPr>
        <w:t xml:space="preserve"> </w:t>
      </w:r>
      <w:r>
        <w:rPr>
          <w:sz w:val="15"/>
        </w:rPr>
        <w:t>vez</w:t>
      </w:r>
      <w:r>
        <w:rPr>
          <w:spacing w:val="-3"/>
          <w:sz w:val="15"/>
        </w:rPr>
        <w:t xml:space="preserve"> </w:t>
      </w:r>
      <w:r>
        <w:rPr>
          <w:sz w:val="15"/>
        </w:rPr>
        <w:t>más</w:t>
      </w:r>
      <w:r>
        <w:rPr>
          <w:spacing w:val="-3"/>
          <w:sz w:val="15"/>
        </w:rPr>
        <w:t xml:space="preserve"> </w:t>
      </w:r>
      <w:r>
        <w:rPr>
          <w:sz w:val="15"/>
        </w:rPr>
        <w:t>que</w:t>
      </w:r>
      <w:r>
        <w:rPr>
          <w:spacing w:val="-3"/>
          <w:sz w:val="15"/>
        </w:rPr>
        <w:t xml:space="preserve"> </w:t>
      </w:r>
      <w:r>
        <w:rPr>
          <w:sz w:val="15"/>
        </w:rPr>
        <w:t>se</w:t>
      </w:r>
      <w:r>
        <w:rPr>
          <w:spacing w:val="-3"/>
          <w:sz w:val="15"/>
        </w:rPr>
        <w:t xml:space="preserve"> </w:t>
      </w:r>
      <w:r>
        <w:rPr>
          <w:sz w:val="15"/>
        </w:rPr>
        <w:t>adopte</w:t>
      </w:r>
      <w:r>
        <w:rPr>
          <w:spacing w:val="-3"/>
          <w:sz w:val="15"/>
        </w:rPr>
        <w:t xml:space="preserve"> </w:t>
      </w:r>
      <w:r>
        <w:rPr>
          <w:sz w:val="15"/>
        </w:rPr>
        <w:t>un</w:t>
      </w:r>
      <w:r>
        <w:rPr>
          <w:spacing w:val="-3"/>
          <w:sz w:val="15"/>
        </w:rPr>
        <w:t xml:space="preserve"> </w:t>
      </w:r>
      <w:r>
        <w:rPr>
          <w:sz w:val="15"/>
        </w:rPr>
        <w:t>enfoque</w:t>
      </w:r>
      <w:r>
        <w:rPr>
          <w:spacing w:val="-3"/>
          <w:sz w:val="15"/>
        </w:rPr>
        <w:t xml:space="preserve"> </w:t>
      </w:r>
      <w:r>
        <w:rPr>
          <w:sz w:val="15"/>
        </w:rPr>
        <w:t>inclusivo</w:t>
      </w:r>
      <w:r>
        <w:rPr>
          <w:spacing w:val="-3"/>
          <w:sz w:val="15"/>
        </w:rPr>
        <w:t xml:space="preserve"> </w:t>
      </w:r>
      <w:r>
        <w:rPr>
          <w:sz w:val="15"/>
        </w:rPr>
        <w:t>respecto</w:t>
      </w:r>
      <w:r>
        <w:rPr>
          <w:spacing w:val="-3"/>
          <w:sz w:val="15"/>
        </w:rPr>
        <w:t xml:space="preserve"> </w:t>
      </w:r>
      <w:r>
        <w:rPr>
          <w:sz w:val="15"/>
        </w:rPr>
        <w:t>de</w:t>
      </w:r>
      <w:r>
        <w:rPr>
          <w:spacing w:val="-3"/>
          <w:sz w:val="15"/>
        </w:rPr>
        <w:t xml:space="preserve"> </w:t>
      </w:r>
      <w:r>
        <w:rPr>
          <w:sz w:val="15"/>
        </w:rPr>
        <w:t>las</w:t>
      </w:r>
      <w:r>
        <w:rPr>
          <w:spacing w:val="-3"/>
          <w:sz w:val="15"/>
        </w:rPr>
        <w:t xml:space="preserve"> </w:t>
      </w:r>
      <w:r>
        <w:rPr>
          <w:sz w:val="15"/>
        </w:rPr>
        <w:t>normas</w:t>
      </w:r>
      <w:r>
        <w:rPr>
          <w:spacing w:val="-3"/>
          <w:sz w:val="15"/>
        </w:rPr>
        <w:t xml:space="preserve"> </w:t>
      </w:r>
      <w:r>
        <w:rPr>
          <w:sz w:val="15"/>
        </w:rPr>
        <w:t>nacionales</w:t>
      </w:r>
      <w:r>
        <w:rPr>
          <w:spacing w:val="-3"/>
          <w:sz w:val="15"/>
        </w:rPr>
        <w:t xml:space="preserve"> </w:t>
      </w:r>
      <w:r>
        <w:rPr>
          <w:sz w:val="15"/>
        </w:rPr>
        <w:t>que regulan</w:t>
      </w:r>
      <w:r>
        <w:rPr>
          <w:spacing w:val="-10"/>
          <w:sz w:val="15"/>
        </w:rPr>
        <w:t xml:space="preserve"> </w:t>
      </w:r>
      <w:r>
        <w:rPr>
          <w:sz w:val="15"/>
        </w:rPr>
        <w:t>la</w:t>
      </w:r>
      <w:r>
        <w:rPr>
          <w:spacing w:val="-10"/>
          <w:sz w:val="15"/>
        </w:rPr>
        <w:t xml:space="preserve"> </w:t>
      </w:r>
      <w:r>
        <w:rPr>
          <w:sz w:val="15"/>
        </w:rPr>
        <w:t>legitimación</w:t>
      </w:r>
      <w:r>
        <w:rPr>
          <w:spacing w:val="-10"/>
          <w:sz w:val="15"/>
        </w:rPr>
        <w:t xml:space="preserve"> </w:t>
      </w:r>
      <w:r>
        <w:rPr>
          <w:sz w:val="15"/>
        </w:rPr>
        <w:t>activa</w:t>
      </w:r>
      <w:r>
        <w:rPr>
          <w:spacing w:val="-10"/>
          <w:sz w:val="15"/>
        </w:rPr>
        <w:t xml:space="preserve"> </w:t>
      </w:r>
      <w:r>
        <w:rPr>
          <w:sz w:val="15"/>
        </w:rPr>
        <w:t>y</w:t>
      </w:r>
      <w:r>
        <w:rPr>
          <w:spacing w:val="-10"/>
          <w:sz w:val="15"/>
        </w:rPr>
        <w:t xml:space="preserve"> </w:t>
      </w:r>
      <w:r>
        <w:rPr>
          <w:sz w:val="15"/>
        </w:rPr>
        <w:t>la</w:t>
      </w:r>
      <w:r>
        <w:rPr>
          <w:spacing w:val="-10"/>
          <w:sz w:val="15"/>
        </w:rPr>
        <w:t xml:space="preserve"> </w:t>
      </w:r>
      <w:r>
        <w:rPr>
          <w:sz w:val="15"/>
        </w:rPr>
        <w:t>participación</w:t>
      </w:r>
      <w:r>
        <w:rPr>
          <w:spacing w:val="-10"/>
          <w:sz w:val="15"/>
        </w:rPr>
        <w:t xml:space="preserve"> </w:t>
      </w:r>
      <w:r>
        <w:rPr>
          <w:sz w:val="15"/>
        </w:rPr>
        <w:t>de</w:t>
      </w:r>
      <w:r>
        <w:rPr>
          <w:spacing w:val="-10"/>
          <w:sz w:val="15"/>
        </w:rPr>
        <w:t xml:space="preserve"> </w:t>
      </w:r>
      <w:r>
        <w:rPr>
          <w:sz w:val="15"/>
        </w:rPr>
        <w:t>terceros</w:t>
      </w:r>
      <w:r>
        <w:rPr>
          <w:spacing w:val="-10"/>
          <w:sz w:val="15"/>
        </w:rPr>
        <w:t xml:space="preserve"> </w:t>
      </w:r>
      <w:r>
        <w:rPr>
          <w:sz w:val="15"/>
        </w:rPr>
        <w:t>interesados</w:t>
      </w:r>
      <w:r>
        <w:rPr>
          <w:spacing w:val="-10"/>
          <w:sz w:val="15"/>
        </w:rPr>
        <w:t xml:space="preserve"> </w:t>
      </w:r>
      <w:r>
        <w:rPr>
          <w:sz w:val="15"/>
        </w:rPr>
        <w:t>en</w:t>
      </w:r>
      <w:r>
        <w:rPr>
          <w:spacing w:val="-10"/>
          <w:sz w:val="15"/>
        </w:rPr>
        <w:t xml:space="preserve"> </w:t>
      </w:r>
      <w:r>
        <w:rPr>
          <w:sz w:val="15"/>
        </w:rPr>
        <w:t>demandas</w:t>
      </w:r>
      <w:r>
        <w:rPr>
          <w:spacing w:val="-10"/>
          <w:sz w:val="15"/>
        </w:rPr>
        <w:t xml:space="preserve"> </w:t>
      </w:r>
      <w:r>
        <w:rPr>
          <w:sz w:val="15"/>
        </w:rPr>
        <w:t>por</w:t>
      </w:r>
      <w:r>
        <w:rPr>
          <w:spacing w:val="-10"/>
          <w:sz w:val="15"/>
        </w:rPr>
        <w:t xml:space="preserve"> </w:t>
      </w:r>
      <w:r>
        <w:rPr>
          <w:sz w:val="15"/>
        </w:rPr>
        <w:t>discriminación.679</w:t>
      </w:r>
      <w:r>
        <w:rPr>
          <w:spacing w:val="-10"/>
          <w:sz w:val="15"/>
        </w:rPr>
        <w:t xml:space="preserve"> </w:t>
      </w:r>
      <w:r>
        <w:rPr>
          <w:sz w:val="15"/>
        </w:rPr>
        <w:t>Aunque</w:t>
      </w:r>
      <w:r>
        <w:rPr>
          <w:spacing w:val="-10"/>
          <w:sz w:val="15"/>
        </w:rPr>
        <w:t xml:space="preserve"> </w:t>
      </w:r>
      <w:r>
        <w:rPr>
          <w:sz w:val="15"/>
        </w:rPr>
        <w:t>los</w:t>
      </w:r>
      <w:r>
        <w:rPr>
          <w:spacing w:val="-10"/>
          <w:sz w:val="15"/>
        </w:rPr>
        <w:t xml:space="preserve"> </w:t>
      </w:r>
      <w:r>
        <w:rPr>
          <w:sz w:val="15"/>
        </w:rPr>
        <w:t>detalles</w:t>
      </w:r>
      <w:r>
        <w:rPr>
          <w:spacing w:val="-10"/>
          <w:sz w:val="15"/>
        </w:rPr>
        <w:t xml:space="preserve"> </w:t>
      </w:r>
      <w:r>
        <w:rPr>
          <w:sz w:val="15"/>
        </w:rPr>
        <w:t>específicos de</w:t>
      </w:r>
      <w:r>
        <w:rPr>
          <w:spacing w:val="-3"/>
          <w:sz w:val="15"/>
        </w:rPr>
        <w:t xml:space="preserve"> </w:t>
      </w:r>
      <w:r>
        <w:rPr>
          <w:sz w:val="15"/>
        </w:rPr>
        <w:t>las</w:t>
      </w:r>
      <w:r>
        <w:rPr>
          <w:spacing w:val="-3"/>
          <w:sz w:val="15"/>
        </w:rPr>
        <w:t xml:space="preserve"> </w:t>
      </w:r>
      <w:r>
        <w:rPr>
          <w:sz w:val="15"/>
        </w:rPr>
        <w:t>normas</w:t>
      </w:r>
      <w:r>
        <w:rPr>
          <w:spacing w:val="-3"/>
          <w:sz w:val="15"/>
        </w:rPr>
        <w:t xml:space="preserve"> </w:t>
      </w:r>
      <w:r>
        <w:rPr>
          <w:sz w:val="15"/>
        </w:rPr>
        <w:t>sobre</w:t>
      </w:r>
      <w:r>
        <w:rPr>
          <w:spacing w:val="-3"/>
          <w:sz w:val="15"/>
        </w:rPr>
        <w:t xml:space="preserve"> </w:t>
      </w:r>
      <w:r>
        <w:rPr>
          <w:sz w:val="15"/>
        </w:rPr>
        <w:t>legitimación</w:t>
      </w:r>
      <w:r>
        <w:rPr>
          <w:spacing w:val="-3"/>
          <w:sz w:val="15"/>
        </w:rPr>
        <w:t xml:space="preserve"> </w:t>
      </w:r>
      <w:r>
        <w:rPr>
          <w:sz w:val="15"/>
        </w:rPr>
        <w:t>dependerán</w:t>
      </w:r>
      <w:r>
        <w:rPr>
          <w:spacing w:val="-3"/>
          <w:sz w:val="15"/>
        </w:rPr>
        <w:t xml:space="preserve"> </w:t>
      </w:r>
      <w:r>
        <w:rPr>
          <w:sz w:val="15"/>
        </w:rPr>
        <w:t>del</w:t>
      </w:r>
      <w:r>
        <w:rPr>
          <w:spacing w:val="-3"/>
          <w:sz w:val="15"/>
        </w:rPr>
        <w:t xml:space="preserve"> </w:t>
      </w:r>
      <w:r>
        <w:rPr>
          <w:sz w:val="15"/>
        </w:rPr>
        <w:t>sistema</w:t>
      </w:r>
      <w:r>
        <w:rPr>
          <w:spacing w:val="-3"/>
          <w:sz w:val="15"/>
        </w:rPr>
        <w:t xml:space="preserve"> </w:t>
      </w:r>
      <w:r>
        <w:rPr>
          <w:sz w:val="15"/>
        </w:rPr>
        <w:t>jurídico</w:t>
      </w:r>
      <w:r>
        <w:rPr>
          <w:spacing w:val="-3"/>
          <w:sz w:val="15"/>
        </w:rPr>
        <w:t xml:space="preserve"> </w:t>
      </w:r>
      <w:r>
        <w:rPr>
          <w:sz w:val="15"/>
        </w:rPr>
        <w:t>nacional,</w:t>
      </w:r>
      <w:r>
        <w:rPr>
          <w:spacing w:val="-2"/>
          <w:sz w:val="15"/>
        </w:rPr>
        <w:t xml:space="preserve"> </w:t>
      </w:r>
      <w:r>
        <w:rPr>
          <w:sz w:val="15"/>
        </w:rPr>
        <w:t>para</w:t>
      </w:r>
      <w:r>
        <w:rPr>
          <w:spacing w:val="-3"/>
          <w:sz w:val="15"/>
        </w:rPr>
        <w:t xml:space="preserve"> </w:t>
      </w:r>
      <w:r>
        <w:rPr>
          <w:sz w:val="15"/>
        </w:rPr>
        <w:t>garantizar</w:t>
      </w:r>
      <w:r>
        <w:rPr>
          <w:spacing w:val="-3"/>
          <w:sz w:val="15"/>
        </w:rPr>
        <w:t xml:space="preserve"> </w:t>
      </w:r>
      <w:r>
        <w:rPr>
          <w:sz w:val="15"/>
        </w:rPr>
        <w:t>el</w:t>
      </w:r>
      <w:r>
        <w:rPr>
          <w:spacing w:val="-3"/>
          <w:sz w:val="15"/>
        </w:rPr>
        <w:t xml:space="preserve"> </w:t>
      </w:r>
      <w:r>
        <w:rPr>
          <w:sz w:val="15"/>
        </w:rPr>
        <w:t>acceso</w:t>
      </w:r>
      <w:r>
        <w:rPr>
          <w:spacing w:val="-3"/>
          <w:sz w:val="15"/>
        </w:rPr>
        <w:t xml:space="preserve"> </w:t>
      </w:r>
      <w:r>
        <w:rPr>
          <w:sz w:val="15"/>
        </w:rPr>
        <w:t>a</w:t>
      </w:r>
      <w:r>
        <w:rPr>
          <w:spacing w:val="-3"/>
          <w:sz w:val="15"/>
        </w:rPr>
        <w:t xml:space="preserve"> </w:t>
      </w:r>
      <w:r>
        <w:rPr>
          <w:sz w:val="15"/>
        </w:rPr>
        <w:t>la</w:t>
      </w:r>
      <w:r>
        <w:rPr>
          <w:spacing w:val="-3"/>
          <w:sz w:val="15"/>
        </w:rPr>
        <w:t xml:space="preserve"> </w:t>
      </w:r>
      <w:r>
        <w:rPr>
          <w:sz w:val="15"/>
        </w:rPr>
        <w:t>justicia</w:t>
      </w:r>
      <w:r>
        <w:rPr>
          <w:spacing w:val="-3"/>
          <w:sz w:val="15"/>
        </w:rPr>
        <w:t xml:space="preserve"> </w:t>
      </w:r>
      <w:r>
        <w:rPr>
          <w:sz w:val="15"/>
        </w:rPr>
        <w:t>a</w:t>
      </w:r>
      <w:r>
        <w:rPr>
          <w:spacing w:val="-3"/>
          <w:sz w:val="15"/>
        </w:rPr>
        <w:t xml:space="preserve"> </w:t>
      </w:r>
      <w:r>
        <w:rPr>
          <w:sz w:val="15"/>
        </w:rPr>
        <w:t>las</w:t>
      </w:r>
      <w:r>
        <w:rPr>
          <w:spacing w:val="-3"/>
          <w:sz w:val="15"/>
        </w:rPr>
        <w:t xml:space="preserve"> </w:t>
      </w:r>
      <w:r>
        <w:rPr>
          <w:sz w:val="15"/>
        </w:rPr>
        <w:t>víctimas</w:t>
      </w:r>
      <w:r>
        <w:rPr>
          <w:spacing w:val="-3"/>
          <w:sz w:val="15"/>
        </w:rPr>
        <w:t xml:space="preserve"> </w:t>
      </w:r>
      <w:r>
        <w:rPr>
          <w:sz w:val="15"/>
        </w:rPr>
        <w:t>de discriminación,</w:t>
      </w:r>
      <w:r>
        <w:rPr>
          <w:spacing w:val="-2"/>
          <w:sz w:val="15"/>
        </w:rPr>
        <w:t xml:space="preserve"> </w:t>
      </w:r>
      <w:r>
        <w:rPr>
          <w:sz w:val="15"/>
        </w:rPr>
        <w:t>dichas</w:t>
      </w:r>
      <w:r>
        <w:rPr>
          <w:spacing w:val="-3"/>
          <w:sz w:val="15"/>
        </w:rPr>
        <w:t xml:space="preserve"> </w:t>
      </w:r>
      <w:r>
        <w:rPr>
          <w:sz w:val="15"/>
        </w:rPr>
        <w:t>normas</w:t>
      </w:r>
      <w:r>
        <w:rPr>
          <w:spacing w:val="-3"/>
          <w:sz w:val="15"/>
        </w:rPr>
        <w:t xml:space="preserve"> </w:t>
      </w:r>
      <w:r>
        <w:rPr>
          <w:sz w:val="15"/>
        </w:rPr>
        <w:t>deberían</w:t>
      </w:r>
      <w:r>
        <w:rPr>
          <w:spacing w:val="-3"/>
          <w:sz w:val="15"/>
        </w:rPr>
        <w:t xml:space="preserve"> </w:t>
      </w:r>
      <w:r>
        <w:rPr>
          <w:sz w:val="15"/>
        </w:rPr>
        <w:t>garantizar</w:t>
      </w:r>
      <w:r>
        <w:rPr>
          <w:spacing w:val="-3"/>
          <w:sz w:val="15"/>
        </w:rPr>
        <w:t xml:space="preserve"> </w:t>
      </w:r>
      <w:r>
        <w:rPr>
          <w:sz w:val="15"/>
        </w:rPr>
        <w:t>que</w:t>
      </w:r>
      <w:r>
        <w:rPr>
          <w:spacing w:val="-3"/>
          <w:sz w:val="15"/>
        </w:rPr>
        <w:t xml:space="preserve"> </w:t>
      </w:r>
      <w:r>
        <w:rPr>
          <w:sz w:val="15"/>
        </w:rPr>
        <w:t>las</w:t>
      </w:r>
      <w:r>
        <w:rPr>
          <w:spacing w:val="-3"/>
          <w:sz w:val="15"/>
        </w:rPr>
        <w:t xml:space="preserve"> </w:t>
      </w:r>
      <w:r>
        <w:rPr>
          <w:sz w:val="15"/>
        </w:rPr>
        <w:t>asociaciones,</w:t>
      </w:r>
      <w:r>
        <w:rPr>
          <w:spacing w:val="-2"/>
          <w:sz w:val="15"/>
        </w:rPr>
        <w:t xml:space="preserve"> </w:t>
      </w:r>
      <w:r>
        <w:rPr>
          <w:sz w:val="15"/>
        </w:rPr>
        <w:t>organizaciones</w:t>
      </w:r>
      <w:r>
        <w:rPr>
          <w:spacing w:val="-3"/>
          <w:sz w:val="15"/>
        </w:rPr>
        <w:t xml:space="preserve"> </w:t>
      </w:r>
      <w:r>
        <w:rPr>
          <w:sz w:val="15"/>
        </w:rPr>
        <w:t>y</w:t>
      </w:r>
      <w:r>
        <w:rPr>
          <w:spacing w:val="-3"/>
          <w:sz w:val="15"/>
        </w:rPr>
        <w:t xml:space="preserve"> </w:t>
      </w:r>
      <w:r>
        <w:rPr>
          <w:sz w:val="15"/>
        </w:rPr>
        <w:t>otras</w:t>
      </w:r>
      <w:r>
        <w:rPr>
          <w:spacing w:val="-3"/>
          <w:sz w:val="15"/>
        </w:rPr>
        <w:t xml:space="preserve"> </w:t>
      </w:r>
      <w:r>
        <w:rPr>
          <w:sz w:val="15"/>
        </w:rPr>
        <w:t>entidades</w:t>
      </w:r>
      <w:r>
        <w:rPr>
          <w:spacing w:val="-3"/>
          <w:sz w:val="15"/>
        </w:rPr>
        <w:t xml:space="preserve"> </w:t>
      </w:r>
      <w:r>
        <w:rPr>
          <w:sz w:val="15"/>
        </w:rPr>
        <w:t>jurídicas</w:t>
      </w:r>
      <w:r>
        <w:rPr>
          <w:spacing w:val="-3"/>
          <w:sz w:val="15"/>
        </w:rPr>
        <w:t xml:space="preserve"> </w:t>
      </w:r>
      <w:r>
        <w:rPr>
          <w:sz w:val="15"/>
        </w:rPr>
        <w:t>que</w:t>
      </w:r>
      <w:r>
        <w:rPr>
          <w:spacing w:val="-3"/>
          <w:sz w:val="15"/>
        </w:rPr>
        <w:t xml:space="preserve"> </w:t>
      </w:r>
      <w:r>
        <w:rPr>
          <w:sz w:val="15"/>
        </w:rPr>
        <w:t>tengan</w:t>
      </w:r>
      <w:r>
        <w:rPr>
          <w:spacing w:val="-3"/>
          <w:sz w:val="15"/>
        </w:rPr>
        <w:t xml:space="preserve"> </w:t>
      </w:r>
      <w:r>
        <w:rPr>
          <w:sz w:val="15"/>
        </w:rPr>
        <w:t>un</w:t>
      </w:r>
      <w:r>
        <w:rPr>
          <w:spacing w:val="-3"/>
          <w:sz w:val="15"/>
        </w:rPr>
        <w:t xml:space="preserve"> </w:t>
      </w:r>
      <w:r>
        <w:rPr>
          <w:sz w:val="15"/>
        </w:rPr>
        <w:t>interés legítimo</w:t>
      </w:r>
      <w:r>
        <w:rPr>
          <w:spacing w:val="-3"/>
          <w:sz w:val="15"/>
        </w:rPr>
        <w:t xml:space="preserve"> </w:t>
      </w:r>
      <w:r>
        <w:rPr>
          <w:sz w:val="15"/>
        </w:rPr>
        <w:t>en</w:t>
      </w:r>
      <w:r>
        <w:rPr>
          <w:spacing w:val="-3"/>
          <w:sz w:val="15"/>
        </w:rPr>
        <w:t xml:space="preserve"> </w:t>
      </w:r>
      <w:r>
        <w:rPr>
          <w:sz w:val="15"/>
        </w:rPr>
        <w:t>los</w:t>
      </w:r>
      <w:r>
        <w:rPr>
          <w:spacing w:val="-3"/>
          <w:sz w:val="15"/>
        </w:rPr>
        <w:t xml:space="preserve"> </w:t>
      </w:r>
      <w:r>
        <w:rPr>
          <w:sz w:val="15"/>
        </w:rPr>
        <w:t>derechos</w:t>
      </w:r>
      <w:r>
        <w:rPr>
          <w:spacing w:val="-3"/>
          <w:sz w:val="15"/>
        </w:rPr>
        <w:t xml:space="preserve"> </w:t>
      </w:r>
      <w:r>
        <w:rPr>
          <w:sz w:val="15"/>
        </w:rPr>
        <w:t>a</w:t>
      </w:r>
      <w:r>
        <w:rPr>
          <w:spacing w:val="-3"/>
          <w:sz w:val="15"/>
        </w:rPr>
        <w:t xml:space="preserve"> </w:t>
      </w:r>
      <w:r>
        <w:rPr>
          <w:sz w:val="15"/>
        </w:rPr>
        <w:t>la</w:t>
      </w:r>
      <w:r>
        <w:rPr>
          <w:spacing w:val="-3"/>
          <w:sz w:val="15"/>
        </w:rPr>
        <w:t xml:space="preserve"> </w:t>
      </w:r>
      <w:r>
        <w:rPr>
          <w:sz w:val="15"/>
        </w:rPr>
        <w:t>igualdad</w:t>
      </w:r>
      <w:r>
        <w:rPr>
          <w:spacing w:val="-3"/>
          <w:sz w:val="15"/>
        </w:rPr>
        <w:t xml:space="preserve"> </w:t>
      </w:r>
      <w:r>
        <w:rPr>
          <w:sz w:val="15"/>
        </w:rPr>
        <w:t>y</w:t>
      </w:r>
      <w:r>
        <w:rPr>
          <w:spacing w:val="-3"/>
          <w:sz w:val="15"/>
        </w:rPr>
        <w:t xml:space="preserve"> </w:t>
      </w:r>
      <w:r>
        <w:rPr>
          <w:sz w:val="15"/>
        </w:rPr>
        <w:t>a</w:t>
      </w:r>
      <w:r>
        <w:rPr>
          <w:spacing w:val="-3"/>
          <w:sz w:val="15"/>
        </w:rPr>
        <w:t xml:space="preserve"> </w:t>
      </w:r>
      <w:r>
        <w:rPr>
          <w:sz w:val="15"/>
        </w:rPr>
        <w:t>la</w:t>
      </w:r>
      <w:r>
        <w:rPr>
          <w:spacing w:val="-3"/>
          <w:sz w:val="15"/>
        </w:rPr>
        <w:t xml:space="preserve"> </w:t>
      </w:r>
      <w:r>
        <w:rPr>
          <w:sz w:val="15"/>
        </w:rPr>
        <w:t>no</w:t>
      </w:r>
      <w:r>
        <w:rPr>
          <w:spacing w:val="-3"/>
          <w:sz w:val="15"/>
        </w:rPr>
        <w:t xml:space="preserve"> </w:t>
      </w:r>
      <w:r>
        <w:rPr>
          <w:sz w:val="15"/>
        </w:rPr>
        <w:t>discriminación</w:t>
      </w:r>
      <w:r>
        <w:rPr>
          <w:spacing w:val="-3"/>
          <w:sz w:val="15"/>
        </w:rPr>
        <w:t xml:space="preserve"> </w:t>
      </w:r>
      <w:r>
        <w:rPr>
          <w:sz w:val="15"/>
        </w:rPr>
        <w:t>puedan</w:t>
      </w:r>
      <w:r>
        <w:rPr>
          <w:spacing w:val="-3"/>
          <w:sz w:val="15"/>
        </w:rPr>
        <w:t xml:space="preserve"> </w:t>
      </w:r>
      <w:r>
        <w:rPr>
          <w:sz w:val="15"/>
        </w:rPr>
        <w:t>presentar</w:t>
      </w:r>
      <w:r>
        <w:rPr>
          <w:spacing w:val="-3"/>
          <w:sz w:val="15"/>
        </w:rPr>
        <w:t xml:space="preserve"> </w:t>
      </w:r>
      <w:r>
        <w:rPr>
          <w:sz w:val="15"/>
        </w:rPr>
        <w:t>una</w:t>
      </w:r>
      <w:r>
        <w:rPr>
          <w:spacing w:val="-3"/>
          <w:sz w:val="15"/>
        </w:rPr>
        <w:t xml:space="preserve"> </w:t>
      </w:r>
      <w:r>
        <w:rPr>
          <w:sz w:val="15"/>
        </w:rPr>
        <w:t>reclamación</w:t>
      </w:r>
      <w:r>
        <w:rPr>
          <w:spacing w:val="-3"/>
          <w:sz w:val="15"/>
        </w:rPr>
        <w:t xml:space="preserve"> </w:t>
      </w:r>
      <w:r>
        <w:rPr>
          <w:sz w:val="15"/>
        </w:rPr>
        <w:t>en</w:t>
      </w:r>
      <w:r>
        <w:rPr>
          <w:spacing w:val="-3"/>
          <w:sz w:val="15"/>
        </w:rPr>
        <w:t xml:space="preserve"> </w:t>
      </w:r>
      <w:r>
        <w:rPr>
          <w:sz w:val="15"/>
        </w:rPr>
        <w:t>nombre</w:t>
      </w:r>
      <w:r>
        <w:rPr>
          <w:spacing w:val="-3"/>
          <w:sz w:val="15"/>
        </w:rPr>
        <w:t xml:space="preserve"> </w:t>
      </w:r>
      <w:r>
        <w:rPr>
          <w:sz w:val="15"/>
        </w:rPr>
        <w:t>o</w:t>
      </w:r>
      <w:r>
        <w:rPr>
          <w:spacing w:val="-3"/>
          <w:sz w:val="15"/>
        </w:rPr>
        <w:t xml:space="preserve"> </w:t>
      </w:r>
      <w:r>
        <w:rPr>
          <w:sz w:val="15"/>
        </w:rPr>
        <w:t>en</w:t>
      </w:r>
      <w:r>
        <w:rPr>
          <w:spacing w:val="-3"/>
          <w:sz w:val="15"/>
        </w:rPr>
        <w:t xml:space="preserve"> </w:t>
      </w:r>
      <w:r>
        <w:rPr>
          <w:sz w:val="15"/>
        </w:rPr>
        <w:t>apoyo</w:t>
      </w:r>
      <w:r>
        <w:rPr>
          <w:spacing w:val="-3"/>
          <w:sz w:val="15"/>
        </w:rPr>
        <w:t xml:space="preserve"> </w:t>
      </w:r>
      <w:r>
        <w:rPr>
          <w:sz w:val="15"/>
        </w:rPr>
        <w:t>de</w:t>
      </w:r>
      <w:r>
        <w:rPr>
          <w:spacing w:val="-3"/>
          <w:sz w:val="15"/>
        </w:rPr>
        <w:t xml:space="preserve"> </w:t>
      </w:r>
      <w:r>
        <w:rPr>
          <w:sz w:val="15"/>
        </w:rPr>
        <w:t>las</w:t>
      </w:r>
      <w:r>
        <w:rPr>
          <w:spacing w:val="-3"/>
          <w:sz w:val="15"/>
        </w:rPr>
        <w:t xml:space="preserve"> </w:t>
      </w:r>
      <w:r>
        <w:rPr>
          <w:sz w:val="15"/>
        </w:rPr>
        <w:t>personas sometidas</w:t>
      </w:r>
      <w:r>
        <w:rPr>
          <w:spacing w:val="-3"/>
          <w:sz w:val="15"/>
        </w:rPr>
        <w:t xml:space="preserve"> </w:t>
      </w:r>
      <w:r>
        <w:rPr>
          <w:sz w:val="15"/>
        </w:rPr>
        <w:t>a</w:t>
      </w:r>
      <w:r>
        <w:rPr>
          <w:spacing w:val="-3"/>
          <w:sz w:val="15"/>
        </w:rPr>
        <w:t xml:space="preserve"> </w:t>
      </w:r>
      <w:r>
        <w:rPr>
          <w:sz w:val="15"/>
        </w:rPr>
        <w:t>discriminación,</w:t>
      </w:r>
      <w:r>
        <w:rPr>
          <w:spacing w:val="-2"/>
          <w:sz w:val="15"/>
        </w:rPr>
        <w:t xml:space="preserve"> </w:t>
      </w:r>
      <w:r>
        <w:rPr>
          <w:sz w:val="15"/>
        </w:rPr>
        <w:t>con</w:t>
      </w:r>
      <w:r>
        <w:rPr>
          <w:spacing w:val="-3"/>
          <w:sz w:val="15"/>
        </w:rPr>
        <w:t xml:space="preserve"> </w:t>
      </w:r>
      <w:r>
        <w:rPr>
          <w:sz w:val="15"/>
        </w:rPr>
        <w:t>su</w:t>
      </w:r>
      <w:r>
        <w:rPr>
          <w:spacing w:val="-3"/>
          <w:sz w:val="15"/>
        </w:rPr>
        <w:t xml:space="preserve"> </w:t>
      </w:r>
      <w:r>
        <w:rPr>
          <w:sz w:val="15"/>
        </w:rPr>
        <w:t>aprobación</w:t>
      </w:r>
      <w:r>
        <w:rPr>
          <w:spacing w:val="-3"/>
          <w:sz w:val="15"/>
        </w:rPr>
        <w:t xml:space="preserve"> </w:t>
      </w:r>
      <w:r>
        <w:rPr>
          <w:sz w:val="15"/>
        </w:rPr>
        <w:t>o</w:t>
      </w:r>
      <w:r>
        <w:rPr>
          <w:spacing w:val="-3"/>
          <w:sz w:val="15"/>
        </w:rPr>
        <w:t xml:space="preserve"> </w:t>
      </w:r>
      <w:r>
        <w:rPr>
          <w:sz w:val="15"/>
        </w:rPr>
        <w:t>en</w:t>
      </w:r>
      <w:r>
        <w:rPr>
          <w:spacing w:val="-3"/>
          <w:sz w:val="15"/>
        </w:rPr>
        <w:t xml:space="preserve"> </w:t>
      </w:r>
      <w:r>
        <w:rPr>
          <w:sz w:val="15"/>
        </w:rPr>
        <w:t>su</w:t>
      </w:r>
      <w:r>
        <w:rPr>
          <w:spacing w:val="-3"/>
          <w:sz w:val="15"/>
        </w:rPr>
        <w:t xml:space="preserve"> </w:t>
      </w:r>
      <w:r>
        <w:rPr>
          <w:sz w:val="15"/>
        </w:rPr>
        <w:t>nombre,</w:t>
      </w:r>
      <w:r>
        <w:rPr>
          <w:spacing w:val="-3"/>
          <w:sz w:val="15"/>
        </w:rPr>
        <w:t xml:space="preserve"> </w:t>
      </w:r>
      <w:r>
        <w:rPr>
          <w:sz w:val="15"/>
        </w:rPr>
        <w:t>en</w:t>
      </w:r>
      <w:r>
        <w:rPr>
          <w:spacing w:val="-3"/>
          <w:sz w:val="15"/>
        </w:rPr>
        <w:t xml:space="preserve"> </w:t>
      </w:r>
      <w:r>
        <w:rPr>
          <w:sz w:val="15"/>
        </w:rPr>
        <w:t>cualquier</w:t>
      </w:r>
      <w:r>
        <w:rPr>
          <w:spacing w:val="-3"/>
          <w:sz w:val="15"/>
        </w:rPr>
        <w:t xml:space="preserve"> </w:t>
      </w:r>
      <w:r>
        <w:rPr>
          <w:sz w:val="15"/>
        </w:rPr>
        <w:t>procedimiento</w:t>
      </w:r>
      <w:r>
        <w:rPr>
          <w:spacing w:val="-3"/>
          <w:sz w:val="15"/>
        </w:rPr>
        <w:t xml:space="preserve"> </w:t>
      </w:r>
      <w:r>
        <w:rPr>
          <w:sz w:val="15"/>
        </w:rPr>
        <w:t>judicial</w:t>
      </w:r>
      <w:r>
        <w:rPr>
          <w:spacing w:val="-3"/>
          <w:sz w:val="15"/>
        </w:rPr>
        <w:t xml:space="preserve"> </w:t>
      </w:r>
      <w:r>
        <w:rPr>
          <w:sz w:val="15"/>
        </w:rPr>
        <w:t>o</w:t>
      </w:r>
      <w:r>
        <w:rPr>
          <w:spacing w:val="-3"/>
          <w:sz w:val="15"/>
        </w:rPr>
        <w:t xml:space="preserve"> </w:t>
      </w:r>
      <w:r>
        <w:rPr>
          <w:sz w:val="15"/>
        </w:rPr>
        <w:t>administrativo.</w:t>
      </w:r>
    </w:p>
    <w:p w14:paraId="2DE43522" w14:textId="77777777" w:rsidR="0014798C" w:rsidRDefault="004E1F0B">
      <w:pPr>
        <w:pStyle w:val="Textoindependiente"/>
        <w:spacing w:before="166"/>
        <w:rPr>
          <w:sz w:val="20"/>
        </w:rPr>
      </w:pPr>
      <w:r>
        <w:rPr>
          <w:noProof/>
        </w:rPr>
        <mc:AlternateContent>
          <mc:Choice Requires="wpg">
            <w:drawing>
              <wp:anchor distT="0" distB="0" distL="0" distR="0" simplePos="0" relativeHeight="251658537" behindDoc="1" locked="0" layoutInCell="1" allowOverlap="1" wp14:anchorId="4C8B7123" wp14:editId="1C8018F8">
                <wp:simplePos x="0" y="0"/>
                <wp:positionH relativeFrom="page">
                  <wp:posOffset>790692</wp:posOffset>
                </wp:positionH>
                <wp:positionV relativeFrom="paragraph">
                  <wp:posOffset>267066</wp:posOffset>
                </wp:positionV>
                <wp:extent cx="5970905" cy="3096260"/>
                <wp:effectExtent l="0" t="0" r="0" b="0"/>
                <wp:wrapTopAndBottom/>
                <wp:docPr id="206" name="Group 20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970905" cy="3096260"/>
                          <a:chOff x="0" y="0"/>
                          <a:chExt cx="5970905" cy="3096260"/>
                        </a:xfrm>
                      </wpg:grpSpPr>
                      <pic:pic xmlns:pic="http://schemas.openxmlformats.org/drawingml/2006/picture">
                        <pic:nvPicPr>
                          <pic:cNvPr id="207" name="Image 207"/>
                          <pic:cNvPicPr/>
                        </pic:nvPicPr>
                        <pic:blipFill>
                          <a:blip r:embed="rId187" cstate="print"/>
                          <a:stretch>
                            <a:fillRect/>
                          </a:stretch>
                        </pic:blipFill>
                        <pic:spPr>
                          <a:xfrm>
                            <a:off x="0" y="0"/>
                            <a:ext cx="5970623" cy="3095920"/>
                          </a:xfrm>
                          <a:prstGeom prst="rect">
                            <a:avLst/>
                          </a:prstGeom>
                        </pic:spPr>
                      </pic:pic>
                      <wps:wsp>
                        <wps:cNvPr id="208" name="Textbox 208"/>
                        <wps:cNvSpPr txBox="1"/>
                        <wps:spPr>
                          <a:xfrm>
                            <a:off x="179097" y="194894"/>
                            <a:ext cx="5424170" cy="993140"/>
                          </a:xfrm>
                          <a:prstGeom prst="rect">
                            <a:avLst/>
                          </a:prstGeom>
                        </wps:spPr>
                        <wps:txbx>
                          <w:txbxContent>
                            <w:p w14:paraId="14803FE0" w14:textId="77777777" w:rsidR="0014798C" w:rsidRDefault="004E1F0B">
                              <w:pPr>
                                <w:spacing w:line="166" w:lineRule="exact"/>
                                <w:rPr>
                                  <w:sz w:val="15"/>
                                </w:rPr>
                              </w:pPr>
                              <w:r>
                                <w:rPr>
                                  <w:spacing w:val="-2"/>
                                  <w:sz w:val="15"/>
                                </w:rPr>
                                <w:t>VICTIMIDAD</w:t>
                              </w:r>
                              <w:r>
                                <w:rPr>
                                  <w:spacing w:val="-9"/>
                                  <w:sz w:val="15"/>
                                </w:rPr>
                                <w:t xml:space="preserve"> </w:t>
                              </w:r>
                              <w:r>
                                <w:rPr>
                                  <w:spacing w:val="-2"/>
                                  <w:sz w:val="15"/>
                                </w:rPr>
                                <w:t>Y</w:t>
                              </w:r>
                              <w:r>
                                <w:rPr>
                                  <w:spacing w:val="-6"/>
                                  <w:sz w:val="15"/>
                                </w:rPr>
                                <w:t xml:space="preserve"> </w:t>
                              </w:r>
                              <w:r>
                                <w:rPr>
                                  <w:spacing w:val="-2"/>
                                  <w:sz w:val="15"/>
                                </w:rPr>
                                <w:t>SITUACIÓN:</w:t>
                              </w:r>
                              <w:r>
                                <w:rPr>
                                  <w:spacing w:val="-5"/>
                                  <w:sz w:val="15"/>
                                </w:rPr>
                                <w:t xml:space="preserve"> </w:t>
                              </w:r>
                              <w:r>
                                <w:rPr>
                                  <w:spacing w:val="-2"/>
                                  <w:sz w:val="15"/>
                                </w:rPr>
                                <w:t>IGUAL</w:t>
                              </w:r>
                              <w:r>
                                <w:rPr>
                                  <w:spacing w:val="-7"/>
                                  <w:sz w:val="15"/>
                                </w:rPr>
                                <w:t xml:space="preserve"> </w:t>
                              </w:r>
                              <w:r>
                                <w:rPr>
                                  <w:spacing w:val="-2"/>
                                  <w:sz w:val="15"/>
                                </w:rPr>
                                <w:t>CAPACIDAD</w:t>
                              </w:r>
                              <w:r>
                                <w:rPr>
                                  <w:spacing w:val="-6"/>
                                  <w:sz w:val="15"/>
                                </w:rPr>
                                <w:t xml:space="preserve"> </w:t>
                              </w:r>
                              <w:r>
                                <w:rPr>
                                  <w:spacing w:val="-2"/>
                                  <w:sz w:val="15"/>
                                </w:rPr>
                                <w:t>JURÍDICA</w:t>
                              </w:r>
                            </w:p>
                            <w:p w14:paraId="171F3078" w14:textId="77777777" w:rsidR="0014798C" w:rsidRDefault="004E1F0B">
                              <w:pPr>
                                <w:spacing w:before="147" w:line="250" w:lineRule="atLeast"/>
                                <w:ind w:left="7" w:firstLine="3"/>
                                <w:rPr>
                                  <w:sz w:val="15"/>
                                </w:rPr>
                              </w:pPr>
                              <w:r>
                                <w:rPr>
                                  <w:sz w:val="15"/>
                                </w:rPr>
                                <w:t>A</w:t>
                              </w:r>
                              <w:r>
                                <w:rPr>
                                  <w:spacing w:val="-8"/>
                                  <w:sz w:val="15"/>
                                </w:rPr>
                                <w:t xml:space="preserve"> </w:t>
                              </w:r>
                              <w:r>
                                <w:rPr>
                                  <w:sz w:val="15"/>
                                </w:rPr>
                                <w:t>ciertos</w:t>
                              </w:r>
                              <w:r>
                                <w:rPr>
                                  <w:spacing w:val="-8"/>
                                  <w:sz w:val="15"/>
                                </w:rPr>
                                <w:t xml:space="preserve"> </w:t>
                              </w:r>
                              <w:r>
                                <w:rPr>
                                  <w:sz w:val="15"/>
                                </w:rPr>
                                <w:t>grupos</w:t>
                              </w:r>
                              <w:r>
                                <w:rPr>
                                  <w:spacing w:val="-8"/>
                                  <w:sz w:val="15"/>
                                </w:rPr>
                                <w:t xml:space="preserve"> </w:t>
                              </w:r>
                              <w:r>
                                <w:rPr>
                                  <w:sz w:val="15"/>
                                </w:rPr>
                                <w:t>de</w:t>
                              </w:r>
                              <w:r>
                                <w:rPr>
                                  <w:spacing w:val="-8"/>
                                  <w:sz w:val="15"/>
                                </w:rPr>
                                <w:t xml:space="preserve"> </w:t>
                              </w:r>
                              <w:r>
                                <w:rPr>
                                  <w:sz w:val="15"/>
                                </w:rPr>
                                <w:t>la</w:t>
                              </w:r>
                              <w:r>
                                <w:rPr>
                                  <w:spacing w:val="-8"/>
                                  <w:sz w:val="15"/>
                                </w:rPr>
                                <w:t xml:space="preserve"> </w:t>
                              </w:r>
                              <w:r>
                                <w:rPr>
                                  <w:sz w:val="15"/>
                                </w:rPr>
                                <w:t>sociedad</w:t>
                              </w:r>
                              <w:r>
                                <w:rPr>
                                  <w:spacing w:val="-8"/>
                                  <w:sz w:val="15"/>
                                </w:rPr>
                                <w:t xml:space="preserve"> </w:t>
                              </w:r>
                              <w:r>
                                <w:rPr>
                                  <w:sz w:val="15"/>
                                </w:rPr>
                                <w:t>se</w:t>
                              </w:r>
                              <w:r>
                                <w:rPr>
                                  <w:spacing w:val="-8"/>
                                  <w:sz w:val="15"/>
                                </w:rPr>
                                <w:t xml:space="preserve"> </w:t>
                              </w:r>
                              <w:r>
                                <w:rPr>
                                  <w:sz w:val="15"/>
                                </w:rPr>
                                <w:t>les</w:t>
                              </w:r>
                              <w:r>
                                <w:rPr>
                                  <w:spacing w:val="-8"/>
                                  <w:sz w:val="15"/>
                                </w:rPr>
                                <w:t xml:space="preserve"> </w:t>
                              </w:r>
                              <w:r>
                                <w:rPr>
                                  <w:sz w:val="15"/>
                                </w:rPr>
                                <w:t>niega</w:t>
                              </w:r>
                              <w:r>
                                <w:rPr>
                                  <w:spacing w:val="-8"/>
                                  <w:sz w:val="15"/>
                                </w:rPr>
                                <w:t xml:space="preserve"> </w:t>
                              </w:r>
                              <w:r>
                                <w:rPr>
                                  <w:sz w:val="15"/>
                                </w:rPr>
                                <w:t>legitimación</w:t>
                              </w:r>
                              <w:r>
                                <w:rPr>
                                  <w:spacing w:val="-8"/>
                                  <w:sz w:val="15"/>
                                </w:rPr>
                                <w:t xml:space="preserve"> </w:t>
                              </w:r>
                              <w:r>
                                <w:rPr>
                                  <w:sz w:val="15"/>
                                </w:rPr>
                                <w:t>activa</w:t>
                              </w:r>
                              <w:r>
                                <w:rPr>
                                  <w:spacing w:val="-8"/>
                                  <w:sz w:val="15"/>
                                </w:rPr>
                                <w:t xml:space="preserve"> </w:t>
                              </w:r>
                              <w:r>
                                <w:rPr>
                                  <w:sz w:val="15"/>
                                </w:rPr>
                                <w:t>debido</w:t>
                              </w:r>
                              <w:r>
                                <w:rPr>
                                  <w:spacing w:val="-8"/>
                                  <w:sz w:val="15"/>
                                </w:rPr>
                                <w:t xml:space="preserve"> </w:t>
                              </w:r>
                              <w:r>
                                <w:rPr>
                                  <w:sz w:val="15"/>
                                </w:rPr>
                                <w:t>a</w:t>
                              </w:r>
                              <w:r>
                                <w:rPr>
                                  <w:spacing w:val="-8"/>
                                  <w:sz w:val="15"/>
                                </w:rPr>
                                <w:t xml:space="preserve"> </w:t>
                              </w:r>
                              <w:r>
                                <w:rPr>
                                  <w:sz w:val="15"/>
                                </w:rPr>
                                <w:t>disposiciones</w:t>
                              </w:r>
                              <w:r>
                                <w:rPr>
                                  <w:spacing w:val="-8"/>
                                  <w:sz w:val="15"/>
                                </w:rPr>
                                <w:t xml:space="preserve"> </w:t>
                              </w:r>
                              <w:r>
                                <w:rPr>
                                  <w:sz w:val="15"/>
                                </w:rPr>
                                <w:t>que</w:t>
                              </w:r>
                              <w:r>
                                <w:rPr>
                                  <w:spacing w:val="-8"/>
                                  <w:sz w:val="15"/>
                                </w:rPr>
                                <w:t xml:space="preserve"> </w:t>
                              </w:r>
                              <w:r>
                                <w:rPr>
                                  <w:sz w:val="15"/>
                                </w:rPr>
                                <w:t>permiten</w:t>
                              </w:r>
                              <w:r>
                                <w:rPr>
                                  <w:spacing w:val="-8"/>
                                  <w:sz w:val="15"/>
                                </w:rPr>
                                <w:t xml:space="preserve"> </w:t>
                              </w:r>
                              <w:r>
                                <w:rPr>
                                  <w:sz w:val="15"/>
                                </w:rPr>
                                <w:t>la</w:t>
                              </w:r>
                              <w:r>
                                <w:rPr>
                                  <w:spacing w:val="-8"/>
                                  <w:sz w:val="15"/>
                                </w:rPr>
                                <w:t xml:space="preserve"> </w:t>
                              </w:r>
                              <w:r>
                                <w:rPr>
                                  <w:sz w:val="15"/>
                                </w:rPr>
                                <w:t>transferencia</w:t>
                              </w:r>
                              <w:r>
                                <w:rPr>
                                  <w:spacing w:val="-8"/>
                                  <w:sz w:val="15"/>
                                </w:rPr>
                                <w:t xml:space="preserve"> </w:t>
                              </w:r>
                              <w:r>
                                <w:rPr>
                                  <w:sz w:val="15"/>
                                </w:rPr>
                                <w:t>del</w:t>
                              </w:r>
                              <w:r>
                                <w:rPr>
                                  <w:spacing w:val="-8"/>
                                  <w:sz w:val="15"/>
                                </w:rPr>
                                <w:t xml:space="preserve"> </w:t>
                              </w:r>
                              <w:r>
                                <w:rPr>
                                  <w:sz w:val="15"/>
                                </w:rPr>
                                <w:t>poder</w:t>
                              </w:r>
                              <w:r>
                                <w:rPr>
                                  <w:spacing w:val="-8"/>
                                  <w:sz w:val="15"/>
                                </w:rPr>
                                <w:t xml:space="preserve"> </w:t>
                              </w:r>
                              <w:r>
                                <w:rPr>
                                  <w:sz w:val="15"/>
                                </w:rPr>
                                <w:t>de toma</w:t>
                              </w:r>
                              <w:r>
                                <w:rPr>
                                  <w:spacing w:val="-3"/>
                                  <w:sz w:val="15"/>
                                </w:rPr>
                                <w:t xml:space="preserve"> </w:t>
                              </w:r>
                              <w:r>
                                <w:rPr>
                                  <w:sz w:val="15"/>
                                </w:rPr>
                                <w:t>de</w:t>
                              </w:r>
                              <w:r>
                                <w:rPr>
                                  <w:spacing w:val="-3"/>
                                  <w:sz w:val="15"/>
                                </w:rPr>
                                <w:t xml:space="preserve"> </w:t>
                              </w:r>
                              <w:r>
                                <w:rPr>
                                  <w:sz w:val="15"/>
                                </w:rPr>
                                <w:t>decisiones</w:t>
                              </w:r>
                              <w:r>
                                <w:rPr>
                                  <w:spacing w:val="-3"/>
                                  <w:sz w:val="15"/>
                                </w:rPr>
                                <w:t xml:space="preserve"> </w:t>
                              </w:r>
                              <w:r>
                                <w:rPr>
                                  <w:sz w:val="15"/>
                                </w:rPr>
                                <w:t>a</w:t>
                              </w:r>
                              <w:r>
                                <w:rPr>
                                  <w:spacing w:val="-3"/>
                                  <w:sz w:val="15"/>
                                </w:rPr>
                                <w:t xml:space="preserve"> </w:t>
                              </w:r>
                              <w:r>
                                <w:rPr>
                                  <w:sz w:val="15"/>
                                </w:rPr>
                                <w:t>otra</w:t>
                              </w:r>
                              <w:r>
                                <w:rPr>
                                  <w:spacing w:val="-3"/>
                                  <w:sz w:val="15"/>
                                </w:rPr>
                                <w:t xml:space="preserve"> </w:t>
                              </w:r>
                              <w:r>
                                <w:rPr>
                                  <w:sz w:val="15"/>
                                </w:rPr>
                                <w:t>persona</w:t>
                              </w:r>
                              <w:r>
                                <w:rPr>
                                  <w:spacing w:val="-3"/>
                                  <w:sz w:val="15"/>
                                </w:rPr>
                                <w:t xml:space="preserve"> </w:t>
                              </w:r>
                              <w:r>
                                <w:rPr>
                                  <w:sz w:val="15"/>
                                </w:rPr>
                                <w:t>o</w:t>
                              </w:r>
                              <w:r>
                                <w:rPr>
                                  <w:spacing w:val="-3"/>
                                  <w:sz w:val="15"/>
                                </w:rPr>
                                <w:t xml:space="preserve"> </w:t>
                              </w:r>
                              <w:r>
                                <w:rPr>
                                  <w:sz w:val="15"/>
                                </w:rPr>
                                <w:t>institución.</w:t>
                              </w:r>
                              <w:r>
                                <w:rPr>
                                  <w:spacing w:val="-2"/>
                                  <w:sz w:val="15"/>
                                </w:rPr>
                                <w:t xml:space="preserve"> </w:t>
                              </w:r>
                              <w:r>
                                <w:rPr>
                                  <w:sz w:val="15"/>
                                </w:rPr>
                                <w:t>Este</w:t>
                              </w:r>
                              <w:r>
                                <w:rPr>
                                  <w:spacing w:val="-3"/>
                                  <w:sz w:val="15"/>
                                </w:rPr>
                                <w:t xml:space="preserve"> </w:t>
                              </w:r>
                              <w:r>
                                <w:rPr>
                                  <w:sz w:val="15"/>
                                </w:rPr>
                                <w:t>es</w:t>
                              </w:r>
                              <w:r>
                                <w:rPr>
                                  <w:spacing w:val="-3"/>
                                  <w:sz w:val="15"/>
                                </w:rPr>
                                <w:t xml:space="preserve"> </w:t>
                              </w:r>
                              <w:r>
                                <w:rPr>
                                  <w:sz w:val="15"/>
                                </w:rPr>
                                <w:t>particularmente</w:t>
                              </w:r>
                              <w:r>
                                <w:rPr>
                                  <w:spacing w:val="-3"/>
                                  <w:sz w:val="15"/>
                                </w:rPr>
                                <w:t xml:space="preserve"> </w:t>
                              </w:r>
                              <w:r>
                                <w:rPr>
                                  <w:sz w:val="15"/>
                                </w:rPr>
                                <w:t>el</w:t>
                              </w:r>
                              <w:r>
                                <w:rPr>
                                  <w:spacing w:val="-3"/>
                                  <w:sz w:val="15"/>
                                </w:rPr>
                                <w:t xml:space="preserve"> </w:t>
                              </w:r>
                              <w:r>
                                <w:rPr>
                                  <w:sz w:val="15"/>
                                </w:rPr>
                                <w:t>caso</w:t>
                              </w:r>
                              <w:r>
                                <w:rPr>
                                  <w:spacing w:val="-3"/>
                                  <w:sz w:val="15"/>
                                </w:rPr>
                                <w:t xml:space="preserve"> </w:t>
                              </w:r>
                              <w:r>
                                <w:rPr>
                                  <w:sz w:val="15"/>
                                </w:rPr>
                                <w:t>de</w:t>
                              </w:r>
                              <w:r>
                                <w:rPr>
                                  <w:spacing w:val="-3"/>
                                  <w:sz w:val="15"/>
                                </w:rPr>
                                <w:t xml:space="preserve"> </w:t>
                              </w:r>
                              <w:r>
                                <w:rPr>
                                  <w:sz w:val="15"/>
                                </w:rPr>
                                <w:t>las</w:t>
                              </w:r>
                              <w:r>
                                <w:rPr>
                                  <w:spacing w:val="-3"/>
                                  <w:sz w:val="15"/>
                                </w:rPr>
                                <w:t xml:space="preserve"> </w:t>
                              </w:r>
                              <w:r>
                                <w:rPr>
                                  <w:sz w:val="15"/>
                                </w:rPr>
                                <w:t>personas</w:t>
                              </w:r>
                              <w:r>
                                <w:rPr>
                                  <w:spacing w:val="-3"/>
                                  <w:sz w:val="15"/>
                                </w:rPr>
                                <w:t xml:space="preserve"> </w:t>
                              </w:r>
                              <w:r>
                                <w:rPr>
                                  <w:sz w:val="15"/>
                                </w:rPr>
                                <w:t>con</w:t>
                              </w:r>
                              <w:r>
                                <w:rPr>
                                  <w:spacing w:val="-3"/>
                                  <w:sz w:val="15"/>
                                </w:rPr>
                                <w:t xml:space="preserve"> </w:t>
                              </w:r>
                              <w:r>
                                <w:rPr>
                                  <w:sz w:val="15"/>
                                </w:rPr>
                                <w:t>discapacidad</w:t>
                              </w:r>
                              <w:r>
                                <w:rPr>
                                  <w:spacing w:val="-3"/>
                                  <w:sz w:val="15"/>
                                </w:rPr>
                                <w:t xml:space="preserve"> </w:t>
                              </w:r>
                              <w:r>
                                <w:rPr>
                                  <w:sz w:val="15"/>
                                </w:rPr>
                                <w:t>intelectual</w:t>
                              </w:r>
                              <w:r>
                                <w:rPr>
                                  <w:spacing w:val="-3"/>
                                  <w:sz w:val="15"/>
                                </w:rPr>
                                <w:t xml:space="preserve"> </w:t>
                              </w:r>
                              <w:r>
                                <w:rPr>
                                  <w:sz w:val="15"/>
                                </w:rPr>
                                <w:t>o psicosocial,</w:t>
                              </w:r>
                              <w:r>
                                <w:rPr>
                                  <w:spacing w:val="-3"/>
                                  <w:sz w:val="15"/>
                                </w:rPr>
                                <w:t xml:space="preserve"> </w:t>
                              </w:r>
                              <w:r>
                                <w:rPr>
                                  <w:sz w:val="15"/>
                                </w:rPr>
                                <w:t>aunque</w:t>
                              </w:r>
                              <w:r>
                                <w:rPr>
                                  <w:spacing w:val="-4"/>
                                  <w:sz w:val="15"/>
                                </w:rPr>
                                <w:t xml:space="preserve"> </w:t>
                              </w:r>
                              <w:r>
                                <w:rPr>
                                  <w:sz w:val="15"/>
                                </w:rPr>
                                <w:t>la</w:t>
                              </w:r>
                              <w:r>
                                <w:rPr>
                                  <w:spacing w:val="-4"/>
                                  <w:sz w:val="15"/>
                                </w:rPr>
                                <w:t xml:space="preserve"> </w:t>
                              </w:r>
                              <w:r>
                                <w:rPr>
                                  <w:sz w:val="15"/>
                                </w:rPr>
                                <w:t>denegación</w:t>
                              </w:r>
                              <w:r>
                                <w:rPr>
                                  <w:spacing w:val="-4"/>
                                  <w:sz w:val="15"/>
                                </w:rPr>
                                <w:t xml:space="preserve"> </w:t>
                              </w:r>
                              <w:r>
                                <w:rPr>
                                  <w:sz w:val="15"/>
                                </w:rPr>
                                <w:t>discriminatoria</w:t>
                              </w:r>
                              <w:r>
                                <w:rPr>
                                  <w:spacing w:val="-4"/>
                                  <w:sz w:val="15"/>
                                </w:rPr>
                                <w:t xml:space="preserve"> </w:t>
                              </w:r>
                              <w:r>
                                <w:rPr>
                                  <w:sz w:val="15"/>
                                </w:rPr>
                                <w:t>de</w:t>
                              </w:r>
                              <w:r>
                                <w:rPr>
                                  <w:spacing w:val="-4"/>
                                  <w:sz w:val="15"/>
                                </w:rPr>
                                <w:t xml:space="preserve"> </w:t>
                              </w:r>
                              <w:r>
                                <w:rPr>
                                  <w:sz w:val="15"/>
                                </w:rPr>
                                <w:t>la</w:t>
                              </w:r>
                              <w:r>
                                <w:rPr>
                                  <w:spacing w:val="-4"/>
                                  <w:sz w:val="15"/>
                                </w:rPr>
                                <w:t xml:space="preserve"> </w:t>
                              </w:r>
                              <w:r>
                                <w:rPr>
                                  <w:sz w:val="15"/>
                                </w:rPr>
                                <w:t>capacidad</w:t>
                              </w:r>
                              <w:r>
                                <w:rPr>
                                  <w:spacing w:val="-4"/>
                                  <w:sz w:val="15"/>
                                </w:rPr>
                                <w:t xml:space="preserve"> </w:t>
                              </w:r>
                              <w:r>
                                <w:rPr>
                                  <w:sz w:val="15"/>
                                </w:rPr>
                                <w:t>jurídica</w:t>
                              </w:r>
                              <w:r>
                                <w:rPr>
                                  <w:spacing w:val="-4"/>
                                  <w:sz w:val="15"/>
                                </w:rPr>
                                <w:t xml:space="preserve"> </w:t>
                              </w:r>
                              <w:r>
                                <w:rPr>
                                  <w:sz w:val="15"/>
                                </w:rPr>
                                <w:t>también</w:t>
                              </w:r>
                              <w:r>
                                <w:rPr>
                                  <w:spacing w:val="-4"/>
                                  <w:sz w:val="15"/>
                                </w:rPr>
                                <w:t xml:space="preserve"> </w:t>
                              </w:r>
                              <w:r>
                                <w:rPr>
                                  <w:sz w:val="15"/>
                                </w:rPr>
                                <w:t>puede</w:t>
                              </w:r>
                              <w:r>
                                <w:rPr>
                                  <w:spacing w:val="-4"/>
                                  <w:sz w:val="15"/>
                                </w:rPr>
                                <w:t xml:space="preserve"> </w:t>
                              </w:r>
                              <w:r>
                                <w:rPr>
                                  <w:sz w:val="15"/>
                                </w:rPr>
                                <w:t>ocurrir</w:t>
                              </w:r>
                              <w:r>
                                <w:rPr>
                                  <w:spacing w:val="-4"/>
                                  <w:sz w:val="15"/>
                                </w:rPr>
                                <w:t xml:space="preserve"> </w:t>
                              </w:r>
                              <w:r>
                                <w:rPr>
                                  <w:sz w:val="15"/>
                                </w:rPr>
                                <w:t>por</w:t>
                              </w:r>
                              <w:r>
                                <w:rPr>
                                  <w:spacing w:val="-4"/>
                                  <w:sz w:val="15"/>
                                </w:rPr>
                                <w:t xml:space="preserve"> </w:t>
                              </w:r>
                              <w:r>
                                <w:rPr>
                                  <w:sz w:val="15"/>
                                </w:rPr>
                                <w:t>otros</w:t>
                              </w:r>
                              <w:r>
                                <w:rPr>
                                  <w:spacing w:val="-4"/>
                                  <w:sz w:val="15"/>
                                </w:rPr>
                                <w:t xml:space="preserve"> </w:t>
                              </w:r>
                              <w:r>
                                <w:rPr>
                                  <w:sz w:val="15"/>
                                </w:rPr>
                                <w:t>motivos</w:t>
                              </w:r>
                              <w:r>
                                <w:rPr>
                                  <w:spacing w:val="-4"/>
                                  <w:sz w:val="15"/>
                                </w:rPr>
                                <w:t xml:space="preserve"> </w:t>
                              </w:r>
                              <w:r>
                                <w:rPr>
                                  <w:sz w:val="15"/>
                                </w:rPr>
                                <w:t>o</w:t>
                              </w:r>
                              <w:r>
                                <w:rPr>
                                  <w:spacing w:val="-4"/>
                                  <w:sz w:val="15"/>
                                </w:rPr>
                                <w:t xml:space="preserve"> </w:t>
                              </w:r>
                              <w:r>
                                <w:rPr>
                                  <w:sz w:val="15"/>
                                </w:rPr>
                                <w:t>por</w:t>
                              </w:r>
                              <w:r>
                                <w:rPr>
                                  <w:spacing w:val="-4"/>
                                  <w:sz w:val="15"/>
                                </w:rPr>
                                <w:t xml:space="preserve"> </w:t>
                              </w:r>
                              <w:r>
                                <w:rPr>
                                  <w:sz w:val="15"/>
                                </w:rPr>
                                <w:t>una combinación</w:t>
                              </w:r>
                              <w:r>
                                <w:rPr>
                                  <w:spacing w:val="-10"/>
                                  <w:sz w:val="15"/>
                                </w:rPr>
                                <w:t xml:space="preserve"> </w:t>
                              </w:r>
                              <w:r>
                                <w:rPr>
                                  <w:sz w:val="15"/>
                                </w:rPr>
                                <w:t>de</w:t>
                              </w:r>
                              <w:r>
                                <w:rPr>
                                  <w:spacing w:val="-10"/>
                                  <w:sz w:val="15"/>
                                </w:rPr>
                                <w:t xml:space="preserve"> </w:t>
                              </w:r>
                              <w:r>
                                <w:rPr>
                                  <w:sz w:val="15"/>
                                </w:rPr>
                                <w:t>ellos.</w:t>
                              </w:r>
                              <w:r>
                                <w:rPr>
                                  <w:spacing w:val="-10"/>
                                  <w:sz w:val="15"/>
                                </w:rPr>
                                <w:t xml:space="preserve"> </w:t>
                              </w:r>
                              <w:r>
                                <w:rPr>
                                  <w:sz w:val="15"/>
                                </w:rPr>
                                <w:t>La</w:t>
                              </w:r>
                              <w:r>
                                <w:rPr>
                                  <w:spacing w:val="-10"/>
                                  <w:sz w:val="15"/>
                                </w:rPr>
                                <w:t xml:space="preserve"> </w:t>
                              </w:r>
                              <w:r>
                                <w:rPr>
                                  <w:sz w:val="15"/>
                                </w:rPr>
                                <w:t>comprensión</w:t>
                              </w:r>
                              <w:r>
                                <w:rPr>
                                  <w:spacing w:val="-10"/>
                                  <w:sz w:val="15"/>
                                </w:rPr>
                                <w:t xml:space="preserve"> </w:t>
                              </w:r>
                              <w:r>
                                <w:rPr>
                                  <w:sz w:val="15"/>
                                </w:rPr>
                                <w:t>del</w:t>
                              </w:r>
                              <w:r>
                                <w:rPr>
                                  <w:spacing w:val="-10"/>
                                  <w:sz w:val="15"/>
                                </w:rPr>
                                <w:t xml:space="preserve"> </w:t>
                              </w:r>
                              <w:r>
                                <w:rPr>
                                  <w:sz w:val="15"/>
                                </w:rPr>
                                <w:t>requisito</w:t>
                              </w:r>
                              <w:r>
                                <w:rPr>
                                  <w:spacing w:val="-10"/>
                                  <w:sz w:val="15"/>
                                </w:rPr>
                                <w:t xml:space="preserve"> </w:t>
                              </w:r>
                              <w:r>
                                <w:rPr>
                                  <w:sz w:val="15"/>
                                </w:rPr>
                                <w:t>de</w:t>
                              </w:r>
                              <w:r>
                                <w:rPr>
                                  <w:spacing w:val="-10"/>
                                  <w:sz w:val="15"/>
                                </w:rPr>
                                <w:t xml:space="preserve"> </w:t>
                              </w:r>
                              <w:r>
                                <w:rPr>
                                  <w:sz w:val="15"/>
                                </w:rPr>
                                <w:t>igualdad</w:t>
                              </w:r>
                              <w:r>
                                <w:rPr>
                                  <w:spacing w:val="-10"/>
                                  <w:sz w:val="15"/>
                                </w:rPr>
                                <w:t xml:space="preserve"> </w:t>
                              </w:r>
                              <w:r>
                                <w:rPr>
                                  <w:sz w:val="15"/>
                                </w:rPr>
                                <w:t>de</w:t>
                              </w:r>
                              <w:r>
                                <w:rPr>
                                  <w:spacing w:val="-10"/>
                                  <w:sz w:val="15"/>
                                </w:rPr>
                                <w:t xml:space="preserve"> </w:t>
                              </w:r>
                              <w:r>
                                <w:rPr>
                                  <w:sz w:val="15"/>
                                </w:rPr>
                                <w:t>capacidad</w:t>
                              </w:r>
                              <w:r>
                                <w:rPr>
                                  <w:spacing w:val="-10"/>
                                  <w:sz w:val="15"/>
                                </w:rPr>
                                <w:t xml:space="preserve"> </w:t>
                              </w:r>
                              <w:r>
                                <w:rPr>
                                  <w:sz w:val="15"/>
                                </w:rPr>
                                <w:t>jurídica</w:t>
                              </w:r>
                              <w:r>
                                <w:rPr>
                                  <w:spacing w:val="-10"/>
                                  <w:sz w:val="15"/>
                                </w:rPr>
                                <w:t xml:space="preserve"> </w:t>
                              </w:r>
                              <w:r>
                                <w:rPr>
                                  <w:sz w:val="15"/>
                                </w:rPr>
                                <w:t>se</w:t>
                              </w:r>
                              <w:r>
                                <w:rPr>
                                  <w:spacing w:val="-10"/>
                                  <w:sz w:val="15"/>
                                </w:rPr>
                                <w:t xml:space="preserve"> </w:t>
                              </w:r>
                              <w:r>
                                <w:rPr>
                                  <w:sz w:val="15"/>
                                </w:rPr>
                                <w:t>ha</w:t>
                              </w:r>
                              <w:r>
                                <w:rPr>
                                  <w:spacing w:val="-10"/>
                                  <w:sz w:val="15"/>
                                </w:rPr>
                                <w:t xml:space="preserve"> </w:t>
                              </w:r>
                              <w:r>
                                <w:rPr>
                                  <w:sz w:val="15"/>
                                </w:rPr>
                                <w:t>desarrollado</w:t>
                              </w:r>
                              <w:r>
                                <w:rPr>
                                  <w:spacing w:val="-10"/>
                                  <w:sz w:val="15"/>
                                </w:rPr>
                                <w:t xml:space="preserve"> </w:t>
                              </w:r>
                              <w:r>
                                <w:rPr>
                                  <w:sz w:val="15"/>
                                </w:rPr>
                                <w:t>significativamente</w:t>
                              </w:r>
                              <w:r>
                                <w:rPr>
                                  <w:spacing w:val="-10"/>
                                  <w:sz w:val="15"/>
                                </w:rPr>
                                <w:t xml:space="preserve"> </w:t>
                              </w:r>
                              <w:r>
                                <w:rPr>
                                  <w:sz w:val="15"/>
                                </w:rPr>
                                <w:t>en</w:t>
                              </w:r>
                              <w:r>
                                <w:rPr>
                                  <w:spacing w:val="-10"/>
                                  <w:sz w:val="15"/>
                                </w:rPr>
                                <w:t xml:space="preserve"> </w:t>
                              </w:r>
                              <w:r>
                                <w:rPr>
                                  <w:sz w:val="15"/>
                                </w:rPr>
                                <w:t>los últimos</w:t>
                              </w:r>
                              <w:r>
                                <w:rPr>
                                  <w:spacing w:val="-2"/>
                                  <w:sz w:val="15"/>
                                </w:rPr>
                                <w:t xml:space="preserve"> </w:t>
                              </w:r>
                              <w:r>
                                <w:rPr>
                                  <w:sz w:val="15"/>
                                </w:rPr>
                                <w:t>años,</w:t>
                              </w:r>
                              <w:r>
                                <w:rPr>
                                  <w:spacing w:val="-2"/>
                                  <w:sz w:val="15"/>
                                </w:rPr>
                                <w:t xml:space="preserve"> </w:t>
                              </w:r>
                              <w:r>
                                <w:rPr>
                                  <w:sz w:val="15"/>
                                </w:rPr>
                                <w:t>en</w:t>
                              </w:r>
                              <w:r>
                                <w:rPr>
                                  <w:spacing w:val="-2"/>
                                  <w:sz w:val="15"/>
                                </w:rPr>
                                <w:t xml:space="preserve"> </w:t>
                              </w:r>
                              <w:r>
                                <w:rPr>
                                  <w:sz w:val="15"/>
                                </w:rPr>
                                <w:t>gran</w:t>
                              </w:r>
                              <w:r>
                                <w:rPr>
                                  <w:spacing w:val="-2"/>
                                  <w:sz w:val="15"/>
                                </w:rPr>
                                <w:t xml:space="preserve"> </w:t>
                              </w:r>
                              <w:r>
                                <w:rPr>
                                  <w:sz w:val="15"/>
                                </w:rPr>
                                <w:t>medida</w:t>
                              </w:r>
                              <w:r>
                                <w:rPr>
                                  <w:spacing w:val="-2"/>
                                  <w:sz w:val="15"/>
                                </w:rPr>
                                <w:t xml:space="preserve"> </w:t>
                              </w:r>
                              <w:r>
                                <w:rPr>
                                  <w:sz w:val="15"/>
                                </w:rPr>
                                <w:t>como</w:t>
                              </w:r>
                              <w:r>
                                <w:rPr>
                                  <w:spacing w:val="-2"/>
                                  <w:sz w:val="15"/>
                                </w:rPr>
                                <w:t xml:space="preserve"> </w:t>
                              </w:r>
                              <w:r>
                                <w:rPr>
                                  <w:sz w:val="15"/>
                                </w:rPr>
                                <w:t>resultado</w:t>
                              </w:r>
                              <w:r>
                                <w:rPr>
                                  <w:spacing w:val="-2"/>
                                  <w:sz w:val="15"/>
                                </w:rPr>
                                <w:t xml:space="preserve"> </w:t>
                              </w:r>
                              <w:r>
                                <w:rPr>
                                  <w:sz w:val="15"/>
                                </w:rPr>
                                <w:t>de</w:t>
                              </w:r>
                              <w:r>
                                <w:rPr>
                                  <w:spacing w:val="-2"/>
                                  <w:sz w:val="15"/>
                                </w:rPr>
                                <w:t xml:space="preserve"> </w:t>
                              </w:r>
                              <w:r>
                                <w:rPr>
                                  <w:sz w:val="15"/>
                                </w:rPr>
                                <w:t>la</w:t>
                              </w:r>
                              <w:r>
                                <w:rPr>
                                  <w:spacing w:val="-2"/>
                                  <w:sz w:val="15"/>
                                </w:rPr>
                                <w:t xml:space="preserve"> </w:t>
                              </w:r>
                              <w:r>
                                <w:rPr>
                                  <w:sz w:val="15"/>
                                </w:rPr>
                                <w:t>Convención</w:t>
                              </w:r>
                              <w:r>
                                <w:rPr>
                                  <w:spacing w:val="-2"/>
                                  <w:sz w:val="15"/>
                                </w:rPr>
                                <w:t xml:space="preserve"> </w:t>
                              </w:r>
                              <w:r>
                                <w:rPr>
                                  <w:sz w:val="15"/>
                                </w:rPr>
                                <w:t>sobre</w:t>
                              </w:r>
                              <w:r>
                                <w:rPr>
                                  <w:spacing w:val="-2"/>
                                  <w:sz w:val="15"/>
                                </w:rPr>
                                <w:t xml:space="preserve"> </w:t>
                              </w:r>
                              <w:r>
                                <w:rPr>
                                  <w:sz w:val="15"/>
                                </w:rPr>
                                <w:t>los</w:t>
                              </w:r>
                              <w:r>
                                <w:rPr>
                                  <w:spacing w:val="-2"/>
                                  <w:sz w:val="15"/>
                                </w:rPr>
                                <w:t xml:space="preserve"> </w:t>
                              </w:r>
                              <w:r>
                                <w:rPr>
                                  <w:sz w:val="15"/>
                                </w:rPr>
                                <w:t>derechos</w:t>
                              </w:r>
                              <w:r>
                                <w:rPr>
                                  <w:spacing w:val="-2"/>
                                  <w:sz w:val="15"/>
                                </w:rPr>
                                <w:t xml:space="preserve"> </w:t>
                              </w:r>
                              <w:r>
                                <w:rPr>
                                  <w:sz w:val="15"/>
                                </w:rPr>
                                <w:t>de</w:t>
                              </w:r>
                              <w:r>
                                <w:rPr>
                                  <w:spacing w:val="-2"/>
                                  <w:sz w:val="15"/>
                                </w:rPr>
                                <w:t xml:space="preserve"> </w:t>
                              </w:r>
                              <w:r>
                                <w:rPr>
                                  <w:sz w:val="15"/>
                                </w:rPr>
                                <w:t>las</w:t>
                              </w:r>
                              <w:r>
                                <w:rPr>
                                  <w:spacing w:val="-2"/>
                                  <w:sz w:val="15"/>
                                </w:rPr>
                                <w:t xml:space="preserve"> </w:t>
                              </w:r>
                              <w:r>
                                <w:rPr>
                                  <w:sz w:val="15"/>
                                </w:rPr>
                                <w:t>personas</w:t>
                              </w:r>
                              <w:r>
                                <w:rPr>
                                  <w:spacing w:val="-2"/>
                                  <w:sz w:val="15"/>
                                </w:rPr>
                                <w:t xml:space="preserve"> </w:t>
                              </w:r>
                              <w:r>
                                <w:rPr>
                                  <w:sz w:val="15"/>
                                </w:rPr>
                                <w:t>con</w:t>
                              </w:r>
                              <w:r>
                                <w:rPr>
                                  <w:spacing w:val="-2"/>
                                  <w:sz w:val="15"/>
                                </w:rPr>
                                <w:t xml:space="preserve"> </w:t>
                              </w:r>
                              <w:r>
                                <w:rPr>
                                  <w:sz w:val="15"/>
                                </w:rPr>
                                <w:t>discapacidad.</w:t>
                              </w:r>
                            </w:p>
                          </w:txbxContent>
                        </wps:txbx>
                        <wps:bodyPr wrap="square" lIns="0" tIns="0" rIns="0" bIns="0" rtlCol="0">
                          <a:noAutofit/>
                        </wps:bodyPr>
                      </wps:wsp>
                      <wps:wsp>
                        <wps:cNvPr id="209" name="Textbox 209"/>
                        <wps:cNvSpPr txBox="1"/>
                        <wps:spPr>
                          <a:xfrm>
                            <a:off x="182380" y="1471812"/>
                            <a:ext cx="5638165" cy="1056640"/>
                          </a:xfrm>
                          <a:prstGeom prst="rect">
                            <a:avLst/>
                          </a:prstGeom>
                        </wps:spPr>
                        <wps:txbx>
                          <w:txbxContent>
                            <w:p w14:paraId="04FE5A78" w14:textId="77777777" w:rsidR="0014798C" w:rsidRDefault="004E1F0B">
                              <w:pPr>
                                <w:spacing w:line="348" w:lineRule="auto"/>
                                <w:rPr>
                                  <w:sz w:val="15"/>
                                </w:rPr>
                              </w:pPr>
                              <w:r>
                                <w:rPr>
                                  <w:sz w:val="15"/>
                                </w:rPr>
                                <w:t>El</w:t>
                              </w:r>
                              <w:r>
                                <w:rPr>
                                  <w:spacing w:val="-3"/>
                                  <w:sz w:val="15"/>
                                </w:rPr>
                                <w:t xml:space="preserve"> </w:t>
                              </w:r>
                              <w:r>
                                <w:rPr>
                                  <w:sz w:val="15"/>
                                </w:rPr>
                                <w:t>artículo</w:t>
                              </w:r>
                              <w:r>
                                <w:rPr>
                                  <w:spacing w:val="-3"/>
                                  <w:sz w:val="15"/>
                                </w:rPr>
                                <w:t xml:space="preserve"> </w:t>
                              </w:r>
                              <w:r>
                                <w:rPr>
                                  <w:sz w:val="15"/>
                                </w:rPr>
                                <w:t>12</w:t>
                              </w:r>
                              <w:r>
                                <w:rPr>
                                  <w:spacing w:val="-3"/>
                                  <w:sz w:val="15"/>
                                </w:rPr>
                                <w:t xml:space="preserve"> </w:t>
                              </w:r>
                              <w:r>
                                <w:rPr>
                                  <w:sz w:val="15"/>
                                </w:rPr>
                                <w:t>de</w:t>
                              </w:r>
                              <w:r>
                                <w:rPr>
                                  <w:spacing w:val="-3"/>
                                  <w:sz w:val="15"/>
                                </w:rPr>
                                <w:t xml:space="preserve"> </w:t>
                              </w:r>
                              <w:r>
                                <w:rPr>
                                  <w:sz w:val="15"/>
                                </w:rPr>
                                <w:t>la</w:t>
                              </w:r>
                              <w:r>
                                <w:rPr>
                                  <w:spacing w:val="-3"/>
                                  <w:sz w:val="15"/>
                                </w:rPr>
                                <w:t xml:space="preserve"> </w:t>
                              </w:r>
                              <w:r>
                                <w:rPr>
                                  <w:sz w:val="15"/>
                                </w:rPr>
                                <w:t>Convención</w:t>
                              </w:r>
                              <w:r>
                                <w:rPr>
                                  <w:spacing w:val="-3"/>
                                  <w:sz w:val="15"/>
                                </w:rPr>
                                <w:t xml:space="preserve"> </w:t>
                              </w:r>
                              <w:r>
                                <w:rPr>
                                  <w:sz w:val="15"/>
                                </w:rPr>
                                <w:t>sobre</w:t>
                              </w:r>
                              <w:r>
                                <w:rPr>
                                  <w:spacing w:val="-3"/>
                                  <w:sz w:val="15"/>
                                </w:rPr>
                                <w:t xml:space="preserve"> </w:t>
                              </w:r>
                              <w:r>
                                <w:rPr>
                                  <w:sz w:val="15"/>
                                </w:rPr>
                                <w:t>los</w:t>
                              </w:r>
                              <w:r>
                                <w:rPr>
                                  <w:spacing w:val="-3"/>
                                  <w:sz w:val="15"/>
                                </w:rPr>
                                <w:t xml:space="preserve"> </w:t>
                              </w:r>
                              <w:r>
                                <w:rPr>
                                  <w:sz w:val="15"/>
                                </w:rPr>
                                <w:t>Derechos</w:t>
                              </w:r>
                              <w:r>
                                <w:rPr>
                                  <w:spacing w:val="-3"/>
                                  <w:sz w:val="15"/>
                                </w:rPr>
                                <w:t xml:space="preserve"> </w:t>
                              </w:r>
                              <w:r>
                                <w:rPr>
                                  <w:sz w:val="15"/>
                                </w:rPr>
                                <w:t>de</w:t>
                              </w:r>
                              <w:r>
                                <w:rPr>
                                  <w:spacing w:val="-3"/>
                                  <w:sz w:val="15"/>
                                </w:rPr>
                                <w:t xml:space="preserve"> </w:t>
                              </w:r>
                              <w:r>
                                <w:rPr>
                                  <w:sz w:val="15"/>
                                </w:rPr>
                                <w:t>las</w:t>
                              </w:r>
                              <w:r>
                                <w:rPr>
                                  <w:spacing w:val="-3"/>
                                  <w:sz w:val="15"/>
                                </w:rPr>
                                <w:t xml:space="preserve"> </w:t>
                              </w:r>
                              <w:r>
                                <w:rPr>
                                  <w:sz w:val="15"/>
                                </w:rPr>
                                <w:t>Personas</w:t>
                              </w:r>
                              <w:r>
                                <w:rPr>
                                  <w:spacing w:val="-3"/>
                                  <w:sz w:val="15"/>
                                </w:rPr>
                                <w:t xml:space="preserve"> </w:t>
                              </w:r>
                              <w:r>
                                <w:rPr>
                                  <w:sz w:val="15"/>
                                </w:rPr>
                                <w:t>con</w:t>
                              </w:r>
                              <w:r>
                                <w:rPr>
                                  <w:spacing w:val="-3"/>
                                  <w:sz w:val="15"/>
                                </w:rPr>
                                <w:t xml:space="preserve"> </w:t>
                              </w:r>
                              <w:r>
                                <w:rPr>
                                  <w:sz w:val="15"/>
                                </w:rPr>
                                <w:t>Discapacidad</w:t>
                              </w:r>
                              <w:r>
                                <w:rPr>
                                  <w:spacing w:val="-3"/>
                                  <w:sz w:val="15"/>
                                </w:rPr>
                                <w:t xml:space="preserve"> </w:t>
                              </w:r>
                              <w:r>
                                <w:rPr>
                                  <w:sz w:val="15"/>
                                </w:rPr>
                                <w:t>exige</w:t>
                              </w:r>
                              <w:r>
                                <w:rPr>
                                  <w:spacing w:val="-3"/>
                                  <w:sz w:val="15"/>
                                </w:rPr>
                                <w:t xml:space="preserve"> </w:t>
                              </w:r>
                              <w:r>
                                <w:rPr>
                                  <w:sz w:val="15"/>
                                </w:rPr>
                                <w:t>que</w:t>
                              </w:r>
                              <w:r>
                                <w:rPr>
                                  <w:spacing w:val="-3"/>
                                  <w:sz w:val="15"/>
                                </w:rPr>
                                <w:t xml:space="preserve"> </w:t>
                              </w:r>
                              <w:r>
                                <w:rPr>
                                  <w:sz w:val="15"/>
                                </w:rPr>
                                <w:t>los</w:t>
                              </w:r>
                              <w:r>
                                <w:rPr>
                                  <w:spacing w:val="-3"/>
                                  <w:sz w:val="15"/>
                                </w:rPr>
                                <w:t xml:space="preserve"> </w:t>
                              </w:r>
                              <w:r>
                                <w:rPr>
                                  <w:sz w:val="15"/>
                                </w:rPr>
                                <w:t>Estados</w:t>
                              </w:r>
                              <w:r>
                                <w:rPr>
                                  <w:spacing w:val="-3"/>
                                  <w:sz w:val="15"/>
                                </w:rPr>
                                <w:t xml:space="preserve"> </w:t>
                              </w:r>
                              <w:r>
                                <w:rPr>
                                  <w:sz w:val="15"/>
                                </w:rPr>
                                <w:t>reconozcan</w:t>
                              </w:r>
                              <w:r>
                                <w:rPr>
                                  <w:spacing w:val="-3"/>
                                  <w:sz w:val="15"/>
                                </w:rPr>
                                <w:t xml:space="preserve"> </w:t>
                              </w:r>
                              <w:r>
                                <w:rPr>
                                  <w:sz w:val="15"/>
                                </w:rPr>
                                <w:t>que</w:t>
                              </w:r>
                              <w:r>
                                <w:rPr>
                                  <w:spacing w:val="-3"/>
                                  <w:sz w:val="15"/>
                                </w:rPr>
                                <w:t xml:space="preserve"> </w:t>
                              </w:r>
                              <w:r>
                                <w:rPr>
                                  <w:sz w:val="15"/>
                                </w:rPr>
                                <w:t>las personas</w:t>
                              </w:r>
                              <w:r>
                                <w:rPr>
                                  <w:spacing w:val="-8"/>
                                  <w:sz w:val="15"/>
                                </w:rPr>
                                <w:t xml:space="preserve"> </w:t>
                              </w:r>
                              <w:r>
                                <w:rPr>
                                  <w:sz w:val="15"/>
                                </w:rPr>
                                <w:t>con</w:t>
                              </w:r>
                              <w:r>
                                <w:rPr>
                                  <w:spacing w:val="-8"/>
                                  <w:sz w:val="15"/>
                                </w:rPr>
                                <w:t xml:space="preserve"> </w:t>
                              </w:r>
                              <w:r>
                                <w:rPr>
                                  <w:sz w:val="15"/>
                                </w:rPr>
                                <w:t>discapacidad</w:t>
                              </w:r>
                              <w:r>
                                <w:rPr>
                                  <w:spacing w:val="-8"/>
                                  <w:sz w:val="15"/>
                                </w:rPr>
                                <w:t xml:space="preserve"> </w:t>
                              </w:r>
                              <w:r>
                                <w:rPr>
                                  <w:sz w:val="15"/>
                                </w:rPr>
                                <w:t>disfrutan</w:t>
                              </w:r>
                              <w:r>
                                <w:rPr>
                                  <w:spacing w:val="-8"/>
                                  <w:sz w:val="15"/>
                                </w:rPr>
                                <w:t xml:space="preserve"> </w:t>
                              </w:r>
                              <w:r>
                                <w:rPr>
                                  <w:sz w:val="15"/>
                                </w:rPr>
                                <w:t>de</w:t>
                              </w:r>
                              <w:r>
                                <w:rPr>
                                  <w:spacing w:val="-8"/>
                                  <w:sz w:val="15"/>
                                </w:rPr>
                                <w:t xml:space="preserve"> </w:t>
                              </w:r>
                              <w:r>
                                <w:rPr>
                                  <w:sz w:val="15"/>
                                </w:rPr>
                                <w:t>capacidad</w:t>
                              </w:r>
                              <w:r>
                                <w:rPr>
                                  <w:spacing w:val="-8"/>
                                  <w:sz w:val="15"/>
                                </w:rPr>
                                <w:t xml:space="preserve"> </w:t>
                              </w:r>
                              <w:r>
                                <w:rPr>
                                  <w:sz w:val="15"/>
                                </w:rPr>
                                <w:t>jurídica</w:t>
                              </w:r>
                              <w:r>
                                <w:rPr>
                                  <w:spacing w:val="-8"/>
                                  <w:sz w:val="15"/>
                                </w:rPr>
                                <w:t xml:space="preserve"> </w:t>
                              </w:r>
                              <w:r>
                                <w:rPr>
                                  <w:sz w:val="15"/>
                                </w:rPr>
                                <w:t>en</w:t>
                              </w:r>
                              <w:r>
                                <w:rPr>
                                  <w:spacing w:val="-8"/>
                                  <w:sz w:val="15"/>
                                </w:rPr>
                                <w:t xml:space="preserve"> </w:t>
                              </w:r>
                              <w:r>
                                <w:rPr>
                                  <w:sz w:val="15"/>
                                </w:rPr>
                                <w:t>igualdad</w:t>
                              </w:r>
                              <w:r>
                                <w:rPr>
                                  <w:spacing w:val="-8"/>
                                  <w:sz w:val="15"/>
                                </w:rPr>
                                <w:t xml:space="preserve"> </w:t>
                              </w:r>
                              <w:r>
                                <w:rPr>
                                  <w:sz w:val="15"/>
                                </w:rPr>
                                <w:t>de</w:t>
                              </w:r>
                              <w:r>
                                <w:rPr>
                                  <w:spacing w:val="-8"/>
                                  <w:sz w:val="15"/>
                                </w:rPr>
                                <w:t xml:space="preserve"> </w:t>
                              </w:r>
                              <w:r>
                                <w:rPr>
                                  <w:sz w:val="15"/>
                                </w:rPr>
                                <w:t>condiciones</w:t>
                              </w:r>
                              <w:r>
                                <w:rPr>
                                  <w:spacing w:val="-8"/>
                                  <w:sz w:val="15"/>
                                </w:rPr>
                                <w:t xml:space="preserve"> </w:t>
                              </w:r>
                              <w:r>
                                <w:rPr>
                                  <w:sz w:val="15"/>
                                </w:rPr>
                                <w:t>con</w:t>
                              </w:r>
                              <w:r>
                                <w:rPr>
                                  <w:spacing w:val="-8"/>
                                  <w:sz w:val="15"/>
                                </w:rPr>
                                <w:t xml:space="preserve"> </w:t>
                              </w:r>
                              <w:r>
                                <w:rPr>
                                  <w:sz w:val="15"/>
                                </w:rPr>
                                <w:t>las</w:t>
                              </w:r>
                              <w:r>
                                <w:rPr>
                                  <w:spacing w:val="-8"/>
                                  <w:sz w:val="15"/>
                                </w:rPr>
                                <w:t xml:space="preserve"> </w:t>
                              </w:r>
                              <w:r>
                                <w:rPr>
                                  <w:sz w:val="15"/>
                                </w:rPr>
                                <w:t>demás</w:t>
                              </w:r>
                              <w:r>
                                <w:rPr>
                                  <w:spacing w:val="-8"/>
                                  <w:sz w:val="15"/>
                                </w:rPr>
                                <w:t xml:space="preserve"> </w:t>
                              </w:r>
                              <w:r>
                                <w:rPr>
                                  <w:sz w:val="15"/>
                                </w:rPr>
                                <w:t>en</w:t>
                              </w:r>
                              <w:r>
                                <w:rPr>
                                  <w:spacing w:val="-8"/>
                                  <w:sz w:val="15"/>
                                </w:rPr>
                                <w:t xml:space="preserve"> </w:t>
                              </w:r>
                              <w:r>
                                <w:rPr>
                                  <w:sz w:val="15"/>
                                </w:rPr>
                                <w:t>todos</w:t>
                              </w:r>
                              <w:r>
                                <w:rPr>
                                  <w:spacing w:val="-8"/>
                                  <w:sz w:val="15"/>
                                </w:rPr>
                                <w:t xml:space="preserve"> </w:t>
                              </w:r>
                              <w:r>
                                <w:rPr>
                                  <w:sz w:val="15"/>
                                </w:rPr>
                                <w:t>los</w:t>
                              </w:r>
                              <w:r>
                                <w:rPr>
                                  <w:spacing w:val="-8"/>
                                  <w:sz w:val="15"/>
                                </w:rPr>
                                <w:t xml:space="preserve"> </w:t>
                              </w:r>
                              <w:r>
                                <w:rPr>
                                  <w:sz w:val="15"/>
                                </w:rPr>
                                <w:t>aspectos</w:t>
                              </w:r>
                              <w:r>
                                <w:rPr>
                                  <w:spacing w:val="-8"/>
                                  <w:sz w:val="15"/>
                                </w:rPr>
                                <w:t xml:space="preserve"> </w:t>
                              </w:r>
                              <w:r>
                                <w:rPr>
                                  <w:sz w:val="15"/>
                                </w:rPr>
                                <w:t>de</w:t>
                              </w:r>
                              <w:r>
                                <w:rPr>
                                  <w:spacing w:val="-9"/>
                                  <w:sz w:val="15"/>
                                </w:rPr>
                                <w:t xml:space="preserve"> </w:t>
                              </w:r>
                              <w:r>
                                <w:rPr>
                                  <w:sz w:val="15"/>
                                </w:rPr>
                                <w:t>la</w:t>
                              </w:r>
                              <w:r>
                                <w:rPr>
                                  <w:spacing w:val="-8"/>
                                  <w:sz w:val="15"/>
                                </w:rPr>
                                <w:t xml:space="preserve"> </w:t>
                              </w:r>
                              <w:r>
                                <w:rPr>
                                  <w:sz w:val="15"/>
                                </w:rPr>
                                <w:t>vida. Según</w:t>
                              </w:r>
                              <w:r>
                                <w:rPr>
                                  <w:spacing w:val="-3"/>
                                  <w:sz w:val="15"/>
                                </w:rPr>
                                <w:t xml:space="preserve"> </w:t>
                              </w:r>
                              <w:r>
                                <w:rPr>
                                  <w:sz w:val="15"/>
                                </w:rPr>
                                <w:t>el</w:t>
                              </w:r>
                              <w:r>
                                <w:rPr>
                                  <w:spacing w:val="-3"/>
                                  <w:sz w:val="15"/>
                                </w:rPr>
                                <w:t xml:space="preserve"> </w:t>
                              </w:r>
                              <w:r>
                                <w:rPr>
                                  <w:sz w:val="15"/>
                                </w:rPr>
                                <w:t>artículo</w:t>
                              </w:r>
                              <w:r>
                                <w:rPr>
                                  <w:spacing w:val="-3"/>
                                  <w:sz w:val="15"/>
                                </w:rPr>
                                <w:t xml:space="preserve"> </w:t>
                              </w:r>
                              <w:r>
                                <w:rPr>
                                  <w:sz w:val="15"/>
                                </w:rPr>
                                <w:t>12</w:t>
                              </w:r>
                              <w:r>
                                <w:rPr>
                                  <w:spacing w:val="-3"/>
                                  <w:sz w:val="15"/>
                                </w:rPr>
                                <w:t xml:space="preserve"> </w:t>
                              </w:r>
                              <w:r>
                                <w:rPr>
                                  <w:sz w:val="15"/>
                                </w:rPr>
                                <w:t>(3),</w:t>
                              </w:r>
                              <w:r>
                                <w:rPr>
                                  <w:spacing w:val="-3"/>
                                  <w:sz w:val="15"/>
                                </w:rPr>
                                <w:t xml:space="preserve"> </w:t>
                              </w:r>
                              <w:r>
                                <w:rPr>
                                  <w:sz w:val="15"/>
                                </w:rPr>
                                <w:t>los</w:t>
                              </w:r>
                              <w:r>
                                <w:rPr>
                                  <w:spacing w:val="-3"/>
                                  <w:sz w:val="15"/>
                                </w:rPr>
                                <w:t xml:space="preserve"> </w:t>
                              </w:r>
                              <w:r>
                                <w:rPr>
                                  <w:sz w:val="15"/>
                                </w:rPr>
                                <w:t>Estados</w:t>
                              </w:r>
                              <w:r>
                                <w:rPr>
                                  <w:spacing w:val="-3"/>
                                  <w:sz w:val="15"/>
                                </w:rPr>
                                <w:t xml:space="preserve"> </w:t>
                              </w:r>
                              <w:r>
                                <w:rPr>
                                  <w:sz w:val="15"/>
                                </w:rPr>
                                <w:t>partes</w:t>
                              </w:r>
                              <w:r>
                                <w:rPr>
                                  <w:spacing w:val="-3"/>
                                  <w:sz w:val="15"/>
                                </w:rPr>
                                <w:t xml:space="preserve"> </w:t>
                              </w:r>
                              <w:r>
                                <w:rPr>
                                  <w:sz w:val="15"/>
                                </w:rPr>
                                <w:t>“adoptarán</w:t>
                              </w:r>
                              <w:r>
                                <w:rPr>
                                  <w:spacing w:val="-3"/>
                                  <w:sz w:val="15"/>
                                </w:rPr>
                                <w:t xml:space="preserve"> </w:t>
                              </w:r>
                              <w:r>
                                <w:rPr>
                                  <w:sz w:val="15"/>
                                </w:rPr>
                                <w:t>medidas</w:t>
                              </w:r>
                              <w:r>
                                <w:rPr>
                                  <w:spacing w:val="-3"/>
                                  <w:sz w:val="15"/>
                                </w:rPr>
                                <w:t xml:space="preserve"> </w:t>
                              </w:r>
                              <w:r>
                                <w:rPr>
                                  <w:sz w:val="15"/>
                                </w:rPr>
                                <w:t>apropiadas</w:t>
                              </w:r>
                              <w:r>
                                <w:rPr>
                                  <w:spacing w:val="-3"/>
                                  <w:sz w:val="15"/>
                                </w:rPr>
                                <w:t xml:space="preserve"> </w:t>
                              </w:r>
                              <w:r>
                                <w:rPr>
                                  <w:sz w:val="15"/>
                                </w:rPr>
                                <w:t>para</w:t>
                              </w:r>
                              <w:r>
                                <w:rPr>
                                  <w:spacing w:val="-3"/>
                                  <w:sz w:val="15"/>
                                </w:rPr>
                                <w:t xml:space="preserve"> </w:t>
                              </w:r>
                              <w:r>
                                <w:rPr>
                                  <w:sz w:val="15"/>
                                </w:rPr>
                                <w:t>facilitar</w:t>
                              </w:r>
                              <w:r>
                                <w:rPr>
                                  <w:spacing w:val="-4"/>
                                  <w:sz w:val="15"/>
                                </w:rPr>
                                <w:t xml:space="preserve"> </w:t>
                              </w:r>
                              <w:r>
                                <w:rPr>
                                  <w:sz w:val="15"/>
                                </w:rPr>
                                <w:t>el</w:t>
                              </w:r>
                              <w:r>
                                <w:rPr>
                                  <w:spacing w:val="-3"/>
                                  <w:sz w:val="15"/>
                                </w:rPr>
                                <w:t xml:space="preserve"> </w:t>
                              </w:r>
                              <w:r>
                                <w:rPr>
                                  <w:sz w:val="15"/>
                                </w:rPr>
                                <w:t>acceso</w:t>
                              </w:r>
                              <w:r>
                                <w:rPr>
                                  <w:spacing w:val="-3"/>
                                  <w:sz w:val="15"/>
                                </w:rPr>
                                <w:t xml:space="preserve"> </w:t>
                              </w:r>
                              <w:r>
                                <w:rPr>
                                  <w:sz w:val="15"/>
                                </w:rPr>
                                <w:t>de</w:t>
                              </w:r>
                              <w:r>
                                <w:rPr>
                                  <w:spacing w:val="-3"/>
                                  <w:sz w:val="15"/>
                                </w:rPr>
                                <w:t xml:space="preserve"> </w:t>
                              </w:r>
                              <w:r>
                                <w:rPr>
                                  <w:sz w:val="15"/>
                                </w:rPr>
                                <w:t>las</w:t>
                              </w:r>
                              <w:r>
                                <w:rPr>
                                  <w:spacing w:val="-3"/>
                                  <w:sz w:val="15"/>
                                </w:rPr>
                                <w:t xml:space="preserve"> </w:t>
                              </w:r>
                              <w:r>
                                <w:rPr>
                                  <w:sz w:val="15"/>
                                </w:rPr>
                                <w:t>personas</w:t>
                              </w:r>
                              <w:r>
                                <w:rPr>
                                  <w:spacing w:val="-3"/>
                                  <w:sz w:val="15"/>
                                </w:rPr>
                                <w:t xml:space="preserve"> </w:t>
                              </w:r>
                              <w:r>
                                <w:rPr>
                                  <w:sz w:val="15"/>
                                </w:rPr>
                                <w:t>con</w:t>
                              </w:r>
                              <w:r>
                                <w:rPr>
                                  <w:spacing w:val="-3"/>
                                  <w:sz w:val="15"/>
                                </w:rPr>
                                <w:t xml:space="preserve"> </w:t>
                              </w:r>
                              <w:r>
                                <w:rPr>
                                  <w:sz w:val="15"/>
                                </w:rPr>
                                <w:t>discapacidad al</w:t>
                              </w:r>
                              <w:r>
                                <w:rPr>
                                  <w:spacing w:val="-3"/>
                                  <w:sz w:val="15"/>
                                </w:rPr>
                                <w:t xml:space="preserve"> </w:t>
                              </w:r>
                              <w:r>
                                <w:rPr>
                                  <w:sz w:val="15"/>
                                </w:rPr>
                                <w:t>apoyo</w:t>
                              </w:r>
                              <w:r>
                                <w:rPr>
                                  <w:spacing w:val="-3"/>
                                  <w:sz w:val="15"/>
                                </w:rPr>
                                <w:t xml:space="preserve"> </w:t>
                              </w:r>
                              <w:r>
                                <w:rPr>
                                  <w:sz w:val="15"/>
                                </w:rPr>
                                <w:t>que</w:t>
                              </w:r>
                              <w:r>
                                <w:rPr>
                                  <w:spacing w:val="-3"/>
                                  <w:sz w:val="15"/>
                                </w:rPr>
                                <w:t xml:space="preserve"> </w:t>
                              </w:r>
                              <w:r>
                                <w:rPr>
                                  <w:sz w:val="15"/>
                                </w:rPr>
                                <w:t>puedan</w:t>
                              </w:r>
                              <w:r>
                                <w:rPr>
                                  <w:spacing w:val="-3"/>
                                  <w:sz w:val="15"/>
                                </w:rPr>
                                <w:t xml:space="preserve"> </w:t>
                              </w:r>
                              <w:r>
                                <w:rPr>
                                  <w:sz w:val="15"/>
                                </w:rPr>
                                <w:t>necesitar</w:t>
                              </w:r>
                              <w:r>
                                <w:rPr>
                                  <w:spacing w:val="-3"/>
                                  <w:sz w:val="15"/>
                                </w:rPr>
                                <w:t xml:space="preserve"> </w:t>
                              </w:r>
                              <w:r>
                                <w:rPr>
                                  <w:sz w:val="15"/>
                                </w:rPr>
                                <w:t>en</w:t>
                              </w:r>
                              <w:r>
                                <w:rPr>
                                  <w:spacing w:val="-3"/>
                                  <w:sz w:val="15"/>
                                </w:rPr>
                                <w:t xml:space="preserve"> </w:t>
                              </w:r>
                              <w:r>
                                <w:rPr>
                                  <w:sz w:val="15"/>
                                </w:rPr>
                                <w:t>el</w:t>
                              </w:r>
                              <w:r>
                                <w:rPr>
                                  <w:spacing w:val="-3"/>
                                  <w:sz w:val="15"/>
                                </w:rPr>
                                <w:t xml:space="preserve"> </w:t>
                              </w:r>
                              <w:r>
                                <w:rPr>
                                  <w:sz w:val="15"/>
                                </w:rPr>
                                <w:t>ejercicio</w:t>
                              </w:r>
                              <w:r>
                                <w:rPr>
                                  <w:spacing w:val="-3"/>
                                  <w:sz w:val="15"/>
                                </w:rPr>
                                <w:t xml:space="preserve"> </w:t>
                              </w:r>
                              <w:r>
                                <w:rPr>
                                  <w:sz w:val="15"/>
                                </w:rPr>
                                <w:t>de</w:t>
                              </w:r>
                              <w:r>
                                <w:rPr>
                                  <w:spacing w:val="-3"/>
                                  <w:sz w:val="15"/>
                                </w:rPr>
                                <w:t xml:space="preserve"> </w:t>
                              </w:r>
                              <w:r>
                                <w:rPr>
                                  <w:sz w:val="15"/>
                                </w:rPr>
                                <w:t>su</w:t>
                              </w:r>
                              <w:r>
                                <w:rPr>
                                  <w:spacing w:val="-3"/>
                                  <w:sz w:val="15"/>
                                </w:rPr>
                                <w:t xml:space="preserve"> </w:t>
                              </w:r>
                              <w:r>
                                <w:rPr>
                                  <w:sz w:val="15"/>
                                </w:rPr>
                                <w:t>capacidad</w:t>
                              </w:r>
                              <w:r>
                                <w:rPr>
                                  <w:spacing w:val="-3"/>
                                  <w:sz w:val="15"/>
                                </w:rPr>
                                <w:t xml:space="preserve"> </w:t>
                              </w:r>
                              <w:r>
                                <w:rPr>
                                  <w:sz w:val="15"/>
                                </w:rPr>
                                <w:t>jurídica”.</w:t>
                              </w:r>
                              <w:r>
                                <w:rPr>
                                  <w:spacing w:val="-2"/>
                                  <w:sz w:val="15"/>
                                </w:rPr>
                                <w:t xml:space="preserve"> </w:t>
                              </w:r>
                              <w:r>
                                <w:rPr>
                                  <w:sz w:val="15"/>
                                </w:rPr>
                                <w:t>Esas</w:t>
                              </w:r>
                              <w:r>
                                <w:rPr>
                                  <w:spacing w:val="-3"/>
                                  <w:sz w:val="15"/>
                                </w:rPr>
                                <w:t xml:space="preserve"> </w:t>
                              </w:r>
                              <w:r>
                                <w:rPr>
                                  <w:sz w:val="15"/>
                                </w:rPr>
                                <w:t>medidas,</w:t>
                              </w:r>
                              <w:r>
                                <w:rPr>
                                  <w:spacing w:val="-3"/>
                                  <w:sz w:val="15"/>
                                </w:rPr>
                                <w:t xml:space="preserve"> </w:t>
                              </w:r>
                              <w:r>
                                <w:rPr>
                                  <w:sz w:val="15"/>
                                </w:rPr>
                                <w:t>según</w:t>
                              </w:r>
                              <w:r>
                                <w:rPr>
                                  <w:spacing w:val="-3"/>
                                  <w:sz w:val="15"/>
                                </w:rPr>
                                <w:t xml:space="preserve"> </w:t>
                              </w:r>
                              <w:r>
                                <w:rPr>
                                  <w:sz w:val="15"/>
                                </w:rPr>
                                <w:t>el</w:t>
                              </w:r>
                              <w:r>
                                <w:rPr>
                                  <w:spacing w:val="-3"/>
                                  <w:sz w:val="15"/>
                                </w:rPr>
                                <w:t xml:space="preserve"> </w:t>
                              </w:r>
                              <w:r>
                                <w:rPr>
                                  <w:sz w:val="15"/>
                                </w:rPr>
                                <w:t>artículo</w:t>
                              </w:r>
                              <w:r>
                                <w:rPr>
                                  <w:spacing w:val="-3"/>
                                  <w:sz w:val="15"/>
                                </w:rPr>
                                <w:t xml:space="preserve"> </w:t>
                              </w:r>
                              <w:r>
                                <w:rPr>
                                  <w:sz w:val="15"/>
                                </w:rPr>
                                <w:t>12</w:t>
                              </w:r>
                              <w:r>
                                <w:rPr>
                                  <w:spacing w:val="-3"/>
                                  <w:sz w:val="15"/>
                                </w:rPr>
                                <w:t xml:space="preserve"> </w:t>
                              </w:r>
                              <w:r>
                                <w:rPr>
                                  <w:sz w:val="15"/>
                                </w:rPr>
                                <w:t>(4),</w:t>
                              </w:r>
                              <w:r>
                                <w:rPr>
                                  <w:spacing w:val="-3"/>
                                  <w:sz w:val="15"/>
                                </w:rPr>
                                <w:t xml:space="preserve"> </w:t>
                              </w:r>
                              <w:r>
                                <w:rPr>
                                  <w:sz w:val="15"/>
                                </w:rPr>
                                <w:t>deben</w:t>
                              </w:r>
                              <w:r>
                                <w:rPr>
                                  <w:spacing w:val="-3"/>
                                  <w:sz w:val="15"/>
                                </w:rPr>
                                <w:t xml:space="preserve"> </w:t>
                              </w:r>
                              <w:r>
                                <w:rPr>
                                  <w:sz w:val="15"/>
                                </w:rPr>
                                <w:t>incluir “salvaguardias</w:t>
                              </w:r>
                              <w:r>
                                <w:rPr>
                                  <w:spacing w:val="-8"/>
                                  <w:sz w:val="15"/>
                                </w:rPr>
                                <w:t xml:space="preserve"> </w:t>
                              </w:r>
                              <w:r>
                                <w:rPr>
                                  <w:sz w:val="15"/>
                                </w:rPr>
                                <w:t>apropiadas</w:t>
                              </w:r>
                              <w:r>
                                <w:rPr>
                                  <w:spacing w:val="-8"/>
                                  <w:sz w:val="15"/>
                                </w:rPr>
                                <w:t xml:space="preserve"> </w:t>
                              </w:r>
                              <w:r>
                                <w:rPr>
                                  <w:sz w:val="15"/>
                                </w:rPr>
                                <w:t>y</w:t>
                              </w:r>
                              <w:r>
                                <w:rPr>
                                  <w:spacing w:val="-8"/>
                                  <w:sz w:val="15"/>
                                </w:rPr>
                                <w:t xml:space="preserve"> </w:t>
                              </w:r>
                              <w:r>
                                <w:rPr>
                                  <w:sz w:val="15"/>
                                </w:rPr>
                                <w:t>efectivas</w:t>
                              </w:r>
                              <w:r>
                                <w:rPr>
                                  <w:spacing w:val="-8"/>
                                  <w:sz w:val="15"/>
                                </w:rPr>
                                <w:t xml:space="preserve"> </w:t>
                              </w:r>
                              <w:r>
                                <w:rPr>
                                  <w:sz w:val="15"/>
                                </w:rPr>
                                <w:t>para</w:t>
                              </w:r>
                              <w:r>
                                <w:rPr>
                                  <w:spacing w:val="-8"/>
                                  <w:sz w:val="15"/>
                                </w:rPr>
                                <w:t xml:space="preserve"> </w:t>
                              </w:r>
                              <w:r>
                                <w:rPr>
                                  <w:sz w:val="15"/>
                                </w:rPr>
                                <w:t>prevenir</w:t>
                              </w:r>
                              <w:r>
                                <w:rPr>
                                  <w:spacing w:val="-8"/>
                                  <w:sz w:val="15"/>
                                </w:rPr>
                                <w:t xml:space="preserve"> </w:t>
                              </w:r>
                              <w:r>
                                <w:rPr>
                                  <w:sz w:val="15"/>
                                </w:rPr>
                                <w:t>abusos...</w:t>
                              </w:r>
                              <w:r>
                                <w:rPr>
                                  <w:spacing w:val="-8"/>
                                  <w:sz w:val="15"/>
                                </w:rPr>
                                <w:t xml:space="preserve"> </w:t>
                              </w:r>
                              <w:r>
                                <w:rPr>
                                  <w:sz w:val="15"/>
                                </w:rPr>
                                <w:t>[que]</w:t>
                              </w:r>
                              <w:r>
                                <w:rPr>
                                  <w:spacing w:val="-8"/>
                                  <w:sz w:val="15"/>
                                </w:rPr>
                                <w:t xml:space="preserve"> </w:t>
                              </w:r>
                              <w:r>
                                <w:rPr>
                                  <w:sz w:val="15"/>
                                </w:rPr>
                                <w:t>no</w:t>
                              </w:r>
                              <w:r>
                                <w:rPr>
                                  <w:spacing w:val="-8"/>
                                  <w:sz w:val="15"/>
                                </w:rPr>
                                <w:t xml:space="preserve"> </w:t>
                              </w:r>
                              <w:r>
                                <w:rPr>
                                  <w:sz w:val="15"/>
                                </w:rPr>
                                <w:t>contengan</w:t>
                              </w:r>
                              <w:r>
                                <w:rPr>
                                  <w:spacing w:val="-8"/>
                                  <w:sz w:val="15"/>
                                </w:rPr>
                                <w:t xml:space="preserve"> </w:t>
                              </w:r>
                              <w:r>
                                <w:rPr>
                                  <w:sz w:val="15"/>
                                </w:rPr>
                                <w:t>conflictos</w:t>
                              </w:r>
                              <w:r>
                                <w:rPr>
                                  <w:spacing w:val="-9"/>
                                  <w:sz w:val="15"/>
                                </w:rPr>
                                <w:t xml:space="preserve"> </w:t>
                              </w:r>
                              <w:r>
                                <w:rPr>
                                  <w:sz w:val="15"/>
                                </w:rPr>
                                <w:t>de</w:t>
                              </w:r>
                              <w:r>
                                <w:rPr>
                                  <w:spacing w:val="-8"/>
                                  <w:sz w:val="15"/>
                                </w:rPr>
                                <w:t xml:space="preserve"> </w:t>
                              </w:r>
                              <w:r>
                                <w:rPr>
                                  <w:sz w:val="15"/>
                                </w:rPr>
                                <w:t>intereses</w:t>
                              </w:r>
                              <w:r>
                                <w:rPr>
                                  <w:spacing w:val="-8"/>
                                  <w:sz w:val="15"/>
                                </w:rPr>
                                <w:t xml:space="preserve"> </w:t>
                              </w:r>
                              <w:r>
                                <w:rPr>
                                  <w:sz w:val="15"/>
                                </w:rPr>
                                <w:t>ni</w:t>
                              </w:r>
                              <w:r>
                                <w:rPr>
                                  <w:spacing w:val="-8"/>
                                  <w:sz w:val="15"/>
                                </w:rPr>
                                <w:t xml:space="preserve"> </w:t>
                              </w:r>
                              <w:r>
                                <w:rPr>
                                  <w:sz w:val="15"/>
                                </w:rPr>
                                <w:t>influencias</w:t>
                              </w:r>
                              <w:r>
                                <w:rPr>
                                  <w:spacing w:val="-8"/>
                                  <w:sz w:val="15"/>
                                </w:rPr>
                                <w:t xml:space="preserve"> </w:t>
                              </w:r>
                              <w:r>
                                <w:rPr>
                                  <w:sz w:val="15"/>
                                </w:rPr>
                                <w:t>indebidas,</w:t>
                              </w:r>
                              <w:r>
                                <w:rPr>
                                  <w:spacing w:val="-7"/>
                                  <w:sz w:val="15"/>
                                </w:rPr>
                                <w:t xml:space="preserve"> </w:t>
                              </w:r>
                              <w:r>
                                <w:rPr>
                                  <w:sz w:val="15"/>
                                </w:rPr>
                                <w:t>sean proporcionales</w:t>
                              </w:r>
                              <w:r>
                                <w:rPr>
                                  <w:spacing w:val="-11"/>
                                  <w:sz w:val="15"/>
                                </w:rPr>
                                <w:t xml:space="preserve"> </w:t>
                              </w:r>
                              <w:r>
                                <w:rPr>
                                  <w:sz w:val="15"/>
                                </w:rPr>
                                <w:t>y</w:t>
                              </w:r>
                              <w:r>
                                <w:rPr>
                                  <w:spacing w:val="-10"/>
                                  <w:sz w:val="15"/>
                                </w:rPr>
                                <w:t xml:space="preserve"> </w:t>
                              </w:r>
                              <w:r>
                                <w:rPr>
                                  <w:sz w:val="15"/>
                                </w:rPr>
                                <w:t>se</w:t>
                              </w:r>
                              <w:r>
                                <w:rPr>
                                  <w:spacing w:val="-11"/>
                                  <w:sz w:val="15"/>
                                </w:rPr>
                                <w:t xml:space="preserve"> </w:t>
                              </w:r>
                              <w:r>
                                <w:rPr>
                                  <w:sz w:val="15"/>
                                </w:rPr>
                                <w:t>adapten</w:t>
                              </w:r>
                              <w:r>
                                <w:rPr>
                                  <w:spacing w:val="-10"/>
                                  <w:sz w:val="15"/>
                                </w:rPr>
                                <w:t xml:space="preserve"> </w:t>
                              </w:r>
                              <w:r>
                                <w:rPr>
                                  <w:sz w:val="15"/>
                                </w:rPr>
                                <w:t>a</w:t>
                              </w:r>
                              <w:r>
                                <w:rPr>
                                  <w:spacing w:val="-10"/>
                                  <w:sz w:val="15"/>
                                </w:rPr>
                                <w:t xml:space="preserve"> </w:t>
                              </w:r>
                              <w:r>
                                <w:rPr>
                                  <w:sz w:val="15"/>
                                </w:rPr>
                                <w:t>las</w:t>
                              </w:r>
                              <w:r>
                                <w:rPr>
                                  <w:spacing w:val="-11"/>
                                  <w:sz w:val="15"/>
                                </w:rPr>
                                <w:t xml:space="preserve"> </w:t>
                              </w:r>
                              <w:r>
                                <w:rPr>
                                  <w:sz w:val="15"/>
                                </w:rPr>
                                <w:t>circunstancias</w:t>
                              </w:r>
                              <w:r>
                                <w:rPr>
                                  <w:spacing w:val="-10"/>
                                  <w:sz w:val="15"/>
                                </w:rPr>
                                <w:t xml:space="preserve"> </w:t>
                              </w:r>
                              <w:r>
                                <w:rPr>
                                  <w:sz w:val="15"/>
                                </w:rPr>
                                <w:t>de</w:t>
                              </w:r>
                              <w:r>
                                <w:rPr>
                                  <w:spacing w:val="-11"/>
                                  <w:sz w:val="15"/>
                                </w:rPr>
                                <w:t xml:space="preserve"> </w:t>
                              </w:r>
                              <w:r>
                                <w:rPr>
                                  <w:sz w:val="15"/>
                                </w:rPr>
                                <w:t>la</w:t>
                              </w:r>
                              <w:r>
                                <w:rPr>
                                  <w:spacing w:val="-10"/>
                                  <w:sz w:val="15"/>
                                </w:rPr>
                                <w:t xml:space="preserve"> </w:t>
                              </w:r>
                              <w:r>
                                <w:rPr>
                                  <w:sz w:val="15"/>
                                </w:rPr>
                                <w:t>persona,</w:t>
                              </w:r>
                              <w:r>
                                <w:rPr>
                                  <w:spacing w:val="-10"/>
                                  <w:sz w:val="15"/>
                                </w:rPr>
                                <w:t xml:space="preserve"> </w:t>
                              </w:r>
                              <w:r>
                                <w:rPr>
                                  <w:sz w:val="15"/>
                                </w:rPr>
                                <w:t>se</w:t>
                              </w:r>
                              <w:r>
                                <w:rPr>
                                  <w:spacing w:val="-11"/>
                                  <w:sz w:val="15"/>
                                </w:rPr>
                                <w:t xml:space="preserve"> </w:t>
                              </w:r>
                              <w:r>
                                <w:rPr>
                                  <w:sz w:val="15"/>
                                </w:rPr>
                                <w:t>apliquen</w:t>
                              </w:r>
                              <w:r>
                                <w:rPr>
                                  <w:spacing w:val="-10"/>
                                  <w:sz w:val="15"/>
                                </w:rPr>
                                <w:t xml:space="preserve"> </w:t>
                              </w:r>
                              <w:r>
                                <w:rPr>
                                  <w:sz w:val="15"/>
                                </w:rPr>
                                <w:t>durante</w:t>
                              </w:r>
                              <w:r>
                                <w:rPr>
                                  <w:spacing w:val="-11"/>
                                  <w:sz w:val="15"/>
                                </w:rPr>
                                <w:t xml:space="preserve"> </w:t>
                              </w:r>
                              <w:r>
                                <w:rPr>
                                  <w:sz w:val="15"/>
                                </w:rPr>
                                <w:t>el</w:t>
                              </w:r>
                              <w:r>
                                <w:rPr>
                                  <w:spacing w:val="-10"/>
                                  <w:sz w:val="15"/>
                                </w:rPr>
                                <w:t xml:space="preserve"> </w:t>
                              </w:r>
                              <w:r>
                                <w:rPr>
                                  <w:sz w:val="15"/>
                                </w:rPr>
                                <w:t>menor</w:t>
                              </w:r>
                              <w:r>
                                <w:rPr>
                                  <w:spacing w:val="-10"/>
                                  <w:sz w:val="15"/>
                                </w:rPr>
                                <w:t xml:space="preserve"> </w:t>
                              </w:r>
                              <w:r>
                                <w:rPr>
                                  <w:sz w:val="15"/>
                                </w:rPr>
                                <w:t>tiempo</w:t>
                              </w:r>
                              <w:r>
                                <w:rPr>
                                  <w:spacing w:val="-11"/>
                                  <w:sz w:val="15"/>
                                </w:rPr>
                                <w:t xml:space="preserve"> </w:t>
                              </w:r>
                              <w:r>
                                <w:rPr>
                                  <w:sz w:val="15"/>
                                </w:rPr>
                                <w:t>posible</w:t>
                              </w:r>
                              <w:r>
                                <w:rPr>
                                  <w:spacing w:val="-10"/>
                                  <w:sz w:val="15"/>
                                </w:rPr>
                                <w:t xml:space="preserve"> </w:t>
                              </w:r>
                              <w:r>
                                <w:rPr>
                                  <w:sz w:val="15"/>
                                </w:rPr>
                                <w:t>y</w:t>
                              </w:r>
                              <w:r>
                                <w:rPr>
                                  <w:spacing w:val="-10"/>
                                  <w:sz w:val="15"/>
                                </w:rPr>
                                <w:t xml:space="preserve"> </w:t>
                              </w:r>
                              <w:r>
                                <w:rPr>
                                  <w:sz w:val="15"/>
                                </w:rPr>
                                <w:t>están</w:t>
                              </w:r>
                              <w:r>
                                <w:rPr>
                                  <w:spacing w:val="-11"/>
                                  <w:sz w:val="15"/>
                                </w:rPr>
                                <w:t xml:space="preserve"> </w:t>
                              </w:r>
                              <w:r>
                                <w:rPr>
                                  <w:sz w:val="15"/>
                                </w:rPr>
                                <w:t>sujetos</w:t>
                              </w:r>
                              <w:r>
                                <w:rPr>
                                  <w:spacing w:val="-10"/>
                                  <w:sz w:val="15"/>
                                </w:rPr>
                                <w:t xml:space="preserve"> </w:t>
                              </w:r>
                              <w:r>
                                <w:rPr>
                                  <w:sz w:val="15"/>
                                </w:rPr>
                                <w:t>a</w:t>
                              </w:r>
                              <w:r>
                                <w:rPr>
                                  <w:spacing w:val="-11"/>
                                  <w:sz w:val="15"/>
                                </w:rPr>
                                <w:t xml:space="preserve"> </w:t>
                              </w:r>
                              <w:r>
                                <w:rPr>
                                  <w:spacing w:val="-2"/>
                                  <w:sz w:val="15"/>
                                </w:rPr>
                                <w:t>revisión</w:t>
                              </w:r>
                            </w:p>
                            <w:p w14:paraId="2CE15A2D" w14:textId="77777777" w:rsidR="0014798C" w:rsidRDefault="004E1F0B">
                              <w:pPr>
                                <w:spacing w:line="170" w:lineRule="exact"/>
                                <w:ind w:left="1"/>
                                <w:rPr>
                                  <w:sz w:val="15"/>
                                </w:rPr>
                              </w:pPr>
                              <w:r>
                                <w:rPr>
                                  <w:spacing w:val="-2"/>
                                  <w:sz w:val="15"/>
                                </w:rPr>
                                <w:t>periódica</w:t>
                              </w:r>
                              <w:r>
                                <w:rPr>
                                  <w:spacing w:val="-3"/>
                                  <w:sz w:val="15"/>
                                </w:rPr>
                                <w:t xml:space="preserve"> </w:t>
                              </w:r>
                              <w:r>
                                <w:rPr>
                                  <w:spacing w:val="-2"/>
                                  <w:sz w:val="15"/>
                                </w:rPr>
                                <w:t>por parte</w:t>
                              </w:r>
                              <w:r>
                                <w:rPr>
                                  <w:spacing w:val="-3"/>
                                  <w:sz w:val="15"/>
                                </w:rPr>
                                <w:t xml:space="preserve"> </w:t>
                              </w:r>
                              <w:r>
                                <w:rPr>
                                  <w:spacing w:val="-2"/>
                                  <w:sz w:val="15"/>
                                </w:rPr>
                                <w:t>de una autoridad</w:t>
                              </w:r>
                              <w:r>
                                <w:rPr>
                                  <w:spacing w:val="-3"/>
                                  <w:sz w:val="15"/>
                                </w:rPr>
                                <w:t xml:space="preserve"> </w:t>
                              </w:r>
                              <w:r>
                                <w:rPr>
                                  <w:spacing w:val="-2"/>
                                  <w:sz w:val="15"/>
                                </w:rPr>
                                <w:t>u órgano judicial</w:t>
                              </w:r>
                              <w:r>
                                <w:rPr>
                                  <w:spacing w:val="-3"/>
                                  <w:sz w:val="15"/>
                                </w:rPr>
                                <w:t xml:space="preserve"> </w:t>
                              </w:r>
                              <w:r>
                                <w:rPr>
                                  <w:spacing w:val="-2"/>
                                  <w:sz w:val="15"/>
                                </w:rPr>
                                <w:t>competente,</w:t>
                              </w:r>
                              <w:r>
                                <w:rPr>
                                  <w:spacing w:val="-1"/>
                                  <w:sz w:val="15"/>
                                </w:rPr>
                                <w:t xml:space="preserve"> </w:t>
                              </w:r>
                              <w:r>
                                <w:rPr>
                                  <w:spacing w:val="-2"/>
                                  <w:sz w:val="15"/>
                                </w:rPr>
                                <w:t>independiente</w:t>
                              </w:r>
                              <w:r>
                                <w:rPr>
                                  <w:spacing w:val="-3"/>
                                  <w:sz w:val="15"/>
                                </w:rPr>
                                <w:t xml:space="preserve"> </w:t>
                              </w:r>
                              <w:r>
                                <w:rPr>
                                  <w:spacing w:val="-2"/>
                                  <w:sz w:val="15"/>
                                </w:rPr>
                                <w:t>e imparcial”.</w:t>
                              </w:r>
                            </w:p>
                          </w:txbxContent>
                        </wps:txbx>
                        <wps:bodyPr wrap="square" lIns="0" tIns="0" rIns="0" bIns="0" rtlCol="0">
                          <a:noAutofit/>
                        </wps:bodyPr>
                      </wps:wsp>
                    </wpg:wgp>
                  </a:graphicData>
                </a:graphic>
              </wp:anchor>
            </w:drawing>
          </mc:Choice>
          <mc:Fallback>
            <w:pict>
              <v:group w14:anchorId="4C8B7123" id="Group 206" o:spid="_x0000_s1106" style="position:absolute;margin-left:62.25pt;margin-top:21.05pt;width:470.15pt;height:243.8pt;z-index:-251657943;mso-wrap-distance-left:0;mso-wrap-distance-right:0;mso-position-horizontal-relative:page" coordsize="59709,30962"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">
                <v:shape id="Image 207" o:spid="_x0000_s1107" type="#_x0000_t75" style="position:absolute;width:59706;height:3095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">
                  <v:imagedata r:id="rId188" o:title=""/>
                </v:shape>
                <v:shape id="Textbox 208" o:spid="_x0000_s1108" type="#_x0000_t202" style="position:absolute;left:1790;top:1948;width:54242;height:993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" filled="f" stroked="f">
                  <v:textbox inset="0,0,0,0">
                    <w:txbxContent>
                      <w:p w14:paraId="14803FE0" w14:textId="77777777" w:rsidR="0014798C" w:rsidRDefault="004E1F0B">
                        <w:pPr>
                          <w:spacing w:line="166" w:lineRule="exact"/>
                          <w:rPr>
                            <w:sz w:val="15"/>
                          </w:rPr>
                        </w:pPr>
                        <w:r>
                          <w:rPr>
                            <w:spacing w:val="-2"/>
                            <w:sz w:val="15"/>
                          </w:rPr>
                          <w:t>VICTIMIDAD</w:t>
                        </w:r>
                        <w:r>
                          <w:rPr>
                            <w:spacing w:val="-9"/>
                            <w:sz w:val="15"/>
                          </w:rPr>
                          <w:t xml:space="preserve"> </w:t>
                        </w:r>
                        <w:r>
                          <w:rPr>
                            <w:spacing w:val="-2"/>
                            <w:sz w:val="15"/>
                          </w:rPr>
                          <w:t>Y</w:t>
                        </w:r>
                        <w:r>
                          <w:rPr>
                            <w:spacing w:val="-6"/>
                            <w:sz w:val="15"/>
                          </w:rPr>
                          <w:t xml:space="preserve"> </w:t>
                        </w:r>
                        <w:r>
                          <w:rPr>
                            <w:spacing w:val="-2"/>
                            <w:sz w:val="15"/>
                          </w:rPr>
                          <w:t>SITUACIÓN:</w:t>
                        </w:r>
                        <w:r>
                          <w:rPr>
                            <w:spacing w:val="-5"/>
                            <w:sz w:val="15"/>
                          </w:rPr>
                          <w:t xml:space="preserve"> </w:t>
                        </w:r>
                        <w:r>
                          <w:rPr>
                            <w:spacing w:val="-2"/>
                            <w:sz w:val="15"/>
                          </w:rPr>
                          <w:t>IGUAL</w:t>
                        </w:r>
                        <w:r>
                          <w:rPr>
                            <w:spacing w:val="-7"/>
                            <w:sz w:val="15"/>
                          </w:rPr>
                          <w:t xml:space="preserve"> </w:t>
                        </w:r>
                        <w:r>
                          <w:rPr>
                            <w:spacing w:val="-2"/>
                            <w:sz w:val="15"/>
                          </w:rPr>
                          <w:t>CAPACIDAD</w:t>
                        </w:r>
                        <w:r>
                          <w:rPr>
                            <w:spacing w:val="-6"/>
                            <w:sz w:val="15"/>
                          </w:rPr>
                          <w:t xml:space="preserve"> </w:t>
                        </w:r>
                        <w:r>
                          <w:rPr>
                            <w:spacing w:val="-2"/>
                            <w:sz w:val="15"/>
                          </w:rPr>
                          <w:t>JURÍDICA</w:t>
                        </w:r>
                      </w:p>
                      <w:p w14:paraId="171F3078" w14:textId="77777777" w:rsidR="0014798C" w:rsidRDefault="004E1F0B">
                        <w:pPr>
                          <w:spacing w:before="147" w:line="250" w:lineRule="atLeast"/>
                          <w:ind w:left="7" w:firstLine="3"/>
                          <w:rPr>
                            <w:sz w:val="15"/>
                          </w:rPr>
                        </w:pPr>
                        <w:r>
                          <w:rPr>
                            <w:sz w:val="15"/>
                          </w:rPr>
                          <w:t>A</w:t>
                        </w:r>
                        <w:r>
                          <w:rPr>
                            <w:spacing w:val="-8"/>
                            <w:sz w:val="15"/>
                          </w:rPr>
                          <w:t xml:space="preserve"> </w:t>
                        </w:r>
                        <w:r>
                          <w:rPr>
                            <w:sz w:val="15"/>
                          </w:rPr>
                          <w:t>ciertos</w:t>
                        </w:r>
                        <w:r>
                          <w:rPr>
                            <w:spacing w:val="-8"/>
                            <w:sz w:val="15"/>
                          </w:rPr>
                          <w:t xml:space="preserve"> </w:t>
                        </w:r>
                        <w:r>
                          <w:rPr>
                            <w:sz w:val="15"/>
                          </w:rPr>
                          <w:t>grupos</w:t>
                        </w:r>
                        <w:r>
                          <w:rPr>
                            <w:spacing w:val="-8"/>
                            <w:sz w:val="15"/>
                          </w:rPr>
                          <w:t xml:space="preserve"> </w:t>
                        </w:r>
                        <w:r>
                          <w:rPr>
                            <w:sz w:val="15"/>
                          </w:rPr>
                          <w:t>de</w:t>
                        </w:r>
                        <w:r>
                          <w:rPr>
                            <w:spacing w:val="-8"/>
                            <w:sz w:val="15"/>
                          </w:rPr>
                          <w:t xml:space="preserve"> </w:t>
                        </w:r>
                        <w:r>
                          <w:rPr>
                            <w:sz w:val="15"/>
                          </w:rPr>
                          <w:t>la</w:t>
                        </w:r>
                        <w:r>
                          <w:rPr>
                            <w:spacing w:val="-8"/>
                            <w:sz w:val="15"/>
                          </w:rPr>
                          <w:t xml:space="preserve"> </w:t>
                        </w:r>
                        <w:r>
                          <w:rPr>
                            <w:sz w:val="15"/>
                          </w:rPr>
                          <w:t>sociedad</w:t>
                        </w:r>
                        <w:r>
                          <w:rPr>
                            <w:spacing w:val="-8"/>
                            <w:sz w:val="15"/>
                          </w:rPr>
                          <w:t xml:space="preserve"> </w:t>
                        </w:r>
                        <w:r>
                          <w:rPr>
                            <w:sz w:val="15"/>
                          </w:rPr>
                          <w:t>se</w:t>
                        </w:r>
                        <w:r>
                          <w:rPr>
                            <w:spacing w:val="-8"/>
                            <w:sz w:val="15"/>
                          </w:rPr>
                          <w:t xml:space="preserve"> </w:t>
                        </w:r>
                        <w:r>
                          <w:rPr>
                            <w:sz w:val="15"/>
                          </w:rPr>
                          <w:t>les</w:t>
                        </w:r>
                        <w:r>
                          <w:rPr>
                            <w:spacing w:val="-8"/>
                            <w:sz w:val="15"/>
                          </w:rPr>
                          <w:t xml:space="preserve"> </w:t>
                        </w:r>
                        <w:r>
                          <w:rPr>
                            <w:sz w:val="15"/>
                          </w:rPr>
                          <w:t>niega</w:t>
                        </w:r>
                        <w:r>
                          <w:rPr>
                            <w:spacing w:val="-8"/>
                            <w:sz w:val="15"/>
                          </w:rPr>
                          <w:t xml:space="preserve"> </w:t>
                        </w:r>
                        <w:r>
                          <w:rPr>
                            <w:sz w:val="15"/>
                          </w:rPr>
                          <w:t>legitimación</w:t>
                        </w:r>
                        <w:r>
                          <w:rPr>
                            <w:spacing w:val="-8"/>
                            <w:sz w:val="15"/>
                          </w:rPr>
                          <w:t xml:space="preserve"> </w:t>
                        </w:r>
                        <w:r>
                          <w:rPr>
                            <w:sz w:val="15"/>
                          </w:rPr>
                          <w:t>activa</w:t>
                        </w:r>
                        <w:r>
                          <w:rPr>
                            <w:spacing w:val="-8"/>
                            <w:sz w:val="15"/>
                          </w:rPr>
                          <w:t xml:space="preserve"> </w:t>
                        </w:r>
                        <w:r>
                          <w:rPr>
                            <w:sz w:val="15"/>
                          </w:rPr>
                          <w:t>debido</w:t>
                        </w:r>
                        <w:r>
                          <w:rPr>
                            <w:spacing w:val="-8"/>
                            <w:sz w:val="15"/>
                          </w:rPr>
                          <w:t xml:space="preserve"> </w:t>
                        </w:r>
                        <w:r>
                          <w:rPr>
                            <w:sz w:val="15"/>
                          </w:rPr>
                          <w:t>a</w:t>
                        </w:r>
                        <w:r>
                          <w:rPr>
                            <w:spacing w:val="-8"/>
                            <w:sz w:val="15"/>
                          </w:rPr>
                          <w:t xml:space="preserve"> </w:t>
                        </w:r>
                        <w:r>
                          <w:rPr>
                            <w:sz w:val="15"/>
                          </w:rPr>
                          <w:t>disposiciones</w:t>
                        </w:r>
                        <w:r>
                          <w:rPr>
                            <w:spacing w:val="-8"/>
                            <w:sz w:val="15"/>
                          </w:rPr>
                          <w:t xml:space="preserve"> </w:t>
                        </w:r>
                        <w:r>
                          <w:rPr>
                            <w:sz w:val="15"/>
                          </w:rPr>
                          <w:t>que</w:t>
                        </w:r>
                        <w:r>
                          <w:rPr>
                            <w:spacing w:val="-8"/>
                            <w:sz w:val="15"/>
                          </w:rPr>
                          <w:t xml:space="preserve"> </w:t>
                        </w:r>
                        <w:r>
                          <w:rPr>
                            <w:sz w:val="15"/>
                          </w:rPr>
                          <w:t>permiten</w:t>
                        </w:r>
                        <w:r>
                          <w:rPr>
                            <w:spacing w:val="-8"/>
                            <w:sz w:val="15"/>
                          </w:rPr>
                          <w:t xml:space="preserve"> </w:t>
                        </w:r>
                        <w:r>
                          <w:rPr>
                            <w:sz w:val="15"/>
                          </w:rPr>
                          <w:t>la</w:t>
                        </w:r>
                        <w:r>
                          <w:rPr>
                            <w:spacing w:val="-8"/>
                            <w:sz w:val="15"/>
                          </w:rPr>
                          <w:t xml:space="preserve"> </w:t>
                        </w:r>
                        <w:r>
                          <w:rPr>
                            <w:sz w:val="15"/>
                          </w:rPr>
                          <w:t>transferencia</w:t>
                        </w:r>
                        <w:r>
                          <w:rPr>
                            <w:spacing w:val="-8"/>
                            <w:sz w:val="15"/>
                          </w:rPr>
                          <w:t xml:space="preserve"> </w:t>
                        </w:r>
                        <w:r>
                          <w:rPr>
                            <w:sz w:val="15"/>
                          </w:rPr>
                          <w:t>del</w:t>
                        </w:r>
                        <w:r>
                          <w:rPr>
                            <w:spacing w:val="-8"/>
                            <w:sz w:val="15"/>
                          </w:rPr>
                          <w:t xml:space="preserve"> </w:t>
                        </w:r>
                        <w:r>
                          <w:rPr>
                            <w:sz w:val="15"/>
                          </w:rPr>
                          <w:t>poder</w:t>
                        </w:r>
                        <w:r>
                          <w:rPr>
                            <w:spacing w:val="-8"/>
                            <w:sz w:val="15"/>
                          </w:rPr>
                          <w:t xml:space="preserve"> </w:t>
                        </w:r>
                        <w:r>
                          <w:rPr>
                            <w:sz w:val="15"/>
                          </w:rPr>
                          <w:t>de toma</w:t>
                        </w:r>
                        <w:r>
                          <w:rPr>
                            <w:spacing w:val="-3"/>
                            <w:sz w:val="15"/>
                          </w:rPr>
                          <w:t xml:space="preserve"> </w:t>
                        </w:r>
                        <w:r>
                          <w:rPr>
                            <w:sz w:val="15"/>
                          </w:rPr>
                          <w:t>de</w:t>
                        </w:r>
                        <w:r>
                          <w:rPr>
                            <w:spacing w:val="-3"/>
                            <w:sz w:val="15"/>
                          </w:rPr>
                          <w:t xml:space="preserve"> </w:t>
                        </w:r>
                        <w:r>
                          <w:rPr>
                            <w:sz w:val="15"/>
                          </w:rPr>
                          <w:t>decisiones</w:t>
                        </w:r>
                        <w:r>
                          <w:rPr>
                            <w:spacing w:val="-3"/>
                            <w:sz w:val="15"/>
                          </w:rPr>
                          <w:t xml:space="preserve"> </w:t>
                        </w:r>
                        <w:r>
                          <w:rPr>
                            <w:sz w:val="15"/>
                          </w:rPr>
                          <w:t>a</w:t>
                        </w:r>
                        <w:r>
                          <w:rPr>
                            <w:spacing w:val="-3"/>
                            <w:sz w:val="15"/>
                          </w:rPr>
                          <w:t xml:space="preserve"> </w:t>
                        </w:r>
                        <w:r>
                          <w:rPr>
                            <w:sz w:val="15"/>
                          </w:rPr>
                          <w:t>otra</w:t>
                        </w:r>
                        <w:r>
                          <w:rPr>
                            <w:spacing w:val="-3"/>
                            <w:sz w:val="15"/>
                          </w:rPr>
                          <w:t xml:space="preserve"> </w:t>
                        </w:r>
                        <w:r>
                          <w:rPr>
                            <w:sz w:val="15"/>
                          </w:rPr>
                          <w:t>persona</w:t>
                        </w:r>
                        <w:r>
                          <w:rPr>
                            <w:spacing w:val="-3"/>
                            <w:sz w:val="15"/>
                          </w:rPr>
                          <w:t xml:space="preserve"> </w:t>
                        </w:r>
                        <w:r>
                          <w:rPr>
                            <w:sz w:val="15"/>
                          </w:rPr>
                          <w:t>o</w:t>
                        </w:r>
                        <w:r>
                          <w:rPr>
                            <w:spacing w:val="-3"/>
                            <w:sz w:val="15"/>
                          </w:rPr>
                          <w:t xml:space="preserve"> </w:t>
                        </w:r>
                        <w:r>
                          <w:rPr>
                            <w:sz w:val="15"/>
                          </w:rPr>
                          <w:t>institución.</w:t>
                        </w:r>
                        <w:r>
                          <w:rPr>
                            <w:spacing w:val="-2"/>
                            <w:sz w:val="15"/>
                          </w:rPr>
                          <w:t xml:space="preserve"> </w:t>
                        </w:r>
                        <w:r>
                          <w:rPr>
                            <w:sz w:val="15"/>
                          </w:rPr>
                          <w:t>Este</w:t>
                        </w:r>
                        <w:r>
                          <w:rPr>
                            <w:spacing w:val="-3"/>
                            <w:sz w:val="15"/>
                          </w:rPr>
                          <w:t xml:space="preserve"> </w:t>
                        </w:r>
                        <w:r>
                          <w:rPr>
                            <w:sz w:val="15"/>
                          </w:rPr>
                          <w:t>es</w:t>
                        </w:r>
                        <w:r>
                          <w:rPr>
                            <w:spacing w:val="-3"/>
                            <w:sz w:val="15"/>
                          </w:rPr>
                          <w:t xml:space="preserve"> </w:t>
                        </w:r>
                        <w:r>
                          <w:rPr>
                            <w:sz w:val="15"/>
                          </w:rPr>
                          <w:t>particularmente</w:t>
                        </w:r>
                        <w:r>
                          <w:rPr>
                            <w:spacing w:val="-3"/>
                            <w:sz w:val="15"/>
                          </w:rPr>
                          <w:t xml:space="preserve"> </w:t>
                        </w:r>
                        <w:r>
                          <w:rPr>
                            <w:sz w:val="15"/>
                          </w:rPr>
                          <w:t>el</w:t>
                        </w:r>
                        <w:r>
                          <w:rPr>
                            <w:spacing w:val="-3"/>
                            <w:sz w:val="15"/>
                          </w:rPr>
                          <w:t xml:space="preserve"> </w:t>
                        </w:r>
                        <w:r>
                          <w:rPr>
                            <w:sz w:val="15"/>
                          </w:rPr>
                          <w:t>caso</w:t>
                        </w:r>
                        <w:r>
                          <w:rPr>
                            <w:spacing w:val="-3"/>
                            <w:sz w:val="15"/>
                          </w:rPr>
                          <w:t xml:space="preserve"> </w:t>
                        </w:r>
                        <w:r>
                          <w:rPr>
                            <w:sz w:val="15"/>
                          </w:rPr>
                          <w:t>de</w:t>
                        </w:r>
                        <w:r>
                          <w:rPr>
                            <w:spacing w:val="-3"/>
                            <w:sz w:val="15"/>
                          </w:rPr>
                          <w:t xml:space="preserve"> </w:t>
                        </w:r>
                        <w:r>
                          <w:rPr>
                            <w:sz w:val="15"/>
                          </w:rPr>
                          <w:t>las</w:t>
                        </w:r>
                        <w:r>
                          <w:rPr>
                            <w:spacing w:val="-3"/>
                            <w:sz w:val="15"/>
                          </w:rPr>
                          <w:t xml:space="preserve"> </w:t>
                        </w:r>
                        <w:r>
                          <w:rPr>
                            <w:sz w:val="15"/>
                          </w:rPr>
                          <w:t>personas</w:t>
                        </w:r>
                        <w:r>
                          <w:rPr>
                            <w:spacing w:val="-3"/>
                            <w:sz w:val="15"/>
                          </w:rPr>
                          <w:t xml:space="preserve"> </w:t>
                        </w:r>
                        <w:r>
                          <w:rPr>
                            <w:sz w:val="15"/>
                          </w:rPr>
                          <w:t>con</w:t>
                        </w:r>
                        <w:r>
                          <w:rPr>
                            <w:spacing w:val="-3"/>
                            <w:sz w:val="15"/>
                          </w:rPr>
                          <w:t xml:space="preserve"> </w:t>
                        </w:r>
                        <w:r>
                          <w:rPr>
                            <w:sz w:val="15"/>
                          </w:rPr>
                          <w:t>discapacidad</w:t>
                        </w:r>
                        <w:r>
                          <w:rPr>
                            <w:spacing w:val="-3"/>
                            <w:sz w:val="15"/>
                          </w:rPr>
                          <w:t xml:space="preserve"> </w:t>
                        </w:r>
                        <w:r>
                          <w:rPr>
                            <w:sz w:val="15"/>
                          </w:rPr>
                          <w:t>intelectual</w:t>
                        </w:r>
                        <w:r>
                          <w:rPr>
                            <w:spacing w:val="-3"/>
                            <w:sz w:val="15"/>
                          </w:rPr>
                          <w:t xml:space="preserve"> </w:t>
                        </w:r>
                        <w:r>
                          <w:rPr>
                            <w:sz w:val="15"/>
                          </w:rPr>
                          <w:t>o psicosocial,</w:t>
                        </w:r>
                        <w:r>
                          <w:rPr>
                            <w:spacing w:val="-3"/>
                            <w:sz w:val="15"/>
                          </w:rPr>
                          <w:t xml:space="preserve"> </w:t>
                        </w:r>
                        <w:r>
                          <w:rPr>
                            <w:sz w:val="15"/>
                          </w:rPr>
                          <w:t>aunque</w:t>
                        </w:r>
                        <w:r>
                          <w:rPr>
                            <w:spacing w:val="-4"/>
                            <w:sz w:val="15"/>
                          </w:rPr>
                          <w:t xml:space="preserve"> </w:t>
                        </w:r>
                        <w:r>
                          <w:rPr>
                            <w:sz w:val="15"/>
                          </w:rPr>
                          <w:t>la</w:t>
                        </w:r>
                        <w:r>
                          <w:rPr>
                            <w:spacing w:val="-4"/>
                            <w:sz w:val="15"/>
                          </w:rPr>
                          <w:t xml:space="preserve"> </w:t>
                        </w:r>
                        <w:r>
                          <w:rPr>
                            <w:sz w:val="15"/>
                          </w:rPr>
                          <w:t>denegación</w:t>
                        </w:r>
                        <w:r>
                          <w:rPr>
                            <w:spacing w:val="-4"/>
                            <w:sz w:val="15"/>
                          </w:rPr>
                          <w:t xml:space="preserve"> </w:t>
                        </w:r>
                        <w:r>
                          <w:rPr>
                            <w:sz w:val="15"/>
                          </w:rPr>
                          <w:t>discriminatoria</w:t>
                        </w:r>
                        <w:r>
                          <w:rPr>
                            <w:spacing w:val="-4"/>
                            <w:sz w:val="15"/>
                          </w:rPr>
                          <w:t xml:space="preserve"> </w:t>
                        </w:r>
                        <w:r>
                          <w:rPr>
                            <w:sz w:val="15"/>
                          </w:rPr>
                          <w:t>de</w:t>
                        </w:r>
                        <w:r>
                          <w:rPr>
                            <w:spacing w:val="-4"/>
                            <w:sz w:val="15"/>
                          </w:rPr>
                          <w:t xml:space="preserve"> </w:t>
                        </w:r>
                        <w:r>
                          <w:rPr>
                            <w:sz w:val="15"/>
                          </w:rPr>
                          <w:t>la</w:t>
                        </w:r>
                        <w:r>
                          <w:rPr>
                            <w:spacing w:val="-4"/>
                            <w:sz w:val="15"/>
                          </w:rPr>
                          <w:t xml:space="preserve"> </w:t>
                        </w:r>
                        <w:r>
                          <w:rPr>
                            <w:sz w:val="15"/>
                          </w:rPr>
                          <w:t>capacidad</w:t>
                        </w:r>
                        <w:r>
                          <w:rPr>
                            <w:spacing w:val="-4"/>
                            <w:sz w:val="15"/>
                          </w:rPr>
                          <w:t xml:space="preserve"> </w:t>
                        </w:r>
                        <w:r>
                          <w:rPr>
                            <w:sz w:val="15"/>
                          </w:rPr>
                          <w:t>jurídica</w:t>
                        </w:r>
                        <w:r>
                          <w:rPr>
                            <w:spacing w:val="-4"/>
                            <w:sz w:val="15"/>
                          </w:rPr>
                          <w:t xml:space="preserve"> </w:t>
                        </w:r>
                        <w:r>
                          <w:rPr>
                            <w:sz w:val="15"/>
                          </w:rPr>
                          <w:t>también</w:t>
                        </w:r>
                        <w:r>
                          <w:rPr>
                            <w:spacing w:val="-4"/>
                            <w:sz w:val="15"/>
                          </w:rPr>
                          <w:t xml:space="preserve"> </w:t>
                        </w:r>
                        <w:r>
                          <w:rPr>
                            <w:sz w:val="15"/>
                          </w:rPr>
                          <w:t>puede</w:t>
                        </w:r>
                        <w:r>
                          <w:rPr>
                            <w:spacing w:val="-4"/>
                            <w:sz w:val="15"/>
                          </w:rPr>
                          <w:t xml:space="preserve"> </w:t>
                        </w:r>
                        <w:r>
                          <w:rPr>
                            <w:sz w:val="15"/>
                          </w:rPr>
                          <w:t>ocurrir</w:t>
                        </w:r>
                        <w:r>
                          <w:rPr>
                            <w:spacing w:val="-4"/>
                            <w:sz w:val="15"/>
                          </w:rPr>
                          <w:t xml:space="preserve"> </w:t>
                        </w:r>
                        <w:r>
                          <w:rPr>
                            <w:sz w:val="15"/>
                          </w:rPr>
                          <w:t>por</w:t>
                        </w:r>
                        <w:r>
                          <w:rPr>
                            <w:spacing w:val="-4"/>
                            <w:sz w:val="15"/>
                          </w:rPr>
                          <w:t xml:space="preserve"> </w:t>
                        </w:r>
                        <w:r>
                          <w:rPr>
                            <w:sz w:val="15"/>
                          </w:rPr>
                          <w:t>otros</w:t>
                        </w:r>
                        <w:r>
                          <w:rPr>
                            <w:spacing w:val="-4"/>
                            <w:sz w:val="15"/>
                          </w:rPr>
                          <w:t xml:space="preserve"> </w:t>
                        </w:r>
                        <w:r>
                          <w:rPr>
                            <w:sz w:val="15"/>
                          </w:rPr>
                          <w:t>motivos</w:t>
                        </w:r>
                        <w:r>
                          <w:rPr>
                            <w:spacing w:val="-4"/>
                            <w:sz w:val="15"/>
                          </w:rPr>
                          <w:t xml:space="preserve"> </w:t>
                        </w:r>
                        <w:r>
                          <w:rPr>
                            <w:sz w:val="15"/>
                          </w:rPr>
                          <w:t>o</w:t>
                        </w:r>
                        <w:r>
                          <w:rPr>
                            <w:spacing w:val="-4"/>
                            <w:sz w:val="15"/>
                          </w:rPr>
                          <w:t xml:space="preserve"> </w:t>
                        </w:r>
                        <w:r>
                          <w:rPr>
                            <w:sz w:val="15"/>
                          </w:rPr>
                          <w:t>por</w:t>
                        </w:r>
                        <w:r>
                          <w:rPr>
                            <w:spacing w:val="-4"/>
                            <w:sz w:val="15"/>
                          </w:rPr>
                          <w:t xml:space="preserve"> </w:t>
                        </w:r>
                        <w:r>
                          <w:rPr>
                            <w:sz w:val="15"/>
                          </w:rPr>
                          <w:t>una combinación</w:t>
                        </w:r>
                        <w:r>
                          <w:rPr>
                            <w:spacing w:val="-10"/>
                            <w:sz w:val="15"/>
                          </w:rPr>
                          <w:t xml:space="preserve"> </w:t>
                        </w:r>
                        <w:r>
                          <w:rPr>
                            <w:sz w:val="15"/>
                          </w:rPr>
                          <w:t>de</w:t>
                        </w:r>
                        <w:r>
                          <w:rPr>
                            <w:spacing w:val="-10"/>
                            <w:sz w:val="15"/>
                          </w:rPr>
                          <w:t xml:space="preserve"> </w:t>
                        </w:r>
                        <w:r>
                          <w:rPr>
                            <w:sz w:val="15"/>
                          </w:rPr>
                          <w:t>ellos.</w:t>
                        </w:r>
                        <w:r>
                          <w:rPr>
                            <w:spacing w:val="-10"/>
                            <w:sz w:val="15"/>
                          </w:rPr>
                          <w:t xml:space="preserve"> </w:t>
                        </w:r>
                        <w:r>
                          <w:rPr>
                            <w:sz w:val="15"/>
                          </w:rPr>
                          <w:t>La</w:t>
                        </w:r>
                        <w:r>
                          <w:rPr>
                            <w:spacing w:val="-10"/>
                            <w:sz w:val="15"/>
                          </w:rPr>
                          <w:t xml:space="preserve"> </w:t>
                        </w:r>
                        <w:r>
                          <w:rPr>
                            <w:sz w:val="15"/>
                          </w:rPr>
                          <w:t>comprensión</w:t>
                        </w:r>
                        <w:r>
                          <w:rPr>
                            <w:spacing w:val="-10"/>
                            <w:sz w:val="15"/>
                          </w:rPr>
                          <w:t xml:space="preserve"> </w:t>
                        </w:r>
                        <w:r>
                          <w:rPr>
                            <w:sz w:val="15"/>
                          </w:rPr>
                          <w:t>del</w:t>
                        </w:r>
                        <w:r>
                          <w:rPr>
                            <w:spacing w:val="-10"/>
                            <w:sz w:val="15"/>
                          </w:rPr>
                          <w:t xml:space="preserve"> </w:t>
                        </w:r>
                        <w:r>
                          <w:rPr>
                            <w:sz w:val="15"/>
                          </w:rPr>
                          <w:t>requisito</w:t>
                        </w:r>
                        <w:r>
                          <w:rPr>
                            <w:spacing w:val="-10"/>
                            <w:sz w:val="15"/>
                          </w:rPr>
                          <w:t xml:space="preserve"> </w:t>
                        </w:r>
                        <w:r>
                          <w:rPr>
                            <w:sz w:val="15"/>
                          </w:rPr>
                          <w:t>de</w:t>
                        </w:r>
                        <w:r>
                          <w:rPr>
                            <w:spacing w:val="-10"/>
                            <w:sz w:val="15"/>
                          </w:rPr>
                          <w:t xml:space="preserve"> </w:t>
                        </w:r>
                        <w:r>
                          <w:rPr>
                            <w:sz w:val="15"/>
                          </w:rPr>
                          <w:t>igualdad</w:t>
                        </w:r>
                        <w:r>
                          <w:rPr>
                            <w:spacing w:val="-10"/>
                            <w:sz w:val="15"/>
                          </w:rPr>
                          <w:t xml:space="preserve"> </w:t>
                        </w:r>
                        <w:r>
                          <w:rPr>
                            <w:sz w:val="15"/>
                          </w:rPr>
                          <w:t>de</w:t>
                        </w:r>
                        <w:r>
                          <w:rPr>
                            <w:spacing w:val="-10"/>
                            <w:sz w:val="15"/>
                          </w:rPr>
                          <w:t xml:space="preserve"> </w:t>
                        </w:r>
                        <w:r>
                          <w:rPr>
                            <w:sz w:val="15"/>
                          </w:rPr>
                          <w:t>capacidad</w:t>
                        </w:r>
                        <w:r>
                          <w:rPr>
                            <w:spacing w:val="-10"/>
                            <w:sz w:val="15"/>
                          </w:rPr>
                          <w:t xml:space="preserve"> </w:t>
                        </w:r>
                        <w:r>
                          <w:rPr>
                            <w:sz w:val="15"/>
                          </w:rPr>
                          <w:t>jurídica</w:t>
                        </w:r>
                        <w:r>
                          <w:rPr>
                            <w:spacing w:val="-10"/>
                            <w:sz w:val="15"/>
                          </w:rPr>
                          <w:t xml:space="preserve"> </w:t>
                        </w:r>
                        <w:r>
                          <w:rPr>
                            <w:sz w:val="15"/>
                          </w:rPr>
                          <w:t>se</w:t>
                        </w:r>
                        <w:r>
                          <w:rPr>
                            <w:spacing w:val="-10"/>
                            <w:sz w:val="15"/>
                          </w:rPr>
                          <w:t xml:space="preserve"> </w:t>
                        </w:r>
                        <w:r>
                          <w:rPr>
                            <w:sz w:val="15"/>
                          </w:rPr>
                          <w:t>ha</w:t>
                        </w:r>
                        <w:r>
                          <w:rPr>
                            <w:spacing w:val="-10"/>
                            <w:sz w:val="15"/>
                          </w:rPr>
                          <w:t xml:space="preserve"> </w:t>
                        </w:r>
                        <w:r>
                          <w:rPr>
                            <w:sz w:val="15"/>
                          </w:rPr>
                          <w:t>desarrollado</w:t>
                        </w:r>
                        <w:r>
                          <w:rPr>
                            <w:spacing w:val="-10"/>
                            <w:sz w:val="15"/>
                          </w:rPr>
                          <w:t xml:space="preserve"> </w:t>
                        </w:r>
                        <w:r>
                          <w:rPr>
                            <w:sz w:val="15"/>
                          </w:rPr>
                          <w:t>significativamente</w:t>
                        </w:r>
                        <w:r>
                          <w:rPr>
                            <w:spacing w:val="-10"/>
                            <w:sz w:val="15"/>
                          </w:rPr>
                          <w:t xml:space="preserve"> </w:t>
                        </w:r>
                        <w:r>
                          <w:rPr>
                            <w:sz w:val="15"/>
                          </w:rPr>
                          <w:t>en</w:t>
                        </w:r>
                        <w:r>
                          <w:rPr>
                            <w:spacing w:val="-10"/>
                            <w:sz w:val="15"/>
                          </w:rPr>
                          <w:t xml:space="preserve"> </w:t>
                        </w:r>
                        <w:r>
                          <w:rPr>
                            <w:sz w:val="15"/>
                          </w:rPr>
                          <w:t>los últimos</w:t>
                        </w:r>
                        <w:r>
                          <w:rPr>
                            <w:spacing w:val="-2"/>
                            <w:sz w:val="15"/>
                          </w:rPr>
                          <w:t xml:space="preserve"> </w:t>
                        </w:r>
                        <w:r>
                          <w:rPr>
                            <w:sz w:val="15"/>
                          </w:rPr>
                          <w:t>años,</w:t>
                        </w:r>
                        <w:r>
                          <w:rPr>
                            <w:spacing w:val="-2"/>
                            <w:sz w:val="15"/>
                          </w:rPr>
                          <w:t xml:space="preserve"> </w:t>
                        </w:r>
                        <w:r>
                          <w:rPr>
                            <w:sz w:val="15"/>
                          </w:rPr>
                          <w:t>en</w:t>
                        </w:r>
                        <w:r>
                          <w:rPr>
                            <w:spacing w:val="-2"/>
                            <w:sz w:val="15"/>
                          </w:rPr>
                          <w:t xml:space="preserve"> </w:t>
                        </w:r>
                        <w:r>
                          <w:rPr>
                            <w:sz w:val="15"/>
                          </w:rPr>
                          <w:t>gran</w:t>
                        </w:r>
                        <w:r>
                          <w:rPr>
                            <w:spacing w:val="-2"/>
                            <w:sz w:val="15"/>
                          </w:rPr>
                          <w:t xml:space="preserve"> </w:t>
                        </w:r>
                        <w:r>
                          <w:rPr>
                            <w:sz w:val="15"/>
                          </w:rPr>
                          <w:t>medida</w:t>
                        </w:r>
                        <w:r>
                          <w:rPr>
                            <w:spacing w:val="-2"/>
                            <w:sz w:val="15"/>
                          </w:rPr>
                          <w:t xml:space="preserve"> </w:t>
                        </w:r>
                        <w:r>
                          <w:rPr>
                            <w:sz w:val="15"/>
                          </w:rPr>
                          <w:t>como</w:t>
                        </w:r>
                        <w:r>
                          <w:rPr>
                            <w:spacing w:val="-2"/>
                            <w:sz w:val="15"/>
                          </w:rPr>
                          <w:t xml:space="preserve"> </w:t>
                        </w:r>
                        <w:r>
                          <w:rPr>
                            <w:sz w:val="15"/>
                          </w:rPr>
                          <w:t>resultado</w:t>
                        </w:r>
                        <w:r>
                          <w:rPr>
                            <w:spacing w:val="-2"/>
                            <w:sz w:val="15"/>
                          </w:rPr>
                          <w:t xml:space="preserve"> </w:t>
                        </w:r>
                        <w:r>
                          <w:rPr>
                            <w:sz w:val="15"/>
                          </w:rPr>
                          <w:t>de</w:t>
                        </w:r>
                        <w:r>
                          <w:rPr>
                            <w:spacing w:val="-2"/>
                            <w:sz w:val="15"/>
                          </w:rPr>
                          <w:t xml:space="preserve"> </w:t>
                        </w:r>
                        <w:r>
                          <w:rPr>
                            <w:sz w:val="15"/>
                          </w:rPr>
                          <w:t>la</w:t>
                        </w:r>
                        <w:r>
                          <w:rPr>
                            <w:spacing w:val="-2"/>
                            <w:sz w:val="15"/>
                          </w:rPr>
                          <w:t xml:space="preserve"> </w:t>
                        </w:r>
                        <w:r>
                          <w:rPr>
                            <w:sz w:val="15"/>
                          </w:rPr>
                          <w:t>Convención</w:t>
                        </w:r>
                        <w:r>
                          <w:rPr>
                            <w:spacing w:val="-2"/>
                            <w:sz w:val="15"/>
                          </w:rPr>
                          <w:t xml:space="preserve"> </w:t>
                        </w:r>
                        <w:r>
                          <w:rPr>
                            <w:sz w:val="15"/>
                          </w:rPr>
                          <w:t>sobre</w:t>
                        </w:r>
                        <w:r>
                          <w:rPr>
                            <w:spacing w:val="-2"/>
                            <w:sz w:val="15"/>
                          </w:rPr>
                          <w:t xml:space="preserve"> </w:t>
                        </w:r>
                        <w:r>
                          <w:rPr>
                            <w:sz w:val="15"/>
                          </w:rPr>
                          <w:t>los</w:t>
                        </w:r>
                        <w:r>
                          <w:rPr>
                            <w:spacing w:val="-2"/>
                            <w:sz w:val="15"/>
                          </w:rPr>
                          <w:t xml:space="preserve"> </w:t>
                        </w:r>
                        <w:r>
                          <w:rPr>
                            <w:sz w:val="15"/>
                          </w:rPr>
                          <w:t>derechos</w:t>
                        </w:r>
                        <w:r>
                          <w:rPr>
                            <w:spacing w:val="-2"/>
                            <w:sz w:val="15"/>
                          </w:rPr>
                          <w:t xml:space="preserve"> </w:t>
                        </w:r>
                        <w:r>
                          <w:rPr>
                            <w:sz w:val="15"/>
                          </w:rPr>
                          <w:t>de</w:t>
                        </w:r>
                        <w:r>
                          <w:rPr>
                            <w:spacing w:val="-2"/>
                            <w:sz w:val="15"/>
                          </w:rPr>
                          <w:t xml:space="preserve"> </w:t>
                        </w:r>
                        <w:r>
                          <w:rPr>
                            <w:sz w:val="15"/>
                          </w:rPr>
                          <w:t>las</w:t>
                        </w:r>
                        <w:r>
                          <w:rPr>
                            <w:spacing w:val="-2"/>
                            <w:sz w:val="15"/>
                          </w:rPr>
                          <w:t xml:space="preserve"> </w:t>
                        </w:r>
                        <w:r>
                          <w:rPr>
                            <w:sz w:val="15"/>
                          </w:rPr>
                          <w:t>personas</w:t>
                        </w:r>
                        <w:r>
                          <w:rPr>
                            <w:spacing w:val="-2"/>
                            <w:sz w:val="15"/>
                          </w:rPr>
                          <w:t xml:space="preserve"> </w:t>
                        </w:r>
                        <w:r>
                          <w:rPr>
                            <w:sz w:val="15"/>
                          </w:rPr>
                          <w:t>con</w:t>
                        </w:r>
                        <w:r>
                          <w:rPr>
                            <w:spacing w:val="-2"/>
                            <w:sz w:val="15"/>
                          </w:rPr>
                          <w:t xml:space="preserve"> </w:t>
                        </w:r>
                        <w:r>
                          <w:rPr>
                            <w:sz w:val="15"/>
                          </w:rPr>
                          <w:t>discapacidad.</w:t>
                        </w:r>
                      </w:p>
                    </w:txbxContent>
                  </v:textbox>
                </v:shape>
                <v:shape id="Textbox 209" o:spid="_x0000_s1109" type="#_x0000_t202" style="position:absolute;left:1823;top:14718;width:56382;height:1056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" filled="f" stroked="f">
                  <v:textbox inset="0,0,0,0">
                    <w:txbxContent>
                      <w:p w14:paraId="04FE5A78" w14:textId="77777777" w:rsidR="0014798C" w:rsidRDefault="004E1F0B">
                        <w:pPr>
                          <w:spacing w:line="348" w:lineRule="auto"/>
                          <w:rPr>
                            <w:sz w:val="15"/>
                          </w:rPr>
                        </w:pPr>
                        <w:r>
                          <w:rPr>
                            <w:sz w:val="15"/>
                          </w:rPr>
                          <w:t>El</w:t>
                        </w:r>
                        <w:r>
                          <w:rPr>
                            <w:spacing w:val="-3"/>
                            <w:sz w:val="15"/>
                          </w:rPr>
                          <w:t xml:space="preserve"> </w:t>
                        </w:r>
                        <w:r>
                          <w:rPr>
                            <w:sz w:val="15"/>
                          </w:rPr>
                          <w:t>artículo</w:t>
                        </w:r>
                        <w:r>
                          <w:rPr>
                            <w:spacing w:val="-3"/>
                            <w:sz w:val="15"/>
                          </w:rPr>
                          <w:t xml:space="preserve"> </w:t>
                        </w:r>
                        <w:r>
                          <w:rPr>
                            <w:sz w:val="15"/>
                          </w:rPr>
                          <w:t>12</w:t>
                        </w:r>
                        <w:r>
                          <w:rPr>
                            <w:spacing w:val="-3"/>
                            <w:sz w:val="15"/>
                          </w:rPr>
                          <w:t xml:space="preserve"> </w:t>
                        </w:r>
                        <w:r>
                          <w:rPr>
                            <w:sz w:val="15"/>
                          </w:rPr>
                          <w:t>de</w:t>
                        </w:r>
                        <w:r>
                          <w:rPr>
                            <w:spacing w:val="-3"/>
                            <w:sz w:val="15"/>
                          </w:rPr>
                          <w:t xml:space="preserve"> </w:t>
                        </w:r>
                        <w:r>
                          <w:rPr>
                            <w:sz w:val="15"/>
                          </w:rPr>
                          <w:t>la</w:t>
                        </w:r>
                        <w:r>
                          <w:rPr>
                            <w:spacing w:val="-3"/>
                            <w:sz w:val="15"/>
                          </w:rPr>
                          <w:t xml:space="preserve"> </w:t>
                        </w:r>
                        <w:r>
                          <w:rPr>
                            <w:sz w:val="15"/>
                          </w:rPr>
                          <w:t>Convención</w:t>
                        </w:r>
                        <w:r>
                          <w:rPr>
                            <w:spacing w:val="-3"/>
                            <w:sz w:val="15"/>
                          </w:rPr>
                          <w:t xml:space="preserve"> </w:t>
                        </w:r>
                        <w:r>
                          <w:rPr>
                            <w:sz w:val="15"/>
                          </w:rPr>
                          <w:t>sobre</w:t>
                        </w:r>
                        <w:r>
                          <w:rPr>
                            <w:spacing w:val="-3"/>
                            <w:sz w:val="15"/>
                          </w:rPr>
                          <w:t xml:space="preserve"> </w:t>
                        </w:r>
                        <w:r>
                          <w:rPr>
                            <w:sz w:val="15"/>
                          </w:rPr>
                          <w:t>los</w:t>
                        </w:r>
                        <w:r>
                          <w:rPr>
                            <w:spacing w:val="-3"/>
                            <w:sz w:val="15"/>
                          </w:rPr>
                          <w:t xml:space="preserve"> </w:t>
                        </w:r>
                        <w:r>
                          <w:rPr>
                            <w:sz w:val="15"/>
                          </w:rPr>
                          <w:t>Derechos</w:t>
                        </w:r>
                        <w:r>
                          <w:rPr>
                            <w:spacing w:val="-3"/>
                            <w:sz w:val="15"/>
                          </w:rPr>
                          <w:t xml:space="preserve"> </w:t>
                        </w:r>
                        <w:r>
                          <w:rPr>
                            <w:sz w:val="15"/>
                          </w:rPr>
                          <w:t>de</w:t>
                        </w:r>
                        <w:r>
                          <w:rPr>
                            <w:spacing w:val="-3"/>
                            <w:sz w:val="15"/>
                          </w:rPr>
                          <w:t xml:space="preserve"> </w:t>
                        </w:r>
                        <w:r>
                          <w:rPr>
                            <w:sz w:val="15"/>
                          </w:rPr>
                          <w:t>las</w:t>
                        </w:r>
                        <w:r>
                          <w:rPr>
                            <w:spacing w:val="-3"/>
                            <w:sz w:val="15"/>
                          </w:rPr>
                          <w:t xml:space="preserve"> </w:t>
                        </w:r>
                        <w:r>
                          <w:rPr>
                            <w:sz w:val="15"/>
                          </w:rPr>
                          <w:t>Personas</w:t>
                        </w:r>
                        <w:r>
                          <w:rPr>
                            <w:spacing w:val="-3"/>
                            <w:sz w:val="15"/>
                          </w:rPr>
                          <w:t xml:space="preserve"> </w:t>
                        </w:r>
                        <w:r>
                          <w:rPr>
                            <w:sz w:val="15"/>
                          </w:rPr>
                          <w:t>con</w:t>
                        </w:r>
                        <w:r>
                          <w:rPr>
                            <w:spacing w:val="-3"/>
                            <w:sz w:val="15"/>
                          </w:rPr>
                          <w:t xml:space="preserve"> </w:t>
                        </w:r>
                        <w:r>
                          <w:rPr>
                            <w:sz w:val="15"/>
                          </w:rPr>
                          <w:t>Discapacidad</w:t>
                        </w:r>
                        <w:r>
                          <w:rPr>
                            <w:spacing w:val="-3"/>
                            <w:sz w:val="15"/>
                          </w:rPr>
                          <w:t xml:space="preserve"> </w:t>
                        </w:r>
                        <w:r>
                          <w:rPr>
                            <w:sz w:val="15"/>
                          </w:rPr>
                          <w:t>exige</w:t>
                        </w:r>
                        <w:r>
                          <w:rPr>
                            <w:spacing w:val="-3"/>
                            <w:sz w:val="15"/>
                          </w:rPr>
                          <w:t xml:space="preserve"> </w:t>
                        </w:r>
                        <w:r>
                          <w:rPr>
                            <w:sz w:val="15"/>
                          </w:rPr>
                          <w:t>que</w:t>
                        </w:r>
                        <w:r>
                          <w:rPr>
                            <w:spacing w:val="-3"/>
                            <w:sz w:val="15"/>
                          </w:rPr>
                          <w:t xml:space="preserve"> </w:t>
                        </w:r>
                        <w:r>
                          <w:rPr>
                            <w:sz w:val="15"/>
                          </w:rPr>
                          <w:t>los</w:t>
                        </w:r>
                        <w:r>
                          <w:rPr>
                            <w:spacing w:val="-3"/>
                            <w:sz w:val="15"/>
                          </w:rPr>
                          <w:t xml:space="preserve"> </w:t>
                        </w:r>
                        <w:r>
                          <w:rPr>
                            <w:sz w:val="15"/>
                          </w:rPr>
                          <w:t>Estados</w:t>
                        </w:r>
                        <w:r>
                          <w:rPr>
                            <w:spacing w:val="-3"/>
                            <w:sz w:val="15"/>
                          </w:rPr>
                          <w:t xml:space="preserve"> </w:t>
                        </w:r>
                        <w:r>
                          <w:rPr>
                            <w:sz w:val="15"/>
                          </w:rPr>
                          <w:t>reconozcan</w:t>
                        </w:r>
                        <w:r>
                          <w:rPr>
                            <w:spacing w:val="-3"/>
                            <w:sz w:val="15"/>
                          </w:rPr>
                          <w:t xml:space="preserve"> </w:t>
                        </w:r>
                        <w:r>
                          <w:rPr>
                            <w:sz w:val="15"/>
                          </w:rPr>
                          <w:t>que</w:t>
                        </w:r>
                        <w:r>
                          <w:rPr>
                            <w:spacing w:val="-3"/>
                            <w:sz w:val="15"/>
                          </w:rPr>
                          <w:t xml:space="preserve"> </w:t>
                        </w:r>
                        <w:r>
                          <w:rPr>
                            <w:sz w:val="15"/>
                          </w:rPr>
                          <w:t>las personas</w:t>
                        </w:r>
                        <w:r>
                          <w:rPr>
                            <w:spacing w:val="-8"/>
                            <w:sz w:val="15"/>
                          </w:rPr>
                          <w:t xml:space="preserve"> </w:t>
                        </w:r>
                        <w:r>
                          <w:rPr>
                            <w:sz w:val="15"/>
                          </w:rPr>
                          <w:t>con</w:t>
                        </w:r>
                        <w:r>
                          <w:rPr>
                            <w:spacing w:val="-8"/>
                            <w:sz w:val="15"/>
                          </w:rPr>
                          <w:t xml:space="preserve"> </w:t>
                        </w:r>
                        <w:r>
                          <w:rPr>
                            <w:sz w:val="15"/>
                          </w:rPr>
                          <w:t>discapacidad</w:t>
                        </w:r>
                        <w:r>
                          <w:rPr>
                            <w:spacing w:val="-8"/>
                            <w:sz w:val="15"/>
                          </w:rPr>
                          <w:t xml:space="preserve"> </w:t>
                        </w:r>
                        <w:r>
                          <w:rPr>
                            <w:sz w:val="15"/>
                          </w:rPr>
                          <w:t>disfrutan</w:t>
                        </w:r>
                        <w:r>
                          <w:rPr>
                            <w:spacing w:val="-8"/>
                            <w:sz w:val="15"/>
                          </w:rPr>
                          <w:t xml:space="preserve"> </w:t>
                        </w:r>
                        <w:r>
                          <w:rPr>
                            <w:sz w:val="15"/>
                          </w:rPr>
                          <w:t>de</w:t>
                        </w:r>
                        <w:r>
                          <w:rPr>
                            <w:spacing w:val="-8"/>
                            <w:sz w:val="15"/>
                          </w:rPr>
                          <w:t xml:space="preserve"> </w:t>
                        </w:r>
                        <w:r>
                          <w:rPr>
                            <w:sz w:val="15"/>
                          </w:rPr>
                          <w:t>capacidad</w:t>
                        </w:r>
                        <w:r>
                          <w:rPr>
                            <w:spacing w:val="-8"/>
                            <w:sz w:val="15"/>
                          </w:rPr>
                          <w:t xml:space="preserve"> </w:t>
                        </w:r>
                        <w:r>
                          <w:rPr>
                            <w:sz w:val="15"/>
                          </w:rPr>
                          <w:t>jurídica</w:t>
                        </w:r>
                        <w:r>
                          <w:rPr>
                            <w:spacing w:val="-8"/>
                            <w:sz w:val="15"/>
                          </w:rPr>
                          <w:t xml:space="preserve"> </w:t>
                        </w:r>
                        <w:r>
                          <w:rPr>
                            <w:sz w:val="15"/>
                          </w:rPr>
                          <w:t>en</w:t>
                        </w:r>
                        <w:r>
                          <w:rPr>
                            <w:spacing w:val="-8"/>
                            <w:sz w:val="15"/>
                          </w:rPr>
                          <w:t xml:space="preserve"> </w:t>
                        </w:r>
                        <w:r>
                          <w:rPr>
                            <w:sz w:val="15"/>
                          </w:rPr>
                          <w:t>igualdad</w:t>
                        </w:r>
                        <w:r>
                          <w:rPr>
                            <w:spacing w:val="-8"/>
                            <w:sz w:val="15"/>
                          </w:rPr>
                          <w:t xml:space="preserve"> </w:t>
                        </w:r>
                        <w:r>
                          <w:rPr>
                            <w:sz w:val="15"/>
                          </w:rPr>
                          <w:t>de</w:t>
                        </w:r>
                        <w:r>
                          <w:rPr>
                            <w:spacing w:val="-8"/>
                            <w:sz w:val="15"/>
                          </w:rPr>
                          <w:t xml:space="preserve"> </w:t>
                        </w:r>
                        <w:r>
                          <w:rPr>
                            <w:sz w:val="15"/>
                          </w:rPr>
                          <w:t>condiciones</w:t>
                        </w:r>
                        <w:r>
                          <w:rPr>
                            <w:spacing w:val="-8"/>
                            <w:sz w:val="15"/>
                          </w:rPr>
                          <w:t xml:space="preserve"> </w:t>
                        </w:r>
                        <w:r>
                          <w:rPr>
                            <w:sz w:val="15"/>
                          </w:rPr>
                          <w:t>con</w:t>
                        </w:r>
                        <w:r>
                          <w:rPr>
                            <w:spacing w:val="-8"/>
                            <w:sz w:val="15"/>
                          </w:rPr>
                          <w:t xml:space="preserve"> </w:t>
                        </w:r>
                        <w:r>
                          <w:rPr>
                            <w:sz w:val="15"/>
                          </w:rPr>
                          <w:t>las</w:t>
                        </w:r>
                        <w:r>
                          <w:rPr>
                            <w:spacing w:val="-8"/>
                            <w:sz w:val="15"/>
                          </w:rPr>
                          <w:t xml:space="preserve"> </w:t>
                        </w:r>
                        <w:r>
                          <w:rPr>
                            <w:sz w:val="15"/>
                          </w:rPr>
                          <w:t>demás</w:t>
                        </w:r>
                        <w:r>
                          <w:rPr>
                            <w:spacing w:val="-8"/>
                            <w:sz w:val="15"/>
                          </w:rPr>
                          <w:t xml:space="preserve"> </w:t>
                        </w:r>
                        <w:r>
                          <w:rPr>
                            <w:sz w:val="15"/>
                          </w:rPr>
                          <w:t>en</w:t>
                        </w:r>
                        <w:r>
                          <w:rPr>
                            <w:spacing w:val="-8"/>
                            <w:sz w:val="15"/>
                          </w:rPr>
                          <w:t xml:space="preserve"> </w:t>
                        </w:r>
                        <w:r>
                          <w:rPr>
                            <w:sz w:val="15"/>
                          </w:rPr>
                          <w:t>todos</w:t>
                        </w:r>
                        <w:r>
                          <w:rPr>
                            <w:spacing w:val="-8"/>
                            <w:sz w:val="15"/>
                          </w:rPr>
                          <w:t xml:space="preserve"> </w:t>
                        </w:r>
                        <w:r>
                          <w:rPr>
                            <w:sz w:val="15"/>
                          </w:rPr>
                          <w:t>los</w:t>
                        </w:r>
                        <w:r>
                          <w:rPr>
                            <w:spacing w:val="-8"/>
                            <w:sz w:val="15"/>
                          </w:rPr>
                          <w:t xml:space="preserve"> </w:t>
                        </w:r>
                        <w:r>
                          <w:rPr>
                            <w:sz w:val="15"/>
                          </w:rPr>
                          <w:t>aspectos</w:t>
                        </w:r>
                        <w:r>
                          <w:rPr>
                            <w:spacing w:val="-8"/>
                            <w:sz w:val="15"/>
                          </w:rPr>
                          <w:t xml:space="preserve"> </w:t>
                        </w:r>
                        <w:r>
                          <w:rPr>
                            <w:sz w:val="15"/>
                          </w:rPr>
                          <w:t>de</w:t>
                        </w:r>
                        <w:r>
                          <w:rPr>
                            <w:spacing w:val="-9"/>
                            <w:sz w:val="15"/>
                          </w:rPr>
                          <w:t xml:space="preserve"> </w:t>
                        </w:r>
                        <w:r>
                          <w:rPr>
                            <w:sz w:val="15"/>
                          </w:rPr>
                          <w:t>la</w:t>
                        </w:r>
                        <w:r>
                          <w:rPr>
                            <w:spacing w:val="-8"/>
                            <w:sz w:val="15"/>
                          </w:rPr>
                          <w:t xml:space="preserve"> </w:t>
                        </w:r>
                        <w:r>
                          <w:rPr>
                            <w:sz w:val="15"/>
                          </w:rPr>
                          <w:t>vida. Según</w:t>
                        </w:r>
                        <w:r>
                          <w:rPr>
                            <w:spacing w:val="-3"/>
                            <w:sz w:val="15"/>
                          </w:rPr>
                          <w:t xml:space="preserve"> </w:t>
                        </w:r>
                        <w:r>
                          <w:rPr>
                            <w:sz w:val="15"/>
                          </w:rPr>
                          <w:t>el</w:t>
                        </w:r>
                        <w:r>
                          <w:rPr>
                            <w:spacing w:val="-3"/>
                            <w:sz w:val="15"/>
                          </w:rPr>
                          <w:t xml:space="preserve"> </w:t>
                        </w:r>
                        <w:r>
                          <w:rPr>
                            <w:sz w:val="15"/>
                          </w:rPr>
                          <w:t>artículo</w:t>
                        </w:r>
                        <w:r>
                          <w:rPr>
                            <w:spacing w:val="-3"/>
                            <w:sz w:val="15"/>
                          </w:rPr>
                          <w:t xml:space="preserve"> </w:t>
                        </w:r>
                        <w:r>
                          <w:rPr>
                            <w:sz w:val="15"/>
                          </w:rPr>
                          <w:t>12</w:t>
                        </w:r>
                        <w:r>
                          <w:rPr>
                            <w:spacing w:val="-3"/>
                            <w:sz w:val="15"/>
                          </w:rPr>
                          <w:t xml:space="preserve"> </w:t>
                        </w:r>
                        <w:r>
                          <w:rPr>
                            <w:sz w:val="15"/>
                          </w:rPr>
                          <w:t>(3),</w:t>
                        </w:r>
                        <w:r>
                          <w:rPr>
                            <w:spacing w:val="-3"/>
                            <w:sz w:val="15"/>
                          </w:rPr>
                          <w:t xml:space="preserve"> </w:t>
                        </w:r>
                        <w:r>
                          <w:rPr>
                            <w:sz w:val="15"/>
                          </w:rPr>
                          <w:t>los</w:t>
                        </w:r>
                        <w:r>
                          <w:rPr>
                            <w:spacing w:val="-3"/>
                            <w:sz w:val="15"/>
                          </w:rPr>
                          <w:t xml:space="preserve"> </w:t>
                        </w:r>
                        <w:proofErr w:type="gramStart"/>
                        <w:r>
                          <w:rPr>
                            <w:sz w:val="15"/>
                          </w:rPr>
                          <w:t>Estados</w:t>
                        </w:r>
                        <w:r>
                          <w:rPr>
                            <w:spacing w:val="-3"/>
                            <w:sz w:val="15"/>
                          </w:rPr>
                          <w:t xml:space="preserve"> </w:t>
                        </w:r>
                        <w:r>
                          <w:rPr>
                            <w:sz w:val="15"/>
                          </w:rPr>
                          <w:t>partes</w:t>
                        </w:r>
                        <w:proofErr w:type="gramEnd"/>
                        <w:r>
                          <w:rPr>
                            <w:spacing w:val="-3"/>
                            <w:sz w:val="15"/>
                          </w:rPr>
                          <w:t xml:space="preserve"> </w:t>
                        </w:r>
                        <w:r>
                          <w:rPr>
                            <w:sz w:val="15"/>
                          </w:rPr>
                          <w:t>“adoptarán</w:t>
                        </w:r>
                        <w:r>
                          <w:rPr>
                            <w:spacing w:val="-3"/>
                            <w:sz w:val="15"/>
                          </w:rPr>
                          <w:t xml:space="preserve"> </w:t>
                        </w:r>
                        <w:r>
                          <w:rPr>
                            <w:sz w:val="15"/>
                          </w:rPr>
                          <w:t>medidas</w:t>
                        </w:r>
                        <w:r>
                          <w:rPr>
                            <w:spacing w:val="-3"/>
                            <w:sz w:val="15"/>
                          </w:rPr>
                          <w:t xml:space="preserve"> </w:t>
                        </w:r>
                        <w:r>
                          <w:rPr>
                            <w:sz w:val="15"/>
                          </w:rPr>
                          <w:t>apropiadas</w:t>
                        </w:r>
                        <w:r>
                          <w:rPr>
                            <w:spacing w:val="-3"/>
                            <w:sz w:val="15"/>
                          </w:rPr>
                          <w:t xml:space="preserve"> </w:t>
                        </w:r>
                        <w:r>
                          <w:rPr>
                            <w:sz w:val="15"/>
                          </w:rPr>
                          <w:t>para</w:t>
                        </w:r>
                        <w:r>
                          <w:rPr>
                            <w:spacing w:val="-3"/>
                            <w:sz w:val="15"/>
                          </w:rPr>
                          <w:t xml:space="preserve"> </w:t>
                        </w:r>
                        <w:r>
                          <w:rPr>
                            <w:sz w:val="15"/>
                          </w:rPr>
                          <w:t>facilitar</w:t>
                        </w:r>
                        <w:r>
                          <w:rPr>
                            <w:spacing w:val="-4"/>
                            <w:sz w:val="15"/>
                          </w:rPr>
                          <w:t xml:space="preserve"> </w:t>
                        </w:r>
                        <w:r>
                          <w:rPr>
                            <w:sz w:val="15"/>
                          </w:rPr>
                          <w:t>el</w:t>
                        </w:r>
                        <w:r>
                          <w:rPr>
                            <w:spacing w:val="-3"/>
                            <w:sz w:val="15"/>
                          </w:rPr>
                          <w:t xml:space="preserve"> </w:t>
                        </w:r>
                        <w:r>
                          <w:rPr>
                            <w:sz w:val="15"/>
                          </w:rPr>
                          <w:t>acceso</w:t>
                        </w:r>
                        <w:r>
                          <w:rPr>
                            <w:spacing w:val="-3"/>
                            <w:sz w:val="15"/>
                          </w:rPr>
                          <w:t xml:space="preserve"> </w:t>
                        </w:r>
                        <w:r>
                          <w:rPr>
                            <w:sz w:val="15"/>
                          </w:rPr>
                          <w:t>de</w:t>
                        </w:r>
                        <w:r>
                          <w:rPr>
                            <w:spacing w:val="-3"/>
                            <w:sz w:val="15"/>
                          </w:rPr>
                          <w:t xml:space="preserve"> </w:t>
                        </w:r>
                        <w:r>
                          <w:rPr>
                            <w:sz w:val="15"/>
                          </w:rPr>
                          <w:t>las</w:t>
                        </w:r>
                        <w:r>
                          <w:rPr>
                            <w:spacing w:val="-3"/>
                            <w:sz w:val="15"/>
                          </w:rPr>
                          <w:t xml:space="preserve"> </w:t>
                        </w:r>
                        <w:r>
                          <w:rPr>
                            <w:sz w:val="15"/>
                          </w:rPr>
                          <w:t>personas</w:t>
                        </w:r>
                        <w:r>
                          <w:rPr>
                            <w:spacing w:val="-3"/>
                            <w:sz w:val="15"/>
                          </w:rPr>
                          <w:t xml:space="preserve"> </w:t>
                        </w:r>
                        <w:r>
                          <w:rPr>
                            <w:sz w:val="15"/>
                          </w:rPr>
                          <w:t>con</w:t>
                        </w:r>
                        <w:r>
                          <w:rPr>
                            <w:spacing w:val="-3"/>
                            <w:sz w:val="15"/>
                          </w:rPr>
                          <w:t xml:space="preserve"> </w:t>
                        </w:r>
                        <w:r>
                          <w:rPr>
                            <w:sz w:val="15"/>
                          </w:rPr>
                          <w:t>discapacidad al</w:t>
                        </w:r>
                        <w:r>
                          <w:rPr>
                            <w:spacing w:val="-3"/>
                            <w:sz w:val="15"/>
                          </w:rPr>
                          <w:t xml:space="preserve"> </w:t>
                        </w:r>
                        <w:r>
                          <w:rPr>
                            <w:sz w:val="15"/>
                          </w:rPr>
                          <w:t>apoyo</w:t>
                        </w:r>
                        <w:r>
                          <w:rPr>
                            <w:spacing w:val="-3"/>
                            <w:sz w:val="15"/>
                          </w:rPr>
                          <w:t xml:space="preserve"> </w:t>
                        </w:r>
                        <w:r>
                          <w:rPr>
                            <w:sz w:val="15"/>
                          </w:rPr>
                          <w:t>que</w:t>
                        </w:r>
                        <w:r>
                          <w:rPr>
                            <w:spacing w:val="-3"/>
                            <w:sz w:val="15"/>
                          </w:rPr>
                          <w:t xml:space="preserve"> </w:t>
                        </w:r>
                        <w:r>
                          <w:rPr>
                            <w:sz w:val="15"/>
                          </w:rPr>
                          <w:t>puedan</w:t>
                        </w:r>
                        <w:r>
                          <w:rPr>
                            <w:spacing w:val="-3"/>
                            <w:sz w:val="15"/>
                          </w:rPr>
                          <w:t xml:space="preserve"> </w:t>
                        </w:r>
                        <w:r>
                          <w:rPr>
                            <w:sz w:val="15"/>
                          </w:rPr>
                          <w:t>necesitar</w:t>
                        </w:r>
                        <w:r>
                          <w:rPr>
                            <w:spacing w:val="-3"/>
                            <w:sz w:val="15"/>
                          </w:rPr>
                          <w:t xml:space="preserve"> </w:t>
                        </w:r>
                        <w:r>
                          <w:rPr>
                            <w:sz w:val="15"/>
                          </w:rPr>
                          <w:t>en</w:t>
                        </w:r>
                        <w:r>
                          <w:rPr>
                            <w:spacing w:val="-3"/>
                            <w:sz w:val="15"/>
                          </w:rPr>
                          <w:t xml:space="preserve"> </w:t>
                        </w:r>
                        <w:r>
                          <w:rPr>
                            <w:sz w:val="15"/>
                          </w:rPr>
                          <w:t>el</w:t>
                        </w:r>
                        <w:r>
                          <w:rPr>
                            <w:spacing w:val="-3"/>
                            <w:sz w:val="15"/>
                          </w:rPr>
                          <w:t xml:space="preserve"> </w:t>
                        </w:r>
                        <w:r>
                          <w:rPr>
                            <w:sz w:val="15"/>
                          </w:rPr>
                          <w:t>ejercicio</w:t>
                        </w:r>
                        <w:r>
                          <w:rPr>
                            <w:spacing w:val="-3"/>
                            <w:sz w:val="15"/>
                          </w:rPr>
                          <w:t xml:space="preserve"> </w:t>
                        </w:r>
                        <w:r>
                          <w:rPr>
                            <w:sz w:val="15"/>
                          </w:rPr>
                          <w:t>de</w:t>
                        </w:r>
                        <w:r>
                          <w:rPr>
                            <w:spacing w:val="-3"/>
                            <w:sz w:val="15"/>
                          </w:rPr>
                          <w:t xml:space="preserve"> </w:t>
                        </w:r>
                        <w:r>
                          <w:rPr>
                            <w:sz w:val="15"/>
                          </w:rPr>
                          <w:t>su</w:t>
                        </w:r>
                        <w:r>
                          <w:rPr>
                            <w:spacing w:val="-3"/>
                            <w:sz w:val="15"/>
                          </w:rPr>
                          <w:t xml:space="preserve"> </w:t>
                        </w:r>
                        <w:r>
                          <w:rPr>
                            <w:sz w:val="15"/>
                          </w:rPr>
                          <w:t>capacidad</w:t>
                        </w:r>
                        <w:r>
                          <w:rPr>
                            <w:spacing w:val="-3"/>
                            <w:sz w:val="15"/>
                          </w:rPr>
                          <w:t xml:space="preserve"> </w:t>
                        </w:r>
                        <w:r>
                          <w:rPr>
                            <w:sz w:val="15"/>
                          </w:rPr>
                          <w:t>jurídica”.</w:t>
                        </w:r>
                        <w:r>
                          <w:rPr>
                            <w:spacing w:val="-2"/>
                            <w:sz w:val="15"/>
                          </w:rPr>
                          <w:t xml:space="preserve"> </w:t>
                        </w:r>
                        <w:r>
                          <w:rPr>
                            <w:sz w:val="15"/>
                          </w:rPr>
                          <w:t>Esas</w:t>
                        </w:r>
                        <w:r>
                          <w:rPr>
                            <w:spacing w:val="-3"/>
                            <w:sz w:val="15"/>
                          </w:rPr>
                          <w:t xml:space="preserve"> </w:t>
                        </w:r>
                        <w:r>
                          <w:rPr>
                            <w:sz w:val="15"/>
                          </w:rPr>
                          <w:t>medidas,</w:t>
                        </w:r>
                        <w:r>
                          <w:rPr>
                            <w:spacing w:val="-3"/>
                            <w:sz w:val="15"/>
                          </w:rPr>
                          <w:t xml:space="preserve"> </w:t>
                        </w:r>
                        <w:r>
                          <w:rPr>
                            <w:sz w:val="15"/>
                          </w:rPr>
                          <w:t>según</w:t>
                        </w:r>
                        <w:r>
                          <w:rPr>
                            <w:spacing w:val="-3"/>
                            <w:sz w:val="15"/>
                          </w:rPr>
                          <w:t xml:space="preserve"> </w:t>
                        </w:r>
                        <w:r>
                          <w:rPr>
                            <w:sz w:val="15"/>
                          </w:rPr>
                          <w:t>el</w:t>
                        </w:r>
                        <w:r>
                          <w:rPr>
                            <w:spacing w:val="-3"/>
                            <w:sz w:val="15"/>
                          </w:rPr>
                          <w:t xml:space="preserve"> </w:t>
                        </w:r>
                        <w:r>
                          <w:rPr>
                            <w:sz w:val="15"/>
                          </w:rPr>
                          <w:t>artículo</w:t>
                        </w:r>
                        <w:r>
                          <w:rPr>
                            <w:spacing w:val="-3"/>
                            <w:sz w:val="15"/>
                          </w:rPr>
                          <w:t xml:space="preserve"> </w:t>
                        </w:r>
                        <w:r>
                          <w:rPr>
                            <w:sz w:val="15"/>
                          </w:rPr>
                          <w:t>12</w:t>
                        </w:r>
                        <w:r>
                          <w:rPr>
                            <w:spacing w:val="-3"/>
                            <w:sz w:val="15"/>
                          </w:rPr>
                          <w:t xml:space="preserve"> </w:t>
                        </w:r>
                        <w:r>
                          <w:rPr>
                            <w:sz w:val="15"/>
                          </w:rPr>
                          <w:t>(4),</w:t>
                        </w:r>
                        <w:r>
                          <w:rPr>
                            <w:spacing w:val="-3"/>
                            <w:sz w:val="15"/>
                          </w:rPr>
                          <w:t xml:space="preserve"> </w:t>
                        </w:r>
                        <w:r>
                          <w:rPr>
                            <w:sz w:val="15"/>
                          </w:rPr>
                          <w:t>deben</w:t>
                        </w:r>
                        <w:r>
                          <w:rPr>
                            <w:spacing w:val="-3"/>
                            <w:sz w:val="15"/>
                          </w:rPr>
                          <w:t xml:space="preserve"> </w:t>
                        </w:r>
                        <w:r>
                          <w:rPr>
                            <w:sz w:val="15"/>
                          </w:rPr>
                          <w:t>incluir “salvaguardias</w:t>
                        </w:r>
                        <w:r>
                          <w:rPr>
                            <w:spacing w:val="-8"/>
                            <w:sz w:val="15"/>
                          </w:rPr>
                          <w:t xml:space="preserve"> </w:t>
                        </w:r>
                        <w:r>
                          <w:rPr>
                            <w:sz w:val="15"/>
                          </w:rPr>
                          <w:t>apropiadas</w:t>
                        </w:r>
                        <w:r>
                          <w:rPr>
                            <w:spacing w:val="-8"/>
                            <w:sz w:val="15"/>
                          </w:rPr>
                          <w:t xml:space="preserve"> </w:t>
                        </w:r>
                        <w:r>
                          <w:rPr>
                            <w:sz w:val="15"/>
                          </w:rPr>
                          <w:t>y</w:t>
                        </w:r>
                        <w:r>
                          <w:rPr>
                            <w:spacing w:val="-8"/>
                            <w:sz w:val="15"/>
                          </w:rPr>
                          <w:t xml:space="preserve"> </w:t>
                        </w:r>
                        <w:r>
                          <w:rPr>
                            <w:sz w:val="15"/>
                          </w:rPr>
                          <w:t>efectivas</w:t>
                        </w:r>
                        <w:r>
                          <w:rPr>
                            <w:spacing w:val="-8"/>
                            <w:sz w:val="15"/>
                          </w:rPr>
                          <w:t xml:space="preserve"> </w:t>
                        </w:r>
                        <w:r>
                          <w:rPr>
                            <w:sz w:val="15"/>
                          </w:rPr>
                          <w:t>para</w:t>
                        </w:r>
                        <w:r>
                          <w:rPr>
                            <w:spacing w:val="-8"/>
                            <w:sz w:val="15"/>
                          </w:rPr>
                          <w:t xml:space="preserve"> </w:t>
                        </w:r>
                        <w:r>
                          <w:rPr>
                            <w:sz w:val="15"/>
                          </w:rPr>
                          <w:t>prevenir</w:t>
                        </w:r>
                        <w:r>
                          <w:rPr>
                            <w:spacing w:val="-8"/>
                            <w:sz w:val="15"/>
                          </w:rPr>
                          <w:t xml:space="preserve"> </w:t>
                        </w:r>
                        <w:r>
                          <w:rPr>
                            <w:sz w:val="15"/>
                          </w:rPr>
                          <w:t>abusos...</w:t>
                        </w:r>
                        <w:r>
                          <w:rPr>
                            <w:spacing w:val="-8"/>
                            <w:sz w:val="15"/>
                          </w:rPr>
                          <w:t xml:space="preserve"> </w:t>
                        </w:r>
                        <w:r>
                          <w:rPr>
                            <w:sz w:val="15"/>
                          </w:rPr>
                          <w:t>[que]</w:t>
                        </w:r>
                        <w:r>
                          <w:rPr>
                            <w:spacing w:val="-8"/>
                            <w:sz w:val="15"/>
                          </w:rPr>
                          <w:t xml:space="preserve"> </w:t>
                        </w:r>
                        <w:r>
                          <w:rPr>
                            <w:sz w:val="15"/>
                          </w:rPr>
                          <w:t>no</w:t>
                        </w:r>
                        <w:r>
                          <w:rPr>
                            <w:spacing w:val="-8"/>
                            <w:sz w:val="15"/>
                          </w:rPr>
                          <w:t xml:space="preserve"> </w:t>
                        </w:r>
                        <w:r>
                          <w:rPr>
                            <w:sz w:val="15"/>
                          </w:rPr>
                          <w:t>contengan</w:t>
                        </w:r>
                        <w:r>
                          <w:rPr>
                            <w:spacing w:val="-8"/>
                            <w:sz w:val="15"/>
                          </w:rPr>
                          <w:t xml:space="preserve"> </w:t>
                        </w:r>
                        <w:r>
                          <w:rPr>
                            <w:sz w:val="15"/>
                          </w:rPr>
                          <w:t>conflictos</w:t>
                        </w:r>
                        <w:r>
                          <w:rPr>
                            <w:spacing w:val="-9"/>
                            <w:sz w:val="15"/>
                          </w:rPr>
                          <w:t xml:space="preserve"> </w:t>
                        </w:r>
                        <w:r>
                          <w:rPr>
                            <w:sz w:val="15"/>
                          </w:rPr>
                          <w:t>de</w:t>
                        </w:r>
                        <w:r>
                          <w:rPr>
                            <w:spacing w:val="-8"/>
                            <w:sz w:val="15"/>
                          </w:rPr>
                          <w:t xml:space="preserve"> </w:t>
                        </w:r>
                        <w:r>
                          <w:rPr>
                            <w:sz w:val="15"/>
                          </w:rPr>
                          <w:t>intereses</w:t>
                        </w:r>
                        <w:r>
                          <w:rPr>
                            <w:spacing w:val="-8"/>
                            <w:sz w:val="15"/>
                          </w:rPr>
                          <w:t xml:space="preserve"> </w:t>
                        </w:r>
                        <w:r>
                          <w:rPr>
                            <w:sz w:val="15"/>
                          </w:rPr>
                          <w:t>ni</w:t>
                        </w:r>
                        <w:r>
                          <w:rPr>
                            <w:spacing w:val="-8"/>
                            <w:sz w:val="15"/>
                          </w:rPr>
                          <w:t xml:space="preserve"> </w:t>
                        </w:r>
                        <w:r>
                          <w:rPr>
                            <w:sz w:val="15"/>
                          </w:rPr>
                          <w:t>influencias</w:t>
                        </w:r>
                        <w:r>
                          <w:rPr>
                            <w:spacing w:val="-8"/>
                            <w:sz w:val="15"/>
                          </w:rPr>
                          <w:t xml:space="preserve"> </w:t>
                        </w:r>
                        <w:r>
                          <w:rPr>
                            <w:sz w:val="15"/>
                          </w:rPr>
                          <w:t>indebidas,</w:t>
                        </w:r>
                        <w:r>
                          <w:rPr>
                            <w:spacing w:val="-7"/>
                            <w:sz w:val="15"/>
                          </w:rPr>
                          <w:t xml:space="preserve"> </w:t>
                        </w:r>
                        <w:r>
                          <w:rPr>
                            <w:sz w:val="15"/>
                          </w:rPr>
                          <w:t>sean proporcionales</w:t>
                        </w:r>
                        <w:r>
                          <w:rPr>
                            <w:spacing w:val="-11"/>
                            <w:sz w:val="15"/>
                          </w:rPr>
                          <w:t xml:space="preserve"> </w:t>
                        </w:r>
                        <w:r>
                          <w:rPr>
                            <w:sz w:val="15"/>
                          </w:rPr>
                          <w:t>y</w:t>
                        </w:r>
                        <w:r>
                          <w:rPr>
                            <w:spacing w:val="-10"/>
                            <w:sz w:val="15"/>
                          </w:rPr>
                          <w:t xml:space="preserve"> </w:t>
                        </w:r>
                        <w:r>
                          <w:rPr>
                            <w:sz w:val="15"/>
                          </w:rPr>
                          <w:t>se</w:t>
                        </w:r>
                        <w:r>
                          <w:rPr>
                            <w:spacing w:val="-11"/>
                            <w:sz w:val="15"/>
                          </w:rPr>
                          <w:t xml:space="preserve"> </w:t>
                        </w:r>
                        <w:r>
                          <w:rPr>
                            <w:sz w:val="15"/>
                          </w:rPr>
                          <w:t>adapten</w:t>
                        </w:r>
                        <w:r>
                          <w:rPr>
                            <w:spacing w:val="-10"/>
                            <w:sz w:val="15"/>
                          </w:rPr>
                          <w:t xml:space="preserve"> </w:t>
                        </w:r>
                        <w:r>
                          <w:rPr>
                            <w:sz w:val="15"/>
                          </w:rPr>
                          <w:t>a</w:t>
                        </w:r>
                        <w:r>
                          <w:rPr>
                            <w:spacing w:val="-10"/>
                            <w:sz w:val="15"/>
                          </w:rPr>
                          <w:t xml:space="preserve"> </w:t>
                        </w:r>
                        <w:r>
                          <w:rPr>
                            <w:sz w:val="15"/>
                          </w:rPr>
                          <w:t>las</w:t>
                        </w:r>
                        <w:r>
                          <w:rPr>
                            <w:spacing w:val="-11"/>
                            <w:sz w:val="15"/>
                          </w:rPr>
                          <w:t xml:space="preserve"> </w:t>
                        </w:r>
                        <w:r>
                          <w:rPr>
                            <w:sz w:val="15"/>
                          </w:rPr>
                          <w:t>circunstancias</w:t>
                        </w:r>
                        <w:r>
                          <w:rPr>
                            <w:spacing w:val="-10"/>
                            <w:sz w:val="15"/>
                          </w:rPr>
                          <w:t xml:space="preserve"> </w:t>
                        </w:r>
                        <w:r>
                          <w:rPr>
                            <w:sz w:val="15"/>
                          </w:rPr>
                          <w:t>de</w:t>
                        </w:r>
                        <w:r>
                          <w:rPr>
                            <w:spacing w:val="-11"/>
                            <w:sz w:val="15"/>
                          </w:rPr>
                          <w:t xml:space="preserve"> </w:t>
                        </w:r>
                        <w:r>
                          <w:rPr>
                            <w:sz w:val="15"/>
                          </w:rPr>
                          <w:t>la</w:t>
                        </w:r>
                        <w:r>
                          <w:rPr>
                            <w:spacing w:val="-10"/>
                            <w:sz w:val="15"/>
                          </w:rPr>
                          <w:t xml:space="preserve"> </w:t>
                        </w:r>
                        <w:r>
                          <w:rPr>
                            <w:sz w:val="15"/>
                          </w:rPr>
                          <w:t>persona,</w:t>
                        </w:r>
                        <w:r>
                          <w:rPr>
                            <w:spacing w:val="-10"/>
                            <w:sz w:val="15"/>
                          </w:rPr>
                          <w:t xml:space="preserve"> </w:t>
                        </w:r>
                        <w:r>
                          <w:rPr>
                            <w:sz w:val="15"/>
                          </w:rPr>
                          <w:t>se</w:t>
                        </w:r>
                        <w:r>
                          <w:rPr>
                            <w:spacing w:val="-11"/>
                            <w:sz w:val="15"/>
                          </w:rPr>
                          <w:t xml:space="preserve"> </w:t>
                        </w:r>
                        <w:r>
                          <w:rPr>
                            <w:sz w:val="15"/>
                          </w:rPr>
                          <w:t>apliquen</w:t>
                        </w:r>
                        <w:r>
                          <w:rPr>
                            <w:spacing w:val="-10"/>
                            <w:sz w:val="15"/>
                          </w:rPr>
                          <w:t xml:space="preserve"> </w:t>
                        </w:r>
                        <w:r>
                          <w:rPr>
                            <w:sz w:val="15"/>
                          </w:rPr>
                          <w:t>durante</w:t>
                        </w:r>
                        <w:r>
                          <w:rPr>
                            <w:spacing w:val="-11"/>
                            <w:sz w:val="15"/>
                          </w:rPr>
                          <w:t xml:space="preserve"> </w:t>
                        </w:r>
                        <w:r>
                          <w:rPr>
                            <w:sz w:val="15"/>
                          </w:rPr>
                          <w:t>el</w:t>
                        </w:r>
                        <w:r>
                          <w:rPr>
                            <w:spacing w:val="-10"/>
                            <w:sz w:val="15"/>
                          </w:rPr>
                          <w:t xml:space="preserve"> </w:t>
                        </w:r>
                        <w:r>
                          <w:rPr>
                            <w:sz w:val="15"/>
                          </w:rPr>
                          <w:t>menor</w:t>
                        </w:r>
                        <w:r>
                          <w:rPr>
                            <w:spacing w:val="-10"/>
                            <w:sz w:val="15"/>
                          </w:rPr>
                          <w:t xml:space="preserve"> </w:t>
                        </w:r>
                        <w:r>
                          <w:rPr>
                            <w:sz w:val="15"/>
                          </w:rPr>
                          <w:t>tiempo</w:t>
                        </w:r>
                        <w:r>
                          <w:rPr>
                            <w:spacing w:val="-11"/>
                            <w:sz w:val="15"/>
                          </w:rPr>
                          <w:t xml:space="preserve"> </w:t>
                        </w:r>
                        <w:r>
                          <w:rPr>
                            <w:sz w:val="15"/>
                          </w:rPr>
                          <w:t>posible</w:t>
                        </w:r>
                        <w:r>
                          <w:rPr>
                            <w:spacing w:val="-10"/>
                            <w:sz w:val="15"/>
                          </w:rPr>
                          <w:t xml:space="preserve"> </w:t>
                        </w:r>
                        <w:r>
                          <w:rPr>
                            <w:sz w:val="15"/>
                          </w:rPr>
                          <w:t>y</w:t>
                        </w:r>
                        <w:r>
                          <w:rPr>
                            <w:spacing w:val="-10"/>
                            <w:sz w:val="15"/>
                          </w:rPr>
                          <w:t xml:space="preserve"> </w:t>
                        </w:r>
                        <w:r>
                          <w:rPr>
                            <w:sz w:val="15"/>
                          </w:rPr>
                          <w:t>están</w:t>
                        </w:r>
                        <w:r>
                          <w:rPr>
                            <w:spacing w:val="-11"/>
                            <w:sz w:val="15"/>
                          </w:rPr>
                          <w:t xml:space="preserve"> </w:t>
                        </w:r>
                        <w:r>
                          <w:rPr>
                            <w:sz w:val="15"/>
                          </w:rPr>
                          <w:t>sujetos</w:t>
                        </w:r>
                        <w:r>
                          <w:rPr>
                            <w:spacing w:val="-10"/>
                            <w:sz w:val="15"/>
                          </w:rPr>
                          <w:t xml:space="preserve"> </w:t>
                        </w:r>
                        <w:r>
                          <w:rPr>
                            <w:sz w:val="15"/>
                          </w:rPr>
                          <w:t>a</w:t>
                        </w:r>
                        <w:r>
                          <w:rPr>
                            <w:spacing w:val="-11"/>
                            <w:sz w:val="15"/>
                          </w:rPr>
                          <w:t xml:space="preserve"> </w:t>
                        </w:r>
                        <w:r>
                          <w:rPr>
                            <w:spacing w:val="-2"/>
                            <w:sz w:val="15"/>
                          </w:rPr>
                          <w:t>revisión</w:t>
                        </w:r>
                      </w:p>
                      <w:p w14:paraId="2CE15A2D" w14:textId="77777777" w:rsidR="0014798C" w:rsidRDefault="004E1F0B">
                        <w:pPr>
                          <w:spacing w:line="170" w:lineRule="exact"/>
                          <w:ind w:left="1"/>
                          <w:rPr>
                            <w:sz w:val="15"/>
                          </w:rPr>
                        </w:pPr>
                        <w:r>
                          <w:rPr>
                            <w:spacing w:val="-2"/>
                            <w:sz w:val="15"/>
                          </w:rPr>
                          <w:t>periódica</w:t>
                        </w:r>
                        <w:r>
                          <w:rPr>
                            <w:spacing w:val="-3"/>
                            <w:sz w:val="15"/>
                          </w:rPr>
                          <w:t xml:space="preserve"> </w:t>
                        </w:r>
                        <w:r>
                          <w:rPr>
                            <w:spacing w:val="-2"/>
                            <w:sz w:val="15"/>
                          </w:rPr>
                          <w:t>por parte</w:t>
                        </w:r>
                        <w:r>
                          <w:rPr>
                            <w:spacing w:val="-3"/>
                            <w:sz w:val="15"/>
                          </w:rPr>
                          <w:t xml:space="preserve"> </w:t>
                        </w:r>
                        <w:r>
                          <w:rPr>
                            <w:spacing w:val="-2"/>
                            <w:sz w:val="15"/>
                          </w:rPr>
                          <w:t>de una autoridad</w:t>
                        </w:r>
                        <w:r>
                          <w:rPr>
                            <w:spacing w:val="-3"/>
                            <w:sz w:val="15"/>
                          </w:rPr>
                          <w:t xml:space="preserve"> </w:t>
                        </w:r>
                        <w:r>
                          <w:rPr>
                            <w:spacing w:val="-2"/>
                            <w:sz w:val="15"/>
                          </w:rPr>
                          <w:t>u órgano judicial</w:t>
                        </w:r>
                        <w:r>
                          <w:rPr>
                            <w:spacing w:val="-3"/>
                            <w:sz w:val="15"/>
                          </w:rPr>
                          <w:t xml:space="preserve"> </w:t>
                        </w:r>
                        <w:r>
                          <w:rPr>
                            <w:spacing w:val="-2"/>
                            <w:sz w:val="15"/>
                          </w:rPr>
                          <w:t>competente,</w:t>
                        </w:r>
                        <w:r>
                          <w:rPr>
                            <w:spacing w:val="-1"/>
                            <w:sz w:val="15"/>
                          </w:rPr>
                          <w:t xml:space="preserve"> </w:t>
                        </w:r>
                        <w:r>
                          <w:rPr>
                            <w:spacing w:val="-2"/>
                            <w:sz w:val="15"/>
                          </w:rPr>
                          <w:t>independiente</w:t>
                        </w:r>
                        <w:r>
                          <w:rPr>
                            <w:spacing w:val="-3"/>
                            <w:sz w:val="15"/>
                          </w:rPr>
                          <w:t xml:space="preserve"> </w:t>
                        </w:r>
                        <w:r>
                          <w:rPr>
                            <w:spacing w:val="-2"/>
                            <w:sz w:val="15"/>
                          </w:rPr>
                          <w:t>e imparcial”.</w:t>
                        </w:r>
                      </w:p>
                    </w:txbxContent>
                  </v:textbox>
                </v:shape>
                <w10:wrap type="topAndBottom" anchorx="page"/>
              </v:group>
            </w:pict>
          </mc:Fallback>
        </mc:AlternateContent>
      </w:r>
    </w:p>
    <w:p w14:paraId="26D73537" w14:textId="77777777" w:rsidR="0014798C" w:rsidRDefault="0014798C">
      <w:pPr>
        <w:pStyle w:val="Textoindependiente"/>
        <w:spacing w:before="1"/>
        <w:rPr>
          <w:sz w:val="6"/>
        </w:rPr>
      </w:pPr>
    </w:p>
    <w:p w14:paraId="29214CFC" w14:textId="77777777" w:rsidR="0014798C" w:rsidRDefault="0014798C">
      <w:pPr>
        <w:rPr>
          <w:sz w:val="6"/>
        </w:rPr>
        <w:sectPr w:rsidR="0014798C" w:rsidSect="00F265E4">
          <w:pgSz w:w="11900" w:h="16820"/>
          <w:pgMar w:top="340" w:right="0" w:bottom="280" w:left="200" w:header="121" w:footer="0" w:gutter="0"/>
          <w:cols w:space="720"/>
        </w:sectPr>
      </w:pPr>
    </w:p>
    <w:p w14:paraId="7D931664" w14:textId="77777777" w:rsidR="0014798C" w:rsidRDefault="004E1F0B">
      <w:pPr>
        <w:spacing w:before="54"/>
        <w:jc w:val="right"/>
        <w:rPr>
          <w:sz w:val="8"/>
        </w:rPr>
      </w:pPr>
      <w:r>
        <w:rPr>
          <w:spacing w:val="-5"/>
          <w:w w:val="105"/>
          <w:sz w:val="8"/>
        </w:rPr>
        <w:t>674</w:t>
      </w:r>
    </w:p>
    <w:p w14:paraId="0ECEF909" w14:textId="77777777" w:rsidR="0014798C" w:rsidRDefault="0014798C">
      <w:pPr>
        <w:pStyle w:val="Textoindependiente"/>
        <w:spacing w:before="53"/>
        <w:rPr>
          <w:sz w:val="8"/>
        </w:rPr>
      </w:pPr>
    </w:p>
    <w:p w14:paraId="353487BE" w14:textId="77777777" w:rsidR="0014798C" w:rsidRDefault="004E1F0B">
      <w:pPr>
        <w:jc w:val="right"/>
        <w:rPr>
          <w:sz w:val="8"/>
        </w:rPr>
      </w:pPr>
      <w:r>
        <w:rPr>
          <w:spacing w:val="-5"/>
          <w:w w:val="105"/>
          <w:sz w:val="8"/>
        </w:rPr>
        <w:t>675</w:t>
      </w:r>
    </w:p>
    <w:p w14:paraId="3B4843B7" w14:textId="77777777" w:rsidR="0014798C" w:rsidRDefault="004E1F0B">
      <w:pPr>
        <w:spacing w:before="75" w:line="410" w:lineRule="auto"/>
        <w:ind w:left="77" w:right="3174" w:firstLine="4"/>
        <w:rPr>
          <w:sz w:val="12"/>
        </w:rPr>
      </w:pPr>
      <w:r>
        <w:br w:type="column"/>
      </w:r>
      <w:r>
        <w:rPr>
          <w:sz w:val="12"/>
        </w:rPr>
        <w:t>Véase, por ejemplo, ACNUDH, “Principios rectores sobre la extrema pobreza y los derechos humanos” (Ginebra, 2012), párr. 18.</w:t>
      </w:r>
      <w:r>
        <w:rPr>
          <w:spacing w:val="40"/>
          <w:sz w:val="12"/>
        </w:rPr>
        <w:t xml:space="preserve"> </w:t>
      </w:r>
      <w:r>
        <w:rPr>
          <w:sz w:val="12"/>
        </w:rPr>
        <w:t>A/HRC/37/25, párr. 40.</w:t>
      </w:r>
    </w:p>
    <w:p w14:paraId="5E5A8617" w14:textId="77777777" w:rsidR="0014798C" w:rsidRDefault="0014798C">
      <w:pPr>
        <w:spacing w:line="410" w:lineRule="auto"/>
        <w:rPr>
          <w:sz w:val="12"/>
        </w:rPr>
        <w:sectPr w:rsidR="0014798C" w:rsidSect="00F265E4">
          <w:type w:val="continuous"/>
          <w:pgSz w:w="11900" w:h="16820"/>
          <w:pgMar w:top="40" w:right="0" w:bottom="280" w:left="200" w:header="121" w:footer="0" w:gutter="0"/>
          <w:cols w:num="2" w:space="720" w:equalWidth="0">
            <w:col w:w="1249" w:space="40"/>
            <w:col w:w="10411"/>
          </w:cols>
        </w:sectPr>
      </w:pPr>
    </w:p>
    <w:p w14:paraId="51D70C8D" w14:textId="77777777" w:rsidR="0014798C" w:rsidRDefault="004E1F0B">
      <w:pPr>
        <w:spacing w:before="63" w:line="468" w:lineRule="auto"/>
        <w:ind w:left="1366" w:right="1290" w:hanging="259"/>
        <w:rPr>
          <w:sz w:val="8"/>
        </w:rPr>
      </w:pPr>
      <w:r>
        <w:rPr>
          <w:w w:val="105"/>
          <w:sz w:val="8"/>
        </w:rPr>
        <w:t>676</w:t>
      </w:r>
      <w:r>
        <w:rPr>
          <w:spacing w:val="-1"/>
          <w:w w:val="105"/>
          <w:sz w:val="8"/>
        </w:rPr>
        <w:t xml:space="preserve"> </w:t>
      </w:r>
      <w:r>
        <w:rPr>
          <w:w w:val="105"/>
          <w:sz w:val="8"/>
        </w:rPr>
        <w:t>En</w:t>
      </w:r>
      <w:r>
        <w:rPr>
          <w:spacing w:val="-1"/>
          <w:w w:val="105"/>
          <w:sz w:val="8"/>
        </w:rPr>
        <w:t xml:space="preserve"> </w:t>
      </w:r>
      <w:r>
        <w:rPr>
          <w:w w:val="105"/>
          <w:sz w:val="8"/>
        </w:rPr>
        <w:t>una</w:t>
      </w:r>
      <w:r>
        <w:rPr>
          <w:spacing w:val="-1"/>
          <w:w w:val="105"/>
          <w:sz w:val="8"/>
        </w:rPr>
        <w:t xml:space="preserve"> </w:t>
      </w:r>
      <w:r>
        <w:rPr>
          <w:w w:val="105"/>
          <w:sz w:val="8"/>
        </w:rPr>
        <w:t>visita</w:t>
      </w:r>
      <w:r>
        <w:rPr>
          <w:spacing w:val="-1"/>
          <w:w w:val="105"/>
          <w:sz w:val="8"/>
        </w:rPr>
        <w:t xml:space="preserve"> </w:t>
      </w:r>
      <w:r>
        <w:rPr>
          <w:w w:val="105"/>
          <w:sz w:val="8"/>
        </w:rPr>
        <w:t>al</w:t>
      </w:r>
      <w:r>
        <w:rPr>
          <w:spacing w:val="-1"/>
          <w:w w:val="105"/>
          <w:sz w:val="8"/>
        </w:rPr>
        <w:t xml:space="preserve"> </w:t>
      </w:r>
      <w:r>
        <w:rPr>
          <w:w w:val="105"/>
          <w:sz w:val="8"/>
        </w:rPr>
        <w:t>Reino</w:t>
      </w:r>
      <w:r>
        <w:rPr>
          <w:spacing w:val="-1"/>
          <w:w w:val="105"/>
          <w:sz w:val="8"/>
        </w:rPr>
        <w:t xml:space="preserve"> </w:t>
      </w:r>
      <w:r>
        <w:rPr>
          <w:w w:val="105"/>
          <w:sz w:val="8"/>
        </w:rPr>
        <w:t>Unido</w:t>
      </w:r>
      <w:r>
        <w:rPr>
          <w:spacing w:val="-1"/>
          <w:w w:val="105"/>
          <w:sz w:val="8"/>
        </w:rPr>
        <w:t xml:space="preserve"> </w:t>
      </w:r>
      <w:r>
        <w:rPr>
          <w:w w:val="105"/>
          <w:sz w:val="8"/>
        </w:rPr>
        <w:t>en</w:t>
      </w:r>
      <w:r>
        <w:rPr>
          <w:spacing w:val="-1"/>
          <w:w w:val="105"/>
          <w:sz w:val="8"/>
        </w:rPr>
        <w:t xml:space="preserve"> </w:t>
      </w:r>
      <w:r>
        <w:rPr>
          <w:w w:val="105"/>
          <w:sz w:val="8"/>
        </w:rPr>
        <w:t>2018,</w:t>
      </w:r>
      <w:r>
        <w:rPr>
          <w:spacing w:val="-1"/>
          <w:w w:val="105"/>
          <w:sz w:val="8"/>
        </w:rPr>
        <w:t xml:space="preserve"> </w:t>
      </w:r>
      <w:r>
        <w:rPr>
          <w:w w:val="105"/>
          <w:sz w:val="8"/>
        </w:rPr>
        <w:t>por</w:t>
      </w:r>
      <w:r>
        <w:rPr>
          <w:spacing w:val="-1"/>
          <w:w w:val="105"/>
          <w:sz w:val="8"/>
        </w:rPr>
        <w:t xml:space="preserve"> </w:t>
      </w:r>
      <w:r>
        <w:rPr>
          <w:w w:val="105"/>
          <w:sz w:val="8"/>
        </w:rPr>
        <w:t>ejemplo,</w:t>
      </w:r>
      <w:r>
        <w:rPr>
          <w:spacing w:val="-1"/>
          <w:w w:val="105"/>
          <w:sz w:val="8"/>
        </w:rPr>
        <w:t xml:space="preserve"> </w:t>
      </w:r>
      <w:r>
        <w:rPr>
          <w:w w:val="105"/>
          <w:sz w:val="8"/>
        </w:rPr>
        <w:t>el</w:t>
      </w:r>
      <w:r>
        <w:rPr>
          <w:spacing w:val="-1"/>
          <w:w w:val="105"/>
          <w:sz w:val="8"/>
        </w:rPr>
        <w:t xml:space="preserve"> </w:t>
      </w:r>
      <w:r>
        <w:rPr>
          <w:w w:val="105"/>
          <w:sz w:val="8"/>
        </w:rPr>
        <w:t>Relator</w:t>
      </w:r>
      <w:r>
        <w:rPr>
          <w:spacing w:val="-2"/>
          <w:w w:val="105"/>
          <w:sz w:val="8"/>
        </w:rPr>
        <w:t xml:space="preserve"> </w:t>
      </w:r>
      <w:r>
        <w:rPr>
          <w:w w:val="105"/>
          <w:sz w:val="8"/>
        </w:rPr>
        <w:t>Especial</w:t>
      </w:r>
      <w:r>
        <w:rPr>
          <w:spacing w:val="-1"/>
          <w:w w:val="105"/>
          <w:sz w:val="8"/>
        </w:rPr>
        <w:t xml:space="preserve"> </w:t>
      </w:r>
      <w:r>
        <w:rPr>
          <w:w w:val="105"/>
          <w:sz w:val="8"/>
        </w:rPr>
        <w:t>sobre</w:t>
      </w:r>
      <w:r>
        <w:rPr>
          <w:spacing w:val="-1"/>
          <w:w w:val="105"/>
          <w:sz w:val="8"/>
        </w:rPr>
        <w:t xml:space="preserve"> </w:t>
      </w:r>
      <w:r>
        <w:rPr>
          <w:w w:val="105"/>
          <w:sz w:val="8"/>
        </w:rPr>
        <w:t>la</w:t>
      </w:r>
      <w:r>
        <w:rPr>
          <w:spacing w:val="-1"/>
          <w:w w:val="105"/>
          <w:sz w:val="8"/>
        </w:rPr>
        <w:t xml:space="preserve"> </w:t>
      </w:r>
      <w:r>
        <w:rPr>
          <w:w w:val="105"/>
          <w:sz w:val="8"/>
        </w:rPr>
        <w:t>extrema</w:t>
      </w:r>
      <w:r>
        <w:rPr>
          <w:spacing w:val="-1"/>
          <w:w w:val="105"/>
          <w:sz w:val="8"/>
        </w:rPr>
        <w:t xml:space="preserve"> </w:t>
      </w:r>
      <w:r>
        <w:rPr>
          <w:w w:val="105"/>
          <w:sz w:val="8"/>
        </w:rPr>
        <w:t>pobreza</w:t>
      </w:r>
      <w:r>
        <w:rPr>
          <w:spacing w:val="-1"/>
          <w:w w:val="105"/>
          <w:sz w:val="8"/>
        </w:rPr>
        <w:t xml:space="preserve"> </w:t>
      </w:r>
      <w:r>
        <w:rPr>
          <w:w w:val="105"/>
          <w:sz w:val="8"/>
        </w:rPr>
        <w:t>y</w:t>
      </w:r>
      <w:r>
        <w:rPr>
          <w:spacing w:val="-1"/>
          <w:w w:val="105"/>
          <w:sz w:val="8"/>
        </w:rPr>
        <w:t xml:space="preserve"> </w:t>
      </w:r>
      <w:r>
        <w:rPr>
          <w:w w:val="105"/>
          <w:sz w:val="8"/>
        </w:rPr>
        <w:t>los</w:t>
      </w:r>
      <w:r>
        <w:rPr>
          <w:spacing w:val="-1"/>
          <w:w w:val="105"/>
          <w:sz w:val="8"/>
        </w:rPr>
        <w:t xml:space="preserve"> </w:t>
      </w:r>
      <w:r>
        <w:rPr>
          <w:w w:val="105"/>
          <w:sz w:val="8"/>
        </w:rPr>
        <w:t>derechos</w:t>
      </w:r>
      <w:r>
        <w:rPr>
          <w:spacing w:val="-1"/>
          <w:w w:val="105"/>
          <w:sz w:val="8"/>
        </w:rPr>
        <w:t xml:space="preserve"> </w:t>
      </w:r>
      <w:r>
        <w:rPr>
          <w:w w:val="105"/>
          <w:sz w:val="8"/>
        </w:rPr>
        <w:t>humanos</w:t>
      </w:r>
      <w:r>
        <w:rPr>
          <w:spacing w:val="-1"/>
          <w:w w:val="105"/>
          <w:sz w:val="8"/>
        </w:rPr>
        <w:t xml:space="preserve"> </w:t>
      </w:r>
      <w:r>
        <w:rPr>
          <w:w w:val="105"/>
          <w:sz w:val="8"/>
        </w:rPr>
        <w:t>señaló</w:t>
      </w:r>
      <w:r>
        <w:rPr>
          <w:spacing w:val="-1"/>
          <w:w w:val="105"/>
          <w:sz w:val="8"/>
        </w:rPr>
        <w:t xml:space="preserve"> </w:t>
      </w:r>
      <w:r>
        <w:rPr>
          <w:w w:val="105"/>
          <w:sz w:val="8"/>
        </w:rPr>
        <w:t>que:</w:t>
      </w:r>
      <w:r>
        <w:rPr>
          <w:spacing w:val="-1"/>
          <w:w w:val="105"/>
          <w:sz w:val="8"/>
        </w:rPr>
        <w:t xml:space="preserve"> </w:t>
      </w:r>
      <w:r>
        <w:rPr>
          <w:w w:val="105"/>
          <w:sz w:val="8"/>
        </w:rPr>
        <w:t>“Las</w:t>
      </w:r>
      <w:r>
        <w:rPr>
          <w:spacing w:val="-1"/>
          <w:w w:val="105"/>
          <w:sz w:val="8"/>
        </w:rPr>
        <w:t xml:space="preserve"> </w:t>
      </w:r>
      <w:r>
        <w:rPr>
          <w:w w:val="105"/>
          <w:sz w:val="8"/>
        </w:rPr>
        <w:t>mujeres,</w:t>
      </w:r>
      <w:r>
        <w:rPr>
          <w:spacing w:val="-1"/>
          <w:w w:val="105"/>
          <w:sz w:val="8"/>
        </w:rPr>
        <w:t xml:space="preserve"> </w:t>
      </w:r>
      <w:r>
        <w:rPr>
          <w:w w:val="105"/>
          <w:sz w:val="8"/>
        </w:rPr>
        <w:t>las</w:t>
      </w:r>
      <w:r>
        <w:rPr>
          <w:spacing w:val="-1"/>
          <w:w w:val="105"/>
          <w:sz w:val="8"/>
        </w:rPr>
        <w:t xml:space="preserve"> </w:t>
      </w:r>
      <w:r>
        <w:rPr>
          <w:w w:val="105"/>
          <w:sz w:val="8"/>
        </w:rPr>
        <w:t>minorías</w:t>
      </w:r>
      <w:r>
        <w:rPr>
          <w:spacing w:val="-2"/>
          <w:w w:val="105"/>
          <w:sz w:val="8"/>
        </w:rPr>
        <w:t xml:space="preserve"> </w:t>
      </w:r>
      <w:r>
        <w:rPr>
          <w:w w:val="105"/>
          <w:sz w:val="8"/>
        </w:rPr>
        <w:t>raciales</w:t>
      </w:r>
      <w:r>
        <w:rPr>
          <w:spacing w:val="-1"/>
          <w:w w:val="105"/>
          <w:sz w:val="8"/>
        </w:rPr>
        <w:t xml:space="preserve"> </w:t>
      </w:r>
      <w:r>
        <w:rPr>
          <w:w w:val="105"/>
          <w:sz w:val="8"/>
        </w:rPr>
        <w:t>y</w:t>
      </w:r>
      <w:r>
        <w:rPr>
          <w:spacing w:val="-1"/>
          <w:w w:val="105"/>
          <w:sz w:val="8"/>
        </w:rPr>
        <w:t xml:space="preserve"> </w:t>
      </w:r>
      <w:r>
        <w:rPr>
          <w:w w:val="105"/>
          <w:sz w:val="8"/>
        </w:rPr>
        <w:t>étnicas,</w:t>
      </w:r>
      <w:r>
        <w:rPr>
          <w:spacing w:val="-1"/>
          <w:w w:val="105"/>
          <w:sz w:val="8"/>
        </w:rPr>
        <w:t xml:space="preserve"> </w:t>
      </w:r>
      <w:r>
        <w:rPr>
          <w:w w:val="105"/>
          <w:sz w:val="8"/>
        </w:rPr>
        <w:t>los</w:t>
      </w:r>
      <w:r>
        <w:rPr>
          <w:spacing w:val="-1"/>
          <w:w w:val="105"/>
          <w:sz w:val="8"/>
        </w:rPr>
        <w:t xml:space="preserve"> </w:t>
      </w:r>
      <w:r>
        <w:rPr>
          <w:w w:val="105"/>
          <w:sz w:val="8"/>
        </w:rPr>
        <w:t>niños,</w:t>
      </w:r>
      <w:r>
        <w:rPr>
          <w:spacing w:val="-1"/>
          <w:w w:val="105"/>
          <w:sz w:val="8"/>
        </w:rPr>
        <w:t xml:space="preserve"> </w:t>
      </w:r>
      <w:r>
        <w:rPr>
          <w:w w:val="105"/>
          <w:sz w:val="8"/>
        </w:rPr>
        <w:t>las</w:t>
      </w:r>
      <w:r>
        <w:rPr>
          <w:spacing w:val="-1"/>
          <w:w w:val="105"/>
          <w:sz w:val="8"/>
        </w:rPr>
        <w:t xml:space="preserve"> </w:t>
      </w:r>
      <w:r>
        <w:rPr>
          <w:w w:val="105"/>
          <w:sz w:val="8"/>
        </w:rPr>
        <w:t>familias</w:t>
      </w:r>
      <w:r>
        <w:rPr>
          <w:spacing w:val="-2"/>
          <w:w w:val="105"/>
          <w:sz w:val="8"/>
        </w:rPr>
        <w:t xml:space="preserve"> </w:t>
      </w:r>
      <w:r>
        <w:rPr>
          <w:w w:val="105"/>
          <w:sz w:val="8"/>
        </w:rPr>
        <w:t>monoparentales,</w:t>
      </w:r>
      <w:r>
        <w:rPr>
          <w:spacing w:val="-1"/>
          <w:w w:val="105"/>
          <w:sz w:val="8"/>
        </w:rPr>
        <w:t xml:space="preserve"> </w:t>
      </w:r>
      <w:r>
        <w:rPr>
          <w:w w:val="105"/>
          <w:sz w:val="8"/>
        </w:rPr>
        <w:t>las</w:t>
      </w:r>
      <w:r>
        <w:rPr>
          <w:spacing w:val="-1"/>
          <w:w w:val="105"/>
          <w:sz w:val="8"/>
        </w:rPr>
        <w:t xml:space="preserve"> </w:t>
      </w:r>
      <w:r>
        <w:rPr>
          <w:w w:val="105"/>
          <w:sz w:val="8"/>
        </w:rPr>
        <w:t>personas</w:t>
      </w:r>
      <w:r>
        <w:rPr>
          <w:spacing w:val="-1"/>
          <w:w w:val="105"/>
          <w:sz w:val="8"/>
        </w:rPr>
        <w:t xml:space="preserve"> </w:t>
      </w:r>
      <w:r>
        <w:rPr>
          <w:w w:val="105"/>
          <w:sz w:val="8"/>
        </w:rPr>
        <w:t>con</w:t>
      </w:r>
      <w:r>
        <w:rPr>
          <w:spacing w:val="40"/>
          <w:w w:val="105"/>
          <w:sz w:val="8"/>
        </w:rPr>
        <w:t xml:space="preserve"> </w:t>
      </w:r>
      <w:r>
        <w:rPr>
          <w:w w:val="105"/>
          <w:sz w:val="8"/>
        </w:rPr>
        <w:t>discapacidad</w:t>
      </w:r>
      <w:r>
        <w:rPr>
          <w:spacing w:val="-2"/>
          <w:w w:val="105"/>
          <w:sz w:val="8"/>
        </w:rPr>
        <w:t xml:space="preserve"> </w:t>
      </w:r>
      <w:r>
        <w:rPr>
          <w:w w:val="105"/>
          <w:sz w:val="8"/>
        </w:rPr>
        <w:t>y</w:t>
      </w:r>
      <w:r>
        <w:rPr>
          <w:spacing w:val="-2"/>
          <w:w w:val="105"/>
          <w:sz w:val="8"/>
        </w:rPr>
        <w:t xml:space="preserve"> </w:t>
      </w:r>
      <w:r>
        <w:rPr>
          <w:w w:val="105"/>
          <w:sz w:val="8"/>
        </w:rPr>
        <w:t>los</w:t>
      </w:r>
      <w:r>
        <w:rPr>
          <w:spacing w:val="-2"/>
          <w:w w:val="105"/>
          <w:sz w:val="8"/>
        </w:rPr>
        <w:t xml:space="preserve"> </w:t>
      </w:r>
      <w:r>
        <w:rPr>
          <w:w w:val="105"/>
          <w:sz w:val="8"/>
        </w:rPr>
        <w:t>miembros</w:t>
      </w:r>
      <w:r>
        <w:rPr>
          <w:spacing w:val="-2"/>
          <w:w w:val="105"/>
          <w:sz w:val="8"/>
        </w:rPr>
        <w:t xml:space="preserve"> </w:t>
      </w:r>
      <w:r>
        <w:rPr>
          <w:w w:val="105"/>
          <w:sz w:val="8"/>
        </w:rPr>
        <w:t>de</w:t>
      </w:r>
      <w:r>
        <w:rPr>
          <w:spacing w:val="-2"/>
          <w:w w:val="105"/>
          <w:sz w:val="8"/>
        </w:rPr>
        <w:t xml:space="preserve"> </w:t>
      </w:r>
      <w:r>
        <w:rPr>
          <w:w w:val="105"/>
          <w:sz w:val="8"/>
        </w:rPr>
        <w:t>otros</w:t>
      </w:r>
      <w:r>
        <w:rPr>
          <w:spacing w:val="-2"/>
          <w:w w:val="105"/>
          <w:sz w:val="8"/>
        </w:rPr>
        <w:t xml:space="preserve"> </w:t>
      </w:r>
      <w:r>
        <w:rPr>
          <w:w w:val="105"/>
          <w:sz w:val="8"/>
        </w:rPr>
        <w:t>grupos</w:t>
      </w:r>
      <w:r>
        <w:rPr>
          <w:spacing w:val="-2"/>
          <w:w w:val="105"/>
          <w:sz w:val="8"/>
        </w:rPr>
        <w:t xml:space="preserve"> </w:t>
      </w:r>
      <w:r>
        <w:rPr>
          <w:w w:val="105"/>
          <w:sz w:val="8"/>
        </w:rPr>
        <w:t>históricamente</w:t>
      </w:r>
      <w:r>
        <w:rPr>
          <w:spacing w:val="-2"/>
          <w:w w:val="105"/>
          <w:sz w:val="8"/>
        </w:rPr>
        <w:t xml:space="preserve"> </w:t>
      </w:r>
      <w:r>
        <w:rPr>
          <w:w w:val="105"/>
          <w:sz w:val="8"/>
        </w:rPr>
        <w:t>marginados</w:t>
      </w:r>
      <w:r>
        <w:rPr>
          <w:spacing w:val="-2"/>
          <w:w w:val="105"/>
          <w:sz w:val="8"/>
        </w:rPr>
        <w:t xml:space="preserve"> </w:t>
      </w:r>
      <w:r>
        <w:rPr>
          <w:w w:val="105"/>
          <w:sz w:val="8"/>
        </w:rPr>
        <w:t>enfrentan</w:t>
      </w:r>
      <w:r>
        <w:rPr>
          <w:spacing w:val="-3"/>
          <w:w w:val="105"/>
          <w:sz w:val="8"/>
        </w:rPr>
        <w:t xml:space="preserve"> </w:t>
      </w:r>
      <w:r>
        <w:rPr>
          <w:w w:val="105"/>
          <w:sz w:val="8"/>
        </w:rPr>
        <w:t>riesgos</w:t>
      </w:r>
      <w:r>
        <w:rPr>
          <w:spacing w:val="-2"/>
          <w:w w:val="105"/>
          <w:sz w:val="8"/>
        </w:rPr>
        <w:t xml:space="preserve"> </w:t>
      </w:r>
      <w:r>
        <w:rPr>
          <w:w w:val="105"/>
          <w:sz w:val="8"/>
        </w:rPr>
        <w:t>de</w:t>
      </w:r>
      <w:r>
        <w:rPr>
          <w:spacing w:val="-2"/>
          <w:w w:val="105"/>
          <w:sz w:val="8"/>
        </w:rPr>
        <w:t xml:space="preserve"> </w:t>
      </w:r>
      <w:r>
        <w:rPr>
          <w:w w:val="105"/>
          <w:sz w:val="8"/>
        </w:rPr>
        <w:t>pobreza</w:t>
      </w:r>
      <w:r>
        <w:rPr>
          <w:spacing w:val="-2"/>
          <w:w w:val="105"/>
          <w:sz w:val="8"/>
        </w:rPr>
        <w:t xml:space="preserve"> </w:t>
      </w:r>
      <w:r>
        <w:rPr>
          <w:w w:val="105"/>
          <w:sz w:val="8"/>
        </w:rPr>
        <w:t>desproporcionadamente</w:t>
      </w:r>
      <w:r>
        <w:rPr>
          <w:spacing w:val="-2"/>
          <w:w w:val="105"/>
          <w:sz w:val="8"/>
        </w:rPr>
        <w:t xml:space="preserve"> </w:t>
      </w:r>
      <w:r>
        <w:rPr>
          <w:w w:val="105"/>
          <w:sz w:val="8"/>
        </w:rPr>
        <w:t>mayores”.</w:t>
      </w:r>
      <w:r>
        <w:rPr>
          <w:spacing w:val="-2"/>
          <w:w w:val="105"/>
          <w:sz w:val="8"/>
        </w:rPr>
        <w:t xml:space="preserve"> </w:t>
      </w:r>
      <w:r>
        <w:rPr>
          <w:w w:val="105"/>
          <w:sz w:val="8"/>
        </w:rPr>
        <w:t>Véase</w:t>
      </w:r>
      <w:r>
        <w:rPr>
          <w:spacing w:val="-2"/>
          <w:w w:val="105"/>
          <w:sz w:val="8"/>
        </w:rPr>
        <w:t xml:space="preserve"> </w:t>
      </w:r>
      <w:r>
        <w:rPr>
          <w:w w:val="105"/>
          <w:sz w:val="8"/>
        </w:rPr>
        <w:t>A/HRC/41/39/Add.1,</w:t>
      </w:r>
      <w:r>
        <w:rPr>
          <w:spacing w:val="-2"/>
          <w:w w:val="105"/>
          <w:sz w:val="8"/>
        </w:rPr>
        <w:t xml:space="preserve"> </w:t>
      </w:r>
      <w:r>
        <w:rPr>
          <w:w w:val="105"/>
          <w:sz w:val="8"/>
        </w:rPr>
        <w:t>párr.</w:t>
      </w:r>
      <w:r>
        <w:rPr>
          <w:spacing w:val="-2"/>
          <w:w w:val="105"/>
          <w:sz w:val="8"/>
        </w:rPr>
        <w:t xml:space="preserve"> </w:t>
      </w:r>
      <w:r>
        <w:rPr>
          <w:w w:val="105"/>
          <w:sz w:val="8"/>
        </w:rPr>
        <w:t>67.</w:t>
      </w:r>
    </w:p>
    <w:p w14:paraId="42096227" w14:textId="77777777" w:rsidR="0014798C" w:rsidRDefault="0014798C">
      <w:pPr>
        <w:spacing w:line="468" w:lineRule="auto"/>
        <w:rPr>
          <w:sz w:val="8"/>
        </w:rPr>
        <w:sectPr w:rsidR="0014798C" w:rsidSect="00F265E4">
          <w:type w:val="continuous"/>
          <w:pgSz w:w="11900" w:h="16820"/>
          <w:pgMar w:top="40" w:right="0" w:bottom="280" w:left="200" w:header="121" w:footer="0" w:gutter="0"/>
          <w:cols w:space="720"/>
        </w:sectPr>
      </w:pPr>
    </w:p>
    <w:p w14:paraId="7D073F57" w14:textId="77777777" w:rsidR="0014798C" w:rsidRDefault="0014798C">
      <w:pPr>
        <w:pStyle w:val="Textoindependiente"/>
        <w:spacing w:before="63"/>
        <w:rPr>
          <w:sz w:val="8"/>
        </w:rPr>
      </w:pPr>
    </w:p>
    <w:p w14:paraId="1A15F042" w14:textId="77777777" w:rsidR="0014798C" w:rsidRDefault="004E1F0B">
      <w:pPr>
        <w:jc w:val="right"/>
        <w:rPr>
          <w:sz w:val="8"/>
        </w:rPr>
      </w:pPr>
      <w:r>
        <w:rPr>
          <w:spacing w:val="-5"/>
          <w:w w:val="105"/>
          <w:sz w:val="8"/>
        </w:rPr>
        <w:t>677</w:t>
      </w:r>
    </w:p>
    <w:p w14:paraId="56AECCFF" w14:textId="77777777" w:rsidR="0014798C" w:rsidRDefault="0014798C">
      <w:pPr>
        <w:pStyle w:val="Textoindependiente"/>
        <w:rPr>
          <w:sz w:val="8"/>
        </w:rPr>
      </w:pPr>
    </w:p>
    <w:p w14:paraId="0AFB353F" w14:textId="77777777" w:rsidR="0014798C" w:rsidRDefault="0014798C">
      <w:pPr>
        <w:pStyle w:val="Textoindependiente"/>
        <w:rPr>
          <w:sz w:val="8"/>
        </w:rPr>
      </w:pPr>
    </w:p>
    <w:p w14:paraId="623666DC" w14:textId="77777777" w:rsidR="0014798C" w:rsidRDefault="0014798C">
      <w:pPr>
        <w:pStyle w:val="Textoindependiente"/>
        <w:spacing w:before="48"/>
        <w:rPr>
          <w:sz w:val="8"/>
        </w:rPr>
      </w:pPr>
    </w:p>
    <w:p w14:paraId="5C14EFDE" w14:textId="77777777" w:rsidR="0014798C" w:rsidRDefault="004E1F0B">
      <w:pPr>
        <w:jc w:val="right"/>
        <w:rPr>
          <w:sz w:val="8"/>
        </w:rPr>
      </w:pPr>
      <w:r>
        <w:rPr>
          <w:spacing w:val="-5"/>
          <w:w w:val="105"/>
          <w:sz w:val="8"/>
        </w:rPr>
        <w:t>678</w:t>
      </w:r>
    </w:p>
    <w:p w14:paraId="2A4311B5" w14:textId="77777777" w:rsidR="0014798C" w:rsidRDefault="004E1F0B">
      <w:pPr>
        <w:spacing w:before="37"/>
        <w:rPr>
          <w:sz w:val="12"/>
        </w:rPr>
      </w:pPr>
      <w:r>
        <w:br w:type="column"/>
      </w:r>
    </w:p>
    <w:p w14:paraId="6A0B2278" w14:textId="77777777" w:rsidR="0014798C" w:rsidRDefault="004E1F0B">
      <w:pPr>
        <w:spacing w:line="256" w:lineRule="auto"/>
        <w:ind w:left="79" w:right="1354" w:firstLine="1"/>
        <w:rPr>
          <w:sz w:val="12"/>
        </w:rPr>
      </w:pPr>
      <w:r>
        <w:rPr>
          <w:sz w:val="12"/>
        </w:rPr>
        <w:t>Véase, por ejemplo, Comité de Derechos Económicos, Sociales y Culturales, observación general núm. 20 (2009), párr. 35, en el que el Comité utiliza el término</w:t>
      </w:r>
      <w:r>
        <w:rPr>
          <w:spacing w:val="40"/>
          <w:sz w:val="12"/>
        </w:rPr>
        <w:t xml:space="preserve"> </w:t>
      </w:r>
      <w:r>
        <w:rPr>
          <w:sz w:val="12"/>
        </w:rPr>
        <w:t>“situación económica y social”.</w:t>
      </w:r>
    </w:p>
    <w:p w14:paraId="48364E01" w14:textId="77777777" w:rsidR="0014798C" w:rsidRDefault="004E1F0B">
      <w:pPr>
        <w:spacing w:before="121" w:line="312" w:lineRule="auto"/>
        <w:ind w:left="78" w:right="1623" w:firstLine="2"/>
        <w:rPr>
          <w:sz w:val="12"/>
        </w:rPr>
      </w:pPr>
      <w:r>
        <w:rPr>
          <w:sz w:val="12"/>
        </w:rPr>
        <w:t>Véase,</w:t>
      </w:r>
      <w:r>
        <w:rPr>
          <w:spacing w:val="7"/>
          <w:sz w:val="12"/>
        </w:rPr>
        <w:t xml:space="preserve"> </w:t>
      </w:r>
      <w:r>
        <w:rPr>
          <w:sz w:val="12"/>
        </w:rPr>
        <w:t>por</w:t>
      </w:r>
      <w:r>
        <w:rPr>
          <w:spacing w:val="7"/>
          <w:sz w:val="12"/>
        </w:rPr>
        <w:t xml:space="preserve"> </w:t>
      </w:r>
      <w:r>
        <w:rPr>
          <w:sz w:val="12"/>
        </w:rPr>
        <w:t>ejemplo,</w:t>
      </w:r>
      <w:r>
        <w:rPr>
          <w:spacing w:val="8"/>
          <w:sz w:val="12"/>
        </w:rPr>
        <w:t xml:space="preserve"> </w:t>
      </w:r>
      <w:r>
        <w:rPr>
          <w:sz w:val="12"/>
        </w:rPr>
        <w:t>Tribunal</w:t>
      </w:r>
      <w:r>
        <w:rPr>
          <w:spacing w:val="7"/>
          <w:sz w:val="12"/>
        </w:rPr>
        <w:t xml:space="preserve"> </w:t>
      </w:r>
      <w:r>
        <w:rPr>
          <w:sz w:val="12"/>
        </w:rPr>
        <w:t>Europeo</w:t>
      </w:r>
      <w:r>
        <w:rPr>
          <w:spacing w:val="7"/>
          <w:sz w:val="12"/>
        </w:rPr>
        <w:t xml:space="preserve"> </w:t>
      </w:r>
      <w:r>
        <w:rPr>
          <w:sz w:val="12"/>
        </w:rPr>
        <w:t>de</w:t>
      </w:r>
      <w:r>
        <w:rPr>
          <w:spacing w:val="7"/>
          <w:sz w:val="12"/>
        </w:rPr>
        <w:t xml:space="preserve"> </w:t>
      </w:r>
      <w:r>
        <w:rPr>
          <w:sz w:val="12"/>
        </w:rPr>
        <w:t>Derechos</w:t>
      </w:r>
      <w:r>
        <w:rPr>
          <w:spacing w:val="7"/>
          <w:sz w:val="12"/>
        </w:rPr>
        <w:t xml:space="preserve"> </w:t>
      </w:r>
      <w:r>
        <w:rPr>
          <w:sz w:val="12"/>
        </w:rPr>
        <w:t>Humanos,</w:t>
      </w:r>
      <w:r>
        <w:rPr>
          <w:spacing w:val="8"/>
          <w:sz w:val="12"/>
        </w:rPr>
        <w:t xml:space="preserve"> </w:t>
      </w:r>
      <w:proofErr w:type="spellStart"/>
      <w:r>
        <w:rPr>
          <w:sz w:val="12"/>
        </w:rPr>
        <w:t>Airey</w:t>
      </w:r>
      <w:proofErr w:type="spellEnd"/>
      <w:r>
        <w:rPr>
          <w:spacing w:val="7"/>
          <w:sz w:val="12"/>
        </w:rPr>
        <w:t xml:space="preserve"> </w:t>
      </w:r>
      <w:r>
        <w:rPr>
          <w:sz w:val="12"/>
        </w:rPr>
        <w:t>c.</w:t>
      </w:r>
      <w:r>
        <w:rPr>
          <w:spacing w:val="7"/>
          <w:sz w:val="12"/>
        </w:rPr>
        <w:t xml:space="preserve"> </w:t>
      </w:r>
      <w:r>
        <w:rPr>
          <w:sz w:val="12"/>
        </w:rPr>
        <w:t>Irlanda,</w:t>
      </w:r>
      <w:r>
        <w:rPr>
          <w:spacing w:val="8"/>
          <w:sz w:val="12"/>
        </w:rPr>
        <w:t xml:space="preserve"> </w:t>
      </w:r>
      <w:r>
        <w:rPr>
          <w:sz w:val="12"/>
        </w:rPr>
        <w:t>solicitud</w:t>
      </w:r>
      <w:r>
        <w:rPr>
          <w:spacing w:val="7"/>
          <w:sz w:val="12"/>
        </w:rPr>
        <w:t xml:space="preserve"> </w:t>
      </w:r>
      <w:r>
        <w:rPr>
          <w:sz w:val="12"/>
        </w:rPr>
        <w:t>núm.</w:t>
      </w:r>
      <w:r>
        <w:rPr>
          <w:spacing w:val="7"/>
          <w:sz w:val="12"/>
        </w:rPr>
        <w:t xml:space="preserve"> </w:t>
      </w:r>
      <w:r>
        <w:rPr>
          <w:sz w:val="12"/>
        </w:rPr>
        <w:t>6289/73,</w:t>
      </w:r>
      <w:r>
        <w:rPr>
          <w:spacing w:val="8"/>
          <w:sz w:val="12"/>
        </w:rPr>
        <w:t xml:space="preserve"> </w:t>
      </w:r>
      <w:r>
        <w:rPr>
          <w:sz w:val="12"/>
        </w:rPr>
        <w:t>sentencia</w:t>
      </w:r>
      <w:r>
        <w:rPr>
          <w:spacing w:val="7"/>
          <w:sz w:val="12"/>
        </w:rPr>
        <w:t xml:space="preserve"> </w:t>
      </w:r>
      <w:r>
        <w:rPr>
          <w:sz w:val="12"/>
        </w:rPr>
        <w:t>de</w:t>
      </w:r>
      <w:r>
        <w:rPr>
          <w:spacing w:val="7"/>
          <w:sz w:val="12"/>
        </w:rPr>
        <w:t xml:space="preserve"> </w:t>
      </w:r>
      <w:r>
        <w:rPr>
          <w:sz w:val="12"/>
        </w:rPr>
        <w:t>9</w:t>
      </w:r>
      <w:r>
        <w:rPr>
          <w:spacing w:val="7"/>
          <w:sz w:val="12"/>
        </w:rPr>
        <w:t xml:space="preserve"> </w:t>
      </w:r>
      <w:r>
        <w:rPr>
          <w:sz w:val="12"/>
        </w:rPr>
        <w:t>de</w:t>
      </w:r>
      <w:r>
        <w:rPr>
          <w:spacing w:val="7"/>
          <w:sz w:val="12"/>
        </w:rPr>
        <w:t xml:space="preserve"> </w:t>
      </w:r>
      <w:r>
        <w:rPr>
          <w:sz w:val="12"/>
        </w:rPr>
        <w:t>octubre</w:t>
      </w:r>
      <w:r>
        <w:rPr>
          <w:spacing w:val="7"/>
          <w:sz w:val="12"/>
        </w:rPr>
        <w:t xml:space="preserve"> </w:t>
      </w:r>
      <w:r>
        <w:rPr>
          <w:sz w:val="12"/>
        </w:rPr>
        <w:t>de</w:t>
      </w:r>
      <w:r>
        <w:rPr>
          <w:spacing w:val="7"/>
          <w:sz w:val="12"/>
        </w:rPr>
        <w:t xml:space="preserve"> </w:t>
      </w:r>
      <w:r>
        <w:rPr>
          <w:sz w:val="12"/>
        </w:rPr>
        <w:t>1979.</w:t>
      </w:r>
      <w:r>
        <w:rPr>
          <w:spacing w:val="7"/>
          <w:sz w:val="12"/>
        </w:rPr>
        <w:t xml:space="preserve"> </w:t>
      </w:r>
      <w:r>
        <w:rPr>
          <w:sz w:val="12"/>
        </w:rPr>
        <w:t>El</w:t>
      </w:r>
      <w:r>
        <w:rPr>
          <w:spacing w:val="7"/>
          <w:sz w:val="12"/>
        </w:rPr>
        <w:t xml:space="preserve"> </w:t>
      </w:r>
      <w:r>
        <w:rPr>
          <w:sz w:val="12"/>
        </w:rPr>
        <w:t>Tribunal</w:t>
      </w:r>
      <w:r>
        <w:rPr>
          <w:spacing w:val="7"/>
          <w:sz w:val="12"/>
        </w:rPr>
        <w:t xml:space="preserve"> </w:t>
      </w:r>
      <w:r>
        <w:rPr>
          <w:sz w:val="12"/>
        </w:rPr>
        <w:t>también</w:t>
      </w:r>
      <w:r>
        <w:rPr>
          <w:spacing w:val="40"/>
          <w:sz w:val="12"/>
        </w:rPr>
        <w:t xml:space="preserve"> </w:t>
      </w:r>
      <w:r>
        <w:rPr>
          <w:sz w:val="12"/>
        </w:rPr>
        <w:t>ha constatado violaciones del derecho a la no discriminación en casos relacionados con la denegación de asistencia jurídica. a los no nacionales. Véase, por</w:t>
      </w:r>
      <w:r>
        <w:rPr>
          <w:spacing w:val="40"/>
          <w:sz w:val="12"/>
        </w:rPr>
        <w:t xml:space="preserve"> </w:t>
      </w:r>
      <w:r>
        <w:rPr>
          <w:sz w:val="12"/>
        </w:rPr>
        <w:t xml:space="preserve">ejemplo, Tribunal Europeo de Derechos Humanos, </w:t>
      </w:r>
      <w:proofErr w:type="spellStart"/>
      <w:r>
        <w:rPr>
          <w:sz w:val="12"/>
        </w:rPr>
        <w:t>Anakomba</w:t>
      </w:r>
      <w:proofErr w:type="spellEnd"/>
      <w:r>
        <w:rPr>
          <w:sz w:val="12"/>
        </w:rPr>
        <w:t xml:space="preserve"> </w:t>
      </w:r>
      <w:proofErr w:type="spellStart"/>
      <w:r>
        <w:rPr>
          <w:sz w:val="12"/>
        </w:rPr>
        <w:t>Yula</w:t>
      </w:r>
      <w:proofErr w:type="spellEnd"/>
      <w:r>
        <w:rPr>
          <w:sz w:val="12"/>
        </w:rPr>
        <w:t xml:space="preserve"> c. Bélgica, solicitud n.º 45413/07, sentencia de 10 de marzo de 2009.</w:t>
      </w:r>
    </w:p>
    <w:p w14:paraId="665B523B" w14:textId="77777777" w:rsidR="0014798C" w:rsidRDefault="0014798C">
      <w:pPr>
        <w:spacing w:line="312" w:lineRule="auto"/>
        <w:rPr>
          <w:sz w:val="12"/>
        </w:rPr>
        <w:sectPr w:rsidR="0014798C" w:rsidSect="00F265E4">
          <w:type w:val="continuous"/>
          <w:pgSz w:w="11900" w:h="16820"/>
          <w:pgMar w:top="40" w:right="0" w:bottom="280" w:left="200" w:header="121" w:footer="0" w:gutter="0"/>
          <w:cols w:num="2" w:space="720" w:equalWidth="0">
            <w:col w:w="1249" w:space="40"/>
            <w:col w:w="10411"/>
          </w:cols>
        </w:sectPr>
      </w:pPr>
    </w:p>
    <w:p w14:paraId="586E816A" w14:textId="77777777" w:rsidR="0014798C" w:rsidRDefault="004E1F0B">
      <w:pPr>
        <w:spacing w:before="58"/>
        <w:ind w:left="1108"/>
        <w:rPr>
          <w:sz w:val="12"/>
        </w:rPr>
      </w:pPr>
      <w:r>
        <w:rPr>
          <w:sz w:val="12"/>
        </w:rPr>
        <w:t>679</w:t>
      </w:r>
      <w:r>
        <w:rPr>
          <w:spacing w:val="3"/>
          <w:sz w:val="12"/>
        </w:rPr>
        <w:t xml:space="preserve"> </w:t>
      </w:r>
      <w:r>
        <w:rPr>
          <w:sz w:val="12"/>
        </w:rPr>
        <w:t>El</w:t>
      </w:r>
      <w:r>
        <w:rPr>
          <w:spacing w:val="3"/>
          <w:sz w:val="12"/>
        </w:rPr>
        <w:t xml:space="preserve"> </w:t>
      </w:r>
      <w:r>
        <w:rPr>
          <w:sz w:val="12"/>
        </w:rPr>
        <w:t>Comité</w:t>
      </w:r>
      <w:r>
        <w:rPr>
          <w:spacing w:val="4"/>
          <w:sz w:val="12"/>
        </w:rPr>
        <w:t xml:space="preserve"> </w:t>
      </w:r>
      <w:r>
        <w:rPr>
          <w:sz w:val="12"/>
        </w:rPr>
        <w:t>sobre</w:t>
      </w:r>
      <w:r>
        <w:rPr>
          <w:spacing w:val="3"/>
          <w:sz w:val="12"/>
        </w:rPr>
        <w:t xml:space="preserve"> </w:t>
      </w:r>
      <w:r>
        <w:rPr>
          <w:sz w:val="12"/>
        </w:rPr>
        <w:t>los</w:t>
      </w:r>
      <w:r>
        <w:rPr>
          <w:spacing w:val="4"/>
          <w:sz w:val="12"/>
        </w:rPr>
        <w:t xml:space="preserve"> </w:t>
      </w:r>
      <w:r>
        <w:rPr>
          <w:sz w:val="12"/>
        </w:rPr>
        <w:t>Derechos</w:t>
      </w:r>
      <w:r>
        <w:rPr>
          <w:spacing w:val="3"/>
          <w:sz w:val="12"/>
        </w:rPr>
        <w:t xml:space="preserve"> </w:t>
      </w:r>
      <w:r>
        <w:rPr>
          <w:sz w:val="12"/>
        </w:rPr>
        <w:t>de</w:t>
      </w:r>
      <w:r>
        <w:rPr>
          <w:spacing w:val="4"/>
          <w:sz w:val="12"/>
        </w:rPr>
        <w:t xml:space="preserve"> </w:t>
      </w:r>
      <w:r>
        <w:rPr>
          <w:sz w:val="12"/>
        </w:rPr>
        <w:t>las</w:t>
      </w:r>
      <w:r>
        <w:rPr>
          <w:spacing w:val="3"/>
          <w:sz w:val="12"/>
        </w:rPr>
        <w:t xml:space="preserve"> </w:t>
      </w:r>
      <w:r>
        <w:rPr>
          <w:sz w:val="12"/>
        </w:rPr>
        <w:t>Personas</w:t>
      </w:r>
      <w:r>
        <w:rPr>
          <w:spacing w:val="4"/>
          <w:sz w:val="12"/>
        </w:rPr>
        <w:t xml:space="preserve"> </w:t>
      </w:r>
      <w:r>
        <w:rPr>
          <w:sz w:val="12"/>
        </w:rPr>
        <w:t>con</w:t>
      </w:r>
      <w:r>
        <w:rPr>
          <w:spacing w:val="3"/>
          <w:sz w:val="12"/>
        </w:rPr>
        <w:t xml:space="preserve"> </w:t>
      </w:r>
      <w:r>
        <w:rPr>
          <w:sz w:val="12"/>
        </w:rPr>
        <w:t>Discapacidad,</w:t>
      </w:r>
      <w:r>
        <w:rPr>
          <w:spacing w:val="5"/>
          <w:sz w:val="12"/>
        </w:rPr>
        <w:t xml:space="preserve"> </w:t>
      </w:r>
      <w:r>
        <w:rPr>
          <w:sz w:val="12"/>
        </w:rPr>
        <w:t>por</w:t>
      </w:r>
      <w:r>
        <w:rPr>
          <w:spacing w:val="3"/>
          <w:sz w:val="12"/>
        </w:rPr>
        <w:t xml:space="preserve"> </w:t>
      </w:r>
      <w:r>
        <w:rPr>
          <w:sz w:val="12"/>
        </w:rPr>
        <w:t>ejemplo,</w:t>
      </w:r>
      <w:r>
        <w:rPr>
          <w:spacing w:val="5"/>
          <w:sz w:val="12"/>
        </w:rPr>
        <w:t xml:space="preserve"> </w:t>
      </w:r>
      <w:r>
        <w:rPr>
          <w:sz w:val="12"/>
        </w:rPr>
        <w:t>ha</w:t>
      </w:r>
      <w:r>
        <w:rPr>
          <w:spacing w:val="3"/>
          <w:sz w:val="12"/>
        </w:rPr>
        <w:t xml:space="preserve"> </w:t>
      </w:r>
      <w:r>
        <w:rPr>
          <w:sz w:val="12"/>
        </w:rPr>
        <w:t>señalado</w:t>
      </w:r>
      <w:r>
        <w:rPr>
          <w:spacing w:val="4"/>
          <w:sz w:val="12"/>
        </w:rPr>
        <w:t xml:space="preserve"> </w:t>
      </w:r>
      <w:r>
        <w:rPr>
          <w:sz w:val="12"/>
        </w:rPr>
        <w:t>que</w:t>
      </w:r>
      <w:r>
        <w:rPr>
          <w:spacing w:val="3"/>
          <w:sz w:val="12"/>
        </w:rPr>
        <w:t xml:space="preserve"> </w:t>
      </w:r>
      <w:r>
        <w:rPr>
          <w:sz w:val="12"/>
        </w:rPr>
        <w:t>las</w:t>
      </w:r>
      <w:r>
        <w:rPr>
          <w:spacing w:val="4"/>
          <w:sz w:val="12"/>
        </w:rPr>
        <w:t xml:space="preserve"> </w:t>
      </w:r>
      <w:r>
        <w:rPr>
          <w:sz w:val="12"/>
        </w:rPr>
        <w:t>acciones</w:t>
      </w:r>
      <w:r>
        <w:rPr>
          <w:spacing w:val="3"/>
          <w:sz w:val="12"/>
        </w:rPr>
        <w:t xml:space="preserve"> </w:t>
      </w:r>
      <w:r>
        <w:rPr>
          <w:sz w:val="12"/>
        </w:rPr>
        <w:t>de</w:t>
      </w:r>
      <w:r>
        <w:rPr>
          <w:spacing w:val="4"/>
          <w:sz w:val="12"/>
        </w:rPr>
        <w:t xml:space="preserve"> </w:t>
      </w:r>
      <w:r>
        <w:rPr>
          <w:sz w:val="12"/>
        </w:rPr>
        <w:t>interés</w:t>
      </w:r>
      <w:r>
        <w:rPr>
          <w:spacing w:val="3"/>
          <w:sz w:val="12"/>
        </w:rPr>
        <w:t xml:space="preserve"> </w:t>
      </w:r>
      <w:r>
        <w:rPr>
          <w:sz w:val="12"/>
        </w:rPr>
        <w:t>público</w:t>
      </w:r>
      <w:r>
        <w:rPr>
          <w:spacing w:val="4"/>
          <w:sz w:val="12"/>
        </w:rPr>
        <w:t xml:space="preserve"> </w:t>
      </w:r>
      <w:r>
        <w:rPr>
          <w:sz w:val="12"/>
        </w:rPr>
        <w:t>(</w:t>
      </w:r>
      <w:proofErr w:type="spellStart"/>
      <w:r>
        <w:rPr>
          <w:sz w:val="12"/>
        </w:rPr>
        <w:t>actio</w:t>
      </w:r>
      <w:proofErr w:type="spellEnd"/>
      <w:r>
        <w:rPr>
          <w:spacing w:val="3"/>
          <w:sz w:val="12"/>
        </w:rPr>
        <w:t xml:space="preserve"> </w:t>
      </w:r>
      <w:proofErr w:type="spellStart"/>
      <w:r>
        <w:rPr>
          <w:spacing w:val="-2"/>
          <w:sz w:val="12"/>
        </w:rPr>
        <w:t>popularis</w:t>
      </w:r>
      <w:proofErr w:type="spellEnd"/>
      <w:r>
        <w:rPr>
          <w:spacing w:val="-2"/>
          <w:sz w:val="12"/>
        </w:rPr>
        <w:t>)</w:t>
      </w:r>
    </w:p>
    <w:p w14:paraId="2267B380" w14:textId="77777777" w:rsidR="0014798C" w:rsidRDefault="004E1F0B">
      <w:pPr>
        <w:spacing w:before="42" w:line="312" w:lineRule="auto"/>
        <w:ind w:left="1366" w:right="2004" w:firstLine="3"/>
        <w:rPr>
          <w:sz w:val="12"/>
        </w:rPr>
      </w:pPr>
      <w:r>
        <w:rPr>
          <w:sz w:val="12"/>
        </w:rPr>
        <w:t>son un medio importante para garantizar la participación en el sistema de justicia, que es necesaria para garantizar el acceso a la justicia. El Comité para la</w:t>
      </w:r>
      <w:r>
        <w:rPr>
          <w:spacing w:val="40"/>
          <w:sz w:val="12"/>
        </w:rPr>
        <w:t xml:space="preserve"> </w:t>
      </w:r>
      <w:r>
        <w:rPr>
          <w:sz w:val="12"/>
        </w:rPr>
        <w:t>Eliminación de la Discriminación contra la Mujer ha llamado a los Estados a “garantizar que las normas sobre legitimación activa permitan a los grupos y</w:t>
      </w:r>
      <w:r>
        <w:rPr>
          <w:spacing w:val="40"/>
          <w:sz w:val="12"/>
        </w:rPr>
        <w:t xml:space="preserve"> </w:t>
      </w:r>
      <w:r>
        <w:rPr>
          <w:sz w:val="12"/>
        </w:rPr>
        <w:t>organizaciones de la sociedad civil interesados en un caso determinado presentar peticiones y participar en los procedimientos”.</w:t>
      </w:r>
      <w:r>
        <w:rPr>
          <w:spacing w:val="12"/>
          <w:sz w:val="12"/>
        </w:rPr>
        <w:t xml:space="preserve"> </w:t>
      </w:r>
      <w:r>
        <w:rPr>
          <w:sz w:val="12"/>
        </w:rPr>
        <w:t>Se han hecho</w:t>
      </w:r>
    </w:p>
    <w:p w14:paraId="7F5DEFDE" w14:textId="77777777" w:rsidR="0014798C" w:rsidRDefault="004E1F0B">
      <w:pPr>
        <w:spacing w:before="1" w:line="312" w:lineRule="auto"/>
        <w:ind w:left="1366" w:right="1463" w:firstLine="4"/>
        <w:rPr>
          <w:sz w:val="12"/>
        </w:rPr>
      </w:pPr>
      <w:r>
        <w:rPr>
          <w:sz w:val="12"/>
        </w:rPr>
        <w:t>recomendaciones similares en los foros regionales. Por ejemplo, la Asamblea Parlamentaria del Consejo de Europa ha recomendado la eliminación de “obstáculos</w:t>
      </w:r>
      <w:r>
        <w:rPr>
          <w:spacing w:val="40"/>
          <w:sz w:val="12"/>
        </w:rPr>
        <w:t xml:space="preserve"> </w:t>
      </w:r>
      <w:r>
        <w:rPr>
          <w:sz w:val="12"/>
        </w:rPr>
        <w:t>legales a la capacidad jurídica, en particular permitiendo a los tribunales aceptar la presentación de intervenciones de terceros y organismos de igualdad para</w:t>
      </w:r>
      <w:r>
        <w:rPr>
          <w:spacing w:val="40"/>
          <w:sz w:val="12"/>
        </w:rPr>
        <w:t xml:space="preserve"> </w:t>
      </w:r>
      <w:r>
        <w:rPr>
          <w:sz w:val="12"/>
        </w:rPr>
        <w:t>representar a individuos en procedimientos legales en ciertos casos”. Con respecto a su propio procedimiento de solicitud, la Comisión Africana de Derechos</w:t>
      </w:r>
      <w:r>
        <w:rPr>
          <w:spacing w:val="40"/>
          <w:sz w:val="12"/>
        </w:rPr>
        <w:t xml:space="preserve"> </w:t>
      </w:r>
      <w:r>
        <w:rPr>
          <w:sz w:val="12"/>
        </w:rPr>
        <w:t xml:space="preserve">Humanos y de los Pueblos ha subrayado la importancia de la </w:t>
      </w:r>
      <w:proofErr w:type="spellStart"/>
      <w:r>
        <w:rPr>
          <w:sz w:val="12"/>
        </w:rPr>
        <w:t>actio</w:t>
      </w:r>
      <w:proofErr w:type="spellEnd"/>
      <w:r>
        <w:rPr>
          <w:sz w:val="12"/>
        </w:rPr>
        <w:t xml:space="preserve"> </w:t>
      </w:r>
      <w:proofErr w:type="spellStart"/>
      <w:r>
        <w:rPr>
          <w:sz w:val="12"/>
        </w:rPr>
        <w:t>popularis</w:t>
      </w:r>
      <w:proofErr w:type="spellEnd"/>
      <w:r>
        <w:rPr>
          <w:sz w:val="12"/>
        </w:rPr>
        <w:t xml:space="preserve"> para hacer posible la justicia.</w:t>
      </w:r>
      <w:r>
        <w:rPr>
          <w:spacing w:val="10"/>
          <w:sz w:val="12"/>
        </w:rPr>
        <w:t xml:space="preserve"> </w:t>
      </w:r>
      <w:r>
        <w:rPr>
          <w:sz w:val="12"/>
        </w:rPr>
        <w:t>Véase Comité sobre los Derechos de las Personas</w:t>
      </w:r>
    </w:p>
    <w:p w14:paraId="51C80498" w14:textId="77777777" w:rsidR="0014798C" w:rsidRDefault="004E1F0B">
      <w:pPr>
        <w:spacing w:before="2"/>
        <w:ind w:left="1365"/>
        <w:jc w:val="both"/>
        <w:rPr>
          <w:sz w:val="12"/>
        </w:rPr>
      </w:pPr>
      <w:r>
        <w:rPr>
          <w:sz w:val="12"/>
        </w:rPr>
        <w:t>con</w:t>
      </w:r>
      <w:r>
        <w:rPr>
          <w:spacing w:val="-3"/>
          <w:sz w:val="12"/>
        </w:rPr>
        <w:t xml:space="preserve"> </w:t>
      </w:r>
      <w:r>
        <w:rPr>
          <w:sz w:val="12"/>
        </w:rPr>
        <w:t>Discapacidad,</w:t>
      </w:r>
      <w:r>
        <w:rPr>
          <w:spacing w:val="-1"/>
          <w:sz w:val="12"/>
        </w:rPr>
        <w:t xml:space="preserve"> </w:t>
      </w:r>
      <w:r>
        <w:rPr>
          <w:sz w:val="12"/>
        </w:rPr>
        <w:t>observación</w:t>
      </w:r>
      <w:r>
        <w:rPr>
          <w:spacing w:val="-3"/>
          <w:sz w:val="12"/>
        </w:rPr>
        <w:t xml:space="preserve"> </w:t>
      </w:r>
      <w:r>
        <w:rPr>
          <w:sz w:val="12"/>
        </w:rPr>
        <w:t>general</w:t>
      </w:r>
      <w:r>
        <w:rPr>
          <w:spacing w:val="-2"/>
          <w:sz w:val="12"/>
        </w:rPr>
        <w:t xml:space="preserve"> </w:t>
      </w:r>
      <w:r>
        <w:rPr>
          <w:sz w:val="12"/>
        </w:rPr>
        <w:t>núm.</w:t>
      </w:r>
      <w:r>
        <w:rPr>
          <w:spacing w:val="-3"/>
          <w:sz w:val="12"/>
        </w:rPr>
        <w:t xml:space="preserve"> </w:t>
      </w:r>
      <w:r>
        <w:rPr>
          <w:sz w:val="12"/>
        </w:rPr>
        <w:t>6</w:t>
      </w:r>
      <w:r>
        <w:rPr>
          <w:spacing w:val="-2"/>
          <w:sz w:val="12"/>
        </w:rPr>
        <w:t xml:space="preserve"> </w:t>
      </w:r>
      <w:r>
        <w:rPr>
          <w:sz w:val="12"/>
        </w:rPr>
        <w:t>(2018),</w:t>
      </w:r>
      <w:r>
        <w:rPr>
          <w:spacing w:val="-1"/>
          <w:sz w:val="12"/>
        </w:rPr>
        <w:t xml:space="preserve"> </w:t>
      </w:r>
      <w:r>
        <w:rPr>
          <w:sz w:val="12"/>
        </w:rPr>
        <w:t>párr.</w:t>
      </w:r>
      <w:r>
        <w:rPr>
          <w:spacing w:val="-2"/>
          <w:sz w:val="12"/>
        </w:rPr>
        <w:t xml:space="preserve"> </w:t>
      </w:r>
      <w:r>
        <w:rPr>
          <w:sz w:val="12"/>
        </w:rPr>
        <w:t>53;</w:t>
      </w:r>
      <w:r>
        <w:rPr>
          <w:spacing w:val="-2"/>
          <w:sz w:val="12"/>
        </w:rPr>
        <w:t xml:space="preserve"> </w:t>
      </w:r>
      <w:r>
        <w:rPr>
          <w:sz w:val="12"/>
        </w:rPr>
        <w:t>Comité</w:t>
      </w:r>
      <w:r>
        <w:rPr>
          <w:spacing w:val="-3"/>
          <w:sz w:val="12"/>
        </w:rPr>
        <w:t xml:space="preserve"> </w:t>
      </w:r>
      <w:r>
        <w:rPr>
          <w:sz w:val="12"/>
        </w:rPr>
        <w:t>para</w:t>
      </w:r>
      <w:r>
        <w:rPr>
          <w:spacing w:val="-2"/>
          <w:sz w:val="12"/>
        </w:rPr>
        <w:t xml:space="preserve"> </w:t>
      </w:r>
      <w:r>
        <w:rPr>
          <w:sz w:val="12"/>
        </w:rPr>
        <w:t>la</w:t>
      </w:r>
      <w:r>
        <w:rPr>
          <w:spacing w:val="-2"/>
          <w:sz w:val="12"/>
        </w:rPr>
        <w:t xml:space="preserve"> </w:t>
      </w:r>
      <w:r>
        <w:rPr>
          <w:sz w:val="12"/>
        </w:rPr>
        <w:t>Eliminación</w:t>
      </w:r>
      <w:r>
        <w:rPr>
          <w:spacing w:val="-3"/>
          <w:sz w:val="12"/>
        </w:rPr>
        <w:t xml:space="preserve"> </w:t>
      </w:r>
      <w:r>
        <w:rPr>
          <w:sz w:val="12"/>
        </w:rPr>
        <w:t>de</w:t>
      </w:r>
      <w:r>
        <w:rPr>
          <w:spacing w:val="-2"/>
          <w:sz w:val="12"/>
        </w:rPr>
        <w:t xml:space="preserve"> </w:t>
      </w:r>
      <w:r>
        <w:rPr>
          <w:sz w:val="12"/>
        </w:rPr>
        <w:t>la</w:t>
      </w:r>
      <w:r>
        <w:rPr>
          <w:spacing w:val="-3"/>
          <w:sz w:val="12"/>
        </w:rPr>
        <w:t xml:space="preserve"> </w:t>
      </w:r>
      <w:r>
        <w:rPr>
          <w:sz w:val="12"/>
        </w:rPr>
        <w:t>Discriminación</w:t>
      </w:r>
      <w:r>
        <w:rPr>
          <w:spacing w:val="-2"/>
          <w:sz w:val="12"/>
        </w:rPr>
        <w:t xml:space="preserve"> </w:t>
      </w:r>
      <w:r>
        <w:rPr>
          <w:sz w:val="12"/>
        </w:rPr>
        <w:t>contra</w:t>
      </w:r>
      <w:r>
        <w:rPr>
          <w:spacing w:val="-2"/>
          <w:sz w:val="12"/>
        </w:rPr>
        <w:t xml:space="preserve"> </w:t>
      </w:r>
      <w:r>
        <w:rPr>
          <w:sz w:val="12"/>
        </w:rPr>
        <w:t>la</w:t>
      </w:r>
      <w:r>
        <w:rPr>
          <w:spacing w:val="-3"/>
          <w:sz w:val="12"/>
        </w:rPr>
        <w:t xml:space="preserve"> </w:t>
      </w:r>
      <w:r>
        <w:rPr>
          <w:sz w:val="12"/>
        </w:rPr>
        <w:t>Mujer,</w:t>
      </w:r>
      <w:r>
        <w:rPr>
          <w:spacing w:val="-1"/>
          <w:sz w:val="12"/>
        </w:rPr>
        <w:t xml:space="preserve"> </w:t>
      </w:r>
      <w:r>
        <w:rPr>
          <w:sz w:val="12"/>
        </w:rPr>
        <w:t>recomendación</w:t>
      </w:r>
      <w:r>
        <w:rPr>
          <w:spacing w:val="-3"/>
          <w:sz w:val="12"/>
        </w:rPr>
        <w:t xml:space="preserve"> </w:t>
      </w:r>
      <w:r>
        <w:rPr>
          <w:spacing w:val="-2"/>
          <w:sz w:val="12"/>
        </w:rPr>
        <w:t>general</w:t>
      </w:r>
    </w:p>
    <w:p w14:paraId="01651942" w14:textId="77777777" w:rsidR="0014798C" w:rsidRDefault="004E1F0B">
      <w:pPr>
        <w:spacing w:before="42" w:line="312" w:lineRule="auto"/>
        <w:ind w:left="1366" w:right="1663" w:hanging="1"/>
        <w:jc w:val="both"/>
        <w:rPr>
          <w:sz w:val="12"/>
        </w:rPr>
      </w:pPr>
      <w:r>
        <w:rPr>
          <w:sz w:val="12"/>
        </w:rPr>
        <w:t>núm. 33 (2015), párr. 16</w:t>
      </w:r>
      <w:proofErr w:type="gramStart"/>
      <w:r>
        <w:rPr>
          <w:sz w:val="12"/>
        </w:rPr>
        <w:t>c);</w:t>
      </w:r>
      <w:proofErr w:type="gramEnd"/>
      <w:r>
        <w:rPr>
          <w:sz w:val="12"/>
        </w:rPr>
        <w:t xml:space="preserve"> Resolución 2054 (2015) de la Asamblea Parlamentaria del Consejo de Europa sobre igualdad y no discriminación en el acceso a la</w:t>
      </w:r>
      <w:r>
        <w:rPr>
          <w:spacing w:val="40"/>
          <w:sz w:val="12"/>
        </w:rPr>
        <w:t xml:space="preserve"> </w:t>
      </w:r>
      <w:r>
        <w:rPr>
          <w:sz w:val="12"/>
        </w:rPr>
        <w:t>justicia, párr. 5.4; y Comisión Africana de Derechos Humanos y de los Pueblos, Artículo 19 v. Estado de Eritrea, comunicación No. 275/2003, Decisión, 16 a 30</w:t>
      </w:r>
      <w:r>
        <w:rPr>
          <w:spacing w:val="40"/>
          <w:sz w:val="12"/>
        </w:rPr>
        <w:t xml:space="preserve"> </w:t>
      </w:r>
      <w:r>
        <w:rPr>
          <w:sz w:val="12"/>
        </w:rPr>
        <w:t>de mayo de 2007, párr. sesenta y cinco.</w:t>
      </w:r>
    </w:p>
    <w:p w14:paraId="1E86AAE2" w14:textId="77777777" w:rsidR="0014798C" w:rsidRDefault="0014798C">
      <w:pPr>
        <w:pStyle w:val="Textoindependiente"/>
        <w:rPr>
          <w:sz w:val="19"/>
        </w:rPr>
      </w:pPr>
    </w:p>
    <w:p w14:paraId="2F565288" w14:textId="77777777" w:rsidR="0014798C" w:rsidRDefault="0014798C">
      <w:pPr>
        <w:pStyle w:val="Textoindependiente"/>
        <w:spacing w:before="150"/>
        <w:rPr>
          <w:sz w:val="19"/>
        </w:rPr>
      </w:pPr>
    </w:p>
    <w:p w14:paraId="1DA8F3C0" w14:textId="77777777" w:rsidR="0014798C" w:rsidRDefault="004E1F0B">
      <w:pPr>
        <w:ind w:left="550"/>
        <w:rPr>
          <w:sz w:val="19"/>
        </w:rPr>
      </w:pPr>
      <w:r>
        <w:rPr>
          <w:spacing w:val="-5"/>
          <w:sz w:val="19"/>
        </w:rPr>
        <w:t>92</w:t>
      </w:r>
    </w:p>
    <w:p w14:paraId="759BE1C1" w14:textId="77777777" w:rsidR="0014798C" w:rsidRDefault="0014798C">
      <w:pPr>
        <w:rPr>
          <w:sz w:val="19"/>
        </w:rPr>
        <w:sectPr w:rsidR="0014798C" w:rsidSect="00F265E4">
          <w:type w:val="continuous"/>
          <w:pgSz w:w="11900" w:h="16820"/>
          <w:pgMar w:top="40" w:right="0" w:bottom="280" w:left="200" w:header="121" w:footer="0" w:gutter="0"/>
          <w:cols w:space="720"/>
        </w:sectPr>
      </w:pPr>
    </w:p>
    <w:p w14:paraId="783098DE" w14:textId="77777777" w:rsidR="0014798C" w:rsidRDefault="0014798C">
      <w:pPr>
        <w:pStyle w:val="Textoindependiente"/>
        <w:spacing w:before="51"/>
        <w:rPr>
          <w:sz w:val="14"/>
        </w:rPr>
      </w:pPr>
    </w:p>
    <w:p w14:paraId="7B656685" w14:textId="77777777" w:rsidR="0014798C" w:rsidRDefault="004E1F0B">
      <w:pPr>
        <w:ind w:left="1111"/>
        <w:rPr>
          <w:sz w:val="14"/>
        </w:rPr>
      </w:pPr>
      <w:r>
        <w:rPr>
          <w:color w:val="00AC59"/>
          <w:sz w:val="14"/>
        </w:rPr>
        <w:t>SEGUNDA</w:t>
      </w:r>
      <w:r>
        <w:rPr>
          <w:color w:val="00AC59"/>
          <w:spacing w:val="-5"/>
          <w:sz w:val="14"/>
        </w:rPr>
        <w:t xml:space="preserve"> </w:t>
      </w:r>
      <w:r>
        <w:rPr>
          <w:color w:val="00AC59"/>
          <w:sz w:val="14"/>
        </w:rPr>
        <w:t>PARTE:</w:t>
      </w:r>
      <w:r>
        <w:rPr>
          <w:color w:val="00AC59"/>
          <w:spacing w:val="-5"/>
          <w:sz w:val="14"/>
        </w:rPr>
        <w:t xml:space="preserve"> </w:t>
      </w:r>
      <w:r>
        <w:rPr>
          <w:color w:val="00AC59"/>
          <w:sz w:val="14"/>
        </w:rPr>
        <w:t>CONTENIDO</w:t>
      </w:r>
      <w:r>
        <w:rPr>
          <w:color w:val="00AC59"/>
          <w:spacing w:val="-4"/>
          <w:sz w:val="14"/>
        </w:rPr>
        <w:t xml:space="preserve"> </w:t>
      </w:r>
      <w:r>
        <w:rPr>
          <w:color w:val="00AC59"/>
          <w:sz w:val="14"/>
        </w:rPr>
        <w:t>DE</w:t>
      </w:r>
      <w:r>
        <w:rPr>
          <w:color w:val="00AC59"/>
          <w:spacing w:val="-5"/>
          <w:sz w:val="14"/>
        </w:rPr>
        <w:t xml:space="preserve"> </w:t>
      </w:r>
      <w:r>
        <w:rPr>
          <w:color w:val="00AC59"/>
          <w:sz w:val="14"/>
        </w:rPr>
        <w:t>LA</w:t>
      </w:r>
      <w:r>
        <w:rPr>
          <w:color w:val="00AC59"/>
          <w:spacing w:val="-4"/>
          <w:sz w:val="14"/>
        </w:rPr>
        <w:t xml:space="preserve"> </w:t>
      </w:r>
      <w:r>
        <w:rPr>
          <w:color w:val="00AC59"/>
          <w:sz w:val="14"/>
        </w:rPr>
        <w:t>LEY</w:t>
      </w:r>
      <w:r>
        <w:rPr>
          <w:color w:val="00AC59"/>
          <w:spacing w:val="-4"/>
          <w:sz w:val="14"/>
        </w:rPr>
        <w:t xml:space="preserve"> </w:t>
      </w:r>
      <w:r>
        <w:rPr>
          <w:color w:val="00AC59"/>
          <w:sz w:val="14"/>
        </w:rPr>
        <w:t>INTEGRAL</w:t>
      </w:r>
      <w:r>
        <w:rPr>
          <w:color w:val="00AC59"/>
          <w:spacing w:val="-5"/>
          <w:sz w:val="14"/>
        </w:rPr>
        <w:t xml:space="preserve"> </w:t>
      </w:r>
      <w:r>
        <w:rPr>
          <w:color w:val="00AC59"/>
          <w:spacing w:val="-2"/>
          <w:sz w:val="14"/>
        </w:rPr>
        <w:t>ANTIDISCRIMINACIÓN</w:t>
      </w:r>
    </w:p>
    <w:p w14:paraId="7C1AEF7A" w14:textId="77777777" w:rsidR="0014798C" w:rsidRDefault="0014798C">
      <w:pPr>
        <w:pStyle w:val="Textoindependiente"/>
      </w:pPr>
    </w:p>
    <w:p w14:paraId="30622291" w14:textId="77777777" w:rsidR="0014798C" w:rsidRDefault="0014798C">
      <w:pPr>
        <w:pStyle w:val="Textoindependiente"/>
      </w:pPr>
    </w:p>
    <w:p w14:paraId="3FD4E945" w14:textId="77777777" w:rsidR="0014798C" w:rsidRDefault="0014798C">
      <w:pPr>
        <w:pStyle w:val="Textoindependiente"/>
      </w:pPr>
    </w:p>
    <w:p w14:paraId="6605D8AD" w14:textId="77777777" w:rsidR="0014798C" w:rsidRDefault="0014798C">
      <w:pPr>
        <w:pStyle w:val="Textoindependiente"/>
      </w:pPr>
    </w:p>
    <w:p w14:paraId="0956522C" w14:textId="77777777" w:rsidR="0014798C" w:rsidRDefault="0014798C">
      <w:pPr>
        <w:pStyle w:val="Textoindependiente"/>
        <w:spacing w:before="40"/>
      </w:pPr>
    </w:p>
    <w:p w14:paraId="4F9B15FC" w14:textId="77777777" w:rsidR="0014798C" w:rsidRDefault="004E1F0B">
      <w:pPr>
        <w:pStyle w:val="Textoindependiente"/>
        <w:spacing w:line="326" w:lineRule="auto"/>
        <w:ind w:left="1332" w:right="1553"/>
      </w:pPr>
      <w:r>
        <w:rPr>
          <w:noProof/>
        </w:rPr>
        <w:drawing>
          <wp:anchor distT="0" distB="0" distL="0" distR="0" simplePos="0" relativeHeight="251658429" behindDoc="1" locked="0" layoutInCell="1" allowOverlap="1" wp14:anchorId="794A9FFB" wp14:editId="3EE861BC">
            <wp:simplePos x="0" y="0"/>
            <wp:positionH relativeFrom="page">
              <wp:posOffset>790692</wp:posOffset>
            </wp:positionH>
            <wp:positionV relativeFrom="paragraph">
              <wp:posOffset>-143621</wp:posOffset>
            </wp:positionV>
            <wp:extent cx="6765807" cy="6618708"/>
            <wp:effectExtent l="0" t="0" r="0" b="0"/>
            <wp:wrapNone/>
            <wp:docPr id="210" name="Image 21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10" name="Image 210"/>
                    <pic:cNvPicPr/>
                  </pic:nvPicPr>
                  <pic:blipFill>
                    <a:blip r:embed="rId189" cstate="print"/>
                    <a:stretch>
                      <a:fillRect/>
                    </a:stretch>
                  </pic:blipFill>
                  <pic:spPr>
                    <a:xfrm>
                      <a:off x="0" y="0"/>
                      <a:ext cx="6765807" cy="6618708"/>
                    </a:xfrm>
                    <a:prstGeom prst="rect">
                      <a:avLst/>
                    </a:prstGeom>
                  </pic:spPr>
                </pic:pic>
              </a:graphicData>
            </a:graphic>
          </wp:anchor>
        </w:drawing>
      </w:r>
      <w:r>
        <w:t>En su Observación general núm. 1 (2014), el Comité sobre los Derechos de las Personas con Discapacidad detalló el significado</w:t>
      </w:r>
      <w:r>
        <w:rPr>
          <w:spacing w:val="11"/>
        </w:rPr>
        <w:t xml:space="preserve"> </w:t>
      </w:r>
      <w:r>
        <w:t>del</w:t>
      </w:r>
      <w:r>
        <w:rPr>
          <w:spacing w:val="11"/>
        </w:rPr>
        <w:t xml:space="preserve"> </w:t>
      </w:r>
      <w:r>
        <w:t>artículo</w:t>
      </w:r>
      <w:r>
        <w:rPr>
          <w:spacing w:val="11"/>
        </w:rPr>
        <w:t xml:space="preserve"> </w:t>
      </w:r>
      <w:r>
        <w:t>12,</w:t>
      </w:r>
      <w:r>
        <w:rPr>
          <w:spacing w:val="11"/>
        </w:rPr>
        <w:t xml:space="preserve"> </w:t>
      </w:r>
      <w:r>
        <w:t>afirmando</w:t>
      </w:r>
      <w:r>
        <w:rPr>
          <w:spacing w:val="11"/>
        </w:rPr>
        <w:t xml:space="preserve"> </w:t>
      </w:r>
      <w:r>
        <w:t>que:</w:t>
      </w:r>
      <w:r>
        <w:rPr>
          <w:spacing w:val="11"/>
        </w:rPr>
        <w:t xml:space="preserve"> </w:t>
      </w:r>
      <w:r>
        <w:t>“A</w:t>
      </w:r>
      <w:r>
        <w:rPr>
          <w:spacing w:val="11"/>
        </w:rPr>
        <w:t xml:space="preserve"> </w:t>
      </w:r>
      <w:r>
        <w:t>fin</w:t>
      </w:r>
      <w:r>
        <w:rPr>
          <w:spacing w:val="11"/>
        </w:rPr>
        <w:t xml:space="preserve"> </w:t>
      </w:r>
      <w:r>
        <w:t>de</w:t>
      </w:r>
      <w:r>
        <w:rPr>
          <w:spacing w:val="11"/>
        </w:rPr>
        <w:t xml:space="preserve"> </w:t>
      </w:r>
      <w:r>
        <w:t>reconocer</w:t>
      </w:r>
      <w:r>
        <w:rPr>
          <w:spacing w:val="11"/>
        </w:rPr>
        <w:t xml:space="preserve"> </w:t>
      </w:r>
      <w:r>
        <w:t>plenamente</w:t>
      </w:r>
      <w:r>
        <w:rPr>
          <w:spacing w:val="11"/>
        </w:rPr>
        <w:t xml:space="preserve"> </w:t>
      </w:r>
      <w:r>
        <w:t>la</w:t>
      </w:r>
      <w:r>
        <w:rPr>
          <w:spacing w:val="11"/>
        </w:rPr>
        <w:t xml:space="preserve"> </w:t>
      </w:r>
      <w:r>
        <w:t>'capacidad</w:t>
      </w:r>
      <w:r>
        <w:rPr>
          <w:spacing w:val="11"/>
        </w:rPr>
        <w:t xml:space="preserve"> </w:t>
      </w:r>
      <w:r>
        <w:t>jurídica</w:t>
      </w:r>
      <w:r>
        <w:rPr>
          <w:spacing w:val="11"/>
        </w:rPr>
        <w:t xml:space="preserve"> </w:t>
      </w:r>
      <w:r>
        <w:t>universal',</w:t>
      </w:r>
      <w:r>
        <w:rPr>
          <w:spacing w:val="12"/>
        </w:rPr>
        <w:t xml:space="preserve"> </w:t>
      </w:r>
      <w:r>
        <w:t>por</w:t>
      </w:r>
      <w:r>
        <w:rPr>
          <w:spacing w:val="11"/>
        </w:rPr>
        <w:t xml:space="preserve"> </w:t>
      </w:r>
      <w:r>
        <w:t>la</w:t>
      </w:r>
      <w:r>
        <w:rPr>
          <w:spacing w:val="11"/>
        </w:rPr>
        <w:t xml:space="preserve"> </w:t>
      </w:r>
      <w:r>
        <w:t>cual todas las personas, independientemente de su discapacidad o habilidades para tomar decisiones, poseen inherentemente capacidad jurídica, los Estados partes deben abolir las denegaciones de capacidad jurídica que sean discriminatorias por motivos</w:t>
      </w:r>
      <w:r>
        <w:rPr>
          <w:spacing w:val="9"/>
        </w:rPr>
        <w:t xml:space="preserve"> </w:t>
      </w:r>
      <w:r>
        <w:t>de</w:t>
      </w:r>
      <w:r>
        <w:rPr>
          <w:spacing w:val="9"/>
        </w:rPr>
        <w:t xml:space="preserve"> </w:t>
      </w:r>
      <w:r>
        <w:t>discapacidad</w:t>
      </w:r>
      <w:r>
        <w:rPr>
          <w:spacing w:val="9"/>
        </w:rPr>
        <w:t xml:space="preserve"> </w:t>
      </w:r>
      <w:r>
        <w:t>en</w:t>
      </w:r>
      <w:r>
        <w:rPr>
          <w:spacing w:val="9"/>
        </w:rPr>
        <w:t xml:space="preserve"> </w:t>
      </w:r>
      <w:r>
        <w:t>su</w:t>
      </w:r>
      <w:r>
        <w:rPr>
          <w:spacing w:val="9"/>
        </w:rPr>
        <w:t xml:space="preserve"> </w:t>
      </w:r>
      <w:r>
        <w:t>propósito</w:t>
      </w:r>
      <w:r>
        <w:rPr>
          <w:spacing w:val="9"/>
        </w:rPr>
        <w:t xml:space="preserve"> </w:t>
      </w:r>
      <w:r>
        <w:t>o</w:t>
      </w:r>
      <w:r>
        <w:rPr>
          <w:spacing w:val="9"/>
        </w:rPr>
        <w:t xml:space="preserve"> </w:t>
      </w:r>
      <w:r>
        <w:t>efecto”.</w:t>
      </w:r>
      <w:r>
        <w:rPr>
          <w:spacing w:val="10"/>
        </w:rPr>
        <w:t xml:space="preserve"> </w:t>
      </w:r>
      <w:r>
        <w:t>680</w:t>
      </w:r>
      <w:r>
        <w:rPr>
          <w:spacing w:val="9"/>
        </w:rPr>
        <w:t xml:space="preserve"> </w:t>
      </w:r>
      <w:r>
        <w:t>El</w:t>
      </w:r>
      <w:r>
        <w:rPr>
          <w:spacing w:val="9"/>
        </w:rPr>
        <w:t xml:space="preserve"> </w:t>
      </w:r>
      <w:r>
        <w:t>Comité</w:t>
      </w:r>
      <w:r>
        <w:rPr>
          <w:spacing w:val="9"/>
        </w:rPr>
        <w:t xml:space="preserve"> </w:t>
      </w:r>
      <w:r>
        <w:t>ha</w:t>
      </w:r>
      <w:r>
        <w:rPr>
          <w:spacing w:val="9"/>
        </w:rPr>
        <w:t xml:space="preserve"> </w:t>
      </w:r>
      <w:r>
        <w:t>enfatizado</w:t>
      </w:r>
      <w:r>
        <w:rPr>
          <w:spacing w:val="9"/>
        </w:rPr>
        <w:t xml:space="preserve"> </w:t>
      </w:r>
      <w:r>
        <w:t>que</w:t>
      </w:r>
      <w:r>
        <w:rPr>
          <w:spacing w:val="9"/>
        </w:rPr>
        <w:t xml:space="preserve"> </w:t>
      </w:r>
      <w:r>
        <w:t>este</w:t>
      </w:r>
      <w:r>
        <w:rPr>
          <w:spacing w:val="9"/>
        </w:rPr>
        <w:t xml:space="preserve"> </w:t>
      </w:r>
      <w:r>
        <w:t>requisito</w:t>
      </w:r>
      <w:r>
        <w:rPr>
          <w:spacing w:val="9"/>
        </w:rPr>
        <w:t xml:space="preserve"> </w:t>
      </w:r>
      <w:r>
        <w:t>se</w:t>
      </w:r>
      <w:r>
        <w:rPr>
          <w:spacing w:val="9"/>
        </w:rPr>
        <w:t xml:space="preserve"> </w:t>
      </w:r>
      <w:r>
        <w:t>aplica</w:t>
      </w:r>
      <w:r>
        <w:rPr>
          <w:spacing w:val="9"/>
        </w:rPr>
        <w:t xml:space="preserve"> </w:t>
      </w:r>
      <w:r>
        <w:t>con</w:t>
      </w:r>
      <w:r>
        <w:rPr>
          <w:spacing w:val="9"/>
        </w:rPr>
        <w:t xml:space="preserve"> </w:t>
      </w:r>
      <w:r>
        <w:t>respecto a la capacidad jurídica y otros aspectos de la capacidad jurídica. procedimiento judicial (como la presentación de pruebas) que puede ser aplicable en casos de discriminación.681 En este sentido, el Comité ha recomendado que los Estados</w:t>
      </w:r>
    </w:p>
    <w:p w14:paraId="0BA740A3" w14:textId="77777777" w:rsidR="0014798C" w:rsidRDefault="004E1F0B">
      <w:pPr>
        <w:pStyle w:val="Textoindependiente"/>
        <w:spacing w:line="326" w:lineRule="auto"/>
        <w:ind w:left="1334" w:right="1272" w:firstLine="3"/>
      </w:pPr>
      <w:r>
        <w:t>abolieran el modelo de “toma de decisiones sustitutiva” y lo reemplacen con un modelo de “toma de decisiones con apoyo”. alternativa, que reconoce la dignidad inherente del individuo y es consistente con el concepto de igualdad ante la ley.682</w:t>
      </w:r>
    </w:p>
    <w:p w14:paraId="2A6769C2" w14:textId="77777777" w:rsidR="0014798C" w:rsidRDefault="004E1F0B">
      <w:pPr>
        <w:pStyle w:val="Textoindependiente"/>
        <w:spacing w:before="109" w:line="326" w:lineRule="auto"/>
        <w:ind w:left="1332" w:right="1553"/>
      </w:pPr>
      <w:r>
        <w:rPr>
          <w:noProof/>
        </w:rPr>
        <mc:AlternateContent>
          <mc:Choice Requires="wps">
            <w:drawing>
              <wp:anchor distT="0" distB="0" distL="0" distR="0" simplePos="0" relativeHeight="251658286" behindDoc="0" locked="0" layoutInCell="1" allowOverlap="1" wp14:anchorId="73FA4562" wp14:editId="6344A381">
                <wp:simplePos x="0" y="0"/>
                <wp:positionH relativeFrom="page">
                  <wp:posOffset>7311076</wp:posOffset>
                </wp:positionH>
                <wp:positionV relativeFrom="paragraph">
                  <wp:posOffset>290465</wp:posOffset>
                </wp:positionV>
                <wp:extent cx="86360" cy="293370"/>
                <wp:effectExtent l="0" t="0" r="0" b="0"/>
                <wp:wrapNone/>
                <wp:docPr id="211" name="Textbox 21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86360" cy="293370"/>
                        </a:xfrm>
                        <a:prstGeom prst="rect">
                          <a:avLst/>
                        </a:prstGeom>
                      </wps:spPr>
                      <wps:txbx>
                        <w:txbxContent>
                          <w:p w14:paraId="1C940011" w14:textId="77777777" w:rsidR="0014798C" w:rsidRDefault="004E1F0B">
                            <w:pPr>
                              <w:spacing w:before="22"/>
                              <w:ind w:left="20"/>
                              <w:rPr>
                                <w:sz w:val="8"/>
                              </w:rPr>
                            </w:pPr>
                            <w:r>
                              <w:rPr>
                                <w:color w:val="FFFFFF"/>
                                <w:spacing w:val="-25"/>
                                <w:w w:val="105"/>
                                <w:sz w:val="8"/>
                              </w:rPr>
                              <w:t>–IP</w:t>
                            </w:r>
                            <w:r>
                              <w:rPr>
                                <w:spacing w:val="-25"/>
                                <w:w w:val="105"/>
                                <w:sz w:val="8"/>
                              </w:rPr>
                              <w:t>S</w:t>
                            </w:r>
                            <w:r>
                              <w:rPr>
                                <w:color w:val="FFFFFF"/>
                                <w:spacing w:val="-25"/>
                                <w:w w:val="105"/>
                                <w:sz w:val="8"/>
                              </w:rPr>
                              <w:t>IIA</w:t>
                            </w:r>
                            <w:r>
                              <w:rPr>
                                <w:spacing w:val="-25"/>
                                <w:w w:val="105"/>
                                <w:sz w:val="8"/>
                              </w:rPr>
                              <w:t>E</w:t>
                            </w:r>
                            <w:r>
                              <w:rPr>
                                <w:color w:val="FFFFFF"/>
                                <w:spacing w:val="-25"/>
                                <w:w w:val="105"/>
                                <w:sz w:val="8"/>
                              </w:rPr>
                              <w:t>R</w:t>
                            </w:r>
                            <w:r>
                              <w:rPr>
                                <w:spacing w:val="-25"/>
                                <w:w w:val="105"/>
                                <w:sz w:val="8"/>
                              </w:rPr>
                              <w:t>G</w:t>
                            </w:r>
                            <w:r>
                              <w:rPr>
                                <w:color w:val="FFFFFF"/>
                                <w:spacing w:val="-25"/>
                                <w:w w:val="105"/>
                                <w:sz w:val="8"/>
                              </w:rPr>
                              <w:t>T</w:t>
                            </w:r>
                            <w:r>
                              <w:rPr>
                                <w:spacing w:val="-25"/>
                                <w:w w:val="105"/>
                                <w:sz w:val="8"/>
                              </w:rPr>
                              <w:t>U</w:t>
                            </w:r>
                            <w:r>
                              <w:rPr>
                                <w:color w:val="FFFFFF"/>
                                <w:spacing w:val="-25"/>
                                <w:w w:val="105"/>
                                <w:sz w:val="8"/>
                              </w:rPr>
                              <w:t>E</w:t>
                            </w:r>
                            <w:r>
                              <w:rPr>
                                <w:spacing w:val="-25"/>
                                <w:w w:val="105"/>
                                <w:sz w:val="8"/>
                              </w:rPr>
                              <w:t>NDA</w:t>
                            </w:r>
                          </w:p>
                        </w:txbxContent>
                      </wps:txbx>
                      <wps:bodyPr vert="vert270" wrap="square" lIns="0" tIns="0" rIns="0" bIns="0" rtlCol="0">
                        <a:noAutofit/>
                      </wps:bodyPr>
                    </wps:wsp>
                  </a:graphicData>
                </a:graphic>
              </wp:anchor>
            </w:drawing>
          </mc:Choice>
          <mc:Fallback>
            <w:pict>
              <v:shape w14:anchorId="73FA4562" id="Textbox 211" o:spid="_x0000_s1110" type="#_x0000_t202" style="position:absolute;left:0;text-align:left;margin-left:575.7pt;margin-top:22.85pt;width:6.8pt;height:23.1pt;z-index:251658286;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" filled="f" stroked="f">
                <v:textbox style="layout-flow:vertical;mso-layout-flow-alt:bottom-to-top" inset="0,0,0,0">
                  <w:txbxContent>
                    <w:p w14:paraId="1C940011" w14:textId="77777777" w:rsidR="0014798C" w:rsidRDefault="004E1F0B">
                      <w:pPr>
                        <w:spacing w:before="22"/>
                        <w:ind w:left="20"/>
                        <w:rPr>
                          <w:sz w:val="8"/>
                        </w:rPr>
                      </w:pPr>
                      <w:r>
                        <w:rPr>
                          <w:color w:val="FFFFFF"/>
                          <w:spacing w:val="-25"/>
                          <w:w w:val="105"/>
                          <w:sz w:val="8"/>
                        </w:rPr>
                        <w:t>–IP</w:t>
                      </w:r>
                      <w:r>
                        <w:rPr>
                          <w:spacing w:val="-25"/>
                          <w:w w:val="105"/>
                          <w:sz w:val="8"/>
                        </w:rPr>
                        <w:t>S</w:t>
                      </w:r>
                      <w:r>
                        <w:rPr>
                          <w:color w:val="FFFFFF"/>
                          <w:spacing w:val="-25"/>
                          <w:w w:val="105"/>
                          <w:sz w:val="8"/>
                        </w:rPr>
                        <w:t>IIA</w:t>
                      </w:r>
                      <w:r>
                        <w:rPr>
                          <w:spacing w:val="-25"/>
                          <w:w w:val="105"/>
                          <w:sz w:val="8"/>
                        </w:rPr>
                        <w:t>E</w:t>
                      </w:r>
                      <w:r>
                        <w:rPr>
                          <w:color w:val="FFFFFF"/>
                          <w:spacing w:val="-25"/>
                          <w:w w:val="105"/>
                          <w:sz w:val="8"/>
                        </w:rPr>
                        <w:t>R</w:t>
                      </w:r>
                      <w:r>
                        <w:rPr>
                          <w:spacing w:val="-25"/>
                          <w:w w:val="105"/>
                          <w:sz w:val="8"/>
                        </w:rPr>
                        <w:t>G</w:t>
                      </w:r>
                      <w:r>
                        <w:rPr>
                          <w:color w:val="FFFFFF"/>
                          <w:spacing w:val="-25"/>
                          <w:w w:val="105"/>
                          <w:sz w:val="8"/>
                        </w:rPr>
                        <w:t>T</w:t>
                      </w:r>
                      <w:r>
                        <w:rPr>
                          <w:spacing w:val="-25"/>
                          <w:w w:val="105"/>
                          <w:sz w:val="8"/>
                        </w:rPr>
                        <w:t>U</w:t>
                      </w:r>
                      <w:r>
                        <w:rPr>
                          <w:color w:val="FFFFFF"/>
                          <w:spacing w:val="-25"/>
                          <w:w w:val="105"/>
                          <w:sz w:val="8"/>
                        </w:rPr>
                        <w:t>E</w:t>
                      </w:r>
                      <w:r>
                        <w:rPr>
                          <w:spacing w:val="-25"/>
                          <w:w w:val="105"/>
                          <w:sz w:val="8"/>
                        </w:rPr>
                        <w:t>NDA</w:t>
                      </w:r>
                    </w:p>
                  </w:txbxContent>
                </v:textbox>
                <w10:wrap anchorx="page"/>
              </v:shape>
            </w:pict>
          </mc:Fallback>
        </mc:AlternateContent>
      </w:r>
      <w:r>
        <w:t>Varios</w:t>
      </w:r>
      <w:r>
        <w:rPr>
          <w:spacing w:val="10"/>
        </w:rPr>
        <w:t xml:space="preserve"> </w:t>
      </w:r>
      <w:r>
        <w:t>Estados</w:t>
      </w:r>
      <w:r>
        <w:rPr>
          <w:spacing w:val="10"/>
        </w:rPr>
        <w:t xml:space="preserve"> </w:t>
      </w:r>
      <w:r>
        <w:t>han</w:t>
      </w:r>
      <w:r>
        <w:rPr>
          <w:spacing w:val="10"/>
        </w:rPr>
        <w:t xml:space="preserve"> </w:t>
      </w:r>
      <w:r>
        <w:t>actuado</w:t>
      </w:r>
      <w:r>
        <w:rPr>
          <w:spacing w:val="10"/>
        </w:rPr>
        <w:t xml:space="preserve"> </w:t>
      </w:r>
      <w:r>
        <w:t>sobre</w:t>
      </w:r>
      <w:r>
        <w:rPr>
          <w:spacing w:val="10"/>
        </w:rPr>
        <w:t xml:space="preserve"> </w:t>
      </w:r>
      <w:r>
        <w:t>estos</w:t>
      </w:r>
      <w:r>
        <w:rPr>
          <w:spacing w:val="10"/>
        </w:rPr>
        <w:t xml:space="preserve"> </w:t>
      </w:r>
      <w:r>
        <w:t>requisitos</w:t>
      </w:r>
      <w:r>
        <w:rPr>
          <w:spacing w:val="10"/>
        </w:rPr>
        <w:t xml:space="preserve"> </w:t>
      </w:r>
      <w:r>
        <w:t>legales</w:t>
      </w:r>
      <w:r>
        <w:rPr>
          <w:spacing w:val="10"/>
        </w:rPr>
        <w:t xml:space="preserve"> </w:t>
      </w:r>
      <w:r>
        <w:t>y</w:t>
      </w:r>
      <w:r>
        <w:rPr>
          <w:spacing w:val="10"/>
        </w:rPr>
        <w:t xml:space="preserve"> </w:t>
      </w:r>
      <w:r>
        <w:t>aún</w:t>
      </w:r>
      <w:r>
        <w:rPr>
          <w:spacing w:val="10"/>
        </w:rPr>
        <w:t xml:space="preserve"> </w:t>
      </w:r>
      <w:r>
        <w:t>más</w:t>
      </w:r>
      <w:r>
        <w:rPr>
          <w:spacing w:val="10"/>
        </w:rPr>
        <w:t xml:space="preserve"> </w:t>
      </w:r>
      <w:r>
        <w:t>están</w:t>
      </w:r>
      <w:r>
        <w:rPr>
          <w:spacing w:val="10"/>
        </w:rPr>
        <w:t xml:space="preserve"> </w:t>
      </w:r>
      <w:r>
        <w:t>actualmente</w:t>
      </w:r>
      <w:r>
        <w:rPr>
          <w:spacing w:val="10"/>
        </w:rPr>
        <w:t xml:space="preserve"> </w:t>
      </w:r>
      <w:r>
        <w:t>en</w:t>
      </w:r>
      <w:r>
        <w:rPr>
          <w:spacing w:val="10"/>
        </w:rPr>
        <w:t xml:space="preserve"> </w:t>
      </w:r>
      <w:r>
        <w:t>el</w:t>
      </w:r>
      <w:r>
        <w:rPr>
          <w:spacing w:val="10"/>
        </w:rPr>
        <w:t xml:space="preserve"> </w:t>
      </w:r>
      <w:r>
        <w:t>proceso</w:t>
      </w:r>
      <w:r>
        <w:rPr>
          <w:spacing w:val="10"/>
        </w:rPr>
        <w:t xml:space="preserve"> </w:t>
      </w:r>
      <w:r>
        <w:t>de</w:t>
      </w:r>
      <w:r>
        <w:rPr>
          <w:spacing w:val="10"/>
        </w:rPr>
        <w:t xml:space="preserve"> </w:t>
      </w:r>
      <w:r>
        <w:t>reformar</w:t>
      </w:r>
      <w:r>
        <w:rPr>
          <w:spacing w:val="10"/>
        </w:rPr>
        <w:t xml:space="preserve"> </w:t>
      </w:r>
      <w:r>
        <w:t>la</w:t>
      </w:r>
      <w:r>
        <w:rPr>
          <w:spacing w:val="10"/>
        </w:rPr>
        <w:t xml:space="preserve"> </w:t>
      </w:r>
      <w:r>
        <w:t>ley y la práctica en esta área.683 Por ejemplo, en 2018, el Relator Especial sobre los derechos de las personas con discapacidad acogió con agrado las reformas legales en Perú como un “hito” y “un ejemplo a seguir por todos los Estados”.684</w:t>
      </w:r>
      <w:r>
        <w:rPr>
          <w:spacing w:val="11"/>
        </w:rPr>
        <w:t xml:space="preserve"> </w:t>
      </w:r>
      <w:r>
        <w:t>Antes</w:t>
      </w:r>
      <w:r>
        <w:rPr>
          <w:spacing w:val="11"/>
        </w:rPr>
        <w:t xml:space="preserve"> </w:t>
      </w:r>
      <w:r>
        <w:t>de</w:t>
      </w:r>
      <w:r>
        <w:rPr>
          <w:spacing w:val="11"/>
        </w:rPr>
        <w:t xml:space="preserve"> </w:t>
      </w:r>
      <w:r>
        <w:t>las</w:t>
      </w:r>
      <w:r>
        <w:rPr>
          <w:spacing w:val="11"/>
        </w:rPr>
        <w:t xml:space="preserve"> </w:t>
      </w:r>
      <w:r>
        <w:t>reformas,</w:t>
      </w:r>
      <w:r>
        <w:rPr>
          <w:spacing w:val="13"/>
        </w:rPr>
        <w:t xml:space="preserve"> </w:t>
      </w:r>
      <w:r>
        <w:t>los</w:t>
      </w:r>
      <w:r>
        <w:rPr>
          <w:spacing w:val="11"/>
        </w:rPr>
        <w:t xml:space="preserve"> </w:t>
      </w:r>
      <w:r>
        <w:t>jueces</w:t>
      </w:r>
      <w:r>
        <w:rPr>
          <w:spacing w:val="11"/>
        </w:rPr>
        <w:t xml:space="preserve"> </w:t>
      </w:r>
      <w:r>
        <w:t>tenían</w:t>
      </w:r>
      <w:r>
        <w:rPr>
          <w:spacing w:val="11"/>
        </w:rPr>
        <w:t xml:space="preserve"> </w:t>
      </w:r>
      <w:r>
        <w:t>la</w:t>
      </w:r>
      <w:r>
        <w:rPr>
          <w:spacing w:val="11"/>
        </w:rPr>
        <w:t xml:space="preserve"> </w:t>
      </w:r>
      <w:r>
        <w:t>facultad</w:t>
      </w:r>
      <w:r>
        <w:rPr>
          <w:spacing w:val="11"/>
        </w:rPr>
        <w:t xml:space="preserve"> </w:t>
      </w:r>
      <w:r>
        <w:t>de</w:t>
      </w:r>
      <w:r>
        <w:rPr>
          <w:spacing w:val="11"/>
        </w:rPr>
        <w:t xml:space="preserve"> </w:t>
      </w:r>
      <w:r>
        <w:t>declarar</w:t>
      </w:r>
      <w:r>
        <w:rPr>
          <w:spacing w:val="11"/>
        </w:rPr>
        <w:t xml:space="preserve"> </w:t>
      </w:r>
      <w:r>
        <w:t>a</w:t>
      </w:r>
      <w:r>
        <w:rPr>
          <w:spacing w:val="11"/>
        </w:rPr>
        <w:t xml:space="preserve"> </w:t>
      </w:r>
      <w:r>
        <w:t>las</w:t>
      </w:r>
      <w:r>
        <w:rPr>
          <w:spacing w:val="11"/>
        </w:rPr>
        <w:t xml:space="preserve"> </w:t>
      </w:r>
      <w:r>
        <w:t>personas</w:t>
      </w:r>
      <w:r>
        <w:rPr>
          <w:spacing w:val="11"/>
        </w:rPr>
        <w:t xml:space="preserve"> </w:t>
      </w:r>
      <w:r>
        <w:t>con</w:t>
      </w:r>
      <w:r>
        <w:rPr>
          <w:spacing w:val="11"/>
        </w:rPr>
        <w:t xml:space="preserve"> </w:t>
      </w:r>
      <w:r>
        <w:t>discapacidad</w:t>
      </w:r>
      <w:r>
        <w:rPr>
          <w:spacing w:val="11"/>
        </w:rPr>
        <w:t xml:space="preserve"> </w:t>
      </w:r>
      <w:r>
        <w:t>intelectual o psicosocial incompetentes para cuidar de sí mismas o de sus bienes e imponer un tutor, bajo el código civil del país. Las</w:t>
      </w:r>
    </w:p>
    <w:p w14:paraId="5C510853" w14:textId="77777777" w:rsidR="0014798C" w:rsidRDefault="004E1F0B">
      <w:pPr>
        <w:pStyle w:val="Textoindependiente"/>
        <w:spacing w:line="326" w:lineRule="auto"/>
        <w:ind w:left="1332" w:right="1272" w:firstLine="5"/>
      </w:pPr>
      <w:r>
        <w:t>reformas corrigieron esta posición, eliminando restricciones a los derechos de las personas con discapacidad y brindándoles apoyo para tomar sus propias decisiones.685</w:t>
      </w:r>
    </w:p>
    <w:p w14:paraId="2BB9319E" w14:textId="77777777" w:rsidR="0014798C" w:rsidRDefault="0014798C">
      <w:pPr>
        <w:pStyle w:val="Textoindependiente"/>
      </w:pPr>
    </w:p>
    <w:p w14:paraId="7AB14F97" w14:textId="77777777" w:rsidR="0014798C" w:rsidRDefault="0014798C">
      <w:pPr>
        <w:pStyle w:val="Textoindependiente"/>
        <w:spacing w:before="81"/>
      </w:pPr>
    </w:p>
    <w:p w14:paraId="7F4741D9" w14:textId="77777777" w:rsidR="0014798C" w:rsidRDefault="004E1F0B">
      <w:pPr>
        <w:pStyle w:val="Textoindependiente"/>
        <w:spacing w:line="326" w:lineRule="auto"/>
        <w:ind w:left="1107" w:right="1378" w:firstLine="3"/>
      </w:pPr>
      <w:r>
        <w:t>Una posición amplia garantiza que otros puedan ayudar a las personas sometidas a discriminación a presentar una reclamación en los casos en los que no puedan hacerlo por sí solas o no deseen hacerlo. Garantiza el acceso a la justicia en situaciones en</w:t>
      </w:r>
      <w:r>
        <w:rPr>
          <w:spacing w:val="40"/>
        </w:rPr>
        <w:t xml:space="preserve"> </w:t>
      </w:r>
      <w:r>
        <w:t>las que las víctimas de la discriminación son colectivos, como comunidades religiosas o grupos indígenas. La jurisprudencia también ha reconocido que los miembros de grupos minoritarios están legitimados para impugnar la incitación dirigida no a ellos personalmente sino a un grupo más amplio del que forman parte.686 También se reconoce cada vez más que los grupos</w:t>
      </w:r>
    </w:p>
    <w:p w14:paraId="6BB6148B" w14:textId="77777777" w:rsidR="0014798C" w:rsidRDefault="004E1F0B">
      <w:pPr>
        <w:pStyle w:val="Textoindependiente"/>
        <w:spacing w:line="326" w:lineRule="auto"/>
        <w:ind w:left="1107" w:right="1166"/>
      </w:pPr>
      <w:r>
        <w:t>representativos, como las organizaciones de la sociedad civil, deberían tener legitimación activa para desafiar la discriminación.687 Estos actores pueden tener el conocimiento, la experiencia y la financiación necesarios para apoyar a las personas sometidas a discriminación. En los casos en que dichos actores presenten casos, se debe consultar e involucrar a los miembros de las comunidades afectadas en el proceso y se deben considerar debidamente sus opiniones.</w:t>
      </w:r>
    </w:p>
    <w:p w14:paraId="433F1C4C" w14:textId="77777777" w:rsidR="0014798C" w:rsidRDefault="0014798C">
      <w:pPr>
        <w:pStyle w:val="Textoindependiente"/>
        <w:spacing w:before="93"/>
      </w:pPr>
    </w:p>
    <w:p w14:paraId="672D5690" w14:textId="77777777" w:rsidR="0014798C" w:rsidRDefault="004E1F0B">
      <w:pPr>
        <w:pStyle w:val="Ttulo6"/>
        <w:numPr>
          <w:ilvl w:val="1"/>
          <w:numId w:val="3"/>
        </w:numPr>
        <w:tabs>
          <w:tab w:val="left" w:pos="1510"/>
        </w:tabs>
        <w:ind w:left="1510" w:hanging="390"/>
        <w:rPr>
          <w:color w:val="00AC59"/>
        </w:rPr>
      </w:pPr>
      <w:r>
        <w:rPr>
          <w:color w:val="00AC59"/>
        </w:rPr>
        <w:t>Pruebas</w:t>
      </w:r>
      <w:r>
        <w:rPr>
          <w:color w:val="00AC59"/>
          <w:spacing w:val="-1"/>
        </w:rPr>
        <w:t xml:space="preserve"> </w:t>
      </w:r>
      <w:r>
        <w:rPr>
          <w:color w:val="00AC59"/>
        </w:rPr>
        <w:t>y</w:t>
      </w:r>
      <w:r>
        <w:rPr>
          <w:color w:val="00AC59"/>
          <w:spacing w:val="-1"/>
        </w:rPr>
        <w:t xml:space="preserve"> </w:t>
      </w:r>
      <w:r>
        <w:rPr>
          <w:color w:val="00AC59"/>
          <w:spacing w:val="-2"/>
        </w:rPr>
        <w:t>pruebas</w:t>
      </w:r>
    </w:p>
    <w:p w14:paraId="515ED30A" w14:textId="77777777" w:rsidR="0014798C" w:rsidRDefault="0014798C">
      <w:pPr>
        <w:pStyle w:val="Textoindependiente"/>
        <w:spacing w:before="20"/>
      </w:pPr>
    </w:p>
    <w:p w14:paraId="3DD302B8" w14:textId="77777777" w:rsidR="0014798C" w:rsidRDefault="004E1F0B">
      <w:pPr>
        <w:pStyle w:val="Textoindependiente"/>
        <w:spacing w:line="326" w:lineRule="auto"/>
        <w:ind w:left="1111" w:right="1418" w:hanging="3"/>
      </w:pPr>
      <w:r>
        <w:t>La discriminación a menudo refleja un desequilibrio de poder entre las partes y la existencia de hechos que se encuentran –total</w:t>
      </w:r>
      <w:r>
        <w:rPr>
          <w:spacing w:val="80"/>
        </w:rPr>
        <w:t xml:space="preserve"> </w:t>
      </w:r>
      <w:r>
        <w:t>o parcialmente– dentro del conocimiento exclusivo del actor discriminador. Se reconoce con frecuencia que la aplicación de las</w:t>
      </w:r>
    </w:p>
    <w:p w14:paraId="631C2FBF" w14:textId="77777777" w:rsidR="0014798C" w:rsidRDefault="004E1F0B">
      <w:pPr>
        <w:pStyle w:val="Textoindependiente"/>
        <w:spacing w:line="326" w:lineRule="auto"/>
        <w:ind w:left="1107" w:right="1166" w:firstLine="4"/>
      </w:pPr>
      <w:r>
        <w:t>normas ordinarias de procedimiento en tales casos, que harían recaer en la parte discriminada la carga de probar la discriminación según</w:t>
      </w:r>
      <w:r>
        <w:rPr>
          <w:spacing w:val="11"/>
        </w:rPr>
        <w:t xml:space="preserve"> </w:t>
      </w:r>
      <w:r>
        <w:t>un</w:t>
      </w:r>
      <w:r>
        <w:rPr>
          <w:spacing w:val="11"/>
        </w:rPr>
        <w:t xml:space="preserve"> </w:t>
      </w:r>
      <w:r>
        <w:t>estándar</w:t>
      </w:r>
      <w:r>
        <w:rPr>
          <w:spacing w:val="11"/>
        </w:rPr>
        <w:t xml:space="preserve"> </w:t>
      </w:r>
      <w:r>
        <w:t>legal</w:t>
      </w:r>
      <w:r>
        <w:rPr>
          <w:spacing w:val="11"/>
        </w:rPr>
        <w:t xml:space="preserve"> </w:t>
      </w:r>
      <w:r>
        <w:t>establecido</w:t>
      </w:r>
      <w:r>
        <w:rPr>
          <w:spacing w:val="11"/>
        </w:rPr>
        <w:t xml:space="preserve"> </w:t>
      </w:r>
      <w:r>
        <w:t>(a</w:t>
      </w:r>
      <w:r>
        <w:rPr>
          <w:spacing w:val="11"/>
        </w:rPr>
        <w:t xml:space="preserve"> </w:t>
      </w:r>
      <w:r>
        <w:t>menudo,</w:t>
      </w:r>
      <w:r>
        <w:rPr>
          <w:spacing w:val="13"/>
        </w:rPr>
        <w:t xml:space="preserve"> </w:t>
      </w:r>
      <w:r>
        <w:t>sobre</w:t>
      </w:r>
      <w:r>
        <w:rPr>
          <w:spacing w:val="11"/>
        </w:rPr>
        <w:t xml:space="preserve"> </w:t>
      </w:r>
      <w:r>
        <w:t>un</w:t>
      </w:r>
      <w:r>
        <w:rPr>
          <w:spacing w:val="11"/>
        </w:rPr>
        <w:t xml:space="preserve"> </w:t>
      </w:r>
      <w:r>
        <w:t>equilibrio</w:t>
      </w:r>
      <w:r>
        <w:rPr>
          <w:spacing w:val="11"/>
        </w:rPr>
        <w:t xml:space="preserve"> </w:t>
      </w:r>
      <w:r>
        <w:t>de</w:t>
      </w:r>
      <w:r>
        <w:rPr>
          <w:spacing w:val="11"/>
        </w:rPr>
        <w:t xml:space="preserve"> </w:t>
      </w:r>
      <w:r>
        <w:t>probabilidades),</w:t>
      </w:r>
      <w:r>
        <w:rPr>
          <w:spacing w:val="14"/>
        </w:rPr>
        <w:t xml:space="preserve"> </w:t>
      </w:r>
      <w:r>
        <w:t>produce</w:t>
      </w:r>
      <w:r>
        <w:rPr>
          <w:spacing w:val="11"/>
        </w:rPr>
        <w:t xml:space="preserve"> </w:t>
      </w:r>
      <w:r>
        <w:t>resultados</w:t>
      </w:r>
      <w:r>
        <w:rPr>
          <w:spacing w:val="11"/>
        </w:rPr>
        <w:t xml:space="preserve"> </w:t>
      </w:r>
      <w:r>
        <w:t>injustos.</w:t>
      </w:r>
      <w:r>
        <w:rPr>
          <w:spacing w:val="13"/>
        </w:rPr>
        <w:t xml:space="preserve"> </w:t>
      </w:r>
      <w:r>
        <w:t>Por</w:t>
      </w:r>
      <w:r>
        <w:rPr>
          <w:spacing w:val="11"/>
        </w:rPr>
        <w:t xml:space="preserve"> </w:t>
      </w:r>
      <w:r>
        <w:t>lo</w:t>
      </w:r>
      <w:r>
        <w:rPr>
          <w:spacing w:val="11"/>
        </w:rPr>
        <w:t xml:space="preserve"> </w:t>
      </w:r>
      <w:r>
        <w:t>tanto, las</w:t>
      </w:r>
      <w:r>
        <w:rPr>
          <w:spacing w:val="14"/>
        </w:rPr>
        <w:t xml:space="preserve"> </w:t>
      </w:r>
      <w:r>
        <w:t>normas</w:t>
      </w:r>
      <w:r>
        <w:rPr>
          <w:spacing w:val="14"/>
        </w:rPr>
        <w:t xml:space="preserve"> </w:t>
      </w:r>
      <w:r>
        <w:t>jurídicas</w:t>
      </w:r>
      <w:r>
        <w:rPr>
          <w:spacing w:val="14"/>
        </w:rPr>
        <w:t xml:space="preserve"> </w:t>
      </w:r>
      <w:r>
        <w:t>relacionadas</w:t>
      </w:r>
      <w:r>
        <w:rPr>
          <w:spacing w:val="14"/>
        </w:rPr>
        <w:t xml:space="preserve"> </w:t>
      </w:r>
      <w:r>
        <w:t>con</w:t>
      </w:r>
      <w:r>
        <w:rPr>
          <w:spacing w:val="14"/>
        </w:rPr>
        <w:t xml:space="preserve"> </w:t>
      </w:r>
      <w:r>
        <w:t>las</w:t>
      </w:r>
      <w:r>
        <w:rPr>
          <w:spacing w:val="14"/>
        </w:rPr>
        <w:t xml:space="preserve"> </w:t>
      </w:r>
      <w:r>
        <w:t>pruebas</w:t>
      </w:r>
      <w:r>
        <w:rPr>
          <w:spacing w:val="14"/>
        </w:rPr>
        <w:t xml:space="preserve"> </w:t>
      </w:r>
      <w:r>
        <w:t>y</w:t>
      </w:r>
      <w:r>
        <w:rPr>
          <w:spacing w:val="14"/>
        </w:rPr>
        <w:t xml:space="preserve"> </w:t>
      </w:r>
      <w:r>
        <w:t>las</w:t>
      </w:r>
      <w:r>
        <w:rPr>
          <w:spacing w:val="14"/>
        </w:rPr>
        <w:t xml:space="preserve"> </w:t>
      </w:r>
      <w:r>
        <w:t>pruebas</w:t>
      </w:r>
      <w:r>
        <w:rPr>
          <w:spacing w:val="14"/>
        </w:rPr>
        <w:t xml:space="preserve"> </w:t>
      </w:r>
      <w:r>
        <w:t>deben</w:t>
      </w:r>
      <w:r>
        <w:rPr>
          <w:spacing w:val="14"/>
        </w:rPr>
        <w:t xml:space="preserve"> </w:t>
      </w:r>
      <w:r>
        <w:t>adaptarse</w:t>
      </w:r>
      <w:r>
        <w:rPr>
          <w:spacing w:val="14"/>
        </w:rPr>
        <w:t xml:space="preserve"> </w:t>
      </w:r>
      <w:r>
        <w:t>para</w:t>
      </w:r>
      <w:r>
        <w:rPr>
          <w:spacing w:val="14"/>
        </w:rPr>
        <w:t xml:space="preserve"> </w:t>
      </w:r>
      <w:r>
        <w:t>garantizar</w:t>
      </w:r>
      <w:r>
        <w:rPr>
          <w:spacing w:val="14"/>
        </w:rPr>
        <w:t xml:space="preserve"> </w:t>
      </w:r>
      <w:r>
        <w:t>que</w:t>
      </w:r>
      <w:r>
        <w:rPr>
          <w:spacing w:val="14"/>
        </w:rPr>
        <w:t xml:space="preserve"> </w:t>
      </w:r>
      <w:r>
        <w:t>las</w:t>
      </w:r>
      <w:r>
        <w:rPr>
          <w:spacing w:val="14"/>
        </w:rPr>
        <w:t xml:space="preserve"> </w:t>
      </w:r>
      <w:r>
        <w:t>víctimas</w:t>
      </w:r>
      <w:r>
        <w:rPr>
          <w:spacing w:val="14"/>
        </w:rPr>
        <w:t xml:space="preserve"> </w:t>
      </w:r>
      <w:r>
        <w:t>de discriminación</w:t>
      </w:r>
      <w:r>
        <w:rPr>
          <w:spacing w:val="14"/>
        </w:rPr>
        <w:t xml:space="preserve"> </w:t>
      </w:r>
      <w:r>
        <w:t>puedan</w:t>
      </w:r>
      <w:r>
        <w:rPr>
          <w:spacing w:val="14"/>
        </w:rPr>
        <w:t xml:space="preserve"> </w:t>
      </w:r>
      <w:r>
        <w:t>obtener</w:t>
      </w:r>
      <w:r>
        <w:rPr>
          <w:spacing w:val="14"/>
        </w:rPr>
        <w:t xml:space="preserve"> </w:t>
      </w:r>
      <w:r>
        <w:t>reparación</w:t>
      </w:r>
      <w:r>
        <w:rPr>
          <w:spacing w:val="14"/>
        </w:rPr>
        <w:t xml:space="preserve"> </w:t>
      </w:r>
      <w:r>
        <w:t>y</w:t>
      </w:r>
      <w:r>
        <w:rPr>
          <w:spacing w:val="14"/>
        </w:rPr>
        <w:t xml:space="preserve"> </w:t>
      </w:r>
      <w:r>
        <w:t>hacer</w:t>
      </w:r>
      <w:r>
        <w:rPr>
          <w:spacing w:val="14"/>
        </w:rPr>
        <w:t xml:space="preserve"> </w:t>
      </w:r>
      <w:r>
        <w:t>valer</w:t>
      </w:r>
      <w:r>
        <w:rPr>
          <w:spacing w:val="14"/>
        </w:rPr>
        <w:t xml:space="preserve"> </w:t>
      </w:r>
      <w:r>
        <w:t>sus</w:t>
      </w:r>
      <w:r>
        <w:rPr>
          <w:spacing w:val="14"/>
        </w:rPr>
        <w:t xml:space="preserve"> </w:t>
      </w:r>
      <w:r>
        <w:t>derechos.</w:t>
      </w:r>
      <w:r>
        <w:rPr>
          <w:spacing w:val="16"/>
        </w:rPr>
        <w:t xml:space="preserve"> </w:t>
      </w:r>
      <w:r>
        <w:t>Las</w:t>
      </w:r>
      <w:r>
        <w:rPr>
          <w:spacing w:val="14"/>
        </w:rPr>
        <w:t xml:space="preserve"> </w:t>
      </w:r>
      <w:r>
        <w:t>leyes</w:t>
      </w:r>
      <w:r>
        <w:rPr>
          <w:spacing w:val="14"/>
        </w:rPr>
        <w:t xml:space="preserve"> </w:t>
      </w:r>
      <w:r>
        <w:t>internacionales,</w:t>
      </w:r>
      <w:r>
        <w:rPr>
          <w:spacing w:val="17"/>
        </w:rPr>
        <w:t xml:space="preserve"> </w:t>
      </w:r>
      <w:r>
        <w:t>regionales</w:t>
      </w:r>
      <w:r>
        <w:rPr>
          <w:spacing w:val="14"/>
        </w:rPr>
        <w:t xml:space="preserve"> </w:t>
      </w:r>
      <w:r>
        <w:t>y</w:t>
      </w:r>
      <w:r>
        <w:rPr>
          <w:spacing w:val="14"/>
        </w:rPr>
        <w:t xml:space="preserve"> </w:t>
      </w:r>
      <w:r>
        <w:t>nacionales</w:t>
      </w:r>
      <w:r>
        <w:rPr>
          <w:spacing w:val="14"/>
        </w:rPr>
        <w:t xml:space="preserve"> </w:t>
      </w:r>
      <w:r>
        <w:t>que rigen el derecho a la no discriminación han desarrollado una serie de modos para mejorar la equidad del procedimiento para</w:t>
      </w:r>
      <w:r>
        <w:rPr>
          <w:spacing w:val="40"/>
        </w:rPr>
        <w:t xml:space="preserve"> </w:t>
      </w:r>
      <w:r>
        <w:t>alcanzar este objetivo. Estas incluyen disposiciones para “desplazar” la carga de la prueba, así como disposiciones legales</w:t>
      </w:r>
    </w:p>
    <w:p w14:paraId="4B60A999" w14:textId="77777777" w:rsidR="0014798C" w:rsidRDefault="0014798C">
      <w:pPr>
        <w:pStyle w:val="Textoindependiente"/>
        <w:rPr>
          <w:sz w:val="11"/>
        </w:rPr>
      </w:pPr>
    </w:p>
    <w:p w14:paraId="56572C0C" w14:textId="77777777" w:rsidR="0014798C" w:rsidRDefault="0014798C">
      <w:pPr>
        <w:pStyle w:val="Textoindependiente"/>
        <w:rPr>
          <w:sz w:val="11"/>
        </w:rPr>
      </w:pPr>
    </w:p>
    <w:p w14:paraId="69419D8D" w14:textId="77777777" w:rsidR="0014798C" w:rsidRDefault="0014798C">
      <w:pPr>
        <w:pStyle w:val="Textoindependiente"/>
        <w:rPr>
          <w:sz w:val="11"/>
        </w:rPr>
      </w:pPr>
    </w:p>
    <w:p w14:paraId="15461838" w14:textId="77777777" w:rsidR="0014798C" w:rsidRDefault="0014798C">
      <w:pPr>
        <w:pStyle w:val="Textoindependiente"/>
        <w:rPr>
          <w:sz w:val="11"/>
        </w:rPr>
      </w:pPr>
    </w:p>
    <w:p w14:paraId="3D1BE8B2" w14:textId="77777777" w:rsidR="0014798C" w:rsidRDefault="0014798C">
      <w:pPr>
        <w:pStyle w:val="Textoindependiente"/>
        <w:spacing w:before="68"/>
        <w:rPr>
          <w:sz w:val="11"/>
        </w:rPr>
      </w:pPr>
    </w:p>
    <w:p w14:paraId="72BAD206" w14:textId="77777777" w:rsidR="0014798C" w:rsidRDefault="004E1F0B">
      <w:pPr>
        <w:ind w:left="1108"/>
        <w:rPr>
          <w:sz w:val="11"/>
        </w:rPr>
      </w:pPr>
      <w:r>
        <w:rPr>
          <w:sz w:val="11"/>
        </w:rPr>
        <w:t>680</w:t>
      </w:r>
      <w:r>
        <w:rPr>
          <w:spacing w:val="2"/>
          <w:sz w:val="11"/>
        </w:rPr>
        <w:t xml:space="preserve"> </w:t>
      </w:r>
      <w:r>
        <w:rPr>
          <w:sz w:val="11"/>
        </w:rPr>
        <w:t>Comité</w:t>
      </w:r>
      <w:r>
        <w:rPr>
          <w:spacing w:val="3"/>
          <w:sz w:val="11"/>
        </w:rPr>
        <w:t xml:space="preserve"> </w:t>
      </w:r>
      <w:r>
        <w:rPr>
          <w:sz w:val="11"/>
        </w:rPr>
        <w:t>sobre</w:t>
      </w:r>
      <w:r>
        <w:rPr>
          <w:spacing w:val="2"/>
          <w:sz w:val="11"/>
        </w:rPr>
        <w:t xml:space="preserve"> </w:t>
      </w:r>
      <w:r>
        <w:rPr>
          <w:sz w:val="11"/>
        </w:rPr>
        <w:t>los</w:t>
      </w:r>
      <w:r>
        <w:rPr>
          <w:spacing w:val="3"/>
          <w:sz w:val="11"/>
        </w:rPr>
        <w:t xml:space="preserve"> </w:t>
      </w:r>
      <w:r>
        <w:rPr>
          <w:sz w:val="11"/>
        </w:rPr>
        <w:t>Derechos</w:t>
      </w:r>
      <w:r>
        <w:rPr>
          <w:spacing w:val="3"/>
          <w:sz w:val="11"/>
        </w:rPr>
        <w:t xml:space="preserve"> </w:t>
      </w:r>
      <w:r>
        <w:rPr>
          <w:sz w:val="11"/>
        </w:rPr>
        <w:t>de</w:t>
      </w:r>
      <w:r>
        <w:rPr>
          <w:spacing w:val="2"/>
          <w:sz w:val="11"/>
        </w:rPr>
        <w:t xml:space="preserve"> </w:t>
      </w:r>
      <w:r>
        <w:rPr>
          <w:sz w:val="11"/>
        </w:rPr>
        <w:t>las</w:t>
      </w:r>
      <w:r>
        <w:rPr>
          <w:spacing w:val="3"/>
          <w:sz w:val="11"/>
        </w:rPr>
        <w:t xml:space="preserve"> </w:t>
      </w:r>
      <w:r>
        <w:rPr>
          <w:sz w:val="11"/>
        </w:rPr>
        <w:t>Personas</w:t>
      </w:r>
      <w:r>
        <w:rPr>
          <w:spacing w:val="2"/>
          <w:sz w:val="11"/>
        </w:rPr>
        <w:t xml:space="preserve"> </w:t>
      </w:r>
      <w:r>
        <w:rPr>
          <w:sz w:val="11"/>
        </w:rPr>
        <w:t>con</w:t>
      </w:r>
      <w:r>
        <w:rPr>
          <w:spacing w:val="3"/>
          <w:sz w:val="11"/>
        </w:rPr>
        <w:t xml:space="preserve"> </w:t>
      </w:r>
      <w:r>
        <w:rPr>
          <w:sz w:val="11"/>
        </w:rPr>
        <w:t>Discapacidad,</w:t>
      </w:r>
      <w:r>
        <w:rPr>
          <w:spacing w:val="4"/>
          <w:sz w:val="11"/>
        </w:rPr>
        <w:t xml:space="preserve"> </w:t>
      </w:r>
      <w:r>
        <w:rPr>
          <w:sz w:val="11"/>
        </w:rPr>
        <w:t>observación</w:t>
      </w:r>
      <w:r>
        <w:rPr>
          <w:spacing w:val="2"/>
          <w:sz w:val="11"/>
        </w:rPr>
        <w:t xml:space="preserve"> </w:t>
      </w:r>
      <w:r>
        <w:rPr>
          <w:sz w:val="11"/>
        </w:rPr>
        <w:t>general</w:t>
      </w:r>
      <w:r>
        <w:rPr>
          <w:spacing w:val="3"/>
          <w:sz w:val="11"/>
        </w:rPr>
        <w:t xml:space="preserve"> </w:t>
      </w:r>
      <w:r>
        <w:rPr>
          <w:sz w:val="11"/>
        </w:rPr>
        <w:t>núm.</w:t>
      </w:r>
      <w:r>
        <w:rPr>
          <w:spacing w:val="3"/>
          <w:sz w:val="11"/>
        </w:rPr>
        <w:t xml:space="preserve"> </w:t>
      </w:r>
      <w:r>
        <w:rPr>
          <w:sz w:val="11"/>
        </w:rPr>
        <w:t>1</w:t>
      </w:r>
      <w:r>
        <w:rPr>
          <w:spacing w:val="2"/>
          <w:sz w:val="11"/>
        </w:rPr>
        <w:t xml:space="preserve"> </w:t>
      </w:r>
      <w:r>
        <w:rPr>
          <w:sz w:val="11"/>
        </w:rPr>
        <w:t>(2014),</w:t>
      </w:r>
      <w:r>
        <w:rPr>
          <w:spacing w:val="4"/>
          <w:sz w:val="11"/>
        </w:rPr>
        <w:t xml:space="preserve"> </w:t>
      </w:r>
      <w:r>
        <w:rPr>
          <w:sz w:val="11"/>
        </w:rPr>
        <w:t>párr.</w:t>
      </w:r>
      <w:r>
        <w:rPr>
          <w:spacing w:val="4"/>
          <w:sz w:val="11"/>
        </w:rPr>
        <w:t xml:space="preserve"> </w:t>
      </w:r>
      <w:r>
        <w:rPr>
          <w:spacing w:val="-5"/>
          <w:sz w:val="11"/>
        </w:rPr>
        <w:t>25.</w:t>
      </w:r>
    </w:p>
    <w:p w14:paraId="04181676" w14:textId="77777777" w:rsidR="0014798C" w:rsidRDefault="0014798C">
      <w:pPr>
        <w:rPr>
          <w:sz w:val="11"/>
        </w:rPr>
        <w:sectPr w:rsidR="0014798C" w:rsidSect="00F265E4">
          <w:pgSz w:w="11900" w:h="16820"/>
          <w:pgMar w:top="340" w:right="0" w:bottom="280" w:left="200" w:header="121" w:footer="0" w:gutter="0"/>
          <w:cols w:space="720"/>
        </w:sectPr>
      </w:pPr>
    </w:p>
    <w:p w14:paraId="2B225E19" w14:textId="77777777" w:rsidR="0014798C" w:rsidRDefault="004E1F0B">
      <w:pPr>
        <w:spacing w:before="55"/>
        <w:jc w:val="right"/>
        <w:rPr>
          <w:sz w:val="8"/>
        </w:rPr>
      </w:pPr>
      <w:r>
        <w:rPr>
          <w:spacing w:val="-5"/>
          <w:w w:val="105"/>
          <w:sz w:val="8"/>
        </w:rPr>
        <w:t>681</w:t>
      </w:r>
    </w:p>
    <w:p w14:paraId="6080A585" w14:textId="77777777" w:rsidR="0014798C" w:rsidRDefault="004E1F0B">
      <w:pPr>
        <w:spacing w:before="69" w:line="312" w:lineRule="auto"/>
        <w:ind w:left="75" w:right="1413" w:firstLine="4"/>
        <w:rPr>
          <w:sz w:val="12"/>
        </w:rPr>
      </w:pPr>
      <w:r>
        <w:br w:type="column"/>
      </w:r>
      <w:r>
        <w:rPr>
          <w:sz w:val="12"/>
        </w:rPr>
        <w:t>Véase, por ejemplo, Comité sobre los Derechos de las Personas con Discapacidad, observación general núm. 6 (2018), párr. 49; y observación general núm. 1</w:t>
      </w:r>
      <w:r>
        <w:rPr>
          <w:spacing w:val="40"/>
          <w:sz w:val="12"/>
        </w:rPr>
        <w:t xml:space="preserve"> </w:t>
      </w:r>
      <w:r>
        <w:rPr>
          <w:sz w:val="12"/>
        </w:rPr>
        <w:t xml:space="preserve">(2014), </w:t>
      </w:r>
      <w:proofErr w:type="spellStart"/>
      <w:r>
        <w:rPr>
          <w:sz w:val="12"/>
        </w:rPr>
        <w:t>párrs</w:t>
      </w:r>
      <w:proofErr w:type="spellEnd"/>
      <w:r>
        <w:rPr>
          <w:sz w:val="12"/>
        </w:rPr>
        <w:t xml:space="preserve">. 13–14. Véase también A/HRC/37/25, </w:t>
      </w:r>
      <w:proofErr w:type="spellStart"/>
      <w:r>
        <w:rPr>
          <w:sz w:val="12"/>
        </w:rPr>
        <w:t>párrs</w:t>
      </w:r>
      <w:proofErr w:type="spellEnd"/>
      <w:r>
        <w:rPr>
          <w:sz w:val="12"/>
        </w:rPr>
        <w:t>. 4 y 33–34.</w:t>
      </w:r>
    </w:p>
    <w:p w14:paraId="425AC13F" w14:textId="77777777" w:rsidR="0014798C" w:rsidRDefault="0014798C">
      <w:pPr>
        <w:spacing w:line="312" w:lineRule="auto"/>
        <w:rPr>
          <w:sz w:val="12"/>
        </w:rPr>
        <w:sectPr w:rsidR="0014798C" w:rsidSect="00F265E4">
          <w:type w:val="continuous"/>
          <w:pgSz w:w="11900" w:h="16820"/>
          <w:pgMar w:top="40" w:right="0" w:bottom="280" w:left="200" w:header="121" w:footer="0" w:gutter="0"/>
          <w:cols w:num="2" w:space="720" w:equalWidth="0">
            <w:col w:w="1250" w:space="40"/>
            <w:col w:w="10410"/>
          </w:cols>
        </w:sectPr>
      </w:pPr>
    </w:p>
    <w:p w14:paraId="2EB4773D" w14:textId="77777777" w:rsidR="0014798C" w:rsidRDefault="004E1F0B">
      <w:pPr>
        <w:spacing w:before="98"/>
        <w:ind w:left="1108"/>
        <w:rPr>
          <w:sz w:val="11"/>
        </w:rPr>
      </w:pPr>
      <w:r>
        <w:rPr>
          <w:sz w:val="11"/>
        </w:rPr>
        <w:t>682</w:t>
      </w:r>
      <w:r>
        <w:rPr>
          <w:spacing w:val="2"/>
          <w:sz w:val="11"/>
        </w:rPr>
        <w:t xml:space="preserve"> </w:t>
      </w:r>
      <w:r>
        <w:rPr>
          <w:sz w:val="11"/>
        </w:rPr>
        <w:t>Comité</w:t>
      </w:r>
      <w:r>
        <w:rPr>
          <w:spacing w:val="3"/>
          <w:sz w:val="11"/>
        </w:rPr>
        <w:t xml:space="preserve"> </w:t>
      </w:r>
      <w:r>
        <w:rPr>
          <w:sz w:val="11"/>
        </w:rPr>
        <w:t>sobre</w:t>
      </w:r>
      <w:r>
        <w:rPr>
          <w:spacing w:val="2"/>
          <w:sz w:val="11"/>
        </w:rPr>
        <w:t xml:space="preserve"> </w:t>
      </w:r>
      <w:r>
        <w:rPr>
          <w:sz w:val="11"/>
        </w:rPr>
        <w:t>los</w:t>
      </w:r>
      <w:r>
        <w:rPr>
          <w:spacing w:val="3"/>
          <w:sz w:val="11"/>
        </w:rPr>
        <w:t xml:space="preserve"> </w:t>
      </w:r>
      <w:r>
        <w:rPr>
          <w:sz w:val="11"/>
        </w:rPr>
        <w:t>Derechos</w:t>
      </w:r>
      <w:r>
        <w:rPr>
          <w:spacing w:val="3"/>
          <w:sz w:val="11"/>
        </w:rPr>
        <w:t xml:space="preserve"> </w:t>
      </w:r>
      <w:r>
        <w:rPr>
          <w:sz w:val="11"/>
        </w:rPr>
        <w:t>de</w:t>
      </w:r>
      <w:r>
        <w:rPr>
          <w:spacing w:val="2"/>
          <w:sz w:val="11"/>
        </w:rPr>
        <w:t xml:space="preserve"> </w:t>
      </w:r>
      <w:r>
        <w:rPr>
          <w:sz w:val="11"/>
        </w:rPr>
        <w:t>las</w:t>
      </w:r>
      <w:r>
        <w:rPr>
          <w:spacing w:val="3"/>
          <w:sz w:val="11"/>
        </w:rPr>
        <w:t xml:space="preserve"> </w:t>
      </w:r>
      <w:r>
        <w:rPr>
          <w:sz w:val="11"/>
        </w:rPr>
        <w:t>Personas</w:t>
      </w:r>
      <w:r>
        <w:rPr>
          <w:spacing w:val="2"/>
          <w:sz w:val="11"/>
        </w:rPr>
        <w:t xml:space="preserve"> </w:t>
      </w:r>
      <w:r>
        <w:rPr>
          <w:sz w:val="11"/>
        </w:rPr>
        <w:t>con</w:t>
      </w:r>
      <w:r>
        <w:rPr>
          <w:spacing w:val="3"/>
          <w:sz w:val="11"/>
        </w:rPr>
        <w:t xml:space="preserve"> </w:t>
      </w:r>
      <w:r>
        <w:rPr>
          <w:sz w:val="11"/>
        </w:rPr>
        <w:t>Discapacidad,</w:t>
      </w:r>
      <w:r>
        <w:rPr>
          <w:spacing w:val="4"/>
          <w:sz w:val="11"/>
        </w:rPr>
        <w:t xml:space="preserve"> </w:t>
      </w:r>
      <w:r>
        <w:rPr>
          <w:sz w:val="11"/>
        </w:rPr>
        <w:t>observación</w:t>
      </w:r>
      <w:r>
        <w:rPr>
          <w:spacing w:val="2"/>
          <w:sz w:val="11"/>
        </w:rPr>
        <w:t xml:space="preserve"> </w:t>
      </w:r>
      <w:r>
        <w:rPr>
          <w:sz w:val="11"/>
        </w:rPr>
        <w:t>general</w:t>
      </w:r>
      <w:r>
        <w:rPr>
          <w:spacing w:val="3"/>
          <w:sz w:val="11"/>
        </w:rPr>
        <w:t xml:space="preserve"> </w:t>
      </w:r>
      <w:r>
        <w:rPr>
          <w:sz w:val="11"/>
        </w:rPr>
        <w:t>núm.</w:t>
      </w:r>
      <w:r>
        <w:rPr>
          <w:spacing w:val="3"/>
          <w:sz w:val="11"/>
        </w:rPr>
        <w:t xml:space="preserve"> </w:t>
      </w:r>
      <w:r>
        <w:rPr>
          <w:sz w:val="11"/>
        </w:rPr>
        <w:t>1</w:t>
      </w:r>
      <w:r>
        <w:rPr>
          <w:spacing w:val="2"/>
          <w:sz w:val="11"/>
        </w:rPr>
        <w:t xml:space="preserve"> </w:t>
      </w:r>
      <w:r>
        <w:rPr>
          <w:sz w:val="11"/>
        </w:rPr>
        <w:t>(2014),</w:t>
      </w:r>
      <w:r>
        <w:rPr>
          <w:spacing w:val="4"/>
          <w:sz w:val="11"/>
        </w:rPr>
        <w:t xml:space="preserve"> </w:t>
      </w:r>
      <w:proofErr w:type="spellStart"/>
      <w:r>
        <w:rPr>
          <w:sz w:val="11"/>
        </w:rPr>
        <w:t>párrs</w:t>
      </w:r>
      <w:proofErr w:type="spellEnd"/>
      <w:r>
        <w:rPr>
          <w:sz w:val="11"/>
        </w:rPr>
        <w:t>.</w:t>
      </w:r>
      <w:r>
        <w:rPr>
          <w:spacing w:val="4"/>
          <w:sz w:val="11"/>
        </w:rPr>
        <w:t xml:space="preserve"> </w:t>
      </w:r>
      <w:r>
        <w:rPr>
          <w:spacing w:val="-2"/>
          <w:sz w:val="11"/>
        </w:rPr>
        <w:t>26–29.</w:t>
      </w:r>
    </w:p>
    <w:p w14:paraId="5C4F2178" w14:textId="77777777" w:rsidR="0014798C" w:rsidRDefault="004E1F0B">
      <w:pPr>
        <w:spacing w:before="110"/>
        <w:ind w:left="1108"/>
        <w:rPr>
          <w:sz w:val="11"/>
        </w:rPr>
      </w:pPr>
      <w:r>
        <w:rPr>
          <w:sz w:val="11"/>
        </w:rPr>
        <w:t>683</w:t>
      </w:r>
      <w:r>
        <w:rPr>
          <w:spacing w:val="2"/>
          <w:sz w:val="11"/>
        </w:rPr>
        <w:t xml:space="preserve"> </w:t>
      </w:r>
      <w:r>
        <w:rPr>
          <w:sz w:val="11"/>
        </w:rPr>
        <w:t>En</w:t>
      </w:r>
      <w:r>
        <w:rPr>
          <w:spacing w:val="3"/>
          <w:sz w:val="11"/>
        </w:rPr>
        <w:t xml:space="preserve"> </w:t>
      </w:r>
      <w:r>
        <w:rPr>
          <w:sz w:val="11"/>
        </w:rPr>
        <w:t>un</w:t>
      </w:r>
      <w:r>
        <w:rPr>
          <w:spacing w:val="2"/>
          <w:sz w:val="11"/>
        </w:rPr>
        <w:t xml:space="preserve"> </w:t>
      </w:r>
      <w:r>
        <w:rPr>
          <w:sz w:val="11"/>
        </w:rPr>
        <w:t>informe</w:t>
      </w:r>
      <w:r>
        <w:rPr>
          <w:spacing w:val="3"/>
          <w:sz w:val="11"/>
        </w:rPr>
        <w:t xml:space="preserve"> </w:t>
      </w:r>
      <w:r>
        <w:rPr>
          <w:sz w:val="11"/>
        </w:rPr>
        <w:t>redactado</w:t>
      </w:r>
      <w:r>
        <w:rPr>
          <w:spacing w:val="3"/>
          <w:sz w:val="11"/>
        </w:rPr>
        <w:t xml:space="preserve"> </w:t>
      </w:r>
      <w:r>
        <w:rPr>
          <w:sz w:val="11"/>
        </w:rPr>
        <w:t>en</w:t>
      </w:r>
      <w:r>
        <w:rPr>
          <w:spacing w:val="2"/>
          <w:sz w:val="11"/>
        </w:rPr>
        <w:t xml:space="preserve"> </w:t>
      </w:r>
      <w:r>
        <w:rPr>
          <w:sz w:val="11"/>
        </w:rPr>
        <w:t>2017,</w:t>
      </w:r>
      <w:r>
        <w:rPr>
          <w:spacing w:val="4"/>
          <w:sz w:val="11"/>
        </w:rPr>
        <w:t xml:space="preserve"> </w:t>
      </w:r>
      <w:r>
        <w:rPr>
          <w:sz w:val="11"/>
        </w:rPr>
        <w:t>el</w:t>
      </w:r>
      <w:r>
        <w:rPr>
          <w:spacing w:val="3"/>
          <w:sz w:val="11"/>
        </w:rPr>
        <w:t xml:space="preserve"> </w:t>
      </w:r>
      <w:r>
        <w:rPr>
          <w:sz w:val="11"/>
        </w:rPr>
        <w:t>Relator</w:t>
      </w:r>
      <w:r>
        <w:rPr>
          <w:spacing w:val="2"/>
          <w:sz w:val="11"/>
        </w:rPr>
        <w:t xml:space="preserve"> </w:t>
      </w:r>
      <w:r>
        <w:rPr>
          <w:sz w:val="11"/>
        </w:rPr>
        <w:t>Especial</w:t>
      </w:r>
      <w:r>
        <w:rPr>
          <w:spacing w:val="3"/>
          <w:sz w:val="11"/>
        </w:rPr>
        <w:t xml:space="preserve"> </w:t>
      </w:r>
      <w:r>
        <w:rPr>
          <w:sz w:val="11"/>
        </w:rPr>
        <w:t>sobre</w:t>
      </w:r>
      <w:r>
        <w:rPr>
          <w:spacing w:val="3"/>
          <w:sz w:val="11"/>
        </w:rPr>
        <w:t xml:space="preserve"> </w:t>
      </w:r>
      <w:r>
        <w:rPr>
          <w:sz w:val="11"/>
        </w:rPr>
        <w:t>los</w:t>
      </w:r>
      <w:r>
        <w:rPr>
          <w:spacing w:val="2"/>
          <w:sz w:val="11"/>
        </w:rPr>
        <w:t xml:space="preserve"> </w:t>
      </w:r>
      <w:r>
        <w:rPr>
          <w:sz w:val="11"/>
        </w:rPr>
        <w:t>derechos</w:t>
      </w:r>
      <w:r>
        <w:rPr>
          <w:spacing w:val="3"/>
          <w:sz w:val="11"/>
        </w:rPr>
        <w:t xml:space="preserve"> </w:t>
      </w:r>
      <w:r>
        <w:rPr>
          <w:sz w:val="11"/>
        </w:rPr>
        <w:t>de</w:t>
      </w:r>
      <w:r>
        <w:rPr>
          <w:spacing w:val="3"/>
          <w:sz w:val="11"/>
        </w:rPr>
        <w:t xml:space="preserve"> </w:t>
      </w:r>
      <w:r>
        <w:rPr>
          <w:sz w:val="11"/>
        </w:rPr>
        <w:t>las</w:t>
      </w:r>
      <w:r>
        <w:rPr>
          <w:spacing w:val="2"/>
          <w:sz w:val="11"/>
        </w:rPr>
        <w:t xml:space="preserve"> </w:t>
      </w:r>
      <w:r>
        <w:rPr>
          <w:sz w:val="11"/>
        </w:rPr>
        <w:t>personas</w:t>
      </w:r>
      <w:r>
        <w:rPr>
          <w:spacing w:val="3"/>
          <w:sz w:val="11"/>
        </w:rPr>
        <w:t xml:space="preserve"> </w:t>
      </w:r>
      <w:r>
        <w:rPr>
          <w:sz w:val="11"/>
        </w:rPr>
        <w:t>con</w:t>
      </w:r>
      <w:r>
        <w:rPr>
          <w:spacing w:val="3"/>
          <w:sz w:val="11"/>
        </w:rPr>
        <w:t xml:space="preserve"> </w:t>
      </w:r>
      <w:r>
        <w:rPr>
          <w:sz w:val="11"/>
        </w:rPr>
        <w:t>discapacidad</w:t>
      </w:r>
      <w:r>
        <w:rPr>
          <w:spacing w:val="2"/>
          <w:sz w:val="11"/>
        </w:rPr>
        <w:t xml:space="preserve"> </w:t>
      </w:r>
      <w:r>
        <w:rPr>
          <w:sz w:val="11"/>
        </w:rPr>
        <w:t>identificó</w:t>
      </w:r>
      <w:r>
        <w:rPr>
          <w:spacing w:val="3"/>
          <w:sz w:val="11"/>
        </w:rPr>
        <w:t xml:space="preserve"> </w:t>
      </w:r>
      <w:r>
        <w:rPr>
          <w:sz w:val="11"/>
        </w:rPr>
        <w:t>procesos</w:t>
      </w:r>
      <w:r>
        <w:rPr>
          <w:spacing w:val="3"/>
          <w:sz w:val="11"/>
        </w:rPr>
        <w:t xml:space="preserve"> </w:t>
      </w:r>
      <w:r>
        <w:rPr>
          <w:sz w:val="11"/>
        </w:rPr>
        <w:t>de</w:t>
      </w:r>
      <w:r>
        <w:rPr>
          <w:spacing w:val="2"/>
          <w:sz w:val="11"/>
        </w:rPr>
        <w:t xml:space="preserve"> </w:t>
      </w:r>
      <w:r>
        <w:rPr>
          <w:sz w:val="11"/>
        </w:rPr>
        <w:t>reforma</w:t>
      </w:r>
      <w:r>
        <w:rPr>
          <w:spacing w:val="3"/>
          <w:sz w:val="11"/>
        </w:rPr>
        <w:t xml:space="preserve"> </w:t>
      </w:r>
      <w:r>
        <w:rPr>
          <w:sz w:val="11"/>
        </w:rPr>
        <w:t>legal</w:t>
      </w:r>
      <w:r>
        <w:rPr>
          <w:spacing w:val="3"/>
          <w:sz w:val="11"/>
        </w:rPr>
        <w:t xml:space="preserve"> </w:t>
      </w:r>
      <w:r>
        <w:rPr>
          <w:sz w:val="11"/>
        </w:rPr>
        <w:t>para</w:t>
      </w:r>
      <w:r>
        <w:rPr>
          <w:spacing w:val="2"/>
          <w:sz w:val="11"/>
        </w:rPr>
        <w:t xml:space="preserve"> </w:t>
      </w:r>
      <w:r>
        <w:rPr>
          <w:spacing w:val="-2"/>
          <w:sz w:val="11"/>
        </w:rPr>
        <w:t>avanzar</w:t>
      </w:r>
    </w:p>
    <w:p w14:paraId="62C3EF47" w14:textId="77777777" w:rsidR="0014798C" w:rsidRDefault="004E1F0B">
      <w:pPr>
        <w:spacing w:before="13" w:line="312" w:lineRule="auto"/>
        <w:ind w:left="1368" w:right="1725" w:hanging="1"/>
        <w:rPr>
          <w:sz w:val="12"/>
        </w:rPr>
      </w:pPr>
      <w:r>
        <w:rPr>
          <w:sz w:val="12"/>
        </w:rPr>
        <w:t>igualdad de capacidad jurídica en la práctica en al menos 32 países: Argentina, Australia (Nueva Gales del Sur, Territorio del Norte y Victoria), Austria, Bélgica,</w:t>
      </w:r>
      <w:r>
        <w:rPr>
          <w:spacing w:val="40"/>
          <w:sz w:val="12"/>
        </w:rPr>
        <w:t xml:space="preserve"> </w:t>
      </w:r>
      <w:r>
        <w:rPr>
          <w:sz w:val="12"/>
        </w:rPr>
        <w:t>Bulgaria, Canadá (Alberta), Colombia, Costa Rica, Chequia, Dinamarca, Georgia, Alemania, Hungría , Irlanda, Israel, India, Kenia, Letonia, Lituania, Malta, Islas</w:t>
      </w:r>
      <w:r>
        <w:rPr>
          <w:spacing w:val="40"/>
          <w:sz w:val="12"/>
        </w:rPr>
        <w:t xml:space="preserve"> </w:t>
      </w:r>
      <w:r>
        <w:rPr>
          <w:sz w:val="12"/>
        </w:rPr>
        <w:t>Marshall, Países Bajos, Perú, Portugal, República de Moldavia, Rumania, Federación de Rusia, España (Cataluña), Suiza, Reino Unido (Irlanda del Norte),</w:t>
      </w:r>
      <w:r>
        <w:rPr>
          <w:spacing w:val="40"/>
          <w:sz w:val="12"/>
        </w:rPr>
        <w:t xml:space="preserve"> </w:t>
      </w:r>
      <w:r>
        <w:rPr>
          <w:sz w:val="12"/>
        </w:rPr>
        <w:t>Estados Unidos ( Texas) y Zambia. Véase A/HRC/37/56, párr. 38.</w:t>
      </w:r>
    </w:p>
    <w:p w14:paraId="11BF6C35" w14:textId="77777777" w:rsidR="0014798C" w:rsidRDefault="004E1F0B">
      <w:pPr>
        <w:spacing w:before="58" w:line="312" w:lineRule="auto"/>
        <w:ind w:left="1368" w:right="1840" w:hanging="260"/>
        <w:rPr>
          <w:sz w:val="12"/>
        </w:rPr>
      </w:pPr>
      <w:r>
        <w:rPr>
          <w:sz w:val="12"/>
        </w:rPr>
        <w:t>684 Relator Especial sobre los derechos de las personas con discapacidad, “Perú: hitos en las reformas sobre discapacidad lideran el camino para otros Estados,</w:t>
      </w:r>
      <w:r>
        <w:rPr>
          <w:spacing w:val="40"/>
          <w:sz w:val="12"/>
        </w:rPr>
        <w:t xml:space="preserve"> </w:t>
      </w:r>
      <w:r>
        <w:rPr>
          <w:sz w:val="12"/>
        </w:rPr>
        <w:t xml:space="preserve">dice experto de la ONU”, 4 de septiembre de 2018. Disponible en </w:t>
      </w:r>
      <w:hyperlink r:id="rId190">
        <w:r>
          <w:rPr>
            <w:color w:val="0075BF"/>
            <w:sz w:val="12"/>
          </w:rPr>
          <w:t>www.ohchr.org/en/NewsEvents/Pages/DisplayNews.aspx</w:t>
        </w:r>
      </w:hyperlink>
      <w:r>
        <w:rPr>
          <w:color w:val="0075BF"/>
          <w:sz w:val="12"/>
        </w:rPr>
        <w:t xml:space="preserve"> ?</w:t>
      </w:r>
      <w:proofErr w:type="spellStart"/>
      <w:r>
        <w:rPr>
          <w:color w:val="0075BF"/>
          <w:sz w:val="12"/>
        </w:rPr>
        <w:t>NoticiaID</w:t>
      </w:r>
      <w:proofErr w:type="spellEnd"/>
      <w:r>
        <w:rPr>
          <w:color w:val="0075BF"/>
          <w:sz w:val="12"/>
        </w:rPr>
        <w:t>=23501&amp;LangID=E.</w:t>
      </w:r>
    </w:p>
    <w:p w14:paraId="77A6F8EE" w14:textId="77777777" w:rsidR="0014798C" w:rsidRDefault="004E1F0B">
      <w:pPr>
        <w:spacing w:before="66"/>
        <w:ind w:left="1108"/>
        <w:rPr>
          <w:sz w:val="11"/>
        </w:rPr>
      </w:pPr>
      <w:r>
        <w:rPr>
          <w:sz w:val="11"/>
        </w:rPr>
        <w:t>685</w:t>
      </w:r>
      <w:r>
        <w:rPr>
          <w:spacing w:val="1"/>
          <w:sz w:val="11"/>
        </w:rPr>
        <w:t xml:space="preserve"> </w:t>
      </w:r>
      <w:proofErr w:type="spellStart"/>
      <w:r>
        <w:rPr>
          <w:spacing w:val="-2"/>
          <w:sz w:val="11"/>
        </w:rPr>
        <w:t>Ibíd</w:t>
      </w:r>
      <w:proofErr w:type="spellEnd"/>
      <w:r>
        <w:rPr>
          <w:spacing w:val="-2"/>
          <w:sz w:val="11"/>
        </w:rPr>
        <w:t>.</w:t>
      </w:r>
    </w:p>
    <w:p w14:paraId="5BA8ADD5" w14:textId="77777777" w:rsidR="0014798C" w:rsidRDefault="0014798C">
      <w:pPr>
        <w:rPr>
          <w:sz w:val="11"/>
        </w:rPr>
        <w:sectPr w:rsidR="0014798C" w:rsidSect="00F265E4">
          <w:type w:val="continuous"/>
          <w:pgSz w:w="11900" w:h="16820"/>
          <w:pgMar w:top="40" w:right="0" w:bottom="280" w:left="200" w:header="121" w:footer="0" w:gutter="0"/>
          <w:cols w:space="720"/>
        </w:sectPr>
      </w:pPr>
    </w:p>
    <w:p w14:paraId="7121A974" w14:textId="77777777" w:rsidR="0014798C" w:rsidRDefault="004E1F0B">
      <w:pPr>
        <w:spacing w:before="88"/>
        <w:jc w:val="right"/>
        <w:rPr>
          <w:sz w:val="8"/>
        </w:rPr>
      </w:pPr>
      <w:r>
        <w:rPr>
          <w:spacing w:val="-5"/>
          <w:w w:val="105"/>
          <w:sz w:val="8"/>
        </w:rPr>
        <w:t>686</w:t>
      </w:r>
    </w:p>
    <w:p w14:paraId="336EC89E" w14:textId="77777777" w:rsidR="0014798C" w:rsidRDefault="004E1F0B">
      <w:pPr>
        <w:spacing w:before="102" w:line="312" w:lineRule="auto"/>
        <w:ind w:left="79" w:right="1784"/>
        <w:rPr>
          <w:sz w:val="12"/>
        </w:rPr>
      </w:pPr>
      <w:r>
        <w:br w:type="column"/>
      </w:r>
      <w:r>
        <w:rPr>
          <w:sz w:val="12"/>
        </w:rPr>
        <w:t xml:space="preserve">Véase, por ejemplo, Comité para la Eliminación de la Discriminación Racial, </w:t>
      </w:r>
      <w:proofErr w:type="spellStart"/>
      <w:r>
        <w:rPr>
          <w:sz w:val="12"/>
        </w:rPr>
        <w:t>Koptova</w:t>
      </w:r>
      <w:proofErr w:type="spellEnd"/>
      <w:r>
        <w:rPr>
          <w:sz w:val="12"/>
        </w:rPr>
        <w:t xml:space="preserve"> c. República Eslovaca, comunicación </w:t>
      </w:r>
      <w:proofErr w:type="spellStart"/>
      <w:r>
        <w:rPr>
          <w:sz w:val="12"/>
        </w:rPr>
        <w:t>Nº</w:t>
      </w:r>
      <w:proofErr w:type="spellEnd"/>
      <w:r>
        <w:rPr>
          <w:sz w:val="12"/>
        </w:rPr>
        <w:t xml:space="preserve"> 13/1998, así como Tribunal</w:t>
      </w:r>
      <w:r>
        <w:rPr>
          <w:spacing w:val="40"/>
          <w:sz w:val="12"/>
        </w:rPr>
        <w:t xml:space="preserve"> </w:t>
      </w:r>
      <w:r>
        <w:rPr>
          <w:sz w:val="12"/>
        </w:rPr>
        <w:t xml:space="preserve">Europeo de Derechos Humanos, Behar y Gutman c. Bulgaria, solicitud </w:t>
      </w:r>
      <w:proofErr w:type="spellStart"/>
      <w:r>
        <w:rPr>
          <w:sz w:val="12"/>
        </w:rPr>
        <w:t>Nº</w:t>
      </w:r>
      <w:proofErr w:type="spellEnd"/>
      <w:r>
        <w:rPr>
          <w:sz w:val="12"/>
        </w:rPr>
        <w:t xml:space="preserve"> 29335/13, </w:t>
      </w:r>
      <w:proofErr w:type="gramStart"/>
      <w:r>
        <w:rPr>
          <w:sz w:val="12"/>
        </w:rPr>
        <w:t>sentencia ,</w:t>
      </w:r>
      <w:proofErr w:type="gramEnd"/>
      <w:r>
        <w:rPr>
          <w:sz w:val="12"/>
        </w:rPr>
        <w:t xml:space="preserve"> 16 de febrero de 2021, </w:t>
      </w:r>
      <w:proofErr w:type="spellStart"/>
      <w:r>
        <w:rPr>
          <w:sz w:val="12"/>
        </w:rPr>
        <w:t>párrs</w:t>
      </w:r>
      <w:proofErr w:type="spellEnd"/>
      <w:r>
        <w:rPr>
          <w:sz w:val="12"/>
        </w:rPr>
        <w:t>. 44–48.</w:t>
      </w:r>
    </w:p>
    <w:p w14:paraId="3C132A71" w14:textId="77777777" w:rsidR="0014798C" w:rsidRDefault="0014798C">
      <w:pPr>
        <w:spacing w:line="312" w:lineRule="auto"/>
        <w:rPr>
          <w:sz w:val="12"/>
        </w:rPr>
        <w:sectPr w:rsidR="0014798C" w:rsidSect="00F265E4">
          <w:type w:val="continuous"/>
          <w:pgSz w:w="11900" w:h="16820"/>
          <w:pgMar w:top="40" w:right="0" w:bottom="280" w:left="200" w:header="121" w:footer="0" w:gutter="0"/>
          <w:cols w:num="2" w:space="720" w:equalWidth="0">
            <w:col w:w="1250" w:space="40"/>
            <w:col w:w="10410"/>
          </w:cols>
        </w:sectPr>
      </w:pPr>
    </w:p>
    <w:p w14:paraId="4650111C" w14:textId="77777777" w:rsidR="0014798C" w:rsidRDefault="0014798C">
      <w:pPr>
        <w:pStyle w:val="Textoindependiente"/>
        <w:spacing w:before="6"/>
        <w:rPr>
          <w:sz w:val="10"/>
        </w:rPr>
      </w:pPr>
    </w:p>
    <w:p w14:paraId="08AD33C5" w14:textId="77777777" w:rsidR="0014798C" w:rsidRDefault="0014798C">
      <w:pPr>
        <w:rPr>
          <w:sz w:val="10"/>
        </w:rPr>
        <w:sectPr w:rsidR="0014798C" w:rsidSect="00F265E4">
          <w:type w:val="continuous"/>
          <w:pgSz w:w="11900" w:h="16820"/>
          <w:pgMar w:top="40" w:right="0" w:bottom="280" w:left="200" w:header="121" w:footer="0" w:gutter="0"/>
          <w:cols w:space="720"/>
        </w:sectPr>
      </w:pPr>
    </w:p>
    <w:p w14:paraId="77A7C2D0" w14:textId="77777777" w:rsidR="0014798C" w:rsidRDefault="0014798C">
      <w:pPr>
        <w:pStyle w:val="Textoindependiente"/>
        <w:spacing w:before="10"/>
        <w:rPr>
          <w:sz w:val="8"/>
        </w:rPr>
      </w:pPr>
    </w:p>
    <w:p w14:paraId="79E992E1" w14:textId="77777777" w:rsidR="0014798C" w:rsidRDefault="004E1F0B">
      <w:pPr>
        <w:jc w:val="right"/>
        <w:rPr>
          <w:sz w:val="8"/>
        </w:rPr>
      </w:pPr>
      <w:r>
        <w:rPr>
          <w:spacing w:val="-5"/>
          <w:w w:val="105"/>
          <w:sz w:val="8"/>
        </w:rPr>
        <w:t>687</w:t>
      </w:r>
    </w:p>
    <w:p w14:paraId="10B4C28B" w14:textId="77777777" w:rsidR="0014798C" w:rsidRDefault="004E1F0B">
      <w:pPr>
        <w:spacing w:before="116" w:line="312" w:lineRule="auto"/>
        <w:ind w:left="85" w:right="2320" w:hanging="6"/>
        <w:rPr>
          <w:sz w:val="12"/>
        </w:rPr>
      </w:pPr>
      <w:r>
        <w:br w:type="column"/>
      </w:r>
      <w:r>
        <w:rPr>
          <w:sz w:val="12"/>
        </w:rPr>
        <w:t xml:space="preserve">Véase, por ejemplo, Comité para la Eliminación de la Discriminación contra la Mujer, </w:t>
      </w:r>
      <w:proofErr w:type="spellStart"/>
      <w:r>
        <w:rPr>
          <w:sz w:val="12"/>
        </w:rPr>
        <w:t>Promo</w:t>
      </w:r>
      <w:proofErr w:type="spellEnd"/>
      <w:r>
        <w:rPr>
          <w:sz w:val="12"/>
        </w:rPr>
        <w:t>-LEX c. República de Moldova.</w:t>
      </w:r>
      <w:r>
        <w:rPr>
          <w:spacing w:val="40"/>
          <w:sz w:val="12"/>
        </w:rPr>
        <w:t xml:space="preserve"> </w:t>
      </w:r>
      <w:r>
        <w:rPr>
          <w:sz w:val="12"/>
        </w:rPr>
        <w:t xml:space="preserve">(CEDAW/C/76/D/105/2016), </w:t>
      </w:r>
      <w:proofErr w:type="spellStart"/>
      <w:r>
        <w:rPr>
          <w:sz w:val="12"/>
        </w:rPr>
        <w:t>párrs</w:t>
      </w:r>
      <w:proofErr w:type="spellEnd"/>
      <w:r>
        <w:rPr>
          <w:sz w:val="12"/>
        </w:rPr>
        <w:t>. 6.1–6.10.</w:t>
      </w:r>
    </w:p>
    <w:p w14:paraId="01980B44" w14:textId="77777777" w:rsidR="0014798C" w:rsidRDefault="0014798C">
      <w:pPr>
        <w:spacing w:line="312" w:lineRule="auto"/>
        <w:rPr>
          <w:sz w:val="12"/>
        </w:rPr>
        <w:sectPr w:rsidR="0014798C" w:rsidSect="00F265E4">
          <w:type w:val="continuous"/>
          <w:pgSz w:w="11900" w:h="16820"/>
          <w:pgMar w:top="40" w:right="0" w:bottom="280" w:left="200" w:header="121" w:footer="0" w:gutter="0"/>
          <w:cols w:num="2" w:space="720" w:equalWidth="0">
            <w:col w:w="1250" w:space="40"/>
            <w:col w:w="10410"/>
          </w:cols>
        </w:sectPr>
      </w:pPr>
    </w:p>
    <w:p w14:paraId="40F4EF18" w14:textId="77777777" w:rsidR="0014798C" w:rsidRDefault="0014798C">
      <w:pPr>
        <w:pStyle w:val="Textoindependiente"/>
        <w:rPr>
          <w:sz w:val="18"/>
        </w:rPr>
      </w:pPr>
    </w:p>
    <w:p w14:paraId="0F8538D3" w14:textId="77777777" w:rsidR="0014798C" w:rsidRDefault="0014798C">
      <w:pPr>
        <w:pStyle w:val="Textoindependiente"/>
        <w:spacing w:before="193"/>
        <w:rPr>
          <w:sz w:val="18"/>
        </w:rPr>
      </w:pPr>
    </w:p>
    <w:p w14:paraId="04E1B213" w14:textId="77777777" w:rsidR="0014798C" w:rsidRDefault="004E1F0B">
      <w:pPr>
        <w:ind w:right="723"/>
        <w:jc w:val="right"/>
        <w:rPr>
          <w:sz w:val="18"/>
        </w:rPr>
      </w:pPr>
      <w:r>
        <w:rPr>
          <w:spacing w:val="-5"/>
          <w:w w:val="105"/>
          <w:sz w:val="18"/>
        </w:rPr>
        <w:t>93</w:t>
      </w:r>
    </w:p>
    <w:p w14:paraId="617937F3" w14:textId="77777777" w:rsidR="0014798C" w:rsidRDefault="0014798C">
      <w:pPr>
        <w:jc w:val="right"/>
        <w:rPr>
          <w:sz w:val="18"/>
        </w:rPr>
        <w:sectPr w:rsidR="0014798C" w:rsidSect="00F265E4">
          <w:type w:val="continuous"/>
          <w:pgSz w:w="11900" w:h="16820"/>
          <w:pgMar w:top="40" w:right="0" w:bottom="280" w:left="200" w:header="121" w:footer="0" w:gutter="0"/>
          <w:cols w:space="720"/>
        </w:sectPr>
      </w:pPr>
    </w:p>
    <w:p w14:paraId="02645633" w14:textId="77777777" w:rsidR="0014798C" w:rsidRDefault="0014798C">
      <w:pPr>
        <w:pStyle w:val="Textoindependiente"/>
        <w:spacing w:before="85"/>
        <w:rPr>
          <w:sz w:val="12"/>
        </w:rPr>
      </w:pPr>
    </w:p>
    <w:p w14:paraId="5E4B8BBD" w14:textId="77777777" w:rsidR="0014798C" w:rsidRDefault="004E1F0B">
      <w:pPr>
        <w:ind w:left="1111"/>
        <w:rPr>
          <w:sz w:val="12"/>
        </w:rPr>
      </w:pPr>
      <w:r>
        <w:rPr>
          <w:color w:val="00AC59"/>
          <w:sz w:val="12"/>
        </w:rPr>
        <w:t>PROTECCIÓN</w:t>
      </w:r>
      <w:r>
        <w:rPr>
          <w:color w:val="00AC59"/>
          <w:spacing w:val="6"/>
          <w:sz w:val="12"/>
        </w:rPr>
        <w:t xml:space="preserve"> </w:t>
      </w:r>
      <w:r>
        <w:rPr>
          <w:color w:val="00AC59"/>
          <w:sz w:val="12"/>
        </w:rPr>
        <w:t>DE</w:t>
      </w:r>
      <w:r>
        <w:rPr>
          <w:color w:val="00AC59"/>
          <w:spacing w:val="7"/>
          <w:sz w:val="12"/>
        </w:rPr>
        <w:t xml:space="preserve"> </w:t>
      </w:r>
      <w:r>
        <w:rPr>
          <w:color w:val="00AC59"/>
          <w:sz w:val="12"/>
        </w:rPr>
        <w:t>LOS</w:t>
      </w:r>
      <w:r>
        <w:rPr>
          <w:color w:val="00AC59"/>
          <w:spacing w:val="8"/>
          <w:sz w:val="12"/>
        </w:rPr>
        <w:t xml:space="preserve"> </w:t>
      </w:r>
      <w:r>
        <w:rPr>
          <w:color w:val="00AC59"/>
          <w:sz w:val="12"/>
        </w:rPr>
        <w:t>DERECHOS</w:t>
      </w:r>
      <w:r>
        <w:rPr>
          <w:color w:val="00AC59"/>
          <w:spacing w:val="8"/>
          <w:sz w:val="12"/>
        </w:rPr>
        <w:t xml:space="preserve"> </w:t>
      </w:r>
      <w:r>
        <w:rPr>
          <w:color w:val="00AC59"/>
          <w:sz w:val="12"/>
        </w:rPr>
        <w:t>DE</w:t>
      </w:r>
      <w:r>
        <w:rPr>
          <w:color w:val="00AC59"/>
          <w:spacing w:val="6"/>
          <w:sz w:val="12"/>
        </w:rPr>
        <w:t xml:space="preserve"> </w:t>
      </w:r>
      <w:r>
        <w:rPr>
          <w:color w:val="00AC59"/>
          <w:sz w:val="12"/>
        </w:rPr>
        <w:t>LAS</w:t>
      </w:r>
      <w:r>
        <w:rPr>
          <w:color w:val="00AC59"/>
          <w:spacing w:val="7"/>
          <w:sz w:val="12"/>
        </w:rPr>
        <w:t xml:space="preserve"> </w:t>
      </w:r>
      <w:r>
        <w:rPr>
          <w:color w:val="00AC59"/>
          <w:sz w:val="12"/>
        </w:rPr>
        <w:t>MINORÍAS:</w:t>
      </w:r>
      <w:r>
        <w:rPr>
          <w:color w:val="00AC59"/>
          <w:spacing w:val="8"/>
          <w:sz w:val="12"/>
        </w:rPr>
        <w:t xml:space="preserve"> </w:t>
      </w:r>
      <w:r>
        <w:rPr>
          <w:color w:val="00AC59"/>
          <w:sz w:val="12"/>
        </w:rPr>
        <w:t>una</w:t>
      </w:r>
      <w:r>
        <w:rPr>
          <w:color w:val="00AC59"/>
          <w:spacing w:val="7"/>
          <w:sz w:val="12"/>
        </w:rPr>
        <w:t xml:space="preserve"> </w:t>
      </w:r>
      <w:r>
        <w:rPr>
          <w:color w:val="00AC59"/>
          <w:sz w:val="12"/>
        </w:rPr>
        <w:t>guía</w:t>
      </w:r>
      <w:r>
        <w:rPr>
          <w:color w:val="00AC59"/>
          <w:spacing w:val="6"/>
          <w:sz w:val="12"/>
        </w:rPr>
        <w:t xml:space="preserve"> </w:t>
      </w:r>
      <w:r>
        <w:rPr>
          <w:color w:val="00AC59"/>
          <w:sz w:val="12"/>
        </w:rPr>
        <w:t>práctica</w:t>
      </w:r>
      <w:r>
        <w:rPr>
          <w:color w:val="00AC59"/>
          <w:spacing w:val="7"/>
          <w:sz w:val="12"/>
        </w:rPr>
        <w:t xml:space="preserve"> </w:t>
      </w:r>
      <w:r>
        <w:rPr>
          <w:color w:val="00AC59"/>
          <w:sz w:val="12"/>
        </w:rPr>
        <w:t>para</w:t>
      </w:r>
      <w:r>
        <w:rPr>
          <w:color w:val="00AC59"/>
          <w:spacing w:val="8"/>
          <w:sz w:val="12"/>
        </w:rPr>
        <w:t xml:space="preserve"> </w:t>
      </w:r>
      <w:r>
        <w:rPr>
          <w:color w:val="00AC59"/>
          <w:sz w:val="12"/>
        </w:rPr>
        <w:t>desarrollar</w:t>
      </w:r>
      <w:r>
        <w:rPr>
          <w:color w:val="00AC59"/>
          <w:spacing w:val="6"/>
          <w:sz w:val="12"/>
        </w:rPr>
        <w:t xml:space="preserve"> </w:t>
      </w:r>
      <w:r>
        <w:rPr>
          <w:color w:val="00AC59"/>
          <w:sz w:val="12"/>
        </w:rPr>
        <w:t>una</w:t>
      </w:r>
      <w:r>
        <w:rPr>
          <w:color w:val="00AC59"/>
          <w:spacing w:val="7"/>
          <w:sz w:val="12"/>
        </w:rPr>
        <w:t xml:space="preserve"> </w:t>
      </w:r>
      <w:r>
        <w:rPr>
          <w:color w:val="00AC59"/>
          <w:sz w:val="12"/>
        </w:rPr>
        <w:t>legislación</w:t>
      </w:r>
      <w:r>
        <w:rPr>
          <w:color w:val="00AC59"/>
          <w:spacing w:val="8"/>
          <w:sz w:val="12"/>
        </w:rPr>
        <w:t xml:space="preserve"> </w:t>
      </w:r>
      <w:r>
        <w:rPr>
          <w:color w:val="00AC59"/>
          <w:sz w:val="12"/>
        </w:rPr>
        <w:t>integral</w:t>
      </w:r>
      <w:r>
        <w:rPr>
          <w:color w:val="00AC59"/>
          <w:spacing w:val="7"/>
          <w:sz w:val="12"/>
        </w:rPr>
        <w:t xml:space="preserve"> </w:t>
      </w:r>
      <w:r>
        <w:rPr>
          <w:color w:val="00AC59"/>
          <w:sz w:val="12"/>
        </w:rPr>
        <w:t>contra</w:t>
      </w:r>
      <w:r>
        <w:rPr>
          <w:color w:val="00AC59"/>
          <w:spacing w:val="6"/>
          <w:sz w:val="12"/>
        </w:rPr>
        <w:t xml:space="preserve"> </w:t>
      </w:r>
      <w:r>
        <w:rPr>
          <w:color w:val="00AC59"/>
          <w:sz w:val="12"/>
        </w:rPr>
        <w:t>la</w:t>
      </w:r>
      <w:r>
        <w:rPr>
          <w:color w:val="00AC59"/>
          <w:spacing w:val="7"/>
          <w:sz w:val="12"/>
        </w:rPr>
        <w:t xml:space="preserve"> </w:t>
      </w:r>
      <w:r>
        <w:rPr>
          <w:color w:val="00AC59"/>
          <w:spacing w:val="-2"/>
          <w:sz w:val="12"/>
        </w:rPr>
        <w:t>discriminación</w:t>
      </w:r>
    </w:p>
    <w:p w14:paraId="133CA7C2" w14:textId="77777777" w:rsidR="0014798C" w:rsidRDefault="0014798C">
      <w:pPr>
        <w:pStyle w:val="Textoindependiente"/>
      </w:pPr>
    </w:p>
    <w:p w14:paraId="18FC7CA5" w14:textId="77777777" w:rsidR="0014798C" w:rsidRDefault="0014798C">
      <w:pPr>
        <w:pStyle w:val="Textoindependiente"/>
      </w:pPr>
    </w:p>
    <w:p w14:paraId="29467E24" w14:textId="77777777" w:rsidR="0014798C" w:rsidRDefault="0014798C">
      <w:pPr>
        <w:pStyle w:val="Textoindependiente"/>
      </w:pPr>
    </w:p>
    <w:p w14:paraId="1061E766" w14:textId="77777777" w:rsidR="0014798C" w:rsidRDefault="0014798C">
      <w:pPr>
        <w:pStyle w:val="Textoindependiente"/>
      </w:pPr>
    </w:p>
    <w:p w14:paraId="16F6F000" w14:textId="77777777" w:rsidR="0014798C" w:rsidRDefault="0014798C">
      <w:pPr>
        <w:pStyle w:val="Textoindependiente"/>
        <w:spacing w:before="69"/>
      </w:pPr>
    </w:p>
    <w:p w14:paraId="1A61EF78" w14:textId="77777777" w:rsidR="0014798C" w:rsidRDefault="004E1F0B">
      <w:pPr>
        <w:pStyle w:val="Textoindependiente"/>
        <w:spacing w:line="326" w:lineRule="auto"/>
        <w:ind w:left="1111" w:right="1626"/>
      </w:pPr>
      <w:r>
        <w:t>normas sobre tipos legítimos de pruebas para establecer una reclamación por discriminación (y, en particular,</w:t>
      </w:r>
      <w:r>
        <w:rPr>
          <w:spacing w:val="13"/>
        </w:rPr>
        <w:t xml:space="preserve"> </w:t>
      </w:r>
      <w:r>
        <w:t>sobre el papel</w:t>
      </w:r>
      <w:r>
        <w:rPr>
          <w:spacing w:val="80"/>
        </w:rPr>
        <w:t xml:space="preserve"> </w:t>
      </w:r>
      <w:r>
        <w:t>de las pruebas y los datos estadísticos). La presente sección examina estas cuestiones.</w:t>
      </w:r>
    </w:p>
    <w:p w14:paraId="3A2C7C4D" w14:textId="77777777" w:rsidR="0014798C" w:rsidRDefault="0014798C">
      <w:pPr>
        <w:pStyle w:val="Textoindependiente"/>
        <w:spacing w:before="14"/>
        <w:rPr>
          <w:sz w:val="21"/>
        </w:rPr>
      </w:pPr>
    </w:p>
    <w:p w14:paraId="57A9682B" w14:textId="77777777" w:rsidR="0014798C" w:rsidRDefault="004E1F0B">
      <w:pPr>
        <w:numPr>
          <w:ilvl w:val="0"/>
          <w:numId w:val="44"/>
        </w:numPr>
        <w:tabs>
          <w:tab w:val="left" w:pos="1370"/>
        </w:tabs>
        <w:ind w:left="1370" w:hanging="235"/>
        <w:rPr>
          <w:color w:val="00AC59"/>
          <w:sz w:val="21"/>
        </w:rPr>
      </w:pPr>
      <w:r>
        <w:rPr>
          <w:color w:val="00AC59"/>
          <w:sz w:val="21"/>
        </w:rPr>
        <w:t>Carga</w:t>
      </w:r>
      <w:r>
        <w:rPr>
          <w:color w:val="00AC59"/>
          <w:spacing w:val="1"/>
          <w:sz w:val="21"/>
        </w:rPr>
        <w:t xml:space="preserve"> </w:t>
      </w:r>
      <w:r>
        <w:rPr>
          <w:color w:val="00AC59"/>
          <w:sz w:val="21"/>
        </w:rPr>
        <w:t>de</w:t>
      </w:r>
      <w:r>
        <w:rPr>
          <w:color w:val="00AC59"/>
          <w:spacing w:val="1"/>
          <w:sz w:val="21"/>
        </w:rPr>
        <w:t xml:space="preserve"> </w:t>
      </w:r>
      <w:r>
        <w:rPr>
          <w:color w:val="00AC59"/>
          <w:sz w:val="21"/>
        </w:rPr>
        <w:t>la</w:t>
      </w:r>
      <w:r>
        <w:rPr>
          <w:color w:val="00AC59"/>
          <w:spacing w:val="1"/>
          <w:sz w:val="21"/>
        </w:rPr>
        <w:t xml:space="preserve"> </w:t>
      </w:r>
      <w:r>
        <w:rPr>
          <w:color w:val="00AC59"/>
          <w:spacing w:val="-2"/>
          <w:sz w:val="21"/>
        </w:rPr>
        <w:t>prueba</w:t>
      </w:r>
    </w:p>
    <w:p w14:paraId="190E1D6E" w14:textId="77777777" w:rsidR="0014798C" w:rsidRDefault="0014798C">
      <w:pPr>
        <w:pStyle w:val="Textoindependiente"/>
        <w:spacing w:before="50"/>
        <w:rPr>
          <w:sz w:val="17"/>
        </w:rPr>
      </w:pPr>
    </w:p>
    <w:p w14:paraId="4D8BB657" w14:textId="77777777" w:rsidR="0014798C" w:rsidRDefault="004E1F0B">
      <w:pPr>
        <w:spacing w:line="307" w:lineRule="auto"/>
        <w:ind w:left="1105" w:right="1239"/>
        <w:rPr>
          <w:sz w:val="17"/>
        </w:rPr>
      </w:pPr>
      <w:r>
        <w:rPr>
          <w:sz w:val="17"/>
        </w:rPr>
        <w:t>Tradicionalmente, en los sistemas acusatorios, las personas que inician acciones legales deben demostrar que sus derechos</w:t>
      </w:r>
      <w:r>
        <w:rPr>
          <w:spacing w:val="-1"/>
          <w:sz w:val="17"/>
        </w:rPr>
        <w:t xml:space="preserve"> </w:t>
      </w:r>
      <w:r>
        <w:rPr>
          <w:sz w:val="17"/>
        </w:rPr>
        <w:t>han sido violados. La carga o carga de probar la reclamación generalmente recae en el reclamante. Sin</w:t>
      </w:r>
      <w:r>
        <w:rPr>
          <w:spacing w:val="-1"/>
          <w:sz w:val="17"/>
        </w:rPr>
        <w:t xml:space="preserve"> </w:t>
      </w:r>
      <w:r>
        <w:rPr>
          <w:sz w:val="17"/>
        </w:rPr>
        <w:t>embargo, en los casos de discriminación esto puede resultar problemático. La persona que presuntamente ha discriminado al demandante suele ser más poderosa, tanto en términos de recursos como de acceso a la información. Por ejemplo, para demostrar que el despido fue discriminatorio será necesario acceder a la documentación y otra información en poder del empleador; Es poco probable que el empleado tenga acceso a las pruebas necesarias para proceder y, por lo tanto, exigirle que presente dichas pruebas socavaría el acceso a la justicia.</w:t>
      </w:r>
    </w:p>
    <w:p w14:paraId="03DEF5FC" w14:textId="77777777" w:rsidR="0014798C" w:rsidRDefault="004E1F0B">
      <w:pPr>
        <w:pStyle w:val="Textoindependiente"/>
        <w:spacing w:before="176" w:line="326" w:lineRule="auto"/>
        <w:ind w:left="1107" w:right="1378" w:hanging="1"/>
      </w:pPr>
      <w:r>
        <w:t xml:space="preserve">Se ha llegado a un consenso sobre la necesidad de apartarse de las reglas tradicionales de prueba en los casos de discriminación. En su Observación general </w:t>
      </w:r>
      <w:proofErr w:type="spellStart"/>
      <w:r>
        <w:t>Nº</w:t>
      </w:r>
      <w:proofErr w:type="spellEnd"/>
      <w:r>
        <w:t xml:space="preserve"> 20 (2009), el Comité de Derechos Económicos, Sociales y Culturales afirmó que: “Cuando</w:t>
      </w:r>
      <w:r>
        <w:rPr>
          <w:spacing w:val="16"/>
        </w:rPr>
        <w:t xml:space="preserve"> </w:t>
      </w:r>
      <w:r>
        <w:t>los</w:t>
      </w:r>
      <w:r>
        <w:rPr>
          <w:spacing w:val="16"/>
        </w:rPr>
        <w:t xml:space="preserve"> </w:t>
      </w:r>
      <w:r>
        <w:t>hechos</w:t>
      </w:r>
      <w:r>
        <w:rPr>
          <w:spacing w:val="16"/>
        </w:rPr>
        <w:t xml:space="preserve"> </w:t>
      </w:r>
      <w:r>
        <w:t>y</w:t>
      </w:r>
      <w:r>
        <w:rPr>
          <w:spacing w:val="16"/>
        </w:rPr>
        <w:t xml:space="preserve"> </w:t>
      </w:r>
      <w:r>
        <w:t>acontecimientos</w:t>
      </w:r>
      <w:r>
        <w:rPr>
          <w:spacing w:val="16"/>
        </w:rPr>
        <w:t xml:space="preserve"> </w:t>
      </w:r>
      <w:r>
        <w:t>en</w:t>
      </w:r>
      <w:r>
        <w:rPr>
          <w:spacing w:val="16"/>
        </w:rPr>
        <w:t xml:space="preserve"> </w:t>
      </w:r>
      <w:r>
        <w:t>cuestión</w:t>
      </w:r>
      <w:r>
        <w:rPr>
          <w:spacing w:val="16"/>
        </w:rPr>
        <w:t xml:space="preserve"> </w:t>
      </w:r>
      <w:r>
        <w:t>sean</w:t>
      </w:r>
      <w:r>
        <w:rPr>
          <w:spacing w:val="16"/>
        </w:rPr>
        <w:t xml:space="preserve"> </w:t>
      </w:r>
      <w:r>
        <w:t>total</w:t>
      </w:r>
      <w:r>
        <w:rPr>
          <w:spacing w:val="16"/>
        </w:rPr>
        <w:t xml:space="preserve"> </w:t>
      </w:r>
      <w:r>
        <w:t>o</w:t>
      </w:r>
      <w:r>
        <w:rPr>
          <w:spacing w:val="16"/>
        </w:rPr>
        <w:t xml:space="preserve"> </w:t>
      </w:r>
      <w:r>
        <w:t>parcialmente</w:t>
      </w:r>
      <w:r>
        <w:rPr>
          <w:spacing w:val="16"/>
        </w:rPr>
        <w:t xml:space="preserve"> </w:t>
      </w:r>
      <w:r>
        <w:t>del</w:t>
      </w:r>
      <w:r>
        <w:rPr>
          <w:spacing w:val="16"/>
        </w:rPr>
        <w:t xml:space="preserve"> </w:t>
      </w:r>
      <w:r>
        <w:t>conocimiento</w:t>
      </w:r>
      <w:r>
        <w:rPr>
          <w:spacing w:val="16"/>
        </w:rPr>
        <w:t xml:space="preserve"> </w:t>
      </w:r>
      <w:r>
        <w:t>exclusivo</w:t>
      </w:r>
      <w:r>
        <w:rPr>
          <w:spacing w:val="16"/>
        </w:rPr>
        <w:t xml:space="preserve"> </w:t>
      </w:r>
      <w:r>
        <w:t>de</w:t>
      </w:r>
      <w:r>
        <w:rPr>
          <w:spacing w:val="16"/>
        </w:rPr>
        <w:t xml:space="preserve"> </w:t>
      </w:r>
      <w:r>
        <w:t>las</w:t>
      </w:r>
      <w:r>
        <w:rPr>
          <w:spacing w:val="16"/>
        </w:rPr>
        <w:t xml:space="preserve"> </w:t>
      </w:r>
      <w:r>
        <w:t>autoridades</w:t>
      </w:r>
      <w:r>
        <w:rPr>
          <w:spacing w:val="16"/>
        </w:rPr>
        <w:t xml:space="preserve"> </w:t>
      </w:r>
      <w:r>
        <w:t xml:space="preserve">o de otro demandado, </w:t>
      </w:r>
      <w:proofErr w:type="spellStart"/>
      <w:r>
        <w:t>el</w:t>
      </w:r>
      <w:proofErr w:type="spellEnd"/>
      <w:r>
        <w:t xml:space="preserve"> debe considerarse que la carga de la prueba recae en las autoridades o en el otro demandado,</w:t>
      </w:r>
    </w:p>
    <w:p w14:paraId="1B8F77E0" w14:textId="77777777" w:rsidR="0014798C" w:rsidRDefault="004E1F0B">
      <w:pPr>
        <w:pStyle w:val="Textoindependiente"/>
        <w:spacing w:line="326" w:lineRule="auto"/>
        <w:ind w:left="1109" w:right="1272" w:firstLine="2"/>
      </w:pPr>
      <w:r>
        <w:t>respectivamente”. 688 Más recientemente, el Comité sobre los Derechos de las Personas con Discapacidad, en su Observación general núm. 6 (2018), afirmó que no había la necesidad de trasladar la carga de la prueba en los procedimientos civiles del</w:t>
      </w:r>
    </w:p>
    <w:p w14:paraId="69F6901C" w14:textId="77777777" w:rsidR="0014798C" w:rsidRDefault="004E1F0B">
      <w:pPr>
        <w:pStyle w:val="Textoindependiente"/>
        <w:spacing w:line="271" w:lineRule="auto"/>
        <w:ind w:left="1107" w:right="1272"/>
      </w:pPr>
      <w:r>
        <w:t xml:space="preserve">demandante al demandado en los casos en que el demandante estableció un caso prima facie de que se había producido </w:t>
      </w:r>
      <w:r>
        <w:rPr>
          <w:spacing w:val="-2"/>
        </w:rPr>
        <w:t>discriminación.689</w:t>
      </w:r>
    </w:p>
    <w:p w14:paraId="330363CE" w14:textId="77777777" w:rsidR="0014798C" w:rsidRDefault="0014798C">
      <w:pPr>
        <w:pStyle w:val="Textoindependiente"/>
        <w:rPr>
          <w:sz w:val="17"/>
        </w:rPr>
      </w:pPr>
    </w:p>
    <w:p w14:paraId="2418A350" w14:textId="77777777" w:rsidR="0014798C" w:rsidRDefault="0014798C">
      <w:pPr>
        <w:pStyle w:val="Textoindependiente"/>
        <w:spacing w:before="151"/>
        <w:rPr>
          <w:sz w:val="17"/>
        </w:rPr>
      </w:pPr>
    </w:p>
    <w:p w14:paraId="603E06DB" w14:textId="77777777" w:rsidR="0014798C" w:rsidRDefault="004E1F0B">
      <w:pPr>
        <w:ind w:left="1335"/>
        <w:rPr>
          <w:sz w:val="17"/>
        </w:rPr>
      </w:pPr>
      <w:r>
        <w:rPr>
          <w:noProof/>
        </w:rPr>
        <w:drawing>
          <wp:anchor distT="0" distB="0" distL="0" distR="0" simplePos="0" relativeHeight="251658430" behindDoc="1" locked="0" layoutInCell="1" allowOverlap="1" wp14:anchorId="5B418313" wp14:editId="7B4E495D">
            <wp:simplePos x="0" y="0"/>
            <wp:positionH relativeFrom="page">
              <wp:posOffset>795184</wp:posOffset>
            </wp:positionH>
            <wp:positionV relativeFrom="paragraph">
              <wp:posOffset>-134466</wp:posOffset>
            </wp:positionV>
            <wp:extent cx="5961638" cy="4318112"/>
            <wp:effectExtent l="0" t="0" r="0" b="0"/>
            <wp:wrapNone/>
            <wp:docPr id="212" name="Image 21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12" name="Image 212"/>
                    <pic:cNvPicPr/>
                  </pic:nvPicPr>
                  <pic:blipFill>
                    <a:blip r:embed="rId191" cstate="print"/>
                    <a:stretch>
                      <a:fillRect/>
                    </a:stretch>
                  </pic:blipFill>
                  <pic:spPr>
                    <a:xfrm>
                      <a:off x="0" y="0"/>
                      <a:ext cx="5961638" cy="4318112"/>
                    </a:xfrm>
                    <a:prstGeom prst="rect">
                      <a:avLst/>
                    </a:prstGeom>
                  </pic:spPr>
                </pic:pic>
              </a:graphicData>
            </a:graphic>
          </wp:anchor>
        </w:drawing>
      </w:r>
      <w:r>
        <w:rPr>
          <w:sz w:val="17"/>
        </w:rPr>
        <w:t>CROACIA:</w:t>
      </w:r>
      <w:r>
        <w:rPr>
          <w:spacing w:val="-3"/>
          <w:sz w:val="17"/>
        </w:rPr>
        <w:t xml:space="preserve"> </w:t>
      </w:r>
      <w:r>
        <w:rPr>
          <w:sz w:val="17"/>
        </w:rPr>
        <w:t>LA</w:t>
      </w:r>
      <w:r>
        <w:rPr>
          <w:spacing w:val="-3"/>
          <w:sz w:val="17"/>
        </w:rPr>
        <w:t xml:space="preserve"> </w:t>
      </w:r>
      <w:r>
        <w:rPr>
          <w:sz w:val="17"/>
        </w:rPr>
        <w:t>CARGA</w:t>
      </w:r>
      <w:r>
        <w:rPr>
          <w:spacing w:val="-3"/>
          <w:sz w:val="17"/>
        </w:rPr>
        <w:t xml:space="preserve"> </w:t>
      </w:r>
      <w:r>
        <w:rPr>
          <w:sz w:val="17"/>
        </w:rPr>
        <w:t>DE</w:t>
      </w:r>
      <w:r>
        <w:rPr>
          <w:spacing w:val="-3"/>
          <w:sz w:val="17"/>
        </w:rPr>
        <w:t xml:space="preserve"> </w:t>
      </w:r>
      <w:r>
        <w:rPr>
          <w:sz w:val="17"/>
        </w:rPr>
        <w:t>LA</w:t>
      </w:r>
      <w:r>
        <w:rPr>
          <w:spacing w:val="-2"/>
          <w:sz w:val="17"/>
        </w:rPr>
        <w:t xml:space="preserve"> </w:t>
      </w:r>
      <w:r>
        <w:rPr>
          <w:sz w:val="17"/>
        </w:rPr>
        <w:t>PRUEBA</w:t>
      </w:r>
      <w:r>
        <w:rPr>
          <w:spacing w:val="-3"/>
          <w:sz w:val="17"/>
        </w:rPr>
        <w:t xml:space="preserve"> </w:t>
      </w:r>
      <w:r>
        <w:rPr>
          <w:sz w:val="17"/>
        </w:rPr>
        <w:t>BAJO</w:t>
      </w:r>
      <w:r>
        <w:rPr>
          <w:spacing w:val="-3"/>
          <w:sz w:val="17"/>
        </w:rPr>
        <w:t xml:space="preserve"> </w:t>
      </w:r>
      <w:r>
        <w:rPr>
          <w:sz w:val="17"/>
        </w:rPr>
        <w:t>EL</w:t>
      </w:r>
      <w:r>
        <w:rPr>
          <w:spacing w:val="-3"/>
          <w:sz w:val="17"/>
        </w:rPr>
        <w:t xml:space="preserve"> </w:t>
      </w:r>
      <w:r>
        <w:rPr>
          <w:sz w:val="17"/>
        </w:rPr>
        <w:t>ARTÍCULO</w:t>
      </w:r>
      <w:r>
        <w:rPr>
          <w:spacing w:val="-3"/>
          <w:sz w:val="17"/>
        </w:rPr>
        <w:t xml:space="preserve"> </w:t>
      </w:r>
      <w:r>
        <w:rPr>
          <w:sz w:val="17"/>
        </w:rPr>
        <w:t>20</w:t>
      </w:r>
      <w:r>
        <w:rPr>
          <w:spacing w:val="-3"/>
          <w:sz w:val="17"/>
        </w:rPr>
        <w:t xml:space="preserve"> </w:t>
      </w:r>
      <w:r>
        <w:rPr>
          <w:sz w:val="17"/>
        </w:rPr>
        <w:t>DE</w:t>
      </w:r>
      <w:r>
        <w:rPr>
          <w:spacing w:val="-3"/>
          <w:sz w:val="17"/>
        </w:rPr>
        <w:t xml:space="preserve"> </w:t>
      </w:r>
      <w:r>
        <w:rPr>
          <w:sz w:val="17"/>
        </w:rPr>
        <w:t>LA</w:t>
      </w:r>
      <w:r>
        <w:rPr>
          <w:spacing w:val="-2"/>
          <w:sz w:val="17"/>
        </w:rPr>
        <w:t xml:space="preserve"> ANTIDISCRIMINACIÓN</w:t>
      </w:r>
    </w:p>
    <w:p w14:paraId="4699F4BF" w14:textId="77777777" w:rsidR="0014798C" w:rsidRDefault="004E1F0B">
      <w:pPr>
        <w:spacing w:before="80"/>
        <w:ind w:left="1329"/>
        <w:rPr>
          <w:sz w:val="14"/>
        </w:rPr>
      </w:pPr>
      <w:r>
        <w:rPr>
          <w:spacing w:val="-4"/>
          <w:w w:val="105"/>
          <w:sz w:val="14"/>
        </w:rPr>
        <w:t>ACTO</w:t>
      </w:r>
    </w:p>
    <w:p w14:paraId="1B4F2086" w14:textId="77777777" w:rsidR="0014798C" w:rsidRDefault="0014798C">
      <w:pPr>
        <w:pStyle w:val="Textoindependiente"/>
        <w:spacing w:before="20"/>
        <w:rPr>
          <w:sz w:val="17"/>
        </w:rPr>
      </w:pPr>
    </w:p>
    <w:p w14:paraId="459F860D" w14:textId="77777777" w:rsidR="0014798C" w:rsidRDefault="004E1F0B">
      <w:pPr>
        <w:pStyle w:val="Prrafodelista"/>
        <w:numPr>
          <w:ilvl w:val="1"/>
          <w:numId w:val="44"/>
        </w:numPr>
        <w:tabs>
          <w:tab w:val="left" w:pos="1826"/>
          <w:tab w:val="left" w:pos="1899"/>
        </w:tabs>
        <w:spacing w:line="307" w:lineRule="auto"/>
        <w:ind w:right="1584" w:hanging="329"/>
        <w:rPr>
          <w:sz w:val="17"/>
        </w:rPr>
      </w:pPr>
      <w:r>
        <w:rPr>
          <w:sz w:val="17"/>
        </w:rPr>
        <w:t>Si</w:t>
      </w:r>
      <w:r>
        <w:rPr>
          <w:spacing w:val="-1"/>
          <w:sz w:val="17"/>
        </w:rPr>
        <w:t xml:space="preserve"> </w:t>
      </w:r>
      <w:r>
        <w:rPr>
          <w:sz w:val="17"/>
        </w:rPr>
        <w:t>una parte</w:t>
      </w:r>
      <w:r>
        <w:rPr>
          <w:spacing w:val="-1"/>
          <w:sz w:val="17"/>
        </w:rPr>
        <w:t xml:space="preserve"> </w:t>
      </w:r>
      <w:r>
        <w:rPr>
          <w:sz w:val="17"/>
        </w:rPr>
        <w:t>en un tribunal u otro</w:t>
      </w:r>
      <w:r>
        <w:rPr>
          <w:spacing w:val="-1"/>
          <w:sz w:val="17"/>
        </w:rPr>
        <w:t xml:space="preserve"> </w:t>
      </w:r>
      <w:r>
        <w:rPr>
          <w:sz w:val="17"/>
        </w:rPr>
        <w:t>procedimiento afirma que se ha violado su derecho a la igualdad de trato</w:t>
      </w:r>
      <w:r>
        <w:rPr>
          <w:spacing w:val="-1"/>
          <w:sz w:val="17"/>
        </w:rPr>
        <w:t xml:space="preserve"> </w:t>
      </w:r>
      <w:r>
        <w:rPr>
          <w:sz w:val="17"/>
        </w:rPr>
        <w:t xml:space="preserve">de conformidad con las disposiciones de esta Ley, deberá demostrar que se ha producido </w:t>
      </w:r>
      <w:proofErr w:type="gramStart"/>
      <w:r>
        <w:rPr>
          <w:sz w:val="17"/>
        </w:rPr>
        <w:t>discriminación .</w:t>
      </w:r>
      <w:proofErr w:type="gramEnd"/>
      <w:r>
        <w:rPr>
          <w:sz w:val="17"/>
        </w:rPr>
        <w:t xml:space="preserve"> En este caso, corresponderá al demandado probar que no ha habido discriminación.</w:t>
      </w:r>
    </w:p>
    <w:p w14:paraId="13E6849B" w14:textId="77777777" w:rsidR="0014798C" w:rsidRDefault="004E1F0B">
      <w:pPr>
        <w:numPr>
          <w:ilvl w:val="1"/>
          <w:numId w:val="44"/>
        </w:numPr>
        <w:tabs>
          <w:tab w:val="left" w:pos="376"/>
        </w:tabs>
        <w:spacing w:before="77"/>
        <w:ind w:left="376" w:hanging="307"/>
        <w:jc w:val="center"/>
        <w:rPr>
          <w:sz w:val="20"/>
        </w:rPr>
      </w:pPr>
      <w:r>
        <w:rPr>
          <w:sz w:val="20"/>
        </w:rPr>
        <w:t>Lo</w:t>
      </w:r>
      <w:r>
        <w:rPr>
          <w:spacing w:val="6"/>
          <w:sz w:val="20"/>
        </w:rPr>
        <w:t xml:space="preserve"> </w:t>
      </w:r>
      <w:r>
        <w:rPr>
          <w:sz w:val="20"/>
        </w:rPr>
        <w:t>dispuesto</w:t>
      </w:r>
      <w:r>
        <w:rPr>
          <w:spacing w:val="6"/>
          <w:sz w:val="20"/>
        </w:rPr>
        <w:t xml:space="preserve"> </w:t>
      </w:r>
      <w:r>
        <w:rPr>
          <w:sz w:val="20"/>
        </w:rPr>
        <w:t>en</w:t>
      </w:r>
      <w:r>
        <w:rPr>
          <w:spacing w:val="7"/>
          <w:sz w:val="20"/>
        </w:rPr>
        <w:t xml:space="preserve"> </w:t>
      </w:r>
      <w:r>
        <w:rPr>
          <w:sz w:val="20"/>
        </w:rPr>
        <w:t>el</w:t>
      </w:r>
      <w:r>
        <w:rPr>
          <w:spacing w:val="6"/>
          <w:sz w:val="20"/>
        </w:rPr>
        <w:t xml:space="preserve"> </w:t>
      </w:r>
      <w:r>
        <w:rPr>
          <w:sz w:val="20"/>
        </w:rPr>
        <w:t>párrafo</w:t>
      </w:r>
      <w:r>
        <w:rPr>
          <w:spacing w:val="6"/>
          <w:sz w:val="20"/>
        </w:rPr>
        <w:t xml:space="preserve"> </w:t>
      </w:r>
      <w:r>
        <w:rPr>
          <w:sz w:val="20"/>
        </w:rPr>
        <w:t>1</w:t>
      </w:r>
      <w:r>
        <w:rPr>
          <w:spacing w:val="7"/>
          <w:sz w:val="20"/>
        </w:rPr>
        <w:t xml:space="preserve"> </w:t>
      </w:r>
      <w:r>
        <w:rPr>
          <w:sz w:val="20"/>
        </w:rPr>
        <w:t>de</w:t>
      </w:r>
      <w:r>
        <w:rPr>
          <w:spacing w:val="6"/>
          <w:sz w:val="20"/>
        </w:rPr>
        <w:t xml:space="preserve"> </w:t>
      </w:r>
      <w:r>
        <w:rPr>
          <w:sz w:val="20"/>
        </w:rPr>
        <w:t>este</w:t>
      </w:r>
      <w:r>
        <w:rPr>
          <w:spacing w:val="7"/>
          <w:sz w:val="20"/>
        </w:rPr>
        <w:t xml:space="preserve"> </w:t>
      </w:r>
      <w:r>
        <w:rPr>
          <w:sz w:val="20"/>
        </w:rPr>
        <w:t>artículo</w:t>
      </w:r>
      <w:r>
        <w:rPr>
          <w:spacing w:val="6"/>
          <w:sz w:val="20"/>
        </w:rPr>
        <w:t xml:space="preserve"> </w:t>
      </w:r>
      <w:r>
        <w:rPr>
          <w:sz w:val="20"/>
        </w:rPr>
        <w:t>no</w:t>
      </w:r>
      <w:r>
        <w:rPr>
          <w:spacing w:val="6"/>
          <w:sz w:val="20"/>
        </w:rPr>
        <w:t xml:space="preserve"> </w:t>
      </w:r>
      <w:r>
        <w:rPr>
          <w:sz w:val="20"/>
        </w:rPr>
        <w:t>se</w:t>
      </w:r>
      <w:r>
        <w:rPr>
          <w:spacing w:val="7"/>
          <w:sz w:val="20"/>
        </w:rPr>
        <w:t xml:space="preserve"> </w:t>
      </w:r>
      <w:r>
        <w:rPr>
          <w:sz w:val="20"/>
        </w:rPr>
        <w:t>aplicará</w:t>
      </w:r>
      <w:r>
        <w:rPr>
          <w:spacing w:val="6"/>
          <w:sz w:val="20"/>
        </w:rPr>
        <w:t xml:space="preserve"> </w:t>
      </w:r>
      <w:r>
        <w:rPr>
          <w:sz w:val="20"/>
        </w:rPr>
        <w:t>a</w:t>
      </w:r>
      <w:r>
        <w:rPr>
          <w:spacing w:val="6"/>
          <w:sz w:val="20"/>
        </w:rPr>
        <w:t xml:space="preserve"> </w:t>
      </w:r>
      <w:r>
        <w:rPr>
          <w:sz w:val="20"/>
        </w:rPr>
        <w:t>los</w:t>
      </w:r>
      <w:r>
        <w:rPr>
          <w:spacing w:val="7"/>
          <w:sz w:val="20"/>
        </w:rPr>
        <w:t xml:space="preserve"> </w:t>
      </w:r>
      <w:r>
        <w:rPr>
          <w:sz w:val="20"/>
        </w:rPr>
        <w:t>delitos</w:t>
      </w:r>
      <w:r>
        <w:rPr>
          <w:spacing w:val="5"/>
          <w:sz w:val="20"/>
        </w:rPr>
        <w:t xml:space="preserve"> </w:t>
      </w:r>
      <w:r>
        <w:rPr>
          <w:sz w:val="20"/>
        </w:rPr>
        <w:t>menores</w:t>
      </w:r>
      <w:r>
        <w:rPr>
          <w:spacing w:val="6"/>
          <w:sz w:val="20"/>
        </w:rPr>
        <w:t xml:space="preserve"> </w:t>
      </w:r>
      <w:r>
        <w:rPr>
          <w:sz w:val="20"/>
        </w:rPr>
        <w:t>y</w:t>
      </w:r>
      <w:r>
        <w:rPr>
          <w:spacing w:val="7"/>
          <w:sz w:val="20"/>
        </w:rPr>
        <w:t xml:space="preserve"> </w:t>
      </w:r>
      <w:r>
        <w:rPr>
          <w:spacing w:val="-2"/>
          <w:sz w:val="20"/>
        </w:rPr>
        <w:t>penales.</w:t>
      </w:r>
    </w:p>
    <w:p w14:paraId="0D79E6A8" w14:textId="77777777" w:rsidR="0014798C" w:rsidRDefault="004E1F0B">
      <w:pPr>
        <w:spacing w:before="55"/>
        <w:ind w:left="1899"/>
        <w:rPr>
          <w:sz w:val="17"/>
        </w:rPr>
      </w:pPr>
      <w:r>
        <w:rPr>
          <w:spacing w:val="-2"/>
          <w:sz w:val="17"/>
        </w:rPr>
        <w:t>actas.</w:t>
      </w:r>
    </w:p>
    <w:p w14:paraId="1892854A" w14:textId="77777777" w:rsidR="0014798C" w:rsidRDefault="0014798C">
      <w:pPr>
        <w:pStyle w:val="Textoindependiente"/>
        <w:rPr>
          <w:sz w:val="17"/>
        </w:rPr>
      </w:pPr>
    </w:p>
    <w:p w14:paraId="48101B95" w14:textId="77777777" w:rsidR="0014798C" w:rsidRDefault="0014798C">
      <w:pPr>
        <w:pStyle w:val="Textoindependiente"/>
        <w:spacing w:before="116"/>
        <w:rPr>
          <w:sz w:val="17"/>
        </w:rPr>
      </w:pPr>
    </w:p>
    <w:p w14:paraId="2CFF09B5" w14:textId="77777777" w:rsidR="0014798C" w:rsidRDefault="004E1F0B">
      <w:pPr>
        <w:spacing w:line="307" w:lineRule="auto"/>
        <w:ind w:left="1107" w:right="1166" w:hanging="1"/>
        <w:rPr>
          <w:sz w:val="17"/>
        </w:rPr>
      </w:pPr>
      <w:r>
        <w:rPr>
          <w:sz w:val="17"/>
        </w:rPr>
        <w:t>El requisito de una carga de la prueba “desplazada” es crucial para la eficacia de las disposiciones del derecho civil y administrativo que prohíben la discriminación. El establecimiento de un caso prima facie opera como una presunción legal que, una vez establecida, puede ser refutada</w:t>
      </w:r>
      <w:r>
        <w:rPr>
          <w:spacing w:val="-1"/>
          <w:sz w:val="17"/>
        </w:rPr>
        <w:t xml:space="preserve"> </w:t>
      </w:r>
      <w:r>
        <w:rPr>
          <w:sz w:val="17"/>
        </w:rPr>
        <w:t>mediante</w:t>
      </w:r>
      <w:r>
        <w:rPr>
          <w:spacing w:val="-1"/>
          <w:sz w:val="17"/>
        </w:rPr>
        <w:t xml:space="preserve"> </w:t>
      </w:r>
      <w:r>
        <w:rPr>
          <w:sz w:val="17"/>
        </w:rPr>
        <w:t>la presentación de evidencia que indique que (a) no hubo diferencia de</w:t>
      </w:r>
      <w:r>
        <w:rPr>
          <w:spacing w:val="-1"/>
          <w:sz w:val="17"/>
        </w:rPr>
        <w:t xml:space="preserve"> </w:t>
      </w:r>
      <w:r>
        <w:rPr>
          <w:sz w:val="17"/>
        </w:rPr>
        <w:t>trato</w:t>
      </w:r>
      <w:r>
        <w:rPr>
          <w:spacing w:val="-2"/>
          <w:sz w:val="17"/>
        </w:rPr>
        <w:t xml:space="preserve"> </w:t>
      </w:r>
      <w:r>
        <w:rPr>
          <w:sz w:val="17"/>
        </w:rPr>
        <w:t>o</w:t>
      </w:r>
      <w:r>
        <w:rPr>
          <w:spacing w:val="-1"/>
          <w:sz w:val="17"/>
        </w:rPr>
        <w:t xml:space="preserve"> </w:t>
      </w:r>
      <w:r>
        <w:rPr>
          <w:sz w:val="17"/>
        </w:rPr>
        <w:t>impacto</w:t>
      </w:r>
      <w:r>
        <w:rPr>
          <w:spacing w:val="-1"/>
          <w:sz w:val="17"/>
        </w:rPr>
        <w:t xml:space="preserve"> </w:t>
      </w:r>
      <w:r>
        <w:rPr>
          <w:sz w:val="17"/>
        </w:rPr>
        <w:t>basado</w:t>
      </w:r>
      <w:r>
        <w:rPr>
          <w:spacing w:val="-1"/>
          <w:sz w:val="17"/>
        </w:rPr>
        <w:t xml:space="preserve"> </w:t>
      </w:r>
      <w:r>
        <w:rPr>
          <w:sz w:val="17"/>
        </w:rPr>
        <w:t>en</w:t>
      </w:r>
      <w:r>
        <w:rPr>
          <w:spacing w:val="-1"/>
          <w:sz w:val="17"/>
        </w:rPr>
        <w:t xml:space="preserve"> </w:t>
      </w:r>
      <w:r>
        <w:rPr>
          <w:sz w:val="17"/>
        </w:rPr>
        <w:t>un</w:t>
      </w:r>
      <w:r>
        <w:rPr>
          <w:spacing w:val="-1"/>
          <w:sz w:val="17"/>
        </w:rPr>
        <w:t xml:space="preserve"> </w:t>
      </w:r>
      <w:r>
        <w:rPr>
          <w:sz w:val="17"/>
        </w:rPr>
        <w:t>motivo</w:t>
      </w:r>
      <w:r>
        <w:rPr>
          <w:spacing w:val="-1"/>
          <w:sz w:val="17"/>
        </w:rPr>
        <w:t xml:space="preserve"> </w:t>
      </w:r>
      <w:r>
        <w:rPr>
          <w:sz w:val="17"/>
        </w:rPr>
        <w:t>protegido;</w:t>
      </w:r>
      <w:r>
        <w:rPr>
          <w:spacing w:val="-1"/>
          <w:sz w:val="17"/>
        </w:rPr>
        <w:t xml:space="preserve"> </w:t>
      </w:r>
      <w:r>
        <w:rPr>
          <w:sz w:val="17"/>
        </w:rPr>
        <w:t>o</w:t>
      </w:r>
      <w:r>
        <w:rPr>
          <w:spacing w:val="-1"/>
          <w:sz w:val="17"/>
        </w:rPr>
        <w:t xml:space="preserve"> </w:t>
      </w:r>
      <w:r>
        <w:rPr>
          <w:sz w:val="17"/>
        </w:rPr>
        <w:t>(b)</w:t>
      </w:r>
      <w:r>
        <w:rPr>
          <w:spacing w:val="-1"/>
          <w:sz w:val="17"/>
        </w:rPr>
        <w:t xml:space="preserve"> </w:t>
      </w:r>
      <w:r>
        <w:rPr>
          <w:sz w:val="17"/>
        </w:rPr>
        <w:t>la</w:t>
      </w:r>
      <w:r>
        <w:rPr>
          <w:spacing w:val="-1"/>
          <w:sz w:val="17"/>
        </w:rPr>
        <w:t xml:space="preserve"> </w:t>
      </w:r>
      <w:r>
        <w:rPr>
          <w:sz w:val="17"/>
        </w:rPr>
        <w:t>disposición, criterio</w:t>
      </w:r>
      <w:r>
        <w:rPr>
          <w:spacing w:val="-1"/>
          <w:sz w:val="17"/>
        </w:rPr>
        <w:t xml:space="preserve"> </w:t>
      </w:r>
      <w:r>
        <w:rPr>
          <w:sz w:val="17"/>
        </w:rPr>
        <w:t>o</w:t>
      </w:r>
      <w:r>
        <w:rPr>
          <w:spacing w:val="-1"/>
          <w:sz w:val="17"/>
        </w:rPr>
        <w:t xml:space="preserve"> </w:t>
      </w:r>
      <w:r>
        <w:rPr>
          <w:sz w:val="17"/>
        </w:rPr>
        <w:t>práctica</w:t>
      </w:r>
      <w:r>
        <w:rPr>
          <w:spacing w:val="-1"/>
          <w:sz w:val="17"/>
        </w:rPr>
        <w:t xml:space="preserve"> </w:t>
      </w:r>
      <w:r>
        <w:rPr>
          <w:sz w:val="17"/>
        </w:rPr>
        <w:t>aplicada</w:t>
      </w:r>
      <w:r>
        <w:rPr>
          <w:spacing w:val="-1"/>
          <w:sz w:val="17"/>
        </w:rPr>
        <w:t xml:space="preserve"> </w:t>
      </w:r>
      <w:r>
        <w:rPr>
          <w:sz w:val="17"/>
        </w:rPr>
        <w:t>en</w:t>
      </w:r>
      <w:r>
        <w:rPr>
          <w:spacing w:val="-1"/>
          <w:sz w:val="17"/>
        </w:rPr>
        <w:t xml:space="preserve"> </w:t>
      </w:r>
      <w:r>
        <w:rPr>
          <w:sz w:val="17"/>
        </w:rPr>
        <w:t>el</w:t>
      </w:r>
      <w:r>
        <w:rPr>
          <w:spacing w:val="-1"/>
          <w:sz w:val="17"/>
        </w:rPr>
        <w:t xml:space="preserve"> </w:t>
      </w:r>
      <w:r>
        <w:rPr>
          <w:sz w:val="17"/>
        </w:rPr>
        <w:t>caso</w:t>
      </w:r>
      <w:r>
        <w:rPr>
          <w:spacing w:val="-1"/>
          <w:sz w:val="17"/>
        </w:rPr>
        <w:t xml:space="preserve"> </w:t>
      </w:r>
      <w:r>
        <w:rPr>
          <w:sz w:val="17"/>
        </w:rPr>
        <w:t>en</w:t>
      </w:r>
      <w:r>
        <w:rPr>
          <w:spacing w:val="-1"/>
          <w:sz w:val="17"/>
        </w:rPr>
        <w:t xml:space="preserve"> </w:t>
      </w:r>
      <w:r>
        <w:rPr>
          <w:sz w:val="17"/>
        </w:rPr>
        <w:t>cuestión estaba objetiva y razonablemente justificada.690</w:t>
      </w:r>
    </w:p>
    <w:p w14:paraId="4F2431C8" w14:textId="77777777" w:rsidR="0014798C" w:rsidRDefault="0014798C">
      <w:pPr>
        <w:pStyle w:val="Textoindependiente"/>
        <w:rPr>
          <w:sz w:val="13"/>
        </w:rPr>
      </w:pPr>
    </w:p>
    <w:p w14:paraId="3A969502" w14:textId="77777777" w:rsidR="0014798C" w:rsidRDefault="0014798C">
      <w:pPr>
        <w:pStyle w:val="Textoindependiente"/>
        <w:rPr>
          <w:sz w:val="13"/>
        </w:rPr>
      </w:pPr>
    </w:p>
    <w:p w14:paraId="3DDF2EEA" w14:textId="77777777" w:rsidR="0014798C" w:rsidRDefault="0014798C">
      <w:pPr>
        <w:pStyle w:val="Textoindependiente"/>
        <w:rPr>
          <w:sz w:val="13"/>
        </w:rPr>
      </w:pPr>
    </w:p>
    <w:p w14:paraId="3617A1E6" w14:textId="77777777" w:rsidR="0014798C" w:rsidRDefault="0014798C">
      <w:pPr>
        <w:pStyle w:val="Textoindependiente"/>
        <w:rPr>
          <w:sz w:val="13"/>
        </w:rPr>
      </w:pPr>
    </w:p>
    <w:p w14:paraId="43AAB4B2" w14:textId="77777777" w:rsidR="0014798C" w:rsidRDefault="0014798C">
      <w:pPr>
        <w:pStyle w:val="Textoindependiente"/>
        <w:rPr>
          <w:sz w:val="13"/>
        </w:rPr>
      </w:pPr>
    </w:p>
    <w:p w14:paraId="06E2D6BA" w14:textId="77777777" w:rsidR="0014798C" w:rsidRDefault="0014798C">
      <w:pPr>
        <w:pStyle w:val="Textoindependiente"/>
        <w:rPr>
          <w:sz w:val="13"/>
        </w:rPr>
      </w:pPr>
    </w:p>
    <w:p w14:paraId="47544AAD" w14:textId="77777777" w:rsidR="0014798C" w:rsidRDefault="0014798C">
      <w:pPr>
        <w:pStyle w:val="Textoindependiente"/>
        <w:rPr>
          <w:sz w:val="13"/>
        </w:rPr>
      </w:pPr>
    </w:p>
    <w:p w14:paraId="07C1B607" w14:textId="77777777" w:rsidR="0014798C" w:rsidRDefault="0014798C">
      <w:pPr>
        <w:pStyle w:val="Textoindependiente"/>
        <w:rPr>
          <w:sz w:val="13"/>
        </w:rPr>
      </w:pPr>
    </w:p>
    <w:p w14:paraId="2D70E297" w14:textId="77777777" w:rsidR="0014798C" w:rsidRDefault="0014798C">
      <w:pPr>
        <w:pStyle w:val="Textoindependiente"/>
        <w:rPr>
          <w:sz w:val="13"/>
        </w:rPr>
      </w:pPr>
    </w:p>
    <w:p w14:paraId="5EB18F99" w14:textId="77777777" w:rsidR="0014798C" w:rsidRDefault="0014798C">
      <w:pPr>
        <w:pStyle w:val="Textoindependiente"/>
        <w:rPr>
          <w:sz w:val="13"/>
        </w:rPr>
      </w:pPr>
    </w:p>
    <w:p w14:paraId="5CDECB21" w14:textId="77777777" w:rsidR="0014798C" w:rsidRDefault="0014798C">
      <w:pPr>
        <w:pStyle w:val="Textoindependiente"/>
        <w:rPr>
          <w:sz w:val="13"/>
        </w:rPr>
      </w:pPr>
    </w:p>
    <w:p w14:paraId="6A239610" w14:textId="77777777" w:rsidR="0014798C" w:rsidRDefault="0014798C">
      <w:pPr>
        <w:pStyle w:val="Textoindependiente"/>
        <w:rPr>
          <w:sz w:val="13"/>
        </w:rPr>
      </w:pPr>
    </w:p>
    <w:p w14:paraId="7240E549" w14:textId="77777777" w:rsidR="0014798C" w:rsidRDefault="0014798C">
      <w:pPr>
        <w:pStyle w:val="Textoindependiente"/>
        <w:rPr>
          <w:sz w:val="13"/>
        </w:rPr>
      </w:pPr>
    </w:p>
    <w:p w14:paraId="3EA91CED" w14:textId="77777777" w:rsidR="0014798C" w:rsidRDefault="0014798C">
      <w:pPr>
        <w:pStyle w:val="Textoindependiente"/>
        <w:rPr>
          <w:sz w:val="13"/>
        </w:rPr>
      </w:pPr>
    </w:p>
    <w:p w14:paraId="78C7903A" w14:textId="77777777" w:rsidR="0014798C" w:rsidRDefault="0014798C">
      <w:pPr>
        <w:pStyle w:val="Textoindependiente"/>
        <w:rPr>
          <w:sz w:val="13"/>
        </w:rPr>
      </w:pPr>
    </w:p>
    <w:p w14:paraId="1AF50300" w14:textId="77777777" w:rsidR="0014798C" w:rsidRDefault="0014798C">
      <w:pPr>
        <w:pStyle w:val="Textoindependiente"/>
        <w:rPr>
          <w:sz w:val="13"/>
        </w:rPr>
      </w:pPr>
    </w:p>
    <w:p w14:paraId="4480C947" w14:textId="77777777" w:rsidR="0014798C" w:rsidRDefault="0014798C">
      <w:pPr>
        <w:pStyle w:val="Textoindependiente"/>
        <w:rPr>
          <w:sz w:val="13"/>
        </w:rPr>
      </w:pPr>
    </w:p>
    <w:p w14:paraId="1BB67E10" w14:textId="77777777" w:rsidR="0014798C" w:rsidRDefault="0014798C">
      <w:pPr>
        <w:pStyle w:val="Textoindependiente"/>
        <w:rPr>
          <w:sz w:val="13"/>
        </w:rPr>
      </w:pPr>
    </w:p>
    <w:p w14:paraId="430EFA6A" w14:textId="77777777" w:rsidR="0014798C" w:rsidRDefault="0014798C">
      <w:pPr>
        <w:pStyle w:val="Textoindependiente"/>
        <w:rPr>
          <w:sz w:val="13"/>
        </w:rPr>
      </w:pPr>
    </w:p>
    <w:p w14:paraId="30A97CBD" w14:textId="77777777" w:rsidR="0014798C" w:rsidRDefault="0014798C">
      <w:pPr>
        <w:pStyle w:val="Textoindependiente"/>
        <w:spacing w:before="39"/>
        <w:rPr>
          <w:sz w:val="13"/>
        </w:rPr>
      </w:pPr>
    </w:p>
    <w:p w14:paraId="71233C65" w14:textId="77777777" w:rsidR="0014798C" w:rsidRDefault="004E1F0B">
      <w:pPr>
        <w:ind w:left="1108"/>
        <w:rPr>
          <w:sz w:val="13"/>
        </w:rPr>
      </w:pPr>
      <w:r>
        <w:rPr>
          <w:sz w:val="13"/>
        </w:rPr>
        <w:t>688</w:t>
      </w:r>
      <w:r>
        <w:rPr>
          <w:spacing w:val="-3"/>
          <w:sz w:val="13"/>
        </w:rPr>
        <w:t xml:space="preserve"> </w:t>
      </w:r>
      <w:r>
        <w:rPr>
          <w:sz w:val="13"/>
        </w:rPr>
        <w:t>Comité de Derechos Económicos, Sociales y Culturales,</w:t>
      </w:r>
      <w:r>
        <w:rPr>
          <w:spacing w:val="1"/>
          <w:sz w:val="13"/>
        </w:rPr>
        <w:t xml:space="preserve"> </w:t>
      </w:r>
      <w:r>
        <w:rPr>
          <w:sz w:val="13"/>
        </w:rPr>
        <w:t>observación general</w:t>
      </w:r>
      <w:r>
        <w:rPr>
          <w:spacing w:val="-1"/>
          <w:sz w:val="13"/>
        </w:rPr>
        <w:t xml:space="preserve"> </w:t>
      </w:r>
      <w:r>
        <w:rPr>
          <w:sz w:val="13"/>
        </w:rPr>
        <w:t>núm. 20 (2009),</w:t>
      </w:r>
      <w:r>
        <w:rPr>
          <w:spacing w:val="1"/>
          <w:sz w:val="13"/>
        </w:rPr>
        <w:t xml:space="preserve"> </w:t>
      </w:r>
      <w:r>
        <w:rPr>
          <w:sz w:val="13"/>
        </w:rPr>
        <w:t xml:space="preserve">párr. </w:t>
      </w:r>
      <w:r>
        <w:rPr>
          <w:spacing w:val="-5"/>
          <w:sz w:val="13"/>
        </w:rPr>
        <w:t>40.</w:t>
      </w:r>
    </w:p>
    <w:p w14:paraId="6FD0D172" w14:textId="77777777" w:rsidR="0014798C" w:rsidRDefault="004E1F0B">
      <w:pPr>
        <w:spacing w:before="87" w:line="288" w:lineRule="auto"/>
        <w:ind w:left="1368" w:right="1553" w:hanging="260"/>
        <w:rPr>
          <w:sz w:val="13"/>
        </w:rPr>
      </w:pPr>
      <w:r>
        <w:rPr>
          <w:sz w:val="13"/>
        </w:rPr>
        <w:t>689</w:t>
      </w:r>
      <w:r>
        <w:rPr>
          <w:spacing w:val="6"/>
          <w:sz w:val="13"/>
        </w:rPr>
        <w:t xml:space="preserve"> </w:t>
      </w:r>
      <w:r>
        <w:rPr>
          <w:sz w:val="13"/>
        </w:rPr>
        <w:t>Comité</w:t>
      </w:r>
      <w:r>
        <w:rPr>
          <w:spacing w:val="6"/>
          <w:sz w:val="13"/>
        </w:rPr>
        <w:t xml:space="preserve"> </w:t>
      </w:r>
      <w:r>
        <w:rPr>
          <w:sz w:val="13"/>
        </w:rPr>
        <w:t>sobre</w:t>
      </w:r>
      <w:r>
        <w:rPr>
          <w:spacing w:val="6"/>
          <w:sz w:val="13"/>
        </w:rPr>
        <w:t xml:space="preserve"> </w:t>
      </w:r>
      <w:r>
        <w:rPr>
          <w:sz w:val="13"/>
        </w:rPr>
        <w:t>los</w:t>
      </w:r>
      <w:r>
        <w:rPr>
          <w:spacing w:val="6"/>
          <w:sz w:val="13"/>
        </w:rPr>
        <w:t xml:space="preserve"> </w:t>
      </w:r>
      <w:r>
        <w:rPr>
          <w:sz w:val="13"/>
        </w:rPr>
        <w:t>Derechos</w:t>
      </w:r>
      <w:r>
        <w:rPr>
          <w:spacing w:val="6"/>
          <w:sz w:val="13"/>
        </w:rPr>
        <w:t xml:space="preserve"> </w:t>
      </w:r>
      <w:r>
        <w:rPr>
          <w:sz w:val="13"/>
        </w:rPr>
        <w:t>de</w:t>
      </w:r>
      <w:r>
        <w:rPr>
          <w:spacing w:val="6"/>
          <w:sz w:val="13"/>
        </w:rPr>
        <w:t xml:space="preserve"> </w:t>
      </w:r>
      <w:r>
        <w:rPr>
          <w:sz w:val="13"/>
        </w:rPr>
        <w:t>las</w:t>
      </w:r>
      <w:r>
        <w:rPr>
          <w:spacing w:val="6"/>
          <w:sz w:val="13"/>
        </w:rPr>
        <w:t xml:space="preserve"> </w:t>
      </w:r>
      <w:r>
        <w:rPr>
          <w:sz w:val="13"/>
        </w:rPr>
        <w:t>Personas</w:t>
      </w:r>
      <w:r>
        <w:rPr>
          <w:spacing w:val="6"/>
          <w:sz w:val="13"/>
        </w:rPr>
        <w:t xml:space="preserve"> </w:t>
      </w:r>
      <w:r>
        <w:rPr>
          <w:sz w:val="13"/>
        </w:rPr>
        <w:t>con</w:t>
      </w:r>
      <w:r>
        <w:rPr>
          <w:spacing w:val="6"/>
          <w:sz w:val="13"/>
        </w:rPr>
        <w:t xml:space="preserve"> </w:t>
      </w:r>
      <w:r>
        <w:rPr>
          <w:sz w:val="13"/>
        </w:rPr>
        <w:t>Discapacidad,</w:t>
      </w:r>
      <w:r>
        <w:rPr>
          <w:spacing w:val="7"/>
          <w:sz w:val="13"/>
        </w:rPr>
        <w:t xml:space="preserve"> </w:t>
      </w:r>
      <w:r>
        <w:rPr>
          <w:sz w:val="13"/>
        </w:rPr>
        <w:t>observación</w:t>
      </w:r>
      <w:r>
        <w:rPr>
          <w:spacing w:val="6"/>
          <w:sz w:val="13"/>
        </w:rPr>
        <w:t xml:space="preserve"> </w:t>
      </w:r>
      <w:r>
        <w:rPr>
          <w:sz w:val="13"/>
        </w:rPr>
        <w:t>general</w:t>
      </w:r>
      <w:r>
        <w:rPr>
          <w:spacing w:val="6"/>
          <w:sz w:val="13"/>
        </w:rPr>
        <w:t xml:space="preserve"> </w:t>
      </w:r>
      <w:r>
        <w:rPr>
          <w:sz w:val="13"/>
        </w:rPr>
        <w:t>núm.</w:t>
      </w:r>
      <w:r>
        <w:rPr>
          <w:spacing w:val="6"/>
          <w:sz w:val="13"/>
        </w:rPr>
        <w:t xml:space="preserve"> </w:t>
      </w:r>
      <w:r>
        <w:rPr>
          <w:sz w:val="13"/>
        </w:rPr>
        <w:t>6</w:t>
      </w:r>
      <w:r>
        <w:rPr>
          <w:spacing w:val="6"/>
          <w:sz w:val="13"/>
        </w:rPr>
        <w:t xml:space="preserve"> </w:t>
      </w:r>
      <w:r>
        <w:rPr>
          <w:sz w:val="13"/>
        </w:rPr>
        <w:t>(2018),</w:t>
      </w:r>
      <w:r>
        <w:rPr>
          <w:spacing w:val="7"/>
          <w:sz w:val="13"/>
        </w:rPr>
        <w:t xml:space="preserve"> </w:t>
      </w:r>
      <w:proofErr w:type="spellStart"/>
      <w:r>
        <w:rPr>
          <w:sz w:val="13"/>
        </w:rPr>
        <w:t>párrs</w:t>
      </w:r>
      <w:proofErr w:type="spellEnd"/>
      <w:r>
        <w:rPr>
          <w:sz w:val="13"/>
        </w:rPr>
        <w:t>.</w:t>
      </w:r>
      <w:r>
        <w:rPr>
          <w:spacing w:val="6"/>
          <w:sz w:val="13"/>
        </w:rPr>
        <w:t xml:space="preserve"> </w:t>
      </w:r>
      <w:r>
        <w:rPr>
          <w:sz w:val="13"/>
        </w:rPr>
        <w:t>26</w:t>
      </w:r>
      <w:r>
        <w:rPr>
          <w:spacing w:val="6"/>
          <w:sz w:val="13"/>
        </w:rPr>
        <w:t xml:space="preserve"> </w:t>
      </w:r>
      <w:r>
        <w:rPr>
          <w:sz w:val="13"/>
        </w:rPr>
        <w:t>(g)</w:t>
      </w:r>
      <w:r>
        <w:rPr>
          <w:spacing w:val="6"/>
          <w:sz w:val="13"/>
        </w:rPr>
        <w:t xml:space="preserve"> </w:t>
      </w:r>
      <w:r>
        <w:rPr>
          <w:sz w:val="13"/>
        </w:rPr>
        <w:t>y</w:t>
      </w:r>
      <w:r>
        <w:rPr>
          <w:spacing w:val="6"/>
          <w:sz w:val="13"/>
        </w:rPr>
        <w:t xml:space="preserve"> </w:t>
      </w:r>
      <w:r>
        <w:rPr>
          <w:sz w:val="13"/>
        </w:rPr>
        <w:t>73</w:t>
      </w:r>
      <w:r>
        <w:rPr>
          <w:spacing w:val="6"/>
          <w:sz w:val="13"/>
        </w:rPr>
        <w:t xml:space="preserve"> </w:t>
      </w:r>
      <w:r>
        <w:rPr>
          <w:sz w:val="13"/>
        </w:rPr>
        <w:t>(i).</w:t>
      </w:r>
      <w:r>
        <w:rPr>
          <w:spacing w:val="6"/>
          <w:sz w:val="13"/>
        </w:rPr>
        <w:t xml:space="preserve"> </w:t>
      </w:r>
      <w:r>
        <w:rPr>
          <w:sz w:val="13"/>
        </w:rPr>
        <w:t>Véase</w:t>
      </w:r>
      <w:r>
        <w:rPr>
          <w:spacing w:val="6"/>
          <w:sz w:val="13"/>
        </w:rPr>
        <w:t xml:space="preserve"> </w:t>
      </w:r>
      <w:r>
        <w:rPr>
          <w:sz w:val="13"/>
        </w:rPr>
        <w:t>también</w:t>
      </w:r>
      <w:r>
        <w:rPr>
          <w:spacing w:val="6"/>
          <w:sz w:val="13"/>
        </w:rPr>
        <w:t xml:space="preserve"> </w:t>
      </w:r>
      <w:r>
        <w:rPr>
          <w:sz w:val="13"/>
        </w:rPr>
        <w:t>Comité</w:t>
      </w:r>
      <w:r>
        <w:rPr>
          <w:spacing w:val="6"/>
          <w:sz w:val="13"/>
        </w:rPr>
        <w:t xml:space="preserve"> </w:t>
      </w:r>
      <w:r>
        <w:rPr>
          <w:sz w:val="13"/>
        </w:rPr>
        <w:t>para</w:t>
      </w:r>
      <w:r>
        <w:rPr>
          <w:spacing w:val="40"/>
          <w:sz w:val="13"/>
        </w:rPr>
        <w:t xml:space="preserve"> </w:t>
      </w:r>
      <w:r>
        <w:rPr>
          <w:sz w:val="13"/>
        </w:rPr>
        <w:t>la Eliminación de la Discriminación Racial, recomendación general núm. 30 (2005), párr. 24; Comité para la Eliminación de la Discriminación contra la</w:t>
      </w:r>
      <w:r>
        <w:rPr>
          <w:spacing w:val="40"/>
          <w:sz w:val="13"/>
        </w:rPr>
        <w:t xml:space="preserve"> </w:t>
      </w:r>
      <w:r>
        <w:rPr>
          <w:sz w:val="13"/>
        </w:rPr>
        <w:t>Mujer, recomendación general núm. 33 (2015), párr. 15 (g); Comité de Derechos Económicos, Sociales y Culturales, observación general núm.</w:t>
      </w:r>
    </w:p>
    <w:p w14:paraId="38FFEBD7" w14:textId="77777777" w:rsidR="0014798C" w:rsidRDefault="004E1F0B">
      <w:pPr>
        <w:spacing w:before="2"/>
        <w:ind w:left="1366"/>
        <w:rPr>
          <w:sz w:val="13"/>
        </w:rPr>
      </w:pPr>
      <w:r>
        <w:rPr>
          <w:spacing w:val="-2"/>
          <w:sz w:val="13"/>
        </w:rPr>
        <w:t>20</w:t>
      </w:r>
      <w:r>
        <w:rPr>
          <w:spacing w:val="-3"/>
          <w:sz w:val="13"/>
        </w:rPr>
        <w:t xml:space="preserve"> </w:t>
      </w:r>
      <w:r>
        <w:rPr>
          <w:spacing w:val="-2"/>
          <w:sz w:val="13"/>
        </w:rPr>
        <w:t>(2009),</w:t>
      </w:r>
      <w:r>
        <w:rPr>
          <w:spacing w:val="-1"/>
          <w:sz w:val="13"/>
        </w:rPr>
        <w:t xml:space="preserve"> </w:t>
      </w:r>
      <w:r>
        <w:rPr>
          <w:spacing w:val="-2"/>
          <w:sz w:val="13"/>
        </w:rPr>
        <w:t>párr.</w:t>
      </w:r>
      <w:r>
        <w:rPr>
          <w:spacing w:val="-3"/>
          <w:sz w:val="13"/>
        </w:rPr>
        <w:t xml:space="preserve"> </w:t>
      </w:r>
      <w:r>
        <w:rPr>
          <w:spacing w:val="-2"/>
          <w:sz w:val="13"/>
        </w:rPr>
        <w:t>40; y</w:t>
      </w:r>
      <w:r>
        <w:rPr>
          <w:spacing w:val="-3"/>
          <w:sz w:val="13"/>
        </w:rPr>
        <w:t xml:space="preserve"> </w:t>
      </w:r>
      <w:r>
        <w:rPr>
          <w:spacing w:val="-2"/>
          <w:sz w:val="13"/>
        </w:rPr>
        <w:t>CCPR/C/CZE/CO/4, párr.</w:t>
      </w:r>
      <w:r>
        <w:rPr>
          <w:spacing w:val="-3"/>
          <w:sz w:val="13"/>
        </w:rPr>
        <w:t xml:space="preserve"> </w:t>
      </w:r>
      <w:r>
        <w:rPr>
          <w:spacing w:val="-5"/>
          <w:sz w:val="13"/>
        </w:rPr>
        <w:t>9.</w:t>
      </w:r>
    </w:p>
    <w:p w14:paraId="4D076076" w14:textId="77777777" w:rsidR="0014798C" w:rsidRDefault="004E1F0B">
      <w:pPr>
        <w:spacing w:before="87"/>
        <w:ind w:left="1108"/>
        <w:rPr>
          <w:sz w:val="13"/>
        </w:rPr>
      </w:pPr>
      <w:r>
        <w:rPr>
          <w:sz w:val="13"/>
        </w:rPr>
        <w:t>690</w:t>
      </w:r>
      <w:r>
        <w:rPr>
          <w:spacing w:val="-1"/>
          <w:sz w:val="13"/>
        </w:rPr>
        <w:t xml:space="preserve"> </w:t>
      </w:r>
      <w:r>
        <w:rPr>
          <w:sz w:val="13"/>
        </w:rPr>
        <w:t>Según las directivas de igualdad</w:t>
      </w:r>
      <w:r>
        <w:rPr>
          <w:spacing w:val="-1"/>
          <w:sz w:val="13"/>
        </w:rPr>
        <w:t xml:space="preserve"> </w:t>
      </w:r>
      <w:r>
        <w:rPr>
          <w:sz w:val="13"/>
        </w:rPr>
        <w:t>de trato de la Unión Europea,</w:t>
      </w:r>
      <w:r>
        <w:rPr>
          <w:spacing w:val="-1"/>
          <w:sz w:val="13"/>
        </w:rPr>
        <w:t xml:space="preserve"> </w:t>
      </w:r>
      <w:r>
        <w:rPr>
          <w:sz w:val="13"/>
        </w:rPr>
        <w:t>la prueba de justificación sólo</w:t>
      </w:r>
      <w:r>
        <w:rPr>
          <w:spacing w:val="-1"/>
          <w:sz w:val="13"/>
        </w:rPr>
        <w:t xml:space="preserve"> </w:t>
      </w:r>
      <w:r>
        <w:rPr>
          <w:sz w:val="13"/>
        </w:rPr>
        <w:t>se aplica en casos de discriminación</w:t>
      </w:r>
      <w:r>
        <w:rPr>
          <w:spacing w:val="-1"/>
          <w:sz w:val="13"/>
        </w:rPr>
        <w:t xml:space="preserve"> </w:t>
      </w:r>
      <w:r>
        <w:rPr>
          <w:sz w:val="13"/>
        </w:rPr>
        <w:t>indirecta.</w:t>
      </w:r>
      <w:r>
        <w:rPr>
          <w:spacing w:val="1"/>
          <w:sz w:val="13"/>
        </w:rPr>
        <w:t xml:space="preserve"> </w:t>
      </w:r>
      <w:r>
        <w:rPr>
          <w:sz w:val="13"/>
        </w:rPr>
        <w:t xml:space="preserve">Ver más </w:t>
      </w:r>
      <w:r>
        <w:rPr>
          <w:spacing w:val="-5"/>
          <w:sz w:val="13"/>
        </w:rPr>
        <w:t>el</w:t>
      </w:r>
    </w:p>
    <w:p w14:paraId="2F0C620A" w14:textId="77777777" w:rsidR="0014798C" w:rsidRDefault="004E1F0B">
      <w:pPr>
        <w:spacing w:before="30"/>
        <w:ind w:left="1369"/>
        <w:rPr>
          <w:sz w:val="13"/>
        </w:rPr>
      </w:pPr>
      <w:r>
        <w:rPr>
          <w:sz w:val="13"/>
        </w:rPr>
        <w:t>discusión</w:t>
      </w:r>
      <w:r>
        <w:rPr>
          <w:spacing w:val="-5"/>
          <w:sz w:val="13"/>
        </w:rPr>
        <w:t xml:space="preserve"> </w:t>
      </w:r>
      <w:r>
        <w:rPr>
          <w:sz w:val="13"/>
        </w:rPr>
        <w:t>de</w:t>
      </w:r>
      <w:r>
        <w:rPr>
          <w:spacing w:val="-2"/>
          <w:sz w:val="13"/>
        </w:rPr>
        <w:t xml:space="preserve"> </w:t>
      </w:r>
      <w:r>
        <w:rPr>
          <w:sz w:val="13"/>
        </w:rPr>
        <w:t>justificaciones</w:t>
      </w:r>
      <w:r>
        <w:rPr>
          <w:spacing w:val="-4"/>
          <w:sz w:val="13"/>
        </w:rPr>
        <w:t xml:space="preserve"> </w:t>
      </w:r>
      <w:r>
        <w:rPr>
          <w:sz w:val="13"/>
        </w:rPr>
        <w:t>y</w:t>
      </w:r>
      <w:r>
        <w:rPr>
          <w:spacing w:val="-2"/>
          <w:sz w:val="13"/>
        </w:rPr>
        <w:t xml:space="preserve"> </w:t>
      </w:r>
      <w:r>
        <w:rPr>
          <w:sz w:val="13"/>
        </w:rPr>
        <w:t>excepciones</w:t>
      </w:r>
      <w:r>
        <w:rPr>
          <w:spacing w:val="-2"/>
          <w:sz w:val="13"/>
        </w:rPr>
        <w:t xml:space="preserve"> </w:t>
      </w:r>
      <w:r>
        <w:rPr>
          <w:sz w:val="13"/>
        </w:rPr>
        <w:t>en</w:t>
      </w:r>
      <w:r>
        <w:rPr>
          <w:spacing w:val="-3"/>
          <w:sz w:val="13"/>
        </w:rPr>
        <w:t xml:space="preserve"> </w:t>
      </w:r>
      <w:r>
        <w:rPr>
          <w:sz w:val="13"/>
        </w:rPr>
        <w:t>la</w:t>
      </w:r>
      <w:r>
        <w:rPr>
          <w:spacing w:val="-2"/>
          <w:sz w:val="13"/>
        </w:rPr>
        <w:t xml:space="preserve"> </w:t>
      </w:r>
      <w:r>
        <w:rPr>
          <w:sz w:val="13"/>
        </w:rPr>
        <w:t>sección</w:t>
      </w:r>
      <w:r>
        <w:rPr>
          <w:spacing w:val="-2"/>
          <w:sz w:val="13"/>
        </w:rPr>
        <w:t xml:space="preserve"> </w:t>
      </w:r>
      <w:r>
        <w:rPr>
          <w:sz w:val="13"/>
        </w:rPr>
        <w:t>IA4(a)</w:t>
      </w:r>
      <w:r>
        <w:rPr>
          <w:spacing w:val="-4"/>
          <w:sz w:val="13"/>
        </w:rPr>
        <w:t xml:space="preserve"> </w:t>
      </w:r>
      <w:r>
        <w:rPr>
          <w:sz w:val="13"/>
        </w:rPr>
        <w:t>de</w:t>
      </w:r>
      <w:r>
        <w:rPr>
          <w:spacing w:val="-2"/>
          <w:sz w:val="13"/>
        </w:rPr>
        <w:t xml:space="preserve"> </w:t>
      </w:r>
      <w:r>
        <w:rPr>
          <w:sz w:val="13"/>
        </w:rPr>
        <w:t>la</w:t>
      </w:r>
      <w:r>
        <w:rPr>
          <w:spacing w:val="-3"/>
          <w:sz w:val="13"/>
        </w:rPr>
        <w:t xml:space="preserve"> </w:t>
      </w:r>
      <w:r>
        <w:rPr>
          <w:sz w:val="13"/>
        </w:rPr>
        <w:t>segunda</w:t>
      </w:r>
      <w:r>
        <w:rPr>
          <w:spacing w:val="-2"/>
          <w:sz w:val="13"/>
        </w:rPr>
        <w:t xml:space="preserve"> </w:t>
      </w:r>
      <w:r>
        <w:rPr>
          <w:sz w:val="13"/>
        </w:rPr>
        <w:t>parte</w:t>
      </w:r>
      <w:r>
        <w:rPr>
          <w:spacing w:val="-2"/>
          <w:sz w:val="13"/>
        </w:rPr>
        <w:t xml:space="preserve"> </w:t>
      </w:r>
      <w:r>
        <w:rPr>
          <w:sz w:val="13"/>
        </w:rPr>
        <w:t>de</w:t>
      </w:r>
      <w:r>
        <w:rPr>
          <w:spacing w:val="-3"/>
          <w:sz w:val="13"/>
        </w:rPr>
        <w:t xml:space="preserve"> </w:t>
      </w:r>
      <w:r>
        <w:rPr>
          <w:sz w:val="13"/>
        </w:rPr>
        <w:t>la</w:t>
      </w:r>
      <w:r>
        <w:rPr>
          <w:spacing w:val="-2"/>
          <w:sz w:val="13"/>
        </w:rPr>
        <w:t xml:space="preserve"> </w:t>
      </w:r>
      <w:r>
        <w:rPr>
          <w:sz w:val="13"/>
        </w:rPr>
        <w:t>presente</w:t>
      </w:r>
      <w:r>
        <w:rPr>
          <w:spacing w:val="-2"/>
          <w:sz w:val="13"/>
        </w:rPr>
        <w:t xml:space="preserve"> guía.</w:t>
      </w:r>
    </w:p>
    <w:p w14:paraId="0919E4F0" w14:textId="77777777" w:rsidR="0014798C" w:rsidRDefault="0014798C">
      <w:pPr>
        <w:pStyle w:val="Textoindependiente"/>
        <w:rPr>
          <w:sz w:val="19"/>
        </w:rPr>
      </w:pPr>
    </w:p>
    <w:p w14:paraId="417093B8" w14:textId="77777777" w:rsidR="0014798C" w:rsidRDefault="0014798C">
      <w:pPr>
        <w:pStyle w:val="Textoindependiente"/>
        <w:spacing w:before="199"/>
        <w:rPr>
          <w:sz w:val="19"/>
        </w:rPr>
      </w:pPr>
    </w:p>
    <w:p w14:paraId="16DFCD18" w14:textId="77777777" w:rsidR="0014798C" w:rsidRDefault="004E1F0B">
      <w:pPr>
        <w:ind w:left="561"/>
        <w:rPr>
          <w:sz w:val="19"/>
        </w:rPr>
      </w:pPr>
      <w:r>
        <w:rPr>
          <w:spacing w:val="-5"/>
          <w:sz w:val="19"/>
        </w:rPr>
        <w:t>94</w:t>
      </w:r>
    </w:p>
    <w:p w14:paraId="22CBBDA1" w14:textId="77777777" w:rsidR="0014798C" w:rsidRDefault="0014798C">
      <w:pPr>
        <w:rPr>
          <w:sz w:val="19"/>
        </w:rPr>
        <w:sectPr w:rsidR="0014798C" w:rsidSect="00F265E4">
          <w:pgSz w:w="11900" w:h="16820"/>
          <w:pgMar w:top="340" w:right="0" w:bottom="280" w:left="200" w:header="121" w:footer="0" w:gutter="0"/>
          <w:cols w:space="720"/>
        </w:sectPr>
      </w:pPr>
    </w:p>
    <w:p w14:paraId="7D368DE5" w14:textId="77777777" w:rsidR="0014798C" w:rsidRDefault="0014798C">
      <w:pPr>
        <w:pStyle w:val="Textoindependiente"/>
        <w:spacing w:before="51"/>
        <w:rPr>
          <w:sz w:val="14"/>
        </w:rPr>
      </w:pPr>
    </w:p>
    <w:p w14:paraId="30EE842D" w14:textId="77777777" w:rsidR="0014798C" w:rsidRDefault="004E1F0B">
      <w:pPr>
        <w:ind w:left="1111"/>
        <w:rPr>
          <w:sz w:val="14"/>
        </w:rPr>
      </w:pPr>
      <w:r>
        <w:rPr>
          <w:color w:val="00AC59"/>
          <w:sz w:val="14"/>
        </w:rPr>
        <w:t>SEGUNDA</w:t>
      </w:r>
      <w:r>
        <w:rPr>
          <w:color w:val="00AC59"/>
          <w:spacing w:val="-5"/>
          <w:sz w:val="14"/>
        </w:rPr>
        <w:t xml:space="preserve"> </w:t>
      </w:r>
      <w:r>
        <w:rPr>
          <w:color w:val="00AC59"/>
          <w:sz w:val="14"/>
        </w:rPr>
        <w:t>PARTE:</w:t>
      </w:r>
      <w:r>
        <w:rPr>
          <w:color w:val="00AC59"/>
          <w:spacing w:val="-5"/>
          <w:sz w:val="14"/>
        </w:rPr>
        <w:t xml:space="preserve"> </w:t>
      </w:r>
      <w:r>
        <w:rPr>
          <w:color w:val="00AC59"/>
          <w:sz w:val="14"/>
        </w:rPr>
        <w:t>CONTENIDO</w:t>
      </w:r>
      <w:r>
        <w:rPr>
          <w:color w:val="00AC59"/>
          <w:spacing w:val="-4"/>
          <w:sz w:val="14"/>
        </w:rPr>
        <w:t xml:space="preserve"> </w:t>
      </w:r>
      <w:r>
        <w:rPr>
          <w:color w:val="00AC59"/>
          <w:sz w:val="14"/>
        </w:rPr>
        <w:t>DE</w:t>
      </w:r>
      <w:r>
        <w:rPr>
          <w:color w:val="00AC59"/>
          <w:spacing w:val="-5"/>
          <w:sz w:val="14"/>
        </w:rPr>
        <w:t xml:space="preserve"> </w:t>
      </w:r>
      <w:r>
        <w:rPr>
          <w:color w:val="00AC59"/>
          <w:sz w:val="14"/>
        </w:rPr>
        <w:t>LA</w:t>
      </w:r>
      <w:r>
        <w:rPr>
          <w:color w:val="00AC59"/>
          <w:spacing w:val="-4"/>
          <w:sz w:val="14"/>
        </w:rPr>
        <w:t xml:space="preserve"> </w:t>
      </w:r>
      <w:r>
        <w:rPr>
          <w:color w:val="00AC59"/>
          <w:sz w:val="14"/>
        </w:rPr>
        <w:t>LEY</w:t>
      </w:r>
      <w:r>
        <w:rPr>
          <w:color w:val="00AC59"/>
          <w:spacing w:val="-4"/>
          <w:sz w:val="14"/>
        </w:rPr>
        <w:t xml:space="preserve"> </w:t>
      </w:r>
      <w:r>
        <w:rPr>
          <w:color w:val="00AC59"/>
          <w:sz w:val="14"/>
        </w:rPr>
        <w:t>INTEGRAL</w:t>
      </w:r>
      <w:r>
        <w:rPr>
          <w:color w:val="00AC59"/>
          <w:spacing w:val="-5"/>
          <w:sz w:val="14"/>
        </w:rPr>
        <w:t xml:space="preserve"> </w:t>
      </w:r>
      <w:r>
        <w:rPr>
          <w:color w:val="00AC59"/>
          <w:spacing w:val="-2"/>
          <w:sz w:val="14"/>
        </w:rPr>
        <w:t>ANTIDISCRIMINACIÓN</w:t>
      </w:r>
    </w:p>
    <w:p w14:paraId="49518119" w14:textId="77777777" w:rsidR="0014798C" w:rsidRDefault="0014798C">
      <w:pPr>
        <w:pStyle w:val="Textoindependiente"/>
        <w:rPr>
          <w:sz w:val="17"/>
        </w:rPr>
      </w:pPr>
    </w:p>
    <w:p w14:paraId="56D27240" w14:textId="77777777" w:rsidR="0014798C" w:rsidRDefault="0014798C">
      <w:pPr>
        <w:pStyle w:val="Textoindependiente"/>
        <w:rPr>
          <w:sz w:val="17"/>
        </w:rPr>
      </w:pPr>
    </w:p>
    <w:p w14:paraId="6275D6BE" w14:textId="77777777" w:rsidR="0014798C" w:rsidRDefault="0014798C">
      <w:pPr>
        <w:pStyle w:val="Textoindependiente"/>
        <w:rPr>
          <w:sz w:val="17"/>
        </w:rPr>
      </w:pPr>
    </w:p>
    <w:p w14:paraId="5DBC1A87" w14:textId="77777777" w:rsidR="0014798C" w:rsidRDefault="0014798C">
      <w:pPr>
        <w:pStyle w:val="Textoindependiente"/>
        <w:spacing w:before="194"/>
        <w:rPr>
          <w:sz w:val="17"/>
        </w:rPr>
      </w:pPr>
    </w:p>
    <w:p w14:paraId="14528F47" w14:textId="77777777" w:rsidR="0014798C" w:rsidRDefault="004E1F0B">
      <w:pPr>
        <w:ind w:left="1329"/>
        <w:rPr>
          <w:sz w:val="17"/>
        </w:rPr>
      </w:pPr>
      <w:r>
        <w:rPr>
          <w:noProof/>
        </w:rPr>
        <w:drawing>
          <wp:anchor distT="0" distB="0" distL="0" distR="0" simplePos="0" relativeHeight="251658431" behindDoc="1" locked="0" layoutInCell="1" allowOverlap="1" wp14:anchorId="05617059" wp14:editId="061FA7AE">
            <wp:simplePos x="0" y="0"/>
            <wp:positionH relativeFrom="page">
              <wp:posOffset>795184</wp:posOffset>
            </wp:positionH>
            <wp:positionV relativeFrom="paragraph">
              <wp:posOffset>-153788</wp:posOffset>
            </wp:positionV>
            <wp:extent cx="6761315" cy="6331134"/>
            <wp:effectExtent l="0" t="0" r="0" b="0"/>
            <wp:wrapNone/>
            <wp:docPr id="213" name="Image 21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13" name="Image 213"/>
                    <pic:cNvPicPr/>
                  </pic:nvPicPr>
                  <pic:blipFill>
                    <a:blip r:embed="rId192" cstate="print"/>
                    <a:stretch>
                      <a:fillRect/>
                    </a:stretch>
                  </pic:blipFill>
                  <pic:spPr>
                    <a:xfrm>
                      <a:off x="0" y="0"/>
                      <a:ext cx="6761315" cy="6331134"/>
                    </a:xfrm>
                    <a:prstGeom prst="rect">
                      <a:avLst/>
                    </a:prstGeom>
                  </pic:spPr>
                </pic:pic>
              </a:graphicData>
            </a:graphic>
          </wp:anchor>
        </w:drawing>
      </w:r>
      <w:r>
        <w:rPr>
          <w:sz w:val="17"/>
        </w:rPr>
        <w:t>APLICACIÓN</w:t>
      </w:r>
      <w:r>
        <w:rPr>
          <w:spacing w:val="6"/>
          <w:sz w:val="17"/>
        </w:rPr>
        <w:t xml:space="preserve"> </w:t>
      </w:r>
      <w:r>
        <w:rPr>
          <w:sz w:val="17"/>
        </w:rPr>
        <w:t>DEL</w:t>
      </w:r>
      <w:r>
        <w:rPr>
          <w:spacing w:val="6"/>
          <w:sz w:val="17"/>
        </w:rPr>
        <w:t xml:space="preserve"> </w:t>
      </w:r>
      <w:r>
        <w:rPr>
          <w:sz w:val="17"/>
        </w:rPr>
        <w:t>PRINCIPIO</w:t>
      </w:r>
      <w:r>
        <w:rPr>
          <w:spacing w:val="8"/>
          <w:sz w:val="17"/>
        </w:rPr>
        <w:t xml:space="preserve"> </w:t>
      </w:r>
      <w:r>
        <w:rPr>
          <w:sz w:val="17"/>
        </w:rPr>
        <w:t>DE</w:t>
      </w:r>
      <w:r>
        <w:rPr>
          <w:spacing w:val="7"/>
          <w:sz w:val="17"/>
        </w:rPr>
        <w:t xml:space="preserve"> </w:t>
      </w:r>
      <w:r>
        <w:rPr>
          <w:sz w:val="17"/>
        </w:rPr>
        <w:t>INVERSIÓN</w:t>
      </w:r>
      <w:r>
        <w:rPr>
          <w:spacing w:val="7"/>
          <w:sz w:val="17"/>
        </w:rPr>
        <w:t xml:space="preserve"> </w:t>
      </w:r>
      <w:r>
        <w:rPr>
          <w:sz w:val="17"/>
        </w:rPr>
        <w:t>DE</w:t>
      </w:r>
      <w:r>
        <w:rPr>
          <w:spacing w:val="6"/>
          <w:sz w:val="17"/>
        </w:rPr>
        <w:t xml:space="preserve"> </w:t>
      </w:r>
      <w:r>
        <w:rPr>
          <w:sz w:val="17"/>
        </w:rPr>
        <w:t>LA</w:t>
      </w:r>
      <w:r>
        <w:rPr>
          <w:spacing w:val="7"/>
          <w:sz w:val="17"/>
        </w:rPr>
        <w:t xml:space="preserve"> </w:t>
      </w:r>
      <w:r>
        <w:rPr>
          <w:sz w:val="17"/>
        </w:rPr>
        <w:t>CARGA</w:t>
      </w:r>
      <w:r>
        <w:rPr>
          <w:spacing w:val="8"/>
          <w:sz w:val="17"/>
        </w:rPr>
        <w:t xml:space="preserve"> </w:t>
      </w:r>
      <w:r>
        <w:rPr>
          <w:sz w:val="17"/>
        </w:rPr>
        <w:t>DE</w:t>
      </w:r>
      <w:r>
        <w:rPr>
          <w:spacing w:val="6"/>
          <w:sz w:val="17"/>
        </w:rPr>
        <w:t xml:space="preserve"> </w:t>
      </w:r>
      <w:r>
        <w:rPr>
          <w:sz w:val="17"/>
        </w:rPr>
        <w:t>LA</w:t>
      </w:r>
      <w:r>
        <w:rPr>
          <w:spacing w:val="8"/>
          <w:sz w:val="17"/>
        </w:rPr>
        <w:t xml:space="preserve"> </w:t>
      </w:r>
      <w:r>
        <w:rPr>
          <w:sz w:val="17"/>
        </w:rPr>
        <w:t>PRUEBA:</w:t>
      </w:r>
      <w:r>
        <w:rPr>
          <w:spacing w:val="7"/>
          <w:sz w:val="17"/>
        </w:rPr>
        <w:t xml:space="preserve"> </w:t>
      </w:r>
      <w:r>
        <w:rPr>
          <w:sz w:val="17"/>
        </w:rPr>
        <w:t>SACAR</w:t>
      </w:r>
      <w:r>
        <w:rPr>
          <w:spacing w:val="7"/>
          <w:sz w:val="17"/>
        </w:rPr>
        <w:t xml:space="preserve"> </w:t>
      </w:r>
      <w:r>
        <w:rPr>
          <w:sz w:val="17"/>
        </w:rPr>
        <w:t>UNA</w:t>
      </w:r>
      <w:r>
        <w:rPr>
          <w:spacing w:val="7"/>
          <w:sz w:val="17"/>
        </w:rPr>
        <w:t xml:space="preserve"> </w:t>
      </w:r>
      <w:r>
        <w:rPr>
          <w:spacing w:val="-2"/>
          <w:sz w:val="17"/>
        </w:rPr>
        <w:t>INFERENCIA</w:t>
      </w:r>
    </w:p>
    <w:p w14:paraId="3E4F4F4A" w14:textId="77777777" w:rsidR="0014798C" w:rsidRDefault="0014798C">
      <w:pPr>
        <w:pStyle w:val="Textoindependiente"/>
        <w:spacing w:before="12"/>
        <w:rPr>
          <w:sz w:val="17"/>
        </w:rPr>
      </w:pPr>
    </w:p>
    <w:p w14:paraId="03A1A214" w14:textId="77777777" w:rsidR="0014798C" w:rsidRDefault="004E1F0B">
      <w:pPr>
        <w:spacing w:before="1" w:line="307" w:lineRule="auto"/>
        <w:ind w:left="1333" w:right="1553" w:hanging="2"/>
        <w:rPr>
          <w:sz w:val="17"/>
        </w:rPr>
      </w:pPr>
      <w:r>
        <w:rPr>
          <w:sz w:val="17"/>
        </w:rPr>
        <w:t>La determinación de si el demandante ha establecido un caso prima facie requiere que el juez saque conclusiones</w:t>
      </w:r>
      <w:r>
        <w:rPr>
          <w:spacing w:val="80"/>
          <w:sz w:val="17"/>
        </w:rPr>
        <w:t xml:space="preserve"> </w:t>
      </w:r>
      <w:r>
        <w:rPr>
          <w:sz w:val="17"/>
        </w:rPr>
        <w:t>del material presentado. Hacer inferencias es crucial para casi todos los casos de discriminación directa, con la excepción</w:t>
      </w:r>
      <w:r>
        <w:rPr>
          <w:spacing w:val="18"/>
          <w:sz w:val="17"/>
        </w:rPr>
        <w:t xml:space="preserve"> </w:t>
      </w:r>
      <w:r>
        <w:rPr>
          <w:sz w:val="17"/>
        </w:rPr>
        <w:t>de</w:t>
      </w:r>
      <w:r>
        <w:rPr>
          <w:spacing w:val="18"/>
          <w:sz w:val="17"/>
        </w:rPr>
        <w:t xml:space="preserve"> </w:t>
      </w:r>
      <w:r>
        <w:rPr>
          <w:sz w:val="17"/>
        </w:rPr>
        <w:t>aquellos</w:t>
      </w:r>
      <w:r>
        <w:rPr>
          <w:spacing w:val="17"/>
          <w:sz w:val="17"/>
        </w:rPr>
        <w:t xml:space="preserve"> </w:t>
      </w:r>
      <w:r>
        <w:rPr>
          <w:sz w:val="17"/>
        </w:rPr>
        <w:t>raros</w:t>
      </w:r>
      <w:r>
        <w:rPr>
          <w:spacing w:val="17"/>
          <w:sz w:val="17"/>
        </w:rPr>
        <w:t xml:space="preserve"> </w:t>
      </w:r>
      <w:r>
        <w:rPr>
          <w:sz w:val="17"/>
        </w:rPr>
        <w:t>casos</w:t>
      </w:r>
      <w:r>
        <w:rPr>
          <w:spacing w:val="17"/>
          <w:sz w:val="17"/>
        </w:rPr>
        <w:t xml:space="preserve"> </w:t>
      </w:r>
      <w:r>
        <w:rPr>
          <w:sz w:val="17"/>
        </w:rPr>
        <w:t>en</w:t>
      </w:r>
      <w:r>
        <w:rPr>
          <w:spacing w:val="18"/>
          <w:sz w:val="17"/>
        </w:rPr>
        <w:t xml:space="preserve"> </w:t>
      </w:r>
      <w:r>
        <w:rPr>
          <w:sz w:val="17"/>
        </w:rPr>
        <w:t>los</w:t>
      </w:r>
      <w:r>
        <w:rPr>
          <w:spacing w:val="17"/>
          <w:sz w:val="17"/>
        </w:rPr>
        <w:t xml:space="preserve"> </w:t>
      </w:r>
      <w:r>
        <w:rPr>
          <w:sz w:val="17"/>
        </w:rPr>
        <w:t>que</w:t>
      </w:r>
      <w:r>
        <w:rPr>
          <w:spacing w:val="18"/>
          <w:sz w:val="17"/>
        </w:rPr>
        <w:t xml:space="preserve"> </w:t>
      </w:r>
      <w:r>
        <w:rPr>
          <w:sz w:val="17"/>
        </w:rPr>
        <w:t>una</w:t>
      </w:r>
      <w:r>
        <w:rPr>
          <w:spacing w:val="18"/>
          <w:sz w:val="17"/>
        </w:rPr>
        <w:t xml:space="preserve"> </w:t>
      </w:r>
      <w:r>
        <w:rPr>
          <w:sz w:val="17"/>
        </w:rPr>
        <w:t>parte</w:t>
      </w:r>
      <w:r>
        <w:rPr>
          <w:spacing w:val="17"/>
          <w:sz w:val="17"/>
        </w:rPr>
        <w:t xml:space="preserve"> </w:t>
      </w:r>
      <w:r>
        <w:rPr>
          <w:sz w:val="17"/>
        </w:rPr>
        <w:t>discriminante</w:t>
      </w:r>
      <w:r>
        <w:rPr>
          <w:spacing w:val="17"/>
          <w:sz w:val="17"/>
        </w:rPr>
        <w:t xml:space="preserve"> </w:t>
      </w:r>
      <w:r>
        <w:rPr>
          <w:sz w:val="17"/>
        </w:rPr>
        <w:t>declara</w:t>
      </w:r>
      <w:r>
        <w:rPr>
          <w:spacing w:val="18"/>
          <w:sz w:val="17"/>
        </w:rPr>
        <w:t xml:space="preserve"> </w:t>
      </w:r>
      <w:r>
        <w:rPr>
          <w:sz w:val="17"/>
        </w:rPr>
        <w:t>explícitamente</w:t>
      </w:r>
      <w:r>
        <w:rPr>
          <w:spacing w:val="17"/>
          <w:sz w:val="17"/>
        </w:rPr>
        <w:t xml:space="preserve"> </w:t>
      </w:r>
      <w:r>
        <w:rPr>
          <w:sz w:val="17"/>
        </w:rPr>
        <w:t>que</w:t>
      </w:r>
      <w:r>
        <w:rPr>
          <w:spacing w:val="18"/>
          <w:sz w:val="17"/>
        </w:rPr>
        <w:t xml:space="preserve"> </w:t>
      </w:r>
      <w:r>
        <w:rPr>
          <w:sz w:val="17"/>
        </w:rPr>
        <w:t>su</w:t>
      </w:r>
      <w:r>
        <w:rPr>
          <w:spacing w:val="18"/>
          <w:sz w:val="17"/>
        </w:rPr>
        <w:t xml:space="preserve"> </w:t>
      </w:r>
      <w:r>
        <w:rPr>
          <w:sz w:val="17"/>
        </w:rPr>
        <w:t>decisión</w:t>
      </w:r>
      <w:r>
        <w:rPr>
          <w:spacing w:val="18"/>
          <w:sz w:val="17"/>
        </w:rPr>
        <w:t xml:space="preserve"> </w:t>
      </w:r>
      <w:r>
        <w:rPr>
          <w:sz w:val="17"/>
        </w:rPr>
        <w:t>se basa en la característica protegida de una persona. En una sentencia notable dictada en el Reino Unido, la Cámara</w:t>
      </w:r>
      <w:r>
        <w:rPr>
          <w:spacing w:val="40"/>
          <w:sz w:val="17"/>
        </w:rPr>
        <w:t xml:space="preserve"> </w:t>
      </w:r>
      <w:r>
        <w:rPr>
          <w:sz w:val="17"/>
        </w:rPr>
        <w:t xml:space="preserve">de los Lores dictaminó que: </w:t>
      </w:r>
      <w:proofErr w:type="gramStart"/>
      <w:r>
        <w:rPr>
          <w:sz w:val="17"/>
        </w:rPr>
        <w:t>“ Rara</w:t>
      </w:r>
      <w:proofErr w:type="gramEnd"/>
      <w:r>
        <w:rPr>
          <w:sz w:val="17"/>
        </w:rPr>
        <w:t xml:space="preserve"> vez se presentarán pruebas directas de una decisión de discriminar por motivos [protegidos</w:t>
      </w:r>
      <w:proofErr w:type="gramStart"/>
      <w:r>
        <w:rPr>
          <w:sz w:val="17"/>
        </w:rPr>
        <w:t>] .</w:t>
      </w:r>
      <w:proofErr w:type="gramEnd"/>
      <w:r>
        <w:rPr>
          <w:sz w:val="17"/>
        </w:rPr>
        <w:t xml:space="preserve"> Por lo general, los fundamentos de la decisión tendrán que deducirse o inferirse de las circunstancias circundantes.”691 La Cámara de los Lores restableció el fallo de un tribunal laboral según el cual a un solicitante</w:t>
      </w:r>
    </w:p>
    <w:p w14:paraId="6AD384B9" w14:textId="77777777" w:rsidR="0014798C" w:rsidRDefault="004E1F0B">
      <w:pPr>
        <w:spacing w:line="307" w:lineRule="auto"/>
        <w:ind w:left="1333" w:right="1635" w:firstLine="4"/>
        <w:rPr>
          <w:sz w:val="17"/>
        </w:rPr>
      </w:pPr>
      <w:r>
        <w:rPr>
          <w:noProof/>
        </w:rPr>
        <mc:AlternateContent>
          <mc:Choice Requires="wps">
            <w:drawing>
              <wp:anchor distT="0" distB="0" distL="0" distR="0" simplePos="0" relativeHeight="251658287" behindDoc="0" locked="0" layoutInCell="1" allowOverlap="1" wp14:anchorId="07706B2C" wp14:editId="7ECC29DB">
                <wp:simplePos x="0" y="0"/>
                <wp:positionH relativeFrom="page">
                  <wp:posOffset>7311076</wp:posOffset>
                </wp:positionH>
                <wp:positionV relativeFrom="paragraph">
                  <wp:posOffset>341557</wp:posOffset>
                </wp:positionV>
                <wp:extent cx="86360" cy="293370"/>
                <wp:effectExtent l="0" t="0" r="0" b="0"/>
                <wp:wrapNone/>
                <wp:docPr id="214" name="Textbox 2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86360" cy="293370"/>
                        </a:xfrm>
                        <a:prstGeom prst="rect">
                          <a:avLst/>
                        </a:prstGeom>
                      </wps:spPr>
                      <wps:txbx>
                        <w:txbxContent>
                          <w:p w14:paraId="6BD56671" w14:textId="77777777" w:rsidR="0014798C" w:rsidRDefault="004E1F0B">
                            <w:pPr>
                              <w:spacing w:before="22"/>
                              <w:ind w:left="20"/>
                              <w:rPr>
                                <w:sz w:val="8"/>
                              </w:rPr>
                            </w:pPr>
                            <w:r>
                              <w:rPr>
                                <w:color w:val="FFFFFF"/>
                                <w:spacing w:val="-25"/>
                                <w:w w:val="105"/>
                                <w:sz w:val="8"/>
                              </w:rPr>
                              <w:t>–IP</w:t>
                            </w:r>
                            <w:r>
                              <w:rPr>
                                <w:spacing w:val="-25"/>
                                <w:w w:val="105"/>
                                <w:sz w:val="8"/>
                              </w:rPr>
                              <w:t>S</w:t>
                            </w:r>
                            <w:r>
                              <w:rPr>
                                <w:color w:val="FFFFFF"/>
                                <w:spacing w:val="-25"/>
                                <w:w w:val="105"/>
                                <w:sz w:val="8"/>
                              </w:rPr>
                              <w:t>IIA</w:t>
                            </w:r>
                            <w:r>
                              <w:rPr>
                                <w:spacing w:val="-25"/>
                                <w:w w:val="105"/>
                                <w:sz w:val="8"/>
                              </w:rPr>
                              <w:t>E</w:t>
                            </w:r>
                            <w:r>
                              <w:rPr>
                                <w:color w:val="FFFFFF"/>
                                <w:spacing w:val="-25"/>
                                <w:w w:val="105"/>
                                <w:sz w:val="8"/>
                              </w:rPr>
                              <w:t>R</w:t>
                            </w:r>
                            <w:r>
                              <w:rPr>
                                <w:spacing w:val="-25"/>
                                <w:w w:val="105"/>
                                <w:sz w:val="8"/>
                              </w:rPr>
                              <w:t>G</w:t>
                            </w:r>
                            <w:r>
                              <w:rPr>
                                <w:color w:val="FFFFFF"/>
                                <w:spacing w:val="-25"/>
                                <w:w w:val="105"/>
                                <w:sz w:val="8"/>
                              </w:rPr>
                              <w:t>T</w:t>
                            </w:r>
                            <w:r>
                              <w:rPr>
                                <w:spacing w:val="-25"/>
                                <w:w w:val="105"/>
                                <w:sz w:val="8"/>
                              </w:rPr>
                              <w:t>U</w:t>
                            </w:r>
                            <w:r>
                              <w:rPr>
                                <w:color w:val="FFFFFF"/>
                                <w:spacing w:val="-25"/>
                                <w:w w:val="105"/>
                                <w:sz w:val="8"/>
                              </w:rPr>
                              <w:t>E</w:t>
                            </w:r>
                            <w:r>
                              <w:rPr>
                                <w:spacing w:val="-25"/>
                                <w:w w:val="105"/>
                                <w:sz w:val="8"/>
                              </w:rPr>
                              <w:t>NDA</w:t>
                            </w:r>
                          </w:p>
                        </w:txbxContent>
                      </wps:txbx>
                      <wps:bodyPr vert="vert270" wrap="square" lIns="0" tIns="0" rIns="0" bIns="0" rtlCol="0">
                        <a:noAutofit/>
                      </wps:bodyPr>
                    </wps:wsp>
                  </a:graphicData>
                </a:graphic>
              </wp:anchor>
            </w:drawing>
          </mc:Choice>
          <mc:Fallback>
            <w:pict>
              <v:shape w14:anchorId="07706B2C" id="Textbox 214" o:spid="_x0000_s1111" type="#_x0000_t202" style="position:absolute;left:0;text-align:left;margin-left:575.7pt;margin-top:26.9pt;width:6.8pt;height:23.1pt;z-index:251658287;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" filled="f" stroked="f">
                <v:textbox style="layout-flow:vertical;mso-layout-flow-alt:bottom-to-top" inset="0,0,0,0">
                  <w:txbxContent>
                    <w:p w14:paraId="6BD56671" w14:textId="77777777" w:rsidR="0014798C" w:rsidRDefault="004E1F0B">
                      <w:pPr>
                        <w:spacing w:before="22"/>
                        <w:ind w:left="20"/>
                        <w:rPr>
                          <w:sz w:val="8"/>
                        </w:rPr>
                      </w:pPr>
                      <w:r>
                        <w:rPr>
                          <w:color w:val="FFFFFF"/>
                          <w:spacing w:val="-25"/>
                          <w:w w:val="105"/>
                          <w:sz w:val="8"/>
                        </w:rPr>
                        <w:t>–IP</w:t>
                      </w:r>
                      <w:r>
                        <w:rPr>
                          <w:spacing w:val="-25"/>
                          <w:w w:val="105"/>
                          <w:sz w:val="8"/>
                        </w:rPr>
                        <w:t>S</w:t>
                      </w:r>
                      <w:r>
                        <w:rPr>
                          <w:color w:val="FFFFFF"/>
                          <w:spacing w:val="-25"/>
                          <w:w w:val="105"/>
                          <w:sz w:val="8"/>
                        </w:rPr>
                        <w:t>IIA</w:t>
                      </w:r>
                      <w:r>
                        <w:rPr>
                          <w:spacing w:val="-25"/>
                          <w:w w:val="105"/>
                          <w:sz w:val="8"/>
                        </w:rPr>
                        <w:t>E</w:t>
                      </w:r>
                      <w:r>
                        <w:rPr>
                          <w:color w:val="FFFFFF"/>
                          <w:spacing w:val="-25"/>
                          <w:w w:val="105"/>
                          <w:sz w:val="8"/>
                        </w:rPr>
                        <w:t>R</w:t>
                      </w:r>
                      <w:r>
                        <w:rPr>
                          <w:spacing w:val="-25"/>
                          <w:w w:val="105"/>
                          <w:sz w:val="8"/>
                        </w:rPr>
                        <w:t>G</w:t>
                      </w:r>
                      <w:r>
                        <w:rPr>
                          <w:color w:val="FFFFFF"/>
                          <w:spacing w:val="-25"/>
                          <w:w w:val="105"/>
                          <w:sz w:val="8"/>
                        </w:rPr>
                        <w:t>T</w:t>
                      </w:r>
                      <w:r>
                        <w:rPr>
                          <w:spacing w:val="-25"/>
                          <w:w w:val="105"/>
                          <w:sz w:val="8"/>
                        </w:rPr>
                        <w:t>U</w:t>
                      </w:r>
                      <w:r>
                        <w:rPr>
                          <w:color w:val="FFFFFF"/>
                          <w:spacing w:val="-25"/>
                          <w:w w:val="105"/>
                          <w:sz w:val="8"/>
                        </w:rPr>
                        <w:t>E</w:t>
                      </w:r>
                      <w:r>
                        <w:rPr>
                          <w:spacing w:val="-25"/>
                          <w:w w:val="105"/>
                          <w:sz w:val="8"/>
                        </w:rPr>
                        <w:t>NDA</w:t>
                      </w:r>
                    </w:p>
                  </w:txbxContent>
                </v:textbox>
                <w10:wrap anchorx="page"/>
              </v:shape>
            </w:pict>
          </mc:Fallback>
        </mc:AlternateContent>
      </w:r>
      <w:r>
        <w:rPr>
          <w:sz w:val="17"/>
        </w:rPr>
        <w:t>se le había negado el nombramiento para un puesto de trabajo porque había presentado una serie de denuncias anteriores</w:t>
      </w:r>
      <w:r>
        <w:rPr>
          <w:spacing w:val="19"/>
          <w:sz w:val="17"/>
        </w:rPr>
        <w:t xml:space="preserve"> </w:t>
      </w:r>
      <w:r>
        <w:rPr>
          <w:sz w:val="17"/>
        </w:rPr>
        <w:t>de</w:t>
      </w:r>
      <w:r>
        <w:rPr>
          <w:spacing w:val="21"/>
          <w:sz w:val="17"/>
        </w:rPr>
        <w:t xml:space="preserve"> </w:t>
      </w:r>
      <w:r>
        <w:rPr>
          <w:sz w:val="17"/>
        </w:rPr>
        <w:t>discriminación</w:t>
      </w:r>
      <w:r>
        <w:rPr>
          <w:spacing w:val="21"/>
          <w:sz w:val="17"/>
        </w:rPr>
        <w:t xml:space="preserve"> </w:t>
      </w:r>
      <w:r>
        <w:rPr>
          <w:sz w:val="17"/>
        </w:rPr>
        <w:t>racial</w:t>
      </w:r>
      <w:r>
        <w:rPr>
          <w:spacing w:val="21"/>
          <w:sz w:val="17"/>
        </w:rPr>
        <w:t xml:space="preserve"> </w:t>
      </w:r>
      <w:r>
        <w:rPr>
          <w:sz w:val="17"/>
        </w:rPr>
        <w:t>contra</w:t>
      </w:r>
      <w:r>
        <w:rPr>
          <w:spacing w:val="19"/>
          <w:sz w:val="17"/>
        </w:rPr>
        <w:t xml:space="preserve"> </w:t>
      </w:r>
      <w:r>
        <w:rPr>
          <w:sz w:val="17"/>
        </w:rPr>
        <w:t>el</w:t>
      </w:r>
      <w:r>
        <w:rPr>
          <w:spacing w:val="21"/>
          <w:sz w:val="17"/>
        </w:rPr>
        <w:t xml:space="preserve"> </w:t>
      </w:r>
      <w:r>
        <w:rPr>
          <w:sz w:val="17"/>
        </w:rPr>
        <w:t>empleador,</w:t>
      </w:r>
      <w:r>
        <w:rPr>
          <w:spacing w:val="21"/>
          <w:sz w:val="17"/>
        </w:rPr>
        <w:t xml:space="preserve"> </w:t>
      </w:r>
      <w:r>
        <w:rPr>
          <w:sz w:val="17"/>
        </w:rPr>
        <w:t>sacando</w:t>
      </w:r>
      <w:r>
        <w:rPr>
          <w:spacing w:val="21"/>
          <w:sz w:val="17"/>
        </w:rPr>
        <w:t xml:space="preserve"> </w:t>
      </w:r>
      <w:r>
        <w:rPr>
          <w:sz w:val="17"/>
        </w:rPr>
        <w:t>conclusiones</w:t>
      </w:r>
      <w:r>
        <w:rPr>
          <w:spacing w:val="19"/>
          <w:sz w:val="17"/>
        </w:rPr>
        <w:t xml:space="preserve"> </w:t>
      </w:r>
      <w:r>
        <w:rPr>
          <w:sz w:val="17"/>
        </w:rPr>
        <w:t>del</w:t>
      </w:r>
      <w:r>
        <w:rPr>
          <w:spacing w:val="21"/>
          <w:sz w:val="17"/>
        </w:rPr>
        <w:t xml:space="preserve"> </w:t>
      </w:r>
      <w:r>
        <w:rPr>
          <w:sz w:val="17"/>
        </w:rPr>
        <w:t>hecho</w:t>
      </w:r>
      <w:r>
        <w:rPr>
          <w:spacing w:val="21"/>
          <w:sz w:val="17"/>
        </w:rPr>
        <w:t xml:space="preserve"> </w:t>
      </w:r>
      <w:r>
        <w:rPr>
          <w:sz w:val="17"/>
        </w:rPr>
        <w:t>de</w:t>
      </w:r>
      <w:r>
        <w:rPr>
          <w:spacing w:val="21"/>
          <w:sz w:val="17"/>
        </w:rPr>
        <w:t xml:space="preserve"> </w:t>
      </w:r>
      <w:r>
        <w:rPr>
          <w:sz w:val="17"/>
        </w:rPr>
        <w:t>que</w:t>
      </w:r>
      <w:r>
        <w:rPr>
          <w:spacing w:val="21"/>
          <w:sz w:val="17"/>
        </w:rPr>
        <w:t xml:space="preserve"> </w:t>
      </w:r>
      <w:r>
        <w:rPr>
          <w:sz w:val="17"/>
        </w:rPr>
        <w:t>el</w:t>
      </w:r>
      <w:r>
        <w:rPr>
          <w:spacing w:val="21"/>
          <w:sz w:val="17"/>
        </w:rPr>
        <w:t xml:space="preserve"> </w:t>
      </w:r>
      <w:r>
        <w:rPr>
          <w:sz w:val="17"/>
        </w:rPr>
        <w:t>solicitante había recibido una puntuación “claramente ridícula e irrealmente baja” por la elocución en su entrevista. Las inferencias de discriminación también son relevantes al abordar formas de discriminación estructural para las</w:t>
      </w:r>
      <w:r>
        <w:rPr>
          <w:spacing w:val="80"/>
          <w:sz w:val="17"/>
        </w:rPr>
        <w:t xml:space="preserve"> </w:t>
      </w:r>
      <w:r>
        <w:rPr>
          <w:sz w:val="17"/>
        </w:rPr>
        <w:t>cuales el acceso a las pruebas puede ser limitado692 y, de hecho, el Tribunal Europeo de Derechos Humanos se</w:t>
      </w:r>
      <w:r>
        <w:rPr>
          <w:spacing w:val="40"/>
          <w:sz w:val="17"/>
        </w:rPr>
        <w:t xml:space="preserve"> </w:t>
      </w:r>
      <w:r>
        <w:rPr>
          <w:sz w:val="17"/>
        </w:rPr>
        <w:t>ha</w:t>
      </w:r>
      <w:r>
        <w:rPr>
          <w:spacing w:val="17"/>
          <w:sz w:val="17"/>
        </w:rPr>
        <w:t xml:space="preserve"> </w:t>
      </w:r>
      <w:r>
        <w:rPr>
          <w:sz w:val="17"/>
        </w:rPr>
        <w:t>basado</w:t>
      </w:r>
      <w:r>
        <w:rPr>
          <w:spacing w:val="17"/>
          <w:sz w:val="17"/>
        </w:rPr>
        <w:t xml:space="preserve"> </w:t>
      </w:r>
      <w:r>
        <w:rPr>
          <w:sz w:val="17"/>
        </w:rPr>
        <w:t>en</w:t>
      </w:r>
      <w:r>
        <w:rPr>
          <w:spacing w:val="17"/>
          <w:sz w:val="17"/>
        </w:rPr>
        <w:t xml:space="preserve"> </w:t>
      </w:r>
      <w:r>
        <w:rPr>
          <w:sz w:val="17"/>
        </w:rPr>
        <w:t>inferencias</w:t>
      </w:r>
      <w:r>
        <w:rPr>
          <w:spacing w:val="16"/>
          <w:sz w:val="17"/>
        </w:rPr>
        <w:t xml:space="preserve"> </w:t>
      </w:r>
      <w:r>
        <w:rPr>
          <w:sz w:val="17"/>
        </w:rPr>
        <w:t>en</w:t>
      </w:r>
      <w:r>
        <w:rPr>
          <w:spacing w:val="17"/>
          <w:sz w:val="17"/>
        </w:rPr>
        <w:t xml:space="preserve"> </w:t>
      </w:r>
      <w:r>
        <w:rPr>
          <w:sz w:val="17"/>
        </w:rPr>
        <w:t>una</w:t>
      </w:r>
      <w:r>
        <w:rPr>
          <w:spacing w:val="17"/>
          <w:sz w:val="17"/>
        </w:rPr>
        <w:t xml:space="preserve"> </w:t>
      </w:r>
      <w:r>
        <w:rPr>
          <w:sz w:val="17"/>
        </w:rPr>
        <w:t>variedad</w:t>
      </w:r>
      <w:r>
        <w:rPr>
          <w:spacing w:val="17"/>
          <w:sz w:val="17"/>
        </w:rPr>
        <w:t xml:space="preserve"> </w:t>
      </w:r>
      <w:r>
        <w:rPr>
          <w:sz w:val="17"/>
        </w:rPr>
        <w:t>de</w:t>
      </w:r>
      <w:r>
        <w:rPr>
          <w:spacing w:val="17"/>
          <w:sz w:val="17"/>
        </w:rPr>
        <w:t xml:space="preserve"> </w:t>
      </w:r>
      <w:r>
        <w:rPr>
          <w:sz w:val="17"/>
        </w:rPr>
        <w:t>casos</w:t>
      </w:r>
      <w:r>
        <w:rPr>
          <w:spacing w:val="16"/>
          <w:sz w:val="17"/>
        </w:rPr>
        <w:t xml:space="preserve"> </w:t>
      </w:r>
      <w:r>
        <w:rPr>
          <w:sz w:val="17"/>
        </w:rPr>
        <w:t>en</w:t>
      </w:r>
      <w:r>
        <w:rPr>
          <w:spacing w:val="17"/>
          <w:sz w:val="17"/>
        </w:rPr>
        <w:t xml:space="preserve"> </w:t>
      </w:r>
      <w:r>
        <w:rPr>
          <w:sz w:val="17"/>
        </w:rPr>
        <w:t>los</w:t>
      </w:r>
      <w:r>
        <w:rPr>
          <w:spacing w:val="16"/>
          <w:sz w:val="17"/>
        </w:rPr>
        <w:t xml:space="preserve"> </w:t>
      </w:r>
      <w:r>
        <w:rPr>
          <w:sz w:val="17"/>
        </w:rPr>
        <w:t>que</w:t>
      </w:r>
      <w:r>
        <w:rPr>
          <w:spacing w:val="17"/>
          <w:sz w:val="17"/>
        </w:rPr>
        <w:t xml:space="preserve"> </w:t>
      </w:r>
      <w:r>
        <w:rPr>
          <w:sz w:val="17"/>
        </w:rPr>
        <w:t>la</w:t>
      </w:r>
      <w:r>
        <w:rPr>
          <w:spacing w:val="17"/>
          <w:sz w:val="17"/>
        </w:rPr>
        <w:t xml:space="preserve"> </w:t>
      </w:r>
      <w:r>
        <w:rPr>
          <w:sz w:val="17"/>
        </w:rPr>
        <w:t>recopilación</w:t>
      </w:r>
      <w:r>
        <w:rPr>
          <w:spacing w:val="17"/>
          <w:sz w:val="17"/>
        </w:rPr>
        <w:t xml:space="preserve"> </w:t>
      </w:r>
      <w:r>
        <w:rPr>
          <w:sz w:val="17"/>
        </w:rPr>
        <w:t>de</w:t>
      </w:r>
      <w:r>
        <w:rPr>
          <w:spacing w:val="17"/>
          <w:sz w:val="17"/>
        </w:rPr>
        <w:t xml:space="preserve"> </w:t>
      </w:r>
      <w:r>
        <w:rPr>
          <w:sz w:val="17"/>
        </w:rPr>
        <w:t>pruebas</w:t>
      </w:r>
      <w:r>
        <w:rPr>
          <w:spacing w:val="16"/>
          <w:sz w:val="17"/>
        </w:rPr>
        <w:t xml:space="preserve"> </w:t>
      </w:r>
      <w:r>
        <w:rPr>
          <w:sz w:val="17"/>
        </w:rPr>
        <w:t>plantearía</w:t>
      </w:r>
      <w:r>
        <w:rPr>
          <w:spacing w:val="16"/>
          <w:sz w:val="17"/>
        </w:rPr>
        <w:t xml:space="preserve"> </w:t>
      </w:r>
      <w:r>
        <w:rPr>
          <w:sz w:val="17"/>
        </w:rPr>
        <w:t>desafíos</w:t>
      </w:r>
      <w:r>
        <w:rPr>
          <w:spacing w:val="16"/>
          <w:sz w:val="17"/>
        </w:rPr>
        <w:t xml:space="preserve"> </w:t>
      </w:r>
      <w:r>
        <w:rPr>
          <w:sz w:val="17"/>
        </w:rPr>
        <w:t>a los solicitantes. .693 El Comité para la Eliminación de la Discriminación Racial ha determinado que los Estados</w:t>
      </w:r>
    </w:p>
    <w:p w14:paraId="4F979488" w14:textId="77777777" w:rsidR="0014798C" w:rsidRDefault="004E1F0B">
      <w:pPr>
        <w:spacing w:line="307" w:lineRule="auto"/>
        <w:ind w:left="1334" w:right="1463" w:hanging="2"/>
        <w:rPr>
          <w:sz w:val="17"/>
        </w:rPr>
      </w:pPr>
      <w:r>
        <w:rPr>
          <w:sz w:val="17"/>
        </w:rPr>
        <w:t>partes violan el derecho a un recurso efectivo por discriminación en situaciones en las que los tribunales nacionales</w:t>
      </w:r>
      <w:r>
        <w:rPr>
          <w:spacing w:val="40"/>
          <w:sz w:val="17"/>
        </w:rPr>
        <w:t xml:space="preserve"> </w:t>
      </w:r>
      <w:r>
        <w:rPr>
          <w:sz w:val="17"/>
        </w:rPr>
        <w:t>no extrajeron conclusiones adecuadas del material presentado por personas que alegaban discriminación.694</w:t>
      </w:r>
    </w:p>
    <w:p w14:paraId="052A11D5" w14:textId="77777777" w:rsidR="0014798C" w:rsidRDefault="0014798C">
      <w:pPr>
        <w:pStyle w:val="Textoindependiente"/>
        <w:rPr>
          <w:sz w:val="17"/>
        </w:rPr>
      </w:pPr>
    </w:p>
    <w:p w14:paraId="39FAC57D" w14:textId="77777777" w:rsidR="0014798C" w:rsidRDefault="0014798C">
      <w:pPr>
        <w:pStyle w:val="Textoindependiente"/>
        <w:spacing w:before="54"/>
        <w:rPr>
          <w:sz w:val="17"/>
        </w:rPr>
      </w:pPr>
    </w:p>
    <w:p w14:paraId="64770D39" w14:textId="77777777" w:rsidR="0014798C" w:rsidRDefault="004E1F0B">
      <w:pPr>
        <w:spacing w:line="307" w:lineRule="auto"/>
        <w:ind w:left="1107" w:right="1335"/>
        <w:rPr>
          <w:sz w:val="17"/>
        </w:rPr>
      </w:pPr>
      <w:r>
        <w:rPr>
          <w:sz w:val="17"/>
        </w:rPr>
        <w:t>En</w:t>
      </w:r>
      <w:r>
        <w:rPr>
          <w:spacing w:val="18"/>
          <w:sz w:val="17"/>
        </w:rPr>
        <w:t xml:space="preserve"> </w:t>
      </w:r>
      <w:r>
        <w:rPr>
          <w:sz w:val="17"/>
        </w:rPr>
        <w:t>algunos</w:t>
      </w:r>
      <w:r>
        <w:rPr>
          <w:spacing w:val="18"/>
          <w:sz w:val="17"/>
        </w:rPr>
        <w:t xml:space="preserve"> </w:t>
      </w:r>
      <w:r>
        <w:rPr>
          <w:sz w:val="17"/>
        </w:rPr>
        <w:t>países,</w:t>
      </w:r>
      <w:r>
        <w:rPr>
          <w:spacing w:val="19"/>
          <w:sz w:val="17"/>
        </w:rPr>
        <w:t xml:space="preserve"> </w:t>
      </w:r>
      <w:r>
        <w:rPr>
          <w:sz w:val="17"/>
        </w:rPr>
        <w:t>las</w:t>
      </w:r>
      <w:r>
        <w:rPr>
          <w:spacing w:val="18"/>
          <w:sz w:val="17"/>
        </w:rPr>
        <w:t xml:space="preserve"> </w:t>
      </w:r>
      <w:r>
        <w:rPr>
          <w:sz w:val="17"/>
        </w:rPr>
        <w:t>disposiciones</w:t>
      </w:r>
      <w:r>
        <w:rPr>
          <w:spacing w:val="18"/>
          <w:sz w:val="17"/>
        </w:rPr>
        <w:t xml:space="preserve"> </w:t>
      </w:r>
      <w:r>
        <w:rPr>
          <w:sz w:val="17"/>
        </w:rPr>
        <w:t>específicas</w:t>
      </w:r>
      <w:r>
        <w:rPr>
          <w:spacing w:val="18"/>
          <w:sz w:val="17"/>
        </w:rPr>
        <w:t xml:space="preserve"> </w:t>
      </w:r>
      <w:r>
        <w:rPr>
          <w:sz w:val="17"/>
        </w:rPr>
        <w:t>sobre</w:t>
      </w:r>
      <w:r>
        <w:rPr>
          <w:spacing w:val="19"/>
          <w:sz w:val="17"/>
        </w:rPr>
        <w:t xml:space="preserve"> </w:t>
      </w:r>
      <w:r>
        <w:rPr>
          <w:sz w:val="17"/>
        </w:rPr>
        <w:t>la</w:t>
      </w:r>
      <w:r>
        <w:rPr>
          <w:spacing w:val="19"/>
          <w:sz w:val="17"/>
        </w:rPr>
        <w:t xml:space="preserve"> </w:t>
      </w:r>
      <w:r>
        <w:rPr>
          <w:sz w:val="17"/>
        </w:rPr>
        <w:t>carga</w:t>
      </w:r>
      <w:r>
        <w:rPr>
          <w:spacing w:val="19"/>
          <w:sz w:val="17"/>
        </w:rPr>
        <w:t xml:space="preserve"> </w:t>
      </w:r>
      <w:r>
        <w:rPr>
          <w:sz w:val="17"/>
        </w:rPr>
        <w:t>de</w:t>
      </w:r>
      <w:r>
        <w:rPr>
          <w:spacing w:val="19"/>
          <w:sz w:val="17"/>
        </w:rPr>
        <w:t xml:space="preserve"> </w:t>
      </w:r>
      <w:r>
        <w:rPr>
          <w:sz w:val="17"/>
        </w:rPr>
        <w:t>la</w:t>
      </w:r>
      <w:r>
        <w:rPr>
          <w:spacing w:val="19"/>
          <w:sz w:val="17"/>
        </w:rPr>
        <w:t xml:space="preserve"> </w:t>
      </w:r>
      <w:r>
        <w:rPr>
          <w:sz w:val="17"/>
        </w:rPr>
        <w:t>prueba</w:t>
      </w:r>
      <w:r>
        <w:rPr>
          <w:spacing w:val="19"/>
          <w:sz w:val="17"/>
        </w:rPr>
        <w:t xml:space="preserve"> </w:t>
      </w:r>
      <w:r>
        <w:rPr>
          <w:sz w:val="17"/>
        </w:rPr>
        <w:t>se</w:t>
      </w:r>
      <w:r>
        <w:rPr>
          <w:spacing w:val="19"/>
          <w:sz w:val="17"/>
        </w:rPr>
        <w:t xml:space="preserve"> </w:t>
      </w:r>
      <w:r>
        <w:rPr>
          <w:sz w:val="17"/>
        </w:rPr>
        <w:t>establecen</w:t>
      </w:r>
      <w:r>
        <w:rPr>
          <w:spacing w:val="18"/>
          <w:sz w:val="17"/>
        </w:rPr>
        <w:t xml:space="preserve"> </w:t>
      </w:r>
      <w:r>
        <w:rPr>
          <w:sz w:val="17"/>
        </w:rPr>
        <w:t>en</w:t>
      </w:r>
      <w:r>
        <w:rPr>
          <w:spacing w:val="19"/>
          <w:sz w:val="17"/>
        </w:rPr>
        <w:t xml:space="preserve"> </w:t>
      </w:r>
      <w:r>
        <w:rPr>
          <w:sz w:val="17"/>
        </w:rPr>
        <w:t>leyes</w:t>
      </w:r>
      <w:r>
        <w:rPr>
          <w:spacing w:val="18"/>
          <w:sz w:val="17"/>
        </w:rPr>
        <w:t xml:space="preserve"> </w:t>
      </w:r>
      <w:r>
        <w:rPr>
          <w:sz w:val="17"/>
        </w:rPr>
        <w:t>integrales</w:t>
      </w:r>
      <w:r>
        <w:rPr>
          <w:spacing w:val="18"/>
          <w:sz w:val="17"/>
        </w:rPr>
        <w:t xml:space="preserve"> </w:t>
      </w:r>
      <w:r>
        <w:rPr>
          <w:sz w:val="17"/>
        </w:rPr>
        <w:t>contra la</w:t>
      </w:r>
      <w:r>
        <w:rPr>
          <w:spacing w:val="17"/>
          <w:sz w:val="17"/>
        </w:rPr>
        <w:t xml:space="preserve"> </w:t>
      </w:r>
      <w:r>
        <w:rPr>
          <w:sz w:val="17"/>
        </w:rPr>
        <w:t>discriminación,</w:t>
      </w:r>
      <w:r>
        <w:rPr>
          <w:spacing w:val="19"/>
          <w:sz w:val="17"/>
        </w:rPr>
        <w:t xml:space="preserve"> </w:t>
      </w:r>
      <w:r>
        <w:rPr>
          <w:sz w:val="17"/>
        </w:rPr>
        <w:t>mientras</w:t>
      </w:r>
      <w:r>
        <w:rPr>
          <w:spacing w:val="17"/>
          <w:sz w:val="17"/>
        </w:rPr>
        <w:t xml:space="preserve"> </w:t>
      </w:r>
      <w:r>
        <w:rPr>
          <w:sz w:val="17"/>
        </w:rPr>
        <w:t>que</w:t>
      </w:r>
      <w:r>
        <w:rPr>
          <w:spacing w:val="18"/>
          <w:sz w:val="17"/>
        </w:rPr>
        <w:t xml:space="preserve"> </w:t>
      </w:r>
      <w:r>
        <w:rPr>
          <w:sz w:val="17"/>
        </w:rPr>
        <w:t>en</w:t>
      </w:r>
      <w:r>
        <w:rPr>
          <w:spacing w:val="18"/>
          <w:sz w:val="17"/>
        </w:rPr>
        <w:t xml:space="preserve"> </w:t>
      </w:r>
      <w:r>
        <w:rPr>
          <w:sz w:val="17"/>
        </w:rPr>
        <w:t>otros,</w:t>
      </w:r>
      <w:r>
        <w:rPr>
          <w:spacing w:val="18"/>
          <w:sz w:val="17"/>
        </w:rPr>
        <w:t xml:space="preserve"> </w:t>
      </w:r>
      <w:r>
        <w:rPr>
          <w:sz w:val="17"/>
        </w:rPr>
        <w:t>estas</w:t>
      </w:r>
      <w:r>
        <w:rPr>
          <w:spacing w:val="17"/>
          <w:sz w:val="17"/>
        </w:rPr>
        <w:t xml:space="preserve"> </w:t>
      </w:r>
      <w:r>
        <w:rPr>
          <w:sz w:val="17"/>
        </w:rPr>
        <w:t>reglas</w:t>
      </w:r>
      <w:r>
        <w:rPr>
          <w:spacing w:val="17"/>
          <w:sz w:val="17"/>
        </w:rPr>
        <w:t xml:space="preserve"> </w:t>
      </w:r>
      <w:r>
        <w:rPr>
          <w:sz w:val="17"/>
        </w:rPr>
        <w:t>se</w:t>
      </w:r>
      <w:r>
        <w:rPr>
          <w:spacing w:val="18"/>
          <w:sz w:val="17"/>
        </w:rPr>
        <w:t xml:space="preserve"> </w:t>
      </w:r>
      <w:r>
        <w:rPr>
          <w:sz w:val="17"/>
        </w:rPr>
        <w:t>definen</w:t>
      </w:r>
      <w:r>
        <w:rPr>
          <w:spacing w:val="17"/>
          <w:sz w:val="17"/>
        </w:rPr>
        <w:t xml:space="preserve"> </w:t>
      </w:r>
      <w:r>
        <w:rPr>
          <w:sz w:val="17"/>
        </w:rPr>
        <w:t>en</w:t>
      </w:r>
      <w:r>
        <w:rPr>
          <w:spacing w:val="18"/>
          <w:sz w:val="17"/>
        </w:rPr>
        <w:t xml:space="preserve"> </w:t>
      </w:r>
      <w:r>
        <w:rPr>
          <w:sz w:val="17"/>
        </w:rPr>
        <w:t>otra</w:t>
      </w:r>
      <w:r>
        <w:rPr>
          <w:spacing w:val="17"/>
          <w:sz w:val="17"/>
        </w:rPr>
        <w:t xml:space="preserve"> </w:t>
      </w:r>
      <w:r>
        <w:rPr>
          <w:sz w:val="17"/>
        </w:rPr>
        <w:t>legislación.</w:t>
      </w:r>
      <w:r>
        <w:rPr>
          <w:spacing w:val="19"/>
          <w:sz w:val="17"/>
        </w:rPr>
        <w:t xml:space="preserve"> </w:t>
      </w:r>
      <w:r>
        <w:rPr>
          <w:sz w:val="17"/>
        </w:rPr>
        <w:t>En</w:t>
      </w:r>
      <w:r>
        <w:rPr>
          <w:spacing w:val="17"/>
          <w:sz w:val="17"/>
        </w:rPr>
        <w:t xml:space="preserve"> </w:t>
      </w:r>
      <w:r>
        <w:rPr>
          <w:sz w:val="17"/>
        </w:rPr>
        <w:t>algunos</w:t>
      </w:r>
      <w:r>
        <w:rPr>
          <w:spacing w:val="17"/>
          <w:sz w:val="17"/>
        </w:rPr>
        <w:t xml:space="preserve"> </w:t>
      </w:r>
      <w:r>
        <w:rPr>
          <w:sz w:val="17"/>
        </w:rPr>
        <w:t>Estados</w:t>
      </w:r>
      <w:r>
        <w:rPr>
          <w:spacing w:val="17"/>
          <w:sz w:val="17"/>
        </w:rPr>
        <w:t xml:space="preserve"> </w:t>
      </w:r>
      <w:r>
        <w:rPr>
          <w:sz w:val="17"/>
        </w:rPr>
        <w:t>se</w:t>
      </w:r>
      <w:r>
        <w:rPr>
          <w:spacing w:val="18"/>
          <w:sz w:val="17"/>
        </w:rPr>
        <w:t xml:space="preserve"> </w:t>
      </w:r>
      <w:r>
        <w:rPr>
          <w:sz w:val="17"/>
        </w:rPr>
        <w:t>han adoptado</w:t>
      </w:r>
      <w:r>
        <w:rPr>
          <w:spacing w:val="19"/>
          <w:sz w:val="17"/>
        </w:rPr>
        <w:t xml:space="preserve"> </w:t>
      </w:r>
      <w:r>
        <w:rPr>
          <w:sz w:val="17"/>
        </w:rPr>
        <w:t>normas</w:t>
      </w:r>
      <w:r>
        <w:rPr>
          <w:spacing w:val="19"/>
          <w:sz w:val="17"/>
        </w:rPr>
        <w:t xml:space="preserve"> </w:t>
      </w:r>
      <w:r>
        <w:rPr>
          <w:sz w:val="17"/>
        </w:rPr>
        <w:t>que</w:t>
      </w:r>
      <w:r>
        <w:rPr>
          <w:spacing w:val="20"/>
          <w:sz w:val="17"/>
        </w:rPr>
        <w:t xml:space="preserve"> </w:t>
      </w:r>
      <w:r>
        <w:rPr>
          <w:sz w:val="17"/>
        </w:rPr>
        <w:t>regulan</w:t>
      </w:r>
      <w:r>
        <w:rPr>
          <w:spacing w:val="20"/>
          <w:sz w:val="17"/>
        </w:rPr>
        <w:t xml:space="preserve"> </w:t>
      </w:r>
      <w:r>
        <w:rPr>
          <w:sz w:val="17"/>
        </w:rPr>
        <w:t>las</w:t>
      </w:r>
      <w:r>
        <w:rPr>
          <w:spacing w:val="19"/>
          <w:sz w:val="17"/>
        </w:rPr>
        <w:t xml:space="preserve"> </w:t>
      </w:r>
      <w:r>
        <w:rPr>
          <w:sz w:val="17"/>
        </w:rPr>
        <w:t>formas</w:t>
      </w:r>
      <w:r>
        <w:rPr>
          <w:spacing w:val="19"/>
          <w:sz w:val="17"/>
        </w:rPr>
        <w:t xml:space="preserve"> </w:t>
      </w:r>
      <w:r>
        <w:rPr>
          <w:sz w:val="17"/>
        </w:rPr>
        <w:t>de</w:t>
      </w:r>
      <w:r>
        <w:rPr>
          <w:spacing w:val="20"/>
          <w:sz w:val="17"/>
        </w:rPr>
        <w:t xml:space="preserve"> </w:t>
      </w:r>
      <w:r>
        <w:rPr>
          <w:sz w:val="17"/>
        </w:rPr>
        <w:t>prueba</w:t>
      </w:r>
      <w:r>
        <w:rPr>
          <w:spacing w:val="20"/>
          <w:sz w:val="17"/>
        </w:rPr>
        <w:t xml:space="preserve"> </w:t>
      </w:r>
      <w:r>
        <w:rPr>
          <w:sz w:val="17"/>
        </w:rPr>
        <w:t>permitidas</w:t>
      </w:r>
      <w:r>
        <w:rPr>
          <w:spacing w:val="19"/>
          <w:sz w:val="17"/>
        </w:rPr>
        <w:t xml:space="preserve"> </w:t>
      </w:r>
      <w:r>
        <w:rPr>
          <w:sz w:val="17"/>
        </w:rPr>
        <w:t>en</w:t>
      </w:r>
      <w:r>
        <w:rPr>
          <w:spacing w:val="20"/>
          <w:sz w:val="17"/>
        </w:rPr>
        <w:t xml:space="preserve"> </w:t>
      </w:r>
      <w:r>
        <w:rPr>
          <w:sz w:val="17"/>
        </w:rPr>
        <w:t>casos</w:t>
      </w:r>
      <w:r>
        <w:rPr>
          <w:spacing w:val="19"/>
          <w:sz w:val="17"/>
        </w:rPr>
        <w:t xml:space="preserve"> </w:t>
      </w:r>
      <w:r>
        <w:rPr>
          <w:sz w:val="17"/>
        </w:rPr>
        <w:t>de</w:t>
      </w:r>
      <w:r>
        <w:rPr>
          <w:spacing w:val="20"/>
          <w:sz w:val="17"/>
        </w:rPr>
        <w:t xml:space="preserve"> </w:t>
      </w:r>
      <w:r>
        <w:rPr>
          <w:sz w:val="17"/>
        </w:rPr>
        <w:t>discriminación.</w:t>
      </w:r>
      <w:r>
        <w:rPr>
          <w:spacing w:val="22"/>
          <w:sz w:val="17"/>
        </w:rPr>
        <w:t xml:space="preserve"> </w:t>
      </w:r>
      <w:r>
        <w:rPr>
          <w:sz w:val="17"/>
        </w:rPr>
        <w:t>En</w:t>
      </w:r>
      <w:r>
        <w:rPr>
          <w:spacing w:val="19"/>
          <w:sz w:val="17"/>
        </w:rPr>
        <w:t xml:space="preserve"> </w:t>
      </w:r>
      <w:r>
        <w:rPr>
          <w:sz w:val="17"/>
        </w:rPr>
        <w:t>otros,</w:t>
      </w:r>
      <w:r>
        <w:rPr>
          <w:spacing w:val="20"/>
          <w:sz w:val="17"/>
        </w:rPr>
        <w:t xml:space="preserve"> </w:t>
      </w:r>
      <w:r>
        <w:rPr>
          <w:sz w:val="17"/>
        </w:rPr>
        <w:t>los</w:t>
      </w:r>
      <w:r>
        <w:rPr>
          <w:spacing w:val="19"/>
          <w:sz w:val="17"/>
        </w:rPr>
        <w:t xml:space="preserve"> </w:t>
      </w:r>
      <w:r>
        <w:rPr>
          <w:sz w:val="17"/>
        </w:rPr>
        <w:t>documentos de orientación extrajudicial sobre pruebas y pruebas ayudan a los tribunales en la aplicación del marco legal de discriminación procesal. Cada uno de estos enfoques cumplirá con las obligaciones de los Estados, siempre que las normas que regulan el cambio de la carga de la prueba estén claramente establecidas, sean bien comprendidas por los profesionales del derecho y accesibles al público.</w:t>
      </w:r>
    </w:p>
    <w:p w14:paraId="4643221E" w14:textId="77777777" w:rsidR="0014798C" w:rsidRDefault="004E1F0B">
      <w:pPr>
        <w:numPr>
          <w:ilvl w:val="0"/>
          <w:numId w:val="44"/>
        </w:numPr>
        <w:tabs>
          <w:tab w:val="left" w:pos="1377"/>
        </w:tabs>
        <w:spacing w:before="214"/>
        <w:ind w:left="1377" w:hanging="262"/>
        <w:rPr>
          <w:color w:val="00AC59"/>
          <w:sz w:val="23"/>
        </w:rPr>
      </w:pPr>
      <w:r>
        <w:rPr>
          <w:color w:val="00AC59"/>
          <w:w w:val="105"/>
          <w:sz w:val="23"/>
        </w:rPr>
        <w:t>Excepciones</w:t>
      </w:r>
      <w:r>
        <w:rPr>
          <w:color w:val="00AC59"/>
          <w:spacing w:val="-14"/>
          <w:w w:val="105"/>
          <w:sz w:val="23"/>
        </w:rPr>
        <w:t xml:space="preserve"> </w:t>
      </w:r>
      <w:r>
        <w:rPr>
          <w:color w:val="00AC59"/>
          <w:w w:val="105"/>
          <w:sz w:val="23"/>
        </w:rPr>
        <w:t>a</w:t>
      </w:r>
      <w:r>
        <w:rPr>
          <w:color w:val="00AC59"/>
          <w:spacing w:val="-13"/>
          <w:w w:val="105"/>
          <w:sz w:val="23"/>
        </w:rPr>
        <w:t xml:space="preserve"> </w:t>
      </w:r>
      <w:r>
        <w:rPr>
          <w:color w:val="00AC59"/>
          <w:w w:val="105"/>
          <w:sz w:val="23"/>
        </w:rPr>
        <w:t>la</w:t>
      </w:r>
      <w:r>
        <w:rPr>
          <w:color w:val="00AC59"/>
          <w:spacing w:val="-13"/>
          <w:w w:val="105"/>
          <w:sz w:val="23"/>
        </w:rPr>
        <w:t xml:space="preserve"> </w:t>
      </w:r>
      <w:r>
        <w:rPr>
          <w:color w:val="00AC59"/>
          <w:spacing w:val="-4"/>
          <w:w w:val="105"/>
          <w:sz w:val="23"/>
        </w:rPr>
        <w:t>regla</w:t>
      </w:r>
    </w:p>
    <w:p w14:paraId="1880ADA5" w14:textId="77777777" w:rsidR="0014798C" w:rsidRDefault="0014798C">
      <w:pPr>
        <w:pStyle w:val="Textoindependiente"/>
        <w:spacing w:before="75"/>
        <w:rPr>
          <w:sz w:val="17"/>
        </w:rPr>
      </w:pPr>
    </w:p>
    <w:p w14:paraId="1B925721" w14:textId="77777777" w:rsidR="0014798C" w:rsidRDefault="004E1F0B">
      <w:pPr>
        <w:spacing w:line="307" w:lineRule="auto"/>
        <w:ind w:left="1107" w:right="1302" w:hanging="1"/>
        <w:rPr>
          <w:sz w:val="17"/>
        </w:rPr>
      </w:pPr>
      <w:r>
        <w:rPr>
          <w:sz w:val="17"/>
        </w:rPr>
        <w:t>La</w:t>
      </w:r>
      <w:r>
        <w:rPr>
          <w:spacing w:val="14"/>
          <w:sz w:val="17"/>
        </w:rPr>
        <w:t xml:space="preserve"> </w:t>
      </w:r>
      <w:r>
        <w:rPr>
          <w:sz w:val="17"/>
        </w:rPr>
        <w:t>presunción</w:t>
      </w:r>
      <w:r>
        <w:rPr>
          <w:spacing w:val="14"/>
          <w:sz w:val="17"/>
        </w:rPr>
        <w:t xml:space="preserve"> </w:t>
      </w:r>
      <w:r>
        <w:rPr>
          <w:sz w:val="17"/>
        </w:rPr>
        <w:t>de</w:t>
      </w:r>
      <w:r>
        <w:rPr>
          <w:spacing w:val="14"/>
          <w:sz w:val="17"/>
        </w:rPr>
        <w:t xml:space="preserve"> </w:t>
      </w:r>
      <w:r>
        <w:rPr>
          <w:sz w:val="17"/>
        </w:rPr>
        <w:t>inocencia</w:t>
      </w:r>
      <w:r>
        <w:rPr>
          <w:spacing w:val="14"/>
          <w:sz w:val="17"/>
        </w:rPr>
        <w:t xml:space="preserve"> </w:t>
      </w:r>
      <w:r>
        <w:rPr>
          <w:sz w:val="17"/>
        </w:rPr>
        <w:t>en</w:t>
      </w:r>
      <w:r>
        <w:rPr>
          <w:spacing w:val="14"/>
          <w:sz w:val="17"/>
        </w:rPr>
        <w:t xml:space="preserve"> </w:t>
      </w:r>
      <w:r>
        <w:rPr>
          <w:sz w:val="17"/>
        </w:rPr>
        <w:t>el</w:t>
      </w:r>
      <w:r>
        <w:rPr>
          <w:spacing w:val="14"/>
          <w:sz w:val="17"/>
        </w:rPr>
        <w:t xml:space="preserve"> </w:t>
      </w:r>
      <w:r>
        <w:rPr>
          <w:sz w:val="17"/>
        </w:rPr>
        <w:t>derecho</w:t>
      </w:r>
      <w:r>
        <w:rPr>
          <w:spacing w:val="14"/>
          <w:sz w:val="17"/>
        </w:rPr>
        <w:t xml:space="preserve"> </w:t>
      </w:r>
      <w:r>
        <w:rPr>
          <w:sz w:val="17"/>
        </w:rPr>
        <w:t>penal</w:t>
      </w:r>
      <w:r>
        <w:rPr>
          <w:spacing w:val="14"/>
          <w:sz w:val="17"/>
        </w:rPr>
        <w:t xml:space="preserve"> </w:t>
      </w:r>
      <w:r>
        <w:rPr>
          <w:sz w:val="17"/>
        </w:rPr>
        <w:t>es</w:t>
      </w:r>
      <w:r>
        <w:rPr>
          <w:spacing w:val="14"/>
          <w:sz w:val="17"/>
        </w:rPr>
        <w:t xml:space="preserve"> </w:t>
      </w:r>
      <w:r>
        <w:rPr>
          <w:sz w:val="17"/>
        </w:rPr>
        <w:t>un</w:t>
      </w:r>
      <w:r>
        <w:rPr>
          <w:spacing w:val="14"/>
          <w:sz w:val="17"/>
        </w:rPr>
        <w:t xml:space="preserve"> </w:t>
      </w:r>
      <w:r>
        <w:rPr>
          <w:sz w:val="17"/>
        </w:rPr>
        <w:t>principio</w:t>
      </w:r>
      <w:r>
        <w:rPr>
          <w:spacing w:val="14"/>
          <w:sz w:val="17"/>
        </w:rPr>
        <w:t xml:space="preserve"> </w:t>
      </w:r>
      <w:r>
        <w:rPr>
          <w:sz w:val="17"/>
        </w:rPr>
        <w:t>importante</w:t>
      </w:r>
      <w:r>
        <w:rPr>
          <w:spacing w:val="12"/>
          <w:sz w:val="17"/>
        </w:rPr>
        <w:t xml:space="preserve"> </w:t>
      </w:r>
      <w:r>
        <w:rPr>
          <w:sz w:val="17"/>
        </w:rPr>
        <w:t>y</w:t>
      </w:r>
      <w:r>
        <w:rPr>
          <w:spacing w:val="14"/>
          <w:sz w:val="17"/>
        </w:rPr>
        <w:t xml:space="preserve"> </w:t>
      </w:r>
      <w:r>
        <w:rPr>
          <w:sz w:val="17"/>
        </w:rPr>
        <w:t>bien</w:t>
      </w:r>
      <w:r>
        <w:rPr>
          <w:spacing w:val="14"/>
          <w:sz w:val="17"/>
        </w:rPr>
        <w:t xml:space="preserve"> </w:t>
      </w:r>
      <w:r>
        <w:rPr>
          <w:sz w:val="17"/>
        </w:rPr>
        <w:t>establecido</w:t>
      </w:r>
      <w:r>
        <w:rPr>
          <w:spacing w:val="12"/>
          <w:sz w:val="17"/>
        </w:rPr>
        <w:t xml:space="preserve"> </w:t>
      </w:r>
      <w:r>
        <w:rPr>
          <w:sz w:val="17"/>
        </w:rPr>
        <w:t>que</w:t>
      </w:r>
      <w:r>
        <w:rPr>
          <w:spacing w:val="14"/>
          <w:sz w:val="17"/>
        </w:rPr>
        <w:t xml:space="preserve"> </w:t>
      </w:r>
      <w:r>
        <w:rPr>
          <w:sz w:val="17"/>
        </w:rPr>
        <w:t>no</w:t>
      </w:r>
      <w:r>
        <w:rPr>
          <w:spacing w:val="14"/>
          <w:sz w:val="17"/>
        </w:rPr>
        <w:t xml:space="preserve"> </w:t>
      </w:r>
      <w:r>
        <w:rPr>
          <w:sz w:val="17"/>
        </w:rPr>
        <w:t>es</w:t>
      </w:r>
      <w:r>
        <w:rPr>
          <w:spacing w:val="14"/>
          <w:sz w:val="17"/>
        </w:rPr>
        <w:t xml:space="preserve"> </w:t>
      </w:r>
      <w:r>
        <w:rPr>
          <w:sz w:val="17"/>
        </w:rPr>
        <w:t>compatible</w:t>
      </w:r>
      <w:r>
        <w:rPr>
          <w:spacing w:val="12"/>
          <w:sz w:val="17"/>
        </w:rPr>
        <w:t xml:space="preserve"> </w:t>
      </w:r>
      <w:r>
        <w:rPr>
          <w:sz w:val="17"/>
        </w:rPr>
        <w:t>con un cambio en la carga de la prueba (véase la sección II.A de la segunda parte de la presente guía).695 Además, la transferencia</w:t>
      </w:r>
      <w:r>
        <w:rPr>
          <w:spacing w:val="12"/>
          <w:sz w:val="17"/>
        </w:rPr>
        <w:t xml:space="preserve"> </w:t>
      </w:r>
      <w:r>
        <w:rPr>
          <w:sz w:val="17"/>
        </w:rPr>
        <w:t>de</w:t>
      </w:r>
      <w:r>
        <w:rPr>
          <w:spacing w:val="13"/>
          <w:sz w:val="17"/>
        </w:rPr>
        <w:t xml:space="preserve"> </w:t>
      </w:r>
      <w:r>
        <w:rPr>
          <w:sz w:val="17"/>
        </w:rPr>
        <w:t>la</w:t>
      </w:r>
      <w:r>
        <w:rPr>
          <w:spacing w:val="12"/>
          <w:sz w:val="17"/>
        </w:rPr>
        <w:t xml:space="preserve"> </w:t>
      </w:r>
      <w:proofErr w:type="spellStart"/>
      <w:r>
        <w:rPr>
          <w:sz w:val="17"/>
        </w:rPr>
        <w:t>la</w:t>
      </w:r>
      <w:proofErr w:type="spellEnd"/>
      <w:r>
        <w:rPr>
          <w:spacing w:val="12"/>
          <w:sz w:val="17"/>
        </w:rPr>
        <w:t xml:space="preserve"> </w:t>
      </w:r>
      <w:r>
        <w:rPr>
          <w:sz w:val="17"/>
        </w:rPr>
        <w:t>carga</w:t>
      </w:r>
      <w:r>
        <w:rPr>
          <w:spacing w:val="13"/>
          <w:sz w:val="17"/>
        </w:rPr>
        <w:t xml:space="preserve"> </w:t>
      </w:r>
      <w:r>
        <w:rPr>
          <w:sz w:val="17"/>
        </w:rPr>
        <w:t>de</w:t>
      </w:r>
      <w:r>
        <w:rPr>
          <w:spacing w:val="13"/>
          <w:sz w:val="17"/>
        </w:rPr>
        <w:t xml:space="preserve"> </w:t>
      </w:r>
      <w:r>
        <w:rPr>
          <w:sz w:val="17"/>
        </w:rPr>
        <w:t>la</w:t>
      </w:r>
      <w:r>
        <w:rPr>
          <w:spacing w:val="12"/>
          <w:sz w:val="17"/>
        </w:rPr>
        <w:t xml:space="preserve"> </w:t>
      </w:r>
      <w:r>
        <w:rPr>
          <w:sz w:val="17"/>
        </w:rPr>
        <w:t>prueba</w:t>
      </w:r>
      <w:r>
        <w:rPr>
          <w:spacing w:val="13"/>
          <w:sz w:val="17"/>
        </w:rPr>
        <w:t xml:space="preserve"> </w:t>
      </w:r>
      <w:r>
        <w:rPr>
          <w:sz w:val="17"/>
        </w:rPr>
        <w:t>puede</w:t>
      </w:r>
      <w:r>
        <w:rPr>
          <w:spacing w:val="13"/>
          <w:sz w:val="17"/>
        </w:rPr>
        <w:t xml:space="preserve"> </w:t>
      </w:r>
      <w:r>
        <w:rPr>
          <w:sz w:val="17"/>
        </w:rPr>
        <w:t>no</w:t>
      </w:r>
      <w:r>
        <w:rPr>
          <w:spacing w:val="13"/>
          <w:sz w:val="17"/>
        </w:rPr>
        <w:t xml:space="preserve"> </w:t>
      </w:r>
      <w:r>
        <w:rPr>
          <w:sz w:val="17"/>
        </w:rPr>
        <w:t>ser</w:t>
      </w:r>
      <w:r>
        <w:rPr>
          <w:spacing w:val="13"/>
          <w:sz w:val="17"/>
        </w:rPr>
        <w:t xml:space="preserve"> </w:t>
      </w:r>
      <w:r>
        <w:rPr>
          <w:sz w:val="17"/>
        </w:rPr>
        <w:t>apropiada</w:t>
      </w:r>
      <w:r>
        <w:rPr>
          <w:spacing w:val="13"/>
          <w:sz w:val="17"/>
        </w:rPr>
        <w:t xml:space="preserve"> </w:t>
      </w:r>
      <w:r>
        <w:rPr>
          <w:sz w:val="17"/>
        </w:rPr>
        <w:t>en</w:t>
      </w:r>
      <w:r>
        <w:rPr>
          <w:spacing w:val="13"/>
          <w:sz w:val="17"/>
        </w:rPr>
        <w:t xml:space="preserve"> </w:t>
      </w:r>
      <w:r>
        <w:rPr>
          <w:sz w:val="17"/>
        </w:rPr>
        <w:t>los</w:t>
      </w:r>
      <w:r>
        <w:rPr>
          <w:spacing w:val="12"/>
          <w:sz w:val="17"/>
        </w:rPr>
        <w:t xml:space="preserve"> </w:t>
      </w:r>
      <w:r>
        <w:rPr>
          <w:sz w:val="17"/>
        </w:rPr>
        <w:t>sistemas</w:t>
      </w:r>
      <w:r>
        <w:rPr>
          <w:spacing w:val="12"/>
          <w:sz w:val="17"/>
        </w:rPr>
        <w:t xml:space="preserve"> </w:t>
      </w:r>
      <w:r>
        <w:rPr>
          <w:sz w:val="17"/>
        </w:rPr>
        <w:t>inquisitoriales,</w:t>
      </w:r>
      <w:r>
        <w:rPr>
          <w:spacing w:val="14"/>
          <w:sz w:val="17"/>
        </w:rPr>
        <w:t xml:space="preserve"> </w:t>
      </w:r>
      <w:r>
        <w:rPr>
          <w:sz w:val="17"/>
        </w:rPr>
        <w:t>en</w:t>
      </w:r>
      <w:r>
        <w:rPr>
          <w:spacing w:val="13"/>
          <w:sz w:val="17"/>
        </w:rPr>
        <w:t xml:space="preserve"> </w:t>
      </w:r>
      <w:r>
        <w:rPr>
          <w:sz w:val="17"/>
        </w:rPr>
        <w:t>los</w:t>
      </w:r>
      <w:r>
        <w:rPr>
          <w:spacing w:val="12"/>
          <w:sz w:val="17"/>
        </w:rPr>
        <w:t xml:space="preserve"> </w:t>
      </w:r>
      <w:r>
        <w:rPr>
          <w:sz w:val="17"/>
        </w:rPr>
        <w:t>que</w:t>
      </w:r>
      <w:r>
        <w:rPr>
          <w:spacing w:val="13"/>
          <w:sz w:val="17"/>
        </w:rPr>
        <w:t xml:space="preserve"> </w:t>
      </w:r>
      <w:r>
        <w:rPr>
          <w:sz w:val="17"/>
        </w:rPr>
        <w:t>el</w:t>
      </w:r>
      <w:r>
        <w:rPr>
          <w:spacing w:val="13"/>
          <w:sz w:val="17"/>
        </w:rPr>
        <w:t xml:space="preserve"> </w:t>
      </w:r>
      <w:r>
        <w:rPr>
          <w:sz w:val="17"/>
        </w:rPr>
        <w:t>tribunal</w:t>
      </w:r>
      <w:r>
        <w:rPr>
          <w:spacing w:val="12"/>
          <w:sz w:val="17"/>
        </w:rPr>
        <w:t xml:space="preserve"> </w:t>
      </w:r>
      <w:r>
        <w:rPr>
          <w:sz w:val="17"/>
        </w:rPr>
        <w:t>o el</w:t>
      </w:r>
      <w:r>
        <w:rPr>
          <w:spacing w:val="17"/>
          <w:sz w:val="17"/>
        </w:rPr>
        <w:t xml:space="preserve"> </w:t>
      </w:r>
      <w:r>
        <w:rPr>
          <w:sz w:val="17"/>
        </w:rPr>
        <w:t>fiscal</w:t>
      </w:r>
      <w:r>
        <w:rPr>
          <w:spacing w:val="15"/>
          <w:sz w:val="17"/>
        </w:rPr>
        <w:t xml:space="preserve"> </w:t>
      </w:r>
      <w:r>
        <w:rPr>
          <w:sz w:val="17"/>
        </w:rPr>
        <w:t>es</w:t>
      </w:r>
      <w:r>
        <w:rPr>
          <w:spacing w:val="17"/>
          <w:sz w:val="17"/>
        </w:rPr>
        <w:t xml:space="preserve"> </w:t>
      </w:r>
      <w:r>
        <w:rPr>
          <w:sz w:val="17"/>
        </w:rPr>
        <w:t>responsable</w:t>
      </w:r>
      <w:r>
        <w:rPr>
          <w:spacing w:val="17"/>
          <w:sz w:val="17"/>
        </w:rPr>
        <w:t xml:space="preserve"> </w:t>
      </w:r>
      <w:r>
        <w:rPr>
          <w:sz w:val="17"/>
        </w:rPr>
        <w:t>de</w:t>
      </w:r>
      <w:r>
        <w:rPr>
          <w:spacing w:val="17"/>
          <w:sz w:val="17"/>
        </w:rPr>
        <w:t xml:space="preserve"> </w:t>
      </w:r>
      <w:r>
        <w:rPr>
          <w:sz w:val="17"/>
        </w:rPr>
        <w:t>investigar</w:t>
      </w:r>
      <w:r>
        <w:rPr>
          <w:spacing w:val="15"/>
          <w:sz w:val="17"/>
        </w:rPr>
        <w:t xml:space="preserve"> </w:t>
      </w:r>
      <w:r>
        <w:rPr>
          <w:sz w:val="17"/>
        </w:rPr>
        <w:t>los</w:t>
      </w:r>
      <w:r>
        <w:rPr>
          <w:spacing w:val="15"/>
          <w:sz w:val="17"/>
        </w:rPr>
        <w:t xml:space="preserve"> </w:t>
      </w:r>
      <w:r>
        <w:rPr>
          <w:sz w:val="17"/>
        </w:rPr>
        <w:t>hechos</w:t>
      </w:r>
      <w:r>
        <w:rPr>
          <w:spacing w:val="15"/>
          <w:sz w:val="17"/>
        </w:rPr>
        <w:t xml:space="preserve"> </w:t>
      </w:r>
      <w:r>
        <w:rPr>
          <w:sz w:val="17"/>
        </w:rPr>
        <w:t>del</w:t>
      </w:r>
      <w:r>
        <w:rPr>
          <w:spacing w:val="17"/>
          <w:sz w:val="17"/>
        </w:rPr>
        <w:t xml:space="preserve"> </w:t>
      </w:r>
      <w:r>
        <w:rPr>
          <w:sz w:val="17"/>
        </w:rPr>
        <w:t>caso.696</w:t>
      </w:r>
      <w:r>
        <w:rPr>
          <w:spacing w:val="15"/>
          <w:sz w:val="17"/>
        </w:rPr>
        <w:t xml:space="preserve"> </w:t>
      </w:r>
      <w:r>
        <w:rPr>
          <w:sz w:val="17"/>
        </w:rPr>
        <w:t>En</w:t>
      </w:r>
      <w:r>
        <w:rPr>
          <w:spacing w:val="15"/>
          <w:sz w:val="17"/>
        </w:rPr>
        <w:t xml:space="preserve"> </w:t>
      </w:r>
      <w:r>
        <w:rPr>
          <w:sz w:val="17"/>
        </w:rPr>
        <w:t>tales</w:t>
      </w:r>
      <w:r>
        <w:rPr>
          <w:spacing w:val="15"/>
          <w:sz w:val="17"/>
        </w:rPr>
        <w:t xml:space="preserve"> </w:t>
      </w:r>
      <w:r>
        <w:rPr>
          <w:sz w:val="17"/>
        </w:rPr>
        <w:t>sistemas,</w:t>
      </w:r>
      <w:r>
        <w:rPr>
          <w:spacing w:val="17"/>
          <w:sz w:val="17"/>
        </w:rPr>
        <w:t xml:space="preserve"> </w:t>
      </w:r>
      <w:r>
        <w:rPr>
          <w:sz w:val="17"/>
        </w:rPr>
        <w:t>es,</w:t>
      </w:r>
      <w:r>
        <w:rPr>
          <w:spacing w:val="17"/>
          <w:sz w:val="17"/>
        </w:rPr>
        <w:t xml:space="preserve"> </w:t>
      </w:r>
      <w:r>
        <w:rPr>
          <w:sz w:val="17"/>
        </w:rPr>
        <w:t>sin</w:t>
      </w:r>
      <w:r>
        <w:rPr>
          <w:spacing w:val="17"/>
          <w:sz w:val="17"/>
        </w:rPr>
        <w:t xml:space="preserve"> </w:t>
      </w:r>
      <w:r>
        <w:rPr>
          <w:sz w:val="17"/>
        </w:rPr>
        <w:t>embargo,</w:t>
      </w:r>
      <w:r>
        <w:rPr>
          <w:spacing w:val="17"/>
          <w:sz w:val="17"/>
        </w:rPr>
        <w:t xml:space="preserve"> </w:t>
      </w:r>
      <w:r>
        <w:rPr>
          <w:sz w:val="17"/>
        </w:rPr>
        <w:t>esencial</w:t>
      </w:r>
      <w:r>
        <w:rPr>
          <w:spacing w:val="17"/>
          <w:sz w:val="17"/>
        </w:rPr>
        <w:t xml:space="preserve"> </w:t>
      </w:r>
      <w:r>
        <w:rPr>
          <w:sz w:val="17"/>
        </w:rPr>
        <w:t>que</w:t>
      </w:r>
      <w:r>
        <w:rPr>
          <w:spacing w:val="17"/>
          <w:sz w:val="17"/>
        </w:rPr>
        <w:t xml:space="preserve"> </w:t>
      </w:r>
      <w:r>
        <w:rPr>
          <w:sz w:val="17"/>
        </w:rPr>
        <w:t>el derecho a la no discriminación siga siendo realizable –un hecho subrayado por los tribunales nacionales en los sistemas</w:t>
      </w:r>
      <w:r>
        <w:rPr>
          <w:spacing w:val="40"/>
          <w:sz w:val="17"/>
        </w:rPr>
        <w:t xml:space="preserve"> </w:t>
      </w:r>
      <w:r>
        <w:rPr>
          <w:sz w:val="17"/>
        </w:rPr>
        <w:t>de derecho civil, que han reconocido las dificultades inherentes a la prueba en los casos de discriminación.</w:t>
      </w:r>
    </w:p>
    <w:p w14:paraId="58254BB4" w14:textId="77777777" w:rsidR="0014798C" w:rsidRDefault="0014798C">
      <w:pPr>
        <w:pStyle w:val="Textoindependiente"/>
        <w:rPr>
          <w:sz w:val="12"/>
        </w:rPr>
      </w:pPr>
    </w:p>
    <w:p w14:paraId="29D61381" w14:textId="77777777" w:rsidR="0014798C" w:rsidRDefault="0014798C">
      <w:pPr>
        <w:pStyle w:val="Textoindependiente"/>
        <w:rPr>
          <w:sz w:val="12"/>
        </w:rPr>
      </w:pPr>
    </w:p>
    <w:p w14:paraId="14B710E9" w14:textId="77777777" w:rsidR="0014798C" w:rsidRDefault="0014798C">
      <w:pPr>
        <w:pStyle w:val="Textoindependiente"/>
        <w:rPr>
          <w:sz w:val="12"/>
        </w:rPr>
      </w:pPr>
    </w:p>
    <w:p w14:paraId="4E107457" w14:textId="77777777" w:rsidR="0014798C" w:rsidRDefault="0014798C">
      <w:pPr>
        <w:pStyle w:val="Textoindependiente"/>
        <w:rPr>
          <w:sz w:val="12"/>
        </w:rPr>
      </w:pPr>
    </w:p>
    <w:p w14:paraId="684C0233" w14:textId="77777777" w:rsidR="0014798C" w:rsidRDefault="0014798C">
      <w:pPr>
        <w:pStyle w:val="Textoindependiente"/>
        <w:rPr>
          <w:sz w:val="12"/>
        </w:rPr>
      </w:pPr>
    </w:p>
    <w:p w14:paraId="46FD3B23" w14:textId="77777777" w:rsidR="0014798C" w:rsidRDefault="0014798C">
      <w:pPr>
        <w:pStyle w:val="Textoindependiente"/>
        <w:rPr>
          <w:sz w:val="12"/>
        </w:rPr>
      </w:pPr>
    </w:p>
    <w:p w14:paraId="7BD29B08" w14:textId="77777777" w:rsidR="0014798C" w:rsidRDefault="0014798C">
      <w:pPr>
        <w:pStyle w:val="Textoindependiente"/>
        <w:spacing w:before="68"/>
        <w:rPr>
          <w:sz w:val="12"/>
        </w:rPr>
      </w:pPr>
    </w:p>
    <w:p w14:paraId="599282A2" w14:textId="77777777" w:rsidR="0014798C" w:rsidRDefault="004E1F0B">
      <w:pPr>
        <w:ind w:left="223" w:right="2164"/>
        <w:jc w:val="center"/>
        <w:rPr>
          <w:sz w:val="12"/>
        </w:rPr>
      </w:pPr>
      <w:r>
        <w:rPr>
          <w:spacing w:val="-2"/>
          <w:sz w:val="12"/>
        </w:rPr>
        <w:t>691</w:t>
      </w:r>
      <w:r>
        <w:rPr>
          <w:spacing w:val="-3"/>
          <w:sz w:val="12"/>
        </w:rPr>
        <w:t xml:space="preserve"> </w:t>
      </w:r>
      <w:r>
        <w:rPr>
          <w:spacing w:val="-2"/>
          <w:sz w:val="12"/>
        </w:rPr>
        <w:t>Reino Unido, Cámara</w:t>
      </w:r>
      <w:r>
        <w:rPr>
          <w:spacing w:val="-3"/>
          <w:sz w:val="12"/>
        </w:rPr>
        <w:t xml:space="preserve"> </w:t>
      </w:r>
      <w:r>
        <w:rPr>
          <w:spacing w:val="-2"/>
          <w:sz w:val="12"/>
        </w:rPr>
        <w:t xml:space="preserve">de los Lores, </w:t>
      </w:r>
      <w:proofErr w:type="spellStart"/>
      <w:r>
        <w:rPr>
          <w:spacing w:val="-2"/>
          <w:sz w:val="12"/>
        </w:rPr>
        <w:t>Swiggs</w:t>
      </w:r>
      <w:proofErr w:type="spellEnd"/>
      <w:r>
        <w:rPr>
          <w:spacing w:val="-3"/>
          <w:sz w:val="12"/>
        </w:rPr>
        <w:t xml:space="preserve"> </w:t>
      </w:r>
      <w:r>
        <w:rPr>
          <w:spacing w:val="-2"/>
          <w:sz w:val="12"/>
        </w:rPr>
        <w:t xml:space="preserve">y otros contra </w:t>
      </w:r>
      <w:proofErr w:type="spellStart"/>
      <w:r>
        <w:rPr>
          <w:spacing w:val="-2"/>
          <w:sz w:val="12"/>
        </w:rPr>
        <w:t>Nagarajan</w:t>
      </w:r>
      <w:proofErr w:type="spellEnd"/>
      <w:r>
        <w:rPr>
          <w:spacing w:val="-3"/>
          <w:sz w:val="12"/>
        </w:rPr>
        <w:t xml:space="preserve"> </w:t>
      </w:r>
      <w:r>
        <w:rPr>
          <w:spacing w:val="-2"/>
          <w:sz w:val="12"/>
        </w:rPr>
        <w:t>[1999] UKHL 36;</w:t>
      </w:r>
      <w:r>
        <w:rPr>
          <w:spacing w:val="-3"/>
          <w:sz w:val="12"/>
        </w:rPr>
        <w:t xml:space="preserve"> </w:t>
      </w:r>
      <w:r>
        <w:rPr>
          <w:spacing w:val="-2"/>
          <w:sz w:val="12"/>
        </w:rPr>
        <w:t>[2000] 1 AC 501;</w:t>
      </w:r>
      <w:r>
        <w:rPr>
          <w:spacing w:val="-3"/>
          <w:sz w:val="12"/>
        </w:rPr>
        <w:t xml:space="preserve"> </w:t>
      </w:r>
      <w:r>
        <w:rPr>
          <w:spacing w:val="-2"/>
          <w:sz w:val="12"/>
        </w:rPr>
        <w:t>[1999] 4 Todos ER</w:t>
      </w:r>
      <w:r>
        <w:rPr>
          <w:spacing w:val="-3"/>
          <w:sz w:val="12"/>
        </w:rPr>
        <w:t xml:space="preserve"> </w:t>
      </w:r>
      <w:r>
        <w:rPr>
          <w:spacing w:val="-2"/>
          <w:sz w:val="12"/>
        </w:rPr>
        <w:t>65; y [1999]</w:t>
      </w:r>
    </w:p>
    <w:p w14:paraId="64AA5D16" w14:textId="77777777" w:rsidR="0014798C" w:rsidRDefault="004E1F0B">
      <w:pPr>
        <w:spacing w:before="42"/>
        <w:ind w:left="1371"/>
        <w:rPr>
          <w:sz w:val="12"/>
        </w:rPr>
      </w:pPr>
      <w:r>
        <w:rPr>
          <w:sz w:val="12"/>
        </w:rPr>
        <w:t>3</w:t>
      </w:r>
      <w:r>
        <w:rPr>
          <w:spacing w:val="-1"/>
          <w:sz w:val="12"/>
        </w:rPr>
        <w:t xml:space="preserve"> </w:t>
      </w:r>
      <w:r>
        <w:rPr>
          <w:sz w:val="12"/>
        </w:rPr>
        <w:t xml:space="preserve">WLR 425 (15 de julio de </w:t>
      </w:r>
      <w:r>
        <w:rPr>
          <w:spacing w:val="-2"/>
          <w:sz w:val="12"/>
        </w:rPr>
        <w:t>1999).</w:t>
      </w:r>
    </w:p>
    <w:p w14:paraId="76C205D5" w14:textId="77777777" w:rsidR="0014798C" w:rsidRDefault="004E1F0B">
      <w:pPr>
        <w:spacing w:before="120"/>
        <w:ind w:left="236" w:right="2164"/>
        <w:jc w:val="center"/>
        <w:rPr>
          <w:sz w:val="10"/>
        </w:rPr>
      </w:pPr>
      <w:r>
        <w:rPr>
          <w:w w:val="105"/>
          <w:sz w:val="10"/>
        </w:rPr>
        <w:t>692</w:t>
      </w:r>
      <w:r>
        <w:rPr>
          <w:spacing w:val="1"/>
          <w:w w:val="105"/>
          <w:sz w:val="10"/>
        </w:rPr>
        <w:t xml:space="preserve"> </w:t>
      </w:r>
      <w:r>
        <w:rPr>
          <w:w w:val="105"/>
          <w:sz w:val="10"/>
        </w:rPr>
        <w:t>Sobre</w:t>
      </w:r>
      <w:r>
        <w:rPr>
          <w:spacing w:val="1"/>
          <w:w w:val="105"/>
          <w:sz w:val="10"/>
        </w:rPr>
        <w:t xml:space="preserve"> </w:t>
      </w:r>
      <w:r>
        <w:rPr>
          <w:w w:val="105"/>
          <w:sz w:val="10"/>
        </w:rPr>
        <w:t>la</w:t>
      </w:r>
      <w:r>
        <w:rPr>
          <w:spacing w:val="1"/>
          <w:w w:val="105"/>
          <w:sz w:val="10"/>
        </w:rPr>
        <w:t xml:space="preserve"> </w:t>
      </w:r>
      <w:r>
        <w:rPr>
          <w:w w:val="105"/>
          <w:sz w:val="10"/>
        </w:rPr>
        <w:t>base</w:t>
      </w:r>
      <w:r>
        <w:rPr>
          <w:spacing w:val="1"/>
          <w:w w:val="105"/>
          <w:sz w:val="10"/>
        </w:rPr>
        <w:t xml:space="preserve"> </w:t>
      </w:r>
      <w:r>
        <w:rPr>
          <w:w w:val="105"/>
          <w:sz w:val="10"/>
        </w:rPr>
        <w:t>de</w:t>
      </w:r>
      <w:r>
        <w:rPr>
          <w:spacing w:val="1"/>
          <w:w w:val="105"/>
          <w:sz w:val="10"/>
        </w:rPr>
        <w:t xml:space="preserve"> </w:t>
      </w:r>
      <w:r>
        <w:rPr>
          <w:w w:val="105"/>
          <w:sz w:val="10"/>
        </w:rPr>
        <w:t>este</w:t>
      </w:r>
      <w:r>
        <w:rPr>
          <w:spacing w:val="1"/>
          <w:w w:val="105"/>
          <w:sz w:val="10"/>
        </w:rPr>
        <w:t xml:space="preserve"> </w:t>
      </w:r>
      <w:r>
        <w:rPr>
          <w:w w:val="105"/>
          <w:sz w:val="10"/>
        </w:rPr>
        <w:t>punto,</w:t>
      </w:r>
      <w:r>
        <w:rPr>
          <w:spacing w:val="3"/>
          <w:w w:val="105"/>
          <w:sz w:val="10"/>
        </w:rPr>
        <w:t xml:space="preserve"> </w:t>
      </w:r>
      <w:r>
        <w:rPr>
          <w:w w:val="105"/>
          <w:sz w:val="10"/>
        </w:rPr>
        <w:t>el</w:t>
      </w:r>
      <w:r>
        <w:rPr>
          <w:spacing w:val="1"/>
          <w:w w:val="105"/>
          <w:sz w:val="10"/>
        </w:rPr>
        <w:t xml:space="preserve"> </w:t>
      </w:r>
      <w:r>
        <w:rPr>
          <w:w w:val="105"/>
          <w:sz w:val="10"/>
        </w:rPr>
        <w:t>Tribunal</w:t>
      </w:r>
      <w:r>
        <w:rPr>
          <w:spacing w:val="1"/>
          <w:w w:val="105"/>
          <w:sz w:val="10"/>
        </w:rPr>
        <w:t xml:space="preserve"> </w:t>
      </w:r>
      <w:r>
        <w:rPr>
          <w:w w:val="105"/>
          <w:sz w:val="10"/>
        </w:rPr>
        <w:t>Europeo</w:t>
      </w:r>
      <w:r>
        <w:rPr>
          <w:spacing w:val="1"/>
          <w:w w:val="105"/>
          <w:sz w:val="10"/>
        </w:rPr>
        <w:t xml:space="preserve"> </w:t>
      </w:r>
      <w:r>
        <w:rPr>
          <w:w w:val="105"/>
          <w:sz w:val="10"/>
        </w:rPr>
        <w:t>de</w:t>
      </w:r>
      <w:r>
        <w:rPr>
          <w:spacing w:val="1"/>
          <w:w w:val="105"/>
          <w:sz w:val="10"/>
        </w:rPr>
        <w:t xml:space="preserve"> </w:t>
      </w:r>
      <w:r>
        <w:rPr>
          <w:w w:val="105"/>
          <w:sz w:val="10"/>
        </w:rPr>
        <w:t>Derechos</w:t>
      </w:r>
      <w:r>
        <w:rPr>
          <w:spacing w:val="1"/>
          <w:w w:val="105"/>
          <w:sz w:val="10"/>
        </w:rPr>
        <w:t xml:space="preserve"> </w:t>
      </w:r>
      <w:r>
        <w:rPr>
          <w:w w:val="105"/>
          <w:sz w:val="10"/>
        </w:rPr>
        <w:t>Humanos</w:t>
      </w:r>
      <w:r>
        <w:rPr>
          <w:spacing w:val="1"/>
          <w:w w:val="105"/>
          <w:sz w:val="10"/>
        </w:rPr>
        <w:t xml:space="preserve"> </w:t>
      </w:r>
      <w:r>
        <w:rPr>
          <w:w w:val="105"/>
          <w:sz w:val="10"/>
        </w:rPr>
        <w:t>ha</w:t>
      </w:r>
      <w:r>
        <w:rPr>
          <w:spacing w:val="2"/>
          <w:w w:val="105"/>
          <w:sz w:val="10"/>
        </w:rPr>
        <w:t xml:space="preserve"> </w:t>
      </w:r>
      <w:r>
        <w:rPr>
          <w:w w:val="105"/>
          <w:sz w:val="10"/>
        </w:rPr>
        <w:t>indicado</w:t>
      </w:r>
      <w:r>
        <w:rPr>
          <w:spacing w:val="1"/>
          <w:w w:val="105"/>
          <w:sz w:val="10"/>
        </w:rPr>
        <w:t xml:space="preserve"> </w:t>
      </w:r>
      <w:r>
        <w:rPr>
          <w:w w:val="105"/>
          <w:sz w:val="10"/>
        </w:rPr>
        <w:t>que</w:t>
      </w:r>
      <w:r>
        <w:rPr>
          <w:spacing w:val="1"/>
          <w:w w:val="105"/>
          <w:sz w:val="10"/>
        </w:rPr>
        <w:t xml:space="preserve"> </w:t>
      </w:r>
      <w:r>
        <w:rPr>
          <w:w w:val="105"/>
          <w:sz w:val="10"/>
        </w:rPr>
        <w:t>la</w:t>
      </w:r>
      <w:r>
        <w:rPr>
          <w:spacing w:val="1"/>
          <w:w w:val="105"/>
          <w:sz w:val="10"/>
        </w:rPr>
        <w:t xml:space="preserve"> </w:t>
      </w:r>
      <w:r>
        <w:rPr>
          <w:w w:val="105"/>
          <w:sz w:val="10"/>
        </w:rPr>
        <w:t>demostración</w:t>
      </w:r>
      <w:r>
        <w:rPr>
          <w:spacing w:val="1"/>
          <w:w w:val="105"/>
          <w:sz w:val="10"/>
        </w:rPr>
        <w:t xml:space="preserve"> </w:t>
      </w:r>
      <w:r>
        <w:rPr>
          <w:w w:val="105"/>
          <w:sz w:val="10"/>
        </w:rPr>
        <w:t>de</w:t>
      </w:r>
      <w:r>
        <w:rPr>
          <w:spacing w:val="1"/>
          <w:w w:val="105"/>
          <w:sz w:val="10"/>
        </w:rPr>
        <w:t xml:space="preserve"> </w:t>
      </w:r>
      <w:r>
        <w:rPr>
          <w:w w:val="105"/>
          <w:sz w:val="10"/>
        </w:rPr>
        <w:t>un</w:t>
      </w:r>
      <w:r>
        <w:rPr>
          <w:spacing w:val="1"/>
          <w:w w:val="105"/>
          <w:sz w:val="10"/>
        </w:rPr>
        <w:t xml:space="preserve"> </w:t>
      </w:r>
      <w:r>
        <w:rPr>
          <w:w w:val="105"/>
          <w:sz w:val="10"/>
        </w:rPr>
        <w:t>sesgo</w:t>
      </w:r>
      <w:r>
        <w:rPr>
          <w:spacing w:val="2"/>
          <w:w w:val="105"/>
          <w:sz w:val="10"/>
        </w:rPr>
        <w:t xml:space="preserve"> </w:t>
      </w:r>
      <w:r>
        <w:rPr>
          <w:w w:val="105"/>
          <w:sz w:val="10"/>
        </w:rPr>
        <w:t>estructural</w:t>
      </w:r>
      <w:r>
        <w:rPr>
          <w:spacing w:val="1"/>
          <w:w w:val="105"/>
          <w:sz w:val="10"/>
        </w:rPr>
        <w:t xml:space="preserve"> </w:t>
      </w:r>
      <w:r>
        <w:rPr>
          <w:w w:val="105"/>
          <w:sz w:val="10"/>
        </w:rPr>
        <w:t>a</w:t>
      </w:r>
      <w:r>
        <w:rPr>
          <w:spacing w:val="1"/>
          <w:w w:val="105"/>
          <w:sz w:val="10"/>
        </w:rPr>
        <w:t xml:space="preserve"> </w:t>
      </w:r>
      <w:r>
        <w:rPr>
          <w:w w:val="105"/>
          <w:sz w:val="10"/>
        </w:rPr>
        <w:t>gran</w:t>
      </w:r>
      <w:r>
        <w:rPr>
          <w:spacing w:val="1"/>
          <w:w w:val="105"/>
          <w:sz w:val="10"/>
        </w:rPr>
        <w:t xml:space="preserve"> </w:t>
      </w:r>
      <w:r>
        <w:rPr>
          <w:w w:val="105"/>
          <w:sz w:val="10"/>
        </w:rPr>
        <w:t>escala</w:t>
      </w:r>
      <w:r>
        <w:rPr>
          <w:spacing w:val="1"/>
          <w:w w:val="105"/>
          <w:sz w:val="10"/>
        </w:rPr>
        <w:t xml:space="preserve"> </w:t>
      </w:r>
      <w:r>
        <w:rPr>
          <w:w w:val="105"/>
          <w:sz w:val="10"/>
        </w:rPr>
        <w:t>puede</w:t>
      </w:r>
      <w:r>
        <w:rPr>
          <w:spacing w:val="1"/>
          <w:w w:val="105"/>
          <w:sz w:val="10"/>
        </w:rPr>
        <w:t xml:space="preserve"> </w:t>
      </w:r>
      <w:r>
        <w:rPr>
          <w:spacing w:val="-5"/>
          <w:w w:val="105"/>
          <w:sz w:val="10"/>
        </w:rPr>
        <w:t>ser</w:t>
      </w:r>
    </w:p>
    <w:p w14:paraId="0C66AB5A" w14:textId="77777777" w:rsidR="0014798C" w:rsidRDefault="004E1F0B">
      <w:pPr>
        <w:spacing w:before="43"/>
        <w:ind w:left="1369"/>
        <w:rPr>
          <w:sz w:val="12"/>
        </w:rPr>
      </w:pPr>
      <w:r>
        <w:rPr>
          <w:sz w:val="12"/>
        </w:rPr>
        <w:t>suficiente</w:t>
      </w:r>
      <w:r>
        <w:rPr>
          <w:spacing w:val="-1"/>
          <w:sz w:val="12"/>
        </w:rPr>
        <w:t xml:space="preserve"> </w:t>
      </w:r>
      <w:r>
        <w:rPr>
          <w:sz w:val="12"/>
        </w:rPr>
        <w:t>para</w:t>
      </w:r>
      <w:r>
        <w:rPr>
          <w:spacing w:val="-1"/>
          <w:sz w:val="12"/>
        </w:rPr>
        <w:t xml:space="preserve"> </w:t>
      </w:r>
      <w:r>
        <w:rPr>
          <w:sz w:val="12"/>
        </w:rPr>
        <w:t>establecer</w:t>
      </w:r>
      <w:r>
        <w:rPr>
          <w:spacing w:val="-1"/>
          <w:sz w:val="12"/>
        </w:rPr>
        <w:t xml:space="preserve"> </w:t>
      </w:r>
      <w:r>
        <w:rPr>
          <w:sz w:val="12"/>
        </w:rPr>
        <w:t>un</w:t>
      </w:r>
      <w:r>
        <w:rPr>
          <w:spacing w:val="-1"/>
          <w:sz w:val="12"/>
        </w:rPr>
        <w:t xml:space="preserve"> </w:t>
      </w:r>
      <w:r>
        <w:rPr>
          <w:sz w:val="12"/>
        </w:rPr>
        <w:t>caso</w:t>
      </w:r>
      <w:r>
        <w:rPr>
          <w:spacing w:val="-1"/>
          <w:sz w:val="12"/>
        </w:rPr>
        <w:t xml:space="preserve"> </w:t>
      </w:r>
      <w:r>
        <w:rPr>
          <w:sz w:val="12"/>
        </w:rPr>
        <w:t>prima</w:t>
      </w:r>
      <w:r>
        <w:rPr>
          <w:spacing w:val="-1"/>
          <w:sz w:val="12"/>
        </w:rPr>
        <w:t xml:space="preserve"> </w:t>
      </w:r>
      <w:r>
        <w:rPr>
          <w:sz w:val="12"/>
        </w:rPr>
        <w:t>facie</w:t>
      </w:r>
      <w:r>
        <w:rPr>
          <w:spacing w:val="-1"/>
          <w:sz w:val="12"/>
        </w:rPr>
        <w:t xml:space="preserve"> </w:t>
      </w:r>
      <w:r>
        <w:rPr>
          <w:sz w:val="12"/>
        </w:rPr>
        <w:t>de</w:t>
      </w:r>
      <w:r>
        <w:rPr>
          <w:spacing w:val="-1"/>
          <w:sz w:val="12"/>
        </w:rPr>
        <w:t xml:space="preserve"> </w:t>
      </w:r>
      <w:r>
        <w:rPr>
          <w:sz w:val="12"/>
        </w:rPr>
        <w:t>discriminación. Véase,</w:t>
      </w:r>
      <w:r>
        <w:rPr>
          <w:spacing w:val="-1"/>
          <w:sz w:val="12"/>
        </w:rPr>
        <w:t xml:space="preserve"> </w:t>
      </w:r>
      <w:r>
        <w:rPr>
          <w:sz w:val="12"/>
        </w:rPr>
        <w:t>por</w:t>
      </w:r>
      <w:r>
        <w:rPr>
          <w:spacing w:val="-1"/>
          <w:sz w:val="12"/>
        </w:rPr>
        <w:t xml:space="preserve"> </w:t>
      </w:r>
      <w:r>
        <w:rPr>
          <w:sz w:val="12"/>
        </w:rPr>
        <w:t>ejemplo,</w:t>
      </w:r>
      <w:r>
        <w:rPr>
          <w:spacing w:val="-1"/>
          <w:sz w:val="12"/>
        </w:rPr>
        <w:t xml:space="preserve"> </w:t>
      </w:r>
      <w:proofErr w:type="spellStart"/>
      <w:r>
        <w:rPr>
          <w:sz w:val="12"/>
        </w:rPr>
        <w:t>Volodina</w:t>
      </w:r>
      <w:proofErr w:type="spellEnd"/>
      <w:r>
        <w:rPr>
          <w:spacing w:val="-1"/>
          <w:sz w:val="12"/>
        </w:rPr>
        <w:t xml:space="preserve"> </w:t>
      </w:r>
      <w:r>
        <w:rPr>
          <w:sz w:val="12"/>
        </w:rPr>
        <w:t>c.</w:t>
      </w:r>
      <w:r>
        <w:rPr>
          <w:spacing w:val="-1"/>
          <w:sz w:val="12"/>
        </w:rPr>
        <w:t xml:space="preserve"> </w:t>
      </w:r>
      <w:r>
        <w:rPr>
          <w:sz w:val="12"/>
        </w:rPr>
        <w:t>Rusia,</w:t>
      </w:r>
      <w:r>
        <w:rPr>
          <w:spacing w:val="-1"/>
          <w:sz w:val="12"/>
        </w:rPr>
        <w:t xml:space="preserve"> </w:t>
      </w:r>
      <w:r>
        <w:rPr>
          <w:sz w:val="12"/>
        </w:rPr>
        <w:t>solicitud</w:t>
      </w:r>
      <w:r>
        <w:rPr>
          <w:spacing w:val="-1"/>
          <w:sz w:val="12"/>
        </w:rPr>
        <w:t xml:space="preserve"> </w:t>
      </w:r>
      <w:r>
        <w:rPr>
          <w:sz w:val="12"/>
        </w:rPr>
        <w:t>n.º</w:t>
      </w:r>
      <w:r>
        <w:rPr>
          <w:spacing w:val="-1"/>
          <w:sz w:val="12"/>
        </w:rPr>
        <w:t xml:space="preserve"> </w:t>
      </w:r>
      <w:r>
        <w:rPr>
          <w:sz w:val="12"/>
        </w:rPr>
        <w:t>41261/17,</w:t>
      </w:r>
      <w:r>
        <w:rPr>
          <w:spacing w:val="-1"/>
          <w:sz w:val="12"/>
        </w:rPr>
        <w:t xml:space="preserve"> </w:t>
      </w:r>
      <w:r>
        <w:rPr>
          <w:sz w:val="12"/>
        </w:rPr>
        <w:t>9</w:t>
      </w:r>
      <w:r>
        <w:rPr>
          <w:spacing w:val="-1"/>
          <w:sz w:val="12"/>
        </w:rPr>
        <w:t xml:space="preserve"> </w:t>
      </w:r>
      <w:r>
        <w:rPr>
          <w:sz w:val="12"/>
        </w:rPr>
        <w:t>de</w:t>
      </w:r>
      <w:r>
        <w:rPr>
          <w:spacing w:val="-1"/>
          <w:sz w:val="12"/>
        </w:rPr>
        <w:t xml:space="preserve"> </w:t>
      </w:r>
      <w:r>
        <w:rPr>
          <w:sz w:val="12"/>
        </w:rPr>
        <w:t>julio</w:t>
      </w:r>
      <w:r>
        <w:rPr>
          <w:spacing w:val="-1"/>
          <w:sz w:val="12"/>
        </w:rPr>
        <w:t xml:space="preserve"> </w:t>
      </w:r>
      <w:r>
        <w:rPr>
          <w:sz w:val="12"/>
        </w:rPr>
        <w:t>de</w:t>
      </w:r>
      <w:r>
        <w:rPr>
          <w:spacing w:val="-1"/>
          <w:sz w:val="12"/>
        </w:rPr>
        <w:t xml:space="preserve"> </w:t>
      </w:r>
      <w:r>
        <w:rPr>
          <w:sz w:val="12"/>
        </w:rPr>
        <w:t>2019,</w:t>
      </w:r>
      <w:r>
        <w:rPr>
          <w:spacing w:val="-1"/>
          <w:sz w:val="12"/>
        </w:rPr>
        <w:t xml:space="preserve"> </w:t>
      </w:r>
      <w:proofErr w:type="spellStart"/>
      <w:r>
        <w:rPr>
          <w:sz w:val="12"/>
        </w:rPr>
        <w:t>párrs</w:t>
      </w:r>
      <w:proofErr w:type="spellEnd"/>
      <w:r>
        <w:rPr>
          <w:sz w:val="12"/>
        </w:rPr>
        <w:t>.</w:t>
      </w:r>
      <w:r>
        <w:rPr>
          <w:spacing w:val="-1"/>
          <w:sz w:val="12"/>
        </w:rPr>
        <w:t xml:space="preserve"> </w:t>
      </w:r>
      <w:r>
        <w:rPr>
          <w:spacing w:val="-2"/>
          <w:sz w:val="12"/>
        </w:rPr>
        <w:t>112–114.</w:t>
      </w:r>
    </w:p>
    <w:p w14:paraId="59C84F9F" w14:textId="77777777" w:rsidR="0014798C" w:rsidRDefault="0014798C">
      <w:pPr>
        <w:pStyle w:val="Textoindependiente"/>
        <w:spacing w:before="9"/>
        <w:rPr>
          <w:sz w:val="11"/>
        </w:rPr>
      </w:pPr>
    </w:p>
    <w:p w14:paraId="74A35BE1" w14:textId="77777777" w:rsidR="0014798C" w:rsidRDefault="0014798C">
      <w:pPr>
        <w:rPr>
          <w:sz w:val="11"/>
        </w:rPr>
        <w:sectPr w:rsidR="0014798C" w:rsidSect="00F265E4">
          <w:pgSz w:w="11900" w:h="16820"/>
          <w:pgMar w:top="340" w:right="0" w:bottom="280" w:left="200" w:header="121" w:footer="0" w:gutter="0"/>
          <w:cols w:space="720"/>
        </w:sectPr>
      </w:pPr>
    </w:p>
    <w:p w14:paraId="3A08ADC4" w14:textId="77777777" w:rsidR="0014798C" w:rsidRDefault="0014798C">
      <w:pPr>
        <w:pStyle w:val="Textoindependiente"/>
        <w:spacing w:before="9"/>
        <w:rPr>
          <w:sz w:val="8"/>
        </w:rPr>
      </w:pPr>
    </w:p>
    <w:p w14:paraId="79FF08BF" w14:textId="77777777" w:rsidR="0014798C" w:rsidRDefault="004E1F0B">
      <w:pPr>
        <w:jc w:val="right"/>
        <w:rPr>
          <w:sz w:val="8"/>
        </w:rPr>
      </w:pPr>
      <w:r>
        <w:rPr>
          <w:spacing w:val="-5"/>
          <w:w w:val="105"/>
          <w:sz w:val="8"/>
        </w:rPr>
        <w:t>693</w:t>
      </w:r>
    </w:p>
    <w:p w14:paraId="47FF91B4" w14:textId="77777777" w:rsidR="0014798C" w:rsidRDefault="004E1F0B">
      <w:pPr>
        <w:spacing w:before="5"/>
        <w:rPr>
          <w:sz w:val="12"/>
        </w:rPr>
      </w:pPr>
      <w:r>
        <w:br w:type="column"/>
      </w:r>
    </w:p>
    <w:p w14:paraId="32858C38" w14:textId="77777777" w:rsidR="0014798C" w:rsidRDefault="004E1F0B">
      <w:pPr>
        <w:spacing w:line="312" w:lineRule="auto"/>
        <w:ind w:left="77" w:right="1896" w:firstLine="4"/>
        <w:rPr>
          <w:sz w:val="12"/>
        </w:rPr>
      </w:pPr>
      <w:r>
        <w:rPr>
          <w:sz w:val="12"/>
        </w:rPr>
        <w:t xml:space="preserve">Véase, por ejemplo, </w:t>
      </w:r>
      <w:proofErr w:type="spellStart"/>
      <w:r>
        <w:rPr>
          <w:sz w:val="12"/>
        </w:rPr>
        <w:t>Čonka</w:t>
      </w:r>
      <w:proofErr w:type="spellEnd"/>
      <w:r>
        <w:rPr>
          <w:sz w:val="12"/>
        </w:rPr>
        <w:t xml:space="preserve"> c. Bélgica, un caso de asilo relativo a una expulsión colectiva. El Tribunal Europeo de Derechos Humanos concluyó que se había</w:t>
      </w:r>
      <w:r>
        <w:rPr>
          <w:spacing w:val="40"/>
          <w:sz w:val="12"/>
        </w:rPr>
        <w:t xml:space="preserve"> </w:t>
      </w:r>
      <w:r>
        <w:rPr>
          <w:sz w:val="12"/>
        </w:rPr>
        <w:t>violado el artículo 4 del Protocolo núm. 4 del Convenio, basándose en que “el procedimiento seguido no permite [al Tribunal] eliminar toda duda de que la</w:t>
      </w:r>
    </w:p>
    <w:p w14:paraId="4861146A" w14:textId="77777777" w:rsidR="0014798C" w:rsidRDefault="004E1F0B">
      <w:pPr>
        <w:spacing w:before="1" w:line="312" w:lineRule="auto"/>
        <w:ind w:left="79" w:right="1354"/>
        <w:rPr>
          <w:sz w:val="12"/>
        </w:rPr>
      </w:pPr>
      <w:r>
        <w:rPr>
          <w:sz w:val="12"/>
        </w:rPr>
        <w:t>expulsión podría haber sido colectiva” –un inferencia que fue respaldada por referencia a una serie de factores objetivos, incluido el trato dado a los solicitantes y las</w:t>
      </w:r>
      <w:r>
        <w:rPr>
          <w:spacing w:val="40"/>
          <w:sz w:val="12"/>
        </w:rPr>
        <w:t xml:space="preserve"> </w:t>
      </w:r>
      <w:r>
        <w:rPr>
          <w:sz w:val="12"/>
        </w:rPr>
        <w:t xml:space="preserve">declaraciones de las autoridades políticas. Véase </w:t>
      </w:r>
      <w:proofErr w:type="spellStart"/>
      <w:r>
        <w:rPr>
          <w:sz w:val="12"/>
        </w:rPr>
        <w:t>Čonka</w:t>
      </w:r>
      <w:proofErr w:type="spellEnd"/>
      <w:r>
        <w:rPr>
          <w:sz w:val="12"/>
        </w:rPr>
        <w:t xml:space="preserve"> c. Bélgica, solicitud núm. 51564/99, sentencia de 5 de febrero de 2002, </w:t>
      </w:r>
      <w:proofErr w:type="spellStart"/>
      <w:r>
        <w:rPr>
          <w:sz w:val="12"/>
        </w:rPr>
        <w:t>párrs</w:t>
      </w:r>
      <w:proofErr w:type="spellEnd"/>
      <w:r>
        <w:rPr>
          <w:sz w:val="12"/>
        </w:rPr>
        <w:t>. 61–63.</w:t>
      </w:r>
    </w:p>
    <w:p w14:paraId="4F58F8B4" w14:textId="77777777" w:rsidR="0014798C" w:rsidRDefault="0014798C">
      <w:pPr>
        <w:spacing w:line="312" w:lineRule="auto"/>
        <w:rPr>
          <w:sz w:val="12"/>
        </w:rPr>
        <w:sectPr w:rsidR="0014798C" w:rsidSect="00F265E4">
          <w:type w:val="continuous"/>
          <w:pgSz w:w="11900" w:h="16820"/>
          <w:pgMar w:top="40" w:right="0" w:bottom="280" w:left="200" w:header="121" w:footer="0" w:gutter="0"/>
          <w:cols w:num="2" w:space="720" w:equalWidth="0">
            <w:col w:w="1249" w:space="40"/>
            <w:col w:w="10411"/>
          </w:cols>
        </w:sectPr>
      </w:pPr>
    </w:p>
    <w:p w14:paraId="2349F532" w14:textId="77777777" w:rsidR="0014798C" w:rsidRDefault="0014798C">
      <w:pPr>
        <w:pStyle w:val="Textoindependiente"/>
        <w:spacing w:before="99"/>
        <w:rPr>
          <w:sz w:val="12"/>
        </w:rPr>
      </w:pPr>
    </w:p>
    <w:p w14:paraId="675056E7" w14:textId="77777777" w:rsidR="0014798C" w:rsidRDefault="004E1F0B">
      <w:pPr>
        <w:ind w:left="1108"/>
        <w:rPr>
          <w:sz w:val="12"/>
        </w:rPr>
      </w:pPr>
      <w:r>
        <w:rPr>
          <w:sz w:val="12"/>
        </w:rPr>
        <w:t>694</w:t>
      </w:r>
      <w:r>
        <w:rPr>
          <w:spacing w:val="-2"/>
          <w:sz w:val="12"/>
        </w:rPr>
        <w:t xml:space="preserve"> </w:t>
      </w:r>
      <w:r>
        <w:rPr>
          <w:sz w:val="12"/>
        </w:rPr>
        <w:t>Comité</w:t>
      </w:r>
      <w:r>
        <w:rPr>
          <w:spacing w:val="-2"/>
          <w:sz w:val="12"/>
        </w:rPr>
        <w:t xml:space="preserve"> </w:t>
      </w:r>
      <w:r>
        <w:rPr>
          <w:sz w:val="12"/>
        </w:rPr>
        <w:t>para</w:t>
      </w:r>
      <w:r>
        <w:rPr>
          <w:spacing w:val="-1"/>
          <w:sz w:val="12"/>
        </w:rPr>
        <w:t xml:space="preserve"> </w:t>
      </w:r>
      <w:r>
        <w:rPr>
          <w:sz w:val="12"/>
        </w:rPr>
        <w:t>la</w:t>
      </w:r>
      <w:r>
        <w:rPr>
          <w:spacing w:val="-2"/>
          <w:sz w:val="12"/>
        </w:rPr>
        <w:t xml:space="preserve"> </w:t>
      </w:r>
      <w:r>
        <w:rPr>
          <w:sz w:val="12"/>
        </w:rPr>
        <w:t>Eliminación</w:t>
      </w:r>
      <w:r>
        <w:rPr>
          <w:spacing w:val="-2"/>
          <w:sz w:val="12"/>
        </w:rPr>
        <w:t xml:space="preserve"> </w:t>
      </w:r>
      <w:r>
        <w:rPr>
          <w:sz w:val="12"/>
        </w:rPr>
        <w:t>de</w:t>
      </w:r>
      <w:r>
        <w:rPr>
          <w:spacing w:val="-1"/>
          <w:sz w:val="12"/>
        </w:rPr>
        <w:t xml:space="preserve"> </w:t>
      </w:r>
      <w:r>
        <w:rPr>
          <w:sz w:val="12"/>
        </w:rPr>
        <w:t>la</w:t>
      </w:r>
      <w:r>
        <w:rPr>
          <w:spacing w:val="-2"/>
          <w:sz w:val="12"/>
        </w:rPr>
        <w:t xml:space="preserve"> </w:t>
      </w:r>
      <w:r>
        <w:rPr>
          <w:sz w:val="12"/>
        </w:rPr>
        <w:t>Discriminación</w:t>
      </w:r>
      <w:r>
        <w:rPr>
          <w:spacing w:val="-1"/>
          <w:sz w:val="12"/>
        </w:rPr>
        <w:t xml:space="preserve"> </w:t>
      </w:r>
      <w:r>
        <w:rPr>
          <w:sz w:val="12"/>
        </w:rPr>
        <w:t>Racial,</w:t>
      </w:r>
      <w:r>
        <w:rPr>
          <w:spacing w:val="-2"/>
          <w:sz w:val="12"/>
        </w:rPr>
        <w:t xml:space="preserve"> </w:t>
      </w:r>
      <w:proofErr w:type="spellStart"/>
      <w:r>
        <w:rPr>
          <w:sz w:val="12"/>
        </w:rPr>
        <w:t>Zapescu</w:t>
      </w:r>
      <w:proofErr w:type="spellEnd"/>
      <w:r>
        <w:rPr>
          <w:spacing w:val="-2"/>
          <w:sz w:val="12"/>
        </w:rPr>
        <w:t xml:space="preserve"> </w:t>
      </w:r>
      <w:r>
        <w:rPr>
          <w:sz w:val="12"/>
        </w:rPr>
        <w:t>c.</w:t>
      </w:r>
      <w:r>
        <w:rPr>
          <w:spacing w:val="-1"/>
          <w:sz w:val="12"/>
        </w:rPr>
        <w:t xml:space="preserve"> </w:t>
      </w:r>
      <w:r>
        <w:rPr>
          <w:sz w:val="12"/>
        </w:rPr>
        <w:t>Moldavia</w:t>
      </w:r>
      <w:r>
        <w:rPr>
          <w:spacing w:val="-2"/>
          <w:sz w:val="12"/>
        </w:rPr>
        <w:t xml:space="preserve"> </w:t>
      </w:r>
      <w:r>
        <w:rPr>
          <w:sz w:val="12"/>
        </w:rPr>
        <w:t>(CERD/C/103/D/60/2016),</w:t>
      </w:r>
      <w:r>
        <w:rPr>
          <w:spacing w:val="-2"/>
          <w:sz w:val="12"/>
        </w:rPr>
        <w:t xml:space="preserve"> </w:t>
      </w:r>
      <w:proofErr w:type="spellStart"/>
      <w:r>
        <w:rPr>
          <w:sz w:val="12"/>
        </w:rPr>
        <w:t>párrs</w:t>
      </w:r>
      <w:proofErr w:type="spellEnd"/>
      <w:r>
        <w:rPr>
          <w:sz w:val="12"/>
        </w:rPr>
        <w:t>.</w:t>
      </w:r>
      <w:r>
        <w:rPr>
          <w:spacing w:val="-1"/>
          <w:sz w:val="12"/>
        </w:rPr>
        <w:t xml:space="preserve"> </w:t>
      </w:r>
      <w:r>
        <w:rPr>
          <w:spacing w:val="-2"/>
          <w:sz w:val="12"/>
        </w:rPr>
        <w:t>8,5–8,10.</w:t>
      </w:r>
    </w:p>
    <w:p w14:paraId="1022D0A9" w14:textId="77777777" w:rsidR="0014798C" w:rsidRDefault="0014798C">
      <w:pPr>
        <w:rPr>
          <w:sz w:val="12"/>
        </w:rPr>
        <w:sectPr w:rsidR="0014798C" w:rsidSect="00F265E4">
          <w:type w:val="continuous"/>
          <w:pgSz w:w="11900" w:h="16820"/>
          <w:pgMar w:top="40" w:right="0" w:bottom="280" w:left="200" w:header="121" w:footer="0" w:gutter="0"/>
          <w:cols w:space="720"/>
        </w:sectPr>
      </w:pPr>
    </w:p>
    <w:p w14:paraId="22AB96B9" w14:textId="77777777" w:rsidR="0014798C" w:rsidRDefault="004E1F0B">
      <w:pPr>
        <w:spacing w:before="57"/>
        <w:jc w:val="right"/>
        <w:rPr>
          <w:sz w:val="8"/>
        </w:rPr>
      </w:pPr>
      <w:r>
        <w:rPr>
          <w:spacing w:val="-5"/>
          <w:w w:val="105"/>
          <w:sz w:val="8"/>
        </w:rPr>
        <w:t>695</w:t>
      </w:r>
    </w:p>
    <w:p w14:paraId="2BC1FAF2" w14:textId="77777777" w:rsidR="0014798C" w:rsidRDefault="004E1F0B">
      <w:pPr>
        <w:spacing w:before="98"/>
        <w:ind w:left="80"/>
        <w:rPr>
          <w:sz w:val="12"/>
        </w:rPr>
      </w:pPr>
      <w:r>
        <w:br w:type="column"/>
      </w:r>
      <w:r>
        <w:rPr>
          <w:sz w:val="12"/>
        </w:rPr>
        <w:t>Véase,</w:t>
      </w:r>
      <w:r>
        <w:rPr>
          <w:spacing w:val="-5"/>
          <w:sz w:val="12"/>
        </w:rPr>
        <w:t xml:space="preserve"> </w:t>
      </w:r>
      <w:r>
        <w:rPr>
          <w:sz w:val="12"/>
        </w:rPr>
        <w:t>entre</w:t>
      </w:r>
      <w:r>
        <w:rPr>
          <w:spacing w:val="-4"/>
          <w:sz w:val="12"/>
        </w:rPr>
        <w:t xml:space="preserve"> </w:t>
      </w:r>
      <w:r>
        <w:rPr>
          <w:sz w:val="12"/>
        </w:rPr>
        <w:t>otros,</w:t>
      </w:r>
      <w:r>
        <w:rPr>
          <w:spacing w:val="-4"/>
          <w:sz w:val="12"/>
        </w:rPr>
        <w:t xml:space="preserve"> </w:t>
      </w:r>
      <w:r>
        <w:rPr>
          <w:sz w:val="12"/>
        </w:rPr>
        <w:t>Pacto</w:t>
      </w:r>
      <w:r>
        <w:rPr>
          <w:spacing w:val="-4"/>
          <w:sz w:val="12"/>
        </w:rPr>
        <w:t xml:space="preserve"> </w:t>
      </w:r>
      <w:r>
        <w:rPr>
          <w:sz w:val="12"/>
        </w:rPr>
        <w:t>Internacional</w:t>
      </w:r>
      <w:r>
        <w:rPr>
          <w:spacing w:val="-4"/>
          <w:sz w:val="12"/>
        </w:rPr>
        <w:t xml:space="preserve"> </w:t>
      </w:r>
      <w:r>
        <w:rPr>
          <w:sz w:val="12"/>
        </w:rPr>
        <w:t>de</w:t>
      </w:r>
      <w:r>
        <w:rPr>
          <w:spacing w:val="-5"/>
          <w:sz w:val="12"/>
        </w:rPr>
        <w:t xml:space="preserve"> </w:t>
      </w:r>
      <w:r>
        <w:rPr>
          <w:sz w:val="12"/>
        </w:rPr>
        <w:t>Derechos</w:t>
      </w:r>
      <w:r>
        <w:rPr>
          <w:spacing w:val="-4"/>
          <w:sz w:val="12"/>
        </w:rPr>
        <w:t xml:space="preserve"> </w:t>
      </w:r>
      <w:r>
        <w:rPr>
          <w:sz w:val="12"/>
        </w:rPr>
        <w:t>Civiles</w:t>
      </w:r>
      <w:r>
        <w:rPr>
          <w:spacing w:val="-4"/>
          <w:sz w:val="12"/>
        </w:rPr>
        <w:t xml:space="preserve"> </w:t>
      </w:r>
      <w:r>
        <w:rPr>
          <w:sz w:val="12"/>
        </w:rPr>
        <w:t>y</w:t>
      </w:r>
      <w:r>
        <w:rPr>
          <w:spacing w:val="-4"/>
          <w:sz w:val="12"/>
        </w:rPr>
        <w:t xml:space="preserve"> </w:t>
      </w:r>
      <w:r>
        <w:rPr>
          <w:sz w:val="12"/>
        </w:rPr>
        <w:t>Políticos,</w:t>
      </w:r>
      <w:r>
        <w:rPr>
          <w:spacing w:val="-4"/>
          <w:sz w:val="12"/>
        </w:rPr>
        <w:t xml:space="preserve"> </w:t>
      </w:r>
      <w:r>
        <w:rPr>
          <w:sz w:val="12"/>
        </w:rPr>
        <w:t>art.</w:t>
      </w:r>
      <w:r>
        <w:rPr>
          <w:spacing w:val="-4"/>
          <w:sz w:val="12"/>
        </w:rPr>
        <w:t xml:space="preserve"> </w:t>
      </w:r>
      <w:r>
        <w:rPr>
          <w:sz w:val="12"/>
        </w:rPr>
        <w:t>14</w:t>
      </w:r>
      <w:r>
        <w:rPr>
          <w:spacing w:val="-5"/>
          <w:sz w:val="12"/>
        </w:rPr>
        <w:t xml:space="preserve"> </w:t>
      </w:r>
      <w:r>
        <w:rPr>
          <w:sz w:val="12"/>
        </w:rPr>
        <w:t>(</w:t>
      </w:r>
      <w:proofErr w:type="gramStart"/>
      <w:r>
        <w:rPr>
          <w:sz w:val="12"/>
        </w:rPr>
        <w:t>2);</w:t>
      </w:r>
      <w:proofErr w:type="gramEnd"/>
      <w:r>
        <w:rPr>
          <w:spacing w:val="-4"/>
          <w:sz w:val="12"/>
        </w:rPr>
        <w:t xml:space="preserve"> </w:t>
      </w:r>
      <w:r>
        <w:rPr>
          <w:sz w:val="12"/>
        </w:rPr>
        <w:t>y</w:t>
      </w:r>
      <w:r>
        <w:rPr>
          <w:spacing w:val="-4"/>
          <w:sz w:val="12"/>
        </w:rPr>
        <w:t xml:space="preserve"> </w:t>
      </w:r>
      <w:r>
        <w:rPr>
          <w:sz w:val="12"/>
        </w:rPr>
        <w:t>Comité</w:t>
      </w:r>
      <w:r>
        <w:rPr>
          <w:spacing w:val="-4"/>
          <w:sz w:val="12"/>
        </w:rPr>
        <w:t xml:space="preserve"> </w:t>
      </w:r>
      <w:r>
        <w:rPr>
          <w:sz w:val="12"/>
        </w:rPr>
        <w:t>de</w:t>
      </w:r>
      <w:r>
        <w:rPr>
          <w:spacing w:val="-4"/>
          <w:sz w:val="12"/>
        </w:rPr>
        <w:t xml:space="preserve"> </w:t>
      </w:r>
      <w:r>
        <w:rPr>
          <w:sz w:val="12"/>
        </w:rPr>
        <w:t>Derechos</w:t>
      </w:r>
      <w:r>
        <w:rPr>
          <w:spacing w:val="-5"/>
          <w:sz w:val="12"/>
        </w:rPr>
        <w:t xml:space="preserve"> </w:t>
      </w:r>
      <w:r>
        <w:rPr>
          <w:sz w:val="12"/>
        </w:rPr>
        <w:t>Humanos,</w:t>
      </w:r>
      <w:r>
        <w:rPr>
          <w:spacing w:val="-4"/>
          <w:sz w:val="12"/>
        </w:rPr>
        <w:t xml:space="preserve"> </w:t>
      </w:r>
      <w:r>
        <w:rPr>
          <w:sz w:val="12"/>
        </w:rPr>
        <w:t>observación</w:t>
      </w:r>
      <w:r>
        <w:rPr>
          <w:spacing w:val="-4"/>
          <w:sz w:val="12"/>
        </w:rPr>
        <w:t xml:space="preserve"> </w:t>
      </w:r>
      <w:r>
        <w:rPr>
          <w:sz w:val="12"/>
        </w:rPr>
        <w:t>general</w:t>
      </w:r>
      <w:r>
        <w:rPr>
          <w:spacing w:val="-4"/>
          <w:sz w:val="12"/>
        </w:rPr>
        <w:t xml:space="preserve"> </w:t>
      </w:r>
      <w:r>
        <w:rPr>
          <w:sz w:val="12"/>
        </w:rPr>
        <w:t>núm.</w:t>
      </w:r>
      <w:r>
        <w:rPr>
          <w:spacing w:val="-4"/>
          <w:sz w:val="12"/>
        </w:rPr>
        <w:t xml:space="preserve"> </w:t>
      </w:r>
      <w:r>
        <w:rPr>
          <w:sz w:val="12"/>
        </w:rPr>
        <w:t>32</w:t>
      </w:r>
      <w:r>
        <w:rPr>
          <w:spacing w:val="-4"/>
          <w:sz w:val="12"/>
        </w:rPr>
        <w:t xml:space="preserve"> </w:t>
      </w:r>
      <w:r>
        <w:rPr>
          <w:sz w:val="12"/>
        </w:rPr>
        <w:t>(2007),</w:t>
      </w:r>
      <w:r>
        <w:rPr>
          <w:spacing w:val="-5"/>
          <w:sz w:val="12"/>
        </w:rPr>
        <w:t xml:space="preserve"> </w:t>
      </w:r>
      <w:r>
        <w:rPr>
          <w:sz w:val="12"/>
        </w:rPr>
        <w:t>párr.</w:t>
      </w:r>
      <w:r>
        <w:rPr>
          <w:spacing w:val="-4"/>
          <w:sz w:val="12"/>
        </w:rPr>
        <w:t xml:space="preserve"> </w:t>
      </w:r>
      <w:r>
        <w:rPr>
          <w:spacing w:val="-5"/>
          <w:sz w:val="12"/>
        </w:rPr>
        <w:t>30.</w:t>
      </w:r>
    </w:p>
    <w:p w14:paraId="4BC4D12F" w14:textId="77777777" w:rsidR="0014798C" w:rsidRDefault="0014798C">
      <w:pPr>
        <w:rPr>
          <w:sz w:val="12"/>
        </w:rPr>
        <w:sectPr w:rsidR="0014798C" w:rsidSect="00F265E4">
          <w:type w:val="continuous"/>
          <w:pgSz w:w="11900" w:h="16820"/>
          <w:pgMar w:top="40" w:right="0" w:bottom="280" w:left="200" w:header="121" w:footer="0" w:gutter="0"/>
          <w:cols w:num="2" w:space="720" w:equalWidth="0">
            <w:col w:w="1250" w:space="40"/>
            <w:col w:w="10410"/>
          </w:cols>
        </w:sectPr>
      </w:pPr>
    </w:p>
    <w:p w14:paraId="5899C58D" w14:textId="77777777" w:rsidR="0014798C" w:rsidRDefault="0014798C">
      <w:pPr>
        <w:pStyle w:val="Textoindependiente"/>
        <w:rPr>
          <w:sz w:val="10"/>
        </w:rPr>
      </w:pPr>
    </w:p>
    <w:p w14:paraId="1E3C8505" w14:textId="77777777" w:rsidR="0014798C" w:rsidRDefault="0014798C">
      <w:pPr>
        <w:pStyle w:val="Textoindependiente"/>
        <w:spacing w:before="71"/>
        <w:rPr>
          <w:sz w:val="10"/>
        </w:rPr>
      </w:pPr>
    </w:p>
    <w:p w14:paraId="12C7DFA5" w14:textId="77777777" w:rsidR="0014798C" w:rsidRDefault="004E1F0B">
      <w:pPr>
        <w:spacing w:line="374" w:lineRule="auto"/>
        <w:ind w:left="1366" w:right="1574" w:hanging="259"/>
        <w:rPr>
          <w:sz w:val="10"/>
        </w:rPr>
      </w:pPr>
      <w:r>
        <w:rPr>
          <w:sz w:val="10"/>
        </w:rPr>
        <w:t>696</w:t>
      </w:r>
      <w:r>
        <w:rPr>
          <w:spacing w:val="16"/>
          <w:sz w:val="10"/>
        </w:rPr>
        <w:t xml:space="preserve"> </w:t>
      </w:r>
      <w:r>
        <w:rPr>
          <w:sz w:val="10"/>
        </w:rPr>
        <w:t>Esto</w:t>
      </w:r>
      <w:r>
        <w:rPr>
          <w:spacing w:val="16"/>
          <w:sz w:val="10"/>
        </w:rPr>
        <w:t xml:space="preserve"> </w:t>
      </w:r>
      <w:r>
        <w:rPr>
          <w:sz w:val="10"/>
        </w:rPr>
        <w:t>queda</w:t>
      </w:r>
      <w:r>
        <w:rPr>
          <w:spacing w:val="16"/>
          <w:sz w:val="10"/>
        </w:rPr>
        <w:t xml:space="preserve"> </w:t>
      </w:r>
      <w:r>
        <w:rPr>
          <w:sz w:val="10"/>
        </w:rPr>
        <w:t>claro</w:t>
      </w:r>
      <w:r>
        <w:rPr>
          <w:spacing w:val="16"/>
          <w:sz w:val="10"/>
        </w:rPr>
        <w:t xml:space="preserve"> </w:t>
      </w:r>
      <w:r>
        <w:rPr>
          <w:sz w:val="10"/>
        </w:rPr>
        <w:t>en</w:t>
      </w:r>
      <w:r>
        <w:rPr>
          <w:spacing w:val="16"/>
          <w:sz w:val="10"/>
        </w:rPr>
        <w:t xml:space="preserve"> </w:t>
      </w:r>
      <w:r>
        <w:rPr>
          <w:sz w:val="10"/>
        </w:rPr>
        <w:t>las</w:t>
      </w:r>
      <w:r>
        <w:rPr>
          <w:spacing w:val="16"/>
          <w:sz w:val="10"/>
        </w:rPr>
        <w:t xml:space="preserve"> </w:t>
      </w:r>
      <w:r>
        <w:rPr>
          <w:sz w:val="10"/>
        </w:rPr>
        <w:t>directivas</w:t>
      </w:r>
      <w:r>
        <w:rPr>
          <w:spacing w:val="16"/>
          <w:sz w:val="10"/>
        </w:rPr>
        <w:t xml:space="preserve"> </w:t>
      </w:r>
      <w:r>
        <w:rPr>
          <w:sz w:val="10"/>
        </w:rPr>
        <w:t>de</w:t>
      </w:r>
      <w:r>
        <w:rPr>
          <w:spacing w:val="16"/>
          <w:sz w:val="10"/>
        </w:rPr>
        <w:t xml:space="preserve"> </w:t>
      </w:r>
      <w:r>
        <w:rPr>
          <w:sz w:val="10"/>
        </w:rPr>
        <w:t>igualdad</w:t>
      </w:r>
      <w:r>
        <w:rPr>
          <w:spacing w:val="16"/>
          <w:sz w:val="10"/>
        </w:rPr>
        <w:t xml:space="preserve"> </w:t>
      </w:r>
      <w:r>
        <w:rPr>
          <w:sz w:val="10"/>
        </w:rPr>
        <w:t>de</w:t>
      </w:r>
      <w:r>
        <w:rPr>
          <w:spacing w:val="16"/>
          <w:sz w:val="10"/>
        </w:rPr>
        <w:t xml:space="preserve"> </w:t>
      </w:r>
      <w:r>
        <w:rPr>
          <w:sz w:val="10"/>
        </w:rPr>
        <w:t>trato</w:t>
      </w:r>
      <w:r>
        <w:rPr>
          <w:spacing w:val="16"/>
          <w:sz w:val="10"/>
        </w:rPr>
        <w:t xml:space="preserve"> </w:t>
      </w:r>
      <w:r>
        <w:rPr>
          <w:sz w:val="10"/>
        </w:rPr>
        <w:t>de</w:t>
      </w:r>
      <w:r>
        <w:rPr>
          <w:spacing w:val="16"/>
          <w:sz w:val="10"/>
        </w:rPr>
        <w:t xml:space="preserve"> </w:t>
      </w:r>
      <w:r>
        <w:rPr>
          <w:sz w:val="10"/>
        </w:rPr>
        <w:t>la</w:t>
      </w:r>
      <w:r>
        <w:rPr>
          <w:spacing w:val="16"/>
          <w:sz w:val="10"/>
        </w:rPr>
        <w:t xml:space="preserve"> </w:t>
      </w:r>
      <w:r>
        <w:rPr>
          <w:sz w:val="10"/>
        </w:rPr>
        <w:t>Unión</w:t>
      </w:r>
      <w:r>
        <w:rPr>
          <w:spacing w:val="16"/>
          <w:sz w:val="10"/>
        </w:rPr>
        <w:t xml:space="preserve"> </w:t>
      </w:r>
      <w:r>
        <w:rPr>
          <w:sz w:val="10"/>
        </w:rPr>
        <w:t>Europea.</w:t>
      </w:r>
      <w:r>
        <w:rPr>
          <w:spacing w:val="18"/>
          <w:sz w:val="10"/>
        </w:rPr>
        <w:t xml:space="preserve"> </w:t>
      </w:r>
      <w:r>
        <w:rPr>
          <w:sz w:val="10"/>
        </w:rPr>
        <w:t>Véase</w:t>
      </w:r>
      <w:r>
        <w:rPr>
          <w:spacing w:val="16"/>
          <w:sz w:val="10"/>
        </w:rPr>
        <w:t xml:space="preserve"> </w:t>
      </w:r>
      <w:r>
        <w:rPr>
          <w:sz w:val="10"/>
        </w:rPr>
        <w:t>Directiva</w:t>
      </w:r>
      <w:r>
        <w:rPr>
          <w:spacing w:val="16"/>
          <w:sz w:val="10"/>
        </w:rPr>
        <w:t xml:space="preserve"> </w:t>
      </w:r>
      <w:r>
        <w:rPr>
          <w:sz w:val="10"/>
        </w:rPr>
        <w:t>2006/54/CE</w:t>
      </w:r>
      <w:r>
        <w:rPr>
          <w:spacing w:val="16"/>
          <w:sz w:val="10"/>
        </w:rPr>
        <w:t xml:space="preserve"> </w:t>
      </w:r>
      <w:r>
        <w:rPr>
          <w:sz w:val="10"/>
        </w:rPr>
        <w:t>del</w:t>
      </w:r>
      <w:r>
        <w:rPr>
          <w:spacing w:val="16"/>
          <w:sz w:val="10"/>
        </w:rPr>
        <w:t xml:space="preserve"> </w:t>
      </w:r>
      <w:r>
        <w:rPr>
          <w:sz w:val="10"/>
        </w:rPr>
        <w:t>Parlamento</w:t>
      </w:r>
      <w:r>
        <w:rPr>
          <w:spacing w:val="16"/>
          <w:sz w:val="10"/>
        </w:rPr>
        <w:t xml:space="preserve"> </w:t>
      </w:r>
      <w:r>
        <w:rPr>
          <w:sz w:val="10"/>
        </w:rPr>
        <w:t>Europeo</w:t>
      </w:r>
      <w:r>
        <w:rPr>
          <w:spacing w:val="16"/>
          <w:sz w:val="10"/>
        </w:rPr>
        <w:t xml:space="preserve"> </w:t>
      </w:r>
      <w:r>
        <w:rPr>
          <w:sz w:val="10"/>
        </w:rPr>
        <w:t>y</w:t>
      </w:r>
      <w:r>
        <w:rPr>
          <w:spacing w:val="16"/>
          <w:sz w:val="10"/>
        </w:rPr>
        <w:t xml:space="preserve"> </w:t>
      </w:r>
      <w:r>
        <w:rPr>
          <w:sz w:val="10"/>
        </w:rPr>
        <w:t>del</w:t>
      </w:r>
      <w:r>
        <w:rPr>
          <w:spacing w:val="16"/>
          <w:sz w:val="10"/>
        </w:rPr>
        <w:t xml:space="preserve"> </w:t>
      </w:r>
      <w:r>
        <w:rPr>
          <w:sz w:val="10"/>
        </w:rPr>
        <w:t>Consejo,</w:t>
      </w:r>
      <w:r>
        <w:rPr>
          <w:spacing w:val="18"/>
          <w:sz w:val="10"/>
        </w:rPr>
        <w:t xml:space="preserve"> </w:t>
      </w:r>
      <w:r>
        <w:rPr>
          <w:sz w:val="10"/>
        </w:rPr>
        <w:t>de</w:t>
      </w:r>
      <w:r>
        <w:rPr>
          <w:spacing w:val="16"/>
          <w:sz w:val="10"/>
        </w:rPr>
        <w:t xml:space="preserve"> </w:t>
      </w:r>
      <w:r>
        <w:rPr>
          <w:sz w:val="10"/>
        </w:rPr>
        <w:t>5</w:t>
      </w:r>
      <w:r>
        <w:rPr>
          <w:spacing w:val="16"/>
          <w:sz w:val="10"/>
        </w:rPr>
        <w:t xml:space="preserve"> </w:t>
      </w:r>
      <w:r>
        <w:rPr>
          <w:sz w:val="10"/>
        </w:rPr>
        <w:t>de</w:t>
      </w:r>
      <w:r>
        <w:rPr>
          <w:spacing w:val="16"/>
          <w:sz w:val="10"/>
        </w:rPr>
        <w:t xml:space="preserve"> </w:t>
      </w:r>
      <w:r>
        <w:rPr>
          <w:sz w:val="10"/>
        </w:rPr>
        <w:t>julio</w:t>
      </w:r>
      <w:r>
        <w:rPr>
          <w:spacing w:val="16"/>
          <w:sz w:val="10"/>
        </w:rPr>
        <w:t xml:space="preserve"> </w:t>
      </w:r>
      <w:r>
        <w:rPr>
          <w:sz w:val="10"/>
        </w:rPr>
        <w:t>de</w:t>
      </w:r>
      <w:r>
        <w:rPr>
          <w:spacing w:val="16"/>
          <w:sz w:val="10"/>
        </w:rPr>
        <w:t xml:space="preserve"> </w:t>
      </w:r>
      <w:r>
        <w:rPr>
          <w:sz w:val="10"/>
        </w:rPr>
        <w:t>2006,</w:t>
      </w:r>
      <w:r>
        <w:rPr>
          <w:spacing w:val="18"/>
          <w:sz w:val="10"/>
        </w:rPr>
        <w:t xml:space="preserve"> </w:t>
      </w:r>
      <w:r>
        <w:rPr>
          <w:sz w:val="10"/>
        </w:rPr>
        <w:t>sobre</w:t>
      </w:r>
      <w:r>
        <w:rPr>
          <w:spacing w:val="16"/>
          <w:sz w:val="10"/>
        </w:rPr>
        <w:t xml:space="preserve"> </w:t>
      </w:r>
      <w:r>
        <w:rPr>
          <w:sz w:val="10"/>
        </w:rPr>
        <w:t>la</w:t>
      </w:r>
      <w:r>
        <w:rPr>
          <w:spacing w:val="16"/>
          <w:sz w:val="10"/>
        </w:rPr>
        <w:t xml:space="preserve"> </w:t>
      </w:r>
      <w:r>
        <w:rPr>
          <w:sz w:val="10"/>
        </w:rPr>
        <w:t>aplicación</w:t>
      </w:r>
      <w:r>
        <w:rPr>
          <w:spacing w:val="40"/>
          <w:sz w:val="10"/>
        </w:rPr>
        <w:t xml:space="preserve"> </w:t>
      </w:r>
      <w:r>
        <w:rPr>
          <w:sz w:val="10"/>
        </w:rPr>
        <w:t>del</w:t>
      </w:r>
      <w:r>
        <w:rPr>
          <w:spacing w:val="16"/>
          <w:sz w:val="10"/>
        </w:rPr>
        <w:t xml:space="preserve"> </w:t>
      </w:r>
      <w:r>
        <w:rPr>
          <w:sz w:val="10"/>
        </w:rPr>
        <w:t>principio</w:t>
      </w:r>
      <w:r>
        <w:rPr>
          <w:spacing w:val="16"/>
          <w:sz w:val="10"/>
        </w:rPr>
        <w:t xml:space="preserve"> </w:t>
      </w:r>
      <w:r>
        <w:rPr>
          <w:sz w:val="10"/>
        </w:rPr>
        <w:t>de</w:t>
      </w:r>
      <w:r>
        <w:rPr>
          <w:spacing w:val="16"/>
          <w:sz w:val="10"/>
        </w:rPr>
        <w:t xml:space="preserve"> </w:t>
      </w:r>
      <w:r>
        <w:rPr>
          <w:sz w:val="10"/>
        </w:rPr>
        <w:t>igualdad</w:t>
      </w:r>
      <w:r>
        <w:rPr>
          <w:spacing w:val="16"/>
          <w:sz w:val="10"/>
        </w:rPr>
        <w:t xml:space="preserve"> </w:t>
      </w:r>
      <w:r>
        <w:rPr>
          <w:sz w:val="10"/>
        </w:rPr>
        <w:t>de</w:t>
      </w:r>
      <w:r>
        <w:rPr>
          <w:spacing w:val="16"/>
          <w:sz w:val="10"/>
        </w:rPr>
        <w:t xml:space="preserve"> </w:t>
      </w:r>
      <w:r>
        <w:rPr>
          <w:sz w:val="10"/>
        </w:rPr>
        <w:t>oportunidades</w:t>
      </w:r>
      <w:r>
        <w:rPr>
          <w:spacing w:val="16"/>
          <w:sz w:val="10"/>
        </w:rPr>
        <w:t xml:space="preserve"> </w:t>
      </w:r>
      <w:r>
        <w:rPr>
          <w:sz w:val="10"/>
        </w:rPr>
        <w:t>e</w:t>
      </w:r>
      <w:r>
        <w:rPr>
          <w:spacing w:val="16"/>
          <w:sz w:val="10"/>
        </w:rPr>
        <w:t xml:space="preserve"> </w:t>
      </w:r>
      <w:r>
        <w:rPr>
          <w:sz w:val="10"/>
        </w:rPr>
        <w:t>igualdad</w:t>
      </w:r>
      <w:r>
        <w:rPr>
          <w:spacing w:val="16"/>
          <w:sz w:val="10"/>
        </w:rPr>
        <w:t xml:space="preserve"> </w:t>
      </w:r>
      <w:r>
        <w:rPr>
          <w:sz w:val="10"/>
        </w:rPr>
        <w:t>de</w:t>
      </w:r>
      <w:r>
        <w:rPr>
          <w:spacing w:val="16"/>
          <w:sz w:val="10"/>
        </w:rPr>
        <w:t xml:space="preserve"> </w:t>
      </w:r>
      <w:r>
        <w:rPr>
          <w:sz w:val="10"/>
        </w:rPr>
        <w:t>trato</w:t>
      </w:r>
      <w:r>
        <w:rPr>
          <w:spacing w:val="16"/>
          <w:sz w:val="10"/>
        </w:rPr>
        <w:t xml:space="preserve"> </w:t>
      </w:r>
      <w:r>
        <w:rPr>
          <w:sz w:val="10"/>
        </w:rPr>
        <w:t>entre</w:t>
      </w:r>
      <w:r>
        <w:rPr>
          <w:spacing w:val="16"/>
          <w:sz w:val="10"/>
        </w:rPr>
        <w:t xml:space="preserve"> </w:t>
      </w:r>
      <w:r>
        <w:rPr>
          <w:sz w:val="10"/>
        </w:rPr>
        <w:t>hombres</w:t>
      </w:r>
      <w:r>
        <w:rPr>
          <w:spacing w:val="16"/>
          <w:sz w:val="10"/>
        </w:rPr>
        <w:t xml:space="preserve"> </w:t>
      </w:r>
      <w:r>
        <w:rPr>
          <w:sz w:val="10"/>
        </w:rPr>
        <w:t>y</w:t>
      </w:r>
      <w:r>
        <w:rPr>
          <w:spacing w:val="16"/>
          <w:sz w:val="10"/>
        </w:rPr>
        <w:t xml:space="preserve"> </w:t>
      </w:r>
      <w:r>
        <w:rPr>
          <w:sz w:val="10"/>
        </w:rPr>
        <w:t>mujeres</w:t>
      </w:r>
      <w:r>
        <w:rPr>
          <w:spacing w:val="16"/>
          <w:sz w:val="10"/>
        </w:rPr>
        <w:t xml:space="preserve"> </w:t>
      </w:r>
      <w:r>
        <w:rPr>
          <w:sz w:val="10"/>
        </w:rPr>
        <w:t>en</w:t>
      </w:r>
      <w:r>
        <w:rPr>
          <w:spacing w:val="16"/>
          <w:sz w:val="10"/>
        </w:rPr>
        <w:t xml:space="preserve"> </w:t>
      </w:r>
      <w:r>
        <w:rPr>
          <w:sz w:val="10"/>
        </w:rPr>
        <w:t>materia</w:t>
      </w:r>
      <w:r>
        <w:rPr>
          <w:spacing w:val="16"/>
          <w:sz w:val="10"/>
        </w:rPr>
        <w:t xml:space="preserve"> </w:t>
      </w:r>
      <w:r>
        <w:rPr>
          <w:sz w:val="10"/>
        </w:rPr>
        <w:t>de</w:t>
      </w:r>
      <w:r>
        <w:rPr>
          <w:spacing w:val="16"/>
          <w:sz w:val="10"/>
        </w:rPr>
        <w:t xml:space="preserve"> </w:t>
      </w:r>
      <w:r>
        <w:rPr>
          <w:sz w:val="10"/>
        </w:rPr>
        <w:t>empleo</w:t>
      </w:r>
      <w:r>
        <w:rPr>
          <w:spacing w:val="16"/>
          <w:sz w:val="10"/>
        </w:rPr>
        <w:t xml:space="preserve"> </w:t>
      </w:r>
      <w:r>
        <w:rPr>
          <w:sz w:val="10"/>
        </w:rPr>
        <w:t>y</w:t>
      </w:r>
      <w:r>
        <w:rPr>
          <w:spacing w:val="16"/>
          <w:sz w:val="10"/>
        </w:rPr>
        <w:t xml:space="preserve"> </w:t>
      </w:r>
      <w:r>
        <w:rPr>
          <w:sz w:val="10"/>
        </w:rPr>
        <w:t>ocupación</w:t>
      </w:r>
      <w:r>
        <w:rPr>
          <w:spacing w:val="16"/>
          <w:sz w:val="10"/>
        </w:rPr>
        <w:t xml:space="preserve"> </w:t>
      </w:r>
      <w:r>
        <w:rPr>
          <w:sz w:val="10"/>
        </w:rPr>
        <w:t>(refundición),</w:t>
      </w:r>
      <w:r>
        <w:rPr>
          <w:spacing w:val="18"/>
          <w:sz w:val="10"/>
        </w:rPr>
        <w:t xml:space="preserve"> </w:t>
      </w:r>
      <w:r>
        <w:rPr>
          <w:sz w:val="10"/>
        </w:rPr>
        <w:t>art.</w:t>
      </w:r>
      <w:r>
        <w:rPr>
          <w:spacing w:val="16"/>
          <w:sz w:val="10"/>
        </w:rPr>
        <w:t xml:space="preserve"> </w:t>
      </w:r>
      <w:r>
        <w:rPr>
          <w:sz w:val="10"/>
        </w:rPr>
        <w:t>19</w:t>
      </w:r>
      <w:r>
        <w:rPr>
          <w:spacing w:val="16"/>
          <w:sz w:val="10"/>
        </w:rPr>
        <w:t xml:space="preserve"> </w:t>
      </w:r>
      <w:r>
        <w:rPr>
          <w:sz w:val="10"/>
        </w:rPr>
        <w:t>(</w:t>
      </w:r>
      <w:proofErr w:type="gramStart"/>
      <w:r>
        <w:rPr>
          <w:sz w:val="10"/>
        </w:rPr>
        <w:t>3);</w:t>
      </w:r>
      <w:proofErr w:type="gramEnd"/>
      <w:r>
        <w:rPr>
          <w:spacing w:val="18"/>
          <w:sz w:val="10"/>
        </w:rPr>
        <w:t xml:space="preserve"> </w:t>
      </w:r>
      <w:r>
        <w:rPr>
          <w:sz w:val="10"/>
        </w:rPr>
        <w:t>Directiva</w:t>
      </w:r>
      <w:r>
        <w:rPr>
          <w:spacing w:val="16"/>
          <w:sz w:val="10"/>
        </w:rPr>
        <w:t xml:space="preserve"> </w:t>
      </w:r>
      <w:r>
        <w:rPr>
          <w:sz w:val="10"/>
        </w:rPr>
        <w:t>2004/113/CE</w:t>
      </w:r>
      <w:r>
        <w:rPr>
          <w:spacing w:val="16"/>
          <w:sz w:val="10"/>
        </w:rPr>
        <w:t xml:space="preserve"> </w:t>
      </w:r>
      <w:r>
        <w:rPr>
          <w:sz w:val="10"/>
        </w:rPr>
        <w:t>del</w:t>
      </w:r>
      <w:r>
        <w:rPr>
          <w:spacing w:val="16"/>
          <w:sz w:val="10"/>
        </w:rPr>
        <w:t xml:space="preserve"> </w:t>
      </w:r>
      <w:r>
        <w:rPr>
          <w:sz w:val="10"/>
        </w:rPr>
        <w:t>Consejo,</w:t>
      </w:r>
      <w:r>
        <w:rPr>
          <w:spacing w:val="80"/>
          <w:sz w:val="10"/>
        </w:rPr>
        <w:t xml:space="preserve"> </w:t>
      </w:r>
      <w:r>
        <w:rPr>
          <w:sz w:val="10"/>
        </w:rPr>
        <w:t>de</w:t>
      </w:r>
      <w:r>
        <w:rPr>
          <w:spacing w:val="13"/>
          <w:sz w:val="10"/>
        </w:rPr>
        <w:t xml:space="preserve"> </w:t>
      </w:r>
      <w:r>
        <w:rPr>
          <w:sz w:val="10"/>
        </w:rPr>
        <w:t>13</w:t>
      </w:r>
      <w:r>
        <w:rPr>
          <w:spacing w:val="12"/>
          <w:sz w:val="10"/>
        </w:rPr>
        <w:t xml:space="preserve"> </w:t>
      </w:r>
      <w:r>
        <w:rPr>
          <w:sz w:val="10"/>
        </w:rPr>
        <w:t>de</w:t>
      </w:r>
      <w:r>
        <w:rPr>
          <w:spacing w:val="13"/>
          <w:sz w:val="10"/>
        </w:rPr>
        <w:t xml:space="preserve"> </w:t>
      </w:r>
      <w:r>
        <w:rPr>
          <w:sz w:val="10"/>
        </w:rPr>
        <w:t>diciembre</w:t>
      </w:r>
      <w:r>
        <w:rPr>
          <w:spacing w:val="13"/>
          <w:sz w:val="10"/>
        </w:rPr>
        <w:t xml:space="preserve"> </w:t>
      </w:r>
      <w:r>
        <w:rPr>
          <w:sz w:val="10"/>
        </w:rPr>
        <w:t>de</w:t>
      </w:r>
      <w:r>
        <w:rPr>
          <w:spacing w:val="12"/>
          <w:sz w:val="10"/>
        </w:rPr>
        <w:t xml:space="preserve"> </w:t>
      </w:r>
      <w:r>
        <w:rPr>
          <w:sz w:val="10"/>
        </w:rPr>
        <w:t>2004,</w:t>
      </w:r>
      <w:r>
        <w:rPr>
          <w:spacing w:val="14"/>
          <w:sz w:val="10"/>
        </w:rPr>
        <w:t xml:space="preserve"> </w:t>
      </w:r>
      <w:r>
        <w:rPr>
          <w:sz w:val="10"/>
        </w:rPr>
        <w:t>por</w:t>
      </w:r>
      <w:r>
        <w:rPr>
          <w:spacing w:val="13"/>
          <w:sz w:val="10"/>
        </w:rPr>
        <w:t xml:space="preserve"> </w:t>
      </w:r>
      <w:r>
        <w:rPr>
          <w:sz w:val="10"/>
        </w:rPr>
        <w:t>la</w:t>
      </w:r>
      <w:r>
        <w:rPr>
          <w:spacing w:val="12"/>
          <w:sz w:val="10"/>
        </w:rPr>
        <w:t xml:space="preserve"> </w:t>
      </w:r>
      <w:r>
        <w:rPr>
          <w:sz w:val="10"/>
        </w:rPr>
        <w:t>que</w:t>
      </w:r>
      <w:r>
        <w:rPr>
          <w:spacing w:val="13"/>
          <w:sz w:val="10"/>
        </w:rPr>
        <w:t xml:space="preserve"> </w:t>
      </w:r>
      <w:r>
        <w:rPr>
          <w:sz w:val="10"/>
        </w:rPr>
        <w:t>se</w:t>
      </w:r>
      <w:r>
        <w:rPr>
          <w:spacing w:val="13"/>
          <w:sz w:val="10"/>
        </w:rPr>
        <w:t xml:space="preserve"> </w:t>
      </w:r>
      <w:r>
        <w:rPr>
          <w:sz w:val="10"/>
        </w:rPr>
        <w:t>aplica</w:t>
      </w:r>
      <w:r>
        <w:rPr>
          <w:spacing w:val="12"/>
          <w:sz w:val="10"/>
        </w:rPr>
        <w:t xml:space="preserve"> </w:t>
      </w:r>
      <w:r>
        <w:rPr>
          <w:sz w:val="10"/>
        </w:rPr>
        <w:t>el</w:t>
      </w:r>
      <w:r>
        <w:rPr>
          <w:spacing w:val="13"/>
          <w:sz w:val="10"/>
        </w:rPr>
        <w:t xml:space="preserve"> </w:t>
      </w:r>
      <w:r>
        <w:rPr>
          <w:sz w:val="10"/>
        </w:rPr>
        <w:t>principio</w:t>
      </w:r>
      <w:r>
        <w:rPr>
          <w:spacing w:val="13"/>
          <w:sz w:val="10"/>
        </w:rPr>
        <w:t xml:space="preserve"> </w:t>
      </w:r>
      <w:r>
        <w:rPr>
          <w:sz w:val="10"/>
        </w:rPr>
        <w:t>de</w:t>
      </w:r>
      <w:r>
        <w:rPr>
          <w:spacing w:val="12"/>
          <w:sz w:val="10"/>
        </w:rPr>
        <w:t xml:space="preserve"> </w:t>
      </w:r>
      <w:r>
        <w:rPr>
          <w:sz w:val="10"/>
        </w:rPr>
        <w:t>igualdad</w:t>
      </w:r>
      <w:r>
        <w:rPr>
          <w:spacing w:val="13"/>
          <w:sz w:val="10"/>
        </w:rPr>
        <w:t xml:space="preserve"> </w:t>
      </w:r>
      <w:r>
        <w:rPr>
          <w:sz w:val="10"/>
        </w:rPr>
        <w:t>de</w:t>
      </w:r>
      <w:r>
        <w:rPr>
          <w:spacing w:val="13"/>
          <w:sz w:val="10"/>
        </w:rPr>
        <w:t xml:space="preserve"> </w:t>
      </w:r>
      <w:r>
        <w:rPr>
          <w:sz w:val="10"/>
        </w:rPr>
        <w:t>trato</w:t>
      </w:r>
      <w:r>
        <w:rPr>
          <w:spacing w:val="12"/>
          <w:sz w:val="10"/>
        </w:rPr>
        <w:t xml:space="preserve"> </w:t>
      </w:r>
      <w:r>
        <w:rPr>
          <w:sz w:val="10"/>
        </w:rPr>
        <w:t>entre</w:t>
      </w:r>
      <w:r>
        <w:rPr>
          <w:spacing w:val="13"/>
          <w:sz w:val="10"/>
        </w:rPr>
        <w:t xml:space="preserve"> </w:t>
      </w:r>
      <w:r>
        <w:rPr>
          <w:sz w:val="10"/>
        </w:rPr>
        <w:t>hombres</w:t>
      </w:r>
      <w:r>
        <w:rPr>
          <w:spacing w:val="13"/>
          <w:sz w:val="10"/>
        </w:rPr>
        <w:t xml:space="preserve"> </w:t>
      </w:r>
      <w:r>
        <w:rPr>
          <w:sz w:val="10"/>
        </w:rPr>
        <w:t>y</w:t>
      </w:r>
      <w:r>
        <w:rPr>
          <w:spacing w:val="12"/>
          <w:sz w:val="10"/>
        </w:rPr>
        <w:t xml:space="preserve"> </w:t>
      </w:r>
      <w:r>
        <w:rPr>
          <w:sz w:val="10"/>
        </w:rPr>
        <w:t>mujeres</w:t>
      </w:r>
      <w:r>
        <w:rPr>
          <w:spacing w:val="13"/>
          <w:sz w:val="10"/>
        </w:rPr>
        <w:t xml:space="preserve"> </w:t>
      </w:r>
      <w:r>
        <w:rPr>
          <w:sz w:val="10"/>
        </w:rPr>
        <w:t>en</w:t>
      </w:r>
      <w:r>
        <w:rPr>
          <w:spacing w:val="13"/>
          <w:sz w:val="10"/>
        </w:rPr>
        <w:t xml:space="preserve"> </w:t>
      </w:r>
      <w:r>
        <w:rPr>
          <w:sz w:val="10"/>
        </w:rPr>
        <w:t>el</w:t>
      </w:r>
      <w:r>
        <w:rPr>
          <w:spacing w:val="12"/>
          <w:sz w:val="10"/>
        </w:rPr>
        <w:t xml:space="preserve"> </w:t>
      </w:r>
      <w:r>
        <w:rPr>
          <w:sz w:val="10"/>
        </w:rPr>
        <w:t>acceso</w:t>
      </w:r>
      <w:r>
        <w:rPr>
          <w:spacing w:val="13"/>
          <w:sz w:val="10"/>
        </w:rPr>
        <w:t xml:space="preserve"> </w:t>
      </w:r>
      <w:r>
        <w:rPr>
          <w:sz w:val="10"/>
        </w:rPr>
        <w:t>y</w:t>
      </w:r>
      <w:r>
        <w:rPr>
          <w:spacing w:val="13"/>
          <w:sz w:val="10"/>
        </w:rPr>
        <w:t xml:space="preserve"> </w:t>
      </w:r>
      <w:r>
        <w:rPr>
          <w:sz w:val="10"/>
        </w:rPr>
        <w:t>suministro</w:t>
      </w:r>
      <w:r>
        <w:rPr>
          <w:spacing w:val="12"/>
          <w:sz w:val="10"/>
        </w:rPr>
        <w:t xml:space="preserve"> </w:t>
      </w:r>
      <w:r>
        <w:rPr>
          <w:sz w:val="10"/>
        </w:rPr>
        <w:t>de</w:t>
      </w:r>
      <w:r>
        <w:rPr>
          <w:spacing w:val="13"/>
          <w:sz w:val="10"/>
        </w:rPr>
        <w:t xml:space="preserve"> </w:t>
      </w:r>
      <w:r>
        <w:rPr>
          <w:sz w:val="10"/>
        </w:rPr>
        <w:t>bienes</w:t>
      </w:r>
      <w:r>
        <w:rPr>
          <w:spacing w:val="13"/>
          <w:sz w:val="10"/>
        </w:rPr>
        <w:t xml:space="preserve"> </w:t>
      </w:r>
      <w:r>
        <w:rPr>
          <w:sz w:val="10"/>
        </w:rPr>
        <w:t>y</w:t>
      </w:r>
      <w:r>
        <w:rPr>
          <w:spacing w:val="12"/>
          <w:sz w:val="10"/>
        </w:rPr>
        <w:t xml:space="preserve"> </w:t>
      </w:r>
      <w:r>
        <w:rPr>
          <w:sz w:val="10"/>
        </w:rPr>
        <w:t>servicios,</w:t>
      </w:r>
      <w:r>
        <w:rPr>
          <w:spacing w:val="14"/>
          <w:sz w:val="10"/>
        </w:rPr>
        <w:t xml:space="preserve"> </w:t>
      </w:r>
      <w:r>
        <w:rPr>
          <w:sz w:val="10"/>
        </w:rPr>
        <w:t>art.</w:t>
      </w:r>
      <w:r>
        <w:rPr>
          <w:spacing w:val="13"/>
          <w:sz w:val="10"/>
        </w:rPr>
        <w:t xml:space="preserve"> </w:t>
      </w:r>
      <w:r>
        <w:rPr>
          <w:sz w:val="10"/>
        </w:rPr>
        <w:t>9</w:t>
      </w:r>
      <w:r>
        <w:rPr>
          <w:spacing w:val="12"/>
          <w:sz w:val="10"/>
        </w:rPr>
        <w:t xml:space="preserve"> </w:t>
      </w:r>
      <w:r>
        <w:rPr>
          <w:sz w:val="10"/>
        </w:rPr>
        <w:t>(</w:t>
      </w:r>
      <w:proofErr w:type="gramStart"/>
      <w:r>
        <w:rPr>
          <w:sz w:val="10"/>
        </w:rPr>
        <w:t>5);</w:t>
      </w:r>
      <w:proofErr w:type="gramEnd"/>
      <w:r>
        <w:rPr>
          <w:spacing w:val="14"/>
          <w:sz w:val="10"/>
        </w:rPr>
        <w:t xml:space="preserve"> </w:t>
      </w:r>
      <w:r>
        <w:rPr>
          <w:sz w:val="10"/>
        </w:rPr>
        <w:t>Directiva</w:t>
      </w:r>
      <w:r>
        <w:rPr>
          <w:spacing w:val="13"/>
          <w:sz w:val="10"/>
        </w:rPr>
        <w:t xml:space="preserve"> </w:t>
      </w:r>
      <w:r>
        <w:rPr>
          <w:sz w:val="10"/>
        </w:rPr>
        <w:t>2000/43/</w:t>
      </w:r>
      <w:r>
        <w:rPr>
          <w:spacing w:val="80"/>
          <w:sz w:val="10"/>
        </w:rPr>
        <w:t xml:space="preserve"> </w:t>
      </w:r>
      <w:r>
        <w:rPr>
          <w:sz w:val="10"/>
        </w:rPr>
        <w:t>CE</w:t>
      </w:r>
      <w:r>
        <w:rPr>
          <w:spacing w:val="12"/>
          <w:sz w:val="10"/>
        </w:rPr>
        <w:t xml:space="preserve"> </w:t>
      </w:r>
      <w:r>
        <w:rPr>
          <w:sz w:val="10"/>
        </w:rPr>
        <w:t>del</w:t>
      </w:r>
      <w:r>
        <w:rPr>
          <w:spacing w:val="12"/>
          <w:sz w:val="10"/>
        </w:rPr>
        <w:t xml:space="preserve"> </w:t>
      </w:r>
      <w:r>
        <w:rPr>
          <w:sz w:val="10"/>
        </w:rPr>
        <w:t>Consejo,</w:t>
      </w:r>
      <w:r>
        <w:rPr>
          <w:spacing w:val="14"/>
          <w:sz w:val="10"/>
        </w:rPr>
        <w:t xml:space="preserve"> </w:t>
      </w:r>
      <w:r>
        <w:rPr>
          <w:sz w:val="10"/>
        </w:rPr>
        <w:t>de</w:t>
      </w:r>
      <w:r>
        <w:rPr>
          <w:spacing w:val="12"/>
          <w:sz w:val="10"/>
        </w:rPr>
        <w:t xml:space="preserve"> </w:t>
      </w:r>
      <w:r>
        <w:rPr>
          <w:sz w:val="10"/>
        </w:rPr>
        <w:t>29</w:t>
      </w:r>
      <w:r>
        <w:rPr>
          <w:spacing w:val="12"/>
          <w:sz w:val="10"/>
        </w:rPr>
        <w:t xml:space="preserve"> </w:t>
      </w:r>
      <w:r>
        <w:rPr>
          <w:sz w:val="10"/>
        </w:rPr>
        <w:t>de</w:t>
      </w:r>
      <w:r>
        <w:rPr>
          <w:spacing w:val="12"/>
          <w:sz w:val="10"/>
        </w:rPr>
        <w:t xml:space="preserve"> </w:t>
      </w:r>
      <w:r>
        <w:rPr>
          <w:sz w:val="10"/>
        </w:rPr>
        <w:t>junio</w:t>
      </w:r>
      <w:r>
        <w:rPr>
          <w:spacing w:val="12"/>
          <w:sz w:val="10"/>
        </w:rPr>
        <w:t xml:space="preserve"> </w:t>
      </w:r>
      <w:r>
        <w:rPr>
          <w:sz w:val="10"/>
        </w:rPr>
        <w:t>de</w:t>
      </w:r>
      <w:r>
        <w:rPr>
          <w:spacing w:val="12"/>
          <w:sz w:val="10"/>
        </w:rPr>
        <w:t xml:space="preserve"> </w:t>
      </w:r>
      <w:r>
        <w:rPr>
          <w:sz w:val="10"/>
        </w:rPr>
        <w:t>2000,</w:t>
      </w:r>
      <w:r>
        <w:rPr>
          <w:spacing w:val="14"/>
          <w:sz w:val="10"/>
        </w:rPr>
        <w:t xml:space="preserve"> </w:t>
      </w:r>
      <w:r>
        <w:rPr>
          <w:sz w:val="10"/>
        </w:rPr>
        <w:t>por</w:t>
      </w:r>
      <w:r>
        <w:rPr>
          <w:spacing w:val="12"/>
          <w:sz w:val="10"/>
        </w:rPr>
        <w:t xml:space="preserve"> </w:t>
      </w:r>
      <w:r>
        <w:rPr>
          <w:sz w:val="10"/>
        </w:rPr>
        <w:t>la</w:t>
      </w:r>
      <w:r>
        <w:rPr>
          <w:spacing w:val="12"/>
          <w:sz w:val="10"/>
        </w:rPr>
        <w:t xml:space="preserve"> </w:t>
      </w:r>
      <w:r>
        <w:rPr>
          <w:sz w:val="10"/>
        </w:rPr>
        <w:t>que</w:t>
      </w:r>
      <w:r>
        <w:rPr>
          <w:spacing w:val="12"/>
          <w:sz w:val="10"/>
        </w:rPr>
        <w:t xml:space="preserve"> </w:t>
      </w:r>
      <w:r>
        <w:rPr>
          <w:sz w:val="10"/>
        </w:rPr>
        <w:t>se</w:t>
      </w:r>
      <w:r>
        <w:rPr>
          <w:spacing w:val="12"/>
          <w:sz w:val="10"/>
        </w:rPr>
        <w:t xml:space="preserve"> </w:t>
      </w:r>
      <w:r>
        <w:rPr>
          <w:sz w:val="10"/>
        </w:rPr>
        <w:t>aplica</w:t>
      </w:r>
      <w:r>
        <w:rPr>
          <w:spacing w:val="12"/>
          <w:sz w:val="10"/>
        </w:rPr>
        <w:t xml:space="preserve"> </w:t>
      </w:r>
      <w:r>
        <w:rPr>
          <w:sz w:val="10"/>
        </w:rPr>
        <w:t>el</w:t>
      </w:r>
      <w:r>
        <w:rPr>
          <w:spacing w:val="12"/>
          <w:sz w:val="10"/>
        </w:rPr>
        <w:t xml:space="preserve"> </w:t>
      </w:r>
      <w:r>
        <w:rPr>
          <w:sz w:val="10"/>
        </w:rPr>
        <w:t>principio</w:t>
      </w:r>
      <w:r>
        <w:rPr>
          <w:spacing w:val="12"/>
          <w:sz w:val="10"/>
        </w:rPr>
        <w:t xml:space="preserve"> </w:t>
      </w:r>
      <w:r>
        <w:rPr>
          <w:sz w:val="10"/>
        </w:rPr>
        <w:t>de</w:t>
      </w:r>
      <w:r>
        <w:rPr>
          <w:spacing w:val="12"/>
          <w:sz w:val="10"/>
        </w:rPr>
        <w:t xml:space="preserve"> </w:t>
      </w:r>
      <w:r>
        <w:rPr>
          <w:sz w:val="10"/>
        </w:rPr>
        <w:t>igualdad</w:t>
      </w:r>
      <w:r>
        <w:rPr>
          <w:spacing w:val="12"/>
          <w:sz w:val="10"/>
        </w:rPr>
        <w:t xml:space="preserve"> </w:t>
      </w:r>
      <w:r>
        <w:rPr>
          <w:sz w:val="10"/>
        </w:rPr>
        <w:t>de</w:t>
      </w:r>
      <w:r>
        <w:rPr>
          <w:spacing w:val="12"/>
          <w:sz w:val="10"/>
        </w:rPr>
        <w:t xml:space="preserve"> </w:t>
      </w:r>
      <w:r>
        <w:rPr>
          <w:sz w:val="10"/>
        </w:rPr>
        <w:t>trato</w:t>
      </w:r>
      <w:r>
        <w:rPr>
          <w:spacing w:val="12"/>
          <w:sz w:val="10"/>
        </w:rPr>
        <w:t xml:space="preserve"> </w:t>
      </w:r>
      <w:r>
        <w:rPr>
          <w:sz w:val="10"/>
        </w:rPr>
        <w:t>entre</w:t>
      </w:r>
      <w:r>
        <w:rPr>
          <w:spacing w:val="12"/>
          <w:sz w:val="10"/>
        </w:rPr>
        <w:t xml:space="preserve"> </w:t>
      </w:r>
      <w:r>
        <w:rPr>
          <w:sz w:val="10"/>
        </w:rPr>
        <w:t>las</w:t>
      </w:r>
      <w:r>
        <w:rPr>
          <w:spacing w:val="12"/>
          <w:sz w:val="10"/>
        </w:rPr>
        <w:t xml:space="preserve"> </w:t>
      </w:r>
      <w:r>
        <w:rPr>
          <w:sz w:val="10"/>
        </w:rPr>
        <w:t>personas</w:t>
      </w:r>
      <w:r>
        <w:rPr>
          <w:spacing w:val="12"/>
          <w:sz w:val="10"/>
        </w:rPr>
        <w:t xml:space="preserve"> </w:t>
      </w:r>
      <w:r>
        <w:rPr>
          <w:sz w:val="10"/>
        </w:rPr>
        <w:t>independientemente</w:t>
      </w:r>
      <w:r>
        <w:rPr>
          <w:spacing w:val="12"/>
          <w:sz w:val="10"/>
        </w:rPr>
        <w:t xml:space="preserve"> </w:t>
      </w:r>
      <w:r>
        <w:rPr>
          <w:sz w:val="10"/>
        </w:rPr>
        <w:t>de</w:t>
      </w:r>
      <w:r>
        <w:rPr>
          <w:spacing w:val="12"/>
          <w:sz w:val="10"/>
        </w:rPr>
        <w:t xml:space="preserve"> </w:t>
      </w:r>
      <w:r>
        <w:rPr>
          <w:sz w:val="10"/>
        </w:rPr>
        <w:t>su</w:t>
      </w:r>
      <w:r>
        <w:rPr>
          <w:spacing w:val="12"/>
          <w:sz w:val="10"/>
        </w:rPr>
        <w:t xml:space="preserve"> </w:t>
      </w:r>
      <w:r>
        <w:rPr>
          <w:sz w:val="10"/>
        </w:rPr>
        <w:t>origen</w:t>
      </w:r>
      <w:r>
        <w:rPr>
          <w:spacing w:val="12"/>
          <w:sz w:val="10"/>
        </w:rPr>
        <w:t xml:space="preserve"> </w:t>
      </w:r>
      <w:r>
        <w:rPr>
          <w:sz w:val="10"/>
        </w:rPr>
        <w:t>racial</w:t>
      </w:r>
      <w:r>
        <w:rPr>
          <w:spacing w:val="12"/>
          <w:sz w:val="10"/>
        </w:rPr>
        <w:t xml:space="preserve"> </w:t>
      </w:r>
      <w:r>
        <w:rPr>
          <w:sz w:val="10"/>
        </w:rPr>
        <w:t>o</w:t>
      </w:r>
      <w:r>
        <w:rPr>
          <w:spacing w:val="12"/>
          <w:sz w:val="10"/>
        </w:rPr>
        <w:t xml:space="preserve"> </w:t>
      </w:r>
      <w:r>
        <w:rPr>
          <w:sz w:val="10"/>
        </w:rPr>
        <w:t>étnico,</w:t>
      </w:r>
      <w:r>
        <w:rPr>
          <w:spacing w:val="14"/>
          <w:sz w:val="10"/>
        </w:rPr>
        <w:t xml:space="preserve"> </w:t>
      </w:r>
      <w:r>
        <w:rPr>
          <w:sz w:val="10"/>
        </w:rPr>
        <w:t>art.</w:t>
      </w:r>
      <w:r>
        <w:rPr>
          <w:spacing w:val="12"/>
          <w:sz w:val="10"/>
        </w:rPr>
        <w:t xml:space="preserve"> </w:t>
      </w:r>
      <w:r>
        <w:rPr>
          <w:sz w:val="10"/>
        </w:rPr>
        <w:t>8</w:t>
      </w:r>
      <w:r>
        <w:rPr>
          <w:spacing w:val="12"/>
          <w:sz w:val="10"/>
        </w:rPr>
        <w:t xml:space="preserve"> </w:t>
      </w:r>
      <w:r>
        <w:rPr>
          <w:sz w:val="10"/>
        </w:rPr>
        <w:t>(</w:t>
      </w:r>
      <w:proofErr w:type="gramStart"/>
      <w:r>
        <w:rPr>
          <w:sz w:val="10"/>
        </w:rPr>
        <w:t>5);</w:t>
      </w:r>
      <w:proofErr w:type="gramEnd"/>
      <w:r>
        <w:rPr>
          <w:spacing w:val="14"/>
          <w:sz w:val="10"/>
        </w:rPr>
        <w:t xml:space="preserve"> </w:t>
      </w:r>
      <w:r>
        <w:rPr>
          <w:sz w:val="10"/>
        </w:rPr>
        <w:t>y</w:t>
      </w:r>
      <w:r>
        <w:rPr>
          <w:spacing w:val="12"/>
          <w:sz w:val="10"/>
        </w:rPr>
        <w:t xml:space="preserve"> </w:t>
      </w:r>
      <w:r>
        <w:rPr>
          <w:sz w:val="10"/>
        </w:rPr>
        <w:t>Directiva</w:t>
      </w:r>
      <w:r>
        <w:rPr>
          <w:spacing w:val="40"/>
          <w:sz w:val="10"/>
        </w:rPr>
        <w:t xml:space="preserve"> </w:t>
      </w:r>
      <w:r>
        <w:rPr>
          <w:sz w:val="10"/>
        </w:rPr>
        <w:t>2000/78/CE</w:t>
      </w:r>
      <w:r>
        <w:rPr>
          <w:spacing w:val="15"/>
          <w:sz w:val="10"/>
        </w:rPr>
        <w:t xml:space="preserve"> </w:t>
      </w:r>
      <w:r>
        <w:rPr>
          <w:sz w:val="10"/>
        </w:rPr>
        <w:t>del</w:t>
      </w:r>
      <w:r>
        <w:rPr>
          <w:spacing w:val="15"/>
          <w:sz w:val="10"/>
        </w:rPr>
        <w:t xml:space="preserve"> </w:t>
      </w:r>
      <w:r>
        <w:rPr>
          <w:sz w:val="10"/>
        </w:rPr>
        <w:t>Consejo,</w:t>
      </w:r>
      <w:r>
        <w:rPr>
          <w:spacing w:val="16"/>
          <w:sz w:val="10"/>
        </w:rPr>
        <w:t xml:space="preserve"> </w:t>
      </w:r>
      <w:r>
        <w:rPr>
          <w:sz w:val="10"/>
        </w:rPr>
        <w:t>de</w:t>
      </w:r>
      <w:r>
        <w:rPr>
          <w:spacing w:val="15"/>
          <w:sz w:val="10"/>
        </w:rPr>
        <w:t xml:space="preserve"> </w:t>
      </w:r>
      <w:r>
        <w:rPr>
          <w:sz w:val="10"/>
        </w:rPr>
        <w:t>27</w:t>
      </w:r>
      <w:r>
        <w:rPr>
          <w:spacing w:val="15"/>
          <w:sz w:val="10"/>
        </w:rPr>
        <w:t xml:space="preserve"> </w:t>
      </w:r>
      <w:r>
        <w:rPr>
          <w:sz w:val="10"/>
        </w:rPr>
        <w:t>de</w:t>
      </w:r>
      <w:r>
        <w:rPr>
          <w:spacing w:val="15"/>
          <w:sz w:val="10"/>
        </w:rPr>
        <w:t xml:space="preserve"> </w:t>
      </w:r>
      <w:r>
        <w:rPr>
          <w:sz w:val="10"/>
        </w:rPr>
        <w:t>noviembre</w:t>
      </w:r>
      <w:r>
        <w:rPr>
          <w:spacing w:val="15"/>
          <w:sz w:val="10"/>
        </w:rPr>
        <w:t xml:space="preserve"> </w:t>
      </w:r>
      <w:r>
        <w:rPr>
          <w:sz w:val="10"/>
        </w:rPr>
        <w:t>de</w:t>
      </w:r>
      <w:r>
        <w:rPr>
          <w:spacing w:val="15"/>
          <w:sz w:val="10"/>
        </w:rPr>
        <w:t xml:space="preserve"> </w:t>
      </w:r>
      <w:r>
        <w:rPr>
          <w:sz w:val="10"/>
        </w:rPr>
        <w:t>2000,</w:t>
      </w:r>
      <w:r>
        <w:rPr>
          <w:spacing w:val="16"/>
          <w:sz w:val="10"/>
        </w:rPr>
        <w:t xml:space="preserve"> </w:t>
      </w:r>
      <w:r>
        <w:rPr>
          <w:sz w:val="10"/>
        </w:rPr>
        <w:t>por</w:t>
      </w:r>
      <w:r>
        <w:rPr>
          <w:spacing w:val="15"/>
          <w:sz w:val="10"/>
        </w:rPr>
        <w:t xml:space="preserve"> </w:t>
      </w:r>
      <w:r>
        <w:rPr>
          <w:sz w:val="10"/>
        </w:rPr>
        <w:t>la</w:t>
      </w:r>
      <w:r>
        <w:rPr>
          <w:spacing w:val="15"/>
          <w:sz w:val="10"/>
        </w:rPr>
        <w:t xml:space="preserve"> </w:t>
      </w:r>
      <w:r>
        <w:rPr>
          <w:sz w:val="10"/>
        </w:rPr>
        <w:t>que</w:t>
      </w:r>
      <w:r>
        <w:rPr>
          <w:spacing w:val="15"/>
          <w:sz w:val="10"/>
        </w:rPr>
        <w:t xml:space="preserve"> </w:t>
      </w:r>
      <w:r>
        <w:rPr>
          <w:sz w:val="10"/>
        </w:rPr>
        <w:t>se</w:t>
      </w:r>
      <w:r>
        <w:rPr>
          <w:spacing w:val="15"/>
          <w:sz w:val="10"/>
        </w:rPr>
        <w:t xml:space="preserve"> </w:t>
      </w:r>
      <w:r>
        <w:rPr>
          <w:sz w:val="10"/>
        </w:rPr>
        <w:t>establece</w:t>
      </w:r>
      <w:r>
        <w:rPr>
          <w:spacing w:val="15"/>
          <w:sz w:val="10"/>
        </w:rPr>
        <w:t xml:space="preserve"> </w:t>
      </w:r>
      <w:r>
        <w:rPr>
          <w:sz w:val="10"/>
        </w:rPr>
        <w:t>un</w:t>
      </w:r>
      <w:r>
        <w:rPr>
          <w:spacing w:val="15"/>
          <w:sz w:val="10"/>
        </w:rPr>
        <w:t xml:space="preserve"> </w:t>
      </w:r>
      <w:r>
        <w:rPr>
          <w:sz w:val="10"/>
        </w:rPr>
        <w:t>marco</w:t>
      </w:r>
      <w:r>
        <w:rPr>
          <w:spacing w:val="15"/>
          <w:sz w:val="10"/>
        </w:rPr>
        <w:t xml:space="preserve"> </w:t>
      </w:r>
      <w:r>
        <w:rPr>
          <w:sz w:val="10"/>
        </w:rPr>
        <w:t>general</w:t>
      </w:r>
      <w:r>
        <w:rPr>
          <w:spacing w:val="15"/>
          <w:sz w:val="10"/>
        </w:rPr>
        <w:t xml:space="preserve"> </w:t>
      </w:r>
      <w:r>
        <w:rPr>
          <w:sz w:val="10"/>
        </w:rPr>
        <w:t>para</w:t>
      </w:r>
      <w:r>
        <w:rPr>
          <w:spacing w:val="15"/>
          <w:sz w:val="10"/>
        </w:rPr>
        <w:t xml:space="preserve"> </w:t>
      </w:r>
      <w:r>
        <w:rPr>
          <w:sz w:val="10"/>
        </w:rPr>
        <w:t>la</w:t>
      </w:r>
      <w:r>
        <w:rPr>
          <w:spacing w:val="15"/>
          <w:sz w:val="10"/>
        </w:rPr>
        <w:t xml:space="preserve"> </w:t>
      </w:r>
      <w:r>
        <w:rPr>
          <w:sz w:val="10"/>
        </w:rPr>
        <w:t>igualdad</w:t>
      </w:r>
      <w:r>
        <w:rPr>
          <w:spacing w:val="15"/>
          <w:sz w:val="10"/>
        </w:rPr>
        <w:t xml:space="preserve"> </w:t>
      </w:r>
      <w:r>
        <w:rPr>
          <w:sz w:val="10"/>
        </w:rPr>
        <w:t>de</w:t>
      </w:r>
      <w:r>
        <w:rPr>
          <w:spacing w:val="15"/>
          <w:sz w:val="10"/>
        </w:rPr>
        <w:t xml:space="preserve"> </w:t>
      </w:r>
      <w:r>
        <w:rPr>
          <w:sz w:val="10"/>
        </w:rPr>
        <w:t>trato</w:t>
      </w:r>
      <w:r>
        <w:rPr>
          <w:spacing w:val="15"/>
          <w:sz w:val="10"/>
        </w:rPr>
        <w:t xml:space="preserve"> </w:t>
      </w:r>
      <w:r>
        <w:rPr>
          <w:sz w:val="10"/>
        </w:rPr>
        <w:t>en</w:t>
      </w:r>
      <w:r>
        <w:rPr>
          <w:spacing w:val="15"/>
          <w:sz w:val="10"/>
        </w:rPr>
        <w:t xml:space="preserve"> </w:t>
      </w:r>
      <w:r>
        <w:rPr>
          <w:sz w:val="10"/>
        </w:rPr>
        <w:t>el</w:t>
      </w:r>
      <w:r>
        <w:rPr>
          <w:spacing w:val="15"/>
          <w:sz w:val="10"/>
        </w:rPr>
        <w:t xml:space="preserve"> </w:t>
      </w:r>
      <w:r>
        <w:rPr>
          <w:sz w:val="10"/>
        </w:rPr>
        <w:t>empleo</w:t>
      </w:r>
      <w:r>
        <w:rPr>
          <w:spacing w:val="15"/>
          <w:sz w:val="10"/>
        </w:rPr>
        <w:t xml:space="preserve"> </w:t>
      </w:r>
      <w:r>
        <w:rPr>
          <w:sz w:val="10"/>
        </w:rPr>
        <w:t>y</w:t>
      </w:r>
      <w:r>
        <w:rPr>
          <w:spacing w:val="15"/>
          <w:sz w:val="10"/>
        </w:rPr>
        <w:t xml:space="preserve"> </w:t>
      </w:r>
      <w:r>
        <w:rPr>
          <w:sz w:val="10"/>
        </w:rPr>
        <w:t>la</w:t>
      </w:r>
      <w:r>
        <w:rPr>
          <w:spacing w:val="15"/>
          <w:sz w:val="10"/>
        </w:rPr>
        <w:t xml:space="preserve"> </w:t>
      </w:r>
      <w:r>
        <w:rPr>
          <w:sz w:val="10"/>
        </w:rPr>
        <w:t>ocupación,</w:t>
      </w:r>
      <w:r>
        <w:rPr>
          <w:spacing w:val="16"/>
          <w:sz w:val="10"/>
        </w:rPr>
        <w:t xml:space="preserve"> </w:t>
      </w:r>
      <w:r>
        <w:rPr>
          <w:sz w:val="10"/>
        </w:rPr>
        <w:t>art.</w:t>
      </w:r>
      <w:r>
        <w:rPr>
          <w:spacing w:val="15"/>
          <w:sz w:val="10"/>
        </w:rPr>
        <w:t xml:space="preserve"> </w:t>
      </w:r>
      <w:r>
        <w:rPr>
          <w:sz w:val="10"/>
        </w:rPr>
        <w:t>10</w:t>
      </w:r>
      <w:r>
        <w:rPr>
          <w:spacing w:val="15"/>
          <w:sz w:val="10"/>
        </w:rPr>
        <w:t xml:space="preserve"> </w:t>
      </w:r>
      <w:r>
        <w:rPr>
          <w:sz w:val="10"/>
        </w:rPr>
        <w:t>(5).</w:t>
      </w:r>
    </w:p>
    <w:p w14:paraId="18DB73B7" w14:textId="77777777" w:rsidR="0014798C" w:rsidRDefault="0014798C">
      <w:pPr>
        <w:pStyle w:val="Textoindependiente"/>
        <w:rPr>
          <w:sz w:val="18"/>
        </w:rPr>
      </w:pPr>
    </w:p>
    <w:p w14:paraId="35F304DB" w14:textId="77777777" w:rsidR="0014798C" w:rsidRDefault="0014798C">
      <w:pPr>
        <w:pStyle w:val="Textoindependiente"/>
        <w:rPr>
          <w:sz w:val="18"/>
        </w:rPr>
      </w:pPr>
    </w:p>
    <w:p w14:paraId="470E0313" w14:textId="77777777" w:rsidR="0014798C" w:rsidRDefault="0014798C">
      <w:pPr>
        <w:pStyle w:val="Textoindependiente"/>
        <w:rPr>
          <w:sz w:val="18"/>
        </w:rPr>
      </w:pPr>
    </w:p>
    <w:p w14:paraId="7F98CE9C" w14:textId="77777777" w:rsidR="0014798C" w:rsidRDefault="0014798C">
      <w:pPr>
        <w:pStyle w:val="Textoindependiente"/>
        <w:spacing w:before="110"/>
        <w:rPr>
          <w:sz w:val="18"/>
        </w:rPr>
      </w:pPr>
    </w:p>
    <w:p w14:paraId="243B274B" w14:textId="77777777" w:rsidR="0014798C" w:rsidRDefault="004E1F0B">
      <w:pPr>
        <w:ind w:right="721"/>
        <w:jc w:val="right"/>
        <w:rPr>
          <w:sz w:val="18"/>
        </w:rPr>
      </w:pPr>
      <w:r>
        <w:rPr>
          <w:spacing w:val="-5"/>
          <w:sz w:val="18"/>
        </w:rPr>
        <w:t>95</w:t>
      </w:r>
    </w:p>
    <w:p w14:paraId="0C5F1C06" w14:textId="77777777" w:rsidR="0014798C" w:rsidRDefault="0014798C">
      <w:pPr>
        <w:jc w:val="right"/>
        <w:rPr>
          <w:sz w:val="18"/>
        </w:rPr>
        <w:sectPr w:rsidR="0014798C" w:rsidSect="00F265E4">
          <w:type w:val="continuous"/>
          <w:pgSz w:w="11900" w:h="16820"/>
          <w:pgMar w:top="40" w:right="0" w:bottom="280" w:left="200" w:header="121" w:footer="0" w:gutter="0"/>
          <w:cols w:space="720"/>
        </w:sectPr>
      </w:pPr>
    </w:p>
    <w:p w14:paraId="37C2D95D" w14:textId="77777777" w:rsidR="0014798C" w:rsidRDefault="0014798C">
      <w:pPr>
        <w:pStyle w:val="Textoindependiente"/>
        <w:spacing w:before="85"/>
        <w:rPr>
          <w:sz w:val="12"/>
        </w:rPr>
      </w:pPr>
    </w:p>
    <w:p w14:paraId="49198DB1" w14:textId="77777777" w:rsidR="0014798C" w:rsidRDefault="004E1F0B">
      <w:pPr>
        <w:ind w:left="1111"/>
        <w:rPr>
          <w:sz w:val="12"/>
        </w:rPr>
      </w:pPr>
      <w:r>
        <w:rPr>
          <w:color w:val="00AC59"/>
          <w:sz w:val="12"/>
        </w:rPr>
        <w:t>PROTECCIÓN</w:t>
      </w:r>
      <w:r>
        <w:rPr>
          <w:color w:val="00AC59"/>
          <w:spacing w:val="6"/>
          <w:sz w:val="12"/>
        </w:rPr>
        <w:t xml:space="preserve"> </w:t>
      </w:r>
      <w:r>
        <w:rPr>
          <w:color w:val="00AC59"/>
          <w:sz w:val="12"/>
        </w:rPr>
        <w:t>DE</w:t>
      </w:r>
      <w:r>
        <w:rPr>
          <w:color w:val="00AC59"/>
          <w:spacing w:val="7"/>
          <w:sz w:val="12"/>
        </w:rPr>
        <w:t xml:space="preserve"> </w:t>
      </w:r>
      <w:r>
        <w:rPr>
          <w:color w:val="00AC59"/>
          <w:sz w:val="12"/>
        </w:rPr>
        <w:t>LOS</w:t>
      </w:r>
      <w:r>
        <w:rPr>
          <w:color w:val="00AC59"/>
          <w:spacing w:val="8"/>
          <w:sz w:val="12"/>
        </w:rPr>
        <w:t xml:space="preserve"> </w:t>
      </w:r>
      <w:r>
        <w:rPr>
          <w:color w:val="00AC59"/>
          <w:sz w:val="12"/>
        </w:rPr>
        <w:t>DERECHOS</w:t>
      </w:r>
      <w:r>
        <w:rPr>
          <w:color w:val="00AC59"/>
          <w:spacing w:val="8"/>
          <w:sz w:val="12"/>
        </w:rPr>
        <w:t xml:space="preserve"> </w:t>
      </w:r>
      <w:r>
        <w:rPr>
          <w:color w:val="00AC59"/>
          <w:sz w:val="12"/>
        </w:rPr>
        <w:t>DE</w:t>
      </w:r>
      <w:r>
        <w:rPr>
          <w:color w:val="00AC59"/>
          <w:spacing w:val="6"/>
          <w:sz w:val="12"/>
        </w:rPr>
        <w:t xml:space="preserve"> </w:t>
      </w:r>
      <w:r>
        <w:rPr>
          <w:color w:val="00AC59"/>
          <w:sz w:val="12"/>
        </w:rPr>
        <w:t>LAS</w:t>
      </w:r>
      <w:r>
        <w:rPr>
          <w:color w:val="00AC59"/>
          <w:spacing w:val="7"/>
          <w:sz w:val="12"/>
        </w:rPr>
        <w:t xml:space="preserve"> </w:t>
      </w:r>
      <w:r>
        <w:rPr>
          <w:color w:val="00AC59"/>
          <w:sz w:val="12"/>
        </w:rPr>
        <w:t>MINORÍAS:</w:t>
      </w:r>
      <w:r>
        <w:rPr>
          <w:color w:val="00AC59"/>
          <w:spacing w:val="8"/>
          <w:sz w:val="12"/>
        </w:rPr>
        <w:t xml:space="preserve"> </w:t>
      </w:r>
      <w:r>
        <w:rPr>
          <w:color w:val="00AC59"/>
          <w:sz w:val="12"/>
        </w:rPr>
        <w:t>una</w:t>
      </w:r>
      <w:r>
        <w:rPr>
          <w:color w:val="00AC59"/>
          <w:spacing w:val="7"/>
          <w:sz w:val="12"/>
        </w:rPr>
        <w:t xml:space="preserve"> </w:t>
      </w:r>
      <w:r>
        <w:rPr>
          <w:color w:val="00AC59"/>
          <w:sz w:val="12"/>
        </w:rPr>
        <w:t>guía</w:t>
      </w:r>
      <w:r>
        <w:rPr>
          <w:color w:val="00AC59"/>
          <w:spacing w:val="6"/>
          <w:sz w:val="12"/>
        </w:rPr>
        <w:t xml:space="preserve"> </w:t>
      </w:r>
      <w:r>
        <w:rPr>
          <w:color w:val="00AC59"/>
          <w:sz w:val="12"/>
        </w:rPr>
        <w:t>práctica</w:t>
      </w:r>
      <w:r>
        <w:rPr>
          <w:color w:val="00AC59"/>
          <w:spacing w:val="7"/>
          <w:sz w:val="12"/>
        </w:rPr>
        <w:t xml:space="preserve"> </w:t>
      </w:r>
      <w:r>
        <w:rPr>
          <w:color w:val="00AC59"/>
          <w:sz w:val="12"/>
        </w:rPr>
        <w:t>para</w:t>
      </w:r>
      <w:r>
        <w:rPr>
          <w:color w:val="00AC59"/>
          <w:spacing w:val="8"/>
          <w:sz w:val="12"/>
        </w:rPr>
        <w:t xml:space="preserve"> </w:t>
      </w:r>
      <w:r>
        <w:rPr>
          <w:color w:val="00AC59"/>
          <w:sz w:val="12"/>
        </w:rPr>
        <w:t>desarrollar</w:t>
      </w:r>
      <w:r>
        <w:rPr>
          <w:color w:val="00AC59"/>
          <w:spacing w:val="6"/>
          <w:sz w:val="12"/>
        </w:rPr>
        <w:t xml:space="preserve"> </w:t>
      </w:r>
      <w:r>
        <w:rPr>
          <w:color w:val="00AC59"/>
          <w:sz w:val="12"/>
        </w:rPr>
        <w:t>una</w:t>
      </w:r>
      <w:r>
        <w:rPr>
          <w:color w:val="00AC59"/>
          <w:spacing w:val="7"/>
          <w:sz w:val="12"/>
        </w:rPr>
        <w:t xml:space="preserve"> </w:t>
      </w:r>
      <w:r>
        <w:rPr>
          <w:color w:val="00AC59"/>
          <w:sz w:val="12"/>
        </w:rPr>
        <w:t>legislación</w:t>
      </w:r>
      <w:r>
        <w:rPr>
          <w:color w:val="00AC59"/>
          <w:spacing w:val="8"/>
          <w:sz w:val="12"/>
        </w:rPr>
        <w:t xml:space="preserve"> </w:t>
      </w:r>
      <w:r>
        <w:rPr>
          <w:color w:val="00AC59"/>
          <w:sz w:val="12"/>
        </w:rPr>
        <w:t>integral</w:t>
      </w:r>
      <w:r>
        <w:rPr>
          <w:color w:val="00AC59"/>
          <w:spacing w:val="7"/>
          <w:sz w:val="12"/>
        </w:rPr>
        <w:t xml:space="preserve"> </w:t>
      </w:r>
      <w:r>
        <w:rPr>
          <w:color w:val="00AC59"/>
          <w:sz w:val="12"/>
        </w:rPr>
        <w:t>contra</w:t>
      </w:r>
      <w:r>
        <w:rPr>
          <w:color w:val="00AC59"/>
          <w:spacing w:val="6"/>
          <w:sz w:val="12"/>
        </w:rPr>
        <w:t xml:space="preserve"> </w:t>
      </w:r>
      <w:r>
        <w:rPr>
          <w:color w:val="00AC59"/>
          <w:sz w:val="12"/>
        </w:rPr>
        <w:t>la</w:t>
      </w:r>
      <w:r>
        <w:rPr>
          <w:color w:val="00AC59"/>
          <w:spacing w:val="7"/>
          <w:sz w:val="12"/>
        </w:rPr>
        <w:t xml:space="preserve"> </w:t>
      </w:r>
      <w:r>
        <w:rPr>
          <w:color w:val="00AC59"/>
          <w:spacing w:val="-2"/>
          <w:sz w:val="12"/>
        </w:rPr>
        <w:t>discriminación</w:t>
      </w:r>
    </w:p>
    <w:p w14:paraId="745D8F06" w14:textId="77777777" w:rsidR="0014798C" w:rsidRDefault="0014798C">
      <w:pPr>
        <w:pStyle w:val="Textoindependiente"/>
      </w:pPr>
    </w:p>
    <w:p w14:paraId="4444BD36" w14:textId="77777777" w:rsidR="0014798C" w:rsidRDefault="0014798C">
      <w:pPr>
        <w:pStyle w:val="Textoindependiente"/>
      </w:pPr>
    </w:p>
    <w:p w14:paraId="1C1B86FA" w14:textId="77777777" w:rsidR="0014798C" w:rsidRDefault="0014798C">
      <w:pPr>
        <w:pStyle w:val="Textoindependiente"/>
      </w:pPr>
    </w:p>
    <w:p w14:paraId="6715EDCC" w14:textId="77777777" w:rsidR="0014798C" w:rsidRDefault="0014798C">
      <w:pPr>
        <w:pStyle w:val="Textoindependiente"/>
      </w:pPr>
    </w:p>
    <w:p w14:paraId="4F50A82A" w14:textId="77777777" w:rsidR="0014798C" w:rsidRDefault="0014798C">
      <w:pPr>
        <w:pStyle w:val="Textoindependiente"/>
        <w:spacing w:before="28"/>
      </w:pPr>
    </w:p>
    <w:p w14:paraId="6450332A" w14:textId="77777777" w:rsidR="0014798C" w:rsidRDefault="004E1F0B">
      <w:pPr>
        <w:pStyle w:val="Textoindependiente"/>
        <w:ind w:left="1342"/>
      </w:pPr>
      <w:r>
        <w:rPr>
          <w:noProof/>
        </w:rPr>
        <w:drawing>
          <wp:anchor distT="0" distB="0" distL="0" distR="0" simplePos="0" relativeHeight="251658432" behindDoc="1" locked="0" layoutInCell="1" allowOverlap="1" wp14:anchorId="796EC392" wp14:editId="2951B28C">
            <wp:simplePos x="0" y="0"/>
            <wp:positionH relativeFrom="page">
              <wp:posOffset>813154</wp:posOffset>
            </wp:positionH>
            <wp:positionV relativeFrom="paragraph">
              <wp:posOffset>-128383</wp:posOffset>
            </wp:positionV>
            <wp:extent cx="5943667" cy="5504357"/>
            <wp:effectExtent l="0" t="0" r="0" b="0"/>
            <wp:wrapNone/>
            <wp:docPr id="215" name="Image 21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15" name="Image 215"/>
                    <pic:cNvPicPr/>
                  </pic:nvPicPr>
                  <pic:blipFill>
                    <a:blip r:embed="rId193" cstate="print"/>
                    <a:stretch>
                      <a:fillRect/>
                    </a:stretch>
                  </pic:blipFill>
                  <pic:spPr>
                    <a:xfrm>
                      <a:off x="0" y="0"/>
                      <a:ext cx="5943667" cy="5504357"/>
                    </a:xfrm>
                    <a:prstGeom prst="rect">
                      <a:avLst/>
                    </a:prstGeom>
                  </pic:spPr>
                </pic:pic>
              </a:graphicData>
            </a:graphic>
          </wp:anchor>
        </w:drawing>
      </w:r>
      <w:r>
        <w:rPr>
          <w:w w:val="105"/>
        </w:rPr>
        <w:t>CARGA</w:t>
      </w:r>
      <w:r>
        <w:rPr>
          <w:spacing w:val="-10"/>
          <w:w w:val="105"/>
        </w:rPr>
        <w:t xml:space="preserve"> </w:t>
      </w:r>
      <w:r>
        <w:rPr>
          <w:w w:val="105"/>
        </w:rPr>
        <w:t>DE</w:t>
      </w:r>
      <w:r>
        <w:rPr>
          <w:spacing w:val="-9"/>
          <w:w w:val="105"/>
        </w:rPr>
        <w:t xml:space="preserve"> </w:t>
      </w:r>
      <w:r>
        <w:rPr>
          <w:w w:val="105"/>
        </w:rPr>
        <w:t>LA</w:t>
      </w:r>
      <w:r>
        <w:rPr>
          <w:spacing w:val="-9"/>
          <w:w w:val="105"/>
        </w:rPr>
        <w:t xml:space="preserve"> </w:t>
      </w:r>
      <w:r>
        <w:rPr>
          <w:w w:val="105"/>
        </w:rPr>
        <w:t>PRUEBA:</w:t>
      </w:r>
      <w:r>
        <w:rPr>
          <w:spacing w:val="-9"/>
          <w:w w:val="105"/>
        </w:rPr>
        <w:t xml:space="preserve"> </w:t>
      </w:r>
      <w:r>
        <w:rPr>
          <w:w w:val="105"/>
        </w:rPr>
        <w:t>ENFOQUE</w:t>
      </w:r>
      <w:r>
        <w:rPr>
          <w:spacing w:val="-9"/>
          <w:w w:val="105"/>
        </w:rPr>
        <w:t xml:space="preserve"> </w:t>
      </w:r>
      <w:r>
        <w:rPr>
          <w:w w:val="105"/>
        </w:rPr>
        <w:t>DEL</w:t>
      </w:r>
      <w:r>
        <w:rPr>
          <w:spacing w:val="-9"/>
          <w:w w:val="105"/>
        </w:rPr>
        <w:t xml:space="preserve"> </w:t>
      </w:r>
      <w:r>
        <w:rPr>
          <w:w w:val="105"/>
        </w:rPr>
        <w:t>CONSEJO</w:t>
      </w:r>
      <w:r>
        <w:rPr>
          <w:spacing w:val="-9"/>
          <w:w w:val="105"/>
        </w:rPr>
        <w:t xml:space="preserve"> </w:t>
      </w:r>
      <w:r>
        <w:rPr>
          <w:w w:val="105"/>
        </w:rPr>
        <w:t>DE</w:t>
      </w:r>
      <w:r>
        <w:rPr>
          <w:spacing w:val="-9"/>
          <w:w w:val="105"/>
        </w:rPr>
        <w:t xml:space="preserve"> </w:t>
      </w:r>
      <w:r>
        <w:rPr>
          <w:w w:val="105"/>
        </w:rPr>
        <w:t>ESTADO</w:t>
      </w:r>
      <w:r>
        <w:rPr>
          <w:spacing w:val="-9"/>
          <w:w w:val="105"/>
        </w:rPr>
        <w:t xml:space="preserve"> </w:t>
      </w:r>
      <w:r>
        <w:rPr>
          <w:w w:val="105"/>
        </w:rPr>
        <w:t>EN</w:t>
      </w:r>
      <w:r>
        <w:rPr>
          <w:spacing w:val="-9"/>
          <w:w w:val="105"/>
        </w:rPr>
        <w:t xml:space="preserve"> </w:t>
      </w:r>
      <w:r>
        <w:rPr>
          <w:spacing w:val="-2"/>
          <w:w w:val="105"/>
        </w:rPr>
        <w:t>FRANCIA</w:t>
      </w:r>
    </w:p>
    <w:p w14:paraId="73C7BF47" w14:textId="77777777" w:rsidR="0014798C" w:rsidRDefault="0014798C">
      <w:pPr>
        <w:pStyle w:val="Textoindependiente"/>
        <w:spacing w:before="35"/>
      </w:pPr>
    </w:p>
    <w:p w14:paraId="5101EBA5" w14:textId="77777777" w:rsidR="0014798C" w:rsidRDefault="004E1F0B">
      <w:pPr>
        <w:pStyle w:val="Textoindependiente"/>
        <w:spacing w:before="1" w:line="326" w:lineRule="auto"/>
        <w:ind w:left="1333" w:right="1272" w:hanging="1"/>
      </w:pPr>
      <w:r>
        <w:rPr>
          <w:w w:val="105"/>
        </w:rPr>
        <w:t>En</w:t>
      </w:r>
      <w:r>
        <w:rPr>
          <w:spacing w:val="-6"/>
          <w:w w:val="105"/>
        </w:rPr>
        <w:t xml:space="preserve"> </w:t>
      </w:r>
      <w:r>
        <w:rPr>
          <w:w w:val="105"/>
        </w:rPr>
        <w:t>un</w:t>
      </w:r>
      <w:r>
        <w:rPr>
          <w:spacing w:val="-6"/>
          <w:w w:val="105"/>
        </w:rPr>
        <w:t xml:space="preserve"> </w:t>
      </w:r>
      <w:r>
        <w:rPr>
          <w:w w:val="105"/>
        </w:rPr>
        <w:t>caso</w:t>
      </w:r>
      <w:r>
        <w:rPr>
          <w:spacing w:val="-6"/>
          <w:w w:val="105"/>
        </w:rPr>
        <w:t xml:space="preserve"> </w:t>
      </w:r>
      <w:r>
        <w:rPr>
          <w:w w:val="105"/>
        </w:rPr>
        <w:t>de</w:t>
      </w:r>
      <w:r>
        <w:rPr>
          <w:spacing w:val="-6"/>
          <w:w w:val="105"/>
        </w:rPr>
        <w:t xml:space="preserve"> </w:t>
      </w:r>
      <w:r>
        <w:rPr>
          <w:w w:val="105"/>
        </w:rPr>
        <w:t>2009,</w:t>
      </w:r>
      <w:r>
        <w:rPr>
          <w:spacing w:val="-5"/>
          <w:w w:val="105"/>
        </w:rPr>
        <w:t xml:space="preserve"> </w:t>
      </w:r>
      <w:r>
        <w:rPr>
          <w:w w:val="105"/>
        </w:rPr>
        <w:t>el</w:t>
      </w:r>
      <w:r>
        <w:rPr>
          <w:spacing w:val="-6"/>
          <w:w w:val="105"/>
        </w:rPr>
        <w:t xml:space="preserve"> </w:t>
      </w:r>
      <w:r>
        <w:rPr>
          <w:w w:val="105"/>
        </w:rPr>
        <w:t>tribunal</w:t>
      </w:r>
      <w:r>
        <w:rPr>
          <w:spacing w:val="-6"/>
          <w:w w:val="105"/>
        </w:rPr>
        <w:t xml:space="preserve"> </w:t>
      </w:r>
      <w:r>
        <w:rPr>
          <w:w w:val="105"/>
        </w:rPr>
        <w:t>administrativo</w:t>
      </w:r>
      <w:r>
        <w:rPr>
          <w:spacing w:val="-6"/>
          <w:w w:val="105"/>
        </w:rPr>
        <w:t xml:space="preserve"> </w:t>
      </w:r>
      <w:r>
        <w:rPr>
          <w:w w:val="105"/>
        </w:rPr>
        <w:t>supremo</w:t>
      </w:r>
      <w:r>
        <w:rPr>
          <w:spacing w:val="-6"/>
          <w:w w:val="105"/>
        </w:rPr>
        <w:t xml:space="preserve"> </w:t>
      </w:r>
      <w:r>
        <w:rPr>
          <w:w w:val="105"/>
        </w:rPr>
        <w:t>de</w:t>
      </w:r>
      <w:r>
        <w:rPr>
          <w:spacing w:val="-6"/>
          <w:w w:val="105"/>
        </w:rPr>
        <w:t xml:space="preserve"> </w:t>
      </w:r>
      <w:r>
        <w:rPr>
          <w:w w:val="105"/>
        </w:rPr>
        <w:t>Francia,</w:t>
      </w:r>
      <w:r>
        <w:rPr>
          <w:spacing w:val="-5"/>
          <w:w w:val="105"/>
        </w:rPr>
        <w:t xml:space="preserve"> </w:t>
      </w:r>
      <w:r>
        <w:rPr>
          <w:w w:val="105"/>
        </w:rPr>
        <w:t>el</w:t>
      </w:r>
      <w:r>
        <w:rPr>
          <w:spacing w:val="-6"/>
          <w:w w:val="105"/>
        </w:rPr>
        <w:t xml:space="preserve"> </w:t>
      </w:r>
      <w:r>
        <w:rPr>
          <w:w w:val="105"/>
        </w:rPr>
        <w:t>Consejo</w:t>
      </w:r>
      <w:r>
        <w:rPr>
          <w:spacing w:val="-6"/>
          <w:w w:val="105"/>
        </w:rPr>
        <w:t xml:space="preserve"> </w:t>
      </w:r>
      <w:r>
        <w:rPr>
          <w:w w:val="105"/>
        </w:rPr>
        <w:t>de</w:t>
      </w:r>
      <w:r>
        <w:rPr>
          <w:spacing w:val="-6"/>
          <w:w w:val="105"/>
        </w:rPr>
        <w:t xml:space="preserve"> </w:t>
      </w:r>
      <w:r>
        <w:rPr>
          <w:w w:val="105"/>
        </w:rPr>
        <w:t>Estado,697</w:t>
      </w:r>
      <w:r>
        <w:rPr>
          <w:spacing w:val="-6"/>
          <w:w w:val="105"/>
        </w:rPr>
        <w:t xml:space="preserve"> </w:t>
      </w:r>
      <w:r>
        <w:rPr>
          <w:w w:val="105"/>
        </w:rPr>
        <w:t>estableció</w:t>
      </w:r>
      <w:r>
        <w:rPr>
          <w:spacing w:val="-6"/>
          <w:w w:val="105"/>
        </w:rPr>
        <w:t xml:space="preserve"> </w:t>
      </w:r>
      <w:r>
        <w:rPr>
          <w:w w:val="105"/>
        </w:rPr>
        <w:t>el</w:t>
      </w:r>
      <w:r>
        <w:rPr>
          <w:spacing w:val="-6"/>
          <w:w w:val="105"/>
        </w:rPr>
        <w:t xml:space="preserve"> </w:t>
      </w:r>
      <w:r>
        <w:rPr>
          <w:w w:val="105"/>
        </w:rPr>
        <w:t>procedimiento que regula la carga de la prueba en casos de discriminación. Como el sistema francés es inquisitivo por naturaleza, la demandante no podía basarse en la legislación de la Unión Europea que exige un cambio de la carga de la prueba en casos de discriminación prima facie,698 en su demanda impugnando una decisión adoptada por el Ministerio de</w:t>
      </w:r>
    </w:p>
    <w:p w14:paraId="51BA05A9" w14:textId="77777777" w:rsidR="0014798C" w:rsidRDefault="004E1F0B">
      <w:pPr>
        <w:pStyle w:val="Textoindependiente"/>
        <w:spacing w:line="326" w:lineRule="auto"/>
        <w:ind w:left="1332" w:right="1272" w:firstLine="1"/>
      </w:pPr>
      <w:r>
        <w:rPr>
          <w:w w:val="105"/>
        </w:rPr>
        <w:t>Justicia. Sin</w:t>
      </w:r>
      <w:r>
        <w:rPr>
          <w:spacing w:val="-1"/>
          <w:w w:val="105"/>
        </w:rPr>
        <w:t xml:space="preserve"> </w:t>
      </w:r>
      <w:r>
        <w:rPr>
          <w:w w:val="105"/>
        </w:rPr>
        <w:t>embargo, el</w:t>
      </w:r>
      <w:r>
        <w:rPr>
          <w:spacing w:val="-1"/>
          <w:w w:val="105"/>
        </w:rPr>
        <w:t xml:space="preserve"> </w:t>
      </w:r>
      <w:r>
        <w:rPr>
          <w:w w:val="105"/>
        </w:rPr>
        <w:t>tribunal</w:t>
      </w:r>
      <w:r>
        <w:rPr>
          <w:spacing w:val="-1"/>
          <w:w w:val="105"/>
        </w:rPr>
        <w:t xml:space="preserve"> </w:t>
      </w:r>
      <w:r>
        <w:rPr>
          <w:w w:val="105"/>
        </w:rPr>
        <w:t>reconoció</w:t>
      </w:r>
      <w:r>
        <w:rPr>
          <w:spacing w:val="-1"/>
          <w:w w:val="105"/>
        </w:rPr>
        <w:t xml:space="preserve"> </w:t>
      </w:r>
      <w:r>
        <w:rPr>
          <w:w w:val="105"/>
        </w:rPr>
        <w:t>que, en</w:t>
      </w:r>
      <w:r>
        <w:rPr>
          <w:spacing w:val="-1"/>
          <w:w w:val="105"/>
        </w:rPr>
        <w:t xml:space="preserve"> </w:t>
      </w:r>
      <w:r>
        <w:rPr>
          <w:w w:val="105"/>
        </w:rPr>
        <w:t>el</w:t>
      </w:r>
      <w:r>
        <w:rPr>
          <w:spacing w:val="-1"/>
          <w:w w:val="105"/>
        </w:rPr>
        <w:t xml:space="preserve"> </w:t>
      </w:r>
      <w:r>
        <w:rPr>
          <w:w w:val="105"/>
        </w:rPr>
        <w:t>sistema</w:t>
      </w:r>
      <w:r>
        <w:rPr>
          <w:spacing w:val="-1"/>
          <w:w w:val="105"/>
        </w:rPr>
        <w:t xml:space="preserve"> </w:t>
      </w:r>
      <w:r>
        <w:rPr>
          <w:w w:val="105"/>
        </w:rPr>
        <w:t>inquisitivo, la</w:t>
      </w:r>
      <w:r>
        <w:rPr>
          <w:spacing w:val="-1"/>
          <w:w w:val="105"/>
        </w:rPr>
        <w:t xml:space="preserve"> </w:t>
      </w:r>
      <w:r>
        <w:rPr>
          <w:w w:val="105"/>
        </w:rPr>
        <w:t>responsabilidad</w:t>
      </w:r>
      <w:r>
        <w:rPr>
          <w:spacing w:val="-1"/>
          <w:w w:val="105"/>
        </w:rPr>
        <w:t xml:space="preserve"> </w:t>
      </w:r>
      <w:r>
        <w:rPr>
          <w:w w:val="105"/>
        </w:rPr>
        <w:t>del</w:t>
      </w:r>
      <w:r>
        <w:rPr>
          <w:spacing w:val="-1"/>
          <w:w w:val="105"/>
        </w:rPr>
        <w:t xml:space="preserve"> </w:t>
      </w:r>
      <w:r>
        <w:rPr>
          <w:w w:val="105"/>
        </w:rPr>
        <w:t>juez</w:t>
      </w:r>
      <w:r>
        <w:rPr>
          <w:spacing w:val="-1"/>
          <w:w w:val="105"/>
        </w:rPr>
        <w:t xml:space="preserve"> </w:t>
      </w:r>
      <w:r>
        <w:rPr>
          <w:w w:val="105"/>
        </w:rPr>
        <w:t>administrativo, generalmente,</w:t>
      </w:r>
      <w:r>
        <w:rPr>
          <w:spacing w:val="-5"/>
          <w:w w:val="105"/>
        </w:rPr>
        <w:t xml:space="preserve"> </w:t>
      </w:r>
      <w:r>
        <w:rPr>
          <w:w w:val="105"/>
        </w:rPr>
        <w:t>era</w:t>
      </w:r>
      <w:r>
        <w:rPr>
          <w:spacing w:val="-6"/>
          <w:w w:val="105"/>
        </w:rPr>
        <w:t xml:space="preserve"> </w:t>
      </w:r>
      <w:r>
        <w:rPr>
          <w:w w:val="105"/>
        </w:rPr>
        <w:t>velar</w:t>
      </w:r>
      <w:r>
        <w:rPr>
          <w:spacing w:val="-6"/>
          <w:w w:val="105"/>
        </w:rPr>
        <w:t xml:space="preserve"> </w:t>
      </w:r>
      <w:r>
        <w:rPr>
          <w:w w:val="105"/>
        </w:rPr>
        <w:t>por</w:t>
      </w:r>
      <w:r>
        <w:rPr>
          <w:spacing w:val="-6"/>
          <w:w w:val="105"/>
        </w:rPr>
        <w:t xml:space="preserve"> </w:t>
      </w:r>
      <w:r>
        <w:rPr>
          <w:w w:val="105"/>
        </w:rPr>
        <w:t>que</w:t>
      </w:r>
      <w:r>
        <w:rPr>
          <w:spacing w:val="-6"/>
          <w:w w:val="105"/>
        </w:rPr>
        <w:t xml:space="preserve"> </w:t>
      </w:r>
      <w:r>
        <w:rPr>
          <w:w w:val="105"/>
        </w:rPr>
        <w:t>las</w:t>
      </w:r>
      <w:r>
        <w:rPr>
          <w:spacing w:val="-6"/>
          <w:w w:val="105"/>
        </w:rPr>
        <w:t xml:space="preserve"> </w:t>
      </w:r>
      <w:r>
        <w:rPr>
          <w:w w:val="105"/>
        </w:rPr>
        <w:t>partes</w:t>
      </w:r>
      <w:r>
        <w:rPr>
          <w:spacing w:val="-6"/>
          <w:w w:val="105"/>
        </w:rPr>
        <w:t xml:space="preserve"> </w:t>
      </w:r>
      <w:r>
        <w:rPr>
          <w:w w:val="105"/>
        </w:rPr>
        <w:t>proporcionaran</w:t>
      </w:r>
      <w:r>
        <w:rPr>
          <w:spacing w:val="-6"/>
          <w:w w:val="105"/>
        </w:rPr>
        <w:t xml:space="preserve"> </w:t>
      </w:r>
      <w:r>
        <w:rPr>
          <w:w w:val="105"/>
        </w:rPr>
        <w:t>todos</w:t>
      </w:r>
      <w:r>
        <w:rPr>
          <w:spacing w:val="-6"/>
          <w:w w:val="105"/>
        </w:rPr>
        <w:t xml:space="preserve"> </w:t>
      </w:r>
      <w:r>
        <w:rPr>
          <w:w w:val="105"/>
        </w:rPr>
        <w:t>los</w:t>
      </w:r>
      <w:r>
        <w:rPr>
          <w:spacing w:val="-6"/>
          <w:w w:val="105"/>
        </w:rPr>
        <w:t xml:space="preserve"> </w:t>
      </w:r>
      <w:r>
        <w:rPr>
          <w:w w:val="105"/>
        </w:rPr>
        <w:t>elementos</w:t>
      </w:r>
      <w:r>
        <w:rPr>
          <w:spacing w:val="-6"/>
          <w:w w:val="105"/>
        </w:rPr>
        <w:t xml:space="preserve"> </w:t>
      </w:r>
      <w:r>
        <w:rPr>
          <w:w w:val="105"/>
        </w:rPr>
        <w:t>para</w:t>
      </w:r>
      <w:r>
        <w:rPr>
          <w:spacing w:val="-6"/>
          <w:w w:val="105"/>
        </w:rPr>
        <w:t xml:space="preserve"> </w:t>
      </w:r>
      <w:r>
        <w:rPr>
          <w:w w:val="105"/>
        </w:rPr>
        <w:t>establecer</w:t>
      </w:r>
      <w:r>
        <w:rPr>
          <w:spacing w:val="-6"/>
          <w:w w:val="105"/>
        </w:rPr>
        <w:t xml:space="preserve"> </w:t>
      </w:r>
      <w:r>
        <w:rPr>
          <w:w w:val="105"/>
        </w:rPr>
        <w:t>sus</w:t>
      </w:r>
      <w:r>
        <w:rPr>
          <w:spacing w:val="-6"/>
          <w:w w:val="105"/>
        </w:rPr>
        <w:t xml:space="preserve"> </w:t>
      </w:r>
      <w:r>
        <w:rPr>
          <w:w w:val="105"/>
        </w:rPr>
        <w:t>casos.</w:t>
      </w:r>
      <w:r>
        <w:rPr>
          <w:spacing w:val="-5"/>
          <w:w w:val="105"/>
        </w:rPr>
        <w:t xml:space="preserve"> </w:t>
      </w:r>
      <w:r>
        <w:rPr>
          <w:w w:val="105"/>
        </w:rPr>
        <w:t>En</w:t>
      </w:r>
      <w:r>
        <w:rPr>
          <w:spacing w:val="-6"/>
          <w:w w:val="105"/>
        </w:rPr>
        <w:t xml:space="preserve"> </w:t>
      </w:r>
      <w:r>
        <w:rPr>
          <w:w w:val="105"/>
        </w:rPr>
        <w:t>los</w:t>
      </w:r>
      <w:r>
        <w:rPr>
          <w:spacing w:val="-6"/>
          <w:w w:val="105"/>
        </w:rPr>
        <w:t xml:space="preserve"> </w:t>
      </w:r>
      <w:r>
        <w:rPr>
          <w:w w:val="105"/>
        </w:rPr>
        <w:t>casos</w:t>
      </w:r>
    </w:p>
    <w:p w14:paraId="687813BC" w14:textId="77777777" w:rsidR="0014798C" w:rsidRDefault="004E1F0B">
      <w:pPr>
        <w:pStyle w:val="Textoindependiente"/>
        <w:spacing w:line="183" w:lineRule="exact"/>
        <w:ind w:left="1333"/>
      </w:pPr>
      <w:r>
        <w:rPr>
          <w:w w:val="105"/>
        </w:rPr>
        <w:t>de</w:t>
      </w:r>
      <w:r>
        <w:rPr>
          <w:spacing w:val="-11"/>
          <w:w w:val="105"/>
        </w:rPr>
        <w:t xml:space="preserve"> </w:t>
      </w:r>
      <w:r>
        <w:rPr>
          <w:w w:val="105"/>
        </w:rPr>
        <w:t>discriminación,</w:t>
      </w:r>
      <w:r>
        <w:rPr>
          <w:spacing w:val="-8"/>
          <w:w w:val="105"/>
        </w:rPr>
        <w:t xml:space="preserve"> </w:t>
      </w:r>
      <w:r>
        <w:rPr>
          <w:w w:val="105"/>
        </w:rPr>
        <w:t>esta</w:t>
      </w:r>
      <w:r>
        <w:rPr>
          <w:spacing w:val="-10"/>
          <w:w w:val="105"/>
        </w:rPr>
        <w:t xml:space="preserve"> </w:t>
      </w:r>
      <w:r>
        <w:rPr>
          <w:w w:val="105"/>
        </w:rPr>
        <w:t>responsabilidad</w:t>
      </w:r>
      <w:r>
        <w:rPr>
          <w:spacing w:val="-10"/>
          <w:w w:val="105"/>
        </w:rPr>
        <w:t xml:space="preserve"> </w:t>
      </w:r>
      <w:r>
        <w:rPr>
          <w:w w:val="105"/>
        </w:rPr>
        <w:t>debe</w:t>
      </w:r>
      <w:r>
        <w:rPr>
          <w:spacing w:val="-10"/>
          <w:w w:val="105"/>
        </w:rPr>
        <w:t xml:space="preserve"> </w:t>
      </w:r>
      <w:r>
        <w:rPr>
          <w:w w:val="105"/>
        </w:rPr>
        <w:t>ejercerse</w:t>
      </w:r>
      <w:r>
        <w:rPr>
          <w:spacing w:val="-11"/>
          <w:w w:val="105"/>
        </w:rPr>
        <w:t xml:space="preserve"> </w:t>
      </w:r>
      <w:r>
        <w:rPr>
          <w:w w:val="105"/>
        </w:rPr>
        <w:t>teniendo</w:t>
      </w:r>
      <w:r>
        <w:rPr>
          <w:spacing w:val="-10"/>
          <w:w w:val="105"/>
        </w:rPr>
        <w:t xml:space="preserve"> </w:t>
      </w:r>
      <w:r>
        <w:rPr>
          <w:w w:val="105"/>
        </w:rPr>
        <w:t>en</w:t>
      </w:r>
      <w:r>
        <w:rPr>
          <w:spacing w:val="-10"/>
          <w:w w:val="105"/>
        </w:rPr>
        <w:t xml:space="preserve"> </w:t>
      </w:r>
      <w:r>
        <w:rPr>
          <w:w w:val="105"/>
        </w:rPr>
        <w:t>cuenta</w:t>
      </w:r>
      <w:r>
        <w:rPr>
          <w:spacing w:val="-10"/>
          <w:w w:val="105"/>
        </w:rPr>
        <w:t xml:space="preserve"> </w:t>
      </w:r>
      <w:r>
        <w:rPr>
          <w:w w:val="105"/>
        </w:rPr>
        <w:t>las</w:t>
      </w:r>
      <w:r>
        <w:rPr>
          <w:spacing w:val="-10"/>
          <w:w w:val="105"/>
        </w:rPr>
        <w:t xml:space="preserve"> </w:t>
      </w:r>
      <w:r>
        <w:rPr>
          <w:w w:val="105"/>
        </w:rPr>
        <w:t>dificultades</w:t>
      </w:r>
      <w:r>
        <w:rPr>
          <w:spacing w:val="-10"/>
          <w:w w:val="105"/>
        </w:rPr>
        <w:t xml:space="preserve"> </w:t>
      </w:r>
      <w:r>
        <w:rPr>
          <w:w w:val="105"/>
        </w:rPr>
        <w:t>de</w:t>
      </w:r>
      <w:r>
        <w:rPr>
          <w:spacing w:val="-10"/>
          <w:w w:val="105"/>
        </w:rPr>
        <w:t xml:space="preserve"> </w:t>
      </w:r>
      <w:r>
        <w:rPr>
          <w:w w:val="105"/>
        </w:rPr>
        <w:t>prueba</w:t>
      </w:r>
      <w:r>
        <w:rPr>
          <w:spacing w:val="-10"/>
          <w:w w:val="105"/>
        </w:rPr>
        <w:t xml:space="preserve"> </w:t>
      </w:r>
      <w:r>
        <w:rPr>
          <w:w w:val="105"/>
        </w:rPr>
        <w:t>inherentes</w:t>
      </w:r>
      <w:r>
        <w:rPr>
          <w:spacing w:val="-10"/>
          <w:w w:val="105"/>
        </w:rPr>
        <w:t xml:space="preserve"> </w:t>
      </w:r>
      <w:r>
        <w:rPr>
          <w:w w:val="105"/>
        </w:rPr>
        <w:t>a</w:t>
      </w:r>
      <w:r>
        <w:rPr>
          <w:spacing w:val="-11"/>
          <w:w w:val="105"/>
        </w:rPr>
        <w:t xml:space="preserve"> </w:t>
      </w:r>
      <w:r>
        <w:rPr>
          <w:w w:val="105"/>
        </w:rPr>
        <w:t>este</w:t>
      </w:r>
      <w:r>
        <w:rPr>
          <w:spacing w:val="-10"/>
          <w:w w:val="105"/>
        </w:rPr>
        <w:t xml:space="preserve"> </w:t>
      </w:r>
      <w:r>
        <w:rPr>
          <w:spacing w:val="-2"/>
          <w:w w:val="105"/>
        </w:rPr>
        <w:t>ámbito.</w:t>
      </w:r>
    </w:p>
    <w:p w14:paraId="619A105A" w14:textId="77777777" w:rsidR="0014798C" w:rsidRDefault="004E1F0B">
      <w:pPr>
        <w:pStyle w:val="Textoindependiente"/>
        <w:spacing w:before="63" w:line="326" w:lineRule="auto"/>
        <w:ind w:left="1334" w:right="1765" w:firstLine="3"/>
        <w:jc w:val="both"/>
      </w:pPr>
      <w:r>
        <w:rPr>
          <w:w w:val="105"/>
        </w:rPr>
        <w:t>En</w:t>
      </w:r>
      <w:r>
        <w:rPr>
          <w:spacing w:val="-6"/>
          <w:w w:val="105"/>
        </w:rPr>
        <w:t xml:space="preserve"> </w:t>
      </w:r>
      <w:r>
        <w:rPr>
          <w:w w:val="105"/>
        </w:rPr>
        <w:t>consecuencia,</w:t>
      </w:r>
      <w:r>
        <w:rPr>
          <w:spacing w:val="-4"/>
          <w:w w:val="105"/>
        </w:rPr>
        <w:t xml:space="preserve"> </w:t>
      </w:r>
      <w:r>
        <w:rPr>
          <w:w w:val="105"/>
        </w:rPr>
        <w:t>a</w:t>
      </w:r>
      <w:r>
        <w:rPr>
          <w:spacing w:val="-6"/>
          <w:w w:val="105"/>
        </w:rPr>
        <w:t xml:space="preserve"> </w:t>
      </w:r>
      <w:r>
        <w:rPr>
          <w:w w:val="105"/>
        </w:rPr>
        <w:t>juicio</w:t>
      </w:r>
      <w:r>
        <w:rPr>
          <w:spacing w:val="-6"/>
          <w:w w:val="105"/>
        </w:rPr>
        <w:t xml:space="preserve"> </w:t>
      </w:r>
      <w:r>
        <w:rPr>
          <w:w w:val="105"/>
        </w:rPr>
        <w:t>del</w:t>
      </w:r>
      <w:r>
        <w:rPr>
          <w:spacing w:val="-6"/>
          <w:w w:val="105"/>
        </w:rPr>
        <w:t xml:space="preserve"> </w:t>
      </w:r>
      <w:r>
        <w:rPr>
          <w:w w:val="105"/>
        </w:rPr>
        <w:t>Tribunal,</w:t>
      </w:r>
      <w:r>
        <w:rPr>
          <w:spacing w:val="-5"/>
          <w:w w:val="105"/>
        </w:rPr>
        <w:t xml:space="preserve"> </w:t>
      </w:r>
      <w:r>
        <w:rPr>
          <w:w w:val="105"/>
        </w:rPr>
        <w:t>si</w:t>
      </w:r>
      <w:r>
        <w:rPr>
          <w:spacing w:val="-6"/>
          <w:w w:val="105"/>
        </w:rPr>
        <w:t xml:space="preserve"> </w:t>
      </w:r>
      <w:r>
        <w:rPr>
          <w:w w:val="105"/>
        </w:rPr>
        <w:t>bien</w:t>
      </w:r>
      <w:r>
        <w:rPr>
          <w:spacing w:val="-6"/>
          <w:w w:val="105"/>
        </w:rPr>
        <w:t xml:space="preserve"> </w:t>
      </w:r>
      <w:r>
        <w:rPr>
          <w:w w:val="105"/>
        </w:rPr>
        <w:t>corresponde</w:t>
      </w:r>
      <w:r>
        <w:rPr>
          <w:spacing w:val="-6"/>
          <w:w w:val="105"/>
        </w:rPr>
        <w:t xml:space="preserve"> </w:t>
      </w:r>
      <w:r>
        <w:rPr>
          <w:w w:val="105"/>
        </w:rPr>
        <w:t>al</w:t>
      </w:r>
      <w:r>
        <w:rPr>
          <w:spacing w:val="-6"/>
          <w:w w:val="105"/>
        </w:rPr>
        <w:t xml:space="preserve"> </w:t>
      </w:r>
      <w:r>
        <w:rPr>
          <w:w w:val="105"/>
        </w:rPr>
        <w:t>demandante</w:t>
      </w:r>
      <w:r>
        <w:rPr>
          <w:spacing w:val="-6"/>
          <w:w w:val="105"/>
        </w:rPr>
        <w:t xml:space="preserve"> </w:t>
      </w:r>
      <w:r>
        <w:rPr>
          <w:w w:val="105"/>
        </w:rPr>
        <w:t>presentar</w:t>
      </w:r>
      <w:r>
        <w:rPr>
          <w:spacing w:val="-6"/>
          <w:w w:val="105"/>
        </w:rPr>
        <w:t xml:space="preserve"> </w:t>
      </w:r>
      <w:r>
        <w:rPr>
          <w:w w:val="105"/>
        </w:rPr>
        <w:t>al</w:t>
      </w:r>
      <w:r>
        <w:rPr>
          <w:spacing w:val="-6"/>
          <w:w w:val="105"/>
        </w:rPr>
        <w:t xml:space="preserve"> </w:t>
      </w:r>
      <w:r>
        <w:rPr>
          <w:w w:val="105"/>
        </w:rPr>
        <w:t>juez</w:t>
      </w:r>
      <w:r>
        <w:rPr>
          <w:spacing w:val="-6"/>
          <w:w w:val="105"/>
        </w:rPr>
        <w:t xml:space="preserve"> </w:t>
      </w:r>
      <w:r>
        <w:rPr>
          <w:w w:val="105"/>
        </w:rPr>
        <w:t>los</w:t>
      </w:r>
      <w:r>
        <w:rPr>
          <w:spacing w:val="-6"/>
          <w:w w:val="105"/>
        </w:rPr>
        <w:t xml:space="preserve"> </w:t>
      </w:r>
      <w:r>
        <w:rPr>
          <w:w w:val="105"/>
        </w:rPr>
        <w:t>elementos</w:t>
      </w:r>
      <w:r>
        <w:rPr>
          <w:spacing w:val="-6"/>
          <w:w w:val="105"/>
        </w:rPr>
        <w:t xml:space="preserve"> </w:t>
      </w:r>
      <w:r>
        <w:rPr>
          <w:w w:val="105"/>
        </w:rPr>
        <w:t>de</w:t>
      </w:r>
      <w:r>
        <w:rPr>
          <w:spacing w:val="-6"/>
          <w:w w:val="105"/>
        </w:rPr>
        <w:t xml:space="preserve"> </w:t>
      </w:r>
      <w:r>
        <w:rPr>
          <w:w w:val="105"/>
        </w:rPr>
        <w:t>hecho que</w:t>
      </w:r>
      <w:r>
        <w:rPr>
          <w:spacing w:val="-6"/>
          <w:w w:val="105"/>
        </w:rPr>
        <w:t xml:space="preserve"> </w:t>
      </w:r>
      <w:r>
        <w:rPr>
          <w:w w:val="105"/>
        </w:rPr>
        <w:t>pueden</w:t>
      </w:r>
      <w:r>
        <w:rPr>
          <w:spacing w:val="-6"/>
          <w:w w:val="105"/>
        </w:rPr>
        <w:t xml:space="preserve"> </w:t>
      </w:r>
      <w:r>
        <w:rPr>
          <w:w w:val="105"/>
        </w:rPr>
        <w:t>dar</w:t>
      </w:r>
      <w:r>
        <w:rPr>
          <w:spacing w:val="-6"/>
          <w:w w:val="105"/>
        </w:rPr>
        <w:t xml:space="preserve"> </w:t>
      </w:r>
      <w:r>
        <w:rPr>
          <w:w w:val="105"/>
        </w:rPr>
        <w:t>lugar</w:t>
      </w:r>
      <w:r>
        <w:rPr>
          <w:spacing w:val="-6"/>
          <w:w w:val="105"/>
        </w:rPr>
        <w:t xml:space="preserve"> </w:t>
      </w:r>
      <w:r>
        <w:rPr>
          <w:w w:val="105"/>
        </w:rPr>
        <w:t>a</w:t>
      </w:r>
      <w:r>
        <w:rPr>
          <w:spacing w:val="-6"/>
          <w:w w:val="105"/>
        </w:rPr>
        <w:t xml:space="preserve"> </w:t>
      </w:r>
      <w:r>
        <w:rPr>
          <w:w w:val="105"/>
        </w:rPr>
        <w:t>una</w:t>
      </w:r>
      <w:r>
        <w:rPr>
          <w:spacing w:val="-6"/>
          <w:w w:val="105"/>
        </w:rPr>
        <w:t xml:space="preserve"> </w:t>
      </w:r>
      <w:r>
        <w:rPr>
          <w:w w:val="105"/>
        </w:rPr>
        <w:t>presunción</w:t>
      </w:r>
      <w:r>
        <w:rPr>
          <w:spacing w:val="-6"/>
          <w:w w:val="105"/>
        </w:rPr>
        <w:t xml:space="preserve"> </w:t>
      </w:r>
      <w:r>
        <w:rPr>
          <w:w w:val="105"/>
        </w:rPr>
        <w:t>de</w:t>
      </w:r>
      <w:r>
        <w:rPr>
          <w:spacing w:val="-6"/>
          <w:w w:val="105"/>
        </w:rPr>
        <w:t xml:space="preserve"> </w:t>
      </w:r>
      <w:r>
        <w:rPr>
          <w:w w:val="105"/>
        </w:rPr>
        <w:t>que</w:t>
      </w:r>
      <w:r>
        <w:rPr>
          <w:spacing w:val="-6"/>
          <w:w w:val="105"/>
        </w:rPr>
        <w:t xml:space="preserve"> </w:t>
      </w:r>
      <w:r>
        <w:rPr>
          <w:w w:val="105"/>
        </w:rPr>
        <w:t>una</w:t>
      </w:r>
      <w:r>
        <w:rPr>
          <w:spacing w:val="-6"/>
          <w:w w:val="105"/>
        </w:rPr>
        <w:t xml:space="preserve"> </w:t>
      </w:r>
      <w:r>
        <w:rPr>
          <w:w w:val="105"/>
        </w:rPr>
        <w:t>determinada</w:t>
      </w:r>
      <w:r>
        <w:rPr>
          <w:spacing w:val="-6"/>
          <w:w w:val="105"/>
        </w:rPr>
        <w:t xml:space="preserve"> </w:t>
      </w:r>
      <w:r>
        <w:rPr>
          <w:w w:val="105"/>
        </w:rPr>
        <w:t>decisión</w:t>
      </w:r>
      <w:r>
        <w:rPr>
          <w:spacing w:val="-6"/>
          <w:w w:val="105"/>
        </w:rPr>
        <w:t xml:space="preserve"> </w:t>
      </w:r>
      <w:r>
        <w:rPr>
          <w:w w:val="105"/>
        </w:rPr>
        <w:t>administrativa</w:t>
      </w:r>
      <w:r>
        <w:rPr>
          <w:spacing w:val="-6"/>
          <w:w w:val="105"/>
        </w:rPr>
        <w:t xml:space="preserve"> </w:t>
      </w:r>
      <w:r>
        <w:rPr>
          <w:w w:val="105"/>
        </w:rPr>
        <w:t>ha</w:t>
      </w:r>
      <w:r>
        <w:rPr>
          <w:spacing w:val="-6"/>
          <w:w w:val="105"/>
        </w:rPr>
        <w:t xml:space="preserve"> </w:t>
      </w:r>
      <w:r>
        <w:rPr>
          <w:w w:val="105"/>
        </w:rPr>
        <w:t>vulnerado</w:t>
      </w:r>
      <w:r>
        <w:rPr>
          <w:spacing w:val="-6"/>
          <w:w w:val="105"/>
        </w:rPr>
        <w:t xml:space="preserve"> </w:t>
      </w:r>
      <w:r>
        <w:rPr>
          <w:w w:val="105"/>
        </w:rPr>
        <w:t>el</w:t>
      </w:r>
      <w:r>
        <w:rPr>
          <w:spacing w:val="-6"/>
          <w:w w:val="105"/>
        </w:rPr>
        <w:t xml:space="preserve"> </w:t>
      </w:r>
      <w:r>
        <w:rPr>
          <w:w w:val="105"/>
        </w:rPr>
        <w:t>principio</w:t>
      </w:r>
      <w:r>
        <w:rPr>
          <w:spacing w:val="-6"/>
          <w:w w:val="105"/>
        </w:rPr>
        <w:t xml:space="preserve"> </w:t>
      </w:r>
      <w:r>
        <w:rPr>
          <w:w w:val="105"/>
        </w:rPr>
        <w:t>de igualdad,</w:t>
      </w:r>
      <w:r>
        <w:rPr>
          <w:spacing w:val="-3"/>
          <w:w w:val="105"/>
        </w:rPr>
        <w:t xml:space="preserve"> </w:t>
      </w:r>
      <w:r>
        <w:rPr>
          <w:w w:val="105"/>
        </w:rPr>
        <w:t>corresponde</w:t>
      </w:r>
      <w:r>
        <w:rPr>
          <w:spacing w:val="-3"/>
          <w:w w:val="105"/>
        </w:rPr>
        <w:t xml:space="preserve"> </w:t>
      </w:r>
      <w:r>
        <w:rPr>
          <w:w w:val="105"/>
        </w:rPr>
        <w:t>al</w:t>
      </w:r>
      <w:r>
        <w:rPr>
          <w:spacing w:val="-3"/>
          <w:w w:val="105"/>
        </w:rPr>
        <w:t xml:space="preserve"> </w:t>
      </w:r>
      <w:r>
        <w:rPr>
          <w:w w:val="105"/>
        </w:rPr>
        <w:t>demandado</w:t>
      </w:r>
      <w:r>
        <w:rPr>
          <w:spacing w:val="-3"/>
          <w:w w:val="105"/>
        </w:rPr>
        <w:t xml:space="preserve"> </w:t>
      </w:r>
      <w:r>
        <w:rPr>
          <w:w w:val="105"/>
        </w:rPr>
        <w:t>aportar</w:t>
      </w:r>
      <w:r>
        <w:rPr>
          <w:spacing w:val="-3"/>
          <w:w w:val="105"/>
        </w:rPr>
        <w:t xml:space="preserve"> </w:t>
      </w:r>
      <w:r>
        <w:rPr>
          <w:w w:val="105"/>
        </w:rPr>
        <w:t>aquellos</w:t>
      </w:r>
      <w:r>
        <w:rPr>
          <w:spacing w:val="-3"/>
          <w:w w:val="105"/>
        </w:rPr>
        <w:t xml:space="preserve"> </w:t>
      </w:r>
      <w:r>
        <w:rPr>
          <w:w w:val="105"/>
        </w:rPr>
        <w:t>elementos</w:t>
      </w:r>
      <w:r>
        <w:rPr>
          <w:spacing w:val="-3"/>
          <w:w w:val="105"/>
        </w:rPr>
        <w:t xml:space="preserve"> </w:t>
      </w:r>
      <w:r>
        <w:rPr>
          <w:w w:val="105"/>
        </w:rPr>
        <w:t>de</w:t>
      </w:r>
      <w:r>
        <w:rPr>
          <w:spacing w:val="-3"/>
          <w:w w:val="105"/>
        </w:rPr>
        <w:t xml:space="preserve"> </w:t>
      </w:r>
      <w:r>
        <w:rPr>
          <w:w w:val="105"/>
        </w:rPr>
        <w:t>hecho</w:t>
      </w:r>
      <w:r>
        <w:rPr>
          <w:spacing w:val="-3"/>
          <w:w w:val="105"/>
        </w:rPr>
        <w:t xml:space="preserve"> </w:t>
      </w:r>
      <w:r>
        <w:rPr>
          <w:w w:val="105"/>
        </w:rPr>
        <w:t>que</w:t>
      </w:r>
      <w:r>
        <w:rPr>
          <w:spacing w:val="-3"/>
          <w:w w:val="105"/>
        </w:rPr>
        <w:t xml:space="preserve"> </w:t>
      </w:r>
      <w:r>
        <w:rPr>
          <w:w w:val="105"/>
        </w:rPr>
        <w:t>permitan</w:t>
      </w:r>
      <w:r>
        <w:rPr>
          <w:spacing w:val="-3"/>
          <w:w w:val="105"/>
        </w:rPr>
        <w:t xml:space="preserve"> </w:t>
      </w:r>
      <w:r>
        <w:rPr>
          <w:w w:val="105"/>
        </w:rPr>
        <w:t>establecer</w:t>
      </w:r>
      <w:r>
        <w:rPr>
          <w:spacing w:val="-3"/>
          <w:w w:val="105"/>
        </w:rPr>
        <w:t xml:space="preserve"> </w:t>
      </w:r>
      <w:r>
        <w:rPr>
          <w:w w:val="105"/>
        </w:rPr>
        <w:t>que</w:t>
      </w:r>
      <w:r>
        <w:rPr>
          <w:spacing w:val="-3"/>
          <w:w w:val="105"/>
        </w:rPr>
        <w:t xml:space="preserve"> </w:t>
      </w:r>
      <w:r>
        <w:rPr>
          <w:w w:val="105"/>
        </w:rPr>
        <w:t>la</w:t>
      </w:r>
      <w:r>
        <w:rPr>
          <w:spacing w:val="-3"/>
          <w:w w:val="105"/>
        </w:rPr>
        <w:t xml:space="preserve"> </w:t>
      </w:r>
      <w:r>
        <w:rPr>
          <w:w w:val="105"/>
        </w:rPr>
        <w:t>decisión impugnada se basó en elementos objetivos ajenos a cualquier discriminación.</w:t>
      </w:r>
    </w:p>
    <w:p w14:paraId="6E722C9A" w14:textId="77777777" w:rsidR="0014798C" w:rsidRDefault="0014798C">
      <w:pPr>
        <w:pStyle w:val="Textoindependiente"/>
        <w:rPr>
          <w:sz w:val="24"/>
        </w:rPr>
      </w:pPr>
    </w:p>
    <w:p w14:paraId="2D25FCF8" w14:textId="77777777" w:rsidR="0014798C" w:rsidRDefault="0014798C">
      <w:pPr>
        <w:pStyle w:val="Textoindependiente"/>
        <w:spacing w:before="105"/>
        <w:rPr>
          <w:sz w:val="24"/>
        </w:rPr>
      </w:pPr>
    </w:p>
    <w:p w14:paraId="256674A9" w14:textId="77777777" w:rsidR="0014798C" w:rsidRDefault="004E1F0B">
      <w:pPr>
        <w:numPr>
          <w:ilvl w:val="0"/>
          <w:numId w:val="44"/>
        </w:numPr>
        <w:tabs>
          <w:tab w:val="left" w:pos="1382"/>
        </w:tabs>
        <w:spacing w:before="1"/>
        <w:ind w:left="1382" w:hanging="265"/>
        <w:rPr>
          <w:color w:val="00AC59"/>
          <w:sz w:val="24"/>
        </w:rPr>
      </w:pPr>
      <w:r>
        <w:rPr>
          <w:color w:val="00AC59"/>
          <w:spacing w:val="-2"/>
          <w:sz w:val="24"/>
        </w:rPr>
        <w:t>Evidencia</w:t>
      </w:r>
    </w:p>
    <w:p w14:paraId="66964492" w14:textId="77777777" w:rsidR="0014798C" w:rsidRDefault="0014798C">
      <w:pPr>
        <w:pStyle w:val="Textoindependiente"/>
        <w:spacing w:before="53"/>
      </w:pPr>
    </w:p>
    <w:p w14:paraId="2DD17254" w14:textId="77777777" w:rsidR="0014798C" w:rsidRDefault="004E1F0B">
      <w:pPr>
        <w:pStyle w:val="Textoindependiente"/>
        <w:spacing w:line="326" w:lineRule="auto"/>
        <w:ind w:left="1108" w:right="1465" w:hanging="2"/>
        <w:jc w:val="both"/>
      </w:pPr>
      <w:r>
        <w:rPr>
          <w:w w:val="105"/>
        </w:rPr>
        <w:t>Los</w:t>
      </w:r>
      <w:r>
        <w:rPr>
          <w:spacing w:val="-4"/>
          <w:w w:val="105"/>
        </w:rPr>
        <w:t xml:space="preserve"> </w:t>
      </w:r>
      <w:r>
        <w:rPr>
          <w:w w:val="105"/>
        </w:rPr>
        <w:t>enfoques</w:t>
      </w:r>
      <w:r>
        <w:rPr>
          <w:spacing w:val="-4"/>
          <w:w w:val="105"/>
        </w:rPr>
        <w:t xml:space="preserve"> </w:t>
      </w:r>
      <w:r>
        <w:rPr>
          <w:w w:val="105"/>
        </w:rPr>
        <w:t>sobre</w:t>
      </w:r>
      <w:r>
        <w:rPr>
          <w:spacing w:val="-4"/>
          <w:w w:val="105"/>
        </w:rPr>
        <w:t xml:space="preserve"> </w:t>
      </w:r>
      <w:r>
        <w:rPr>
          <w:w w:val="105"/>
        </w:rPr>
        <w:t>la</w:t>
      </w:r>
      <w:r>
        <w:rPr>
          <w:spacing w:val="-4"/>
          <w:w w:val="105"/>
        </w:rPr>
        <w:t xml:space="preserve"> </w:t>
      </w:r>
      <w:r>
        <w:rPr>
          <w:w w:val="105"/>
        </w:rPr>
        <w:t>admisibilidad</w:t>
      </w:r>
      <w:r>
        <w:rPr>
          <w:spacing w:val="-4"/>
          <w:w w:val="105"/>
        </w:rPr>
        <w:t xml:space="preserve"> </w:t>
      </w:r>
      <w:r>
        <w:rPr>
          <w:w w:val="105"/>
        </w:rPr>
        <w:t>y</w:t>
      </w:r>
      <w:r>
        <w:rPr>
          <w:spacing w:val="-4"/>
          <w:w w:val="105"/>
        </w:rPr>
        <w:t xml:space="preserve"> </w:t>
      </w:r>
      <w:r>
        <w:rPr>
          <w:w w:val="105"/>
        </w:rPr>
        <w:t>el</w:t>
      </w:r>
      <w:r>
        <w:rPr>
          <w:spacing w:val="-4"/>
          <w:w w:val="105"/>
        </w:rPr>
        <w:t xml:space="preserve"> </w:t>
      </w:r>
      <w:r>
        <w:rPr>
          <w:w w:val="105"/>
        </w:rPr>
        <w:t>uso</w:t>
      </w:r>
      <w:r>
        <w:rPr>
          <w:spacing w:val="-4"/>
          <w:w w:val="105"/>
        </w:rPr>
        <w:t xml:space="preserve"> </w:t>
      </w:r>
      <w:r>
        <w:rPr>
          <w:w w:val="105"/>
        </w:rPr>
        <w:t>de</w:t>
      </w:r>
      <w:r>
        <w:rPr>
          <w:spacing w:val="-4"/>
          <w:w w:val="105"/>
        </w:rPr>
        <w:t xml:space="preserve"> </w:t>
      </w:r>
      <w:r>
        <w:rPr>
          <w:w w:val="105"/>
        </w:rPr>
        <w:t>pruebas</w:t>
      </w:r>
      <w:r>
        <w:rPr>
          <w:spacing w:val="-4"/>
          <w:w w:val="105"/>
        </w:rPr>
        <w:t xml:space="preserve"> </w:t>
      </w:r>
      <w:r>
        <w:rPr>
          <w:w w:val="105"/>
        </w:rPr>
        <w:t>en</w:t>
      </w:r>
      <w:r>
        <w:rPr>
          <w:spacing w:val="-4"/>
          <w:w w:val="105"/>
        </w:rPr>
        <w:t xml:space="preserve"> </w:t>
      </w:r>
      <w:r>
        <w:rPr>
          <w:w w:val="105"/>
        </w:rPr>
        <w:t>casos</w:t>
      </w:r>
      <w:r>
        <w:rPr>
          <w:spacing w:val="-4"/>
          <w:w w:val="105"/>
        </w:rPr>
        <w:t xml:space="preserve"> </w:t>
      </w:r>
      <w:r>
        <w:rPr>
          <w:w w:val="105"/>
        </w:rPr>
        <w:t>de</w:t>
      </w:r>
      <w:r>
        <w:rPr>
          <w:spacing w:val="-4"/>
          <w:w w:val="105"/>
        </w:rPr>
        <w:t xml:space="preserve"> </w:t>
      </w:r>
      <w:r>
        <w:rPr>
          <w:w w:val="105"/>
        </w:rPr>
        <w:t>discriminación</w:t>
      </w:r>
      <w:r>
        <w:rPr>
          <w:spacing w:val="-4"/>
          <w:w w:val="105"/>
        </w:rPr>
        <w:t xml:space="preserve"> </w:t>
      </w:r>
      <w:r>
        <w:rPr>
          <w:w w:val="105"/>
        </w:rPr>
        <w:t>dependerán</w:t>
      </w:r>
      <w:r>
        <w:rPr>
          <w:spacing w:val="-4"/>
          <w:w w:val="105"/>
        </w:rPr>
        <w:t xml:space="preserve"> </w:t>
      </w:r>
      <w:r>
        <w:rPr>
          <w:w w:val="105"/>
        </w:rPr>
        <w:t>de</w:t>
      </w:r>
      <w:r>
        <w:rPr>
          <w:spacing w:val="-4"/>
          <w:w w:val="105"/>
        </w:rPr>
        <w:t xml:space="preserve"> </w:t>
      </w:r>
      <w:r>
        <w:rPr>
          <w:w w:val="105"/>
        </w:rPr>
        <w:t>las</w:t>
      </w:r>
      <w:r>
        <w:rPr>
          <w:spacing w:val="-4"/>
          <w:w w:val="105"/>
        </w:rPr>
        <w:t xml:space="preserve"> </w:t>
      </w:r>
      <w:r>
        <w:rPr>
          <w:w w:val="105"/>
        </w:rPr>
        <w:t>normas</w:t>
      </w:r>
      <w:r>
        <w:rPr>
          <w:spacing w:val="-4"/>
          <w:w w:val="105"/>
        </w:rPr>
        <w:t xml:space="preserve"> </w:t>
      </w:r>
      <w:r>
        <w:rPr>
          <w:w w:val="105"/>
        </w:rPr>
        <w:t>procesales del</w:t>
      </w:r>
      <w:r>
        <w:rPr>
          <w:spacing w:val="-5"/>
          <w:w w:val="105"/>
        </w:rPr>
        <w:t xml:space="preserve"> </w:t>
      </w:r>
      <w:r>
        <w:rPr>
          <w:w w:val="105"/>
        </w:rPr>
        <w:t>sistema</w:t>
      </w:r>
      <w:r>
        <w:rPr>
          <w:spacing w:val="-5"/>
          <w:w w:val="105"/>
        </w:rPr>
        <w:t xml:space="preserve"> </w:t>
      </w:r>
      <w:r>
        <w:rPr>
          <w:w w:val="105"/>
        </w:rPr>
        <w:t>jurídico</w:t>
      </w:r>
      <w:r>
        <w:rPr>
          <w:spacing w:val="-5"/>
          <w:w w:val="105"/>
        </w:rPr>
        <w:t xml:space="preserve"> </w:t>
      </w:r>
      <w:r>
        <w:rPr>
          <w:w w:val="105"/>
        </w:rPr>
        <w:t>nacional.</w:t>
      </w:r>
      <w:r>
        <w:rPr>
          <w:spacing w:val="-4"/>
          <w:w w:val="105"/>
        </w:rPr>
        <w:t xml:space="preserve"> </w:t>
      </w:r>
      <w:r>
        <w:rPr>
          <w:w w:val="105"/>
        </w:rPr>
        <w:t>Dichas</w:t>
      </w:r>
      <w:r>
        <w:rPr>
          <w:spacing w:val="-5"/>
          <w:w w:val="105"/>
        </w:rPr>
        <w:t xml:space="preserve"> </w:t>
      </w:r>
      <w:r>
        <w:rPr>
          <w:w w:val="105"/>
        </w:rPr>
        <w:t>normas</w:t>
      </w:r>
      <w:r>
        <w:rPr>
          <w:spacing w:val="-5"/>
          <w:w w:val="105"/>
        </w:rPr>
        <w:t xml:space="preserve"> </w:t>
      </w:r>
      <w:r>
        <w:rPr>
          <w:w w:val="105"/>
        </w:rPr>
        <w:t>no</w:t>
      </w:r>
      <w:r>
        <w:rPr>
          <w:spacing w:val="-5"/>
          <w:w w:val="105"/>
        </w:rPr>
        <w:t xml:space="preserve"> </w:t>
      </w:r>
      <w:r>
        <w:rPr>
          <w:w w:val="105"/>
        </w:rPr>
        <w:t>deben</w:t>
      </w:r>
      <w:r>
        <w:rPr>
          <w:spacing w:val="-5"/>
          <w:w w:val="105"/>
        </w:rPr>
        <w:t xml:space="preserve"> </w:t>
      </w:r>
      <w:r>
        <w:rPr>
          <w:w w:val="105"/>
        </w:rPr>
        <w:t>obstruir</w:t>
      </w:r>
      <w:r>
        <w:rPr>
          <w:spacing w:val="-5"/>
          <w:w w:val="105"/>
        </w:rPr>
        <w:t xml:space="preserve"> </w:t>
      </w:r>
      <w:r>
        <w:rPr>
          <w:w w:val="105"/>
        </w:rPr>
        <w:t>el</w:t>
      </w:r>
      <w:r>
        <w:rPr>
          <w:spacing w:val="-5"/>
          <w:w w:val="105"/>
        </w:rPr>
        <w:t xml:space="preserve"> </w:t>
      </w:r>
      <w:r>
        <w:rPr>
          <w:w w:val="105"/>
        </w:rPr>
        <w:t>acceso</w:t>
      </w:r>
      <w:r>
        <w:rPr>
          <w:spacing w:val="-5"/>
          <w:w w:val="105"/>
        </w:rPr>
        <w:t xml:space="preserve"> </w:t>
      </w:r>
      <w:r>
        <w:rPr>
          <w:w w:val="105"/>
        </w:rPr>
        <w:t>a</w:t>
      </w:r>
      <w:r>
        <w:rPr>
          <w:spacing w:val="-5"/>
          <w:w w:val="105"/>
        </w:rPr>
        <w:t xml:space="preserve"> </w:t>
      </w:r>
      <w:r>
        <w:rPr>
          <w:w w:val="105"/>
        </w:rPr>
        <w:t>la</w:t>
      </w:r>
      <w:r>
        <w:rPr>
          <w:spacing w:val="-5"/>
          <w:w w:val="105"/>
        </w:rPr>
        <w:t xml:space="preserve"> </w:t>
      </w:r>
      <w:r>
        <w:rPr>
          <w:w w:val="105"/>
        </w:rPr>
        <w:t>justicia</w:t>
      </w:r>
      <w:r>
        <w:rPr>
          <w:spacing w:val="-5"/>
          <w:w w:val="105"/>
        </w:rPr>
        <w:t xml:space="preserve"> </w:t>
      </w:r>
      <w:r>
        <w:rPr>
          <w:w w:val="105"/>
        </w:rPr>
        <w:t>de</w:t>
      </w:r>
      <w:r>
        <w:rPr>
          <w:spacing w:val="-5"/>
          <w:w w:val="105"/>
        </w:rPr>
        <w:t xml:space="preserve"> </w:t>
      </w:r>
      <w:r>
        <w:rPr>
          <w:w w:val="105"/>
        </w:rPr>
        <w:t>las</w:t>
      </w:r>
      <w:r>
        <w:rPr>
          <w:spacing w:val="-5"/>
          <w:w w:val="105"/>
        </w:rPr>
        <w:t xml:space="preserve"> </w:t>
      </w:r>
      <w:r>
        <w:rPr>
          <w:w w:val="105"/>
        </w:rPr>
        <w:t>víctimas</w:t>
      </w:r>
      <w:r>
        <w:rPr>
          <w:spacing w:val="-5"/>
          <w:w w:val="105"/>
        </w:rPr>
        <w:t xml:space="preserve"> </w:t>
      </w:r>
      <w:r>
        <w:rPr>
          <w:w w:val="105"/>
        </w:rPr>
        <w:t>de</w:t>
      </w:r>
      <w:r>
        <w:rPr>
          <w:spacing w:val="-5"/>
          <w:w w:val="105"/>
        </w:rPr>
        <w:t xml:space="preserve"> </w:t>
      </w:r>
      <w:r>
        <w:rPr>
          <w:w w:val="105"/>
        </w:rPr>
        <w:t>discriminación</w:t>
      </w:r>
      <w:r>
        <w:rPr>
          <w:spacing w:val="-5"/>
          <w:w w:val="105"/>
        </w:rPr>
        <w:t xml:space="preserve"> </w:t>
      </w:r>
      <w:r>
        <w:rPr>
          <w:w w:val="105"/>
        </w:rPr>
        <w:t>y</w:t>
      </w:r>
      <w:r>
        <w:rPr>
          <w:spacing w:val="-5"/>
          <w:w w:val="105"/>
        </w:rPr>
        <w:t xml:space="preserve"> </w:t>
      </w:r>
      <w:r>
        <w:rPr>
          <w:w w:val="105"/>
        </w:rPr>
        <w:t>no deben entrar en conflicto con el principio de que el derecho a la no discriminación debe ser práctico y efectivo.</w:t>
      </w:r>
    </w:p>
    <w:p w14:paraId="571BB976" w14:textId="77777777" w:rsidR="0014798C" w:rsidRDefault="004E1F0B">
      <w:pPr>
        <w:pStyle w:val="Textoindependiente"/>
        <w:spacing w:line="326" w:lineRule="auto"/>
        <w:ind w:left="1109" w:right="1272" w:hanging="3"/>
      </w:pPr>
      <w:r>
        <w:rPr>
          <w:w w:val="105"/>
        </w:rPr>
        <w:t>Se ha recurrido a una amplia gama de fuentes y materiales para evidenciar patrones de discriminación a nivel regional, incluyendo evidencia estadística699, evidencia de pruebas700 e informes de organizaciones de derechos humanos, procedimientos</w:t>
      </w:r>
      <w:r>
        <w:rPr>
          <w:spacing w:val="-3"/>
          <w:w w:val="105"/>
        </w:rPr>
        <w:t xml:space="preserve"> </w:t>
      </w:r>
      <w:r>
        <w:rPr>
          <w:w w:val="105"/>
        </w:rPr>
        <w:t>especiales</w:t>
      </w:r>
      <w:r>
        <w:rPr>
          <w:spacing w:val="-3"/>
          <w:w w:val="105"/>
        </w:rPr>
        <w:t xml:space="preserve"> </w:t>
      </w:r>
      <w:r>
        <w:rPr>
          <w:w w:val="105"/>
        </w:rPr>
        <w:t>del</w:t>
      </w:r>
      <w:r>
        <w:rPr>
          <w:spacing w:val="-3"/>
          <w:w w:val="105"/>
        </w:rPr>
        <w:t xml:space="preserve"> </w:t>
      </w:r>
      <w:r>
        <w:rPr>
          <w:w w:val="105"/>
        </w:rPr>
        <w:t>Consejo</w:t>
      </w:r>
      <w:r>
        <w:rPr>
          <w:spacing w:val="-3"/>
          <w:w w:val="105"/>
        </w:rPr>
        <w:t xml:space="preserve"> </w:t>
      </w:r>
      <w:r>
        <w:rPr>
          <w:w w:val="105"/>
        </w:rPr>
        <w:t>de</w:t>
      </w:r>
      <w:r>
        <w:rPr>
          <w:spacing w:val="-3"/>
          <w:w w:val="105"/>
        </w:rPr>
        <w:t xml:space="preserve"> </w:t>
      </w:r>
      <w:r>
        <w:rPr>
          <w:w w:val="105"/>
        </w:rPr>
        <w:t>Derechos</w:t>
      </w:r>
      <w:r>
        <w:rPr>
          <w:spacing w:val="-3"/>
          <w:w w:val="105"/>
        </w:rPr>
        <w:t xml:space="preserve"> </w:t>
      </w:r>
      <w:r>
        <w:rPr>
          <w:w w:val="105"/>
        </w:rPr>
        <w:t>Humanos</w:t>
      </w:r>
      <w:r>
        <w:rPr>
          <w:spacing w:val="-3"/>
          <w:w w:val="105"/>
        </w:rPr>
        <w:t xml:space="preserve"> </w:t>
      </w:r>
      <w:r>
        <w:rPr>
          <w:w w:val="105"/>
        </w:rPr>
        <w:t>y</w:t>
      </w:r>
      <w:r>
        <w:rPr>
          <w:spacing w:val="-3"/>
          <w:w w:val="105"/>
        </w:rPr>
        <w:t xml:space="preserve"> </w:t>
      </w:r>
      <w:r>
        <w:rPr>
          <w:w w:val="105"/>
        </w:rPr>
        <w:t>los</w:t>
      </w:r>
      <w:r>
        <w:rPr>
          <w:spacing w:val="-3"/>
          <w:w w:val="105"/>
        </w:rPr>
        <w:t xml:space="preserve"> </w:t>
      </w:r>
      <w:r>
        <w:rPr>
          <w:w w:val="105"/>
        </w:rPr>
        <w:t>informes</w:t>
      </w:r>
      <w:r>
        <w:rPr>
          <w:spacing w:val="-3"/>
          <w:w w:val="105"/>
        </w:rPr>
        <w:t xml:space="preserve"> </w:t>
      </w:r>
      <w:r>
        <w:rPr>
          <w:w w:val="105"/>
        </w:rPr>
        <w:t>periódicos</w:t>
      </w:r>
      <w:r>
        <w:rPr>
          <w:spacing w:val="-3"/>
          <w:w w:val="105"/>
        </w:rPr>
        <w:t xml:space="preserve"> </w:t>
      </w:r>
      <w:r>
        <w:rPr>
          <w:w w:val="105"/>
        </w:rPr>
        <w:t>de</w:t>
      </w:r>
      <w:r>
        <w:rPr>
          <w:spacing w:val="-3"/>
          <w:w w:val="105"/>
        </w:rPr>
        <w:t xml:space="preserve"> </w:t>
      </w:r>
      <w:r>
        <w:rPr>
          <w:w w:val="105"/>
        </w:rPr>
        <w:t>los</w:t>
      </w:r>
      <w:r>
        <w:rPr>
          <w:spacing w:val="-3"/>
          <w:w w:val="105"/>
        </w:rPr>
        <w:t xml:space="preserve"> </w:t>
      </w:r>
      <w:r>
        <w:rPr>
          <w:w w:val="105"/>
        </w:rPr>
        <w:t>órganos</w:t>
      </w:r>
      <w:r>
        <w:rPr>
          <w:spacing w:val="-3"/>
          <w:w w:val="105"/>
        </w:rPr>
        <w:t xml:space="preserve"> </w:t>
      </w:r>
      <w:r>
        <w:rPr>
          <w:w w:val="105"/>
        </w:rPr>
        <w:t>creados</w:t>
      </w:r>
      <w:r>
        <w:rPr>
          <w:spacing w:val="-3"/>
          <w:w w:val="105"/>
        </w:rPr>
        <w:t xml:space="preserve"> </w:t>
      </w:r>
      <w:r>
        <w:rPr>
          <w:w w:val="105"/>
        </w:rPr>
        <w:t>en</w:t>
      </w:r>
      <w:r>
        <w:rPr>
          <w:spacing w:val="-3"/>
          <w:w w:val="105"/>
        </w:rPr>
        <w:t xml:space="preserve"> </w:t>
      </w:r>
      <w:r>
        <w:rPr>
          <w:w w:val="105"/>
        </w:rPr>
        <w:t>virtud</w:t>
      </w:r>
      <w:r>
        <w:rPr>
          <w:spacing w:val="-3"/>
          <w:w w:val="105"/>
        </w:rPr>
        <w:t xml:space="preserve"> </w:t>
      </w:r>
      <w:r>
        <w:rPr>
          <w:w w:val="105"/>
        </w:rPr>
        <w:t>de tratados.</w:t>
      </w:r>
      <w:r>
        <w:rPr>
          <w:spacing w:val="-2"/>
          <w:w w:val="105"/>
        </w:rPr>
        <w:t xml:space="preserve"> </w:t>
      </w:r>
      <w:r>
        <w:rPr>
          <w:w w:val="105"/>
        </w:rPr>
        <w:t>.701</w:t>
      </w:r>
      <w:r>
        <w:rPr>
          <w:spacing w:val="-3"/>
          <w:w w:val="105"/>
        </w:rPr>
        <w:t xml:space="preserve"> </w:t>
      </w:r>
      <w:r>
        <w:rPr>
          <w:w w:val="105"/>
        </w:rPr>
        <w:t>El</w:t>
      </w:r>
      <w:r>
        <w:rPr>
          <w:spacing w:val="-3"/>
          <w:w w:val="105"/>
        </w:rPr>
        <w:t xml:space="preserve"> </w:t>
      </w:r>
      <w:r>
        <w:rPr>
          <w:w w:val="105"/>
        </w:rPr>
        <w:t>Tribunal</w:t>
      </w:r>
      <w:r>
        <w:rPr>
          <w:spacing w:val="-3"/>
          <w:w w:val="105"/>
        </w:rPr>
        <w:t xml:space="preserve"> </w:t>
      </w:r>
      <w:r>
        <w:rPr>
          <w:w w:val="105"/>
        </w:rPr>
        <w:t>Europeo</w:t>
      </w:r>
      <w:r>
        <w:rPr>
          <w:spacing w:val="-3"/>
          <w:w w:val="105"/>
        </w:rPr>
        <w:t xml:space="preserve"> </w:t>
      </w:r>
      <w:r>
        <w:rPr>
          <w:w w:val="105"/>
        </w:rPr>
        <w:t>de</w:t>
      </w:r>
      <w:r>
        <w:rPr>
          <w:spacing w:val="-3"/>
          <w:w w:val="105"/>
        </w:rPr>
        <w:t xml:space="preserve"> </w:t>
      </w:r>
      <w:r>
        <w:rPr>
          <w:w w:val="105"/>
        </w:rPr>
        <w:t>Derechos</w:t>
      </w:r>
      <w:r>
        <w:rPr>
          <w:spacing w:val="-3"/>
          <w:w w:val="105"/>
        </w:rPr>
        <w:t xml:space="preserve"> </w:t>
      </w:r>
      <w:r>
        <w:rPr>
          <w:w w:val="105"/>
        </w:rPr>
        <w:t>Humanos</w:t>
      </w:r>
      <w:r>
        <w:rPr>
          <w:spacing w:val="-3"/>
          <w:w w:val="105"/>
        </w:rPr>
        <w:t xml:space="preserve"> </w:t>
      </w:r>
      <w:r>
        <w:rPr>
          <w:w w:val="105"/>
        </w:rPr>
        <w:t>ha</w:t>
      </w:r>
      <w:r>
        <w:rPr>
          <w:spacing w:val="-3"/>
          <w:w w:val="105"/>
        </w:rPr>
        <w:t xml:space="preserve"> </w:t>
      </w:r>
      <w:r>
        <w:rPr>
          <w:w w:val="105"/>
        </w:rPr>
        <w:t>indicado</w:t>
      </w:r>
      <w:r>
        <w:rPr>
          <w:spacing w:val="-3"/>
          <w:w w:val="105"/>
        </w:rPr>
        <w:t xml:space="preserve"> </w:t>
      </w:r>
      <w:r>
        <w:rPr>
          <w:w w:val="105"/>
        </w:rPr>
        <w:t>que</w:t>
      </w:r>
      <w:r>
        <w:rPr>
          <w:spacing w:val="-3"/>
          <w:w w:val="105"/>
        </w:rPr>
        <w:t xml:space="preserve"> </w:t>
      </w:r>
      <w:r>
        <w:rPr>
          <w:w w:val="105"/>
        </w:rPr>
        <w:t>no</w:t>
      </w:r>
      <w:r>
        <w:rPr>
          <w:spacing w:val="-3"/>
          <w:w w:val="105"/>
        </w:rPr>
        <w:t xml:space="preserve"> </w:t>
      </w:r>
      <w:r>
        <w:rPr>
          <w:w w:val="105"/>
        </w:rPr>
        <w:t>existen</w:t>
      </w:r>
      <w:r>
        <w:rPr>
          <w:spacing w:val="-3"/>
          <w:w w:val="105"/>
        </w:rPr>
        <w:t xml:space="preserve"> </w:t>
      </w:r>
      <w:r>
        <w:rPr>
          <w:w w:val="105"/>
        </w:rPr>
        <w:t>“barreras</w:t>
      </w:r>
      <w:r>
        <w:rPr>
          <w:spacing w:val="-3"/>
          <w:w w:val="105"/>
        </w:rPr>
        <w:t xml:space="preserve"> </w:t>
      </w:r>
      <w:r>
        <w:rPr>
          <w:w w:val="105"/>
        </w:rPr>
        <w:t>procesales</w:t>
      </w:r>
      <w:r>
        <w:rPr>
          <w:spacing w:val="-3"/>
          <w:w w:val="105"/>
        </w:rPr>
        <w:t xml:space="preserve"> </w:t>
      </w:r>
      <w:r>
        <w:rPr>
          <w:w w:val="105"/>
        </w:rPr>
        <w:t>a</w:t>
      </w:r>
      <w:r>
        <w:rPr>
          <w:spacing w:val="-3"/>
          <w:w w:val="105"/>
        </w:rPr>
        <w:t xml:space="preserve"> </w:t>
      </w:r>
      <w:r>
        <w:rPr>
          <w:w w:val="105"/>
        </w:rPr>
        <w:t>la</w:t>
      </w:r>
      <w:r>
        <w:rPr>
          <w:spacing w:val="-3"/>
          <w:w w:val="105"/>
        </w:rPr>
        <w:t xml:space="preserve"> </w:t>
      </w:r>
      <w:r>
        <w:rPr>
          <w:w w:val="105"/>
        </w:rPr>
        <w:t>admisibilidad de</w:t>
      </w:r>
      <w:r>
        <w:rPr>
          <w:spacing w:val="-6"/>
          <w:w w:val="105"/>
        </w:rPr>
        <w:t xml:space="preserve"> </w:t>
      </w:r>
      <w:r>
        <w:rPr>
          <w:w w:val="105"/>
        </w:rPr>
        <w:t>la</w:t>
      </w:r>
      <w:r>
        <w:rPr>
          <w:spacing w:val="-6"/>
          <w:w w:val="105"/>
        </w:rPr>
        <w:t xml:space="preserve"> </w:t>
      </w:r>
      <w:r>
        <w:rPr>
          <w:w w:val="105"/>
        </w:rPr>
        <w:t>prueba”702</w:t>
      </w:r>
      <w:r>
        <w:rPr>
          <w:spacing w:val="-6"/>
          <w:w w:val="105"/>
        </w:rPr>
        <w:t xml:space="preserve"> </w:t>
      </w:r>
      <w:r>
        <w:rPr>
          <w:w w:val="105"/>
        </w:rPr>
        <w:t>en</w:t>
      </w:r>
      <w:r>
        <w:rPr>
          <w:spacing w:val="-6"/>
          <w:w w:val="105"/>
        </w:rPr>
        <w:t xml:space="preserve"> </w:t>
      </w:r>
      <w:r>
        <w:rPr>
          <w:w w:val="105"/>
        </w:rPr>
        <w:t>virtud</w:t>
      </w:r>
      <w:r>
        <w:rPr>
          <w:spacing w:val="-6"/>
          <w:w w:val="105"/>
        </w:rPr>
        <w:t xml:space="preserve"> </w:t>
      </w:r>
      <w:r>
        <w:rPr>
          <w:w w:val="105"/>
        </w:rPr>
        <w:t>del</w:t>
      </w:r>
      <w:r>
        <w:rPr>
          <w:spacing w:val="-6"/>
          <w:w w:val="105"/>
        </w:rPr>
        <w:t xml:space="preserve"> </w:t>
      </w:r>
      <w:r>
        <w:rPr>
          <w:w w:val="105"/>
        </w:rPr>
        <w:t>Convenio</w:t>
      </w:r>
      <w:r>
        <w:rPr>
          <w:spacing w:val="-6"/>
          <w:w w:val="105"/>
        </w:rPr>
        <w:t xml:space="preserve"> </w:t>
      </w:r>
      <w:r>
        <w:rPr>
          <w:w w:val="105"/>
        </w:rPr>
        <w:t>Europeo</w:t>
      </w:r>
      <w:r>
        <w:rPr>
          <w:spacing w:val="-6"/>
          <w:w w:val="105"/>
        </w:rPr>
        <w:t xml:space="preserve"> </w:t>
      </w:r>
      <w:r>
        <w:rPr>
          <w:w w:val="105"/>
        </w:rPr>
        <w:t>de</w:t>
      </w:r>
      <w:r>
        <w:rPr>
          <w:spacing w:val="-6"/>
          <w:w w:val="105"/>
        </w:rPr>
        <w:t xml:space="preserve"> </w:t>
      </w:r>
      <w:r>
        <w:rPr>
          <w:w w:val="105"/>
        </w:rPr>
        <w:t>Derechos</w:t>
      </w:r>
      <w:r>
        <w:rPr>
          <w:spacing w:val="-6"/>
          <w:w w:val="105"/>
        </w:rPr>
        <w:t xml:space="preserve"> </w:t>
      </w:r>
      <w:r>
        <w:rPr>
          <w:w w:val="105"/>
        </w:rPr>
        <w:t>Humanos,</w:t>
      </w:r>
      <w:r>
        <w:rPr>
          <w:spacing w:val="-5"/>
          <w:w w:val="105"/>
        </w:rPr>
        <w:t xml:space="preserve"> </w:t>
      </w:r>
      <w:r>
        <w:rPr>
          <w:w w:val="105"/>
        </w:rPr>
        <w:t>y</w:t>
      </w:r>
      <w:r>
        <w:rPr>
          <w:spacing w:val="-6"/>
          <w:w w:val="105"/>
        </w:rPr>
        <w:t xml:space="preserve"> </w:t>
      </w:r>
      <w:r>
        <w:rPr>
          <w:w w:val="105"/>
        </w:rPr>
        <w:t>tanto</w:t>
      </w:r>
      <w:r>
        <w:rPr>
          <w:spacing w:val="-6"/>
          <w:w w:val="105"/>
        </w:rPr>
        <w:t xml:space="preserve"> </w:t>
      </w:r>
      <w:r>
        <w:rPr>
          <w:w w:val="105"/>
        </w:rPr>
        <w:t>el</w:t>
      </w:r>
      <w:r>
        <w:rPr>
          <w:spacing w:val="-6"/>
          <w:w w:val="105"/>
        </w:rPr>
        <w:t xml:space="preserve"> </w:t>
      </w:r>
      <w:r>
        <w:rPr>
          <w:w w:val="105"/>
        </w:rPr>
        <w:t>Tribunal</w:t>
      </w:r>
      <w:r>
        <w:rPr>
          <w:spacing w:val="-6"/>
          <w:w w:val="105"/>
        </w:rPr>
        <w:t xml:space="preserve"> </w:t>
      </w:r>
      <w:r>
        <w:rPr>
          <w:w w:val="105"/>
        </w:rPr>
        <w:t>Europeo</w:t>
      </w:r>
      <w:r>
        <w:rPr>
          <w:spacing w:val="-6"/>
          <w:w w:val="105"/>
        </w:rPr>
        <w:t xml:space="preserve"> </w:t>
      </w:r>
      <w:r>
        <w:rPr>
          <w:w w:val="105"/>
        </w:rPr>
        <w:t>como</w:t>
      </w:r>
      <w:r>
        <w:rPr>
          <w:spacing w:val="-6"/>
          <w:w w:val="105"/>
        </w:rPr>
        <w:t xml:space="preserve"> </w:t>
      </w:r>
      <w:r>
        <w:rPr>
          <w:w w:val="105"/>
        </w:rPr>
        <w:t>el</w:t>
      </w:r>
      <w:r>
        <w:rPr>
          <w:spacing w:val="-6"/>
          <w:w w:val="105"/>
        </w:rPr>
        <w:t xml:space="preserve"> </w:t>
      </w:r>
      <w:r>
        <w:rPr>
          <w:w w:val="105"/>
        </w:rPr>
        <w:t>Interamericano han demostrado su voluntad de tener en cuenta medidas más amplias. evidencia contextual de discriminación sistémica al encontrar una violación del derecho a la no discriminación bajo sus respectivas Convenciones.703</w:t>
      </w:r>
    </w:p>
    <w:p w14:paraId="5DA6BF81" w14:textId="77777777" w:rsidR="0014798C" w:rsidRDefault="0014798C">
      <w:pPr>
        <w:pStyle w:val="Textoindependiente"/>
        <w:rPr>
          <w:sz w:val="20"/>
        </w:rPr>
      </w:pPr>
    </w:p>
    <w:p w14:paraId="610D9752" w14:textId="77777777" w:rsidR="0014798C" w:rsidRDefault="0014798C">
      <w:pPr>
        <w:pStyle w:val="Textoindependiente"/>
        <w:rPr>
          <w:sz w:val="20"/>
        </w:rPr>
      </w:pPr>
    </w:p>
    <w:p w14:paraId="61730E5C" w14:textId="77777777" w:rsidR="0014798C" w:rsidRDefault="0014798C">
      <w:pPr>
        <w:pStyle w:val="Textoindependiente"/>
        <w:rPr>
          <w:sz w:val="20"/>
        </w:rPr>
      </w:pPr>
    </w:p>
    <w:p w14:paraId="15FADD01" w14:textId="77777777" w:rsidR="0014798C" w:rsidRDefault="0014798C">
      <w:pPr>
        <w:pStyle w:val="Textoindependiente"/>
        <w:rPr>
          <w:sz w:val="20"/>
        </w:rPr>
      </w:pPr>
    </w:p>
    <w:p w14:paraId="53FD3353" w14:textId="77777777" w:rsidR="0014798C" w:rsidRDefault="0014798C">
      <w:pPr>
        <w:pStyle w:val="Textoindependiente"/>
        <w:rPr>
          <w:sz w:val="20"/>
        </w:rPr>
      </w:pPr>
    </w:p>
    <w:p w14:paraId="33A6C754" w14:textId="77777777" w:rsidR="0014798C" w:rsidRDefault="0014798C">
      <w:pPr>
        <w:pStyle w:val="Textoindependiente"/>
        <w:rPr>
          <w:sz w:val="20"/>
        </w:rPr>
      </w:pPr>
    </w:p>
    <w:p w14:paraId="2039A2A1" w14:textId="77777777" w:rsidR="0014798C" w:rsidRDefault="0014798C">
      <w:pPr>
        <w:pStyle w:val="Textoindependiente"/>
        <w:spacing w:before="57"/>
        <w:rPr>
          <w:sz w:val="20"/>
        </w:rPr>
      </w:pPr>
    </w:p>
    <w:p w14:paraId="5E20CE68" w14:textId="77777777" w:rsidR="0014798C" w:rsidRDefault="0014798C">
      <w:pPr>
        <w:rPr>
          <w:sz w:val="20"/>
        </w:rPr>
        <w:sectPr w:rsidR="0014798C" w:rsidSect="00F265E4">
          <w:pgSz w:w="11900" w:h="16820"/>
          <w:pgMar w:top="340" w:right="0" w:bottom="280" w:left="200" w:header="121" w:footer="0" w:gutter="0"/>
          <w:cols w:space="720"/>
        </w:sectPr>
      </w:pPr>
    </w:p>
    <w:p w14:paraId="2B9B5668" w14:textId="77777777" w:rsidR="0014798C" w:rsidRDefault="0014798C">
      <w:pPr>
        <w:pStyle w:val="Textoindependiente"/>
        <w:spacing w:before="9"/>
        <w:rPr>
          <w:sz w:val="8"/>
        </w:rPr>
      </w:pPr>
    </w:p>
    <w:p w14:paraId="014E9978" w14:textId="77777777" w:rsidR="0014798C" w:rsidRDefault="004E1F0B">
      <w:pPr>
        <w:spacing w:before="1"/>
        <w:jc w:val="right"/>
        <w:rPr>
          <w:sz w:val="8"/>
        </w:rPr>
      </w:pPr>
      <w:r>
        <w:rPr>
          <w:spacing w:val="-5"/>
          <w:w w:val="105"/>
          <w:sz w:val="8"/>
        </w:rPr>
        <w:t>697</w:t>
      </w:r>
    </w:p>
    <w:p w14:paraId="3F624139" w14:textId="77777777" w:rsidR="0014798C" w:rsidRDefault="004E1F0B">
      <w:pPr>
        <w:spacing w:before="113" w:line="288" w:lineRule="auto"/>
        <w:ind w:left="78" w:right="1594" w:hanging="1"/>
        <w:rPr>
          <w:sz w:val="13"/>
        </w:rPr>
      </w:pPr>
      <w:r>
        <w:br w:type="column"/>
      </w:r>
      <w:r>
        <w:rPr>
          <w:sz w:val="13"/>
        </w:rPr>
        <w:t>Francia,</w:t>
      </w:r>
      <w:r>
        <w:rPr>
          <w:spacing w:val="-3"/>
          <w:sz w:val="13"/>
        </w:rPr>
        <w:t xml:space="preserve"> </w:t>
      </w:r>
      <w:r>
        <w:rPr>
          <w:sz w:val="13"/>
        </w:rPr>
        <w:t>Consejo</w:t>
      </w:r>
      <w:r>
        <w:rPr>
          <w:spacing w:val="-4"/>
          <w:sz w:val="13"/>
        </w:rPr>
        <w:t xml:space="preserve"> </w:t>
      </w:r>
      <w:r>
        <w:rPr>
          <w:sz w:val="13"/>
        </w:rPr>
        <w:t>de</w:t>
      </w:r>
      <w:r>
        <w:rPr>
          <w:spacing w:val="-4"/>
          <w:sz w:val="13"/>
        </w:rPr>
        <w:t xml:space="preserve"> </w:t>
      </w:r>
      <w:r>
        <w:rPr>
          <w:sz w:val="13"/>
        </w:rPr>
        <w:t>Estado,</w:t>
      </w:r>
      <w:r>
        <w:rPr>
          <w:spacing w:val="-4"/>
          <w:sz w:val="13"/>
        </w:rPr>
        <w:t xml:space="preserve"> </w:t>
      </w:r>
      <w:r>
        <w:rPr>
          <w:sz w:val="13"/>
        </w:rPr>
        <w:t>Caso</w:t>
      </w:r>
      <w:r>
        <w:rPr>
          <w:spacing w:val="-4"/>
          <w:sz w:val="13"/>
        </w:rPr>
        <w:t xml:space="preserve"> </w:t>
      </w:r>
      <w:r>
        <w:rPr>
          <w:sz w:val="13"/>
        </w:rPr>
        <w:t>No.</w:t>
      </w:r>
      <w:r>
        <w:rPr>
          <w:spacing w:val="-4"/>
          <w:sz w:val="13"/>
        </w:rPr>
        <w:t xml:space="preserve"> </w:t>
      </w:r>
      <w:r>
        <w:rPr>
          <w:sz w:val="13"/>
        </w:rPr>
        <w:t>298348,</w:t>
      </w:r>
      <w:r>
        <w:rPr>
          <w:spacing w:val="-3"/>
          <w:sz w:val="13"/>
        </w:rPr>
        <w:t xml:space="preserve"> </w:t>
      </w:r>
      <w:r>
        <w:rPr>
          <w:sz w:val="13"/>
        </w:rPr>
        <w:t>Decisión,</w:t>
      </w:r>
      <w:r>
        <w:rPr>
          <w:spacing w:val="-3"/>
          <w:sz w:val="13"/>
        </w:rPr>
        <w:t xml:space="preserve"> </w:t>
      </w:r>
      <w:r>
        <w:rPr>
          <w:sz w:val="13"/>
        </w:rPr>
        <w:t>30</w:t>
      </w:r>
      <w:r>
        <w:rPr>
          <w:spacing w:val="-4"/>
          <w:sz w:val="13"/>
        </w:rPr>
        <w:t xml:space="preserve"> </w:t>
      </w:r>
      <w:r>
        <w:rPr>
          <w:sz w:val="13"/>
        </w:rPr>
        <w:t>de</w:t>
      </w:r>
      <w:r>
        <w:rPr>
          <w:spacing w:val="-4"/>
          <w:sz w:val="13"/>
        </w:rPr>
        <w:t xml:space="preserve"> </w:t>
      </w:r>
      <w:r>
        <w:rPr>
          <w:sz w:val="13"/>
        </w:rPr>
        <w:t>octubre</w:t>
      </w:r>
      <w:r>
        <w:rPr>
          <w:spacing w:val="-4"/>
          <w:sz w:val="13"/>
        </w:rPr>
        <w:t xml:space="preserve"> </w:t>
      </w:r>
      <w:r>
        <w:rPr>
          <w:sz w:val="13"/>
        </w:rPr>
        <w:t>de</w:t>
      </w:r>
      <w:r>
        <w:rPr>
          <w:spacing w:val="-4"/>
          <w:sz w:val="13"/>
        </w:rPr>
        <w:t xml:space="preserve"> </w:t>
      </w:r>
      <w:r>
        <w:rPr>
          <w:sz w:val="13"/>
        </w:rPr>
        <w:t>2009.</w:t>
      </w:r>
      <w:r>
        <w:rPr>
          <w:spacing w:val="-4"/>
          <w:sz w:val="13"/>
        </w:rPr>
        <w:t xml:space="preserve"> </w:t>
      </w:r>
      <w:r>
        <w:rPr>
          <w:sz w:val="13"/>
        </w:rPr>
        <w:t>Disponible</w:t>
      </w:r>
      <w:r>
        <w:rPr>
          <w:spacing w:val="-4"/>
          <w:sz w:val="13"/>
        </w:rPr>
        <w:t xml:space="preserve"> </w:t>
      </w:r>
      <w:r>
        <w:rPr>
          <w:sz w:val="13"/>
        </w:rPr>
        <w:t>en</w:t>
      </w:r>
      <w:r>
        <w:rPr>
          <w:spacing w:val="-4"/>
          <w:sz w:val="13"/>
        </w:rPr>
        <w:t xml:space="preserve"> </w:t>
      </w:r>
      <w:hyperlink r:id="rId194">
        <w:r>
          <w:rPr>
            <w:color w:val="0075BF"/>
            <w:sz w:val="13"/>
          </w:rPr>
          <w:t>www.legifrance.gouv.fr/affichJuriAdmin.</w:t>
        </w:r>
      </w:hyperlink>
      <w:r>
        <w:rPr>
          <w:color w:val="0075BF"/>
          <w:spacing w:val="40"/>
          <w:sz w:val="13"/>
        </w:rPr>
        <w:t xml:space="preserve"> </w:t>
      </w:r>
      <w:hyperlink r:id="rId195">
        <w:r>
          <w:rPr>
            <w:color w:val="0075BF"/>
            <w:sz w:val="13"/>
          </w:rPr>
          <w:t>hacer?idTexte=CETATEXT000021219388</w:t>
        </w:r>
      </w:hyperlink>
      <w:r>
        <w:rPr>
          <w:color w:val="0075BF"/>
          <w:spacing w:val="-4"/>
          <w:sz w:val="13"/>
        </w:rPr>
        <w:t xml:space="preserve"> </w:t>
      </w:r>
      <w:r>
        <w:rPr>
          <w:sz w:val="13"/>
        </w:rPr>
        <w:t>(en</w:t>
      </w:r>
      <w:r>
        <w:rPr>
          <w:spacing w:val="-3"/>
          <w:sz w:val="13"/>
        </w:rPr>
        <w:t xml:space="preserve"> </w:t>
      </w:r>
      <w:r>
        <w:rPr>
          <w:sz w:val="13"/>
        </w:rPr>
        <w:t>francés).</w:t>
      </w:r>
      <w:r>
        <w:rPr>
          <w:spacing w:val="-2"/>
          <w:sz w:val="13"/>
        </w:rPr>
        <w:t xml:space="preserve"> </w:t>
      </w:r>
      <w:r>
        <w:rPr>
          <w:sz w:val="13"/>
        </w:rPr>
        <w:t>Para</w:t>
      </w:r>
      <w:r>
        <w:rPr>
          <w:spacing w:val="-3"/>
          <w:sz w:val="13"/>
        </w:rPr>
        <w:t xml:space="preserve"> </w:t>
      </w:r>
      <w:r>
        <w:rPr>
          <w:sz w:val="13"/>
        </w:rPr>
        <w:t>un</w:t>
      </w:r>
      <w:r>
        <w:rPr>
          <w:spacing w:val="-3"/>
          <w:sz w:val="13"/>
        </w:rPr>
        <w:t xml:space="preserve"> </w:t>
      </w:r>
      <w:r>
        <w:rPr>
          <w:sz w:val="13"/>
        </w:rPr>
        <w:t>resumen</w:t>
      </w:r>
      <w:r>
        <w:rPr>
          <w:spacing w:val="-3"/>
          <w:sz w:val="13"/>
        </w:rPr>
        <w:t xml:space="preserve"> </w:t>
      </w:r>
      <w:r>
        <w:rPr>
          <w:sz w:val="13"/>
        </w:rPr>
        <w:t>útil</w:t>
      </w:r>
      <w:r>
        <w:rPr>
          <w:spacing w:val="-3"/>
          <w:sz w:val="13"/>
        </w:rPr>
        <w:t xml:space="preserve"> </w:t>
      </w:r>
      <w:r>
        <w:rPr>
          <w:sz w:val="13"/>
        </w:rPr>
        <w:t>del</w:t>
      </w:r>
      <w:r>
        <w:rPr>
          <w:spacing w:val="-3"/>
          <w:sz w:val="13"/>
        </w:rPr>
        <w:t xml:space="preserve"> </w:t>
      </w:r>
      <w:r>
        <w:rPr>
          <w:sz w:val="13"/>
        </w:rPr>
        <w:t>caso,</w:t>
      </w:r>
      <w:r>
        <w:rPr>
          <w:spacing w:val="-3"/>
          <w:sz w:val="13"/>
        </w:rPr>
        <w:t xml:space="preserve"> </w:t>
      </w:r>
      <w:r>
        <w:rPr>
          <w:sz w:val="13"/>
        </w:rPr>
        <w:t>véase</w:t>
      </w:r>
      <w:r>
        <w:rPr>
          <w:spacing w:val="-3"/>
          <w:sz w:val="13"/>
        </w:rPr>
        <w:t xml:space="preserve"> </w:t>
      </w:r>
      <w:r>
        <w:rPr>
          <w:sz w:val="13"/>
        </w:rPr>
        <w:t>Consejo</w:t>
      </w:r>
      <w:r>
        <w:rPr>
          <w:spacing w:val="-3"/>
          <w:sz w:val="13"/>
        </w:rPr>
        <w:t xml:space="preserve"> </w:t>
      </w:r>
      <w:r>
        <w:rPr>
          <w:sz w:val="13"/>
        </w:rPr>
        <w:t>de</w:t>
      </w:r>
      <w:r>
        <w:rPr>
          <w:spacing w:val="-3"/>
          <w:sz w:val="13"/>
        </w:rPr>
        <w:t xml:space="preserve"> </w:t>
      </w:r>
      <w:r>
        <w:rPr>
          <w:sz w:val="13"/>
        </w:rPr>
        <w:t>Estado,</w:t>
      </w:r>
      <w:r>
        <w:rPr>
          <w:spacing w:val="-3"/>
          <w:sz w:val="13"/>
        </w:rPr>
        <w:t xml:space="preserve"> </w:t>
      </w:r>
      <w:r>
        <w:rPr>
          <w:sz w:val="13"/>
        </w:rPr>
        <w:t>“Les</w:t>
      </w:r>
      <w:r>
        <w:rPr>
          <w:spacing w:val="-3"/>
          <w:sz w:val="13"/>
        </w:rPr>
        <w:t xml:space="preserve"> </w:t>
      </w:r>
      <w:r>
        <w:rPr>
          <w:sz w:val="13"/>
        </w:rPr>
        <w:t>grandes</w:t>
      </w:r>
      <w:r>
        <w:rPr>
          <w:spacing w:val="-3"/>
          <w:sz w:val="13"/>
        </w:rPr>
        <w:t xml:space="preserve"> </w:t>
      </w:r>
      <w:proofErr w:type="spellStart"/>
      <w:r>
        <w:rPr>
          <w:sz w:val="13"/>
        </w:rPr>
        <w:t>décisions</w:t>
      </w:r>
      <w:proofErr w:type="spellEnd"/>
      <w:r>
        <w:rPr>
          <w:spacing w:val="-3"/>
          <w:sz w:val="13"/>
        </w:rPr>
        <w:t xml:space="preserve"> </w:t>
      </w:r>
      <w:r>
        <w:rPr>
          <w:sz w:val="13"/>
        </w:rPr>
        <w:t>du</w:t>
      </w:r>
      <w:r>
        <w:rPr>
          <w:spacing w:val="-3"/>
          <w:sz w:val="13"/>
        </w:rPr>
        <w:t xml:space="preserve"> </w:t>
      </w:r>
      <w:proofErr w:type="spellStart"/>
      <w:r>
        <w:rPr>
          <w:sz w:val="13"/>
        </w:rPr>
        <w:t>Conseil</w:t>
      </w:r>
      <w:proofErr w:type="spellEnd"/>
      <w:r>
        <w:rPr>
          <w:spacing w:val="40"/>
          <w:sz w:val="13"/>
        </w:rPr>
        <w:t xml:space="preserve"> </w:t>
      </w:r>
      <w:hyperlink r:id="rId196">
        <w:r>
          <w:rPr>
            <w:spacing w:val="-2"/>
            <w:sz w:val="13"/>
          </w:rPr>
          <w:t xml:space="preserve">d'État”, 30 de octubre de 2018. Disponible en </w:t>
        </w:r>
        <w:r>
          <w:rPr>
            <w:color w:val="0075BF"/>
            <w:spacing w:val="-2"/>
            <w:sz w:val="13"/>
          </w:rPr>
          <w:t>www.conseil-etat.fr/ressources/decisions-contentieuses/les-grandes-decisions- du-</w:t>
        </w:r>
        <w:proofErr w:type="spellStart"/>
        <w:r>
          <w:rPr>
            <w:color w:val="0075BF"/>
            <w:spacing w:val="-2"/>
            <w:sz w:val="13"/>
          </w:rPr>
          <w:t>conseil</w:t>
        </w:r>
        <w:proofErr w:type="spellEnd"/>
        <w:r>
          <w:rPr>
            <w:color w:val="0075BF"/>
            <w:spacing w:val="-2"/>
            <w:sz w:val="13"/>
          </w:rPr>
          <w:t xml:space="preserve">-d- </w:t>
        </w:r>
        <w:proofErr w:type="spellStart"/>
        <w:r>
          <w:rPr>
            <w:color w:val="0075BF"/>
            <w:spacing w:val="-2"/>
            <w:sz w:val="13"/>
          </w:rPr>
          <w:t>etat</w:t>
        </w:r>
        <w:proofErr w:type="spellEnd"/>
        <w:r>
          <w:rPr>
            <w:color w:val="0075BF"/>
            <w:spacing w:val="-2"/>
            <w:sz w:val="13"/>
          </w:rPr>
          <w:t>/</w:t>
        </w:r>
        <w:proofErr w:type="spellStart"/>
        <w:r>
          <w:rPr>
            <w:color w:val="0075BF"/>
            <w:spacing w:val="-2"/>
            <w:sz w:val="13"/>
          </w:rPr>
          <w:t>conseil</w:t>
        </w:r>
        <w:proofErr w:type="spellEnd"/>
        <w:r>
          <w:rPr>
            <w:color w:val="0075BF"/>
            <w:spacing w:val="-2"/>
            <w:sz w:val="13"/>
          </w:rPr>
          <w:t>-d-</w:t>
        </w:r>
        <w:r>
          <w:rPr>
            <w:color w:val="0075BF"/>
            <w:spacing w:val="40"/>
            <w:sz w:val="13"/>
          </w:rPr>
          <w:t xml:space="preserve"> </w:t>
        </w:r>
        <w:r>
          <w:rPr>
            <w:color w:val="0075BF"/>
            <w:sz w:val="13"/>
          </w:rPr>
          <w:t xml:space="preserve">etat-assemblee-30-octobre-2009-mme-perreux </w:t>
        </w:r>
        <w:r>
          <w:rPr>
            <w:sz w:val="13"/>
          </w:rPr>
          <w:t>(en francés).</w:t>
        </w:r>
      </w:hyperlink>
    </w:p>
    <w:p w14:paraId="376CFD21" w14:textId="77777777" w:rsidR="0014798C" w:rsidRDefault="0014798C">
      <w:pPr>
        <w:spacing w:line="288" w:lineRule="auto"/>
        <w:rPr>
          <w:sz w:val="13"/>
        </w:rPr>
        <w:sectPr w:rsidR="0014798C" w:rsidSect="00F265E4">
          <w:type w:val="continuous"/>
          <w:pgSz w:w="11900" w:h="16820"/>
          <w:pgMar w:top="40" w:right="0" w:bottom="280" w:left="200" w:header="121" w:footer="0" w:gutter="0"/>
          <w:cols w:num="2" w:space="720" w:equalWidth="0">
            <w:col w:w="1250" w:space="40"/>
            <w:col w:w="10410"/>
          </w:cols>
        </w:sectPr>
      </w:pPr>
    </w:p>
    <w:p w14:paraId="6B379CA0" w14:textId="77777777" w:rsidR="0014798C" w:rsidRDefault="004E1F0B">
      <w:pPr>
        <w:spacing w:before="111" w:line="105" w:lineRule="exact"/>
        <w:ind w:left="1108"/>
        <w:rPr>
          <w:sz w:val="10"/>
        </w:rPr>
      </w:pPr>
      <w:r>
        <w:rPr>
          <w:sz w:val="10"/>
        </w:rPr>
        <w:t>698</w:t>
      </w:r>
      <w:r>
        <w:rPr>
          <w:spacing w:val="-7"/>
          <w:sz w:val="10"/>
        </w:rPr>
        <w:t xml:space="preserve"> </w:t>
      </w:r>
      <w:r>
        <w:rPr>
          <w:sz w:val="10"/>
        </w:rPr>
        <w:t>Directiva</w:t>
      </w:r>
      <w:r>
        <w:rPr>
          <w:spacing w:val="-6"/>
          <w:sz w:val="10"/>
        </w:rPr>
        <w:t xml:space="preserve"> </w:t>
      </w:r>
      <w:r>
        <w:rPr>
          <w:sz w:val="10"/>
        </w:rPr>
        <w:t>2000/78/CE</w:t>
      </w:r>
      <w:r>
        <w:rPr>
          <w:spacing w:val="-6"/>
          <w:sz w:val="10"/>
        </w:rPr>
        <w:t xml:space="preserve"> </w:t>
      </w:r>
      <w:r>
        <w:rPr>
          <w:sz w:val="10"/>
        </w:rPr>
        <w:t>del</w:t>
      </w:r>
      <w:r>
        <w:rPr>
          <w:spacing w:val="-6"/>
          <w:sz w:val="10"/>
        </w:rPr>
        <w:t xml:space="preserve"> </w:t>
      </w:r>
      <w:r>
        <w:rPr>
          <w:sz w:val="10"/>
        </w:rPr>
        <w:t>Consejo,</w:t>
      </w:r>
      <w:r>
        <w:rPr>
          <w:spacing w:val="-6"/>
          <w:sz w:val="10"/>
        </w:rPr>
        <w:t xml:space="preserve"> </w:t>
      </w:r>
      <w:r>
        <w:rPr>
          <w:sz w:val="10"/>
        </w:rPr>
        <w:t>de</w:t>
      </w:r>
      <w:r>
        <w:rPr>
          <w:spacing w:val="-6"/>
          <w:sz w:val="10"/>
        </w:rPr>
        <w:t xml:space="preserve"> </w:t>
      </w:r>
      <w:r>
        <w:rPr>
          <w:sz w:val="10"/>
        </w:rPr>
        <w:t>27</w:t>
      </w:r>
      <w:r>
        <w:rPr>
          <w:spacing w:val="-6"/>
          <w:sz w:val="10"/>
        </w:rPr>
        <w:t xml:space="preserve"> </w:t>
      </w:r>
      <w:r>
        <w:rPr>
          <w:sz w:val="10"/>
        </w:rPr>
        <w:t>de</w:t>
      </w:r>
      <w:r>
        <w:rPr>
          <w:spacing w:val="-6"/>
          <w:sz w:val="10"/>
        </w:rPr>
        <w:t xml:space="preserve"> </w:t>
      </w:r>
      <w:r>
        <w:rPr>
          <w:sz w:val="10"/>
        </w:rPr>
        <w:t>noviembre</w:t>
      </w:r>
      <w:r>
        <w:rPr>
          <w:spacing w:val="-6"/>
          <w:sz w:val="10"/>
        </w:rPr>
        <w:t xml:space="preserve"> </w:t>
      </w:r>
      <w:r>
        <w:rPr>
          <w:sz w:val="10"/>
        </w:rPr>
        <w:t>de</w:t>
      </w:r>
      <w:r>
        <w:rPr>
          <w:spacing w:val="-6"/>
          <w:sz w:val="10"/>
        </w:rPr>
        <w:t xml:space="preserve"> </w:t>
      </w:r>
      <w:r>
        <w:rPr>
          <w:sz w:val="10"/>
        </w:rPr>
        <w:t>2000,</w:t>
      </w:r>
      <w:r>
        <w:rPr>
          <w:spacing w:val="-7"/>
          <w:sz w:val="10"/>
        </w:rPr>
        <w:t xml:space="preserve"> </w:t>
      </w:r>
      <w:r>
        <w:rPr>
          <w:sz w:val="10"/>
        </w:rPr>
        <w:t>por</w:t>
      </w:r>
      <w:r>
        <w:rPr>
          <w:spacing w:val="-6"/>
          <w:sz w:val="10"/>
        </w:rPr>
        <w:t xml:space="preserve"> </w:t>
      </w:r>
      <w:r>
        <w:rPr>
          <w:sz w:val="10"/>
        </w:rPr>
        <w:t>la</w:t>
      </w:r>
      <w:r>
        <w:rPr>
          <w:spacing w:val="-6"/>
          <w:sz w:val="10"/>
        </w:rPr>
        <w:t xml:space="preserve"> </w:t>
      </w:r>
      <w:r>
        <w:rPr>
          <w:sz w:val="10"/>
        </w:rPr>
        <w:t>que</w:t>
      </w:r>
      <w:r>
        <w:rPr>
          <w:spacing w:val="-6"/>
          <w:sz w:val="10"/>
        </w:rPr>
        <w:t xml:space="preserve"> </w:t>
      </w:r>
      <w:r>
        <w:rPr>
          <w:sz w:val="10"/>
        </w:rPr>
        <w:t>se</w:t>
      </w:r>
      <w:r>
        <w:rPr>
          <w:spacing w:val="-6"/>
          <w:sz w:val="10"/>
        </w:rPr>
        <w:t xml:space="preserve"> </w:t>
      </w:r>
      <w:r>
        <w:rPr>
          <w:sz w:val="10"/>
        </w:rPr>
        <w:t>establece</w:t>
      </w:r>
      <w:r>
        <w:rPr>
          <w:spacing w:val="-7"/>
          <w:sz w:val="10"/>
        </w:rPr>
        <w:t xml:space="preserve"> </w:t>
      </w:r>
      <w:r>
        <w:rPr>
          <w:sz w:val="10"/>
        </w:rPr>
        <w:t>un</w:t>
      </w:r>
      <w:r>
        <w:rPr>
          <w:spacing w:val="-6"/>
          <w:sz w:val="10"/>
        </w:rPr>
        <w:t xml:space="preserve"> </w:t>
      </w:r>
      <w:r>
        <w:rPr>
          <w:sz w:val="10"/>
        </w:rPr>
        <w:t>marco</w:t>
      </w:r>
      <w:r>
        <w:rPr>
          <w:spacing w:val="-6"/>
          <w:sz w:val="10"/>
        </w:rPr>
        <w:t xml:space="preserve"> </w:t>
      </w:r>
      <w:r>
        <w:rPr>
          <w:sz w:val="10"/>
        </w:rPr>
        <w:t>general</w:t>
      </w:r>
      <w:r>
        <w:rPr>
          <w:spacing w:val="-6"/>
          <w:sz w:val="10"/>
        </w:rPr>
        <w:t xml:space="preserve"> </w:t>
      </w:r>
      <w:r>
        <w:rPr>
          <w:sz w:val="10"/>
        </w:rPr>
        <w:t>para</w:t>
      </w:r>
      <w:r>
        <w:rPr>
          <w:spacing w:val="-6"/>
          <w:sz w:val="10"/>
        </w:rPr>
        <w:t xml:space="preserve"> </w:t>
      </w:r>
      <w:r>
        <w:rPr>
          <w:sz w:val="10"/>
        </w:rPr>
        <w:t>la</w:t>
      </w:r>
      <w:r>
        <w:rPr>
          <w:spacing w:val="-6"/>
          <w:sz w:val="10"/>
        </w:rPr>
        <w:t xml:space="preserve"> </w:t>
      </w:r>
      <w:r>
        <w:rPr>
          <w:sz w:val="10"/>
        </w:rPr>
        <w:t>igualdad</w:t>
      </w:r>
      <w:r>
        <w:rPr>
          <w:spacing w:val="-7"/>
          <w:sz w:val="10"/>
        </w:rPr>
        <w:t xml:space="preserve"> </w:t>
      </w:r>
      <w:r>
        <w:rPr>
          <w:sz w:val="10"/>
        </w:rPr>
        <w:t>de</w:t>
      </w:r>
      <w:r>
        <w:rPr>
          <w:spacing w:val="-6"/>
          <w:sz w:val="10"/>
        </w:rPr>
        <w:t xml:space="preserve"> </w:t>
      </w:r>
      <w:r>
        <w:rPr>
          <w:sz w:val="10"/>
        </w:rPr>
        <w:t>trato</w:t>
      </w:r>
      <w:r>
        <w:rPr>
          <w:spacing w:val="-6"/>
          <w:sz w:val="10"/>
        </w:rPr>
        <w:t xml:space="preserve"> </w:t>
      </w:r>
      <w:r>
        <w:rPr>
          <w:sz w:val="10"/>
        </w:rPr>
        <w:t>en</w:t>
      </w:r>
      <w:r>
        <w:rPr>
          <w:spacing w:val="-6"/>
          <w:sz w:val="10"/>
        </w:rPr>
        <w:t xml:space="preserve"> </w:t>
      </w:r>
      <w:r>
        <w:rPr>
          <w:sz w:val="10"/>
        </w:rPr>
        <w:t>el</w:t>
      </w:r>
      <w:r>
        <w:rPr>
          <w:spacing w:val="-6"/>
          <w:sz w:val="10"/>
        </w:rPr>
        <w:t xml:space="preserve"> </w:t>
      </w:r>
      <w:r>
        <w:rPr>
          <w:sz w:val="10"/>
        </w:rPr>
        <w:t>empleo</w:t>
      </w:r>
      <w:r>
        <w:rPr>
          <w:spacing w:val="-6"/>
          <w:sz w:val="10"/>
        </w:rPr>
        <w:t xml:space="preserve"> </w:t>
      </w:r>
      <w:r>
        <w:rPr>
          <w:sz w:val="10"/>
        </w:rPr>
        <w:t>y</w:t>
      </w:r>
      <w:r>
        <w:rPr>
          <w:spacing w:val="-7"/>
          <w:sz w:val="10"/>
        </w:rPr>
        <w:t xml:space="preserve"> </w:t>
      </w:r>
      <w:r>
        <w:rPr>
          <w:sz w:val="10"/>
        </w:rPr>
        <w:t>la</w:t>
      </w:r>
      <w:r>
        <w:rPr>
          <w:spacing w:val="-6"/>
          <w:sz w:val="10"/>
        </w:rPr>
        <w:t xml:space="preserve"> </w:t>
      </w:r>
      <w:r>
        <w:rPr>
          <w:spacing w:val="-2"/>
          <w:sz w:val="10"/>
        </w:rPr>
        <w:t>ocupación,</w:t>
      </w:r>
    </w:p>
    <w:p w14:paraId="4F808476" w14:textId="77777777" w:rsidR="0014798C" w:rsidRDefault="004E1F0B">
      <w:pPr>
        <w:spacing w:line="140" w:lineRule="exact"/>
        <w:ind w:left="1369"/>
        <w:rPr>
          <w:sz w:val="13"/>
        </w:rPr>
      </w:pPr>
      <w:r>
        <w:rPr>
          <w:sz w:val="13"/>
        </w:rPr>
        <w:t>arte.</w:t>
      </w:r>
      <w:r>
        <w:rPr>
          <w:spacing w:val="-8"/>
          <w:sz w:val="13"/>
        </w:rPr>
        <w:t xml:space="preserve"> </w:t>
      </w:r>
      <w:r>
        <w:rPr>
          <w:spacing w:val="-5"/>
          <w:sz w:val="13"/>
        </w:rPr>
        <w:t>10.</w:t>
      </w:r>
    </w:p>
    <w:p w14:paraId="106670B9" w14:textId="77777777" w:rsidR="0014798C" w:rsidRDefault="004E1F0B">
      <w:pPr>
        <w:spacing w:before="119" w:line="288" w:lineRule="auto"/>
        <w:ind w:left="1366" w:right="1418" w:hanging="258"/>
        <w:rPr>
          <w:sz w:val="13"/>
        </w:rPr>
      </w:pPr>
      <w:r>
        <w:rPr>
          <w:sz w:val="13"/>
        </w:rPr>
        <w:t>699</w:t>
      </w:r>
      <w:r>
        <w:rPr>
          <w:spacing w:val="-1"/>
          <w:sz w:val="13"/>
        </w:rPr>
        <w:t xml:space="preserve"> </w:t>
      </w:r>
      <w:r>
        <w:rPr>
          <w:sz w:val="13"/>
        </w:rPr>
        <w:t>Es</w:t>
      </w:r>
      <w:r>
        <w:rPr>
          <w:spacing w:val="-1"/>
          <w:sz w:val="13"/>
        </w:rPr>
        <w:t xml:space="preserve"> </w:t>
      </w:r>
      <w:r>
        <w:rPr>
          <w:sz w:val="13"/>
        </w:rPr>
        <w:t>una</w:t>
      </w:r>
      <w:r>
        <w:rPr>
          <w:spacing w:val="-1"/>
          <w:sz w:val="13"/>
        </w:rPr>
        <w:t xml:space="preserve"> </w:t>
      </w:r>
      <w:r>
        <w:rPr>
          <w:sz w:val="13"/>
        </w:rPr>
        <w:t>ley</w:t>
      </w:r>
      <w:r>
        <w:rPr>
          <w:spacing w:val="-1"/>
          <w:sz w:val="13"/>
        </w:rPr>
        <w:t xml:space="preserve"> </w:t>
      </w:r>
      <w:r>
        <w:rPr>
          <w:sz w:val="13"/>
        </w:rPr>
        <w:t>establecida</w:t>
      </w:r>
      <w:r>
        <w:rPr>
          <w:spacing w:val="-1"/>
          <w:sz w:val="13"/>
        </w:rPr>
        <w:t xml:space="preserve"> </w:t>
      </w:r>
      <w:r>
        <w:rPr>
          <w:sz w:val="13"/>
        </w:rPr>
        <w:t>en</w:t>
      </w:r>
      <w:r>
        <w:rPr>
          <w:spacing w:val="-1"/>
          <w:sz w:val="13"/>
        </w:rPr>
        <w:t xml:space="preserve"> </w:t>
      </w:r>
      <w:r>
        <w:rPr>
          <w:sz w:val="13"/>
        </w:rPr>
        <w:t>varias</w:t>
      </w:r>
      <w:r>
        <w:rPr>
          <w:spacing w:val="-1"/>
          <w:sz w:val="13"/>
        </w:rPr>
        <w:t xml:space="preserve"> </w:t>
      </w:r>
      <w:r>
        <w:rPr>
          <w:sz w:val="13"/>
        </w:rPr>
        <w:t>jurisdicciones</w:t>
      </w:r>
      <w:r>
        <w:rPr>
          <w:spacing w:val="-1"/>
          <w:sz w:val="13"/>
        </w:rPr>
        <w:t xml:space="preserve"> </w:t>
      </w:r>
      <w:r>
        <w:rPr>
          <w:sz w:val="13"/>
        </w:rPr>
        <w:t>que</w:t>
      </w:r>
      <w:r>
        <w:rPr>
          <w:spacing w:val="-1"/>
          <w:sz w:val="13"/>
        </w:rPr>
        <w:t xml:space="preserve"> </w:t>
      </w:r>
      <w:r>
        <w:rPr>
          <w:sz w:val="13"/>
        </w:rPr>
        <w:t>los</w:t>
      </w:r>
      <w:r>
        <w:rPr>
          <w:spacing w:val="-1"/>
          <w:sz w:val="13"/>
        </w:rPr>
        <w:t xml:space="preserve"> </w:t>
      </w:r>
      <w:r>
        <w:rPr>
          <w:sz w:val="13"/>
        </w:rPr>
        <w:t>demandantes</w:t>
      </w:r>
      <w:r>
        <w:rPr>
          <w:spacing w:val="-1"/>
          <w:sz w:val="13"/>
        </w:rPr>
        <w:t xml:space="preserve"> </w:t>
      </w:r>
      <w:r>
        <w:rPr>
          <w:sz w:val="13"/>
        </w:rPr>
        <w:t>pueden</w:t>
      </w:r>
      <w:r>
        <w:rPr>
          <w:spacing w:val="-1"/>
          <w:sz w:val="13"/>
        </w:rPr>
        <w:t xml:space="preserve"> </w:t>
      </w:r>
      <w:r>
        <w:rPr>
          <w:sz w:val="13"/>
        </w:rPr>
        <w:t>basarse</w:t>
      </w:r>
      <w:r>
        <w:rPr>
          <w:spacing w:val="-1"/>
          <w:sz w:val="13"/>
        </w:rPr>
        <w:t xml:space="preserve"> </w:t>
      </w:r>
      <w:r>
        <w:rPr>
          <w:sz w:val="13"/>
        </w:rPr>
        <w:t>en</w:t>
      </w:r>
      <w:r>
        <w:rPr>
          <w:spacing w:val="-1"/>
          <w:sz w:val="13"/>
        </w:rPr>
        <w:t xml:space="preserve"> </w:t>
      </w:r>
      <w:r>
        <w:rPr>
          <w:sz w:val="13"/>
        </w:rPr>
        <w:t>pruebas</w:t>
      </w:r>
      <w:r>
        <w:rPr>
          <w:spacing w:val="-1"/>
          <w:sz w:val="13"/>
        </w:rPr>
        <w:t xml:space="preserve"> </w:t>
      </w:r>
      <w:r>
        <w:rPr>
          <w:sz w:val="13"/>
        </w:rPr>
        <w:t>estadísticas</w:t>
      </w:r>
      <w:r>
        <w:rPr>
          <w:spacing w:val="-1"/>
          <w:sz w:val="13"/>
        </w:rPr>
        <w:t xml:space="preserve"> </w:t>
      </w:r>
      <w:r>
        <w:rPr>
          <w:sz w:val="13"/>
        </w:rPr>
        <w:t>y</w:t>
      </w:r>
      <w:r>
        <w:rPr>
          <w:spacing w:val="-1"/>
          <w:sz w:val="13"/>
        </w:rPr>
        <w:t xml:space="preserve"> </w:t>
      </w:r>
      <w:r>
        <w:rPr>
          <w:sz w:val="13"/>
        </w:rPr>
        <w:t>que</w:t>
      </w:r>
      <w:r>
        <w:rPr>
          <w:spacing w:val="-1"/>
          <w:sz w:val="13"/>
        </w:rPr>
        <w:t xml:space="preserve"> </w:t>
      </w:r>
      <w:r>
        <w:rPr>
          <w:sz w:val="13"/>
        </w:rPr>
        <w:t>los</w:t>
      </w:r>
      <w:r>
        <w:rPr>
          <w:spacing w:val="-1"/>
          <w:sz w:val="13"/>
        </w:rPr>
        <w:t xml:space="preserve"> </w:t>
      </w:r>
      <w:r>
        <w:rPr>
          <w:sz w:val="13"/>
        </w:rPr>
        <w:t>tribunales</w:t>
      </w:r>
      <w:r>
        <w:rPr>
          <w:spacing w:val="-1"/>
          <w:sz w:val="13"/>
        </w:rPr>
        <w:t xml:space="preserve"> </w:t>
      </w:r>
      <w:r>
        <w:rPr>
          <w:sz w:val="13"/>
        </w:rPr>
        <w:t>nacionales</w:t>
      </w:r>
      <w:r>
        <w:rPr>
          <w:spacing w:val="-1"/>
          <w:sz w:val="13"/>
        </w:rPr>
        <w:t xml:space="preserve"> </w:t>
      </w:r>
      <w:r>
        <w:rPr>
          <w:sz w:val="13"/>
        </w:rPr>
        <w:t>tienen</w:t>
      </w:r>
      <w:r>
        <w:rPr>
          <w:spacing w:val="-1"/>
          <w:sz w:val="13"/>
        </w:rPr>
        <w:t xml:space="preserve"> </w:t>
      </w:r>
      <w:r>
        <w:rPr>
          <w:sz w:val="13"/>
        </w:rPr>
        <w:t>en</w:t>
      </w:r>
      <w:r>
        <w:rPr>
          <w:spacing w:val="40"/>
          <w:sz w:val="13"/>
        </w:rPr>
        <w:t xml:space="preserve"> </w:t>
      </w:r>
      <w:r>
        <w:rPr>
          <w:sz w:val="13"/>
        </w:rPr>
        <w:t>cuenta</w:t>
      </w:r>
      <w:r>
        <w:rPr>
          <w:spacing w:val="-5"/>
          <w:sz w:val="13"/>
        </w:rPr>
        <w:t xml:space="preserve"> </w:t>
      </w:r>
      <w:r>
        <w:rPr>
          <w:sz w:val="13"/>
        </w:rPr>
        <w:t>dichas</w:t>
      </w:r>
      <w:r>
        <w:rPr>
          <w:spacing w:val="-5"/>
          <w:sz w:val="13"/>
        </w:rPr>
        <w:t xml:space="preserve"> </w:t>
      </w:r>
      <w:r>
        <w:rPr>
          <w:sz w:val="13"/>
        </w:rPr>
        <w:t>pruebas</w:t>
      </w:r>
      <w:r>
        <w:rPr>
          <w:spacing w:val="-5"/>
          <w:sz w:val="13"/>
        </w:rPr>
        <w:t xml:space="preserve"> </w:t>
      </w:r>
      <w:r>
        <w:rPr>
          <w:sz w:val="13"/>
        </w:rPr>
        <w:t>en</w:t>
      </w:r>
      <w:r>
        <w:rPr>
          <w:spacing w:val="-5"/>
          <w:sz w:val="13"/>
        </w:rPr>
        <w:t xml:space="preserve"> </w:t>
      </w:r>
      <w:r>
        <w:rPr>
          <w:sz w:val="13"/>
        </w:rPr>
        <w:t>situaciones</w:t>
      </w:r>
      <w:r>
        <w:rPr>
          <w:spacing w:val="-5"/>
          <w:sz w:val="13"/>
        </w:rPr>
        <w:t xml:space="preserve"> </w:t>
      </w:r>
      <w:r>
        <w:rPr>
          <w:sz w:val="13"/>
        </w:rPr>
        <w:t>en</w:t>
      </w:r>
      <w:r>
        <w:rPr>
          <w:spacing w:val="-5"/>
          <w:sz w:val="13"/>
        </w:rPr>
        <w:t xml:space="preserve"> </w:t>
      </w:r>
      <w:r>
        <w:rPr>
          <w:sz w:val="13"/>
        </w:rPr>
        <w:t>las</w:t>
      </w:r>
      <w:r>
        <w:rPr>
          <w:spacing w:val="-5"/>
          <w:sz w:val="13"/>
        </w:rPr>
        <w:t xml:space="preserve"> </w:t>
      </w:r>
      <w:r>
        <w:rPr>
          <w:sz w:val="13"/>
        </w:rPr>
        <w:t>que</w:t>
      </w:r>
      <w:r>
        <w:rPr>
          <w:spacing w:val="-5"/>
          <w:sz w:val="13"/>
        </w:rPr>
        <w:t xml:space="preserve"> </w:t>
      </w:r>
      <w:r>
        <w:rPr>
          <w:sz w:val="13"/>
        </w:rPr>
        <w:t>son</w:t>
      </w:r>
      <w:r>
        <w:rPr>
          <w:spacing w:val="-5"/>
          <w:sz w:val="13"/>
        </w:rPr>
        <w:t xml:space="preserve"> </w:t>
      </w:r>
      <w:r>
        <w:rPr>
          <w:sz w:val="13"/>
        </w:rPr>
        <w:t>válidas</w:t>
      </w:r>
      <w:r>
        <w:rPr>
          <w:spacing w:val="-5"/>
          <w:sz w:val="13"/>
        </w:rPr>
        <w:t xml:space="preserve"> </w:t>
      </w:r>
      <w:r>
        <w:rPr>
          <w:sz w:val="13"/>
        </w:rPr>
        <w:t>y</w:t>
      </w:r>
      <w:r>
        <w:rPr>
          <w:spacing w:val="-5"/>
          <w:sz w:val="13"/>
        </w:rPr>
        <w:t xml:space="preserve"> </w:t>
      </w:r>
      <w:r>
        <w:rPr>
          <w:sz w:val="13"/>
        </w:rPr>
        <w:t>significativas.</w:t>
      </w:r>
      <w:r>
        <w:rPr>
          <w:spacing w:val="-4"/>
          <w:sz w:val="13"/>
        </w:rPr>
        <w:t xml:space="preserve"> </w:t>
      </w:r>
      <w:r>
        <w:rPr>
          <w:sz w:val="13"/>
        </w:rPr>
        <w:t>Véase,</w:t>
      </w:r>
      <w:r>
        <w:rPr>
          <w:spacing w:val="-5"/>
          <w:sz w:val="13"/>
        </w:rPr>
        <w:t xml:space="preserve"> </w:t>
      </w:r>
      <w:r>
        <w:rPr>
          <w:sz w:val="13"/>
        </w:rPr>
        <w:t>por</w:t>
      </w:r>
      <w:r>
        <w:rPr>
          <w:spacing w:val="-5"/>
          <w:sz w:val="13"/>
        </w:rPr>
        <w:t xml:space="preserve"> </w:t>
      </w:r>
      <w:r>
        <w:rPr>
          <w:sz w:val="13"/>
        </w:rPr>
        <w:t>ejemplo,</w:t>
      </w:r>
      <w:r>
        <w:rPr>
          <w:spacing w:val="-4"/>
          <w:sz w:val="13"/>
        </w:rPr>
        <w:t xml:space="preserve"> </w:t>
      </w:r>
      <w:r>
        <w:rPr>
          <w:sz w:val="13"/>
        </w:rPr>
        <w:t>Tribunal</w:t>
      </w:r>
      <w:r>
        <w:rPr>
          <w:spacing w:val="-5"/>
          <w:sz w:val="13"/>
        </w:rPr>
        <w:t xml:space="preserve"> </w:t>
      </w:r>
      <w:r>
        <w:rPr>
          <w:sz w:val="13"/>
        </w:rPr>
        <w:t>Europeo</w:t>
      </w:r>
      <w:r>
        <w:rPr>
          <w:spacing w:val="-5"/>
          <w:sz w:val="13"/>
        </w:rPr>
        <w:t xml:space="preserve"> </w:t>
      </w:r>
      <w:r>
        <w:rPr>
          <w:sz w:val="13"/>
        </w:rPr>
        <w:t>de</w:t>
      </w:r>
      <w:r>
        <w:rPr>
          <w:spacing w:val="-5"/>
          <w:sz w:val="13"/>
        </w:rPr>
        <w:t xml:space="preserve"> </w:t>
      </w:r>
      <w:r>
        <w:rPr>
          <w:sz w:val="13"/>
        </w:rPr>
        <w:t>Derechos</w:t>
      </w:r>
      <w:r>
        <w:rPr>
          <w:spacing w:val="-5"/>
          <w:sz w:val="13"/>
        </w:rPr>
        <w:t xml:space="preserve"> </w:t>
      </w:r>
      <w:r>
        <w:rPr>
          <w:sz w:val="13"/>
        </w:rPr>
        <w:t>Humanos,</w:t>
      </w:r>
      <w:r>
        <w:rPr>
          <w:spacing w:val="-4"/>
          <w:sz w:val="13"/>
        </w:rPr>
        <w:t xml:space="preserve"> </w:t>
      </w:r>
      <w:r>
        <w:rPr>
          <w:sz w:val="13"/>
        </w:rPr>
        <w:t>DH</w:t>
      </w:r>
      <w:r>
        <w:rPr>
          <w:spacing w:val="-5"/>
          <w:sz w:val="13"/>
        </w:rPr>
        <w:t xml:space="preserve"> </w:t>
      </w:r>
      <w:r>
        <w:rPr>
          <w:sz w:val="13"/>
        </w:rPr>
        <w:t>y</w:t>
      </w:r>
      <w:r>
        <w:rPr>
          <w:spacing w:val="-5"/>
          <w:sz w:val="13"/>
        </w:rPr>
        <w:t xml:space="preserve"> </w:t>
      </w:r>
      <w:r>
        <w:rPr>
          <w:sz w:val="13"/>
        </w:rPr>
        <w:t>otros</w:t>
      </w:r>
      <w:r>
        <w:rPr>
          <w:spacing w:val="-5"/>
          <w:sz w:val="13"/>
        </w:rPr>
        <w:t xml:space="preserve"> </w:t>
      </w:r>
      <w:r>
        <w:rPr>
          <w:sz w:val="13"/>
        </w:rPr>
        <w:t>c.</w:t>
      </w:r>
      <w:r>
        <w:rPr>
          <w:spacing w:val="-5"/>
          <w:sz w:val="13"/>
        </w:rPr>
        <w:t xml:space="preserve"> </w:t>
      </w:r>
      <w:r>
        <w:rPr>
          <w:sz w:val="13"/>
        </w:rPr>
        <w:t>la</w:t>
      </w:r>
      <w:r>
        <w:rPr>
          <w:spacing w:val="40"/>
          <w:sz w:val="13"/>
        </w:rPr>
        <w:t xml:space="preserve"> </w:t>
      </w:r>
      <w:r>
        <w:rPr>
          <w:sz w:val="13"/>
        </w:rPr>
        <w:t>República</w:t>
      </w:r>
      <w:r>
        <w:rPr>
          <w:spacing w:val="-3"/>
          <w:sz w:val="13"/>
        </w:rPr>
        <w:t xml:space="preserve"> </w:t>
      </w:r>
      <w:r>
        <w:rPr>
          <w:sz w:val="13"/>
        </w:rPr>
        <w:t>Checa,</w:t>
      </w:r>
      <w:r>
        <w:rPr>
          <w:spacing w:val="-2"/>
          <w:sz w:val="13"/>
        </w:rPr>
        <w:t xml:space="preserve"> </w:t>
      </w:r>
      <w:r>
        <w:rPr>
          <w:sz w:val="13"/>
        </w:rPr>
        <w:t>demanda</w:t>
      </w:r>
      <w:r>
        <w:rPr>
          <w:spacing w:val="-3"/>
          <w:sz w:val="13"/>
        </w:rPr>
        <w:t xml:space="preserve"> </w:t>
      </w:r>
      <w:r>
        <w:rPr>
          <w:sz w:val="13"/>
        </w:rPr>
        <w:t>núm.</w:t>
      </w:r>
      <w:r>
        <w:rPr>
          <w:spacing w:val="-3"/>
          <w:sz w:val="13"/>
        </w:rPr>
        <w:t xml:space="preserve"> </w:t>
      </w:r>
      <w:r>
        <w:rPr>
          <w:sz w:val="13"/>
        </w:rPr>
        <w:t>57325/00,</w:t>
      </w:r>
      <w:r>
        <w:rPr>
          <w:spacing w:val="-2"/>
          <w:sz w:val="13"/>
        </w:rPr>
        <w:t xml:space="preserve"> </w:t>
      </w:r>
      <w:r>
        <w:rPr>
          <w:sz w:val="13"/>
        </w:rPr>
        <w:t>sentencia</w:t>
      </w:r>
      <w:r>
        <w:rPr>
          <w:spacing w:val="-3"/>
          <w:sz w:val="13"/>
        </w:rPr>
        <w:t xml:space="preserve"> </w:t>
      </w:r>
      <w:r>
        <w:rPr>
          <w:sz w:val="13"/>
        </w:rPr>
        <w:t>de</w:t>
      </w:r>
      <w:r>
        <w:rPr>
          <w:spacing w:val="-3"/>
          <w:sz w:val="13"/>
        </w:rPr>
        <w:t xml:space="preserve"> </w:t>
      </w:r>
      <w:r>
        <w:rPr>
          <w:sz w:val="13"/>
        </w:rPr>
        <w:t>13</w:t>
      </w:r>
      <w:r>
        <w:rPr>
          <w:spacing w:val="-3"/>
          <w:sz w:val="13"/>
        </w:rPr>
        <w:t xml:space="preserve"> </w:t>
      </w:r>
      <w:r>
        <w:rPr>
          <w:sz w:val="13"/>
        </w:rPr>
        <w:t>de</w:t>
      </w:r>
      <w:r>
        <w:rPr>
          <w:spacing w:val="-3"/>
          <w:sz w:val="13"/>
        </w:rPr>
        <w:t xml:space="preserve"> </w:t>
      </w:r>
      <w:r>
        <w:rPr>
          <w:sz w:val="13"/>
        </w:rPr>
        <w:t>noviembre</w:t>
      </w:r>
      <w:r>
        <w:rPr>
          <w:spacing w:val="-3"/>
          <w:sz w:val="13"/>
        </w:rPr>
        <w:t xml:space="preserve"> </w:t>
      </w:r>
      <w:r>
        <w:rPr>
          <w:sz w:val="13"/>
        </w:rPr>
        <w:t>de</w:t>
      </w:r>
      <w:r>
        <w:rPr>
          <w:spacing w:val="-3"/>
          <w:sz w:val="13"/>
        </w:rPr>
        <w:t xml:space="preserve"> </w:t>
      </w:r>
      <w:r>
        <w:rPr>
          <w:sz w:val="13"/>
        </w:rPr>
        <w:t>2007,</w:t>
      </w:r>
      <w:r>
        <w:rPr>
          <w:spacing w:val="-3"/>
          <w:sz w:val="13"/>
        </w:rPr>
        <w:t xml:space="preserve"> </w:t>
      </w:r>
      <w:proofErr w:type="spellStart"/>
      <w:r>
        <w:rPr>
          <w:sz w:val="13"/>
        </w:rPr>
        <w:t>párrs</w:t>
      </w:r>
      <w:proofErr w:type="spellEnd"/>
      <w:r>
        <w:rPr>
          <w:sz w:val="13"/>
        </w:rPr>
        <w:t>.</w:t>
      </w:r>
      <w:r>
        <w:rPr>
          <w:spacing w:val="-2"/>
          <w:sz w:val="13"/>
        </w:rPr>
        <w:t xml:space="preserve"> </w:t>
      </w:r>
      <w:r>
        <w:rPr>
          <w:sz w:val="13"/>
        </w:rPr>
        <w:t>187-188,</w:t>
      </w:r>
      <w:r>
        <w:rPr>
          <w:spacing w:val="-2"/>
          <w:sz w:val="13"/>
        </w:rPr>
        <w:t xml:space="preserve"> </w:t>
      </w:r>
      <w:r>
        <w:rPr>
          <w:sz w:val="13"/>
        </w:rPr>
        <w:t>en</w:t>
      </w:r>
      <w:r>
        <w:rPr>
          <w:spacing w:val="-3"/>
          <w:sz w:val="13"/>
        </w:rPr>
        <w:t xml:space="preserve"> </w:t>
      </w:r>
      <w:r>
        <w:rPr>
          <w:sz w:val="13"/>
        </w:rPr>
        <w:t>el</w:t>
      </w:r>
      <w:r>
        <w:rPr>
          <w:spacing w:val="-3"/>
          <w:sz w:val="13"/>
        </w:rPr>
        <w:t xml:space="preserve"> </w:t>
      </w:r>
      <w:r>
        <w:rPr>
          <w:sz w:val="13"/>
        </w:rPr>
        <w:t>que</w:t>
      </w:r>
      <w:r>
        <w:rPr>
          <w:spacing w:val="-3"/>
          <w:sz w:val="13"/>
        </w:rPr>
        <w:t xml:space="preserve"> </w:t>
      </w:r>
      <w:r>
        <w:rPr>
          <w:sz w:val="13"/>
        </w:rPr>
        <w:t>el</w:t>
      </w:r>
      <w:r>
        <w:rPr>
          <w:spacing w:val="-3"/>
          <w:sz w:val="13"/>
        </w:rPr>
        <w:t xml:space="preserve"> </w:t>
      </w:r>
      <w:r>
        <w:rPr>
          <w:sz w:val="13"/>
        </w:rPr>
        <w:t>Tribunal</w:t>
      </w:r>
      <w:r>
        <w:rPr>
          <w:spacing w:val="-3"/>
          <w:sz w:val="13"/>
        </w:rPr>
        <w:t xml:space="preserve"> </w:t>
      </w:r>
      <w:r>
        <w:rPr>
          <w:sz w:val="13"/>
        </w:rPr>
        <w:t>señaló</w:t>
      </w:r>
      <w:r>
        <w:rPr>
          <w:spacing w:val="-3"/>
          <w:sz w:val="13"/>
        </w:rPr>
        <w:t xml:space="preserve"> </w:t>
      </w:r>
      <w:r>
        <w:rPr>
          <w:sz w:val="13"/>
        </w:rPr>
        <w:t>que,</w:t>
      </w:r>
      <w:r>
        <w:rPr>
          <w:spacing w:val="-3"/>
          <w:sz w:val="13"/>
        </w:rPr>
        <w:t xml:space="preserve"> </w:t>
      </w:r>
      <w:r>
        <w:rPr>
          <w:sz w:val="13"/>
        </w:rPr>
        <w:t>en</w:t>
      </w:r>
      <w:r>
        <w:rPr>
          <w:spacing w:val="-3"/>
          <w:sz w:val="13"/>
        </w:rPr>
        <w:t xml:space="preserve"> </w:t>
      </w:r>
      <w:r>
        <w:rPr>
          <w:sz w:val="13"/>
        </w:rPr>
        <w:t>relación</w:t>
      </w:r>
      <w:r>
        <w:rPr>
          <w:spacing w:val="-3"/>
          <w:sz w:val="13"/>
        </w:rPr>
        <w:t xml:space="preserve"> </w:t>
      </w:r>
      <w:r>
        <w:rPr>
          <w:sz w:val="13"/>
        </w:rPr>
        <w:t>con</w:t>
      </w:r>
      <w:r>
        <w:rPr>
          <w:spacing w:val="-3"/>
          <w:sz w:val="13"/>
        </w:rPr>
        <w:t xml:space="preserve"> </w:t>
      </w:r>
      <w:r>
        <w:rPr>
          <w:sz w:val="13"/>
        </w:rPr>
        <w:t>la</w:t>
      </w:r>
      <w:r>
        <w:rPr>
          <w:spacing w:val="40"/>
          <w:sz w:val="13"/>
        </w:rPr>
        <w:t xml:space="preserve"> </w:t>
      </w:r>
      <w:r>
        <w:rPr>
          <w:sz w:val="13"/>
        </w:rPr>
        <w:t>discriminación</w:t>
      </w:r>
      <w:r>
        <w:rPr>
          <w:spacing w:val="-2"/>
          <w:sz w:val="13"/>
        </w:rPr>
        <w:t xml:space="preserve"> </w:t>
      </w:r>
      <w:r>
        <w:rPr>
          <w:sz w:val="13"/>
        </w:rPr>
        <w:t>indirecta,</w:t>
      </w:r>
      <w:r>
        <w:rPr>
          <w:spacing w:val="-1"/>
          <w:sz w:val="13"/>
        </w:rPr>
        <w:t xml:space="preserve"> </w:t>
      </w:r>
      <w:r>
        <w:rPr>
          <w:sz w:val="13"/>
        </w:rPr>
        <w:t>en</w:t>
      </w:r>
      <w:r>
        <w:rPr>
          <w:spacing w:val="-2"/>
          <w:sz w:val="13"/>
        </w:rPr>
        <w:t xml:space="preserve"> </w:t>
      </w:r>
      <w:r>
        <w:rPr>
          <w:sz w:val="13"/>
        </w:rPr>
        <w:t>particular,</w:t>
      </w:r>
      <w:r>
        <w:rPr>
          <w:spacing w:val="-1"/>
          <w:sz w:val="13"/>
        </w:rPr>
        <w:t xml:space="preserve"> </w:t>
      </w:r>
      <w:r>
        <w:rPr>
          <w:sz w:val="13"/>
        </w:rPr>
        <w:t>las</w:t>
      </w:r>
      <w:r>
        <w:rPr>
          <w:spacing w:val="-2"/>
          <w:sz w:val="13"/>
        </w:rPr>
        <w:t xml:space="preserve"> </w:t>
      </w:r>
      <w:r>
        <w:rPr>
          <w:sz w:val="13"/>
        </w:rPr>
        <w:t>estadísticas</w:t>
      </w:r>
      <w:r>
        <w:rPr>
          <w:spacing w:val="-2"/>
          <w:sz w:val="13"/>
        </w:rPr>
        <w:t xml:space="preserve"> </w:t>
      </w:r>
      <w:r>
        <w:rPr>
          <w:sz w:val="13"/>
        </w:rPr>
        <w:t>“que</w:t>
      </w:r>
      <w:r>
        <w:rPr>
          <w:spacing w:val="-2"/>
          <w:sz w:val="13"/>
        </w:rPr>
        <w:t xml:space="preserve"> </w:t>
      </w:r>
      <w:r>
        <w:rPr>
          <w:sz w:val="13"/>
        </w:rPr>
        <w:t>en</w:t>
      </w:r>
      <w:r>
        <w:rPr>
          <w:spacing w:val="-2"/>
          <w:sz w:val="13"/>
        </w:rPr>
        <w:t xml:space="preserve"> </w:t>
      </w:r>
      <w:r>
        <w:rPr>
          <w:sz w:val="13"/>
        </w:rPr>
        <w:t>un</w:t>
      </w:r>
      <w:r>
        <w:rPr>
          <w:spacing w:val="-2"/>
          <w:sz w:val="13"/>
        </w:rPr>
        <w:t xml:space="preserve"> </w:t>
      </w:r>
      <w:r>
        <w:rPr>
          <w:sz w:val="13"/>
        </w:rPr>
        <w:t>examen</w:t>
      </w:r>
      <w:r>
        <w:rPr>
          <w:spacing w:val="-2"/>
          <w:sz w:val="13"/>
        </w:rPr>
        <w:t xml:space="preserve"> </w:t>
      </w:r>
      <w:r>
        <w:rPr>
          <w:sz w:val="13"/>
        </w:rPr>
        <w:t>crítico</w:t>
      </w:r>
      <w:r>
        <w:rPr>
          <w:spacing w:val="-2"/>
          <w:sz w:val="13"/>
        </w:rPr>
        <w:t xml:space="preserve"> </w:t>
      </w:r>
      <w:r>
        <w:rPr>
          <w:sz w:val="13"/>
        </w:rPr>
        <w:t>parecen</w:t>
      </w:r>
      <w:r>
        <w:rPr>
          <w:spacing w:val="-2"/>
          <w:sz w:val="13"/>
        </w:rPr>
        <w:t xml:space="preserve"> </w:t>
      </w:r>
      <w:r>
        <w:rPr>
          <w:sz w:val="13"/>
        </w:rPr>
        <w:t>ser</w:t>
      </w:r>
      <w:r>
        <w:rPr>
          <w:spacing w:val="-2"/>
          <w:sz w:val="13"/>
        </w:rPr>
        <w:t xml:space="preserve"> </w:t>
      </w:r>
      <w:r>
        <w:rPr>
          <w:sz w:val="13"/>
        </w:rPr>
        <w:t>confiables</w:t>
      </w:r>
      <w:r>
        <w:rPr>
          <w:spacing w:val="-2"/>
          <w:sz w:val="13"/>
        </w:rPr>
        <w:t xml:space="preserve"> </w:t>
      </w:r>
      <w:r>
        <w:rPr>
          <w:sz w:val="13"/>
        </w:rPr>
        <w:t>y</w:t>
      </w:r>
      <w:r>
        <w:rPr>
          <w:spacing w:val="-2"/>
          <w:sz w:val="13"/>
        </w:rPr>
        <w:t xml:space="preserve"> </w:t>
      </w:r>
      <w:r>
        <w:rPr>
          <w:sz w:val="13"/>
        </w:rPr>
        <w:t>significativas”</w:t>
      </w:r>
      <w:r>
        <w:rPr>
          <w:spacing w:val="-2"/>
          <w:sz w:val="13"/>
        </w:rPr>
        <w:t xml:space="preserve"> </w:t>
      </w:r>
      <w:r>
        <w:rPr>
          <w:sz w:val="13"/>
        </w:rPr>
        <w:t>eran</w:t>
      </w:r>
      <w:r>
        <w:rPr>
          <w:spacing w:val="-2"/>
          <w:sz w:val="13"/>
        </w:rPr>
        <w:t xml:space="preserve"> </w:t>
      </w:r>
      <w:r>
        <w:rPr>
          <w:sz w:val="13"/>
        </w:rPr>
        <w:t>suficientes</w:t>
      </w:r>
      <w:r>
        <w:rPr>
          <w:spacing w:val="-2"/>
          <w:sz w:val="13"/>
        </w:rPr>
        <w:t xml:space="preserve"> </w:t>
      </w:r>
      <w:r>
        <w:rPr>
          <w:sz w:val="13"/>
        </w:rPr>
        <w:t>para</w:t>
      </w:r>
      <w:r>
        <w:rPr>
          <w:spacing w:val="-2"/>
          <w:sz w:val="13"/>
        </w:rPr>
        <w:t xml:space="preserve"> </w:t>
      </w:r>
      <w:r>
        <w:rPr>
          <w:sz w:val="13"/>
        </w:rPr>
        <w:t>constituir</w:t>
      </w:r>
      <w:r>
        <w:rPr>
          <w:spacing w:val="-2"/>
          <w:sz w:val="13"/>
        </w:rPr>
        <w:t xml:space="preserve"> </w:t>
      </w:r>
      <w:r>
        <w:rPr>
          <w:sz w:val="13"/>
        </w:rPr>
        <w:t>la</w:t>
      </w:r>
      <w:r>
        <w:rPr>
          <w:spacing w:val="40"/>
          <w:sz w:val="13"/>
        </w:rPr>
        <w:t xml:space="preserve"> </w:t>
      </w:r>
      <w:r>
        <w:rPr>
          <w:sz w:val="13"/>
        </w:rPr>
        <w:t>evidencia</w:t>
      </w:r>
      <w:r>
        <w:rPr>
          <w:spacing w:val="-2"/>
          <w:sz w:val="13"/>
        </w:rPr>
        <w:t xml:space="preserve"> </w:t>
      </w:r>
      <w:r>
        <w:rPr>
          <w:sz w:val="13"/>
        </w:rPr>
        <w:t>prima</w:t>
      </w:r>
      <w:r>
        <w:rPr>
          <w:spacing w:val="-2"/>
          <w:sz w:val="13"/>
        </w:rPr>
        <w:t xml:space="preserve"> </w:t>
      </w:r>
      <w:r>
        <w:rPr>
          <w:sz w:val="13"/>
        </w:rPr>
        <w:t>facie</w:t>
      </w:r>
      <w:r>
        <w:rPr>
          <w:spacing w:val="-2"/>
          <w:sz w:val="13"/>
        </w:rPr>
        <w:t xml:space="preserve"> </w:t>
      </w:r>
      <w:r>
        <w:rPr>
          <w:sz w:val="13"/>
        </w:rPr>
        <w:t>que</w:t>
      </w:r>
      <w:r>
        <w:rPr>
          <w:spacing w:val="-2"/>
          <w:sz w:val="13"/>
        </w:rPr>
        <w:t xml:space="preserve"> </w:t>
      </w:r>
      <w:r>
        <w:rPr>
          <w:sz w:val="13"/>
        </w:rPr>
        <w:t>el</w:t>
      </w:r>
      <w:r>
        <w:rPr>
          <w:spacing w:val="-2"/>
          <w:sz w:val="13"/>
        </w:rPr>
        <w:t xml:space="preserve"> </w:t>
      </w:r>
      <w:r>
        <w:rPr>
          <w:sz w:val="13"/>
        </w:rPr>
        <w:t>demandante</w:t>
      </w:r>
      <w:r>
        <w:rPr>
          <w:spacing w:val="-2"/>
          <w:sz w:val="13"/>
        </w:rPr>
        <w:t xml:space="preserve"> </w:t>
      </w:r>
      <w:r>
        <w:rPr>
          <w:sz w:val="13"/>
        </w:rPr>
        <w:t>debía</w:t>
      </w:r>
      <w:r>
        <w:rPr>
          <w:spacing w:val="-2"/>
          <w:sz w:val="13"/>
        </w:rPr>
        <w:t xml:space="preserve"> </w:t>
      </w:r>
      <w:r>
        <w:rPr>
          <w:sz w:val="13"/>
        </w:rPr>
        <w:t>presentar.</w:t>
      </w:r>
      <w:r>
        <w:rPr>
          <w:spacing w:val="-1"/>
          <w:sz w:val="13"/>
        </w:rPr>
        <w:t xml:space="preserve"> </w:t>
      </w:r>
      <w:r>
        <w:rPr>
          <w:sz w:val="13"/>
        </w:rPr>
        <w:t>Para</w:t>
      </w:r>
      <w:r>
        <w:rPr>
          <w:spacing w:val="-2"/>
          <w:sz w:val="13"/>
        </w:rPr>
        <w:t xml:space="preserve"> </w:t>
      </w:r>
      <w:r>
        <w:rPr>
          <w:sz w:val="13"/>
        </w:rPr>
        <w:t>un</w:t>
      </w:r>
      <w:r>
        <w:rPr>
          <w:spacing w:val="-2"/>
          <w:sz w:val="13"/>
        </w:rPr>
        <w:t xml:space="preserve"> </w:t>
      </w:r>
      <w:r>
        <w:rPr>
          <w:sz w:val="13"/>
        </w:rPr>
        <w:t>análisis</w:t>
      </w:r>
      <w:r>
        <w:rPr>
          <w:spacing w:val="-2"/>
          <w:sz w:val="13"/>
        </w:rPr>
        <w:t xml:space="preserve"> </w:t>
      </w:r>
      <w:r>
        <w:rPr>
          <w:sz w:val="13"/>
        </w:rPr>
        <w:t>más</w:t>
      </w:r>
      <w:r>
        <w:rPr>
          <w:spacing w:val="-2"/>
          <w:sz w:val="13"/>
        </w:rPr>
        <w:t xml:space="preserve"> </w:t>
      </w:r>
      <w:r>
        <w:rPr>
          <w:sz w:val="13"/>
        </w:rPr>
        <w:t>detallado,</w:t>
      </w:r>
      <w:r>
        <w:rPr>
          <w:spacing w:val="-1"/>
          <w:sz w:val="13"/>
        </w:rPr>
        <w:t xml:space="preserve"> </w:t>
      </w:r>
      <w:r>
        <w:rPr>
          <w:sz w:val="13"/>
        </w:rPr>
        <w:t>véase</w:t>
      </w:r>
      <w:r>
        <w:rPr>
          <w:spacing w:val="-2"/>
          <w:sz w:val="13"/>
        </w:rPr>
        <w:t xml:space="preserve"> </w:t>
      </w:r>
      <w:r>
        <w:rPr>
          <w:sz w:val="13"/>
        </w:rPr>
        <w:t>Agencia</w:t>
      </w:r>
      <w:r>
        <w:rPr>
          <w:spacing w:val="-2"/>
          <w:sz w:val="13"/>
        </w:rPr>
        <w:t xml:space="preserve"> </w:t>
      </w:r>
      <w:r>
        <w:rPr>
          <w:sz w:val="13"/>
        </w:rPr>
        <w:t>de</w:t>
      </w:r>
      <w:r>
        <w:rPr>
          <w:spacing w:val="-2"/>
          <w:sz w:val="13"/>
        </w:rPr>
        <w:t xml:space="preserve"> </w:t>
      </w:r>
      <w:r>
        <w:rPr>
          <w:sz w:val="13"/>
        </w:rPr>
        <w:t>Derechos</w:t>
      </w:r>
      <w:r>
        <w:rPr>
          <w:spacing w:val="-2"/>
          <w:sz w:val="13"/>
        </w:rPr>
        <w:t xml:space="preserve"> </w:t>
      </w:r>
      <w:r>
        <w:rPr>
          <w:sz w:val="13"/>
        </w:rPr>
        <w:t>Fundamentales</w:t>
      </w:r>
      <w:r>
        <w:rPr>
          <w:spacing w:val="-2"/>
          <w:sz w:val="13"/>
        </w:rPr>
        <w:t xml:space="preserve"> </w:t>
      </w:r>
      <w:r>
        <w:rPr>
          <w:sz w:val="13"/>
        </w:rPr>
        <w:t>de</w:t>
      </w:r>
      <w:r>
        <w:rPr>
          <w:spacing w:val="-2"/>
          <w:sz w:val="13"/>
        </w:rPr>
        <w:t xml:space="preserve"> </w:t>
      </w:r>
      <w:r>
        <w:rPr>
          <w:sz w:val="13"/>
        </w:rPr>
        <w:t>la</w:t>
      </w:r>
      <w:r>
        <w:rPr>
          <w:spacing w:val="-2"/>
          <w:sz w:val="13"/>
        </w:rPr>
        <w:t xml:space="preserve"> </w:t>
      </w:r>
      <w:r>
        <w:rPr>
          <w:sz w:val="13"/>
        </w:rPr>
        <w:t>Unión</w:t>
      </w:r>
      <w:r>
        <w:rPr>
          <w:spacing w:val="40"/>
          <w:sz w:val="13"/>
        </w:rPr>
        <w:t xml:space="preserve"> </w:t>
      </w:r>
      <w:r>
        <w:rPr>
          <w:sz w:val="13"/>
        </w:rPr>
        <w:t>Europea</w:t>
      </w:r>
      <w:r>
        <w:rPr>
          <w:spacing w:val="-3"/>
          <w:sz w:val="13"/>
        </w:rPr>
        <w:t xml:space="preserve"> </w:t>
      </w:r>
      <w:r>
        <w:rPr>
          <w:sz w:val="13"/>
        </w:rPr>
        <w:t>y</w:t>
      </w:r>
      <w:r>
        <w:rPr>
          <w:spacing w:val="-3"/>
          <w:sz w:val="13"/>
        </w:rPr>
        <w:t xml:space="preserve"> </w:t>
      </w:r>
      <w:r>
        <w:rPr>
          <w:sz w:val="13"/>
        </w:rPr>
        <w:t>Consejo</w:t>
      </w:r>
      <w:r>
        <w:rPr>
          <w:spacing w:val="-3"/>
          <w:sz w:val="13"/>
        </w:rPr>
        <w:t xml:space="preserve"> </w:t>
      </w:r>
      <w:r>
        <w:rPr>
          <w:sz w:val="13"/>
        </w:rPr>
        <w:t>de</w:t>
      </w:r>
      <w:r>
        <w:rPr>
          <w:spacing w:val="-3"/>
          <w:sz w:val="13"/>
        </w:rPr>
        <w:t xml:space="preserve"> </w:t>
      </w:r>
      <w:r>
        <w:rPr>
          <w:sz w:val="13"/>
        </w:rPr>
        <w:t>Europa,</w:t>
      </w:r>
      <w:r>
        <w:rPr>
          <w:spacing w:val="-2"/>
          <w:sz w:val="13"/>
        </w:rPr>
        <w:t xml:space="preserve"> </w:t>
      </w:r>
      <w:proofErr w:type="spellStart"/>
      <w:r>
        <w:rPr>
          <w:sz w:val="13"/>
        </w:rPr>
        <w:t>Handbook</w:t>
      </w:r>
      <w:proofErr w:type="spellEnd"/>
      <w:r>
        <w:rPr>
          <w:spacing w:val="-3"/>
          <w:sz w:val="13"/>
        </w:rPr>
        <w:t xml:space="preserve"> </w:t>
      </w:r>
      <w:proofErr w:type="spellStart"/>
      <w:r>
        <w:rPr>
          <w:sz w:val="13"/>
        </w:rPr>
        <w:t>on</w:t>
      </w:r>
      <w:proofErr w:type="spellEnd"/>
      <w:r>
        <w:rPr>
          <w:spacing w:val="-3"/>
          <w:sz w:val="13"/>
        </w:rPr>
        <w:t xml:space="preserve"> </w:t>
      </w:r>
      <w:proofErr w:type="spellStart"/>
      <w:r>
        <w:rPr>
          <w:sz w:val="13"/>
        </w:rPr>
        <w:t>European</w:t>
      </w:r>
      <w:proofErr w:type="spellEnd"/>
      <w:r>
        <w:rPr>
          <w:spacing w:val="-3"/>
          <w:sz w:val="13"/>
        </w:rPr>
        <w:t xml:space="preserve"> </w:t>
      </w:r>
      <w:r>
        <w:rPr>
          <w:sz w:val="13"/>
        </w:rPr>
        <w:t>Non-</w:t>
      </w:r>
      <w:proofErr w:type="spellStart"/>
      <w:r>
        <w:rPr>
          <w:sz w:val="13"/>
        </w:rPr>
        <w:t>Discrimination</w:t>
      </w:r>
      <w:proofErr w:type="spellEnd"/>
      <w:r>
        <w:rPr>
          <w:spacing w:val="-3"/>
          <w:sz w:val="13"/>
        </w:rPr>
        <w:t xml:space="preserve"> </w:t>
      </w:r>
      <w:proofErr w:type="spellStart"/>
      <w:r>
        <w:rPr>
          <w:sz w:val="13"/>
        </w:rPr>
        <w:t>Law</w:t>
      </w:r>
      <w:proofErr w:type="spellEnd"/>
      <w:r>
        <w:rPr>
          <w:sz w:val="13"/>
        </w:rPr>
        <w:t>,</w:t>
      </w:r>
      <w:r>
        <w:rPr>
          <w:spacing w:val="-3"/>
          <w:sz w:val="13"/>
        </w:rPr>
        <w:t xml:space="preserve"> </w:t>
      </w:r>
      <w:r>
        <w:rPr>
          <w:sz w:val="13"/>
        </w:rPr>
        <w:t>págs.</w:t>
      </w:r>
      <w:r>
        <w:rPr>
          <w:spacing w:val="-3"/>
          <w:sz w:val="13"/>
        </w:rPr>
        <w:t xml:space="preserve"> </w:t>
      </w:r>
      <w:r>
        <w:rPr>
          <w:sz w:val="13"/>
        </w:rPr>
        <w:t>242-248.</w:t>
      </w:r>
      <w:r>
        <w:rPr>
          <w:spacing w:val="-2"/>
          <w:sz w:val="13"/>
        </w:rPr>
        <w:t xml:space="preserve"> </w:t>
      </w:r>
      <w:r>
        <w:rPr>
          <w:sz w:val="13"/>
        </w:rPr>
        <w:t>Sin</w:t>
      </w:r>
      <w:r>
        <w:rPr>
          <w:spacing w:val="-3"/>
          <w:sz w:val="13"/>
        </w:rPr>
        <w:t xml:space="preserve"> </w:t>
      </w:r>
      <w:r>
        <w:rPr>
          <w:sz w:val="13"/>
        </w:rPr>
        <w:t>embargo,</w:t>
      </w:r>
      <w:r>
        <w:rPr>
          <w:spacing w:val="-2"/>
          <w:sz w:val="13"/>
        </w:rPr>
        <w:t xml:space="preserve"> </w:t>
      </w:r>
      <w:r>
        <w:rPr>
          <w:sz w:val="13"/>
        </w:rPr>
        <w:t>esto</w:t>
      </w:r>
      <w:r>
        <w:rPr>
          <w:spacing w:val="-3"/>
          <w:sz w:val="13"/>
        </w:rPr>
        <w:t xml:space="preserve"> </w:t>
      </w:r>
      <w:r>
        <w:rPr>
          <w:sz w:val="13"/>
        </w:rPr>
        <w:t>no</w:t>
      </w:r>
      <w:r>
        <w:rPr>
          <w:spacing w:val="-3"/>
          <w:sz w:val="13"/>
        </w:rPr>
        <w:t xml:space="preserve"> </w:t>
      </w:r>
      <w:r>
        <w:rPr>
          <w:sz w:val="13"/>
        </w:rPr>
        <w:t>significa</w:t>
      </w:r>
      <w:r>
        <w:rPr>
          <w:spacing w:val="-3"/>
          <w:sz w:val="13"/>
        </w:rPr>
        <w:t xml:space="preserve"> </w:t>
      </w:r>
      <w:r>
        <w:rPr>
          <w:sz w:val="13"/>
        </w:rPr>
        <w:t>que</w:t>
      </w:r>
      <w:r>
        <w:rPr>
          <w:spacing w:val="-3"/>
          <w:sz w:val="13"/>
        </w:rPr>
        <w:t xml:space="preserve"> </w:t>
      </w:r>
      <w:r>
        <w:rPr>
          <w:sz w:val="13"/>
        </w:rPr>
        <w:t>la</w:t>
      </w:r>
      <w:r>
        <w:rPr>
          <w:spacing w:val="-3"/>
          <w:sz w:val="13"/>
        </w:rPr>
        <w:t xml:space="preserve"> </w:t>
      </w:r>
      <w:r>
        <w:rPr>
          <w:sz w:val="13"/>
        </w:rPr>
        <w:t>discriminación</w:t>
      </w:r>
      <w:r>
        <w:rPr>
          <w:spacing w:val="40"/>
          <w:sz w:val="13"/>
        </w:rPr>
        <w:t xml:space="preserve"> </w:t>
      </w:r>
      <w:r>
        <w:rPr>
          <w:sz w:val="13"/>
        </w:rPr>
        <w:t>indirecta no pueda demostrarse sin pruebas estadísticas (ibid.).</w:t>
      </w:r>
    </w:p>
    <w:p w14:paraId="44FF121E" w14:textId="77777777" w:rsidR="0014798C" w:rsidRDefault="004E1F0B">
      <w:pPr>
        <w:spacing w:before="46" w:line="180" w:lineRule="atLeast"/>
        <w:ind w:left="1366" w:right="1464" w:hanging="259"/>
        <w:rPr>
          <w:sz w:val="10"/>
        </w:rPr>
      </w:pPr>
      <w:r>
        <w:rPr>
          <w:sz w:val="10"/>
        </w:rPr>
        <w:t>700</w:t>
      </w:r>
      <w:r>
        <w:rPr>
          <w:spacing w:val="-4"/>
          <w:sz w:val="10"/>
        </w:rPr>
        <w:t xml:space="preserve"> </w:t>
      </w:r>
      <w:r>
        <w:rPr>
          <w:sz w:val="10"/>
        </w:rPr>
        <w:t>En</w:t>
      </w:r>
      <w:r>
        <w:rPr>
          <w:spacing w:val="-4"/>
          <w:sz w:val="10"/>
        </w:rPr>
        <w:t xml:space="preserve"> </w:t>
      </w:r>
      <w:r>
        <w:rPr>
          <w:sz w:val="10"/>
        </w:rPr>
        <w:t>un</w:t>
      </w:r>
      <w:r>
        <w:rPr>
          <w:spacing w:val="-4"/>
          <w:sz w:val="10"/>
        </w:rPr>
        <w:t xml:space="preserve"> </w:t>
      </w:r>
      <w:r>
        <w:rPr>
          <w:sz w:val="10"/>
        </w:rPr>
        <w:t>número</w:t>
      </w:r>
      <w:r>
        <w:rPr>
          <w:spacing w:val="-4"/>
          <w:sz w:val="10"/>
        </w:rPr>
        <w:t xml:space="preserve"> </w:t>
      </w:r>
      <w:r>
        <w:rPr>
          <w:sz w:val="10"/>
        </w:rPr>
        <w:t>cada</w:t>
      </w:r>
      <w:r>
        <w:rPr>
          <w:spacing w:val="-4"/>
          <w:sz w:val="10"/>
        </w:rPr>
        <w:t xml:space="preserve"> </w:t>
      </w:r>
      <w:r>
        <w:rPr>
          <w:sz w:val="10"/>
        </w:rPr>
        <w:t>vez</w:t>
      </w:r>
      <w:r>
        <w:rPr>
          <w:spacing w:val="-4"/>
          <w:sz w:val="10"/>
        </w:rPr>
        <w:t xml:space="preserve"> </w:t>
      </w:r>
      <w:r>
        <w:rPr>
          <w:sz w:val="10"/>
        </w:rPr>
        <w:t>mayor</w:t>
      </w:r>
      <w:r>
        <w:rPr>
          <w:spacing w:val="-4"/>
          <w:sz w:val="10"/>
        </w:rPr>
        <w:t xml:space="preserve"> </w:t>
      </w:r>
      <w:r>
        <w:rPr>
          <w:sz w:val="10"/>
        </w:rPr>
        <w:t>de</w:t>
      </w:r>
      <w:r>
        <w:rPr>
          <w:spacing w:val="-4"/>
          <w:sz w:val="10"/>
        </w:rPr>
        <w:t xml:space="preserve"> </w:t>
      </w:r>
      <w:r>
        <w:rPr>
          <w:sz w:val="10"/>
        </w:rPr>
        <w:t>jurisdicciones,</w:t>
      </w:r>
      <w:r>
        <w:rPr>
          <w:spacing w:val="-3"/>
          <w:sz w:val="10"/>
        </w:rPr>
        <w:t xml:space="preserve"> </w:t>
      </w:r>
      <w:r>
        <w:rPr>
          <w:sz w:val="10"/>
        </w:rPr>
        <w:t>las</w:t>
      </w:r>
      <w:r>
        <w:rPr>
          <w:spacing w:val="-4"/>
          <w:sz w:val="10"/>
        </w:rPr>
        <w:t xml:space="preserve"> </w:t>
      </w:r>
      <w:r>
        <w:rPr>
          <w:sz w:val="10"/>
        </w:rPr>
        <w:t>pruebas</w:t>
      </w:r>
      <w:r>
        <w:rPr>
          <w:spacing w:val="-4"/>
          <w:sz w:val="10"/>
        </w:rPr>
        <w:t xml:space="preserve"> </w:t>
      </w:r>
      <w:r>
        <w:rPr>
          <w:sz w:val="10"/>
        </w:rPr>
        <w:t>son</w:t>
      </w:r>
      <w:r>
        <w:rPr>
          <w:spacing w:val="-4"/>
          <w:sz w:val="10"/>
        </w:rPr>
        <w:t xml:space="preserve"> </w:t>
      </w:r>
      <w:r>
        <w:rPr>
          <w:sz w:val="10"/>
        </w:rPr>
        <w:t>una</w:t>
      </w:r>
      <w:r>
        <w:rPr>
          <w:spacing w:val="-4"/>
          <w:sz w:val="10"/>
        </w:rPr>
        <w:t xml:space="preserve"> </w:t>
      </w:r>
      <w:r>
        <w:rPr>
          <w:sz w:val="10"/>
        </w:rPr>
        <w:t>técnica</w:t>
      </w:r>
      <w:r>
        <w:rPr>
          <w:spacing w:val="-4"/>
          <w:sz w:val="10"/>
        </w:rPr>
        <w:t xml:space="preserve"> </w:t>
      </w:r>
      <w:r>
        <w:rPr>
          <w:sz w:val="10"/>
        </w:rPr>
        <w:t>reconocida</w:t>
      </w:r>
      <w:r>
        <w:rPr>
          <w:spacing w:val="-4"/>
          <w:sz w:val="10"/>
        </w:rPr>
        <w:t xml:space="preserve"> </w:t>
      </w:r>
      <w:r>
        <w:rPr>
          <w:sz w:val="10"/>
        </w:rPr>
        <w:t>por</w:t>
      </w:r>
      <w:r>
        <w:rPr>
          <w:spacing w:val="-4"/>
          <w:sz w:val="10"/>
        </w:rPr>
        <w:t xml:space="preserve"> </w:t>
      </w:r>
      <w:r>
        <w:rPr>
          <w:sz w:val="10"/>
        </w:rPr>
        <w:t>los</w:t>
      </w:r>
      <w:r>
        <w:rPr>
          <w:spacing w:val="-4"/>
          <w:sz w:val="10"/>
        </w:rPr>
        <w:t xml:space="preserve"> </w:t>
      </w:r>
      <w:r>
        <w:rPr>
          <w:sz w:val="10"/>
        </w:rPr>
        <w:t>tribunales</w:t>
      </w:r>
      <w:r>
        <w:rPr>
          <w:spacing w:val="-4"/>
          <w:sz w:val="10"/>
        </w:rPr>
        <w:t xml:space="preserve"> </w:t>
      </w:r>
      <w:r>
        <w:rPr>
          <w:sz w:val="10"/>
        </w:rPr>
        <w:t>que</w:t>
      </w:r>
      <w:r>
        <w:rPr>
          <w:spacing w:val="-4"/>
          <w:sz w:val="10"/>
        </w:rPr>
        <w:t xml:space="preserve"> </w:t>
      </w:r>
      <w:r>
        <w:rPr>
          <w:sz w:val="10"/>
        </w:rPr>
        <w:t>se</w:t>
      </w:r>
      <w:r>
        <w:rPr>
          <w:spacing w:val="-4"/>
          <w:sz w:val="10"/>
        </w:rPr>
        <w:t xml:space="preserve"> </w:t>
      </w:r>
      <w:r>
        <w:rPr>
          <w:sz w:val="10"/>
        </w:rPr>
        <w:t>utiliza</w:t>
      </w:r>
      <w:r>
        <w:rPr>
          <w:spacing w:val="-4"/>
          <w:sz w:val="10"/>
        </w:rPr>
        <w:t xml:space="preserve"> </w:t>
      </w:r>
      <w:r>
        <w:rPr>
          <w:sz w:val="10"/>
        </w:rPr>
        <w:t>para</w:t>
      </w:r>
      <w:r>
        <w:rPr>
          <w:spacing w:val="-4"/>
          <w:sz w:val="10"/>
        </w:rPr>
        <w:t xml:space="preserve"> </w:t>
      </w:r>
      <w:r>
        <w:rPr>
          <w:sz w:val="10"/>
        </w:rPr>
        <w:t>establecer</w:t>
      </w:r>
      <w:r>
        <w:rPr>
          <w:spacing w:val="-4"/>
          <w:sz w:val="10"/>
        </w:rPr>
        <w:t xml:space="preserve"> </w:t>
      </w:r>
      <w:r>
        <w:rPr>
          <w:sz w:val="10"/>
        </w:rPr>
        <w:t>la</w:t>
      </w:r>
      <w:r>
        <w:rPr>
          <w:spacing w:val="-4"/>
          <w:sz w:val="10"/>
        </w:rPr>
        <w:t xml:space="preserve"> </w:t>
      </w:r>
      <w:r>
        <w:rPr>
          <w:sz w:val="10"/>
        </w:rPr>
        <w:t>discriminación.</w:t>
      </w:r>
      <w:r>
        <w:rPr>
          <w:spacing w:val="-3"/>
          <w:sz w:val="10"/>
        </w:rPr>
        <w:t xml:space="preserve"> </w:t>
      </w:r>
      <w:r>
        <w:rPr>
          <w:sz w:val="10"/>
        </w:rPr>
        <w:t>Las</w:t>
      </w:r>
      <w:r>
        <w:rPr>
          <w:spacing w:val="-4"/>
          <w:sz w:val="10"/>
        </w:rPr>
        <w:t xml:space="preserve"> </w:t>
      </w:r>
      <w:r>
        <w:rPr>
          <w:sz w:val="10"/>
        </w:rPr>
        <w:t>pruebas</w:t>
      </w:r>
      <w:r>
        <w:rPr>
          <w:spacing w:val="-4"/>
          <w:sz w:val="10"/>
        </w:rPr>
        <w:t xml:space="preserve"> </w:t>
      </w:r>
      <w:r>
        <w:rPr>
          <w:sz w:val="10"/>
        </w:rPr>
        <w:t>han</w:t>
      </w:r>
      <w:r>
        <w:rPr>
          <w:spacing w:val="-4"/>
          <w:sz w:val="10"/>
        </w:rPr>
        <w:t xml:space="preserve"> </w:t>
      </w:r>
      <w:r>
        <w:rPr>
          <w:sz w:val="10"/>
        </w:rPr>
        <w:t>sido</w:t>
      </w:r>
      <w:r>
        <w:rPr>
          <w:spacing w:val="-4"/>
          <w:sz w:val="10"/>
        </w:rPr>
        <w:t xml:space="preserve"> </w:t>
      </w:r>
      <w:r>
        <w:rPr>
          <w:sz w:val="10"/>
        </w:rPr>
        <w:t>utilizadas</w:t>
      </w:r>
      <w:r>
        <w:rPr>
          <w:spacing w:val="-4"/>
          <w:sz w:val="10"/>
        </w:rPr>
        <w:t xml:space="preserve"> </w:t>
      </w:r>
      <w:r>
        <w:rPr>
          <w:sz w:val="10"/>
        </w:rPr>
        <w:t>por</w:t>
      </w:r>
      <w:r>
        <w:rPr>
          <w:spacing w:val="-4"/>
          <w:sz w:val="10"/>
        </w:rPr>
        <w:t xml:space="preserve"> </w:t>
      </w:r>
      <w:r>
        <w:rPr>
          <w:sz w:val="10"/>
        </w:rPr>
        <w:t>autoridades</w:t>
      </w:r>
      <w:r>
        <w:rPr>
          <w:spacing w:val="40"/>
          <w:sz w:val="10"/>
        </w:rPr>
        <w:t xml:space="preserve"> </w:t>
      </w:r>
      <w:r>
        <w:rPr>
          <w:sz w:val="10"/>
        </w:rPr>
        <w:t>gubernamentales,</w:t>
      </w:r>
      <w:r>
        <w:rPr>
          <w:spacing w:val="-2"/>
          <w:sz w:val="10"/>
        </w:rPr>
        <w:t xml:space="preserve"> </w:t>
      </w:r>
      <w:r>
        <w:rPr>
          <w:sz w:val="10"/>
        </w:rPr>
        <w:t>organismos</w:t>
      </w:r>
      <w:r>
        <w:rPr>
          <w:spacing w:val="-3"/>
          <w:sz w:val="10"/>
        </w:rPr>
        <w:t xml:space="preserve"> </w:t>
      </w:r>
      <w:r>
        <w:rPr>
          <w:sz w:val="10"/>
        </w:rPr>
        <w:t>de</w:t>
      </w:r>
      <w:r>
        <w:rPr>
          <w:spacing w:val="-3"/>
          <w:sz w:val="10"/>
        </w:rPr>
        <w:t xml:space="preserve"> </w:t>
      </w:r>
      <w:r>
        <w:rPr>
          <w:sz w:val="10"/>
        </w:rPr>
        <w:t>igualdad,</w:t>
      </w:r>
      <w:r>
        <w:rPr>
          <w:spacing w:val="-2"/>
          <w:sz w:val="10"/>
        </w:rPr>
        <w:t xml:space="preserve"> </w:t>
      </w:r>
      <w:r>
        <w:rPr>
          <w:sz w:val="10"/>
        </w:rPr>
        <w:t>instituciones</w:t>
      </w:r>
      <w:r>
        <w:rPr>
          <w:spacing w:val="-3"/>
          <w:sz w:val="10"/>
        </w:rPr>
        <w:t xml:space="preserve"> </w:t>
      </w:r>
      <w:r>
        <w:rPr>
          <w:sz w:val="10"/>
        </w:rPr>
        <w:t>nacionales</w:t>
      </w:r>
      <w:r>
        <w:rPr>
          <w:spacing w:val="-3"/>
          <w:sz w:val="10"/>
        </w:rPr>
        <w:t xml:space="preserve"> </w:t>
      </w:r>
      <w:r>
        <w:rPr>
          <w:sz w:val="10"/>
        </w:rPr>
        <w:t>de</w:t>
      </w:r>
      <w:r>
        <w:rPr>
          <w:spacing w:val="-3"/>
          <w:sz w:val="10"/>
        </w:rPr>
        <w:t xml:space="preserve"> </w:t>
      </w:r>
      <w:r>
        <w:rPr>
          <w:sz w:val="10"/>
        </w:rPr>
        <w:t>derechos</w:t>
      </w:r>
      <w:r>
        <w:rPr>
          <w:spacing w:val="-3"/>
          <w:sz w:val="10"/>
        </w:rPr>
        <w:t xml:space="preserve"> </w:t>
      </w:r>
      <w:r>
        <w:rPr>
          <w:sz w:val="10"/>
        </w:rPr>
        <w:t>humanos</w:t>
      </w:r>
      <w:r>
        <w:rPr>
          <w:spacing w:val="-3"/>
          <w:sz w:val="10"/>
        </w:rPr>
        <w:t xml:space="preserve"> </w:t>
      </w:r>
      <w:r>
        <w:rPr>
          <w:sz w:val="10"/>
        </w:rPr>
        <w:t>y</w:t>
      </w:r>
      <w:r>
        <w:rPr>
          <w:spacing w:val="-3"/>
          <w:sz w:val="10"/>
        </w:rPr>
        <w:t xml:space="preserve"> </w:t>
      </w:r>
      <w:r>
        <w:rPr>
          <w:sz w:val="10"/>
        </w:rPr>
        <w:t>organizaciones</w:t>
      </w:r>
      <w:r>
        <w:rPr>
          <w:spacing w:val="-3"/>
          <w:sz w:val="10"/>
        </w:rPr>
        <w:t xml:space="preserve"> </w:t>
      </w:r>
      <w:r>
        <w:rPr>
          <w:sz w:val="10"/>
        </w:rPr>
        <w:t>no</w:t>
      </w:r>
      <w:r>
        <w:rPr>
          <w:spacing w:val="-3"/>
          <w:sz w:val="10"/>
        </w:rPr>
        <w:t xml:space="preserve"> </w:t>
      </w:r>
      <w:r>
        <w:rPr>
          <w:sz w:val="10"/>
        </w:rPr>
        <w:t>gubernamentales</w:t>
      </w:r>
      <w:r>
        <w:rPr>
          <w:spacing w:val="-3"/>
          <w:sz w:val="10"/>
        </w:rPr>
        <w:t xml:space="preserve"> </w:t>
      </w:r>
      <w:r>
        <w:rPr>
          <w:sz w:val="10"/>
        </w:rPr>
        <w:t>para</w:t>
      </w:r>
      <w:r>
        <w:rPr>
          <w:spacing w:val="-3"/>
          <w:sz w:val="10"/>
        </w:rPr>
        <w:t xml:space="preserve"> </w:t>
      </w:r>
      <w:r>
        <w:rPr>
          <w:sz w:val="10"/>
        </w:rPr>
        <w:t>descubrir,</w:t>
      </w:r>
      <w:r>
        <w:rPr>
          <w:spacing w:val="-2"/>
          <w:sz w:val="10"/>
        </w:rPr>
        <w:t xml:space="preserve"> </w:t>
      </w:r>
      <w:r>
        <w:rPr>
          <w:sz w:val="10"/>
        </w:rPr>
        <w:t>documentar</w:t>
      </w:r>
      <w:r>
        <w:rPr>
          <w:spacing w:val="-3"/>
          <w:sz w:val="10"/>
        </w:rPr>
        <w:t xml:space="preserve"> </w:t>
      </w:r>
      <w:r>
        <w:rPr>
          <w:sz w:val="10"/>
        </w:rPr>
        <w:t>y</w:t>
      </w:r>
      <w:r>
        <w:rPr>
          <w:spacing w:val="-3"/>
          <w:sz w:val="10"/>
        </w:rPr>
        <w:t xml:space="preserve"> </w:t>
      </w:r>
      <w:r>
        <w:rPr>
          <w:sz w:val="10"/>
        </w:rPr>
        <w:t>establecer</w:t>
      </w:r>
      <w:r>
        <w:rPr>
          <w:spacing w:val="-3"/>
          <w:sz w:val="10"/>
        </w:rPr>
        <w:t xml:space="preserve"> </w:t>
      </w:r>
      <w:r>
        <w:rPr>
          <w:sz w:val="10"/>
        </w:rPr>
        <w:t>patrones</w:t>
      </w:r>
      <w:r>
        <w:rPr>
          <w:spacing w:val="-3"/>
          <w:sz w:val="10"/>
        </w:rPr>
        <w:t xml:space="preserve"> </w:t>
      </w:r>
      <w:r>
        <w:rPr>
          <w:sz w:val="10"/>
        </w:rPr>
        <w:t>o</w:t>
      </w:r>
      <w:r>
        <w:rPr>
          <w:spacing w:val="-3"/>
          <w:sz w:val="10"/>
        </w:rPr>
        <w:t xml:space="preserve"> </w:t>
      </w:r>
      <w:r>
        <w:rPr>
          <w:sz w:val="10"/>
        </w:rPr>
        <w:t>prácticas</w:t>
      </w:r>
      <w:r>
        <w:rPr>
          <w:spacing w:val="-3"/>
          <w:sz w:val="10"/>
        </w:rPr>
        <w:t xml:space="preserve"> </w:t>
      </w:r>
      <w:r>
        <w:rPr>
          <w:sz w:val="10"/>
        </w:rPr>
        <w:t>de</w:t>
      </w:r>
      <w:r>
        <w:rPr>
          <w:spacing w:val="40"/>
          <w:sz w:val="10"/>
        </w:rPr>
        <w:t xml:space="preserve"> </w:t>
      </w:r>
      <w:r>
        <w:rPr>
          <w:sz w:val="10"/>
        </w:rPr>
        <w:t>discriminación.</w:t>
      </w:r>
      <w:r>
        <w:rPr>
          <w:spacing w:val="-3"/>
          <w:sz w:val="10"/>
        </w:rPr>
        <w:t xml:space="preserve"> </w:t>
      </w:r>
      <w:r>
        <w:rPr>
          <w:sz w:val="10"/>
        </w:rPr>
        <w:t>Los</w:t>
      </w:r>
      <w:r>
        <w:rPr>
          <w:spacing w:val="-4"/>
          <w:sz w:val="10"/>
        </w:rPr>
        <w:t xml:space="preserve"> </w:t>
      </w:r>
      <w:r>
        <w:rPr>
          <w:sz w:val="10"/>
        </w:rPr>
        <w:t>evaluadores</w:t>
      </w:r>
      <w:r>
        <w:rPr>
          <w:spacing w:val="-4"/>
          <w:sz w:val="10"/>
        </w:rPr>
        <w:t xml:space="preserve"> </w:t>
      </w:r>
      <w:r>
        <w:rPr>
          <w:sz w:val="10"/>
        </w:rPr>
        <w:t>se</w:t>
      </w:r>
      <w:r>
        <w:rPr>
          <w:spacing w:val="-4"/>
          <w:sz w:val="10"/>
        </w:rPr>
        <w:t xml:space="preserve"> </w:t>
      </w:r>
      <w:r>
        <w:rPr>
          <w:sz w:val="10"/>
        </w:rPr>
        <w:t>hacen</w:t>
      </w:r>
      <w:r>
        <w:rPr>
          <w:spacing w:val="-4"/>
          <w:sz w:val="10"/>
        </w:rPr>
        <w:t xml:space="preserve"> </w:t>
      </w:r>
      <w:r>
        <w:rPr>
          <w:sz w:val="10"/>
        </w:rPr>
        <w:t>pasar</w:t>
      </w:r>
      <w:r>
        <w:rPr>
          <w:spacing w:val="-4"/>
          <w:sz w:val="10"/>
        </w:rPr>
        <w:t xml:space="preserve"> </w:t>
      </w:r>
      <w:r>
        <w:rPr>
          <w:sz w:val="10"/>
        </w:rPr>
        <w:t>por</w:t>
      </w:r>
      <w:r>
        <w:rPr>
          <w:spacing w:val="-4"/>
          <w:sz w:val="10"/>
        </w:rPr>
        <w:t xml:space="preserve"> </w:t>
      </w:r>
      <w:r>
        <w:rPr>
          <w:sz w:val="10"/>
        </w:rPr>
        <w:t>“buscadores</w:t>
      </w:r>
      <w:r>
        <w:rPr>
          <w:spacing w:val="-4"/>
          <w:sz w:val="10"/>
        </w:rPr>
        <w:t xml:space="preserve"> </w:t>
      </w:r>
      <w:r>
        <w:rPr>
          <w:sz w:val="10"/>
        </w:rPr>
        <w:t>de</w:t>
      </w:r>
      <w:r>
        <w:rPr>
          <w:spacing w:val="-4"/>
          <w:sz w:val="10"/>
        </w:rPr>
        <w:t xml:space="preserve"> </w:t>
      </w:r>
      <w:r>
        <w:rPr>
          <w:sz w:val="10"/>
        </w:rPr>
        <w:t>trabajo</w:t>
      </w:r>
      <w:r>
        <w:rPr>
          <w:spacing w:val="-4"/>
          <w:sz w:val="10"/>
        </w:rPr>
        <w:t xml:space="preserve"> </w:t>
      </w:r>
      <w:r>
        <w:rPr>
          <w:sz w:val="10"/>
        </w:rPr>
        <w:t>o</w:t>
      </w:r>
      <w:r>
        <w:rPr>
          <w:spacing w:val="-4"/>
          <w:sz w:val="10"/>
        </w:rPr>
        <w:t xml:space="preserve"> </w:t>
      </w:r>
      <w:r>
        <w:rPr>
          <w:sz w:val="10"/>
        </w:rPr>
        <w:t>de</w:t>
      </w:r>
      <w:r>
        <w:rPr>
          <w:spacing w:val="-4"/>
          <w:sz w:val="10"/>
        </w:rPr>
        <w:t xml:space="preserve"> </w:t>
      </w:r>
      <w:r>
        <w:rPr>
          <w:sz w:val="10"/>
        </w:rPr>
        <w:t>vivienda</w:t>
      </w:r>
      <w:r>
        <w:rPr>
          <w:spacing w:val="-4"/>
          <w:sz w:val="10"/>
        </w:rPr>
        <w:t xml:space="preserve"> </w:t>
      </w:r>
      <w:r>
        <w:rPr>
          <w:sz w:val="10"/>
        </w:rPr>
        <w:t>de</w:t>
      </w:r>
      <w:r>
        <w:rPr>
          <w:spacing w:val="-4"/>
          <w:sz w:val="10"/>
        </w:rPr>
        <w:t xml:space="preserve"> </w:t>
      </w:r>
      <w:r>
        <w:rPr>
          <w:sz w:val="10"/>
        </w:rPr>
        <w:t>buena</w:t>
      </w:r>
      <w:r>
        <w:rPr>
          <w:spacing w:val="-4"/>
          <w:sz w:val="10"/>
        </w:rPr>
        <w:t xml:space="preserve"> </w:t>
      </w:r>
      <w:r>
        <w:rPr>
          <w:sz w:val="10"/>
        </w:rPr>
        <w:t>fe”</w:t>
      </w:r>
      <w:r>
        <w:rPr>
          <w:spacing w:val="-4"/>
          <w:sz w:val="10"/>
        </w:rPr>
        <w:t xml:space="preserve"> </w:t>
      </w:r>
      <w:r>
        <w:rPr>
          <w:sz w:val="10"/>
        </w:rPr>
        <w:t>o</w:t>
      </w:r>
      <w:r>
        <w:rPr>
          <w:spacing w:val="-4"/>
          <w:sz w:val="10"/>
        </w:rPr>
        <w:t xml:space="preserve"> </w:t>
      </w:r>
      <w:r>
        <w:rPr>
          <w:sz w:val="10"/>
        </w:rPr>
        <w:t>buscan</w:t>
      </w:r>
      <w:r>
        <w:rPr>
          <w:spacing w:val="-4"/>
          <w:sz w:val="10"/>
        </w:rPr>
        <w:t xml:space="preserve"> </w:t>
      </w:r>
      <w:r>
        <w:rPr>
          <w:sz w:val="10"/>
        </w:rPr>
        <w:t>servicios</w:t>
      </w:r>
      <w:r>
        <w:rPr>
          <w:spacing w:val="-4"/>
          <w:sz w:val="10"/>
        </w:rPr>
        <w:t xml:space="preserve"> </w:t>
      </w:r>
      <w:r>
        <w:rPr>
          <w:sz w:val="10"/>
        </w:rPr>
        <w:t>como,</w:t>
      </w:r>
      <w:r>
        <w:rPr>
          <w:spacing w:val="-4"/>
          <w:sz w:val="10"/>
        </w:rPr>
        <w:t xml:space="preserve"> </w:t>
      </w:r>
      <w:r>
        <w:rPr>
          <w:sz w:val="10"/>
        </w:rPr>
        <w:t>por</w:t>
      </w:r>
      <w:r>
        <w:rPr>
          <w:spacing w:val="-4"/>
          <w:sz w:val="10"/>
        </w:rPr>
        <w:t xml:space="preserve"> </w:t>
      </w:r>
      <w:r>
        <w:rPr>
          <w:sz w:val="10"/>
        </w:rPr>
        <w:t>ejemplo,</w:t>
      </w:r>
      <w:r>
        <w:rPr>
          <w:spacing w:val="-3"/>
          <w:sz w:val="10"/>
        </w:rPr>
        <w:t xml:space="preserve"> </w:t>
      </w:r>
      <w:r>
        <w:rPr>
          <w:sz w:val="10"/>
        </w:rPr>
        <w:t>en</w:t>
      </w:r>
      <w:r>
        <w:rPr>
          <w:spacing w:val="-4"/>
          <w:sz w:val="10"/>
        </w:rPr>
        <w:t xml:space="preserve"> </w:t>
      </w:r>
      <w:r>
        <w:rPr>
          <w:sz w:val="10"/>
        </w:rPr>
        <w:t>restaurantes,</w:t>
      </w:r>
      <w:r>
        <w:rPr>
          <w:spacing w:val="-3"/>
          <w:sz w:val="10"/>
        </w:rPr>
        <w:t xml:space="preserve"> </w:t>
      </w:r>
      <w:r>
        <w:rPr>
          <w:sz w:val="10"/>
        </w:rPr>
        <w:t>hoteles</w:t>
      </w:r>
      <w:r>
        <w:rPr>
          <w:spacing w:val="-4"/>
          <w:sz w:val="10"/>
        </w:rPr>
        <w:t xml:space="preserve"> </w:t>
      </w:r>
      <w:r>
        <w:rPr>
          <w:sz w:val="10"/>
        </w:rPr>
        <w:t>o</w:t>
      </w:r>
      <w:r>
        <w:rPr>
          <w:spacing w:val="-4"/>
          <w:sz w:val="10"/>
        </w:rPr>
        <w:t xml:space="preserve"> </w:t>
      </w:r>
      <w:r>
        <w:rPr>
          <w:sz w:val="10"/>
        </w:rPr>
        <w:t>taxis.</w:t>
      </w:r>
      <w:r>
        <w:rPr>
          <w:spacing w:val="-4"/>
          <w:sz w:val="10"/>
        </w:rPr>
        <w:t xml:space="preserve"> </w:t>
      </w:r>
      <w:r>
        <w:rPr>
          <w:sz w:val="10"/>
        </w:rPr>
        <w:t>Durante</w:t>
      </w:r>
      <w:r>
        <w:rPr>
          <w:spacing w:val="-4"/>
          <w:sz w:val="10"/>
        </w:rPr>
        <w:t xml:space="preserve"> </w:t>
      </w:r>
      <w:r>
        <w:rPr>
          <w:sz w:val="10"/>
        </w:rPr>
        <w:t>la</w:t>
      </w:r>
      <w:r>
        <w:rPr>
          <w:spacing w:val="-4"/>
          <w:sz w:val="10"/>
        </w:rPr>
        <w:t xml:space="preserve"> </w:t>
      </w:r>
      <w:r>
        <w:rPr>
          <w:sz w:val="10"/>
        </w:rPr>
        <w:t>prueba,</w:t>
      </w:r>
      <w:r>
        <w:rPr>
          <w:spacing w:val="-3"/>
          <w:sz w:val="10"/>
        </w:rPr>
        <w:t xml:space="preserve"> </w:t>
      </w:r>
      <w:r>
        <w:rPr>
          <w:sz w:val="10"/>
        </w:rPr>
        <w:t>“los</w:t>
      </w:r>
      <w:r>
        <w:rPr>
          <w:spacing w:val="40"/>
          <w:sz w:val="10"/>
        </w:rPr>
        <w:t xml:space="preserve"> </w:t>
      </w:r>
      <w:r>
        <w:rPr>
          <w:sz w:val="10"/>
        </w:rPr>
        <w:t>compañeros</w:t>
      </w:r>
      <w:r>
        <w:rPr>
          <w:spacing w:val="-4"/>
          <w:sz w:val="10"/>
        </w:rPr>
        <w:t xml:space="preserve"> </w:t>
      </w:r>
      <w:r>
        <w:rPr>
          <w:sz w:val="10"/>
        </w:rPr>
        <w:t>del</w:t>
      </w:r>
      <w:r>
        <w:rPr>
          <w:spacing w:val="-4"/>
          <w:sz w:val="10"/>
        </w:rPr>
        <w:t xml:space="preserve"> </w:t>
      </w:r>
      <w:r>
        <w:rPr>
          <w:sz w:val="10"/>
        </w:rPr>
        <w:t>equipo</w:t>
      </w:r>
      <w:r>
        <w:rPr>
          <w:spacing w:val="-4"/>
          <w:sz w:val="10"/>
        </w:rPr>
        <w:t xml:space="preserve"> </w:t>
      </w:r>
      <w:r>
        <w:rPr>
          <w:sz w:val="10"/>
        </w:rPr>
        <w:t>de</w:t>
      </w:r>
      <w:r>
        <w:rPr>
          <w:spacing w:val="-4"/>
          <w:sz w:val="10"/>
        </w:rPr>
        <w:t xml:space="preserve"> </w:t>
      </w:r>
      <w:r>
        <w:rPr>
          <w:sz w:val="10"/>
        </w:rPr>
        <w:t>prueba</w:t>
      </w:r>
      <w:r>
        <w:rPr>
          <w:spacing w:val="-4"/>
          <w:sz w:val="10"/>
        </w:rPr>
        <w:t xml:space="preserve"> </w:t>
      </w:r>
      <w:r>
        <w:rPr>
          <w:sz w:val="10"/>
        </w:rPr>
        <w:t>son</w:t>
      </w:r>
      <w:r>
        <w:rPr>
          <w:spacing w:val="-4"/>
          <w:sz w:val="10"/>
        </w:rPr>
        <w:t xml:space="preserve"> </w:t>
      </w:r>
      <w:r>
        <w:rPr>
          <w:sz w:val="10"/>
        </w:rPr>
        <w:t>enviados</w:t>
      </w:r>
      <w:r>
        <w:rPr>
          <w:spacing w:val="-4"/>
          <w:sz w:val="10"/>
        </w:rPr>
        <w:t xml:space="preserve"> </w:t>
      </w:r>
      <w:r>
        <w:rPr>
          <w:sz w:val="10"/>
        </w:rPr>
        <w:t>a</w:t>
      </w:r>
      <w:r>
        <w:rPr>
          <w:spacing w:val="-4"/>
          <w:sz w:val="10"/>
        </w:rPr>
        <w:t xml:space="preserve"> </w:t>
      </w:r>
      <w:r>
        <w:rPr>
          <w:sz w:val="10"/>
        </w:rPr>
        <w:t>intervalos</w:t>
      </w:r>
      <w:r>
        <w:rPr>
          <w:spacing w:val="-4"/>
          <w:sz w:val="10"/>
        </w:rPr>
        <w:t xml:space="preserve"> </w:t>
      </w:r>
      <w:r>
        <w:rPr>
          <w:sz w:val="10"/>
        </w:rPr>
        <w:t>muy</w:t>
      </w:r>
      <w:r>
        <w:rPr>
          <w:spacing w:val="-4"/>
          <w:sz w:val="10"/>
        </w:rPr>
        <w:t xml:space="preserve"> </w:t>
      </w:r>
      <w:r>
        <w:rPr>
          <w:sz w:val="10"/>
        </w:rPr>
        <w:t>cortos</w:t>
      </w:r>
      <w:r>
        <w:rPr>
          <w:spacing w:val="-4"/>
          <w:sz w:val="10"/>
        </w:rPr>
        <w:t xml:space="preserve"> </w:t>
      </w:r>
      <w:r>
        <w:rPr>
          <w:sz w:val="10"/>
        </w:rPr>
        <w:t>para</w:t>
      </w:r>
      <w:r>
        <w:rPr>
          <w:spacing w:val="-4"/>
          <w:sz w:val="10"/>
        </w:rPr>
        <w:t xml:space="preserve"> </w:t>
      </w:r>
      <w:r>
        <w:rPr>
          <w:sz w:val="10"/>
        </w:rPr>
        <w:t>buscar</w:t>
      </w:r>
      <w:r>
        <w:rPr>
          <w:spacing w:val="-4"/>
          <w:sz w:val="10"/>
        </w:rPr>
        <w:t xml:space="preserve"> </w:t>
      </w:r>
      <w:r>
        <w:rPr>
          <w:sz w:val="10"/>
        </w:rPr>
        <w:t>información</w:t>
      </w:r>
      <w:r>
        <w:rPr>
          <w:spacing w:val="-4"/>
          <w:sz w:val="10"/>
        </w:rPr>
        <w:t xml:space="preserve"> </w:t>
      </w:r>
      <w:r>
        <w:rPr>
          <w:sz w:val="10"/>
        </w:rPr>
        <w:t>sobre</w:t>
      </w:r>
      <w:r>
        <w:rPr>
          <w:spacing w:val="-4"/>
          <w:sz w:val="10"/>
        </w:rPr>
        <w:t xml:space="preserve"> </w:t>
      </w:r>
      <w:r>
        <w:rPr>
          <w:sz w:val="10"/>
        </w:rPr>
        <w:t>un</w:t>
      </w:r>
      <w:r>
        <w:rPr>
          <w:spacing w:val="-4"/>
          <w:sz w:val="10"/>
        </w:rPr>
        <w:t xml:space="preserve"> </w:t>
      </w:r>
      <w:r>
        <w:rPr>
          <w:sz w:val="10"/>
        </w:rPr>
        <w:t>trabajo,</w:t>
      </w:r>
      <w:r>
        <w:rPr>
          <w:spacing w:val="-3"/>
          <w:sz w:val="10"/>
        </w:rPr>
        <w:t xml:space="preserve"> </w:t>
      </w:r>
      <w:r>
        <w:rPr>
          <w:sz w:val="10"/>
        </w:rPr>
        <w:t>un</w:t>
      </w:r>
      <w:r>
        <w:rPr>
          <w:spacing w:val="-4"/>
          <w:sz w:val="10"/>
        </w:rPr>
        <w:t xml:space="preserve"> </w:t>
      </w:r>
      <w:r>
        <w:rPr>
          <w:sz w:val="10"/>
        </w:rPr>
        <w:t>apartamento</w:t>
      </w:r>
      <w:r>
        <w:rPr>
          <w:spacing w:val="-4"/>
          <w:sz w:val="10"/>
        </w:rPr>
        <w:t xml:space="preserve"> </w:t>
      </w:r>
      <w:r>
        <w:rPr>
          <w:sz w:val="10"/>
        </w:rPr>
        <w:t>o</w:t>
      </w:r>
      <w:r>
        <w:rPr>
          <w:spacing w:val="-4"/>
          <w:sz w:val="10"/>
        </w:rPr>
        <w:t xml:space="preserve"> </w:t>
      </w:r>
      <w:r>
        <w:rPr>
          <w:sz w:val="10"/>
        </w:rPr>
        <w:t>la</w:t>
      </w:r>
      <w:r>
        <w:rPr>
          <w:spacing w:val="-4"/>
          <w:sz w:val="10"/>
        </w:rPr>
        <w:t xml:space="preserve"> </w:t>
      </w:r>
      <w:r>
        <w:rPr>
          <w:sz w:val="10"/>
        </w:rPr>
        <w:t>disponibilidad</w:t>
      </w:r>
      <w:r>
        <w:rPr>
          <w:spacing w:val="-4"/>
          <w:sz w:val="10"/>
        </w:rPr>
        <w:t xml:space="preserve"> </w:t>
      </w:r>
      <w:r>
        <w:rPr>
          <w:sz w:val="10"/>
        </w:rPr>
        <w:t>de</w:t>
      </w:r>
      <w:r>
        <w:rPr>
          <w:spacing w:val="-4"/>
          <w:sz w:val="10"/>
        </w:rPr>
        <w:t xml:space="preserve"> </w:t>
      </w:r>
      <w:r>
        <w:rPr>
          <w:sz w:val="10"/>
        </w:rPr>
        <w:t>un</w:t>
      </w:r>
      <w:r>
        <w:rPr>
          <w:spacing w:val="-4"/>
          <w:sz w:val="10"/>
        </w:rPr>
        <w:t xml:space="preserve"> </w:t>
      </w:r>
      <w:r>
        <w:rPr>
          <w:sz w:val="10"/>
        </w:rPr>
        <w:t>determinado</w:t>
      </w:r>
      <w:r>
        <w:rPr>
          <w:spacing w:val="-4"/>
          <w:sz w:val="10"/>
        </w:rPr>
        <w:t xml:space="preserve"> </w:t>
      </w:r>
      <w:r>
        <w:rPr>
          <w:sz w:val="10"/>
        </w:rPr>
        <w:t>servicio”</w:t>
      </w:r>
      <w:r>
        <w:rPr>
          <w:spacing w:val="-4"/>
          <w:sz w:val="10"/>
        </w:rPr>
        <w:t xml:space="preserve"> </w:t>
      </w:r>
      <w:r>
        <w:rPr>
          <w:sz w:val="10"/>
        </w:rPr>
        <w:t>(nota</w:t>
      </w:r>
      <w:r>
        <w:rPr>
          <w:spacing w:val="-4"/>
          <w:sz w:val="10"/>
        </w:rPr>
        <w:t xml:space="preserve"> </w:t>
      </w:r>
      <w:r>
        <w:rPr>
          <w:sz w:val="10"/>
        </w:rPr>
        <w:t>a</w:t>
      </w:r>
      <w:r>
        <w:rPr>
          <w:spacing w:val="-4"/>
          <w:sz w:val="10"/>
        </w:rPr>
        <w:t xml:space="preserve"> </w:t>
      </w:r>
      <w:r>
        <w:rPr>
          <w:sz w:val="10"/>
        </w:rPr>
        <w:t>pie</w:t>
      </w:r>
      <w:r>
        <w:rPr>
          <w:spacing w:val="-4"/>
          <w:sz w:val="10"/>
        </w:rPr>
        <w:t xml:space="preserve"> </w:t>
      </w:r>
      <w:r>
        <w:rPr>
          <w:sz w:val="10"/>
        </w:rPr>
        <w:t>de</w:t>
      </w:r>
      <w:r>
        <w:rPr>
          <w:spacing w:val="-4"/>
          <w:sz w:val="10"/>
        </w:rPr>
        <w:t xml:space="preserve"> </w:t>
      </w:r>
      <w:r>
        <w:rPr>
          <w:sz w:val="10"/>
        </w:rPr>
        <w:t>página</w:t>
      </w:r>
      <w:r>
        <w:rPr>
          <w:spacing w:val="40"/>
          <w:sz w:val="10"/>
        </w:rPr>
        <w:t xml:space="preserve"> </w:t>
      </w:r>
      <w:r>
        <w:rPr>
          <w:sz w:val="10"/>
        </w:rPr>
        <w:t>omitida).</w:t>
      </w:r>
      <w:r>
        <w:rPr>
          <w:spacing w:val="-4"/>
          <w:sz w:val="10"/>
        </w:rPr>
        <w:t xml:space="preserve"> </w:t>
      </w:r>
      <w:r>
        <w:rPr>
          <w:sz w:val="10"/>
        </w:rPr>
        <w:t>Véase</w:t>
      </w:r>
      <w:r>
        <w:rPr>
          <w:spacing w:val="-5"/>
          <w:sz w:val="10"/>
        </w:rPr>
        <w:t xml:space="preserve"> </w:t>
      </w:r>
      <w:proofErr w:type="spellStart"/>
      <w:r>
        <w:rPr>
          <w:sz w:val="10"/>
        </w:rPr>
        <w:t>Fitsum</w:t>
      </w:r>
      <w:proofErr w:type="spellEnd"/>
      <w:r>
        <w:rPr>
          <w:spacing w:val="-5"/>
          <w:sz w:val="10"/>
        </w:rPr>
        <w:t xml:space="preserve"> </w:t>
      </w:r>
      <w:proofErr w:type="spellStart"/>
      <w:r>
        <w:rPr>
          <w:sz w:val="10"/>
        </w:rPr>
        <w:t>Alemu</w:t>
      </w:r>
      <w:proofErr w:type="spellEnd"/>
      <w:r>
        <w:rPr>
          <w:sz w:val="10"/>
        </w:rPr>
        <w:t>,</w:t>
      </w:r>
      <w:r>
        <w:rPr>
          <w:spacing w:val="-5"/>
          <w:sz w:val="10"/>
        </w:rPr>
        <w:t xml:space="preserve"> </w:t>
      </w:r>
      <w:r>
        <w:rPr>
          <w:sz w:val="10"/>
        </w:rPr>
        <w:t>“</w:t>
      </w:r>
      <w:proofErr w:type="spellStart"/>
      <w:r>
        <w:rPr>
          <w:sz w:val="10"/>
        </w:rPr>
        <w:t>Testing</w:t>
      </w:r>
      <w:proofErr w:type="spellEnd"/>
      <w:r>
        <w:rPr>
          <w:spacing w:val="-5"/>
          <w:sz w:val="10"/>
        </w:rPr>
        <w:t xml:space="preserve"> </w:t>
      </w:r>
      <w:proofErr w:type="spellStart"/>
      <w:r>
        <w:rPr>
          <w:sz w:val="10"/>
        </w:rPr>
        <w:t>to</w:t>
      </w:r>
      <w:proofErr w:type="spellEnd"/>
      <w:r>
        <w:rPr>
          <w:spacing w:val="-5"/>
          <w:sz w:val="10"/>
        </w:rPr>
        <w:t xml:space="preserve"> </w:t>
      </w:r>
      <w:proofErr w:type="spellStart"/>
      <w:r>
        <w:rPr>
          <w:sz w:val="10"/>
        </w:rPr>
        <w:t>prob</w:t>
      </w:r>
      <w:proofErr w:type="spellEnd"/>
      <w:r>
        <w:rPr>
          <w:spacing w:val="-5"/>
          <w:sz w:val="10"/>
        </w:rPr>
        <w:t xml:space="preserve"> </w:t>
      </w:r>
      <w:r>
        <w:rPr>
          <w:sz w:val="10"/>
        </w:rPr>
        <w:t>racial</w:t>
      </w:r>
      <w:r>
        <w:rPr>
          <w:spacing w:val="-5"/>
          <w:sz w:val="10"/>
        </w:rPr>
        <w:t xml:space="preserve"> </w:t>
      </w:r>
      <w:r>
        <w:rPr>
          <w:sz w:val="10"/>
        </w:rPr>
        <w:t>Discriminación:</w:t>
      </w:r>
      <w:r>
        <w:rPr>
          <w:spacing w:val="-4"/>
          <w:sz w:val="10"/>
        </w:rPr>
        <w:t xml:space="preserve"> </w:t>
      </w:r>
      <w:r>
        <w:rPr>
          <w:sz w:val="10"/>
        </w:rPr>
        <w:t>metodología</w:t>
      </w:r>
      <w:r>
        <w:rPr>
          <w:spacing w:val="-5"/>
          <w:sz w:val="10"/>
        </w:rPr>
        <w:t xml:space="preserve"> </w:t>
      </w:r>
      <w:r>
        <w:rPr>
          <w:sz w:val="10"/>
        </w:rPr>
        <w:t>y</w:t>
      </w:r>
      <w:r>
        <w:rPr>
          <w:spacing w:val="-5"/>
          <w:sz w:val="10"/>
        </w:rPr>
        <w:t xml:space="preserve"> </w:t>
      </w:r>
      <w:r>
        <w:rPr>
          <w:sz w:val="10"/>
        </w:rPr>
        <w:t>aplicación</w:t>
      </w:r>
      <w:r>
        <w:rPr>
          <w:spacing w:val="-5"/>
          <w:sz w:val="10"/>
        </w:rPr>
        <w:t xml:space="preserve"> </w:t>
      </w:r>
      <w:r>
        <w:rPr>
          <w:sz w:val="10"/>
        </w:rPr>
        <w:t>en</w:t>
      </w:r>
      <w:r>
        <w:rPr>
          <w:spacing w:val="-5"/>
          <w:sz w:val="10"/>
        </w:rPr>
        <w:t xml:space="preserve"> </w:t>
      </w:r>
      <w:r>
        <w:rPr>
          <w:sz w:val="10"/>
        </w:rPr>
        <w:t>Hungría”,</w:t>
      </w:r>
      <w:r>
        <w:rPr>
          <w:spacing w:val="-4"/>
          <w:sz w:val="10"/>
        </w:rPr>
        <w:t xml:space="preserve"> </w:t>
      </w:r>
      <w:r>
        <w:rPr>
          <w:sz w:val="10"/>
        </w:rPr>
        <w:t>Centro</w:t>
      </w:r>
      <w:r>
        <w:rPr>
          <w:spacing w:val="-5"/>
          <w:sz w:val="10"/>
        </w:rPr>
        <w:t xml:space="preserve"> </w:t>
      </w:r>
      <w:r>
        <w:rPr>
          <w:sz w:val="10"/>
        </w:rPr>
        <w:t>Europeo</w:t>
      </w:r>
      <w:r>
        <w:rPr>
          <w:spacing w:val="-5"/>
          <w:sz w:val="10"/>
        </w:rPr>
        <w:t xml:space="preserve"> </w:t>
      </w:r>
      <w:r>
        <w:rPr>
          <w:sz w:val="10"/>
        </w:rPr>
        <w:t>de</w:t>
      </w:r>
      <w:r>
        <w:rPr>
          <w:spacing w:val="-5"/>
          <w:sz w:val="10"/>
        </w:rPr>
        <w:t xml:space="preserve"> </w:t>
      </w:r>
      <w:r>
        <w:rPr>
          <w:sz w:val="10"/>
        </w:rPr>
        <w:t>Derechos</w:t>
      </w:r>
      <w:r>
        <w:rPr>
          <w:spacing w:val="-5"/>
          <w:sz w:val="10"/>
        </w:rPr>
        <w:t xml:space="preserve"> </w:t>
      </w:r>
      <w:r>
        <w:rPr>
          <w:sz w:val="10"/>
        </w:rPr>
        <w:t>de</w:t>
      </w:r>
      <w:r>
        <w:rPr>
          <w:spacing w:val="-5"/>
          <w:sz w:val="10"/>
        </w:rPr>
        <w:t xml:space="preserve"> </w:t>
      </w:r>
      <w:r>
        <w:rPr>
          <w:sz w:val="10"/>
        </w:rPr>
        <w:t>los</w:t>
      </w:r>
      <w:r>
        <w:rPr>
          <w:spacing w:val="-5"/>
          <w:sz w:val="10"/>
        </w:rPr>
        <w:t xml:space="preserve"> </w:t>
      </w:r>
      <w:r>
        <w:rPr>
          <w:sz w:val="10"/>
        </w:rPr>
        <w:t>Romaníes,</w:t>
      </w:r>
      <w:r>
        <w:rPr>
          <w:spacing w:val="-4"/>
          <w:sz w:val="10"/>
        </w:rPr>
        <w:t xml:space="preserve"> </w:t>
      </w:r>
      <w:r>
        <w:rPr>
          <w:sz w:val="10"/>
        </w:rPr>
        <w:t>3</w:t>
      </w:r>
      <w:r>
        <w:rPr>
          <w:spacing w:val="-5"/>
          <w:sz w:val="10"/>
        </w:rPr>
        <w:t xml:space="preserve"> </w:t>
      </w:r>
      <w:r>
        <w:rPr>
          <w:sz w:val="10"/>
        </w:rPr>
        <w:t>de</w:t>
      </w:r>
      <w:r>
        <w:rPr>
          <w:spacing w:val="-5"/>
          <w:sz w:val="10"/>
        </w:rPr>
        <w:t xml:space="preserve"> </w:t>
      </w:r>
      <w:r>
        <w:rPr>
          <w:sz w:val="10"/>
        </w:rPr>
        <w:t>octubre</w:t>
      </w:r>
      <w:r>
        <w:rPr>
          <w:spacing w:val="-5"/>
          <w:sz w:val="10"/>
        </w:rPr>
        <w:t xml:space="preserve"> </w:t>
      </w:r>
      <w:r>
        <w:rPr>
          <w:sz w:val="10"/>
        </w:rPr>
        <w:t>de</w:t>
      </w:r>
      <w:r>
        <w:rPr>
          <w:spacing w:val="-5"/>
          <w:sz w:val="10"/>
        </w:rPr>
        <w:t xml:space="preserve"> </w:t>
      </w:r>
      <w:r>
        <w:rPr>
          <w:sz w:val="10"/>
        </w:rPr>
        <w:t>2000,</w:t>
      </w:r>
      <w:r>
        <w:rPr>
          <w:spacing w:val="-5"/>
          <w:sz w:val="10"/>
        </w:rPr>
        <w:t xml:space="preserve"> </w:t>
      </w:r>
      <w:r>
        <w:rPr>
          <w:sz w:val="10"/>
        </w:rPr>
        <w:t>y</w:t>
      </w:r>
      <w:r>
        <w:rPr>
          <w:spacing w:val="-5"/>
          <w:sz w:val="10"/>
        </w:rPr>
        <w:t xml:space="preserve"> </w:t>
      </w:r>
      <w:r>
        <w:rPr>
          <w:sz w:val="10"/>
        </w:rPr>
        <w:t>ejemplos</w:t>
      </w:r>
      <w:r>
        <w:rPr>
          <w:spacing w:val="-5"/>
          <w:sz w:val="10"/>
        </w:rPr>
        <w:t xml:space="preserve"> </w:t>
      </w:r>
      <w:r>
        <w:rPr>
          <w:sz w:val="10"/>
        </w:rPr>
        <w:t>de</w:t>
      </w:r>
      <w:r>
        <w:rPr>
          <w:spacing w:val="-5"/>
          <w:sz w:val="10"/>
        </w:rPr>
        <w:t xml:space="preserve"> </w:t>
      </w:r>
      <w:r>
        <w:rPr>
          <w:sz w:val="10"/>
        </w:rPr>
        <w:t>la</w:t>
      </w:r>
      <w:r>
        <w:rPr>
          <w:spacing w:val="40"/>
          <w:sz w:val="10"/>
        </w:rPr>
        <w:t xml:space="preserve"> </w:t>
      </w:r>
      <w:r>
        <w:rPr>
          <w:sz w:val="10"/>
        </w:rPr>
        <w:t>práctica jurídica nacional.</w:t>
      </w:r>
    </w:p>
    <w:p w14:paraId="0866E97C" w14:textId="77777777" w:rsidR="0014798C" w:rsidRDefault="004E1F0B">
      <w:pPr>
        <w:spacing w:line="268" w:lineRule="auto"/>
        <w:ind w:left="1367" w:right="1463" w:hanging="1"/>
        <w:rPr>
          <w:sz w:val="14"/>
        </w:rPr>
      </w:pPr>
      <w:r>
        <w:rPr>
          <w:sz w:val="14"/>
        </w:rPr>
        <w:t>citado</w:t>
      </w:r>
      <w:r>
        <w:rPr>
          <w:spacing w:val="-8"/>
          <w:sz w:val="14"/>
        </w:rPr>
        <w:t xml:space="preserve"> </w:t>
      </w:r>
      <w:r>
        <w:rPr>
          <w:sz w:val="14"/>
        </w:rPr>
        <w:t>en</w:t>
      </w:r>
      <w:r>
        <w:rPr>
          <w:spacing w:val="-7"/>
          <w:sz w:val="14"/>
        </w:rPr>
        <w:t xml:space="preserve"> </w:t>
      </w:r>
      <w:r>
        <w:rPr>
          <w:sz w:val="14"/>
        </w:rPr>
        <w:t>el</w:t>
      </w:r>
      <w:r>
        <w:rPr>
          <w:spacing w:val="-7"/>
          <w:sz w:val="14"/>
        </w:rPr>
        <w:t xml:space="preserve"> </w:t>
      </w:r>
      <w:r>
        <w:rPr>
          <w:sz w:val="14"/>
        </w:rPr>
        <w:t>mismo.</w:t>
      </w:r>
      <w:r>
        <w:rPr>
          <w:spacing w:val="-7"/>
          <w:sz w:val="14"/>
        </w:rPr>
        <w:t xml:space="preserve"> </w:t>
      </w:r>
      <w:r>
        <w:rPr>
          <w:sz w:val="14"/>
        </w:rPr>
        <w:t>Disponible</w:t>
      </w:r>
      <w:r>
        <w:rPr>
          <w:spacing w:val="-7"/>
          <w:sz w:val="14"/>
        </w:rPr>
        <w:t xml:space="preserve"> </w:t>
      </w:r>
      <w:r>
        <w:rPr>
          <w:sz w:val="14"/>
        </w:rPr>
        <w:t>en</w:t>
      </w:r>
      <w:r>
        <w:rPr>
          <w:spacing w:val="-7"/>
          <w:sz w:val="14"/>
        </w:rPr>
        <w:t xml:space="preserve"> </w:t>
      </w:r>
      <w:hyperlink r:id="rId197">
        <w:r>
          <w:rPr>
            <w:color w:val="0075BF"/>
            <w:sz w:val="14"/>
          </w:rPr>
          <w:t>www.errc.org/roma-rights-journal/testing-to-prove-racial-discrimination-methodology-and-application-in-</w:t>
        </w:r>
      </w:hyperlink>
      <w:r>
        <w:rPr>
          <w:color w:val="0075BF"/>
          <w:spacing w:val="40"/>
          <w:sz w:val="14"/>
        </w:rPr>
        <w:t xml:space="preserve"> </w:t>
      </w:r>
      <w:proofErr w:type="spellStart"/>
      <w:proofErr w:type="gramStart"/>
      <w:r>
        <w:rPr>
          <w:color w:val="0075BF"/>
          <w:sz w:val="14"/>
        </w:rPr>
        <w:t>ungary</w:t>
      </w:r>
      <w:proofErr w:type="spellEnd"/>
      <w:r>
        <w:rPr>
          <w:color w:val="0075BF"/>
          <w:spacing w:val="-2"/>
          <w:sz w:val="14"/>
        </w:rPr>
        <w:t xml:space="preserve"> </w:t>
      </w:r>
      <w:r>
        <w:rPr>
          <w:color w:val="0075BF"/>
          <w:sz w:val="14"/>
        </w:rPr>
        <w:t>.</w:t>
      </w:r>
      <w:proofErr w:type="gramEnd"/>
    </w:p>
    <w:p w14:paraId="6F17F2B1" w14:textId="77777777" w:rsidR="0014798C" w:rsidRDefault="0014798C">
      <w:pPr>
        <w:spacing w:line="268" w:lineRule="auto"/>
        <w:rPr>
          <w:sz w:val="14"/>
        </w:rPr>
        <w:sectPr w:rsidR="0014798C" w:rsidSect="00F265E4">
          <w:type w:val="continuous"/>
          <w:pgSz w:w="11900" w:h="16820"/>
          <w:pgMar w:top="40" w:right="0" w:bottom="280" w:left="200" w:header="121" w:footer="0" w:gutter="0"/>
          <w:cols w:space="720"/>
        </w:sectPr>
      </w:pPr>
    </w:p>
    <w:p w14:paraId="04C6566F" w14:textId="77777777" w:rsidR="0014798C" w:rsidRDefault="004E1F0B">
      <w:pPr>
        <w:spacing w:before="56"/>
        <w:jc w:val="right"/>
        <w:rPr>
          <w:sz w:val="8"/>
        </w:rPr>
      </w:pPr>
      <w:r>
        <w:rPr>
          <w:spacing w:val="-5"/>
          <w:w w:val="105"/>
          <w:sz w:val="8"/>
        </w:rPr>
        <w:t>701</w:t>
      </w:r>
    </w:p>
    <w:p w14:paraId="47EE839E" w14:textId="77777777" w:rsidR="0014798C" w:rsidRDefault="0014798C">
      <w:pPr>
        <w:pStyle w:val="Textoindependiente"/>
        <w:spacing w:before="52"/>
        <w:rPr>
          <w:sz w:val="8"/>
        </w:rPr>
      </w:pPr>
    </w:p>
    <w:p w14:paraId="243C0D15" w14:textId="77777777" w:rsidR="0014798C" w:rsidRDefault="004E1F0B">
      <w:pPr>
        <w:jc w:val="right"/>
        <w:rPr>
          <w:sz w:val="8"/>
        </w:rPr>
      </w:pPr>
      <w:r>
        <w:rPr>
          <w:spacing w:val="-5"/>
          <w:w w:val="105"/>
          <w:sz w:val="8"/>
        </w:rPr>
        <w:t>702</w:t>
      </w:r>
    </w:p>
    <w:p w14:paraId="2ECE9973" w14:textId="77777777" w:rsidR="0014798C" w:rsidRDefault="0014798C">
      <w:pPr>
        <w:pStyle w:val="Textoindependiente"/>
        <w:rPr>
          <w:sz w:val="8"/>
        </w:rPr>
      </w:pPr>
    </w:p>
    <w:p w14:paraId="46E19ACE" w14:textId="77777777" w:rsidR="0014798C" w:rsidRDefault="0014798C">
      <w:pPr>
        <w:pStyle w:val="Textoindependiente"/>
        <w:rPr>
          <w:sz w:val="8"/>
        </w:rPr>
      </w:pPr>
    </w:p>
    <w:p w14:paraId="57FCBC5B" w14:textId="77777777" w:rsidR="0014798C" w:rsidRDefault="0014798C">
      <w:pPr>
        <w:pStyle w:val="Textoindependiente"/>
        <w:spacing w:before="49"/>
        <w:rPr>
          <w:sz w:val="8"/>
        </w:rPr>
      </w:pPr>
    </w:p>
    <w:p w14:paraId="15D2E200" w14:textId="77777777" w:rsidR="0014798C" w:rsidRDefault="004E1F0B">
      <w:pPr>
        <w:jc w:val="right"/>
        <w:rPr>
          <w:sz w:val="8"/>
        </w:rPr>
      </w:pPr>
      <w:r>
        <w:rPr>
          <w:spacing w:val="-5"/>
          <w:w w:val="105"/>
          <w:sz w:val="8"/>
        </w:rPr>
        <w:t>703</w:t>
      </w:r>
    </w:p>
    <w:p w14:paraId="5634E5E7" w14:textId="77777777" w:rsidR="0014798C" w:rsidRDefault="004E1F0B">
      <w:pPr>
        <w:spacing w:before="68"/>
        <w:ind w:left="80"/>
        <w:jc w:val="both"/>
        <w:rPr>
          <w:sz w:val="13"/>
        </w:rPr>
      </w:pPr>
      <w:r>
        <w:br w:type="column"/>
      </w:r>
      <w:r>
        <w:rPr>
          <w:sz w:val="13"/>
        </w:rPr>
        <w:t>Véase,</w:t>
      </w:r>
      <w:r>
        <w:rPr>
          <w:spacing w:val="-9"/>
          <w:sz w:val="13"/>
        </w:rPr>
        <w:t xml:space="preserve"> </w:t>
      </w:r>
      <w:r>
        <w:rPr>
          <w:sz w:val="13"/>
        </w:rPr>
        <w:t>por</w:t>
      </w:r>
      <w:r>
        <w:rPr>
          <w:spacing w:val="-8"/>
          <w:sz w:val="13"/>
        </w:rPr>
        <w:t xml:space="preserve"> </w:t>
      </w:r>
      <w:r>
        <w:rPr>
          <w:sz w:val="13"/>
        </w:rPr>
        <w:t>ejemplo,</w:t>
      </w:r>
      <w:r>
        <w:rPr>
          <w:spacing w:val="-8"/>
          <w:sz w:val="13"/>
        </w:rPr>
        <w:t xml:space="preserve"> </w:t>
      </w:r>
      <w:r>
        <w:rPr>
          <w:sz w:val="13"/>
        </w:rPr>
        <w:t>Tribunal</w:t>
      </w:r>
      <w:r>
        <w:rPr>
          <w:spacing w:val="-8"/>
          <w:sz w:val="13"/>
        </w:rPr>
        <w:t xml:space="preserve"> </w:t>
      </w:r>
      <w:r>
        <w:rPr>
          <w:sz w:val="13"/>
        </w:rPr>
        <w:t>Europeo</w:t>
      </w:r>
      <w:r>
        <w:rPr>
          <w:spacing w:val="-8"/>
          <w:sz w:val="13"/>
        </w:rPr>
        <w:t xml:space="preserve"> </w:t>
      </w:r>
      <w:r>
        <w:rPr>
          <w:sz w:val="13"/>
        </w:rPr>
        <w:t>de</w:t>
      </w:r>
      <w:r>
        <w:rPr>
          <w:spacing w:val="-9"/>
          <w:sz w:val="13"/>
        </w:rPr>
        <w:t xml:space="preserve"> </w:t>
      </w:r>
      <w:r>
        <w:rPr>
          <w:sz w:val="13"/>
        </w:rPr>
        <w:t>Derechos</w:t>
      </w:r>
      <w:r>
        <w:rPr>
          <w:spacing w:val="-8"/>
          <w:sz w:val="13"/>
        </w:rPr>
        <w:t xml:space="preserve"> </w:t>
      </w:r>
      <w:r>
        <w:rPr>
          <w:sz w:val="13"/>
        </w:rPr>
        <w:t>Humanos,</w:t>
      </w:r>
      <w:r>
        <w:rPr>
          <w:spacing w:val="-7"/>
          <w:sz w:val="13"/>
        </w:rPr>
        <w:t xml:space="preserve"> </w:t>
      </w:r>
      <w:proofErr w:type="spellStart"/>
      <w:r>
        <w:rPr>
          <w:sz w:val="13"/>
        </w:rPr>
        <w:t>Volodina</w:t>
      </w:r>
      <w:proofErr w:type="spellEnd"/>
      <w:r>
        <w:rPr>
          <w:spacing w:val="-9"/>
          <w:sz w:val="13"/>
        </w:rPr>
        <w:t xml:space="preserve"> </w:t>
      </w:r>
      <w:r>
        <w:rPr>
          <w:sz w:val="13"/>
        </w:rPr>
        <w:t>c.</w:t>
      </w:r>
      <w:r>
        <w:rPr>
          <w:spacing w:val="-8"/>
          <w:sz w:val="13"/>
        </w:rPr>
        <w:t xml:space="preserve"> </w:t>
      </w:r>
      <w:r>
        <w:rPr>
          <w:sz w:val="13"/>
        </w:rPr>
        <w:t>Rusia,</w:t>
      </w:r>
      <w:r>
        <w:rPr>
          <w:spacing w:val="-8"/>
          <w:sz w:val="13"/>
        </w:rPr>
        <w:t xml:space="preserve"> </w:t>
      </w:r>
      <w:r>
        <w:rPr>
          <w:sz w:val="13"/>
        </w:rPr>
        <w:t>solicitud</w:t>
      </w:r>
      <w:r>
        <w:rPr>
          <w:spacing w:val="-8"/>
          <w:sz w:val="13"/>
        </w:rPr>
        <w:t xml:space="preserve"> </w:t>
      </w:r>
      <w:r>
        <w:rPr>
          <w:sz w:val="13"/>
        </w:rPr>
        <w:t>n.º</w:t>
      </w:r>
      <w:r>
        <w:rPr>
          <w:spacing w:val="-8"/>
          <w:sz w:val="13"/>
        </w:rPr>
        <w:t xml:space="preserve"> </w:t>
      </w:r>
      <w:r>
        <w:rPr>
          <w:sz w:val="13"/>
        </w:rPr>
        <w:t>41261/17,</w:t>
      </w:r>
      <w:r>
        <w:rPr>
          <w:spacing w:val="-8"/>
          <w:sz w:val="13"/>
        </w:rPr>
        <w:t xml:space="preserve"> </w:t>
      </w:r>
      <w:r>
        <w:rPr>
          <w:sz w:val="13"/>
        </w:rPr>
        <w:t>sentencia</w:t>
      </w:r>
      <w:r>
        <w:rPr>
          <w:spacing w:val="-8"/>
          <w:sz w:val="13"/>
        </w:rPr>
        <w:t xml:space="preserve"> </w:t>
      </w:r>
      <w:r>
        <w:rPr>
          <w:sz w:val="13"/>
        </w:rPr>
        <w:t>de</w:t>
      </w:r>
      <w:r>
        <w:rPr>
          <w:spacing w:val="-8"/>
          <w:sz w:val="13"/>
        </w:rPr>
        <w:t xml:space="preserve"> </w:t>
      </w:r>
      <w:r>
        <w:rPr>
          <w:sz w:val="13"/>
        </w:rPr>
        <w:t>9</w:t>
      </w:r>
      <w:r>
        <w:rPr>
          <w:spacing w:val="-9"/>
          <w:sz w:val="13"/>
        </w:rPr>
        <w:t xml:space="preserve"> </w:t>
      </w:r>
      <w:r>
        <w:rPr>
          <w:sz w:val="13"/>
        </w:rPr>
        <w:t>de</w:t>
      </w:r>
      <w:r>
        <w:rPr>
          <w:spacing w:val="-8"/>
          <w:sz w:val="13"/>
        </w:rPr>
        <w:t xml:space="preserve"> </w:t>
      </w:r>
      <w:r>
        <w:rPr>
          <w:sz w:val="13"/>
        </w:rPr>
        <w:t>julio</w:t>
      </w:r>
      <w:r>
        <w:rPr>
          <w:spacing w:val="-8"/>
          <w:sz w:val="13"/>
        </w:rPr>
        <w:t xml:space="preserve"> </w:t>
      </w:r>
      <w:r>
        <w:rPr>
          <w:sz w:val="13"/>
        </w:rPr>
        <w:t>de</w:t>
      </w:r>
      <w:r>
        <w:rPr>
          <w:spacing w:val="-9"/>
          <w:sz w:val="13"/>
        </w:rPr>
        <w:t xml:space="preserve"> </w:t>
      </w:r>
      <w:r>
        <w:rPr>
          <w:spacing w:val="-2"/>
          <w:sz w:val="13"/>
        </w:rPr>
        <w:t>2019.</w:t>
      </w:r>
    </w:p>
    <w:p w14:paraId="4664A8D5" w14:textId="77777777" w:rsidR="0014798C" w:rsidRDefault="004E1F0B">
      <w:pPr>
        <w:spacing w:before="87" w:line="288" w:lineRule="auto"/>
        <w:ind w:left="76" w:right="1861" w:firstLine="1"/>
        <w:jc w:val="both"/>
        <w:rPr>
          <w:sz w:val="13"/>
        </w:rPr>
      </w:pPr>
      <w:r>
        <w:rPr>
          <w:sz w:val="13"/>
        </w:rPr>
        <w:t>Tribunal</w:t>
      </w:r>
      <w:r>
        <w:rPr>
          <w:spacing w:val="-5"/>
          <w:sz w:val="13"/>
        </w:rPr>
        <w:t xml:space="preserve"> </w:t>
      </w:r>
      <w:r>
        <w:rPr>
          <w:sz w:val="13"/>
        </w:rPr>
        <w:t>Europeo</w:t>
      </w:r>
      <w:r>
        <w:rPr>
          <w:spacing w:val="-5"/>
          <w:sz w:val="13"/>
        </w:rPr>
        <w:t xml:space="preserve"> </w:t>
      </w:r>
      <w:r>
        <w:rPr>
          <w:sz w:val="13"/>
        </w:rPr>
        <w:t>de</w:t>
      </w:r>
      <w:r>
        <w:rPr>
          <w:spacing w:val="-5"/>
          <w:sz w:val="13"/>
        </w:rPr>
        <w:t xml:space="preserve"> </w:t>
      </w:r>
      <w:r>
        <w:rPr>
          <w:sz w:val="13"/>
        </w:rPr>
        <w:t>Derechos</w:t>
      </w:r>
      <w:r>
        <w:rPr>
          <w:spacing w:val="-5"/>
          <w:sz w:val="13"/>
        </w:rPr>
        <w:t xml:space="preserve"> </w:t>
      </w:r>
      <w:r>
        <w:rPr>
          <w:sz w:val="13"/>
        </w:rPr>
        <w:t>Humanos,</w:t>
      </w:r>
      <w:r>
        <w:rPr>
          <w:spacing w:val="-4"/>
          <w:sz w:val="13"/>
        </w:rPr>
        <w:t xml:space="preserve"> </w:t>
      </w:r>
      <w:r>
        <w:rPr>
          <w:sz w:val="13"/>
        </w:rPr>
        <w:t>DH</w:t>
      </w:r>
      <w:r>
        <w:rPr>
          <w:spacing w:val="-5"/>
          <w:sz w:val="13"/>
        </w:rPr>
        <w:t xml:space="preserve"> </w:t>
      </w:r>
      <w:r>
        <w:rPr>
          <w:sz w:val="13"/>
        </w:rPr>
        <w:t>y</w:t>
      </w:r>
      <w:r>
        <w:rPr>
          <w:spacing w:val="-5"/>
          <w:sz w:val="13"/>
        </w:rPr>
        <w:t xml:space="preserve"> </w:t>
      </w:r>
      <w:r>
        <w:rPr>
          <w:sz w:val="13"/>
        </w:rPr>
        <w:t>otros</w:t>
      </w:r>
      <w:r>
        <w:rPr>
          <w:spacing w:val="-5"/>
          <w:sz w:val="13"/>
        </w:rPr>
        <w:t xml:space="preserve"> </w:t>
      </w:r>
      <w:r>
        <w:rPr>
          <w:sz w:val="13"/>
        </w:rPr>
        <w:t>contra</w:t>
      </w:r>
      <w:r>
        <w:rPr>
          <w:spacing w:val="-5"/>
          <w:sz w:val="13"/>
        </w:rPr>
        <w:t xml:space="preserve"> </w:t>
      </w:r>
      <w:r>
        <w:rPr>
          <w:sz w:val="13"/>
        </w:rPr>
        <w:t>la</w:t>
      </w:r>
      <w:r>
        <w:rPr>
          <w:spacing w:val="-5"/>
          <w:sz w:val="13"/>
        </w:rPr>
        <w:t xml:space="preserve"> </w:t>
      </w:r>
      <w:r>
        <w:rPr>
          <w:sz w:val="13"/>
        </w:rPr>
        <w:t>República</w:t>
      </w:r>
      <w:r>
        <w:rPr>
          <w:spacing w:val="-5"/>
          <w:sz w:val="13"/>
        </w:rPr>
        <w:t xml:space="preserve"> </w:t>
      </w:r>
      <w:r>
        <w:rPr>
          <w:sz w:val="13"/>
        </w:rPr>
        <w:t>Checa,</w:t>
      </w:r>
      <w:r>
        <w:rPr>
          <w:spacing w:val="-4"/>
          <w:sz w:val="13"/>
        </w:rPr>
        <w:t xml:space="preserve"> </w:t>
      </w:r>
      <w:r>
        <w:rPr>
          <w:sz w:val="13"/>
        </w:rPr>
        <w:t>Solicitud</w:t>
      </w:r>
      <w:r>
        <w:rPr>
          <w:spacing w:val="-5"/>
          <w:sz w:val="13"/>
        </w:rPr>
        <w:t xml:space="preserve"> </w:t>
      </w:r>
      <w:r>
        <w:rPr>
          <w:sz w:val="13"/>
        </w:rPr>
        <w:t>No.</w:t>
      </w:r>
      <w:r>
        <w:rPr>
          <w:spacing w:val="-5"/>
          <w:sz w:val="13"/>
        </w:rPr>
        <w:t xml:space="preserve"> </w:t>
      </w:r>
      <w:r>
        <w:rPr>
          <w:sz w:val="13"/>
        </w:rPr>
        <w:t>57325/00,</w:t>
      </w:r>
      <w:r>
        <w:rPr>
          <w:spacing w:val="-4"/>
          <w:sz w:val="13"/>
        </w:rPr>
        <w:t xml:space="preserve"> </w:t>
      </w:r>
      <w:r>
        <w:rPr>
          <w:sz w:val="13"/>
        </w:rPr>
        <w:t>Sentencia,</w:t>
      </w:r>
      <w:r>
        <w:rPr>
          <w:spacing w:val="-4"/>
          <w:sz w:val="13"/>
        </w:rPr>
        <w:t xml:space="preserve"> </w:t>
      </w:r>
      <w:r>
        <w:rPr>
          <w:sz w:val="13"/>
        </w:rPr>
        <w:t>13</w:t>
      </w:r>
      <w:r>
        <w:rPr>
          <w:spacing w:val="-5"/>
          <w:sz w:val="13"/>
        </w:rPr>
        <w:t xml:space="preserve"> </w:t>
      </w:r>
      <w:r>
        <w:rPr>
          <w:sz w:val="13"/>
        </w:rPr>
        <w:t>de</w:t>
      </w:r>
      <w:r>
        <w:rPr>
          <w:spacing w:val="-5"/>
          <w:sz w:val="13"/>
        </w:rPr>
        <w:t xml:space="preserve"> </w:t>
      </w:r>
      <w:r>
        <w:rPr>
          <w:sz w:val="13"/>
        </w:rPr>
        <w:t>noviembre</w:t>
      </w:r>
      <w:r>
        <w:rPr>
          <w:spacing w:val="-5"/>
          <w:sz w:val="13"/>
        </w:rPr>
        <w:t xml:space="preserve"> </w:t>
      </w:r>
      <w:r>
        <w:rPr>
          <w:sz w:val="13"/>
        </w:rPr>
        <w:t>de</w:t>
      </w:r>
      <w:r>
        <w:rPr>
          <w:spacing w:val="-5"/>
          <w:sz w:val="13"/>
        </w:rPr>
        <w:t xml:space="preserve"> </w:t>
      </w:r>
      <w:r>
        <w:rPr>
          <w:sz w:val="13"/>
        </w:rPr>
        <w:t>2007,</w:t>
      </w:r>
      <w:r>
        <w:rPr>
          <w:spacing w:val="-5"/>
          <w:sz w:val="13"/>
        </w:rPr>
        <w:t xml:space="preserve"> </w:t>
      </w:r>
      <w:r>
        <w:rPr>
          <w:sz w:val="13"/>
        </w:rPr>
        <w:t>párr.</w:t>
      </w:r>
      <w:r>
        <w:rPr>
          <w:spacing w:val="40"/>
          <w:sz w:val="13"/>
        </w:rPr>
        <w:t xml:space="preserve"> </w:t>
      </w:r>
      <w:r>
        <w:rPr>
          <w:spacing w:val="-4"/>
          <w:sz w:val="13"/>
        </w:rPr>
        <w:t>178.</w:t>
      </w:r>
    </w:p>
    <w:p w14:paraId="1EADCC05" w14:textId="77777777" w:rsidR="0014798C" w:rsidRDefault="004E1F0B">
      <w:pPr>
        <w:spacing w:before="57" w:line="288" w:lineRule="auto"/>
        <w:ind w:left="68" w:right="1719" w:firstLine="11"/>
        <w:jc w:val="both"/>
        <w:rPr>
          <w:sz w:val="13"/>
        </w:rPr>
      </w:pPr>
      <w:r>
        <w:rPr>
          <w:sz w:val="13"/>
        </w:rPr>
        <w:t>Véase,</w:t>
      </w:r>
      <w:r>
        <w:rPr>
          <w:spacing w:val="-4"/>
          <w:sz w:val="13"/>
        </w:rPr>
        <w:t xml:space="preserve"> </w:t>
      </w:r>
      <w:r>
        <w:rPr>
          <w:sz w:val="13"/>
        </w:rPr>
        <w:t>por</w:t>
      </w:r>
      <w:r>
        <w:rPr>
          <w:spacing w:val="-4"/>
          <w:sz w:val="13"/>
        </w:rPr>
        <w:t xml:space="preserve"> </w:t>
      </w:r>
      <w:r>
        <w:rPr>
          <w:sz w:val="13"/>
        </w:rPr>
        <w:t>ejemplo,</w:t>
      </w:r>
      <w:r>
        <w:rPr>
          <w:spacing w:val="-3"/>
          <w:sz w:val="13"/>
        </w:rPr>
        <w:t xml:space="preserve"> </w:t>
      </w:r>
      <w:r>
        <w:rPr>
          <w:sz w:val="13"/>
        </w:rPr>
        <w:t>Tribunal</w:t>
      </w:r>
      <w:r>
        <w:rPr>
          <w:spacing w:val="-4"/>
          <w:sz w:val="13"/>
        </w:rPr>
        <w:t xml:space="preserve"> </w:t>
      </w:r>
      <w:r>
        <w:rPr>
          <w:sz w:val="13"/>
        </w:rPr>
        <w:t>Europeo</w:t>
      </w:r>
      <w:r>
        <w:rPr>
          <w:spacing w:val="-4"/>
          <w:sz w:val="13"/>
        </w:rPr>
        <w:t xml:space="preserve"> </w:t>
      </w:r>
      <w:r>
        <w:rPr>
          <w:sz w:val="13"/>
        </w:rPr>
        <w:t>de</w:t>
      </w:r>
      <w:r>
        <w:rPr>
          <w:spacing w:val="-4"/>
          <w:sz w:val="13"/>
        </w:rPr>
        <w:t xml:space="preserve"> </w:t>
      </w:r>
      <w:r>
        <w:rPr>
          <w:sz w:val="13"/>
        </w:rPr>
        <w:t>Derechos</w:t>
      </w:r>
      <w:r>
        <w:rPr>
          <w:spacing w:val="-4"/>
          <w:sz w:val="13"/>
        </w:rPr>
        <w:t xml:space="preserve"> </w:t>
      </w:r>
      <w:r>
        <w:rPr>
          <w:sz w:val="13"/>
        </w:rPr>
        <w:t>Humanos,</w:t>
      </w:r>
      <w:r>
        <w:rPr>
          <w:spacing w:val="-3"/>
          <w:sz w:val="13"/>
        </w:rPr>
        <w:t xml:space="preserve"> </w:t>
      </w:r>
      <w:r>
        <w:rPr>
          <w:sz w:val="13"/>
        </w:rPr>
        <w:t>Carvalho</w:t>
      </w:r>
      <w:r>
        <w:rPr>
          <w:spacing w:val="-4"/>
          <w:sz w:val="13"/>
        </w:rPr>
        <w:t xml:space="preserve"> </w:t>
      </w:r>
      <w:r>
        <w:rPr>
          <w:sz w:val="13"/>
        </w:rPr>
        <w:t>Pinto</w:t>
      </w:r>
      <w:r>
        <w:rPr>
          <w:spacing w:val="-4"/>
          <w:sz w:val="13"/>
        </w:rPr>
        <w:t xml:space="preserve"> </w:t>
      </w:r>
      <w:r>
        <w:rPr>
          <w:sz w:val="13"/>
        </w:rPr>
        <w:t>de</w:t>
      </w:r>
      <w:r>
        <w:rPr>
          <w:spacing w:val="-4"/>
          <w:sz w:val="13"/>
        </w:rPr>
        <w:t xml:space="preserve"> </w:t>
      </w:r>
      <w:r>
        <w:rPr>
          <w:sz w:val="13"/>
        </w:rPr>
        <w:t>Sousa</w:t>
      </w:r>
      <w:r>
        <w:rPr>
          <w:spacing w:val="-4"/>
          <w:sz w:val="13"/>
        </w:rPr>
        <w:t xml:space="preserve"> </w:t>
      </w:r>
      <w:r>
        <w:rPr>
          <w:sz w:val="13"/>
        </w:rPr>
        <w:t>Morais</w:t>
      </w:r>
      <w:r>
        <w:rPr>
          <w:spacing w:val="-4"/>
          <w:sz w:val="13"/>
        </w:rPr>
        <w:t xml:space="preserve"> </w:t>
      </w:r>
      <w:r>
        <w:rPr>
          <w:sz w:val="13"/>
        </w:rPr>
        <w:t>c.</w:t>
      </w:r>
      <w:r>
        <w:rPr>
          <w:spacing w:val="-4"/>
          <w:sz w:val="13"/>
        </w:rPr>
        <w:t xml:space="preserve"> </w:t>
      </w:r>
      <w:r>
        <w:rPr>
          <w:sz w:val="13"/>
        </w:rPr>
        <w:t>Portugal,</w:t>
      </w:r>
      <w:r>
        <w:rPr>
          <w:spacing w:val="-3"/>
          <w:sz w:val="13"/>
        </w:rPr>
        <w:t xml:space="preserve"> </w:t>
      </w:r>
      <w:r>
        <w:rPr>
          <w:sz w:val="13"/>
        </w:rPr>
        <w:t>solicitud</w:t>
      </w:r>
      <w:r>
        <w:rPr>
          <w:spacing w:val="-4"/>
          <w:sz w:val="13"/>
        </w:rPr>
        <w:t xml:space="preserve"> </w:t>
      </w:r>
      <w:r>
        <w:rPr>
          <w:sz w:val="13"/>
        </w:rPr>
        <w:t>n.º</w:t>
      </w:r>
      <w:r>
        <w:rPr>
          <w:spacing w:val="-4"/>
          <w:sz w:val="13"/>
        </w:rPr>
        <w:t xml:space="preserve"> </w:t>
      </w:r>
      <w:r>
        <w:rPr>
          <w:sz w:val="13"/>
        </w:rPr>
        <w:t>17484/15,</w:t>
      </w:r>
      <w:r>
        <w:rPr>
          <w:spacing w:val="-3"/>
          <w:sz w:val="13"/>
        </w:rPr>
        <w:t xml:space="preserve"> </w:t>
      </w:r>
      <w:r>
        <w:rPr>
          <w:sz w:val="13"/>
        </w:rPr>
        <w:t>sentencia</w:t>
      </w:r>
      <w:r>
        <w:rPr>
          <w:spacing w:val="-4"/>
          <w:sz w:val="13"/>
        </w:rPr>
        <w:t xml:space="preserve"> </w:t>
      </w:r>
      <w:r>
        <w:rPr>
          <w:sz w:val="13"/>
        </w:rPr>
        <w:t>de</w:t>
      </w:r>
      <w:r>
        <w:rPr>
          <w:spacing w:val="-4"/>
          <w:sz w:val="13"/>
        </w:rPr>
        <w:t xml:space="preserve"> </w:t>
      </w:r>
      <w:r>
        <w:rPr>
          <w:sz w:val="13"/>
        </w:rPr>
        <w:t>25</w:t>
      </w:r>
      <w:r>
        <w:rPr>
          <w:spacing w:val="-4"/>
          <w:sz w:val="13"/>
        </w:rPr>
        <w:t xml:space="preserve"> </w:t>
      </w:r>
      <w:r>
        <w:rPr>
          <w:sz w:val="13"/>
        </w:rPr>
        <w:t>de</w:t>
      </w:r>
      <w:r>
        <w:rPr>
          <w:spacing w:val="40"/>
          <w:sz w:val="13"/>
        </w:rPr>
        <w:t xml:space="preserve"> </w:t>
      </w:r>
      <w:r>
        <w:rPr>
          <w:sz w:val="13"/>
        </w:rPr>
        <w:t>julio</w:t>
      </w:r>
      <w:r>
        <w:rPr>
          <w:spacing w:val="-8"/>
          <w:sz w:val="13"/>
        </w:rPr>
        <w:t xml:space="preserve"> </w:t>
      </w:r>
      <w:r>
        <w:rPr>
          <w:sz w:val="13"/>
        </w:rPr>
        <w:t>de</w:t>
      </w:r>
      <w:r>
        <w:rPr>
          <w:spacing w:val="-8"/>
          <w:sz w:val="13"/>
        </w:rPr>
        <w:t xml:space="preserve"> </w:t>
      </w:r>
      <w:r>
        <w:rPr>
          <w:sz w:val="13"/>
        </w:rPr>
        <w:t>2017,</w:t>
      </w:r>
      <w:r>
        <w:rPr>
          <w:spacing w:val="-8"/>
          <w:sz w:val="13"/>
        </w:rPr>
        <w:t xml:space="preserve"> </w:t>
      </w:r>
      <w:r>
        <w:rPr>
          <w:sz w:val="13"/>
        </w:rPr>
        <w:t>párr.</w:t>
      </w:r>
      <w:r>
        <w:rPr>
          <w:spacing w:val="-8"/>
          <w:sz w:val="13"/>
        </w:rPr>
        <w:t xml:space="preserve"> </w:t>
      </w:r>
      <w:r>
        <w:rPr>
          <w:sz w:val="13"/>
        </w:rPr>
        <w:t>54;</w:t>
      </w:r>
      <w:r>
        <w:rPr>
          <w:spacing w:val="-8"/>
          <w:sz w:val="13"/>
        </w:rPr>
        <w:t xml:space="preserve"> </w:t>
      </w:r>
      <w:r>
        <w:rPr>
          <w:sz w:val="13"/>
        </w:rPr>
        <w:t>y</w:t>
      </w:r>
      <w:r>
        <w:rPr>
          <w:spacing w:val="-8"/>
          <w:sz w:val="13"/>
        </w:rPr>
        <w:t xml:space="preserve"> </w:t>
      </w:r>
      <w:r>
        <w:rPr>
          <w:sz w:val="13"/>
        </w:rPr>
        <w:t>Corte</w:t>
      </w:r>
      <w:r>
        <w:rPr>
          <w:spacing w:val="-8"/>
          <w:sz w:val="13"/>
        </w:rPr>
        <w:t xml:space="preserve"> </w:t>
      </w:r>
      <w:r>
        <w:rPr>
          <w:sz w:val="13"/>
        </w:rPr>
        <w:t>Interamericana</w:t>
      </w:r>
      <w:r>
        <w:rPr>
          <w:spacing w:val="-8"/>
          <w:sz w:val="13"/>
        </w:rPr>
        <w:t xml:space="preserve"> </w:t>
      </w:r>
      <w:r>
        <w:rPr>
          <w:sz w:val="13"/>
        </w:rPr>
        <w:t>de</w:t>
      </w:r>
      <w:r>
        <w:rPr>
          <w:spacing w:val="-8"/>
          <w:sz w:val="13"/>
        </w:rPr>
        <w:t xml:space="preserve"> </w:t>
      </w:r>
      <w:r>
        <w:rPr>
          <w:sz w:val="13"/>
        </w:rPr>
        <w:t>Derechos</w:t>
      </w:r>
      <w:r>
        <w:rPr>
          <w:spacing w:val="-8"/>
          <w:sz w:val="13"/>
        </w:rPr>
        <w:t xml:space="preserve"> </w:t>
      </w:r>
      <w:r>
        <w:rPr>
          <w:sz w:val="13"/>
        </w:rPr>
        <w:t>Humanos,</w:t>
      </w:r>
      <w:r>
        <w:rPr>
          <w:spacing w:val="-7"/>
          <w:sz w:val="13"/>
        </w:rPr>
        <w:t xml:space="preserve"> </w:t>
      </w:r>
      <w:r>
        <w:rPr>
          <w:sz w:val="13"/>
        </w:rPr>
        <w:t>Caso</w:t>
      </w:r>
      <w:r>
        <w:rPr>
          <w:spacing w:val="-8"/>
          <w:sz w:val="13"/>
        </w:rPr>
        <w:t xml:space="preserve"> </w:t>
      </w:r>
      <w:r>
        <w:rPr>
          <w:sz w:val="13"/>
        </w:rPr>
        <w:t>de</w:t>
      </w:r>
      <w:r>
        <w:rPr>
          <w:spacing w:val="-8"/>
          <w:sz w:val="13"/>
        </w:rPr>
        <w:t xml:space="preserve"> </w:t>
      </w:r>
      <w:r>
        <w:rPr>
          <w:sz w:val="13"/>
        </w:rPr>
        <w:t>los</w:t>
      </w:r>
      <w:r>
        <w:rPr>
          <w:spacing w:val="-8"/>
          <w:sz w:val="13"/>
        </w:rPr>
        <w:t xml:space="preserve"> </w:t>
      </w:r>
      <w:r>
        <w:rPr>
          <w:sz w:val="13"/>
        </w:rPr>
        <w:t>Niños</w:t>
      </w:r>
      <w:r>
        <w:rPr>
          <w:spacing w:val="-8"/>
          <w:sz w:val="13"/>
        </w:rPr>
        <w:t xml:space="preserve"> </w:t>
      </w:r>
      <w:proofErr w:type="spellStart"/>
      <w:r>
        <w:rPr>
          <w:sz w:val="13"/>
        </w:rPr>
        <w:t>Yean</w:t>
      </w:r>
      <w:proofErr w:type="spellEnd"/>
      <w:r>
        <w:rPr>
          <w:spacing w:val="-8"/>
          <w:sz w:val="13"/>
        </w:rPr>
        <w:t xml:space="preserve"> </w:t>
      </w:r>
      <w:r>
        <w:rPr>
          <w:sz w:val="13"/>
        </w:rPr>
        <w:t>y</w:t>
      </w:r>
      <w:r>
        <w:rPr>
          <w:spacing w:val="-8"/>
          <w:sz w:val="13"/>
        </w:rPr>
        <w:t xml:space="preserve"> </w:t>
      </w:r>
      <w:proofErr w:type="spellStart"/>
      <w:r>
        <w:rPr>
          <w:sz w:val="13"/>
        </w:rPr>
        <w:t>Bosico</w:t>
      </w:r>
      <w:proofErr w:type="spellEnd"/>
      <w:r>
        <w:rPr>
          <w:spacing w:val="-8"/>
          <w:sz w:val="13"/>
        </w:rPr>
        <w:t xml:space="preserve"> </w:t>
      </w:r>
      <w:r>
        <w:rPr>
          <w:sz w:val="13"/>
        </w:rPr>
        <w:t>vs.</w:t>
      </w:r>
      <w:r>
        <w:rPr>
          <w:spacing w:val="-8"/>
          <w:sz w:val="13"/>
        </w:rPr>
        <w:t xml:space="preserve"> </w:t>
      </w:r>
      <w:r>
        <w:rPr>
          <w:sz w:val="13"/>
        </w:rPr>
        <w:t>República</w:t>
      </w:r>
      <w:r>
        <w:rPr>
          <w:spacing w:val="-8"/>
          <w:sz w:val="13"/>
        </w:rPr>
        <w:t xml:space="preserve"> </w:t>
      </w:r>
      <w:r>
        <w:rPr>
          <w:sz w:val="13"/>
        </w:rPr>
        <w:t>Dominicana,</w:t>
      </w:r>
      <w:r>
        <w:rPr>
          <w:spacing w:val="-7"/>
          <w:sz w:val="13"/>
        </w:rPr>
        <w:t xml:space="preserve"> </w:t>
      </w:r>
      <w:r>
        <w:rPr>
          <w:sz w:val="13"/>
        </w:rPr>
        <w:t>Sentencia</w:t>
      </w:r>
      <w:r>
        <w:rPr>
          <w:spacing w:val="-8"/>
          <w:sz w:val="13"/>
        </w:rPr>
        <w:t xml:space="preserve"> </w:t>
      </w:r>
      <w:r>
        <w:rPr>
          <w:sz w:val="13"/>
        </w:rPr>
        <w:t>de</w:t>
      </w:r>
      <w:r>
        <w:rPr>
          <w:spacing w:val="-8"/>
          <w:sz w:val="13"/>
        </w:rPr>
        <w:t xml:space="preserve"> </w:t>
      </w:r>
      <w:r>
        <w:rPr>
          <w:sz w:val="13"/>
        </w:rPr>
        <w:t>8</w:t>
      </w:r>
      <w:r>
        <w:rPr>
          <w:spacing w:val="-8"/>
          <w:sz w:val="13"/>
        </w:rPr>
        <w:t xml:space="preserve"> </w:t>
      </w:r>
      <w:r>
        <w:rPr>
          <w:sz w:val="13"/>
        </w:rPr>
        <w:t>de</w:t>
      </w:r>
      <w:r>
        <w:rPr>
          <w:spacing w:val="40"/>
          <w:sz w:val="13"/>
        </w:rPr>
        <w:t xml:space="preserve"> </w:t>
      </w:r>
      <w:r>
        <w:rPr>
          <w:sz w:val="13"/>
        </w:rPr>
        <w:t xml:space="preserve">septiembre de 2005, </w:t>
      </w:r>
      <w:proofErr w:type="spellStart"/>
      <w:r>
        <w:rPr>
          <w:sz w:val="13"/>
        </w:rPr>
        <w:t>párrs</w:t>
      </w:r>
      <w:proofErr w:type="spellEnd"/>
      <w:r>
        <w:rPr>
          <w:sz w:val="13"/>
        </w:rPr>
        <w:t>. 168–170.</w:t>
      </w:r>
    </w:p>
    <w:p w14:paraId="0C78B117" w14:textId="77777777" w:rsidR="0014798C" w:rsidRDefault="0014798C">
      <w:pPr>
        <w:spacing w:line="288" w:lineRule="auto"/>
        <w:jc w:val="both"/>
        <w:rPr>
          <w:sz w:val="13"/>
        </w:rPr>
        <w:sectPr w:rsidR="0014798C" w:rsidSect="00F265E4">
          <w:type w:val="continuous"/>
          <w:pgSz w:w="11900" w:h="16820"/>
          <w:pgMar w:top="40" w:right="0" w:bottom="280" w:left="200" w:header="121" w:footer="0" w:gutter="0"/>
          <w:cols w:num="2" w:space="720" w:equalWidth="0">
            <w:col w:w="1250" w:space="40"/>
            <w:col w:w="10410"/>
          </w:cols>
        </w:sectPr>
      </w:pPr>
    </w:p>
    <w:p w14:paraId="0D2E6798" w14:textId="77777777" w:rsidR="0014798C" w:rsidRDefault="0014798C">
      <w:pPr>
        <w:pStyle w:val="Textoindependiente"/>
        <w:rPr>
          <w:sz w:val="19"/>
        </w:rPr>
      </w:pPr>
    </w:p>
    <w:p w14:paraId="4848FA73" w14:textId="77777777" w:rsidR="0014798C" w:rsidRDefault="0014798C">
      <w:pPr>
        <w:pStyle w:val="Textoindependiente"/>
        <w:spacing w:before="162"/>
        <w:rPr>
          <w:sz w:val="19"/>
        </w:rPr>
      </w:pPr>
    </w:p>
    <w:p w14:paraId="32BCEB84" w14:textId="77777777" w:rsidR="0014798C" w:rsidRDefault="004E1F0B">
      <w:pPr>
        <w:ind w:left="554"/>
        <w:rPr>
          <w:sz w:val="19"/>
        </w:rPr>
      </w:pPr>
      <w:r>
        <w:rPr>
          <w:spacing w:val="-5"/>
          <w:sz w:val="19"/>
        </w:rPr>
        <w:t>96</w:t>
      </w:r>
    </w:p>
    <w:p w14:paraId="14A3E359" w14:textId="77777777" w:rsidR="0014798C" w:rsidRDefault="0014798C">
      <w:pPr>
        <w:rPr>
          <w:sz w:val="19"/>
        </w:rPr>
        <w:sectPr w:rsidR="0014798C" w:rsidSect="00F265E4">
          <w:type w:val="continuous"/>
          <w:pgSz w:w="11900" w:h="16820"/>
          <w:pgMar w:top="40" w:right="0" w:bottom="280" w:left="200" w:header="121" w:footer="0" w:gutter="0"/>
          <w:cols w:space="720"/>
        </w:sectPr>
      </w:pPr>
    </w:p>
    <w:p w14:paraId="6E55903E" w14:textId="77777777" w:rsidR="0014798C" w:rsidRDefault="0014798C">
      <w:pPr>
        <w:pStyle w:val="Textoindependiente"/>
        <w:spacing w:before="51"/>
        <w:rPr>
          <w:sz w:val="14"/>
        </w:rPr>
      </w:pPr>
    </w:p>
    <w:p w14:paraId="638B7C3A" w14:textId="77777777" w:rsidR="0014798C" w:rsidRDefault="004E1F0B">
      <w:pPr>
        <w:ind w:left="1111"/>
        <w:rPr>
          <w:sz w:val="14"/>
        </w:rPr>
      </w:pPr>
      <w:r>
        <w:rPr>
          <w:color w:val="00AC59"/>
          <w:sz w:val="14"/>
        </w:rPr>
        <w:t>SEGUNDA</w:t>
      </w:r>
      <w:r>
        <w:rPr>
          <w:color w:val="00AC59"/>
          <w:spacing w:val="-5"/>
          <w:sz w:val="14"/>
        </w:rPr>
        <w:t xml:space="preserve"> </w:t>
      </w:r>
      <w:r>
        <w:rPr>
          <w:color w:val="00AC59"/>
          <w:sz w:val="14"/>
        </w:rPr>
        <w:t>PARTE:</w:t>
      </w:r>
      <w:r>
        <w:rPr>
          <w:color w:val="00AC59"/>
          <w:spacing w:val="-5"/>
          <w:sz w:val="14"/>
        </w:rPr>
        <w:t xml:space="preserve"> </w:t>
      </w:r>
      <w:r>
        <w:rPr>
          <w:color w:val="00AC59"/>
          <w:sz w:val="14"/>
        </w:rPr>
        <w:t>CONTENIDO</w:t>
      </w:r>
      <w:r>
        <w:rPr>
          <w:color w:val="00AC59"/>
          <w:spacing w:val="-4"/>
          <w:sz w:val="14"/>
        </w:rPr>
        <w:t xml:space="preserve"> </w:t>
      </w:r>
      <w:r>
        <w:rPr>
          <w:color w:val="00AC59"/>
          <w:sz w:val="14"/>
        </w:rPr>
        <w:t>DE</w:t>
      </w:r>
      <w:r>
        <w:rPr>
          <w:color w:val="00AC59"/>
          <w:spacing w:val="-5"/>
          <w:sz w:val="14"/>
        </w:rPr>
        <w:t xml:space="preserve"> </w:t>
      </w:r>
      <w:r>
        <w:rPr>
          <w:color w:val="00AC59"/>
          <w:sz w:val="14"/>
        </w:rPr>
        <w:t>LA</w:t>
      </w:r>
      <w:r>
        <w:rPr>
          <w:color w:val="00AC59"/>
          <w:spacing w:val="-4"/>
          <w:sz w:val="14"/>
        </w:rPr>
        <w:t xml:space="preserve"> </w:t>
      </w:r>
      <w:r>
        <w:rPr>
          <w:color w:val="00AC59"/>
          <w:sz w:val="14"/>
        </w:rPr>
        <w:t>LEY</w:t>
      </w:r>
      <w:r>
        <w:rPr>
          <w:color w:val="00AC59"/>
          <w:spacing w:val="-4"/>
          <w:sz w:val="14"/>
        </w:rPr>
        <w:t xml:space="preserve"> </w:t>
      </w:r>
      <w:r>
        <w:rPr>
          <w:color w:val="00AC59"/>
          <w:sz w:val="14"/>
        </w:rPr>
        <w:t>INTEGRAL</w:t>
      </w:r>
      <w:r>
        <w:rPr>
          <w:color w:val="00AC59"/>
          <w:spacing w:val="-5"/>
          <w:sz w:val="14"/>
        </w:rPr>
        <w:t xml:space="preserve"> </w:t>
      </w:r>
      <w:r>
        <w:rPr>
          <w:color w:val="00AC59"/>
          <w:spacing w:val="-2"/>
          <w:sz w:val="14"/>
        </w:rPr>
        <w:t>ANTIDISCRIMINACIÓN</w:t>
      </w:r>
    </w:p>
    <w:p w14:paraId="7929B7E0" w14:textId="77777777" w:rsidR="0014798C" w:rsidRDefault="0014798C">
      <w:pPr>
        <w:pStyle w:val="Textoindependiente"/>
        <w:rPr>
          <w:sz w:val="27"/>
        </w:rPr>
      </w:pPr>
    </w:p>
    <w:p w14:paraId="5080016A" w14:textId="77777777" w:rsidR="0014798C" w:rsidRDefault="0014798C">
      <w:pPr>
        <w:pStyle w:val="Textoindependiente"/>
        <w:rPr>
          <w:sz w:val="27"/>
        </w:rPr>
      </w:pPr>
    </w:p>
    <w:p w14:paraId="59C30EDB" w14:textId="77777777" w:rsidR="0014798C" w:rsidRDefault="0014798C">
      <w:pPr>
        <w:pStyle w:val="Textoindependiente"/>
        <w:spacing w:before="26"/>
        <w:rPr>
          <w:sz w:val="27"/>
        </w:rPr>
      </w:pPr>
    </w:p>
    <w:p w14:paraId="2B1DCF1C" w14:textId="77777777" w:rsidR="0014798C" w:rsidRDefault="004E1F0B">
      <w:pPr>
        <w:numPr>
          <w:ilvl w:val="1"/>
          <w:numId w:val="3"/>
        </w:numPr>
        <w:tabs>
          <w:tab w:val="left" w:pos="1461"/>
        </w:tabs>
        <w:ind w:left="1461" w:hanging="352"/>
        <w:rPr>
          <w:color w:val="00AC59"/>
          <w:sz w:val="27"/>
        </w:rPr>
      </w:pPr>
      <w:r>
        <w:rPr>
          <w:color w:val="00AC59"/>
          <w:sz w:val="27"/>
        </w:rPr>
        <w:t>Mecanismos</w:t>
      </w:r>
      <w:r>
        <w:rPr>
          <w:color w:val="00AC59"/>
          <w:spacing w:val="15"/>
          <w:sz w:val="27"/>
        </w:rPr>
        <w:t xml:space="preserve"> </w:t>
      </w:r>
      <w:r>
        <w:rPr>
          <w:color w:val="00AC59"/>
          <w:sz w:val="27"/>
        </w:rPr>
        <w:t>de</w:t>
      </w:r>
      <w:r>
        <w:rPr>
          <w:color w:val="00AC59"/>
          <w:spacing w:val="16"/>
          <w:sz w:val="27"/>
        </w:rPr>
        <w:t xml:space="preserve"> </w:t>
      </w:r>
      <w:r>
        <w:rPr>
          <w:color w:val="00AC59"/>
          <w:sz w:val="27"/>
        </w:rPr>
        <w:t>justicia</w:t>
      </w:r>
      <w:r>
        <w:rPr>
          <w:color w:val="00AC59"/>
          <w:spacing w:val="16"/>
          <w:sz w:val="27"/>
        </w:rPr>
        <w:t xml:space="preserve"> </w:t>
      </w:r>
      <w:r>
        <w:rPr>
          <w:color w:val="00AC59"/>
          <w:spacing w:val="-2"/>
          <w:sz w:val="27"/>
        </w:rPr>
        <w:t>internacional</w:t>
      </w:r>
    </w:p>
    <w:p w14:paraId="319F4010" w14:textId="77777777" w:rsidR="0014798C" w:rsidRDefault="0014798C">
      <w:pPr>
        <w:pStyle w:val="Textoindependiente"/>
        <w:spacing w:before="38"/>
      </w:pPr>
    </w:p>
    <w:p w14:paraId="456965F3" w14:textId="77777777" w:rsidR="0014798C" w:rsidRDefault="004E1F0B">
      <w:pPr>
        <w:pStyle w:val="Textoindependiente"/>
        <w:spacing w:line="326" w:lineRule="auto"/>
        <w:ind w:left="1105" w:right="1272" w:firstLine="2"/>
      </w:pPr>
      <w:r>
        <w:t>Además</w:t>
      </w:r>
      <w:r>
        <w:rPr>
          <w:spacing w:val="-1"/>
        </w:rPr>
        <w:t xml:space="preserve"> </w:t>
      </w:r>
      <w:r>
        <w:t>de proporcionar</w:t>
      </w:r>
      <w:r>
        <w:rPr>
          <w:spacing w:val="-1"/>
        </w:rPr>
        <w:t xml:space="preserve"> </w:t>
      </w:r>
      <w:r>
        <w:t>sanciones</w:t>
      </w:r>
      <w:r>
        <w:rPr>
          <w:spacing w:val="-1"/>
        </w:rPr>
        <w:t xml:space="preserve"> </w:t>
      </w:r>
      <w:r>
        <w:t>efectivas, reparación individual y recursos institucionales</w:t>
      </w:r>
      <w:r>
        <w:rPr>
          <w:spacing w:val="-1"/>
        </w:rPr>
        <w:t xml:space="preserve"> </w:t>
      </w:r>
      <w:r>
        <w:t>y sociales</w:t>
      </w:r>
      <w:r>
        <w:rPr>
          <w:spacing w:val="-1"/>
        </w:rPr>
        <w:t xml:space="preserve"> </w:t>
      </w:r>
      <w:r>
        <w:t>dentro</w:t>
      </w:r>
      <w:r>
        <w:rPr>
          <w:spacing w:val="-1"/>
        </w:rPr>
        <w:t xml:space="preserve"> </w:t>
      </w:r>
      <w:r>
        <w:t>de sus marcos legales internos, garantizar un recurso efectivo requiere que los Estados permitan a aquellos expuestos a la discriminación presentar quejas directamente ante los órganos creados en virtud de tratados.</w:t>
      </w:r>
    </w:p>
    <w:p w14:paraId="777907B2" w14:textId="77777777" w:rsidR="0014798C" w:rsidRDefault="0014798C">
      <w:pPr>
        <w:pStyle w:val="Textoindependiente"/>
        <w:spacing w:before="6"/>
      </w:pPr>
    </w:p>
    <w:p w14:paraId="7929317F" w14:textId="77777777" w:rsidR="0014798C" w:rsidRDefault="004E1F0B">
      <w:pPr>
        <w:pStyle w:val="Textoindependiente"/>
        <w:spacing w:line="326" w:lineRule="auto"/>
        <w:ind w:left="1107" w:right="1418" w:firstLine="1"/>
      </w:pPr>
      <w:r>
        <w:rPr>
          <w:noProof/>
        </w:rPr>
        <w:drawing>
          <wp:anchor distT="0" distB="0" distL="0" distR="0" simplePos="0" relativeHeight="251658288" behindDoc="0" locked="0" layoutInCell="1" allowOverlap="1" wp14:anchorId="3E3B7E19" wp14:editId="0B616BBD">
            <wp:simplePos x="0" y="0"/>
            <wp:positionH relativeFrom="page">
              <wp:posOffset>7183616</wp:posOffset>
            </wp:positionH>
            <wp:positionV relativeFrom="paragraph">
              <wp:posOffset>144740</wp:posOffset>
            </wp:positionV>
            <wp:extent cx="372883" cy="1159285"/>
            <wp:effectExtent l="0" t="0" r="0" b="0"/>
            <wp:wrapNone/>
            <wp:docPr id="216" name="Image 21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16" name="Image 216"/>
                    <pic:cNvPicPr/>
                  </pic:nvPicPr>
                  <pic:blipFill>
                    <a:blip r:embed="rId198" cstate="print"/>
                    <a:stretch>
                      <a:fillRect/>
                    </a:stretch>
                  </pic:blipFill>
                  <pic:spPr>
                    <a:xfrm>
                      <a:off x="0" y="0"/>
                      <a:ext cx="372883" cy="1159285"/>
                    </a:xfrm>
                    <a:prstGeom prst="rect">
                      <a:avLst/>
                    </a:prstGeom>
                  </pic:spPr>
                </pic:pic>
              </a:graphicData>
            </a:graphic>
          </wp:anchor>
        </w:drawing>
      </w:r>
      <w:r>
        <w:t>De hecho, en numerosos casos, los sobrevivientes sólo han obtenido reconocimiento y reparación por la discriminación que han experimentado cuando recurrieron al nivel internacional, después del agotamiento de los recursos internos. Además de proporcionar reparación para casos particulares, las conclusiones de los órganos creados en virtud de tratados al examinar quejas individuales han desempeñado un papel clave en el avance de la reforma en materia de igualdad a nivel nacional y en el desarrollo de la comprensión del alcance y la esencia del derecho a la no igualdad. discriminación a nivel internacional.</w:t>
      </w:r>
    </w:p>
    <w:p w14:paraId="3C5CBC77" w14:textId="77777777" w:rsidR="0014798C" w:rsidRDefault="0014798C">
      <w:pPr>
        <w:pStyle w:val="Textoindependiente"/>
      </w:pPr>
    </w:p>
    <w:p w14:paraId="4CB6E74A" w14:textId="77777777" w:rsidR="0014798C" w:rsidRDefault="0014798C">
      <w:pPr>
        <w:pStyle w:val="Textoindependiente"/>
        <w:spacing w:before="49"/>
      </w:pPr>
    </w:p>
    <w:p w14:paraId="1FD3D55B" w14:textId="77777777" w:rsidR="0014798C" w:rsidRDefault="004E1F0B">
      <w:pPr>
        <w:pStyle w:val="Textoindependiente"/>
        <w:spacing w:line="326" w:lineRule="auto"/>
        <w:ind w:left="1107" w:right="1335" w:hanging="1"/>
      </w:pPr>
      <w:r>
        <w:rPr>
          <w:noProof/>
        </w:rPr>
        <mc:AlternateContent>
          <mc:Choice Requires="wps">
            <w:drawing>
              <wp:anchor distT="0" distB="0" distL="0" distR="0" simplePos="0" relativeHeight="251658289" behindDoc="0" locked="0" layoutInCell="1" allowOverlap="1" wp14:anchorId="336EDF4B" wp14:editId="3F790B79">
                <wp:simplePos x="0" y="0"/>
                <wp:positionH relativeFrom="page">
                  <wp:posOffset>7311076</wp:posOffset>
                </wp:positionH>
                <wp:positionV relativeFrom="paragraph">
                  <wp:posOffset>-272583</wp:posOffset>
                </wp:positionV>
                <wp:extent cx="86360" cy="293370"/>
                <wp:effectExtent l="0" t="0" r="0" b="0"/>
                <wp:wrapNone/>
                <wp:docPr id="217" name="Textbox 2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86360" cy="293370"/>
                        </a:xfrm>
                        <a:prstGeom prst="rect">
                          <a:avLst/>
                        </a:prstGeom>
                      </wps:spPr>
                      <wps:txbx>
                        <w:txbxContent>
                          <w:p w14:paraId="379BF4BD" w14:textId="77777777" w:rsidR="0014798C" w:rsidRDefault="004E1F0B">
                            <w:pPr>
                              <w:spacing w:before="22"/>
                              <w:ind w:left="20"/>
                              <w:rPr>
                                <w:sz w:val="8"/>
                              </w:rPr>
                            </w:pPr>
                            <w:r>
                              <w:rPr>
                                <w:color w:val="FFFFFF"/>
                                <w:spacing w:val="-25"/>
                                <w:w w:val="105"/>
                                <w:sz w:val="8"/>
                              </w:rPr>
                              <w:t>–IP</w:t>
                            </w:r>
                            <w:r>
                              <w:rPr>
                                <w:spacing w:val="-25"/>
                                <w:w w:val="105"/>
                                <w:sz w:val="8"/>
                              </w:rPr>
                              <w:t>S</w:t>
                            </w:r>
                            <w:r>
                              <w:rPr>
                                <w:color w:val="FFFFFF"/>
                                <w:spacing w:val="-25"/>
                                <w:w w:val="105"/>
                                <w:sz w:val="8"/>
                              </w:rPr>
                              <w:t>IIA</w:t>
                            </w:r>
                            <w:r>
                              <w:rPr>
                                <w:spacing w:val="-25"/>
                                <w:w w:val="105"/>
                                <w:sz w:val="8"/>
                              </w:rPr>
                              <w:t>E</w:t>
                            </w:r>
                            <w:r>
                              <w:rPr>
                                <w:color w:val="FFFFFF"/>
                                <w:spacing w:val="-25"/>
                                <w:w w:val="105"/>
                                <w:sz w:val="8"/>
                              </w:rPr>
                              <w:t>R</w:t>
                            </w:r>
                            <w:r>
                              <w:rPr>
                                <w:spacing w:val="-25"/>
                                <w:w w:val="105"/>
                                <w:sz w:val="8"/>
                              </w:rPr>
                              <w:t>G</w:t>
                            </w:r>
                            <w:r>
                              <w:rPr>
                                <w:color w:val="FFFFFF"/>
                                <w:spacing w:val="-25"/>
                                <w:w w:val="105"/>
                                <w:sz w:val="8"/>
                              </w:rPr>
                              <w:t>T</w:t>
                            </w:r>
                            <w:r>
                              <w:rPr>
                                <w:spacing w:val="-25"/>
                                <w:w w:val="105"/>
                                <w:sz w:val="8"/>
                              </w:rPr>
                              <w:t>U</w:t>
                            </w:r>
                            <w:r>
                              <w:rPr>
                                <w:color w:val="FFFFFF"/>
                                <w:spacing w:val="-25"/>
                                <w:w w:val="105"/>
                                <w:sz w:val="8"/>
                              </w:rPr>
                              <w:t>E</w:t>
                            </w:r>
                            <w:r>
                              <w:rPr>
                                <w:spacing w:val="-25"/>
                                <w:w w:val="105"/>
                                <w:sz w:val="8"/>
                              </w:rPr>
                              <w:t>NDA</w:t>
                            </w:r>
                          </w:p>
                        </w:txbxContent>
                      </wps:txbx>
                      <wps:bodyPr vert="vert270" wrap="square" lIns="0" tIns="0" rIns="0" bIns="0" rtlCol="0">
                        <a:noAutofit/>
                      </wps:bodyPr>
                    </wps:wsp>
                  </a:graphicData>
                </a:graphic>
              </wp:anchor>
            </w:drawing>
          </mc:Choice>
          <mc:Fallback>
            <w:pict>
              <v:shape w14:anchorId="336EDF4B" id="Textbox 217" o:spid="_x0000_s1112" type="#_x0000_t202" style="position:absolute;left:0;text-align:left;margin-left:575.7pt;margin-top:-21.45pt;width:6.8pt;height:23.1pt;z-index:251658289;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" filled="f" stroked="f">
                <v:textbox style="layout-flow:vertical;mso-layout-flow-alt:bottom-to-top" inset="0,0,0,0">
                  <w:txbxContent>
                    <w:p w14:paraId="379BF4BD" w14:textId="77777777" w:rsidR="0014798C" w:rsidRDefault="004E1F0B">
                      <w:pPr>
                        <w:spacing w:before="22"/>
                        <w:ind w:left="20"/>
                        <w:rPr>
                          <w:sz w:val="8"/>
                        </w:rPr>
                      </w:pPr>
                      <w:r>
                        <w:rPr>
                          <w:color w:val="FFFFFF"/>
                          <w:spacing w:val="-25"/>
                          <w:w w:val="105"/>
                          <w:sz w:val="8"/>
                        </w:rPr>
                        <w:t>–IP</w:t>
                      </w:r>
                      <w:r>
                        <w:rPr>
                          <w:spacing w:val="-25"/>
                          <w:w w:val="105"/>
                          <w:sz w:val="8"/>
                        </w:rPr>
                        <w:t>S</w:t>
                      </w:r>
                      <w:r>
                        <w:rPr>
                          <w:color w:val="FFFFFF"/>
                          <w:spacing w:val="-25"/>
                          <w:w w:val="105"/>
                          <w:sz w:val="8"/>
                        </w:rPr>
                        <w:t>IIA</w:t>
                      </w:r>
                      <w:r>
                        <w:rPr>
                          <w:spacing w:val="-25"/>
                          <w:w w:val="105"/>
                          <w:sz w:val="8"/>
                        </w:rPr>
                        <w:t>E</w:t>
                      </w:r>
                      <w:r>
                        <w:rPr>
                          <w:color w:val="FFFFFF"/>
                          <w:spacing w:val="-25"/>
                          <w:w w:val="105"/>
                          <w:sz w:val="8"/>
                        </w:rPr>
                        <w:t>R</w:t>
                      </w:r>
                      <w:r>
                        <w:rPr>
                          <w:spacing w:val="-25"/>
                          <w:w w:val="105"/>
                          <w:sz w:val="8"/>
                        </w:rPr>
                        <w:t>G</w:t>
                      </w:r>
                      <w:r>
                        <w:rPr>
                          <w:color w:val="FFFFFF"/>
                          <w:spacing w:val="-25"/>
                          <w:w w:val="105"/>
                          <w:sz w:val="8"/>
                        </w:rPr>
                        <w:t>T</w:t>
                      </w:r>
                      <w:r>
                        <w:rPr>
                          <w:spacing w:val="-25"/>
                          <w:w w:val="105"/>
                          <w:sz w:val="8"/>
                        </w:rPr>
                        <w:t>U</w:t>
                      </w:r>
                      <w:r>
                        <w:rPr>
                          <w:color w:val="FFFFFF"/>
                          <w:spacing w:val="-25"/>
                          <w:w w:val="105"/>
                          <w:sz w:val="8"/>
                        </w:rPr>
                        <w:t>E</w:t>
                      </w:r>
                      <w:r>
                        <w:rPr>
                          <w:spacing w:val="-25"/>
                          <w:w w:val="105"/>
                          <w:sz w:val="8"/>
                        </w:rPr>
                        <w:t>NDA</w:t>
                      </w:r>
                    </w:p>
                  </w:txbxContent>
                </v:textbox>
                <w10:wrap anchorx="page"/>
              </v:shape>
            </w:pict>
          </mc:Fallback>
        </mc:AlternateContent>
      </w:r>
      <w:r>
        <w:t>Por lo tanto, para garantizar la disponibilidad de un conjunto integral de recursos –y así cumplir con sus obligaciones internacionales– los Estados deben tomar las medidas necesarias para garantizar que los individuos puedan presentar quejas</w:t>
      </w:r>
      <w:r>
        <w:rPr>
          <w:spacing w:val="80"/>
        </w:rPr>
        <w:t xml:space="preserve"> </w:t>
      </w:r>
      <w:r>
        <w:t>ante los órganos de tratados. Esto requiere que los Estados ratifiquen un protocolo facultativo o hagan una declaración específica en virtud del instrumento pertinente. Si aún no se han adoptado esas medidas, deberían adoptarse al mismo tiempo que se adoptan leyes integrales contra la discriminación. De hecho, para garantizar el acceso efectivo a la justicia, los Estados deben garantizar que la legislación contra la discriminación identifique la presentación de una denuncia ante los órganos creados en</w:t>
      </w:r>
    </w:p>
    <w:p w14:paraId="1CACC4E0" w14:textId="77777777" w:rsidR="0014798C" w:rsidRDefault="004E1F0B">
      <w:pPr>
        <w:pStyle w:val="Textoindependiente"/>
        <w:spacing w:line="181" w:lineRule="exact"/>
        <w:ind w:left="1111"/>
      </w:pPr>
      <w:r>
        <w:t>virtud</w:t>
      </w:r>
      <w:r>
        <w:rPr>
          <w:spacing w:val="1"/>
        </w:rPr>
        <w:t xml:space="preserve"> </w:t>
      </w:r>
      <w:r>
        <w:t>de</w:t>
      </w:r>
      <w:r>
        <w:rPr>
          <w:spacing w:val="2"/>
        </w:rPr>
        <w:t xml:space="preserve"> </w:t>
      </w:r>
      <w:r>
        <w:t>tratados</w:t>
      </w:r>
      <w:r>
        <w:rPr>
          <w:spacing w:val="2"/>
        </w:rPr>
        <w:t xml:space="preserve"> </w:t>
      </w:r>
      <w:r>
        <w:t>como</w:t>
      </w:r>
      <w:r>
        <w:rPr>
          <w:spacing w:val="2"/>
        </w:rPr>
        <w:t xml:space="preserve"> </w:t>
      </w:r>
      <w:r>
        <w:t>un</w:t>
      </w:r>
      <w:r>
        <w:rPr>
          <w:spacing w:val="2"/>
        </w:rPr>
        <w:t xml:space="preserve"> </w:t>
      </w:r>
      <w:r>
        <w:t>medio</w:t>
      </w:r>
      <w:r>
        <w:rPr>
          <w:spacing w:val="2"/>
        </w:rPr>
        <w:t xml:space="preserve"> </w:t>
      </w:r>
      <w:r>
        <w:t>específico</w:t>
      </w:r>
      <w:r>
        <w:rPr>
          <w:spacing w:val="1"/>
        </w:rPr>
        <w:t xml:space="preserve"> </w:t>
      </w:r>
      <w:r>
        <w:t>para</w:t>
      </w:r>
      <w:r>
        <w:rPr>
          <w:spacing w:val="2"/>
        </w:rPr>
        <w:t xml:space="preserve"> </w:t>
      </w:r>
      <w:r>
        <w:t>obtener</w:t>
      </w:r>
      <w:r>
        <w:rPr>
          <w:spacing w:val="2"/>
        </w:rPr>
        <w:t xml:space="preserve"> </w:t>
      </w:r>
      <w:r>
        <w:t>reparación</w:t>
      </w:r>
      <w:r>
        <w:rPr>
          <w:spacing w:val="2"/>
        </w:rPr>
        <w:t xml:space="preserve"> </w:t>
      </w:r>
      <w:r>
        <w:t>y</w:t>
      </w:r>
      <w:r>
        <w:rPr>
          <w:spacing w:val="2"/>
        </w:rPr>
        <w:t xml:space="preserve"> </w:t>
      </w:r>
      <w:r>
        <w:t>establezca</w:t>
      </w:r>
      <w:r>
        <w:rPr>
          <w:spacing w:val="2"/>
        </w:rPr>
        <w:t xml:space="preserve"> </w:t>
      </w:r>
      <w:r>
        <w:t>los</w:t>
      </w:r>
      <w:r>
        <w:rPr>
          <w:spacing w:val="1"/>
        </w:rPr>
        <w:t xml:space="preserve"> </w:t>
      </w:r>
      <w:r>
        <w:t>pasos</w:t>
      </w:r>
      <w:r>
        <w:rPr>
          <w:spacing w:val="2"/>
        </w:rPr>
        <w:t xml:space="preserve"> </w:t>
      </w:r>
      <w:r>
        <w:t>necesarios</w:t>
      </w:r>
      <w:r>
        <w:rPr>
          <w:spacing w:val="2"/>
        </w:rPr>
        <w:t xml:space="preserve"> </w:t>
      </w:r>
      <w:r>
        <w:t>para</w:t>
      </w:r>
      <w:r>
        <w:rPr>
          <w:spacing w:val="2"/>
        </w:rPr>
        <w:t xml:space="preserve"> </w:t>
      </w:r>
      <w:r>
        <w:t>acceder</w:t>
      </w:r>
      <w:r>
        <w:rPr>
          <w:spacing w:val="2"/>
        </w:rPr>
        <w:t xml:space="preserve"> </w:t>
      </w:r>
      <w:r>
        <w:t>a</w:t>
      </w:r>
      <w:r>
        <w:rPr>
          <w:spacing w:val="2"/>
        </w:rPr>
        <w:t xml:space="preserve"> </w:t>
      </w:r>
      <w:r>
        <w:t>dichos</w:t>
      </w:r>
      <w:r>
        <w:rPr>
          <w:spacing w:val="1"/>
        </w:rPr>
        <w:t xml:space="preserve"> </w:t>
      </w:r>
      <w:r>
        <w:rPr>
          <w:spacing w:val="-2"/>
        </w:rPr>
        <w:t>órganos.</w:t>
      </w:r>
    </w:p>
    <w:p w14:paraId="2B097D6C" w14:textId="77777777" w:rsidR="0014798C" w:rsidRDefault="0014798C">
      <w:pPr>
        <w:pStyle w:val="Textoindependiente"/>
        <w:spacing w:before="82"/>
        <w:rPr>
          <w:sz w:val="22"/>
        </w:rPr>
      </w:pPr>
    </w:p>
    <w:p w14:paraId="261D6CFB" w14:textId="77777777" w:rsidR="0014798C" w:rsidRDefault="004E1F0B">
      <w:pPr>
        <w:numPr>
          <w:ilvl w:val="0"/>
          <w:numId w:val="43"/>
        </w:numPr>
        <w:tabs>
          <w:tab w:val="left" w:pos="1383"/>
        </w:tabs>
        <w:ind w:left="1383" w:hanging="248"/>
        <w:rPr>
          <w:color w:val="00AC59"/>
        </w:rPr>
      </w:pPr>
      <w:r>
        <w:rPr>
          <w:color w:val="00AC59"/>
        </w:rPr>
        <w:t>Mecanismos</w:t>
      </w:r>
      <w:r>
        <w:rPr>
          <w:color w:val="00AC59"/>
          <w:spacing w:val="14"/>
        </w:rPr>
        <w:t xml:space="preserve"> </w:t>
      </w:r>
      <w:r>
        <w:rPr>
          <w:color w:val="00AC59"/>
        </w:rPr>
        <w:t>de</w:t>
      </w:r>
      <w:r>
        <w:rPr>
          <w:color w:val="00AC59"/>
          <w:spacing w:val="14"/>
        </w:rPr>
        <w:t xml:space="preserve"> </w:t>
      </w:r>
      <w:r>
        <w:rPr>
          <w:color w:val="00AC59"/>
        </w:rPr>
        <w:t>denuncia</w:t>
      </w:r>
      <w:r>
        <w:rPr>
          <w:color w:val="00AC59"/>
          <w:spacing w:val="14"/>
        </w:rPr>
        <w:t xml:space="preserve"> </w:t>
      </w:r>
      <w:r>
        <w:rPr>
          <w:color w:val="00AC59"/>
          <w:spacing w:val="-2"/>
        </w:rPr>
        <w:t>individuales</w:t>
      </w:r>
    </w:p>
    <w:p w14:paraId="51EA9D5E" w14:textId="77777777" w:rsidR="0014798C" w:rsidRDefault="0014798C">
      <w:pPr>
        <w:pStyle w:val="Textoindependiente"/>
        <w:spacing w:before="47"/>
      </w:pPr>
    </w:p>
    <w:p w14:paraId="30A4043A" w14:textId="77777777" w:rsidR="0014798C" w:rsidRDefault="004E1F0B">
      <w:pPr>
        <w:pStyle w:val="Textoindependiente"/>
        <w:spacing w:line="326" w:lineRule="auto"/>
        <w:ind w:left="1111" w:right="1290" w:hanging="4"/>
      </w:pPr>
      <w:r>
        <w:t>Está más allá del alcance de la presente guía describir toda la gama de mecanismos de justicia internacional disponibles para el examen de violaciones de derechos humanos; en cambio, esta sección resume brevemente el sistema de quejas individuales ante aquellos órganos que se ocupan con mayor frecuencia de los derechos a la no discriminación y la igualdad.</w:t>
      </w:r>
    </w:p>
    <w:p w14:paraId="1F43002F" w14:textId="77777777" w:rsidR="0014798C" w:rsidRDefault="0014798C">
      <w:pPr>
        <w:pStyle w:val="Textoindependiente"/>
      </w:pPr>
    </w:p>
    <w:p w14:paraId="686AE01E" w14:textId="77777777" w:rsidR="0014798C" w:rsidRDefault="0014798C">
      <w:pPr>
        <w:pStyle w:val="Textoindependiente"/>
        <w:spacing w:before="50"/>
      </w:pPr>
    </w:p>
    <w:p w14:paraId="6724BEF4" w14:textId="77777777" w:rsidR="0014798C" w:rsidRDefault="004E1F0B">
      <w:pPr>
        <w:pStyle w:val="Textoindependiente"/>
        <w:spacing w:line="326" w:lineRule="auto"/>
        <w:ind w:left="1107" w:right="1272" w:hanging="1"/>
      </w:pPr>
      <w:r>
        <w:t>El Comité de Derechos Humanos tiene la facultad de considerar comunicaciones individuales que alegue violaciones de los derechos previstos en el Pacto Internacional de Derechos Civiles y Políticos por parte de Estados que son parte del primer Protocolo Facultativo del Pacto. El Comité puede examinar denuncias que incluyan discriminación respecto de cualquiera de los derechos civiles y políticos garantizados en el Pacto (en virtud del artículo 2) o discriminación en cualquier ámbito de la vida regulado por la ley, según lo establecido en el artículo 26.</w:t>
      </w:r>
    </w:p>
    <w:p w14:paraId="07BE919A" w14:textId="77777777" w:rsidR="0014798C" w:rsidRDefault="004E1F0B">
      <w:pPr>
        <w:pStyle w:val="Textoindependiente"/>
        <w:spacing w:before="167" w:line="326" w:lineRule="auto"/>
        <w:ind w:left="1103" w:right="1463" w:firstLine="3"/>
      </w:pPr>
      <w:r>
        <w:t xml:space="preserve">El Comité de Derechos Económicos, Sociales y Culturales podrá considerar comunicaciones individuales relacionadas con </w:t>
      </w:r>
      <w:proofErr w:type="gramStart"/>
      <w:r>
        <w:t>Estados partes</w:t>
      </w:r>
      <w:proofErr w:type="gramEnd"/>
      <w:r>
        <w:t xml:space="preserve"> en el Protocolo Facultativo del Pacto Internacional de Derechos Económicos, Sociales y Culturales. Puede examinar denuncias que alegue discriminación con respecto a cualquiera de los derechos económicos, sociales y culturales garantizados por el Pacto, incluso en los ámbitos de la educación, el empleo, la salud y la atención de la salud (incluidos los derechos y la salud sexual y reproductiva), la vivienda y el refugio, el acceso al agua y al saneamiento, al acceso a alimentos y ropa, y a la seguridad y asistencia social.</w:t>
      </w:r>
    </w:p>
    <w:p w14:paraId="34E47732" w14:textId="77777777" w:rsidR="0014798C" w:rsidRDefault="004E1F0B">
      <w:pPr>
        <w:pStyle w:val="Textoindependiente"/>
        <w:spacing w:before="168" w:line="326" w:lineRule="auto"/>
        <w:ind w:left="1107" w:right="1463" w:firstLine="1"/>
      </w:pPr>
      <w:r>
        <w:t>Además de estos mecanismos, se establecen mecanismos de denuncia en virtud de tratados dedicados específicamente a abordar</w:t>
      </w:r>
      <w:r>
        <w:rPr>
          <w:spacing w:val="1"/>
        </w:rPr>
        <w:t xml:space="preserve"> </w:t>
      </w:r>
      <w:r>
        <w:t>la</w:t>
      </w:r>
      <w:r>
        <w:rPr>
          <w:spacing w:val="1"/>
        </w:rPr>
        <w:t xml:space="preserve"> </w:t>
      </w:r>
      <w:r>
        <w:t>discriminación</w:t>
      </w:r>
      <w:r>
        <w:rPr>
          <w:spacing w:val="1"/>
        </w:rPr>
        <w:t xml:space="preserve"> </w:t>
      </w:r>
      <w:r>
        <w:t>o</w:t>
      </w:r>
      <w:r>
        <w:rPr>
          <w:spacing w:val="1"/>
        </w:rPr>
        <w:t xml:space="preserve"> </w:t>
      </w:r>
      <w:r>
        <w:t>proteger</w:t>
      </w:r>
      <w:r>
        <w:rPr>
          <w:spacing w:val="2"/>
        </w:rPr>
        <w:t xml:space="preserve"> </w:t>
      </w:r>
      <w:r>
        <w:t>los</w:t>
      </w:r>
      <w:r>
        <w:rPr>
          <w:spacing w:val="1"/>
        </w:rPr>
        <w:t xml:space="preserve"> </w:t>
      </w:r>
      <w:r>
        <w:t>derechos</w:t>
      </w:r>
      <w:r>
        <w:rPr>
          <w:spacing w:val="1"/>
        </w:rPr>
        <w:t xml:space="preserve"> </w:t>
      </w:r>
      <w:r>
        <w:t>de</w:t>
      </w:r>
      <w:r>
        <w:rPr>
          <w:spacing w:val="1"/>
        </w:rPr>
        <w:t xml:space="preserve"> </w:t>
      </w:r>
      <w:r>
        <w:t>grupos</w:t>
      </w:r>
      <w:r>
        <w:rPr>
          <w:spacing w:val="2"/>
        </w:rPr>
        <w:t xml:space="preserve"> </w:t>
      </w:r>
      <w:r>
        <w:t>particulares.</w:t>
      </w:r>
      <w:r>
        <w:rPr>
          <w:spacing w:val="2"/>
        </w:rPr>
        <w:t xml:space="preserve"> </w:t>
      </w:r>
      <w:r>
        <w:t>El</w:t>
      </w:r>
      <w:r>
        <w:rPr>
          <w:spacing w:val="1"/>
        </w:rPr>
        <w:t xml:space="preserve"> </w:t>
      </w:r>
      <w:r>
        <w:t>Comité</w:t>
      </w:r>
      <w:r>
        <w:rPr>
          <w:spacing w:val="1"/>
        </w:rPr>
        <w:t xml:space="preserve"> </w:t>
      </w:r>
      <w:r>
        <w:t>para</w:t>
      </w:r>
      <w:r>
        <w:rPr>
          <w:spacing w:val="2"/>
        </w:rPr>
        <w:t xml:space="preserve"> </w:t>
      </w:r>
      <w:r>
        <w:t>la</w:t>
      </w:r>
      <w:r>
        <w:rPr>
          <w:spacing w:val="1"/>
        </w:rPr>
        <w:t xml:space="preserve"> </w:t>
      </w:r>
      <w:r>
        <w:t>Eliminación</w:t>
      </w:r>
      <w:r>
        <w:rPr>
          <w:spacing w:val="1"/>
        </w:rPr>
        <w:t xml:space="preserve"> </w:t>
      </w:r>
      <w:r>
        <w:t>de</w:t>
      </w:r>
      <w:r>
        <w:rPr>
          <w:spacing w:val="1"/>
        </w:rPr>
        <w:t xml:space="preserve"> </w:t>
      </w:r>
      <w:r>
        <w:t>la</w:t>
      </w:r>
      <w:r>
        <w:rPr>
          <w:spacing w:val="1"/>
        </w:rPr>
        <w:t xml:space="preserve"> </w:t>
      </w:r>
      <w:r>
        <w:rPr>
          <w:spacing w:val="-2"/>
        </w:rPr>
        <w:t>Discriminación</w:t>
      </w:r>
    </w:p>
    <w:p w14:paraId="3BBD801F" w14:textId="77777777" w:rsidR="0014798C" w:rsidRDefault="004E1F0B">
      <w:pPr>
        <w:pStyle w:val="Textoindependiente"/>
        <w:spacing w:line="271" w:lineRule="auto"/>
        <w:ind w:left="1108" w:right="1272" w:firstLine="3"/>
      </w:pPr>
      <w:r>
        <w:t xml:space="preserve">Racial puede considerar peticiones individuales que alegue violaciones cometidas por </w:t>
      </w:r>
      <w:proofErr w:type="gramStart"/>
      <w:r>
        <w:t>Estados partes</w:t>
      </w:r>
      <w:proofErr w:type="gramEnd"/>
      <w:r>
        <w:t xml:space="preserve"> que hayan hecho una declaración</w:t>
      </w:r>
      <w:r>
        <w:rPr>
          <w:spacing w:val="-1"/>
        </w:rPr>
        <w:t xml:space="preserve"> </w:t>
      </w:r>
      <w:r>
        <w:t>en virtud</w:t>
      </w:r>
      <w:r>
        <w:rPr>
          <w:spacing w:val="-1"/>
        </w:rPr>
        <w:t xml:space="preserve"> </w:t>
      </w:r>
      <w:r>
        <w:t>del artículo</w:t>
      </w:r>
      <w:r>
        <w:rPr>
          <w:spacing w:val="-1"/>
        </w:rPr>
        <w:t xml:space="preserve"> </w:t>
      </w:r>
      <w:r>
        <w:t>14 de la</w:t>
      </w:r>
      <w:r>
        <w:rPr>
          <w:spacing w:val="-1"/>
        </w:rPr>
        <w:t xml:space="preserve"> </w:t>
      </w:r>
      <w:r>
        <w:t>Convención pertinente. El Comité</w:t>
      </w:r>
      <w:r>
        <w:rPr>
          <w:spacing w:val="-1"/>
        </w:rPr>
        <w:t xml:space="preserve"> </w:t>
      </w:r>
      <w:r>
        <w:t>para la Eliminación</w:t>
      </w:r>
      <w:r>
        <w:rPr>
          <w:spacing w:val="-1"/>
        </w:rPr>
        <w:t xml:space="preserve"> </w:t>
      </w:r>
      <w:r>
        <w:t>de la</w:t>
      </w:r>
      <w:r>
        <w:rPr>
          <w:spacing w:val="-1"/>
        </w:rPr>
        <w:t xml:space="preserve"> </w:t>
      </w:r>
      <w:r>
        <w:t xml:space="preserve">Discriminación contra </w:t>
      </w:r>
      <w:r>
        <w:rPr>
          <w:spacing w:val="-5"/>
        </w:rPr>
        <w:t>la</w:t>
      </w:r>
    </w:p>
    <w:p w14:paraId="6FE8FF9F" w14:textId="77777777" w:rsidR="0014798C" w:rsidRDefault="004E1F0B">
      <w:pPr>
        <w:pStyle w:val="Textoindependiente"/>
        <w:spacing w:before="82" w:line="326" w:lineRule="auto"/>
        <w:ind w:left="1107" w:right="1463" w:firstLine="2"/>
      </w:pPr>
      <w:r>
        <w:t xml:space="preserve">Mujer puede considerar comunicaciones individuales que alegue violaciones de la Convención pertinente por parte de </w:t>
      </w:r>
      <w:proofErr w:type="gramStart"/>
      <w:r>
        <w:t>Estados partes</w:t>
      </w:r>
      <w:proofErr w:type="gramEnd"/>
      <w:r>
        <w:t xml:space="preserve"> en el Protocolo Facultativo de la Convención. De manera similar, el Comité sobre los Derechos de las Personas con Discapacidad puede considerar comunicaciones individuales que alegue violaciones de la Convención pertinente por parte de </w:t>
      </w:r>
      <w:proofErr w:type="gramStart"/>
      <w:r>
        <w:t>Estados partes</w:t>
      </w:r>
      <w:proofErr w:type="gramEnd"/>
      <w:r>
        <w:t xml:space="preserve"> en su Protocolo Facultativo. Si un Estado ha ratificado el Protocolo Facultativo de la Convención sobre los Derechos del Niño sobre un procedimiento de comunicaciones, el Comité de los Derechos del Niño puede considerar comunicaciones que alegue violaciones de la Convención o sus Protocolos Facultativos.</w:t>
      </w:r>
    </w:p>
    <w:p w14:paraId="58A37936" w14:textId="77777777" w:rsidR="0014798C" w:rsidRDefault="004E1F0B">
      <w:pPr>
        <w:pStyle w:val="Textoindependiente"/>
        <w:spacing w:line="326" w:lineRule="auto"/>
        <w:ind w:left="1110" w:right="1378" w:firstLine="4"/>
      </w:pPr>
      <w:r>
        <w:t>Existen otros procedimientos de denuncia en relación con la tortura, los derechos de los trabajadores migrantes y en el contexto de las desapariciones forzadas, pero quedan fuera del alcance de la presente guía.</w:t>
      </w:r>
    </w:p>
    <w:p w14:paraId="126DEF9A" w14:textId="77777777" w:rsidR="0014798C" w:rsidRDefault="0014798C">
      <w:pPr>
        <w:pStyle w:val="Textoindependiente"/>
        <w:rPr>
          <w:sz w:val="19"/>
        </w:rPr>
      </w:pPr>
    </w:p>
    <w:p w14:paraId="1E8D9866" w14:textId="77777777" w:rsidR="0014798C" w:rsidRDefault="0014798C">
      <w:pPr>
        <w:pStyle w:val="Textoindependiente"/>
        <w:rPr>
          <w:sz w:val="19"/>
        </w:rPr>
      </w:pPr>
    </w:p>
    <w:p w14:paraId="391C5666" w14:textId="77777777" w:rsidR="0014798C" w:rsidRDefault="0014798C">
      <w:pPr>
        <w:pStyle w:val="Textoindependiente"/>
        <w:rPr>
          <w:sz w:val="19"/>
        </w:rPr>
      </w:pPr>
    </w:p>
    <w:p w14:paraId="0F2B5CA0" w14:textId="77777777" w:rsidR="0014798C" w:rsidRDefault="0014798C">
      <w:pPr>
        <w:pStyle w:val="Textoindependiente"/>
        <w:rPr>
          <w:sz w:val="19"/>
        </w:rPr>
      </w:pPr>
    </w:p>
    <w:p w14:paraId="0D8D2A3D" w14:textId="77777777" w:rsidR="0014798C" w:rsidRDefault="0014798C">
      <w:pPr>
        <w:pStyle w:val="Textoindependiente"/>
        <w:rPr>
          <w:sz w:val="19"/>
        </w:rPr>
      </w:pPr>
    </w:p>
    <w:p w14:paraId="7B9A1DE7" w14:textId="77777777" w:rsidR="0014798C" w:rsidRDefault="0014798C">
      <w:pPr>
        <w:pStyle w:val="Textoindependiente"/>
        <w:spacing w:before="167"/>
        <w:rPr>
          <w:sz w:val="19"/>
        </w:rPr>
      </w:pPr>
    </w:p>
    <w:p w14:paraId="627A2C83" w14:textId="77777777" w:rsidR="0014798C" w:rsidRDefault="004E1F0B">
      <w:pPr>
        <w:ind w:right="719"/>
        <w:jc w:val="right"/>
        <w:rPr>
          <w:sz w:val="19"/>
        </w:rPr>
      </w:pPr>
      <w:r>
        <w:rPr>
          <w:spacing w:val="-5"/>
          <w:sz w:val="19"/>
        </w:rPr>
        <w:t>97</w:t>
      </w:r>
    </w:p>
    <w:p w14:paraId="040A98B3" w14:textId="77777777" w:rsidR="0014798C" w:rsidRDefault="0014798C">
      <w:pPr>
        <w:jc w:val="right"/>
        <w:rPr>
          <w:sz w:val="19"/>
        </w:rPr>
        <w:sectPr w:rsidR="0014798C" w:rsidSect="00F265E4">
          <w:pgSz w:w="11900" w:h="16820"/>
          <w:pgMar w:top="340" w:right="0" w:bottom="280" w:left="200" w:header="121" w:footer="0" w:gutter="0"/>
          <w:cols w:space="720"/>
        </w:sectPr>
      </w:pPr>
    </w:p>
    <w:p w14:paraId="2590CF37" w14:textId="77777777" w:rsidR="0014798C" w:rsidRDefault="0014798C">
      <w:pPr>
        <w:pStyle w:val="Textoindependiente"/>
        <w:spacing w:before="88"/>
        <w:rPr>
          <w:sz w:val="12"/>
        </w:rPr>
      </w:pPr>
    </w:p>
    <w:p w14:paraId="3F6A2FB2" w14:textId="77777777" w:rsidR="0014798C" w:rsidRDefault="004E1F0B">
      <w:pPr>
        <w:ind w:left="1111"/>
        <w:rPr>
          <w:sz w:val="12"/>
        </w:rPr>
      </w:pPr>
      <w:r>
        <w:rPr>
          <w:color w:val="00AC59"/>
          <w:sz w:val="12"/>
        </w:rPr>
        <w:t>PROTECCIÓN</w:t>
      </w:r>
      <w:r>
        <w:rPr>
          <w:color w:val="00AC59"/>
          <w:spacing w:val="6"/>
          <w:sz w:val="12"/>
        </w:rPr>
        <w:t xml:space="preserve"> </w:t>
      </w:r>
      <w:r>
        <w:rPr>
          <w:color w:val="00AC59"/>
          <w:sz w:val="12"/>
        </w:rPr>
        <w:t>DE</w:t>
      </w:r>
      <w:r>
        <w:rPr>
          <w:color w:val="00AC59"/>
          <w:spacing w:val="7"/>
          <w:sz w:val="12"/>
        </w:rPr>
        <w:t xml:space="preserve"> </w:t>
      </w:r>
      <w:r>
        <w:rPr>
          <w:color w:val="00AC59"/>
          <w:sz w:val="12"/>
        </w:rPr>
        <w:t>LOS</w:t>
      </w:r>
      <w:r>
        <w:rPr>
          <w:color w:val="00AC59"/>
          <w:spacing w:val="8"/>
          <w:sz w:val="12"/>
        </w:rPr>
        <w:t xml:space="preserve"> </w:t>
      </w:r>
      <w:r>
        <w:rPr>
          <w:color w:val="00AC59"/>
          <w:sz w:val="12"/>
        </w:rPr>
        <w:t>DERECHOS</w:t>
      </w:r>
      <w:r>
        <w:rPr>
          <w:color w:val="00AC59"/>
          <w:spacing w:val="8"/>
          <w:sz w:val="12"/>
        </w:rPr>
        <w:t xml:space="preserve"> </w:t>
      </w:r>
      <w:r>
        <w:rPr>
          <w:color w:val="00AC59"/>
          <w:sz w:val="12"/>
        </w:rPr>
        <w:t>DE</w:t>
      </w:r>
      <w:r>
        <w:rPr>
          <w:color w:val="00AC59"/>
          <w:spacing w:val="6"/>
          <w:sz w:val="12"/>
        </w:rPr>
        <w:t xml:space="preserve"> </w:t>
      </w:r>
      <w:r>
        <w:rPr>
          <w:color w:val="00AC59"/>
          <w:sz w:val="12"/>
        </w:rPr>
        <w:t>LAS</w:t>
      </w:r>
      <w:r>
        <w:rPr>
          <w:color w:val="00AC59"/>
          <w:spacing w:val="7"/>
          <w:sz w:val="12"/>
        </w:rPr>
        <w:t xml:space="preserve"> </w:t>
      </w:r>
      <w:r>
        <w:rPr>
          <w:color w:val="00AC59"/>
          <w:sz w:val="12"/>
        </w:rPr>
        <w:t>MINORÍAS:</w:t>
      </w:r>
      <w:r>
        <w:rPr>
          <w:color w:val="00AC59"/>
          <w:spacing w:val="8"/>
          <w:sz w:val="12"/>
        </w:rPr>
        <w:t xml:space="preserve"> </w:t>
      </w:r>
      <w:r>
        <w:rPr>
          <w:color w:val="00AC59"/>
          <w:sz w:val="12"/>
        </w:rPr>
        <w:t>una</w:t>
      </w:r>
      <w:r>
        <w:rPr>
          <w:color w:val="00AC59"/>
          <w:spacing w:val="7"/>
          <w:sz w:val="12"/>
        </w:rPr>
        <w:t xml:space="preserve"> </w:t>
      </w:r>
      <w:r>
        <w:rPr>
          <w:color w:val="00AC59"/>
          <w:sz w:val="12"/>
        </w:rPr>
        <w:t>guía</w:t>
      </w:r>
      <w:r>
        <w:rPr>
          <w:color w:val="00AC59"/>
          <w:spacing w:val="6"/>
          <w:sz w:val="12"/>
        </w:rPr>
        <w:t xml:space="preserve"> </w:t>
      </w:r>
      <w:r>
        <w:rPr>
          <w:color w:val="00AC59"/>
          <w:sz w:val="12"/>
        </w:rPr>
        <w:t>práctica</w:t>
      </w:r>
      <w:r>
        <w:rPr>
          <w:color w:val="00AC59"/>
          <w:spacing w:val="7"/>
          <w:sz w:val="12"/>
        </w:rPr>
        <w:t xml:space="preserve"> </w:t>
      </w:r>
      <w:r>
        <w:rPr>
          <w:color w:val="00AC59"/>
          <w:sz w:val="12"/>
        </w:rPr>
        <w:t>para</w:t>
      </w:r>
      <w:r>
        <w:rPr>
          <w:color w:val="00AC59"/>
          <w:spacing w:val="8"/>
          <w:sz w:val="12"/>
        </w:rPr>
        <w:t xml:space="preserve"> </w:t>
      </w:r>
      <w:r>
        <w:rPr>
          <w:color w:val="00AC59"/>
          <w:sz w:val="12"/>
        </w:rPr>
        <w:t>desarrollar</w:t>
      </w:r>
      <w:r>
        <w:rPr>
          <w:color w:val="00AC59"/>
          <w:spacing w:val="6"/>
          <w:sz w:val="12"/>
        </w:rPr>
        <w:t xml:space="preserve"> </w:t>
      </w:r>
      <w:r>
        <w:rPr>
          <w:color w:val="00AC59"/>
          <w:sz w:val="12"/>
        </w:rPr>
        <w:t>una</w:t>
      </w:r>
      <w:r>
        <w:rPr>
          <w:color w:val="00AC59"/>
          <w:spacing w:val="7"/>
          <w:sz w:val="12"/>
        </w:rPr>
        <w:t xml:space="preserve"> </w:t>
      </w:r>
      <w:r>
        <w:rPr>
          <w:color w:val="00AC59"/>
          <w:sz w:val="12"/>
        </w:rPr>
        <w:t>legislación</w:t>
      </w:r>
      <w:r>
        <w:rPr>
          <w:color w:val="00AC59"/>
          <w:spacing w:val="8"/>
          <w:sz w:val="12"/>
        </w:rPr>
        <w:t xml:space="preserve"> </w:t>
      </w:r>
      <w:r>
        <w:rPr>
          <w:color w:val="00AC59"/>
          <w:sz w:val="12"/>
        </w:rPr>
        <w:t>integral</w:t>
      </w:r>
      <w:r>
        <w:rPr>
          <w:color w:val="00AC59"/>
          <w:spacing w:val="7"/>
          <w:sz w:val="12"/>
        </w:rPr>
        <w:t xml:space="preserve"> </w:t>
      </w:r>
      <w:r>
        <w:rPr>
          <w:color w:val="00AC59"/>
          <w:sz w:val="12"/>
        </w:rPr>
        <w:t>contra</w:t>
      </w:r>
      <w:r>
        <w:rPr>
          <w:color w:val="00AC59"/>
          <w:spacing w:val="6"/>
          <w:sz w:val="12"/>
        </w:rPr>
        <w:t xml:space="preserve"> </w:t>
      </w:r>
      <w:r>
        <w:rPr>
          <w:color w:val="00AC59"/>
          <w:sz w:val="12"/>
        </w:rPr>
        <w:t>la</w:t>
      </w:r>
      <w:r>
        <w:rPr>
          <w:color w:val="00AC59"/>
          <w:spacing w:val="7"/>
          <w:sz w:val="12"/>
        </w:rPr>
        <w:t xml:space="preserve"> </w:t>
      </w:r>
      <w:r>
        <w:rPr>
          <w:color w:val="00AC59"/>
          <w:spacing w:val="-2"/>
          <w:sz w:val="12"/>
        </w:rPr>
        <w:t>discriminación</w:t>
      </w:r>
    </w:p>
    <w:p w14:paraId="67B49AC6" w14:textId="77777777" w:rsidR="0014798C" w:rsidRDefault="0014798C">
      <w:pPr>
        <w:pStyle w:val="Textoindependiente"/>
        <w:rPr>
          <w:sz w:val="14"/>
        </w:rPr>
      </w:pPr>
    </w:p>
    <w:p w14:paraId="16A29957" w14:textId="77777777" w:rsidR="0014798C" w:rsidRDefault="0014798C">
      <w:pPr>
        <w:pStyle w:val="Textoindependiente"/>
        <w:rPr>
          <w:sz w:val="14"/>
        </w:rPr>
      </w:pPr>
    </w:p>
    <w:p w14:paraId="76E1584C" w14:textId="77777777" w:rsidR="0014798C" w:rsidRDefault="0014798C">
      <w:pPr>
        <w:pStyle w:val="Textoindependiente"/>
        <w:rPr>
          <w:sz w:val="14"/>
        </w:rPr>
      </w:pPr>
    </w:p>
    <w:p w14:paraId="3E055691" w14:textId="77777777" w:rsidR="0014798C" w:rsidRDefault="0014798C">
      <w:pPr>
        <w:pStyle w:val="Textoindependiente"/>
        <w:rPr>
          <w:sz w:val="14"/>
        </w:rPr>
      </w:pPr>
    </w:p>
    <w:p w14:paraId="6DD6D55C" w14:textId="77777777" w:rsidR="0014798C" w:rsidRDefault="0014798C">
      <w:pPr>
        <w:pStyle w:val="Textoindependiente"/>
        <w:rPr>
          <w:sz w:val="14"/>
        </w:rPr>
      </w:pPr>
    </w:p>
    <w:p w14:paraId="65C41EB5" w14:textId="77777777" w:rsidR="0014798C" w:rsidRDefault="0014798C">
      <w:pPr>
        <w:pStyle w:val="Textoindependiente"/>
        <w:spacing w:before="13"/>
        <w:rPr>
          <w:sz w:val="14"/>
        </w:rPr>
      </w:pPr>
    </w:p>
    <w:p w14:paraId="2FDB025C" w14:textId="77777777" w:rsidR="0014798C" w:rsidRDefault="004E1F0B">
      <w:pPr>
        <w:spacing w:before="1" w:line="364" w:lineRule="auto"/>
        <w:ind w:left="1342" w:right="2004" w:hanging="14"/>
        <w:rPr>
          <w:sz w:val="14"/>
        </w:rPr>
      </w:pPr>
      <w:r>
        <w:rPr>
          <w:noProof/>
        </w:rPr>
        <w:drawing>
          <wp:anchor distT="0" distB="0" distL="0" distR="0" simplePos="0" relativeHeight="251658433" behindDoc="1" locked="0" layoutInCell="1" allowOverlap="1" wp14:anchorId="21BA08E2" wp14:editId="78F39D77">
            <wp:simplePos x="0" y="0"/>
            <wp:positionH relativeFrom="page">
              <wp:posOffset>817647</wp:posOffset>
            </wp:positionH>
            <wp:positionV relativeFrom="paragraph">
              <wp:posOffset>-149971</wp:posOffset>
            </wp:positionV>
            <wp:extent cx="5939175" cy="8416050"/>
            <wp:effectExtent l="0" t="0" r="0" b="0"/>
            <wp:wrapNone/>
            <wp:docPr id="218" name="Image 21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18" name="Image 218"/>
                    <pic:cNvPicPr/>
                  </pic:nvPicPr>
                  <pic:blipFill>
                    <a:blip r:embed="rId199" cstate="print"/>
                    <a:stretch>
                      <a:fillRect/>
                    </a:stretch>
                  </pic:blipFill>
                  <pic:spPr>
                    <a:xfrm>
                      <a:off x="0" y="0"/>
                      <a:ext cx="5939175" cy="8416050"/>
                    </a:xfrm>
                    <a:prstGeom prst="rect">
                      <a:avLst/>
                    </a:prstGeom>
                  </pic:spPr>
                </pic:pic>
              </a:graphicData>
            </a:graphic>
          </wp:anchor>
        </w:drawing>
      </w:r>
      <w:r>
        <w:rPr>
          <w:sz w:val="14"/>
        </w:rPr>
        <w:t>IMPULSAR LA REFORMA SISTÉMICA PARA LA IGUALDAD A TRAVÉS DE LOS SERVICIOS HUMANOS INTERNACIONALES</w:t>
      </w:r>
      <w:r>
        <w:rPr>
          <w:spacing w:val="40"/>
          <w:sz w:val="14"/>
        </w:rPr>
        <w:t xml:space="preserve"> </w:t>
      </w:r>
      <w:r>
        <w:rPr>
          <w:sz w:val="14"/>
        </w:rPr>
        <w:t>MECANISMOS DE COMUNICACIÓN DE DERECHOS</w:t>
      </w:r>
    </w:p>
    <w:p w14:paraId="7FF65FE1" w14:textId="77777777" w:rsidR="0014798C" w:rsidRDefault="004E1F0B">
      <w:pPr>
        <w:spacing w:before="127"/>
        <w:ind w:left="1317"/>
        <w:rPr>
          <w:sz w:val="17"/>
        </w:rPr>
      </w:pPr>
      <w:r>
        <w:rPr>
          <w:w w:val="105"/>
          <w:sz w:val="17"/>
        </w:rPr>
        <w:t>AS</w:t>
      </w:r>
      <w:r>
        <w:rPr>
          <w:spacing w:val="-12"/>
          <w:w w:val="105"/>
          <w:sz w:val="17"/>
        </w:rPr>
        <w:t xml:space="preserve"> </w:t>
      </w:r>
      <w:r>
        <w:rPr>
          <w:w w:val="105"/>
          <w:sz w:val="17"/>
        </w:rPr>
        <w:t>contra</w:t>
      </w:r>
      <w:r>
        <w:rPr>
          <w:spacing w:val="-11"/>
          <w:w w:val="105"/>
          <w:sz w:val="17"/>
        </w:rPr>
        <w:t xml:space="preserve"> </w:t>
      </w:r>
      <w:r>
        <w:rPr>
          <w:spacing w:val="-2"/>
          <w:w w:val="105"/>
          <w:sz w:val="17"/>
        </w:rPr>
        <w:t>HUNGRÍA</w:t>
      </w:r>
    </w:p>
    <w:p w14:paraId="29C9407D" w14:textId="77777777" w:rsidR="0014798C" w:rsidRDefault="0014798C">
      <w:pPr>
        <w:pStyle w:val="Textoindependiente"/>
        <w:spacing w:before="38"/>
        <w:rPr>
          <w:sz w:val="14"/>
        </w:rPr>
      </w:pPr>
    </w:p>
    <w:p w14:paraId="28BBB7BB" w14:textId="77777777" w:rsidR="0014798C" w:rsidRDefault="004E1F0B">
      <w:pPr>
        <w:spacing w:before="1" w:line="372" w:lineRule="auto"/>
        <w:ind w:left="1337" w:right="1626" w:hanging="6"/>
        <w:rPr>
          <w:sz w:val="14"/>
        </w:rPr>
      </w:pPr>
      <w:r>
        <w:rPr>
          <w:sz w:val="14"/>
        </w:rPr>
        <w:t>AS era una mujer romaní en Hungría que fue sometida a esterilización anticonceptiva sin su consentimiento libre e informado. Como</w:t>
      </w:r>
      <w:r>
        <w:rPr>
          <w:spacing w:val="40"/>
          <w:sz w:val="14"/>
        </w:rPr>
        <w:t xml:space="preserve"> </w:t>
      </w:r>
      <w:r>
        <w:rPr>
          <w:sz w:val="14"/>
        </w:rPr>
        <w:t>resultado, ya no pudo tener hijos y experimentó el trauma de una intervención coercitiva en un área muy íntima de su vida. La Sra. AS llevó</w:t>
      </w:r>
      <w:r>
        <w:rPr>
          <w:spacing w:val="80"/>
          <w:sz w:val="14"/>
        </w:rPr>
        <w:t xml:space="preserve"> </w:t>
      </w:r>
      <w:r>
        <w:rPr>
          <w:sz w:val="14"/>
        </w:rPr>
        <w:t>su</w:t>
      </w:r>
      <w:r>
        <w:rPr>
          <w:spacing w:val="10"/>
          <w:sz w:val="14"/>
        </w:rPr>
        <w:t xml:space="preserve"> </w:t>
      </w:r>
      <w:r>
        <w:rPr>
          <w:sz w:val="14"/>
        </w:rPr>
        <w:t>caso</w:t>
      </w:r>
      <w:r>
        <w:rPr>
          <w:spacing w:val="10"/>
          <w:sz w:val="14"/>
        </w:rPr>
        <w:t xml:space="preserve"> </w:t>
      </w:r>
      <w:r>
        <w:rPr>
          <w:sz w:val="14"/>
        </w:rPr>
        <w:t>ante</w:t>
      </w:r>
      <w:r>
        <w:rPr>
          <w:spacing w:val="10"/>
          <w:sz w:val="14"/>
        </w:rPr>
        <w:t xml:space="preserve"> </w:t>
      </w:r>
      <w:r>
        <w:rPr>
          <w:sz w:val="14"/>
        </w:rPr>
        <w:t>los</w:t>
      </w:r>
      <w:r>
        <w:rPr>
          <w:spacing w:val="10"/>
          <w:sz w:val="14"/>
        </w:rPr>
        <w:t xml:space="preserve"> </w:t>
      </w:r>
      <w:r>
        <w:rPr>
          <w:sz w:val="14"/>
        </w:rPr>
        <w:t>tribunales</w:t>
      </w:r>
      <w:r>
        <w:rPr>
          <w:spacing w:val="10"/>
          <w:sz w:val="14"/>
        </w:rPr>
        <w:t xml:space="preserve"> </w:t>
      </w:r>
      <w:r>
        <w:rPr>
          <w:sz w:val="14"/>
        </w:rPr>
        <w:t>húngaros,</w:t>
      </w:r>
      <w:r>
        <w:rPr>
          <w:spacing w:val="12"/>
          <w:sz w:val="14"/>
        </w:rPr>
        <w:t xml:space="preserve"> </w:t>
      </w:r>
      <w:r>
        <w:rPr>
          <w:sz w:val="14"/>
        </w:rPr>
        <w:t>pero</w:t>
      </w:r>
      <w:r>
        <w:rPr>
          <w:spacing w:val="10"/>
          <w:sz w:val="14"/>
        </w:rPr>
        <w:t xml:space="preserve"> </w:t>
      </w:r>
      <w:r>
        <w:rPr>
          <w:sz w:val="14"/>
        </w:rPr>
        <w:t>estos</w:t>
      </w:r>
      <w:r>
        <w:rPr>
          <w:spacing w:val="10"/>
          <w:sz w:val="14"/>
        </w:rPr>
        <w:t xml:space="preserve"> </w:t>
      </w:r>
      <w:r>
        <w:rPr>
          <w:sz w:val="14"/>
        </w:rPr>
        <w:t>no</w:t>
      </w:r>
      <w:r>
        <w:rPr>
          <w:spacing w:val="10"/>
          <w:sz w:val="14"/>
        </w:rPr>
        <w:t xml:space="preserve"> </w:t>
      </w:r>
      <w:r>
        <w:rPr>
          <w:sz w:val="14"/>
        </w:rPr>
        <w:t>fallaron</w:t>
      </w:r>
      <w:r>
        <w:rPr>
          <w:spacing w:val="10"/>
          <w:sz w:val="14"/>
        </w:rPr>
        <w:t xml:space="preserve"> </w:t>
      </w:r>
      <w:r>
        <w:rPr>
          <w:sz w:val="14"/>
        </w:rPr>
        <w:t>a</w:t>
      </w:r>
      <w:r>
        <w:rPr>
          <w:spacing w:val="10"/>
          <w:sz w:val="14"/>
        </w:rPr>
        <w:t xml:space="preserve"> </w:t>
      </w:r>
      <w:r>
        <w:rPr>
          <w:sz w:val="14"/>
        </w:rPr>
        <w:t>su</w:t>
      </w:r>
      <w:r>
        <w:rPr>
          <w:spacing w:val="10"/>
          <w:sz w:val="14"/>
        </w:rPr>
        <w:t xml:space="preserve"> </w:t>
      </w:r>
      <w:r>
        <w:rPr>
          <w:sz w:val="14"/>
        </w:rPr>
        <w:t>favor,</w:t>
      </w:r>
      <w:r>
        <w:rPr>
          <w:spacing w:val="12"/>
          <w:sz w:val="14"/>
        </w:rPr>
        <w:t xml:space="preserve"> </w:t>
      </w:r>
      <w:r>
        <w:rPr>
          <w:sz w:val="14"/>
        </w:rPr>
        <w:t>respetando</w:t>
      </w:r>
      <w:r>
        <w:rPr>
          <w:spacing w:val="10"/>
          <w:sz w:val="14"/>
        </w:rPr>
        <w:t xml:space="preserve"> </w:t>
      </w:r>
      <w:r>
        <w:rPr>
          <w:sz w:val="14"/>
        </w:rPr>
        <w:t>ampliamente</w:t>
      </w:r>
      <w:r>
        <w:rPr>
          <w:spacing w:val="10"/>
          <w:sz w:val="14"/>
        </w:rPr>
        <w:t xml:space="preserve"> </w:t>
      </w:r>
      <w:r>
        <w:rPr>
          <w:sz w:val="14"/>
        </w:rPr>
        <w:t>las</w:t>
      </w:r>
      <w:r>
        <w:rPr>
          <w:spacing w:val="10"/>
          <w:sz w:val="14"/>
        </w:rPr>
        <w:t xml:space="preserve"> </w:t>
      </w:r>
      <w:r>
        <w:rPr>
          <w:sz w:val="14"/>
        </w:rPr>
        <w:t>actuaciones</w:t>
      </w:r>
      <w:r>
        <w:rPr>
          <w:spacing w:val="10"/>
          <w:sz w:val="14"/>
        </w:rPr>
        <w:t xml:space="preserve"> </w:t>
      </w:r>
      <w:r>
        <w:rPr>
          <w:sz w:val="14"/>
        </w:rPr>
        <w:t>de</w:t>
      </w:r>
      <w:r>
        <w:rPr>
          <w:spacing w:val="10"/>
          <w:sz w:val="14"/>
        </w:rPr>
        <w:t xml:space="preserve"> </w:t>
      </w:r>
      <w:r>
        <w:rPr>
          <w:sz w:val="14"/>
        </w:rPr>
        <w:t>los</w:t>
      </w:r>
      <w:r>
        <w:rPr>
          <w:spacing w:val="10"/>
          <w:sz w:val="14"/>
        </w:rPr>
        <w:t xml:space="preserve"> </w:t>
      </w:r>
      <w:r>
        <w:rPr>
          <w:sz w:val="14"/>
        </w:rPr>
        <w:t>médicos.</w:t>
      </w:r>
      <w:r>
        <w:rPr>
          <w:spacing w:val="12"/>
          <w:sz w:val="14"/>
        </w:rPr>
        <w:t xml:space="preserve"> </w:t>
      </w:r>
      <w:r>
        <w:rPr>
          <w:sz w:val="14"/>
        </w:rPr>
        <w:t>Por</w:t>
      </w:r>
      <w:r>
        <w:rPr>
          <w:spacing w:val="10"/>
          <w:sz w:val="14"/>
        </w:rPr>
        <w:t xml:space="preserve"> </w:t>
      </w:r>
      <w:r>
        <w:rPr>
          <w:sz w:val="14"/>
        </w:rPr>
        <w:t>lo</w:t>
      </w:r>
      <w:r>
        <w:rPr>
          <w:spacing w:val="40"/>
          <w:sz w:val="14"/>
        </w:rPr>
        <w:t xml:space="preserve"> </w:t>
      </w:r>
      <w:proofErr w:type="gramStart"/>
      <w:r>
        <w:rPr>
          <w:sz w:val="14"/>
        </w:rPr>
        <w:t>tanto ,</w:t>
      </w:r>
      <w:proofErr w:type="gramEnd"/>
      <w:r>
        <w:rPr>
          <w:sz w:val="14"/>
        </w:rPr>
        <w:t xml:space="preserve"> la Sra. AS presentó una queja ante el Comité para la Eliminación de la Discriminación contra la Mujer.</w:t>
      </w:r>
    </w:p>
    <w:p w14:paraId="44843CE0" w14:textId="77777777" w:rsidR="0014798C" w:rsidRDefault="0014798C">
      <w:pPr>
        <w:pStyle w:val="Textoindependiente"/>
        <w:rPr>
          <w:sz w:val="14"/>
        </w:rPr>
      </w:pPr>
    </w:p>
    <w:p w14:paraId="20204334" w14:textId="77777777" w:rsidR="0014798C" w:rsidRDefault="0014798C">
      <w:pPr>
        <w:pStyle w:val="Textoindependiente"/>
        <w:spacing w:before="41"/>
        <w:rPr>
          <w:sz w:val="14"/>
        </w:rPr>
      </w:pPr>
    </w:p>
    <w:p w14:paraId="10BEF5F7" w14:textId="77777777" w:rsidR="0014798C" w:rsidRDefault="004E1F0B">
      <w:pPr>
        <w:spacing w:before="1"/>
        <w:ind w:left="1334"/>
        <w:jc w:val="both"/>
        <w:rPr>
          <w:sz w:val="14"/>
        </w:rPr>
      </w:pPr>
      <w:r>
        <w:rPr>
          <w:sz w:val="14"/>
        </w:rPr>
        <w:t>Al</w:t>
      </w:r>
      <w:r>
        <w:rPr>
          <w:spacing w:val="3"/>
          <w:sz w:val="14"/>
        </w:rPr>
        <w:t xml:space="preserve"> </w:t>
      </w:r>
      <w:r>
        <w:rPr>
          <w:sz w:val="14"/>
        </w:rPr>
        <w:t>pronunciarse</w:t>
      </w:r>
      <w:r>
        <w:rPr>
          <w:spacing w:val="4"/>
          <w:sz w:val="14"/>
        </w:rPr>
        <w:t xml:space="preserve"> </w:t>
      </w:r>
      <w:r>
        <w:rPr>
          <w:sz w:val="14"/>
        </w:rPr>
        <w:t>sobre</w:t>
      </w:r>
      <w:r>
        <w:rPr>
          <w:spacing w:val="4"/>
          <w:sz w:val="14"/>
        </w:rPr>
        <w:t xml:space="preserve"> </w:t>
      </w:r>
      <w:r>
        <w:rPr>
          <w:sz w:val="14"/>
        </w:rPr>
        <w:t>el</w:t>
      </w:r>
      <w:r>
        <w:rPr>
          <w:spacing w:val="3"/>
          <w:sz w:val="14"/>
        </w:rPr>
        <w:t xml:space="preserve"> </w:t>
      </w:r>
      <w:r>
        <w:rPr>
          <w:sz w:val="14"/>
        </w:rPr>
        <w:t>caso,</w:t>
      </w:r>
      <w:r>
        <w:rPr>
          <w:spacing w:val="5"/>
          <w:sz w:val="14"/>
        </w:rPr>
        <w:t xml:space="preserve"> </w:t>
      </w:r>
      <w:r>
        <w:rPr>
          <w:sz w:val="14"/>
        </w:rPr>
        <w:t>el</w:t>
      </w:r>
      <w:r>
        <w:rPr>
          <w:spacing w:val="4"/>
          <w:sz w:val="14"/>
        </w:rPr>
        <w:t xml:space="preserve"> </w:t>
      </w:r>
      <w:r>
        <w:rPr>
          <w:sz w:val="14"/>
        </w:rPr>
        <w:t>Comité</w:t>
      </w:r>
      <w:r>
        <w:rPr>
          <w:spacing w:val="4"/>
          <w:sz w:val="14"/>
        </w:rPr>
        <w:t xml:space="preserve"> </w:t>
      </w:r>
      <w:r>
        <w:rPr>
          <w:sz w:val="14"/>
        </w:rPr>
        <w:t>para</w:t>
      </w:r>
      <w:r>
        <w:rPr>
          <w:spacing w:val="3"/>
          <w:sz w:val="14"/>
        </w:rPr>
        <w:t xml:space="preserve"> </w:t>
      </w:r>
      <w:r>
        <w:rPr>
          <w:sz w:val="14"/>
        </w:rPr>
        <w:t>la</w:t>
      </w:r>
      <w:r>
        <w:rPr>
          <w:spacing w:val="4"/>
          <w:sz w:val="14"/>
        </w:rPr>
        <w:t xml:space="preserve"> </w:t>
      </w:r>
      <w:r>
        <w:rPr>
          <w:sz w:val="14"/>
        </w:rPr>
        <w:t>Eliminación</w:t>
      </w:r>
      <w:r>
        <w:rPr>
          <w:spacing w:val="4"/>
          <w:sz w:val="14"/>
        </w:rPr>
        <w:t xml:space="preserve"> </w:t>
      </w:r>
      <w:r>
        <w:rPr>
          <w:sz w:val="14"/>
        </w:rPr>
        <w:t>de</w:t>
      </w:r>
      <w:r>
        <w:rPr>
          <w:spacing w:val="4"/>
          <w:sz w:val="14"/>
        </w:rPr>
        <w:t xml:space="preserve"> </w:t>
      </w:r>
      <w:r>
        <w:rPr>
          <w:sz w:val="14"/>
        </w:rPr>
        <w:t>la</w:t>
      </w:r>
      <w:r>
        <w:rPr>
          <w:spacing w:val="3"/>
          <w:sz w:val="14"/>
        </w:rPr>
        <w:t xml:space="preserve"> </w:t>
      </w:r>
      <w:r>
        <w:rPr>
          <w:sz w:val="14"/>
        </w:rPr>
        <w:t>Discriminación</w:t>
      </w:r>
      <w:r>
        <w:rPr>
          <w:spacing w:val="4"/>
          <w:sz w:val="14"/>
        </w:rPr>
        <w:t xml:space="preserve"> </w:t>
      </w:r>
      <w:r>
        <w:rPr>
          <w:sz w:val="14"/>
        </w:rPr>
        <w:t>contra</w:t>
      </w:r>
      <w:r>
        <w:rPr>
          <w:spacing w:val="4"/>
          <w:sz w:val="14"/>
        </w:rPr>
        <w:t xml:space="preserve"> </w:t>
      </w:r>
      <w:r>
        <w:rPr>
          <w:sz w:val="14"/>
        </w:rPr>
        <w:t>la</w:t>
      </w:r>
      <w:r>
        <w:rPr>
          <w:spacing w:val="3"/>
          <w:sz w:val="14"/>
        </w:rPr>
        <w:t xml:space="preserve"> </w:t>
      </w:r>
      <w:r>
        <w:rPr>
          <w:sz w:val="14"/>
        </w:rPr>
        <w:t>Mujer</w:t>
      </w:r>
      <w:r>
        <w:rPr>
          <w:spacing w:val="4"/>
          <w:sz w:val="14"/>
        </w:rPr>
        <w:t xml:space="preserve"> </w:t>
      </w:r>
      <w:r>
        <w:rPr>
          <w:sz w:val="14"/>
        </w:rPr>
        <w:t>identificó</w:t>
      </w:r>
      <w:r>
        <w:rPr>
          <w:spacing w:val="4"/>
          <w:sz w:val="14"/>
        </w:rPr>
        <w:t xml:space="preserve"> </w:t>
      </w:r>
      <w:r>
        <w:rPr>
          <w:sz w:val="14"/>
        </w:rPr>
        <w:t>violaciones</w:t>
      </w:r>
      <w:r>
        <w:rPr>
          <w:spacing w:val="4"/>
          <w:sz w:val="14"/>
        </w:rPr>
        <w:t xml:space="preserve"> </w:t>
      </w:r>
      <w:r>
        <w:rPr>
          <w:sz w:val="14"/>
        </w:rPr>
        <w:t>de</w:t>
      </w:r>
      <w:r>
        <w:rPr>
          <w:spacing w:val="3"/>
          <w:sz w:val="14"/>
        </w:rPr>
        <w:t xml:space="preserve"> </w:t>
      </w:r>
      <w:r>
        <w:rPr>
          <w:sz w:val="14"/>
        </w:rPr>
        <w:t>los</w:t>
      </w:r>
      <w:r>
        <w:rPr>
          <w:spacing w:val="4"/>
          <w:sz w:val="14"/>
        </w:rPr>
        <w:t xml:space="preserve"> </w:t>
      </w:r>
      <w:r>
        <w:rPr>
          <w:sz w:val="14"/>
        </w:rPr>
        <w:t>artículos</w:t>
      </w:r>
      <w:r>
        <w:rPr>
          <w:spacing w:val="4"/>
          <w:sz w:val="14"/>
        </w:rPr>
        <w:t xml:space="preserve"> </w:t>
      </w:r>
      <w:r>
        <w:rPr>
          <w:spacing w:val="-5"/>
          <w:sz w:val="14"/>
        </w:rPr>
        <w:t>10</w:t>
      </w:r>
    </w:p>
    <w:p w14:paraId="08EEB091" w14:textId="77777777" w:rsidR="0014798C" w:rsidRDefault="004E1F0B">
      <w:pPr>
        <w:spacing w:before="88" w:line="372" w:lineRule="auto"/>
        <w:ind w:left="1334" w:right="1587" w:hanging="2"/>
        <w:jc w:val="both"/>
        <w:rPr>
          <w:sz w:val="14"/>
        </w:rPr>
      </w:pPr>
      <w:r>
        <w:rPr>
          <w:sz w:val="14"/>
        </w:rPr>
        <w:t>(h)</w:t>
      </w:r>
      <w:r>
        <w:rPr>
          <w:spacing w:val="8"/>
          <w:sz w:val="14"/>
        </w:rPr>
        <w:t xml:space="preserve"> </w:t>
      </w:r>
      <w:r>
        <w:rPr>
          <w:sz w:val="14"/>
        </w:rPr>
        <w:t>(requisito</w:t>
      </w:r>
      <w:r>
        <w:rPr>
          <w:spacing w:val="8"/>
          <w:sz w:val="14"/>
        </w:rPr>
        <w:t xml:space="preserve"> </w:t>
      </w:r>
      <w:r>
        <w:rPr>
          <w:sz w:val="14"/>
        </w:rPr>
        <w:t>de</w:t>
      </w:r>
      <w:r>
        <w:rPr>
          <w:spacing w:val="8"/>
          <w:sz w:val="14"/>
        </w:rPr>
        <w:t xml:space="preserve"> </w:t>
      </w:r>
      <w:r>
        <w:rPr>
          <w:sz w:val="14"/>
        </w:rPr>
        <w:t>eliminar</w:t>
      </w:r>
      <w:r>
        <w:rPr>
          <w:spacing w:val="8"/>
          <w:sz w:val="14"/>
        </w:rPr>
        <w:t xml:space="preserve"> </w:t>
      </w:r>
      <w:r>
        <w:rPr>
          <w:sz w:val="14"/>
        </w:rPr>
        <w:t>la</w:t>
      </w:r>
      <w:r>
        <w:rPr>
          <w:spacing w:val="8"/>
          <w:sz w:val="14"/>
        </w:rPr>
        <w:t xml:space="preserve"> </w:t>
      </w:r>
      <w:r>
        <w:rPr>
          <w:sz w:val="14"/>
        </w:rPr>
        <w:t>discriminación</w:t>
      </w:r>
      <w:r>
        <w:rPr>
          <w:spacing w:val="8"/>
          <w:sz w:val="14"/>
        </w:rPr>
        <w:t xml:space="preserve"> </w:t>
      </w:r>
      <w:r>
        <w:rPr>
          <w:sz w:val="14"/>
        </w:rPr>
        <w:t>en</w:t>
      </w:r>
      <w:r>
        <w:rPr>
          <w:spacing w:val="8"/>
          <w:sz w:val="14"/>
        </w:rPr>
        <w:t xml:space="preserve"> </w:t>
      </w:r>
      <w:r>
        <w:rPr>
          <w:sz w:val="14"/>
        </w:rPr>
        <w:t>la</w:t>
      </w:r>
      <w:r>
        <w:rPr>
          <w:spacing w:val="8"/>
          <w:sz w:val="14"/>
        </w:rPr>
        <w:t xml:space="preserve"> </w:t>
      </w:r>
      <w:r>
        <w:rPr>
          <w:sz w:val="14"/>
        </w:rPr>
        <w:t>educación),</w:t>
      </w:r>
      <w:r>
        <w:rPr>
          <w:spacing w:val="9"/>
          <w:sz w:val="14"/>
        </w:rPr>
        <w:t xml:space="preserve"> </w:t>
      </w:r>
      <w:r>
        <w:rPr>
          <w:sz w:val="14"/>
        </w:rPr>
        <w:t>12</w:t>
      </w:r>
      <w:r>
        <w:rPr>
          <w:spacing w:val="8"/>
          <w:sz w:val="14"/>
        </w:rPr>
        <w:t xml:space="preserve"> </w:t>
      </w:r>
      <w:r>
        <w:rPr>
          <w:sz w:val="14"/>
        </w:rPr>
        <w:t>(requisito</w:t>
      </w:r>
      <w:r>
        <w:rPr>
          <w:spacing w:val="8"/>
          <w:sz w:val="14"/>
        </w:rPr>
        <w:t xml:space="preserve"> </w:t>
      </w:r>
      <w:r>
        <w:rPr>
          <w:sz w:val="14"/>
        </w:rPr>
        <w:t>de</w:t>
      </w:r>
      <w:r>
        <w:rPr>
          <w:spacing w:val="8"/>
          <w:sz w:val="14"/>
        </w:rPr>
        <w:t xml:space="preserve"> </w:t>
      </w:r>
      <w:r>
        <w:rPr>
          <w:sz w:val="14"/>
        </w:rPr>
        <w:t>eliminar</w:t>
      </w:r>
      <w:r>
        <w:rPr>
          <w:spacing w:val="8"/>
          <w:sz w:val="14"/>
        </w:rPr>
        <w:t xml:space="preserve"> </w:t>
      </w:r>
      <w:r>
        <w:rPr>
          <w:sz w:val="14"/>
        </w:rPr>
        <w:t>la</w:t>
      </w:r>
      <w:r>
        <w:rPr>
          <w:spacing w:val="8"/>
          <w:sz w:val="14"/>
        </w:rPr>
        <w:t xml:space="preserve"> </w:t>
      </w:r>
      <w:r>
        <w:rPr>
          <w:sz w:val="14"/>
        </w:rPr>
        <w:t>discriminación</w:t>
      </w:r>
      <w:r>
        <w:rPr>
          <w:spacing w:val="8"/>
          <w:sz w:val="14"/>
        </w:rPr>
        <w:t xml:space="preserve"> </w:t>
      </w:r>
      <w:r>
        <w:rPr>
          <w:sz w:val="14"/>
        </w:rPr>
        <w:t>en</w:t>
      </w:r>
      <w:r>
        <w:rPr>
          <w:spacing w:val="8"/>
          <w:sz w:val="14"/>
        </w:rPr>
        <w:t xml:space="preserve"> </w:t>
      </w:r>
      <w:r>
        <w:rPr>
          <w:sz w:val="14"/>
        </w:rPr>
        <w:t>la</w:t>
      </w:r>
      <w:r>
        <w:rPr>
          <w:spacing w:val="8"/>
          <w:sz w:val="14"/>
        </w:rPr>
        <w:t xml:space="preserve"> </w:t>
      </w:r>
      <w:r>
        <w:rPr>
          <w:sz w:val="14"/>
        </w:rPr>
        <w:t>atención</w:t>
      </w:r>
      <w:r>
        <w:rPr>
          <w:spacing w:val="8"/>
          <w:sz w:val="14"/>
        </w:rPr>
        <w:t xml:space="preserve"> </w:t>
      </w:r>
      <w:r>
        <w:rPr>
          <w:sz w:val="14"/>
        </w:rPr>
        <w:t>de</w:t>
      </w:r>
      <w:r>
        <w:rPr>
          <w:spacing w:val="8"/>
          <w:sz w:val="14"/>
        </w:rPr>
        <w:t xml:space="preserve"> </w:t>
      </w:r>
      <w:r>
        <w:rPr>
          <w:sz w:val="14"/>
        </w:rPr>
        <w:t>salud)</w:t>
      </w:r>
      <w:r>
        <w:rPr>
          <w:spacing w:val="8"/>
          <w:sz w:val="14"/>
        </w:rPr>
        <w:t xml:space="preserve"> </w:t>
      </w:r>
      <w:r>
        <w:rPr>
          <w:sz w:val="14"/>
        </w:rPr>
        <w:t>y</w:t>
      </w:r>
      <w:r>
        <w:rPr>
          <w:spacing w:val="8"/>
          <w:sz w:val="14"/>
        </w:rPr>
        <w:t xml:space="preserve"> </w:t>
      </w:r>
      <w:r>
        <w:rPr>
          <w:sz w:val="14"/>
        </w:rPr>
        <w:t>16</w:t>
      </w:r>
      <w:r>
        <w:rPr>
          <w:spacing w:val="8"/>
          <w:sz w:val="14"/>
        </w:rPr>
        <w:t xml:space="preserve"> </w:t>
      </w:r>
      <w:r>
        <w:rPr>
          <w:sz w:val="14"/>
        </w:rPr>
        <w:t>(1)</w:t>
      </w:r>
      <w:r>
        <w:rPr>
          <w:spacing w:val="8"/>
          <w:sz w:val="14"/>
        </w:rPr>
        <w:t xml:space="preserve"> </w:t>
      </w:r>
      <w:r>
        <w:rPr>
          <w:sz w:val="14"/>
        </w:rPr>
        <w:t>(e)</w:t>
      </w:r>
      <w:r>
        <w:rPr>
          <w:spacing w:val="40"/>
          <w:sz w:val="14"/>
        </w:rPr>
        <w:t xml:space="preserve"> </w:t>
      </w:r>
      <w:proofErr w:type="gramStart"/>
      <w:r>
        <w:rPr>
          <w:sz w:val="14"/>
        </w:rPr>
        <w:t>( requisito</w:t>
      </w:r>
      <w:proofErr w:type="gramEnd"/>
      <w:r>
        <w:rPr>
          <w:sz w:val="14"/>
        </w:rPr>
        <w:t xml:space="preserve"> de eliminar la discriminación en el matrimonio y las relaciones familiares) del convenio pertinente. Sostuvo que Hungría debería</w:t>
      </w:r>
      <w:r>
        <w:rPr>
          <w:spacing w:val="40"/>
          <w:sz w:val="14"/>
        </w:rPr>
        <w:t xml:space="preserve"> </w:t>
      </w:r>
      <w:r>
        <w:rPr>
          <w:sz w:val="14"/>
        </w:rPr>
        <w:t>proporcionar una compensación adecuada a la Sra. AS “conmensurada con la gravedad de las violaciones de sus derechos” y recomendó</w:t>
      </w:r>
      <w:r>
        <w:rPr>
          <w:spacing w:val="40"/>
          <w:sz w:val="14"/>
        </w:rPr>
        <w:t xml:space="preserve"> </w:t>
      </w:r>
      <w:r>
        <w:rPr>
          <w:sz w:val="14"/>
        </w:rPr>
        <w:t>una serie de medidas generales para garantizar la no repetición de los actos, entre ellas:</w:t>
      </w:r>
    </w:p>
    <w:p w14:paraId="47F8681E" w14:textId="77777777" w:rsidR="0014798C" w:rsidRDefault="0014798C">
      <w:pPr>
        <w:pStyle w:val="Textoindependiente"/>
        <w:rPr>
          <w:sz w:val="14"/>
        </w:rPr>
      </w:pPr>
    </w:p>
    <w:p w14:paraId="1FBF1EA4" w14:textId="77777777" w:rsidR="0014798C" w:rsidRDefault="0014798C">
      <w:pPr>
        <w:pStyle w:val="Textoindependiente"/>
        <w:spacing w:before="42"/>
        <w:rPr>
          <w:sz w:val="14"/>
        </w:rPr>
      </w:pPr>
    </w:p>
    <w:p w14:paraId="020747F5" w14:textId="77777777" w:rsidR="0014798C" w:rsidRDefault="004E1F0B">
      <w:pPr>
        <w:pStyle w:val="Prrafodelista"/>
        <w:numPr>
          <w:ilvl w:val="1"/>
          <w:numId w:val="43"/>
        </w:numPr>
        <w:tabs>
          <w:tab w:val="left" w:pos="1786"/>
          <w:tab w:val="left" w:pos="1899"/>
        </w:tabs>
        <w:spacing w:line="372" w:lineRule="auto"/>
        <w:ind w:right="1850" w:hanging="201"/>
        <w:rPr>
          <w:sz w:val="14"/>
        </w:rPr>
      </w:pPr>
      <w:r>
        <w:rPr>
          <w:sz w:val="14"/>
        </w:rPr>
        <w:t>Adoptar nuevas medidas para garantizar que todo el personal pertinente del sector público y privado conozca y respete las</w:t>
      </w:r>
      <w:r>
        <w:rPr>
          <w:spacing w:val="40"/>
          <w:sz w:val="14"/>
        </w:rPr>
        <w:t xml:space="preserve"> </w:t>
      </w:r>
      <w:r>
        <w:rPr>
          <w:sz w:val="14"/>
        </w:rPr>
        <w:t>disposiciones pertinentes de la Convención y los párrafos pertinentes de las recomendaciones generales del Comité Nos. 19,</w:t>
      </w:r>
      <w:r>
        <w:rPr>
          <w:spacing w:val="40"/>
          <w:sz w:val="14"/>
        </w:rPr>
        <w:t xml:space="preserve"> </w:t>
      </w:r>
      <w:r>
        <w:rPr>
          <w:sz w:val="14"/>
        </w:rPr>
        <w:t>21 y 24 en relación con la salud y los derechos reproductivos de la mujer. centros de salud, incluidos hospitales y clínicas.</w:t>
      </w:r>
    </w:p>
    <w:p w14:paraId="6C603554" w14:textId="77777777" w:rsidR="0014798C" w:rsidRDefault="0014798C">
      <w:pPr>
        <w:pStyle w:val="Textoindependiente"/>
        <w:rPr>
          <w:sz w:val="14"/>
        </w:rPr>
      </w:pPr>
    </w:p>
    <w:p w14:paraId="41EAC19E" w14:textId="77777777" w:rsidR="0014798C" w:rsidRDefault="0014798C">
      <w:pPr>
        <w:pStyle w:val="Textoindependiente"/>
        <w:spacing w:before="42"/>
        <w:rPr>
          <w:sz w:val="14"/>
        </w:rPr>
      </w:pPr>
    </w:p>
    <w:p w14:paraId="66129CBE" w14:textId="77777777" w:rsidR="0014798C" w:rsidRDefault="004E1F0B">
      <w:pPr>
        <w:pStyle w:val="Prrafodelista"/>
        <w:numPr>
          <w:ilvl w:val="1"/>
          <w:numId w:val="43"/>
        </w:numPr>
        <w:tabs>
          <w:tab w:val="left" w:pos="1786"/>
          <w:tab w:val="left" w:pos="1904"/>
        </w:tabs>
        <w:spacing w:line="372" w:lineRule="auto"/>
        <w:ind w:left="1904" w:right="2311" w:hanging="206"/>
        <w:rPr>
          <w:sz w:val="14"/>
        </w:rPr>
      </w:pPr>
      <w:r>
        <w:rPr>
          <w:sz w:val="14"/>
        </w:rPr>
        <w:t>Revisar la legislación nacional sobre el principio del consentimiento informado en casos de esterilización y garantizar su</w:t>
      </w:r>
      <w:r>
        <w:rPr>
          <w:spacing w:val="40"/>
          <w:sz w:val="14"/>
        </w:rPr>
        <w:t xml:space="preserve"> </w:t>
      </w:r>
      <w:r>
        <w:rPr>
          <w:sz w:val="14"/>
        </w:rPr>
        <w:t>conformidad con las normas médicas y de derechos humanos internacionales...</w:t>
      </w:r>
    </w:p>
    <w:p w14:paraId="731416C3" w14:textId="77777777" w:rsidR="0014798C" w:rsidRDefault="004E1F0B">
      <w:pPr>
        <w:pStyle w:val="Prrafodelista"/>
        <w:numPr>
          <w:ilvl w:val="1"/>
          <w:numId w:val="43"/>
        </w:numPr>
        <w:tabs>
          <w:tab w:val="left" w:pos="1785"/>
          <w:tab w:val="left" w:pos="1896"/>
        </w:tabs>
        <w:spacing w:before="113" w:line="372" w:lineRule="auto"/>
        <w:ind w:left="1896" w:right="1778" w:hanging="199"/>
        <w:rPr>
          <w:sz w:val="14"/>
        </w:rPr>
      </w:pPr>
      <w:r>
        <w:rPr>
          <w:sz w:val="14"/>
        </w:rPr>
        <w:t>Supervisar los centros de salud públicos y privados, incluidos hospitales y clínicas, que realizan procedimientos de esterilización</w:t>
      </w:r>
      <w:r>
        <w:rPr>
          <w:spacing w:val="40"/>
          <w:sz w:val="14"/>
        </w:rPr>
        <w:t xml:space="preserve"> </w:t>
      </w:r>
      <w:r>
        <w:rPr>
          <w:sz w:val="14"/>
        </w:rPr>
        <w:t>para garantizar que el paciente dé su consentimiento plenamente informado antes de realizar cualquier procedimiento de</w:t>
      </w:r>
      <w:r>
        <w:rPr>
          <w:spacing w:val="40"/>
          <w:sz w:val="14"/>
        </w:rPr>
        <w:t xml:space="preserve"> </w:t>
      </w:r>
      <w:r>
        <w:rPr>
          <w:sz w:val="14"/>
        </w:rPr>
        <w:t>esterilización, con sanciones apropiadas en caso de incumplimiento</w:t>
      </w:r>
      <w:proofErr w:type="gramStart"/>
      <w:r>
        <w:rPr>
          <w:sz w:val="14"/>
        </w:rPr>
        <w:t>. .</w:t>
      </w:r>
      <w:proofErr w:type="gramEnd"/>
    </w:p>
    <w:p w14:paraId="64BA2CB3" w14:textId="77777777" w:rsidR="0014798C" w:rsidRDefault="0014798C">
      <w:pPr>
        <w:pStyle w:val="Textoindependiente"/>
        <w:rPr>
          <w:sz w:val="14"/>
        </w:rPr>
      </w:pPr>
    </w:p>
    <w:p w14:paraId="5551C497" w14:textId="77777777" w:rsidR="0014798C" w:rsidRDefault="0014798C">
      <w:pPr>
        <w:pStyle w:val="Textoindependiente"/>
        <w:spacing w:before="42"/>
        <w:rPr>
          <w:sz w:val="14"/>
        </w:rPr>
      </w:pPr>
    </w:p>
    <w:p w14:paraId="3CEFAE78" w14:textId="77777777" w:rsidR="0014798C" w:rsidRDefault="004E1F0B">
      <w:pPr>
        <w:spacing w:line="372" w:lineRule="auto"/>
        <w:ind w:left="1900" w:right="1781" w:firstLine="13"/>
        <w:rPr>
          <w:sz w:val="14"/>
        </w:rPr>
      </w:pPr>
      <w:r>
        <w:rPr>
          <w:sz w:val="14"/>
        </w:rPr>
        <w:t>…</w:t>
      </w:r>
      <w:r>
        <w:rPr>
          <w:spacing w:val="7"/>
          <w:sz w:val="14"/>
        </w:rPr>
        <w:t xml:space="preserve"> </w:t>
      </w:r>
      <w:r>
        <w:rPr>
          <w:sz w:val="14"/>
        </w:rPr>
        <w:t>publicar</w:t>
      </w:r>
      <w:r>
        <w:rPr>
          <w:spacing w:val="7"/>
          <w:sz w:val="14"/>
        </w:rPr>
        <w:t xml:space="preserve"> </w:t>
      </w:r>
      <w:r>
        <w:rPr>
          <w:sz w:val="14"/>
        </w:rPr>
        <w:t>las</w:t>
      </w:r>
      <w:r>
        <w:rPr>
          <w:spacing w:val="7"/>
          <w:sz w:val="14"/>
        </w:rPr>
        <w:t xml:space="preserve"> </w:t>
      </w:r>
      <w:r>
        <w:rPr>
          <w:sz w:val="14"/>
        </w:rPr>
        <w:t>opiniones</w:t>
      </w:r>
      <w:r>
        <w:rPr>
          <w:spacing w:val="7"/>
          <w:sz w:val="14"/>
        </w:rPr>
        <w:t xml:space="preserve"> </w:t>
      </w:r>
      <w:r>
        <w:rPr>
          <w:sz w:val="14"/>
        </w:rPr>
        <w:t>y</w:t>
      </w:r>
      <w:r>
        <w:rPr>
          <w:spacing w:val="7"/>
          <w:sz w:val="14"/>
        </w:rPr>
        <w:t xml:space="preserve"> </w:t>
      </w:r>
      <w:r>
        <w:rPr>
          <w:sz w:val="14"/>
        </w:rPr>
        <w:t>recomendaciones</w:t>
      </w:r>
      <w:r>
        <w:rPr>
          <w:spacing w:val="7"/>
          <w:sz w:val="14"/>
        </w:rPr>
        <w:t xml:space="preserve"> </w:t>
      </w:r>
      <w:r>
        <w:rPr>
          <w:sz w:val="14"/>
        </w:rPr>
        <w:t>del</w:t>
      </w:r>
      <w:r>
        <w:rPr>
          <w:spacing w:val="7"/>
          <w:sz w:val="14"/>
        </w:rPr>
        <w:t xml:space="preserve"> </w:t>
      </w:r>
      <w:r>
        <w:rPr>
          <w:sz w:val="14"/>
        </w:rPr>
        <w:t>Comité</w:t>
      </w:r>
      <w:r>
        <w:rPr>
          <w:spacing w:val="7"/>
          <w:sz w:val="14"/>
        </w:rPr>
        <w:t xml:space="preserve"> </w:t>
      </w:r>
      <w:r>
        <w:rPr>
          <w:sz w:val="14"/>
        </w:rPr>
        <w:t>y</w:t>
      </w:r>
      <w:r>
        <w:rPr>
          <w:spacing w:val="7"/>
          <w:sz w:val="14"/>
        </w:rPr>
        <w:t xml:space="preserve"> </w:t>
      </w:r>
      <w:r>
        <w:rPr>
          <w:sz w:val="14"/>
        </w:rPr>
        <w:t>traducirlas</w:t>
      </w:r>
      <w:r>
        <w:rPr>
          <w:spacing w:val="7"/>
          <w:sz w:val="14"/>
        </w:rPr>
        <w:t xml:space="preserve"> </w:t>
      </w:r>
      <w:r>
        <w:rPr>
          <w:sz w:val="14"/>
        </w:rPr>
        <w:t>al</w:t>
      </w:r>
      <w:r>
        <w:rPr>
          <w:spacing w:val="7"/>
          <w:sz w:val="14"/>
        </w:rPr>
        <w:t xml:space="preserve"> </w:t>
      </w:r>
      <w:r>
        <w:rPr>
          <w:sz w:val="14"/>
        </w:rPr>
        <w:t>idioma</w:t>
      </w:r>
      <w:r>
        <w:rPr>
          <w:spacing w:val="7"/>
          <w:sz w:val="14"/>
        </w:rPr>
        <w:t xml:space="preserve"> </w:t>
      </w:r>
      <w:r>
        <w:rPr>
          <w:sz w:val="14"/>
        </w:rPr>
        <w:t>húngaro</w:t>
      </w:r>
      <w:r>
        <w:rPr>
          <w:spacing w:val="7"/>
          <w:sz w:val="14"/>
        </w:rPr>
        <w:t xml:space="preserve"> </w:t>
      </w:r>
      <w:r>
        <w:rPr>
          <w:sz w:val="14"/>
        </w:rPr>
        <w:t>y</w:t>
      </w:r>
      <w:r>
        <w:rPr>
          <w:spacing w:val="7"/>
          <w:sz w:val="14"/>
        </w:rPr>
        <w:t xml:space="preserve"> </w:t>
      </w:r>
      <w:r>
        <w:rPr>
          <w:sz w:val="14"/>
        </w:rPr>
        <w:t>distribuirlas</w:t>
      </w:r>
      <w:r>
        <w:rPr>
          <w:spacing w:val="7"/>
          <w:sz w:val="14"/>
        </w:rPr>
        <w:t xml:space="preserve"> </w:t>
      </w:r>
      <w:r>
        <w:rPr>
          <w:sz w:val="14"/>
        </w:rPr>
        <w:t>ampliamente</w:t>
      </w:r>
      <w:r>
        <w:rPr>
          <w:spacing w:val="7"/>
          <w:sz w:val="14"/>
        </w:rPr>
        <w:t xml:space="preserve"> </w:t>
      </w:r>
      <w:r>
        <w:rPr>
          <w:sz w:val="14"/>
        </w:rPr>
        <w:t>para</w:t>
      </w:r>
      <w:r>
        <w:rPr>
          <w:spacing w:val="7"/>
          <w:sz w:val="14"/>
        </w:rPr>
        <w:t xml:space="preserve"> </w:t>
      </w:r>
      <w:r>
        <w:rPr>
          <w:sz w:val="14"/>
        </w:rPr>
        <w:t>llegar</w:t>
      </w:r>
      <w:r>
        <w:rPr>
          <w:spacing w:val="40"/>
          <w:sz w:val="14"/>
        </w:rPr>
        <w:t xml:space="preserve"> </w:t>
      </w:r>
      <w:r>
        <w:rPr>
          <w:sz w:val="14"/>
        </w:rPr>
        <w:t>a todos los sectores relevantes de la sociedad.704</w:t>
      </w:r>
    </w:p>
    <w:p w14:paraId="520514B9" w14:textId="77777777" w:rsidR="0014798C" w:rsidRDefault="004E1F0B">
      <w:pPr>
        <w:spacing w:before="114" w:line="372" w:lineRule="auto"/>
        <w:ind w:left="1332" w:right="2004"/>
        <w:rPr>
          <w:sz w:val="14"/>
        </w:rPr>
      </w:pPr>
      <w:r>
        <w:rPr>
          <w:sz w:val="14"/>
        </w:rPr>
        <w:t>Como resultado de la decisión, Hungría adoptó una serie de modificaciones de su legislación y política internas y proporcionó una</w:t>
      </w:r>
      <w:r>
        <w:rPr>
          <w:spacing w:val="40"/>
          <w:sz w:val="14"/>
        </w:rPr>
        <w:t xml:space="preserve"> </w:t>
      </w:r>
      <w:r>
        <w:rPr>
          <w:sz w:val="14"/>
        </w:rPr>
        <w:t>compensación monetaria a la Sra. AS.</w:t>
      </w:r>
    </w:p>
    <w:p w14:paraId="27F8E2F6" w14:textId="77777777" w:rsidR="0014798C" w:rsidRDefault="0014798C">
      <w:pPr>
        <w:pStyle w:val="Textoindependiente"/>
        <w:spacing w:before="132"/>
        <w:rPr>
          <w:sz w:val="23"/>
        </w:rPr>
      </w:pPr>
    </w:p>
    <w:p w14:paraId="1227C479" w14:textId="77777777" w:rsidR="0014798C" w:rsidRDefault="004E1F0B">
      <w:pPr>
        <w:numPr>
          <w:ilvl w:val="0"/>
          <w:numId w:val="43"/>
        </w:numPr>
        <w:tabs>
          <w:tab w:val="left" w:pos="1377"/>
        </w:tabs>
        <w:spacing w:before="1"/>
        <w:ind w:left="1377" w:hanging="262"/>
        <w:rPr>
          <w:color w:val="00AC59"/>
          <w:sz w:val="23"/>
        </w:rPr>
      </w:pPr>
      <w:r>
        <w:rPr>
          <w:color w:val="00AC59"/>
          <w:sz w:val="23"/>
        </w:rPr>
        <w:t>Demandantes,</w:t>
      </w:r>
      <w:r>
        <w:rPr>
          <w:color w:val="00AC59"/>
          <w:spacing w:val="29"/>
          <w:sz w:val="23"/>
        </w:rPr>
        <w:t xml:space="preserve"> </w:t>
      </w:r>
      <w:r>
        <w:rPr>
          <w:color w:val="00AC59"/>
          <w:sz w:val="23"/>
        </w:rPr>
        <w:t>demandados</w:t>
      </w:r>
      <w:r>
        <w:rPr>
          <w:color w:val="00AC59"/>
          <w:spacing w:val="26"/>
          <w:sz w:val="23"/>
        </w:rPr>
        <w:t xml:space="preserve"> </w:t>
      </w:r>
      <w:r>
        <w:rPr>
          <w:color w:val="00AC59"/>
          <w:sz w:val="23"/>
        </w:rPr>
        <w:t>y</w:t>
      </w:r>
      <w:r>
        <w:rPr>
          <w:color w:val="00AC59"/>
          <w:spacing w:val="27"/>
          <w:sz w:val="23"/>
        </w:rPr>
        <w:t xml:space="preserve"> </w:t>
      </w:r>
      <w:r>
        <w:rPr>
          <w:color w:val="00AC59"/>
          <w:spacing w:val="-2"/>
          <w:sz w:val="23"/>
        </w:rPr>
        <w:t>procedimiento</w:t>
      </w:r>
    </w:p>
    <w:p w14:paraId="1AA905EA" w14:textId="77777777" w:rsidR="0014798C" w:rsidRDefault="0014798C">
      <w:pPr>
        <w:pStyle w:val="Textoindependiente"/>
        <w:spacing w:before="100"/>
        <w:rPr>
          <w:sz w:val="14"/>
        </w:rPr>
      </w:pPr>
    </w:p>
    <w:p w14:paraId="61549F13" w14:textId="77777777" w:rsidR="0014798C" w:rsidRDefault="004E1F0B">
      <w:pPr>
        <w:spacing w:line="372" w:lineRule="auto"/>
        <w:ind w:left="1108" w:right="1418" w:firstLine="6"/>
        <w:rPr>
          <w:sz w:val="14"/>
        </w:rPr>
      </w:pPr>
      <w:r>
        <w:rPr>
          <w:sz w:val="14"/>
        </w:rPr>
        <w:t>Se pueden presentar denuncias ante un Comité contra un Estado que sea parte en el tratado en cuestión y haya aceptado la competencia del</w:t>
      </w:r>
      <w:r>
        <w:rPr>
          <w:spacing w:val="40"/>
          <w:sz w:val="14"/>
        </w:rPr>
        <w:t xml:space="preserve"> </w:t>
      </w:r>
      <w:r>
        <w:rPr>
          <w:sz w:val="14"/>
        </w:rPr>
        <w:t>Comité</w:t>
      </w:r>
      <w:r>
        <w:rPr>
          <w:spacing w:val="8"/>
          <w:sz w:val="14"/>
        </w:rPr>
        <w:t xml:space="preserve"> </w:t>
      </w:r>
      <w:r>
        <w:rPr>
          <w:sz w:val="14"/>
        </w:rPr>
        <w:t>para</w:t>
      </w:r>
      <w:r>
        <w:rPr>
          <w:spacing w:val="8"/>
          <w:sz w:val="14"/>
        </w:rPr>
        <w:t xml:space="preserve"> </w:t>
      </w:r>
      <w:r>
        <w:rPr>
          <w:sz w:val="14"/>
        </w:rPr>
        <w:t>examinar</w:t>
      </w:r>
      <w:r>
        <w:rPr>
          <w:spacing w:val="8"/>
          <w:sz w:val="14"/>
        </w:rPr>
        <w:t xml:space="preserve"> </w:t>
      </w:r>
      <w:r>
        <w:rPr>
          <w:sz w:val="14"/>
        </w:rPr>
        <w:t>denuncias</w:t>
      </w:r>
      <w:r>
        <w:rPr>
          <w:spacing w:val="8"/>
          <w:sz w:val="14"/>
        </w:rPr>
        <w:t xml:space="preserve"> </w:t>
      </w:r>
      <w:r>
        <w:rPr>
          <w:sz w:val="14"/>
        </w:rPr>
        <w:t>individuales,</w:t>
      </w:r>
      <w:r>
        <w:rPr>
          <w:spacing w:val="9"/>
          <w:sz w:val="14"/>
        </w:rPr>
        <w:t xml:space="preserve"> </w:t>
      </w:r>
      <w:r>
        <w:rPr>
          <w:sz w:val="14"/>
        </w:rPr>
        <w:t>ya</w:t>
      </w:r>
      <w:r>
        <w:rPr>
          <w:spacing w:val="8"/>
          <w:sz w:val="14"/>
        </w:rPr>
        <w:t xml:space="preserve"> </w:t>
      </w:r>
      <w:r>
        <w:rPr>
          <w:sz w:val="14"/>
        </w:rPr>
        <w:t>sea</w:t>
      </w:r>
      <w:r>
        <w:rPr>
          <w:spacing w:val="8"/>
          <w:sz w:val="14"/>
        </w:rPr>
        <w:t xml:space="preserve"> </w:t>
      </w:r>
      <w:r>
        <w:rPr>
          <w:sz w:val="14"/>
        </w:rPr>
        <w:t>mediante</w:t>
      </w:r>
      <w:r>
        <w:rPr>
          <w:spacing w:val="8"/>
          <w:sz w:val="14"/>
        </w:rPr>
        <w:t xml:space="preserve"> </w:t>
      </w:r>
      <w:r>
        <w:rPr>
          <w:sz w:val="14"/>
        </w:rPr>
        <w:t>la</w:t>
      </w:r>
      <w:r>
        <w:rPr>
          <w:spacing w:val="8"/>
          <w:sz w:val="14"/>
        </w:rPr>
        <w:t xml:space="preserve"> </w:t>
      </w:r>
      <w:r>
        <w:rPr>
          <w:sz w:val="14"/>
        </w:rPr>
        <w:t>ratificación</w:t>
      </w:r>
      <w:r>
        <w:rPr>
          <w:spacing w:val="8"/>
          <w:sz w:val="14"/>
        </w:rPr>
        <w:t xml:space="preserve"> </w:t>
      </w:r>
      <w:r>
        <w:rPr>
          <w:sz w:val="14"/>
        </w:rPr>
        <w:t>del</w:t>
      </w:r>
      <w:r>
        <w:rPr>
          <w:spacing w:val="8"/>
          <w:sz w:val="14"/>
        </w:rPr>
        <w:t xml:space="preserve"> </w:t>
      </w:r>
      <w:r>
        <w:rPr>
          <w:sz w:val="14"/>
        </w:rPr>
        <w:t>protocolo</w:t>
      </w:r>
      <w:r>
        <w:rPr>
          <w:spacing w:val="8"/>
          <w:sz w:val="14"/>
        </w:rPr>
        <w:t xml:space="preserve"> </w:t>
      </w:r>
      <w:r>
        <w:rPr>
          <w:sz w:val="14"/>
        </w:rPr>
        <w:t>facultativo</w:t>
      </w:r>
      <w:r>
        <w:rPr>
          <w:spacing w:val="8"/>
          <w:sz w:val="14"/>
        </w:rPr>
        <w:t xml:space="preserve"> </w:t>
      </w:r>
      <w:r>
        <w:rPr>
          <w:sz w:val="14"/>
        </w:rPr>
        <w:t>pertinente</w:t>
      </w:r>
      <w:r>
        <w:rPr>
          <w:spacing w:val="8"/>
          <w:sz w:val="14"/>
        </w:rPr>
        <w:t xml:space="preserve"> </w:t>
      </w:r>
      <w:r>
        <w:rPr>
          <w:sz w:val="14"/>
        </w:rPr>
        <w:t>o</w:t>
      </w:r>
      <w:r>
        <w:rPr>
          <w:spacing w:val="8"/>
          <w:sz w:val="14"/>
        </w:rPr>
        <w:t xml:space="preserve"> </w:t>
      </w:r>
      <w:r>
        <w:rPr>
          <w:sz w:val="14"/>
        </w:rPr>
        <w:t>mediante</w:t>
      </w:r>
      <w:r>
        <w:rPr>
          <w:spacing w:val="8"/>
          <w:sz w:val="14"/>
        </w:rPr>
        <w:t xml:space="preserve"> </w:t>
      </w:r>
      <w:r>
        <w:rPr>
          <w:sz w:val="14"/>
        </w:rPr>
        <w:t>una</w:t>
      </w:r>
      <w:r>
        <w:rPr>
          <w:spacing w:val="8"/>
          <w:sz w:val="14"/>
        </w:rPr>
        <w:t xml:space="preserve"> </w:t>
      </w:r>
      <w:r>
        <w:rPr>
          <w:sz w:val="14"/>
        </w:rPr>
        <w:t>declaración</w:t>
      </w:r>
      <w:r>
        <w:rPr>
          <w:spacing w:val="8"/>
          <w:sz w:val="14"/>
        </w:rPr>
        <w:t xml:space="preserve"> </w:t>
      </w:r>
      <w:r>
        <w:rPr>
          <w:sz w:val="14"/>
        </w:rPr>
        <w:t>(en</w:t>
      </w:r>
      <w:r>
        <w:rPr>
          <w:spacing w:val="40"/>
          <w:sz w:val="14"/>
        </w:rPr>
        <w:t xml:space="preserve"> </w:t>
      </w:r>
      <w:r>
        <w:rPr>
          <w:sz w:val="14"/>
        </w:rPr>
        <w:t>el caso del Comité de la Eliminación de la Discriminación Racial). Antes de presentar una denuncia, deben haberse agotado todos los recursos</w:t>
      </w:r>
      <w:r>
        <w:rPr>
          <w:spacing w:val="40"/>
          <w:sz w:val="14"/>
        </w:rPr>
        <w:t xml:space="preserve"> </w:t>
      </w:r>
      <w:r>
        <w:rPr>
          <w:spacing w:val="-2"/>
          <w:sz w:val="14"/>
        </w:rPr>
        <w:t>internos.</w:t>
      </w:r>
    </w:p>
    <w:p w14:paraId="0667772B" w14:textId="77777777" w:rsidR="0014798C" w:rsidRDefault="0014798C">
      <w:pPr>
        <w:pStyle w:val="Textoindependiente"/>
        <w:spacing w:before="9"/>
        <w:rPr>
          <w:sz w:val="14"/>
        </w:rPr>
      </w:pPr>
    </w:p>
    <w:p w14:paraId="4A53693D" w14:textId="77777777" w:rsidR="0014798C" w:rsidRDefault="004E1F0B">
      <w:pPr>
        <w:spacing w:before="1" w:line="372" w:lineRule="auto"/>
        <w:ind w:left="1107" w:right="1463" w:firstLine="7"/>
        <w:rPr>
          <w:sz w:val="14"/>
        </w:rPr>
      </w:pPr>
      <w:r>
        <w:rPr>
          <w:sz w:val="14"/>
        </w:rPr>
        <w:t>Puede presentar denuncias cualquier persona que se considere objeto de discriminación o de otro derecho garantizado por el instrumento</w:t>
      </w:r>
      <w:r>
        <w:rPr>
          <w:spacing w:val="40"/>
          <w:sz w:val="14"/>
        </w:rPr>
        <w:t xml:space="preserve"> </w:t>
      </w:r>
      <w:r>
        <w:rPr>
          <w:sz w:val="14"/>
        </w:rPr>
        <w:t>correspondiente. Las reclamaciones podrán ser presentadas por terceros, siempre que los sujetos individuales de la reclamación hayan dado su</w:t>
      </w:r>
      <w:r>
        <w:rPr>
          <w:spacing w:val="40"/>
          <w:sz w:val="14"/>
        </w:rPr>
        <w:t xml:space="preserve"> </w:t>
      </w:r>
      <w:r>
        <w:rPr>
          <w:sz w:val="14"/>
        </w:rPr>
        <w:t>consentimiento por escrito. En determinados casos, un tercero puede presentar una demanda sin dicho consentimiento, por ejemplo, en una</w:t>
      </w:r>
      <w:r>
        <w:rPr>
          <w:spacing w:val="40"/>
          <w:sz w:val="14"/>
        </w:rPr>
        <w:t xml:space="preserve"> </w:t>
      </w:r>
      <w:r>
        <w:rPr>
          <w:sz w:val="14"/>
        </w:rPr>
        <w:t>situación en la que una persona se encuentra en prisión sin acceso al mundo exterior o es víctima de una desaparición forzada. En tales casos, el</w:t>
      </w:r>
      <w:r>
        <w:rPr>
          <w:spacing w:val="40"/>
          <w:sz w:val="14"/>
        </w:rPr>
        <w:t xml:space="preserve"> </w:t>
      </w:r>
      <w:r>
        <w:rPr>
          <w:sz w:val="14"/>
        </w:rPr>
        <w:t>autor de la denuncia debe indicar claramente por qué no puede proporcionar dicho consentimiento.</w:t>
      </w:r>
    </w:p>
    <w:p w14:paraId="7CF920F9" w14:textId="77777777" w:rsidR="0014798C" w:rsidRDefault="0014798C">
      <w:pPr>
        <w:pStyle w:val="Textoindependiente"/>
        <w:rPr>
          <w:sz w:val="14"/>
        </w:rPr>
      </w:pPr>
    </w:p>
    <w:p w14:paraId="7C72EC29" w14:textId="77777777" w:rsidR="0014798C" w:rsidRDefault="0014798C">
      <w:pPr>
        <w:pStyle w:val="Textoindependiente"/>
        <w:spacing w:before="98"/>
        <w:rPr>
          <w:sz w:val="14"/>
        </w:rPr>
      </w:pPr>
    </w:p>
    <w:p w14:paraId="5FDADCE6" w14:textId="77777777" w:rsidR="0014798C" w:rsidRDefault="004E1F0B">
      <w:pPr>
        <w:spacing w:line="372" w:lineRule="auto"/>
        <w:ind w:left="1108" w:right="1463" w:hanging="2"/>
        <w:rPr>
          <w:sz w:val="14"/>
        </w:rPr>
      </w:pPr>
      <w:r>
        <w:rPr>
          <w:sz w:val="14"/>
        </w:rPr>
        <w:t>Los órganos de tratados tienen reglas detalladas para la presentación de quejas y procedimientos para su consideración, que pueden encontrarse</w:t>
      </w:r>
      <w:r>
        <w:rPr>
          <w:spacing w:val="80"/>
          <w:sz w:val="14"/>
        </w:rPr>
        <w:t xml:space="preserve"> </w:t>
      </w:r>
      <w:r>
        <w:rPr>
          <w:sz w:val="14"/>
        </w:rPr>
        <w:t>en las páginas web pertinentes del ACNUDH.705</w:t>
      </w:r>
    </w:p>
    <w:p w14:paraId="6A595512" w14:textId="77777777" w:rsidR="0014798C" w:rsidRDefault="0014798C">
      <w:pPr>
        <w:pStyle w:val="Textoindependiente"/>
        <w:rPr>
          <w:sz w:val="15"/>
        </w:rPr>
      </w:pPr>
    </w:p>
    <w:p w14:paraId="00217480" w14:textId="77777777" w:rsidR="0014798C" w:rsidRDefault="0014798C">
      <w:pPr>
        <w:pStyle w:val="Textoindependiente"/>
        <w:rPr>
          <w:sz w:val="15"/>
        </w:rPr>
      </w:pPr>
    </w:p>
    <w:p w14:paraId="1E7F07A0" w14:textId="77777777" w:rsidR="0014798C" w:rsidRDefault="0014798C">
      <w:pPr>
        <w:pStyle w:val="Textoindependiente"/>
        <w:rPr>
          <w:sz w:val="15"/>
        </w:rPr>
      </w:pPr>
    </w:p>
    <w:p w14:paraId="0A5456A7" w14:textId="77777777" w:rsidR="0014798C" w:rsidRDefault="0014798C">
      <w:pPr>
        <w:pStyle w:val="Textoindependiente"/>
        <w:rPr>
          <w:sz w:val="15"/>
        </w:rPr>
      </w:pPr>
    </w:p>
    <w:p w14:paraId="608CF824" w14:textId="77777777" w:rsidR="0014798C" w:rsidRDefault="0014798C">
      <w:pPr>
        <w:pStyle w:val="Textoindependiente"/>
        <w:spacing w:before="89"/>
        <w:rPr>
          <w:sz w:val="15"/>
        </w:rPr>
      </w:pPr>
    </w:p>
    <w:p w14:paraId="1B18751E" w14:textId="77777777" w:rsidR="0014798C" w:rsidRDefault="004E1F0B">
      <w:pPr>
        <w:spacing w:before="1"/>
        <w:ind w:left="1108"/>
        <w:rPr>
          <w:sz w:val="15"/>
        </w:rPr>
      </w:pPr>
      <w:r>
        <w:rPr>
          <w:sz w:val="15"/>
        </w:rPr>
        <w:t>704</w:t>
      </w:r>
      <w:r>
        <w:rPr>
          <w:spacing w:val="-1"/>
          <w:sz w:val="15"/>
        </w:rPr>
        <w:t xml:space="preserve"> </w:t>
      </w:r>
      <w:r>
        <w:rPr>
          <w:sz w:val="15"/>
        </w:rPr>
        <w:t>Comité</w:t>
      </w:r>
      <w:r>
        <w:rPr>
          <w:spacing w:val="-1"/>
          <w:sz w:val="15"/>
        </w:rPr>
        <w:t xml:space="preserve"> </w:t>
      </w:r>
      <w:r>
        <w:rPr>
          <w:sz w:val="15"/>
        </w:rPr>
        <w:t>para la</w:t>
      </w:r>
      <w:r>
        <w:rPr>
          <w:spacing w:val="-1"/>
          <w:sz w:val="15"/>
        </w:rPr>
        <w:t xml:space="preserve"> </w:t>
      </w:r>
      <w:r>
        <w:rPr>
          <w:sz w:val="15"/>
        </w:rPr>
        <w:t>Eliminación de</w:t>
      </w:r>
      <w:r>
        <w:rPr>
          <w:spacing w:val="-1"/>
          <w:sz w:val="15"/>
        </w:rPr>
        <w:t xml:space="preserve"> </w:t>
      </w:r>
      <w:r>
        <w:rPr>
          <w:sz w:val="15"/>
        </w:rPr>
        <w:t>la Discriminación</w:t>
      </w:r>
      <w:r>
        <w:rPr>
          <w:spacing w:val="-1"/>
          <w:sz w:val="15"/>
        </w:rPr>
        <w:t xml:space="preserve"> </w:t>
      </w:r>
      <w:r>
        <w:rPr>
          <w:sz w:val="15"/>
        </w:rPr>
        <w:t>contra la</w:t>
      </w:r>
      <w:r>
        <w:rPr>
          <w:spacing w:val="-1"/>
          <w:sz w:val="15"/>
        </w:rPr>
        <w:t xml:space="preserve"> </w:t>
      </w:r>
      <w:r>
        <w:rPr>
          <w:sz w:val="15"/>
        </w:rPr>
        <w:t>Mujer, AS</w:t>
      </w:r>
      <w:r>
        <w:rPr>
          <w:spacing w:val="-1"/>
          <w:sz w:val="15"/>
        </w:rPr>
        <w:t xml:space="preserve"> </w:t>
      </w:r>
      <w:r>
        <w:rPr>
          <w:sz w:val="15"/>
        </w:rPr>
        <w:t>c. Hungría,</w:t>
      </w:r>
      <w:r>
        <w:rPr>
          <w:spacing w:val="-1"/>
          <w:sz w:val="15"/>
        </w:rPr>
        <w:t xml:space="preserve"> </w:t>
      </w:r>
      <w:r>
        <w:rPr>
          <w:sz w:val="15"/>
        </w:rPr>
        <w:t>comunicación núm.</w:t>
      </w:r>
      <w:r>
        <w:rPr>
          <w:spacing w:val="-1"/>
          <w:sz w:val="15"/>
        </w:rPr>
        <w:t xml:space="preserve"> </w:t>
      </w:r>
      <w:r>
        <w:rPr>
          <w:sz w:val="15"/>
        </w:rPr>
        <w:t>4/2004,</w:t>
      </w:r>
      <w:r>
        <w:rPr>
          <w:spacing w:val="-1"/>
          <w:sz w:val="15"/>
        </w:rPr>
        <w:t xml:space="preserve"> </w:t>
      </w:r>
      <w:proofErr w:type="spellStart"/>
      <w:r>
        <w:rPr>
          <w:sz w:val="15"/>
        </w:rPr>
        <w:t>párrs</w:t>
      </w:r>
      <w:proofErr w:type="spellEnd"/>
      <w:r>
        <w:rPr>
          <w:sz w:val="15"/>
        </w:rPr>
        <w:t xml:space="preserve">. </w:t>
      </w:r>
      <w:r>
        <w:rPr>
          <w:spacing w:val="-2"/>
          <w:sz w:val="15"/>
        </w:rPr>
        <w:t>11,5–11,6.</w:t>
      </w:r>
    </w:p>
    <w:p w14:paraId="1451B2ED" w14:textId="77777777" w:rsidR="0014798C" w:rsidRDefault="004E1F0B">
      <w:pPr>
        <w:spacing w:before="79"/>
        <w:ind w:left="1108"/>
        <w:rPr>
          <w:sz w:val="12"/>
        </w:rPr>
      </w:pPr>
      <w:r>
        <w:rPr>
          <w:w w:val="105"/>
          <w:position w:val="4"/>
          <w:sz w:val="8"/>
        </w:rPr>
        <w:t>705</w:t>
      </w:r>
      <w:r>
        <w:rPr>
          <w:spacing w:val="77"/>
          <w:w w:val="105"/>
          <w:position w:val="4"/>
          <w:sz w:val="8"/>
        </w:rPr>
        <w:t xml:space="preserve"> </w:t>
      </w:r>
      <w:r>
        <w:rPr>
          <w:w w:val="105"/>
          <w:sz w:val="12"/>
        </w:rPr>
        <w:t>Véase,</w:t>
      </w:r>
      <w:r>
        <w:rPr>
          <w:spacing w:val="-6"/>
          <w:w w:val="105"/>
          <w:sz w:val="12"/>
        </w:rPr>
        <w:t xml:space="preserve"> </w:t>
      </w:r>
      <w:r>
        <w:rPr>
          <w:w w:val="105"/>
          <w:sz w:val="12"/>
        </w:rPr>
        <w:t>por</w:t>
      </w:r>
      <w:r>
        <w:rPr>
          <w:spacing w:val="-7"/>
          <w:w w:val="105"/>
          <w:sz w:val="12"/>
        </w:rPr>
        <w:t xml:space="preserve"> </w:t>
      </w:r>
      <w:r>
        <w:rPr>
          <w:w w:val="105"/>
          <w:sz w:val="12"/>
        </w:rPr>
        <w:t>ejemplo,</w:t>
      </w:r>
      <w:r>
        <w:rPr>
          <w:spacing w:val="-6"/>
          <w:w w:val="105"/>
          <w:sz w:val="12"/>
        </w:rPr>
        <w:t xml:space="preserve"> </w:t>
      </w:r>
      <w:hyperlink r:id="rId200">
        <w:r>
          <w:rPr>
            <w:color w:val="0075BF"/>
            <w:spacing w:val="-2"/>
            <w:w w:val="105"/>
            <w:sz w:val="12"/>
          </w:rPr>
          <w:t>www.ohchr.org/EN/HRBodies/TBpetitions/Pages/HRTBPetitions.aspx.</w:t>
        </w:r>
      </w:hyperlink>
    </w:p>
    <w:p w14:paraId="1D49FC53" w14:textId="77777777" w:rsidR="0014798C" w:rsidRDefault="0014798C">
      <w:pPr>
        <w:pStyle w:val="Textoindependiente"/>
        <w:rPr>
          <w:sz w:val="19"/>
        </w:rPr>
      </w:pPr>
    </w:p>
    <w:p w14:paraId="3A61C7E8" w14:textId="77777777" w:rsidR="0014798C" w:rsidRDefault="0014798C">
      <w:pPr>
        <w:pStyle w:val="Textoindependiente"/>
        <w:rPr>
          <w:sz w:val="19"/>
        </w:rPr>
      </w:pPr>
    </w:p>
    <w:p w14:paraId="08A076BF" w14:textId="77777777" w:rsidR="0014798C" w:rsidRPr="002B051F" w:rsidRDefault="0014798C">
      <w:pPr>
        <w:rPr>
          <w:sz w:val="21"/>
          <w:lang w:val="es-CR"/>
        </w:rPr>
        <w:sectPr w:rsidR="0014798C" w:rsidRPr="002B051F" w:rsidSect="00F265E4">
          <w:headerReference w:type="default" r:id="rId201"/>
          <w:pgSz w:w="11900" w:h="16820"/>
          <w:pgMar w:top="40" w:right="0" w:bottom="280" w:left="200" w:header="0" w:footer="0" w:gutter="0"/>
          <w:cols w:space="720"/>
        </w:sectPr>
      </w:pPr>
    </w:p>
    <w:p w14:paraId="627D1FB2" w14:textId="3F42767A" w:rsidR="0014798C" w:rsidRPr="002B051F" w:rsidRDefault="004E1F0B" w:rsidP="00497139">
      <w:pPr>
        <w:spacing w:before="76"/>
        <w:ind w:left="113"/>
        <w:rPr>
          <w:sz w:val="21"/>
          <w:lang w:val="es-CR"/>
        </w:rPr>
        <w:sectPr w:rsidR="0014798C" w:rsidRPr="002B051F" w:rsidSect="00F265E4">
          <w:headerReference w:type="default" r:id="rId202"/>
          <w:pgSz w:w="11900" w:h="16820"/>
          <w:pgMar w:top="40" w:right="0" w:bottom="280" w:left="200" w:header="0" w:footer="0" w:gutter="0"/>
          <w:cols w:space="720"/>
        </w:sectPr>
      </w:pPr>
      <w:r>
        <w:rPr>
          <w:noProof/>
        </w:rPr>
        <w:lastRenderedPageBreak/>
        <w:drawing>
          <wp:anchor distT="0" distB="0" distL="0" distR="0" simplePos="0" relativeHeight="251658435" behindDoc="1" locked="0" layoutInCell="1" allowOverlap="1" wp14:anchorId="3AB32C7D" wp14:editId="06BE802B">
            <wp:simplePos x="0" y="0"/>
            <wp:positionH relativeFrom="page">
              <wp:posOffset>0</wp:posOffset>
            </wp:positionH>
            <wp:positionV relativeFrom="page">
              <wp:posOffset>0</wp:posOffset>
            </wp:positionV>
            <wp:extent cx="7556500" cy="10680700"/>
            <wp:effectExtent l="0" t="0" r="0" b="0"/>
            <wp:wrapNone/>
            <wp:docPr id="220" name="Image 22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20" name="Image 220"/>
                    <pic:cNvPicPr/>
                  </pic:nvPicPr>
                  <pic:blipFill>
                    <a:blip r:embed="rId159" cstate="print"/>
                    <a:stretch>
                      <a:fillRect/>
                    </a:stretch>
                  </pic:blipFill>
                  <pic:spPr>
                    <a:xfrm>
                      <a:off x="0" y="0"/>
                      <a:ext cx="7556500" cy="10680700"/>
                    </a:xfrm>
                    <a:prstGeom prst="rect">
                      <a:avLst/>
                    </a:prstGeom>
                  </pic:spPr>
                </pic:pic>
              </a:graphicData>
            </a:graphic>
          </wp:anchor>
        </w:drawing>
      </w:r>
    </w:p>
    <w:p w14:paraId="7535E72C" w14:textId="77777777" w:rsidR="0014798C" w:rsidRDefault="004E1F0B">
      <w:pPr>
        <w:spacing w:before="76"/>
        <w:ind w:left="113"/>
        <w:rPr>
          <w:sz w:val="21"/>
        </w:rPr>
      </w:pPr>
      <w:r>
        <w:rPr>
          <w:noProof/>
        </w:rPr>
        <w:lastRenderedPageBreak/>
        <w:drawing>
          <wp:anchor distT="0" distB="0" distL="0" distR="0" simplePos="0" relativeHeight="251658436" behindDoc="1" locked="0" layoutInCell="1" allowOverlap="1" wp14:anchorId="5547B368" wp14:editId="3ABA890E">
            <wp:simplePos x="0" y="0"/>
            <wp:positionH relativeFrom="page">
              <wp:posOffset>0</wp:posOffset>
            </wp:positionH>
            <wp:positionV relativeFrom="page">
              <wp:posOffset>0</wp:posOffset>
            </wp:positionV>
            <wp:extent cx="7556500" cy="10680700"/>
            <wp:effectExtent l="0" t="0" r="0" b="0"/>
            <wp:wrapNone/>
            <wp:docPr id="221" name="Image 22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21" name="Image 221"/>
                    <pic:cNvPicPr/>
                  </pic:nvPicPr>
                  <pic:blipFill>
                    <a:blip r:embed="rId203" cstate="print"/>
                    <a:stretch>
                      <a:fillRect/>
                    </a:stretch>
                  </pic:blipFill>
                  <pic:spPr>
                    <a:xfrm>
                      <a:off x="0" y="0"/>
                      <a:ext cx="7556500" cy="10680700"/>
                    </a:xfrm>
                    <a:prstGeom prst="rect">
                      <a:avLst/>
                    </a:prstGeom>
                  </pic:spPr>
                </pic:pic>
              </a:graphicData>
            </a:graphic>
          </wp:anchor>
        </w:drawing>
      </w:r>
      <w:r>
        <w:rPr>
          <w:sz w:val="21"/>
        </w:rPr>
        <w:t>Machine</w:t>
      </w:r>
      <w:r>
        <w:rPr>
          <w:spacing w:val="6"/>
          <w:sz w:val="21"/>
        </w:rPr>
        <w:t xml:space="preserve"> </w:t>
      </w:r>
      <w:proofErr w:type="spellStart"/>
      <w:r>
        <w:rPr>
          <w:sz w:val="21"/>
        </w:rPr>
        <w:t>Translated</w:t>
      </w:r>
      <w:proofErr w:type="spellEnd"/>
      <w:r>
        <w:rPr>
          <w:spacing w:val="7"/>
          <w:sz w:val="21"/>
        </w:rPr>
        <w:t xml:space="preserve"> </w:t>
      </w:r>
      <w:proofErr w:type="spellStart"/>
      <w:r>
        <w:rPr>
          <w:sz w:val="21"/>
        </w:rPr>
        <w:t>by</w:t>
      </w:r>
      <w:proofErr w:type="spellEnd"/>
      <w:r>
        <w:rPr>
          <w:spacing w:val="7"/>
          <w:sz w:val="21"/>
        </w:rPr>
        <w:t xml:space="preserve"> </w:t>
      </w:r>
      <w:r>
        <w:rPr>
          <w:spacing w:val="-2"/>
          <w:sz w:val="21"/>
        </w:rPr>
        <w:t>Google</w:t>
      </w:r>
    </w:p>
    <w:p w14:paraId="2FF27853" w14:textId="77777777" w:rsidR="0014798C" w:rsidRDefault="0014798C">
      <w:pPr>
        <w:pStyle w:val="Textoindependiente"/>
        <w:spacing w:before="51"/>
        <w:rPr>
          <w:sz w:val="14"/>
        </w:rPr>
      </w:pPr>
    </w:p>
    <w:p w14:paraId="03FECD04" w14:textId="77777777" w:rsidR="0014798C" w:rsidRDefault="004E1F0B">
      <w:pPr>
        <w:ind w:left="1111"/>
        <w:rPr>
          <w:sz w:val="14"/>
        </w:rPr>
      </w:pPr>
      <w:r>
        <w:rPr>
          <w:color w:val="00AC59"/>
          <w:sz w:val="14"/>
        </w:rPr>
        <w:t>SEGUNDA</w:t>
      </w:r>
      <w:r>
        <w:rPr>
          <w:color w:val="00AC59"/>
          <w:spacing w:val="-5"/>
          <w:sz w:val="14"/>
        </w:rPr>
        <w:t xml:space="preserve"> </w:t>
      </w:r>
      <w:r>
        <w:rPr>
          <w:color w:val="00AC59"/>
          <w:sz w:val="14"/>
        </w:rPr>
        <w:t>PARTE:</w:t>
      </w:r>
      <w:r>
        <w:rPr>
          <w:color w:val="00AC59"/>
          <w:spacing w:val="-5"/>
          <w:sz w:val="14"/>
        </w:rPr>
        <w:t xml:space="preserve"> </w:t>
      </w:r>
      <w:r>
        <w:rPr>
          <w:color w:val="00AC59"/>
          <w:sz w:val="14"/>
        </w:rPr>
        <w:t>CONTENIDO</w:t>
      </w:r>
      <w:r>
        <w:rPr>
          <w:color w:val="00AC59"/>
          <w:spacing w:val="-4"/>
          <w:sz w:val="14"/>
        </w:rPr>
        <w:t xml:space="preserve"> </w:t>
      </w:r>
      <w:r>
        <w:rPr>
          <w:color w:val="00AC59"/>
          <w:sz w:val="14"/>
        </w:rPr>
        <w:t>DE</w:t>
      </w:r>
      <w:r>
        <w:rPr>
          <w:color w:val="00AC59"/>
          <w:spacing w:val="-5"/>
          <w:sz w:val="14"/>
        </w:rPr>
        <w:t xml:space="preserve"> </w:t>
      </w:r>
      <w:r>
        <w:rPr>
          <w:color w:val="00AC59"/>
          <w:sz w:val="14"/>
        </w:rPr>
        <w:t>LA</w:t>
      </w:r>
      <w:r>
        <w:rPr>
          <w:color w:val="00AC59"/>
          <w:spacing w:val="-4"/>
          <w:sz w:val="14"/>
        </w:rPr>
        <w:t xml:space="preserve"> </w:t>
      </w:r>
      <w:r>
        <w:rPr>
          <w:color w:val="00AC59"/>
          <w:sz w:val="14"/>
        </w:rPr>
        <w:t>LEY</w:t>
      </w:r>
      <w:r>
        <w:rPr>
          <w:color w:val="00AC59"/>
          <w:spacing w:val="-4"/>
          <w:sz w:val="14"/>
        </w:rPr>
        <w:t xml:space="preserve"> </w:t>
      </w:r>
      <w:r>
        <w:rPr>
          <w:color w:val="00AC59"/>
          <w:sz w:val="14"/>
        </w:rPr>
        <w:t>INTEGRAL</w:t>
      </w:r>
      <w:r>
        <w:rPr>
          <w:color w:val="00AC59"/>
          <w:spacing w:val="-5"/>
          <w:sz w:val="14"/>
        </w:rPr>
        <w:t xml:space="preserve"> </w:t>
      </w:r>
      <w:r>
        <w:rPr>
          <w:color w:val="00AC59"/>
          <w:spacing w:val="-2"/>
          <w:sz w:val="14"/>
        </w:rPr>
        <w:t>ANTIDISCRIMINACIÓN</w:t>
      </w:r>
    </w:p>
    <w:p w14:paraId="610BC328" w14:textId="77777777" w:rsidR="0014798C" w:rsidRDefault="0014798C">
      <w:pPr>
        <w:pStyle w:val="Textoindependiente"/>
        <w:rPr>
          <w:sz w:val="22"/>
        </w:rPr>
      </w:pPr>
    </w:p>
    <w:p w14:paraId="1B4AB1EC" w14:textId="77777777" w:rsidR="0014798C" w:rsidRDefault="0014798C">
      <w:pPr>
        <w:pStyle w:val="Textoindependiente"/>
        <w:rPr>
          <w:sz w:val="22"/>
        </w:rPr>
      </w:pPr>
    </w:p>
    <w:p w14:paraId="1B985CCA" w14:textId="77777777" w:rsidR="0014798C" w:rsidRDefault="0014798C">
      <w:pPr>
        <w:pStyle w:val="Textoindependiente"/>
        <w:spacing w:before="230"/>
        <w:rPr>
          <w:sz w:val="22"/>
        </w:rPr>
      </w:pPr>
    </w:p>
    <w:p w14:paraId="3F2C71BF" w14:textId="77777777" w:rsidR="0014798C" w:rsidRDefault="004E1F0B">
      <w:pPr>
        <w:numPr>
          <w:ilvl w:val="0"/>
          <w:numId w:val="3"/>
        </w:numPr>
        <w:tabs>
          <w:tab w:val="left" w:pos="1451"/>
        </w:tabs>
        <w:ind w:left="1451" w:hanging="328"/>
        <w:rPr>
          <w:color w:val="00AC59"/>
        </w:rPr>
      </w:pPr>
      <w:r>
        <w:rPr>
          <w:color w:val="00AC59"/>
        </w:rPr>
        <w:t>ORGANISMOS</w:t>
      </w:r>
      <w:r>
        <w:rPr>
          <w:color w:val="00AC59"/>
          <w:spacing w:val="-5"/>
        </w:rPr>
        <w:t xml:space="preserve"> </w:t>
      </w:r>
      <w:r>
        <w:rPr>
          <w:color w:val="00AC59"/>
        </w:rPr>
        <w:t>DE</w:t>
      </w:r>
      <w:r>
        <w:rPr>
          <w:color w:val="00AC59"/>
          <w:spacing w:val="-5"/>
        </w:rPr>
        <w:t xml:space="preserve"> </w:t>
      </w:r>
      <w:r>
        <w:rPr>
          <w:color w:val="00AC59"/>
          <w:spacing w:val="-2"/>
        </w:rPr>
        <w:t>IGUALDAD</w:t>
      </w:r>
    </w:p>
    <w:p w14:paraId="2714875A" w14:textId="77777777" w:rsidR="0014798C" w:rsidRDefault="0014798C">
      <w:pPr>
        <w:pStyle w:val="Textoindependiente"/>
        <w:rPr>
          <w:sz w:val="15"/>
        </w:rPr>
      </w:pPr>
    </w:p>
    <w:p w14:paraId="59994ECD" w14:textId="77777777" w:rsidR="0014798C" w:rsidRDefault="0014798C">
      <w:pPr>
        <w:pStyle w:val="Textoindependiente"/>
        <w:rPr>
          <w:sz w:val="15"/>
        </w:rPr>
      </w:pPr>
    </w:p>
    <w:p w14:paraId="6970F6C5" w14:textId="77777777" w:rsidR="0014798C" w:rsidRDefault="0014798C">
      <w:pPr>
        <w:pStyle w:val="Textoindependiente"/>
        <w:spacing w:before="31"/>
        <w:rPr>
          <w:sz w:val="15"/>
        </w:rPr>
      </w:pPr>
    </w:p>
    <w:p w14:paraId="2DB7DDC7" w14:textId="77777777" w:rsidR="0014798C" w:rsidRDefault="004E1F0B">
      <w:pPr>
        <w:ind w:left="1335"/>
        <w:rPr>
          <w:sz w:val="15"/>
        </w:rPr>
      </w:pPr>
      <w:r>
        <w:rPr>
          <w:color w:val="FFFFFF"/>
          <w:spacing w:val="-2"/>
          <w:sz w:val="15"/>
        </w:rPr>
        <w:t>RESUMEN</w:t>
      </w:r>
    </w:p>
    <w:p w14:paraId="01C3D897" w14:textId="77777777" w:rsidR="0014798C" w:rsidRDefault="004E1F0B">
      <w:pPr>
        <w:pStyle w:val="Prrafodelista"/>
        <w:numPr>
          <w:ilvl w:val="0"/>
          <w:numId w:val="42"/>
        </w:numPr>
        <w:tabs>
          <w:tab w:val="left" w:pos="1452"/>
        </w:tabs>
        <w:spacing w:before="158" w:line="360" w:lineRule="atLeast"/>
        <w:ind w:right="2468" w:firstLine="0"/>
        <w:rPr>
          <w:color w:val="0075BF"/>
          <w:sz w:val="15"/>
        </w:rPr>
      </w:pPr>
      <w:r>
        <w:rPr>
          <w:sz w:val="15"/>
        </w:rPr>
        <w:t xml:space="preserve">La ley contra la discriminación debería prever el establecimiento de organismos especializados en igualdad. </w:t>
      </w:r>
      <w:r>
        <w:rPr>
          <w:color w:val="0075BF"/>
          <w:sz w:val="15"/>
        </w:rPr>
        <w:t xml:space="preserve">• </w:t>
      </w:r>
      <w:r>
        <w:rPr>
          <w:sz w:val="15"/>
        </w:rPr>
        <w:t>Los organismos de igualdad deben ser independientes y estar protegidos del riesgo de interferencia de actores políticos y</w:t>
      </w:r>
    </w:p>
    <w:p w14:paraId="5158BC4C" w14:textId="77777777" w:rsidR="0014798C" w:rsidRDefault="004E1F0B">
      <w:pPr>
        <w:spacing w:before="37"/>
        <w:ind w:left="1564"/>
        <w:rPr>
          <w:sz w:val="15"/>
        </w:rPr>
      </w:pPr>
      <w:r>
        <w:rPr>
          <w:sz w:val="15"/>
        </w:rPr>
        <w:t xml:space="preserve">otros </w:t>
      </w:r>
      <w:r>
        <w:rPr>
          <w:spacing w:val="-2"/>
          <w:sz w:val="15"/>
        </w:rPr>
        <w:t>actores.</w:t>
      </w:r>
    </w:p>
    <w:p w14:paraId="543C863A" w14:textId="77777777" w:rsidR="0014798C" w:rsidRDefault="0014798C">
      <w:pPr>
        <w:pStyle w:val="Textoindependiente"/>
        <w:spacing w:before="61"/>
        <w:rPr>
          <w:sz w:val="15"/>
        </w:rPr>
      </w:pPr>
    </w:p>
    <w:p w14:paraId="30F64F04" w14:textId="77777777" w:rsidR="0014798C" w:rsidRDefault="004E1F0B">
      <w:pPr>
        <w:pStyle w:val="Prrafodelista"/>
        <w:numPr>
          <w:ilvl w:val="0"/>
          <w:numId w:val="42"/>
        </w:numPr>
        <w:tabs>
          <w:tab w:val="left" w:pos="1452"/>
          <w:tab w:val="left" w:pos="1561"/>
        </w:tabs>
        <w:spacing w:line="288" w:lineRule="auto"/>
        <w:ind w:left="1561" w:right="1516" w:hanging="203"/>
        <w:rPr>
          <w:color w:val="0075BF"/>
          <w:sz w:val="15"/>
        </w:rPr>
      </w:pPr>
      <w:r>
        <w:rPr>
          <w:sz w:val="15"/>
        </w:rPr>
        <w:t xml:space="preserve">Los organismos de igualdad deben poseer los recursos, el personal y la experiencia necesarios para implementar plenamente sus </w:t>
      </w:r>
      <w:r>
        <w:rPr>
          <w:spacing w:val="-2"/>
          <w:sz w:val="15"/>
        </w:rPr>
        <w:t>mandatos.</w:t>
      </w:r>
    </w:p>
    <w:p w14:paraId="74420E2A" w14:textId="77777777" w:rsidR="0014798C" w:rsidRDefault="0014798C">
      <w:pPr>
        <w:pStyle w:val="Textoindependiente"/>
        <w:spacing w:before="26"/>
        <w:rPr>
          <w:sz w:val="15"/>
        </w:rPr>
      </w:pPr>
    </w:p>
    <w:p w14:paraId="25264690" w14:textId="77777777" w:rsidR="0014798C" w:rsidRDefault="004E1F0B">
      <w:pPr>
        <w:pStyle w:val="Prrafodelista"/>
        <w:numPr>
          <w:ilvl w:val="0"/>
          <w:numId w:val="42"/>
        </w:numPr>
        <w:tabs>
          <w:tab w:val="left" w:pos="1452"/>
          <w:tab w:val="left" w:pos="1559"/>
        </w:tabs>
        <w:spacing w:line="348" w:lineRule="auto"/>
        <w:ind w:left="1559" w:right="1844" w:hanging="201"/>
        <w:rPr>
          <w:color w:val="0075BF"/>
          <w:sz w:val="15"/>
        </w:rPr>
      </w:pPr>
      <w:r>
        <w:rPr>
          <w:noProof/>
        </w:rPr>
        <mc:AlternateContent>
          <mc:Choice Requires="wps">
            <w:drawing>
              <wp:anchor distT="0" distB="0" distL="0" distR="0" simplePos="0" relativeHeight="251658290" behindDoc="0" locked="0" layoutInCell="1" allowOverlap="1" wp14:anchorId="2128A39F" wp14:editId="2F19D3D1">
                <wp:simplePos x="0" y="0"/>
                <wp:positionH relativeFrom="page">
                  <wp:posOffset>7310646</wp:posOffset>
                </wp:positionH>
                <wp:positionV relativeFrom="paragraph">
                  <wp:posOffset>-139479</wp:posOffset>
                </wp:positionV>
                <wp:extent cx="86995" cy="295910"/>
                <wp:effectExtent l="0" t="0" r="0" b="0"/>
                <wp:wrapNone/>
                <wp:docPr id="222" name="Textbox 22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86995" cy="295910"/>
                        </a:xfrm>
                        <a:prstGeom prst="rect">
                          <a:avLst/>
                        </a:prstGeom>
                      </wps:spPr>
                      <wps:txbx>
                        <w:txbxContent>
                          <w:p w14:paraId="6F25054E" w14:textId="77777777" w:rsidR="0014798C" w:rsidRDefault="004E1F0B">
                            <w:pPr>
                              <w:spacing w:before="23"/>
                              <w:ind w:left="20"/>
                              <w:rPr>
                                <w:sz w:val="8"/>
                              </w:rPr>
                            </w:pPr>
                            <w:r>
                              <w:rPr>
                                <w:color w:val="FFFFFF"/>
                                <w:spacing w:val="-27"/>
                                <w:w w:val="105"/>
                                <w:sz w:val="8"/>
                              </w:rPr>
                              <w:t>–IP</w:t>
                            </w:r>
                            <w:r>
                              <w:rPr>
                                <w:spacing w:val="-27"/>
                                <w:w w:val="105"/>
                                <w:sz w:val="8"/>
                              </w:rPr>
                              <w:t>S</w:t>
                            </w:r>
                            <w:r>
                              <w:rPr>
                                <w:color w:val="FFFFFF"/>
                                <w:spacing w:val="-27"/>
                                <w:w w:val="105"/>
                                <w:sz w:val="8"/>
                              </w:rPr>
                              <w:t>VA</w:t>
                            </w:r>
                            <w:r>
                              <w:rPr>
                                <w:spacing w:val="-27"/>
                                <w:w w:val="105"/>
                                <w:sz w:val="8"/>
                              </w:rPr>
                              <w:t>E</w:t>
                            </w:r>
                            <w:r>
                              <w:rPr>
                                <w:color w:val="FFFFFF"/>
                                <w:spacing w:val="-27"/>
                                <w:w w:val="105"/>
                                <w:sz w:val="8"/>
                              </w:rPr>
                              <w:t>R</w:t>
                            </w:r>
                            <w:r>
                              <w:rPr>
                                <w:spacing w:val="-27"/>
                                <w:w w:val="105"/>
                                <w:sz w:val="8"/>
                              </w:rPr>
                              <w:t>G</w:t>
                            </w:r>
                            <w:r>
                              <w:rPr>
                                <w:color w:val="FFFFFF"/>
                                <w:spacing w:val="-27"/>
                                <w:w w:val="105"/>
                                <w:sz w:val="8"/>
                              </w:rPr>
                              <w:t>T</w:t>
                            </w:r>
                            <w:r>
                              <w:rPr>
                                <w:spacing w:val="-27"/>
                                <w:w w:val="105"/>
                                <w:sz w:val="8"/>
                              </w:rPr>
                              <w:t>U</w:t>
                            </w:r>
                            <w:r>
                              <w:rPr>
                                <w:color w:val="FFFFFF"/>
                                <w:spacing w:val="-27"/>
                                <w:w w:val="105"/>
                                <w:sz w:val="8"/>
                              </w:rPr>
                              <w:t>E</w:t>
                            </w:r>
                            <w:r>
                              <w:rPr>
                                <w:spacing w:val="-27"/>
                                <w:w w:val="105"/>
                                <w:sz w:val="8"/>
                              </w:rPr>
                              <w:t>NDA</w:t>
                            </w:r>
                          </w:p>
                        </w:txbxContent>
                      </wps:txbx>
                      <wps:bodyPr vert="vert270" wrap="square" lIns="0" tIns="0" rIns="0" bIns="0" rtlCol="0">
                        <a:noAutofit/>
                      </wps:bodyPr>
                    </wps:wsp>
                  </a:graphicData>
                </a:graphic>
              </wp:anchor>
            </w:drawing>
          </mc:Choice>
          <mc:Fallback>
            <w:pict>
              <v:shape w14:anchorId="2128A39F" id="Textbox 222" o:spid="_x0000_s1113" type="#_x0000_t202" style="position:absolute;left:0;text-align:left;margin-left:575.65pt;margin-top:-11pt;width:6.85pt;height:23.3pt;z-index:251658290;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" filled="f" stroked="f">
                <v:textbox style="layout-flow:vertical;mso-layout-flow-alt:bottom-to-top" inset="0,0,0,0">
                  <w:txbxContent>
                    <w:p w14:paraId="6F25054E" w14:textId="77777777" w:rsidR="0014798C" w:rsidRDefault="004E1F0B">
                      <w:pPr>
                        <w:spacing w:before="23"/>
                        <w:ind w:left="20"/>
                        <w:rPr>
                          <w:sz w:val="8"/>
                        </w:rPr>
                      </w:pPr>
                      <w:r>
                        <w:rPr>
                          <w:color w:val="FFFFFF"/>
                          <w:spacing w:val="-27"/>
                          <w:w w:val="105"/>
                          <w:sz w:val="8"/>
                        </w:rPr>
                        <w:t>–IP</w:t>
                      </w:r>
                      <w:r>
                        <w:rPr>
                          <w:spacing w:val="-27"/>
                          <w:w w:val="105"/>
                          <w:sz w:val="8"/>
                        </w:rPr>
                        <w:t>S</w:t>
                      </w:r>
                      <w:r>
                        <w:rPr>
                          <w:color w:val="FFFFFF"/>
                          <w:spacing w:val="-27"/>
                          <w:w w:val="105"/>
                          <w:sz w:val="8"/>
                        </w:rPr>
                        <w:t>VA</w:t>
                      </w:r>
                      <w:r>
                        <w:rPr>
                          <w:spacing w:val="-27"/>
                          <w:w w:val="105"/>
                          <w:sz w:val="8"/>
                        </w:rPr>
                        <w:t>E</w:t>
                      </w:r>
                      <w:r>
                        <w:rPr>
                          <w:color w:val="FFFFFF"/>
                          <w:spacing w:val="-27"/>
                          <w:w w:val="105"/>
                          <w:sz w:val="8"/>
                        </w:rPr>
                        <w:t>R</w:t>
                      </w:r>
                      <w:r>
                        <w:rPr>
                          <w:spacing w:val="-27"/>
                          <w:w w:val="105"/>
                          <w:sz w:val="8"/>
                        </w:rPr>
                        <w:t>G</w:t>
                      </w:r>
                      <w:r>
                        <w:rPr>
                          <w:color w:val="FFFFFF"/>
                          <w:spacing w:val="-27"/>
                          <w:w w:val="105"/>
                          <w:sz w:val="8"/>
                        </w:rPr>
                        <w:t>T</w:t>
                      </w:r>
                      <w:r>
                        <w:rPr>
                          <w:spacing w:val="-27"/>
                          <w:w w:val="105"/>
                          <w:sz w:val="8"/>
                        </w:rPr>
                        <w:t>U</w:t>
                      </w:r>
                      <w:r>
                        <w:rPr>
                          <w:color w:val="FFFFFF"/>
                          <w:spacing w:val="-27"/>
                          <w:w w:val="105"/>
                          <w:sz w:val="8"/>
                        </w:rPr>
                        <w:t>E</w:t>
                      </w:r>
                      <w:r>
                        <w:rPr>
                          <w:spacing w:val="-27"/>
                          <w:w w:val="105"/>
                          <w:sz w:val="8"/>
                        </w:rPr>
                        <w:t>NDA</w:t>
                      </w:r>
                    </w:p>
                  </w:txbxContent>
                </v:textbox>
                <w10:wrap anchorx="page"/>
              </v:shape>
            </w:pict>
          </mc:Fallback>
        </mc:AlternateContent>
      </w:r>
      <w:r>
        <w:rPr>
          <w:sz w:val="15"/>
        </w:rPr>
        <w:t xml:space="preserve">Los órganos de igualdad deben tener equilibrio de género, reflejar la diversidad de la sociedad e incluir a aquellas personas y grupos que están marginados en la sociedad. El proceso de nombramiento debe ser transparente y prever la participación </w:t>
      </w:r>
      <w:r>
        <w:rPr>
          <w:spacing w:val="-2"/>
          <w:sz w:val="15"/>
        </w:rPr>
        <w:t>pública.</w:t>
      </w:r>
    </w:p>
    <w:p w14:paraId="486DCBF8" w14:textId="77777777" w:rsidR="0014798C" w:rsidRDefault="004E1F0B">
      <w:pPr>
        <w:pStyle w:val="Prrafodelista"/>
        <w:numPr>
          <w:ilvl w:val="0"/>
          <w:numId w:val="42"/>
        </w:numPr>
        <w:tabs>
          <w:tab w:val="left" w:pos="1452"/>
          <w:tab w:val="left" w:pos="1561"/>
        </w:tabs>
        <w:spacing w:before="112" w:line="288" w:lineRule="auto"/>
        <w:ind w:left="1561" w:right="1760" w:hanging="203"/>
        <w:rPr>
          <w:color w:val="0075BF"/>
          <w:sz w:val="15"/>
        </w:rPr>
      </w:pPr>
      <w:r>
        <w:rPr>
          <w:sz w:val="15"/>
        </w:rPr>
        <w:t xml:space="preserve">Los organismos de igualdad deberían recibir las funciones y poderes adecuados para desempeñar eficazmente sus funciones. </w:t>
      </w:r>
      <w:r>
        <w:rPr>
          <w:spacing w:val="-2"/>
          <w:sz w:val="15"/>
        </w:rPr>
        <w:t>mandatos.</w:t>
      </w:r>
    </w:p>
    <w:p w14:paraId="3736B1C6" w14:textId="77777777" w:rsidR="0014798C" w:rsidRDefault="0014798C">
      <w:pPr>
        <w:pStyle w:val="Textoindependiente"/>
        <w:spacing w:before="27"/>
        <w:rPr>
          <w:sz w:val="15"/>
        </w:rPr>
      </w:pPr>
    </w:p>
    <w:p w14:paraId="484EDA1D" w14:textId="77777777" w:rsidR="0014798C" w:rsidRDefault="004E1F0B">
      <w:pPr>
        <w:pStyle w:val="Prrafodelista"/>
        <w:numPr>
          <w:ilvl w:val="0"/>
          <w:numId w:val="42"/>
        </w:numPr>
        <w:tabs>
          <w:tab w:val="left" w:pos="1452"/>
        </w:tabs>
        <w:ind w:left="1452" w:hanging="94"/>
        <w:rPr>
          <w:color w:val="0075BF"/>
          <w:sz w:val="15"/>
        </w:rPr>
      </w:pPr>
      <w:r>
        <w:rPr>
          <w:sz w:val="15"/>
        </w:rPr>
        <w:t>Los</w:t>
      </w:r>
      <w:r>
        <w:rPr>
          <w:spacing w:val="-2"/>
          <w:sz w:val="15"/>
        </w:rPr>
        <w:t xml:space="preserve"> </w:t>
      </w:r>
      <w:r>
        <w:rPr>
          <w:sz w:val="15"/>
        </w:rPr>
        <w:t>órganos</w:t>
      </w:r>
      <w:r>
        <w:rPr>
          <w:spacing w:val="-1"/>
          <w:sz w:val="15"/>
        </w:rPr>
        <w:t xml:space="preserve"> </w:t>
      </w:r>
      <w:r>
        <w:rPr>
          <w:sz w:val="15"/>
        </w:rPr>
        <w:t>de</w:t>
      </w:r>
      <w:r>
        <w:rPr>
          <w:spacing w:val="-1"/>
          <w:sz w:val="15"/>
        </w:rPr>
        <w:t xml:space="preserve"> </w:t>
      </w:r>
      <w:r>
        <w:rPr>
          <w:sz w:val="15"/>
        </w:rPr>
        <w:t>igualdad</w:t>
      </w:r>
      <w:r>
        <w:rPr>
          <w:spacing w:val="-2"/>
          <w:sz w:val="15"/>
        </w:rPr>
        <w:t xml:space="preserve"> </w:t>
      </w:r>
      <w:r>
        <w:rPr>
          <w:sz w:val="15"/>
        </w:rPr>
        <w:t>deberían</w:t>
      </w:r>
      <w:r>
        <w:rPr>
          <w:spacing w:val="-1"/>
          <w:sz w:val="15"/>
        </w:rPr>
        <w:t xml:space="preserve"> </w:t>
      </w:r>
      <w:r>
        <w:rPr>
          <w:sz w:val="15"/>
        </w:rPr>
        <w:t>tener</w:t>
      </w:r>
      <w:r>
        <w:rPr>
          <w:spacing w:val="-1"/>
          <w:sz w:val="15"/>
        </w:rPr>
        <w:t xml:space="preserve"> </w:t>
      </w:r>
      <w:r>
        <w:rPr>
          <w:sz w:val="15"/>
        </w:rPr>
        <w:t>mandatos</w:t>
      </w:r>
      <w:r>
        <w:rPr>
          <w:spacing w:val="-3"/>
          <w:sz w:val="15"/>
        </w:rPr>
        <w:t xml:space="preserve"> </w:t>
      </w:r>
      <w:r>
        <w:rPr>
          <w:sz w:val="15"/>
        </w:rPr>
        <w:t>y</w:t>
      </w:r>
      <w:r>
        <w:rPr>
          <w:spacing w:val="-1"/>
          <w:sz w:val="15"/>
        </w:rPr>
        <w:t xml:space="preserve"> </w:t>
      </w:r>
      <w:r>
        <w:rPr>
          <w:sz w:val="15"/>
        </w:rPr>
        <w:t>facultades</w:t>
      </w:r>
      <w:r>
        <w:rPr>
          <w:spacing w:val="-2"/>
          <w:sz w:val="15"/>
        </w:rPr>
        <w:t xml:space="preserve"> </w:t>
      </w:r>
      <w:r>
        <w:rPr>
          <w:sz w:val="15"/>
        </w:rPr>
        <w:t>adecuados</w:t>
      </w:r>
      <w:r>
        <w:rPr>
          <w:spacing w:val="-1"/>
          <w:sz w:val="15"/>
        </w:rPr>
        <w:t xml:space="preserve"> </w:t>
      </w:r>
      <w:r>
        <w:rPr>
          <w:sz w:val="15"/>
        </w:rPr>
        <w:t>para</w:t>
      </w:r>
      <w:r>
        <w:rPr>
          <w:spacing w:val="-2"/>
          <w:sz w:val="15"/>
        </w:rPr>
        <w:t xml:space="preserve"> </w:t>
      </w:r>
      <w:r>
        <w:rPr>
          <w:sz w:val="15"/>
        </w:rPr>
        <w:t>cumplir</w:t>
      </w:r>
      <w:r>
        <w:rPr>
          <w:spacing w:val="-1"/>
          <w:sz w:val="15"/>
        </w:rPr>
        <w:t xml:space="preserve"> </w:t>
      </w:r>
      <w:r>
        <w:rPr>
          <w:sz w:val="15"/>
        </w:rPr>
        <w:t>las</w:t>
      </w:r>
      <w:r>
        <w:rPr>
          <w:spacing w:val="-1"/>
          <w:sz w:val="15"/>
        </w:rPr>
        <w:t xml:space="preserve"> </w:t>
      </w:r>
      <w:r>
        <w:rPr>
          <w:sz w:val="15"/>
        </w:rPr>
        <w:t>siguientes</w:t>
      </w:r>
      <w:r>
        <w:rPr>
          <w:spacing w:val="-2"/>
          <w:sz w:val="15"/>
        </w:rPr>
        <w:t xml:space="preserve"> funciones:</w:t>
      </w:r>
    </w:p>
    <w:p w14:paraId="14125491" w14:textId="77777777" w:rsidR="0014798C" w:rsidRDefault="0014798C">
      <w:pPr>
        <w:pStyle w:val="Textoindependiente"/>
        <w:spacing w:before="18"/>
        <w:rPr>
          <w:sz w:val="15"/>
        </w:rPr>
      </w:pPr>
    </w:p>
    <w:p w14:paraId="1E4303D6" w14:textId="77777777" w:rsidR="0014798C" w:rsidRDefault="004E1F0B">
      <w:pPr>
        <w:pStyle w:val="Prrafodelista"/>
        <w:numPr>
          <w:ilvl w:val="1"/>
          <w:numId w:val="42"/>
        </w:numPr>
        <w:tabs>
          <w:tab w:val="left" w:pos="1695"/>
        </w:tabs>
        <w:ind w:left="1695" w:hanging="125"/>
        <w:rPr>
          <w:sz w:val="15"/>
        </w:rPr>
      </w:pPr>
      <w:r>
        <w:rPr>
          <w:sz w:val="15"/>
        </w:rPr>
        <w:t>Promover</w:t>
      </w:r>
      <w:r>
        <w:rPr>
          <w:spacing w:val="-2"/>
          <w:sz w:val="15"/>
        </w:rPr>
        <w:t xml:space="preserve"> </w:t>
      </w:r>
      <w:r>
        <w:rPr>
          <w:sz w:val="15"/>
        </w:rPr>
        <w:t>la</w:t>
      </w:r>
      <w:r>
        <w:rPr>
          <w:spacing w:val="-1"/>
          <w:sz w:val="15"/>
        </w:rPr>
        <w:t xml:space="preserve"> </w:t>
      </w:r>
      <w:r>
        <w:rPr>
          <w:sz w:val="15"/>
        </w:rPr>
        <w:t>igualdad</w:t>
      </w:r>
      <w:r>
        <w:rPr>
          <w:spacing w:val="-2"/>
          <w:sz w:val="15"/>
        </w:rPr>
        <w:t xml:space="preserve"> </w:t>
      </w:r>
      <w:r>
        <w:rPr>
          <w:sz w:val="15"/>
        </w:rPr>
        <w:t>y</w:t>
      </w:r>
      <w:r>
        <w:rPr>
          <w:spacing w:val="-1"/>
          <w:sz w:val="15"/>
        </w:rPr>
        <w:t xml:space="preserve"> </w:t>
      </w:r>
      <w:r>
        <w:rPr>
          <w:sz w:val="15"/>
        </w:rPr>
        <w:t>prevenir</w:t>
      </w:r>
      <w:r>
        <w:rPr>
          <w:spacing w:val="-2"/>
          <w:sz w:val="15"/>
        </w:rPr>
        <w:t xml:space="preserve"> </w:t>
      </w:r>
      <w:r>
        <w:rPr>
          <w:sz w:val="15"/>
        </w:rPr>
        <w:t>la</w:t>
      </w:r>
      <w:r>
        <w:rPr>
          <w:spacing w:val="-1"/>
          <w:sz w:val="15"/>
        </w:rPr>
        <w:t xml:space="preserve"> </w:t>
      </w:r>
      <w:r>
        <w:rPr>
          <w:spacing w:val="-2"/>
          <w:sz w:val="15"/>
        </w:rPr>
        <w:t>discriminación.</w:t>
      </w:r>
    </w:p>
    <w:p w14:paraId="0BF6F553" w14:textId="77777777" w:rsidR="0014798C" w:rsidRDefault="0014798C">
      <w:pPr>
        <w:pStyle w:val="Textoindependiente"/>
        <w:spacing w:before="17"/>
        <w:rPr>
          <w:sz w:val="15"/>
        </w:rPr>
      </w:pPr>
    </w:p>
    <w:p w14:paraId="1C2E16B2" w14:textId="77777777" w:rsidR="0014798C" w:rsidRDefault="004E1F0B">
      <w:pPr>
        <w:pStyle w:val="Prrafodelista"/>
        <w:numPr>
          <w:ilvl w:val="1"/>
          <w:numId w:val="42"/>
        </w:numPr>
        <w:tabs>
          <w:tab w:val="left" w:pos="1694"/>
          <w:tab w:val="left" w:pos="1790"/>
        </w:tabs>
        <w:spacing w:before="1" w:line="288" w:lineRule="auto"/>
        <w:ind w:right="3341" w:hanging="221"/>
        <w:rPr>
          <w:sz w:val="15"/>
        </w:rPr>
      </w:pPr>
      <w:r>
        <w:rPr>
          <w:sz w:val="15"/>
        </w:rPr>
        <w:t>Proporcionar apoyo a las personas expuestas a la discriminación y la intolerancia y entablar litigios. de su parte.</w:t>
      </w:r>
    </w:p>
    <w:p w14:paraId="2F295E37" w14:textId="77777777" w:rsidR="0014798C" w:rsidRDefault="0014798C">
      <w:pPr>
        <w:pStyle w:val="Textoindependiente"/>
        <w:spacing w:before="26"/>
        <w:rPr>
          <w:sz w:val="15"/>
        </w:rPr>
      </w:pPr>
    </w:p>
    <w:p w14:paraId="61103C9E" w14:textId="77777777" w:rsidR="0014798C" w:rsidRDefault="004E1F0B">
      <w:pPr>
        <w:pStyle w:val="Prrafodelista"/>
        <w:numPr>
          <w:ilvl w:val="0"/>
          <w:numId w:val="42"/>
        </w:numPr>
        <w:tabs>
          <w:tab w:val="left" w:pos="1451"/>
          <w:tab w:val="left" w:pos="1556"/>
        </w:tabs>
        <w:spacing w:line="348" w:lineRule="auto"/>
        <w:ind w:left="1556" w:right="1978" w:hanging="199"/>
        <w:rPr>
          <w:color w:val="0075BF"/>
          <w:sz w:val="15"/>
        </w:rPr>
      </w:pPr>
      <w:r>
        <w:rPr>
          <w:sz w:val="15"/>
        </w:rPr>
        <w:t>Los organismos de igualdad también pueden tener el mandato de considerar quejas de discriminación y tomar decisiones y determinaciones. En situaciones en las que los órganos de igualdad tienen autoridad para tomar decisiones, deben estar debidamente facultados para garantizar el acceso efectivo a la justicia y ofrecer tanto reparación como sanción.</w:t>
      </w:r>
    </w:p>
    <w:p w14:paraId="46F27508" w14:textId="77777777" w:rsidR="0014798C" w:rsidRDefault="004E1F0B">
      <w:pPr>
        <w:pStyle w:val="Prrafodelista"/>
        <w:numPr>
          <w:ilvl w:val="0"/>
          <w:numId w:val="42"/>
        </w:numPr>
        <w:tabs>
          <w:tab w:val="left" w:pos="1458"/>
        </w:tabs>
        <w:spacing w:before="103"/>
        <w:ind w:left="1458" w:hanging="100"/>
        <w:rPr>
          <w:color w:val="0075BF"/>
          <w:sz w:val="16"/>
        </w:rPr>
      </w:pPr>
      <w:r>
        <w:rPr>
          <w:sz w:val="16"/>
        </w:rPr>
        <w:t>Se</w:t>
      </w:r>
      <w:r>
        <w:rPr>
          <w:spacing w:val="-6"/>
          <w:sz w:val="16"/>
        </w:rPr>
        <w:t xml:space="preserve"> </w:t>
      </w:r>
      <w:r>
        <w:rPr>
          <w:sz w:val="16"/>
        </w:rPr>
        <w:t>debería</w:t>
      </w:r>
      <w:r>
        <w:rPr>
          <w:spacing w:val="-3"/>
          <w:sz w:val="16"/>
        </w:rPr>
        <w:t xml:space="preserve"> </w:t>
      </w:r>
      <w:r>
        <w:rPr>
          <w:sz w:val="16"/>
        </w:rPr>
        <w:t>exigir</w:t>
      </w:r>
      <w:r>
        <w:rPr>
          <w:spacing w:val="-3"/>
          <w:sz w:val="16"/>
        </w:rPr>
        <w:t xml:space="preserve"> </w:t>
      </w:r>
      <w:r>
        <w:rPr>
          <w:sz w:val="16"/>
        </w:rPr>
        <w:t>a</w:t>
      </w:r>
      <w:r>
        <w:rPr>
          <w:spacing w:val="-4"/>
          <w:sz w:val="16"/>
        </w:rPr>
        <w:t xml:space="preserve"> </w:t>
      </w:r>
      <w:r>
        <w:rPr>
          <w:sz w:val="16"/>
        </w:rPr>
        <w:t>los</w:t>
      </w:r>
      <w:r>
        <w:rPr>
          <w:spacing w:val="-3"/>
          <w:sz w:val="16"/>
        </w:rPr>
        <w:t xml:space="preserve"> </w:t>
      </w:r>
      <w:r>
        <w:rPr>
          <w:sz w:val="16"/>
        </w:rPr>
        <w:t>organismos</w:t>
      </w:r>
      <w:r>
        <w:rPr>
          <w:spacing w:val="-3"/>
          <w:sz w:val="16"/>
        </w:rPr>
        <w:t xml:space="preserve"> </w:t>
      </w:r>
      <w:r>
        <w:rPr>
          <w:sz w:val="16"/>
        </w:rPr>
        <w:t>de</w:t>
      </w:r>
      <w:r>
        <w:rPr>
          <w:spacing w:val="-3"/>
          <w:sz w:val="16"/>
        </w:rPr>
        <w:t xml:space="preserve"> </w:t>
      </w:r>
      <w:r>
        <w:rPr>
          <w:sz w:val="16"/>
        </w:rPr>
        <w:t>igualdad</w:t>
      </w:r>
      <w:r>
        <w:rPr>
          <w:spacing w:val="-4"/>
          <w:sz w:val="16"/>
        </w:rPr>
        <w:t xml:space="preserve"> </w:t>
      </w:r>
      <w:r>
        <w:rPr>
          <w:sz w:val="16"/>
        </w:rPr>
        <w:t>que</w:t>
      </w:r>
      <w:r>
        <w:rPr>
          <w:spacing w:val="-3"/>
          <w:sz w:val="16"/>
        </w:rPr>
        <w:t xml:space="preserve"> </w:t>
      </w:r>
      <w:r>
        <w:rPr>
          <w:sz w:val="16"/>
        </w:rPr>
        <w:t>informen</w:t>
      </w:r>
      <w:r>
        <w:rPr>
          <w:spacing w:val="-3"/>
          <w:sz w:val="16"/>
        </w:rPr>
        <w:t xml:space="preserve"> </w:t>
      </w:r>
      <w:r>
        <w:rPr>
          <w:sz w:val="16"/>
        </w:rPr>
        <w:t>públicamente</w:t>
      </w:r>
      <w:r>
        <w:rPr>
          <w:spacing w:val="-4"/>
          <w:sz w:val="16"/>
        </w:rPr>
        <w:t xml:space="preserve"> </w:t>
      </w:r>
      <w:r>
        <w:rPr>
          <w:sz w:val="16"/>
        </w:rPr>
        <w:t>sobre</w:t>
      </w:r>
      <w:r>
        <w:rPr>
          <w:spacing w:val="-3"/>
          <w:sz w:val="16"/>
        </w:rPr>
        <w:t xml:space="preserve"> </w:t>
      </w:r>
      <w:r>
        <w:rPr>
          <w:sz w:val="16"/>
        </w:rPr>
        <w:t>su</w:t>
      </w:r>
      <w:r>
        <w:rPr>
          <w:spacing w:val="-3"/>
          <w:sz w:val="16"/>
        </w:rPr>
        <w:t xml:space="preserve"> </w:t>
      </w:r>
      <w:r>
        <w:rPr>
          <w:sz w:val="16"/>
        </w:rPr>
        <w:t>trabajo</w:t>
      </w:r>
      <w:r>
        <w:rPr>
          <w:spacing w:val="-3"/>
          <w:sz w:val="16"/>
        </w:rPr>
        <w:t xml:space="preserve"> </w:t>
      </w:r>
      <w:r>
        <w:rPr>
          <w:sz w:val="16"/>
        </w:rPr>
        <w:t>de</w:t>
      </w:r>
      <w:r>
        <w:rPr>
          <w:spacing w:val="-4"/>
          <w:sz w:val="16"/>
        </w:rPr>
        <w:t xml:space="preserve"> </w:t>
      </w:r>
      <w:r>
        <w:rPr>
          <w:sz w:val="16"/>
        </w:rPr>
        <w:t>forma</w:t>
      </w:r>
      <w:r>
        <w:rPr>
          <w:spacing w:val="-3"/>
          <w:sz w:val="16"/>
        </w:rPr>
        <w:t xml:space="preserve"> </w:t>
      </w:r>
      <w:r>
        <w:rPr>
          <w:sz w:val="16"/>
        </w:rPr>
        <w:t>periódica</w:t>
      </w:r>
      <w:r>
        <w:rPr>
          <w:spacing w:val="-3"/>
          <w:sz w:val="16"/>
        </w:rPr>
        <w:t xml:space="preserve"> </w:t>
      </w:r>
      <w:r>
        <w:rPr>
          <w:sz w:val="16"/>
        </w:rPr>
        <w:t>y</w:t>
      </w:r>
      <w:r>
        <w:rPr>
          <w:spacing w:val="-3"/>
          <w:sz w:val="16"/>
        </w:rPr>
        <w:t xml:space="preserve"> </w:t>
      </w:r>
      <w:r>
        <w:rPr>
          <w:spacing w:val="-5"/>
          <w:sz w:val="16"/>
        </w:rPr>
        <w:t>en</w:t>
      </w:r>
    </w:p>
    <w:p w14:paraId="5E808281" w14:textId="77777777" w:rsidR="0014798C" w:rsidRDefault="004E1F0B">
      <w:pPr>
        <w:pStyle w:val="Textoindependiente"/>
        <w:spacing w:before="65" w:line="271" w:lineRule="auto"/>
        <w:ind w:left="1564" w:right="1272" w:hanging="4"/>
      </w:pPr>
      <w:r>
        <w:t>medios que sean accesibles para todos. Los Estados deberían apoyar el trabajo de los organismos de igualdad y tomar medidas para garantizar su eficacia.</w:t>
      </w:r>
    </w:p>
    <w:p w14:paraId="031B7D76" w14:textId="77777777" w:rsidR="0014798C" w:rsidRDefault="0014798C">
      <w:pPr>
        <w:pStyle w:val="Textoindependiente"/>
        <w:rPr>
          <w:sz w:val="15"/>
        </w:rPr>
      </w:pPr>
    </w:p>
    <w:p w14:paraId="50A8CF3D" w14:textId="77777777" w:rsidR="0014798C" w:rsidRDefault="0014798C">
      <w:pPr>
        <w:pStyle w:val="Textoindependiente"/>
        <w:rPr>
          <w:sz w:val="15"/>
        </w:rPr>
      </w:pPr>
    </w:p>
    <w:p w14:paraId="772339EA" w14:textId="77777777" w:rsidR="0014798C" w:rsidRDefault="0014798C">
      <w:pPr>
        <w:pStyle w:val="Textoindependiente"/>
        <w:spacing w:before="86"/>
        <w:rPr>
          <w:sz w:val="15"/>
        </w:rPr>
      </w:pPr>
    </w:p>
    <w:p w14:paraId="1D71C64A" w14:textId="77777777" w:rsidR="0014798C" w:rsidRDefault="004E1F0B">
      <w:pPr>
        <w:spacing w:line="348" w:lineRule="auto"/>
        <w:ind w:left="1108" w:right="1272" w:firstLine="2"/>
        <w:rPr>
          <w:sz w:val="15"/>
        </w:rPr>
      </w:pPr>
      <w:r>
        <w:rPr>
          <w:sz w:val="15"/>
        </w:rPr>
        <w:t xml:space="preserve">Las últimas décadas han sido testigos de una creciente tendencia global hacia la creación de organismos independientes y especializados en </w:t>
      </w:r>
      <w:proofErr w:type="gramStart"/>
      <w:r>
        <w:rPr>
          <w:sz w:val="15"/>
        </w:rPr>
        <w:t>igualdad .</w:t>
      </w:r>
      <w:proofErr w:type="gramEnd"/>
      <w:r>
        <w:rPr>
          <w:sz w:val="15"/>
        </w:rPr>
        <w:t xml:space="preserve"> Los organismos de igualdad son autoridades públicas creadas para apoyar la aplicación y aplicación de la ley contra la discriminación. Estos órganos comparten una función esencial en la promoción del derecho a la no discriminación y la protección de las personas contra daños. En muchas jurisdicciones, los organismos de igualdad también desempeñan un papel importante a la hora de abordar las desigualdades estructurales: apoyando la adopción de medidas de acción positiva y la implementación de deberes legales de igualdad. Por lo tanto, la necesidad de órganos para la igualdad emana directamente de las obligaciones de los Estados de respetar, proteger y cumplir los derechos a la igualdad y la no discriminación.706 Los órganos creados en virtud de tratados también han identificado una obligación específica de establecer órganos para la igualdad.</w:t>
      </w:r>
    </w:p>
    <w:p w14:paraId="30D0B729" w14:textId="77777777" w:rsidR="0014798C" w:rsidRDefault="004E1F0B">
      <w:pPr>
        <w:spacing w:before="167" w:line="348" w:lineRule="auto"/>
        <w:ind w:left="1107" w:right="1272" w:hanging="1"/>
        <w:rPr>
          <w:sz w:val="15"/>
        </w:rPr>
      </w:pPr>
      <w:r>
        <w:rPr>
          <w:sz w:val="15"/>
        </w:rPr>
        <w:t>A través del cumplimiento de su mandato de igualdad, los organismos nacionales de igualdad desempeñan un papel esencial en el trabajo para identificar y eliminar prácticas discriminatorias y, a menudo, son responsables de coordinar la implementación de medidas de implementación, de acuerdo con las obligaciones más amplias de igualdad y no discriminación de los Estados.</w:t>
      </w:r>
    </w:p>
    <w:p w14:paraId="520F752A" w14:textId="77777777" w:rsidR="0014798C" w:rsidRDefault="004E1F0B">
      <w:pPr>
        <w:spacing w:line="348" w:lineRule="auto"/>
        <w:ind w:left="1109" w:right="1272" w:hanging="2"/>
        <w:rPr>
          <w:sz w:val="15"/>
        </w:rPr>
      </w:pPr>
      <w:r>
        <w:rPr>
          <w:sz w:val="15"/>
        </w:rPr>
        <w:t>En algunas jurisdicciones, los órganos de igualdad también poseen una función de aplicación directa, recibiendo y decidiendo sobre denuncias individuales de discriminación.</w:t>
      </w:r>
    </w:p>
    <w:p w14:paraId="360E9ADC" w14:textId="77777777" w:rsidR="0014798C" w:rsidRDefault="004E1F0B">
      <w:pPr>
        <w:spacing w:before="168" w:line="348" w:lineRule="auto"/>
        <w:ind w:left="1107" w:right="1246" w:hanging="1"/>
        <w:rPr>
          <w:sz w:val="15"/>
        </w:rPr>
      </w:pPr>
      <w:r>
        <w:rPr>
          <w:sz w:val="15"/>
        </w:rPr>
        <w:t>Como se analiza con más detalle en esta sección, en el derecho internacional ha surgido un consenso sobre los requisitos institucionales necesarios para los organismos de igualdad. A los Estados se les ha permitido comparativamente más libertad para determinar el mandato, las funciones y los poderes de dichos órganos; sin embargo, para cumplir con sus obligaciones de derecho internacional, las instituciones establecidas conforme al derecho nacional deben ser independientes y eficaces. En situaciones en las que los órganos de igualdad han recibido las garantías institucionales necesarias para asegurar su funcionamiento efectivo y se les han proporcionado las funciones y poderes necesarios para cumplir con éxito sus mandatos, estos órganos han demostrado ser fundamentales para abordar la discriminación</w:t>
      </w:r>
      <w:r>
        <w:rPr>
          <w:spacing w:val="40"/>
          <w:sz w:val="15"/>
        </w:rPr>
        <w:t xml:space="preserve"> </w:t>
      </w:r>
      <w:r>
        <w:rPr>
          <w:sz w:val="15"/>
        </w:rPr>
        <w:t>y eliminar las desigualdades de conformidad con el derecho internacional de los Estados. obligaciones.</w:t>
      </w:r>
    </w:p>
    <w:p w14:paraId="6957B227" w14:textId="77777777" w:rsidR="0014798C" w:rsidRDefault="0014798C">
      <w:pPr>
        <w:pStyle w:val="Textoindependiente"/>
        <w:rPr>
          <w:sz w:val="11"/>
        </w:rPr>
      </w:pPr>
    </w:p>
    <w:p w14:paraId="645A5FE7" w14:textId="77777777" w:rsidR="0014798C" w:rsidRDefault="0014798C">
      <w:pPr>
        <w:pStyle w:val="Textoindependiente"/>
        <w:rPr>
          <w:sz w:val="11"/>
        </w:rPr>
      </w:pPr>
    </w:p>
    <w:p w14:paraId="7A1E03AC" w14:textId="77777777" w:rsidR="0014798C" w:rsidRDefault="0014798C">
      <w:pPr>
        <w:pStyle w:val="Textoindependiente"/>
        <w:spacing w:before="12"/>
        <w:rPr>
          <w:sz w:val="11"/>
        </w:rPr>
      </w:pPr>
    </w:p>
    <w:p w14:paraId="6C7FC6C2" w14:textId="77777777" w:rsidR="0014798C" w:rsidRDefault="004E1F0B">
      <w:pPr>
        <w:ind w:left="1108"/>
        <w:rPr>
          <w:sz w:val="11"/>
        </w:rPr>
      </w:pPr>
      <w:r>
        <w:rPr>
          <w:w w:val="105"/>
          <w:sz w:val="11"/>
        </w:rPr>
        <w:t>706</w:t>
      </w:r>
      <w:r>
        <w:rPr>
          <w:spacing w:val="-4"/>
          <w:w w:val="105"/>
          <w:sz w:val="11"/>
        </w:rPr>
        <w:t xml:space="preserve"> </w:t>
      </w:r>
      <w:r>
        <w:rPr>
          <w:w w:val="105"/>
          <w:sz w:val="11"/>
        </w:rPr>
        <w:t>Para</w:t>
      </w:r>
      <w:r>
        <w:rPr>
          <w:spacing w:val="-4"/>
          <w:w w:val="105"/>
          <w:sz w:val="11"/>
        </w:rPr>
        <w:t xml:space="preserve"> </w:t>
      </w:r>
      <w:r>
        <w:rPr>
          <w:w w:val="105"/>
          <w:sz w:val="11"/>
        </w:rPr>
        <w:t>un</w:t>
      </w:r>
      <w:r>
        <w:rPr>
          <w:spacing w:val="-3"/>
          <w:w w:val="105"/>
          <w:sz w:val="11"/>
        </w:rPr>
        <w:t xml:space="preserve"> </w:t>
      </w:r>
      <w:r>
        <w:rPr>
          <w:w w:val="105"/>
          <w:sz w:val="11"/>
        </w:rPr>
        <w:t>análisis</w:t>
      </w:r>
      <w:r>
        <w:rPr>
          <w:spacing w:val="-4"/>
          <w:w w:val="105"/>
          <w:sz w:val="11"/>
        </w:rPr>
        <w:t xml:space="preserve"> </w:t>
      </w:r>
      <w:r>
        <w:rPr>
          <w:w w:val="105"/>
          <w:sz w:val="11"/>
        </w:rPr>
        <w:t>más</w:t>
      </w:r>
      <w:r>
        <w:rPr>
          <w:spacing w:val="-3"/>
          <w:w w:val="105"/>
          <w:sz w:val="11"/>
        </w:rPr>
        <w:t xml:space="preserve"> </w:t>
      </w:r>
      <w:r>
        <w:rPr>
          <w:w w:val="105"/>
          <w:sz w:val="11"/>
        </w:rPr>
        <w:t>detallado</w:t>
      </w:r>
      <w:r>
        <w:rPr>
          <w:spacing w:val="-4"/>
          <w:w w:val="105"/>
          <w:sz w:val="11"/>
        </w:rPr>
        <w:t xml:space="preserve"> </w:t>
      </w:r>
      <w:r>
        <w:rPr>
          <w:w w:val="105"/>
          <w:sz w:val="11"/>
        </w:rPr>
        <w:t>de</w:t>
      </w:r>
      <w:r>
        <w:rPr>
          <w:spacing w:val="-3"/>
          <w:w w:val="105"/>
          <w:sz w:val="11"/>
        </w:rPr>
        <w:t xml:space="preserve"> </w:t>
      </w:r>
      <w:r>
        <w:rPr>
          <w:w w:val="105"/>
          <w:sz w:val="11"/>
        </w:rPr>
        <w:t>estas</w:t>
      </w:r>
      <w:r>
        <w:rPr>
          <w:spacing w:val="-4"/>
          <w:w w:val="105"/>
          <w:sz w:val="11"/>
        </w:rPr>
        <w:t xml:space="preserve"> </w:t>
      </w:r>
      <w:r>
        <w:rPr>
          <w:w w:val="105"/>
          <w:sz w:val="11"/>
        </w:rPr>
        <w:t>obligaciones,</w:t>
      </w:r>
      <w:r>
        <w:rPr>
          <w:spacing w:val="-2"/>
          <w:w w:val="105"/>
          <w:sz w:val="11"/>
        </w:rPr>
        <w:t xml:space="preserve"> </w:t>
      </w:r>
      <w:r>
        <w:rPr>
          <w:w w:val="105"/>
          <w:sz w:val="11"/>
        </w:rPr>
        <w:t>véase</w:t>
      </w:r>
      <w:r>
        <w:rPr>
          <w:spacing w:val="-4"/>
          <w:w w:val="105"/>
          <w:sz w:val="11"/>
        </w:rPr>
        <w:t xml:space="preserve"> </w:t>
      </w:r>
      <w:r>
        <w:rPr>
          <w:w w:val="105"/>
          <w:sz w:val="11"/>
        </w:rPr>
        <w:t>la</w:t>
      </w:r>
      <w:r>
        <w:rPr>
          <w:spacing w:val="-3"/>
          <w:w w:val="105"/>
          <w:sz w:val="11"/>
        </w:rPr>
        <w:t xml:space="preserve"> </w:t>
      </w:r>
      <w:r>
        <w:rPr>
          <w:w w:val="105"/>
          <w:sz w:val="11"/>
        </w:rPr>
        <w:t>sección</w:t>
      </w:r>
      <w:r>
        <w:rPr>
          <w:spacing w:val="-4"/>
          <w:w w:val="105"/>
          <w:sz w:val="11"/>
        </w:rPr>
        <w:t xml:space="preserve"> </w:t>
      </w:r>
      <w:r>
        <w:rPr>
          <w:w w:val="105"/>
          <w:sz w:val="11"/>
        </w:rPr>
        <w:t>IB</w:t>
      </w:r>
      <w:r>
        <w:rPr>
          <w:spacing w:val="-3"/>
          <w:w w:val="105"/>
          <w:sz w:val="11"/>
        </w:rPr>
        <w:t xml:space="preserve"> </w:t>
      </w:r>
      <w:r>
        <w:rPr>
          <w:w w:val="105"/>
          <w:sz w:val="11"/>
        </w:rPr>
        <w:t>de</w:t>
      </w:r>
      <w:r>
        <w:rPr>
          <w:spacing w:val="-4"/>
          <w:w w:val="105"/>
          <w:sz w:val="11"/>
        </w:rPr>
        <w:t xml:space="preserve"> </w:t>
      </w:r>
      <w:r>
        <w:rPr>
          <w:w w:val="105"/>
          <w:sz w:val="11"/>
        </w:rPr>
        <w:t>la</w:t>
      </w:r>
      <w:r>
        <w:rPr>
          <w:spacing w:val="-3"/>
          <w:w w:val="105"/>
          <w:sz w:val="11"/>
        </w:rPr>
        <w:t xml:space="preserve"> </w:t>
      </w:r>
      <w:r>
        <w:rPr>
          <w:w w:val="105"/>
          <w:sz w:val="11"/>
        </w:rPr>
        <w:t>primera</w:t>
      </w:r>
      <w:r>
        <w:rPr>
          <w:spacing w:val="-4"/>
          <w:w w:val="105"/>
          <w:sz w:val="11"/>
        </w:rPr>
        <w:t xml:space="preserve"> </w:t>
      </w:r>
      <w:r>
        <w:rPr>
          <w:w w:val="105"/>
          <w:sz w:val="11"/>
        </w:rPr>
        <w:t>parte</w:t>
      </w:r>
      <w:r>
        <w:rPr>
          <w:spacing w:val="-3"/>
          <w:w w:val="105"/>
          <w:sz w:val="11"/>
        </w:rPr>
        <w:t xml:space="preserve"> </w:t>
      </w:r>
      <w:r>
        <w:rPr>
          <w:w w:val="105"/>
          <w:sz w:val="11"/>
        </w:rPr>
        <w:t>de</w:t>
      </w:r>
      <w:r>
        <w:rPr>
          <w:spacing w:val="-4"/>
          <w:w w:val="105"/>
          <w:sz w:val="11"/>
        </w:rPr>
        <w:t xml:space="preserve"> </w:t>
      </w:r>
      <w:r>
        <w:rPr>
          <w:w w:val="105"/>
          <w:sz w:val="11"/>
        </w:rPr>
        <w:t>la</w:t>
      </w:r>
      <w:r>
        <w:rPr>
          <w:spacing w:val="-4"/>
          <w:w w:val="105"/>
          <w:sz w:val="11"/>
        </w:rPr>
        <w:t xml:space="preserve"> </w:t>
      </w:r>
      <w:r>
        <w:rPr>
          <w:w w:val="105"/>
          <w:sz w:val="11"/>
        </w:rPr>
        <w:t>presente</w:t>
      </w:r>
      <w:r>
        <w:rPr>
          <w:spacing w:val="-3"/>
          <w:w w:val="105"/>
          <w:sz w:val="11"/>
        </w:rPr>
        <w:t xml:space="preserve"> </w:t>
      </w:r>
      <w:r>
        <w:rPr>
          <w:spacing w:val="-2"/>
          <w:w w:val="105"/>
          <w:sz w:val="11"/>
        </w:rPr>
        <w:t>guía.</w:t>
      </w:r>
    </w:p>
    <w:p w14:paraId="7CF8E241" w14:textId="77777777" w:rsidR="0014798C" w:rsidRDefault="0014798C">
      <w:pPr>
        <w:pStyle w:val="Textoindependiente"/>
        <w:rPr>
          <w:sz w:val="17"/>
        </w:rPr>
      </w:pPr>
    </w:p>
    <w:p w14:paraId="730CD976" w14:textId="77777777" w:rsidR="0014798C" w:rsidRDefault="0014798C">
      <w:pPr>
        <w:pStyle w:val="Textoindependiente"/>
        <w:rPr>
          <w:sz w:val="17"/>
        </w:rPr>
      </w:pPr>
    </w:p>
    <w:p w14:paraId="4EFF7BD4" w14:textId="77777777" w:rsidR="0014798C" w:rsidRDefault="0014798C">
      <w:pPr>
        <w:pStyle w:val="Textoindependiente"/>
        <w:spacing w:before="73"/>
        <w:rPr>
          <w:sz w:val="17"/>
        </w:rPr>
      </w:pPr>
    </w:p>
    <w:p w14:paraId="3A3E4683" w14:textId="77777777" w:rsidR="0014798C" w:rsidRDefault="004E1F0B">
      <w:pPr>
        <w:ind w:right="716"/>
        <w:jc w:val="right"/>
        <w:rPr>
          <w:sz w:val="17"/>
        </w:rPr>
      </w:pPr>
      <w:r>
        <w:rPr>
          <w:spacing w:val="-5"/>
          <w:sz w:val="17"/>
        </w:rPr>
        <w:t>101</w:t>
      </w:r>
    </w:p>
    <w:p w14:paraId="0223E8E9" w14:textId="77777777" w:rsidR="0014798C" w:rsidRDefault="0014798C">
      <w:pPr>
        <w:jc w:val="right"/>
        <w:rPr>
          <w:sz w:val="17"/>
        </w:rPr>
        <w:sectPr w:rsidR="0014798C" w:rsidSect="00F265E4">
          <w:headerReference w:type="default" r:id="rId204"/>
          <w:pgSz w:w="11900" w:h="16820"/>
          <w:pgMar w:top="40" w:right="0" w:bottom="280" w:left="200" w:header="0" w:footer="0" w:gutter="0"/>
          <w:cols w:space="720"/>
        </w:sectPr>
      </w:pPr>
    </w:p>
    <w:p w14:paraId="36AAD38A" w14:textId="77777777" w:rsidR="0014798C" w:rsidRDefault="0014798C">
      <w:pPr>
        <w:pStyle w:val="Textoindependiente"/>
        <w:spacing w:before="85"/>
        <w:rPr>
          <w:sz w:val="12"/>
        </w:rPr>
      </w:pPr>
    </w:p>
    <w:p w14:paraId="52822502" w14:textId="77777777" w:rsidR="0014798C" w:rsidRDefault="004E1F0B">
      <w:pPr>
        <w:ind w:left="1111"/>
        <w:rPr>
          <w:sz w:val="12"/>
        </w:rPr>
      </w:pPr>
      <w:r>
        <w:rPr>
          <w:color w:val="00AC59"/>
          <w:sz w:val="12"/>
        </w:rPr>
        <w:t>PROTECCIÓN</w:t>
      </w:r>
      <w:r>
        <w:rPr>
          <w:color w:val="00AC59"/>
          <w:spacing w:val="6"/>
          <w:sz w:val="12"/>
        </w:rPr>
        <w:t xml:space="preserve"> </w:t>
      </w:r>
      <w:r>
        <w:rPr>
          <w:color w:val="00AC59"/>
          <w:sz w:val="12"/>
        </w:rPr>
        <w:t>DE</w:t>
      </w:r>
      <w:r>
        <w:rPr>
          <w:color w:val="00AC59"/>
          <w:spacing w:val="7"/>
          <w:sz w:val="12"/>
        </w:rPr>
        <w:t xml:space="preserve"> </w:t>
      </w:r>
      <w:r>
        <w:rPr>
          <w:color w:val="00AC59"/>
          <w:sz w:val="12"/>
        </w:rPr>
        <w:t>LOS</w:t>
      </w:r>
      <w:r>
        <w:rPr>
          <w:color w:val="00AC59"/>
          <w:spacing w:val="8"/>
          <w:sz w:val="12"/>
        </w:rPr>
        <w:t xml:space="preserve"> </w:t>
      </w:r>
      <w:r>
        <w:rPr>
          <w:color w:val="00AC59"/>
          <w:sz w:val="12"/>
        </w:rPr>
        <w:t>DERECHOS</w:t>
      </w:r>
      <w:r>
        <w:rPr>
          <w:color w:val="00AC59"/>
          <w:spacing w:val="8"/>
          <w:sz w:val="12"/>
        </w:rPr>
        <w:t xml:space="preserve"> </w:t>
      </w:r>
      <w:r>
        <w:rPr>
          <w:color w:val="00AC59"/>
          <w:sz w:val="12"/>
        </w:rPr>
        <w:t>DE</w:t>
      </w:r>
      <w:r>
        <w:rPr>
          <w:color w:val="00AC59"/>
          <w:spacing w:val="6"/>
          <w:sz w:val="12"/>
        </w:rPr>
        <w:t xml:space="preserve"> </w:t>
      </w:r>
      <w:r>
        <w:rPr>
          <w:color w:val="00AC59"/>
          <w:sz w:val="12"/>
        </w:rPr>
        <w:t>LAS</w:t>
      </w:r>
      <w:r>
        <w:rPr>
          <w:color w:val="00AC59"/>
          <w:spacing w:val="7"/>
          <w:sz w:val="12"/>
        </w:rPr>
        <w:t xml:space="preserve"> </w:t>
      </w:r>
      <w:r>
        <w:rPr>
          <w:color w:val="00AC59"/>
          <w:sz w:val="12"/>
        </w:rPr>
        <w:t>MINORÍAS:</w:t>
      </w:r>
      <w:r>
        <w:rPr>
          <w:color w:val="00AC59"/>
          <w:spacing w:val="8"/>
          <w:sz w:val="12"/>
        </w:rPr>
        <w:t xml:space="preserve"> </w:t>
      </w:r>
      <w:r>
        <w:rPr>
          <w:color w:val="00AC59"/>
          <w:sz w:val="12"/>
        </w:rPr>
        <w:t>una</w:t>
      </w:r>
      <w:r>
        <w:rPr>
          <w:color w:val="00AC59"/>
          <w:spacing w:val="7"/>
          <w:sz w:val="12"/>
        </w:rPr>
        <w:t xml:space="preserve"> </w:t>
      </w:r>
      <w:r>
        <w:rPr>
          <w:color w:val="00AC59"/>
          <w:sz w:val="12"/>
        </w:rPr>
        <w:t>guía</w:t>
      </w:r>
      <w:r>
        <w:rPr>
          <w:color w:val="00AC59"/>
          <w:spacing w:val="6"/>
          <w:sz w:val="12"/>
        </w:rPr>
        <w:t xml:space="preserve"> </w:t>
      </w:r>
      <w:r>
        <w:rPr>
          <w:color w:val="00AC59"/>
          <w:sz w:val="12"/>
        </w:rPr>
        <w:t>práctica</w:t>
      </w:r>
      <w:r>
        <w:rPr>
          <w:color w:val="00AC59"/>
          <w:spacing w:val="7"/>
          <w:sz w:val="12"/>
        </w:rPr>
        <w:t xml:space="preserve"> </w:t>
      </w:r>
      <w:r>
        <w:rPr>
          <w:color w:val="00AC59"/>
          <w:sz w:val="12"/>
        </w:rPr>
        <w:t>para</w:t>
      </w:r>
      <w:r>
        <w:rPr>
          <w:color w:val="00AC59"/>
          <w:spacing w:val="8"/>
          <w:sz w:val="12"/>
        </w:rPr>
        <w:t xml:space="preserve"> </w:t>
      </w:r>
      <w:r>
        <w:rPr>
          <w:color w:val="00AC59"/>
          <w:sz w:val="12"/>
        </w:rPr>
        <w:t>desarrollar</w:t>
      </w:r>
      <w:r>
        <w:rPr>
          <w:color w:val="00AC59"/>
          <w:spacing w:val="6"/>
          <w:sz w:val="12"/>
        </w:rPr>
        <w:t xml:space="preserve"> </w:t>
      </w:r>
      <w:r>
        <w:rPr>
          <w:color w:val="00AC59"/>
          <w:sz w:val="12"/>
        </w:rPr>
        <w:t>una</w:t>
      </w:r>
      <w:r>
        <w:rPr>
          <w:color w:val="00AC59"/>
          <w:spacing w:val="7"/>
          <w:sz w:val="12"/>
        </w:rPr>
        <w:t xml:space="preserve"> </w:t>
      </w:r>
      <w:r>
        <w:rPr>
          <w:color w:val="00AC59"/>
          <w:sz w:val="12"/>
        </w:rPr>
        <w:t>legislación</w:t>
      </w:r>
      <w:r>
        <w:rPr>
          <w:color w:val="00AC59"/>
          <w:spacing w:val="8"/>
          <w:sz w:val="12"/>
        </w:rPr>
        <w:t xml:space="preserve"> </w:t>
      </w:r>
      <w:r>
        <w:rPr>
          <w:color w:val="00AC59"/>
          <w:sz w:val="12"/>
        </w:rPr>
        <w:t>integral</w:t>
      </w:r>
      <w:r>
        <w:rPr>
          <w:color w:val="00AC59"/>
          <w:spacing w:val="7"/>
          <w:sz w:val="12"/>
        </w:rPr>
        <w:t xml:space="preserve"> </w:t>
      </w:r>
      <w:r>
        <w:rPr>
          <w:color w:val="00AC59"/>
          <w:sz w:val="12"/>
        </w:rPr>
        <w:t>contra</w:t>
      </w:r>
      <w:r>
        <w:rPr>
          <w:color w:val="00AC59"/>
          <w:spacing w:val="6"/>
          <w:sz w:val="12"/>
        </w:rPr>
        <w:t xml:space="preserve"> </w:t>
      </w:r>
      <w:r>
        <w:rPr>
          <w:color w:val="00AC59"/>
          <w:sz w:val="12"/>
        </w:rPr>
        <w:t>la</w:t>
      </w:r>
      <w:r>
        <w:rPr>
          <w:color w:val="00AC59"/>
          <w:spacing w:val="7"/>
          <w:sz w:val="12"/>
        </w:rPr>
        <w:t xml:space="preserve"> </w:t>
      </w:r>
      <w:r>
        <w:rPr>
          <w:color w:val="00AC59"/>
          <w:spacing w:val="-2"/>
          <w:sz w:val="12"/>
        </w:rPr>
        <w:t>discriminación</w:t>
      </w:r>
    </w:p>
    <w:p w14:paraId="65D2A055" w14:textId="77777777" w:rsidR="0014798C" w:rsidRDefault="0014798C">
      <w:pPr>
        <w:pStyle w:val="Textoindependiente"/>
        <w:rPr>
          <w:sz w:val="24"/>
        </w:rPr>
      </w:pPr>
    </w:p>
    <w:p w14:paraId="5C5DB837" w14:textId="77777777" w:rsidR="0014798C" w:rsidRDefault="0014798C">
      <w:pPr>
        <w:pStyle w:val="Textoindependiente"/>
        <w:rPr>
          <w:sz w:val="24"/>
        </w:rPr>
      </w:pPr>
    </w:p>
    <w:p w14:paraId="1270FFEF" w14:textId="77777777" w:rsidR="0014798C" w:rsidRDefault="0014798C">
      <w:pPr>
        <w:pStyle w:val="Textoindependiente"/>
        <w:spacing w:before="162"/>
        <w:rPr>
          <w:sz w:val="24"/>
        </w:rPr>
      </w:pPr>
    </w:p>
    <w:p w14:paraId="14172129" w14:textId="77777777" w:rsidR="0014798C" w:rsidRDefault="004E1F0B">
      <w:pPr>
        <w:numPr>
          <w:ilvl w:val="1"/>
          <w:numId w:val="3"/>
        </w:numPr>
        <w:tabs>
          <w:tab w:val="left" w:pos="1399"/>
        </w:tabs>
        <w:ind w:left="1399" w:hanging="299"/>
        <w:rPr>
          <w:color w:val="00AC59"/>
          <w:sz w:val="24"/>
        </w:rPr>
      </w:pPr>
      <w:r>
        <w:rPr>
          <w:color w:val="00AC59"/>
          <w:sz w:val="24"/>
        </w:rPr>
        <w:t>Organismos</w:t>
      </w:r>
      <w:r>
        <w:rPr>
          <w:color w:val="00AC59"/>
          <w:spacing w:val="12"/>
          <w:sz w:val="24"/>
        </w:rPr>
        <w:t xml:space="preserve"> </w:t>
      </w:r>
      <w:r>
        <w:rPr>
          <w:color w:val="00AC59"/>
          <w:sz w:val="24"/>
        </w:rPr>
        <w:t>de</w:t>
      </w:r>
      <w:r>
        <w:rPr>
          <w:color w:val="00AC59"/>
          <w:spacing w:val="12"/>
          <w:sz w:val="24"/>
        </w:rPr>
        <w:t xml:space="preserve"> </w:t>
      </w:r>
      <w:r>
        <w:rPr>
          <w:color w:val="00AC59"/>
          <w:sz w:val="24"/>
        </w:rPr>
        <w:t>igualdad</w:t>
      </w:r>
      <w:r>
        <w:rPr>
          <w:color w:val="00AC59"/>
          <w:spacing w:val="12"/>
          <w:sz w:val="24"/>
        </w:rPr>
        <w:t xml:space="preserve"> </w:t>
      </w:r>
      <w:r>
        <w:rPr>
          <w:color w:val="00AC59"/>
          <w:sz w:val="24"/>
        </w:rPr>
        <w:t>y</w:t>
      </w:r>
      <w:r>
        <w:rPr>
          <w:color w:val="00AC59"/>
          <w:spacing w:val="12"/>
          <w:sz w:val="24"/>
        </w:rPr>
        <w:t xml:space="preserve"> </w:t>
      </w:r>
      <w:r>
        <w:rPr>
          <w:color w:val="00AC59"/>
          <w:sz w:val="24"/>
        </w:rPr>
        <w:t>derecho</w:t>
      </w:r>
      <w:r>
        <w:rPr>
          <w:color w:val="00AC59"/>
          <w:spacing w:val="12"/>
          <w:sz w:val="24"/>
        </w:rPr>
        <w:t xml:space="preserve"> </w:t>
      </w:r>
      <w:r>
        <w:rPr>
          <w:color w:val="00AC59"/>
          <w:spacing w:val="-2"/>
          <w:sz w:val="24"/>
        </w:rPr>
        <w:t>internacional</w:t>
      </w:r>
    </w:p>
    <w:p w14:paraId="565FD140" w14:textId="77777777" w:rsidR="0014798C" w:rsidRDefault="0014798C">
      <w:pPr>
        <w:pStyle w:val="Textoindependiente"/>
        <w:spacing w:before="71"/>
        <w:rPr>
          <w:sz w:val="15"/>
        </w:rPr>
      </w:pPr>
    </w:p>
    <w:p w14:paraId="34EB564C" w14:textId="77777777" w:rsidR="0014798C" w:rsidRDefault="004E1F0B">
      <w:pPr>
        <w:spacing w:before="1" w:line="348" w:lineRule="auto"/>
        <w:ind w:left="1107" w:right="1272" w:hanging="4"/>
        <w:rPr>
          <w:sz w:val="15"/>
        </w:rPr>
      </w:pPr>
      <w:r>
        <w:rPr>
          <w:w w:val="105"/>
          <w:sz w:val="15"/>
        </w:rPr>
        <w:t>Con</w:t>
      </w:r>
      <w:r>
        <w:rPr>
          <w:spacing w:val="-1"/>
          <w:w w:val="105"/>
          <w:sz w:val="15"/>
        </w:rPr>
        <w:t xml:space="preserve"> </w:t>
      </w:r>
      <w:r>
        <w:rPr>
          <w:w w:val="105"/>
          <w:sz w:val="15"/>
        </w:rPr>
        <w:t>una</w:t>
      </w:r>
      <w:r>
        <w:rPr>
          <w:spacing w:val="-1"/>
          <w:w w:val="105"/>
          <w:sz w:val="15"/>
        </w:rPr>
        <w:t xml:space="preserve"> </w:t>
      </w:r>
      <w:r>
        <w:rPr>
          <w:w w:val="105"/>
          <w:sz w:val="15"/>
        </w:rPr>
        <w:t>excepción, ninguno</w:t>
      </w:r>
      <w:r>
        <w:rPr>
          <w:spacing w:val="-1"/>
          <w:w w:val="105"/>
          <w:sz w:val="15"/>
        </w:rPr>
        <w:t xml:space="preserve"> </w:t>
      </w:r>
      <w:r>
        <w:rPr>
          <w:w w:val="105"/>
          <w:sz w:val="15"/>
        </w:rPr>
        <w:t>de</w:t>
      </w:r>
      <w:r>
        <w:rPr>
          <w:spacing w:val="-1"/>
          <w:w w:val="105"/>
          <w:sz w:val="15"/>
        </w:rPr>
        <w:t xml:space="preserve"> </w:t>
      </w:r>
      <w:r>
        <w:rPr>
          <w:w w:val="105"/>
          <w:sz w:val="15"/>
        </w:rPr>
        <w:t>los</w:t>
      </w:r>
      <w:r>
        <w:rPr>
          <w:spacing w:val="-1"/>
          <w:w w:val="105"/>
          <w:sz w:val="15"/>
        </w:rPr>
        <w:t xml:space="preserve"> </w:t>
      </w:r>
      <w:r>
        <w:rPr>
          <w:w w:val="105"/>
          <w:sz w:val="15"/>
        </w:rPr>
        <w:t>instrumentos</w:t>
      </w:r>
      <w:r>
        <w:rPr>
          <w:spacing w:val="-1"/>
          <w:w w:val="105"/>
          <w:sz w:val="15"/>
        </w:rPr>
        <w:t xml:space="preserve"> </w:t>
      </w:r>
      <w:r>
        <w:rPr>
          <w:w w:val="105"/>
          <w:sz w:val="15"/>
        </w:rPr>
        <w:t>básicos</w:t>
      </w:r>
      <w:r>
        <w:rPr>
          <w:spacing w:val="-1"/>
          <w:w w:val="105"/>
          <w:sz w:val="15"/>
        </w:rPr>
        <w:t xml:space="preserve"> </w:t>
      </w:r>
      <w:r>
        <w:rPr>
          <w:w w:val="105"/>
          <w:sz w:val="15"/>
        </w:rPr>
        <w:t>de</w:t>
      </w:r>
      <w:r>
        <w:rPr>
          <w:spacing w:val="-1"/>
          <w:w w:val="105"/>
          <w:sz w:val="15"/>
        </w:rPr>
        <w:t xml:space="preserve"> </w:t>
      </w:r>
      <w:r>
        <w:rPr>
          <w:w w:val="105"/>
          <w:sz w:val="15"/>
        </w:rPr>
        <w:t>derechos</w:t>
      </w:r>
      <w:r>
        <w:rPr>
          <w:spacing w:val="-1"/>
          <w:w w:val="105"/>
          <w:sz w:val="15"/>
        </w:rPr>
        <w:t xml:space="preserve"> </w:t>
      </w:r>
      <w:r>
        <w:rPr>
          <w:w w:val="105"/>
          <w:sz w:val="15"/>
        </w:rPr>
        <w:t>humanos</w:t>
      </w:r>
      <w:r>
        <w:rPr>
          <w:spacing w:val="-1"/>
          <w:w w:val="105"/>
          <w:sz w:val="15"/>
        </w:rPr>
        <w:t xml:space="preserve"> </w:t>
      </w:r>
      <w:r>
        <w:rPr>
          <w:w w:val="105"/>
          <w:sz w:val="15"/>
        </w:rPr>
        <w:t>de</w:t>
      </w:r>
      <w:r>
        <w:rPr>
          <w:spacing w:val="-1"/>
          <w:w w:val="105"/>
          <w:sz w:val="15"/>
        </w:rPr>
        <w:t xml:space="preserve"> </w:t>
      </w:r>
      <w:r>
        <w:rPr>
          <w:w w:val="105"/>
          <w:sz w:val="15"/>
        </w:rPr>
        <w:t>las</w:t>
      </w:r>
      <w:r>
        <w:rPr>
          <w:spacing w:val="-1"/>
          <w:w w:val="105"/>
          <w:sz w:val="15"/>
        </w:rPr>
        <w:t xml:space="preserve"> </w:t>
      </w:r>
      <w:r>
        <w:rPr>
          <w:w w:val="105"/>
          <w:sz w:val="15"/>
        </w:rPr>
        <w:t>Naciones</w:t>
      </w:r>
      <w:r>
        <w:rPr>
          <w:spacing w:val="-1"/>
          <w:w w:val="105"/>
          <w:sz w:val="15"/>
        </w:rPr>
        <w:t xml:space="preserve"> </w:t>
      </w:r>
      <w:r>
        <w:rPr>
          <w:w w:val="105"/>
          <w:sz w:val="15"/>
        </w:rPr>
        <w:t>Unidas</w:t>
      </w:r>
      <w:r>
        <w:rPr>
          <w:spacing w:val="-1"/>
          <w:w w:val="105"/>
          <w:sz w:val="15"/>
        </w:rPr>
        <w:t xml:space="preserve"> </w:t>
      </w:r>
      <w:r>
        <w:rPr>
          <w:w w:val="105"/>
          <w:sz w:val="15"/>
        </w:rPr>
        <w:t>incluye</w:t>
      </w:r>
      <w:r>
        <w:rPr>
          <w:spacing w:val="-1"/>
          <w:w w:val="105"/>
          <w:sz w:val="15"/>
        </w:rPr>
        <w:t xml:space="preserve"> </w:t>
      </w:r>
      <w:r>
        <w:rPr>
          <w:w w:val="105"/>
          <w:sz w:val="15"/>
        </w:rPr>
        <w:t>una</w:t>
      </w:r>
      <w:r>
        <w:rPr>
          <w:spacing w:val="-1"/>
          <w:w w:val="105"/>
          <w:sz w:val="15"/>
        </w:rPr>
        <w:t xml:space="preserve"> </w:t>
      </w:r>
      <w:r>
        <w:rPr>
          <w:w w:val="105"/>
          <w:sz w:val="15"/>
        </w:rPr>
        <w:t>obligación explícita</w:t>
      </w:r>
      <w:r>
        <w:rPr>
          <w:spacing w:val="-5"/>
          <w:w w:val="105"/>
          <w:sz w:val="15"/>
        </w:rPr>
        <w:t xml:space="preserve"> </w:t>
      </w:r>
      <w:r>
        <w:rPr>
          <w:w w:val="105"/>
          <w:sz w:val="15"/>
        </w:rPr>
        <w:t>de</w:t>
      </w:r>
      <w:r>
        <w:rPr>
          <w:spacing w:val="-5"/>
          <w:w w:val="105"/>
          <w:sz w:val="15"/>
        </w:rPr>
        <w:t xml:space="preserve"> </w:t>
      </w:r>
      <w:r>
        <w:rPr>
          <w:w w:val="105"/>
          <w:sz w:val="15"/>
        </w:rPr>
        <w:t>establecer</w:t>
      </w:r>
      <w:r>
        <w:rPr>
          <w:spacing w:val="-5"/>
          <w:w w:val="105"/>
          <w:sz w:val="15"/>
        </w:rPr>
        <w:t xml:space="preserve"> </w:t>
      </w:r>
      <w:r>
        <w:rPr>
          <w:w w:val="105"/>
          <w:sz w:val="15"/>
        </w:rPr>
        <w:t>organismos</w:t>
      </w:r>
      <w:r>
        <w:rPr>
          <w:spacing w:val="-5"/>
          <w:w w:val="105"/>
          <w:sz w:val="15"/>
        </w:rPr>
        <w:t xml:space="preserve"> </w:t>
      </w:r>
      <w:r>
        <w:rPr>
          <w:w w:val="105"/>
          <w:sz w:val="15"/>
        </w:rPr>
        <w:t>independientes</w:t>
      </w:r>
      <w:r>
        <w:rPr>
          <w:spacing w:val="-5"/>
          <w:w w:val="105"/>
          <w:sz w:val="15"/>
        </w:rPr>
        <w:t xml:space="preserve"> </w:t>
      </w:r>
      <w:r>
        <w:rPr>
          <w:w w:val="105"/>
          <w:sz w:val="15"/>
        </w:rPr>
        <w:t>para</w:t>
      </w:r>
      <w:r>
        <w:rPr>
          <w:spacing w:val="-5"/>
          <w:w w:val="105"/>
          <w:sz w:val="15"/>
        </w:rPr>
        <w:t xml:space="preserve"> </w:t>
      </w:r>
      <w:r>
        <w:rPr>
          <w:w w:val="105"/>
          <w:sz w:val="15"/>
        </w:rPr>
        <w:t>la</w:t>
      </w:r>
      <w:r>
        <w:rPr>
          <w:spacing w:val="-5"/>
          <w:w w:val="105"/>
          <w:sz w:val="15"/>
        </w:rPr>
        <w:t xml:space="preserve"> </w:t>
      </w:r>
      <w:r>
        <w:rPr>
          <w:w w:val="105"/>
          <w:sz w:val="15"/>
        </w:rPr>
        <w:t>igualdad,</w:t>
      </w:r>
      <w:r>
        <w:rPr>
          <w:spacing w:val="-4"/>
          <w:w w:val="105"/>
          <w:sz w:val="15"/>
        </w:rPr>
        <w:t xml:space="preserve"> </w:t>
      </w:r>
      <w:r>
        <w:rPr>
          <w:w w:val="105"/>
          <w:sz w:val="15"/>
        </w:rPr>
        <w:t>y</w:t>
      </w:r>
      <w:r>
        <w:rPr>
          <w:spacing w:val="-5"/>
          <w:w w:val="105"/>
          <w:sz w:val="15"/>
        </w:rPr>
        <w:t xml:space="preserve"> </w:t>
      </w:r>
      <w:r>
        <w:rPr>
          <w:w w:val="105"/>
          <w:sz w:val="15"/>
        </w:rPr>
        <w:t>el</w:t>
      </w:r>
      <w:r>
        <w:rPr>
          <w:spacing w:val="-5"/>
          <w:w w:val="105"/>
          <w:sz w:val="15"/>
        </w:rPr>
        <w:t xml:space="preserve"> </w:t>
      </w:r>
      <w:r>
        <w:rPr>
          <w:w w:val="105"/>
          <w:sz w:val="15"/>
        </w:rPr>
        <w:t>término</w:t>
      </w:r>
      <w:r>
        <w:rPr>
          <w:spacing w:val="-5"/>
          <w:w w:val="105"/>
          <w:sz w:val="15"/>
        </w:rPr>
        <w:t xml:space="preserve"> </w:t>
      </w:r>
      <w:r>
        <w:rPr>
          <w:w w:val="105"/>
          <w:sz w:val="15"/>
        </w:rPr>
        <w:t>“organismo</w:t>
      </w:r>
      <w:r>
        <w:rPr>
          <w:spacing w:val="-5"/>
          <w:w w:val="105"/>
          <w:sz w:val="15"/>
        </w:rPr>
        <w:t xml:space="preserve"> </w:t>
      </w:r>
      <w:r>
        <w:rPr>
          <w:w w:val="105"/>
          <w:sz w:val="15"/>
        </w:rPr>
        <w:t>para</w:t>
      </w:r>
      <w:r>
        <w:rPr>
          <w:spacing w:val="-5"/>
          <w:w w:val="105"/>
          <w:sz w:val="15"/>
        </w:rPr>
        <w:t xml:space="preserve"> </w:t>
      </w:r>
      <w:r>
        <w:rPr>
          <w:w w:val="105"/>
          <w:sz w:val="15"/>
        </w:rPr>
        <w:t>la</w:t>
      </w:r>
      <w:r>
        <w:rPr>
          <w:spacing w:val="-5"/>
          <w:w w:val="105"/>
          <w:sz w:val="15"/>
        </w:rPr>
        <w:t xml:space="preserve"> </w:t>
      </w:r>
      <w:r>
        <w:rPr>
          <w:w w:val="105"/>
          <w:sz w:val="15"/>
        </w:rPr>
        <w:t>igualdad”</w:t>
      </w:r>
      <w:r>
        <w:rPr>
          <w:spacing w:val="-5"/>
          <w:w w:val="105"/>
          <w:sz w:val="15"/>
        </w:rPr>
        <w:t xml:space="preserve"> </w:t>
      </w:r>
      <w:r>
        <w:rPr>
          <w:w w:val="105"/>
          <w:sz w:val="15"/>
        </w:rPr>
        <w:t>se</w:t>
      </w:r>
      <w:r>
        <w:rPr>
          <w:spacing w:val="-5"/>
          <w:w w:val="105"/>
          <w:sz w:val="15"/>
        </w:rPr>
        <w:t xml:space="preserve"> </w:t>
      </w:r>
      <w:r>
        <w:rPr>
          <w:w w:val="105"/>
          <w:sz w:val="15"/>
        </w:rPr>
        <w:t>utiliza</w:t>
      </w:r>
      <w:r>
        <w:rPr>
          <w:spacing w:val="-5"/>
          <w:w w:val="105"/>
          <w:sz w:val="15"/>
        </w:rPr>
        <w:t xml:space="preserve"> </w:t>
      </w:r>
      <w:r>
        <w:rPr>
          <w:w w:val="105"/>
          <w:sz w:val="15"/>
        </w:rPr>
        <w:t>con</w:t>
      </w:r>
      <w:r>
        <w:rPr>
          <w:spacing w:val="-5"/>
          <w:w w:val="105"/>
          <w:sz w:val="15"/>
        </w:rPr>
        <w:t xml:space="preserve"> </w:t>
      </w:r>
      <w:r>
        <w:rPr>
          <w:w w:val="105"/>
          <w:sz w:val="15"/>
        </w:rPr>
        <w:t>poca frecuencia</w:t>
      </w:r>
      <w:r>
        <w:rPr>
          <w:spacing w:val="-8"/>
          <w:w w:val="105"/>
          <w:sz w:val="15"/>
        </w:rPr>
        <w:t xml:space="preserve"> </w:t>
      </w:r>
      <w:r>
        <w:rPr>
          <w:w w:val="105"/>
          <w:sz w:val="15"/>
        </w:rPr>
        <w:t>a</w:t>
      </w:r>
      <w:r>
        <w:rPr>
          <w:spacing w:val="-8"/>
          <w:w w:val="105"/>
          <w:sz w:val="15"/>
        </w:rPr>
        <w:t xml:space="preserve"> </w:t>
      </w:r>
      <w:r>
        <w:rPr>
          <w:w w:val="105"/>
          <w:sz w:val="15"/>
        </w:rPr>
        <w:t>nivel</w:t>
      </w:r>
      <w:r>
        <w:rPr>
          <w:spacing w:val="-8"/>
          <w:w w:val="105"/>
          <w:sz w:val="15"/>
        </w:rPr>
        <w:t xml:space="preserve"> </w:t>
      </w:r>
      <w:r>
        <w:rPr>
          <w:w w:val="105"/>
          <w:sz w:val="15"/>
        </w:rPr>
        <w:t>internacional.</w:t>
      </w:r>
      <w:r>
        <w:rPr>
          <w:spacing w:val="-7"/>
          <w:w w:val="105"/>
          <w:sz w:val="15"/>
        </w:rPr>
        <w:t xml:space="preserve"> </w:t>
      </w:r>
      <w:r>
        <w:rPr>
          <w:w w:val="105"/>
          <w:sz w:val="15"/>
        </w:rPr>
        <w:t>Sin</w:t>
      </w:r>
      <w:r>
        <w:rPr>
          <w:spacing w:val="-8"/>
          <w:w w:val="105"/>
          <w:sz w:val="15"/>
        </w:rPr>
        <w:t xml:space="preserve"> </w:t>
      </w:r>
      <w:r>
        <w:rPr>
          <w:w w:val="105"/>
          <w:sz w:val="15"/>
        </w:rPr>
        <w:t>embargo,</w:t>
      </w:r>
      <w:r>
        <w:rPr>
          <w:spacing w:val="-7"/>
          <w:w w:val="105"/>
          <w:sz w:val="15"/>
        </w:rPr>
        <w:t xml:space="preserve"> </w:t>
      </w:r>
      <w:r>
        <w:rPr>
          <w:w w:val="105"/>
          <w:sz w:val="15"/>
        </w:rPr>
        <w:t>en</w:t>
      </w:r>
      <w:r>
        <w:rPr>
          <w:spacing w:val="-8"/>
          <w:w w:val="105"/>
          <w:sz w:val="15"/>
        </w:rPr>
        <w:t xml:space="preserve"> </w:t>
      </w:r>
      <w:r>
        <w:rPr>
          <w:w w:val="105"/>
          <w:sz w:val="15"/>
        </w:rPr>
        <w:t>la</w:t>
      </w:r>
      <w:r>
        <w:rPr>
          <w:spacing w:val="-8"/>
          <w:w w:val="105"/>
          <w:sz w:val="15"/>
        </w:rPr>
        <w:t xml:space="preserve"> </w:t>
      </w:r>
      <w:r>
        <w:rPr>
          <w:w w:val="105"/>
          <w:sz w:val="15"/>
        </w:rPr>
        <w:t>interpretación</w:t>
      </w:r>
      <w:r>
        <w:rPr>
          <w:spacing w:val="-8"/>
          <w:w w:val="105"/>
          <w:sz w:val="15"/>
        </w:rPr>
        <w:t xml:space="preserve"> </w:t>
      </w:r>
      <w:r>
        <w:rPr>
          <w:w w:val="105"/>
          <w:sz w:val="15"/>
        </w:rPr>
        <w:t>de</w:t>
      </w:r>
      <w:r>
        <w:rPr>
          <w:spacing w:val="-8"/>
          <w:w w:val="105"/>
          <w:sz w:val="15"/>
        </w:rPr>
        <w:t xml:space="preserve"> </w:t>
      </w:r>
      <w:r>
        <w:rPr>
          <w:w w:val="105"/>
          <w:sz w:val="15"/>
        </w:rPr>
        <w:t>sus</w:t>
      </w:r>
      <w:r>
        <w:rPr>
          <w:spacing w:val="-8"/>
          <w:w w:val="105"/>
          <w:sz w:val="15"/>
        </w:rPr>
        <w:t xml:space="preserve"> </w:t>
      </w:r>
      <w:r>
        <w:rPr>
          <w:w w:val="105"/>
          <w:sz w:val="15"/>
        </w:rPr>
        <w:t>respectivos</w:t>
      </w:r>
      <w:r>
        <w:rPr>
          <w:spacing w:val="-8"/>
          <w:w w:val="105"/>
          <w:sz w:val="15"/>
        </w:rPr>
        <w:t xml:space="preserve"> </w:t>
      </w:r>
      <w:r>
        <w:rPr>
          <w:w w:val="105"/>
          <w:sz w:val="15"/>
        </w:rPr>
        <w:t>convenios,</w:t>
      </w:r>
      <w:r>
        <w:rPr>
          <w:spacing w:val="-7"/>
          <w:w w:val="105"/>
          <w:sz w:val="15"/>
        </w:rPr>
        <w:t xml:space="preserve"> </w:t>
      </w:r>
      <w:r>
        <w:rPr>
          <w:w w:val="105"/>
          <w:sz w:val="15"/>
        </w:rPr>
        <w:t>los</w:t>
      </w:r>
      <w:r>
        <w:rPr>
          <w:spacing w:val="-8"/>
          <w:w w:val="105"/>
          <w:sz w:val="15"/>
        </w:rPr>
        <w:t xml:space="preserve"> </w:t>
      </w:r>
      <w:r>
        <w:rPr>
          <w:w w:val="105"/>
          <w:sz w:val="15"/>
        </w:rPr>
        <w:t>órganos</w:t>
      </w:r>
      <w:r>
        <w:rPr>
          <w:spacing w:val="-8"/>
          <w:w w:val="105"/>
          <w:sz w:val="15"/>
        </w:rPr>
        <w:t xml:space="preserve"> </w:t>
      </w:r>
      <w:r>
        <w:rPr>
          <w:w w:val="105"/>
          <w:sz w:val="15"/>
        </w:rPr>
        <w:t>creados</w:t>
      </w:r>
      <w:r>
        <w:rPr>
          <w:spacing w:val="-8"/>
          <w:w w:val="105"/>
          <w:sz w:val="15"/>
        </w:rPr>
        <w:t xml:space="preserve"> </w:t>
      </w:r>
      <w:r>
        <w:rPr>
          <w:w w:val="105"/>
          <w:sz w:val="15"/>
        </w:rPr>
        <w:t>en</w:t>
      </w:r>
      <w:r>
        <w:rPr>
          <w:spacing w:val="-8"/>
          <w:w w:val="105"/>
          <w:sz w:val="15"/>
        </w:rPr>
        <w:t xml:space="preserve"> </w:t>
      </w:r>
      <w:r>
        <w:rPr>
          <w:w w:val="105"/>
          <w:sz w:val="15"/>
        </w:rPr>
        <w:t>virtud</w:t>
      </w:r>
      <w:r>
        <w:rPr>
          <w:spacing w:val="-8"/>
          <w:w w:val="105"/>
          <w:sz w:val="15"/>
        </w:rPr>
        <w:t xml:space="preserve"> </w:t>
      </w:r>
      <w:r>
        <w:rPr>
          <w:w w:val="105"/>
          <w:sz w:val="15"/>
        </w:rPr>
        <w:t>de tratados</w:t>
      </w:r>
      <w:r>
        <w:rPr>
          <w:spacing w:val="-1"/>
          <w:w w:val="105"/>
          <w:sz w:val="15"/>
        </w:rPr>
        <w:t xml:space="preserve"> </w:t>
      </w:r>
      <w:r>
        <w:rPr>
          <w:w w:val="105"/>
          <w:sz w:val="15"/>
        </w:rPr>
        <w:t>se</w:t>
      </w:r>
      <w:r>
        <w:rPr>
          <w:spacing w:val="-1"/>
          <w:w w:val="105"/>
          <w:sz w:val="15"/>
        </w:rPr>
        <w:t xml:space="preserve"> </w:t>
      </w:r>
      <w:r>
        <w:rPr>
          <w:w w:val="105"/>
          <w:sz w:val="15"/>
        </w:rPr>
        <w:t>han</w:t>
      </w:r>
      <w:r>
        <w:rPr>
          <w:spacing w:val="-1"/>
          <w:w w:val="105"/>
          <w:sz w:val="15"/>
        </w:rPr>
        <w:t xml:space="preserve"> </w:t>
      </w:r>
      <w:r>
        <w:rPr>
          <w:w w:val="105"/>
          <w:sz w:val="15"/>
        </w:rPr>
        <w:t>referido</w:t>
      </w:r>
      <w:r>
        <w:rPr>
          <w:spacing w:val="-1"/>
          <w:w w:val="105"/>
          <w:sz w:val="15"/>
        </w:rPr>
        <w:t xml:space="preserve"> </w:t>
      </w:r>
      <w:r>
        <w:rPr>
          <w:w w:val="105"/>
          <w:sz w:val="15"/>
        </w:rPr>
        <w:t>de</w:t>
      </w:r>
      <w:r>
        <w:rPr>
          <w:spacing w:val="-1"/>
          <w:w w:val="105"/>
          <w:sz w:val="15"/>
        </w:rPr>
        <w:t xml:space="preserve"> </w:t>
      </w:r>
      <w:r>
        <w:rPr>
          <w:w w:val="105"/>
          <w:sz w:val="15"/>
        </w:rPr>
        <w:t>diversas</w:t>
      </w:r>
      <w:r>
        <w:rPr>
          <w:spacing w:val="-1"/>
          <w:w w:val="105"/>
          <w:sz w:val="15"/>
        </w:rPr>
        <w:t xml:space="preserve"> </w:t>
      </w:r>
      <w:r>
        <w:rPr>
          <w:w w:val="105"/>
          <w:sz w:val="15"/>
        </w:rPr>
        <w:t>formas</w:t>
      </w:r>
      <w:r>
        <w:rPr>
          <w:spacing w:val="-1"/>
          <w:w w:val="105"/>
          <w:sz w:val="15"/>
        </w:rPr>
        <w:t xml:space="preserve"> </w:t>
      </w:r>
      <w:r>
        <w:rPr>
          <w:w w:val="105"/>
          <w:sz w:val="15"/>
        </w:rPr>
        <w:t>a</w:t>
      </w:r>
      <w:r>
        <w:rPr>
          <w:spacing w:val="-1"/>
          <w:w w:val="105"/>
          <w:sz w:val="15"/>
        </w:rPr>
        <w:t xml:space="preserve"> </w:t>
      </w:r>
      <w:r>
        <w:rPr>
          <w:w w:val="105"/>
          <w:sz w:val="15"/>
        </w:rPr>
        <w:t>la</w:t>
      </w:r>
      <w:r>
        <w:rPr>
          <w:spacing w:val="-1"/>
          <w:w w:val="105"/>
          <w:sz w:val="15"/>
        </w:rPr>
        <w:t xml:space="preserve"> </w:t>
      </w:r>
      <w:r>
        <w:rPr>
          <w:w w:val="105"/>
          <w:sz w:val="15"/>
        </w:rPr>
        <w:t>necesidad</w:t>
      </w:r>
      <w:r>
        <w:rPr>
          <w:spacing w:val="-1"/>
          <w:w w:val="105"/>
          <w:sz w:val="15"/>
        </w:rPr>
        <w:t xml:space="preserve"> </w:t>
      </w:r>
      <w:r>
        <w:rPr>
          <w:w w:val="105"/>
          <w:sz w:val="15"/>
        </w:rPr>
        <w:t>de</w:t>
      </w:r>
      <w:r>
        <w:rPr>
          <w:spacing w:val="-1"/>
          <w:w w:val="105"/>
          <w:sz w:val="15"/>
        </w:rPr>
        <w:t xml:space="preserve"> </w:t>
      </w:r>
      <w:r>
        <w:rPr>
          <w:w w:val="105"/>
          <w:sz w:val="15"/>
        </w:rPr>
        <w:t>“comisiones</w:t>
      </w:r>
      <w:r>
        <w:rPr>
          <w:spacing w:val="-1"/>
          <w:w w:val="105"/>
          <w:sz w:val="15"/>
        </w:rPr>
        <w:t xml:space="preserve"> </w:t>
      </w:r>
      <w:r>
        <w:rPr>
          <w:w w:val="105"/>
          <w:sz w:val="15"/>
        </w:rPr>
        <w:t>nacionales”, “órganos</w:t>
      </w:r>
      <w:r>
        <w:rPr>
          <w:spacing w:val="-1"/>
          <w:w w:val="105"/>
          <w:sz w:val="15"/>
        </w:rPr>
        <w:t xml:space="preserve"> </w:t>
      </w:r>
      <w:r>
        <w:rPr>
          <w:w w:val="105"/>
          <w:sz w:val="15"/>
        </w:rPr>
        <w:t>apropiados”, “instituciones</w:t>
      </w:r>
      <w:r>
        <w:rPr>
          <w:spacing w:val="-1"/>
          <w:w w:val="105"/>
          <w:sz w:val="15"/>
        </w:rPr>
        <w:t xml:space="preserve"> </w:t>
      </w:r>
      <w:r>
        <w:rPr>
          <w:w w:val="105"/>
          <w:sz w:val="15"/>
        </w:rPr>
        <w:t>de</w:t>
      </w:r>
    </w:p>
    <w:p w14:paraId="435A777A" w14:textId="77777777" w:rsidR="0014798C" w:rsidRDefault="004E1F0B">
      <w:pPr>
        <w:spacing w:line="171" w:lineRule="exact"/>
        <w:ind w:left="1123"/>
        <w:rPr>
          <w:sz w:val="15"/>
        </w:rPr>
      </w:pPr>
      <w:r>
        <w:rPr>
          <w:sz w:val="15"/>
        </w:rPr>
        <w:t>seguimiento</w:t>
      </w:r>
      <w:r>
        <w:rPr>
          <w:spacing w:val="13"/>
          <w:sz w:val="15"/>
        </w:rPr>
        <w:t xml:space="preserve"> </w:t>
      </w:r>
      <w:r>
        <w:rPr>
          <w:sz w:val="15"/>
        </w:rPr>
        <w:t>independientes”</w:t>
      </w:r>
      <w:r>
        <w:rPr>
          <w:spacing w:val="13"/>
          <w:sz w:val="15"/>
        </w:rPr>
        <w:t xml:space="preserve"> </w:t>
      </w:r>
      <w:r>
        <w:rPr>
          <w:sz w:val="15"/>
        </w:rPr>
        <w:t>y</w:t>
      </w:r>
      <w:r>
        <w:rPr>
          <w:spacing w:val="14"/>
          <w:sz w:val="15"/>
        </w:rPr>
        <w:t xml:space="preserve"> </w:t>
      </w:r>
      <w:r>
        <w:rPr>
          <w:sz w:val="15"/>
        </w:rPr>
        <w:t>“mecanismos</w:t>
      </w:r>
      <w:r>
        <w:rPr>
          <w:spacing w:val="13"/>
          <w:sz w:val="15"/>
        </w:rPr>
        <w:t xml:space="preserve"> </w:t>
      </w:r>
      <w:r>
        <w:rPr>
          <w:sz w:val="15"/>
        </w:rPr>
        <w:t>independientes”,</w:t>
      </w:r>
      <w:r>
        <w:rPr>
          <w:spacing w:val="15"/>
          <w:sz w:val="15"/>
        </w:rPr>
        <w:t xml:space="preserve"> </w:t>
      </w:r>
      <w:r>
        <w:rPr>
          <w:sz w:val="15"/>
        </w:rPr>
        <w:t>lo</w:t>
      </w:r>
      <w:r>
        <w:rPr>
          <w:spacing w:val="13"/>
          <w:sz w:val="15"/>
        </w:rPr>
        <w:t xml:space="preserve"> </w:t>
      </w:r>
      <w:r>
        <w:rPr>
          <w:sz w:val="15"/>
        </w:rPr>
        <w:t>que</w:t>
      </w:r>
      <w:r>
        <w:rPr>
          <w:spacing w:val="13"/>
          <w:sz w:val="15"/>
        </w:rPr>
        <w:t xml:space="preserve"> </w:t>
      </w:r>
      <w:r>
        <w:rPr>
          <w:sz w:val="15"/>
        </w:rPr>
        <w:t>demuestra</w:t>
      </w:r>
      <w:r>
        <w:rPr>
          <w:spacing w:val="14"/>
          <w:sz w:val="15"/>
        </w:rPr>
        <w:t xml:space="preserve"> </w:t>
      </w:r>
      <w:r>
        <w:rPr>
          <w:sz w:val="15"/>
        </w:rPr>
        <w:t>una</w:t>
      </w:r>
      <w:r>
        <w:rPr>
          <w:spacing w:val="13"/>
          <w:sz w:val="15"/>
        </w:rPr>
        <w:t xml:space="preserve"> </w:t>
      </w:r>
      <w:r>
        <w:rPr>
          <w:sz w:val="15"/>
        </w:rPr>
        <w:t>obligación</w:t>
      </w:r>
      <w:r>
        <w:rPr>
          <w:spacing w:val="13"/>
          <w:sz w:val="15"/>
        </w:rPr>
        <w:t xml:space="preserve"> </w:t>
      </w:r>
      <w:r>
        <w:rPr>
          <w:sz w:val="15"/>
        </w:rPr>
        <w:t>específica</w:t>
      </w:r>
      <w:r>
        <w:rPr>
          <w:spacing w:val="14"/>
          <w:sz w:val="15"/>
        </w:rPr>
        <w:t xml:space="preserve"> </w:t>
      </w:r>
      <w:r>
        <w:rPr>
          <w:sz w:val="15"/>
        </w:rPr>
        <w:t>de</w:t>
      </w:r>
      <w:r>
        <w:rPr>
          <w:spacing w:val="13"/>
          <w:sz w:val="15"/>
        </w:rPr>
        <w:t xml:space="preserve"> </w:t>
      </w:r>
      <w:r>
        <w:rPr>
          <w:sz w:val="15"/>
        </w:rPr>
        <w:t>establecer</w:t>
      </w:r>
      <w:r>
        <w:rPr>
          <w:spacing w:val="13"/>
          <w:sz w:val="15"/>
        </w:rPr>
        <w:t xml:space="preserve"> </w:t>
      </w:r>
      <w:r>
        <w:rPr>
          <w:sz w:val="15"/>
        </w:rPr>
        <w:t>órganos</w:t>
      </w:r>
      <w:r>
        <w:rPr>
          <w:spacing w:val="14"/>
          <w:sz w:val="15"/>
        </w:rPr>
        <w:t xml:space="preserve"> </w:t>
      </w:r>
      <w:r>
        <w:rPr>
          <w:sz w:val="15"/>
        </w:rPr>
        <w:t>de</w:t>
      </w:r>
      <w:r>
        <w:rPr>
          <w:spacing w:val="13"/>
          <w:sz w:val="15"/>
        </w:rPr>
        <w:t xml:space="preserve"> </w:t>
      </w:r>
      <w:r>
        <w:rPr>
          <w:sz w:val="15"/>
        </w:rPr>
        <w:t>igualdad.</w:t>
      </w:r>
      <w:r>
        <w:rPr>
          <w:spacing w:val="15"/>
          <w:sz w:val="15"/>
        </w:rPr>
        <w:t xml:space="preserve"> </w:t>
      </w:r>
      <w:r>
        <w:rPr>
          <w:spacing w:val="-4"/>
          <w:sz w:val="15"/>
        </w:rPr>
        <w:t>.707</w:t>
      </w:r>
    </w:p>
    <w:p w14:paraId="00A6634F" w14:textId="77777777" w:rsidR="0014798C" w:rsidRDefault="0014798C">
      <w:pPr>
        <w:pStyle w:val="Textoindependiente"/>
        <w:spacing w:before="74"/>
        <w:rPr>
          <w:sz w:val="15"/>
        </w:rPr>
      </w:pPr>
    </w:p>
    <w:p w14:paraId="0A3C74F7" w14:textId="77777777" w:rsidR="0014798C" w:rsidRDefault="004E1F0B">
      <w:pPr>
        <w:spacing w:line="348" w:lineRule="auto"/>
        <w:ind w:left="1105" w:right="1159" w:firstLine="2"/>
        <w:rPr>
          <w:sz w:val="15"/>
        </w:rPr>
      </w:pPr>
      <w:r>
        <w:rPr>
          <w:w w:val="105"/>
          <w:sz w:val="15"/>
        </w:rPr>
        <w:t>En</w:t>
      </w:r>
      <w:r>
        <w:rPr>
          <w:spacing w:val="-1"/>
          <w:w w:val="105"/>
          <w:sz w:val="15"/>
        </w:rPr>
        <w:t xml:space="preserve"> </w:t>
      </w:r>
      <w:r>
        <w:rPr>
          <w:w w:val="105"/>
          <w:sz w:val="15"/>
        </w:rPr>
        <w:t>sus</w:t>
      </w:r>
      <w:r>
        <w:rPr>
          <w:spacing w:val="-1"/>
          <w:w w:val="105"/>
          <w:sz w:val="15"/>
        </w:rPr>
        <w:t xml:space="preserve"> </w:t>
      </w:r>
      <w:r>
        <w:rPr>
          <w:w w:val="105"/>
          <w:sz w:val="15"/>
        </w:rPr>
        <w:t>recientes</w:t>
      </w:r>
      <w:r>
        <w:rPr>
          <w:spacing w:val="-1"/>
          <w:w w:val="105"/>
          <w:sz w:val="15"/>
        </w:rPr>
        <w:t xml:space="preserve"> </w:t>
      </w:r>
      <w:r>
        <w:rPr>
          <w:w w:val="105"/>
          <w:sz w:val="15"/>
        </w:rPr>
        <w:t>observaciones</w:t>
      </w:r>
      <w:r>
        <w:rPr>
          <w:spacing w:val="-1"/>
          <w:w w:val="105"/>
          <w:sz w:val="15"/>
        </w:rPr>
        <w:t xml:space="preserve"> </w:t>
      </w:r>
      <w:r>
        <w:rPr>
          <w:w w:val="105"/>
          <w:sz w:val="15"/>
        </w:rPr>
        <w:t>finales, el</w:t>
      </w:r>
      <w:r>
        <w:rPr>
          <w:spacing w:val="-1"/>
          <w:w w:val="105"/>
          <w:sz w:val="15"/>
        </w:rPr>
        <w:t xml:space="preserve"> </w:t>
      </w:r>
      <w:r>
        <w:rPr>
          <w:w w:val="105"/>
          <w:sz w:val="15"/>
        </w:rPr>
        <w:t>Comité</w:t>
      </w:r>
      <w:r>
        <w:rPr>
          <w:spacing w:val="-1"/>
          <w:w w:val="105"/>
          <w:sz w:val="15"/>
        </w:rPr>
        <w:t xml:space="preserve"> </w:t>
      </w:r>
      <w:r>
        <w:rPr>
          <w:w w:val="105"/>
          <w:sz w:val="15"/>
        </w:rPr>
        <w:t>de</w:t>
      </w:r>
      <w:r>
        <w:rPr>
          <w:spacing w:val="-1"/>
          <w:w w:val="105"/>
          <w:sz w:val="15"/>
        </w:rPr>
        <w:t xml:space="preserve"> </w:t>
      </w:r>
      <w:r>
        <w:rPr>
          <w:w w:val="105"/>
          <w:sz w:val="15"/>
        </w:rPr>
        <w:t>Derechos</w:t>
      </w:r>
      <w:r>
        <w:rPr>
          <w:spacing w:val="-1"/>
          <w:w w:val="105"/>
          <w:sz w:val="15"/>
        </w:rPr>
        <w:t xml:space="preserve"> </w:t>
      </w:r>
      <w:r>
        <w:rPr>
          <w:w w:val="105"/>
          <w:sz w:val="15"/>
        </w:rPr>
        <w:t>Humanos</w:t>
      </w:r>
      <w:r>
        <w:rPr>
          <w:spacing w:val="-1"/>
          <w:w w:val="105"/>
          <w:sz w:val="15"/>
        </w:rPr>
        <w:t xml:space="preserve"> </w:t>
      </w:r>
      <w:r>
        <w:rPr>
          <w:w w:val="105"/>
          <w:sz w:val="15"/>
        </w:rPr>
        <w:t>y</w:t>
      </w:r>
      <w:r>
        <w:rPr>
          <w:spacing w:val="-1"/>
          <w:w w:val="105"/>
          <w:sz w:val="15"/>
        </w:rPr>
        <w:t xml:space="preserve"> </w:t>
      </w:r>
      <w:r>
        <w:rPr>
          <w:w w:val="105"/>
          <w:sz w:val="15"/>
        </w:rPr>
        <w:t>el</w:t>
      </w:r>
      <w:r>
        <w:rPr>
          <w:spacing w:val="-1"/>
          <w:w w:val="105"/>
          <w:sz w:val="15"/>
        </w:rPr>
        <w:t xml:space="preserve"> </w:t>
      </w:r>
      <w:r>
        <w:rPr>
          <w:w w:val="105"/>
          <w:sz w:val="15"/>
        </w:rPr>
        <w:t>Comité</w:t>
      </w:r>
      <w:r>
        <w:rPr>
          <w:spacing w:val="-1"/>
          <w:w w:val="105"/>
          <w:sz w:val="15"/>
        </w:rPr>
        <w:t xml:space="preserve"> </w:t>
      </w:r>
      <w:r>
        <w:rPr>
          <w:w w:val="105"/>
          <w:sz w:val="15"/>
        </w:rPr>
        <w:t>de</w:t>
      </w:r>
      <w:r>
        <w:rPr>
          <w:spacing w:val="-1"/>
          <w:w w:val="105"/>
          <w:sz w:val="15"/>
        </w:rPr>
        <w:t xml:space="preserve"> </w:t>
      </w:r>
      <w:r>
        <w:rPr>
          <w:w w:val="105"/>
          <w:sz w:val="15"/>
        </w:rPr>
        <w:t>Derechos</w:t>
      </w:r>
      <w:r>
        <w:rPr>
          <w:spacing w:val="-1"/>
          <w:w w:val="105"/>
          <w:sz w:val="15"/>
        </w:rPr>
        <w:t xml:space="preserve"> </w:t>
      </w:r>
      <w:r>
        <w:rPr>
          <w:w w:val="105"/>
          <w:sz w:val="15"/>
        </w:rPr>
        <w:t>Económicos, Sociales</w:t>
      </w:r>
      <w:r>
        <w:rPr>
          <w:spacing w:val="-1"/>
          <w:w w:val="105"/>
          <w:sz w:val="15"/>
        </w:rPr>
        <w:t xml:space="preserve"> </w:t>
      </w:r>
      <w:r>
        <w:rPr>
          <w:w w:val="105"/>
          <w:sz w:val="15"/>
        </w:rPr>
        <w:t>y</w:t>
      </w:r>
      <w:r>
        <w:rPr>
          <w:spacing w:val="-1"/>
          <w:w w:val="105"/>
          <w:sz w:val="15"/>
        </w:rPr>
        <w:t xml:space="preserve"> </w:t>
      </w:r>
      <w:r>
        <w:rPr>
          <w:w w:val="105"/>
          <w:sz w:val="15"/>
        </w:rPr>
        <w:t>Culturales han recomendado el establecimiento de mecanismos e instituciones independientes diseñados para abordar las formas de discriminación;708</w:t>
      </w:r>
      <w:r>
        <w:rPr>
          <w:spacing w:val="-9"/>
          <w:w w:val="105"/>
          <w:sz w:val="15"/>
        </w:rPr>
        <w:t xml:space="preserve"> </w:t>
      </w:r>
      <w:r>
        <w:rPr>
          <w:w w:val="105"/>
          <w:sz w:val="15"/>
        </w:rPr>
        <w:t>y</w:t>
      </w:r>
      <w:r>
        <w:rPr>
          <w:spacing w:val="-9"/>
          <w:w w:val="105"/>
          <w:sz w:val="15"/>
        </w:rPr>
        <w:t xml:space="preserve"> </w:t>
      </w:r>
      <w:r>
        <w:rPr>
          <w:w w:val="105"/>
          <w:sz w:val="15"/>
        </w:rPr>
        <w:t>han</w:t>
      </w:r>
      <w:r>
        <w:rPr>
          <w:spacing w:val="-9"/>
          <w:w w:val="105"/>
          <w:sz w:val="15"/>
        </w:rPr>
        <w:t xml:space="preserve"> </w:t>
      </w:r>
      <w:r>
        <w:rPr>
          <w:w w:val="105"/>
          <w:sz w:val="15"/>
        </w:rPr>
        <w:t>comentado</w:t>
      </w:r>
      <w:r>
        <w:rPr>
          <w:spacing w:val="-9"/>
          <w:w w:val="105"/>
          <w:sz w:val="15"/>
        </w:rPr>
        <w:t xml:space="preserve"> </w:t>
      </w:r>
      <w:r>
        <w:rPr>
          <w:w w:val="105"/>
          <w:sz w:val="15"/>
        </w:rPr>
        <w:t>los</w:t>
      </w:r>
      <w:r>
        <w:rPr>
          <w:spacing w:val="-9"/>
          <w:w w:val="105"/>
          <w:sz w:val="15"/>
        </w:rPr>
        <w:t xml:space="preserve"> </w:t>
      </w:r>
      <w:r>
        <w:rPr>
          <w:w w:val="105"/>
          <w:sz w:val="15"/>
        </w:rPr>
        <w:t>requisitos</w:t>
      </w:r>
      <w:r>
        <w:rPr>
          <w:spacing w:val="-9"/>
          <w:w w:val="105"/>
          <w:sz w:val="15"/>
        </w:rPr>
        <w:t xml:space="preserve"> </w:t>
      </w:r>
      <w:r>
        <w:rPr>
          <w:w w:val="105"/>
          <w:sz w:val="15"/>
        </w:rPr>
        <w:t>básicos</w:t>
      </w:r>
      <w:r>
        <w:rPr>
          <w:spacing w:val="-9"/>
          <w:w w:val="105"/>
          <w:sz w:val="15"/>
        </w:rPr>
        <w:t xml:space="preserve"> </w:t>
      </w:r>
      <w:r>
        <w:rPr>
          <w:w w:val="105"/>
          <w:sz w:val="15"/>
        </w:rPr>
        <w:t>de</w:t>
      </w:r>
      <w:r>
        <w:rPr>
          <w:spacing w:val="-9"/>
          <w:w w:val="105"/>
          <w:sz w:val="15"/>
        </w:rPr>
        <w:t xml:space="preserve"> </w:t>
      </w:r>
      <w:r>
        <w:rPr>
          <w:w w:val="105"/>
          <w:sz w:val="15"/>
        </w:rPr>
        <w:t>dichos</w:t>
      </w:r>
      <w:r>
        <w:rPr>
          <w:spacing w:val="-9"/>
          <w:w w:val="105"/>
          <w:sz w:val="15"/>
        </w:rPr>
        <w:t xml:space="preserve"> </w:t>
      </w:r>
      <w:r>
        <w:rPr>
          <w:w w:val="105"/>
          <w:sz w:val="15"/>
        </w:rPr>
        <w:t>órganos</w:t>
      </w:r>
      <w:r>
        <w:rPr>
          <w:spacing w:val="-9"/>
          <w:w w:val="105"/>
          <w:sz w:val="15"/>
        </w:rPr>
        <w:t xml:space="preserve"> </w:t>
      </w:r>
      <w:r>
        <w:rPr>
          <w:w w:val="105"/>
          <w:sz w:val="15"/>
        </w:rPr>
        <w:t>en</w:t>
      </w:r>
      <w:r>
        <w:rPr>
          <w:spacing w:val="-9"/>
          <w:w w:val="105"/>
          <w:sz w:val="15"/>
        </w:rPr>
        <w:t xml:space="preserve"> </w:t>
      </w:r>
      <w:r>
        <w:rPr>
          <w:w w:val="105"/>
          <w:sz w:val="15"/>
        </w:rPr>
        <w:t>situaciones</w:t>
      </w:r>
      <w:r>
        <w:rPr>
          <w:spacing w:val="-9"/>
          <w:w w:val="105"/>
          <w:sz w:val="15"/>
        </w:rPr>
        <w:t xml:space="preserve"> </w:t>
      </w:r>
      <w:r>
        <w:rPr>
          <w:w w:val="105"/>
          <w:sz w:val="15"/>
        </w:rPr>
        <w:t>en</w:t>
      </w:r>
      <w:r>
        <w:rPr>
          <w:spacing w:val="-9"/>
          <w:w w:val="105"/>
          <w:sz w:val="15"/>
        </w:rPr>
        <w:t xml:space="preserve"> </w:t>
      </w:r>
      <w:r>
        <w:rPr>
          <w:w w:val="105"/>
          <w:sz w:val="15"/>
        </w:rPr>
        <w:t>que</w:t>
      </w:r>
      <w:r>
        <w:rPr>
          <w:spacing w:val="-9"/>
          <w:w w:val="105"/>
          <w:sz w:val="15"/>
        </w:rPr>
        <w:t xml:space="preserve"> </w:t>
      </w:r>
      <w:r>
        <w:rPr>
          <w:w w:val="105"/>
          <w:sz w:val="15"/>
        </w:rPr>
        <w:t>han</w:t>
      </w:r>
      <w:r>
        <w:rPr>
          <w:spacing w:val="-9"/>
          <w:w w:val="105"/>
          <w:sz w:val="15"/>
        </w:rPr>
        <w:t xml:space="preserve"> </w:t>
      </w:r>
      <w:r>
        <w:rPr>
          <w:w w:val="105"/>
          <w:sz w:val="15"/>
        </w:rPr>
        <w:t>sido</w:t>
      </w:r>
      <w:r>
        <w:rPr>
          <w:spacing w:val="-9"/>
          <w:w w:val="105"/>
          <w:sz w:val="15"/>
        </w:rPr>
        <w:t xml:space="preserve"> </w:t>
      </w:r>
      <w:r>
        <w:rPr>
          <w:w w:val="105"/>
          <w:sz w:val="15"/>
        </w:rPr>
        <w:t>establecidos.709</w:t>
      </w:r>
      <w:r>
        <w:rPr>
          <w:spacing w:val="-9"/>
          <w:w w:val="105"/>
          <w:sz w:val="15"/>
        </w:rPr>
        <w:t xml:space="preserve"> </w:t>
      </w:r>
      <w:r>
        <w:rPr>
          <w:w w:val="105"/>
          <w:sz w:val="15"/>
        </w:rPr>
        <w:t>El Comité</w:t>
      </w:r>
      <w:r>
        <w:rPr>
          <w:spacing w:val="-3"/>
          <w:w w:val="105"/>
          <w:sz w:val="15"/>
        </w:rPr>
        <w:t xml:space="preserve"> </w:t>
      </w:r>
      <w:r>
        <w:rPr>
          <w:w w:val="105"/>
          <w:sz w:val="15"/>
        </w:rPr>
        <w:t>para</w:t>
      </w:r>
      <w:r>
        <w:rPr>
          <w:spacing w:val="-3"/>
          <w:w w:val="105"/>
          <w:sz w:val="15"/>
        </w:rPr>
        <w:t xml:space="preserve"> </w:t>
      </w:r>
      <w:r>
        <w:rPr>
          <w:w w:val="105"/>
          <w:sz w:val="15"/>
        </w:rPr>
        <w:t>la</w:t>
      </w:r>
      <w:r>
        <w:rPr>
          <w:spacing w:val="-3"/>
          <w:w w:val="105"/>
          <w:sz w:val="15"/>
        </w:rPr>
        <w:t xml:space="preserve"> </w:t>
      </w:r>
      <w:r>
        <w:rPr>
          <w:w w:val="105"/>
          <w:sz w:val="15"/>
        </w:rPr>
        <w:t>Eliminación</w:t>
      </w:r>
      <w:r>
        <w:rPr>
          <w:spacing w:val="-3"/>
          <w:w w:val="105"/>
          <w:sz w:val="15"/>
        </w:rPr>
        <w:t xml:space="preserve"> </w:t>
      </w:r>
      <w:r>
        <w:rPr>
          <w:w w:val="105"/>
          <w:sz w:val="15"/>
        </w:rPr>
        <w:t>de</w:t>
      </w:r>
      <w:r>
        <w:rPr>
          <w:spacing w:val="-3"/>
          <w:w w:val="105"/>
          <w:sz w:val="15"/>
        </w:rPr>
        <w:t xml:space="preserve"> </w:t>
      </w:r>
      <w:r>
        <w:rPr>
          <w:w w:val="105"/>
          <w:sz w:val="15"/>
        </w:rPr>
        <w:t>la</w:t>
      </w:r>
      <w:r>
        <w:rPr>
          <w:spacing w:val="-3"/>
          <w:w w:val="105"/>
          <w:sz w:val="15"/>
        </w:rPr>
        <w:t xml:space="preserve"> </w:t>
      </w:r>
      <w:r>
        <w:rPr>
          <w:w w:val="105"/>
          <w:sz w:val="15"/>
        </w:rPr>
        <w:t>Discriminación</w:t>
      </w:r>
      <w:r>
        <w:rPr>
          <w:spacing w:val="-3"/>
          <w:w w:val="105"/>
          <w:sz w:val="15"/>
        </w:rPr>
        <w:t xml:space="preserve"> </w:t>
      </w:r>
      <w:r>
        <w:rPr>
          <w:w w:val="105"/>
          <w:sz w:val="15"/>
        </w:rPr>
        <w:t>Racial</w:t>
      </w:r>
      <w:r>
        <w:rPr>
          <w:spacing w:val="-3"/>
          <w:w w:val="105"/>
          <w:sz w:val="15"/>
        </w:rPr>
        <w:t xml:space="preserve"> </w:t>
      </w:r>
      <w:r>
        <w:rPr>
          <w:w w:val="105"/>
          <w:sz w:val="15"/>
        </w:rPr>
        <w:t>y</w:t>
      </w:r>
      <w:r>
        <w:rPr>
          <w:spacing w:val="-3"/>
          <w:w w:val="105"/>
          <w:sz w:val="15"/>
        </w:rPr>
        <w:t xml:space="preserve"> </w:t>
      </w:r>
      <w:r>
        <w:rPr>
          <w:w w:val="105"/>
          <w:sz w:val="15"/>
        </w:rPr>
        <w:t>el</w:t>
      </w:r>
      <w:r>
        <w:rPr>
          <w:spacing w:val="-3"/>
          <w:w w:val="105"/>
          <w:sz w:val="15"/>
        </w:rPr>
        <w:t xml:space="preserve"> </w:t>
      </w:r>
      <w:r>
        <w:rPr>
          <w:w w:val="105"/>
          <w:sz w:val="15"/>
        </w:rPr>
        <w:t>Comité</w:t>
      </w:r>
      <w:r>
        <w:rPr>
          <w:spacing w:val="-3"/>
          <w:w w:val="105"/>
          <w:sz w:val="15"/>
        </w:rPr>
        <w:t xml:space="preserve"> </w:t>
      </w:r>
      <w:r>
        <w:rPr>
          <w:w w:val="105"/>
          <w:sz w:val="15"/>
        </w:rPr>
        <w:t>para</w:t>
      </w:r>
      <w:r>
        <w:rPr>
          <w:spacing w:val="-3"/>
          <w:w w:val="105"/>
          <w:sz w:val="15"/>
        </w:rPr>
        <w:t xml:space="preserve"> </w:t>
      </w:r>
      <w:r>
        <w:rPr>
          <w:w w:val="105"/>
          <w:sz w:val="15"/>
        </w:rPr>
        <w:t>la</w:t>
      </w:r>
      <w:r>
        <w:rPr>
          <w:spacing w:val="-3"/>
          <w:w w:val="105"/>
          <w:sz w:val="15"/>
        </w:rPr>
        <w:t xml:space="preserve"> </w:t>
      </w:r>
      <w:r>
        <w:rPr>
          <w:w w:val="105"/>
          <w:sz w:val="15"/>
        </w:rPr>
        <w:t>Eliminación</w:t>
      </w:r>
      <w:r>
        <w:rPr>
          <w:spacing w:val="-3"/>
          <w:w w:val="105"/>
          <w:sz w:val="15"/>
        </w:rPr>
        <w:t xml:space="preserve"> </w:t>
      </w:r>
      <w:r>
        <w:rPr>
          <w:w w:val="105"/>
          <w:sz w:val="15"/>
        </w:rPr>
        <w:t>de</w:t>
      </w:r>
      <w:r>
        <w:rPr>
          <w:spacing w:val="-3"/>
          <w:w w:val="105"/>
          <w:sz w:val="15"/>
        </w:rPr>
        <w:t xml:space="preserve"> </w:t>
      </w:r>
      <w:r>
        <w:rPr>
          <w:w w:val="105"/>
          <w:sz w:val="15"/>
        </w:rPr>
        <w:t>la</w:t>
      </w:r>
      <w:r>
        <w:rPr>
          <w:spacing w:val="-3"/>
          <w:w w:val="105"/>
          <w:sz w:val="15"/>
        </w:rPr>
        <w:t xml:space="preserve"> </w:t>
      </w:r>
      <w:r>
        <w:rPr>
          <w:w w:val="105"/>
          <w:sz w:val="15"/>
        </w:rPr>
        <w:t>Discriminación</w:t>
      </w:r>
      <w:r>
        <w:rPr>
          <w:spacing w:val="-3"/>
          <w:w w:val="105"/>
          <w:sz w:val="15"/>
        </w:rPr>
        <w:t xml:space="preserve"> </w:t>
      </w:r>
      <w:r>
        <w:rPr>
          <w:w w:val="105"/>
          <w:sz w:val="15"/>
        </w:rPr>
        <w:t>contra</w:t>
      </w:r>
      <w:r>
        <w:rPr>
          <w:spacing w:val="-3"/>
          <w:w w:val="105"/>
          <w:sz w:val="15"/>
        </w:rPr>
        <w:t xml:space="preserve"> </w:t>
      </w:r>
      <w:r>
        <w:rPr>
          <w:w w:val="105"/>
          <w:sz w:val="15"/>
        </w:rPr>
        <w:t>la</w:t>
      </w:r>
      <w:r>
        <w:rPr>
          <w:spacing w:val="-3"/>
          <w:w w:val="105"/>
          <w:sz w:val="15"/>
        </w:rPr>
        <w:t xml:space="preserve"> </w:t>
      </w:r>
      <w:r>
        <w:rPr>
          <w:w w:val="105"/>
          <w:sz w:val="15"/>
        </w:rPr>
        <w:t>Mujer</w:t>
      </w:r>
      <w:r>
        <w:rPr>
          <w:spacing w:val="-3"/>
          <w:w w:val="105"/>
          <w:sz w:val="15"/>
        </w:rPr>
        <w:t xml:space="preserve"> </w:t>
      </w:r>
      <w:r>
        <w:rPr>
          <w:w w:val="105"/>
          <w:sz w:val="15"/>
        </w:rPr>
        <w:t>han señalado</w:t>
      </w:r>
      <w:r>
        <w:rPr>
          <w:spacing w:val="-2"/>
          <w:w w:val="105"/>
          <w:sz w:val="15"/>
        </w:rPr>
        <w:t xml:space="preserve"> </w:t>
      </w:r>
      <w:r>
        <w:rPr>
          <w:w w:val="105"/>
          <w:sz w:val="15"/>
        </w:rPr>
        <w:t>que</w:t>
      </w:r>
      <w:r>
        <w:rPr>
          <w:spacing w:val="-2"/>
          <w:w w:val="105"/>
          <w:sz w:val="15"/>
        </w:rPr>
        <w:t xml:space="preserve"> </w:t>
      </w:r>
      <w:r>
        <w:rPr>
          <w:w w:val="105"/>
          <w:sz w:val="15"/>
        </w:rPr>
        <w:t>los</w:t>
      </w:r>
      <w:r>
        <w:rPr>
          <w:spacing w:val="-2"/>
          <w:w w:val="105"/>
          <w:sz w:val="15"/>
        </w:rPr>
        <w:t xml:space="preserve"> </w:t>
      </w:r>
      <w:r>
        <w:rPr>
          <w:w w:val="105"/>
          <w:sz w:val="15"/>
        </w:rPr>
        <w:t>Estados</w:t>
      </w:r>
      <w:r>
        <w:rPr>
          <w:spacing w:val="-2"/>
          <w:w w:val="105"/>
          <w:sz w:val="15"/>
        </w:rPr>
        <w:t xml:space="preserve"> </w:t>
      </w:r>
      <w:r>
        <w:rPr>
          <w:w w:val="105"/>
          <w:sz w:val="15"/>
        </w:rPr>
        <w:t>deben</w:t>
      </w:r>
      <w:r>
        <w:rPr>
          <w:spacing w:val="-2"/>
          <w:w w:val="105"/>
          <w:sz w:val="15"/>
        </w:rPr>
        <w:t xml:space="preserve"> </w:t>
      </w:r>
      <w:r>
        <w:rPr>
          <w:w w:val="105"/>
          <w:sz w:val="15"/>
        </w:rPr>
        <w:t>establecer</w:t>
      </w:r>
      <w:r>
        <w:rPr>
          <w:spacing w:val="-2"/>
          <w:w w:val="105"/>
          <w:sz w:val="15"/>
        </w:rPr>
        <w:t xml:space="preserve"> </w:t>
      </w:r>
      <w:r>
        <w:rPr>
          <w:w w:val="105"/>
          <w:sz w:val="15"/>
        </w:rPr>
        <w:t>dichos</w:t>
      </w:r>
      <w:r>
        <w:rPr>
          <w:spacing w:val="-2"/>
          <w:w w:val="105"/>
          <w:sz w:val="15"/>
        </w:rPr>
        <w:t xml:space="preserve"> </w:t>
      </w:r>
      <w:r>
        <w:rPr>
          <w:w w:val="105"/>
          <w:sz w:val="15"/>
        </w:rPr>
        <w:t>órganos</w:t>
      </w:r>
      <w:r>
        <w:rPr>
          <w:spacing w:val="-2"/>
          <w:w w:val="105"/>
          <w:sz w:val="15"/>
        </w:rPr>
        <w:t xml:space="preserve"> </w:t>
      </w:r>
      <w:r>
        <w:rPr>
          <w:w w:val="105"/>
          <w:sz w:val="15"/>
        </w:rPr>
        <w:t>como</w:t>
      </w:r>
      <w:r>
        <w:rPr>
          <w:spacing w:val="-2"/>
          <w:w w:val="105"/>
          <w:sz w:val="15"/>
        </w:rPr>
        <w:t xml:space="preserve"> </w:t>
      </w:r>
      <w:r>
        <w:rPr>
          <w:w w:val="105"/>
          <w:sz w:val="15"/>
        </w:rPr>
        <w:t>un</w:t>
      </w:r>
      <w:r>
        <w:rPr>
          <w:spacing w:val="-2"/>
          <w:w w:val="105"/>
          <w:sz w:val="15"/>
        </w:rPr>
        <w:t xml:space="preserve"> </w:t>
      </w:r>
      <w:r>
        <w:rPr>
          <w:w w:val="105"/>
          <w:sz w:val="15"/>
        </w:rPr>
        <w:t>aspecto</w:t>
      </w:r>
      <w:r>
        <w:rPr>
          <w:spacing w:val="-2"/>
          <w:w w:val="105"/>
          <w:sz w:val="15"/>
        </w:rPr>
        <w:t xml:space="preserve"> </w:t>
      </w:r>
      <w:r>
        <w:rPr>
          <w:w w:val="105"/>
          <w:sz w:val="15"/>
        </w:rPr>
        <w:t>de</w:t>
      </w:r>
      <w:r>
        <w:rPr>
          <w:spacing w:val="-2"/>
          <w:w w:val="105"/>
          <w:sz w:val="15"/>
        </w:rPr>
        <w:t xml:space="preserve"> </w:t>
      </w:r>
      <w:r>
        <w:rPr>
          <w:w w:val="105"/>
          <w:sz w:val="15"/>
        </w:rPr>
        <w:t>la</w:t>
      </w:r>
      <w:r>
        <w:rPr>
          <w:spacing w:val="-2"/>
          <w:w w:val="105"/>
          <w:sz w:val="15"/>
        </w:rPr>
        <w:t xml:space="preserve"> </w:t>
      </w:r>
      <w:r>
        <w:rPr>
          <w:w w:val="105"/>
          <w:sz w:val="15"/>
        </w:rPr>
        <w:t>obligación</w:t>
      </w:r>
      <w:r>
        <w:rPr>
          <w:spacing w:val="-2"/>
          <w:w w:val="105"/>
          <w:sz w:val="15"/>
        </w:rPr>
        <w:t xml:space="preserve"> </w:t>
      </w:r>
      <w:r>
        <w:rPr>
          <w:w w:val="105"/>
          <w:sz w:val="15"/>
        </w:rPr>
        <w:t>de</w:t>
      </w:r>
      <w:r>
        <w:rPr>
          <w:spacing w:val="-2"/>
          <w:w w:val="105"/>
          <w:sz w:val="15"/>
        </w:rPr>
        <w:t xml:space="preserve"> </w:t>
      </w:r>
      <w:r>
        <w:rPr>
          <w:w w:val="105"/>
          <w:sz w:val="15"/>
        </w:rPr>
        <w:t>garantizar</w:t>
      </w:r>
      <w:r>
        <w:rPr>
          <w:spacing w:val="-2"/>
          <w:w w:val="105"/>
          <w:sz w:val="15"/>
        </w:rPr>
        <w:t xml:space="preserve"> </w:t>
      </w:r>
      <w:r>
        <w:rPr>
          <w:w w:val="105"/>
          <w:sz w:val="15"/>
        </w:rPr>
        <w:t>la</w:t>
      </w:r>
      <w:r>
        <w:rPr>
          <w:spacing w:val="-2"/>
          <w:w w:val="105"/>
          <w:sz w:val="15"/>
        </w:rPr>
        <w:t xml:space="preserve"> </w:t>
      </w:r>
      <w:r>
        <w:rPr>
          <w:w w:val="105"/>
          <w:sz w:val="15"/>
        </w:rPr>
        <w:t>protección</w:t>
      </w:r>
      <w:r>
        <w:rPr>
          <w:spacing w:val="-2"/>
          <w:w w:val="105"/>
          <w:sz w:val="15"/>
        </w:rPr>
        <w:t xml:space="preserve"> </w:t>
      </w:r>
      <w:r>
        <w:rPr>
          <w:w w:val="105"/>
          <w:sz w:val="15"/>
        </w:rPr>
        <w:t>efectiva</w:t>
      </w:r>
      <w:r>
        <w:rPr>
          <w:spacing w:val="-2"/>
          <w:w w:val="105"/>
          <w:sz w:val="15"/>
        </w:rPr>
        <w:t xml:space="preserve"> </w:t>
      </w:r>
      <w:r>
        <w:rPr>
          <w:w w:val="105"/>
          <w:sz w:val="15"/>
        </w:rPr>
        <w:t>y</w:t>
      </w:r>
      <w:r>
        <w:rPr>
          <w:spacing w:val="-2"/>
          <w:w w:val="105"/>
          <w:sz w:val="15"/>
        </w:rPr>
        <w:t xml:space="preserve"> </w:t>
      </w:r>
      <w:r>
        <w:rPr>
          <w:w w:val="105"/>
          <w:sz w:val="15"/>
        </w:rPr>
        <w:t>el cumplimiento</w:t>
      </w:r>
      <w:r>
        <w:rPr>
          <w:spacing w:val="-4"/>
          <w:w w:val="105"/>
          <w:sz w:val="15"/>
        </w:rPr>
        <w:t xml:space="preserve"> </w:t>
      </w:r>
      <w:r>
        <w:rPr>
          <w:w w:val="105"/>
          <w:sz w:val="15"/>
        </w:rPr>
        <w:t>del</w:t>
      </w:r>
      <w:r>
        <w:rPr>
          <w:spacing w:val="-4"/>
          <w:w w:val="105"/>
          <w:sz w:val="15"/>
        </w:rPr>
        <w:t xml:space="preserve"> </w:t>
      </w:r>
      <w:r>
        <w:rPr>
          <w:w w:val="105"/>
          <w:sz w:val="15"/>
        </w:rPr>
        <w:t>derecho</w:t>
      </w:r>
      <w:r>
        <w:rPr>
          <w:spacing w:val="-4"/>
          <w:w w:val="105"/>
          <w:sz w:val="15"/>
        </w:rPr>
        <w:t xml:space="preserve"> </w:t>
      </w:r>
      <w:r>
        <w:rPr>
          <w:w w:val="105"/>
          <w:sz w:val="15"/>
        </w:rPr>
        <w:t>a</w:t>
      </w:r>
      <w:r>
        <w:rPr>
          <w:spacing w:val="-4"/>
          <w:w w:val="105"/>
          <w:sz w:val="15"/>
        </w:rPr>
        <w:t xml:space="preserve"> </w:t>
      </w:r>
      <w:r>
        <w:rPr>
          <w:w w:val="105"/>
          <w:sz w:val="15"/>
        </w:rPr>
        <w:t>no</w:t>
      </w:r>
      <w:r>
        <w:rPr>
          <w:spacing w:val="-4"/>
          <w:w w:val="105"/>
          <w:sz w:val="15"/>
        </w:rPr>
        <w:t xml:space="preserve"> </w:t>
      </w:r>
      <w:r>
        <w:rPr>
          <w:w w:val="105"/>
          <w:sz w:val="15"/>
        </w:rPr>
        <w:t>discriminación.</w:t>
      </w:r>
      <w:r>
        <w:rPr>
          <w:spacing w:val="-3"/>
          <w:w w:val="105"/>
          <w:sz w:val="15"/>
        </w:rPr>
        <w:t xml:space="preserve"> </w:t>
      </w:r>
      <w:r>
        <w:rPr>
          <w:w w:val="105"/>
          <w:sz w:val="15"/>
        </w:rPr>
        <w:t>Así,</w:t>
      </w:r>
      <w:r>
        <w:rPr>
          <w:spacing w:val="-4"/>
          <w:w w:val="105"/>
          <w:sz w:val="15"/>
        </w:rPr>
        <w:t xml:space="preserve"> </w:t>
      </w:r>
      <w:r>
        <w:rPr>
          <w:w w:val="105"/>
          <w:sz w:val="15"/>
        </w:rPr>
        <w:t>en</w:t>
      </w:r>
      <w:r>
        <w:rPr>
          <w:spacing w:val="-4"/>
          <w:w w:val="105"/>
          <w:sz w:val="15"/>
        </w:rPr>
        <w:t xml:space="preserve"> </w:t>
      </w:r>
      <w:r>
        <w:rPr>
          <w:w w:val="105"/>
          <w:sz w:val="15"/>
        </w:rPr>
        <w:t>su</w:t>
      </w:r>
      <w:r>
        <w:rPr>
          <w:spacing w:val="-4"/>
          <w:w w:val="105"/>
          <w:sz w:val="15"/>
        </w:rPr>
        <w:t xml:space="preserve"> </w:t>
      </w:r>
      <w:r>
        <w:rPr>
          <w:w w:val="105"/>
          <w:sz w:val="15"/>
        </w:rPr>
        <w:t>recomendación</w:t>
      </w:r>
      <w:r>
        <w:rPr>
          <w:spacing w:val="-4"/>
          <w:w w:val="105"/>
          <w:sz w:val="15"/>
        </w:rPr>
        <w:t xml:space="preserve"> </w:t>
      </w:r>
      <w:r>
        <w:rPr>
          <w:w w:val="105"/>
          <w:sz w:val="15"/>
        </w:rPr>
        <w:t>general</w:t>
      </w:r>
      <w:r>
        <w:rPr>
          <w:spacing w:val="-4"/>
          <w:w w:val="105"/>
          <w:sz w:val="15"/>
        </w:rPr>
        <w:t xml:space="preserve"> </w:t>
      </w:r>
      <w:r>
        <w:rPr>
          <w:w w:val="105"/>
          <w:sz w:val="15"/>
        </w:rPr>
        <w:t>núm.</w:t>
      </w:r>
      <w:r>
        <w:rPr>
          <w:spacing w:val="-4"/>
          <w:w w:val="105"/>
          <w:sz w:val="15"/>
        </w:rPr>
        <w:t xml:space="preserve"> </w:t>
      </w:r>
      <w:r>
        <w:rPr>
          <w:w w:val="105"/>
          <w:sz w:val="15"/>
        </w:rPr>
        <w:t>17</w:t>
      </w:r>
      <w:r>
        <w:rPr>
          <w:spacing w:val="-4"/>
          <w:w w:val="105"/>
          <w:sz w:val="15"/>
        </w:rPr>
        <w:t xml:space="preserve"> </w:t>
      </w:r>
      <w:r>
        <w:rPr>
          <w:w w:val="105"/>
          <w:sz w:val="15"/>
        </w:rPr>
        <w:t>(1993),</w:t>
      </w:r>
      <w:r>
        <w:rPr>
          <w:spacing w:val="-3"/>
          <w:w w:val="105"/>
          <w:sz w:val="15"/>
        </w:rPr>
        <w:t xml:space="preserve"> </w:t>
      </w:r>
      <w:r>
        <w:rPr>
          <w:w w:val="105"/>
          <w:sz w:val="15"/>
        </w:rPr>
        <w:t>el</w:t>
      </w:r>
      <w:r>
        <w:rPr>
          <w:spacing w:val="-4"/>
          <w:w w:val="105"/>
          <w:sz w:val="15"/>
        </w:rPr>
        <w:t xml:space="preserve"> </w:t>
      </w:r>
      <w:r>
        <w:rPr>
          <w:w w:val="105"/>
          <w:sz w:val="15"/>
        </w:rPr>
        <w:t>Comité</w:t>
      </w:r>
      <w:r>
        <w:rPr>
          <w:spacing w:val="-4"/>
          <w:w w:val="105"/>
          <w:sz w:val="15"/>
        </w:rPr>
        <w:t xml:space="preserve"> </w:t>
      </w:r>
      <w:r>
        <w:rPr>
          <w:w w:val="105"/>
          <w:sz w:val="15"/>
        </w:rPr>
        <w:t>para</w:t>
      </w:r>
      <w:r>
        <w:rPr>
          <w:spacing w:val="-4"/>
          <w:w w:val="105"/>
          <w:sz w:val="15"/>
        </w:rPr>
        <w:t xml:space="preserve"> </w:t>
      </w:r>
      <w:r>
        <w:rPr>
          <w:w w:val="105"/>
          <w:sz w:val="15"/>
        </w:rPr>
        <w:t>la</w:t>
      </w:r>
      <w:r>
        <w:rPr>
          <w:spacing w:val="-4"/>
          <w:w w:val="105"/>
          <w:sz w:val="15"/>
        </w:rPr>
        <w:t xml:space="preserve"> </w:t>
      </w:r>
      <w:r>
        <w:rPr>
          <w:w w:val="105"/>
          <w:sz w:val="15"/>
        </w:rPr>
        <w:t>Eliminación</w:t>
      </w:r>
      <w:r>
        <w:rPr>
          <w:spacing w:val="-4"/>
          <w:w w:val="105"/>
          <w:sz w:val="15"/>
        </w:rPr>
        <w:t xml:space="preserve"> </w:t>
      </w:r>
      <w:r>
        <w:rPr>
          <w:w w:val="105"/>
          <w:sz w:val="15"/>
        </w:rPr>
        <w:t>de</w:t>
      </w:r>
      <w:r>
        <w:rPr>
          <w:spacing w:val="-4"/>
          <w:w w:val="105"/>
          <w:sz w:val="15"/>
        </w:rPr>
        <w:t xml:space="preserve"> </w:t>
      </w:r>
      <w:r>
        <w:rPr>
          <w:w w:val="105"/>
          <w:sz w:val="15"/>
        </w:rPr>
        <w:t>la Discriminación</w:t>
      </w:r>
      <w:r>
        <w:rPr>
          <w:spacing w:val="-2"/>
          <w:w w:val="105"/>
          <w:sz w:val="15"/>
        </w:rPr>
        <w:t xml:space="preserve"> </w:t>
      </w:r>
      <w:r>
        <w:rPr>
          <w:w w:val="105"/>
          <w:sz w:val="15"/>
        </w:rPr>
        <w:t>Racial</w:t>
      </w:r>
      <w:r>
        <w:rPr>
          <w:spacing w:val="-2"/>
          <w:w w:val="105"/>
          <w:sz w:val="15"/>
        </w:rPr>
        <w:t xml:space="preserve"> </w:t>
      </w:r>
      <w:r>
        <w:rPr>
          <w:w w:val="105"/>
          <w:sz w:val="15"/>
        </w:rPr>
        <w:t>“recomienda</w:t>
      </w:r>
      <w:r>
        <w:rPr>
          <w:spacing w:val="-2"/>
          <w:w w:val="105"/>
          <w:sz w:val="15"/>
        </w:rPr>
        <w:t xml:space="preserve"> </w:t>
      </w:r>
      <w:r>
        <w:rPr>
          <w:w w:val="105"/>
          <w:sz w:val="15"/>
        </w:rPr>
        <w:t>que</w:t>
      </w:r>
      <w:r>
        <w:rPr>
          <w:spacing w:val="-2"/>
          <w:w w:val="105"/>
          <w:sz w:val="15"/>
        </w:rPr>
        <w:t xml:space="preserve"> </w:t>
      </w:r>
      <w:r>
        <w:rPr>
          <w:w w:val="105"/>
          <w:sz w:val="15"/>
        </w:rPr>
        <w:t>los</w:t>
      </w:r>
      <w:r>
        <w:rPr>
          <w:spacing w:val="-2"/>
          <w:w w:val="105"/>
          <w:sz w:val="15"/>
        </w:rPr>
        <w:t xml:space="preserve"> </w:t>
      </w:r>
      <w:r>
        <w:rPr>
          <w:w w:val="105"/>
          <w:sz w:val="15"/>
        </w:rPr>
        <w:t>Estados</w:t>
      </w:r>
      <w:r>
        <w:rPr>
          <w:spacing w:val="-2"/>
          <w:w w:val="105"/>
          <w:sz w:val="15"/>
        </w:rPr>
        <w:t xml:space="preserve"> </w:t>
      </w:r>
      <w:r>
        <w:rPr>
          <w:w w:val="105"/>
          <w:sz w:val="15"/>
        </w:rPr>
        <w:t>partes</w:t>
      </w:r>
      <w:r>
        <w:rPr>
          <w:spacing w:val="-2"/>
          <w:w w:val="105"/>
          <w:sz w:val="15"/>
        </w:rPr>
        <w:t xml:space="preserve"> </w:t>
      </w:r>
      <w:r>
        <w:rPr>
          <w:w w:val="105"/>
          <w:sz w:val="15"/>
        </w:rPr>
        <w:t>establezcan</w:t>
      </w:r>
      <w:r>
        <w:rPr>
          <w:spacing w:val="-2"/>
          <w:w w:val="105"/>
          <w:sz w:val="15"/>
        </w:rPr>
        <w:t xml:space="preserve"> </w:t>
      </w:r>
      <w:r>
        <w:rPr>
          <w:w w:val="105"/>
          <w:sz w:val="15"/>
        </w:rPr>
        <w:t>comisiones</w:t>
      </w:r>
      <w:r>
        <w:rPr>
          <w:spacing w:val="-2"/>
          <w:w w:val="105"/>
          <w:sz w:val="15"/>
        </w:rPr>
        <w:t xml:space="preserve"> </w:t>
      </w:r>
      <w:r>
        <w:rPr>
          <w:w w:val="105"/>
          <w:sz w:val="15"/>
        </w:rPr>
        <w:t>nacionales</w:t>
      </w:r>
      <w:r>
        <w:rPr>
          <w:spacing w:val="-2"/>
          <w:w w:val="105"/>
          <w:sz w:val="15"/>
        </w:rPr>
        <w:t xml:space="preserve"> </w:t>
      </w:r>
      <w:r>
        <w:rPr>
          <w:w w:val="105"/>
          <w:sz w:val="15"/>
        </w:rPr>
        <w:t>u</w:t>
      </w:r>
      <w:r>
        <w:rPr>
          <w:spacing w:val="-2"/>
          <w:w w:val="105"/>
          <w:sz w:val="15"/>
        </w:rPr>
        <w:t xml:space="preserve"> </w:t>
      </w:r>
      <w:r>
        <w:rPr>
          <w:w w:val="105"/>
          <w:sz w:val="15"/>
        </w:rPr>
        <w:t>otros</w:t>
      </w:r>
      <w:r>
        <w:rPr>
          <w:spacing w:val="-2"/>
          <w:w w:val="105"/>
          <w:sz w:val="15"/>
        </w:rPr>
        <w:t xml:space="preserve"> </w:t>
      </w:r>
      <w:r>
        <w:rPr>
          <w:w w:val="105"/>
          <w:sz w:val="15"/>
        </w:rPr>
        <w:t>órganos</w:t>
      </w:r>
      <w:r>
        <w:rPr>
          <w:spacing w:val="-2"/>
          <w:w w:val="105"/>
          <w:sz w:val="15"/>
        </w:rPr>
        <w:t xml:space="preserve"> </w:t>
      </w:r>
      <w:r>
        <w:rPr>
          <w:w w:val="105"/>
          <w:sz w:val="15"/>
        </w:rPr>
        <w:t>apropiados...</w:t>
      </w:r>
      <w:r>
        <w:rPr>
          <w:spacing w:val="-1"/>
          <w:w w:val="105"/>
          <w:sz w:val="15"/>
        </w:rPr>
        <w:t xml:space="preserve"> </w:t>
      </w:r>
      <w:r>
        <w:rPr>
          <w:w w:val="105"/>
          <w:sz w:val="15"/>
        </w:rPr>
        <w:t>para promover</w:t>
      </w:r>
      <w:r>
        <w:rPr>
          <w:spacing w:val="-3"/>
          <w:w w:val="105"/>
          <w:sz w:val="15"/>
        </w:rPr>
        <w:t xml:space="preserve"> </w:t>
      </w:r>
      <w:r>
        <w:rPr>
          <w:w w:val="105"/>
          <w:sz w:val="15"/>
        </w:rPr>
        <w:t>el</w:t>
      </w:r>
      <w:r>
        <w:rPr>
          <w:spacing w:val="-3"/>
          <w:w w:val="105"/>
          <w:sz w:val="15"/>
        </w:rPr>
        <w:t xml:space="preserve"> </w:t>
      </w:r>
      <w:r>
        <w:rPr>
          <w:w w:val="105"/>
          <w:sz w:val="15"/>
        </w:rPr>
        <w:t>respeto</w:t>
      </w:r>
      <w:r>
        <w:rPr>
          <w:spacing w:val="-3"/>
          <w:w w:val="105"/>
          <w:sz w:val="15"/>
        </w:rPr>
        <w:t xml:space="preserve"> </w:t>
      </w:r>
      <w:r>
        <w:rPr>
          <w:w w:val="105"/>
          <w:sz w:val="15"/>
        </w:rPr>
        <w:t>de</w:t>
      </w:r>
      <w:r>
        <w:rPr>
          <w:spacing w:val="-3"/>
          <w:w w:val="105"/>
          <w:sz w:val="15"/>
        </w:rPr>
        <w:t xml:space="preserve"> </w:t>
      </w:r>
      <w:r>
        <w:rPr>
          <w:w w:val="105"/>
          <w:sz w:val="15"/>
        </w:rPr>
        <w:t>los</w:t>
      </w:r>
      <w:r>
        <w:rPr>
          <w:spacing w:val="-3"/>
          <w:w w:val="105"/>
          <w:sz w:val="15"/>
        </w:rPr>
        <w:t xml:space="preserve"> </w:t>
      </w:r>
      <w:r>
        <w:rPr>
          <w:w w:val="105"/>
          <w:sz w:val="15"/>
        </w:rPr>
        <w:t>derechos</w:t>
      </w:r>
      <w:r>
        <w:rPr>
          <w:spacing w:val="-3"/>
          <w:w w:val="105"/>
          <w:sz w:val="15"/>
        </w:rPr>
        <w:t xml:space="preserve"> </w:t>
      </w:r>
      <w:r>
        <w:rPr>
          <w:w w:val="105"/>
          <w:sz w:val="15"/>
        </w:rPr>
        <w:t>humanos</w:t>
      </w:r>
      <w:r>
        <w:rPr>
          <w:spacing w:val="-3"/>
          <w:w w:val="105"/>
          <w:sz w:val="15"/>
        </w:rPr>
        <w:t xml:space="preserve"> </w:t>
      </w:r>
      <w:r>
        <w:rPr>
          <w:w w:val="105"/>
          <w:sz w:val="15"/>
        </w:rPr>
        <w:t>sin</w:t>
      </w:r>
      <w:r>
        <w:rPr>
          <w:spacing w:val="-3"/>
          <w:w w:val="105"/>
          <w:sz w:val="15"/>
        </w:rPr>
        <w:t xml:space="preserve"> </w:t>
      </w:r>
      <w:r>
        <w:rPr>
          <w:w w:val="105"/>
          <w:sz w:val="15"/>
        </w:rPr>
        <w:t>discriminación</w:t>
      </w:r>
      <w:r>
        <w:rPr>
          <w:spacing w:val="-3"/>
          <w:w w:val="105"/>
          <w:sz w:val="15"/>
        </w:rPr>
        <w:t xml:space="preserve"> </w:t>
      </w:r>
      <w:r>
        <w:rPr>
          <w:w w:val="105"/>
          <w:sz w:val="15"/>
        </w:rPr>
        <w:t>alguna”.710</w:t>
      </w:r>
      <w:r>
        <w:rPr>
          <w:spacing w:val="-3"/>
          <w:w w:val="105"/>
          <w:sz w:val="15"/>
        </w:rPr>
        <w:t xml:space="preserve"> </w:t>
      </w:r>
      <w:r>
        <w:rPr>
          <w:w w:val="105"/>
          <w:sz w:val="15"/>
        </w:rPr>
        <w:t>En</w:t>
      </w:r>
      <w:r>
        <w:rPr>
          <w:spacing w:val="-3"/>
          <w:w w:val="105"/>
          <w:sz w:val="15"/>
        </w:rPr>
        <w:t xml:space="preserve"> </w:t>
      </w:r>
      <w:r>
        <w:rPr>
          <w:w w:val="105"/>
          <w:sz w:val="15"/>
        </w:rPr>
        <w:t>su</w:t>
      </w:r>
      <w:r>
        <w:rPr>
          <w:spacing w:val="-3"/>
          <w:w w:val="105"/>
          <w:sz w:val="15"/>
        </w:rPr>
        <w:t xml:space="preserve"> </w:t>
      </w:r>
      <w:r>
        <w:rPr>
          <w:w w:val="105"/>
          <w:sz w:val="15"/>
        </w:rPr>
        <w:t>recomendación</w:t>
      </w:r>
      <w:r>
        <w:rPr>
          <w:spacing w:val="-3"/>
          <w:w w:val="105"/>
          <w:sz w:val="15"/>
        </w:rPr>
        <w:t xml:space="preserve"> </w:t>
      </w:r>
      <w:r>
        <w:rPr>
          <w:w w:val="105"/>
          <w:sz w:val="15"/>
        </w:rPr>
        <w:t>general</w:t>
      </w:r>
      <w:r>
        <w:rPr>
          <w:spacing w:val="-3"/>
          <w:w w:val="105"/>
          <w:sz w:val="15"/>
        </w:rPr>
        <w:t xml:space="preserve"> </w:t>
      </w:r>
      <w:r>
        <w:rPr>
          <w:w w:val="105"/>
          <w:sz w:val="15"/>
        </w:rPr>
        <w:t>En</w:t>
      </w:r>
      <w:r>
        <w:rPr>
          <w:spacing w:val="-3"/>
          <w:w w:val="105"/>
          <w:sz w:val="15"/>
        </w:rPr>
        <w:t xml:space="preserve"> </w:t>
      </w:r>
      <w:r>
        <w:rPr>
          <w:w w:val="105"/>
          <w:sz w:val="15"/>
        </w:rPr>
        <w:t>su</w:t>
      </w:r>
      <w:r>
        <w:rPr>
          <w:spacing w:val="-3"/>
          <w:w w:val="105"/>
          <w:sz w:val="15"/>
        </w:rPr>
        <w:t xml:space="preserve"> </w:t>
      </w:r>
      <w:r>
        <w:rPr>
          <w:w w:val="105"/>
          <w:sz w:val="15"/>
        </w:rPr>
        <w:t>Resolución</w:t>
      </w:r>
      <w:r>
        <w:rPr>
          <w:spacing w:val="-3"/>
          <w:w w:val="105"/>
          <w:sz w:val="15"/>
        </w:rPr>
        <w:t xml:space="preserve"> </w:t>
      </w:r>
      <w:r>
        <w:rPr>
          <w:w w:val="105"/>
          <w:sz w:val="15"/>
        </w:rPr>
        <w:t>No.</w:t>
      </w:r>
      <w:r>
        <w:rPr>
          <w:spacing w:val="-3"/>
          <w:w w:val="105"/>
          <w:sz w:val="15"/>
        </w:rPr>
        <w:t xml:space="preserve"> </w:t>
      </w:r>
      <w:r>
        <w:rPr>
          <w:w w:val="105"/>
          <w:sz w:val="15"/>
        </w:rPr>
        <w:t>28 (2010),</w:t>
      </w:r>
      <w:r>
        <w:rPr>
          <w:spacing w:val="-1"/>
          <w:w w:val="105"/>
          <w:sz w:val="15"/>
        </w:rPr>
        <w:t xml:space="preserve"> </w:t>
      </w:r>
      <w:r>
        <w:rPr>
          <w:w w:val="105"/>
          <w:sz w:val="15"/>
        </w:rPr>
        <w:t>el</w:t>
      </w:r>
      <w:r>
        <w:rPr>
          <w:spacing w:val="-2"/>
          <w:w w:val="105"/>
          <w:sz w:val="15"/>
        </w:rPr>
        <w:t xml:space="preserve"> </w:t>
      </w:r>
      <w:r>
        <w:rPr>
          <w:w w:val="105"/>
          <w:sz w:val="15"/>
        </w:rPr>
        <w:t>Comité</w:t>
      </w:r>
      <w:r>
        <w:rPr>
          <w:spacing w:val="-2"/>
          <w:w w:val="105"/>
          <w:sz w:val="15"/>
        </w:rPr>
        <w:t xml:space="preserve"> </w:t>
      </w:r>
      <w:r>
        <w:rPr>
          <w:w w:val="105"/>
          <w:sz w:val="15"/>
        </w:rPr>
        <w:t>para</w:t>
      </w:r>
      <w:r>
        <w:rPr>
          <w:spacing w:val="-2"/>
          <w:w w:val="105"/>
          <w:sz w:val="15"/>
        </w:rPr>
        <w:t xml:space="preserve"> </w:t>
      </w:r>
      <w:r>
        <w:rPr>
          <w:w w:val="105"/>
          <w:sz w:val="15"/>
        </w:rPr>
        <w:t>la</w:t>
      </w:r>
      <w:r>
        <w:rPr>
          <w:spacing w:val="-2"/>
          <w:w w:val="105"/>
          <w:sz w:val="15"/>
        </w:rPr>
        <w:t xml:space="preserve"> </w:t>
      </w:r>
      <w:r>
        <w:rPr>
          <w:w w:val="105"/>
          <w:sz w:val="15"/>
        </w:rPr>
        <w:t>Eliminación</w:t>
      </w:r>
      <w:r>
        <w:rPr>
          <w:spacing w:val="-2"/>
          <w:w w:val="105"/>
          <w:sz w:val="15"/>
        </w:rPr>
        <w:t xml:space="preserve"> </w:t>
      </w:r>
      <w:r>
        <w:rPr>
          <w:w w:val="105"/>
          <w:sz w:val="15"/>
        </w:rPr>
        <w:t>de</w:t>
      </w:r>
      <w:r>
        <w:rPr>
          <w:spacing w:val="-2"/>
          <w:w w:val="105"/>
          <w:sz w:val="15"/>
        </w:rPr>
        <w:t xml:space="preserve"> </w:t>
      </w:r>
      <w:r>
        <w:rPr>
          <w:w w:val="105"/>
          <w:sz w:val="15"/>
        </w:rPr>
        <w:t>la</w:t>
      </w:r>
      <w:r>
        <w:rPr>
          <w:spacing w:val="-2"/>
          <w:w w:val="105"/>
          <w:sz w:val="15"/>
        </w:rPr>
        <w:t xml:space="preserve"> </w:t>
      </w:r>
      <w:r>
        <w:rPr>
          <w:w w:val="105"/>
          <w:sz w:val="15"/>
        </w:rPr>
        <w:t>Discriminación</w:t>
      </w:r>
      <w:r>
        <w:rPr>
          <w:spacing w:val="-2"/>
          <w:w w:val="105"/>
          <w:sz w:val="15"/>
        </w:rPr>
        <w:t xml:space="preserve"> </w:t>
      </w:r>
      <w:r>
        <w:rPr>
          <w:w w:val="105"/>
          <w:sz w:val="15"/>
        </w:rPr>
        <w:t>contra</w:t>
      </w:r>
      <w:r>
        <w:rPr>
          <w:spacing w:val="-2"/>
          <w:w w:val="105"/>
          <w:sz w:val="15"/>
        </w:rPr>
        <w:t xml:space="preserve"> </w:t>
      </w:r>
      <w:r>
        <w:rPr>
          <w:w w:val="105"/>
          <w:sz w:val="15"/>
        </w:rPr>
        <w:t>la</w:t>
      </w:r>
      <w:r>
        <w:rPr>
          <w:spacing w:val="-2"/>
          <w:w w:val="105"/>
          <w:sz w:val="15"/>
        </w:rPr>
        <w:t xml:space="preserve"> </w:t>
      </w:r>
      <w:r>
        <w:rPr>
          <w:w w:val="105"/>
          <w:sz w:val="15"/>
        </w:rPr>
        <w:t>Mujer</w:t>
      </w:r>
      <w:r>
        <w:rPr>
          <w:spacing w:val="-2"/>
          <w:w w:val="105"/>
          <w:sz w:val="15"/>
        </w:rPr>
        <w:t xml:space="preserve"> </w:t>
      </w:r>
      <w:r>
        <w:rPr>
          <w:w w:val="105"/>
          <w:sz w:val="15"/>
        </w:rPr>
        <w:t>señaló</w:t>
      </w:r>
      <w:r>
        <w:rPr>
          <w:spacing w:val="-2"/>
          <w:w w:val="105"/>
          <w:sz w:val="15"/>
        </w:rPr>
        <w:t xml:space="preserve"> </w:t>
      </w:r>
      <w:r>
        <w:rPr>
          <w:w w:val="105"/>
          <w:sz w:val="15"/>
        </w:rPr>
        <w:t>que</w:t>
      </w:r>
      <w:r>
        <w:rPr>
          <w:spacing w:val="-2"/>
          <w:w w:val="105"/>
          <w:sz w:val="15"/>
        </w:rPr>
        <w:t xml:space="preserve"> </w:t>
      </w:r>
      <w:r>
        <w:rPr>
          <w:w w:val="105"/>
          <w:sz w:val="15"/>
        </w:rPr>
        <w:t>los</w:t>
      </w:r>
      <w:r>
        <w:rPr>
          <w:spacing w:val="-2"/>
          <w:w w:val="105"/>
          <w:sz w:val="15"/>
        </w:rPr>
        <w:t xml:space="preserve"> </w:t>
      </w:r>
      <w:r>
        <w:rPr>
          <w:w w:val="105"/>
          <w:sz w:val="15"/>
        </w:rPr>
        <w:t>Estados</w:t>
      </w:r>
      <w:r>
        <w:rPr>
          <w:spacing w:val="-2"/>
          <w:w w:val="105"/>
          <w:sz w:val="15"/>
        </w:rPr>
        <w:t xml:space="preserve"> </w:t>
      </w:r>
      <w:r>
        <w:rPr>
          <w:w w:val="105"/>
          <w:sz w:val="15"/>
        </w:rPr>
        <w:t>deberían</w:t>
      </w:r>
      <w:r>
        <w:rPr>
          <w:spacing w:val="-2"/>
          <w:w w:val="105"/>
          <w:sz w:val="15"/>
        </w:rPr>
        <w:t xml:space="preserve"> </w:t>
      </w:r>
      <w:r>
        <w:rPr>
          <w:w w:val="105"/>
          <w:sz w:val="15"/>
        </w:rPr>
        <w:t>“garantizar</w:t>
      </w:r>
      <w:r>
        <w:rPr>
          <w:spacing w:val="-2"/>
          <w:w w:val="105"/>
          <w:sz w:val="15"/>
        </w:rPr>
        <w:t xml:space="preserve"> </w:t>
      </w:r>
      <w:r>
        <w:rPr>
          <w:w w:val="105"/>
          <w:sz w:val="15"/>
        </w:rPr>
        <w:t>que</w:t>
      </w:r>
      <w:r>
        <w:rPr>
          <w:spacing w:val="-2"/>
          <w:w w:val="105"/>
          <w:sz w:val="15"/>
        </w:rPr>
        <w:t xml:space="preserve"> </w:t>
      </w:r>
      <w:r>
        <w:rPr>
          <w:w w:val="105"/>
          <w:sz w:val="15"/>
        </w:rPr>
        <w:t>se establezcan</w:t>
      </w:r>
      <w:r>
        <w:rPr>
          <w:spacing w:val="-11"/>
          <w:w w:val="105"/>
          <w:sz w:val="15"/>
        </w:rPr>
        <w:t xml:space="preserve"> </w:t>
      </w:r>
      <w:r>
        <w:rPr>
          <w:w w:val="105"/>
          <w:sz w:val="15"/>
        </w:rPr>
        <w:t>instituciones</w:t>
      </w:r>
      <w:r>
        <w:rPr>
          <w:spacing w:val="-11"/>
          <w:w w:val="105"/>
          <w:sz w:val="15"/>
        </w:rPr>
        <w:t xml:space="preserve"> </w:t>
      </w:r>
      <w:r>
        <w:rPr>
          <w:w w:val="105"/>
          <w:sz w:val="15"/>
        </w:rPr>
        <w:t>independientes</w:t>
      </w:r>
      <w:r>
        <w:rPr>
          <w:spacing w:val="-11"/>
          <w:w w:val="105"/>
          <w:sz w:val="15"/>
        </w:rPr>
        <w:t xml:space="preserve"> </w:t>
      </w:r>
      <w:r>
        <w:rPr>
          <w:w w:val="105"/>
          <w:sz w:val="15"/>
        </w:rPr>
        <w:t>de</w:t>
      </w:r>
      <w:r>
        <w:rPr>
          <w:spacing w:val="-11"/>
          <w:w w:val="105"/>
          <w:sz w:val="15"/>
        </w:rPr>
        <w:t xml:space="preserve"> </w:t>
      </w:r>
      <w:r>
        <w:rPr>
          <w:w w:val="105"/>
          <w:sz w:val="15"/>
        </w:rPr>
        <w:t>supervisión,</w:t>
      </w:r>
      <w:r>
        <w:rPr>
          <w:spacing w:val="-10"/>
          <w:w w:val="105"/>
          <w:sz w:val="15"/>
        </w:rPr>
        <w:t xml:space="preserve"> </w:t>
      </w:r>
      <w:r>
        <w:rPr>
          <w:w w:val="105"/>
          <w:sz w:val="15"/>
        </w:rPr>
        <w:t>como</w:t>
      </w:r>
      <w:r>
        <w:rPr>
          <w:spacing w:val="-11"/>
          <w:w w:val="105"/>
          <w:sz w:val="15"/>
        </w:rPr>
        <w:t xml:space="preserve"> </w:t>
      </w:r>
      <w:r>
        <w:rPr>
          <w:w w:val="105"/>
          <w:sz w:val="15"/>
        </w:rPr>
        <w:t>institutos</w:t>
      </w:r>
      <w:r>
        <w:rPr>
          <w:spacing w:val="-11"/>
          <w:w w:val="105"/>
          <w:sz w:val="15"/>
        </w:rPr>
        <w:t xml:space="preserve"> </w:t>
      </w:r>
      <w:r>
        <w:rPr>
          <w:w w:val="105"/>
          <w:sz w:val="15"/>
        </w:rPr>
        <w:t>nacionales</w:t>
      </w:r>
      <w:r>
        <w:rPr>
          <w:spacing w:val="-11"/>
          <w:w w:val="105"/>
          <w:sz w:val="15"/>
        </w:rPr>
        <w:t xml:space="preserve"> </w:t>
      </w:r>
      <w:r>
        <w:rPr>
          <w:w w:val="105"/>
          <w:sz w:val="15"/>
        </w:rPr>
        <w:t>de</w:t>
      </w:r>
      <w:r>
        <w:rPr>
          <w:spacing w:val="-11"/>
          <w:w w:val="105"/>
          <w:sz w:val="15"/>
        </w:rPr>
        <w:t xml:space="preserve"> </w:t>
      </w:r>
      <w:r>
        <w:rPr>
          <w:w w:val="105"/>
          <w:sz w:val="15"/>
        </w:rPr>
        <w:t>derechos</w:t>
      </w:r>
      <w:r>
        <w:rPr>
          <w:spacing w:val="-11"/>
          <w:w w:val="105"/>
          <w:sz w:val="15"/>
        </w:rPr>
        <w:t xml:space="preserve"> </w:t>
      </w:r>
      <w:r>
        <w:rPr>
          <w:w w:val="105"/>
          <w:sz w:val="15"/>
        </w:rPr>
        <w:t>humanos</w:t>
      </w:r>
      <w:r>
        <w:rPr>
          <w:spacing w:val="-11"/>
          <w:w w:val="105"/>
          <w:sz w:val="15"/>
        </w:rPr>
        <w:t xml:space="preserve"> </w:t>
      </w:r>
      <w:r>
        <w:rPr>
          <w:w w:val="105"/>
          <w:sz w:val="15"/>
        </w:rPr>
        <w:t>o</w:t>
      </w:r>
      <w:r>
        <w:rPr>
          <w:spacing w:val="-11"/>
          <w:w w:val="105"/>
          <w:sz w:val="15"/>
        </w:rPr>
        <w:t xml:space="preserve"> </w:t>
      </w:r>
      <w:r>
        <w:rPr>
          <w:w w:val="105"/>
          <w:sz w:val="15"/>
        </w:rPr>
        <w:t>comisiones</w:t>
      </w:r>
      <w:r>
        <w:rPr>
          <w:spacing w:val="-11"/>
          <w:w w:val="105"/>
          <w:sz w:val="15"/>
        </w:rPr>
        <w:t xml:space="preserve"> </w:t>
      </w:r>
      <w:r>
        <w:rPr>
          <w:w w:val="105"/>
          <w:sz w:val="15"/>
        </w:rPr>
        <w:t>independientes de mujeres, o que</w:t>
      </w:r>
      <w:r>
        <w:rPr>
          <w:spacing w:val="-1"/>
          <w:w w:val="105"/>
          <w:sz w:val="15"/>
        </w:rPr>
        <w:t xml:space="preserve"> </w:t>
      </w:r>
      <w:r>
        <w:rPr>
          <w:w w:val="105"/>
          <w:sz w:val="15"/>
        </w:rPr>
        <w:t>los institutos</w:t>
      </w:r>
      <w:r>
        <w:rPr>
          <w:spacing w:val="-2"/>
          <w:w w:val="105"/>
          <w:sz w:val="15"/>
        </w:rPr>
        <w:t xml:space="preserve"> </w:t>
      </w:r>
      <w:r>
        <w:rPr>
          <w:w w:val="105"/>
          <w:sz w:val="15"/>
        </w:rPr>
        <w:t>nacionales existentes</w:t>
      </w:r>
      <w:r>
        <w:rPr>
          <w:spacing w:val="-1"/>
          <w:w w:val="105"/>
          <w:sz w:val="15"/>
        </w:rPr>
        <w:t xml:space="preserve"> </w:t>
      </w:r>
      <w:r>
        <w:rPr>
          <w:w w:val="105"/>
          <w:sz w:val="15"/>
        </w:rPr>
        <w:t>reciban el</w:t>
      </w:r>
      <w:r>
        <w:rPr>
          <w:spacing w:val="-1"/>
          <w:w w:val="105"/>
          <w:sz w:val="15"/>
        </w:rPr>
        <w:t xml:space="preserve"> </w:t>
      </w:r>
      <w:r>
        <w:rPr>
          <w:w w:val="105"/>
          <w:sz w:val="15"/>
        </w:rPr>
        <w:t>mandato de</w:t>
      </w:r>
      <w:r>
        <w:rPr>
          <w:spacing w:val="-1"/>
          <w:w w:val="105"/>
          <w:sz w:val="15"/>
        </w:rPr>
        <w:t xml:space="preserve"> </w:t>
      </w:r>
      <w:r>
        <w:rPr>
          <w:w w:val="105"/>
          <w:sz w:val="15"/>
        </w:rPr>
        <w:t>promover y</w:t>
      </w:r>
      <w:r>
        <w:rPr>
          <w:spacing w:val="-1"/>
          <w:w w:val="105"/>
          <w:sz w:val="15"/>
        </w:rPr>
        <w:t xml:space="preserve"> </w:t>
      </w:r>
      <w:r>
        <w:rPr>
          <w:w w:val="105"/>
          <w:sz w:val="15"/>
        </w:rPr>
        <w:t>proteger los</w:t>
      </w:r>
      <w:r>
        <w:rPr>
          <w:spacing w:val="-1"/>
          <w:w w:val="105"/>
          <w:sz w:val="15"/>
        </w:rPr>
        <w:t xml:space="preserve"> </w:t>
      </w:r>
      <w:r>
        <w:rPr>
          <w:w w:val="105"/>
          <w:sz w:val="15"/>
        </w:rPr>
        <w:t>derechos garantizados</w:t>
      </w:r>
      <w:r>
        <w:rPr>
          <w:spacing w:val="-1"/>
          <w:w w:val="105"/>
          <w:sz w:val="15"/>
        </w:rPr>
        <w:t xml:space="preserve"> </w:t>
      </w:r>
      <w:r>
        <w:rPr>
          <w:w w:val="105"/>
          <w:sz w:val="15"/>
        </w:rPr>
        <w:t xml:space="preserve">en la </w:t>
      </w:r>
      <w:r>
        <w:rPr>
          <w:spacing w:val="-2"/>
          <w:w w:val="105"/>
          <w:sz w:val="15"/>
        </w:rPr>
        <w:t>Convención”.711</w:t>
      </w:r>
    </w:p>
    <w:p w14:paraId="4C5FE21A" w14:textId="77777777" w:rsidR="0014798C" w:rsidRDefault="0014798C">
      <w:pPr>
        <w:pStyle w:val="Textoindependiente"/>
        <w:rPr>
          <w:sz w:val="15"/>
        </w:rPr>
      </w:pPr>
    </w:p>
    <w:p w14:paraId="1571D188" w14:textId="77777777" w:rsidR="0014798C" w:rsidRDefault="0014798C">
      <w:pPr>
        <w:pStyle w:val="Textoindependiente"/>
        <w:spacing w:before="70"/>
        <w:rPr>
          <w:sz w:val="15"/>
        </w:rPr>
      </w:pPr>
    </w:p>
    <w:p w14:paraId="4A80148A" w14:textId="77777777" w:rsidR="0014798C" w:rsidRDefault="004E1F0B">
      <w:pPr>
        <w:spacing w:before="1" w:line="348" w:lineRule="auto"/>
        <w:ind w:left="1107" w:right="1166" w:hanging="1"/>
        <w:rPr>
          <w:sz w:val="15"/>
        </w:rPr>
      </w:pPr>
      <w:r>
        <w:rPr>
          <w:w w:val="105"/>
          <w:sz w:val="15"/>
        </w:rPr>
        <w:t>La</w:t>
      </w:r>
      <w:r>
        <w:rPr>
          <w:spacing w:val="-2"/>
          <w:w w:val="105"/>
          <w:sz w:val="15"/>
        </w:rPr>
        <w:t xml:space="preserve"> </w:t>
      </w:r>
      <w:r>
        <w:rPr>
          <w:w w:val="105"/>
          <w:sz w:val="15"/>
        </w:rPr>
        <w:t>Convención</w:t>
      </w:r>
      <w:r>
        <w:rPr>
          <w:spacing w:val="-2"/>
          <w:w w:val="105"/>
          <w:sz w:val="15"/>
        </w:rPr>
        <w:t xml:space="preserve"> </w:t>
      </w:r>
      <w:r>
        <w:rPr>
          <w:w w:val="105"/>
          <w:sz w:val="15"/>
        </w:rPr>
        <w:t>sobre</w:t>
      </w:r>
      <w:r>
        <w:rPr>
          <w:spacing w:val="-2"/>
          <w:w w:val="105"/>
          <w:sz w:val="15"/>
        </w:rPr>
        <w:t xml:space="preserve"> </w:t>
      </w:r>
      <w:r>
        <w:rPr>
          <w:w w:val="105"/>
          <w:sz w:val="15"/>
        </w:rPr>
        <w:t>los</w:t>
      </w:r>
      <w:r>
        <w:rPr>
          <w:spacing w:val="-2"/>
          <w:w w:val="105"/>
          <w:sz w:val="15"/>
        </w:rPr>
        <w:t xml:space="preserve"> </w:t>
      </w:r>
      <w:r>
        <w:rPr>
          <w:w w:val="105"/>
          <w:sz w:val="15"/>
        </w:rPr>
        <w:t>Derechos</w:t>
      </w:r>
      <w:r>
        <w:rPr>
          <w:spacing w:val="-2"/>
          <w:w w:val="105"/>
          <w:sz w:val="15"/>
        </w:rPr>
        <w:t xml:space="preserve"> </w:t>
      </w:r>
      <w:r>
        <w:rPr>
          <w:w w:val="105"/>
          <w:sz w:val="15"/>
        </w:rPr>
        <w:t>de</w:t>
      </w:r>
      <w:r>
        <w:rPr>
          <w:spacing w:val="-2"/>
          <w:w w:val="105"/>
          <w:sz w:val="15"/>
        </w:rPr>
        <w:t xml:space="preserve"> </w:t>
      </w:r>
      <w:r>
        <w:rPr>
          <w:w w:val="105"/>
          <w:sz w:val="15"/>
        </w:rPr>
        <w:t>las</w:t>
      </w:r>
      <w:r>
        <w:rPr>
          <w:spacing w:val="-2"/>
          <w:w w:val="105"/>
          <w:sz w:val="15"/>
        </w:rPr>
        <w:t xml:space="preserve"> </w:t>
      </w:r>
      <w:r>
        <w:rPr>
          <w:w w:val="105"/>
          <w:sz w:val="15"/>
        </w:rPr>
        <w:t>Personas</w:t>
      </w:r>
      <w:r>
        <w:rPr>
          <w:spacing w:val="-2"/>
          <w:w w:val="105"/>
          <w:sz w:val="15"/>
        </w:rPr>
        <w:t xml:space="preserve"> </w:t>
      </w:r>
      <w:r>
        <w:rPr>
          <w:w w:val="105"/>
          <w:sz w:val="15"/>
        </w:rPr>
        <w:t>con</w:t>
      </w:r>
      <w:r>
        <w:rPr>
          <w:spacing w:val="-2"/>
          <w:w w:val="105"/>
          <w:sz w:val="15"/>
        </w:rPr>
        <w:t xml:space="preserve"> </w:t>
      </w:r>
      <w:r>
        <w:rPr>
          <w:w w:val="105"/>
          <w:sz w:val="15"/>
        </w:rPr>
        <w:t>Discapacidad</w:t>
      </w:r>
      <w:r>
        <w:rPr>
          <w:spacing w:val="-2"/>
          <w:w w:val="105"/>
          <w:sz w:val="15"/>
        </w:rPr>
        <w:t xml:space="preserve"> </w:t>
      </w:r>
      <w:r>
        <w:rPr>
          <w:w w:val="105"/>
          <w:sz w:val="15"/>
        </w:rPr>
        <w:t>hace</w:t>
      </w:r>
      <w:r>
        <w:rPr>
          <w:spacing w:val="-2"/>
          <w:w w:val="105"/>
          <w:sz w:val="15"/>
        </w:rPr>
        <w:t xml:space="preserve"> </w:t>
      </w:r>
      <w:r>
        <w:rPr>
          <w:w w:val="105"/>
          <w:sz w:val="15"/>
        </w:rPr>
        <w:t>explícita</w:t>
      </w:r>
      <w:r>
        <w:rPr>
          <w:spacing w:val="-2"/>
          <w:w w:val="105"/>
          <w:sz w:val="15"/>
        </w:rPr>
        <w:t xml:space="preserve"> </w:t>
      </w:r>
      <w:r>
        <w:rPr>
          <w:w w:val="105"/>
          <w:sz w:val="15"/>
        </w:rPr>
        <w:t>la</w:t>
      </w:r>
      <w:r>
        <w:rPr>
          <w:spacing w:val="-2"/>
          <w:w w:val="105"/>
          <w:sz w:val="15"/>
        </w:rPr>
        <w:t xml:space="preserve"> </w:t>
      </w:r>
      <w:r>
        <w:rPr>
          <w:w w:val="105"/>
          <w:sz w:val="15"/>
        </w:rPr>
        <w:t>obligación</w:t>
      </w:r>
      <w:r>
        <w:rPr>
          <w:spacing w:val="-2"/>
          <w:w w:val="105"/>
          <w:sz w:val="15"/>
        </w:rPr>
        <w:t xml:space="preserve"> </w:t>
      </w:r>
      <w:r>
        <w:rPr>
          <w:w w:val="105"/>
          <w:sz w:val="15"/>
        </w:rPr>
        <w:t>de</w:t>
      </w:r>
      <w:r>
        <w:rPr>
          <w:spacing w:val="-2"/>
          <w:w w:val="105"/>
          <w:sz w:val="15"/>
        </w:rPr>
        <w:t xml:space="preserve"> </w:t>
      </w:r>
      <w:r>
        <w:rPr>
          <w:w w:val="105"/>
          <w:sz w:val="15"/>
        </w:rPr>
        <w:t>establecer</w:t>
      </w:r>
      <w:r>
        <w:rPr>
          <w:spacing w:val="-2"/>
          <w:w w:val="105"/>
          <w:sz w:val="15"/>
        </w:rPr>
        <w:t xml:space="preserve"> </w:t>
      </w:r>
      <w:r>
        <w:rPr>
          <w:w w:val="105"/>
          <w:sz w:val="15"/>
        </w:rPr>
        <w:t>mecanismos independientes,</w:t>
      </w:r>
      <w:r>
        <w:rPr>
          <w:spacing w:val="-8"/>
          <w:w w:val="105"/>
          <w:sz w:val="15"/>
        </w:rPr>
        <w:t xml:space="preserve"> </w:t>
      </w:r>
      <w:r>
        <w:rPr>
          <w:w w:val="105"/>
          <w:sz w:val="15"/>
        </w:rPr>
        <w:t>como</w:t>
      </w:r>
      <w:r>
        <w:rPr>
          <w:spacing w:val="-8"/>
          <w:w w:val="105"/>
          <w:sz w:val="15"/>
        </w:rPr>
        <w:t xml:space="preserve"> </w:t>
      </w:r>
      <w:r>
        <w:rPr>
          <w:w w:val="105"/>
          <w:sz w:val="15"/>
        </w:rPr>
        <w:t>organismos</w:t>
      </w:r>
      <w:r>
        <w:rPr>
          <w:spacing w:val="-8"/>
          <w:w w:val="105"/>
          <w:sz w:val="15"/>
        </w:rPr>
        <w:t xml:space="preserve"> </w:t>
      </w:r>
      <w:r>
        <w:rPr>
          <w:w w:val="105"/>
          <w:sz w:val="15"/>
        </w:rPr>
        <w:t>de</w:t>
      </w:r>
      <w:r>
        <w:rPr>
          <w:spacing w:val="-8"/>
          <w:w w:val="105"/>
          <w:sz w:val="15"/>
        </w:rPr>
        <w:t xml:space="preserve"> </w:t>
      </w:r>
      <w:r>
        <w:rPr>
          <w:w w:val="105"/>
          <w:sz w:val="15"/>
        </w:rPr>
        <w:t>igualdad.</w:t>
      </w:r>
      <w:r>
        <w:rPr>
          <w:spacing w:val="-8"/>
          <w:w w:val="105"/>
          <w:sz w:val="15"/>
        </w:rPr>
        <w:t xml:space="preserve"> </w:t>
      </w:r>
      <w:r>
        <w:rPr>
          <w:w w:val="105"/>
          <w:sz w:val="15"/>
        </w:rPr>
        <w:t>Según</w:t>
      </w:r>
      <w:r>
        <w:rPr>
          <w:spacing w:val="-8"/>
          <w:w w:val="105"/>
          <w:sz w:val="15"/>
        </w:rPr>
        <w:t xml:space="preserve"> </w:t>
      </w:r>
      <w:r>
        <w:rPr>
          <w:w w:val="105"/>
          <w:sz w:val="15"/>
        </w:rPr>
        <w:t>el</w:t>
      </w:r>
      <w:r>
        <w:rPr>
          <w:spacing w:val="-8"/>
          <w:w w:val="105"/>
          <w:sz w:val="15"/>
        </w:rPr>
        <w:t xml:space="preserve"> </w:t>
      </w:r>
      <w:r>
        <w:rPr>
          <w:w w:val="105"/>
          <w:sz w:val="15"/>
        </w:rPr>
        <w:t>artículo</w:t>
      </w:r>
      <w:r>
        <w:rPr>
          <w:spacing w:val="-8"/>
          <w:w w:val="105"/>
          <w:sz w:val="15"/>
        </w:rPr>
        <w:t xml:space="preserve"> </w:t>
      </w:r>
      <w:r>
        <w:rPr>
          <w:w w:val="105"/>
          <w:sz w:val="15"/>
        </w:rPr>
        <w:t>33</w:t>
      </w:r>
      <w:r>
        <w:rPr>
          <w:spacing w:val="-8"/>
          <w:w w:val="105"/>
          <w:sz w:val="15"/>
        </w:rPr>
        <w:t xml:space="preserve"> </w:t>
      </w:r>
      <w:r>
        <w:rPr>
          <w:w w:val="105"/>
          <w:sz w:val="15"/>
        </w:rPr>
        <w:t>(2)</w:t>
      </w:r>
      <w:r>
        <w:rPr>
          <w:spacing w:val="-8"/>
          <w:w w:val="105"/>
          <w:sz w:val="15"/>
        </w:rPr>
        <w:t xml:space="preserve"> </w:t>
      </w:r>
      <w:r>
        <w:rPr>
          <w:w w:val="105"/>
          <w:sz w:val="15"/>
        </w:rPr>
        <w:t>de</w:t>
      </w:r>
      <w:r>
        <w:rPr>
          <w:spacing w:val="-8"/>
          <w:w w:val="105"/>
          <w:sz w:val="15"/>
        </w:rPr>
        <w:t xml:space="preserve"> </w:t>
      </w:r>
      <w:r>
        <w:rPr>
          <w:w w:val="105"/>
          <w:sz w:val="15"/>
        </w:rPr>
        <w:t>la</w:t>
      </w:r>
      <w:r>
        <w:rPr>
          <w:spacing w:val="-8"/>
          <w:w w:val="105"/>
          <w:sz w:val="15"/>
        </w:rPr>
        <w:t xml:space="preserve"> </w:t>
      </w:r>
      <w:r>
        <w:rPr>
          <w:w w:val="105"/>
          <w:sz w:val="15"/>
        </w:rPr>
        <w:t>Convención,</w:t>
      </w:r>
      <w:r>
        <w:rPr>
          <w:spacing w:val="-8"/>
          <w:w w:val="105"/>
          <w:sz w:val="15"/>
        </w:rPr>
        <w:t xml:space="preserve"> </w:t>
      </w:r>
      <w:r>
        <w:rPr>
          <w:w w:val="105"/>
          <w:sz w:val="15"/>
        </w:rPr>
        <w:t>los</w:t>
      </w:r>
      <w:r>
        <w:rPr>
          <w:spacing w:val="-8"/>
          <w:w w:val="105"/>
          <w:sz w:val="15"/>
        </w:rPr>
        <w:t xml:space="preserve"> </w:t>
      </w:r>
      <w:r>
        <w:rPr>
          <w:w w:val="105"/>
          <w:sz w:val="15"/>
        </w:rPr>
        <w:t>Estados</w:t>
      </w:r>
      <w:r>
        <w:rPr>
          <w:spacing w:val="-8"/>
          <w:w w:val="105"/>
          <w:sz w:val="15"/>
        </w:rPr>
        <w:t xml:space="preserve"> </w:t>
      </w:r>
      <w:r>
        <w:rPr>
          <w:w w:val="105"/>
          <w:sz w:val="15"/>
        </w:rPr>
        <w:t>están</w:t>
      </w:r>
      <w:r>
        <w:rPr>
          <w:spacing w:val="-8"/>
          <w:w w:val="105"/>
          <w:sz w:val="15"/>
        </w:rPr>
        <w:t xml:space="preserve"> </w:t>
      </w:r>
      <w:r>
        <w:rPr>
          <w:w w:val="105"/>
          <w:sz w:val="15"/>
        </w:rPr>
        <w:t>obligados,</w:t>
      </w:r>
      <w:r>
        <w:rPr>
          <w:spacing w:val="-8"/>
          <w:w w:val="105"/>
          <w:sz w:val="15"/>
        </w:rPr>
        <w:t xml:space="preserve"> </w:t>
      </w:r>
      <w:r>
        <w:rPr>
          <w:w w:val="105"/>
          <w:sz w:val="15"/>
        </w:rPr>
        <w:t>“de</w:t>
      </w:r>
      <w:r>
        <w:rPr>
          <w:spacing w:val="-8"/>
          <w:w w:val="105"/>
          <w:sz w:val="15"/>
        </w:rPr>
        <w:t xml:space="preserve"> </w:t>
      </w:r>
      <w:r>
        <w:rPr>
          <w:w w:val="105"/>
          <w:sz w:val="15"/>
        </w:rPr>
        <w:t>conformidad con</w:t>
      </w:r>
      <w:r>
        <w:rPr>
          <w:spacing w:val="-3"/>
          <w:w w:val="105"/>
          <w:sz w:val="15"/>
        </w:rPr>
        <w:t xml:space="preserve"> </w:t>
      </w:r>
      <w:r>
        <w:rPr>
          <w:w w:val="105"/>
          <w:sz w:val="15"/>
        </w:rPr>
        <w:t>sus</w:t>
      </w:r>
      <w:r>
        <w:rPr>
          <w:spacing w:val="-3"/>
          <w:w w:val="105"/>
          <w:sz w:val="15"/>
        </w:rPr>
        <w:t xml:space="preserve"> </w:t>
      </w:r>
      <w:r>
        <w:rPr>
          <w:w w:val="105"/>
          <w:sz w:val="15"/>
        </w:rPr>
        <w:t>sistemas</w:t>
      </w:r>
      <w:r>
        <w:rPr>
          <w:spacing w:val="-3"/>
          <w:w w:val="105"/>
          <w:sz w:val="15"/>
        </w:rPr>
        <w:t xml:space="preserve"> </w:t>
      </w:r>
      <w:r>
        <w:rPr>
          <w:w w:val="105"/>
          <w:sz w:val="15"/>
        </w:rPr>
        <w:t>jurídicos</w:t>
      </w:r>
      <w:r>
        <w:rPr>
          <w:spacing w:val="-3"/>
          <w:w w:val="105"/>
          <w:sz w:val="15"/>
        </w:rPr>
        <w:t xml:space="preserve"> </w:t>
      </w:r>
      <w:r>
        <w:rPr>
          <w:w w:val="105"/>
          <w:sz w:val="15"/>
        </w:rPr>
        <w:t>y</w:t>
      </w:r>
      <w:r>
        <w:rPr>
          <w:spacing w:val="-3"/>
          <w:w w:val="105"/>
          <w:sz w:val="15"/>
        </w:rPr>
        <w:t xml:space="preserve"> </w:t>
      </w:r>
      <w:r>
        <w:rPr>
          <w:w w:val="105"/>
          <w:sz w:val="15"/>
        </w:rPr>
        <w:t>administrativos”,</w:t>
      </w:r>
      <w:r>
        <w:rPr>
          <w:spacing w:val="-2"/>
          <w:w w:val="105"/>
          <w:sz w:val="15"/>
        </w:rPr>
        <w:t xml:space="preserve"> </w:t>
      </w:r>
      <w:r>
        <w:rPr>
          <w:w w:val="105"/>
          <w:sz w:val="15"/>
        </w:rPr>
        <w:t>a</w:t>
      </w:r>
      <w:r>
        <w:rPr>
          <w:spacing w:val="-3"/>
          <w:w w:val="105"/>
          <w:sz w:val="15"/>
        </w:rPr>
        <w:t xml:space="preserve"> </w:t>
      </w:r>
      <w:r>
        <w:rPr>
          <w:w w:val="105"/>
          <w:sz w:val="15"/>
        </w:rPr>
        <w:t>“mantener,</w:t>
      </w:r>
      <w:r>
        <w:rPr>
          <w:spacing w:val="-2"/>
          <w:w w:val="105"/>
          <w:sz w:val="15"/>
        </w:rPr>
        <w:t xml:space="preserve"> </w:t>
      </w:r>
      <w:r>
        <w:rPr>
          <w:w w:val="105"/>
          <w:sz w:val="15"/>
        </w:rPr>
        <w:t>fortalecer,</w:t>
      </w:r>
      <w:r>
        <w:rPr>
          <w:spacing w:val="-2"/>
          <w:w w:val="105"/>
          <w:sz w:val="15"/>
        </w:rPr>
        <w:t xml:space="preserve"> </w:t>
      </w:r>
      <w:r>
        <w:rPr>
          <w:w w:val="105"/>
          <w:sz w:val="15"/>
        </w:rPr>
        <w:t>designar</w:t>
      </w:r>
      <w:r>
        <w:rPr>
          <w:spacing w:val="-3"/>
          <w:w w:val="105"/>
          <w:sz w:val="15"/>
        </w:rPr>
        <w:t xml:space="preserve"> </w:t>
      </w:r>
      <w:r>
        <w:rPr>
          <w:w w:val="105"/>
          <w:sz w:val="15"/>
        </w:rPr>
        <w:t>o</w:t>
      </w:r>
      <w:r>
        <w:rPr>
          <w:spacing w:val="-3"/>
          <w:w w:val="105"/>
          <w:sz w:val="15"/>
        </w:rPr>
        <w:t xml:space="preserve"> </w:t>
      </w:r>
      <w:r>
        <w:rPr>
          <w:w w:val="105"/>
          <w:sz w:val="15"/>
        </w:rPr>
        <w:t>establecer</w:t>
      </w:r>
      <w:r>
        <w:rPr>
          <w:spacing w:val="-3"/>
          <w:w w:val="105"/>
          <w:sz w:val="15"/>
        </w:rPr>
        <w:t xml:space="preserve"> </w:t>
      </w:r>
      <w:r>
        <w:rPr>
          <w:w w:val="105"/>
          <w:sz w:val="15"/>
        </w:rPr>
        <w:t>dentro</w:t>
      </w:r>
      <w:r>
        <w:rPr>
          <w:spacing w:val="-3"/>
          <w:w w:val="105"/>
          <w:sz w:val="15"/>
        </w:rPr>
        <w:t xml:space="preserve"> </w:t>
      </w:r>
      <w:r>
        <w:rPr>
          <w:w w:val="105"/>
          <w:sz w:val="15"/>
        </w:rPr>
        <w:t>del</w:t>
      </w:r>
      <w:r>
        <w:rPr>
          <w:spacing w:val="-3"/>
          <w:w w:val="105"/>
          <w:sz w:val="15"/>
        </w:rPr>
        <w:t xml:space="preserve"> </w:t>
      </w:r>
      <w:r>
        <w:rPr>
          <w:w w:val="105"/>
          <w:sz w:val="15"/>
        </w:rPr>
        <w:t>Estado</w:t>
      </w:r>
      <w:r>
        <w:rPr>
          <w:spacing w:val="-3"/>
          <w:w w:val="105"/>
          <w:sz w:val="15"/>
        </w:rPr>
        <w:t xml:space="preserve"> </w:t>
      </w:r>
      <w:r>
        <w:rPr>
          <w:w w:val="105"/>
          <w:sz w:val="15"/>
        </w:rPr>
        <w:t>Parte,</w:t>
      </w:r>
      <w:r>
        <w:rPr>
          <w:spacing w:val="-3"/>
          <w:w w:val="105"/>
          <w:sz w:val="15"/>
        </w:rPr>
        <w:t xml:space="preserve"> </w:t>
      </w:r>
      <w:r>
        <w:rPr>
          <w:w w:val="105"/>
          <w:sz w:val="15"/>
        </w:rPr>
        <w:t>un</w:t>
      </w:r>
      <w:r>
        <w:rPr>
          <w:spacing w:val="-3"/>
          <w:w w:val="105"/>
          <w:sz w:val="15"/>
        </w:rPr>
        <w:t xml:space="preserve"> </w:t>
      </w:r>
      <w:r>
        <w:rPr>
          <w:w w:val="105"/>
          <w:sz w:val="15"/>
        </w:rPr>
        <w:t>marco,</w:t>
      </w:r>
      <w:r>
        <w:rPr>
          <w:spacing w:val="-3"/>
          <w:w w:val="105"/>
          <w:sz w:val="15"/>
        </w:rPr>
        <w:t xml:space="preserve"> </w:t>
      </w:r>
      <w:r>
        <w:rPr>
          <w:w w:val="105"/>
          <w:sz w:val="15"/>
        </w:rPr>
        <w:t>que incluya</w:t>
      </w:r>
      <w:r>
        <w:rPr>
          <w:spacing w:val="-3"/>
          <w:w w:val="105"/>
          <w:sz w:val="15"/>
        </w:rPr>
        <w:t xml:space="preserve"> </w:t>
      </w:r>
      <w:r>
        <w:rPr>
          <w:w w:val="105"/>
          <w:sz w:val="15"/>
        </w:rPr>
        <w:t>uno</w:t>
      </w:r>
      <w:r>
        <w:rPr>
          <w:spacing w:val="-3"/>
          <w:w w:val="105"/>
          <w:sz w:val="15"/>
        </w:rPr>
        <w:t xml:space="preserve"> </w:t>
      </w:r>
      <w:r>
        <w:rPr>
          <w:w w:val="105"/>
          <w:sz w:val="15"/>
        </w:rPr>
        <w:t>o</w:t>
      </w:r>
      <w:r>
        <w:rPr>
          <w:spacing w:val="-3"/>
          <w:w w:val="105"/>
          <w:sz w:val="15"/>
        </w:rPr>
        <w:t xml:space="preserve"> </w:t>
      </w:r>
      <w:r>
        <w:rPr>
          <w:w w:val="105"/>
          <w:sz w:val="15"/>
        </w:rPr>
        <w:t>más</w:t>
      </w:r>
      <w:r>
        <w:rPr>
          <w:spacing w:val="-3"/>
          <w:w w:val="105"/>
          <w:sz w:val="15"/>
        </w:rPr>
        <w:t xml:space="preserve"> </w:t>
      </w:r>
      <w:r>
        <w:rPr>
          <w:w w:val="105"/>
          <w:sz w:val="15"/>
        </w:rPr>
        <w:t>mecanismos</w:t>
      </w:r>
      <w:r>
        <w:rPr>
          <w:spacing w:val="-3"/>
          <w:w w:val="105"/>
          <w:sz w:val="15"/>
        </w:rPr>
        <w:t xml:space="preserve"> </w:t>
      </w:r>
      <w:r>
        <w:rPr>
          <w:w w:val="105"/>
          <w:sz w:val="15"/>
        </w:rPr>
        <w:t>independientes,</w:t>
      </w:r>
      <w:r>
        <w:rPr>
          <w:spacing w:val="-2"/>
          <w:w w:val="105"/>
          <w:sz w:val="15"/>
        </w:rPr>
        <w:t xml:space="preserve"> </w:t>
      </w:r>
      <w:r>
        <w:rPr>
          <w:w w:val="105"/>
          <w:sz w:val="15"/>
        </w:rPr>
        <w:t>como</w:t>
      </w:r>
      <w:r>
        <w:rPr>
          <w:spacing w:val="-3"/>
          <w:w w:val="105"/>
          <w:sz w:val="15"/>
        </w:rPr>
        <w:t xml:space="preserve"> </w:t>
      </w:r>
      <w:r>
        <w:rPr>
          <w:w w:val="105"/>
          <w:sz w:val="15"/>
        </w:rPr>
        <w:t>cuando</w:t>
      </w:r>
      <w:r>
        <w:rPr>
          <w:spacing w:val="-3"/>
          <w:w w:val="105"/>
          <w:sz w:val="15"/>
        </w:rPr>
        <w:t xml:space="preserve"> </w:t>
      </w:r>
      <w:r>
        <w:rPr>
          <w:w w:val="105"/>
          <w:sz w:val="15"/>
        </w:rPr>
        <w:t>proceda,</w:t>
      </w:r>
      <w:r>
        <w:rPr>
          <w:spacing w:val="-2"/>
          <w:w w:val="105"/>
          <w:sz w:val="15"/>
        </w:rPr>
        <w:t xml:space="preserve"> </w:t>
      </w:r>
      <w:r>
        <w:rPr>
          <w:w w:val="105"/>
          <w:sz w:val="15"/>
        </w:rPr>
        <w:t>promover,</w:t>
      </w:r>
      <w:r>
        <w:rPr>
          <w:spacing w:val="-2"/>
          <w:w w:val="105"/>
          <w:sz w:val="15"/>
        </w:rPr>
        <w:t xml:space="preserve"> </w:t>
      </w:r>
      <w:r>
        <w:rPr>
          <w:w w:val="105"/>
          <w:sz w:val="15"/>
        </w:rPr>
        <w:t>proteger</w:t>
      </w:r>
      <w:r>
        <w:rPr>
          <w:spacing w:val="-3"/>
          <w:w w:val="105"/>
          <w:sz w:val="15"/>
        </w:rPr>
        <w:t xml:space="preserve"> </w:t>
      </w:r>
      <w:r>
        <w:rPr>
          <w:w w:val="105"/>
          <w:sz w:val="15"/>
        </w:rPr>
        <w:t>y</w:t>
      </w:r>
      <w:r>
        <w:rPr>
          <w:spacing w:val="-3"/>
          <w:w w:val="105"/>
          <w:sz w:val="15"/>
        </w:rPr>
        <w:t xml:space="preserve"> </w:t>
      </w:r>
      <w:r>
        <w:rPr>
          <w:w w:val="105"/>
          <w:sz w:val="15"/>
        </w:rPr>
        <w:t>vigilar</w:t>
      </w:r>
      <w:r>
        <w:rPr>
          <w:spacing w:val="-3"/>
          <w:w w:val="105"/>
          <w:sz w:val="15"/>
        </w:rPr>
        <w:t xml:space="preserve"> </w:t>
      </w:r>
      <w:r>
        <w:rPr>
          <w:w w:val="105"/>
          <w:sz w:val="15"/>
        </w:rPr>
        <w:t>la</w:t>
      </w:r>
      <w:r>
        <w:rPr>
          <w:spacing w:val="-3"/>
          <w:w w:val="105"/>
          <w:sz w:val="15"/>
        </w:rPr>
        <w:t xml:space="preserve"> </w:t>
      </w:r>
      <w:r>
        <w:rPr>
          <w:w w:val="105"/>
          <w:sz w:val="15"/>
        </w:rPr>
        <w:t>aplicación</w:t>
      </w:r>
      <w:r>
        <w:rPr>
          <w:spacing w:val="-3"/>
          <w:w w:val="105"/>
          <w:sz w:val="15"/>
        </w:rPr>
        <w:t xml:space="preserve"> </w:t>
      </w:r>
      <w:r>
        <w:rPr>
          <w:w w:val="105"/>
          <w:sz w:val="15"/>
        </w:rPr>
        <w:t>de</w:t>
      </w:r>
      <w:r>
        <w:rPr>
          <w:spacing w:val="-3"/>
          <w:w w:val="105"/>
          <w:sz w:val="15"/>
        </w:rPr>
        <w:t xml:space="preserve"> </w:t>
      </w:r>
      <w:r>
        <w:rPr>
          <w:w w:val="105"/>
          <w:sz w:val="15"/>
        </w:rPr>
        <w:t>la</w:t>
      </w:r>
      <w:r>
        <w:rPr>
          <w:spacing w:val="-3"/>
          <w:w w:val="105"/>
          <w:sz w:val="15"/>
        </w:rPr>
        <w:t xml:space="preserve"> </w:t>
      </w:r>
      <w:r>
        <w:rPr>
          <w:w w:val="105"/>
          <w:sz w:val="15"/>
        </w:rPr>
        <w:t xml:space="preserve">presente </w:t>
      </w:r>
      <w:r>
        <w:rPr>
          <w:spacing w:val="-2"/>
          <w:w w:val="105"/>
          <w:sz w:val="15"/>
        </w:rPr>
        <w:t>Convención”.712</w:t>
      </w:r>
    </w:p>
    <w:p w14:paraId="2EA0CC93" w14:textId="77777777" w:rsidR="0014798C" w:rsidRDefault="004E1F0B">
      <w:pPr>
        <w:spacing w:before="167" w:line="348" w:lineRule="auto"/>
        <w:ind w:left="1107" w:right="1272" w:hanging="1"/>
        <w:rPr>
          <w:sz w:val="15"/>
        </w:rPr>
      </w:pPr>
      <w:r>
        <w:rPr>
          <w:w w:val="105"/>
          <w:sz w:val="15"/>
        </w:rPr>
        <w:t>El</w:t>
      </w:r>
      <w:r>
        <w:rPr>
          <w:spacing w:val="-2"/>
          <w:w w:val="105"/>
          <w:sz w:val="15"/>
        </w:rPr>
        <w:t xml:space="preserve"> </w:t>
      </w:r>
      <w:r>
        <w:rPr>
          <w:w w:val="105"/>
          <w:sz w:val="15"/>
        </w:rPr>
        <w:t>establecimiento</w:t>
      </w:r>
      <w:r>
        <w:rPr>
          <w:spacing w:val="-2"/>
          <w:w w:val="105"/>
          <w:sz w:val="15"/>
        </w:rPr>
        <w:t xml:space="preserve"> </w:t>
      </w:r>
      <w:r>
        <w:rPr>
          <w:w w:val="105"/>
          <w:sz w:val="15"/>
        </w:rPr>
        <w:t>de</w:t>
      </w:r>
      <w:r>
        <w:rPr>
          <w:spacing w:val="-2"/>
          <w:w w:val="105"/>
          <w:sz w:val="15"/>
        </w:rPr>
        <w:t xml:space="preserve"> </w:t>
      </w:r>
      <w:r>
        <w:rPr>
          <w:w w:val="105"/>
          <w:sz w:val="15"/>
        </w:rPr>
        <w:t>órganos</w:t>
      </w:r>
      <w:r>
        <w:rPr>
          <w:spacing w:val="-2"/>
          <w:w w:val="105"/>
          <w:sz w:val="15"/>
        </w:rPr>
        <w:t xml:space="preserve"> </w:t>
      </w:r>
      <w:r>
        <w:rPr>
          <w:w w:val="105"/>
          <w:sz w:val="15"/>
        </w:rPr>
        <w:t>de</w:t>
      </w:r>
      <w:r>
        <w:rPr>
          <w:spacing w:val="-2"/>
          <w:w w:val="105"/>
          <w:sz w:val="15"/>
        </w:rPr>
        <w:t xml:space="preserve"> </w:t>
      </w:r>
      <w:r>
        <w:rPr>
          <w:w w:val="105"/>
          <w:sz w:val="15"/>
        </w:rPr>
        <w:t>igualdad</w:t>
      </w:r>
      <w:r>
        <w:rPr>
          <w:spacing w:val="-2"/>
          <w:w w:val="105"/>
          <w:sz w:val="15"/>
        </w:rPr>
        <w:t xml:space="preserve"> </w:t>
      </w:r>
      <w:r>
        <w:rPr>
          <w:w w:val="105"/>
          <w:sz w:val="15"/>
        </w:rPr>
        <w:t>también</w:t>
      </w:r>
      <w:r>
        <w:rPr>
          <w:spacing w:val="-2"/>
          <w:w w:val="105"/>
          <w:sz w:val="15"/>
        </w:rPr>
        <w:t xml:space="preserve"> </w:t>
      </w:r>
      <w:r>
        <w:rPr>
          <w:w w:val="105"/>
          <w:sz w:val="15"/>
        </w:rPr>
        <w:t>ha</w:t>
      </w:r>
      <w:r>
        <w:rPr>
          <w:spacing w:val="-2"/>
          <w:w w:val="105"/>
          <w:sz w:val="15"/>
        </w:rPr>
        <w:t xml:space="preserve"> </w:t>
      </w:r>
      <w:r>
        <w:rPr>
          <w:w w:val="105"/>
          <w:sz w:val="15"/>
        </w:rPr>
        <w:t>formado</w:t>
      </w:r>
      <w:r>
        <w:rPr>
          <w:spacing w:val="-2"/>
          <w:w w:val="105"/>
          <w:sz w:val="15"/>
        </w:rPr>
        <w:t xml:space="preserve"> </w:t>
      </w:r>
      <w:r>
        <w:rPr>
          <w:w w:val="105"/>
          <w:sz w:val="15"/>
        </w:rPr>
        <w:t>parte</w:t>
      </w:r>
      <w:r>
        <w:rPr>
          <w:spacing w:val="-2"/>
          <w:w w:val="105"/>
          <w:sz w:val="15"/>
        </w:rPr>
        <w:t xml:space="preserve"> </w:t>
      </w:r>
      <w:r>
        <w:rPr>
          <w:w w:val="105"/>
          <w:sz w:val="15"/>
        </w:rPr>
        <w:t>cada</w:t>
      </w:r>
      <w:r>
        <w:rPr>
          <w:spacing w:val="-2"/>
          <w:w w:val="105"/>
          <w:sz w:val="15"/>
        </w:rPr>
        <w:t xml:space="preserve"> </w:t>
      </w:r>
      <w:r>
        <w:rPr>
          <w:w w:val="105"/>
          <w:sz w:val="15"/>
        </w:rPr>
        <w:t>vez</w:t>
      </w:r>
      <w:r>
        <w:rPr>
          <w:spacing w:val="-2"/>
          <w:w w:val="105"/>
          <w:sz w:val="15"/>
        </w:rPr>
        <w:t xml:space="preserve"> </w:t>
      </w:r>
      <w:r>
        <w:rPr>
          <w:w w:val="105"/>
          <w:sz w:val="15"/>
        </w:rPr>
        <w:t>más</w:t>
      </w:r>
      <w:r>
        <w:rPr>
          <w:spacing w:val="-2"/>
          <w:w w:val="105"/>
          <w:sz w:val="15"/>
        </w:rPr>
        <w:t xml:space="preserve"> </w:t>
      </w:r>
      <w:r>
        <w:rPr>
          <w:w w:val="105"/>
          <w:sz w:val="15"/>
        </w:rPr>
        <w:t>de</w:t>
      </w:r>
      <w:r>
        <w:rPr>
          <w:spacing w:val="-2"/>
          <w:w w:val="105"/>
          <w:sz w:val="15"/>
        </w:rPr>
        <w:t xml:space="preserve"> </w:t>
      </w:r>
      <w:r>
        <w:rPr>
          <w:w w:val="105"/>
          <w:sz w:val="15"/>
        </w:rPr>
        <w:t>las</w:t>
      </w:r>
      <w:r>
        <w:rPr>
          <w:spacing w:val="-2"/>
          <w:w w:val="105"/>
          <w:sz w:val="15"/>
        </w:rPr>
        <w:t xml:space="preserve"> </w:t>
      </w:r>
      <w:r>
        <w:rPr>
          <w:w w:val="105"/>
          <w:sz w:val="15"/>
        </w:rPr>
        <w:t>recomendaciones</w:t>
      </w:r>
      <w:r>
        <w:rPr>
          <w:spacing w:val="-2"/>
          <w:w w:val="105"/>
          <w:sz w:val="15"/>
        </w:rPr>
        <w:t xml:space="preserve"> </w:t>
      </w:r>
      <w:r>
        <w:rPr>
          <w:w w:val="105"/>
          <w:sz w:val="15"/>
        </w:rPr>
        <w:t>de</w:t>
      </w:r>
      <w:r>
        <w:rPr>
          <w:spacing w:val="-2"/>
          <w:w w:val="105"/>
          <w:sz w:val="15"/>
        </w:rPr>
        <w:t xml:space="preserve"> </w:t>
      </w:r>
      <w:r>
        <w:rPr>
          <w:w w:val="105"/>
          <w:sz w:val="15"/>
        </w:rPr>
        <w:t>los</w:t>
      </w:r>
      <w:r>
        <w:rPr>
          <w:spacing w:val="-2"/>
          <w:w w:val="105"/>
          <w:sz w:val="15"/>
        </w:rPr>
        <w:t xml:space="preserve"> </w:t>
      </w:r>
      <w:r>
        <w:rPr>
          <w:w w:val="105"/>
          <w:sz w:val="15"/>
        </w:rPr>
        <w:t>titulares</w:t>
      </w:r>
      <w:r>
        <w:rPr>
          <w:spacing w:val="-2"/>
          <w:w w:val="105"/>
          <w:sz w:val="15"/>
        </w:rPr>
        <w:t xml:space="preserve"> </w:t>
      </w:r>
      <w:r>
        <w:rPr>
          <w:w w:val="105"/>
          <w:sz w:val="15"/>
        </w:rPr>
        <w:t>de mandatos</w:t>
      </w:r>
      <w:r>
        <w:rPr>
          <w:spacing w:val="-2"/>
          <w:w w:val="105"/>
          <w:sz w:val="15"/>
        </w:rPr>
        <w:t xml:space="preserve"> </w:t>
      </w:r>
      <w:r>
        <w:rPr>
          <w:w w:val="105"/>
          <w:sz w:val="15"/>
        </w:rPr>
        <w:t>de</w:t>
      </w:r>
      <w:r>
        <w:rPr>
          <w:spacing w:val="-2"/>
          <w:w w:val="105"/>
          <w:sz w:val="15"/>
        </w:rPr>
        <w:t xml:space="preserve"> </w:t>
      </w:r>
      <w:r>
        <w:rPr>
          <w:w w:val="105"/>
          <w:sz w:val="15"/>
        </w:rPr>
        <w:t>procedimientos</w:t>
      </w:r>
      <w:r>
        <w:rPr>
          <w:spacing w:val="-2"/>
          <w:w w:val="105"/>
          <w:sz w:val="15"/>
        </w:rPr>
        <w:t xml:space="preserve"> </w:t>
      </w:r>
      <w:r>
        <w:rPr>
          <w:w w:val="105"/>
          <w:sz w:val="15"/>
        </w:rPr>
        <w:t>especiales.713</w:t>
      </w:r>
      <w:r>
        <w:rPr>
          <w:spacing w:val="-2"/>
          <w:w w:val="105"/>
          <w:sz w:val="15"/>
        </w:rPr>
        <w:t xml:space="preserve"> </w:t>
      </w:r>
      <w:r>
        <w:rPr>
          <w:w w:val="105"/>
          <w:sz w:val="15"/>
        </w:rPr>
        <w:t>Así,</w:t>
      </w:r>
      <w:r>
        <w:rPr>
          <w:spacing w:val="-2"/>
          <w:w w:val="105"/>
          <w:sz w:val="15"/>
        </w:rPr>
        <w:t xml:space="preserve"> </w:t>
      </w:r>
      <w:r>
        <w:rPr>
          <w:w w:val="105"/>
          <w:sz w:val="15"/>
        </w:rPr>
        <w:t>por</w:t>
      </w:r>
      <w:r>
        <w:rPr>
          <w:spacing w:val="-2"/>
          <w:w w:val="105"/>
          <w:sz w:val="15"/>
        </w:rPr>
        <w:t xml:space="preserve"> </w:t>
      </w:r>
      <w:r>
        <w:rPr>
          <w:w w:val="105"/>
          <w:sz w:val="15"/>
        </w:rPr>
        <w:t>ejemplo,</w:t>
      </w:r>
      <w:r>
        <w:rPr>
          <w:spacing w:val="-1"/>
          <w:w w:val="105"/>
          <w:sz w:val="15"/>
        </w:rPr>
        <w:t xml:space="preserve"> </w:t>
      </w:r>
      <w:r>
        <w:rPr>
          <w:w w:val="105"/>
          <w:sz w:val="15"/>
        </w:rPr>
        <w:t>el</w:t>
      </w:r>
      <w:r>
        <w:rPr>
          <w:spacing w:val="-2"/>
          <w:w w:val="105"/>
          <w:sz w:val="15"/>
        </w:rPr>
        <w:t xml:space="preserve"> </w:t>
      </w:r>
      <w:r>
        <w:rPr>
          <w:w w:val="105"/>
          <w:sz w:val="15"/>
        </w:rPr>
        <w:t>Experto</w:t>
      </w:r>
      <w:r>
        <w:rPr>
          <w:spacing w:val="-2"/>
          <w:w w:val="105"/>
          <w:sz w:val="15"/>
        </w:rPr>
        <w:t xml:space="preserve"> </w:t>
      </w:r>
      <w:r>
        <w:rPr>
          <w:w w:val="105"/>
          <w:sz w:val="15"/>
        </w:rPr>
        <w:t>Independiente</w:t>
      </w:r>
      <w:r>
        <w:rPr>
          <w:spacing w:val="-2"/>
          <w:w w:val="105"/>
          <w:sz w:val="15"/>
        </w:rPr>
        <w:t xml:space="preserve"> </w:t>
      </w:r>
      <w:r>
        <w:rPr>
          <w:w w:val="105"/>
          <w:sz w:val="15"/>
        </w:rPr>
        <w:t>sobre</w:t>
      </w:r>
      <w:r>
        <w:rPr>
          <w:spacing w:val="-2"/>
          <w:w w:val="105"/>
          <w:sz w:val="15"/>
        </w:rPr>
        <w:t xml:space="preserve"> </w:t>
      </w:r>
      <w:r>
        <w:rPr>
          <w:w w:val="105"/>
          <w:sz w:val="15"/>
        </w:rPr>
        <w:t>el</w:t>
      </w:r>
      <w:r>
        <w:rPr>
          <w:spacing w:val="-2"/>
          <w:w w:val="105"/>
          <w:sz w:val="15"/>
        </w:rPr>
        <w:t xml:space="preserve"> </w:t>
      </w:r>
      <w:r>
        <w:rPr>
          <w:w w:val="105"/>
          <w:sz w:val="15"/>
        </w:rPr>
        <w:t>disfrute</w:t>
      </w:r>
      <w:r>
        <w:rPr>
          <w:spacing w:val="-2"/>
          <w:w w:val="105"/>
          <w:sz w:val="15"/>
        </w:rPr>
        <w:t xml:space="preserve"> </w:t>
      </w:r>
      <w:r>
        <w:rPr>
          <w:w w:val="105"/>
          <w:sz w:val="15"/>
        </w:rPr>
        <w:t>de</w:t>
      </w:r>
      <w:r>
        <w:rPr>
          <w:spacing w:val="-2"/>
          <w:w w:val="105"/>
          <w:sz w:val="15"/>
        </w:rPr>
        <w:t xml:space="preserve"> </w:t>
      </w:r>
      <w:r>
        <w:rPr>
          <w:w w:val="105"/>
          <w:sz w:val="15"/>
        </w:rPr>
        <w:t>todos</w:t>
      </w:r>
      <w:r>
        <w:rPr>
          <w:spacing w:val="-2"/>
          <w:w w:val="105"/>
          <w:sz w:val="15"/>
        </w:rPr>
        <w:t xml:space="preserve"> </w:t>
      </w:r>
      <w:r>
        <w:rPr>
          <w:w w:val="105"/>
          <w:sz w:val="15"/>
        </w:rPr>
        <w:t>los</w:t>
      </w:r>
      <w:r>
        <w:rPr>
          <w:spacing w:val="-2"/>
          <w:w w:val="105"/>
          <w:sz w:val="15"/>
        </w:rPr>
        <w:t xml:space="preserve"> </w:t>
      </w:r>
      <w:r>
        <w:rPr>
          <w:w w:val="105"/>
          <w:sz w:val="15"/>
        </w:rPr>
        <w:t>derechos humanos</w:t>
      </w:r>
      <w:r>
        <w:rPr>
          <w:spacing w:val="-3"/>
          <w:w w:val="105"/>
          <w:sz w:val="15"/>
        </w:rPr>
        <w:t xml:space="preserve"> </w:t>
      </w:r>
      <w:r>
        <w:rPr>
          <w:w w:val="105"/>
          <w:sz w:val="15"/>
        </w:rPr>
        <w:t>por</w:t>
      </w:r>
      <w:r>
        <w:rPr>
          <w:spacing w:val="-3"/>
          <w:w w:val="105"/>
          <w:sz w:val="15"/>
        </w:rPr>
        <w:t xml:space="preserve"> </w:t>
      </w:r>
      <w:r>
        <w:rPr>
          <w:w w:val="105"/>
          <w:sz w:val="15"/>
        </w:rPr>
        <w:t>las</w:t>
      </w:r>
      <w:r>
        <w:rPr>
          <w:spacing w:val="-3"/>
          <w:w w:val="105"/>
          <w:sz w:val="15"/>
        </w:rPr>
        <w:t xml:space="preserve"> </w:t>
      </w:r>
      <w:r>
        <w:rPr>
          <w:w w:val="105"/>
          <w:sz w:val="15"/>
        </w:rPr>
        <w:t>personas</w:t>
      </w:r>
      <w:r>
        <w:rPr>
          <w:spacing w:val="-3"/>
          <w:w w:val="105"/>
          <w:sz w:val="15"/>
        </w:rPr>
        <w:t xml:space="preserve"> </w:t>
      </w:r>
      <w:r>
        <w:rPr>
          <w:w w:val="105"/>
          <w:sz w:val="15"/>
        </w:rPr>
        <w:t>mayores</w:t>
      </w:r>
      <w:r>
        <w:rPr>
          <w:spacing w:val="-3"/>
          <w:w w:val="105"/>
          <w:sz w:val="15"/>
        </w:rPr>
        <w:t xml:space="preserve"> </w:t>
      </w:r>
      <w:r>
        <w:rPr>
          <w:w w:val="105"/>
          <w:sz w:val="15"/>
        </w:rPr>
        <w:t>ha</w:t>
      </w:r>
      <w:r>
        <w:rPr>
          <w:spacing w:val="-3"/>
          <w:w w:val="105"/>
          <w:sz w:val="15"/>
        </w:rPr>
        <w:t xml:space="preserve"> </w:t>
      </w:r>
      <w:r>
        <w:rPr>
          <w:w w:val="105"/>
          <w:sz w:val="15"/>
        </w:rPr>
        <w:t>recomendado</w:t>
      </w:r>
      <w:r>
        <w:rPr>
          <w:spacing w:val="-3"/>
          <w:w w:val="105"/>
          <w:sz w:val="15"/>
        </w:rPr>
        <w:t xml:space="preserve"> </w:t>
      </w:r>
      <w:r>
        <w:rPr>
          <w:w w:val="105"/>
          <w:sz w:val="15"/>
        </w:rPr>
        <w:t>que</w:t>
      </w:r>
      <w:r>
        <w:rPr>
          <w:spacing w:val="-3"/>
          <w:w w:val="105"/>
          <w:sz w:val="15"/>
        </w:rPr>
        <w:t xml:space="preserve"> </w:t>
      </w:r>
      <w:r>
        <w:rPr>
          <w:w w:val="105"/>
          <w:sz w:val="15"/>
        </w:rPr>
        <w:t>los</w:t>
      </w:r>
      <w:r>
        <w:rPr>
          <w:spacing w:val="-3"/>
          <w:w w:val="105"/>
          <w:sz w:val="15"/>
        </w:rPr>
        <w:t xml:space="preserve"> </w:t>
      </w:r>
      <w:r>
        <w:rPr>
          <w:w w:val="105"/>
          <w:sz w:val="15"/>
        </w:rPr>
        <w:t>Estados</w:t>
      </w:r>
      <w:r>
        <w:rPr>
          <w:spacing w:val="-3"/>
          <w:w w:val="105"/>
          <w:sz w:val="15"/>
        </w:rPr>
        <w:t xml:space="preserve"> </w:t>
      </w:r>
      <w:r>
        <w:rPr>
          <w:w w:val="105"/>
          <w:sz w:val="15"/>
        </w:rPr>
        <w:t>establezcan</w:t>
      </w:r>
      <w:r>
        <w:rPr>
          <w:spacing w:val="-3"/>
          <w:w w:val="105"/>
          <w:sz w:val="15"/>
        </w:rPr>
        <w:t xml:space="preserve"> </w:t>
      </w:r>
      <w:r>
        <w:rPr>
          <w:w w:val="105"/>
          <w:sz w:val="15"/>
        </w:rPr>
        <w:t>“un</w:t>
      </w:r>
      <w:r>
        <w:rPr>
          <w:spacing w:val="-3"/>
          <w:w w:val="105"/>
          <w:sz w:val="15"/>
        </w:rPr>
        <w:t xml:space="preserve"> </w:t>
      </w:r>
      <w:r>
        <w:rPr>
          <w:w w:val="105"/>
          <w:sz w:val="15"/>
        </w:rPr>
        <w:t>órgano</w:t>
      </w:r>
      <w:r>
        <w:rPr>
          <w:spacing w:val="-3"/>
          <w:w w:val="105"/>
          <w:sz w:val="15"/>
        </w:rPr>
        <w:t xml:space="preserve"> </w:t>
      </w:r>
      <w:r>
        <w:rPr>
          <w:w w:val="105"/>
          <w:sz w:val="15"/>
        </w:rPr>
        <w:t>nacional</w:t>
      </w:r>
      <w:r>
        <w:rPr>
          <w:spacing w:val="-3"/>
          <w:w w:val="105"/>
          <w:sz w:val="15"/>
        </w:rPr>
        <w:t xml:space="preserve"> </w:t>
      </w:r>
      <w:r>
        <w:rPr>
          <w:w w:val="105"/>
          <w:sz w:val="15"/>
        </w:rPr>
        <w:t>independiente</w:t>
      </w:r>
      <w:r>
        <w:rPr>
          <w:spacing w:val="-3"/>
          <w:w w:val="105"/>
          <w:sz w:val="15"/>
        </w:rPr>
        <w:t xml:space="preserve"> </w:t>
      </w:r>
      <w:r>
        <w:rPr>
          <w:w w:val="105"/>
          <w:sz w:val="15"/>
        </w:rPr>
        <w:t>de</w:t>
      </w:r>
      <w:r>
        <w:rPr>
          <w:spacing w:val="-3"/>
          <w:w w:val="105"/>
          <w:sz w:val="15"/>
        </w:rPr>
        <w:t xml:space="preserve"> </w:t>
      </w:r>
      <w:r>
        <w:rPr>
          <w:w w:val="105"/>
          <w:sz w:val="15"/>
        </w:rPr>
        <w:t>igualdad”. monitorear</w:t>
      </w:r>
      <w:r>
        <w:rPr>
          <w:spacing w:val="-3"/>
          <w:w w:val="105"/>
          <w:sz w:val="15"/>
        </w:rPr>
        <w:t xml:space="preserve"> </w:t>
      </w:r>
      <w:r>
        <w:rPr>
          <w:w w:val="105"/>
          <w:sz w:val="15"/>
        </w:rPr>
        <w:t>e</w:t>
      </w:r>
      <w:r>
        <w:rPr>
          <w:spacing w:val="-3"/>
          <w:w w:val="105"/>
          <w:sz w:val="15"/>
        </w:rPr>
        <w:t xml:space="preserve"> </w:t>
      </w:r>
      <w:r>
        <w:rPr>
          <w:w w:val="105"/>
          <w:sz w:val="15"/>
        </w:rPr>
        <w:t>informar</w:t>
      </w:r>
      <w:r>
        <w:rPr>
          <w:spacing w:val="-3"/>
          <w:w w:val="105"/>
          <w:sz w:val="15"/>
        </w:rPr>
        <w:t xml:space="preserve"> </w:t>
      </w:r>
      <w:r>
        <w:rPr>
          <w:w w:val="105"/>
          <w:sz w:val="15"/>
        </w:rPr>
        <w:t>sobre</w:t>
      </w:r>
      <w:r>
        <w:rPr>
          <w:spacing w:val="-3"/>
          <w:w w:val="105"/>
          <w:sz w:val="15"/>
        </w:rPr>
        <w:t xml:space="preserve"> </w:t>
      </w:r>
      <w:r>
        <w:rPr>
          <w:w w:val="105"/>
          <w:sz w:val="15"/>
        </w:rPr>
        <w:t>cuestiones</w:t>
      </w:r>
      <w:r>
        <w:rPr>
          <w:spacing w:val="-3"/>
          <w:w w:val="105"/>
          <w:sz w:val="15"/>
        </w:rPr>
        <w:t xml:space="preserve"> </w:t>
      </w:r>
      <w:r>
        <w:rPr>
          <w:w w:val="105"/>
          <w:sz w:val="15"/>
        </w:rPr>
        <w:t>de</w:t>
      </w:r>
      <w:r>
        <w:rPr>
          <w:spacing w:val="-3"/>
          <w:w w:val="105"/>
          <w:sz w:val="15"/>
        </w:rPr>
        <w:t xml:space="preserve"> </w:t>
      </w:r>
      <w:r>
        <w:rPr>
          <w:w w:val="105"/>
          <w:sz w:val="15"/>
        </w:rPr>
        <w:t>discriminación...</w:t>
      </w:r>
      <w:r>
        <w:rPr>
          <w:spacing w:val="-2"/>
          <w:w w:val="105"/>
          <w:sz w:val="15"/>
        </w:rPr>
        <w:t xml:space="preserve"> </w:t>
      </w:r>
      <w:r>
        <w:rPr>
          <w:w w:val="105"/>
          <w:sz w:val="15"/>
        </w:rPr>
        <w:t>promover</w:t>
      </w:r>
      <w:r>
        <w:rPr>
          <w:spacing w:val="-3"/>
          <w:w w:val="105"/>
          <w:sz w:val="15"/>
        </w:rPr>
        <w:t xml:space="preserve"> </w:t>
      </w:r>
      <w:r>
        <w:rPr>
          <w:w w:val="105"/>
          <w:sz w:val="15"/>
        </w:rPr>
        <w:t>la</w:t>
      </w:r>
      <w:r>
        <w:rPr>
          <w:spacing w:val="-3"/>
          <w:w w:val="105"/>
          <w:sz w:val="15"/>
        </w:rPr>
        <w:t xml:space="preserve"> </w:t>
      </w:r>
      <w:r>
        <w:rPr>
          <w:w w:val="105"/>
          <w:sz w:val="15"/>
        </w:rPr>
        <w:t>igualdad</w:t>
      </w:r>
      <w:r>
        <w:rPr>
          <w:spacing w:val="-3"/>
          <w:w w:val="105"/>
          <w:sz w:val="15"/>
        </w:rPr>
        <w:t xml:space="preserve"> </w:t>
      </w:r>
      <w:r>
        <w:rPr>
          <w:w w:val="105"/>
          <w:sz w:val="15"/>
        </w:rPr>
        <w:t>y</w:t>
      </w:r>
      <w:r>
        <w:rPr>
          <w:spacing w:val="-3"/>
          <w:w w:val="105"/>
          <w:sz w:val="15"/>
        </w:rPr>
        <w:t xml:space="preserve"> </w:t>
      </w:r>
      <w:r>
        <w:rPr>
          <w:w w:val="105"/>
          <w:sz w:val="15"/>
        </w:rPr>
        <w:t>tratar</w:t>
      </w:r>
      <w:r>
        <w:rPr>
          <w:spacing w:val="-3"/>
          <w:w w:val="105"/>
          <w:sz w:val="15"/>
        </w:rPr>
        <w:t xml:space="preserve"> </w:t>
      </w:r>
      <w:r>
        <w:rPr>
          <w:w w:val="105"/>
          <w:sz w:val="15"/>
        </w:rPr>
        <w:t>las</w:t>
      </w:r>
      <w:r>
        <w:rPr>
          <w:spacing w:val="-3"/>
          <w:w w:val="105"/>
          <w:sz w:val="15"/>
        </w:rPr>
        <w:t xml:space="preserve"> </w:t>
      </w:r>
      <w:r>
        <w:rPr>
          <w:w w:val="105"/>
          <w:sz w:val="15"/>
        </w:rPr>
        <w:t>denuncias</w:t>
      </w:r>
      <w:r>
        <w:rPr>
          <w:spacing w:val="-3"/>
          <w:w w:val="105"/>
          <w:sz w:val="15"/>
        </w:rPr>
        <w:t xml:space="preserve"> </w:t>
      </w:r>
      <w:r>
        <w:rPr>
          <w:w w:val="105"/>
          <w:sz w:val="15"/>
        </w:rPr>
        <w:t>de</w:t>
      </w:r>
      <w:r>
        <w:rPr>
          <w:spacing w:val="-3"/>
          <w:w w:val="105"/>
          <w:sz w:val="15"/>
        </w:rPr>
        <w:t xml:space="preserve"> </w:t>
      </w:r>
      <w:r>
        <w:rPr>
          <w:w w:val="105"/>
          <w:sz w:val="15"/>
        </w:rPr>
        <w:t>discriminación</w:t>
      </w:r>
      <w:r>
        <w:rPr>
          <w:spacing w:val="-3"/>
          <w:w w:val="105"/>
          <w:sz w:val="15"/>
        </w:rPr>
        <w:t xml:space="preserve"> </w:t>
      </w:r>
      <w:r>
        <w:rPr>
          <w:w w:val="105"/>
          <w:sz w:val="15"/>
        </w:rPr>
        <w:t>de</w:t>
      </w:r>
      <w:r>
        <w:rPr>
          <w:spacing w:val="-3"/>
          <w:w w:val="105"/>
          <w:sz w:val="15"/>
        </w:rPr>
        <w:t xml:space="preserve"> </w:t>
      </w:r>
      <w:r>
        <w:rPr>
          <w:w w:val="105"/>
          <w:sz w:val="15"/>
        </w:rPr>
        <w:t>manera expedita”.714</w:t>
      </w:r>
      <w:r>
        <w:rPr>
          <w:spacing w:val="-9"/>
          <w:w w:val="105"/>
          <w:sz w:val="15"/>
        </w:rPr>
        <w:t xml:space="preserve"> </w:t>
      </w:r>
      <w:r>
        <w:rPr>
          <w:w w:val="105"/>
          <w:sz w:val="15"/>
        </w:rPr>
        <w:t>El</w:t>
      </w:r>
      <w:r>
        <w:rPr>
          <w:spacing w:val="-9"/>
          <w:w w:val="105"/>
          <w:sz w:val="15"/>
        </w:rPr>
        <w:t xml:space="preserve"> </w:t>
      </w:r>
      <w:r>
        <w:rPr>
          <w:w w:val="105"/>
          <w:sz w:val="15"/>
        </w:rPr>
        <w:t>Relator</w:t>
      </w:r>
      <w:r>
        <w:rPr>
          <w:spacing w:val="-9"/>
          <w:w w:val="105"/>
          <w:sz w:val="15"/>
        </w:rPr>
        <w:t xml:space="preserve"> </w:t>
      </w:r>
      <w:r>
        <w:rPr>
          <w:w w:val="105"/>
          <w:sz w:val="15"/>
        </w:rPr>
        <w:t>Especial</w:t>
      </w:r>
      <w:r>
        <w:rPr>
          <w:spacing w:val="-9"/>
          <w:w w:val="105"/>
          <w:sz w:val="15"/>
        </w:rPr>
        <w:t xml:space="preserve"> </w:t>
      </w:r>
      <w:r>
        <w:rPr>
          <w:w w:val="105"/>
          <w:sz w:val="15"/>
        </w:rPr>
        <w:t>sobre</w:t>
      </w:r>
      <w:r>
        <w:rPr>
          <w:spacing w:val="-9"/>
          <w:w w:val="105"/>
          <w:sz w:val="15"/>
        </w:rPr>
        <w:t xml:space="preserve"> </w:t>
      </w:r>
      <w:r>
        <w:rPr>
          <w:w w:val="105"/>
          <w:sz w:val="15"/>
        </w:rPr>
        <w:t>las</w:t>
      </w:r>
      <w:r>
        <w:rPr>
          <w:spacing w:val="-9"/>
          <w:w w:val="105"/>
          <w:sz w:val="15"/>
        </w:rPr>
        <w:t xml:space="preserve"> </w:t>
      </w:r>
      <w:r>
        <w:rPr>
          <w:w w:val="105"/>
          <w:sz w:val="15"/>
        </w:rPr>
        <w:t>formas</w:t>
      </w:r>
      <w:r>
        <w:rPr>
          <w:spacing w:val="-9"/>
          <w:w w:val="105"/>
          <w:sz w:val="15"/>
        </w:rPr>
        <w:t xml:space="preserve"> </w:t>
      </w:r>
      <w:r>
        <w:rPr>
          <w:w w:val="105"/>
          <w:sz w:val="15"/>
        </w:rPr>
        <w:t>contemporáneas</w:t>
      </w:r>
      <w:r>
        <w:rPr>
          <w:spacing w:val="-9"/>
          <w:w w:val="105"/>
          <w:sz w:val="15"/>
        </w:rPr>
        <w:t xml:space="preserve"> </w:t>
      </w:r>
      <w:r>
        <w:rPr>
          <w:w w:val="105"/>
          <w:sz w:val="15"/>
        </w:rPr>
        <w:t>de</w:t>
      </w:r>
      <w:r>
        <w:rPr>
          <w:spacing w:val="-9"/>
          <w:w w:val="105"/>
          <w:sz w:val="15"/>
        </w:rPr>
        <w:t xml:space="preserve"> </w:t>
      </w:r>
      <w:r>
        <w:rPr>
          <w:w w:val="105"/>
          <w:sz w:val="15"/>
        </w:rPr>
        <w:t>racismo,</w:t>
      </w:r>
      <w:r>
        <w:rPr>
          <w:spacing w:val="-8"/>
          <w:w w:val="105"/>
          <w:sz w:val="15"/>
        </w:rPr>
        <w:t xml:space="preserve"> </w:t>
      </w:r>
      <w:r>
        <w:rPr>
          <w:w w:val="105"/>
          <w:sz w:val="15"/>
        </w:rPr>
        <w:t>discriminación</w:t>
      </w:r>
      <w:r>
        <w:rPr>
          <w:spacing w:val="-9"/>
          <w:w w:val="105"/>
          <w:sz w:val="15"/>
        </w:rPr>
        <w:t xml:space="preserve"> </w:t>
      </w:r>
      <w:r>
        <w:rPr>
          <w:w w:val="105"/>
          <w:sz w:val="15"/>
        </w:rPr>
        <w:t>racial,</w:t>
      </w:r>
      <w:r>
        <w:rPr>
          <w:spacing w:val="-8"/>
          <w:w w:val="105"/>
          <w:sz w:val="15"/>
        </w:rPr>
        <w:t xml:space="preserve"> </w:t>
      </w:r>
      <w:r>
        <w:rPr>
          <w:w w:val="105"/>
          <w:sz w:val="15"/>
        </w:rPr>
        <w:t>xenofobia</w:t>
      </w:r>
      <w:r>
        <w:rPr>
          <w:spacing w:val="-9"/>
          <w:w w:val="105"/>
          <w:sz w:val="15"/>
        </w:rPr>
        <w:t xml:space="preserve"> </w:t>
      </w:r>
      <w:r>
        <w:rPr>
          <w:w w:val="105"/>
          <w:sz w:val="15"/>
        </w:rPr>
        <w:t>y</w:t>
      </w:r>
      <w:r>
        <w:rPr>
          <w:spacing w:val="-9"/>
          <w:w w:val="105"/>
          <w:sz w:val="15"/>
        </w:rPr>
        <w:t xml:space="preserve"> </w:t>
      </w:r>
      <w:r>
        <w:rPr>
          <w:w w:val="105"/>
          <w:sz w:val="15"/>
        </w:rPr>
        <w:t>formas</w:t>
      </w:r>
      <w:r>
        <w:rPr>
          <w:spacing w:val="-9"/>
          <w:w w:val="105"/>
          <w:sz w:val="15"/>
        </w:rPr>
        <w:t xml:space="preserve"> </w:t>
      </w:r>
      <w:r>
        <w:rPr>
          <w:w w:val="105"/>
          <w:sz w:val="15"/>
        </w:rPr>
        <w:t>conexas</w:t>
      </w:r>
      <w:r>
        <w:rPr>
          <w:spacing w:val="-9"/>
          <w:w w:val="105"/>
          <w:sz w:val="15"/>
        </w:rPr>
        <w:t xml:space="preserve"> </w:t>
      </w:r>
      <w:r>
        <w:rPr>
          <w:w w:val="105"/>
          <w:sz w:val="15"/>
        </w:rPr>
        <w:t>de intolerancia</w:t>
      </w:r>
      <w:r>
        <w:rPr>
          <w:spacing w:val="-4"/>
          <w:w w:val="105"/>
          <w:sz w:val="15"/>
        </w:rPr>
        <w:t xml:space="preserve"> </w:t>
      </w:r>
      <w:r>
        <w:rPr>
          <w:w w:val="105"/>
          <w:sz w:val="15"/>
        </w:rPr>
        <w:t>también</w:t>
      </w:r>
      <w:r>
        <w:rPr>
          <w:spacing w:val="-4"/>
          <w:w w:val="105"/>
          <w:sz w:val="15"/>
        </w:rPr>
        <w:t xml:space="preserve"> </w:t>
      </w:r>
      <w:r>
        <w:rPr>
          <w:w w:val="105"/>
          <w:sz w:val="15"/>
        </w:rPr>
        <w:t>ha</w:t>
      </w:r>
      <w:r>
        <w:rPr>
          <w:spacing w:val="-4"/>
          <w:w w:val="105"/>
          <w:sz w:val="15"/>
        </w:rPr>
        <w:t xml:space="preserve"> </w:t>
      </w:r>
      <w:r>
        <w:rPr>
          <w:w w:val="105"/>
          <w:sz w:val="15"/>
        </w:rPr>
        <w:t>explorado</w:t>
      </w:r>
      <w:r>
        <w:rPr>
          <w:spacing w:val="-4"/>
          <w:w w:val="105"/>
          <w:sz w:val="15"/>
        </w:rPr>
        <w:t xml:space="preserve"> </w:t>
      </w:r>
      <w:r>
        <w:rPr>
          <w:w w:val="105"/>
          <w:sz w:val="15"/>
        </w:rPr>
        <w:t>recientemente</w:t>
      </w:r>
      <w:r>
        <w:rPr>
          <w:spacing w:val="-4"/>
          <w:w w:val="105"/>
          <w:sz w:val="15"/>
        </w:rPr>
        <w:t xml:space="preserve"> </w:t>
      </w:r>
      <w:r>
        <w:rPr>
          <w:w w:val="105"/>
          <w:sz w:val="15"/>
        </w:rPr>
        <w:t>el</w:t>
      </w:r>
      <w:r>
        <w:rPr>
          <w:spacing w:val="-4"/>
          <w:w w:val="105"/>
          <w:sz w:val="15"/>
        </w:rPr>
        <w:t xml:space="preserve"> </w:t>
      </w:r>
      <w:r>
        <w:rPr>
          <w:w w:val="105"/>
          <w:sz w:val="15"/>
        </w:rPr>
        <w:t>papel</w:t>
      </w:r>
      <w:r>
        <w:rPr>
          <w:spacing w:val="-4"/>
          <w:w w:val="105"/>
          <w:sz w:val="15"/>
        </w:rPr>
        <w:t xml:space="preserve"> </w:t>
      </w:r>
      <w:r>
        <w:rPr>
          <w:w w:val="105"/>
          <w:sz w:val="15"/>
        </w:rPr>
        <w:t>de</w:t>
      </w:r>
      <w:r>
        <w:rPr>
          <w:spacing w:val="-4"/>
          <w:w w:val="105"/>
          <w:sz w:val="15"/>
        </w:rPr>
        <w:t xml:space="preserve"> </w:t>
      </w:r>
      <w:r>
        <w:rPr>
          <w:w w:val="105"/>
          <w:sz w:val="15"/>
        </w:rPr>
        <w:t>los</w:t>
      </w:r>
      <w:r>
        <w:rPr>
          <w:spacing w:val="-4"/>
          <w:w w:val="105"/>
          <w:sz w:val="15"/>
        </w:rPr>
        <w:t xml:space="preserve"> </w:t>
      </w:r>
      <w:r>
        <w:rPr>
          <w:w w:val="105"/>
          <w:sz w:val="15"/>
        </w:rPr>
        <w:t>órganos</w:t>
      </w:r>
      <w:r>
        <w:rPr>
          <w:spacing w:val="-4"/>
          <w:w w:val="105"/>
          <w:sz w:val="15"/>
        </w:rPr>
        <w:t xml:space="preserve"> </w:t>
      </w:r>
      <w:r>
        <w:rPr>
          <w:w w:val="105"/>
          <w:sz w:val="15"/>
        </w:rPr>
        <w:t>de</w:t>
      </w:r>
      <w:r>
        <w:rPr>
          <w:spacing w:val="-4"/>
          <w:w w:val="105"/>
          <w:sz w:val="15"/>
        </w:rPr>
        <w:t xml:space="preserve"> </w:t>
      </w:r>
      <w:r>
        <w:rPr>
          <w:w w:val="105"/>
          <w:sz w:val="15"/>
        </w:rPr>
        <w:t>igualdad</w:t>
      </w:r>
      <w:r>
        <w:rPr>
          <w:spacing w:val="-4"/>
          <w:w w:val="105"/>
          <w:sz w:val="15"/>
        </w:rPr>
        <w:t xml:space="preserve"> </w:t>
      </w:r>
      <w:r>
        <w:rPr>
          <w:w w:val="105"/>
          <w:sz w:val="15"/>
        </w:rPr>
        <w:t>al</w:t>
      </w:r>
      <w:r>
        <w:rPr>
          <w:spacing w:val="-4"/>
          <w:w w:val="105"/>
          <w:sz w:val="15"/>
        </w:rPr>
        <w:t xml:space="preserve"> </w:t>
      </w:r>
      <w:r>
        <w:rPr>
          <w:w w:val="105"/>
          <w:sz w:val="15"/>
        </w:rPr>
        <w:t>abordar</w:t>
      </w:r>
      <w:r>
        <w:rPr>
          <w:spacing w:val="-4"/>
          <w:w w:val="105"/>
          <w:sz w:val="15"/>
        </w:rPr>
        <w:t xml:space="preserve"> </w:t>
      </w:r>
      <w:r>
        <w:rPr>
          <w:w w:val="105"/>
          <w:sz w:val="15"/>
        </w:rPr>
        <w:t>discriminación</w:t>
      </w:r>
      <w:r>
        <w:rPr>
          <w:spacing w:val="-4"/>
          <w:w w:val="105"/>
          <w:sz w:val="15"/>
        </w:rPr>
        <w:t xml:space="preserve"> </w:t>
      </w:r>
      <w:r>
        <w:rPr>
          <w:w w:val="105"/>
          <w:sz w:val="15"/>
        </w:rPr>
        <w:t>racial</w:t>
      </w:r>
      <w:r>
        <w:rPr>
          <w:spacing w:val="-4"/>
          <w:w w:val="105"/>
          <w:sz w:val="15"/>
        </w:rPr>
        <w:t xml:space="preserve"> </w:t>
      </w:r>
      <w:r>
        <w:rPr>
          <w:w w:val="105"/>
          <w:sz w:val="15"/>
        </w:rPr>
        <w:t>como</w:t>
      </w:r>
      <w:r>
        <w:rPr>
          <w:spacing w:val="-4"/>
          <w:w w:val="105"/>
          <w:sz w:val="15"/>
        </w:rPr>
        <w:t xml:space="preserve"> </w:t>
      </w:r>
      <w:r>
        <w:rPr>
          <w:w w:val="105"/>
          <w:sz w:val="15"/>
        </w:rPr>
        <w:t>parte</w:t>
      </w:r>
      <w:r>
        <w:rPr>
          <w:spacing w:val="-4"/>
          <w:w w:val="105"/>
          <w:sz w:val="15"/>
        </w:rPr>
        <w:t xml:space="preserve"> </w:t>
      </w:r>
      <w:r>
        <w:rPr>
          <w:w w:val="105"/>
          <w:sz w:val="15"/>
        </w:rPr>
        <w:t>del mandato temático.715</w:t>
      </w:r>
    </w:p>
    <w:p w14:paraId="69D4E018" w14:textId="77777777" w:rsidR="0014798C" w:rsidRDefault="004E1F0B">
      <w:pPr>
        <w:spacing w:before="168" w:line="348" w:lineRule="auto"/>
        <w:ind w:left="1112" w:right="1272" w:hanging="9"/>
        <w:rPr>
          <w:sz w:val="15"/>
        </w:rPr>
      </w:pPr>
      <w:r>
        <w:rPr>
          <w:w w:val="105"/>
          <w:sz w:val="15"/>
        </w:rPr>
        <w:t>Si</w:t>
      </w:r>
      <w:r>
        <w:rPr>
          <w:spacing w:val="-8"/>
          <w:w w:val="105"/>
          <w:sz w:val="15"/>
        </w:rPr>
        <w:t xml:space="preserve"> </w:t>
      </w:r>
      <w:r>
        <w:rPr>
          <w:w w:val="105"/>
          <w:sz w:val="15"/>
        </w:rPr>
        <w:t>bien</w:t>
      </w:r>
      <w:r>
        <w:rPr>
          <w:spacing w:val="-8"/>
          <w:w w:val="105"/>
          <w:sz w:val="15"/>
        </w:rPr>
        <w:t xml:space="preserve"> </w:t>
      </w:r>
      <w:r>
        <w:rPr>
          <w:w w:val="105"/>
          <w:sz w:val="15"/>
        </w:rPr>
        <w:t>el</w:t>
      </w:r>
      <w:r>
        <w:rPr>
          <w:spacing w:val="-8"/>
          <w:w w:val="105"/>
          <w:sz w:val="15"/>
        </w:rPr>
        <w:t xml:space="preserve"> </w:t>
      </w:r>
      <w:r>
        <w:rPr>
          <w:w w:val="105"/>
          <w:sz w:val="15"/>
        </w:rPr>
        <w:t>derecho</w:t>
      </w:r>
      <w:r>
        <w:rPr>
          <w:spacing w:val="-8"/>
          <w:w w:val="105"/>
          <w:sz w:val="15"/>
        </w:rPr>
        <w:t xml:space="preserve"> </w:t>
      </w:r>
      <w:r>
        <w:rPr>
          <w:w w:val="105"/>
          <w:sz w:val="15"/>
        </w:rPr>
        <w:t>internacional</w:t>
      </w:r>
      <w:r>
        <w:rPr>
          <w:spacing w:val="-8"/>
          <w:w w:val="105"/>
          <w:sz w:val="15"/>
        </w:rPr>
        <w:t xml:space="preserve"> </w:t>
      </w:r>
      <w:r>
        <w:rPr>
          <w:w w:val="105"/>
          <w:sz w:val="15"/>
        </w:rPr>
        <w:t>otorga</w:t>
      </w:r>
      <w:r>
        <w:rPr>
          <w:spacing w:val="-8"/>
          <w:w w:val="105"/>
          <w:sz w:val="15"/>
        </w:rPr>
        <w:t xml:space="preserve"> </w:t>
      </w:r>
      <w:r>
        <w:rPr>
          <w:w w:val="105"/>
          <w:sz w:val="15"/>
        </w:rPr>
        <w:t>una</w:t>
      </w:r>
      <w:r>
        <w:rPr>
          <w:spacing w:val="-8"/>
          <w:w w:val="105"/>
          <w:sz w:val="15"/>
        </w:rPr>
        <w:t xml:space="preserve"> </w:t>
      </w:r>
      <w:r>
        <w:rPr>
          <w:w w:val="105"/>
          <w:sz w:val="15"/>
        </w:rPr>
        <w:t>discrecionalidad</w:t>
      </w:r>
      <w:r>
        <w:rPr>
          <w:spacing w:val="-8"/>
          <w:w w:val="105"/>
          <w:sz w:val="15"/>
        </w:rPr>
        <w:t xml:space="preserve"> </w:t>
      </w:r>
      <w:r>
        <w:rPr>
          <w:w w:val="105"/>
          <w:sz w:val="15"/>
        </w:rPr>
        <w:t>significativa</w:t>
      </w:r>
      <w:r>
        <w:rPr>
          <w:spacing w:val="-8"/>
          <w:w w:val="105"/>
          <w:sz w:val="15"/>
        </w:rPr>
        <w:t xml:space="preserve"> </w:t>
      </w:r>
      <w:r>
        <w:rPr>
          <w:w w:val="105"/>
          <w:sz w:val="15"/>
        </w:rPr>
        <w:t>a</w:t>
      </w:r>
      <w:r>
        <w:rPr>
          <w:spacing w:val="-8"/>
          <w:w w:val="105"/>
          <w:sz w:val="15"/>
        </w:rPr>
        <w:t xml:space="preserve"> </w:t>
      </w:r>
      <w:r>
        <w:rPr>
          <w:w w:val="105"/>
          <w:sz w:val="15"/>
        </w:rPr>
        <w:t>los</w:t>
      </w:r>
      <w:r>
        <w:rPr>
          <w:spacing w:val="-8"/>
          <w:w w:val="105"/>
          <w:sz w:val="15"/>
        </w:rPr>
        <w:t xml:space="preserve"> </w:t>
      </w:r>
      <w:r>
        <w:rPr>
          <w:w w:val="105"/>
          <w:sz w:val="15"/>
        </w:rPr>
        <w:t>Estados</w:t>
      </w:r>
      <w:r>
        <w:rPr>
          <w:spacing w:val="-8"/>
          <w:w w:val="105"/>
          <w:sz w:val="15"/>
        </w:rPr>
        <w:t xml:space="preserve"> </w:t>
      </w:r>
      <w:r>
        <w:rPr>
          <w:w w:val="105"/>
          <w:sz w:val="15"/>
        </w:rPr>
        <w:t>sobre</w:t>
      </w:r>
      <w:r>
        <w:rPr>
          <w:spacing w:val="-8"/>
          <w:w w:val="105"/>
          <w:sz w:val="15"/>
        </w:rPr>
        <w:t xml:space="preserve"> </w:t>
      </w:r>
      <w:r>
        <w:rPr>
          <w:w w:val="105"/>
          <w:sz w:val="15"/>
        </w:rPr>
        <w:t>la</w:t>
      </w:r>
      <w:r>
        <w:rPr>
          <w:spacing w:val="-8"/>
          <w:w w:val="105"/>
          <w:sz w:val="15"/>
        </w:rPr>
        <w:t xml:space="preserve"> </w:t>
      </w:r>
      <w:r>
        <w:rPr>
          <w:w w:val="105"/>
          <w:sz w:val="15"/>
        </w:rPr>
        <w:t>forma,</w:t>
      </w:r>
      <w:r>
        <w:rPr>
          <w:spacing w:val="-8"/>
          <w:w w:val="105"/>
          <w:sz w:val="15"/>
        </w:rPr>
        <w:t xml:space="preserve"> </w:t>
      </w:r>
      <w:r>
        <w:rPr>
          <w:w w:val="105"/>
          <w:sz w:val="15"/>
        </w:rPr>
        <w:t>estructura</w:t>
      </w:r>
      <w:r>
        <w:rPr>
          <w:spacing w:val="-8"/>
          <w:w w:val="105"/>
          <w:sz w:val="15"/>
        </w:rPr>
        <w:t xml:space="preserve"> </w:t>
      </w:r>
      <w:r>
        <w:rPr>
          <w:w w:val="105"/>
          <w:sz w:val="15"/>
        </w:rPr>
        <w:t>y</w:t>
      </w:r>
      <w:r>
        <w:rPr>
          <w:spacing w:val="-8"/>
          <w:w w:val="105"/>
          <w:sz w:val="15"/>
        </w:rPr>
        <w:t xml:space="preserve"> </w:t>
      </w:r>
      <w:r>
        <w:rPr>
          <w:w w:val="105"/>
          <w:sz w:val="15"/>
        </w:rPr>
        <w:t>mandato</w:t>
      </w:r>
      <w:r>
        <w:rPr>
          <w:spacing w:val="-8"/>
          <w:w w:val="105"/>
          <w:sz w:val="15"/>
        </w:rPr>
        <w:t xml:space="preserve"> </w:t>
      </w:r>
      <w:r>
        <w:rPr>
          <w:w w:val="105"/>
          <w:sz w:val="15"/>
        </w:rPr>
        <w:t>de</w:t>
      </w:r>
      <w:r>
        <w:rPr>
          <w:spacing w:val="-8"/>
          <w:w w:val="105"/>
          <w:sz w:val="15"/>
        </w:rPr>
        <w:t xml:space="preserve"> </w:t>
      </w:r>
      <w:r>
        <w:rPr>
          <w:w w:val="105"/>
          <w:sz w:val="15"/>
        </w:rPr>
        <w:t>los órganos</w:t>
      </w:r>
      <w:r>
        <w:rPr>
          <w:spacing w:val="-3"/>
          <w:w w:val="105"/>
          <w:sz w:val="15"/>
        </w:rPr>
        <w:t xml:space="preserve"> </w:t>
      </w:r>
      <w:r>
        <w:rPr>
          <w:w w:val="105"/>
          <w:sz w:val="15"/>
        </w:rPr>
        <w:t>de</w:t>
      </w:r>
      <w:r>
        <w:rPr>
          <w:spacing w:val="-3"/>
          <w:w w:val="105"/>
          <w:sz w:val="15"/>
        </w:rPr>
        <w:t xml:space="preserve"> </w:t>
      </w:r>
      <w:r>
        <w:rPr>
          <w:w w:val="105"/>
          <w:sz w:val="15"/>
        </w:rPr>
        <w:t>igualdad,</w:t>
      </w:r>
      <w:r>
        <w:rPr>
          <w:spacing w:val="-2"/>
          <w:w w:val="105"/>
          <w:sz w:val="15"/>
        </w:rPr>
        <w:t xml:space="preserve"> </w:t>
      </w:r>
      <w:r>
        <w:rPr>
          <w:w w:val="105"/>
          <w:sz w:val="15"/>
        </w:rPr>
        <w:t>se</w:t>
      </w:r>
      <w:r>
        <w:rPr>
          <w:spacing w:val="-3"/>
          <w:w w:val="105"/>
          <w:sz w:val="15"/>
        </w:rPr>
        <w:t xml:space="preserve"> </w:t>
      </w:r>
      <w:r>
        <w:rPr>
          <w:w w:val="105"/>
          <w:sz w:val="15"/>
        </w:rPr>
        <w:t>han</w:t>
      </w:r>
      <w:r>
        <w:rPr>
          <w:spacing w:val="-3"/>
          <w:w w:val="105"/>
          <w:sz w:val="15"/>
        </w:rPr>
        <w:t xml:space="preserve"> </w:t>
      </w:r>
      <w:r>
        <w:rPr>
          <w:w w:val="105"/>
          <w:sz w:val="15"/>
        </w:rPr>
        <w:t>desarrollado</w:t>
      </w:r>
      <w:r>
        <w:rPr>
          <w:spacing w:val="-3"/>
          <w:w w:val="105"/>
          <w:sz w:val="15"/>
        </w:rPr>
        <w:t xml:space="preserve"> </w:t>
      </w:r>
      <w:r>
        <w:rPr>
          <w:w w:val="105"/>
          <w:sz w:val="15"/>
        </w:rPr>
        <w:t>buenas</w:t>
      </w:r>
      <w:r>
        <w:rPr>
          <w:spacing w:val="-3"/>
          <w:w w:val="105"/>
          <w:sz w:val="15"/>
        </w:rPr>
        <w:t xml:space="preserve"> </w:t>
      </w:r>
      <w:r>
        <w:rPr>
          <w:w w:val="105"/>
          <w:sz w:val="15"/>
        </w:rPr>
        <w:t>prácticas</w:t>
      </w:r>
      <w:r>
        <w:rPr>
          <w:spacing w:val="-3"/>
          <w:w w:val="105"/>
          <w:sz w:val="15"/>
        </w:rPr>
        <w:t xml:space="preserve"> </w:t>
      </w:r>
      <w:r>
        <w:rPr>
          <w:w w:val="105"/>
          <w:sz w:val="15"/>
        </w:rPr>
        <w:t>a</w:t>
      </w:r>
      <w:r>
        <w:rPr>
          <w:spacing w:val="-3"/>
          <w:w w:val="105"/>
          <w:sz w:val="15"/>
        </w:rPr>
        <w:t xml:space="preserve"> </w:t>
      </w:r>
      <w:r>
        <w:rPr>
          <w:w w:val="105"/>
          <w:sz w:val="15"/>
        </w:rPr>
        <w:t>nivel</w:t>
      </w:r>
      <w:r>
        <w:rPr>
          <w:spacing w:val="-3"/>
          <w:w w:val="105"/>
          <w:sz w:val="15"/>
        </w:rPr>
        <w:t xml:space="preserve"> </w:t>
      </w:r>
      <w:r>
        <w:rPr>
          <w:w w:val="105"/>
          <w:sz w:val="15"/>
        </w:rPr>
        <w:t>regional,</w:t>
      </w:r>
      <w:r>
        <w:rPr>
          <w:spacing w:val="-2"/>
          <w:w w:val="105"/>
          <w:sz w:val="15"/>
        </w:rPr>
        <w:t xml:space="preserve"> </w:t>
      </w:r>
      <w:r>
        <w:rPr>
          <w:w w:val="105"/>
          <w:sz w:val="15"/>
        </w:rPr>
        <w:t>particularmente</w:t>
      </w:r>
      <w:r>
        <w:rPr>
          <w:spacing w:val="-3"/>
          <w:w w:val="105"/>
          <w:sz w:val="15"/>
        </w:rPr>
        <w:t xml:space="preserve"> </w:t>
      </w:r>
      <w:r>
        <w:rPr>
          <w:w w:val="105"/>
          <w:sz w:val="15"/>
        </w:rPr>
        <w:t>en</w:t>
      </w:r>
      <w:r>
        <w:rPr>
          <w:spacing w:val="-3"/>
          <w:w w:val="105"/>
          <w:sz w:val="15"/>
        </w:rPr>
        <w:t xml:space="preserve"> </w:t>
      </w:r>
      <w:r>
        <w:rPr>
          <w:w w:val="105"/>
          <w:sz w:val="15"/>
        </w:rPr>
        <w:t>Europa.</w:t>
      </w:r>
      <w:r>
        <w:rPr>
          <w:spacing w:val="-3"/>
          <w:w w:val="105"/>
          <w:sz w:val="15"/>
        </w:rPr>
        <w:t xml:space="preserve"> </w:t>
      </w:r>
      <w:r>
        <w:rPr>
          <w:w w:val="105"/>
          <w:sz w:val="15"/>
        </w:rPr>
        <w:t>Desde</w:t>
      </w:r>
      <w:r>
        <w:rPr>
          <w:spacing w:val="-3"/>
          <w:w w:val="105"/>
          <w:sz w:val="15"/>
        </w:rPr>
        <w:t xml:space="preserve"> </w:t>
      </w:r>
      <w:r>
        <w:rPr>
          <w:w w:val="105"/>
          <w:sz w:val="15"/>
        </w:rPr>
        <w:t>el</w:t>
      </w:r>
      <w:r>
        <w:rPr>
          <w:spacing w:val="-3"/>
          <w:w w:val="105"/>
          <w:sz w:val="15"/>
        </w:rPr>
        <w:t xml:space="preserve"> </w:t>
      </w:r>
      <w:r>
        <w:rPr>
          <w:w w:val="105"/>
          <w:sz w:val="15"/>
        </w:rPr>
        <w:t>año</w:t>
      </w:r>
      <w:r>
        <w:rPr>
          <w:spacing w:val="-3"/>
          <w:w w:val="105"/>
          <w:sz w:val="15"/>
        </w:rPr>
        <w:t xml:space="preserve"> </w:t>
      </w:r>
      <w:r>
        <w:rPr>
          <w:w w:val="105"/>
          <w:sz w:val="15"/>
        </w:rPr>
        <w:t>2000,</w:t>
      </w:r>
      <w:r>
        <w:rPr>
          <w:spacing w:val="-3"/>
          <w:w w:val="105"/>
          <w:sz w:val="15"/>
        </w:rPr>
        <w:t xml:space="preserve"> </w:t>
      </w:r>
      <w:r>
        <w:rPr>
          <w:w w:val="105"/>
          <w:sz w:val="15"/>
        </w:rPr>
        <w:t>la</w:t>
      </w:r>
    </w:p>
    <w:p w14:paraId="26A5D781" w14:textId="77777777" w:rsidR="0014798C" w:rsidRDefault="004E1F0B">
      <w:pPr>
        <w:spacing w:line="172" w:lineRule="exact"/>
        <w:ind w:left="1109"/>
        <w:rPr>
          <w:sz w:val="15"/>
        </w:rPr>
      </w:pPr>
      <w:r>
        <w:rPr>
          <w:w w:val="105"/>
          <w:sz w:val="15"/>
        </w:rPr>
        <w:t>legislación</w:t>
      </w:r>
      <w:r>
        <w:rPr>
          <w:spacing w:val="-11"/>
          <w:w w:val="105"/>
          <w:sz w:val="15"/>
        </w:rPr>
        <w:t xml:space="preserve"> </w:t>
      </w:r>
      <w:r>
        <w:rPr>
          <w:w w:val="105"/>
          <w:sz w:val="15"/>
        </w:rPr>
        <w:t>de</w:t>
      </w:r>
      <w:r>
        <w:rPr>
          <w:spacing w:val="-10"/>
          <w:w w:val="105"/>
          <w:sz w:val="15"/>
        </w:rPr>
        <w:t xml:space="preserve"> </w:t>
      </w:r>
      <w:r>
        <w:rPr>
          <w:w w:val="105"/>
          <w:sz w:val="15"/>
        </w:rPr>
        <w:t>la</w:t>
      </w:r>
      <w:r>
        <w:rPr>
          <w:spacing w:val="-10"/>
          <w:w w:val="105"/>
          <w:sz w:val="15"/>
        </w:rPr>
        <w:t xml:space="preserve"> </w:t>
      </w:r>
      <w:r>
        <w:rPr>
          <w:w w:val="105"/>
          <w:sz w:val="15"/>
        </w:rPr>
        <w:t>Unión</w:t>
      </w:r>
      <w:r>
        <w:rPr>
          <w:spacing w:val="-11"/>
          <w:w w:val="105"/>
          <w:sz w:val="15"/>
        </w:rPr>
        <w:t xml:space="preserve"> </w:t>
      </w:r>
      <w:r>
        <w:rPr>
          <w:w w:val="105"/>
          <w:sz w:val="15"/>
        </w:rPr>
        <w:t>Europea</w:t>
      </w:r>
      <w:r>
        <w:rPr>
          <w:spacing w:val="-10"/>
          <w:w w:val="105"/>
          <w:sz w:val="15"/>
        </w:rPr>
        <w:t xml:space="preserve"> </w:t>
      </w:r>
      <w:r>
        <w:rPr>
          <w:w w:val="105"/>
          <w:sz w:val="15"/>
        </w:rPr>
        <w:t>ha</w:t>
      </w:r>
      <w:r>
        <w:rPr>
          <w:spacing w:val="-10"/>
          <w:w w:val="105"/>
          <w:sz w:val="15"/>
        </w:rPr>
        <w:t xml:space="preserve"> </w:t>
      </w:r>
      <w:r>
        <w:rPr>
          <w:w w:val="105"/>
          <w:sz w:val="15"/>
        </w:rPr>
        <w:t>impuesto</w:t>
      </w:r>
      <w:r>
        <w:rPr>
          <w:spacing w:val="-10"/>
          <w:w w:val="105"/>
          <w:sz w:val="15"/>
        </w:rPr>
        <w:t xml:space="preserve"> </w:t>
      </w:r>
      <w:r>
        <w:rPr>
          <w:w w:val="105"/>
          <w:sz w:val="15"/>
        </w:rPr>
        <w:t>a</w:t>
      </w:r>
      <w:r>
        <w:rPr>
          <w:spacing w:val="-11"/>
          <w:w w:val="105"/>
          <w:sz w:val="15"/>
        </w:rPr>
        <w:t xml:space="preserve"> </w:t>
      </w:r>
      <w:r>
        <w:rPr>
          <w:w w:val="105"/>
          <w:sz w:val="15"/>
        </w:rPr>
        <w:t>los</w:t>
      </w:r>
      <w:r>
        <w:rPr>
          <w:spacing w:val="-10"/>
          <w:w w:val="105"/>
          <w:sz w:val="15"/>
        </w:rPr>
        <w:t xml:space="preserve"> </w:t>
      </w:r>
      <w:r>
        <w:rPr>
          <w:w w:val="105"/>
          <w:sz w:val="15"/>
        </w:rPr>
        <w:t>Estados</w:t>
      </w:r>
      <w:r>
        <w:rPr>
          <w:spacing w:val="-10"/>
          <w:w w:val="105"/>
          <w:sz w:val="15"/>
        </w:rPr>
        <w:t xml:space="preserve"> </w:t>
      </w:r>
      <w:r>
        <w:rPr>
          <w:w w:val="105"/>
          <w:sz w:val="15"/>
        </w:rPr>
        <w:t>miembros</w:t>
      </w:r>
      <w:r>
        <w:rPr>
          <w:spacing w:val="-10"/>
          <w:w w:val="105"/>
          <w:sz w:val="15"/>
        </w:rPr>
        <w:t xml:space="preserve"> </w:t>
      </w:r>
      <w:r>
        <w:rPr>
          <w:w w:val="105"/>
          <w:sz w:val="15"/>
        </w:rPr>
        <w:t>de</w:t>
      </w:r>
      <w:r>
        <w:rPr>
          <w:spacing w:val="-11"/>
          <w:w w:val="105"/>
          <w:sz w:val="15"/>
        </w:rPr>
        <w:t xml:space="preserve"> </w:t>
      </w:r>
      <w:r>
        <w:rPr>
          <w:w w:val="105"/>
          <w:sz w:val="15"/>
        </w:rPr>
        <w:t>la</w:t>
      </w:r>
      <w:r>
        <w:rPr>
          <w:spacing w:val="-10"/>
          <w:w w:val="105"/>
          <w:sz w:val="15"/>
        </w:rPr>
        <w:t xml:space="preserve"> </w:t>
      </w:r>
      <w:r>
        <w:rPr>
          <w:w w:val="105"/>
          <w:sz w:val="15"/>
        </w:rPr>
        <w:t>Unión</w:t>
      </w:r>
      <w:r>
        <w:rPr>
          <w:spacing w:val="-10"/>
          <w:w w:val="105"/>
          <w:sz w:val="15"/>
        </w:rPr>
        <w:t xml:space="preserve"> </w:t>
      </w:r>
      <w:r>
        <w:rPr>
          <w:w w:val="105"/>
          <w:sz w:val="15"/>
        </w:rPr>
        <w:t>Europea</w:t>
      </w:r>
      <w:r>
        <w:rPr>
          <w:spacing w:val="-11"/>
          <w:w w:val="105"/>
          <w:sz w:val="15"/>
        </w:rPr>
        <w:t xml:space="preserve"> </w:t>
      </w:r>
      <w:r>
        <w:rPr>
          <w:w w:val="105"/>
          <w:sz w:val="15"/>
        </w:rPr>
        <w:t>y</w:t>
      </w:r>
      <w:r>
        <w:rPr>
          <w:spacing w:val="-10"/>
          <w:w w:val="105"/>
          <w:sz w:val="15"/>
        </w:rPr>
        <w:t xml:space="preserve"> </w:t>
      </w:r>
      <w:r>
        <w:rPr>
          <w:w w:val="105"/>
          <w:sz w:val="15"/>
        </w:rPr>
        <w:t>a</w:t>
      </w:r>
      <w:r>
        <w:rPr>
          <w:spacing w:val="-10"/>
          <w:w w:val="105"/>
          <w:sz w:val="15"/>
        </w:rPr>
        <w:t xml:space="preserve"> </w:t>
      </w:r>
      <w:r>
        <w:rPr>
          <w:w w:val="105"/>
          <w:sz w:val="15"/>
        </w:rPr>
        <w:t>los</w:t>
      </w:r>
      <w:r>
        <w:rPr>
          <w:spacing w:val="-10"/>
          <w:w w:val="105"/>
          <w:sz w:val="15"/>
        </w:rPr>
        <w:t xml:space="preserve"> </w:t>
      </w:r>
      <w:r>
        <w:rPr>
          <w:w w:val="105"/>
          <w:sz w:val="15"/>
        </w:rPr>
        <w:t>países</w:t>
      </w:r>
      <w:r>
        <w:rPr>
          <w:spacing w:val="-11"/>
          <w:w w:val="105"/>
          <w:sz w:val="15"/>
        </w:rPr>
        <w:t xml:space="preserve"> </w:t>
      </w:r>
      <w:r>
        <w:rPr>
          <w:w w:val="105"/>
          <w:sz w:val="15"/>
        </w:rPr>
        <w:t>candidatos</w:t>
      </w:r>
      <w:r>
        <w:rPr>
          <w:spacing w:val="-10"/>
          <w:w w:val="105"/>
          <w:sz w:val="15"/>
        </w:rPr>
        <w:t xml:space="preserve"> </w:t>
      </w:r>
      <w:r>
        <w:rPr>
          <w:w w:val="105"/>
          <w:sz w:val="15"/>
        </w:rPr>
        <w:t>la</w:t>
      </w:r>
      <w:r>
        <w:rPr>
          <w:spacing w:val="-10"/>
          <w:w w:val="105"/>
          <w:sz w:val="15"/>
        </w:rPr>
        <w:t xml:space="preserve"> </w:t>
      </w:r>
      <w:r>
        <w:rPr>
          <w:w w:val="105"/>
          <w:sz w:val="15"/>
        </w:rPr>
        <w:t>obligación</w:t>
      </w:r>
      <w:r>
        <w:rPr>
          <w:spacing w:val="-10"/>
          <w:w w:val="105"/>
          <w:sz w:val="15"/>
        </w:rPr>
        <w:t xml:space="preserve"> </w:t>
      </w:r>
      <w:r>
        <w:rPr>
          <w:w w:val="105"/>
          <w:sz w:val="15"/>
        </w:rPr>
        <w:t>de</w:t>
      </w:r>
      <w:r>
        <w:rPr>
          <w:spacing w:val="-11"/>
          <w:w w:val="105"/>
          <w:sz w:val="15"/>
        </w:rPr>
        <w:t xml:space="preserve"> </w:t>
      </w:r>
      <w:r>
        <w:rPr>
          <w:spacing w:val="-2"/>
          <w:w w:val="105"/>
          <w:sz w:val="15"/>
        </w:rPr>
        <w:t>crear</w:t>
      </w:r>
    </w:p>
    <w:p w14:paraId="43494116" w14:textId="77777777" w:rsidR="0014798C" w:rsidRDefault="0014798C">
      <w:pPr>
        <w:pStyle w:val="Textoindependiente"/>
        <w:rPr>
          <w:sz w:val="20"/>
        </w:rPr>
      </w:pPr>
    </w:p>
    <w:p w14:paraId="6C52BEEF" w14:textId="77777777" w:rsidR="0014798C" w:rsidRDefault="004E1F0B">
      <w:pPr>
        <w:pStyle w:val="Textoindependiente"/>
        <w:spacing w:before="218"/>
        <w:rPr>
          <w:sz w:val="20"/>
        </w:rPr>
      </w:pPr>
      <w:r>
        <w:rPr>
          <w:noProof/>
        </w:rPr>
        <w:drawing>
          <wp:anchor distT="0" distB="0" distL="0" distR="0" simplePos="0" relativeHeight="251658538" behindDoc="1" locked="0" layoutInCell="1" allowOverlap="1" wp14:anchorId="0CDFD697" wp14:editId="02381449">
            <wp:simplePos x="0" y="0"/>
            <wp:positionH relativeFrom="page">
              <wp:posOffset>826632</wp:posOffset>
            </wp:positionH>
            <wp:positionV relativeFrom="paragraph">
              <wp:posOffset>299709</wp:posOffset>
            </wp:positionV>
            <wp:extent cx="931001" cy="35813"/>
            <wp:effectExtent l="0" t="0" r="0" b="0"/>
            <wp:wrapTopAndBottom/>
            <wp:docPr id="224" name="Image 22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24" name="Image 224"/>
                    <pic:cNvPicPr/>
                  </pic:nvPicPr>
                  <pic:blipFill>
                    <a:blip r:embed="rId205" cstate="print"/>
                    <a:stretch>
                      <a:fillRect/>
                    </a:stretch>
                  </pic:blipFill>
                  <pic:spPr>
                    <a:xfrm>
                      <a:off x="0" y="0"/>
                      <a:ext cx="931001" cy="35813"/>
                    </a:xfrm>
                    <a:prstGeom prst="rect">
                      <a:avLst/>
                    </a:prstGeom>
                  </pic:spPr>
                </pic:pic>
              </a:graphicData>
            </a:graphic>
          </wp:anchor>
        </w:drawing>
      </w:r>
    </w:p>
    <w:p w14:paraId="3D73BDC7" w14:textId="77777777" w:rsidR="0014798C" w:rsidRDefault="004E1F0B">
      <w:pPr>
        <w:spacing w:before="135" w:line="312" w:lineRule="auto"/>
        <w:ind w:left="1367" w:right="1463" w:hanging="260"/>
        <w:rPr>
          <w:sz w:val="12"/>
        </w:rPr>
      </w:pPr>
      <w:r>
        <w:rPr>
          <w:sz w:val="12"/>
        </w:rPr>
        <w:t xml:space="preserve">707 Comité para la Eliminación de la Discriminación Racial, recomendación general núm. 17 (1993), párr. </w:t>
      </w:r>
      <w:r>
        <w:rPr>
          <w:w w:val="90"/>
          <w:sz w:val="12"/>
        </w:rPr>
        <w:t xml:space="preserve">1; </w:t>
      </w:r>
      <w:r>
        <w:rPr>
          <w:sz w:val="12"/>
        </w:rPr>
        <w:t>Comité para la Eliminación de la Discriminación contra la</w:t>
      </w:r>
      <w:r>
        <w:rPr>
          <w:spacing w:val="40"/>
          <w:sz w:val="12"/>
        </w:rPr>
        <w:t xml:space="preserve"> </w:t>
      </w:r>
      <w:r>
        <w:rPr>
          <w:sz w:val="12"/>
        </w:rPr>
        <w:t xml:space="preserve">Mujer, recomendación general núm. 28 (2010), párr. </w:t>
      </w:r>
      <w:r>
        <w:rPr>
          <w:w w:val="90"/>
          <w:sz w:val="12"/>
        </w:rPr>
        <w:t xml:space="preserve">28; </w:t>
      </w:r>
      <w:r>
        <w:rPr>
          <w:sz w:val="12"/>
        </w:rPr>
        <w:t xml:space="preserve">Convención sobre los Derechos de las Personas con Discapacidad, art. 33 </w:t>
      </w:r>
      <w:r>
        <w:rPr>
          <w:w w:val="90"/>
          <w:sz w:val="12"/>
        </w:rPr>
        <w:t>(</w:t>
      </w:r>
      <w:proofErr w:type="gramStart"/>
      <w:r>
        <w:rPr>
          <w:w w:val="90"/>
          <w:sz w:val="12"/>
        </w:rPr>
        <w:t>2);</w:t>
      </w:r>
      <w:proofErr w:type="gramEnd"/>
      <w:r>
        <w:rPr>
          <w:w w:val="90"/>
          <w:sz w:val="12"/>
        </w:rPr>
        <w:t xml:space="preserve"> </w:t>
      </w:r>
      <w:r>
        <w:rPr>
          <w:sz w:val="12"/>
        </w:rPr>
        <w:t>y Comité de Derechos</w:t>
      </w:r>
      <w:r>
        <w:rPr>
          <w:spacing w:val="40"/>
          <w:sz w:val="12"/>
        </w:rPr>
        <w:t xml:space="preserve"> </w:t>
      </w:r>
      <w:r>
        <w:rPr>
          <w:sz w:val="12"/>
        </w:rPr>
        <w:t>Económicos, Sociales y Culturales, observación general núm. 20 (2009), párr. 40.</w:t>
      </w:r>
    </w:p>
    <w:p w14:paraId="1C4444F3" w14:textId="77777777" w:rsidR="0014798C" w:rsidRDefault="004E1F0B">
      <w:pPr>
        <w:spacing w:before="58" w:line="312" w:lineRule="auto"/>
        <w:ind w:left="1368" w:right="2111" w:hanging="260"/>
        <w:rPr>
          <w:sz w:val="12"/>
        </w:rPr>
      </w:pPr>
      <w:r>
        <w:rPr>
          <w:sz w:val="12"/>
        </w:rPr>
        <w:t>708 Por ejemplo, en sus recientes observaciones finales, el Comité de Derechos Económicos, Sociales y Culturales recomendó el establecimiento de</w:t>
      </w:r>
      <w:r>
        <w:rPr>
          <w:spacing w:val="40"/>
          <w:sz w:val="12"/>
        </w:rPr>
        <w:t xml:space="preserve"> </w:t>
      </w:r>
      <w:r>
        <w:rPr>
          <w:sz w:val="12"/>
        </w:rPr>
        <w:t>“mecanismos institucionales” para combatir la discriminación contra los romaníes y la designación de un organismo en Bélgica “responsable de abordar</w:t>
      </w:r>
      <w:r>
        <w:rPr>
          <w:spacing w:val="40"/>
          <w:sz w:val="12"/>
        </w:rPr>
        <w:t xml:space="preserve"> </w:t>
      </w:r>
      <w:r>
        <w:rPr>
          <w:sz w:val="12"/>
        </w:rPr>
        <w:t>las denuncias de discriminación lingüística”</w:t>
      </w:r>
      <w:proofErr w:type="gramStart"/>
      <w:r>
        <w:rPr>
          <w:sz w:val="12"/>
        </w:rPr>
        <w:t>. ”</w:t>
      </w:r>
      <w:proofErr w:type="gramEnd"/>
      <w:r>
        <w:rPr>
          <w:sz w:val="12"/>
        </w:rPr>
        <w:t>. En sus observaciones finales sobre Túnez, el Comité de Derechos Humanos pidió el establecimiento de</w:t>
      </w:r>
    </w:p>
    <w:p w14:paraId="0215E6F6" w14:textId="77777777" w:rsidR="0014798C" w:rsidRDefault="004E1F0B">
      <w:pPr>
        <w:spacing w:before="1" w:line="312" w:lineRule="auto"/>
        <w:ind w:left="1369" w:right="1463" w:firstLine="2"/>
        <w:rPr>
          <w:sz w:val="12"/>
        </w:rPr>
      </w:pPr>
      <w:r>
        <w:rPr>
          <w:sz w:val="12"/>
        </w:rPr>
        <w:t xml:space="preserve">una “comisión nacional para combatir la discriminación </w:t>
      </w:r>
      <w:proofErr w:type="gramStart"/>
      <w:r>
        <w:rPr>
          <w:sz w:val="12"/>
        </w:rPr>
        <w:t>racial”;</w:t>
      </w:r>
      <w:proofErr w:type="gramEnd"/>
      <w:r>
        <w:rPr>
          <w:sz w:val="12"/>
        </w:rPr>
        <w:t xml:space="preserve"> mientras que en sus observaciones finales sobre Grecia, el Comité recomendó la adopción de un</w:t>
      </w:r>
      <w:r>
        <w:rPr>
          <w:spacing w:val="40"/>
          <w:sz w:val="12"/>
        </w:rPr>
        <w:t xml:space="preserve"> </w:t>
      </w:r>
      <w:r>
        <w:rPr>
          <w:sz w:val="12"/>
        </w:rPr>
        <w:t>“sistema independiente de seguimiento y presentación de informes” para garantizar el derecho a la no discriminación de las personas con discapacidad. Véanse,</w:t>
      </w:r>
      <w:r>
        <w:rPr>
          <w:spacing w:val="40"/>
          <w:sz w:val="12"/>
        </w:rPr>
        <w:t xml:space="preserve"> </w:t>
      </w:r>
      <w:r>
        <w:rPr>
          <w:sz w:val="12"/>
        </w:rPr>
        <w:t>respectivamente,</w:t>
      </w:r>
      <w:r>
        <w:rPr>
          <w:spacing w:val="-11"/>
          <w:sz w:val="12"/>
        </w:rPr>
        <w:t xml:space="preserve"> </w:t>
      </w:r>
      <w:r>
        <w:rPr>
          <w:sz w:val="12"/>
        </w:rPr>
        <w:t>E/C.12/UKR/CO/7,</w:t>
      </w:r>
      <w:r>
        <w:rPr>
          <w:spacing w:val="-8"/>
          <w:sz w:val="12"/>
        </w:rPr>
        <w:t xml:space="preserve"> </w:t>
      </w:r>
      <w:r>
        <w:rPr>
          <w:sz w:val="12"/>
        </w:rPr>
        <w:t>párr.</w:t>
      </w:r>
      <w:r>
        <w:rPr>
          <w:spacing w:val="-8"/>
          <w:sz w:val="12"/>
        </w:rPr>
        <w:t xml:space="preserve"> </w:t>
      </w:r>
      <w:r>
        <w:rPr>
          <w:sz w:val="12"/>
        </w:rPr>
        <w:t>15</w:t>
      </w:r>
      <w:proofErr w:type="gramStart"/>
      <w:r>
        <w:rPr>
          <w:sz w:val="12"/>
        </w:rPr>
        <w:t>b);</w:t>
      </w:r>
      <w:proofErr w:type="gramEnd"/>
      <w:r>
        <w:rPr>
          <w:spacing w:val="-9"/>
          <w:sz w:val="12"/>
        </w:rPr>
        <w:t xml:space="preserve"> </w:t>
      </w:r>
      <w:r>
        <w:rPr>
          <w:sz w:val="12"/>
        </w:rPr>
        <w:t>E/C.12/BEL/CO/5,</w:t>
      </w:r>
      <w:r>
        <w:rPr>
          <w:spacing w:val="-8"/>
          <w:sz w:val="12"/>
        </w:rPr>
        <w:t xml:space="preserve"> </w:t>
      </w:r>
      <w:r>
        <w:rPr>
          <w:sz w:val="12"/>
        </w:rPr>
        <w:t>párr.</w:t>
      </w:r>
      <w:r>
        <w:rPr>
          <w:spacing w:val="-8"/>
          <w:sz w:val="12"/>
        </w:rPr>
        <w:t xml:space="preserve"> </w:t>
      </w:r>
      <w:r>
        <w:rPr>
          <w:sz w:val="12"/>
        </w:rPr>
        <w:t>19;</w:t>
      </w:r>
    </w:p>
    <w:p w14:paraId="1D4A2630" w14:textId="77777777" w:rsidR="0014798C" w:rsidRDefault="004E1F0B">
      <w:pPr>
        <w:spacing w:line="144" w:lineRule="exact"/>
        <w:ind w:left="1371"/>
        <w:rPr>
          <w:sz w:val="15"/>
        </w:rPr>
      </w:pPr>
      <w:r>
        <w:rPr>
          <w:spacing w:val="-4"/>
          <w:sz w:val="15"/>
        </w:rPr>
        <w:t>CCPR/C/TUN/CO/6,</w:t>
      </w:r>
      <w:r>
        <w:rPr>
          <w:sz w:val="15"/>
        </w:rPr>
        <w:t xml:space="preserve"> </w:t>
      </w:r>
      <w:r>
        <w:rPr>
          <w:spacing w:val="-4"/>
          <w:sz w:val="15"/>
        </w:rPr>
        <w:t>párr.</w:t>
      </w:r>
      <w:r>
        <w:rPr>
          <w:spacing w:val="1"/>
          <w:sz w:val="15"/>
        </w:rPr>
        <w:t xml:space="preserve"> </w:t>
      </w:r>
      <w:r>
        <w:rPr>
          <w:spacing w:val="-4"/>
          <w:sz w:val="15"/>
        </w:rPr>
        <w:t>18</w:t>
      </w:r>
      <w:proofErr w:type="gramStart"/>
      <w:r>
        <w:rPr>
          <w:spacing w:val="-4"/>
          <w:sz w:val="15"/>
        </w:rPr>
        <w:t>b);</w:t>
      </w:r>
      <w:proofErr w:type="gramEnd"/>
      <w:r>
        <w:rPr>
          <w:spacing w:val="1"/>
          <w:sz w:val="15"/>
        </w:rPr>
        <w:t xml:space="preserve"> </w:t>
      </w:r>
      <w:r>
        <w:rPr>
          <w:spacing w:val="-4"/>
          <w:sz w:val="15"/>
        </w:rPr>
        <w:t>y</w:t>
      </w:r>
      <w:r>
        <w:rPr>
          <w:spacing w:val="1"/>
          <w:sz w:val="15"/>
        </w:rPr>
        <w:t xml:space="preserve"> </w:t>
      </w:r>
      <w:r>
        <w:rPr>
          <w:spacing w:val="-4"/>
          <w:sz w:val="15"/>
        </w:rPr>
        <w:t>CCPR/C/GRC/CO/2,</w:t>
      </w:r>
      <w:r>
        <w:rPr>
          <w:spacing w:val="1"/>
          <w:sz w:val="15"/>
        </w:rPr>
        <w:t xml:space="preserve"> </w:t>
      </w:r>
      <w:r>
        <w:rPr>
          <w:spacing w:val="-4"/>
          <w:sz w:val="15"/>
        </w:rPr>
        <w:t>párr.</w:t>
      </w:r>
      <w:r>
        <w:rPr>
          <w:spacing w:val="1"/>
          <w:sz w:val="15"/>
        </w:rPr>
        <w:t xml:space="preserve"> </w:t>
      </w:r>
      <w:r>
        <w:rPr>
          <w:spacing w:val="-5"/>
          <w:sz w:val="15"/>
        </w:rPr>
        <w:t>10.</w:t>
      </w:r>
    </w:p>
    <w:p w14:paraId="40A7C978" w14:textId="77777777" w:rsidR="0014798C" w:rsidRDefault="0014798C">
      <w:pPr>
        <w:spacing w:line="144" w:lineRule="exact"/>
        <w:rPr>
          <w:sz w:val="15"/>
        </w:rPr>
        <w:sectPr w:rsidR="0014798C" w:rsidSect="00F265E4">
          <w:headerReference w:type="default" r:id="rId206"/>
          <w:pgSz w:w="11900" w:h="16820"/>
          <w:pgMar w:top="340" w:right="0" w:bottom="280" w:left="200" w:header="121" w:footer="0" w:gutter="0"/>
          <w:cols w:space="720"/>
        </w:sectPr>
      </w:pPr>
    </w:p>
    <w:p w14:paraId="7FE8DCC1" w14:textId="77777777" w:rsidR="0014798C" w:rsidRDefault="004E1F0B">
      <w:pPr>
        <w:spacing w:before="49"/>
        <w:jc w:val="right"/>
        <w:rPr>
          <w:sz w:val="8"/>
        </w:rPr>
      </w:pPr>
      <w:r>
        <w:rPr>
          <w:spacing w:val="-5"/>
          <w:w w:val="105"/>
          <w:sz w:val="8"/>
        </w:rPr>
        <w:t>709</w:t>
      </w:r>
    </w:p>
    <w:p w14:paraId="2369C1FD" w14:textId="77777777" w:rsidR="0014798C" w:rsidRDefault="004E1F0B">
      <w:pPr>
        <w:spacing w:before="64"/>
        <w:ind w:left="80"/>
        <w:rPr>
          <w:sz w:val="15"/>
        </w:rPr>
      </w:pPr>
      <w:r>
        <w:br w:type="column"/>
      </w:r>
      <w:r>
        <w:rPr>
          <w:w w:val="95"/>
          <w:sz w:val="15"/>
        </w:rPr>
        <w:t>Véase,</w:t>
      </w:r>
      <w:r>
        <w:rPr>
          <w:spacing w:val="5"/>
          <w:sz w:val="15"/>
        </w:rPr>
        <w:t xml:space="preserve"> </w:t>
      </w:r>
      <w:r>
        <w:rPr>
          <w:w w:val="95"/>
          <w:sz w:val="15"/>
        </w:rPr>
        <w:t>por</w:t>
      </w:r>
      <w:r>
        <w:rPr>
          <w:spacing w:val="5"/>
          <w:sz w:val="15"/>
        </w:rPr>
        <w:t xml:space="preserve"> </w:t>
      </w:r>
      <w:r>
        <w:rPr>
          <w:w w:val="95"/>
          <w:sz w:val="15"/>
        </w:rPr>
        <w:t>ejemplo,</w:t>
      </w:r>
      <w:r>
        <w:rPr>
          <w:spacing w:val="6"/>
          <w:sz w:val="15"/>
        </w:rPr>
        <w:t xml:space="preserve"> </w:t>
      </w:r>
      <w:r>
        <w:rPr>
          <w:w w:val="95"/>
          <w:sz w:val="15"/>
        </w:rPr>
        <w:t>E/C.12/BGR/CO/6,</w:t>
      </w:r>
      <w:r>
        <w:rPr>
          <w:spacing w:val="5"/>
          <w:sz w:val="15"/>
        </w:rPr>
        <w:t xml:space="preserve"> </w:t>
      </w:r>
      <w:r>
        <w:rPr>
          <w:w w:val="95"/>
          <w:sz w:val="15"/>
        </w:rPr>
        <w:t>párr.</w:t>
      </w:r>
      <w:r>
        <w:rPr>
          <w:spacing w:val="6"/>
          <w:sz w:val="15"/>
        </w:rPr>
        <w:t xml:space="preserve"> </w:t>
      </w:r>
      <w:r>
        <w:rPr>
          <w:w w:val="90"/>
          <w:sz w:val="15"/>
        </w:rPr>
        <w:t>5;</w:t>
      </w:r>
      <w:r>
        <w:rPr>
          <w:spacing w:val="5"/>
          <w:sz w:val="15"/>
        </w:rPr>
        <w:t xml:space="preserve"> </w:t>
      </w:r>
      <w:r>
        <w:rPr>
          <w:w w:val="95"/>
          <w:sz w:val="15"/>
        </w:rPr>
        <w:t>y</w:t>
      </w:r>
      <w:r>
        <w:rPr>
          <w:spacing w:val="5"/>
          <w:sz w:val="15"/>
        </w:rPr>
        <w:t xml:space="preserve"> </w:t>
      </w:r>
      <w:r>
        <w:rPr>
          <w:w w:val="95"/>
          <w:sz w:val="15"/>
        </w:rPr>
        <w:t>CCPR/C/MDA/CO/3,</w:t>
      </w:r>
      <w:r>
        <w:rPr>
          <w:spacing w:val="5"/>
          <w:sz w:val="15"/>
        </w:rPr>
        <w:t xml:space="preserve"> </w:t>
      </w:r>
      <w:proofErr w:type="spellStart"/>
      <w:r>
        <w:rPr>
          <w:w w:val="95"/>
          <w:sz w:val="15"/>
        </w:rPr>
        <w:t>párrs</w:t>
      </w:r>
      <w:proofErr w:type="spellEnd"/>
      <w:r>
        <w:rPr>
          <w:w w:val="95"/>
          <w:sz w:val="15"/>
        </w:rPr>
        <w:t>.</w:t>
      </w:r>
      <w:r>
        <w:rPr>
          <w:spacing w:val="7"/>
          <w:sz w:val="15"/>
        </w:rPr>
        <w:t xml:space="preserve"> </w:t>
      </w:r>
      <w:r>
        <w:rPr>
          <w:spacing w:val="-4"/>
          <w:w w:val="95"/>
          <w:sz w:val="15"/>
        </w:rPr>
        <w:t>7–8.</w:t>
      </w:r>
    </w:p>
    <w:p w14:paraId="2B43D3B7" w14:textId="77777777" w:rsidR="0014798C" w:rsidRDefault="0014798C">
      <w:pPr>
        <w:rPr>
          <w:sz w:val="15"/>
        </w:rPr>
        <w:sectPr w:rsidR="0014798C" w:rsidSect="00F265E4">
          <w:type w:val="continuous"/>
          <w:pgSz w:w="11900" w:h="16820"/>
          <w:pgMar w:top="40" w:right="0" w:bottom="280" w:left="200" w:header="121" w:footer="0" w:gutter="0"/>
          <w:cols w:num="2" w:space="720" w:equalWidth="0">
            <w:col w:w="1250" w:space="40"/>
            <w:col w:w="10410"/>
          </w:cols>
        </w:sectPr>
      </w:pPr>
    </w:p>
    <w:p w14:paraId="641DCDEC" w14:textId="77777777" w:rsidR="0014798C" w:rsidRDefault="004E1F0B">
      <w:pPr>
        <w:spacing w:before="94"/>
        <w:ind w:left="1108"/>
        <w:rPr>
          <w:sz w:val="12"/>
        </w:rPr>
      </w:pPr>
      <w:r>
        <w:rPr>
          <w:sz w:val="12"/>
        </w:rPr>
        <w:t>710</w:t>
      </w:r>
      <w:r>
        <w:rPr>
          <w:spacing w:val="-2"/>
          <w:sz w:val="12"/>
        </w:rPr>
        <w:t xml:space="preserve"> </w:t>
      </w:r>
      <w:r>
        <w:rPr>
          <w:sz w:val="12"/>
        </w:rPr>
        <w:t>Comité</w:t>
      </w:r>
      <w:r>
        <w:rPr>
          <w:spacing w:val="-1"/>
          <w:sz w:val="12"/>
        </w:rPr>
        <w:t xml:space="preserve"> </w:t>
      </w:r>
      <w:r>
        <w:rPr>
          <w:sz w:val="12"/>
        </w:rPr>
        <w:t>para</w:t>
      </w:r>
      <w:r>
        <w:rPr>
          <w:spacing w:val="-2"/>
          <w:sz w:val="12"/>
        </w:rPr>
        <w:t xml:space="preserve"> </w:t>
      </w:r>
      <w:r>
        <w:rPr>
          <w:sz w:val="12"/>
        </w:rPr>
        <w:t>la</w:t>
      </w:r>
      <w:r>
        <w:rPr>
          <w:spacing w:val="-1"/>
          <w:sz w:val="12"/>
        </w:rPr>
        <w:t xml:space="preserve"> </w:t>
      </w:r>
      <w:r>
        <w:rPr>
          <w:sz w:val="12"/>
        </w:rPr>
        <w:t>Eliminación</w:t>
      </w:r>
      <w:r>
        <w:rPr>
          <w:spacing w:val="-2"/>
          <w:sz w:val="12"/>
        </w:rPr>
        <w:t xml:space="preserve"> </w:t>
      </w:r>
      <w:r>
        <w:rPr>
          <w:sz w:val="12"/>
        </w:rPr>
        <w:t>de</w:t>
      </w:r>
      <w:r>
        <w:rPr>
          <w:spacing w:val="-1"/>
          <w:sz w:val="12"/>
        </w:rPr>
        <w:t xml:space="preserve"> </w:t>
      </w:r>
      <w:r>
        <w:rPr>
          <w:sz w:val="12"/>
        </w:rPr>
        <w:t>la</w:t>
      </w:r>
      <w:r>
        <w:rPr>
          <w:spacing w:val="-2"/>
          <w:sz w:val="12"/>
        </w:rPr>
        <w:t xml:space="preserve"> </w:t>
      </w:r>
      <w:r>
        <w:rPr>
          <w:sz w:val="12"/>
        </w:rPr>
        <w:t>Discriminación</w:t>
      </w:r>
      <w:r>
        <w:rPr>
          <w:spacing w:val="-1"/>
          <w:sz w:val="12"/>
        </w:rPr>
        <w:t xml:space="preserve"> </w:t>
      </w:r>
      <w:r>
        <w:rPr>
          <w:sz w:val="12"/>
        </w:rPr>
        <w:t>Racial,</w:t>
      </w:r>
      <w:r>
        <w:rPr>
          <w:spacing w:val="-2"/>
          <w:sz w:val="12"/>
        </w:rPr>
        <w:t xml:space="preserve"> </w:t>
      </w:r>
      <w:r>
        <w:rPr>
          <w:sz w:val="12"/>
        </w:rPr>
        <w:t>recomendación</w:t>
      </w:r>
      <w:r>
        <w:rPr>
          <w:spacing w:val="-1"/>
          <w:sz w:val="12"/>
        </w:rPr>
        <w:t xml:space="preserve"> </w:t>
      </w:r>
      <w:r>
        <w:rPr>
          <w:sz w:val="12"/>
        </w:rPr>
        <w:t>general</w:t>
      </w:r>
      <w:r>
        <w:rPr>
          <w:spacing w:val="-2"/>
          <w:sz w:val="12"/>
        </w:rPr>
        <w:t xml:space="preserve"> </w:t>
      </w:r>
      <w:r>
        <w:rPr>
          <w:sz w:val="12"/>
        </w:rPr>
        <w:t>núm.</w:t>
      </w:r>
      <w:r>
        <w:rPr>
          <w:spacing w:val="-1"/>
          <w:sz w:val="12"/>
        </w:rPr>
        <w:t xml:space="preserve"> </w:t>
      </w:r>
      <w:r>
        <w:rPr>
          <w:sz w:val="12"/>
        </w:rPr>
        <w:t>17</w:t>
      </w:r>
      <w:r>
        <w:rPr>
          <w:spacing w:val="-2"/>
          <w:sz w:val="12"/>
        </w:rPr>
        <w:t xml:space="preserve"> </w:t>
      </w:r>
      <w:r>
        <w:rPr>
          <w:sz w:val="12"/>
        </w:rPr>
        <w:t>(1993),</w:t>
      </w:r>
      <w:r>
        <w:rPr>
          <w:spacing w:val="-1"/>
          <w:sz w:val="12"/>
        </w:rPr>
        <w:t xml:space="preserve"> </w:t>
      </w:r>
      <w:r>
        <w:rPr>
          <w:sz w:val="12"/>
        </w:rPr>
        <w:t>párr.</w:t>
      </w:r>
      <w:r>
        <w:rPr>
          <w:spacing w:val="-2"/>
          <w:sz w:val="12"/>
        </w:rPr>
        <w:t xml:space="preserve"> </w:t>
      </w:r>
      <w:r>
        <w:rPr>
          <w:spacing w:val="-5"/>
          <w:sz w:val="12"/>
        </w:rPr>
        <w:t>1.</w:t>
      </w:r>
    </w:p>
    <w:p w14:paraId="6671CAA5" w14:textId="77777777" w:rsidR="0014798C" w:rsidRDefault="004E1F0B">
      <w:pPr>
        <w:spacing w:before="99"/>
        <w:ind w:left="1108"/>
        <w:rPr>
          <w:sz w:val="12"/>
        </w:rPr>
      </w:pPr>
      <w:r>
        <w:rPr>
          <w:sz w:val="12"/>
        </w:rPr>
        <w:t>711</w:t>
      </w:r>
      <w:r>
        <w:rPr>
          <w:spacing w:val="-2"/>
          <w:sz w:val="12"/>
        </w:rPr>
        <w:t xml:space="preserve"> </w:t>
      </w:r>
      <w:r>
        <w:rPr>
          <w:sz w:val="12"/>
        </w:rPr>
        <w:t>Comité</w:t>
      </w:r>
      <w:r>
        <w:rPr>
          <w:spacing w:val="-1"/>
          <w:sz w:val="12"/>
        </w:rPr>
        <w:t xml:space="preserve"> </w:t>
      </w:r>
      <w:r>
        <w:rPr>
          <w:sz w:val="12"/>
        </w:rPr>
        <w:t>para</w:t>
      </w:r>
      <w:r>
        <w:rPr>
          <w:spacing w:val="-2"/>
          <w:sz w:val="12"/>
        </w:rPr>
        <w:t xml:space="preserve"> </w:t>
      </w:r>
      <w:r>
        <w:rPr>
          <w:sz w:val="12"/>
        </w:rPr>
        <w:t>la</w:t>
      </w:r>
      <w:r>
        <w:rPr>
          <w:spacing w:val="-1"/>
          <w:sz w:val="12"/>
        </w:rPr>
        <w:t xml:space="preserve"> </w:t>
      </w:r>
      <w:r>
        <w:rPr>
          <w:sz w:val="12"/>
        </w:rPr>
        <w:t>Eliminación</w:t>
      </w:r>
      <w:r>
        <w:rPr>
          <w:spacing w:val="-1"/>
          <w:sz w:val="12"/>
        </w:rPr>
        <w:t xml:space="preserve"> </w:t>
      </w:r>
      <w:r>
        <w:rPr>
          <w:sz w:val="12"/>
        </w:rPr>
        <w:t>de</w:t>
      </w:r>
      <w:r>
        <w:rPr>
          <w:spacing w:val="-2"/>
          <w:sz w:val="12"/>
        </w:rPr>
        <w:t xml:space="preserve"> </w:t>
      </w:r>
      <w:r>
        <w:rPr>
          <w:sz w:val="12"/>
        </w:rPr>
        <w:t>la</w:t>
      </w:r>
      <w:r>
        <w:rPr>
          <w:spacing w:val="-1"/>
          <w:sz w:val="12"/>
        </w:rPr>
        <w:t xml:space="preserve"> </w:t>
      </w:r>
      <w:r>
        <w:rPr>
          <w:sz w:val="12"/>
        </w:rPr>
        <w:t>Discriminación</w:t>
      </w:r>
      <w:r>
        <w:rPr>
          <w:spacing w:val="-2"/>
          <w:sz w:val="12"/>
        </w:rPr>
        <w:t xml:space="preserve"> </w:t>
      </w:r>
      <w:r>
        <w:rPr>
          <w:sz w:val="12"/>
        </w:rPr>
        <w:t>contra</w:t>
      </w:r>
      <w:r>
        <w:rPr>
          <w:spacing w:val="-1"/>
          <w:sz w:val="12"/>
        </w:rPr>
        <w:t xml:space="preserve"> </w:t>
      </w:r>
      <w:r>
        <w:rPr>
          <w:sz w:val="12"/>
        </w:rPr>
        <w:t>la</w:t>
      </w:r>
      <w:r>
        <w:rPr>
          <w:spacing w:val="-1"/>
          <w:sz w:val="12"/>
        </w:rPr>
        <w:t xml:space="preserve"> </w:t>
      </w:r>
      <w:r>
        <w:rPr>
          <w:sz w:val="12"/>
        </w:rPr>
        <w:t>Mujer,</w:t>
      </w:r>
      <w:r>
        <w:rPr>
          <w:spacing w:val="-2"/>
          <w:sz w:val="12"/>
        </w:rPr>
        <w:t xml:space="preserve"> </w:t>
      </w:r>
      <w:r>
        <w:rPr>
          <w:sz w:val="12"/>
        </w:rPr>
        <w:t>recomendación</w:t>
      </w:r>
      <w:r>
        <w:rPr>
          <w:spacing w:val="-1"/>
          <w:sz w:val="12"/>
        </w:rPr>
        <w:t xml:space="preserve"> </w:t>
      </w:r>
      <w:r>
        <w:rPr>
          <w:sz w:val="12"/>
        </w:rPr>
        <w:t>general</w:t>
      </w:r>
      <w:r>
        <w:rPr>
          <w:spacing w:val="-2"/>
          <w:sz w:val="12"/>
        </w:rPr>
        <w:t xml:space="preserve"> </w:t>
      </w:r>
      <w:r>
        <w:rPr>
          <w:sz w:val="12"/>
        </w:rPr>
        <w:t>núm.</w:t>
      </w:r>
      <w:r>
        <w:rPr>
          <w:spacing w:val="-1"/>
          <w:sz w:val="12"/>
        </w:rPr>
        <w:t xml:space="preserve"> </w:t>
      </w:r>
      <w:r>
        <w:rPr>
          <w:sz w:val="12"/>
        </w:rPr>
        <w:t>28</w:t>
      </w:r>
      <w:r>
        <w:rPr>
          <w:spacing w:val="-1"/>
          <w:sz w:val="12"/>
        </w:rPr>
        <w:t xml:space="preserve"> </w:t>
      </w:r>
      <w:r>
        <w:rPr>
          <w:sz w:val="12"/>
        </w:rPr>
        <w:t>(2010),</w:t>
      </w:r>
      <w:r>
        <w:rPr>
          <w:spacing w:val="-2"/>
          <w:sz w:val="12"/>
        </w:rPr>
        <w:t xml:space="preserve"> </w:t>
      </w:r>
      <w:r>
        <w:rPr>
          <w:sz w:val="12"/>
        </w:rPr>
        <w:t>párr.</w:t>
      </w:r>
      <w:r>
        <w:rPr>
          <w:spacing w:val="-1"/>
          <w:sz w:val="12"/>
        </w:rPr>
        <w:t xml:space="preserve"> </w:t>
      </w:r>
      <w:r>
        <w:rPr>
          <w:spacing w:val="-5"/>
          <w:sz w:val="12"/>
        </w:rPr>
        <w:t>28.</w:t>
      </w:r>
    </w:p>
    <w:p w14:paraId="36781C12" w14:textId="77777777" w:rsidR="0014798C" w:rsidRDefault="004E1F0B">
      <w:pPr>
        <w:spacing w:before="98"/>
        <w:ind w:left="1108"/>
        <w:rPr>
          <w:sz w:val="12"/>
        </w:rPr>
      </w:pPr>
      <w:r>
        <w:rPr>
          <w:sz w:val="12"/>
        </w:rPr>
        <w:t>712 Convención sobre</w:t>
      </w:r>
      <w:r>
        <w:rPr>
          <w:spacing w:val="1"/>
          <w:sz w:val="12"/>
        </w:rPr>
        <w:t xml:space="preserve"> </w:t>
      </w:r>
      <w:r>
        <w:rPr>
          <w:sz w:val="12"/>
        </w:rPr>
        <w:t>los Derechos de</w:t>
      </w:r>
      <w:r>
        <w:rPr>
          <w:spacing w:val="1"/>
          <w:sz w:val="12"/>
        </w:rPr>
        <w:t xml:space="preserve"> </w:t>
      </w:r>
      <w:r>
        <w:rPr>
          <w:sz w:val="12"/>
        </w:rPr>
        <w:t>las Personas con</w:t>
      </w:r>
      <w:r>
        <w:rPr>
          <w:spacing w:val="1"/>
          <w:sz w:val="12"/>
        </w:rPr>
        <w:t xml:space="preserve"> </w:t>
      </w:r>
      <w:r>
        <w:rPr>
          <w:sz w:val="12"/>
        </w:rPr>
        <w:t>Discapacidad,</w:t>
      </w:r>
      <w:r>
        <w:rPr>
          <w:spacing w:val="1"/>
          <w:sz w:val="12"/>
        </w:rPr>
        <w:t xml:space="preserve"> </w:t>
      </w:r>
      <w:r>
        <w:rPr>
          <w:sz w:val="12"/>
        </w:rPr>
        <w:t>art.</w:t>
      </w:r>
      <w:r>
        <w:rPr>
          <w:spacing w:val="1"/>
          <w:sz w:val="12"/>
        </w:rPr>
        <w:t xml:space="preserve"> </w:t>
      </w:r>
      <w:r>
        <w:rPr>
          <w:sz w:val="12"/>
        </w:rPr>
        <w:t xml:space="preserve">33 </w:t>
      </w:r>
      <w:r>
        <w:rPr>
          <w:spacing w:val="-4"/>
          <w:sz w:val="12"/>
        </w:rPr>
        <w:t>(2).</w:t>
      </w:r>
    </w:p>
    <w:p w14:paraId="38D9A93E" w14:textId="77777777" w:rsidR="0014798C" w:rsidRDefault="0014798C">
      <w:pPr>
        <w:rPr>
          <w:sz w:val="12"/>
        </w:rPr>
        <w:sectPr w:rsidR="0014798C" w:rsidSect="00F265E4">
          <w:type w:val="continuous"/>
          <w:pgSz w:w="11900" w:h="16820"/>
          <w:pgMar w:top="40" w:right="0" w:bottom="280" w:left="200" w:header="121" w:footer="0" w:gutter="0"/>
          <w:cols w:space="720"/>
        </w:sectPr>
      </w:pPr>
    </w:p>
    <w:p w14:paraId="113E8D0A" w14:textId="77777777" w:rsidR="0014798C" w:rsidRDefault="004E1F0B">
      <w:pPr>
        <w:spacing w:before="53"/>
        <w:jc w:val="right"/>
        <w:rPr>
          <w:sz w:val="8"/>
        </w:rPr>
      </w:pPr>
      <w:r>
        <w:rPr>
          <w:spacing w:val="-5"/>
          <w:w w:val="105"/>
          <w:sz w:val="8"/>
        </w:rPr>
        <w:t>713</w:t>
      </w:r>
    </w:p>
    <w:p w14:paraId="27B5601F" w14:textId="77777777" w:rsidR="0014798C" w:rsidRDefault="004E1F0B">
      <w:pPr>
        <w:spacing w:before="68"/>
        <w:ind w:left="80"/>
        <w:rPr>
          <w:sz w:val="15"/>
        </w:rPr>
      </w:pPr>
      <w:r>
        <w:br w:type="column"/>
      </w:r>
      <w:r>
        <w:rPr>
          <w:spacing w:val="-4"/>
          <w:sz w:val="15"/>
        </w:rPr>
        <w:t>Véase,</w:t>
      </w:r>
      <w:r>
        <w:rPr>
          <w:spacing w:val="-5"/>
          <w:sz w:val="15"/>
        </w:rPr>
        <w:t xml:space="preserve"> </w:t>
      </w:r>
      <w:r>
        <w:rPr>
          <w:spacing w:val="-4"/>
          <w:sz w:val="15"/>
        </w:rPr>
        <w:t>por ejemplo,</w:t>
      </w:r>
      <w:r>
        <w:rPr>
          <w:spacing w:val="-3"/>
          <w:sz w:val="15"/>
        </w:rPr>
        <w:t xml:space="preserve"> </w:t>
      </w:r>
      <w:r>
        <w:rPr>
          <w:spacing w:val="-4"/>
          <w:sz w:val="15"/>
        </w:rPr>
        <w:t xml:space="preserve">A/HRC/42/43/Add.2, párr. </w:t>
      </w:r>
      <w:r w:rsidRPr="00537489">
        <w:rPr>
          <w:spacing w:val="-4"/>
          <w:sz w:val="15"/>
          <w:lang w:val="en-US"/>
        </w:rPr>
        <w:t>93</w:t>
      </w:r>
      <w:r>
        <w:rPr>
          <w:spacing w:val="-4"/>
          <w:sz w:val="15"/>
        </w:rPr>
        <w:t>;</w:t>
      </w:r>
      <w:r w:rsidRPr="00537489">
        <w:rPr>
          <w:spacing w:val="-4"/>
          <w:sz w:val="15"/>
          <w:lang w:val="en-US"/>
        </w:rPr>
        <w:t xml:space="preserve"> A/HRC/36/48/Add.2, </w:t>
      </w:r>
      <w:proofErr w:type="spellStart"/>
      <w:r w:rsidRPr="00537489">
        <w:rPr>
          <w:spacing w:val="-4"/>
          <w:sz w:val="15"/>
          <w:lang w:val="en-US"/>
        </w:rPr>
        <w:t>párr</w:t>
      </w:r>
      <w:proofErr w:type="spellEnd"/>
      <w:r w:rsidRPr="00537489">
        <w:rPr>
          <w:spacing w:val="-4"/>
          <w:sz w:val="15"/>
          <w:lang w:val="en-US"/>
        </w:rPr>
        <w:t>. 87</w:t>
      </w:r>
      <w:r>
        <w:rPr>
          <w:spacing w:val="-4"/>
          <w:sz w:val="15"/>
        </w:rPr>
        <w:t>;</w:t>
      </w:r>
      <w:r w:rsidRPr="00537489">
        <w:rPr>
          <w:spacing w:val="-4"/>
          <w:sz w:val="15"/>
          <w:lang w:val="en-US"/>
        </w:rPr>
        <w:t xml:space="preserve"> A/HRC/30/56/Add.1,</w:t>
      </w:r>
      <w:r w:rsidRPr="00537489">
        <w:rPr>
          <w:spacing w:val="-5"/>
          <w:sz w:val="15"/>
          <w:lang w:val="en-US"/>
        </w:rPr>
        <w:t xml:space="preserve"> </w:t>
      </w:r>
      <w:proofErr w:type="spellStart"/>
      <w:r w:rsidRPr="00537489">
        <w:rPr>
          <w:spacing w:val="-4"/>
          <w:sz w:val="15"/>
          <w:lang w:val="en-US"/>
        </w:rPr>
        <w:t>párr</w:t>
      </w:r>
      <w:proofErr w:type="spellEnd"/>
      <w:r w:rsidRPr="00537489">
        <w:rPr>
          <w:spacing w:val="-4"/>
          <w:sz w:val="15"/>
          <w:lang w:val="en-US"/>
        </w:rPr>
        <w:t xml:space="preserve">. </w:t>
      </w:r>
      <w:r>
        <w:rPr>
          <w:spacing w:val="-4"/>
          <w:sz w:val="15"/>
        </w:rPr>
        <w:t>111; y A/71/301,</w:t>
      </w:r>
      <w:r>
        <w:rPr>
          <w:spacing w:val="-3"/>
          <w:sz w:val="15"/>
        </w:rPr>
        <w:t xml:space="preserve"> </w:t>
      </w:r>
      <w:r>
        <w:rPr>
          <w:spacing w:val="-4"/>
          <w:sz w:val="15"/>
        </w:rPr>
        <w:t xml:space="preserve">párr. </w:t>
      </w:r>
      <w:r>
        <w:rPr>
          <w:spacing w:val="-5"/>
          <w:sz w:val="15"/>
        </w:rPr>
        <w:t>15.</w:t>
      </w:r>
    </w:p>
    <w:p w14:paraId="74355488" w14:textId="77777777" w:rsidR="0014798C" w:rsidRDefault="0014798C">
      <w:pPr>
        <w:rPr>
          <w:sz w:val="15"/>
        </w:rPr>
        <w:sectPr w:rsidR="0014798C" w:rsidSect="00F265E4">
          <w:type w:val="continuous"/>
          <w:pgSz w:w="11900" w:h="16820"/>
          <w:pgMar w:top="40" w:right="0" w:bottom="280" w:left="200" w:header="121" w:footer="0" w:gutter="0"/>
          <w:cols w:num="2" w:space="720" w:equalWidth="0">
            <w:col w:w="1250" w:space="40"/>
            <w:col w:w="10410"/>
          </w:cols>
        </w:sectPr>
      </w:pPr>
    </w:p>
    <w:p w14:paraId="3CF8EC5A" w14:textId="77777777" w:rsidR="0014798C" w:rsidRDefault="004E1F0B">
      <w:pPr>
        <w:spacing w:before="94"/>
        <w:ind w:left="1108"/>
        <w:rPr>
          <w:sz w:val="12"/>
        </w:rPr>
      </w:pPr>
      <w:r>
        <w:rPr>
          <w:sz w:val="12"/>
        </w:rPr>
        <w:t>714</w:t>
      </w:r>
      <w:r>
        <w:rPr>
          <w:spacing w:val="-2"/>
          <w:sz w:val="12"/>
        </w:rPr>
        <w:t xml:space="preserve"> </w:t>
      </w:r>
      <w:r>
        <w:rPr>
          <w:sz w:val="12"/>
        </w:rPr>
        <w:t>A/HRC/42/43/Add.2,</w:t>
      </w:r>
      <w:r>
        <w:rPr>
          <w:spacing w:val="-2"/>
          <w:sz w:val="12"/>
        </w:rPr>
        <w:t xml:space="preserve"> </w:t>
      </w:r>
      <w:r>
        <w:rPr>
          <w:sz w:val="12"/>
        </w:rPr>
        <w:t>párr.</w:t>
      </w:r>
      <w:r>
        <w:rPr>
          <w:spacing w:val="-1"/>
          <w:sz w:val="12"/>
        </w:rPr>
        <w:t xml:space="preserve"> </w:t>
      </w:r>
      <w:r>
        <w:rPr>
          <w:spacing w:val="-5"/>
          <w:sz w:val="12"/>
        </w:rPr>
        <w:t>93.</w:t>
      </w:r>
    </w:p>
    <w:p w14:paraId="349017C8" w14:textId="77777777" w:rsidR="0014798C" w:rsidRDefault="0014798C">
      <w:pPr>
        <w:rPr>
          <w:sz w:val="12"/>
        </w:rPr>
        <w:sectPr w:rsidR="0014798C" w:rsidSect="00F265E4">
          <w:type w:val="continuous"/>
          <w:pgSz w:w="11900" w:h="16820"/>
          <w:pgMar w:top="40" w:right="0" w:bottom="280" w:left="200" w:header="121" w:footer="0" w:gutter="0"/>
          <w:cols w:space="720"/>
        </w:sectPr>
      </w:pPr>
    </w:p>
    <w:p w14:paraId="16ED1A64" w14:textId="77777777" w:rsidR="0014798C" w:rsidRDefault="004E1F0B">
      <w:pPr>
        <w:spacing w:before="54"/>
        <w:jc w:val="right"/>
        <w:rPr>
          <w:sz w:val="8"/>
        </w:rPr>
      </w:pPr>
      <w:r>
        <w:rPr>
          <w:spacing w:val="-5"/>
          <w:w w:val="105"/>
          <w:sz w:val="8"/>
        </w:rPr>
        <w:t>715</w:t>
      </w:r>
    </w:p>
    <w:p w14:paraId="211A33CA" w14:textId="77777777" w:rsidR="0014798C" w:rsidRDefault="004E1F0B">
      <w:pPr>
        <w:spacing w:before="69"/>
        <w:ind w:left="76"/>
        <w:rPr>
          <w:sz w:val="15"/>
        </w:rPr>
      </w:pPr>
      <w:r>
        <w:br w:type="column"/>
      </w:r>
      <w:r>
        <w:rPr>
          <w:spacing w:val="-2"/>
          <w:sz w:val="15"/>
        </w:rPr>
        <w:t>A/71/301,</w:t>
      </w:r>
      <w:r>
        <w:rPr>
          <w:spacing w:val="3"/>
          <w:sz w:val="15"/>
        </w:rPr>
        <w:t xml:space="preserve"> </w:t>
      </w:r>
      <w:r>
        <w:rPr>
          <w:spacing w:val="-2"/>
          <w:sz w:val="15"/>
        </w:rPr>
        <w:t>párr.</w:t>
      </w:r>
      <w:r>
        <w:rPr>
          <w:spacing w:val="3"/>
          <w:sz w:val="15"/>
        </w:rPr>
        <w:t xml:space="preserve"> </w:t>
      </w:r>
      <w:r>
        <w:rPr>
          <w:spacing w:val="-5"/>
          <w:sz w:val="15"/>
        </w:rPr>
        <w:t>78.</w:t>
      </w:r>
    </w:p>
    <w:p w14:paraId="1A4CC22A" w14:textId="77777777" w:rsidR="0014798C" w:rsidRDefault="0014798C">
      <w:pPr>
        <w:rPr>
          <w:sz w:val="15"/>
        </w:rPr>
      </w:pPr>
    </w:p>
    <w:p w14:paraId="05418E79" w14:textId="77777777" w:rsidR="00BC76D0" w:rsidRDefault="00BC76D0">
      <w:pPr>
        <w:rPr>
          <w:sz w:val="15"/>
        </w:rPr>
        <w:sectPr w:rsidR="00BC76D0" w:rsidSect="00F265E4">
          <w:type w:val="continuous"/>
          <w:pgSz w:w="11900" w:h="16820"/>
          <w:pgMar w:top="40" w:right="0" w:bottom="280" w:left="200" w:header="121" w:footer="0" w:gutter="0"/>
          <w:cols w:num="2" w:space="720" w:equalWidth="0">
            <w:col w:w="1250" w:space="40"/>
            <w:col w:w="10410"/>
          </w:cols>
        </w:sectPr>
      </w:pPr>
    </w:p>
    <w:p w14:paraId="3E51F170" w14:textId="77777777" w:rsidR="0014798C" w:rsidRDefault="0014798C">
      <w:pPr>
        <w:rPr>
          <w:sz w:val="18"/>
        </w:rPr>
        <w:sectPr w:rsidR="0014798C" w:rsidSect="00F265E4">
          <w:type w:val="continuous"/>
          <w:pgSz w:w="11900" w:h="16820"/>
          <w:pgMar w:top="40" w:right="0" w:bottom="280" w:left="200" w:header="121" w:footer="0" w:gutter="0"/>
          <w:cols w:space="720"/>
        </w:sectPr>
      </w:pPr>
    </w:p>
    <w:p w14:paraId="68A81B25" w14:textId="77777777" w:rsidR="0014798C" w:rsidRDefault="0014798C">
      <w:pPr>
        <w:pStyle w:val="Textoindependiente"/>
        <w:spacing w:before="51"/>
        <w:rPr>
          <w:sz w:val="14"/>
        </w:rPr>
      </w:pPr>
    </w:p>
    <w:p w14:paraId="142642E5" w14:textId="77777777" w:rsidR="0014798C" w:rsidRDefault="004E1F0B">
      <w:pPr>
        <w:ind w:left="1111"/>
        <w:rPr>
          <w:sz w:val="14"/>
        </w:rPr>
      </w:pPr>
      <w:r>
        <w:rPr>
          <w:color w:val="00AC59"/>
          <w:sz w:val="14"/>
        </w:rPr>
        <w:t>SEGUNDA</w:t>
      </w:r>
      <w:r>
        <w:rPr>
          <w:color w:val="00AC59"/>
          <w:spacing w:val="-5"/>
          <w:sz w:val="14"/>
        </w:rPr>
        <w:t xml:space="preserve"> </w:t>
      </w:r>
      <w:r>
        <w:rPr>
          <w:color w:val="00AC59"/>
          <w:sz w:val="14"/>
        </w:rPr>
        <w:t>PARTE:</w:t>
      </w:r>
      <w:r>
        <w:rPr>
          <w:color w:val="00AC59"/>
          <w:spacing w:val="-5"/>
          <w:sz w:val="14"/>
        </w:rPr>
        <w:t xml:space="preserve"> </w:t>
      </w:r>
      <w:r>
        <w:rPr>
          <w:color w:val="00AC59"/>
          <w:sz w:val="14"/>
        </w:rPr>
        <w:t>CONTENIDO</w:t>
      </w:r>
      <w:r>
        <w:rPr>
          <w:color w:val="00AC59"/>
          <w:spacing w:val="-4"/>
          <w:sz w:val="14"/>
        </w:rPr>
        <w:t xml:space="preserve"> </w:t>
      </w:r>
      <w:r>
        <w:rPr>
          <w:color w:val="00AC59"/>
          <w:sz w:val="14"/>
        </w:rPr>
        <w:t>DE</w:t>
      </w:r>
      <w:r>
        <w:rPr>
          <w:color w:val="00AC59"/>
          <w:spacing w:val="-5"/>
          <w:sz w:val="14"/>
        </w:rPr>
        <w:t xml:space="preserve"> </w:t>
      </w:r>
      <w:r>
        <w:rPr>
          <w:color w:val="00AC59"/>
          <w:sz w:val="14"/>
        </w:rPr>
        <w:t>LA</w:t>
      </w:r>
      <w:r>
        <w:rPr>
          <w:color w:val="00AC59"/>
          <w:spacing w:val="-4"/>
          <w:sz w:val="14"/>
        </w:rPr>
        <w:t xml:space="preserve"> </w:t>
      </w:r>
      <w:r>
        <w:rPr>
          <w:color w:val="00AC59"/>
          <w:sz w:val="14"/>
        </w:rPr>
        <w:t>LEY</w:t>
      </w:r>
      <w:r>
        <w:rPr>
          <w:color w:val="00AC59"/>
          <w:spacing w:val="-4"/>
          <w:sz w:val="14"/>
        </w:rPr>
        <w:t xml:space="preserve"> </w:t>
      </w:r>
      <w:r>
        <w:rPr>
          <w:color w:val="00AC59"/>
          <w:sz w:val="14"/>
        </w:rPr>
        <w:t>INTEGRAL</w:t>
      </w:r>
      <w:r>
        <w:rPr>
          <w:color w:val="00AC59"/>
          <w:spacing w:val="-5"/>
          <w:sz w:val="14"/>
        </w:rPr>
        <w:t xml:space="preserve"> </w:t>
      </w:r>
      <w:r>
        <w:rPr>
          <w:color w:val="00AC59"/>
          <w:spacing w:val="-2"/>
          <w:sz w:val="14"/>
        </w:rPr>
        <w:t>ANTIDISCRIMINACIÓN</w:t>
      </w:r>
    </w:p>
    <w:p w14:paraId="1AE1069D" w14:textId="77777777" w:rsidR="0014798C" w:rsidRDefault="0014798C">
      <w:pPr>
        <w:pStyle w:val="Textoindependiente"/>
        <w:rPr>
          <w:sz w:val="15"/>
        </w:rPr>
      </w:pPr>
    </w:p>
    <w:p w14:paraId="45C76A16" w14:textId="77777777" w:rsidR="0014798C" w:rsidRDefault="0014798C">
      <w:pPr>
        <w:pStyle w:val="Textoindependiente"/>
        <w:rPr>
          <w:sz w:val="15"/>
        </w:rPr>
      </w:pPr>
    </w:p>
    <w:p w14:paraId="0E3D988D" w14:textId="77777777" w:rsidR="0014798C" w:rsidRDefault="0014798C">
      <w:pPr>
        <w:pStyle w:val="Textoindependiente"/>
        <w:rPr>
          <w:sz w:val="15"/>
        </w:rPr>
      </w:pPr>
    </w:p>
    <w:p w14:paraId="6C12026E" w14:textId="77777777" w:rsidR="0014798C" w:rsidRDefault="0014798C">
      <w:pPr>
        <w:pStyle w:val="Textoindependiente"/>
        <w:rPr>
          <w:sz w:val="15"/>
        </w:rPr>
      </w:pPr>
    </w:p>
    <w:p w14:paraId="09F4326C" w14:textId="77777777" w:rsidR="0014798C" w:rsidRDefault="0014798C">
      <w:pPr>
        <w:pStyle w:val="Textoindependiente"/>
        <w:spacing w:before="109"/>
        <w:rPr>
          <w:sz w:val="15"/>
        </w:rPr>
      </w:pPr>
    </w:p>
    <w:p w14:paraId="783F0178" w14:textId="77777777" w:rsidR="0014798C" w:rsidRDefault="004E1F0B">
      <w:pPr>
        <w:spacing w:line="348" w:lineRule="auto"/>
        <w:ind w:left="1107" w:right="1216" w:firstLine="2"/>
        <w:rPr>
          <w:sz w:val="15"/>
        </w:rPr>
      </w:pPr>
      <w:r>
        <w:rPr>
          <w:w w:val="105"/>
          <w:sz w:val="15"/>
        </w:rPr>
        <w:t>organismos</w:t>
      </w:r>
      <w:r>
        <w:rPr>
          <w:spacing w:val="-3"/>
          <w:w w:val="105"/>
          <w:sz w:val="15"/>
        </w:rPr>
        <w:t xml:space="preserve"> </w:t>
      </w:r>
      <w:r>
        <w:rPr>
          <w:w w:val="105"/>
          <w:sz w:val="15"/>
        </w:rPr>
        <w:t>independientes</w:t>
      </w:r>
      <w:r>
        <w:rPr>
          <w:spacing w:val="-3"/>
          <w:w w:val="105"/>
          <w:sz w:val="15"/>
        </w:rPr>
        <w:t xml:space="preserve"> </w:t>
      </w:r>
      <w:r>
        <w:rPr>
          <w:w w:val="105"/>
          <w:sz w:val="15"/>
        </w:rPr>
        <w:t>de</w:t>
      </w:r>
      <w:r>
        <w:rPr>
          <w:spacing w:val="-3"/>
          <w:w w:val="105"/>
          <w:sz w:val="15"/>
        </w:rPr>
        <w:t xml:space="preserve"> </w:t>
      </w:r>
      <w:r>
        <w:rPr>
          <w:w w:val="105"/>
          <w:sz w:val="15"/>
        </w:rPr>
        <w:t>igualdad.716</w:t>
      </w:r>
      <w:r>
        <w:rPr>
          <w:spacing w:val="-3"/>
          <w:w w:val="105"/>
          <w:sz w:val="15"/>
        </w:rPr>
        <w:t xml:space="preserve"> </w:t>
      </w:r>
      <w:r>
        <w:rPr>
          <w:w w:val="105"/>
          <w:sz w:val="15"/>
        </w:rPr>
        <w:t>En</w:t>
      </w:r>
      <w:r>
        <w:rPr>
          <w:spacing w:val="-3"/>
          <w:w w:val="105"/>
          <w:sz w:val="15"/>
        </w:rPr>
        <w:t xml:space="preserve"> </w:t>
      </w:r>
      <w:r>
        <w:rPr>
          <w:w w:val="105"/>
          <w:sz w:val="15"/>
        </w:rPr>
        <w:t>diciembre</w:t>
      </w:r>
      <w:r>
        <w:rPr>
          <w:spacing w:val="-3"/>
          <w:w w:val="105"/>
          <w:sz w:val="15"/>
        </w:rPr>
        <w:t xml:space="preserve"> </w:t>
      </w:r>
      <w:r>
        <w:rPr>
          <w:w w:val="105"/>
          <w:sz w:val="15"/>
        </w:rPr>
        <w:t>de</w:t>
      </w:r>
      <w:r>
        <w:rPr>
          <w:spacing w:val="-3"/>
          <w:w w:val="105"/>
          <w:sz w:val="15"/>
        </w:rPr>
        <w:t xml:space="preserve"> </w:t>
      </w:r>
      <w:r>
        <w:rPr>
          <w:w w:val="105"/>
          <w:sz w:val="15"/>
        </w:rPr>
        <w:t>2017,</w:t>
      </w:r>
      <w:r>
        <w:rPr>
          <w:spacing w:val="-2"/>
          <w:w w:val="105"/>
          <w:sz w:val="15"/>
        </w:rPr>
        <w:t xml:space="preserve"> </w:t>
      </w:r>
      <w:r>
        <w:rPr>
          <w:w w:val="105"/>
          <w:sz w:val="15"/>
        </w:rPr>
        <w:t>el</w:t>
      </w:r>
      <w:r>
        <w:rPr>
          <w:spacing w:val="-3"/>
          <w:w w:val="105"/>
          <w:sz w:val="15"/>
        </w:rPr>
        <w:t xml:space="preserve"> </w:t>
      </w:r>
      <w:r>
        <w:rPr>
          <w:w w:val="105"/>
          <w:sz w:val="15"/>
        </w:rPr>
        <w:t>Consejo</w:t>
      </w:r>
      <w:r>
        <w:rPr>
          <w:spacing w:val="-3"/>
          <w:w w:val="105"/>
          <w:sz w:val="15"/>
        </w:rPr>
        <w:t xml:space="preserve"> </w:t>
      </w:r>
      <w:r>
        <w:rPr>
          <w:w w:val="105"/>
          <w:sz w:val="15"/>
        </w:rPr>
        <w:t>de</w:t>
      </w:r>
      <w:r>
        <w:rPr>
          <w:spacing w:val="-3"/>
          <w:w w:val="105"/>
          <w:sz w:val="15"/>
        </w:rPr>
        <w:t xml:space="preserve"> </w:t>
      </w:r>
      <w:r>
        <w:rPr>
          <w:w w:val="105"/>
          <w:sz w:val="15"/>
        </w:rPr>
        <w:t>Europa</w:t>
      </w:r>
      <w:r>
        <w:rPr>
          <w:spacing w:val="-3"/>
          <w:w w:val="105"/>
          <w:sz w:val="15"/>
        </w:rPr>
        <w:t xml:space="preserve"> </w:t>
      </w:r>
      <w:r>
        <w:rPr>
          <w:w w:val="105"/>
          <w:sz w:val="15"/>
        </w:rPr>
        <w:t>emitió</w:t>
      </w:r>
      <w:r>
        <w:rPr>
          <w:spacing w:val="-3"/>
          <w:w w:val="105"/>
          <w:sz w:val="15"/>
        </w:rPr>
        <w:t xml:space="preserve"> </w:t>
      </w:r>
      <w:r>
        <w:rPr>
          <w:w w:val="105"/>
          <w:sz w:val="15"/>
        </w:rPr>
        <w:t>una</w:t>
      </w:r>
      <w:r>
        <w:rPr>
          <w:spacing w:val="-3"/>
          <w:w w:val="105"/>
          <w:sz w:val="15"/>
        </w:rPr>
        <w:t xml:space="preserve"> </w:t>
      </w:r>
      <w:r>
        <w:rPr>
          <w:w w:val="105"/>
          <w:sz w:val="15"/>
        </w:rPr>
        <w:t>guía</w:t>
      </w:r>
      <w:r>
        <w:rPr>
          <w:spacing w:val="-3"/>
          <w:w w:val="105"/>
          <w:sz w:val="15"/>
        </w:rPr>
        <w:t xml:space="preserve"> </w:t>
      </w:r>
      <w:r>
        <w:rPr>
          <w:w w:val="105"/>
          <w:sz w:val="15"/>
        </w:rPr>
        <w:t>para</w:t>
      </w:r>
      <w:r>
        <w:rPr>
          <w:spacing w:val="-3"/>
          <w:w w:val="105"/>
          <w:sz w:val="15"/>
        </w:rPr>
        <w:t xml:space="preserve"> </w:t>
      </w:r>
      <w:r>
        <w:rPr>
          <w:w w:val="105"/>
          <w:sz w:val="15"/>
        </w:rPr>
        <w:t>sus</w:t>
      </w:r>
      <w:r>
        <w:rPr>
          <w:spacing w:val="-3"/>
          <w:w w:val="105"/>
          <w:sz w:val="15"/>
        </w:rPr>
        <w:t xml:space="preserve"> </w:t>
      </w:r>
      <w:r>
        <w:rPr>
          <w:w w:val="105"/>
          <w:sz w:val="15"/>
        </w:rPr>
        <w:t>Estados</w:t>
      </w:r>
      <w:r>
        <w:rPr>
          <w:spacing w:val="-3"/>
          <w:w w:val="105"/>
          <w:sz w:val="15"/>
        </w:rPr>
        <w:t xml:space="preserve"> </w:t>
      </w:r>
      <w:r>
        <w:rPr>
          <w:w w:val="105"/>
          <w:sz w:val="15"/>
        </w:rPr>
        <w:t>miembros sobre la creación de dichos organismos, su forma y funciones,717 mientras que la Unión Europea también emitió una recomendación sobre estándares para organismos de igualdad.718 Entre estos documentos y las recomendaciones de los órganos de tratados, se pueden identificar algunos requisitos esenciales para el correcto funcionamiento de los órganos de igualdad. Estos pueden dividirse en</w:t>
      </w:r>
      <w:r>
        <w:rPr>
          <w:spacing w:val="-4"/>
          <w:w w:val="105"/>
          <w:sz w:val="15"/>
        </w:rPr>
        <w:t xml:space="preserve"> </w:t>
      </w:r>
      <w:r>
        <w:rPr>
          <w:w w:val="105"/>
          <w:sz w:val="15"/>
        </w:rPr>
        <w:t>dos</w:t>
      </w:r>
      <w:r>
        <w:rPr>
          <w:spacing w:val="-4"/>
          <w:w w:val="105"/>
          <w:sz w:val="15"/>
        </w:rPr>
        <w:t xml:space="preserve"> </w:t>
      </w:r>
      <w:r>
        <w:rPr>
          <w:w w:val="105"/>
          <w:sz w:val="15"/>
        </w:rPr>
        <w:t>categorías:</w:t>
      </w:r>
      <w:r>
        <w:rPr>
          <w:spacing w:val="-4"/>
          <w:w w:val="105"/>
          <w:sz w:val="15"/>
        </w:rPr>
        <w:t xml:space="preserve"> </w:t>
      </w:r>
      <w:r>
        <w:rPr>
          <w:w w:val="105"/>
          <w:sz w:val="15"/>
        </w:rPr>
        <w:t>(a)</w:t>
      </w:r>
      <w:r>
        <w:rPr>
          <w:spacing w:val="-4"/>
          <w:w w:val="105"/>
          <w:sz w:val="15"/>
        </w:rPr>
        <w:t xml:space="preserve"> </w:t>
      </w:r>
      <w:r>
        <w:rPr>
          <w:w w:val="105"/>
          <w:sz w:val="15"/>
        </w:rPr>
        <w:t>requisitos</w:t>
      </w:r>
      <w:r>
        <w:rPr>
          <w:spacing w:val="-4"/>
          <w:w w:val="105"/>
          <w:sz w:val="15"/>
        </w:rPr>
        <w:t xml:space="preserve"> </w:t>
      </w:r>
      <w:r>
        <w:rPr>
          <w:w w:val="105"/>
          <w:sz w:val="15"/>
        </w:rPr>
        <w:t>institucionales;</w:t>
      </w:r>
      <w:r>
        <w:rPr>
          <w:spacing w:val="-3"/>
          <w:w w:val="105"/>
          <w:sz w:val="15"/>
        </w:rPr>
        <w:t xml:space="preserve"> </w:t>
      </w:r>
      <w:r>
        <w:rPr>
          <w:w w:val="105"/>
          <w:sz w:val="15"/>
        </w:rPr>
        <w:t>y</w:t>
      </w:r>
      <w:r>
        <w:rPr>
          <w:spacing w:val="-4"/>
          <w:w w:val="105"/>
          <w:sz w:val="15"/>
        </w:rPr>
        <w:t xml:space="preserve"> </w:t>
      </w:r>
      <w:r>
        <w:rPr>
          <w:w w:val="105"/>
          <w:sz w:val="15"/>
        </w:rPr>
        <w:t>(b)</w:t>
      </w:r>
      <w:r>
        <w:rPr>
          <w:spacing w:val="-4"/>
          <w:w w:val="105"/>
          <w:sz w:val="15"/>
        </w:rPr>
        <w:t xml:space="preserve"> </w:t>
      </w:r>
      <w:r>
        <w:rPr>
          <w:w w:val="105"/>
          <w:sz w:val="15"/>
        </w:rPr>
        <w:t>mandatos,</w:t>
      </w:r>
      <w:r>
        <w:rPr>
          <w:spacing w:val="-4"/>
          <w:w w:val="105"/>
          <w:sz w:val="15"/>
        </w:rPr>
        <w:t xml:space="preserve"> </w:t>
      </w:r>
      <w:r>
        <w:rPr>
          <w:w w:val="105"/>
          <w:sz w:val="15"/>
        </w:rPr>
        <w:t>funciones</w:t>
      </w:r>
      <w:r>
        <w:rPr>
          <w:spacing w:val="-4"/>
          <w:w w:val="105"/>
          <w:sz w:val="15"/>
        </w:rPr>
        <w:t xml:space="preserve"> </w:t>
      </w:r>
      <w:r>
        <w:rPr>
          <w:w w:val="105"/>
          <w:sz w:val="15"/>
        </w:rPr>
        <w:t>y</w:t>
      </w:r>
      <w:r>
        <w:rPr>
          <w:spacing w:val="-4"/>
          <w:w w:val="105"/>
          <w:sz w:val="15"/>
        </w:rPr>
        <w:t xml:space="preserve"> </w:t>
      </w:r>
      <w:r>
        <w:rPr>
          <w:w w:val="105"/>
          <w:sz w:val="15"/>
        </w:rPr>
        <w:t>facultades.</w:t>
      </w:r>
    </w:p>
    <w:p w14:paraId="24284731" w14:textId="77777777" w:rsidR="0014798C" w:rsidRDefault="0014798C">
      <w:pPr>
        <w:pStyle w:val="Textoindependiente"/>
        <w:spacing w:before="27"/>
        <w:rPr>
          <w:sz w:val="25"/>
        </w:rPr>
      </w:pPr>
    </w:p>
    <w:p w14:paraId="383FDA2C" w14:textId="77777777" w:rsidR="0014798C" w:rsidRDefault="004E1F0B">
      <w:pPr>
        <w:numPr>
          <w:ilvl w:val="1"/>
          <w:numId w:val="3"/>
        </w:numPr>
        <w:tabs>
          <w:tab w:val="left" w:pos="1423"/>
        </w:tabs>
        <w:ind w:left="1423" w:hanging="303"/>
        <w:rPr>
          <w:color w:val="00AC59"/>
          <w:sz w:val="25"/>
        </w:rPr>
      </w:pPr>
      <w:r>
        <w:rPr>
          <w:noProof/>
        </w:rPr>
        <w:drawing>
          <wp:anchor distT="0" distB="0" distL="0" distR="0" simplePos="0" relativeHeight="251658437" behindDoc="1" locked="0" layoutInCell="1" allowOverlap="1" wp14:anchorId="3C6ED530" wp14:editId="02F573C7">
            <wp:simplePos x="0" y="0"/>
            <wp:positionH relativeFrom="page">
              <wp:posOffset>826632</wp:posOffset>
            </wp:positionH>
            <wp:positionV relativeFrom="paragraph">
              <wp:posOffset>77493</wp:posOffset>
            </wp:positionV>
            <wp:extent cx="6729867" cy="5612197"/>
            <wp:effectExtent l="0" t="0" r="0" b="0"/>
            <wp:wrapNone/>
            <wp:docPr id="225" name="Image 22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25" name="Image 225"/>
                    <pic:cNvPicPr/>
                  </pic:nvPicPr>
                  <pic:blipFill>
                    <a:blip r:embed="rId207" cstate="print"/>
                    <a:stretch>
                      <a:fillRect/>
                    </a:stretch>
                  </pic:blipFill>
                  <pic:spPr>
                    <a:xfrm>
                      <a:off x="0" y="0"/>
                      <a:ext cx="6729867" cy="5612197"/>
                    </a:xfrm>
                    <a:prstGeom prst="rect">
                      <a:avLst/>
                    </a:prstGeom>
                  </pic:spPr>
                </pic:pic>
              </a:graphicData>
            </a:graphic>
          </wp:anchor>
        </w:drawing>
      </w:r>
      <w:r>
        <w:rPr>
          <w:color w:val="00AC59"/>
          <w:sz w:val="25"/>
        </w:rPr>
        <w:t>Requisitos</w:t>
      </w:r>
      <w:r>
        <w:rPr>
          <w:color w:val="00AC59"/>
          <w:spacing w:val="-10"/>
          <w:sz w:val="25"/>
        </w:rPr>
        <w:t xml:space="preserve"> </w:t>
      </w:r>
      <w:r>
        <w:rPr>
          <w:color w:val="00AC59"/>
          <w:sz w:val="25"/>
        </w:rPr>
        <w:t>institucionales</w:t>
      </w:r>
      <w:r>
        <w:rPr>
          <w:color w:val="00AC59"/>
          <w:spacing w:val="-10"/>
          <w:sz w:val="25"/>
        </w:rPr>
        <w:t xml:space="preserve"> </w:t>
      </w:r>
      <w:r>
        <w:rPr>
          <w:color w:val="00AC59"/>
          <w:sz w:val="25"/>
        </w:rPr>
        <w:t>de</w:t>
      </w:r>
      <w:r>
        <w:rPr>
          <w:color w:val="00AC59"/>
          <w:spacing w:val="-10"/>
          <w:sz w:val="25"/>
        </w:rPr>
        <w:t xml:space="preserve"> </w:t>
      </w:r>
      <w:r>
        <w:rPr>
          <w:color w:val="00AC59"/>
          <w:sz w:val="25"/>
        </w:rPr>
        <w:t>los</w:t>
      </w:r>
      <w:r>
        <w:rPr>
          <w:color w:val="00AC59"/>
          <w:spacing w:val="-9"/>
          <w:sz w:val="25"/>
        </w:rPr>
        <w:t xml:space="preserve"> </w:t>
      </w:r>
      <w:r>
        <w:rPr>
          <w:color w:val="00AC59"/>
          <w:sz w:val="25"/>
        </w:rPr>
        <w:t>organismos</w:t>
      </w:r>
      <w:r>
        <w:rPr>
          <w:color w:val="00AC59"/>
          <w:spacing w:val="-10"/>
          <w:sz w:val="25"/>
        </w:rPr>
        <w:t xml:space="preserve"> </w:t>
      </w:r>
      <w:r>
        <w:rPr>
          <w:color w:val="00AC59"/>
          <w:sz w:val="25"/>
        </w:rPr>
        <w:t>de</w:t>
      </w:r>
      <w:r>
        <w:rPr>
          <w:color w:val="00AC59"/>
          <w:spacing w:val="-10"/>
          <w:sz w:val="25"/>
        </w:rPr>
        <w:t xml:space="preserve"> </w:t>
      </w:r>
      <w:r>
        <w:rPr>
          <w:color w:val="00AC59"/>
          <w:spacing w:val="-2"/>
          <w:sz w:val="25"/>
        </w:rPr>
        <w:t>igualdad</w:t>
      </w:r>
    </w:p>
    <w:p w14:paraId="04A1ACBE" w14:textId="77777777" w:rsidR="0014798C" w:rsidRDefault="0014798C">
      <w:pPr>
        <w:pStyle w:val="Textoindependiente"/>
        <w:spacing w:before="76"/>
        <w:rPr>
          <w:sz w:val="15"/>
        </w:rPr>
      </w:pPr>
    </w:p>
    <w:p w14:paraId="496CB7EF" w14:textId="77777777" w:rsidR="0014798C" w:rsidRDefault="004E1F0B">
      <w:pPr>
        <w:spacing w:line="348" w:lineRule="auto"/>
        <w:ind w:left="1110" w:right="1272"/>
        <w:rPr>
          <w:sz w:val="15"/>
        </w:rPr>
      </w:pPr>
      <w:r>
        <w:rPr>
          <w:w w:val="105"/>
          <w:sz w:val="15"/>
        </w:rPr>
        <w:t>Entre</w:t>
      </w:r>
      <w:r>
        <w:rPr>
          <w:spacing w:val="-4"/>
          <w:w w:val="105"/>
          <w:sz w:val="15"/>
        </w:rPr>
        <w:t xml:space="preserve"> </w:t>
      </w:r>
      <w:r>
        <w:rPr>
          <w:w w:val="105"/>
          <w:sz w:val="15"/>
        </w:rPr>
        <w:t>ellos,</w:t>
      </w:r>
      <w:r>
        <w:rPr>
          <w:spacing w:val="-3"/>
          <w:w w:val="105"/>
          <w:sz w:val="15"/>
        </w:rPr>
        <w:t xml:space="preserve"> </w:t>
      </w:r>
      <w:r>
        <w:rPr>
          <w:w w:val="105"/>
          <w:sz w:val="15"/>
        </w:rPr>
        <w:t>los</w:t>
      </w:r>
      <w:r>
        <w:rPr>
          <w:spacing w:val="-4"/>
          <w:w w:val="105"/>
          <w:sz w:val="15"/>
        </w:rPr>
        <w:t xml:space="preserve"> </w:t>
      </w:r>
      <w:r>
        <w:rPr>
          <w:w w:val="105"/>
          <w:sz w:val="15"/>
        </w:rPr>
        <w:t>órganos</w:t>
      </w:r>
      <w:r>
        <w:rPr>
          <w:spacing w:val="-4"/>
          <w:w w:val="105"/>
          <w:sz w:val="15"/>
        </w:rPr>
        <w:t xml:space="preserve"> </w:t>
      </w:r>
      <w:r>
        <w:rPr>
          <w:w w:val="105"/>
          <w:sz w:val="15"/>
        </w:rPr>
        <w:t>de</w:t>
      </w:r>
      <w:r>
        <w:rPr>
          <w:spacing w:val="-4"/>
          <w:w w:val="105"/>
          <w:sz w:val="15"/>
        </w:rPr>
        <w:t xml:space="preserve"> </w:t>
      </w:r>
      <w:r>
        <w:rPr>
          <w:w w:val="105"/>
          <w:sz w:val="15"/>
        </w:rPr>
        <w:t>tratados</w:t>
      </w:r>
      <w:r>
        <w:rPr>
          <w:spacing w:val="-4"/>
          <w:w w:val="105"/>
          <w:sz w:val="15"/>
        </w:rPr>
        <w:t xml:space="preserve"> </w:t>
      </w:r>
      <w:r>
        <w:rPr>
          <w:w w:val="105"/>
          <w:sz w:val="15"/>
        </w:rPr>
        <w:t>han</w:t>
      </w:r>
      <w:r>
        <w:rPr>
          <w:spacing w:val="-4"/>
          <w:w w:val="105"/>
          <w:sz w:val="15"/>
        </w:rPr>
        <w:t xml:space="preserve"> </w:t>
      </w:r>
      <w:r>
        <w:rPr>
          <w:w w:val="105"/>
          <w:sz w:val="15"/>
        </w:rPr>
        <w:t>identificado</w:t>
      </w:r>
      <w:r>
        <w:rPr>
          <w:spacing w:val="-4"/>
          <w:w w:val="105"/>
          <w:sz w:val="15"/>
        </w:rPr>
        <w:t xml:space="preserve"> </w:t>
      </w:r>
      <w:r>
        <w:rPr>
          <w:w w:val="105"/>
          <w:sz w:val="15"/>
        </w:rPr>
        <w:t>ciertos</w:t>
      </w:r>
      <w:r>
        <w:rPr>
          <w:spacing w:val="-4"/>
          <w:w w:val="105"/>
          <w:sz w:val="15"/>
        </w:rPr>
        <w:t xml:space="preserve"> </w:t>
      </w:r>
      <w:r>
        <w:rPr>
          <w:w w:val="105"/>
          <w:sz w:val="15"/>
        </w:rPr>
        <w:t>requisitos</w:t>
      </w:r>
      <w:r>
        <w:rPr>
          <w:spacing w:val="-4"/>
          <w:w w:val="105"/>
          <w:sz w:val="15"/>
        </w:rPr>
        <w:t xml:space="preserve"> </w:t>
      </w:r>
      <w:r>
        <w:rPr>
          <w:w w:val="105"/>
          <w:sz w:val="15"/>
        </w:rPr>
        <w:t>institucionales</w:t>
      </w:r>
      <w:r>
        <w:rPr>
          <w:spacing w:val="-4"/>
          <w:w w:val="105"/>
          <w:sz w:val="15"/>
        </w:rPr>
        <w:t xml:space="preserve"> </w:t>
      </w:r>
      <w:r>
        <w:rPr>
          <w:w w:val="105"/>
          <w:sz w:val="15"/>
        </w:rPr>
        <w:t>que</w:t>
      </w:r>
      <w:r>
        <w:rPr>
          <w:spacing w:val="-4"/>
          <w:w w:val="105"/>
          <w:sz w:val="15"/>
        </w:rPr>
        <w:t xml:space="preserve"> </w:t>
      </w:r>
      <w:r>
        <w:rPr>
          <w:w w:val="105"/>
          <w:sz w:val="15"/>
        </w:rPr>
        <w:t>deben</w:t>
      </w:r>
      <w:r>
        <w:rPr>
          <w:spacing w:val="-4"/>
          <w:w w:val="105"/>
          <w:sz w:val="15"/>
        </w:rPr>
        <w:t xml:space="preserve"> </w:t>
      </w:r>
      <w:r>
        <w:rPr>
          <w:w w:val="105"/>
          <w:sz w:val="15"/>
        </w:rPr>
        <w:t>cumplirse</w:t>
      </w:r>
      <w:r>
        <w:rPr>
          <w:spacing w:val="-4"/>
          <w:w w:val="105"/>
          <w:sz w:val="15"/>
        </w:rPr>
        <w:t xml:space="preserve"> </w:t>
      </w:r>
      <w:r>
        <w:rPr>
          <w:w w:val="105"/>
          <w:sz w:val="15"/>
        </w:rPr>
        <w:t>para</w:t>
      </w:r>
      <w:r>
        <w:rPr>
          <w:spacing w:val="-4"/>
          <w:w w:val="105"/>
          <w:sz w:val="15"/>
        </w:rPr>
        <w:t xml:space="preserve"> </w:t>
      </w:r>
      <w:r>
        <w:rPr>
          <w:w w:val="105"/>
          <w:sz w:val="15"/>
        </w:rPr>
        <w:t>garantizar</w:t>
      </w:r>
      <w:r>
        <w:rPr>
          <w:spacing w:val="-4"/>
          <w:w w:val="105"/>
          <w:sz w:val="15"/>
        </w:rPr>
        <w:t xml:space="preserve"> </w:t>
      </w:r>
      <w:r>
        <w:rPr>
          <w:w w:val="105"/>
          <w:sz w:val="15"/>
        </w:rPr>
        <w:t>que</w:t>
      </w:r>
      <w:r>
        <w:rPr>
          <w:spacing w:val="-4"/>
          <w:w w:val="105"/>
          <w:sz w:val="15"/>
        </w:rPr>
        <w:t xml:space="preserve"> </w:t>
      </w:r>
      <w:r>
        <w:rPr>
          <w:w w:val="105"/>
          <w:sz w:val="15"/>
        </w:rPr>
        <w:t>los órganos de igualdad puedan llevar a cabo sus funciones de manera efectiva. En particular, dichos organismos deberán ser: a)</w:t>
      </w:r>
    </w:p>
    <w:p w14:paraId="6AD92D87" w14:textId="77777777" w:rsidR="0014798C" w:rsidRDefault="004E1F0B">
      <w:pPr>
        <w:spacing w:line="172" w:lineRule="exact"/>
        <w:ind w:left="1119"/>
        <w:rPr>
          <w:sz w:val="15"/>
        </w:rPr>
      </w:pPr>
      <w:r>
        <w:rPr>
          <w:noProof/>
        </w:rPr>
        <mc:AlternateContent>
          <mc:Choice Requires="wps">
            <w:drawing>
              <wp:anchor distT="0" distB="0" distL="0" distR="0" simplePos="0" relativeHeight="251658291" behindDoc="0" locked="0" layoutInCell="1" allowOverlap="1" wp14:anchorId="1D673B8A" wp14:editId="1C63D0FD">
                <wp:simplePos x="0" y="0"/>
                <wp:positionH relativeFrom="page">
                  <wp:posOffset>7310646</wp:posOffset>
                </wp:positionH>
                <wp:positionV relativeFrom="paragraph">
                  <wp:posOffset>65703</wp:posOffset>
                </wp:positionV>
                <wp:extent cx="86995" cy="295910"/>
                <wp:effectExtent l="0" t="0" r="0" b="0"/>
                <wp:wrapNone/>
                <wp:docPr id="226" name="Textbox 22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86995" cy="295910"/>
                        </a:xfrm>
                        <a:prstGeom prst="rect">
                          <a:avLst/>
                        </a:prstGeom>
                      </wps:spPr>
                      <wps:txbx>
                        <w:txbxContent>
                          <w:p w14:paraId="70CD5EF2" w14:textId="77777777" w:rsidR="0014798C" w:rsidRDefault="004E1F0B">
                            <w:pPr>
                              <w:spacing w:before="23"/>
                              <w:ind w:left="20"/>
                              <w:rPr>
                                <w:sz w:val="8"/>
                              </w:rPr>
                            </w:pPr>
                            <w:r>
                              <w:rPr>
                                <w:color w:val="FFFFFF"/>
                                <w:spacing w:val="-27"/>
                                <w:w w:val="105"/>
                                <w:sz w:val="8"/>
                              </w:rPr>
                              <w:t>–IP</w:t>
                            </w:r>
                            <w:r>
                              <w:rPr>
                                <w:spacing w:val="-27"/>
                                <w:w w:val="105"/>
                                <w:sz w:val="8"/>
                              </w:rPr>
                              <w:t>S</w:t>
                            </w:r>
                            <w:r>
                              <w:rPr>
                                <w:color w:val="FFFFFF"/>
                                <w:spacing w:val="-27"/>
                                <w:w w:val="105"/>
                                <w:sz w:val="8"/>
                              </w:rPr>
                              <w:t>VA</w:t>
                            </w:r>
                            <w:r>
                              <w:rPr>
                                <w:spacing w:val="-27"/>
                                <w:w w:val="105"/>
                                <w:sz w:val="8"/>
                              </w:rPr>
                              <w:t>E</w:t>
                            </w:r>
                            <w:r>
                              <w:rPr>
                                <w:color w:val="FFFFFF"/>
                                <w:spacing w:val="-27"/>
                                <w:w w:val="105"/>
                                <w:sz w:val="8"/>
                              </w:rPr>
                              <w:t>R</w:t>
                            </w:r>
                            <w:r>
                              <w:rPr>
                                <w:spacing w:val="-27"/>
                                <w:w w:val="105"/>
                                <w:sz w:val="8"/>
                              </w:rPr>
                              <w:t>G</w:t>
                            </w:r>
                            <w:r>
                              <w:rPr>
                                <w:color w:val="FFFFFF"/>
                                <w:spacing w:val="-27"/>
                                <w:w w:val="105"/>
                                <w:sz w:val="8"/>
                              </w:rPr>
                              <w:t>T</w:t>
                            </w:r>
                            <w:r>
                              <w:rPr>
                                <w:spacing w:val="-27"/>
                                <w:w w:val="105"/>
                                <w:sz w:val="8"/>
                              </w:rPr>
                              <w:t>U</w:t>
                            </w:r>
                            <w:r>
                              <w:rPr>
                                <w:color w:val="FFFFFF"/>
                                <w:spacing w:val="-27"/>
                                <w:w w:val="105"/>
                                <w:sz w:val="8"/>
                              </w:rPr>
                              <w:t>E</w:t>
                            </w:r>
                            <w:r>
                              <w:rPr>
                                <w:spacing w:val="-27"/>
                                <w:w w:val="105"/>
                                <w:sz w:val="8"/>
                              </w:rPr>
                              <w:t>NDA</w:t>
                            </w:r>
                          </w:p>
                        </w:txbxContent>
                      </wps:txbx>
                      <wps:bodyPr vert="vert270" wrap="square" lIns="0" tIns="0" rIns="0" bIns="0" rtlCol="0">
                        <a:noAutofit/>
                      </wps:bodyPr>
                    </wps:wsp>
                  </a:graphicData>
                </a:graphic>
              </wp:anchor>
            </w:drawing>
          </mc:Choice>
          <mc:Fallback>
            <w:pict>
              <v:shape w14:anchorId="1D673B8A" id="Textbox 226" o:spid="_x0000_s1114" type="#_x0000_t202" style="position:absolute;left:0;text-align:left;margin-left:575.65pt;margin-top:5.15pt;width:6.85pt;height:23.3pt;z-index:251658291;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" filled="f" stroked="f">
                <v:textbox style="layout-flow:vertical;mso-layout-flow-alt:bottom-to-top" inset="0,0,0,0">
                  <w:txbxContent>
                    <w:p w14:paraId="70CD5EF2" w14:textId="77777777" w:rsidR="0014798C" w:rsidRDefault="004E1F0B">
                      <w:pPr>
                        <w:spacing w:before="23"/>
                        <w:ind w:left="20"/>
                        <w:rPr>
                          <w:sz w:val="8"/>
                        </w:rPr>
                      </w:pPr>
                      <w:r>
                        <w:rPr>
                          <w:color w:val="FFFFFF"/>
                          <w:spacing w:val="-27"/>
                          <w:w w:val="105"/>
                          <w:sz w:val="8"/>
                        </w:rPr>
                        <w:t>–IP</w:t>
                      </w:r>
                      <w:r>
                        <w:rPr>
                          <w:spacing w:val="-27"/>
                          <w:w w:val="105"/>
                          <w:sz w:val="8"/>
                        </w:rPr>
                        <w:t>S</w:t>
                      </w:r>
                      <w:r>
                        <w:rPr>
                          <w:color w:val="FFFFFF"/>
                          <w:spacing w:val="-27"/>
                          <w:w w:val="105"/>
                          <w:sz w:val="8"/>
                        </w:rPr>
                        <w:t>VA</w:t>
                      </w:r>
                      <w:r>
                        <w:rPr>
                          <w:spacing w:val="-27"/>
                          <w:w w:val="105"/>
                          <w:sz w:val="8"/>
                        </w:rPr>
                        <w:t>E</w:t>
                      </w:r>
                      <w:r>
                        <w:rPr>
                          <w:color w:val="FFFFFF"/>
                          <w:spacing w:val="-27"/>
                          <w:w w:val="105"/>
                          <w:sz w:val="8"/>
                        </w:rPr>
                        <w:t>R</w:t>
                      </w:r>
                      <w:r>
                        <w:rPr>
                          <w:spacing w:val="-27"/>
                          <w:w w:val="105"/>
                          <w:sz w:val="8"/>
                        </w:rPr>
                        <w:t>G</w:t>
                      </w:r>
                      <w:r>
                        <w:rPr>
                          <w:color w:val="FFFFFF"/>
                          <w:spacing w:val="-27"/>
                          <w:w w:val="105"/>
                          <w:sz w:val="8"/>
                        </w:rPr>
                        <w:t>T</w:t>
                      </w:r>
                      <w:r>
                        <w:rPr>
                          <w:spacing w:val="-27"/>
                          <w:w w:val="105"/>
                          <w:sz w:val="8"/>
                        </w:rPr>
                        <w:t>U</w:t>
                      </w:r>
                      <w:r>
                        <w:rPr>
                          <w:color w:val="FFFFFF"/>
                          <w:spacing w:val="-27"/>
                          <w:w w:val="105"/>
                          <w:sz w:val="8"/>
                        </w:rPr>
                        <w:t>E</w:t>
                      </w:r>
                      <w:r>
                        <w:rPr>
                          <w:spacing w:val="-27"/>
                          <w:w w:val="105"/>
                          <w:sz w:val="8"/>
                        </w:rPr>
                        <w:t>NDA</w:t>
                      </w:r>
                    </w:p>
                  </w:txbxContent>
                </v:textbox>
                <w10:wrap anchorx="page"/>
              </v:shape>
            </w:pict>
          </mc:Fallback>
        </mc:AlternateContent>
      </w:r>
      <w:r>
        <w:rPr>
          <w:sz w:val="15"/>
        </w:rPr>
        <w:t>independientes;</w:t>
      </w:r>
      <w:r>
        <w:rPr>
          <w:spacing w:val="-1"/>
          <w:sz w:val="15"/>
        </w:rPr>
        <w:t xml:space="preserve"> </w:t>
      </w:r>
      <w:r>
        <w:rPr>
          <w:sz w:val="15"/>
        </w:rPr>
        <w:t>(b)</w:t>
      </w:r>
      <w:r>
        <w:rPr>
          <w:spacing w:val="-3"/>
          <w:sz w:val="15"/>
        </w:rPr>
        <w:t xml:space="preserve"> </w:t>
      </w:r>
      <w:r>
        <w:rPr>
          <w:sz w:val="15"/>
        </w:rPr>
        <w:t>contar</w:t>
      </w:r>
      <w:r>
        <w:rPr>
          <w:spacing w:val="-3"/>
          <w:sz w:val="15"/>
        </w:rPr>
        <w:t xml:space="preserve"> </w:t>
      </w:r>
      <w:r>
        <w:rPr>
          <w:sz w:val="15"/>
        </w:rPr>
        <w:t>con</w:t>
      </w:r>
      <w:r>
        <w:rPr>
          <w:spacing w:val="-2"/>
          <w:sz w:val="15"/>
        </w:rPr>
        <w:t xml:space="preserve"> </w:t>
      </w:r>
      <w:r>
        <w:rPr>
          <w:sz w:val="15"/>
        </w:rPr>
        <w:t>recursos</w:t>
      </w:r>
      <w:r>
        <w:rPr>
          <w:spacing w:val="-3"/>
          <w:sz w:val="15"/>
        </w:rPr>
        <w:t xml:space="preserve"> </w:t>
      </w:r>
      <w:r>
        <w:rPr>
          <w:sz w:val="15"/>
        </w:rPr>
        <w:t>adecuados;</w:t>
      </w:r>
      <w:r>
        <w:rPr>
          <w:spacing w:val="-2"/>
          <w:sz w:val="15"/>
        </w:rPr>
        <w:t xml:space="preserve"> </w:t>
      </w:r>
      <w:r>
        <w:rPr>
          <w:sz w:val="15"/>
        </w:rPr>
        <w:t>(c)</w:t>
      </w:r>
      <w:r>
        <w:rPr>
          <w:spacing w:val="-2"/>
          <w:sz w:val="15"/>
        </w:rPr>
        <w:t xml:space="preserve"> </w:t>
      </w:r>
      <w:r>
        <w:rPr>
          <w:sz w:val="15"/>
        </w:rPr>
        <w:t>inclusivo,</w:t>
      </w:r>
      <w:r>
        <w:rPr>
          <w:spacing w:val="-2"/>
          <w:sz w:val="15"/>
        </w:rPr>
        <w:t xml:space="preserve"> </w:t>
      </w:r>
      <w:r>
        <w:rPr>
          <w:sz w:val="15"/>
        </w:rPr>
        <w:t>participativo</w:t>
      </w:r>
      <w:r>
        <w:rPr>
          <w:spacing w:val="-3"/>
          <w:sz w:val="15"/>
        </w:rPr>
        <w:t xml:space="preserve"> </w:t>
      </w:r>
      <w:r>
        <w:rPr>
          <w:sz w:val="15"/>
        </w:rPr>
        <w:t>y</w:t>
      </w:r>
      <w:r>
        <w:rPr>
          <w:spacing w:val="-2"/>
          <w:sz w:val="15"/>
        </w:rPr>
        <w:t xml:space="preserve"> </w:t>
      </w:r>
      <w:r>
        <w:rPr>
          <w:sz w:val="15"/>
        </w:rPr>
        <w:t>representativo</w:t>
      </w:r>
      <w:r>
        <w:rPr>
          <w:spacing w:val="-3"/>
          <w:sz w:val="15"/>
        </w:rPr>
        <w:t xml:space="preserve"> </w:t>
      </w:r>
      <w:r>
        <w:rPr>
          <w:sz w:val="15"/>
        </w:rPr>
        <w:t>de</w:t>
      </w:r>
      <w:r>
        <w:rPr>
          <w:spacing w:val="-3"/>
          <w:sz w:val="15"/>
        </w:rPr>
        <w:t xml:space="preserve"> </w:t>
      </w:r>
      <w:r>
        <w:rPr>
          <w:sz w:val="15"/>
        </w:rPr>
        <w:t>la</w:t>
      </w:r>
      <w:r>
        <w:rPr>
          <w:spacing w:val="-2"/>
          <w:sz w:val="15"/>
        </w:rPr>
        <w:t xml:space="preserve"> </w:t>
      </w:r>
      <w:r>
        <w:rPr>
          <w:sz w:val="15"/>
        </w:rPr>
        <w:t>diversidad</w:t>
      </w:r>
      <w:r>
        <w:rPr>
          <w:spacing w:val="-3"/>
          <w:sz w:val="15"/>
        </w:rPr>
        <w:t xml:space="preserve"> </w:t>
      </w:r>
      <w:r>
        <w:rPr>
          <w:sz w:val="15"/>
        </w:rPr>
        <w:t>en</w:t>
      </w:r>
      <w:r>
        <w:rPr>
          <w:spacing w:val="-3"/>
          <w:sz w:val="15"/>
        </w:rPr>
        <w:t xml:space="preserve"> </w:t>
      </w:r>
      <w:r>
        <w:rPr>
          <w:sz w:val="15"/>
        </w:rPr>
        <w:t>la</w:t>
      </w:r>
      <w:r>
        <w:rPr>
          <w:spacing w:val="-2"/>
          <w:sz w:val="15"/>
        </w:rPr>
        <w:t xml:space="preserve"> </w:t>
      </w:r>
      <w:r>
        <w:rPr>
          <w:sz w:val="15"/>
        </w:rPr>
        <w:t>sociedad;</w:t>
      </w:r>
      <w:r>
        <w:rPr>
          <w:spacing w:val="-2"/>
          <w:sz w:val="15"/>
        </w:rPr>
        <w:t xml:space="preserve"> </w:t>
      </w:r>
      <w:r>
        <w:rPr>
          <w:sz w:val="15"/>
        </w:rPr>
        <w:t>y</w:t>
      </w:r>
      <w:r>
        <w:rPr>
          <w:spacing w:val="-3"/>
          <w:sz w:val="15"/>
        </w:rPr>
        <w:t xml:space="preserve"> </w:t>
      </w:r>
      <w:r>
        <w:rPr>
          <w:sz w:val="15"/>
        </w:rPr>
        <w:t>(d)</w:t>
      </w:r>
      <w:r>
        <w:rPr>
          <w:spacing w:val="-2"/>
          <w:sz w:val="15"/>
        </w:rPr>
        <w:t xml:space="preserve"> accesible.</w:t>
      </w:r>
    </w:p>
    <w:p w14:paraId="28B48EDA" w14:textId="77777777" w:rsidR="0014798C" w:rsidRDefault="004E1F0B">
      <w:pPr>
        <w:spacing w:before="78" w:line="348" w:lineRule="auto"/>
        <w:ind w:left="1107" w:right="1301" w:hanging="1"/>
        <w:rPr>
          <w:sz w:val="15"/>
        </w:rPr>
      </w:pPr>
      <w:r>
        <w:rPr>
          <w:w w:val="105"/>
          <w:sz w:val="15"/>
        </w:rPr>
        <w:t>Las orientaciones de la Comisión Europea contra el Racismo y la Intolerancia y la Comisión Europea, junto con el informe de 2016 del</w:t>
      </w:r>
      <w:r>
        <w:rPr>
          <w:spacing w:val="-4"/>
          <w:w w:val="105"/>
          <w:sz w:val="15"/>
        </w:rPr>
        <w:t xml:space="preserve"> </w:t>
      </w:r>
      <w:r>
        <w:rPr>
          <w:w w:val="105"/>
          <w:sz w:val="15"/>
        </w:rPr>
        <w:t>Relator</w:t>
      </w:r>
      <w:r>
        <w:rPr>
          <w:spacing w:val="-4"/>
          <w:w w:val="105"/>
          <w:sz w:val="15"/>
        </w:rPr>
        <w:t xml:space="preserve"> </w:t>
      </w:r>
      <w:r>
        <w:rPr>
          <w:w w:val="105"/>
          <w:sz w:val="15"/>
        </w:rPr>
        <w:t>Especial</w:t>
      </w:r>
      <w:r>
        <w:rPr>
          <w:spacing w:val="-4"/>
          <w:w w:val="105"/>
          <w:sz w:val="15"/>
        </w:rPr>
        <w:t xml:space="preserve"> </w:t>
      </w:r>
      <w:r>
        <w:rPr>
          <w:w w:val="105"/>
          <w:sz w:val="15"/>
        </w:rPr>
        <w:t>sobre</w:t>
      </w:r>
      <w:r>
        <w:rPr>
          <w:spacing w:val="-4"/>
          <w:w w:val="105"/>
          <w:sz w:val="15"/>
        </w:rPr>
        <w:t xml:space="preserve"> </w:t>
      </w:r>
      <w:r>
        <w:rPr>
          <w:w w:val="105"/>
          <w:sz w:val="15"/>
        </w:rPr>
        <w:t>las</w:t>
      </w:r>
      <w:r>
        <w:rPr>
          <w:spacing w:val="-4"/>
          <w:w w:val="105"/>
          <w:sz w:val="15"/>
        </w:rPr>
        <w:t xml:space="preserve"> </w:t>
      </w:r>
      <w:r>
        <w:rPr>
          <w:w w:val="105"/>
          <w:sz w:val="15"/>
        </w:rPr>
        <w:t>formas</w:t>
      </w:r>
      <w:r>
        <w:rPr>
          <w:spacing w:val="-4"/>
          <w:w w:val="105"/>
          <w:sz w:val="15"/>
        </w:rPr>
        <w:t xml:space="preserve"> </w:t>
      </w:r>
      <w:r>
        <w:rPr>
          <w:w w:val="105"/>
          <w:sz w:val="15"/>
        </w:rPr>
        <w:t>contemporáneas</w:t>
      </w:r>
      <w:r>
        <w:rPr>
          <w:spacing w:val="-4"/>
          <w:w w:val="105"/>
          <w:sz w:val="15"/>
        </w:rPr>
        <w:t xml:space="preserve"> </w:t>
      </w:r>
      <w:r>
        <w:rPr>
          <w:w w:val="105"/>
          <w:sz w:val="15"/>
        </w:rPr>
        <w:t>de</w:t>
      </w:r>
      <w:r>
        <w:rPr>
          <w:spacing w:val="-4"/>
          <w:w w:val="105"/>
          <w:sz w:val="15"/>
        </w:rPr>
        <w:t xml:space="preserve"> </w:t>
      </w:r>
      <w:r>
        <w:rPr>
          <w:w w:val="105"/>
          <w:sz w:val="15"/>
        </w:rPr>
        <w:t>racismo,</w:t>
      </w:r>
      <w:r>
        <w:rPr>
          <w:spacing w:val="-3"/>
          <w:w w:val="105"/>
          <w:sz w:val="15"/>
        </w:rPr>
        <w:t xml:space="preserve"> </w:t>
      </w:r>
      <w:r>
        <w:rPr>
          <w:w w:val="105"/>
          <w:sz w:val="15"/>
        </w:rPr>
        <w:t>discriminación</w:t>
      </w:r>
      <w:r>
        <w:rPr>
          <w:spacing w:val="-3"/>
          <w:w w:val="105"/>
          <w:sz w:val="15"/>
        </w:rPr>
        <w:t xml:space="preserve"> </w:t>
      </w:r>
      <w:r>
        <w:rPr>
          <w:w w:val="105"/>
          <w:sz w:val="15"/>
        </w:rPr>
        <w:t>racial,</w:t>
      </w:r>
      <w:r>
        <w:rPr>
          <w:spacing w:val="-3"/>
          <w:w w:val="105"/>
          <w:sz w:val="15"/>
        </w:rPr>
        <w:t xml:space="preserve"> </w:t>
      </w:r>
      <w:r>
        <w:rPr>
          <w:w w:val="105"/>
          <w:sz w:val="15"/>
        </w:rPr>
        <w:t>xenofobia</w:t>
      </w:r>
      <w:r>
        <w:rPr>
          <w:spacing w:val="-4"/>
          <w:w w:val="105"/>
          <w:sz w:val="15"/>
        </w:rPr>
        <w:t xml:space="preserve"> </w:t>
      </w:r>
      <w:r>
        <w:rPr>
          <w:w w:val="105"/>
          <w:sz w:val="15"/>
        </w:rPr>
        <w:t>y</w:t>
      </w:r>
      <w:r>
        <w:rPr>
          <w:spacing w:val="-4"/>
          <w:w w:val="105"/>
          <w:sz w:val="15"/>
        </w:rPr>
        <w:t xml:space="preserve"> </w:t>
      </w:r>
      <w:r>
        <w:rPr>
          <w:w w:val="105"/>
          <w:sz w:val="15"/>
        </w:rPr>
        <w:t>formas</w:t>
      </w:r>
      <w:r>
        <w:rPr>
          <w:spacing w:val="-4"/>
          <w:w w:val="105"/>
          <w:sz w:val="15"/>
        </w:rPr>
        <w:t xml:space="preserve"> </w:t>
      </w:r>
      <w:r>
        <w:rPr>
          <w:w w:val="105"/>
          <w:sz w:val="15"/>
        </w:rPr>
        <w:t>conexas</w:t>
      </w:r>
      <w:r>
        <w:rPr>
          <w:spacing w:val="-4"/>
          <w:w w:val="105"/>
          <w:sz w:val="15"/>
        </w:rPr>
        <w:t xml:space="preserve"> </w:t>
      </w:r>
      <w:r>
        <w:rPr>
          <w:w w:val="105"/>
          <w:sz w:val="15"/>
        </w:rPr>
        <w:t>de</w:t>
      </w:r>
      <w:r>
        <w:rPr>
          <w:spacing w:val="-4"/>
          <w:w w:val="105"/>
          <w:sz w:val="15"/>
        </w:rPr>
        <w:t xml:space="preserve"> </w:t>
      </w:r>
      <w:r>
        <w:rPr>
          <w:w w:val="105"/>
          <w:sz w:val="15"/>
        </w:rPr>
        <w:t>intolerancia, se basan en estos requisitos y brindan más detalles sobre las medidas necesarias para garantizar que los organismos de igualdad puedan cumplir eficazmente sus mandatos.</w:t>
      </w:r>
    </w:p>
    <w:p w14:paraId="31D90FF2" w14:textId="77777777" w:rsidR="0014798C" w:rsidRDefault="004E1F0B">
      <w:pPr>
        <w:numPr>
          <w:ilvl w:val="0"/>
          <w:numId w:val="41"/>
        </w:numPr>
        <w:tabs>
          <w:tab w:val="left" w:pos="1403"/>
        </w:tabs>
        <w:spacing w:before="242"/>
        <w:ind w:left="1403" w:hanging="268"/>
        <w:rPr>
          <w:color w:val="00AC59"/>
          <w:sz w:val="24"/>
        </w:rPr>
      </w:pPr>
      <w:r>
        <w:rPr>
          <w:color w:val="00AC59"/>
          <w:spacing w:val="-2"/>
          <w:sz w:val="24"/>
        </w:rPr>
        <w:t>Independencia</w:t>
      </w:r>
    </w:p>
    <w:p w14:paraId="6F458D14" w14:textId="77777777" w:rsidR="0014798C" w:rsidRDefault="0014798C">
      <w:pPr>
        <w:pStyle w:val="Textoindependiente"/>
        <w:spacing w:before="60"/>
        <w:rPr>
          <w:sz w:val="15"/>
        </w:rPr>
      </w:pPr>
    </w:p>
    <w:p w14:paraId="5A42341F" w14:textId="77777777" w:rsidR="0014798C" w:rsidRDefault="004E1F0B">
      <w:pPr>
        <w:spacing w:line="338" w:lineRule="auto"/>
        <w:ind w:left="1111" w:right="1463" w:hanging="2"/>
        <w:rPr>
          <w:sz w:val="15"/>
        </w:rPr>
      </w:pPr>
      <w:r>
        <w:rPr>
          <w:w w:val="105"/>
          <w:sz w:val="15"/>
        </w:rPr>
        <w:t>Los</w:t>
      </w:r>
      <w:r>
        <w:rPr>
          <w:spacing w:val="-3"/>
          <w:w w:val="105"/>
          <w:sz w:val="15"/>
        </w:rPr>
        <w:t xml:space="preserve"> </w:t>
      </w:r>
      <w:r>
        <w:rPr>
          <w:w w:val="105"/>
          <w:sz w:val="15"/>
        </w:rPr>
        <w:t>órganos</w:t>
      </w:r>
      <w:r>
        <w:rPr>
          <w:spacing w:val="-3"/>
          <w:w w:val="105"/>
          <w:sz w:val="15"/>
        </w:rPr>
        <w:t xml:space="preserve"> </w:t>
      </w:r>
      <w:r>
        <w:rPr>
          <w:w w:val="105"/>
          <w:sz w:val="15"/>
        </w:rPr>
        <w:t>de</w:t>
      </w:r>
      <w:r>
        <w:rPr>
          <w:spacing w:val="-3"/>
          <w:w w:val="105"/>
          <w:sz w:val="15"/>
        </w:rPr>
        <w:t xml:space="preserve"> </w:t>
      </w:r>
      <w:r>
        <w:rPr>
          <w:w w:val="105"/>
          <w:sz w:val="15"/>
        </w:rPr>
        <w:t>igualdad</w:t>
      </w:r>
      <w:r>
        <w:rPr>
          <w:spacing w:val="-3"/>
          <w:w w:val="105"/>
          <w:sz w:val="15"/>
        </w:rPr>
        <w:t xml:space="preserve"> </w:t>
      </w:r>
      <w:r>
        <w:rPr>
          <w:w w:val="105"/>
          <w:sz w:val="15"/>
        </w:rPr>
        <w:t>deben</w:t>
      </w:r>
      <w:r>
        <w:rPr>
          <w:spacing w:val="-3"/>
          <w:w w:val="105"/>
          <w:sz w:val="15"/>
        </w:rPr>
        <w:t xml:space="preserve"> </w:t>
      </w:r>
      <w:r>
        <w:rPr>
          <w:w w:val="105"/>
          <w:sz w:val="15"/>
        </w:rPr>
        <w:t>ser</w:t>
      </w:r>
      <w:r>
        <w:rPr>
          <w:spacing w:val="-3"/>
          <w:w w:val="105"/>
          <w:sz w:val="15"/>
        </w:rPr>
        <w:t xml:space="preserve"> </w:t>
      </w:r>
      <w:r>
        <w:rPr>
          <w:w w:val="105"/>
          <w:sz w:val="15"/>
        </w:rPr>
        <w:t>independientes</w:t>
      </w:r>
      <w:r>
        <w:rPr>
          <w:spacing w:val="-3"/>
          <w:w w:val="105"/>
          <w:sz w:val="15"/>
        </w:rPr>
        <w:t xml:space="preserve"> </w:t>
      </w:r>
      <w:r>
        <w:rPr>
          <w:w w:val="105"/>
          <w:sz w:val="15"/>
        </w:rPr>
        <w:t>y</w:t>
      </w:r>
      <w:r>
        <w:rPr>
          <w:spacing w:val="-3"/>
          <w:w w:val="105"/>
          <w:sz w:val="15"/>
        </w:rPr>
        <w:t xml:space="preserve"> </w:t>
      </w:r>
      <w:r>
        <w:rPr>
          <w:w w:val="105"/>
          <w:sz w:val="15"/>
        </w:rPr>
        <w:t>estar</w:t>
      </w:r>
      <w:r>
        <w:rPr>
          <w:spacing w:val="-3"/>
          <w:w w:val="105"/>
          <w:sz w:val="15"/>
        </w:rPr>
        <w:t xml:space="preserve"> </w:t>
      </w:r>
      <w:r>
        <w:rPr>
          <w:w w:val="105"/>
          <w:sz w:val="15"/>
        </w:rPr>
        <w:t>protegidos</w:t>
      </w:r>
      <w:r>
        <w:rPr>
          <w:spacing w:val="-3"/>
          <w:w w:val="105"/>
          <w:sz w:val="15"/>
        </w:rPr>
        <w:t xml:space="preserve"> </w:t>
      </w:r>
      <w:r>
        <w:rPr>
          <w:w w:val="105"/>
          <w:sz w:val="15"/>
        </w:rPr>
        <w:t>del</w:t>
      </w:r>
      <w:r>
        <w:rPr>
          <w:spacing w:val="-3"/>
          <w:w w:val="105"/>
          <w:sz w:val="15"/>
        </w:rPr>
        <w:t xml:space="preserve"> </w:t>
      </w:r>
      <w:r>
        <w:rPr>
          <w:w w:val="105"/>
          <w:sz w:val="15"/>
        </w:rPr>
        <w:t>riesgo</w:t>
      </w:r>
      <w:r>
        <w:rPr>
          <w:spacing w:val="-3"/>
          <w:w w:val="105"/>
          <w:sz w:val="15"/>
        </w:rPr>
        <w:t xml:space="preserve"> </w:t>
      </w:r>
      <w:r>
        <w:rPr>
          <w:w w:val="105"/>
          <w:sz w:val="15"/>
        </w:rPr>
        <w:t>de</w:t>
      </w:r>
      <w:r>
        <w:rPr>
          <w:spacing w:val="-3"/>
          <w:w w:val="105"/>
          <w:sz w:val="15"/>
        </w:rPr>
        <w:t xml:space="preserve"> </w:t>
      </w:r>
      <w:r>
        <w:rPr>
          <w:w w:val="105"/>
          <w:sz w:val="15"/>
        </w:rPr>
        <w:t>interferencia</w:t>
      </w:r>
      <w:r>
        <w:rPr>
          <w:spacing w:val="-3"/>
          <w:w w:val="105"/>
          <w:sz w:val="15"/>
        </w:rPr>
        <w:t xml:space="preserve"> </w:t>
      </w:r>
      <w:r>
        <w:rPr>
          <w:w w:val="105"/>
          <w:sz w:val="15"/>
        </w:rPr>
        <w:t>de</w:t>
      </w:r>
      <w:r>
        <w:rPr>
          <w:spacing w:val="-3"/>
          <w:w w:val="105"/>
          <w:sz w:val="15"/>
        </w:rPr>
        <w:t xml:space="preserve"> </w:t>
      </w:r>
      <w:r>
        <w:rPr>
          <w:w w:val="105"/>
          <w:sz w:val="15"/>
        </w:rPr>
        <w:t>actores</w:t>
      </w:r>
      <w:r>
        <w:rPr>
          <w:spacing w:val="-3"/>
          <w:w w:val="105"/>
          <w:sz w:val="15"/>
        </w:rPr>
        <w:t xml:space="preserve"> </w:t>
      </w:r>
      <w:r>
        <w:rPr>
          <w:w w:val="105"/>
          <w:sz w:val="15"/>
        </w:rPr>
        <w:t>políticos</w:t>
      </w:r>
      <w:r>
        <w:rPr>
          <w:spacing w:val="-3"/>
          <w:w w:val="105"/>
          <w:sz w:val="15"/>
        </w:rPr>
        <w:t xml:space="preserve"> </w:t>
      </w:r>
      <w:r>
        <w:rPr>
          <w:w w:val="105"/>
          <w:sz w:val="15"/>
        </w:rPr>
        <w:t>y</w:t>
      </w:r>
      <w:r>
        <w:rPr>
          <w:spacing w:val="-3"/>
          <w:w w:val="105"/>
          <w:sz w:val="15"/>
        </w:rPr>
        <w:t xml:space="preserve"> </w:t>
      </w:r>
      <w:r>
        <w:rPr>
          <w:w w:val="105"/>
          <w:sz w:val="15"/>
        </w:rPr>
        <w:t>de</w:t>
      </w:r>
      <w:r>
        <w:rPr>
          <w:spacing w:val="-3"/>
          <w:w w:val="105"/>
          <w:sz w:val="15"/>
        </w:rPr>
        <w:t xml:space="preserve"> </w:t>
      </w:r>
      <w:r>
        <w:rPr>
          <w:w w:val="105"/>
          <w:sz w:val="15"/>
        </w:rPr>
        <w:t>otro</w:t>
      </w:r>
      <w:r>
        <w:rPr>
          <w:spacing w:val="-3"/>
          <w:w w:val="105"/>
          <w:sz w:val="15"/>
        </w:rPr>
        <w:t xml:space="preserve"> </w:t>
      </w:r>
      <w:r>
        <w:rPr>
          <w:w w:val="105"/>
          <w:sz w:val="15"/>
        </w:rPr>
        <w:t>tipo. El Comité para la Eliminación de la Discriminación Racial, el Comité para la Eliminación de la Discriminación contra la Mujer, el</w:t>
      </w:r>
    </w:p>
    <w:p w14:paraId="38D66CD8" w14:textId="77777777" w:rsidR="0014798C" w:rsidRDefault="004E1F0B">
      <w:pPr>
        <w:spacing w:before="13" w:line="348" w:lineRule="auto"/>
        <w:ind w:left="1107" w:right="1244" w:firstLine="2"/>
        <w:rPr>
          <w:sz w:val="15"/>
        </w:rPr>
      </w:pPr>
      <w:r>
        <w:rPr>
          <w:w w:val="105"/>
          <w:sz w:val="15"/>
        </w:rPr>
        <w:t>Comité</w:t>
      </w:r>
      <w:r>
        <w:rPr>
          <w:spacing w:val="-2"/>
          <w:w w:val="105"/>
          <w:sz w:val="15"/>
        </w:rPr>
        <w:t xml:space="preserve"> </w:t>
      </w:r>
      <w:r>
        <w:rPr>
          <w:w w:val="105"/>
          <w:sz w:val="15"/>
        </w:rPr>
        <w:t>sobre</w:t>
      </w:r>
      <w:r>
        <w:rPr>
          <w:spacing w:val="-2"/>
          <w:w w:val="105"/>
          <w:sz w:val="15"/>
        </w:rPr>
        <w:t xml:space="preserve"> </w:t>
      </w:r>
      <w:r>
        <w:rPr>
          <w:w w:val="105"/>
          <w:sz w:val="15"/>
        </w:rPr>
        <w:t>los</w:t>
      </w:r>
      <w:r>
        <w:rPr>
          <w:spacing w:val="-2"/>
          <w:w w:val="105"/>
          <w:sz w:val="15"/>
        </w:rPr>
        <w:t xml:space="preserve"> </w:t>
      </w:r>
      <w:r>
        <w:rPr>
          <w:w w:val="105"/>
          <w:sz w:val="15"/>
        </w:rPr>
        <w:t>Derechos</w:t>
      </w:r>
      <w:r>
        <w:rPr>
          <w:spacing w:val="-2"/>
          <w:w w:val="105"/>
          <w:sz w:val="15"/>
        </w:rPr>
        <w:t xml:space="preserve"> </w:t>
      </w:r>
      <w:r>
        <w:rPr>
          <w:w w:val="105"/>
          <w:sz w:val="15"/>
        </w:rPr>
        <w:t>de</w:t>
      </w:r>
      <w:r>
        <w:rPr>
          <w:spacing w:val="-2"/>
          <w:w w:val="105"/>
          <w:sz w:val="15"/>
        </w:rPr>
        <w:t xml:space="preserve"> </w:t>
      </w:r>
      <w:r>
        <w:rPr>
          <w:w w:val="105"/>
          <w:sz w:val="15"/>
        </w:rPr>
        <w:t>las</w:t>
      </w:r>
      <w:r>
        <w:rPr>
          <w:spacing w:val="-2"/>
          <w:w w:val="105"/>
          <w:sz w:val="15"/>
        </w:rPr>
        <w:t xml:space="preserve"> </w:t>
      </w:r>
      <w:r>
        <w:rPr>
          <w:w w:val="105"/>
          <w:sz w:val="15"/>
        </w:rPr>
        <w:t>Personas</w:t>
      </w:r>
      <w:r>
        <w:rPr>
          <w:spacing w:val="-2"/>
          <w:w w:val="105"/>
          <w:sz w:val="15"/>
        </w:rPr>
        <w:t xml:space="preserve"> </w:t>
      </w:r>
      <w:r>
        <w:rPr>
          <w:w w:val="105"/>
          <w:sz w:val="15"/>
        </w:rPr>
        <w:t>con</w:t>
      </w:r>
      <w:r>
        <w:rPr>
          <w:spacing w:val="-2"/>
          <w:w w:val="105"/>
          <w:sz w:val="15"/>
        </w:rPr>
        <w:t xml:space="preserve"> </w:t>
      </w:r>
      <w:r>
        <w:rPr>
          <w:w w:val="105"/>
          <w:sz w:val="15"/>
        </w:rPr>
        <w:t>Discapacidad, el</w:t>
      </w:r>
      <w:r>
        <w:rPr>
          <w:spacing w:val="-2"/>
          <w:w w:val="105"/>
          <w:sz w:val="15"/>
        </w:rPr>
        <w:t xml:space="preserve"> </w:t>
      </w:r>
      <w:r>
        <w:rPr>
          <w:w w:val="105"/>
          <w:sz w:val="15"/>
        </w:rPr>
        <w:t>Comité</w:t>
      </w:r>
      <w:r>
        <w:rPr>
          <w:spacing w:val="-2"/>
          <w:w w:val="105"/>
          <w:sz w:val="15"/>
        </w:rPr>
        <w:t xml:space="preserve"> </w:t>
      </w:r>
      <w:r>
        <w:rPr>
          <w:w w:val="105"/>
          <w:sz w:val="15"/>
        </w:rPr>
        <w:t>de</w:t>
      </w:r>
      <w:r>
        <w:rPr>
          <w:spacing w:val="-2"/>
          <w:w w:val="105"/>
          <w:sz w:val="15"/>
        </w:rPr>
        <w:t xml:space="preserve"> </w:t>
      </w:r>
      <w:r>
        <w:rPr>
          <w:w w:val="105"/>
          <w:sz w:val="15"/>
        </w:rPr>
        <w:t>Derechos</w:t>
      </w:r>
      <w:r>
        <w:rPr>
          <w:spacing w:val="-2"/>
          <w:w w:val="105"/>
          <w:sz w:val="15"/>
        </w:rPr>
        <w:t xml:space="preserve"> </w:t>
      </w:r>
      <w:r>
        <w:rPr>
          <w:w w:val="105"/>
          <w:sz w:val="15"/>
        </w:rPr>
        <w:t>Económicos,</w:t>
      </w:r>
      <w:r>
        <w:rPr>
          <w:spacing w:val="-1"/>
          <w:w w:val="105"/>
          <w:sz w:val="15"/>
        </w:rPr>
        <w:t xml:space="preserve"> </w:t>
      </w:r>
      <w:r>
        <w:rPr>
          <w:w w:val="105"/>
          <w:sz w:val="15"/>
        </w:rPr>
        <w:t>Sociales</w:t>
      </w:r>
      <w:r>
        <w:rPr>
          <w:spacing w:val="-2"/>
          <w:w w:val="105"/>
          <w:sz w:val="15"/>
        </w:rPr>
        <w:t xml:space="preserve"> </w:t>
      </w:r>
      <w:r>
        <w:rPr>
          <w:w w:val="105"/>
          <w:sz w:val="15"/>
        </w:rPr>
        <w:t>y</w:t>
      </w:r>
      <w:r>
        <w:rPr>
          <w:spacing w:val="-2"/>
          <w:w w:val="105"/>
          <w:sz w:val="15"/>
        </w:rPr>
        <w:t xml:space="preserve"> </w:t>
      </w:r>
      <w:r>
        <w:rPr>
          <w:w w:val="105"/>
          <w:sz w:val="15"/>
        </w:rPr>
        <w:t>Culturales</w:t>
      </w:r>
      <w:r>
        <w:rPr>
          <w:spacing w:val="-2"/>
          <w:w w:val="105"/>
          <w:sz w:val="15"/>
        </w:rPr>
        <w:t xml:space="preserve"> </w:t>
      </w:r>
      <w:r>
        <w:rPr>
          <w:w w:val="105"/>
          <w:sz w:val="15"/>
        </w:rPr>
        <w:t>y</w:t>
      </w:r>
      <w:r>
        <w:rPr>
          <w:spacing w:val="-2"/>
          <w:w w:val="105"/>
          <w:sz w:val="15"/>
        </w:rPr>
        <w:t xml:space="preserve"> </w:t>
      </w:r>
      <w:r>
        <w:rPr>
          <w:w w:val="105"/>
          <w:sz w:val="15"/>
        </w:rPr>
        <w:t>el</w:t>
      </w:r>
      <w:r>
        <w:rPr>
          <w:spacing w:val="-2"/>
          <w:w w:val="105"/>
          <w:sz w:val="15"/>
        </w:rPr>
        <w:t xml:space="preserve"> </w:t>
      </w:r>
      <w:r>
        <w:rPr>
          <w:w w:val="105"/>
          <w:sz w:val="15"/>
        </w:rPr>
        <w:t>Comité de Derechos Humanos han tomado nota de las obligaciones de los Estados de garantizar que los órganos de igualdad son genuinamente independientes.719 Para garantizar su independencia funcional, el Comité sobre los Derechos de las Personas con Discapacidad ha señalado que los órganos de igualdad deben estar separados “del poder ejecutivo del Estado parte” y “tener miembros designados de manera pública, democrática, transparente y participativa”.720 En un sentido similar, en sus orientaciones, la</w:t>
      </w:r>
      <w:r>
        <w:rPr>
          <w:spacing w:val="-3"/>
          <w:w w:val="105"/>
          <w:sz w:val="15"/>
        </w:rPr>
        <w:t xml:space="preserve"> </w:t>
      </w:r>
      <w:r>
        <w:rPr>
          <w:w w:val="105"/>
          <w:sz w:val="15"/>
        </w:rPr>
        <w:t>Comisión</w:t>
      </w:r>
      <w:r>
        <w:rPr>
          <w:spacing w:val="-3"/>
          <w:w w:val="105"/>
          <w:sz w:val="15"/>
        </w:rPr>
        <w:t xml:space="preserve"> </w:t>
      </w:r>
      <w:r>
        <w:rPr>
          <w:w w:val="105"/>
          <w:sz w:val="15"/>
        </w:rPr>
        <w:t>Europea</w:t>
      </w:r>
      <w:r>
        <w:rPr>
          <w:spacing w:val="-3"/>
          <w:w w:val="105"/>
          <w:sz w:val="15"/>
        </w:rPr>
        <w:t xml:space="preserve"> </w:t>
      </w:r>
      <w:r>
        <w:rPr>
          <w:w w:val="105"/>
          <w:sz w:val="15"/>
        </w:rPr>
        <w:t>contra</w:t>
      </w:r>
      <w:r>
        <w:rPr>
          <w:spacing w:val="-3"/>
          <w:w w:val="105"/>
          <w:sz w:val="15"/>
        </w:rPr>
        <w:t xml:space="preserve"> </w:t>
      </w:r>
      <w:r>
        <w:rPr>
          <w:w w:val="105"/>
          <w:sz w:val="15"/>
        </w:rPr>
        <w:t>el</w:t>
      </w:r>
      <w:r>
        <w:rPr>
          <w:spacing w:val="-3"/>
          <w:w w:val="105"/>
          <w:sz w:val="15"/>
        </w:rPr>
        <w:t xml:space="preserve"> </w:t>
      </w:r>
      <w:r>
        <w:rPr>
          <w:w w:val="105"/>
          <w:sz w:val="15"/>
        </w:rPr>
        <w:t>Racismo</w:t>
      </w:r>
      <w:r>
        <w:rPr>
          <w:spacing w:val="-3"/>
          <w:w w:val="105"/>
          <w:sz w:val="15"/>
        </w:rPr>
        <w:t xml:space="preserve"> </w:t>
      </w:r>
      <w:r>
        <w:rPr>
          <w:w w:val="105"/>
          <w:sz w:val="15"/>
        </w:rPr>
        <w:t>y</w:t>
      </w:r>
      <w:r>
        <w:rPr>
          <w:spacing w:val="-3"/>
          <w:w w:val="105"/>
          <w:sz w:val="15"/>
        </w:rPr>
        <w:t xml:space="preserve"> </w:t>
      </w:r>
      <w:r>
        <w:rPr>
          <w:w w:val="105"/>
          <w:sz w:val="15"/>
        </w:rPr>
        <w:t>la</w:t>
      </w:r>
      <w:r>
        <w:rPr>
          <w:spacing w:val="-3"/>
          <w:w w:val="105"/>
          <w:sz w:val="15"/>
        </w:rPr>
        <w:t xml:space="preserve"> </w:t>
      </w:r>
      <w:r>
        <w:rPr>
          <w:w w:val="105"/>
          <w:sz w:val="15"/>
        </w:rPr>
        <w:t>Intolerancia</w:t>
      </w:r>
      <w:r>
        <w:rPr>
          <w:spacing w:val="-3"/>
          <w:w w:val="105"/>
          <w:sz w:val="15"/>
        </w:rPr>
        <w:t xml:space="preserve"> </w:t>
      </w:r>
      <w:r>
        <w:rPr>
          <w:w w:val="105"/>
          <w:sz w:val="15"/>
        </w:rPr>
        <w:t>destaca</w:t>
      </w:r>
      <w:r>
        <w:rPr>
          <w:spacing w:val="-3"/>
          <w:w w:val="105"/>
          <w:sz w:val="15"/>
        </w:rPr>
        <w:t xml:space="preserve"> </w:t>
      </w:r>
      <w:r>
        <w:rPr>
          <w:w w:val="105"/>
          <w:sz w:val="15"/>
        </w:rPr>
        <w:t>la</w:t>
      </w:r>
      <w:r>
        <w:rPr>
          <w:spacing w:val="-3"/>
          <w:w w:val="105"/>
          <w:sz w:val="15"/>
        </w:rPr>
        <w:t xml:space="preserve"> </w:t>
      </w:r>
      <w:r>
        <w:rPr>
          <w:w w:val="105"/>
          <w:sz w:val="15"/>
        </w:rPr>
        <w:t>necesidad</w:t>
      </w:r>
      <w:r>
        <w:rPr>
          <w:spacing w:val="-3"/>
          <w:w w:val="105"/>
          <w:sz w:val="15"/>
        </w:rPr>
        <w:t xml:space="preserve"> </w:t>
      </w:r>
      <w:r>
        <w:rPr>
          <w:w w:val="105"/>
          <w:sz w:val="15"/>
        </w:rPr>
        <w:t>de</w:t>
      </w:r>
      <w:r>
        <w:rPr>
          <w:spacing w:val="-3"/>
          <w:w w:val="105"/>
          <w:sz w:val="15"/>
        </w:rPr>
        <w:t xml:space="preserve"> </w:t>
      </w:r>
      <w:r>
        <w:rPr>
          <w:w w:val="105"/>
          <w:sz w:val="15"/>
        </w:rPr>
        <w:t>que</w:t>
      </w:r>
      <w:r>
        <w:rPr>
          <w:spacing w:val="-3"/>
          <w:w w:val="105"/>
          <w:sz w:val="15"/>
        </w:rPr>
        <w:t xml:space="preserve"> </w:t>
      </w:r>
      <w:r>
        <w:rPr>
          <w:w w:val="105"/>
          <w:sz w:val="15"/>
        </w:rPr>
        <w:t>los</w:t>
      </w:r>
      <w:r>
        <w:rPr>
          <w:spacing w:val="-3"/>
          <w:w w:val="105"/>
          <w:sz w:val="15"/>
        </w:rPr>
        <w:t xml:space="preserve"> </w:t>
      </w:r>
      <w:r>
        <w:rPr>
          <w:w w:val="105"/>
          <w:sz w:val="15"/>
        </w:rPr>
        <w:t>órganos</w:t>
      </w:r>
      <w:r>
        <w:rPr>
          <w:spacing w:val="-3"/>
          <w:w w:val="105"/>
          <w:sz w:val="15"/>
        </w:rPr>
        <w:t xml:space="preserve"> </w:t>
      </w:r>
      <w:r>
        <w:rPr>
          <w:w w:val="105"/>
          <w:sz w:val="15"/>
        </w:rPr>
        <w:t>de</w:t>
      </w:r>
      <w:r>
        <w:rPr>
          <w:spacing w:val="-3"/>
          <w:w w:val="105"/>
          <w:sz w:val="15"/>
        </w:rPr>
        <w:t xml:space="preserve"> </w:t>
      </w:r>
      <w:r>
        <w:rPr>
          <w:w w:val="105"/>
          <w:sz w:val="15"/>
        </w:rPr>
        <w:t>igualdad</w:t>
      </w:r>
      <w:r>
        <w:rPr>
          <w:spacing w:val="-3"/>
          <w:w w:val="105"/>
          <w:sz w:val="15"/>
        </w:rPr>
        <w:t xml:space="preserve"> </w:t>
      </w:r>
      <w:r>
        <w:rPr>
          <w:w w:val="105"/>
          <w:sz w:val="15"/>
        </w:rPr>
        <w:t>posean</w:t>
      </w:r>
      <w:r>
        <w:rPr>
          <w:spacing w:val="-3"/>
          <w:w w:val="105"/>
          <w:sz w:val="15"/>
        </w:rPr>
        <w:t xml:space="preserve"> </w:t>
      </w:r>
      <w:r>
        <w:rPr>
          <w:w w:val="105"/>
          <w:sz w:val="15"/>
        </w:rPr>
        <w:t>“independencia tanto de jure como de facto ” y “sean entidades jurídicas separadas ubicadas fuera del ejecutivo y el legislativo”.721 Para garantizar su independencia, la Comisión Europea contra el Racismo y la Intolerancia recomienda que se establezcan órganos de igualdad mediante disposiciones constitucionales o legislativas, y esta base jurídica debería afirmar su independencia y “establecer las condiciones para garantizar esta independencia”. ”.722</w:t>
      </w:r>
    </w:p>
    <w:p w14:paraId="151A5D4F" w14:textId="77777777" w:rsidR="0014798C" w:rsidRDefault="0014798C">
      <w:pPr>
        <w:pStyle w:val="Textoindependiente"/>
        <w:rPr>
          <w:sz w:val="15"/>
        </w:rPr>
      </w:pPr>
    </w:p>
    <w:p w14:paraId="2F7A5413" w14:textId="77777777" w:rsidR="0014798C" w:rsidRDefault="0014798C">
      <w:pPr>
        <w:pStyle w:val="Textoindependiente"/>
        <w:spacing w:before="71"/>
        <w:rPr>
          <w:sz w:val="15"/>
        </w:rPr>
      </w:pPr>
    </w:p>
    <w:p w14:paraId="02F83579" w14:textId="77777777" w:rsidR="0014798C" w:rsidRDefault="004E1F0B">
      <w:pPr>
        <w:spacing w:line="348" w:lineRule="auto"/>
        <w:ind w:left="1107" w:right="1221" w:firstLine="1"/>
        <w:rPr>
          <w:sz w:val="15"/>
        </w:rPr>
      </w:pPr>
      <w:r>
        <w:rPr>
          <w:w w:val="105"/>
          <w:sz w:val="15"/>
        </w:rPr>
        <w:t>En la práctica, la transparencia y la integridad del proceso de nombramiento y destitución de los miembros de los órganos de</w:t>
      </w:r>
      <w:r>
        <w:rPr>
          <w:spacing w:val="40"/>
          <w:w w:val="105"/>
          <w:sz w:val="15"/>
        </w:rPr>
        <w:t xml:space="preserve"> </w:t>
      </w:r>
      <w:r>
        <w:rPr>
          <w:w w:val="105"/>
          <w:sz w:val="15"/>
        </w:rPr>
        <w:t>igualdad, junto con la experiencia, las calificaciones y la independencia de los nombrados, han demostrado ser esenciales para garantizar la eficacia y la independencia de dichos órganos.723 Elementos esenciales de El proceso de nombramiento incluye un proceso</w:t>
      </w:r>
      <w:r>
        <w:rPr>
          <w:spacing w:val="-3"/>
          <w:w w:val="105"/>
          <w:sz w:val="15"/>
        </w:rPr>
        <w:t xml:space="preserve"> </w:t>
      </w:r>
      <w:r>
        <w:rPr>
          <w:w w:val="105"/>
          <w:sz w:val="15"/>
        </w:rPr>
        <w:t>abierto</w:t>
      </w:r>
      <w:r>
        <w:rPr>
          <w:spacing w:val="-3"/>
          <w:w w:val="105"/>
          <w:sz w:val="15"/>
        </w:rPr>
        <w:t xml:space="preserve"> </w:t>
      </w:r>
      <w:r>
        <w:rPr>
          <w:w w:val="105"/>
          <w:sz w:val="15"/>
        </w:rPr>
        <w:t>y</w:t>
      </w:r>
      <w:r>
        <w:rPr>
          <w:spacing w:val="-3"/>
          <w:w w:val="105"/>
          <w:sz w:val="15"/>
        </w:rPr>
        <w:t xml:space="preserve"> </w:t>
      </w:r>
      <w:r>
        <w:rPr>
          <w:w w:val="105"/>
          <w:sz w:val="15"/>
        </w:rPr>
        <w:t>público,</w:t>
      </w:r>
      <w:r>
        <w:rPr>
          <w:spacing w:val="-3"/>
          <w:w w:val="105"/>
          <w:sz w:val="15"/>
        </w:rPr>
        <w:t xml:space="preserve"> </w:t>
      </w:r>
      <w:r>
        <w:rPr>
          <w:w w:val="105"/>
          <w:sz w:val="15"/>
        </w:rPr>
        <w:t>con</w:t>
      </w:r>
      <w:r>
        <w:rPr>
          <w:spacing w:val="-3"/>
          <w:w w:val="105"/>
          <w:sz w:val="15"/>
        </w:rPr>
        <w:t xml:space="preserve"> </w:t>
      </w:r>
      <w:r>
        <w:rPr>
          <w:w w:val="105"/>
          <w:sz w:val="15"/>
        </w:rPr>
        <w:t>tiempo,</w:t>
      </w:r>
      <w:r>
        <w:rPr>
          <w:spacing w:val="-3"/>
          <w:w w:val="105"/>
          <w:sz w:val="15"/>
        </w:rPr>
        <w:t xml:space="preserve"> </w:t>
      </w:r>
      <w:r>
        <w:rPr>
          <w:w w:val="105"/>
          <w:sz w:val="15"/>
        </w:rPr>
        <w:t>información</w:t>
      </w:r>
      <w:r>
        <w:rPr>
          <w:spacing w:val="-3"/>
          <w:w w:val="105"/>
          <w:sz w:val="15"/>
        </w:rPr>
        <w:t xml:space="preserve"> </w:t>
      </w:r>
      <w:r>
        <w:rPr>
          <w:w w:val="105"/>
          <w:sz w:val="15"/>
        </w:rPr>
        <w:t>y</w:t>
      </w:r>
      <w:r>
        <w:rPr>
          <w:spacing w:val="-3"/>
          <w:w w:val="105"/>
          <w:sz w:val="15"/>
        </w:rPr>
        <w:t xml:space="preserve"> </w:t>
      </w:r>
      <w:r>
        <w:rPr>
          <w:w w:val="105"/>
          <w:sz w:val="15"/>
        </w:rPr>
        <w:t>oportunidades</w:t>
      </w:r>
      <w:r>
        <w:rPr>
          <w:spacing w:val="-3"/>
          <w:w w:val="105"/>
          <w:sz w:val="15"/>
        </w:rPr>
        <w:t xml:space="preserve"> </w:t>
      </w:r>
      <w:r>
        <w:rPr>
          <w:w w:val="105"/>
          <w:sz w:val="15"/>
        </w:rPr>
        <w:t>suficientes</w:t>
      </w:r>
      <w:r>
        <w:rPr>
          <w:spacing w:val="-3"/>
          <w:w w:val="105"/>
          <w:sz w:val="15"/>
        </w:rPr>
        <w:t xml:space="preserve"> </w:t>
      </w:r>
      <w:r>
        <w:rPr>
          <w:w w:val="105"/>
          <w:sz w:val="15"/>
        </w:rPr>
        <w:t>para</w:t>
      </w:r>
      <w:r>
        <w:rPr>
          <w:spacing w:val="-3"/>
          <w:w w:val="105"/>
          <w:sz w:val="15"/>
        </w:rPr>
        <w:t xml:space="preserve"> </w:t>
      </w:r>
      <w:r>
        <w:rPr>
          <w:w w:val="105"/>
          <w:sz w:val="15"/>
        </w:rPr>
        <w:t>el</w:t>
      </w:r>
      <w:r>
        <w:rPr>
          <w:spacing w:val="-3"/>
          <w:w w:val="105"/>
          <w:sz w:val="15"/>
        </w:rPr>
        <w:t xml:space="preserve"> </w:t>
      </w:r>
      <w:r>
        <w:rPr>
          <w:w w:val="105"/>
          <w:sz w:val="15"/>
        </w:rPr>
        <w:t>debate</w:t>
      </w:r>
      <w:r>
        <w:rPr>
          <w:spacing w:val="-3"/>
          <w:w w:val="105"/>
          <w:sz w:val="15"/>
        </w:rPr>
        <w:t xml:space="preserve"> </w:t>
      </w:r>
      <w:r>
        <w:rPr>
          <w:w w:val="105"/>
          <w:sz w:val="15"/>
        </w:rPr>
        <w:t>público</w:t>
      </w:r>
      <w:r>
        <w:rPr>
          <w:spacing w:val="-3"/>
          <w:w w:val="105"/>
          <w:sz w:val="15"/>
        </w:rPr>
        <w:t xml:space="preserve"> </w:t>
      </w:r>
      <w:r>
        <w:rPr>
          <w:w w:val="105"/>
          <w:sz w:val="15"/>
        </w:rPr>
        <w:t>y</w:t>
      </w:r>
      <w:r>
        <w:rPr>
          <w:spacing w:val="-3"/>
          <w:w w:val="105"/>
          <w:sz w:val="15"/>
        </w:rPr>
        <w:t xml:space="preserve"> </w:t>
      </w:r>
      <w:r>
        <w:rPr>
          <w:w w:val="105"/>
          <w:sz w:val="15"/>
        </w:rPr>
        <w:t>mediático</w:t>
      </w:r>
      <w:r>
        <w:rPr>
          <w:spacing w:val="-3"/>
          <w:w w:val="105"/>
          <w:sz w:val="15"/>
        </w:rPr>
        <w:t xml:space="preserve"> </w:t>
      </w:r>
      <w:r>
        <w:rPr>
          <w:w w:val="105"/>
          <w:sz w:val="15"/>
        </w:rPr>
        <w:t>sobre</w:t>
      </w:r>
      <w:r>
        <w:rPr>
          <w:spacing w:val="-3"/>
          <w:w w:val="105"/>
          <w:sz w:val="15"/>
        </w:rPr>
        <w:t xml:space="preserve"> </w:t>
      </w:r>
      <w:r>
        <w:rPr>
          <w:w w:val="105"/>
          <w:sz w:val="15"/>
        </w:rPr>
        <w:t>los</w:t>
      </w:r>
      <w:r>
        <w:rPr>
          <w:spacing w:val="-3"/>
          <w:w w:val="105"/>
          <w:sz w:val="15"/>
        </w:rPr>
        <w:t xml:space="preserve"> </w:t>
      </w:r>
      <w:r>
        <w:rPr>
          <w:w w:val="105"/>
          <w:sz w:val="15"/>
        </w:rPr>
        <w:t>candidatos y sus calificaciones.</w:t>
      </w:r>
    </w:p>
    <w:p w14:paraId="07280AE6" w14:textId="77777777" w:rsidR="0014798C" w:rsidRDefault="004E1F0B">
      <w:pPr>
        <w:spacing w:before="168" w:line="348" w:lineRule="auto"/>
        <w:ind w:left="1107" w:right="1378" w:hanging="1"/>
        <w:rPr>
          <w:sz w:val="15"/>
        </w:rPr>
      </w:pPr>
      <w:r>
        <w:rPr>
          <w:w w:val="105"/>
          <w:sz w:val="15"/>
        </w:rPr>
        <w:t>El artículo 33 de la Convención sobre los derechos de las personas con discapacidad y la recomendación general núm. 17 (1993) del</w:t>
      </w:r>
      <w:r>
        <w:rPr>
          <w:spacing w:val="-2"/>
          <w:w w:val="105"/>
          <w:sz w:val="15"/>
        </w:rPr>
        <w:t xml:space="preserve"> </w:t>
      </w:r>
      <w:r>
        <w:rPr>
          <w:w w:val="105"/>
          <w:sz w:val="15"/>
        </w:rPr>
        <w:t>Comité</w:t>
      </w:r>
      <w:r>
        <w:rPr>
          <w:spacing w:val="-2"/>
          <w:w w:val="105"/>
          <w:sz w:val="15"/>
        </w:rPr>
        <w:t xml:space="preserve"> </w:t>
      </w:r>
      <w:r>
        <w:rPr>
          <w:w w:val="105"/>
          <w:sz w:val="15"/>
        </w:rPr>
        <w:t>para</w:t>
      </w:r>
      <w:r>
        <w:rPr>
          <w:spacing w:val="-2"/>
          <w:w w:val="105"/>
          <w:sz w:val="15"/>
        </w:rPr>
        <w:t xml:space="preserve"> </w:t>
      </w:r>
      <w:r>
        <w:rPr>
          <w:w w:val="105"/>
          <w:sz w:val="15"/>
        </w:rPr>
        <w:t>la</w:t>
      </w:r>
      <w:r>
        <w:rPr>
          <w:spacing w:val="-2"/>
          <w:w w:val="105"/>
          <w:sz w:val="15"/>
        </w:rPr>
        <w:t xml:space="preserve"> </w:t>
      </w:r>
      <w:r>
        <w:rPr>
          <w:w w:val="105"/>
          <w:sz w:val="15"/>
        </w:rPr>
        <w:t>Eliminación</w:t>
      </w:r>
      <w:r>
        <w:rPr>
          <w:spacing w:val="-2"/>
          <w:w w:val="105"/>
          <w:sz w:val="15"/>
        </w:rPr>
        <w:t xml:space="preserve"> </w:t>
      </w:r>
      <w:r>
        <w:rPr>
          <w:w w:val="105"/>
          <w:sz w:val="15"/>
        </w:rPr>
        <w:t>de</w:t>
      </w:r>
      <w:r>
        <w:rPr>
          <w:spacing w:val="-2"/>
          <w:w w:val="105"/>
          <w:sz w:val="15"/>
        </w:rPr>
        <w:t xml:space="preserve"> </w:t>
      </w:r>
      <w:r>
        <w:rPr>
          <w:w w:val="105"/>
          <w:sz w:val="15"/>
        </w:rPr>
        <w:t>la</w:t>
      </w:r>
      <w:r>
        <w:rPr>
          <w:spacing w:val="-2"/>
          <w:w w:val="105"/>
          <w:sz w:val="15"/>
        </w:rPr>
        <w:t xml:space="preserve"> </w:t>
      </w:r>
      <w:r>
        <w:rPr>
          <w:w w:val="105"/>
          <w:sz w:val="15"/>
        </w:rPr>
        <w:t>Discriminación</w:t>
      </w:r>
      <w:r>
        <w:rPr>
          <w:spacing w:val="-1"/>
          <w:w w:val="105"/>
          <w:sz w:val="15"/>
        </w:rPr>
        <w:t xml:space="preserve"> </w:t>
      </w:r>
      <w:r>
        <w:rPr>
          <w:w w:val="105"/>
          <w:sz w:val="15"/>
        </w:rPr>
        <w:t>Racial</w:t>
      </w:r>
      <w:r>
        <w:rPr>
          <w:spacing w:val="-2"/>
          <w:w w:val="105"/>
          <w:sz w:val="15"/>
        </w:rPr>
        <w:t xml:space="preserve"> </w:t>
      </w:r>
      <w:r>
        <w:rPr>
          <w:w w:val="105"/>
          <w:sz w:val="15"/>
        </w:rPr>
        <w:t>instan</w:t>
      </w:r>
      <w:r>
        <w:rPr>
          <w:spacing w:val="-2"/>
          <w:w w:val="105"/>
          <w:sz w:val="15"/>
        </w:rPr>
        <w:t xml:space="preserve"> </w:t>
      </w:r>
      <w:r>
        <w:rPr>
          <w:w w:val="105"/>
          <w:sz w:val="15"/>
        </w:rPr>
        <w:t>a</w:t>
      </w:r>
      <w:r>
        <w:rPr>
          <w:spacing w:val="-2"/>
          <w:w w:val="105"/>
          <w:sz w:val="15"/>
        </w:rPr>
        <w:t xml:space="preserve"> </w:t>
      </w:r>
      <w:r>
        <w:rPr>
          <w:w w:val="105"/>
          <w:sz w:val="15"/>
        </w:rPr>
        <w:t>los</w:t>
      </w:r>
      <w:r>
        <w:rPr>
          <w:spacing w:val="-2"/>
          <w:w w:val="105"/>
          <w:sz w:val="15"/>
        </w:rPr>
        <w:t xml:space="preserve"> </w:t>
      </w:r>
      <w:r>
        <w:rPr>
          <w:w w:val="105"/>
          <w:sz w:val="15"/>
        </w:rPr>
        <w:t>Estados</w:t>
      </w:r>
      <w:r>
        <w:rPr>
          <w:spacing w:val="-2"/>
          <w:w w:val="105"/>
          <w:sz w:val="15"/>
        </w:rPr>
        <w:t xml:space="preserve"> </w:t>
      </w:r>
      <w:proofErr w:type="gramStart"/>
      <w:r>
        <w:rPr>
          <w:w w:val="105"/>
          <w:sz w:val="15"/>
        </w:rPr>
        <w:t>a</w:t>
      </w:r>
      <w:proofErr w:type="gramEnd"/>
      <w:r>
        <w:rPr>
          <w:spacing w:val="-2"/>
          <w:w w:val="105"/>
          <w:sz w:val="15"/>
        </w:rPr>
        <w:t xml:space="preserve"> </w:t>
      </w:r>
      <w:r>
        <w:rPr>
          <w:w w:val="105"/>
          <w:sz w:val="15"/>
        </w:rPr>
        <w:t>tener</w:t>
      </w:r>
      <w:r>
        <w:rPr>
          <w:spacing w:val="-2"/>
          <w:w w:val="105"/>
          <w:sz w:val="15"/>
        </w:rPr>
        <w:t xml:space="preserve"> </w:t>
      </w:r>
      <w:r>
        <w:rPr>
          <w:w w:val="105"/>
          <w:sz w:val="15"/>
        </w:rPr>
        <w:t>en</w:t>
      </w:r>
      <w:r>
        <w:rPr>
          <w:spacing w:val="-2"/>
          <w:w w:val="105"/>
          <w:sz w:val="15"/>
        </w:rPr>
        <w:t xml:space="preserve"> </w:t>
      </w:r>
      <w:r>
        <w:rPr>
          <w:w w:val="105"/>
          <w:sz w:val="15"/>
        </w:rPr>
        <w:t>cuenta</w:t>
      </w:r>
      <w:r>
        <w:rPr>
          <w:spacing w:val="-2"/>
          <w:w w:val="105"/>
          <w:sz w:val="15"/>
        </w:rPr>
        <w:t xml:space="preserve"> </w:t>
      </w:r>
      <w:r>
        <w:rPr>
          <w:w w:val="105"/>
          <w:sz w:val="15"/>
        </w:rPr>
        <w:t>los</w:t>
      </w:r>
      <w:r>
        <w:rPr>
          <w:spacing w:val="-2"/>
          <w:w w:val="105"/>
          <w:sz w:val="15"/>
        </w:rPr>
        <w:t xml:space="preserve"> </w:t>
      </w:r>
      <w:r>
        <w:rPr>
          <w:w w:val="105"/>
          <w:sz w:val="15"/>
        </w:rPr>
        <w:t>principios</w:t>
      </w:r>
      <w:r>
        <w:rPr>
          <w:spacing w:val="-2"/>
          <w:w w:val="105"/>
          <w:sz w:val="15"/>
        </w:rPr>
        <w:t xml:space="preserve"> </w:t>
      </w:r>
      <w:r>
        <w:rPr>
          <w:w w:val="105"/>
          <w:sz w:val="15"/>
        </w:rPr>
        <w:t>relacionados</w:t>
      </w:r>
      <w:r>
        <w:rPr>
          <w:spacing w:val="-2"/>
          <w:w w:val="105"/>
          <w:sz w:val="15"/>
        </w:rPr>
        <w:t xml:space="preserve"> </w:t>
      </w:r>
      <w:r>
        <w:rPr>
          <w:w w:val="105"/>
          <w:sz w:val="15"/>
        </w:rPr>
        <w:t>con</w:t>
      </w:r>
      <w:r>
        <w:rPr>
          <w:spacing w:val="-2"/>
          <w:w w:val="105"/>
          <w:sz w:val="15"/>
        </w:rPr>
        <w:t xml:space="preserve"> </w:t>
      </w:r>
      <w:r>
        <w:rPr>
          <w:w w:val="105"/>
          <w:sz w:val="15"/>
        </w:rPr>
        <w:t>el estatuto de las instituciones nacionales para la promoción y protección de los derechos humanos (la</w:t>
      </w:r>
    </w:p>
    <w:p w14:paraId="2636C5EB" w14:textId="77777777" w:rsidR="0014798C" w:rsidRDefault="0014798C">
      <w:pPr>
        <w:pStyle w:val="Textoindependiente"/>
        <w:spacing w:before="136"/>
        <w:rPr>
          <w:sz w:val="20"/>
        </w:rPr>
      </w:pPr>
    </w:p>
    <w:p w14:paraId="1E5380DC" w14:textId="77777777" w:rsidR="0014798C" w:rsidRDefault="0014798C">
      <w:pPr>
        <w:rPr>
          <w:sz w:val="20"/>
        </w:rPr>
        <w:sectPr w:rsidR="0014798C" w:rsidSect="00F265E4">
          <w:pgSz w:w="11900" w:h="16820"/>
          <w:pgMar w:top="340" w:right="0" w:bottom="280" w:left="200" w:header="121" w:footer="0" w:gutter="0"/>
          <w:cols w:space="720"/>
        </w:sectPr>
      </w:pPr>
    </w:p>
    <w:p w14:paraId="048340DE" w14:textId="77777777" w:rsidR="0014798C" w:rsidRDefault="0014798C">
      <w:pPr>
        <w:pStyle w:val="Textoindependiente"/>
        <w:spacing w:before="10"/>
        <w:rPr>
          <w:sz w:val="8"/>
        </w:rPr>
      </w:pPr>
    </w:p>
    <w:p w14:paraId="3A5C44AD" w14:textId="77777777" w:rsidR="0014798C" w:rsidRDefault="004E1F0B">
      <w:pPr>
        <w:jc w:val="right"/>
        <w:rPr>
          <w:sz w:val="8"/>
        </w:rPr>
      </w:pPr>
      <w:r>
        <w:rPr>
          <w:spacing w:val="-5"/>
          <w:w w:val="105"/>
          <w:sz w:val="8"/>
        </w:rPr>
        <w:t>716</w:t>
      </w:r>
    </w:p>
    <w:p w14:paraId="00C36FA4" w14:textId="77777777" w:rsidR="0014798C" w:rsidRDefault="004E1F0B">
      <w:pPr>
        <w:spacing w:before="114" w:line="312" w:lineRule="auto"/>
        <w:ind w:left="78" w:right="1277" w:firstLine="2"/>
        <w:rPr>
          <w:sz w:val="12"/>
        </w:rPr>
      </w:pPr>
      <w:r>
        <w:br w:type="column"/>
      </w:r>
      <w:r>
        <w:rPr>
          <w:sz w:val="12"/>
        </w:rPr>
        <w:t>Véase, por ejemplo, la Directiva 2000/43/CE del Consejo, de 29 de junio de 2000, por la que se aplica el principio de igualdad de trato</w:t>
      </w:r>
      <w:r>
        <w:rPr>
          <w:spacing w:val="-1"/>
          <w:sz w:val="12"/>
        </w:rPr>
        <w:t xml:space="preserve"> </w:t>
      </w:r>
      <w:r>
        <w:rPr>
          <w:sz w:val="12"/>
        </w:rPr>
        <w:t>entre las personas</w:t>
      </w:r>
      <w:r>
        <w:rPr>
          <w:spacing w:val="40"/>
          <w:sz w:val="12"/>
        </w:rPr>
        <w:t xml:space="preserve"> </w:t>
      </w:r>
      <w:r>
        <w:rPr>
          <w:sz w:val="12"/>
        </w:rPr>
        <w:t>independientemente de su origen racial o étnico, art. 13 (1).</w:t>
      </w:r>
    </w:p>
    <w:p w14:paraId="649E86A5" w14:textId="77777777" w:rsidR="0014798C" w:rsidRDefault="0014798C">
      <w:pPr>
        <w:spacing w:line="312" w:lineRule="auto"/>
        <w:rPr>
          <w:sz w:val="12"/>
        </w:rPr>
        <w:sectPr w:rsidR="0014798C" w:rsidSect="00F265E4">
          <w:type w:val="continuous"/>
          <w:pgSz w:w="11900" w:h="16820"/>
          <w:pgMar w:top="40" w:right="0" w:bottom="280" w:left="200" w:header="121" w:footer="0" w:gutter="0"/>
          <w:cols w:num="2" w:space="720" w:equalWidth="0">
            <w:col w:w="1250" w:space="40"/>
            <w:col w:w="10410"/>
          </w:cols>
        </w:sectPr>
      </w:pPr>
    </w:p>
    <w:p w14:paraId="30A05E41" w14:textId="77777777" w:rsidR="0014798C" w:rsidRDefault="004E1F0B">
      <w:pPr>
        <w:pStyle w:val="Prrafodelista"/>
        <w:numPr>
          <w:ilvl w:val="0"/>
          <w:numId w:val="40"/>
        </w:numPr>
        <w:tabs>
          <w:tab w:val="left" w:pos="1335"/>
        </w:tabs>
        <w:spacing w:before="100"/>
        <w:ind w:left="1335" w:hanging="227"/>
        <w:rPr>
          <w:sz w:val="11"/>
        </w:rPr>
      </w:pPr>
      <w:r>
        <w:rPr>
          <w:w w:val="105"/>
          <w:sz w:val="11"/>
        </w:rPr>
        <w:t>Consejo</w:t>
      </w:r>
      <w:r>
        <w:rPr>
          <w:spacing w:val="2"/>
          <w:w w:val="105"/>
          <w:sz w:val="11"/>
        </w:rPr>
        <w:t xml:space="preserve"> </w:t>
      </w:r>
      <w:r>
        <w:rPr>
          <w:w w:val="105"/>
          <w:sz w:val="11"/>
        </w:rPr>
        <w:t>de</w:t>
      </w:r>
      <w:r>
        <w:rPr>
          <w:spacing w:val="2"/>
          <w:w w:val="105"/>
          <w:sz w:val="11"/>
        </w:rPr>
        <w:t xml:space="preserve"> </w:t>
      </w:r>
      <w:r>
        <w:rPr>
          <w:w w:val="105"/>
          <w:sz w:val="11"/>
        </w:rPr>
        <w:t>Europa,</w:t>
      </w:r>
      <w:r>
        <w:rPr>
          <w:spacing w:val="3"/>
          <w:w w:val="105"/>
          <w:sz w:val="11"/>
        </w:rPr>
        <w:t xml:space="preserve"> </w:t>
      </w:r>
      <w:r>
        <w:rPr>
          <w:w w:val="105"/>
          <w:sz w:val="11"/>
        </w:rPr>
        <w:t>Comisión</w:t>
      </w:r>
      <w:r>
        <w:rPr>
          <w:spacing w:val="2"/>
          <w:w w:val="105"/>
          <w:sz w:val="11"/>
        </w:rPr>
        <w:t xml:space="preserve"> </w:t>
      </w:r>
      <w:r>
        <w:rPr>
          <w:w w:val="105"/>
          <w:sz w:val="11"/>
        </w:rPr>
        <w:t>Europea</w:t>
      </w:r>
      <w:r>
        <w:rPr>
          <w:spacing w:val="2"/>
          <w:w w:val="105"/>
          <w:sz w:val="11"/>
        </w:rPr>
        <w:t xml:space="preserve"> </w:t>
      </w:r>
      <w:r>
        <w:rPr>
          <w:w w:val="105"/>
          <w:sz w:val="11"/>
        </w:rPr>
        <w:t>contra</w:t>
      </w:r>
      <w:r>
        <w:rPr>
          <w:spacing w:val="3"/>
          <w:w w:val="105"/>
          <w:sz w:val="11"/>
        </w:rPr>
        <w:t xml:space="preserve"> </w:t>
      </w:r>
      <w:r>
        <w:rPr>
          <w:w w:val="105"/>
          <w:sz w:val="11"/>
        </w:rPr>
        <w:t>el</w:t>
      </w:r>
      <w:r>
        <w:rPr>
          <w:spacing w:val="2"/>
          <w:w w:val="105"/>
          <w:sz w:val="11"/>
        </w:rPr>
        <w:t xml:space="preserve"> </w:t>
      </w:r>
      <w:r>
        <w:rPr>
          <w:w w:val="105"/>
          <w:sz w:val="11"/>
        </w:rPr>
        <w:t>Racismo</w:t>
      </w:r>
      <w:r>
        <w:rPr>
          <w:spacing w:val="2"/>
          <w:w w:val="105"/>
          <w:sz w:val="11"/>
        </w:rPr>
        <w:t xml:space="preserve"> </w:t>
      </w:r>
      <w:r>
        <w:rPr>
          <w:w w:val="105"/>
          <w:sz w:val="11"/>
        </w:rPr>
        <w:t>y</w:t>
      </w:r>
      <w:r>
        <w:rPr>
          <w:spacing w:val="3"/>
          <w:w w:val="105"/>
          <w:sz w:val="11"/>
        </w:rPr>
        <w:t xml:space="preserve"> </w:t>
      </w:r>
      <w:r>
        <w:rPr>
          <w:w w:val="105"/>
          <w:sz w:val="11"/>
        </w:rPr>
        <w:t>la</w:t>
      </w:r>
      <w:r>
        <w:rPr>
          <w:spacing w:val="2"/>
          <w:w w:val="105"/>
          <w:sz w:val="11"/>
        </w:rPr>
        <w:t xml:space="preserve"> </w:t>
      </w:r>
      <w:r>
        <w:rPr>
          <w:w w:val="105"/>
          <w:sz w:val="11"/>
        </w:rPr>
        <w:t>Intolerancia,</w:t>
      </w:r>
      <w:r>
        <w:rPr>
          <w:spacing w:val="3"/>
          <w:w w:val="105"/>
          <w:sz w:val="11"/>
        </w:rPr>
        <w:t xml:space="preserve"> </w:t>
      </w:r>
      <w:r>
        <w:rPr>
          <w:w w:val="105"/>
          <w:sz w:val="11"/>
        </w:rPr>
        <w:t>“Recomendación</w:t>
      </w:r>
      <w:r>
        <w:rPr>
          <w:spacing w:val="2"/>
          <w:w w:val="105"/>
          <w:sz w:val="11"/>
        </w:rPr>
        <w:t xml:space="preserve"> </w:t>
      </w:r>
      <w:r>
        <w:rPr>
          <w:w w:val="105"/>
          <w:sz w:val="11"/>
        </w:rPr>
        <w:t>de</w:t>
      </w:r>
      <w:r>
        <w:rPr>
          <w:spacing w:val="2"/>
          <w:w w:val="105"/>
          <w:sz w:val="11"/>
        </w:rPr>
        <w:t xml:space="preserve"> </w:t>
      </w:r>
      <w:r>
        <w:rPr>
          <w:w w:val="105"/>
          <w:sz w:val="11"/>
        </w:rPr>
        <w:t>política</w:t>
      </w:r>
      <w:r>
        <w:rPr>
          <w:spacing w:val="2"/>
          <w:w w:val="105"/>
          <w:sz w:val="11"/>
        </w:rPr>
        <w:t xml:space="preserve"> </w:t>
      </w:r>
      <w:r>
        <w:rPr>
          <w:w w:val="105"/>
          <w:sz w:val="11"/>
        </w:rPr>
        <w:t>general</w:t>
      </w:r>
      <w:r>
        <w:rPr>
          <w:spacing w:val="2"/>
          <w:w w:val="105"/>
          <w:sz w:val="11"/>
        </w:rPr>
        <w:t xml:space="preserve"> </w:t>
      </w:r>
      <w:r>
        <w:rPr>
          <w:w w:val="105"/>
          <w:sz w:val="11"/>
        </w:rPr>
        <w:t>No.</w:t>
      </w:r>
      <w:r>
        <w:rPr>
          <w:spacing w:val="2"/>
          <w:w w:val="105"/>
          <w:sz w:val="11"/>
        </w:rPr>
        <w:t xml:space="preserve"> </w:t>
      </w:r>
      <w:r>
        <w:rPr>
          <w:w w:val="105"/>
          <w:sz w:val="11"/>
        </w:rPr>
        <w:t>2</w:t>
      </w:r>
      <w:r>
        <w:rPr>
          <w:spacing w:val="3"/>
          <w:w w:val="105"/>
          <w:sz w:val="11"/>
        </w:rPr>
        <w:t xml:space="preserve"> </w:t>
      </w:r>
      <w:r>
        <w:rPr>
          <w:w w:val="105"/>
          <w:sz w:val="11"/>
        </w:rPr>
        <w:t>de</w:t>
      </w:r>
      <w:r>
        <w:rPr>
          <w:spacing w:val="2"/>
          <w:w w:val="105"/>
          <w:sz w:val="11"/>
        </w:rPr>
        <w:t xml:space="preserve"> </w:t>
      </w:r>
      <w:r>
        <w:rPr>
          <w:w w:val="105"/>
          <w:sz w:val="11"/>
        </w:rPr>
        <w:t>la</w:t>
      </w:r>
      <w:r>
        <w:rPr>
          <w:spacing w:val="3"/>
          <w:w w:val="105"/>
          <w:sz w:val="11"/>
        </w:rPr>
        <w:t xml:space="preserve"> </w:t>
      </w:r>
      <w:r>
        <w:rPr>
          <w:w w:val="105"/>
          <w:sz w:val="11"/>
        </w:rPr>
        <w:t>ECRI:</w:t>
      </w:r>
      <w:r>
        <w:rPr>
          <w:spacing w:val="2"/>
          <w:w w:val="105"/>
          <w:sz w:val="11"/>
        </w:rPr>
        <w:t xml:space="preserve"> </w:t>
      </w:r>
      <w:r>
        <w:rPr>
          <w:w w:val="105"/>
          <w:sz w:val="11"/>
        </w:rPr>
        <w:t>organismos</w:t>
      </w:r>
      <w:r>
        <w:rPr>
          <w:spacing w:val="2"/>
          <w:w w:val="105"/>
          <w:sz w:val="11"/>
        </w:rPr>
        <w:t xml:space="preserve"> </w:t>
      </w:r>
      <w:r>
        <w:rPr>
          <w:w w:val="105"/>
          <w:sz w:val="11"/>
        </w:rPr>
        <w:t>de</w:t>
      </w:r>
      <w:r>
        <w:rPr>
          <w:spacing w:val="3"/>
          <w:w w:val="105"/>
          <w:sz w:val="11"/>
        </w:rPr>
        <w:t xml:space="preserve"> </w:t>
      </w:r>
      <w:r>
        <w:rPr>
          <w:spacing w:val="-2"/>
          <w:w w:val="105"/>
          <w:sz w:val="11"/>
        </w:rPr>
        <w:t>igualdad</w:t>
      </w:r>
    </w:p>
    <w:p w14:paraId="134CC1A7" w14:textId="77777777" w:rsidR="0014798C" w:rsidRDefault="004E1F0B">
      <w:pPr>
        <w:spacing w:before="11"/>
        <w:ind w:left="1366"/>
        <w:rPr>
          <w:sz w:val="12"/>
        </w:rPr>
      </w:pPr>
      <w:r>
        <w:rPr>
          <w:sz w:val="12"/>
        </w:rPr>
        <w:t>combatir</w:t>
      </w:r>
      <w:r>
        <w:rPr>
          <w:spacing w:val="-5"/>
          <w:sz w:val="12"/>
        </w:rPr>
        <w:t xml:space="preserve"> </w:t>
      </w:r>
      <w:r>
        <w:rPr>
          <w:sz w:val="12"/>
        </w:rPr>
        <w:t>el</w:t>
      </w:r>
      <w:r>
        <w:rPr>
          <w:spacing w:val="-3"/>
          <w:sz w:val="12"/>
        </w:rPr>
        <w:t xml:space="preserve"> </w:t>
      </w:r>
      <w:r>
        <w:rPr>
          <w:sz w:val="12"/>
        </w:rPr>
        <w:t>racismo</w:t>
      </w:r>
      <w:r>
        <w:rPr>
          <w:spacing w:val="-4"/>
          <w:sz w:val="12"/>
        </w:rPr>
        <w:t xml:space="preserve"> </w:t>
      </w:r>
      <w:r>
        <w:rPr>
          <w:sz w:val="12"/>
        </w:rPr>
        <w:t>y</w:t>
      </w:r>
      <w:r>
        <w:rPr>
          <w:spacing w:val="-3"/>
          <w:sz w:val="12"/>
        </w:rPr>
        <w:t xml:space="preserve"> </w:t>
      </w:r>
      <w:r>
        <w:rPr>
          <w:sz w:val="12"/>
        </w:rPr>
        <w:t>la</w:t>
      </w:r>
      <w:r>
        <w:rPr>
          <w:spacing w:val="-4"/>
          <w:sz w:val="12"/>
        </w:rPr>
        <w:t xml:space="preserve"> </w:t>
      </w:r>
      <w:r>
        <w:rPr>
          <w:sz w:val="12"/>
        </w:rPr>
        <w:t>intolerancia</w:t>
      </w:r>
      <w:r>
        <w:rPr>
          <w:spacing w:val="-4"/>
          <w:sz w:val="12"/>
        </w:rPr>
        <w:t xml:space="preserve"> </w:t>
      </w:r>
      <w:r>
        <w:rPr>
          <w:sz w:val="12"/>
        </w:rPr>
        <w:t>a</w:t>
      </w:r>
      <w:r>
        <w:rPr>
          <w:spacing w:val="-3"/>
          <w:sz w:val="12"/>
        </w:rPr>
        <w:t xml:space="preserve"> </w:t>
      </w:r>
      <w:r>
        <w:rPr>
          <w:sz w:val="12"/>
        </w:rPr>
        <w:t>nivel</w:t>
      </w:r>
      <w:r>
        <w:rPr>
          <w:spacing w:val="-4"/>
          <w:sz w:val="12"/>
        </w:rPr>
        <w:t xml:space="preserve"> </w:t>
      </w:r>
      <w:r>
        <w:rPr>
          <w:sz w:val="12"/>
        </w:rPr>
        <w:t>nacional”</w:t>
      </w:r>
      <w:r>
        <w:rPr>
          <w:spacing w:val="-4"/>
          <w:sz w:val="12"/>
        </w:rPr>
        <w:t xml:space="preserve"> </w:t>
      </w:r>
      <w:r>
        <w:rPr>
          <w:sz w:val="12"/>
        </w:rPr>
        <w:t>(Estrasburgo,</w:t>
      </w:r>
      <w:r>
        <w:rPr>
          <w:spacing w:val="-3"/>
          <w:sz w:val="12"/>
        </w:rPr>
        <w:t xml:space="preserve"> </w:t>
      </w:r>
      <w:r>
        <w:rPr>
          <w:spacing w:val="-2"/>
          <w:sz w:val="12"/>
        </w:rPr>
        <w:t>2018).</w:t>
      </w:r>
    </w:p>
    <w:p w14:paraId="02ADD593" w14:textId="77777777" w:rsidR="0014798C" w:rsidRDefault="0014798C">
      <w:pPr>
        <w:pStyle w:val="Textoindependiente"/>
        <w:spacing w:before="14"/>
        <w:rPr>
          <w:sz w:val="11"/>
        </w:rPr>
      </w:pPr>
    </w:p>
    <w:p w14:paraId="61E71AD4" w14:textId="77777777" w:rsidR="0014798C" w:rsidRDefault="004E1F0B">
      <w:pPr>
        <w:pStyle w:val="Prrafodelista"/>
        <w:numPr>
          <w:ilvl w:val="0"/>
          <w:numId w:val="40"/>
        </w:numPr>
        <w:tabs>
          <w:tab w:val="left" w:pos="1335"/>
        </w:tabs>
        <w:ind w:left="1335" w:hanging="227"/>
        <w:rPr>
          <w:sz w:val="11"/>
        </w:rPr>
      </w:pPr>
      <w:r>
        <w:rPr>
          <w:w w:val="105"/>
          <w:sz w:val="11"/>
        </w:rPr>
        <w:t>Recomendación</w:t>
      </w:r>
      <w:r>
        <w:rPr>
          <w:spacing w:val="3"/>
          <w:w w:val="105"/>
          <w:sz w:val="11"/>
        </w:rPr>
        <w:t xml:space="preserve"> </w:t>
      </w:r>
      <w:r>
        <w:rPr>
          <w:w w:val="105"/>
          <w:sz w:val="11"/>
        </w:rPr>
        <w:t>de</w:t>
      </w:r>
      <w:r>
        <w:rPr>
          <w:spacing w:val="3"/>
          <w:w w:val="105"/>
          <w:sz w:val="11"/>
        </w:rPr>
        <w:t xml:space="preserve"> </w:t>
      </w:r>
      <w:r>
        <w:rPr>
          <w:w w:val="105"/>
          <w:sz w:val="11"/>
        </w:rPr>
        <w:t>la</w:t>
      </w:r>
      <w:r>
        <w:rPr>
          <w:spacing w:val="3"/>
          <w:w w:val="105"/>
          <w:sz w:val="11"/>
        </w:rPr>
        <w:t xml:space="preserve"> </w:t>
      </w:r>
      <w:r>
        <w:rPr>
          <w:w w:val="105"/>
          <w:sz w:val="11"/>
        </w:rPr>
        <w:t>Comisión</w:t>
      </w:r>
      <w:r>
        <w:rPr>
          <w:spacing w:val="3"/>
          <w:w w:val="105"/>
          <w:sz w:val="11"/>
        </w:rPr>
        <w:t xml:space="preserve"> </w:t>
      </w:r>
      <w:r>
        <w:rPr>
          <w:w w:val="105"/>
          <w:sz w:val="11"/>
        </w:rPr>
        <w:t>(UE)</w:t>
      </w:r>
      <w:r>
        <w:rPr>
          <w:spacing w:val="2"/>
          <w:w w:val="105"/>
          <w:sz w:val="11"/>
        </w:rPr>
        <w:t xml:space="preserve"> </w:t>
      </w:r>
      <w:r>
        <w:rPr>
          <w:w w:val="105"/>
          <w:sz w:val="11"/>
        </w:rPr>
        <w:t>2018/951,</w:t>
      </w:r>
      <w:r>
        <w:rPr>
          <w:spacing w:val="3"/>
          <w:w w:val="105"/>
          <w:sz w:val="11"/>
        </w:rPr>
        <w:t xml:space="preserve"> </w:t>
      </w:r>
      <w:r>
        <w:rPr>
          <w:w w:val="105"/>
          <w:sz w:val="11"/>
        </w:rPr>
        <w:t>de</w:t>
      </w:r>
      <w:r>
        <w:rPr>
          <w:spacing w:val="4"/>
          <w:w w:val="105"/>
          <w:sz w:val="11"/>
        </w:rPr>
        <w:t xml:space="preserve"> </w:t>
      </w:r>
      <w:r>
        <w:rPr>
          <w:w w:val="105"/>
          <w:sz w:val="11"/>
        </w:rPr>
        <w:t>22</w:t>
      </w:r>
      <w:r>
        <w:rPr>
          <w:spacing w:val="3"/>
          <w:w w:val="105"/>
          <w:sz w:val="11"/>
        </w:rPr>
        <w:t xml:space="preserve"> </w:t>
      </w:r>
      <w:r>
        <w:rPr>
          <w:w w:val="105"/>
          <w:sz w:val="11"/>
        </w:rPr>
        <w:t>de</w:t>
      </w:r>
      <w:r>
        <w:rPr>
          <w:spacing w:val="3"/>
          <w:w w:val="105"/>
          <w:sz w:val="11"/>
        </w:rPr>
        <w:t xml:space="preserve"> </w:t>
      </w:r>
      <w:r>
        <w:rPr>
          <w:w w:val="105"/>
          <w:sz w:val="11"/>
        </w:rPr>
        <w:t>junio</w:t>
      </w:r>
      <w:r>
        <w:rPr>
          <w:spacing w:val="3"/>
          <w:w w:val="105"/>
          <w:sz w:val="11"/>
        </w:rPr>
        <w:t xml:space="preserve"> </w:t>
      </w:r>
      <w:r>
        <w:rPr>
          <w:w w:val="105"/>
          <w:sz w:val="11"/>
        </w:rPr>
        <w:t>de</w:t>
      </w:r>
      <w:r>
        <w:rPr>
          <w:spacing w:val="3"/>
          <w:w w:val="105"/>
          <w:sz w:val="11"/>
        </w:rPr>
        <w:t xml:space="preserve"> </w:t>
      </w:r>
      <w:r>
        <w:rPr>
          <w:w w:val="105"/>
          <w:sz w:val="11"/>
        </w:rPr>
        <w:t>2018,</w:t>
      </w:r>
      <w:r>
        <w:rPr>
          <w:spacing w:val="3"/>
          <w:w w:val="105"/>
          <w:sz w:val="11"/>
        </w:rPr>
        <w:t xml:space="preserve"> </w:t>
      </w:r>
      <w:r>
        <w:rPr>
          <w:w w:val="105"/>
          <w:sz w:val="11"/>
        </w:rPr>
        <w:t>sobre</w:t>
      </w:r>
      <w:r>
        <w:rPr>
          <w:spacing w:val="4"/>
          <w:w w:val="105"/>
          <w:sz w:val="11"/>
        </w:rPr>
        <w:t xml:space="preserve"> </w:t>
      </w:r>
      <w:r>
        <w:rPr>
          <w:w w:val="105"/>
          <w:sz w:val="11"/>
        </w:rPr>
        <w:t>normas</w:t>
      </w:r>
      <w:r>
        <w:rPr>
          <w:spacing w:val="3"/>
          <w:w w:val="105"/>
          <w:sz w:val="11"/>
        </w:rPr>
        <w:t xml:space="preserve"> </w:t>
      </w:r>
      <w:r>
        <w:rPr>
          <w:w w:val="105"/>
          <w:sz w:val="11"/>
        </w:rPr>
        <w:t>para</w:t>
      </w:r>
      <w:r>
        <w:rPr>
          <w:spacing w:val="3"/>
          <w:w w:val="105"/>
          <w:sz w:val="11"/>
        </w:rPr>
        <w:t xml:space="preserve"> </w:t>
      </w:r>
      <w:r>
        <w:rPr>
          <w:w w:val="105"/>
          <w:sz w:val="11"/>
        </w:rPr>
        <w:t>los</w:t>
      </w:r>
      <w:r>
        <w:rPr>
          <w:spacing w:val="3"/>
          <w:w w:val="105"/>
          <w:sz w:val="11"/>
        </w:rPr>
        <w:t xml:space="preserve"> </w:t>
      </w:r>
      <w:r>
        <w:rPr>
          <w:w w:val="105"/>
          <w:sz w:val="11"/>
        </w:rPr>
        <w:t>organismos</w:t>
      </w:r>
      <w:r>
        <w:rPr>
          <w:spacing w:val="3"/>
          <w:w w:val="105"/>
          <w:sz w:val="11"/>
        </w:rPr>
        <w:t xml:space="preserve"> </w:t>
      </w:r>
      <w:r>
        <w:rPr>
          <w:w w:val="105"/>
          <w:sz w:val="11"/>
        </w:rPr>
        <w:t>de</w:t>
      </w:r>
      <w:r>
        <w:rPr>
          <w:spacing w:val="3"/>
          <w:w w:val="105"/>
          <w:sz w:val="11"/>
        </w:rPr>
        <w:t xml:space="preserve"> </w:t>
      </w:r>
      <w:r>
        <w:rPr>
          <w:spacing w:val="-2"/>
          <w:w w:val="105"/>
          <w:sz w:val="11"/>
        </w:rPr>
        <w:t>igualdad.</w:t>
      </w:r>
    </w:p>
    <w:p w14:paraId="79FD1A38" w14:textId="77777777" w:rsidR="0014798C" w:rsidRDefault="004E1F0B">
      <w:pPr>
        <w:pStyle w:val="Prrafodelista"/>
        <w:numPr>
          <w:ilvl w:val="0"/>
          <w:numId w:val="40"/>
        </w:numPr>
        <w:tabs>
          <w:tab w:val="left" w:pos="1335"/>
        </w:tabs>
        <w:spacing w:before="110"/>
        <w:ind w:left="1335" w:hanging="227"/>
        <w:rPr>
          <w:sz w:val="11"/>
        </w:rPr>
      </w:pPr>
      <w:r>
        <w:rPr>
          <w:w w:val="105"/>
          <w:sz w:val="11"/>
        </w:rPr>
        <w:t>Comité</w:t>
      </w:r>
      <w:r>
        <w:rPr>
          <w:spacing w:val="-3"/>
          <w:w w:val="105"/>
          <w:sz w:val="11"/>
        </w:rPr>
        <w:t xml:space="preserve"> </w:t>
      </w:r>
      <w:r>
        <w:rPr>
          <w:w w:val="105"/>
          <w:sz w:val="11"/>
        </w:rPr>
        <w:t>para</w:t>
      </w:r>
      <w:r>
        <w:rPr>
          <w:spacing w:val="-2"/>
          <w:w w:val="105"/>
          <w:sz w:val="11"/>
        </w:rPr>
        <w:t xml:space="preserve"> </w:t>
      </w:r>
      <w:r>
        <w:rPr>
          <w:w w:val="105"/>
          <w:sz w:val="11"/>
        </w:rPr>
        <w:t>la</w:t>
      </w:r>
      <w:r>
        <w:rPr>
          <w:spacing w:val="-2"/>
          <w:w w:val="105"/>
          <w:sz w:val="11"/>
        </w:rPr>
        <w:t xml:space="preserve"> </w:t>
      </w:r>
      <w:r>
        <w:rPr>
          <w:w w:val="105"/>
          <w:sz w:val="11"/>
        </w:rPr>
        <w:t>Eliminación</w:t>
      </w:r>
      <w:r>
        <w:rPr>
          <w:spacing w:val="-2"/>
          <w:w w:val="105"/>
          <w:sz w:val="11"/>
        </w:rPr>
        <w:t xml:space="preserve"> </w:t>
      </w:r>
      <w:r>
        <w:rPr>
          <w:w w:val="105"/>
          <w:sz w:val="11"/>
        </w:rPr>
        <w:t>de</w:t>
      </w:r>
      <w:r>
        <w:rPr>
          <w:spacing w:val="-2"/>
          <w:w w:val="105"/>
          <w:sz w:val="11"/>
        </w:rPr>
        <w:t xml:space="preserve"> </w:t>
      </w:r>
      <w:r>
        <w:rPr>
          <w:w w:val="105"/>
          <w:sz w:val="11"/>
        </w:rPr>
        <w:t>la</w:t>
      </w:r>
      <w:r>
        <w:rPr>
          <w:spacing w:val="-2"/>
          <w:w w:val="105"/>
          <w:sz w:val="11"/>
        </w:rPr>
        <w:t xml:space="preserve"> </w:t>
      </w:r>
      <w:r>
        <w:rPr>
          <w:w w:val="105"/>
          <w:sz w:val="11"/>
        </w:rPr>
        <w:t>Discriminación</w:t>
      </w:r>
      <w:r>
        <w:rPr>
          <w:spacing w:val="-2"/>
          <w:w w:val="105"/>
          <w:sz w:val="11"/>
        </w:rPr>
        <w:t xml:space="preserve"> </w:t>
      </w:r>
      <w:r>
        <w:rPr>
          <w:w w:val="105"/>
          <w:sz w:val="11"/>
        </w:rPr>
        <w:t>Racial,</w:t>
      </w:r>
      <w:r>
        <w:rPr>
          <w:spacing w:val="-2"/>
          <w:w w:val="105"/>
          <w:sz w:val="11"/>
        </w:rPr>
        <w:t xml:space="preserve"> </w:t>
      </w:r>
      <w:r>
        <w:rPr>
          <w:w w:val="105"/>
          <w:sz w:val="11"/>
        </w:rPr>
        <w:t>recomendación</w:t>
      </w:r>
      <w:r>
        <w:rPr>
          <w:spacing w:val="-2"/>
          <w:w w:val="105"/>
          <w:sz w:val="11"/>
        </w:rPr>
        <w:t xml:space="preserve"> </w:t>
      </w:r>
      <w:r>
        <w:rPr>
          <w:w w:val="105"/>
          <w:sz w:val="11"/>
        </w:rPr>
        <w:t>general</w:t>
      </w:r>
      <w:r>
        <w:rPr>
          <w:spacing w:val="-3"/>
          <w:w w:val="105"/>
          <w:sz w:val="11"/>
        </w:rPr>
        <w:t xml:space="preserve"> </w:t>
      </w:r>
      <w:r>
        <w:rPr>
          <w:w w:val="105"/>
          <w:sz w:val="11"/>
        </w:rPr>
        <w:t>núm.</w:t>
      </w:r>
      <w:r>
        <w:rPr>
          <w:spacing w:val="-2"/>
          <w:w w:val="105"/>
          <w:sz w:val="11"/>
        </w:rPr>
        <w:t xml:space="preserve"> </w:t>
      </w:r>
      <w:r>
        <w:rPr>
          <w:w w:val="105"/>
          <w:sz w:val="11"/>
        </w:rPr>
        <w:t>17</w:t>
      </w:r>
      <w:r>
        <w:rPr>
          <w:spacing w:val="-2"/>
          <w:w w:val="105"/>
          <w:sz w:val="11"/>
        </w:rPr>
        <w:t xml:space="preserve"> </w:t>
      </w:r>
      <w:r>
        <w:rPr>
          <w:w w:val="105"/>
          <w:sz w:val="11"/>
        </w:rPr>
        <w:t>(1993),</w:t>
      </w:r>
      <w:r>
        <w:rPr>
          <w:spacing w:val="-2"/>
          <w:w w:val="105"/>
          <w:sz w:val="11"/>
        </w:rPr>
        <w:t xml:space="preserve"> </w:t>
      </w:r>
      <w:r>
        <w:rPr>
          <w:w w:val="105"/>
          <w:sz w:val="11"/>
        </w:rPr>
        <w:t>párr.</w:t>
      </w:r>
      <w:r>
        <w:rPr>
          <w:spacing w:val="-2"/>
          <w:w w:val="105"/>
          <w:sz w:val="11"/>
        </w:rPr>
        <w:t xml:space="preserve"> </w:t>
      </w:r>
      <w:r>
        <w:rPr>
          <w:w w:val="95"/>
          <w:sz w:val="11"/>
        </w:rPr>
        <w:t>1;</w:t>
      </w:r>
      <w:r>
        <w:rPr>
          <w:spacing w:val="-2"/>
          <w:w w:val="105"/>
          <w:sz w:val="11"/>
        </w:rPr>
        <w:t xml:space="preserve"> </w:t>
      </w:r>
      <w:r>
        <w:rPr>
          <w:w w:val="105"/>
          <w:sz w:val="11"/>
        </w:rPr>
        <w:t>Comité</w:t>
      </w:r>
      <w:r>
        <w:rPr>
          <w:spacing w:val="-2"/>
          <w:w w:val="105"/>
          <w:sz w:val="11"/>
        </w:rPr>
        <w:t xml:space="preserve"> </w:t>
      </w:r>
      <w:r>
        <w:rPr>
          <w:w w:val="105"/>
          <w:sz w:val="11"/>
        </w:rPr>
        <w:t>de</w:t>
      </w:r>
      <w:r>
        <w:rPr>
          <w:spacing w:val="-2"/>
          <w:w w:val="105"/>
          <w:sz w:val="11"/>
        </w:rPr>
        <w:t xml:space="preserve"> Eliminación</w:t>
      </w:r>
    </w:p>
    <w:p w14:paraId="7DE3DA10" w14:textId="77777777" w:rsidR="0014798C" w:rsidRDefault="004E1F0B">
      <w:pPr>
        <w:spacing w:before="11" w:line="312" w:lineRule="auto"/>
        <w:ind w:left="1366" w:right="1272" w:firstLine="2"/>
        <w:rPr>
          <w:sz w:val="12"/>
        </w:rPr>
      </w:pPr>
      <w:r>
        <w:rPr>
          <w:sz w:val="12"/>
        </w:rPr>
        <w:t>de</w:t>
      </w:r>
      <w:r>
        <w:rPr>
          <w:spacing w:val="-4"/>
          <w:sz w:val="12"/>
        </w:rPr>
        <w:t xml:space="preserve"> </w:t>
      </w:r>
      <w:r>
        <w:rPr>
          <w:sz w:val="12"/>
        </w:rPr>
        <w:t>Discriminación</w:t>
      </w:r>
      <w:r>
        <w:rPr>
          <w:spacing w:val="-4"/>
          <w:sz w:val="12"/>
        </w:rPr>
        <w:t xml:space="preserve"> </w:t>
      </w:r>
      <w:r>
        <w:rPr>
          <w:sz w:val="12"/>
        </w:rPr>
        <w:t>contra</w:t>
      </w:r>
      <w:r>
        <w:rPr>
          <w:spacing w:val="-4"/>
          <w:sz w:val="12"/>
        </w:rPr>
        <w:t xml:space="preserve"> </w:t>
      </w:r>
      <w:r>
        <w:rPr>
          <w:sz w:val="12"/>
        </w:rPr>
        <w:t>la</w:t>
      </w:r>
      <w:r>
        <w:rPr>
          <w:spacing w:val="-4"/>
          <w:sz w:val="12"/>
        </w:rPr>
        <w:t xml:space="preserve"> </w:t>
      </w:r>
      <w:r>
        <w:rPr>
          <w:sz w:val="12"/>
        </w:rPr>
        <w:t>Mujer,</w:t>
      </w:r>
      <w:r>
        <w:rPr>
          <w:spacing w:val="-4"/>
          <w:sz w:val="12"/>
        </w:rPr>
        <w:t xml:space="preserve"> </w:t>
      </w:r>
      <w:r>
        <w:rPr>
          <w:sz w:val="12"/>
        </w:rPr>
        <w:t>recomendación</w:t>
      </w:r>
      <w:r>
        <w:rPr>
          <w:spacing w:val="-4"/>
          <w:sz w:val="12"/>
        </w:rPr>
        <w:t xml:space="preserve"> </w:t>
      </w:r>
      <w:r>
        <w:rPr>
          <w:sz w:val="12"/>
        </w:rPr>
        <w:t>general</w:t>
      </w:r>
      <w:r>
        <w:rPr>
          <w:spacing w:val="-4"/>
          <w:sz w:val="12"/>
        </w:rPr>
        <w:t xml:space="preserve"> </w:t>
      </w:r>
      <w:r>
        <w:rPr>
          <w:sz w:val="12"/>
        </w:rPr>
        <w:t>núm.</w:t>
      </w:r>
      <w:r>
        <w:rPr>
          <w:spacing w:val="-4"/>
          <w:sz w:val="12"/>
        </w:rPr>
        <w:t xml:space="preserve"> </w:t>
      </w:r>
      <w:r>
        <w:rPr>
          <w:sz w:val="12"/>
        </w:rPr>
        <w:t>28</w:t>
      </w:r>
      <w:r>
        <w:rPr>
          <w:spacing w:val="-4"/>
          <w:sz w:val="12"/>
        </w:rPr>
        <w:t xml:space="preserve"> </w:t>
      </w:r>
      <w:r>
        <w:rPr>
          <w:sz w:val="12"/>
        </w:rPr>
        <w:t>(2010),</w:t>
      </w:r>
      <w:r>
        <w:rPr>
          <w:spacing w:val="-4"/>
          <w:sz w:val="12"/>
        </w:rPr>
        <w:t xml:space="preserve"> </w:t>
      </w:r>
      <w:r>
        <w:rPr>
          <w:sz w:val="12"/>
        </w:rPr>
        <w:t>párr.</w:t>
      </w:r>
      <w:r>
        <w:rPr>
          <w:spacing w:val="-4"/>
          <w:sz w:val="12"/>
        </w:rPr>
        <w:t xml:space="preserve"> </w:t>
      </w:r>
      <w:r>
        <w:rPr>
          <w:sz w:val="12"/>
        </w:rPr>
        <w:t>28;</w:t>
      </w:r>
      <w:r>
        <w:rPr>
          <w:spacing w:val="-4"/>
          <w:sz w:val="12"/>
        </w:rPr>
        <w:t xml:space="preserve"> </w:t>
      </w:r>
      <w:r>
        <w:rPr>
          <w:sz w:val="12"/>
        </w:rPr>
        <w:t>Comité</w:t>
      </w:r>
      <w:r>
        <w:rPr>
          <w:spacing w:val="-4"/>
          <w:sz w:val="12"/>
        </w:rPr>
        <w:t xml:space="preserve"> </w:t>
      </w:r>
      <w:r>
        <w:rPr>
          <w:sz w:val="12"/>
        </w:rPr>
        <w:t>sobre</w:t>
      </w:r>
      <w:r>
        <w:rPr>
          <w:spacing w:val="-4"/>
          <w:sz w:val="12"/>
        </w:rPr>
        <w:t xml:space="preserve"> </w:t>
      </w:r>
      <w:r>
        <w:rPr>
          <w:sz w:val="12"/>
        </w:rPr>
        <w:t>los</w:t>
      </w:r>
      <w:r>
        <w:rPr>
          <w:spacing w:val="-4"/>
          <w:sz w:val="12"/>
        </w:rPr>
        <w:t xml:space="preserve"> </w:t>
      </w:r>
      <w:r>
        <w:rPr>
          <w:sz w:val="12"/>
        </w:rPr>
        <w:t>Derechos</w:t>
      </w:r>
      <w:r>
        <w:rPr>
          <w:spacing w:val="-4"/>
          <w:sz w:val="12"/>
        </w:rPr>
        <w:t xml:space="preserve"> </w:t>
      </w:r>
      <w:r>
        <w:rPr>
          <w:sz w:val="12"/>
        </w:rPr>
        <w:t>de</w:t>
      </w:r>
      <w:r>
        <w:rPr>
          <w:spacing w:val="-4"/>
          <w:sz w:val="12"/>
        </w:rPr>
        <w:t xml:space="preserve"> </w:t>
      </w:r>
      <w:r>
        <w:rPr>
          <w:sz w:val="12"/>
        </w:rPr>
        <w:t>las</w:t>
      </w:r>
      <w:r>
        <w:rPr>
          <w:spacing w:val="-4"/>
          <w:sz w:val="12"/>
        </w:rPr>
        <w:t xml:space="preserve"> </w:t>
      </w:r>
      <w:r>
        <w:rPr>
          <w:sz w:val="12"/>
        </w:rPr>
        <w:t>Personas</w:t>
      </w:r>
      <w:r>
        <w:rPr>
          <w:spacing w:val="-5"/>
          <w:sz w:val="12"/>
        </w:rPr>
        <w:t xml:space="preserve"> </w:t>
      </w:r>
      <w:r>
        <w:rPr>
          <w:sz w:val="12"/>
        </w:rPr>
        <w:t>con</w:t>
      </w:r>
      <w:r>
        <w:rPr>
          <w:spacing w:val="-4"/>
          <w:sz w:val="12"/>
        </w:rPr>
        <w:t xml:space="preserve"> </w:t>
      </w:r>
      <w:r>
        <w:rPr>
          <w:sz w:val="12"/>
        </w:rPr>
        <w:t>Discapacidad,</w:t>
      </w:r>
      <w:r>
        <w:rPr>
          <w:spacing w:val="-3"/>
          <w:sz w:val="12"/>
        </w:rPr>
        <w:t xml:space="preserve"> </w:t>
      </w:r>
      <w:r>
        <w:rPr>
          <w:sz w:val="12"/>
        </w:rPr>
        <w:t>observación</w:t>
      </w:r>
      <w:r>
        <w:rPr>
          <w:spacing w:val="-4"/>
          <w:sz w:val="12"/>
        </w:rPr>
        <w:t xml:space="preserve"> </w:t>
      </w:r>
      <w:r>
        <w:rPr>
          <w:sz w:val="12"/>
        </w:rPr>
        <w:t>general</w:t>
      </w:r>
      <w:r>
        <w:rPr>
          <w:spacing w:val="40"/>
          <w:sz w:val="12"/>
        </w:rPr>
        <w:t xml:space="preserve"> </w:t>
      </w:r>
      <w:r>
        <w:rPr>
          <w:sz w:val="12"/>
        </w:rPr>
        <w:t>núm.</w:t>
      </w:r>
      <w:r>
        <w:rPr>
          <w:spacing w:val="-6"/>
          <w:sz w:val="12"/>
        </w:rPr>
        <w:t xml:space="preserve"> </w:t>
      </w:r>
      <w:r>
        <w:rPr>
          <w:sz w:val="12"/>
        </w:rPr>
        <w:t>6</w:t>
      </w:r>
      <w:r>
        <w:rPr>
          <w:spacing w:val="-6"/>
          <w:sz w:val="12"/>
        </w:rPr>
        <w:t xml:space="preserve"> </w:t>
      </w:r>
      <w:r>
        <w:rPr>
          <w:sz w:val="12"/>
        </w:rPr>
        <w:t>(2018),</w:t>
      </w:r>
      <w:r>
        <w:rPr>
          <w:spacing w:val="-6"/>
          <w:sz w:val="12"/>
        </w:rPr>
        <w:t xml:space="preserve"> </w:t>
      </w:r>
      <w:r>
        <w:rPr>
          <w:sz w:val="12"/>
        </w:rPr>
        <w:t>párr.</w:t>
      </w:r>
      <w:r>
        <w:rPr>
          <w:spacing w:val="-6"/>
          <w:sz w:val="12"/>
        </w:rPr>
        <w:t xml:space="preserve"> </w:t>
      </w:r>
      <w:r>
        <w:rPr>
          <w:sz w:val="12"/>
        </w:rPr>
        <w:t>73</w:t>
      </w:r>
      <w:r>
        <w:rPr>
          <w:spacing w:val="-6"/>
          <w:sz w:val="12"/>
        </w:rPr>
        <w:t xml:space="preserve"> </w:t>
      </w:r>
      <w:r>
        <w:rPr>
          <w:sz w:val="12"/>
        </w:rPr>
        <w:t>(m);</w:t>
      </w:r>
      <w:r>
        <w:rPr>
          <w:spacing w:val="-6"/>
          <w:sz w:val="12"/>
        </w:rPr>
        <w:t xml:space="preserve"> </w:t>
      </w:r>
      <w:r>
        <w:rPr>
          <w:sz w:val="12"/>
        </w:rPr>
        <w:t>Comité</w:t>
      </w:r>
      <w:r>
        <w:rPr>
          <w:spacing w:val="-6"/>
          <w:sz w:val="12"/>
        </w:rPr>
        <w:t xml:space="preserve"> </w:t>
      </w:r>
      <w:r>
        <w:rPr>
          <w:sz w:val="12"/>
        </w:rPr>
        <w:t>de</w:t>
      </w:r>
      <w:r>
        <w:rPr>
          <w:spacing w:val="-6"/>
          <w:sz w:val="12"/>
        </w:rPr>
        <w:t xml:space="preserve"> </w:t>
      </w:r>
      <w:r>
        <w:rPr>
          <w:sz w:val="12"/>
        </w:rPr>
        <w:t>Derechos</w:t>
      </w:r>
      <w:r>
        <w:rPr>
          <w:spacing w:val="-6"/>
          <w:sz w:val="12"/>
        </w:rPr>
        <w:t xml:space="preserve"> </w:t>
      </w:r>
      <w:r>
        <w:rPr>
          <w:sz w:val="12"/>
        </w:rPr>
        <w:t>Económicos,</w:t>
      </w:r>
      <w:r>
        <w:rPr>
          <w:spacing w:val="-6"/>
          <w:sz w:val="12"/>
        </w:rPr>
        <w:t xml:space="preserve"> </w:t>
      </w:r>
      <w:r>
        <w:rPr>
          <w:sz w:val="12"/>
        </w:rPr>
        <w:t>Sociales</w:t>
      </w:r>
      <w:r>
        <w:rPr>
          <w:spacing w:val="-7"/>
          <w:sz w:val="12"/>
        </w:rPr>
        <w:t xml:space="preserve"> </w:t>
      </w:r>
      <w:r>
        <w:rPr>
          <w:sz w:val="12"/>
        </w:rPr>
        <w:t>y</w:t>
      </w:r>
      <w:r>
        <w:rPr>
          <w:spacing w:val="-6"/>
          <w:sz w:val="12"/>
        </w:rPr>
        <w:t xml:space="preserve"> </w:t>
      </w:r>
      <w:r>
        <w:rPr>
          <w:sz w:val="12"/>
        </w:rPr>
        <w:t>Culturales,</w:t>
      </w:r>
      <w:r>
        <w:rPr>
          <w:spacing w:val="-6"/>
          <w:sz w:val="12"/>
        </w:rPr>
        <w:t xml:space="preserve"> </w:t>
      </w:r>
      <w:r>
        <w:rPr>
          <w:sz w:val="12"/>
        </w:rPr>
        <w:t>observación</w:t>
      </w:r>
      <w:r>
        <w:rPr>
          <w:spacing w:val="-6"/>
          <w:sz w:val="12"/>
        </w:rPr>
        <w:t xml:space="preserve"> </w:t>
      </w:r>
      <w:r>
        <w:rPr>
          <w:sz w:val="12"/>
        </w:rPr>
        <w:t>general</w:t>
      </w:r>
      <w:r>
        <w:rPr>
          <w:spacing w:val="-6"/>
          <w:sz w:val="12"/>
        </w:rPr>
        <w:t xml:space="preserve"> </w:t>
      </w:r>
      <w:r>
        <w:rPr>
          <w:sz w:val="12"/>
        </w:rPr>
        <w:t>núm.</w:t>
      </w:r>
      <w:r>
        <w:rPr>
          <w:spacing w:val="-6"/>
          <w:sz w:val="12"/>
        </w:rPr>
        <w:t xml:space="preserve"> </w:t>
      </w:r>
      <w:r>
        <w:rPr>
          <w:sz w:val="12"/>
        </w:rPr>
        <w:t>20</w:t>
      </w:r>
      <w:r>
        <w:rPr>
          <w:spacing w:val="-6"/>
          <w:sz w:val="12"/>
        </w:rPr>
        <w:t xml:space="preserve"> </w:t>
      </w:r>
      <w:r>
        <w:rPr>
          <w:sz w:val="12"/>
        </w:rPr>
        <w:t>(2009),</w:t>
      </w:r>
      <w:r>
        <w:rPr>
          <w:spacing w:val="-6"/>
          <w:sz w:val="12"/>
        </w:rPr>
        <w:t xml:space="preserve"> </w:t>
      </w:r>
      <w:r>
        <w:rPr>
          <w:sz w:val="12"/>
        </w:rPr>
        <w:t>párr.</w:t>
      </w:r>
      <w:r>
        <w:rPr>
          <w:spacing w:val="-6"/>
          <w:sz w:val="12"/>
        </w:rPr>
        <w:t xml:space="preserve"> </w:t>
      </w:r>
      <w:r>
        <w:rPr>
          <w:sz w:val="12"/>
        </w:rPr>
        <w:t>40;</w:t>
      </w:r>
      <w:r>
        <w:rPr>
          <w:spacing w:val="-6"/>
          <w:sz w:val="12"/>
        </w:rPr>
        <w:t xml:space="preserve"> </w:t>
      </w:r>
      <w:r>
        <w:rPr>
          <w:sz w:val="12"/>
        </w:rPr>
        <w:t>y</w:t>
      </w:r>
      <w:r>
        <w:rPr>
          <w:spacing w:val="-6"/>
          <w:sz w:val="12"/>
        </w:rPr>
        <w:t xml:space="preserve"> </w:t>
      </w:r>
      <w:r>
        <w:rPr>
          <w:sz w:val="12"/>
        </w:rPr>
        <w:t>CCPR/C/GEO/CO/4,</w:t>
      </w:r>
      <w:r>
        <w:rPr>
          <w:spacing w:val="-6"/>
          <w:sz w:val="12"/>
        </w:rPr>
        <w:t xml:space="preserve"> </w:t>
      </w:r>
      <w:r>
        <w:rPr>
          <w:sz w:val="12"/>
        </w:rPr>
        <w:t>párr.</w:t>
      </w:r>
    </w:p>
    <w:p w14:paraId="2931A49B" w14:textId="77777777" w:rsidR="0014798C" w:rsidRDefault="004E1F0B">
      <w:pPr>
        <w:spacing w:before="1"/>
        <w:ind w:left="1366"/>
        <w:rPr>
          <w:sz w:val="12"/>
        </w:rPr>
      </w:pPr>
      <w:r>
        <w:rPr>
          <w:spacing w:val="-5"/>
          <w:sz w:val="12"/>
        </w:rPr>
        <w:t>6.</w:t>
      </w:r>
    </w:p>
    <w:p w14:paraId="70848D78" w14:textId="77777777" w:rsidR="0014798C" w:rsidRDefault="0014798C">
      <w:pPr>
        <w:pStyle w:val="Textoindependiente"/>
        <w:spacing w:before="14"/>
        <w:rPr>
          <w:sz w:val="11"/>
        </w:rPr>
      </w:pPr>
    </w:p>
    <w:p w14:paraId="28343985" w14:textId="77777777" w:rsidR="0014798C" w:rsidRDefault="004E1F0B">
      <w:pPr>
        <w:pStyle w:val="Prrafodelista"/>
        <w:numPr>
          <w:ilvl w:val="0"/>
          <w:numId w:val="40"/>
        </w:numPr>
        <w:tabs>
          <w:tab w:val="left" w:pos="1335"/>
        </w:tabs>
        <w:ind w:left="1335" w:hanging="227"/>
        <w:rPr>
          <w:sz w:val="11"/>
        </w:rPr>
      </w:pPr>
      <w:r>
        <w:rPr>
          <w:w w:val="105"/>
          <w:sz w:val="11"/>
        </w:rPr>
        <w:t>Directrices</w:t>
      </w:r>
      <w:r>
        <w:rPr>
          <w:spacing w:val="2"/>
          <w:w w:val="105"/>
          <w:sz w:val="11"/>
        </w:rPr>
        <w:t xml:space="preserve"> </w:t>
      </w:r>
      <w:r>
        <w:rPr>
          <w:w w:val="105"/>
          <w:sz w:val="11"/>
        </w:rPr>
        <w:t>sobre</w:t>
      </w:r>
      <w:r>
        <w:rPr>
          <w:spacing w:val="3"/>
          <w:w w:val="105"/>
          <w:sz w:val="11"/>
        </w:rPr>
        <w:t xml:space="preserve"> </w:t>
      </w:r>
      <w:r>
        <w:rPr>
          <w:w w:val="105"/>
          <w:sz w:val="11"/>
        </w:rPr>
        <w:t>marcos</w:t>
      </w:r>
      <w:r>
        <w:rPr>
          <w:spacing w:val="4"/>
          <w:w w:val="105"/>
          <w:sz w:val="11"/>
        </w:rPr>
        <w:t xml:space="preserve"> </w:t>
      </w:r>
      <w:r>
        <w:rPr>
          <w:w w:val="105"/>
          <w:sz w:val="11"/>
        </w:rPr>
        <w:t>de</w:t>
      </w:r>
      <w:r>
        <w:rPr>
          <w:spacing w:val="3"/>
          <w:w w:val="105"/>
          <w:sz w:val="11"/>
        </w:rPr>
        <w:t xml:space="preserve"> </w:t>
      </w:r>
      <w:r>
        <w:rPr>
          <w:w w:val="105"/>
          <w:sz w:val="11"/>
        </w:rPr>
        <w:t>monitoreo</w:t>
      </w:r>
      <w:r>
        <w:rPr>
          <w:spacing w:val="4"/>
          <w:w w:val="105"/>
          <w:sz w:val="11"/>
        </w:rPr>
        <w:t xml:space="preserve"> </w:t>
      </w:r>
      <w:r>
        <w:rPr>
          <w:w w:val="105"/>
          <w:sz w:val="11"/>
        </w:rPr>
        <w:t>independiente</w:t>
      </w:r>
      <w:r>
        <w:rPr>
          <w:spacing w:val="3"/>
          <w:w w:val="105"/>
          <w:sz w:val="11"/>
        </w:rPr>
        <w:t xml:space="preserve"> </w:t>
      </w:r>
      <w:r>
        <w:rPr>
          <w:w w:val="105"/>
          <w:sz w:val="11"/>
        </w:rPr>
        <w:t>y</w:t>
      </w:r>
      <w:r>
        <w:rPr>
          <w:spacing w:val="4"/>
          <w:w w:val="105"/>
          <w:sz w:val="11"/>
        </w:rPr>
        <w:t xml:space="preserve"> </w:t>
      </w:r>
      <w:r>
        <w:rPr>
          <w:w w:val="105"/>
          <w:sz w:val="11"/>
        </w:rPr>
        <w:t>su</w:t>
      </w:r>
      <w:r>
        <w:rPr>
          <w:spacing w:val="3"/>
          <w:w w:val="105"/>
          <w:sz w:val="11"/>
        </w:rPr>
        <w:t xml:space="preserve"> </w:t>
      </w:r>
      <w:r>
        <w:rPr>
          <w:w w:val="105"/>
          <w:sz w:val="11"/>
        </w:rPr>
        <w:t>participación</w:t>
      </w:r>
      <w:r>
        <w:rPr>
          <w:spacing w:val="4"/>
          <w:w w:val="105"/>
          <w:sz w:val="11"/>
        </w:rPr>
        <w:t xml:space="preserve"> </w:t>
      </w:r>
      <w:r>
        <w:rPr>
          <w:w w:val="105"/>
          <w:sz w:val="11"/>
        </w:rPr>
        <w:t>en</w:t>
      </w:r>
      <w:r>
        <w:rPr>
          <w:spacing w:val="3"/>
          <w:w w:val="105"/>
          <w:sz w:val="11"/>
        </w:rPr>
        <w:t xml:space="preserve"> </w:t>
      </w:r>
      <w:r>
        <w:rPr>
          <w:w w:val="105"/>
          <w:sz w:val="11"/>
        </w:rPr>
        <w:t>el</w:t>
      </w:r>
      <w:r>
        <w:rPr>
          <w:spacing w:val="4"/>
          <w:w w:val="105"/>
          <w:sz w:val="11"/>
        </w:rPr>
        <w:t xml:space="preserve"> </w:t>
      </w:r>
      <w:r>
        <w:rPr>
          <w:w w:val="105"/>
          <w:sz w:val="11"/>
        </w:rPr>
        <w:t>trabajo</w:t>
      </w:r>
      <w:r>
        <w:rPr>
          <w:spacing w:val="3"/>
          <w:w w:val="105"/>
          <w:sz w:val="11"/>
        </w:rPr>
        <w:t xml:space="preserve"> </w:t>
      </w:r>
      <w:r>
        <w:rPr>
          <w:w w:val="105"/>
          <w:sz w:val="11"/>
        </w:rPr>
        <w:t>del</w:t>
      </w:r>
      <w:r>
        <w:rPr>
          <w:spacing w:val="4"/>
          <w:w w:val="105"/>
          <w:sz w:val="11"/>
        </w:rPr>
        <w:t xml:space="preserve"> </w:t>
      </w:r>
      <w:r>
        <w:rPr>
          <w:w w:val="105"/>
          <w:sz w:val="11"/>
        </w:rPr>
        <w:t>Comité</w:t>
      </w:r>
      <w:r>
        <w:rPr>
          <w:spacing w:val="3"/>
          <w:w w:val="105"/>
          <w:sz w:val="11"/>
        </w:rPr>
        <w:t xml:space="preserve"> </w:t>
      </w:r>
      <w:r>
        <w:rPr>
          <w:w w:val="105"/>
          <w:sz w:val="11"/>
        </w:rPr>
        <w:t>sobre</w:t>
      </w:r>
      <w:r>
        <w:rPr>
          <w:spacing w:val="4"/>
          <w:w w:val="105"/>
          <w:sz w:val="11"/>
        </w:rPr>
        <w:t xml:space="preserve"> </w:t>
      </w:r>
      <w:r>
        <w:rPr>
          <w:w w:val="105"/>
          <w:sz w:val="11"/>
        </w:rPr>
        <w:t>los</w:t>
      </w:r>
      <w:r>
        <w:rPr>
          <w:spacing w:val="3"/>
          <w:w w:val="105"/>
          <w:sz w:val="11"/>
        </w:rPr>
        <w:t xml:space="preserve"> </w:t>
      </w:r>
      <w:r>
        <w:rPr>
          <w:w w:val="105"/>
          <w:sz w:val="11"/>
        </w:rPr>
        <w:t>Derechos</w:t>
      </w:r>
      <w:r>
        <w:rPr>
          <w:spacing w:val="4"/>
          <w:w w:val="105"/>
          <w:sz w:val="11"/>
        </w:rPr>
        <w:t xml:space="preserve"> </w:t>
      </w:r>
      <w:r>
        <w:rPr>
          <w:w w:val="105"/>
          <w:sz w:val="11"/>
        </w:rPr>
        <w:t>de</w:t>
      </w:r>
      <w:r>
        <w:rPr>
          <w:spacing w:val="3"/>
          <w:w w:val="105"/>
          <w:sz w:val="11"/>
        </w:rPr>
        <w:t xml:space="preserve"> </w:t>
      </w:r>
      <w:r>
        <w:rPr>
          <w:w w:val="105"/>
          <w:sz w:val="11"/>
        </w:rPr>
        <w:t>las</w:t>
      </w:r>
      <w:r>
        <w:rPr>
          <w:spacing w:val="4"/>
          <w:w w:val="105"/>
          <w:sz w:val="11"/>
        </w:rPr>
        <w:t xml:space="preserve"> </w:t>
      </w:r>
      <w:r>
        <w:rPr>
          <w:w w:val="105"/>
          <w:sz w:val="11"/>
        </w:rPr>
        <w:t>Personas</w:t>
      </w:r>
      <w:r>
        <w:rPr>
          <w:spacing w:val="2"/>
          <w:w w:val="105"/>
          <w:sz w:val="11"/>
        </w:rPr>
        <w:t xml:space="preserve"> </w:t>
      </w:r>
      <w:r>
        <w:rPr>
          <w:spacing w:val="-5"/>
          <w:w w:val="105"/>
          <w:sz w:val="11"/>
        </w:rPr>
        <w:t>con</w:t>
      </w:r>
    </w:p>
    <w:p w14:paraId="768F5FC8" w14:textId="77777777" w:rsidR="0014798C" w:rsidRDefault="004E1F0B">
      <w:pPr>
        <w:spacing w:before="11"/>
        <w:ind w:left="1367"/>
        <w:rPr>
          <w:sz w:val="12"/>
        </w:rPr>
      </w:pPr>
      <w:r>
        <w:rPr>
          <w:sz w:val="12"/>
        </w:rPr>
        <w:t>Discapacidad,</w:t>
      </w:r>
      <w:r>
        <w:rPr>
          <w:spacing w:val="-6"/>
          <w:sz w:val="12"/>
        </w:rPr>
        <w:t xml:space="preserve"> </w:t>
      </w:r>
      <w:r>
        <w:rPr>
          <w:sz w:val="12"/>
        </w:rPr>
        <w:t>anexo</w:t>
      </w:r>
      <w:r>
        <w:rPr>
          <w:spacing w:val="-6"/>
          <w:sz w:val="12"/>
        </w:rPr>
        <w:t xml:space="preserve"> </w:t>
      </w:r>
      <w:r>
        <w:rPr>
          <w:sz w:val="12"/>
        </w:rPr>
        <w:t>al</w:t>
      </w:r>
      <w:r>
        <w:rPr>
          <w:spacing w:val="-6"/>
          <w:sz w:val="12"/>
        </w:rPr>
        <w:t xml:space="preserve"> </w:t>
      </w:r>
      <w:r>
        <w:rPr>
          <w:sz w:val="12"/>
        </w:rPr>
        <w:t>reglamento</w:t>
      </w:r>
      <w:r>
        <w:rPr>
          <w:spacing w:val="-6"/>
          <w:sz w:val="12"/>
        </w:rPr>
        <w:t xml:space="preserve"> </w:t>
      </w:r>
      <w:r>
        <w:rPr>
          <w:sz w:val="12"/>
        </w:rPr>
        <w:t>del</w:t>
      </w:r>
      <w:r>
        <w:rPr>
          <w:spacing w:val="-6"/>
          <w:sz w:val="12"/>
        </w:rPr>
        <w:t xml:space="preserve"> </w:t>
      </w:r>
      <w:r>
        <w:rPr>
          <w:sz w:val="12"/>
        </w:rPr>
        <w:t>Comité</w:t>
      </w:r>
      <w:r>
        <w:rPr>
          <w:spacing w:val="-6"/>
          <w:sz w:val="12"/>
        </w:rPr>
        <w:t xml:space="preserve"> </w:t>
      </w:r>
      <w:r>
        <w:rPr>
          <w:sz w:val="12"/>
        </w:rPr>
        <w:t>(CRPD/C/1/Rev.1,</w:t>
      </w:r>
      <w:r>
        <w:rPr>
          <w:spacing w:val="-6"/>
          <w:sz w:val="12"/>
        </w:rPr>
        <w:t xml:space="preserve"> </w:t>
      </w:r>
      <w:r>
        <w:rPr>
          <w:sz w:val="12"/>
        </w:rPr>
        <w:t>anexo),</w:t>
      </w:r>
      <w:r>
        <w:rPr>
          <w:spacing w:val="-6"/>
          <w:sz w:val="12"/>
        </w:rPr>
        <w:t xml:space="preserve"> </w:t>
      </w:r>
      <w:r>
        <w:rPr>
          <w:sz w:val="12"/>
        </w:rPr>
        <w:t>párr.</w:t>
      </w:r>
      <w:r>
        <w:rPr>
          <w:spacing w:val="-6"/>
          <w:sz w:val="12"/>
        </w:rPr>
        <w:t xml:space="preserve"> </w:t>
      </w:r>
      <w:r>
        <w:rPr>
          <w:spacing w:val="-5"/>
          <w:sz w:val="12"/>
        </w:rPr>
        <w:t>15.</w:t>
      </w:r>
    </w:p>
    <w:p w14:paraId="755A6BE5" w14:textId="77777777" w:rsidR="0014798C" w:rsidRDefault="0014798C">
      <w:pPr>
        <w:pStyle w:val="Textoindependiente"/>
        <w:spacing w:before="14"/>
        <w:rPr>
          <w:sz w:val="11"/>
        </w:rPr>
      </w:pPr>
    </w:p>
    <w:p w14:paraId="28EA344B" w14:textId="77777777" w:rsidR="0014798C" w:rsidRDefault="004E1F0B">
      <w:pPr>
        <w:pStyle w:val="Prrafodelista"/>
        <w:numPr>
          <w:ilvl w:val="0"/>
          <w:numId w:val="40"/>
        </w:numPr>
        <w:tabs>
          <w:tab w:val="left" w:pos="1335"/>
        </w:tabs>
        <w:spacing w:before="1"/>
        <w:ind w:left="1335" w:hanging="227"/>
        <w:rPr>
          <w:sz w:val="11"/>
        </w:rPr>
      </w:pPr>
      <w:r>
        <w:rPr>
          <w:w w:val="105"/>
          <w:sz w:val="11"/>
        </w:rPr>
        <w:t>Consejo</w:t>
      </w:r>
      <w:r>
        <w:rPr>
          <w:spacing w:val="1"/>
          <w:w w:val="105"/>
          <w:sz w:val="11"/>
        </w:rPr>
        <w:t xml:space="preserve"> </w:t>
      </w:r>
      <w:r>
        <w:rPr>
          <w:w w:val="105"/>
          <w:sz w:val="11"/>
        </w:rPr>
        <w:t>de</w:t>
      </w:r>
      <w:r>
        <w:rPr>
          <w:spacing w:val="2"/>
          <w:w w:val="105"/>
          <w:sz w:val="11"/>
        </w:rPr>
        <w:t xml:space="preserve"> </w:t>
      </w:r>
      <w:r>
        <w:rPr>
          <w:w w:val="105"/>
          <w:sz w:val="11"/>
        </w:rPr>
        <w:t>Europa,</w:t>
      </w:r>
      <w:r>
        <w:rPr>
          <w:spacing w:val="2"/>
          <w:w w:val="105"/>
          <w:sz w:val="11"/>
        </w:rPr>
        <w:t xml:space="preserve"> </w:t>
      </w:r>
      <w:r>
        <w:rPr>
          <w:w w:val="105"/>
          <w:sz w:val="11"/>
        </w:rPr>
        <w:t>Comisión</w:t>
      </w:r>
      <w:r>
        <w:rPr>
          <w:spacing w:val="2"/>
          <w:w w:val="105"/>
          <w:sz w:val="11"/>
        </w:rPr>
        <w:t xml:space="preserve"> </w:t>
      </w:r>
      <w:r>
        <w:rPr>
          <w:w w:val="105"/>
          <w:sz w:val="11"/>
        </w:rPr>
        <w:t>Europea</w:t>
      </w:r>
      <w:r>
        <w:rPr>
          <w:spacing w:val="2"/>
          <w:w w:val="105"/>
          <w:sz w:val="11"/>
        </w:rPr>
        <w:t xml:space="preserve"> </w:t>
      </w:r>
      <w:r>
        <w:rPr>
          <w:w w:val="105"/>
          <w:sz w:val="11"/>
        </w:rPr>
        <w:t>contra</w:t>
      </w:r>
      <w:r>
        <w:rPr>
          <w:spacing w:val="2"/>
          <w:w w:val="105"/>
          <w:sz w:val="11"/>
        </w:rPr>
        <w:t xml:space="preserve"> </w:t>
      </w:r>
      <w:r>
        <w:rPr>
          <w:w w:val="105"/>
          <w:sz w:val="11"/>
        </w:rPr>
        <w:t>el</w:t>
      </w:r>
      <w:r>
        <w:rPr>
          <w:spacing w:val="2"/>
          <w:w w:val="105"/>
          <w:sz w:val="11"/>
        </w:rPr>
        <w:t xml:space="preserve"> </w:t>
      </w:r>
      <w:r>
        <w:rPr>
          <w:w w:val="105"/>
          <w:sz w:val="11"/>
        </w:rPr>
        <w:t>Racismo</w:t>
      </w:r>
      <w:r>
        <w:rPr>
          <w:spacing w:val="1"/>
          <w:w w:val="105"/>
          <w:sz w:val="11"/>
        </w:rPr>
        <w:t xml:space="preserve"> </w:t>
      </w:r>
      <w:r>
        <w:rPr>
          <w:w w:val="105"/>
          <w:sz w:val="11"/>
        </w:rPr>
        <w:t>y</w:t>
      </w:r>
      <w:r>
        <w:rPr>
          <w:spacing w:val="2"/>
          <w:w w:val="105"/>
          <w:sz w:val="11"/>
        </w:rPr>
        <w:t xml:space="preserve"> </w:t>
      </w:r>
      <w:r>
        <w:rPr>
          <w:w w:val="105"/>
          <w:sz w:val="11"/>
        </w:rPr>
        <w:t>la</w:t>
      </w:r>
      <w:r>
        <w:rPr>
          <w:spacing w:val="2"/>
          <w:w w:val="105"/>
          <w:sz w:val="11"/>
        </w:rPr>
        <w:t xml:space="preserve"> </w:t>
      </w:r>
      <w:r>
        <w:rPr>
          <w:w w:val="105"/>
          <w:sz w:val="11"/>
        </w:rPr>
        <w:t>Intolerancia,</w:t>
      </w:r>
      <w:r>
        <w:rPr>
          <w:spacing w:val="2"/>
          <w:w w:val="105"/>
          <w:sz w:val="11"/>
        </w:rPr>
        <w:t xml:space="preserve"> </w:t>
      </w:r>
      <w:r>
        <w:rPr>
          <w:w w:val="105"/>
          <w:sz w:val="11"/>
        </w:rPr>
        <w:t>“Recomendación</w:t>
      </w:r>
      <w:r>
        <w:rPr>
          <w:spacing w:val="2"/>
          <w:w w:val="105"/>
          <w:sz w:val="11"/>
        </w:rPr>
        <w:t xml:space="preserve"> </w:t>
      </w:r>
      <w:r>
        <w:rPr>
          <w:w w:val="105"/>
          <w:sz w:val="11"/>
        </w:rPr>
        <w:t>de</w:t>
      </w:r>
      <w:r>
        <w:rPr>
          <w:spacing w:val="2"/>
          <w:w w:val="105"/>
          <w:sz w:val="11"/>
        </w:rPr>
        <w:t xml:space="preserve"> </w:t>
      </w:r>
      <w:r>
        <w:rPr>
          <w:w w:val="105"/>
          <w:sz w:val="11"/>
        </w:rPr>
        <w:t>política</w:t>
      </w:r>
      <w:r>
        <w:rPr>
          <w:spacing w:val="1"/>
          <w:w w:val="105"/>
          <w:sz w:val="11"/>
        </w:rPr>
        <w:t xml:space="preserve"> </w:t>
      </w:r>
      <w:r>
        <w:rPr>
          <w:w w:val="105"/>
          <w:sz w:val="11"/>
        </w:rPr>
        <w:t>general</w:t>
      </w:r>
      <w:r>
        <w:rPr>
          <w:spacing w:val="1"/>
          <w:w w:val="105"/>
          <w:sz w:val="11"/>
        </w:rPr>
        <w:t xml:space="preserve"> </w:t>
      </w:r>
      <w:r>
        <w:rPr>
          <w:w w:val="105"/>
          <w:sz w:val="11"/>
        </w:rPr>
        <w:t>No.</w:t>
      </w:r>
      <w:r>
        <w:rPr>
          <w:spacing w:val="2"/>
          <w:w w:val="105"/>
          <w:sz w:val="11"/>
        </w:rPr>
        <w:t xml:space="preserve"> </w:t>
      </w:r>
      <w:r>
        <w:rPr>
          <w:w w:val="105"/>
          <w:sz w:val="11"/>
        </w:rPr>
        <w:t>2</w:t>
      </w:r>
      <w:r>
        <w:rPr>
          <w:spacing w:val="2"/>
          <w:w w:val="105"/>
          <w:sz w:val="11"/>
        </w:rPr>
        <w:t xml:space="preserve"> </w:t>
      </w:r>
      <w:r>
        <w:rPr>
          <w:w w:val="105"/>
          <w:sz w:val="11"/>
        </w:rPr>
        <w:t>de</w:t>
      </w:r>
      <w:r>
        <w:rPr>
          <w:spacing w:val="2"/>
          <w:w w:val="105"/>
          <w:sz w:val="11"/>
        </w:rPr>
        <w:t xml:space="preserve"> </w:t>
      </w:r>
      <w:r>
        <w:rPr>
          <w:w w:val="105"/>
          <w:sz w:val="11"/>
        </w:rPr>
        <w:t>la</w:t>
      </w:r>
      <w:r>
        <w:rPr>
          <w:spacing w:val="2"/>
          <w:w w:val="105"/>
          <w:sz w:val="11"/>
        </w:rPr>
        <w:t xml:space="preserve"> </w:t>
      </w:r>
      <w:r>
        <w:rPr>
          <w:w w:val="105"/>
          <w:sz w:val="11"/>
        </w:rPr>
        <w:t>ECRI”,</w:t>
      </w:r>
      <w:r>
        <w:rPr>
          <w:spacing w:val="2"/>
          <w:w w:val="105"/>
          <w:sz w:val="11"/>
        </w:rPr>
        <w:t xml:space="preserve"> </w:t>
      </w:r>
      <w:r>
        <w:rPr>
          <w:w w:val="105"/>
          <w:sz w:val="11"/>
        </w:rPr>
        <w:t>párr.</w:t>
      </w:r>
      <w:r>
        <w:rPr>
          <w:spacing w:val="2"/>
          <w:w w:val="105"/>
          <w:sz w:val="11"/>
        </w:rPr>
        <w:t xml:space="preserve"> </w:t>
      </w:r>
      <w:r>
        <w:rPr>
          <w:spacing w:val="-5"/>
          <w:w w:val="105"/>
          <w:sz w:val="11"/>
        </w:rPr>
        <w:t>2.</w:t>
      </w:r>
    </w:p>
    <w:p w14:paraId="3BE4DDB7" w14:textId="77777777" w:rsidR="0014798C" w:rsidRDefault="004E1F0B">
      <w:pPr>
        <w:pStyle w:val="Prrafodelista"/>
        <w:numPr>
          <w:ilvl w:val="0"/>
          <w:numId w:val="40"/>
        </w:numPr>
        <w:tabs>
          <w:tab w:val="left" w:pos="1335"/>
        </w:tabs>
        <w:spacing w:before="78"/>
        <w:ind w:left="1335" w:hanging="227"/>
        <w:rPr>
          <w:sz w:val="11"/>
        </w:rPr>
      </w:pPr>
      <w:proofErr w:type="spellStart"/>
      <w:r>
        <w:rPr>
          <w:spacing w:val="-2"/>
          <w:w w:val="105"/>
          <w:sz w:val="11"/>
        </w:rPr>
        <w:t>Ibíd</w:t>
      </w:r>
      <w:proofErr w:type="spellEnd"/>
      <w:r>
        <w:rPr>
          <w:spacing w:val="-2"/>
          <w:w w:val="105"/>
          <w:sz w:val="11"/>
        </w:rPr>
        <w:t>.</w:t>
      </w:r>
    </w:p>
    <w:p w14:paraId="561A7F5C" w14:textId="77777777" w:rsidR="0014798C" w:rsidRDefault="0014798C">
      <w:pPr>
        <w:rPr>
          <w:sz w:val="11"/>
        </w:rPr>
        <w:sectPr w:rsidR="0014798C" w:rsidSect="00F265E4">
          <w:type w:val="continuous"/>
          <w:pgSz w:w="11900" w:h="16820"/>
          <w:pgMar w:top="40" w:right="0" w:bottom="280" w:left="200" w:header="121" w:footer="0" w:gutter="0"/>
          <w:cols w:space="720"/>
        </w:sectPr>
      </w:pPr>
    </w:p>
    <w:p w14:paraId="5194CA02" w14:textId="77777777" w:rsidR="0014798C" w:rsidRDefault="004E1F0B">
      <w:pPr>
        <w:spacing w:before="87"/>
        <w:jc w:val="right"/>
        <w:rPr>
          <w:sz w:val="8"/>
        </w:rPr>
      </w:pPr>
      <w:r>
        <w:rPr>
          <w:spacing w:val="-5"/>
          <w:w w:val="105"/>
          <w:sz w:val="8"/>
        </w:rPr>
        <w:t>723</w:t>
      </w:r>
    </w:p>
    <w:p w14:paraId="5416838B" w14:textId="77777777" w:rsidR="0014798C" w:rsidRDefault="004E1F0B">
      <w:pPr>
        <w:spacing w:before="99" w:line="312" w:lineRule="auto"/>
        <w:ind w:left="77" w:right="1277" w:firstLine="3"/>
        <w:rPr>
          <w:sz w:val="12"/>
        </w:rPr>
      </w:pPr>
      <w:r>
        <w:br w:type="column"/>
      </w:r>
      <w:r>
        <w:rPr>
          <w:sz w:val="12"/>
        </w:rPr>
        <w:t>Véase, por ejemplo, Niall Crowley (para la Red Europea de Expertos</w:t>
      </w:r>
      <w:r>
        <w:rPr>
          <w:spacing w:val="-1"/>
          <w:sz w:val="12"/>
        </w:rPr>
        <w:t xml:space="preserve"> </w:t>
      </w:r>
      <w:r>
        <w:rPr>
          <w:sz w:val="12"/>
        </w:rPr>
        <w:t>Jurídicos</w:t>
      </w:r>
      <w:r>
        <w:rPr>
          <w:spacing w:val="-1"/>
          <w:sz w:val="12"/>
        </w:rPr>
        <w:t xml:space="preserve"> </w:t>
      </w:r>
      <w:r>
        <w:rPr>
          <w:sz w:val="12"/>
        </w:rPr>
        <w:t xml:space="preserve">en Igualdad de Género y No Discriminación), </w:t>
      </w:r>
      <w:proofErr w:type="spellStart"/>
      <w:r>
        <w:rPr>
          <w:sz w:val="12"/>
        </w:rPr>
        <w:t>Equality</w:t>
      </w:r>
      <w:proofErr w:type="spellEnd"/>
      <w:r>
        <w:rPr>
          <w:spacing w:val="-1"/>
          <w:sz w:val="12"/>
        </w:rPr>
        <w:t xml:space="preserve"> </w:t>
      </w:r>
      <w:proofErr w:type="spellStart"/>
      <w:r>
        <w:rPr>
          <w:sz w:val="12"/>
        </w:rPr>
        <w:t>Bodies</w:t>
      </w:r>
      <w:proofErr w:type="spellEnd"/>
      <w:r>
        <w:rPr>
          <w:spacing w:val="-1"/>
          <w:sz w:val="12"/>
        </w:rPr>
        <w:t xml:space="preserve"> </w:t>
      </w:r>
      <w:proofErr w:type="spellStart"/>
      <w:r>
        <w:rPr>
          <w:sz w:val="12"/>
        </w:rPr>
        <w:t>Making</w:t>
      </w:r>
      <w:proofErr w:type="spellEnd"/>
      <w:r>
        <w:rPr>
          <w:sz w:val="12"/>
        </w:rPr>
        <w:t xml:space="preserve"> a </w:t>
      </w:r>
      <w:proofErr w:type="spellStart"/>
      <w:r>
        <w:rPr>
          <w:sz w:val="12"/>
        </w:rPr>
        <w:t>Difference</w:t>
      </w:r>
      <w:proofErr w:type="spellEnd"/>
      <w:r>
        <w:rPr>
          <w:spacing w:val="40"/>
          <w:sz w:val="12"/>
        </w:rPr>
        <w:t xml:space="preserve"> </w:t>
      </w:r>
      <w:r>
        <w:rPr>
          <w:sz w:val="12"/>
        </w:rPr>
        <w:t>(Luxemburgo, Oficina de Publicaciones de la Unión Europea, 2018), págs. 89-101.</w:t>
      </w:r>
    </w:p>
    <w:p w14:paraId="7EC15D02" w14:textId="77777777" w:rsidR="0014798C" w:rsidRDefault="0014798C">
      <w:pPr>
        <w:spacing w:line="312" w:lineRule="auto"/>
        <w:rPr>
          <w:sz w:val="12"/>
        </w:rPr>
        <w:sectPr w:rsidR="0014798C" w:rsidSect="00F265E4">
          <w:type w:val="continuous"/>
          <w:pgSz w:w="11900" w:h="16820"/>
          <w:pgMar w:top="40" w:right="0" w:bottom="280" w:left="200" w:header="121" w:footer="0" w:gutter="0"/>
          <w:cols w:num="2" w:space="720" w:equalWidth="0">
            <w:col w:w="1250" w:space="40"/>
            <w:col w:w="10410"/>
          </w:cols>
        </w:sectPr>
      </w:pPr>
    </w:p>
    <w:p w14:paraId="5B1A1D0C" w14:textId="77777777" w:rsidR="0014798C" w:rsidRDefault="0014798C">
      <w:pPr>
        <w:pStyle w:val="Textoindependiente"/>
        <w:rPr>
          <w:sz w:val="18"/>
        </w:rPr>
      </w:pPr>
    </w:p>
    <w:p w14:paraId="13D93100" w14:textId="77777777" w:rsidR="0014798C" w:rsidRDefault="0014798C">
      <w:pPr>
        <w:pStyle w:val="Textoindependiente"/>
        <w:spacing w:before="195"/>
        <w:rPr>
          <w:sz w:val="18"/>
        </w:rPr>
      </w:pPr>
    </w:p>
    <w:p w14:paraId="0E398619" w14:textId="77777777" w:rsidR="0014798C" w:rsidRDefault="004E1F0B">
      <w:pPr>
        <w:ind w:right="711"/>
        <w:jc w:val="right"/>
        <w:rPr>
          <w:sz w:val="18"/>
        </w:rPr>
      </w:pPr>
      <w:r>
        <w:rPr>
          <w:spacing w:val="-5"/>
          <w:sz w:val="18"/>
        </w:rPr>
        <w:t>103</w:t>
      </w:r>
    </w:p>
    <w:p w14:paraId="4FDA304B" w14:textId="77777777" w:rsidR="0014798C" w:rsidRDefault="0014798C">
      <w:pPr>
        <w:jc w:val="right"/>
        <w:rPr>
          <w:sz w:val="18"/>
        </w:rPr>
        <w:sectPr w:rsidR="0014798C" w:rsidSect="00F265E4">
          <w:type w:val="continuous"/>
          <w:pgSz w:w="11900" w:h="16820"/>
          <w:pgMar w:top="40" w:right="0" w:bottom="280" w:left="200" w:header="121" w:footer="0" w:gutter="0"/>
          <w:cols w:space="720"/>
        </w:sectPr>
      </w:pPr>
    </w:p>
    <w:p w14:paraId="007B8478" w14:textId="77777777" w:rsidR="0014798C" w:rsidRDefault="0014798C">
      <w:pPr>
        <w:pStyle w:val="Textoindependiente"/>
        <w:spacing w:before="85"/>
        <w:rPr>
          <w:sz w:val="12"/>
        </w:rPr>
      </w:pPr>
    </w:p>
    <w:p w14:paraId="1D958D31" w14:textId="77777777" w:rsidR="0014798C" w:rsidRDefault="004E1F0B">
      <w:pPr>
        <w:ind w:left="1111"/>
        <w:rPr>
          <w:sz w:val="12"/>
        </w:rPr>
      </w:pPr>
      <w:r>
        <w:rPr>
          <w:color w:val="00AC59"/>
          <w:sz w:val="12"/>
        </w:rPr>
        <w:t>PROTECCIÓN</w:t>
      </w:r>
      <w:r>
        <w:rPr>
          <w:color w:val="00AC59"/>
          <w:spacing w:val="6"/>
          <w:sz w:val="12"/>
        </w:rPr>
        <w:t xml:space="preserve"> </w:t>
      </w:r>
      <w:r>
        <w:rPr>
          <w:color w:val="00AC59"/>
          <w:sz w:val="12"/>
        </w:rPr>
        <w:t>DE</w:t>
      </w:r>
      <w:r>
        <w:rPr>
          <w:color w:val="00AC59"/>
          <w:spacing w:val="7"/>
          <w:sz w:val="12"/>
        </w:rPr>
        <w:t xml:space="preserve"> </w:t>
      </w:r>
      <w:r>
        <w:rPr>
          <w:color w:val="00AC59"/>
          <w:sz w:val="12"/>
        </w:rPr>
        <w:t>LOS</w:t>
      </w:r>
      <w:r>
        <w:rPr>
          <w:color w:val="00AC59"/>
          <w:spacing w:val="8"/>
          <w:sz w:val="12"/>
        </w:rPr>
        <w:t xml:space="preserve"> </w:t>
      </w:r>
      <w:r>
        <w:rPr>
          <w:color w:val="00AC59"/>
          <w:sz w:val="12"/>
        </w:rPr>
        <w:t>DERECHOS</w:t>
      </w:r>
      <w:r>
        <w:rPr>
          <w:color w:val="00AC59"/>
          <w:spacing w:val="8"/>
          <w:sz w:val="12"/>
        </w:rPr>
        <w:t xml:space="preserve"> </w:t>
      </w:r>
      <w:r>
        <w:rPr>
          <w:color w:val="00AC59"/>
          <w:sz w:val="12"/>
        </w:rPr>
        <w:t>DE</w:t>
      </w:r>
      <w:r>
        <w:rPr>
          <w:color w:val="00AC59"/>
          <w:spacing w:val="6"/>
          <w:sz w:val="12"/>
        </w:rPr>
        <w:t xml:space="preserve"> </w:t>
      </w:r>
      <w:r>
        <w:rPr>
          <w:color w:val="00AC59"/>
          <w:sz w:val="12"/>
        </w:rPr>
        <w:t>LAS</w:t>
      </w:r>
      <w:r>
        <w:rPr>
          <w:color w:val="00AC59"/>
          <w:spacing w:val="7"/>
          <w:sz w:val="12"/>
        </w:rPr>
        <w:t xml:space="preserve"> </w:t>
      </w:r>
      <w:r>
        <w:rPr>
          <w:color w:val="00AC59"/>
          <w:sz w:val="12"/>
        </w:rPr>
        <w:t>MINORÍAS:</w:t>
      </w:r>
      <w:r>
        <w:rPr>
          <w:color w:val="00AC59"/>
          <w:spacing w:val="8"/>
          <w:sz w:val="12"/>
        </w:rPr>
        <w:t xml:space="preserve"> </w:t>
      </w:r>
      <w:r>
        <w:rPr>
          <w:color w:val="00AC59"/>
          <w:sz w:val="12"/>
        </w:rPr>
        <w:t>una</w:t>
      </w:r>
      <w:r>
        <w:rPr>
          <w:color w:val="00AC59"/>
          <w:spacing w:val="7"/>
          <w:sz w:val="12"/>
        </w:rPr>
        <w:t xml:space="preserve"> </w:t>
      </w:r>
      <w:r>
        <w:rPr>
          <w:color w:val="00AC59"/>
          <w:sz w:val="12"/>
        </w:rPr>
        <w:t>guía</w:t>
      </w:r>
      <w:r>
        <w:rPr>
          <w:color w:val="00AC59"/>
          <w:spacing w:val="6"/>
          <w:sz w:val="12"/>
        </w:rPr>
        <w:t xml:space="preserve"> </w:t>
      </w:r>
      <w:r>
        <w:rPr>
          <w:color w:val="00AC59"/>
          <w:sz w:val="12"/>
        </w:rPr>
        <w:t>práctica</w:t>
      </w:r>
      <w:r>
        <w:rPr>
          <w:color w:val="00AC59"/>
          <w:spacing w:val="7"/>
          <w:sz w:val="12"/>
        </w:rPr>
        <w:t xml:space="preserve"> </w:t>
      </w:r>
      <w:r>
        <w:rPr>
          <w:color w:val="00AC59"/>
          <w:sz w:val="12"/>
        </w:rPr>
        <w:t>para</w:t>
      </w:r>
      <w:r>
        <w:rPr>
          <w:color w:val="00AC59"/>
          <w:spacing w:val="8"/>
          <w:sz w:val="12"/>
        </w:rPr>
        <w:t xml:space="preserve"> </w:t>
      </w:r>
      <w:r>
        <w:rPr>
          <w:color w:val="00AC59"/>
          <w:sz w:val="12"/>
        </w:rPr>
        <w:t>desarrollar</w:t>
      </w:r>
      <w:r>
        <w:rPr>
          <w:color w:val="00AC59"/>
          <w:spacing w:val="6"/>
          <w:sz w:val="12"/>
        </w:rPr>
        <w:t xml:space="preserve"> </w:t>
      </w:r>
      <w:r>
        <w:rPr>
          <w:color w:val="00AC59"/>
          <w:sz w:val="12"/>
        </w:rPr>
        <w:t>una</w:t>
      </w:r>
      <w:r>
        <w:rPr>
          <w:color w:val="00AC59"/>
          <w:spacing w:val="7"/>
          <w:sz w:val="12"/>
        </w:rPr>
        <w:t xml:space="preserve"> </w:t>
      </w:r>
      <w:r>
        <w:rPr>
          <w:color w:val="00AC59"/>
          <w:sz w:val="12"/>
        </w:rPr>
        <w:t>legislación</w:t>
      </w:r>
      <w:r>
        <w:rPr>
          <w:color w:val="00AC59"/>
          <w:spacing w:val="8"/>
          <w:sz w:val="12"/>
        </w:rPr>
        <w:t xml:space="preserve"> </w:t>
      </w:r>
      <w:r>
        <w:rPr>
          <w:color w:val="00AC59"/>
          <w:sz w:val="12"/>
        </w:rPr>
        <w:t>integral</w:t>
      </w:r>
      <w:r>
        <w:rPr>
          <w:color w:val="00AC59"/>
          <w:spacing w:val="7"/>
          <w:sz w:val="12"/>
        </w:rPr>
        <w:t xml:space="preserve"> </w:t>
      </w:r>
      <w:r>
        <w:rPr>
          <w:color w:val="00AC59"/>
          <w:sz w:val="12"/>
        </w:rPr>
        <w:t>contra</w:t>
      </w:r>
      <w:r>
        <w:rPr>
          <w:color w:val="00AC59"/>
          <w:spacing w:val="6"/>
          <w:sz w:val="12"/>
        </w:rPr>
        <w:t xml:space="preserve"> </w:t>
      </w:r>
      <w:r>
        <w:rPr>
          <w:color w:val="00AC59"/>
          <w:sz w:val="12"/>
        </w:rPr>
        <w:t>la</w:t>
      </w:r>
      <w:r>
        <w:rPr>
          <w:color w:val="00AC59"/>
          <w:spacing w:val="7"/>
          <w:sz w:val="12"/>
        </w:rPr>
        <w:t xml:space="preserve"> </w:t>
      </w:r>
      <w:r>
        <w:rPr>
          <w:color w:val="00AC59"/>
          <w:spacing w:val="-2"/>
          <w:sz w:val="12"/>
        </w:rPr>
        <w:t>discriminación</w:t>
      </w:r>
    </w:p>
    <w:p w14:paraId="0D5660FB" w14:textId="77777777" w:rsidR="0014798C" w:rsidRDefault="0014798C">
      <w:pPr>
        <w:pStyle w:val="Textoindependiente"/>
        <w:rPr>
          <w:sz w:val="14"/>
        </w:rPr>
      </w:pPr>
    </w:p>
    <w:p w14:paraId="45D3236F" w14:textId="77777777" w:rsidR="0014798C" w:rsidRDefault="0014798C">
      <w:pPr>
        <w:pStyle w:val="Textoindependiente"/>
        <w:rPr>
          <w:sz w:val="14"/>
        </w:rPr>
      </w:pPr>
    </w:p>
    <w:p w14:paraId="50033BE4" w14:textId="77777777" w:rsidR="0014798C" w:rsidRDefault="0014798C">
      <w:pPr>
        <w:pStyle w:val="Textoindependiente"/>
        <w:rPr>
          <w:sz w:val="14"/>
        </w:rPr>
      </w:pPr>
    </w:p>
    <w:p w14:paraId="271D84D4" w14:textId="77777777" w:rsidR="0014798C" w:rsidRDefault="0014798C">
      <w:pPr>
        <w:pStyle w:val="Textoindependiente"/>
        <w:rPr>
          <w:sz w:val="14"/>
        </w:rPr>
      </w:pPr>
    </w:p>
    <w:p w14:paraId="327D7B2E" w14:textId="77777777" w:rsidR="0014798C" w:rsidRDefault="0014798C">
      <w:pPr>
        <w:pStyle w:val="Textoindependiente"/>
        <w:rPr>
          <w:sz w:val="14"/>
        </w:rPr>
      </w:pPr>
    </w:p>
    <w:p w14:paraId="12EB561A" w14:textId="77777777" w:rsidR="0014798C" w:rsidRDefault="0014798C">
      <w:pPr>
        <w:pStyle w:val="Textoindependiente"/>
        <w:spacing w:before="41"/>
        <w:rPr>
          <w:sz w:val="14"/>
        </w:rPr>
      </w:pPr>
    </w:p>
    <w:p w14:paraId="6952D45F" w14:textId="77777777" w:rsidR="0014798C" w:rsidRDefault="004E1F0B">
      <w:pPr>
        <w:spacing w:line="372" w:lineRule="auto"/>
        <w:ind w:left="1111" w:right="1165" w:hanging="4"/>
        <w:rPr>
          <w:sz w:val="14"/>
        </w:rPr>
      </w:pPr>
      <w:r>
        <w:rPr>
          <w:w w:val="105"/>
          <w:sz w:val="14"/>
        </w:rPr>
        <w:t>Principios</w:t>
      </w:r>
      <w:r>
        <w:rPr>
          <w:spacing w:val="-1"/>
          <w:w w:val="105"/>
          <w:sz w:val="14"/>
        </w:rPr>
        <w:t xml:space="preserve"> </w:t>
      </w:r>
      <w:r>
        <w:rPr>
          <w:w w:val="105"/>
          <w:sz w:val="14"/>
        </w:rPr>
        <w:t>de</w:t>
      </w:r>
      <w:r>
        <w:rPr>
          <w:spacing w:val="-1"/>
          <w:w w:val="105"/>
          <w:sz w:val="14"/>
        </w:rPr>
        <w:t xml:space="preserve"> </w:t>
      </w:r>
      <w:r>
        <w:rPr>
          <w:w w:val="105"/>
          <w:sz w:val="14"/>
        </w:rPr>
        <w:t>París)</w:t>
      </w:r>
      <w:r>
        <w:rPr>
          <w:spacing w:val="-1"/>
          <w:w w:val="105"/>
          <w:sz w:val="14"/>
        </w:rPr>
        <w:t xml:space="preserve"> </w:t>
      </w:r>
      <w:r>
        <w:rPr>
          <w:w w:val="105"/>
          <w:sz w:val="14"/>
        </w:rPr>
        <w:t>al</w:t>
      </w:r>
      <w:r>
        <w:rPr>
          <w:spacing w:val="-1"/>
          <w:w w:val="105"/>
          <w:sz w:val="14"/>
        </w:rPr>
        <w:t xml:space="preserve"> </w:t>
      </w:r>
      <w:r>
        <w:rPr>
          <w:w w:val="105"/>
          <w:sz w:val="14"/>
        </w:rPr>
        <w:t>establecer</w:t>
      </w:r>
      <w:r>
        <w:rPr>
          <w:spacing w:val="-1"/>
          <w:w w:val="105"/>
          <w:sz w:val="14"/>
        </w:rPr>
        <w:t xml:space="preserve"> </w:t>
      </w:r>
      <w:r>
        <w:rPr>
          <w:w w:val="105"/>
          <w:sz w:val="14"/>
        </w:rPr>
        <w:t>órganos</w:t>
      </w:r>
      <w:r>
        <w:rPr>
          <w:spacing w:val="-1"/>
          <w:w w:val="105"/>
          <w:sz w:val="14"/>
        </w:rPr>
        <w:t xml:space="preserve"> </w:t>
      </w:r>
      <w:r>
        <w:rPr>
          <w:w w:val="105"/>
          <w:sz w:val="14"/>
        </w:rPr>
        <w:t>de</w:t>
      </w:r>
      <w:r>
        <w:rPr>
          <w:spacing w:val="-1"/>
          <w:w w:val="105"/>
          <w:sz w:val="14"/>
        </w:rPr>
        <w:t xml:space="preserve"> </w:t>
      </w:r>
      <w:r>
        <w:rPr>
          <w:w w:val="105"/>
          <w:sz w:val="14"/>
        </w:rPr>
        <w:t>igualdad.724</w:t>
      </w:r>
      <w:r>
        <w:rPr>
          <w:spacing w:val="-1"/>
          <w:w w:val="105"/>
          <w:sz w:val="14"/>
        </w:rPr>
        <w:t xml:space="preserve"> </w:t>
      </w:r>
      <w:r>
        <w:rPr>
          <w:w w:val="105"/>
          <w:sz w:val="14"/>
        </w:rPr>
        <w:t>Otros</w:t>
      </w:r>
      <w:r>
        <w:rPr>
          <w:spacing w:val="-1"/>
          <w:w w:val="105"/>
          <w:sz w:val="14"/>
        </w:rPr>
        <w:t xml:space="preserve"> </w:t>
      </w:r>
      <w:r>
        <w:rPr>
          <w:w w:val="105"/>
          <w:sz w:val="14"/>
        </w:rPr>
        <w:t>órganos</w:t>
      </w:r>
      <w:r>
        <w:rPr>
          <w:spacing w:val="-1"/>
          <w:w w:val="105"/>
          <w:sz w:val="14"/>
        </w:rPr>
        <w:t xml:space="preserve"> </w:t>
      </w:r>
      <w:r>
        <w:rPr>
          <w:w w:val="105"/>
          <w:sz w:val="14"/>
        </w:rPr>
        <w:t>creados</w:t>
      </w:r>
      <w:r>
        <w:rPr>
          <w:spacing w:val="-1"/>
          <w:w w:val="105"/>
          <w:sz w:val="14"/>
        </w:rPr>
        <w:t xml:space="preserve"> </w:t>
      </w:r>
      <w:r>
        <w:rPr>
          <w:w w:val="105"/>
          <w:sz w:val="14"/>
        </w:rPr>
        <w:t>en</w:t>
      </w:r>
      <w:r>
        <w:rPr>
          <w:spacing w:val="-1"/>
          <w:w w:val="105"/>
          <w:sz w:val="14"/>
        </w:rPr>
        <w:t xml:space="preserve"> </w:t>
      </w:r>
      <w:r>
        <w:rPr>
          <w:w w:val="105"/>
          <w:sz w:val="14"/>
        </w:rPr>
        <w:t>virtud</w:t>
      </w:r>
      <w:r>
        <w:rPr>
          <w:spacing w:val="-1"/>
          <w:w w:val="105"/>
          <w:sz w:val="14"/>
        </w:rPr>
        <w:t xml:space="preserve"> </w:t>
      </w:r>
      <w:r>
        <w:rPr>
          <w:w w:val="105"/>
          <w:sz w:val="14"/>
        </w:rPr>
        <w:t>de</w:t>
      </w:r>
      <w:r>
        <w:rPr>
          <w:spacing w:val="-1"/>
          <w:w w:val="105"/>
          <w:sz w:val="14"/>
        </w:rPr>
        <w:t xml:space="preserve"> </w:t>
      </w:r>
      <w:r>
        <w:rPr>
          <w:w w:val="105"/>
          <w:sz w:val="14"/>
        </w:rPr>
        <w:t>tratados725</w:t>
      </w:r>
      <w:r>
        <w:rPr>
          <w:spacing w:val="-1"/>
          <w:w w:val="105"/>
          <w:sz w:val="14"/>
        </w:rPr>
        <w:t xml:space="preserve"> </w:t>
      </w:r>
      <w:r>
        <w:rPr>
          <w:w w:val="105"/>
          <w:sz w:val="14"/>
        </w:rPr>
        <w:t>y</w:t>
      </w:r>
      <w:r>
        <w:rPr>
          <w:spacing w:val="-1"/>
          <w:w w:val="105"/>
          <w:sz w:val="14"/>
        </w:rPr>
        <w:t xml:space="preserve"> </w:t>
      </w:r>
      <w:r>
        <w:rPr>
          <w:w w:val="105"/>
          <w:sz w:val="14"/>
        </w:rPr>
        <w:t>titulares</w:t>
      </w:r>
      <w:r>
        <w:rPr>
          <w:spacing w:val="-1"/>
          <w:w w:val="105"/>
          <w:sz w:val="14"/>
        </w:rPr>
        <w:t xml:space="preserve"> </w:t>
      </w:r>
      <w:r>
        <w:rPr>
          <w:w w:val="105"/>
          <w:sz w:val="14"/>
        </w:rPr>
        <w:t>de</w:t>
      </w:r>
      <w:r>
        <w:rPr>
          <w:spacing w:val="-1"/>
          <w:w w:val="105"/>
          <w:sz w:val="14"/>
        </w:rPr>
        <w:t xml:space="preserve"> </w:t>
      </w:r>
      <w:r>
        <w:rPr>
          <w:w w:val="105"/>
          <w:sz w:val="14"/>
        </w:rPr>
        <w:t>mandatos</w:t>
      </w:r>
      <w:r>
        <w:rPr>
          <w:spacing w:val="-1"/>
          <w:w w:val="105"/>
          <w:sz w:val="14"/>
        </w:rPr>
        <w:t xml:space="preserve"> </w:t>
      </w:r>
      <w:r>
        <w:rPr>
          <w:w w:val="105"/>
          <w:sz w:val="14"/>
        </w:rPr>
        <w:t>de procedimientos</w:t>
      </w:r>
      <w:r>
        <w:rPr>
          <w:spacing w:val="-10"/>
          <w:w w:val="105"/>
          <w:sz w:val="14"/>
        </w:rPr>
        <w:t xml:space="preserve"> </w:t>
      </w:r>
      <w:r>
        <w:rPr>
          <w:w w:val="105"/>
          <w:sz w:val="14"/>
        </w:rPr>
        <w:t>especiales</w:t>
      </w:r>
      <w:r>
        <w:rPr>
          <w:spacing w:val="-10"/>
          <w:w w:val="105"/>
          <w:sz w:val="14"/>
        </w:rPr>
        <w:t xml:space="preserve"> </w:t>
      </w:r>
      <w:r>
        <w:rPr>
          <w:w w:val="105"/>
          <w:sz w:val="14"/>
        </w:rPr>
        <w:t>han</w:t>
      </w:r>
      <w:r>
        <w:rPr>
          <w:spacing w:val="-10"/>
          <w:w w:val="105"/>
          <w:sz w:val="14"/>
        </w:rPr>
        <w:t xml:space="preserve"> </w:t>
      </w:r>
      <w:r>
        <w:rPr>
          <w:w w:val="105"/>
          <w:sz w:val="14"/>
        </w:rPr>
        <w:t>hecho</w:t>
      </w:r>
      <w:r>
        <w:rPr>
          <w:spacing w:val="-10"/>
          <w:w w:val="105"/>
          <w:sz w:val="14"/>
        </w:rPr>
        <w:t xml:space="preserve"> </w:t>
      </w:r>
      <w:r>
        <w:rPr>
          <w:w w:val="105"/>
          <w:sz w:val="14"/>
        </w:rPr>
        <w:t>recomendaciones</w:t>
      </w:r>
      <w:r>
        <w:rPr>
          <w:spacing w:val="-10"/>
          <w:w w:val="105"/>
          <w:sz w:val="14"/>
        </w:rPr>
        <w:t xml:space="preserve"> </w:t>
      </w:r>
      <w:r>
        <w:rPr>
          <w:w w:val="105"/>
          <w:sz w:val="14"/>
        </w:rPr>
        <w:t>similares.726</w:t>
      </w:r>
      <w:r>
        <w:rPr>
          <w:spacing w:val="-10"/>
          <w:w w:val="105"/>
          <w:sz w:val="14"/>
        </w:rPr>
        <w:t xml:space="preserve"> </w:t>
      </w:r>
      <w:r>
        <w:rPr>
          <w:w w:val="105"/>
          <w:sz w:val="14"/>
        </w:rPr>
        <w:t>Los</w:t>
      </w:r>
      <w:r>
        <w:rPr>
          <w:spacing w:val="-10"/>
          <w:w w:val="105"/>
          <w:sz w:val="14"/>
        </w:rPr>
        <w:t xml:space="preserve"> </w:t>
      </w:r>
      <w:r>
        <w:rPr>
          <w:w w:val="105"/>
          <w:sz w:val="14"/>
        </w:rPr>
        <w:t>Principios</w:t>
      </w:r>
      <w:r>
        <w:rPr>
          <w:spacing w:val="-10"/>
          <w:w w:val="105"/>
          <w:sz w:val="14"/>
        </w:rPr>
        <w:t xml:space="preserve"> </w:t>
      </w:r>
      <w:r>
        <w:rPr>
          <w:w w:val="105"/>
          <w:sz w:val="14"/>
        </w:rPr>
        <w:t>de</w:t>
      </w:r>
      <w:r>
        <w:rPr>
          <w:spacing w:val="-10"/>
          <w:w w:val="105"/>
          <w:sz w:val="14"/>
        </w:rPr>
        <w:t xml:space="preserve"> </w:t>
      </w:r>
      <w:r>
        <w:rPr>
          <w:w w:val="105"/>
          <w:sz w:val="14"/>
        </w:rPr>
        <w:t>París</w:t>
      </w:r>
      <w:r>
        <w:rPr>
          <w:spacing w:val="-10"/>
          <w:w w:val="105"/>
          <w:sz w:val="14"/>
        </w:rPr>
        <w:t xml:space="preserve"> </w:t>
      </w:r>
      <w:r>
        <w:rPr>
          <w:w w:val="105"/>
          <w:sz w:val="14"/>
        </w:rPr>
        <w:t>proporcionan</w:t>
      </w:r>
      <w:r>
        <w:rPr>
          <w:spacing w:val="-10"/>
          <w:w w:val="105"/>
          <w:sz w:val="14"/>
        </w:rPr>
        <w:t xml:space="preserve"> </w:t>
      </w:r>
      <w:r>
        <w:rPr>
          <w:w w:val="105"/>
          <w:sz w:val="14"/>
        </w:rPr>
        <w:t>puntos</w:t>
      </w:r>
      <w:r>
        <w:rPr>
          <w:spacing w:val="-10"/>
          <w:w w:val="105"/>
          <w:sz w:val="14"/>
        </w:rPr>
        <w:t xml:space="preserve"> </w:t>
      </w:r>
      <w:r>
        <w:rPr>
          <w:w w:val="105"/>
          <w:sz w:val="14"/>
        </w:rPr>
        <w:t>de</w:t>
      </w:r>
      <w:r>
        <w:rPr>
          <w:spacing w:val="-10"/>
          <w:w w:val="105"/>
          <w:sz w:val="14"/>
        </w:rPr>
        <w:t xml:space="preserve"> </w:t>
      </w:r>
      <w:r>
        <w:rPr>
          <w:w w:val="105"/>
          <w:sz w:val="14"/>
        </w:rPr>
        <w:t>referencia</w:t>
      </w:r>
      <w:r>
        <w:rPr>
          <w:spacing w:val="-10"/>
          <w:w w:val="105"/>
          <w:sz w:val="14"/>
        </w:rPr>
        <w:t xml:space="preserve"> </w:t>
      </w:r>
      <w:r>
        <w:rPr>
          <w:w w:val="105"/>
          <w:sz w:val="14"/>
        </w:rPr>
        <w:t>internacionales con</w:t>
      </w:r>
      <w:r>
        <w:rPr>
          <w:spacing w:val="-1"/>
          <w:w w:val="105"/>
          <w:sz w:val="14"/>
        </w:rPr>
        <w:t xml:space="preserve"> </w:t>
      </w:r>
      <w:r>
        <w:rPr>
          <w:w w:val="105"/>
          <w:sz w:val="14"/>
        </w:rPr>
        <w:t>respecto</w:t>
      </w:r>
      <w:r>
        <w:rPr>
          <w:spacing w:val="-1"/>
          <w:w w:val="105"/>
          <w:sz w:val="14"/>
        </w:rPr>
        <w:t xml:space="preserve"> </w:t>
      </w:r>
      <w:r>
        <w:rPr>
          <w:w w:val="105"/>
          <w:sz w:val="14"/>
        </w:rPr>
        <w:t>a</w:t>
      </w:r>
      <w:r>
        <w:rPr>
          <w:spacing w:val="-1"/>
          <w:w w:val="105"/>
          <w:sz w:val="14"/>
        </w:rPr>
        <w:t xml:space="preserve"> </w:t>
      </w:r>
      <w:r>
        <w:rPr>
          <w:w w:val="105"/>
          <w:sz w:val="14"/>
        </w:rPr>
        <w:t>los</w:t>
      </w:r>
      <w:r>
        <w:rPr>
          <w:spacing w:val="-1"/>
          <w:w w:val="105"/>
          <w:sz w:val="14"/>
        </w:rPr>
        <w:t xml:space="preserve"> </w:t>
      </w:r>
      <w:r>
        <w:rPr>
          <w:w w:val="105"/>
          <w:sz w:val="14"/>
        </w:rPr>
        <w:t>cuales</w:t>
      </w:r>
      <w:r>
        <w:rPr>
          <w:spacing w:val="-1"/>
          <w:w w:val="105"/>
          <w:sz w:val="14"/>
        </w:rPr>
        <w:t xml:space="preserve"> </w:t>
      </w:r>
      <w:r>
        <w:rPr>
          <w:w w:val="105"/>
          <w:sz w:val="14"/>
        </w:rPr>
        <w:t>las</w:t>
      </w:r>
      <w:r>
        <w:rPr>
          <w:spacing w:val="-1"/>
          <w:w w:val="105"/>
          <w:sz w:val="14"/>
        </w:rPr>
        <w:t xml:space="preserve"> </w:t>
      </w:r>
      <w:r>
        <w:rPr>
          <w:w w:val="105"/>
          <w:sz w:val="14"/>
        </w:rPr>
        <w:t>instituciones</w:t>
      </w:r>
      <w:r>
        <w:rPr>
          <w:spacing w:val="-2"/>
          <w:w w:val="105"/>
          <w:sz w:val="14"/>
        </w:rPr>
        <w:t xml:space="preserve"> </w:t>
      </w:r>
      <w:r>
        <w:rPr>
          <w:w w:val="105"/>
          <w:sz w:val="14"/>
        </w:rPr>
        <w:t>nacionales</w:t>
      </w:r>
      <w:r>
        <w:rPr>
          <w:spacing w:val="-1"/>
          <w:w w:val="105"/>
          <w:sz w:val="14"/>
        </w:rPr>
        <w:t xml:space="preserve"> </w:t>
      </w:r>
      <w:r>
        <w:rPr>
          <w:w w:val="105"/>
          <w:sz w:val="14"/>
        </w:rPr>
        <w:t>de</w:t>
      </w:r>
      <w:r>
        <w:rPr>
          <w:spacing w:val="-1"/>
          <w:w w:val="105"/>
          <w:sz w:val="14"/>
        </w:rPr>
        <w:t xml:space="preserve"> </w:t>
      </w:r>
      <w:r>
        <w:rPr>
          <w:w w:val="105"/>
          <w:sz w:val="14"/>
        </w:rPr>
        <w:t>derechos</w:t>
      </w:r>
      <w:r>
        <w:rPr>
          <w:spacing w:val="-1"/>
          <w:w w:val="105"/>
          <w:sz w:val="14"/>
        </w:rPr>
        <w:t xml:space="preserve"> </w:t>
      </w:r>
      <w:r>
        <w:rPr>
          <w:w w:val="105"/>
          <w:sz w:val="14"/>
        </w:rPr>
        <w:t>humanos</w:t>
      </w:r>
      <w:r>
        <w:rPr>
          <w:spacing w:val="-1"/>
          <w:w w:val="105"/>
          <w:sz w:val="14"/>
        </w:rPr>
        <w:t xml:space="preserve"> </w:t>
      </w:r>
      <w:r>
        <w:rPr>
          <w:w w:val="105"/>
          <w:sz w:val="14"/>
        </w:rPr>
        <w:t>pueden</w:t>
      </w:r>
      <w:r>
        <w:rPr>
          <w:spacing w:val="-1"/>
          <w:w w:val="105"/>
          <w:sz w:val="14"/>
        </w:rPr>
        <w:t xml:space="preserve"> </w:t>
      </w:r>
      <w:r>
        <w:rPr>
          <w:w w:val="105"/>
          <w:sz w:val="14"/>
        </w:rPr>
        <w:t>ser</w:t>
      </w:r>
      <w:r>
        <w:rPr>
          <w:spacing w:val="-1"/>
          <w:w w:val="105"/>
          <w:sz w:val="14"/>
        </w:rPr>
        <w:t xml:space="preserve"> </w:t>
      </w:r>
      <w:r>
        <w:rPr>
          <w:w w:val="105"/>
          <w:sz w:val="14"/>
        </w:rPr>
        <w:t>acreditadas</w:t>
      </w:r>
      <w:r>
        <w:rPr>
          <w:spacing w:val="-1"/>
          <w:w w:val="105"/>
          <w:sz w:val="14"/>
        </w:rPr>
        <w:t xml:space="preserve"> </w:t>
      </w:r>
      <w:r>
        <w:rPr>
          <w:w w:val="105"/>
          <w:sz w:val="14"/>
        </w:rPr>
        <w:t>por</w:t>
      </w:r>
      <w:r>
        <w:rPr>
          <w:spacing w:val="-1"/>
          <w:w w:val="105"/>
          <w:sz w:val="14"/>
        </w:rPr>
        <w:t xml:space="preserve"> </w:t>
      </w:r>
      <w:r>
        <w:rPr>
          <w:w w:val="105"/>
          <w:sz w:val="14"/>
        </w:rPr>
        <w:t>la</w:t>
      </w:r>
      <w:r>
        <w:rPr>
          <w:spacing w:val="-1"/>
          <w:w w:val="105"/>
          <w:sz w:val="14"/>
        </w:rPr>
        <w:t xml:space="preserve"> </w:t>
      </w:r>
      <w:r>
        <w:rPr>
          <w:w w:val="105"/>
          <w:sz w:val="14"/>
        </w:rPr>
        <w:t>Alianza</w:t>
      </w:r>
      <w:r>
        <w:rPr>
          <w:spacing w:val="-1"/>
          <w:w w:val="105"/>
          <w:sz w:val="14"/>
        </w:rPr>
        <w:t xml:space="preserve"> </w:t>
      </w:r>
      <w:r>
        <w:rPr>
          <w:w w:val="105"/>
          <w:sz w:val="14"/>
        </w:rPr>
        <w:t>Global</w:t>
      </w:r>
      <w:r>
        <w:rPr>
          <w:spacing w:val="-1"/>
          <w:w w:val="105"/>
          <w:sz w:val="14"/>
        </w:rPr>
        <w:t xml:space="preserve"> </w:t>
      </w:r>
      <w:r>
        <w:rPr>
          <w:w w:val="105"/>
          <w:sz w:val="14"/>
        </w:rPr>
        <w:t>de</w:t>
      </w:r>
      <w:r>
        <w:rPr>
          <w:spacing w:val="-1"/>
          <w:w w:val="105"/>
          <w:sz w:val="14"/>
        </w:rPr>
        <w:t xml:space="preserve"> </w:t>
      </w:r>
      <w:r>
        <w:rPr>
          <w:w w:val="105"/>
          <w:sz w:val="14"/>
        </w:rPr>
        <w:t>Instituciones</w:t>
      </w:r>
    </w:p>
    <w:p w14:paraId="29AA31CE" w14:textId="77777777" w:rsidR="0014798C" w:rsidRDefault="004E1F0B">
      <w:pPr>
        <w:spacing w:before="1" w:line="372" w:lineRule="auto"/>
        <w:ind w:left="1107" w:right="369" w:firstLine="3"/>
        <w:rPr>
          <w:sz w:val="14"/>
        </w:rPr>
      </w:pPr>
      <w:r>
        <w:rPr>
          <w:w w:val="105"/>
          <w:sz w:val="14"/>
        </w:rPr>
        <w:t>Nacionales</w:t>
      </w:r>
      <w:r>
        <w:rPr>
          <w:spacing w:val="-9"/>
          <w:w w:val="105"/>
          <w:sz w:val="14"/>
        </w:rPr>
        <w:t xml:space="preserve"> </w:t>
      </w:r>
      <w:r>
        <w:rPr>
          <w:w w:val="105"/>
          <w:sz w:val="14"/>
        </w:rPr>
        <w:t>de</w:t>
      </w:r>
      <w:r>
        <w:rPr>
          <w:spacing w:val="-9"/>
          <w:w w:val="105"/>
          <w:sz w:val="14"/>
        </w:rPr>
        <w:t xml:space="preserve"> </w:t>
      </w:r>
      <w:r>
        <w:rPr>
          <w:w w:val="105"/>
          <w:sz w:val="14"/>
        </w:rPr>
        <w:t>Derechos</w:t>
      </w:r>
      <w:r>
        <w:rPr>
          <w:spacing w:val="-9"/>
          <w:w w:val="105"/>
          <w:sz w:val="14"/>
        </w:rPr>
        <w:t xml:space="preserve"> </w:t>
      </w:r>
      <w:r>
        <w:rPr>
          <w:w w:val="105"/>
          <w:sz w:val="14"/>
        </w:rPr>
        <w:t>Humanos.</w:t>
      </w:r>
      <w:r>
        <w:rPr>
          <w:spacing w:val="-8"/>
          <w:w w:val="105"/>
          <w:sz w:val="14"/>
        </w:rPr>
        <w:t xml:space="preserve"> </w:t>
      </w:r>
      <w:r>
        <w:rPr>
          <w:w w:val="105"/>
          <w:sz w:val="14"/>
        </w:rPr>
        <w:t>Aunque</w:t>
      </w:r>
      <w:r>
        <w:rPr>
          <w:spacing w:val="-9"/>
          <w:w w:val="105"/>
          <w:sz w:val="14"/>
        </w:rPr>
        <w:t xml:space="preserve"> </w:t>
      </w:r>
      <w:r>
        <w:rPr>
          <w:w w:val="105"/>
          <w:sz w:val="14"/>
        </w:rPr>
        <w:t>las</w:t>
      </w:r>
      <w:r>
        <w:rPr>
          <w:spacing w:val="-9"/>
          <w:w w:val="105"/>
          <w:sz w:val="14"/>
        </w:rPr>
        <w:t xml:space="preserve"> </w:t>
      </w:r>
      <w:r>
        <w:rPr>
          <w:w w:val="105"/>
          <w:sz w:val="14"/>
        </w:rPr>
        <w:t>instituciones</w:t>
      </w:r>
      <w:r>
        <w:rPr>
          <w:spacing w:val="-10"/>
          <w:w w:val="105"/>
          <w:sz w:val="14"/>
        </w:rPr>
        <w:t xml:space="preserve"> </w:t>
      </w:r>
      <w:r>
        <w:rPr>
          <w:w w:val="105"/>
          <w:sz w:val="14"/>
        </w:rPr>
        <w:t>nacionales</w:t>
      </w:r>
      <w:r>
        <w:rPr>
          <w:spacing w:val="-9"/>
          <w:w w:val="105"/>
          <w:sz w:val="14"/>
        </w:rPr>
        <w:t xml:space="preserve"> </w:t>
      </w:r>
      <w:r>
        <w:rPr>
          <w:w w:val="105"/>
          <w:sz w:val="14"/>
        </w:rPr>
        <w:t>de</w:t>
      </w:r>
      <w:r>
        <w:rPr>
          <w:spacing w:val="-9"/>
          <w:w w:val="105"/>
          <w:sz w:val="14"/>
        </w:rPr>
        <w:t xml:space="preserve"> </w:t>
      </w:r>
      <w:r>
        <w:rPr>
          <w:w w:val="105"/>
          <w:sz w:val="14"/>
        </w:rPr>
        <w:t>derechos</w:t>
      </w:r>
      <w:r>
        <w:rPr>
          <w:spacing w:val="-9"/>
          <w:w w:val="105"/>
          <w:sz w:val="14"/>
        </w:rPr>
        <w:t xml:space="preserve"> </w:t>
      </w:r>
      <w:r>
        <w:rPr>
          <w:w w:val="105"/>
          <w:sz w:val="14"/>
        </w:rPr>
        <w:t>humanos</w:t>
      </w:r>
      <w:r>
        <w:rPr>
          <w:spacing w:val="-9"/>
          <w:w w:val="105"/>
          <w:sz w:val="14"/>
        </w:rPr>
        <w:t xml:space="preserve"> </w:t>
      </w:r>
      <w:r>
        <w:rPr>
          <w:w w:val="105"/>
          <w:sz w:val="14"/>
        </w:rPr>
        <w:t>son</w:t>
      </w:r>
      <w:r>
        <w:rPr>
          <w:spacing w:val="-9"/>
          <w:w w:val="105"/>
          <w:sz w:val="14"/>
        </w:rPr>
        <w:t xml:space="preserve"> </w:t>
      </w:r>
      <w:r>
        <w:rPr>
          <w:w w:val="105"/>
          <w:sz w:val="14"/>
        </w:rPr>
        <w:t>funcionalmente</w:t>
      </w:r>
      <w:r>
        <w:rPr>
          <w:spacing w:val="-9"/>
          <w:w w:val="105"/>
          <w:sz w:val="14"/>
        </w:rPr>
        <w:t xml:space="preserve"> </w:t>
      </w:r>
      <w:r>
        <w:rPr>
          <w:w w:val="105"/>
          <w:sz w:val="14"/>
        </w:rPr>
        <w:t>diferentes</w:t>
      </w:r>
      <w:r>
        <w:rPr>
          <w:spacing w:val="-9"/>
          <w:w w:val="105"/>
          <w:sz w:val="14"/>
        </w:rPr>
        <w:t xml:space="preserve"> </w:t>
      </w:r>
      <w:r>
        <w:rPr>
          <w:w w:val="105"/>
          <w:sz w:val="14"/>
        </w:rPr>
        <w:t>de</w:t>
      </w:r>
      <w:r>
        <w:rPr>
          <w:spacing w:val="-9"/>
          <w:w w:val="105"/>
          <w:sz w:val="14"/>
        </w:rPr>
        <w:t xml:space="preserve"> </w:t>
      </w:r>
      <w:r>
        <w:rPr>
          <w:w w:val="105"/>
          <w:sz w:val="14"/>
        </w:rPr>
        <w:t>los</w:t>
      </w:r>
      <w:r>
        <w:rPr>
          <w:spacing w:val="-9"/>
          <w:w w:val="105"/>
          <w:sz w:val="14"/>
        </w:rPr>
        <w:t xml:space="preserve"> </w:t>
      </w:r>
      <w:r>
        <w:rPr>
          <w:w w:val="105"/>
          <w:sz w:val="14"/>
        </w:rPr>
        <w:t>órganos</w:t>
      </w:r>
      <w:r>
        <w:rPr>
          <w:spacing w:val="-9"/>
          <w:w w:val="105"/>
          <w:sz w:val="14"/>
        </w:rPr>
        <w:t xml:space="preserve"> </w:t>
      </w:r>
      <w:r>
        <w:rPr>
          <w:w w:val="105"/>
          <w:sz w:val="14"/>
        </w:rPr>
        <w:t>de</w:t>
      </w:r>
      <w:r>
        <w:rPr>
          <w:spacing w:val="-9"/>
          <w:w w:val="105"/>
          <w:sz w:val="14"/>
        </w:rPr>
        <w:t xml:space="preserve"> </w:t>
      </w:r>
      <w:r>
        <w:rPr>
          <w:w w:val="105"/>
          <w:sz w:val="14"/>
        </w:rPr>
        <w:t>igualdad,727 Al</w:t>
      </w:r>
      <w:r>
        <w:rPr>
          <w:spacing w:val="-2"/>
          <w:w w:val="105"/>
          <w:sz w:val="14"/>
        </w:rPr>
        <w:t xml:space="preserve"> </w:t>
      </w:r>
      <w:r>
        <w:rPr>
          <w:w w:val="105"/>
          <w:sz w:val="14"/>
        </w:rPr>
        <w:t>poseer</w:t>
      </w:r>
      <w:r>
        <w:rPr>
          <w:spacing w:val="-2"/>
          <w:w w:val="105"/>
          <w:sz w:val="14"/>
        </w:rPr>
        <w:t xml:space="preserve"> </w:t>
      </w:r>
      <w:r>
        <w:rPr>
          <w:w w:val="105"/>
          <w:sz w:val="14"/>
        </w:rPr>
        <w:t>un</w:t>
      </w:r>
      <w:r>
        <w:rPr>
          <w:spacing w:val="-2"/>
          <w:w w:val="105"/>
          <w:sz w:val="14"/>
        </w:rPr>
        <w:t xml:space="preserve"> </w:t>
      </w:r>
      <w:r>
        <w:rPr>
          <w:w w:val="105"/>
          <w:sz w:val="14"/>
        </w:rPr>
        <w:t>mandato</w:t>
      </w:r>
      <w:r>
        <w:rPr>
          <w:spacing w:val="-2"/>
          <w:w w:val="105"/>
          <w:sz w:val="14"/>
        </w:rPr>
        <w:t xml:space="preserve"> </w:t>
      </w:r>
      <w:r>
        <w:rPr>
          <w:w w:val="105"/>
          <w:sz w:val="14"/>
        </w:rPr>
        <w:t>de</w:t>
      </w:r>
      <w:r>
        <w:rPr>
          <w:spacing w:val="-2"/>
          <w:w w:val="105"/>
          <w:sz w:val="14"/>
        </w:rPr>
        <w:t xml:space="preserve"> </w:t>
      </w:r>
      <w:r>
        <w:rPr>
          <w:w w:val="105"/>
          <w:sz w:val="14"/>
        </w:rPr>
        <w:t>derechos</w:t>
      </w:r>
      <w:r>
        <w:rPr>
          <w:spacing w:val="-2"/>
          <w:w w:val="105"/>
          <w:sz w:val="14"/>
        </w:rPr>
        <w:t xml:space="preserve"> </w:t>
      </w:r>
      <w:r>
        <w:rPr>
          <w:w w:val="105"/>
          <w:sz w:val="14"/>
        </w:rPr>
        <w:t>humanos</w:t>
      </w:r>
      <w:r>
        <w:rPr>
          <w:spacing w:val="-2"/>
          <w:w w:val="105"/>
          <w:sz w:val="14"/>
        </w:rPr>
        <w:t xml:space="preserve"> </w:t>
      </w:r>
      <w:r>
        <w:rPr>
          <w:w w:val="105"/>
          <w:sz w:val="14"/>
        </w:rPr>
        <w:t>mucho</w:t>
      </w:r>
      <w:r>
        <w:rPr>
          <w:spacing w:val="-2"/>
          <w:w w:val="105"/>
          <w:sz w:val="14"/>
        </w:rPr>
        <w:t xml:space="preserve"> </w:t>
      </w:r>
      <w:r>
        <w:rPr>
          <w:w w:val="105"/>
          <w:sz w:val="14"/>
        </w:rPr>
        <w:t>más</w:t>
      </w:r>
      <w:r>
        <w:rPr>
          <w:spacing w:val="-2"/>
          <w:w w:val="105"/>
          <w:sz w:val="14"/>
        </w:rPr>
        <w:t xml:space="preserve"> </w:t>
      </w:r>
      <w:r>
        <w:rPr>
          <w:w w:val="105"/>
          <w:sz w:val="14"/>
        </w:rPr>
        <w:t>amplio</w:t>
      </w:r>
      <w:r>
        <w:rPr>
          <w:spacing w:val="-2"/>
          <w:w w:val="105"/>
          <w:sz w:val="14"/>
        </w:rPr>
        <w:t xml:space="preserve"> </w:t>
      </w:r>
      <w:r>
        <w:rPr>
          <w:w w:val="105"/>
          <w:sz w:val="14"/>
        </w:rPr>
        <w:t>(aunque</w:t>
      </w:r>
      <w:r>
        <w:rPr>
          <w:spacing w:val="-2"/>
          <w:w w:val="105"/>
          <w:sz w:val="14"/>
        </w:rPr>
        <w:t xml:space="preserve"> </w:t>
      </w:r>
      <w:r>
        <w:rPr>
          <w:w w:val="105"/>
          <w:sz w:val="14"/>
        </w:rPr>
        <w:t>existen</w:t>
      </w:r>
      <w:r>
        <w:rPr>
          <w:spacing w:val="-2"/>
          <w:w w:val="105"/>
          <w:sz w:val="14"/>
        </w:rPr>
        <w:t xml:space="preserve"> </w:t>
      </w:r>
      <w:r>
        <w:rPr>
          <w:w w:val="105"/>
          <w:sz w:val="14"/>
        </w:rPr>
        <w:t>algunas</w:t>
      </w:r>
      <w:r>
        <w:rPr>
          <w:spacing w:val="-2"/>
          <w:w w:val="105"/>
          <w:sz w:val="14"/>
        </w:rPr>
        <w:t xml:space="preserve"> </w:t>
      </w:r>
      <w:r>
        <w:rPr>
          <w:w w:val="105"/>
          <w:sz w:val="14"/>
        </w:rPr>
        <w:t>instituciones</w:t>
      </w:r>
      <w:r>
        <w:rPr>
          <w:spacing w:val="-3"/>
          <w:w w:val="105"/>
          <w:sz w:val="14"/>
        </w:rPr>
        <w:t xml:space="preserve"> </w:t>
      </w:r>
      <w:r>
        <w:rPr>
          <w:w w:val="105"/>
          <w:sz w:val="14"/>
        </w:rPr>
        <w:t>con</w:t>
      </w:r>
      <w:r>
        <w:rPr>
          <w:spacing w:val="-2"/>
          <w:w w:val="105"/>
          <w:sz w:val="14"/>
        </w:rPr>
        <w:t xml:space="preserve"> </w:t>
      </w:r>
      <w:r>
        <w:rPr>
          <w:w w:val="105"/>
          <w:sz w:val="14"/>
        </w:rPr>
        <w:t>mandatos</w:t>
      </w:r>
      <w:r>
        <w:rPr>
          <w:spacing w:val="-2"/>
          <w:w w:val="105"/>
          <w:sz w:val="14"/>
        </w:rPr>
        <w:t xml:space="preserve"> </w:t>
      </w:r>
      <w:r>
        <w:rPr>
          <w:w w:val="105"/>
          <w:sz w:val="14"/>
        </w:rPr>
        <w:t>múltiples),728</w:t>
      </w:r>
      <w:r>
        <w:rPr>
          <w:spacing w:val="-2"/>
          <w:w w:val="105"/>
          <w:sz w:val="14"/>
        </w:rPr>
        <w:t xml:space="preserve"> </w:t>
      </w:r>
      <w:r>
        <w:rPr>
          <w:w w:val="105"/>
          <w:sz w:val="14"/>
        </w:rPr>
        <w:t>estos</w:t>
      </w:r>
    </w:p>
    <w:p w14:paraId="014577E4" w14:textId="77777777" w:rsidR="0014798C" w:rsidRDefault="004E1F0B">
      <w:pPr>
        <w:ind w:left="1107"/>
        <w:rPr>
          <w:sz w:val="14"/>
        </w:rPr>
      </w:pPr>
      <w:r>
        <w:rPr>
          <w:spacing w:val="-2"/>
          <w:w w:val="105"/>
          <w:sz w:val="14"/>
        </w:rPr>
        <w:t>principios</w:t>
      </w:r>
      <w:r>
        <w:rPr>
          <w:spacing w:val="-1"/>
          <w:w w:val="105"/>
          <w:sz w:val="14"/>
        </w:rPr>
        <w:t xml:space="preserve"> </w:t>
      </w:r>
      <w:r>
        <w:rPr>
          <w:spacing w:val="-2"/>
          <w:w w:val="105"/>
          <w:sz w:val="14"/>
        </w:rPr>
        <w:t>proporcionan</w:t>
      </w:r>
      <w:r>
        <w:rPr>
          <w:w w:val="105"/>
          <w:sz w:val="14"/>
        </w:rPr>
        <w:t xml:space="preserve"> </w:t>
      </w:r>
      <w:r>
        <w:rPr>
          <w:spacing w:val="-2"/>
          <w:w w:val="105"/>
          <w:sz w:val="14"/>
        </w:rPr>
        <w:t>un</w:t>
      </w:r>
      <w:r>
        <w:rPr>
          <w:w w:val="105"/>
          <w:sz w:val="14"/>
        </w:rPr>
        <w:t xml:space="preserve"> </w:t>
      </w:r>
      <w:r>
        <w:rPr>
          <w:spacing w:val="-2"/>
          <w:w w:val="105"/>
          <w:sz w:val="14"/>
        </w:rPr>
        <w:t>marco</w:t>
      </w:r>
      <w:r>
        <w:rPr>
          <w:w w:val="105"/>
          <w:sz w:val="14"/>
        </w:rPr>
        <w:t xml:space="preserve"> </w:t>
      </w:r>
      <w:r>
        <w:rPr>
          <w:spacing w:val="-2"/>
          <w:w w:val="105"/>
          <w:sz w:val="14"/>
        </w:rPr>
        <w:t>útil</w:t>
      </w:r>
      <w:r>
        <w:rPr>
          <w:w w:val="105"/>
          <w:sz w:val="14"/>
        </w:rPr>
        <w:t xml:space="preserve"> </w:t>
      </w:r>
      <w:r>
        <w:rPr>
          <w:spacing w:val="-2"/>
          <w:w w:val="105"/>
          <w:sz w:val="14"/>
        </w:rPr>
        <w:t>para</w:t>
      </w:r>
      <w:r>
        <w:rPr>
          <w:w w:val="105"/>
          <w:sz w:val="14"/>
        </w:rPr>
        <w:t xml:space="preserve"> </w:t>
      </w:r>
      <w:r>
        <w:rPr>
          <w:spacing w:val="-2"/>
          <w:w w:val="105"/>
          <w:sz w:val="14"/>
        </w:rPr>
        <w:t>evaluar</w:t>
      </w:r>
      <w:r>
        <w:rPr>
          <w:w w:val="105"/>
          <w:sz w:val="14"/>
        </w:rPr>
        <w:t xml:space="preserve"> </w:t>
      </w:r>
      <w:r>
        <w:rPr>
          <w:spacing w:val="-2"/>
          <w:w w:val="105"/>
          <w:sz w:val="14"/>
        </w:rPr>
        <w:t>la</w:t>
      </w:r>
      <w:r>
        <w:rPr>
          <w:w w:val="105"/>
          <w:sz w:val="14"/>
        </w:rPr>
        <w:t xml:space="preserve"> </w:t>
      </w:r>
      <w:r>
        <w:rPr>
          <w:spacing w:val="-2"/>
          <w:w w:val="105"/>
          <w:sz w:val="14"/>
        </w:rPr>
        <w:t>independencia</w:t>
      </w:r>
      <w:r>
        <w:rPr>
          <w:w w:val="105"/>
          <w:sz w:val="14"/>
        </w:rPr>
        <w:t xml:space="preserve"> </w:t>
      </w:r>
      <w:r>
        <w:rPr>
          <w:spacing w:val="-2"/>
          <w:w w:val="105"/>
          <w:sz w:val="14"/>
        </w:rPr>
        <w:t>de</w:t>
      </w:r>
      <w:r>
        <w:rPr>
          <w:w w:val="105"/>
          <w:sz w:val="14"/>
        </w:rPr>
        <w:t xml:space="preserve"> </w:t>
      </w:r>
      <w:r>
        <w:rPr>
          <w:spacing w:val="-2"/>
          <w:w w:val="105"/>
          <w:sz w:val="14"/>
        </w:rPr>
        <w:t>los</w:t>
      </w:r>
      <w:r>
        <w:rPr>
          <w:w w:val="105"/>
          <w:sz w:val="14"/>
        </w:rPr>
        <w:t xml:space="preserve"> </w:t>
      </w:r>
      <w:r>
        <w:rPr>
          <w:spacing w:val="-2"/>
          <w:w w:val="105"/>
          <w:sz w:val="14"/>
        </w:rPr>
        <w:t>órganos</w:t>
      </w:r>
      <w:r>
        <w:rPr>
          <w:w w:val="105"/>
          <w:sz w:val="14"/>
        </w:rPr>
        <w:t xml:space="preserve"> </w:t>
      </w:r>
      <w:r>
        <w:rPr>
          <w:spacing w:val="-2"/>
          <w:w w:val="105"/>
          <w:sz w:val="14"/>
        </w:rPr>
        <w:t>de</w:t>
      </w:r>
      <w:r>
        <w:rPr>
          <w:spacing w:val="-1"/>
          <w:w w:val="105"/>
          <w:sz w:val="14"/>
        </w:rPr>
        <w:t xml:space="preserve"> </w:t>
      </w:r>
      <w:r>
        <w:rPr>
          <w:spacing w:val="-2"/>
          <w:w w:val="105"/>
          <w:sz w:val="14"/>
        </w:rPr>
        <w:t>igualdad.</w:t>
      </w:r>
    </w:p>
    <w:p w14:paraId="61152750" w14:textId="77777777" w:rsidR="0014798C" w:rsidRDefault="0014798C">
      <w:pPr>
        <w:pStyle w:val="Textoindependiente"/>
        <w:spacing w:before="98"/>
        <w:rPr>
          <w:sz w:val="14"/>
        </w:rPr>
      </w:pPr>
    </w:p>
    <w:p w14:paraId="03921ED4" w14:textId="77777777" w:rsidR="0014798C" w:rsidRDefault="004E1F0B">
      <w:pPr>
        <w:spacing w:line="372" w:lineRule="auto"/>
        <w:ind w:left="1107" w:right="1325" w:hanging="1"/>
        <w:rPr>
          <w:sz w:val="14"/>
        </w:rPr>
      </w:pPr>
      <w:r>
        <w:rPr>
          <w:w w:val="105"/>
          <w:sz w:val="14"/>
        </w:rPr>
        <w:t>Los</w:t>
      </w:r>
      <w:r>
        <w:rPr>
          <w:spacing w:val="-2"/>
          <w:w w:val="105"/>
          <w:sz w:val="14"/>
        </w:rPr>
        <w:t xml:space="preserve"> </w:t>
      </w:r>
      <w:r>
        <w:rPr>
          <w:w w:val="105"/>
          <w:sz w:val="14"/>
        </w:rPr>
        <w:t>Principios</w:t>
      </w:r>
      <w:r>
        <w:rPr>
          <w:spacing w:val="-2"/>
          <w:w w:val="105"/>
          <w:sz w:val="14"/>
        </w:rPr>
        <w:t xml:space="preserve"> </w:t>
      </w:r>
      <w:r>
        <w:rPr>
          <w:w w:val="105"/>
          <w:sz w:val="14"/>
        </w:rPr>
        <w:t>de</w:t>
      </w:r>
      <w:r>
        <w:rPr>
          <w:spacing w:val="-2"/>
          <w:w w:val="105"/>
          <w:sz w:val="14"/>
        </w:rPr>
        <w:t xml:space="preserve"> </w:t>
      </w:r>
      <w:r>
        <w:rPr>
          <w:w w:val="105"/>
          <w:sz w:val="14"/>
        </w:rPr>
        <w:t>París</w:t>
      </w:r>
      <w:r>
        <w:rPr>
          <w:spacing w:val="-2"/>
          <w:w w:val="105"/>
          <w:sz w:val="14"/>
        </w:rPr>
        <w:t xml:space="preserve"> </w:t>
      </w:r>
      <w:r>
        <w:rPr>
          <w:w w:val="105"/>
          <w:sz w:val="14"/>
        </w:rPr>
        <w:t>establecen</w:t>
      </w:r>
      <w:r>
        <w:rPr>
          <w:spacing w:val="-2"/>
          <w:w w:val="105"/>
          <w:sz w:val="14"/>
        </w:rPr>
        <w:t xml:space="preserve"> </w:t>
      </w:r>
      <w:r>
        <w:rPr>
          <w:w w:val="105"/>
          <w:sz w:val="14"/>
        </w:rPr>
        <w:t>seis</w:t>
      </w:r>
      <w:r>
        <w:rPr>
          <w:spacing w:val="-2"/>
          <w:w w:val="105"/>
          <w:sz w:val="14"/>
        </w:rPr>
        <w:t xml:space="preserve"> </w:t>
      </w:r>
      <w:r>
        <w:rPr>
          <w:w w:val="105"/>
          <w:sz w:val="14"/>
        </w:rPr>
        <w:t>criterios</w:t>
      </w:r>
      <w:r>
        <w:rPr>
          <w:spacing w:val="-2"/>
          <w:w w:val="105"/>
          <w:sz w:val="14"/>
        </w:rPr>
        <w:t xml:space="preserve"> </w:t>
      </w:r>
      <w:r>
        <w:rPr>
          <w:w w:val="105"/>
          <w:sz w:val="14"/>
        </w:rPr>
        <w:t>principales</w:t>
      </w:r>
      <w:r>
        <w:rPr>
          <w:spacing w:val="-2"/>
          <w:w w:val="105"/>
          <w:sz w:val="14"/>
        </w:rPr>
        <w:t xml:space="preserve"> </w:t>
      </w:r>
      <w:r>
        <w:rPr>
          <w:w w:val="105"/>
          <w:sz w:val="14"/>
        </w:rPr>
        <w:t>con</w:t>
      </w:r>
      <w:r>
        <w:rPr>
          <w:spacing w:val="-2"/>
          <w:w w:val="105"/>
          <w:sz w:val="14"/>
        </w:rPr>
        <w:t xml:space="preserve"> </w:t>
      </w:r>
      <w:r>
        <w:rPr>
          <w:w w:val="105"/>
          <w:sz w:val="14"/>
        </w:rPr>
        <w:t>respecto</w:t>
      </w:r>
      <w:r>
        <w:rPr>
          <w:spacing w:val="-2"/>
          <w:w w:val="105"/>
          <w:sz w:val="14"/>
        </w:rPr>
        <w:t xml:space="preserve"> </w:t>
      </w:r>
      <w:r>
        <w:rPr>
          <w:w w:val="105"/>
          <w:sz w:val="14"/>
        </w:rPr>
        <w:t>a</w:t>
      </w:r>
      <w:r>
        <w:rPr>
          <w:spacing w:val="-2"/>
          <w:w w:val="105"/>
          <w:sz w:val="14"/>
        </w:rPr>
        <w:t xml:space="preserve"> </w:t>
      </w:r>
      <w:r>
        <w:rPr>
          <w:w w:val="105"/>
          <w:sz w:val="14"/>
        </w:rPr>
        <w:t>los</w:t>
      </w:r>
      <w:r>
        <w:rPr>
          <w:spacing w:val="-2"/>
          <w:w w:val="105"/>
          <w:sz w:val="14"/>
        </w:rPr>
        <w:t xml:space="preserve"> </w:t>
      </w:r>
      <w:r>
        <w:rPr>
          <w:w w:val="105"/>
          <w:sz w:val="14"/>
        </w:rPr>
        <w:t>cuales</w:t>
      </w:r>
      <w:r>
        <w:rPr>
          <w:spacing w:val="-2"/>
          <w:w w:val="105"/>
          <w:sz w:val="14"/>
        </w:rPr>
        <w:t xml:space="preserve"> </w:t>
      </w:r>
      <w:r>
        <w:rPr>
          <w:w w:val="105"/>
          <w:sz w:val="14"/>
        </w:rPr>
        <w:t>se</w:t>
      </w:r>
      <w:r>
        <w:rPr>
          <w:spacing w:val="-2"/>
          <w:w w:val="105"/>
          <w:sz w:val="14"/>
        </w:rPr>
        <w:t xml:space="preserve"> </w:t>
      </w:r>
      <w:r>
        <w:rPr>
          <w:w w:val="105"/>
          <w:sz w:val="14"/>
        </w:rPr>
        <w:t>puede</w:t>
      </w:r>
      <w:r>
        <w:rPr>
          <w:spacing w:val="-2"/>
          <w:w w:val="105"/>
          <w:sz w:val="14"/>
        </w:rPr>
        <w:t xml:space="preserve"> </w:t>
      </w:r>
      <w:r>
        <w:rPr>
          <w:w w:val="105"/>
          <w:sz w:val="14"/>
        </w:rPr>
        <w:t>medir</w:t>
      </w:r>
      <w:r>
        <w:rPr>
          <w:spacing w:val="-2"/>
          <w:w w:val="105"/>
          <w:sz w:val="14"/>
        </w:rPr>
        <w:t xml:space="preserve"> </w:t>
      </w:r>
      <w:r>
        <w:rPr>
          <w:w w:val="105"/>
          <w:sz w:val="14"/>
        </w:rPr>
        <w:t>la</w:t>
      </w:r>
      <w:r>
        <w:rPr>
          <w:spacing w:val="-2"/>
          <w:w w:val="105"/>
          <w:sz w:val="14"/>
        </w:rPr>
        <w:t xml:space="preserve"> </w:t>
      </w:r>
      <w:r>
        <w:rPr>
          <w:w w:val="105"/>
          <w:sz w:val="14"/>
        </w:rPr>
        <w:t>independencia:</w:t>
      </w:r>
      <w:r>
        <w:rPr>
          <w:spacing w:val="-1"/>
          <w:w w:val="105"/>
          <w:sz w:val="14"/>
        </w:rPr>
        <w:t xml:space="preserve"> </w:t>
      </w:r>
      <w:r>
        <w:rPr>
          <w:w w:val="105"/>
          <w:sz w:val="14"/>
        </w:rPr>
        <w:t>(a)</w:t>
      </w:r>
      <w:r>
        <w:rPr>
          <w:spacing w:val="-2"/>
          <w:w w:val="105"/>
          <w:sz w:val="14"/>
        </w:rPr>
        <w:t xml:space="preserve"> </w:t>
      </w:r>
      <w:r>
        <w:rPr>
          <w:w w:val="105"/>
          <w:sz w:val="14"/>
        </w:rPr>
        <w:t>mandato</w:t>
      </w:r>
      <w:r>
        <w:rPr>
          <w:spacing w:val="-2"/>
          <w:w w:val="105"/>
          <w:sz w:val="14"/>
        </w:rPr>
        <w:t xml:space="preserve"> </w:t>
      </w:r>
      <w:r>
        <w:rPr>
          <w:w w:val="105"/>
          <w:sz w:val="14"/>
        </w:rPr>
        <w:t xml:space="preserve">y </w:t>
      </w:r>
      <w:r>
        <w:rPr>
          <w:sz w:val="14"/>
        </w:rPr>
        <w:t>competencia;</w:t>
      </w:r>
      <w:r>
        <w:rPr>
          <w:spacing w:val="-8"/>
          <w:sz w:val="14"/>
        </w:rPr>
        <w:t xml:space="preserve"> </w:t>
      </w:r>
      <w:r>
        <w:rPr>
          <w:sz w:val="14"/>
        </w:rPr>
        <w:t>(b)</w:t>
      </w:r>
      <w:r>
        <w:rPr>
          <w:spacing w:val="-8"/>
          <w:sz w:val="14"/>
        </w:rPr>
        <w:t xml:space="preserve"> </w:t>
      </w:r>
      <w:r>
        <w:rPr>
          <w:sz w:val="14"/>
        </w:rPr>
        <w:t>autonomía</w:t>
      </w:r>
      <w:r>
        <w:rPr>
          <w:spacing w:val="-8"/>
          <w:sz w:val="14"/>
        </w:rPr>
        <w:t xml:space="preserve"> </w:t>
      </w:r>
      <w:r>
        <w:rPr>
          <w:sz w:val="14"/>
        </w:rPr>
        <w:t>del</w:t>
      </w:r>
      <w:r>
        <w:rPr>
          <w:spacing w:val="-8"/>
          <w:sz w:val="14"/>
        </w:rPr>
        <w:t xml:space="preserve"> </w:t>
      </w:r>
      <w:r>
        <w:rPr>
          <w:sz w:val="14"/>
        </w:rPr>
        <w:t>gobierno;</w:t>
      </w:r>
      <w:r>
        <w:rPr>
          <w:spacing w:val="-8"/>
          <w:sz w:val="14"/>
        </w:rPr>
        <w:t xml:space="preserve"> </w:t>
      </w:r>
      <w:r>
        <w:rPr>
          <w:sz w:val="14"/>
        </w:rPr>
        <w:t>(c)</w:t>
      </w:r>
      <w:r>
        <w:rPr>
          <w:spacing w:val="-8"/>
          <w:sz w:val="14"/>
        </w:rPr>
        <w:t xml:space="preserve"> </w:t>
      </w:r>
      <w:r>
        <w:rPr>
          <w:sz w:val="14"/>
        </w:rPr>
        <w:t>independencia</w:t>
      </w:r>
      <w:r>
        <w:rPr>
          <w:spacing w:val="-8"/>
          <w:sz w:val="14"/>
        </w:rPr>
        <w:t xml:space="preserve"> </w:t>
      </w:r>
      <w:r>
        <w:rPr>
          <w:sz w:val="14"/>
        </w:rPr>
        <w:t>garantizada</w:t>
      </w:r>
      <w:r>
        <w:rPr>
          <w:spacing w:val="-8"/>
          <w:sz w:val="14"/>
        </w:rPr>
        <w:t xml:space="preserve"> </w:t>
      </w:r>
      <w:r>
        <w:rPr>
          <w:sz w:val="14"/>
        </w:rPr>
        <w:t>por</w:t>
      </w:r>
      <w:r>
        <w:rPr>
          <w:spacing w:val="-8"/>
          <w:sz w:val="14"/>
        </w:rPr>
        <w:t xml:space="preserve"> </w:t>
      </w:r>
      <w:r>
        <w:rPr>
          <w:sz w:val="14"/>
        </w:rPr>
        <w:t>ley</w:t>
      </w:r>
      <w:r>
        <w:rPr>
          <w:spacing w:val="-8"/>
          <w:sz w:val="14"/>
        </w:rPr>
        <w:t xml:space="preserve"> </w:t>
      </w:r>
      <w:r>
        <w:rPr>
          <w:sz w:val="14"/>
        </w:rPr>
        <w:t>o</w:t>
      </w:r>
      <w:r>
        <w:rPr>
          <w:spacing w:val="-8"/>
          <w:sz w:val="14"/>
        </w:rPr>
        <w:t xml:space="preserve"> </w:t>
      </w:r>
      <w:r>
        <w:rPr>
          <w:sz w:val="14"/>
        </w:rPr>
        <w:t>constitución;</w:t>
      </w:r>
      <w:r>
        <w:rPr>
          <w:spacing w:val="-8"/>
          <w:sz w:val="14"/>
        </w:rPr>
        <w:t xml:space="preserve"> </w:t>
      </w:r>
      <w:r>
        <w:rPr>
          <w:sz w:val="14"/>
        </w:rPr>
        <w:t>d)</w:t>
      </w:r>
      <w:r>
        <w:rPr>
          <w:spacing w:val="-8"/>
          <w:sz w:val="14"/>
        </w:rPr>
        <w:t xml:space="preserve"> </w:t>
      </w:r>
      <w:r>
        <w:rPr>
          <w:sz w:val="14"/>
        </w:rPr>
        <w:t>pluralismo;</w:t>
      </w:r>
      <w:r>
        <w:rPr>
          <w:spacing w:val="-8"/>
          <w:sz w:val="14"/>
        </w:rPr>
        <w:t xml:space="preserve"> </w:t>
      </w:r>
      <w:r>
        <w:rPr>
          <w:sz w:val="14"/>
        </w:rPr>
        <w:t>e)</w:t>
      </w:r>
      <w:r>
        <w:rPr>
          <w:spacing w:val="-8"/>
          <w:sz w:val="14"/>
        </w:rPr>
        <w:t xml:space="preserve"> </w:t>
      </w:r>
      <w:r>
        <w:rPr>
          <w:sz w:val="14"/>
        </w:rPr>
        <w:t>recursos</w:t>
      </w:r>
      <w:r>
        <w:rPr>
          <w:spacing w:val="-8"/>
          <w:sz w:val="14"/>
        </w:rPr>
        <w:t xml:space="preserve"> </w:t>
      </w:r>
      <w:r>
        <w:rPr>
          <w:sz w:val="14"/>
        </w:rPr>
        <w:t>adecuados;</w:t>
      </w:r>
      <w:r>
        <w:rPr>
          <w:spacing w:val="-8"/>
          <w:sz w:val="14"/>
        </w:rPr>
        <w:t xml:space="preserve"> </w:t>
      </w:r>
      <w:r>
        <w:rPr>
          <w:sz w:val="14"/>
        </w:rPr>
        <w:t>y</w:t>
      </w:r>
      <w:r>
        <w:rPr>
          <w:spacing w:val="-8"/>
          <w:sz w:val="14"/>
        </w:rPr>
        <w:t xml:space="preserve"> </w:t>
      </w:r>
      <w:r>
        <w:rPr>
          <w:sz w:val="14"/>
        </w:rPr>
        <w:t>(f)</w:t>
      </w:r>
      <w:r>
        <w:rPr>
          <w:w w:val="105"/>
          <w:sz w:val="14"/>
        </w:rPr>
        <w:t xml:space="preserve"> poderes</w:t>
      </w:r>
      <w:r>
        <w:rPr>
          <w:spacing w:val="-4"/>
          <w:w w:val="105"/>
          <w:sz w:val="14"/>
        </w:rPr>
        <w:t xml:space="preserve"> </w:t>
      </w:r>
      <w:r>
        <w:rPr>
          <w:w w:val="105"/>
          <w:sz w:val="14"/>
        </w:rPr>
        <w:t>de</w:t>
      </w:r>
      <w:r>
        <w:rPr>
          <w:spacing w:val="-4"/>
          <w:w w:val="105"/>
          <w:sz w:val="14"/>
        </w:rPr>
        <w:t xml:space="preserve"> </w:t>
      </w:r>
      <w:r>
        <w:rPr>
          <w:w w:val="105"/>
          <w:sz w:val="14"/>
        </w:rPr>
        <w:t>investigación</w:t>
      </w:r>
      <w:r>
        <w:rPr>
          <w:spacing w:val="-4"/>
          <w:w w:val="105"/>
          <w:sz w:val="14"/>
        </w:rPr>
        <w:t xml:space="preserve"> </w:t>
      </w:r>
      <w:r>
        <w:rPr>
          <w:w w:val="105"/>
          <w:sz w:val="14"/>
        </w:rPr>
        <w:t>adecuados.</w:t>
      </w:r>
      <w:r>
        <w:rPr>
          <w:spacing w:val="-3"/>
          <w:w w:val="105"/>
          <w:sz w:val="14"/>
        </w:rPr>
        <w:t xml:space="preserve"> </w:t>
      </w:r>
      <w:r>
        <w:rPr>
          <w:w w:val="105"/>
          <w:sz w:val="14"/>
        </w:rPr>
        <w:t>Algunos</w:t>
      </w:r>
      <w:r>
        <w:rPr>
          <w:spacing w:val="-4"/>
          <w:w w:val="105"/>
          <w:sz w:val="14"/>
        </w:rPr>
        <w:t xml:space="preserve"> </w:t>
      </w:r>
      <w:r>
        <w:rPr>
          <w:w w:val="105"/>
          <w:sz w:val="14"/>
        </w:rPr>
        <w:t>de</w:t>
      </w:r>
      <w:r>
        <w:rPr>
          <w:spacing w:val="-4"/>
          <w:w w:val="105"/>
          <w:sz w:val="14"/>
        </w:rPr>
        <w:t xml:space="preserve"> </w:t>
      </w:r>
      <w:r>
        <w:rPr>
          <w:w w:val="105"/>
          <w:sz w:val="14"/>
        </w:rPr>
        <w:t>estos</w:t>
      </w:r>
      <w:r>
        <w:rPr>
          <w:spacing w:val="-4"/>
          <w:w w:val="105"/>
          <w:sz w:val="14"/>
        </w:rPr>
        <w:t xml:space="preserve"> </w:t>
      </w:r>
      <w:r>
        <w:rPr>
          <w:w w:val="105"/>
          <w:sz w:val="14"/>
        </w:rPr>
        <w:t>criterios</w:t>
      </w:r>
      <w:r>
        <w:rPr>
          <w:spacing w:val="-4"/>
          <w:w w:val="105"/>
          <w:sz w:val="14"/>
        </w:rPr>
        <w:t xml:space="preserve"> </w:t>
      </w:r>
      <w:r>
        <w:rPr>
          <w:w w:val="105"/>
          <w:sz w:val="14"/>
        </w:rPr>
        <w:t>se</w:t>
      </w:r>
      <w:r>
        <w:rPr>
          <w:spacing w:val="-4"/>
          <w:w w:val="105"/>
          <w:sz w:val="14"/>
        </w:rPr>
        <w:t xml:space="preserve"> </w:t>
      </w:r>
      <w:r>
        <w:rPr>
          <w:w w:val="105"/>
          <w:sz w:val="14"/>
        </w:rPr>
        <w:t>analizan</w:t>
      </w:r>
      <w:r>
        <w:rPr>
          <w:spacing w:val="-4"/>
          <w:w w:val="105"/>
          <w:sz w:val="14"/>
        </w:rPr>
        <w:t xml:space="preserve"> </w:t>
      </w:r>
      <w:r>
        <w:rPr>
          <w:w w:val="105"/>
          <w:sz w:val="14"/>
        </w:rPr>
        <w:t>con</w:t>
      </w:r>
      <w:r>
        <w:rPr>
          <w:spacing w:val="-4"/>
          <w:w w:val="105"/>
          <w:sz w:val="14"/>
        </w:rPr>
        <w:t xml:space="preserve"> </w:t>
      </w:r>
      <w:r>
        <w:rPr>
          <w:w w:val="105"/>
          <w:sz w:val="14"/>
        </w:rPr>
        <w:t>más</w:t>
      </w:r>
      <w:r>
        <w:rPr>
          <w:spacing w:val="-4"/>
          <w:w w:val="105"/>
          <w:sz w:val="14"/>
        </w:rPr>
        <w:t xml:space="preserve"> </w:t>
      </w:r>
      <w:r>
        <w:rPr>
          <w:w w:val="105"/>
          <w:sz w:val="14"/>
        </w:rPr>
        <w:t>detalle</w:t>
      </w:r>
      <w:r>
        <w:rPr>
          <w:spacing w:val="-4"/>
          <w:w w:val="105"/>
          <w:sz w:val="14"/>
        </w:rPr>
        <w:t xml:space="preserve"> </w:t>
      </w:r>
      <w:r>
        <w:rPr>
          <w:w w:val="105"/>
          <w:sz w:val="14"/>
        </w:rPr>
        <w:t>a</w:t>
      </w:r>
      <w:r>
        <w:rPr>
          <w:spacing w:val="-4"/>
          <w:w w:val="105"/>
          <w:sz w:val="14"/>
        </w:rPr>
        <w:t xml:space="preserve"> </w:t>
      </w:r>
      <w:r>
        <w:rPr>
          <w:w w:val="105"/>
          <w:sz w:val="14"/>
        </w:rPr>
        <w:t>continuación.</w:t>
      </w:r>
      <w:r>
        <w:rPr>
          <w:spacing w:val="-3"/>
          <w:w w:val="105"/>
          <w:sz w:val="14"/>
        </w:rPr>
        <w:t xml:space="preserve"> </w:t>
      </w:r>
      <w:r>
        <w:rPr>
          <w:w w:val="105"/>
          <w:sz w:val="14"/>
        </w:rPr>
        <w:t>En</w:t>
      </w:r>
      <w:r>
        <w:rPr>
          <w:spacing w:val="-4"/>
          <w:w w:val="105"/>
          <w:sz w:val="14"/>
        </w:rPr>
        <w:t xml:space="preserve"> </w:t>
      </w:r>
      <w:r>
        <w:rPr>
          <w:w w:val="105"/>
          <w:sz w:val="14"/>
        </w:rPr>
        <w:t>sus</w:t>
      </w:r>
      <w:r>
        <w:rPr>
          <w:spacing w:val="-4"/>
          <w:w w:val="105"/>
          <w:sz w:val="14"/>
        </w:rPr>
        <w:t xml:space="preserve"> </w:t>
      </w:r>
      <w:r>
        <w:rPr>
          <w:w w:val="105"/>
          <w:sz w:val="14"/>
        </w:rPr>
        <w:t>orientaciones,</w:t>
      </w:r>
      <w:r>
        <w:rPr>
          <w:spacing w:val="-3"/>
          <w:w w:val="105"/>
          <w:sz w:val="14"/>
        </w:rPr>
        <w:t xml:space="preserve"> </w:t>
      </w:r>
      <w:r>
        <w:rPr>
          <w:w w:val="105"/>
          <w:sz w:val="14"/>
        </w:rPr>
        <w:t>la</w:t>
      </w:r>
      <w:r>
        <w:rPr>
          <w:spacing w:val="-4"/>
          <w:w w:val="105"/>
          <w:sz w:val="14"/>
        </w:rPr>
        <w:t xml:space="preserve"> </w:t>
      </w:r>
      <w:r>
        <w:rPr>
          <w:w w:val="105"/>
          <w:sz w:val="14"/>
        </w:rPr>
        <w:t>Comisión Europea</w:t>
      </w:r>
      <w:r>
        <w:rPr>
          <w:spacing w:val="-6"/>
          <w:w w:val="105"/>
          <w:sz w:val="14"/>
        </w:rPr>
        <w:t xml:space="preserve"> </w:t>
      </w:r>
      <w:r>
        <w:rPr>
          <w:w w:val="105"/>
          <w:sz w:val="14"/>
        </w:rPr>
        <w:t>contra</w:t>
      </w:r>
      <w:r>
        <w:rPr>
          <w:spacing w:val="-6"/>
          <w:w w:val="105"/>
          <w:sz w:val="14"/>
        </w:rPr>
        <w:t xml:space="preserve"> </w:t>
      </w:r>
      <w:r>
        <w:rPr>
          <w:w w:val="105"/>
          <w:sz w:val="14"/>
        </w:rPr>
        <w:t>el</w:t>
      </w:r>
      <w:r>
        <w:rPr>
          <w:spacing w:val="-6"/>
          <w:w w:val="105"/>
          <w:sz w:val="14"/>
        </w:rPr>
        <w:t xml:space="preserve"> </w:t>
      </w:r>
      <w:r>
        <w:rPr>
          <w:w w:val="105"/>
          <w:sz w:val="14"/>
        </w:rPr>
        <w:t>Racismo</w:t>
      </w:r>
      <w:r>
        <w:rPr>
          <w:spacing w:val="-6"/>
          <w:w w:val="105"/>
          <w:sz w:val="14"/>
        </w:rPr>
        <w:t xml:space="preserve"> </w:t>
      </w:r>
      <w:r>
        <w:rPr>
          <w:w w:val="105"/>
          <w:sz w:val="14"/>
        </w:rPr>
        <w:t>y</w:t>
      </w:r>
      <w:r>
        <w:rPr>
          <w:spacing w:val="-6"/>
          <w:w w:val="105"/>
          <w:sz w:val="14"/>
        </w:rPr>
        <w:t xml:space="preserve"> </w:t>
      </w:r>
      <w:r>
        <w:rPr>
          <w:w w:val="105"/>
          <w:sz w:val="14"/>
        </w:rPr>
        <w:t>la</w:t>
      </w:r>
      <w:r>
        <w:rPr>
          <w:spacing w:val="-6"/>
          <w:w w:val="105"/>
          <w:sz w:val="14"/>
        </w:rPr>
        <w:t xml:space="preserve"> </w:t>
      </w:r>
      <w:r>
        <w:rPr>
          <w:w w:val="105"/>
          <w:sz w:val="14"/>
        </w:rPr>
        <w:t>Intolerancia</w:t>
      </w:r>
      <w:r>
        <w:rPr>
          <w:spacing w:val="-6"/>
          <w:w w:val="105"/>
          <w:sz w:val="14"/>
        </w:rPr>
        <w:t xml:space="preserve"> </w:t>
      </w:r>
      <w:r>
        <w:rPr>
          <w:w w:val="105"/>
          <w:sz w:val="14"/>
        </w:rPr>
        <w:t>desarrolla</w:t>
      </w:r>
      <w:r>
        <w:rPr>
          <w:spacing w:val="-6"/>
          <w:w w:val="105"/>
          <w:sz w:val="14"/>
        </w:rPr>
        <w:t xml:space="preserve"> </w:t>
      </w:r>
      <w:r>
        <w:rPr>
          <w:w w:val="105"/>
          <w:sz w:val="14"/>
        </w:rPr>
        <w:t>esta</w:t>
      </w:r>
      <w:r>
        <w:rPr>
          <w:spacing w:val="-6"/>
          <w:w w:val="105"/>
          <w:sz w:val="14"/>
        </w:rPr>
        <w:t xml:space="preserve"> </w:t>
      </w:r>
      <w:r>
        <w:rPr>
          <w:w w:val="105"/>
          <w:sz w:val="14"/>
        </w:rPr>
        <w:t>lista</w:t>
      </w:r>
      <w:r>
        <w:rPr>
          <w:spacing w:val="-6"/>
          <w:w w:val="105"/>
          <w:sz w:val="14"/>
        </w:rPr>
        <w:t xml:space="preserve"> </w:t>
      </w:r>
      <w:r>
        <w:rPr>
          <w:w w:val="105"/>
          <w:sz w:val="14"/>
        </w:rPr>
        <w:t>y</w:t>
      </w:r>
      <w:r>
        <w:rPr>
          <w:spacing w:val="-6"/>
          <w:w w:val="105"/>
          <w:sz w:val="14"/>
        </w:rPr>
        <w:t xml:space="preserve"> </w:t>
      </w:r>
      <w:r>
        <w:rPr>
          <w:w w:val="105"/>
          <w:sz w:val="14"/>
        </w:rPr>
        <w:t>hace</w:t>
      </w:r>
      <w:r>
        <w:rPr>
          <w:spacing w:val="-6"/>
          <w:w w:val="105"/>
          <w:sz w:val="14"/>
        </w:rPr>
        <w:t xml:space="preserve"> </w:t>
      </w:r>
      <w:r>
        <w:rPr>
          <w:w w:val="105"/>
          <w:sz w:val="14"/>
        </w:rPr>
        <w:t>varias</w:t>
      </w:r>
      <w:r>
        <w:rPr>
          <w:spacing w:val="-6"/>
          <w:w w:val="105"/>
          <w:sz w:val="14"/>
        </w:rPr>
        <w:t xml:space="preserve"> </w:t>
      </w:r>
      <w:r>
        <w:rPr>
          <w:w w:val="105"/>
          <w:sz w:val="14"/>
        </w:rPr>
        <w:t>recomendaciones</w:t>
      </w:r>
      <w:r>
        <w:rPr>
          <w:spacing w:val="-6"/>
          <w:w w:val="105"/>
          <w:sz w:val="14"/>
        </w:rPr>
        <w:t xml:space="preserve"> </w:t>
      </w:r>
      <w:r>
        <w:rPr>
          <w:w w:val="105"/>
          <w:sz w:val="14"/>
        </w:rPr>
        <w:t>concretas,</w:t>
      </w:r>
      <w:r>
        <w:rPr>
          <w:spacing w:val="-6"/>
          <w:w w:val="105"/>
          <w:sz w:val="14"/>
        </w:rPr>
        <w:t xml:space="preserve"> </w:t>
      </w:r>
      <w:r>
        <w:rPr>
          <w:w w:val="105"/>
          <w:sz w:val="14"/>
        </w:rPr>
        <w:t>entre</w:t>
      </w:r>
      <w:r>
        <w:rPr>
          <w:spacing w:val="-6"/>
          <w:w w:val="105"/>
          <w:sz w:val="14"/>
        </w:rPr>
        <w:t xml:space="preserve"> </w:t>
      </w:r>
      <w:r>
        <w:rPr>
          <w:w w:val="105"/>
          <w:sz w:val="14"/>
        </w:rPr>
        <w:t>otras</w:t>
      </w:r>
      <w:r>
        <w:rPr>
          <w:spacing w:val="-6"/>
          <w:w w:val="105"/>
          <w:sz w:val="14"/>
        </w:rPr>
        <w:t xml:space="preserve"> </w:t>
      </w:r>
      <w:r>
        <w:rPr>
          <w:w w:val="105"/>
          <w:sz w:val="14"/>
        </w:rPr>
        <w:t>cosas,</w:t>
      </w:r>
      <w:r>
        <w:rPr>
          <w:spacing w:val="-6"/>
          <w:w w:val="105"/>
          <w:sz w:val="14"/>
        </w:rPr>
        <w:t xml:space="preserve"> </w:t>
      </w:r>
      <w:r>
        <w:rPr>
          <w:w w:val="105"/>
          <w:sz w:val="14"/>
        </w:rPr>
        <w:t>relacionadas</w:t>
      </w:r>
      <w:r>
        <w:rPr>
          <w:spacing w:val="-6"/>
          <w:w w:val="105"/>
          <w:sz w:val="14"/>
        </w:rPr>
        <w:t xml:space="preserve"> </w:t>
      </w:r>
      <w:r>
        <w:rPr>
          <w:w w:val="105"/>
          <w:sz w:val="14"/>
        </w:rPr>
        <w:t xml:space="preserve">con </w:t>
      </w:r>
      <w:r>
        <w:rPr>
          <w:sz w:val="14"/>
        </w:rPr>
        <w:t>el nombramiento, la selección y la permanencia del personal; administración de recursos humanos; adquisiciones y administración de oficinas;</w:t>
      </w:r>
      <w:r>
        <w:rPr>
          <w:spacing w:val="40"/>
          <w:w w:val="105"/>
          <w:sz w:val="14"/>
        </w:rPr>
        <w:t xml:space="preserve"> </w:t>
      </w:r>
      <w:r>
        <w:rPr>
          <w:w w:val="105"/>
          <w:sz w:val="14"/>
        </w:rPr>
        <w:t>el</w:t>
      </w:r>
      <w:r>
        <w:rPr>
          <w:spacing w:val="-11"/>
          <w:w w:val="105"/>
          <w:sz w:val="14"/>
        </w:rPr>
        <w:t xml:space="preserve"> </w:t>
      </w:r>
      <w:r>
        <w:rPr>
          <w:w w:val="105"/>
          <w:sz w:val="14"/>
        </w:rPr>
        <w:t>desarrollo</w:t>
      </w:r>
      <w:r>
        <w:rPr>
          <w:spacing w:val="-10"/>
          <w:w w:val="105"/>
          <w:sz w:val="14"/>
        </w:rPr>
        <w:t xml:space="preserve"> </w:t>
      </w:r>
      <w:r>
        <w:rPr>
          <w:w w:val="105"/>
          <w:sz w:val="14"/>
        </w:rPr>
        <w:t>y</w:t>
      </w:r>
      <w:r>
        <w:rPr>
          <w:spacing w:val="-10"/>
          <w:w w:val="105"/>
          <w:sz w:val="14"/>
        </w:rPr>
        <w:t xml:space="preserve"> </w:t>
      </w:r>
      <w:r>
        <w:rPr>
          <w:w w:val="105"/>
          <w:sz w:val="14"/>
        </w:rPr>
        <w:t>publicación</w:t>
      </w:r>
      <w:r>
        <w:rPr>
          <w:spacing w:val="-10"/>
          <w:w w:val="105"/>
          <w:sz w:val="14"/>
        </w:rPr>
        <w:t xml:space="preserve"> </w:t>
      </w:r>
      <w:r>
        <w:rPr>
          <w:w w:val="105"/>
          <w:sz w:val="14"/>
        </w:rPr>
        <w:t>de</w:t>
      </w:r>
      <w:r>
        <w:rPr>
          <w:spacing w:val="-11"/>
          <w:w w:val="105"/>
          <w:sz w:val="14"/>
        </w:rPr>
        <w:t xml:space="preserve"> </w:t>
      </w:r>
      <w:r>
        <w:rPr>
          <w:w w:val="105"/>
          <w:sz w:val="14"/>
        </w:rPr>
        <w:t>materiales;</w:t>
      </w:r>
      <w:r>
        <w:rPr>
          <w:spacing w:val="-10"/>
          <w:w w:val="105"/>
          <w:sz w:val="14"/>
        </w:rPr>
        <w:t xml:space="preserve"> </w:t>
      </w:r>
      <w:r>
        <w:rPr>
          <w:w w:val="105"/>
          <w:sz w:val="14"/>
        </w:rPr>
        <w:t>y</w:t>
      </w:r>
      <w:r>
        <w:rPr>
          <w:spacing w:val="-10"/>
          <w:w w:val="105"/>
          <w:sz w:val="14"/>
        </w:rPr>
        <w:t xml:space="preserve"> </w:t>
      </w:r>
      <w:r>
        <w:rPr>
          <w:w w:val="105"/>
          <w:sz w:val="14"/>
        </w:rPr>
        <w:t>controles</w:t>
      </w:r>
      <w:r>
        <w:rPr>
          <w:spacing w:val="-10"/>
          <w:w w:val="105"/>
          <w:sz w:val="14"/>
        </w:rPr>
        <w:t xml:space="preserve"> </w:t>
      </w:r>
      <w:r>
        <w:rPr>
          <w:w w:val="105"/>
          <w:sz w:val="14"/>
        </w:rPr>
        <w:t>financieros</w:t>
      </w:r>
      <w:r>
        <w:rPr>
          <w:spacing w:val="-10"/>
          <w:w w:val="105"/>
          <w:sz w:val="14"/>
        </w:rPr>
        <w:t xml:space="preserve"> </w:t>
      </w:r>
      <w:r>
        <w:rPr>
          <w:w w:val="105"/>
          <w:sz w:val="14"/>
        </w:rPr>
        <w:t>y</w:t>
      </w:r>
      <w:r>
        <w:rPr>
          <w:spacing w:val="-11"/>
          <w:w w:val="105"/>
          <w:sz w:val="14"/>
        </w:rPr>
        <w:t xml:space="preserve"> </w:t>
      </w:r>
      <w:r>
        <w:rPr>
          <w:w w:val="105"/>
          <w:sz w:val="14"/>
        </w:rPr>
        <w:t>medidas</w:t>
      </w:r>
      <w:r>
        <w:rPr>
          <w:spacing w:val="-10"/>
          <w:w w:val="105"/>
          <w:sz w:val="14"/>
        </w:rPr>
        <w:t xml:space="preserve"> </w:t>
      </w:r>
      <w:r>
        <w:rPr>
          <w:w w:val="105"/>
          <w:sz w:val="14"/>
        </w:rPr>
        <w:t>de</w:t>
      </w:r>
      <w:r>
        <w:rPr>
          <w:spacing w:val="-10"/>
          <w:w w:val="105"/>
          <w:sz w:val="14"/>
        </w:rPr>
        <w:t xml:space="preserve"> </w:t>
      </w:r>
      <w:r>
        <w:rPr>
          <w:w w:val="105"/>
          <w:sz w:val="14"/>
        </w:rPr>
        <w:t>gobernanza</w:t>
      </w:r>
      <w:r>
        <w:rPr>
          <w:spacing w:val="-10"/>
          <w:w w:val="105"/>
          <w:sz w:val="14"/>
        </w:rPr>
        <w:t xml:space="preserve"> </w:t>
      </w:r>
      <w:r>
        <w:rPr>
          <w:w w:val="105"/>
          <w:sz w:val="14"/>
        </w:rPr>
        <w:t>interna</w:t>
      </w:r>
      <w:r>
        <w:rPr>
          <w:spacing w:val="-10"/>
          <w:w w:val="105"/>
          <w:sz w:val="14"/>
        </w:rPr>
        <w:t xml:space="preserve"> </w:t>
      </w:r>
      <w:r>
        <w:rPr>
          <w:w w:val="105"/>
          <w:sz w:val="14"/>
        </w:rPr>
        <w:t>y</w:t>
      </w:r>
      <w:r>
        <w:rPr>
          <w:spacing w:val="-11"/>
          <w:w w:val="105"/>
          <w:sz w:val="14"/>
        </w:rPr>
        <w:t xml:space="preserve"> </w:t>
      </w:r>
      <w:r>
        <w:rPr>
          <w:w w:val="105"/>
          <w:sz w:val="14"/>
        </w:rPr>
        <w:t>rendición</w:t>
      </w:r>
      <w:r>
        <w:rPr>
          <w:spacing w:val="-10"/>
          <w:w w:val="105"/>
          <w:sz w:val="14"/>
        </w:rPr>
        <w:t xml:space="preserve"> </w:t>
      </w:r>
      <w:r>
        <w:rPr>
          <w:w w:val="105"/>
          <w:sz w:val="14"/>
        </w:rPr>
        <w:t>de</w:t>
      </w:r>
      <w:r>
        <w:rPr>
          <w:spacing w:val="-10"/>
          <w:w w:val="105"/>
          <w:sz w:val="14"/>
        </w:rPr>
        <w:t xml:space="preserve"> </w:t>
      </w:r>
      <w:r>
        <w:rPr>
          <w:w w:val="105"/>
          <w:sz w:val="14"/>
        </w:rPr>
        <w:t>cuentas.729</w:t>
      </w:r>
      <w:r>
        <w:rPr>
          <w:spacing w:val="-10"/>
          <w:w w:val="105"/>
          <w:sz w:val="14"/>
        </w:rPr>
        <w:t xml:space="preserve"> </w:t>
      </w:r>
      <w:r>
        <w:rPr>
          <w:w w:val="105"/>
          <w:sz w:val="14"/>
        </w:rPr>
        <w:t>Si</w:t>
      </w:r>
      <w:r>
        <w:rPr>
          <w:spacing w:val="-10"/>
          <w:w w:val="105"/>
          <w:sz w:val="14"/>
        </w:rPr>
        <w:t xml:space="preserve"> </w:t>
      </w:r>
      <w:r>
        <w:rPr>
          <w:w w:val="105"/>
          <w:sz w:val="14"/>
        </w:rPr>
        <w:t>bien</w:t>
      </w:r>
      <w:r>
        <w:rPr>
          <w:spacing w:val="-11"/>
          <w:w w:val="105"/>
          <w:sz w:val="14"/>
        </w:rPr>
        <w:t xml:space="preserve"> </w:t>
      </w:r>
      <w:r>
        <w:rPr>
          <w:w w:val="105"/>
          <w:sz w:val="14"/>
        </w:rPr>
        <w:t>está</w:t>
      </w:r>
      <w:r>
        <w:rPr>
          <w:spacing w:val="-10"/>
          <w:w w:val="105"/>
          <w:sz w:val="14"/>
        </w:rPr>
        <w:t xml:space="preserve"> </w:t>
      </w:r>
      <w:r>
        <w:rPr>
          <w:w w:val="105"/>
          <w:sz w:val="14"/>
        </w:rPr>
        <w:t>fuera del</w:t>
      </w:r>
      <w:r>
        <w:rPr>
          <w:spacing w:val="-6"/>
          <w:w w:val="105"/>
          <w:sz w:val="14"/>
        </w:rPr>
        <w:t xml:space="preserve"> </w:t>
      </w:r>
      <w:r>
        <w:rPr>
          <w:w w:val="105"/>
          <w:sz w:val="14"/>
        </w:rPr>
        <w:t>alcance</w:t>
      </w:r>
      <w:r>
        <w:rPr>
          <w:spacing w:val="-6"/>
          <w:w w:val="105"/>
          <w:sz w:val="14"/>
        </w:rPr>
        <w:t xml:space="preserve"> </w:t>
      </w:r>
      <w:r>
        <w:rPr>
          <w:w w:val="105"/>
          <w:sz w:val="14"/>
        </w:rPr>
        <w:t>de</w:t>
      </w:r>
      <w:r>
        <w:rPr>
          <w:spacing w:val="-6"/>
          <w:w w:val="105"/>
          <w:sz w:val="14"/>
        </w:rPr>
        <w:t xml:space="preserve"> </w:t>
      </w:r>
      <w:r>
        <w:rPr>
          <w:w w:val="105"/>
          <w:sz w:val="14"/>
        </w:rPr>
        <w:t>la</w:t>
      </w:r>
      <w:r>
        <w:rPr>
          <w:spacing w:val="-6"/>
          <w:w w:val="105"/>
          <w:sz w:val="14"/>
        </w:rPr>
        <w:t xml:space="preserve"> </w:t>
      </w:r>
      <w:r>
        <w:rPr>
          <w:w w:val="105"/>
          <w:sz w:val="14"/>
        </w:rPr>
        <w:t>presente</w:t>
      </w:r>
      <w:r>
        <w:rPr>
          <w:spacing w:val="-6"/>
          <w:w w:val="105"/>
          <w:sz w:val="14"/>
        </w:rPr>
        <w:t xml:space="preserve"> </w:t>
      </w:r>
      <w:r>
        <w:rPr>
          <w:w w:val="105"/>
          <w:sz w:val="14"/>
        </w:rPr>
        <w:t>guía</w:t>
      </w:r>
      <w:r>
        <w:rPr>
          <w:spacing w:val="-6"/>
          <w:w w:val="105"/>
          <w:sz w:val="14"/>
        </w:rPr>
        <w:t xml:space="preserve"> </w:t>
      </w:r>
      <w:r>
        <w:rPr>
          <w:w w:val="105"/>
          <w:sz w:val="14"/>
        </w:rPr>
        <w:t>examinar</w:t>
      </w:r>
      <w:r>
        <w:rPr>
          <w:spacing w:val="-6"/>
          <w:w w:val="105"/>
          <w:sz w:val="14"/>
        </w:rPr>
        <w:t xml:space="preserve"> </w:t>
      </w:r>
      <w:r>
        <w:rPr>
          <w:w w:val="105"/>
          <w:sz w:val="14"/>
        </w:rPr>
        <w:t>estos</w:t>
      </w:r>
      <w:r>
        <w:rPr>
          <w:spacing w:val="-6"/>
          <w:w w:val="105"/>
          <w:sz w:val="14"/>
        </w:rPr>
        <w:t xml:space="preserve"> </w:t>
      </w:r>
      <w:r>
        <w:rPr>
          <w:w w:val="105"/>
          <w:sz w:val="14"/>
        </w:rPr>
        <w:t>criterios</w:t>
      </w:r>
      <w:r>
        <w:rPr>
          <w:spacing w:val="-6"/>
          <w:w w:val="105"/>
          <w:sz w:val="14"/>
        </w:rPr>
        <w:t xml:space="preserve"> </w:t>
      </w:r>
      <w:r>
        <w:rPr>
          <w:w w:val="105"/>
          <w:sz w:val="14"/>
        </w:rPr>
        <w:t>en</w:t>
      </w:r>
      <w:r>
        <w:rPr>
          <w:spacing w:val="-6"/>
          <w:w w:val="105"/>
          <w:sz w:val="14"/>
        </w:rPr>
        <w:t xml:space="preserve"> </w:t>
      </w:r>
      <w:r>
        <w:rPr>
          <w:w w:val="105"/>
          <w:sz w:val="14"/>
        </w:rPr>
        <w:t>detalle,</w:t>
      </w:r>
      <w:r>
        <w:rPr>
          <w:spacing w:val="-6"/>
          <w:w w:val="105"/>
          <w:sz w:val="14"/>
        </w:rPr>
        <w:t xml:space="preserve"> </w:t>
      </w:r>
      <w:r>
        <w:rPr>
          <w:w w:val="105"/>
          <w:sz w:val="14"/>
        </w:rPr>
        <w:t>las</w:t>
      </w:r>
      <w:r>
        <w:rPr>
          <w:spacing w:val="-6"/>
          <w:w w:val="105"/>
          <w:sz w:val="14"/>
        </w:rPr>
        <w:t xml:space="preserve"> </w:t>
      </w:r>
      <w:r>
        <w:rPr>
          <w:w w:val="105"/>
          <w:sz w:val="14"/>
        </w:rPr>
        <w:t>buenas</w:t>
      </w:r>
      <w:r>
        <w:rPr>
          <w:spacing w:val="-6"/>
          <w:w w:val="105"/>
          <w:sz w:val="14"/>
        </w:rPr>
        <w:t xml:space="preserve"> </w:t>
      </w:r>
      <w:r>
        <w:rPr>
          <w:w w:val="105"/>
          <w:sz w:val="14"/>
        </w:rPr>
        <w:t>prácticas</w:t>
      </w:r>
      <w:r>
        <w:rPr>
          <w:spacing w:val="-6"/>
          <w:w w:val="105"/>
          <w:sz w:val="14"/>
        </w:rPr>
        <w:t xml:space="preserve"> </w:t>
      </w:r>
      <w:r>
        <w:rPr>
          <w:w w:val="105"/>
          <w:sz w:val="14"/>
        </w:rPr>
        <w:t>en</w:t>
      </w:r>
      <w:r>
        <w:rPr>
          <w:spacing w:val="-6"/>
          <w:w w:val="105"/>
          <w:sz w:val="14"/>
        </w:rPr>
        <w:t xml:space="preserve"> </w:t>
      </w:r>
      <w:r>
        <w:rPr>
          <w:w w:val="105"/>
          <w:sz w:val="14"/>
        </w:rPr>
        <w:t>esta</w:t>
      </w:r>
      <w:r>
        <w:rPr>
          <w:spacing w:val="-6"/>
          <w:w w:val="105"/>
          <w:sz w:val="14"/>
        </w:rPr>
        <w:t xml:space="preserve"> </w:t>
      </w:r>
      <w:r>
        <w:rPr>
          <w:w w:val="105"/>
          <w:sz w:val="14"/>
        </w:rPr>
        <w:t>área,</w:t>
      </w:r>
      <w:r>
        <w:rPr>
          <w:spacing w:val="-6"/>
          <w:w w:val="105"/>
          <w:sz w:val="14"/>
        </w:rPr>
        <w:t xml:space="preserve"> </w:t>
      </w:r>
      <w:r>
        <w:rPr>
          <w:w w:val="105"/>
          <w:sz w:val="14"/>
        </w:rPr>
        <w:t>particularmente</w:t>
      </w:r>
      <w:r>
        <w:rPr>
          <w:spacing w:val="-6"/>
          <w:w w:val="105"/>
          <w:sz w:val="14"/>
        </w:rPr>
        <w:t xml:space="preserve"> </w:t>
      </w:r>
      <w:r>
        <w:rPr>
          <w:w w:val="105"/>
          <w:sz w:val="14"/>
        </w:rPr>
        <w:t>en</w:t>
      </w:r>
      <w:r>
        <w:rPr>
          <w:spacing w:val="-6"/>
          <w:w w:val="105"/>
          <w:sz w:val="14"/>
        </w:rPr>
        <w:t xml:space="preserve"> </w:t>
      </w:r>
      <w:r>
        <w:rPr>
          <w:w w:val="105"/>
          <w:sz w:val="14"/>
        </w:rPr>
        <w:t>el</w:t>
      </w:r>
      <w:r>
        <w:rPr>
          <w:spacing w:val="-6"/>
          <w:w w:val="105"/>
          <w:sz w:val="14"/>
        </w:rPr>
        <w:t xml:space="preserve"> </w:t>
      </w:r>
      <w:r>
        <w:rPr>
          <w:w w:val="105"/>
          <w:sz w:val="14"/>
        </w:rPr>
        <w:t>ámbito</w:t>
      </w:r>
      <w:r>
        <w:rPr>
          <w:spacing w:val="-6"/>
          <w:w w:val="105"/>
          <w:sz w:val="14"/>
        </w:rPr>
        <w:t xml:space="preserve"> </w:t>
      </w:r>
      <w:r>
        <w:rPr>
          <w:w w:val="105"/>
          <w:sz w:val="14"/>
        </w:rPr>
        <w:t>europeo,</w:t>
      </w:r>
      <w:r>
        <w:rPr>
          <w:spacing w:val="-6"/>
          <w:w w:val="105"/>
          <w:sz w:val="14"/>
        </w:rPr>
        <w:t xml:space="preserve"> </w:t>
      </w:r>
      <w:r>
        <w:rPr>
          <w:w w:val="105"/>
          <w:sz w:val="14"/>
        </w:rPr>
        <w:t>se han detallado ampliamente en otros lugares.730</w:t>
      </w:r>
    </w:p>
    <w:p w14:paraId="17B56623" w14:textId="77777777" w:rsidR="0014798C" w:rsidRDefault="0014798C">
      <w:pPr>
        <w:pStyle w:val="Textoindependiente"/>
        <w:spacing w:before="199"/>
        <w:rPr>
          <w:sz w:val="25"/>
        </w:rPr>
      </w:pPr>
    </w:p>
    <w:p w14:paraId="251C0C42" w14:textId="77777777" w:rsidR="0014798C" w:rsidRDefault="004E1F0B">
      <w:pPr>
        <w:numPr>
          <w:ilvl w:val="0"/>
          <w:numId w:val="41"/>
        </w:numPr>
        <w:tabs>
          <w:tab w:val="left" w:pos="1390"/>
        </w:tabs>
        <w:ind w:left="1390" w:hanging="275"/>
        <w:rPr>
          <w:color w:val="00AC59"/>
          <w:sz w:val="25"/>
        </w:rPr>
      </w:pPr>
      <w:r>
        <w:rPr>
          <w:color w:val="00AC59"/>
          <w:sz w:val="25"/>
        </w:rPr>
        <w:t>Recursos</w:t>
      </w:r>
      <w:r>
        <w:rPr>
          <w:color w:val="00AC59"/>
          <w:spacing w:val="-12"/>
          <w:sz w:val="25"/>
        </w:rPr>
        <w:t xml:space="preserve"> </w:t>
      </w:r>
      <w:r>
        <w:rPr>
          <w:color w:val="00AC59"/>
          <w:spacing w:val="-2"/>
          <w:sz w:val="25"/>
        </w:rPr>
        <w:t>adecuados</w:t>
      </w:r>
    </w:p>
    <w:p w14:paraId="400EF4A7" w14:textId="77777777" w:rsidR="0014798C" w:rsidRDefault="0014798C">
      <w:pPr>
        <w:pStyle w:val="Textoindependiente"/>
        <w:spacing w:before="69"/>
        <w:rPr>
          <w:sz w:val="14"/>
        </w:rPr>
      </w:pPr>
    </w:p>
    <w:p w14:paraId="18CC78BF" w14:textId="77777777" w:rsidR="0014798C" w:rsidRDefault="004E1F0B">
      <w:pPr>
        <w:spacing w:line="372" w:lineRule="auto"/>
        <w:ind w:left="1109" w:right="1239" w:hanging="2"/>
        <w:rPr>
          <w:sz w:val="14"/>
        </w:rPr>
      </w:pPr>
      <w:r>
        <w:rPr>
          <w:w w:val="105"/>
          <w:sz w:val="14"/>
        </w:rPr>
        <w:t>En</w:t>
      </w:r>
      <w:r>
        <w:rPr>
          <w:spacing w:val="-7"/>
          <w:w w:val="105"/>
          <w:sz w:val="14"/>
        </w:rPr>
        <w:t xml:space="preserve"> </w:t>
      </w:r>
      <w:r>
        <w:rPr>
          <w:w w:val="105"/>
          <w:sz w:val="14"/>
        </w:rPr>
        <w:t>su</w:t>
      </w:r>
      <w:r>
        <w:rPr>
          <w:spacing w:val="-7"/>
          <w:w w:val="105"/>
          <w:sz w:val="14"/>
        </w:rPr>
        <w:t xml:space="preserve"> </w:t>
      </w:r>
      <w:r>
        <w:rPr>
          <w:w w:val="105"/>
          <w:sz w:val="14"/>
        </w:rPr>
        <w:t>Observación</w:t>
      </w:r>
      <w:r>
        <w:rPr>
          <w:spacing w:val="-7"/>
          <w:w w:val="105"/>
          <w:sz w:val="14"/>
        </w:rPr>
        <w:t xml:space="preserve"> </w:t>
      </w:r>
      <w:r>
        <w:rPr>
          <w:w w:val="105"/>
          <w:sz w:val="14"/>
        </w:rPr>
        <w:t>general</w:t>
      </w:r>
      <w:r>
        <w:rPr>
          <w:spacing w:val="-7"/>
          <w:w w:val="105"/>
          <w:sz w:val="14"/>
        </w:rPr>
        <w:t xml:space="preserve"> </w:t>
      </w:r>
      <w:r>
        <w:rPr>
          <w:w w:val="105"/>
          <w:sz w:val="14"/>
        </w:rPr>
        <w:t>núm.</w:t>
      </w:r>
      <w:r>
        <w:rPr>
          <w:spacing w:val="-7"/>
          <w:w w:val="105"/>
          <w:sz w:val="14"/>
        </w:rPr>
        <w:t xml:space="preserve"> </w:t>
      </w:r>
      <w:r>
        <w:rPr>
          <w:w w:val="105"/>
          <w:sz w:val="14"/>
        </w:rPr>
        <w:t>6</w:t>
      </w:r>
      <w:r>
        <w:rPr>
          <w:spacing w:val="-7"/>
          <w:w w:val="105"/>
          <w:sz w:val="14"/>
        </w:rPr>
        <w:t xml:space="preserve"> </w:t>
      </w:r>
      <w:r>
        <w:rPr>
          <w:w w:val="105"/>
          <w:sz w:val="14"/>
        </w:rPr>
        <w:t>(2018),</w:t>
      </w:r>
      <w:r>
        <w:rPr>
          <w:spacing w:val="-7"/>
          <w:w w:val="105"/>
          <w:sz w:val="14"/>
        </w:rPr>
        <w:t xml:space="preserve"> </w:t>
      </w:r>
      <w:r>
        <w:rPr>
          <w:w w:val="105"/>
          <w:sz w:val="14"/>
        </w:rPr>
        <w:t>el</w:t>
      </w:r>
      <w:r>
        <w:rPr>
          <w:spacing w:val="-7"/>
          <w:w w:val="105"/>
          <w:sz w:val="14"/>
        </w:rPr>
        <w:t xml:space="preserve"> </w:t>
      </w:r>
      <w:r>
        <w:rPr>
          <w:w w:val="105"/>
          <w:sz w:val="14"/>
        </w:rPr>
        <w:t>Comité</w:t>
      </w:r>
      <w:r>
        <w:rPr>
          <w:spacing w:val="-7"/>
          <w:w w:val="105"/>
          <w:sz w:val="14"/>
        </w:rPr>
        <w:t xml:space="preserve"> </w:t>
      </w:r>
      <w:r>
        <w:rPr>
          <w:w w:val="105"/>
          <w:sz w:val="14"/>
        </w:rPr>
        <w:t>sobre</w:t>
      </w:r>
      <w:r>
        <w:rPr>
          <w:spacing w:val="-7"/>
          <w:w w:val="105"/>
          <w:sz w:val="14"/>
        </w:rPr>
        <w:t xml:space="preserve"> </w:t>
      </w:r>
      <w:r>
        <w:rPr>
          <w:w w:val="105"/>
          <w:sz w:val="14"/>
        </w:rPr>
        <w:t>los</w:t>
      </w:r>
      <w:r>
        <w:rPr>
          <w:spacing w:val="-7"/>
          <w:w w:val="105"/>
          <w:sz w:val="14"/>
        </w:rPr>
        <w:t xml:space="preserve"> </w:t>
      </w:r>
      <w:r>
        <w:rPr>
          <w:w w:val="105"/>
          <w:sz w:val="14"/>
        </w:rPr>
        <w:t>Derechos</w:t>
      </w:r>
      <w:r>
        <w:rPr>
          <w:spacing w:val="-7"/>
          <w:w w:val="105"/>
          <w:sz w:val="14"/>
        </w:rPr>
        <w:t xml:space="preserve"> </w:t>
      </w:r>
      <w:r>
        <w:rPr>
          <w:w w:val="105"/>
          <w:sz w:val="14"/>
        </w:rPr>
        <w:t>de</w:t>
      </w:r>
      <w:r>
        <w:rPr>
          <w:spacing w:val="-7"/>
          <w:w w:val="105"/>
          <w:sz w:val="14"/>
        </w:rPr>
        <w:t xml:space="preserve"> </w:t>
      </w:r>
      <w:r>
        <w:rPr>
          <w:w w:val="105"/>
          <w:sz w:val="14"/>
        </w:rPr>
        <w:t>las</w:t>
      </w:r>
      <w:r>
        <w:rPr>
          <w:spacing w:val="-7"/>
          <w:w w:val="105"/>
          <w:sz w:val="14"/>
        </w:rPr>
        <w:t xml:space="preserve"> </w:t>
      </w:r>
      <w:r>
        <w:rPr>
          <w:w w:val="105"/>
          <w:sz w:val="14"/>
        </w:rPr>
        <w:t>Personas</w:t>
      </w:r>
      <w:r>
        <w:rPr>
          <w:spacing w:val="-7"/>
          <w:w w:val="105"/>
          <w:sz w:val="14"/>
        </w:rPr>
        <w:t xml:space="preserve"> </w:t>
      </w:r>
      <w:r>
        <w:rPr>
          <w:w w:val="105"/>
          <w:sz w:val="14"/>
        </w:rPr>
        <w:t>con</w:t>
      </w:r>
      <w:r>
        <w:rPr>
          <w:spacing w:val="-7"/>
          <w:w w:val="105"/>
          <w:sz w:val="14"/>
        </w:rPr>
        <w:t xml:space="preserve"> </w:t>
      </w:r>
      <w:r>
        <w:rPr>
          <w:w w:val="105"/>
          <w:sz w:val="14"/>
        </w:rPr>
        <w:t>Discapacidad</w:t>
      </w:r>
      <w:r>
        <w:rPr>
          <w:spacing w:val="-7"/>
          <w:w w:val="105"/>
          <w:sz w:val="14"/>
        </w:rPr>
        <w:t xml:space="preserve"> </w:t>
      </w:r>
      <w:r>
        <w:rPr>
          <w:w w:val="105"/>
          <w:sz w:val="14"/>
        </w:rPr>
        <w:t>enfatiza</w:t>
      </w:r>
      <w:r>
        <w:rPr>
          <w:spacing w:val="-7"/>
          <w:w w:val="105"/>
          <w:sz w:val="14"/>
        </w:rPr>
        <w:t xml:space="preserve"> </w:t>
      </w:r>
      <w:r>
        <w:rPr>
          <w:w w:val="105"/>
          <w:sz w:val="14"/>
        </w:rPr>
        <w:t>la</w:t>
      </w:r>
      <w:r>
        <w:rPr>
          <w:spacing w:val="-7"/>
          <w:w w:val="105"/>
          <w:sz w:val="14"/>
        </w:rPr>
        <w:t xml:space="preserve"> </w:t>
      </w:r>
      <w:r>
        <w:rPr>
          <w:w w:val="105"/>
          <w:sz w:val="14"/>
        </w:rPr>
        <w:t>importancia</w:t>
      </w:r>
      <w:r>
        <w:rPr>
          <w:spacing w:val="-7"/>
          <w:w w:val="105"/>
          <w:sz w:val="14"/>
        </w:rPr>
        <w:t xml:space="preserve"> </w:t>
      </w:r>
      <w:r>
        <w:rPr>
          <w:w w:val="105"/>
          <w:sz w:val="14"/>
        </w:rPr>
        <w:t>de</w:t>
      </w:r>
      <w:r>
        <w:rPr>
          <w:spacing w:val="-7"/>
          <w:w w:val="105"/>
          <w:sz w:val="14"/>
        </w:rPr>
        <w:t xml:space="preserve"> </w:t>
      </w:r>
      <w:r>
        <w:rPr>
          <w:w w:val="105"/>
          <w:sz w:val="14"/>
        </w:rPr>
        <w:t>garantizar que</w:t>
      </w:r>
      <w:r>
        <w:rPr>
          <w:spacing w:val="-3"/>
          <w:w w:val="105"/>
          <w:sz w:val="14"/>
        </w:rPr>
        <w:t xml:space="preserve"> </w:t>
      </w:r>
      <w:r>
        <w:rPr>
          <w:w w:val="105"/>
          <w:sz w:val="14"/>
        </w:rPr>
        <w:t>los</w:t>
      </w:r>
      <w:r>
        <w:rPr>
          <w:spacing w:val="-3"/>
          <w:w w:val="105"/>
          <w:sz w:val="14"/>
        </w:rPr>
        <w:t xml:space="preserve"> </w:t>
      </w:r>
      <w:r>
        <w:rPr>
          <w:w w:val="105"/>
          <w:sz w:val="14"/>
        </w:rPr>
        <w:t>órganos</w:t>
      </w:r>
      <w:r>
        <w:rPr>
          <w:spacing w:val="-3"/>
          <w:w w:val="105"/>
          <w:sz w:val="14"/>
        </w:rPr>
        <w:t xml:space="preserve"> </w:t>
      </w:r>
      <w:r>
        <w:rPr>
          <w:w w:val="105"/>
          <w:sz w:val="14"/>
        </w:rPr>
        <w:t>de</w:t>
      </w:r>
      <w:r>
        <w:rPr>
          <w:spacing w:val="-3"/>
          <w:w w:val="105"/>
          <w:sz w:val="14"/>
        </w:rPr>
        <w:t xml:space="preserve"> </w:t>
      </w:r>
      <w:r>
        <w:rPr>
          <w:w w:val="105"/>
          <w:sz w:val="14"/>
        </w:rPr>
        <w:t>igualdad</w:t>
      </w:r>
      <w:r>
        <w:rPr>
          <w:spacing w:val="-3"/>
          <w:w w:val="105"/>
          <w:sz w:val="14"/>
        </w:rPr>
        <w:t xml:space="preserve"> </w:t>
      </w:r>
      <w:r>
        <w:rPr>
          <w:w w:val="105"/>
          <w:sz w:val="14"/>
        </w:rPr>
        <w:t>establecidos</w:t>
      </w:r>
      <w:r>
        <w:rPr>
          <w:spacing w:val="-3"/>
          <w:w w:val="105"/>
          <w:sz w:val="14"/>
        </w:rPr>
        <w:t xml:space="preserve"> </w:t>
      </w:r>
      <w:r>
        <w:rPr>
          <w:w w:val="105"/>
          <w:sz w:val="14"/>
        </w:rPr>
        <w:t>en</w:t>
      </w:r>
      <w:r>
        <w:rPr>
          <w:spacing w:val="-3"/>
          <w:w w:val="105"/>
          <w:sz w:val="14"/>
        </w:rPr>
        <w:t xml:space="preserve"> </w:t>
      </w:r>
      <w:r>
        <w:rPr>
          <w:w w:val="105"/>
          <w:sz w:val="14"/>
        </w:rPr>
        <w:t>virtud</w:t>
      </w:r>
      <w:r>
        <w:rPr>
          <w:spacing w:val="-3"/>
          <w:w w:val="105"/>
          <w:sz w:val="14"/>
        </w:rPr>
        <w:t xml:space="preserve"> </w:t>
      </w:r>
      <w:r>
        <w:rPr>
          <w:w w:val="105"/>
          <w:sz w:val="14"/>
        </w:rPr>
        <w:t>de</w:t>
      </w:r>
      <w:r>
        <w:rPr>
          <w:spacing w:val="-3"/>
          <w:w w:val="105"/>
          <w:sz w:val="14"/>
        </w:rPr>
        <w:t xml:space="preserve"> </w:t>
      </w:r>
      <w:r>
        <w:rPr>
          <w:w w:val="105"/>
          <w:sz w:val="14"/>
        </w:rPr>
        <w:t>la</w:t>
      </w:r>
      <w:r>
        <w:rPr>
          <w:spacing w:val="-3"/>
          <w:w w:val="105"/>
          <w:sz w:val="14"/>
        </w:rPr>
        <w:t xml:space="preserve"> </w:t>
      </w:r>
      <w:r>
        <w:rPr>
          <w:w w:val="105"/>
          <w:sz w:val="14"/>
        </w:rPr>
        <w:t>Convención</w:t>
      </w:r>
      <w:r>
        <w:rPr>
          <w:spacing w:val="-3"/>
          <w:w w:val="105"/>
          <w:sz w:val="14"/>
        </w:rPr>
        <w:t xml:space="preserve"> </w:t>
      </w:r>
      <w:r>
        <w:rPr>
          <w:w w:val="105"/>
          <w:sz w:val="14"/>
        </w:rPr>
        <w:t>cuenten</w:t>
      </w:r>
      <w:r>
        <w:rPr>
          <w:spacing w:val="-3"/>
          <w:w w:val="105"/>
          <w:sz w:val="14"/>
        </w:rPr>
        <w:t xml:space="preserve"> </w:t>
      </w:r>
      <w:r>
        <w:rPr>
          <w:w w:val="105"/>
          <w:sz w:val="14"/>
        </w:rPr>
        <w:t>con</w:t>
      </w:r>
      <w:r>
        <w:rPr>
          <w:spacing w:val="-3"/>
          <w:w w:val="105"/>
          <w:sz w:val="14"/>
        </w:rPr>
        <w:t xml:space="preserve"> </w:t>
      </w:r>
      <w:r>
        <w:rPr>
          <w:w w:val="105"/>
          <w:sz w:val="14"/>
        </w:rPr>
        <w:t>“recursos</w:t>
      </w:r>
      <w:r>
        <w:rPr>
          <w:spacing w:val="-3"/>
          <w:w w:val="105"/>
          <w:sz w:val="14"/>
        </w:rPr>
        <w:t xml:space="preserve"> </w:t>
      </w:r>
      <w:r>
        <w:rPr>
          <w:w w:val="105"/>
          <w:sz w:val="14"/>
        </w:rPr>
        <w:t>adecuados</w:t>
      </w:r>
      <w:r>
        <w:rPr>
          <w:spacing w:val="-3"/>
          <w:w w:val="105"/>
          <w:sz w:val="14"/>
        </w:rPr>
        <w:t xml:space="preserve"> </w:t>
      </w:r>
      <w:r>
        <w:rPr>
          <w:w w:val="105"/>
          <w:sz w:val="14"/>
        </w:rPr>
        <w:t>para</w:t>
      </w:r>
      <w:r>
        <w:rPr>
          <w:spacing w:val="-3"/>
          <w:w w:val="105"/>
          <w:sz w:val="14"/>
        </w:rPr>
        <w:t xml:space="preserve"> </w:t>
      </w:r>
      <w:r>
        <w:rPr>
          <w:w w:val="105"/>
          <w:sz w:val="14"/>
        </w:rPr>
        <w:t>abordar</w:t>
      </w:r>
      <w:r>
        <w:rPr>
          <w:spacing w:val="-3"/>
          <w:w w:val="105"/>
          <w:sz w:val="14"/>
        </w:rPr>
        <w:t xml:space="preserve"> </w:t>
      </w:r>
      <w:r>
        <w:rPr>
          <w:w w:val="105"/>
          <w:sz w:val="14"/>
        </w:rPr>
        <w:t>la</w:t>
      </w:r>
      <w:r>
        <w:rPr>
          <w:spacing w:val="-3"/>
          <w:w w:val="105"/>
          <w:sz w:val="14"/>
        </w:rPr>
        <w:t xml:space="preserve"> </w:t>
      </w:r>
      <w:r>
        <w:rPr>
          <w:w w:val="105"/>
          <w:sz w:val="14"/>
        </w:rPr>
        <w:t>discriminación”731.</w:t>
      </w:r>
      <w:r>
        <w:rPr>
          <w:spacing w:val="-1"/>
          <w:w w:val="105"/>
          <w:sz w:val="14"/>
        </w:rPr>
        <w:t xml:space="preserve"> </w:t>
      </w:r>
      <w:r>
        <w:rPr>
          <w:w w:val="105"/>
          <w:sz w:val="14"/>
        </w:rPr>
        <w:t>De manera</w:t>
      </w:r>
      <w:r>
        <w:rPr>
          <w:spacing w:val="-3"/>
          <w:w w:val="105"/>
          <w:sz w:val="14"/>
        </w:rPr>
        <w:t xml:space="preserve"> </w:t>
      </w:r>
      <w:r>
        <w:rPr>
          <w:w w:val="105"/>
          <w:sz w:val="14"/>
        </w:rPr>
        <w:t>similar,</w:t>
      </w:r>
      <w:r>
        <w:rPr>
          <w:spacing w:val="-2"/>
          <w:w w:val="105"/>
          <w:sz w:val="14"/>
        </w:rPr>
        <w:t xml:space="preserve"> </w:t>
      </w:r>
      <w:r>
        <w:rPr>
          <w:w w:val="105"/>
          <w:sz w:val="14"/>
        </w:rPr>
        <w:t>en</w:t>
      </w:r>
      <w:r>
        <w:rPr>
          <w:spacing w:val="-3"/>
          <w:w w:val="105"/>
          <w:sz w:val="14"/>
        </w:rPr>
        <w:t xml:space="preserve"> </w:t>
      </w:r>
      <w:r>
        <w:rPr>
          <w:w w:val="105"/>
          <w:sz w:val="14"/>
        </w:rPr>
        <w:t>sus</w:t>
      </w:r>
      <w:r>
        <w:rPr>
          <w:spacing w:val="-3"/>
          <w:w w:val="105"/>
          <w:sz w:val="14"/>
        </w:rPr>
        <w:t xml:space="preserve"> </w:t>
      </w:r>
      <w:r>
        <w:rPr>
          <w:w w:val="105"/>
          <w:sz w:val="14"/>
        </w:rPr>
        <w:t>orientaciones</w:t>
      </w:r>
      <w:r>
        <w:rPr>
          <w:spacing w:val="-3"/>
          <w:w w:val="105"/>
          <w:sz w:val="14"/>
        </w:rPr>
        <w:t xml:space="preserve"> </w:t>
      </w:r>
      <w:r>
        <w:rPr>
          <w:w w:val="105"/>
          <w:sz w:val="14"/>
        </w:rPr>
        <w:t>sobre</w:t>
      </w:r>
      <w:r>
        <w:rPr>
          <w:spacing w:val="-3"/>
          <w:w w:val="105"/>
          <w:sz w:val="14"/>
        </w:rPr>
        <w:t xml:space="preserve"> </w:t>
      </w:r>
      <w:r>
        <w:rPr>
          <w:w w:val="105"/>
          <w:sz w:val="14"/>
        </w:rPr>
        <w:t>el</w:t>
      </w:r>
      <w:r>
        <w:rPr>
          <w:spacing w:val="-3"/>
          <w:w w:val="105"/>
          <w:sz w:val="14"/>
        </w:rPr>
        <w:t xml:space="preserve"> </w:t>
      </w:r>
      <w:r>
        <w:rPr>
          <w:w w:val="105"/>
          <w:sz w:val="14"/>
        </w:rPr>
        <w:t>artículo</w:t>
      </w:r>
      <w:r>
        <w:rPr>
          <w:spacing w:val="-3"/>
          <w:w w:val="105"/>
          <w:sz w:val="14"/>
        </w:rPr>
        <w:t xml:space="preserve"> </w:t>
      </w:r>
      <w:r>
        <w:rPr>
          <w:w w:val="105"/>
          <w:sz w:val="14"/>
        </w:rPr>
        <w:t>33</w:t>
      </w:r>
      <w:r>
        <w:rPr>
          <w:spacing w:val="-3"/>
          <w:w w:val="105"/>
          <w:sz w:val="14"/>
        </w:rPr>
        <w:t xml:space="preserve"> </w:t>
      </w:r>
      <w:r>
        <w:rPr>
          <w:w w:val="105"/>
          <w:sz w:val="14"/>
        </w:rPr>
        <w:t>(2),</w:t>
      </w:r>
      <w:r>
        <w:rPr>
          <w:spacing w:val="-3"/>
          <w:w w:val="105"/>
          <w:sz w:val="14"/>
        </w:rPr>
        <w:t xml:space="preserve"> </w:t>
      </w:r>
      <w:r>
        <w:rPr>
          <w:w w:val="105"/>
          <w:sz w:val="14"/>
        </w:rPr>
        <w:t>el</w:t>
      </w:r>
      <w:r>
        <w:rPr>
          <w:spacing w:val="-3"/>
          <w:w w:val="105"/>
          <w:sz w:val="14"/>
        </w:rPr>
        <w:t xml:space="preserve"> </w:t>
      </w:r>
      <w:r>
        <w:rPr>
          <w:w w:val="105"/>
          <w:sz w:val="14"/>
        </w:rPr>
        <w:t>Comité</w:t>
      </w:r>
      <w:r>
        <w:rPr>
          <w:spacing w:val="-3"/>
          <w:w w:val="105"/>
          <w:sz w:val="14"/>
        </w:rPr>
        <w:t xml:space="preserve"> </w:t>
      </w:r>
      <w:r>
        <w:rPr>
          <w:w w:val="105"/>
          <w:sz w:val="14"/>
        </w:rPr>
        <w:t>ha</w:t>
      </w:r>
      <w:r>
        <w:rPr>
          <w:spacing w:val="-3"/>
          <w:w w:val="105"/>
          <w:sz w:val="14"/>
        </w:rPr>
        <w:t xml:space="preserve"> </w:t>
      </w:r>
      <w:r>
        <w:rPr>
          <w:w w:val="105"/>
          <w:sz w:val="14"/>
        </w:rPr>
        <w:t>pedido</w:t>
      </w:r>
      <w:r>
        <w:rPr>
          <w:spacing w:val="-3"/>
          <w:w w:val="105"/>
          <w:sz w:val="14"/>
        </w:rPr>
        <w:t xml:space="preserve"> </w:t>
      </w:r>
      <w:r>
        <w:rPr>
          <w:w w:val="105"/>
          <w:sz w:val="14"/>
        </w:rPr>
        <w:t>a</w:t>
      </w:r>
      <w:r>
        <w:rPr>
          <w:spacing w:val="-3"/>
          <w:w w:val="105"/>
          <w:sz w:val="14"/>
        </w:rPr>
        <w:t xml:space="preserve"> </w:t>
      </w:r>
      <w:r>
        <w:rPr>
          <w:w w:val="105"/>
          <w:sz w:val="14"/>
        </w:rPr>
        <w:t>los</w:t>
      </w:r>
      <w:r>
        <w:rPr>
          <w:spacing w:val="-3"/>
          <w:w w:val="105"/>
          <w:sz w:val="14"/>
        </w:rPr>
        <w:t xml:space="preserve"> </w:t>
      </w:r>
      <w:r>
        <w:rPr>
          <w:w w:val="105"/>
          <w:sz w:val="14"/>
        </w:rPr>
        <w:t>Estados</w:t>
      </w:r>
      <w:r>
        <w:rPr>
          <w:spacing w:val="-3"/>
          <w:w w:val="105"/>
          <w:sz w:val="14"/>
        </w:rPr>
        <w:t xml:space="preserve"> </w:t>
      </w:r>
      <w:r>
        <w:rPr>
          <w:w w:val="105"/>
          <w:sz w:val="14"/>
        </w:rPr>
        <w:t>que</w:t>
      </w:r>
      <w:r>
        <w:rPr>
          <w:spacing w:val="-3"/>
          <w:w w:val="105"/>
          <w:sz w:val="14"/>
        </w:rPr>
        <w:t xml:space="preserve"> </w:t>
      </w:r>
      <w:r>
        <w:rPr>
          <w:w w:val="105"/>
          <w:sz w:val="14"/>
        </w:rPr>
        <w:t>garanticen</w:t>
      </w:r>
      <w:r>
        <w:rPr>
          <w:spacing w:val="-3"/>
          <w:w w:val="105"/>
          <w:sz w:val="14"/>
        </w:rPr>
        <w:t xml:space="preserve"> </w:t>
      </w:r>
      <w:r>
        <w:rPr>
          <w:w w:val="105"/>
          <w:sz w:val="14"/>
        </w:rPr>
        <w:t>que</w:t>
      </w:r>
      <w:r>
        <w:rPr>
          <w:spacing w:val="-3"/>
          <w:w w:val="105"/>
          <w:sz w:val="14"/>
        </w:rPr>
        <w:t xml:space="preserve"> </w:t>
      </w:r>
      <w:r>
        <w:rPr>
          <w:w w:val="105"/>
          <w:sz w:val="14"/>
        </w:rPr>
        <w:t>dichos</w:t>
      </w:r>
      <w:r>
        <w:rPr>
          <w:spacing w:val="-3"/>
          <w:w w:val="105"/>
          <w:sz w:val="14"/>
        </w:rPr>
        <w:t xml:space="preserve"> </w:t>
      </w:r>
      <w:r>
        <w:rPr>
          <w:w w:val="105"/>
          <w:sz w:val="14"/>
        </w:rPr>
        <w:t>órganos</w:t>
      </w:r>
      <w:r>
        <w:rPr>
          <w:spacing w:val="-3"/>
          <w:w w:val="105"/>
          <w:sz w:val="14"/>
        </w:rPr>
        <w:t xml:space="preserve"> </w:t>
      </w:r>
      <w:r>
        <w:rPr>
          <w:w w:val="105"/>
          <w:sz w:val="14"/>
        </w:rPr>
        <w:t>“tengan fondos</w:t>
      </w:r>
      <w:r>
        <w:rPr>
          <w:spacing w:val="-1"/>
          <w:w w:val="105"/>
          <w:sz w:val="14"/>
        </w:rPr>
        <w:t xml:space="preserve"> </w:t>
      </w:r>
      <w:r>
        <w:rPr>
          <w:w w:val="105"/>
          <w:sz w:val="14"/>
        </w:rPr>
        <w:t>suficientes</w:t>
      </w:r>
      <w:r>
        <w:rPr>
          <w:spacing w:val="-1"/>
          <w:w w:val="105"/>
          <w:sz w:val="14"/>
        </w:rPr>
        <w:t xml:space="preserve"> </w:t>
      </w:r>
      <w:r>
        <w:rPr>
          <w:w w:val="105"/>
          <w:sz w:val="14"/>
        </w:rPr>
        <w:t>y</w:t>
      </w:r>
      <w:r>
        <w:rPr>
          <w:spacing w:val="-1"/>
          <w:w w:val="105"/>
          <w:sz w:val="14"/>
        </w:rPr>
        <w:t xml:space="preserve"> </w:t>
      </w:r>
      <w:r>
        <w:rPr>
          <w:w w:val="105"/>
          <w:sz w:val="14"/>
        </w:rPr>
        <w:t>recursos</w:t>
      </w:r>
      <w:r>
        <w:rPr>
          <w:spacing w:val="-1"/>
          <w:w w:val="105"/>
          <w:sz w:val="14"/>
        </w:rPr>
        <w:t xml:space="preserve"> </w:t>
      </w:r>
      <w:r>
        <w:rPr>
          <w:w w:val="105"/>
          <w:sz w:val="14"/>
        </w:rPr>
        <w:t>humanos</w:t>
      </w:r>
      <w:r>
        <w:rPr>
          <w:spacing w:val="-1"/>
          <w:w w:val="105"/>
          <w:sz w:val="14"/>
        </w:rPr>
        <w:t xml:space="preserve"> </w:t>
      </w:r>
      <w:r>
        <w:rPr>
          <w:w w:val="105"/>
          <w:sz w:val="14"/>
        </w:rPr>
        <w:t>técnicos</w:t>
      </w:r>
      <w:r>
        <w:rPr>
          <w:spacing w:val="-1"/>
          <w:w w:val="105"/>
          <w:sz w:val="14"/>
        </w:rPr>
        <w:t xml:space="preserve"> </w:t>
      </w:r>
      <w:r>
        <w:rPr>
          <w:w w:val="105"/>
          <w:sz w:val="14"/>
        </w:rPr>
        <w:t>y</w:t>
      </w:r>
      <w:r>
        <w:rPr>
          <w:spacing w:val="-1"/>
          <w:w w:val="105"/>
          <w:sz w:val="14"/>
        </w:rPr>
        <w:t xml:space="preserve"> </w:t>
      </w:r>
      <w:r>
        <w:rPr>
          <w:w w:val="105"/>
          <w:sz w:val="14"/>
        </w:rPr>
        <w:t>capacitados”</w:t>
      </w:r>
      <w:r>
        <w:rPr>
          <w:spacing w:val="-1"/>
          <w:w w:val="105"/>
          <w:sz w:val="14"/>
        </w:rPr>
        <w:t xml:space="preserve"> </w:t>
      </w:r>
      <w:r>
        <w:rPr>
          <w:w w:val="105"/>
          <w:sz w:val="14"/>
        </w:rPr>
        <w:t>y</w:t>
      </w:r>
      <w:r>
        <w:rPr>
          <w:spacing w:val="-1"/>
          <w:w w:val="105"/>
          <w:sz w:val="14"/>
        </w:rPr>
        <w:t xml:space="preserve"> </w:t>
      </w:r>
      <w:r>
        <w:rPr>
          <w:w w:val="105"/>
          <w:sz w:val="14"/>
        </w:rPr>
        <w:t>“autonomía</w:t>
      </w:r>
      <w:r>
        <w:rPr>
          <w:spacing w:val="-1"/>
          <w:w w:val="105"/>
          <w:sz w:val="14"/>
        </w:rPr>
        <w:t xml:space="preserve"> </w:t>
      </w:r>
      <w:r>
        <w:rPr>
          <w:w w:val="105"/>
          <w:sz w:val="14"/>
        </w:rPr>
        <w:t>en</w:t>
      </w:r>
      <w:r>
        <w:rPr>
          <w:spacing w:val="-1"/>
          <w:w w:val="105"/>
          <w:sz w:val="14"/>
        </w:rPr>
        <w:t xml:space="preserve"> </w:t>
      </w:r>
      <w:r>
        <w:rPr>
          <w:w w:val="105"/>
          <w:sz w:val="14"/>
        </w:rPr>
        <w:t>la</w:t>
      </w:r>
      <w:r>
        <w:rPr>
          <w:spacing w:val="-1"/>
          <w:w w:val="105"/>
          <w:sz w:val="14"/>
        </w:rPr>
        <w:t xml:space="preserve"> </w:t>
      </w:r>
      <w:r>
        <w:rPr>
          <w:w w:val="105"/>
          <w:sz w:val="14"/>
        </w:rPr>
        <w:t>gestión</w:t>
      </w:r>
      <w:r>
        <w:rPr>
          <w:spacing w:val="-1"/>
          <w:w w:val="105"/>
          <w:sz w:val="14"/>
        </w:rPr>
        <w:t xml:space="preserve"> </w:t>
      </w:r>
      <w:r>
        <w:rPr>
          <w:w w:val="105"/>
          <w:sz w:val="14"/>
        </w:rPr>
        <w:t>de</w:t>
      </w:r>
      <w:r>
        <w:rPr>
          <w:spacing w:val="-1"/>
          <w:w w:val="105"/>
          <w:sz w:val="14"/>
        </w:rPr>
        <w:t xml:space="preserve"> </w:t>
      </w:r>
      <w:r>
        <w:rPr>
          <w:w w:val="105"/>
          <w:sz w:val="14"/>
        </w:rPr>
        <w:t>su</w:t>
      </w:r>
      <w:r>
        <w:rPr>
          <w:spacing w:val="-1"/>
          <w:w w:val="105"/>
          <w:sz w:val="14"/>
        </w:rPr>
        <w:t xml:space="preserve"> </w:t>
      </w:r>
      <w:r>
        <w:rPr>
          <w:w w:val="105"/>
          <w:sz w:val="14"/>
        </w:rPr>
        <w:t>presupuesto”.732</w:t>
      </w:r>
      <w:r>
        <w:rPr>
          <w:spacing w:val="-1"/>
          <w:w w:val="105"/>
          <w:sz w:val="14"/>
        </w:rPr>
        <w:t xml:space="preserve"> </w:t>
      </w:r>
      <w:r>
        <w:rPr>
          <w:w w:val="105"/>
          <w:sz w:val="14"/>
        </w:rPr>
        <w:t>En</w:t>
      </w:r>
      <w:r>
        <w:rPr>
          <w:spacing w:val="-1"/>
          <w:w w:val="105"/>
          <w:sz w:val="14"/>
        </w:rPr>
        <w:t xml:space="preserve"> </w:t>
      </w:r>
      <w:r>
        <w:rPr>
          <w:w w:val="105"/>
          <w:sz w:val="14"/>
        </w:rPr>
        <w:t>sus</w:t>
      </w:r>
      <w:r>
        <w:rPr>
          <w:spacing w:val="-1"/>
          <w:w w:val="105"/>
          <w:sz w:val="14"/>
        </w:rPr>
        <w:t xml:space="preserve"> </w:t>
      </w:r>
      <w:r>
        <w:rPr>
          <w:w w:val="105"/>
          <w:sz w:val="14"/>
        </w:rPr>
        <w:t>observaciones finales,</w:t>
      </w:r>
      <w:r>
        <w:rPr>
          <w:spacing w:val="-2"/>
          <w:w w:val="105"/>
          <w:sz w:val="14"/>
        </w:rPr>
        <w:t xml:space="preserve"> </w:t>
      </w:r>
      <w:r>
        <w:rPr>
          <w:w w:val="105"/>
          <w:sz w:val="14"/>
        </w:rPr>
        <w:t>el</w:t>
      </w:r>
      <w:r>
        <w:rPr>
          <w:spacing w:val="-2"/>
          <w:w w:val="105"/>
          <w:sz w:val="14"/>
        </w:rPr>
        <w:t xml:space="preserve"> </w:t>
      </w:r>
      <w:r>
        <w:rPr>
          <w:w w:val="105"/>
          <w:sz w:val="14"/>
        </w:rPr>
        <w:t>Comité</w:t>
      </w:r>
      <w:r>
        <w:rPr>
          <w:spacing w:val="-2"/>
          <w:w w:val="105"/>
          <w:sz w:val="14"/>
        </w:rPr>
        <w:t xml:space="preserve"> </w:t>
      </w:r>
      <w:r>
        <w:rPr>
          <w:w w:val="105"/>
          <w:sz w:val="14"/>
        </w:rPr>
        <w:t>de</w:t>
      </w:r>
      <w:r>
        <w:rPr>
          <w:spacing w:val="-2"/>
          <w:w w:val="105"/>
          <w:sz w:val="14"/>
        </w:rPr>
        <w:t xml:space="preserve"> </w:t>
      </w:r>
      <w:r>
        <w:rPr>
          <w:w w:val="105"/>
          <w:sz w:val="14"/>
        </w:rPr>
        <w:t>Derechos</w:t>
      </w:r>
      <w:r>
        <w:rPr>
          <w:spacing w:val="-2"/>
          <w:w w:val="105"/>
          <w:sz w:val="14"/>
        </w:rPr>
        <w:t xml:space="preserve"> </w:t>
      </w:r>
      <w:r>
        <w:rPr>
          <w:w w:val="105"/>
          <w:sz w:val="14"/>
        </w:rPr>
        <w:t>Humanos</w:t>
      </w:r>
      <w:r>
        <w:rPr>
          <w:spacing w:val="-2"/>
          <w:w w:val="105"/>
          <w:sz w:val="14"/>
        </w:rPr>
        <w:t xml:space="preserve"> </w:t>
      </w:r>
      <w:r>
        <w:rPr>
          <w:w w:val="105"/>
          <w:sz w:val="14"/>
        </w:rPr>
        <w:t>ha</w:t>
      </w:r>
      <w:r>
        <w:rPr>
          <w:spacing w:val="-2"/>
          <w:w w:val="105"/>
          <w:sz w:val="14"/>
        </w:rPr>
        <w:t xml:space="preserve"> </w:t>
      </w:r>
      <w:r>
        <w:rPr>
          <w:w w:val="105"/>
          <w:sz w:val="14"/>
        </w:rPr>
        <w:t>observado</w:t>
      </w:r>
      <w:r>
        <w:rPr>
          <w:spacing w:val="-2"/>
          <w:w w:val="105"/>
          <w:sz w:val="14"/>
        </w:rPr>
        <w:t xml:space="preserve"> </w:t>
      </w:r>
      <w:r>
        <w:rPr>
          <w:w w:val="105"/>
          <w:sz w:val="14"/>
        </w:rPr>
        <w:t>que</w:t>
      </w:r>
      <w:r>
        <w:rPr>
          <w:spacing w:val="-2"/>
          <w:w w:val="105"/>
          <w:sz w:val="14"/>
        </w:rPr>
        <w:t xml:space="preserve"> </w:t>
      </w:r>
      <w:r>
        <w:rPr>
          <w:w w:val="105"/>
          <w:sz w:val="14"/>
        </w:rPr>
        <w:t>Los</w:t>
      </w:r>
      <w:r>
        <w:rPr>
          <w:spacing w:val="-2"/>
          <w:w w:val="105"/>
          <w:sz w:val="14"/>
        </w:rPr>
        <w:t xml:space="preserve"> </w:t>
      </w:r>
      <w:r>
        <w:rPr>
          <w:w w:val="105"/>
          <w:sz w:val="14"/>
        </w:rPr>
        <w:t>organismos</w:t>
      </w:r>
      <w:r>
        <w:rPr>
          <w:spacing w:val="-2"/>
          <w:w w:val="105"/>
          <w:sz w:val="14"/>
        </w:rPr>
        <w:t xml:space="preserve"> </w:t>
      </w:r>
      <w:r>
        <w:rPr>
          <w:w w:val="105"/>
          <w:sz w:val="14"/>
        </w:rPr>
        <w:t>de</w:t>
      </w:r>
      <w:r>
        <w:rPr>
          <w:spacing w:val="-2"/>
          <w:w w:val="105"/>
          <w:sz w:val="14"/>
        </w:rPr>
        <w:t xml:space="preserve"> </w:t>
      </w:r>
      <w:r>
        <w:rPr>
          <w:w w:val="105"/>
          <w:sz w:val="14"/>
        </w:rPr>
        <w:t>igualdad</w:t>
      </w:r>
      <w:r>
        <w:rPr>
          <w:spacing w:val="-2"/>
          <w:w w:val="105"/>
          <w:sz w:val="14"/>
        </w:rPr>
        <w:t xml:space="preserve"> </w:t>
      </w:r>
      <w:r>
        <w:rPr>
          <w:w w:val="105"/>
          <w:sz w:val="14"/>
        </w:rPr>
        <w:t>deben</w:t>
      </w:r>
      <w:r>
        <w:rPr>
          <w:spacing w:val="-2"/>
          <w:w w:val="105"/>
          <w:sz w:val="14"/>
        </w:rPr>
        <w:t xml:space="preserve"> </w:t>
      </w:r>
      <w:r>
        <w:rPr>
          <w:w w:val="105"/>
          <w:sz w:val="14"/>
        </w:rPr>
        <w:t>recibir</w:t>
      </w:r>
      <w:r>
        <w:rPr>
          <w:spacing w:val="-2"/>
          <w:w w:val="105"/>
          <w:sz w:val="14"/>
        </w:rPr>
        <w:t xml:space="preserve"> </w:t>
      </w:r>
      <w:r>
        <w:rPr>
          <w:w w:val="105"/>
          <w:sz w:val="14"/>
        </w:rPr>
        <w:t>“los</w:t>
      </w:r>
      <w:r>
        <w:rPr>
          <w:spacing w:val="-2"/>
          <w:w w:val="105"/>
          <w:sz w:val="14"/>
        </w:rPr>
        <w:t xml:space="preserve"> </w:t>
      </w:r>
      <w:r>
        <w:rPr>
          <w:w w:val="105"/>
          <w:sz w:val="14"/>
        </w:rPr>
        <w:t>recursos</w:t>
      </w:r>
      <w:r>
        <w:rPr>
          <w:spacing w:val="-2"/>
          <w:w w:val="105"/>
          <w:sz w:val="14"/>
        </w:rPr>
        <w:t xml:space="preserve"> </w:t>
      </w:r>
      <w:r>
        <w:rPr>
          <w:w w:val="105"/>
          <w:sz w:val="14"/>
        </w:rPr>
        <w:t>financieros</w:t>
      </w:r>
      <w:r>
        <w:rPr>
          <w:spacing w:val="-2"/>
          <w:w w:val="105"/>
          <w:sz w:val="14"/>
        </w:rPr>
        <w:t xml:space="preserve"> </w:t>
      </w:r>
      <w:r>
        <w:rPr>
          <w:w w:val="105"/>
          <w:sz w:val="14"/>
        </w:rPr>
        <w:t>y</w:t>
      </w:r>
      <w:r>
        <w:rPr>
          <w:spacing w:val="-2"/>
          <w:w w:val="105"/>
          <w:sz w:val="14"/>
        </w:rPr>
        <w:t xml:space="preserve"> </w:t>
      </w:r>
      <w:r>
        <w:rPr>
          <w:w w:val="105"/>
          <w:sz w:val="14"/>
        </w:rPr>
        <w:t>humanos necesarios</w:t>
      </w:r>
      <w:r>
        <w:rPr>
          <w:spacing w:val="-8"/>
          <w:w w:val="105"/>
          <w:sz w:val="14"/>
        </w:rPr>
        <w:t xml:space="preserve"> </w:t>
      </w:r>
      <w:r>
        <w:rPr>
          <w:w w:val="105"/>
          <w:sz w:val="14"/>
        </w:rPr>
        <w:t>para</w:t>
      </w:r>
      <w:r>
        <w:rPr>
          <w:spacing w:val="-8"/>
          <w:w w:val="105"/>
          <w:sz w:val="14"/>
        </w:rPr>
        <w:t xml:space="preserve"> </w:t>
      </w:r>
      <w:r>
        <w:rPr>
          <w:w w:val="105"/>
          <w:sz w:val="14"/>
        </w:rPr>
        <w:t>llevar</w:t>
      </w:r>
      <w:r>
        <w:rPr>
          <w:spacing w:val="-8"/>
          <w:w w:val="105"/>
          <w:sz w:val="14"/>
        </w:rPr>
        <w:t xml:space="preserve"> </w:t>
      </w:r>
      <w:r>
        <w:rPr>
          <w:w w:val="105"/>
          <w:sz w:val="14"/>
        </w:rPr>
        <w:t>a</w:t>
      </w:r>
      <w:r>
        <w:rPr>
          <w:spacing w:val="-8"/>
          <w:w w:val="105"/>
          <w:sz w:val="14"/>
        </w:rPr>
        <w:t xml:space="preserve"> </w:t>
      </w:r>
      <w:r>
        <w:rPr>
          <w:w w:val="105"/>
          <w:sz w:val="14"/>
        </w:rPr>
        <w:t>cabo</w:t>
      </w:r>
      <w:r>
        <w:rPr>
          <w:spacing w:val="-8"/>
          <w:w w:val="105"/>
          <w:sz w:val="14"/>
        </w:rPr>
        <w:t xml:space="preserve"> </w:t>
      </w:r>
      <w:r>
        <w:rPr>
          <w:w w:val="105"/>
          <w:sz w:val="14"/>
        </w:rPr>
        <w:t>sus</w:t>
      </w:r>
      <w:r>
        <w:rPr>
          <w:spacing w:val="-8"/>
          <w:w w:val="105"/>
          <w:sz w:val="14"/>
        </w:rPr>
        <w:t xml:space="preserve"> </w:t>
      </w:r>
      <w:r>
        <w:rPr>
          <w:w w:val="105"/>
          <w:sz w:val="14"/>
        </w:rPr>
        <w:t>mandatos</w:t>
      </w:r>
      <w:r>
        <w:rPr>
          <w:spacing w:val="-8"/>
          <w:w w:val="105"/>
          <w:sz w:val="14"/>
        </w:rPr>
        <w:t xml:space="preserve"> </w:t>
      </w:r>
      <w:r>
        <w:rPr>
          <w:w w:val="105"/>
          <w:sz w:val="14"/>
        </w:rPr>
        <w:t>de</w:t>
      </w:r>
      <w:r>
        <w:rPr>
          <w:spacing w:val="-8"/>
          <w:w w:val="105"/>
          <w:sz w:val="14"/>
        </w:rPr>
        <w:t xml:space="preserve"> </w:t>
      </w:r>
      <w:r>
        <w:rPr>
          <w:w w:val="105"/>
          <w:sz w:val="14"/>
        </w:rPr>
        <w:t>manera</w:t>
      </w:r>
      <w:r>
        <w:rPr>
          <w:spacing w:val="-8"/>
          <w:w w:val="105"/>
          <w:sz w:val="14"/>
        </w:rPr>
        <w:t xml:space="preserve"> </w:t>
      </w:r>
      <w:r>
        <w:rPr>
          <w:w w:val="105"/>
          <w:sz w:val="14"/>
        </w:rPr>
        <w:t>efectiva</w:t>
      </w:r>
      <w:r>
        <w:rPr>
          <w:spacing w:val="-8"/>
          <w:w w:val="105"/>
          <w:sz w:val="14"/>
        </w:rPr>
        <w:t xml:space="preserve"> </w:t>
      </w:r>
      <w:r>
        <w:rPr>
          <w:w w:val="105"/>
          <w:sz w:val="14"/>
        </w:rPr>
        <w:t>e</w:t>
      </w:r>
      <w:r>
        <w:rPr>
          <w:spacing w:val="-8"/>
          <w:w w:val="105"/>
          <w:sz w:val="14"/>
        </w:rPr>
        <w:t xml:space="preserve"> </w:t>
      </w:r>
      <w:r>
        <w:rPr>
          <w:w w:val="105"/>
          <w:sz w:val="14"/>
        </w:rPr>
        <w:t>independiente”.733</w:t>
      </w:r>
      <w:r>
        <w:rPr>
          <w:spacing w:val="-8"/>
          <w:w w:val="105"/>
          <w:sz w:val="14"/>
        </w:rPr>
        <w:t xml:space="preserve"> </w:t>
      </w:r>
      <w:r>
        <w:rPr>
          <w:w w:val="105"/>
          <w:sz w:val="14"/>
        </w:rPr>
        <w:t>El</w:t>
      </w:r>
      <w:r>
        <w:rPr>
          <w:spacing w:val="-8"/>
          <w:w w:val="105"/>
          <w:sz w:val="14"/>
        </w:rPr>
        <w:t xml:space="preserve"> </w:t>
      </w:r>
      <w:r>
        <w:rPr>
          <w:w w:val="105"/>
          <w:sz w:val="14"/>
        </w:rPr>
        <w:t>Comité</w:t>
      </w:r>
      <w:r>
        <w:rPr>
          <w:spacing w:val="-8"/>
          <w:w w:val="105"/>
          <w:sz w:val="14"/>
        </w:rPr>
        <w:t xml:space="preserve"> </w:t>
      </w:r>
      <w:r>
        <w:rPr>
          <w:w w:val="105"/>
          <w:sz w:val="14"/>
        </w:rPr>
        <w:t>de</w:t>
      </w:r>
      <w:r>
        <w:rPr>
          <w:spacing w:val="-8"/>
          <w:w w:val="105"/>
          <w:sz w:val="14"/>
        </w:rPr>
        <w:t xml:space="preserve"> </w:t>
      </w:r>
      <w:r>
        <w:rPr>
          <w:w w:val="105"/>
          <w:sz w:val="14"/>
        </w:rPr>
        <w:t>Derechos</w:t>
      </w:r>
      <w:r>
        <w:rPr>
          <w:spacing w:val="-8"/>
          <w:w w:val="105"/>
          <w:sz w:val="14"/>
        </w:rPr>
        <w:t xml:space="preserve"> </w:t>
      </w:r>
      <w:r>
        <w:rPr>
          <w:w w:val="105"/>
          <w:sz w:val="14"/>
        </w:rPr>
        <w:t>Económicos,</w:t>
      </w:r>
      <w:r>
        <w:rPr>
          <w:spacing w:val="-7"/>
          <w:w w:val="105"/>
          <w:sz w:val="14"/>
        </w:rPr>
        <w:t xml:space="preserve"> </w:t>
      </w:r>
      <w:r>
        <w:rPr>
          <w:w w:val="105"/>
          <w:sz w:val="14"/>
        </w:rPr>
        <w:t>Sociales</w:t>
      </w:r>
      <w:r>
        <w:rPr>
          <w:spacing w:val="-8"/>
          <w:w w:val="105"/>
          <w:sz w:val="14"/>
        </w:rPr>
        <w:t xml:space="preserve"> </w:t>
      </w:r>
      <w:r>
        <w:rPr>
          <w:w w:val="105"/>
          <w:sz w:val="14"/>
        </w:rPr>
        <w:t>y</w:t>
      </w:r>
      <w:r>
        <w:rPr>
          <w:spacing w:val="-8"/>
          <w:w w:val="105"/>
          <w:sz w:val="14"/>
        </w:rPr>
        <w:t xml:space="preserve"> </w:t>
      </w:r>
      <w:r>
        <w:rPr>
          <w:w w:val="105"/>
          <w:sz w:val="14"/>
        </w:rPr>
        <w:t>Culturales ha hecho observaciones similares.734</w:t>
      </w:r>
    </w:p>
    <w:p w14:paraId="7740F533" w14:textId="77777777" w:rsidR="0014798C" w:rsidRDefault="0014798C">
      <w:pPr>
        <w:pStyle w:val="Textoindependiente"/>
        <w:rPr>
          <w:sz w:val="14"/>
        </w:rPr>
      </w:pPr>
    </w:p>
    <w:p w14:paraId="120BA01D" w14:textId="77777777" w:rsidR="0014798C" w:rsidRDefault="0014798C">
      <w:pPr>
        <w:pStyle w:val="Textoindependiente"/>
        <w:spacing w:before="99"/>
        <w:rPr>
          <w:sz w:val="14"/>
        </w:rPr>
      </w:pPr>
    </w:p>
    <w:p w14:paraId="630A324E" w14:textId="77777777" w:rsidR="0014798C" w:rsidRDefault="004E1F0B">
      <w:pPr>
        <w:spacing w:line="372" w:lineRule="auto"/>
        <w:ind w:left="1108" w:right="1272" w:firstLine="1"/>
        <w:rPr>
          <w:sz w:val="14"/>
        </w:rPr>
      </w:pPr>
      <w:r>
        <w:rPr>
          <w:w w:val="105"/>
          <w:sz w:val="14"/>
        </w:rPr>
        <w:t>Tanto</w:t>
      </w:r>
      <w:r>
        <w:rPr>
          <w:spacing w:val="-7"/>
          <w:w w:val="105"/>
          <w:sz w:val="14"/>
        </w:rPr>
        <w:t xml:space="preserve"> </w:t>
      </w:r>
      <w:r>
        <w:rPr>
          <w:w w:val="105"/>
          <w:sz w:val="14"/>
        </w:rPr>
        <w:t>las</w:t>
      </w:r>
      <w:r>
        <w:rPr>
          <w:spacing w:val="-7"/>
          <w:w w:val="105"/>
          <w:sz w:val="14"/>
        </w:rPr>
        <w:t xml:space="preserve"> </w:t>
      </w:r>
      <w:r>
        <w:rPr>
          <w:w w:val="105"/>
          <w:sz w:val="14"/>
        </w:rPr>
        <w:t>orientaciones</w:t>
      </w:r>
      <w:r>
        <w:rPr>
          <w:spacing w:val="-7"/>
          <w:w w:val="105"/>
          <w:sz w:val="14"/>
        </w:rPr>
        <w:t xml:space="preserve"> </w:t>
      </w:r>
      <w:r>
        <w:rPr>
          <w:w w:val="105"/>
          <w:sz w:val="14"/>
        </w:rPr>
        <w:t>de</w:t>
      </w:r>
      <w:r>
        <w:rPr>
          <w:spacing w:val="-7"/>
          <w:w w:val="105"/>
          <w:sz w:val="14"/>
        </w:rPr>
        <w:t xml:space="preserve"> </w:t>
      </w:r>
      <w:r>
        <w:rPr>
          <w:w w:val="105"/>
          <w:sz w:val="14"/>
        </w:rPr>
        <w:t>la</w:t>
      </w:r>
      <w:r>
        <w:rPr>
          <w:spacing w:val="-7"/>
          <w:w w:val="105"/>
          <w:sz w:val="14"/>
        </w:rPr>
        <w:t xml:space="preserve"> </w:t>
      </w:r>
      <w:r>
        <w:rPr>
          <w:w w:val="105"/>
          <w:sz w:val="14"/>
        </w:rPr>
        <w:t>Comisión</w:t>
      </w:r>
      <w:r>
        <w:rPr>
          <w:spacing w:val="-7"/>
          <w:w w:val="105"/>
          <w:sz w:val="14"/>
        </w:rPr>
        <w:t xml:space="preserve"> </w:t>
      </w:r>
      <w:r>
        <w:rPr>
          <w:w w:val="105"/>
          <w:sz w:val="14"/>
        </w:rPr>
        <w:t>Europea</w:t>
      </w:r>
      <w:r>
        <w:rPr>
          <w:spacing w:val="-7"/>
          <w:w w:val="105"/>
          <w:sz w:val="14"/>
        </w:rPr>
        <w:t xml:space="preserve"> </w:t>
      </w:r>
      <w:r>
        <w:rPr>
          <w:w w:val="105"/>
          <w:sz w:val="14"/>
        </w:rPr>
        <w:t>contra</w:t>
      </w:r>
      <w:r>
        <w:rPr>
          <w:spacing w:val="-7"/>
          <w:w w:val="105"/>
          <w:sz w:val="14"/>
        </w:rPr>
        <w:t xml:space="preserve"> </w:t>
      </w:r>
      <w:r>
        <w:rPr>
          <w:w w:val="105"/>
          <w:sz w:val="14"/>
        </w:rPr>
        <w:t>el</w:t>
      </w:r>
      <w:r>
        <w:rPr>
          <w:spacing w:val="-7"/>
          <w:w w:val="105"/>
          <w:sz w:val="14"/>
        </w:rPr>
        <w:t xml:space="preserve"> </w:t>
      </w:r>
      <w:r>
        <w:rPr>
          <w:w w:val="105"/>
          <w:sz w:val="14"/>
        </w:rPr>
        <w:t>Racismo</w:t>
      </w:r>
      <w:r>
        <w:rPr>
          <w:spacing w:val="-7"/>
          <w:w w:val="105"/>
          <w:sz w:val="14"/>
        </w:rPr>
        <w:t xml:space="preserve"> </w:t>
      </w:r>
      <w:r>
        <w:rPr>
          <w:w w:val="105"/>
          <w:sz w:val="14"/>
        </w:rPr>
        <w:t>y</w:t>
      </w:r>
      <w:r>
        <w:rPr>
          <w:spacing w:val="-7"/>
          <w:w w:val="105"/>
          <w:sz w:val="14"/>
        </w:rPr>
        <w:t xml:space="preserve"> </w:t>
      </w:r>
      <w:r>
        <w:rPr>
          <w:w w:val="105"/>
          <w:sz w:val="14"/>
        </w:rPr>
        <w:t>la</w:t>
      </w:r>
      <w:r>
        <w:rPr>
          <w:spacing w:val="-7"/>
          <w:w w:val="105"/>
          <w:sz w:val="14"/>
        </w:rPr>
        <w:t xml:space="preserve"> </w:t>
      </w:r>
      <w:r>
        <w:rPr>
          <w:w w:val="105"/>
          <w:sz w:val="14"/>
        </w:rPr>
        <w:t>Intolerancia</w:t>
      </w:r>
      <w:r>
        <w:rPr>
          <w:spacing w:val="-7"/>
          <w:w w:val="105"/>
          <w:sz w:val="14"/>
        </w:rPr>
        <w:t xml:space="preserve"> </w:t>
      </w:r>
      <w:r>
        <w:rPr>
          <w:w w:val="105"/>
          <w:sz w:val="14"/>
        </w:rPr>
        <w:t>como</w:t>
      </w:r>
      <w:r>
        <w:rPr>
          <w:spacing w:val="-7"/>
          <w:w w:val="105"/>
          <w:sz w:val="14"/>
        </w:rPr>
        <w:t xml:space="preserve"> </w:t>
      </w:r>
      <w:r>
        <w:rPr>
          <w:w w:val="105"/>
          <w:sz w:val="14"/>
        </w:rPr>
        <w:t>el</w:t>
      </w:r>
      <w:r>
        <w:rPr>
          <w:spacing w:val="-7"/>
          <w:w w:val="105"/>
          <w:sz w:val="14"/>
        </w:rPr>
        <w:t xml:space="preserve"> </w:t>
      </w:r>
      <w:r>
        <w:rPr>
          <w:w w:val="105"/>
          <w:sz w:val="14"/>
        </w:rPr>
        <w:t>informe</w:t>
      </w:r>
      <w:r>
        <w:rPr>
          <w:spacing w:val="-7"/>
          <w:w w:val="105"/>
          <w:sz w:val="14"/>
        </w:rPr>
        <w:t xml:space="preserve"> </w:t>
      </w:r>
      <w:r>
        <w:rPr>
          <w:w w:val="105"/>
          <w:sz w:val="14"/>
        </w:rPr>
        <w:t>del</w:t>
      </w:r>
      <w:r>
        <w:rPr>
          <w:spacing w:val="-7"/>
          <w:w w:val="105"/>
          <w:sz w:val="14"/>
        </w:rPr>
        <w:t xml:space="preserve"> </w:t>
      </w:r>
      <w:r>
        <w:rPr>
          <w:w w:val="105"/>
          <w:sz w:val="14"/>
        </w:rPr>
        <w:t>Relator</w:t>
      </w:r>
      <w:r>
        <w:rPr>
          <w:spacing w:val="-7"/>
          <w:w w:val="105"/>
          <w:sz w:val="14"/>
        </w:rPr>
        <w:t xml:space="preserve"> </w:t>
      </w:r>
      <w:r>
        <w:rPr>
          <w:w w:val="105"/>
          <w:sz w:val="14"/>
        </w:rPr>
        <w:t>Especial</w:t>
      </w:r>
      <w:r>
        <w:rPr>
          <w:spacing w:val="-7"/>
          <w:w w:val="105"/>
          <w:sz w:val="14"/>
        </w:rPr>
        <w:t xml:space="preserve"> </w:t>
      </w:r>
      <w:r>
        <w:rPr>
          <w:w w:val="105"/>
          <w:sz w:val="14"/>
        </w:rPr>
        <w:t>sobre</w:t>
      </w:r>
      <w:r>
        <w:rPr>
          <w:spacing w:val="-7"/>
          <w:w w:val="105"/>
          <w:sz w:val="14"/>
        </w:rPr>
        <w:t xml:space="preserve"> </w:t>
      </w:r>
      <w:r>
        <w:rPr>
          <w:w w:val="105"/>
          <w:sz w:val="14"/>
        </w:rPr>
        <w:t>las</w:t>
      </w:r>
      <w:r>
        <w:rPr>
          <w:spacing w:val="-7"/>
          <w:w w:val="105"/>
          <w:sz w:val="14"/>
        </w:rPr>
        <w:t xml:space="preserve"> </w:t>
      </w:r>
      <w:r>
        <w:rPr>
          <w:w w:val="105"/>
          <w:sz w:val="14"/>
        </w:rPr>
        <w:t>formas contemporáneas</w:t>
      </w:r>
      <w:r>
        <w:rPr>
          <w:spacing w:val="-3"/>
          <w:w w:val="105"/>
          <w:sz w:val="14"/>
        </w:rPr>
        <w:t xml:space="preserve"> </w:t>
      </w:r>
      <w:r>
        <w:rPr>
          <w:w w:val="105"/>
          <w:sz w:val="14"/>
        </w:rPr>
        <w:t>de</w:t>
      </w:r>
      <w:r>
        <w:rPr>
          <w:spacing w:val="-3"/>
          <w:w w:val="105"/>
          <w:sz w:val="14"/>
        </w:rPr>
        <w:t xml:space="preserve"> </w:t>
      </w:r>
      <w:r>
        <w:rPr>
          <w:w w:val="105"/>
          <w:sz w:val="14"/>
        </w:rPr>
        <w:t>racismo,</w:t>
      </w:r>
      <w:r>
        <w:rPr>
          <w:spacing w:val="-2"/>
          <w:w w:val="105"/>
          <w:sz w:val="14"/>
        </w:rPr>
        <w:t xml:space="preserve"> </w:t>
      </w:r>
      <w:r>
        <w:rPr>
          <w:w w:val="105"/>
          <w:sz w:val="14"/>
        </w:rPr>
        <w:t>discriminación</w:t>
      </w:r>
      <w:r>
        <w:rPr>
          <w:spacing w:val="-3"/>
          <w:w w:val="105"/>
          <w:sz w:val="14"/>
        </w:rPr>
        <w:t xml:space="preserve"> </w:t>
      </w:r>
      <w:r>
        <w:rPr>
          <w:w w:val="105"/>
          <w:sz w:val="14"/>
        </w:rPr>
        <w:t>racial,</w:t>
      </w:r>
      <w:r>
        <w:rPr>
          <w:spacing w:val="-3"/>
          <w:w w:val="105"/>
          <w:sz w:val="14"/>
        </w:rPr>
        <w:t xml:space="preserve"> </w:t>
      </w:r>
      <w:r>
        <w:rPr>
          <w:w w:val="105"/>
          <w:sz w:val="14"/>
        </w:rPr>
        <w:t>xenofobia</w:t>
      </w:r>
      <w:r>
        <w:rPr>
          <w:spacing w:val="-3"/>
          <w:w w:val="105"/>
          <w:sz w:val="14"/>
        </w:rPr>
        <w:t xml:space="preserve"> </w:t>
      </w:r>
      <w:r>
        <w:rPr>
          <w:w w:val="105"/>
          <w:sz w:val="14"/>
        </w:rPr>
        <w:t>y</w:t>
      </w:r>
      <w:r>
        <w:rPr>
          <w:spacing w:val="-3"/>
          <w:w w:val="105"/>
          <w:sz w:val="14"/>
        </w:rPr>
        <w:t xml:space="preserve"> </w:t>
      </w:r>
      <w:r>
        <w:rPr>
          <w:w w:val="105"/>
          <w:sz w:val="14"/>
        </w:rPr>
        <w:t>formas</w:t>
      </w:r>
      <w:r>
        <w:rPr>
          <w:spacing w:val="-3"/>
          <w:w w:val="105"/>
          <w:sz w:val="14"/>
        </w:rPr>
        <w:t xml:space="preserve"> </w:t>
      </w:r>
      <w:r>
        <w:rPr>
          <w:w w:val="105"/>
          <w:sz w:val="14"/>
        </w:rPr>
        <w:t>conexas</w:t>
      </w:r>
      <w:r>
        <w:rPr>
          <w:spacing w:val="-3"/>
          <w:w w:val="105"/>
          <w:sz w:val="14"/>
        </w:rPr>
        <w:t xml:space="preserve"> </w:t>
      </w:r>
      <w:r>
        <w:rPr>
          <w:w w:val="105"/>
          <w:sz w:val="14"/>
        </w:rPr>
        <w:t>de</w:t>
      </w:r>
      <w:r>
        <w:rPr>
          <w:spacing w:val="-3"/>
          <w:w w:val="105"/>
          <w:sz w:val="14"/>
        </w:rPr>
        <w:t xml:space="preserve"> </w:t>
      </w:r>
      <w:r>
        <w:rPr>
          <w:w w:val="105"/>
          <w:sz w:val="14"/>
        </w:rPr>
        <w:t>intolerancia</w:t>
      </w:r>
      <w:r>
        <w:rPr>
          <w:spacing w:val="-3"/>
          <w:w w:val="105"/>
          <w:sz w:val="14"/>
        </w:rPr>
        <w:t xml:space="preserve"> </w:t>
      </w:r>
      <w:r>
        <w:rPr>
          <w:w w:val="105"/>
          <w:sz w:val="14"/>
        </w:rPr>
        <w:t>destacan</w:t>
      </w:r>
      <w:r>
        <w:rPr>
          <w:spacing w:val="-3"/>
          <w:w w:val="105"/>
          <w:sz w:val="14"/>
        </w:rPr>
        <w:t xml:space="preserve"> </w:t>
      </w:r>
      <w:r>
        <w:rPr>
          <w:w w:val="105"/>
          <w:sz w:val="14"/>
        </w:rPr>
        <w:t>la</w:t>
      </w:r>
      <w:r>
        <w:rPr>
          <w:spacing w:val="-3"/>
          <w:w w:val="105"/>
          <w:sz w:val="14"/>
        </w:rPr>
        <w:t xml:space="preserve"> </w:t>
      </w:r>
      <w:r>
        <w:rPr>
          <w:w w:val="105"/>
          <w:sz w:val="14"/>
        </w:rPr>
        <w:t>importancia</w:t>
      </w:r>
      <w:r>
        <w:rPr>
          <w:spacing w:val="-3"/>
          <w:w w:val="105"/>
          <w:sz w:val="14"/>
        </w:rPr>
        <w:t xml:space="preserve"> </w:t>
      </w:r>
      <w:r>
        <w:rPr>
          <w:w w:val="105"/>
          <w:sz w:val="14"/>
        </w:rPr>
        <w:t>de</w:t>
      </w:r>
      <w:r>
        <w:rPr>
          <w:spacing w:val="-3"/>
          <w:w w:val="105"/>
          <w:sz w:val="14"/>
        </w:rPr>
        <w:t xml:space="preserve"> </w:t>
      </w:r>
      <w:r>
        <w:rPr>
          <w:w w:val="105"/>
          <w:sz w:val="14"/>
        </w:rPr>
        <w:t>garantizar</w:t>
      </w:r>
      <w:r>
        <w:rPr>
          <w:spacing w:val="-3"/>
          <w:w w:val="105"/>
          <w:sz w:val="14"/>
        </w:rPr>
        <w:t xml:space="preserve"> </w:t>
      </w:r>
      <w:r>
        <w:rPr>
          <w:w w:val="105"/>
          <w:sz w:val="14"/>
        </w:rPr>
        <w:t>los recursos humanos y financieros adecuados para los organismos de igualdad.</w:t>
      </w:r>
    </w:p>
    <w:p w14:paraId="1938B5E7" w14:textId="77777777" w:rsidR="0014798C" w:rsidRDefault="004E1F0B">
      <w:pPr>
        <w:spacing w:before="1" w:line="372" w:lineRule="auto"/>
        <w:ind w:left="1107" w:right="1272" w:hanging="2"/>
        <w:rPr>
          <w:sz w:val="14"/>
        </w:rPr>
      </w:pPr>
      <w:r>
        <w:rPr>
          <w:w w:val="105"/>
          <w:sz w:val="14"/>
        </w:rPr>
        <w:t>La</w:t>
      </w:r>
      <w:r>
        <w:rPr>
          <w:spacing w:val="-2"/>
          <w:w w:val="105"/>
          <w:sz w:val="14"/>
        </w:rPr>
        <w:t xml:space="preserve"> </w:t>
      </w:r>
      <w:r>
        <w:rPr>
          <w:w w:val="105"/>
          <w:sz w:val="14"/>
        </w:rPr>
        <w:t>falta</w:t>
      </w:r>
      <w:r>
        <w:rPr>
          <w:spacing w:val="-2"/>
          <w:w w:val="105"/>
          <w:sz w:val="14"/>
        </w:rPr>
        <w:t xml:space="preserve"> </w:t>
      </w:r>
      <w:r>
        <w:rPr>
          <w:w w:val="105"/>
          <w:sz w:val="14"/>
        </w:rPr>
        <w:t>de</w:t>
      </w:r>
      <w:r>
        <w:rPr>
          <w:spacing w:val="-2"/>
          <w:w w:val="105"/>
          <w:sz w:val="14"/>
        </w:rPr>
        <w:t xml:space="preserve"> </w:t>
      </w:r>
      <w:r>
        <w:rPr>
          <w:w w:val="105"/>
          <w:sz w:val="14"/>
        </w:rPr>
        <w:t>recursos</w:t>
      </w:r>
      <w:r>
        <w:rPr>
          <w:spacing w:val="-2"/>
          <w:w w:val="105"/>
          <w:sz w:val="14"/>
        </w:rPr>
        <w:t xml:space="preserve"> </w:t>
      </w:r>
      <w:r>
        <w:rPr>
          <w:w w:val="105"/>
          <w:sz w:val="14"/>
        </w:rPr>
        <w:t>en</w:t>
      </w:r>
      <w:r>
        <w:rPr>
          <w:spacing w:val="-2"/>
          <w:w w:val="105"/>
          <w:sz w:val="14"/>
        </w:rPr>
        <w:t xml:space="preserve"> </w:t>
      </w:r>
      <w:r>
        <w:rPr>
          <w:w w:val="105"/>
          <w:sz w:val="14"/>
        </w:rPr>
        <w:t>algunas</w:t>
      </w:r>
      <w:r>
        <w:rPr>
          <w:spacing w:val="-2"/>
          <w:w w:val="105"/>
          <w:sz w:val="14"/>
        </w:rPr>
        <w:t xml:space="preserve"> </w:t>
      </w:r>
      <w:r>
        <w:rPr>
          <w:w w:val="105"/>
          <w:sz w:val="14"/>
        </w:rPr>
        <w:t>jurisdicciones</w:t>
      </w:r>
      <w:r>
        <w:rPr>
          <w:spacing w:val="-2"/>
          <w:w w:val="105"/>
          <w:sz w:val="14"/>
        </w:rPr>
        <w:t xml:space="preserve"> </w:t>
      </w:r>
      <w:r>
        <w:rPr>
          <w:w w:val="105"/>
          <w:sz w:val="14"/>
        </w:rPr>
        <w:t>ha</w:t>
      </w:r>
      <w:r>
        <w:rPr>
          <w:spacing w:val="-2"/>
          <w:w w:val="105"/>
          <w:sz w:val="14"/>
        </w:rPr>
        <w:t xml:space="preserve"> </w:t>
      </w:r>
      <w:r>
        <w:rPr>
          <w:w w:val="105"/>
          <w:sz w:val="14"/>
        </w:rPr>
        <w:t>afectado</w:t>
      </w:r>
      <w:r>
        <w:rPr>
          <w:spacing w:val="-2"/>
          <w:w w:val="105"/>
          <w:sz w:val="14"/>
        </w:rPr>
        <w:t xml:space="preserve"> </w:t>
      </w:r>
      <w:r>
        <w:rPr>
          <w:w w:val="105"/>
          <w:sz w:val="14"/>
        </w:rPr>
        <w:t>negativamente</w:t>
      </w:r>
      <w:r>
        <w:rPr>
          <w:spacing w:val="-2"/>
          <w:w w:val="105"/>
          <w:sz w:val="14"/>
        </w:rPr>
        <w:t xml:space="preserve"> </w:t>
      </w:r>
      <w:r>
        <w:rPr>
          <w:w w:val="105"/>
          <w:sz w:val="14"/>
        </w:rPr>
        <w:t>la</w:t>
      </w:r>
      <w:r>
        <w:rPr>
          <w:spacing w:val="-2"/>
          <w:w w:val="105"/>
          <w:sz w:val="14"/>
        </w:rPr>
        <w:t xml:space="preserve"> </w:t>
      </w:r>
      <w:r>
        <w:rPr>
          <w:w w:val="105"/>
          <w:sz w:val="14"/>
        </w:rPr>
        <w:t>capacidad</w:t>
      </w:r>
      <w:r>
        <w:rPr>
          <w:spacing w:val="-2"/>
          <w:w w:val="105"/>
          <w:sz w:val="14"/>
        </w:rPr>
        <w:t xml:space="preserve"> </w:t>
      </w:r>
      <w:r>
        <w:rPr>
          <w:w w:val="105"/>
          <w:sz w:val="14"/>
        </w:rPr>
        <w:t>de</w:t>
      </w:r>
      <w:r>
        <w:rPr>
          <w:spacing w:val="-2"/>
          <w:w w:val="105"/>
          <w:sz w:val="14"/>
        </w:rPr>
        <w:t xml:space="preserve"> </w:t>
      </w:r>
      <w:r>
        <w:rPr>
          <w:w w:val="105"/>
          <w:sz w:val="14"/>
        </w:rPr>
        <w:t>los</w:t>
      </w:r>
      <w:r>
        <w:rPr>
          <w:spacing w:val="-2"/>
          <w:w w:val="105"/>
          <w:sz w:val="14"/>
        </w:rPr>
        <w:t xml:space="preserve"> </w:t>
      </w:r>
      <w:r>
        <w:rPr>
          <w:w w:val="105"/>
          <w:sz w:val="14"/>
        </w:rPr>
        <w:t>órganos</w:t>
      </w:r>
      <w:r>
        <w:rPr>
          <w:spacing w:val="-2"/>
          <w:w w:val="105"/>
          <w:sz w:val="14"/>
        </w:rPr>
        <w:t xml:space="preserve"> </w:t>
      </w:r>
      <w:r>
        <w:rPr>
          <w:w w:val="105"/>
          <w:sz w:val="14"/>
        </w:rPr>
        <w:t>de</w:t>
      </w:r>
      <w:r>
        <w:rPr>
          <w:spacing w:val="-2"/>
          <w:w w:val="105"/>
          <w:sz w:val="14"/>
        </w:rPr>
        <w:t xml:space="preserve"> </w:t>
      </w:r>
      <w:r>
        <w:rPr>
          <w:w w:val="105"/>
          <w:sz w:val="14"/>
        </w:rPr>
        <w:t>igualdad</w:t>
      </w:r>
      <w:r>
        <w:rPr>
          <w:spacing w:val="-2"/>
          <w:w w:val="105"/>
          <w:sz w:val="14"/>
        </w:rPr>
        <w:t xml:space="preserve"> </w:t>
      </w:r>
      <w:r>
        <w:rPr>
          <w:w w:val="105"/>
          <w:sz w:val="14"/>
        </w:rPr>
        <w:t>para</w:t>
      </w:r>
      <w:r>
        <w:rPr>
          <w:spacing w:val="-2"/>
          <w:w w:val="105"/>
          <w:sz w:val="14"/>
        </w:rPr>
        <w:t xml:space="preserve"> </w:t>
      </w:r>
      <w:r>
        <w:rPr>
          <w:w w:val="105"/>
          <w:sz w:val="14"/>
        </w:rPr>
        <w:t>cumplir</w:t>
      </w:r>
      <w:r>
        <w:rPr>
          <w:spacing w:val="-2"/>
          <w:w w:val="105"/>
          <w:sz w:val="14"/>
        </w:rPr>
        <w:t xml:space="preserve"> </w:t>
      </w:r>
      <w:r>
        <w:rPr>
          <w:w w:val="105"/>
          <w:sz w:val="14"/>
        </w:rPr>
        <w:t>sus mandatos.735</w:t>
      </w:r>
      <w:r>
        <w:rPr>
          <w:spacing w:val="-4"/>
          <w:w w:val="105"/>
          <w:sz w:val="14"/>
        </w:rPr>
        <w:t xml:space="preserve"> </w:t>
      </w:r>
      <w:r>
        <w:rPr>
          <w:w w:val="105"/>
          <w:sz w:val="14"/>
        </w:rPr>
        <w:t>En</w:t>
      </w:r>
      <w:r>
        <w:rPr>
          <w:spacing w:val="-4"/>
          <w:w w:val="105"/>
          <w:sz w:val="14"/>
        </w:rPr>
        <w:t xml:space="preserve"> </w:t>
      </w:r>
      <w:r>
        <w:rPr>
          <w:w w:val="105"/>
          <w:sz w:val="14"/>
        </w:rPr>
        <w:t>vista</w:t>
      </w:r>
      <w:r>
        <w:rPr>
          <w:spacing w:val="-4"/>
          <w:w w:val="105"/>
          <w:sz w:val="14"/>
        </w:rPr>
        <w:t xml:space="preserve"> </w:t>
      </w:r>
      <w:r>
        <w:rPr>
          <w:w w:val="105"/>
          <w:sz w:val="14"/>
        </w:rPr>
        <w:t>de</w:t>
      </w:r>
      <w:r>
        <w:rPr>
          <w:spacing w:val="-4"/>
          <w:w w:val="105"/>
          <w:sz w:val="14"/>
        </w:rPr>
        <w:t xml:space="preserve"> </w:t>
      </w:r>
      <w:r>
        <w:rPr>
          <w:w w:val="105"/>
          <w:sz w:val="14"/>
        </w:rPr>
        <w:t>esta</w:t>
      </w:r>
      <w:r>
        <w:rPr>
          <w:spacing w:val="-4"/>
          <w:w w:val="105"/>
          <w:sz w:val="14"/>
        </w:rPr>
        <w:t xml:space="preserve"> </w:t>
      </w:r>
      <w:r>
        <w:rPr>
          <w:w w:val="105"/>
          <w:sz w:val="14"/>
        </w:rPr>
        <w:t>preocupación,</w:t>
      </w:r>
      <w:r>
        <w:rPr>
          <w:spacing w:val="-3"/>
          <w:w w:val="105"/>
          <w:sz w:val="14"/>
        </w:rPr>
        <w:t xml:space="preserve"> </w:t>
      </w:r>
      <w:r>
        <w:rPr>
          <w:w w:val="105"/>
          <w:sz w:val="14"/>
        </w:rPr>
        <w:t>la</w:t>
      </w:r>
      <w:r>
        <w:rPr>
          <w:spacing w:val="-4"/>
          <w:w w:val="105"/>
          <w:sz w:val="14"/>
        </w:rPr>
        <w:t xml:space="preserve"> </w:t>
      </w:r>
      <w:r>
        <w:rPr>
          <w:w w:val="105"/>
          <w:sz w:val="14"/>
        </w:rPr>
        <w:t>Relatora</w:t>
      </w:r>
      <w:r>
        <w:rPr>
          <w:spacing w:val="-4"/>
          <w:w w:val="105"/>
          <w:sz w:val="14"/>
        </w:rPr>
        <w:t xml:space="preserve"> </w:t>
      </w:r>
      <w:r>
        <w:rPr>
          <w:w w:val="105"/>
          <w:sz w:val="14"/>
        </w:rPr>
        <w:t>Especial</w:t>
      </w:r>
      <w:r>
        <w:rPr>
          <w:spacing w:val="-4"/>
          <w:w w:val="105"/>
          <w:sz w:val="14"/>
        </w:rPr>
        <w:t xml:space="preserve"> </w:t>
      </w:r>
      <w:r>
        <w:rPr>
          <w:w w:val="105"/>
          <w:sz w:val="14"/>
        </w:rPr>
        <w:t>ha</w:t>
      </w:r>
      <w:r>
        <w:rPr>
          <w:spacing w:val="-4"/>
          <w:w w:val="105"/>
          <w:sz w:val="14"/>
        </w:rPr>
        <w:t xml:space="preserve"> </w:t>
      </w:r>
      <w:r>
        <w:rPr>
          <w:w w:val="105"/>
          <w:sz w:val="14"/>
        </w:rPr>
        <w:t>recomendado</w:t>
      </w:r>
      <w:r>
        <w:rPr>
          <w:spacing w:val="-4"/>
          <w:w w:val="105"/>
          <w:sz w:val="14"/>
        </w:rPr>
        <w:t xml:space="preserve"> </w:t>
      </w:r>
      <w:r>
        <w:rPr>
          <w:w w:val="105"/>
          <w:sz w:val="14"/>
        </w:rPr>
        <w:t>que</w:t>
      </w:r>
      <w:r>
        <w:rPr>
          <w:spacing w:val="-4"/>
          <w:w w:val="105"/>
          <w:sz w:val="14"/>
        </w:rPr>
        <w:t xml:space="preserve"> </w:t>
      </w:r>
      <w:r>
        <w:rPr>
          <w:w w:val="105"/>
          <w:sz w:val="14"/>
        </w:rPr>
        <w:t>todos</w:t>
      </w:r>
      <w:r>
        <w:rPr>
          <w:spacing w:val="-4"/>
          <w:w w:val="105"/>
          <w:sz w:val="14"/>
        </w:rPr>
        <w:t xml:space="preserve"> </w:t>
      </w:r>
      <w:r>
        <w:rPr>
          <w:w w:val="105"/>
          <w:sz w:val="14"/>
        </w:rPr>
        <w:t>los</w:t>
      </w:r>
      <w:r>
        <w:rPr>
          <w:spacing w:val="-4"/>
          <w:w w:val="105"/>
          <w:sz w:val="14"/>
        </w:rPr>
        <w:t xml:space="preserve"> </w:t>
      </w:r>
      <w:r>
        <w:rPr>
          <w:w w:val="105"/>
          <w:sz w:val="14"/>
        </w:rPr>
        <w:t>Estados</w:t>
      </w:r>
      <w:r>
        <w:rPr>
          <w:spacing w:val="-4"/>
          <w:w w:val="105"/>
          <w:sz w:val="14"/>
        </w:rPr>
        <w:t xml:space="preserve"> </w:t>
      </w:r>
      <w:r>
        <w:rPr>
          <w:w w:val="105"/>
          <w:sz w:val="14"/>
        </w:rPr>
        <w:t>garanticen</w:t>
      </w:r>
      <w:r>
        <w:rPr>
          <w:spacing w:val="-4"/>
          <w:w w:val="105"/>
          <w:sz w:val="14"/>
        </w:rPr>
        <w:t xml:space="preserve"> </w:t>
      </w:r>
      <w:r>
        <w:rPr>
          <w:w w:val="105"/>
          <w:sz w:val="14"/>
        </w:rPr>
        <w:t>que</w:t>
      </w:r>
      <w:r>
        <w:rPr>
          <w:spacing w:val="-4"/>
          <w:w w:val="105"/>
          <w:sz w:val="14"/>
        </w:rPr>
        <w:t xml:space="preserve"> </w:t>
      </w:r>
      <w:r>
        <w:rPr>
          <w:w w:val="105"/>
          <w:sz w:val="14"/>
        </w:rPr>
        <w:t>los</w:t>
      </w:r>
      <w:r>
        <w:rPr>
          <w:spacing w:val="-4"/>
          <w:w w:val="105"/>
          <w:sz w:val="14"/>
        </w:rPr>
        <w:t xml:space="preserve"> </w:t>
      </w:r>
      <w:r>
        <w:rPr>
          <w:w w:val="105"/>
          <w:sz w:val="14"/>
        </w:rPr>
        <w:t>órganos</w:t>
      </w:r>
      <w:r>
        <w:rPr>
          <w:spacing w:val="-4"/>
          <w:w w:val="105"/>
          <w:sz w:val="14"/>
        </w:rPr>
        <w:t xml:space="preserve"> </w:t>
      </w:r>
      <w:r>
        <w:rPr>
          <w:w w:val="105"/>
          <w:sz w:val="14"/>
        </w:rPr>
        <w:t>de igualdad</w:t>
      </w:r>
      <w:r>
        <w:rPr>
          <w:spacing w:val="-8"/>
          <w:w w:val="105"/>
          <w:sz w:val="14"/>
        </w:rPr>
        <w:t xml:space="preserve"> </w:t>
      </w:r>
      <w:r>
        <w:rPr>
          <w:w w:val="105"/>
          <w:sz w:val="14"/>
        </w:rPr>
        <w:t>“reciban</w:t>
      </w:r>
      <w:r>
        <w:rPr>
          <w:spacing w:val="-8"/>
          <w:w w:val="105"/>
          <w:sz w:val="14"/>
        </w:rPr>
        <w:t xml:space="preserve"> </w:t>
      </w:r>
      <w:r>
        <w:rPr>
          <w:w w:val="105"/>
          <w:sz w:val="14"/>
        </w:rPr>
        <w:t>los</w:t>
      </w:r>
      <w:r>
        <w:rPr>
          <w:spacing w:val="-8"/>
          <w:w w:val="105"/>
          <w:sz w:val="14"/>
        </w:rPr>
        <w:t xml:space="preserve"> </w:t>
      </w:r>
      <w:r>
        <w:rPr>
          <w:w w:val="105"/>
          <w:sz w:val="14"/>
        </w:rPr>
        <w:t>mandatos</w:t>
      </w:r>
      <w:r>
        <w:rPr>
          <w:spacing w:val="-8"/>
          <w:w w:val="105"/>
          <w:sz w:val="14"/>
        </w:rPr>
        <w:t xml:space="preserve"> </w:t>
      </w:r>
      <w:r>
        <w:rPr>
          <w:w w:val="105"/>
          <w:sz w:val="14"/>
        </w:rPr>
        <w:t>y</w:t>
      </w:r>
      <w:r>
        <w:rPr>
          <w:spacing w:val="-8"/>
          <w:w w:val="105"/>
          <w:sz w:val="14"/>
        </w:rPr>
        <w:t xml:space="preserve"> </w:t>
      </w:r>
      <w:r>
        <w:rPr>
          <w:w w:val="105"/>
          <w:sz w:val="14"/>
        </w:rPr>
        <w:t>recursos</w:t>
      </w:r>
      <w:r>
        <w:rPr>
          <w:spacing w:val="-8"/>
          <w:w w:val="105"/>
          <w:sz w:val="14"/>
        </w:rPr>
        <w:t xml:space="preserve"> </w:t>
      </w:r>
      <w:r>
        <w:rPr>
          <w:w w:val="105"/>
          <w:sz w:val="14"/>
        </w:rPr>
        <w:t>apropiados,</w:t>
      </w:r>
      <w:r>
        <w:rPr>
          <w:spacing w:val="-7"/>
          <w:w w:val="105"/>
          <w:sz w:val="14"/>
        </w:rPr>
        <w:t xml:space="preserve"> </w:t>
      </w:r>
      <w:r>
        <w:rPr>
          <w:w w:val="105"/>
          <w:sz w:val="14"/>
        </w:rPr>
        <w:t>tanto</w:t>
      </w:r>
      <w:r>
        <w:rPr>
          <w:spacing w:val="-8"/>
          <w:w w:val="105"/>
          <w:sz w:val="14"/>
        </w:rPr>
        <w:t xml:space="preserve"> </w:t>
      </w:r>
      <w:r>
        <w:rPr>
          <w:w w:val="105"/>
          <w:sz w:val="14"/>
        </w:rPr>
        <w:t>humanos</w:t>
      </w:r>
      <w:r>
        <w:rPr>
          <w:spacing w:val="-8"/>
          <w:w w:val="105"/>
          <w:sz w:val="14"/>
        </w:rPr>
        <w:t xml:space="preserve"> </w:t>
      </w:r>
      <w:r>
        <w:rPr>
          <w:w w:val="105"/>
          <w:sz w:val="14"/>
        </w:rPr>
        <w:t>como</w:t>
      </w:r>
      <w:r>
        <w:rPr>
          <w:spacing w:val="-8"/>
          <w:w w:val="105"/>
          <w:sz w:val="14"/>
        </w:rPr>
        <w:t xml:space="preserve"> </w:t>
      </w:r>
      <w:r>
        <w:rPr>
          <w:w w:val="105"/>
          <w:sz w:val="14"/>
        </w:rPr>
        <w:t>financieros,</w:t>
      </w:r>
      <w:r>
        <w:rPr>
          <w:spacing w:val="-7"/>
          <w:w w:val="105"/>
          <w:sz w:val="14"/>
        </w:rPr>
        <w:t xml:space="preserve"> </w:t>
      </w:r>
      <w:r>
        <w:rPr>
          <w:w w:val="105"/>
          <w:sz w:val="14"/>
        </w:rPr>
        <w:t>para</w:t>
      </w:r>
      <w:r>
        <w:rPr>
          <w:spacing w:val="-8"/>
          <w:w w:val="105"/>
          <w:sz w:val="14"/>
        </w:rPr>
        <w:t xml:space="preserve"> </w:t>
      </w:r>
      <w:r>
        <w:rPr>
          <w:w w:val="105"/>
          <w:sz w:val="14"/>
        </w:rPr>
        <w:t>poder</w:t>
      </w:r>
      <w:r>
        <w:rPr>
          <w:spacing w:val="-8"/>
          <w:w w:val="105"/>
          <w:sz w:val="14"/>
        </w:rPr>
        <w:t xml:space="preserve"> </w:t>
      </w:r>
      <w:r>
        <w:rPr>
          <w:w w:val="105"/>
          <w:sz w:val="14"/>
        </w:rPr>
        <w:t>desempeñar</w:t>
      </w:r>
      <w:r>
        <w:rPr>
          <w:spacing w:val="-8"/>
          <w:w w:val="105"/>
          <w:sz w:val="14"/>
        </w:rPr>
        <w:t xml:space="preserve"> </w:t>
      </w:r>
      <w:r>
        <w:rPr>
          <w:w w:val="105"/>
          <w:sz w:val="14"/>
        </w:rPr>
        <w:t>sus</w:t>
      </w:r>
      <w:r>
        <w:rPr>
          <w:spacing w:val="-8"/>
          <w:w w:val="105"/>
          <w:sz w:val="14"/>
        </w:rPr>
        <w:t xml:space="preserve"> </w:t>
      </w:r>
      <w:r>
        <w:rPr>
          <w:w w:val="105"/>
          <w:sz w:val="14"/>
        </w:rPr>
        <w:t>funciones</w:t>
      </w:r>
      <w:r>
        <w:rPr>
          <w:spacing w:val="-8"/>
          <w:w w:val="105"/>
          <w:sz w:val="14"/>
        </w:rPr>
        <w:t xml:space="preserve"> </w:t>
      </w:r>
      <w:r>
        <w:rPr>
          <w:w w:val="105"/>
          <w:sz w:val="14"/>
        </w:rPr>
        <w:t>en</w:t>
      </w:r>
      <w:r>
        <w:rPr>
          <w:spacing w:val="-8"/>
          <w:w w:val="105"/>
          <w:sz w:val="14"/>
        </w:rPr>
        <w:t xml:space="preserve"> </w:t>
      </w:r>
      <w:r>
        <w:rPr>
          <w:w w:val="105"/>
          <w:sz w:val="14"/>
        </w:rPr>
        <w:t>todo</w:t>
      </w:r>
      <w:r>
        <w:rPr>
          <w:spacing w:val="-8"/>
          <w:w w:val="105"/>
          <w:sz w:val="14"/>
        </w:rPr>
        <w:t xml:space="preserve"> </w:t>
      </w:r>
      <w:r>
        <w:rPr>
          <w:w w:val="105"/>
          <w:sz w:val="14"/>
        </w:rPr>
        <w:t xml:space="preserve">su </w:t>
      </w:r>
      <w:r>
        <w:rPr>
          <w:spacing w:val="-2"/>
          <w:w w:val="105"/>
          <w:sz w:val="14"/>
        </w:rPr>
        <w:t>potencial”.736</w:t>
      </w:r>
    </w:p>
    <w:p w14:paraId="2FA7110C" w14:textId="77777777" w:rsidR="0014798C" w:rsidRDefault="0014798C">
      <w:pPr>
        <w:pStyle w:val="Textoindependiente"/>
        <w:rPr>
          <w:sz w:val="20"/>
        </w:rPr>
      </w:pPr>
    </w:p>
    <w:p w14:paraId="3745C0B1" w14:textId="77777777" w:rsidR="0014798C" w:rsidRDefault="0014798C">
      <w:pPr>
        <w:pStyle w:val="Textoindependiente"/>
        <w:rPr>
          <w:sz w:val="20"/>
        </w:rPr>
      </w:pPr>
    </w:p>
    <w:p w14:paraId="09FE1D25" w14:textId="77777777" w:rsidR="0014798C" w:rsidRDefault="004E1F0B">
      <w:pPr>
        <w:pStyle w:val="Textoindependiente"/>
        <w:spacing w:before="127"/>
        <w:rPr>
          <w:sz w:val="20"/>
        </w:rPr>
      </w:pPr>
      <w:r>
        <w:rPr>
          <w:noProof/>
        </w:rPr>
        <w:drawing>
          <wp:anchor distT="0" distB="0" distL="0" distR="0" simplePos="0" relativeHeight="251658539" behindDoc="1" locked="0" layoutInCell="1" allowOverlap="1" wp14:anchorId="3C5538B3" wp14:editId="2C6D0D1C">
            <wp:simplePos x="0" y="0"/>
            <wp:positionH relativeFrom="page">
              <wp:posOffset>826632</wp:posOffset>
            </wp:positionH>
            <wp:positionV relativeFrom="paragraph">
              <wp:posOffset>242536</wp:posOffset>
            </wp:positionV>
            <wp:extent cx="931001" cy="35813"/>
            <wp:effectExtent l="0" t="0" r="0" b="0"/>
            <wp:wrapTopAndBottom/>
            <wp:docPr id="227" name="Image 22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27" name="Image 227"/>
                    <pic:cNvPicPr/>
                  </pic:nvPicPr>
                  <pic:blipFill>
                    <a:blip r:embed="rId208" cstate="print"/>
                    <a:stretch>
                      <a:fillRect/>
                    </a:stretch>
                  </pic:blipFill>
                  <pic:spPr>
                    <a:xfrm>
                      <a:off x="0" y="0"/>
                      <a:ext cx="931001" cy="35813"/>
                    </a:xfrm>
                    <a:prstGeom prst="rect">
                      <a:avLst/>
                    </a:prstGeom>
                  </pic:spPr>
                </pic:pic>
              </a:graphicData>
            </a:graphic>
          </wp:anchor>
        </w:drawing>
      </w:r>
    </w:p>
    <w:p w14:paraId="74B0DBEC" w14:textId="77777777" w:rsidR="0014798C" w:rsidRDefault="0014798C">
      <w:pPr>
        <w:pStyle w:val="Textoindependiente"/>
        <w:spacing w:before="79"/>
        <w:rPr>
          <w:sz w:val="11"/>
        </w:rPr>
      </w:pPr>
    </w:p>
    <w:p w14:paraId="3FF1D183" w14:textId="77777777" w:rsidR="0014798C" w:rsidRDefault="004E1F0B">
      <w:pPr>
        <w:spacing w:line="340" w:lineRule="auto"/>
        <w:ind w:left="1366" w:right="1840" w:hanging="259"/>
        <w:rPr>
          <w:sz w:val="11"/>
        </w:rPr>
      </w:pPr>
      <w:r>
        <w:rPr>
          <w:sz w:val="11"/>
        </w:rPr>
        <w:t>724 Convención sobre los Derechos de las Personas con Discapacidad, art. 33 (</w:t>
      </w:r>
      <w:proofErr w:type="gramStart"/>
      <w:r>
        <w:rPr>
          <w:sz w:val="11"/>
        </w:rPr>
        <w:t>2);</w:t>
      </w:r>
      <w:proofErr w:type="gramEnd"/>
      <w:r>
        <w:rPr>
          <w:sz w:val="11"/>
        </w:rPr>
        <w:t xml:space="preserve"> y Comité para la Eliminación de la Discriminación Racial, recomendación general núm. 17</w:t>
      </w:r>
      <w:r>
        <w:rPr>
          <w:spacing w:val="40"/>
          <w:sz w:val="11"/>
        </w:rPr>
        <w:t xml:space="preserve"> </w:t>
      </w:r>
      <w:r>
        <w:rPr>
          <w:sz w:val="11"/>
        </w:rPr>
        <w:t>(1993), párr. 1.</w:t>
      </w:r>
    </w:p>
    <w:p w14:paraId="3AFF7445" w14:textId="77777777" w:rsidR="0014798C" w:rsidRDefault="0014798C">
      <w:pPr>
        <w:spacing w:line="340" w:lineRule="auto"/>
        <w:rPr>
          <w:sz w:val="11"/>
        </w:rPr>
        <w:sectPr w:rsidR="0014798C" w:rsidSect="00F265E4">
          <w:pgSz w:w="11900" w:h="16820"/>
          <w:pgMar w:top="340" w:right="0" w:bottom="280" w:left="200" w:header="121" w:footer="0" w:gutter="0"/>
          <w:cols w:space="720"/>
        </w:sectPr>
      </w:pPr>
    </w:p>
    <w:p w14:paraId="751C4132" w14:textId="77777777" w:rsidR="0014798C" w:rsidRDefault="004E1F0B">
      <w:pPr>
        <w:spacing w:before="3"/>
        <w:jc w:val="right"/>
        <w:rPr>
          <w:sz w:val="8"/>
        </w:rPr>
      </w:pPr>
      <w:r>
        <w:rPr>
          <w:spacing w:val="-5"/>
          <w:w w:val="105"/>
          <w:sz w:val="8"/>
        </w:rPr>
        <w:t>725</w:t>
      </w:r>
    </w:p>
    <w:p w14:paraId="57FE1BF7" w14:textId="77777777" w:rsidR="0014798C" w:rsidRDefault="0014798C">
      <w:pPr>
        <w:pStyle w:val="Textoindependiente"/>
        <w:spacing w:before="52"/>
        <w:rPr>
          <w:sz w:val="8"/>
        </w:rPr>
      </w:pPr>
    </w:p>
    <w:p w14:paraId="4A83B5DC" w14:textId="77777777" w:rsidR="0014798C" w:rsidRDefault="004E1F0B">
      <w:pPr>
        <w:jc w:val="right"/>
        <w:rPr>
          <w:sz w:val="8"/>
        </w:rPr>
      </w:pPr>
      <w:r>
        <w:rPr>
          <w:spacing w:val="-5"/>
          <w:w w:val="105"/>
          <w:sz w:val="8"/>
        </w:rPr>
        <w:t>726</w:t>
      </w:r>
    </w:p>
    <w:p w14:paraId="39E49EAD" w14:textId="77777777" w:rsidR="0014798C" w:rsidRDefault="004E1F0B">
      <w:pPr>
        <w:spacing w:before="22" w:line="448" w:lineRule="auto"/>
        <w:ind w:left="76" w:right="5988" w:firstLine="4"/>
        <w:rPr>
          <w:sz w:val="11"/>
        </w:rPr>
      </w:pPr>
      <w:r>
        <w:br w:type="column"/>
      </w:r>
      <w:r>
        <w:rPr>
          <w:sz w:val="11"/>
        </w:rPr>
        <w:t xml:space="preserve">Véase, por ejemplo, E/C.12/BGR/CO/6, párr. </w:t>
      </w:r>
      <w:r>
        <w:rPr>
          <w:w w:val="95"/>
          <w:sz w:val="11"/>
        </w:rPr>
        <w:t xml:space="preserve">5; </w:t>
      </w:r>
      <w:r>
        <w:rPr>
          <w:sz w:val="11"/>
        </w:rPr>
        <w:t>y CCPR/C/MDA/CO/3, párr. 8.</w:t>
      </w:r>
      <w:r>
        <w:rPr>
          <w:spacing w:val="40"/>
          <w:sz w:val="11"/>
        </w:rPr>
        <w:t xml:space="preserve"> </w:t>
      </w:r>
      <w:r>
        <w:rPr>
          <w:sz w:val="11"/>
        </w:rPr>
        <w:t>A/71/301, párr. 86.</w:t>
      </w:r>
    </w:p>
    <w:p w14:paraId="12A81FF4" w14:textId="77777777" w:rsidR="0014798C" w:rsidRDefault="0014798C">
      <w:pPr>
        <w:spacing w:line="448" w:lineRule="auto"/>
        <w:rPr>
          <w:sz w:val="11"/>
        </w:rPr>
        <w:sectPr w:rsidR="0014798C" w:rsidSect="00F265E4">
          <w:type w:val="continuous"/>
          <w:pgSz w:w="11900" w:h="16820"/>
          <w:pgMar w:top="40" w:right="0" w:bottom="280" w:left="200" w:header="121" w:footer="0" w:gutter="0"/>
          <w:cols w:num="2" w:space="720" w:equalWidth="0">
            <w:col w:w="1250" w:space="40"/>
            <w:col w:w="10410"/>
          </w:cols>
        </w:sectPr>
      </w:pPr>
    </w:p>
    <w:p w14:paraId="56DE8398" w14:textId="77777777" w:rsidR="0014798C" w:rsidRDefault="004E1F0B">
      <w:pPr>
        <w:spacing w:before="35"/>
        <w:ind w:left="1108"/>
        <w:rPr>
          <w:sz w:val="11"/>
        </w:rPr>
      </w:pPr>
      <w:r>
        <w:rPr>
          <w:sz w:val="11"/>
        </w:rPr>
        <w:t>727</w:t>
      </w:r>
      <w:r>
        <w:rPr>
          <w:spacing w:val="3"/>
          <w:sz w:val="11"/>
        </w:rPr>
        <w:t xml:space="preserve"> </w:t>
      </w:r>
      <w:r>
        <w:rPr>
          <w:sz w:val="11"/>
        </w:rPr>
        <w:t>De</w:t>
      </w:r>
      <w:r>
        <w:rPr>
          <w:spacing w:val="3"/>
          <w:sz w:val="11"/>
        </w:rPr>
        <w:t xml:space="preserve"> </w:t>
      </w:r>
      <w:r>
        <w:rPr>
          <w:sz w:val="11"/>
        </w:rPr>
        <w:t>hecho,</w:t>
      </w:r>
      <w:r>
        <w:rPr>
          <w:spacing w:val="3"/>
          <w:sz w:val="11"/>
        </w:rPr>
        <w:t xml:space="preserve"> </w:t>
      </w:r>
      <w:r>
        <w:rPr>
          <w:sz w:val="11"/>
        </w:rPr>
        <w:t>el</w:t>
      </w:r>
      <w:r>
        <w:rPr>
          <w:spacing w:val="3"/>
          <w:sz w:val="11"/>
        </w:rPr>
        <w:t xml:space="preserve"> </w:t>
      </w:r>
      <w:r>
        <w:rPr>
          <w:sz w:val="11"/>
        </w:rPr>
        <w:t>Relator</w:t>
      </w:r>
      <w:r>
        <w:rPr>
          <w:spacing w:val="3"/>
          <w:sz w:val="11"/>
        </w:rPr>
        <w:t xml:space="preserve"> </w:t>
      </w:r>
      <w:r>
        <w:rPr>
          <w:sz w:val="11"/>
        </w:rPr>
        <w:t>Especial</w:t>
      </w:r>
      <w:r>
        <w:rPr>
          <w:spacing w:val="3"/>
          <w:sz w:val="11"/>
        </w:rPr>
        <w:t xml:space="preserve"> </w:t>
      </w:r>
      <w:r>
        <w:rPr>
          <w:sz w:val="11"/>
        </w:rPr>
        <w:t>sobre</w:t>
      </w:r>
      <w:r>
        <w:rPr>
          <w:spacing w:val="3"/>
          <w:sz w:val="11"/>
        </w:rPr>
        <w:t xml:space="preserve"> </w:t>
      </w:r>
      <w:r>
        <w:rPr>
          <w:sz w:val="11"/>
        </w:rPr>
        <w:t>las</w:t>
      </w:r>
      <w:r>
        <w:rPr>
          <w:spacing w:val="4"/>
          <w:sz w:val="11"/>
        </w:rPr>
        <w:t xml:space="preserve"> </w:t>
      </w:r>
      <w:r>
        <w:rPr>
          <w:sz w:val="11"/>
        </w:rPr>
        <w:t>formas</w:t>
      </w:r>
      <w:r>
        <w:rPr>
          <w:spacing w:val="3"/>
          <w:sz w:val="11"/>
        </w:rPr>
        <w:t xml:space="preserve"> </w:t>
      </w:r>
      <w:r>
        <w:rPr>
          <w:sz w:val="11"/>
        </w:rPr>
        <w:t>contemporáneas</w:t>
      </w:r>
      <w:r>
        <w:rPr>
          <w:spacing w:val="3"/>
          <w:sz w:val="11"/>
        </w:rPr>
        <w:t xml:space="preserve"> </w:t>
      </w:r>
      <w:r>
        <w:rPr>
          <w:sz w:val="11"/>
        </w:rPr>
        <w:t>de</w:t>
      </w:r>
      <w:r>
        <w:rPr>
          <w:spacing w:val="3"/>
          <w:sz w:val="11"/>
        </w:rPr>
        <w:t xml:space="preserve"> </w:t>
      </w:r>
      <w:r>
        <w:rPr>
          <w:sz w:val="11"/>
        </w:rPr>
        <w:t>racismo,</w:t>
      </w:r>
      <w:r>
        <w:rPr>
          <w:spacing w:val="4"/>
          <w:sz w:val="11"/>
        </w:rPr>
        <w:t xml:space="preserve"> </w:t>
      </w:r>
      <w:r>
        <w:rPr>
          <w:sz w:val="11"/>
        </w:rPr>
        <w:t>discriminación</w:t>
      </w:r>
      <w:r>
        <w:rPr>
          <w:spacing w:val="3"/>
          <w:sz w:val="11"/>
        </w:rPr>
        <w:t xml:space="preserve"> </w:t>
      </w:r>
      <w:r>
        <w:rPr>
          <w:sz w:val="11"/>
        </w:rPr>
        <w:t>racial,</w:t>
      </w:r>
      <w:r>
        <w:rPr>
          <w:spacing w:val="3"/>
          <w:sz w:val="11"/>
        </w:rPr>
        <w:t xml:space="preserve"> </w:t>
      </w:r>
      <w:r>
        <w:rPr>
          <w:sz w:val="11"/>
        </w:rPr>
        <w:t>xenofobia</w:t>
      </w:r>
      <w:r>
        <w:rPr>
          <w:spacing w:val="4"/>
          <w:sz w:val="11"/>
        </w:rPr>
        <w:t xml:space="preserve"> </w:t>
      </w:r>
      <w:r>
        <w:rPr>
          <w:sz w:val="11"/>
        </w:rPr>
        <w:t>y</w:t>
      </w:r>
      <w:r>
        <w:rPr>
          <w:spacing w:val="3"/>
          <w:sz w:val="11"/>
        </w:rPr>
        <w:t xml:space="preserve"> </w:t>
      </w:r>
      <w:r>
        <w:rPr>
          <w:sz w:val="11"/>
        </w:rPr>
        <w:t>formas</w:t>
      </w:r>
      <w:r>
        <w:rPr>
          <w:spacing w:val="3"/>
          <w:sz w:val="11"/>
        </w:rPr>
        <w:t xml:space="preserve"> </w:t>
      </w:r>
      <w:r>
        <w:rPr>
          <w:sz w:val="11"/>
        </w:rPr>
        <w:t>conexas</w:t>
      </w:r>
      <w:r>
        <w:rPr>
          <w:spacing w:val="3"/>
          <w:sz w:val="11"/>
        </w:rPr>
        <w:t xml:space="preserve"> </w:t>
      </w:r>
      <w:r>
        <w:rPr>
          <w:sz w:val="11"/>
        </w:rPr>
        <w:t>de</w:t>
      </w:r>
      <w:r>
        <w:rPr>
          <w:spacing w:val="3"/>
          <w:sz w:val="11"/>
        </w:rPr>
        <w:t xml:space="preserve"> </w:t>
      </w:r>
      <w:r>
        <w:rPr>
          <w:sz w:val="11"/>
        </w:rPr>
        <w:t>intolerancia</w:t>
      </w:r>
      <w:r>
        <w:rPr>
          <w:spacing w:val="3"/>
          <w:sz w:val="11"/>
        </w:rPr>
        <w:t xml:space="preserve"> </w:t>
      </w:r>
      <w:r>
        <w:rPr>
          <w:sz w:val="11"/>
        </w:rPr>
        <w:t>ha</w:t>
      </w:r>
      <w:r>
        <w:rPr>
          <w:spacing w:val="3"/>
          <w:sz w:val="11"/>
        </w:rPr>
        <w:t xml:space="preserve"> </w:t>
      </w:r>
      <w:r>
        <w:rPr>
          <w:spacing w:val="-2"/>
          <w:sz w:val="11"/>
        </w:rPr>
        <w:t>pedido</w:t>
      </w:r>
    </w:p>
    <w:p w14:paraId="316B41A6" w14:textId="77777777" w:rsidR="0014798C" w:rsidRDefault="004E1F0B">
      <w:pPr>
        <w:spacing w:before="18"/>
        <w:ind w:left="1370"/>
        <w:rPr>
          <w:sz w:val="11"/>
        </w:rPr>
      </w:pPr>
      <w:r>
        <w:rPr>
          <w:w w:val="105"/>
          <w:sz w:val="11"/>
        </w:rPr>
        <w:t>Estados</w:t>
      </w:r>
      <w:r>
        <w:rPr>
          <w:spacing w:val="-9"/>
          <w:w w:val="105"/>
          <w:sz w:val="11"/>
        </w:rPr>
        <w:t xml:space="preserve"> </w:t>
      </w:r>
      <w:r>
        <w:rPr>
          <w:w w:val="105"/>
          <w:sz w:val="11"/>
        </w:rPr>
        <w:t>“para</w:t>
      </w:r>
      <w:r>
        <w:rPr>
          <w:spacing w:val="-8"/>
          <w:w w:val="105"/>
          <w:sz w:val="11"/>
        </w:rPr>
        <w:t xml:space="preserve"> </w:t>
      </w:r>
      <w:r>
        <w:rPr>
          <w:w w:val="105"/>
          <w:sz w:val="11"/>
        </w:rPr>
        <w:t>distinguir</w:t>
      </w:r>
      <w:r>
        <w:rPr>
          <w:spacing w:val="-8"/>
          <w:w w:val="105"/>
          <w:sz w:val="11"/>
        </w:rPr>
        <w:t xml:space="preserve"> </w:t>
      </w:r>
      <w:r>
        <w:rPr>
          <w:w w:val="105"/>
          <w:sz w:val="11"/>
        </w:rPr>
        <w:t>[un</w:t>
      </w:r>
      <w:r>
        <w:rPr>
          <w:spacing w:val="-8"/>
          <w:w w:val="105"/>
          <w:sz w:val="11"/>
        </w:rPr>
        <w:t xml:space="preserve"> </w:t>
      </w:r>
      <w:r>
        <w:rPr>
          <w:w w:val="105"/>
          <w:sz w:val="11"/>
        </w:rPr>
        <w:t>organismo</w:t>
      </w:r>
      <w:r>
        <w:rPr>
          <w:spacing w:val="-7"/>
          <w:w w:val="105"/>
          <w:sz w:val="11"/>
        </w:rPr>
        <w:t xml:space="preserve"> </w:t>
      </w:r>
      <w:r>
        <w:rPr>
          <w:w w:val="105"/>
          <w:sz w:val="11"/>
        </w:rPr>
        <w:t>de</w:t>
      </w:r>
      <w:r>
        <w:rPr>
          <w:spacing w:val="-8"/>
          <w:w w:val="105"/>
          <w:sz w:val="11"/>
        </w:rPr>
        <w:t xml:space="preserve"> </w:t>
      </w:r>
      <w:r>
        <w:rPr>
          <w:w w:val="105"/>
          <w:sz w:val="11"/>
        </w:rPr>
        <w:t>igualdad]</w:t>
      </w:r>
      <w:r>
        <w:rPr>
          <w:spacing w:val="-8"/>
          <w:w w:val="105"/>
          <w:sz w:val="11"/>
        </w:rPr>
        <w:t xml:space="preserve"> </w:t>
      </w:r>
      <w:r>
        <w:rPr>
          <w:w w:val="105"/>
          <w:sz w:val="11"/>
        </w:rPr>
        <w:t>de</w:t>
      </w:r>
      <w:r>
        <w:rPr>
          <w:spacing w:val="-8"/>
          <w:w w:val="105"/>
          <w:sz w:val="11"/>
        </w:rPr>
        <w:t xml:space="preserve"> </w:t>
      </w:r>
      <w:r>
        <w:rPr>
          <w:w w:val="105"/>
          <w:sz w:val="11"/>
        </w:rPr>
        <w:t>la</w:t>
      </w:r>
      <w:r>
        <w:rPr>
          <w:spacing w:val="-8"/>
          <w:w w:val="105"/>
          <w:sz w:val="11"/>
        </w:rPr>
        <w:t xml:space="preserve"> </w:t>
      </w:r>
      <w:r>
        <w:rPr>
          <w:w w:val="105"/>
          <w:sz w:val="11"/>
        </w:rPr>
        <w:t>institución</w:t>
      </w:r>
      <w:r>
        <w:rPr>
          <w:spacing w:val="-7"/>
          <w:w w:val="105"/>
          <w:sz w:val="11"/>
        </w:rPr>
        <w:t xml:space="preserve"> </w:t>
      </w:r>
      <w:r>
        <w:rPr>
          <w:w w:val="105"/>
          <w:sz w:val="11"/>
        </w:rPr>
        <w:t>nacional</w:t>
      </w:r>
      <w:r>
        <w:rPr>
          <w:spacing w:val="-8"/>
          <w:w w:val="105"/>
          <w:sz w:val="11"/>
        </w:rPr>
        <w:t xml:space="preserve"> </w:t>
      </w:r>
      <w:r>
        <w:rPr>
          <w:w w:val="105"/>
          <w:sz w:val="11"/>
        </w:rPr>
        <w:t>general</w:t>
      </w:r>
      <w:r>
        <w:rPr>
          <w:spacing w:val="-8"/>
          <w:w w:val="105"/>
          <w:sz w:val="11"/>
        </w:rPr>
        <w:t xml:space="preserve"> </w:t>
      </w:r>
      <w:r>
        <w:rPr>
          <w:w w:val="105"/>
          <w:sz w:val="11"/>
        </w:rPr>
        <w:t>de</w:t>
      </w:r>
      <w:r>
        <w:rPr>
          <w:spacing w:val="-8"/>
          <w:w w:val="105"/>
          <w:sz w:val="11"/>
        </w:rPr>
        <w:t xml:space="preserve"> </w:t>
      </w:r>
      <w:r>
        <w:rPr>
          <w:w w:val="105"/>
          <w:sz w:val="11"/>
        </w:rPr>
        <w:t>derechos</w:t>
      </w:r>
      <w:r>
        <w:rPr>
          <w:spacing w:val="-8"/>
          <w:w w:val="105"/>
          <w:sz w:val="11"/>
        </w:rPr>
        <w:t xml:space="preserve"> </w:t>
      </w:r>
      <w:r>
        <w:rPr>
          <w:w w:val="105"/>
          <w:sz w:val="11"/>
        </w:rPr>
        <w:t>humanos”.</w:t>
      </w:r>
      <w:r>
        <w:rPr>
          <w:spacing w:val="-8"/>
          <w:w w:val="105"/>
          <w:sz w:val="11"/>
        </w:rPr>
        <w:t xml:space="preserve"> </w:t>
      </w:r>
      <w:r>
        <w:rPr>
          <w:w w:val="105"/>
          <w:sz w:val="11"/>
        </w:rPr>
        <w:t>Véase</w:t>
      </w:r>
      <w:r>
        <w:rPr>
          <w:spacing w:val="-7"/>
          <w:w w:val="105"/>
          <w:sz w:val="11"/>
        </w:rPr>
        <w:t xml:space="preserve"> </w:t>
      </w:r>
      <w:r>
        <w:rPr>
          <w:w w:val="105"/>
          <w:sz w:val="11"/>
        </w:rPr>
        <w:t>A/71/301,</w:t>
      </w:r>
      <w:r>
        <w:rPr>
          <w:spacing w:val="-8"/>
          <w:w w:val="105"/>
          <w:sz w:val="11"/>
        </w:rPr>
        <w:t xml:space="preserve"> </w:t>
      </w:r>
      <w:r>
        <w:rPr>
          <w:w w:val="105"/>
          <w:sz w:val="11"/>
        </w:rPr>
        <w:t>párr.</w:t>
      </w:r>
      <w:r>
        <w:rPr>
          <w:spacing w:val="-8"/>
          <w:w w:val="105"/>
          <w:sz w:val="11"/>
        </w:rPr>
        <w:t xml:space="preserve"> </w:t>
      </w:r>
      <w:r>
        <w:rPr>
          <w:spacing w:val="-5"/>
          <w:w w:val="105"/>
          <w:sz w:val="11"/>
        </w:rPr>
        <w:t>86.</w:t>
      </w:r>
    </w:p>
    <w:p w14:paraId="7AC25890" w14:textId="77777777" w:rsidR="0014798C" w:rsidRDefault="004E1F0B">
      <w:pPr>
        <w:spacing w:before="110"/>
        <w:ind w:left="1108"/>
        <w:rPr>
          <w:sz w:val="11"/>
        </w:rPr>
      </w:pPr>
      <w:r>
        <w:rPr>
          <w:w w:val="105"/>
          <w:sz w:val="11"/>
        </w:rPr>
        <w:t>728</w:t>
      </w:r>
      <w:r>
        <w:rPr>
          <w:spacing w:val="-8"/>
          <w:w w:val="105"/>
          <w:sz w:val="11"/>
        </w:rPr>
        <w:t xml:space="preserve"> </w:t>
      </w:r>
      <w:r>
        <w:rPr>
          <w:w w:val="105"/>
          <w:sz w:val="11"/>
        </w:rPr>
        <w:t>Para</w:t>
      </w:r>
      <w:r>
        <w:rPr>
          <w:spacing w:val="-7"/>
          <w:w w:val="105"/>
          <w:sz w:val="11"/>
        </w:rPr>
        <w:t xml:space="preserve"> </w:t>
      </w:r>
      <w:r>
        <w:rPr>
          <w:w w:val="105"/>
          <w:sz w:val="11"/>
        </w:rPr>
        <w:t>un</w:t>
      </w:r>
      <w:r>
        <w:rPr>
          <w:spacing w:val="-7"/>
          <w:w w:val="105"/>
          <w:sz w:val="11"/>
        </w:rPr>
        <w:t xml:space="preserve"> </w:t>
      </w:r>
      <w:r>
        <w:rPr>
          <w:w w:val="105"/>
          <w:sz w:val="11"/>
        </w:rPr>
        <w:t>análisis</w:t>
      </w:r>
      <w:r>
        <w:rPr>
          <w:spacing w:val="-7"/>
          <w:w w:val="105"/>
          <w:sz w:val="11"/>
        </w:rPr>
        <w:t xml:space="preserve"> </w:t>
      </w:r>
      <w:r>
        <w:rPr>
          <w:w w:val="105"/>
          <w:sz w:val="11"/>
        </w:rPr>
        <w:t>más</w:t>
      </w:r>
      <w:r>
        <w:rPr>
          <w:spacing w:val="-7"/>
          <w:w w:val="105"/>
          <w:sz w:val="11"/>
        </w:rPr>
        <w:t xml:space="preserve"> </w:t>
      </w:r>
      <w:r>
        <w:rPr>
          <w:w w:val="105"/>
          <w:sz w:val="11"/>
        </w:rPr>
        <w:t>detallado</w:t>
      </w:r>
      <w:r>
        <w:rPr>
          <w:spacing w:val="-7"/>
          <w:w w:val="105"/>
          <w:sz w:val="11"/>
        </w:rPr>
        <w:t xml:space="preserve"> </w:t>
      </w:r>
      <w:r>
        <w:rPr>
          <w:w w:val="105"/>
          <w:sz w:val="11"/>
        </w:rPr>
        <w:t>sobre</w:t>
      </w:r>
      <w:r>
        <w:rPr>
          <w:spacing w:val="-7"/>
          <w:w w:val="105"/>
          <w:sz w:val="11"/>
        </w:rPr>
        <w:t xml:space="preserve"> </w:t>
      </w:r>
      <w:r>
        <w:rPr>
          <w:w w:val="105"/>
          <w:sz w:val="11"/>
        </w:rPr>
        <w:t>este</w:t>
      </w:r>
      <w:r>
        <w:rPr>
          <w:spacing w:val="-7"/>
          <w:w w:val="105"/>
          <w:sz w:val="11"/>
        </w:rPr>
        <w:t xml:space="preserve"> </w:t>
      </w:r>
      <w:r>
        <w:rPr>
          <w:w w:val="105"/>
          <w:sz w:val="11"/>
        </w:rPr>
        <w:t>punto,</w:t>
      </w:r>
      <w:r>
        <w:rPr>
          <w:spacing w:val="-7"/>
          <w:w w:val="105"/>
          <w:sz w:val="11"/>
        </w:rPr>
        <w:t xml:space="preserve"> </w:t>
      </w:r>
      <w:r>
        <w:rPr>
          <w:w w:val="105"/>
          <w:sz w:val="11"/>
        </w:rPr>
        <w:t>véase</w:t>
      </w:r>
      <w:r>
        <w:rPr>
          <w:spacing w:val="-7"/>
          <w:w w:val="105"/>
          <w:sz w:val="11"/>
        </w:rPr>
        <w:t xml:space="preserve"> </w:t>
      </w:r>
      <w:r>
        <w:rPr>
          <w:w w:val="105"/>
          <w:sz w:val="11"/>
        </w:rPr>
        <w:t>Crowley,</w:t>
      </w:r>
      <w:r>
        <w:rPr>
          <w:spacing w:val="-7"/>
          <w:w w:val="105"/>
          <w:sz w:val="11"/>
        </w:rPr>
        <w:t xml:space="preserve"> </w:t>
      </w:r>
      <w:proofErr w:type="spellStart"/>
      <w:r>
        <w:rPr>
          <w:w w:val="105"/>
          <w:sz w:val="11"/>
        </w:rPr>
        <w:t>Equality</w:t>
      </w:r>
      <w:proofErr w:type="spellEnd"/>
      <w:r>
        <w:rPr>
          <w:spacing w:val="-8"/>
          <w:w w:val="105"/>
          <w:sz w:val="11"/>
        </w:rPr>
        <w:t xml:space="preserve"> </w:t>
      </w:r>
      <w:proofErr w:type="spellStart"/>
      <w:r>
        <w:rPr>
          <w:w w:val="105"/>
          <w:sz w:val="11"/>
        </w:rPr>
        <w:t>Bodies</w:t>
      </w:r>
      <w:proofErr w:type="spellEnd"/>
      <w:r>
        <w:rPr>
          <w:spacing w:val="-7"/>
          <w:w w:val="105"/>
          <w:sz w:val="11"/>
        </w:rPr>
        <w:t xml:space="preserve"> </w:t>
      </w:r>
      <w:proofErr w:type="spellStart"/>
      <w:r>
        <w:rPr>
          <w:w w:val="105"/>
          <w:sz w:val="11"/>
        </w:rPr>
        <w:t>Making</w:t>
      </w:r>
      <w:proofErr w:type="spellEnd"/>
      <w:r>
        <w:rPr>
          <w:spacing w:val="-7"/>
          <w:w w:val="105"/>
          <w:sz w:val="11"/>
        </w:rPr>
        <w:t xml:space="preserve"> </w:t>
      </w:r>
      <w:r>
        <w:rPr>
          <w:w w:val="105"/>
          <w:sz w:val="11"/>
        </w:rPr>
        <w:t>a</w:t>
      </w:r>
      <w:r>
        <w:rPr>
          <w:spacing w:val="-7"/>
          <w:w w:val="105"/>
          <w:sz w:val="11"/>
        </w:rPr>
        <w:t xml:space="preserve"> </w:t>
      </w:r>
      <w:proofErr w:type="spellStart"/>
      <w:r>
        <w:rPr>
          <w:w w:val="105"/>
          <w:sz w:val="11"/>
        </w:rPr>
        <w:t>Difference</w:t>
      </w:r>
      <w:proofErr w:type="spellEnd"/>
      <w:r>
        <w:rPr>
          <w:w w:val="105"/>
          <w:sz w:val="11"/>
        </w:rPr>
        <w:t>,</w:t>
      </w:r>
      <w:r>
        <w:rPr>
          <w:spacing w:val="-7"/>
          <w:w w:val="105"/>
          <w:sz w:val="11"/>
        </w:rPr>
        <w:t xml:space="preserve"> </w:t>
      </w:r>
      <w:r>
        <w:rPr>
          <w:w w:val="105"/>
          <w:sz w:val="11"/>
        </w:rPr>
        <w:t>págs.</w:t>
      </w:r>
      <w:r>
        <w:rPr>
          <w:spacing w:val="-7"/>
          <w:w w:val="105"/>
          <w:sz w:val="11"/>
        </w:rPr>
        <w:t xml:space="preserve"> </w:t>
      </w:r>
      <w:r>
        <w:rPr>
          <w:w w:val="105"/>
          <w:sz w:val="11"/>
        </w:rPr>
        <w:t>45-</w:t>
      </w:r>
      <w:r>
        <w:rPr>
          <w:spacing w:val="-5"/>
          <w:w w:val="105"/>
          <w:sz w:val="11"/>
        </w:rPr>
        <w:t>56.</w:t>
      </w:r>
    </w:p>
    <w:p w14:paraId="0CCC95A9" w14:textId="77777777" w:rsidR="0014798C" w:rsidRDefault="0014798C">
      <w:pPr>
        <w:pStyle w:val="Textoindependiente"/>
        <w:spacing w:before="18"/>
        <w:rPr>
          <w:sz w:val="11"/>
        </w:rPr>
      </w:pPr>
    </w:p>
    <w:p w14:paraId="1F9625ED" w14:textId="77777777" w:rsidR="0014798C" w:rsidRDefault="004E1F0B">
      <w:pPr>
        <w:spacing w:before="1"/>
        <w:ind w:left="1108"/>
        <w:rPr>
          <w:sz w:val="11"/>
        </w:rPr>
      </w:pPr>
      <w:r>
        <w:rPr>
          <w:sz w:val="11"/>
        </w:rPr>
        <w:t>729</w:t>
      </w:r>
      <w:r>
        <w:rPr>
          <w:spacing w:val="1"/>
          <w:sz w:val="11"/>
        </w:rPr>
        <w:t xml:space="preserve"> </w:t>
      </w:r>
      <w:r>
        <w:rPr>
          <w:sz w:val="11"/>
        </w:rPr>
        <w:t>Consejo</w:t>
      </w:r>
      <w:r>
        <w:rPr>
          <w:spacing w:val="1"/>
          <w:sz w:val="11"/>
        </w:rPr>
        <w:t xml:space="preserve"> </w:t>
      </w:r>
      <w:r>
        <w:rPr>
          <w:sz w:val="11"/>
        </w:rPr>
        <w:t>de</w:t>
      </w:r>
      <w:r>
        <w:rPr>
          <w:spacing w:val="2"/>
          <w:sz w:val="11"/>
        </w:rPr>
        <w:t xml:space="preserve"> </w:t>
      </w:r>
      <w:r>
        <w:rPr>
          <w:sz w:val="11"/>
        </w:rPr>
        <w:t>Europa,</w:t>
      </w:r>
      <w:r>
        <w:rPr>
          <w:spacing w:val="1"/>
          <w:sz w:val="11"/>
        </w:rPr>
        <w:t xml:space="preserve"> </w:t>
      </w:r>
      <w:r>
        <w:rPr>
          <w:sz w:val="11"/>
        </w:rPr>
        <w:t>Comisión</w:t>
      </w:r>
      <w:r>
        <w:rPr>
          <w:spacing w:val="2"/>
          <w:sz w:val="11"/>
        </w:rPr>
        <w:t xml:space="preserve"> </w:t>
      </w:r>
      <w:r>
        <w:rPr>
          <w:sz w:val="11"/>
        </w:rPr>
        <w:t>Europea</w:t>
      </w:r>
      <w:r>
        <w:rPr>
          <w:spacing w:val="1"/>
          <w:sz w:val="11"/>
        </w:rPr>
        <w:t xml:space="preserve"> </w:t>
      </w:r>
      <w:r>
        <w:rPr>
          <w:sz w:val="11"/>
        </w:rPr>
        <w:t>contra</w:t>
      </w:r>
      <w:r>
        <w:rPr>
          <w:spacing w:val="1"/>
          <w:sz w:val="11"/>
        </w:rPr>
        <w:t xml:space="preserve"> </w:t>
      </w:r>
      <w:r>
        <w:rPr>
          <w:sz w:val="11"/>
        </w:rPr>
        <w:t>el</w:t>
      </w:r>
      <w:r>
        <w:rPr>
          <w:spacing w:val="2"/>
          <w:sz w:val="11"/>
        </w:rPr>
        <w:t xml:space="preserve"> </w:t>
      </w:r>
      <w:r>
        <w:rPr>
          <w:sz w:val="11"/>
        </w:rPr>
        <w:t>Racismo</w:t>
      </w:r>
      <w:r>
        <w:rPr>
          <w:spacing w:val="1"/>
          <w:sz w:val="11"/>
        </w:rPr>
        <w:t xml:space="preserve"> </w:t>
      </w:r>
      <w:r>
        <w:rPr>
          <w:sz w:val="11"/>
        </w:rPr>
        <w:t>y</w:t>
      </w:r>
      <w:r>
        <w:rPr>
          <w:spacing w:val="2"/>
          <w:sz w:val="11"/>
        </w:rPr>
        <w:t xml:space="preserve"> </w:t>
      </w:r>
      <w:r>
        <w:rPr>
          <w:sz w:val="11"/>
        </w:rPr>
        <w:t>la</w:t>
      </w:r>
      <w:r>
        <w:rPr>
          <w:spacing w:val="1"/>
          <w:sz w:val="11"/>
        </w:rPr>
        <w:t xml:space="preserve"> </w:t>
      </w:r>
      <w:r>
        <w:rPr>
          <w:sz w:val="11"/>
        </w:rPr>
        <w:t>Intolerancia,</w:t>
      </w:r>
      <w:r>
        <w:rPr>
          <w:spacing w:val="2"/>
          <w:sz w:val="11"/>
        </w:rPr>
        <w:t xml:space="preserve"> </w:t>
      </w:r>
      <w:r>
        <w:rPr>
          <w:sz w:val="11"/>
        </w:rPr>
        <w:t>“Recomendación</w:t>
      </w:r>
      <w:r>
        <w:rPr>
          <w:spacing w:val="2"/>
          <w:sz w:val="11"/>
        </w:rPr>
        <w:t xml:space="preserve"> </w:t>
      </w:r>
      <w:r>
        <w:rPr>
          <w:sz w:val="11"/>
        </w:rPr>
        <w:t>de</w:t>
      </w:r>
      <w:r>
        <w:rPr>
          <w:spacing w:val="1"/>
          <w:sz w:val="11"/>
        </w:rPr>
        <w:t xml:space="preserve"> </w:t>
      </w:r>
      <w:r>
        <w:rPr>
          <w:sz w:val="11"/>
        </w:rPr>
        <w:t>política</w:t>
      </w:r>
      <w:r>
        <w:rPr>
          <w:spacing w:val="2"/>
          <w:sz w:val="11"/>
        </w:rPr>
        <w:t xml:space="preserve"> </w:t>
      </w:r>
      <w:r>
        <w:rPr>
          <w:sz w:val="11"/>
        </w:rPr>
        <w:t>general</w:t>
      </w:r>
      <w:r>
        <w:rPr>
          <w:spacing w:val="1"/>
          <w:sz w:val="11"/>
        </w:rPr>
        <w:t xml:space="preserve"> </w:t>
      </w:r>
      <w:r>
        <w:rPr>
          <w:sz w:val="11"/>
        </w:rPr>
        <w:t>No.</w:t>
      </w:r>
      <w:r>
        <w:rPr>
          <w:spacing w:val="1"/>
          <w:sz w:val="11"/>
        </w:rPr>
        <w:t xml:space="preserve"> </w:t>
      </w:r>
      <w:r>
        <w:rPr>
          <w:sz w:val="11"/>
        </w:rPr>
        <w:t>2</w:t>
      </w:r>
      <w:r>
        <w:rPr>
          <w:spacing w:val="2"/>
          <w:sz w:val="11"/>
        </w:rPr>
        <w:t xml:space="preserve"> </w:t>
      </w:r>
      <w:r>
        <w:rPr>
          <w:sz w:val="11"/>
        </w:rPr>
        <w:t>de</w:t>
      </w:r>
      <w:r>
        <w:rPr>
          <w:spacing w:val="1"/>
          <w:sz w:val="11"/>
        </w:rPr>
        <w:t xml:space="preserve"> </w:t>
      </w:r>
      <w:r>
        <w:rPr>
          <w:sz w:val="11"/>
        </w:rPr>
        <w:t>la</w:t>
      </w:r>
      <w:r>
        <w:rPr>
          <w:spacing w:val="2"/>
          <w:sz w:val="11"/>
        </w:rPr>
        <w:t xml:space="preserve"> </w:t>
      </w:r>
      <w:r>
        <w:rPr>
          <w:sz w:val="11"/>
        </w:rPr>
        <w:t>ECRI”,</w:t>
      </w:r>
      <w:r>
        <w:rPr>
          <w:spacing w:val="1"/>
          <w:sz w:val="11"/>
        </w:rPr>
        <w:t xml:space="preserve"> </w:t>
      </w:r>
      <w:proofErr w:type="spellStart"/>
      <w:r>
        <w:rPr>
          <w:sz w:val="11"/>
        </w:rPr>
        <w:t>párrs</w:t>
      </w:r>
      <w:proofErr w:type="spellEnd"/>
      <w:r>
        <w:rPr>
          <w:sz w:val="11"/>
        </w:rPr>
        <w:t>.</w:t>
      </w:r>
      <w:r>
        <w:rPr>
          <w:spacing w:val="1"/>
          <w:sz w:val="11"/>
        </w:rPr>
        <w:t xml:space="preserve"> </w:t>
      </w:r>
      <w:r>
        <w:rPr>
          <w:spacing w:val="-2"/>
          <w:sz w:val="11"/>
        </w:rPr>
        <w:t>23–36.</w:t>
      </w:r>
    </w:p>
    <w:p w14:paraId="5E39AB0B" w14:textId="77777777" w:rsidR="0014798C" w:rsidRDefault="004E1F0B">
      <w:pPr>
        <w:spacing w:before="18"/>
        <w:ind w:left="1370"/>
        <w:rPr>
          <w:sz w:val="11"/>
        </w:rPr>
      </w:pPr>
      <w:r>
        <w:rPr>
          <w:w w:val="105"/>
          <w:sz w:val="11"/>
        </w:rPr>
        <w:t>Véase</w:t>
      </w:r>
      <w:r>
        <w:rPr>
          <w:spacing w:val="-7"/>
          <w:w w:val="105"/>
          <w:sz w:val="11"/>
        </w:rPr>
        <w:t xml:space="preserve"> </w:t>
      </w:r>
      <w:r>
        <w:rPr>
          <w:w w:val="105"/>
          <w:sz w:val="11"/>
        </w:rPr>
        <w:t>también</w:t>
      </w:r>
      <w:r>
        <w:rPr>
          <w:spacing w:val="-7"/>
          <w:w w:val="105"/>
          <w:sz w:val="11"/>
        </w:rPr>
        <w:t xml:space="preserve"> </w:t>
      </w:r>
      <w:r>
        <w:rPr>
          <w:w w:val="105"/>
          <w:sz w:val="11"/>
        </w:rPr>
        <w:t>la</w:t>
      </w:r>
      <w:r>
        <w:rPr>
          <w:spacing w:val="-7"/>
          <w:w w:val="105"/>
          <w:sz w:val="11"/>
        </w:rPr>
        <w:t xml:space="preserve"> </w:t>
      </w:r>
      <w:r>
        <w:rPr>
          <w:w w:val="105"/>
          <w:sz w:val="11"/>
        </w:rPr>
        <w:t>Recomendación</w:t>
      </w:r>
      <w:r>
        <w:rPr>
          <w:spacing w:val="-7"/>
          <w:w w:val="105"/>
          <w:sz w:val="11"/>
        </w:rPr>
        <w:t xml:space="preserve"> </w:t>
      </w:r>
      <w:r>
        <w:rPr>
          <w:w w:val="105"/>
          <w:sz w:val="11"/>
        </w:rPr>
        <w:t>de</w:t>
      </w:r>
      <w:r>
        <w:rPr>
          <w:spacing w:val="-7"/>
          <w:w w:val="105"/>
          <w:sz w:val="11"/>
        </w:rPr>
        <w:t xml:space="preserve"> </w:t>
      </w:r>
      <w:r>
        <w:rPr>
          <w:w w:val="105"/>
          <w:sz w:val="11"/>
        </w:rPr>
        <w:t>la</w:t>
      </w:r>
      <w:r>
        <w:rPr>
          <w:spacing w:val="-7"/>
          <w:w w:val="105"/>
          <w:sz w:val="11"/>
        </w:rPr>
        <w:t xml:space="preserve"> </w:t>
      </w:r>
      <w:r>
        <w:rPr>
          <w:w w:val="105"/>
          <w:sz w:val="11"/>
        </w:rPr>
        <w:t>Comisión</w:t>
      </w:r>
      <w:r>
        <w:rPr>
          <w:spacing w:val="-7"/>
          <w:w w:val="105"/>
          <w:sz w:val="11"/>
        </w:rPr>
        <w:t xml:space="preserve"> </w:t>
      </w:r>
      <w:r>
        <w:rPr>
          <w:w w:val="105"/>
          <w:sz w:val="11"/>
        </w:rPr>
        <w:t>(UE)</w:t>
      </w:r>
      <w:r>
        <w:rPr>
          <w:spacing w:val="-7"/>
          <w:w w:val="105"/>
          <w:sz w:val="11"/>
        </w:rPr>
        <w:t xml:space="preserve"> </w:t>
      </w:r>
      <w:r>
        <w:rPr>
          <w:w w:val="105"/>
          <w:sz w:val="11"/>
        </w:rPr>
        <w:t>2018/951,</w:t>
      </w:r>
      <w:r>
        <w:rPr>
          <w:spacing w:val="-7"/>
          <w:w w:val="105"/>
          <w:sz w:val="11"/>
        </w:rPr>
        <w:t xml:space="preserve"> </w:t>
      </w:r>
      <w:r>
        <w:rPr>
          <w:w w:val="105"/>
          <w:sz w:val="11"/>
        </w:rPr>
        <w:t>de</w:t>
      </w:r>
      <w:r>
        <w:rPr>
          <w:spacing w:val="-7"/>
          <w:w w:val="105"/>
          <w:sz w:val="11"/>
        </w:rPr>
        <w:t xml:space="preserve"> </w:t>
      </w:r>
      <w:r>
        <w:rPr>
          <w:w w:val="105"/>
          <w:sz w:val="11"/>
        </w:rPr>
        <w:t>22</w:t>
      </w:r>
      <w:r>
        <w:rPr>
          <w:spacing w:val="-7"/>
          <w:w w:val="105"/>
          <w:sz w:val="11"/>
        </w:rPr>
        <w:t xml:space="preserve"> </w:t>
      </w:r>
      <w:r>
        <w:rPr>
          <w:w w:val="105"/>
          <w:sz w:val="11"/>
        </w:rPr>
        <w:t>de</w:t>
      </w:r>
      <w:r>
        <w:rPr>
          <w:spacing w:val="-7"/>
          <w:w w:val="105"/>
          <w:sz w:val="11"/>
        </w:rPr>
        <w:t xml:space="preserve"> </w:t>
      </w:r>
      <w:r>
        <w:rPr>
          <w:w w:val="105"/>
          <w:sz w:val="11"/>
        </w:rPr>
        <w:t>junio</w:t>
      </w:r>
      <w:r>
        <w:rPr>
          <w:spacing w:val="-7"/>
          <w:w w:val="105"/>
          <w:sz w:val="11"/>
        </w:rPr>
        <w:t xml:space="preserve"> </w:t>
      </w:r>
      <w:r>
        <w:rPr>
          <w:w w:val="105"/>
          <w:sz w:val="11"/>
        </w:rPr>
        <w:t>de</w:t>
      </w:r>
      <w:r>
        <w:rPr>
          <w:spacing w:val="-7"/>
          <w:w w:val="105"/>
          <w:sz w:val="11"/>
        </w:rPr>
        <w:t xml:space="preserve"> </w:t>
      </w:r>
      <w:r>
        <w:rPr>
          <w:w w:val="105"/>
          <w:sz w:val="11"/>
        </w:rPr>
        <w:t>2018,</w:t>
      </w:r>
      <w:r>
        <w:rPr>
          <w:spacing w:val="-7"/>
          <w:w w:val="105"/>
          <w:sz w:val="11"/>
        </w:rPr>
        <w:t xml:space="preserve"> </w:t>
      </w:r>
      <w:r>
        <w:rPr>
          <w:w w:val="105"/>
          <w:sz w:val="11"/>
        </w:rPr>
        <w:t>sobre</w:t>
      </w:r>
      <w:r>
        <w:rPr>
          <w:spacing w:val="-7"/>
          <w:w w:val="105"/>
          <w:sz w:val="11"/>
        </w:rPr>
        <w:t xml:space="preserve"> </w:t>
      </w:r>
      <w:r>
        <w:rPr>
          <w:w w:val="105"/>
          <w:sz w:val="11"/>
        </w:rPr>
        <w:t>normas</w:t>
      </w:r>
      <w:r>
        <w:rPr>
          <w:spacing w:val="-7"/>
          <w:w w:val="105"/>
          <w:sz w:val="11"/>
        </w:rPr>
        <w:t xml:space="preserve"> </w:t>
      </w:r>
      <w:r>
        <w:rPr>
          <w:w w:val="105"/>
          <w:sz w:val="11"/>
        </w:rPr>
        <w:t>para</w:t>
      </w:r>
      <w:r>
        <w:rPr>
          <w:spacing w:val="-7"/>
          <w:w w:val="105"/>
          <w:sz w:val="11"/>
        </w:rPr>
        <w:t xml:space="preserve"> </w:t>
      </w:r>
      <w:r>
        <w:rPr>
          <w:w w:val="105"/>
          <w:sz w:val="11"/>
        </w:rPr>
        <w:t>los</w:t>
      </w:r>
      <w:r>
        <w:rPr>
          <w:spacing w:val="-7"/>
          <w:w w:val="105"/>
          <w:sz w:val="11"/>
        </w:rPr>
        <w:t xml:space="preserve"> </w:t>
      </w:r>
      <w:r>
        <w:rPr>
          <w:w w:val="105"/>
          <w:sz w:val="11"/>
        </w:rPr>
        <w:t>organismos</w:t>
      </w:r>
      <w:r>
        <w:rPr>
          <w:spacing w:val="-7"/>
          <w:w w:val="105"/>
          <w:sz w:val="11"/>
        </w:rPr>
        <w:t xml:space="preserve"> </w:t>
      </w:r>
      <w:r>
        <w:rPr>
          <w:w w:val="105"/>
          <w:sz w:val="11"/>
        </w:rPr>
        <w:t>de</w:t>
      </w:r>
      <w:r>
        <w:rPr>
          <w:spacing w:val="-7"/>
          <w:w w:val="105"/>
          <w:sz w:val="11"/>
        </w:rPr>
        <w:t xml:space="preserve"> </w:t>
      </w:r>
      <w:r>
        <w:rPr>
          <w:w w:val="105"/>
          <w:sz w:val="11"/>
        </w:rPr>
        <w:t>igualdad,</w:t>
      </w:r>
      <w:r>
        <w:rPr>
          <w:spacing w:val="-7"/>
          <w:w w:val="105"/>
          <w:sz w:val="11"/>
        </w:rPr>
        <w:t xml:space="preserve"> </w:t>
      </w:r>
      <w:r>
        <w:rPr>
          <w:w w:val="105"/>
          <w:sz w:val="11"/>
        </w:rPr>
        <w:t>recomendación</w:t>
      </w:r>
      <w:r>
        <w:rPr>
          <w:spacing w:val="-7"/>
          <w:w w:val="105"/>
          <w:sz w:val="11"/>
        </w:rPr>
        <w:t xml:space="preserve"> </w:t>
      </w:r>
      <w:r>
        <w:rPr>
          <w:spacing w:val="-2"/>
          <w:w w:val="105"/>
          <w:sz w:val="11"/>
        </w:rPr>
        <w:t>1.2.1.</w:t>
      </w:r>
    </w:p>
    <w:p w14:paraId="6563BCCE" w14:textId="77777777" w:rsidR="0014798C" w:rsidRDefault="004E1F0B">
      <w:pPr>
        <w:spacing w:before="54" w:line="340" w:lineRule="auto"/>
        <w:ind w:left="1369" w:right="1463"/>
        <w:rPr>
          <w:sz w:val="11"/>
        </w:rPr>
      </w:pPr>
      <w:r>
        <w:rPr>
          <w:w w:val="105"/>
          <w:sz w:val="11"/>
        </w:rPr>
        <w:t>Además</w:t>
      </w:r>
      <w:r>
        <w:rPr>
          <w:spacing w:val="-4"/>
          <w:w w:val="105"/>
          <w:sz w:val="11"/>
        </w:rPr>
        <w:t xml:space="preserve"> </w:t>
      </w:r>
      <w:r>
        <w:rPr>
          <w:w w:val="105"/>
          <w:sz w:val="11"/>
        </w:rPr>
        <w:t>de</w:t>
      </w:r>
      <w:r>
        <w:rPr>
          <w:spacing w:val="-4"/>
          <w:w w:val="105"/>
          <w:sz w:val="11"/>
        </w:rPr>
        <w:t xml:space="preserve"> </w:t>
      </w:r>
      <w:r>
        <w:rPr>
          <w:w w:val="105"/>
          <w:sz w:val="11"/>
        </w:rPr>
        <w:t>esta</w:t>
      </w:r>
      <w:r>
        <w:rPr>
          <w:spacing w:val="-4"/>
          <w:w w:val="105"/>
          <w:sz w:val="11"/>
        </w:rPr>
        <w:t xml:space="preserve"> </w:t>
      </w:r>
      <w:r>
        <w:rPr>
          <w:w w:val="105"/>
          <w:sz w:val="11"/>
        </w:rPr>
        <w:t>lista,</w:t>
      </w:r>
      <w:r>
        <w:rPr>
          <w:spacing w:val="-4"/>
          <w:w w:val="105"/>
          <w:sz w:val="11"/>
        </w:rPr>
        <w:t xml:space="preserve"> </w:t>
      </w:r>
      <w:r>
        <w:rPr>
          <w:w w:val="105"/>
          <w:sz w:val="11"/>
        </w:rPr>
        <w:t>la</w:t>
      </w:r>
      <w:r>
        <w:rPr>
          <w:spacing w:val="-4"/>
          <w:w w:val="105"/>
          <w:sz w:val="11"/>
        </w:rPr>
        <w:t xml:space="preserve"> </w:t>
      </w:r>
      <w:r>
        <w:rPr>
          <w:w w:val="105"/>
          <w:sz w:val="11"/>
        </w:rPr>
        <w:t>recomendación</w:t>
      </w:r>
      <w:r>
        <w:rPr>
          <w:spacing w:val="-4"/>
          <w:w w:val="105"/>
          <w:sz w:val="11"/>
        </w:rPr>
        <w:t xml:space="preserve"> </w:t>
      </w:r>
      <w:r>
        <w:rPr>
          <w:w w:val="105"/>
          <w:sz w:val="11"/>
        </w:rPr>
        <w:t>1.2.1</w:t>
      </w:r>
      <w:r>
        <w:rPr>
          <w:spacing w:val="-4"/>
          <w:w w:val="105"/>
          <w:sz w:val="11"/>
        </w:rPr>
        <w:t xml:space="preserve"> </w:t>
      </w:r>
      <w:r>
        <w:rPr>
          <w:w w:val="105"/>
          <w:sz w:val="11"/>
        </w:rPr>
        <w:t>(2)</w:t>
      </w:r>
      <w:r>
        <w:rPr>
          <w:spacing w:val="-4"/>
          <w:w w:val="105"/>
          <w:sz w:val="11"/>
        </w:rPr>
        <w:t xml:space="preserve"> </w:t>
      </w:r>
      <w:r>
        <w:rPr>
          <w:w w:val="105"/>
          <w:sz w:val="11"/>
        </w:rPr>
        <w:t>insta</w:t>
      </w:r>
      <w:r>
        <w:rPr>
          <w:spacing w:val="-4"/>
          <w:w w:val="105"/>
          <w:sz w:val="11"/>
        </w:rPr>
        <w:t xml:space="preserve"> </w:t>
      </w:r>
      <w:r>
        <w:rPr>
          <w:w w:val="105"/>
          <w:sz w:val="11"/>
        </w:rPr>
        <w:t>a</w:t>
      </w:r>
      <w:r>
        <w:rPr>
          <w:spacing w:val="-4"/>
          <w:w w:val="105"/>
          <w:sz w:val="11"/>
        </w:rPr>
        <w:t xml:space="preserve"> </w:t>
      </w:r>
      <w:r>
        <w:rPr>
          <w:w w:val="105"/>
          <w:sz w:val="11"/>
        </w:rPr>
        <w:t>los</w:t>
      </w:r>
      <w:r>
        <w:rPr>
          <w:spacing w:val="-4"/>
          <w:w w:val="105"/>
          <w:sz w:val="11"/>
        </w:rPr>
        <w:t xml:space="preserve"> </w:t>
      </w:r>
      <w:r>
        <w:rPr>
          <w:w w:val="105"/>
          <w:sz w:val="11"/>
        </w:rPr>
        <w:t>Estados</w:t>
      </w:r>
      <w:r>
        <w:rPr>
          <w:spacing w:val="-5"/>
          <w:w w:val="105"/>
          <w:sz w:val="11"/>
        </w:rPr>
        <w:t xml:space="preserve"> </w:t>
      </w:r>
      <w:r>
        <w:rPr>
          <w:w w:val="105"/>
          <w:sz w:val="11"/>
        </w:rPr>
        <w:t>a</w:t>
      </w:r>
      <w:r>
        <w:rPr>
          <w:spacing w:val="-4"/>
          <w:w w:val="105"/>
          <w:sz w:val="11"/>
        </w:rPr>
        <w:t xml:space="preserve"> </w:t>
      </w:r>
      <w:r>
        <w:rPr>
          <w:w w:val="105"/>
          <w:sz w:val="11"/>
        </w:rPr>
        <w:t>adoptar</w:t>
      </w:r>
      <w:r>
        <w:rPr>
          <w:spacing w:val="-4"/>
          <w:w w:val="105"/>
          <w:sz w:val="11"/>
        </w:rPr>
        <w:t xml:space="preserve"> </w:t>
      </w:r>
      <w:r>
        <w:rPr>
          <w:w w:val="105"/>
          <w:sz w:val="11"/>
        </w:rPr>
        <w:t>medidas</w:t>
      </w:r>
      <w:r>
        <w:rPr>
          <w:spacing w:val="-4"/>
          <w:w w:val="105"/>
          <w:sz w:val="11"/>
        </w:rPr>
        <w:t xml:space="preserve"> </w:t>
      </w:r>
      <w:r>
        <w:rPr>
          <w:w w:val="105"/>
          <w:sz w:val="11"/>
        </w:rPr>
        <w:t>destinadas</w:t>
      </w:r>
      <w:r>
        <w:rPr>
          <w:spacing w:val="-4"/>
          <w:w w:val="105"/>
          <w:sz w:val="11"/>
        </w:rPr>
        <w:t xml:space="preserve"> </w:t>
      </w:r>
      <w:r>
        <w:rPr>
          <w:w w:val="105"/>
          <w:sz w:val="11"/>
        </w:rPr>
        <w:t>a</w:t>
      </w:r>
      <w:r>
        <w:rPr>
          <w:spacing w:val="-4"/>
          <w:w w:val="105"/>
          <w:sz w:val="11"/>
        </w:rPr>
        <w:t xml:space="preserve"> </w:t>
      </w:r>
      <w:r>
        <w:rPr>
          <w:w w:val="105"/>
          <w:sz w:val="11"/>
        </w:rPr>
        <w:t>prevenir</w:t>
      </w:r>
      <w:r>
        <w:rPr>
          <w:spacing w:val="-4"/>
          <w:w w:val="105"/>
          <w:sz w:val="11"/>
        </w:rPr>
        <w:t xml:space="preserve"> </w:t>
      </w:r>
      <w:r>
        <w:rPr>
          <w:w w:val="105"/>
          <w:sz w:val="11"/>
        </w:rPr>
        <w:t>cualquier</w:t>
      </w:r>
      <w:r>
        <w:rPr>
          <w:spacing w:val="-4"/>
          <w:w w:val="105"/>
          <w:sz w:val="11"/>
        </w:rPr>
        <w:t xml:space="preserve"> </w:t>
      </w:r>
      <w:r>
        <w:rPr>
          <w:w w:val="105"/>
          <w:sz w:val="11"/>
        </w:rPr>
        <w:t>conflicto</w:t>
      </w:r>
      <w:r>
        <w:rPr>
          <w:spacing w:val="-4"/>
          <w:w w:val="105"/>
          <w:sz w:val="11"/>
        </w:rPr>
        <w:t xml:space="preserve"> </w:t>
      </w:r>
      <w:r>
        <w:rPr>
          <w:w w:val="105"/>
          <w:sz w:val="11"/>
        </w:rPr>
        <w:t>de</w:t>
      </w:r>
      <w:r>
        <w:rPr>
          <w:spacing w:val="-4"/>
          <w:w w:val="105"/>
          <w:sz w:val="11"/>
        </w:rPr>
        <w:t xml:space="preserve"> </w:t>
      </w:r>
      <w:r>
        <w:rPr>
          <w:w w:val="105"/>
          <w:sz w:val="11"/>
        </w:rPr>
        <w:t>intereses</w:t>
      </w:r>
      <w:r>
        <w:rPr>
          <w:spacing w:val="-4"/>
          <w:w w:val="105"/>
          <w:sz w:val="11"/>
        </w:rPr>
        <w:t xml:space="preserve"> </w:t>
      </w:r>
      <w:r>
        <w:rPr>
          <w:w w:val="105"/>
          <w:sz w:val="11"/>
        </w:rPr>
        <w:t>que</w:t>
      </w:r>
      <w:r>
        <w:rPr>
          <w:spacing w:val="-4"/>
          <w:w w:val="105"/>
          <w:sz w:val="11"/>
        </w:rPr>
        <w:t xml:space="preserve"> </w:t>
      </w:r>
      <w:r>
        <w:rPr>
          <w:w w:val="105"/>
          <w:sz w:val="11"/>
        </w:rPr>
        <w:t>involucre</w:t>
      </w:r>
      <w:r>
        <w:rPr>
          <w:spacing w:val="-4"/>
          <w:w w:val="105"/>
          <w:sz w:val="11"/>
        </w:rPr>
        <w:t xml:space="preserve"> </w:t>
      </w:r>
      <w:r>
        <w:rPr>
          <w:w w:val="105"/>
          <w:sz w:val="11"/>
        </w:rPr>
        <w:t>al</w:t>
      </w:r>
      <w:r>
        <w:rPr>
          <w:spacing w:val="-4"/>
          <w:w w:val="105"/>
          <w:sz w:val="11"/>
        </w:rPr>
        <w:t xml:space="preserve"> </w:t>
      </w:r>
      <w:r>
        <w:rPr>
          <w:w w:val="105"/>
          <w:sz w:val="11"/>
        </w:rPr>
        <w:t>personal,</w:t>
      </w:r>
      <w:r>
        <w:rPr>
          <w:spacing w:val="-4"/>
          <w:w w:val="105"/>
          <w:sz w:val="11"/>
        </w:rPr>
        <w:t xml:space="preserve"> </w:t>
      </w:r>
      <w:r>
        <w:rPr>
          <w:w w:val="105"/>
          <w:sz w:val="11"/>
        </w:rPr>
        <w:t>los</w:t>
      </w:r>
      <w:r>
        <w:rPr>
          <w:spacing w:val="40"/>
          <w:w w:val="105"/>
          <w:sz w:val="11"/>
        </w:rPr>
        <w:t xml:space="preserve"> </w:t>
      </w:r>
      <w:r>
        <w:rPr>
          <w:w w:val="105"/>
          <w:sz w:val="11"/>
        </w:rPr>
        <w:t>líderes o los miembros de la junta directiva de los organismos de igualdad.</w:t>
      </w:r>
    </w:p>
    <w:p w14:paraId="3E4F15AF" w14:textId="77777777" w:rsidR="0014798C" w:rsidRDefault="0014798C">
      <w:pPr>
        <w:spacing w:line="340" w:lineRule="auto"/>
        <w:rPr>
          <w:sz w:val="11"/>
        </w:rPr>
        <w:sectPr w:rsidR="0014798C" w:rsidSect="00F265E4">
          <w:type w:val="continuous"/>
          <w:pgSz w:w="11900" w:h="16820"/>
          <w:pgMar w:top="40" w:right="0" w:bottom="280" w:left="200" w:header="121" w:footer="0" w:gutter="0"/>
          <w:cols w:space="720"/>
        </w:sectPr>
      </w:pPr>
    </w:p>
    <w:p w14:paraId="7AFFB529" w14:textId="77777777" w:rsidR="0014798C" w:rsidRPr="00537489" w:rsidRDefault="004E1F0B">
      <w:pPr>
        <w:spacing w:before="37"/>
        <w:jc w:val="right"/>
        <w:rPr>
          <w:sz w:val="8"/>
          <w:lang w:val="en-US"/>
        </w:rPr>
      </w:pPr>
      <w:r w:rsidRPr="00537489">
        <w:rPr>
          <w:spacing w:val="-5"/>
          <w:w w:val="105"/>
          <w:sz w:val="8"/>
          <w:lang w:val="en-US"/>
        </w:rPr>
        <w:t>730</w:t>
      </w:r>
    </w:p>
    <w:p w14:paraId="3ED5D6E3" w14:textId="77777777" w:rsidR="0014798C" w:rsidRDefault="004E1F0B">
      <w:pPr>
        <w:spacing w:before="57"/>
        <w:ind w:left="80"/>
        <w:rPr>
          <w:sz w:val="11"/>
        </w:rPr>
      </w:pPr>
      <w:r w:rsidRPr="00537489">
        <w:rPr>
          <w:lang w:val="en-US"/>
        </w:rPr>
        <w:br w:type="column"/>
      </w:r>
      <w:proofErr w:type="spellStart"/>
      <w:r w:rsidRPr="00537489">
        <w:rPr>
          <w:spacing w:val="-2"/>
          <w:w w:val="105"/>
          <w:sz w:val="11"/>
          <w:lang w:val="en-US"/>
        </w:rPr>
        <w:t>Véase</w:t>
      </w:r>
      <w:proofErr w:type="spellEnd"/>
      <w:r w:rsidRPr="00537489">
        <w:rPr>
          <w:spacing w:val="-2"/>
          <w:w w:val="105"/>
          <w:sz w:val="11"/>
          <w:lang w:val="en-US"/>
        </w:rPr>
        <w:t>,</w:t>
      </w:r>
      <w:r w:rsidRPr="00537489">
        <w:rPr>
          <w:spacing w:val="4"/>
          <w:w w:val="105"/>
          <w:sz w:val="11"/>
          <w:lang w:val="en-US"/>
        </w:rPr>
        <w:t xml:space="preserve"> </w:t>
      </w:r>
      <w:r w:rsidRPr="00537489">
        <w:rPr>
          <w:spacing w:val="-2"/>
          <w:w w:val="105"/>
          <w:sz w:val="11"/>
          <w:lang w:val="en-US"/>
        </w:rPr>
        <w:t>por</w:t>
      </w:r>
      <w:r w:rsidRPr="00537489">
        <w:rPr>
          <w:spacing w:val="5"/>
          <w:w w:val="105"/>
          <w:sz w:val="11"/>
          <w:lang w:val="en-US"/>
        </w:rPr>
        <w:t xml:space="preserve"> </w:t>
      </w:r>
      <w:proofErr w:type="spellStart"/>
      <w:r w:rsidRPr="00537489">
        <w:rPr>
          <w:spacing w:val="-2"/>
          <w:w w:val="105"/>
          <w:sz w:val="11"/>
          <w:lang w:val="en-US"/>
        </w:rPr>
        <w:t>ejemplo</w:t>
      </w:r>
      <w:proofErr w:type="spellEnd"/>
      <w:r w:rsidRPr="00537489">
        <w:rPr>
          <w:spacing w:val="-2"/>
          <w:w w:val="105"/>
          <w:sz w:val="11"/>
          <w:lang w:val="en-US"/>
        </w:rPr>
        <w:t>,</w:t>
      </w:r>
      <w:r w:rsidRPr="00537489">
        <w:rPr>
          <w:spacing w:val="5"/>
          <w:w w:val="105"/>
          <w:sz w:val="11"/>
          <w:lang w:val="en-US"/>
        </w:rPr>
        <w:t xml:space="preserve"> </w:t>
      </w:r>
      <w:r w:rsidRPr="00537489">
        <w:rPr>
          <w:spacing w:val="-2"/>
          <w:w w:val="105"/>
          <w:sz w:val="11"/>
          <w:lang w:val="en-US"/>
        </w:rPr>
        <w:t>Crowley,</w:t>
      </w:r>
      <w:r w:rsidRPr="00537489">
        <w:rPr>
          <w:spacing w:val="5"/>
          <w:w w:val="105"/>
          <w:sz w:val="11"/>
          <w:lang w:val="en-US"/>
        </w:rPr>
        <w:t xml:space="preserve"> </w:t>
      </w:r>
      <w:r w:rsidRPr="00537489">
        <w:rPr>
          <w:spacing w:val="-2"/>
          <w:w w:val="105"/>
          <w:sz w:val="11"/>
          <w:lang w:val="en-US"/>
        </w:rPr>
        <w:t>Equality</w:t>
      </w:r>
      <w:r w:rsidRPr="00537489">
        <w:rPr>
          <w:spacing w:val="4"/>
          <w:w w:val="105"/>
          <w:sz w:val="11"/>
          <w:lang w:val="en-US"/>
        </w:rPr>
        <w:t xml:space="preserve"> </w:t>
      </w:r>
      <w:r w:rsidRPr="00537489">
        <w:rPr>
          <w:spacing w:val="-2"/>
          <w:w w:val="105"/>
          <w:sz w:val="11"/>
          <w:lang w:val="en-US"/>
        </w:rPr>
        <w:t>Bodies</w:t>
      </w:r>
      <w:r w:rsidRPr="00537489">
        <w:rPr>
          <w:spacing w:val="5"/>
          <w:w w:val="105"/>
          <w:sz w:val="11"/>
          <w:lang w:val="en-US"/>
        </w:rPr>
        <w:t xml:space="preserve"> </w:t>
      </w:r>
      <w:r w:rsidRPr="00537489">
        <w:rPr>
          <w:spacing w:val="-2"/>
          <w:w w:val="105"/>
          <w:sz w:val="11"/>
          <w:lang w:val="en-US"/>
        </w:rPr>
        <w:t>Making</w:t>
      </w:r>
      <w:r w:rsidRPr="00537489">
        <w:rPr>
          <w:spacing w:val="5"/>
          <w:w w:val="105"/>
          <w:sz w:val="11"/>
          <w:lang w:val="en-US"/>
        </w:rPr>
        <w:t xml:space="preserve"> </w:t>
      </w:r>
      <w:r w:rsidRPr="00537489">
        <w:rPr>
          <w:spacing w:val="-2"/>
          <w:w w:val="105"/>
          <w:sz w:val="11"/>
          <w:lang w:val="en-US"/>
        </w:rPr>
        <w:t>a</w:t>
      </w:r>
      <w:r w:rsidRPr="00537489">
        <w:rPr>
          <w:spacing w:val="5"/>
          <w:w w:val="105"/>
          <w:sz w:val="11"/>
          <w:lang w:val="en-US"/>
        </w:rPr>
        <w:t xml:space="preserve"> </w:t>
      </w:r>
      <w:r w:rsidRPr="00537489">
        <w:rPr>
          <w:spacing w:val="-2"/>
          <w:w w:val="105"/>
          <w:sz w:val="11"/>
          <w:lang w:val="en-US"/>
        </w:rPr>
        <w:t>Difference,</w:t>
      </w:r>
      <w:r w:rsidRPr="00537489">
        <w:rPr>
          <w:spacing w:val="5"/>
          <w:w w:val="105"/>
          <w:sz w:val="11"/>
          <w:lang w:val="en-US"/>
        </w:rPr>
        <w:t xml:space="preserve"> </w:t>
      </w:r>
      <w:proofErr w:type="spellStart"/>
      <w:r w:rsidRPr="00537489">
        <w:rPr>
          <w:spacing w:val="-2"/>
          <w:w w:val="105"/>
          <w:sz w:val="11"/>
          <w:lang w:val="en-US"/>
        </w:rPr>
        <w:t>págs</w:t>
      </w:r>
      <w:proofErr w:type="spellEnd"/>
      <w:r w:rsidRPr="00537489">
        <w:rPr>
          <w:spacing w:val="-2"/>
          <w:w w:val="105"/>
          <w:sz w:val="11"/>
          <w:lang w:val="en-US"/>
        </w:rPr>
        <w:t>.</w:t>
      </w:r>
      <w:r w:rsidRPr="00537489">
        <w:rPr>
          <w:spacing w:val="5"/>
          <w:w w:val="105"/>
          <w:sz w:val="11"/>
          <w:lang w:val="en-US"/>
        </w:rPr>
        <w:t xml:space="preserve"> </w:t>
      </w:r>
      <w:r>
        <w:rPr>
          <w:spacing w:val="-2"/>
          <w:w w:val="105"/>
          <w:sz w:val="11"/>
        </w:rPr>
        <w:t>89-</w:t>
      </w:r>
      <w:r>
        <w:rPr>
          <w:spacing w:val="-4"/>
          <w:w w:val="105"/>
          <w:sz w:val="11"/>
        </w:rPr>
        <w:t>101.</w:t>
      </w:r>
    </w:p>
    <w:p w14:paraId="2CA19902" w14:textId="77777777" w:rsidR="0014798C" w:rsidRDefault="0014798C">
      <w:pPr>
        <w:rPr>
          <w:sz w:val="11"/>
        </w:rPr>
        <w:sectPr w:rsidR="0014798C" w:rsidSect="00F265E4">
          <w:type w:val="continuous"/>
          <w:pgSz w:w="11900" w:h="16820"/>
          <w:pgMar w:top="40" w:right="0" w:bottom="280" w:left="200" w:header="121" w:footer="0" w:gutter="0"/>
          <w:cols w:num="2" w:space="720" w:equalWidth="0">
            <w:col w:w="1250" w:space="40"/>
            <w:col w:w="10410"/>
          </w:cols>
        </w:sectPr>
      </w:pPr>
    </w:p>
    <w:p w14:paraId="4E77B3B3" w14:textId="77777777" w:rsidR="0014798C" w:rsidRDefault="0014798C">
      <w:pPr>
        <w:pStyle w:val="Textoindependiente"/>
        <w:spacing w:before="18"/>
        <w:rPr>
          <w:sz w:val="11"/>
        </w:rPr>
      </w:pPr>
    </w:p>
    <w:p w14:paraId="6135A8ED" w14:textId="77777777" w:rsidR="0014798C" w:rsidRDefault="004E1F0B">
      <w:pPr>
        <w:ind w:left="1108"/>
        <w:rPr>
          <w:sz w:val="11"/>
        </w:rPr>
      </w:pPr>
      <w:r>
        <w:rPr>
          <w:sz w:val="11"/>
        </w:rPr>
        <w:t>731</w:t>
      </w:r>
      <w:r>
        <w:rPr>
          <w:spacing w:val="2"/>
          <w:sz w:val="11"/>
        </w:rPr>
        <w:t xml:space="preserve"> </w:t>
      </w:r>
      <w:r>
        <w:rPr>
          <w:sz w:val="11"/>
        </w:rPr>
        <w:t>Comité</w:t>
      </w:r>
      <w:r>
        <w:rPr>
          <w:spacing w:val="3"/>
          <w:sz w:val="11"/>
        </w:rPr>
        <w:t xml:space="preserve"> </w:t>
      </w:r>
      <w:r>
        <w:rPr>
          <w:sz w:val="11"/>
        </w:rPr>
        <w:t>sobre</w:t>
      </w:r>
      <w:r>
        <w:rPr>
          <w:spacing w:val="2"/>
          <w:sz w:val="11"/>
        </w:rPr>
        <w:t xml:space="preserve"> </w:t>
      </w:r>
      <w:r>
        <w:rPr>
          <w:sz w:val="11"/>
        </w:rPr>
        <w:t>los</w:t>
      </w:r>
      <w:r>
        <w:rPr>
          <w:spacing w:val="3"/>
          <w:sz w:val="11"/>
        </w:rPr>
        <w:t xml:space="preserve"> </w:t>
      </w:r>
      <w:r>
        <w:rPr>
          <w:sz w:val="11"/>
        </w:rPr>
        <w:t>Derechos</w:t>
      </w:r>
      <w:r>
        <w:rPr>
          <w:spacing w:val="2"/>
          <w:sz w:val="11"/>
        </w:rPr>
        <w:t xml:space="preserve"> </w:t>
      </w:r>
      <w:r>
        <w:rPr>
          <w:sz w:val="11"/>
        </w:rPr>
        <w:t>de</w:t>
      </w:r>
      <w:r>
        <w:rPr>
          <w:spacing w:val="3"/>
          <w:sz w:val="11"/>
        </w:rPr>
        <w:t xml:space="preserve"> </w:t>
      </w:r>
      <w:r>
        <w:rPr>
          <w:sz w:val="11"/>
        </w:rPr>
        <w:t>las</w:t>
      </w:r>
      <w:r>
        <w:rPr>
          <w:spacing w:val="2"/>
          <w:sz w:val="11"/>
        </w:rPr>
        <w:t xml:space="preserve"> </w:t>
      </w:r>
      <w:r>
        <w:rPr>
          <w:sz w:val="11"/>
        </w:rPr>
        <w:t>Personas</w:t>
      </w:r>
      <w:r>
        <w:rPr>
          <w:spacing w:val="3"/>
          <w:sz w:val="11"/>
        </w:rPr>
        <w:t xml:space="preserve"> </w:t>
      </w:r>
      <w:r>
        <w:rPr>
          <w:sz w:val="11"/>
        </w:rPr>
        <w:t>con</w:t>
      </w:r>
      <w:r>
        <w:rPr>
          <w:spacing w:val="3"/>
          <w:sz w:val="11"/>
        </w:rPr>
        <w:t xml:space="preserve"> </w:t>
      </w:r>
      <w:r>
        <w:rPr>
          <w:sz w:val="11"/>
        </w:rPr>
        <w:t>Discapacidad,</w:t>
      </w:r>
      <w:r>
        <w:rPr>
          <w:spacing w:val="3"/>
          <w:sz w:val="11"/>
        </w:rPr>
        <w:t xml:space="preserve"> </w:t>
      </w:r>
      <w:r>
        <w:rPr>
          <w:sz w:val="11"/>
        </w:rPr>
        <w:t>observación</w:t>
      </w:r>
      <w:r>
        <w:rPr>
          <w:spacing w:val="3"/>
          <w:sz w:val="11"/>
        </w:rPr>
        <w:t xml:space="preserve"> </w:t>
      </w:r>
      <w:r>
        <w:rPr>
          <w:sz w:val="11"/>
        </w:rPr>
        <w:t>general</w:t>
      </w:r>
      <w:r>
        <w:rPr>
          <w:spacing w:val="2"/>
          <w:sz w:val="11"/>
        </w:rPr>
        <w:t xml:space="preserve"> </w:t>
      </w:r>
      <w:r>
        <w:rPr>
          <w:sz w:val="11"/>
        </w:rPr>
        <w:t>núm.</w:t>
      </w:r>
      <w:r>
        <w:rPr>
          <w:spacing w:val="3"/>
          <w:sz w:val="11"/>
        </w:rPr>
        <w:t xml:space="preserve"> </w:t>
      </w:r>
      <w:r>
        <w:rPr>
          <w:sz w:val="11"/>
        </w:rPr>
        <w:t>6</w:t>
      </w:r>
      <w:r>
        <w:rPr>
          <w:spacing w:val="2"/>
          <w:sz w:val="11"/>
        </w:rPr>
        <w:t xml:space="preserve"> </w:t>
      </w:r>
      <w:r>
        <w:rPr>
          <w:sz w:val="11"/>
        </w:rPr>
        <w:t>(2018),</w:t>
      </w:r>
      <w:r>
        <w:rPr>
          <w:spacing w:val="3"/>
          <w:sz w:val="11"/>
        </w:rPr>
        <w:t xml:space="preserve"> </w:t>
      </w:r>
      <w:r>
        <w:rPr>
          <w:sz w:val="11"/>
        </w:rPr>
        <w:t>párr.</w:t>
      </w:r>
      <w:r>
        <w:rPr>
          <w:spacing w:val="3"/>
          <w:sz w:val="11"/>
        </w:rPr>
        <w:t xml:space="preserve"> </w:t>
      </w:r>
      <w:r>
        <w:rPr>
          <w:sz w:val="11"/>
        </w:rPr>
        <w:t>73</w:t>
      </w:r>
      <w:r>
        <w:rPr>
          <w:spacing w:val="2"/>
          <w:sz w:val="11"/>
        </w:rPr>
        <w:t xml:space="preserve"> </w:t>
      </w:r>
      <w:r>
        <w:rPr>
          <w:spacing w:val="-4"/>
          <w:sz w:val="11"/>
        </w:rPr>
        <w:t>(m).</w:t>
      </w:r>
    </w:p>
    <w:p w14:paraId="629E7033" w14:textId="77777777" w:rsidR="0014798C" w:rsidRDefault="004E1F0B">
      <w:pPr>
        <w:spacing w:before="110"/>
        <w:ind w:left="1108"/>
        <w:rPr>
          <w:sz w:val="11"/>
        </w:rPr>
      </w:pPr>
      <w:r>
        <w:rPr>
          <w:sz w:val="11"/>
        </w:rPr>
        <w:t>732</w:t>
      </w:r>
      <w:r>
        <w:rPr>
          <w:spacing w:val="2"/>
          <w:sz w:val="11"/>
        </w:rPr>
        <w:t xml:space="preserve"> </w:t>
      </w:r>
      <w:r>
        <w:rPr>
          <w:sz w:val="11"/>
        </w:rPr>
        <w:t>Directrices</w:t>
      </w:r>
      <w:r>
        <w:rPr>
          <w:spacing w:val="3"/>
          <w:sz w:val="11"/>
        </w:rPr>
        <w:t xml:space="preserve"> </w:t>
      </w:r>
      <w:r>
        <w:rPr>
          <w:sz w:val="11"/>
        </w:rPr>
        <w:t>sobre</w:t>
      </w:r>
      <w:r>
        <w:rPr>
          <w:spacing w:val="3"/>
          <w:sz w:val="11"/>
        </w:rPr>
        <w:t xml:space="preserve"> </w:t>
      </w:r>
      <w:r>
        <w:rPr>
          <w:sz w:val="11"/>
        </w:rPr>
        <w:t>marcos</w:t>
      </w:r>
      <w:r>
        <w:rPr>
          <w:spacing w:val="3"/>
          <w:sz w:val="11"/>
        </w:rPr>
        <w:t xml:space="preserve"> </w:t>
      </w:r>
      <w:r>
        <w:rPr>
          <w:sz w:val="11"/>
        </w:rPr>
        <w:t>de</w:t>
      </w:r>
      <w:r>
        <w:rPr>
          <w:spacing w:val="3"/>
          <w:sz w:val="11"/>
        </w:rPr>
        <w:t xml:space="preserve"> </w:t>
      </w:r>
      <w:r>
        <w:rPr>
          <w:sz w:val="11"/>
        </w:rPr>
        <w:t>monitoreo</w:t>
      </w:r>
      <w:r>
        <w:rPr>
          <w:spacing w:val="3"/>
          <w:sz w:val="11"/>
        </w:rPr>
        <w:t xml:space="preserve"> </w:t>
      </w:r>
      <w:r>
        <w:rPr>
          <w:sz w:val="11"/>
        </w:rPr>
        <w:t>independiente</w:t>
      </w:r>
      <w:r>
        <w:rPr>
          <w:spacing w:val="3"/>
          <w:sz w:val="11"/>
        </w:rPr>
        <w:t xml:space="preserve"> </w:t>
      </w:r>
      <w:r>
        <w:rPr>
          <w:sz w:val="11"/>
        </w:rPr>
        <w:t>y</w:t>
      </w:r>
      <w:r>
        <w:rPr>
          <w:spacing w:val="3"/>
          <w:sz w:val="11"/>
        </w:rPr>
        <w:t xml:space="preserve"> </w:t>
      </w:r>
      <w:r>
        <w:rPr>
          <w:sz w:val="11"/>
        </w:rPr>
        <w:t>su</w:t>
      </w:r>
      <w:r>
        <w:rPr>
          <w:spacing w:val="3"/>
          <w:sz w:val="11"/>
        </w:rPr>
        <w:t xml:space="preserve"> </w:t>
      </w:r>
      <w:r>
        <w:rPr>
          <w:sz w:val="11"/>
        </w:rPr>
        <w:t>participación</w:t>
      </w:r>
      <w:r>
        <w:rPr>
          <w:spacing w:val="3"/>
          <w:sz w:val="11"/>
        </w:rPr>
        <w:t xml:space="preserve"> </w:t>
      </w:r>
      <w:r>
        <w:rPr>
          <w:sz w:val="11"/>
        </w:rPr>
        <w:t>en</w:t>
      </w:r>
      <w:r>
        <w:rPr>
          <w:spacing w:val="3"/>
          <w:sz w:val="11"/>
        </w:rPr>
        <w:t xml:space="preserve"> </w:t>
      </w:r>
      <w:r>
        <w:rPr>
          <w:sz w:val="11"/>
        </w:rPr>
        <w:t>el</w:t>
      </w:r>
      <w:r>
        <w:rPr>
          <w:spacing w:val="3"/>
          <w:sz w:val="11"/>
        </w:rPr>
        <w:t xml:space="preserve"> </w:t>
      </w:r>
      <w:r>
        <w:rPr>
          <w:sz w:val="11"/>
        </w:rPr>
        <w:t>trabajo</w:t>
      </w:r>
      <w:r>
        <w:rPr>
          <w:spacing w:val="3"/>
          <w:sz w:val="11"/>
        </w:rPr>
        <w:t xml:space="preserve"> </w:t>
      </w:r>
      <w:r>
        <w:rPr>
          <w:sz w:val="11"/>
        </w:rPr>
        <w:t>del</w:t>
      </w:r>
      <w:r>
        <w:rPr>
          <w:spacing w:val="3"/>
          <w:sz w:val="11"/>
        </w:rPr>
        <w:t xml:space="preserve"> </w:t>
      </w:r>
      <w:r>
        <w:rPr>
          <w:sz w:val="11"/>
        </w:rPr>
        <w:t>Comité</w:t>
      </w:r>
      <w:r>
        <w:rPr>
          <w:spacing w:val="3"/>
          <w:sz w:val="11"/>
        </w:rPr>
        <w:t xml:space="preserve"> </w:t>
      </w:r>
      <w:r>
        <w:rPr>
          <w:sz w:val="11"/>
        </w:rPr>
        <w:t>sobre</w:t>
      </w:r>
      <w:r>
        <w:rPr>
          <w:spacing w:val="3"/>
          <w:sz w:val="11"/>
        </w:rPr>
        <w:t xml:space="preserve"> </w:t>
      </w:r>
      <w:r>
        <w:rPr>
          <w:sz w:val="11"/>
        </w:rPr>
        <w:t>los</w:t>
      </w:r>
      <w:r>
        <w:rPr>
          <w:spacing w:val="2"/>
          <w:sz w:val="11"/>
        </w:rPr>
        <w:t xml:space="preserve"> </w:t>
      </w:r>
      <w:r>
        <w:rPr>
          <w:sz w:val="11"/>
        </w:rPr>
        <w:t>Derechos</w:t>
      </w:r>
      <w:r>
        <w:rPr>
          <w:spacing w:val="3"/>
          <w:sz w:val="11"/>
        </w:rPr>
        <w:t xml:space="preserve"> </w:t>
      </w:r>
      <w:r>
        <w:rPr>
          <w:sz w:val="11"/>
        </w:rPr>
        <w:t>de</w:t>
      </w:r>
      <w:r>
        <w:rPr>
          <w:spacing w:val="3"/>
          <w:sz w:val="11"/>
        </w:rPr>
        <w:t xml:space="preserve"> </w:t>
      </w:r>
      <w:r>
        <w:rPr>
          <w:sz w:val="11"/>
        </w:rPr>
        <w:t>las</w:t>
      </w:r>
      <w:r>
        <w:rPr>
          <w:spacing w:val="3"/>
          <w:sz w:val="11"/>
        </w:rPr>
        <w:t xml:space="preserve"> </w:t>
      </w:r>
      <w:r>
        <w:rPr>
          <w:sz w:val="11"/>
        </w:rPr>
        <w:t>Personas</w:t>
      </w:r>
      <w:r>
        <w:rPr>
          <w:spacing w:val="3"/>
          <w:sz w:val="11"/>
        </w:rPr>
        <w:t xml:space="preserve"> </w:t>
      </w:r>
      <w:r>
        <w:rPr>
          <w:spacing w:val="-5"/>
          <w:sz w:val="11"/>
        </w:rPr>
        <w:t>con</w:t>
      </w:r>
    </w:p>
    <w:p w14:paraId="73434824" w14:textId="77777777" w:rsidR="0014798C" w:rsidRDefault="004E1F0B">
      <w:pPr>
        <w:spacing w:before="18"/>
        <w:ind w:left="1367"/>
        <w:rPr>
          <w:sz w:val="11"/>
        </w:rPr>
      </w:pPr>
      <w:r>
        <w:rPr>
          <w:spacing w:val="-2"/>
          <w:w w:val="105"/>
          <w:sz w:val="11"/>
        </w:rPr>
        <w:t>Discapacidades,</w:t>
      </w:r>
      <w:r>
        <w:rPr>
          <w:spacing w:val="6"/>
          <w:w w:val="105"/>
          <w:sz w:val="11"/>
        </w:rPr>
        <w:t xml:space="preserve"> </w:t>
      </w:r>
      <w:r>
        <w:rPr>
          <w:spacing w:val="-2"/>
          <w:w w:val="105"/>
          <w:sz w:val="11"/>
        </w:rPr>
        <w:t>párr.</w:t>
      </w:r>
      <w:r>
        <w:rPr>
          <w:spacing w:val="5"/>
          <w:w w:val="105"/>
          <w:sz w:val="11"/>
        </w:rPr>
        <w:t xml:space="preserve"> </w:t>
      </w:r>
      <w:r>
        <w:rPr>
          <w:spacing w:val="-5"/>
          <w:w w:val="105"/>
          <w:sz w:val="11"/>
        </w:rPr>
        <w:t>15.</w:t>
      </w:r>
    </w:p>
    <w:p w14:paraId="77337154" w14:textId="77777777" w:rsidR="0014798C" w:rsidRDefault="0014798C">
      <w:pPr>
        <w:rPr>
          <w:sz w:val="11"/>
        </w:rPr>
        <w:sectPr w:rsidR="0014798C" w:rsidSect="00F265E4">
          <w:type w:val="continuous"/>
          <w:pgSz w:w="11900" w:h="16820"/>
          <w:pgMar w:top="40" w:right="0" w:bottom="280" w:left="200" w:header="121" w:footer="0" w:gutter="0"/>
          <w:cols w:space="720"/>
        </w:sectPr>
      </w:pPr>
    </w:p>
    <w:p w14:paraId="0B8FA538" w14:textId="77777777" w:rsidR="0014798C" w:rsidRDefault="004E1F0B">
      <w:pPr>
        <w:spacing w:before="90"/>
        <w:jc w:val="right"/>
        <w:rPr>
          <w:sz w:val="8"/>
        </w:rPr>
      </w:pPr>
      <w:r>
        <w:rPr>
          <w:spacing w:val="-5"/>
          <w:w w:val="105"/>
          <w:sz w:val="8"/>
        </w:rPr>
        <w:t>733</w:t>
      </w:r>
    </w:p>
    <w:p w14:paraId="20C21902" w14:textId="77777777" w:rsidR="0014798C" w:rsidRDefault="0014798C">
      <w:pPr>
        <w:pStyle w:val="Textoindependiente"/>
        <w:spacing w:before="53"/>
        <w:rPr>
          <w:sz w:val="8"/>
        </w:rPr>
      </w:pPr>
    </w:p>
    <w:p w14:paraId="51461607" w14:textId="77777777" w:rsidR="0014798C" w:rsidRDefault="004E1F0B">
      <w:pPr>
        <w:jc w:val="right"/>
        <w:rPr>
          <w:sz w:val="8"/>
        </w:rPr>
      </w:pPr>
      <w:r>
        <w:rPr>
          <w:spacing w:val="-5"/>
          <w:w w:val="105"/>
          <w:sz w:val="8"/>
        </w:rPr>
        <w:t>734</w:t>
      </w:r>
    </w:p>
    <w:p w14:paraId="08C7DC25" w14:textId="77777777" w:rsidR="0014798C" w:rsidRDefault="0014798C">
      <w:pPr>
        <w:pStyle w:val="Textoindependiente"/>
        <w:spacing w:before="52"/>
        <w:rPr>
          <w:sz w:val="8"/>
        </w:rPr>
      </w:pPr>
    </w:p>
    <w:p w14:paraId="7655237F" w14:textId="77777777" w:rsidR="0014798C" w:rsidRDefault="004E1F0B">
      <w:pPr>
        <w:jc w:val="right"/>
        <w:rPr>
          <w:sz w:val="8"/>
        </w:rPr>
      </w:pPr>
      <w:r>
        <w:rPr>
          <w:spacing w:val="-5"/>
          <w:w w:val="105"/>
          <w:sz w:val="8"/>
        </w:rPr>
        <w:t>735</w:t>
      </w:r>
    </w:p>
    <w:p w14:paraId="3B3FB7D9" w14:textId="77777777" w:rsidR="0014798C" w:rsidRDefault="004E1F0B">
      <w:pPr>
        <w:spacing w:before="110"/>
        <w:ind w:left="82"/>
        <w:rPr>
          <w:sz w:val="11"/>
        </w:rPr>
      </w:pPr>
      <w:r>
        <w:br w:type="column"/>
      </w:r>
      <w:r>
        <w:rPr>
          <w:spacing w:val="-2"/>
          <w:w w:val="105"/>
          <w:sz w:val="11"/>
        </w:rPr>
        <w:t>CCPR/C/MDA/CO/3,</w:t>
      </w:r>
      <w:r>
        <w:rPr>
          <w:spacing w:val="6"/>
          <w:w w:val="105"/>
          <w:sz w:val="11"/>
        </w:rPr>
        <w:t xml:space="preserve"> </w:t>
      </w:r>
      <w:r>
        <w:rPr>
          <w:spacing w:val="-2"/>
          <w:w w:val="105"/>
          <w:sz w:val="11"/>
        </w:rPr>
        <w:t>párr.</w:t>
      </w:r>
      <w:r>
        <w:rPr>
          <w:spacing w:val="7"/>
          <w:w w:val="105"/>
          <w:sz w:val="11"/>
        </w:rPr>
        <w:t xml:space="preserve"> </w:t>
      </w:r>
      <w:r>
        <w:rPr>
          <w:spacing w:val="-5"/>
          <w:w w:val="105"/>
          <w:sz w:val="11"/>
        </w:rPr>
        <w:t>8.</w:t>
      </w:r>
    </w:p>
    <w:p w14:paraId="167CCB4A" w14:textId="77777777" w:rsidR="0014798C" w:rsidRDefault="004E1F0B">
      <w:pPr>
        <w:spacing w:before="110"/>
        <w:ind w:left="78"/>
        <w:rPr>
          <w:sz w:val="11"/>
        </w:rPr>
      </w:pPr>
      <w:r>
        <w:rPr>
          <w:spacing w:val="-2"/>
          <w:w w:val="105"/>
          <w:sz w:val="11"/>
        </w:rPr>
        <w:t>E/C.12/BGR/CO/6,</w:t>
      </w:r>
      <w:r>
        <w:rPr>
          <w:spacing w:val="7"/>
          <w:w w:val="105"/>
          <w:sz w:val="11"/>
        </w:rPr>
        <w:t xml:space="preserve"> </w:t>
      </w:r>
      <w:r>
        <w:rPr>
          <w:spacing w:val="-2"/>
          <w:w w:val="105"/>
          <w:sz w:val="11"/>
        </w:rPr>
        <w:t>párr.</w:t>
      </w:r>
      <w:r>
        <w:rPr>
          <w:spacing w:val="7"/>
          <w:w w:val="105"/>
          <w:sz w:val="11"/>
        </w:rPr>
        <w:t xml:space="preserve"> </w:t>
      </w:r>
      <w:r>
        <w:rPr>
          <w:spacing w:val="-5"/>
          <w:w w:val="105"/>
          <w:sz w:val="11"/>
        </w:rPr>
        <w:t>5.</w:t>
      </w:r>
    </w:p>
    <w:p w14:paraId="4C8F85FD" w14:textId="77777777" w:rsidR="0014798C" w:rsidRDefault="004E1F0B">
      <w:pPr>
        <w:spacing w:before="110"/>
        <w:ind w:left="80"/>
        <w:rPr>
          <w:sz w:val="11"/>
        </w:rPr>
      </w:pPr>
      <w:r>
        <w:rPr>
          <w:spacing w:val="-2"/>
          <w:w w:val="105"/>
          <w:sz w:val="11"/>
        </w:rPr>
        <w:t>Véase,</w:t>
      </w:r>
      <w:r>
        <w:rPr>
          <w:spacing w:val="4"/>
          <w:w w:val="105"/>
          <w:sz w:val="11"/>
        </w:rPr>
        <w:t xml:space="preserve"> </w:t>
      </w:r>
      <w:r>
        <w:rPr>
          <w:spacing w:val="-2"/>
          <w:w w:val="105"/>
          <w:sz w:val="11"/>
        </w:rPr>
        <w:t>por</w:t>
      </w:r>
      <w:r>
        <w:rPr>
          <w:spacing w:val="4"/>
          <w:w w:val="105"/>
          <w:sz w:val="11"/>
        </w:rPr>
        <w:t xml:space="preserve"> </w:t>
      </w:r>
      <w:r>
        <w:rPr>
          <w:spacing w:val="-2"/>
          <w:w w:val="105"/>
          <w:sz w:val="11"/>
        </w:rPr>
        <w:t>ejemplo,</w:t>
      </w:r>
      <w:r>
        <w:rPr>
          <w:spacing w:val="4"/>
          <w:w w:val="105"/>
          <w:sz w:val="11"/>
        </w:rPr>
        <w:t xml:space="preserve"> </w:t>
      </w:r>
      <w:r>
        <w:rPr>
          <w:spacing w:val="-2"/>
          <w:w w:val="105"/>
          <w:sz w:val="11"/>
        </w:rPr>
        <w:t>A/71/301,</w:t>
      </w:r>
      <w:r>
        <w:rPr>
          <w:spacing w:val="4"/>
          <w:w w:val="105"/>
          <w:sz w:val="11"/>
        </w:rPr>
        <w:t xml:space="preserve"> </w:t>
      </w:r>
      <w:r>
        <w:rPr>
          <w:spacing w:val="-2"/>
          <w:w w:val="105"/>
          <w:sz w:val="11"/>
        </w:rPr>
        <w:t>párr.</w:t>
      </w:r>
      <w:r>
        <w:rPr>
          <w:spacing w:val="4"/>
          <w:w w:val="105"/>
          <w:sz w:val="11"/>
        </w:rPr>
        <w:t xml:space="preserve"> </w:t>
      </w:r>
      <w:r>
        <w:rPr>
          <w:spacing w:val="-5"/>
          <w:w w:val="105"/>
          <w:sz w:val="11"/>
        </w:rPr>
        <w:t>47.</w:t>
      </w:r>
    </w:p>
    <w:p w14:paraId="391405EA" w14:textId="77777777" w:rsidR="0014798C" w:rsidRDefault="0014798C">
      <w:pPr>
        <w:rPr>
          <w:sz w:val="11"/>
        </w:rPr>
        <w:sectPr w:rsidR="0014798C" w:rsidSect="00F265E4">
          <w:type w:val="continuous"/>
          <w:pgSz w:w="11900" w:h="16820"/>
          <w:pgMar w:top="40" w:right="0" w:bottom="280" w:left="200" w:header="121" w:footer="0" w:gutter="0"/>
          <w:cols w:num="2" w:space="720" w:equalWidth="0">
            <w:col w:w="1250" w:space="40"/>
            <w:col w:w="10410"/>
          </w:cols>
        </w:sectPr>
      </w:pPr>
    </w:p>
    <w:p w14:paraId="49C84082" w14:textId="77777777" w:rsidR="00E62DE8" w:rsidRDefault="00E62DE8">
      <w:pPr>
        <w:pStyle w:val="Textoindependiente"/>
        <w:spacing w:before="18"/>
        <w:rPr>
          <w:sz w:val="11"/>
        </w:rPr>
      </w:pPr>
    </w:p>
    <w:p w14:paraId="6AB4B145" w14:textId="77777777" w:rsidR="0014798C" w:rsidRDefault="004E1F0B">
      <w:pPr>
        <w:pStyle w:val="Prrafodelista"/>
        <w:numPr>
          <w:ilvl w:val="0"/>
          <w:numId w:val="39"/>
        </w:numPr>
        <w:tabs>
          <w:tab w:val="left" w:pos="1323"/>
        </w:tabs>
        <w:ind w:left="1323" w:hanging="215"/>
        <w:rPr>
          <w:sz w:val="11"/>
        </w:rPr>
      </w:pPr>
      <w:proofErr w:type="spellStart"/>
      <w:r>
        <w:rPr>
          <w:sz w:val="11"/>
        </w:rPr>
        <w:t>Ibíd</w:t>
      </w:r>
      <w:proofErr w:type="spellEnd"/>
      <w:r>
        <w:rPr>
          <w:sz w:val="11"/>
        </w:rPr>
        <w:t xml:space="preserve">., párr. </w:t>
      </w:r>
      <w:r>
        <w:rPr>
          <w:spacing w:val="-5"/>
          <w:sz w:val="11"/>
        </w:rPr>
        <w:t>88.</w:t>
      </w:r>
    </w:p>
    <w:p w14:paraId="2558706A" w14:textId="77777777" w:rsidR="0014798C" w:rsidRDefault="0014798C">
      <w:pPr>
        <w:rPr>
          <w:sz w:val="19"/>
        </w:rPr>
        <w:sectPr w:rsidR="0014798C" w:rsidSect="00F265E4">
          <w:type w:val="continuous"/>
          <w:pgSz w:w="11900" w:h="16820"/>
          <w:pgMar w:top="40" w:right="0" w:bottom="280" w:left="200" w:header="121" w:footer="0" w:gutter="0"/>
          <w:cols w:space="720"/>
        </w:sectPr>
      </w:pPr>
    </w:p>
    <w:p w14:paraId="4CDD6262" w14:textId="77777777" w:rsidR="0014798C" w:rsidRDefault="0014798C">
      <w:pPr>
        <w:pStyle w:val="Textoindependiente"/>
        <w:spacing w:before="51"/>
        <w:rPr>
          <w:sz w:val="14"/>
        </w:rPr>
      </w:pPr>
    </w:p>
    <w:p w14:paraId="64141534" w14:textId="77777777" w:rsidR="0014798C" w:rsidRDefault="004E1F0B">
      <w:pPr>
        <w:ind w:left="1111"/>
        <w:rPr>
          <w:sz w:val="14"/>
        </w:rPr>
      </w:pPr>
      <w:r>
        <w:rPr>
          <w:color w:val="00AC59"/>
          <w:sz w:val="14"/>
        </w:rPr>
        <w:t>SEGUNDA</w:t>
      </w:r>
      <w:r>
        <w:rPr>
          <w:color w:val="00AC59"/>
          <w:spacing w:val="-5"/>
          <w:sz w:val="14"/>
        </w:rPr>
        <w:t xml:space="preserve"> </w:t>
      </w:r>
      <w:r>
        <w:rPr>
          <w:color w:val="00AC59"/>
          <w:sz w:val="14"/>
        </w:rPr>
        <w:t>PARTE:</w:t>
      </w:r>
      <w:r>
        <w:rPr>
          <w:color w:val="00AC59"/>
          <w:spacing w:val="-5"/>
          <w:sz w:val="14"/>
        </w:rPr>
        <w:t xml:space="preserve"> </w:t>
      </w:r>
      <w:r>
        <w:rPr>
          <w:color w:val="00AC59"/>
          <w:sz w:val="14"/>
        </w:rPr>
        <w:t>CONTENIDO</w:t>
      </w:r>
      <w:r>
        <w:rPr>
          <w:color w:val="00AC59"/>
          <w:spacing w:val="-4"/>
          <w:sz w:val="14"/>
        </w:rPr>
        <w:t xml:space="preserve"> </w:t>
      </w:r>
      <w:r>
        <w:rPr>
          <w:color w:val="00AC59"/>
          <w:sz w:val="14"/>
        </w:rPr>
        <w:t>DE</w:t>
      </w:r>
      <w:r>
        <w:rPr>
          <w:color w:val="00AC59"/>
          <w:spacing w:val="-5"/>
          <w:sz w:val="14"/>
        </w:rPr>
        <w:t xml:space="preserve"> </w:t>
      </w:r>
      <w:r>
        <w:rPr>
          <w:color w:val="00AC59"/>
          <w:sz w:val="14"/>
        </w:rPr>
        <w:t>LA</w:t>
      </w:r>
      <w:r>
        <w:rPr>
          <w:color w:val="00AC59"/>
          <w:spacing w:val="-4"/>
          <w:sz w:val="14"/>
        </w:rPr>
        <w:t xml:space="preserve"> </w:t>
      </w:r>
      <w:r>
        <w:rPr>
          <w:color w:val="00AC59"/>
          <w:sz w:val="14"/>
        </w:rPr>
        <w:t>LEY</w:t>
      </w:r>
      <w:r>
        <w:rPr>
          <w:color w:val="00AC59"/>
          <w:spacing w:val="-4"/>
          <w:sz w:val="14"/>
        </w:rPr>
        <w:t xml:space="preserve"> </w:t>
      </w:r>
      <w:r>
        <w:rPr>
          <w:color w:val="00AC59"/>
          <w:sz w:val="14"/>
        </w:rPr>
        <w:t>INTEGRAL</w:t>
      </w:r>
      <w:r>
        <w:rPr>
          <w:color w:val="00AC59"/>
          <w:spacing w:val="-5"/>
          <w:sz w:val="14"/>
        </w:rPr>
        <w:t xml:space="preserve"> </w:t>
      </w:r>
      <w:r>
        <w:rPr>
          <w:color w:val="00AC59"/>
          <w:spacing w:val="-2"/>
          <w:sz w:val="14"/>
        </w:rPr>
        <w:t>ANTIDISCRIMINACIÓN</w:t>
      </w:r>
    </w:p>
    <w:p w14:paraId="717E504B" w14:textId="77777777" w:rsidR="0014798C" w:rsidRDefault="0014798C">
      <w:pPr>
        <w:pStyle w:val="Textoindependiente"/>
      </w:pPr>
    </w:p>
    <w:p w14:paraId="15DB3660" w14:textId="77777777" w:rsidR="0014798C" w:rsidRDefault="0014798C">
      <w:pPr>
        <w:pStyle w:val="Textoindependiente"/>
      </w:pPr>
    </w:p>
    <w:p w14:paraId="15C1AE5C" w14:textId="77777777" w:rsidR="0014798C" w:rsidRDefault="0014798C">
      <w:pPr>
        <w:pStyle w:val="Textoindependiente"/>
      </w:pPr>
    </w:p>
    <w:p w14:paraId="424ABCB7" w14:textId="77777777" w:rsidR="0014798C" w:rsidRDefault="0014798C">
      <w:pPr>
        <w:pStyle w:val="Textoindependiente"/>
      </w:pPr>
    </w:p>
    <w:p w14:paraId="48368249" w14:textId="77777777" w:rsidR="0014798C" w:rsidRDefault="0014798C">
      <w:pPr>
        <w:pStyle w:val="Textoindependiente"/>
        <w:spacing w:before="39"/>
      </w:pPr>
    </w:p>
    <w:p w14:paraId="6E310122" w14:textId="77777777" w:rsidR="0014798C" w:rsidRDefault="004E1F0B">
      <w:pPr>
        <w:pStyle w:val="Textoindependiente"/>
        <w:spacing w:line="326" w:lineRule="auto"/>
        <w:ind w:left="1105" w:right="1272" w:firstLine="6"/>
      </w:pPr>
      <w:r>
        <w:t>Se</w:t>
      </w:r>
      <w:r>
        <w:rPr>
          <w:spacing w:val="-2"/>
        </w:rPr>
        <w:t xml:space="preserve"> </w:t>
      </w:r>
      <w:r>
        <w:t>proporciona</w:t>
      </w:r>
      <w:r>
        <w:rPr>
          <w:spacing w:val="-1"/>
        </w:rPr>
        <w:t xml:space="preserve"> </w:t>
      </w:r>
      <w:r>
        <w:t>una</w:t>
      </w:r>
      <w:r>
        <w:rPr>
          <w:spacing w:val="-2"/>
        </w:rPr>
        <w:t xml:space="preserve"> </w:t>
      </w:r>
      <w:r>
        <w:t>orientación</w:t>
      </w:r>
      <w:r>
        <w:rPr>
          <w:spacing w:val="-2"/>
        </w:rPr>
        <w:t xml:space="preserve"> </w:t>
      </w:r>
      <w:r>
        <w:t>similar</w:t>
      </w:r>
      <w:r>
        <w:rPr>
          <w:spacing w:val="-2"/>
        </w:rPr>
        <w:t xml:space="preserve"> </w:t>
      </w:r>
      <w:r>
        <w:t>a</w:t>
      </w:r>
      <w:r>
        <w:rPr>
          <w:spacing w:val="-2"/>
        </w:rPr>
        <w:t xml:space="preserve"> </w:t>
      </w:r>
      <w:r>
        <w:t>nivel</w:t>
      </w:r>
      <w:r>
        <w:rPr>
          <w:spacing w:val="-2"/>
        </w:rPr>
        <w:t xml:space="preserve"> </w:t>
      </w:r>
      <w:r>
        <w:t>europeo.</w:t>
      </w:r>
      <w:r>
        <w:rPr>
          <w:spacing w:val="-1"/>
        </w:rPr>
        <w:t xml:space="preserve"> </w:t>
      </w:r>
      <w:r>
        <w:t>En</w:t>
      </w:r>
      <w:r>
        <w:rPr>
          <w:spacing w:val="-2"/>
        </w:rPr>
        <w:t xml:space="preserve"> </w:t>
      </w:r>
      <w:r>
        <w:t>su</w:t>
      </w:r>
      <w:r>
        <w:rPr>
          <w:spacing w:val="-2"/>
        </w:rPr>
        <w:t xml:space="preserve"> </w:t>
      </w:r>
      <w:r>
        <w:t>recomendación</w:t>
      </w:r>
      <w:r>
        <w:rPr>
          <w:spacing w:val="-1"/>
        </w:rPr>
        <w:t xml:space="preserve"> </w:t>
      </w:r>
      <w:r>
        <w:t>de</w:t>
      </w:r>
      <w:r>
        <w:rPr>
          <w:spacing w:val="-2"/>
        </w:rPr>
        <w:t xml:space="preserve"> </w:t>
      </w:r>
      <w:r>
        <w:t>2018,</w:t>
      </w:r>
      <w:r>
        <w:rPr>
          <w:spacing w:val="-1"/>
        </w:rPr>
        <w:t xml:space="preserve"> </w:t>
      </w:r>
      <w:r>
        <w:t>la</w:t>
      </w:r>
      <w:r>
        <w:rPr>
          <w:spacing w:val="-2"/>
        </w:rPr>
        <w:t xml:space="preserve"> </w:t>
      </w:r>
      <w:r>
        <w:t>Comisión</w:t>
      </w:r>
      <w:r>
        <w:rPr>
          <w:spacing w:val="-2"/>
        </w:rPr>
        <w:t xml:space="preserve"> </w:t>
      </w:r>
      <w:r>
        <w:t>Europea</w:t>
      </w:r>
      <w:r>
        <w:rPr>
          <w:spacing w:val="-2"/>
        </w:rPr>
        <w:t xml:space="preserve"> </w:t>
      </w:r>
      <w:r>
        <w:t>insta</w:t>
      </w:r>
      <w:r>
        <w:rPr>
          <w:spacing w:val="-2"/>
        </w:rPr>
        <w:t xml:space="preserve"> </w:t>
      </w:r>
      <w:r>
        <w:t>a</w:t>
      </w:r>
      <w:r>
        <w:rPr>
          <w:spacing w:val="-2"/>
        </w:rPr>
        <w:t xml:space="preserve"> </w:t>
      </w:r>
      <w:r>
        <w:t>los</w:t>
      </w:r>
      <w:r>
        <w:rPr>
          <w:spacing w:val="-2"/>
        </w:rPr>
        <w:t xml:space="preserve"> </w:t>
      </w:r>
      <w:r>
        <w:t>Estados</w:t>
      </w:r>
      <w:r>
        <w:rPr>
          <w:spacing w:val="-2"/>
        </w:rPr>
        <w:t xml:space="preserve"> </w:t>
      </w:r>
      <w:r>
        <w:t>a garantizar</w:t>
      </w:r>
      <w:r>
        <w:rPr>
          <w:spacing w:val="-1"/>
        </w:rPr>
        <w:t xml:space="preserve"> </w:t>
      </w:r>
      <w:r>
        <w:t>la</w:t>
      </w:r>
      <w:r>
        <w:rPr>
          <w:spacing w:val="-1"/>
        </w:rPr>
        <w:t xml:space="preserve"> </w:t>
      </w:r>
      <w:r>
        <w:t>dotación</w:t>
      </w:r>
      <w:r>
        <w:rPr>
          <w:spacing w:val="-1"/>
        </w:rPr>
        <w:t xml:space="preserve"> </w:t>
      </w:r>
      <w:r>
        <w:t>efectiva</w:t>
      </w:r>
      <w:r>
        <w:rPr>
          <w:spacing w:val="-1"/>
        </w:rPr>
        <w:t xml:space="preserve"> </w:t>
      </w:r>
      <w:r>
        <w:t>de</w:t>
      </w:r>
      <w:r>
        <w:rPr>
          <w:spacing w:val="-1"/>
        </w:rPr>
        <w:t xml:space="preserve"> </w:t>
      </w:r>
      <w:r>
        <w:t>recursos</w:t>
      </w:r>
      <w:r>
        <w:rPr>
          <w:spacing w:val="-1"/>
        </w:rPr>
        <w:t xml:space="preserve"> </w:t>
      </w:r>
      <w:r>
        <w:t>a</w:t>
      </w:r>
      <w:r>
        <w:rPr>
          <w:spacing w:val="-1"/>
        </w:rPr>
        <w:t xml:space="preserve"> </w:t>
      </w:r>
      <w:r>
        <w:t>los</w:t>
      </w:r>
      <w:r>
        <w:rPr>
          <w:spacing w:val="-1"/>
        </w:rPr>
        <w:t xml:space="preserve"> </w:t>
      </w:r>
      <w:r>
        <w:t>organismos</w:t>
      </w:r>
      <w:r>
        <w:rPr>
          <w:spacing w:val="-1"/>
        </w:rPr>
        <w:t xml:space="preserve"> </w:t>
      </w:r>
      <w:r>
        <w:t>de</w:t>
      </w:r>
      <w:r>
        <w:rPr>
          <w:spacing w:val="-1"/>
        </w:rPr>
        <w:t xml:space="preserve"> </w:t>
      </w:r>
      <w:r>
        <w:t>igualdad, señalando</w:t>
      </w:r>
      <w:r>
        <w:rPr>
          <w:spacing w:val="-1"/>
        </w:rPr>
        <w:t xml:space="preserve"> </w:t>
      </w:r>
      <w:r>
        <w:t>que: “Los</w:t>
      </w:r>
      <w:r>
        <w:rPr>
          <w:spacing w:val="-1"/>
        </w:rPr>
        <w:t xml:space="preserve"> </w:t>
      </w:r>
      <w:r>
        <w:t>recursos</w:t>
      </w:r>
      <w:r>
        <w:rPr>
          <w:spacing w:val="-1"/>
        </w:rPr>
        <w:t xml:space="preserve"> </w:t>
      </w:r>
      <w:r>
        <w:t>solo</w:t>
      </w:r>
      <w:r>
        <w:rPr>
          <w:spacing w:val="-1"/>
        </w:rPr>
        <w:t xml:space="preserve"> </w:t>
      </w:r>
      <w:r>
        <w:t>pueden</w:t>
      </w:r>
      <w:r>
        <w:rPr>
          <w:spacing w:val="-1"/>
        </w:rPr>
        <w:t xml:space="preserve"> </w:t>
      </w:r>
      <w:r>
        <w:t>considerarse adecuados si permiten que los organismos de igualdad lleven a cabo cada una de sus funciones de igualdad de manera efectiva, dentro de un tiempo razonable y dentro de los plazos establecidos por la legislación nacional”737.</w:t>
      </w:r>
    </w:p>
    <w:p w14:paraId="690574A7" w14:textId="77777777" w:rsidR="0014798C" w:rsidRDefault="004E1F0B">
      <w:pPr>
        <w:pStyle w:val="Textoindependiente"/>
        <w:spacing w:before="169" w:line="326" w:lineRule="auto"/>
        <w:ind w:left="1107" w:right="1335" w:firstLine="1"/>
      </w:pPr>
      <w:r>
        <w:rPr>
          <w:noProof/>
        </w:rPr>
        <w:drawing>
          <wp:anchor distT="0" distB="0" distL="0" distR="0" simplePos="0" relativeHeight="251658438" behindDoc="1" locked="0" layoutInCell="1" allowOverlap="1" wp14:anchorId="6E9CBC18" wp14:editId="0DE8C528">
            <wp:simplePos x="0" y="0"/>
            <wp:positionH relativeFrom="page">
              <wp:posOffset>826632</wp:posOffset>
            </wp:positionH>
            <wp:positionV relativeFrom="paragraph">
              <wp:posOffset>443649</wp:posOffset>
            </wp:positionV>
            <wp:extent cx="6729867" cy="5504357"/>
            <wp:effectExtent l="0" t="0" r="0" b="0"/>
            <wp:wrapNone/>
            <wp:docPr id="228" name="Image 22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28" name="Image 228"/>
                    <pic:cNvPicPr/>
                  </pic:nvPicPr>
                  <pic:blipFill>
                    <a:blip r:embed="rId209" cstate="print"/>
                    <a:stretch>
                      <a:fillRect/>
                    </a:stretch>
                  </pic:blipFill>
                  <pic:spPr>
                    <a:xfrm>
                      <a:off x="0" y="0"/>
                      <a:ext cx="6729867" cy="5504357"/>
                    </a:xfrm>
                    <a:prstGeom prst="rect">
                      <a:avLst/>
                    </a:prstGeom>
                  </pic:spPr>
                </pic:pic>
              </a:graphicData>
            </a:graphic>
          </wp:anchor>
        </w:drawing>
      </w:r>
      <w:r>
        <w:rPr>
          <w:noProof/>
        </w:rPr>
        <mc:AlternateContent>
          <mc:Choice Requires="wps">
            <w:drawing>
              <wp:anchor distT="0" distB="0" distL="0" distR="0" simplePos="0" relativeHeight="251658292" behindDoc="0" locked="0" layoutInCell="1" allowOverlap="1" wp14:anchorId="35E03A51" wp14:editId="762A0466">
                <wp:simplePos x="0" y="0"/>
                <wp:positionH relativeFrom="page">
                  <wp:posOffset>7310646</wp:posOffset>
                </wp:positionH>
                <wp:positionV relativeFrom="paragraph">
                  <wp:posOffset>1089827</wp:posOffset>
                </wp:positionV>
                <wp:extent cx="86995" cy="295910"/>
                <wp:effectExtent l="0" t="0" r="0" b="0"/>
                <wp:wrapNone/>
                <wp:docPr id="229" name="Textbox 22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86995" cy="295910"/>
                        </a:xfrm>
                        <a:prstGeom prst="rect">
                          <a:avLst/>
                        </a:prstGeom>
                      </wps:spPr>
                      <wps:txbx>
                        <w:txbxContent>
                          <w:p w14:paraId="1D12D9E4" w14:textId="77777777" w:rsidR="0014798C" w:rsidRDefault="004E1F0B">
                            <w:pPr>
                              <w:spacing w:before="23"/>
                              <w:ind w:left="20"/>
                              <w:rPr>
                                <w:sz w:val="8"/>
                              </w:rPr>
                            </w:pPr>
                            <w:r>
                              <w:rPr>
                                <w:color w:val="FFFFFF"/>
                                <w:spacing w:val="-27"/>
                                <w:w w:val="105"/>
                                <w:sz w:val="8"/>
                              </w:rPr>
                              <w:t>–IP</w:t>
                            </w:r>
                            <w:r>
                              <w:rPr>
                                <w:spacing w:val="-27"/>
                                <w:w w:val="105"/>
                                <w:sz w:val="8"/>
                              </w:rPr>
                              <w:t>S</w:t>
                            </w:r>
                            <w:r>
                              <w:rPr>
                                <w:color w:val="FFFFFF"/>
                                <w:spacing w:val="-27"/>
                                <w:w w:val="105"/>
                                <w:sz w:val="8"/>
                              </w:rPr>
                              <w:t>VA</w:t>
                            </w:r>
                            <w:r>
                              <w:rPr>
                                <w:spacing w:val="-27"/>
                                <w:w w:val="105"/>
                                <w:sz w:val="8"/>
                              </w:rPr>
                              <w:t>E</w:t>
                            </w:r>
                            <w:r>
                              <w:rPr>
                                <w:color w:val="FFFFFF"/>
                                <w:spacing w:val="-27"/>
                                <w:w w:val="105"/>
                                <w:sz w:val="8"/>
                              </w:rPr>
                              <w:t>R</w:t>
                            </w:r>
                            <w:r>
                              <w:rPr>
                                <w:spacing w:val="-27"/>
                                <w:w w:val="105"/>
                                <w:sz w:val="8"/>
                              </w:rPr>
                              <w:t>G</w:t>
                            </w:r>
                            <w:r>
                              <w:rPr>
                                <w:color w:val="FFFFFF"/>
                                <w:spacing w:val="-27"/>
                                <w:w w:val="105"/>
                                <w:sz w:val="8"/>
                              </w:rPr>
                              <w:t>T</w:t>
                            </w:r>
                            <w:r>
                              <w:rPr>
                                <w:spacing w:val="-27"/>
                                <w:w w:val="105"/>
                                <w:sz w:val="8"/>
                              </w:rPr>
                              <w:t>U</w:t>
                            </w:r>
                            <w:r>
                              <w:rPr>
                                <w:color w:val="FFFFFF"/>
                                <w:spacing w:val="-27"/>
                                <w:w w:val="105"/>
                                <w:sz w:val="8"/>
                              </w:rPr>
                              <w:t>E</w:t>
                            </w:r>
                            <w:r>
                              <w:rPr>
                                <w:spacing w:val="-27"/>
                                <w:w w:val="105"/>
                                <w:sz w:val="8"/>
                              </w:rPr>
                              <w:t>NDA</w:t>
                            </w:r>
                          </w:p>
                        </w:txbxContent>
                      </wps:txbx>
                      <wps:bodyPr vert="vert270" wrap="square" lIns="0" tIns="0" rIns="0" bIns="0" rtlCol="0">
                        <a:noAutofit/>
                      </wps:bodyPr>
                    </wps:wsp>
                  </a:graphicData>
                </a:graphic>
              </wp:anchor>
            </w:drawing>
          </mc:Choice>
          <mc:Fallback>
            <w:pict>
              <v:shape w14:anchorId="35E03A51" id="Textbox 229" o:spid="_x0000_s1115" type="#_x0000_t202" style="position:absolute;left:0;text-align:left;margin-left:575.65pt;margin-top:85.8pt;width:6.85pt;height:23.3pt;z-index:251658292;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" filled="f" stroked="f">
                <v:textbox style="layout-flow:vertical;mso-layout-flow-alt:bottom-to-top" inset="0,0,0,0">
                  <w:txbxContent>
                    <w:p w14:paraId="1D12D9E4" w14:textId="77777777" w:rsidR="0014798C" w:rsidRDefault="004E1F0B">
                      <w:pPr>
                        <w:spacing w:before="23"/>
                        <w:ind w:left="20"/>
                        <w:rPr>
                          <w:sz w:val="8"/>
                        </w:rPr>
                      </w:pPr>
                      <w:r>
                        <w:rPr>
                          <w:color w:val="FFFFFF"/>
                          <w:spacing w:val="-27"/>
                          <w:w w:val="105"/>
                          <w:sz w:val="8"/>
                        </w:rPr>
                        <w:t>–IP</w:t>
                      </w:r>
                      <w:r>
                        <w:rPr>
                          <w:spacing w:val="-27"/>
                          <w:w w:val="105"/>
                          <w:sz w:val="8"/>
                        </w:rPr>
                        <w:t>S</w:t>
                      </w:r>
                      <w:r>
                        <w:rPr>
                          <w:color w:val="FFFFFF"/>
                          <w:spacing w:val="-27"/>
                          <w:w w:val="105"/>
                          <w:sz w:val="8"/>
                        </w:rPr>
                        <w:t>VA</w:t>
                      </w:r>
                      <w:r>
                        <w:rPr>
                          <w:spacing w:val="-27"/>
                          <w:w w:val="105"/>
                          <w:sz w:val="8"/>
                        </w:rPr>
                        <w:t>E</w:t>
                      </w:r>
                      <w:r>
                        <w:rPr>
                          <w:color w:val="FFFFFF"/>
                          <w:spacing w:val="-27"/>
                          <w:w w:val="105"/>
                          <w:sz w:val="8"/>
                        </w:rPr>
                        <w:t>R</w:t>
                      </w:r>
                      <w:r>
                        <w:rPr>
                          <w:spacing w:val="-27"/>
                          <w:w w:val="105"/>
                          <w:sz w:val="8"/>
                        </w:rPr>
                        <w:t>G</w:t>
                      </w:r>
                      <w:r>
                        <w:rPr>
                          <w:color w:val="FFFFFF"/>
                          <w:spacing w:val="-27"/>
                          <w:w w:val="105"/>
                          <w:sz w:val="8"/>
                        </w:rPr>
                        <w:t>T</w:t>
                      </w:r>
                      <w:r>
                        <w:rPr>
                          <w:spacing w:val="-27"/>
                          <w:w w:val="105"/>
                          <w:sz w:val="8"/>
                        </w:rPr>
                        <w:t>U</w:t>
                      </w:r>
                      <w:r>
                        <w:rPr>
                          <w:color w:val="FFFFFF"/>
                          <w:spacing w:val="-27"/>
                          <w:w w:val="105"/>
                          <w:sz w:val="8"/>
                        </w:rPr>
                        <w:t>E</w:t>
                      </w:r>
                      <w:r>
                        <w:rPr>
                          <w:spacing w:val="-27"/>
                          <w:w w:val="105"/>
                          <w:sz w:val="8"/>
                        </w:rPr>
                        <w:t>NDA</w:t>
                      </w:r>
                    </w:p>
                  </w:txbxContent>
                </v:textbox>
                <w10:wrap anchorx="page"/>
              </v:shape>
            </w:pict>
          </mc:Fallback>
        </mc:AlternateContent>
      </w:r>
      <w:r>
        <w:t>El</w:t>
      </w:r>
      <w:r>
        <w:rPr>
          <w:spacing w:val="12"/>
        </w:rPr>
        <w:t xml:space="preserve"> </w:t>
      </w:r>
      <w:r>
        <w:t>párrafo</w:t>
      </w:r>
      <w:r>
        <w:rPr>
          <w:spacing w:val="12"/>
        </w:rPr>
        <w:t xml:space="preserve"> </w:t>
      </w:r>
      <w:r>
        <w:t>2</w:t>
      </w:r>
      <w:r>
        <w:rPr>
          <w:spacing w:val="12"/>
        </w:rPr>
        <w:t xml:space="preserve"> </w:t>
      </w:r>
      <w:r>
        <w:t>de</w:t>
      </w:r>
      <w:r>
        <w:rPr>
          <w:spacing w:val="12"/>
        </w:rPr>
        <w:t xml:space="preserve"> </w:t>
      </w:r>
      <w:r>
        <w:t>la</w:t>
      </w:r>
      <w:r>
        <w:rPr>
          <w:spacing w:val="12"/>
        </w:rPr>
        <w:t xml:space="preserve"> </w:t>
      </w:r>
      <w:r>
        <w:t>Recomendación</w:t>
      </w:r>
      <w:r>
        <w:rPr>
          <w:spacing w:val="12"/>
        </w:rPr>
        <w:t xml:space="preserve"> </w:t>
      </w:r>
      <w:r>
        <w:t>de</w:t>
      </w:r>
      <w:r>
        <w:rPr>
          <w:spacing w:val="12"/>
        </w:rPr>
        <w:t xml:space="preserve"> </w:t>
      </w:r>
      <w:r>
        <w:t>política</w:t>
      </w:r>
      <w:r>
        <w:rPr>
          <w:spacing w:val="12"/>
        </w:rPr>
        <w:t xml:space="preserve"> </w:t>
      </w:r>
      <w:r>
        <w:t>general</w:t>
      </w:r>
      <w:r>
        <w:rPr>
          <w:spacing w:val="12"/>
        </w:rPr>
        <w:t xml:space="preserve"> </w:t>
      </w:r>
      <w:r>
        <w:t>núm.</w:t>
      </w:r>
      <w:r>
        <w:rPr>
          <w:spacing w:val="13"/>
        </w:rPr>
        <w:t xml:space="preserve"> </w:t>
      </w:r>
      <w:r>
        <w:t>2</w:t>
      </w:r>
      <w:r>
        <w:rPr>
          <w:spacing w:val="12"/>
        </w:rPr>
        <w:t xml:space="preserve"> </w:t>
      </w:r>
      <w:r>
        <w:t>de</w:t>
      </w:r>
      <w:r>
        <w:rPr>
          <w:spacing w:val="12"/>
        </w:rPr>
        <w:t xml:space="preserve"> </w:t>
      </w:r>
      <w:r>
        <w:t>la</w:t>
      </w:r>
      <w:r>
        <w:rPr>
          <w:spacing w:val="12"/>
        </w:rPr>
        <w:t xml:space="preserve"> </w:t>
      </w:r>
      <w:r>
        <w:t>Comisión</w:t>
      </w:r>
      <w:r>
        <w:rPr>
          <w:spacing w:val="12"/>
        </w:rPr>
        <w:t xml:space="preserve"> </w:t>
      </w:r>
      <w:r>
        <w:t>Europea</w:t>
      </w:r>
      <w:r>
        <w:rPr>
          <w:spacing w:val="12"/>
        </w:rPr>
        <w:t xml:space="preserve"> </w:t>
      </w:r>
      <w:r>
        <w:t>contra</w:t>
      </w:r>
      <w:r>
        <w:rPr>
          <w:spacing w:val="12"/>
        </w:rPr>
        <w:t xml:space="preserve"> </w:t>
      </w:r>
      <w:r>
        <w:t>el</w:t>
      </w:r>
      <w:r>
        <w:rPr>
          <w:spacing w:val="12"/>
        </w:rPr>
        <w:t xml:space="preserve"> </w:t>
      </w:r>
      <w:r>
        <w:t>Racismo</w:t>
      </w:r>
      <w:r>
        <w:rPr>
          <w:spacing w:val="12"/>
        </w:rPr>
        <w:t xml:space="preserve"> </w:t>
      </w:r>
      <w:r>
        <w:t>y</w:t>
      </w:r>
      <w:r>
        <w:rPr>
          <w:spacing w:val="12"/>
        </w:rPr>
        <w:t xml:space="preserve"> </w:t>
      </w:r>
      <w:r>
        <w:t>la</w:t>
      </w:r>
      <w:r>
        <w:rPr>
          <w:spacing w:val="12"/>
        </w:rPr>
        <w:t xml:space="preserve"> </w:t>
      </w:r>
      <w:r>
        <w:t>Intolerancia establece que los organismos de igualdad deben “tener las competencias, poderes y recursos necesarios para lograr un impacto real”, tanto en términos de llevar a cabo funciones políticas como de en asistencia a las víctimas y la adopción de medidas para combatir la discriminación sistémica.738 Continúa sugiriendo varias medidas diseñadas para garantizar que los organismos de igualdad tengan los recursos necesarios para ejecutar sus mandatos.739 Estas incluyen la provisión de “personal y fondos suficientes”, el establecimiento de un presupuesto independiente y la introducción de controles legales para garantizar que este presupuesto esté protegido (incluso contra cualquier posible reducción por parte del ejecutivo), monitoreado y ampliado cuando</w:t>
      </w:r>
      <w:r>
        <w:rPr>
          <w:spacing w:val="80"/>
        </w:rPr>
        <w:t xml:space="preserve"> </w:t>
      </w:r>
      <w:r>
        <w:t>sea necesario para satisfacer las necesidades del organismo de igualdad.740</w:t>
      </w:r>
    </w:p>
    <w:p w14:paraId="11591BE3" w14:textId="77777777" w:rsidR="0014798C" w:rsidRDefault="004E1F0B">
      <w:pPr>
        <w:numPr>
          <w:ilvl w:val="0"/>
          <w:numId w:val="41"/>
        </w:numPr>
        <w:tabs>
          <w:tab w:val="left" w:pos="1369"/>
        </w:tabs>
        <w:spacing w:before="256"/>
        <w:ind w:left="1369" w:hanging="252"/>
        <w:rPr>
          <w:color w:val="00AC59"/>
          <w:sz w:val="23"/>
        </w:rPr>
      </w:pPr>
      <w:r>
        <w:rPr>
          <w:color w:val="00AC59"/>
          <w:sz w:val="23"/>
        </w:rPr>
        <w:t>Inclusión,</w:t>
      </w:r>
      <w:r>
        <w:rPr>
          <w:color w:val="00AC59"/>
          <w:spacing w:val="-12"/>
          <w:sz w:val="23"/>
        </w:rPr>
        <w:t xml:space="preserve"> </w:t>
      </w:r>
      <w:r>
        <w:rPr>
          <w:color w:val="00AC59"/>
          <w:sz w:val="23"/>
        </w:rPr>
        <w:t>participación</w:t>
      </w:r>
      <w:r>
        <w:rPr>
          <w:color w:val="00AC59"/>
          <w:spacing w:val="-12"/>
          <w:sz w:val="23"/>
        </w:rPr>
        <w:t xml:space="preserve"> </w:t>
      </w:r>
      <w:r>
        <w:rPr>
          <w:color w:val="00AC59"/>
          <w:sz w:val="23"/>
        </w:rPr>
        <w:t>y</w:t>
      </w:r>
      <w:r>
        <w:rPr>
          <w:color w:val="00AC59"/>
          <w:spacing w:val="-12"/>
          <w:sz w:val="23"/>
        </w:rPr>
        <w:t xml:space="preserve"> </w:t>
      </w:r>
      <w:r>
        <w:rPr>
          <w:color w:val="00AC59"/>
          <w:sz w:val="23"/>
        </w:rPr>
        <w:t>garantía</w:t>
      </w:r>
      <w:r>
        <w:rPr>
          <w:color w:val="00AC59"/>
          <w:spacing w:val="-12"/>
          <w:sz w:val="23"/>
        </w:rPr>
        <w:t xml:space="preserve"> </w:t>
      </w:r>
      <w:r>
        <w:rPr>
          <w:color w:val="00AC59"/>
          <w:sz w:val="23"/>
        </w:rPr>
        <w:t>de</w:t>
      </w:r>
      <w:r>
        <w:rPr>
          <w:color w:val="00AC59"/>
          <w:spacing w:val="-12"/>
          <w:sz w:val="23"/>
        </w:rPr>
        <w:t xml:space="preserve"> </w:t>
      </w:r>
      <w:r>
        <w:rPr>
          <w:color w:val="00AC59"/>
          <w:sz w:val="23"/>
        </w:rPr>
        <w:t>la</w:t>
      </w:r>
      <w:r>
        <w:rPr>
          <w:color w:val="00AC59"/>
          <w:spacing w:val="-12"/>
          <w:sz w:val="23"/>
        </w:rPr>
        <w:t xml:space="preserve"> </w:t>
      </w:r>
      <w:r>
        <w:rPr>
          <w:color w:val="00AC59"/>
          <w:spacing w:val="-2"/>
          <w:sz w:val="23"/>
        </w:rPr>
        <w:t>diversidad</w:t>
      </w:r>
    </w:p>
    <w:p w14:paraId="228F988D" w14:textId="77777777" w:rsidR="0014798C" w:rsidRDefault="0014798C">
      <w:pPr>
        <w:pStyle w:val="Textoindependiente"/>
        <w:spacing w:before="44"/>
      </w:pPr>
    </w:p>
    <w:p w14:paraId="79DC1ED4" w14:textId="77777777" w:rsidR="0014798C" w:rsidRDefault="004E1F0B">
      <w:pPr>
        <w:pStyle w:val="Textoindependiente"/>
        <w:spacing w:line="326" w:lineRule="auto"/>
        <w:ind w:left="1107" w:right="1377" w:hanging="2"/>
      </w:pPr>
      <w:r>
        <w:t>Para ser eficaces, los organismos especializados en igualdad deben reflejar la diversidad de la sociedad e incluir a aquellas personas y grupos que están marginados en ella. El derecho de los tratados internacionales de derechos humanos exige la inclusión de las minorías en las estructuras establecidas para monitorear su implementación, así como un equilibrio de género adecuado.741 La Declaración sobre los derechos de las personas pertenecientes a minorías nacionales o étnicas, religiosas y lingüísticas</w:t>
      </w:r>
      <w:r>
        <w:rPr>
          <w:spacing w:val="18"/>
        </w:rPr>
        <w:t xml:space="preserve"> </w:t>
      </w:r>
      <w:r>
        <w:t>establece,</w:t>
      </w:r>
      <w:r>
        <w:rPr>
          <w:spacing w:val="19"/>
        </w:rPr>
        <w:t xml:space="preserve"> </w:t>
      </w:r>
      <w:r>
        <w:t>en</w:t>
      </w:r>
      <w:r>
        <w:rPr>
          <w:spacing w:val="18"/>
        </w:rPr>
        <w:t xml:space="preserve"> </w:t>
      </w:r>
      <w:r>
        <w:t>el</w:t>
      </w:r>
      <w:r>
        <w:rPr>
          <w:spacing w:val="18"/>
        </w:rPr>
        <w:t xml:space="preserve"> </w:t>
      </w:r>
      <w:r>
        <w:t>artículo</w:t>
      </w:r>
      <w:r>
        <w:rPr>
          <w:spacing w:val="18"/>
        </w:rPr>
        <w:t xml:space="preserve"> </w:t>
      </w:r>
      <w:r>
        <w:t>2,</w:t>
      </w:r>
      <w:r>
        <w:rPr>
          <w:spacing w:val="18"/>
        </w:rPr>
        <w:t xml:space="preserve"> </w:t>
      </w:r>
      <w:r>
        <w:t>que</w:t>
      </w:r>
      <w:r>
        <w:rPr>
          <w:spacing w:val="18"/>
        </w:rPr>
        <w:t xml:space="preserve"> </w:t>
      </w:r>
      <w:r>
        <w:t>“las</w:t>
      </w:r>
      <w:r>
        <w:rPr>
          <w:spacing w:val="18"/>
        </w:rPr>
        <w:t xml:space="preserve"> </w:t>
      </w:r>
      <w:r>
        <w:t>personas</w:t>
      </w:r>
      <w:r>
        <w:rPr>
          <w:spacing w:val="18"/>
        </w:rPr>
        <w:t xml:space="preserve"> </w:t>
      </w:r>
      <w:r>
        <w:t>pertenecientes</w:t>
      </w:r>
      <w:r>
        <w:rPr>
          <w:spacing w:val="18"/>
        </w:rPr>
        <w:t xml:space="preserve"> </w:t>
      </w:r>
      <w:r>
        <w:t>a</w:t>
      </w:r>
      <w:r>
        <w:rPr>
          <w:spacing w:val="18"/>
        </w:rPr>
        <w:t xml:space="preserve"> </w:t>
      </w:r>
      <w:r>
        <w:t>minorías</w:t>
      </w:r>
      <w:r>
        <w:rPr>
          <w:spacing w:val="18"/>
        </w:rPr>
        <w:t xml:space="preserve"> </w:t>
      </w:r>
      <w:r>
        <w:t>tienen</w:t>
      </w:r>
      <w:r>
        <w:rPr>
          <w:spacing w:val="18"/>
        </w:rPr>
        <w:t xml:space="preserve"> </w:t>
      </w:r>
      <w:r>
        <w:t>derecho</w:t>
      </w:r>
      <w:r>
        <w:rPr>
          <w:spacing w:val="18"/>
        </w:rPr>
        <w:t xml:space="preserve"> </w:t>
      </w:r>
      <w:r>
        <w:t>a</w:t>
      </w:r>
      <w:r>
        <w:rPr>
          <w:spacing w:val="18"/>
        </w:rPr>
        <w:t xml:space="preserve"> </w:t>
      </w:r>
      <w:r>
        <w:t>participar</w:t>
      </w:r>
      <w:r>
        <w:rPr>
          <w:spacing w:val="18"/>
        </w:rPr>
        <w:t xml:space="preserve"> </w:t>
      </w:r>
      <w:r>
        <w:t>efectivamente en la vida cultural, religiosa, social, económica y pública”742 y que “las personas pertenecientes a minorías tienen derecho a participar efectivamente en las decisiones a nivel nacional y, cuando corresponda,</w:t>
      </w:r>
      <w:r>
        <w:rPr>
          <w:spacing w:val="19"/>
        </w:rPr>
        <w:t xml:space="preserve"> </w:t>
      </w:r>
      <w:r>
        <w:t>regional ”. El Comité de Derechos</w:t>
      </w:r>
      <w:r>
        <w:rPr>
          <w:spacing w:val="40"/>
        </w:rPr>
        <w:t xml:space="preserve"> </w:t>
      </w:r>
      <w:r>
        <w:t>Económicos, Sociales y Culturales ha articulado el derecho a la participación pública en los procesos de toma de decisiones de “individuos y grupos de individuos, que puedan distinguirse por uno o más de los motivos prohibidos”.743</w:t>
      </w:r>
    </w:p>
    <w:p w14:paraId="0C97A168" w14:textId="77777777" w:rsidR="0014798C" w:rsidRDefault="004E1F0B">
      <w:pPr>
        <w:pStyle w:val="Textoindependiente"/>
        <w:spacing w:before="166" w:line="326" w:lineRule="auto"/>
        <w:ind w:left="1107" w:right="1283" w:firstLine="1"/>
      </w:pPr>
      <w:r>
        <w:t>En sus orientaciones, la Comisión Europea contra el Racismo y la Intolerancia recomienda que: “Los dirigentes, los órganos asesores,</w:t>
      </w:r>
      <w:r>
        <w:rPr>
          <w:spacing w:val="13"/>
        </w:rPr>
        <w:t xml:space="preserve"> </w:t>
      </w:r>
      <w:r>
        <w:t>la</w:t>
      </w:r>
      <w:r>
        <w:rPr>
          <w:spacing w:val="11"/>
        </w:rPr>
        <w:t xml:space="preserve"> </w:t>
      </w:r>
      <w:r>
        <w:t>alta</w:t>
      </w:r>
      <w:r>
        <w:rPr>
          <w:spacing w:val="11"/>
        </w:rPr>
        <w:t xml:space="preserve"> </w:t>
      </w:r>
      <w:r>
        <w:t>dirección</w:t>
      </w:r>
      <w:r>
        <w:rPr>
          <w:spacing w:val="11"/>
        </w:rPr>
        <w:t xml:space="preserve"> </w:t>
      </w:r>
      <w:r>
        <w:t>y</w:t>
      </w:r>
      <w:r>
        <w:rPr>
          <w:spacing w:val="11"/>
        </w:rPr>
        <w:t xml:space="preserve"> </w:t>
      </w:r>
      <w:r>
        <w:t>el</w:t>
      </w:r>
      <w:r>
        <w:rPr>
          <w:spacing w:val="11"/>
        </w:rPr>
        <w:t xml:space="preserve"> </w:t>
      </w:r>
      <w:r>
        <w:t>personal</w:t>
      </w:r>
      <w:r>
        <w:rPr>
          <w:spacing w:val="11"/>
        </w:rPr>
        <w:t xml:space="preserve"> </w:t>
      </w:r>
      <w:r>
        <w:t>de</w:t>
      </w:r>
      <w:r>
        <w:rPr>
          <w:spacing w:val="11"/>
        </w:rPr>
        <w:t xml:space="preserve"> </w:t>
      </w:r>
      <w:r>
        <w:t>los</w:t>
      </w:r>
      <w:r>
        <w:rPr>
          <w:spacing w:val="11"/>
        </w:rPr>
        <w:t xml:space="preserve"> </w:t>
      </w:r>
      <w:r>
        <w:t>órganos</w:t>
      </w:r>
      <w:r>
        <w:rPr>
          <w:spacing w:val="11"/>
        </w:rPr>
        <w:t xml:space="preserve"> </w:t>
      </w:r>
      <w:r>
        <w:t>de</w:t>
      </w:r>
      <w:r>
        <w:rPr>
          <w:spacing w:val="11"/>
        </w:rPr>
        <w:t xml:space="preserve"> </w:t>
      </w:r>
      <w:r>
        <w:t>igualdad</w:t>
      </w:r>
      <w:r>
        <w:rPr>
          <w:spacing w:val="11"/>
        </w:rPr>
        <w:t xml:space="preserve"> </w:t>
      </w:r>
      <w:r>
        <w:t>deben,</w:t>
      </w:r>
      <w:r>
        <w:rPr>
          <w:spacing w:val="13"/>
        </w:rPr>
        <w:t xml:space="preserve"> </w:t>
      </w:r>
      <w:r>
        <w:t>en</w:t>
      </w:r>
      <w:r>
        <w:rPr>
          <w:spacing w:val="11"/>
        </w:rPr>
        <w:t xml:space="preserve"> </w:t>
      </w:r>
      <w:r>
        <w:t>la</w:t>
      </w:r>
      <w:r>
        <w:rPr>
          <w:spacing w:val="11"/>
        </w:rPr>
        <w:t xml:space="preserve"> </w:t>
      </w:r>
      <w:r>
        <w:t>medida</w:t>
      </w:r>
      <w:r>
        <w:rPr>
          <w:spacing w:val="11"/>
        </w:rPr>
        <w:t xml:space="preserve"> </w:t>
      </w:r>
      <w:r>
        <w:t>de</w:t>
      </w:r>
      <w:r>
        <w:rPr>
          <w:spacing w:val="11"/>
        </w:rPr>
        <w:t xml:space="preserve"> </w:t>
      </w:r>
      <w:r>
        <w:t>lo</w:t>
      </w:r>
      <w:r>
        <w:rPr>
          <w:spacing w:val="11"/>
        </w:rPr>
        <w:t xml:space="preserve"> </w:t>
      </w:r>
      <w:r>
        <w:t>posible,</w:t>
      </w:r>
      <w:r>
        <w:rPr>
          <w:spacing w:val="13"/>
        </w:rPr>
        <w:t xml:space="preserve"> </w:t>
      </w:r>
      <w:r>
        <w:t>reflejar</w:t>
      </w:r>
      <w:r>
        <w:rPr>
          <w:spacing w:val="11"/>
        </w:rPr>
        <w:t xml:space="preserve"> </w:t>
      </w:r>
      <w:r>
        <w:t>la</w:t>
      </w:r>
      <w:r>
        <w:rPr>
          <w:spacing w:val="11"/>
        </w:rPr>
        <w:t xml:space="preserve"> </w:t>
      </w:r>
      <w:r>
        <w:t>diversidad</w:t>
      </w:r>
      <w:r>
        <w:rPr>
          <w:spacing w:val="11"/>
        </w:rPr>
        <w:t xml:space="preserve"> </w:t>
      </w:r>
      <w:r>
        <w:t>de la sociedad en general y tener equilibrio de género”.744 De manera análoga, al presentar solicitudes para la denominada acreditación</w:t>
      </w:r>
      <w:r>
        <w:rPr>
          <w:spacing w:val="15"/>
        </w:rPr>
        <w:t xml:space="preserve"> </w:t>
      </w:r>
      <w:r>
        <w:t>del</w:t>
      </w:r>
      <w:r>
        <w:rPr>
          <w:spacing w:val="15"/>
        </w:rPr>
        <w:t xml:space="preserve"> </w:t>
      </w:r>
      <w:r>
        <w:t>estatus</w:t>
      </w:r>
      <w:r>
        <w:rPr>
          <w:spacing w:val="15"/>
        </w:rPr>
        <w:t xml:space="preserve"> </w:t>
      </w:r>
      <w:r>
        <w:t>A</w:t>
      </w:r>
      <w:r>
        <w:rPr>
          <w:spacing w:val="15"/>
        </w:rPr>
        <w:t xml:space="preserve"> </w:t>
      </w:r>
      <w:r>
        <w:t>como</w:t>
      </w:r>
      <w:r>
        <w:rPr>
          <w:spacing w:val="15"/>
        </w:rPr>
        <w:t xml:space="preserve"> </w:t>
      </w:r>
      <w:r>
        <w:t>institución</w:t>
      </w:r>
      <w:r>
        <w:rPr>
          <w:spacing w:val="15"/>
        </w:rPr>
        <w:t xml:space="preserve"> </w:t>
      </w:r>
      <w:r>
        <w:t>nacional</w:t>
      </w:r>
      <w:r>
        <w:rPr>
          <w:spacing w:val="15"/>
        </w:rPr>
        <w:t xml:space="preserve"> </w:t>
      </w:r>
      <w:r>
        <w:t>de</w:t>
      </w:r>
      <w:r>
        <w:rPr>
          <w:spacing w:val="15"/>
        </w:rPr>
        <w:t xml:space="preserve"> </w:t>
      </w:r>
      <w:r>
        <w:t>derechos</w:t>
      </w:r>
      <w:r>
        <w:rPr>
          <w:spacing w:val="15"/>
        </w:rPr>
        <w:t xml:space="preserve"> </w:t>
      </w:r>
      <w:r>
        <w:t>humanos,</w:t>
      </w:r>
      <w:r>
        <w:rPr>
          <w:spacing w:val="16"/>
        </w:rPr>
        <w:t xml:space="preserve"> </w:t>
      </w:r>
      <w:r>
        <w:t>se</w:t>
      </w:r>
      <w:r>
        <w:rPr>
          <w:spacing w:val="15"/>
        </w:rPr>
        <w:t xml:space="preserve"> </w:t>
      </w:r>
      <w:r>
        <w:t>espera</w:t>
      </w:r>
      <w:r>
        <w:rPr>
          <w:spacing w:val="15"/>
        </w:rPr>
        <w:t xml:space="preserve"> </w:t>
      </w:r>
      <w:r>
        <w:t>que</w:t>
      </w:r>
      <w:r>
        <w:rPr>
          <w:spacing w:val="15"/>
        </w:rPr>
        <w:t xml:space="preserve"> </w:t>
      </w:r>
      <w:r>
        <w:t>dichas</w:t>
      </w:r>
      <w:r>
        <w:rPr>
          <w:spacing w:val="15"/>
        </w:rPr>
        <w:t xml:space="preserve"> </w:t>
      </w:r>
      <w:r>
        <w:t>instituciones</w:t>
      </w:r>
      <w:r>
        <w:rPr>
          <w:spacing w:val="15"/>
        </w:rPr>
        <w:t xml:space="preserve"> </w:t>
      </w:r>
      <w:r>
        <w:t>demuestren</w:t>
      </w:r>
      <w:r>
        <w:rPr>
          <w:spacing w:val="15"/>
        </w:rPr>
        <w:t xml:space="preserve"> </w:t>
      </w:r>
      <w:r>
        <w:t>que su</w:t>
      </w:r>
      <w:r>
        <w:rPr>
          <w:spacing w:val="-3"/>
        </w:rPr>
        <w:t xml:space="preserve"> </w:t>
      </w:r>
      <w:r>
        <w:t>ley</w:t>
      </w:r>
      <w:r>
        <w:rPr>
          <w:spacing w:val="-3"/>
        </w:rPr>
        <w:t xml:space="preserve"> </w:t>
      </w:r>
      <w:r>
        <w:t>fundacional</w:t>
      </w:r>
      <w:r>
        <w:rPr>
          <w:spacing w:val="-3"/>
        </w:rPr>
        <w:t xml:space="preserve"> </w:t>
      </w:r>
      <w:r>
        <w:t>“requiere</w:t>
      </w:r>
      <w:r>
        <w:rPr>
          <w:spacing w:val="-3"/>
        </w:rPr>
        <w:t xml:space="preserve"> </w:t>
      </w:r>
      <w:r>
        <w:t>una</w:t>
      </w:r>
      <w:r>
        <w:rPr>
          <w:spacing w:val="-3"/>
        </w:rPr>
        <w:t xml:space="preserve"> </w:t>
      </w:r>
      <w:r>
        <w:t>composición</w:t>
      </w:r>
      <w:r>
        <w:rPr>
          <w:spacing w:val="-3"/>
        </w:rPr>
        <w:t xml:space="preserve"> </w:t>
      </w:r>
      <w:r>
        <w:t>diversa</w:t>
      </w:r>
      <w:r>
        <w:rPr>
          <w:spacing w:val="-3"/>
        </w:rPr>
        <w:t xml:space="preserve"> </w:t>
      </w:r>
      <w:r>
        <w:t>de</w:t>
      </w:r>
      <w:r>
        <w:rPr>
          <w:spacing w:val="-3"/>
        </w:rPr>
        <w:t xml:space="preserve"> </w:t>
      </w:r>
      <w:r>
        <w:t>miembros;</w:t>
      </w:r>
      <w:r>
        <w:rPr>
          <w:spacing w:val="-2"/>
        </w:rPr>
        <w:t xml:space="preserve"> </w:t>
      </w:r>
      <w:r>
        <w:t>…</w:t>
      </w:r>
      <w:r>
        <w:rPr>
          <w:spacing w:val="-3"/>
        </w:rPr>
        <w:t xml:space="preserve"> </w:t>
      </w:r>
      <w:r>
        <w:t>representación</w:t>
      </w:r>
      <w:r>
        <w:rPr>
          <w:spacing w:val="-3"/>
        </w:rPr>
        <w:t xml:space="preserve"> </w:t>
      </w:r>
      <w:r>
        <w:t>de</w:t>
      </w:r>
      <w:r>
        <w:rPr>
          <w:spacing w:val="-3"/>
        </w:rPr>
        <w:t xml:space="preserve"> </w:t>
      </w:r>
      <w:r>
        <w:t>las</w:t>
      </w:r>
      <w:r>
        <w:rPr>
          <w:spacing w:val="-3"/>
        </w:rPr>
        <w:t xml:space="preserve"> </w:t>
      </w:r>
      <w:r>
        <w:t>mujeres;</w:t>
      </w:r>
      <w:r>
        <w:rPr>
          <w:spacing w:val="-2"/>
        </w:rPr>
        <w:t xml:space="preserve"> </w:t>
      </w:r>
      <w:r>
        <w:t>representación</w:t>
      </w:r>
      <w:r>
        <w:rPr>
          <w:spacing w:val="-3"/>
        </w:rPr>
        <w:t xml:space="preserve"> </w:t>
      </w:r>
      <w:r>
        <w:t>de</w:t>
      </w:r>
      <w:r>
        <w:rPr>
          <w:spacing w:val="-3"/>
        </w:rPr>
        <w:t xml:space="preserve"> </w:t>
      </w:r>
      <w:r>
        <w:t xml:space="preserve">grupos étnicos o minoritarios (por ejemplo, minorías indígenas, religiosas, </w:t>
      </w:r>
      <w:proofErr w:type="gramStart"/>
      <w:r>
        <w:t>etc.);</w:t>
      </w:r>
      <w:proofErr w:type="gramEnd"/>
      <w:r>
        <w:t xml:space="preserve"> [y] representación de grupos particulares (por ejemplo, personas con discapacidad, etc.)”.745 Estas reglas son directamente aplicables tanto a las instituciones nacionales de derechos humanos como a los organismos de igualdad.746</w:t>
      </w:r>
    </w:p>
    <w:p w14:paraId="3017C5F5" w14:textId="77777777" w:rsidR="0014798C" w:rsidRDefault="004E1F0B">
      <w:pPr>
        <w:pStyle w:val="Textoindependiente"/>
        <w:spacing w:before="166" w:line="326" w:lineRule="auto"/>
        <w:ind w:left="1107" w:right="1463" w:firstLine="2"/>
      </w:pPr>
      <w:r>
        <w:t>Los organismos de igualdad deben buscar la participación directa de personas y grupos expuestos a la discriminación y</w:t>
      </w:r>
      <w:r>
        <w:rPr>
          <w:spacing w:val="80"/>
        </w:rPr>
        <w:t xml:space="preserve"> </w:t>
      </w:r>
      <w:r>
        <w:t>colaborar con organizaciones de la sociedad civil y defensores de los derechos humanos, incluidos aquellos que representan a mujeres, grupos minoritarios u otros grupos.747 El Comité sobre los Derechos de las Personas con Discapacidad ha señalado este punto en sus orientaciones, señalando que los mecanismos independientes establecidos en virtud del artículo 33 (2) de la Convención “deben garantizar la plena implicación y participación de las personas con discapacidad y sus representantes”.</w:t>
      </w:r>
    </w:p>
    <w:p w14:paraId="1B12242B" w14:textId="77777777" w:rsidR="0014798C" w:rsidRDefault="0014798C">
      <w:pPr>
        <w:pStyle w:val="Textoindependiente"/>
        <w:rPr>
          <w:sz w:val="12"/>
        </w:rPr>
      </w:pPr>
    </w:p>
    <w:p w14:paraId="22024922" w14:textId="77777777" w:rsidR="0014798C" w:rsidRDefault="0014798C">
      <w:pPr>
        <w:pStyle w:val="Textoindependiente"/>
        <w:rPr>
          <w:sz w:val="12"/>
        </w:rPr>
      </w:pPr>
    </w:p>
    <w:p w14:paraId="4CBC6A14" w14:textId="77777777" w:rsidR="0014798C" w:rsidRDefault="0014798C">
      <w:pPr>
        <w:pStyle w:val="Textoindependiente"/>
        <w:rPr>
          <w:sz w:val="12"/>
        </w:rPr>
      </w:pPr>
    </w:p>
    <w:p w14:paraId="733E5B1A" w14:textId="77777777" w:rsidR="0014798C" w:rsidRDefault="0014798C">
      <w:pPr>
        <w:pStyle w:val="Textoindependiente"/>
        <w:rPr>
          <w:sz w:val="12"/>
        </w:rPr>
      </w:pPr>
    </w:p>
    <w:p w14:paraId="3A39EC7B" w14:textId="77777777" w:rsidR="0014798C" w:rsidRDefault="0014798C">
      <w:pPr>
        <w:pStyle w:val="Textoindependiente"/>
        <w:spacing w:before="65"/>
        <w:rPr>
          <w:sz w:val="12"/>
        </w:rPr>
      </w:pPr>
    </w:p>
    <w:p w14:paraId="5B320439" w14:textId="77777777" w:rsidR="0014798C" w:rsidRDefault="004E1F0B">
      <w:pPr>
        <w:pStyle w:val="Prrafodelista"/>
        <w:numPr>
          <w:ilvl w:val="0"/>
          <w:numId w:val="39"/>
        </w:numPr>
        <w:tabs>
          <w:tab w:val="left" w:pos="1336"/>
        </w:tabs>
        <w:ind w:left="1336" w:hanging="228"/>
        <w:rPr>
          <w:sz w:val="12"/>
        </w:rPr>
      </w:pPr>
      <w:r>
        <w:rPr>
          <w:sz w:val="12"/>
        </w:rPr>
        <w:t>Recomendación</w:t>
      </w:r>
      <w:r>
        <w:rPr>
          <w:spacing w:val="-8"/>
          <w:sz w:val="12"/>
        </w:rPr>
        <w:t xml:space="preserve"> </w:t>
      </w:r>
      <w:r>
        <w:rPr>
          <w:sz w:val="12"/>
        </w:rPr>
        <w:t>de</w:t>
      </w:r>
      <w:r>
        <w:rPr>
          <w:spacing w:val="-8"/>
          <w:sz w:val="12"/>
        </w:rPr>
        <w:t xml:space="preserve"> </w:t>
      </w:r>
      <w:r>
        <w:rPr>
          <w:sz w:val="12"/>
        </w:rPr>
        <w:t>la</w:t>
      </w:r>
      <w:r>
        <w:rPr>
          <w:spacing w:val="-8"/>
          <w:sz w:val="12"/>
        </w:rPr>
        <w:t xml:space="preserve"> </w:t>
      </w:r>
      <w:r>
        <w:rPr>
          <w:sz w:val="12"/>
        </w:rPr>
        <w:t>Comisión</w:t>
      </w:r>
      <w:r>
        <w:rPr>
          <w:spacing w:val="-8"/>
          <w:sz w:val="12"/>
        </w:rPr>
        <w:t xml:space="preserve"> </w:t>
      </w:r>
      <w:r>
        <w:rPr>
          <w:sz w:val="12"/>
        </w:rPr>
        <w:t>(UE)</w:t>
      </w:r>
      <w:r>
        <w:rPr>
          <w:spacing w:val="-8"/>
          <w:sz w:val="12"/>
        </w:rPr>
        <w:t xml:space="preserve"> </w:t>
      </w:r>
      <w:r>
        <w:rPr>
          <w:sz w:val="12"/>
        </w:rPr>
        <w:t>2018/951</w:t>
      </w:r>
      <w:r>
        <w:rPr>
          <w:spacing w:val="-8"/>
          <w:sz w:val="12"/>
        </w:rPr>
        <w:t xml:space="preserve"> </w:t>
      </w:r>
      <w:r>
        <w:rPr>
          <w:sz w:val="12"/>
        </w:rPr>
        <w:t>de</w:t>
      </w:r>
      <w:r>
        <w:rPr>
          <w:spacing w:val="-8"/>
          <w:sz w:val="12"/>
        </w:rPr>
        <w:t xml:space="preserve"> </w:t>
      </w:r>
      <w:r>
        <w:rPr>
          <w:sz w:val="12"/>
        </w:rPr>
        <w:t>22</w:t>
      </w:r>
      <w:r>
        <w:rPr>
          <w:spacing w:val="-8"/>
          <w:sz w:val="12"/>
        </w:rPr>
        <w:t xml:space="preserve"> </w:t>
      </w:r>
      <w:r>
        <w:rPr>
          <w:sz w:val="12"/>
        </w:rPr>
        <w:t>de</w:t>
      </w:r>
      <w:r>
        <w:rPr>
          <w:spacing w:val="-8"/>
          <w:sz w:val="12"/>
        </w:rPr>
        <w:t xml:space="preserve"> </w:t>
      </w:r>
      <w:r>
        <w:rPr>
          <w:sz w:val="12"/>
        </w:rPr>
        <w:t>junio</w:t>
      </w:r>
      <w:r>
        <w:rPr>
          <w:spacing w:val="-8"/>
          <w:sz w:val="12"/>
        </w:rPr>
        <w:t xml:space="preserve"> </w:t>
      </w:r>
      <w:r>
        <w:rPr>
          <w:sz w:val="12"/>
        </w:rPr>
        <w:t>de</w:t>
      </w:r>
      <w:r>
        <w:rPr>
          <w:spacing w:val="-8"/>
          <w:sz w:val="12"/>
        </w:rPr>
        <w:t xml:space="preserve"> </w:t>
      </w:r>
      <w:r>
        <w:rPr>
          <w:sz w:val="12"/>
        </w:rPr>
        <w:t>2018</w:t>
      </w:r>
      <w:r>
        <w:rPr>
          <w:spacing w:val="-8"/>
          <w:sz w:val="12"/>
        </w:rPr>
        <w:t xml:space="preserve"> </w:t>
      </w:r>
      <w:r>
        <w:rPr>
          <w:sz w:val="12"/>
        </w:rPr>
        <w:t>sobre</w:t>
      </w:r>
      <w:r>
        <w:rPr>
          <w:spacing w:val="-8"/>
          <w:sz w:val="12"/>
        </w:rPr>
        <w:t xml:space="preserve"> </w:t>
      </w:r>
      <w:r>
        <w:rPr>
          <w:sz w:val="12"/>
        </w:rPr>
        <w:t>estándares</w:t>
      </w:r>
      <w:r>
        <w:rPr>
          <w:spacing w:val="-8"/>
          <w:sz w:val="12"/>
        </w:rPr>
        <w:t xml:space="preserve"> </w:t>
      </w:r>
      <w:r>
        <w:rPr>
          <w:sz w:val="12"/>
        </w:rPr>
        <w:t>para</w:t>
      </w:r>
      <w:r>
        <w:rPr>
          <w:spacing w:val="-8"/>
          <w:sz w:val="12"/>
        </w:rPr>
        <w:t xml:space="preserve"> </w:t>
      </w:r>
      <w:r>
        <w:rPr>
          <w:sz w:val="12"/>
        </w:rPr>
        <w:t>organismos</w:t>
      </w:r>
      <w:r>
        <w:rPr>
          <w:spacing w:val="-8"/>
          <w:sz w:val="12"/>
        </w:rPr>
        <w:t xml:space="preserve"> </w:t>
      </w:r>
      <w:r>
        <w:rPr>
          <w:sz w:val="12"/>
        </w:rPr>
        <w:t>de</w:t>
      </w:r>
      <w:r>
        <w:rPr>
          <w:spacing w:val="-8"/>
          <w:sz w:val="12"/>
        </w:rPr>
        <w:t xml:space="preserve"> </w:t>
      </w:r>
      <w:r>
        <w:rPr>
          <w:sz w:val="12"/>
        </w:rPr>
        <w:t>igualdad,</w:t>
      </w:r>
      <w:r>
        <w:rPr>
          <w:spacing w:val="-7"/>
          <w:sz w:val="12"/>
        </w:rPr>
        <w:t xml:space="preserve"> </w:t>
      </w:r>
      <w:r>
        <w:rPr>
          <w:sz w:val="12"/>
        </w:rPr>
        <w:t>recomendación</w:t>
      </w:r>
      <w:r>
        <w:rPr>
          <w:spacing w:val="-8"/>
          <w:sz w:val="12"/>
        </w:rPr>
        <w:t xml:space="preserve"> </w:t>
      </w:r>
      <w:r>
        <w:rPr>
          <w:sz w:val="12"/>
        </w:rPr>
        <w:t>1.2.2</w:t>
      </w:r>
      <w:r>
        <w:rPr>
          <w:spacing w:val="-8"/>
          <w:sz w:val="12"/>
        </w:rPr>
        <w:t xml:space="preserve"> </w:t>
      </w:r>
      <w:r>
        <w:rPr>
          <w:spacing w:val="-4"/>
          <w:sz w:val="12"/>
        </w:rPr>
        <w:t>(1).</w:t>
      </w:r>
    </w:p>
    <w:p w14:paraId="28D8DADF" w14:textId="77777777" w:rsidR="0014798C" w:rsidRDefault="004E1F0B">
      <w:pPr>
        <w:pStyle w:val="Prrafodelista"/>
        <w:numPr>
          <w:ilvl w:val="0"/>
          <w:numId w:val="39"/>
        </w:numPr>
        <w:tabs>
          <w:tab w:val="left" w:pos="1336"/>
        </w:tabs>
        <w:spacing w:before="99"/>
        <w:ind w:left="1336" w:hanging="228"/>
        <w:rPr>
          <w:sz w:val="12"/>
        </w:rPr>
      </w:pPr>
      <w:r>
        <w:rPr>
          <w:spacing w:val="-2"/>
          <w:sz w:val="12"/>
        </w:rPr>
        <w:t>Consejo</w:t>
      </w:r>
      <w:r>
        <w:rPr>
          <w:spacing w:val="2"/>
          <w:sz w:val="12"/>
        </w:rPr>
        <w:t xml:space="preserve"> </w:t>
      </w:r>
      <w:r>
        <w:rPr>
          <w:spacing w:val="-2"/>
          <w:sz w:val="12"/>
        </w:rPr>
        <w:t>de</w:t>
      </w:r>
      <w:r>
        <w:rPr>
          <w:spacing w:val="2"/>
          <w:sz w:val="12"/>
        </w:rPr>
        <w:t xml:space="preserve"> </w:t>
      </w:r>
      <w:r>
        <w:rPr>
          <w:spacing w:val="-2"/>
          <w:sz w:val="12"/>
        </w:rPr>
        <w:t>Europa,</w:t>
      </w:r>
      <w:r>
        <w:rPr>
          <w:spacing w:val="2"/>
          <w:sz w:val="12"/>
        </w:rPr>
        <w:t xml:space="preserve"> </w:t>
      </w:r>
      <w:r>
        <w:rPr>
          <w:spacing w:val="-2"/>
          <w:sz w:val="12"/>
        </w:rPr>
        <w:t>Comisión</w:t>
      </w:r>
      <w:r>
        <w:rPr>
          <w:spacing w:val="2"/>
          <w:sz w:val="12"/>
        </w:rPr>
        <w:t xml:space="preserve"> </w:t>
      </w:r>
      <w:r>
        <w:rPr>
          <w:spacing w:val="-2"/>
          <w:sz w:val="12"/>
        </w:rPr>
        <w:t>Europea</w:t>
      </w:r>
      <w:r>
        <w:rPr>
          <w:spacing w:val="3"/>
          <w:sz w:val="12"/>
        </w:rPr>
        <w:t xml:space="preserve"> </w:t>
      </w:r>
      <w:r>
        <w:rPr>
          <w:spacing w:val="-2"/>
          <w:sz w:val="12"/>
        </w:rPr>
        <w:t>contra</w:t>
      </w:r>
      <w:r>
        <w:rPr>
          <w:spacing w:val="2"/>
          <w:sz w:val="12"/>
        </w:rPr>
        <w:t xml:space="preserve"> </w:t>
      </w:r>
      <w:r>
        <w:rPr>
          <w:spacing w:val="-2"/>
          <w:sz w:val="12"/>
        </w:rPr>
        <w:t>el</w:t>
      </w:r>
      <w:r>
        <w:rPr>
          <w:spacing w:val="2"/>
          <w:sz w:val="12"/>
        </w:rPr>
        <w:t xml:space="preserve"> </w:t>
      </w:r>
      <w:r>
        <w:rPr>
          <w:spacing w:val="-2"/>
          <w:sz w:val="12"/>
        </w:rPr>
        <w:t>Racismo</w:t>
      </w:r>
      <w:r>
        <w:rPr>
          <w:spacing w:val="2"/>
          <w:sz w:val="12"/>
        </w:rPr>
        <w:t xml:space="preserve"> </w:t>
      </w:r>
      <w:r>
        <w:rPr>
          <w:spacing w:val="-2"/>
          <w:sz w:val="12"/>
        </w:rPr>
        <w:t>y</w:t>
      </w:r>
      <w:r>
        <w:rPr>
          <w:spacing w:val="2"/>
          <w:sz w:val="12"/>
        </w:rPr>
        <w:t xml:space="preserve"> </w:t>
      </w:r>
      <w:r>
        <w:rPr>
          <w:spacing w:val="-2"/>
          <w:sz w:val="12"/>
        </w:rPr>
        <w:t>la</w:t>
      </w:r>
      <w:r>
        <w:rPr>
          <w:spacing w:val="3"/>
          <w:sz w:val="12"/>
        </w:rPr>
        <w:t xml:space="preserve"> </w:t>
      </w:r>
      <w:r>
        <w:rPr>
          <w:spacing w:val="-2"/>
          <w:sz w:val="12"/>
        </w:rPr>
        <w:t>Intolerancia,</w:t>
      </w:r>
      <w:r>
        <w:rPr>
          <w:spacing w:val="3"/>
          <w:sz w:val="12"/>
        </w:rPr>
        <w:t xml:space="preserve"> </w:t>
      </w:r>
      <w:r>
        <w:rPr>
          <w:spacing w:val="-2"/>
          <w:sz w:val="12"/>
        </w:rPr>
        <w:t>“Recomendación</w:t>
      </w:r>
      <w:r>
        <w:rPr>
          <w:spacing w:val="2"/>
          <w:sz w:val="12"/>
        </w:rPr>
        <w:t xml:space="preserve"> </w:t>
      </w:r>
      <w:r>
        <w:rPr>
          <w:spacing w:val="-2"/>
          <w:sz w:val="12"/>
        </w:rPr>
        <w:t>de</w:t>
      </w:r>
      <w:r>
        <w:rPr>
          <w:spacing w:val="2"/>
          <w:sz w:val="12"/>
        </w:rPr>
        <w:t xml:space="preserve"> </w:t>
      </w:r>
      <w:r>
        <w:rPr>
          <w:spacing w:val="-2"/>
          <w:sz w:val="12"/>
        </w:rPr>
        <w:t>política</w:t>
      </w:r>
      <w:r>
        <w:rPr>
          <w:spacing w:val="2"/>
          <w:sz w:val="12"/>
        </w:rPr>
        <w:t xml:space="preserve"> </w:t>
      </w:r>
      <w:r>
        <w:rPr>
          <w:spacing w:val="-2"/>
          <w:sz w:val="12"/>
        </w:rPr>
        <w:t>general</w:t>
      </w:r>
      <w:r>
        <w:rPr>
          <w:spacing w:val="3"/>
          <w:sz w:val="12"/>
        </w:rPr>
        <w:t xml:space="preserve"> </w:t>
      </w:r>
      <w:r>
        <w:rPr>
          <w:spacing w:val="-2"/>
          <w:sz w:val="12"/>
        </w:rPr>
        <w:t>No.</w:t>
      </w:r>
      <w:r>
        <w:rPr>
          <w:spacing w:val="2"/>
          <w:sz w:val="12"/>
        </w:rPr>
        <w:t xml:space="preserve"> </w:t>
      </w:r>
      <w:r>
        <w:rPr>
          <w:spacing w:val="-2"/>
          <w:sz w:val="12"/>
        </w:rPr>
        <w:t>2</w:t>
      </w:r>
      <w:r>
        <w:rPr>
          <w:spacing w:val="2"/>
          <w:sz w:val="12"/>
        </w:rPr>
        <w:t xml:space="preserve"> </w:t>
      </w:r>
      <w:r>
        <w:rPr>
          <w:spacing w:val="-2"/>
          <w:sz w:val="12"/>
        </w:rPr>
        <w:t>de</w:t>
      </w:r>
      <w:r>
        <w:rPr>
          <w:spacing w:val="2"/>
          <w:sz w:val="12"/>
        </w:rPr>
        <w:t xml:space="preserve"> </w:t>
      </w:r>
      <w:r>
        <w:rPr>
          <w:spacing w:val="-2"/>
          <w:sz w:val="12"/>
        </w:rPr>
        <w:t>la</w:t>
      </w:r>
      <w:r>
        <w:rPr>
          <w:spacing w:val="3"/>
          <w:sz w:val="12"/>
        </w:rPr>
        <w:t xml:space="preserve"> </w:t>
      </w:r>
      <w:r>
        <w:rPr>
          <w:spacing w:val="-2"/>
          <w:sz w:val="12"/>
        </w:rPr>
        <w:t>ECRI”,</w:t>
      </w:r>
      <w:r>
        <w:rPr>
          <w:spacing w:val="2"/>
          <w:sz w:val="12"/>
        </w:rPr>
        <w:t xml:space="preserve"> </w:t>
      </w:r>
      <w:r>
        <w:rPr>
          <w:spacing w:val="-2"/>
          <w:sz w:val="12"/>
        </w:rPr>
        <w:t>párr.</w:t>
      </w:r>
      <w:r>
        <w:rPr>
          <w:spacing w:val="2"/>
          <w:sz w:val="12"/>
        </w:rPr>
        <w:t xml:space="preserve"> </w:t>
      </w:r>
      <w:r>
        <w:rPr>
          <w:spacing w:val="-5"/>
          <w:sz w:val="12"/>
        </w:rPr>
        <w:t>2.</w:t>
      </w:r>
    </w:p>
    <w:p w14:paraId="22516086" w14:textId="77777777" w:rsidR="0014798C" w:rsidRDefault="004E1F0B">
      <w:pPr>
        <w:pStyle w:val="Prrafodelista"/>
        <w:numPr>
          <w:ilvl w:val="0"/>
          <w:numId w:val="39"/>
        </w:numPr>
        <w:tabs>
          <w:tab w:val="left" w:pos="1336"/>
        </w:tabs>
        <w:spacing w:before="98"/>
        <w:ind w:left="1336" w:hanging="228"/>
        <w:rPr>
          <w:sz w:val="12"/>
        </w:rPr>
      </w:pPr>
      <w:proofErr w:type="spellStart"/>
      <w:r>
        <w:rPr>
          <w:sz w:val="12"/>
        </w:rPr>
        <w:t>Ibíd</w:t>
      </w:r>
      <w:proofErr w:type="spellEnd"/>
      <w:r>
        <w:rPr>
          <w:sz w:val="12"/>
        </w:rPr>
        <w:t>.,</w:t>
      </w:r>
      <w:r>
        <w:rPr>
          <w:spacing w:val="-9"/>
          <w:sz w:val="12"/>
        </w:rPr>
        <w:t xml:space="preserve"> </w:t>
      </w:r>
      <w:r>
        <w:rPr>
          <w:sz w:val="12"/>
        </w:rPr>
        <w:t>párr.</w:t>
      </w:r>
      <w:r>
        <w:rPr>
          <w:spacing w:val="-8"/>
          <w:sz w:val="12"/>
        </w:rPr>
        <w:t xml:space="preserve"> </w:t>
      </w:r>
      <w:r>
        <w:rPr>
          <w:spacing w:val="-5"/>
          <w:sz w:val="12"/>
        </w:rPr>
        <w:t>28.</w:t>
      </w:r>
    </w:p>
    <w:p w14:paraId="26F0C168" w14:textId="77777777" w:rsidR="0014798C" w:rsidRDefault="004E1F0B">
      <w:pPr>
        <w:pStyle w:val="Prrafodelista"/>
        <w:numPr>
          <w:ilvl w:val="0"/>
          <w:numId w:val="39"/>
        </w:numPr>
        <w:tabs>
          <w:tab w:val="left" w:pos="1336"/>
        </w:tabs>
        <w:spacing w:before="99"/>
        <w:ind w:left="1336" w:hanging="228"/>
        <w:rPr>
          <w:sz w:val="12"/>
        </w:rPr>
      </w:pPr>
      <w:proofErr w:type="spellStart"/>
      <w:r>
        <w:rPr>
          <w:sz w:val="12"/>
        </w:rPr>
        <w:t>Ibíd</w:t>
      </w:r>
      <w:proofErr w:type="spellEnd"/>
      <w:r>
        <w:rPr>
          <w:sz w:val="12"/>
        </w:rPr>
        <w:t>.</w:t>
      </w:r>
      <w:r>
        <w:rPr>
          <w:spacing w:val="-8"/>
          <w:sz w:val="12"/>
        </w:rPr>
        <w:t xml:space="preserve"> </w:t>
      </w:r>
      <w:r>
        <w:rPr>
          <w:sz w:val="12"/>
        </w:rPr>
        <w:t>Véase</w:t>
      </w:r>
      <w:r>
        <w:rPr>
          <w:spacing w:val="-8"/>
          <w:sz w:val="12"/>
        </w:rPr>
        <w:t xml:space="preserve"> </w:t>
      </w:r>
      <w:r>
        <w:rPr>
          <w:sz w:val="12"/>
        </w:rPr>
        <w:t>también</w:t>
      </w:r>
      <w:r>
        <w:rPr>
          <w:spacing w:val="-8"/>
          <w:sz w:val="12"/>
        </w:rPr>
        <w:t xml:space="preserve"> </w:t>
      </w:r>
      <w:r>
        <w:rPr>
          <w:sz w:val="12"/>
        </w:rPr>
        <w:t>la</w:t>
      </w:r>
      <w:r>
        <w:rPr>
          <w:spacing w:val="-7"/>
          <w:sz w:val="12"/>
        </w:rPr>
        <w:t xml:space="preserve"> </w:t>
      </w:r>
      <w:r>
        <w:rPr>
          <w:sz w:val="12"/>
        </w:rPr>
        <w:t>Recomendación</w:t>
      </w:r>
      <w:r>
        <w:rPr>
          <w:spacing w:val="-8"/>
          <w:sz w:val="12"/>
        </w:rPr>
        <w:t xml:space="preserve"> </w:t>
      </w:r>
      <w:r>
        <w:rPr>
          <w:sz w:val="12"/>
        </w:rPr>
        <w:t>de</w:t>
      </w:r>
      <w:r>
        <w:rPr>
          <w:spacing w:val="-8"/>
          <w:sz w:val="12"/>
        </w:rPr>
        <w:t xml:space="preserve"> </w:t>
      </w:r>
      <w:r>
        <w:rPr>
          <w:sz w:val="12"/>
        </w:rPr>
        <w:t>la</w:t>
      </w:r>
      <w:r>
        <w:rPr>
          <w:spacing w:val="-7"/>
          <w:sz w:val="12"/>
        </w:rPr>
        <w:t xml:space="preserve"> </w:t>
      </w:r>
      <w:r>
        <w:rPr>
          <w:sz w:val="12"/>
        </w:rPr>
        <w:t>Comisión</w:t>
      </w:r>
      <w:r>
        <w:rPr>
          <w:spacing w:val="-8"/>
          <w:sz w:val="12"/>
        </w:rPr>
        <w:t xml:space="preserve"> </w:t>
      </w:r>
      <w:r>
        <w:rPr>
          <w:sz w:val="12"/>
        </w:rPr>
        <w:t>(UE)</w:t>
      </w:r>
      <w:r>
        <w:rPr>
          <w:spacing w:val="-8"/>
          <w:sz w:val="12"/>
        </w:rPr>
        <w:t xml:space="preserve"> </w:t>
      </w:r>
      <w:r>
        <w:rPr>
          <w:sz w:val="12"/>
        </w:rPr>
        <w:t>2018/951,</w:t>
      </w:r>
      <w:r>
        <w:rPr>
          <w:spacing w:val="-7"/>
          <w:sz w:val="12"/>
        </w:rPr>
        <w:t xml:space="preserve"> </w:t>
      </w:r>
      <w:r>
        <w:rPr>
          <w:sz w:val="12"/>
        </w:rPr>
        <w:t>de</w:t>
      </w:r>
      <w:r>
        <w:rPr>
          <w:spacing w:val="-7"/>
          <w:sz w:val="12"/>
        </w:rPr>
        <w:t xml:space="preserve"> </w:t>
      </w:r>
      <w:r>
        <w:rPr>
          <w:sz w:val="12"/>
        </w:rPr>
        <w:t>22</w:t>
      </w:r>
      <w:r>
        <w:rPr>
          <w:spacing w:val="-8"/>
          <w:sz w:val="12"/>
        </w:rPr>
        <w:t xml:space="preserve"> </w:t>
      </w:r>
      <w:r>
        <w:rPr>
          <w:sz w:val="12"/>
        </w:rPr>
        <w:t>de</w:t>
      </w:r>
      <w:r>
        <w:rPr>
          <w:spacing w:val="-8"/>
          <w:sz w:val="12"/>
        </w:rPr>
        <w:t xml:space="preserve"> </w:t>
      </w:r>
      <w:r>
        <w:rPr>
          <w:sz w:val="12"/>
        </w:rPr>
        <w:t>junio</w:t>
      </w:r>
      <w:r>
        <w:rPr>
          <w:spacing w:val="-7"/>
          <w:sz w:val="12"/>
        </w:rPr>
        <w:t xml:space="preserve"> </w:t>
      </w:r>
      <w:r>
        <w:rPr>
          <w:sz w:val="12"/>
        </w:rPr>
        <w:t>de</w:t>
      </w:r>
      <w:r>
        <w:rPr>
          <w:spacing w:val="-8"/>
          <w:sz w:val="12"/>
        </w:rPr>
        <w:t xml:space="preserve"> </w:t>
      </w:r>
      <w:r>
        <w:rPr>
          <w:sz w:val="12"/>
        </w:rPr>
        <w:t>2018,</w:t>
      </w:r>
      <w:r>
        <w:rPr>
          <w:spacing w:val="-8"/>
          <w:sz w:val="12"/>
        </w:rPr>
        <w:t xml:space="preserve"> </w:t>
      </w:r>
      <w:r>
        <w:rPr>
          <w:sz w:val="12"/>
        </w:rPr>
        <w:t>sobre</w:t>
      </w:r>
      <w:r>
        <w:rPr>
          <w:spacing w:val="-8"/>
          <w:sz w:val="12"/>
        </w:rPr>
        <w:t xml:space="preserve"> </w:t>
      </w:r>
      <w:r>
        <w:rPr>
          <w:sz w:val="12"/>
        </w:rPr>
        <w:t>normas</w:t>
      </w:r>
      <w:r>
        <w:rPr>
          <w:spacing w:val="-7"/>
          <w:sz w:val="12"/>
        </w:rPr>
        <w:t xml:space="preserve"> </w:t>
      </w:r>
      <w:r>
        <w:rPr>
          <w:sz w:val="12"/>
        </w:rPr>
        <w:t>para</w:t>
      </w:r>
      <w:r>
        <w:rPr>
          <w:spacing w:val="-8"/>
          <w:sz w:val="12"/>
        </w:rPr>
        <w:t xml:space="preserve"> </w:t>
      </w:r>
      <w:r>
        <w:rPr>
          <w:sz w:val="12"/>
        </w:rPr>
        <w:t>los</w:t>
      </w:r>
      <w:r>
        <w:rPr>
          <w:spacing w:val="-8"/>
          <w:sz w:val="12"/>
        </w:rPr>
        <w:t xml:space="preserve"> </w:t>
      </w:r>
      <w:r>
        <w:rPr>
          <w:sz w:val="12"/>
        </w:rPr>
        <w:t>organismos</w:t>
      </w:r>
      <w:r>
        <w:rPr>
          <w:spacing w:val="-7"/>
          <w:sz w:val="12"/>
        </w:rPr>
        <w:t xml:space="preserve"> </w:t>
      </w:r>
      <w:r>
        <w:rPr>
          <w:sz w:val="12"/>
        </w:rPr>
        <w:t>de</w:t>
      </w:r>
      <w:r>
        <w:rPr>
          <w:spacing w:val="-8"/>
          <w:sz w:val="12"/>
        </w:rPr>
        <w:t xml:space="preserve"> </w:t>
      </w:r>
      <w:r>
        <w:rPr>
          <w:sz w:val="12"/>
        </w:rPr>
        <w:t>igualdad,</w:t>
      </w:r>
      <w:r>
        <w:rPr>
          <w:spacing w:val="-7"/>
          <w:sz w:val="12"/>
        </w:rPr>
        <w:t xml:space="preserve"> </w:t>
      </w:r>
      <w:r>
        <w:rPr>
          <w:sz w:val="12"/>
        </w:rPr>
        <w:t>recomendación</w:t>
      </w:r>
      <w:r>
        <w:rPr>
          <w:spacing w:val="-8"/>
          <w:sz w:val="12"/>
        </w:rPr>
        <w:t xml:space="preserve"> </w:t>
      </w:r>
      <w:r>
        <w:rPr>
          <w:spacing w:val="-2"/>
          <w:sz w:val="12"/>
        </w:rPr>
        <w:t>1.2.2.</w:t>
      </w:r>
    </w:p>
    <w:p w14:paraId="7D388C9E" w14:textId="77777777" w:rsidR="0014798C" w:rsidRDefault="004E1F0B">
      <w:pPr>
        <w:pStyle w:val="Prrafodelista"/>
        <w:numPr>
          <w:ilvl w:val="0"/>
          <w:numId w:val="39"/>
        </w:numPr>
        <w:tabs>
          <w:tab w:val="left" w:pos="1336"/>
          <w:tab w:val="left" w:pos="1366"/>
        </w:tabs>
        <w:spacing w:before="98" w:line="312" w:lineRule="auto"/>
        <w:ind w:left="1366" w:right="1502" w:hanging="258"/>
        <w:jc w:val="both"/>
        <w:rPr>
          <w:sz w:val="12"/>
        </w:rPr>
      </w:pPr>
      <w:r>
        <w:rPr>
          <w:sz w:val="12"/>
        </w:rPr>
        <w:t>Por</w:t>
      </w:r>
      <w:r>
        <w:rPr>
          <w:spacing w:val="-5"/>
          <w:sz w:val="12"/>
        </w:rPr>
        <w:t xml:space="preserve"> </w:t>
      </w:r>
      <w:r>
        <w:rPr>
          <w:sz w:val="12"/>
        </w:rPr>
        <w:t>ejemplo,</w:t>
      </w:r>
      <w:r>
        <w:rPr>
          <w:spacing w:val="-4"/>
          <w:sz w:val="12"/>
        </w:rPr>
        <w:t xml:space="preserve"> </w:t>
      </w:r>
      <w:r>
        <w:rPr>
          <w:sz w:val="12"/>
        </w:rPr>
        <w:t>el</w:t>
      </w:r>
      <w:r>
        <w:rPr>
          <w:spacing w:val="-5"/>
          <w:sz w:val="12"/>
        </w:rPr>
        <w:t xml:space="preserve"> </w:t>
      </w:r>
      <w:r>
        <w:rPr>
          <w:sz w:val="12"/>
        </w:rPr>
        <w:t>artículo</w:t>
      </w:r>
      <w:r>
        <w:rPr>
          <w:spacing w:val="-5"/>
          <w:sz w:val="12"/>
        </w:rPr>
        <w:t xml:space="preserve"> </w:t>
      </w:r>
      <w:r>
        <w:rPr>
          <w:sz w:val="12"/>
        </w:rPr>
        <w:t>18</w:t>
      </w:r>
      <w:r>
        <w:rPr>
          <w:spacing w:val="-5"/>
          <w:sz w:val="12"/>
        </w:rPr>
        <w:t xml:space="preserve"> </w:t>
      </w:r>
      <w:r>
        <w:rPr>
          <w:sz w:val="12"/>
        </w:rPr>
        <w:t>(2)</w:t>
      </w:r>
      <w:r>
        <w:rPr>
          <w:spacing w:val="-5"/>
          <w:sz w:val="12"/>
        </w:rPr>
        <w:t xml:space="preserve"> </w:t>
      </w:r>
      <w:r>
        <w:rPr>
          <w:sz w:val="12"/>
        </w:rPr>
        <w:t>del</w:t>
      </w:r>
      <w:r>
        <w:rPr>
          <w:spacing w:val="-5"/>
          <w:sz w:val="12"/>
        </w:rPr>
        <w:t xml:space="preserve"> </w:t>
      </w:r>
      <w:r>
        <w:rPr>
          <w:sz w:val="12"/>
        </w:rPr>
        <w:t>Protocolo</w:t>
      </w:r>
      <w:r>
        <w:rPr>
          <w:spacing w:val="-5"/>
          <w:sz w:val="12"/>
        </w:rPr>
        <w:t xml:space="preserve"> </w:t>
      </w:r>
      <w:r>
        <w:rPr>
          <w:sz w:val="12"/>
        </w:rPr>
        <w:t>Facultativo</w:t>
      </w:r>
      <w:r>
        <w:rPr>
          <w:spacing w:val="-5"/>
          <w:sz w:val="12"/>
        </w:rPr>
        <w:t xml:space="preserve"> </w:t>
      </w:r>
      <w:r>
        <w:rPr>
          <w:sz w:val="12"/>
        </w:rPr>
        <w:t>de</w:t>
      </w:r>
      <w:r>
        <w:rPr>
          <w:spacing w:val="-5"/>
          <w:sz w:val="12"/>
        </w:rPr>
        <w:t xml:space="preserve"> </w:t>
      </w:r>
      <w:r>
        <w:rPr>
          <w:sz w:val="12"/>
        </w:rPr>
        <w:t>la</w:t>
      </w:r>
      <w:r>
        <w:rPr>
          <w:spacing w:val="-5"/>
          <w:sz w:val="12"/>
        </w:rPr>
        <w:t xml:space="preserve"> </w:t>
      </w:r>
      <w:r>
        <w:rPr>
          <w:sz w:val="12"/>
        </w:rPr>
        <w:t>Convención</w:t>
      </w:r>
      <w:r>
        <w:rPr>
          <w:spacing w:val="-5"/>
          <w:sz w:val="12"/>
        </w:rPr>
        <w:t xml:space="preserve"> </w:t>
      </w:r>
      <w:r>
        <w:rPr>
          <w:sz w:val="12"/>
        </w:rPr>
        <w:t>contra</w:t>
      </w:r>
      <w:r>
        <w:rPr>
          <w:spacing w:val="-5"/>
          <w:sz w:val="12"/>
        </w:rPr>
        <w:t xml:space="preserve"> </w:t>
      </w:r>
      <w:r>
        <w:rPr>
          <w:sz w:val="12"/>
        </w:rPr>
        <w:t>la</w:t>
      </w:r>
      <w:r>
        <w:rPr>
          <w:spacing w:val="-5"/>
          <w:sz w:val="12"/>
        </w:rPr>
        <w:t xml:space="preserve"> </w:t>
      </w:r>
      <w:r>
        <w:rPr>
          <w:sz w:val="12"/>
        </w:rPr>
        <w:t>Tortura</w:t>
      </w:r>
      <w:r>
        <w:rPr>
          <w:spacing w:val="-5"/>
          <w:sz w:val="12"/>
        </w:rPr>
        <w:t xml:space="preserve"> </w:t>
      </w:r>
      <w:r>
        <w:rPr>
          <w:sz w:val="12"/>
        </w:rPr>
        <w:t>y</w:t>
      </w:r>
      <w:r>
        <w:rPr>
          <w:spacing w:val="-5"/>
          <w:sz w:val="12"/>
        </w:rPr>
        <w:t xml:space="preserve"> </w:t>
      </w:r>
      <w:r>
        <w:rPr>
          <w:sz w:val="12"/>
        </w:rPr>
        <w:t>Otros</w:t>
      </w:r>
      <w:r>
        <w:rPr>
          <w:spacing w:val="-5"/>
          <w:sz w:val="12"/>
        </w:rPr>
        <w:t xml:space="preserve"> </w:t>
      </w:r>
      <w:r>
        <w:rPr>
          <w:sz w:val="12"/>
        </w:rPr>
        <w:t>Tratos</w:t>
      </w:r>
      <w:r>
        <w:rPr>
          <w:spacing w:val="-5"/>
          <w:sz w:val="12"/>
        </w:rPr>
        <w:t xml:space="preserve"> </w:t>
      </w:r>
      <w:r>
        <w:rPr>
          <w:sz w:val="12"/>
        </w:rPr>
        <w:t>o</w:t>
      </w:r>
      <w:r>
        <w:rPr>
          <w:spacing w:val="-5"/>
          <w:sz w:val="12"/>
        </w:rPr>
        <w:t xml:space="preserve"> </w:t>
      </w:r>
      <w:r>
        <w:rPr>
          <w:sz w:val="12"/>
        </w:rPr>
        <w:t>Penas</w:t>
      </w:r>
      <w:r>
        <w:rPr>
          <w:spacing w:val="-5"/>
          <w:sz w:val="12"/>
        </w:rPr>
        <w:t xml:space="preserve"> </w:t>
      </w:r>
      <w:r>
        <w:rPr>
          <w:sz w:val="12"/>
        </w:rPr>
        <w:t>Crueles,</w:t>
      </w:r>
      <w:r>
        <w:rPr>
          <w:spacing w:val="-4"/>
          <w:sz w:val="12"/>
        </w:rPr>
        <w:t xml:space="preserve"> </w:t>
      </w:r>
      <w:r>
        <w:rPr>
          <w:sz w:val="12"/>
        </w:rPr>
        <w:t>Inhumanos</w:t>
      </w:r>
      <w:r>
        <w:rPr>
          <w:spacing w:val="-5"/>
          <w:sz w:val="12"/>
        </w:rPr>
        <w:t xml:space="preserve"> </w:t>
      </w:r>
      <w:r>
        <w:rPr>
          <w:sz w:val="12"/>
        </w:rPr>
        <w:t>o</w:t>
      </w:r>
      <w:r>
        <w:rPr>
          <w:spacing w:val="-5"/>
          <w:sz w:val="12"/>
        </w:rPr>
        <w:t xml:space="preserve"> </w:t>
      </w:r>
      <w:r>
        <w:rPr>
          <w:sz w:val="12"/>
        </w:rPr>
        <w:t>Degradantes</w:t>
      </w:r>
      <w:r>
        <w:rPr>
          <w:spacing w:val="-5"/>
          <w:sz w:val="12"/>
        </w:rPr>
        <w:t xml:space="preserve"> </w:t>
      </w:r>
      <w:r>
        <w:rPr>
          <w:sz w:val="12"/>
        </w:rPr>
        <w:t>establece</w:t>
      </w:r>
      <w:r>
        <w:rPr>
          <w:spacing w:val="-5"/>
          <w:sz w:val="12"/>
        </w:rPr>
        <w:t xml:space="preserve"> </w:t>
      </w:r>
      <w:r>
        <w:rPr>
          <w:sz w:val="12"/>
        </w:rPr>
        <w:t>que,</w:t>
      </w:r>
      <w:r>
        <w:rPr>
          <w:spacing w:val="-5"/>
          <w:sz w:val="12"/>
        </w:rPr>
        <w:t xml:space="preserve"> </w:t>
      </w:r>
      <w:r>
        <w:rPr>
          <w:sz w:val="12"/>
        </w:rPr>
        <w:t>al</w:t>
      </w:r>
      <w:r>
        <w:rPr>
          <w:spacing w:val="40"/>
          <w:sz w:val="12"/>
        </w:rPr>
        <w:t xml:space="preserve"> </w:t>
      </w:r>
      <w:r>
        <w:rPr>
          <w:sz w:val="12"/>
        </w:rPr>
        <w:t>establecer</w:t>
      </w:r>
      <w:r>
        <w:rPr>
          <w:spacing w:val="-6"/>
          <w:sz w:val="12"/>
        </w:rPr>
        <w:t xml:space="preserve"> </w:t>
      </w:r>
      <w:r>
        <w:rPr>
          <w:sz w:val="12"/>
        </w:rPr>
        <w:t>mecanismos</w:t>
      </w:r>
      <w:r>
        <w:rPr>
          <w:spacing w:val="-6"/>
          <w:sz w:val="12"/>
        </w:rPr>
        <w:t xml:space="preserve"> </w:t>
      </w:r>
      <w:r>
        <w:rPr>
          <w:sz w:val="12"/>
        </w:rPr>
        <w:t>nacionales</w:t>
      </w:r>
      <w:r>
        <w:rPr>
          <w:spacing w:val="-6"/>
          <w:sz w:val="12"/>
        </w:rPr>
        <w:t xml:space="preserve"> </w:t>
      </w:r>
      <w:r>
        <w:rPr>
          <w:sz w:val="12"/>
        </w:rPr>
        <w:t>de</w:t>
      </w:r>
      <w:r>
        <w:rPr>
          <w:spacing w:val="-6"/>
          <w:sz w:val="12"/>
        </w:rPr>
        <w:t xml:space="preserve"> </w:t>
      </w:r>
      <w:r>
        <w:rPr>
          <w:sz w:val="12"/>
        </w:rPr>
        <w:t>prevención</w:t>
      </w:r>
      <w:r>
        <w:rPr>
          <w:spacing w:val="-6"/>
          <w:sz w:val="12"/>
        </w:rPr>
        <w:t xml:space="preserve"> </w:t>
      </w:r>
      <w:r>
        <w:rPr>
          <w:sz w:val="12"/>
        </w:rPr>
        <w:t>contra</w:t>
      </w:r>
      <w:r>
        <w:rPr>
          <w:spacing w:val="-6"/>
          <w:sz w:val="12"/>
        </w:rPr>
        <w:t xml:space="preserve"> </w:t>
      </w:r>
      <w:r>
        <w:rPr>
          <w:sz w:val="12"/>
        </w:rPr>
        <w:t>la</w:t>
      </w:r>
      <w:r>
        <w:rPr>
          <w:spacing w:val="-6"/>
          <w:sz w:val="12"/>
        </w:rPr>
        <w:t xml:space="preserve"> </w:t>
      </w:r>
      <w:r>
        <w:rPr>
          <w:sz w:val="12"/>
        </w:rPr>
        <w:t>tortura,</w:t>
      </w:r>
      <w:r>
        <w:rPr>
          <w:spacing w:val="-6"/>
          <w:sz w:val="12"/>
        </w:rPr>
        <w:t xml:space="preserve"> </w:t>
      </w:r>
      <w:r>
        <w:rPr>
          <w:sz w:val="12"/>
        </w:rPr>
        <w:t>los</w:t>
      </w:r>
      <w:r>
        <w:rPr>
          <w:spacing w:val="-6"/>
          <w:sz w:val="12"/>
        </w:rPr>
        <w:t xml:space="preserve"> </w:t>
      </w:r>
      <w:r>
        <w:rPr>
          <w:sz w:val="12"/>
        </w:rPr>
        <w:t>Estados</w:t>
      </w:r>
      <w:r>
        <w:rPr>
          <w:spacing w:val="-6"/>
          <w:sz w:val="12"/>
        </w:rPr>
        <w:t xml:space="preserve"> </w:t>
      </w:r>
      <w:r>
        <w:rPr>
          <w:sz w:val="12"/>
        </w:rPr>
        <w:t>“lucharán</w:t>
      </w:r>
      <w:r>
        <w:rPr>
          <w:spacing w:val="-6"/>
          <w:sz w:val="12"/>
        </w:rPr>
        <w:t xml:space="preserve"> </w:t>
      </w:r>
      <w:r>
        <w:rPr>
          <w:sz w:val="12"/>
        </w:rPr>
        <w:t>por</w:t>
      </w:r>
      <w:r>
        <w:rPr>
          <w:spacing w:val="-6"/>
          <w:sz w:val="12"/>
        </w:rPr>
        <w:t xml:space="preserve"> </w:t>
      </w:r>
      <w:r>
        <w:rPr>
          <w:sz w:val="12"/>
        </w:rPr>
        <w:t>lograr</w:t>
      </w:r>
      <w:r>
        <w:rPr>
          <w:spacing w:val="-6"/>
          <w:sz w:val="12"/>
        </w:rPr>
        <w:t xml:space="preserve"> </w:t>
      </w:r>
      <w:r>
        <w:rPr>
          <w:sz w:val="12"/>
        </w:rPr>
        <w:t>un</w:t>
      </w:r>
      <w:r>
        <w:rPr>
          <w:spacing w:val="-6"/>
          <w:sz w:val="12"/>
        </w:rPr>
        <w:t xml:space="preserve"> </w:t>
      </w:r>
      <w:r>
        <w:rPr>
          <w:sz w:val="12"/>
        </w:rPr>
        <w:t>equilibrio</w:t>
      </w:r>
      <w:r>
        <w:rPr>
          <w:spacing w:val="-6"/>
          <w:sz w:val="12"/>
        </w:rPr>
        <w:t xml:space="preserve"> </w:t>
      </w:r>
      <w:r>
        <w:rPr>
          <w:sz w:val="12"/>
        </w:rPr>
        <w:t>de</w:t>
      </w:r>
      <w:r>
        <w:rPr>
          <w:spacing w:val="-6"/>
          <w:sz w:val="12"/>
        </w:rPr>
        <w:t xml:space="preserve"> </w:t>
      </w:r>
      <w:r>
        <w:rPr>
          <w:sz w:val="12"/>
        </w:rPr>
        <w:t>género</w:t>
      </w:r>
      <w:r>
        <w:rPr>
          <w:spacing w:val="-6"/>
          <w:sz w:val="12"/>
        </w:rPr>
        <w:t xml:space="preserve"> </w:t>
      </w:r>
      <w:r>
        <w:rPr>
          <w:sz w:val="12"/>
        </w:rPr>
        <w:t>y</w:t>
      </w:r>
      <w:r>
        <w:rPr>
          <w:spacing w:val="-6"/>
          <w:sz w:val="12"/>
        </w:rPr>
        <w:t xml:space="preserve"> </w:t>
      </w:r>
      <w:r>
        <w:rPr>
          <w:sz w:val="12"/>
        </w:rPr>
        <w:t>la</w:t>
      </w:r>
      <w:r>
        <w:rPr>
          <w:spacing w:val="-6"/>
          <w:sz w:val="12"/>
        </w:rPr>
        <w:t xml:space="preserve"> </w:t>
      </w:r>
      <w:r>
        <w:rPr>
          <w:sz w:val="12"/>
        </w:rPr>
        <w:t>representación</w:t>
      </w:r>
      <w:r>
        <w:rPr>
          <w:spacing w:val="-6"/>
          <w:sz w:val="12"/>
        </w:rPr>
        <w:t xml:space="preserve"> </w:t>
      </w:r>
      <w:r>
        <w:rPr>
          <w:sz w:val="12"/>
        </w:rPr>
        <w:t>adecuada</w:t>
      </w:r>
      <w:r>
        <w:rPr>
          <w:spacing w:val="-6"/>
          <w:sz w:val="12"/>
        </w:rPr>
        <w:t xml:space="preserve"> </w:t>
      </w:r>
      <w:r>
        <w:rPr>
          <w:sz w:val="12"/>
        </w:rPr>
        <w:t>de</w:t>
      </w:r>
      <w:r>
        <w:rPr>
          <w:spacing w:val="-6"/>
          <w:sz w:val="12"/>
        </w:rPr>
        <w:t xml:space="preserve"> </w:t>
      </w:r>
      <w:r>
        <w:rPr>
          <w:sz w:val="12"/>
        </w:rPr>
        <w:t>los</w:t>
      </w:r>
      <w:r>
        <w:rPr>
          <w:spacing w:val="-6"/>
          <w:sz w:val="12"/>
        </w:rPr>
        <w:t xml:space="preserve"> </w:t>
      </w:r>
      <w:r>
        <w:rPr>
          <w:sz w:val="12"/>
        </w:rPr>
        <w:t>grupos</w:t>
      </w:r>
      <w:r>
        <w:rPr>
          <w:spacing w:val="40"/>
          <w:sz w:val="12"/>
        </w:rPr>
        <w:t xml:space="preserve"> </w:t>
      </w:r>
      <w:r>
        <w:rPr>
          <w:sz w:val="12"/>
        </w:rPr>
        <w:t>étnicos y minoritarios del país”.</w:t>
      </w:r>
    </w:p>
    <w:p w14:paraId="7D77816E" w14:textId="77777777" w:rsidR="0014798C" w:rsidRDefault="004E1F0B">
      <w:pPr>
        <w:pStyle w:val="Prrafodelista"/>
        <w:numPr>
          <w:ilvl w:val="0"/>
          <w:numId w:val="39"/>
        </w:numPr>
        <w:tabs>
          <w:tab w:val="left" w:pos="1336"/>
        </w:tabs>
        <w:spacing w:before="58"/>
        <w:ind w:left="1336" w:hanging="228"/>
        <w:jc w:val="both"/>
        <w:rPr>
          <w:sz w:val="12"/>
        </w:rPr>
      </w:pPr>
      <w:r>
        <w:rPr>
          <w:sz w:val="12"/>
        </w:rPr>
        <w:t>Véase</w:t>
      </w:r>
      <w:r>
        <w:rPr>
          <w:spacing w:val="-7"/>
          <w:sz w:val="12"/>
        </w:rPr>
        <w:t xml:space="preserve"> </w:t>
      </w:r>
      <w:r>
        <w:rPr>
          <w:sz w:val="12"/>
        </w:rPr>
        <w:t>también</w:t>
      </w:r>
      <w:r>
        <w:rPr>
          <w:spacing w:val="-7"/>
          <w:sz w:val="12"/>
        </w:rPr>
        <w:t xml:space="preserve"> </w:t>
      </w:r>
      <w:r>
        <w:rPr>
          <w:sz w:val="12"/>
        </w:rPr>
        <w:t>Declaración</w:t>
      </w:r>
      <w:r>
        <w:rPr>
          <w:spacing w:val="-6"/>
          <w:sz w:val="12"/>
        </w:rPr>
        <w:t xml:space="preserve"> </w:t>
      </w:r>
      <w:r>
        <w:rPr>
          <w:sz w:val="12"/>
        </w:rPr>
        <w:t>de</w:t>
      </w:r>
      <w:r>
        <w:rPr>
          <w:spacing w:val="-7"/>
          <w:sz w:val="12"/>
        </w:rPr>
        <w:t xml:space="preserve"> </w:t>
      </w:r>
      <w:r>
        <w:rPr>
          <w:sz w:val="12"/>
        </w:rPr>
        <w:t>Beirut</w:t>
      </w:r>
      <w:r>
        <w:rPr>
          <w:spacing w:val="-7"/>
          <w:sz w:val="12"/>
        </w:rPr>
        <w:t xml:space="preserve"> </w:t>
      </w:r>
      <w:r>
        <w:rPr>
          <w:sz w:val="12"/>
        </w:rPr>
        <w:t>y</w:t>
      </w:r>
      <w:r>
        <w:rPr>
          <w:spacing w:val="-6"/>
          <w:sz w:val="12"/>
        </w:rPr>
        <w:t xml:space="preserve"> </w:t>
      </w:r>
      <w:r>
        <w:rPr>
          <w:sz w:val="12"/>
        </w:rPr>
        <w:t>sus</w:t>
      </w:r>
      <w:r>
        <w:rPr>
          <w:spacing w:val="-7"/>
          <w:sz w:val="12"/>
        </w:rPr>
        <w:t xml:space="preserve"> </w:t>
      </w:r>
      <w:r>
        <w:rPr>
          <w:sz w:val="12"/>
        </w:rPr>
        <w:t>18</w:t>
      </w:r>
      <w:r>
        <w:rPr>
          <w:spacing w:val="-7"/>
          <w:sz w:val="12"/>
        </w:rPr>
        <w:t xml:space="preserve"> </w:t>
      </w:r>
      <w:r>
        <w:rPr>
          <w:sz w:val="12"/>
        </w:rPr>
        <w:t>Compromisos</w:t>
      </w:r>
      <w:r>
        <w:rPr>
          <w:spacing w:val="-6"/>
          <w:sz w:val="12"/>
        </w:rPr>
        <w:t xml:space="preserve"> </w:t>
      </w:r>
      <w:r>
        <w:rPr>
          <w:sz w:val="12"/>
        </w:rPr>
        <w:t>sobre</w:t>
      </w:r>
      <w:r>
        <w:rPr>
          <w:spacing w:val="-7"/>
          <w:sz w:val="12"/>
        </w:rPr>
        <w:t xml:space="preserve"> </w:t>
      </w:r>
      <w:r>
        <w:rPr>
          <w:sz w:val="12"/>
        </w:rPr>
        <w:t>la</w:t>
      </w:r>
      <w:r>
        <w:rPr>
          <w:spacing w:val="-6"/>
          <w:sz w:val="12"/>
        </w:rPr>
        <w:t xml:space="preserve"> </w:t>
      </w:r>
      <w:r>
        <w:rPr>
          <w:sz w:val="12"/>
        </w:rPr>
        <w:t>fe</w:t>
      </w:r>
      <w:r>
        <w:rPr>
          <w:spacing w:val="-7"/>
          <w:sz w:val="12"/>
        </w:rPr>
        <w:t xml:space="preserve"> </w:t>
      </w:r>
      <w:r>
        <w:rPr>
          <w:sz w:val="12"/>
        </w:rPr>
        <w:t>por</w:t>
      </w:r>
      <w:r>
        <w:rPr>
          <w:spacing w:val="-7"/>
          <w:sz w:val="12"/>
        </w:rPr>
        <w:t xml:space="preserve"> </w:t>
      </w:r>
      <w:r>
        <w:rPr>
          <w:sz w:val="12"/>
        </w:rPr>
        <w:t>los</w:t>
      </w:r>
      <w:r>
        <w:rPr>
          <w:spacing w:val="-6"/>
          <w:sz w:val="12"/>
        </w:rPr>
        <w:t xml:space="preserve"> </w:t>
      </w:r>
      <w:r>
        <w:rPr>
          <w:sz w:val="12"/>
        </w:rPr>
        <w:t>derechos</w:t>
      </w:r>
      <w:r>
        <w:rPr>
          <w:spacing w:val="-7"/>
          <w:sz w:val="12"/>
        </w:rPr>
        <w:t xml:space="preserve"> </w:t>
      </w:r>
      <w:r>
        <w:rPr>
          <w:sz w:val="12"/>
        </w:rPr>
        <w:t>(A/HRC/40/58,</w:t>
      </w:r>
      <w:r>
        <w:rPr>
          <w:spacing w:val="-7"/>
          <w:sz w:val="12"/>
        </w:rPr>
        <w:t xml:space="preserve"> </w:t>
      </w:r>
      <w:r>
        <w:rPr>
          <w:sz w:val="12"/>
        </w:rPr>
        <w:t>anexos</w:t>
      </w:r>
      <w:r>
        <w:rPr>
          <w:spacing w:val="-6"/>
          <w:sz w:val="12"/>
        </w:rPr>
        <w:t xml:space="preserve"> </w:t>
      </w:r>
      <w:r>
        <w:rPr>
          <w:sz w:val="12"/>
        </w:rPr>
        <w:t>I</w:t>
      </w:r>
      <w:r>
        <w:rPr>
          <w:spacing w:val="-7"/>
          <w:sz w:val="12"/>
        </w:rPr>
        <w:t xml:space="preserve"> </w:t>
      </w:r>
      <w:r>
        <w:rPr>
          <w:sz w:val="12"/>
        </w:rPr>
        <w:t>y</w:t>
      </w:r>
      <w:r>
        <w:rPr>
          <w:spacing w:val="-7"/>
          <w:sz w:val="12"/>
        </w:rPr>
        <w:t xml:space="preserve"> </w:t>
      </w:r>
      <w:r>
        <w:rPr>
          <w:sz w:val="12"/>
        </w:rPr>
        <w:t>II),</w:t>
      </w:r>
      <w:r>
        <w:rPr>
          <w:spacing w:val="-6"/>
          <w:sz w:val="12"/>
        </w:rPr>
        <w:t xml:space="preserve"> </w:t>
      </w:r>
      <w:r>
        <w:rPr>
          <w:sz w:val="12"/>
        </w:rPr>
        <w:t>compromiso</w:t>
      </w:r>
      <w:r>
        <w:rPr>
          <w:spacing w:val="-7"/>
          <w:sz w:val="12"/>
        </w:rPr>
        <w:t xml:space="preserve"> </w:t>
      </w:r>
      <w:r>
        <w:rPr>
          <w:spacing w:val="-5"/>
          <w:sz w:val="12"/>
        </w:rPr>
        <w:t>VI.</w:t>
      </w:r>
    </w:p>
    <w:p w14:paraId="6CAD58DC" w14:textId="77777777" w:rsidR="0014798C" w:rsidRDefault="004E1F0B">
      <w:pPr>
        <w:pStyle w:val="Prrafodelista"/>
        <w:numPr>
          <w:ilvl w:val="0"/>
          <w:numId w:val="39"/>
        </w:numPr>
        <w:tabs>
          <w:tab w:val="left" w:pos="1336"/>
        </w:tabs>
        <w:spacing w:before="98"/>
        <w:ind w:left="1336" w:hanging="228"/>
        <w:jc w:val="both"/>
        <w:rPr>
          <w:sz w:val="12"/>
        </w:rPr>
      </w:pPr>
      <w:r>
        <w:rPr>
          <w:spacing w:val="-2"/>
          <w:sz w:val="12"/>
        </w:rPr>
        <w:t>Comité</w:t>
      </w:r>
      <w:r>
        <w:rPr>
          <w:spacing w:val="3"/>
          <w:sz w:val="12"/>
        </w:rPr>
        <w:t xml:space="preserve"> </w:t>
      </w:r>
      <w:r>
        <w:rPr>
          <w:spacing w:val="-2"/>
          <w:sz w:val="12"/>
        </w:rPr>
        <w:t>de</w:t>
      </w:r>
      <w:r>
        <w:rPr>
          <w:spacing w:val="4"/>
          <w:sz w:val="12"/>
        </w:rPr>
        <w:t xml:space="preserve"> </w:t>
      </w:r>
      <w:r>
        <w:rPr>
          <w:spacing w:val="-2"/>
          <w:sz w:val="12"/>
        </w:rPr>
        <w:t>Derechos</w:t>
      </w:r>
      <w:r>
        <w:rPr>
          <w:spacing w:val="4"/>
          <w:sz w:val="12"/>
        </w:rPr>
        <w:t xml:space="preserve"> </w:t>
      </w:r>
      <w:r>
        <w:rPr>
          <w:spacing w:val="-2"/>
          <w:sz w:val="12"/>
        </w:rPr>
        <w:t>Económicos,</w:t>
      </w:r>
      <w:r>
        <w:rPr>
          <w:spacing w:val="4"/>
          <w:sz w:val="12"/>
        </w:rPr>
        <w:t xml:space="preserve"> </w:t>
      </w:r>
      <w:r>
        <w:rPr>
          <w:spacing w:val="-2"/>
          <w:sz w:val="12"/>
        </w:rPr>
        <w:t>Sociales</w:t>
      </w:r>
      <w:r>
        <w:rPr>
          <w:spacing w:val="4"/>
          <w:sz w:val="12"/>
        </w:rPr>
        <w:t xml:space="preserve"> </w:t>
      </w:r>
      <w:r>
        <w:rPr>
          <w:spacing w:val="-2"/>
          <w:sz w:val="12"/>
        </w:rPr>
        <w:t>y</w:t>
      </w:r>
      <w:r>
        <w:rPr>
          <w:spacing w:val="4"/>
          <w:sz w:val="12"/>
        </w:rPr>
        <w:t xml:space="preserve"> </w:t>
      </w:r>
      <w:r>
        <w:rPr>
          <w:spacing w:val="-2"/>
          <w:sz w:val="12"/>
        </w:rPr>
        <w:t>Culturales,</w:t>
      </w:r>
      <w:r>
        <w:rPr>
          <w:spacing w:val="5"/>
          <w:sz w:val="12"/>
        </w:rPr>
        <w:t xml:space="preserve"> </w:t>
      </w:r>
      <w:r>
        <w:rPr>
          <w:spacing w:val="-2"/>
          <w:sz w:val="12"/>
        </w:rPr>
        <w:t>observación</w:t>
      </w:r>
      <w:r>
        <w:rPr>
          <w:spacing w:val="3"/>
          <w:sz w:val="12"/>
        </w:rPr>
        <w:t xml:space="preserve"> </w:t>
      </w:r>
      <w:r>
        <w:rPr>
          <w:spacing w:val="-2"/>
          <w:sz w:val="12"/>
        </w:rPr>
        <w:t>general</w:t>
      </w:r>
      <w:r>
        <w:rPr>
          <w:spacing w:val="4"/>
          <w:sz w:val="12"/>
        </w:rPr>
        <w:t xml:space="preserve"> </w:t>
      </w:r>
      <w:r>
        <w:rPr>
          <w:spacing w:val="-2"/>
          <w:sz w:val="12"/>
        </w:rPr>
        <w:t>núm.</w:t>
      </w:r>
      <w:r>
        <w:rPr>
          <w:spacing w:val="4"/>
          <w:sz w:val="12"/>
        </w:rPr>
        <w:t xml:space="preserve"> </w:t>
      </w:r>
      <w:r>
        <w:rPr>
          <w:spacing w:val="-2"/>
          <w:sz w:val="12"/>
        </w:rPr>
        <w:t>20</w:t>
      </w:r>
      <w:r>
        <w:rPr>
          <w:spacing w:val="3"/>
          <w:sz w:val="12"/>
        </w:rPr>
        <w:t xml:space="preserve"> </w:t>
      </w:r>
      <w:r>
        <w:rPr>
          <w:spacing w:val="-2"/>
          <w:sz w:val="12"/>
        </w:rPr>
        <w:t>(2009),</w:t>
      </w:r>
      <w:r>
        <w:rPr>
          <w:spacing w:val="5"/>
          <w:sz w:val="12"/>
        </w:rPr>
        <w:t xml:space="preserve"> </w:t>
      </w:r>
      <w:r>
        <w:rPr>
          <w:spacing w:val="-2"/>
          <w:sz w:val="12"/>
        </w:rPr>
        <w:t>párr.</w:t>
      </w:r>
      <w:r>
        <w:rPr>
          <w:spacing w:val="4"/>
          <w:sz w:val="12"/>
        </w:rPr>
        <w:t xml:space="preserve"> </w:t>
      </w:r>
      <w:r>
        <w:rPr>
          <w:spacing w:val="-5"/>
          <w:sz w:val="12"/>
        </w:rPr>
        <w:t>36.</w:t>
      </w:r>
    </w:p>
    <w:p w14:paraId="5136F285" w14:textId="77777777" w:rsidR="0014798C" w:rsidRDefault="004E1F0B">
      <w:pPr>
        <w:pStyle w:val="Prrafodelista"/>
        <w:numPr>
          <w:ilvl w:val="0"/>
          <w:numId w:val="39"/>
        </w:numPr>
        <w:tabs>
          <w:tab w:val="left" w:pos="1336"/>
        </w:tabs>
        <w:spacing w:before="99"/>
        <w:ind w:left="1336" w:hanging="228"/>
        <w:rPr>
          <w:sz w:val="12"/>
        </w:rPr>
      </w:pPr>
      <w:r>
        <w:rPr>
          <w:spacing w:val="-2"/>
          <w:sz w:val="12"/>
        </w:rPr>
        <w:t>Consejo</w:t>
      </w:r>
      <w:r>
        <w:rPr>
          <w:spacing w:val="2"/>
          <w:sz w:val="12"/>
        </w:rPr>
        <w:t xml:space="preserve"> </w:t>
      </w:r>
      <w:r>
        <w:rPr>
          <w:spacing w:val="-2"/>
          <w:sz w:val="12"/>
        </w:rPr>
        <w:t>de</w:t>
      </w:r>
      <w:r>
        <w:rPr>
          <w:spacing w:val="2"/>
          <w:sz w:val="12"/>
        </w:rPr>
        <w:t xml:space="preserve"> </w:t>
      </w:r>
      <w:r>
        <w:rPr>
          <w:spacing w:val="-2"/>
          <w:sz w:val="12"/>
        </w:rPr>
        <w:t>Europa,</w:t>
      </w:r>
      <w:r>
        <w:rPr>
          <w:spacing w:val="2"/>
          <w:sz w:val="12"/>
        </w:rPr>
        <w:t xml:space="preserve"> </w:t>
      </w:r>
      <w:r>
        <w:rPr>
          <w:spacing w:val="-2"/>
          <w:sz w:val="12"/>
        </w:rPr>
        <w:t>Comisión</w:t>
      </w:r>
      <w:r>
        <w:rPr>
          <w:spacing w:val="2"/>
          <w:sz w:val="12"/>
        </w:rPr>
        <w:t xml:space="preserve"> </w:t>
      </w:r>
      <w:r>
        <w:rPr>
          <w:spacing w:val="-2"/>
          <w:sz w:val="12"/>
        </w:rPr>
        <w:t>Europea</w:t>
      </w:r>
      <w:r>
        <w:rPr>
          <w:spacing w:val="3"/>
          <w:sz w:val="12"/>
        </w:rPr>
        <w:t xml:space="preserve"> </w:t>
      </w:r>
      <w:r>
        <w:rPr>
          <w:spacing w:val="-2"/>
          <w:sz w:val="12"/>
        </w:rPr>
        <w:t>contra</w:t>
      </w:r>
      <w:r>
        <w:rPr>
          <w:spacing w:val="2"/>
          <w:sz w:val="12"/>
        </w:rPr>
        <w:t xml:space="preserve"> </w:t>
      </w:r>
      <w:r>
        <w:rPr>
          <w:spacing w:val="-2"/>
          <w:sz w:val="12"/>
        </w:rPr>
        <w:t>el</w:t>
      </w:r>
      <w:r>
        <w:rPr>
          <w:spacing w:val="2"/>
          <w:sz w:val="12"/>
        </w:rPr>
        <w:t xml:space="preserve"> </w:t>
      </w:r>
      <w:r>
        <w:rPr>
          <w:spacing w:val="-2"/>
          <w:sz w:val="12"/>
        </w:rPr>
        <w:t>Racismo</w:t>
      </w:r>
      <w:r>
        <w:rPr>
          <w:spacing w:val="2"/>
          <w:sz w:val="12"/>
        </w:rPr>
        <w:t xml:space="preserve"> </w:t>
      </w:r>
      <w:r>
        <w:rPr>
          <w:spacing w:val="-2"/>
          <w:sz w:val="12"/>
        </w:rPr>
        <w:t>y</w:t>
      </w:r>
      <w:r>
        <w:rPr>
          <w:spacing w:val="2"/>
          <w:sz w:val="12"/>
        </w:rPr>
        <w:t xml:space="preserve"> </w:t>
      </w:r>
      <w:r>
        <w:rPr>
          <w:spacing w:val="-2"/>
          <w:sz w:val="12"/>
        </w:rPr>
        <w:t>la</w:t>
      </w:r>
      <w:r>
        <w:rPr>
          <w:spacing w:val="3"/>
          <w:sz w:val="12"/>
        </w:rPr>
        <w:t xml:space="preserve"> </w:t>
      </w:r>
      <w:r>
        <w:rPr>
          <w:spacing w:val="-2"/>
          <w:sz w:val="12"/>
        </w:rPr>
        <w:t>Intolerancia,</w:t>
      </w:r>
      <w:r>
        <w:rPr>
          <w:spacing w:val="3"/>
          <w:sz w:val="12"/>
        </w:rPr>
        <w:t xml:space="preserve"> </w:t>
      </w:r>
      <w:r>
        <w:rPr>
          <w:spacing w:val="-2"/>
          <w:sz w:val="12"/>
        </w:rPr>
        <w:t>“Recomendación</w:t>
      </w:r>
      <w:r>
        <w:rPr>
          <w:spacing w:val="2"/>
          <w:sz w:val="12"/>
        </w:rPr>
        <w:t xml:space="preserve"> </w:t>
      </w:r>
      <w:r>
        <w:rPr>
          <w:spacing w:val="-2"/>
          <w:sz w:val="12"/>
        </w:rPr>
        <w:t>de</w:t>
      </w:r>
      <w:r>
        <w:rPr>
          <w:spacing w:val="2"/>
          <w:sz w:val="12"/>
        </w:rPr>
        <w:t xml:space="preserve"> </w:t>
      </w:r>
      <w:r>
        <w:rPr>
          <w:spacing w:val="-2"/>
          <w:sz w:val="12"/>
        </w:rPr>
        <w:t>política</w:t>
      </w:r>
      <w:r>
        <w:rPr>
          <w:spacing w:val="2"/>
          <w:sz w:val="12"/>
        </w:rPr>
        <w:t xml:space="preserve"> </w:t>
      </w:r>
      <w:r>
        <w:rPr>
          <w:spacing w:val="-2"/>
          <w:sz w:val="12"/>
        </w:rPr>
        <w:t>general</w:t>
      </w:r>
      <w:r>
        <w:rPr>
          <w:spacing w:val="3"/>
          <w:sz w:val="12"/>
        </w:rPr>
        <w:t xml:space="preserve"> </w:t>
      </w:r>
      <w:r>
        <w:rPr>
          <w:spacing w:val="-2"/>
          <w:sz w:val="12"/>
        </w:rPr>
        <w:t>No.</w:t>
      </w:r>
      <w:r>
        <w:rPr>
          <w:spacing w:val="2"/>
          <w:sz w:val="12"/>
        </w:rPr>
        <w:t xml:space="preserve"> </w:t>
      </w:r>
      <w:r>
        <w:rPr>
          <w:spacing w:val="-2"/>
          <w:sz w:val="12"/>
        </w:rPr>
        <w:t>2</w:t>
      </w:r>
      <w:r>
        <w:rPr>
          <w:spacing w:val="2"/>
          <w:sz w:val="12"/>
        </w:rPr>
        <w:t xml:space="preserve"> </w:t>
      </w:r>
      <w:r>
        <w:rPr>
          <w:spacing w:val="-2"/>
          <w:sz w:val="12"/>
        </w:rPr>
        <w:t>de</w:t>
      </w:r>
      <w:r>
        <w:rPr>
          <w:spacing w:val="2"/>
          <w:sz w:val="12"/>
        </w:rPr>
        <w:t xml:space="preserve"> </w:t>
      </w:r>
      <w:r>
        <w:rPr>
          <w:spacing w:val="-2"/>
          <w:sz w:val="12"/>
        </w:rPr>
        <w:t>la</w:t>
      </w:r>
      <w:r>
        <w:rPr>
          <w:spacing w:val="3"/>
          <w:sz w:val="12"/>
        </w:rPr>
        <w:t xml:space="preserve"> </w:t>
      </w:r>
      <w:r>
        <w:rPr>
          <w:spacing w:val="-2"/>
          <w:sz w:val="12"/>
        </w:rPr>
        <w:t>ECRI”,</w:t>
      </w:r>
      <w:r>
        <w:rPr>
          <w:spacing w:val="2"/>
          <w:sz w:val="12"/>
        </w:rPr>
        <w:t xml:space="preserve"> </w:t>
      </w:r>
      <w:r>
        <w:rPr>
          <w:spacing w:val="-2"/>
          <w:sz w:val="12"/>
        </w:rPr>
        <w:t>párr.</w:t>
      </w:r>
      <w:r>
        <w:rPr>
          <w:spacing w:val="2"/>
          <w:sz w:val="12"/>
        </w:rPr>
        <w:t xml:space="preserve"> </w:t>
      </w:r>
      <w:r>
        <w:rPr>
          <w:spacing w:val="-5"/>
          <w:sz w:val="12"/>
        </w:rPr>
        <w:t>38.</w:t>
      </w:r>
    </w:p>
    <w:p w14:paraId="4402C93C" w14:textId="77777777" w:rsidR="0014798C" w:rsidRDefault="004E1F0B">
      <w:pPr>
        <w:pStyle w:val="Prrafodelista"/>
        <w:numPr>
          <w:ilvl w:val="0"/>
          <w:numId w:val="39"/>
        </w:numPr>
        <w:tabs>
          <w:tab w:val="left" w:pos="1336"/>
        </w:tabs>
        <w:spacing w:before="98"/>
        <w:ind w:left="1336" w:hanging="228"/>
        <w:jc w:val="both"/>
        <w:rPr>
          <w:sz w:val="12"/>
        </w:rPr>
      </w:pPr>
      <w:r>
        <w:rPr>
          <w:sz w:val="12"/>
        </w:rPr>
        <w:t>Plantilla</w:t>
      </w:r>
      <w:r>
        <w:rPr>
          <w:spacing w:val="-8"/>
          <w:sz w:val="12"/>
        </w:rPr>
        <w:t xml:space="preserve"> </w:t>
      </w:r>
      <w:r>
        <w:rPr>
          <w:sz w:val="12"/>
        </w:rPr>
        <w:t>de</w:t>
      </w:r>
      <w:r>
        <w:rPr>
          <w:spacing w:val="-7"/>
          <w:sz w:val="12"/>
        </w:rPr>
        <w:t xml:space="preserve"> </w:t>
      </w:r>
      <w:r>
        <w:rPr>
          <w:sz w:val="12"/>
        </w:rPr>
        <w:t>Declaración</w:t>
      </w:r>
      <w:r>
        <w:rPr>
          <w:spacing w:val="-7"/>
          <w:sz w:val="12"/>
        </w:rPr>
        <w:t xml:space="preserve"> </w:t>
      </w:r>
      <w:r>
        <w:rPr>
          <w:sz w:val="12"/>
        </w:rPr>
        <w:t>de</w:t>
      </w:r>
      <w:r>
        <w:rPr>
          <w:spacing w:val="-7"/>
          <w:sz w:val="12"/>
        </w:rPr>
        <w:t xml:space="preserve"> </w:t>
      </w:r>
      <w:r>
        <w:rPr>
          <w:sz w:val="12"/>
        </w:rPr>
        <w:t>Cumplimiento</w:t>
      </w:r>
      <w:r>
        <w:rPr>
          <w:spacing w:val="-7"/>
          <w:sz w:val="12"/>
        </w:rPr>
        <w:t xml:space="preserve"> </w:t>
      </w:r>
      <w:r>
        <w:rPr>
          <w:sz w:val="12"/>
        </w:rPr>
        <w:t>de</w:t>
      </w:r>
      <w:r>
        <w:rPr>
          <w:spacing w:val="-7"/>
          <w:sz w:val="12"/>
        </w:rPr>
        <w:t xml:space="preserve"> </w:t>
      </w:r>
      <w:r>
        <w:rPr>
          <w:sz w:val="12"/>
        </w:rPr>
        <w:t>los</w:t>
      </w:r>
      <w:r>
        <w:rPr>
          <w:spacing w:val="-7"/>
          <w:sz w:val="12"/>
        </w:rPr>
        <w:t xml:space="preserve"> </w:t>
      </w:r>
      <w:r>
        <w:rPr>
          <w:sz w:val="12"/>
        </w:rPr>
        <w:t>Principios</w:t>
      </w:r>
      <w:r>
        <w:rPr>
          <w:spacing w:val="-7"/>
          <w:sz w:val="12"/>
        </w:rPr>
        <w:t xml:space="preserve"> </w:t>
      </w:r>
      <w:r>
        <w:rPr>
          <w:sz w:val="12"/>
        </w:rPr>
        <w:t>de</w:t>
      </w:r>
      <w:r>
        <w:rPr>
          <w:spacing w:val="-7"/>
          <w:sz w:val="12"/>
        </w:rPr>
        <w:t xml:space="preserve"> </w:t>
      </w:r>
      <w:r>
        <w:rPr>
          <w:sz w:val="12"/>
        </w:rPr>
        <w:t>París,</w:t>
      </w:r>
      <w:r>
        <w:rPr>
          <w:spacing w:val="-7"/>
          <w:sz w:val="12"/>
        </w:rPr>
        <w:t xml:space="preserve"> </w:t>
      </w:r>
      <w:r>
        <w:rPr>
          <w:sz w:val="12"/>
        </w:rPr>
        <w:t>secc.</w:t>
      </w:r>
      <w:r>
        <w:rPr>
          <w:spacing w:val="-7"/>
          <w:sz w:val="12"/>
        </w:rPr>
        <w:t xml:space="preserve"> </w:t>
      </w:r>
      <w:r>
        <w:rPr>
          <w:sz w:val="12"/>
        </w:rPr>
        <w:t>3.1</w:t>
      </w:r>
      <w:r>
        <w:rPr>
          <w:spacing w:val="-8"/>
          <w:sz w:val="12"/>
        </w:rPr>
        <w:t xml:space="preserve"> </w:t>
      </w:r>
      <w:r>
        <w:rPr>
          <w:sz w:val="12"/>
        </w:rPr>
        <w:t>(nota</w:t>
      </w:r>
      <w:r>
        <w:rPr>
          <w:spacing w:val="-7"/>
          <w:sz w:val="12"/>
        </w:rPr>
        <w:t xml:space="preserve"> </w:t>
      </w:r>
      <w:r>
        <w:rPr>
          <w:sz w:val="12"/>
        </w:rPr>
        <w:t>a</w:t>
      </w:r>
      <w:r>
        <w:rPr>
          <w:spacing w:val="-7"/>
          <w:sz w:val="12"/>
        </w:rPr>
        <w:t xml:space="preserve"> </w:t>
      </w:r>
      <w:r>
        <w:rPr>
          <w:sz w:val="12"/>
        </w:rPr>
        <w:t>pie</w:t>
      </w:r>
      <w:r>
        <w:rPr>
          <w:spacing w:val="-7"/>
          <w:sz w:val="12"/>
        </w:rPr>
        <w:t xml:space="preserve"> </w:t>
      </w:r>
      <w:r>
        <w:rPr>
          <w:sz w:val="12"/>
        </w:rPr>
        <w:t>de</w:t>
      </w:r>
      <w:r>
        <w:rPr>
          <w:spacing w:val="-7"/>
          <w:sz w:val="12"/>
        </w:rPr>
        <w:t xml:space="preserve"> </w:t>
      </w:r>
      <w:r>
        <w:rPr>
          <w:sz w:val="12"/>
        </w:rPr>
        <w:t>página</w:t>
      </w:r>
      <w:r>
        <w:rPr>
          <w:spacing w:val="-7"/>
          <w:sz w:val="12"/>
        </w:rPr>
        <w:t xml:space="preserve"> </w:t>
      </w:r>
      <w:r>
        <w:rPr>
          <w:spacing w:val="-2"/>
          <w:sz w:val="12"/>
        </w:rPr>
        <w:t>omitida).</w:t>
      </w:r>
    </w:p>
    <w:p w14:paraId="39EED25F" w14:textId="77777777" w:rsidR="0014798C" w:rsidRDefault="0014798C">
      <w:pPr>
        <w:jc w:val="both"/>
        <w:rPr>
          <w:sz w:val="12"/>
        </w:rPr>
        <w:sectPr w:rsidR="0014798C" w:rsidSect="00F265E4">
          <w:pgSz w:w="11900" w:h="16820"/>
          <w:pgMar w:top="340" w:right="0" w:bottom="280" w:left="200" w:header="121" w:footer="0" w:gutter="0"/>
          <w:cols w:space="720"/>
        </w:sectPr>
      </w:pPr>
    </w:p>
    <w:p w14:paraId="1A095C9B" w14:textId="77777777" w:rsidR="0014798C" w:rsidRDefault="004E1F0B">
      <w:pPr>
        <w:spacing w:before="54"/>
        <w:jc w:val="right"/>
        <w:rPr>
          <w:sz w:val="8"/>
        </w:rPr>
      </w:pPr>
      <w:r>
        <w:rPr>
          <w:spacing w:val="-5"/>
          <w:w w:val="105"/>
          <w:sz w:val="8"/>
        </w:rPr>
        <w:t>746</w:t>
      </w:r>
    </w:p>
    <w:p w14:paraId="743274D5" w14:textId="77777777" w:rsidR="0014798C" w:rsidRDefault="004E1F0B">
      <w:pPr>
        <w:spacing w:before="90" w:line="259" w:lineRule="auto"/>
        <w:ind w:left="82" w:right="1784" w:hanging="2"/>
        <w:rPr>
          <w:sz w:val="14"/>
        </w:rPr>
      </w:pPr>
      <w:r>
        <w:br w:type="column"/>
      </w:r>
      <w:r>
        <w:rPr>
          <w:sz w:val="14"/>
        </w:rPr>
        <w:t xml:space="preserve">Véase, por ejemplo, Comité para la Eliminación de la Discriminación contra la Mujer, recomendación general núm. 33 (2015), </w:t>
      </w:r>
      <w:proofErr w:type="spellStart"/>
      <w:r>
        <w:rPr>
          <w:sz w:val="14"/>
        </w:rPr>
        <w:t>párrs</w:t>
      </w:r>
      <w:proofErr w:type="spellEnd"/>
      <w:r>
        <w:rPr>
          <w:sz w:val="14"/>
        </w:rPr>
        <w:t>. 54 y</w:t>
      </w:r>
      <w:r>
        <w:rPr>
          <w:spacing w:val="40"/>
          <w:sz w:val="14"/>
        </w:rPr>
        <w:t xml:space="preserve"> </w:t>
      </w:r>
      <w:r>
        <w:rPr>
          <w:spacing w:val="-2"/>
          <w:sz w:val="14"/>
        </w:rPr>
        <w:t>60(a).</w:t>
      </w:r>
    </w:p>
    <w:p w14:paraId="4EB8F701" w14:textId="77777777" w:rsidR="0014798C" w:rsidRDefault="0014798C">
      <w:pPr>
        <w:spacing w:line="259" w:lineRule="auto"/>
        <w:rPr>
          <w:sz w:val="14"/>
        </w:rPr>
        <w:sectPr w:rsidR="0014798C" w:rsidSect="00F265E4">
          <w:type w:val="continuous"/>
          <w:pgSz w:w="11900" w:h="16820"/>
          <w:pgMar w:top="40" w:right="0" w:bottom="280" w:left="200" w:header="121" w:footer="0" w:gutter="0"/>
          <w:cols w:num="2" w:space="720" w:equalWidth="0">
            <w:col w:w="1250" w:space="40"/>
            <w:col w:w="10410"/>
          </w:cols>
        </w:sectPr>
      </w:pPr>
    </w:p>
    <w:p w14:paraId="28E8C34C" w14:textId="77777777" w:rsidR="0014798C" w:rsidRDefault="004E1F0B">
      <w:pPr>
        <w:spacing w:before="77"/>
        <w:ind w:left="1108"/>
        <w:rPr>
          <w:sz w:val="12"/>
        </w:rPr>
      </w:pPr>
      <w:r>
        <w:rPr>
          <w:sz w:val="12"/>
        </w:rPr>
        <w:t>747</w:t>
      </w:r>
      <w:r>
        <w:rPr>
          <w:spacing w:val="-7"/>
          <w:sz w:val="12"/>
        </w:rPr>
        <w:t xml:space="preserve"> </w:t>
      </w:r>
      <w:r>
        <w:rPr>
          <w:sz w:val="12"/>
        </w:rPr>
        <w:t>Véase</w:t>
      </w:r>
      <w:r>
        <w:rPr>
          <w:spacing w:val="-6"/>
          <w:sz w:val="12"/>
        </w:rPr>
        <w:t xml:space="preserve"> </w:t>
      </w:r>
      <w:r>
        <w:rPr>
          <w:sz w:val="12"/>
        </w:rPr>
        <w:t>el</w:t>
      </w:r>
      <w:r>
        <w:rPr>
          <w:spacing w:val="-7"/>
          <w:sz w:val="12"/>
        </w:rPr>
        <w:t xml:space="preserve"> </w:t>
      </w:r>
      <w:r>
        <w:rPr>
          <w:sz w:val="12"/>
        </w:rPr>
        <w:t>análisis</w:t>
      </w:r>
      <w:r>
        <w:rPr>
          <w:spacing w:val="-6"/>
          <w:sz w:val="12"/>
        </w:rPr>
        <w:t xml:space="preserve"> </w:t>
      </w:r>
      <w:r>
        <w:rPr>
          <w:sz w:val="12"/>
        </w:rPr>
        <w:t>de</w:t>
      </w:r>
      <w:r>
        <w:rPr>
          <w:spacing w:val="-6"/>
          <w:sz w:val="12"/>
        </w:rPr>
        <w:t xml:space="preserve"> </w:t>
      </w:r>
      <w:r>
        <w:rPr>
          <w:sz w:val="12"/>
        </w:rPr>
        <w:t>la</w:t>
      </w:r>
      <w:r>
        <w:rPr>
          <w:spacing w:val="-7"/>
          <w:sz w:val="12"/>
        </w:rPr>
        <w:t xml:space="preserve"> </w:t>
      </w:r>
      <w:r>
        <w:rPr>
          <w:sz w:val="12"/>
        </w:rPr>
        <w:t>importancia</w:t>
      </w:r>
      <w:r>
        <w:rPr>
          <w:spacing w:val="-6"/>
          <w:sz w:val="12"/>
        </w:rPr>
        <w:t xml:space="preserve"> </w:t>
      </w:r>
      <w:r>
        <w:rPr>
          <w:sz w:val="12"/>
        </w:rPr>
        <w:t>de</w:t>
      </w:r>
      <w:r>
        <w:rPr>
          <w:spacing w:val="-7"/>
          <w:sz w:val="12"/>
        </w:rPr>
        <w:t xml:space="preserve"> </w:t>
      </w:r>
      <w:r>
        <w:rPr>
          <w:sz w:val="12"/>
        </w:rPr>
        <w:t>la</w:t>
      </w:r>
      <w:r>
        <w:rPr>
          <w:spacing w:val="-6"/>
          <w:sz w:val="12"/>
        </w:rPr>
        <w:t xml:space="preserve"> </w:t>
      </w:r>
      <w:r>
        <w:rPr>
          <w:sz w:val="12"/>
        </w:rPr>
        <w:t>participación</w:t>
      </w:r>
      <w:r>
        <w:rPr>
          <w:spacing w:val="-6"/>
          <w:sz w:val="12"/>
        </w:rPr>
        <w:t xml:space="preserve"> </w:t>
      </w:r>
      <w:r>
        <w:rPr>
          <w:sz w:val="12"/>
        </w:rPr>
        <w:t>y</w:t>
      </w:r>
      <w:r>
        <w:rPr>
          <w:spacing w:val="-7"/>
          <w:sz w:val="12"/>
        </w:rPr>
        <w:t xml:space="preserve"> </w:t>
      </w:r>
      <w:r>
        <w:rPr>
          <w:sz w:val="12"/>
        </w:rPr>
        <w:t>el</w:t>
      </w:r>
      <w:r>
        <w:rPr>
          <w:spacing w:val="-6"/>
          <w:sz w:val="12"/>
        </w:rPr>
        <w:t xml:space="preserve"> </w:t>
      </w:r>
      <w:r>
        <w:rPr>
          <w:sz w:val="12"/>
        </w:rPr>
        <w:t>compromiso</w:t>
      </w:r>
      <w:r>
        <w:rPr>
          <w:spacing w:val="-7"/>
          <w:sz w:val="12"/>
        </w:rPr>
        <w:t xml:space="preserve"> </w:t>
      </w:r>
      <w:r>
        <w:rPr>
          <w:sz w:val="12"/>
        </w:rPr>
        <w:t>con</w:t>
      </w:r>
      <w:r>
        <w:rPr>
          <w:spacing w:val="-6"/>
          <w:sz w:val="12"/>
        </w:rPr>
        <w:t xml:space="preserve"> </w:t>
      </w:r>
      <w:r>
        <w:rPr>
          <w:sz w:val="12"/>
        </w:rPr>
        <w:t>respecto</w:t>
      </w:r>
      <w:r>
        <w:rPr>
          <w:spacing w:val="-6"/>
          <w:sz w:val="12"/>
        </w:rPr>
        <w:t xml:space="preserve"> </w:t>
      </w:r>
      <w:r>
        <w:rPr>
          <w:sz w:val="12"/>
        </w:rPr>
        <w:t>a</w:t>
      </w:r>
      <w:r>
        <w:rPr>
          <w:spacing w:val="-7"/>
          <w:sz w:val="12"/>
        </w:rPr>
        <w:t xml:space="preserve"> </w:t>
      </w:r>
      <w:r>
        <w:rPr>
          <w:sz w:val="12"/>
        </w:rPr>
        <w:t>las</w:t>
      </w:r>
      <w:r>
        <w:rPr>
          <w:spacing w:val="-6"/>
          <w:sz w:val="12"/>
        </w:rPr>
        <w:t xml:space="preserve"> </w:t>
      </w:r>
      <w:r>
        <w:rPr>
          <w:sz w:val="12"/>
        </w:rPr>
        <w:t>obligaciones</w:t>
      </w:r>
      <w:r>
        <w:rPr>
          <w:spacing w:val="-7"/>
          <w:sz w:val="12"/>
        </w:rPr>
        <w:t xml:space="preserve"> </w:t>
      </w:r>
      <w:r>
        <w:rPr>
          <w:sz w:val="12"/>
        </w:rPr>
        <w:t>de</w:t>
      </w:r>
      <w:r>
        <w:rPr>
          <w:spacing w:val="-6"/>
          <w:sz w:val="12"/>
        </w:rPr>
        <w:t xml:space="preserve"> </w:t>
      </w:r>
      <w:r>
        <w:rPr>
          <w:sz w:val="12"/>
        </w:rPr>
        <w:t>implementación</w:t>
      </w:r>
      <w:r>
        <w:rPr>
          <w:spacing w:val="-6"/>
          <w:sz w:val="12"/>
        </w:rPr>
        <w:t xml:space="preserve"> </w:t>
      </w:r>
      <w:r>
        <w:rPr>
          <w:sz w:val="12"/>
        </w:rPr>
        <w:t>de</w:t>
      </w:r>
      <w:r>
        <w:rPr>
          <w:spacing w:val="-7"/>
          <w:sz w:val="12"/>
        </w:rPr>
        <w:t xml:space="preserve"> </w:t>
      </w:r>
      <w:r>
        <w:rPr>
          <w:sz w:val="12"/>
        </w:rPr>
        <w:t>los</w:t>
      </w:r>
      <w:r>
        <w:rPr>
          <w:spacing w:val="-6"/>
          <w:sz w:val="12"/>
        </w:rPr>
        <w:t xml:space="preserve"> </w:t>
      </w:r>
      <w:r>
        <w:rPr>
          <w:sz w:val="12"/>
        </w:rPr>
        <w:t>Estados</w:t>
      </w:r>
      <w:r>
        <w:rPr>
          <w:spacing w:val="-7"/>
          <w:sz w:val="12"/>
        </w:rPr>
        <w:t xml:space="preserve"> </w:t>
      </w:r>
      <w:r>
        <w:rPr>
          <w:sz w:val="12"/>
        </w:rPr>
        <w:t>en</w:t>
      </w:r>
      <w:r>
        <w:rPr>
          <w:spacing w:val="-6"/>
          <w:sz w:val="12"/>
        </w:rPr>
        <w:t xml:space="preserve"> </w:t>
      </w:r>
      <w:r>
        <w:rPr>
          <w:sz w:val="12"/>
        </w:rPr>
        <w:t>la</w:t>
      </w:r>
      <w:r>
        <w:rPr>
          <w:spacing w:val="-6"/>
          <w:sz w:val="12"/>
        </w:rPr>
        <w:t xml:space="preserve"> </w:t>
      </w:r>
      <w:r>
        <w:rPr>
          <w:sz w:val="12"/>
        </w:rPr>
        <w:t>sección</w:t>
      </w:r>
      <w:r>
        <w:rPr>
          <w:spacing w:val="-7"/>
          <w:sz w:val="12"/>
        </w:rPr>
        <w:t xml:space="preserve"> </w:t>
      </w:r>
      <w:r>
        <w:rPr>
          <w:sz w:val="12"/>
        </w:rPr>
        <w:t>VD</w:t>
      </w:r>
      <w:r>
        <w:rPr>
          <w:spacing w:val="-6"/>
          <w:sz w:val="12"/>
        </w:rPr>
        <w:t xml:space="preserve"> </w:t>
      </w:r>
      <w:r>
        <w:rPr>
          <w:sz w:val="12"/>
        </w:rPr>
        <w:t>de</w:t>
      </w:r>
      <w:r>
        <w:rPr>
          <w:spacing w:val="-7"/>
          <w:sz w:val="12"/>
        </w:rPr>
        <w:t xml:space="preserve"> </w:t>
      </w:r>
      <w:r>
        <w:rPr>
          <w:sz w:val="12"/>
        </w:rPr>
        <w:t>la</w:t>
      </w:r>
      <w:r>
        <w:rPr>
          <w:spacing w:val="-6"/>
          <w:sz w:val="12"/>
        </w:rPr>
        <w:t xml:space="preserve"> </w:t>
      </w:r>
      <w:r>
        <w:rPr>
          <w:spacing w:val="-2"/>
          <w:sz w:val="12"/>
        </w:rPr>
        <w:t>parte</w:t>
      </w:r>
    </w:p>
    <w:p w14:paraId="0498FD99" w14:textId="77777777" w:rsidR="0014798C" w:rsidRDefault="004E1F0B">
      <w:pPr>
        <w:spacing w:before="33"/>
        <w:ind w:left="1366"/>
        <w:rPr>
          <w:sz w:val="14"/>
        </w:rPr>
      </w:pPr>
      <w:r>
        <w:rPr>
          <w:sz w:val="14"/>
        </w:rPr>
        <w:t>dos</w:t>
      </w:r>
      <w:r>
        <w:rPr>
          <w:spacing w:val="2"/>
          <w:sz w:val="14"/>
        </w:rPr>
        <w:t xml:space="preserve"> </w:t>
      </w:r>
      <w:r>
        <w:rPr>
          <w:sz w:val="14"/>
        </w:rPr>
        <w:t>de</w:t>
      </w:r>
      <w:r>
        <w:rPr>
          <w:spacing w:val="3"/>
          <w:sz w:val="14"/>
        </w:rPr>
        <w:t xml:space="preserve"> </w:t>
      </w:r>
      <w:r>
        <w:rPr>
          <w:sz w:val="14"/>
        </w:rPr>
        <w:t>la</w:t>
      </w:r>
      <w:r>
        <w:rPr>
          <w:spacing w:val="3"/>
          <w:sz w:val="14"/>
        </w:rPr>
        <w:t xml:space="preserve"> </w:t>
      </w:r>
      <w:r>
        <w:rPr>
          <w:sz w:val="14"/>
        </w:rPr>
        <w:t>presente</w:t>
      </w:r>
      <w:r>
        <w:rPr>
          <w:spacing w:val="3"/>
          <w:sz w:val="14"/>
        </w:rPr>
        <w:t xml:space="preserve"> </w:t>
      </w:r>
      <w:r>
        <w:rPr>
          <w:spacing w:val="-2"/>
          <w:sz w:val="14"/>
        </w:rPr>
        <w:t>guía.</w:t>
      </w:r>
    </w:p>
    <w:p w14:paraId="7C4598E4" w14:textId="77777777" w:rsidR="0014798C" w:rsidRDefault="0014798C">
      <w:pPr>
        <w:pStyle w:val="Textoindependiente"/>
        <w:rPr>
          <w:sz w:val="18"/>
        </w:rPr>
      </w:pPr>
    </w:p>
    <w:p w14:paraId="15075984" w14:textId="77777777" w:rsidR="0014798C" w:rsidRDefault="0014798C">
      <w:pPr>
        <w:pStyle w:val="Textoindependiente"/>
        <w:rPr>
          <w:sz w:val="18"/>
        </w:rPr>
      </w:pPr>
    </w:p>
    <w:p w14:paraId="5601EC00" w14:textId="77777777" w:rsidR="0014798C" w:rsidRDefault="0014798C">
      <w:pPr>
        <w:pStyle w:val="Textoindependiente"/>
        <w:spacing w:before="13"/>
        <w:rPr>
          <w:sz w:val="18"/>
        </w:rPr>
      </w:pPr>
    </w:p>
    <w:p w14:paraId="22C7AE0B" w14:textId="77777777" w:rsidR="0014798C" w:rsidRDefault="004E1F0B">
      <w:pPr>
        <w:ind w:right="709"/>
        <w:jc w:val="right"/>
        <w:rPr>
          <w:sz w:val="18"/>
        </w:rPr>
      </w:pPr>
      <w:r>
        <w:rPr>
          <w:spacing w:val="-5"/>
          <w:sz w:val="18"/>
        </w:rPr>
        <w:t>105</w:t>
      </w:r>
    </w:p>
    <w:p w14:paraId="616CA101" w14:textId="77777777" w:rsidR="0014798C" w:rsidRDefault="0014798C">
      <w:pPr>
        <w:jc w:val="right"/>
        <w:rPr>
          <w:sz w:val="18"/>
        </w:rPr>
        <w:sectPr w:rsidR="0014798C" w:rsidSect="00F265E4">
          <w:type w:val="continuous"/>
          <w:pgSz w:w="11900" w:h="16820"/>
          <w:pgMar w:top="40" w:right="0" w:bottom="280" w:left="200" w:header="121" w:footer="0" w:gutter="0"/>
          <w:cols w:space="720"/>
        </w:sectPr>
      </w:pPr>
    </w:p>
    <w:p w14:paraId="1F69885E" w14:textId="77777777" w:rsidR="0014798C" w:rsidRDefault="0014798C">
      <w:pPr>
        <w:pStyle w:val="Textoindependiente"/>
        <w:spacing w:before="85"/>
        <w:rPr>
          <w:sz w:val="12"/>
        </w:rPr>
      </w:pPr>
    </w:p>
    <w:p w14:paraId="2EA1524B" w14:textId="77777777" w:rsidR="0014798C" w:rsidRDefault="004E1F0B">
      <w:pPr>
        <w:ind w:left="1111"/>
        <w:rPr>
          <w:sz w:val="12"/>
        </w:rPr>
      </w:pPr>
      <w:r>
        <w:rPr>
          <w:color w:val="00AC59"/>
          <w:sz w:val="12"/>
        </w:rPr>
        <w:t>PROTECCIÓN</w:t>
      </w:r>
      <w:r>
        <w:rPr>
          <w:color w:val="00AC59"/>
          <w:spacing w:val="6"/>
          <w:sz w:val="12"/>
        </w:rPr>
        <w:t xml:space="preserve"> </w:t>
      </w:r>
      <w:r>
        <w:rPr>
          <w:color w:val="00AC59"/>
          <w:sz w:val="12"/>
        </w:rPr>
        <w:t>DE</w:t>
      </w:r>
      <w:r>
        <w:rPr>
          <w:color w:val="00AC59"/>
          <w:spacing w:val="7"/>
          <w:sz w:val="12"/>
        </w:rPr>
        <w:t xml:space="preserve"> </w:t>
      </w:r>
      <w:r>
        <w:rPr>
          <w:color w:val="00AC59"/>
          <w:sz w:val="12"/>
        </w:rPr>
        <w:t>LOS</w:t>
      </w:r>
      <w:r>
        <w:rPr>
          <w:color w:val="00AC59"/>
          <w:spacing w:val="8"/>
          <w:sz w:val="12"/>
        </w:rPr>
        <w:t xml:space="preserve"> </w:t>
      </w:r>
      <w:r>
        <w:rPr>
          <w:color w:val="00AC59"/>
          <w:sz w:val="12"/>
        </w:rPr>
        <w:t>DERECHOS</w:t>
      </w:r>
      <w:r>
        <w:rPr>
          <w:color w:val="00AC59"/>
          <w:spacing w:val="8"/>
          <w:sz w:val="12"/>
        </w:rPr>
        <w:t xml:space="preserve"> </w:t>
      </w:r>
      <w:r>
        <w:rPr>
          <w:color w:val="00AC59"/>
          <w:sz w:val="12"/>
        </w:rPr>
        <w:t>DE</w:t>
      </w:r>
      <w:r>
        <w:rPr>
          <w:color w:val="00AC59"/>
          <w:spacing w:val="6"/>
          <w:sz w:val="12"/>
        </w:rPr>
        <w:t xml:space="preserve"> </w:t>
      </w:r>
      <w:r>
        <w:rPr>
          <w:color w:val="00AC59"/>
          <w:sz w:val="12"/>
        </w:rPr>
        <w:t>LAS</w:t>
      </w:r>
      <w:r>
        <w:rPr>
          <w:color w:val="00AC59"/>
          <w:spacing w:val="7"/>
          <w:sz w:val="12"/>
        </w:rPr>
        <w:t xml:space="preserve"> </w:t>
      </w:r>
      <w:r>
        <w:rPr>
          <w:color w:val="00AC59"/>
          <w:sz w:val="12"/>
        </w:rPr>
        <w:t>MINORÍAS:</w:t>
      </w:r>
      <w:r>
        <w:rPr>
          <w:color w:val="00AC59"/>
          <w:spacing w:val="8"/>
          <w:sz w:val="12"/>
        </w:rPr>
        <w:t xml:space="preserve"> </w:t>
      </w:r>
      <w:r>
        <w:rPr>
          <w:color w:val="00AC59"/>
          <w:sz w:val="12"/>
        </w:rPr>
        <w:t>una</w:t>
      </w:r>
      <w:r>
        <w:rPr>
          <w:color w:val="00AC59"/>
          <w:spacing w:val="7"/>
          <w:sz w:val="12"/>
        </w:rPr>
        <w:t xml:space="preserve"> </w:t>
      </w:r>
      <w:r>
        <w:rPr>
          <w:color w:val="00AC59"/>
          <w:sz w:val="12"/>
        </w:rPr>
        <w:t>guía</w:t>
      </w:r>
      <w:r>
        <w:rPr>
          <w:color w:val="00AC59"/>
          <w:spacing w:val="6"/>
          <w:sz w:val="12"/>
        </w:rPr>
        <w:t xml:space="preserve"> </w:t>
      </w:r>
      <w:r>
        <w:rPr>
          <w:color w:val="00AC59"/>
          <w:sz w:val="12"/>
        </w:rPr>
        <w:t>práctica</w:t>
      </w:r>
      <w:r>
        <w:rPr>
          <w:color w:val="00AC59"/>
          <w:spacing w:val="7"/>
          <w:sz w:val="12"/>
        </w:rPr>
        <w:t xml:space="preserve"> </w:t>
      </w:r>
      <w:r>
        <w:rPr>
          <w:color w:val="00AC59"/>
          <w:sz w:val="12"/>
        </w:rPr>
        <w:t>para</w:t>
      </w:r>
      <w:r>
        <w:rPr>
          <w:color w:val="00AC59"/>
          <w:spacing w:val="8"/>
          <w:sz w:val="12"/>
        </w:rPr>
        <w:t xml:space="preserve"> </w:t>
      </w:r>
      <w:r>
        <w:rPr>
          <w:color w:val="00AC59"/>
          <w:sz w:val="12"/>
        </w:rPr>
        <w:t>desarrollar</w:t>
      </w:r>
      <w:r>
        <w:rPr>
          <w:color w:val="00AC59"/>
          <w:spacing w:val="6"/>
          <w:sz w:val="12"/>
        </w:rPr>
        <w:t xml:space="preserve"> </w:t>
      </w:r>
      <w:r>
        <w:rPr>
          <w:color w:val="00AC59"/>
          <w:sz w:val="12"/>
        </w:rPr>
        <w:t>una</w:t>
      </w:r>
      <w:r>
        <w:rPr>
          <w:color w:val="00AC59"/>
          <w:spacing w:val="7"/>
          <w:sz w:val="12"/>
        </w:rPr>
        <w:t xml:space="preserve"> </w:t>
      </w:r>
      <w:r>
        <w:rPr>
          <w:color w:val="00AC59"/>
          <w:sz w:val="12"/>
        </w:rPr>
        <w:t>legislación</w:t>
      </w:r>
      <w:r>
        <w:rPr>
          <w:color w:val="00AC59"/>
          <w:spacing w:val="8"/>
          <w:sz w:val="12"/>
        </w:rPr>
        <w:t xml:space="preserve"> </w:t>
      </w:r>
      <w:r>
        <w:rPr>
          <w:color w:val="00AC59"/>
          <w:sz w:val="12"/>
        </w:rPr>
        <w:t>integral</w:t>
      </w:r>
      <w:r>
        <w:rPr>
          <w:color w:val="00AC59"/>
          <w:spacing w:val="7"/>
          <w:sz w:val="12"/>
        </w:rPr>
        <w:t xml:space="preserve"> </w:t>
      </w:r>
      <w:r>
        <w:rPr>
          <w:color w:val="00AC59"/>
          <w:sz w:val="12"/>
        </w:rPr>
        <w:t>contra</w:t>
      </w:r>
      <w:r>
        <w:rPr>
          <w:color w:val="00AC59"/>
          <w:spacing w:val="6"/>
          <w:sz w:val="12"/>
        </w:rPr>
        <w:t xml:space="preserve"> </w:t>
      </w:r>
      <w:r>
        <w:rPr>
          <w:color w:val="00AC59"/>
          <w:sz w:val="12"/>
        </w:rPr>
        <w:t>la</w:t>
      </w:r>
      <w:r>
        <w:rPr>
          <w:color w:val="00AC59"/>
          <w:spacing w:val="7"/>
          <w:sz w:val="12"/>
        </w:rPr>
        <w:t xml:space="preserve"> </w:t>
      </w:r>
      <w:r>
        <w:rPr>
          <w:color w:val="00AC59"/>
          <w:spacing w:val="-2"/>
          <w:sz w:val="12"/>
        </w:rPr>
        <w:t>discriminación</w:t>
      </w:r>
    </w:p>
    <w:p w14:paraId="7DDEE068" w14:textId="77777777" w:rsidR="0014798C" w:rsidRDefault="0014798C">
      <w:pPr>
        <w:pStyle w:val="Textoindependiente"/>
        <w:rPr>
          <w:sz w:val="15"/>
        </w:rPr>
      </w:pPr>
    </w:p>
    <w:p w14:paraId="6A53FBD3" w14:textId="77777777" w:rsidR="0014798C" w:rsidRDefault="0014798C">
      <w:pPr>
        <w:pStyle w:val="Textoindependiente"/>
        <w:rPr>
          <w:sz w:val="15"/>
        </w:rPr>
      </w:pPr>
    </w:p>
    <w:p w14:paraId="32F0CC35" w14:textId="77777777" w:rsidR="0014798C" w:rsidRDefault="0014798C">
      <w:pPr>
        <w:pStyle w:val="Textoindependiente"/>
        <w:rPr>
          <w:sz w:val="15"/>
        </w:rPr>
      </w:pPr>
    </w:p>
    <w:p w14:paraId="5AD6DF13" w14:textId="77777777" w:rsidR="0014798C" w:rsidRDefault="0014798C">
      <w:pPr>
        <w:pStyle w:val="Textoindependiente"/>
        <w:rPr>
          <w:sz w:val="15"/>
        </w:rPr>
      </w:pPr>
    </w:p>
    <w:p w14:paraId="0038C33C" w14:textId="77777777" w:rsidR="0014798C" w:rsidRDefault="0014798C">
      <w:pPr>
        <w:pStyle w:val="Textoindependiente"/>
        <w:spacing w:before="138"/>
        <w:rPr>
          <w:sz w:val="15"/>
        </w:rPr>
      </w:pPr>
    </w:p>
    <w:p w14:paraId="1CA6746B" w14:textId="77777777" w:rsidR="0014798C" w:rsidRDefault="004E1F0B">
      <w:pPr>
        <w:spacing w:line="348" w:lineRule="auto"/>
        <w:ind w:left="1107" w:right="1463" w:firstLine="4"/>
        <w:rPr>
          <w:sz w:val="15"/>
        </w:rPr>
      </w:pPr>
      <w:r>
        <w:rPr>
          <w:w w:val="105"/>
          <w:sz w:val="15"/>
        </w:rPr>
        <w:t>organizaciones</w:t>
      </w:r>
      <w:r>
        <w:rPr>
          <w:spacing w:val="-10"/>
          <w:w w:val="105"/>
          <w:sz w:val="15"/>
        </w:rPr>
        <w:t xml:space="preserve"> </w:t>
      </w:r>
      <w:r>
        <w:rPr>
          <w:w w:val="105"/>
          <w:sz w:val="15"/>
        </w:rPr>
        <w:t>en</w:t>
      </w:r>
      <w:r>
        <w:rPr>
          <w:spacing w:val="-10"/>
          <w:w w:val="105"/>
          <w:sz w:val="15"/>
        </w:rPr>
        <w:t xml:space="preserve"> </w:t>
      </w:r>
      <w:r>
        <w:rPr>
          <w:w w:val="105"/>
          <w:sz w:val="15"/>
        </w:rPr>
        <w:t>todas</w:t>
      </w:r>
      <w:r>
        <w:rPr>
          <w:spacing w:val="-10"/>
          <w:w w:val="105"/>
          <w:sz w:val="15"/>
        </w:rPr>
        <w:t xml:space="preserve"> </w:t>
      </w:r>
      <w:r>
        <w:rPr>
          <w:w w:val="105"/>
          <w:sz w:val="15"/>
        </w:rPr>
        <w:t>las</w:t>
      </w:r>
      <w:r>
        <w:rPr>
          <w:spacing w:val="-10"/>
          <w:w w:val="105"/>
          <w:sz w:val="15"/>
        </w:rPr>
        <w:t xml:space="preserve"> </w:t>
      </w:r>
      <w:r>
        <w:rPr>
          <w:w w:val="105"/>
          <w:sz w:val="15"/>
        </w:rPr>
        <w:t>áreas</w:t>
      </w:r>
      <w:r>
        <w:rPr>
          <w:spacing w:val="-10"/>
          <w:w w:val="105"/>
          <w:sz w:val="15"/>
        </w:rPr>
        <w:t xml:space="preserve"> </w:t>
      </w:r>
      <w:r>
        <w:rPr>
          <w:w w:val="105"/>
          <w:sz w:val="15"/>
        </w:rPr>
        <w:t>de</w:t>
      </w:r>
      <w:r>
        <w:rPr>
          <w:spacing w:val="-10"/>
          <w:w w:val="105"/>
          <w:sz w:val="15"/>
        </w:rPr>
        <w:t xml:space="preserve"> </w:t>
      </w:r>
      <w:r>
        <w:rPr>
          <w:w w:val="105"/>
          <w:sz w:val="15"/>
        </w:rPr>
        <w:t>su</w:t>
      </w:r>
      <w:r>
        <w:rPr>
          <w:spacing w:val="-10"/>
          <w:w w:val="105"/>
          <w:sz w:val="15"/>
        </w:rPr>
        <w:t xml:space="preserve"> </w:t>
      </w:r>
      <w:r>
        <w:rPr>
          <w:w w:val="105"/>
          <w:sz w:val="15"/>
        </w:rPr>
        <w:t>trabajo”.748</w:t>
      </w:r>
      <w:r>
        <w:rPr>
          <w:spacing w:val="-10"/>
          <w:w w:val="105"/>
          <w:sz w:val="15"/>
        </w:rPr>
        <w:t xml:space="preserve"> </w:t>
      </w:r>
      <w:r>
        <w:rPr>
          <w:w w:val="105"/>
          <w:sz w:val="15"/>
        </w:rPr>
        <w:t>Dicha</w:t>
      </w:r>
      <w:r>
        <w:rPr>
          <w:spacing w:val="-10"/>
          <w:w w:val="105"/>
          <w:sz w:val="15"/>
        </w:rPr>
        <w:t xml:space="preserve"> </w:t>
      </w:r>
      <w:r>
        <w:rPr>
          <w:w w:val="105"/>
          <w:sz w:val="15"/>
        </w:rPr>
        <w:t>participación</w:t>
      </w:r>
      <w:r>
        <w:rPr>
          <w:spacing w:val="-10"/>
          <w:w w:val="105"/>
          <w:sz w:val="15"/>
        </w:rPr>
        <w:t xml:space="preserve"> </w:t>
      </w:r>
      <w:r>
        <w:rPr>
          <w:w w:val="105"/>
          <w:sz w:val="15"/>
        </w:rPr>
        <w:t>debe</w:t>
      </w:r>
      <w:r>
        <w:rPr>
          <w:spacing w:val="-10"/>
          <w:w w:val="105"/>
          <w:sz w:val="15"/>
        </w:rPr>
        <w:t xml:space="preserve"> </w:t>
      </w:r>
      <w:r>
        <w:rPr>
          <w:w w:val="105"/>
          <w:sz w:val="15"/>
        </w:rPr>
        <w:t>ser</w:t>
      </w:r>
      <w:r>
        <w:rPr>
          <w:spacing w:val="-10"/>
          <w:w w:val="105"/>
          <w:sz w:val="15"/>
        </w:rPr>
        <w:t xml:space="preserve"> </w:t>
      </w:r>
      <w:r>
        <w:rPr>
          <w:w w:val="105"/>
          <w:sz w:val="15"/>
        </w:rPr>
        <w:t>efectiva749</w:t>
      </w:r>
      <w:r>
        <w:rPr>
          <w:spacing w:val="-10"/>
          <w:w w:val="105"/>
          <w:sz w:val="15"/>
        </w:rPr>
        <w:t xml:space="preserve"> </w:t>
      </w:r>
      <w:r>
        <w:rPr>
          <w:w w:val="105"/>
          <w:sz w:val="15"/>
        </w:rPr>
        <w:t>y</w:t>
      </w:r>
      <w:r>
        <w:rPr>
          <w:spacing w:val="-10"/>
          <w:w w:val="105"/>
          <w:sz w:val="15"/>
        </w:rPr>
        <w:t xml:space="preserve"> </w:t>
      </w:r>
      <w:r>
        <w:rPr>
          <w:w w:val="105"/>
          <w:sz w:val="15"/>
        </w:rPr>
        <w:t>“significativa”750</w:t>
      </w:r>
      <w:r>
        <w:rPr>
          <w:spacing w:val="-10"/>
          <w:w w:val="105"/>
          <w:sz w:val="15"/>
        </w:rPr>
        <w:t xml:space="preserve"> </w:t>
      </w:r>
      <w:r>
        <w:rPr>
          <w:w w:val="105"/>
          <w:sz w:val="15"/>
        </w:rPr>
        <w:t>y</w:t>
      </w:r>
      <w:r>
        <w:rPr>
          <w:spacing w:val="-10"/>
          <w:w w:val="105"/>
          <w:sz w:val="15"/>
        </w:rPr>
        <w:t xml:space="preserve"> </w:t>
      </w:r>
      <w:r>
        <w:rPr>
          <w:w w:val="105"/>
          <w:sz w:val="15"/>
        </w:rPr>
        <w:t>tener</w:t>
      </w:r>
      <w:r>
        <w:rPr>
          <w:spacing w:val="-10"/>
          <w:w w:val="105"/>
          <w:sz w:val="15"/>
        </w:rPr>
        <w:t xml:space="preserve"> </w:t>
      </w:r>
      <w:r>
        <w:rPr>
          <w:w w:val="105"/>
          <w:sz w:val="15"/>
        </w:rPr>
        <w:t>lugar</w:t>
      </w:r>
      <w:r>
        <w:rPr>
          <w:spacing w:val="-10"/>
          <w:w w:val="105"/>
          <w:sz w:val="15"/>
        </w:rPr>
        <w:t xml:space="preserve"> </w:t>
      </w:r>
      <w:r>
        <w:rPr>
          <w:w w:val="105"/>
          <w:sz w:val="15"/>
        </w:rPr>
        <w:t>“en todas las etapas del proceso de monitoreo”.751</w:t>
      </w:r>
    </w:p>
    <w:p w14:paraId="38CCF960" w14:textId="77777777" w:rsidR="0014798C" w:rsidRDefault="004E1F0B">
      <w:pPr>
        <w:spacing w:before="169" w:line="348" w:lineRule="auto"/>
        <w:ind w:left="1105" w:right="1272"/>
        <w:rPr>
          <w:sz w:val="15"/>
        </w:rPr>
      </w:pPr>
      <w:r>
        <w:rPr>
          <w:w w:val="105"/>
          <w:sz w:val="15"/>
        </w:rPr>
        <w:t>El</w:t>
      </w:r>
      <w:r>
        <w:rPr>
          <w:spacing w:val="-11"/>
          <w:w w:val="105"/>
          <w:sz w:val="15"/>
        </w:rPr>
        <w:t xml:space="preserve"> </w:t>
      </w:r>
      <w:r>
        <w:rPr>
          <w:w w:val="105"/>
          <w:sz w:val="15"/>
        </w:rPr>
        <w:t>Relator</w:t>
      </w:r>
      <w:r>
        <w:rPr>
          <w:spacing w:val="-11"/>
          <w:w w:val="105"/>
          <w:sz w:val="15"/>
        </w:rPr>
        <w:t xml:space="preserve"> </w:t>
      </w:r>
      <w:r>
        <w:rPr>
          <w:w w:val="105"/>
          <w:sz w:val="15"/>
        </w:rPr>
        <w:t>Especial</w:t>
      </w:r>
      <w:r>
        <w:rPr>
          <w:spacing w:val="-11"/>
          <w:w w:val="105"/>
          <w:sz w:val="15"/>
        </w:rPr>
        <w:t xml:space="preserve"> </w:t>
      </w:r>
      <w:r>
        <w:rPr>
          <w:w w:val="105"/>
          <w:sz w:val="15"/>
        </w:rPr>
        <w:t>sobre</w:t>
      </w:r>
      <w:r>
        <w:rPr>
          <w:spacing w:val="-11"/>
          <w:w w:val="105"/>
          <w:sz w:val="15"/>
        </w:rPr>
        <w:t xml:space="preserve"> </w:t>
      </w:r>
      <w:r>
        <w:rPr>
          <w:w w:val="105"/>
          <w:sz w:val="15"/>
        </w:rPr>
        <w:t>las</w:t>
      </w:r>
      <w:r>
        <w:rPr>
          <w:spacing w:val="-11"/>
          <w:w w:val="105"/>
          <w:sz w:val="15"/>
        </w:rPr>
        <w:t xml:space="preserve"> </w:t>
      </w:r>
      <w:r>
        <w:rPr>
          <w:w w:val="105"/>
          <w:sz w:val="15"/>
        </w:rPr>
        <w:t>formas</w:t>
      </w:r>
      <w:r>
        <w:rPr>
          <w:spacing w:val="-11"/>
          <w:w w:val="105"/>
          <w:sz w:val="15"/>
        </w:rPr>
        <w:t xml:space="preserve"> </w:t>
      </w:r>
      <w:r>
        <w:rPr>
          <w:w w:val="105"/>
          <w:sz w:val="15"/>
        </w:rPr>
        <w:t>contemporáneas</w:t>
      </w:r>
      <w:r>
        <w:rPr>
          <w:spacing w:val="-11"/>
          <w:w w:val="105"/>
          <w:sz w:val="15"/>
        </w:rPr>
        <w:t xml:space="preserve"> </w:t>
      </w:r>
      <w:r>
        <w:rPr>
          <w:w w:val="105"/>
          <w:sz w:val="15"/>
        </w:rPr>
        <w:t>de</w:t>
      </w:r>
      <w:r>
        <w:rPr>
          <w:spacing w:val="-10"/>
          <w:w w:val="105"/>
          <w:sz w:val="15"/>
        </w:rPr>
        <w:t xml:space="preserve"> </w:t>
      </w:r>
      <w:r>
        <w:rPr>
          <w:w w:val="105"/>
          <w:sz w:val="15"/>
        </w:rPr>
        <w:t>racismo,</w:t>
      </w:r>
      <w:r>
        <w:rPr>
          <w:spacing w:val="-10"/>
          <w:w w:val="105"/>
          <w:sz w:val="15"/>
        </w:rPr>
        <w:t xml:space="preserve"> </w:t>
      </w:r>
      <w:r>
        <w:rPr>
          <w:w w:val="105"/>
          <w:sz w:val="15"/>
        </w:rPr>
        <w:t>discriminación</w:t>
      </w:r>
      <w:r>
        <w:rPr>
          <w:spacing w:val="-11"/>
          <w:w w:val="105"/>
          <w:sz w:val="15"/>
        </w:rPr>
        <w:t xml:space="preserve"> </w:t>
      </w:r>
      <w:r>
        <w:rPr>
          <w:w w:val="105"/>
          <w:sz w:val="15"/>
        </w:rPr>
        <w:t>racial,</w:t>
      </w:r>
      <w:r>
        <w:rPr>
          <w:spacing w:val="-11"/>
          <w:w w:val="105"/>
          <w:sz w:val="15"/>
        </w:rPr>
        <w:t xml:space="preserve"> </w:t>
      </w:r>
      <w:r>
        <w:rPr>
          <w:w w:val="105"/>
          <w:sz w:val="15"/>
        </w:rPr>
        <w:t>xenofobia</w:t>
      </w:r>
      <w:r>
        <w:rPr>
          <w:spacing w:val="-11"/>
          <w:w w:val="105"/>
          <w:sz w:val="15"/>
        </w:rPr>
        <w:t xml:space="preserve"> </w:t>
      </w:r>
      <w:r>
        <w:rPr>
          <w:w w:val="105"/>
          <w:sz w:val="15"/>
        </w:rPr>
        <w:t>y</w:t>
      </w:r>
      <w:r>
        <w:rPr>
          <w:spacing w:val="-11"/>
          <w:w w:val="105"/>
          <w:sz w:val="15"/>
        </w:rPr>
        <w:t xml:space="preserve"> </w:t>
      </w:r>
      <w:r>
        <w:rPr>
          <w:w w:val="105"/>
          <w:sz w:val="15"/>
        </w:rPr>
        <w:t>formas</w:t>
      </w:r>
      <w:r>
        <w:rPr>
          <w:spacing w:val="-11"/>
          <w:w w:val="105"/>
          <w:sz w:val="15"/>
        </w:rPr>
        <w:t xml:space="preserve"> </w:t>
      </w:r>
      <w:r>
        <w:rPr>
          <w:w w:val="105"/>
          <w:sz w:val="15"/>
        </w:rPr>
        <w:t>conexas</w:t>
      </w:r>
      <w:r>
        <w:rPr>
          <w:spacing w:val="-11"/>
          <w:w w:val="105"/>
          <w:sz w:val="15"/>
        </w:rPr>
        <w:t xml:space="preserve"> </w:t>
      </w:r>
      <w:r>
        <w:rPr>
          <w:w w:val="105"/>
          <w:sz w:val="15"/>
        </w:rPr>
        <w:t>de</w:t>
      </w:r>
      <w:r>
        <w:rPr>
          <w:spacing w:val="-10"/>
          <w:w w:val="105"/>
          <w:sz w:val="15"/>
        </w:rPr>
        <w:t xml:space="preserve"> </w:t>
      </w:r>
      <w:r>
        <w:rPr>
          <w:w w:val="105"/>
          <w:sz w:val="15"/>
        </w:rPr>
        <w:t>intolerancia</w:t>
      </w:r>
      <w:r>
        <w:rPr>
          <w:spacing w:val="-11"/>
          <w:w w:val="105"/>
          <w:sz w:val="15"/>
        </w:rPr>
        <w:t xml:space="preserve"> </w:t>
      </w:r>
      <w:r>
        <w:rPr>
          <w:w w:val="105"/>
          <w:sz w:val="15"/>
        </w:rPr>
        <w:t>ha enfatizado</w:t>
      </w:r>
      <w:r>
        <w:rPr>
          <w:spacing w:val="-5"/>
          <w:w w:val="105"/>
          <w:sz w:val="15"/>
        </w:rPr>
        <w:t xml:space="preserve"> </w:t>
      </w:r>
      <w:r>
        <w:rPr>
          <w:w w:val="105"/>
          <w:sz w:val="15"/>
        </w:rPr>
        <w:t>la</w:t>
      </w:r>
      <w:r>
        <w:rPr>
          <w:spacing w:val="-5"/>
          <w:w w:val="105"/>
          <w:sz w:val="15"/>
        </w:rPr>
        <w:t xml:space="preserve"> </w:t>
      </w:r>
      <w:r>
        <w:rPr>
          <w:w w:val="105"/>
          <w:sz w:val="15"/>
        </w:rPr>
        <w:t>importancia</w:t>
      </w:r>
      <w:r>
        <w:rPr>
          <w:spacing w:val="-5"/>
          <w:w w:val="105"/>
          <w:sz w:val="15"/>
        </w:rPr>
        <w:t xml:space="preserve"> </w:t>
      </w:r>
      <w:r>
        <w:rPr>
          <w:w w:val="105"/>
          <w:sz w:val="15"/>
        </w:rPr>
        <w:t>del</w:t>
      </w:r>
      <w:r>
        <w:rPr>
          <w:spacing w:val="-5"/>
          <w:w w:val="105"/>
          <w:sz w:val="15"/>
        </w:rPr>
        <w:t xml:space="preserve"> </w:t>
      </w:r>
      <w:r>
        <w:rPr>
          <w:w w:val="105"/>
          <w:sz w:val="15"/>
        </w:rPr>
        <w:t>“compromiso</w:t>
      </w:r>
      <w:r>
        <w:rPr>
          <w:spacing w:val="-5"/>
          <w:w w:val="105"/>
          <w:sz w:val="15"/>
        </w:rPr>
        <w:t xml:space="preserve"> </w:t>
      </w:r>
      <w:r>
        <w:rPr>
          <w:w w:val="105"/>
          <w:sz w:val="15"/>
        </w:rPr>
        <w:t>y</w:t>
      </w:r>
      <w:r>
        <w:rPr>
          <w:spacing w:val="-5"/>
          <w:w w:val="105"/>
          <w:sz w:val="15"/>
        </w:rPr>
        <w:t xml:space="preserve"> </w:t>
      </w:r>
      <w:r>
        <w:rPr>
          <w:w w:val="105"/>
          <w:sz w:val="15"/>
        </w:rPr>
        <w:t>asociación</w:t>
      </w:r>
      <w:r>
        <w:rPr>
          <w:spacing w:val="-5"/>
          <w:w w:val="105"/>
          <w:sz w:val="15"/>
        </w:rPr>
        <w:t xml:space="preserve"> </w:t>
      </w:r>
      <w:r>
        <w:rPr>
          <w:w w:val="105"/>
          <w:sz w:val="15"/>
        </w:rPr>
        <w:t>con</w:t>
      </w:r>
      <w:r>
        <w:rPr>
          <w:spacing w:val="-5"/>
          <w:w w:val="105"/>
          <w:sz w:val="15"/>
        </w:rPr>
        <w:t xml:space="preserve"> </w:t>
      </w:r>
      <w:r>
        <w:rPr>
          <w:w w:val="105"/>
          <w:sz w:val="15"/>
        </w:rPr>
        <w:t>organizaciones</w:t>
      </w:r>
      <w:r>
        <w:rPr>
          <w:spacing w:val="-5"/>
          <w:w w:val="105"/>
          <w:sz w:val="15"/>
        </w:rPr>
        <w:t xml:space="preserve"> </w:t>
      </w:r>
      <w:r>
        <w:rPr>
          <w:w w:val="105"/>
          <w:sz w:val="15"/>
        </w:rPr>
        <w:t>de</w:t>
      </w:r>
      <w:r>
        <w:rPr>
          <w:spacing w:val="-5"/>
          <w:w w:val="105"/>
          <w:sz w:val="15"/>
        </w:rPr>
        <w:t xml:space="preserve"> </w:t>
      </w:r>
      <w:r>
        <w:rPr>
          <w:w w:val="105"/>
          <w:sz w:val="15"/>
        </w:rPr>
        <w:t>la</w:t>
      </w:r>
      <w:r>
        <w:rPr>
          <w:spacing w:val="-5"/>
          <w:w w:val="105"/>
          <w:sz w:val="15"/>
        </w:rPr>
        <w:t xml:space="preserve"> </w:t>
      </w:r>
      <w:r>
        <w:rPr>
          <w:w w:val="105"/>
          <w:sz w:val="15"/>
        </w:rPr>
        <w:t>sociedad</w:t>
      </w:r>
      <w:r>
        <w:rPr>
          <w:spacing w:val="-5"/>
          <w:w w:val="105"/>
          <w:sz w:val="15"/>
        </w:rPr>
        <w:t xml:space="preserve"> </w:t>
      </w:r>
      <w:r>
        <w:rPr>
          <w:w w:val="105"/>
          <w:sz w:val="15"/>
        </w:rPr>
        <w:t>civil</w:t>
      </w:r>
      <w:r>
        <w:rPr>
          <w:spacing w:val="-5"/>
          <w:w w:val="105"/>
          <w:sz w:val="15"/>
        </w:rPr>
        <w:t xml:space="preserve"> </w:t>
      </w:r>
      <w:r>
        <w:rPr>
          <w:w w:val="105"/>
          <w:sz w:val="15"/>
        </w:rPr>
        <w:t>que</w:t>
      </w:r>
      <w:r>
        <w:rPr>
          <w:spacing w:val="-5"/>
          <w:w w:val="105"/>
          <w:sz w:val="15"/>
        </w:rPr>
        <w:t xml:space="preserve"> </w:t>
      </w:r>
      <w:r>
        <w:rPr>
          <w:w w:val="105"/>
          <w:sz w:val="15"/>
        </w:rPr>
        <w:t>trabajan</w:t>
      </w:r>
      <w:r>
        <w:rPr>
          <w:spacing w:val="-5"/>
          <w:w w:val="105"/>
          <w:sz w:val="15"/>
        </w:rPr>
        <w:t xml:space="preserve"> </w:t>
      </w:r>
      <w:r>
        <w:rPr>
          <w:w w:val="105"/>
          <w:sz w:val="15"/>
        </w:rPr>
        <w:t>en</w:t>
      </w:r>
      <w:r>
        <w:rPr>
          <w:spacing w:val="-5"/>
          <w:w w:val="105"/>
          <w:sz w:val="15"/>
        </w:rPr>
        <w:t xml:space="preserve"> </w:t>
      </w:r>
      <w:r>
        <w:rPr>
          <w:w w:val="105"/>
          <w:sz w:val="15"/>
        </w:rPr>
        <w:t>cuestiones</w:t>
      </w:r>
      <w:r>
        <w:rPr>
          <w:spacing w:val="-5"/>
          <w:w w:val="105"/>
          <w:sz w:val="15"/>
        </w:rPr>
        <w:t xml:space="preserve"> </w:t>
      </w:r>
      <w:r>
        <w:rPr>
          <w:w w:val="105"/>
          <w:sz w:val="15"/>
        </w:rPr>
        <w:t>de</w:t>
      </w:r>
      <w:r>
        <w:rPr>
          <w:spacing w:val="-5"/>
          <w:w w:val="105"/>
          <w:sz w:val="15"/>
        </w:rPr>
        <w:t xml:space="preserve"> </w:t>
      </w:r>
      <w:r>
        <w:rPr>
          <w:w w:val="105"/>
          <w:sz w:val="15"/>
        </w:rPr>
        <w:t>no discriminación</w:t>
      </w:r>
      <w:r>
        <w:rPr>
          <w:spacing w:val="-7"/>
          <w:w w:val="105"/>
          <w:sz w:val="15"/>
        </w:rPr>
        <w:t xml:space="preserve"> </w:t>
      </w:r>
      <w:r>
        <w:rPr>
          <w:w w:val="105"/>
          <w:sz w:val="15"/>
        </w:rPr>
        <w:t>e</w:t>
      </w:r>
      <w:r>
        <w:rPr>
          <w:spacing w:val="-7"/>
          <w:w w:val="105"/>
          <w:sz w:val="15"/>
        </w:rPr>
        <w:t xml:space="preserve"> </w:t>
      </w:r>
      <w:r>
        <w:rPr>
          <w:w w:val="105"/>
          <w:sz w:val="15"/>
        </w:rPr>
        <w:t>igualdad”.752</w:t>
      </w:r>
      <w:r>
        <w:rPr>
          <w:spacing w:val="-7"/>
          <w:w w:val="105"/>
          <w:sz w:val="15"/>
        </w:rPr>
        <w:t xml:space="preserve"> </w:t>
      </w:r>
      <w:r>
        <w:rPr>
          <w:w w:val="105"/>
          <w:sz w:val="15"/>
        </w:rPr>
        <w:t>Tales</w:t>
      </w:r>
      <w:r>
        <w:rPr>
          <w:spacing w:val="-7"/>
          <w:w w:val="105"/>
          <w:sz w:val="15"/>
        </w:rPr>
        <w:t xml:space="preserve"> </w:t>
      </w:r>
      <w:r>
        <w:rPr>
          <w:w w:val="105"/>
          <w:sz w:val="15"/>
        </w:rPr>
        <w:t>organizaciones</w:t>
      </w:r>
      <w:r>
        <w:rPr>
          <w:spacing w:val="-7"/>
          <w:w w:val="105"/>
          <w:sz w:val="15"/>
        </w:rPr>
        <w:t xml:space="preserve"> </w:t>
      </w:r>
      <w:r>
        <w:rPr>
          <w:w w:val="105"/>
          <w:sz w:val="15"/>
        </w:rPr>
        <w:t>desempeñan</w:t>
      </w:r>
      <w:r>
        <w:rPr>
          <w:spacing w:val="-7"/>
          <w:w w:val="105"/>
          <w:sz w:val="15"/>
        </w:rPr>
        <w:t xml:space="preserve"> </w:t>
      </w:r>
      <w:r>
        <w:rPr>
          <w:w w:val="105"/>
          <w:sz w:val="15"/>
        </w:rPr>
        <w:t>un</w:t>
      </w:r>
      <w:r>
        <w:rPr>
          <w:spacing w:val="-7"/>
          <w:w w:val="105"/>
          <w:sz w:val="15"/>
        </w:rPr>
        <w:t xml:space="preserve"> </w:t>
      </w:r>
      <w:r>
        <w:rPr>
          <w:w w:val="105"/>
          <w:sz w:val="15"/>
        </w:rPr>
        <w:t>papel</w:t>
      </w:r>
      <w:r>
        <w:rPr>
          <w:spacing w:val="-7"/>
          <w:w w:val="105"/>
          <w:sz w:val="15"/>
        </w:rPr>
        <w:t xml:space="preserve"> </w:t>
      </w:r>
      <w:r>
        <w:rPr>
          <w:w w:val="105"/>
          <w:sz w:val="15"/>
        </w:rPr>
        <w:t>crucial</w:t>
      </w:r>
      <w:r>
        <w:rPr>
          <w:spacing w:val="-7"/>
          <w:w w:val="105"/>
          <w:sz w:val="15"/>
        </w:rPr>
        <w:t xml:space="preserve"> </w:t>
      </w:r>
      <w:r>
        <w:rPr>
          <w:w w:val="105"/>
          <w:sz w:val="15"/>
        </w:rPr>
        <w:t>en</w:t>
      </w:r>
      <w:r>
        <w:rPr>
          <w:spacing w:val="-7"/>
          <w:w w:val="105"/>
          <w:sz w:val="15"/>
        </w:rPr>
        <w:t xml:space="preserve"> </w:t>
      </w:r>
      <w:r>
        <w:rPr>
          <w:w w:val="105"/>
          <w:sz w:val="15"/>
        </w:rPr>
        <w:t>el</w:t>
      </w:r>
      <w:r>
        <w:rPr>
          <w:spacing w:val="-7"/>
          <w:w w:val="105"/>
          <w:sz w:val="15"/>
        </w:rPr>
        <w:t xml:space="preserve"> </w:t>
      </w:r>
      <w:r>
        <w:rPr>
          <w:w w:val="105"/>
          <w:sz w:val="15"/>
        </w:rPr>
        <w:t>seguimiento,</w:t>
      </w:r>
      <w:r>
        <w:rPr>
          <w:spacing w:val="-6"/>
          <w:w w:val="105"/>
          <w:sz w:val="15"/>
        </w:rPr>
        <w:t xml:space="preserve"> </w:t>
      </w:r>
      <w:r>
        <w:rPr>
          <w:w w:val="105"/>
          <w:sz w:val="15"/>
        </w:rPr>
        <w:t>la</w:t>
      </w:r>
      <w:r>
        <w:rPr>
          <w:spacing w:val="-7"/>
          <w:w w:val="105"/>
          <w:sz w:val="15"/>
        </w:rPr>
        <w:t xml:space="preserve"> </w:t>
      </w:r>
      <w:r>
        <w:rPr>
          <w:w w:val="105"/>
          <w:sz w:val="15"/>
        </w:rPr>
        <w:t>presentación</w:t>
      </w:r>
      <w:r>
        <w:rPr>
          <w:spacing w:val="-7"/>
          <w:w w:val="105"/>
          <w:sz w:val="15"/>
        </w:rPr>
        <w:t xml:space="preserve"> </w:t>
      </w:r>
      <w:r>
        <w:rPr>
          <w:w w:val="105"/>
          <w:sz w:val="15"/>
        </w:rPr>
        <w:t>de</w:t>
      </w:r>
      <w:r>
        <w:rPr>
          <w:spacing w:val="-7"/>
          <w:w w:val="105"/>
          <w:sz w:val="15"/>
        </w:rPr>
        <w:t xml:space="preserve"> </w:t>
      </w:r>
      <w:r>
        <w:rPr>
          <w:w w:val="105"/>
          <w:sz w:val="15"/>
        </w:rPr>
        <w:t>informes</w:t>
      </w:r>
      <w:r>
        <w:rPr>
          <w:spacing w:val="-7"/>
          <w:w w:val="105"/>
          <w:sz w:val="15"/>
        </w:rPr>
        <w:t xml:space="preserve"> </w:t>
      </w:r>
      <w:r>
        <w:rPr>
          <w:w w:val="105"/>
          <w:sz w:val="15"/>
        </w:rPr>
        <w:t>y</w:t>
      </w:r>
      <w:r>
        <w:rPr>
          <w:spacing w:val="-7"/>
          <w:w w:val="105"/>
          <w:sz w:val="15"/>
        </w:rPr>
        <w:t xml:space="preserve"> </w:t>
      </w:r>
      <w:r>
        <w:rPr>
          <w:w w:val="105"/>
          <w:sz w:val="15"/>
        </w:rPr>
        <w:t>la sensibilización</w:t>
      </w:r>
      <w:r>
        <w:rPr>
          <w:spacing w:val="-6"/>
          <w:w w:val="105"/>
          <w:sz w:val="15"/>
        </w:rPr>
        <w:t xml:space="preserve"> </w:t>
      </w:r>
      <w:r>
        <w:rPr>
          <w:w w:val="105"/>
          <w:sz w:val="15"/>
        </w:rPr>
        <w:t>sobre</w:t>
      </w:r>
      <w:r>
        <w:rPr>
          <w:spacing w:val="-6"/>
          <w:w w:val="105"/>
          <w:sz w:val="15"/>
        </w:rPr>
        <w:t xml:space="preserve"> </w:t>
      </w:r>
      <w:r>
        <w:rPr>
          <w:w w:val="105"/>
          <w:sz w:val="15"/>
        </w:rPr>
        <w:t>la</w:t>
      </w:r>
      <w:r>
        <w:rPr>
          <w:spacing w:val="-6"/>
          <w:w w:val="105"/>
          <w:sz w:val="15"/>
        </w:rPr>
        <w:t xml:space="preserve"> </w:t>
      </w:r>
      <w:r>
        <w:rPr>
          <w:w w:val="105"/>
          <w:sz w:val="15"/>
        </w:rPr>
        <w:t>discriminación</w:t>
      </w:r>
      <w:r>
        <w:rPr>
          <w:spacing w:val="-6"/>
          <w:w w:val="105"/>
          <w:sz w:val="15"/>
        </w:rPr>
        <w:t xml:space="preserve"> </w:t>
      </w:r>
      <w:r>
        <w:rPr>
          <w:w w:val="105"/>
          <w:sz w:val="15"/>
        </w:rPr>
        <w:t>y</w:t>
      </w:r>
      <w:r>
        <w:rPr>
          <w:spacing w:val="-6"/>
          <w:w w:val="105"/>
          <w:sz w:val="15"/>
        </w:rPr>
        <w:t xml:space="preserve"> </w:t>
      </w:r>
      <w:r>
        <w:rPr>
          <w:w w:val="105"/>
          <w:sz w:val="15"/>
        </w:rPr>
        <w:t>puede</w:t>
      </w:r>
      <w:r>
        <w:rPr>
          <w:spacing w:val="-6"/>
          <w:w w:val="105"/>
          <w:sz w:val="15"/>
        </w:rPr>
        <w:t xml:space="preserve"> </w:t>
      </w:r>
      <w:r>
        <w:rPr>
          <w:w w:val="105"/>
          <w:sz w:val="15"/>
        </w:rPr>
        <w:t>apoyar</w:t>
      </w:r>
      <w:r>
        <w:rPr>
          <w:spacing w:val="-6"/>
          <w:w w:val="105"/>
          <w:sz w:val="15"/>
        </w:rPr>
        <w:t xml:space="preserve"> </w:t>
      </w:r>
      <w:r>
        <w:rPr>
          <w:w w:val="105"/>
          <w:sz w:val="15"/>
        </w:rPr>
        <w:t>el</w:t>
      </w:r>
      <w:r>
        <w:rPr>
          <w:spacing w:val="-6"/>
          <w:w w:val="105"/>
          <w:sz w:val="15"/>
        </w:rPr>
        <w:t xml:space="preserve"> </w:t>
      </w:r>
      <w:r>
        <w:rPr>
          <w:w w:val="105"/>
          <w:sz w:val="15"/>
        </w:rPr>
        <w:t>desempeño</w:t>
      </w:r>
      <w:r>
        <w:rPr>
          <w:spacing w:val="-6"/>
          <w:w w:val="105"/>
          <w:sz w:val="15"/>
        </w:rPr>
        <w:t xml:space="preserve"> </w:t>
      </w:r>
      <w:r>
        <w:rPr>
          <w:w w:val="105"/>
          <w:sz w:val="15"/>
        </w:rPr>
        <w:t>de</w:t>
      </w:r>
      <w:r>
        <w:rPr>
          <w:spacing w:val="-6"/>
          <w:w w:val="105"/>
          <w:sz w:val="15"/>
        </w:rPr>
        <w:t xml:space="preserve"> </w:t>
      </w:r>
      <w:r>
        <w:rPr>
          <w:w w:val="105"/>
          <w:sz w:val="15"/>
        </w:rPr>
        <w:t>estas</w:t>
      </w:r>
      <w:r>
        <w:rPr>
          <w:spacing w:val="-6"/>
          <w:w w:val="105"/>
          <w:sz w:val="15"/>
        </w:rPr>
        <w:t xml:space="preserve"> </w:t>
      </w:r>
      <w:r>
        <w:rPr>
          <w:w w:val="105"/>
          <w:sz w:val="15"/>
        </w:rPr>
        <w:t>funciones</w:t>
      </w:r>
      <w:r>
        <w:rPr>
          <w:spacing w:val="-6"/>
          <w:w w:val="105"/>
          <w:sz w:val="15"/>
        </w:rPr>
        <w:t xml:space="preserve"> </w:t>
      </w:r>
      <w:r>
        <w:rPr>
          <w:w w:val="105"/>
          <w:sz w:val="15"/>
        </w:rPr>
        <w:t>por</w:t>
      </w:r>
      <w:r>
        <w:rPr>
          <w:spacing w:val="-6"/>
          <w:w w:val="105"/>
          <w:sz w:val="15"/>
        </w:rPr>
        <w:t xml:space="preserve"> </w:t>
      </w:r>
      <w:r>
        <w:rPr>
          <w:w w:val="105"/>
          <w:sz w:val="15"/>
        </w:rPr>
        <w:t>parte</w:t>
      </w:r>
      <w:r>
        <w:rPr>
          <w:spacing w:val="-6"/>
          <w:w w:val="105"/>
          <w:sz w:val="15"/>
        </w:rPr>
        <w:t xml:space="preserve"> </w:t>
      </w:r>
      <w:r>
        <w:rPr>
          <w:w w:val="105"/>
          <w:sz w:val="15"/>
        </w:rPr>
        <w:t>de</w:t>
      </w:r>
      <w:r>
        <w:rPr>
          <w:spacing w:val="-6"/>
          <w:w w:val="105"/>
          <w:sz w:val="15"/>
        </w:rPr>
        <w:t xml:space="preserve"> </w:t>
      </w:r>
      <w:r>
        <w:rPr>
          <w:w w:val="105"/>
          <w:sz w:val="15"/>
        </w:rPr>
        <w:t>los</w:t>
      </w:r>
      <w:r>
        <w:rPr>
          <w:spacing w:val="-6"/>
          <w:w w:val="105"/>
          <w:sz w:val="15"/>
        </w:rPr>
        <w:t xml:space="preserve"> </w:t>
      </w:r>
      <w:r>
        <w:rPr>
          <w:w w:val="105"/>
          <w:sz w:val="15"/>
        </w:rPr>
        <w:t>organismos</w:t>
      </w:r>
      <w:r>
        <w:rPr>
          <w:spacing w:val="-6"/>
          <w:w w:val="105"/>
          <w:sz w:val="15"/>
        </w:rPr>
        <w:t xml:space="preserve"> </w:t>
      </w:r>
      <w:r>
        <w:rPr>
          <w:w w:val="105"/>
          <w:sz w:val="15"/>
        </w:rPr>
        <w:t>de</w:t>
      </w:r>
      <w:r>
        <w:rPr>
          <w:spacing w:val="-6"/>
          <w:w w:val="105"/>
          <w:sz w:val="15"/>
        </w:rPr>
        <w:t xml:space="preserve"> </w:t>
      </w:r>
      <w:r>
        <w:rPr>
          <w:w w:val="105"/>
          <w:sz w:val="15"/>
        </w:rPr>
        <w:t>igualdad.753 En</w:t>
      </w:r>
      <w:r>
        <w:rPr>
          <w:spacing w:val="-9"/>
          <w:w w:val="105"/>
          <w:sz w:val="15"/>
        </w:rPr>
        <w:t xml:space="preserve"> </w:t>
      </w:r>
      <w:r>
        <w:rPr>
          <w:w w:val="105"/>
          <w:sz w:val="15"/>
        </w:rPr>
        <w:t>sus</w:t>
      </w:r>
      <w:r>
        <w:rPr>
          <w:spacing w:val="-9"/>
          <w:w w:val="105"/>
          <w:sz w:val="15"/>
        </w:rPr>
        <w:t xml:space="preserve"> </w:t>
      </w:r>
      <w:r>
        <w:rPr>
          <w:w w:val="105"/>
          <w:sz w:val="15"/>
        </w:rPr>
        <w:t>orientaciones,</w:t>
      </w:r>
      <w:r>
        <w:rPr>
          <w:spacing w:val="-9"/>
          <w:w w:val="105"/>
          <w:sz w:val="15"/>
        </w:rPr>
        <w:t xml:space="preserve"> </w:t>
      </w:r>
      <w:r>
        <w:rPr>
          <w:w w:val="105"/>
          <w:sz w:val="15"/>
        </w:rPr>
        <w:t>la</w:t>
      </w:r>
      <w:r>
        <w:rPr>
          <w:spacing w:val="-9"/>
          <w:w w:val="105"/>
          <w:sz w:val="15"/>
        </w:rPr>
        <w:t xml:space="preserve"> </w:t>
      </w:r>
      <w:r>
        <w:rPr>
          <w:w w:val="105"/>
          <w:sz w:val="15"/>
        </w:rPr>
        <w:t>Comisión</w:t>
      </w:r>
      <w:r>
        <w:rPr>
          <w:spacing w:val="-9"/>
          <w:w w:val="105"/>
          <w:sz w:val="15"/>
        </w:rPr>
        <w:t xml:space="preserve"> </w:t>
      </w:r>
      <w:r>
        <w:rPr>
          <w:w w:val="105"/>
          <w:sz w:val="15"/>
        </w:rPr>
        <w:t>Europea</w:t>
      </w:r>
      <w:r>
        <w:rPr>
          <w:spacing w:val="-9"/>
          <w:w w:val="105"/>
          <w:sz w:val="15"/>
        </w:rPr>
        <w:t xml:space="preserve"> </w:t>
      </w:r>
      <w:r>
        <w:rPr>
          <w:w w:val="105"/>
          <w:sz w:val="15"/>
        </w:rPr>
        <w:t>y</w:t>
      </w:r>
      <w:r>
        <w:rPr>
          <w:spacing w:val="-9"/>
          <w:w w:val="105"/>
          <w:sz w:val="15"/>
        </w:rPr>
        <w:t xml:space="preserve"> </w:t>
      </w:r>
      <w:r>
        <w:rPr>
          <w:w w:val="105"/>
          <w:sz w:val="15"/>
        </w:rPr>
        <w:t>la</w:t>
      </w:r>
      <w:r>
        <w:rPr>
          <w:spacing w:val="-9"/>
          <w:w w:val="105"/>
          <w:sz w:val="15"/>
        </w:rPr>
        <w:t xml:space="preserve"> </w:t>
      </w:r>
      <w:r>
        <w:rPr>
          <w:w w:val="105"/>
          <w:sz w:val="15"/>
        </w:rPr>
        <w:t>Comisión</w:t>
      </w:r>
      <w:r>
        <w:rPr>
          <w:spacing w:val="-9"/>
          <w:w w:val="105"/>
          <w:sz w:val="15"/>
        </w:rPr>
        <w:t xml:space="preserve"> </w:t>
      </w:r>
      <w:r>
        <w:rPr>
          <w:w w:val="105"/>
          <w:sz w:val="15"/>
        </w:rPr>
        <w:t>Europea</w:t>
      </w:r>
      <w:r>
        <w:rPr>
          <w:spacing w:val="-9"/>
          <w:w w:val="105"/>
          <w:sz w:val="15"/>
        </w:rPr>
        <w:t xml:space="preserve"> </w:t>
      </w:r>
      <w:r>
        <w:rPr>
          <w:w w:val="105"/>
          <w:sz w:val="15"/>
        </w:rPr>
        <w:t>contra</w:t>
      </w:r>
      <w:r>
        <w:rPr>
          <w:spacing w:val="-9"/>
          <w:w w:val="105"/>
          <w:sz w:val="15"/>
        </w:rPr>
        <w:t xml:space="preserve"> </w:t>
      </w:r>
      <w:r>
        <w:rPr>
          <w:w w:val="105"/>
          <w:sz w:val="15"/>
        </w:rPr>
        <w:t>el</w:t>
      </w:r>
      <w:r>
        <w:rPr>
          <w:spacing w:val="-9"/>
          <w:w w:val="105"/>
          <w:sz w:val="15"/>
        </w:rPr>
        <w:t xml:space="preserve"> </w:t>
      </w:r>
      <w:r>
        <w:rPr>
          <w:w w:val="105"/>
          <w:sz w:val="15"/>
        </w:rPr>
        <w:t>Racismo</w:t>
      </w:r>
      <w:r>
        <w:rPr>
          <w:spacing w:val="-9"/>
          <w:w w:val="105"/>
          <w:sz w:val="15"/>
        </w:rPr>
        <w:t xml:space="preserve"> </w:t>
      </w:r>
      <w:r>
        <w:rPr>
          <w:w w:val="105"/>
          <w:sz w:val="15"/>
        </w:rPr>
        <w:t>y</w:t>
      </w:r>
      <w:r>
        <w:rPr>
          <w:spacing w:val="-9"/>
          <w:w w:val="105"/>
          <w:sz w:val="15"/>
        </w:rPr>
        <w:t xml:space="preserve"> </w:t>
      </w:r>
      <w:r>
        <w:rPr>
          <w:w w:val="105"/>
          <w:sz w:val="15"/>
        </w:rPr>
        <w:t>la</w:t>
      </w:r>
      <w:r>
        <w:rPr>
          <w:spacing w:val="-9"/>
          <w:w w:val="105"/>
          <w:sz w:val="15"/>
        </w:rPr>
        <w:t xml:space="preserve"> </w:t>
      </w:r>
      <w:r>
        <w:rPr>
          <w:w w:val="105"/>
          <w:sz w:val="15"/>
        </w:rPr>
        <w:t>Intolerancia</w:t>
      </w:r>
      <w:r>
        <w:rPr>
          <w:spacing w:val="-9"/>
          <w:w w:val="105"/>
          <w:sz w:val="15"/>
        </w:rPr>
        <w:t xml:space="preserve"> </w:t>
      </w:r>
      <w:r>
        <w:rPr>
          <w:w w:val="105"/>
          <w:sz w:val="15"/>
        </w:rPr>
        <w:t>también</w:t>
      </w:r>
      <w:r>
        <w:rPr>
          <w:spacing w:val="-9"/>
          <w:w w:val="105"/>
          <w:sz w:val="15"/>
        </w:rPr>
        <w:t xml:space="preserve"> </w:t>
      </w:r>
      <w:r>
        <w:rPr>
          <w:w w:val="105"/>
          <w:sz w:val="15"/>
        </w:rPr>
        <w:t>destacan</w:t>
      </w:r>
      <w:r>
        <w:rPr>
          <w:spacing w:val="-9"/>
          <w:w w:val="105"/>
          <w:sz w:val="15"/>
        </w:rPr>
        <w:t xml:space="preserve"> </w:t>
      </w:r>
      <w:r>
        <w:rPr>
          <w:w w:val="105"/>
          <w:sz w:val="15"/>
        </w:rPr>
        <w:t>la</w:t>
      </w:r>
      <w:r>
        <w:rPr>
          <w:spacing w:val="-9"/>
          <w:w w:val="105"/>
          <w:sz w:val="15"/>
        </w:rPr>
        <w:t xml:space="preserve"> </w:t>
      </w:r>
      <w:r>
        <w:rPr>
          <w:w w:val="105"/>
          <w:sz w:val="15"/>
        </w:rPr>
        <w:t>importancia de</w:t>
      </w:r>
      <w:r>
        <w:rPr>
          <w:spacing w:val="-4"/>
          <w:w w:val="105"/>
          <w:sz w:val="15"/>
        </w:rPr>
        <w:t xml:space="preserve"> </w:t>
      </w:r>
      <w:r>
        <w:rPr>
          <w:w w:val="105"/>
          <w:sz w:val="15"/>
        </w:rPr>
        <w:t>la</w:t>
      </w:r>
      <w:r>
        <w:rPr>
          <w:spacing w:val="-4"/>
          <w:w w:val="105"/>
          <w:sz w:val="15"/>
        </w:rPr>
        <w:t xml:space="preserve"> </w:t>
      </w:r>
      <w:r>
        <w:rPr>
          <w:w w:val="105"/>
          <w:sz w:val="15"/>
        </w:rPr>
        <w:t>participación</w:t>
      </w:r>
      <w:r>
        <w:rPr>
          <w:spacing w:val="-4"/>
          <w:w w:val="105"/>
          <w:sz w:val="15"/>
        </w:rPr>
        <w:t xml:space="preserve"> </w:t>
      </w:r>
      <w:r>
        <w:rPr>
          <w:w w:val="105"/>
          <w:sz w:val="15"/>
        </w:rPr>
        <w:t>de</w:t>
      </w:r>
      <w:r>
        <w:rPr>
          <w:spacing w:val="-4"/>
          <w:w w:val="105"/>
          <w:sz w:val="15"/>
        </w:rPr>
        <w:t xml:space="preserve"> </w:t>
      </w:r>
      <w:r>
        <w:rPr>
          <w:w w:val="105"/>
          <w:sz w:val="15"/>
        </w:rPr>
        <w:t>las</w:t>
      </w:r>
      <w:r>
        <w:rPr>
          <w:spacing w:val="-4"/>
          <w:w w:val="105"/>
          <w:sz w:val="15"/>
        </w:rPr>
        <w:t xml:space="preserve"> </w:t>
      </w:r>
      <w:r>
        <w:rPr>
          <w:w w:val="105"/>
          <w:sz w:val="15"/>
        </w:rPr>
        <w:t>organizaciones</w:t>
      </w:r>
      <w:r>
        <w:rPr>
          <w:spacing w:val="-4"/>
          <w:w w:val="105"/>
          <w:sz w:val="15"/>
        </w:rPr>
        <w:t xml:space="preserve"> </w:t>
      </w:r>
      <w:r>
        <w:rPr>
          <w:w w:val="105"/>
          <w:sz w:val="15"/>
        </w:rPr>
        <w:t>de</w:t>
      </w:r>
      <w:r>
        <w:rPr>
          <w:spacing w:val="-4"/>
          <w:w w:val="105"/>
          <w:sz w:val="15"/>
        </w:rPr>
        <w:t xml:space="preserve"> </w:t>
      </w:r>
      <w:r>
        <w:rPr>
          <w:w w:val="105"/>
          <w:sz w:val="15"/>
        </w:rPr>
        <w:t>la</w:t>
      </w:r>
      <w:r>
        <w:rPr>
          <w:spacing w:val="-4"/>
          <w:w w:val="105"/>
          <w:sz w:val="15"/>
        </w:rPr>
        <w:t xml:space="preserve"> </w:t>
      </w:r>
      <w:r>
        <w:rPr>
          <w:w w:val="105"/>
          <w:sz w:val="15"/>
        </w:rPr>
        <w:t>sociedad</w:t>
      </w:r>
      <w:r>
        <w:rPr>
          <w:spacing w:val="-4"/>
          <w:w w:val="105"/>
          <w:sz w:val="15"/>
        </w:rPr>
        <w:t xml:space="preserve"> </w:t>
      </w:r>
      <w:r>
        <w:rPr>
          <w:w w:val="105"/>
          <w:sz w:val="15"/>
        </w:rPr>
        <w:t>civil,</w:t>
      </w:r>
      <w:r>
        <w:rPr>
          <w:spacing w:val="-4"/>
          <w:w w:val="105"/>
          <w:sz w:val="15"/>
        </w:rPr>
        <w:t xml:space="preserve"> </w:t>
      </w:r>
      <w:r>
        <w:rPr>
          <w:w w:val="105"/>
          <w:sz w:val="15"/>
        </w:rPr>
        <w:t>junto</w:t>
      </w:r>
      <w:r>
        <w:rPr>
          <w:spacing w:val="-4"/>
          <w:w w:val="105"/>
          <w:sz w:val="15"/>
        </w:rPr>
        <w:t xml:space="preserve"> </w:t>
      </w:r>
      <w:r>
        <w:rPr>
          <w:w w:val="105"/>
          <w:sz w:val="15"/>
        </w:rPr>
        <w:t>con</w:t>
      </w:r>
      <w:r>
        <w:rPr>
          <w:spacing w:val="-4"/>
          <w:w w:val="105"/>
          <w:sz w:val="15"/>
        </w:rPr>
        <w:t xml:space="preserve"> </w:t>
      </w:r>
      <w:r>
        <w:rPr>
          <w:w w:val="105"/>
          <w:sz w:val="15"/>
        </w:rPr>
        <w:t>el</w:t>
      </w:r>
      <w:r>
        <w:rPr>
          <w:spacing w:val="-4"/>
          <w:w w:val="105"/>
          <w:sz w:val="15"/>
        </w:rPr>
        <w:t xml:space="preserve"> </w:t>
      </w:r>
      <w:r>
        <w:rPr>
          <w:w w:val="105"/>
          <w:sz w:val="15"/>
        </w:rPr>
        <w:t>compromiso</w:t>
      </w:r>
      <w:r>
        <w:rPr>
          <w:spacing w:val="-4"/>
          <w:w w:val="105"/>
          <w:sz w:val="15"/>
        </w:rPr>
        <w:t xml:space="preserve"> </w:t>
      </w:r>
      <w:r>
        <w:rPr>
          <w:w w:val="105"/>
          <w:sz w:val="15"/>
        </w:rPr>
        <w:t>de</w:t>
      </w:r>
      <w:r>
        <w:rPr>
          <w:spacing w:val="-4"/>
          <w:w w:val="105"/>
          <w:sz w:val="15"/>
        </w:rPr>
        <w:t xml:space="preserve"> </w:t>
      </w:r>
      <w:r>
        <w:rPr>
          <w:w w:val="105"/>
          <w:sz w:val="15"/>
        </w:rPr>
        <w:t>otras</w:t>
      </w:r>
      <w:r>
        <w:rPr>
          <w:spacing w:val="-4"/>
          <w:w w:val="105"/>
          <w:sz w:val="15"/>
        </w:rPr>
        <w:t xml:space="preserve"> </w:t>
      </w:r>
      <w:r>
        <w:rPr>
          <w:w w:val="105"/>
          <w:sz w:val="15"/>
        </w:rPr>
        <w:t>partes</w:t>
      </w:r>
      <w:r>
        <w:rPr>
          <w:spacing w:val="-4"/>
          <w:w w:val="105"/>
          <w:sz w:val="15"/>
        </w:rPr>
        <w:t xml:space="preserve"> </w:t>
      </w:r>
      <w:r>
        <w:rPr>
          <w:w w:val="105"/>
          <w:sz w:val="15"/>
        </w:rPr>
        <w:t>interesadas</w:t>
      </w:r>
      <w:r>
        <w:rPr>
          <w:spacing w:val="-4"/>
          <w:w w:val="105"/>
          <w:sz w:val="15"/>
        </w:rPr>
        <w:t xml:space="preserve"> </w:t>
      </w:r>
      <w:r>
        <w:rPr>
          <w:w w:val="105"/>
          <w:sz w:val="15"/>
        </w:rPr>
        <w:t>clave,</w:t>
      </w:r>
      <w:r>
        <w:rPr>
          <w:spacing w:val="-4"/>
          <w:w w:val="105"/>
          <w:sz w:val="15"/>
        </w:rPr>
        <w:t xml:space="preserve"> </w:t>
      </w:r>
      <w:r>
        <w:rPr>
          <w:w w:val="105"/>
          <w:sz w:val="15"/>
        </w:rPr>
        <w:t>incluidos</w:t>
      </w:r>
      <w:r>
        <w:rPr>
          <w:spacing w:val="-4"/>
          <w:w w:val="105"/>
          <w:sz w:val="15"/>
        </w:rPr>
        <w:t xml:space="preserve"> </w:t>
      </w:r>
      <w:r>
        <w:rPr>
          <w:w w:val="105"/>
          <w:sz w:val="15"/>
        </w:rPr>
        <w:t>los grupos</w:t>
      </w:r>
      <w:r>
        <w:rPr>
          <w:spacing w:val="-4"/>
          <w:w w:val="105"/>
          <w:sz w:val="15"/>
        </w:rPr>
        <w:t xml:space="preserve"> </w:t>
      </w:r>
      <w:r>
        <w:rPr>
          <w:w w:val="105"/>
          <w:sz w:val="15"/>
        </w:rPr>
        <w:t>discriminados,</w:t>
      </w:r>
      <w:r>
        <w:rPr>
          <w:spacing w:val="-3"/>
          <w:w w:val="105"/>
          <w:sz w:val="15"/>
        </w:rPr>
        <w:t xml:space="preserve"> </w:t>
      </w:r>
      <w:r>
        <w:rPr>
          <w:w w:val="105"/>
          <w:sz w:val="15"/>
        </w:rPr>
        <w:t>y</w:t>
      </w:r>
      <w:r>
        <w:rPr>
          <w:spacing w:val="-4"/>
          <w:w w:val="105"/>
          <w:sz w:val="15"/>
        </w:rPr>
        <w:t xml:space="preserve"> </w:t>
      </w:r>
      <w:r>
        <w:rPr>
          <w:w w:val="105"/>
          <w:sz w:val="15"/>
        </w:rPr>
        <w:t>las</w:t>
      </w:r>
      <w:r>
        <w:rPr>
          <w:spacing w:val="-4"/>
          <w:w w:val="105"/>
          <w:sz w:val="15"/>
        </w:rPr>
        <w:t xml:space="preserve"> </w:t>
      </w:r>
      <w:r>
        <w:rPr>
          <w:w w:val="105"/>
          <w:sz w:val="15"/>
        </w:rPr>
        <w:t>instituciones</w:t>
      </w:r>
      <w:r>
        <w:rPr>
          <w:spacing w:val="-5"/>
          <w:w w:val="105"/>
          <w:sz w:val="15"/>
        </w:rPr>
        <w:t xml:space="preserve"> </w:t>
      </w:r>
      <w:r>
        <w:rPr>
          <w:w w:val="105"/>
          <w:sz w:val="15"/>
        </w:rPr>
        <w:t>gubernamentales</w:t>
      </w:r>
      <w:r>
        <w:rPr>
          <w:spacing w:val="-5"/>
          <w:w w:val="105"/>
          <w:sz w:val="15"/>
        </w:rPr>
        <w:t xml:space="preserve"> </w:t>
      </w:r>
      <w:r>
        <w:rPr>
          <w:w w:val="105"/>
          <w:sz w:val="15"/>
        </w:rPr>
        <w:t>pertinentes.754</w:t>
      </w:r>
      <w:r>
        <w:rPr>
          <w:spacing w:val="-4"/>
          <w:w w:val="105"/>
          <w:sz w:val="15"/>
        </w:rPr>
        <w:t xml:space="preserve"> </w:t>
      </w:r>
      <w:r>
        <w:rPr>
          <w:w w:val="105"/>
          <w:sz w:val="15"/>
        </w:rPr>
        <w:t>Corresponde</w:t>
      </w:r>
      <w:r>
        <w:rPr>
          <w:spacing w:val="-4"/>
          <w:w w:val="105"/>
          <w:sz w:val="15"/>
        </w:rPr>
        <w:t xml:space="preserve"> </w:t>
      </w:r>
      <w:r>
        <w:rPr>
          <w:w w:val="105"/>
          <w:sz w:val="15"/>
        </w:rPr>
        <w:t>a</w:t>
      </w:r>
      <w:r>
        <w:rPr>
          <w:spacing w:val="-4"/>
          <w:w w:val="105"/>
          <w:sz w:val="15"/>
        </w:rPr>
        <w:t xml:space="preserve"> </w:t>
      </w:r>
      <w:r>
        <w:rPr>
          <w:w w:val="105"/>
          <w:sz w:val="15"/>
        </w:rPr>
        <w:t>los</w:t>
      </w:r>
      <w:r>
        <w:rPr>
          <w:spacing w:val="-4"/>
          <w:w w:val="105"/>
          <w:sz w:val="15"/>
        </w:rPr>
        <w:t xml:space="preserve"> </w:t>
      </w:r>
      <w:r>
        <w:rPr>
          <w:w w:val="105"/>
          <w:sz w:val="15"/>
        </w:rPr>
        <w:t>organismos</w:t>
      </w:r>
      <w:r>
        <w:rPr>
          <w:spacing w:val="-4"/>
          <w:w w:val="105"/>
          <w:sz w:val="15"/>
        </w:rPr>
        <w:t xml:space="preserve"> </w:t>
      </w:r>
      <w:r>
        <w:rPr>
          <w:w w:val="105"/>
          <w:sz w:val="15"/>
        </w:rPr>
        <w:t>de</w:t>
      </w:r>
      <w:r>
        <w:rPr>
          <w:spacing w:val="-4"/>
          <w:w w:val="105"/>
          <w:sz w:val="15"/>
        </w:rPr>
        <w:t xml:space="preserve"> </w:t>
      </w:r>
      <w:r>
        <w:rPr>
          <w:w w:val="105"/>
          <w:sz w:val="15"/>
        </w:rPr>
        <w:t>igualdad</w:t>
      </w:r>
      <w:r>
        <w:rPr>
          <w:spacing w:val="-4"/>
          <w:w w:val="105"/>
          <w:sz w:val="15"/>
        </w:rPr>
        <w:t xml:space="preserve"> </w:t>
      </w:r>
      <w:r>
        <w:rPr>
          <w:w w:val="105"/>
          <w:sz w:val="15"/>
        </w:rPr>
        <w:t>establecer</w:t>
      </w:r>
      <w:r>
        <w:rPr>
          <w:spacing w:val="-4"/>
          <w:w w:val="105"/>
          <w:sz w:val="15"/>
        </w:rPr>
        <w:t xml:space="preserve"> </w:t>
      </w:r>
      <w:r>
        <w:rPr>
          <w:w w:val="105"/>
          <w:sz w:val="15"/>
        </w:rPr>
        <w:t>los mecanismos necesarios para facilitar la participación.755</w:t>
      </w:r>
    </w:p>
    <w:p w14:paraId="2A87AB32" w14:textId="77777777" w:rsidR="0014798C" w:rsidRDefault="0014798C">
      <w:pPr>
        <w:pStyle w:val="Textoindependiente"/>
        <w:rPr>
          <w:sz w:val="15"/>
        </w:rPr>
      </w:pPr>
    </w:p>
    <w:p w14:paraId="31BF7668" w14:textId="77777777" w:rsidR="0014798C" w:rsidRDefault="0014798C">
      <w:pPr>
        <w:pStyle w:val="Textoindependiente"/>
        <w:rPr>
          <w:sz w:val="15"/>
        </w:rPr>
      </w:pPr>
    </w:p>
    <w:p w14:paraId="192E3413" w14:textId="77777777" w:rsidR="0014798C" w:rsidRDefault="0014798C">
      <w:pPr>
        <w:pStyle w:val="Textoindependiente"/>
        <w:rPr>
          <w:sz w:val="15"/>
        </w:rPr>
      </w:pPr>
    </w:p>
    <w:p w14:paraId="1C906A89" w14:textId="77777777" w:rsidR="0014798C" w:rsidRDefault="0014798C">
      <w:pPr>
        <w:pStyle w:val="Textoindependiente"/>
        <w:spacing w:before="30"/>
        <w:rPr>
          <w:sz w:val="15"/>
        </w:rPr>
      </w:pPr>
    </w:p>
    <w:p w14:paraId="6B53D4FF" w14:textId="77777777" w:rsidR="0014798C" w:rsidRDefault="004E1F0B">
      <w:pPr>
        <w:spacing w:before="1"/>
        <w:ind w:left="1342"/>
        <w:rPr>
          <w:sz w:val="15"/>
        </w:rPr>
      </w:pPr>
      <w:r>
        <w:rPr>
          <w:noProof/>
        </w:rPr>
        <w:drawing>
          <wp:anchor distT="0" distB="0" distL="0" distR="0" simplePos="0" relativeHeight="251658439" behindDoc="1" locked="0" layoutInCell="1" allowOverlap="1" wp14:anchorId="44F7A821" wp14:editId="6BF9C331">
            <wp:simplePos x="0" y="0"/>
            <wp:positionH relativeFrom="page">
              <wp:posOffset>790692</wp:posOffset>
            </wp:positionH>
            <wp:positionV relativeFrom="paragraph">
              <wp:posOffset>-157551</wp:posOffset>
            </wp:positionV>
            <wp:extent cx="5966130" cy="4282165"/>
            <wp:effectExtent l="0" t="0" r="0" b="0"/>
            <wp:wrapNone/>
            <wp:docPr id="230" name="Image 23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30" name="Image 230"/>
                    <pic:cNvPicPr/>
                  </pic:nvPicPr>
                  <pic:blipFill>
                    <a:blip r:embed="rId210" cstate="print"/>
                    <a:stretch>
                      <a:fillRect/>
                    </a:stretch>
                  </pic:blipFill>
                  <pic:spPr>
                    <a:xfrm>
                      <a:off x="0" y="0"/>
                      <a:ext cx="5966130" cy="4282165"/>
                    </a:xfrm>
                    <a:prstGeom prst="rect">
                      <a:avLst/>
                    </a:prstGeom>
                  </pic:spPr>
                </pic:pic>
              </a:graphicData>
            </a:graphic>
          </wp:anchor>
        </w:drawing>
      </w:r>
      <w:r>
        <w:rPr>
          <w:sz w:val="15"/>
        </w:rPr>
        <w:t>PARTICIPACIÓN</w:t>
      </w:r>
      <w:r>
        <w:rPr>
          <w:spacing w:val="12"/>
          <w:sz w:val="15"/>
        </w:rPr>
        <w:t xml:space="preserve"> </w:t>
      </w:r>
      <w:r>
        <w:rPr>
          <w:sz w:val="15"/>
        </w:rPr>
        <w:t>DE</w:t>
      </w:r>
      <w:r>
        <w:rPr>
          <w:spacing w:val="14"/>
          <w:sz w:val="15"/>
        </w:rPr>
        <w:t xml:space="preserve"> </w:t>
      </w:r>
      <w:r>
        <w:rPr>
          <w:sz w:val="15"/>
        </w:rPr>
        <w:t>MINORÍAS</w:t>
      </w:r>
      <w:r>
        <w:rPr>
          <w:spacing w:val="13"/>
          <w:sz w:val="15"/>
        </w:rPr>
        <w:t xml:space="preserve"> </w:t>
      </w:r>
      <w:r>
        <w:rPr>
          <w:sz w:val="15"/>
        </w:rPr>
        <w:t>EN</w:t>
      </w:r>
      <w:r>
        <w:rPr>
          <w:spacing w:val="14"/>
          <w:sz w:val="15"/>
        </w:rPr>
        <w:t xml:space="preserve"> </w:t>
      </w:r>
      <w:r>
        <w:rPr>
          <w:sz w:val="15"/>
        </w:rPr>
        <w:t>ORGANISMOS</w:t>
      </w:r>
      <w:r>
        <w:rPr>
          <w:spacing w:val="14"/>
          <w:sz w:val="15"/>
        </w:rPr>
        <w:t xml:space="preserve"> </w:t>
      </w:r>
      <w:r>
        <w:rPr>
          <w:sz w:val="15"/>
        </w:rPr>
        <w:t>DE</w:t>
      </w:r>
      <w:r>
        <w:rPr>
          <w:spacing w:val="14"/>
          <w:sz w:val="15"/>
        </w:rPr>
        <w:t xml:space="preserve"> </w:t>
      </w:r>
      <w:r>
        <w:rPr>
          <w:spacing w:val="-2"/>
          <w:sz w:val="15"/>
        </w:rPr>
        <w:t>IGUALDAD</w:t>
      </w:r>
    </w:p>
    <w:p w14:paraId="0A1F2291" w14:textId="77777777" w:rsidR="0014798C" w:rsidRDefault="0014798C">
      <w:pPr>
        <w:pStyle w:val="Textoindependiente"/>
        <w:spacing w:before="54"/>
        <w:rPr>
          <w:sz w:val="15"/>
        </w:rPr>
      </w:pPr>
    </w:p>
    <w:p w14:paraId="677DC5C0" w14:textId="77777777" w:rsidR="0014798C" w:rsidRDefault="004E1F0B">
      <w:pPr>
        <w:spacing w:line="348" w:lineRule="auto"/>
        <w:ind w:left="1332" w:right="1553" w:firstLine="5"/>
        <w:rPr>
          <w:sz w:val="15"/>
        </w:rPr>
      </w:pPr>
      <w:r>
        <w:rPr>
          <w:w w:val="105"/>
          <w:sz w:val="15"/>
        </w:rPr>
        <w:t>Desde</w:t>
      </w:r>
      <w:r>
        <w:rPr>
          <w:spacing w:val="-9"/>
          <w:w w:val="105"/>
          <w:sz w:val="15"/>
        </w:rPr>
        <w:t xml:space="preserve"> </w:t>
      </w:r>
      <w:r>
        <w:rPr>
          <w:w w:val="105"/>
          <w:sz w:val="15"/>
        </w:rPr>
        <w:t>la</w:t>
      </w:r>
      <w:r>
        <w:rPr>
          <w:spacing w:val="-9"/>
          <w:w w:val="105"/>
          <w:sz w:val="15"/>
        </w:rPr>
        <w:t xml:space="preserve"> </w:t>
      </w:r>
      <w:r>
        <w:rPr>
          <w:w w:val="105"/>
          <w:sz w:val="15"/>
        </w:rPr>
        <w:t>década</w:t>
      </w:r>
      <w:r>
        <w:rPr>
          <w:spacing w:val="-9"/>
          <w:w w:val="105"/>
          <w:sz w:val="15"/>
        </w:rPr>
        <w:t xml:space="preserve"> </w:t>
      </w:r>
      <w:r>
        <w:rPr>
          <w:w w:val="105"/>
          <w:sz w:val="15"/>
        </w:rPr>
        <w:t>de</w:t>
      </w:r>
      <w:r>
        <w:rPr>
          <w:spacing w:val="-9"/>
          <w:w w:val="105"/>
          <w:sz w:val="15"/>
        </w:rPr>
        <w:t xml:space="preserve"> </w:t>
      </w:r>
      <w:r>
        <w:rPr>
          <w:w w:val="105"/>
          <w:sz w:val="15"/>
        </w:rPr>
        <w:t>2000,</w:t>
      </w:r>
      <w:r>
        <w:rPr>
          <w:spacing w:val="-9"/>
          <w:w w:val="105"/>
          <w:sz w:val="15"/>
        </w:rPr>
        <w:t xml:space="preserve"> </w:t>
      </w:r>
      <w:r>
        <w:rPr>
          <w:w w:val="105"/>
          <w:sz w:val="15"/>
        </w:rPr>
        <w:t>el</w:t>
      </w:r>
      <w:r>
        <w:rPr>
          <w:spacing w:val="-9"/>
          <w:w w:val="105"/>
          <w:sz w:val="15"/>
        </w:rPr>
        <w:t xml:space="preserve"> </w:t>
      </w:r>
      <w:r>
        <w:rPr>
          <w:w w:val="105"/>
          <w:sz w:val="15"/>
        </w:rPr>
        <w:t>Defensor</w:t>
      </w:r>
      <w:r>
        <w:rPr>
          <w:spacing w:val="-9"/>
          <w:w w:val="105"/>
          <w:sz w:val="15"/>
        </w:rPr>
        <w:t xml:space="preserve"> </w:t>
      </w:r>
      <w:r>
        <w:rPr>
          <w:w w:val="105"/>
          <w:sz w:val="15"/>
        </w:rPr>
        <w:t>del</w:t>
      </w:r>
      <w:r>
        <w:rPr>
          <w:spacing w:val="-9"/>
          <w:w w:val="105"/>
          <w:sz w:val="15"/>
        </w:rPr>
        <w:t xml:space="preserve"> </w:t>
      </w:r>
      <w:r>
        <w:rPr>
          <w:w w:val="105"/>
          <w:sz w:val="15"/>
        </w:rPr>
        <w:t>Pueblo</w:t>
      </w:r>
      <w:r>
        <w:rPr>
          <w:spacing w:val="-9"/>
          <w:w w:val="105"/>
          <w:sz w:val="15"/>
        </w:rPr>
        <w:t xml:space="preserve"> </w:t>
      </w:r>
      <w:r>
        <w:rPr>
          <w:w w:val="105"/>
          <w:sz w:val="15"/>
        </w:rPr>
        <w:t>de</w:t>
      </w:r>
      <w:r>
        <w:rPr>
          <w:spacing w:val="-9"/>
          <w:w w:val="105"/>
          <w:sz w:val="15"/>
        </w:rPr>
        <w:t xml:space="preserve"> </w:t>
      </w:r>
      <w:r>
        <w:rPr>
          <w:w w:val="105"/>
          <w:sz w:val="15"/>
        </w:rPr>
        <w:t>Suecia</w:t>
      </w:r>
      <w:r>
        <w:rPr>
          <w:spacing w:val="-9"/>
          <w:w w:val="105"/>
          <w:sz w:val="15"/>
        </w:rPr>
        <w:t xml:space="preserve"> </w:t>
      </w:r>
      <w:r>
        <w:rPr>
          <w:w w:val="105"/>
          <w:sz w:val="15"/>
        </w:rPr>
        <w:t>para</w:t>
      </w:r>
      <w:r>
        <w:rPr>
          <w:spacing w:val="-9"/>
          <w:w w:val="105"/>
          <w:sz w:val="15"/>
        </w:rPr>
        <w:t xml:space="preserve"> </w:t>
      </w:r>
      <w:r>
        <w:rPr>
          <w:w w:val="105"/>
          <w:sz w:val="15"/>
        </w:rPr>
        <w:t>la</w:t>
      </w:r>
      <w:r>
        <w:rPr>
          <w:spacing w:val="-9"/>
          <w:w w:val="105"/>
          <w:sz w:val="15"/>
        </w:rPr>
        <w:t xml:space="preserve"> </w:t>
      </w:r>
      <w:r>
        <w:rPr>
          <w:w w:val="105"/>
          <w:sz w:val="15"/>
        </w:rPr>
        <w:t>Igualdad</w:t>
      </w:r>
      <w:r>
        <w:rPr>
          <w:spacing w:val="-9"/>
          <w:w w:val="105"/>
          <w:sz w:val="15"/>
        </w:rPr>
        <w:t xml:space="preserve"> </w:t>
      </w:r>
      <w:r>
        <w:rPr>
          <w:w w:val="105"/>
          <w:sz w:val="15"/>
        </w:rPr>
        <w:t>ha</w:t>
      </w:r>
      <w:r>
        <w:rPr>
          <w:spacing w:val="-9"/>
          <w:w w:val="105"/>
          <w:sz w:val="15"/>
        </w:rPr>
        <w:t xml:space="preserve"> </w:t>
      </w:r>
      <w:r>
        <w:rPr>
          <w:w w:val="105"/>
          <w:sz w:val="15"/>
        </w:rPr>
        <w:t>desempeñado</w:t>
      </w:r>
      <w:r>
        <w:rPr>
          <w:spacing w:val="-9"/>
          <w:w w:val="105"/>
          <w:sz w:val="15"/>
        </w:rPr>
        <w:t xml:space="preserve"> </w:t>
      </w:r>
      <w:r>
        <w:rPr>
          <w:w w:val="105"/>
          <w:sz w:val="15"/>
        </w:rPr>
        <w:t>un</w:t>
      </w:r>
      <w:r>
        <w:rPr>
          <w:spacing w:val="-9"/>
          <w:w w:val="105"/>
          <w:sz w:val="15"/>
        </w:rPr>
        <w:t xml:space="preserve"> </w:t>
      </w:r>
      <w:r>
        <w:rPr>
          <w:w w:val="105"/>
          <w:sz w:val="15"/>
        </w:rPr>
        <w:t>papel</w:t>
      </w:r>
      <w:r>
        <w:rPr>
          <w:spacing w:val="-9"/>
          <w:w w:val="105"/>
          <w:sz w:val="15"/>
        </w:rPr>
        <w:t xml:space="preserve"> </w:t>
      </w:r>
      <w:r>
        <w:rPr>
          <w:w w:val="105"/>
          <w:sz w:val="15"/>
        </w:rPr>
        <w:t>catalizador</w:t>
      </w:r>
      <w:r>
        <w:rPr>
          <w:spacing w:val="-9"/>
          <w:w w:val="105"/>
          <w:sz w:val="15"/>
        </w:rPr>
        <w:t xml:space="preserve"> </w:t>
      </w:r>
      <w:r>
        <w:rPr>
          <w:w w:val="105"/>
          <w:sz w:val="15"/>
        </w:rPr>
        <w:t>al</w:t>
      </w:r>
      <w:r>
        <w:rPr>
          <w:spacing w:val="-9"/>
          <w:w w:val="105"/>
          <w:sz w:val="15"/>
        </w:rPr>
        <w:t xml:space="preserve"> </w:t>
      </w:r>
      <w:r>
        <w:rPr>
          <w:w w:val="105"/>
          <w:sz w:val="15"/>
        </w:rPr>
        <w:t>liderar</w:t>
      </w:r>
      <w:r>
        <w:rPr>
          <w:spacing w:val="-9"/>
          <w:w w:val="105"/>
          <w:sz w:val="15"/>
        </w:rPr>
        <w:t xml:space="preserve"> </w:t>
      </w:r>
      <w:r>
        <w:rPr>
          <w:w w:val="105"/>
          <w:sz w:val="15"/>
        </w:rPr>
        <w:t>el debate</w:t>
      </w:r>
      <w:r>
        <w:rPr>
          <w:spacing w:val="-5"/>
          <w:w w:val="105"/>
          <w:sz w:val="15"/>
        </w:rPr>
        <w:t xml:space="preserve"> </w:t>
      </w:r>
      <w:r>
        <w:rPr>
          <w:w w:val="105"/>
          <w:sz w:val="15"/>
        </w:rPr>
        <w:t>público</w:t>
      </w:r>
      <w:r>
        <w:rPr>
          <w:spacing w:val="-5"/>
          <w:w w:val="105"/>
          <w:sz w:val="15"/>
        </w:rPr>
        <w:t xml:space="preserve"> </w:t>
      </w:r>
      <w:r>
        <w:rPr>
          <w:w w:val="105"/>
          <w:sz w:val="15"/>
        </w:rPr>
        <w:t>para</w:t>
      </w:r>
      <w:r>
        <w:rPr>
          <w:spacing w:val="-5"/>
          <w:w w:val="105"/>
          <w:sz w:val="15"/>
        </w:rPr>
        <w:t xml:space="preserve"> </w:t>
      </w:r>
      <w:r>
        <w:rPr>
          <w:w w:val="105"/>
          <w:sz w:val="15"/>
        </w:rPr>
        <w:t>promover</w:t>
      </w:r>
      <w:r>
        <w:rPr>
          <w:spacing w:val="-5"/>
          <w:w w:val="105"/>
          <w:sz w:val="15"/>
        </w:rPr>
        <w:t xml:space="preserve"> </w:t>
      </w:r>
      <w:r>
        <w:rPr>
          <w:w w:val="105"/>
          <w:sz w:val="15"/>
        </w:rPr>
        <w:t>la</w:t>
      </w:r>
      <w:r>
        <w:rPr>
          <w:spacing w:val="-5"/>
          <w:w w:val="105"/>
          <w:sz w:val="15"/>
        </w:rPr>
        <w:t xml:space="preserve"> </w:t>
      </w:r>
      <w:r>
        <w:rPr>
          <w:w w:val="105"/>
          <w:sz w:val="15"/>
        </w:rPr>
        <w:t>comprensión</w:t>
      </w:r>
      <w:r>
        <w:rPr>
          <w:spacing w:val="-5"/>
          <w:w w:val="105"/>
          <w:sz w:val="15"/>
        </w:rPr>
        <w:t xml:space="preserve"> </w:t>
      </w:r>
      <w:r>
        <w:rPr>
          <w:w w:val="105"/>
          <w:sz w:val="15"/>
        </w:rPr>
        <w:t>de</w:t>
      </w:r>
      <w:r>
        <w:rPr>
          <w:spacing w:val="-5"/>
          <w:w w:val="105"/>
          <w:sz w:val="15"/>
        </w:rPr>
        <w:t xml:space="preserve"> </w:t>
      </w:r>
      <w:r>
        <w:rPr>
          <w:w w:val="105"/>
          <w:sz w:val="15"/>
        </w:rPr>
        <w:t>la</w:t>
      </w:r>
      <w:r>
        <w:rPr>
          <w:spacing w:val="-5"/>
          <w:w w:val="105"/>
          <w:sz w:val="15"/>
        </w:rPr>
        <w:t xml:space="preserve"> </w:t>
      </w:r>
      <w:r>
        <w:rPr>
          <w:w w:val="105"/>
          <w:sz w:val="15"/>
        </w:rPr>
        <w:t>discriminación</w:t>
      </w:r>
      <w:r>
        <w:rPr>
          <w:spacing w:val="-5"/>
          <w:w w:val="105"/>
          <w:sz w:val="15"/>
        </w:rPr>
        <w:t xml:space="preserve"> </w:t>
      </w:r>
      <w:r>
        <w:rPr>
          <w:w w:val="105"/>
          <w:sz w:val="15"/>
        </w:rPr>
        <w:t>histórica</w:t>
      </w:r>
      <w:r>
        <w:rPr>
          <w:spacing w:val="-5"/>
          <w:w w:val="105"/>
          <w:sz w:val="15"/>
        </w:rPr>
        <w:t xml:space="preserve"> </w:t>
      </w:r>
      <w:r>
        <w:rPr>
          <w:w w:val="105"/>
          <w:sz w:val="15"/>
        </w:rPr>
        <w:t>contra</w:t>
      </w:r>
      <w:r>
        <w:rPr>
          <w:spacing w:val="-5"/>
          <w:w w:val="105"/>
          <w:sz w:val="15"/>
        </w:rPr>
        <w:t xml:space="preserve"> </w:t>
      </w:r>
      <w:r>
        <w:rPr>
          <w:w w:val="105"/>
          <w:sz w:val="15"/>
        </w:rPr>
        <w:t>los</w:t>
      </w:r>
      <w:r>
        <w:rPr>
          <w:spacing w:val="-5"/>
          <w:w w:val="105"/>
          <w:sz w:val="15"/>
        </w:rPr>
        <w:t xml:space="preserve"> </w:t>
      </w:r>
      <w:r>
        <w:rPr>
          <w:w w:val="105"/>
          <w:sz w:val="15"/>
        </w:rPr>
        <w:t>romaníes.</w:t>
      </w:r>
      <w:r>
        <w:rPr>
          <w:spacing w:val="-4"/>
          <w:w w:val="105"/>
          <w:sz w:val="15"/>
        </w:rPr>
        <w:t xml:space="preserve"> </w:t>
      </w:r>
      <w:r>
        <w:rPr>
          <w:w w:val="105"/>
          <w:sz w:val="15"/>
        </w:rPr>
        <w:t>Lo</w:t>
      </w:r>
      <w:r>
        <w:rPr>
          <w:spacing w:val="-5"/>
          <w:w w:val="105"/>
          <w:sz w:val="15"/>
        </w:rPr>
        <w:t xml:space="preserve"> </w:t>
      </w:r>
      <w:r>
        <w:rPr>
          <w:w w:val="105"/>
          <w:sz w:val="15"/>
        </w:rPr>
        <w:t>ha</w:t>
      </w:r>
      <w:r>
        <w:rPr>
          <w:spacing w:val="-5"/>
          <w:w w:val="105"/>
          <w:sz w:val="15"/>
        </w:rPr>
        <w:t xml:space="preserve"> </w:t>
      </w:r>
      <w:r>
        <w:rPr>
          <w:w w:val="105"/>
          <w:sz w:val="15"/>
        </w:rPr>
        <w:t>hecho</w:t>
      </w:r>
      <w:r>
        <w:rPr>
          <w:spacing w:val="-5"/>
          <w:w w:val="105"/>
          <w:sz w:val="15"/>
        </w:rPr>
        <w:t xml:space="preserve"> </w:t>
      </w:r>
      <w:r>
        <w:rPr>
          <w:w w:val="105"/>
          <w:sz w:val="15"/>
        </w:rPr>
        <w:t>mediante</w:t>
      </w:r>
      <w:r>
        <w:rPr>
          <w:spacing w:val="-5"/>
          <w:w w:val="105"/>
          <w:sz w:val="15"/>
        </w:rPr>
        <w:t xml:space="preserve"> </w:t>
      </w:r>
      <w:r>
        <w:rPr>
          <w:w w:val="105"/>
          <w:sz w:val="15"/>
        </w:rPr>
        <w:t>una variedad</w:t>
      </w:r>
      <w:r>
        <w:rPr>
          <w:spacing w:val="-5"/>
          <w:w w:val="105"/>
          <w:sz w:val="15"/>
        </w:rPr>
        <w:t xml:space="preserve"> </w:t>
      </w:r>
      <w:r>
        <w:rPr>
          <w:w w:val="105"/>
          <w:sz w:val="15"/>
        </w:rPr>
        <w:t>de</w:t>
      </w:r>
      <w:r>
        <w:rPr>
          <w:spacing w:val="-5"/>
          <w:w w:val="105"/>
          <w:sz w:val="15"/>
        </w:rPr>
        <w:t xml:space="preserve"> </w:t>
      </w:r>
      <w:r>
        <w:rPr>
          <w:w w:val="105"/>
          <w:sz w:val="15"/>
        </w:rPr>
        <w:t>métodos,</w:t>
      </w:r>
      <w:r>
        <w:rPr>
          <w:spacing w:val="-5"/>
          <w:w w:val="105"/>
          <w:sz w:val="15"/>
        </w:rPr>
        <w:t xml:space="preserve"> </w:t>
      </w:r>
      <w:r>
        <w:rPr>
          <w:w w:val="105"/>
          <w:sz w:val="15"/>
        </w:rPr>
        <w:t>incluido</w:t>
      </w:r>
      <w:r>
        <w:rPr>
          <w:spacing w:val="-5"/>
          <w:w w:val="105"/>
          <w:sz w:val="15"/>
        </w:rPr>
        <w:t xml:space="preserve"> </w:t>
      </w:r>
      <w:r>
        <w:rPr>
          <w:w w:val="105"/>
          <w:sz w:val="15"/>
        </w:rPr>
        <w:t>el</w:t>
      </w:r>
      <w:r>
        <w:rPr>
          <w:spacing w:val="-5"/>
          <w:w w:val="105"/>
          <w:sz w:val="15"/>
        </w:rPr>
        <w:t xml:space="preserve"> </w:t>
      </w:r>
      <w:r>
        <w:rPr>
          <w:w w:val="105"/>
          <w:sz w:val="15"/>
        </w:rPr>
        <w:t>fortalecimiento</w:t>
      </w:r>
      <w:r>
        <w:rPr>
          <w:spacing w:val="-5"/>
          <w:w w:val="105"/>
          <w:sz w:val="15"/>
        </w:rPr>
        <w:t xml:space="preserve"> </w:t>
      </w:r>
      <w:r>
        <w:rPr>
          <w:w w:val="105"/>
          <w:sz w:val="15"/>
        </w:rPr>
        <w:t>de</w:t>
      </w:r>
      <w:r>
        <w:rPr>
          <w:spacing w:val="-5"/>
          <w:w w:val="105"/>
          <w:sz w:val="15"/>
        </w:rPr>
        <w:t xml:space="preserve"> </w:t>
      </w:r>
      <w:r>
        <w:rPr>
          <w:w w:val="105"/>
          <w:sz w:val="15"/>
        </w:rPr>
        <w:t>la</w:t>
      </w:r>
      <w:r>
        <w:rPr>
          <w:spacing w:val="-5"/>
          <w:w w:val="105"/>
          <w:sz w:val="15"/>
        </w:rPr>
        <w:t xml:space="preserve"> </w:t>
      </w:r>
      <w:r>
        <w:rPr>
          <w:w w:val="105"/>
          <w:sz w:val="15"/>
        </w:rPr>
        <w:t>recopilación</w:t>
      </w:r>
      <w:r>
        <w:rPr>
          <w:spacing w:val="-5"/>
          <w:w w:val="105"/>
          <w:sz w:val="15"/>
        </w:rPr>
        <w:t xml:space="preserve"> </w:t>
      </w:r>
      <w:r>
        <w:rPr>
          <w:w w:val="105"/>
          <w:sz w:val="15"/>
        </w:rPr>
        <w:t>de</w:t>
      </w:r>
      <w:r>
        <w:rPr>
          <w:spacing w:val="-5"/>
          <w:w w:val="105"/>
          <w:sz w:val="15"/>
        </w:rPr>
        <w:t xml:space="preserve"> </w:t>
      </w:r>
      <w:r>
        <w:rPr>
          <w:w w:val="105"/>
          <w:sz w:val="15"/>
        </w:rPr>
        <w:t>información,</w:t>
      </w:r>
      <w:r>
        <w:rPr>
          <w:spacing w:val="-5"/>
          <w:w w:val="105"/>
          <w:sz w:val="15"/>
        </w:rPr>
        <w:t xml:space="preserve"> </w:t>
      </w:r>
      <w:r>
        <w:rPr>
          <w:w w:val="105"/>
          <w:sz w:val="15"/>
        </w:rPr>
        <w:t>la</w:t>
      </w:r>
      <w:r>
        <w:rPr>
          <w:spacing w:val="-5"/>
          <w:w w:val="105"/>
          <w:sz w:val="15"/>
        </w:rPr>
        <w:t xml:space="preserve"> </w:t>
      </w:r>
      <w:r>
        <w:rPr>
          <w:w w:val="105"/>
          <w:sz w:val="15"/>
        </w:rPr>
        <w:t>creación</w:t>
      </w:r>
      <w:r>
        <w:rPr>
          <w:spacing w:val="-5"/>
          <w:w w:val="105"/>
          <w:sz w:val="15"/>
        </w:rPr>
        <w:t xml:space="preserve"> </w:t>
      </w:r>
      <w:r>
        <w:rPr>
          <w:w w:val="105"/>
          <w:sz w:val="15"/>
        </w:rPr>
        <w:t>de</w:t>
      </w:r>
      <w:r>
        <w:rPr>
          <w:spacing w:val="-5"/>
          <w:w w:val="105"/>
          <w:sz w:val="15"/>
        </w:rPr>
        <w:t xml:space="preserve"> </w:t>
      </w:r>
      <w:r>
        <w:rPr>
          <w:w w:val="105"/>
          <w:sz w:val="15"/>
        </w:rPr>
        <w:t>plataformas</w:t>
      </w:r>
      <w:r>
        <w:rPr>
          <w:spacing w:val="-6"/>
          <w:w w:val="105"/>
          <w:sz w:val="15"/>
        </w:rPr>
        <w:t xml:space="preserve"> </w:t>
      </w:r>
      <w:r>
        <w:rPr>
          <w:w w:val="105"/>
          <w:sz w:val="15"/>
        </w:rPr>
        <w:t>de</w:t>
      </w:r>
      <w:r>
        <w:rPr>
          <w:spacing w:val="-5"/>
          <w:w w:val="105"/>
          <w:sz w:val="15"/>
        </w:rPr>
        <w:t xml:space="preserve"> </w:t>
      </w:r>
      <w:r>
        <w:rPr>
          <w:w w:val="105"/>
          <w:sz w:val="15"/>
        </w:rPr>
        <w:t>consulta</w:t>
      </w:r>
      <w:r>
        <w:rPr>
          <w:spacing w:val="-5"/>
          <w:w w:val="105"/>
          <w:sz w:val="15"/>
        </w:rPr>
        <w:t xml:space="preserve"> </w:t>
      </w:r>
      <w:r>
        <w:rPr>
          <w:w w:val="105"/>
          <w:sz w:val="15"/>
        </w:rPr>
        <w:t>para la</w:t>
      </w:r>
      <w:r>
        <w:rPr>
          <w:spacing w:val="-3"/>
          <w:w w:val="105"/>
          <w:sz w:val="15"/>
        </w:rPr>
        <w:t xml:space="preserve"> </w:t>
      </w:r>
      <w:r>
        <w:rPr>
          <w:w w:val="105"/>
          <w:sz w:val="15"/>
        </w:rPr>
        <w:t>inclusión</w:t>
      </w:r>
      <w:r>
        <w:rPr>
          <w:spacing w:val="-3"/>
          <w:w w:val="105"/>
          <w:sz w:val="15"/>
        </w:rPr>
        <w:t xml:space="preserve"> </w:t>
      </w:r>
      <w:r>
        <w:rPr>
          <w:w w:val="105"/>
          <w:sz w:val="15"/>
        </w:rPr>
        <w:t>de</w:t>
      </w:r>
      <w:r>
        <w:rPr>
          <w:spacing w:val="-3"/>
          <w:w w:val="105"/>
          <w:sz w:val="15"/>
        </w:rPr>
        <w:t xml:space="preserve"> </w:t>
      </w:r>
      <w:r>
        <w:rPr>
          <w:w w:val="105"/>
          <w:sz w:val="15"/>
        </w:rPr>
        <w:t>los</w:t>
      </w:r>
      <w:r>
        <w:rPr>
          <w:spacing w:val="-3"/>
          <w:w w:val="105"/>
          <w:sz w:val="15"/>
        </w:rPr>
        <w:t xml:space="preserve"> </w:t>
      </w:r>
      <w:r>
        <w:rPr>
          <w:w w:val="105"/>
          <w:sz w:val="15"/>
        </w:rPr>
        <w:t>romaníes</w:t>
      </w:r>
      <w:r>
        <w:rPr>
          <w:spacing w:val="-3"/>
          <w:w w:val="105"/>
          <w:sz w:val="15"/>
        </w:rPr>
        <w:t xml:space="preserve"> </w:t>
      </w:r>
      <w:r>
        <w:rPr>
          <w:w w:val="105"/>
          <w:sz w:val="15"/>
        </w:rPr>
        <w:t>en</w:t>
      </w:r>
      <w:r>
        <w:rPr>
          <w:spacing w:val="-3"/>
          <w:w w:val="105"/>
          <w:sz w:val="15"/>
        </w:rPr>
        <w:t xml:space="preserve"> </w:t>
      </w:r>
      <w:r>
        <w:rPr>
          <w:w w:val="105"/>
          <w:sz w:val="15"/>
        </w:rPr>
        <w:t>el</w:t>
      </w:r>
      <w:r>
        <w:rPr>
          <w:spacing w:val="-3"/>
          <w:w w:val="105"/>
          <w:sz w:val="15"/>
        </w:rPr>
        <w:t xml:space="preserve"> </w:t>
      </w:r>
      <w:r>
        <w:rPr>
          <w:w w:val="105"/>
          <w:sz w:val="15"/>
        </w:rPr>
        <w:t>trabajo</w:t>
      </w:r>
      <w:r>
        <w:rPr>
          <w:spacing w:val="-3"/>
          <w:w w:val="105"/>
          <w:sz w:val="15"/>
        </w:rPr>
        <w:t xml:space="preserve"> </w:t>
      </w:r>
      <w:r>
        <w:rPr>
          <w:w w:val="105"/>
          <w:sz w:val="15"/>
        </w:rPr>
        <w:t>del</w:t>
      </w:r>
      <w:r>
        <w:rPr>
          <w:spacing w:val="-3"/>
          <w:w w:val="105"/>
          <w:sz w:val="15"/>
        </w:rPr>
        <w:t xml:space="preserve"> </w:t>
      </w:r>
      <w:r>
        <w:rPr>
          <w:w w:val="105"/>
          <w:sz w:val="15"/>
        </w:rPr>
        <w:t>Defensor</w:t>
      </w:r>
      <w:r>
        <w:rPr>
          <w:spacing w:val="-3"/>
          <w:w w:val="105"/>
          <w:sz w:val="15"/>
        </w:rPr>
        <w:t xml:space="preserve"> </w:t>
      </w:r>
      <w:r>
        <w:rPr>
          <w:w w:val="105"/>
          <w:sz w:val="15"/>
        </w:rPr>
        <w:t>del</w:t>
      </w:r>
      <w:r>
        <w:rPr>
          <w:spacing w:val="-3"/>
          <w:w w:val="105"/>
          <w:sz w:val="15"/>
        </w:rPr>
        <w:t xml:space="preserve"> </w:t>
      </w:r>
      <w:r>
        <w:rPr>
          <w:w w:val="105"/>
          <w:sz w:val="15"/>
        </w:rPr>
        <w:t>Pueblo</w:t>
      </w:r>
      <w:r>
        <w:rPr>
          <w:spacing w:val="-3"/>
          <w:w w:val="105"/>
          <w:sz w:val="15"/>
        </w:rPr>
        <w:t xml:space="preserve"> </w:t>
      </w:r>
      <w:r>
        <w:rPr>
          <w:w w:val="105"/>
          <w:sz w:val="15"/>
        </w:rPr>
        <w:t>para</w:t>
      </w:r>
      <w:r>
        <w:rPr>
          <w:spacing w:val="-3"/>
          <w:w w:val="105"/>
          <w:sz w:val="15"/>
        </w:rPr>
        <w:t xml:space="preserve"> </w:t>
      </w:r>
      <w:r>
        <w:rPr>
          <w:w w:val="105"/>
          <w:sz w:val="15"/>
        </w:rPr>
        <w:t>la</w:t>
      </w:r>
      <w:r>
        <w:rPr>
          <w:spacing w:val="-3"/>
          <w:w w:val="105"/>
          <w:sz w:val="15"/>
        </w:rPr>
        <w:t xml:space="preserve"> </w:t>
      </w:r>
      <w:r>
        <w:rPr>
          <w:w w:val="105"/>
          <w:sz w:val="15"/>
        </w:rPr>
        <w:t>Igualdad,</w:t>
      </w:r>
      <w:r>
        <w:rPr>
          <w:spacing w:val="-3"/>
          <w:w w:val="105"/>
          <w:sz w:val="15"/>
        </w:rPr>
        <w:t xml:space="preserve"> </w:t>
      </w:r>
      <w:r>
        <w:rPr>
          <w:w w:val="105"/>
          <w:sz w:val="15"/>
        </w:rPr>
        <w:t>de</w:t>
      </w:r>
      <w:r>
        <w:rPr>
          <w:spacing w:val="-3"/>
          <w:w w:val="105"/>
          <w:sz w:val="15"/>
        </w:rPr>
        <w:t xml:space="preserve"> </w:t>
      </w:r>
      <w:r>
        <w:rPr>
          <w:w w:val="105"/>
          <w:sz w:val="15"/>
        </w:rPr>
        <w:t>modo</w:t>
      </w:r>
      <w:r>
        <w:rPr>
          <w:spacing w:val="-3"/>
          <w:w w:val="105"/>
          <w:sz w:val="15"/>
        </w:rPr>
        <w:t xml:space="preserve"> </w:t>
      </w:r>
      <w:r>
        <w:rPr>
          <w:w w:val="105"/>
          <w:sz w:val="15"/>
        </w:rPr>
        <w:t>que</w:t>
      </w:r>
      <w:r>
        <w:rPr>
          <w:spacing w:val="-3"/>
          <w:w w:val="105"/>
          <w:sz w:val="15"/>
        </w:rPr>
        <w:t xml:space="preserve"> </w:t>
      </w:r>
      <w:r>
        <w:rPr>
          <w:w w:val="105"/>
          <w:sz w:val="15"/>
        </w:rPr>
        <w:t>los</w:t>
      </w:r>
      <w:r>
        <w:rPr>
          <w:spacing w:val="-3"/>
          <w:w w:val="105"/>
          <w:sz w:val="15"/>
        </w:rPr>
        <w:t xml:space="preserve"> </w:t>
      </w:r>
      <w:r>
        <w:rPr>
          <w:w w:val="105"/>
          <w:sz w:val="15"/>
        </w:rPr>
        <w:t>líderes</w:t>
      </w:r>
      <w:r>
        <w:rPr>
          <w:spacing w:val="-3"/>
          <w:w w:val="105"/>
          <w:sz w:val="15"/>
        </w:rPr>
        <w:t xml:space="preserve"> </w:t>
      </w:r>
      <w:r>
        <w:rPr>
          <w:w w:val="105"/>
          <w:sz w:val="15"/>
        </w:rPr>
        <w:t>de</w:t>
      </w:r>
      <w:r>
        <w:rPr>
          <w:spacing w:val="-3"/>
          <w:w w:val="105"/>
          <w:sz w:val="15"/>
        </w:rPr>
        <w:t xml:space="preserve"> </w:t>
      </w:r>
      <w:r>
        <w:rPr>
          <w:w w:val="105"/>
          <w:sz w:val="15"/>
        </w:rPr>
        <w:t>la</w:t>
      </w:r>
      <w:r>
        <w:rPr>
          <w:spacing w:val="-3"/>
          <w:w w:val="105"/>
          <w:sz w:val="15"/>
        </w:rPr>
        <w:t xml:space="preserve"> </w:t>
      </w:r>
      <w:r>
        <w:rPr>
          <w:w w:val="105"/>
          <w:sz w:val="15"/>
        </w:rPr>
        <w:t>comunidad romaní</w:t>
      </w:r>
      <w:r>
        <w:rPr>
          <w:spacing w:val="-4"/>
          <w:w w:val="105"/>
          <w:sz w:val="15"/>
        </w:rPr>
        <w:t xml:space="preserve"> </w:t>
      </w:r>
      <w:r>
        <w:rPr>
          <w:w w:val="105"/>
          <w:sz w:val="15"/>
        </w:rPr>
        <w:t>puedan</w:t>
      </w:r>
      <w:r>
        <w:rPr>
          <w:spacing w:val="-4"/>
          <w:w w:val="105"/>
          <w:sz w:val="15"/>
        </w:rPr>
        <w:t xml:space="preserve"> </w:t>
      </w:r>
      <w:r>
        <w:rPr>
          <w:w w:val="105"/>
          <w:sz w:val="15"/>
        </w:rPr>
        <w:t>participar</w:t>
      </w:r>
      <w:r>
        <w:rPr>
          <w:spacing w:val="-4"/>
          <w:w w:val="105"/>
          <w:sz w:val="15"/>
        </w:rPr>
        <w:t xml:space="preserve"> </w:t>
      </w:r>
      <w:r>
        <w:rPr>
          <w:w w:val="105"/>
          <w:sz w:val="15"/>
        </w:rPr>
        <w:t>en</w:t>
      </w:r>
      <w:r>
        <w:rPr>
          <w:spacing w:val="-4"/>
          <w:w w:val="105"/>
          <w:sz w:val="15"/>
        </w:rPr>
        <w:t xml:space="preserve"> </w:t>
      </w:r>
      <w:r>
        <w:rPr>
          <w:w w:val="105"/>
          <w:sz w:val="15"/>
        </w:rPr>
        <w:t>el</w:t>
      </w:r>
      <w:r>
        <w:rPr>
          <w:spacing w:val="-4"/>
          <w:w w:val="105"/>
          <w:sz w:val="15"/>
        </w:rPr>
        <w:t xml:space="preserve"> </w:t>
      </w:r>
      <w:r>
        <w:rPr>
          <w:w w:val="105"/>
          <w:sz w:val="15"/>
        </w:rPr>
        <w:t>trabajo</w:t>
      </w:r>
      <w:r>
        <w:rPr>
          <w:spacing w:val="-4"/>
          <w:w w:val="105"/>
          <w:sz w:val="15"/>
        </w:rPr>
        <w:t xml:space="preserve"> </w:t>
      </w:r>
      <w:r>
        <w:rPr>
          <w:w w:val="105"/>
          <w:sz w:val="15"/>
        </w:rPr>
        <w:t>para</w:t>
      </w:r>
      <w:r>
        <w:rPr>
          <w:spacing w:val="-4"/>
          <w:w w:val="105"/>
          <w:sz w:val="15"/>
        </w:rPr>
        <w:t xml:space="preserve"> </w:t>
      </w:r>
      <w:r>
        <w:rPr>
          <w:w w:val="105"/>
          <w:sz w:val="15"/>
        </w:rPr>
        <w:t>desafiar</w:t>
      </w:r>
      <w:r>
        <w:rPr>
          <w:spacing w:val="-4"/>
          <w:w w:val="105"/>
          <w:sz w:val="15"/>
        </w:rPr>
        <w:t xml:space="preserve"> </w:t>
      </w:r>
      <w:r>
        <w:rPr>
          <w:w w:val="105"/>
          <w:sz w:val="15"/>
        </w:rPr>
        <w:t>la</w:t>
      </w:r>
      <w:r>
        <w:rPr>
          <w:spacing w:val="-4"/>
          <w:w w:val="105"/>
          <w:sz w:val="15"/>
        </w:rPr>
        <w:t xml:space="preserve"> </w:t>
      </w:r>
      <w:r>
        <w:rPr>
          <w:w w:val="105"/>
          <w:sz w:val="15"/>
        </w:rPr>
        <w:t>discriminación</w:t>
      </w:r>
      <w:r>
        <w:rPr>
          <w:spacing w:val="-4"/>
          <w:w w:val="105"/>
          <w:sz w:val="15"/>
        </w:rPr>
        <w:t xml:space="preserve"> </w:t>
      </w:r>
      <w:r>
        <w:rPr>
          <w:w w:val="105"/>
          <w:sz w:val="15"/>
        </w:rPr>
        <w:t>contra</w:t>
      </w:r>
      <w:r>
        <w:rPr>
          <w:spacing w:val="-4"/>
          <w:w w:val="105"/>
          <w:sz w:val="15"/>
        </w:rPr>
        <w:t xml:space="preserve"> </w:t>
      </w:r>
      <w:r>
        <w:rPr>
          <w:w w:val="105"/>
          <w:sz w:val="15"/>
        </w:rPr>
        <w:t>los</w:t>
      </w:r>
      <w:r>
        <w:rPr>
          <w:spacing w:val="-4"/>
          <w:w w:val="105"/>
          <w:sz w:val="15"/>
        </w:rPr>
        <w:t xml:space="preserve"> </w:t>
      </w:r>
      <w:r>
        <w:rPr>
          <w:w w:val="105"/>
          <w:sz w:val="15"/>
        </w:rPr>
        <w:t>romaníes,</w:t>
      </w:r>
      <w:r>
        <w:rPr>
          <w:spacing w:val="-4"/>
          <w:w w:val="105"/>
          <w:sz w:val="15"/>
        </w:rPr>
        <w:t xml:space="preserve"> </w:t>
      </w:r>
      <w:r>
        <w:rPr>
          <w:w w:val="105"/>
          <w:sz w:val="15"/>
        </w:rPr>
        <w:t>así</w:t>
      </w:r>
      <w:r>
        <w:rPr>
          <w:spacing w:val="-4"/>
          <w:w w:val="105"/>
          <w:sz w:val="15"/>
        </w:rPr>
        <w:t xml:space="preserve"> </w:t>
      </w:r>
      <w:r>
        <w:rPr>
          <w:w w:val="105"/>
          <w:sz w:val="15"/>
        </w:rPr>
        <w:t>como</w:t>
      </w:r>
      <w:r>
        <w:rPr>
          <w:spacing w:val="-4"/>
          <w:w w:val="105"/>
          <w:sz w:val="15"/>
        </w:rPr>
        <w:t xml:space="preserve"> </w:t>
      </w:r>
      <w:r>
        <w:rPr>
          <w:w w:val="105"/>
          <w:sz w:val="15"/>
        </w:rPr>
        <w:t>tomando</w:t>
      </w:r>
      <w:r>
        <w:rPr>
          <w:spacing w:val="-4"/>
          <w:w w:val="105"/>
          <w:sz w:val="15"/>
        </w:rPr>
        <w:t xml:space="preserve"> </w:t>
      </w:r>
      <w:r>
        <w:rPr>
          <w:w w:val="105"/>
          <w:sz w:val="15"/>
        </w:rPr>
        <w:t>medidas</w:t>
      </w:r>
      <w:r>
        <w:rPr>
          <w:spacing w:val="-4"/>
          <w:w w:val="105"/>
          <w:sz w:val="15"/>
        </w:rPr>
        <w:t xml:space="preserve"> </w:t>
      </w:r>
      <w:r>
        <w:rPr>
          <w:w w:val="105"/>
          <w:sz w:val="15"/>
        </w:rPr>
        <w:t>legales acciones</w:t>
      </w:r>
      <w:r>
        <w:rPr>
          <w:spacing w:val="-3"/>
          <w:w w:val="105"/>
          <w:sz w:val="15"/>
        </w:rPr>
        <w:t xml:space="preserve"> </w:t>
      </w:r>
      <w:r>
        <w:rPr>
          <w:w w:val="105"/>
          <w:sz w:val="15"/>
        </w:rPr>
        <w:t>para</w:t>
      </w:r>
      <w:r>
        <w:rPr>
          <w:spacing w:val="-3"/>
          <w:w w:val="105"/>
          <w:sz w:val="15"/>
        </w:rPr>
        <w:t xml:space="preserve"> </w:t>
      </w:r>
      <w:r>
        <w:rPr>
          <w:w w:val="105"/>
          <w:sz w:val="15"/>
        </w:rPr>
        <w:t>impugnar</w:t>
      </w:r>
      <w:r>
        <w:rPr>
          <w:spacing w:val="-3"/>
          <w:w w:val="105"/>
          <w:sz w:val="15"/>
        </w:rPr>
        <w:t xml:space="preserve"> </w:t>
      </w:r>
      <w:r>
        <w:rPr>
          <w:w w:val="105"/>
          <w:sz w:val="15"/>
        </w:rPr>
        <w:t>los</w:t>
      </w:r>
      <w:r>
        <w:rPr>
          <w:spacing w:val="-3"/>
          <w:w w:val="105"/>
          <w:sz w:val="15"/>
        </w:rPr>
        <w:t xml:space="preserve"> </w:t>
      </w:r>
      <w:r>
        <w:rPr>
          <w:w w:val="105"/>
          <w:sz w:val="15"/>
        </w:rPr>
        <w:t>casos</w:t>
      </w:r>
      <w:r>
        <w:rPr>
          <w:spacing w:val="-3"/>
          <w:w w:val="105"/>
          <w:sz w:val="15"/>
        </w:rPr>
        <w:t xml:space="preserve"> </w:t>
      </w:r>
      <w:r>
        <w:rPr>
          <w:w w:val="105"/>
          <w:sz w:val="15"/>
        </w:rPr>
        <w:t>de</w:t>
      </w:r>
      <w:r>
        <w:rPr>
          <w:spacing w:val="-3"/>
          <w:w w:val="105"/>
          <w:sz w:val="15"/>
        </w:rPr>
        <w:t xml:space="preserve"> </w:t>
      </w:r>
      <w:r>
        <w:rPr>
          <w:w w:val="105"/>
          <w:sz w:val="15"/>
        </w:rPr>
        <w:t>discriminación.</w:t>
      </w:r>
      <w:r>
        <w:rPr>
          <w:spacing w:val="-2"/>
          <w:w w:val="105"/>
          <w:sz w:val="15"/>
        </w:rPr>
        <w:t xml:space="preserve"> </w:t>
      </w:r>
      <w:r>
        <w:rPr>
          <w:w w:val="105"/>
          <w:sz w:val="15"/>
        </w:rPr>
        <w:t>En</w:t>
      </w:r>
      <w:r>
        <w:rPr>
          <w:spacing w:val="-3"/>
          <w:w w:val="105"/>
          <w:sz w:val="15"/>
        </w:rPr>
        <w:t xml:space="preserve"> </w:t>
      </w:r>
      <w:r>
        <w:rPr>
          <w:w w:val="105"/>
          <w:sz w:val="15"/>
        </w:rPr>
        <w:t>2004,</w:t>
      </w:r>
      <w:r>
        <w:rPr>
          <w:spacing w:val="-3"/>
          <w:w w:val="105"/>
          <w:sz w:val="15"/>
        </w:rPr>
        <w:t xml:space="preserve"> </w:t>
      </w:r>
      <w:r>
        <w:rPr>
          <w:w w:val="105"/>
          <w:sz w:val="15"/>
        </w:rPr>
        <w:t>“la</w:t>
      </w:r>
      <w:r>
        <w:rPr>
          <w:spacing w:val="-3"/>
          <w:w w:val="105"/>
          <w:sz w:val="15"/>
        </w:rPr>
        <w:t xml:space="preserve"> </w:t>
      </w:r>
      <w:r>
        <w:rPr>
          <w:w w:val="105"/>
          <w:sz w:val="15"/>
        </w:rPr>
        <w:t>entonces</w:t>
      </w:r>
      <w:r>
        <w:rPr>
          <w:spacing w:val="-3"/>
          <w:w w:val="105"/>
          <w:sz w:val="15"/>
        </w:rPr>
        <w:t xml:space="preserve"> </w:t>
      </w:r>
      <w:r>
        <w:rPr>
          <w:w w:val="105"/>
          <w:sz w:val="15"/>
        </w:rPr>
        <w:t>Oficina</w:t>
      </w:r>
      <w:r>
        <w:rPr>
          <w:spacing w:val="-3"/>
          <w:w w:val="105"/>
          <w:sz w:val="15"/>
        </w:rPr>
        <w:t xml:space="preserve"> </w:t>
      </w:r>
      <w:r>
        <w:rPr>
          <w:w w:val="105"/>
          <w:sz w:val="15"/>
        </w:rPr>
        <w:t>del</w:t>
      </w:r>
      <w:r>
        <w:rPr>
          <w:spacing w:val="-3"/>
          <w:w w:val="105"/>
          <w:sz w:val="15"/>
        </w:rPr>
        <w:t xml:space="preserve"> </w:t>
      </w:r>
      <w:r>
        <w:rPr>
          <w:w w:val="105"/>
          <w:sz w:val="15"/>
        </w:rPr>
        <w:t>Defensor</w:t>
      </w:r>
      <w:r>
        <w:rPr>
          <w:spacing w:val="-3"/>
          <w:w w:val="105"/>
          <w:sz w:val="15"/>
        </w:rPr>
        <w:t xml:space="preserve"> </w:t>
      </w:r>
      <w:r>
        <w:rPr>
          <w:w w:val="105"/>
          <w:sz w:val="15"/>
        </w:rPr>
        <w:t>del</w:t>
      </w:r>
      <w:r>
        <w:rPr>
          <w:spacing w:val="-3"/>
          <w:w w:val="105"/>
          <w:sz w:val="15"/>
        </w:rPr>
        <w:t xml:space="preserve"> </w:t>
      </w:r>
      <w:r>
        <w:rPr>
          <w:w w:val="105"/>
          <w:sz w:val="15"/>
        </w:rPr>
        <w:t>Pueblo</w:t>
      </w:r>
      <w:r>
        <w:rPr>
          <w:spacing w:val="-3"/>
          <w:w w:val="105"/>
          <w:sz w:val="15"/>
        </w:rPr>
        <w:t xml:space="preserve"> </w:t>
      </w:r>
      <w:r>
        <w:rPr>
          <w:w w:val="105"/>
          <w:sz w:val="15"/>
        </w:rPr>
        <w:t>contra</w:t>
      </w:r>
      <w:r>
        <w:rPr>
          <w:spacing w:val="-3"/>
          <w:w w:val="105"/>
          <w:sz w:val="15"/>
        </w:rPr>
        <w:t xml:space="preserve"> </w:t>
      </w:r>
      <w:r>
        <w:rPr>
          <w:w w:val="105"/>
          <w:sz w:val="15"/>
        </w:rPr>
        <w:t>la Discriminación</w:t>
      </w:r>
      <w:r>
        <w:rPr>
          <w:spacing w:val="-4"/>
          <w:w w:val="105"/>
          <w:sz w:val="15"/>
        </w:rPr>
        <w:t xml:space="preserve"> </w:t>
      </w:r>
      <w:r>
        <w:rPr>
          <w:w w:val="105"/>
          <w:sz w:val="15"/>
        </w:rPr>
        <w:t>Étnica</w:t>
      </w:r>
      <w:r>
        <w:rPr>
          <w:spacing w:val="-4"/>
          <w:w w:val="105"/>
          <w:sz w:val="15"/>
        </w:rPr>
        <w:t xml:space="preserve"> </w:t>
      </w:r>
      <w:r>
        <w:rPr>
          <w:w w:val="105"/>
          <w:sz w:val="15"/>
        </w:rPr>
        <w:t>destacó</w:t>
      </w:r>
      <w:r>
        <w:rPr>
          <w:spacing w:val="-4"/>
          <w:w w:val="105"/>
          <w:sz w:val="15"/>
        </w:rPr>
        <w:t xml:space="preserve"> </w:t>
      </w:r>
      <w:r>
        <w:rPr>
          <w:w w:val="105"/>
          <w:sz w:val="15"/>
        </w:rPr>
        <w:t>que</w:t>
      </w:r>
      <w:r>
        <w:rPr>
          <w:spacing w:val="-4"/>
          <w:w w:val="105"/>
          <w:sz w:val="15"/>
        </w:rPr>
        <w:t xml:space="preserve"> </w:t>
      </w:r>
      <w:r>
        <w:rPr>
          <w:w w:val="105"/>
          <w:sz w:val="15"/>
        </w:rPr>
        <w:t>la</w:t>
      </w:r>
      <w:r>
        <w:rPr>
          <w:spacing w:val="-5"/>
          <w:w w:val="105"/>
          <w:sz w:val="15"/>
        </w:rPr>
        <w:t xml:space="preserve"> </w:t>
      </w:r>
      <w:r>
        <w:rPr>
          <w:w w:val="105"/>
          <w:sz w:val="15"/>
        </w:rPr>
        <w:t>discriminación</w:t>
      </w:r>
      <w:r>
        <w:rPr>
          <w:spacing w:val="-4"/>
          <w:w w:val="105"/>
          <w:sz w:val="15"/>
        </w:rPr>
        <w:t xml:space="preserve"> </w:t>
      </w:r>
      <w:r>
        <w:rPr>
          <w:w w:val="105"/>
          <w:sz w:val="15"/>
        </w:rPr>
        <w:t>contra</w:t>
      </w:r>
      <w:r>
        <w:rPr>
          <w:spacing w:val="-4"/>
          <w:w w:val="105"/>
          <w:sz w:val="15"/>
        </w:rPr>
        <w:t xml:space="preserve"> </w:t>
      </w:r>
      <w:r>
        <w:rPr>
          <w:w w:val="105"/>
          <w:sz w:val="15"/>
        </w:rPr>
        <w:t>los</w:t>
      </w:r>
      <w:r>
        <w:rPr>
          <w:spacing w:val="-4"/>
          <w:w w:val="105"/>
          <w:sz w:val="15"/>
        </w:rPr>
        <w:t xml:space="preserve"> </w:t>
      </w:r>
      <w:r>
        <w:rPr>
          <w:w w:val="105"/>
          <w:sz w:val="15"/>
        </w:rPr>
        <w:t>romaníes</w:t>
      </w:r>
      <w:r>
        <w:rPr>
          <w:spacing w:val="-4"/>
          <w:w w:val="105"/>
          <w:sz w:val="15"/>
        </w:rPr>
        <w:t xml:space="preserve"> </w:t>
      </w:r>
      <w:r>
        <w:rPr>
          <w:w w:val="105"/>
          <w:sz w:val="15"/>
        </w:rPr>
        <w:t>era</w:t>
      </w:r>
      <w:r>
        <w:rPr>
          <w:spacing w:val="-5"/>
          <w:w w:val="105"/>
          <w:sz w:val="15"/>
        </w:rPr>
        <w:t xml:space="preserve"> </w:t>
      </w:r>
      <w:r>
        <w:rPr>
          <w:w w:val="105"/>
          <w:sz w:val="15"/>
        </w:rPr>
        <w:t>grave</w:t>
      </w:r>
      <w:r>
        <w:rPr>
          <w:spacing w:val="-4"/>
          <w:w w:val="105"/>
          <w:sz w:val="15"/>
        </w:rPr>
        <w:t xml:space="preserve"> </w:t>
      </w:r>
      <w:r>
        <w:rPr>
          <w:w w:val="105"/>
          <w:sz w:val="15"/>
        </w:rPr>
        <w:t>y</w:t>
      </w:r>
      <w:r>
        <w:rPr>
          <w:spacing w:val="-4"/>
          <w:w w:val="105"/>
          <w:sz w:val="15"/>
        </w:rPr>
        <w:t xml:space="preserve"> </w:t>
      </w:r>
      <w:r>
        <w:rPr>
          <w:w w:val="105"/>
          <w:sz w:val="15"/>
        </w:rPr>
        <w:t>que</w:t>
      </w:r>
      <w:r>
        <w:rPr>
          <w:spacing w:val="-4"/>
          <w:w w:val="105"/>
          <w:sz w:val="15"/>
        </w:rPr>
        <w:t xml:space="preserve"> </w:t>
      </w:r>
      <w:r>
        <w:rPr>
          <w:w w:val="105"/>
          <w:sz w:val="15"/>
        </w:rPr>
        <w:t>había</w:t>
      </w:r>
      <w:r>
        <w:rPr>
          <w:spacing w:val="-4"/>
          <w:w w:val="105"/>
          <w:sz w:val="15"/>
        </w:rPr>
        <w:t xml:space="preserve"> </w:t>
      </w:r>
      <w:r>
        <w:rPr>
          <w:w w:val="105"/>
          <w:sz w:val="15"/>
        </w:rPr>
        <w:t>una</w:t>
      </w:r>
      <w:r>
        <w:rPr>
          <w:spacing w:val="-5"/>
          <w:w w:val="105"/>
          <w:sz w:val="15"/>
        </w:rPr>
        <w:t xml:space="preserve"> </w:t>
      </w:r>
      <w:r>
        <w:rPr>
          <w:w w:val="105"/>
          <w:sz w:val="15"/>
        </w:rPr>
        <w:t>falta</w:t>
      </w:r>
      <w:r>
        <w:rPr>
          <w:spacing w:val="-4"/>
          <w:w w:val="105"/>
          <w:sz w:val="15"/>
        </w:rPr>
        <w:t xml:space="preserve"> </w:t>
      </w:r>
      <w:r>
        <w:rPr>
          <w:w w:val="105"/>
          <w:sz w:val="15"/>
        </w:rPr>
        <w:t>de</w:t>
      </w:r>
      <w:r>
        <w:rPr>
          <w:spacing w:val="-4"/>
          <w:w w:val="105"/>
          <w:sz w:val="15"/>
        </w:rPr>
        <w:t xml:space="preserve"> </w:t>
      </w:r>
      <w:r>
        <w:rPr>
          <w:w w:val="105"/>
          <w:sz w:val="15"/>
        </w:rPr>
        <w:t>conciencia</w:t>
      </w:r>
      <w:r>
        <w:rPr>
          <w:spacing w:val="-4"/>
          <w:w w:val="105"/>
          <w:sz w:val="15"/>
        </w:rPr>
        <w:t xml:space="preserve"> </w:t>
      </w:r>
      <w:r>
        <w:rPr>
          <w:w w:val="105"/>
          <w:sz w:val="15"/>
        </w:rPr>
        <w:t>de</w:t>
      </w:r>
      <w:r>
        <w:rPr>
          <w:spacing w:val="-4"/>
          <w:w w:val="105"/>
          <w:sz w:val="15"/>
        </w:rPr>
        <w:t xml:space="preserve"> </w:t>
      </w:r>
      <w:r>
        <w:rPr>
          <w:w w:val="105"/>
          <w:sz w:val="15"/>
        </w:rPr>
        <w:t>la responsabilidad</w:t>
      </w:r>
      <w:r>
        <w:rPr>
          <w:spacing w:val="-5"/>
          <w:w w:val="105"/>
          <w:sz w:val="15"/>
        </w:rPr>
        <w:t xml:space="preserve"> </w:t>
      </w:r>
      <w:r>
        <w:rPr>
          <w:w w:val="105"/>
          <w:sz w:val="15"/>
        </w:rPr>
        <w:t>histórica</w:t>
      </w:r>
      <w:r>
        <w:rPr>
          <w:spacing w:val="-5"/>
          <w:w w:val="105"/>
          <w:sz w:val="15"/>
        </w:rPr>
        <w:t xml:space="preserve"> </w:t>
      </w:r>
      <w:r>
        <w:rPr>
          <w:w w:val="105"/>
          <w:sz w:val="15"/>
        </w:rPr>
        <w:t>del</w:t>
      </w:r>
      <w:r>
        <w:rPr>
          <w:spacing w:val="-5"/>
          <w:w w:val="105"/>
          <w:sz w:val="15"/>
        </w:rPr>
        <w:t xml:space="preserve"> </w:t>
      </w:r>
      <w:r>
        <w:rPr>
          <w:w w:val="105"/>
          <w:sz w:val="15"/>
        </w:rPr>
        <w:t>Estado</w:t>
      </w:r>
      <w:r>
        <w:rPr>
          <w:spacing w:val="-5"/>
          <w:w w:val="105"/>
          <w:sz w:val="15"/>
        </w:rPr>
        <w:t xml:space="preserve"> </w:t>
      </w:r>
      <w:r>
        <w:rPr>
          <w:w w:val="105"/>
          <w:sz w:val="15"/>
        </w:rPr>
        <w:t>por</w:t>
      </w:r>
      <w:r>
        <w:rPr>
          <w:spacing w:val="-5"/>
          <w:w w:val="105"/>
          <w:sz w:val="15"/>
        </w:rPr>
        <w:t xml:space="preserve"> </w:t>
      </w:r>
      <w:r>
        <w:rPr>
          <w:w w:val="105"/>
          <w:sz w:val="15"/>
        </w:rPr>
        <w:t>gran</w:t>
      </w:r>
      <w:r>
        <w:rPr>
          <w:spacing w:val="-5"/>
          <w:w w:val="105"/>
          <w:sz w:val="15"/>
        </w:rPr>
        <w:t xml:space="preserve"> </w:t>
      </w:r>
      <w:r>
        <w:rPr>
          <w:w w:val="105"/>
          <w:sz w:val="15"/>
        </w:rPr>
        <w:t>parte</w:t>
      </w:r>
      <w:r>
        <w:rPr>
          <w:spacing w:val="-5"/>
          <w:w w:val="105"/>
          <w:sz w:val="15"/>
        </w:rPr>
        <w:t xml:space="preserve"> </w:t>
      </w:r>
      <w:r>
        <w:rPr>
          <w:w w:val="105"/>
          <w:sz w:val="15"/>
        </w:rPr>
        <w:t>de</w:t>
      </w:r>
      <w:r>
        <w:rPr>
          <w:spacing w:val="-5"/>
          <w:w w:val="105"/>
          <w:sz w:val="15"/>
        </w:rPr>
        <w:t xml:space="preserve"> </w:t>
      </w:r>
      <w:r>
        <w:rPr>
          <w:w w:val="105"/>
          <w:sz w:val="15"/>
        </w:rPr>
        <w:t>esta</w:t>
      </w:r>
      <w:r>
        <w:rPr>
          <w:spacing w:val="-5"/>
          <w:w w:val="105"/>
          <w:sz w:val="15"/>
        </w:rPr>
        <w:t xml:space="preserve"> </w:t>
      </w:r>
      <w:r>
        <w:rPr>
          <w:w w:val="105"/>
          <w:sz w:val="15"/>
        </w:rPr>
        <w:t>discriminación”.756</w:t>
      </w:r>
      <w:r>
        <w:rPr>
          <w:spacing w:val="-5"/>
          <w:w w:val="105"/>
          <w:sz w:val="15"/>
        </w:rPr>
        <w:t xml:space="preserve"> </w:t>
      </w:r>
      <w:r>
        <w:rPr>
          <w:w w:val="105"/>
          <w:sz w:val="15"/>
        </w:rPr>
        <w:t>En</w:t>
      </w:r>
      <w:r>
        <w:rPr>
          <w:spacing w:val="-5"/>
          <w:w w:val="105"/>
          <w:sz w:val="15"/>
        </w:rPr>
        <w:t xml:space="preserve"> </w:t>
      </w:r>
      <w:r>
        <w:rPr>
          <w:w w:val="105"/>
          <w:sz w:val="15"/>
        </w:rPr>
        <w:t>un</w:t>
      </w:r>
      <w:r>
        <w:rPr>
          <w:spacing w:val="-5"/>
          <w:w w:val="105"/>
          <w:sz w:val="15"/>
        </w:rPr>
        <w:t xml:space="preserve"> </w:t>
      </w:r>
      <w:r>
        <w:rPr>
          <w:w w:val="105"/>
          <w:sz w:val="15"/>
        </w:rPr>
        <w:t>informe</w:t>
      </w:r>
      <w:r>
        <w:rPr>
          <w:spacing w:val="-5"/>
          <w:w w:val="105"/>
          <w:sz w:val="15"/>
        </w:rPr>
        <w:t xml:space="preserve"> </w:t>
      </w:r>
      <w:r>
        <w:rPr>
          <w:w w:val="105"/>
          <w:sz w:val="15"/>
        </w:rPr>
        <w:t>de</w:t>
      </w:r>
      <w:r>
        <w:rPr>
          <w:spacing w:val="-5"/>
          <w:w w:val="105"/>
          <w:sz w:val="15"/>
        </w:rPr>
        <w:t xml:space="preserve"> </w:t>
      </w:r>
      <w:r>
        <w:rPr>
          <w:w w:val="105"/>
          <w:sz w:val="15"/>
        </w:rPr>
        <w:t>2011,</w:t>
      </w:r>
      <w:r>
        <w:rPr>
          <w:spacing w:val="-5"/>
          <w:w w:val="105"/>
          <w:sz w:val="15"/>
        </w:rPr>
        <w:t xml:space="preserve"> </w:t>
      </w:r>
      <w:r>
        <w:rPr>
          <w:w w:val="105"/>
          <w:sz w:val="15"/>
        </w:rPr>
        <w:t>el</w:t>
      </w:r>
      <w:r>
        <w:rPr>
          <w:spacing w:val="-5"/>
          <w:w w:val="105"/>
          <w:sz w:val="15"/>
        </w:rPr>
        <w:t xml:space="preserve"> </w:t>
      </w:r>
      <w:r>
        <w:rPr>
          <w:w w:val="105"/>
          <w:sz w:val="15"/>
        </w:rPr>
        <w:t>Defensor</w:t>
      </w:r>
      <w:r>
        <w:rPr>
          <w:spacing w:val="-5"/>
          <w:w w:val="105"/>
          <w:sz w:val="15"/>
        </w:rPr>
        <w:t xml:space="preserve"> </w:t>
      </w:r>
      <w:r>
        <w:rPr>
          <w:w w:val="105"/>
          <w:sz w:val="15"/>
        </w:rPr>
        <w:t>del</w:t>
      </w:r>
      <w:r>
        <w:rPr>
          <w:spacing w:val="-5"/>
          <w:w w:val="105"/>
          <w:sz w:val="15"/>
        </w:rPr>
        <w:t xml:space="preserve"> </w:t>
      </w:r>
      <w:r>
        <w:rPr>
          <w:w w:val="105"/>
          <w:sz w:val="15"/>
        </w:rPr>
        <w:t>Pueblo para</w:t>
      </w:r>
      <w:r>
        <w:rPr>
          <w:spacing w:val="-4"/>
          <w:w w:val="105"/>
          <w:sz w:val="15"/>
        </w:rPr>
        <w:t xml:space="preserve"> </w:t>
      </w:r>
      <w:r>
        <w:rPr>
          <w:w w:val="105"/>
          <w:sz w:val="15"/>
        </w:rPr>
        <w:t>la</w:t>
      </w:r>
      <w:r>
        <w:rPr>
          <w:spacing w:val="-4"/>
          <w:w w:val="105"/>
          <w:sz w:val="15"/>
        </w:rPr>
        <w:t xml:space="preserve"> </w:t>
      </w:r>
      <w:r>
        <w:rPr>
          <w:w w:val="105"/>
          <w:sz w:val="15"/>
        </w:rPr>
        <w:t>Igualdad</w:t>
      </w:r>
      <w:r>
        <w:rPr>
          <w:spacing w:val="-4"/>
          <w:w w:val="105"/>
          <w:sz w:val="15"/>
        </w:rPr>
        <w:t xml:space="preserve"> </w:t>
      </w:r>
      <w:r>
        <w:rPr>
          <w:w w:val="105"/>
          <w:sz w:val="15"/>
        </w:rPr>
        <w:t>señaló:</w:t>
      </w:r>
      <w:r>
        <w:rPr>
          <w:spacing w:val="-4"/>
          <w:w w:val="105"/>
          <w:sz w:val="15"/>
        </w:rPr>
        <w:t xml:space="preserve"> </w:t>
      </w:r>
      <w:r>
        <w:rPr>
          <w:w w:val="105"/>
          <w:sz w:val="15"/>
        </w:rPr>
        <w:t>“La</w:t>
      </w:r>
      <w:r>
        <w:rPr>
          <w:spacing w:val="-4"/>
          <w:w w:val="105"/>
          <w:sz w:val="15"/>
        </w:rPr>
        <w:t xml:space="preserve"> </w:t>
      </w:r>
      <w:r>
        <w:rPr>
          <w:w w:val="105"/>
          <w:sz w:val="15"/>
        </w:rPr>
        <w:t>discriminación</w:t>
      </w:r>
      <w:r>
        <w:rPr>
          <w:spacing w:val="-4"/>
          <w:w w:val="105"/>
          <w:sz w:val="15"/>
        </w:rPr>
        <w:t xml:space="preserve"> </w:t>
      </w:r>
      <w:r>
        <w:rPr>
          <w:w w:val="105"/>
          <w:sz w:val="15"/>
        </w:rPr>
        <w:t>y</w:t>
      </w:r>
      <w:r>
        <w:rPr>
          <w:spacing w:val="-4"/>
          <w:w w:val="105"/>
          <w:sz w:val="15"/>
        </w:rPr>
        <w:t xml:space="preserve"> </w:t>
      </w:r>
      <w:r>
        <w:rPr>
          <w:w w:val="105"/>
          <w:sz w:val="15"/>
        </w:rPr>
        <w:t>los</w:t>
      </w:r>
      <w:r>
        <w:rPr>
          <w:spacing w:val="-4"/>
          <w:w w:val="105"/>
          <w:sz w:val="15"/>
        </w:rPr>
        <w:t xml:space="preserve"> </w:t>
      </w:r>
      <w:r>
        <w:rPr>
          <w:w w:val="105"/>
          <w:sz w:val="15"/>
        </w:rPr>
        <w:t>obstáculos</w:t>
      </w:r>
      <w:r>
        <w:rPr>
          <w:spacing w:val="-4"/>
          <w:w w:val="105"/>
          <w:sz w:val="15"/>
        </w:rPr>
        <w:t xml:space="preserve"> </w:t>
      </w:r>
      <w:r>
        <w:rPr>
          <w:w w:val="105"/>
          <w:sz w:val="15"/>
        </w:rPr>
        <w:t>estructurales</w:t>
      </w:r>
      <w:r>
        <w:rPr>
          <w:spacing w:val="-5"/>
          <w:w w:val="105"/>
          <w:sz w:val="15"/>
        </w:rPr>
        <w:t xml:space="preserve"> </w:t>
      </w:r>
      <w:r>
        <w:rPr>
          <w:w w:val="105"/>
          <w:sz w:val="15"/>
        </w:rPr>
        <w:t>que</w:t>
      </w:r>
      <w:r>
        <w:rPr>
          <w:spacing w:val="-4"/>
          <w:w w:val="105"/>
          <w:sz w:val="15"/>
        </w:rPr>
        <w:t xml:space="preserve"> </w:t>
      </w:r>
      <w:r>
        <w:rPr>
          <w:w w:val="105"/>
          <w:sz w:val="15"/>
        </w:rPr>
        <w:t>el</w:t>
      </w:r>
      <w:r>
        <w:rPr>
          <w:spacing w:val="-4"/>
          <w:w w:val="105"/>
          <w:sz w:val="15"/>
        </w:rPr>
        <w:t xml:space="preserve"> </w:t>
      </w:r>
      <w:r>
        <w:rPr>
          <w:w w:val="105"/>
          <w:sz w:val="15"/>
        </w:rPr>
        <w:t>antigitanismo</w:t>
      </w:r>
      <w:r>
        <w:rPr>
          <w:spacing w:val="-4"/>
          <w:w w:val="105"/>
          <w:sz w:val="15"/>
        </w:rPr>
        <w:t xml:space="preserve"> </w:t>
      </w:r>
      <w:r>
        <w:rPr>
          <w:w w:val="105"/>
          <w:sz w:val="15"/>
        </w:rPr>
        <w:t>representa</w:t>
      </w:r>
      <w:r>
        <w:rPr>
          <w:spacing w:val="-4"/>
          <w:w w:val="105"/>
          <w:sz w:val="15"/>
        </w:rPr>
        <w:t xml:space="preserve"> </w:t>
      </w:r>
      <w:r>
        <w:rPr>
          <w:w w:val="105"/>
          <w:sz w:val="15"/>
        </w:rPr>
        <w:t>en</w:t>
      </w:r>
      <w:r>
        <w:rPr>
          <w:spacing w:val="-4"/>
          <w:w w:val="105"/>
          <w:sz w:val="15"/>
        </w:rPr>
        <w:t xml:space="preserve"> </w:t>
      </w:r>
      <w:r>
        <w:rPr>
          <w:w w:val="105"/>
          <w:sz w:val="15"/>
        </w:rPr>
        <w:t>un</w:t>
      </w:r>
      <w:r>
        <w:rPr>
          <w:spacing w:val="-4"/>
          <w:w w:val="105"/>
          <w:sz w:val="15"/>
        </w:rPr>
        <w:t xml:space="preserve"> </w:t>
      </w:r>
      <w:r>
        <w:rPr>
          <w:w w:val="105"/>
          <w:sz w:val="15"/>
        </w:rPr>
        <w:t>área</w:t>
      </w:r>
      <w:r>
        <w:rPr>
          <w:spacing w:val="-4"/>
          <w:w w:val="105"/>
          <w:sz w:val="15"/>
        </w:rPr>
        <w:t xml:space="preserve"> </w:t>
      </w:r>
      <w:r>
        <w:rPr>
          <w:w w:val="105"/>
          <w:sz w:val="15"/>
        </w:rPr>
        <w:t>de</w:t>
      </w:r>
      <w:r>
        <w:rPr>
          <w:spacing w:val="-4"/>
          <w:w w:val="105"/>
          <w:sz w:val="15"/>
        </w:rPr>
        <w:t xml:space="preserve"> </w:t>
      </w:r>
      <w:r>
        <w:rPr>
          <w:w w:val="105"/>
          <w:sz w:val="15"/>
        </w:rPr>
        <w:t>la</w:t>
      </w:r>
    </w:p>
    <w:p w14:paraId="5F1855FA" w14:textId="77777777" w:rsidR="0014798C" w:rsidRDefault="004E1F0B">
      <w:pPr>
        <w:spacing w:line="348" w:lineRule="auto"/>
        <w:ind w:left="1333" w:right="1463" w:firstLine="5"/>
        <w:rPr>
          <w:sz w:val="15"/>
        </w:rPr>
      </w:pPr>
      <w:r>
        <w:rPr>
          <w:w w:val="105"/>
          <w:sz w:val="15"/>
        </w:rPr>
        <w:t>sociedad</w:t>
      </w:r>
      <w:r>
        <w:rPr>
          <w:spacing w:val="-9"/>
          <w:w w:val="105"/>
          <w:sz w:val="15"/>
        </w:rPr>
        <w:t xml:space="preserve"> </w:t>
      </w:r>
      <w:r>
        <w:rPr>
          <w:w w:val="105"/>
          <w:sz w:val="15"/>
        </w:rPr>
        <w:t>tienen</w:t>
      </w:r>
      <w:r>
        <w:rPr>
          <w:spacing w:val="-9"/>
          <w:w w:val="105"/>
          <w:sz w:val="15"/>
        </w:rPr>
        <w:t xml:space="preserve"> </w:t>
      </w:r>
      <w:r>
        <w:rPr>
          <w:w w:val="105"/>
          <w:sz w:val="15"/>
        </w:rPr>
        <w:t>un</w:t>
      </w:r>
      <w:r>
        <w:rPr>
          <w:spacing w:val="-9"/>
          <w:w w:val="105"/>
          <w:sz w:val="15"/>
        </w:rPr>
        <w:t xml:space="preserve"> </w:t>
      </w:r>
      <w:r>
        <w:rPr>
          <w:w w:val="105"/>
          <w:sz w:val="15"/>
        </w:rPr>
        <w:t>impacto</w:t>
      </w:r>
      <w:r>
        <w:rPr>
          <w:spacing w:val="-9"/>
          <w:w w:val="105"/>
          <w:sz w:val="15"/>
        </w:rPr>
        <w:t xml:space="preserve"> </w:t>
      </w:r>
      <w:r>
        <w:rPr>
          <w:w w:val="105"/>
          <w:sz w:val="15"/>
        </w:rPr>
        <w:t>en</w:t>
      </w:r>
      <w:r>
        <w:rPr>
          <w:spacing w:val="-9"/>
          <w:w w:val="105"/>
          <w:sz w:val="15"/>
        </w:rPr>
        <w:t xml:space="preserve"> </w:t>
      </w:r>
      <w:r>
        <w:rPr>
          <w:w w:val="105"/>
          <w:sz w:val="15"/>
        </w:rPr>
        <w:t>los</w:t>
      </w:r>
      <w:r>
        <w:rPr>
          <w:spacing w:val="-9"/>
          <w:w w:val="105"/>
          <w:sz w:val="15"/>
        </w:rPr>
        <w:t xml:space="preserve"> </w:t>
      </w:r>
      <w:r>
        <w:rPr>
          <w:w w:val="105"/>
          <w:sz w:val="15"/>
        </w:rPr>
        <w:t>derechos</w:t>
      </w:r>
      <w:r>
        <w:rPr>
          <w:spacing w:val="-9"/>
          <w:w w:val="105"/>
          <w:sz w:val="15"/>
        </w:rPr>
        <w:t xml:space="preserve"> </w:t>
      </w:r>
      <w:r>
        <w:rPr>
          <w:w w:val="105"/>
          <w:sz w:val="15"/>
        </w:rPr>
        <w:t>en</w:t>
      </w:r>
      <w:r>
        <w:rPr>
          <w:spacing w:val="-9"/>
          <w:w w:val="105"/>
          <w:sz w:val="15"/>
        </w:rPr>
        <w:t xml:space="preserve"> </w:t>
      </w:r>
      <w:r>
        <w:rPr>
          <w:w w:val="105"/>
          <w:sz w:val="15"/>
        </w:rPr>
        <w:t>otras</w:t>
      </w:r>
      <w:r>
        <w:rPr>
          <w:spacing w:val="-9"/>
          <w:w w:val="105"/>
          <w:sz w:val="15"/>
        </w:rPr>
        <w:t xml:space="preserve"> </w:t>
      </w:r>
      <w:r>
        <w:rPr>
          <w:w w:val="105"/>
          <w:sz w:val="15"/>
        </w:rPr>
        <w:t>áreas</w:t>
      </w:r>
      <w:r>
        <w:rPr>
          <w:spacing w:val="-9"/>
          <w:w w:val="105"/>
          <w:sz w:val="15"/>
        </w:rPr>
        <w:t xml:space="preserve"> </w:t>
      </w:r>
      <w:r>
        <w:rPr>
          <w:w w:val="105"/>
          <w:sz w:val="15"/>
        </w:rPr>
        <w:t>y,</w:t>
      </w:r>
      <w:r>
        <w:rPr>
          <w:spacing w:val="-9"/>
          <w:w w:val="105"/>
          <w:sz w:val="15"/>
        </w:rPr>
        <w:t xml:space="preserve"> </w:t>
      </w:r>
      <w:r>
        <w:rPr>
          <w:w w:val="105"/>
          <w:sz w:val="15"/>
        </w:rPr>
        <w:t>por</w:t>
      </w:r>
      <w:r>
        <w:rPr>
          <w:spacing w:val="-9"/>
          <w:w w:val="105"/>
          <w:sz w:val="15"/>
        </w:rPr>
        <w:t xml:space="preserve"> </w:t>
      </w:r>
      <w:r>
        <w:rPr>
          <w:w w:val="105"/>
          <w:sz w:val="15"/>
        </w:rPr>
        <w:t>lo</w:t>
      </w:r>
      <w:r>
        <w:rPr>
          <w:spacing w:val="-9"/>
          <w:w w:val="105"/>
          <w:sz w:val="15"/>
        </w:rPr>
        <w:t xml:space="preserve"> </w:t>
      </w:r>
      <w:r>
        <w:rPr>
          <w:w w:val="105"/>
          <w:sz w:val="15"/>
        </w:rPr>
        <w:t>tanto,</w:t>
      </w:r>
      <w:r>
        <w:rPr>
          <w:spacing w:val="-9"/>
          <w:w w:val="105"/>
          <w:sz w:val="15"/>
        </w:rPr>
        <w:t xml:space="preserve"> </w:t>
      </w:r>
      <w:r>
        <w:rPr>
          <w:w w:val="105"/>
          <w:sz w:val="15"/>
        </w:rPr>
        <w:t>tienen</w:t>
      </w:r>
      <w:r>
        <w:rPr>
          <w:spacing w:val="-9"/>
          <w:w w:val="105"/>
          <w:sz w:val="15"/>
        </w:rPr>
        <w:t xml:space="preserve"> </w:t>
      </w:r>
      <w:r>
        <w:rPr>
          <w:w w:val="105"/>
          <w:sz w:val="15"/>
        </w:rPr>
        <w:t>consecuencias</w:t>
      </w:r>
      <w:r>
        <w:rPr>
          <w:spacing w:val="-9"/>
          <w:w w:val="105"/>
          <w:sz w:val="15"/>
        </w:rPr>
        <w:t xml:space="preserve"> </w:t>
      </w:r>
      <w:r>
        <w:rPr>
          <w:w w:val="105"/>
          <w:sz w:val="15"/>
        </w:rPr>
        <w:t>para</w:t>
      </w:r>
      <w:r>
        <w:rPr>
          <w:spacing w:val="-9"/>
          <w:w w:val="105"/>
          <w:sz w:val="15"/>
        </w:rPr>
        <w:t xml:space="preserve"> </w:t>
      </w:r>
      <w:r>
        <w:rPr>
          <w:w w:val="105"/>
          <w:sz w:val="15"/>
        </w:rPr>
        <w:t>la</w:t>
      </w:r>
      <w:r>
        <w:rPr>
          <w:spacing w:val="-9"/>
          <w:w w:val="105"/>
          <w:sz w:val="15"/>
        </w:rPr>
        <w:t xml:space="preserve"> </w:t>
      </w:r>
      <w:r>
        <w:rPr>
          <w:w w:val="105"/>
          <w:sz w:val="15"/>
        </w:rPr>
        <w:t>sociedad</w:t>
      </w:r>
      <w:r>
        <w:rPr>
          <w:spacing w:val="-9"/>
          <w:w w:val="105"/>
          <w:sz w:val="15"/>
        </w:rPr>
        <w:t xml:space="preserve"> </w:t>
      </w:r>
      <w:r>
        <w:rPr>
          <w:w w:val="105"/>
          <w:sz w:val="15"/>
        </w:rPr>
        <w:t>en</w:t>
      </w:r>
      <w:r>
        <w:rPr>
          <w:spacing w:val="-9"/>
          <w:w w:val="105"/>
          <w:sz w:val="15"/>
        </w:rPr>
        <w:t xml:space="preserve"> </w:t>
      </w:r>
      <w:r>
        <w:rPr>
          <w:w w:val="105"/>
          <w:sz w:val="15"/>
        </w:rPr>
        <w:t>su</w:t>
      </w:r>
      <w:r>
        <w:rPr>
          <w:spacing w:val="-9"/>
          <w:w w:val="105"/>
          <w:sz w:val="15"/>
        </w:rPr>
        <w:t xml:space="preserve"> </w:t>
      </w:r>
      <w:r>
        <w:rPr>
          <w:w w:val="105"/>
          <w:sz w:val="15"/>
        </w:rPr>
        <w:t>conjunto. La</w:t>
      </w:r>
      <w:r>
        <w:rPr>
          <w:spacing w:val="-4"/>
          <w:w w:val="105"/>
          <w:sz w:val="15"/>
        </w:rPr>
        <w:t xml:space="preserve"> </w:t>
      </w:r>
      <w:r>
        <w:rPr>
          <w:w w:val="105"/>
          <w:sz w:val="15"/>
        </w:rPr>
        <w:t>discriminación</w:t>
      </w:r>
      <w:r>
        <w:rPr>
          <w:spacing w:val="-4"/>
          <w:w w:val="105"/>
          <w:sz w:val="15"/>
        </w:rPr>
        <w:t xml:space="preserve"> </w:t>
      </w:r>
      <w:r>
        <w:rPr>
          <w:w w:val="105"/>
          <w:sz w:val="15"/>
        </w:rPr>
        <w:t>de</w:t>
      </w:r>
      <w:r>
        <w:rPr>
          <w:spacing w:val="-4"/>
          <w:w w:val="105"/>
          <w:sz w:val="15"/>
        </w:rPr>
        <w:t xml:space="preserve"> </w:t>
      </w:r>
      <w:r>
        <w:rPr>
          <w:w w:val="105"/>
          <w:sz w:val="15"/>
        </w:rPr>
        <w:t>los</w:t>
      </w:r>
      <w:r>
        <w:rPr>
          <w:spacing w:val="-4"/>
          <w:w w:val="105"/>
          <w:sz w:val="15"/>
        </w:rPr>
        <w:t xml:space="preserve"> </w:t>
      </w:r>
      <w:r>
        <w:rPr>
          <w:w w:val="105"/>
          <w:sz w:val="15"/>
        </w:rPr>
        <w:t>romaníes</w:t>
      </w:r>
      <w:r>
        <w:rPr>
          <w:spacing w:val="-4"/>
          <w:w w:val="105"/>
          <w:sz w:val="15"/>
        </w:rPr>
        <w:t xml:space="preserve"> </w:t>
      </w:r>
      <w:r>
        <w:rPr>
          <w:w w:val="105"/>
          <w:sz w:val="15"/>
        </w:rPr>
        <w:t>en</w:t>
      </w:r>
      <w:r>
        <w:rPr>
          <w:spacing w:val="-4"/>
          <w:w w:val="105"/>
          <w:sz w:val="15"/>
        </w:rPr>
        <w:t xml:space="preserve"> </w:t>
      </w:r>
      <w:r>
        <w:rPr>
          <w:w w:val="105"/>
          <w:sz w:val="15"/>
        </w:rPr>
        <w:t>el</w:t>
      </w:r>
      <w:r>
        <w:rPr>
          <w:spacing w:val="-4"/>
          <w:w w:val="105"/>
          <w:sz w:val="15"/>
        </w:rPr>
        <w:t xml:space="preserve"> </w:t>
      </w:r>
      <w:r>
        <w:rPr>
          <w:w w:val="105"/>
          <w:sz w:val="15"/>
        </w:rPr>
        <w:t>mercado</w:t>
      </w:r>
      <w:r>
        <w:rPr>
          <w:spacing w:val="-4"/>
          <w:w w:val="105"/>
          <w:sz w:val="15"/>
        </w:rPr>
        <w:t xml:space="preserve"> </w:t>
      </w:r>
      <w:r>
        <w:rPr>
          <w:w w:val="105"/>
          <w:sz w:val="15"/>
        </w:rPr>
        <w:t>inmobiliario</w:t>
      </w:r>
      <w:r>
        <w:rPr>
          <w:spacing w:val="-4"/>
          <w:w w:val="105"/>
          <w:sz w:val="15"/>
        </w:rPr>
        <w:t xml:space="preserve"> </w:t>
      </w:r>
      <w:r>
        <w:rPr>
          <w:w w:val="105"/>
          <w:sz w:val="15"/>
        </w:rPr>
        <w:t>está</w:t>
      </w:r>
      <w:r>
        <w:rPr>
          <w:spacing w:val="-4"/>
          <w:w w:val="105"/>
          <w:sz w:val="15"/>
        </w:rPr>
        <w:t xml:space="preserve"> </w:t>
      </w:r>
      <w:r>
        <w:rPr>
          <w:w w:val="105"/>
          <w:sz w:val="15"/>
        </w:rPr>
        <w:t>afectando</w:t>
      </w:r>
      <w:r>
        <w:rPr>
          <w:spacing w:val="-4"/>
          <w:w w:val="105"/>
          <w:sz w:val="15"/>
        </w:rPr>
        <w:t xml:space="preserve"> </w:t>
      </w:r>
      <w:r>
        <w:rPr>
          <w:w w:val="105"/>
          <w:sz w:val="15"/>
        </w:rPr>
        <w:t>a</w:t>
      </w:r>
      <w:r>
        <w:rPr>
          <w:spacing w:val="-4"/>
          <w:w w:val="105"/>
          <w:sz w:val="15"/>
        </w:rPr>
        <w:t xml:space="preserve"> </w:t>
      </w:r>
      <w:r>
        <w:rPr>
          <w:w w:val="105"/>
          <w:sz w:val="15"/>
        </w:rPr>
        <w:t>las</w:t>
      </w:r>
      <w:r>
        <w:rPr>
          <w:spacing w:val="-4"/>
          <w:w w:val="105"/>
          <w:sz w:val="15"/>
        </w:rPr>
        <w:t xml:space="preserve"> </w:t>
      </w:r>
      <w:r>
        <w:rPr>
          <w:w w:val="105"/>
          <w:sz w:val="15"/>
        </w:rPr>
        <w:t>posibilidades</w:t>
      </w:r>
      <w:r>
        <w:rPr>
          <w:spacing w:val="-4"/>
          <w:w w:val="105"/>
          <w:sz w:val="15"/>
        </w:rPr>
        <w:t xml:space="preserve"> </w:t>
      </w:r>
      <w:r>
        <w:rPr>
          <w:w w:val="105"/>
          <w:sz w:val="15"/>
        </w:rPr>
        <w:t>de</w:t>
      </w:r>
      <w:r>
        <w:rPr>
          <w:spacing w:val="-4"/>
          <w:w w:val="105"/>
          <w:sz w:val="15"/>
        </w:rPr>
        <w:t xml:space="preserve"> </w:t>
      </w:r>
      <w:r>
        <w:rPr>
          <w:w w:val="105"/>
          <w:sz w:val="15"/>
        </w:rPr>
        <w:t>los</w:t>
      </w:r>
      <w:r>
        <w:rPr>
          <w:spacing w:val="-4"/>
          <w:w w:val="105"/>
          <w:sz w:val="15"/>
        </w:rPr>
        <w:t xml:space="preserve"> </w:t>
      </w:r>
      <w:r>
        <w:rPr>
          <w:w w:val="105"/>
          <w:sz w:val="15"/>
        </w:rPr>
        <w:t>niños</w:t>
      </w:r>
      <w:r>
        <w:rPr>
          <w:spacing w:val="-4"/>
          <w:w w:val="105"/>
          <w:sz w:val="15"/>
        </w:rPr>
        <w:t xml:space="preserve"> </w:t>
      </w:r>
      <w:r>
        <w:rPr>
          <w:w w:val="105"/>
          <w:sz w:val="15"/>
        </w:rPr>
        <w:t>romaníes</w:t>
      </w:r>
      <w:r>
        <w:rPr>
          <w:spacing w:val="-4"/>
          <w:w w:val="105"/>
          <w:sz w:val="15"/>
        </w:rPr>
        <w:t xml:space="preserve"> </w:t>
      </w:r>
      <w:r>
        <w:rPr>
          <w:w w:val="105"/>
          <w:sz w:val="15"/>
        </w:rPr>
        <w:t>de</w:t>
      </w:r>
      <w:r>
        <w:rPr>
          <w:spacing w:val="-4"/>
          <w:w w:val="105"/>
          <w:sz w:val="15"/>
        </w:rPr>
        <w:t xml:space="preserve"> </w:t>
      </w:r>
      <w:r>
        <w:rPr>
          <w:w w:val="105"/>
          <w:sz w:val="15"/>
        </w:rPr>
        <w:t>asistir ininterrumpidamente</w:t>
      </w:r>
      <w:r>
        <w:rPr>
          <w:spacing w:val="-5"/>
          <w:w w:val="105"/>
          <w:sz w:val="15"/>
        </w:rPr>
        <w:t xml:space="preserve"> </w:t>
      </w:r>
      <w:r>
        <w:rPr>
          <w:w w:val="105"/>
          <w:sz w:val="15"/>
        </w:rPr>
        <w:t>a</w:t>
      </w:r>
      <w:r>
        <w:rPr>
          <w:spacing w:val="-5"/>
          <w:w w:val="105"/>
          <w:sz w:val="15"/>
        </w:rPr>
        <w:t xml:space="preserve"> </w:t>
      </w:r>
      <w:r>
        <w:rPr>
          <w:w w:val="105"/>
          <w:sz w:val="15"/>
        </w:rPr>
        <w:t>la</w:t>
      </w:r>
      <w:r>
        <w:rPr>
          <w:spacing w:val="-5"/>
          <w:w w:val="105"/>
          <w:sz w:val="15"/>
        </w:rPr>
        <w:t xml:space="preserve"> </w:t>
      </w:r>
      <w:r>
        <w:rPr>
          <w:w w:val="105"/>
          <w:sz w:val="15"/>
        </w:rPr>
        <w:t>escuela,</w:t>
      </w:r>
      <w:r>
        <w:rPr>
          <w:spacing w:val="-5"/>
          <w:w w:val="105"/>
          <w:sz w:val="15"/>
        </w:rPr>
        <w:t xml:space="preserve"> </w:t>
      </w:r>
      <w:r>
        <w:rPr>
          <w:w w:val="105"/>
          <w:sz w:val="15"/>
        </w:rPr>
        <w:t>lo</w:t>
      </w:r>
      <w:r>
        <w:rPr>
          <w:spacing w:val="-5"/>
          <w:w w:val="105"/>
          <w:sz w:val="15"/>
        </w:rPr>
        <w:t xml:space="preserve"> </w:t>
      </w:r>
      <w:r>
        <w:rPr>
          <w:w w:val="105"/>
          <w:sz w:val="15"/>
        </w:rPr>
        <w:t>que</w:t>
      </w:r>
      <w:r>
        <w:rPr>
          <w:spacing w:val="-5"/>
          <w:w w:val="105"/>
          <w:sz w:val="15"/>
        </w:rPr>
        <w:t xml:space="preserve"> </w:t>
      </w:r>
      <w:r>
        <w:rPr>
          <w:w w:val="105"/>
          <w:sz w:val="15"/>
        </w:rPr>
        <w:t>también</w:t>
      </w:r>
      <w:r>
        <w:rPr>
          <w:spacing w:val="-5"/>
          <w:w w:val="105"/>
          <w:sz w:val="15"/>
        </w:rPr>
        <w:t xml:space="preserve"> </w:t>
      </w:r>
      <w:r>
        <w:rPr>
          <w:w w:val="105"/>
          <w:sz w:val="15"/>
        </w:rPr>
        <w:t>afecta</w:t>
      </w:r>
      <w:r>
        <w:rPr>
          <w:spacing w:val="-5"/>
          <w:w w:val="105"/>
          <w:sz w:val="15"/>
        </w:rPr>
        <w:t xml:space="preserve"> </w:t>
      </w:r>
      <w:r>
        <w:rPr>
          <w:w w:val="105"/>
          <w:sz w:val="15"/>
        </w:rPr>
        <w:t>a</w:t>
      </w:r>
      <w:r>
        <w:rPr>
          <w:spacing w:val="-5"/>
          <w:w w:val="105"/>
          <w:sz w:val="15"/>
        </w:rPr>
        <w:t xml:space="preserve"> </w:t>
      </w:r>
      <w:r>
        <w:rPr>
          <w:w w:val="105"/>
          <w:sz w:val="15"/>
        </w:rPr>
        <w:t>sus</w:t>
      </w:r>
      <w:r>
        <w:rPr>
          <w:spacing w:val="-5"/>
          <w:w w:val="105"/>
          <w:sz w:val="15"/>
        </w:rPr>
        <w:t xml:space="preserve"> </w:t>
      </w:r>
      <w:r>
        <w:rPr>
          <w:w w:val="105"/>
          <w:sz w:val="15"/>
        </w:rPr>
        <w:t>posibilidades</w:t>
      </w:r>
      <w:r>
        <w:rPr>
          <w:spacing w:val="-5"/>
          <w:w w:val="105"/>
          <w:sz w:val="15"/>
        </w:rPr>
        <w:t xml:space="preserve"> </w:t>
      </w:r>
      <w:r>
        <w:rPr>
          <w:w w:val="105"/>
          <w:sz w:val="15"/>
        </w:rPr>
        <w:t>de</w:t>
      </w:r>
      <w:r>
        <w:rPr>
          <w:spacing w:val="-5"/>
          <w:w w:val="105"/>
          <w:sz w:val="15"/>
        </w:rPr>
        <w:t xml:space="preserve"> </w:t>
      </w:r>
      <w:r>
        <w:rPr>
          <w:w w:val="105"/>
          <w:sz w:val="15"/>
        </w:rPr>
        <w:t>recibir</w:t>
      </w:r>
      <w:r>
        <w:rPr>
          <w:spacing w:val="-5"/>
          <w:w w:val="105"/>
          <w:sz w:val="15"/>
        </w:rPr>
        <w:t xml:space="preserve"> </w:t>
      </w:r>
      <w:r>
        <w:rPr>
          <w:w w:val="105"/>
          <w:sz w:val="15"/>
        </w:rPr>
        <w:t>educación</w:t>
      </w:r>
      <w:r>
        <w:rPr>
          <w:spacing w:val="-5"/>
          <w:w w:val="105"/>
          <w:sz w:val="15"/>
        </w:rPr>
        <w:t xml:space="preserve"> </w:t>
      </w:r>
      <w:r>
        <w:rPr>
          <w:w w:val="105"/>
          <w:sz w:val="15"/>
        </w:rPr>
        <w:t>en</w:t>
      </w:r>
      <w:r>
        <w:rPr>
          <w:spacing w:val="-5"/>
          <w:w w:val="105"/>
          <w:sz w:val="15"/>
        </w:rPr>
        <w:t xml:space="preserve"> </w:t>
      </w:r>
      <w:r>
        <w:rPr>
          <w:w w:val="105"/>
          <w:sz w:val="15"/>
        </w:rPr>
        <w:t>igualdad</w:t>
      </w:r>
      <w:r>
        <w:rPr>
          <w:spacing w:val="-5"/>
          <w:w w:val="105"/>
          <w:sz w:val="15"/>
        </w:rPr>
        <w:t xml:space="preserve"> </w:t>
      </w:r>
      <w:r>
        <w:rPr>
          <w:w w:val="105"/>
          <w:sz w:val="15"/>
        </w:rPr>
        <w:t>de</w:t>
      </w:r>
      <w:r>
        <w:rPr>
          <w:spacing w:val="-5"/>
          <w:w w:val="105"/>
          <w:sz w:val="15"/>
        </w:rPr>
        <w:t xml:space="preserve"> </w:t>
      </w:r>
      <w:r>
        <w:rPr>
          <w:w w:val="105"/>
          <w:sz w:val="15"/>
        </w:rPr>
        <w:t>condiciones.</w:t>
      </w:r>
    </w:p>
    <w:p w14:paraId="43A741FE" w14:textId="77777777" w:rsidR="0014798C" w:rsidRDefault="004E1F0B">
      <w:pPr>
        <w:spacing w:line="171" w:lineRule="exact"/>
        <w:ind w:left="1334"/>
        <w:rPr>
          <w:sz w:val="15"/>
        </w:rPr>
      </w:pPr>
      <w:r>
        <w:rPr>
          <w:w w:val="105"/>
          <w:sz w:val="15"/>
        </w:rPr>
        <w:t>Esto,</w:t>
      </w:r>
      <w:r>
        <w:rPr>
          <w:spacing w:val="-11"/>
          <w:w w:val="105"/>
          <w:sz w:val="15"/>
        </w:rPr>
        <w:t xml:space="preserve"> </w:t>
      </w:r>
      <w:r>
        <w:rPr>
          <w:w w:val="105"/>
          <w:sz w:val="15"/>
        </w:rPr>
        <w:t>a</w:t>
      </w:r>
      <w:r>
        <w:rPr>
          <w:spacing w:val="-11"/>
          <w:w w:val="105"/>
          <w:sz w:val="15"/>
        </w:rPr>
        <w:t xml:space="preserve"> </w:t>
      </w:r>
      <w:r>
        <w:rPr>
          <w:w w:val="105"/>
          <w:sz w:val="15"/>
        </w:rPr>
        <w:t>su</w:t>
      </w:r>
      <w:r>
        <w:rPr>
          <w:spacing w:val="-11"/>
          <w:w w:val="105"/>
          <w:sz w:val="15"/>
        </w:rPr>
        <w:t xml:space="preserve"> </w:t>
      </w:r>
      <w:r>
        <w:rPr>
          <w:w w:val="105"/>
          <w:sz w:val="15"/>
        </w:rPr>
        <w:t>vez,</w:t>
      </w:r>
      <w:r>
        <w:rPr>
          <w:spacing w:val="-11"/>
          <w:w w:val="105"/>
          <w:sz w:val="15"/>
        </w:rPr>
        <w:t xml:space="preserve"> </w:t>
      </w:r>
      <w:r>
        <w:rPr>
          <w:w w:val="105"/>
          <w:sz w:val="15"/>
        </w:rPr>
        <w:t>afecta</w:t>
      </w:r>
      <w:r>
        <w:rPr>
          <w:spacing w:val="-11"/>
          <w:w w:val="105"/>
          <w:sz w:val="15"/>
        </w:rPr>
        <w:t xml:space="preserve"> </w:t>
      </w:r>
      <w:r>
        <w:rPr>
          <w:w w:val="105"/>
          <w:sz w:val="15"/>
        </w:rPr>
        <w:t>sus</w:t>
      </w:r>
      <w:r>
        <w:rPr>
          <w:spacing w:val="-11"/>
          <w:w w:val="105"/>
          <w:sz w:val="15"/>
        </w:rPr>
        <w:t xml:space="preserve"> </w:t>
      </w:r>
      <w:r>
        <w:rPr>
          <w:w w:val="105"/>
          <w:sz w:val="15"/>
        </w:rPr>
        <w:t>posibilidades</w:t>
      </w:r>
      <w:r>
        <w:rPr>
          <w:spacing w:val="-11"/>
          <w:w w:val="105"/>
          <w:sz w:val="15"/>
        </w:rPr>
        <w:t xml:space="preserve"> </w:t>
      </w:r>
      <w:r>
        <w:rPr>
          <w:w w:val="105"/>
          <w:sz w:val="15"/>
        </w:rPr>
        <w:t>de</w:t>
      </w:r>
      <w:r>
        <w:rPr>
          <w:spacing w:val="-11"/>
          <w:w w:val="105"/>
          <w:sz w:val="15"/>
        </w:rPr>
        <w:t xml:space="preserve"> </w:t>
      </w:r>
      <w:r>
        <w:rPr>
          <w:w w:val="105"/>
          <w:sz w:val="15"/>
        </w:rPr>
        <w:t>ingresar</w:t>
      </w:r>
      <w:r>
        <w:rPr>
          <w:spacing w:val="-11"/>
          <w:w w:val="105"/>
          <w:sz w:val="15"/>
        </w:rPr>
        <w:t xml:space="preserve"> </w:t>
      </w:r>
      <w:r>
        <w:rPr>
          <w:w w:val="105"/>
          <w:sz w:val="15"/>
        </w:rPr>
        <w:t>al</w:t>
      </w:r>
      <w:r>
        <w:rPr>
          <w:spacing w:val="-11"/>
          <w:w w:val="105"/>
          <w:sz w:val="15"/>
        </w:rPr>
        <w:t xml:space="preserve"> </w:t>
      </w:r>
      <w:r>
        <w:rPr>
          <w:w w:val="105"/>
          <w:sz w:val="15"/>
        </w:rPr>
        <w:t>mercado</w:t>
      </w:r>
      <w:r>
        <w:rPr>
          <w:spacing w:val="-11"/>
          <w:w w:val="105"/>
          <w:sz w:val="15"/>
        </w:rPr>
        <w:t xml:space="preserve"> </w:t>
      </w:r>
      <w:r>
        <w:rPr>
          <w:w w:val="105"/>
          <w:sz w:val="15"/>
        </w:rPr>
        <w:t>laboral”.757</w:t>
      </w:r>
      <w:r>
        <w:rPr>
          <w:spacing w:val="-10"/>
          <w:w w:val="105"/>
          <w:sz w:val="15"/>
        </w:rPr>
        <w:t xml:space="preserve"> </w:t>
      </w:r>
      <w:r>
        <w:rPr>
          <w:w w:val="105"/>
          <w:sz w:val="15"/>
        </w:rPr>
        <w:t>En</w:t>
      </w:r>
      <w:r>
        <w:rPr>
          <w:spacing w:val="-11"/>
          <w:w w:val="105"/>
          <w:sz w:val="15"/>
        </w:rPr>
        <w:t xml:space="preserve"> </w:t>
      </w:r>
      <w:r>
        <w:rPr>
          <w:w w:val="105"/>
          <w:sz w:val="15"/>
        </w:rPr>
        <w:t>2014,</w:t>
      </w:r>
      <w:r>
        <w:rPr>
          <w:spacing w:val="-11"/>
          <w:w w:val="105"/>
          <w:sz w:val="15"/>
        </w:rPr>
        <w:t xml:space="preserve"> </w:t>
      </w:r>
      <w:r>
        <w:rPr>
          <w:w w:val="105"/>
          <w:sz w:val="15"/>
        </w:rPr>
        <w:t>estos</w:t>
      </w:r>
      <w:r>
        <w:rPr>
          <w:spacing w:val="-11"/>
          <w:w w:val="105"/>
          <w:sz w:val="15"/>
        </w:rPr>
        <w:t xml:space="preserve"> </w:t>
      </w:r>
      <w:r>
        <w:rPr>
          <w:w w:val="105"/>
          <w:sz w:val="15"/>
        </w:rPr>
        <w:t>esfuerzos</w:t>
      </w:r>
      <w:r>
        <w:rPr>
          <w:spacing w:val="-11"/>
          <w:w w:val="105"/>
          <w:sz w:val="15"/>
        </w:rPr>
        <w:t xml:space="preserve"> </w:t>
      </w:r>
      <w:r>
        <w:rPr>
          <w:w w:val="105"/>
          <w:sz w:val="15"/>
        </w:rPr>
        <w:t>a</w:t>
      </w:r>
      <w:r>
        <w:rPr>
          <w:spacing w:val="-11"/>
          <w:w w:val="105"/>
          <w:sz w:val="15"/>
        </w:rPr>
        <w:t xml:space="preserve"> </w:t>
      </w:r>
      <w:r>
        <w:rPr>
          <w:w w:val="105"/>
          <w:sz w:val="15"/>
        </w:rPr>
        <w:t>largo</w:t>
      </w:r>
      <w:r>
        <w:rPr>
          <w:spacing w:val="-11"/>
          <w:w w:val="105"/>
          <w:sz w:val="15"/>
        </w:rPr>
        <w:t xml:space="preserve"> </w:t>
      </w:r>
      <w:r>
        <w:rPr>
          <w:w w:val="105"/>
          <w:sz w:val="15"/>
        </w:rPr>
        <w:t>plazo</w:t>
      </w:r>
      <w:r>
        <w:rPr>
          <w:spacing w:val="-11"/>
          <w:w w:val="105"/>
          <w:sz w:val="15"/>
        </w:rPr>
        <w:t xml:space="preserve"> </w:t>
      </w:r>
      <w:r>
        <w:rPr>
          <w:w w:val="105"/>
          <w:sz w:val="15"/>
        </w:rPr>
        <w:t>dieron</w:t>
      </w:r>
      <w:r>
        <w:rPr>
          <w:spacing w:val="-11"/>
          <w:w w:val="105"/>
          <w:sz w:val="15"/>
        </w:rPr>
        <w:t xml:space="preserve"> </w:t>
      </w:r>
      <w:r>
        <w:rPr>
          <w:spacing w:val="-2"/>
          <w:w w:val="105"/>
          <w:sz w:val="15"/>
        </w:rPr>
        <w:t>frutos</w:t>
      </w:r>
    </w:p>
    <w:p w14:paraId="029B95E1" w14:textId="77777777" w:rsidR="0014798C" w:rsidRDefault="004E1F0B">
      <w:pPr>
        <w:spacing w:before="74" w:line="288" w:lineRule="auto"/>
        <w:ind w:left="1337" w:right="1626" w:hanging="6"/>
        <w:rPr>
          <w:sz w:val="15"/>
        </w:rPr>
      </w:pPr>
      <w:r>
        <w:rPr>
          <w:w w:val="105"/>
          <w:sz w:val="15"/>
        </w:rPr>
        <w:t>con</w:t>
      </w:r>
      <w:r>
        <w:rPr>
          <w:spacing w:val="-11"/>
          <w:w w:val="105"/>
          <w:sz w:val="15"/>
        </w:rPr>
        <w:t xml:space="preserve"> </w:t>
      </w:r>
      <w:r>
        <w:rPr>
          <w:w w:val="105"/>
          <w:sz w:val="15"/>
        </w:rPr>
        <w:t>la</w:t>
      </w:r>
      <w:r>
        <w:rPr>
          <w:spacing w:val="-11"/>
          <w:w w:val="105"/>
          <w:sz w:val="15"/>
        </w:rPr>
        <w:t xml:space="preserve"> </w:t>
      </w:r>
      <w:r>
        <w:rPr>
          <w:w w:val="105"/>
          <w:sz w:val="15"/>
        </w:rPr>
        <w:t>publicación</w:t>
      </w:r>
      <w:r>
        <w:rPr>
          <w:spacing w:val="-11"/>
          <w:w w:val="105"/>
          <w:sz w:val="15"/>
        </w:rPr>
        <w:t xml:space="preserve"> </w:t>
      </w:r>
      <w:r>
        <w:rPr>
          <w:w w:val="105"/>
          <w:sz w:val="15"/>
        </w:rPr>
        <w:t>de</w:t>
      </w:r>
      <w:r>
        <w:rPr>
          <w:spacing w:val="-11"/>
          <w:w w:val="105"/>
          <w:sz w:val="15"/>
        </w:rPr>
        <w:t xml:space="preserve"> </w:t>
      </w:r>
      <w:r>
        <w:rPr>
          <w:w w:val="105"/>
          <w:sz w:val="15"/>
        </w:rPr>
        <w:t>un</w:t>
      </w:r>
      <w:r>
        <w:rPr>
          <w:spacing w:val="-11"/>
          <w:w w:val="105"/>
          <w:sz w:val="15"/>
        </w:rPr>
        <w:t xml:space="preserve"> </w:t>
      </w:r>
      <w:r>
        <w:rPr>
          <w:w w:val="105"/>
          <w:sz w:val="15"/>
        </w:rPr>
        <w:t>importante</w:t>
      </w:r>
      <w:r>
        <w:rPr>
          <w:spacing w:val="-11"/>
          <w:w w:val="105"/>
          <w:sz w:val="15"/>
        </w:rPr>
        <w:t xml:space="preserve"> </w:t>
      </w:r>
      <w:r>
        <w:rPr>
          <w:w w:val="105"/>
          <w:sz w:val="15"/>
        </w:rPr>
        <w:t>estudio</w:t>
      </w:r>
      <w:r>
        <w:rPr>
          <w:spacing w:val="-11"/>
          <w:w w:val="105"/>
          <w:sz w:val="15"/>
        </w:rPr>
        <w:t xml:space="preserve"> </w:t>
      </w:r>
      <w:r>
        <w:rPr>
          <w:w w:val="105"/>
          <w:sz w:val="15"/>
        </w:rPr>
        <w:t>gubernamental,</w:t>
      </w:r>
      <w:r>
        <w:rPr>
          <w:spacing w:val="-10"/>
          <w:w w:val="105"/>
          <w:sz w:val="15"/>
        </w:rPr>
        <w:t xml:space="preserve"> </w:t>
      </w:r>
      <w:r>
        <w:rPr>
          <w:w w:val="105"/>
          <w:sz w:val="15"/>
        </w:rPr>
        <w:t>que</w:t>
      </w:r>
      <w:r>
        <w:rPr>
          <w:spacing w:val="-11"/>
          <w:w w:val="105"/>
          <w:sz w:val="15"/>
        </w:rPr>
        <w:t xml:space="preserve"> </w:t>
      </w:r>
      <w:r>
        <w:rPr>
          <w:w w:val="105"/>
          <w:sz w:val="15"/>
        </w:rPr>
        <w:t>reconocía</w:t>
      </w:r>
      <w:r>
        <w:rPr>
          <w:spacing w:val="-11"/>
          <w:w w:val="105"/>
          <w:sz w:val="15"/>
        </w:rPr>
        <w:t xml:space="preserve"> </w:t>
      </w:r>
      <w:r>
        <w:rPr>
          <w:w w:val="105"/>
          <w:sz w:val="15"/>
        </w:rPr>
        <w:t>una</w:t>
      </w:r>
      <w:r>
        <w:rPr>
          <w:spacing w:val="-11"/>
          <w:w w:val="105"/>
          <w:sz w:val="15"/>
        </w:rPr>
        <w:t xml:space="preserve"> </w:t>
      </w:r>
      <w:r>
        <w:rPr>
          <w:w w:val="105"/>
          <w:sz w:val="15"/>
        </w:rPr>
        <w:t>exclusión</w:t>
      </w:r>
      <w:r>
        <w:rPr>
          <w:spacing w:val="-11"/>
          <w:w w:val="105"/>
          <w:sz w:val="15"/>
        </w:rPr>
        <w:t xml:space="preserve"> </w:t>
      </w:r>
      <w:r>
        <w:rPr>
          <w:w w:val="105"/>
          <w:sz w:val="15"/>
        </w:rPr>
        <w:t>y</w:t>
      </w:r>
      <w:r>
        <w:rPr>
          <w:spacing w:val="-11"/>
          <w:w w:val="105"/>
          <w:sz w:val="15"/>
        </w:rPr>
        <w:t xml:space="preserve"> </w:t>
      </w:r>
      <w:r>
        <w:rPr>
          <w:w w:val="105"/>
          <w:sz w:val="15"/>
        </w:rPr>
        <w:t>discriminación</w:t>
      </w:r>
      <w:r>
        <w:rPr>
          <w:spacing w:val="-10"/>
          <w:w w:val="105"/>
          <w:sz w:val="15"/>
        </w:rPr>
        <w:t xml:space="preserve"> </w:t>
      </w:r>
      <w:r>
        <w:rPr>
          <w:w w:val="105"/>
          <w:sz w:val="15"/>
        </w:rPr>
        <w:t>profunda</w:t>
      </w:r>
      <w:r>
        <w:rPr>
          <w:spacing w:val="-11"/>
          <w:w w:val="105"/>
          <w:sz w:val="15"/>
        </w:rPr>
        <w:t xml:space="preserve"> </w:t>
      </w:r>
      <w:r>
        <w:rPr>
          <w:w w:val="105"/>
          <w:sz w:val="15"/>
        </w:rPr>
        <w:t>y</w:t>
      </w:r>
      <w:r>
        <w:rPr>
          <w:spacing w:val="-11"/>
          <w:w w:val="105"/>
          <w:sz w:val="15"/>
        </w:rPr>
        <w:t xml:space="preserve"> </w:t>
      </w:r>
      <w:r>
        <w:rPr>
          <w:w w:val="105"/>
          <w:sz w:val="15"/>
        </w:rPr>
        <w:t>duradera de los romaníes en Suecia.758</w:t>
      </w:r>
    </w:p>
    <w:p w14:paraId="25D17BBB" w14:textId="77777777" w:rsidR="0014798C" w:rsidRDefault="0014798C">
      <w:pPr>
        <w:pStyle w:val="Textoindependiente"/>
        <w:rPr>
          <w:sz w:val="17"/>
        </w:rPr>
      </w:pPr>
    </w:p>
    <w:p w14:paraId="7084881B" w14:textId="77777777" w:rsidR="0014798C" w:rsidRDefault="0014798C">
      <w:pPr>
        <w:pStyle w:val="Textoindependiente"/>
        <w:spacing w:before="137"/>
        <w:rPr>
          <w:sz w:val="17"/>
        </w:rPr>
      </w:pPr>
    </w:p>
    <w:p w14:paraId="2766561E" w14:textId="77777777" w:rsidR="0014798C" w:rsidRDefault="004E1F0B">
      <w:pPr>
        <w:pStyle w:val="Prrafodelista"/>
        <w:numPr>
          <w:ilvl w:val="0"/>
          <w:numId w:val="44"/>
        </w:numPr>
        <w:tabs>
          <w:tab w:val="left" w:pos="1298"/>
        </w:tabs>
        <w:ind w:left="1298" w:hanging="193"/>
        <w:rPr>
          <w:color w:val="00AC59"/>
          <w:sz w:val="17"/>
        </w:rPr>
      </w:pPr>
      <w:r>
        <w:rPr>
          <w:color w:val="00AC59"/>
          <w:w w:val="105"/>
          <w:sz w:val="17"/>
        </w:rPr>
        <w:t>Acceso</w:t>
      </w:r>
      <w:r>
        <w:rPr>
          <w:color w:val="00AC59"/>
          <w:spacing w:val="-11"/>
          <w:w w:val="105"/>
          <w:sz w:val="17"/>
        </w:rPr>
        <w:t xml:space="preserve"> </w:t>
      </w:r>
      <w:r>
        <w:rPr>
          <w:color w:val="00AC59"/>
          <w:w w:val="105"/>
          <w:sz w:val="17"/>
        </w:rPr>
        <w:t>a</w:t>
      </w:r>
      <w:r>
        <w:rPr>
          <w:color w:val="00AC59"/>
          <w:spacing w:val="-10"/>
          <w:w w:val="105"/>
          <w:sz w:val="17"/>
        </w:rPr>
        <w:t xml:space="preserve"> </w:t>
      </w:r>
      <w:r>
        <w:rPr>
          <w:color w:val="00AC59"/>
          <w:w w:val="105"/>
          <w:sz w:val="17"/>
        </w:rPr>
        <w:t>los</w:t>
      </w:r>
      <w:r>
        <w:rPr>
          <w:color w:val="00AC59"/>
          <w:spacing w:val="-10"/>
          <w:w w:val="105"/>
          <w:sz w:val="17"/>
        </w:rPr>
        <w:t xml:space="preserve"> </w:t>
      </w:r>
      <w:r>
        <w:rPr>
          <w:color w:val="00AC59"/>
          <w:w w:val="105"/>
          <w:sz w:val="17"/>
        </w:rPr>
        <w:t>organismos</w:t>
      </w:r>
      <w:r>
        <w:rPr>
          <w:color w:val="00AC59"/>
          <w:spacing w:val="-11"/>
          <w:w w:val="105"/>
          <w:sz w:val="17"/>
        </w:rPr>
        <w:t xml:space="preserve"> </w:t>
      </w:r>
      <w:r>
        <w:rPr>
          <w:color w:val="00AC59"/>
          <w:w w:val="105"/>
          <w:sz w:val="17"/>
        </w:rPr>
        <w:t>de</w:t>
      </w:r>
      <w:r>
        <w:rPr>
          <w:color w:val="00AC59"/>
          <w:spacing w:val="-10"/>
          <w:w w:val="105"/>
          <w:sz w:val="17"/>
        </w:rPr>
        <w:t xml:space="preserve"> </w:t>
      </w:r>
      <w:r>
        <w:rPr>
          <w:color w:val="00AC59"/>
          <w:spacing w:val="-2"/>
          <w:w w:val="105"/>
          <w:sz w:val="17"/>
        </w:rPr>
        <w:t>igualdad</w:t>
      </w:r>
    </w:p>
    <w:p w14:paraId="1C027C5D" w14:textId="77777777" w:rsidR="0014798C" w:rsidRDefault="0014798C">
      <w:pPr>
        <w:pStyle w:val="Textoindependiente"/>
        <w:spacing w:before="112"/>
        <w:rPr>
          <w:sz w:val="15"/>
        </w:rPr>
      </w:pPr>
    </w:p>
    <w:p w14:paraId="2669CFDB" w14:textId="77777777" w:rsidR="0014798C" w:rsidRDefault="004E1F0B">
      <w:pPr>
        <w:spacing w:line="348" w:lineRule="auto"/>
        <w:ind w:left="1107" w:right="1272" w:hanging="1"/>
        <w:rPr>
          <w:sz w:val="15"/>
        </w:rPr>
      </w:pPr>
      <w:r>
        <w:rPr>
          <w:w w:val="105"/>
          <w:sz w:val="15"/>
        </w:rPr>
        <w:t>Como</w:t>
      </w:r>
      <w:r>
        <w:rPr>
          <w:spacing w:val="-8"/>
          <w:w w:val="105"/>
          <w:sz w:val="15"/>
        </w:rPr>
        <w:t xml:space="preserve"> </w:t>
      </w:r>
      <w:r>
        <w:rPr>
          <w:w w:val="105"/>
          <w:sz w:val="15"/>
        </w:rPr>
        <w:t>se</w:t>
      </w:r>
      <w:r>
        <w:rPr>
          <w:spacing w:val="-8"/>
          <w:w w:val="105"/>
          <w:sz w:val="15"/>
        </w:rPr>
        <w:t xml:space="preserve"> </w:t>
      </w:r>
      <w:r>
        <w:rPr>
          <w:w w:val="105"/>
          <w:sz w:val="15"/>
        </w:rPr>
        <w:t>analiza</w:t>
      </w:r>
      <w:r>
        <w:rPr>
          <w:spacing w:val="-8"/>
          <w:w w:val="105"/>
          <w:sz w:val="15"/>
        </w:rPr>
        <w:t xml:space="preserve"> </w:t>
      </w:r>
      <w:r>
        <w:rPr>
          <w:w w:val="105"/>
          <w:sz w:val="15"/>
        </w:rPr>
        <w:t>con</w:t>
      </w:r>
      <w:r>
        <w:rPr>
          <w:spacing w:val="-8"/>
          <w:w w:val="105"/>
          <w:sz w:val="15"/>
        </w:rPr>
        <w:t xml:space="preserve"> </w:t>
      </w:r>
      <w:r>
        <w:rPr>
          <w:w w:val="105"/>
          <w:sz w:val="15"/>
        </w:rPr>
        <w:t>más</w:t>
      </w:r>
      <w:r>
        <w:rPr>
          <w:spacing w:val="-8"/>
          <w:w w:val="105"/>
          <w:sz w:val="15"/>
        </w:rPr>
        <w:t xml:space="preserve"> </w:t>
      </w:r>
      <w:r>
        <w:rPr>
          <w:w w:val="105"/>
          <w:sz w:val="15"/>
        </w:rPr>
        <w:t>detalle</w:t>
      </w:r>
      <w:r>
        <w:rPr>
          <w:spacing w:val="-8"/>
          <w:w w:val="105"/>
          <w:sz w:val="15"/>
        </w:rPr>
        <w:t xml:space="preserve"> </w:t>
      </w:r>
      <w:r>
        <w:rPr>
          <w:w w:val="105"/>
          <w:sz w:val="15"/>
        </w:rPr>
        <w:t>en</w:t>
      </w:r>
      <w:r>
        <w:rPr>
          <w:spacing w:val="-8"/>
          <w:w w:val="105"/>
          <w:sz w:val="15"/>
        </w:rPr>
        <w:t xml:space="preserve"> </w:t>
      </w:r>
      <w:r>
        <w:rPr>
          <w:w w:val="105"/>
          <w:sz w:val="15"/>
        </w:rPr>
        <w:t>las</w:t>
      </w:r>
      <w:r>
        <w:rPr>
          <w:spacing w:val="-8"/>
          <w:w w:val="105"/>
          <w:sz w:val="15"/>
        </w:rPr>
        <w:t xml:space="preserve"> </w:t>
      </w:r>
      <w:r>
        <w:rPr>
          <w:w w:val="105"/>
          <w:sz w:val="15"/>
        </w:rPr>
        <w:t>secciones</w:t>
      </w:r>
      <w:r>
        <w:rPr>
          <w:spacing w:val="-8"/>
          <w:w w:val="105"/>
          <w:sz w:val="15"/>
        </w:rPr>
        <w:t xml:space="preserve"> </w:t>
      </w:r>
      <w:r>
        <w:rPr>
          <w:w w:val="105"/>
          <w:sz w:val="15"/>
        </w:rPr>
        <w:t>IC1</w:t>
      </w:r>
      <w:r>
        <w:rPr>
          <w:spacing w:val="-8"/>
          <w:w w:val="105"/>
          <w:sz w:val="15"/>
        </w:rPr>
        <w:t xml:space="preserve"> </w:t>
      </w:r>
      <w:r>
        <w:rPr>
          <w:w w:val="105"/>
          <w:sz w:val="15"/>
        </w:rPr>
        <w:t>y</w:t>
      </w:r>
      <w:r>
        <w:rPr>
          <w:spacing w:val="-8"/>
          <w:w w:val="105"/>
          <w:sz w:val="15"/>
        </w:rPr>
        <w:t xml:space="preserve"> </w:t>
      </w:r>
      <w:r>
        <w:rPr>
          <w:w w:val="105"/>
          <w:sz w:val="15"/>
        </w:rPr>
        <w:t>IA2(d)</w:t>
      </w:r>
      <w:r>
        <w:rPr>
          <w:spacing w:val="-8"/>
          <w:w w:val="105"/>
          <w:sz w:val="15"/>
        </w:rPr>
        <w:t xml:space="preserve"> </w:t>
      </w:r>
      <w:r>
        <w:rPr>
          <w:w w:val="105"/>
          <w:sz w:val="15"/>
        </w:rPr>
        <w:t>de</w:t>
      </w:r>
      <w:r>
        <w:rPr>
          <w:spacing w:val="-8"/>
          <w:w w:val="105"/>
          <w:sz w:val="15"/>
        </w:rPr>
        <w:t xml:space="preserve"> </w:t>
      </w:r>
      <w:r>
        <w:rPr>
          <w:w w:val="105"/>
          <w:sz w:val="15"/>
        </w:rPr>
        <w:t>la</w:t>
      </w:r>
      <w:r>
        <w:rPr>
          <w:spacing w:val="-8"/>
          <w:w w:val="105"/>
          <w:sz w:val="15"/>
        </w:rPr>
        <w:t xml:space="preserve"> </w:t>
      </w:r>
      <w:r>
        <w:rPr>
          <w:w w:val="105"/>
          <w:sz w:val="15"/>
        </w:rPr>
        <w:t>segunda</w:t>
      </w:r>
      <w:r>
        <w:rPr>
          <w:spacing w:val="-8"/>
          <w:w w:val="105"/>
          <w:sz w:val="15"/>
        </w:rPr>
        <w:t xml:space="preserve"> </w:t>
      </w:r>
      <w:r>
        <w:rPr>
          <w:w w:val="105"/>
          <w:sz w:val="15"/>
        </w:rPr>
        <w:t>parte</w:t>
      </w:r>
      <w:r>
        <w:rPr>
          <w:spacing w:val="-8"/>
          <w:w w:val="105"/>
          <w:sz w:val="15"/>
        </w:rPr>
        <w:t xml:space="preserve"> </w:t>
      </w:r>
      <w:r>
        <w:rPr>
          <w:w w:val="105"/>
          <w:sz w:val="15"/>
        </w:rPr>
        <w:t>de</w:t>
      </w:r>
      <w:r>
        <w:rPr>
          <w:spacing w:val="-8"/>
          <w:w w:val="105"/>
          <w:sz w:val="15"/>
        </w:rPr>
        <w:t xml:space="preserve"> </w:t>
      </w:r>
      <w:r>
        <w:rPr>
          <w:w w:val="105"/>
          <w:sz w:val="15"/>
        </w:rPr>
        <w:t>la</w:t>
      </w:r>
      <w:r>
        <w:rPr>
          <w:spacing w:val="-8"/>
          <w:w w:val="105"/>
          <w:sz w:val="15"/>
        </w:rPr>
        <w:t xml:space="preserve"> </w:t>
      </w:r>
      <w:r>
        <w:rPr>
          <w:w w:val="105"/>
          <w:sz w:val="15"/>
        </w:rPr>
        <w:t>presente</w:t>
      </w:r>
      <w:r>
        <w:rPr>
          <w:spacing w:val="-8"/>
          <w:w w:val="105"/>
          <w:sz w:val="15"/>
        </w:rPr>
        <w:t xml:space="preserve"> </w:t>
      </w:r>
      <w:r>
        <w:rPr>
          <w:w w:val="105"/>
          <w:sz w:val="15"/>
        </w:rPr>
        <w:t>guía,</w:t>
      </w:r>
      <w:r>
        <w:rPr>
          <w:spacing w:val="-8"/>
          <w:w w:val="105"/>
          <w:sz w:val="15"/>
        </w:rPr>
        <w:t xml:space="preserve"> </w:t>
      </w:r>
      <w:r>
        <w:rPr>
          <w:w w:val="105"/>
          <w:sz w:val="15"/>
        </w:rPr>
        <w:t>la</w:t>
      </w:r>
      <w:r>
        <w:rPr>
          <w:spacing w:val="-8"/>
          <w:w w:val="105"/>
          <w:sz w:val="15"/>
        </w:rPr>
        <w:t xml:space="preserve"> </w:t>
      </w:r>
      <w:r>
        <w:rPr>
          <w:w w:val="105"/>
          <w:sz w:val="15"/>
        </w:rPr>
        <w:t>accesibilidad</w:t>
      </w:r>
      <w:r>
        <w:rPr>
          <w:spacing w:val="-8"/>
          <w:w w:val="105"/>
          <w:sz w:val="15"/>
        </w:rPr>
        <w:t xml:space="preserve"> </w:t>
      </w:r>
      <w:r>
        <w:rPr>
          <w:w w:val="105"/>
          <w:sz w:val="15"/>
        </w:rPr>
        <w:t>constituye</w:t>
      </w:r>
      <w:r>
        <w:rPr>
          <w:spacing w:val="-8"/>
          <w:w w:val="105"/>
          <w:sz w:val="15"/>
        </w:rPr>
        <w:t xml:space="preserve"> </w:t>
      </w:r>
      <w:r>
        <w:rPr>
          <w:w w:val="105"/>
          <w:sz w:val="15"/>
        </w:rPr>
        <w:t>un elemento</w:t>
      </w:r>
      <w:r>
        <w:rPr>
          <w:spacing w:val="-7"/>
          <w:w w:val="105"/>
          <w:sz w:val="15"/>
        </w:rPr>
        <w:t xml:space="preserve"> </w:t>
      </w:r>
      <w:r>
        <w:rPr>
          <w:w w:val="105"/>
          <w:sz w:val="15"/>
        </w:rPr>
        <w:t>esencial</w:t>
      </w:r>
      <w:r>
        <w:rPr>
          <w:spacing w:val="-7"/>
          <w:w w:val="105"/>
          <w:sz w:val="15"/>
        </w:rPr>
        <w:t xml:space="preserve"> </w:t>
      </w:r>
      <w:r>
        <w:rPr>
          <w:w w:val="105"/>
          <w:sz w:val="15"/>
        </w:rPr>
        <w:t>de</w:t>
      </w:r>
      <w:r>
        <w:rPr>
          <w:spacing w:val="-7"/>
          <w:w w:val="105"/>
          <w:sz w:val="15"/>
        </w:rPr>
        <w:t xml:space="preserve"> </w:t>
      </w:r>
      <w:r>
        <w:rPr>
          <w:w w:val="105"/>
          <w:sz w:val="15"/>
        </w:rPr>
        <w:t>los</w:t>
      </w:r>
      <w:r>
        <w:rPr>
          <w:spacing w:val="-7"/>
          <w:w w:val="105"/>
          <w:sz w:val="15"/>
        </w:rPr>
        <w:t xml:space="preserve"> </w:t>
      </w:r>
      <w:r>
        <w:rPr>
          <w:w w:val="105"/>
          <w:sz w:val="15"/>
        </w:rPr>
        <w:t>derechos</w:t>
      </w:r>
      <w:r>
        <w:rPr>
          <w:spacing w:val="-7"/>
          <w:w w:val="105"/>
          <w:sz w:val="15"/>
        </w:rPr>
        <w:t xml:space="preserve"> </w:t>
      </w:r>
      <w:r>
        <w:rPr>
          <w:w w:val="105"/>
          <w:sz w:val="15"/>
        </w:rPr>
        <w:t>a</w:t>
      </w:r>
      <w:r>
        <w:rPr>
          <w:spacing w:val="-7"/>
          <w:w w:val="105"/>
          <w:sz w:val="15"/>
        </w:rPr>
        <w:t xml:space="preserve"> </w:t>
      </w:r>
      <w:r>
        <w:rPr>
          <w:w w:val="105"/>
          <w:sz w:val="15"/>
        </w:rPr>
        <w:t>la</w:t>
      </w:r>
      <w:r>
        <w:rPr>
          <w:spacing w:val="-7"/>
          <w:w w:val="105"/>
          <w:sz w:val="15"/>
        </w:rPr>
        <w:t xml:space="preserve"> </w:t>
      </w:r>
      <w:r>
        <w:rPr>
          <w:w w:val="105"/>
          <w:sz w:val="15"/>
        </w:rPr>
        <w:t>igualdad</w:t>
      </w:r>
      <w:r>
        <w:rPr>
          <w:spacing w:val="-7"/>
          <w:w w:val="105"/>
          <w:sz w:val="15"/>
        </w:rPr>
        <w:t xml:space="preserve"> </w:t>
      </w:r>
      <w:r>
        <w:rPr>
          <w:w w:val="105"/>
          <w:sz w:val="15"/>
        </w:rPr>
        <w:t>y</w:t>
      </w:r>
      <w:r>
        <w:rPr>
          <w:spacing w:val="-7"/>
          <w:w w:val="105"/>
          <w:sz w:val="15"/>
        </w:rPr>
        <w:t xml:space="preserve"> </w:t>
      </w:r>
      <w:r>
        <w:rPr>
          <w:w w:val="105"/>
          <w:sz w:val="15"/>
        </w:rPr>
        <w:t>la</w:t>
      </w:r>
      <w:r>
        <w:rPr>
          <w:spacing w:val="-7"/>
          <w:w w:val="105"/>
          <w:sz w:val="15"/>
        </w:rPr>
        <w:t xml:space="preserve"> </w:t>
      </w:r>
      <w:r>
        <w:rPr>
          <w:w w:val="105"/>
          <w:sz w:val="15"/>
        </w:rPr>
        <w:t>no</w:t>
      </w:r>
      <w:r>
        <w:rPr>
          <w:spacing w:val="-7"/>
          <w:w w:val="105"/>
          <w:sz w:val="15"/>
        </w:rPr>
        <w:t xml:space="preserve"> </w:t>
      </w:r>
      <w:r>
        <w:rPr>
          <w:w w:val="105"/>
          <w:sz w:val="15"/>
        </w:rPr>
        <w:t>discriminación.759</w:t>
      </w:r>
      <w:r>
        <w:rPr>
          <w:spacing w:val="-7"/>
          <w:w w:val="105"/>
          <w:sz w:val="15"/>
        </w:rPr>
        <w:t xml:space="preserve"> </w:t>
      </w:r>
      <w:r>
        <w:rPr>
          <w:w w:val="105"/>
          <w:sz w:val="15"/>
        </w:rPr>
        <w:t>En</w:t>
      </w:r>
      <w:r>
        <w:rPr>
          <w:spacing w:val="-7"/>
          <w:w w:val="105"/>
          <w:sz w:val="15"/>
        </w:rPr>
        <w:t xml:space="preserve"> </w:t>
      </w:r>
      <w:r>
        <w:rPr>
          <w:w w:val="105"/>
          <w:sz w:val="15"/>
        </w:rPr>
        <w:t>su</w:t>
      </w:r>
      <w:r>
        <w:rPr>
          <w:spacing w:val="-7"/>
          <w:w w:val="105"/>
          <w:sz w:val="15"/>
        </w:rPr>
        <w:t xml:space="preserve"> </w:t>
      </w:r>
      <w:r>
        <w:rPr>
          <w:w w:val="105"/>
          <w:sz w:val="15"/>
        </w:rPr>
        <w:t>Observación</w:t>
      </w:r>
      <w:r>
        <w:rPr>
          <w:spacing w:val="-7"/>
          <w:w w:val="105"/>
          <w:sz w:val="15"/>
        </w:rPr>
        <w:t xml:space="preserve"> </w:t>
      </w:r>
      <w:r>
        <w:rPr>
          <w:w w:val="105"/>
          <w:sz w:val="15"/>
        </w:rPr>
        <w:t>general</w:t>
      </w:r>
      <w:r>
        <w:rPr>
          <w:spacing w:val="-7"/>
          <w:w w:val="105"/>
          <w:sz w:val="15"/>
        </w:rPr>
        <w:t xml:space="preserve"> </w:t>
      </w:r>
      <w:r>
        <w:rPr>
          <w:w w:val="105"/>
          <w:sz w:val="15"/>
        </w:rPr>
        <w:t>núm.</w:t>
      </w:r>
      <w:r>
        <w:rPr>
          <w:spacing w:val="-7"/>
          <w:w w:val="105"/>
          <w:sz w:val="15"/>
        </w:rPr>
        <w:t xml:space="preserve"> </w:t>
      </w:r>
      <w:r>
        <w:rPr>
          <w:w w:val="105"/>
          <w:sz w:val="15"/>
        </w:rPr>
        <w:t>2</w:t>
      </w:r>
      <w:r>
        <w:rPr>
          <w:spacing w:val="-7"/>
          <w:w w:val="105"/>
          <w:sz w:val="15"/>
        </w:rPr>
        <w:t xml:space="preserve"> </w:t>
      </w:r>
      <w:r>
        <w:rPr>
          <w:w w:val="105"/>
          <w:sz w:val="15"/>
        </w:rPr>
        <w:t>(2014),</w:t>
      </w:r>
      <w:r>
        <w:rPr>
          <w:spacing w:val="-7"/>
          <w:w w:val="105"/>
          <w:sz w:val="15"/>
        </w:rPr>
        <w:t xml:space="preserve"> </w:t>
      </w:r>
      <w:r>
        <w:rPr>
          <w:w w:val="105"/>
          <w:sz w:val="15"/>
        </w:rPr>
        <w:t>el</w:t>
      </w:r>
      <w:r>
        <w:rPr>
          <w:spacing w:val="-7"/>
          <w:w w:val="105"/>
          <w:sz w:val="15"/>
        </w:rPr>
        <w:t xml:space="preserve"> </w:t>
      </w:r>
      <w:r>
        <w:rPr>
          <w:w w:val="105"/>
          <w:sz w:val="15"/>
        </w:rPr>
        <w:t>Comité</w:t>
      </w:r>
      <w:r>
        <w:rPr>
          <w:spacing w:val="-7"/>
          <w:w w:val="105"/>
          <w:sz w:val="15"/>
        </w:rPr>
        <w:t xml:space="preserve"> </w:t>
      </w:r>
      <w:r>
        <w:rPr>
          <w:w w:val="105"/>
          <w:sz w:val="15"/>
        </w:rPr>
        <w:t>de</w:t>
      </w:r>
      <w:r>
        <w:rPr>
          <w:spacing w:val="-7"/>
          <w:w w:val="105"/>
          <w:sz w:val="15"/>
        </w:rPr>
        <w:t xml:space="preserve"> </w:t>
      </w:r>
      <w:r>
        <w:rPr>
          <w:w w:val="105"/>
          <w:sz w:val="15"/>
        </w:rPr>
        <w:t>la Derechos</w:t>
      </w:r>
      <w:r>
        <w:rPr>
          <w:spacing w:val="-3"/>
          <w:w w:val="105"/>
          <w:sz w:val="15"/>
        </w:rPr>
        <w:t xml:space="preserve"> </w:t>
      </w:r>
      <w:r>
        <w:rPr>
          <w:w w:val="105"/>
          <w:sz w:val="15"/>
        </w:rPr>
        <w:t>de</w:t>
      </w:r>
      <w:r>
        <w:rPr>
          <w:spacing w:val="-3"/>
          <w:w w:val="105"/>
          <w:sz w:val="15"/>
        </w:rPr>
        <w:t xml:space="preserve"> </w:t>
      </w:r>
      <w:r>
        <w:rPr>
          <w:w w:val="105"/>
          <w:sz w:val="15"/>
        </w:rPr>
        <w:t>las</w:t>
      </w:r>
      <w:r>
        <w:rPr>
          <w:spacing w:val="-3"/>
          <w:w w:val="105"/>
          <w:sz w:val="15"/>
        </w:rPr>
        <w:t xml:space="preserve"> </w:t>
      </w:r>
      <w:r>
        <w:rPr>
          <w:w w:val="105"/>
          <w:sz w:val="15"/>
        </w:rPr>
        <w:t>Personas</w:t>
      </w:r>
      <w:r>
        <w:rPr>
          <w:spacing w:val="-3"/>
          <w:w w:val="105"/>
          <w:sz w:val="15"/>
        </w:rPr>
        <w:t xml:space="preserve"> </w:t>
      </w:r>
      <w:r>
        <w:rPr>
          <w:w w:val="105"/>
          <w:sz w:val="15"/>
        </w:rPr>
        <w:t>con</w:t>
      </w:r>
      <w:r>
        <w:rPr>
          <w:spacing w:val="-3"/>
          <w:w w:val="105"/>
          <w:sz w:val="15"/>
        </w:rPr>
        <w:t xml:space="preserve"> </w:t>
      </w:r>
      <w:r>
        <w:rPr>
          <w:w w:val="105"/>
          <w:sz w:val="15"/>
        </w:rPr>
        <w:t>Discapacidad</w:t>
      </w:r>
      <w:r>
        <w:rPr>
          <w:spacing w:val="-3"/>
          <w:w w:val="105"/>
          <w:sz w:val="15"/>
        </w:rPr>
        <w:t xml:space="preserve"> </w:t>
      </w:r>
      <w:r>
        <w:rPr>
          <w:w w:val="105"/>
          <w:sz w:val="15"/>
        </w:rPr>
        <w:t>enfatizó</w:t>
      </w:r>
      <w:r>
        <w:rPr>
          <w:spacing w:val="-3"/>
          <w:w w:val="105"/>
          <w:sz w:val="15"/>
        </w:rPr>
        <w:t xml:space="preserve"> </w:t>
      </w:r>
      <w:r>
        <w:rPr>
          <w:w w:val="105"/>
          <w:sz w:val="15"/>
        </w:rPr>
        <w:t>el</w:t>
      </w:r>
      <w:r>
        <w:rPr>
          <w:spacing w:val="-3"/>
          <w:w w:val="105"/>
          <w:sz w:val="15"/>
        </w:rPr>
        <w:t xml:space="preserve"> </w:t>
      </w:r>
      <w:r>
        <w:rPr>
          <w:w w:val="105"/>
          <w:sz w:val="15"/>
        </w:rPr>
        <w:t>papel</w:t>
      </w:r>
      <w:r>
        <w:rPr>
          <w:spacing w:val="-3"/>
          <w:w w:val="105"/>
          <w:sz w:val="15"/>
        </w:rPr>
        <w:t xml:space="preserve"> </w:t>
      </w:r>
      <w:r>
        <w:rPr>
          <w:w w:val="105"/>
          <w:sz w:val="15"/>
        </w:rPr>
        <w:t>de</w:t>
      </w:r>
      <w:r>
        <w:rPr>
          <w:spacing w:val="-3"/>
          <w:w w:val="105"/>
          <w:sz w:val="15"/>
        </w:rPr>
        <w:t xml:space="preserve"> </w:t>
      </w:r>
      <w:r>
        <w:rPr>
          <w:w w:val="105"/>
          <w:sz w:val="15"/>
        </w:rPr>
        <w:t>los</w:t>
      </w:r>
      <w:r>
        <w:rPr>
          <w:spacing w:val="-3"/>
          <w:w w:val="105"/>
          <w:sz w:val="15"/>
        </w:rPr>
        <w:t xml:space="preserve"> </w:t>
      </w:r>
      <w:r>
        <w:rPr>
          <w:w w:val="105"/>
          <w:sz w:val="15"/>
        </w:rPr>
        <w:t>mecanismos</w:t>
      </w:r>
      <w:r>
        <w:rPr>
          <w:spacing w:val="-3"/>
          <w:w w:val="105"/>
          <w:sz w:val="15"/>
        </w:rPr>
        <w:t xml:space="preserve"> </w:t>
      </w:r>
      <w:r>
        <w:rPr>
          <w:w w:val="105"/>
          <w:sz w:val="15"/>
        </w:rPr>
        <w:t>independientes,</w:t>
      </w:r>
      <w:r>
        <w:rPr>
          <w:spacing w:val="-2"/>
          <w:w w:val="105"/>
          <w:sz w:val="15"/>
        </w:rPr>
        <w:t xml:space="preserve"> </w:t>
      </w:r>
      <w:r>
        <w:rPr>
          <w:w w:val="105"/>
          <w:sz w:val="15"/>
        </w:rPr>
        <w:t>incluidos</w:t>
      </w:r>
      <w:r>
        <w:rPr>
          <w:spacing w:val="-3"/>
          <w:w w:val="105"/>
          <w:sz w:val="15"/>
        </w:rPr>
        <w:t xml:space="preserve"> </w:t>
      </w:r>
      <w:r>
        <w:rPr>
          <w:w w:val="105"/>
          <w:sz w:val="15"/>
        </w:rPr>
        <w:t>los</w:t>
      </w:r>
      <w:r>
        <w:rPr>
          <w:spacing w:val="-3"/>
          <w:w w:val="105"/>
          <w:sz w:val="15"/>
        </w:rPr>
        <w:t xml:space="preserve"> </w:t>
      </w:r>
      <w:r>
        <w:rPr>
          <w:w w:val="105"/>
          <w:sz w:val="15"/>
        </w:rPr>
        <w:t>organismos</w:t>
      </w:r>
      <w:r>
        <w:rPr>
          <w:spacing w:val="-3"/>
          <w:w w:val="105"/>
          <w:sz w:val="15"/>
        </w:rPr>
        <w:t xml:space="preserve"> </w:t>
      </w:r>
      <w:r>
        <w:rPr>
          <w:w w:val="105"/>
          <w:sz w:val="15"/>
        </w:rPr>
        <w:t>de igualdad,</w:t>
      </w:r>
      <w:r>
        <w:rPr>
          <w:spacing w:val="-1"/>
          <w:w w:val="105"/>
          <w:sz w:val="15"/>
        </w:rPr>
        <w:t xml:space="preserve"> </w:t>
      </w:r>
      <w:r>
        <w:rPr>
          <w:w w:val="105"/>
          <w:sz w:val="15"/>
        </w:rPr>
        <w:t>para</w:t>
      </w:r>
      <w:r>
        <w:rPr>
          <w:spacing w:val="-2"/>
          <w:w w:val="105"/>
          <w:sz w:val="15"/>
        </w:rPr>
        <w:t xml:space="preserve"> </w:t>
      </w:r>
      <w:r>
        <w:rPr>
          <w:w w:val="105"/>
          <w:sz w:val="15"/>
        </w:rPr>
        <w:t>garantizar</w:t>
      </w:r>
      <w:r>
        <w:rPr>
          <w:spacing w:val="-2"/>
          <w:w w:val="105"/>
          <w:sz w:val="15"/>
        </w:rPr>
        <w:t xml:space="preserve"> </w:t>
      </w:r>
      <w:r>
        <w:rPr>
          <w:w w:val="105"/>
          <w:sz w:val="15"/>
        </w:rPr>
        <w:t>la</w:t>
      </w:r>
      <w:r>
        <w:rPr>
          <w:spacing w:val="-2"/>
          <w:w w:val="105"/>
          <w:sz w:val="15"/>
        </w:rPr>
        <w:t xml:space="preserve"> </w:t>
      </w:r>
      <w:r>
        <w:rPr>
          <w:w w:val="105"/>
          <w:sz w:val="15"/>
        </w:rPr>
        <w:t>adopción</w:t>
      </w:r>
      <w:r>
        <w:rPr>
          <w:spacing w:val="-2"/>
          <w:w w:val="105"/>
          <w:sz w:val="15"/>
        </w:rPr>
        <w:t xml:space="preserve"> </w:t>
      </w:r>
      <w:r>
        <w:rPr>
          <w:w w:val="105"/>
          <w:sz w:val="15"/>
        </w:rPr>
        <w:t>de</w:t>
      </w:r>
      <w:r>
        <w:rPr>
          <w:spacing w:val="-2"/>
          <w:w w:val="105"/>
          <w:sz w:val="15"/>
        </w:rPr>
        <w:t xml:space="preserve"> </w:t>
      </w:r>
      <w:r>
        <w:rPr>
          <w:w w:val="105"/>
          <w:sz w:val="15"/>
        </w:rPr>
        <w:t>estándares</w:t>
      </w:r>
      <w:r>
        <w:rPr>
          <w:spacing w:val="-2"/>
          <w:w w:val="105"/>
          <w:sz w:val="15"/>
        </w:rPr>
        <w:t xml:space="preserve"> </w:t>
      </w:r>
      <w:r>
        <w:rPr>
          <w:w w:val="105"/>
          <w:sz w:val="15"/>
        </w:rPr>
        <w:t>de</w:t>
      </w:r>
      <w:r>
        <w:rPr>
          <w:spacing w:val="-2"/>
          <w:w w:val="105"/>
          <w:sz w:val="15"/>
        </w:rPr>
        <w:t xml:space="preserve"> </w:t>
      </w:r>
      <w:r>
        <w:rPr>
          <w:w w:val="105"/>
          <w:sz w:val="15"/>
        </w:rPr>
        <w:t>accesibilidad</w:t>
      </w:r>
      <w:r>
        <w:rPr>
          <w:spacing w:val="-2"/>
          <w:w w:val="105"/>
          <w:sz w:val="15"/>
        </w:rPr>
        <w:t xml:space="preserve"> </w:t>
      </w:r>
      <w:r>
        <w:rPr>
          <w:w w:val="105"/>
          <w:sz w:val="15"/>
        </w:rPr>
        <w:t>y</w:t>
      </w:r>
      <w:r>
        <w:rPr>
          <w:spacing w:val="-2"/>
          <w:w w:val="105"/>
          <w:sz w:val="15"/>
        </w:rPr>
        <w:t xml:space="preserve"> </w:t>
      </w:r>
      <w:r>
        <w:rPr>
          <w:w w:val="105"/>
          <w:sz w:val="15"/>
        </w:rPr>
        <w:t>monitorear</w:t>
      </w:r>
      <w:r>
        <w:rPr>
          <w:spacing w:val="-2"/>
          <w:w w:val="105"/>
          <w:sz w:val="15"/>
        </w:rPr>
        <w:t xml:space="preserve"> </w:t>
      </w:r>
      <w:r>
        <w:rPr>
          <w:w w:val="105"/>
          <w:sz w:val="15"/>
        </w:rPr>
        <w:t>su</w:t>
      </w:r>
      <w:r>
        <w:rPr>
          <w:spacing w:val="-2"/>
          <w:w w:val="105"/>
          <w:sz w:val="15"/>
        </w:rPr>
        <w:t xml:space="preserve"> </w:t>
      </w:r>
      <w:r>
        <w:rPr>
          <w:w w:val="105"/>
          <w:sz w:val="15"/>
        </w:rPr>
        <w:t>aplicación.760</w:t>
      </w:r>
    </w:p>
    <w:p w14:paraId="4457D6C1" w14:textId="77777777" w:rsidR="0014798C" w:rsidRDefault="0014798C">
      <w:pPr>
        <w:pStyle w:val="Textoindependiente"/>
        <w:rPr>
          <w:sz w:val="12"/>
        </w:rPr>
      </w:pPr>
    </w:p>
    <w:p w14:paraId="78D68DEA" w14:textId="77777777" w:rsidR="0014798C" w:rsidRDefault="0014798C">
      <w:pPr>
        <w:pStyle w:val="Textoindependiente"/>
        <w:rPr>
          <w:sz w:val="12"/>
        </w:rPr>
      </w:pPr>
    </w:p>
    <w:p w14:paraId="5A0F481C" w14:textId="77777777" w:rsidR="0014798C" w:rsidRDefault="0014798C">
      <w:pPr>
        <w:pStyle w:val="Textoindependiente"/>
        <w:spacing w:before="136"/>
        <w:rPr>
          <w:sz w:val="12"/>
        </w:rPr>
      </w:pPr>
    </w:p>
    <w:p w14:paraId="174E4EFD" w14:textId="77777777" w:rsidR="0014798C" w:rsidRDefault="004E1F0B">
      <w:pPr>
        <w:ind w:left="1108"/>
        <w:rPr>
          <w:sz w:val="12"/>
        </w:rPr>
      </w:pPr>
      <w:r>
        <w:rPr>
          <w:sz w:val="12"/>
        </w:rPr>
        <w:t>748</w:t>
      </w:r>
      <w:r>
        <w:rPr>
          <w:spacing w:val="-8"/>
          <w:sz w:val="12"/>
        </w:rPr>
        <w:t xml:space="preserve"> </w:t>
      </w:r>
      <w:r>
        <w:rPr>
          <w:sz w:val="12"/>
        </w:rPr>
        <w:t>Directrices</w:t>
      </w:r>
      <w:r>
        <w:rPr>
          <w:spacing w:val="-7"/>
          <w:sz w:val="12"/>
        </w:rPr>
        <w:t xml:space="preserve"> </w:t>
      </w:r>
      <w:r>
        <w:rPr>
          <w:sz w:val="12"/>
        </w:rPr>
        <w:t>sobre</w:t>
      </w:r>
      <w:r>
        <w:rPr>
          <w:spacing w:val="-7"/>
          <w:sz w:val="12"/>
        </w:rPr>
        <w:t xml:space="preserve"> </w:t>
      </w:r>
      <w:r>
        <w:rPr>
          <w:sz w:val="12"/>
        </w:rPr>
        <w:t>marcos</w:t>
      </w:r>
      <w:r>
        <w:rPr>
          <w:spacing w:val="-7"/>
          <w:sz w:val="12"/>
        </w:rPr>
        <w:t xml:space="preserve"> </w:t>
      </w:r>
      <w:r>
        <w:rPr>
          <w:sz w:val="12"/>
        </w:rPr>
        <w:t>de</w:t>
      </w:r>
      <w:r>
        <w:rPr>
          <w:spacing w:val="-7"/>
          <w:sz w:val="12"/>
        </w:rPr>
        <w:t xml:space="preserve"> </w:t>
      </w:r>
      <w:r>
        <w:rPr>
          <w:sz w:val="12"/>
        </w:rPr>
        <w:t>monitoreo</w:t>
      </w:r>
      <w:r>
        <w:rPr>
          <w:spacing w:val="-7"/>
          <w:sz w:val="12"/>
        </w:rPr>
        <w:t xml:space="preserve"> </w:t>
      </w:r>
      <w:r>
        <w:rPr>
          <w:sz w:val="12"/>
        </w:rPr>
        <w:t>independiente</w:t>
      </w:r>
      <w:r>
        <w:rPr>
          <w:spacing w:val="-7"/>
          <w:sz w:val="12"/>
        </w:rPr>
        <w:t xml:space="preserve"> </w:t>
      </w:r>
      <w:r>
        <w:rPr>
          <w:sz w:val="12"/>
        </w:rPr>
        <w:t>y</w:t>
      </w:r>
      <w:r>
        <w:rPr>
          <w:spacing w:val="-7"/>
          <w:sz w:val="12"/>
        </w:rPr>
        <w:t xml:space="preserve"> </w:t>
      </w:r>
      <w:r>
        <w:rPr>
          <w:sz w:val="12"/>
        </w:rPr>
        <w:t>su</w:t>
      </w:r>
      <w:r>
        <w:rPr>
          <w:spacing w:val="-7"/>
          <w:sz w:val="12"/>
        </w:rPr>
        <w:t xml:space="preserve"> </w:t>
      </w:r>
      <w:r>
        <w:rPr>
          <w:sz w:val="12"/>
        </w:rPr>
        <w:t>participación</w:t>
      </w:r>
      <w:r>
        <w:rPr>
          <w:spacing w:val="-7"/>
          <w:sz w:val="12"/>
        </w:rPr>
        <w:t xml:space="preserve"> </w:t>
      </w:r>
      <w:r>
        <w:rPr>
          <w:sz w:val="12"/>
        </w:rPr>
        <w:t>en</w:t>
      </w:r>
      <w:r>
        <w:rPr>
          <w:spacing w:val="-7"/>
          <w:sz w:val="12"/>
        </w:rPr>
        <w:t xml:space="preserve"> </w:t>
      </w:r>
      <w:r>
        <w:rPr>
          <w:sz w:val="12"/>
        </w:rPr>
        <w:t>el</w:t>
      </w:r>
      <w:r>
        <w:rPr>
          <w:spacing w:val="-7"/>
          <w:sz w:val="12"/>
        </w:rPr>
        <w:t xml:space="preserve"> </w:t>
      </w:r>
      <w:r>
        <w:rPr>
          <w:sz w:val="12"/>
        </w:rPr>
        <w:t>trabajo</w:t>
      </w:r>
      <w:r>
        <w:rPr>
          <w:spacing w:val="-7"/>
          <w:sz w:val="12"/>
        </w:rPr>
        <w:t xml:space="preserve"> </w:t>
      </w:r>
      <w:r>
        <w:rPr>
          <w:sz w:val="12"/>
        </w:rPr>
        <w:t>del</w:t>
      </w:r>
      <w:r>
        <w:rPr>
          <w:spacing w:val="-7"/>
          <w:sz w:val="12"/>
        </w:rPr>
        <w:t xml:space="preserve"> </w:t>
      </w:r>
      <w:r>
        <w:rPr>
          <w:sz w:val="12"/>
        </w:rPr>
        <w:t>Comité</w:t>
      </w:r>
      <w:r>
        <w:rPr>
          <w:spacing w:val="-7"/>
          <w:sz w:val="12"/>
        </w:rPr>
        <w:t xml:space="preserve"> </w:t>
      </w:r>
      <w:r>
        <w:rPr>
          <w:sz w:val="12"/>
        </w:rPr>
        <w:t>sobre</w:t>
      </w:r>
      <w:r>
        <w:rPr>
          <w:spacing w:val="-7"/>
          <w:sz w:val="12"/>
        </w:rPr>
        <w:t xml:space="preserve"> </w:t>
      </w:r>
      <w:r>
        <w:rPr>
          <w:sz w:val="12"/>
        </w:rPr>
        <w:t>los</w:t>
      </w:r>
      <w:r>
        <w:rPr>
          <w:spacing w:val="-7"/>
          <w:sz w:val="12"/>
        </w:rPr>
        <w:t xml:space="preserve"> </w:t>
      </w:r>
      <w:r>
        <w:rPr>
          <w:sz w:val="12"/>
        </w:rPr>
        <w:t>Derechos</w:t>
      </w:r>
      <w:r>
        <w:rPr>
          <w:spacing w:val="-7"/>
          <w:sz w:val="12"/>
        </w:rPr>
        <w:t xml:space="preserve"> </w:t>
      </w:r>
      <w:r>
        <w:rPr>
          <w:sz w:val="12"/>
        </w:rPr>
        <w:t>de</w:t>
      </w:r>
      <w:r>
        <w:rPr>
          <w:spacing w:val="-7"/>
          <w:sz w:val="12"/>
        </w:rPr>
        <w:t xml:space="preserve"> </w:t>
      </w:r>
      <w:r>
        <w:rPr>
          <w:sz w:val="12"/>
        </w:rPr>
        <w:t>las</w:t>
      </w:r>
      <w:r>
        <w:rPr>
          <w:spacing w:val="-7"/>
          <w:sz w:val="12"/>
        </w:rPr>
        <w:t xml:space="preserve"> </w:t>
      </w:r>
      <w:r>
        <w:rPr>
          <w:sz w:val="12"/>
        </w:rPr>
        <w:t>Personas</w:t>
      </w:r>
      <w:r>
        <w:rPr>
          <w:spacing w:val="-7"/>
          <w:sz w:val="12"/>
        </w:rPr>
        <w:t xml:space="preserve"> </w:t>
      </w:r>
      <w:r>
        <w:rPr>
          <w:spacing w:val="-5"/>
          <w:sz w:val="12"/>
        </w:rPr>
        <w:t>con</w:t>
      </w:r>
    </w:p>
    <w:p w14:paraId="3238FA35" w14:textId="77777777" w:rsidR="0014798C" w:rsidRDefault="004E1F0B">
      <w:pPr>
        <w:spacing w:before="40"/>
        <w:ind w:left="1367"/>
        <w:rPr>
          <w:sz w:val="12"/>
        </w:rPr>
      </w:pPr>
      <w:r>
        <w:rPr>
          <w:sz w:val="12"/>
        </w:rPr>
        <w:t>Discapacidades,</w:t>
      </w:r>
      <w:r>
        <w:rPr>
          <w:spacing w:val="3"/>
          <w:sz w:val="12"/>
        </w:rPr>
        <w:t xml:space="preserve"> </w:t>
      </w:r>
      <w:r>
        <w:rPr>
          <w:sz w:val="12"/>
        </w:rPr>
        <w:t>párr.</w:t>
      </w:r>
      <w:r>
        <w:rPr>
          <w:spacing w:val="2"/>
          <w:sz w:val="12"/>
        </w:rPr>
        <w:t xml:space="preserve"> </w:t>
      </w:r>
      <w:r>
        <w:rPr>
          <w:spacing w:val="-5"/>
          <w:sz w:val="12"/>
        </w:rPr>
        <w:t>20.</w:t>
      </w:r>
    </w:p>
    <w:p w14:paraId="4EE382DE" w14:textId="77777777" w:rsidR="0014798C" w:rsidRDefault="004E1F0B">
      <w:pPr>
        <w:spacing w:before="101"/>
        <w:ind w:left="1108"/>
        <w:rPr>
          <w:sz w:val="12"/>
        </w:rPr>
      </w:pPr>
      <w:r>
        <w:rPr>
          <w:sz w:val="12"/>
        </w:rPr>
        <w:t>749</w:t>
      </w:r>
      <w:r>
        <w:rPr>
          <w:spacing w:val="-8"/>
          <w:sz w:val="12"/>
        </w:rPr>
        <w:t xml:space="preserve"> </w:t>
      </w:r>
      <w:r>
        <w:rPr>
          <w:sz w:val="12"/>
        </w:rPr>
        <w:t>Comité</w:t>
      </w:r>
      <w:r>
        <w:rPr>
          <w:spacing w:val="-7"/>
          <w:sz w:val="12"/>
        </w:rPr>
        <w:t xml:space="preserve"> </w:t>
      </w:r>
      <w:r>
        <w:rPr>
          <w:sz w:val="12"/>
        </w:rPr>
        <w:t>sobre</w:t>
      </w:r>
      <w:r>
        <w:rPr>
          <w:spacing w:val="-8"/>
          <w:sz w:val="12"/>
        </w:rPr>
        <w:t xml:space="preserve"> </w:t>
      </w:r>
      <w:r>
        <w:rPr>
          <w:sz w:val="12"/>
        </w:rPr>
        <w:t>los</w:t>
      </w:r>
      <w:r>
        <w:rPr>
          <w:spacing w:val="-7"/>
          <w:sz w:val="12"/>
        </w:rPr>
        <w:t xml:space="preserve"> </w:t>
      </w:r>
      <w:r>
        <w:rPr>
          <w:sz w:val="12"/>
        </w:rPr>
        <w:t>Derechos</w:t>
      </w:r>
      <w:r>
        <w:rPr>
          <w:spacing w:val="-8"/>
          <w:sz w:val="12"/>
        </w:rPr>
        <w:t xml:space="preserve"> </w:t>
      </w:r>
      <w:r>
        <w:rPr>
          <w:sz w:val="12"/>
        </w:rPr>
        <w:t>de</w:t>
      </w:r>
      <w:r>
        <w:rPr>
          <w:spacing w:val="-7"/>
          <w:sz w:val="12"/>
        </w:rPr>
        <w:t xml:space="preserve"> </w:t>
      </w:r>
      <w:r>
        <w:rPr>
          <w:sz w:val="12"/>
        </w:rPr>
        <w:t>las</w:t>
      </w:r>
      <w:r>
        <w:rPr>
          <w:spacing w:val="-8"/>
          <w:sz w:val="12"/>
        </w:rPr>
        <w:t xml:space="preserve"> </w:t>
      </w:r>
      <w:r>
        <w:rPr>
          <w:sz w:val="12"/>
        </w:rPr>
        <w:t>Personas</w:t>
      </w:r>
      <w:r>
        <w:rPr>
          <w:spacing w:val="-7"/>
          <w:sz w:val="12"/>
        </w:rPr>
        <w:t xml:space="preserve"> </w:t>
      </w:r>
      <w:r>
        <w:rPr>
          <w:sz w:val="12"/>
        </w:rPr>
        <w:t>con</w:t>
      </w:r>
      <w:r>
        <w:rPr>
          <w:spacing w:val="-8"/>
          <w:sz w:val="12"/>
        </w:rPr>
        <w:t xml:space="preserve"> </w:t>
      </w:r>
      <w:r>
        <w:rPr>
          <w:sz w:val="12"/>
        </w:rPr>
        <w:t>Discapacidad,</w:t>
      </w:r>
      <w:r>
        <w:rPr>
          <w:spacing w:val="-6"/>
          <w:sz w:val="12"/>
        </w:rPr>
        <w:t xml:space="preserve"> </w:t>
      </w:r>
      <w:r>
        <w:rPr>
          <w:sz w:val="12"/>
        </w:rPr>
        <w:t>observación</w:t>
      </w:r>
      <w:r>
        <w:rPr>
          <w:spacing w:val="-8"/>
          <w:sz w:val="12"/>
        </w:rPr>
        <w:t xml:space="preserve"> </w:t>
      </w:r>
      <w:r>
        <w:rPr>
          <w:sz w:val="12"/>
        </w:rPr>
        <w:t>general</w:t>
      </w:r>
      <w:r>
        <w:rPr>
          <w:spacing w:val="-7"/>
          <w:sz w:val="12"/>
        </w:rPr>
        <w:t xml:space="preserve"> </w:t>
      </w:r>
      <w:r>
        <w:rPr>
          <w:sz w:val="12"/>
        </w:rPr>
        <w:t>núm.</w:t>
      </w:r>
      <w:r>
        <w:rPr>
          <w:spacing w:val="-8"/>
          <w:sz w:val="12"/>
        </w:rPr>
        <w:t xml:space="preserve"> </w:t>
      </w:r>
      <w:r>
        <w:rPr>
          <w:sz w:val="12"/>
        </w:rPr>
        <w:t>6</w:t>
      </w:r>
      <w:r>
        <w:rPr>
          <w:spacing w:val="-7"/>
          <w:sz w:val="12"/>
        </w:rPr>
        <w:t xml:space="preserve"> </w:t>
      </w:r>
      <w:r>
        <w:rPr>
          <w:sz w:val="12"/>
        </w:rPr>
        <w:t>(2018),</w:t>
      </w:r>
      <w:r>
        <w:rPr>
          <w:spacing w:val="-7"/>
          <w:sz w:val="12"/>
        </w:rPr>
        <w:t xml:space="preserve"> </w:t>
      </w:r>
      <w:r>
        <w:rPr>
          <w:sz w:val="12"/>
        </w:rPr>
        <w:t>párr.</w:t>
      </w:r>
      <w:r>
        <w:rPr>
          <w:spacing w:val="-7"/>
          <w:sz w:val="12"/>
        </w:rPr>
        <w:t xml:space="preserve"> </w:t>
      </w:r>
      <w:r>
        <w:rPr>
          <w:sz w:val="12"/>
        </w:rPr>
        <w:t>73</w:t>
      </w:r>
      <w:r>
        <w:rPr>
          <w:spacing w:val="-8"/>
          <w:sz w:val="12"/>
        </w:rPr>
        <w:t xml:space="preserve"> </w:t>
      </w:r>
      <w:r>
        <w:rPr>
          <w:spacing w:val="-4"/>
          <w:sz w:val="12"/>
        </w:rPr>
        <w:t>(m).</w:t>
      </w:r>
    </w:p>
    <w:p w14:paraId="092060A9" w14:textId="77777777" w:rsidR="0014798C" w:rsidRDefault="004E1F0B">
      <w:pPr>
        <w:spacing w:before="98"/>
        <w:ind w:left="1108"/>
        <w:rPr>
          <w:sz w:val="12"/>
        </w:rPr>
      </w:pPr>
      <w:r>
        <w:rPr>
          <w:sz w:val="12"/>
        </w:rPr>
        <w:t>750</w:t>
      </w:r>
      <w:r>
        <w:rPr>
          <w:spacing w:val="-8"/>
          <w:sz w:val="12"/>
        </w:rPr>
        <w:t xml:space="preserve"> </w:t>
      </w:r>
      <w:r>
        <w:rPr>
          <w:sz w:val="12"/>
        </w:rPr>
        <w:t>Directrices</w:t>
      </w:r>
      <w:r>
        <w:rPr>
          <w:spacing w:val="-7"/>
          <w:sz w:val="12"/>
        </w:rPr>
        <w:t xml:space="preserve"> </w:t>
      </w:r>
      <w:r>
        <w:rPr>
          <w:sz w:val="12"/>
        </w:rPr>
        <w:t>sobre</w:t>
      </w:r>
      <w:r>
        <w:rPr>
          <w:spacing w:val="-7"/>
          <w:sz w:val="12"/>
        </w:rPr>
        <w:t xml:space="preserve"> </w:t>
      </w:r>
      <w:r>
        <w:rPr>
          <w:sz w:val="12"/>
        </w:rPr>
        <w:t>marcos</w:t>
      </w:r>
      <w:r>
        <w:rPr>
          <w:spacing w:val="-7"/>
          <w:sz w:val="12"/>
        </w:rPr>
        <w:t xml:space="preserve"> </w:t>
      </w:r>
      <w:r>
        <w:rPr>
          <w:sz w:val="12"/>
        </w:rPr>
        <w:t>de</w:t>
      </w:r>
      <w:r>
        <w:rPr>
          <w:spacing w:val="-7"/>
          <w:sz w:val="12"/>
        </w:rPr>
        <w:t xml:space="preserve"> </w:t>
      </w:r>
      <w:r>
        <w:rPr>
          <w:sz w:val="12"/>
        </w:rPr>
        <w:t>monitoreo</w:t>
      </w:r>
      <w:r>
        <w:rPr>
          <w:spacing w:val="-7"/>
          <w:sz w:val="12"/>
        </w:rPr>
        <w:t xml:space="preserve"> </w:t>
      </w:r>
      <w:r>
        <w:rPr>
          <w:sz w:val="12"/>
        </w:rPr>
        <w:t>independiente</w:t>
      </w:r>
      <w:r>
        <w:rPr>
          <w:spacing w:val="-7"/>
          <w:sz w:val="12"/>
        </w:rPr>
        <w:t xml:space="preserve"> </w:t>
      </w:r>
      <w:r>
        <w:rPr>
          <w:sz w:val="12"/>
        </w:rPr>
        <w:t>y</w:t>
      </w:r>
      <w:r>
        <w:rPr>
          <w:spacing w:val="-7"/>
          <w:sz w:val="12"/>
        </w:rPr>
        <w:t xml:space="preserve"> </w:t>
      </w:r>
      <w:r>
        <w:rPr>
          <w:sz w:val="12"/>
        </w:rPr>
        <w:t>su</w:t>
      </w:r>
      <w:r>
        <w:rPr>
          <w:spacing w:val="-7"/>
          <w:sz w:val="12"/>
        </w:rPr>
        <w:t xml:space="preserve"> </w:t>
      </w:r>
      <w:r>
        <w:rPr>
          <w:sz w:val="12"/>
        </w:rPr>
        <w:t>participación</w:t>
      </w:r>
      <w:r>
        <w:rPr>
          <w:spacing w:val="-7"/>
          <w:sz w:val="12"/>
        </w:rPr>
        <w:t xml:space="preserve"> </w:t>
      </w:r>
      <w:r>
        <w:rPr>
          <w:sz w:val="12"/>
        </w:rPr>
        <w:t>en</w:t>
      </w:r>
      <w:r>
        <w:rPr>
          <w:spacing w:val="-7"/>
          <w:sz w:val="12"/>
        </w:rPr>
        <w:t xml:space="preserve"> </w:t>
      </w:r>
      <w:r>
        <w:rPr>
          <w:sz w:val="12"/>
        </w:rPr>
        <w:t>el</w:t>
      </w:r>
      <w:r>
        <w:rPr>
          <w:spacing w:val="-7"/>
          <w:sz w:val="12"/>
        </w:rPr>
        <w:t xml:space="preserve"> </w:t>
      </w:r>
      <w:r>
        <w:rPr>
          <w:sz w:val="12"/>
        </w:rPr>
        <w:t>trabajo</w:t>
      </w:r>
      <w:r>
        <w:rPr>
          <w:spacing w:val="-7"/>
          <w:sz w:val="12"/>
        </w:rPr>
        <w:t xml:space="preserve"> </w:t>
      </w:r>
      <w:r>
        <w:rPr>
          <w:sz w:val="12"/>
        </w:rPr>
        <w:t>del</w:t>
      </w:r>
      <w:r>
        <w:rPr>
          <w:spacing w:val="-7"/>
          <w:sz w:val="12"/>
        </w:rPr>
        <w:t xml:space="preserve"> </w:t>
      </w:r>
      <w:r>
        <w:rPr>
          <w:sz w:val="12"/>
        </w:rPr>
        <w:t>Comité</w:t>
      </w:r>
      <w:r>
        <w:rPr>
          <w:spacing w:val="-7"/>
          <w:sz w:val="12"/>
        </w:rPr>
        <w:t xml:space="preserve"> </w:t>
      </w:r>
      <w:r>
        <w:rPr>
          <w:sz w:val="12"/>
        </w:rPr>
        <w:t>sobre</w:t>
      </w:r>
      <w:r>
        <w:rPr>
          <w:spacing w:val="-7"/>
          <w:sz w:val="12"/>
        </w:rPr>
        <w:t xml:space="preserve"> </w:t>
      </w:r>
      <w:r>
        <w:rPr>
          <w:sz w:val="12"/>
        </w:rPr>
        <w:t>los</w:t>
      </w:r>
      <w:r>
        <w:rPr>
          <w:spacing w:val="-7"/>
          <w:sz w:val="12"/>
        </w:rPr>
        <w:t xml:space="preserve"> </w:t>
      </w:r>
      <w:r>
        <w:rPr>
          <w:sz w:val="12"/>
        </w:rPr>
        <w:t>Derechos</w:t>
      </w:r>
      <w:r>
        <w:rPr>
          <w:spacing w:val="-7"/>
          <w:sz w:val="12"/>
        </w:rPr>
        <w:t xml:space="preserve"> </w:t>
      </w:r>
      <w:r>
        <w:rPr>
          <w:sz w:val="12"/>
        </w:rPr>
        <w:t>de</w:t>
      </w:r>
      <w:r>
        <w:rPr>
          <w:spacing w:val="-7"/>
          <w:sz w:val="12"/>
        </w:rPr>
        <w:t xml:space="preserve"> </w:t>
      </w:r>
      <w:r>
        <w:rPr>
          <w:sz w:val="12"/>
        </w:rPr>
        <w:t>las</w:t>
      </w:r>
      <w:r>
        <w:rPr>
          <w:spacing w:val="-7"/>
          <w:sz w:val="12"/>
        </w:rPr>
        <w:t xml:space="preserve"> </w:t>
      </w:r>
      <w:r>
        <w:rPr>
          <w:sz w:val="12"/>
        </w:rPr>
        <w:t>Personas</w:t>
      </w:r>
      <w:r>
        <w:rPr>
          <w:spacing w:val="-7"/>
          <w:sz w:val="12"/>
        </w:rPr>
        <w:t xml:space="preserve"> </w:t>
      </w:r>
      <w:r>
        <w:rPr>
          <w:spacing w:val="-5"/>
          <w:sz w:val="12"/>
        </w:rPr>
        <w:t>con</w:t>
      </w:r>
    </w:p>
    <w:p w14:paraId="3A28D6FC" w14:textId="77777777" w:rsidR="0014798C" w:rsidRDefault="004E1F0B">
      <w:pPr>
        <w:spacing w:before="40"/>
        <w:ind w:left="1367"/>
        <w:rPr>
          <w:sz w:val="12"/>
        </w:rPr>
      </w:pPr>
      <w:r>
        <w:rPr>
          <w:sz w:val="12"/>
        </w:rPr>
        <w:t>Discapacidades,</w:t>
      </w:r>
      <w:r>
        <w:rPr>
          <w:spacing w:val="3"/>
          <w:sz w:val="12"/>
        </w:rPr>
        <w:t xml:space="preserve"> </w:t>
      </w:r>
      <w:r>
        <w:rPr>
          <w:sz w:val="12"/>
        </w:rPr>
        <w:t>párr.</w:t>
      </w:r>
      <w:r>
        <w:rPr>
          <w:spacing w:val="2"/>
          <w:sz w:val="12"/>
        </w:rPr>
        <w:t xml:space="preserve"> </w:t>
      </w:r>
      <w:r>
        <w:rPr>
          <w:spacing w:val="-5"/>
          <w:sz w:val="12"/>
        </w:rPr>
        <w:t>20.</w:t>
      </w:r>
    </w:p>
    <w:p w14:paraId="4BCC661A" w14:textId="77777777" w:rsidR="0014798C" w:rsidRDefault="004E1F0B">
      <w:pPr>
        <w:spacing w:before="69"/>
        <w:ind w:left="1108"/>
        <w:rPr>
          <w:sz w:val="12"/>
        </w:rPr>
      </w:pPr>
      <w:r>
        <w:rPr>
          <w:sz w:val="12"/>
        </w:rPr>
        <w:t>751</w:t>
      </w:r>
      <w:r>
        <w:rPr>
          <w:spacing w:val="-7"/>
          <w:sz w:val="12"/>
        </w:rPr>
        <w:t xml:space="preserve"> </w:t>
      </w:r>
      <w:proofErr w:type="spellStart"/>
      <w:r>
        <w:rPr>
          <w:spacing w:val="-2"/>
          <w:sz w:val="12"/>
        </w:rPr>
        <w:t>Ibíd</w:t>
      </w:r>
      <w:proofErr w:type="spellEnd"/>
      <w:r>
        <w:rPr>
          <w:spacing w:val="-2"/>
          <w:sz w:val="12"/>
        </w:rPr>
        <w:t>.</w:t>
      </w:r>
    </w:p>
    <w:p w14:paraId="7B75C424" w14:textId="77777777" w:rsidR="0014798C" w:rsidRDefault="0014798C">
      <w:pPr>
        <w:rPr>
          <w:sz w:val="12"/>
        </w:rPr>
        <w:sectPr w:rsidR="0014798C" w:rsidSect="00F265E4">
          <w:pgSz w:w="11900" w:h="16820"/>
          <w:pgMar w:top="340" w:right="0" w:bottom="280" w:left="200" w:header="121" w:footer="0" w:gutter="0"/>
          <w:cols w:space="720"/>
        </w:sectPr>
      </w:pPr>
    </w:p>
    <w:p w14:paraId="6FF28AF7" w14:textId="77777777" w:rsidR="0014798C" w:rsidRDefault="004E1F0B">
      <w:pPr>
        <w:spacing w:before="85"/>
        <w:jc w:val="right"/>
        <w:rPr>
          <w:sz w:val="8"/>
        </w:rPr>
      </w:pPr>
      <w:r>
        <w:rPr>
          <w:spacing w:val="-5"/>
          <w:w w:val="105"/>
          <w:sz w:val="8"/>
        </w:rPr>
        <w:t>752</w:t>
      </w:r>
    </w:p>
    <w:p w14:paraId="46CA2987" w14:textId="77777777" w:rsidR="0014798C" w:rsidRDefault="004E1F0B">
      <w:pPr>
        <w:spacing w:before="128"/>
        <w:ind w:left="76"/>
        <w:rPr>
          <w:sz w:val="12"/>
        </w:rPr>
      </w:pPr>
      <w:r>
        <w:br w:type="column"/>
      </w:r>
      <w:r>
        <w:rPr>
          <w:sz w:val="12"/>
        </w:rPr>
        <w:t>A/71/301,</w:t>
      </w:r>
      <w:r>
        <w:rPr>
          <w:spacing w:val="1"/>
          <w:sz w:val="12"/>
        </w:rPr>
        <w:t xml:space="preserve"> </w:t>
      </w:r>
      <w:proofErr w:type="spellStart"/>
      <w:r>
        <w:rPr>
          <w:sz w:val="12"/>
        </w:rPr>
        <w:t>párrs</w:t>
      </w:r>
      <w:proofErr w:type="spellEnd"/>
      <w:r>
        <w:rPr>
          <w:sz w:val="12"/>
        </w:rPr>
        <w:t>.</w:t>
      </w:r>
      <w:r>
        <w:rPr>
          <w:spacing w:val="2"/>
          <w:sz w:val="12"/>
        </w:rPr>
        <w:t xml:space="preserve"> </w:t>
      </w:r>
      <w:r>
        <w:rPr>
          <w:sz w:val="12"/>
        </w:rPr>
        <w:t>10</w:t>
      </w:r>
      <w:r>
        <w:rPr>
          <w:spacing w:val="2"/>
          <w:sz w:val="12"/>
        </w:rPr>
        <w:t xml:space="preserve"> </w:t>
      </w:r>
      <w:r>
        <w:rPr>
          <w:sz w:val="12"/>
        </w:rPr>
        <w:t>y</w:t>
      </w:r>
      <w:r>
        <w:rPr>
          <w:spacing w:val="2"/>
          <w:sz w:val="12"/>
        </w:rPr>
        <w:t xml:space="preserve"> </w:t>
      </w:r>
      <w:r>
        <w:rPr>
          <w:spacing w:val="-5"/>
          <w:sz w:val="12"/>
        </w:rPr>
        <w:t>46.</w:t>
      </w:r>
    </w:p>
    <w:p w14:paraId="54A80D5D" w14:textId="77777777" w:rsidR="0014798C" w:rsidRDefault="0014798C">
      <w:pPr>
        <w:rPr>
          <w:sz w:val="12"/>
        </w:rPr>
        <w:sectPr w:rsidR="0014798C" w:rsidSect="00F265E4">
          <w:type w:val="continuous"/>
          <w:pgSz w:w="11900" w:h="16820"/>
          <w:pgMar w:top="40" w:right="0" w:bottom="280" w:left="200" w:header="121" w:footer="0" w:gutter="0"/>
          <w:cols w:num="2" w:space="720" w:equalWidth="0">
            <w:col w:w="1250" w:space="40"/>
            <w:col w:w="10410"/>
          </w:cols>
        </w:sectPr>
      </w:pPr>
    </w:p>
    <w:p w14:paraId="4E158326" w14:textId="77777777" w:rsidR="0014798C" w:rsidRDefault="004E1F0B">
      <w:pPr>
        <w:spacing w:before="100"/>
        <w:ind w:left="1108"/>
        <w:rPr>
          <w:sz w:val="12"/>
        </w:rPr>
      </w:pPr>
      <w:r>
        <w:rPr>
          <w:sz w:val="12"/>
        </w:rPr>
        <w:t>753</w:t>
      </w:r>
      <w:r>
        <w:rPr>
          <w:spacing w:val="-8"/>
          <w:sz w:val="12"/>
        </w:rPr>
        <w:t xml:space="preserve"> </w:t>
      </w:r>
      <w:proofErr w:type="spellStart"/>
      <w:r>
        <w:rPr>
          <w:sz w:val="12"/>
        </w:rPr>
        <w:t>Ibíd</w:t>
      </w:r>
      <w:proofErr w:type="spellEnd"/>
      <w:r>
        <w:rPr>
          <w:sz w:val="12"/>
        </w:rPr>
        <w:t>.,</w:t>
      </w:r>
      <w:r>
        <w:rPr>
          <w:spacing w:val="-7"/>
          <w:sz w:val="12"/>
        </w:rPr>
        <w:t xml:space="preserve"> </w:t>
      </w:r>
      <w:r>
        <w:rPr>
          <w:sz w:val="12"/>
        </w:rPr>
        <w:t>párr.</w:t>
      </w:r>
      <w:r>
        <w:rPr>
          <w:spacing w:val="-7"/>
          <w:sz w:val="12"/>
        </w:rPr>
        <w:t xml:space="preserve"> </w:t>
      </w:r>
      <w:r>
        <w:rPr>
          <w:spacing w:val="-5"/>
          <w:sz w:val="12"/>
        </w:rPr>
        <w:t>46.</w:t>
      </w:r>
    </w:p>
    <w:p w14:paraId="2A5524E5" w14:textId="77777777" w:rsidR="0014798C" w:rsidRDefault="004E1F0B">
      <w:pPr>
        <w:spacing w:before="99"/>
        <w:ind w:left="1108"/>
        <w:rPr>
          <w:sz w:val="12"/>
        </w:rPr>
      </w:pPr>
      <w:r>
        <w:rPr>
          <w:spacing w:val="-2"/>
          <w:sz w:val="12"/>
        </w:rPr>
        <w:t>754 Consejo de</w:t>
      </w:r>
      <w:r>
        <w:rPr>
          <w:spacing w:val="-1"/>
          <w:sz w:val="12"/>
        </w:rPr>
        <w:t xml:space="preserve"> </w:t>
      </w:r>
      <w:r>
        <w:rPr>
          <w:spacing w:val="-2"/>
          <w:sz w:val="12"/>
        </w:rPr>
        <w:t>Europa, Comisión Europea</w:t>
      </w:r>
      <w:r>
        <w:rPr>
          <w:spacing w:val="-1"/>
          <w:sz w:val="12"/>
        </w:rPr>
        <w:t xml:space="preserve"> </w:t>
      </w:r>
      <w:r>
        <w:rPr>
          <w:spacing w:val="-2"/>
          <w:sz w:val="12"/>
        </w:rPr>
        <w:t>contra el Racismo</w:t>
      </w:r>
      <w:r>
        <w:rPr>
          <w:spacing w:val="-1"/>
          <w:sz w:val="12"/>
        </w:rPr>
        <w:t xml:space="preserve"> </w:t>
      </w:r>
      <w:r>
        <w:rPr>
          <w:spacing w:val="-2"/>
          <w:sz w:val="12"/>
        </w:rPr>
        <w:t>y la Intolerancia,</w:t>
      </w:r>
      <w:r>
        <w:rPr>
          <w:sz w:val="12"/>
        </w:rPr>
        <w:t xml:space="preserve"> </w:t>
      </w:r>
      <w:r>
        <w:rPr>
          <w:spacing w:val="-2"/>
          <w:sz w:val="12"/>
        </w:rPr>
        <w:t>“Recomendación de política</w:t>
      </w:r>
      <w:r>
        <w:rPr>
          <w:spacing w:val="-1"/>
          <w:sz w:val="12"/>
        </w:rPr>
        <w:t xml:space="preserve"> </w:t>
      </w:r>
      <w:r>
        <w:rPr>
          <w:spacing w:val="-2"/>
          <w:sz w:val="12"/>
        </w:rPr>
        <w:t>general No. 2</w:t>
      </w:r>
      <w:r>
        <w:rPr>
          <w:spacing w:val="-1"/>
          <w:sz w:val="12"/>
        </w:rPr>
        <w:t xml:space="preserve"> </w:t>
      </w:r>
      <w:r>
        <w:rPr>
          <w:spacing w:val="-2"/>
          <w:sz w:val="12"/>
        </w:rPr>
        <w:t>de la ECRI”,</w:t>
      </w:r>
      <w:r>
        <w:rPr>
          <w:spacing w:val="-1"/>
          <w:sz w:val="12"/>
        </w:rPr>
        <w:t xml:space="preserve"> </w:t>
      </w:r>
      <w:r>
        <w:rPr>
          <w:spacing w:val="-2"/>
          <w:sz w:val="12"/>
        </w:rPr>
        <w:t xml:space="preserve">párr. 37; </w:t>
      </w:r>
      <w:r>
        <w:rPr>
          <w:spacing w:val="-10"/>
          <w:sz w:val="12"/>
        </w:rPr>
        <w:t>y</w:t>
      </w:r>
    </w:p>
    <w:p w14:paraId="1F7521BC" w14:textId="77777777" w:rsidR="0014798C" w:rsidRDefault="004E1F0B">
      <w:pPr>
        <w:spacing w:before="40"/>
        <w:ind w:left="1371"/>
        <w:rPr>
          <w:sz w:val="12"/>
        </w:rPr>
      </w:pPr>
      <w:r>
        <w:rPr>
          <w:sz w:val="12"/>
        </w:rPr>
        <w:t>Recomendación</w:t>
      </w:r>
      <w:r>
        <w:rPr>
          <w:spacing w:val="3"/>
          <w:sz w:val="12"/>
        </w:rPr>
        <w:t xml:space="preserve"> </w:t>
      </w:r>
      <w:r>
        <w:rPr>
          <w:sz w:val="12"/>
        </w:rPr>
        <w:t>de</w:t>
      </w:r>
      <w:r>
        <w:rPr>
          <w:spacing w:val="3"/>
          <w:sz w:val="12"/>
        </w:rPr>
        <w:t xml:space="preserve"> </w:t>
      </w:r>
      <w:r>
        <w:rPr>
          <w:sz w:val="12"/>
        </w:rPr>
        <w:t>la</w:t>
      </w:r>
      <w:r>
        <w:rPr>
          <w:spacing w:val="4"/>
          <w:sz w:val="12"/>
        </w:rPr>
        <w:t xml:space="preserve"> </w:t>
      </w:r>
      <w:r>
        <w:rPr>
          <w:sz w:val="12"/>
        </w:rPr>
        <w:t>Comisión</w:t>
      </w:r>
      <w:r>
        <w:rPr>
          <w:spacing w:val="3"/>
          <w:sz w:val="12"/>
        </w:rPr>
        <w:t xml:space="preserve"> </w:t>
      </w:r>
      <w:r>
        <w:rPr>
          <w:sz w:val="12"/>
        </w:rPr>
        <w:t>(UE)</w:t>
      </w:r>
      <w:r>
        <w:rPr>
          <w:spacing w:val="3"/>
          <w:sz w:val="12"/>
        </w:rPr>
        <w:t xml:space="preserve"> </w:t>
      </w:r>
      <w:r>
        <w:rPr>
          <w:sz w:val="12"/>
        </w:rPr>
        <w:t>2018/951,</w:t>
      </w:r>
      <w:r>
        <w:rPr>
          <w:spacing w:val="5"/>
          <w:sz w:val="12"/>
        </w:rPr>
        <w:t xml:space="preserve"> </w:t>
      </w:r>
      <w:r>
        <w:rPr>
          <w:sz w:val="12"/>
        </w:rPr>
        <w:t>de</w:t>
      </w:r>
      <w:r>
        <w:rPr>
          <w:spacing w:val="3"/>
          <w:sz w:val="12"/>
        </w:rPr>
        <w:t xml:space="preserve"> </w:t>
      </w:r>
      <w:r>
        <w:rPr>
          <w:sz w:val="12"/>
        </w:rPr>
        <w:t>22</w:t>
      </w:r>
      <w:r>
        <w:rPr>
          <w:spacing w:val="4"/>
          <w:sz w:val="12"/>
        </w:rPr>
        <w:t xml:space="preserve"> </w:t>
      </w:r>
      <w:r>
        <w:rPr>
          <w:sz w:val="12"/>
        </w:rPr>
        <w:t>de</w:t>
      </w:r>
      <w:r>
        <w:rPr>
          <w:spacing w:val="3"/>
          <w:sz w:val="12"/>
        </w:rPr>
        <w:t xml:space="preserve"> </w:t>
      </w:r>
      <w:r>
        <w:rPr>
          <w:sz w:val="12"/>
        </w:rPr>
        <w:t>junio</w:t>
      </w:r>
      <w:r>
        <w:rPr>
          <w:spacing w:val="3"/>
          <w:sz w:val="12"/>
        </w:rPr>
        <w:t xml:space="preserve"> </w:t>
      </w:r>
      <w:r>
        <w:rPr>
          <w:sz w:val="12"/>
        </w:rPr>
        <w:t>de</w:t>
      </w:r>
      <w:r>
        <w:rPr>
          <w:spacing w:val="4"/>
          <w:sz w:val="12"/>
        </w:rPr>
        <w:t xml:space="preserve"> </w:t>
      </w:r>
      <w:r>
        <w:rPr>
          <w:sz w:val="12"/>
        </w:rPr>
        <w:t>2018,</w:t>
      </w:r>
      <w:r>
        <w:rPr>
          <w:spacing w:val="3"/>
          <w:sz w:val="12"/>
        </w:rPr>
        <w:t xml:space="preserve"> </w:t>
      </w:r>
      <w:r>
        <w:rPr>
          <w:sz w:val="12"/>
        </w:rPr>
        <w:t>sobre</w:t>
      </w:r>
      <w:r>
        <w:rPr>
          <w:spacing w:val="3"/>
          <w:sz w:val="12"/>
        </w:rPr>
        <w:t xml:space="preserve"> </w:t>
      </w:r>
      <w:r>
        <w:rPr>
          <w:sz w:val="12"/>
        </w:rPr>
        <w:t>estándares</w:t>
      </w:r>
      <w:r>
        <w:rPr>
          <w:spacing w:val="4"/>
          <w:sz w:val="12"/>
        </w:rPr>
        <w:t xml:space="preserve"> </w:t>
      </w:r>
      <w:r>
        <w:rPr>
          <w:sz w:val="12"/>
        </w:rPr>
        <w:t>para</w:t>
      </w:r>
      <w:r>
        <w:rPr>
          <w:spacing w:val="3"/>
          <w:sz w:val="12"/>
        </w:rPr>
        <w:t xml:space="preserve"> </w:t>
      </w:r>
      <w:r>
        <w:rPr>
          <w:sz w:val="12"/>
        </w:rPr>
        <w:t>organismos</w:t>
      </w:r>
      <w:r>
        <w:rPr>
          <w:spacing w:val="3"/>
          <w:sz w:val="12"/>
        </w:rPr>
        <w:t xml:space="preserve"> </w:t>
      </w:r>
      <w:r>
        <w:rPr>
          <w:sz w:val="12"/>
        </w:rPr>
        <w:t>de</w:t>
      </w:r>
      <w:r>
        <w:rPr>
          <w:spacing w:val="4"/>
          <w:sz w:val="12"/>
        </w:rPr>
        <w:t xml:space="preserve"> </w:t>
      </w:r>
      <w:r>
        <w:rPr>
          <w:sz w:val="12"/>
        </w:rPr>
        <w:t>igualdad,</w:t>
      </w:r>
      <w:r>
        <w:rPr>
          <w:spacing w:val="4"/>
          <w:sz w:val="12"/>
        </w:rPr>
        <w:t xml:space="preserve"> </w:t>
      </w:r>
      <w:r>
        <w:rPr>
          <w:sz w:val="12"/>
        </w:rPr>
        <w:t>recomendación</w:t>
      </w:r>
      <w:r>
        <w:rPr>
          <w:spacing w:val="4"/>
          <w:sz w:val="12"/>
        </w:rPr>
        <w:t xml:space="preserve"> </w:t>
      </w:r>
      <w:r>
        <w:rPr>
          <w:spacing w:val="-4"/>
          <w:sz w:val="12"/>
        </w:rPr>
        <w:t>1.3.</w:t>
      </w:r>
    </w:p>
    <w:p w14:paraId="6B9BFA24" w14:textId="77777777" w:rsidR="0014798C" w:rsidRDefault="004E1F0B">
      <w:pPr>
        <w:spacing w:before="100"/>
        <w:ind w:left="1108"/>
        <w:rPr>
          <w:sz w:val="12"/>
        </w:rPr>
      </w:pPr>
      <w:r>
        <w:rPr>
          <w:sz w:val="12"/>
        </w:rPr>
        <w:t>755</w:t>
      </w:r>
      <w:r>
        <w:rPr>
          <w:spacing w:val="-9"/>
          <w:sz w:val="12"/>
        </w:rPr>
        <w:t xml:space="preserve"> </w:t>
      </w:r>
      <w:r>
        <w:rPr>
          <w:sz w:val="12"/>
        </w:rPr>
        <w:t>Consejo</w:t>
      </w:r>
      <w:r>
        <w:rPr>
          <w:spacing w:val="-8"/>
          <w:sz w:val="12"/>
        </w:rPr>
        <w:t xml:space="preserve"> </w:t>
      </w:r>
      <w:r>
        <w:rPr>
          <w:sz w:val="12"/>
        </w:rPr>
        <w:t>de</w:t>
      </w:r>
      <w:r>
        <w:rPr>
          <w:spacing w:val="-8"/>
          <w:sz w:val="12"/>
        </w:rPr>
        <w:t xml:space="preserve"> </w:t>
      </w:r>
      <w:r>
        <w:rPr>
          <w:sz w:val="12"/>
        </w:rPr>
        <w:t>Europa,</w:t>
      </w:r>
      <w:r>
        <w:rPr>
          <w:spacing w:val="-9"/>
          <w:sz w:val="12"/>
        </w:rPr>
        <w:t xml:space="preserve"> </w:t>
      </w:r>
      <w:r>
        <w:rPr>
          <w:sz w:val="12"/>
        </w:rPr>
        <w:t>Comisión</w:t>
      </w:r>
      <w:r>
        <w:rPr>
          <w:spacing w:val="-8"/>
          <w:sz w:val="12"/>
        </w:rPr>
        <w:t xml:space="preserve"> </w:t>
      </w:r>
      <w:r>
        <w:rPr>
          <w:sz w:val="12"/>
        </w:rPr>
        <w:t>Europea</w:t>
      </w:r>
      <w:r>
        <w:rPr>
          <w:spacing w:val="-8"/>
          <w:sz w:val="12"/>
        </w:rPr>
        <w:t xml:space="preserve"> </w:t>
      </w:r>
      <w:r>
        <w:rPr>
          <w:sz w:val="12"/>
        </w:rPr>
        <w:t>contra</w:t>
      </w:r>
      <w:r>
        <w:rPr>
          <w:spacing w:val="-9"/>
          <w:sz w:val="12"/>
        </w:rPr>
        <w:t xml:space="preserve"> </w:t>
      </w:r>
      <w:r>
        <w:rPr>
          <w:sz w:val="12"/>
        </w:rPr>
        <w:t>el</w:t>
      </w:r>
      <w:r>
        <w:rPr>
          <w:spacing w:val="-8"/>
          <w:sz w:val="12"/>
        </w:rPr>
        <w:t xml:space="preserve"> </w:t>
      </w:r>
      <w:r>
        <w:rPr>
          <w:sz w:val="12"/>
        </w:rPr>
        <w:t>Racismo</w:t>
      </w:r>
      <w:r>
        <w:rPr>
          <w:spacing w:val="-8"/>
          <w:sz w:val="12"/>
        </w:rPr>
        <w:t xml:space="preserve"> </w:t>
      </w:r>
      <w:r>
        <w:rPr>
          <w:sz w:val="12"/>
        </w:rPr>
        <w:t>y</w:t>
      </w:r>
      <w:r>
        <w:rPr>
          <w:spacing w:val="-8"/>
          <w:sz w:val="12"/>
        </w:rPr>
        <w:t xml:space="preserve"> </w:t>
      </w:r>
      <w:r>
        <w:rPr>
          <w:sz w:val="12"/>
        </w:rPr>
        <w:t>la</w:t>
      </w:r>
      <w:r>
        <w:rPr>
          <w:spacing w:val="-9"/>
          <w:sz w:val="12"/>
        </w:rPr>
        <w:t xml:space="preserve"> </w:t>
      </w:r>
      <w:r>
        <w:rPr>
          <w:sz w:val="12"/>
        </w:rPr>
        <w:t>Intolerancia,</w:t>
      </w:r>
      <w:r>
        <w:rPr>
          <w:spacing w:val="-7"/>
          <w:sz w:val="12"/>
        </w:rPr>
        <w:t xml:space="preserve"> </w:t>
      </w:r>
      <w:r>
        <w:rPr>
          <w:sz w:val="12"/>
        </w:rPr>
        <w:t>“Recomendación</w:t>
      </w:r>
      <w:r>
        <w:rPr>
          <w:spacing w:val="-8"/>
          <w:sz w:val="12"/>
        </w:rPr>
        <w:t xml:space="preserve"> </w:t>
      </w:r>
      <w:r>
        <w:rPr>
          <w:sz w:val="12"/>
        </w:rPr>
        <w:t>de</w:t>
      </w:r>
      <w:r>
        <w:rPr>
          <w:spacing w:val="-9"/>
          <w:sz w:val="12"/>
        </w:rPr>
        <w:t xml:space="preserve"> </w:t>
      </w:r>
      <w:r>
        <w:rPr>
          <w:sz w:val="12"/>
        </w:rPr>
        <w:t>política</w:t>
      </w:r>
      <w:r>
        <w:rPr>
          <w:spacing w:val="-8"/>
          <w:sz w:val="12"/>
        </w:rPr>
        <w:t xml:space="preserve"> </w:t>
      </w:r>
      <w:r>
        <w:rPr>
          <w:sz w:val="12"/>
        </w:rPr>
        <w:t>general</w:t>
      </w:r>
      <w:r>
        <w:rPr>
          <w:spacing w:val="-8"/>
          <w:sz w:val="12"/>
        </w:rPr>
        <w:t xml:space="preserve"> </w:t>
      </w:r>
      <w:r>
        <w:rPr>
          <w:sz w:val="12"/>
        </w:rPr>
        <w:t>No.</w:t>
      </w:r>
      <w:r>
        <w:rPr>
          <w:spacing w:val="-9"/>
          <w:sz w:val="12"/>
        </w:rPr>
        <w:t xml:space="preserve"> </w:t>
      </w:r>
      <w:r>
        <w:rPr>
          <w:sz w:val="12"/>
        </w:rPr>
        <w:t>2</w:t>
      </w:r>
      <w:r>
        <w:rPr>
          <w:spacing w:val="-8"/>
          <w:sz w:val="12"/>
        </w:rPr>
        <w:t xml:space="preserve"> </w:t>
      </w:r>
      <w:r>
        <w:rPr>
          <w:sz w:val="12"/>
        </w:rPr>
        <w:t>de</w:t>
      </w:r>
      <w:r>
        <w:rPr>
          <w:spacing w:val="-8"/>
          <w:sz w:val="12"/>
        </w:rPr>
        <w:t xml:space="preserve"> </w:t>
      </w:r>
      <w:r>
        <w:rPr>
          <w:sz w:val="12"/>
        </w:rPr>
        <w:t>la</w:t>
      </w:r>
      <w:r>
        <w:rPr>
          <w:spacing w:val="-8"/>
          <w:sz w:val="12"/>
        </w:rPr>
        <w:t xml:space="preserve"> </w:t>
      </w:r>
      <w:r>
        <w:rPr>
          <w:sz w:val="12"/>
        </w:rPr>
        <w:t>ECRI”,</w:t>
      </w:r>
      <w:r>
        <w:rPr>
          <w:spacing w:val="-9"/>
          <w:sz w:val="12"/>
        </w:rPr>
        <w:t xml:space="preserve"> </w:t>
      </w:r>
      <w:r>
        <w:rPr>
          <w:sz w:val="12"/>
        </w:rPr>
        <w:t>párr.</w:t>
      </w:r>
      <w:r>
        <w:rPr>
          <w:spacing w:val="-8"/>
          <w:sz w:val="12"/>
        </w:rPr>
        <w:t xml:space="preserve"> </w:t>
      </w:r>
      <w:r>
        <w:rPr>
          <w:spacing w:val="-5"/>
          <w:sz w:val="12"/>
        </w:rPr>
        <w:t>37.</w:t>
      </w:r>
    </w:p>
    <w:p w14:paraId="59D836E8" w14:textId="77777777" w:rsidR="0014798C" w:rsidRDefault="004E1F0B">
      <w:pPr>
        <w:spacing w:before="97" w:line="312" w:lineRule="auto"/>
        <w:ind w:left="1376" w:right="2337" w:hanging="268"/>
        <w:rPr>
          <w:sz w:val="12"/>
        </w:rPr>
      </w:pPr>
      <w:r>
        <w:rPr>
          <w:sz w:val="12"/>
        </w:rPr>
        <w:t xml:space="preserve">756 Suecia, Ministerio de Cultura, The </w:t>
      </w:r>
      <w:proofErr w:type="spellStart"/>
      <w:r>
        <w:rPr>
          <w:sz w:val="12"/>
        </w:rPr>
        <w:t>Dark</w:t>
      </w:r>
      <w:proofErr w:type="spellEnd"/>
      <w:r>
        <w:rPr>
          <w:sz w:val="12"/>
        </w:rPr>
        <w:t xml:space="preserve"> </w:t>
      </w:r>
      <w:proofErr w:type="spellStart"/>
      <w:r>
        <w:rPr>
          <w:sz w:val="12"/>
        </w:rPr>
        <w:t>Unknown</w:t>
      </w:r>
      <w:proofErr w:type="spellEnd"/>
      <w:r>
        <w:rPr>
          <w:sz w:val="12"/>
        </w:rPr>
        <w:t xml:space="preserve"> </w:t>
      </w:r>
      <w:proofErr w:type="spellStart"/>
      <w:r>
        <w:rPr>
          <w:sz w:val="12"/>
        </w:rPr>
        <w:t>History</w:t>
      </w:r>
      <w:proofErr w:type="spellEnd"/>
      <w:r>
        <w:rPr>
          <w:sz w:val="12"/>
        </w:rPr>
        <w:t xml:space="preserve">: White </w:t>
      </w:r>
      <w:proofErr w:type="spellStart"/>
      <w:r>
        <w:rPr>
          <w:sz w:val="12"/>
        </w:rPr>
        <w:t>Paper</w:t>
      </w:r>
      <w:proofErr w:type="spellEnd"/>
      <w:r>
        <w:rPr>
          <w:sz w:val="12"/>
        </w:rPr>
        <w:t xml:space="preserve"> </w:t>
      </w:r>
      <w:proofErr w:type="spellStart"/>
      <w:r>
        <w:rPr>
          <w:sz w:val="12"/>
        </w:rPr>
        <w:t>on</w:t>
      </w:r>
      <w:proofErr w:type="spellEnd"/>
      <w:r>
        <w:rPr>
          <w:sz w:val="12"/>
        </w:rPr>
        <w:t xml:space="preserve"> Abusos y violaciones de derechos contra los romaníes en el siglo XX.</w:t>
      </w:r>
      <w:r>
        <w:rPr>
          <w:spacing w:val="40"/>
          <w:sz w:val="12"/>
        </w:rPr>
        <w:t xml:space="preserve"> </w:t>
      </w:r>
      <w:r>
        <w:rPr>
          <w:sz w:val="12"/>
        </w:rPr>
        <w:t>Century (Estocolmo, 2015), pág. 15.</w:t>
      </w:r>
    </w:p>
    <w:p w14:paraId="56BF37A0" w14:textId="77777777" w:rsidR="0014798C" w:rsidRDefault="004E1F0B">
      <w:pPr>
        <w:spacing w:before="87"/>
        <w:ind w:left="1108"/>
        <w:rPr>
          <w:sz w:val="9"/>
        </w:rPr>
      </w:pPr>
      <w:r>
        <w:rPr>
          <w:w w:val="105"/>
          <w:sz w:val="9"/>
        </w:rPr>
        <w:t>757</w:t>
      </w:r>
      <w:r>
        <w:rPr>
          <w:spacing w:val="-8"/>
          <w:w w:val="105"/>
          <w:sz w:val="9"/>
        </w:rPr>
        <w:t xml:space="preserve"> </w:t>
      </w:r>
      <w:proofErr w:type="spellStart"/>
      <w:r>
        <w:rPr>
          <w:w w:val="105"/>
          <w:sz w:val="9"/>
        </w:rPr>
        <w:t>Ibíd</w:t>
      </w:r>
      <w:proofErr w:type="spellEnd"/>
      <w:r>
        <w:rPr>
          <w:w w:val="105"/>
          <w:sz w:val="9"/>
        </w:rPr>
        <w:t>.,</w:t>
      </w:r>
      <w:r>
        <w:rPr>
          <w:spacing w:val="-5"/>
          <w:w w:val="105"/>
          <w:sz w:val="9"/>
        </w:rPr>
        <w:t xml:space="preserve"> </w:t>
      </w:r>
      <w:r>
        <w:rPr>
          <w:w w:val="105"/>
          <w:sz w:val="9"/>
        </w:rPr>
        <w:t>pág.</w:t>
      </w:r>
      <w:r>
        <w:rPr>
          <w:spacing w:val="-5"/>
          <w:w w:val="105"/>
          <w:sz w:val="9"/>
        </w:rPr>
        <w:t xml:space="preserve"> </w:t>
      </w:r>
      <w:r>
        <w:rPr>
          <w:spacing w:val="-2"/>
          <w:w w:val="105"/>
          <w:sz w:val="9"/>
        </w:rPr>
        <w:t>dieciséis.</w:t>
      </w:r>
    </w:p>
    <w:p w14:paraId="00C5CAB3" w14:textId="77777777" w:rsidR="0014798C" w:rsidRDefault="004E1F0B">
      <w:pPr>
        <w:spacing w:before="73"/>
        <w:ind w:left="1108"/>
        <w:rPr>
          <w:sz w:val="12"/>
        </w:rPr>
      </w:pPr>
      <w:r>
        <w:rPr>
          <w:sz w:val="12"/>
        </w:rPr>
        <w:t>758</w:t>
      </w:r>
      <w:r>
        <w:rPr>
          <w:spacing w:val="-7"/>
          <w:sz w:val="12"/>
        </w:rPr>
        <w:t xml:space="preserve"> </w:t>
      </w:r>
      <w:proofErr w:type="spellStart"/>
      <w:r>
        <w:rPr>
          <w:spacing w:val="-2"/>
          <w:sz w:val="12"/>
        </w:rPr>
        <w:t>Ibíd</w:t>
      </w:r>
      <w:proofErr w:type="spellEnd"/>
      <w:r>
        <w:rPr>
          <w:spacing w:val="-2"/>
          <w:sz w:val="12"/>
        </w:rPr>
        <w:t>.</w:t>
      </w:r>
    </w:p>
    <w:p w14:paraId="3EFDD2C6" w14:textId="77777777" w:rsidR="0014798C" w:rsidRDefault="004E1F0B">
      <w:pPr>
        <w:spacing w:before="130"/>
        <w:ind w:left="1108"/>
        <w:rPr>
          <w:sz w:val="12"/>
        </w:rPr>
      </w:pPr>
      <w:r>
        <w:rPr>
          <w:sz w:val="12"/>
        </w:rPr>
        <w:t>759</w:t>
      </w:r>
      <w:r>
        <w:rPr>
          <w:spacing w:val="-6"/>
          <w:sz w:val="12"/>
        </w:rPr>
        <w:t xml:space="preserve"> </w:t>
      </w:r>
      <w:r>
        <w:rPr>
          <w:sz w:val="12"/>
        </w:rPr>
        <w:t>Véanse</w:t>
      </w:r>
      <w:r>
        <w:rPr>
          <w:spacing w:val="-6"/>
          <w:sz w:val="12"/>
        </w:rPr>
        <w:t xml:space="preserve"> </w:t>
      </w:r>
      <w:r>
        <w:rPr>
          <w:sz w:val="12"/>
        </w:rPr>
        <w:t>las</w:t>
      </w:r>
      <w:r>
        <w:rPr>
          <w:spacing w:val="-6"/>
          <w:sz w:val="12"/>
        </w:rPr>
        <w:t xml:space="preserve"> </w:t>
      </w:r>
      <w:r>
        <w:rPr>
          <w:sz w:val="12"/>
        </w:rPr>
        <w:t>secciones</w:t>
      </w:r>
      <w:r>
        <w:rPr>
          <w:spacing w:val="-5"/>
          <w:sz w:val="12"/>
        </w:rPr>
        <w:t xml:space="preserve"> </w:t>
      </w:r>
      <w:r>
        <w:rPr>
          <w:sz w:val="12"/>
        </w:rPr>
        <w:t>adicionales</w:t>
      </w:r>
      <w:r>
        <w:rPr>
          <w:spacing w:val="-6"/>
          <w:sz w:val="12"/>
        </w:rPr>
        <w:t xml:space="preserve"> </w:t>
      </w:r>
      <w:r>
        <w:rPr>
          <w:sz w:val="12"/>
        </w:rPr>
        <w:t>IC1</w:t>
      </w:r>
      <w:r>
        <w:rPr>
          <w:spacing w:val="-6"/>
          <w:sz w:val="12"/>
        </w:rPr>
        <w:t xml:space="preserve"> </w:t>
      </w:r>
      <w:r>
        <w:rPr>
          <w:sz w:val="12"/>
        </w:rPr>
        <w:t>y</w:t>
      </w:r>
      <w:r>
        <w:rPr>
          <w:spacing w:val="-6"/>
          <w:sz w:val="12"/>
        </w:rPr>
        <w:t xml:space="preserve"> </w:t>
      </w:r>
      <w:r>
        <w:rPr>
          <w:sz w:val="12"/>
        </w:rPr>
        <w:t>IA2(d)</w:t>
      </w:r>
      <w:r>
        <w:rPr>
          <w:spacing w:val="-5"/>
          <w:sz w:val="12"/>
        </w:rPr>
        <w:t xml:space="preserve"> </w:t>
      </w:r>
      <w:r>
        <w:rPr>
          <w:sz w:val="12"/>
        </w:rPr>
        <w:t>de</w:t>
      </w:r>
      <w:r>
        <w:rPr>
          <w:spacing w:val="-6"/>
          <w:sz w:val="12"/>
        </w:rPr>
        <w:t xml:space="preserve"> </w:t>
      </w:r>
      <w:r>
        <w:rPr>
          <w:sz w:val="12"/>
        </w:rPr>
        <w:t>la</w:t>
      </w:r>
      <w:r>
        <w:rPr>
          <w:spacing w:val="-6"/>
          <w:sz w:val="12"/>
        </w:rPr>
        <w:t xml:space="preserve"> </w:t>
      </w:r>
      <w:r>
        <w:rPr>
          <w:sz w:val="12"/>
        </w:rPr>
        <w:t>segunda</w:t>
      </w:r>
      <w:r>
        <w:rPr>
          <w:spacing w:val="-6"/>
          <w:sz w:val="12"/>
        </w:rPr>
        <w:t xml:space="preserve"> </w:t>
      </w:r>
      <w:r>
        <w:rPr>
          <w:sz w:val="12"/>
        </w:rPr>
        <w:t>parte</w:t>
      </w:r>
      <w:r>
        <w:rPr>
          <w:spacing w:val="-5"/>
          <w:sz w:val="12"/>
        </w:rPr>
        <w:t xml:space="preserve"> </w:t>
      </w:r>
      <w:r>
        <w:rPr>
          <w:sz w:val="12"/>
        </w:rPr>
        <w:t>de</w:t>
      </w:r>
      <w:r>
        <w:rPr>
          <w:spacing w:val="-6"/>
          <w:sz w:val="12"/>
        </w:rPr>
        <w:t xml:space="preserve"> </w:t>
      </w:r>
      <w:r>
        <w:rPr>
          <w:sz w:val="12"/>
        </w:rPr>
        <w:t>la</w:t>
      </w:r>
      <w:r>
        <w:rPr>
          <w:spacing w:val="-6"/>
          <w:sz w:val="12"/>
        </w:rPr>
        <w:t xml:space="preserve"> </w:t>
      </w:r>
      <w:r>
        <w:rPr>
          <w:sz w:val="12"/>
        </w:rPr>
        <w:t>presente</w:t>
      </w:r>
      <w:r>
        <w:rPr>
          <w:spacing w:val="-6"/>
          <w:sz w:val="12"/>
        </w:rPr>
        <w:t xml:space="preserve"> </w:t>
      </w:r>
      <w:r>
        <w:rPr>
          <w:spacing w:val="-2"/>
          <w:sz w:val="12"/>
        </w:rPr>
        <w:t>guía.</w:t>
      </w:r>
    </w:p>
    <w:p w14:paraId="2A8BD40B" w14:textId="77777777" w:rsidR="0014798C" w:rsidRDefault="004E1F0B">
      <w:pPr>
        <w:spacing w:before="99"/>
        <w:ind w:left="1108"/>
        <w:rPr>
          <w:sz w:val="12"/>
        </w:rPr>
      </w:pPr>
      <w:r>
        <w:rPr>
          <w:sz w:val="12"/>
        </w:rPr>
        <w:t>760</w:t>
      </w:r>
      <w:r>
        <w:rPr>
          <w:spacing w:val="-8"/>
          <w:sz w:val="12"/>
        </w:rPr>
        <w:t xml:space="preserve"> </w:t>
      </w:r>
      <w:r>
        <w:rPr>
          <w:sz w:val="12"/>
        </w:rPr>
        <w:t>Comité</w:t>
      </w:r>
      <w:r>
        <w:rPr>
          <w:spacing w:val="-7"/>
          <w:sz w:val="12"/>
        </w:rPr>
        <w:t xml:space="preserve"> </w:t>
      </w:r>
      <w:r>
        <w:rPr>
          <w:sz w:val="12"/>
        </w:rPr>
        <w:t>sobre</w:t>
      </w:r>
      <w:r>
        <w:rPr>
          <w:spacing w:val="-7"/>
          <w:sz w:val="12"/>
        </w:rPr>
        <w:t xml:space="preserve"> </w:t>
      </w:r>
      <w:r>
        <w:rPr>
          <w:sz w:val="12"/>
        </w:rPr>
        <w:t>los</w:t>
      </w:r>
      <w:r>
        <w:rPr>
          <w:spacing w:val="-7"/>
          <w:sz w:val="12"/>
        </w:rPr>
        <w:t xml:space="preserve"> </w:t>
      </w:r>
      <w:r>
        <w:rPr>
          <w:sz w:val="12"/>
        </w:rPr>
        <w:t>Derechos</w:t>
      </w:r>
      <w:r>
        <w:rPr>
          <w:spacing w:val="-7"/>
          <w:sz w:val="12"/>
        </w:rPr>
        <w:t xml:space="preserve"> </w:t>
      </w:r>
      <w:r>
        <w:rPr>
          <w:sz w:val="12"/>
        </w:rPr>
        <w:t>de</w:t>
      </w:r>
      <w:r>
        <w:rPr>
          <w:spacing w:val="-7"/>
          <w:sz w:val="12"/>
        </w:rPr>
        <w:t xml:space="preserve"> </w:t>
      </w:r>
      <w:r>
        <w:rPr>
          <w:sz w:val="12"/>
        </w:rPr>
        <w:t>las</w:t>
      </w:r>
      <w:r>
        <w:rPr>
          <w:spacing w:val="-7"/>
          <w:sz w:val="12"/>
        </w:rPr>
        <w:t xml:space="preserve"> </w:t>
      </w:r>
      <w:r>
        <w:rPr>
          <w:sz w:val="12"/>
        </w:rPr>
        <w:t>Personas</w:t>
      </w:r>
      <w:r>
        <w:rPr>
          <w:spacing w:val="-7"/>
          <w:sz w:val="12"/>
        </w:rPr>
        <w:t xml:space="preserve"> </w:t>
      </w:r>
      <w:r>
        <w:rPr>
          <w:sz w:val="12"/>
        </w:rPr>
        <w:t>con</w:t>
      </w:r>
      <w:r>
        <w:rPr>
          <w:spacing w:val="-7"/>
          <w:sz w:val="12"/>
        </w:rPr>
        <w:t xml:space="preserve"> </w:t>
      </w:r>
      <w:r>
        <w:rPr>
          <w:sz w:val="12"/>
        </w:rPr>
        <w:t>Discapacidad,</w:t>
      </w:r>
      <w:r>
        <w:rPr>
          <w:spacing w:val="-7"/>
          <w:sz w:val="12"/>
        </w:rPr>
        <w:t xml:space="preserve"> </w:t>
      </w:r>
      <w:r>
        <w:rPr>
          <w:sz w:val="12"/>
        </w:rPr>
        <w:t>observación</w:t>
      </w:r>
      <w:r>
        <w:rPr>
          <w:spacing w:val="-7"/>
          <w:sz w:val="12"/>
        </w:rPr>
        <w:t xml:space="preserve"> </w:t>
      </w:r>
      <w:r>
        <w:rPr>
          <w:sz w:val="12"/>
        </w:rPr>
        <w:t>general</w:t>
      </w:r>
      <w:r>
        <w:rPr>
          <w:spacing w:val="-7"/>
          <w:sz w:val="12"/>
        </w:rPr>
        <w:t xml:space="preserve"> </w:t>
      </w:r>
      <w:r>
        <w:rPr>
          <w:sz w:val="12"/>
        </w:rPr>
        <w:t>núm.</w:t>
      </w:r>
      <w:r>
        <w:rPr>
          <w:spacing w:val="-7"/>
          <w:sz w:val="12"/>
        </w:rPr>
        <w:t xml:space="preserve"> </w:t>
      </w:r>
      <w:r>
        <w:rPr>
          <w:sz w:val="12"/>
        </w:rPr>
        <w:t>2</w:t>
      </w:r>
      <w:r>
        <w:rPr>
          <w:spacing w:val="-7"/>
          <w:sz w:val="12"/>
        </w:rPr>
        <w:t xml:space="preserve"> </w:t>
      </w:r>
      <w:r>
        <w:rPr>
          <w:sz w:val="12"/>
        </w:rPr>
        <w:t>(2014),</w:t>
      </w:r>
      <w:r>
        <w:rPr>
          <w:spacing w:val="-6"/>
          <w:sz w:val="12"/>
        </w:rPr>
        <w:t xml:space="preserve"> </w:t>
      </w:r>
      <w:proofErr w:type="spellStart"/>
      <w:r>
        <w:rPr>
          <w:sz w:val="12"/>
        </w:rPr>
        <w:t>párrs</w:t>
      </w:r>
      <w:proofErr w:type="spellEnd"/>
      <w:r>
        <w:rPr>
          <w:sz w:val="12"/>
        </w:rPr>
        <w:t>.</w:t>
      </w:r>
      <w:r>
        <w:rPr>
          <w:spacing w:val="-7"/>
          <w:sz w:val="12"/>
        </w:rPr>
        <w:t xml:space="preserve"> </w:t>
      </w:r>
      <w:r>
        <w:rPr>
          <w:sz w:val="12"/>
        </w:rPr>
        <w:t>24,</w:t>
      </w:r>
      <w:r>
        <w:rPr>
          <w:spacing w:val="-7"/>
          <w:sz w:val="12"/>
        </w:rPr>
        <w:t xml:space="preserve"> </w:t>
      </w:r>
      <w:r>
        <w:rPr>
          <w:sz w:val="12"/>
        </w:rPr>
        <w:t>33</w:t>
      </w:r>
      <w:r>
        <w:rPr>
          <w:spacing w:val="-8"/>
          <w:sz w:val="12"/>
        </w:rPr>
        <w:t xml:space="preserve"> </w:t>
      </w:r>
      <w:r>
        <w:rPr>
          <w:sz w:val="12"/>
        </w:rPr>
        <w:t>y</w:t>
      </w:r>
      <w:r>
        <w:rPr>
          <w:spacing w:val="-7"/>
          <w:sz w:val="12"/>
        </w:rPr>
        <w:t xml:space="preserve"> </w:t>
      </w:r>
      <w:r>
        <w:rPr>
          <w:spacing w:val="-5"/>
          <w:sz w:val="12"/>
        </w:rPr>
        <w:t>48.</w:t>
      </w:r>
    </w:p>
    <w:p w14:paraId="51526E54" w14:textId="77777777" w:rsidR="0014798C" w:rsidRDefault="0014798C">
      <w:pPr>
        <w:pStyle w:val="Textoindependiente"/>
        <w:rPr>
          <w:sz w:val="18"/>
        </w:rPr>
      </w:pPr>
    </w:p>
    <w:p w14:paraId="625F7F87" w14:textId="77777777" w:rsidR="0014798C" w:rsidRDefault="0014798C">
      <w:pPr>
        <w:pStyle w:val="Textoindependiente"/>
        <w:rPr>
          <w:sz w:val="18"/>
        </w:rPr>
      </w:pPr>
    </w:p>
    <w:p w14:paraId="04AC5748" w14:textId="77777777" w:rsidR="0014798C" w:rsidRDefault="0014798C">
      <w:pPr>
        <w:pStyle w:val="Textoindependiente"/>
        <w:spacing w:before="29"/>
        <w:rPr>
          <w:sz w:val="18"/>
        </w:rPr>
      </w:pPr>
    </w:p>
    <w:p w14:paraId="629D1496" w14:textId="77777777" w:rsidR="0014798C" w:rsidRDefault="004E1F0B">
      <w:pPr>
        <w:spacing w:before="1"/>
        <w:ind w:left="469"/>
        <w:rPr>
          <w:sz w:val="18"/>
        </w:rPr>
      </w:pPr>
      <w:r>
        <w:rPr>
          <w:spacing w:val="-5"/>
          <w:w w:val="105"/>
          <w:sz w:val="18"/>
        </w:rPr>
        <w:t>106</w:t>
      </w:r>
    </w:p>
    <w:p w14:paraId="3F2B9782" w14:textId="77777777" w:rsidR="0014798C" w:rsidRDefault="0014798C">
      <w:pPr>
        <w:rPr>
          <w:sz w:val="18"/>
        </w:rPr>
        <w:sectPr w:rsidR="0014798C" w:rsidSect="00F265E4">
          <w:type w:val="continuous"/>
          <w:pgSz w:w="11900" w:h="16820"/>
          <w:pgMar w:top="40" w:right="0" w:bottom="280" w:left="200" w:header="121" w:footer="0" w:gutter="0"/>
          <w:cols w:space="720"/>
        </w:sectPr>
      </w:pPr>
    </w:p>
    <w:p w14:paraId="066027FA" w14:textId="77777777" w:rsidR="0014798C" w:rsidRDefault="0014798C">
      <w:pPr>
        <w:pStyle w:val="Textoindependiente"/>
        <w:spacing w:before="51"/>
        <w:rPr>
          <w:sz w:val="14"/>
        </w:rPr>
      </w:pPr>
    </w:p>
    <w:p w14:paraId="31EA5BD1" w14:textId="77777777" w:rsidR="0014798C" w:rsidRDefault="004E1F0B">
      <w:pPr>
        <w:ind w:left="1111"/>
        <w:rPr>
          <w:sz w:val="14"/>
        </w:rPr>
      </w:pPr>
      <w:r>
        <w:rPr>
          <w:color w:val="00AC59"/>
          <w:sz w:val="14"/>
        </w:rPr>
        <w:t>SEGUNDA</w:t>
      </w:r>
      <w:r>
        <w:rPr>
          <w:color w:val="00AC59"/>
          <w:spacing w:val="-5"/>
          <w:sz w:val="14"/>
        </w:rPr>
        <w:t xml:space="preserve"> </w:t>
      </w:r>
      <w:r>
        <w:rPr>
          <w:color w:val="00AC59"/>
          <w:sz w:val="14"/>
        </w:rPr>
        <w:t>PARTE:</w:t>
      </w:r>
      <w:r>
        <w:rPr>
          <w:color w:val="00AC59"/>
          <w:spacing w:val="-5"/>
          <w:sz w:val="14"/>
        </w:rPr>
        <w:t xml:space="preserve"> </w:t>
      </w:r>
      <w:r>
        <w:rPr>
          <w:color w:val="00AC59"/>
          <w:sz w:val="14"/>
        </w:rPr>
        <w:t>CONTENIDO</w:t>
      </w:r>
      <w:r>
        <w:rPr>
          <w:color w:val="00AC59"/>
          <w:spacing w:val="-4"/>
          <w:sz w:val="14"/>
        </w:rPr>
        <w:t xml:space="preserve"> </w:t>
      </w:r>
      <w:r>
        <w:rPr>
          <w:color w:val="00AC59"/>
          <w:sz w:val="14"/>
        </w:rPr>
        <w:t>DE</w:t>
      </w:r>
      <w:r>
        <w:rPr>
          <w:color w:val="00AC59"/>
          <w:spacing w:val="-5"/>
          <w:sz w:val="14"/>
        </w:rPr>
        <w:t xml:space="preserve"> </w:t>
      </w:r>
      <w:r>
        <w:rPr>
          <w:color w:val="00AC59"/>
          <w:sz w:val="14"/>
        </w:rPr>
        <w:t>LA</w:t>
      </w:r>
      <w:r>
        <w:rPr>
          <w:color w:val="00AC59"/>
          <w:spacing w:val="-4"/>
          <w:sz w:val="14"/>
        </w:rPr>
        <w:t xml:space="preserve"> </w:t>
      </w:r>
      <w:r>
        <w:rPr>
          <w:color w:val="00AC59"/>
          <w:sz w:val="14"/>
        </w:rPr>
        <w:t>LEY</w:t>
      </w:r>
      <w:r>
        <w:rPr>
          <w:color w:val="00AC59"/>
          <w:spacing w:val="-4"/>
          <w:sz w:val="14"/>
        </w:rPr>
        <w:t xml:space="preserve"> </w:t>
      </w:r>
      <w:r>
        <w:rPr>
          <w:color w:val="00AC59"/>
          <w:sz w:val="14"/>
        </w:rPr>
        <w:t>INTEGRAL</w:t>
      </w:r>
      <w:r>
        <w:rPr>
          <w:color w:val="00AC59"/>
          <w:spacing w:val="-5"/>
          <w:sz w:val="14"/>
        </w:rPr>
        <w:t xml:space="preserve"> </w:t>
      </w:r>
      <w:r>
        <w:rPr>
          <w:color w:val="00AC59"/>
          <w:spacing w:val="-2"/>
          <w:sz w:val="14"/>
        </w:rPr>
        <w:t>ANTIDISCRIMINACIÓN</w:t>
      </w:r>
    </w:p>
    <w:p w14:paraId="06D12B09" w14:textId="77777777" w:rsidR="0014798C" w:rsidRDefault="0014798C">
      <w:pPr>
        <w:pStyle w:val="Textoindependiente"/>
      </w:pPr>
    </w:p>
    <w:p w14:paraId="216C9E09" w14:textId="77777777" w:rsidR="0014798C" w:rsidRDefault="0014798C">
      <w:pPr>
        <w:pStyle w:val="Textoindependiente"/>
      </w:pPr>
    </w:p>
    <w:p w14:paraId="5EF787B9" w14:textId="77777777" w:rsidR="0014798C" w:rsidRDefault="0014798C">
      <w:pPr>
        <w:pStyle w:val="Textoindependiente"/>
      </w:pPr>
    </w:p>
    <w:p w14:paraId="591EB6D9" w14:textId="77777777" w:rsidR="0014798C" w:rsidRDefault="0014798C">
      <w:pPr>
        <w:pStyle w:val="Textoindependiente"/>
      </w:pPr>
    </w:p>
    <w:p w14:paraId="0A59793A" w14:textId="77777777" w:rsidR="0014798C" w:rsidRDefault="0014798C">
      <w:pPr>
        <w:pStyle w:val="Textoindependiente"/>
        <w:spacing w:before="61"/>
      </w:pPr>
    </w:p>
    <w:p w14:paraId="258C6A1B" w14:textId="77777777" w:rsidR="0014798C" w:rsidRDefault="004E1F0B">
      <w:pPr>
        <w:pStyle w:val="Textoindependiente"/>
        <w:spacing w:line="326" w:lineRule="auto"/>
        <w:ind w:left="1107" w:right="1272" w:firstLine="1"/>
      </w:pPr>
      <w:r>
        <w:t>Además de esta función, está claro que los propios organismos de igualdad deben ser accesibles.761 En sus orientaciones, la Comisión Europea contra el Racismo y la Intolerancia hace varias recomendaciones a este respecto que siguen las orientaciones</w:t>
      </w:r>
      <w:r>
        <w:rPr>
          <w:spacing w:val="40"/>
        </w:rPr>
        <w:t xml:space="preserve"> </w:t>
      </w:r>
      <w:r>
        <w:t>del Comité sobre los Derechos de las Personas con Discapacidad</w:t>
      </w:r>
      <w:proofErr w:type="gramStart"/>
      <w:r>
        <w:t>. ,</w:t>
      </w:r>
      <w:proofErr w:type="gramEnd"/>
      <w:r>
        <w:t xml:space="preserve"> adaptándolo a un enfoque específico en lo que respecta a</w:t>
      </w:r>
    </w:p>
    <w:p w14:paraId="16CF64F4" w14:textId="77777777" w:rsidR="0014798C" w:rsidRDefault="004E1F0B">
      <w:pPr>
        <w:pStyle w:val="Textoindependiente"/>
        <w:spacing w:line="326" w:lineRule="auto"/>
        <w:ind w:left="1108" w:right="1352" w:firstLine="1"/>
      </w:pPr>
      <w:r>
        <w:rPr>
          <w:noProof/>
        </w:rPr>
        <w:drawing>
          <wp:anchor distT="0" distB="0" distL="0" distR="0" simplePos="0" relativeHeight="251658440" behindDoc="1" locked="0" layoutInCell="1" allowOverlap="1" wp14:anchorId="67C21A65" wp14:editId="1C7B8E9A">
            <wp:simplePos x="0" y="0"/>
            <wp:positionH relativeFrom="page">
              <wp:posOffset>826632</wp:posOffset>
            </wp:positionH>
            <wp:positionV relativeFrom="paragraph">
              <wp:posOffset>588568</wp:posOffset>
            </wp:positionV>
            <wp:extent cx="6729867" cy="6151400"/>
            <wp:effectExtent l="0" t="0" r="0" b="0"/>
            <wp:wrapNone/>
            <wp:docPr id="231" name="Image 23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31" name="Image 231"/>
                    <pic:cNvPicPr/>
                  </pic:nvPicPr>
                  <pic:blipFill>
                    <a:blip r:embed="rId211" cstate="print"/>
                    <a:stretch>
                      <a:fillRect/>
                    </a:stretch>
                  </pic:blipFill>
                  <pic:spPr>
                    <a:xfrm>
                      <a:off x="0" y="0"/>
                      <a:ext cx="6729867" cy="6151400"/>
                    </a:xfrm>
                    <a:prstGeom prst="rect">
                      <a:avLst/>
                    </a:prstGeom>
                  </pic:spPr>
                </pic:pic>
              </a:graphicData>
            </a:graphic>
          </wp:anchor>
        </w:drawing>
      </w:r>
      <w:r>
        <w:rPr>
          <w:noProof/>
        </w:rPr>
        <mc:AlternateContent>
          <mc:Choice Requires="wps">
            <w:drawing>
              <wp:anchor distT="0" distB="0" distL="0" distR="0" simplePos="0" relativeHeight="251658293" behindDoc="0" locked="0" layoutInCell="1" allowOverlap="1" wp14:anchorId="4B1A71BA" wp14:editId="5089C6DC">
                <wp:simplePos x="0" y="0"/>
                <wp:positionH relativeFrom="page">
                  <wp:posOffset>7310646</wp:posOffset>
                </wp:positionH>
                <wp:positionV relativeFrom="paragraph">
                  <wp:posOffset>1234746</wp:posOffset>
                </wp:positionV>
                <wp:extent cx="86995" cy="295910"/>
                <wp:effectExtent l="0" t="0" r="0" b="0"/>
                <wp:wrapNone/>
                <wp:docPr id="232" name="Textbox 23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86995" cy="295910"/>
                        </a:xfrm>
                        <a:prstGeom prst="rect">
                          <a:avLst/>
                        </a:prstGeom>
                      </wps:spPr>
                      <wps:txbx>
                        <w:txbxContent>
                          <w:p w14:paraId="16259CBA" w14:textId="77777777" w:rsidR="0014798C" w:rsidRDefault="004E1F0B">
                            <w:pPr>
                              <w:spacing w:before="23"/>
                              <w:ind w:left="20"/>
                              <w:rPr>
                                <w:sz w:val="8"/>
                              </w:rPr>
                            </w:pPr>
                            <w:r>
                              <w:rPr>
                                <w:color w:val="FFFFFF"/>
                                <w:spacing w:val="-27"/>
                                <w:w w:val="105"/>
                                <w:sz w:val="8"/>
                              </w:rPr>
                              <w:t>–IP</w:t>
                            </w:r>
                            <w:r>
                              <w:rPr>
                                <w:spacing w:val="-27"/>
                                <w:w w:val="105"/>
                                <w:sz w:val="8"/>
                              </w:rPr>
                              <w:t>S</w:t>
                            </w:r>
                            <w:r>
                              <w:rPr>
                                <w:color w:val="FFFFFF"/>
                                <w:spacing w:val="-27"/>
                                <w:w w:val="105"/>
                                <w:sz w:val="8"/>
                              </w:rPr>
                              <w:t>VA</w:t>
                            </w:r>
                            <w:r>
                              <w:rPr>
                                <w:spacing w:val="-27"/>
                                <w:w w:val="105"/>
                                <w:sz w:val="8"/>
                              </w:rPr>
                              <w:t>E</w:t>
                            </w:r>
                            <w:r>
                              <w:rPr>
                                <w:color w:val="FFFFFF"/>
                                <w:spacing w:val="-27"/>
                                <w:w w:val="105"/>
                                <w:sz w:val="8"/>
                              </w:rPr>
                              <w:t>R</w:t>
                            </w:r>
                            <w:r>
                              <w:rPr>
                                <w:spacing w:val="-27"/>
                                <w:w w:val="105"/>
                                <w:sz w:val="8"/>
                              </w:rPr>
                              <w:t>G</w:t>
                            </w:r>
                            <w:r>
                              <w:rPr>
                                <w:color w:val="FFFFFF"/>
                                <w:spacing w:val="-27"/>
                                <w:w w:val="105"/>
                                <w:sz w:val="8"/>
                              </w:rPr>
                              <w:t>T</w:t>
                            </w:r>
                            <w:r>
                              <w:rPr>
                                <w:spacing w:val="-27"/>
                                <w:w w:val="105"/>
                                <w:sz w:val="8"/>
                              </w:rPr>
                              <w:t>U</w:t>
                            </w:r>
                            <w:r>
                              <w:rPr>
                                <w:color w:val="FFFFFF"/>
                                <w:spacing w:val="-27"/>
                                <w:w w:val="105"/>
                                <w:sz w:val="8"/>
                              </w:rPr>
                              <w:t>E</w:t>
                            </w:r>
                            <w:r>
                              <w:rPr>
                                <w:spacing w:val="-27"/>
                                <w:w w:val="105"/>
                                <w:sz w:val="8"/>
                              </w:rPr>
                              <w:t>NDA</w:t>
                            </w:r>
                          </w:p>
                        </w:txbxContent>
                      </wps:txbx>
                      <wps:bodyPr vert="vert270" wrap="square" lIns="0" tIns="0" rIns="0" bIns="0" rtlCol="0">
                        <a:noAutofit/>
                      </wps:bodyPr>
                    </wps:wsp>
                  </a:graphicData>
                </a:graphic>
              </wp:anchor>
            </w:drawing>
          </mc:Choice>
          <mc:Fallback>
            <w:pict>
              <v:shape w14:anchorId="4B1A71BA" id="Textbox 232" o:spid="_x0000_s1116" type="#_x0000_t202" style="position:absolute;left:0;text-align:left;margin-left:575.65pt;margin-top:97.2pt;width:6.85pt;height:23.3pt;z-index:251658293;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" filled="f" stroked="f">
                <v:textbox style="layout-flow:vertical;mso-layout-flow-alt:bottom-to-top" inset="0,0,0,0">
                  <w:txbxContent>
                    <w:p w14:paraId="16259CBA" w14:textId="77777777" w:rsidR="0014798C" w:rsidRDefault="004E1F0B">
                      <w:pPr>
                        <w:spacing w:before="23"/>
                        <w:ind w:left="20"/>
                        <w:rPr>
                          <w:sz w:val="8"/>
                        </w:rPr>
                      </w:pPr>
                      <w:r>
                        <w:rPr>
                          <w:color w:val="FFFFFF"/>
                          <w:spacing w:val="-27"/>
                          <w:w w:val="105"/>
                          <w:sz w:val="8"/>
                        </w:rPr>
                        <w:t>–IP</w:t>
                      </w:r>
                      <w:r>
                        <w:rPr>
                          <w:spacing w:val="-27"/>
                          <w:w w:val="105"/>
                          <w:sz w:val="8"/>
                        </w:rPr>
                        <w:t>S</w:t>
                      </w:r>
                      <w:r>
                        <w:rPr>
                          <w:color w:val="FFFFFF"/>
                          <w:spacing w:val="-27"/>
                          <w:w w:val="105"/>
                          <w:sz w:val="8"/>
                        </w:rPr>
                        <w:t>VA</w:t>
                      </w:r>
                      <w:r>
                        <w:rPr>
                          <w:spacing w:val="-27"/>
                          <w:w w:val="105"/>
                          <w:sz w:val="8"/>
                        </w:rPr>
                        <w:t>E</w:t>
                      </w:r>
                      <w:r>
                        <w:rPr>
                          <w:color w:val="FFFFFF"/>
                          <w:spacing w:val="-27"/>
                          <w:w w:val="105"/>
                          <w:sz w:val="8"/>
                        </w:rPr>
                        <w:t>R</w:t>
                      </w:r>
                      <w:r>
                        <w:rPr>
                          <w:spacing w:val="-27"/>
                          <w:w w:val="105"/>
                          <w:sz w:val="8"/>
                        </w:rPr>
                        <w:t>G</w:t>
                      </w:r>
                      <w:r>
                        <w:rPr>
                          <w:color w:val="FFFFFF"/>
                          <w:spacing w:val="-27"/>
                          <w:w w:val="105"/>
                          <w:sz w:val="8"/>
                        </w:rPr>
                        <w:t>T</w:t>
                      </w:r>
                      <w:r>
                        <w:rPr>
                          <w:spacing w:val="-27"/>
                          <w:w w:val="105"/>
                          <w:sz w:val="8"/>
                        </w:rPr>
                        <w:t>U</w:t>
                      </w:r>
                      <w:r>
                        <w:rPr>
                          <w:color w:val="FFFFFF"/>
                          <w:spacing w:val="-27"/>
                          <w:w w:val="105"/>
                          <w:sz w:val="8"/>
                        </w:rPr>
                        <w:t>E</w:t>
                      </w:r>
                      <w:r>
                        <w:rPr>
                          <w:spacing w:val="-27"/>
                          <w:w w:val="105"/>
                          <w:sz w:val="8"/>
                        </w:rPr>
                        <w:t>NDA</w:t>
                      </w:r>
                    </w:p>
                  </w:txbxContent>
                </v:textbox>
                <w10:wrap anchorx="page"/>
              </v:shape>
            </w:pict>
          </mc:Fallback>
        </mc:AlternateContent>
      </w:r>
      <w:r>
        <w:t>la</w:t>
      </w:r>
      <w:r>
        <w:rPr>
          <w:spacing w:val="22"/>
        </w:rPr>
        <w:t xml:space="preserve"> </w:t>
      </w:r>
      <w:r>
        <w:t>accesibilidad</w:t>
      </w:r>
      <w:r>
        <w:rPr>
          <w:spacing w:val="24"/>
        </w:rPr>
        <w:t xml:space="preserve"> </w:t>
      </w:r>
      <w:r>
        <w:t>de</w:t>
      </w:r>
      <w:r>
        <w:rPr>
          <w:spacing w:val="22"/>
        </w:rPr>
        <w:t xml:space="preserve"> </w:t>
      </w:r>
      <w:r>
        <w:t>los</w:t>
      </w:r>
      <w:r>
        <w:rPr>
          <w:spacing w:val="22"/>
        </w:rPr>
        <w:t xml:space="preserve"> </w:t>
      </w:r>
      <w:r>
        <w:t>organismos</w:t>
      </w:r>
      <w:r>
        <w:rPr>
          <w:spacing w:val="22"/>
        </w:rPr>
        <w:t xml:space="preserve"> </w:t>
      </w:r>
      <w:r>
        <w:t>de</w:t>
      </w:r>
      <w:r>
        <w:rPr>
          <w:spacing w:val="22"/>
        </w:rPr>
        <w:t xml:space="preserve"> </w:t>
      </w:r>
      <w:r>
        <w:t>igualdad.</w:t>
      </w:r>
      <w:r>
        <w:rPr>
          <w:spacing w:val="24"/>
        </w:rPr>
        <w:t xml:space="preserve"> </w:t>
      </w:r>
      <w:r>
        <w:t>Estas</w:t>
      </w:r>
      <w:r>
        <w:rPr>
          <w:spacing w:val="22"/>
        </w:rPr>
        <w:t xml:space="preserve"> </w:t>
      </w:r>
      <w:r>
        <w:t>incluyen</w:t>
      </w:r>
      <w:r>
        <w:rPr>
          <w:spacing w:val="22"/>
        </w:rPr>
        <w:t xml:space="preserve"> </w:t>
      </w:r>
      <w:r>
        <w:t>recomendaciones</w:t>
      </w:r>
      <w:r>
        <w:rPr>
          <w:spacing w:val="22"/>
        </w:rPr>
        <w:t xml:space="preserve"> </w:t>
      </w:r>
      <w:r>
        <w:t>sobre:</w:t>
      </w:r>
      <w:r>
        <w:rPr>
          <w:spacing w:val="24"/>
        </w:rPr>
        <w:t xml:space="preserve"> </w:t>
      </w:r>
      <w:r>
        <w:t>proporcionar</w:t>
      </w:r>
      <w:r>
        <w:rPr>
          <w:spacing w:val="22"/>
        </w:rPr>
        <w:t xml:space="preserve"> </w:t>
      </w:r>
      <w:r>
        <w:t>locales</w:t>
      </w:r>
      <w:r>
        <w:rPr>
          <w:spacing w:val="22"/>
        </w:rPr>
        <w:t xml:space="preserve"> </w:t>
      </w:r>
      <w:r>
        <w:t>accesibles, servicios en línea, correo electrónico y teléfono, y flexibilidad para cumplir con las limitaciones de tiempo de quienes buscan</w:t>
      </w:r>
      <w:r>
        <w:rPr>
          <w:spacing w:val="40"/>
        </w:rPr>
        <w:t xml:space="preserve"> </w:t>
      </w:r>
      <w:r>
        <w:t>acceso a los servicios del organismo; llevar a cabo iniciativas de extensión local y establecer oficinas locales y regionales para realizar el trabajo del organismo; estar presente con grupos que sufren discriminación e intolerancia en momentos clave y construir vínculos sostenidos con ellos; permitir a las personas expuestas a discriminación o intolerancia la posibilidad de contactar</w:t>
      </w:r>
      <w:r>
        <w:rPr>
          <w:spacing w:val="13"/>
        </w:rPr>
        <w:t xml:space="preserve"> </w:t>
      </w:r>
      <w:r>
        <w:t>y</w:t>
      </w:r>
      <w:r>
        <w:rPr>
          <w:spacing w:val="13"/>
        </w:rPr>
        <w:t xml:space="preserve"> </w:t>
      </w:r>
      <w:r>
        <w:t>colaborar</w:t>
      </w:r>
      <w:r>
        <w:rPr>
          <w:spacing w:val="13"/>
        </w:rPr>
        <w:t xml:space="preserve"> </w:t>
      </w:r>
      <w:r>
        <w:t>con</w:t>
      </w:r>
      <w:r>
        <w:rPr>
          <w:spacing w:val="13"/>
        </w:rPr>
        <w:t xml:space="preserve"> </w:t>
      </w:r>
      <w:r>
        <w:t>el</w:t>
      </w:r>
      <w:r>
        <w:rPr>
          <w:spacing w:val="13"/>
        </w:rPr>
        <w:t xml:space="preserve"> </w:t>
      </w:r>
      <w:r>
        <w:t>organismo</w:t>
      </w:r>
      <w:r>
        <w:rPr>
          <w:spacing w:val="15"/>
        </w:rPr>
        <w:t xml:space="preserve"> </w:t>
      </w:r>
      <w:r>
        <w:t>de</w:t>
      </w:r>
      <w:r>
        <w:rPr>
          <w:spacing w:val="13"/>
        </w:rPr>
        <w:t xml:space="preserve"> </w:t>
      </w:r>
      <w:r>
        <w:t>igualdad</w:t>
      </w:r>
      <w:r>
        <w:rPr>
          <w:spacing w:val="13"/>
        </w:rPr>
        <w:t xml:space="preserve"> </w:t>
      </w:r>
      <w:r>
        <w:t>de</w:t>
      </w:r>
      <w:r>
        <w:rPr>
          <w:spacing w:val="13"/>
        </w:rPr>
        <w:t xml:space="preserve"> </w:t>
      </w:r>
      <w:r>
        <w:t>forma</w:t>
      </w:r>
      <w:r>
        <w:rPr>
          <w:spacing w:val="13"/>
        </w:rPr>
        <w:t xml:space="preserve"> </w:t>
      </w:r>
      <w:r>
        <w:t>confidencial</w:t>
      </w:r>
      <w:r>
        <w:rPr>
          <w:spacing w:val="13"/>
        </w:rPr>
        <w:t xml:space="preserve"> </w:t>
      </w:r>
      <w:r>
        <w:t>y</w:t>
      </w:r>
      <w:r>
        <w:rPr>
          <w:spacing w:val="13"/>
        </w:rPr>
        <w:t xml:space="preserve"> </w:t>
      </w:r>
      <w:r>
        <w:t>en</w:t>
      </w:r>
      <w:r>
        <w:rPr>
          <w:spacing w:val="13"/>
        </w:rPr>
        <w:t xml:space="preserve"> </w:t>
      </w:r>
      <w:r>
        <w:t>un</w:t>
      </w:r>
      <w:r>
        <w:rPr>
          <w:spacing w:val="13"/>
        </w:rPr>
        <w:t xml:space="preserve"> </w:t>
      </w:r>
      <w:r>
        <w:t>idioma</w:t>
      </w:r>
      <w:r>
        <w:rPr>
          <w:spacing w:val="13"/>
        </w:rPr>
        <w:t xml:space="preserve"> </w:t>
      </w:r>
      <w:r>
        <w:t>que</w:t>
      </w:r>
      <w:r>
        <w:rPr>
          <w:spacing w:val="13"/>
        </w:rPr>
        <w:t xml:space="preserve"> </w:t>
      </w:r>
      <w:r>
        <w:t>dominen,</w:t>
      </w:r>
      <w:r>
        <w:rPr>
          <w:spacing w:val="15"/>
        </w:rPr>
        <w:t xml:space="preserve"> </w:t>
      </w:r>
      <w:r>
        <w:t>tener</w:t>
      </w:r>
      <w:r>
        <w:rPr>
          <w:spacing w:val="13"/>
        </w:rPr>
        <w:t xml:space="preserve"> </w:t>
      </w:r>
      <w:r>
        <w:t>contacto</w:t>
      </w:r>
      <w:r>
        <w:rPr>
          <w:spacing w:val="13"/>
        </w:rPr>
        <w:t xml:space="preserve"> </w:t>
      </w:r>
      <w:r>
        <w:t>cara</w:t>
      </w:r>
      <w:r>
        <w:rPr>
          <w:spacing w:val="13"/>
        </w:rPr>
        <w:t xml:space="preserve"> </w:t>
      </w:r>
      <w:r>
        <w:t>a cara y presentar quejas de forma oral, en línea o por escrito forma, con un mínimo de condiciones de admisibilidad; realizar ajustes en sus instalaciones, servicios, procedimientos y prácticas para tener en cuenta todas las formas de discapacidad; y hacer uso del formato de lectura fácil en las publicaciones, en particular aquellas que brindan información sobre derechos y recursos,</w:t>
      </w:r>
      <w:r>
        <w:rPr>
          <w:spacing w:val="7"/>
        </w:rPr>
        <w:t xml:space="preserve"> </w:t>
      </w:r>
      <w:r>
        <w:t>y traducir publicaciones seleccionadas a todos los idiomas comúnmente utilizados en el país;</w:t>
      </w:r>
      <w:r>
        <w:rPr>
          <w:spacing w:val="7"/>
        </w:rPr>
        <w:t xml:space="preserve"> </w:t>
      </w:r>
      <w:r>
        <w:t>hacer que las funciones</w:t>
      </w:r>
      <w:r>
        <w:rPr>
          <w:spacing w:val="80"/>
        </w:rPr>
        <w:t xml:space="preserve"> </w:t>
      </w:r>
      <w:r>
        <w:t>y servicios del organismo de igualdad sean gratuitos para los denunciantes y demandados; y tomar medidas para dar a conocer estas disposiciones de accesibilidad y ponerlas a disposición.762</w:t>
      </w:r>
    </w:p>
    <w:p w14:paraId="2D60A1A2" w14:textId="77777777" w:rsidR="0014798C" w:rsidRDefault="0014798C">
      <w:pPr>
        <w:pStyle w:val="Textoindependiente"/>
        <w:spacing w:before="263"/>
        <w:rPr>
          <w:sz w:val="25"/>
        </w:rPr>
      </w:pPr>
    </w:p>
    <w:p w14:paraId="6F259825" w14:textId="77777777" w:rsidR="0014798C" w:rsidRDefault="004E1F0B">
      <w:pPr>
        <w:numPr>
          <w:ilvl w:val="1"/>
          <w:numId w:val="3"/>
        </w:numPr>
        <w:tabs>
          <w:tab w:val="left" w:pos="1425"/>
        </w:tabs>
        <w:ind w:left="1425" w:hanging="316"/>
        <w:rPr>
          <w:color w:val="00AC59"/>
          <w:sz w:val="25"/>
        </w:rPr>
      </w:pPr>
      <w:r>
        <w:rPr>
          <w:color w:val="00AC59"/>
          <w:sz w:val="25"/>
        </w:rPr>
        <w:t>Mandatos,</w:t>
      </w:r>
      <w:r>
        <w:rPr>
          <w:color w:val="00AC59"/>
          <w:spacing w:val="-9"/>
          <w:sz w:val="25"/>
        </w:rPr>
        <w:t xml:space="preserve"> </w:t>
      </w:r>
      <w:r>
        <w:rPr>
          <w:color w:val="00AC59"/>
          <w:sz w:val="25"/>
        </w:rPr>
        <w:t>funciones</w:t>
      </w:r>
      <w:r>
        <w:rPr>
          <w:color w:val="00AC59"/>
          <w:spacing w:val="-9"/>
          <w:sz w:val="25"/>
        </w:rPr>
        <w:t xml:space="preserve"> </w:t>
      </w:r>
      <w:r>
        <w:rPr>
          <w:color w:val="00AC59"/>
          <w:sz w:val="25"/>
        </w:rPr>
        <w:t>y</w:t>
      </w:r>
      <w:r>
        <w:rPr>
          <w:color w:val="00AC59"/>
          <w:spacing w:val="-10"/>
          <w:sz w:val="25"/>
        </w:rPr>
        <w:t xml:space="preserve"> </w:t>
      </w:r>
      <w:r>
        <w:rPr>
          <w:color w:val="00AC59"/>
          <w:sz w:val="25"/>
        </w:rPr>
        <w:t>competencias</w:t>
      </w:r>
      <w:r>
        <w:rPr>
          <w:color w:val="00AC59"/>
          <w:spacing w:val="-9"/>
          <w:sz w:val="25"/>
        </w:rPr>
        <w:t xml:space="preserve"> </w:t>
      </w:r>
      <w:r>
        <w:rPr>
          <w:color w:val="00AC59"/>
          <w:sz w:val="25"/>
        </w:rPr>
        <w:t>de</w:t>
      </w:r>
      <w:r>
        <w:rPr>
          <w:color w:val="00AC59"/>
          <w:spacing w:val="-9"/>
          <w:sz w:val="25"/>
        </w:rPr>
        <w:t xml:space="preserve"> </w:t>
      </w:r>
      <w:r>
        <w:rPr>
          <w:color w:val="00AC59"/>
          <w:sz w:val="25"/>
        </w:rPr>
        <w:t>los</w:t>
      </w:r>
      <w:r>
        <w:rPr>
          <w:color w:val="00AC59"/>
          <w:spacing w:val="-10"/>
          <w:sz w:val="25"/>
        </w:rPr>
        <w:t xml:space="preserve"> </w:t>
      </w:r>
      <w:r>
        <w:rPr>
          <w:color w:val="00AC59"/>
          <w:sz w:val="25"/>
        </w:rPr>
        <w:t>órganos</w:t>
      </w:r>
      <w:r>
        <w:rPr>
          <w:color w:val="00AC59"/>
          <w:spacing w:val="-9"/>
          <w:sz w:val="25"/>
        </w:rPr>
        <w:t xml:space="preserve"> </w:t>
      </w:r>
      <w:r>
        <w:rPr>
          <w:color w:val="00AC59"/>
          <w:sz w:val="25"/>
        </w:rPr>
        <w:t>de</w:t>
      </w:r>
      <w:r>
        <w:rPr>
          <w:color w:val="00AC59"/>
          <w:spacing w:val="-9"/>
          <w:sz w:val="25"/>
        </w:rPr>
        <w:t xml:space="preserve"> </w:t>
      </w:r>
      <w:r>
        <w:rPr>
          <w:color w:val="00AC59"/>
          <w:spacing w:val="-2"/>
          <w:sz w:val="25"/>
        </w:rPr>
        <w:t>igualdad</w:t>
      </w:r>
    </w:p>
    <w:p w14:paraId="104AAA8C" w14:textId="77777777" w:rsidR="0014798C" w:rsidRDefault="0014798C">
      <w:pPr>
        <w:pStyle w:val="Textoindependiente"/>
        <w:spacing w:before="73"/>
      </w:pPr>
    </w:p>
    <w:p w14:paraId="1B7D6DF1" w14:textId="77777777" w:rsidR="0014798C" w:rsidRDefault="004E1F0B">
      <w:pPr>
        <w:pStyle w:val="Textoindependiente"/>
        <w:spacing w:before="1" w:line="326" w:lineRule="auto"/>
        <w:ind w:left="1108" w:right="1463" w:hanging="5"/>
      </w:pPr>
      <w:r>
        <w:t>Si bien existe un amplio consenso en que los Estados deben establecer órganos especializados en igualdad y que deben cumplirse ciertos requisitos institucionales para salvaguardar su independencia y garantizar su eficacia, no existe un consenso claro a nivel internacional en cuanto a las funciones y poderes requeridos de dichas instituciones</w:t>
      </w:r>
      <w:proofErr w:type="gramStart"/>
      <w:r>
        <w:t>. .</w:t>
      </w:r>
      <w:proofErr w:type="gramEnd"/>
    </w:p>
    <w:p w14:paraId="35EF690E" w14:textId="77777777" w:rsidR="0014798C" w:rsidRDefault="004E1F0B">
      <w:pPr>
        <w:pStyle w:val="Textoindependiente"/>
        <w:spacing w:before="168" w:line="326" w:lineRule="auto"/>
        <w:ind w:left="1111" w:right="1463" w:hanging="6"/>
      </w:pPr>
      <w:r>
        <w:t>El Comité sobre los Derechos de las Personas con Discapacidad ha declarado que el mandato de los órganos de igualdad</w:t>
      </w:r>
      <w:r>
        <w:rPr>
          <w:spacing w:val="40"/>
        </w:rPr>
        <w:t xml:space="preserve"> </w:t>
      </w:r>
      <w:r>
        <w:t>debería “definirse de manera adecuada y suficientemente amplia para abarcar la promoción, protección y seguimiento de todos</w:t>
      </w:r>
      <w:r>
        <w:rPr>
          <w:spacing w:val="40"/>
        </w:rPr>
        <w:t xml:space="preserve"> </w:t>
      </w:r>
      <w:r>
        <w:t>los derechos consagrados en la Convención”.</w:t>
      </w:r>
      <w:r>
        <w:rPr>
          <w:spacing w:val="15"/>
        </w:rPr>
        <w:t xml:space="preserve"> </w:t>
      </w:r>
      <w:r>
        <w:t>763 El Comité ha indicado además que a dichos órganos se les debe “facultar y</w:t>
      </w:r>
    </w:p>
    <w:p w14:paraId="3C9E01E6" w14:textId="77777777" w:rsidR="0014798C" w:rsidRDefault="004E1F0B">
      <w:pPr>
        <w:pStyle w:val="Textoindependiente"/>
        <w:spacing w:line="271" w:lineRule="auto"/>
        <w:ind w:left="1114" w:right="1463" w:hanging="3"/>
      </w:pPr>
      <w:r>
        <w:t>confiar una amplia gama de responsabilidades”.764 Al examinar el tema, el Comité para la Eliminación de la Discriminación Racial ha recomendado que los Estados establezcan instituciones para los siguientes fines:</w:t>
      </w:r>
    </w:p>
    <w:p w14:paraId="14BB96CB" w14:textId="77777777" w:rsidR="0014798C" w:rsidRDefault="0014798C">
      <w:pPr>
        <w:pStyle w:val="Textoindependiente"/>
      </w:pPr>
    </w:p>
    <w:p w14:paraId="7B94B319" w14:textId="77777777" w:rsidR="0014798C" w:rsidRDefault="0014798C">
      <w:pPr>
        <w:pStyle w:val="Textoindependiente"/>
        <w:spacing w:before="77"/>
      </w:pPr>
    </w:p>
    <w:p w14:paraId="12A7BF9E" w14:textId="77777777" w:rsidR="0014798C" w:rsidRDefault="004E1F0B">
      <w:pPr>
        <w:pStyle w:val="Prrafodelista"/>
        <w:numPr>
          <w:ilvl w:val="0"/>
          <w:numId w:val="38"/>
        </w:numPr>
        <w:tabs>
          <w:tab w:val="left" w:pos="1536"/>
        </w:tabs>
        <w:ind w:left="1536" w:hanging="190"/>
        <w:rPr>
          <w:sz w:val="16"/>
        </w:rPr>
      </w:pPr>
      <w:r>
        <w:rPr>
          <w:sz w:val="16"/>
        </w:rPr>
        <w:t>Promover</w:t>
      </w:r>
      <w:r>
        <w:rPr>
          <w:spacing w:val="6"/>
          <w:sz w:val="16"/>
        </w:rPr>
        <w:t xml:space="preserve"> </w:t>
      </w:r>
      <w:r>
        <w:rPr>
          <w:sz w:val="16"/>
        </w:rPr>
        <w:t>el</w:t>
      </w:r>
      <w:r>
        <w:rPr>
          <w:spacing w:val="7"/>
          <w:sz w:val="16"/>
        </w:rPr>
        <w:t xml:space="preserve"> </w:t>
      </w:r>
      <w:r>
        <w:rPr>
          <w:sz w:val="16"/>
        </w:rPr>
        <w:t>respeto</w:t>
      </w:r>
      <w:r>
        <w:rPr>
          <w:spacing w:val="7"/>
          <w:sz w:val="16"/>
        </w:rPr>
        <w:t xml:space="preserve"> </w:t>
      </w:r>
      <w:r>
        <w:rPr>
          <w:sz w:val="16"/>
        </w:rPr>
        <w:t>de</w:t>
      </w:r>
      <w:r>
        <w:rPr>
          <w:spacing w:val="7"/>
          <w:sz w:val="16"/>
        </w:rPr>
        <w:t xml:space="preserve"> </w:t>
      </w:r>
      <w:r>
        <w:rPr>
          <w:sz w:val="16"/>
        </w:rPr>
        <w:t>los</w:t>
      </w:r>
      <w:r>
        <w:rPr>
          <w:spacing w:val="7"/>
          <w:sz w:val="16"/>
        </w:rPr>
        <w:t xml:space="preserve"> </w:t>
      </w:r>
      <w:r>
        <w:rPr>
          <w:sz w:val="16"/>
        </w:rPr>
        <w:t>derechos</w:t>
      </w:r>
      <w:r>
        <w:rPr>
          <w:spacing w:val="7"/>
          <w:sz w:val="16"/>
        </w:rPr>
        <w:t xml:space="preserve"> </w:t>
      </w:r>
      <w:r>
        <w:rPr>
          <w:sz w:val="16"/>
        </w:rPr>
        <w:t>humanos</w:t>
      </w:r>
      <w:r>
        <w:rPr>
          <w:spacing w:val="7"/>
          <w:sz w:val="16"/>
        </w:rPr>
        <w:t xml:space="preserve"> </w:t>
      </w:r>
      <w:r>
        <w:rPr>
          <w:sz w:val="16"/>
        </w:rPr>
        <w:t>sin</w:t>
      </w:r>
      <w:r>
        <w:rPr>
          <w:spacing w:val="7"/>
          <w:sz w:val="16"/>
        </w:rPr>
        <w:t xml:space="preserve"> </w:t>
      </w:r>
      <w:r>
        <w:rPr>
          <w:sz w:val="16"/>
        </w:rPr>
        <w:t>discriminación</w:t>
      </w:r>
      <w:r>
        <w:rPr>
          <w:spacing w:val="8"/>
          <w:sz w:val="16"/>
        </w:rPr>
        <w:t xml:space="preserve"> </w:t>
      </w:r>
      <w:r>
        <w:rPr>
          <w:spacing w:val="-2"/>
          <w:sz w:val="16"/>
        </w:rPr>
        <w:t>alguna...;</w:t>
      </w:r>
    </w:p>
    <w:p w14:paraId="486EDBDA" w14:textId="77777777" w:rsidR="0014798C" w:rsidRDefault="004E1F0B">
      <w:pPr>
        <w:pStyle w:val="Prrafodelista"/>
        <w:numPr>
          <w:ilvl w:val="0"/>
          <w:numId w:val="38"/>
        </w:numPr>
        <w:tabs>
          <w:tab w:val="left" w:pos="1536"/>
        </w:tabs>
        <w:spacing w:before="179"/>
        <w:ind w:left="1536" w:hanging="190"/>
        <w:rPr>
          <w:sz w:val="16"/>
        </w:rPr>
      </w:pPr>
      <w:r>
        <w:rPr>
          <w:sz w:val="16"/>
        </w:rPr>
        <w:t>Revisar</w:t>
      </w:r>
      <w:r>
        <w:rPr>
          <w:spacing w:val="5"/>
          <w:sz w:val="16"/>
        </w:rPr>
        <w:t xml:space="preserve"> </w:t>
      </w:r>
      <w:r>
        <w:rPr>
          <w:sz w:val="16"/>
        </w:rPr>
        <w:t>la</w:t>
      </w:r>
      <w:r>
        <w:rPr>
          <w:spacing w:val="5"/>
          <w:sz w:val="16"/>
        </w:rPr>
        <w:t xml:space="preserve"> </w:t>
      </w:r>
      <w:r>
        <w:rPr>
          <w:sz w:val="16"/>
        </w:rPr>
        <w:t>política</w:t>
      </w:r>
      <w:r>
        <w:rPr>
          <w:spacing w:val="5"/>
          <w:sz w:val="16"/>
        </w:rPr>
        <w:t xml:space="preserve"> </w:t>
      </w:r>
      <w:r>
        <w:rPr>
          <w:spacing w:val="-2"/>
          <w:sz w:val="16"/>
        </w:rPr>
        <w:t>gubernamental...;</w:t>
      </w:r>
    </w:p>
    <w:p w14:paraId="5FF510A9" w14:textId="77777777" w:rsidR="0014798C" w:rsidRDefault="004E1F0B">
      <w:pPr>
        <w:pStyle w:val="Prrafodelista"/>
        <w:numPr>
          <w:ilvl w:val="0"/>
          <w:numId w:val="38"/>
        </w:numPr>
        <w:tabs>
          <w:tab w:val="left" w:pos="1527"/>
        </w:tabs>
        <w:spacing w:before="179"/>
        <w:ind w:left="1527" w:hanging="181"/>
        <w:rPr>
          <w:sz w:val="16"/>
        </w:rPr>
      </w:pPr>
      <w:r>
        <w:rPr>
          <w:sz w:val="16"/>
        </w:rPr>
        <w:t>Vigilar</w:t>
      </w:r>
      <w:r>
        <w:rPr>
          <w:spacing w:val="4"/>
          <w:sz w:val="16"/>
        </w:rPr>
        <w:t xml:space="preserve"> </w:t>
      </w:r>
      <w:r>
        <w:rPr>
          <w:sz w:val="16"/>
        </w:rPr>
        <w:t>el</w:t>
      </w:r>
      <w:r>
        <w:rPr>
          <w:spacing w:val="4"/>
          <w:sz w:val="16"/>
        </w:rPr>
        <w:t xml:space="preserve"> </w:t>
      </w:r>
      <w:r>
        <w:rPr>
          <w:sz w:val="16"/>
        </w:rPr>
        <w:t>cumplimiento</w:t>
      </w:r>
      <w:r>
        <w:rPr>
          <w:spacing w:val="5"/>
          <w:sz w:val="16"/>
        </w:rPr>
        <w:t xml:space="preserve"> </w:t>
      </w:r>
      <w:r>
        <w:rPr>
          <w:sz w:val="16"/>
        </w:rPr>
        <w:t>de</w:t>
      </w:r>
      <w:r>
        <w:rPr>
          <w:spacing w:val="4"/>
          <w:sz w:val="16"/>
        </w:rPr>
        <w:t xml:space="preserve"> </w:t>
      </w:r>
      <w:r>
        <w:rPr>
          <w:sz w:val="16"/>
        </w:rPr>
        <w:t>la</w:t>
      </w:r>
      <w:r>
        <w:rPr>
          <w:spacing w:val="5"/>
          <w:sz w:val="16"/>
        </w:rPr>
        <w:t xml:space="preserve"> </w:t>
      </w:r>
      <w:r>
        <w:rPr>
          <w:spacing w:val="-2"/>
          <w:sz w:val="16"/>
        </w:rPr>
        <w:t>legislación...;</w:t>
      </w:r>
    </w:p>
    <w:p w14:paraId="578D14C3" w14:textId="77777777" w:rsidR="0014798C" w:rsidRDefault="004E1F0B">
      <w:pPr>
        <w:pStyle w:val="Prrafodelista"/>
        <w:numPr>
          <w:ilvl w:val="0"/>
          <w:numId w:val="38"/>
        </w:numPr>
        <w:tabs>
          <w:tab w:val="left" w:pos="1536"/>
        </w:tabs>
        <w:spacing w:before="179"/>
        <w:ind w:left="1536" w:hanging="190"/>
        <w:rPr>
          <w:sz w:val="16"/>
        </w:rPr>
      </w:pPr>
      <w:r>
        <w:rPr>
          <w:sz w:val="16"/>
        </w:rPr>
        <w:t>Educar</w:t>
      </w:r>
      <w:r>
        <w:rPr>
          <w:spacing w:val="5"/>
          <w:sz w:val="16"/>
        </w:rPr>
        <w:t xml:space="preserve"> </w:t>
      </w:r>
      <w:r>
        <w:rPr>
          <w:sz w:val="16"/>
        </w:rPr>
        <w:t>al</w:t>
      </w:r>
      <w:r>
        <w:rPr>
          <w:spacing w:val="5"/>
          <w:sz w:val="16"/>
        </w:rPr>
        <w:t xml:space="preserve"> </w:t>
      </w:r>
      <w:r>
        <w:rPr>
          <w:sz w:val="16"/>
        </w:rPr>
        <w:t>público</w:t>
      </w:r>
      <w:r>
        <w:rPr>
          <w:spacing w:val="6"/>
          <w:sz w:val="16"/>
        </w:rPr>
        <w:t xml:space="preserve"> </w:t>
      </w:r>
      <w:r>
        <w:rPr>
          <w:sz w:val="16"/>
        </w:rPr>
        <w:t>acerca</w:t>
      </w:r>
      <w:r>
        <w:rPr>
          <w:spacing w:val="6"/>
          <w:sz w:val="16"/>
        </w:rPr>
        <w:t xml:space="preserve"> </w:t>
      </w:r>
      <w:r>
        <w:rPr>
          <w:sz w:val="16"/>
        </w:rPr>
        <w:t>de</w:t>
      </w:r>
      <w:r>
        <w:rPr>
          <w:spacing w:val="6"/>
          <w:sz w:val="16"/>
        </w:rPr>
        <w:t xml:space="preserve"> </w:t>
      </w:r>
      <w:r>
        <w:rPr>
          <w:sz w:val="16"/>
        </w:rPr>
        <w:t>las</w:t>
      </w:r>
      <w:r>
        <w:rPr>
          <w:spacing w:val="5"/>
          <w:sz w:val="16"/>
        </w:rPr>
        <w:t xml:space="preserve"> </w:t>
      </w:r>
      <w:r>
        <w:rPr>
          <w:sz w:val="16"/>
        </w:rPr>
        <w:t>obligaciones</w:t>
      </w:r>
      <w:r>
        <w:rPr>
          <w:spacing w:val="6"/>
          <w:sz w:val="16"/>
        </w:rPr>
        <w:t xml:space="preserve"> </w:t>
      </w:r>
      <w:r>
        <w:rPr>
          <w:sz w:val="16"/>
        </w:rPr>
        <w:t>de</w:t>
      </w:r>
      <w:r>
        <w:rPr>
          <w:spacing w:val="5"/>
          <w:sz w:val="16"/>
        </w:rPr>
        <w:t xml:space="preserve"> </w:t>
      </w:r>
      <w:r>
        <w:rPr>
          <w:sz w:val="16"/>
        </w:rPr>
        <w:t>los</w:t>
      </w:r>
      <w:r>
        <w:rPr>
          <w:spacing w:val="5"/>
          <w:sz w:val="16"/>
        </w:rPr>
        <w:t xml:space="preserve"> </w:t>
      </w:r>
      <w:proofErr w:type="gramStart"/>
      <w:r>
        <w:rPr>
          <w:sz w:val="16"/>
        </w:rPr>
        <w:t>Estados</w:t>
      </w:r>
      <w:r>
        <w:rPr>
          <w:spacing w:val="6"/>
          <w:sz w:val="16"/>
        </w:rPr>
        <w:t xml:space="preserve"> </w:t>
      </w:r>
      <w:r>
        <w:rPr>
          <w:sz w:val="16"/>
        </w:rPr>
        <w:t>partes</w:t>
      </w:r>
      <w:proofErr w:type="gramEnd"/>
      <w:r>
        <w:rPr>
          <w:spacing w:val="5"/>
          <w:sz w:val="16"/>
        </w:rPr>
        <w:t xml:space="preserve"> </w:t>
      </w:r>
      <w:r>
        <w:rPr>
          <w:sz w:val="16"/>
        </w:rPr>
        <w:t>en</w:t>
      </w:r>
      <w:r>
        <w:rPr>
          <w:spacing w:val="6"/>
          <w:sz w:val="16"/>
        </w:rPr>
        <w:t xml:space="preserve"> </w:t>
      </w:r>
      <w:r>
        <w:rPr>
          <w:sz w:val="16"/>
        </w:rPr>
        <w:t>virtud</w:t>
      </w:r>
      <w:r>
        <w:rPr>
          <w:spacing w:val="5"/>
          <w:sz w:val="16"/>
        </w:rPr>
        <w:t xml:space="preserve"> </w:t>
      </w:r>
      <w:r>
        <w:rPr>
          <w:sz w:val="16"/>
        </w:rPr>
        <w:t>de</w:t>
      </w:r>
      <w:r>
        <w:rPr>
          <w:spacing w:val="5"/>
          <w:sz w:val="16"/>
        </w:rPr>
        <w:t xml:space="preserve"> </w:t>
      </w:r>
      <w:r>
        <w:rPr>
          <w:sz w:val="16"/>
        </w:rPr>
        <w:t>la</w:t>
      </w:r>
      <w:r>
        <w:rPr>
          <w:spacing w:val="6"/>
          <w:sz w:val="16"/>
        </w:rPr>
        <w:t xml:space="preserve"> </w:t>
      </w:r>
      <w:r>
        <w:rPr>
          <w:spacing w:val="-2"/>
          <w:sz w:val="16"/>
        </w:rPr>
        <w:t>Convención;</w:t>
      </w:r>
    </w:p>
    <w:p w14:paraId="5A624FDC" w14:textId="77777777" w:rsidR="0014798C" w:rsidRDefault="004E1F0B">
      <w:pPr>
        <w:pStyle w:val="Prrafodelista"/>
        <w:numPr>
          <w:ilvl w:val="0"/>
          <w:numId w:val="38"/>
        </w:numPr>
        <w:tabs>
          <w:tab w:val="left" w:pos="1535"/>
          <w:tab w:val="left" w:pos="1676"/>
        </w:tabs>
        <w:spacing w:before="179" w:line="271" w:lineRule="auto"/>
        <w:ind w:left="1676" w:right="1653" w:hanging="331"/>
        <w:rPr>
          <w:sz w:val="16"/>
        </w:rPr>
      </w:pPr>
      <w:r>
        <w:rPr>
          <w:sz w:val="16"/>
        </w:rPr>
        <w:t xml:space="preserve">Ayudar al Gobierno en la preparación de los informes presentados al Comité para la Eliminación de la Discriminación </w:t>
      </w:r>
      <w:r>
        <w:rPr>
          <w:spacing w:val="-2"/>
          <w:sz w:val="16"/>
        </w:rPr>
        <w:t>Racial765.</w:t>
      </w:r>
    </w:p>
    <w:p w14:paraId="089E8EA8" w14:textId="77777777" w:rsidR="0014798C" w:rsidRDefault="0014798C">
      <w:pPr>
        <w:pStyle w:val="Textoindependiente"/>
        <w:spacing w:before="70"/>
      </w:pPr>
    </w:p>
    <w:p w14:paraId="45D36D71" w14:textId="77777777" w:rsidR="0014798C" w:rsidRDefault="004E1F0B">
      <w:pPr>
        <w:pStyle w:val="Textoindependiente"/>
        <w:spacing w:line="326" w:lineRule="auto"/>
        <w:ind w:left="1107" w:right="1335" w:hanging="2"/>
      </w:pPr>
      <w:r>
        <w:t>Ni el Comité para la Eliminación de la Discriminación Racial ni el Comité sobre los Derechos de las Personas con Discapacidad han</w:t>
      </w:r>
      <w:r>
        <w:rPr>
          <w:spacing w:val="17"/>
        </w:rPr>
        <w:t xml:space="preserve"> </w:t>
      </w:r>
      <w:r>
        <w:t>elaborado</w:t>
      </w:r>
      <w:r>
        <w:rPr>
          <w:spacing w:val="17"/>
        </w:rPr>
        <w:t xml:space="preserve"> </w:t>
      </w:r>
      <w:r>
        <w:t>más</w:t>
      </w:r>
      <w:r>
        <w:rPr>
          <w:spacing w:val="17"/>
        </w:rPr>
        <w:t xml:space="preserve"> </w:t>
      </w:r>
      <w:r>
        <w:t>las</w:t>
      </w:r>
      <w:r>
        <w:rPr>
          <w:spacing w:val="17"/>
        </w:rPr>
        <w:t xml:space="preserve"> </w:t>
      </w:r>
      <w:r>
        <w:t>formas,</w:t>
      </w:r>
      <w:r>
        <w:rPr>
          <w:spacing w:val="19"/>
        </w:rPr>
        <w:t xml:space="preserve"> </w:t>
      </w:r>
      <w:r>
        <w:t>funciones,</w:t>
      </w:r>
      <w:r>
        <w:rPr>
          <w:spacing w:val="19"/>
        </w:rPr>
        <w:t xml:space="preserve"> </w:t>
      </w:r>
      <w:r>
        <w:t>mandatos</w:t>
      </w:r>
      <w:r>
        <w:rPr>
          <w:spacing w:val="17"/>
        </w:rPr>
        <w:t xml:space="preserve"> </w:t>
      </w:r>
      <w:r>
        <w:t>o</w:t>
      </w:r>
      <w:r>
        <w:rPr>
          <w:spacing w:val="17"/>
        </w:rPr>
        <w:t xml:space="preserve"> </w:t>
      </w:r>
      <w:r>
        <w:t>responsabilidades</w:t>
      </w:r>
      <w:r>
        <w:rPr>
          <w:spacing w:val="17"/>
        </w:rPr>
        <w:t xml:space="preserve"> </w:t>
      </w:r>
      <w:r>
        <w:t>requeridas</w:t>
      </w:r>
      <w:r>
        <w:rPr>
          <w:spacing w:val="17"/>
        </w:rPr>
        <w:t xml:space="preserve"> </w:t>
      </w:r>
      <w:r>
        <w:t>de</w:t>
      </w:r>
      <w:r>
        <w:rPr>
          <w:spacing w:val="17"/>
        </w:rPr>
        <w:t xml:space="preserve"> </w:t>
      </w:r>
      <w:r>
        <w:t>los</w:t>
      </w:r>
      <w:r>
        <w:rPr>
          <w:spacing w:val="17"/>
        </w:rPr>
        <w:t xml:space="preserve"> </w:t>
      </w:r>
      <w:r>
        <w:t>órganos</w:t>
      </w:r>
      <w:r>
        <w:rPr>
          <w:spacing w:val="17"/>
        </w:rPr>
        <w:t xml:space="preserve"> </w:t>
      </w:r>
      <w:r>
        <w:t>de</w:t>
      </w:r>
      <w:r>
        <w:rPr>
          <w:spacing w:val="17"/>
        </w:rPr>
        <w:t xml:space="preserve"> </w:t>
      </w:r>
      <w:r>
        <w:t>igualdad,</w:t>
      </w:r>
      <w:r>
        <w:rPr>
          <w:spacing w:val="19"/>
        </w:rPr>
        <w:t xml:space="preserve"> </w:t>
      </w:r>
      <w:r>
        <w:t>y</w:t>
      </w:r>
      <w:r>
        <w:rPr>
          <w:spacing w:val="17"/>
        </w:rPr>
        <w:t xml:space="preserve"> </w:t>
      </w:r>
      <w:r>
        <w:t>está</w:t>
      </w:r>
      <w:r>
        <w:rPr>
          <w:spacing w:val="17"/>
        </w:rPr>
        <w:t xml:space="preserve"> </w:t>
      </w:r>
      <w:r>
        <w:t>claro que los Estados poseen un grado significativo de discrecionalidad en este sentido. respecto. En sus orientaciones, la Comisión Europea contra el Racismo y la Intolerancia establece tres funciones principales que un organismo de igualdad puede apoyar:</w:t>
      </w:r>
    </w:p>
    <w:p w14:paraId="5B1A5A8C" w14:textId="77777777" w:rsidR="0014798C" w:rsidRDefault="004E1F0B">
      <w:pPr>
        <w:pStyle w:val="Textoindependiente"/>
        <w:spacing w:line="326" w:lineRule="auto"/>
        <w:ind w:left="1111" w:right="1272"/>
      </w:pPr>
      <w:r>
        <w:t>(a)</w:t>
      </w:r>
      <w:r>
        <w:rPr>
          <w:spacing w:val="-3"/>
        </w:rPr>
        <w:t xml:space="preserve"> </w:t>
      </w:r>
      <w:r>
        <w:t>una</w:t>
      </w:r>
      <w:r>
        <w:rPr>
          <w:spacing w:val="-3"/>
        </w:rPr>
        <w:t xml:space="preserve"> </w:t>
      </w:r>
      <w:r>
        <w:t>función</w:t>
      </w:r>
      <w:r>
        <w:rPr>
          <w:spacing w:val="-3"/>
        </w:rPr>
        <w:t xml:space="preserve"> </w:t>
      </w:r>
      <w:r>
        <w:t>de</w:t>
      </w:r>
      <w:r>
        <w:rPr>
          <w:spacing w:val="-3"/>
        </w:rPr>
        <w:t xml:space="preserve"> </w:t>
      </w:r>
      <w:r>
        <w:t>promoción</w:t>
      </w:r>
      <w:r>
        <w:rPr>
          <w:spacing w:val="-2"/>
        </w:rPr>
        <w:t xml:space="preserve"> </w:t>
      </w:r>
      <w:r>
        <w:t>y</w:t>
      </w:r>
      <w:r>
        <w:rPr>
          <w:spacing w:val="-3"/>
        </w:rPr>
        <w:t xml:space="preserve"> </w:t>
      </w:r>
      <w:r>
        <w:t>prevención;</w:t>
      </w:r>
      <w:r>
        <w:rPr>
          <w:spacing w:val="-1"/>
        </w:rPr>
        <w:t xml:space="preserve"> </w:t>
      </w:r>
      <w:r>
        <w:t>(b)</w:t>
      </w:r>
      <w:r>
        <w:rPr>
          <w:spacing w:val="-3"/>
        </w:rPr>
        <w:t xml:space="preserve"> </w:t>
      </w:r>
      <w:r>
        <w:t>una</w:t>
      </w:r>
      <w:r>
        <w:rPr>
          <w:spacing w:val="-3"/>
        </w:rPr>
        <w:t xml:space="preserve"> </w:t>
      </w:r>
      <w:r>
        <w:t>función</w:t>
      </w:r>
      <w:r>
        <w:rPr>
          <w:spacing w:val="-3"/>
        </w:rPr>
        <w:t xml:space="preserve"> </w:t>
      </w:r>
      <w:r>
        <w:t>de</w:t>
      </w:r>
      <w:r>
        <w:rPr>
          <w:spacing w:val="-3"/>
        </w:rPr>
        <w:t xml:space="preserve"> </w:t>
      </w:r>
      <w:r>
        <w:t>apoyo</w:t>
      </w:r>
      <w:r>
        <w:rPr>
          <w:spacing w:val="-3"/>
        </w:rPr>
        <w:t xml:space="preserve"> </w:t>
      </w:r>
      <w:r>
        <w:t>y</w:t>
      </w:r>
      <w:r>
        <w:rPr>
          <w:spacing w:val="-3"/>
        </w:rPr>
        <w:t xml:space="preserve"> </w:t>
      </w:r>
      <w:r>
        <w:t>litigio;</w:t>
      </w:r>
      <w:r>
        <w:rPr>
          <w:spacing w:val="-2"/>
        </w:rPr>
        <w:t xml:space="preserve"> </w:t>
      </w:r>
      <w:r>
        <w:t>y</w:t>
      </w:r>
      <w:r>
        <w:rPr>
          <w:spacing w:val="-3"/>
        </w:rPr>
        <w:t xml:space="preserve"> </w:t>
      </w:r>
      <w:r>
        <w:t>(c)</w:t>
      </w:r>
      <w:r>
        <w:rPr>
          <w:spacing w:val="-3"/>
        </w:rPr>
        <w:t xml:space="preserve"> </w:t>
      </w:r>
      <w:r>
        <w:t>una</w:t>
      </w:r>
      <w:r>
        <w:rPr>
          <w:spacing w:val="-3"/>
        </w:rPr>
        <w:t xml:space="preserve"> </w:t>
      </w:r>
      <w:r>
        <w:t>función</w:t>
      </w:r>
      <w:r>
        <w:rPr>
          <w:spacing w:val="-3"/>
        </w:rPr>
        <w:t xml:space="preserve"> </w:t>
      </w:r>
      <w:r>
        <w:t>de</w:t>
      </w:r>
      <w:r>
        <w:rPr>
          <w:spacing w:val="-3"/>
        </w:rPr>
        <w:t xml:space="preserve"> </w:t>
      </w:r>
      <w:r>
        <w:t>toma</w:t>
      </w:r>
      <w:r>
        <w:rPr>
          <w:spacing w:val="-3"/>
        </w:rPr>
        <w:t xml:space="preserve"> </w:t>
      </w:r>
      <w:r>
        <w:t>de</w:t>
      </w:r>
      <w:r>
        <w:rPr>
          <w:spacing w:val="-3"/>
        </w:rPr>
        <w:t xml:space="preserve"> </w:t>
      </w:r>
      <w:r>
        <w:t>decisiones.766</w:t>
      </w:r>
      <w:r>
        <w:rPr>
          <w:spacing w:val="-3"/>
        </w:rPr>
        <w:t xml:space="preserve"> </w:t>
      </w:r>
      <w:r>
        <w:t>Cada una de estas funciones se analiza con más detalle a continuación.</w:t>
      </w:r>
    </w:p>
    <w:p w14:paraId="1D10862D" w14:textId="77777777" w:rsidR="0014798C" w:rsidRDefault="0014798C">
      <w:pPr>
        <w:pStyle w:val="Textoindependiente"/>
        <w:spacing w:before="120"/>
        <w:rPr>
          <w:sz w:val="20"/>
        </w:rPr>
      </w:pPr>
    </w:p>
    <w:p w14:paraId="1DF8339B" w14:textId="77777777" w:rsidR="0014798C" w:rsidRDefault="0014798C">
      <w:pPr>
        <w:rPr>
          <w:sz w:val="20"/>
        </w:rPr>
        <w:sectPr w:rsidR="0014798C" w:rsidSect="00F265E4">
          <w:pgSz w:w="11900" w:h="16820"/>
          <w:pgMar w:top="340" w:right="0" w:bottom="280" w:left="200" w:header="121" w:footer="0" w:gutter="0"/>
          <w:cols w:space="720"/>
        </w:sectPr>
      </w:pPr>
    </w:p>
    <w:p w14:paraId="55E0912E" w14:textId="77777777" w:rsidR="0014798C" w:rsidRDefault="0014798C">
      <w:pPr>
        <w:pStyle w:val="Textoindependiente"/>
        <w:spacing w:before="9"/>
        <w:rPr>
          <w:sz w:val="8"/>
        </w:rPr>
      </w:pPr>
    </w:p>
    <w:p w14:paraId="232E83AE" w14:textId="77777777" w:rsidR="0014798C" w:rsidRDefault="004E1F0B">
      <w:pPr>
        <w:spacing w:before="1"/>
        <w:jc w:val="right"/>
        <w:rPr>
          <w:sz w:val="8"/>
        </w:rPr>
      </w:pPr>
      <w:r>
        <w:rPr>
          <w:spacing w:val="-5"/>
          <w:w w:val="105"/>
          <w:sz w:val="8"/>
        </w:rPr>
        <w:t>761</w:t>
      </w:r>
    </w:p>
    <w:p w14:paraId="4A7E6840" w14:textId="77777777" w:rsidR="0014798C" w:rsidRDefault="004E1F0B">
      <w:pPr>
        <w:spacing w:before="16"/>
        <w:rPr>
          <w:sz w:val="12"/>
        </w:rPr>
      </w:pPr>
      <w:r>
        <w:br w:type="column"/>
      </w:r>
    </w:p>
    <w:p w14:paraId="6E72485F" w14:textId="77777777" w:rsidR="0014798C" w:rsidRDefault="004E1F0B">
      <w:pPr>
        <w:spacing w:line="312" w:lineRule="auto"/>
        <w:ind w:left="75" w:right="1784" w:firstLine="4"/>
        <w:rPr>
          <w:sz w:val="12"/>
        </w:rPr>
      </w:pPr>
      <w:r>
        <w:rPr>
          <w:sz w:val="12"/>
        </w:rPr>
        <w:t>Véase, por ejemplo, Consejo de Europa, Comisión Europea contra el Racismo y la Intolerancia, “Recomendación de política general No. 2 de la ECRI”, párr.</w:t>
      </w:r>
      <w:r>
        <w:rPr>
          <w:spacing w:val="40"/>
          <w:sz w:val="12"/>
        </w:rPr>
        <w:t xml:space="preserve"> </w:t>
      </w:r>
      <w:r>
        <w:rPr>
          <w:sz w:val="12"/>
        </w:rPr>
        <w:t>40; y Recomendación de la Comisión (UE) 2018/951, de 22 de junio de 2018, sobre estándares para organismos de igualdad, recomendación</w:t>
      </w:r>
    </w:p>
    <w:p w14:paraId="314F5EA5" w14:textId="77777777" w:rsidR="0014798C" w:rsidRDefault="004E1F0B">
      <w:pPr>
        <w:spacing w:line="107" w:lineRule="exact"/>
        <w:ind w:left="77"/>
        <w:rPr>
          <w:sz w:val="12"/>
        </w:rPr>
      </w:pPr>
      <w:r>
        <w:rPr>
          <w:spacing w:val="-2"/>
          <w:sz w:val="12"/>
        </w:rPr>
        <w:t>1.2.3.</w:t>
      </w:r>
    </w:p>
    <w:p w14:paraId="4CEEBCC7" w14:textId="77777777" w:rsidR="0014798C" w:rsidRDefault="0014798C">
      <w:pPr>
        <w:spacing w:line="107" w:lineRule="exact"/>
        <w:rPr>
          <w:sz w:val="12"/>
        </w:rPr>
        <w:sectPr w:rsidR="0014798C" w:rsidSect="00F265E4">
          <w:type w:val="continuous"/>
          <w:pgSz w:w="11900" w:h="16820"/>
          <w:pgMar w:top="40" w:right="0" w:bottom="280" w:left="200" w:header="121" w:footer="0" w:gutter="0"/>
          <w:cols w:num="2" w:space="720" w:equalWidth="0">
            <w:col w:w="1250" w:space="40"/>
            <w:col w:w="10410"/>
          </w:cols>
        </w:sectPr>
      </w:pPr>
    </w:p>
    <w:p w14:paraId="7DCCFA27" w14:textId="77777777" w:rsidR="0014798C" w:rsidRDefault="004E1F0B">
      <w:pPr>
        <w:spacing w:before="114"/>
        <w:ind w:left="1108"/>
        <w:rPr>
          <w:sz w:val="13"/>
        </w:rPr>
      </w:pPr>
      <w:r>
        <w:rPr>
          <w:spacing w:val="-2"/>
          <w:w w:val="105"/>
          <w:sz w:val="13"/>
        </w:rPr>
        <w:t>762 Consejo</w:t>
      </w:r>
      <w:r>
        <w:rPr>
          <w:spacing w:val="-1"/>
          <w:w w:val="105"/>
          <w:sz w:val="13"/>
        </w:rPr>
        <w:t xml:space="preserve"> </w:t>
      </w:r>
      <w:r>
        <w:rPr>
          <w:spacing w:val="-2"/>
          <w:w w:val="105"/>
          <w:sz w:val="13"/>
        </w:rPr>
        <w:t>de</w:t>
      </w:r>
      <w:r>
        <w:rPr>
          <w:spacing w:val="-1"/>
          <w:w w:val="105"/>
          <w:sz w:val="13"/>
        </w:rPr>
        <w:t xml:space="preserve"> </w:t>
      </w:r>
      <w:r>
        <w:rPr>
          <w:spacing w:val="-2"/>
          <w:w w:val="105"/>
          <w:sz w:val="13"/>
        </w:rPr>
        <w:t>Europa,</w:t>
      </w:r>
      <w:r>
        <w:rPr>
          <w:spacing w:val="-1"/>
          <w:w w:val="105"/>
          <w:sz w:val="13"/>
        </w:rPr>
        <w:t xml:space="preserve"> </w:t>
      </w:r>
      <w:r>
        <w:rPr>
          <w:spacing w:val="-2"/>
          <w:w w:val="105"/>
          <w:sz w:val="13"/>
        </w:rPr>
        <w:t>Comisión Europea contra el</w:t>
      </w:r>
      <w:r>
        <w:rPr>
          <w:spacing w:val="-1"/>
          <w:w w:val="105"/>
          <w:sz w:val="13"/>
        </w:rPr>
        <w:t xml:space="preserve"> </w:t>
      </w:r>
      <w:r>
        <w:rPr>
          <w:spacing w:val="-2"/>
          <w:w w:val="105"/>
          <w:sz w:val="13"/>
        </w:rPr>
        <w:t>Racismo y</w:t>
      </w:r>
      <w:r>
        <w:rPr>
          <w:spacing w:val="-1"/>
          <w:w w:val="105"/>
          <w:sz w:val="13"/>
        </w:rPr>
        <w:t xml:space="preserve"> </w:t>
      </w:r>
      <w:r>
        <w:rPr>
          <w:spacing w:val="-2"/>
          <w:w w:val="105"/>
          <w:sz w:val="13"/>
        </w:rPr>
        <w:t>la</w:t>
      </w:r>
      <w:r>
        <w:rPr>
          <w:spacing w:val="-1"/>
          <w:w w:val="105"/>
          <w:sz w:val="13"/>
        </w:rPr>
        <w:t xml:space="preserve"> </w:t>
      </w:r>
      <w:r>
        <w:rPr>
          <w:spacing w:val="-2"/>
          <w:w w:val="105"/>
          <w:sz w:val="13"/>
        </w:rPr>
        <w:t>Intolerancia,</w:t>
      </w:r>
      <w:r>
        <w:rPr>
          <w:spacing w:val="-1"/>
          <w:w w:val="105"/>
          <w:sz w:val="13"/>
        </w:rPr>
        <w:t xml:space="preserve"> </w:t>
      </w:r>
      <w:r>
        <w:rPr>
          <w:spacing w:val="-2"/>
          <w:w w:val="105"/>
          <w:sz w:val="13"/>
        </w:rPr>
        <w:t>“Recomendación de</w:t>
      </w:r>
      <w:r>
        <w:rPr>
          <w:spacing w:val="-1"/>
          <w:w w:val="105"/>
          <w:sz w:val="13"/>
        </w:rPr>
        <w:t xml:space="preserve"> </w:t>
      </w:r>
      <w:r>
        <w:rPr>
          <w:spacing w:val="-2"/>
          <w:w w:val="105"/>
          <w:sz w:val="13"/>
        </w:rPr>
        <w:t>política general</w:t>
      </w:r>
      <w:r>
        <w:rPr>
          <w:spacing w:val="-1"/>
          <w:w w:val="105"/>
          <w:sz w:val="13"/>
        </w:rPr>
        <w:t xml:space="preserve"> </w:t>
      </w:r>
      <w:r>
        <w:rPr>
          <w:spacing w:val="-2"/>
          <w:w w:val="105"/>
          <w:sz w:val="13"/>
        </w:rPr>
        <w:t>No.</w:t>
      </w:r>
      <w:r>
        <w:rPr>
          <w:spacing w:val="-1"/>
          <w:w w:val="105"/>
          <w:sz w:val="13"/>
        </w:rPr>
        <w:t xml:space="preserve"> </w:t>
      </w:r>
      <w:r>
        <w:rPr>
          <w:spacing w:val="-2"/>
          <w:w w:val="105"/>
          <w:sz w:val="13"/>
        </w:rPr>
        <w:t>2 de</w:t>
      </w:r>
      <w:r>
        <w:rPr>
          <w:spacing w:val="-1"/>
          <w:w w:val="105"/>
          <w:sz w:val="13"/>
        </w:rPr>
        <w:t xml:space="preserve"> </w:t>
      </w:r>
      <w:r>
        <w:rPr>
          <w:spacing w:val="-2"/>
          <w:w w:val="105"/>
          <w:sz w:val="13"/>
        </w:rPr>
        <w:t>la</w:t>
      </w:r>
      <w:r>
        <w:rPr>
          <w:spacing w:val="-1"/>
          <w:w w:val="105"/>
          <w:sz w:val="13"/>
        </w:rPr>
        <w:t xml:space="preserve"> </w:t>
      </w:r>
      <w:r>
        <w:rPr>
          <w:spacing w:val="-2"/>
          <w:w w:val="105"/>
          <w:sz w:val="13"/>
        </w:rPr>
        <w:t>ECRI”,</w:t>
      </w:r>
      <w:r>
        <w:rPr>
          <w:spacing w:val="-1"/>
          <w:w w:val="105"/>
          <w:sz w:val="13"/>
        </w:rPr>
        <w:t xml:space="preserve"> </w:t>
      </w:r>
      <w:r>
        <w:rPr>
          <w:spacing w:val="-2"/>
          <w:w w:val="105"/>
          <w:sz w:val="13"/>
        </w:rPr>
        <w:t xml:space="preserve">párr. </w:t>
      </w:r>
      <w:r>
        <w:rPr>
          <w:spacing w:val="-5"/>
          <w:w w:val="105"/>
          <w:sz w:val="13"/>
        </w:rPr>
        <w:t>40.</w:t>
      </w:r>
    </w:p>
    <w:p w14:paraId="3BA59E88" w14:textId="77777777" w:rsidR="0014798C" w:rsidRDefault="004E1F0B">
      <w:pPr>
        <w:spacing w:before="87"/>
        <w:ind w:left="1108"/>
        <w:rPr>
          <w:sz w:val="13"/>
        </w:rPr>
      </w:pPr>
      <w:r>
        <w:rPr>
          <w:spacing w:val="-2"/>
          <w:w w:val="105"/>
          <w:sz w:val="13"/>
        </w:rPr>
        <w:t>763</w:t>
      </w:r>
      <w:r>
        <w:rPr>
          <w:w w:val="105"/>
          <w:sz w:val="13"/>
        </w:rPr>
        <w:t xml:space="preserve"> </w:t>
      </w:r>
      <w:r>
        <w:rPr>
          <w:spacing w:val="-2"/>
          <w:w w:val="105"/>
          <w:sz w:val="13"/>
        </w:rPr>
        <w:t>Directrices</w:t>
      </w:r>
      <w:r>
        <w:rPr>
          <w:spacing w:val="-1"/>
          <w:w w:val="105"/>
          <w:sz w:val="13"/>
        </w:rPr>
        <w:t xml:space="preserve"> </w:t>
      </w:r>
      <w:r>
        <w:rPr>
          <w:spacing w:val="-2"/>
          <w:w w:val="105"/>
          <w:sz w:val="13"/>
        </w:rPr>
        <w:t>sobre</w:t>
      </w:r>
      <w:r>
        <w:rPr>
          <w:spacing w:val="1"/>
          <w:w w:val="105"/>
          <w:sz w:val="13"/>
        </w:rPr>
        <w:t xml:space="preserve"> </w:t>
      </w:r>
      <w:r>
        <w:rPr>
          <w:spacing w:val="-2"/>
          <w:w w:val="105"/>
          <w:sz w:val="13"/>
        </w:rPr>
        <w:t>marcos</w:t>
      </w:r>
      <w:r>
        <w:rPr>
          <w:w w:val="105"/>
          <w:sz w:val="13"/>
        </w:rPr>
        <w:t xml:space="preserve"> </w:t>
      </w:r>
      <w:r>
        <w:rPr>
          <w:spacing w:val="-2"/>
          <w:w w:val="105"/>
          <w:sz w:val="13"/>
        </w:rPr>
        <w:t>de</w:t>
      </w:r>
      <w:r>
        <w:rPr>
          <w:w w:val="105"/>
          <w:sz w:val="13"/>
        </w:rPr>
        <w:t xml:space="preserve"> </w:t>
      </w:r>
      <w:r>
        <w:rPr>
          <w:spacing w:val="-2"/>
          <w:w w:val="105"/>
          <w:sz w:val="13"/>
        </w:rPr>
        <w:t>monitoreo</w:t>
      </w:r>
      <w:r>
        <w:rPr>
          <w:w w:val="105"/>
          <w:sz w:val="13"/>
        </w:rPr>
        <w:t xml:space="preserve"> </w:t>
      </w:r>
      <w:r>
        <w:rPr>
          <w:spacing w:val="-2"/>
          <w:w w:val="105"/>
          <w:sz w:val="13"/>
        </w:rPr>
        <w:t>independiente</w:t>
      </w:r>
      <w:r>
        <w:rPr>
          <w:spacing w:val="-1"/>
          <w:w w:val="105"/>
          <w:sz w:val="13"/>
        </w:rPr>
        <w:t xml:space="preserve"> </w:t>
      </w:r>
      <w:r>
        <w:rPr>
          <w:spacing w:val="-2"/>
          <w:w w:val="105"/>
          <w:sz w:val="13"/>
        </w:rPr>
        <w:t>y</w:t>
      </w:r>
      <w:r>
        <w:rPr>
          <w:w w:val="105"/>
          <w:sz w:val="13"/>
        </w:rPr>
        <w:t xml:space="preserve"> </w:t>
      </w:r>
      <w:r>
        <w:rPr>
          <w:spacing w:val="-2"/>
          <w:w w:val="105"/>
          <w:sz w:val="13"/>
        </w:rPr>
        <w:t>su</w:t>
      </w:r>
      <w:r>
        <w:rPr>
          <w:spacing w:val="1"/>
          <w:w w:val="105"/>
          <w:sz w:val="13"/>
        </w:rPr>
        <w:t xml:space="preserve"> </w:t>
      </w:r>
      <w:r>
        <w:rPr>
          <w:spacing w:val="-2"/>
          <w:w w:val="105"/>
          <w:sz w:val="13"/>
        </w:rPr>
        <w:t>participación</w:t>
      </w:r>
      <w:r>
        <w:rPr>
          <w:w w:val="105"/>
          <w:sz w:val="13"/>
        </w:rPr>
        <w:t xml:space="preserve"> </w:t>
      </w:r>
      <w:r>
        <w:rPr>
          <w:spacing w:val="-2"/>
          <w:w w:val="105"/>
          <w:sz w:val="13"/>
        </w:rPr>
        <w:t>en</w:t>
      </w:r>
      <w:r>
        <w:rPr>
          <w:w w:val="105"/>
          <w:sz w:val="13"/>
        </w:rPr>
        <w:t xml:space="preserve"> </w:t>
      </w:r>
      <w:r>
        <w:rPr>
          <w:spacing w:val="-2"/>
          <w:w w:val="105"/>
          <w:sz w:val="13"/>
        </w:rPr>
        <w:t>el</w:t>
      </w:r>
      <w:r>
        <w:rPr>
          <w:spacing w:val="1"/>
          <w:w w:val="105"/>
          <w:sz w:val="13"/>
        </w:rPr>
        <w:t xml:space="preserve"> </w:t>
      </w:r>
      <w:r>
        <w:rPr>
          <w:spacing w:val="-2"/>
          <w:w w:val="105"/>
          <w:sz w:val="13"/>
        </w:rPr>
        <w:t>trabajo</w:t>
      </w:r>
      <w:r>
        <w:rPr>
          <w:spacing w:val="-1"/>
          <w:w w:val="105"/>
          <w:sz w:val="13"/>
        </w:rPr>
        <w:t xml:space="preserve"> </w:t>
      </w:r>
      <w:r>
        <w:rPr>
          <w:spacing w:val="-2"/>
          <w:w w:val="105"/>
          <w:sz w:val="13"/>
        </w:rPr>
        <w:t>del</w:t>
      </w:r>
      <w:r>
        <w:rPr>
          <w:w w:val="105"/>
          <w:sz w:val="13"/>
        </w:rPr>
        <w:t xml:space="preserve"> </w:t>
      </w:r>
      <w:r>
        <w:rPr>
          <w:spacing w:val="-2"/>
          <w:w w:val="105"/>
          <w:sz w:val="13"/>
        </w:rPr>
        <w:t>Comité</w:t>
      </w:r>
      <w:r>
        <w:rPr>
          <w:w w:val="105"/>
          <w:sz w:val="13"/>
        </w:rPr>
        <w:t xml:space="preserve"> </w:t>
      </w:r>
      <w:r>
        <w:rPr>
          <w:spacing w:val="-2"/>
          <w:w w:val="105"/>
          <w:sz w:val="13"/>
        </w:rPr>
        <w:t>sobre</w:t>
      </w:r>
      <w:r>
        <w:rPr>
          <w:w w:val="105"/>
          <w:sz w:val="13"/>
        </w:rPr>
        <w:t xml:space="preserve"> </w:t>
      </w:r>
      <w:r>
        <w:rPr>
          <w:spacing w:val="-2"/>
          <w:w w:val="105"/>
          <w:sz w:val="13"/>
        </w:rPr>
        <w:t>los</w:t>
      </w:r>
      <w:r>
        <w:rPr>
          <w:w w:val="105"/>
          <w:sz w:val="13"/>
        </w:rPr>
        <w:t xml:space="preserve"> </w:t>
      </w:r>
      <w:r>
        <w:rPr>
          <w:spacing w:val="-2"/>
          <w:w w:val="105"/>
          <w:sz w:val="13"/>
        </w:rPr>
        <w:t>Derechos</w:t>
      </w:r>
      <w:r>
        <w:rPr>
          <w:w w:val="105"/>
          <w:sz w:val="13"/>
        </w:rPr>
        <w:t xml:space="preserve"> </w:t>
      </w:r>
      <w:r>
        <w:rPr>
          <w:spacing w:val="-2"/>
          <w:w w:val="105"/>
          <w:sz w:val="13"/>
        </w:rPr>
        <w:t>de</w:t>
      </w:r>
      <w:r>
        <w:rPr>
          <w:w w:val="105"/>
          <w:sz w:val="13"/>
        </w:rPr>
        <w:t xml:space="preserve"> </w:t>
      </w:r>
      <w:r>
        <w:rPr>
          <w:spacing w:val="-2"/>
          <w:w w:val="105"/>
          <w:sz w:val="13"/>
        </w:rPr>
        <w:t>las</w:t>
      </w:r>
      <w:r>
        <w:rPr>
          <w:w w:val="105"/>
          <w:sz w:val="13"/>
        </w:rPr>
        <w:t xml:space="preserve"> </w:t>
      </w:r>
      <w:r>
        <w:rPr>
          <w:spacing w:val="-2"/>
          <w:w w:val="105"/>
          <w:sz w:val="13"/>
        </w:rPr>
        <w:t>Personas</w:t>
      </w:r>
      <w:r>
        <w:rPr>
          <w:w w:val="105"/>
          <w:sz w:val="13"/>
        </w:rPr>
        <w:t xml:space="preserve"> </w:t>
      </w:r>
      <w:r>
        <w:rPr>
          <w:spacing w:val="-5"/>
          <w:w w:val="105"/>
          <w:sz w:val="13"/>
        </w:rPr>
        <w:t>con</w:t>
      </w:r>
    </w:p>
    <w:p w14:paraId="5BBFA4B1" w14:textId="77777777" w:rsidR="0014798C" w:rsidRDefault="004E1F0B">
      <w:pPr>
        <w:spacing w:before="47"/>
        <w:ind w:left="1367"/>
        <w:rPr>
          <w:sz w:val="12"/>
        </w:rPr>
      </w:pPr>
      <w:r>
        <w:rPr>
          <w:sz w:val="12"/>
        </w:rPr>
        <w:t>Discapacidades,</w:t>
      </w:r>
      <w:r>
        <w:rPr>
          <w:spacing w:val="3"/>
          <w:sz w:val="12"/>
        </w:rPr>
        <w:t xml:space="preserve"> </w:t>
      </w:r>
      <w:r>
        <w:rPr>
          <w:sz w:val="12"/>
        </w:rPr>
        <w:t>párr.</w:t>
      </w:r>
      <w:r>
        <w:rPr>
          <w:spacing w:val="2"/>
          <w:sz w:val="12"/>
        </w:rPr>
        <w:t xml:space="preserve"> </w:t>
      </w:r>
      <w:r>
        <w:rPr>
          <w:spacing w:val="-5"/>
          <w:sz w:val="12"/>
        </w:rPr>
        <w:t>15.</w:t>
      </w:r>
    </w:p>
    <w:p w14:paraId="621DF99C" w14:textId="77777777" w:rsidR="0014798C" w:rsidRDefault="004E1F0B">
      <w:pPr>
        <w:spacing w:before="50"/>
        <w:ind w:left="1108"/>
        <w:rPr>
          <w:sz w:val="13"/>
        </w:rPr>
      </w:pPr>
      <w:r>
        <w:rPr>
          <w:w w:val="105"/>
          <w:sz w:val="13"/>
        </w:rPr>
        <w:t>764</w:t>
      </w:r>
      <w:r>
        <w:rPr>
          <w:spacing w:val="-8"/>
          <w:w w:val="105"/>
          <w:sz w:val="13"/>
        </w:rPr>
        <w:t xml:space="preserve"> </w:t>
      </w:r>
      <w:proofErr w:type="spellStart"/>
      <w:r>
        <w:rPr>
          <w:spacing w:val="-4"/>
          <w:w w:val="105"/>
          <w:sz w:val="13"/>
        </w:rPr>
        <w:t>Ibíd</w:t>
      </w:r>
      <w:proofErr w:type="spellEnd"/>
      <w:r>
        <w:rPr>
          <w:spacing w:val="-4"/>
          <w:w w:val="105"/>
          <w:sz w:val="13"/>
        </w:rPr>
        <w:t>.</w:t>
      </w:r>
    </w:p>
    <w:p w14:paraId="32FDB14F" w14:textId="77777777" w:rsidR="0014798C" w:rsidRDefault="004E1F0B">
      <w:pPr>
        <w:spacing w:before="118"/>
        <w:ind w:left="1108"/>
        <w:rPr>
          <w:sz w:val="13"/>
        </w:rPr>
      </w:pPr>
      <w:r>
        <w:rPr>
          <w:spacing w:val="-2"/>
          <w:w w:val="105"/>
          <w:sz w:val="13"/>
        </w:rPr>
        <w:t>765 Comité para</w:t>
      </w:r>
      <w:r>
        <w:rPr>
          <w:spacing w:val="-1"/>
          <w:w w:val="105"/>
          <w:sz w:val="13"/>
        </w:rPr>
        <w:t xml:space="preserve"> </w:t>
      </w:r>
      <w:r>
        <w:rPr>
          <w:spacing w:val="-2"/>
          <w:w w:val="105"/>
          <w:sz w:val="13"/>
        </w:rPr>
        <w:t>la Eliminación de</w:t>
      </w:r>
      <w:r>
        <w:rPr>
          <w:spacing w:val="-1"/>
          <w:w w:val="105"/>
          <w:sz w:val="13"/>
        </w:rPr>
        <w:t xml:space="preserve"> </w:t>
      </w:r>
      <w:r>
        <w:rPr>
          <w:spacing w:val="-2"/>
          <w:w w:val="105"/>
          <w:sz w:val="13"/>
        </w:rPr>
        <w:t>la Discriminación</w:t>
      </w:r>
      <w:r>
        <w:rPr>
          <w:spacing w:val="-1"/>
          <w:w w:val="105"/>
          <w:sz w:val="13"/>
        </w:rPr>
        <w:t xml:space="preserve"> </w:t>
      </w:r>
      <w:r>
        <w:rPr>
          <w:spacing w:val="-2"/>
          <w:w w:val="105"/>
          <w:sz w:val="13"/>
        </w:rPr>
        <w:t>Racial,</w:t>
      </w:r>
      <w:r>
        <w:rPr>
          <w:spacing w:val="-1"/>
          <w:w w:val="105"/>
          <w:sz w:val="13"/>
        </w:rPr>
        <w:t xml:space="preserve"> </w:t>
      </w:r>
      <w:r>
        <w:rPr>
          <w:spacing w:val="-2"/>
          <w:w w:val="105"/>
          <w:sz w:val="13"/>
        </w:rPr>
        <w:t>recomendación general</w:t>
      </w:r>
      <w:r>
        <w:rPr>
          <w:spacing w:val="-1"/>
          <w:w w:val="105"/>
          <w:sz w:val="13"/>
        </w:rPr>
        <w:t xml:space="preserve"> </w:t>
      </w:r>
      <w:r>
        <w:rPr>
          <w:spacing w:val="-2"/>
          <w:w w:val="105"/>
          <w:sz w:val="13"/>
        </w:rPr>
        <w:t>núm.</w:t>
      </w:r>
      <w:r>
        <w:rPr>
          <w:spacing w:val="-1"/>
          <w:w w:val="105"/>
          <w:sz w:val="13"/>
        </w:rPr>
        <w:t xml:space="preserve"> </w:t>
      </w:r>
      <w:r>
        <w:rPr>
          <w:spacing w:val="-2"/>
          <w:w w:val="105"/>
          <w:sz w:val="13"/>
        </w:rPr>
        <w:t>17 (1993),</w:t>
      </w:r>
      <w:r>
        <w:rPr>
          <w:spacing w:val="-1"/>
          <w:w w:val="105"/>
          <w:sz w:val="13"/>
        </w:rPr>
        <w:t xml:space="preserve"> </w:t>
      </w:r>
      <w:r>
        <w:rPr>
          <w:spacing w:val="-2"/>
          <w:w w:val="105"/>
          <w:sz w:val="13"/>
        </w:rPr>
        <w:t>párr.</w:t>
      </w:r>
      <w:r>
        <w:rPr>
          <w:spacing w:val="-1"/>
          <w:w w:val="105"/>
          <w:sz w:val="13"/>
        </w:rPr>
        <w:t xml:space="preserve"> </w:t>
      </w:r>
      <w:r>
        <w:rPr>
          <w:spacing w:val="-5"/>
          <w:w w:val="105"/>
          <w:sz w:val="13"/>
        </w:rPr>
        <w:t>1.</w:t>
      </w:r>
    </w:p>
    <w:p w14:paraId="49880328" w14:textId="77777777" w:rsidR="0014798C" w:rsidRDefault="004E1F0B">
      <w:pPr>
        <w:spacing w:before="87"/>
        <w:ind w:left="1108"/>
        <w:rPr>
          <w:sz w:val="13"/>
        </w:rPr>
      </w:pPr>
      <w:r>
        <w:rPr>
          <w:spacing w:val="-2"/>
          <w:w w:val="105"/>
          <w:sz w:val="13"/>
        </w:rPr>
        <w:t>766 Consejo</w:t>
      </w:r>
      <w:r>
        <w:rPr>
          <w:spacing w:val="-1"/>
          <w:w w:val="105"/>
          <w:sz w:val="13"/>
        </w:rPr>
        <w:t xml:space="preserve"> </w:t>
      </w:r>
      <w:r>
        <w:rPr>
          <w:spacing w:val="-2"/>
          <w:w w:val="105"/>
          <w:sz w:val="13"/>
        </w:rPr>
        <w:t>de</w:t>
      </w:r>
      <w:r>
        <w:rPr>
          <w:spacing w:val="-1"/>
          <w:w w:val="105"/>
          <w:sz w:val="13"/>
        </w:rPr>
        <w:t xml:space="preserve"> </w:t>
      </w:r>
      <w:r>
        <w:rPr>
          <w:spacing w:val="-2"/>
          <w:w w:val="105"/>
          <w:sz w:val="13"/>
        </w:rPr>
        <w:t>Europa,</w:t>
      </w:r>
      <w:r>
        <w:rPr>
          <w:spacing w:val="-1"/>
          <w:w w:val="105"/>
          <w:sz w:val="13"/>
        </w:rPr>
        <w:t xml:space="preserve"> </w:t>
      </w:r>
      <w:r>
        <w:rPr>
          <w:spacing w:val="-2"/>
          <w:w w:val="105"/>
          <w:sz w:val="13"/>
        </w:rPr>
        <w:t>Comisión Europea contra el</w:t>
      </w:r>
      <w:r>
        <w:rPr>
          <w:spacing w:val="-1"/>
          <w:w w:val="105"/>
          <w:sz w:val="13"/>
        </w:rPr>
        <w:t xml:space="preserve"> </w:t>
      </w:r>
      <w:r>
        <w:rPr>
          <w:spacing w:val="-2"/>
          <w:w w:val="105"/>
          <w:sz w:val="13"/>
        </w:rPr>
        <w:t>Racismo y</w:t>
      </w:r>
      <w:r>
        <w:rPr>
          <w:spacing w:val="-1"/>
          <w:w w:val="105"/>
          <w:sz w:val="13"/>
        </w:rPr>
        <w:t xml:space="preserve"> </w:t>
      </w:r>
      <w:r>
        <w:rPr>
          <w:spacing w:val="-2"/>
          <w:w w:val="105"/>
          <w:sz w:val="13"/>
        </w:rPr>
        <w:t>la</w:t>
      </w:r>
      <w:r>
        <w:rPr>
          <w:spacing w:val="-1"/>
          <w:w w:val="105"/>
          <w:sz w:val="13"/>
        </w:rPr>
        <w:t xml:space="preserve"> </w:t>
      </w:r>
      <w:r>
        <w:rPr>
          <w:spacing w:val="-2"/>
          <w:w w:val="105"/>
          <w:sz w:val="13"/>
        </w:rPr>
        <w:t>Intolerancia,</w:t>
      </w:r>
      <w:r>
        <w:rPr>
          <w:spacing w:val="-1"/>
          <w:w w:val="105"/>
          <w:sz w:val="13"/>
        </w:rPr>
        <w:t xml:space="preserve"> </w:t>
      </w:r>
      <w:r>
        <w:rPr>
          <w:spacing w:val="-2"/>
          <w:w w:val="105"/>
          <w:sz w:val="13"/>
        </w:rPr>
        <w:t>“Recomendación de</w:t>
      </w:r>
      <w:r>
        <w:rPr>
          <w:spacing w:val="-1"/>
          <w:w w:val="105"/>
          <w:sz w:val="13"/>
        </w:rPr>
        <w:t xml:space="preserve"> </w:t>
      </w:r>
      <w:r>
        <w:rPr>
          <w:spacing w:val="-2"/>
          <w:w w:val="105"/>
          <w:sz w:val="13"/>
        </w:rPr>
        <w:t>política general</w:t>
      </w:r>
      <w:r>
        <w:rPr>
          <w:spacing w:val="-1"/>
          <w:w w:val="105"/>
          <w:sz w:val="13"/>
        </w:rPr>
        <w:t xml:space="preserve"> </w:t>
      </w:r>
      <w:r>
        <w:rPr>
          <w:spacing w:val="-2"/>
          <w:w w:val="105"/>
          <w:sz w:val="13"/>
        </w:rPr>
        <w:t>No.</w:t>
      </w:r>
      <w:r>
        <w:rPr>
          <w:spacing w:val="-1"/>
          <w:w w:val="105"/>
          <w:sz w:val="13"/>
        </w:rPr>
        <w:t xml:space="preserve"> </w:t>
      </w:r>
      <w:r>
        <w:rPr>
          <w:spacing w:val="-2"/>
          <w:w w:val="105"/>
          <w:sz w:val="13"/>
        </w:rPr>
        <w:t>2 de</w:t>
      </w:r>
      <w:r>
        <w:rPr>
          <w:spacing w:val="-1"/>
          <w:w w:val="105"/>
          <w:sz w:val="13"/>
        </w:rPr>
        <w:t xml:space="preserve"> </w:t>
      </w:r>
      <w:r>
        <w:rPr>
          <w:spacing w:val="-2"/>
          <w:w w:val="105"/>
          <w:sz w:val="13"/>
        </w:rPr>
        <w:t>la</w:t>
      </w:r>
      <w:r>
        <w:rPr>
          <w:spacing w:val="-1"/>
          <w:w w:val="105"/>
          <w:sz w:val="13"/>
        </w:rPr>
        <w:t xml:space="preserve"> </w:t>
      </w:r>
      <w:r>
        <w:rPr>
          <w:spacing w:val="-2"/>
          <w:w w:val="105"/>
          <w:sz w:val="13"/>
        </w:rPr>
        <w:t>ECRI”,</w:t>
      </w:r>
      <w:r>
        <w:rPr>
          <w:spacing w:val="-1"/>
          <w:w w:val="105"/>
          <w:sz w:val="13"/>
        </w:rPr>
        <w:t xml:space="preserve"> </w:t>
      </w:r>
      <w:r>
        <w:rPr>
          <w:spacing w:val="-2"/>
          <w:w w:val="105"/>
          <w:sz w:val="13"/>
        </w:rPr>
        <w:t xml:space="preserve">párr. </w:t>
      </w:r>
      <w:r>
        <w:rPr>
          <w:spacing w:val="-5"/>
          <w:w w:val="105"/>
          <w:sz w:val="13"/>
        </w:rPr>
        <w:t>4.</w:t>
      </w:r>
    </w:p>
    <w:p w14:paraId="01EDFF1C" w14:textId="77777777" w:rsidR="0014798C" w:rsidRDefault="004E1F0B">
      <w:pPr>
        <w:spacing w:before="47" w:line="256" w:lineRule="auto"/>
        <w:ind w:left="1366" w:right="2004" w:firstLine="3"/>
        <w:rPr>
          <w:sz w:val="12"/>
        </w:rPr>
      </w:pPr>
      <w:r>
        <w:rPr>
          <w:sz w:val="12"/>
        </w:rPr>
        <w:t xml:space="preserve">Véase también A/71/301, </w:t>
      </w:r>
      <w:proofErr w:type="spellStart"/>
      <w:r>
        <w:rPr>
          <w:sz w:val="12"/>
        </w:rPr>
        <w:t>párrs</w:t>
      </w:r>
      <w:proofErr w:type="spellEnd"/>
      <w:r>
        <w:rPr>
          <w:sz w:val="12"/>
        </w:rPr>
        <w:t>. 25–37; y Recomendación de la Comisión (UE) 2018/951, de 22 de junio de 2018, sobre estándares para organismos de</w:t>
      </w:r>
      <w:r>
        <w:rPr>
          <w:spacing w:val="40"/>
          <w:sz w:val="12"/>
        </w:rPr>
        <w:t xml:space="preserve"> </w:t>
      </w:r>
      <w:r>
        <w:rPr>
          <w:sz w:val="12"/>
        </w:rPr>
        <w:t>igualdad, recomendación 1.1.2.</w:t>
      </w:r>
    </w:p>
    <w:p w14:paraId="22608607" w14:textId="77777777" w:rsidR="0014798C" w:rsidRDefault="0014798C">
      <w:pPr>
        <w:pStyle w:val="Textoindependiente"/>
        <w:rPr>
          <w:sz w:val="19"/>
        </w:rPr>
      </w:pPr>
    </w:p>
    <w:p w14:paraId="6C027E81" w14:textId="77777777" w:rsidR="0014798C" w:rsidRDefault="0014798C">
      <w:pPr>
        <w:pStyle w:val="Textoindependiente"/>
        <w:spacing w:before="213"/>
        <w:rPr>
          <w:sz w:val="19"/>
        </w:rPr>
      </w:pPr>
    </w:p>
    <w:p w14:paraId="36BC020A" w14:textId="77777777" w:rsidR="0014798C" w:rsidRDefault="004E1F0B">
      <w:pPr>
        <w:ind w:right="693"/>
        <w:jc w:val="right"/>
        <w:rPr>
          <w:sz w:val="19"/>
        </w:rPr>
      </w:pPr>
      <w:r>
        <w:rPr>
          <w:spacing w:val="-5"/>
          <w:sz w:val="19"/>
        </w:rPr>
        <w:t>107</w:t>
      </w:r>
    </w:p>
    <w:p w14:paraId="65A7181E" w14:textId="77777777" w:rsidR="0014798C" w:rsidRDefault="0014798C">
      <w:pPr>
        <w:jc w:val="right"/>
        <w:rPr>
          <w:sz w:val="19"/>
        </w:rPr>
        <w:sectPr w:rsidR="0014798C" w:rsidSect="00F265E4">
          <w:type w:val="continuous"/>
          <w:pgSz w:w="11900" w:h="16820"/>
          <w:pgMar w:top="40" w:right="0" w:bottom="280" w:left="200" w:header="121" w:footer="0" w:gutter="0"/>
          <w:cols w:space="720"/>
        </w:sectPr>
      </w:pPr>
    </w:p>
    <w:p w14:paraId="5655129C" w14:textId="77777777" w:rsidR="0014798C" w:rsidRDefault="0014798C">
      <w:pPr>
        <w:pStyle w:val="Textoindependiente"/>
        <w:spacing w:before="85"/>
        <w:rPr>
          <w:sz w:val="12"/>
        </w:rPr>
      </w:pPr>
    </w:p>
    <w:p w14:paraId="18B7D11A" w14:textId="77777777" w:rsidR="0014798C" w:rsidRDefault="004E1F0B">
      <w:pPr>
        <w:ind w:left="1111"/>
        <w:rPr>
          <w:sz w:val="12"/>
        </w:rPr>
      </w:pPr>
      <w:r>
        <w:rPr>
          <w:color w:val="00AC59"/>
          <w:sz w:val="12"/>
        </w:rPr>
        <w:t>PROTECCIÓN</w:t>
      </w:r>
      <w:r>
        <w:rPr>
          <w:color w:val="00AC59"/>
          <w:spacing w:val="6"/>
          <w:sz w:val="12"/>
        </w:rPr>
        <w:t xml:space="preserve"> </w:t>
      </w:r>
      <w:r>
        <w:rPr>
          <w:color w:val="00AC59"/>
          <w:sz w:val="12"/>
        </w:rPr>
        <w:t>DE</w:t>
      </w:r>
      <w:r>
        <w:rPr>
          <w:color w:val="00AC59"/>
          <w:spacing w:val="7"/>
          <w:sz w:val="12"/>
        </w:rPr>
        <w:t xml:space="preserve"> </w:t>
      </w:r>
      <w:r>
        <w:rPr>
          <w:color w:val="00AC59"/>
          <w:sz w:val="12"/>
        </w:rPr>
        <w:t>LOS</w:t>
      </w:r>
      <w:r>
        <w:rPr>
          <w:color w:val="00AC59"/>
          <w:spacing w:val="8"/>
          <w:sz w:val="12"/>
        </w:rPr>
        <w:t xml:space="preserve"> </w:t>
      </w:r>
      <w:r>
        <w:rPr>
          <w:color w:val="00AC59"/>
          <w:sz w:val="12"/>
        </w:rPr>
        <w:t>DERECHOS</w:t>
      </w:r>
      <w:r>
        <w:rPr>
          <w:color w:val="00AC59"/>
          <w:spacing w:val="8"/>
          <w:sz w:val="12"/>
        </w:rPr>
        <w:t xml:space="preserve"> </w:t>
      </w:r>
      <w:r>
        <w:rPr>
          <w:color w:val="00AC59"/>
          <w:sz w:val="12"/>
        </w:rPr>
        <w:t>DE</w:t>
      </w:r>
      <w:r>
        <w:rPr>
          <w:color w:val="00AC59"/>
          <w:spacing w:val="6"/>
          <w:sz w:val="12"/>
        </w:rPr>
        <w:t xml:space="preserve"> </w:t>
      </w:r>
      <w:r>
        <w:rPr>
          <w:color w:val="00AC59"/>
          <w:sz w:val="12"/>
        </w:rPr>
        <w:t>LAS</w:t>
      </w:r>
      <w:r>
        <w:rPr>
          <w:color w:val="00AC59"/>
          <w:spacing w:val="7"/>
          <w:sz w:val="12"/>
        </w:rPr>
        <w:t xml:space="preserve"> </w:t>
      </w:r>
      <w:r>
        <w:rPr>
          <w:color w:val="00AC59"/>
          <w:sz w:val="12"/>
        </w:rPr>
        <w:t>MINORÍAS:</w:t>
      </w:r>
      <w:r>
        <w:rPr>
          <w:color w:val="00AC59"/>
          <w:spacing w:val="8"/>
          <w:sz w:val="12"/>
        </w:rPr>
        <w:t xml:space="preserve"> </w:t>
      </w:r>
      <w:r>
        <w:rPr>
          <w:color w:val="00AC59"/>
          <w:sz w:val="12"/>
        </w:rPr>
        <w:t>una</w:t>
      </w:r>
      <w:r>
        <w:rPr>
          <w:color w:val="00AC59"/>
          <w:spacing w:val="7"/>
          <w:sz w:val="12"/>
        </w:rPr>
        <w:t xml:space="preserve"> </w:t>
      </w:r>
      <w:r>
        <w:rPr>
          <w:color w:val="00AC59"/>
          <w:sz w:val="12"/>
        </w:rPr>
        <w:t>guía</w:t>
      </w:r>
      <w:r>
        <w:rPr>
          <w:color w:val="00AC59"/>
          <w:spacing w:val="6"/>
          <w:sz w:val="12"/>
        </w:rPr>
        <w:t xml:space="preserve"> </w:t>
      </w:r>
      <w:r>
        <w:rPr>
          <w:color w:val="00AC59"/>
          <w:sz w:val="12"/>
        </w:rPr>
        <w:t>práctica</w:t>
      </w:r>
      <w:r>
        <w:rPr>
          <w:color w:val="00AC59"/>
          <w:spacing w:val="7"/>
          <w:sz w:val="12"/>
        </w:rPr>
        <w:t xml:space="preserve"> </w:t>
      </w:r>
      <w:r>
        <w:rPr>
          <w:color w:val="00AC59"/>
          <w:sz w:val="12"/>
        </w:rPr>
        <w:t>para</w:t>
      </w:r>
      <w:r>
        <w:rPr>
          <w:color w:val="00AC59"/>
          <w:spacing w:val="8"/>
          <w:sz w:val="12"/>
        </w:rPr>
        <w:t xml:space="preserve"> </w:t>
      </w:r>
      <w:r>
        <w:rPr>
          <w:color w:val="00AC59"/>
          <w:sz w:val="12"/>
        </w:rPr>
        <w:t>desarrollar</w:t>
      </w:r>
      <w:r>
        <w:rPr>
          <w:color w:val="00AC59"/>
          <w:spacing w:val="6"/>
          <w:sz w:val="12"/>
        </w:rPr>
        <w:t xml:space="preserve"> </w:t>
      </w:r>
      <w:r>
        <w:rPr>
          <w:color w:val="00AC59"/>
          <w:sz w:val="12"/>
        </w:rPr>
        <w:t>una</w:t>
      </w:r>
      <w:r>
        <w:rPr>
          <w:color w:val="00AC59"/>
          <w:spacing w:val="7"/>
          <w:sz w:val="12"/>
        </w:rPr>
        <w:t xml:space="preserve"> </w:t>
      </w:r>
      <w:r>
        <w:rPr>
          <w:color w:val="00AC59"/>
          <w:sz w:val="12"/>
        </w:rPr>
        <w:t>legislación</w:t>
      </w:r>
      <w:r>
        <w:rPr>
          <w:color w:val="00AC59"/>
          <w:spacing w:val="8"/>
          <w:sz w:val="12"/>
        </w:rPr>
        <w:t xml:space="preserve"> </w:t>
      </w:r>
      <w:r>
        <w:rPr>
          <w:color w:val="00AC59"/>
          <w:sz w:val="12"/>
        </w:rPr>
        <w:t>integral</w:t>
      </w:r>
      <w:r>
        <w:rPr>
          <w:color w:val="00AC59"/>
          <w:spacing w:val="7"/>
          <w:sz w:val="12"/>
        </w:rPr>
        <w:t xml:space="preserve"> </w:t>
      </w:r>
      <w:r>
        <w:rPr>
          <w:color w:val="00AC59"/>
          <w:sz w:val="12"/>
        </w:rPr>
        <w:t>contra</w:t>
      </w:r>
      <w:r>
        <w:rPr>
          <w:color w:val="00AC59"/>
          <w:spacing w:val="6"/>
          <w:sz w:val="12"/>
        </w:rPr>
        <w:t xml:space="preserve"> </w:t>
      </w:r>
      <w:r>
        <w:rPr>
          <w:color w:val="00AC59"/>
          <w:sz w:val="12"/>
        </w:rPr>
        <w:t>la</w:t>
      </w:r>
      <w:r>
        <w:rPr>
          <w:color w:val="00AC59"/>
          <w:spacing w:val="7"/>
          <w:sz w:val="12"/>
        </w:rPr>
        <w:t xml:space="preserve"> </w:t>
      </w:r>
      <w:r>
        <w:rPr>
          <w:color w:val="00AC59"/>
          <w:spacing w:val="-2"/>
          <w:sz w:val="12"/>
        </w:rPr>
        <w:t>discriminación</w:t>
      </w:r>
    </w:p>
    <w:p w14:paraId="5EDD9189" w14:textId="77777777" w:rsidR="0014798C" w:rsidRDefault="0014798C">
      <w:pPr>
        <w:pStyle w:val="Textoindependiente"/>
        <w:rPr>
          <w:sz w:val="17"/>
        </w:rPr>
      </w:pPr>
    </w:p>
    <w:p w14:paraId="75250C5C" w14:textId="77777777" w:rsidR="0014798C" w:rsidRDefault="0014798C">
      <w:pPr>
        <w:pStyle w:val="Textoindependiente"/>
        <w:rPr>
          <w:sz w:val="17"/>
        </w:rPr>
      </w:pPr>
    </w:p>
    <w:p w14:paraId="29580C3A" w14:textId="77777777" w:rsidR="0014798C" w:rsidRDefault="0014798C">
      <w:pPr>
        <w:pStyle w:val="Textoindependiente"/>
        <w:rPr>
          <w:sz w:val="17"/>
        </w:rPr>
      </w:pPr>
    </w:p>
    <w:p w14:paraId="31D9C8A4" w14:textId="77777777" w:rsidR="0014798C" w:rsidRDefault="0014798C">
      <w:pPr>
        <w:pStyle w:val="Textoindependiente"/>
        <w:rPr>
          <w:sz w:val="17"/>
        </w:rPr>
      </w:pPr>
    </w:p>
    <w:p w14:paraId="0AF2FE91" w14:textId="77777777" w:rsidR="0014798C" w:rsidRDefault="0014798C">
      <w:pPr>
        <w:pStyle w:val="Textoindependiente"/>
        <w:spacing w:before="13"/>
        <w:rPr>
          <w:sz w:val="17"/>
        </w:rPr>
      </w:pPr>
    </w:p>
    <w:p w14:paraId="271CC2FD" w14:textId="77777777" w:rsidR="0014798C" w:rsidRDefault="004E1F0B">
      <w:pPr>
        <w:ind w:left="1342"/>
        <w:rPr>
          <w:sz w:val="17"/>
        </w:rPr>
      </w:pPr>
      <w:r>
        <w:rPr>
          <w:noProof/>
        </w:rPr>
        <w:drawing>
          <wp:anchor distT="0" distB="0" distL="0" distR="0" simplePos="0" relativeHeight="251658441" behindDoc="1" locked="0" layoutInCell="1" allowOverlap="1" wp14:anchorId="509EBB0A" wp14:editId="747A55A8">
            <wp:simplePos x="0" y="0"/>
            <wp:positionH relativeFrom="page">
              <wp:posOffset>813154</wp:posOffset>
            </wp:positionH>
            <wp:positionV relativeFrom="paragraph">
              <wp:posOffset>-155368</wp:posOffset>
            </wp:positionV>
            <wp:extent cx="5943667" cy="8995692"/>
            <wp:effectExtent l="0" t="0" r="0" b="0"/>
            <wp:wrapNone/>
            <wp:docPr id="233" name="Image 23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33" name="Image 233"/>
                    <pic:cNvPicPr/>
                  </pic:nvPicPr>
                  <pic:blipFill>
                    <a:blip r:embed="rId212" cstate="print"/>
                    <a:stretch>
                      <a:fillRect/>
                    </a:stretch>
                  </pic:blipFill>
                  <pic:spPr>
                    <a:xfrm>
                      <a:off x="0" y="0"/>
                      <a:ext cx="5943667" cy="8995692"/>
                    </a:xfrm>
                    <a:prstGeom prst="rect">
                      <a:avLst/>
                    </a:prstGeom>
                  </pic:spPr>
                </pic:pic>
              </a:graphicData>
            </a:graphic>
          </wp:anchor>
        </w:drawing>
      </w:r>
      <w:r>
        <w:rPr>
          <w:sz w:val="17"/>
        </w:rPr>
        <w:t>KENIA:</w:t>
      </w:r>
      <w:r>
        <w:rPr>
          <w:spacing w:val="1"/>
          <w:sz w:val="17"/>
        </w:rPr>
        <w:t xml:space="preserve"> </w:t>
      </w:r>
      <w:r>
        <w:rPr>
          <w:sz w:val="17"/>
        </w:rPr>
        <w:t>COMISIÓN</w:t>
      </w:r>
      <w:r>
        <w:rPr>
          <w:spacing w:val="1"/>
          <w:sz w:val="17"/>
        </w:rPr>
        <w:t xml:space="preserve"> </w:t>
      </w:r>
      <w:r>
        <w:rPr>
          <w:sz w:val="17"/>
        </w:rPr>
        <w:t>NACIONAL</w:t>
      </w:r>
      <w:r>
        <w:rPr>
          <w:spacing w:val="2"/>
          <w:sz w:val="17"/>
        </w:rPr>
        <w:t xml:space="preserve"> </w:t>
      </w:r>
      <w:r>
        <w:rPr>
          <w:sz w:val="17"/>
        </w:rPr>
        <w:t>DE</w:t>
      </w:r>
      <w:r>
        <w:rPr>
          <w:spacing w:val="1"/>
          <w:sz w:val="17"/>
        </w:rPr>
        <w:t xml:space="preserve"> </w:t>
      </w:r>
      <w:r>
        <w:rPr>
          <w:sz w:val="17"/>
        </w:rPr>
        <w:t>GÉNERO</w:t>
      </w:r>
      <w:r>
        <w:rPr>
          <w:spacing w:val="2"/>
          <w:sz w:val="17"/>
        </w:rPr>
        <w:t xml:space="preserve"> </w:t>
      </w:r>
      <w:r>
        <w:rPr>
          <w:sz w:val="17"/>
        </w:rPr>
        <w:t>E</w:t>
      </w:r>
      <w:r>
        <w:rPr>
          <w:spacing w:val="1"/>
          <w:sz w:val="17"/>
        </w:rPr>
        <w:t xml:space="preserve"> </w:t>
      </w:r>
      <w:r>
        <w:rPr>
          <w:sz w:val="17"/>
        </w:rPr>
        <w:t>IGUALDAD</w:t>
      </w:r>
      <w:r>
        <w:rPr>
          <w:spacing w:val="2"/>
          <w:sz w:val="17"/>
        </w:rPr>
        <w:t xml:space="preserve"> </w:t>
      </w:r>
      <w:r>
        <w:rPr>
          <w:sz w:val="17"/>
        </w:rPr>
        <w:t>DE</w:t>
      </w:r>
      <w:r>
        <w:rPr>
          <w:spacing w:val="1"/>
          <w:sz w:val="17"/>
        </w:rPr>
        <w:t xml:space="preserve"> </w:t>
      </w:r>
      <w:r>
        <w:rPr>
          <w:spacing w:val="-2"/>
          <w:sz w:val="17"/>
        </w:rPr>
        <w:t>KENIA</w:t>
      </w:r>
    </w:p>
    <w:p w14:paraId="1571343C" w14:textId="77777777" w:rsidR="0014798C" w:rsidRDefault="0014798C">
      <w:pPr>
        <w:pStyle w:val="Textoindependiente"/>
        <w:spacing w:before="8"/>
        <w:rPr>
          <w:sz w:val="17"/>
        </w:rPr>
      </w:pPr>
    </w:p>
    <w:p w14:paraId="32EDB0D9" w14:textId="77777777" w:rsidR="0014798C" w:rsidRDefault="004E1F0B">
      <w:pPr>
        <w:spacing w:line="307" w:lineRule="auto"/>
        <w:ind w:left="1337" w:right="1272" w:hanging="5"/>
        <w:rPr>
          <w:sz w:val="17"/>
        </w:rPr>
      </w:pPr>
      <w:r>
        <w:rPr>
          <w:sz w:val="17"/>
        </w:rPr>
        <w:t>La Comisión Nacional de Género e Igualdad de Kenia es un organismo de igualdad de múltiples ámbitos que se estableció de conformidad con la Ley de la Comisión Nacional de Género e Igualdad de 2011.</w:t>
      </w:r>
    </w:p>
    <w:p w14:paraId="63A64082" w14:textId="77777777" w:rsidR="0014798C" w:rsidRDefault="004E1F0B">
      <w:pPr>
        <w:spacing w:before="112" w:line="307" w:lineRule="auto"/>
        <w:ind w:left="1332" w:right="2004"/>
        <w:rPr>
          <w:sz w:val="17"/>
        </w:rPr>
      </w:pPr>
      <w:r>
        <w:rPr>
          <w:sz w:val="17"/>
        </w:rPr>
        <w:t>El mandato de la Comisión se detalla en el artículo 8 de la Ley y comprende funciones tanto de promoción y prevención como de apoyo y litigio, de la siguiente manera:</w:t>
      </w:r>
    </w:p>
    <w:p w14:paraId="7C05A698" w14:textId="77777777" w:rsidR="0014798C" w:rsidRDefault="004E1F0B">
      <w:pPr>
        <w:spacing w:before="70"/>
        <w:ind w:left="1615"/>
        <w:rPr>
          <w:sz w:val="17"/>
        </w:rPr>
      </w:pPr>
      <w:r>
        <w:rPr>
          <w:sz w:val="17"/>
        </w:rPr>
        <w:t>Las</w:t>
      </w:r>
      <w:r>
        <w:rPr>
          <w:spacing w:val="2"/>
          <w:sz w:val="17"/>
        </w:rPr>
        <w:t xml:space="preserve"> </w:t>
      </w:r>
      <w:r>
        <w:rPr>
          <w:sz w:val="17"/>
        </w:rPr>
        <w:t>funciones</w:t>
      </w:r>
      <w:r>
        <w:rPr>
          <w:spacing w:val="2"/>
          <w:sz w:val="17"/>
        </w:rPr>
        <w:t xml:space="preserve"> </w:t>
      </w:r>
      <w:r>
        <w:rPr>
          <w:sz w:val="17"/>
        </w:rPr>
        <w:t>de</w:t>
      </w:r>
      <w:r>
        <w:rPr>
          <w:spacing w:val="2"/>
          <w:sz w:val="17"/>
        </w:rPr>
        <w:t xml:space="preserve"> </w:t>
      </w:r>
      <w:r>
        <w:rPr>
          <w:sz w:val="17"/>
        </w:rPr>
        <w:t>la</w:t>
      </w:r>
      <w:r>
        <w:rPr>
          <w:spacing w:val="3"/>
          <w:sz w:val="17"/>
        </w:rPr>
        <w:t xml:space="preserve"> </w:t>
      </w:r>
      <w:r>
        <w:rPr>
          <w:sz w:val="17"/>
        </w:rPr>
        <w:t>Comisión</w:t>
      </w:r>
      <w:r>
        <w:rPr>
          <w:spacing w:val="2"/>
          <w:sz w:val="17"/>
        </w:rPr>
        <w:t xml:space="preserve"> </w:t>
      </w:r>
      <w:r>
        <w:rPr>
          <w:spacing w:val="-2"/>
          <w:sz w:val="17"/>
        </w:rPr>
        <w:t>serán:</w:t>
      </w:r>
    </w:p>
    <w:p w14:paraId="7FD52095" w14:textId="77777777" w:rsidR="0014798C" w:rsidRDefault="0014798C">
      <w:pPr>
        <w:pStyle w:val="Textoindependiente"/>
        <w:spacing w:before="14"/>
        <w:rPr>
          <w:sz w:val="17"/>
        </w:rPr>
      </w:pPr>
    </w:p>
    <w:p w14:paraId="2E4FEEA3" w14:textId="77777777" w:rsidR="0014798C" w:rsidRDefault="004E1F0B">
      <w:pPr>
        <w:pStyle w:val="Prrafodelista"/>
        <w:numPr>
          <w:ilvl w:val="0"/>
          <w:numId w:val="37"/>
        </w:numPr>
        <w:tabs>
          <w:tab w:val="left" w:pos="1827"/>
          <w:tab w:val="left" w:pos="1904"/>
        </w:tabs>
        <w:spacing w:before="1" w:line="292" w:lineRule="auto"/>
        <w:ind w:right="1954" w:hanging="335"/>
        <w:rPr>
          <w:sz w:val="17"/>
        </w:rPr>
      </w:pPr>
      <w:r>
        <w:rPr>
          <w:sz w:val="17"/>
        </w:rPr>
        <w:t xml:space="preserve">promover la igualdad de género y la ausencia de discriminación de conformidad con el artículo 27 de la </w:t>
      </w:r>
      <w:r>
        <w:rPr>
          <w:spacing w:val="-2"/>
          <w:sz w:val="17"/>
        </w:rPr>
        <w:t>Constitución;</w:t>
      </w:r>
    </w:p>
    <w:p w14:paraId="4B82BC74" w14:textId="77777777" w:rsidR="0014798C" w:rsidRDefault="004E1F0B">
      <w:pPr>
        <w:pStyle w:val="Prrafodelista"/>
        <w:numPr>
          <w:ilvl w:val="0"/>
          <w:numId w:val="37"/>
        </w:numPr>
        <w:tabs>
          <w:tab w:val="left" w:pos="1828"/>
          <w:tab w:val="left" w:pos="1899"/>
        </w:tabs>
        <w:spacing w:before="135" w:line="307" w:lineRule="auto"/>
        <w:ind w:left="1899" w:right="1611" w:hanging="329"/>
        <w:rPr>
          <w:sz w:val="17"/>
        </w:rPr>
      </w:pPr>
      <w:r>
        <w:rPr>
          <w:sz w:val="17"/>
        </w:rPr>
        <w:t>monitorear,</w:t>
      </w:r>
      <w:r>
        <w:rPr>
          <w:spacing w:val="16"/>
          <w:sz w:val="17"/>
        </w:rPr>
        <w:t xml:space="preserve"> </w:t>
      </w:r>
      <w:r>
        <w:rPr>
          <w:sz w:val="17"/>
        </w:rPr>
        <w:t>facilitar</w:t>
      </w:r>
      <w:r>
        <w:rPr>
          <w:spacing w:val="15"/>
          <w:sz w:val="17"/>
        </w:rPr>
        <w:t xml:space="preserve"> </w:t>
      </w:r>
      <w:r>
        <w:rPr>
          <w:sz w:val="17"/>
        </w:rPr>
        <w:t>y</w:t>
      </w:r>
      <w:r>
        <w:rPr>
          <w:spacing w:val="15"/>
          <w:sz w:val="17"/>
        </w:rPr>
        <w:t xml:space="preserve"> </w:t>
      </w:r>
      <w:r>
        <w:rPr>
          <w:sz w:val="17"/>
        </w:rPr>
        <w:t>asesorar</w:t>
      </w:r>
      <w:r>
        <w:rPr>
          <w:spacing w:val="15"/>
          <w:sz w:val="17"/>
        </w:rPr>
        <w:t xml:space="preserve"> </w:t>
      </w:r>
      <w:r>
        <w:rPr>
          <w:sz w:val="17"/>
        </w:rPr>
        <w:t>sobre</w:t>
      </w:r>
      <w:r>
        <w:rPr>
          <w:spacing w:val="15"/>
          <w:sz w:val="17"/>
        </w:rPr>
        <w:t xml:space="preserve"> </w:t>
      </w:r>
      <w:r>
        <w:rPr>
          <w:sz w:val="17"/>
        </w:rPr>
        <w:t>la</w:t>
      </w:r>
      <w:r>
        <w:rPr>
          <w:spacing w:val="15"/>
          <w:sz w:val="17"/>
        </w:rPr>
        <w:t xml:space="preserve"> </w:t>
      </w:r>
      <w:r>
        <w:rPr>
          <w:sz w:val="17"/>
        </w:rPr>
        <w:t>integración</w:t>
      </w:r>
      <w:r>
        <w:rPr>
          <w:spacing w:val="15"/>
          <w:sz w:val="17"/>
        </w:rPr>
        <w:t xml:space="preserve"> </w:t>
      </w:r>
      <w:r>
        <w:rPr>
          <w:sz w:val="17"/>
        </w:rPr>
        <w:t>de</w:t>
      </w:r>
      <w:r>
        <w:rPr>
          <w:spacing w:val="15"/>
          <w:sz w:val="17"/>
        </w:rPr>
        <w:t xml:space="preserve"> </w:t>
      </w:r>
      <w:r>
        <w:rPr>
          <w:sz w:val="17"/>
        </w:rPr>
        <w:t>los</w:t>
      </w:r>
      <w:r>
        <w:rPr>
          <w:spacing w:val="15"/>
          <w:sz w:val="17"/>
        </w:rPr>
        <w:t xml:space="preserve"> </w:t>
      </w:r>
      <w:r>
        <w:rPr>
          <w:sz w:val="17"/>
        </w:rPr>
        <w:t>principios</w:t>
      </w:r>
      <w:r>
        <w:rPr>
          <w:spacing w:val="15"/>
          <w:sz w:val="17"/>
        </w:rPr>
        <w:t xml:space="preserve"> </w:t>
      </w:r>
      <w:r>
        <w:rPr>
          <w:sz w:val="17"/>
        </w:rPr>
        <w:t>de</w:t>
      </w:r>
      <w:r>
        <w:rPr>
          <w:spacing w:val="15"/>
          <w:sz w:val="17"/>
        </w:rPr>
        <w:t xml:space="preserve"> </w:t>
      </w:r>
      <w:r>
        <w:rPr>
          <w:sz w:val="17"/>
        </w:rPr>
        <w:t>igualdad</w:t>
      </w:r>
      <w:r>
        <w:rPr>
          <w:spacing w:val="15"/>
          <w:sz w:val="17"/>
        </w:rPr>
        <w:t xml:space="preserve"> </w:t>
      </w:r>
      <w:r>
        <w:rPr>
          <w:sz w:val="17"/>
        </w:rPr>
        <w:t>y</w:t>
      </w:r>
      <w:r>
        <w:rPr>
          <w:spacing w:val="15"/>
          <w:sz w:val="17"/>
        </w:rPr>
        <w:t xml:space="preserve"> </w:t>
      </w:r>
      <w:r>
        <w:rPr>
          <w:sz w:val="17"/>
        </w:rPr>
        <w:t>no</w:t>
      </w:r>
      <w:r>
        <w:rPr>
          <w:spacing w:val="15"/>
          <w:sz w:val="17"/>
        </w:rPr>
        <w:t xml:space="preserve"> </w:t>
      </w:r>
      <w:r>
        <w:rPr>
          <w:sz w:val="17"/>
        </w:rPr>
        <w:t>discriminación</w:t>
      </w:r>
      <w:r>
        <w:rPr>
          <w:spacing w:val="15"/>
          <w:sz w:val="17"/>
        </w:rPr>
        <w:t xml:space="preserve"> </w:t>
      </w:r>
      <w:r>
        <w:rPr>
          <w:sz w:val="17"/>
        </w:rPr>
        <w:t>en todas las políticas, leyes y regulaciones administrativas nacionales y de condado en todas las instituciones públicas y privadas;</w:t>
      </w:r>
    </w:p>
    <w:p w14:paraId="718494CA" w14:textId="77777777" w:rsidR="0014798C" w:rsidRDefault="004E1F0B">
      <w:pPr>
        <w:pStyle w:val="Prrafodelista"/>
        <w:numPr>
          <w:ilvl w:val="0"/>
          <w:numId w:val="37"/>
        </w:numPr>
        <w:tabs>
          <w:tab w:val="left" w:pos="1818"/>
          <w:tab w:val="left" w:pos="1899"/>
        </w:tabs>
        <w:spacing w:before="112" w:line="302" w:lineRule="auto"/>
        <w:ind w:left="1899" w:right="1682" w:hanging="330"/>
        <w:rPr>
          <w:sz w:val="17"/>
        </w:rPr>
      </w:pPr>
      <w:r>
        <w:rPr>
          <w:sz w:val="17"/>
        </w:rPr>
        <w:t>actuar como órgano principal del Estado para garantizar el cumplimiento de todos los tratados y convenciones ratificados por Kenia relacionados con cuestiones de igualdad y ausencia de discriminación</w:t>
      </w:r>
      <w:r>
        <w:rPr>
          <w:spacing w:val="80"/>
          <w:sz w:val="17"/>
        </w:rPr>
        <w:t xml:space="preserve"> </w:t>
      </w:r>
      <w:r>
        <w:rPr>
          <w:sz w:val="17"/>
        </w:rPr>
        <w:t>y relacionados con grupos de intereses especiales, incluidas minorías y personas marginadas, mujeres, personas con discapacidad, y niños;</w:t>
      </w:r>
    </w:p>
    <w:p w14:paraId="064D03BF" w14:textId="77777777" w:rsidR="0014798C" w:rsidRDefault="004E1F0B">
      <w:pPr>
        <w:pStyle w:val="Prrafodelista"/>
        <w:numPr>
          <w:ilvl w:val="1"/>
          <w:numId w:val="46"/>
        </w:numPr>
        <w:tabs>
          <w:tab w:val="left" w:pos="1771"/>
          <w:tab w:val="left" w:pos="1901"/>
        </w:tabs>
        <w:spacing w:before="127" w:line="307" w:lineRule="auto"/>
        <w:ind w:left="1901" w:right="1692" w:hanging="331"/>
        <w:jc w:val="left"/>
        <w:rPr>
          <w:sz w:val="17"/>
        </w:rPr>
      </w:pPr>
      <w:r>
        <w:rPr>
          <w:sz w:val="17"/>
        </w:rPr>
        <w:t>coordinar</w:t>
      </w:r>
      <w:r>
        <w:rPr>
          <w:spacing w:val="17"/>
          <w:sz w:val="17"/>
        </w:rPr>
        <w:t xml:space="preserve"> </w:t>
      </w:r>
      <w:r>
        <w:rPr>
          <w:sz w:val="17"/>
        </w:rPr>
        <w:t>y</w:t>
      </w:r>
      <w:r>
        <w:rPr>
          <w:spacing w:val="17"/>
          <w:sz w:val="17"/>
        </w:rPr>
        <w:t xml:space="preserve"> </w:t>
      </w:r>
      <w:r>
        <w:rPr>
          <w:sz w:val="17"/>
        </w:rPr>
        <w:t>facilitar</w:t>
      </w:r>
      <w:r>
        <w:rPr>
          <w:spacing w:val="17"/>
          <w:sz w:val="17"/>
        </w:rPr>
        <w:t xml:space="preserve"> </w:t>
      </w:r>
      <w:r>
        <w:rPr>
          <w:sz w:val="17"/>
        </w:rPr>
        <w:t>la</w:t>
      </w:r>
      <w:r>
        <w:rPr>
          <w:spacing w:val="17"/>
          <w:sz w:val="17"/>
        </w:rPr>
        <w:t xml:space="preserve"> </w:t>
      </w:r>
      <w:r>
        <w:rPr>
          <w:sz w:val="17"/>
        </w:rPr>
        <w:t>incorporación</w:t>
      </w:r>
      <w:r>
        <w:rPr>
          <w:spacing w:val="17"/>
          <w:sz w:val="17"/>
        </w:rPr>
        <w:t xml:space="preserve"> </w:t>
      </w:r>
      <w:r>
        <w:rPr>
          <w:sz w:val="17"/>
        </w:rPr>
        <w:t>de</w:t>
      </w:r>
      <w:r>
        <w:rPr>
          <w:spacing w:val="17"/>
          <w:sz w:val="17"/>
        </w:rPr>
        <w:t xml:space="preserve"> </w:t>
      </w:r>
      <w:r>
        <w:rPr>
          <w:sz w:val="17"/>
        </w:rPr>
        <w:t>las</w:t>
      </w:r>
      <w:r>
        <w:rPr>
          <w:spacing w:val="17"/>
          <w:sz w:val="17"/>
        </w:rPr>
        <w:t xml:space="preserve"> </w:t>
      </w:r>
      <w:r>
        <w:rPr>
          <w:sz w:val="17"/>
        </w:rPr>
        <w:t>cuestiones</w:t>
      </w:r>
      <w:r>
        <w:rPr>
          <w:spacing w:val="17"/>
          <w:sz w:val="17"/>
        </w:rPr>
        <w:t xml:space="preserve"> </w:t>
      </w:r>
      <w:r>
        <w:rPr>
          <w:sz w:val="17"/>
        </w:rPr>
        <w:t>de</w:t>
      </w:r>
      <w:r>
        <w:rPr>
          <w:spacing w:val="17"/>
          <w:sz w:val="17"/>
        </w:rPr>
        <w:t xml:space="preserve"> </w:t>
      </w:r>
      <w:r>
        <w:rPr>
          <w:sz w:val="17"/>
        </w:rPr>
        <w:t>género,</w:t>
      </w:r>
      <w:r>
        <w:rPr>
          <w:spacing w:val="18"/>
          <w:sz w:val="17"/>
        </w:rPr>
        <w:t xml:space="preserve"> </w:t>
      </w:r>
      <w:r>
        <w:rPr>
          <w:sz w:val="17"/>
        </w:rPr>
        <w:t>personas</w:t>
      </w:r>
      <w:r>
        <w:rPr>
          <w:spacing w:val="17"/>
          <w:sz w:val="17"/>
        </w:rPr>
        <w:t xml:space="preserve"> </w:t>
      </w:r>
      <w:r>
        <w:rPr>
          <w:sz w:val="17"/>
        </w:rPr>
        <w:t>con</w:t>
      </w:r>
      <w:r>
        <w:rPr>
          <w:spacing w:val="17"/>
          <w:sz w:val="17"/>
        </w:rPr>
        <w:t xml:space="preserve"> </w:t>
      </w:r>
      <w:r>
        <w:rPr>
          <w:sz w:val="17"/>
        </w:rPr>
        <w:t>discapacidad</w:t>
      </w:r>
      <w:r>
        <w:rPr>
          <w:spacing w:val="17"/>
          <w:sz w:val="17"/>
        </w:rPr>
        <w:t xml:space="preserve"> </w:t>
      </w:r>
      <w:r>
        <w:rPr>
          <w:sz w:val="17"/>
        </w:rPr>
        <w:t>y</w:t>
      </w:r>
      <w:r>
        <w:rPr>
          <w:spacing w:val="17"/>
          <w:sz w:val="17"/>
        </w:rPr>
        <w:t xml:space="preserve"> </w:t>
      </w:r>
      <w:r>
        <w:rPr>
          <w:sz w:val="17"/>
        </w:rPr>
        <w:t>otros grupos</w:t>
      </w:r>
      <w:r>
        <w:rPr>
          <w:spacing w:val="-2"/>
          <w:sz w:val="17"/>
        </w:rPr>
        <w:t xml:space="preserve"> </w:t>
      </w:r>
      <w:r>
        <w:rPr>
          <w:sz w:val="17"/>
        </w:rPr>
        <w:t>marginados</w:t>
      </w:r>
      <w:r>
        <w:rPr>
          <w:spacing w:val="-2"/>
          <w:sz w:val="17"/>
        </w:rPr>
        <w:t xml:space="preserve"> </w:t>
      </w:r>
      <w:r>
        <w:rPr>
          <w:sz w:val="17"/>
        </w:rPr>
        <w:t>en</w:t>
      </w:r>
      <w:r>
        <w:rPr>
          <w:spacing w:val="-2"/>
          <w:sz w:val="17"/>
        </w:rPr>
        <w:t xml:space="preserve"> </w:t>
      </w:r>
      <w:r>
        <w:rPr>
          <w:sz w:val="17"/>
        </w:rPr>
        <w:t>el</w:t>
      </w:r>
      <w:r>
        <w:rPr>
          <w:spacing w:val="-2"/>
          <w:sz w:val="17"/>
        </w:rPr>
        <w:t xml:space="preserve"> </w:t>
      </w:r>
      <w:r>
        <w:rPr>
          <w:sz w:val="17"/>
        </w:rPr>
        <w:t>desarrollo</w:t>
      </w:r>
      <w:r>
        <w:rPr>
          <w:spacing w:val="-2"/>
          <w:sz w:val="17"/>
        </w:rPr>
        <w:t xml:space="preserve"> </w:t>
      </w:r>
      <w:r>
        <w:rPr>
          <w:sz w:val="17"/>
        </w:rPr>
        <w:t>nacional</w:t>
      </w:r>
      <w:r>
        <w:rPr>
          <w:spacing w:val="-2"/>
          <w:sz w:val="17"/>
        </w:rPr>
        <w:t xml:space="preserve"> </w:t>
      </w:r>
      <w:r>
        <w:rPr>
          <w:sz w:val="17"/>
        </w:rPr>
        <w:t>y</w:t>
      </w:r>
      <w:r>
        <w:rPr>
          <w:spacing w:val="-2"/>
          <w:sz w:val="17"/>
        </w:rPr>
        <w:t xml:space="preserve"> </w:t>
      </w:r>
      <w:r>
        <w:rPr>
          <w:sz w:val="17"/>
        </w:rPr>
        <w:t>asesorar</w:t>
      </w:r>
      <w:r>
        <w:rPr>
          <w:spacing w:val="-2"/>
          <w:sz w:val="17"/>
        </w:rPr>
        <w:t xml:space="preserve"> </w:t>
      </w:r>
      <w:r>
        <w:rPr>
          <w:sz w:val="17"/>
        </w:rPr>
        <w:t>al</w:t>
      </w:r>
      <w:r>
        <w:rPr>
          <w:spacing w:val="-2"/>
          <w:sz w:val="17"/>
        </w:rPr>
        <w:t xml:space="preserve"> </w:t>
      </w:r>
      <w:r>
        <w:rPr>
          <w:sz w:val="17"/>
        </w:rPr>
        <w:t>Gobierno</w:t>
      </w:r>
      <w:r>
        <w:rPr>
          <w:spacing w:val="-2"/>
          <w:sz w:val="17"/>
        </w:rPr>
        <w:t xml:space="preserve"> </w:t>
      </w:r>
      <w:r>
        <w:rPr>
          <w:sz w:val="17"/>
        </w:rPr>
        <w:t>sobre</w:t>
      </w:r>
      <w:r>
        <w:rPr>
          <w:spacing w:val="-2"/>
          <w:sz w:val="17"/>
        </w:rPr>
        <w:t xml:space="preserve"> </w:t>
      </w:r>
      <w:r>
        <w:rPr>
          <w:sz w:val="17"/>
        </w:rPr>
        <w:t>todos</w:t>
      </w:r>
      <w:r>
        <w:rPr>
          <w:spacing w:val="-2"/>
          <w:sz w:val="17"/>
        </w:rPr>
        <w:t xml:space="preserve"> </w:t>
      </w:r>
      <w:r>
        <w:rPr>
          <w:sz w:val="17"/>
        </w:rPr>
        <w:t>los</w:t>
      </w:r>
      <w:r>
        <w:rPr>
          <w:spacing w:val="-2"/>
          <w:sz w:val="17"/>
        </w:rPr>
        <w:t xml:space="preserve"> </w:t>
      </w:r>
      <w:r>
        <w:rPr>
          <w:sz w:val="17"/>
        </w:rPr>
        <w:t>aspectos</w:t>
      </w:r>
      <w:r>
        <w:rPr>
          <w:spacing w:val="-2"/>
          <w:sz w:val="17"/>
        </w:rPr>
        <w:t xml:space="preserve"> </w:t>
      </w:r>
      <w:r>
        <w:rPr>
          <w:sz w:val="17"/>
        </w:rPr>
        <w:t>al</w:t>
      </w:r>
      <w:r>
        <w:rPr>
          <w:spacing w:val="-2"/>
          <w:sz w:val="17"/>
        </w:rPr>
        <w:t xml:space="preserve"> </w:t>
      </w:r>
      <w:r>
        <w:rPr>
          <w:sz w:val="17"/>
        </w:rPr>
        <w:t>respecto;</w:t>
      </w:r>
    </w:p>
    <w:p w14:paraId="53955B53" w14:textId="77777777" w:rsidR="0014798C" w:rsidRDefault="0014798C">
      <w:pPr>
        <w:pStyle w:val="Textoindependiente"/>
        <w:spacing w:before="118"/>
        <w:rPr>
          <w:sz w:val="17"/>
        </w:rPr>
      </w:pPr>
    </w:p>
    <w:p w14:paraId="23DD6E0C" w14:textId="77777777" w:rsidR="0014798C" w:rsidRDefault="004E1F0B">
      <w:pPr>
        <w:ind w:left="1570"/>
        <w:rPr>
          <w:sz w:val="17"/>
        </w:rPr>
      </w:pPr>
      <w:r>
        <w:rPr>
          <w:sz w:val="17"/>
        </w:rPr>
        <w:t>(e)</w:t>
      </w:r>
      <w:r>
        <w:rPr>
          <w:spacing w:val="6"/>
          <w:sz w:val="17"/>
        </w:rPr>
        <w:t xml:space="preserve"> </w:t>
      </w:r>
      <w:r>
        <w:rPr>
          <w:sz w:val="17"/>
        </w:rPr>
        <w:t>monitorear,</w:t>
      </w:r>
      <w:r>
        <w:rPr>
          <w:spacing w:val="8"/>
          <w:sz w:val="17"/>
        </w:rPr>
        <w:t xml:space="preserve"> </w:t>
      </w:r>
      <w:r>
        <w:rPr>
          <w:sz w:val="17"/>
        </w:rPr>
        <w:t>facilitar</w:t>
      </w:r>
      <w:r>
        <w:rPr>
          <w:spacing w:val="7"/>
          <w:sz w:val="17"/>
        </w:rPr>
        <w:t xml:space="preserve"> </w:t>
      </w:r>
      <w:r>
        <w:rPr>
          <w:sz w:val="17"/>
        </w:rPr>
        <w:t>y</w:t>
      </w:r>
      <w:r>
        <w:rPr>
          <w:spacing w:val="6"/>
          <w:sz w:val="17"/>
        </w:rPr>
        <w:t xml:space="preserve"> </w:t>
      </w:r>
      <w:r>
        <w:rPr>
          <w:sz w:val="17"/>
        </w:rPr>
        <w:t>asesorar</w:t>
      </w:r>
      <w:r>
        <w:rPr>
          <w:spacing w:val="7"/>
          <w:sz w:val="17"/>
        </w:rPr>
        <w:t xml:space="preserve"> </w:t>
      </w:r>
      <w:r>
        <w:rPr>
          <w:sz w:val="17"/>
        </w:rPr>
        <w:t>sobre</w:t>
      </w:r>
      <w:r>
        <w:rPr>
          <w:spacing w:val="8"/>
          <w:sz w:val="17"/>
        </w:rPr>
        <w:t xml:space="preserve"> </w:t>
      </w:r>
      <w:r>
        <w:rPr>
          <w:sz w:val="17"/>
        </w:rPr>
        <w:t>el</w:t>
      </w:r>
      <w:r>
        <w:rPr>
          <w:spacing w:val="7"/>
          <w:sz w:val="17"/>
        </w:rPr>
        <w:t xml:space="preserve"> </w:t>
      </w:r>
      <w:r>
        <w:rPr>
          <w:sz w:val="17"/>
        </w:rPr>
        <w:t>desarrollo</w:t>
      </w:r>
      <w:r>
        <w:rPr>
          <w:spacing w:val="8"/>
          <w:sz w:val="17"/>
        </w:rPr>
        <w:t xml:space="preserve"> </w:t>
      </w:r>
      <w:r>
        <w:rPr>
          <w:sz w:val="17"/>
        </w:rPr>
        <w:t>de</w:t>
      </w:r>
      <w:r>
        <w:rPr>
          <w:spacing w:val="6"/>
          <w:sz w:val="17"/>
        </w:rPr>
        <w:t xml:space="preserve"> </w:t>
      </w:r>
      <w:r>
        <w:rPr>
          <w:sz w:val="17"/>
        </w:rPr>
        <w:t>políticas</w:t>
      </w:r>
      <w:r>
        <w:rPr>
          <w:spacing w:val="7"/>
          <w:sz w:val="17"/>
        </w:rPr>
        <w:t xml:space="preserve"> </w:t>
      </w:r>
      <w:r>
        <w:rPr>
          <w:sz w:val="17"/>
        </w:rPr>
        <w:t>de</w:t>
      </w:r>
      <w:r>
        <w:rPr>
          <w:spacing w:val="7"/>
          <w:sz w:val="17"/>
        </w:rPr>
        <w:t xml:space="preserve"> </w:t>
      </w:r>
      <w:r>
        <w:rPr>
          <w:sz w:val="17"/>
        </w:rPr>
        <w:t>implementación</w:t>
      </w:r>
      <w:r>
        <w:rPr>
          <w:spacing w:val="6"/>
          <w:sz w:val="17"/>
        </w:rPr>
        <w:t xml:space="preserve"> </w:t>
      </w:r>
      <w:r>
        <w:rPr>
          <w:sz w:val="17"/>
        </w:rPr>
        <w:t>de</w:t>
      </w:r>
      <w:r>
        <w:rPr>
          <w:spacing w:val="7"/>
          <w:sz w:val="17"/>
        </w:rPr>
        <w:t xml:space="preserve"> </w:t>
      </w:r>
      <w:r>
        <w:rPr>
          <w:sz w:val="17"/>
        </w:rPr>
        <w:t>acciones</w:t>
      </w:r>
      <w:r>
        <w:rPr>
          <w:spacing w:val="7"/>
          <w:sz w:val="17"/>
        </w:rPr>
        <w:t xml:space="preserve"> </w:t>
      </w:r>
      <w:r>
        <w:rPr>
          <w:spacing w:val="-2"/>
          <w:sz w:val="17"/>
        </w:rPr>
        <w:t>afirmativas</w:t>
      </w:r>
    </w:p>
    <w:p w14:paraId="00D3959C" w14:textId="77777777" w:rsidR="0014798C" w:rsidRDefault="004E1F0B">
      <w:pPr>
        <w:spacing w:before="103"/>
        <w:ind w:left="1905"/>
        <w:rPr>
          <w:sz w:val="17"/>
        </w:rPr>
      </w:pPr>
      <w:r>
        <w:rPr>
          <w:sz w:val="17"/>
        </w:rPr>
        <w:t>según lo contempla la</w:t>
      </w:r>
      <w:r>
        <w:rPr>
          <w:spacing w:val="1"/>
          <w:sz w:val="17"/>
        </w:rPr>
        <w:t xml:space="preserve"> </w:t>
      </w:r>
      <w:r>
        <w:rPr>
          <w:spacing w:val="-2"/>
          <w:sz w:val="17"/>
        </w:rPr>
        <w:t>Constitución;</w:t>
      </w:r>
    </w:p>
    <w:p w14:paraId="501F2D94" w14:textId="77777777" w:rsidR="0014798C" w:rsidRDefault="004E1F0B">
      <w:pPr>
        <w:spacing w:before="167" w:line="307" w:lineRule="auto"/>
        <w:ind w:left="1900" w:right="1781" w:hanging="331"/>
        <w:rPr>
          <w:sz w:val="17"/>
        </w:rPr>
      </w:pPr>
      <w:r>
        <w:rPr>
          <w:sz w:val="17"/>
        </w:rPr>
        <w:t>f) investigar, por propia iniciativa o sobre la base de denuncias, cualquier asunto relacionado con violaciones del</w:t>
      </w:r>
      <w:r>
        <w:rPr>
          <w:spacing w:val="17"/>
          <w:sz w:val="17"/>
        </w:rPr>
        <w:t xml:space="preserve"> </w:t>
      </w:r>
      <w:r>
        <w:rPr>
          <w:sz w:val="17"/>
        </w:rPr>
        <w:t>principio</w:t>
      </w:r>
      <w:r>
        <w:rPr>
          <w:spacing w:val="17"/>
          <w:sz w:val="17"/>
        </w:rPr>
        <w:t xml:space="preserve"> </w:t>
      </w:r>
      <w:r>
        <w:rPr>
          <w:sz w:val="17"/>
        </w:rPr>
        <w:t>de</w:t>
      </w:r>
      <w:r>
        <w:rPr>
          <w:spacing w:val="17"/>
          <w:sz w:val="17"/>
        </w:rPr>
        <w:t xml:space="preserve"> </w:t>
      </w:r>
      <w:r>
        <w:rPr>
          <w:sz w:val="17"/>
        </w:rPr>
        <w:t>igualdad</w:t>
      </w:r>
      <w:r>
        <w:rPr>
          <w:spacing w:val="17"/>
          <w:sz w:val="17"/>
        </w:rPr>
        <w:t xml:space="preserve"> </w:t>
      </w:r>
      <w:r>
        <w:rPr>
          <w:sz w:val="17"/>
        </w:rPr>
        <w:t>y</w:t>
      </w:r>
      <w:r>
        <w:rPr>
          <w:spacing w:val="17"/>
          <w:sz w:val="17"/>
        </w:rPr>
        <w:t xml:space="preserve"> </w:t>
      </w:r>
      <w:r>
        <w:rPr>
          <w:sz w:val="17"/>
        </w:rPr>
        <w:t>no</w:t>
      </w:r>
      <w:r>
        <w:rPr>
          <w:spacing w:val="17"/>
          <w:sz w:val="17"/>
        </w:rPr>
        <w:t xml:space="preserve"> </w:t>
      </w:r>
      <w:r>
        <w:rPr>
          <w:sz w:val="17"/>
        </w:rPr>
        <w:t>discriminación</w:t>
      </w:r>
      <w:r>
        <w:rPr>
          <w:spacing w:val="17"/>
          <w:sz w:val="17"/>
        </w:rPr>
        <w:t xml:space="preserve"> </w:t>
      </w:r>
      <w:r>
        <w:rPr>
          <w:sz w:val="17"/>
        </w:rPr>
        <w:t>y</w:t>
      </w:r>
      <w:r>
        <w:rPr>
          <w:spacing w:val="17"/>
          <w:sz w:val="17"/>
        </w:rPr>
        <w:t xml:space="preserve"> </w:t>
      </w:r>
      <w:r>
        <w:rPr>
          <w:sz w:val="17"/>
        </w:rPr>
        <w:t>hacer</w:t>
      </w:r>
      <w:r>
        <w:rPr>
          <w:spacing w:val="17"/>
          <w:sz w:val="17"/>
        </w:rPr>
        <w:t xml:space="preserve"> </w:t>
      </w:r>
      <w:r>
        <w:rPr>
          <w:sz w:val="17"/>
        </w:rPr>
        <w:t>recomendaciones</w:t>
      </w:r>
      <w:r>
        <w:rPr>
          <w:spacing w:val="17"/>
          <w:sz w:val="17"/>
        </w:rPr>
        <w:t xml:space="preserve"> </w:t>
      </w:r>
      <w:r>
        <w:rPr>
          <w:sz w:val="17"/>
        </w:rPr>
        <w:t>para</w:t>
      </w:r>
      <w:r>
        <w:rPr>
          <w:spacing w:val="17"/>
          <w:sz w:val="17"/>
        </w:rPr>
        <w:t xml:space="preserve"> </w:t>
      </w:r>
      <w:r>
        <w:rPr>
          <w:sz w:val="17"/>
        </w:rPr>
        <w:t>mejorar</w:t>
      </w:r>
      <w:r>
        <w:rPr>
          <w:spacing w:val="17"/>
          <w:sz w:val="17"/>
        </w:rPr>
        <w:t xml:space="preserve"> </w:t>
      </w:r>
      <w:r>
        <w:rPr>
          <w:sz w:val="17"/>
        </w:rPr>
        <w:t>el</w:t>
      </w:r>
      <w:r>
        <w:rPr>
          <w:spacing w:val="17"/>
          <w:sz w:val="17"/>
        </w:rPr>
        <w:t xml:space="preserve"> </w:t>
      </w:r>
      <w:r>
        <w:rPr>
          <w:sz w:val="17"/>
        </w:rPr>
        <w:t>funcionamiento de las instituciones interesadas;</w:t>
      </w:r>
    </w:p>
    <w:p w14:paraId="5724718A" w14:textId="77777777" w:rsidR="0014798C" w:rsidRDefault="004E1F0B">
      <w:pPr>
        <w:spacing w:before="112" w:line="300" w:lineRule="auto"/>
        <w:ind w:left="1899" w:right="2004" w:hanging="329"/>
        <w:rPr>
          <w:sz w:val="17"/>
        </w:rPr>
      </w:pPr>
      <w:r>
        <w:rPr>
          <w:sz w:val="17"/>
        </w:rPr>
        <w:t>(g) trabajar con otras instituciones relevantes en el desarrollo de estándares para la implementación de políticas para la realización progresiva de los derechos económicos y sociales especificados en el artículo 43 de la Constitución y otras leyes escritas;</w:t>
      </w:r>
    </w:p>
    <w:p w14:paraId="2C249A38" w14:textId="77777777" w:rsidR="0014798C" w:rsidRDefault="004E1F0B">
      <w:pPr>
        <w:pStyle w:val="Prrafodelista"/>
        <w:numPr>
          <w:ilvl w:val="0"/>
          <w:numId w:val="36"/>
        </w:numPr>
        <w:tabs>
          <w:tab w:val="left" w:pos="1771"/>
          <w:tab w:val="left" w:pos="1902"/>
        </w:tabs>
        <w:spacing w:before="130" w:line="307" w:lineRule="auto"/>
        <w:ind w:right="2030" w:hanging="332"/>
        <w:rPr>
          <w:sz w:val="17"/>
        </w:rPr>
      </w:pPr>
      <w:r>
        <w:rPr>
          <w:sz w:val="17"/>
        </w:rPr>
        <w:t>coordinar y asesorar sobre programas de educación pública para la creación de una cultura de respeto por los principios de igualdad y no discriminación;</w:t>
      </w:r>
    </w:p>
    <w:p w14:paraId="133D1D14" w14:textId="77777777" w:rsidR="0014798C" w:rsidRDefault="004E1F0B">
      <w:pPr>
        <w:pStyle w:val="Prrafodelista"/>
        <w:numPr>
          <w:ilvl w:val="1"/>
          <w:numId w:val="36"/>
        </w:numPr>
        <w:tabs>
          <w:tab w:val="left" w:pos="1770"/>
          <w:tab w:val="left" w:pos="1904"/>
        </w:tabs>
        <w:spacing w:before="112" w:line="307" w:lineRule="auto"/>
        <w:ind w:right="2098" w:hanging="334"/>
        <w:rPr>
          <w:sz w:val="17"/>
        </w:rPr>
      </w:pPr>
      <w:r>
        <w:rPr>
          <w:sz w:val="17"/>
        </w:rPr>
        <w:t>realizar y coordinar actividades de investigación sobre cuestiones relacionadas con la igualdad y la no discriminación según lo previsto en el artículo 27 de la Constitución;</w:t>
      </w:r>
    </w:p>
    <w:p w14:paraId="2A914DBA" w14:textId="77777777" w:rsidR="0014798C" w:rsidRDefault="004E1F0B">
      <w:pPr>
        <w:pStyle w:val="Prrafodelista"/>
        <w:numPr>
          <w:ilvl w:val="1"/>
          <w:numId w:val="36"/>
        </w:numPr>
        <w:tabs>
          <w:tab w:val="left" w:pos="1770"/>
          <w:tab w:val="left" w:pos="1899"/>
        </w:tabs>
        <w:spacing w:before="112" w:line="307" w:lineRule="auto"/>
        <w:ind w:left="1899" w:right="1833" w:hanging="329"/>
        <w:rPr>
          <w:sz w:val="17"/>
        </w:rPr>
      </w:pPr>
      <w:r>
        <w:rPr>
          <w:sz w:val="17"/>
        </w:rPr>
        <w:t>recibir y evaluar informes anuales sobre los avances realizados por las instituciones públicas y otros sectores en el cumplimiento de los requisitos constitucionales y estatutarios sobre la implementación de los principios de igualdad y no discriminación;</w:t>
      </w:r>
    </w:p>
    <w:p w14:paraId="235F9AA9" w14:textId="77777777" w:rsidR="0014798C" w:rsidRDefault="004E1F0B">
      <w:pPr>
        <w:pStyle w:val="Prrafodelista"/>
        <w:numPr>
          <w:ilvl w:val="1"/>
          <w:numId w:val="36"/>
        </w:numPr>
        <w:tabs>
          <w:tab w:val="left" w:pos="1819"/>
          <w:tab w:val="left" w:pos="1886"/>
        </w:tabs>
        <w:spacing w:before="112" w:line="307" w:lineRule="auto"/>
        <w:ind w:left="1886" w:right="1922" w:hanging="316"/>
        <w:rPr>
          <w:sz w:val="17"/>
        </w:rPr>
      </w:pPr>
      <w:r>
        <w:rPr>
          <w:sz w:val="17"/>
        </w:rPr>
        <w:t>trabajar con la Comisión Nacional de Derechos Humanos, la Comisión de Asuntos Administrativos Justicia y otras instituciones afines para asegurar la eficiencia, eficacia y complementariedad en sus actividades y establecer mecanismos de derivación y colaboración en la protección y promoción de los derechos relacionados con el principio de igualdad y no discriminación;</w:t>
      </w:r>
    </w:p>
    <w:p w14:paraId="25BD00D1" w14:textId="77777777" w:rsidR="0014798C" w:rsidRDefault="004E1F0B">
      <w:pPr>
        <w:pStyle w:val="Prrafodelista"/>
        <w:numPr>
          <w:ilvl w:val="1"/>
          <w:numId w:val="36"/>
        </w:numPr>
        <w:tabs>
          <w:tab w:val="left" w:pos="1826"/>
          <w:tab w:val="left" w:pos="1904"/>
        </w:tabs>
        <w:spacing w:before="111" w:line="307" w:lineRule="auto"/>
        <w:ind w:right="2533" w:hanging="278"/>
        <w:rPr>
          <w:sz w:val="17"/>
        </w:rPr>
      </w:pPr>
      <w:r>
        <w:rPr>
          <w:sz w:val="17"/>
        </w:rPr>
        <w:t>preparar y presentar informes anuales al Parlamento sobre el estado de implementación de sus obligaciones bajo esta Ley;</w:t>
      </w:r>
    </w:p>
    <w:p w14:paraId="5ED506F9" w14:textId="77777777" w:rsidR="0014798C" w:rsidRDefault="004E1F0B">
      <w:pPr>
        <w:spacing w:before="76"/>
        <w:ind w:left="1570"/>
        <w:rPr>
          <w:sz w:val="15"/>
        </w:rPr>
      </w:pPr>
      <w:r>
        <w:rPr>
          <w:sz w:val="15"/>
        </w:rPr>
        <w:t>m)</w:t>
      </w:r>
      <w:r>
        <w:rPr>
          <w:spacing w:val="-7"/>
          <w:sz w:val="15"/>
        </w:rPr>
        <w:t xml:space="preserve"> </w:t>
      </w:r>
      <w:r>
        <w:rPr>
          <w:sz w:val="15"/>
        </w:rPr>
        <w:t>realizar</w:t>
      </w:r>
      <w:r>
        <w:rPr>
          <w:spacing w:val="-6"/>
          <w:sz w:val="15"/>
        </w:rPr>
        <w:t xml:space="preserve"> </w:t>
      </w:r>
      <w:r>
        <w:rPr>
          <w:sz w:val="15"/>
        </w:rPr>
        <w:t>auditorías</w:t>
      </w:r>
      <w:r>
        <w:rPr>
          <w:spacing w:val="-6"/>
          <w:sz w:val="15"/>
        </w:rPr>
        <w:t xml:space="preserve"> </w:t>
      </w:r>
      <w:r>
        <w:rPr>
          <w:sz w:val="15"/>
        </w:rPr>
        <w:t>sobre</w:t>
      </w:r>
      <w:r>
        <w:rPr>
          <w:spacing w:val="-6"/>
          <w:sz w:val="15"/>
        </w:rPr>
        <w:t xml:space="preserve"> </w:t>
      </w:r>
      <w:r>
        <w:rPr>
          <w:sz w:val="15"/>
        </w:rPr>
        <w:t>la</w:t>
      </w:r>
      <w:r>
        <w:rPr>
          <w:spacing w:val="-6"/>
          <w:sz w:val="15"/>
        </w:rPr>
        <w:t xml:space="preserve"> </w:t>
      </w:r>
      <w:r>
        <w:rPr>
          <w:sz w:val="15"/>
        </w:rPr>
        <w:t>situación</w:t>
      </w:r>
      <w:r>
        <w:rPr>
          <w:spacing w:val="-7"/>
          <w:sz w:val="15"/>
        </w:rPr>
        <w:t xml:space="preserve"> </w:t>
      </w:r>
      <w:r>
        <w:rPr>
          <w:sz w:val="15"/>
        </w:rPr>
        <w:t>de</w:t>
      </w:r>
      <w:r>
        <w:rPr>
          <w:spacing w:val="-6"/>
          <w:sz w:val="15"/>
        </w:rPr>
        <w:t xml:space="preserve"> </w:t>
      </w:r>
      <w:r>
        <w:rPr>
          <w:sz w:val="15"/>
        </w:rPr>
        <w:t>los</w:t>
      </w:r>
      <w:r>
        <w:rPr>
          <w:spacing w:val="-6"/>
          <w:sz w:val="15"/>
        </w:rPr>
        <w:t xml:space="preserve"> </w:t>
      </w:r>
      <w:r>
        <w:rPr>
          <w:sz w:val="15"/>
        </w:rPr>
        <w:t>grupos</w:t>
      </w:r>
      <w:r>
        <w:rPr>
          <w:spacing w:val="-6"/>
          <w:sz w:val="15"/>
        </w:rPr>
        <w:t xml:space="preserve"> </w:t>
      </w:r>
      <w:r>
        <w:rPr>
          <w:sz w:val="15"/>
        </w:rPr>
        <w:t>de</w:t>
      </w:r>
      <w:r>
        <w:rPr>
          <w:spacing w:val="-6"/>
          <w:sz w:val="15"/>
        </w:rPr>
        <w:t xml:space="preserve"> </w:t>
      </w:r>
      <w:r>
        <w:rPr>
          <w:sz w:val="15"/>
        </w:rPr>
        <w:t>intereses</w:t>
      </w:r>
      <w:r>
        <w:rPr>
          <w:spacing w:val="-6"/>
          <w:sz w:val="15"/>
        </w:rPr>
        <w:t xml:space="preserve"> </w:t>
      </w:r>
      <w:r>
        <w:rPr>
          <w:sz w:val="15"/>
        </w:rPr>
        <w:t>especiales,</w:t>
      </w:r>
      <w:r>
        <w:rPr>
          <w:spacing w:val="-6"/>
          <w:sz w:val="15"/>
        </w:rPr>
        <w:t xml:space="preserve"> </w:t>
      </w:r>
      <w:r>
        <w:rPr>
          <w:sz w:val="15"/>
        </w:rPr>
        <w:t>incluidas</w:t>
      </w:r>
      <w:r>
        <w:rPr>
          <w:spacing w:val="-6"/>
          <w:sz w:val="15"/>
        </w:rPr>
        <w:t xml:space="preserve"> </w:t>
      </w:r>
      <w:r>
        <w:rPr>
          <w:sz w:val="15"/>
        </w:rPr>
        <w:t>las</w:t>
      </w:r>
      <w:r>
        <w:rPr>
          <w:spacing w:val="-6"/>
          <w:sz w:val="15"/>
        </w:rPr>
        <w:t xml:space="preserve"> </w:t>
      </w:r>
      <w:r>
        <w:rPr>
          <w:sz w:val="15"/>
        </w:rPr>
        <w:t>minorías</w:t>
      </w:r>
      <w:r>
        <w:rPr>
          <w:spacing w:val="-6"/>
          <w:sz w:val="15"/>
        </w:rPr>
        <w:t xml:space="preserve"> </w:t>
      </w:r>
      <w:r>
        <w:rPr>
          <w:sz w:val="15"/>
        </w:rPr>
        <w:t>y</w:t>
      </w:r>
      <w:r>
        <w:rPr>
          <w:spacing w:val="-6"/>
          <w:sz w:val="15"/>
        </w:rPr>
        <w:t xml:space="preserve"> </w:t>
      </w:r>
      <w:r>
        <w:rPr>
          <w:sz w:val="15"/>
        </w:rPr>
        <w:t>los</w:t>
      </w:r>
      <w:r>
        <w:rPr>
          <w:spacing w:val="-7"/>
          <w:sz w:val="15"/>
        </w:rPr>
        <w:t xml:space="preserve"> </w:t>
      </w:r>
      <w:r>
        <w:rPr>
          <w:sz w:val="15"/>
        </w:rPr>
        <w:t>grupos</w:t>
      </w:r>
      <w:r>
        <w:rPr>
          <w:spacing w:val="-6"/>
          <w:sz w:val="15"/>
        </w:rPr>
        <w:t xml:space="preserve"> </w:t>
      </w:r>
      <w:r>
        <w:rPr>
          <w:spacing w:val="-2"/>
          <w:sz w:val="15"/>
        </w:rPr>
        <w:t>marginados,</w:t>
      </w:r>
    </w:p>
    <w:p w14:paraId="2D796F60" w14:textId="77777777" w:rsidR="0014798C" w:rsidRDefault="004E1F0B">
      <w:pPr>
        <w:spacing w:before="114"/>
        <w:ind w:left="1899"/>
        <w:rPr>
          <w:sz w:val="17"/>
        </w:rPr>
      </w:pPr>
      <w:r>
        <w:rPr>
          <w:sz w:val="17"/>
        </w:rPr>
        <w:t>personas</w:t>
      </w:r>
      <w:r>
        <w:rPr>
          <w:spacing w:val="2"/>
          <w:sz w:val="17"/>
        </w:rPr>
        <w:t xml:space="preserve"> </w:t>
      </w:r>
      <w:r>
        <w:rPr>
          <w:sz w:val="17"/>
        </w:rPr>
        <w:t>con</w:t>
      </w:r>
      <w:r>
        <w:rPr>
          <w:spacing w:val="2"/>
          <w:sz w:val="17"/>
        </w:rPr>
        <w:t xml:space="preserve"> </w:t>
      </w:r>
      <w:r>
        <w:rPr>
          <w:sz w:val="17"/>
        </w:rPr>
        <w:t>discapacidad,</w:t>
      </w:r>
      <w:r>
        <w:rPr>
          <w:spacing w:val="4"/>
          <w:sz w:val="17"/>
        </w:rPr>
        <w:t xml:space="preserve"> </w:t>
      </w:r>
      <w:r>
        <w:rPr>
          <w:sz w:val="17"/>
        </w:rPr>
        <w:t>mujeres,</w:t>
      </w:r>
      <w:r>
        <w:rPr>
          <w:spacing w:val="3"/>
          <w:sz w:val="17"/>
        </w:rPr>
        <w:t xml:space="preserve"> </w:t>
      </w:r>
      <w:r>
        <w:rPr>
          <w:sz w:val="17"/>
        </w:rPr>
        <w:t>jóvenes</w:t>
      </w:r>
      <w:r>
        <w:rPr>
          <w:spacing w:val="2"/>
          <w:sz w:val="17"/>
        </w:rPr>
        <w:t xml:space="preserve"> </w:t>
      </w:r>
      <w:r>
        <w:rPr>
          <w:sz w:val="17"/>
        </w:rPr>
        <w:t>y</w:t>
      </w:r>
      <w:r>
        <w:rPr>
          <w:spacing w:val="2"/>
          <w:sz w:val="17"/>
        </w:rPr>
        <w:t xml:space="preserve"> </w:t>
      </w:r>
      <w:r>
        <w:rPr>
          <w:spacing w:val="-2"/>
          <w:sz w:val="17"/>
        </w:rPr>
        <w:t>niños;</w:t>
      </w:r>
    </w:p>
    <w:p w14:paraId="26B28573" w14:textId="77777777" w:rsidR="0014798C" w:rsidRDefault="0014798C">
      <w:pPr>
        <w:pStyle w:val="Textoindependiente"/>
        <w:spacing w:before="14"/>
        <w:rPr>
          <w:sz w:val="15"/>
        </w:rPr>
      </w:pPr>
    </w:p>
    <w:p w14:paraId="29B662DF" w14:textId="77777777" w:rsidR="0014798C" w:rsidRDefault="004E1F0B">
      <w:pPr>
        <w:pStyle w:val="Prrafodelista"/>
        <w:numPr>
          <w:ilvl w:val="0"/>
          <w:numId w:val="35"/>
        </w:numPr>
        <w:tabs>
          <w:tab w:val="left" w:pos="1796"/>
          <w:tab w:val="left" w:pos="1902"/>
        </w:tabs>
        <w:spacing w:line="348" w:lineRule="auto"/>
        <w:ind w:right="1727" w:hanging="332"/>
        <w:rPr>
          <w:sz w:val="15"/>
        </w:rPr>
      </w:pPr>
      <w:r>
        <w:rPr>
          <w:sz w:val="15"/>
        </w:rPr>
        <w:t>establecer, de conformidad con la legislación de protección de datos, bases de datos sobre cuestiones relacionadas con</w:t>
      </w:r>
      <w:r>
        <w:rPr>
          <w:spacing w:val="80"/>
          <w:sz w:val="15"/>
        </w:rPr>
        <w:t xml:space="preserve"> </w:t>
      </w:r>
      <w:r>
        <w:rPr>
          <w:sz w:val="15"/>
        </w:rPr>
        <w:t xml:space="preserve">la igualdad y la ausencia de discriminación para los diferentes grupos de intereses afectados y producir informes periódicos para la presentación de informes nacionales, regionales e internacionales sobre los avances en la realización de la igualdad y la ausencia de discriminación para estos grupos de </w:t>
      </w:r>
      <w:proofErr w:type="spellStart"/>
      <w:r>
        <w:rPr>
          <w:sz w:val="15"/>
        </w:rPr>
        <w:t>interes</w:t>
      </w:r>
      <w:proofErr w:type="spellEnd"/>
      <w:r>
        <w:rPr>
          <w:sz w:val="15"/>
        </w:rPr>
        <w:t>;</w:t>
      </w:r>
    </w:p>
    <w:p w14:paraId="54FBD389" w14:textId="77777777" w:rsidR="0014798C" w:rsidRDefault="004E1F0B">
      <w:pPr>
        <w:pStyle w:val="Prrafodelista"/>
        <w:numPr>
          <w:ilvl w:val="0"/>
          <w:numId w:val="35"/>
        </w:numPr>
        <w:tabs>
          <w:tab w:val="left" w:pos="1827"/>
          <w:tab w:val="left" w:pos="1900"/>
        </w:tabs>
        <w:spacing w:before="93" w:line="307" w:lineRule="auto"/>
        <w:ind w:left="1900" w:right="3435" w:hanging="331"/>
        <w:rPr>
          <w:sz w:val="17"/>
        </w:rPr>
      </w:pPr>
      <w:r>
        <w:rPr>
          <w:sz w:val="17"/>
        </w:rPr>
        <w:t xml:space="preserve">realizar otras funciones que la Comisión considere necesarias para la promoción </w:t>
      </w:r>
      <w:proofErr w:type="spellStart"/>
      <w:r>
        <w:rPr>
          <w:sz w:val="17"/>
        </w:rPr>
        <w:t>de el</w:t>
      </w:r>
      <w:proofErr w:type="spellEnd"/>
      <w:r>
        <w:rPr>
          <w:sz w:val="17"/>
        </w:rPr>
        <w:t xml:space="preserve"> principio de igualdad y no discriminación; y</w:t>
      </w:r>
    </w:p>
    <w:p w14:paraId="5BEF1665" w14:textId="77777777" w:rsidR="0014798C" w:rsidRDefault="0014798C">
      <w:pPr>
        <w:pStyle w:val="Textoindependiente"/>
        <w:rPr>
          <w:sz w:val="18"/>
        </w:rPr>
      </w:pPr>
    </w:p>
    <w:p w14:paraId="7E3B028B" w14:textId="77777777" w:rsidR="0014798C" w:rsidRDefault="0014798C">
      <w:pPr>
        <w:pStyle w:val="Textoindependiente"/>
        <w:spacing w:before="136"/>
        <w:rPr>
          <w:sz w:val="18"/>
        </w:rPr>
      </w:pPr>
    </w:p>
    <w:p w14:paraId="38DD973E" w14:textId="77777777" w:rsidR="0014798C" w:rsidRDefault="004E1F0B">
      <w:pPr>
        <w:ind w:left="470"/>
        <w:rPr>
          <w:sz w:val="18"/>
        </w:rPr>
      </w:pPr>
      <w:r>
        <w:rPr>
          <w:spacing w:val="-5"/>
          <w:sz w:val="18"/>
        </w:rPr>
        <w:t>108</w:t>
      </w:r>
    </w:p>
    <w:p w14:paraId="27FFEC08" w14:textId="77777777" w:rsidR="0014798C" w:rsidRDefault="0014798C">
      <w:pPr>
        <w:rPr>
          <w:sz w:val="18"/>
        </w:rPr>
        <w:sectPr w:rsidR="0014798C" w:rsidSect="00F265E4">
          <w:pgSz w:w="11900" w:h="16820"/>
          <w:pgMar w:top="340" w:right="0" w:bottom="280" w:left="200" w:header="121" w:footer="0" w:gutter="0"/>
          <w:cols w:space="720"/>
        </w:sectPr>
      </w:pPr>
    </w:p>
    <w:p w14:paraId="200EC5D3" w14:textId="77777777" w:rsidR="0014798C" w:rsidRDefault="004E1F0B">
      <w:pPr>
        <w:pStyle w:val="Textoindependiente"/>
        <w:spacing w:before="51"/>
        <w:rPr>
          <w:sz w:val="14"/>
        </w:rPr>
      </w:pPr>
      <w:r>
        <w:rPr>
          <w:noProof/>
        </w:rPr>
        <w:lastRenderedPageBreak/>
        <w:drawing>
          <wp:anchor distT="0" distB="0" distL="0" distR="0" simplePos="0" relativeHeight="251658442" behindDoc="1" locked="0" layoutInCell="1" allowOverlap="1" wp14:anchorId="143504DF" wp14:editId="510895C9">
            <wp:simplePos x="0" y="0"/>
            <wp:positionH relativeFrom="page">
              <wp:posOffset>813154</wp:posOffset>
            </wp:positionH>
            <wp:positionV relativeFrom="page">
              <wp:posOffset>934617</wp:posOffset>
            </wp:positionV>
            <wp:extent cx="6743345" cy="8663184"/>
            <wp:effectExtent l="0" t="0" r="0" b="0"/>
            <wp:wrapNone/>
            <wp:docPr id="234" name="Image 23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34" name="Image 234"/>
                    <pic:cNvPicPr/>
                  </pic:nvPicPr>
                  <pic:blipFill>
                    <a:blip r:embed="rId213" cstate="print"/>
                    <a:stretch>
                      <a:fillRect/>
                    </a:stretch>
                  </pic:blipFill>
                  <pic:spPr>
                    <a:xfrm>
                      <a:off x="0" y="0"/>
                      <a:ext cx="6743345" cy="8663184"/>
                    </a:xfrm>
                    <a:prstGeom prst="rect">
                      <a:avLst/>
                    </a:prstGeom>
                  </pic:spPr>
                </pic:pic>
              </a:graphicData>
            </a:graphic>
          </wp:anchor>
        </w:drawing>
      </w:r>
    </w:p>
    <w:p w14:paraId="71C7FE19" w14:textId="77777777" w:rsidR="0014798C" w:rsidRDefault="004E1F0B">
      <w:pPr>
        <w:ind w:left="1111"/>
        <w:rPr>
          <w:sz w:val="14"/>
        </w:rPr>
      </w:pPr>
      <w:r>
        <w:rPr>
          <w:color w:val="00AC59"/>
          <w:sz w:val="14"/>
        </w:rPr>
        <w:t>SEGUNDA</w:t>
      </w:r>
      <w:r>
        <w:rPr>
          <w:color w:val="00AC59"/>
          <w:spacing w:val="-5"/>
          <w:sz w:val="14"/>
        </w:rPr>
        <w:t xml:space="preserve"> </w:t>
      </w:r>
      <w:r>
        <w:rPr>
          <w:color w:val="00AC59"/>
          <w:sz w:val="14"/>
        </w:rPr>
        <w:t>PARTE:</w:t>
      </w:r>
      <w:r>
        <w:rPr>
          <w:color w:val="00AC59"/>
          <w:spacing w:val="-5"/>
          <w:sz w:val="14"/>
        </w:rPr>
        <w:t xml:space="preserve"> </w:t>
      </w:r>
      <w:r>
        <w:rPr>
          <w:color w:val="00AC59"/>
          <w:sz w:val="14"/>
        </w:rPr>
        <w:t>CONTENIDO</w:t>
      </w:r>
      <w:r>
        <w:rPr>
          <w:color w:val="00AC59"/>
          <w:spacing w:val="-4"/>
          <w:sz w:val="14"/>
        </w:rPr>
        <w:t xml:space="preserve"> </w:t>
      </w:r>
      <w:r>
        <w:rPr>
          <w:color w:val="00AC59"/>
          <w:sz w:val="14"/>
        </w:rPr>
        <w:t>DE</w:t>
      </w:r>
      <w:r>
        <w:rPr>
          <w:color w:val="00AC59"/>
          <w:spacing w:val="-5"/>
          <w:sz w:val="14"/>
        </w:rPr>
        <w:t xml:space="preserve"> </w:t>
      </w:r>
      <w:r>
        <w:rPr>
          <w:color w:val="00AC59"/>
          <w:sz w:val="14"/>
        </w:rPr>
        <w:t>LA</w:t>
      </w:r>
      <w:r>
        <w:rPr>
          <w:color w:val="00AC59"/>
          <w:spacing w:val="-4"/>
          <w:sz w:val="14"/>
        </w:rPr>
        <w:t xml:space="preserve"> </w:t>
      </w:r>
      <w:r>
        <w:rPr>
          <w:color w:val="00AC59"/>
          <w:sz w:val="14"/>
        </w:rPr>
        <w:t>LEY</w:t>
      </w:r>
      <w:r>
        <w:rPr>
          <w:color w:val="00AC59"/>
          <w:spacing w:val="-4"/>
          <w:sz w:val="14"/>
        </w:rPr>
        <w:t xml:space="preserve"> </w:t>
      </w:r>
      <w:r>
        <w:rPr>
          <w:color w:val="00AC59"/>
          <w:sz w:val="14"/>
        </w:rPr>
        <w:t>INTEGRAL</w:t>
      </w:r>
      <w:r>
        <w:rPr>
          <w:color w:val="00AC59"/>
          <w:spacing w:val="-5"/>
          <w:sz w:val="14"/>
        </w:rPr>
        <w:t xml:space="preserve"> </w:t>
      </w:r>
      <w:r>
        <w:rPr>
          <w:color w:val="00AC59"/>
          <w:spacing w:val="-2"/>
          <w:sz w:val="14"/>
        </w:rPr>
        <w:t>ANTIDISCRIMINACIÓN</w:t>
      </w:r>
    </w:p>
    <w:p w14:paraId="206C0C1B" w14:textId="77777777" w:rsidR="0014798C" w:rsidRDefault="0014798C">
      <w:pPr>
        <w:pStyle w:val="Textoindependiente"/>
      </w:pPr>
    </w:p>
    <w:p w14:paraId="6C192792" w14:textId="77777777" w:rsidR="0014798C" w:rsidRDefault="0014798C">
      <w:pPr>
        <w:pStyle w:val="Textoindependiente"/>
      </w:pPr>
    </w:p>
    <w:p w14:paraId="1C0FFBFC" w14:textId="77777777" w:rsidR="0014798C" w:rsidRDefault="0014798C">
      <w:pPr>
        <w:pStyle w:val="Textoindependiente"/>
      </w:pPr>
    </w:p>
    <w:p w14:paraId="2C42B469" w14:textId="77777777" w:rsidR="0014798C" w:rsidRDefault="0014798C">
      <w:pPr>
        <w:pStyle w:val="Textoindependiente"/>
      </w:pPr>
    </w:p>
    <w:p w14:paraId="160FED06" w14:textId="77777777" w:rsidR="0014798C" w:rsidRDefault="0014798C">
      <w:pPr>
        <w:pStyle w:val="Textoindependiente"/>
        <w:spacing w:before="59"/>
      </w:pPr>
    </w:p>
    <w:p w14:paraId="7C04C097" w14:textId="77777777" w:rsidR="0014798C" w:rsidRDefault="004E1F0B">
      <w:pPr>
        <w:pStyle w:val="Prrafodelista"/>
        <w:numPr>
          <w:ilvl w:val="0"/>
          <w:numId w:val="35"/>
        </w:numPr>
        <w:tabs>
          <w:tab w:val="left" w:pos="1810"/>
          <w:tab w:val="left" w:pos="1901"/>
        </w:tabs>
        <w:spacing w:before="1" w:line="271" w:lineRule="auto"/>
        <w:ind w:left="1901" w:right="3289" w:hanging="331"/>
        <w:rPr>
          <w:sz w:val="16"/>
        </w:rPr>
      </w:pPr>
      <w:r>
        <w:rPr>
          <w:sz w:val="16"/>
        </w:rPr>
        <w:t>realizar</w:t>
      </w:r>
      <w:r>
        <w:rPr>
          <w:spacing w:val="-2"/>
          <w:sz w:val="16"/>
        </w:rPr>
        <w:t xml:space="preserve"> </w:t>
      </w:r>
      <w:r>
        <w:rPr>
          <w:sz w:val="16"/>
        </w:rPr>
        <w:t>otras</w:t>
      </w:r>
      <w:r>
        <w:rPr>
          <w:spacing w:val="-2"/>
          <w:sz w:val="16"/>
        </w:rPr>
        <w:t xml:space="preserve"> </w:t>
      </w:r>
      <w:r>
        <w:rPr>
          <w:sz w:val="16"/>
        </w:rPr>
        <w:t>funciones</w:t>
      </w:r>
      <w:r>
        <w:rPr>
          <w:spacing w:val="-2"/>
          <w:sz w:val="16"/>
        </w:rPr>
        <w:t xml:space="preserve"> </w:t>
      </w:r>
      <w:r>
        <w:rPr>
          <w:sz w:val="16"/>
        </w:rPr>
        <w:t>que</w:t>
      </w:r>
      <w:r>
        <w:rPr>
          <w:spacing w:val="-1"/>
          <w:sz w:val="16"/>
        </w:rPr>
        <w:t xml:space="preserve"> </w:t>
      </w:r>
      <w:r>
        <w:rPr>
          <w:sz w:val="16"/>
        </w:rPr>
        <w:t>puedan</w:t>
      </w:r>
      <w:r>
        <w:rPr>
          <w:spacing w:val="-1"/>
          <w:sz w:val="16"/>
        </w:rPr>
        <w:t xml:space="preserve"> </w:t>
      </w:r>
      <w:r>
        <w:rPr>
          <w:sz w:val="16"/>
        </w:rPr>
        <w:t>ser</w:t>
      </w:r>
      <w:r>
        <w:rPr>
          <w:spacing w:val="-1"/>
          <w:sz w:val="16"/>
        </w:rPr>
        <w:t xml:space="preserve"> </w:t>
      </w:r>
      <w:r>
        <w:rPr>
          <w:sz w:val="16"/>
        </w:rPr>
        <w:t>prescritas</w:t>
      </w:r>
      <w:r>
        <w:rPr>
          <w:spacing w:val="-2"/>
          <w:sz w:val="16"/>
        </w:rPr>
        <w:t xml:space="preserve"> </w:t>
      </w:r>
      <w:r>
        <w:rPr>
          <w:sz w:val="16"/>
        </w:rPr>
        <w:t>por</w:t>
      </w:r>
      <w:r>
        <w:rPr>
          <w:spacing w:val="-1"/>
          <w:sz w:val="16"/>
        </w:rPr>
        <w:t xml:space="preserve"> </w:t>
      </w:r>
      <w:r>
        <w:rPr>
          <w:sz w:val="16"/>
        </w:rPr>
        <w:t>la</w:t>
      </w:r>
      <w:r>
        <w:rPr>
          <w:spacing w:val="-1"/>
          <w:sz w:val="16"/>
        </w:rPr>
        <w:t xml:space="preserve"> </w:t>
      </w:r>
      <w:r>
        <w:rPr>
          <w:sz w:val="16"/>
        </w:rPr>
        <w:t>Constitución</w:t>
      </w:r>
      <w:r>
        <w:rPr>
          <w:spacing w:val="-2"/>
          <w:sz w:val="16"/>
        </w:rPr>
        <w:t xml:space="preserve"> </w:t>
      </w:r>
      <w:r>
        <w:rPr>
          <w:sz w:val="16"/>
        </w:rPr>
        <w:t>y</w:t>
      </w:r>
      <w:r>
        <w:rPr>
          <w:spacing w:val="-1"/>
          <w:sz w:val="16"/>
        </w:rPr>
        <w:t xml:space="preserve"> </w:t>
      </w:r>
      <w:r>
        <w:rPr>
          <w:sz w:val="16"/>
        </w:rPr>
        <w:t>cualquier</w:t>
      </w:r>
      <w:r>
        <w:rPr>
          <w:spacing w:val="-2"/>
          <w:sz w:val="16"/>
        </w:rPr>
        <w:t xml:space="preserve"> </w:t>
      </w:r>
      <w:r>
        <w:rPr>
          <w:sz w:val="16"/>
        </w:rPr>
        <w:t>otro</w:t>
      </w:r>
      <w:r>
        <w:rPr>
          <w:spacing w:val="-2"/>
          <w:sz w:val="16"/>
        </w:rPr>
        <w:t xml:space="preserve"> </w:t>
      </w:r>
      <w:r>
        <w:rPr>
          <w:sz w:val="16"/>
        </w:rPr>
        <w:t xml:space="preserve">escrito </w:t>
      </w:r>
      <w:r>
        <w:rPr>
          <w:spacing w:val="-4"/>
          <w:sz w:val="16"/>
        </w:rPr>
        <w:t>ley.</w:t>
      </w:r>
    </w:p>
    <w:p w14:paraId="5D5D50A6" w14:textId="77777777" w:rsidR="0014798C" w:rsidRDefault="0014798C">
      <w:pPr>
        <w:pStyle w:val="Textoindependiente"/>
        <w:spacing w:before="12"/>
      </w:pPr>
    </w:p>
    <w:p w14:paraId="5FEBCA71" w14:textId="77777777" w:rsidR="0014798C" w:rsidRDefault="004E1F0B">
      <w:pPr>
        <w:pStyle w:val="Textoindependiente"/>
        <w:spacing w:line="319" w:lineRule="auto"/>
        <w:ind w:left="1334" w:right="1483" w:firstLine="4"/>
      </w:pPr>
      <w:r>
        <w:t>El</w:t>
      </w:r>
      <w:r>
        <w:rPr>
          <w:spacing w:val="-1"/>
        </w:rPr>
        <w:t xml:space="preserve"> </w:t>
      </w:r>
      <w:r>
        <w:t>artículo</w:t>
      </w:r>
      <w:r>
        <w:rPr>
          <w:spacing w:val="-1"/>
        </w:rPr>
        <w:t xml:space="preserve"> </w:t>
      </w:r>
      <w:r>
        <w:t>9 de la ley establece</w:t>
      </w:r>
      <w:r>
        <w:rPr>
          <w:spacing w:val="-1"/>
        </w:rPr>
        <w:t xml:space="preserve"> </w:t>
      </w:r>
      <w:r>
        <w:t>que "la</w:t>
      </w:r>
      <w:r>
        <w:rPr>
          <w:spacing w:val="-1"/>
        </w:rPr>
        <w:t xml:space="preserve"> </w:t>
      </w:r>
      <w:r>
        <w:t>Comisión estará</w:t>
      </w:r>
      <w:r>
        <w:rPr>
          <w:spacing w:val="-1"/>
        </w:rPr>
        <w:t xml:space="preserve"> </w:t>
      </w:r>
      <w:r>
        <w:t>integrada</w:t>
      </w:r>
      <w:r>
        <w:rPr>
          <w:spacing w:val="-1"/>
        </w:rPr>
        <w:t xml:space="preserve"> </w:t>
      </w:r>
      <w:r>
        <w:t>por un presidente</w:t>
      </w:r>
      <w:r>
        <w:rPr>
          <w:spacing w:val="-1"/>
        </w:rPr>
        <w:t xml:space="preserve"> </w:t>
      </w:r>
      <w:r>
        <w:t>y otros</w:t>
      </w:r>
      <w:r>
        <w:rPr>
          <w:spacing w:val="-1"/>
        </w:rPr>
        <w:t xml:space="preserve"> </w:t>
      </w:r>
      <w:r>
        <w:t>cuatro</w:t>
      </w:r>
      <w:r>
        <w:rPr>
          <w:spacing w:val="-1"/>
        </w:rPr>
        <w:t xml:space="preserve"> </w:t>
      </w:r>
      <w:r>
        <w:t>miembros". Los requisitos para ser miembro de la Comisión y los procedimientos para el nombramiento, permanencia y destitución de los miembros y</w:t>
      </w:r>
      <w:r>
        <w:rPr>
          <w:spacing w:val="40"/>
        </w:rPr>
        <w:t xml:space="preserve"> </w:t>
      </w:r>
      <w:r>
        <w:t>el personal se establecen en las secciones 10 a 23.</w:t>
      </w:r>
    </w:p>
    <w:p w14:paraId="73C23E98" w14:textId="77777777" w:rsidR="0014798C" w:rsidRDefault="004E1F0B">
      <w:pPr>
        <w:pStyle w:val="Textoindependiente"/>
        <w:spacing w:before="129" w:line="326" w:lineRule="auto"/>
        <w:ind w:left="1333" w:right="1479" w:hanging="1"/>
      </w:pPr>
      <w:r>
        <w:rPr>
          <w:noProof/>
        </w:rPr>
        <mc:AlternateContent>
          <mc:Choice Requires="wps">
            <w:drawing>
              <wp:anchor distT="0" distB="0" distL="0" distR="0" simplePos="0" relativeHeight="251658294" behindDoc="0" locked="0" layoutInCell="1" allowOverlap="1" wp14:anchorId="51671164" wp14:editId="7A130D34">
                <wp:simplePos x="0" y="0"/>
                <wp:positionH relativeFrom="page">
                  <wp:posOffset>7310646</wp:posOffset>
                </wp:positionH>
                <wp:positionV relativeFrom="paragraph">
                  <wp:posOffset>857409</wp:posOffset>
                </wp:positionV>
                <wp:extent cx="86995" cy="295910"/>
                <wp:effectExtent l="0" t="0" r="0" b="0"/>
                <wp:wrapNone/>
                <wp:docPr id="235" name="Textbox 23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86995" cy="295910"/>
                        </a:xfrm>
                        <a:prstGeom prst="rect">
                          <a:avLst/>
                        </a:prstGeom>
                      </wps:spPr>
                      <wps:txbx>
                        <w:txbxContent>
                          <w:p w14:paraId="09154F43" w14:textId="77777777" w:rsidR="0014798C" w:rsidRDefault="004E1F0B">
                            <w:pPr>
                              <w:spacing w:before="23"/>
                              <w:ind w:left="20"/>
                              <w:rPr>
                                <w:sz w:val="8"/>
                              </w:rPr>
                            </w:pPr>
                            <w:r>
                              <w:rPr>
                                <w:color w:val="FFFFFF"/>
                                <w:spacing w:val="-27"/>
                                <w:w w:val="105"/>
                                <w:sz w:val="8"/>
                              </w:rPr>
                              <w:t>–IP</w:t>
                            </w:r>
                            <w:r>
                              <w:rPr>
                                <w:spacing w:val="-27"/>
                                <w:w w:val="105"/>
                                <w:sz w:val="8"/>
                              </w:rPr>
                              <w:t>S</w:t>
                            </w:r>
                            <w:r>
                              <w:rPr>
                                <w:color w:val="FFFFFF"/>
                                <w:spacing w:val="-27"/>
                                <w:w w:val="105"/>
                                <w:sz w:val="8"/>
                              </w:rPr>
                              <w:t>VA</w:t>
                            </w:r>
                            <w:r>
                              <w:rPr>
                                <w:spacing w:val="-27"/>
                                <w:w w:val="105"/>
                                <w:sz w:val="8"/>
                              </w:rPr>
                              <w:t>E</w:t>
                            </w:r>
                            <w:r>
                              <w:rPr>
                                <w:color w:val="FFFFFF"/>
                                <w:spacing w:val="-27"/>
                                <w:w w:val="105"/>
                                <w:sz w:val="8"/>
                              </w:rPr>
                              <w:t>R</w:t>
                            </w:r>
                            <w:r>
                              <w:rPr>
                                <w:spacing w:val="-27"/>
                                <w:w w:val="105"/>
                                <w:sz w:val="8"/>
                              </w:rPr>
                              <w:t>G</w:t>
                            </w:r>
                            <w:r>
                              <w:rPr>
                                <w:color w:val="FFFFFF"/>
                                <w:spacing w:val="-27"/>
                                <w:w w:val="105"/>
                                <w:sz w:val="8"/>
                              </w:rPr>
                              <w:t>T</w:t>
                            </w:r>
                            <w:r>
                              <w:rPr>
                                <w:spacing w:val="-27"/>
                                <w:w w:val="105"/>
                                <w:sz w:val="8"/>
                              </w:rPr>
                              <w:t>U</w:t>
                            </w:r>
                            <w:r>
                              <w:rPr>
                                <w:color w:val="FFFFFF"/>
                                <w:spacing w:val="-27"/>
                                <w:w w:val="105"/>
                                <w:sz w:val="8"/>
                              </w:rPr>
                              <w:t>E</w:t>
                            </w:r>
                            <w:r>
                              <w:rPr>
                                <w:spacing w:val="-27"/>
                                <w:w w:val="105"/>
                                <w:sz w:val="8"/>
                              </w:rPr>
                              <w:t>NDA</w:t>
                            </w:r>
                          </w:p>
                        </w:txbxContent>
                      </wps:txbx>
                      <wps:bodyPr vert="vert270" wrap="square" lIns="0" tIns="0" rIns="0" bIns="0" rtlCol="0">
                        <a:noAutofit/>
                      </wps:bodyPr>
                    </wps:wsp>
                  </a:graphicData>
                </a:graphic>
              </wp:anchor>
            </w:drawing>
          </mc:Choice>
          <mc:Fallback>
            <w:pict>
              <v:shape w14:anchorId="51671164" id="Textbox 235" o:spid="_x0000_s1117" type="#_x0000_t202" style="position:absolute;left:0;text-align:left;margin-left:575.65pt;margin-top:67.5pt;width:6.85pt;height:23.3pt;z-index:251658294;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" filled="f" stroked="f">
                <v:textbox style="layout-flow:vertical;mso-layout-flow-alt:bottom-to-top" inset="0,0,0,0">
                  <w:txbxContent>
                    <w:p w14:paraId="09154F43" w14:textId="77777777" w:rsidR="0014798C" w:rsidRDefault="004E1F0B">
                      <w:pPr>
                        <w:spacing w:before="23"/>
                        <w:ind w:left="20"/>
                        <w:rPr>
                          <w:sz w:val="8"/>
                        </w:rPr>
                      </w:pPr>
                      <w:r>
                        <w:rPr>
                          <w:color w:val="FFFFFF"/>
                          <w:spacing w:val="-27"/>
                          <w:w w:val="105"/>
                          <w:sz w:val="8"/>
                        </w:rPr>
                        <w:t>–IP</w:t>
                      </w:r>
                      <w:r>
                        <w:rPr>
                          <w:spacing w:val="-27"/>
                          <w:w w:val="105"/>
                          <w:sz w:val="8"/>
                        </w:rPr>
                        <w:t>S</w:t>
                      </w:r>
                      <w:r>
                        <w:rPr>
                          <w:color w:val="FFFFFF"/>
                          <w:spacing w:val="-27"/>
                          <w:w w:val="105"/>
                          <w:sz w:val="8"/>
                        </w:rPr>
                        <w:t>VA</w:t>
                      </w:r>
                      <w:r>
                        <w:rPr>
                          <w:spacing w:val="-27"/>
                          <w:w w:val="105"/>
                          <w:sz w:val="8"/>
                        </w:rPr>
                        <w:t>E</w:t>
                      </w:r>
                      <w:r>
                        <w:rPr>
                          <w:color w:val="FFFFFF"/>
                          <w:spacing w:val="-27"/>
                          <w:w w:val="105"/>
                          <w:sz w:val="8"/>
                        </w:rPr>
                        <w:t>R</w:t>
                      </w:r>
                      <w:r>
                        <w:rPr>
                          <w:spacing w:val="-27"/>
                          <w:w w:val="105"/>
                          <w:sz w:val="8"/>
                        </w:rPr>
                        <w:t>G</w:t>
                      </w:r>
                      <w:r>
                        <w:rPr>
                          <w:color w:val="FFFFFF"/>
                          <w:spacing w:val="-27"/>
                          <w:w w:val="105"/>
                          <w:sz w:val="8"/>
                        </w:rPr>
                        <w:t>T</w:t>
                      </w:r>
                      <w:r>
                        <w:rPr>
                          <w:spacing w:val="-27"/>
                          <w:w w:val="105"/>
                          <w:sz w:val="8"/>
                        </w:rPr>
                        <w:t>U</w:t>
                      </w:r>
                      <w:r>
                        <w:rPr>
                          <w:color w:val="FFFFFF"/>
                          <w:spacing w:val="-27"/>
                          <w:w w:val="105"/>
                          <w:sz w:val="8"/>
                        </w:rPr>
                        <w:t>E</w:t>
                      </w:r>
                      <w:r>
                        <w:rPr>
                          <w:spacing w:val="-27"/>
                          <w:w w:val="105"/>
                          <w:sz w:val="8"/>
                        </w:rPr>
                        <w:t>NDA</w:t>
                      </w:r>
                    </w:p>
                  </w:txbxContent>
                </v:textbox>
                <w10:wrap anchorx="page"/>
              </v:shape>
            </w:pict>
          </mc:Fallback>
        </mc:AlternateContent>
      </w:r>
      <w:r>
        <w:t>Los poderes generales de la Comisión se establecen en el artículo 26 de la Ley, mientras que el artículo 27 confiere a la Comisión determinadas facultades judiciales para ayudarla en el desempeño de su mandato. En conjunto, estas disposiciones</w:t>
      </w:r>
      <w:r>
        <w:rPr>
          <w:spacing w:val="-1"/>
        </w:rPr>
        <w:t xml:space="preserve"> </w:t>
      </w:r>
      <w:r>
        <w:t>otorgan</w:t>
      </w:r>
      <w:r>
        <w:rPr>
          <w:spacing w:val="-1"/>
        </w:rPr>
        <w:t xml:space="preserve"> </w:t>
      </w:r>
      <w:r>
        <w:t>a la Comisión amplios</w:t>
      </w:r>
      <w:r>
        <w:rPr>
          <w:spacing w:val="-1"/>
        </w:rPr>
        <w:t xml:space="preserve"> </w:t>
      </w:r>
      <w:r>
        <w:t>poderes</w:t>
      </w:r>
      <w:r>
        <w:rPr>
          <w:spacing w:val="-1"/>
        </w:rPr>
        <w:t xml:space="preserve"> </w:t>
      </w:r>
      <w:r>
        <w:t>de decisión y el derecho de emitir</w:t>
      </w:r>
      <w:r>
        <w:rPr>
          <w:spacing w:val="-1"/>
        </w:rPr>
        <w:t xml:space="preserve"> </w:t>
      </w:r>
      <w:r>
        <w:t>citaciones, exigir</w:t>
      </w:r>
      <w:r>
        <w:rPr>
          <w:spacing w:val="-1"/>
        </w:rPr>
        <w:t xml:space="preserve"> </w:t>
      </w:r>
      <w:r>
        <w:t>declaraciones</w:t>
      </w:r>
      <w:r>
        <w:rPr>
          <w:spacing w:val="-1"/>
        </w:rPr>
        <w:t xml:space="preserve"> </w:t>
      </w:r>
      <w:r>
        <w:t>bajo juramento,</w:t>
      </w:r>
      <w:r>
        <w:rPr>
          <w:spacing w:val="-1"/>
        </w:rPr>
        <w:t xml:space="preserve"> </w:t>
      </w:r>
      <w:r>
        <w:t>obtener</w:t>
      </w:r>
      <w:r>
        <w:rPr>
          <w:spacing w:val="-2"/>
        </w:rPr>
        <w:t xml:space="preserve"> </w:t>
      </w:r>
      <w:r>
        <w:t>informes,</w:t>
      </w:r>
      <w:r>
        <w:rPr>
          <w:spacing w:val="-1"/>
        </w:rPr>
        <w:t xml:space="preserve"> </w:t>
      </w:r>
      <w:r>
        <w:t>ingresar</w:t>
      </w:r>
      <w:r>
        <w:rPr>
          <w:spacing w:val="-2"/>
        </w:rPr>
        <w:t xml:space="preserve"> </w:t>
      </w:r>
      <w:r>
        <w:t>a</w:t>
      </w:r>
      <w:r>
        <w:rPr>
          <w:spacing w:val="-1"/>
        </w:rPr>
        <w:t xml:space="preserve"> </w:t>
      </w:r>
      <w:r>
        <w:t>locales</w:t>
      </w:r>
      <w:r>
        <w:rPr>
          <w:spacing w:val="-2"/>
        </w:rPr>
        <w:t xml:space="preserve"> </w:t>
      </w:r>
      <w:r>
        <w:t>(con</w:t>
      </w:r>
      <w:r>
        <w:rPr>
          <w:spacing w:val="-1"/>
        </w:rPr>
        <w:t xml:space="preserve"> </w:t>
      </w:r>
      <w:r>
        <w:t>el</w:t>
      </w:r>
      <w:r>
        <w:rPr>
          <w:spacing w:val="-1"/>
        </w:rPr>
        <w:t xml:space="preserve"> </w:t>
      </w:r>
      <w:r>
        <w:t>permiso</w:t>
      </w:r>
      <w:r>
        <w:rPr>
          <w:spacing w:val="-1"/>
        </w:rPr>
        <w:t xml:space="preserve"> </w:t>
      </w:r>
      <w:r>
        <w:t>del</w:t>
      </w:r>
      <w:r>
        <w:rPr>
          <w:spacing w:val="-1"/>
        </w:rPr>
        <w:t xml:space="preserve"> </w:t>
      </w:r>
      <w:r>
        <w:t>tribunal),</w:t>
      </w:r>
      <w:r>
        <w:rPr>
          <w:spacing w:val="-1"/>
        </w:rPr>
        <w:t xml:space="preserve"> </w:t>
      </w:r>
      <w:r>
        <w:t>realizar</w:t>
      </w:r>
      <w:r>
        <w:rPr>
          <w:spacing w:val="-2"/>
        </w:rPr>
        <w:t xml:space="preserve"> </w:t>
      </w:r>
      <w:r>
        <w:t>entrevistas, realizar</w:t>
      </w:r>
      <w:r>
        <w:rPr>
          <w:spacing w:val="-2"/>
        </w:rPr>
        <w:t xml:space="preserve"> </w:t>
      </w:r>
      <w:r>
        <w:t>auditorías,</w:t>
      </w:r>
      <w:r>
        <w:rPr>
          <w:spacing w:val="-1"/>
        </w:rPr>
        <w:t xml:space="preserve"> </w:t>
      </w:r>
      <w:r>
        <w:t>celebrar audiencias y obligar a la asistencia de particulares. Las facultades de investigación de la Comisión se detallan en el artículo 28 de la Ley e incluyen facultades para "convocar y hacer comparecer a cualquier persona para un interrogatorio" y para requisar y obligar a presentar documentos.</w:t>
      </w:r>
    </w:p>
    <w:p w14:paraId="7DE83C7C" w14:textId="77777777" w:rsidR="0014798C" w:rsidRDefault="0014798C">
      <w:pPr>
        <w:pStyle w:val="Textoindependiente"/>
        <w:spacing w:before="175"/>
      </w:pPr>
    </w:p>
    <w:p w14:paraId="51655735" w14:textId="77777777" w:rsidR="0014798C" w:rsidRDefault="004E1F0B">
      <w:pPr>
        <w:pStyle w:val="Textoindependiente"/>
        <w:spacing w:line="326" w:lineRule="auto"/>
        <w:ind w:left="1332" w:right="1553"/>
      </w:pPr>
      <w:r>
        <w:t>La Comisión posee una función de toma de decisiones (no vinculante). Según el artículo 32 de la ley, las personas que hayan sufrido discriminación (o, en determinadas circunstancias, las personas que actúen con su consentimiento y en su nombre) pueden presentar denuncias oficiales. Sujeto a la limitación de jurisdicción detallada en la sección 30 y las excepciones a la regla establecida en la sección 34, la Comisión investigará la denuncia y tomará una de las acciones detalladas</w:t>
      </w:r>
      <w:r>
        <w:rPr>
          <w:spacing w:val="-1"/>
        </w:rPr>
        <w:t xml:space="preserve"> </w:t>
      </w:r>
      <w:r>
        <w:t>en la sección 41. Esto</w:t>
      </w:r>
      <w:r>
        <w:rPr>
          <w:spacing w:val="-1"/>
        </w:rPr>
        <w:t xml:space="preserve"> </w:t>
      </w:r>
      <w:r>
        <w:t>incluye recomendar</w:t>
      </w:r>
      <w:r>
        <w:rPr>
          <w:spacing w:val="-1"/>
        </w:rPr>
        <w:t xml:space="preserve"> </w:t>
      </w:r>
      <w:r>
        <w:t>“al denunciante</w:t>
      </w:r>
      <w:r>
        <w:rPr>
          <w:spacing w:val="-1"/>
        </w:rPr>
        <w:t xml:space="preserve"> </w:t>
      </w:r>
      <w:r>
        <w:t>un curso de... reparación judicial”</w:t>
      </w:r>
      <w:r>
        <w:rPr>
          <w:spacing w:val="-1"/>
        </w:rPr>
        <w:t xml:space="preserve"> </w:t>
      </w:r>
      <w:r>
        <w:t>y, en los casos que revelen una infracción del derecho penal, remitir el asunto al Director del Ministerio Público u otra autoridad pertinente.</w:t>
      </w:r>
    </w:p>
    <w:p w14:paraId="37CF7754" w14:textId="77777777" w:rsidR="0014798C" w:rsidRDefault="0014798C">
      <w:pPr>
        <w:pStyle w:val="Textoindependiente"/>
        <w:spacing w:before="176"/>
      </w:pPr>
    </w:p>
    <w:p w14:paraId="2D219AA6" w14:textId="77777777" w:rsidR="0014798C" w:rsidRDefault="004E1F0B">
      <w:pPr>
        <w:pStyle w:val="Textoindependiente"/>
        <w:spacing w:before="1" w:line="326" w:lineRule="auto"/>
        <w:ind w:left="1329" w:right="1539" w:firstLine="3"/>
      </w:pPr>
      <w:r>
        <w:t>Según el artículo 29 (2) de la Ley, la Comisión debe "resolver cualquier asunto que se le presente mediante conciliación, mediación o negociación". Cuando esto no resulte en una resolución del caso, la Comisión también podrá emitir un informe</w:t>
      </w:r>
      <w:r>
        <w:rPr>
          <w:spacing w:val="40"/>
        </w:rPr>
        <w:t xml:space="preserve"> </w:t>
      </w:r>
      <w:r>
        <w:t>y dirigir recomendaciones a la persona, organismo u organización responsable del acto de discriminación. Los detalles de este procedimiento se establecen en el artículo 42 de la ley. El informe de la Comisión debe exponer “las conclusiones de</w:t>
      </w:r>
      <w:r>
        <w:rPr>
          <w:spacing w:val="80"/>
        </w:rPr>
        <w:t xml:space="preserve"> </w:t>
      </w:r>
      <w:r>
        <w:t>la investigación</w:t>
      </w:r>
      <w:r>
        <w:rPr>
          <w:spacing w:val="-1"/>
        </w:rPr>
        <w:t xml:space="preserve"> </w:t>
      </w:r>
      <w:r>
        <w:t>y cualquier</w:t>
      </w:r>
      <w:r>
        <w:rPr>
          <w:spacing w:val="-1"/>
        </w:rPr>
        <w:t xml:space="preserve"> </w:t>
      </w:r>
      <w:r>
        <w:t>recomendación formulada”, incluidas</w:t>
      </w:r>
      <w:r>
        <w:rPr>
          <w:spacing w:val="-1"/>
        </w:rPr>
        <w:t xml:space="preserve"> </w:t>
      </w:r>
      <w:r>
        <w:t>recomendaciones</w:t>
      </w:r>
      <w:r>
        <w:rPr>
          <w:spacing w:val="-1"/>
        </w:rPr>
        <w:t xml:space="preserve"> </w:t>
      </w:r>
      <w:r>
        <w:t>de medidas</w:t>
      </w:r>
      <w:r>
        <w:rPr>
          <w:spacing w:val="-1"/>
        </w:rPr>
        <w:t xml:space="preserve"> </w:t>
      </w:r>
      <w:r>
        <w:t>reparadoras</w:t>
      </w:r>
      <w:r>
        <w:rPr>
          <w:spacing w:val="-1"/>
        </w:rPr>
        <w:t xml:space="preserve"> </w:t>
      </w:r>
      <w:r>
        <w:t>para abordar</w:t>
      </w:r>
      <w:r>
        <w:rPr>
          <w:spacing w:val="-1"/>
        </w:rPr>
        <w:t xml:space="preserve"> </w:t>
      </w:r>
      <w:r>
        <w:t>el daño causado.</w:t>
      </w:r>
    </w:p>
    <w:p w14:paraId="7D369091" w14:textId="77777777" w:rsidR="0014798C" w:rsidRDefault="004E1F0B">
      <w:pPr>
        <w:pStyle w:val="Textoindependiente"/>
        <w:spacing w:line="326" w:lineRule="auto"/>
        <w:ind w:left="1334" w:right="1590" w:hanging="2"/>
      </w:pPr>
      <w:r>
        <w:t>La Comisión puede exigir</w:t>
      </w:r>
      <w:r>
        <w:rPr>
          <w:spacing w:val="-1"/>
        </w:rPr>
        <w:t xml:space="preserve"> </w:t>
      </w:r>
      <w:r>
        <w:t>al actor</w:t>
      </w:r>
      <w:r>
        <w:rPr>
          <w:spacing w:val="-1"/>
        </w:rPr>
        <w:t xml:space="preserve"> </w:t>
      </w:r>
      <w:r>
        <w:t>pertinente</w:t>
      </w:r>
      <w:r>
        <w:rPr>
          <w:spacing w:val="-1"/>
        </w:rPr>
        <w:t xml:space="preserve"> </w:t>
      </w:r>
      <w:r>
        <w:t>que elabore un informe</w:t>
      </w:r>
      <w:r>
        <w:rPr>
          <w:spacing w:val="-1"/>
        </w:rPr>
        <w:t xml:space="preserve"> </w:t>
      </w:r>
      <w:r>
        <w:t>que detalle</w:t>
      </w:r>
      <w:r>
        <w:rPr>
          <w:spacing w:val="-1"/>
        </w:rPr>
        <w:t xml:space="preserve"> </w:t>
      </w:r>
      <w:r>
        <w:t>las medidas</w:t>
      </w:r>
      <w:r>
        <w:rPr>
          <w:spacing w:val="-1"/>
        </w:rPr>
        <w:t xml:space="preserve"> </w:t>
      </w:r>
      <w:r>
        <w:t>adoptadas</w:t>
      </w:r>
      <w:r>
        <w:rPr>
          <w:spacing w:val="-1"/>
        </w:rPr>
        <w:t xml:space="preserve"> </w:t>
      </w:r>
      <w:r>
        <w:t>para implementar sus recomendaciones y, en caso de incumplimiento, puede presentar un informe al Parlamento.</w:t>
      </w:r>
    </w:p>
    <w:p w14:paraId="315508B5" w14:textId="77777777" w:rsidR="0014798C" w:rsidRDefault="0014798C">
      <w:pPr>
        <w:pStyle w:val="Textoindependiente"/>
        <w:spacing w:before="88"/>
        <w:rPr>
          <w:sz w:val="26"/>
        </w:rPr>
      </w:pPr>
    </w:p>
    <w:p w14:paraId="263BCF50" w14:textId="77777777" w:rsidR="0014798C" w:rsidRDefault="004E1F0B">
      <w:pPr>
        <w:numPr>
          <w:ilvl w:val="0"/>
          <w:numId w:val="34"/>
        </w:numPr>
        <w:tabs>
          <w:tab w:val="left" w:pos="1430"/>
        </w:tabs>
        <w:spacing w:before="1"/>
        <w:ind w:left="1430" w:hanging="295"/>
        <w:rPr>
          <w:sz w:val="26"/>
        </w:rPr>
      </w:pPr>
      <w:r>
        <w:rPr>
          <w:color w:val="00AC59"/>
          <w:sz w:val="26"/>
        </w:rPr>
        <w:t>Promoción</w:t>
      </w:r>
      <w:r>
        <w:rPr>
          <w:color w:val="00AC59"/>
          <w:spacing w:val="10"/>
          <w:sz w:val="26"/>
        </w:rPr>
        <w:t xml:space="preserve"> </w:t>
      </w:r>
      <w:r>
        <w:rPr>
          <w:color w:val="00AC59"/>
          <w:sz w:val="26"/>
        </w:rPr>
        <w:t>y</w:t>
      </w:r>
      <w:r>
        <w:rPr>
          <w:color w:val="00AC59"/>
          <w:spacing w:val="11"/>
          <w:sz w:val="26"/>
        </w:rPr>
        <w:t xml:space="preserve"> </w:t>
      </w:r>
      <w:r>
        <w:rPr>
          <w:color w:val="00AC59"/>
          <w:spacing w:val="-2"/>
          <w:sz w:val="26"/>
        </w:rPr>
        <w:t>prevención</w:t>
      </w:r>
    </w:p>
    <w:p w14:paraId="5F8CF572" w14:textId="77777777" w:rsidR="0014798C" w:rsidRDefault="0014798C">
      <w:pPr>
        <w:pStyle w:val="Textoindependiente"/>
        <w:spacing w:before="47"/>
      </w:pPr>
    </w:p>
    <w:p w14:paraId="3DB0F7E5" w14:textId="77777777" w:rsidR="0014798C" w:rsidRDefault="004E1F0B">
      <w:pPr>
        <w:pStyle w:val="Textoindependiente"/>
        <w:spacing w:line="326" w:lineRule="auto"/>
        <w:ind w:left="1108" w:right="1381" w:hanging="2"/>
        <w:jc w:val="both"/>
      </w:pPr>
      <w:r>
        <w:t>La promoción de la igualdad y la prevención de la discriminación constituye una función central y definitoria de todos los órganos de igualdad. En</w:t>
      </w:r>
      <w:r>
        <w:rPr>
          <w:spacing w:val="-1"/>
        </w:rPr>
        <w:t xml:space="preserve"> </w:t>
      </w:r>
      <w:r>
        <w:t>sus orientaciones, la Comisión Europea</w:t>
      </w:r>
      <w:r>
        <w:rPr>
          <w:spacing w:val="-1"/>
        </w:rPr>
        <w:t xml:space="preserve"> </w:t>
      </w:r>
      <w:r>
        <w:t>contra</w:t>
      </w:r>
      <w:r>
        <w:rPr>
          <w:spacing w:val="-1"/>
        </w:rPr>
        <w:t xml:space="preserve"> </w:t>
      </w:r>
      <w:r>
        <w:t>el Racismo y la Intolerancia</w:t>
      </w:r>
      <w:r>
        <w:rPr>
          <w:spacing w:val="-1"/>
        </w:rPr>
        <w:t xml:space="preserve"> </w:t>
      </w:r>
      <w:r>
        <w:t>destaca</w:t>
      </w:r>
      <w:r>
        <w:rPr>
          <w:spacing w:val="-1"/>
        </w:rPr>
        <w:t xml:space="preserve"> </w:t>
      </w:r>
      <w:r>
        <w:t>15 competencias</w:t>
      </w:r>
      <w:r>
        <w:rPr>
          <w:spacing w:val="-1"/>
        </w:rPr>
        <w:t xml:space="preserve"> </w:t>
      </w:r>
      <w:r>
        <w:t>específicas que los organismos de igualdad deben poseer para llevar a cabo esta función de manera efectiva.767</w:t>
      </w:r>
    </w:p>
    <w:p w14:paraId="4922F218" w14:textId="77777777" w:rsidR="0014798C" w:rsidRDefault="0014798C">
      <w:pPr>
        <w:pStyle w:val="Textoindependiente"/>
      </w:pPr>
    </w:p>
    <w:p w14:paraId="5CAE5DC1" w14:textId="77777777" w:rsidR="0014798C" w:rsidRDefault="0014798C">
      <w:pPr>
        <w:pStyle w:val="Textoindependiente"/>
        <w:spacing w:before="100"/>
      </w:pPr>
    </w:p>
    <w:p w14:paraId="284FA98E" w14:textId="77777777" w:rsidR="0014798C" w:rsidRDefault="004E1F0B">
      <w:pPr>
        <w:pStyle w:val="Textoindependiente"/>
        <w:ind w:left="1342"/>
      </w:pPr>
      <w:r>
        <w:t>PROMOCIÓN</w:t>
      </w:r>
      <w:r>
        <w:rPr>
          <w:spacing w:val="-5"/>
        </w:rPr>
        <w:t xml:space="preserve"> </w:t>
      </w:r>
      <w:r>
        <w:t>Y</w:t>
      </w:r>
      <w:r>
        <w:rPr>
          <w:spacing w:val="-5"/>
        </w:rPr>
        <w:t xml:space="preserve"> </w:t>
      </w:r>
      <w:r>
        <w:rPr>
          <w:spacing w:val="-2"/>
        </w:rPr>
        <w:t>PREVENCIÓN</w:t>
      </w:r>
    </w:p>
    <w:p w14:paraId="13286A68" w14:textId="77777777" w:rsidR="0014798C" w:rsidRDefault="0014798C">
      <w:pPr>
        <w:pStyle w:val="Textoindependiente"/>
        <w:spacing w:before="36"/>
      </w:pPr>
    </w:p>
    <w:p w14:paraId="1086C5A4" w14:textId="77777777" w:rsidR="0014798C" w:rsidRDefault="004E1F0B">
      <w:pPr>
        <w:pStyle w:val="Textoindependiente"/>
        <w:spacing w:line="326" w:lineRule="auto"/>
        <w:ind w:left="1335" w:right="1272" w:hanging="4"/>
      </w:pPr>
      <w:r>
        <w:t>Según</w:t>
      </w:r>
      <w:r>
        <w:rPr>
          <w:spacing w:val="-2"/>
        </w:rPr>
        <w:t xml:space="preserve"> </w:t>
      </w:r>
      <w:r>
        <w:t>la</w:t>
      </w:r>
      <w:r>
        <w:rPr>
          <w:spacing w:val="-1"/>
        </w:rPr>
        <w:t xml:space="preserve"> </w:t>
      </w:r>
      <w:r>
        <w:t>Comisión</w:t>
      </w:r>
      <w:r>
        <w:rPr>
          <w:spacing w:val="-1"/>
        </w:rPr>
        <w:t xml:space="preserve"> </w:t>
      </w:r>
      <w:r>
        <w:t>Europea</w:t>
      </w:r>
      <w:r>
        <w:rPr>
          <w:spacing w:val="-2"/>
        </w:rPr>
        <w:t xml:space="preserve"> </w:t>
      </w:r>
      <w:r>
        <w:t>Contra</w:t>
      </w:r>
      <w:r>
        <w:rPr>
          <w:spacing w:val="-2"/>
        </w:rPr>
        <w:t xml:space="preserve"> </w:t>
      </w:r>
      <w:r>
        <w:t>el</w:t>
      </w:r>
      <w:r>
        <w:rPr>
          <w:spacing w:val="-1"/>
        </w:rPr>
        <w:t xml:space="preserve"> </w:t>
      </w:r>
      <w:r>
        <w:t>Racismo</w:t>
      </w:r>
      <w:r>
        <w:rPr>
          <w:spacing w:val="-1"/>
        </w:rPr>
        <w:t xml:space="preserve"> </w:t>
      </w:r>
      <w:r>
        <w:t>y</w:t>
      </w:r>
      <w:r>
        <w:rPr>
          <w:spacing w:val="-1"/>
        </w:rPr>
        <w:t xml:space="preserve"> </w:t>
      </w:r>
      <w:r>
        <w:t>la</w:t>
      </w:r>
      <w:r>
        <w:rPr>
          <w:spacing w:val="-1"/>
        </w:rPr>
        <w:t xml:space="preserve"> </w:t>
      </w:r>
      <w:r>
        <w:t>Intolerancia, la</w:t>
      </w:r>
      <w:r>
        <w:rPr>
          <w:spacing w:val="-1"/>
        </w:rPr>
        <w:t xml:space="preserve"> </w:t>
      </w:r>
      <w:r>
        <w:t>función</w:t>
      </w:r>
      <w:r>
        <w:rPr>
          <w:spacing w:val="-2"/>
        </w:rPr>
        <w:t xml:space="preserve"> </w:t>
      </w:r>
      <w:r>
        <w:t>de</w:t>
      </w:r>
      <w:r>
        <w:rPr>
          <w:spacing w:val="-1"/>
        </w:rPr>
        <w:t xml:space="preserve"> </w:t>
      </w:r>
      <w:r>
        <w:t>promoción</w:t>
      </w:r>
      <w:r>
        <w:rPr>
          <w:spacing w:val="-1"/>
        </w:rPr>
        <w:t xml:space="preserve"> </w:t>
      </w:r>
      <w:r>
        <w:t>y</w:t>
      </w:r>
      <w:r>
        <w:rPr>
          <w:spacing w:val="-1"/>
        </w:rPr>
        <w:t xml:space="preserve"> </w:t>
      </w:r>
      <w:r>
        <w:t>prevención</w:t>
      </w:r>
      <w:r>
        <w:rPr>
          <w:spacing w:val="-1"/>
        </w:rPr>
        <w:t xml:space="preserve"> </w:t>
      </w:r>
      <w:r>
        <w:t>de</w:t>
      </w:r>
      <w:r>
        <w:rPr>
          <w:spacing w:val="-1"/>
        </w:rPr>
        <w:t xml:space="preserve"> </w:t>
      </w:r>
      <w:r>
        <w:t>los</w:t>
      </w:r>
      <w:r>
        <w:rPr>
          <w:spacing w:val="-1"/>
        </w:rPr>
        <w:t xml:space="preserve"> </w:t>
      </w:r>
      <w:r>
        <w:t>órganos</w:t>
      </w:r>
      <w:r>
        <w:rPr>
          <w:spacing w:val="-2"/>
        </w:rPr>
        <w:t xml:space="preserve"> </w:t>
      </w:r>
      <w:r>
        <w:t>de igualdad debería incluir las competencias para:</w:t>
      </w:r>
    </w:p>
    <w:p w14:paraId="1D58DE5A" w14:textId="77777777" w:rsidR="0014798C" w:rsidRDefault="004E1F0B">
      <w:pPr>
        <w:pStyle w:val="Prrafodelista"/>
        <w:numPr>
          <w:ilvl w:val="1"/>
          <w:numId w:val="34"/>
        </w:numPr>
        <w:tabs>
          <w:tab w:val="left" w:pos="1742"/>
          <w:tab w:val="left" w:pos="1899"/>
        </w:tabs>
        <w:spacing w:before="112" w:line="326" w:lineRule="auto"/>
        <w:ind w:left="1899" w:right="1902" w:hanging="334"/>
        <w:rPr>
          <w:sz w:val="16"/>
        </w:rPr>
      </w:pPr>
      <w:r>
        <w:rPr>
          <w:sz w:val="16"/>
        </w:rPr>
        <w:t>Promover</w:t>
      </w:r>
      <w:r>
        <w:rPr>
          <w:spacing w:val="-2"/>
          <w:sz w:val="16"/>
        </w:rPr>
        <w:t xml:space="preserve"> </w:t>
      </w:r>
      <w:r>
        <w:rPr>
          <w:sz w:val="16"/>
        </w:rPr>
        <w:t>y</w:t>
      </w:r>
      <w:r>
        <w:rPr>
          <w:spacing w:val="-1"/>
          <w:sz w:val="16"/>
        </w:rPr>
        <w:t xml:space="preserve"> </w:t>
      </w:r>
      <w:r>
        <w:rPr>
          <w:sz w:val="16"/>
        </w:rPr>
        <w:t>alcanzar</w:t>
      </w:r>
      <w:r>
        <w:rPr>
          <w:spacing w:val="-2"/>
          <w:sz w:val="16"/>
        </w:rPr>
        <w:t xml:space="preserve"> </w:t>
      </w:r>
      <w:r>
        <w:rPr>
          <w:sz w:val="16"/>
        </w:rPr>
        <w:t>la</w:t>
      </w:r>
      <w:r>
        <w:rPr>
          <w:spacing w:val="-1"/>
          <w:sz w:val="16"/>
        </w:rPr>
        <w:t xml:space="preserve"> </w:t>
      </w:r>
      <w:r>
        <w:rPr>
          <w:sz w:val="16"/>
        </w:rPr>
        <w:t>igualdad,</w:t>
      </w:r>
      <w:r>
        <w:rPr>
          <w:spacing w:val="-1"/>
          <w:sz w:val="16"/>
        </w:rPr>
        <w:t xml:space="preserve"> </w:t>
      </w:r>
      <w:r>
        <w:rPr>
          <w:sz w:val="16"/>
        </w:rPr>
        <w:t>prevenir</w:t>
      </w:r>
      <w:r>
        <w:rPr>
          <w:spacing w:val="-2"/>
          <w:sz w:val="16"/>
        </w:rPr>
        <w:t xml:space="preserve"> </w:t>
      </w:r>
      <w:r>
        <w:rPr>
          <w:sz w:val="16"/>
        </w:rPr>
        <w:t>y</w:t>
      </w:r>
      <w:r>
        <w:rPr>
          <w:spacing w:val="-1"/>
          <w:sz w:val="16"/>
        </w:rPr>
        <w:t xml:space="preserve"> </w:t>
      </w:r>
      <w:r>
        <w:rPr>
          <w:sz w:val="16"/>
        </w:rPr>
        <w:t>eliminar</w:t>
      </w:r>
      <w:r>
        <w:rPr>
          <w:spacing w:val="-2"/>
          <w:sz w:val="16"/>
        </w:rPr>
        <w:t xml:space="preserve"> </w:t>
      </w:r>
      <w:r>
        <w:rPr>
          <w:sz w:val="16"/>
        </w:rPr>
        <w:t>la</w:t>
      </w:r>
      <w:r>
        <w:rPr>
          <w:spacing w:val="-1"/>
          <w:sz w:val="16"/>
        </w:rPr>
        <w:t xml:space="preserve"> </w:t>
      </w:r>
      <w:r>
        <w:rPr>
          <w:sz w:val="16"/>
        </w:rPr>
        <w:t>discriminación</w:t>
      </w:r>
      <w:r>
        <w:rPr>
          <w:spacing w:val="-1"/>
          <w:sz w:val="16"/>
        </w:rPr>
        <w:t xml:space="preserve"> </w:t>
      </w:r>
      <w:r>
        <w:rPr>
          <w:sz w:val="16"/>
        </w:rPr>
        <w:t>y</w:t>
      </w:r>
      <w:r>
        <w:rPr>
          <w:spacing w:val="-1"/>
          <w:sz w:val="16"/>
        </w:rPr>
        <w:t xml:space="preserve"> </w:t>
      </w:r>
      <w:r>
        <w:rPr>
          <w:sz w:val="16"/>
        </w:rPr>
        <w:t>la</w:t>
      </w:r>
      <w:r>
        <w:rPr>
          <w:spacing w:val="-1"/>
          <w:sz w:val="16"/>
        </w:rPr>
        <w:t xml:space="preserve"> </w:t>
      </w:r>
      <w:r>
        <w:rPr>
          <w:sz w:val="16"/>
        </w:rPr>
        <w:t>intolerancia, y</w:t>
      </w:r>
      <w:r>
        <w:rPr>
          <w:spacing w:val="-1"/>
          <w:sz w:val="16"/>
        </w:rPr>
        <w:t xml:space="preserve"> </w:t>
      </w:r>
      <w:r>
        <w:rPr>
          <w:sz w:val="16"/>
        </w:rPr>
        <w:t>promover</w:t>
      </w:r>
      <w:r>
        <w:rPr>
          <w:spacing w:val="-2"/>
          <w:sz w:val="16"/>
        </w:rPr>
        <w:t xml:space="preserve"> </w:t>
      </w:r>
      <w:r>
        <w:rPr>
          <w:sz w:val="16"/>
        </w:rPr>
        <w:t>la</w:t>
      </w:r>
      <w:r>
        <w:rPr>
          <w:spacing w:val="-1"/>
          <w:sz w:val="16"/>
        </w:rPr>
        <w:t xml:space="preserve"> </w:t>
      </w:r>
      <w:r>
        <w:rPr>
          <w:sz w:val="16"/>
        </w:rPr>
        <w:t>diversidad</w:t>
      </w:r>
      <w:r>
        <w:rPr>
          <w:spacing w:val="-1"/>
          <w:sz w:val="16"/>
        </w:rPr>
        <w:t xml:space="preserve"> </w:t>
      </w:r>
      <w:r>
        <w:rPr>
          <w:sz w:val="16"/>
        </w:rPr>
        <w:t>y las buenas relaciones entre los diferentes grupos de la sociedad.</w:t>
      </w:r>
    </w:p>
    <w:p w14:paraId="7556D7E4" w14:textId="77777777" w:rsidR="0014798C" w:rsidRDefault="004E1F0B">
      <w:pPr>
        <w:pStyle w:val="Prrafodelista"/>
        <w:numPr>
          <w:ilvl w:val="1"/>
          <w:numId w:val="34"/>
        </w:numPr>
        <w:tabs>
          <w:tab w:val="left" w:pos="1732"/>
          <w:tab w:val="left" w:pos="1899"/>
        </w:tabs>
        <w:spacing w:before="112" w:line="326" w:lineRule="auto"/>
        <w:ind w:left="1899" w:right="1950" w:hanging="344"/>
        <w:rPr>
          <w:sz w:val="16"/>
        </w:rPr>
      </w:pPr>
      <w:r>
        <w:rPr>
          <w:sz w:val="16"/>
        </w:rPr>
        <w:t>Construir un diálogo continuo con grupos que sufren discriminación e intolerancia y sus organizaciones representativas, y</w:t>
      </w:r>
      <w:r>
        <w:rPr>
          <w:spacing w:val="-1"/>
          <w:sz w:val="16"/>
        </w:rPr>
        <w:t xml:space="preserve"> </w:t>
      </w:r>
      <w:r>
        <w:rPr>
          <w:sz w:val="16"/>
        </w:rPr>
        <w:t>con</w:t>
      </w:r>
      <w:r>
        <w:rPr>
          <w:spacing w:val="-1"/>
          <w:sz w:val="16"/>
        </w:rPr>
        <w:t xml:space="preserve"> </w:t>
      </w:r>
      <w:r>
        <w:rPr>
          <w:sz w:val="16"/>
        </w:rPr>
        <w:t>organizaciones</w:t>
      </w:r>
      <w:r>
        <w:rPr>
          <w:spacing w:val="-2"/>
          <w:sz w:val="16"/>
        </w:rPr>
        <w:t xml:space="preserve"> </w:t>
      </w:r>
      <w:r>
        <w:rPr>
          <w:sz w:val="16"/>
        </w:rPr>
        <w:t>que</w:t>
      </w:r>
      <w:r>
        <w:rPr>
          <w:spacing w:val="-1"/>
          <w:sz w:val="16"/>
        </w:rPr>
        <w:t xml:space="preserve"> </w:t>
      </w:r>
      <w:r>
        <w:rPr>
          <w:sz w:val="16"/>
        </w:rPr>
        <w:t>trabajan</w:t>
      </w:r>
      <w:r>
        <w:rPr>
          <w:spacing w:val="-2"/>
          <w:sz w:val="16"/>
        </w:rPr>
        <w:t xml:space="preserve"> </w:t>
      </w:r>
      <w:r>
        <w:rPr>
          <w:sz w:val="16"/>
        </w:rPr>
        <w:t>de</w:t>
      </w:r>
      <w:r>
        <w:rPr>
          <w:spacing w:val="-1"/>
          <w:sz w:val="16"/>
        </w:rPr>
        <w:t xml:space="preserve"> </w:t>
      </w:r>
      <w:r>
        <w:rPr>
          <w:sz w:val="16"/>
        </w:rPr>
        <w:t>manera</w:t>
      </w:r>
      <w:r>
        <w:rPr>
          <w:spacing w:val="-1"/>
          <w:sz w:val="16"/>
        </w:rPr>
        <w:t xml:space="preserve"> </w:t>
      </w:r>
      <w:r>
        <w:rPr>
          <w:sz w:val="16"/>
        </w:rPr>
        <w:t>más</w:t>
      </w:r>
      <w:r>
        <w:rPr>
          <w:spacing w:val="-1"/>
          <w:sz w:val="16"/>
        </w:rPr>
        <w:t xml:space="preserve"> </w:t>
      </w:r>
      <w:r>
        <w:rPr>
          <w:sz w:val="16"/>
        </w:rPr>
        <w:t>general</w:t>
      </w:r>
      <w:r>
        <w:rPr>
          <w:spacing w:val="-1"/>
          <w:sz w:val="16"/>
        </w:rPr>
        <w:t xml:space="preserve"> </w:t>
      </w:r>
      <w:r>
        <w:rPr>
          <w:sz w:val="16"/>
        </w:rPr>
        <w:t>en</w:t>
      </w:r>
      <w:r>
        <w:rPr>
          <w:spacing w:val="-1"/>
          <w:sz w:val="16"/>
        </w:rPr>
        <w:t xml:space="preserve"> </w:t>
      </w:r>
      <w:r>
        <w:rPr>
          <w:sz w:val="16"/>
        </w:rPr>
        <w:t>temas</w:t>
      </w:r>
      <w:r>
        <w:rPr>
          <w:spacing w:val="-2"/>
          <w:sz w:val="16"/>
        </w:rPr>
        <w:t xml:space="preserve"> </w:t>
      </w:r>
      <w:r>
        <w:rPr>
          <w:sz w:val="16"/>
        </w:rPr>
        <w:t>de</w:t>
      </w:r>
      <w:r>
        <w:rPr>
          <w:spacing w:val="-1"/>
          <w:sz w:val="16"/>
        </w:rPr>
        <w:t xml:space="preserve"> </w:t>
      </w:r>
      <w:r>
        <w:rPr>
          <w:sz w:val="16"/>
        </w:rPr>
        <w:t>derechos</w:t>
      </w:r>
      <w:r>
        <w:rPr>
          <w:spacing w:val="-2"/>
          <w:sz w:val="16"/>
        </w:rPr>
        <w:t xml:space="preserve"> </w:t>
      </w:r>
      <w:r>
        <w:rPr>
          <w:sz w:val="16"/>
        </w:rPr>
        <w:t>humanos</w:t>
      </w:r>
      <w:r>
        <w:rPr>
          <w:spacing w:val="-2"/>
          <w:sz w:val="16"/>
        </w:rPr>
        <w:t xml:space="preserve"> </w:t>
      </w:r>
      <w:r>
        <w:rPr>
          <w:sz w:val="16"/>
        </w:rPr>
        <w:t xml:space="preserve">e </w:t>
      </w:r>
      <w:r>
        <w:rPr>
          <w:spacing w:val="-2"/>
          <w:sz w:val="16"/>
        </w:rPr>
        <w:t>igualdad.</w:t>
      </w:r>
    </w:p>
    <w:p w14:paraId="1FA544AF" w14:textId="77777777" w:rsidR="0014798C" w:rsidRDefault="004E1F0B">
      <w:pPr>
        <w:pStyle w:val="Textoindependiente"/>
        <w:spacing w:before="112" w:line="326" w:lineRule="auto"/>
        <w:ind w:left="1896" w:right="2004" w:hanging="333"/>
      </w:pPr>
      <w:r>
        <w:t>C.</w:t>
      </w:r>
      <w:r>
        <w:rPr>
          <w:spacing w:val="-1"/>
        </w:rPr>
        <w:t xml:space="preserve"> </w:t>
      </w:r>
      <w:r>
        <w:t>Realizar</w:t>
      </w:r>
      <w:r>
        <w:rPr>
          <w:spacing w:val="-2"/>
        </w:rPr>
        <w:t xml:space="preserve"> </w:t>
      </w:r>
      <w:r>
        <w:t>investigaciones</w:t>
      </w:r>
      <w:r>
        <w:rPr>
          <w:spacing w:val="-2"/>
        </w:rPr>
        <w:t xml:space="preserve"> </w:t>
      </w:r>
      <w:r>
        <w:t>por</w:t>
      </w:r>
      <w:r>
        <w:rPr>
          <w:spacing w:val="-1"/>
        </w:rPr>
        <w:t xml:space="preserve"> </w:t>
      </w:r>
      <w:r>
        <w:t>iniciativa</w:t>
      </w:r>
      <w:r>
        <w:rPr>
          <w:spacing w:val="-2"/>
        </w:rPr>
        <w:t xml:space="preserve"> </w:t>
      </w:r>
      <w:r>
        <w:t>propia</w:t>
      </w:r>
      <w:r>
        <w:rPr>
          <w:spacing w:val="-1"/>
        </w:rPr>
        <w:t xml:space="preserve"> </w:t>
      </w:r>
      <w:r>
        <w:t>sobre</w:t>
      </w:r>
      <w:r>
        <w:rPr>
          <w:spacing w:val="-1"/>
        </w:rPr>
        <w:t xml:space="preserve"> </w:t>
      </w:r>
      <w:r>
        <w:t>todos</w:t>
      </w:r>
      <w:r>
        <w:rPr>
          <w:spacing w:val="-2"/>
        </w:rPr>
        <w:t xml:space="preserve"> </w:t>
      </w:r>
      <w:r>
        <w:t>los</w:t>
      </w:r>
      <w:r>
        <w:rPr>
          <w:spacing w:val="-1"/>
        </w:rPr>
        <w:t xml:space="preserve"> </w:t>
      </w:r>
      <w:r>
        <w:t>asuntos</w:t>
      </w:r>
      <w:r>
        <w:rPr>
          <w:spacing w:val="-2"/>
        </w:rPr>
        <w:t xml:space="preserve"> </w:t>
      </w:r>
      <w:r>
        <w:t>comprendidos</w:t>
      </w:r>
      <w:r>
        <w:rPr>
          <w:spacing w:val="-2"/>
        </w:rPr>
        <w:t xml:space="preserve"> </w:t>
      </w:r>
      <w:r>
        <w:t>dentro</w:t>
      </w:r>
      <w:r>
        <w:rPr>
          <w:spacing w:val="-2"/>
        </w:rPr>
        <w:t xml:space="preserve"> </w:t>
      </w:r>
      <w:r>
        <w:t>de</w:t>
      </w:r>
      <w:r>
        <w:rPr>
          <w:spacing w:val="-1"/>
        </w:rPr>
        <w:t xml:space="preserve"> </w:t>
      </w:r>
      <w:r>
        <w:t>su</w:t>
      </w:r>
      <w:r>
        <w:rPr>
          <w:spacing w:val="-1"/>
        </w:rPr>
        <w:t xml:space="preserve"> </w:t>
      </w:r>
      <w:r>
        <w:t>mandato, abordando la discriminación tanto individual como estructural, y formular y publicar recomendaciones.</w:t>
      </w:r>
    </w:p>
    <w:p w14:paraId="2248B4FC" w14:textId="77777777" w:rsidR="0014798C" w:rsidRDefault="004E1F0B">
      <w:pPr>
        <w:pStyle w:val="Textoindependiente"/>
        <w:spacing w:before="113"/>
        <w:ind w:left="1564"/>
      </w:pPr>
      <w:r>
        <w:t>d.</w:t>
      </w:r>
      <w:r>
        <w:rPr>
          <w:spacing w:val="-3"/>
        </w:rPr>
        <w:t xml:space="preserve"> </w:t>
      </w:r>
      <w:r>
        <w:t>Realizar</w:t>
      </w:r>
      <w:r>
        <w:rPr>
          <w:spacing w:val="-3"/>
        </w:rPr>
        <w:t xml:space="preserve"> </w:t>
      </w:r>
      <w:r>
        <w:t>y</w:t>
      </w:r>
      <w:r>
        <w:rPr>
          <w:spacing w:val="-2"/>
        </w:rPr>
        <w:t xml:space="preserve"> </w:t>
      </w:r>
      <w:r>
        <w:t>encargar</w:t>
      </w:r>
      <w:r>
        <w:rPr>
          <w:spacing w:val="-3"/>
        </w:rPr>
        <w:t xml:space="preserve"> </w:t>
      </w:r>
      <w:r>
        <w:t>investigaciones</w:t>
      </w:r>
      <w:r>
        <w:rPr>
          <w:spacing w:val="-3"/>
        </w:rPr>
        <w:t xml:space="preserve"> </w:t>
      </w:r>
      <w:r>
        <w:t>sobre</w:t>
      </w:r>
      <w:r>
        <w:rPr>
          <w:spacing w:val="-2"/>
        </w:rPr>
        <w:t xml:space="preserve"> </w:t>
      </w:r>
      <w:r>
        <w:t>cualquier</w:t>
      </w:r>
      <w:r>
        <w:rPr>
          <w:spacing w:val="-3"/>
        </w:rPr>
        <w:t xml:space="preserve"> </w:t>
      </w:r>
      <w:r>
        <w:t>tema</w:t>
      </w:r>
      <w:r>
        <w:rPr>
          <w:spacing w:val="-3"/>
        </w:rPr>
        <w:t xml:space="preserve"> </w:t>
      </w:r>
      <w:r>
        <w:t>comprendido</w:t>
      </w:r>
      <w:r>
        <w:rPr>
          <w:spacing w:val="-2"/>
        </w:rPr>
        <w:t xml:space="preserve"> </w:t>
      </w:r>
      <w:r>
        <w:t>dentro</w:t>
      </w:r>
      <w:r>
        <w:rPr>
          <w:spacing w:val="-3"/>
        </w:rPr>
        <w:t xml:space="preserve"> </w:t>
      </w:r>
      <w:r>
        <w:t>de</w:t>
      </w:r>
      <w:r>
        <w:rPr>
          <w:spacing w:val="-2"/>
        </w:rPr>
        <w:t xml:space="preserve"> </w:t>
      </w:r>
      <w:r>
        <w:t>su</w:t>
      </w:r>
      <w:r>
        <w:rPr>
          <w:spacing w:val="-2"/>
        </w:rPr>
        <w:t xml:space="preserve"> mandato.</w:t>
      </w:r>
    </w:p>
    <w:p w14:paraId="5A53DEFE" w14:textId="77777777" w:rsidR="0014798C" w:rsidRDefault="0014798C">
      <w:pPr>
        <w:pStyle w:val="Textoindependiente"/>
        <w:rPr>
          <w:sz w:val="14"/>
        </w:rPr>
      </w:pPr>
    </w:p>
    <w:p w14:paraId="5E9E9FFF" w14:textId="77777777" w:rsidR="0014798C" w:rsidRDefault="0014798C">
      <w:pPr>
        <w:pStyle w:val="Textoindependiente"/>
        <w:rPr>
          <w:sz w:val="14"/>
        </w:rPr>
      </w:pPr>
    </w:p>
    <w:p w14:paraId="066CDECB" w14:textId="77777777" w:rsidR="0014798C" w:rsidRDefault="0014798C">
      <w:pPr>
        <w:pStyle w:val="Textoindependiente"/>
        <w:rPr>
          <w:sz w:val="14"/>
        </w:rPr>
      </w:pPr>
    </w:p>
    <w:p w14:paraId="19ABCD77" w14:textId="77777777" w:rsidR="0014798C" w:rsidRDefault="0014798C">
      <w:pPr>
        <w:pStyle w:val="Textoindependiente"/>
        <w:spacing w:before="39"/>
        <w:rPr>
          <w:sz w:val="14"/>
        </w:rPr>
      </w:pPr>
    </w:p>
    <w:p w14:paraId="6EF61F27" w14:textId="77777777" w:rsidR="0014798C" w:rsidRDefault="004E1F0B">
      <w:pPr>
        <w:ind w:left="1108"/>
        <w:rPr>
          <w:sz w:val="14"/>
        </w:rPr>
      </w:pPr>
      <w:r>
        <w:rPr>
          <w:sz w:val="14"/>
        </w:rPr>
        <w:t>767</w:t>
      </w:r>
      <w:r>
        <w:rPr>
          <w:spacing w:val="-9"/>
          <w:sz w:val="14"/>
        </w:rPr>
        <w:t xml:space="preserve"> </w:t>
      </w:r>
      <w:r>
        <w:rPr>
          <w:sz w:val="14"/>
        </w:rPr>
        <w:t>Consejo</w:t>
      </w:r>
      <w:r>
        <w:rPr>
          <w:spacing w:val="-9"/>
          <w:sz w:val="14"/>
        </w:rPr>
        <w:t xml:space="preserve"> </w:t>
      </w:r>
      <w:r>
        <w:rPr>
          <w:sz w:val="14"/>
        </w:rPr>
        <w:t>de</w:t>
      </w:r>
      <w:r>
        <w:rPr>
          <w:spacing w:val="-9"/>
          <w:sz w:val="14"/>
        </w:rPr>
        <w:t xml:space="preserve"> </w:t>
      </w:r>
      <w:r>
        <w:rPr>
          <w:sz w:val="14"/>
        </w:rPr>
        <w:t>Europa,</w:t>
      </w:r>
      <w:r>
        <w:rPr>
          <w:spacing w:val="-9"/>
          <w:sz w:val="14"/>
        </w:rPr>
        <w:t xml:space="preserve"> </w:t>
      </w:r>
      <w:r>
        <w:rPr>
          <w:sz w:val="14"/>
        </w:rPr>
        <w:t>Comisión</w:t>
      </w:r>
      <w:r>
        <w:rPr>
          <w:spacing w:val="-8"/>
          <w:sz w:val="14"/>
        </w:rPr>
        <w:t xml:space="preserve"> </w:t>
      </w:r>
      <w:r>
        <w:rPr>
          <w:sz w:val="14"/>
        </w:rPr>
        <w:t>Europea</w:t>
      </w:r>
      <w:r>
        <w:rPr>
          <w:spacing w:val="-9"/>
          <w:sz w:val="14"/>
        </w:rPr>
        <w:t xml:space="preserve"> </w:t>
      </w:r>
      <w:r>
        <w:rPr>
          <w:sz w:val="14"/>
        </w:rPr>
        <w:t>contra</w:t>
      </w:r>
      <w:r>
        <w:rPr>
          <w:spacing w:val="-9"/>
          <w:sz w:val="14"/>
        </w:rPr>
        <w:t xml:space="preserve"> </w:t>
      </w:r>
      <w:r>
        <w:rPr>
          <w:sz w:val="14"/>
        </w:rPr>
        <w:t>el</w:t>
      </w:r>
      <w:r>
        <w:rPr>
          <w:spacing w:val="-9"/>
          <w:sz w:val="14"/>
        </w:rPr>
        <w:t xml:space="preserve"> </w:t>
      </w:r>
      <w:r>
        <w:rPr>
          <w:sz w:val="14"/>
        </w:rPr>
        <w:t>Racismo</w:t>
      </w:r>
      <w:r>
        <w:rPr>
          <w:spacing w:val="-9"/>
          <w:sz w:val="14"/>
        </w:rPr>
        <w:t xml:space="preserve"> </w:t>
      </w:r>
      <w:r>
        <w:rPr>
          <w:sz w:val="14"/>
        </w:rPr>
        <w:t>y</w:t>
      </w:r>
      <w:r>
        <w:rPr>
          <w:spacing w:val="-9"/>
          <w:sz w:val="14"/>
        </w:rPr>
        <w:t xml:space="preserve"> </w:t>
      </w:r>
      <w:r>
        <w:rPr>
          <w:sz w:val="14"/>
        </w:rPr>
        <w:t>la</w:t>
      </w:r>
      <w:r>
        <w:rPr>
          <w:spacing w:val="-8"/>
          <w:sz w:val="14"/>
        </w:rPr>
        <w:t xml:space="preserve"> </w:t>
      </w:r>
      <w:r>
        <w:rPr>
          <w:sz w:val="14"/>
        </w:rPr>
        <w:t>Intolerancia,</w:t>
      </w:r>
      <w:r>
        <w:rPr>
          <w:spacing w:val="-8"/>
          <w:sz w:val="14"/>
        </w:rPr>
        <w:t xml:space="preserve"> </w:t>
      </w:r>
      <w:r>
        <w:rPr>
          <w:sz w:val="14"/>
        </w:rPr>
        <w:t>“Recomendación</w:t>
      </w:r>
      <w:r>
        <w:rPr>
          <w:spacing w:val="-9"/>
          <w:sz w:val="14"/>
        </w:rPr>
        <w:t xml:space="preserve"> </w:t>
      </w:r>
      <w:r>
        <w:rPr>
          <w:sz w:val="14"/>
        </w:rPr>
        <w:t>de</w:t>
      </w:r>
      <w:r>
        <w:rPr>
          <w:spacing w:val="-9"/>
          <w:sz w:val="14"/>
        </w:rPr>
        <w:t xml:space="preserve"> </w:t>
      </w:r>
      <w:r>
        <w:rPr>
          <w:sz w:val="14"/>
        </w:rPr>
        <w:t>política</w:t>
      </w:r>
      <w:r>
        <w:rPr>
          <w:spacing w:val="-9"/>
          <w:sz w:val="14"/>
        </w:rPr>
        <w:t xml:space="preserve"> </w:t>
      </w:r>
      <w:r>
        <w:rPr>
          <w:sz w:val="14"/>
        </w:rPr>
        <w:t>general</w:t>
      </w:r>
      <w:r>
        <w:rPr>
          <w:spacing w:val="-9"/>
          <w:sz w:val="14"/>
        </w:rPr>
        <w:t xml:space="preserve"> </w:t>
      </w:r>
      <w:r>
        <w:rPr>
          <w:sz w:val="14"/>
        </w:rPr>
        <w:t>No.</w:t>
      </w:r>
      <w:r>
        <w:rPr>
          <w:spacing w:val="-8"/>
          <w:sz w:val="14"/>
        </w:rPr>
        <w:t xml:space="preserve"> </w:t>
      </w:r>
      <w:r>
        <w:rPr>
          <w:sz w:val="14"/>
        </w:rPr>
        <w:t>2</w:t>
      </w:r>
      <w:r>
        <w:rPr>
          <w:spacing w:val="-9"/>
          <w:sz w:val="14"/>
        </w:rPr>
        <w:t xml:space="preserve"> </w:t>
      </w:r>
      <w:r>
        <w:rPr>
          <w:sz w:val="14"/>
        </w:rPr>
        <w:t>de</w:t>
      </w:r>
      <w:r>
        <w:rPr>
          <w:spacing w:val="-9"/>
          <w:sz w:val="14"/>
        </w:rPr>
        <w:t xml:space="preserve"> </w:t>
      </w:r>
      <w:r>
        <w:rPr>
          <w:sz w:val="14"/>
        </w:rPr>
        <w:t>la</w:t>
      </w:r>
      <w:r>
        <w:rPr>
          <w:spacing w:val="-9"/>
          <w:sz w:val="14"/>
        </w:rPr>
        <w:t xml:space="preserve"> </w:t>
      </w:r>
      <w:r>
        <w:rPr>
          <w:sz w:val="14"/>
        </w:rPr>
        <w:t>ECRI”,</w:t>
      </w:r>
      <w:r>
        <w:rPr>
          <w:spacing w:val="-9"/>
          <w:sz w:val="14"/>
        </w:rPr>
        <w:t xml:space="preserve"> </w:t>
      </w:r>
      <w:r>
        <w:rPr>
          <w:sz w:val="14"/>
        </w:rPr>
        <w:t>párr.</w:t>
      </w:r>
      <w:r>
        <w:rPr>
          <w:spacing w:val="-8"/>
          <w:sz w:val="14"/>
        </w:rPr>
        <w:t xml:space="preserve"> </w:t>
      </w:r>
      <w:r>
        <w:rPr>
          <w:spacing w:val="-5"/>
          <w:sz w:val="14"/>
        </w:rPr>
        <w:t>13.</w:t>
      </w:r>
    </w:p>
    <w:p w14:paraId="7315FB99" w14:textId="77777777" w:rsidR="0014798C" w:rsidRDefault="0014798C">
      <w:pPr>
        <w:pStyle w:val="Textoindependiente"/>
        <w:rPr>
          <w:sz w:val="18"/>
        </w:rPr>
      </w:pPr>
    </w:p>
    <w:p w14:paraId="2D621418" w14:textId="77777777" w:rsidR="0014798C" w:rsidRDefault="0014798C">
      <w:pPr>
        <w:pStyle w:val="Textoindependiente"/>
        <w:rPr>
          <w:sz w:val="18"/>
        </w:rPr>
      </w:pPr>
    </w:p>
    <w:p w14:paraId="26A9ABC5" w14:textId="77777777" w:rsidR="0014798C" w:rsidRDefault="0014798C">
      <w:pPr>
        <w:pStyle w:val="Textoindependiente"/>
        <w:spacing w:before="23"/>
        <w:rPr>
          <w:sz w:val="18"/>
        </w:rPr>
      </w:pPr>
    </w:p>
    <w:p w14:paraId="562F703E" w14:textId="77777777" w:rsidR="0014798C" w:rsidRDefault="004E1F0B">
      <w:pPr>
        <w:ind w:right="701"/>
        <w:jc w:val="right"/>
        <w:rPr>
          <w:sz w:val="18"/>
        </w:rPr>
      </w:pPr>
      <w:r>
        <w:rPr>
          <w:spacing w:val="-5"/>
          <w:w w:val="105"/>
          <w:sz w:val="18"/>
        </w:rPr>
        <w:t>109</w:t>
      </w:r>
    </w:p>
    <w:p w14:paraId="74F1E5E5" w14:textId="77777777" w:rsidR="0014798C" w:rsidRDefault="0014798C">
      <w:pPr>
        <w:jc w:val="right"/>
        <w:rPr>
          <w:sz w:val="18"/>
        </w:rPr>
        <w:sectPr w:rsidR="0014798C" w:rsidSect="00F265E4">
          <w:pgSz w:w="11900" w:h="16820"/>
          <w:pgMar w:top="340" w:right="0" w:bottom="280" w:left="200" w:header="121" w:footer="0" w:gutter="0"/>
          <w:cols w:space="720"/>
        </w:sectPr>
      </w:pPr>
    </w:p>
    <w:p w14:paraId="7F0D6731" w14:textId="77777777" w:rsidR="0014798C" w:rsidRDefault="0014798C">
      <w:pPr>
        <w:pStyle w:val="Textoindependiente"/>
        <w:spacing w:before="85"/>
        <w:rPr>
          <w:sz w:val="12"/>
        </w:rPr>
      </w:pPr>
    </w:p>
    <w:p w14:paraId="403CBD4F" w14:textId="77777777" w:rsidR="0014798C" w:rsidRDefault="004E1F0B">
      <w:pPr>
        <w:ind w:left="1111"/>
        <w:rPr>
          <w:sz w:val="12"/>
        </w:rPr>
      </w:pPr>
      <w:r>
        <w:rPr>
          <w:color w:val="00AC59"/>
          <w:sz w:val="12"/>
        </w:rPr>
        <w:t>PROTECCIÓN</w:t>
      </w:r>
      <w:r>
        <w:rPr>
          <w:color w:val="00AC59"/>
          <w:spacing w:val="6"/>
          <w:sz w:val="12"/>
        </w:rPr>
        <w:t xml:space="preserve"> </w:t>
      </w:r>
      <w:r>
        <w:rPr>
          <w:color w:val="00AC59"/>
          <w:sz w:val="12"/>
        </w:rPr>
        <w:t>DE</w:t>
      </w:r>
      <w:r>
        <w:rPr>
          <w:color w:val="00AC59"/>
          <w:spacing w:val="7"/>
          <w:sz w:val="12"/>
        </w:rPr>
        <w:t xml:space="preserve"> </w:t>
      </w:r>
      <w:r>
        <w:rPr>
          <w:color w:val="00AC59"/>
          <w:sz w:val="12"/>
        </w:rPr>
        <w:t>LOS</w:t>
      </w:r>
      <w:r>
        <w:rPr>
          <w:color w:val="00AC59"/>
          <w:spacing w:val="8"/>
          <w:sz w:val="12"/>
        </w:rPr>
        <w:t xml:space="preserve"> </w:t>
      </w:r>
      <w:r>
        <w:rPr>
          <w:color w:val="00AC59"/>
          <w:sz w:val="12"/>
        </w:rPr>
        <w:t>DERECHOS</w:t>
      </w:r>
      <w:r>
        <w:rPr>
          <w:color w:val="00AC59"/>
          <w:spacing w:val="8"/>
          <w:sz w:val="12"/>
        </w:rPr>
        <w:t xml:space="preserve"> </w:t>
      </w:r>
      <w:r>
        <w:rPr>
          <w:color w:val="00AC59"/>
          <w:sz w:val="12"/>
        </w:rPr>
        <w:t>DE</w:t>
      </w:r>
      <w:r>
        <w:rPr>
          <w:color w:val="00AC59"/>
          <w:spacing w:val="6"/>
          <w:sz w:val="12"/>
        </w:rPr>
        <w:t xml:space="preserve"> </w:t>
      </w:r>
      <w:r>
        <w:rPr>
          <w:color w:val="00AC59"/>
          <w:sz w:val="12"/>
        </w:rPr>
        <w:t>LAS</w:t>
      </w:r>
      <w:r>
        <w:rPr>
          <w:color w:val="00AC59"/>
          <w:spacing w:val="7"/>
          <w:sz w:val="12"/>
        </w:rPr>
        <w:t xml:space="preserve"> </w:t>
      </w:r>
      <w:r>
        <w:rPr>
          <w:color w:val="00AC59"/>
          <w:sz w:val="12"/>
        </w:rPr>
        <w:t>MINORÍAS:</w:t>
      </w:r>
      <w:r>
        <w:rPr>
          <w:color w:val="00AC59"/>
          <w:spacing w:val="8"/>
          <w:sz w:val="12"/>
        </w:rPr>
        <w:t xml:space="preserve"> </w:t>
      </w:r>
      <w:r>
        <w:rPr>
          <w:color w:val="00AC59"/>
          <w:sz w:val="12"/>
        </w:rPr>
        <w:t>una</w:t>
      </w:r>
      <w:r>
        <w:rPr>
          <w:color w:val="00AC59"/>
          <w:spacing w:val="7"/>
          <w:sz w:val="12"/>
        </w:rPr>
        <w:t xml:space="preserve"> </w:t>
      </w:r>
      <w:r>
        <w:rPr>
          <w:color w:val="00AC59"/>
          <w:sz w:val="12"/>
        </w:rPr>
        <w:t>guía</w:t>
      </w:r>
      <w:r>
        <w:rPr>
          <w:color w:val="00AC59"/>
          <w:spacing w:val="6"/>
          <w:sz w:val="12"/>
        </w:rPr>
        <w:t xml:space="preserve"> </w:t>
      </w:r>
      <w:r>
        <w:rPr>
          <w:color w:val="00AC59"/>
          <w:sz w:val="12"/>
        </w:rPr>
        <w:t>práctica</w:t>
      </w:r>
      <w:r>
        <w:rPr>
          <w:color w:val="00AC59"/>
          <w:spacing w:val="7"/>
          <w:sz w:val="12"/>
        </w:rPr>
        <w:t xml:space="preserve"> </w:t>
      </w:r>
      <w:r>
        <w:rPr>
          <w:color w:val="00AC59"/>
          <w:sz w:val="12"/>
        </w:rPr>
        <w:t>para</w:t>
      </w:r>
      <w:r>
        <w:rPr>
          <w:color w:val="00AC59"/>
          <w:spacing w:val="8"/>
          <w:sz w:val="12"/>
        </w:rPr>
        <w:t xml:space="preserve"> </w:t>
      </w:r>
      <w:r>
        <w:rPr>
          <w:color w:val="00AC59"/>
          <w:sz w:val="12"/>
        </w:rPr>
        <w:t>desarrollar</w:t>
      </w:r>
      <w:r>
        <w:rPr>
          <w:color w:val="00AC59"/>
          <w:spacing w:val="6"/>
          <w:sz w:val="12"/>
        </w:rPr>
        <w:t xml:space="preserve"> </w:t>
      </w:r>
      <w:r>
        <w:rPr>
          <w:color w:val="00AC59"/>
          <w:sz w:val="12"/>
        </w:rPr>
        <w:t>una</w:t>
      </w:r>
      <w:r>
        <w:rPr>
          <w:color w:val="00AC59"/>
          <w:spacing w:val="7"/>
          <w:sz w:val="12"/>
        </w:rPr>
        <w:t xml:space="preserve"> </w:t>
      </w:r>
      <w:r>
        <w:rPr>
          <w:color w:val="00AC59"/>
          <w:sz w:val="12"/>
        </w:rPr>
        <w:t>legislación</w:t>
      </w:r>
      <w:r>
        <w:rPr>
          <w:color w:val="00AC59"/>
          <w:spacing w:val="8"/>
          <w:sz w:val="12"/>
        </w:rPr>
        <w:t xml:space="preserve"> </w:t>
      </w:r>
      <w:r>
        <w:rPr>
          <w:color w:val="00AC59"/>
          <w:sz w:val="12"/>
        </w:rPr>
        <w:t>integral</w:t>
      </w:r>
      <w:r>
        <w:rPr>
          <w:color w:val="00AC59"/>
          <w:spacing w:val="7"/>
          <w:sz w:val="12"/>
        </w:rPr>
        <w:t xml:space="preserve"> </w:t>
      </w:r>
      <w:r>
        <w:rPr>
          <w:color w:val="00AC59"/>
          <w:sz w:val="12"/>
        </w:rPr>
        <w:t>contra</w:t>
      </w:r>
      <w:r>
        <w:rPr>
          <w:color w:val="00AC59"/>
          <w:spacing w:val="6"/>
          <w:sz w:val="12"/>
        </w:rPr>
        <w:t xml:space="preserve"> </w:t>
      </w:r>
      <w:r>
        <w:rPr>
          <w:color w:val="00AC59"/>
          <w:sz w:val="12"/>
        </w:rPr>
        <w:t>la</w:t>
      </w:r>
      <w:r>
        <w:rPr>
          <w:color w:val="00AC59"/>
          <w:spacing w:val="7"/>
          <w:sz w:val="12"/>
        </w:rPr>
        <w:t xml:space="preserve"> </w:t>
      </w:r>
      <w:r>
        <w:rPr>
          <w:color w:val="00AC59"/>
          <w:spacing w:val="-2"/>
          <w:sz w:val="12"/>
        </w:rPr>
        <w:t>discriminación</w:t>
      </w:r>
    </w:p>
    <w:p w14:paraId="753758F0" w14:textId="77777777" w:rsidR="0014798C" w:rsidRDefault="0014798C">
      <w:pPr>
        <w:pStyle w:val="Textoindependiente"/>
        <w:rPr>
          <w:sz w:val="15"/>
        </w:rPr>
      </w:pPr>
    </w:p>
    <w:p w14:paraId="675BD5D6" w14:textId="77777777" w:rsidR="0014798C" w:rsidRDefault="0014798C">
      <w:pPr>
        <w:pStyle w:val="Textoindependiente"/>
        <w:rPr>
          <w:sz w:val="15"/>
        </w:rPr>
      </w:pPr>
    </w:p>
    <w:p w14:paraId="49276D40" w14:textId="77777777" w:rsidR="0014798C" w:rsidRDefault="0014798C">
      <w:pPr>
        <w:pStyle w:val="Textoindependiente"/>
        <w:rPr>
          <w:sz w:val="15"/>
        </w:rPr>
      </w:pPr>
    </w:p>
    <w:p w14:paraId="0897096B" w14:textId="77777777" w:rsidR="0014798C" w:rsidRDefault="0014798C">
      <w:pPr>
        <w:pStyle w:val="Textoindependiente"/>
        <w:rPr>
          <w:sz w:val="15"/>
        </w:rPr>
      </w:pPr>
    </w:p>
    <w:p w14:paraId="25510731" w14:textId="77777777" w:rsidR="0014798C" w:rsidRDefault="0014798C">
      <w:pPr>
        <w:pStyle w:val="Textoindependiente"/>
        <w:spacing w:before="117"/>
        <w:rPr>
          <w:sz w:val="15"/>
        </w:rPr>
      </w:pPr>
    </w:p>
    <w:p w14:paraId="308DBAEB" w14:textId="77777777" w:rsidR="0014798C" w:rsidRDefault="004E1F0B">
      <w:pPr>
        <w:spacing w:line="348" w:lineRule="auto"/>
        <w:ind w:left="1900" w:right="1840" w:hanging="337"/>
        <w:rPr>
          <w:sz w:val="15"/>
        </w:rPr>
      </w:pPr>
      <w:r>
        <w:rPr>
          <w:noProof/>
        </w:rPr>
        <w:drawing>
          <wp:anchor distT="0" distB="0" distL="0" distR="0" simplePos="0" relativeHeight="251658443" behindDoc="1" locked="0" layoutInCell="1" allowOverlap="1" wp14:anchorId="47EE88F7" wp14:editId="250935FD">
            <wp:simplePos x="0" y="0"/>
            <wp:positionH relativeFrom="page">
              <wp:posOffset>795184</wp:posOffset>
            </wp:positionH>
            <wp:positionV relativeFrom="paragraph">
              <wp:posOffset>-148389</wp:posOffset>
            </wp:positionV>
            <wp:extent cx="5961638" cy="7804954"/>
            <wp:effectExtent l="0" t="0" r="0" b="0"/>
            <wp:wrapNone/>
            <wp:docPr id="236" name="Image 23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36" name="Image 236"/>
                    <pic:cNvPicPr/>
                  </pic:nvPicPr>
                  <pic:blipFill>
                    <a:blip r:embed="rId214" cstate="print"/>
                    <a:stretch>
                      <a:fillRect/>
                    </a:stretch>
                  </pic:blipFill>
                  <pic:spPr>
                    <a:xfrm>
                      <a:off x="0" y="0"/>
                      <a:ext cx="5961638" cy="7804954"/>
                    </a:xfrm>
                    <a:prstGeom prst="rect">
                      <a:avLst/>
                    </a:prstGeom>
                  </pic:spPr>
                </pic:pic>
              </a:graphicData>
            </a:graphic>
          </wp:anchor>
        </w:drawing>
      </w:r>
      <w:r>
        <w:rPr>
          <w:w w:val="105"/>
          <w:sz w:val="15"/>
        </w:rPr>
        <w:t>mi.</w:t>
      </w:r>
      <w:r>
        <w:rPr>
          <w:spacing w:val="-9"/>
          <w:w w:val="105"/>
          <w:sz w:val="15"/>
        </w:rPr>
        <w:t xml:space="preserve"> </w:t>
      </w:r>
      <w:r>
        <w:rPr>
          <w:w w:val="105"/>
          <w:sz w:val="15"/>
        </w:rPr>
        <w:t>Fomentar</w:t>
      </w:r>
      <w:r>
        <w:rPr>
          <w:spacing w:val="-9"/>
          <w:w w:val="105"/>
          <w:sz w:val="15"/>
        </w:rPr>
        <w:t xml:space="preserve"> </w:t>
      </w:r>
      <w:r>
        <w:rPr>
          <w:w w:val="105"/>
          <w:sz w:val="15"/>
        </w:rPr>
        <w:t>en</w:t>
      </w:r>
      <w:r>
        <w:rPr>
          <w:spacing w:val="-9"/>
          <w:w w:val="105"/>
          <w:sz w:val="15"/>
        </w:rPr>
        <w:t xml:space="preserve"> </w:t>
      </w:r>
      <w:r>
        <w:rPr>
          <w:w w:val="105"/>
          <w:sz w:val="15"/>
        </w:rPr>
        <w:t>toda</w:t>
      </w:r>
      <w:r>
        <w:rPr>
          <w:spacing w:val="-9"/>
          <w:w w:val="105"/>
          <w:sz w:val="15"/>
        </w:rPr>
        <w:t xml:space="preserve"> </w:t>
      </w:r>
      <w:r>
        <w:rPr>
          <w:w w:val="105"/>
          <w:sz w:val="15"/>
        </w:rPr>
        <w:t>la</w:t>
      </w:r>
      <w:r>
        <w:rPr>
          <w:spacing w:val="-9"/>
          <w:w w:val="105"/>
          <w:sz w:val="15"/>
        </w:rPr>
        <w:t xml:space="preserve"> </w:t>
      </w:r>
      <w:r>
        <w:rPr>
          <w:w w:val="105"/>
          <w:sz w:val="15"/>
        </w:rPr>
        <w:t>sociedad</w:t>
      </w:r>
      <w:r>
        <w:rPr>
          <w:spacing w:val="-9"/>
          <w:w w:val="105"/>
          <w:sz w:val="15"/>
        </w:rPr>
        <w:t xml:space="preserve"> </w:t>
      </w:r>
      <w:r>
        <w:rPr>
          <w:w w:val="105"/>
          <w:sz w:val="15"/>
        </w:rPr>
        <w:t>la</w:t>
      </w:r>
      <w:r>
        <w:rPr>
          <w:spacing w:val="-9"/>
          <w:w w:val="105"/>
          <w:sz w:val="15"/>
        </w:rPr>
        <w:t xml:space="preserve"> </w:t>
      </w:r>
      <w:r>
        <w:rPr>
          <w:w w:val="105"/>
          <w:sz w:val="15"/>
        </w:rPr>
        <w:t>conciencia,</w:t>
      </w:r>
      <w:r>
        <w:rPr>
          <w:spacing w:val="-8"/>
          <w:w w:val="105"/>
          <w:sz w:val="15"/>
        </w:rPr>
        <w:t xml:space="preserve"> </w:t>
      </w:r>
      <w:r>
        <w:rPr>
          <w:w w:val="105"/>
          <w:sz w:val="15"/>
        </w:rPr>
        <w:t>el</w:t>
      </w:r>
      <w:r>
        <w:rPr>
          <w:spacing w:val="-9"/>
          <w:w w:val="105"/>
          <w:sz w:val="15"/>
        </w:rPr>
        <w:t xml:space="preserve"> </w:t>
      </w:r>
      <w:r>
        <w:rPr>
          <w:w w:val="105"/>
          <w:sz w:val="15"/>
        </w:rPr>
        <w:t>conocimiento,</w:t>
      </w:r>
      <w:r>
        <w:rPr>
          <w:spacing w:val="-8"/>
          <w:w w:val="105"/>
          <w:sz w:val="15"/>
        </w:rPr>
        <w:t xml:space="preserve"> </w:t>
      </w:r>
      <w:r>
        <w:rPr>
          <w:w w:val="105"/>
          <w:sz w:val="15"/>
        </w:rPr>
        <w:t>la</w:t>
      </w:r>
      <w:r>
        <w:rPr>
          <w:spacing w:val="-9"/>
          <w:w w:val="105"/>
          <w:sz w:val="15"/>
        </w:rPr>
        <w:t xml:space="preserve"> </w:t>
      </w:r>
      <w:r>
        <w:rPr>
          <w:w w:val="105"/>
          <w:sz w:val="15"/>
        </w:rPr>
        <w:t>valoración</w:t>
      </w:r>
      <w:r>
        <w:rPr>
          <w:spacing w:val="-9"/>
          <w:w w:val="105"/>
          <w:sz w:val="15"/>
        </w:rPr>
        <w:t xml:space="preserve"> </w:t>
      </w:r>
      <w:r>
        <w:rPr>
          <w:w w:val="105"/>
          <w:sz w:val="15"/>
        </w:rPr>
        <w:t>y</w:t>
      </w:r>
      <w:r>
        <w:rPr>
          <w:spacing w:val="-9"/>
          <w:w w:val="105"/>
          <w:sz w:val="15"/>
        </w:rPr>
        <w:t xml:space="preserve"> </w:t>
      </w:r>
      <w:r>
        <w:rPr>
          <w:w w:val="105"/>
          <w:sz w:val="15"/>
        </w:rPr>
        <w:t>el</w:t>
      </w:r>
      <w:r>
        <w:rPr>
          <w:spacing w:val="-9"/>
          <w:w w:val="105"/>
          <w:sz w:val="15"/>
        </w:rPr>
        <w:t xml:space="preserve"> </w:t>
      </w:r>
      <w:r>
        <w:rPr>
          <w:w w:val="105"/>
          <w:sz w:val="15"/>
        </w:rPr>
        <w:t>respeto</w:t>
      </w:r>
      <w:r>
        <w:rPr>
          <w:spacing w:val="-9"/>
          <w:w w:val="105"/>
          <w:sz w:val="15"/>
        </w:rPr>
        <w:t xml:space="preserve"> </w:t>
      </w:r>
      <w:r>
        <w:rPr>
          <w:w w:val="105"/>
          <w:sz w:val="15"/>
        </w:rPr>
        <w:t>por</w:t>
      </w:r>
      <w:r>
        <w:rPr>
          <w:spacing w:val="-9"/>
          <w:w w:val="105"/>
          <w:sz w:val="15"/>
        </w:rPr>
        <w:t xml:space="preserve"> </w:t>
      </w:r>
      <w:r>
        <w:rPr>
          <w:w w:val="105"/>
          <w:sz w:val="15"/>
        </w:rPr>
        <w:t>la</w:t>
      </w:r>
      <w:r>
        <w:rPr>
          <w:spacing w:val="-9"/>
          <w:w w:val="105"/>
          <w:sz w:val="15"/>
        </w:rPr>
        <w:t xml:space="preserve"> </w:t>
      </w:r>
      <w:r>
        <w:rPr>
          <w:w w:val="105"/>
          <w:sz w:val="15"/>
        </w:rPr>
        <w:t>igualdad,</w:t>
      </w:r>
      <w:r>
        <w:rPr>
          <w:spacing w:val="-8"/>
          <w:w w:val="105"/>
          <w:sz w:val="15"/>
        </w:rPr>
        <w:t xml:space="preserve"> </w:t>
      </w:r>
      <w:r>
        <w:rPr>
          <w:w w:val="105"/>
          <w:sz w:val="15"/>
        </w:rPr>
        <w:t>la</w:t>
      </w:r>
      <w:r>
        <w:rPr>
          <w:spacing w:val="-9"/>
          <w:w w:val="105"/>
          <w:sz w:val="15"/>
        </w:rPr>
        <w:t xml:space="preserve"> </w:t>
      </w:r>
      <w:r>
        <w:rPr>
          <w:w w:val="105"/>
          <w:sz w:val="15"/>
        </w:rPr>
        <w:t>diversidad, la</w:t>
      </w:r>
      <w:r>
        <w:rPr>
          <w:spacing w:val="-1"/>
          <w:w w:val="105"/>
          <w:sz w:val="15"/>
        </w:rPr>
        <w:t xml:space="preserve"> </w:t>
      </w:r>
      <w:r>
        <w:rPr>
          <w:w w:val="105"/>
          <w:sz w:val="15"/>
        </w:rPr>
        <w:t>legislación</w:t>
      </w:r>
      <w:r>
        <w:rPr>
          <w:spacing w:val="-1"/>
          <w:w w:val="105"/>
          <w:sz w:val="15"/>
        </w:rPr>
        <w:t xml:space="preserve"> </w:t>
      </w:r>
      <w:r>
        <w:rPr>
          <w:w w:val="105"/>
          <w:sz w:val="15"/>
        </w:rPr>
        <w:t>sobre</w:t>
      </w:r>
      <w:r>
        <w:rPr>
          <w:spacing w:val="-1"/>
          <w:w w:val="105"/>
          <w:sz w:val="15"/>
        </w:rPr>
        <w:t xml:space="preserve"> </w:t>
      </w:r>
      <w:r>
        <w:rPr>
          <w:w w:val="105"/>
          <w:sz w:val="15"/>
        </w:rPr>
        <w:t>igualdad</w:t>
      </w:r>
      <w:r>
        <w:rPr>
          <w:spacing w:val="-1"/>
          <w:w w:val="105"/>
          <w:sz w:val="15"/>
        </w:rPr>
        <w:t xml:space="preserve"> </w:t>
      </w:r>
      <w:r>
        <w:rPr>
          <w:w w:val="105"/>
          <w:sz w:val="15"/>
        </w:rPr>
        <w:t>de</w:t>
      </w:r>
      <w:r>
        <w:rPr>
          <w:spacing w:val="-1"/>
          <w:w w:val="105"/>
          <w:sz w:val="15"/>
        </w:rPr>
        <w:t xml:space="preserve"> </w:t>
      </w:r>
      <w:r>
        <w:rPr>
          <w:w w:val="105"/>
          <w:sz w:val="15"/>
        </w:rPr>
        <w:t>trato,</w:t>
      </w:r>
      <w:r>
        <w:rPr>
          <w:spacing w:val="-1"/>
          <w:w w:val="105"/>
          <w:sz w:val="15"/>
        </w:rPr>
        <w:t xml:space="preserve"> </w:t>
      </w:r>
      <w:r>
        <w:rPr>
          <w:w w:val="105"/>
          <w:sz w:val="15"/>
        </w:rPr>
        <w:t>la</w:t>
      </w:r>
      <w:r>
        <w:rPr>
          <w:spacing w:val="-1"/>
          <w:w w:val="105"/>
          <w:sz w:val="15"/>
        </w:rPr>
        <w:t xml:space="preserve"> </w:t>
      </w:r>
      <w:r>
        <w:rPr>
          <w:w w:val="105"/>
          <w:sz w:val="15"/>
        </w:rPr>
        <w:t>no</w:t>
      </w:r>
      <w:r>
        <w:rPr>
          <w:spacing w:val="-1"/>
          <w:w w:val="105"/>
          <w:sz w:val="15"/>
        </w:rPr>
        <w:t xml:space="preserve"> </w:t>
      </w:r>
      <w:r>
        <w:rPr>
          <w:w w:val="105"/>
          <w:sz w:val="15"/>
        </w:rPr>
        <w:t>discriminación</w:t>
      </w:r>
      <w:r>
        <w:rPr>
          <w:spacing w:val="-1"/>
          <w:w w:val="105"/>
          <w:sz w:val="15"/>
        </w:rPr>
        <w:t xml:space="preserve"> </w:t>
      </w:r>
      <w:r>
        <w:rPr>
          <w:w w:val="105"/>
          <w:sz w:val="15"/>
        </w:rPr>
        <w:t>y</w:t>
      </w:r>
      <w:r>
        <w:rPr>
          <w:spacing w:val="-1"/>
          <w:w w:val="105"/>
          <w:sz w:val="15"/>
        </w:rPr>
        <w:t xml:space="preserve"> </w:t>
      </w:r>
      <w:r>
        <w:rPr>
          <w:w w:val="105"/>
          <w:sz w:val="15"/>
        </w:rPr>
        <w:t>el</w:t>
      </w:r>
      <w:r>
        <w:rPr>
          <w:spacing w:val="-1"/>
          <w:w w:val="105"/>
          <w:sz w:val="15"/>
        </w:rPr>
        <w:t xml:space="preserve"> </w:t>
      </w:r>
      <w:r>
        <w:rPr>
          <w:w w:val="105"/>
          <w:sz w:val="15"/>
        </w:rPr>
        <w:t>entendimiento</w:t>
      </w:r>
      <w:r>
        <w:rPr>
          <w:spacing w:val="-1"/>
          <w:w w:val="105"/>
          <w:sz w:val="15"/>
        </w:rPr>
        <w:t xml:space="preserve"> </w:t>
      </w:r>
      <w:r>
        <w:rPr>
          <w:w w:val="105"/>
          <w:sz w:val="15"/>
        </w:rPr>
        <w:t>mutuo.</w:t>
      </w:r>
    </w:p>
    <w:p w14:paraId="48489439" w14:textId="77777777" w:rsidR="0014798C" w:rsidRDefault="004E1F0B">
      <w:pPr>
        <w:spacing w:before="112" w:line="348" w:lineRule="auto"/>
        <w:ind w:left="1905" w:right="2004" w:hanging="343"/>
        <w:rPr>
          <w:sz w:val="15"/>
        </w:rPr>
      </w:pPr>
      <w:r>
        <w:rPr>
          <w:w w:val="105"/>
          <w:sz w:val="15"/>
        </w:rPr>
        <w:t>F.</w:t>
      </w:r>
      <w:r>
        <w:rPr>
          <w:spacing w:val="-3"/>
          <w:w w:val="105"/>
          <w:sz w:val="15"/>
        </w:rPr>
        <w:t xml:space="preserve"> </w:t>
      </w:r>
      <w:r>
        <w:rPr>
          <w:w w:val="105"/>
          <w:sz w:val="15"/>
        </w:rPr>
        <w:t>Construir,</w:t>
      </w:r>
      <w:r>
        <w:rPr>
          <w:spacing w:val="-2"/>
          <w:w w:val="105"/>
          <w:sz w:val="15"/>
        </w:rPr>
        <w:t xml:space="preserve"> </w:t>
      </w:r>
      <w:r>
        <w:rPr>
          <w:w w:val="105"/>
          <w:sz w:val="15"/>
        </w:rPr>
        <w:t>entre</w:t>
      </w:r>
      <w:r>
        <w:rPr>
          <w:spacing w:val="-3"/>
          <w:w w:val="105"/>
          <w:sz w:val="15"/>
        </w:rPr>
        <w:t xml:space="preserve"> </w:t>
      </w:r>
      <w:r>
        <w:rPr>
          <w:w w:val="105"/>
          <w:sz w:val="15"/>
        </w:rPr>
        <w:t>los</w:t>
      </w:r>
      <w:r>
        <w:rPr>
          <w:spacing w:val="-3"/>
          <w:w w:val="105"/>
          <w:sz w:val="15"/>
        </w:rPr>
        <w:t xml:space="preserve"> </w:t>
      </w:r>
      <w:r>
        <w:rPr>
          <w:w w:val="105"/>
          <w:sz w:val="15"/>
        </w:rPr>
        <w:t>grupos</w:t>
      </w:r>
      <w:r>
        <w:rPr>
          <w:spacing w:val="-3"/>
          <w:w w:val="105"/>
          <w:sz w:val="15"/>
        </w:rPr>
        <w:t xml:space="preserve"> </w:t>
      </w:r>
      <w:r>
        <w:rPr>
          <w:w w:val="105"/>
          <w:sz w:val="15"/>
        </w:rPr>
        <w:t>que</w:t>
      </w:r>
      <w:r>
        <w:rPr>
          <w:spacing w:val="-3"/>
          <w:w w:val="105"/>
          <w:sz w:val="15"/>
        </w:rPr>
        <w:t xml:space="preserve"> </w:t>
      </w:r>
      <w:r>
        <w:rPr>
          <w:w w:val="105"/>
          <w:sz w:val="15"/>
        </w:rPr>
        <w:t>sufren</w:t>
      </w:r>
      <w:r>
        <w:rPr>
          <w:spacing w:val="-3"/>
          <w:w w:val="105"/>
          <w:sz w:val="15"/>
        </w:rPr>
        <w:t xml:space="preserve"> </w:t>
      </w:r>
      <w:r>
        <w:rPr>
          <w:w w:val="105"/>
          <w:sz w:val="15"/>
        </w:rPr>
        <w:t>discriminación</w:t>
      </w:r>
      <w:r>
        <w:rPr>
          <w:spacing w:val="-3"/>
          <w:w w:val="105"/>
          <w:sz w:val="15"/>
        </w:rPr>
        <w:t xml:space="preserve"> </w:t>
      </w:r>
      <w:r>
        <w:rPr>
          <w:w w:val="105"/>
          <w:sz w:val="15"/>
        </w:rPr>
        <w:t>e</w:t>
      </w:r>
      <w:r>
        <w:rPr>
          <w:spacing w:val="-3"/>
          <w:w w:val="105"/>
          <w:sz w:val="15"/>
        </w:rPr>
        <w:t xml:space="preserve"> </w:t>
      </w:r>
      <w:r>
        <w:rPr>
          <w:w w:val="105"/>
          <w:sz w:val="15"/>
        </w:rPr>
        <w:t>intolerancia,</w:t>
      </w:r>
      <w:r>
        <w:rPr>
          <w:spacing w:val="-2"/>
          <w:w w:val="105"/>
          <w:sz w:val="15"/>
        </w:rPr>
        <w:t xml:space="preserve"> </w:t>
      </w:r>
      <w:r>
        <w:rPr>
          <w:w w:val="105"/>
          <w:sz w:val="15"/>
        </w:rPr>
        <w:t>conocimiento</w:t>
      </w:r>
      <w:r>
        <w:rPr>
          <w:spacing w:val="-3"/>
          <w:w w:val="105"/>
          <w:sz w:val="15"/>
        </w:rPr>
        <w:t xml:space="preserve"> </w:t>
      </w:r>
      <w:r>
        <w:rPr>
          <w:w w:val="105"/>
          <w:sz w:val="15"/>
        </w:rPr>
        <w:t>sobre</w:t>
      </w:r>
      <w:r>
        <w:rPr>
          <w:spacing w:val="-3"/>
          <w:w w:val="105"/>
          <w:sz w:val="15"/>
        </w:rPr>
        <w:t xml:space="preserve"> </w:t>
      </w:r>
      <w:r>
        <w:rPr>
          <w:w w:val="105"/>
          <w:sz w:val="15"/>
        </w:rPr>
        <w:t>los</w:t>
      </w:r>
      <w:r>
        <w:rPr>
          <w:spacing w:val="-3"/>
          <w:w w:val="105"/>
          <w:sz w:val="15"/>
        </w:rPr>
        <w:t xml:space="preserve"> </w:t>
      </w:r>
      <w:r>
        <w:rPr>
          <w:w w:val="105"/>
          <w:sz w:val="15"/>
        </w:rPr>
        <w:t>derechos</w:t>
      </w:r>
      <w:r>
        <w:rPr>
          <w:spacing w:val="-3"/>
          <w:w w:val="105"/>
          <w:sz w:val="15"/>
        </w:rPr>
        <w:t xml:space="preserve"> </w:t>
      </w:r>
      <w:r>
        <w:rPr>
          <w:w w:val="105"/>
          <w:sz w:val="15"/>
        </w:rPr>
        <w:t>y</w:t>
      </w:r>
      <w:r>
        <w:rPr>
          <w:spacing w:val="-3"/>
          <w:w w:val="105"/>
          <w:sz w:val="15"/>
        </w:rPr>
        <w:t xml:space="preserve"> </w:t>
      </w:r>
      <w:r>
        <w:rPr>
          <w:w w:val="105"/>
          <w:sz w:val="15"/>
        </w:rPr>
        <w:t>recursos establecidos</w:t>
      </w:r>
      <w:r>
        <w:rPr>
          <w:spacing w:val="-9"/>
          <w:w w:val="105"/>
          <w:sz w:val="15"/>
        </w:rPr>
        <w:t xml:space="preserve"> </w:t>
      </w:r>
      <w:r>
        <w:rPr>
          <w:w w:val="105"/>
          <w:sz w:val="15"/>
        </w:rPr>
        <w:t>en</w:t>
      </w:r>
      <w:r>
        <w:rPr>
          <w:spacing w:val="-9"/>
          <w:w w:val="105"/>
          <w:sz w:val="15"/>
        </w:rPr>
        <w:t xml:space="preserve"> </w:t>
      </w:r>
      <w:r>
        <w:rPr>
          <w:w w:val="105"/>
          <w:sz w:val="15"/>
        </w:rPr>
        <w:t>la</w:t>
      </w:r>
      <w:r>
        <w:rPr>
          <w:spacing w:val="-9"/>
          <w:w w:val="105"/>
          <w:sz w:val="15"/>
        </w:rPr>
        <w:t xml:space="preserve"> </w:t>
      </w:r>
      <w:r>
        <w:rPr>
          <w:w w:val="105"/>
          <w:sz w:val="15"/>
        </w:rPr>
        <w:t>legislación</w:t>
      </w:r>
      <w:r>
        <w:rPr>
          <w:spacing w:val="-9"/>
          <w:w w:val="105"/>
          <w:sz w:val="15"/>
        </w:rPr>
        <w:t xml:space="preserve"> </w:t>
      </w:r>
      <w:r>
        <w:rPr>
          <w:w w:val="105"/>
          <w:sz w:val="15"/>
        </w:rPr>
        <w:t>sobre</w:t>
      </w:r>
      <w:r>
        <w:rPr>
          <w:spacing w:val="-9"/>
          <w:w w:val="105"/>
          <w:sz w:val="15"/>
        </w:rPr>
        <w:t xml:space="preserve"> </w:t>
      </w:r>
      <w:r>
        <w:rPr>
          <w:w w:val="105"/>
          <w:sz w:val="15"/>
        </w:rPr>
        <w:t>igualdad</w:t>
      </w:r>
      <w:r>
        <w:rPr>
          <w:spacing w:val="-9"/>
          <w:w w:val="105"/>
          <w:sz w:val="15"/>
        </w:rPr>
        <w:t xml:space="preserve"> </w:t>
      </w:r>
      <w:r>
        <w:rPr>
          <w:w w:val="105"/>
          <w:sz w:val="15"/>
        </w:rPr>
        <w:t>de</w:t>
      </w:r>
      <w:r>
        <w:rPr>
          <w:spacing w:val="-9"/>
          <w:w w:val="105"/>
          <w:sz w:val="15"/>
        </w:rPr>
        <w:t xml:space="preserve"> </w:t>
      </w:r>
      <w:r>
        <w:rPr>
          <w:w w:val="105"/>
          <w:sz w:val="15"/>
        </w:rPr>
        <w:t>trato,</w:t>
      </w:r>
      <w:r>
        <w:rPr>
          <w:spacing w:val="-9"/>
          <w:w w:val="105"/>
          <w:sz w:val="15"/>
        </w:rPr>
        <w:t xml:space="preserve"> </w:t>
      </w:r>
      <w:r>
        <w:rPr>
          <w:w w:val="105"/>
          <w:sz w:val="15"/>
        </w:rPr>
        <w:t>capacidad</w:t>
      </w:r>
      <w:r>
        <w:rPr>
          <w:spacing w:val="-9"/>
          <w:w w:val="105"/>
          <w:sz w:val="15"/>
        </w:rPr>
        <w:t xml:space="preserve"> </w:t>
      </w:r>
      <w:r>
        <w:rPr>
          <w:w w:val="105"/>
          <w:sz w:val="15"/>
        </w:rPr>
        <w:t>para</w:t>
      </w:r>
      <w:r>
        <w:rPr>
          <w:spacing w:val="-9"/>
          <w:w w:val="105"/>
          <w:sz w:val="15"/>
        </w:rPr>
        <w:t xml:space="preserve"> </w:t>
      </w:r>
      <w:r>
        <w:rPr>
          <w:w w:val="105"/>
          <w:sz w:val="15"/>
        </w:rPr>
        <w:t>ejercer</w:t>
      </w:r>
      <w:r>
        <w:rPr>
          <w:spacing w:val="-9"/>
          <w:w w:val="105"/>
          <w:sz w:val="15"/>
        </w:rPr>
        <w:t xml:space="preserve"> </w:t>
      </w:r>
      <w:r>
        <w:rPr>
          <w:w w:val="105"/>
          <w:sz w:val="15"/>
        </w:rPr>
        <w:t>estos</w:t>
      </w:r>
      <w:r>
        <w:rPr>
          <w:spacing w:val="-9"/>
          <w:w w:val="105"/>
          <w:sz w:val="15"/>
        </w:rPr>
        <w:t xml:space="preserve"> </w:t>
      </w:r>
      <w:r>
        <w:rPr>
          <w:w w:val="105"/>
          <w:sz w:val="15"/>
        </w:rPr>
        <w:t>derechos</w:t>
      </w:r>
      <w:r>
        <w:rPr>
          <w:spacing w:val="-9"/>
          <w:w w:val="105"/>
          <w:sz w:val="15"/>
        </w:rPr>
        <w:t xml:space="preserve"> </w:t>
      </w:r>
      <w:r>
        <w:rPr>
          <w:w w:val="105"/>
          <w:sz w:val="15"/>
        </w:rPr>
        <w:t>y</w:t>
      </w:r>
      <w:r>
        <w:rPr>
          <w:spacing w:val="-9"/>
          <w:w w:val="105"/>
          <w:sz w:val="15"/>
        </w:rPr>
        <w:t xml:space="preserve"> </w:t>
      </w:r>
      <w:r>
        <w:rPr>
          <w:w w:val="105"/>
          <w:sz w:val="15"/>
        </w:rPr>
        <w:t>confianza</w:t>
      </w:r>
      <w:r>
        <w:rPr>
          <w:spacing w:val="-9"/>
          <w:w w:val="105"/>
          <w:sz w:val="15"/>
        </w:rPr>
        <w:t xml:space="preserve"> </w:t>
      </w:r>
      <w:r>
        <w:rPr>
          <w:w w:val="105"/>
          <w:sz w:val="15"/>
        </w:rPr>
        <w:t>en</w:t>
      </w:r>
      <w:r>
        <w:rPr>
          <w:spacing w:val="-9"/>
          <w:w w:val="105"/>
          <w:sz w:val="15"/>
        </w:rPr>
        <w:t xml:space="preserve"> </w:t>
      </w:r>
      <w:r>
        <w:rPr>
          <w:w w:val="105"/>
          <w:sz w:val="15"/>
        </w:rPr>
        <w:t>los órganos de igualdad.</w:t>
      </w:r>
    </w:p>
    <w:p w14:paraId="236B3A28" w14:textId="77777777" w:rsidR="0014798C" w:rsidRDefault="004E1F0B">
      <w:pPr>
        <w:spacing w:before="113" w:line="348" w:lineRule="auto"/>
        <w:ind w:left="1901" w:right="1781" w:hanging="340"/>
        <w:rPr>
          <w:sz w:val="15"/>
        </w:rPr>
      </w:pPr>
      <w:r>
        <w:rPr>
          <w:w w:val="105"/>
          <w:sz w:val="15"/>
        </w:rPr>
        <w:t>gramo.</w:t>
      </w:r>
      <w:r>
        <w:rPr>
          <w:spacing w:val="-2"/>
          <w:w w:val="105"/>
          <w:sz w:val="15"/>
        </w:rPr>
        <w:t xml:space="preserve"> </w:t>
      </w:r>
      <w:r>
        <w:rPr>
          <w:w w:val="105"/>
          <w:sz w:val="15"/>
        </w:rPr>
        <w:t>Desarrollar</w:t>
      </w:r>
      <w:r>
        <w:rPr>
          <w:spacing w:val="-2"/>
          <w:w w:val="105"/>
          <w:sz w:val="15"/>
        </w:rPr>
        <w:t xml:space="preserve"> </w:t>
      </w:r>
      <w:r>
        <w:rPr>
          <w:w w:val="105"/>
          <w:sz w:val="15"/>
        </w:rPr>
        <w:t>estándares</w:t>
      </w:r>
      <w:r>
        <w:rPr>
          <w:spacing w:val="-2"/>
          <w:w w:val="105"/>
          <w:sz w:val="15"/>
        </w:rPr>
        <w:t xml:space="preserve"> </w:t>
      </w:r>
      <w:r>
        <w:rPr>
          <w:w w:val="105"/>
          <w:sz w:val="15"/>
        </w:rPr>
        <w:t>y</w:t>
      </w:r>
      <w:r>
        <w:rPr>
          <w:spacing w:val="-2"/>
          <w:w w:val="105"/>
          <w:sz w:val="15"/>
        </w:rPr>
        <w:t xml:space="preserve"> </w:t>
      </w:r>
      <w:r>
        <w:rPr>
          <w:w w:val="105"/>
          <w:sz w:val="15"/>
        </w:rPr>
        <w:t>brindar</w:t>
      </w:r>
      <w:r>
        <w:rPr>
          <w:spacing w:val="-2"/>
          <w:w w:val="105"/>
          <w:sz w:val="15"/>
        </w:rPr>
        <w:t xml:space="preserve"> </w:t>
      </w:r>
      <w:r>
        <w:rPr>
          <w:w w:val="105"/>
          <w:sz w:val="15"/>
        </w:rPr>
        <w:t>información,</w:t>
      </w:r>
      <w:r>
        <w:rPr>
          <w:spacing w:val="-1"/>
          <w:w w:val="105"/>
          <w:sz w:val="15"/>
        </w:rPr>
        <w:t xml:space="preserve"> </w:t>
      </w:r>
      <w:r>
        <w:rPr>
          <w:w w:val="105"/>
          <w:sz w:val="15"/>
        </w:rPr>
        <w:t>asesoramiento,</w:t>
      </w:r>
      <w:r>
        <w:rPr>
          <w:spacing w:val="-1"/>
          <w:w w:val="105"/>
          <w:sz w:val="15"/>
        </w:rPr>
        <w:t xml:space="preserve"> </w:t>
      </w:r>
      <w:r>
        <w:rPr>
          <w:w w:val="105"/>
          <w:sz w:val="15"/>
        </w:rPr>
        <w:t>orientación</w:t>
      </w:r>
      <w:r>
        <w:rPr>
          <w:spacing w:val="-2"/>
          <w:w w:val="105"/>
          <w:sz w:val="15"/>
        </w:rPr>
        <w:t xml:space="preserve"> </w:t>
      </w:r>
      <w:r>
        <w:rPr>
          <w:w w:val="105"/>
          <w:sz w:val="15"/>
        </w:rPr>
        <w:t>y</w:t>
      </w:r>
      <w:r>
        <w:rPr>
          <w:spacing w:val="-2"/>
          <w:w w:val="105"/>
          <w:sz w:val="15"/>
        </w:rPr>
        <w:t xml:space="preserve"> </w:t>
      </w:r>
      <w:r>
        <w:rPr>
          <w:w w:val="105"/>
          <w:sz w:val="15"/>
        </w:rPr>
        <w:t>apoyo</w:t>
      </w:r>
      <w:r>
        <w:rPr>
          <w:spacing w:val="-2"/>
          <w:w w:val="105"/>
          <w:sz w:val="15"/>
        </w:rPr>
        <w:t xml:space="preserve"> </w:t>
      </w:r>
      <w:r>
        <w:rPr>
          <w:w w:val="105"/>
          <w:sz w:val="15"/>
        </w:rPr>
        <w:t>a</w:t>
      </w:r>
      <w:r>
        <w:rPr>
          <w:spacing w:val="-2"/>
          <w:w w:val="105"/>
          <w:sz w:val="15"/>
        </w:rPr>
        <w:t xml:space="preserve"> </w:t>
      </w:r>
      <w:r>
        <w:rPr>
          <w:w w:val="105"/>
          <w:sz w:val="15"/>
        </w:rPr>
        <w:t>personas</w:t>
      </w:r>
      <w:r>
        <w:rPr>
          <w:spacing w:val="-2"/>
          <w:w w:val="105"/>
          <w:sz w:val="15"/>
        </w:rPr>
        <w:t xml:space="preserve"> </w:t>
      </w:r>
      <w:r>
        <w:rPr>
          <w:w w:val="105"/>
          <w:sz w:val="15"/>
        </w:rPr>
        <w:t>e</w:t>
      </w:r>
      <w:r>
        <w:rPr>
          <w:spacing w:val="-2"/>
          <w:w w:val="105"/>
          <w:sz w:val="15"/>
        </w:rPr>
        <w:t xml:space="preserve"> </w:t>
      </w:r>
      <w:r>
        <w:rPr>
          <w:w w:val="105"/>
          <w:sz w:val="15"/>
        </w:rPr>
        <w:t>instituciones</w:t>
      </w:r>
      <w:r>
        <w:rPr>
          <w:spacing w:val="-3"/>
          <w:w w:val="105"/>
          <w:sz w:val="15"/>
        </w:rPr>
        <w:t xml:space="preserve"> </w:t>
      </w:r>
      <w:r>
        <w:rPr>
          <w:w w:val="105"/>
          <w:sz w:val="15"/>
        </w:rPr>
        <w:t>de los</w:t>
      </w:r>
      <w:r>
        <w:rPr>
          <w:spacing w:val="-9"/>
          <w:w w:val="105"/>
          <w:sz w:val="15"/>
        </w:rPr>
        <w:t xml:space="preserve"> </w:t>
      </w:r>
      <w:r>
        <w:rPr>
          <w:w w:val="105"/>
          <w:sz w:val="15"/>
        </w:rPr>
        <w:t>sectores</w:t>
      </w:r>
      <w:r>
        <w:rPr>
          <w:spacing w:val="-9"/>
          <w:w w:val="105"/>
          <w:sz w:val="15"/>
        </w:rPr>
        <w:t xml:space="preserve"> </w:t>
      </w:r>
      <w:r>
        <w:rPr>
          <w:w w:val="105"/>
          <w:sz w:val="15"/>
        </w:rPr>
        <w:t>público</w:t>
      </w:r>
      <w:r>
        <w:rPr>
          <w:spacing w:val="-9"/>
          <w:w w:val="105"/>
          <w:sz w:val="15"/>
        </w:rPr>
        <w:t xml:space="preserve"> </w:t>
      </w:r>
      <w:r>
        <w:rPr>
          <w:w w:val="105"/>
          <w:sz w:val="15"/>
        </w:rPr>
        <w:t>y</w:t>
      </w:r>
      <w:r>
        <w:rPr>
          <w:spacing w:val="-9"/>
          <w:w w:val="105"/>
          <w:sz w:val="15"/>
        </w:rPr>
        <w:t xml:space="preserve"> </w:t>
      </w:r>
      <w:r>
        <w:rPr>
          <w:w w:val="105"/>
          <w:sz w:val="15"/>
        </w:rPr>
        <w:t>privado</w:t>
      </w:r>
      <w:r>
        <w:rPr>
          <w:spacing w:val="-9"/>
          <w:w w:val="105"/>
          <w:sz w:val="15"/>
        </w:rPr>
        <w:t xml:space="preserve"> </w:t>
      </w:r>
      <w:r>
        <w:rPr>
          <w:w w:val="105"/>
          <w:sz w:val="15"/>
        </w:rPr>
        <w:t>sobre</w:t>
      </w:r>
      <w:r>
        <w:rPr>
          <w:spacing w:val="-9"/>
          <w:w w:val="105"/>
          <w:sz w:val="15"/>
        </w:rPr>
        <w:t xml:space="preserve"> </w:t>
      </w:r>
      <w:r>
        <w:rPr>
          <w:w w:val="105"/>
          <w:sz w:val="15"/>
        </w:rPr>
        <w:t>buenas</w:t>
      </w:r>
      <w:r>
        <w:rPr>
          <w:spacing w:val="-9"/>
          <w:w w:val="105"/>
          <w:sz w:val="15"/>
        </w:rPr>
        <w:t xml:space="preserve"> </w:t>
      </w:r>
      <w:r>
        <w:rPr>
          <w:w w:val="105"/>
          <w:sz w:val="15"/>
        </w:rPr>
        <w:t>prácticas</w:t>
      </w:r>
      <w:r>
        <w:rPr>
          <w:spacing w:val="-9"/>
          <w:w w:val="105"/>
          <w:sz w:val="15"/>
        </w:rPr>
        <w:t xml:space="preserve"> </w:t>
      </w:r>
      <w:r>
        <w:rPr>
          <w:w w:val="105"/>
          <w:sz w:val="15"/>
        </w:rPr>
        <w:t>para</w:t>
      </w:r>
      <w:r>
        <w:rPr>
          <w:spacing w:val="-9"/>
          <w:w w:val="105"/>
          <w:sz w:val="15"/>
        </w:rPr>
        <w:t xml:space="preserve"> </w:t>
      </w:r>
      <w:r>
        <w:rPr>
          <w:w w:val="105"/>
          <w:sz w:val="15"/>
        </w:rPr>
        <w:t>promover</w:t>
      </w:r>
      <w:r>
        <w:rPr>
          <w:spacing w:val="-9"/>
          <w:w w:val="105"/>
          <w:sz w:val="15"/>
        </w:rPr>
        <w:t xml:space="preserve"> </w:t>
      </w:r>
      <w:r>
        <w:rPr>
          <w:w w:val="105"/>
          <w:sz w:val="15"/>
        </w:rPr>
        <w:t>y</w:t>
      </w:r>
      <w:r>
        <w:rPr>
          <w:spacing w:val="-9"/>
          <w:w w:val="105"/>
          <w:sz w:val="15"/>
        </w:rPr>
        <w:t xml:space="preserve"> </w:t>
      </w:r>
      <w:r>
        <w:rPr>
          <w:w w:val="105"/>
          <w:sz w:val="15"/>
        </w:rPr>
        <w:t>lograr</w:t>
      </w:r>
      <w:r>
        <w:rPr>
          <w:spacing w:val="-9"/>
          <w:w w:val="105"/>
          <w:sz w:val="15"/>
        </w:rPr>
        <w:t xml:space="preserve"> </w:t>
      </w:r>
      <w:r>
        <w:rPr>
          <w:w w:val="105"/>
          <w:sz w:val="15"/>
        </w:rPr>
        <w:t>la</w:t>
      </w:r>
      <w:r>
        <w:rPr>
          <w:spacing w:val="-9"/>
          <w:w w:val="105"/>
          <w:sz w:val="15"/>
        </w:rPr>
        <w:t xml:space="preserve"> </w:t>
      </w:r>
      <w:r>
        <w:rPr>
          <w:w w:val="105"/>
          <w:sz w:val="15"/>
        </w:rPr>
        <w:t>igualdad</w:t>
      </w:r>
      <w:r>
        <w:rPr>
          <w:spacing w:val="-9"/>
          <w:w w:val="105"/>
          <w:sz w:val="15"/>
        </w:rPr>
        <w:t xml:space="preserve"> </w:t>
      </w:r>
      <w:r>
        <w:rPr>
          <w:w w:val="105"/>
          <w:sz w:val="15"/>
        </w:rPr>
        <w:t>y</w:t>
      </w:r>
      <w:r>
        <w:rPr>
          <w:spacing w:val="-9"/>
          <w:w w:val="105"/>
          <w:sz w:val="15"/>
        </w:rPr>
        <w:t xml:space="preserve"> </w:t>
      </w:r>
      <w:r>
        <w:rPr>
          <w:w w:val="105"/>
          <w:sz w:val="15"/>
        </w:rPr>
        <w:t>prevenir</w:t>
      </w:r>
      <w:r>
        <w:rPr>
          <w:spacing w:val="-9"/>
          <w:w w:val="105"/>
          <w:sz w:val="15"/>
        </w:rPr>
        <w:t xml:space="preserve"> </w:t>
      </w:r>
      <w:r>
        <w:rPr>
          <w:w w:val="105"/>
          <w:sz w:val="15"/>
        </w:rPr>
        <w:t>la</w:t>
      </w:r>
      <w:r>
        <w:rPr>
          <w:spacing w:val="-9"/>
          <w:w w:val="105"/>
          <w:sz w:val="15"/>
        </w:rPr>
        <w:t xml:space="preserve"> </w:t>
      </w:r>
      <w:r>
        <w:rPr>
          <w:w w:val="105"/>
          <w:sz w:val="15"/>
        </w:rPr>
        <w:t>discriminación y la intolerancia.</w:t>
      </w:r>
    </w:p>
    <w:p w14:paraId="63A2D623" w14:textId="77777777" w:rsidR="0014798C" w:rsidRDefault="004E1F0B">
      <w:pPr>
        <w:pStyle w:val="Prrafodelista"/>
        <w:numPr>
          <w:ilvl w:val="0"/>
          <w:numId w:val="33"/>
        </w:numPr>
        <w:tabs>
          <w:tab w:val="left" w:pos="1732"/>
        </w:tabs>
        <w:spacing w:before="112"/>
        <w:ind w:left="1732" w:hanging="171"/>
        <w:rPr>
          <w:sz w:val="15"/>
        </w:rPr>
      </w:pPr>
      <w:r>
        <w:rPr>
          <w:w w:val="105"/>
          <w:sz w:val="15"/>
        </w:rPr>
        <w:t>Promover</w:t>
      </w:r>
      <w:r>
        <w:rPr>
          <w:spacing w:val="-10"/>
          <w:w w:val="105"/>
          <w:sz w:val="15"/>
        </w:rPr>
        <w:t xml:space="preserve"> </w:t>
      </w:r>
      <w:r>
        <w:rPr>
          <w:w w:val="105"/>
          <w:sz w:val="15"/>
        </w:rPr>
        <w:t>y</w:t>
      </w:r>
      <w:r>
        <w:rPr>
          <w:spacing w:val="-10"/>
          <w:w w:val="105"/>
          <w:sz w:val="15"/>
        </w:rPr>
        <w:t xml:space="preserve"> </w:t>
      </w:r>
      <w:r>
        <w:rPr>
          <w:w w:val="105"/>
          <w:sz w:val="15"/>
        </w:rPr>
        <w:t>apoyar</w:t>
      </w:r>
      <w:r>
        <w:rPr>
          <w:spacing w:val="-9"/>
          <w:w w:val="105"/>
          <w:sz w:val="15"/>
        </w:rPr>
        <w:t xml:space="preserve"> </w:t>
      </w:r>
      <w:r>
        <w:rPr>
          <w:w w:val="105"/>
          <w:sz w:val="15"/>
        </w:rPr>
        <w:t>el</w:t>
      </w:r>
      <w:r>
        <w:rPr>
          <w:spacing w:val="-10"/>
          <w:w w:val="105"/>
          <w:sz w:val="15"/>
        </w:rPr>
        <w:t xml:space="preserve"> </w:t>
      </w:r>
      <w:r>
        <w:rPr>
          <w:w w:val="105"/>
          <w:sz w:val="15"/>
        </w:rPr>
        <w:t>uso</w:t>
      </w:r>
      <w:r>
        <w:rPr>
          <w:spacing w:val="-10"/>
          <w:w w:val="105"/>
          <w:sz w:val="15"/>
        </w:rPr>
        <w:t xml:space="preserve"> </w:t>
      </w:r>
      <w:r>
        <w:rPr>
          <w:w w:val="105"/>
          <w:sz w:val="15"/>
        </w:rPr>
        <w:t>de</w:t>
      </w:r>
      <w:r>
        <w:rPr>
          <w:spacing w:val="-9"/>
          <w:w w:val="105"/>
          <w:sz w:val="15"/>
        </w:rPr>
        <w:t xml:space="preserve"> </w:t>
      </w:r>
      <w:r>
        <w:rPr>
          <w:w w:val="105"/>
          <w:sz w:val="15"/>
        </w:rPr>
        <w:t>acciones</w:t>
      </w:r>
      <w:r>
        <w:rPr>
          <w:spacing w:val="-10"/>
          <w:w w:val="105"/>
          <w:sz w:val="15"/>
        </w:rPr>
        <w:t xml:space="preserve"> </w:t>
      </w:r>
      <w:r>
        <w:rPr>
          <w:w w:val="105"/>
          <w:sz w:val="15"/>
        </w:rPr>
        <w:t>positivas</w:t>
      </w:r>
      <w:r>
        <w:rPr>
          <w:spacing w:val="-9"/>
          <w:w w:val="105"/>
          <w:sz w:val="15"/>
        </w:rPr>
        <w:t xml:space="preserve"> </w:t>
      </w:r>
      <w:r>
        <w:rPr>
          <w:w w:val="105"/>
          <w:sz w:val="15"/>
        </w:rPr>
        <w:t>para</w:t>
      </w:r>
      <w:r>
        <w:rPr>
          <w:spacing w:val="-10"/>
          <w:w w:val="105"/>
          <w:sz w:val="15"/>
        </w:rPr>
        <w:t xml:space="preserve"> </w:t>
      </w:r>
      <w:r>
        <w:rPr>
          <w:w w:val="105"/>
          <w:sz w:val="15"/>
        </w:rPr>
        <w:t>remediar</w:t>
      </w:r>
      <w:r>
        <w:rPr>
          <w:spacing w:val="-10"/>
          <w:w w:val="105"/>
          <w:sz w:val="15"/>
        </w:rPr>
        <w:t xml:space="preserve"> </w:t>
      </w:r>
      <w:r>
        <w:rPr>
          <w:w w:val="105"/>
          <w:sz w:val="15"/>
        </w:rPr>
        <w:t>la</w:t>
      </w:r>
      <w:r>
        <w:rPr>
          <w:spacing w:val="-9"/>
          <w:w w:val="105"/>
          <w:sz w:val="15"/>
        </w:rPr>
        <w:t xml:space="preserve"> </w:t>
      </w:r>
      <w:r>
        <w:rPr>
          <w:w w:val="105"/>
          <w:sz w:val="15"/>
        </w:rPr>
        <w:t>desigualdad</w:t>
      </w:r>
      <w:r>
        <w:rPr>
          <w:spacing w:val="-10"/>
          <w:w w:val="105"/>
          <w:sz w:val="15"/>
        </w:rPr>
        <w:t xml:space="preserve"> </w:t>
      </w:r>
      <w:r>
        <w:rPr>
          <w:w w:val="105"/>
          <w:sz w:val="15"/>
        </w:rPr>
        <w:t>en</w:t>
      </w:r>
      <w:r>
        <w:rPr>
          <w:spacing w:val="-9"/>
          <w:w w:val="105"/>
          <w:sz w:val="15"/>
        </w:rPr>
        <w:t xml:space="preserve"> </w:t>
      </w:r>
      <w:r>
        <w:rPr>
          <w:w w:val="105"/>
          <w:sz w:val="15"/>
        </w:rPr>
        <w:t>el</w:t>
      </w:r>
      <w:r>
        <w:rPr>
          <w:spacing w:val="-10"/>
          <w:w w:val="105"/>
          <w:sz w:val="15"/>
        </w:rPr>
        <w:t xml:space="preserve"> </w:t>
      </w:r>
      <w:r>
        <w:rPr>
          <w:w w:val="105"/>
          <w:sz w:val="15"/>
        </w:rPr>
        <w:t>sector</w:t>
      </w:r>
      <w:r>
        <w:rPr>
          <w:spacing w:val="-10"/>
          <w:w w:val="105"/>
          <w:sz w:val="15"/>
        </w:rPr>
        <w:t xml:space="preserve"> </w:t>
      </w:r>
      <w:r>
        <w:rPr>
          <w:w w:val="105"/>
          <w:sz w:val="15"/>
        </w:rPr>
        <w:t>público</w:t>
      </w:r>
      <w:r>
        <w:rPr>
          <w:spacing w:val="-9"/>
          <w:w w:val="105"/>
          <w:sz w:val="15"/>
        </w:rPr>
        <w:t xml:space="preserve"> </w:t>
      </w:r>
      <w:r>
        <w:rPr>
          <w:w w:val="105"/>
          <w:sz w:val="15"/>
        </w:rPr>
        <w:t>y</w:t>
      </w:r>
      <w:r>
        <w:rPr>
          <w:spacing w:val="-10"/>
          <w:w w:val="105"/>
          <w:sz w:val="15"/>
        </w:rPr>
        <w:t xml:space="preserve"> </w:t>
      </w:r>
      <w:r>
        <w:rPr>
          <w:spacing w:val="-2"/>
          <w:w w:val="105"/>
          <w:sz w:val="15"/>
        </w:rPr>
        <w:t>privado.</w:t>
      </w:r>
    </w:p>
    <w:p w14:paraId="78FDF319" w14:textId="77777777" w:rsidR="0014798C" w:rsidRDefault="004E1F0B">
      <w:pPr>
        <w:pStyle w:val="Textoindependiente"/>
        <w:spacing w:before="25"/>
        <w:ind w:left="1905"/>
      </w:pPr>
      <w:r>
        <w:rPr>
          <w:spacing w:val="-2"/>
        </w:rPr>
        <w:t>sectores.</w:t>
      </w:r>
    </w:p>
    <w:p w14:paraId="416405FC" w14:textId="77777777" w:rsidR="0014798C" w:rsidRDefault="0014798C">
      <w:pPr>
        <w:pStyle w:val="Textoindependiente"/>
        <w:spacing w:before="58"/>
        <w:rPr>
          <w:sz w:val="15"/>
        </w:rPr>
      </w:pPr>
    </w:p>
    <w:p w14:paraId="354670C9" w14:textId="77777777" w:rsidR="0014798C" w:rsidRDefault="004E1F0B">
      <w:pPr>
        <w:pStyle w:val="Prrafodelista"/>
        <w:numPr>
          <w:ilvl w:val="0"/>
          <w:numId w:val="33"/>
        </w:numPr>
        <w:tabs>
          <w:tab w:val="left" w:pos="1680"/>
        </w:tabs>
        <w:spacing w:before="1"/>
        <w:ind w:left="1680" w:hanging="119"/>
        <w:rPr>
          <w:sz w:val="15"/>
        </w:rPr>
      </w:pPr>
      <w:r>
        <w:rPr>
          <w:w w:val="105"/>
          <w:sz w:val="15"/>
        </w:rPr>
        <w:t>Apoyar</w:t>
      </w:r>
      <w:r>
        <w:rPr>
          <w:spacing w:val="-11"/>
          <w:w w:val="105"/>
          <w:sz w:val="15"/>
        </w:rPr>
        <w:t xml:space="preserve"> </w:t>
      </w:r>
      <w:r>
        <w:rPr>
          <w:w w:val="105"/>
          <w:sz w:val="15"/>
        </w:rPr>
        <w:t>la</w:t>
      </w:r>
      <w:r>
        <w:rPr>
          <w:spacing w:val="-11"/>
          <w:w w:val="105"/>
          <w:sz w:val="15"/>
        </w:rPr>
        <w:t xml:space="preserve"> </w:t>
      </w:r>
      <w:r>
        <w:rPr>
          <w:w w:val="105"/>
          <w:sz w:val="15"/>
        </w:rPr>
        <w:t>implementación</w:t>
      </w:r>
      <w:r>
        <w:rPr>
          <w:spacing w:val="-11"/>
          <w:w w:val="105"/>
          <w:sz w:val="15"/>
        </w:rPr>
        <w:t xml:space="preserve"> </w:t>
      </w:r>
      <w:r>
        <w:rPr>
          <w:w w:val="105"/>
          <w:sz w:val="15"/>
        </w:rPr>
        <w:t>del</w:t>
      </w:r>
      <w:r>
        <w:rPr>
          <w:spacing w:val="-11"/>
          <w:w w:val="105"/>
          <w:sz w:val="15"/>
        </w:rPr>
        <w:t xml:space="preserve"> </w:t>
      </w:r>
      <w:r>
        <w:rPr>
          <w:w w:val="105"/>
          <w:sz w:val="15"/>
        </w:rPr>
        <w:t>deber</w:t>
      </w:r>
      <w:r>
        <w:rPr>
          <w:spacing w:val="-10"/>
          <w:w w:val="105"/>
          <w:sz w:val="15"/>
        </w:rPr>
        <w:t xml:space="preserve"> </w:t>
      </w:r>
      <w:r>
        <w:rPr>
          <w:w w:val="105"/>
          <w:sz w:val="15"/>
        </w:rPr>
        <w:t>general</w:t>
      </w:r>
      <w:r>
        <w:rPr>
          <w:spacing w:val="-11"/>
          <w:w w:val="105"/>
          <w:sz w:val="15"/>
        </w:rPr>
        <w:t xml:space="preserve"> </w:t>
      </w:r>
      <w:r>
        <w:rPr>
          <w:w w:val="105"/>
          <w:sz w:val="15"/>
        </w:rPr>
        <w:t>de</w:t>
      </w:r>
      <w:r>
        <w:rPr>
          <w:spacing w:val="-11"/>
          <w:w w:val="105"/>
          <w:sz w:val="15"/>
        </w:rPr>
        <w:t xml:space="preserve"> </w:t>
      </w:r>
      <w:r>
        <w:rPr>
          <w:w w:val="105"/>
          <w:sz w:val="15"/>
        </w:rPr>
        <w:t>todas</w:t>
      </w:r>
      <w:r>
        <w:rPr>
          <w:spacing w:val="-11"/>
          <w:w w:val="105"/>
          <w:sz w:val="15"/>
        </w:rPr>
        <w:t xml:space="preserve"> </w:t>
      </w:r>
      <w:r>
        <w:rPr>
          <w:w w:val="105"/>
          <w:sz w:val="15"/>
        </w:rPr>
        <w:t>las</w:t>
      </w:r>
      <w:r>
        <w:rPr>
          <w:spacing w:val="-11"/>
          <w:w w:val="105"/>
          <w:sz w:val="15"/>
        </w:rPr>
        <w:t xml:space="preserve"> </w:t>
      </w:r>
      <w:r>
        <w:rPr>
          <w:w w:val="105"/>
          <w:sz w:val="15"/>
        </w:rPr>
        <w:t>autoridades</w:t>
      </w:r>
      <w:r>
        <w:rPr>
          <w:spacing w:val="-10"/>
          <w:w w:val="105"/>
          <w:sz w:val="15"/>
        </w:rPr>
        <w:t xml:space="preserve"> </w:t>
      </w:r>
      <w:r>
        <w:rPr>
          <w:w w:val="105"/>
          <w:sz w:val="15"/>
        </w:rPr>
        <w:t>de</w:t>
      </w:r>
      <w:r>
        <w:rPr>
          <w:spacing w:val="-11"/>
          <w:w w:val="105"/>
          <w:sz w:val="15"/>
        </w:rPr>
        <w:t xml:space="preserve"> </w:t>
      </w:r>
      <w:r>
        <w:rPr>
          <w:w w:val="105"/>
          <w:sz w:val="15"/>
        </w:rPr>
        <w:t>promover</w:t>
      </w:r>
      <w:r>
        <w:rPr>
          <w:spacing w:val="-11"/>
          <w:w w:val="105"/>
          <w:sz w:val="15"/>
        </w:rPr>
        <w:t xml:space="preserve"> </w:t>
      </w:r>
      <w:r>
        <w:rPr>
          <w:w w:val="105"/>
          <w:sz w:val="15"/>
        </w:rPr>
        <w:t>la</w:t>
      </w:r>
      <w:r>
        <w:rPr>
          <w:spacing w:val="-11"/>
          <w:w w:val="105"/>
          <w:sz w:val="15"/>
        </w:rPr>
        <w:t xml:space="preserve"> </w:t>
      </w:r>
      <w:r>
        <w:rPr>
          <w:w w:val="105"/>
          <w:sz w:val="15"/>
        </w:rPr>
        <w:t>igualdad</w:t>
      </w:r>
      <w:r>
        <w:rPr>
          <w:spacing w:val="-11"/>
          <w:w w:val="105"/>
          <w:sz w:val="15"/>
        </w:rPr>
        <w:t xml:space="preserve"> </w:t>
      </w:r>
      <w:r>
        <w:rPr>
          <w:w w:val="105"/>
          <w:sz w:val="15"/>
        </w:rPr>
        <w:t>y</w:t>
      </w:r>
      <w:r>
        <w:rPr>
          <w:spacing w:val="-10"/>
          <w:w w:val="105"/>
          <w:sz w:val="15"/>
        </w:rPr>
        <w:t xml:space="preserve"> </w:t>
      </w:r>
      <w:r>
        <w:rPr>
          <w:w w:val="105"/>
          <w:sz w:val="15"/>
        </w:rPr>
        <w:t>evitar</w:t>
      </w:r>
      <w:r>
        <w:rPr>
          <w:spacing w:val="-11"/>
          <w:w w:val="105"/>
          <w:sz w:val="15"/>
        </w:rPr>
        <w:t xml:space="preserve"> </w:t>
      </w:r>
      <w:r>
        <w:rPr>
          <w:spacing w:val="-2"/>
          <w:w w:val="105"/>
          <w:sz w:val="15"/>
        </w:rPr>
        <w:t>establecer</w:t>
      </w:r>
    </w:p>
    <w:p w14:paraId="6A61997F" w14:textId="77777777" w:rsidR="0014798C" w:rsidRDefault="0014798C">
      <w:pPr>
        <w:rPr>
          <w:sz w:val="15"/>
        </w:rPr>
        <w:sectPr w:rsidR="0014798C" w:rsidSect="00F265E4">
          <w:pgSz w:w="11900" w:h="16820"/>
          <w:pgMar w:top="340" w:right="0" w:bottom="280" w:left="200" w:header="121" w:footer="0" w:gutter="0"/>
          <w:cols w:space="720"/>
        </w:sectPr>
      </w:pPr>
    </w:p>
    <w:p w14:paraId="3D4A8C1B" w14:textId="77777777" w:rsidR="0014798C" w:rsidRDefault="004E1F0B">
      <w:pPr>
        <w:spacing w:before="77" w:line="348" w:lineRule="auto"/>
        <w:ind w:left="1905" w:hanging="2"/>
        <w:rPr>
          <w:sz w:val="15"/>
        </w:rPr>
      </w:pPr>
      <w:r>
        <w:rPr>
          <w:w w:val="105"/>
          <w:sz w:val="15"/>
        </w:rPr>
        <w:t>discriminación</w:t>
      </w:r>
      <w:r>
        <w:rPr>
          <w:spacing w:val="-10"/>
          <w:w w:val="105"/>
          <w:sz w:val="15"/>
        </w:rPr>
        <w:t xml:space="preserve"> </w:t>
      </w:r>
      <w:r>
        <w:rPr>
          <w:w w:val="105"/>
          <w:sz w:val="15"/>
        </w:rPr>
        <w:t>en</w:t>
      </w:r>
      <w:r>
        <w:rPr>
          <w:spacing w:val="-10"/>
          <w:w w:val="105"/>
          <w:sz w:val="15"/>
        </w:rPr>
        <w:t xml:space="preserve"> </w:t>
      </w:r>
      <w:r>
        <w:rPr>
          <w:w w:val="105"/>
          <w:sz w:val="15"/>
        </w:rPr>
        <w:t>el</w:t>
      </w:r>
      <w:r>
        <w:rPr>
          <w:spacing w:val="-10"/>
          <w:w w:val="105"/>
          <w:sz w:val="15"/>
        </w:rPr>
        <w:t xml:space="preserve"> </w:t>
      </w:r>
      <w:r>
        <w:rPr>
          <w:w w:val="105"/>
          <w:sz w:val="15"/>
        </w:rPr>
        <w:t>ejercicio</w:t>
      </w:r>
      <w:r>
        <w:rPr>
          <w:spacing w:val="-10"/>
          <w:w w:val="105"/>
          <w:sz w:val="15"/>
        </w:rPr>
        <w:t xml:space="preserve"> </w:t>
      </w:r>
      <w:r>
        <w:rPr>
          <w:w w:val="105"/>
          <w:sz w:val="15"/>
        </w:rPr>
        <w:t>de</w:t>
      </w:r>
      <w:r>
        <w:rPr>
          <w:spacing w:val="-10"/>
          <w:w w:val="105"/>
          <w:sz w:val="15"/>
        </w:rPr>
        <w:t xml:space="preserve"> </w:t>
      </w:r>
      <w:r>
        <w:rPr>
          <w:w w:val="105"/>
          <w:sz w:val="15"/>
        </w:rPr>
        <w:t>sus</w:t>
      </w:r>
      <w:r>
        <w:rPr>
          <w:spacing w:val="-10"/>
          <w:w w:val="105"/>
          <w:sz w:val="15"/>
        </w:rPr>
        <w:t xml:space="preserve"> </w:t>
      </w:r>
      <w:r>
        <w:rPr>
          <w:w w:val="105"/>
          <w:sz w:val="15"/>
        </w:rPr>
        <w:t>funciones</w:t>
      </w:r>
      <w:r>
        <w:rPr>
          <w:spacing w:val="-10"/>
          <w:w w:val="105"/>
          <w:sz w:val="15"/>
        </w:rPr>
        <w:t xml:space="preserve"> </w:t>
      </w:r>
      <w:r>
        <w:rPr>
          <w:w w:val="105"/>
          <w:sz w:val="15"/>
        </w:rPr>
        <w:t>y,</w:t>
      </w:r>
      <w:r>
        <w:rPr>
          <w:spacing w:val="-10"/>
          <w:w w:val="105"/>
          <w:sz w:val="15"/>
        </w:rPr>
        <w:t xml:space="preserve"> </w:t>
      </w:r>
      <w:r>
        <w:rPr>
          <w:w w:val="105"/>
          <w:sz w:val="15"/>
        </w:rPr>
        <w:t>en</w:t>
      </w:r>
      <w:r>
        <w:rPr>
          <w:spacing w:val="-10"/>
          <w:w w:val="105"/>
          <w:sz w:val="15"/>
        </w:rPr>
        <w:t xml:space="preserve"> </w:t>
      </w:r>
      <w:r>
        <w:rPr>
          <w:w w:val="105"/>
          <w:sz w:val="15"/>
        </w:rPr>
        <w:t>su caso, hacerlas cumplir.</w:t>
      </w:r>
    </w:p>
    <w:p w14:paraId="6FEDC205" w14:textId="77777777" w:rsidR="0014798C" w:rsidRDefault="004E1F0B">
      <w:pPr>
        <w:spacing w:before="67"/>
        <w:ind w:left="239"/>
        <w:rPr>
          <w:sz w:val="15"/>
        </w:rPr>
      </w:pPr>
      <w:r>
        <w:br w:type="column"/>
      </w:r>
      <w:r>
        <w:rPr>
          <w:w w:val="105"/>
          <w:position w:val="1"/>
          <w:sz w:val="15"/>
        </w:rPr>
        <w:t>…,</w:t>
      </w:r>
      <w:r>
        <w:rPr>
          <w:spacing w:val="59"/>
          <w:w w:val="105"/>
          <w:position w:val="1"/>
          <w:sz w:val="15"/>
        </w:rPr>
        <w:t xml:space="preserve"> </w:t>
      </w:r>
      <w:r>
        <w:rPr>
          <w:w w:val="105"/>
          <w:sz w:val="15"/>
        </w:rPr>
        <w:t>estándares</w:t>
      </w:r>
      <w:r>
        <w:rPr>
          <w:spacing w:val="-7"/>
          <w:w w:val="105"/>
          <w:sz w:val="15"/>
        </w:rPr>
        <w:t xml:space="preserve"> </w:t>
      </w:r>
      <w:r>
        <w:rPr>
          <w:w w:val="105"/>
          <w:sz w:val="15"/>
        </w:rPr>
        <w:t>para</w:t>
      </w:r>
      <w:r>
        <w:rPr>
          <w:spacing w:val="-7"/>
          <w:w w:val="105"/>
          <w:sz w:val="15"/>
        </w:rPr>
        <w:t xml:space="preserve"> </w:t>
      </w:r>
      <w:r>
        <w:rPr>
          <w:w w:val="105"/>
          <w:sz w:val="15"/>
        </w:rPr>
        <w:t>su</w:t>
      </w:r>
      <w:r>
        <w:rPr>
          <w:spacing w:val="-7"/>
          <w:w w:val="105"/>
          <w:sz w:val="15"/>
        </w:rPr>
        <w:t xml:space="preserve"> </w:t>
      </w:r>
      <w:r>
        <w:rPr>
          <w:spacing w:val="-2"/>
          <w:w w:val="105"/>
          <w:sz w:val="15"/>
        </w:rPr>
        <w:t>implementación.</w:t>
      </w:r>
    </w:p>
    <w:p w14:paraId="0F392E55" w14:textId="77777777" w:rsidR="0014798C" w:rsidRDefault="0014798C">
      <w:pPr>
        <w:rPr>
          <w:sz w:val="15"/>
        </w:rPr>
        <w:sectPr w:rsidR="0014798C" w:rsidSect="00F265E4">
          <w:type w:val="continuous"/>
          <w:pgSz w:w="11900" w:h="16820"/>
          <w:pgMar w:top="40" w:right="0" w:bottom="280" w:left="200" w:header="121" w:footer="0" w:gutter="0"/>
          <w:cols w:num="2" w:space="720" w:equalWidth="0">
            <w:col w:w="5679" w:space="40"/>
            <w:col w:w="5981"/>
          </w:cols>
        </w:sectPr>
      </w:pPr>
    </w:p>
    <w:p w14:paraId="1FB337BE" w14:textId="77777777" w:rsidR="0014798C" w:rsidRDefault="004E1F0B">
      <w:pPr>
        <w:pStyle w:val="Prrafodelista"/>
        <w:numPr>
          <w:ilvl w:val="0"/>
          <w:numId w:val="33"/>
        </w:numPr>
        <w:tabs>
          <w:tab w:val="left" w:pos="1677"/>
          <w:tab w:val="left" w:pos="1904"/>
        </w:tabs>
        <w:spacing w:before="112" w:line="348" w:lineRule="auto"/>
        <w:ind w:left="1904" w:right="1762" w:hanging="346"/>
        <w:rPr>
          <w:sz w:val="15"/>
        </w:rPr>
      </w:pPr>
      <w:r>
        <w:rPr>
          <w:w w:val="105"/>
          <w:sz w:val="15"/>
        </w:rPr>
        <w:t>Participar</w:t>
      </w:r>
      <w:r>
        <w:rPr>
          <w:spacing w:val="-2"/>
          <w:w w:val="105"/>
          <w:sz w:val="15"/>
        </w:rPr>
        <w:t xml:space="preserve"> </w:t>
      </w:r>
      <w:r>
        <w:rPr>
          <w:w w:val="105"/>
          <w:sz w:val="15"/>
        </w:rPr>
        <w:t>en</w:t>
      </w:r>
      <w:r>
        <w:rPr>
          <w:spacing w:val="-2"/>
          <w:w w:val="105"/>
          <w:sz w:val="15"/>
        </w:rPr>
        <w:t xml:space="preserve"> </w:t>
      </w:r>
      <w:r>
        <w:rPr>
          <w:w w:val="105"/>
          <w:sz w:val="15"/>
        </w:rPr>
        <w:t>los</w:t>
      </w:r>
      <w:r>
        <w:rPr>
          <w:spacing w:val="-2"/>
          <w:w w:val="105"/>
          <w:sz w:val="15"/>
        </w:rPr>
        <w:t xml:space="preserve"> </w:t>
      </w:r>
      <w:r>
        <w:rPr>
          <w:w w:val="105"/>
          <w:sz w:val="15"/>
        </w:rPr>
        <w:t>procedimientos</w:t>
      </w:r>
      <w:r>
        <w:rPr>
          <w:spacing w:val="-2"/>
          <w:w w:val="105"/>
          <w:sz w:val="15"/>
        </w:rPr>
        <w:t xml:space="preserve"> </w:t>
      </w:r>
      <w:r>
        <w:rPr>
          <w:w w:val="105"/>
          <w:sz w:val="15"/>
        </w:rPr>
        <w:t>de</w:t>
      </w:r>
      <w:r>
        <w:rPr>
          <w:spacing w:val="-2"/>
          <w:w w:val="105"/>
          <w:sz w:val="15"/>
        </w:rPr>
        <w:t xml:space="preserve"> </w:t>
      </w:r>
      <w:r>
        <w:rPr>
          <w:w w:val="105"/>
          <w:sz w:val="15"/>
        </w:rPr>
        <w:t>consulta</w:t>
      </w:r>
      <w:r>
        <w:rPr>
          <w:spacing w:val="-2"/>
          <w:w w:val="105"/>
          <w:sz w:val="15"/>
        </w:rPr>
        <w:t xml:space="preserve"> </w:t>
      </w:r>
      <w:r>
        <w:rPr>
          <w:w w:val="105"/>
          <w:sz w:val="15"/>
        </w:rPr>
        <w:t>de</w:t>
      </w:r>
      <w:r>
        <w:rPr>
          <w:spacing w:val="-2"/>
          <w:w w:val="105"/>
          <w:sz w:val="15"/>
        </w:rPr>
        <w:t xml:space="preserve"> </w:t>
      </w:r>
      <w:r>
        <w:rPr>
          <w:w w:val="105"/>
          <w:sz w:val="15"/>
        </w:rPr>
        <w:t>nuevas</w:t>
      </w:r>
      <w:r>
        <w:rPr>
          <w:spacing w:val="-2"/>
          <w:w w:val="105"/>
          <w:sz w:val="15"/>
        </w:rPr>
        <w:t xml:space="preserve"> </w:t>
      </w:r>
      <w:r>
        <w:rPr>
          <w:w w:val="105"/>
          <w:sz w:val="15"/>
        </w:rPr>
        <w:t>políticas,</w:t>
      </w:r>
      <w:r>
        <w:rPr>
          <w:spacing w:val="-1"/>
          <w:w w:val="105"/>
          <w:sz w:val="15"/>
        </w:rPr>
        <w:t xml:space="preserve"> </w:t>
      </w:r>
      <w:r>
        <w:rPr>
          <w:w w:val="105"/>
          <w:sz w:val="15"/>
        </w:rPr>
        <w:t>leyes</w:t>
      </w:r>
      <w:r>
        <w:rPr>
          <w:spacing w:val="-2"/>
          <w:w w:val="105"/>
          <w:sz w:val="15"/>
        </w:rPr>
        <w:t xml:space="preserve"> </w:t>
      </w:r>
      <w:r>
        <w:rPr>
          <w:w w:val="105"/>
          <w:sz w:val="15"/>
        </w:rPr>
        <w:t>y</w:t>
      </w:r>
      <w:r>
        <w:rPr>
          <w:spacing w:val="-2"/>
          <w:w w:val="105"/>
          <w:sz w:val="15"/>
        </w:rPr>
        <w:t xml:space="preserve"> </w:t>
      </w:r>
      <w:r>
        <w:rPr>
          <w:w w:val="105"/>
          <w:sz w:val="15"/>
        </w:rPr>
        <w:t>actos</w:t>
      </w:r>
      <w:r>
        <w:rPr>
          <w:spacing w:val="-2"/>
          <w:w w:val="105"/>
          <w:sz w:val="15"/>
        </w:rPr>
        <w:t xml:space="preserve"> </w:t>
      </w:r>
      <w:r>
        <w:rPr>
          <w:w w:val="105"/>
          <w:sz w:val="15"/>
        </w:rPr>
        <w:t>ejecutivos,</w:t>
      </w:r>
      <w:r>
        <w:rPr>
          <w:spacing w:val="-1"/>
          <w:w w:val="105"/>
          <w:sz w:val="15"/>
        </w:rPr>
        <w:t xml:space="preserve"> </w:t>
      </w:r>
      <w:r>
        <w:rPr>
          <w:w w:val="105"/>
          <w:sz w:val="15"/>
        </w:rPr>
        <w:t>monitorear</w:t>
      </w:r>
      <w:r>
        <w:rPr>
          <w:spacing w:val="-2"/>
          <w:w w:val="105"/>
          <w:sz w:val="15"/>
        </w:rPr>
        <w:t xml:space="preserve"> </w:t>
      </w:r>
      <w:r>
        <w:rPr>
          <w:w w:val="105"/>
          <w:sz w:val="15"/>
        </w:rPr>
        <w:t>las</w:t>
      </w:r>
      <w:r>
        <w:rPr>
          <w:spacing w:val="-2"/>
          <w:w w:val="105"/>
          <w:sz w:val="15"/>
        </w:rPr>
        <w:t xml:space="preserve"> </w:t>
      </w:r>
      <w:r>
        <w:rPr>
          <w:w w:val="105"/>
          <w:sz w:val="15"/>
        </w:rPr>
        <w:t>políticas, legislaciones</w:t>
      </w:r>
      <w:r>
        <w:rPr>
          <w:spacing w:val="-11"/>
          <w:w w:val="105"/>
          <w:sz w:val="15"/>
        </w:rPr>
        <w:t xml:space="preserve"> </w:t>
      </w:r>
      <w:r>
        <w:rPr>
          <w:w w:val="105"/>
          <w:sz w:val="15"/>
        </w:rPr>
        <w:t>y</w:t>
      </w:r>
      <w:r>
        <w:rPr>
          <w:spacing w:val="-11"/>
          <w:w w:val="105"/>
          <w:sz w:val="15"/>
        </w:rPr>
        <w:t xml:space="preserve"> </w:t>
      </w:r>
      <w:r>
        <w:rPr>
          <w:w w:val="105"/>
          <w:sz w:val="15"/>
        </w:rPr>
        <w:t>actos</w:t>
      </w:r>
      <w:r>
        <w:rPr>
          <w:spacing w:val="-11"/>
          <w:w w:val="105"/>
          <w:sz w:val="15"/>
        </w:rPr>
        <w:t xml:space="preserve"> </w:t>
      </w:r>
      <w:r>
        <w:rPr>
          <w:w w:val="105"/>
          <w:sz w:val="15"/>
        </w:rPr>
        <w:t>ejecutivos</w:t>
      </w:r>
      <w:r>
        <w:rPr>
          <w:spacing w:val="-11"/>
          <w:w w:val="105"/>
          <w:sz w:val="15"/>
        </w:rPr>
        <w:t xml:space="preserve"> </w:t>
      </w:r>
      <w:r>
        <w:rPr>
          <w:w w:val="105"/>
          <w:sz w:val="15"/>
        </w:rPr>
        <w:t>existentes</w:t>
      </w:r>
      <w:r>
        <w:rPr>
          <w:spacing w:val="-11"/>
          <w:w w:val="105"/>
          <w:sz w:val="15"/>
        </w:rPr>
        <w:t xml:space="preserve"> </w:t>
      </w:r>
      <w:r>
        <w:rPr>
          <w:w w:val="105"/>
          <w:sz w:val="15"/>
        </w:rPr>
        <w:t>y</w:t>
      </w:r>
      <w:r>
        <w:rPr>
          <w:spacing w:val="-11"/>
          <w:w w:val="105"/>
          <w:sz w:val="15"/>
        </w:rPr>
        <w:t xml:space="preserve"> </w:t>
      </w:r>
      <w:r>
        <w:rPr>
          <w:w w:val="105"/>
          <w:sz w:val="15"/>
        </w:rPr>
        <w:t>hacer</w:t>
      </w:r>
      <w:r>
        <w:rPr>
          <w:spacing w:val="-11"/>
          <w:w w:val="105"/>
          <w:sz w:val="15"/>
        </w:rPr>
        <w:t xml:space="preserve"> </w:t>
      </w:r>
      <w:r>
        <w:rPr>
          <w:w w:val="105"/>
          <w:sz w:val="15"/>
        </w:rPr>
        <w:t>recomendaciones</w:t>
      </w:r>
      <w:r>
        <w:rPr>
          <w:spacing w:val="-11"/>
          <w:w w:val="105"/>
          <w:sz w:val="15"/>
        </w:rPr>
        <w:t xml:space="preserve"> </w:t>
      </w:r>
      <w:r>
        <w:rPr>
          <w:w w:val="105"/>
          <w:sz w:val="15"/>
        </w:rPr>
        <w:t>para</w:t>
      </w:r>
      <w:r>
        <w:rPr>
          <w:spacing w:val="-11"/>
          <w:w w:val="105"/>
          <w:sz w:val="15"/>
        </w:rPr>
        <w:t xml:space="preserve"> </w:t>
      </w:r>
      <w:r>
        <w:rPr>
          <w:w w:val="105"/>
          <w:sz w:val="15"/>
        </w:rPr>
        <w:t>la</w:t>
      </w:r>
      <w:r>
        <w:rPr>
          <w:spacing w:val="-11"/>
          <w:w w:val="105"/>
          <w:sz w:val="15"/>
        </w:rPr>
        <w:t xml:space="preserve"> </w:t>
      </w:r>
      <w:r>
        <w:rPr>
          <w:w w:val="105"/>
          <w:sz w:val="15"/>
        </w:rPr>
        <w:t>modificación</w:t>
      </w:r>
      <w:r>
        <w:rPr>
          <w:spacing w:val="-10"/>
          <w:w w:val="105"/>
          <w:sz w:val="15"/>
        </w:rPr>
        <w:t xml:space="preserve"> </w:t>
      </w:r>
      <w:r>
        <w:rPr>
          <w:w w:val="105"/>
          <w:sz w:val="15"/>
        </w:rPr>
        <w:t>o</w:t>
      </w:r>
      <w:r>
        <w:rPr>
          <w:spacing w:val="-11"/>
          <w:w w:val="105"/>
          <w:sz w:val="15"/>
        </w:rPr>
        <w:t xml:space="preserve"> </w:t>
      </w:r>
      <w:r>
        <w:rPr>
          <w:w w:val="105"/>
          <w:sz w:val="15"/>
        </w:rPr>
        <w:t>introducción</w:t>
      </w:r>
      <w:r>
        <w:rPr>
          <w:spacing w:val="-11"/>
          <w:w w:val="105"/>
          <w:sz w:val="15"/>
        </w:rPr>
        <w:t xml:space="preserve"> </w:t>
      </w:r>
      <w:r>
        <w:rPr>
          <w:w w:val="105"/>
          <w:sz w:val="15"/>
        </w:rPr>
        <w:t>de</w:t>
      </w:r>
      <w:r>
        <w:rPr>
          <w:spacing w:val="-11"/>
          <w:w w:val="105"/>
          <w:sz w:val="15"/>
        </w:rPr>
        <w:t xml:space="preserve"> </w:t>
      </w:r>
      <w:r>
        <w:rPr>
          <w:w w:val="105"/>
          <w:sz w:val="15"/>
        </w:rPr>
        <w:t>políticas, leyes o actos ejecutivos.</w:t>
      </w:r>
    </w:p>
    <w:p w14:paraId="396E24BA" w14:textId="77777777" w:rsidR="0014798C" w:rsidRDefault="004E1F0B">
      <w:pPr>
        <w:pStyle w:val="Prrafodelista"/>
        <w:numPr>
          <w:ilvl w:val="0"/>
          <w:numId w:val="33"/>
        </w:numPr>
        <w:tabs>
          <w:tab w:val="left" w:pos="1561"/>
          <w:tab w:val="left" w:pos="1722"/>
        </w:tabs>
        <w:spacing w:before="113" w:line="504" w:lineRule="auto"/>
        <w:ind w:left="1561" w:right="1760" w:hanging="1"/>
        <w:rPr>
          <w:sz w:val="15"/>
        </w:rPr>
      </w:pPr>
      <w:r>
        <w:rPr>
          <w:w w:val="105"/>
          <w:sz w:val="15"/>
        </w:rPr>
        <w:t>Promover</w:t>
      </w:r>
      <w:r>
        <w:rPr>
          <w:spacing w:val="-8"/>
          <w:w w:val="105"/>
          <w:sz w:val="15"/>
        </w:rPr>
        <w:t xml:space="preserve"> </w:t>
      </w:r>
      <w:r>
        <w:rPr>
          <w:w w:val="105"/>
          <w:sz w:val="15"/>
        </w:rPr>
        <w:t>y</w:t>
      </w:r>
      <w:r>
        <w:rPr>
          <w:spacing w:val="-8"/>
          <w:w w:val="105"/>
          <w:sz w:val="15"/>
        </w:rPr>
        <w:t xml:space="preserve"> </w:t>
      </w:r>
      <w:r>
        <w:rPr>
          <w:w w:val="105"/>
          <w:sz w:val="15"/>
        </w:rPr>
        <w:t>contribuir</w:t>
      </w:r>
      <w:r>
        <w:rPr>
          <w:spacing w:val="-8"/>
          <w:w w:val="105"/>
          <w:sz w:val="15"/>
        </w:rPr>
        <w:t xml:space="preserve"> </w:t>
      </w:r>
      <w:r>
        <w:rPr>
          <w:w w:val="105"/>
          <w:sz w:val="15"/>
        </w:rPr>
        <w:t>a</w:t>
      </w:r>
      <w:r>
        <w:rPr>
          <w:spacing w:val="-8"/>
          <w:w w:val="105"/>
          <w:sz w:val="15"/>
        </w:rPr>
        <w:t xml:space="preserve"> </w:t>
      </w:r>
      <w:r>
        <w:rPr>
          <w:w w:val="105"/>
          <w:sz w:val="15"/>
        </w:rPr>
        <w:t>la</w:t>
      </w:r>
      <w:r>
        <w:rPr>
          <w:spacing w:val="-8"/>
          <w:w w:val="105"/>
          <w:sz w:val="15"/>
        </w:rPr>
        <w:t xml:space="preserve"> </w:t>
      </w:r>
      <w:r>
        <w:rPr>
          <w:w w:val="105"/>
          <w:sz w:val="15"/>
        </w:rPr>
        <w:t>formación</w:t>
      </w:r>
      <w:r>
        <w:rPr>
          <w:spacing w:val="-8"/>
          <w:w w:val="105"/>
          <w:sz w:val="15"/>
        </w:rPr>
        <w:t xml:space="preserve"> </w:t>
      </w:r>
      <w:r>
        <w:rPr>
          <w:w w:val="105"/>
          <w:sz w:val="15"/>
        </w:rPr>
        <w:t>de</w:t>
      </w:r>
      <w:r>
        <w:rPr>
          <w:spacing w:val="-8"/>
          <w:w w:val="105"/>
          <w:sz w:val="15"/>
        </w:rPr>
        <w:t xml:space="preserve"> </w:t>
      </w:r>
      <w:r>
        <w:rPr>
          <w:w w:val="105"/>
          <w:sz w:val="15"/>
        </w:rPr>
        <w:t>colectivos</w:t>
      </w:r>
      <w:r>
        <w:rPr>
          <w:spacing w:val="-8"/>
          <w:w w:val="105"/>
          <w:sz w:val="15"/>
        </w:rPr>
        <w:t xml:space="preserve"> </w:t>
      </w:r>
      <w:r>
        <w:rPr>
          <w:w w:val="105"/>
          <w:sz w:val="15"/>
        </w:rPr>
        <w:t>clave</w:t>
      </w:r>
      <w:r>
        <w:rPr>
          <w:spacing w:val="-8"/>
          <w:w w:val="105"/>
          <w:sz w:val="15"/>
        </w:rPr>
        <w:t xml:space="preserve"> </w:t>
      </w:r>
      <w:r>
        <w:rPr>
          <w:w w:val="105"/>
          <w:sz w:val="15"/>
        </w:rPr>
        <w:t>en</w:t>
      </w:r>
      <w:r>
        <w:rPr>
          <w:spacing w:val="-8"/>
          <w:w w:val="105"/>
          <w:sz w:val="15"/>
        </w:rPr>
        <w:t xml:space="preserve"> </w:t>
      </w:r>
      <w:r>
        <w:rPr>
          <w:w w:val="105"/>
          <w:sz w:val="15"/>
        </w:rPr>
        <w:t>relación</w:t>
      </w:r>
      <w:r>
        <w:rPr>
          <w:spacing w:val="-8"/>
          <w:w w:val="105"/>
          <w:sz w:val="15"/>
        </w:rPr>
        <w:t xml:space="preserve"> </w:t>
      </w:r>
      <w:r>
        <w:rPr>
          <w:w w:val="105"/>
          <w:sz w:val="15"/>
        </w:rPr>
        <w:t>con</w:t>
      </w:r>
      <w:r>
        <w:rPr>
          <w:spacing w:val="-8"/>
          <w:w w:val="105"/>
          <w:sz w:val="15"/>
        </w:rPr>
        <w:t xml:space="preserve"> </w:t>
      </w:r>
      <w:r>
        <w:rPr>
          <w:w w:val="105"/>
          <w:sz w:val="15"/>
        </w:rPr>
        <w:t>la</w:t>
      </w:r>
      <w:r>
        <w:rPr>
          <w:spacing w:val="-8"/>
          <w:w w:val="105"/>
          <w:sz w:val="15"/>
        </w:rPr>
        <w:t xml:space="preserve"> </w:t>
      </w:r>
      <w:r>
        <w:rPr>
          <w:w w:val="105"/>
          <w:sz w:val="15"/>
        </w:rPr>
        <w:t>igualdad</w:t>
      </w:r>
      <w:r>
        <w:rPr>
          <w:spacing w:val="-8"/>
          <w:w w:val="105"/>
          <w:sz w:val="15"/>
        </w:rPr>
        <w:t xml:space="preserve"> </w:t>
      </w:r>
      <w:r>
        <w:rPr>
          <w:w w:val="105"/>
          <w:sz w:val="15"/>
        </w:rPr>
        <w:t>y</w:t>
      </w:r>
      <w:r>
        <w:rPr>
          <w:spacing w:val="-8"/>
          <w:w w:val="105"/>
          <w:sz w:val="15"/>
        </w:rPr>
        <w:t xml:space="preserve"> </w:t>
      </w:r>
      <w:r>
        <w:rPr>
          <w:w w:val="105"/>
          <w:sz w:val="15"/>
        </w:rPr>
        <w:t>la</w:t>
      </w:r>
      <w:r>
        <w:rPr>
          <w:spacing w:val="-8"/>
          <w:w w:val="105"/>
          <w:sz w:val="15"/>
        </w:rPr>
        <w:t xml:space="preserve"> </w:t>
      </w:r>
      <w:r>
        <w:rPr>
          <w:w w:val="105"/>
          <w:sz w:val="15"/>
        </w:rPr>
        <w:t>no</w:t>
      </w:r>
      <w:r>
        <w:rPr>
          <w:spacing w:val="-8"/>
          <w:w w:val="105"/>
          <w:sz w:val="15"/>
        </w:rPr>
        <w:t xml:space="preserve"> </w:t>
      </w:r>
      <w:r>
        <w:rPr>
          <w:w w:val="105"/>
          <w:sz w:val="15"/>
        </w:rPr>
        <w:t>discriminación.</w:t>
      </w:r>
      <w:r>
        <w:rPr>
          <w:spacing w:val="-7"/>
          <w:w w:val="105"/>
          <w:sz w:val="15"/>
        </w:rPr>
        <w:t xml:space="preserve"> </w:t>
      </w:r>
      <w:r>
        <w:rPr>
          <w:w w:val="105"/>
          <w:sz w:val="15"/>
        </w:rPr>
        <w:t>l.</w:t>
      </w:r>
      <w:r>
        <w:rPr>
          <w:spacing w:val="-8"/>
          <w:w w:val="105"/>
          <w:sz w:val="15"/>
        </w:rPr>
        <w:t xml:space="preserve"> </w:t>
      </w:r>
      <w:r>
        <w:rPr>
          <w:w w:val="105"/>
          <w:sz w:val="15"/>
        </w:rPr>
        <w:t>Monitorear la implementación de sus recomendaciones. metro. Realice un seguimiento</w:t>
      </w:r>
    </w:p>
    <w:p w14:paraId="5183CFF5" w14:textId="77777777" w:rsidR="0014798C" w:rsidRDefault="004E1F0B">
      <w:pPr>
        <w:spacing w:before="1"/>
        <w:ind w:left="1561"/>
        <w:rPr>
          <w:sz w:val="15"/>
        </w:rPr>
      </w:pPr>
      <w:r>
        <w:rPr>
          <w:w w:val="105"/>
          <w:sz w:val="15"/>
        </w:rPr>
        <w:t>de</w:t>
      </w:r>
      <w:r>
        <w:rPr>
          <w:spacing w:val="-9"/>
          <w:w w:val="105"/>
          <w:sz w:val="15"/>
        </w:rPr>
        <w:t xml:space="preserve"> </w:t>
      </w:r>
      <w:r>
        <w:rPr>
          <w:w w:val="105"/>
          <w:sz w:val="15"/>
        </w:rPr>
        <w:t>las</w:t>
      </w:r>
      <w:r>
        <w:rPr>
          <w:spacing w:val="-8"/>
          <w:w w:val="105"/>
          <w:sz w:val="15"/>
        </w:rPr>
        <w:t xml:space="preserve"> </w:t>
      </w:r>
      <w:r>
        <w:rPr>
          <w:w w:val="105"/>
          <w:sz w:val="15"/>
        </w:rPr>
        <w:t>decisiones</w:t>
      </w:r>
      <w:r>
        <w:rPr>
          <w:spacing w:val="-8"/>
          <w:w w:val="105"/>
          <w:sz w:val="15"/>
        </w:rPr>
        <w:t xml:space="preserve"> </w:t>
      </w:r>
      <w:r>
        <w:rPr>
          <w:w w:val="105"/>
          <w:sz w:val="15"/>
        </w:rPr>
        <w:t>tomadas</w:t>
      </w:r>
      <w:r>
        <w:rPr>
          <w:spacing w:val="-8"/>
          <w:w w:val="105"/>
          <w:sz w:val="15"/>
        </w:rPr>
        <w:t xml:space="preserve"> </w:t>
      </w:r>
      <w:r>
        <w:rPr>
          <w:w w:val="105"/>
          <w:sz w:val="15"/>
        </w:rPr>
        <w:t>por</w:t>
      </w:r>
      <w:r>
        <w:rPr>
          <w:spacing w:val="-8"/>
          <w:w w:val="105"/>
          <w:sz w:val="15"/>
        </w:rPr>
        <w:t xml:space="preserve"> </w:t>
      </w:r>
      <w:r>
        <w:rPr>
          <w:w w:val="105"/>
          <w:sz w:val="15"/>
        </w:rPr>
        <w:t>los</w:t>
      </w:r>
      <w:r>
        <w:rPr>
          <w:spacing w:val="-9"/>
          <w:w w:val="105"/>
          <w:sz w:val="15"/>
        </w:rPr>
        <w:t xml:space="preserve"> </w:t>
      </w:r>
      <w:r>
        <w:rPr>
          <w:w w:val="105"/>
          <w:sz w:val="15"/>
        </w:rPr>
        <w:t>tribunales</w:t>
      </w:r>
      <w:r>
        <w:rPr>
          <w:spacing w:val="-8"/>
          <w:w w:val="105"/>
          <w:sz w:val="15"/>
        </w:rPr>
        <w:t xml:space="preserve"> </w:t>
      </w:r>
      <w:r>
        <w:rPr>
          <w:w w:val="105"/>
          <w:sz w:val="15"/>
        </w:rPr>
        <w:t>y</w:t>
      </w:r>
      <w:r>
        <w:rPr>
          <w:spacing w:val="-8"/>
          <w:w w:val="105"/>
          <w:sz w:val="15"/>
        </w:rPr>
        <w:t xml:space="preserve"> </w:t>
      </w:r>
      <w:r>
        <w:rPr>
          <w:w w:val="105"/>
          <w:sz w:val="15"/>
        </w:rPr>
        <w:t>otros</w:t>
      </w:r>
      <w:r>
        <w:rPr>
          <w:spacing w:val="-8"/>
          <w:w w:val="105"/>
          <w:sz w:val="15"/>
        </w:rPr>
        <w:t xml:space="preserve"> </w:t>
      </w:r>
      <w:r>
        <w:rPr>
          <w:w w:val="105"/>
          <w:sz w:val="15"/>
        </w:rPr>
        <w:t>órganos</w:t>
      </w:r>
      <w:r>
        <w:rPr>
          <w:spacing w:val="-8"/>
          <w:w w:val="105"/>
          <w:sz w:val="15"/>
        </w:rPr>
        <w:t xml:space="preserve"> </w:t>
      </w:r>
      <w:r>
        <w:rPr>
          <w:w w:val="105"/>
          <w:sz w:val="15"/>
        </w:rPr>
        <w:t>de</w:t>
      </w:r>
      <w:r>
        <w:rPr>
          <w:spacing w:val="-9"/>
          <w:w w:val="105"/>
          <w:sz w:val="15"/>
        </w:rPr>
        <w:t xml:space="preserve"> </w:t>
      </w:r>
      <w:r>
        <w:rPr>
          <w:w w:val="105"/>
          <w:sz w:val="15"/>
        </w:rPr>
        <w:t>toma</w:t>
      </w:r>
      <w:r>
        <w:rPr>
          <w:spacing w:val="-8"/>
          <w:w w:val="105"/>
          <w:sz w:val="15"/>
        </w:rPr>
        <w:t xml:space="preserve"> </w:t>
      </w:r>
      <w:r>
        <w:rPr>
          <w:w w:val="105"/>
          <w:sz w:val="15"/>
        </w:rPr>
        <w:t>de</w:t>
      </w:r>
      <w:r>
        <w:rPr>
          <w:spacing w:val="-8"/>
          <w:w w:val="105"/>
          <w:sz w:val="15"/>
        </w:rPr>
        <w:t xml:space="preserve"> </w:t>
      </w:r>
      <w:r>
        <w:rPr>
          <w:spacing w:val="-2"/>
          <w:w w:val="105"/>
          <w:sz w:val="15"/>
        </w:rPr>
        <w:t>decisiones.</w:t>
      </w:r>
    </w:p>
    <w:p w14:paraId="48CDC26B" w14:textId="77777777" w:rsidR="0014798C" w:rsidRDefault="0014798C">
      <w:pPr>
        <w:pStyle w:val="Textoindependiente"/>
        <w:spacing w:before="18"/>
        <w:rPr>
          <w:sz w:val="15"/>
        </w:rPr>
      </w:pPr>
    </w:p>
    <w:p w14:paraId="18A8699A" w14:textId="77777777" w:rsidR="0014798C" w:rsidRDefault="004E1F0B">
      <w:pPr>
        <w:spacing w:line="348" w:lineRule="auto"/>
        <w:ind w:left="1901" w:right="1840" w:hanging="341"/>
        <w:rPr>
          <w:sz w:val="15"/>
        </w:rPr>
      </w:pPr>
      <w:r>
        <w:rPr>
          <w:w w:val="105"/>
          <w:sz w:val="15"/>
        </w:rPr>
        <w:t>norte.</w:t>
      </w:r>
      <w:r>
        <w:rPr>
          <w:spacing w:val="-2"/>
          <w:w w:val="105"/>
          <w:sz w:val="15"/>
        </w:rPr>
        <w:t xml:space="preserve"> </w:t>
      </w:r>
      <w:r>
        <w:rPr>
          <w:w w:val="105"/>
          <w:sz w:val="15"/>
        </w:rPr>
        <w:t>Promover</w:t>
      </w:r>
      <w:r>
        <w:rPr>
          <w:spacing w:val="-2"/>
          <w:w w:val="105"/>
          <w:sz w:val="15"/>
        </w:rPr>
        <w:t xml:space="preserve"> </w:t>
      </w:r>
      <w:r>
        <w:rPr>
          <w:w w:val="105"/>
          <w:sz w:val="15"/>
        </w:rPr>
        <w:t>y</w:t>
      </w:r>
      <w:r>
        <w:rPr>
          <w:spacing w:val="-2"/>
          <w:w w:val="105"/>
          <w:sz w:val="15"/>
        </w:rPr>
        <w:t xml:space="preserve"> </w:t>
      </w:r>
      <w:r>
        <w:rPr>
          <w:w w:val="105"/>
          <w:sz w:val="15"/>
        </w:rPr>
        <w:t>apoyar</w:t>
      </w:r>
      <w:r>
        <w:rPr>
          <w:spacing w:val="-2"/>
          <w:w w:val="105"/>
          <w:sz w:val="15"/>
        </w:rPr>
        <w:t xml:space="preserve"> </w:t>
      </w:r>
      <w:r>
        <w:rPr>
          <w:w w:val="105"/>
          <w:sz w:val="15"/>
        </w:rPr>
        <w:t>la</w:t>
      </w:r>
      <w:r>
        <w:rPr>
          <w:spacing w:val="-2"/>
          <w:w w:val="105"/>
          <w:sz w:val="15"/>
        </w:rPr>
        <w:t xml:space="preserve"> </w:t>
      </w:r>
      <w:r>
        <w:rPr>
          <w:w w:val="105"/>
          <w:sz w:val="15"/>
        </w:rPr>
        <w:t>ratificación</w:t>
      </w:r>
      <w:r>
        <w:rPr>
          <w:spacing w:val="-2"/>
          <w:w w:val="105"/>
          <w:sz w:val="15"/>
        </w:rPr>
        <w:t xml:space="preserve"> </w:t>
      </w:r>
      <w:r>
        <w:rPr>
          <w:w w:val="105"/>
          <w:sz w:val="15"/>
        </w:rPr>
        <w:t>de</w:t>
      </w:r>
      <w:r>
        <w:rPr>
          <w:spacing w:val="-2"/>
          <w:w w:val="105"/>
          <w:sz w:val="15"/>
        </w:rPr>
        <w:t xml:space="preserve"> </w:t>
      </w:r>
      <w:r>
        <w:rPr>
          <w:w w:val="105"/>
          <w:sz w:val="15"/>
        </w:rPr>
        <w:t>los</w:t>
      </w:r>
      <w:r>
        <w:rPr>
          <w:spacing w:val="-2"/>
          <w:w w:val="105"/>
          <w:sz w:val="15"/>
        </w:rPr>
        <w:t xml:space="preserve"> </w:t>
      </w:r>
      <w:r>
        <w:rPr>
          <w:w w:val="105"/>
          <w:sz w:val="15"/>
        </w:rPr>
        <w:t>tratados</w:t>
      </w:r>
      <w:r>
        <w:rPr>
          <w:spacing w:val="-2"/>
          <w:w w:val="105"/>
          <w:sz w:val="15"/>
        </w:rPr>
        <w:t xml:space="preserve"> </w:t>
      </w:r>
      <w:r>
        <w:rPr>
          <w:w w:val="105"/>
          <w:sz w:val="15"/>
        </w:rPr>
        <w:t>internacionales</w:t>
      </w:r>
      <w:r>
        <w:rPr>
          <w:spacing w:val="-2"/>
          <w:w w:val="105"/>
          <w:sz w:val="15"/>
        </w:rPr>
        <w:t xml:space="preserve"> </w:t>
      </w:r>
      <w:r>
        <w:rPr>
          <w:w w:val="105"/>
          <w:sz w:val="15"/>
        </w:rPr>
        <w:t>pertinentes</w:t>
      </w:r>
      <w:r>
        <w:rPr>
          <w:spacing w:val="-3"/>
          <w:w w:val="105"/>
          <w:sz w:val="15"/>
        </w:rPr>
        <w:t xml:space="preserve"> </w:t>
      </w:r>
      <w:r>
        <w:rPr>
          <w:w w:val="105"/>
          <w:sz w:val="15"/>
        </w:rPr>
        <w:t>y</w:t>
      </w:r>
      <w:r>
        <w:rPr>
          <w:spacing w:val="-2"/>
          <w:w w:val="105"/>
          <w:sz w:val="15"/>
        </w:rPr>
        <w:t xml:space="preserve"> </w:t>
      </w:r>
      <w:r>
        <w:rPr>
          <w:w w:val="105"/>
          <w:sz w:val="15"/>
        </w:rPr>
        <w:t>la</w:t>
      </w:r>
      <w:r>
        <w:rPr>
          <w:spacing w:val="-2"/>
          <w:w w:val="105"/>
          <w:sz w:val="15"/>
        </w:rPr>
        <w:t xml:space="preserve"> </w:t>
      </w:r>
      <w:r>
        <w:rPr>
          <w:w w:val="105"/>
          <w:sz w:val="15"/>
        </w:rPr>
        <w:t>implementación</w:t>
      </w:r>
      <w:r>
        <w:rPr>
          <w:spacing w:val="-2"/>
          <w:w w:val="105"/>
          <w:sz w:val="15"/>
        </w:rPr>
        <w:t xml:space="preserve"> </w:t>
      </w:r>
      <w:r>
        <w:rPr>
          <w:w w:val="105"/>
          <w:sz w:val="15"/>
        </w:rPr>
        <w:t>y</w:t>
      </w:r>
      <w:r>
        <w:rPr>
          <w:spacing w:val="-2"/>
          <w:w w:val="105"/>
          <w:sz w:val="15"/>
        </w:rPr>
        <w:t xml:space="preserve"> </w:t>
      </w:r>
      <w:r>
        <w:rPr>
          <w:w w:val="105"/>
          <w:sz w:val="15"/>
        </w:rPr>
        <w:t>difusión</w:t>
      </w:r>
      <w:r>
        <w:rPr>
          <w:spacing w:val="-2"/>
          <w:w w:val="105"/>
          <w:sz w:val="15"/>
        </w:rPr>
        <w:t xml:space="preserve"> </w:t>
      </w:r>
      <w:r>
        <w:rPr>
          <w:w w:val="105"/>
          <w:sz w:val="15"/>
        </w:rPr>
        <w:t xml:space="preserve">de dichos tratados y de las normas, jurisprudencia e informes pertinentes emanados de organizaciones </w:t>
      </w:r>
      <w:r>
        <w:rPr>
          <w:sz w:val="15"/>
        </w:rPr>
        <w:t xml:space="preserve">intergubernamentales; participar en los debates de y con las organizaciones intergubernamentales pertinentes, tener </w:t>
      </w:r>
      <w:r>
        <w:rPr>
          <w:w w:val="105"/>
          <w:sz w:val="15"/>
        </w:rPr>
        <w:t>en cuenta sus recomendaciones y supervisar su aplicación.</w:t>
      </w:r>
    </w:p>
    <w:p w14:paraId="0FE7ED8C" w14:textId="77777777" w:rsidR="0014798C" w:rsidRDefault="0014798C">
      <w:pPr>
        <w:pStyle w:val="Textoindependiente"/>
        <w:spacing w:before="96"/>
        <w:rPr>
          <w:sz w:val="20"/>
        </w:rPr>
      </w:pPr>
    </w:p>
    <w:p w14:paraId="4F90DAF7" w14:textId="77777777" w:rsidR="0014798C" w:rsidRDefault="004E1F0B">
      <w:pPr>
        <w:ind w:left="1564"/>
        <w:rPr>
          <w:sz w:val="20"/>
        </w:rPr>
      </w:pPr>
      <w:r>
        <w:rPr>
          <w:sz w:val="20"/>
        </w:rPr>
        <w:t>o.</w:t>
      </w:r>
      <w:r>
        <w:rPr>
          <w:spacing w:val="-7"/>
          <w:sz w:val="20"/>
        </w:rPr>
        <w:t xml:space="preserve"> </w:t>
      </w:r>
      <w:r>
        <w:rPr>
          <w:sz w:val="20"/>
        </w:rPr>
        <w:t>Cooperar</w:t>
      </w:r>
      <w:r>
        <w:rPr>
          <w:spacing w:val="-7"/>
          <w:sz w:val="20"/>
        </w:rPr>
        <w:t xml:space="preserve"> </w:t>
      </w:r>
      <w:r>
        <w:rPr>
          <w:sz w:val="20"/>
        </w:rPr>
        <w:t>y</w:t>
      </w:r>
      <w:r>
        <w:rPr>
          <w:spacing w:val="-7"/>
          <w:sz w:val="20"/>
        </w:rPr>
        <w:t xml:space="preserve"> </w:t>
      </w:r>
      <w:r>
        <w:rPr>
          <w:sz w:val="20"/>
        </w:rPr>
        <w:t>apoyar</w:t>
      </w:r>
      <w:r>
        <w:rPr>
          <w:spacing w:val="-7"/>
          <w:sz w:val="20"/>
        </w:rPr>
        <w:t xml:space="preserve"> </w:t>
      </w:r>
      <w:r>
        <w:rPr>
          <w:sz w:val="20"/>
        </w:rPr>
        <w:t>a</w:t>
      </w:r>
      <w:r>
        <w:rPr>
          <w:spacing w:val="-7"/>
          <w:sz w:val="20"/>
        </w:rPr>
        <w:t xml:space="preserve"> </w:t>
      </w:r>
      <w:r>
        <w:rPr>
          <w:sz w:val="20"/>
        </w:rPr>
        <w:t>organizaciones</w:t>
      </w:r>
      <w:r>
        <w:rPr>
          <w:spacing w:val="-7"/>
          <w:sz w:val="20"/>
        </w:rPr>
        <w:t xml:space="preserve"> </w:t>
      </w:r>
      <w:r>
        <w:rPr>
          <w:sz w:val="20"/>
        </w:rPr>
        <w:t>con</w:t>
      </w:r>
      <w:r>
        <w:rPr>
          <w:spacing w:val="-7"/>
          <w:sz w:val="20"/>
        </w:rPr>
        <w:t xml:space="preserve"> </w:t>
      </w:r>
      <w:r>
        <w:rPr>
          <w:sz w:val="20"/>
        </w:rPr>
        <w:t>objetivos</w:t>
      </w:r>
      <w:r>
        <w:rPr>
          <w:spacing w:val="-7"/>
          <w:sz w:val="20"/>
        </w:rPr>
        <w:t xml:space="preserve"> </w:t>
      </w:r>
      <w:r>
        <w:rPr>
          <w:sz w:val="20"/>
        </w:rPr>
        <w:t>similares</w:t>
      </w:r>
      <w:r>
        <w:rPr>
          <w:spacing w:val="-7"/>
          <w:sz w:val="20"/>
        </w:rPr>
        <w:t xml:space="preserve"> </w:t>
      </w:r>
      <w:r>
        <w:rPr>
          <w:sz w:val="20"/>
        </w:rPr>
        <w:t>a</w:t>
      </w:r>
      <w:r>
        <w:rPr>
          <w:spacing w:val="-6"/>
          <w:sz w:val="20"/>
        </w:rPr>
        <w:t xml:space="preserve"> </w:t>
      </w:r>
      <w:r>
        <w:rPr>
          <w:sz w:val="20"/>
        </w:rPr>
        <w:t>los</w:t>
      </w:r>
      <w:r>
        <w:rPr>
          <w:spacing w:val="-7"/>
          <w:sz w:val="20"/>
        </w:rPr>
        <w:t xml:space="preserve"> </w:t>
      </w:r>
      <w:r>
        <w:rPr>
          <w:sz w:val="20"/>
        </w:rPr>
        <w:t>del</w:t>
      </w:r>
      <w:r>
        <w:rPr>
          <w:spacing w:val="-7"/>
          <w:sz w:val="20"/>
        </w:rPr>
        <w:t xml:space="preserve"> </w:t>
      </w:r>
      <w:r>
        <w:rPr>
          <w:sz w:val="20"/>
        </w:rPr>
        <w:t>organismo</w:t>
      </w:r>
      <w:r>
        <w:rPr>
          <w:spacing w:val="-7"/>
          <w:sz w:val="20"/>
        </w:rPr>
        <w:t xml:space="preserve"> </w:t>
      </w:r>
      <w:r>
        <w:rPr>
          <w:sz w:val="20"/>
        </w:rPr>
        <w:t>de</w:t>
      </w:r>
      <w:r>
        <w:rPr>
          <w:spacing w:val="-7"/>
          <w:sz w:val="20"/>
        </w:rPr>
        <w:t xml:space="preserve"> </w:t>
      </w:r>
      <w:r>
        <w:rPr>
          <w:spacing w:val="-2"/>
          <w:sz w:val="20"/>
        </w:rPr>
        <w:t>igualdad.</w:t>
      </w:r>
    </w:p>
    <w:p w14:paraId="032D1E09" w14:textId="77777777" w:rsidR="0014798C" w:rsidRDefault="004E1F0B">
      <w:pPr>
        <w:spacing w:before="55" w:line="348" w:lineRule="auto"/>
        <w:ind w:left="1905" w:right="1272" w:hanging="6"/>
        <w:rPr>
          <w:sz w:val="15"/>
        </w:rPr>
      </w:pPr>
      <w:r>
        <w:rPr>
          <w:w w:val="105"/>
          <w:sz w:val="15"/>
        </w:rPr>
        <w:t>Desarrollar</w:t>
      </w:r>
      <w:r>
        <w:rPr>
          <w:spacing w:val="-10"/>
          <w:w w:val="105"/>
          <w:sz w:val="15"/>
        </w:rPr>
        <w:t xml:space="preserve"> </w:t>
      </w:r>
      <w:r>
        <w:rPr>
          <w:w w:val="105"/>
          <w:sz w:val="15"/>
        </w:rPr>
        <w:t>un</w:t>
      </w:r>
      <w:r>
        <w:rPr>
          <w:spacing w:val="-10"/>
          <w:w w:val="105"/>
          <w:sz w:val="15"/>
        </w:rPr>
        <w:t xml:space="preserve"> </w:t>
      </w:r>
      <w:r>
        <w:rPr>
          <w:w w:val="105"/>
          <w:sz w:val="15"/>
        </w:rPr>
        <w:t>entendimiento</w:t>
      </w:r>
      <w:r>
        <w:rPr>
          <w:spacing w:val="-10"/>
          <w:w w:val="105"/>
          <w:sz w:val="15"/>
        </w:rPr>
        <w:t xml:space="preserve"> </w:t>
      </w:r>
      <w:r>
        <w:rPr>
          <w:w w:val="105"/>
          <w:sz w:val="15"/>
        </w:rPr>
        <w:t>compartido</w:t>
      </w:r>
      <w:r>
        <w:rPr>
          <w:spacing w:val="-10"/>
          <w:w w:val="105"/>
          <w:sz w:val="15"/>
        </w:rPr>
        <w:t xml:space="preserve"> </w:t>
      </w:r>
      <w:r>
        <w:rPr>
          <w:w w:val="105"/>
          <w:sz w:val="15"/>
        </w:rPr>
        <w:t>sobre</w:t>
      </w:r>
      <w:r>
        <w:rPr>
          <w:spacing w:val="-10"/>
          <w:w w:val="105"/>
          <w:sz w:val="15"/>
        </w:rPr>
        <w:t xml:space="preserve"> </w:t>
      </w:r>
      <w:r>
        <w:rPr>
          <w:w w:val="105"/>
          <w:sz w:val="15"/>
        </w:rPr>
        <w:t>cuestiones</w:t>
      </w:r>
      <w:r>
        <w:rPr>
          <w:spacing w:val="-10"/>
          <w:w w:val="105"/>
          <w:sz w:val="15"/>
        </w:rPr>
        <w:t xml:space="preserve"> </w:t>
      </w:r>
      <w:r>
        <w:rPr>
          <w:w w:val="105"/>
          <w:sz w:val="15"/>
        </w:rPr>
        <w:t>clave</w:t>
      </w:r>
      <w:r>
        <w:rPr>
          <w:spacing w:val="-10"/>
          <w:w w:val="105"/>
          <w:sz w:val="15"/>
        </w:rPr>
        <w:t xml:space="preserve"> </w:t>
      </w:r>
      <w:r>
        <w:rPr>
          <w:w w:val="105"/>
          <w:sz w:val="15"/>
        </w:rPr>
        <w:t>en</w:t>
      </w:r>
      <w:r>
        <w:rPr>
          <w:spacing w:val="-10"/>
          <w:w w:val="105"/>
          <w:sz w:val="15"/>
        </w:rPr>
        <w:t xml:space="preserve"> </w:t>
      </w:r>
      <w:r>
        <w:rPr>
          <w:w w:val="105"/>
          <w:sz w:val="15"/>
        </w:rPr>
        <w:t>relación</w:t>
      </w:r>
      <w:r>
        <w:rPr>
          <w:spacing w:val="-10"/>
          <w:w w:val="105"/>
          <w:sz w:val="15"/>
        </w:rPr>
        <w:t xml:space="preserve"> </w:t>
      </w:r>
      <w:r>
        <w:rPr>
          <w:w w:val="105"/>
          <w:sz w:val="15"/>
        </w:rPr>
        <w:t>con</w:t>
      </w:r>
      <w:r>
        <w:rPr>
          <w:spacing w:val="-10"/>
          <w:w w:val="105"/>
          <w:sz w:val="15"/>
        </w:rPr>
        <w:t xml:space="preserve"> </w:t>
      </w:r>
      <w:r>
        <w:rPr>
          <w:w w:val="105"/>
          <w:sz w:val="15"/>
        </w:rPr>
        <w:t>la</w:t>
      </w:r>
      <w:r>
        <w:rPr>
          <w:spacing w:val="-10"/>
          <w:w w:val="105"/>
          <w:sz w:val="15"/>
        </w:rPr>
        <w:t xml:space="preserve"> </w:t>
      </w:r>
      <w:r>
        <w:rPr>
          <w:w w:val="105"/>
          <w:sz w:val="15"/>
        </w:rPr>
        <w:t>igualdad</w:t>
      </w:r>
      <w:r>
        <w:rPr>
          <w:spacing w:val="-10"/>
          <w:w w:val="105"/>
          <w:sz w:val="15"/>
        </w:rPr>
        <w:t xml:space="preserve"> </w:t>
      </w:r>
      <w:r>
        <w:rPr>
          <w:w w:val="105"/>
          <w:sz w:val="15"/>
        </w:rPr>
        <w:t>y</w:t>
      </w:r>
      <w:r>
        <w:rPr>
          <w:spacing w:val="-10"/>
          <w:w w:val="105"/>
          <w:sz w:val="15"/>
        </w:rPr>
        <w:t xml:space="preserve"> </w:t>
      </w:r>
      <w:r>
        <w:rPr>
          <w:w w:val="105"/>
          <w:sz w:val="15"/>
        </w:rPr>
        <w:t>celebrar</w:t>
      </w:r>
      <w:r>
        <w:rPr>
          <w:spacing w:val="-10"/>
          <w:w w:val="105"/>
          <w:sz w:val="15"/>
        </w:rPr>
        <w:t xml:space="preserve"> </w:t>
      </w:r>
      <w:r>
        <w:rPr>
          <w:w w:val="105"/>
          <w:sz w:val="15"/>
        </w:rPr>
        <w:t>acuerdos</w:t>
      </w:r>
      <w:r>
        <w:rPr>
          <w:spacing w:val="-10"/>
          <w:w w:val="105"/>
          <w:sz w:val="15"/>
        </w:rPr>
        <w:t xml:space="preserve"> </w:t>
      </w:r>
      <w:r>
        <w:rPr>
          <w:w w:val="105"/>
          <w:sz w:val="15"/>
        </w:rPr>
        <w:t>de cooperación con dichas organizaciones.768</w:t>
      </w:r>
    </w:p>
    <w:p w14:paraId="74E5ECC0" w14:textId="77777777" w:rsidR="0014798C" w:rsidRDefault="0014798C">
      <w:pPr>
        <w:pStyle w:val="Textoindependiente"/>
        <w:rPr>
          <w:sz w:val="15"/>
        </w:rPr>
      </w:pPr>
    </w:p>
    <w:p w14:paraId="33B86568" w14:textId="77777777" w:rsidR="0014798C" w:rsidRDefault="0014798C">
      <w:pPr>
        <w:pStyle w:val="Textoindependiente"/>
        <w:spacing w:before="108"/>
        <w:rPr>
          <w:sz w:val="15"/>
        </w:rPr>
      </w:pPr>
    </w:p>
    <w:p w14:paraId="441727AA" w14:textId="77777777" w:rsidR="0014798C" w:rsidRDefault="004E1F0B">
      <w:pPr>
        <w:spacing w:line="348" w:lineRule="auto"/>
        <w:ind w:left="1105" w:right="1272" w:firstLine="1"/>
        <w:rPr>
          <w:sz w:val="15"/>
        </w:rPr>
      </w:pPr>
      <w:r>
        <w:rPr>
          <w:w w:val="105"/>
          <w:sz w:val="15"/>
        </w:rPr>
        <w:t>Como</w:t>
      </w:r>
      <w:r>
        <w:rPr>
          <w:spacing w:val="-3"/>
          <w:w w:val="105"/>
          <w:sz w:val="15"/>
        </w:rPr>
        <w:t xml:space="preserve"> </w:t>
      </w:r>
      <w:r>
        <w:rPr>
          <w:w w:val="105"/>
          <w:sz w:val="15"/>
        </w:rPr>
        <w:t>se</w:t>
      </w:r>
      <w:r>
        <w:rPr>
          <w:spacing w:val="-3"/>
          <w:w w:val="105"/>
          <w:sz w:val="15"/>
        </w:rPr>
        <w:t xml:space="preserve"> </w:t>
      </w:r>
      <w:r>
        <w:rPr>
          <w:w w:val="105"/>
          <w:sz w:val="15"/>
        </w:rPr>
        <w:t>establece</w:t>
      </w:r>
      <w:r>
        <w:rPr>
          <w:spacing w:val="-3"/>
          <w:w w:val="105"/>
          <w:sz w:val="15"/>
        </w:rPr>
        <w:t xml:space="preserve"> </w:t>
      </w:r>
      <w:r>
        <w:rPr>
          <w:w w:val="105"/>
          <w:sz w:val="15"/>
        </w:rPr>
        <w:t>en</w:t>
      </w:r>
      <w:r>
        <w:rPr>
          <w:spacing w:val="-3"/>
          <w:w w:val="105"/>
          <w:sz w:val="15"/>
        </w:rPr>
        <w:t xml:space="preserve"> </w:t>
      </w:r>
      <w:r>
        <w:rPr>
          <w:w w:val="105"/>
          <w:sz w:val="15"/>
        </w:rPr>
        <w:t>el</w:t>
      </w:r>
      <w:r>
        <w:rPr>
          <w:spacing w:val="-3"/>
          <w:w w:val="105"/>
          <w:sz w:val="15"/>
        </w:rPr>
        <w:t xml:space="preserve"> </w:t>
      </w:r>
      <w:r>
        <w:rPr>
          <w:w w:val="105"/>
          <w:sz w:val="15"/>
        </w:rPr>
        <w:t>capítulo</w:t>
      </w:r>
      <w:r>
        <w:rPr>
          <w:spacing w:val="-3"/>
          <w:w w:val="105"/>
          <w:sz w:val="15"/>
        </w:rPr>
        <w:t xml:space="preserve"> </w:t>
      </w:r>
      <w:r>
        <w:rPr>
          <w:w w:val="105"/>
          <w:sz w:val="15"/>
        </w:rPr>
        <w:t>V</w:t>
      </w:r>
      <w:r>
        <w:rPr>
          <w:spacing w:val="-3"/>
          <w:w w:val="105"/>
          <w:sz w:val="15"/>
        </w:rPr>
        <w:t xml:space="preserve"> </w:t>
      </w:r>
      <w:r>
        <w:rPr>
          <w:w w:val="105"/>
          <w:sz w:val="15"/>
        </w:rPr>
        <w:t>de</w:t>
      </w:r>
      <w:r>
        <w:rPr>
          <w:spacing w:val="-3"/>
          <w:w w:val="105"/>
          <w:sz w:val="15"/>
        </w:rPr>
        <w:t xml:space="preserve"> </w:t>
      </w:r>
      <w:r>
        <w:rPr>
          <w:w w:val="105"/>
          <w:sz w:val="15"/>
        </w:rPr>
        <w:t>la</w:t>
      </w:r>
      <w:r>
        <w:rPr>
          <w:spacing w:val="-3"/>
          <w:w w:val="105"/>
          <w:sz w:val="15"/>
        </w:rPr>
        <w:t xml:space="preserve"> </w:t>
      </w:r>
      <w:r>
        <w:rPr>
          <w:w w:val="105"/>
          <w:sz w:val="15"/>
        </w:rPr>
        <w:t>segunda</w:t>
      </w:r>
      <w:r>
        <w:rPr>
          <w:spacing w:val="-3"/>
          <w:w w:val="105"/>
          <w:sz w:val="15"/>
        </w:rPr>
        <w:t xml:space="preserve"> </w:t>
      </w:r>
      <w:r>
        <w:rPr>
          <w:w w:val="105"/>
          <w:sz w:val="15"/>
        </w:rPr>
        <w:t>parte</w:t>
      </w:r>
      <w:r>
        <w:rPr>
          <w:spacing w:val="-3"/>
          <w:w w:val="105"/>
          <w:sz w:val="15"/>
        </w:rPr>
        <w:t xml:space="preserve"> </w:t>
      </w:r>
      <w:r>
        <w:rPr>
          <w:w w:val="105"/>
          <w:sz w:val="15"/>
        </w:rPr>
        <w:t>y</w:t>
      </w:r>
      <w:r>
        <w:rPr>
          <w:spacing w:val="-3"/>
          <w:w w:val="105"/>
          <w:sz w:val="15"/>
        </w:rPr>
        <w:t xml:space="preserve"> </w:t>
      </w:r>
      <w:r>
        <w:rPr>
          <w:w w:val="105"/>
          <w:sz w:val="15"/>
        </w:rPr>
        <w:t>el</w:t>
      </w:r>
      <w:r>
        <w:rPr>
          <w:spacing w:val="-3"/>
          <w:w w:val="105"/>
          <w:sz w:val="15"/>
        </w:rPr>
        <w:t xml:space="preserve"> </w:t>
      </w:r>
      <w:r>
        <w:rPr>
          <w:w w:val="105"/>
          <w:sz w:val="15"/>
        </w:rPr>
        <w:t>capítulo</w:t>
      </w:r>
      <w:r>
        <w:rPr>
          <w:spacing w:val="-3"/>
          <w:w w:val="105"/>
          <w:sz w:val="15"/>
        </w:rPr>
        <w:t xml:space="preserve"> </w:t>
      </w:r>
      <w:r>
        <w:rPr>
          <w:w w:val="105"/>
          <w:sz w:val="15"/>
        </w:rPr>
        <w:t>II</w:t>
      </w:r>
      <w:r>
        <w:rPr>
          <w:spacing w:val="-3"/>
          <w:w w:val="105"/>
          <w:sz w:val="15"/>
        </w:rPr>
        <w:t xml:space="preserve"> </w:t>
      </w:r>
      <w:r>
        <w:rPr>
          <w:w w:val="105"/>
          <w:sz w:val="15"/>
        </w:rPr>
        <w:t>de</w:t>
      </w:r>
      <w:r>
        <w:rPr>
          <w:spacing w:val="-3"/>
          <w:w w:val="105"/>
          <w:sz w:val="15"/>
        </w:rPr>
        <w:t xml:space="preserve"> </w:t>
      </w:r>
      <w:r>
        <w:rPr>
          <w:w w:val="105"/>
          <w:sz w:val="15"/>
        </w:rPr>
        <w:t>la</w:t>
      </w:r>
      <w:r>
        <w:rPr>
          <w:spacing w:val="-3"/>
          <w:w w:val="105"/>
          <w:sz w:val="15"/>
        </w:rPr>
        <w:t xml:space="preserve"> </w:t>
      </w:r>
      <w:r>
        <w:rPr>
          <w:w w:val="105"/>
          <w:sz w:val="15"/>
        </w:rPr>
        <w:t>sexta</w:t>
      </w:r>
      <w:r>
        <w:rPr>
          <w:spacing w:val="-3"/>
          <w:w w:val="105"/>
          <w:sz w:val="15"/>
        </w:rPr>
        <w:t xml:space="preserve"> </w:t>
      </w:r>
      <w:r>
        <w:rPr>
          <w:w w:val="105"/>
          <w:sz w:val="15"/>
        </w:rPr>
        <w:t>parte</w:t>
      </w:r>
      <w:r>
        <w:rPr>
          <w:spacing w:val="-3"/>
          <w:w w:val="105"/>
          <w:sz w:val="15"/>
        </w:rPr>
        <w:t xml:space="preserve"> </w:t>
      </w:r>
      <w:r>
        <w:rPr>
          <w:w w:val="105"/>
          <w:sz w:val="15"/>
        </w:rPr>
        <w:t>de</w:t>
      </w:r>
      <w:r>
        <w:rPr>
          <w:spacing w:val="-3"/>
          <w:w w:val="105"/>
          <w:sz w:val="15"/>
        </w:rPr>
        <w:t xml:space="preserve"> </w:t>
      </w:r>
      <w:r>
        <w:rPr>
          <w:w w:val="105"/>
          <w:sz w:val="15"/>
        </w:rPr>
        <w:t>la</w:t>
      </w:r>
      <w:r>
        <w:rPr>
          <w:spacing w:val="-3"/>
          <w:w w:val="105"/>
          <w:sz w:val="15"/>
        </w:rPr>
        <w:t xml:space="preserve"> </w:t>
      </w:r>
      <w:r>
        <w:rPr>
          <w:w w:val="105"/>
          <w:sz w:val="15"/>
        </w:rPr>
        <w:t>presente</w:t>
      </w:r>
      <w:r>
        <w:rPr>
          <w:spacing w:val="-3"/>
          <w:w w:val="105"/>
          <w:sz w:val="15"/>
        </w:rPr>
        <w:t xml:space="preserve"> </w:t>
      </w:r>
      <w:r>
        <w:rPr>
          <w:w w:val="105"/>
          <w:sz w:val="15"/>
        </w:rPr>
        <w:t>guía,</w:t>
      </w:r>
      <w:r>
        <w:rPr>
          <w:spacing w:val="-3"/>
          <w:w w:val="105"/>
          <w:sz w:val="15"/>
        </w:rPr>
        <w:t xml:space="preserve"> </w:t>
      </w:r>
      <w:r>
        <w:rPr>
          <w:w w:val="105"/>
          <w:sz w:val="15"/>
        </w:rPr>
        <w:t>muchas</w:t>
      </w:r>
      <w:r>
        <w:rPr>
          <w:spacing w:val="-3"/>
          <w:w w:val="105"/>
          <w:sz w:val="15"/>
        </w:rPr>
        <w:t xml:space="preserve"> </w:t>
      </w:r>
      <w:r>
        <w:rPr>
          <w:w w:val="105"/>
          <w:sz w:val="15"/>
        </w:rPr>
        <w:t>de</w:t>
      </w:r>
      <w:r>
        <w:rPr>
          <w:spacing w:val="-3"/>
          <w:w w:val="105"/>
          <w:sz w:val="15"/>
        </w:rPr>
        <w:t xml:space="preserve"> </w:t>
      </w:r>
      <w:r>
        <w:rPr>
          <w:w w:val="105"/>
          <w:sz w:val="15"/>
        </w:rPr>
        <w:t>estas competencias</w:t>
      </w:r>
      <w:r>
        <w:rPr>
          <w:spacing w:val="-2"/>
          <w:w w:val="105"/>
          <w:sz w:val="15"/>
        </w:rPr>
        <w:t xml:space="preserve"> </w:t>
      </w:r>
      <w:r>
        <w:rPr>
          <w:w w:val="105"/>
          <w:sz w:val="15"/>
        </w:rPr>
        <w:t>están</w:t>
      </w:r>
      <w:r>
        <w:rPr>
          <w:spacing w:val="-2"/>
          <w:w w:val="105"/>
          <w:sz w:val="15"/>
        </w:rPr>
        <w:t xml:space="preserve"> </w:t>
      </w:r>
      <w:r>
        <w:rPr>
          <w:w w:val="105"/>
          <w:sz w:val="15"/>
        </w:rPr>
        <w:t>directamente</w:t>
      </w:r>
      <w:r>
        <w:rPr>
          <w:spacing w:val="-2"/>
          <w:w w:val="105"/>
          <w:sz w:val="15"/>
        </w:rPr>
        <w:t xml:space="preserve"> </w:t>
      </w:r>
      <w:r>
        <w:rPr>
          <w:w w:val="105"/>
          <w:sz w:val="15"/>
        </w:rPr>
        <w:t>vinculadas</w:t>
      </w:r>
      <w:r>
        <w:rPr>
          <w:spacing w:val="-2"/>
          <w:w w:val="105"/>
          <w:sz w:val="15"/>
        </w:rPr>
        <w:t xml:space="preserve"> </w:t>
      </w:r>
      <w:r>
        <w:rPr>
          <w:w w:val="105"/>
          <w:sz w:val="15"/>
        </w:rPr>
        <w:t>con</w:t>
      </w:r>
      <w:r>
        <w:rPr>
          <w:spacing w:val="-2"/>
          <w:w w:val="105"/>
          <w:sz w:val="15"/>
        </w:rPr>
        <w:t xml:space="preserve"> </w:t>
      </w:r>
      <w:r>
        <w:rPr>
          <w:w w:val="105"/>
          <w:sz w:val="15"/>
        </w:rPr>
        <w:t>las</w:t>
      </w:r>
      <w:r>
        <w:rPr>
          <w:spacing w:val="-2"/>
          <w:w w:val="105"/>
          <w:sz w:val="15"/>
        </w:rPr>
        <w:t xml:space="preserve"> </w:t>
      </w:r>
      <w:r>
        <w:rPr>
          <w:w w:val="105"/>
          <w:sz w:val="15"/>
        </w:rPr>
        <w:t>obligaciones</w:t>
      </w:r>
      <w:r>
        <w:rPr>
          <w:spacing w:val="-2"/>
          <w:w w:val="105"/>
          <w:sz w:val="15"/>
        </w:rPr>
        <w:t xml:space="preserve"> </w:t>
      </w:r>
      <w:r>
        <w:rPr>
          <w:w w:val="105"/>
          <w:sz w:val="15"/>
        </w:rPr>
        <w:t>proactivas</w:t>
      </w:r>
      <w:r>
        <w:rPr>
          <w:spacing w:val="-2"/>
          <w:w w:val="105"/>
          <w:sz w:val="15"/>
        </w:rPr>
        <w:t xml:space="preserve"> </w:t>
      </w:r>
      <w:r>
        <w:rPr>
          <w:w w:val="105"/>
          <w:sz w:val="15"/>
        </w:rPr>
        <w:t>de</w:t>
      </w:r>
      <w:r>
        <w:rPr>
          <w:spacing w:val="-2"/>
          <w:w w:val="105"/>
          <w:sz w:val="15"/>
        </w:rPr>
        <w:t xml:space="preserve"> </w:t>
      </w:r>
      <w:r>
        <w:rPr>
          <w:w w:val="105"/>
          <w:sz w:val="15"/>
        </w:rPr>
        <w:t>igualdad</w:t>
      </w:r>
      <w:r>
        <w:rPr>
          <w:spacing w:val="-2"/>
          <w:w w:val="105"/>
          <w:sz w:val="15"/>
        </w:rPr>
        <w:t xml:space="preserve"> </w:t>
      </w:r>
      <w:r>
        <w:rPr>
          <w:w w:val="105"/>
          <w:sz w:val="15"/>
        </w:rPr>
        <w:t>y</w:t>
      </w:r>
      <w:r>
        <w:rPr>
          <w:spacing w:val="-2"/>
          <w:w w:val="105"/>
          <w:sz w:val="15"/>
        </w:rPr>
        <w:t xml:space="preserve"> </w:t>
      </w:r>
      <w:r>
        <w:rPr>
          <w:w w:val="105"/>
          <w:sz w:val="15"/>
        </w:rPr>
        <w:t>aplicación</w:t>
      </w:r>
      <w:r>
        <w:rPr>
          <w:spacing w:val="-2"/>
          <w:w w:val="105"/>
          <w:sz w:val="15"/>
        </w:rPr>
        <w:t xml:space="preserve"> </w:t>
      </w:r>
      <w:r>
        <w:rPr>
          <w:w w:val="105"/>
          <w:sz w:val="15"/>
        </w:rPr>
        <w:t>de</w:t>
      </w:r>
      <w:r>
        <w:rPr>
          <w:spacing w:val="-2"/>
          <w:w w:val="105"/>
          <w:sz w:val="15"/>
        </w:rPr>
        <w:t xml:space="preserve"> </w:t>
      </w:r>
      <w:r>
        <w:rPr>
          <w:w w:val="105"/>
          <w:sz w:val="15"/>
        </w:rPr>
        <w:t>las</w:t>
      </w:r>
      <w:r>
        <w:rPr>
          <w:spacing w:val="-2"/>
          <w:w w:val="105"/>
          <w:sz w:val="15"/>
        </w:rPr>
        <w:t xml:space="preserve"> </w:t>
      </w:r>
      <w:r>
        <w:rPr>
          <w:w w:val="105"/>
          <w:sz w:val="15"/>
        </w:rPr>
        <w:t>obligaciones</w:t>
      </w:r>
      <w:r>
        <w:rPr>
          <w:spacing w:val="-2"/>
          <w:w w:val="105"/>
          <w:sz w:val="15"/>
        </w:rPr>
        <w:t xml:space="preserve"> </w:t>
      </w:r>
      <w:r>
        <w:rPr>
          <w:w w:val="105"/>
          <w:sz w:val="15"/>
        </w:rPr>
        <w:t>de</w:t>
      </w:r>
      <w:r>
        <w:rPr>
          <w:spacing w:val="-2"/>
          <w:w w:val="105"/>
          <w:sz w:val="15"/>
        </w:rPr>
        <w:t xml:space="preserve"> </w:t>
      </w:r>
      <w:r>
        <w:rPr>
          <w:w w:val="105"/>
          <w:sz w:val="15"/>
        </w:rPr>
        <w:t>los Estados.769</w:t>
      </w:r>
      <w:r>
        <w:rPr>
          <w:spacing w:val="-6"/>
          <w:w w:val="105"/>
          <w:sz w:val="15"/>
        </w:rPr>
        <w:t xml:space="preserve"> </w:t>
      </w:r>
      <w:r>
        <w:rPr>
          <w:w w:val="105"/>
          <w:sz w:val="15"/>
        </w:rPr>
        <w:t>El</w:t>
      </w:r>
      <w:r>
        <w:rPr>
          <w:spacing w:val="-6"/>
          <w:w w:val="105"/>
          <w:sz w:val="15"/>
        </w:rPr>
        <w:t xml:space="preserve"> </w:t>
      </w:r>
      <w:r>
        <w:rPr>
          <w:w w:val="105"/>
          <w:sz w:val="15"/>
        </w:rPr>
        <w:t>Relator</w:t>
      </w:r>
      <w:r>
        <w:rPr>
          <w:spacing w:val="-6"/>
          <w:w w:val="105"/>
          <w:sz w:val="15"/>
        </w:rPr>
        <w:t xml:space="preserve"> </w:t>
      </w:r>
      <w:r>
        <w:rPr>
          <w:w w:val="105"/>
          <w:sz w:val="15"/>
        </w:rPr>
        <w:t>Especial</w:t>
      </w:r>
      <w:r>
        <w:rPr>
          <w:spacing w:val="-6"/>
          <w:w w:val="105"/>
          <w:sz w:val="15"/>
        </w:rPr>
        <w:t xml:space="preserve"> </w:t>
      </w:r>
      <w:r>
        <w:rPr>
          <w:w w:val="105"/>
          <w:sz w:val="15"/>
        </w:rPr>
        <w:t>sobre</w:t>
      </w:r>
      <w:r>
        <w:rPr>
          <w:spacing w:val="-6"/>
          <w:w w:val="105"/>
          <w:sz w:val="15"/>
        </w:rPr>
        <w:t xml:space="preserve"> </w:t>
      </w:r>
      <w:r>
        <w:rPr>
          <w:w w:val="105"/>
          <w:sz w:val="15"/>
        </w:rPr>
        <w:t>las</w:t>
      </w:r>
      <w:r>
        <w:rPr>
          <w:spacing w:val="-6"/>
          <w:w w:val="105"/>
          <w:sz w:val="15"/>
        </w:rPr>
        <w:t xml:space="preserve"> </w:t>
      </w:r>
      <w:r>
        <w:rPr>
          <w:w w:val="105"/>
          <w:sz w:val="15"/>
        </w:rPr>
        <w:t>formas</w:t>
      </w:r>
      <w:r>
        <w:rPr>
          <w:spacing w:val="-6"/>
          <w:w w:val="105"/>
          <w:sz w:val="15"/>
        </w:rPr>
        <w:t xml:space="preserve"> </w:t>
      </w:r>
      <w:r>
        <w:rPr>
          <w:w w:val="105"/>
          <w:sz w:val="15"/>
        </w:rPr>
        <w:t>contemporáneas</w:t>
      </w:r>
      <w:r>
        <w:rPr>
          <w:spacing w:val="-6"/>
          <w:w w:val="105"/>
          <w:sz w:val="15"/>
        </w:rPr>
        <w:t xml:space="preserve"> </w:t>
      </w:r>
      <w:r>
        <w:rPr>
          <w:w w:val="105"/>
          <w:sz w:val="15"/>
        </w:rPr>
        <w:t>de</w:t>
      </w:r>
      <w:r>
        <w:rPr>
          <w:spacing w:val="-6"/>
          <w:w w:val="105"/>
          <w:sz w:val="15"/>
        </w:rPr>
        <w:t xml:space="preserve"> </w:t>
      </w:r>
      <w:r>
        <w:rPr>
          <w:w w:val="105"/>
          <w:sz w:val="15"/>
        </w:rPr>
        <w:t>racismo,</w:t>
      </w:r>
      <w:r>
        <w:rPr>
          <w:spacing w:val="-5"/>
          <w:w w:val="105"/>
          <w:sz w:val="15"/>
        </w:rPr>
        <w:t xml:space="preserve"> </w:t>
      </w:r>
      <w:r>
        <w:rPr>
          <w:w w:val="105"/>
          <w:sz w:val="15"/>
        </w:rPr>
        <w:t>discriminación</w:t>
      </w:r>
      <w:r>
        <w:rPr>
          <w:spacing w:val="-6"/>
          <w:w w:val="105"/>
          <w:sz w:val="15"/>
        </w:rPr>
        <w:t xml:space="preserve"> </w:t>
      </w:r>
      <w:r>
        <w:rPr>
          <w:w w:val="105"/>
          <w:sz w:val="15"/>
        </w:rPr>
        <w:t>racial</w:t>
      </w:r>
      <w:r>
        <w:rPr>
          <w:spacing w:val="-6"/>
          <w:w w:val="105"/>
          <w:sz w:val="15"/>
        </w:rPr>
        <w:t xml:space="preserve"> </w:t>
      </w:r>
      <w:r>
        <w:rPr>
          <w:w w:val="105"/>
          <w:sz w:val="15"/>
        </w:rPr>
        <w:t>y</w:t>
      </w:r>
      <w:r>
        <w:rPr>
          <w:spacing w:val="-6"/>
          <w:w w:val="105"/>
          <w:sz w:val="15"/>
        </w:rPr>
        <w:t xml:space="preserve"> </w:t>
      </w:r>
      <w:r>
        <w:rPr>
          <w:w w:val="105"/>
          <w:sz w:val="15"/>
        </w:rPr>
        <w:t>xenofobia</w:t>
      </w:r>
      <w:r>
        <w:rPr>
          <w:spacing w:val="-6"/>
          <w:w w:val="105"/>
          <w:sz w:val="15"/>
        </w:rPr>
        <w:t xml:space="preserve"> </w:t>
      </w:r>
      <w:r>
        <w:rPr>
          <w:w w:val="105"/>
          <w:sz w:val="15"/>
        </w:rPr>
        <w:t>y</w:t>
      </w:r>
      <w:r>
        <w:rPr>
          <w:spacing w:val="-6"/>
          <w:w w:val="105"/>
          <w:sz w:val="15"/>
        </w:rPr>
        <w:t xml:space="preserve"> </w:t>
      </w:r>
      <w:r>
        <w:rPr>
          <w:w w:val="105"/>
          <w:sz w:val="15"/>
        </w:rPr>
        <w:t>las</w:t>
      </w:r>
      <w:r>
        <w:rPr>
          <w:spacing w:val="-6"/>
          <w:w w:val="105"/>
          <w:sz w:val="15"/>
        </w:rPr>
        <w:t xml:space="preserve"> </w:t>
      </w:r>
      <w:r>
        <w:rPr>
          <w:w w:val="105"/>
          <w:sz w:val="15"/>
        </w:rPr>
        <w:t>formas</w:t>
      </w:r>
      <w:r>
        <w:rPr>
          <w:spacing w:val="-6"/>
          <w:w w:val="105"/>
          <w:sz w:val="15"/>
        </w:rPr>
        <w:t xml:space="preserve"> </w:t>
      </w:r>
      <w:r>
        <w:rPr>
          <w:w w:val="105"/>
          <w:sz w:val="15"/>
        </w:rPr>
        <w:t>conexas de</w:t>
      </w:r>
      <w:r>
        <w:rPr>
          <w:spacing w:val="-4"/>
          <w:w w:val="105"/>
          <w:sz w:val="15"/>
        </w:rPr>
        <w:t xml:space="preserve"> </w:t>
      </w:r>
      <w:r>
        <w:rPr>
          <w:w w:val="105"/>
          <w:sz w:val="15"/>
        </w:rPr>
        <w:t>intolerancia</w:t>
      </w:r>
      <w:r>
        <w:rPr>
          <w:spacing w:val="-4"/>
          <w:w w:val="105"/>
          <w:sz w:val="15"/>
        </w:rPr>
        <w:t xml:space="preserve"> </w:t>
      </w:r>
      <w:r>
        <w:rPr>
          <w:w w:val="105"/>
          <w:sz w:val="15"/>
        </w:rPr>
        <w:t>ha</w:t>
      </w:r>
      <w:r>
        <w:rPr>
          <w:spacing w:val="-4"/>
          <w:w w:val="105"/>
          <w:sz w:val="15"/>
        </w:rPr>
        <w:t xml:space="preserve"> </w:t>
      </w:r>
      <w:r>
        <w:rPr>
          <w:w w:val="105"/>
          <w:sz w:val="15"/>
        </w:rPr>
        <w:t>subrayado</w:t>
      </w:r>
      <w:r>
        <w:rPr>
          <w:spacing w:val="-4"/>
          <w:w w:val="105"/>
          <w:sz w:val="15"/>
        </w:rPr>
        <w:t xml:space="preserve"> </w:t>
      </w:r>
      <w:r>
        <w:rPr>
          <w:w w:val="105"/>
          <w:sz w:val="15"/>
        </w:rPr>
        <w:t>el</w:t>
      </w:r>
      <w:r>
        <w:rPr>
          <w:spacing w:val="-4"/>
          <w:w w:val="105"/>
          <w:sz w:val="15"/>
        </w:rPr>
        <w:t xml:space="preserve"> </w:t>
      </w:r>
      <w:r>
        <w:rPr>
          <w:w w:val="105"/>
          <w:sz w:val="15"/>
        </w:rPr>
        <w:t>papel</w:t>
      </w:r>
      <w:r>
        <w:rPr>
          <w:spacing w:val="-4"/>
          <w:w w:val="105"/>
          <w:sz w:val="15"/>
        </w:rPr>
        <w:t xml:space="preserve"> </w:t>
      </w:r>
      <w:r>
        <w:rPr>
          <w:w w:val="105"/>
          <w:sz w:val="15"/>
        </w:rPr>
        <w:t>crucial</w:t>
      </w:r>
      <w:r>
        <w:rPr>
          <w:spacing w:val="-4"/>
          <w:w w:val="105"/>
          <w:sz w:val="15"/>
        </w:rPr>
        <w:t xml:space="preserve"> </w:t>
      </w:r>
      <w:r>
        <w:rPr>
          <w:w w:val="105"/>
          <w:sz w:val="15"/>
        </w:rPr>
        <w:t>que</w:t>
      </w:r>
      <w:r>
        <w:rPr>
          <w:spacing w:val="-4"/>
          <w:w w:val="105"/>
          <w:sz w:val="15"/>
        </w:rPr>
        <w:t xml:space="preserve"> </w:t>
      </w:r>
      <w:r>
        <w:rPr>
          <w:w w:val="105"/>
          <w:sz w:val="15"/>
        </w:rPr>
        <w:t>los</w:t>
      </w:r>
      <w:r>
        <w:rPr>
          <w:spacing w:val="-4"/>
          <w:w w:val="105"/>
          <w:sz w:val="15"/>
        </w:rPr>
        <w:t xml:space="preserve"> </w:t>
      </w:r>
      <w:r>
        <w:rPr>
          <w:w w:val="105"/>
          <w:sz w:val="15"/>
        </w:rPr>
        <w:t>organismos</w:t>
      </w:r>
      <w:r>
        <w:rPr>
          <w:spacing w:val="-4"/>
          <w:w w:val="105"/>
          <w:sz w:val="15"/>
        </w:rPr>
        <w:t xml:space="preserve"> </w:t>
      </w:r>
      <w:r>
        <w:rPr>
          <w:w w:val="105"/>
          <w:sz w:val="15"/>
        </w:rPr>
        <w:t>de</w:t>
      </w:r>
      <w:r>
        <w:rPr>
          <w:spacing w:val="-4"/>
          <w:w w:val="105"/>
          <w:sz w:val="15"/>
        </w:rPr>
        <w:t xml:space="preserve"> </w:t>
      </w:r>
      <w:r>
        <w:rPr>
          <w:w w:val="105"/>
          <w:sz w:val="15"/>
        </w:rPr>
        <w:t>igualdad</w:t>
      </w:r>
      <w:r>
        <w:rPr>
          <w:spacing w:val="-4"/>
          <w:w w:val="105"/>
          <w:sz w:val="15"/>
        </w:rPr>
        <w:t xml:space="preserve"> </w:t>
      </w:r>
      <w:r>
        <w:rPr>
          <w:w w:val="105"/>
          <w:sz w:val="15"/>
        </w:rPr>
        <w:t>pueden</w:t>
      </w:r>
      <w:r>
        <w:rPr>
          <w:spacing w:val="-4"/>
          <w:w w:val="105"/>
          <w:sz w:val="15"/>
        </w:rPr>
        <w:t xml:space="preserve"> </w:t>
      </w:r>
      <w:r>
        <w:rPr>
          <w:w w:val="105"/>
          <w:sz w:val="15"/>
        </w:rPr>
        <w:t>desempeñar</w:t>
      </w:r>
      <w:r>
        <w:rPr>
          <w:spacing w:val="-4"/>
          <w:w w:val="105"/>
          <w:sz w:val="15"/>
        </w:rPr>
        <w:t xml:space="preserve"> </w:t>
      </w:r>
      <w:r>
        <w:rPr>
          <w:w w:val="105"/>
          <w:sz w:val="15"/>
        </w:rPr>
        <w:t>a</w:t>
      </w:r>
      <w:r>
        <w:rPr>
          <w:spacing w:val="-4"/>
          <w:w w:val="105"/>
          <w:sz w:val="15"/>
        </w:rPr>
        <w:t xml:space="preserve"> </w:t>
      </w:r>
      <w:r>
        <w:rPr>
          <w:w w:val="105"/>
          <w:sz w:val="15"/>
        </w:rPr>
        <w:t>este</w:t>
      </w:r>
      <w:r>
        <w:rPr>
          <w:spacing w:val="-4"/>
          <w:w w:val="105"/>
          <w:sz w:val="15"/>
        </w:rPr>
        <w:t xml:space="preserve"> </w:t>
      </w:r>
      <w:r>
        <w:rPr>
          <w:w w:val="105"/>
          <w:sz w:val="15"/>
        </w:rPr>
        <w:t>respecto:</w:t>
      </w:r>
      <w:r>
        <w:rPr>
          <w:spacing w:val="-4"/>
          <w:w w:val="105"/>
          <w:sz w:val="15"/>
        </w:rPr>
        <w:t xml:space="preserve"> </w:t>
      </w:r>
      <w:r>
        <w:rPr>
          <w:w w:val="105"/>
          <w:sz w:val="15"/>
        </w:rPr>
        <w:t>crear</w:t>
      </w:r>
      <w:r>
        <w:rPr>
          <w:spacing w:val="-4"/>
          <w:w w:val="105"/>
          <w:sz w:val="15"/>
        </w:rPr>
        <w:t xml:space="preserve"> </w:t>
      </w:r>
      <w:r>
        <w:rPr>
          <w:w w:val="105"/>
          <w:sz w:val="15"/>
        </w:rPr>
        <w:t>conciencia</w:t>
      </w:r>
      <w:r>
        <w:rPr>
          <w:spacing w:val="-4"/>
          <w:w w:val="105"/>
          <w:sz w:val="15"/>
        </w:rPr>
        <w:t xml:space="preserve"> </w:t>
      </w:r>
      <w:r>
        <w:rPr>
          <w:w w:val="105"/>
          <w:sz w:val="15"/>
        </w:rPr>
        <w:t>y sensibilizar</w:t>
      </w:r>
      <w:r>
        <w:rPr>
          <w:spacing w:val="-10"/>
          <w:w w:val="105"/>
          <w:sz w:val="15"/>
        </w:rPr>
        <w:t xml:space="preserve"> </w:t>
      </w:r>
      <w:r>
        <w:rPr>
          <w:w w:val="105"/>
          <w:sz w:val="15"/>
        </w:rPr>
        <w:t>a</w:t>
      </w:r>
      <w:r>
        <w:rPr>
          <w:spacing w:val="-10"/>
          <w:w w:val="105"/>
          <w:sz w:val="15"/>
        </w:rPr>
        <w:t xml:space="preserve"> </w:t>
      </w:r>
      <w:r>
        <w:rPr>
          <w:w w:val="105"/>
          <w:sz w:val="15"/>
        </w:rPr>
        <w:t>los</w:t>
      </w:r>
      <w:r>
        <w:rPr>
          <w:spacing w:val="-10"/>
          <w:w w:val="105"/>
          <w:sz w:val="15"/>
        </w:rPr>
        <w:t xml:space="preserve"> </w:t>
      </w:r>
      <w:r>
        <w:rPr>
          <w:w w:val="105"/>
          <w:sz w:val="15"/>
        </w:rPr>
        <w:t>titulares</w:t>
      </w:r>
      <w:r>
        <w:rPr>
          <w:spacing w:val="-10"/>
          <w:w w:val="105"/>
          <w:sz w:val="15"/>
        </w:rPr>
        <w:t xml:space="preserve"> </w:t>
      </w:r>
      <w:r>
        <w:rPr>
          <w:w w:val="105"/>
          <w:sz w:val="15"/>
        </w:rPr>
        <w:t>de</w:t>
      </w:r>
      <w:r>
        <w:rPr>
          <w:spacing w:val="-10"/>
          <w:w w:val="105"/>
          <w:sz w:val="15"/>
        </w:rPr>
        <w:t xml:space="preserve"> </w:t>
      </w:r>
      <w:r>
        <w:rPr>
          <w:w w:val="105"/>
          <w:sz w:val="15"/>
        </w:rPr>
        <w:t>derechos;770</w:t>
      </w:r>
      <w:r>
        <w:rPr>
          <w:spacing w:val="-10"/>
          <w:w w:val="105"/>
          <w:sz w:val="15"/>
        </w:rPr>
        <w:t xml:space="preserve"> </w:t>
      </w:r>
      <w:r>
        <w:rPr>
          <w:w w:val="105"/>
          <w:sz w:val="15"/>
        </w:rPr>
        <w:t>y</w:t>
      </w:r>
      <w:r>
        <w:rPr>
          <w:spacing w:val="-10"/>
          <w:w w:val="105"/>
          <w:sz w:val="15"/>
        </w:rPr>
        <w:t xml:space="preserve"> </w:t>
      </w:r>
      <w:r>
        <w:rPr>
          <w:w w:val="105"/>
          <w:sz w:val="15"/>
        </w:rPr>
        <w:t>recopilar</w:t>
      </w:r>
      <w:r>
        <w:rPr>
          <w:spacing w:val="-10"/>
          <w:w w:val="105"/>
          <w:sz w:val="15"/>
        </w:rPr>
        <w:t xml:space="preserve"> </w:t>
      </w:r>
      <w:r>
        <w:rPr>
          <w:w w:val="105"/>
          <w:sz w:val="15"/>
        </w:rPr>
        <w:t>y</w:t>
      </w:r>
      <w:r>
        <w:rPr>
          <w:spacing w:val="-10"/>
          <w:w w:val="105"/>
          <w:sz w:val="15"/>
        </w:rPr>
        <w:t xml:space="preserve"> </w:t>
      </w:r>
      <w:r>
        <w:rPr>
          <w:w w:val="105"/>
          <w:sz w:val="15"/>
        </w:rPr>
        <w:t>publicar</w:t>
      </w:r>
      <w:r>
        <w:rPr>
          <w:spacing w:val="-10"/>
          <w:w w:val="105"/>
          <w:sz w:val="15"/>
        </w:rPr>
        <w:t xml:space="preserve"> </w:t>
      </w:r>
      <w:r>
        <w:rPr>
          <w:w w:val="105"/>
          <w:sz w:val="15"/>
        </w:rPr>
        <w:t>datos</w:t>
      </w:r>
      <w:r>
        <w:rPr>
          <w:spacing w:val="-10"/>
          <w:w w:val="105"/>
          <w:sz w:val="15"/>
        </w:rPr>
        <w:t xml:space="preserve"> </w:t>
      </w:r>
      <w:r>
        <w:rPr>
          <w:w w:val="105"/>
          <w:sz w:val="15"/>
        </w:rPr>
        <w:t>y</w:t>
      </w:r>
      <w:r>
        <w:rPr>
          <w:spacing w:val="-10"/>
          <w:w w:val="105"/>
          <w:sz w:val="15"/>
        </w:rPr>
        <w:t xml:space="preserve"> </w:t>
      </w:r>
      <w:r>
        <w:rPr>
          <w:w w:val="105"/>
          <w:sz w:val="15"/>
        </w:rPr>
        <w:t>estadísticas</w:t>
      </w:r>
      <w:r>
        <w:rPr>
          <w:spacing w:val="-11"/>
          <w:w w:val="105"/>
          <w:sz w:val="15"/>
        </w:rPr>
        <w:t xml:space="preserve"> </w:t>
      </w:r>
      <w:r>
        <w:rPr>
          <w:w w:val="105"/>
          <w:sz w:val="15"/>
        </w:rPr>
        <w:t>de</w:t>
      </w:r>
      <w:r>
        <w:rPr>
          <w:spacing w:val="-10"/>
          <w:w w:val="105"/>
          <w:sz w:val="15"/>
        </w:rPr>
        <w:t xml:space="preserve"> </w:t>
      </w:r>
      <w:r>
        <w:rPr>
          <w:w w:val="105"/>
          <w:sz w:val="15"/>
        </w:rPr>
        <w:t>seguimiento,</w:t>
      </w:r>
      <w:r>
        <w:rPr>
          <w:spacing w:val="-9"/>
          <w:w w:val="105"/>
          <w:sz w:val="15"/>
        </w:rPr>
        <w:t xml:space="preserve"> </w:t>
      </w:r>
      <w:r>
        <w:rPr>
          <w:w w:val="105"/>
          <w:sz w:val="15"/>
        </w:rPr>
        <w:t>que</w:t>
      </w:r>
      <w:r>
        <w:rPr>
          <w:spacing w:val="-10"/>
          <w:w w:val="105"/>
          <w:sz w:val="15"/>
        </w:rPr>
        <w:t xml:space="preserve"> </w:t>
      </w:r>
      <w:r>
        <w:rPr>
          <w:w w:val="105"/>
          <w:sz w:val="15"/>
        </w:rPr>
        <w:t>pueden</w:t>
      </w:r>
      <w:r>
        <w:rPr>
          <w:spacing w:val="-10"/>
          <w:w w:val="105"/>
          <w:sz w:val="15"/>
        </w:rPr>
        <w:t xml:space="preserve"> </w:t>
      </w:r>
      <w:r>
        <w:rPr>
          <w:w w:val="105"/>
          <w:sz w:val="15"/>
        </w:rPr>
        <w:t>apoyar</w:t>
      </w:r>
      <w:r>
        <w:rPr>
          <w:spacing w:val="-10"/>
          <w:w w:val="105"/>
          <w:sz w:val="15"/>
        </w:rPr>
        <w:t xml:space="preserve"> </w:t>
      </w:r>
      <w:r>
        <w:rPr>
          <w:w w:val="105"/>
          <w:sz w:val="15"/>
        </w:rPr>
        <w:t>el</w:t>
      </w:r>
      <w:r>
        <w:rPr>
          <w:spacing w:val="-10"/>
          <w:w w:val="105"/>
          <w:sz w:val="15"/>
        </w:rPr>
        <w:t xml:space="preserve"> </w:t>
      </w:r>
      <w:r>
        <w:rPr>
          <w:w w:val="105"/>
          <w:sz w:val="15"/>
        </w:rPr>
        <w:t>desarrollo y</w:t>
      </w:r>
      <w:r>
        <w:rPr>
          <w:spacing w:val="-2"/>
          <w:w w:val="105"/>
          <w:sz w:val="15"/>
        </w:rPr>
        <w:t xml:space="preserve"> </w:t>
      </w:r>
      <w:r>
        <w:rPr>
          <w:w w:val="105"/>
          <w:sz w:val="15"/>
        </w:rPr>
        <w:t>la</w:t>
      </w:r>
      <w:r>
        <w:rPr>
          <w:spacing w:val="-2"/>
          <w:w w:val="105"/>
          <w:sz w:val="15"/>
        </w:rPr>
        <w:t xml:space="preserve"> </w:t>
      </w:r>
      <w:r>
        <w:rPr>
          <w:w w:val="105"/>
          <w:sz w:val="15"/>
        </w:rPr>
        <w:t>implementación</w:t>
      </w:r>
      <w:r>
        <w:rPr>
          <w:spacing w:val="-2"/>
          <w:w w:val="105"/>
          <w:sz w:val="15"/>
        </w:rPr>
        <w:t xml:space="preserve"> </w:t>
      </w:r>
      <w:r>
        <w:rPr>
          <w:w w:val="105"/>
          <w:sz w:val="15"/>
        </w:rPr>
        <w:t>de</w:t>
      </w:r>
      <w:r>
        <w:rPr>
          <w:spacing w:val="-2"/>
          <w:w w:val="105"/>
          <w:sz w:val="15"/>
        </w:rPr>
        <w:t xml:space="preserve"> </w:t>
      </w:r>
      <w:r>
        <w:rPr>
          <w:w w:val="105"/>
          <w:sz w:val="15"/>
        </w:rPr>
        <w:t>políticas</w:t>
      </w:r>
      <w:r>
        <w:rPr>
          <w:spacing w:val="-2"/>
          <w:w w:val="105"/>
          <w:sz w:val="15"/>
        </w:rPr>
        <w:t xml:space="preserve"> </w:t>
      </w:r>
      <w:r>
        <w:rPr>
          <w:w w:val="105"/>
          <w:sz w:val="15"/>
        </w:rPr>
        <w:t>y</w:t>
      </w:r>
      <w:r>
        <w:rPr>
          <w:spacing w:val="-2"/>
          <w:w w:val="105"/>
          <w:sz w:val="15"/>
        </w:rPr>
        <w:t xml:space="preserve"> </w:t>
      </w:r>
      <w:r>
        <w:rPr>
          <w:w w:val="105"/>
          <w:sz w:val="15"/>
        </w:rPr>
        <w:t>ayudar</w:t>
      </w:r>
      <w:r>
        <w:rPr>
          <w:spacing w:val="-2"/>
          <w:w w:val="105"/>
          <w:sz w:val="15"/>
        </w:rPr>
        <w:t xml:space="preserve"> </w:t>
      </w:r>
      <w:r>
        <w:rPr>
          <w:w w:val="105"/>
          <w:sz w:val="15"/>
        </w:rPr>
        <w:t>a</w:t>
      </w:r>
      <w:r>
        <w:rPr>
          <w:spacing w:val="-2"/>
          <w:w w:val="105"/>
          <w:sz w:val="15"/>
        </w:rPr>
        <w:t xml:space="preserve"> </w:t>
      </w:r>
      <w:r>
        <w:rPr>
          <w:w w:val="105"/>
          <w:sz w:val="15"/>
        </w:rPr>
        <w:t>evidenciar</w:t>
      </w:r>
      <w:r>
        <w:rPr>
          <w:spacing w:val="-2"/>
          <w:w w:val="105"/>
          <w:sz w:val="15"/>
        </w:rPr>
        <w:t xml:space="preserve"> </w:t>
      </w:r>
      <w:r>
        <w:rPr>
          <w:w w:val="105"/>
          <w:sz w:val="15"/>
        </w:rPr>
        <w:t>patrones</w:t>
      </w:r>
      <w:r>
        <w:rPr>
          <w:spacing w:val="-2"/>
          <w:w w:val="105"/>
          <w:sz w:val="15"/>
        </w:rPr>
        <w:t xml:space="preserve"> </w:t>
      </w:r>
      <w:r>
        <w:rPr>
          <w:w w:val="105"/>
          <w:sz w:val="15"/>
        </w:rPr>
        <w:t>de</w:t>
      </w:r>
      <w:r>
        <w:rPr>
          <w:spacing w:val="-2"/>
          <w:w w:val="105"/>
          <w:sz w:val="15"/>
        </w:rPr>
        <w:t xml:space="preserve"> </w:t>
      </w:r>
      <w:r>
        <w:rPr>
          <w:w w:val="105"/>
          <w:sz w:val="15"/>
        </w:rPr>
        <w:t>discriminación</w:t>
      </w:r>
      <w:r>
        <w:rPr>
          <w:spacing w:val="-2"/>
          <w:w w:val="105"/>
          <w:sz w:val="15"/>
        </w:rPr>
        <w:t xml:space="preserve"> </w:t>
      </w:r>
      <w:r>
        <w:rPr>
          <w:w w:val="105"/>
          <w:sz w:val="15"/>
        </w:rPr>
        <w:t>capaces</w:t>
      </w:r>
      <w:r>
        <w:rPr>
          <w:spacing w:val="-2"/>
          <w:w w:val="105"/>
          <w:sz w:val="15"/>
        </w:rPr>
        <w:t xml:space="preserve"> </w:t>
      </w:r>
      <w:r>
        <w:rPr>
          <w:w w:val="105"/>
          <w:sz w:val="15"/>
        </w:rPr>
        <w:t>de</w:t>
      </w:r>
      <w:r>
        <w:rPr>
          <w:spacing w:val="-2"/>
          <w:w w:val="105"/>
          <w:sz w:val="15"/>
        </w:rPr>
        <w:t xml:space="preserve"> </w:t>
      </w:r>
      <w:proofErr w:type="spellStart"/>
      <w:r>
        <w:rPr>
          <w:w w:val="105"/>
          <w:sz w:val="15"/>
        </w:rPr>
        <w:t>de</w:t>
      </w:r>
      <w:proofErr w:type="spellEnd"/>
      <w:r>
        <w:rPr>
          <w:spacing w:val="-2"/>
          <w:w w:val="105"/>
          <w:sz w:val="15"/>
        </w:rPr>
        <w:t xml:space="preserve"> </w:t>
      </w:r>
      <w:r>
        <w:rPr>
          <w:w w:val="105"/>
          <w:sz w:val="15"/>
        </w:rPr>
        <w:t>dar</w:t>
      </w:r>
      <w:r>
        <w:rPr>
          <w:spacing w:val="-2"/>
          <w:w w:val="105"/>
          <w:sz w:val="15"/>
        </w:rPr>
        <w:t xml:space="preserve"> </w:t>
      </w:r>
      <w:r>
        <w:rPr>
          <w:w w:val="105"/>
          <w:sz w:val="15"/>
        </w:rPr>
        <w:t>lugar</w:t>
      </w:r>
      <w:r>
        <w:rPr>
          <w:spacing w:val="-2"/>
          <w:w w:val="105"/>
          <w:sz w:val="15"/>
        </w:rPr>
        <w:t xml:space="preserve"> </w:t>
      </w:r>
      <w:r>
        <w:rPr>
          <w:w w:val="105"/>
          <w:sz w:val="15"/>
        </w:rPr>
        <w:t>a</w:t>
      </w:r>
      <w:r>
        <w:rPr>
          <w:spacing w:val="-2"/>
          <w:w w:val="105"/>
          <w:sz w:val="15"/>
        </w:rPr>
        <w:t xml:space="preserve"> </w:t>
      </w:r>
      <w:r>
        <w:rPr>
          <w:w w:val="105"/>
          <w:sz w:val="15"/>
        </w:rPr>
        <w:t>una</w:t>
      </w:r>
      <w:r>
        <w:rPr>
          <w:spacing w:val="-2"/>
          <w:w w:val="105"/>
          <w:sz w:val="15"/>
        </w:rPr>
        <w:t xml:space="preserve"> </w:t>
      </w:r>
      <w:r>
        <w:rPr>
          <w:w w:val="105"/>
          <w:sz w:val="15"/>
        </w:rPr>
        <w:t>inferencia</w:t>
      </w:r>
      <w:r>
        <w:rPr>
          <w:spacing w:val="-2"/>
          <w:w w:val="105"/>
          <w:sz w:val="15"/>
        </w:rPr>
        <w:t xml:space="preserve"> </w:t>
      </w:r>
      <w:r>
        <w:rPr>
          <w:w w:val="105"/>
          <w:sz w:val="15"/>
        </w:rPr>
        <w:t>de discriminación</w:t>
      </w:r>
      <w:r>
        <w:rPr>
          <w:spacing w:val="-4"/>
          <w:w w:val="105"/>
          <w:sz w:val="15"/>
        </w:rPr>
        <w:t xml:space="preserve"> </w:t>
      </w:r>
      <w:r>
        <w:rPr>
          <w:w w:val="105"/>
          <w:sz w:val="15"/>
        </w:rPr>
        <w:t>en</w:t>
      </w:r>
      <w:r>
        <w:rPr>
          <w:spacing w:val="-4"/>
          <w:w w:val="105"/>
          <w:sz w:val="15"/>
        </w:rPr>
        <w:t xml:space="preserve"> </w:t>
      </w:r>
      <w:r>
        <w:rPr>
          <w:w w:val="105"/>
          <w:sz w:val="15"/>
        </w:rPr>
        <w:t>casos</w:t>
      </w:r>
      <w:r>
        <w:rPr>
          <w:spacing w:val="-4"/>
          <w:w w:val="105"/>
          <w:sz w:val="15"/>
        </w:rPr>
        <w:t xml:space="preserve"> </w:t>
      </w:r>
      <w:r>
        <w:rPr>
          <w:w w:val="105"/>
          <w:sz w:val="15"/>
        </w:rPr>
        <w:t>concretos.771</w:t>
      </w:r>
      <w:r>
        <w:rPr>
          <w:spacing w:val="-4"/>
          <w:w w:val="105"/>
          <w:sz w:val="15"/>
        </w:rPr>
        <w:t xml:space="preserve"> </w:t>
      </w:r>
      <w:r>
        <w:rPr>
          <w:w w:val="105"/>
          <w:sz w:val="15"/>
        </w:rPr>
        <w:t>Para</w:t>
      </w:r>
      <w:r>
        <w:rPr>
          <w:spacing w:val="-4"/>
          <w:w w:val="105"/>
          <w:sz w:val="15"/>
        </w:rPr>
        <w:t xml:space="preserve"> </w:t>
      </w:r>
      <w:r>
        <w:rPr>
          <w:w w:val="105"/>
          <w:sz w:val="15"/>
        </w:rPr>
        <w:t>garantizar</w:t>
      </w:r>
      <w:r>
        <w:rPr>
          <w:spacing w:val="-4"/>
          <w:w w:val="105"/>
          <w:sz w:val="15"/>
        </w:rPr>
        <w:t xml:space="preserve"> </w:t>
      </w:r>
      <w:r>
        <w:rPr>
          <w:w w:val="105"/>
          <w:sz w:val="15"/>
        </w:rPr>
        <w:t>que</w:t>
      </w:r>
      <w:r>
        <w:rPr>
          <w:spacing w:val="-4"/>
          <w:w w:val="105"/>
          <w:sz w:val="15"/>
        </w:rPr>
        <w:t xml:space="preserve"> </w:t>
      </w:r>
      <w:r>
        <w:rPr>
          <w:w w:val="105"/>
          <w:sz w:val="15"/>
        </w:rPr>
        <w:t>los</w:t>
      </w:r>
      <w:r>
        <w:rPr>
          <w:spacing w:val="-4"/>
          <w:w w:val="105"/>
          <w:sz w:val="15"/>
        </w:rPr>
        <w:t xml:space="preserve"> </w:t>
      </w:r>
      <w:r>
        <w:rPr>
          <w:w w:val="105"/>
          <w:sz w:val="15"/>
        </w:rPr>
        <w:t>organismos</w:t>
      </w:r>
      <w:r>
        <w:rPr>
          <w:spacing w:val="-4"/>
          <w:w w:val="105"/>
          <w:sz w:val="15"/>
        </w:rPr>
        <w:t xml:space="preserve"> </w:t>
      </w:r>
      <w:r>
        <w:rPr>
          <w:w w:val="105"/>
          <w:sz w:val="15"/>
        </w:rPr>
        <w:t>de</w:t>
      </w:r>
      <w:r>
        <w:rPr>
          <w:spacing w:val="-4"/>
          <w:w w:val="105"/>
          <w:sz w:val="15"/>
        </w:rPr>
        <w:t xml:space="preserve"> </w:t>
      </w:r>
      <w:r>
        <w:rPr>
          <w:w w:val="105"/>
          <w:sz w:val="15"/>
        </w:rPr>
        <w:t>igualdad</w:t>
      </w:r>
      <w:r>
        <w:rPr>
          <w:spacing w:val="-4"/>
          <w:w w:val="105"/>
          <w:sz w:val="15"/>
        </w:rPr>
        <w:t xml:space="preserve"> </w:t>
      </w:r>
      <w:r>
        <w:rPr>
          <w:w w:val="105"/>
          <w:sz w:val="15"/>
        </w:rPr>
        <w:t>puedan</w:t>
      </w:r>
      <w:r>
        <w:rPr>
          <w:spacing w:val="-4"/>
          <w:w w:val="105"/>
          <w:sz w:val="15"/>
        </w:rPr>
        <w:t xml:space="preserve"> </w:t>
      </w:r>
      <w:r>
        <w:rPr>
          <w:w w:val="105"/>
          <w:sz w:val="15"/>
        </w:rPr>
        <w:t>cumplir</w:t>
      </w:r>
      <w:r>
        <w:rPr>
          <w:spacing w:val="-4"/>
          <w:w w:val="105"/>
          <w:sz w:val="15"/>
        </w:rPr>
        <w:t xml:space="preserve"> </w:t>
      </w:r>
      <w:r>
        <w:rPr>
          <w:w w:val="105"/>
          <w:sz w:val="15"/>
        </w:rPr>
        <w:t>su</w:t>
      </w:r>
      <w:r>
        <w:rPr>
          <w:spacing w:val="-4"/>
          <w:w w:val="105"/>
          <w:sz w:val="15"/>
        </w:rPr>
        <w:t xml:space="preserve"> </w:t>
      </w:r>
      <w:r>
        <w:rPr>
          <w:w w:val="105"/>
          <w:sz w:val="15"/>
        </w:rPr>
        <w:t>mandato</w:t>
      </w:r>
      <w:r>
        <w:rPr>
          <w:spacing w:val="-4"/>
          <w:w w:val="105"/>
          <w:sz w:val="15"/>
        </w:rPr>
        <w:t xml:space="preserve"> </w:t>
      </w:r>
      <w:r>
        <w:rPr>
          <w:w w:val="105"/>
          <w:sz w:val="15"/>
        </w:rPr>
        <w:t>de</w:t>
      </w:r>
      <w:r>
        <w:rPr>
          <w:spacing w:val="-4"/>
          <w:w w:val="105"/>
          <w:sz w:val="15"/>
        </w:rPr>
        <w:t xml:space="preserve"> </w:t>
      </w:r>
      <w:r>
        <w:rPr>
          <w:w w:val="105"/>
          <w:sz w:val="15"/>
        </w:rPr>
        <w:t>promoción</w:t>
      </w:r>
      <w:r>
        <w:rPr>
          <w:spacing w:val="-4"/>
          <w:w w:val="105"/>
          <w:sz w:val="15"/>
        </w:rPr>
        <w:t xml:space="preserve"> </w:t>
      </w:r>
      <w:r>
        <w:rPr>
          <w:w w:val="105"/>
          <w:sz w:val="15"/>
        </w:rPr>
        <w:t>y prevención</w:t>
      </w:r>
      <w:r>
        <w:rPr>
          <w:spacing w:val="-8"/>
          <w:w w:val="105"/>
          <w:sz w:val="15"/>
        </w:rPr>
        <w:t xml:space="preserve"> </w:t>
      </w:r>
      <w:r>
        <w:rPr>
          <w:w w:val="105"/>
          <w:sz w:val="15"/>
        </w:rPr>
        <w:t>de</w:t>
      </w:r>
      <w:r>
        <w:rPr>
          <w:spacing w:val="-8"/>
          <w:w w:val="105"/>
          <w:sz w:val="15"/>
        </w:rPr>
        <w:t xml:space="preserve"> </w:t>
      </w:r>
      <w:r>
        <w:rPr>
          <w:w w:val="105"/>
          <w:sz w:val="15"/>
        </w:rPr>
        <w:t>manera</w:t>
      </w:r>
      <w:r>
        <w:rPr>
          <w:spacing w:val="-8"/>
          <w:w w:val="105"/>
          <w:sz w:val="15"/>
        </w:rPr>
        <w:t xml:space="preserve"> </w:t>
      </w:r>
      <w:r>
        <w:rPr>
          <w:w w:val="105"/>
          <w:sz w:val="15"/>
        </w:rPr>
        <w:t>efectiva,</w:t>
      </w:r>
      <w:r>
        <w:rPr>
          <w:spacing w:val="-8"/>
          <w:w w:val="105"/>
          <w:sz w:val="15"/>
        </w:rPr>
        <w:t xml:space="preserve"> </w:t>
      </w:r>
      <w:r>
        <w:rPr>
          <w:w w:val="105"/>
          <w:sz w:val="15"/>
        </w:rPr>
        <w:t>es</w:t>
      </w:r>
      <w:r>
        <w:rPr>
          <w:spacing w:val="-8"/>
          <w:w w:val="105"/>
          <w:sz w:val="15"/>
        </w:rPr>
        <w:t xml:space="preserve"> </w:t>
      </w:r>
      <w:r>
        <w:rPr>
          <w:w w:val="105"/>
          <w:sz w:val="15"/>
        </w:rPr>
        <w:t>importante</w:t>
      </w:r>
      <w:r>
        <w:rPr>
          <w:spacing w:val="-8"/>
          <w:w w:val="105"/>
          <w:sz w:val="15"/>
        </w:rPr>
        <w:t xml:space="preserve"> </w:t>
      </w:r>
      <w:r>
        <w:rPr>
          <w:w w:val="105"/>
          <w:sz w:val="15"/>
        </w:rPr>
        <w:t>que</w:t>
      </w:r>
      <w:r>
        <w:rPr>
          <w:spacing w:val="-8"/>
          <w:w w:val="105"/>
          <w:sz w:val="15"/>
        </w:rPr>
        <w:t xml:space="preserve"> </w:t>
      </w:r>
      <w:r>
        <w:rPr>
          <w:w w:val="105"/>
          <w:sz w:val="15"/>
        </w:rPr>
        <w:t>se</w:t>
      </w:r>
      <w:r>
        <w:rPr>
          <w:spacing w:val="-8"/>
          <w:w w:val="105"/>
          <w:sz w:val="15"/>
        </w:rPr>
        <w:t xml:space="preserve"> </w:t>
      </w:r>
      <w:r>
        <w:rPr>
          <w:w w:val="105"/>
          <w:sz w:val="15"/>
        </w:rPr>
        <w:t>identifiquen</w:t>
      </w:r>
      <w:r>
        <w:rPr>
          <w:spacing w:val="-8"/>
          <w:w w:val="105"/>
          <w:sz w:val="15"/>
        </w:rPr>
        <w:t xml:space="preserve"> </w:t>
      </w:r>
      <w:r>
        <w:rPr>
          <w:w w:val="105"/>
          <w:sz w:val="15"/>
        </w:rPr>
        <w:t>y</w:t>
      </w:r>
      <w:r>
        <w:rPr>
          <w:spacing w:val="-8"/>
          <w:w w:val="105"/>
          <w:sz w:val="15"/>
        </w:rPr>
        <w:t xml:space="preserve"> </w:t>
      </w:r>
      <w:r>
        <w:rPr>
          <w:w w:val="105"/>
          <w:sz w:val="15"/>
        </w:rPr>
        <w:t>aborden</w:t>
      </w:r>
      <w:r>
        <w:rPr>
          <w:spacing w:val="-8"/>
          <w:w w:val="105"/>
          <w:sz w:val="15"/>
        </w:rPr>
        <w:t xml:space="preserve"> </w:t>
      </w:r>
      <w:r>
        <w:rPr>
          <w:w w:val="105"/>
          <w:sz w:val="15"/>
        </w:rPr>
        <w:t>las</w:t>
      </w:r>
      <w:r>
        <w:rPr>
          <w:spacing w:val="-8"/>
          <w:w w:val="105"/>
          <w:sz w:val="15"/>
        </w:rPr>
        <w:t xml:space="preserve"> </w:t>
      </w:r>
      <w:r>
        <w:rPr>
          <w:w w:val="105"/>
          <w:sz w:val="15"/>
        </w:rPr>
        <w:t>barreras</w:t>
      </w:r>
      <w:r>
        <w:rPr>
          <w:spacing w:val="-8"/>
          <w:w w:val="105"/>
          <w:sz w:val="15"/>
        </w:rPr>
        <w:t xml:space="preserve"> </w:t>
      </w:r>
      <w:r>
        <w:rPr>
          <w:w w:val="105"/>
          <w:sz w:val="15"/>
        </w:rPr>
        <w:t>a</w:t>
      </w:r>
      <w:r>
        <w:rPr>
          <w:spacing w:val="-8"/>
          <w:w w:val="105"/>
          <w:sz w:val="15"/>
        </w:rPr>
        <w:t xml:space="preserve"> </w:t>
      </w:r>
      <w:r>
        <w:rPr>
          <w:w w:val="105"/>
          <w:sz w:val="15"/>
        </w:rPr>
        <w:t>la</w:t>
      </w:r>
      <w:r>
        <w:rPr>
          <w:spacing w:val="-8"/>
          <w:w w:val="105"/>
          <w:sz w:val="15"/>
        </w:rPr>
        <w:t xml:space="preserve"> </w:t>
      </w:r>
      <w:r>
        <w:rPr>
          <w:w w:val="105"/>
          <w:sz w:val="15"/>
        </w:rPr>
        <w:t>recopilación</w:t>
      </w:r>
      <w:r>
        <w:rPr>
          <w:spacing w:val="-8"/>
          <w:w w:val="105"/>
          <w:sz w:val="15"/>
        </w:rPr>
        <w:t xml:space="preserve"> </w:t>
      </w:r>
      <w:r>
        <w:rPr>
          <w:w w:val="105"/>
          <w:sz w:val="15"/>
        </w:rPr>
        <w:t>de</w:t>
      </w:r>
      <w:r>
        <w:rPr>
          <w:spacing w:val="-8"/>
          <w:w w:val="105"/>
          <w:sz w:val="15"/>
        </w:rPr>
        <w:t xml:space="preserve"> </w:t>
      </w:r>
      <w:r>
        <w:rPr>
          <w:w w:val="105"/>
          <w:sz w:val="15"/>
        </w:rPr>
        <w:t>datos,</w:t>
      </w:r>
      <w:r>
        <w:rPr>
          <w:spacing w:val="-8"/>
          <w:w w:val="105"/>
          <w:sz w:val="15"/>
        </w:rPr>
        <w:t xml:space="preserve"> </w:t>
      </w:r>
      <w:r>
        <w:rPr>
          <w:w w:val="105"/>
          <w:sz w:val="15"/>
        </w:rPr>
        <w:t>y</w:t>
      </w:r>
      <w:r>
        <w:rPr>
          <w:spacing w:val="-8"/>
          <w:w w:val="105"/>
          <w:sz w:val="15"/>
        </w:rPr>
        <w:t xml:space="preserve"> </w:t>
      </w:r>
      <w:r>
        <w:rPr>
          <w:w w:val="105"/>
          <w:sz w:val="15"/>
        </w:rPr>
        <w:t>que</w:t>
      </w:r>
      <w:r>
        <w:rPr>
          <w:spacing w:val="-8"/>
          <w:w w:val="105"/>
          <w:sz w:val="15"/>
        </w:rPr>
        <w:t xml:space="preserve"> </w:t>
      </w:r>
      <w:r>
        <w:rPr>
          <w:w w:val="105"/>
          <w:sz w:val="15"/>
        </w:rPr>
        <w:t>la</w:t>
      </w:r>
      <w:r>
        <w:rPr>
          <w:spacing w:val="-8"/>
          <w:w w:val="105"/>
          <w:sz w:val="15"/>
        </w:rPr>
        <w:t xml:space="preserve"> </w:t>
      </w:r>
      <w:r>
        <w:rPr>
          <w:w w:val="105"/>
          <w:sz w:val="15"/>
        </w:rPr>
        <w:t>existencia, disponibilidad</w:t>
      </w:r>
      <w:r>
        <w:rPr>
          <w:spacing w:val="-3"/>
          <w:w w:val="105"/>
          <w:sz w:val="15"/>
        </w:rPr>
        <w:t xml:space="preserve"> </w:t>
      </w:r>
      <w:r>
        <w:rPr>
          <w:w w:val="105"/>
          <w:sz w:val="15"/>
        </w:rPr>
        <w:t>y</w:t>
      </w:r>
      <w:r>
        <w:rPr>
          <w:spacing w:val="-3"/>
          <w:w w:val="105"/>
          <w:sz w:val="15"/>
        </w:rPr>
        <w:t xml:space="preserve"> </w:t>
      </w:r>
      <w:r>
        <w:rPr>
          <w:w w:val="105"/>
          <w:sz w:val="15"/>
        </w:rPr>
        <w:t>trabajo</w:t>
      </w:r>
      <w:r>
        <w:rPr>
          <w:spacing w:val="-3"/>
          <w:w w:val="105"/>
          <w:sz w:val="15"/>
        </w:rPr>
        <w:t xml:space="preserve"> </w:t>
      </w:r>
      <w:r>
        <w:rPr>
          <w:w w:val="105"/>
          <w:sz w:val="15"/>
        </w:rPr>
        <w:t>de</w:t>
      </w:r>
      <w:r>
        <w:rPr>
          <w:spacing w:val="-3"/>
          <w:w w:val="105"/>
          <w:sz w:val="15"/>
        </w:rPr>
        <w:t xml:space="preserve"> </w:t>
      </w:r>
      <w:r>
        <w:rPr>
          <w:w w:val="105"/>
          <w:sz w:val="15"/>
        </w:rPr>
        <w:t>los</w:t>
      </w:r>
      <w:r>
        <w:rPr>
          <w:spacing w:val="-3"/>
          <w:w w:val="105"/>
          <w:sz w:val="15"/>
        </w:rPr>
        <w:t xml:space="preserve"> </w:t>
      </w:r>
      <w:r>
        <w:rPr>
          <w:w w:val="105"/>
          <w:sz w:val="15"/>
        </w:rPr>
        <w:t>organismos</w:t>
      </w:r>
      <w:r>
        <w:rPr>
          <w:spacing w:val="-3"/>
          <w:w w:val="105"/>
          <w:sz w:val="15"/>
        </w:rPr>
        <w:t xml:space="preserve"> </w:t>
      </w:r>
      <w:r>
        <w:rPr>
          <w:w w:val="105"/>
          <w:sz w:val="15"/>
        </w:rPr>
        <w:t>de</w:t>
      </w:r>
      <w:r>
        <w:rPr>
          <w:spacing w:val="-3"/>
          <w:w w:val="105"/>
          <w:sz w:val="15"/>
        </w:rPr>
        <w:t xml:space="preserve"> </w:t>
      </w:r>
      <w:r>
        <w:rPr>
          <w:w w:val="105"/>
          <w:sz w:val="15"/>
        </w:rPr>
        <w:t>igualdad</w:t>
      </w:r>
      <w:r>
        <w:rPr>
          <w:spacing w:val="-3"/>
          <w:w w:val="105"/>
          <w:sz w:val="15"/>
        </w:rPr>
        <w:t xml:space="preserve"> </w:t>
      </w:r>
      <w:r>
        <w:rPr>
          <w:w w:val="105"/>
          <w:sz w:val="15"/>
        </w:rPr>
        <w:t>ser</w:t>
      </w:r>
      <w:r>
        <w:rPr>
          <w:spacing w:val="-3"/>
          <w:w w:val="105"/>
          <w:sz w:val="15"/>
        </w:rPr>
        <w:t xml:space="preserve"> </w:t>
      </w:r>
      <w:r>
        <w:rPr>
          <w:w w:val="105"/>
          <w:sz w:val="15"/>
        </w:rPr>
        <w:t>bien</w:t>
      </w:r>
      <w:r>
        <w:rPr>
          <w:spacing w:val="-3"/>
          <w:w w:val="105"/>
          <w:sz w:val="15"/>
        </w:rPr>
        <w:t xml:space="preserve"> </w:t>
      </w:r>
      <w:r>
        <w:rPr>
          <w:w w:val="105"/>
          <w:sz w:val="15"/>
        </w:rPr>
        <w:t>publicitado</w:t>
      </w:r>
      <w:r>
        <w:rPr>
          <w:spacing w:val="-3"/>
          <w:w w:val="105"/>
          <w:sz w:val="15"/>
        </w:rPr>
        <w:t xml:space="preserve"> </w:t>
      </w:r>
      <w:r>
        <w:rPr>
          <w:w w:val="105"/>
          <w:sz w:val="15"/>
        </w:rPr>
        <w:t>entre</w:t>
      </w:r>
      <w:r>
        <w:rPr>
          <w:spacing w:val="-3"/>
          <w:w w:val="105"/>
          <w:sz w:val="15"/>
        </w:rPr>
        <w:t xml:space="preserve"> </w:t>
      </w:r>
      <w:r>
        <w:rPr>
          <w:w w:val="105"/>
          <w:sz w:val="15"/>
        </w:rPr>
        <w:t>los</w:t>
      </w:r>
      <w:r>
        <w:rPr>
          <w:spacing w:val="-3"/>
          <w:w w:val="105"/>
          <w:sz w:val="15"/>
        </w:rPr>
        <w:t xml:space="preserve"> </w:t>
      </w:r>
      <w:r>
        <w:rPr>
          <w:w w:val="105"/>
          <w:sz w:val="15"/>
        </w:rPr>
        <w:t>usuarios</w:t>
      </w:r>
      <w:r>
        <w:rPr>
          <w:spacing w:val="-3"/>
          <w:w w:val="105"/>
          <w:sz w:val="15"/>
        </w:rPr>
        <w:t xml:space="preserve"> </w:t>
      </w:r>
      <w:r>
        <w:rPr>
          <w:w w:val="105"/>
          <w:sz w:val="15"/>
        </w:rPr>
        <w:t>potenciales.772</w:t>
      </w:r>
    </w:p>
    <w:p w14:paraId="47597947" w14:textId="77777777" w:rsidR="0014798C" w:rsidRDefault="004E1F0B">
      <w:pPr>
        <w:spacing w:before="137" w:line="273" w:lineRule="auto"/>
        <w:ind w:left="1112" w:right="1272" w:hanging="7"/>
        <w:rPr>
          <w:sz w:val="19"/>
        </w:rPr>
      </w:pPr>
      <w:r>
        <w:rPr>
          <w:sz w:val="19"/>
        </w:rPr>
        <w:t>Para garantizar su eficacia, la Comisión Europea contra el Racismo y la Intolerancia concluye que los organismos</w:t>
      </w:r>
      <w:r>
        <w:rPr>
          <w:spacing w:val="-7"/>
          <w:sz w:val="19"/>
        </w:rPr>
        <w:t xml:space="preserve"> </w:t>
      </w:r>
      <w:r>
        <w:rPr>
          <w:sz w:val="19"/>
        </w:rPr>
        <w:t>de</w:t>
      </w:r>
      <w:r>
        <w:rPr>
          <w:spacing w:val="-7"/>
          <w:sz w:val="19"/>
        </w:rPr>
        <w:t xml:space="preserve"> </w:t>
      </w:r>
      <w:r>
        <w:rPr>
          <w:sz w:val="19"/>
        </w:rPr>
        <w:t>igualdad</w:t>
      </w:r>
      <w:r>
        <w:rPr>
          <w:spacing w:val="-7"/>
          <w:sz w:val="19"/>
        </w:rPr>
        <w:t xml:space="preserve"> </w:t>
      </w:r>
      <w:r>
        <w:rPr>
          <w:sz w:val="19"/>
        </w:rPr>
        <w:t>deberían</w:t>
      </w:r>
      <w:r>
        <w:rPr>
          <w:spacing w:val="-7"/>
          <w:sz w:val="19"/>
        </w:rPr>
        <w:t xml:space="preserve"> </w:t>
      </w:r>
      <w:r>
        <w:rPr>
          <w:sz w:val="19"/>
        </w:rPr>
        <w:t>tener</w:t>
      </w:r>
      <w:r>
        <w:rPr>
          <w:spacing w:val="-7"/>
          <w:sz w:val="19"/>
        </w:rPr>
        <w:t xml:space="preserve"> </w:t>
      </w:r>
      <w:r>
        <w:rPr>
          <w:sz w:val="19"/>
        </w:rPr>
        <w:t>“poderes</w:t>
      </w:r>
      <w:r>
        <w:rPr>
          <w:spacing w:val="-7"/>
          <w:sz w:val="19"/>
        </w:rPr>
        <w:t xml:space="preserve"> </w:t>
      </w:r>
      <w:r>
        <w:rPr>
          <w:sz w:val="19"/>
        </w:rPr>
        <w:t>para</w:t>
      </w:r>
      <w:r>
        <w:rPr>
          <w:spacing w:val="-7"/>
          <w:sz w:val="19"/>
        </w:rPr>
        <w:t xml:space="preserve"> </w:t>
      </w:r>
      <w:r>
        <w:rPr>
          <w:sz w:val="19"/>
        </w:rPr>
        <w:t>obtener</w:t>
      </w:r>
      <w:r>
        <w:rPr>
          <w:spacing w:val="-7"/>
          <w:sz w:val="19"/>
        </w:rPr>
        <w:t xml:space="preserve"> </w:t>
      </w:r>
      <w:r>
        <w:rPr>
          <w:sz w:val="19"/>
        </w:rPr>
        <w:t>pruebas</w:t>
      </w:r>
      <w:r>
        <w:rPr>
          <w:spacing w:val="-7"/>
          <w:sz w:val="19"/>
        </w:rPr>
        <w:t xml:space="preserve"> </w:t>
      </w:r>
      <w:r>
        <w:rPr>
          <w:sz w:val="19"/>
        </w:rPr>
        <w:t>e</w:t>
      </w:r>
      <w:r>
        <w:rPr>
          <w:spacing w:val="-7"/>
          <w:sz w:val="19"/>
        </w:rPr>
        <w:t xml:space="preserve"> </w:t>
      </w:r>
      <w:r>
        <w:rPr>
          <w:sz w:val="19"/>
        </w:rPr>
        <w:t>información”.773</w:t>
      </w:r>
      <w:r>
        <w:rPr>
          <w:spacing w:val="-7"/>
          <w:sz w:val="19"/>
        </w:rPr>
        <w:t xml:space="preserve"> </w:t>
      </w:r>
      <w:r>
        <w:rPr>
          <w:sz w:val="19"/>
        </w:rPr>
        <w:t>Esto</w:t>
      </w:r>
      <w:r>
        <w:rPr>
          <w:spacing w:val="-7"/>
          <w:sz w:val="19"/>
        </w:rPr>
        <w:t xml:space="preserve"> </w:t>
      </w:r>
      <w:r>
        <w:rPr>
          <w:sz w:val="19"/>
        </w:rPr>
        <w:t>debería</w:t>
      </w:r>
      <w:r>
        <w:rPr>
          <w:spacing w:val="-7"/>
          <w:sz w:val="19"/>
        </w:rPr>
        <w:t xml:space="preserve"> </w:t>
      </w:r>
      <w:r>
        <w:rPr>
          <w:sz w:val="19"/>
        </w:rPr>
        <w:t>incluir poderes</w:t>
      </w:r>
      <w:r>
        <w:rPr>
          <w:spacing w:val="-10"/>
          <w:sz w:val="19"/>
        </w:rPr>
        <w:t xml:space="preserve"> </w:t>
      </w:r>
      <w:r>
        <w:rPr>
          <w:sz w:val="19"/>
        </w:rPr>
        <w:t>para:</w:t>
      </w:r>
      <w:r>
        <w:rPr>
          <w:spacing w:val="-10"/>
          <w:sz w:val="19"/>
        </w:rPr>
        <w:t xml:space="preserve"> </w:t>
      </w:r>
      <w:r>
        <w:rPr>
          <w:sz w:val="19"/>
        </w:rPr>
        <w:t>(a)</w:t>
      </w:r>
      <w:r>
        <w:rPr>
          <w:spacing w:val="-9"/>
          <w:sz w:val="19"/>
        </w:rPr>
        <w:t xml:space="preserve"> </w:t>
      </w:r>
      <w:r>
        <w:rPr>
          <w:sz w:val="19"/>
        </w:rPr>
        <w:t>“exigir</w:t>
      </w:r>
      <w:r>
        <w:rPr>
          <w:spacing w:val="-10"/>
          <w:sz w:val="19"/>
        </w:rPr>
        <w:t xml:space="preserve"> </w:t>
      </w:r>
      <w:r>
        <w:rPr>
          <w:sz w:val="19"/>
        </w:rPr>
        <w:t>la</w:t>
      </w:r>
      <w:r>
        <w:rPr>
          <w:spacing w:val="-9"/>
          <w:sz w:val="19"/>
        </w:rPr>
        <w:t xml:space="preserve"> </w:t>
      </w:r>
      <w:r>
        <w:rPr>
          <w:sz w:val="19"/>
        </w:rPr>
        <w:t>presentación</w:t>
      </w:r>
      <w:r>
        <w:rPr>
          <w:spacing w:val="-10"/>
          <w:sz w:val="19"/>
        </w:rPr>
        <w:t xml:space="preserve"> </w:t>
      </w:r>
      <w:r>
        <w:rPr>
          <w:sz w:val="19"/>
        </w:rPr>
        <w:t>de</w:t>
      </w:r>
      <w:r>
        <w:rPr>
          <w:spacing w:val="-9"/>
          <w:sz w:val="19"/>
        </w:rPr>
        <w:t xml:space="preserve"> </w:t>
      </w:r>
      <w:r>
        <w:rPr>
          <w:sz w:val="19"/>
        </w:rPr>
        <w:t>expedientes,</w:t>
      </w:r>
      <w:r>
        <w:rPr>
          <w:spacing w:val="-9"/>
          <w:sz w:val="19"/>
        </w:rPr>
        <w:t xml:space="preserve"> </w:t>
      </w:r>
      <w:r>
        <w:rPr>
          <w:sz w:val="19"/>
        </w:rPr>
        <w:t>documentos</w:t>
      </w:r>
      <w:r>
        <w:rPr>
          <w:spacing w:val="-10"/>
          <w:sz w:val="19"/>
        </w:rPr>
        <w:t xml:space="preserve"> </w:t>
      </w:r>
      <w:r>
        <w:rPr>
          <w:sz w:val="19"/>
        </w:rPr>
        <w:t>y</w:t>
      </w:r>
      <w:r>
        <w:rPr>
          <w:spacing w:val="-9"/>
          <w:sz w:val="19"/>
        </w:rPr>
        <w:t xml:space="preserve"> </w:t>
      </w:r>
      <w:r>
        <w:rPr>
          <w:sz w:val="19"/>
        </w:rPr>
        <w:t>otro</w:t>
      </w:r>
      <w:r>
        <w:rPr>
          <w:spacing w:val="-10"/>
          <w:sz w:val="19"/>
        </w:rPr>
        <w:t xml:space="preserve"> </w:t>
      </w:r>
      <w:r>
        <w:rPr>
          <w:sz w:val="19"/>
        </w:rPr>
        <w:t>material</w:t>
      </w:r>
      <w:r>
        <w:rPr>
          <w:spacing w:val="-9"/>
          <w:sz w:val="19"/>
        </w:rPr>
        <w:t xml:space="preserve"> </w:t>
      </w:r>
      <w:r>
        <w:rPr>
          <w:sz w:val="19"/>
        </w:rPr>
        <w:t>para</w:t>
      </w:r>
      <w:r>
        <w:rPr>
          <w:spacing w:val="-10"/>
          <w:sz w:val="19"/>
        </w:rPr>
        <w:t xml:space="preserve"> </w:t>
      </w:r>
      <w:proofErr w:type="gramStart"/>
      <w:r>
        <w:rPr>
          <w:sz w:val="19"/>
        </w:rPr>
        <w:t>inspección</w:t>
      </w:r>
      <w:r>
        <w:rPr>
          <w:spacing w:val="-10"/>
          <w:sz w:val="19"/>
        </w:rPr>
        <w:t xml:space="preserve"> </w:t>
      </w:r>
      <w:r>
        <w:rPr>
          <w:sz w:val="19"/>
        </w:rPr>
        <w:t>,</w:t>
      </w:r>
      <w:proofErr w:type="gramEnd"/>
      <w:r>
        <w:rPr>
          <w:spacing w:val="-9"/>
          <w:sz w:val="19"/>
        </w:rPr>
        <w:t xml:space="preserve"> </w:t>
      </w:r>
      <w:r>
        <w:rPr>
          <w:spacing w:val="-2"/>
          <w:sz w:val="19"/>
        </w:rPr>
        <w:t>examen</w:t>
      </w:r>
    </w:p>
    <w:p w14:paraId="4E8E6E6F" w14:textId="77777777" w:rsidR="0014798C" w:rsidRDefault="004E1F0B">
      <w:pPr>
        <w:spacing w:before="2"/>
        <w:ind w:left="1108"/>
        <w:rPr>
          <w:sz w:val="19"/>
        </w:rPr>
      </w:pPr>
      <w:r>
        <w:rPr>
          <w:spacing w:val="-4"/>
          <w:sz w:val="19"/>
        </w:rPr>
        <w:t>y</w:t>
      </w:r>
      <w:r>
        <w:rPr>
          <w:spacing w:val="-9"/>
          <w:sz w:val="19"/>
        </w:rPr>
        <w:t xml:space="preserve"> </w:t>
      </w:r>
      <w:r>
        <w:rPr>
          <w:spacing w:val="-4"/>
          <w:sz w:val="19"/>
        </w:rPr>
        <w:t>copia</w:t>
      </w:r>
      <w:r>
        <w:rPr>
          <w:spacing w:val="-8"/>
          <w:sz w:val="19"/>
        </w:rPr>
        <w:t xml:space="preserve"> </w:t>
      </w:r>
      <w:r>
        <w:rPr>
          <w:spacing w:val="-4"/>
          <w:sz w:val="19"/>
        </w:rPr>
        <w:t>de</w:t>
      </w:r>
      <w:r>
        <w:rPr>
          <w:spacing w:val="-8"/>
          <w:sz w:val="19"/>
        </w:rPr>
        <w:t xml:space="preserve"> </w:t>
      </w:r>
      <w:r>
        <w:rPr>
          <w:spacing w:val="-4"/>
          <w:sz w:val="19"/>
        </w:rPr>
        <w:t>los</w:t>
      </w:r>
      <w:r>
        <w:rPr>
          <w:spacing w:val="-8"/>
          <w:sz w:val="19"/>
        </w:rPr>
        <w:t xml:space="preserve"> </w:t>
      </w:r>
      <w:proofErr w:type="gramStart"/>
      <w:r>
        <w:rPr>
          <w:spacing w:val="-4"/>
          <w:sz w:val="19"/>
        </w:rPr>
        <w:t>mismos”;</w:t>
      </w:r>
      <w:proofErr w:type="gramEnd"/>
      <w:r>
        <w:rPr>
          <w:spacing w:val="-7"/>
          <w:sz w:val="19"/>
        </w:rPr>
        <w:t xml:space="preserve"> </w:t>
      </w:r>
      <w:r>
        <w:rPr>
          <w:spacing w:val="-4"/>
          <w:sz w:val="19"/>
        </w:rPr>
        <w:t>b)</w:t>
      </w:r>
      <w:r>
        <w:rPr>
          <w:spacing w:val="-9"/>
          <w:sz w:val="19"/>
        </w:rPr>
        <w:t xml:space="preserve"> </w:t>
      </w:r>
      <w:r>
        <w:rPr>
          <w:spacing w:val="-4"/>
          <w:sz w:val="19"/>
        </w:rPr>
        <w:t>“realizar</w:t>
      </w:r>
      <w:r>
        <w:rPr>
          <w:spacing w:val="-8"/>
          <w:sz w:val="19"/>
        </w:rPr>
        <w:t xml:space="preserve"> </w:t>
      </w:r>
      <w:r>
        <w:rPr>
          <w:spacing w:val="-4"/>
          <w:sz w:val="19"/>
        </w:rPr>
        <w:t>inspecciones</w:t>
      </w:r>
      <w:r>
        <w:rPr>
          <w:spacing w:val="-8"/>
          <w:sz w:val="19"/>
        </w:rPr>
        <w:t xml:space="preserve"> </w:t>
      </w:r>
      <w:r>
        <w:rPr>
          <w:spacing w:val="-4"/>
          <w:sz w:val="19"/>
        </w:rPr>
        <w:t>in</w:t>
      </w:r>
      <w:r>
        <w:rPr>
          <w:spacing w:val="-8"/>
          <w:sz w:val="19"/>
        </w:rPr>
        <w:t xml:space="preserve"> </w:t>
      </w:r>
      <w:proofErr w:type="gramStart"/>
      <w:r>
        <w:rPr>
          <w:spacing w:val="-4"/>
          <w:sz w:val="19"/>
        </w:rPr>
        <w:t>situ”;</w:t>
      </w:r>
      <w:proofErr w:type="gramEnd"/>
      <w:r>
        <w:rPr>
          <w:spacing w:val="-8"/>
          <w:sz w:val="19"/>
        </w:rPr>
        <w:t xml:space="preserve"> </w:t>
      </w:r>
      <w:r>
        <w:rPr>
          <w:spacing w:val="-4"/>
          <w:sz w:val="19"/>
        </w:rPr>
        <w:t>c)</w:t>
      </w:r>
      <w:r>
        <w:rPr>
          <w:spacing w:val="-8"/>
          <w:sz w:val="19"/>
        </w:rPr>
        <w:t xml:space="preserve"> </w:t>
      </w:r>
      <w:r>
        <w:rPr>
          <w:spacing w:val="-4"/>
          <w:sz w:val="19"/>
        </w:rPr>
        <w:t>“interrogar</w:t>
      </w:r>
      <w:r>
        <w:rPr>
          <w:spacing w:val="-9"/>
          <w:sz w:val="19"/>
        </w:rPr>
        <w:t xml:space="preserve"> </w:t>
      </w:r>
      <w:r>
        <w:rPr>
          <w:spacing w:val="-4"/>
          <w:sz w:val="19"/>
        </w:rPr>
        <w:t>a</w:t>
      </w:r>
      <w:r>
        <w:rPr>
          <w:spacing w:val="-8"/>
          <w:sz w:val="19"/>
        </w:rPr>
        <w:t xml:space="preserve"> </w:t>
      </w:r>
      <w:r>
        <w:rPr>
          <w:spacing w:val="-4"/>
          <w:sz w:val="19"/>
        </w:rPr>
        <w:t>las</w:t>
      </w:r>
      <w:r>
        <w:rPr>
          <w:spacing w:val="-8"/>
          <w:sz w:val="19"/>
        </w:rPr>
        <w:t xml:space="preserve"> </w:t>
      </w:r>
      <w:proofErr w:type="gramStart"/>
      <w:r>
        <w:rPr>
          <w:spacing w:val="-4"/>
          <w:sz w:val="19"/>
        </w:rPr>
        <w:t>personas”;</w:t>
      </w:r>
      <w:proofErr w:type="gramEnd"/>
      <w:r>
        <w:rPr>
          <w:spacing w:val="-7"/>
          <w:sz w:val="19"/>
        </w:rPr>
        <w:t xml:space="preserve"> </w:t>
      </w:r>
      <w:r>
        <w:rPr>
          <w:spacing w:val="-4"/>
          <w:sz w:val="19"/>
        </w:rPr>
        <w:t>y</w:t>
      </w:r>
      <w:r>
        <w:rPr>
          <w:spacing w:val="-8"/>
          <w:sz w:val="19"/>
        </w:rPr>
        <w:t xml:space="preserve"> </w:t>
      </w:r>
      <w:r>
        <w:rPr>
          <w:spacing w:val="-4"/>
          <w:sz w:val="19"/>
        </w:rPr>
        <w:t>(d)</w:t>
      </w:r>
      <w:r>
        <w:rPr>
          <w:spacing w:val="-8"/>
          <w:sz w:val="19"/>
        </w:rPr>
        <w:t xml:space="preserve"> </w:t>
      </w:r>
      <w:r>
        <w:rPr>
          <w:spacing w:val="-4"/>
          <w:sz w:val="19"/>
        </w:rPr>
        <w:t>“solicitar</w:t>
      </w:r>
      <w:r>
        <w:rPr>
          <w:spacing w:val="-9"/>
          <w:sz w:val="19"/>
        </w:rPr>
        <w:t xml:space="preserve"> </w:t>
      </w:r>
      <w:r>
        <w:rPr>
          <w:spacing w:val="-4"/>
          <w:sz w:val="19"/>
        </w:rPr>
        <w:t>una</w:t>
      </w:r>
      <w:r>
        <w:rPr>
          <w:spacing w:val="-8"/>
          <w:sz w:val="19"/>
        </w:rPr>
        <w:t xml:space="preserve"> </w:t>
      </w:r>
      <w:r>
        <w:rPr>
          <w:spacing w:val="-4"/>
          <w:sz w:val="19"/>
        </w:rPr>
        <w:t>orden</w:t>
      </w:r>
      <w:r>
        <w:rPr>
          <w:spacing w:val="-8"/>
          <w:sz w:val="19"/>
        </w:rPr>
        <w:t xml:space="preserve"> </w:t>
      </w:r>
      <w:r>
        <w:rPr>
          <w:spacing w:val="-4"/>
          <w:sz w:val="19"/>
        </w:rPr>
        <w:t>ejecutiva</w:t>
      </w:r>
    </w:p>
    <w:p w14:paraId="492F89C4" w14:textId="77777777" w:rsidR="0014798C" w:rsidRDefault="0014798C">
      <w:pPr>
        <w:pStyle w:val="Textoindependiente"/>
        <w:rPr>
          <w:sz w:val="13"/>
        </w:rPr>
      </w:pPr>
    </w:p>
    <w:p w14:paraId="3FC4FE31" w14:textId="77777777" w:rsidR="0014798C" w:rsidRDefault="0014798C">
      <w:pPr>
        <w:pStyle w:val="Textoindependiente"/>
        <w:rPr>
          <w:sz w:val="13"/>
        </w:rPr>
      </w:pPr>
    </w:p>
    <w:p w14:paraId="03587D6A" w14:textId="77777777" w:rsidR="0014798C" w:rsidRDefault="0014798C">
      <w:pPr>
        <w:pStyle w:val="Textoindependiente"/>
        <w:spacing w:before="57"/>
        <w:rPr>
          <w:sz w:val="13"/>
        </w:rPr>
      </w:pPr>
    </w:p>
    <w:p w14:paraId="74CFF64A" w14:textId="77777777" w:rsidR="0014798C" w:rsidRDefault="004E1F0B">
      <w:pPr>
        <w:ind w:left="1108"/>
        <w:rPr>
          <w:sz w:val="13"/>
        </w:rPr>
      </w:pPr>
      <w:r>
        <w:rPr>
          <w:sz w:val="13"/>
        </w:rPr>
        <w:t xml:space="preserve">768 </w:t>
      </w:r>
      <w:proofErr w:type="spellStart"/>
      <w:r>
        <w:rPr>
          <w:spacing w:val="-2"/>
          <w:sz w:val="13"/>
        </w:rPr>
        <w:t>Ibíd</w:t>
      </w:r>
      <w:proofErr w:type="spellEnd"/>
      <w:r>
        <w:rPr>
          <w:spacing w:val="-2"/>
          <w:sz w:val="13"/>
        </w:rPr>
        <w:t>.</w:t>
      </w:r>
    </w:p>
    <w:p w14:paraId="69286A38" w14:textId="77777777" w:rsidR="0014798C" w:rsidRDefault="004E1F0B">
      <w:pPr>
        <w:spacing w:before="119"/>
        <w:ind w:left="1108"/>
        <w:rPr>
          <w:sz w:val="13"/>
        </w:rPr>
      </w:pPr>
      <w:r>
        <w:rPr>
          <w:sz w:val="13"/>
        </w:rPr>
        <w:t>769</w:t>
      </w:r>
      <w:r>
        <w:rPr>
          <w:spacing w:val="-5"/>
          <w:sz w:val="13"/>
        </w:rPr>
        <w:t xml:space="preserve"> </w:t>
      </w:r>
      <w:r>
        <w:rPr>
          <w:sz w:val="13"/>
        </w:rPr>
        <w:t>En</w:t>
      </w:r>
      <w:r>
        <w:rPr>
          <w:spacing w:val="-5"/>
          <w:sz w:val="13"/>
        </w:rPr>
        <w:t xml:space="preserve"> </w:t>
      </w:r>
      <w:r>
        <w:rPr>
          <w:sz w:val="13"/>
        </w:rPr>
        <w:t>particular,</w:t>
      </w:r>
      <w:r>
        <w:rPr>
          <w:spacing w:val="-4"/>
          <w:sz w:val="13"/>
        </w:rPr>
        <w:t xml:space="preserve"> </w:t>
      </w:r>
      <w:r>
        <w:rPr>
          <w:sz w:val="13"/>
        </w:rPr>
        <w:t>en</w:t>
      </w:r>
      <w:r>
        <w:rPr>
          <w:spacing w:val="-5"/>
          <w:sz w:val="13"/>
        </w:rPr>
        <w:t xml:space="preserve"> </w:t>
      </w:r>
      <w:r>
        <w:rPr>
          <w:sz w:val="13"/>
        </w:rPr>
        <w:t>relación</w:t>
      </w:r>
      <w:r>
        <w:rPr>
          <w:spacing w:val="-5"/>
          <w:sz w:val="13"/>
        </w:rPr>
        <w:t xml:space="preserve"> </w:t>
      </w:r>
      <w:r>
        <w:rPr>
          <w:sz w:val="13"/>
        </w:rPr>
        <w:t>con</w:t>
      </w:r>
      <w:r>
        <w:rPr>
          <w:spacing w:val="-5"/>
          <w:sz w:val="13"/>
        </w:rPr>
        <w:t xml:space="preserve"> </w:t>
      </w:r>
      <w:r>
        <w:rPr>
          <w:sz w:val="13"/>
        </w:rPr>
        <w:t>el</w:t>
      </w:r>
      <w:r>
        <w:rPr>
          <w:spacing w:val="-4"/>
          <w:sz w:val="13"/>
        </w:rPr>
        <w:t xml:space="preserve"> </w:t>
      </w:r>
      <w:r>
        <w:rPr>
          <w:sz w:val="13"/>
        </w:rPr>
        <w:t>desarrollo</w:t>
      </w:r>
      <w:r>
        <w:rPr>
          <w:spacing w:val="-5"/>
          <w:sz w:val="13"/>
        </w:rPr>
        <w:t xml:space="preserve"> </w:t>
      </w:r>
      <w:r>
        <w:rPr>
          <w:sz w:val="13"/>
        </w:rPr>
        <w:t>de</w:t>
      </w:r>
      <w:r>
        <w:rPr>
          <w:spacing w:val="-5"/>
          <w:sz w:val="13"/>
        </w:rPr>
        <w:t xml:space="preserve"> </w:t>
      </w:r>
      <w:r>
        <w:rPr>
          <w:sz w:val="13"/>
        </w:rPr>
        <w:t>políticas</w:t>
      </w:r>
      <w:r>
        <w:rPr>
          <w:spacing w:val="-5"/>
          <w:sz w:val="13"/>
        </w:rPr>
        <w:t xml:space="preserve"> </w:t>
      </w:r>
      <w:r>
        <w:rPr>
          <w:sz w:val="13"/>
        </w:rPr>
        <w:t>y</w:t>
      </w:r>
      <w:r>
        <w:rPr>
          <w:spacing w:val="-5"/>
          <w:sz w:val="13"/>
        </w:rPr>
        <w:t xml:space="preserve"> </w:t>
      </w:r>
      <w:r>
        <w:rPr>
          <w:sz w:val="13"/>
        </w:rPr>
        <w:t>estrategias</w:t>
      </w:r>
      <w:r>
        <w:rPr>
          <w:spacing w:val="-5"/>
          <w:sz w:val="13"/>
        </w:rPr>
        <w:t xml:space="preserve"> </w:t>
      </w:r>
      <w:r>
        <w:rPr>
          <w:sz w:val="13"/>
        </w:rPr>
        <w:t>de</w:t>
      </w:r>
      <w:r>
        <w:rPr>
          <w:spacing w:val="-4"/>
          <w:sz w:val="13"/>
        </w:rPr>
        <w:t xml:space="preserve"> </w:t>
      </w:r>
      <w:r>
        <w:rPr>
          <w:sz w:val="13"/>
        </w:rPr>
        <w:t>igualdad;</w:t>
      </w:r>
      <w:r>
        <w:rPr>
          <w:spacing w:val="-4"/>
          <w:sz w:val="13"/>
        </w:rPr>
        <w:t xml:space="preserve"> </w:t>
      </w:r>
      <w:r>
        <w:rPr>
          <w:sz w:val="13"/>
        </w:rPr>
        <w:t>sensibilización,</w:t>
      </w:r>
      <w:r>
        <w:rPr>
          <w:spacing w:val="-4"/>
          <w:sz w:val="13"/>
        </w:rPr>
        <w:t xml:space="preserve"> </w:t>
      </w:r>
      <w:r>
        <w:rPr>
          <w:sz w:val="13"/>
        </w:rPr>
        <w:t>educación</w:t>
      </w:r>
      <w:r>
        <w:rPr>
          <w:spacing w:val="-5"/>
          <w:sz w:val="13"/>
        </w:rPr>
        <w:t xml:space="preserve"> </w:t>
      </w:r>
      <w:r>
        <w:rPr>
          <w:sz w:val="13"/>
        </w:rPr>
        <w:t>y</w:t>
      </w:r>
      <w:r>
        <w:rPr>
          <w:spacing w:val="-5"/>
          <w:sz w:val="13"/>
        </w:rPr>
        <w:t xml:space="preserve"> </w:t>
      </w:r>
      <w:r>
        <w:rPr>
          <w:sz w:val="13"/>
        </w:rPr>
        <w:t>formación</w:t>
      </w:r>
      <w:r>
        <w:rPr>
          <w:spacing w:val="-5"/>
          <w:sz w:val="13"/>
        </w:rPr>
        <w:t xml:space="preserve"> </w:t>
      </w:r>
      <w:r>
        <w:rPr>
          <w:sz w:val="13"/>
        </w:rPr>
        <w:t>en</w:t>
      </w:r>
      <w:r>
        <w:rPr>
          <w:spacing w:val="-5"/>
          <w:sz w:val="13"/>
        </w:rPr>
        <w:t xml:space="preserve"> </w:t>
      </w:r>
      <w:r>
        <w:rPr>
          <w:sz w:val="13"/>
        </w:rPr>
        <w:t>materia</w:t>
      </w:r>
      <w:r>
        <w:rPr>
          <w:spacing w:val="-4"/>
          <w:sz w:val="13"/>
        </w:rPr>
        <w:t xml:space="preserve"> </w:t>
      </w:r>
      <w:r>
        <w:rPr>
          <w:sz w:val="13"/>
        </w:rPr>
        <w:t>de</w:t>
      </w:r>
      <w:r>
        <w:rPr>
          <w:spacing w:val="-5"/>
          <w:sz w:val="13"/>
        </w:rPr>
        <w:t xml:space="preserve"> </w:t>
      </w:r>
      <w:r>
        <w:rPr>
          <w:spacing w:val="-2"/>
          <w:sz w:val="13"/>
        </w:rPr>
        <w:t>igualdad;</w:t>
      </w:r>
    </w:p>
    <w:p w14:paraId="4E7FD191" w14:textId="77777777" w:rsidR="0014798C" w:rsidRDefault="004E1F0B">
      <w:pPr>
        <w:spacing w:before="13"/>
        <w:ind w:left="1366"/>
        <w:rPr>
          <w:sz w:val="15"/>
        </w:rPr>
      </w:pPr>
      <w:r>
        <w:rPr>
          <w:spacing w:val="-2"/>
          <w:sz w:val="15"/>
        </w:rPr>
        <w:t>seguimiento</w:t>
      </w:r>
      <w:r>
        <w:rPr>
          <w:spacing w:val="-8"/>
          <w:sz w:val="15"/>
        </w:rPr>
        <w:t xml:space="preserve"> </w:t>
      </w:r>
      <w:r>
        <w:rPr>
          <w:spacing w:val="-2"/>
          <w:sz w:val="15"/>
        </w:rPr>
        <w:t>de</w:t>
      </w:r>
      <w:r>
        <w:rPr>
          <w:spacing w:val="-7"/>
          <w:sz w:val="15"/>
        </w:rPr>
        <w:t xml:space="preserve"> </w:t>
      </w:r>
      <w:r>
        <w:rPr>
          <w:spacing w:val="-2"/>
          <w:sz w:val="15"/>
        </w:rPr>
        <w:t>la</w:t>
      </w:r>
      <w:r>
        <w:rPr>
          <w:spacing w:val="-8"/>
          <w:sz w:val="15"/>
        </w:rPr>
        <w:t xml:space="preserve"> </w:t>
      </w:r>
      <w:r>
        <w:rPr>
          <w:spacing w:val="-2"/>
          <w:sz w:val="15"/>
        </w:rPr>
        <w:t>igualdad</w:t>
      </w:r>
      <w:r>
        <w:rPr>
          <w:spacing w:val="-7"/>
          <w:sz w:val="15"/>
        </w:rPr>
        <w:t xml:space="preserve"> </w:t>
      </w:r>
      <w:r>
        <w:rPr>
          <w:spacing w:val="-2"/>
          <w:sz w:val="15"/>
        </w:rPr>
        <w:t>y</w:t>
      </w:r>
      <w:r>
        <w:rPr>
          <w:spacing w:val="-8"/>
          <w:sz w:val="15"/>
        </w:rPr>
        <w:t xml:space="preserve"> </w:t>
      </w:r>
      <w:r>
        <w:rPr>
          <w:spacing w:val="-2"/>
          <w:sz w:val="15"/>
        </w:rPr>
        <w:t>no</w:t>
      </w:r>
      <w:r>
        <w:rPr>
          <w:spacing w:val="-7"/>
          <w:sz w:val="15"/>
        </w:rPr>
        <w:t xml:space="preserve"> </w:t>
      </w:r>
      <w:r>
        <w:rPr>
          <w:spacing w:val="-2"/>
          <w:sz w:val="15"/>
        </w:rPr>
        <w:t>discriminación;</w:t>
      </w:r>
      <w:r>
        <w:rPr>
          <w:spacing w:val="-7"/>
          <w:sz w:val="15"/>
        </w:rPr>
        <w:t xml:space="preserve"> </w:t>
      </w:r>
      <w:r>
        <w:rPr>
          <w:spacing w:val="-2"/>
          <w:sz w:val="15"/>
        </w:rPr>
        <w:t>y</w:t>
      </w:r>
      <w:r>
        <w:rPr>
          <w:spacing w:val="-8"/>
          <w:sz w:val="15"/>
        </w:rPr>
        <w:t xml:space="preserve"> </w:t>
      </w:r>
      <w:r>
        <w:rPr>
          <w:spacing w:val="-2"/>
          <w:sz w:val="15"/>
        </w:rPr>
        <w:t>consulta.</w:t>
      </w:r>
    </w:p>
    <w:p w14:paraId="18977EBF" w14:textId="77777777" w:rsidR="0014798C" w:rsidRDefault="0014798C">
      <w:pPr>
        <w:rPr>
          <w:sz w:val="15"/>
        </w:rPr>
        <w:sectPr w:rsidR="0014798C" w:rsidSect="00F265E4">
          <w:type w:val="continuous"/>
          <w:pgSz w:w="11900" w:h="16820"/>
          <w:pgMar w:top="40" w:right="0" w:bottom="280" w:left="200" w:header="121" w:footer="0" w:gutter="0"/>
          <w:cols w:space="720"/>
        </w:sectPr>
      </w:pPr>
    </w:p>
    <w:p w14:paraId="06E61B6A" w14:textId="77777777" w:rsidR="0014798C" w:rsidRDefault="004E1F0B">
      <w:pPr>
        <w:spacing w:before="45"/>
        <w:jc w:val="right"/>
        <w:rPr>
          <w:sz w:val="8"/>
        </w:rPr>
      </w:pPr>
      <w:r>
        <w:rPr>
          <w:spacing w:val="-5"/>
          <w:w w:val="105"/>
          <w:sz w:val="8"/>
        </w:rPr>
        <w:t>770</w:t>
      </w:r>
    </w:p>
    <w:p w14:paraId="44B6638F" w14:textId="77777777" w:rsidR="0014798C" w:rsidRDefault="004E1F0B">
      <w:pPr>
        <w:spacing w:before="64"/>
        <w:ind w:left="76"/>
        <w:rPr>
          <w:sz w:val="15"/>
        </w:rPr>
      </w:pPr>
      <w:r>
        <w:br w:type="column"/>
      </w:r>
      <w:r>
        <w:rPr>
          <w:sz w:val="15"/>
        </w:rPr>
        <w:t>A/71/301,</w:t>
      </w:r>
      <w:r>
        <w:rPr>
          <w:spacing w:val="-6"/>
          <w:sz w:val="15"/>
        </w:rPr>
        <w:t xml:space="preserve"> </w:t>
      </w:r>
      <w:proofErr w:type="spellStart"/>
      <w:r>
        <w:rPr>
          <w:sz w:val="15"/>
        </w:rPr>
        <w:t>párrs</w:t>
      </w:r>
      <w:proofErr w:type="spellEnd"/>
      <w:r>
        <w:rPr>
          <w:sz w:val="15"/>
        </w:rPr>
        <w:t>.</w:t>
      </w:r>
      <w:r>
        <w:rPr>
          <w:spacing w:val="-6"/>
          <w:sz w:val="15"/>
        </w:rPr>
        <w:t xml:space="preserve"> </w:t>
      </w:r>
      <w:r>
        <w:rPr>
          <w:spacing w:val="-2"/>
          <w:sz w:val="15"/>
        </w:rPr>
        <w:t>30–34.</w:t>
      </w:r>
    </w:p>
    <w:p w14:paraId="24164BAE" w14:textId="77777777" w:rsidR="0014798C" w:rsidRDefault="0014798C">
      <w:pPr>
        <w:rPr>
          <w:sz w:val="15"/>
        </w:rPr>
        <w:sectPr w:rsidR="0014798C" w:rsidSect="00F265E4">
          <w:type w:val="continuous"/>
          <w:pgSz w:w="11900" w:h="16820"/>
          <w:pgMar w:top="40" w:right="0" w:bottom="280" w:left="200" w:header="121" w:footer="0" w:gutter="0"/>
          <w:cols w:num="2" w:space="720" w:equalWidth="0">
            <w:col w:w="1250" w:space="40"/>
            <w:col w:w="10410"/>
          </w:cols>
        </w:sectPr>
      </w:pPr>
    </w:p>
    <w:p w14:paraId="066206D0" w14:textId="77777777" w:rsidR="0014798C" w:rsidRDefault="004E1F0B">
      <w:pPr>
        <w:spacing w:before="81"/>
        <w:ind w:left="1108"/>
        <w:rPr>
          <w:sz w:val="13"/>
        </w:rPr>
      </w:pPr>
      <w:r>
        <w:rPr>
          <w:sz w:val="13"/>
        </w:rPr>
        <w:t>771</w:t>
      </w:r>
      <w:r>
        <w:rPr>
          <w:spacing w:val="-2"/>
          <w:sz w:val="13"/>
        </w:rPr>
        <w:t xml:space="preserve"> </w:t>
      </w:r>
      <w:proofErr w:type="spellStart"/>
      <w:r>
        <w:rPr>
          <w:sz w:val="13"/>
        </w:rPr>
        <w:t>Ibíd</w:t>
      </w:r>
      <w:proofErr w:type="spellEnd"/>
      <w:r>
        <w:rPr>
          <w:sz w:val="13"/>
        </w:rPr>
        <w:t>.,</w:t>
      </w:r>
      <w:r>
        <w:rPr>
          <w:spacing w:val="-1"/>
          <w:sz w:val="13"/>
        </w:rPr>
        <w:t xml:space="preserve"> </w:t>
      </w:r>
      <w:proofErr w:type="spellStart"/>
      <w:r>
        <w:rPr>
          <w:sz w:val="13"/>
        </w:rPr>
        <w:t>párrs</w:t>
      </w:r>
      <w:proofErr w:type="spellEnd"/>
      <w:r>
        <w:rPr>
          <w:sz w:val="13"/>
        </w:rPr>
        <w:t>.</w:t>
      </w:r>
      <w:r>
        <w:rPr>
          <w:spacing w:val="-1"/>
          <w:sz w:val="13"/>
        </w:rPr>
        <w:t xml:space="preserve"> </w:t>
      </w:r>
      <w:r>
        <w:rPr>
          <w:spacing w:val="-2"/>
          <w:sz w:val="13"/>
        </w:rPr>
        <w:t>35–37.</w:t>
      </w:r>
    </w:p>
    <w:p w14:paraId="79AC20AB" w14:textId="77777777" w:rsidR="0014798C" w:rsidRDefault="004E1F0B">
      <w:pPr>
        <w:spacing w:before="87"/>
        <w:ind w:left="1108"/>
        <w:rPr>
          <w:sz w:val="13"/>
        </w:rPr>
      </w:pPr>
      <w:r>
        <w:rPr>
          <w:sz w:val="13"/>
        </w:rPr>
        <w:t>772</w:t>
      </w:r>
      <w:r>
        <w:rPr>
          <w:spacing w:val="-1"/>
          <w:sz w:val="13"/>
        </w:rPr>
        <w:t xml:space="preserve"> </w:t>
      </w:r>
      <w:proofErr w:type="spellStart"/>
      <w:r>
        <w:rPr>
          <w:sz w:val="13"/>
        </w:rPr>
        <w:t>Ibíd</w:t>
      </w:r>
      <w:proofErr w:type="spellEnd"/>
      <w:r>
        <w:rPr>
          <w:sz w:val="13"/>
        </w:rPr>
        <w:t xml:space="preserve">., </w:t>
      </w:r>
      <w:proofErr w:type="spellStart"/>
      <w:r>
        <w:rPr>
          <w:sz w:val="13"/>
        </w:rPr>
        <w:t>párrs</w:t>
      </w:r>
      <w:proofErr w:type="spellEnd"/>
      <w:r>
        <w:rPr>
          <w:sz w:val="13"/>
        </w:rPr>
        <w:t>.</w:t>
      </w:r>
      <w:r>
        <w:rPr>
          <w:spacing w:val="-1"/>
          <w:sz w:val="13"/>
        </w:rPr>
        <w:t xml:space="preserve"> </w:t>
      </w:r>
      <w:r>
        <w:rPr>
          <w:sz w:val="13"/>
        </w:rPr>
        <w:t>12</w:t>
      </w:r>
      <w:r>
        <w:rPr>
          <w:spacing w:val="-1"/>
          <w:sz w:val="13"/>
        </w:rPr>
        <w:t xml:space="preserve"> </w:t>
      </w:r>
      <w:r>
        <w:rPr>
          <w:sz w:val="13"/>
        </w:rPr>
        <w:t xml:space="preserve">y </w:t>
      </w:r>
      <w:r>
        <w:rPr>
          <w:spacing w:val="-2"/>
          <w:sz w:val="13"/>
        </w:rPr>
        <w:t>48–52.</w:t>
      </w:r>
    </w:p>
    <w:p w14:paraId="5B6E286C" w14:textId="77777777" w:rsidR="0014798C" w:rsidRDefault="004E1F0B">
      <w:pPr>
        <w:spacing w:before="87"/>
        <w:ind w:left="1108"/>
        <w:rPr>
          <w:sz w:val="13"/>
        </w:rPr>
      </w:pPr>
      <w:r>
        <w:rPr>
          <w:sz w:val="13"/>
        </w:rPr>
        <w:t>773</w:t>
      </w:r>
      <w:r>
        <w:rPr>
          <w:spacing w:val="-1"/>
          <w:sz w:val="13"/>
        </w:rPr>
        <w:t xml:space="preserve"> </w:t>
      </w:r>
      <w:r>
        <w:rPr>
          <w:sz w:val="13"/>
        </w:rPr>
        <w:t>Consejo</w:t>
      </w:r>
      <w:r>
        <w:rPr>
          <w:spacing w:val="-1"/>
          <w:sz w:val="13"/>
        </w:rPr>
        <w:t xml:space="preserve"> </w:t>
      </w:r>
      <w:r>
        <w:rPr>
          <w:sz w:val="13"/>
        </w:rPr>
        <w:t>de</w:t>
      </w:r>
      <w:r>
        <w:rPr>
          <w:spacing w:val="-1"/>
          <w:sz w:val="13"/>
        </w:rPr>
        <w:t xml:space="preserve"> </w:t>
      </w:r>
      <w:r>
        <w:rPr>
          <w:sz w:val="13"/>
        </w:rPr>
        <w:t>Europa,</w:t>
      </w:r>
      <w:r>
        <w:rPr>
          <w:spacing w:val="-1"/>
          <w:sz w:val="13"/>
        </w:rPr>
        <w:t xml:space="preserve"> </w:t>
      </w:r>
      <w:r>
        <w:rPr>
          <w:sz w:val="13"/>
        </w:rPr>
        <w:t>Comisión</w:t>
      </w:r>
      <w:r>
        <w:rPr>
          <w:spacing w:val="-1"/>
          <w:sz w:val="13"/>
        </w:rPr>
        <w:t xml:space="preserve"> </w:t>
      </w:r>
      <w:r>
        <w:rPr>
          <w:sz w:val="13"/>
        </w:rPr>
        <w:t>Europea</w:t>
      </w:r>
      <w:r>
        <w:rPr>
          <w:spacing w:val="-1"/>
          <w:sz w:val="13"/>
        </w:rPr>
        <w:t xml:space="preserve"> </w:t>
      </w:r>
      <w:r>
        <w:rPr>
          <w:sz w:val="13"/>
        </w:rPr>
        <w:t>contra</w:t>
      </w:r>
      <w:r>
        <w:rPr>
          <w:spacing w:val="-1"/>
          <w:sz w:val="13"/>
        </w:rPr>
        <w:t xml:space="preserve"> </w:t>
      </w:r>
      <w:r>
        <w:rPr>
          <w:sz w:val="13"/>
        </w:rPr>
        <w:t>el</w:t>
      </w:r>
      <w:r>
        <w:rPr>
          <w:spacing w:val="-1"/>
          <w:sz w:val="13"/>
        </w:rPr>
        <w:t xml:space="preserve"> </w:t>
      </w:r>
      <w:r>
        <w:rPr>
          <w:sz w:val="13"/>
        </w:rPr>
        <w:t>Racismo</w:t>
      </w:r>
      <w:r>
        <w:rPr>
          <w:spacing w:val="-1"/>
          <w:sz w:val="13"/>
        </w:rPr>
        <w:t xml:space="preserve"> </w:t>
      </w:r>
      <w:r>
        <w:rPr>
          <w:sz w:val="13"/>
        </w:rPr>
        <w:t>y la</w:t>
      </w:r>
      <w:r>
        <w:rPr>
          <w:spacing w:val="-1"/>
          <w:sz w:val="13"/>
        </w:rPr>
        <w:t xml:space="preserve"> </w:t>
      </w:r>
      <w:r>
        <w:rPr>
          <w:sz w:val="13"/>
        </w:rPr>
        <w:t>Intolerancia, “Recomendación</w:t>
      </w:r>
      <w:r>
        <w:rPr>
          <w:spacing w:val="-1"/>
          <w:sz w:val="13"/>
        </w:rPr>
        <w:t xml:space="preserve"> </w:t>
      </w:r>
      <w:r>
        <w:rPr>
          <w:sz w:val="13"/>
        </w:rPr>
        <w:t>de</w:t>
      </w:r>
      <w:r>
        <w:rPr>
          <w:spacing w:val="-1"/>
          <w:sz w:val="13"/>
        </w:rPr>
        <w:t xml:space="preserve"> </w:t>
      </w:r>
      <w:r>
        <w:rPr>
          <w:sz w:val="13"/>
        </w:rPr>
        <w:t>política</w:t>
      </w:r>
      <w:r>
        <w:rPr>
          <w:spacing w:val="-1"/>
          <w:sz w:val="13"/>
        </w:rPr>
        <w:t xml:space="preserve"> </w:t>
      </w:r>
      <w:r>
        <w:rPr>
          <w:sz w:val="13"/>
        </w:rPr>
        <w:t>general</w:t>
      </w:r>
      <w:r>
        <w:rPr>
          <w:spacing w:val="-1"/>
          <w:sz w:val="13"/>
        </w:rPr>
        <w:t xml:space="preserve"> </w:t>
      </w:r>
      <w:r>
        <w:rPr>
          <w:sz w:val="13"/>
        </w:rPr>
        <w:t>No.</w:t>
      </w:r>
      <w:r>
        <w:rPr>
          <w:spacing w:val="-1"/>
          <w:sz w:val="13"/>
        </w:rPr>
        <w:t xml:space="preserve"> </w:t>
      </w:r>
      <w:r>
        <w:rPr>
          <w:sz w:val="13"/>
        </w:rPr>
        <w:t>2</w:t>
      </w:r>
      <w:r>
        <w:rPr>
          <w:spacing w:val="-1"/>
          <w:sz w:val="13"/>
        </w:rPr>
        <w:t xml:space="preserve"> </w:t>
      </w:r>
      <w:r>
        <w:rPr>
          <w:sz w:val="13"/>
        </w:rPr>
        <w:t>de</w:t>
      </w:r>
      <w:r>
        <w:rPr>
          <w:spacing w:val="-1"/>
          <w:sz w:val="13"/>
        </w:rPr>
        <w:t xml:space="preserve"> </w:t>
      </w:r>
      <w:r>
        <w:rPr>
          <w:sz w:val="13"/>
        </w:rPr>
        <w:t>la ECRI”,</w:t>
      </w:r>
      <w:r>
        <w:rPr>
          <w:spacing w:val="-1"/>
          <w:sz w:val="13"/>
        </w:rPr>
        <w:t xml:space="preserve"> </w:t>
      </w:r>
      <w:r>
        <w:rPr>
          <w:sz w:val="13"/>
        </w:rPr>
        <w:t>párr.</w:t>
      </w:r>
      <w:r>
        <w:rPr>
          <w:spacing w:val="-1"/>
          <w:sz w:val="13"/>
        </w:rPr>
        <w:t xml:space="preserve"> </w:t>
      </w:r>
      <w:r>
        <w:rPr>
          <w:spacing w:val="-5"/>
          <w:sz w:val="13"/>
        </w:rPr>
        <w:t>21.</w:t>
      </w:r>
    </w:p>
    <w:p w14:paraId="2C118B15" w14:textId="77777777" w:rsidR="0014798C" w:rsidRDefault="0014798C">
      <w:pPr>
        <w:pStyle w:val="Textoindependiente"/>
        <w:rPr>
          <w:sz w:val="17"/>
        </w:rPr>
      </w:pPr>
    </w:p>
    <w:p w14:paraId="381161EC" w14:textId="77777777" w:rsidR="0014798C" w:rsidRDefault="0014798C">
      <w:pPr>
        <w:pStyle w:val="Textoindependiente"/>
        <w:rPr>
          <w:sz w:val="17"/>
        </w:rPr>
      </w:pPr>
    </w:p>
    <w:p w14:paraId="0DE6648B" w14:textId="77777777" w:rsidR="0014798C" w:rsidRDefault="0014798C">
      <w:pPr>
        <w:pStyle w:val="Textoindependiente"/>
        <w:spacing w:before="59"/>
        <w:rPr>
          <w:sz w:val="17"/>
        </w:rPr>
      </w:pPr>
    </w:p>
    <w:p w14:paraId="0DA716B1" w14:textId="77777777" w:rsidR="0014798C" w:rsidRDefault="0014798C">
      <w:pPr>
        <w:rPr>
          <w:sz w:val="17"/>
        </w:rPr>
        <w:sectPr w:rsidR="0014798C" w:rsidSect="00F265E4">
          <w:type w:val="continuous"/>
          <w:pgSz w:w="11900" w:h="16820"/>
          <w:pgMar w:top="40" w:right="0" w:bottom="280" w:left="200" w:header="121" w:footer="0" w:gutter="0"/>
          <w:cols w:space="720"/>
        </w:sectPr>
      </w:pPr>
    </w:p>
    <w:p w14:paraId="5E1E4F14" w14:textId="77777777" w:rsidR="0014798C" w:rsidRDefault="0014798C">
      <w:pPr>
        <w:pStyle w:val="Textoindependiente"/>
        <w:spacing w:before="51"/>
        <w:rPr>
          <w:sz w:val="14"/>
        </w:rPr>
      </w:pPr>
    </w:p>
    <w:p w14:paraId="4BCC96BE" w14:textId="77777777" w:rsidR="0014798C" w:rsidRDefault="004E1F0B">
      <w:pPr>
        <w:ind w:left="1111"/>
        <w:rPr>
          <w:sz w:val="14"/>
        </w:rPr>
      </w:pPr>
      <w:r>
        <w:rPr>
          <w:color w:val="00AC59"/>
          <w:sz w:val="14"/>
        </w:rPr>
        <w:t>SEGUNDA</w:t>
      </w:r>
      <w:r>
        <w:rPr>
          <w:color w:val="00AC59"/>
          <w:spacing w:val="-5"/>
          <w:sz w:val="14"/>
        </w:rPr>
        <w:t xml:space="preserve"> </w:t>
      </w:r>
      <w:r>
        <w:rPr>
          <w:color w:val="00AC59"/>
          <w:sz w:val="14"/>
        </w:rPr>
        <w:t>PARTE:</w:t>
      </w:r>
      <w:r>
        <w:rPr>
          <w:color w:val="00AC59"/>
          <w:spacing w:val="-5"/>
          <w:sz w:val="14"/>
        </w:rPr>
        <w:t xml:space="preserve"> </w:t>
      </w:r>
      <w:r>
        <w:rPr>
          <w:color w:val="00AC59"/>
          <w:sz w:val="14"/>
        </w:rPr>
        <w:t>CONTENIDO</w:t>
      </w:r>
      <w:r>
        <w:rPr>
          <w:color w:val="00AC59"/>
          <w:spacing w:val="-4"/>
          <w:sz w:val="14"/>
        </w:rPr>
        <w:t xml:space="preserve"> </w:t>
      </w:r>
      <w:r>
        <w:rPr>
          <w:color w:val="00AC59"/>
          <w:sz w:val="14"/>
        </w:rPr>
        <w:t>DE</w:t>
      </w:r>
      <w:r>
        <w:rPr>
          <w:color w:val="00AC59"/>
          <w:spacing w:val="-5"/>
          <w:sz w:val="14"/>
        </w:rPr>
        <w:t xml:space="preserve"> </w:t>
      </w:r>
      <w:r>
        <w:rPr>
          <w:color w:val="00AC59"/>
          <w:sz w:val="14"/>
        </w:rPr>
        <w:t>LA</w:t>
      </w:r>
      <w:r>
        <w:rPr>
          <w:color w:val="00AC59"/>
          <w:spacing w:val="-4"/>
          <w:sz w:val="14"/>
        </w:rPr>
        <w:t xml:space="preserve"> </w:t>
      </w:r>
      <w:r>
        <w:rPr>
          <w:color w:val="00AC59"/>
          <w:sz w:val="14"/>
        </w:rPr>
        <w:t>LEY</w:t>
      </w:r>
      <w:r>
        <w:rPr>
          <w:color w:val="00AC59"/>
          <w:spacing w:val="-4"/>
          <w:sz w:val="14"/>
        </w:rPr>
        <w:t xml:space="preserve"> </w:t>
      </w:r>
      <w:r>
        <w:rPr>
          <w:color w:val="00AC59"/>
          <w:sz w:val="14"/>
        </w:rPr>
        <w:t>INTEGRAL</w:t>
      </w:r>
      <w:r>
        <w:rPr>
          <w:color w:val="00AC59"/>
          <w:spacing w:val="-5"/>
          <w:sz w:val="14"/>
        </w:rPr>
        <w:t xml:space="preserve"> </w:t>
      </w:r>
      <w:r>
        <w:rPr>
          <w:color w:val="00AC59"/>
          <w:spacing w:val="-2"/>
          <w:sz w:val="14"/>
        </w:rPr>
        <w:t>ANTIDISCRIMINACIÓN</w:t>
      </w:r>
    </w:p>
    <w:p w14:paraId="02BFE71F" w14:textId="77777777" w:rsidR="0014798C" w:rsidRDefault="0014798C">
      <w:pPr>
        <w:pStyle w:val="Textoindependiente"/>
        <w:rPr>
          <w:sz w:val="15"/>
        </w:rPr>
      </w:pPr>
    </w:p>
    <w:p w14:paraId="1712398D" w14:textId="77777777" w:rsidR="0014798C" w:rsidRDefault="0014798C">
      <w:pPr>
        <w:pStyle w:val="Textoindependiente"/>
        <w:rPr>
          <w:sz w:val="15"/>
        </w:rPr>
      </w:pPr>
    </w:p>
    <w:p w14:paraId="31368CED" w14:textId="77777777" w:rsidR="0014798C" w:rsidRDefault="0014798C">
      <w:pPr>
        <w:pStyle w:val="Textoindependiente"/>
        <w:rPr>
          <w:sz w:val="15"/>
        </w:rPr>
      </w:pPr>
    </w:p>
    <w:p w14:paraId="14C91B25" w14:textId="77777777" w:rsidR="0014798C" w:rsidRDefault="0014798C">
      <w:pPr>
        <w:pStyle w:val="Textoindependiente"/>
        <w:rPr>
          <w:sz w:val="15"/>
        </w:rPr>
      </w:pPr>
    </w:p>
    <w:p w14:paraId="02231304" w14:textId="77777777" w:rsidR="0014798C" w:rsidRDefault="0014798C">
      <w:pPr>
        <w:pStyle w:val="Textoindependiente"/>
        <w:spacing w:before="105"/>
        <w:rPr>
          <w:sz w:val="15"/>
        </w:rPr>
      </w:pPr>
    </w:p>
    <w:p w14:paraId="169D3940" w14:textId="77777777" w:rsidR="0014798C" w:rsidRDefault="004E1F0B">
      <w:pPr>
        <w:spacing w:line="348" w:lineRule="auto"/>
        <w:ind w:left="1109" w:right="1335" w:hanging="2"/>
        <w:rPr>
          <w:sz w:val="15"/>
        </w:rPr>
      </w:pPr>
      <w:r>
        <w:rPr>
          <w:w w:val="105"/>
          <w:sz w:val="15"/>
        </w:rPr>
        <w:t>orden judicial o imponer multas administrativas” por incumplimiento.774 En la medida en que los organismos de igualdad cumplan funciones</w:t>
      </w:r>
      <w:r>
        <w:rPr>
          <w:spacing w:val="-3"/>
          <w:w w:val="105"/>
          <w:sz w:val="15"/>
        </w:rPr>
        <w:t xml:space="preserve"> </w:t>
      </w:r>
      <w:r>
        <w:rPr>
          <w:w w:val="105"/>
          <w:sz w:val="15"/>
        </w:rPr>
        <w:t>de</w:t>
      </w:r>
      <w:r>
        <w:rPr>
          <w:spacing w:val="-2"/>
          <w:w w:val="105"/>
          <w:sz w:val="15"/>
        </w:rPr>
        <w:t xml:space="preserve"> </w:t>
      </w:r>
      <w:r>
        <w:rPr>
          <w:w w:val="105"/>
          <w:sz w:val="15"/>
        </w:rPr>
        <w:t>investigación,</w:t>
      </w:r>
      <w:r>
        <w:rPr>
          <w:spacing w:val="-1"/>
          <w:w w:val="105"/>
          <w:sz w:val="15"/>
        </w:rPr>
        <w:t xml:space="preserve"> </w:t>
      </w:r>
      <w:r>
        <w:rPr>
          <w:w w:val="105"/>
          <w:sz w:val="15"/>
        </w:rPr>
        <w:t>deben</w:t>
      </w:r>
      <w:r>
        <w:rPr>
          <w:spacing w:val="-2"/>
          <w:w w:val="105"/>
          <w:sz w:val="15"/>
        </w:rPr>
        <w:t xml:space="preserve"> </w:t>
      </w:r>
      <w:r>
        <w:rPr>
          <w:w w:val="105"/>
          <w:sz w:val="15"/>
        </w:rPr>
        <w:t>existir</w:t>
      </w:r>
      <w:r>
        <w:rPr>
          <w:spacing w:val="-3"/>
          <w:w w:val="105"/>
          <w:sz w:val="15"/>
        </w:rPr>
        <w:t xml:space="preserve"> </w:t>
      </w:r>
      <w:r>
        <w:rPr>
          <w:w w:val="105"/>
          <w:sz w:val="15"/>
        </w:rPr>
        <w:t>mecanismos</w:t>
      </w:r>
      <w:r>
        <w:rPr>
          <w:spacing w:val="-3"/>
          <w:w w:val="105"/>
          <w:sz w:val="15"/>
        </w:rPr>
        <w:t xml:space="preserve"> </w:t>
      </w:r>
      <w:r>
        <w:rPr>
          <w:w w:val="105"/>
          <w:sz w:val="15"/>
        </w:rPr>
        <w:t>para</w:t>
      </w:r>
      <w:r>
        <w:rPr>
          <w:spacing w:val="-2"/>
          <w:w w:val="105"/>
          <w:sz w:val="15"/>
        </w:rPr>
        <w:t xml:space="preserve"> </w:t>
      </w:r>
      <w:r>
        <w:rPr>
          <w:w w:val="105"/>
          <w:sz w:val="15"/>
        </w:rPr>
        <w:t>garantizar</w:t>
      </w:r>
      <w:r>
        <w:rPr>
          <w:spacing w:val="-3"/>
          <w:w w:val="105"/>
          <w:sz w:val="15"/>
        </w:rPr>
        <w:t xml:space="preserve"> </w:t>
      </w:r>
      <w:r>
        <w:rPr>
          <w:w w:val="105"/>
          <w:sz w:val="15"/>
        </w:rPr>
        <w:t>que</w:t>
      </w:r>
      <w:r>
        <w:rPr>
          <w:spacing w:val="-2"/>
          <w:w w:val="105"/>
          <w:sz w:val="15"/>
        </w:rPr>
        <w:t xml:space="preserve"> </w:t>
      </w:r>
      <w:r>
        <w:rPr>
          <w:w w:val="105"/>
          <w:sz w:val="15"/>
        </w:rPr>
        <w:t>las</w:t>
      </w:r>
      <w:r>
        <w:rPr>
          <w:spacing w:val="-2"/>
          <w:w w:val="105"/>
          <w:sz w:val="15"/>
        </w:rPr>
        <w:t xml:space="preserve"> </w:t>
      </w:r>
      <w:r>
        <w:rPr>
          <w:w w:val="105"/>
          <w:sz w:val="15"/>
        </w:rPr>
        <w:t>quejas</w:t>
      </w:r>
      <w:r>
        <w:rPr>
          <w:spacing w:val="-3"/>
          <w:w w:val="105"/>
          <w:sz w:val="15"/>
        </w:rPr>
        <w:t xml:space="preserve"> </w:t>
      </w:r>
      <w:r>
        <w:rPr>
          <w:w w:val="105"/>
          <w:sz w:val="15"/>
        </w:rPr>
        <w:t>sean</w:t>
      </w:r>
      <w:r>
        <w:rPr>
          <w:spacing w:val="-2"/>
          <w:w w:val="105"/>
          <w:sz w:val="15"/>
        </w:rPr>
        <w:t xml:space="preserve"> </w:t>
      </w:r>
      <w:r>
        <w:rPr>
          <w:w w:val="105"/>
          <w:sz w:val="15"/>
        </w:rPr>
        <w:t>investigadas</w:t>
      </w:r>
      <w:r>
        <w:rPr>
          <w:spacing w:val="-3"/>
          <w:w w:val="105"/>
          <w:sz w:val="15"/>
        </w:rPr>
        <w:t xml:space="preserve"> </w:t>
      </w:r>
      <w:r>
        <w:rPr>
          <w:w w:val="105"/>
          <w:sz w:val="15"/>
        </w:rPr>
        <w:t>“con</w:t>
      </w:r>
      <w:r>
        <w:rPr>
          <w:spacing w:val="-2"/>
          <w:w w:val="105"/>
          <w:sz w:val="15"/>
        </w:rPr>
        <w:t xml:space="preserve"> </w:t>
      </w:r>
      <w:r>
        <w:rPr>
          <w:w w:val="105"/>
          <w:sz w:val="15"/>
        </w:rPr>
        <w:t>prontitud,</w:t>
      </w:r>
      <w:r>
        <w:rPr>
          <w:spacing w:val="-2"/>
          <w:w w:val="105"/>
          <w:sz w:val="15"/>
        </w:rPr>
        <w:t xml:space="preserve"> </w:t>
      </w:r>
      <w:r>
        <w:rPr>
          <w:w w:val="105"/>
          <w:sz w:val="15"/>
        </w:rPr>
        <w:t>imparcialidad e independencia”.775</w:t>
      </w:r>
    </w:p>
    <w:p w14:paraId="28AA19F4" w14:textId="77777777" w:rsidR="0014798C" w:rsidRDefault="004E1F0B">
      <w:pPr>
        <w:numPr>
          <w:ilvl w:val="0"/>
          <w:numId w:val="34"/>
        </w:numPr>
        <w:tabs>
          <w:tab w:val="left" w:pos="1405"/>
        </w:tabs>
        <w:spacing w:before="231"/>
        <w:ind w:left="1405" w:hanging="290"/>
        <w:rPr>
          <w:sz w:val="26"/>
        </w:rPr>
      </w:pPr>
      <w:r>
        <w:rPr>
          <w:color w:val="00AC59"/>
          <w:sz w:val="26"/>
        </w:rPr>
        <w:t>Apoyo</w:t>
      </w:r>
      <w:r>
        <w:rPr>
          <w:color w:val="00AC59"/>
          <w:spacing w:val="-4"/>
          <w:sz w:val="26"/>
        </w:rPr>
        <w:t xml:space="preserve"> </w:t>
      </w:r>
      <w:r>
        <w:rPr>
          <w:color w:val="00AC59"/>
          <w:sz w:val="26"/>
        </w:rPr>
        <w:t>y</w:t>
      </w:r>
      <w:r>
        <w:rPr>
          <w:color w:val="00AC59"/>
          <w:spacing w:val="-2"/>
          <w:sz w:val="26"/>
        </w:rPr>
        <w:t xml:space="preserve"> litigios</w:t>
      </w:r>
    </w:p>
    <w:p w14:paraId="20B27DFC" w14:textId="77777777" w:rsidR="0014798C" w:rsidRDefault="0014798C">
      <w:pPr>
        <w:pStyle w:val="Textoindependiente"/>
        <w:spacing w:before="49"/>
        <w:rPr>
          <w:sz w:val="15"/>
        </w:rPr>
      </w:pPr>
    </w:p>
    <w:p w14:paraId="7A97E5F0" w14:textId="77777777" w:rsidR="0014798C" w:rsidRDefault="004E1F0B">
      <w:pPr>
        <w:spacing w:before="1"/>
        <w:ind w:left="1106"/>
        <w:rPr>
          <w:sz w:val="15"/>
        </w:rPr>
      </w:pPr>
      <w:r>
        <w:rPr>
          <w:noProof/>
        </w:rPr>
        <w:drawing>
          <wp:anchor distT="0" distB="0" distL="0" distR="0" simplePos="0" relativeHeight="251658444" behindDoc="1" locked="0" layoutInCell="1" allowOverlap="1" wp14:anchorId="6D68DE9C" wp14:editId="6B30ED3F">
            <wp:simplePos x="0" y="0"/>
            <wp:positionH relativeFrom="page">
              <wp:posOffset>799677</wp:posOffset>
            </wp:positionH>
            <wp:positionV relativeFrom="paragraph">
              <wp:posOffset>120180</wp:posOffset>
            </wp:positionV>
            <wp:extent cx="6756822" cy="6726549"/>
            <wp:effectExtent l="0" t="0" r="0" b="0"/>
            <wp:wrapNone/>
            <wp:docPr id="237" name="Image 23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37" name="Image 237"/>
                    <pic:cNvPicPr/>
                  </pic:nvPicPr>
                  <pic:blipFill>
                    <a:blip r:embed="rId215" cstate="print"/>
                    <a:stretch>
                      <a:fillRect/>
                    </a:stretch>
                  </pic:blipFill>
                  <pic:spPr>
                    <a:xfrm>
                      <a:off x="0" y="0"/>
                      <a:ext cx="6756822" cy="6726549"/>
                    </a:xfrm>
                    <a:prstGeom prst="rect">
                      <a:avLst/>
                    </a:prstGeom>
                  </pic:spPr>
                </pic:pic>
              </a:graphicData>
            </a:graphic>
          </wp:anchor>
        </w:drawing>
      </w:r>
      <w:r>
        <w:rPr>
          <w:w w:val="105"/>
          <w:sz w:val="15"/>
        </w:rPr>
        <w:t>Además</w:t>
      </w:r>
      <w:r>
        <w:rPr>
          <w:spacing w:val="-5"/>
          <w:w w:val="105"/>
          <w:sz w:val="15"/>
        </w:rPr>
        <w:t xml:space="preserve"> </w:t>
      </w:r>
      <w:r>
        <w:rPr>
          <w:w w:val="105"/>
          <w:sz w:val="15"/>
        </w:rPr>
        <w:t>de</w:t>
      </w:r>
      <w:r>
        <w:rPr>
          <w:spacing w:val="-3"/>
          <w:w w:val="105"/>
          <w:sz w:val="15"/>
        </w:rPr>
        <w:t xml:space="preserve"> </w:t>
      </w:r>
      <w:r>
        <w:rPr>
          <w:w w:val="105"/>
          <w:sz w:val="15"/>
        </w:rPr>
        <w:t>la</w:t>
      </w:r>
      <w:r>
        <w:rPr>
          <w:spacing w:val="-3"/>
          <w:w w:val="105"/>
          <w:sz w:val="15"/>
        </w:rPr>
        <w:t xml:space="preserve"> </w:t>
      </w:r>
      <w:r>
        <w:rPr>
          <w:w w:val="105"/>
          <w:sz w:val="15"/>
        </w:rPr>
        <w:t>promoción</w:t>
      </w:r>
      <w:r>
        <w:rPr>
          <w:spacing w:val="-3"/>
          <w:w w:val="105"/>
          <w:sz w:val="15"/>
        </w:rPr>
        <w:t xml:space="preserve"> </w:t>
      </w:r>
      <w:r>
        <w:rPr>
          <w:w w:val="105"/>
          <w:sz w:val="15"/>
        </w:rPr>
        <w:t>y</w:t>
      </w:r>
      <w:r>
        <w:rPr>
          <w:spacing w:val="-4"/>
          <w:w w:val="105"/>
          <w:sz w:val="15"/>
        </w:rPr>
        <w:t xml:space="preserve"> </w:t>
      </w:r>
      <w:r>
        <w:rPr>
          <w:w w:val="105"/>
          <w:sz w:val="15"/>
        </w:rPr>
        <w:t>la</w:t>
      </w:r>
      <w:r>
        <w:rPr>
          <w:spacing w:val="-3"/>
          <w:w w:val="105"/>
          <w:sz w:val="15"/>
        </w:rPr>
        <w:t xml:space="preserve"> </w:t>
      </w:r>
      <w:r>
        <w:rPr>
          <w:w w:val="105"/>
          <w:sz w:val="15"/>
        </w:rPr>
        <w:t>prevención,</w:t>
      </w:r>
      <w:r>
        <w:rPr>
          <w:spacing w:val="-2"/>
          <w:w w:val="105"/>
          <w:sz w:val="15"/>
        </w:rPr>
        <w:t xml:space="preserve"> </w:t>
      </w:r>
      <w:r>
        <w:rPr>
          <w:w w:val="105"/>
          <w:sz w:val="15"/>
        </w:rPr>
        <w:t>muchos</w:t>
      </w:r>
      <w:r>
        <w:rPr>
          <w:spacing w:val="-5"/>
          <w:w w:val="105"/>
          <w:sz w:val="15"/>
        </w:rPr>
        <w:t xml:space="preserve"> </w:t>
      </w:r>
      <w:r>
        <w:rPr>
          <w:w w:val="105"/>
          <w:sz w:val="15"/>
        </w:rPr>
        <w:t>organismos</w:t>
      </w:r>
      <w:r>
        <w:rPr>
          <w:spacing w:val="-4"/>
          <w:w w:val="105"/>
          <w:sz w:val="15"/>
        </w:rPr>
        <w:t xml:space="preserve"> </w:t>
      </w:r>
      <w:r>
        <w:rPr>
          <w:w w:val="105"/>
          <w:sz w:val="15"/>
        </w:rPr>
        <w:t>de</w:t>
      </w:r>
      <w:r>
        <w:rPr>
          <w:spacing w:val="-3"/>
          <w:w w:val="105"/>
          <w:sz w:val="15"/>
        </w:rPr>
        <w:t xml:space="preserve"> </w:t>
      </w:r>
      <w:r>
        <w:rPr>
          <w:w w:val="105"/>
          <w:sz w:val="15"/>
        </w:rPr>
        <w:t>igualdad</w:t>
      </w:r>
      <w:r>
        <w:rPr>
          <w:spacing w:val="-3"/>
          <w:w w:val="105"/>
          <w:sz w:val="15"/>
        </w:rPr>
        <w:t xml:space="preserve"> </w:t>
      </w:r>
      <w:r>
        <w:rPr>
          <w:w w:val="105"/>
          <w:sz w:val="15"/>
        </w:rPr>
        <w:t>también</w:t>
      </w:r>
      <w:r>
        <w:rPr>
          <w:spacing w:val="-4"/>
          <w:w w:val="105"/>
          <w:sz w:val="15"/>
        </w:rPr>
        <w:t xml:space="preserve"> </w:t>
      </w:r>
      <w:r>
        <w:rPr>
          <w:w w:val="105"/>
          <w:sz w:val="15"/>
        </w:rPr>
        <w:t>desempeñan</w:t>
      </w:r>
      <w:r>
        <w:rPr>
          <w:spacing w:val="-4"/>
          <w:w w:val="105"/>
          <w:sz w:val="15"/>
        </w:rPr>
        <w:t xml:space="preserve"> </w:t>
      </w:r>
      <w:r>
        <w:rPr>
          <w:w w:val="105"/>
          <w:sz w:val="15"/>
        </w:rPr>
        <w:t>una</w:t>
      </w:r>
      <w:r>
        <w:rPr>
          <w:spacing w:val="-3"/>
          <w:w w:val="105"/>
          <w:sz w:val="15"/>
        </w:rPr>
        <w:t xml:space="preserve"> </w:t>
      </w:r>
      <w:r>
        <w:rPr>
          <w:w w:val="105"/>
          <w:sz w:val="15"/>
        </w:rPr>
        <w:t>función</w:t>
      </w:r>
      <w:r>
        <w:rPr>
          <w:spacing w:val="-4"/>
          <w:w w:val="105"/>
          <w:sz w:val="15"/>
        </w:rPr>
        <w:t xml:space="preserve"> </w:t>
      </w:r>
      <w:r>
        <w:rPr>
          <w:w w:val="105"/>
          <w:sz w:val="15"/>
        </w:rPr>
        <w:t>de</w:t>
      </w:r>
      <w:r>
        <w:rPr>
          <w:spacing w:val="-3"/>
          <w:w w:val="105"/>
          <w:sz w:val="15"/>
        </w:rPr>
        <w:t xml:space="preserve"> </w:t>
      </w:r>
      <w:r>
        <w:rPr>
          <w:w w:val="105"/>
          <w:sz w:val="15"/>
        </w:rPr>
        <w:t>apoyo</w:t>
      </w:r>
      <w:r>
        <w:rPr>
          <w:spacing w:val="-4"/>
          <w:w w:val="105"/>
          <w:sz w:val="15"/>
        </w:rPr>
        <w:t xml:space="preserve"> </w:t>
      </w:r>
      <w:r>
        <w:rPr>
          <w:w w:val="105"/>
          <w:sz w:val="15"/>
        </w:rPr>
        <w:t>y</w:t>
      </w:r>
      <w:r>
        <w:rPr>
          <w:spacing w:val="-3"/>
          <w:w w:val="105"/>
          <w:sz w:val="15"/>
        </w:rPr>
        <w:t xml:space="preserve"> </w:t>
      </w:r>
      <w:r>
        <w:rPr>
          <w:spacing w:val="-2"/>
          <w:w w:val="105"/>
          <w:sz w:val="15"/>
        </w:rPr>
        <w:t>litigio.</w:t>
      </w:r>
    </w:p>
    <w:p w14:paraId="305D2DA3" w14:textId="77777777" w:rsidR="0014798C" w:rsidRDefault="004E1F0B">
      <w:pPr>
        <w:spacing w:before="77" w:line="348" w:lineRule="auto"/>
        <w:ind w:left="1108" w:right="1272" w:hanging="1"/>
        <w:rPr>
          <w:sz w:val="15"/>
        </w:rPr>
      </w:pPr>
      <w:r>
        <w:rPr>
          <w:w w:val="105"/>
          <w:sz w:val="15"/>
        </w:rPr>
        <w:t>En</w:t>
      </w:r>
      <w:r>
        <w:rPr>
          <w:spacing w:val="-2"/>
          <w:w w:val="105"/>
          <w:sz w:val="15"/>
        </w:rPr>
        <w:t xml:space="preserve"> </w:t>
      </w:r>
      <w:r>
        <w:rPr>
          <w:w w:val="105"/>
          <w:sz w:val="15"/>
        </w:rPr>
        <w:t>sus</w:t>
      </w:r>
      <w:r>
        <w:rPr>
          <w:spacing w:val="-1"/>
          <w:w w:val="105"/>
          <w:sz w:val="15"/>
        </w:rPr>
        <w:t xml:space="preserve"> </w:t>
      </w:r>
      <w:r>
        <w:rPr>
          <w:w w:val="105"/>
          <w:sz w:val="15"/>
        </w:rPr>
        <w:t>orientaciones, la</w:t>
      </w:r>
      <w:r>
        <w:rPr>
          <w:spacing w:val="-1"/>
          <w:w w:val="105"/>
          <w:sz w:val="15"/>
        </w:rPr>
        <w:t xml:space="preserve"> </w:t>
      </w:r>
      <w:r>
        <w:rPr>
          <w:w w:val="105"/>
          <w:sz w:val="15"/>
        </w:rPr>
        <w:t>Comisión</w:t>
      </w:r>
      <w:r>
        <w:rPr>
          <w:spacing w:val="-1"/>
          <w:w w:val="105"/>
          <w:sz w:val="15"/>
        </w:rPr>
        <w:t xml:space="preserve"> </w:t>
      </w:r>
      <w:r>
        <w:rPr>
          <w:w w:val="105"/>
          <w:sz w:val="15"/>
        </w:rPr>
        <w:t>Europea</w:t>
      </w:r>
      <w:r>
        <w:rPr>
          <w:spacing w:val="-2"/>
          <w:w w:val="105"/>
          <w:sz w:val="15"/>
        </w:rPr>
        <w:t xml:space="preserve"> </w:t>
      </w:r>
      <w:r>
        <w:rPr>
          <w:w w:val="105"/>
          <w:sz w:val="15"/>
        </w:rPr>
        <w:t>contra</w:t>
      </w:r>
      <w:r>
        <w:rPr>
          <w:spacing w:val="-2"/>
          <w:w w:val="105"/>
          <w:sz w:val="15"/>
        </w:rPr>
        <w:t xml:space="preserve"> </w:t>
      </w:r>
      <w:r>
        <w:rPr>
          <w:w w:val="105"/>
          <w:sz w:val="15"/>
        </w:rPr>
        <w:t>el</w:t>
      </w:r>
      <w:r>
        <w:rPr>
          <w:spacing w:val="-1"/>
          <w:w w:val="105"/>
          <w:sz w:val="15"/>
        </w:rPr>
        <w:t xml:space="preserve"> </w:t>
      </w:r>
      <w:r>
        <w:rPr>
          <w:w w:val="105"/>
          <w:sz w:val="15"/>
        </w:rPr>
        <w:t>Racismo</w:t>
      </w:r>
      <w:r>
        <w:rPr>
          <w:spacing w:val="-1"/>
          <w:w w:val="105"/>
          <w:sz w:val="15"/>
        </w:rPr>
        <w:t xml:space="preserve"> </w:t>
      </w:r>
      <w:r>
        <w:rPr>
          <w:w w:val="105"/>
          <w:sz w:val="15"/>
        </w:rPr>
        <w:t>y</w:t>
      </w:r>
      <w:r>
        <w:rPr>
          <w:spacing w:val="-1"/>
          <w:w w:val="105"/>
          <w:sz w:val="15"/>
        </w:rPr>
        <w:t xml:space="preserve"> </w:t>
      </w:r>
      <w:r>
        <w:rPr>
          <w:w w:val="105"/>
          <w:sz w:val="15"/>
        </w:rPr>
        <w:t>la</w:t>
      </w:r>
      <w:r>
        <w:rPr>
          <w:spacing w:val="-1"/>
          <w:w w:val="105"/>
          <w:sz w:val="15"/>
        </w:rPr>
        <w:t xml:space="preserve"> </w:t>
      </w:r>
      <w:r>
        <w:rPr>
          <w:w w:val="105"/>
          <w:sz w:val="15"/>
        </w:rPr>
        <w:t>Intolerancia</w:t>
      </w:r>
      <w:r>
        <w:rPr>
          <w:spacing w:val="-2"/>
          <w:w w:val="105"/>
          <w:sz w:val="15"/>
        </w:rPr>
        <w:t xml:space="preserve"> </w:t>
      </w:r>
      <w:r>
        <w:rPr>
          <w:w w:val="105"/>
          <w:sz w:val="15"/>
        </w:rPr>
        <w:t>enumera</w:t>
      </w:r>
      <w:r>
        <w:rPr>
          <w:spacing w:val="-1"/>
          <w:w w:val="105"/>
          <w:sz w:val="15"/>
        </w:rPr>
        <w:t xml:space="preserve"> </w:t>
      </w:r>
      <w:r>
        <w:rPr>
          <w:w w:val="105"/>
          <w:sz w:val="15"/>
        </w:rPr>
        <w:t>seis</w:t>
      </w:r>
      <w:r>
        <w:rPr>
          <w:spacing w:val="-1"/>
          <w:w w:val="105"/>
          <w:sz w:val="15"/>
        </w:rPr>
        <w:t xml:space="preserve"> </w:t>
      </w:r>
      <w:r>
        <w:rPr>
          <w:w w:val="105"/>
          <w:sz w:val="15"/>
        </w:rPr>
        <w:t>competencias</w:t>
      </w:r>
      <w:r>
        <w:rPr>
          <w:spacing w:val="-2"/>
          <w:w w:val="105"/>
          <w:sz w:val="15"/>
        </w:rPr>
        <w:t xml:space="preserve"> </w:t>
      </w:r>
      <w:r>
        <w:rPr>
          <w:w w:val="105"/>
          <w:sz w:val="15"/>
        </w:rPr>
        <w:t>que</w:t>
      </w:r>
      <w:r>
        <w:rPr>
          <w:spacing w:val="-1"/>
          <w:w w:val="105"/>
          <w:sz w:val="15"/>
        </w:rPr>
        <w:t xml:space="preserve"> </w:t>
      </w:r>
      <w:r>
        <w:rPr>
          <w:w w:val="105"/>
          <w:sz w:val="15"/>
        </w:rPr>
        <w:t>son</w:t>
      </w:r>
      <w:r>
        <w:rPr>
          <w:spacing w:val="-1"/>
          <w:w w:val="105"/>
          <w:sz w:val="15"/>
        </w:rPr>
        <w:t xml:space="preserve"> </w:t>
      </w:r>
      <w:r>
        <w:rPr>
          <w:w w:val="105"/>
          <w:sz w:val="15"/>
        </w:rPr>
        <w:t>necesarias</w:t>
      </w:r>
      <w:r>
        <w:rPr>
          <w:spacing w:val="-2"/>
          <w:w w:val="105"/>
          <w:sz w:val="15"/>
        </w:rPr>
        <w:t xml:space="preserve"> </w:t>
      </w:r>
      <w:r>
        <w:rPr>
          <w:w w:val="105"/>
          <w:sz w:val="15"/>
        </w:rPr>
        <w:t>para respaldar esta función.</w:t>
      </w:r>
    </w:p>
    <w:p w14:paraId="01AC8D07" w14:textId="77777777" w:rsidR="0014798C" w:rsidRDefault="0014798C">
      <w:pPr>
        <w:pStyle w:val="Textoindependiente"/>
        <w:rPr>
          <w:sz w:val="15"/>
        </w:rPr>
      </w:pPr>
    </w:p>
    <w:p w14:paraId="53AAEB9B" w14:textId="77777777" w:rsidR="0014798C" w:rsidRDefault="0014798C">
      <w:pPr>
        <w:pStyle w:val="Textoindependiente"/>
        <w:spacing w:before="123"/>
        <w:rPr>
          <w:sz w:val="15"/>
        </w:rPr>
      </w:pPr>
    </w:p>
    <w:p w14:paraId="5F1D7DA3" w14:textId="77777777" w:rsidR="0014798C" w:rsidRDefault="004E1F0B">
      <w:pPr>
        <w:ind w:left="1336"/>
        <w:rPr>
          <w:sz w:val="15"/>
        </w:rPr>
      </w:pPr>
      <w:r>
        <w:rPr>
          <w:noProof/>
        </w:rPr>
        <mc:AlternateContent>
          <mc:Choice Requires="wps">
            <w:drawing>
              <wp:anchor distT="0" distB="0" distL="0" distR="0" simplePos="0" relativeHeight="251658295" behindDoc="0" locked="0" layoutInCell="1" allowOverlap="1" wp14:anchorId="4F0A7D5A" wp14:editId="6077BC16">
                <wp:simplePos x="0" y="0"/>
                <wp:positionH relativeFrom="page">
                  <wp:posOffset>7310646</wp:posOffset>
                </wp:positionH>
                <wp:positionV relativeFrom="paragraph">
                  <wp:posOffset>-7493</wp:posOffset>
                </wp:positionV>
                <wp:extent cx="86995" cy="295910"/>
                <wp:effectExtent l="0" t="0" r="0" b="0"/>
                <wp:wrapNone/>
                <wp:docPr id="238" name="Textbox 23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86995" cy="295910"/>
                        </a:xfrm>
                        <a:prstGeom prst="rect">
                          <a:avLst/>
                        </a:prstGeom>
                      </wps:spPr>
                      <wps:txbx>
                        <w:txbxContent>
                          <w:p w14:paraId="1F6B6088" w14:textId="77777777" w:rsidR="0014798C" w:rsidRDefault="004E1F0B">
                            <w:pPr>
                              <w:spacing w:before="23"/>
                              <w:ind w:left="20"/>
                              <w:rPr>
                                <w:sz w:val="8"/>
                              </w:rPr>
                            </w:pPr>
                            <w:r>
                              <w:rPr>
                                <w:color w:val="FFFFFF"/>
                                <w:spacing w:val="-27"/>
                                <w:w w:val="105"/>
                                <w:sz w:val="8"/>
                              </w:rPr>
                              <w:t>–IP</w:t>
                            </w:r>
                            <w:r>
                              <w:rPr>
                                <w:spacing w:val="-27"/>
                                <w:w w:val="105"/>
                                <w:sz w:val="8"/>
                              </w:rPr>
                              <w:t>S</w:t>
                            </w:r>
                            <w:r>
                              <w:rPr>
                                <w:color w:val="FFFFFF"/>
                                <w:spacing w:val="-27"/>
                                <w:w w:val="105"/>
                                <w:sz w:val="8"/>
                              </w:rPr>
                              <w:t>VA</w:t>
                            </w:r>
                            <w:r>
                              <w:rPr>
                                <w:spacing w:val="-27"/>
                                <w:w w:val="105"/>
                                <w:sz w:val="8"/>
                              </w:rPr>
                              <w:t>E</w:t>
                            </w:r>
                            <w:r>
                              <w:rPr>
                                <w:color w:val="FFFFFF"/>
                                <w:spacing w:val="-27"/>
                                <w:w w:val="105"/>
                                <w:sz w:val="8"/>
                              </w:rPr>
                              <w:t>R</w:t>
                            </w:r>
                            <w:r>
                              <w:rPr>
                                <w:spacing w:val="-27"/>
                                <w:w w:val="105"/>
                                <w:sz w:val="8"/>
                              </w:rPr>
                              <w:t>G</w:t>
                            </w:r>
                            <w:r>
                              <w:rPr>
                                <w:color w:val="FFFFFF"/>
                                <w:spacing w:val="-27"/>
                                <w:w w:val="105"/>
                                <w:sz w:val="8"/>
                              </w:rPr>
                              <w:t>T</w:t>
                            </w:r>
                            <w:r>
                              <w:rPr>
                                <w:spacing w:val="-27"/>
                                <w:w w:val="105"/>
                                <w:sz w:val="8"/>
                              </w:rPr>
                              <w:t>U</w:t>
                            </w:r>
                            <w:r>
                              <w:rPr>
                                <w:color w:val="FFFFFF"/>
                                <w:spacing w:val="-27"/>
                                <w:w w:val="105"/>
                                <w:sz w:val="8"/>
                              </w:rPr>
                              <w:t>E</w:t>
                            </w:r>
                            <w:r>
                              <w:rPr>
                                <w:spacing w:val="-27"/>
                                <w:w w:val="105"/>
                                <w:sz w:val="8"/>
                              </w:rPr>
                              <w:t>NDA</w:t>
                            </w:r>
                          </w:p>
                        </w:txbxContent>
                      </wps:txbx>
                      <wps:bodyPr vert="vert270" wrap="square" lIns="0" tIns="0" rIns="0" bIns="0" rtlCol="0">
                        <a:noAutofit/>
                      </wps:bodyPr>
                    </wps:wsp>
                  </a:graphicData>
                </a:graphic>
              </wp:anchor>
            </w:drawing>
          </mc:Choice>
          <mc:Fallback>
            <w:pict>
              <v:shape w14:anchorId="4F0A7D5A" id="Textbox 238" o:spid="_x0000_s1118" type="#_x0000_t202" style="position:absolute;left:0;text-align:left;margin-left:575.65pt;margin-top:-.6pt;width:6.85pt;height:23.3pt;z-index:251658295;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" filled="f" stroked="f">
                <v:textbox style="layout-flow:vertical;mso-layout-flow-alt:bottom-to-top" inset="0,0,0,0">
                  <w:txbxContent>
                    <w:p w14:paraId="1F6B6088" w14:textId="77777777" w:rsidR="0014798C" w:rsidRDefault="004E1F0B">
                      <w:pPr>
                        <w:spacing w:before="23"/>
                        <w:ind w:left="20"/>
                        <w:rPr>
                          <w:sz w:val="8"/>
                        </w:rPr>
                      </w:pPr>
                      <w:r>
                        <w:rPr>
                          <w:color w:val="FFFFFF"/>
                          <w:spacing w:val="-27"/>
                          <w:w w:val="105"/>
                          <w:sz w:val="8"/>
                        </w:rPr>
                        <w:t>–IP</w:t>
                      </w:r>
                      <w:r>
                        <w:rPr>
                          <w:spacing w:val="-27"/>
                          <w:w w:val="105"/>
                          <w:sz w:val="8"/>
                        </w:rPr>
                        <w:t>S</w:t>
                      </w:r>
                      <w:r>
                        <w:rPr>
                          <w:color w:val="FFFFFF"/>
                          <w:spacing w:val="-27"/>
                          <w:w w:val="105"/>
                          <w:sz w:val="8"/>
                        </w:rPr>
                        <w:t>VA</w:t>
                      </w:r>
                      <w:r>
                        <w:rPr>
                          <w:spacing w:val="-27"/>
                          <w:w w:val="105"/>
                          <w:sz w:val="8"/>
                        </w:rPr>
                        <w:t>E</w:t>
                      </w:r>
                      <w:r>
                        <w:rPr>
                          <w:color w:val="FFFFFF"/>
                          <w:spacing w:val="-27"/>
                          <w:w w:val="105"/>
                          <w:sz w:val="8"/>
                        </w:rPr>
                        <w:t>R</w:t>
                      </w:r>
                      <w:r>
                        <w:rPr>
                          <w:spacing w:val="-27"/>
                          <w:w w:val="105"/>
                          <w:sz w:val="8"/>
                        </w:rPr>
                        <w:t>G</w:t>
                      </w:r>
                      <w:r>
                        <w:rPr>
                          <w:color w:val="FFFFFF"/>
                          <w:spacing w:val="-27"/>
                          <w:w w:val="105"/>
                          <w:sz w:val="8"/>
                        </w:rPr>
                        <w:t>T</w:t>
                      </w:r>
                      <w:r>
                        <w:rPr>
                          <w:spacing w:val="-27"/>
                          <w:w w:val="105"/>
                          <w:sz w:val="8"/>
                        </w:rPr>
                        <w:t>U</w:t>
                      </w:r>
                      <w:r>
                        <w:rPr>
                          <w:color w:val="FFFFFF"/>
                          <w:spacing w:val="-27"/>
                          <w:w w:val="105"/>
                          <w:sz w:val="8"/>
                        </w:rPr>
                        <w:t>E</w:t>
                      </w:r>
                      <w:r>
                        <w:rPr>
                          <w:spacing w:val="-27"/>
                          <w:w w:val="105"/>
                          <w:sz w:val="8"/>
                        </w:rPr>
                        <w:t>NDA</w:t>
                      </w:r>
                    </w:p>
                  </w:txbxContent>
                </v:textbox>
                <w10:wrap anchorx="page"/>
              </v:shape>
            </w:pict>
          </mc:Fallback>
        </mc:AlternateContent>
      </w:r>
      <w:r>
        <w:rPr>
          <w:w w:val="105"/>
          <w:sz w:val="15"/>
        </w:rPr>
        <w:t>APOYO</w:t>
      </w:r>
      <w:r>
        <w:rPr>
          <w:spacing w:val="-4"/>
          <w:w w:val="105"/>
          <w:sz w:val="15"/>
        </w:rPr>
        <w:t xml:space="preserve"> </w:t>
      </w:r>
      <w:r>
        <w:rPr>
          <w:w w:val="105"/>
          <w:sz w:val="15"/>
        </w:rPr>
        <w:t>Y</w:t>
      </w:r>
      <w:r>
        <w:rPr>
          <w:spacing w:val="-3"/>
          <w:w w:val="105"/>
          <w:sz w:val="15"/>
        </w:rPr>
        <w:t xml:space="preserve"> </w:t>
      </w:r>
      <w:r>
        <w:rPr>
          <w:spacing w:val="-2"/>
          <w:w w:val="105"/>
          <w:sz w:val="15"/>
        </w:rPr>
        <w:t>LITIGIO</w:t>
      </w:r>
    </w:p>
    <w:p w14:paraId="0969CF61" w14:textId="77777777" w:rsidR="0014798C" w:rsidRDefault="0014798C">
      <w:pPr>
        <w:pStyle w:val="Textoindependiente"/>
        <w:spacing w:before="59"/>
        <w:rPr>
          <w:sz w:val="15"/>
        </w:rPr>
      </w:pPr>
    </w:p>
    <w:p w14:paraId="3B4564B3" w14:textId="77777777" w:rsidR="0014798C" w:rsidRDefault="004E1F0B">
      <w:pPr>
        <w:spacing w:line="348" w:lineRule="auto"/>
        <w:ind w:left="1335" w:right="1400" w:hanging="4"/>
        <w:rPr>
          <w:sz w:val="15"/>
        </w:rPr>
      </w:pPr>
      <w:r>
        <w:rPr>
          <w:w w:val="105"/>
          <w:sz w:val="15"/>
        </w:rPr>
        <w:t>Según</w:t>
      </w:r>
      <w:r>
        <w:rPr>
          <w:spacing w:val="-2"/>
          <w:w w:val="105"/>
          <w:sz w:val="15"/>
        </w:rPr>
        <w:t xml:space="preserve"> </w:t>
      </w:r>
      <w:r>
        <w:rPr>
          <w:w w:val="105"/>
          <w:sz w:val="15"/>
        </w:rPr>
        <w:t>la</w:t>
      </w:r>
      <w:r>
        <w:rPr>
          <w:spacing w:val="-1"/>
          <w:w w:val="105"/>
          <w:sz w:val="15"/>
        </w:rPr>
        <w:t xml:space="preserve"> </w:t>
      </w:r>
      <w:r>
        <w:rPr>
          <w:w w:val="105"/>
          <w:sz w:val="15"/>
        </w:rPr>
        <w:t>Comisión</w:t>
      </w:r>
      <w:r>
        <w:rPr>
          <w:spacing w:val="-1"/>
          <w:w w:val="105"/>
          <w:sz w:val="15"/>
        </w:rPr>
        <w:t xml:space="preserve"> </w:t>
      </w:r>
      <w:r>
        <w:rPr>
          <w:w w:val="105"/>
          <w:sz w:val="15"/>
        </w:rPr>
        <w:t>Europea</w:t>
      </w:r>
      <w:r>
        <w:rPr>
          <w:spacing w:val="-2"/>
          <w:w w:val="105"/>
          <w:sz w:val="15"/>
        </w:rPr>
        <w:t xml:space="preserve"> </w:t>
      </w:r>
      <w:r>
        <w:rPr>
          <w:w w:val="105"/>
          <w:sz w:val="15"/>
        </w:rPr>
        <w:t>contra</w:t>
      </w:r>
      <w:r>
        <w:rPr>
          <w:spacing w:val="-2"/>
          <w:w w:val="105"/>
          <w:sz w:val="15"/>
        </w:rPr>
        <w:t xml:space="preserve"> </w:t>
      </w:r>
      <w:r>
        <w:rPr>
          <w:w w:val="105"/>
          <w:sz w:val="15"/>
        </w:rPr>
        <w:t>el</w:t>
      </w:r>
      <w:r>
        <w:rPr>
          <w:spacing w:val="-1"/>
          <w:w w:val="105"/>
          <w:sz w:val="15"/>
        </w:rPr>
        <w:t xml:space="preserve"> </w:t>
      </w:r>
      <w:r>
        <w:rPr>
          <w:w w:val="105"/>
          <w:sz w:val="15"/>
        </w:rPr>
        <w:t>Racismo</w:t>
      </w:r>
      <w:r>
        <w:rPr>
          <w:spacing w:val="-1"/>
          <w:w w:val="105"/>
          <w:sz w:val="15"/>
        </w:rPr>
        <w:t xml:space="preserve"> </w:t>
      </w:r>
      <w:r>
        <w:rPr>
          <w:w w:val="105"/>
          <w:sz w:val="15"/>
        </w:rPr>
        <w:t>y</w:t>
      </w:r>
      <w:r>
        <w:rPr>
          <w:spacing w:val="-1"/>
          <w:w w:val="105"/>
          <w:sz w:val="15"/>
        </w:rPr>
        <w:t xml:space="preserve"> </w:t>
      </w:r>
      <w:r>
        <w:rPr>
          <w:w w:val="105"/>
          <w:sz w:val="15"/>
        </w:rPr>
        <w:t>la</w:t>
      </w:r>
      <w:r>
        <w:rPr>
          <w:spacing w:val="-1"/>
          <w:w w:val="105"/>
          <w:sz w:val="15"/>
        </w:rPr>
        <w:t xml:space="preserve"> </w:t>
      </w:r>
      <w:r>
        <w:rPr>
          <w:w w:val="105"/>
          <w:sz w:val="15"/>
        </w:rPr>
        <w:t>Intolerancia, la</w:t>
      </w:r>
      <w:r>
        <w:rPr>
          <w:spacing w:val="-1"/>
          <w:w w:val="105"/>
          <w:sz w:val="15"/>
        </w:rPr>
        <w:t xml:space="preserve"> </w:t>
      </w:r>
      <w:r>
        <w:rPr>
          <w:w w:val="105"/>
          <w:sz w:val="15"/>
        </w:rPr>
        <w:t>función</w:t>
      </w:r>
      <w:r>
        <w:rPr>
          <w:spacing w:val="-2"/>
          <w:w w:val="105"/>
          <w:sz w:val="15"/>
        </w:rPr>
        <w:t xml:space="preserve"> </w:t>
      </w:r>
      <w:r>
        <w:rPr>
          <w:w w:val="105"/>
          <w:sz w:val="15"/>
        </w:rPr>
        <w:t>de</w:t>
      </w:r>
      <w:r>
        <w:rPr>
          <w:spacing w:val="-1"/>
          <w:w w:val="105"/>
          <w:sz w:val="15"/>
        </w:rPr>
        <w:t xml:space="preserve"> </w:t>
      </w:r>
      <w:r>
        <w:rPr>
          <w:w w:val="105"/>
          <w:sz w:val="15"/>
        </w:rPr>
        <w:t>apoyo</w:t>
      </w:r>
      <w:r>
        <w:rPr>
          <w:spacing w:val="-1"/>
          <w:w w:val="105"/>
          <w:sz w:val="15"/>
        </w:rPr>
        <w:t xml:space="preserve"> </w:t>
      </w:r>
      <w:r>
        <w:rPr>
          <w:w w:val="105"/>
          <w:sz w:val="15"/>
        </w:rPr>
        <w:t>y</w:t>
      </w:r>
      <w:r>
        <w:rPr>
          <w:spacing w:val="-1"/>
          <w:w w:val="105"/>
          <w:sz w:val="15"/>
        </w:rPr>
        <w:t xml:space="preserve"> </w:t>
      </w:r>
      <w:r>
        <w:rPr>
          <w:w w:val="105"/>
          <w:sz w:val="15"/>
        </w:rPr>
        <w:t>litigio</w:t>
      </w:r>
      <w:r>
        <w:rPr>
          <w:spacing w:val="-2"/>
          <w:w w:val="105"/>
          <w:sz w:val="15"/>
        </w:rPr>
        <w:t xml:space="preserve"> </w:t>
      </w:r>
      <w:r>
        <w:rPr>
          <w:w w:val="105"/>
          <w:sz w:val="15"/>
        </w:rPr>
        <w:t>de</w:t>
      </w:r>
      <w:r>
        <w:rPr>
          <w:spacing w:val="-1"/>
          <w:w w:val="105"/>
          <w:sz w:val="15"/>
        </w:rPr>
        <w:t xml:space="preserve"> </w:t>
      </w:r>
      <w:r>
        <w:rPr>
          <w:w w:val="105"/>
          <w:sz w:val="15"/>
        </w:rPr>
        <w:t>los</w:t>
      </w:r>
      <w:r>
        <w:rPr>
          <w:spacing w:val="-1"/>
          <w:w w:val="105"/>
          <w:sz w:val="15"/>
        </w:rPr>
        <w:t xml:space="preserve"> </w:t>
      </w:r>
      <w:r>
        <w:rPr>
          <w:w w:val="105"/>
          <w:sz w:val="15"/>
        </w:rPr>
        <w:t>organismos</w:t>
      </w:r>
      <w:r>
        <w:rPr>
          <w:spacing w:val="-2"/>
          <w:w w:val="105"/>
          <w:sz w:val="15"/>
        </w:rPr>
        <w:t xml:space="preserve"> </w:t>
      </w:r>
      <w:r>
        <w:rPr>
          <w:w w:val="105"/>
          <w:sz w:val="15"/>
        </w:rPr>
        <w:t>de</w:t>
      </w:r>
      <w:r>
        <w:rPr>
          <w:spacing w:val="-1"/>
          <w:w w:val="105"/>
          <w:sz w:val="15"/>
        </w:rPr>
        <w:t xml:space="preserve"> </w:t>
      </w:r>
      <w:r>
        <w:rPr>
          <w:w w:val="105"/>
          <w:sz w:val="15"/>
        </w:rPr>
        <w:t>igualdad debería incluir las competencias para:</w:t>
      </w:r>
    </w:p>
    <w:p w14:paraId="70350429" w14:textId="77777777" w:rsidR="0014798C" w:rsidRDefault="004E1F0B">
      <w:pPr>
        <w:pStyle w:val="Prrafodelista"/>
        <w:numPr>
          <w:ilvl w:val="1"/>
          <w:numId w:val="34"/>
        </w:numPr>
        <w:tabs>
          <w:tab w:val="left" w:pos="1739"/>
          <w:tab w:val="left" w:pos="1904"/>
        </w:tabs>
        <w:spacing w:before="112" w:line="348" w:lineRule="auto"/>
        <w:ind w:right="1771" w:hanging="339"/>
        <w:rPr>
          <w:sz w:val="15"/>
        </w:rPr>
      </w:pPr>
      <w:r>
        <w:rPr>
          <w:w w:val="105"/>
          <w:sz w:val="15"/>
        </w:rPr>
        <w:t>Recibir denuncias y brindar apoyo personal y asesoramiento y asistencia jurídica a personas expuestas a discriminación</w:t>
      </w:r>
      <w:r>
        <w:rPr>
          <w:spacing w:val="-2"/>
          <w:w w:val="105"/>
          <w:sz w:val="15"/>
        </w:rPr>
        <w:t xml:space="preserve"> </w:t>
      </w:r>
      <w:r>
        <w:rPr>
          <w:w w:val="105"/>
          <w:sz w:val="15"/>
        </w:rPr>
        <w:t>o</w:t>
      </w:r>
      <w:r>
        <w:rPr>
          <w:spacing w:val="-2"/>
          <w:w w:val="105"/>
          <w:sz w:val="15"/>
        </w:rPr>
        <w:t xml:space="preserve"> </w:t>
      </w:r>
      <w:r>
        <w:rPr>
          <w:w w:val="105"/>
          <w:sz w:val="15"/>
        </w:rPr>
        <w:t>intolerancia,</w:t>
      </w:r>
      <w:r>
        <w:rPr>
          <w:spacing w:val="-1"/>
          <w:w w:val="105"/>
          <w:sz w:val="15"/>
        </w:rPr>
        <w:t xml:space="preserve"> </w:t>
      </w:r>
      <w:r>
        <w:rPr>
          <w:w w:val="105"/>
          <w:sz w:val="15"/>
        </w:rPr>
        <w:t>con</w:t>
      </w:r>
      <w:r>
        <w:rPr>
          <w:spacing w:val="-2"/>
          <w:w w:val="105"/>
          <w:sz w:val="15"/>
        </w:rPr>
        <w:t xml:space="preserve"> </w:t>
      </w:r>
      <w:r>
        <w:rPr>
          <w:w w:val="105"/>
          <w:sz w:val="15"/>
        </w:rPr>
        <w:t>el</w:t>
      </w:r>
      <w:r>
        <w:rPr>
          <w:spacing w:val="-2"/>
          <w:w w:val="105"/>
          <w:sz w:val="15"/>
        </w:rPr>
        <w:t xml:space="preserve"> </w:t>
      </w:r>
      <w:r>
        <w:rPr>
          <w:w w:val="105"/>
          <w:sz w:val="15"/>
        </w:rPr>
        <w:t>fin</w:t>
      </w:r>
      <w:r>
        <w:rPr>
          <w:spacing w:val="-3"/>
          <w:w w:val="105"/>
          <w:sz w:val="15"/>
        </w:rPr>
        <w:t xml:space="preserve"> </w:t>
      </w:r>
      <w:r>
        <w:rPr>
          <w:w w:val="105"/>
          <w:sz w:val="15"/>
        </w:rPr>
        <w:t>de</w:t>
      </w:r>
      <w:r>
        <w:rPr>
          <w:spacing w:val="-2"/>
          <w:w w:val="105"/>
          <w:sz w:val="15"/>
        </w:rPr>
        <w:t xml:space="preserve"> </w:t>
      </w:r>
      <w:r>
        <w:rPr>
          <w:w w:val="105"/>
          <w:sz w:val="15"/>
        </w:rPr>
        <w:t>garantizar</w:t>
      </w:r>
      <w:r>
        <w:rPr>
          <w:spacing w:val="-3"/>
          <w:w w:val="105"/>
          <w:sz w:val="15"/>
        </w:rPr>
        <w:t xml:space="preserve"> </w:t>
      </w:r>
      <w:r>
        <w:rPr>
          <w:w w:val="105"/>
          <w:sz w:val="15"/>
        </w:rPr>
        <w:t>sus</w:t>
      </w:r>
      <w:r>
        <w:rPr>
          <w:spacing w:val="-2"/>
          <w:w w:val="105"/>
          <w:sz w:val="15"/>
        </w:rPr>
        <w:t xml:space="preserve"> </w:t>
      </w:r>
      <w:r>
        <w:rPr>
          <w:w w:val="105"/>
          <w:sz w:val="15"/>
        </w:rPr>
        <w:t>derechos</w:t>
      </w:r>
      <w:r>
        <w:rPr>
          <w:spacing w:val="-3"/>
          <w:w w:val="105"/>
          <w:sz w:val="15"/>
        </w:rPr>
        <w:t xml:space="preserve"> </w:t>
      </w:r>
      <w:r>
        <w:rPr>
          <w:w w:val="105"/>
          <w:sz w:val="15"/>
        </w:rPr>
        <w:t>ante</w:t>
      </w:r>
      <w:r>
        <w:rPr>
          <w:spacing w:val="-3"/>
          <w:w w:val="105"/>
          <w:sz w:val="15"/>
        </w:rPr>
        <w:t xml:space="preserve"> </w:t>
      </w:r>
      <w:r>
        <w:rPr>
          <w:w w:val="105"/>
          <w:sz w:val="15"/>
        </w:rPr>
        <w:t>las</w:t>
      </w:r>
      <w:r>
        <w:rPr>
          <w:spacing w:val="-2"/>
          <w:w w:val="105"/>
          <w:sz w:val="15"/>
        </w:rPr>
        <w:t xml:space="preserve"> </w:t>
      </w:r>
      <w:r>
        <w:rPr>
          <w:w w:val="105"/>
          <w:sz w:val="15"/>
        </w:rPr>
        <w:t>instituciones,</w:t>
      </w:r>
      <w:r>
        <w:rPr>
          <w:spacing w:val="-1"/>
          <w:w w:val="105"/>
          <w:sz w:val="15"/>
        </w:rPr>
        <w:t xml:space="preserve"> </w:t>
      </w:r>
      <w:r>
        <w:rPr>
          <w:w w:val="105"/>
          <w:sz w:val="15"/>
        </w:rPr>
        <w:t>órganos</w:t>
      </w:r>
      <w:r>
        <w:rPr>
          <w:spacing w:val="-3"/>
          <w:w w:val="105"/>
          <w:sz w:val="15"/>
        </w:rPr>
        <w:t xml:space="preserve"> </w:t>
      </w:r>
      <w:r>
        <w:rPr>
          <w:w w:val="105"/>
          <w:sz w:val="15"/>
        </w:rPr>
        <w:t>de</w:t>
      </w:r>
      <w:r>
        <w:rPr>
          <w:spacing w:val="-2"/>
          <w:w w:val="105"/>
          <w:sz w:val="15"/>
        </w:rPr>
        <w:t xml:space="preserve"> </w:t>
      </w:r>
      <w:r>
        <w:rPr>
          <w:w w:val="105"/>
          <w:sz w:val="15"/>
        </w:rPr>
        <w:t>decisión</w:t>
      </w:r>
      <w:r>
        <w:rPr>
          <w:spacing w:val="-2"/>
          <w:w w:val="105"/>
          <w:sz w:val="15"/>
        </w:rPr>
        <w:t xml:space="preserve"> </w:t>
      </w:r>
      <w:r>
        <w:rPr>
          <w:w w:val="105"/>
          <w:sz w:val="15"/>
        </w:rPr>
        <w:t>y</w:t>
      </w:r>
      <w:r>
        <w:rPr>
          <w:spacing w:val="-2"/>
          <w:w w:val="105"/>
          <w:sz w:val="15"/>
        </w:rPr>
        <w:t xml:space="preserve"> </w:t>
      </w:r>
      <w:r>
        <w:rPr>
          <w:w w:val="105"/>
          <w:sz w:val="15"/>
        </w:rPr>
        <w:t xml:space="preserve">los </w:t>
      </w:r>
      <w:r>
        <w:rPr>
          <w:spacing w:val="-2"/>
          <w:w w:val="105"/>
          <w:sz w:val="15"/>
        </w:rPr>
        <w:t>tribunales.</w:t>
      </w:r>
    </w:p>
    <w:p w14:paraId="3CED90A1" w14:textId="77777777" w:rsidR="0014798C" w:rsidRDefault="004E1F0B">
      <w:pPr>
        <w:pStyle w:val="Prrafodelista"/>
        <w:numPr>
          <w:ilvl w:val="1"/>
          <w:numId w:val="34"/>
        </w:numPr>
        <w:tabs>
          <w:tab w:val="left" w:pos="1730"/>
        </w:tabs>
        <w:spacing w:before="113"/>
        <w:ind w:left="1730" w:hanging="174"/>
        <w:rPr>
          <w:sz w:val="15"/>
        </w:rPr>
      </w:pPr>
      <w:r>
        <w:rPr>
          <w:w w:val="105"/>
          <w:sz w:val="15"/>
        </w:rPr>
        <w:t>Recurrir</w:t>
      </w:r>
      <w:r>
        <w:rPr>
          <w:spacing w:val="-4"/>
          <w:w w:val="105"/>
          <w:sz w:val="15"/>
        </w:rPr>
        <w:t xml:space="preserve"> </w:t>
      </w:r>
      <w:r>
        <w:rPr>
          <w:w w:val="105"/>
          <w:sz w:val="15"/>
        </w:rPr>
        <w:t>a</w:t>
      </w:r>
      <w:r>
        <w:rPr>
          <w:spacing w:val="-3"/>
          <w:w w:val="105"/>
          <w:sz w:val="15"/>
        </w:rPr>
        <w:t xml:space="preserve"> </w:t>
      </w:r>
      <w:r>
        <w:rPr>
          <w:w w:val="105"/>
          <w:sz w:val="15"/>
        </w:rPr>
        <w:t>procedimientos</w:t>
      </w:r>
      <w:r>
        <w:rPr>
          <w:spacing w:val="-4"/>
          <w:w w:val="105"/>
          <w:sz w:val="15"/>
        </w:rPr>
        <w:t xml:space="preserve"> </w:t>
      </w:r>
      <w:r>
        <w:rPr>
          <w:w w:val="105"/>
          <w:sz w:val="15"/>
        </w:rPr>
        <w:t>de</w:t>
      </w:r>
      <w:r>
        <w:rPr>
          <w:spacing w:val="-3"/>
          <w:w w:val="105"/>
          <w:sz w:val="15"/>
        </w:rPr>
        <w:t xml:space="preserve"> </w:t>
      </w:r>
      <w:r>
        <w:rPr>
          <w:w w:val="105"/>
          <w:sz w:val="15"/>
        </w:rPr>
        <w:t>conciliación</w:t>
      </w:r>
      <w:r>
        <w:rPr>
          <w:spacing w:val="-3"/>
          <w:w w:val="105"/>
          <w:sz w:val="15"/>
        </w:rPr>
        <w:t xml:space="preserve"> </w:t>
      </w:r>
      <w:r>
        <w:rPr>
          <w:w w:val="105"/>
          <w:sz w:val="15"/>
        </w:rPr>
        <w:t>cuando</w:t>
      </w:r>
      <w:r>
        <w:rPr>
          <w:spacing w:val="-3"/>
          <w:w w:val="105"/>
          <w:sz w:val="15"/>
        </w:rPr>
        <w:t xml:space="preserve"> </w:t>
      </w:r>
      <w:r>
        <w:rPr>
          <w:spacing w:val="-2"/>
          <w:w w:val="105"/>
          <w:sz w:val="15"/>
        </w:rPr>
        <w:t>corresponda.</w:t>
      </w:r>
    </w:p>
    <w:p w14:paraId="00D25486" w14:textId="77777777" w:rsidR="0014798C" w:rsidRDefault="0014798C">
      <w:pPr>
        <w:pStyle w:val="Textoindependiente"/>
        <w:spacing w:before="11"/>
        <w:rPr>
          <w:sz w:val="15"/>
        </w:rPr>
      </w:pPr>
    </w:p>
    <w:p w14:paraId="2001389A" w14:textId="77777777" w:rsidR="0014798C" w:rsidRDefault="004E1F0B">
      <w:pPr>
        <w:pStyle w:val="Textoindependiente"/>
        <w:ind w:left="1564"/>
      </w:pPr>
      <w:r>
        <w:t>C.</w:t>
      </w:r>
      <w:r>
        <w:rPr>
          <w:spacing w:val="6"/>
        </w:rPr>
        <w:t xml:space="preserve"> </w:t>
      </w:r>
      <w:r>
        <w:t>Representar,</w:t>
      </w:r>
      <w:r>
        <w:rPr>
          <w:spacing w:val="8"/>
        </w:rPr>
        <w:t xml:space="preserve"> </w:t>
      </w:r>
      <w:r>
        <w:t>con</w:t>
      </w:r>
      <w:r>
        <w:rPr>
          <w:spacing w:val="6"/>
        </w:rPr>
        <w:t xml:space="preserve"> </w:t>
      </w:r>
      <w:r>
        <w:t>su</w:t>
      </w:r>
      <w:r>
        <w:rPr>
          <w:spacing w:val="7"/>
        </w:rPr>
        <w:t xml:space="preserve"> </w:t>
      </w:r>
      <w:r>
        <w:t>consentimiento,</w:t>
      </w:r>
      <w:r>
        <w:rPr>
          <w:spacing w:val="7"/>
        </w:rPr>
        <w:t xml:space="preserve"> </w:t>
      </w:r>
      <w:r>
        <w:t>a</w:t>
      </w:r>
      <w:r>
        <w:rPr>
          <w:spacing w:val="7"/>
        </w:rPr>
        <w:t xml:space="preserve"> </w:t>
      </w:r>
      <w:r>
        <w:t>personas</w:t>
      </w:r>
      <w:r>
        <w:rPr>
          <w:spacing w:val="5"/>
        </w:rPr>
        <w:t xml:space="preserve"> </w:t>
      </w:r>
      <w:r>
        <w:t>expuestas</w:t>
      </w:r>
      <w:r>
        <w:rPr>
          <w:spacing w:val="6"/>
        </w:rPr>
        <w:t xml:space="preserve"> </w:t>
      </w:r>
      <w:r>
        <w:t>a</w:t>
      </w:r>
      <w:r>
        <w:rPr>
          <w:spacing w:val="6"/>
        </w:rPr>
        <w:t xml:space="preserve"> </w:t>
      </w:r>
      <w:r>
        <w:t>discriminación</w:t>
      </w:r>
      <w:r>
        <w:rPr>
          <w:spacing w:val="7"/>
        </w:rPr>
        <w:t xml:space="preserve"> </w:t>
      </w:r>
      <w:r>
        <w:t>o</w:t>
      </w:r>
      <w:r>
        <w:rPr>
          <w:spacing w:val="6"/>
        </w:rPr>
        <w:t xml:space="preserve"> </w:t>
      </w:r>
      <w:r>
        <w:t>intolerancia</w:t>
      </w:r>
      <w:r>
        <w:rPr>
          <w:spacing w:val="5"/>
        </w:rPr>
        <w:t xml:space="preserve"> </w:t>
      </w:r>
      <w:r>
        <w:t>ante</w:t>
      </w:r>
      <w:r>
        <w:rPr>
          <w:spacing w:val="6"/>
        </w:rPr>
        <w:t xml:space="preserve"> </w:t>
      </w:r>
      <w:r>
        <w:t>las</w:t>
      </w:r>
      <w:r>
        <w:rPr>
          <w:spacing w:val="5"/>
        </w:rPr>
        <w:t xml:space="preserve"> </w:t>
      </w:r>
      <w:r>
        <w:rPr>
          <w:spacing w:val="-2"/>
        </w:rPr>
        <w:t>instituciones,</w:t>
      </w:r>
    </w:p>
    <w:p w14:paraId="69E52DF5" w14:textId="77777777" w:rsidR="0014798C" w:rsidRDefault="004E1F0B">
      <w:pPr>
        <w:spacing w:before="72"/>
        <w:ind w:left="100" w:right="5164"/>
        <w:jc w:val="center"/>
        <w:rPr>
          <w:sz w:val="15"/>
        </w:rPr>
      </w:pPr>
      <w:r>
        <w:rPr>
          <w:w w:val="105"/>
          <w:sz w:val="15"/>
        </w:rPr>
        <w:t>órganos</w:t>
      </w:r>
      <w:r>
        <w:rPr>
          <w:spacing w:val="-2"/>
          <w:w w:val="105"/>
          <w:sz w:val="15"/>
        </w:rPr>
        <w:t xml:space="preserve"> </w:t>
      </w:r>
      <w:r>
        <w:rPr>
          <w:w w:val="105"/>
          <w:sz w:val="15"/>
        </w:rPr>
        <w:t>jurisdiccionales</w:t>
      </w:r>
      <w:r>
        <w:rPr>
          <w:spacing w:val="-1"/>
          <w:w w:val="105"/>
          <w:sz w:val="15"/>
        </w:rPr>
        <w:t xml:space="preserve"> </w:t>
      </w:r>
      <w:r>
        <w:rPr>
          <w:w w:val="105"/>
          <w:sz w:val="15"/>
        </w:rPr>
        <w:t xml:space="preserve">y los </w:t>
      </w:r>
      <w:r>
        <w:rPr>
          <w:spacing w:val="-2"/>
          <w:w w:val="105"/>
          <w:sz w:val="15"/>
        </w:rPr>
        <w:t>tribunales.</w:t>
      </w:r>
    </w:p>
    <w:p w14:paraId="1820F652" w14:textId="77777777" w:rsidR="0014798C" w:rsidRDefault="0014798C">
      <w:pPr>
        <w:pStyle w:val="Textoindependiente"/>
        <w:spacing w:before="18"/>
        <w:rPr>
          <w:sz w:val="15"/>
        </w:rPr>
      </w:pPr>
    </w:p>
    <w:p w14:paraId="43966F92" w14:textId="77777777" w:rsidR="0014798C" w:rsidRDefault="004E1F0B">
      <w:pPr>
        <w:spacing w:line="348" w:lineRule="auto"/>
        <w:ind w:left="1904" w:right="2765" w:hanging="341"/>
        <w:rPr>
          <w:sz w:val="15"/>
        </w:rPr>
      </w:pPr>
      <w:r>
        <w:rPr>
          <w:w w:val="105"/>
          <w:sz w:val="15"/>
        </w:rPr>
        <w:t>d.</w:t>
      </w:r>
      <w:r>
        <w:rPr>
          <w:spacing w:val="-2"/>
          <w:w w:val="105"/>
          <w:sz w:val="15"/>
        </w:rPr>
        <w:t xml:space="preserve"> </w:t>
      </w:r>
      <w:r>
        <w:rPr>
          <w:w w:val="105"/>
          <w:sz w:val="15"/>
        </w:rPr>
        <w:t>Llevar</w:t>
      </w:r>
      <w:r>
        <w:rPr>
          <w:spacing w:val="-3"/>
          <w:w w:val="105"/>
          <w:sz w:val="15"/>
        </w:rPr>
        <w:t xml:space="preserve"> </w:t>
      </w:r>
      <w:r>
        <w:rPr>
          <w:w w:val="105"/>
          <w:sz w:val="15"/>
        </w:rPr>
        <w:t>los</w:t>
      </w:r>
      <w:r>
        <w:rPr>
          <w:spacing w:val="-2"/>
          <w:w w:val="105"/>
          <w:sz w:val="15"/>
        </w:rPr>
        <w:t xml:space="preserve"> </w:t>
      </w:r>
      <w:r>
        <w:rPr>
          <w:w w:val="105"/>
          <w:sz w:val="15"/>
        </w:rPr>
        <w:t>casos</w:t>
      </w:r>
      <w:r>
        <w:rPr>
          <w:spacing w:val="-2"/>
          <w:w w:val="105"/>
          <w:sz w:val="15"/>
        </w:rPr>
        <w:t xml:space="preserve"> </w:t>
      </w:r>
      <w:r>
        <w:rPr>
          <w:w w:val="105"/>
          <w:sz w:val="15"/>
        </w:rPr>
        <w:t>de</w:t>
      </w:r>
      <w:r>
        <w:rPr>
          <w:spacing w:val="-2"/>
          <w:w w:val="105"/>
          <w:sz w:val="15"/>
        </w:rPr>
        <w:t xml:space="preserve"> </w:t>
      </w:r>
      <w:r>
        <w:rPr>
          <w:w w:val="105"/>
          <w:sz w:val="15"/>
        </w:rPr>
        <w:t>discriminación</w:t>
      </w:r>
      <w:r>
        <w:rPr>
          <w:spacing w:val="-2"/>
          <w:w w:val="105"/>
          <w:sz w:val="15"/>
        </w:rPr>
        <w:t xml:space="preserve"> </w:t>
      </w:r>
      <w:r>
        <w:rPr>
          <w:w w:val="105"/>
          <w:sz w:val="15"/>
        </w:rPr>
        <w:t>o</w:t>
      </w:r>
      <w:r>
        <w:rPr>
          <w:spacing w:val="-2"/>
          <w:w w:val="105"/>
          <w:sz w:val="15"/>
        </w:rPr>
        <w:t xml:space="preserve"> </w:t>
      </w:r>
      <w:r>
        <w:rPr>
          <w:w w:val="105"/>
          <w:sz w:val="15"/>
        </w:rPr>
        <w:t>intolerancia</w:t>
      </w:r>
      <w:r>
        <w:rPr>
          <w:spacing w:val="-3"/>
          <w:w w:val="105"/>
          <w:sz w:val="15"/>
        </w:rPr>
        <w:t xml:space="preserve"> </w:t>
      </w:r>
      <w:r>
        <w:rPr>
          <w:w w:val="105"/>
          <w:sz w:val="15"/>
        </w:rPr>
        <w:t>individual</w:t>
      </w:r>
      <w:r>
        <w:rPr>
          <w:spacing w:val="-2"/>
          <w:w w:val="105"/>
          <w:sz w:val="15"/>
        </w:rPr>
        <w:t xml:space="preserve"> </w:t>
      </w:r>
      <w:r>
        <w:rPr>
          <w:w w:val="105"/>
          <w:sz w:val="15"/>
        </w:rPr>
        <w:t>y</w:t>
      </w:r>
      <w:r>
        <w:rPr>
          <w:spacing w:val="-2"/>
          <w:w w:val="105"/>
          <w:sz w:val="15"/>
        </w:rPr>
        <w:t xml:space="preserve"> </w:t>
      </w:r>
      <w:r>
        <w:rPr>
          <w:w w:val="105"/>
          <w:sz w:val="15"/>
        </w:rPr>
        <w:t>estructural</w:t>
      </w:r>
      <w:r>
        <w:rPr>
          <w:spacing w:val="-3"/>
          <w:w w:val="105"/>
          <w:sz w:val="15"/>
        </w:rPr>
        <w:t xml:space="preserve"> </w:t>
      </w:r>
      <w:r>
        <w:rPr>
          <w:w w:val="105"/>
          <w:sz w:val="15"/>
        </w:rPr>
        <w:t>en</w:t>
      </w:r>
      <w:r>
        <w:rPr>
          <w:spacing w:val="-2"/>
          <w:w w:val="105"/>
          <w:sz w:val="15"/>
        </w:rPr>
        <w:t xml:space="preserve"> </w:t>
      </w:r>
      <w:r>
        <w:rPr>
          <w:w w:val="105"/>
          <w:sz w:val="15"/>
        </w:rPr>
        <w:t>el</w:t>
      </w:r>
      <w:r>
        <w:rPr>
          <w:spacing w:val="-2"/>
          <w:w w:val="105"/>
          <w:sz w:val="15"/>
        </w:rPr>
        <w:t xml:space="preserve"> </w:t>
      </w:r>
      <w:r>
        <w:rPr>
          <w:w w:val="105"/>
          <w:sz w:val="15"/>
        </w:rPr>
        <w:t>organismo</w:t>
      </w:r>
      <w:r>
        <w:rPr>
          <w:spacing w:val="-2"/>
          <w:w w:val="105"/>
          <w:sz w:val="15"/>
        </w:rPr>
        <w:t xml:space="preserve"> </w:t>
      </w:r>
      <w:r>
        <w:rPr>
          <w:w w:val="105"/>
          <w:sz w:val="15"/>
        </w:rPr>
        <w:t>de</w:t>
      </w:r>
      <w:r>
        <w:rPr>
          <w:spacing w:val="-2"/>
          <w:w w:val="105"/>
          <w:sz w:val="15"/>
        </w:rPr>
        <w:t xml:space="preserve"> </w:t>
      </w:r>
      <w:r>
        <w:rPr>
          <w:w w:val="105"/>
          <w:sz w:val="15"/>
        </w:rPr>
        <w:t>igualdad propio nombre ante las instituciones, los órganos jurisdiccionales y los tribunales.</w:t>
      </w:r>
    </w:p>
    <w:p w14:paraId="7D430E53" w14:textId="77777777" w:rsidR="0014798C" w:rsidRDefault="004E1F0B">
      <w:pPr>
        <w:spacing w:before="113"/>
        <w:ind w:left="1564"/>
        <w:rPr>
          <w:sz w:val="15"/>
        </w:rPr>
      </w:pPr>
      <w:r>
        <w:rPr>
          <w:w w:val="105"/>
          <w:sz w:val="15"/>
        </w:rPr>
        <w:t>mi.</w:t>
      </w:r>
      <w:r>
        <w:rPr>
          <w:spacing w:val="-4"/>
          <w:w w:val="105"/>
          <w:sz w:val="15"/>
        </w:rPr>
        <w:t xml:space="preserve"> </w:t>
      </w:r>
      <w:r>
        <w:rPr>
          <w:w w:val="105"/>
          <w:sz w:val="15"/>
        </w:rPr>
        <w:t>Intervenir</w:t>
      </w:r>
      <w:r>
        <w:rPr>
          <w:spacing w:val="-5"/>
          <w:w w:val="105"/>
          <w:sz w:val="15"/>
        </w:rPr>
        <w:t xml:space="preserve"> </w:t>
      </w:r>
      <w:r>
        <w:rPr>
          <w:w w:val="105"/>
          <w:sz w:val="15"/>
        </w:rPr>
        <w:t>como</w:t>
      </w:r>
      <w:r>
        <w:rPr>
          <w:spacing w:val="-4"/>
          <w:w w:val="105"/>
          <w:sz w:val="15"/>
        </w:rPr>
        <w:t xml:space="preserve"> </w:t>
      </w:r>
      <w:proofErr w:type="spellStart"/>
      <w:r>
        <w:rPr>
          <w:w w:val="105"/>
          <w:sz w:val="15"/>
        </w:rPr>
        <w:t>amicus</w:t>
      </w:r>
      <w:proofErr w:type="spellEnd"/>
      <w:r>
        <w:rPr>
          <w:spacing w:val="-4"/>
          <w:w w:val="105"/>
          <w:sz w:val="15"/>
        </w:rPr>
        <w:t xml:space="preserve"> </w:t>
      </w:r>
      <w:proofErr w:type="spellStart"/>
      <w:r>
        <w:rPr>
          <w:w w:val="105"/>
          <w:sz w:val="15"/>
        </w:rPr>
        <w:t>curiae</w:t>
      </w:r>
      <w:proofErr w:type="spellEnd"/>
      <w:r>
        <w:rPr>
          <w:w w:val="105"/>
          <w:sz w:val="15"/>
        </w:rPr>
        <w:t>,</w:t>
      </w:r>
      <w:r>
        <w:rPr>
          <w:spacing w:val="-4"/>
          <w:w w:val="105"/>
          <w:sz w:val="15"/>
        </w:rPr>
        <w:t xml:space="preserve"> </w:t>
      </w:r>
      <w:r>
        <w:rPr>
          <w:w w:val="105"/>
          <w:sz w:val="15"/>
        </w:rPr>
        <w:t>tercero</w:t>
      </w:r>
      <w:r>
        <w:rPr>
          <w:spacing w:val="-5"/>
          <w:w w:val="105"/>
          <w:sz w:val="15"/>
        </w:rPr>
        <w:t xml:space="preserve"> </w:t>
      </w:r>
      <w:r>
        <w:rPr>
          <w:w w:val="105"/>
          <w:sz w:val="15"/>
        </w:rPr>
        <w:t>o</w:t>
      </w:r>
      <w:r>
        <w:rPr>
          <w:spacing w:val="-3"/>
          <w:w w:val="105"/>
          <w:sz w:val="15"/>
        </w:rPr>
        <w:t xml:space="preserve"> </w:t>
      </w:r>
      <w:r>
        <w:rPr>
          <w:w w:val="105"/>
          <w:sz w:val="15"/>
        </w:rPr>
        <w:t>perito</w:t>
      </w:r>
      <w:r>
        <w:rPr>
          <w:spacing w:val="-5"/>
          <w:w w:val="105"/>
          <w:sz w:val="15"/>
        </w:rPr>
        <w:t xml:space="preserve"> </w:t>
      </w:r>
      <w:r>
        <w:rPr>
          <w:w w:val="105"/>
          <w:sz w:val="15"/>
        </w:rPr>
        <w:t>ante</w:t>
      </w:r>
      <w:r>
        <w:rPr>
          <w:spacing w:val="-5"/>
          <w:w w:val="105"/>
          <w:sz w:val="15"/>
        </w:rPr>
        <w:t xml:space="preserve"> </w:t>
      </w:r>
      <w:r>
        <w:rPr>
          <w:w w:val="105"/>
          <w:sz w:val="15"/>
        </w:rPr>
        <w:t>instituciones,</w:t>
      </w:r>
      <w:r>
        <w:rPr>
          <w:spacing w:val="-2"/>
          <w:w w:val="105"/>
          <w:sz w:val="15"/>
        </w:rPr>
        <w:t xml:space="preserve"> </w:t>
      </w:r>
      <w:r>
        <w:rPr>
          <w:w w:val="105"/>
          <w:sz w:val="15"/>
        </w:rPr>
        <w:t>órganos</w:t>
      </w:r>
      <w:r>
        <w:rPr>
          <w:spacing w:val="-5"/>
          <w:w w:val="105"/>
          <w:sz w:val="15"/>
        </w:rPr>
        <w:t xml:space="preserve"> </w:t>
      </w:r>
      <w:r>
        <w:rPr>
          <w:w w:val="105"/>
          <w:sz w:val="15"/>
        </w:rPr>
        <w:t>de</w:t>
      </w:r>
      <w:r>
        <w:rPr>
          <w:spacing w:val="-4"/>
          <w:w w:val="105"/>
          <w:sz w:val="15"/>
        </w:rPr>
        <w:t xml:space="preserve"> </w:t>
      </w:r>
      <w:r>
        <w:rPr>
          <w:w w:val="105"/>
          <w:sz w:val="15"/>
        </w:rPr>
        <w:t>decisión,</w:t>
      </w:r>
      <w:r>
        <w:rPr>
          <w:spacing w:val="-4"/>
          <w:w w:val="105"/>
          <w:sz w:val="15"/>
        </w:rPr>
        <w:t xml:space="preserve"> </w:t>
      </w:r>
      <w:r>
        <w:rPr>
          <w:spacing w:val="-10"/>
          <w:w w:val="105"/>
          <w:sz w:val="15"/>
        </w:rPr>
        <w:t>y</w:t>
      </w:r>
    </w:p>
    <w:p w14:paraId="108981A3" w14:textId="77777777" w:rsidR="0014798C" w:rsidRDefault="004E1F0B">
      <w:pPr>
        <w:spacing w:before="44"/>
        <w:ind w:left="1900"/>
        <w:rPr>
          <w:sz w:val="14"/>
        </w:rPr>
      </w:pPr>
      <w:r>
        <w:rPr>
          <w:sz w:val="14"/>
        </w:rPr>
        <w:t xml:space="preserve">Los </w:t>
      </w:r>
      <w:r>
        <w:rPr>
          <w:spacing w:val="-2"/>
          <w:sz w:val="14"/>
        </w:rPr>
        <w:t>tribunales.</w:t>
      </w:r>
    </w:p>
    <w:p w14:paraId="063F0AE2" w14:textId="77777777" w:rsidR="0014798C" w:rsidRDefault="0014798C">
      <w:pPr>
        <w:pStyle w:val="Textoindependiente"/>
        <w:spacing w:before="62"/>
        <w:rPr>
          <w:sz w:val="15"/>
        </w:rPr>
      </w:pPr>
    </w:p>
    <w:p w14:paraId="3B912A36" w14:textId="77777777" w:rsidR="0014798C" w:rsidRDefault="004E1F0B">
      <w:pPr>
        <w:spacing w:before="1" w:line="348" w:lineRule="auto"/>
        <w:ind w:left="1899" w:right="1917" w:hanging="337"/>
        <w:rPr>
          <w:sz w:val="15"/>
        </w:rPr>
      </w:pPr>
      <w:r>
        <w:rPr>
          <w:w w:val="105"/>
          <w:sz w:val="15"/>
        </w:rPr>
        <w:t>F.</w:t>
      </w:r>
      <w:r>
        <w:rPr>
          <w:spacing w:val="-3"/>
          <w:w w:val="105"/>
          <w:sz w:val="15"/>
        </w:rPr>
        <w:t xml:space="preserve"> </w:t>
      </w:r>
      <w:r>
        <w:rPr>
          <w:w w:val="105"/>
          <w:sz w:val="15"/>
        </w:rPr>
        <w:t>Supervisar</w:t>
      </w:r>
      <w:r>
        <w:rPr>
          <w:spacing w:val="-3"/>
          <w:w w:val="105"/>
          <w:sz w:val="15"/>
        </w:rPr>
        <w:t xml:space="preserve"> </w:t>
      </w:r>
      <w:r>
        <w:rPr>
          <w:w w:val="105"/>
          <w:sz w:val="15"/>
        </w:rPr>
        <w:t>la</w:t>
      </w:r>
      <w:r>
        <w:rPr>
          <w:spacing w:val="-2"/>
          <w:w w:val="105"/>
          <w:sz w:val="15"/>
        </w:rPr>
        <w:t xml:space="preserve"> </w:t>
      </w:r>
      <w:r>
        <w:rPr>
          <w:w w:val="105"/>
          <w:sz w:val="15"/>
        </w:rPr>
        <w:t>ejecución</w:t>
      </w:r>
      <w:r>
        <w:rPr>
          <w:spacing w:val="-2"/>
          <w:w w:val="105"/>
          <w:sz w:val="15"/>
        </w:rPr>
        <w:t xml:space="preserve"> </w:t>
      </w:r>
      <w:r>
        <w:rPr>
          <w:w w:val="105"/>
          <w:sz w:val="15"/>
        </w:rPr>
        <w:t>de</w:t>
      </w:r>
      <w:r>
        <w:rPr>
          <w:spacing w:val="-2"/>
          <w:w w:val="105"/>
          <w:sz w:val="15"/>
        </w:rPr>
        <w:t xml:space="preserve"> </w:t>
      </w:r>
      <w:r>
        <w:rPr>
          <w:w w:val="105"/>
          <w:sz w:val="15"/>
        </w:rPr>
        <w:t>las</w:t>
      </w:r>
      <w:r>
        <w:rPr>
          <w:spacing w:val="-2"/>
          <w:w w:val="105"/>
          <w:sz w:val="15"/>
        </w:rPr>
        <w:t xml:space="preserve"> </w:t>
      </w:r>
      <w:r>
        <w:rPr>
          <w:w w:val="105"/>
          <w:sz w:val="15"/>
        </w:rPr>
        <w:t>decisiones</w:t>
      </w:r>
      <w:r>
        <w:rPr>
          <w:spacing w:val="-3"/>
          <w:w w:val="105"/>
          <w:sz w:val="15"/>
        </w:rPr>
        <w:t xml:space="preserve"> </w:t>
      </w:r>
      <w:r>
        <w:rPr>
          <w:w w:val="105"/>
          <w:sz w:val="15"/>
        </w:rPr>
        <w:t>de</w:t>
      </w:r>
      <w:r>
        <w:rPr>
          <w:spacing w:val="-2"/>
          <w:w w:val="105"/>
          <w:sz w:val="15"/>
        </w:rPr>
        <w:t xml:space="preserve"> </w:t>
      </w:r>
      <w:r>
        <w:rPr>
          <w:w w:val="105"/>
          <w:sz w:val="15"/>
        </w:rPr>
        <w:t>las</w:t>
      </w:r>
      <w:r>
        <w:rPr>
          <w:spacing w:val="-2"/>
          <w:w w:val="105"/>
          <w:sz w:val="15"/>
        </w:rPr>
        <w:t xml:space="preserve"> </w:t>
      </w:r>
      <w:r>
        <w:rPr>
          <w:w w:val="105"/>
          <w:sz w:val="15"/>
        </w:rPr>
        <w:t>instituciones,</w:t>
      </w:r>
      <w:r>
        <w:rPr>
          <w:spacing w:val="-1"/>
          <w:w w:val="105"/>
          <w:sz w:val="15"/>
        </w:rPr>
        <w:t xml:space="preserve"> </w:t>
      </w:r>
      <w:r>
        <w:rPr>
          <w:w w:val="105"/>
          <w:sz w:val="15"/>
        </w:rPr>
        <w:t>órganos</w:t>
      </w:r>
      <w:r>
        <w:rPr>
          <w:spacing w:val="-3"/>
          <w:w w:val="105"/>
          <w:sz w:val="15"/>
        </w:rPr>
        <w:t xml:space="preserve"> </w:t>
      </w:r>
      <w:r>
        <w:rPr>
          <w:w w:val="105"/>
          <w:sz w:val="15"/>
        </w:rPr>
        <w:t>jurisdiccionales</w:t>
      </w:r>
      <w:r>
        <w:rPr>
          <w:spacing w:val="-3"/>
          <w:w w:val="105"/>
          <w:sz w:val="15"/>
        </w:rPr>
        <w:t xml:space="preserve"> </w:t>
      </w:r>
      <w:r>
        <w:rPr>
          <w:w w:val="105"/>
          <w:sz w:val="15"/>
        </w:rPr>
        <w:t>y</w:t>
      </w:r>
      <w:r>
        <w:rPr>
          <w:spacing w:val="-2"/>
          <w:w w:val="105"/>
          <w:sz w:val="15"/>
        </w:rPr>
        <w:t xml:space="preserve"> </w:t>
      </w:r>
      <w:r>
        <w:rPr>
          <w:w w:val="105"/>
          <w:sz w:val="15"/>
        </w:rPr>
        <w:t>tribunales</w:t>
      </w:r>
      <w:r>
        <w:rPr>
          <w:spacing w:val="-3"/>
          <w:w w:val="105"/>
          <w:sz w:val="15"/>
        </w:rPr>
        <w:t xml:space="preserve"> </w:t>
      </w:r>
      <w:r>
        <w:rPr>
          <w:w w:val="105"/>
          <w:sz w:val="15"/>
        </w:rPr>
        <w:t>que</w:t>
      </w:r>
      <w:r>
        <w:rPr>
          <w:spacing w:val="-2"/>
          <w:w w:val="105"/>
          <w:sz w:val="15"/>
        </w:rPr>
        <w:t xml:space="preserve"> </w:t>
      </w:r>
      <w:r>
        <w:rPr>
          <w:w w:val="105"/>
          <w:sz w:val="15"/>
        </w:rPr>
        <w:t>se</w:t>
      </w:r>
      <w:r>
        <w:rPr>
          <w:spacing w:val="-2"/>
          <w:w w:val="105"/>
          <w:sz w:val="15"/>
        </w:rPr>
        <w:t xml:space="preserve"> </w:t>
      </w:r>
      <w:r>
        <w:rPr>
          <w:w w:val="105"/>
          <w:sz w:val="15"/>
        </w:rPr>
        <w:t>ocupan con igualdad, discriminación e intolerancia.776</w:t>
      </w:r>
    </w:p>
    <w:p w14:paraId="4B0D369A" w14:textId="77777777" w:rsidR="0014798C" w:rsidRDefault="0014798C">
      <w:pPr>
        <w:pStyle w:val="Textoindependiente"/>
        <w:rPr>
          <w:sz w:val="15"/>
        </w:rPr>
      </w:pPr>
    </w:p>
    <w:p w14:paraId="54F49BBE" w14:textId="77777777" w:rsidR="0014798C" w:rsidRDefault="0014798C">
      <w:pPr>
        <w:pStyle w:val="Textoindependiente"/>
        <w:spacing w:before="107"/>
        <w:rPr>
          <w:sz w:val="15"/>
        </w:rPr>
      </w:pPr>
    </w:p>
    <w:p w14:paraId="4707B425" w14:textId="77777777" w:rsidR="0014798C" w:rsidRDefault="004E1F0B">
      <w:pPr>
        <w:spacing w:line="348" w:lineRule="auto"/>
        <w:ind w:left="1107" w:right="1272" w:hanging="1"/>
        <w:rPr>
          <w:sz w:val="15"/>
        </w:rPr>
      </w:pPr>
      <w:r>
        <w:rPr>
          <w:w w:val="105"/>
          <w:sz w:val="15"/>
        </w:rPr>
        <w:t>La Comisión Europea contra el Racismo y la Intolerancia afirma que “los organismos de igualdad deberían tener derecho a elegir, basándose en criterios publicados y establecidos por ellos, los casos que aceptarán para representación y litigio estratégico”.777 Además,</w:t>
      </w:r>
      <w:r>
        <w:rPr>
          <w:spacing w:val="-1"/>
          <w:w w:val="105"/>
          <w:sz w:val="15"/>
        </w:rPr>
        <w:t xml:space="preserve"> </w:t>
      </w:r>
      <w:r>
        <w:rPr>
          <w:w w:val="105"/>
          <w:sz w:val="15"/>
        </w:rPr>
        <w:t>“los</w:t>
      </w:r>
      <w:r>
        <w:rPr>
          <w:spacing w:val="-1"/>
          <w:w w:val="105"/>
          <w:sz w:val="15"/>
        </w:rPr>
        <w:t xml:space="preserve"> </w:t>
      </w:r>
      <w:r>
        <w:rPr>
          <w:w w:val="105"/>
          <w:sz w:val="15"/>
        </w:rPr>
        <w:t>Estados</w:t>
      </w:r>
      <w:r>
        <w:rPr>
          <w:spacing w:val="-2"/>
          <w:w w:val="105"/>
          <w:sz w:val="15"/>
        </w:rPr>
        <w:t xml:space="preserve"> </w:t>
      </w:r>
      <w:r>
        <w:rPr>
          <w:w w:val="105"/>
          <w:sz w:val="15"/>
        </w:rPr>
        <w:t>deben</w:t>
      </w:r>
      <w:r>
        <w:rPr>
          <w:spacing w:val="-1"/>
          <w:w w:val="105"/>
          <w:sz w:val="15"/>
        </w:rPr>
        <w:t xml:space="preserve"> </w:t>
      </w:r>
      <w:r>
        <w:rPr>
          <w:w w:val="105"/>
          <w:sz w:val="15"/>
        </w:rPr>
        <w:t>garantizar</w:t>
      </w:r>
      <w:r>
        <w:rPr>
          <w:spacing w:val="-2"/>
          <w:w w:val="105"/>
          <w:sz w:val="15"/>
        </w:rPr>
        <w:t xml:space="preserve"> </w:t>
      </w:r>
      <w:r>
        <w:rPr>
          <w:w w:val="105"/>
          <w:sz w:val="15"/>
        </w:rPr>
        <w:t>que</w:t>
      </w:r>
      <w:r>
        <w:rPr>
          <w:spacing w:val="-1"/>
          <w:w w:val="105"/>
          <w:sz w:val="15"/>
        </w:rPr>
        <w:t xml:space="preserve"> </w:t>
      </w:r>
      <w:r>
        <w:rPr>
          <w:w w:val="105"/>
          <w:sz w:val="15"/>
        </w:rPr>
        <w:t>exista</w:t>
      </w:r>
      <w:r>
        <w:rPr>
          <w:spacing w:val="-2"/>
          <w:w w:val="105"/>
          <w:sz w:val="15"/>
        </w:rPr>
        <w:t xml:space="preserve"> </w:t>
      </w:r>
      <w:r>
        <w:rPr>
          <w:w w:val="105"/>
          <w:sz w:val="15"/>
        </w:rPr>
        <w:t>un</w:t>
      </w:r>
      <w:r>
        <w:rPr>
          <w:spacing w:val="-1"/>
          <w:w w:val="105"/>
          <w:sz w:val="15"/>
        </w:rPr>
        <w:t xml:space="preserve"> </w:t>
      </w:r>
      <w:r>
        <w:rPr>
          <w:w w:val="105"/>
          <w:sz w:val="15"/>
        </w:rPr>
        <w:t>sistema</w:t>
      </w:r>
      <w:r>
        <w:rPr>
          <w:spacing w:val="-2"/>
          <w:w w:val="105"/>
          <w:sz w:val="15"/>
        </w:rPr>
        <w:t xml:space="preserve"> </w:t>
      </w:r>
      <w:r>
        <w:rPr>
          <w:w w:val="105"/>
          <w:sz w:val="15"/>
        </w:rPr>
        <w:t>por</w:t>
      </w:r>
      <w:r>
        <w:rPr>
          <w:spacing w:val="-1"/>
          <w:w w:val="105"/>
          <w:sz w:val="15"/>
        </w:rPr>
        <w:t xml:space="preserve"> </w:t>
      </w:r>
      <w:r>
        <w:rPr>
          <w:w w:val="105"/>
          <w:sz w:val="15"/>
        </w:rPr>
        <w:t>el</w:t>
      </w:r>
      <w:r>
        <w:rPr>
          <w:spacing w:val="-1"/>
          <w:w w:val="105"/>
          <w:sz w:val="15"/>
        </w:rPr>
        <w:t xml:space="preserve"> </w:t>
      </w:r>
      <w:r>
        <w:rPr>
          <w:w w:val="105"/>
          <w:sz w:val="15"/>
        </w:rPr>
        <w:t>cual</w:t>
      </w:r>
      <w:r>
        <w:rPr>
          <w:spacing w:val="-1"/>
          <w:w w:val="105"/>
          <w:sz w:val="15"/>
        </w:rPr>
        <w:t xml:space="preserve"> </w:t>
      </w:r>
      <w:r>
        <w:rPr>
          <w:w w:val="105"/>
          <w:sz w:val="15"/>
        </w:rPr>
        <w:t>las</w:t>
      </w:r>
      <w:r>
        <w:rPr>
          <w:spacing w:val="-1"/>
          <w:w w:val="105"/>
          <w:sz w:val="15"/>
        </w:rPr>
        <w:t xml:space="preserve"> </w:t>
      </w:r>
      <w:r>
        <w:rPr>
          <w:w w:val="105"/>
          <w:sz w:val="15"/>
        </w:rPr>
        <w:t>personas</w:t>
      </w:r>
      <w:r>
        <w:rPr>
          <w:spacing w:val="-2"/>
          <w:w w:val="105"/>
          <w:sz w:val="15"/>
        </w:rPr>
        <w:t xml:space="preserve"> </w:t>
      </w:r>
      <w:r>
        <w:rPr>
          <w:w w:val="105"/>
          <w:sz w:val="15"/>
        </w:rPr>
        <w:t>expuestas</w:t>
      </w:r>
      <w:r>
        <w:rPr>
          <w:spacing w:val="-2"/>
          <w:w w:val="105"/>
          <w:sz w:val="15"/>
        </w:rPr>
        <w:t xml:space="preserve"> </w:t>
      </w:r>
      <w:r>
        <w:rPr>
          <w:w w:val="105"/>
          <w:sz w:val="15"/>
        </w:rPr>
        <w:t>a</w:t>
      </w:r>
      <w:r>
        <w:rPr>
          <w:spacing w:val="-1"/>
          <w:w w:val="105"/>
          <w:sz w:val="15"/>
        </w:rPr>
        <w:t xml:space="preserve"> </w:t>
      </w:r>
      <w:r>
        <w:rPr>
          <w:w w:val="105"/>
          <w:sz w:val="15"/>
        </w:rPr>
        <w:t>discriminación</w:t>
      </w:r>
      <w:r>
        <w:rPr>
          <w:spacing w:val="-1"/>
          <w:w w:val="105"/>
          <w:sz w:val="15"/>
        </w:rPr>
        <w:t xml:space="preserve"> </w:t>
      </w:r>
      <w:r>
        <w:rPr>
          <w:w w:val="105"/>
          <w:sz w:val="15"/>
        </w:rPr>
        <w:t>o</w:t>
      </w:r>
      <w:r>
        <w:rPr>
          <w:spacing w:val="-1"/>
          <w:w w:val="105"/>
          <w:sz w:val="15"/>
        </w:rPr>
        <w:t xml:space="preserve"> </w:t>
      </w:r>
      <w:r>
        <w:rPr>
          <w:w w:val="105"/>
          <w:sz w:val="15"/>
        </w:rPr>
        <w:t>intolerancia</w:t>
      </w:r>
      <w:r>
        <w:rPr>
          <w:spacing w:val="-2"/>
          <w:w w:val="105"/>
          <w:sz w:val="15"/>
        </w:rPr>
        <w:t xml:space="preserve"> </w:t>
      </w:r>
      <w:r>
        <w:rPr>
          <w:w w:val="105"/>
          <w:sz w:val="15"/>
        </w:rPr>
        <w:t>no tienen que pagar honorarios judiciales y administrativos ni honorarios de representación, en particular en casos de discriminación estructural y cuando sus casos se llevan a cabo para litigios estratégicos”.778</w:t>
      </w:r>
    </w:p>
    <w:p w14:paraId="0D96CD68" w14:textId="77777777" w:rsidR="0014798C" w:rsidRDefault="004E1F0B">
      <w:pPr>
        <w:numPr>
          <w:ilvl w:val="0"/>
          <w:numId w:val="34"/>
        </w:numPr>
        <w:tabs>
          <w:tab w:val="left" w:pos="1407"/>
        </w:tabs>
        <w:spacing w:before="230"/>
        <w:ind w:left="1407" w:hanging="290"/>
        <w:rPr>
          <w:sz w:val="26"/>
        </w:rPr>
      </w:pPr>
      <w:r>
        <w:rPr>
          <w:color w:val="00AC59"/>
          <w:sz w:val="26"/>
        </w:rPr>
        <w:t>Toma</w:t>
      </w:r>
      <w:r>
        <w:rPr>
          <w:color w:val="00AC59"/>
          <w:spacing w:val="-1"/>
          <w:sz w:val="26"/>
        </w:rPr>
        <w:t xml:space="preserve"> </w:t>
      </w:r>
      <w:r>
        <w:rPr>
          <w:color w:val="00AC59"/>
          <w:sz w:val="26"/>
        </w:rPr>
        <w:t>de</w:t>
      </w:r>
      <w:r>
        <w:rPr>
          <w:color w:val="00AC59"/>
          <w:spacing w:val="-1"/>
          <w:sz w:val="26"/>
        </w:rPr>
        <w:t xml:space="preserve"> </w:t>
      </w:r>
      <w:r>
        <w:rPr>
          <w:color w:val="00AC59"/>
          <w:sz w:val="26"/>
        </w:rPr>
        <w:t>decisiones</w:t>
      </w:r>
      <w:r>
        <w:rPr>
          <w:color w:val="00AC59"/>
          <w:spacing w:val="-1"/>
          <w:sz w:val="26"/>
        </w:rPr>
        <w:t xml:space="preserve"> </w:t>
      </w:r>
      <w:r>
        <w:rPr>
          <w:color w:val="00AC59"/>
          <w:sz w:val="26"/>
        </w:rPr>
        <w:t>y</w:t>
      </w:r>
      <w:r>
        <w:rPr>
          <w:color w:val="00AC59"/>
          <w:spacing w:val="-1"/>
          <w:sz w:val="26"/>
        </w:rPr>
        <w:t xml:space="preserve"> </w:t>
      </w:r>
      <w:r>
        <w:rPr>
          <w:color w:val="00AC59"/>
          <w:spacing w:val="-2"/>
          <w:sz w:val="26"/>
        </w:rPr>
        <w:t>aplicación</w:t>
      </w:r>
    </w:p>
    <w:p w14:paraId="6D52B9B6" w14:textId="77777777" w:rsidR="0014798C" w:rsidRDefault="0014798C">
      <w:pPr>
        <w:pStyle w:val="Textoindependiente"/>
        <w:spacing w:before="49"/>
        <w:rPr>
          <w:sz w:val="15"/>
        </w:rPr>
      </w:pPr>
    </w:p>
    <w:p w14:paraId="19AB7E65" w14:textId="77777777" w:rsidR="0014798C" w:rsidRDefault="004E1F0B">
      <w:pPr>
        <w:spacing w:line="348" w:lineRule="auto"/>
        <w:ind w:left="1108" w:right="1418" w:hanging="5"/>
        <w:rPr>
          <w:sz w:val="15"/>
        </w:rPr>
      </w:pPr>
      <w:r>
        <w:rPr>
          <w:w w:val="105"/>
          <w:sz w:val="15"/>
        </w:rPr>
        <w:t>Si bien todos los órganos de igualdad realizarán alguna combinación de funciones de promoción, prevención, litigio y apoyo, en algunos</w:t>
      </w:r>
      <w:r>
        <w:rPr>
          <w:spacing w:val="-2"/>
          <w:w w:val="105"/>
          <w:sz w:val="15"/>
        </w:rPr>
        <w:t xml:space="preserve"> </w:t>
      </w:r>
      <w:r>
        <w:rPr>
          <w:w w:val="105"/>
          <w:sz w:val="15"/>
        </w:rPr>
        <w:t>países,</w:t>
      </w:r>
      <w:r>
        <w:rPr>
          <w:spacing w:val="-1"/>
          <w:w w:val="105"/>
          <w:sz w:val="15"/>
        </w:rPr>
        <w:t xml:space="preserve"> </w:t>
      </w:r>
      <w:r>
        <w:rPr>
          <w:w w:val="105"/>
          <w:sz w:val="15"/>
        </w:rPr>
        <w:t>a</w:t>
      </w:r>
      <w:r>
        <w:rPr>
          <w:spacing w:val="-1"/>
          <w:w w:val="105"/>
          <w:sz w:val="15"/>
        </w:rPr>
        <w:t xml:space="preserve"> </w:t>
      </w:r>
      <w:r>
        <w:rPr>
          <w:w w:val="105"/>
          <w:sz w:val="15"/>
        </w:rPr>
        <w:t>estos</w:t>
      </w:r>
      <w:r>
        <w:rPr>
          <w:spacing w:val="-2"/>
          <w:w w:val="105"/>
          <w:sz w:val="15"/>
        </w:rPr>
        <w:t xml:space="preserve"> </w:t>
      </w:r>
      <w:r>
        <w:rPr>
          <w:w w:val="105"/>
          <w:sz w:val="15"/>
        </w:rPr>
        <w:t>órganos</w:t>
      </w:r>
      <w:r>
        <w:rPr>
          <w:spacing w:val="-2"/>
          <w:w w:val="105"/>
          <w:sz w:val="15"/>
        </w:rPr>
        <w:t xml:space="preserve"> </w:t>
      </w:r>
      <w:r>
        <w:rPr>
          <w:w w:val="105"/>
          <w:sz w:val="15"/>
        </w:rPr>
        <w:t>también</w:t>
      </w:r>
      <w:r>
        <w:rPr>
          <w:spacing w:val="-2"/>
          <w:w w:val="105"/>
          <w:sz w:val="15"/>
        </w:rPr>
        <w:t xml:space="preserve"> </w:t>
      </w:r>
      <w:r>
        <w:rPr>
          <w:w w:val="105"/>
          <w:sz w:val="15"/>
        </w:rPr>
        <w:t>se</w:t>
      </w:r>
      <w:r>
        <w:rPr>
          <w:spacing w:val="-1"/>
          <w:w w:val="105"/>
          <w:sz w:val="15"/>
        </w:rPr>
        <w:t xml:space="preserve"> </w:t>
      </w:r>
      <w:r>
        <w:rPr>
          <w:w w:val="105"/>
          <w:sz w:val="15"/>
        </w:rPr>
        <w:t>les</w:t>
      </w:r>
      <w:r>
        <w:rPr>
          <w:spacing w:val="-1"/>
          <w:w w:val="105"/>
          <w:sz w:val="15"/>
        </w:rPr>
        <w:t xml:space="preserve"> </w:t>
      </w:r>
      <w:r>
        <w:rPr>
          <w:w w:val="105"/>
          <w:sz w:val="15"/>
        </w:rPr>
        <w:t>han</w:t>
      </w:r>
      <w:r>
        <w:rPr>
          <w:spacing w:val="-1"/>
          <w:w w:val="105"/>
          <w:sz w:val="15"/>
        </w:rPr>
        <w:t xml:space="preserve"> </w:t>
      </w:r>
      <w:r>
        <w:rPr>
          <w:w w:val="105"/>
          <w:sz w:val="15"/>
        </w:rPr>
        <w:t>asignado</w:t>
      </w:r>
      <w:r>
        <w:rPr>
          <w:spacing w:val="-1"/>
          <w:w w:val="105"/>
          <w:sz w:val="15"/>
        </w:rPr>
        <w:t xml:space="preserve"> </w:t>
      </w:r>
      <w:r>
        <w:rPr>
          <w:w w:val="105"/>
          <w:sz w:val="15"/>
        </w:rPr>
        <w:t>responsabilidades</w:t>
      </w:r>
      <w:r>
        <w:rPr>
          <w:spacing w:val="-2"/>
          <w:w w:val="105"/>
          <w:sz w:val="15"/>
        </w:rPr>
        <w:t xml:space="preserve"> </w:t>
      </w:r>
      <w:r>
        <w:rPr>
          <w:w w:val="105"/>
          <w:sz w:val="15"/>
        </w:rPr>
        <w:t>especiales</w:t>
      </w:r>
      <w:r>
        <w:rPr>
          <w:spacing w:val="-2"/>
          <w:w w:val="105"/>
          <w:sz w:val="15"/>
        </w:rPr>
        <w:t xml:space="preserve"> </w:t>
      </w:r>
      <w:r>
        <w:rPr>
          <w:w w:val="105"/>
          <w:sz w:val="15"/>
        </w:rPr>
        <w:t>de</w:t>
      </w:r>
      <w:r>
        <w:rPr>
          <w:spacing w:val="-1"/>
          <w:w w:val="105"/>
          <w:sz w:val="15"/>
        </w:rPr>
        <w:t xml:space="preserve"> </w:t>
      </w:r>
      <w:r>
        <w:rPr>
          <w:w w:val="105"/>
          <w:sz w:val="15"/>
        </w:rPr>
        <w:t>toma</w:t>
      </w:r>
      <w:r>
        <w:rPr>
          <w:spacing w:val="-2"/>
          <w:w w:val="105"/>
          <w:sz w:val="15"/>
        </w:rPr>
        <w:t xml:space="preserve"> </w:t>
      </w:r>
      <w:r>
        <w:rPr>
          <w:w w:val="105"/>
          <w:sz w:val="15"/>
        </w:rPr>
        <w:t>de</w:t>
      </w:r>
      <w:r>
        <w:rPr>
          <w:spacing w:val="-1"/>
          <w:w w:val="105"/>
          <w:sz w:val="15"/>
        </w:rPr>
        <w:t xml:space="preserve"> </w:t>
      </w:r>
      <w:r>
        <w:rPr>
          <w:w w:val="105"/>
          <w:sz w:val="15"/>
        </w:rPr>
        <w:t>decisiones</w:t>
      </w:r>
      <w:r>
        <w:rPr>
          <w:spacing w:val="-2"/>
          <w:w w:val="105"/>
          <w:sz w:val="15"/>
        </w:rPr>
        <w:t xml:space="preserve"> </w:t>
      </w:r>
      <w:r>
        <w:rPr>
          <w:w w:val="105"/>
          <w:sz w:val="15"/>
        </w:rPr>
        <w:t>y</w:t>
      </w:r>
      <w:r>
        <w:rPr>
          <w:spacing w:val="-1"/>
          <w:w w:val="105"/>
          <w:sz w:val="15"/>
        </w:rPr>
        <w:t xml:space="preserve"> </w:t>
      </w:r>
      <w:r>
        <w:rPr>
          <w:w w:val="105"/>
          <w:sz w:val="15"/>
        </w:rPr>
        <w:t>aplicación</w:t>
      </w:r>
      <w:r>
        <w:rPr>
          <w:spacing w:val="-1"/>
          <w:w w:val="105"/>
          <w:sz w:val="15"/>
        </w:rPr>
        <w:t xml:space="preserve"> </w:t>
      </w:r>
      <w:r>
        <w:rPr>
          <w:w w:val="105"/>
          <w:sz w:val="15"/>
        </w:rPr>
        <w:t>de la ley. En términos generales, los órganos de toma de decisiones se pueden dividir en dos categorías: los que emiten decisiones vinculantes y los que hacen recomendaciones (no vinculantes).</w:t>
      </w:r>
    </w:p>
    <w:p w14:paraId="631CA528" w14:textId="77777777" w:rsidR="0014798C" w:rsidRDefault="004E1F0B">
      <w:pPr>
        <w:spacing w:before="169" w:line="348" w:lineRule="auto"/>
        <w:ind w:left="1107" w:right="1272" w:hanging="1"/>
        <w:rPr>
          <w:sz w:val="15"/>
        </w:rPr>
      </w:pPr>
      <w:r>
        <w:rPr>
          <w:w w:val="105"/>
          <w:sz w:val="15"/>
        </w:rPr>
        <w:t>Según las orientaciones de la Comisión Europea contra el Racismo y la Intolerancia, a los órganos del primer tipo se les deben otorgar</w:t>
      </w:r>
      <w:r>
        <w:rPr>
          <w:spacing w:val="-3"/>
          <w:w w:val="105"/>
          <w:sz w:val="15"/>
        </w:rPr>
        <w:t xml:space="preserve"> </w:t>
      </w:r>
      <w:r>
        <w:rPr>
          <w:w w:val="105"/>
          <w:sz w:val="15"/>
        </w:rPr>
        <w:t>poderes</w:t>
      </w:r>
      <w:r>
        <w:rPr>
          <w:spacing w:val="-3"/>
          <w:w w:val="105"/>
          <w:sz w:val="15"/>
        </w:rPr>
        <w:t xml:space="preserve"> </w:t>
      </w:r>
      <w:r>
        <w:rPr>
          <w:w w:val="105"/>
          <w:sz w:val="15"/>
        </w:rPr>
        <w:t>para</w:t>
      </w:r>
      <w:r>
        <w:rPr>
          <w:spacing w:val="-2"/>
          <w:w w:val="105"/>
          <w:sz w:val="15"/>
        </w:rPr>
        <w:t xml:space="preserve"> </w:t>
      </w:r>
      <w:r>
        <w:rPr>
          <w:w w:val="105"/>
          <w:sz w:val="15"/>
        </w:rPr>
        <w:t>remediar</w:t>
      </w:r>
      <w:r>
        <w:rPr>
          <w:spacing w:val="-3"/>
          <w:w w:val="105"/>
          <w:sz w:val="15"/>
        </w:rPr>
        <w:t xml:space="preserve"> </w:t>
      </w:r>
      <w:r>
        <w:rPr>
          <w:w w:val="105"/>
          <w:sz w:val="15"/>
        </w:rPr>
        <w:t>la</w:t>
      </w:r>
      <w:r>
        <w:rPr>
          <w:spacing w:val="-2"/>
          <w:w w:val="105"/>
          <w:sz w:val="15"/>
        </w:rPr>
        <w:t xml:space="preserve"> </w:t>
      </w:r>
      <w:r>
        <w:rPr>
          <w:w w:val="105"/>
          <w:sz w:val="15"/>
        </w:rPr>
        <w:t>discriminación</w:t>
      </w:r>
      <w:r>
        <w:rPr>
          <w:spacing w:val="-2"/>
          <w:w w:val="105"/>
          <w:sz w:val="15"/>
        </w:rPr>
        <w:t xml:space="preserve"> </w:t>
      </w:r>
      <w:r>
        <w:rPr>
          <w:w w:val="105"/>
          <w:sz w:val="15"/>
        </w:rPr>
        <w:t>y</w:t>
      </w:r>
      <w:r>
        <w:rPr>
          <w:spacing w:val="-2"/>
          <w:w w:val="105"/>
          <w:sz w:val="15"/>
        </w:rPr>
        <w:t xml:space="preserve"> </w:t>
      </w:r>
      <w:r>
        <w:rPr>
          <w:w w:val="105"/>
          <w:sz w:val="15"/>
        </w:rPr>
        <w:t>prevenir</w:t>
      </w:r>
      <w:r>
        <w:rPr>
          <w:spacing w:val="-3"/>
          <w:w w:val="105"/>
          <w:sz w:val="15"/>
        </w:rPr>
        <w:t xml:space="preserve"> </w:t>
      </w:r>
      <w:r>
        <w:rPr>
          <w:w w:val="105"/>
          <w:sz w:val="15"/>
        </w:rPr>
        <w:t>incidentes</w:t>
      </w:r>
      <w:r>
        <w:rPr>
          <w:spacing w:val="-3"/>
          <w:w w:val="105"/>
          <w:sz w:val="15"/>
        </w:rPr>
        <w:t xml:space="preserve"> </w:t>
      </w:r>
      <w:r>
        <w:rPr>
          <w:w w:val="105"/>
          <w:sz w:val="15"/>
        </w:rPr>
        <w:t>futuros,</w:t>
      </w:r>
      <w:r>
        <w:rPr>
          <w:spacing w:val="-2"/>
          <w:w w:val="105"/>
          <w:sz w:val="15"/>
        </w:rPr>
        <w:t xml:space="preserve"> </w:t>
      </w:r>
      <w:r>
        <w:rPr>
          <w:w w:val="105"/>
          <w:sz w:val="15"/>
        </w:rPr>
        <w:t>incluso</w:t>
      </w:r>
      <w:r>
        <w:rPr>
          <w:spacing w:val="-2"/>
          <w:w w:val="105"/>
          <w:sz w:val="15"/>
        </w:rPr>
        <w:t xml:space="preserve"> </w:t>
      </w:r>
      <w:r>
        <w:rPr>
          <w:w w:val="105"/>
          <w:sz w:val="15"/>
        </w:rPr>
        <w:t>mediante</w:t>
      </w:r>
      <w:r>
        <w:rPr>
          <w:spacing w:val="-3"/>
          <w:w w:val="105"/>
          <w:sz w:val="15"/>
        </w:rPr>
        <w:t xml:space="preserve"> </w:t>
      </w:r>
      <w:r>
        <w:rPr>
          <w:w w:val="105"/>
          <w:sz w:val="15"/>
        </w:rPr>
        <w:t>la</w:t>
      </w:r>
      <w:r>
        <w:rPr>
          <w:spacing w:val="-2"/>
          <w:w w:val="105"/>
          <w:sz w:val="15"/>
        </w:rPr>
        <w:t xml:space="preserve"> </w:t>
      </w:r>
      <w:r>
        <w:rPr>
          <w:w w:val="105"/>
          <w:sz w:val="15"/>
        </w:rPr>
        <w:t>imposición</w:t>
      </w:r>
      <w:r>
        <w:rPr>
          <w:spacing w:val="-2"/>
          <w:w w:val="105"/>
          <w:sz w:val="15"/>
        </w:rPr>
        <w:t xml:space="preserve"> </w:t>
      </w:r>
      <w:r>
        <w:rPr>
          <w:w w:val="105"/>
          <w:sz w:val="15"/>
        </w:rPr>
        <w:t>de</w:t>
      </w:r>
      <w:r>
        <w:rPr>
          <w:spacing w:val="-2"/>
          <w:w w:val="105"/>
          <w:sz w:val="15"/>
        </w:rPr>
        <w:t xml:space="preserve"> </w:t>
      </w:r>
      <w:r>
        <w:rPr>
          <w:w w:val="105"/>
          <w:sz w:val="15"/>
        </w:rPr>
        <w:t>“sanciones</w:t>
      </w:r>
      <w:r>
        <w:rPr>
          <w:spacing w:val="-3"/>
          <w:w w:val="105"/>
          <w:sz w:val="15"/>
        </w:rPr>
        <w:t xml:space="preserve"> </w:t>
      </w:r>
      <w:r>
        <w:rPr>
          <w:w w:val="105"/>
          <w:sz w:val="15"/>
        </w:rPr>
        <w:t>efectivas, proporcionadas y disuasorias”, incluidas multas e indemnizaciones.779</w:t>
      </w:r>
    </w:p>
    <w:p w14:paraId="5CF8DFC6" w14:textId="77777777" w:rsidR="0014798C" w:rsidRDefault="004E1F0B">
      <w:pPr>
        <w:spacing w:line="171" w:lineRule="exact"/>
        <w:ind w:left="1106"/>
        <w:rPr>
          <w:sz w:val="15"/>
        </w:rPr>
      </w:pPr>
      <w:r>
        <w:rPr>
          <w:w w:val="105"/>
          <w:sz w:val="15"/>
        </w:rPr>
        <w:t>Estos</w:t>
      </w:r>
      <w:r>
        <w:rPr>
          <w:spacing w:val="-5"/>
          <w:w w:val="105"/>
          <w:sz w:val="15"/>
        </w:rPr>
        <w:t xml:space="preserve"> </w:t>
      </w:r>
      <w:r>
        <w:rPr>
          <w:w w:val="105"/>
          <w:sz w:val="15"/>
        </w:rPr>
        <w:t>órganos</w:t>
      </w:r>
      <w:r>
        <w:rPr>
          <w:spacing w:val="-4"/>
          <w:w w:val="105"/>
          <w:sz w:val="15"/>
        </w:rPr>
        <w:t xml:space="preserve"> </w:t>
      </w:r>
      <w:r>
        <w:rPr>
          <w:w w:val="105"/>
          <w:sz w:val="15"/>
        </w:rPr>
        <w:t>deben</w:t>
      </w:r>
      <w:r>
        <w:rPr>
          <w:spacing w:val="-3"/>
          <w:w w:val="105"/>
          <w:sz w:val="15"/>
        </w:rPr>
        <w:t xml:space="preserve"> </w:t>
      </w:r>
      <w:r>
        <w:rPr>
          <w:w w:val="105"/>
          <w:sz w:val="15"/>
        </w:rPr>
        <w:t>poder</w:t>
      </w:r>
      <w:r>
        <w:rPr>
          <w:spacing w:val="-4"/>
          <w:w w:val="105"/>
          <w:sz w:val="15"/>
        </w:rPr>
        <w:t xml:space="preserve"> </w:t>
      </w:r>
      <w:r>
        <w:rPr>
          <w:w w:val="105"/>
          <w:sz w:val="15"/>
        </w:rPr>
        <w:t>“asegurar</w:t>
      </w:r>
      <w:r>
        <w:rPr>
          <w:spacing w:val="-4"/>
          <w:w w:val="105"/>
          <w:sz w:val="15"/>
        </w:rPr>
        <w:t xml:space="preserve"> </w:t>
      </w:r>
      <w:r>
        <w:rPr>
          <w:w w:val="105"/>
          <w:sz w:val="15"/>
        </w:rPr>
        <w:t>la</w:t>
      </w:r>
      <w:r>
        <w:rPr>
          <w:spacing w:val="-4"/>
          <w:w w:val="105"/>
          <w:sz w:val="15"/>
        </w:rPr>
        <w:t xml:space="preserve"> </w:t>
      </w:r>
      <w:r>
        <w:rPr>
          <w:w w:val="105"/>
          <w:sz w:val="15"/>
        </w:rPr>
        <w:t>ejecución</w:t>
      </w:r>
      <w:r>
        <w:rPr>
          <w:spacing w:val="-3"/>
          <w:w w:val="105"/>
          <w:sz w:val="15"/>
        </w:rPr>
        <w:t xml:space="preserve"> </w:t>
      </w:r>
      <w:r>
        <w:rPr>
          <w:w w:val="105"/>
          <w:sz w:val="15"/>
        </w:rPr>
        <w:t>e</w:t>
      </w:r>
      <w:r>
        <w:rPr>
          <w:spacing w:val="-3"/>
          <w:w w:val="105"/>
          <w:sz w:val="15"/>
        </w:rPr>
        <w:t xml:space="preserve"> </w:t>
      </w:r>
      <w:r>
        <w:rPr>
          <w:w w:val="105"/>
          <w:sz w:val="15"/>
        </w:rPr>
        <w:t>implementación</w:t>
      </w:r>
      <w:r>
        <w:rPr>
          <w:spacing w:val="-4"/>
          <w:w w:val="105"/>
          <w:sz w:val="15"/>
        </w:rPr>
        <w:t xml:space="preserve"> </w:t>
      </w:r>
      <w:r>
        <w:rPr>
          <w:w w:val="105"/>
          <w:sz w:val="15"/>
        </w:rPr>
        <w:t>de</w:t>
      </w:r>
      <w:r>
        <w:rPr>
          <w:spacing w:val="-4"/>
          <w:w w:val="105"/>
          <w:sz w:val="15"/>
        </w:rPr>
        <w:t xml:space="preserve"> </w:t>
      </w:r>
      <w:r>
        <w:rPr>
          <w:w w:val="105"/>
          <w:sz w:val="15"/>
        </w:rPr>
        <w:t>sus</w:t>
      </w:r>
      <w:r>
        <w:rPr>
          <w:spacing w:val="-3"/>
          <w:w w:val="105"/>
          <w:sz w:val="15"/>
        </w:rPr>
        <w:t xml:space="preserve"> </w:t>
      </w:r>
      <w:r>
        <w:rPr>
          <w:w w:val="105"/>
          <w:sz w:val="15"/>
        </w:rPr>
        <w:t>decisiones”,</w:t>
      </w:r>
      <w:r>
        <w:rPr>
          <w:spacing w:val="-2"/>
          <w:w w:val="105"/>
          <w:sz w:val="15"/>
        </w:rPr>
        <w:t xml:space="preserve"> </w:t>
      </w:r>
      <w:r>
        <w:rPr>
          <w:w w:val="105"/>
          <w:sz w:val="15"/>
        </w:rPr>
        <w:t>que</w:t>
      </w:r>
      <w:r>
        <w:rPr>
          <w:spacing w:val="-3"/>
          <w:w w:val="105"/>
          <w:sz w:val="15"/>
        </w:rPr>
        <w:t xml:space="preserve"> </w:t>
      </w:r>
      <w:r>
        <w:rPr>
          <w:w w:val="105"/>
          <w:sz w:val="15"/>
        </w:rPr>
        <w:t>deben</w:t>
      </w:r>
      <w:r>
        <w:rPr>
          <w:spacing w:val="-4"/>
          <w:w w:val="105"/>
          <w:sz w:val="15"/>
        </w:rPr>
        <w:t xml:space="preserve"> </w:t>
      </w:r>
      <w:r>
        <w:rPr>
          <w:spacing w:val="-5"/>
          <w:w w:val="105"/>
          <w:sz w:val="15"/>
        </w:rPr>
        <w:t>ser</w:t>
      </w:r>
    </w:p>
    <w:p w14:paraId="52AD8C84" w14:textId="77777777" w:rsidR="0014798C" w:rsidRDefault="0014798C">
      <w:pPr>
        <w:pStyle w:val="Textoindependiente"/>
        <w:rPr>
          <w:sz w:val="11"/>
        </w:rPr>
      </w:pPr>
    </w:p>
    <w:p w14:paraId="66F478C5" w14:textId="77777777" w:rsidR="0014798C" w:rsidRDefault="0014798C">
      <w:pPr>
        <w:pStyle w:val="Textoindependiente"/>
        <w:rPr>
          <w:sz w:val="11"/>
        </w:rPr>
      </w:pPr>
    </w:p>
    <w:p w14:paraId="4BCA0F15" w14:textId="77777777" w:rsidR="0014798C" w:rsidRDefault="0014798C">
      <w:pPr>
        <w:pStyle w:val="Textoindependiente"/>
        <w:rPr>
          <w:sz w:val="11"/>
        </w:rPr>
      </w:pPr>
    </w:p>
    <w:p w14:paraId="21B17997" w14:textId="77777777" w:rsidR="0014798C" w:rsidRDefault="0014798C">
      <w:pPr>
        <w:pStyle w:val="Textoindependiente"/>
        <w:spacing w:before="31"/>
        <w:rPr>
          <w:sz w:val="11"/>
        </w:rPr>
      </w:pPr>
    </w:p>
    <w:p w14:paraId="30924AFB" w14:textId="77777777" w:rsidR="0014798C" w:rsidRDefault="004E1F0B">
      <w:pPr>
        <w:spacing w:before="1"/>
        <w:ind w:left="1108"/>
        <w:rPr>
          <w:sz w:val="11"/>
        </w:rPr>
      </w:pPr>
      <w:r>
        <w:rPr>
          <w:sz w:val="11"/>
        </w:rPr>
        <w:t>774</w:t>
      </w:r>
      <w:r>
        <w:rPr>
          <w:spacing w:val="1"/>
          <w:sz w:val="11"/>
        </w:rPr>
        <w:t xml:space="preserve"> </w:t>
      </w:r>
      <w:proofErr w:type="spellStart"/>
      <w:r>
        <w:rPr>
          <w:spacing w:val="-2"/>
          <w:sz w:val="11"/>
        </w:rPr>
        <w:t>Ibíd</w:t>
      </w:r>
      <w:proofErr w:type="spellEnd"/>
      <w:r>
        <w:rPr>
          <w:spacing w:val="-2"/>
          <w:sz w:val="11"/>
        </w:rPr>
        <w:t>.</w:t>
      </w:r>
    </w:p>
    <w:p w14:paraId="775350B4" w14:textId="77777777" w:rsidR="0014798C" w:rsidRDefault="0014798C">
      <w:pPr>
        <w:rPr>
          <w:sz w:val="11"/>
        </w:rPr>
        <w:sectPr w:rsidR="0014798C" w:rsidSect="00F265E4">
          <w:pgSz w:w="11900" w:h="16820"/>
          <w:pgMar w:top="340" w:right="0" w:bottom="280" w:left="200" w:header="121" w:footer="0" w:gutter="0"/>
          <w:cols w:space="720"/>
        </w:sectPr>
      </w:pPr>
    </w:p>
    <w:p w14:paraId="524BFB35" w14:textId="77777777" w:rsidR="0014798C" w:rsidRDefault="004E1F0B">
      <w:pPr>
        <w:spacing w:before="87"/>
        <w:jc w:val="right"/>
        <w:rPr>
          <w:sz w:val="8"/>
        </w:rPr>
      </w:pPr>
      <w:r>
        <w:rPr>
          <w:spacing w:val="-5"/>
          <w:w w:val="105"/>
          <w:sz w:val="8"/>
        </w:rPr>
        <w:t>775</w:t>
      </w:r>
    </w:p>
    <w:p w14:paraId="47F0F6CC" w14:textId="77777777" w:rsidR="0014798C" w:rsidRDefault="004E1F0B">
      <w:pPr>
        <w:spacing w:before="123"/>
        <w:ind w:left="80"/>
        <w:rPr>
          <w:sz w:val="13"/>
        </w:rPr>
      </w:pPr>
      <w:r>
        <w:br w:type="column"/>
      </w:r>
      <w:r>
        <w:rPr>
          <w:sz w:val="13"/>
        </w:rPr>
        <w:t>Véase,</w:t>
      </w:r>
      <w:r>
        <w:rPr>
          <w:spacing w:val="8"/>
          <w:sz w:val="13"/>
        </w:rPr>
        <w:t xml:space="preserve"> </w:t>
      </w:r>
      <w:r>
        <w:rPr>
          <w:sz w:val="13"/>
        </w:rPr>
        <w:t>por</w:t>
      </w:r>
      <w:r>
        <w:rPr>
          <w:spacing w:val="9"/>
          <w:sz w:val="13"/>
        </w:rPr>
        <w:t xml:space="preserve"> </w:t>
      </w:r>
      <w:r>
        <w:rPr>
          <w:sz w:val="13"/>
        </w:rPr>
        <w:t>ejemplo,</w:t>
      </w:r>
      <w:r>
        <w:rPr>
          <w:spacing w:val="9"/>
          <w:sz w:val="13"/>
        </w:rPr>
        <w:t xml:space="preserve"> </w:t>
      </w:r>
      <w:r>
        <w:rPr>
          <w:sz w:val="13"/>
        </w:rPr>
        <w:t>Comité</w:t>
      </w:r>
      <w:r>
        <w:rPr>
          <w:spacing w:val="8"/>
          <w:sz w:val="13"/>
        </w:rPr>
        <w:t xml:space="preserve"> </w:t>
      </w:r>
      <w:r>
        <w:rPr>
          <w:sz w:val="13"/>
        </w:rPr>
        <w:t>de</w:t>
      </w:r>
      <w:r>
        <w:rPr>
          <w:spacing w:val="9"/>
          <w:sz w:val="13"/>
        </w:rPr>
        <w:t xml:space="preserve"> </w:t>
      </w:r>
      <w:r>
        <w:rPr>
          <w:sz w:val="13"/>
        </w:rPr>
        <w:t>Derechos</w:t>
      </w:r>
      <w:r>
        <w:rPr>
          <w:spacing w:val="8"/>
          <w:sz w:val="13"/>
        </w:rPr>
        <w:t xml:space="preserve"> </w:t>
      </w:r>
      <w:r>
        <w:rPr>
          <w:sz w:val="13"/>
        </w:rPr>
        <w:t>Económicos,</w:t>
      </w:r>
      <w:r>
        <w:rPr>
          <w:spacing w:val="8"/>
          <w:sz w:val="13"/>
        </w:rPr>
        <w:t xml:space="preserve"> </w:t>
      </w:r>
      <w:r>
        <w:rPr>
          <w:sz w:val="13"/>
        </w:rPr>
        <w:t>Sociales</w:t>
      </w:r>
      <w:r>
        <w:rPr>
          <w:spacing w:val="8"/>
          <w:sz w:val="13"/>
        </w:rPr>
        <w:t xml:space="preserve"> </w:t>
      </w:r>
      <w:r>
        <w:rPr>
          <w:sz w:val="13"/>
        </w:rPr>
        <w:t>y</w:t>
      </w:r>
      <w:r>
        <w:rPr>
          <w:spacing w:val="9"/>
          <w:sz w:val="13"/>
        </w:rPr>
        <w:t xml:space="preserve"> </w:t>
      </w:r>
      <w:r>
        <w:rPr>
          <w:sz w:val="13"/>
        </w:rPr>
        <w:t>Culturales,</w:t>
      </w:r>
      <w:r>
        <w:rPr>
          <w:spacing w:val="8"/>
          <w:sz w:val="13"/>
        </w:rPr>
        <w:t xml:space="preserve"> </w:t>
      </w:r>
      <w:r>
        <w:rPr>
          <w:sz w:val="13"/>
        </w:rPr>
        <w:t>observación</w:t>
      </w:r>
      <w:r>
        <w:rPr>
          <w:spacing w:val="9"/>
          <w:sz w:val="13"/>
        </w:rPr>
        <w:t xml:space="preserve"> </w:t>
      </w:r>
      <w:r>
        <w:rPr>
          <w:sz w:val="13"/>
        </w:rPr>
        <w:t>general</w:t>
      </w:r>
      <w:r>
        <w:rPr>
          <w:spacing w:val="9"/>
          <w:sz w:val="13"/>
        </w:rPr>
        <w:t xml:space="preserve"> </w:t>
      </w:r>
      <w:r>
        <w:rPr>
          <w:sz w:val="13"/>
        </w:rPr>
        <w:t>núm.</w:t>
      </w:r>
      <w:r>
        <w:rPr>
          <w:spacing w:val="8"/>
          <w:sz w:val="13"/>
        </w:rPr>
        <w:t xml:space="preserve"> </w:t>
      </w:r>
      <w:r>
        <w:rPr>
          <w:sz w:val="13"/>
        </w:rPr>
        <w:t>20</w:t>
      </w:r>
      <w:r>
        <w:rPr>
          <w:spacing w:val="9"/>
          <w:sz w:val="13"/>
        </w:rPr>
        <w:t xml:space="preserve"> </w:t>
      </w:r>
      <w:r>
        <w:rPr>
          <w:sz w:val="13"/>
        </w:rPr>
        <w:t>(2009),</w:t>
      </w:r>
      <w:r>
        <w:rPr>
          <w:spacing w:val="9"/>
          <w:sz w:val="13"/>
        </w:rPr>
        <w:t xml:space="preserve"> </w:t>
      </w:r>
      <w:r>
        <w:rPr>
          <w:sz w:val="13"/>
        </w:rPr>
        <w:t>párr.</w:t>
      </w:r>
      <w:r>
        <w:rPr>
          <w:spacing w:val="8"/>
          <w:sz w:val="13"/>
        </w:rPr>
        <w:t xml:space="preserve"> </w:t>
      </w:r>
      <w:r>
        <w:rPr>
          <w:spacing w:val="-5"/>
          <w:sz w:val="13"/>
        </w:rPr>
        <w:t>40.</w:t>
      </w:r>
    </w:p>
    <w:p w14:paraId="0238C216" w14:textId="77777777" w:rsidR="0014798C" w:rsidRDefault="0014798C">
      <w:pPr>
        <w:rPr>
          <w:sz w:val="13"/>
        </w:rPr>
        <w:sectPr w:rsidR="0014798C" w:rsidSect="00F265E4">
          <w:type w:val="continuous"/>
          <w:pgSz w:w="11900" w:h="16820"/>
          <w:pgMar w:top="40" w:right="0" w:bottom="280" w:left="200" w:header="121" w:footer="0" w:gutter="0"/>
          <w:cols w:num="2" w:space="720" w:equalWidth="0">
            <w:col w:w="1250" w:space="40"/>
            <w:col w:w="10410"/>
          </w:cols>
        </w:sectPr>
      </w:pPr>
    </w:p>
    <w:p w14:paraId="567A6E87" w14:textId="77777777" w:rsidR="0014798C" w:rsidRDefault="004E1F0B">
      <w:pPr>
        <w:pStyle w:val="Prrafodelista"/>
        <w:numPr>
          <w:ilvl w:val="0"/>
          <w:numId w:val="32"/>
        </w:numPr>
        <w:tabs>
          <w:tab w:val="left" w:pos="1324"/>
        </w:tabs>
        <w:spacing w:before="105"/>
        <w:ind w:left="1324" w:hanging="216"/>
        <w:rPr>
          <w:sz w:val="11"/>
        </w:rPr>
      </w:pPr>
      <w:r>
        <w:rPr>
          <w:sz w:val="11"/>
        </w:rPr>
        <w:t>Consejo</w:t>
      </w:r>
      <w:r>
        <w:rPr>
          <w:spacing w:val="1"/>
          <w:sz w:val="11"/>
        </w:rPr>
        <w:t xml:space="preserve"> </w:t>
      </w:r>
      <w:r>
        <w:rPr>
          <w:sz w:val="11"/>
        </w:rPr>
        <w:t>de</w:t>
      </w:r>
      <w:r>
        <w:rPr>
          <w:spacing w:val="1"/>
          <w:sz w:val="11"/>
        </w:rPr>
        <w:t xml:space="preserve"> </w:t>
      </w:r>
      <w:r>
        <w:rPr>
          <w:sz w:val="11"/>
        </w:rPr>
        <w:t>Europa,</w:t>
      </w:r>
      <w:r>
        <w:rPr>
          <w:spacing w:val="2"/>
          <w:sz w:val="11"/>
        </w:rPr>
        <w:t xml:space="preserve"> </w:t>
      </w:r>
      <w:r>
        <w:rPr>
          <w:sz w:val="11"/>
        </w:rPr>
        <w:t>Comisión</w:t>
      </w:r>
      <w:r>
        <w:rPr>
          <w:spacing w:val="1"/>
          <w:sz w:val="11"/>
        </w:rPr>
        <w:t xml:space="preserve"> </w:t>
      </w:r>
      <w:r>
        <w:rPr>
          <w:sz w:val="11"/>
        </w:rPr>
        <w:t>Europea</w:t>
      </w:r>
      <w:r>
        <w:rPr>
          <w:spacing w:val="1"/>
          <w:sz w:val="11"/>
        </w:rPr>
        <w:t xml:space="preserve"> </w:t>
      </w:r>
      <w:r>
        <w:rPr>
          <w:sz w:val="11"/>
        </w:rPr>
        <w:t>contra</w:t>
      </w:r>
      <w:r>
        <w:rPr>
          <w:spacing w:val="2"/>
          <w:sz w:val="11"/>
        </w:rPr>
        <w:t xml:space="preserve"> </w:t>
      </w:r>
      <w:r>
        <w:rPr>
          <w:sz w:val="11"/>
        </w:rPr>
        <w:t>el</w:t>
      </w:r>
      <w:r>
        <w:rPr>
          <w:spacing w:val="1"/>
          <w:sz w:val="11"/>
        </w:rPr>
        <w:t xml:space="preserve"> </w:t>
      </w:r>
      <w:r>
        <w:rPr>
          <w:sz w:val="11"/>
        </w:rPr>
        <w:t>Racismo</w:t>
      </w:r>
      <w:r>
        <w:rPr>
          <w:spacing w:val="2"/>
          <w:sz w:val="11"/>
        </w:rPr>
        <w:t xml:space="preserve"> </w:t>
      </w:r>
      <w:r>
        <w:rPr>
          <w:sz w:val="11"/>
        </w:rPr>
        <w:t>y</w:t>
      </w:r>
      <w:r>
        <w:rPr>
          <w:spacing w:val="1"/>
          <w:sz w:val="11"/>
        </w:rPr>
        <w:t xml:space="preserve"> </w:t>
      </w:r>
      <w:r>
        <w:rPr>
          <w:sz w:val="11"/>
        </w:rPr>
        <w:t>la</w:t>
      </w:r>
      <w:r>
        <w:rPr>
          <w:spacing w:val="1"/>
          <w:sz w:val="11"/>
        </w:rPr>
        <w:t xml:space="preserve"> </w:t>
      </w:r>
      <w:r>
        <w:rPr>
          <w:sz w:val="11"/>
        </w:rPr>
        <w:t>Intolerancia,</w:t>
      </w:r>
      <w:r>
        <w:rPr>
          <w:spacing w:val="3"/>
          <w:sz w:val="11"/>
        </w:rPr>
        <w:t xml:space="preserve"> </w:t>
      </w:r>
      <w:r>
        <w:rPr>
          <w:sz w:val="11"/>
        </w:rPr>
        <w:t>“Recomendación</w:t>
      </w:r>
      <w:r>
        <w:rPr>
          <w:spacing w:val="1"/>
          <w:sz w:val="11"/>
        </w:rPr>
        <w:t xml:space="preserve"> </w:t>
      </w:r>
      <w:r>
        <w:rPr>
          <w:sz w:val="11"/>
        </w:rPr>
        <w:t>de</w:t>
      </w:r>
      <w:r>
        <w:rPr>
          <w:spacing w:val="2"/>
          <w:sz w:val="11"/>
        </w:rPr>
        <w:t xml:space="preserve"> </w:t>
      </w:r>
      <w:r>
        <w:rPr>
          <w:sz w:val="11"/>
        </w:rPr>
        <w:t>política</w:t>
      </w:r>
      <w:r>
        <w:rPr>
          <w:spacing w:val="1"/>
          <w:sz w:val="11"/>
        </w:rPr>
        <w:t xml:space="preserve"> </w:t>
      </w:r>
      <w:r>
        <w:rPr>
          <w:sz w:val="11"/>
        </w:rPr>
        <w:t>general</w:t>
      </w:r>
      <w:r>
        <w:rPr>
          <w:spacing w:val="1"/>
          <w:sz w:val="11"/>
        </w:rPr>
        <w:t xml:space="preserve"> </w:t>
      </w:r>
      <w:r>
        <w:rPr>
          <w:sz w:val="11"/>
        </w:rPr>
        <w:t>No.</w:t>
      </w:r>
      <w:r>
        <w:rPr>
          <w:spacing w:val="2"/>
          <w:sz w:val="11"/>
        </w:rPr>
        <w:t xml:space="preserve"> </w:t>
      </w:r>
      <w:r>
        <w:rPr>
          <w:sz w:val="11"/>
        </w:rPr>
        <w:t>2</w:t>
      </w:r>
      <w:r>
        <w:rPr>
          <w:spacing w:val="1"/>
          <w:sz w:val="11"/>
        </w:rPr>
        <w:t xml:space="preserve"> </w:t>
      </w:r>
      <w:r>
        <w:rPr>
          <w:sz w:val="11"/>
        </w:rPr>
        <w:t>de</w:t>
      </w:r>
      <w:r>
        <w:rPr>
          <w:spacing w:val="2"/>
          <w:sz w:val="11"/>
        </w:rPr>
        <w:t xml:space="preserve"> </w:t>
      </w:r>
      <w:r>
        <w:rPr>
          <w:sz w:val="11"/>
        </w:rPr>
        <w:t>la</w:t>
      </w:r>
      <w:r>
        <w:rPr>
          <w:spacing w:val="1"/>
          <w:sz w:val="11"/>
        </w:rPr>
        <w:t xml:space="preserve"> </w:t>
      </w:r>
      <w:r>
        <w:rPr>
          <w:sz w:val="11"/>
        </w:rPr>
        <w:t>ECRI”,</w:t>
      </w:r>
      <w:r>
        <w:rPr>
          <w:spacing w:val="1"/>
          <w:sz w:val="11"/>
        </w:rPr>
        <w:t xml:space="preserve"> </w:t>
      </w:r>
      <w:r>
        <w:rPr>
          <w:sz w:val="11"/>
        </w:rPr>
        <w:t>párr.</w:t>
      </w:r>
      <w:r>
        <w:rPr>
          <w:spacing w:val="2"/>
          <w:sz w:val="11"/>
        </w:rPr>
        <w:t xml:space="preserve"> </w:t>
      </w:r>
      <w:r>
        <w:rPr>
          <w:spacing w:val="-5"/>
          <w:sz w:val="11"/>
        </w:rPr>
        <w:t>14.</w:t>
      </w:r>
    </w:p>
    <w:p w14:paraId="31EF1527" w14:textId="77777777" w:rsidR="0014798C" w:rsidRDefault="004E1F0B">
      <w:pPr>
        <w:pStyle w:val="Prrafodelista"/>
        <w:numPr>
          <w:ilvl w:val="0"/>
          <w:numId w:val="32"/>
        </w:numPr>
        <w:tabs>
          <w:tab w:val="left" w:pos="1324"/>
        </w:tabs>
        <w:spacing w:before="110"/>
        <w:ind w:left="1324" w:hanging="216"/>
        <w:rPr>
          <w:sz w:val="11"/>
        </w:rPr>
      </w:pPr>
      <w:proofErr w:type="spellStart"/>
      <w:r>
        <w:rPr>
          <w:sz w:val="11"/>
        </w:rPr>
        <w:t>Ibíd</w:t>
      </w:r>
      <w:proofErr w:type="spellEnd"/>
      <w:r>
        <w:rPr>
          <w:sz w:val="11"/>
        </w:rPr>
        <w:t xml:space="preserve">., párr. </w:t>
      </w:r>
      <w:r>
        <w:rPr>
          <w:spacing w:val="-5"/>
          <w:sz w:val="11"/>
        </w:rPr>
        <w:t>15.</w:t>
      </w:r>
    </w:p>
    <w:p w14:paraId="3C0B370F" w14:textId="77777777" w:rsidR="0014798C" w:rsidRDefault="004E1F0B">
      <w:pPr>
        <w:pStyle w:val="Prrafodelista"/>
        <w:numPr>
          <w:ilvl w:val="0"/>
          <w:numId w:val="32"/>
        </w:numPr>
        <w:tabs>
          <w:tab w:val="left" w:pos="1324"/>
        </w:tabs>
        <w:spacing w:before="110"/>
        <w:ind w:left="1324" w:hanging="216"/>
        <w:rPr>
          <w:sz w:val="11"/>
        </w:rPr>
      </w:pPr>
      <w:proofErr w:type="spellStart"/>
      <w:r>
        <w:rPr>
          <w:sz w:val="11"/>
        </w:rPr>
        <w:t>Ibíd</w:t>
      </w:r>
      <w:proofErr w:type="spellEnd"/>
      <w:r>
        <w:rPr>
          <w:sz w:val="11"/>
        </w:rPr>
        <w:t xml:space="preserve">., párr. </w:t>
      </w:r>
      <w:r>
        <w:rPr>
          <w:spacing w:val="-2"/>
          <w:sz w:val="11"/>
        </w:rPr>
        <w:t>dieciséis.</w:t>
      </w:r>
    </w:p>
    <w:p w14:paraId="154C15A4" w14:textId="77777777" w:rsidR="0014798C" w:rsidRDefault="004E1F0B">
      <w:pPr>
        <w:pStyle w:val="Prrafodelista"/>
        <w:numPr>
          <w:ilvl w:val="0"/>
          <w:numId w:val="32"/>
        </w:numPr>
        <w:tabs>
          <w:tab w:val="left" w:pos="1324"/>
        </w:tabs>
        <w:spacing w:before="110"/>
        <w:ind w:left="1324" w:hanging="216"/>
        <w:rPr>
          <w:sz w:val="11"/>
        </w:rPr>
      </w:pPr>
      <w:proofErr w:type="spellStart"/>
      <w:r>
        <w:rPr>
          <w:sz w:val="11"/>
        </w:rPr>
        <w:t>Ibíd</w:t>
      </w:r>
      <w:proofErr w:type="spellEnd"/>
      <w:r>
        <w:rPr>
          <w:sz w:val="11"/>
        </w:rPr>
        <w:t xml:space="preserve">., párr. </w:t>
      </w:r>
      <w:r>
        <w:rPr>
          <w:spacing w:val="-2"/>
          <w:sz w:val="11"/>
        </w:rPr>
        <w:t>17c).</w:t>
      </w:r>
    </w:p>
    <w:p w14:paraId="22E6EA3B" w14:textId="77777777" w:rsidR="0014798C" w:rsidRDefault="0014798C">
      <w:pPr>
        <w:pStyle w:val="Textoindependiente"/>
        <w:rPr>
          <w:sz w:val="15"/>
        </w:rPr>
      </w:pPr>
    </w:p>
    <w:p w14:paraId="0FB48F03" w14:textId="77777777" w:rsidR="0014798C" w:rsidRDefault="0014798C">
      <w:pPr>
        <w:pStyle w:val="Textoindependiente"/>
        <w:rPr>
          <w:sz w:val="15"/>
        </w:rPr>
      </w:pPr>
    </w:p>
    <w:p w14:paraId="1CDF14B3" w14:textId="77777777" w:rsidR="0014798C" w:rsidRDefault="0014798C">
      <w:pPr>
        <w:pStyle w:val="Textoindependiente"/>
        <w:spacing w:before="150"/>
        <w:rPr>
          <w:sz w:val="15"/>
        </w:rPr>
      </w:pPr>
    </w:p>
    <w:p w14:paraId="3529C9C1" w14:textId="77777777" w:rsidR="0014798C" w:rsidRDefault="004E1F0B">
      <w:pPr>
        <w:ind w:right="722"/>
        <w:jc w:val="right"/>
        <w:rPr>
          <w:sz w:val="15"/>
        </w:rPr>
      </w:pPr>
      <w:r>
        <w:rPr>
          <w:spacing w:val="-5"/>
          <w:sz w:val="15"/>
        </w:rPr>
        <w:t>111</w:t>
      </w:r>
    </w:p>
    <w:p w14:paraId="1F2DC9D5" w14:textId="77777777" w:rsidR="0014798C" w:rsidRDefault="0014798C">
      <w:pPr>
        <w:jc w:val="right"/>
        <w:rPr>
          <w:sz w:val="15"/>
        </w:rPr>
        <w:sectPr w:rsidR="0014798C" w:rsidSect="00F265E4">
          <w:type w:val="continuous"/>
          <w:pgSz w:w="11900" w:h="16820"/>
          <w:pgMar w:top="40" w:right="0" w:bottom="280" w:left="200" w:header="121" w:footer="0" w:gutter="0"/>
          <w:cols w:space="720"/>
        </w:sectPr>
      </w:pPr>
    </w:p>
    <w:p w14:paraId="3AA4A641" w14:textId="77777777" w:rsidR="0014798C" w:rsidRDefault="0014798C">
      <w:pPr>
        <w:pStyle w:val="Textoindependiente"/>
        <w:spacing w:before="85"/>
        <w:rPr>
          <w:sz w:val="12"/>
        </w:rPr>
      </w:pPr>
    </w:p>
    <w:p w14:paraId="598AD617" w14:textId="77777777" w:rsidR="0014798C" w:rsidRDefault="004E1F0B">
      <w:pPr>
        <w:ind w:left="1111"/>
        <w:rPr>
          <w:sz w:val="12"/>
        </w:rPr>
      </w:pPr>
      <w:r>
        <w:rPr>
          <w:color w:val="00AC59"/>
          <w:sz w:val="12"/>
        </w:rPr>
        <w:t>PROTECCIÓN</w:t>
      </w:r>
      <w:r>
        <w:rPr>
          <w:color w:val="00AC59"/>
          <w:spacing w:val="6"/>
          <w:sz w:val="12"/>
        </w:rPr>
        <w:t xml:space="preserve"> </w:t>
      </w:r>
      <w:r>
        <w:rPr>
          <w:color w:val="00AC59"/>
          <w:sz w:val="12"/>
        </w:rPr>
        <w:t>DE</w:t>
      </w:r>
      <w:r>
        <w:rPr>
          <w:color w:val="00AC59"/>
          <w:spacing w:val="7"/>
          <w:sz w:val="12"/>
        </w:rPr>
        <w:t xml:space="preserve"> </w:t>
      </w:r>
      <w:r>
        <w:rPr>
          <w:color w:val="00AC59"/>
          <w:sz w:val="12"/>
        </w:rPr>
        <w:t>LOS</w:t>
      </w:r>
      <w:r>
        <w:rPr>
          <w:color w:val="00AC59"/>
          <w:spacing w:val="8"/>
          <w:sz w:val="12"/>
        </w:rPr>
        <w:t xml:space="preserve"> </w:t>
      </w:r>
      <w:r>
        <w:rPr>
          <w:color w:val="00AC59"/>
          <w:sz w:val="12"/>
        </w:rPr>
        <w:t>DERECHOS</w:t>
      </w:r>
      <w:r>
        <w:rPr>
          <w:color w:val="00AC59"/>
          <w:spacing w:val="8"/>
          <w:sz w:val="12"/>
        </w:rPr>
        <w:t xml:space="preserve"> </w:t>
      </w:r>
      <w:r>
        <w:rPr>
          <w:color w:val="00AC59"/>
          <w:sz w:val="12"/>
        </w:rPr>
        <w:t>DE</w:t>
      </w:r>
      <w:r>
        <w:rPr>
          <w:color w:val="00AC59"/>
          <w:spacing w:val="6"/>
          <w:sz w:val="12"/>
        </w:rPr>
        <w:t xml:space="preserve"> </w:t>
      </w:r>
      <w:r>
        <w:rPr>
          <w:color w:val="00AC59"/>
          <w:sz w:val="12"/>
        </w:rPr>
        <w:t>LAS</w:t>
      </w:r>
      <w:r>
        <w:rPr>
          <w:color w:val="00AC59"/>
          <w:spacing w:val="7"/>
          <w:sz w:val="12"/>
        </w:rPr>
        <w:t xml:space="preserve"> </w:t>
      </w:r>
      <w:r>
        <w:rPr>
          <w:color w:val="00AC59"/>
          <w:sz w:val="12"/>
        </w:rPr>
        <w:t>MINORÍAS:</w:t>
      </w:r>
      <w:r>
        <w:rPr>
          <w:color w:val="00AC59"/>
          <w:spacing w:val="8"/>
          <w:sz w:val="12"/>
        </w:rPr>
        <w:t xml:space="preserve"> </w:t>
      </w:r>
      <w:r>
        <w:rPr>
          <w:color w:val="00AC59"/>
          <w:sz w:val="12"/>
        </w:rPr>
        <w:t>una</w:t>
      </w:r>
      <w:r>
        <w:rPr>
          <w:color w:val="00AC59"/>
          <w:spacing w:val="7"/>
          <w:sz w:val="12"/>
        </w:rPr>
        <w:t xml:space="preserve"> </w:t>
      </w:r>
      <w:r>
        <w:rPr>
          <w:color w:val="00AC59"/>
          <w:sz w:val="12"/>
        </w:rPr>
        <w:t>guía</w:t>
      </w:r>
      <w:r>
        <w:rPr>
          <w:color w:val="00AC59"/>
          <w:spacing w:val="6"/>
          <w:sz w:val="12"/>
        </w:rPr>
        <w:t xml:space="preserve"> </w:t>
      </w:r>
      <w:r>
        <w:rPr>
          <w:color w:val="00AC59"/>
          <w:sz w:val="12"/>
        </w:rPr>
        <w:t>práctica</w:t>
      </w:r>
      <w:r>
        <w:rPr>
          <w:color w:val="00AC59"/>
          <w:spacing w:val="7"/>
          <w:sz w:val="12"/>
        </w:rPr>
        <w:t xml:space="preserve"> </w:t>
      </w:r>
      <w:r>
        <w:rPr>
          <w:color w:val="00AC59"/>
          <w:sz w:val="12"/>
        </w:rPr>
        <w:t>para</w:t>
      </w:r>
      <w:r>
        <w:rPr>
          <w:color w:val="00AC59"/>
          <w:spacing w:val="8"/>
          <w:sz w:val="12"/>
        </w:rPr>
        <w:t xml:space="preserve"> </w:t>
      </w:r>
      <w:r>
        <w:rPr>
          <w:color w:val="00AC59"/>
          <w:sz w:val="12"/>
        </w:rPr>
        <w:t>desarrollar</w:t>
      </w:r>
      <w:r>
        <w:rPr>
          <w:color w:val="00AC59"/>
          <w:spacing w:val="6"/>
          <w:sz w:val="12"/>
        </w:rPr>
        <w:t xml:space="preserve"> </w:t>
      </w:r>
      <w:r>
        <w:rPr>
          <w:color w:val="00AC59"/>
          <w:sz w:val="12"/>
        </w:rPr>
        <w:t>una</w:t>
      </w:r>
      <w:r>
        <w:rPr>
          <w:color w:val="00AC59"/>
          <w:spacing w:val="7"/>
          <w:sz w:val="12"/>
        </w:rPr>
        <w:t xml:space="preserve"> </w:t>
      </w:r>
      <w:r>
        <w:rPr>
          <w:color w:val="00AC59"/>
          <w:sz w:val="12"/>
        </w:rPr>
        <w:t>legislación</w:t>
      </w:r>
      <w:r>
        <w:rPr>
          <w:color w:val="00AC59"/>
          <w:spacing w:val="8"/>
          <w:sz w:val="12"/>
        </w:rPr>
        <w:t xml:space="preserve"> </w:t>
      </w:r>
      <w:r>
        <w:rPr>
          <w:color w:val="00AC59"/>
          <w:sz w:val="12"/>
        </w:rPr>
        <w:t>integral</w:t>
      </w:r>
      <w:r>
        <w:rPr>
          <w:color w:val="00AC59"/>
          <w:spacing w:val="7"/>
          <w:sz w:val="12"/>
        </w:rPr>
        <w:t xml:space="preserve"> </w:t>
      </w:r>
      <w:r>
        <w:rPr>
          <w:color w:val="00AC59"/>
          <w:sz w:val="12"/>
        </w:rPr>
        <w:t>contra</w:t>
      </w:r>
      <w:r>
        <w:rPr>
          <w:color w:val="00AC59"/>
          <w:spacing w:val="6"/>
          <w:sz w:val="12"/>
        </w:rPr>
        <w:t xml:space="preserve"> </w:t>
      </w:r>
      <w:r>
        <w:rPr>
          <w:color w:val="00AC59"/>
          <w:sz w:val="12"/>
        </w:rPr>
        <w:t>la</w:t>
      </w:r>
      <w:r>
        <w:rPr>
          <w:color w:val="00AC59"/>
          <w:spacing w:val="7"/>
          <w:sz w:val="12"/>
        </w:rPr>
        <w:t xml:space="preserve"> </w:t>
      </w:r>
      <w:r>
        <w:rPr>
          <w:color w:val="00AC59"/>
          <w:spacing w:val="-2"/>
          <w:sz w:val="12"/>
        </w:rPr>
        <w:t>discriminación</w:t>
      </w:r>
    </w:p>
    <w:p w14:paraId="3E441F53" w14:textId="77777777" w:rsidR="0014798C" w:rsidRDefault="0014798C">
      <w:pPr>
        <w:pStyle w:val="Textoindependiente"/>
      </w:pPr>
    </w:p>
    <w:p w14:paraId="56728D5D" w14:textId="77777777" w:rsidR="0014798C" w:rsidRDefault="0014798C">
      <w:pPr>
        <w:pStyle w:val="Textoindependiente"/>
      </w:pPr>
    </w:p>
    <w:p w14:paraId="03A61D4D" w14:textId="77777777" w:rsidR="0014798C" w:rsidRDefault="0014798C">
      <w:pPr>
        <w:pStyle w:val="Textoindependiente"/>
      </w:pPr>
    </w:p>
    <w:p w14:paraId="16BED7C2" w14:textId="77777777" w:rsidR="0014798C" w:rsidRDefault="0014798C">
      <w:pPr>
        <w:pStyle w:val="Textoindependiente"/>
      </w:pPr>
    </w:p>
    <w:p w14:paraId="3267FD93" w14:textId="77777777" w:rsidR="0014798C" w:rsidRDefault="0014798C">
      <w:pPr>
        <w:pStyle w:val="Textoindependiente"/>
        <w:spacing w:before="68"/>
      </w:pPr>
    </w:p>
    <w:p w14:paraId="5A77D0E9" w14:textId="77777777" w:rsidR="0014798C" w:rsidRDefault="004E1F0B">
      <w:pPr>
        <w:pStyle w:val="Textoindependiente"/>
        <w:spacing w:line="326" w:lineRule="auto"/>
        <w:ind w:left="1107" w:right="1239" w:hanging="1"/>
      </w:pPr>
      <w:r>
        <w:t>publicarse y ponerse a disposición del público.780 Las decisiones deben tomarse sobre la base de la legislación nacional y deben seguir</w:t>
      </w:r>
      <w:r>
        <w:rPr>
          <w:spacing w:val="10"/>
        </w:rPr>
        <w:t xml:space="preserve"> </w:t>
      </w:r>
      <w:r>
        <w:t>las</w:t>
      </w:r>
      <w:r>
        <w:rPr>
          <w:spacing w:val="10"/>
        </w:rPr>
        <w:t xml:space="preserve"> </w:t>
      </w:r>
      <w:r>
        <w:t>normas</w:t>
      </w:r>
      <w:r>
        <w:rPr>
          <w:spacing w:val="10"/>
        </w:rPr>
        <w:t xml:space="preserve"> </w:t>
      </w:r>
      <w:r>
        <w:t>procesales</w:t>
      </w:r>
      <w:r>
        <w:rPr>
          <w:spacing w:val="10"/>
        </w:rPr>
        <w:t xml:space="preserve"> </w:t>
      </w:r>
      <w:r>
        <w:t>establecidas</w:t>
      </w:r>
      <w:r>
        <w:rPr>
          <w:spacing w:val="10"/>
        </w:rPr>
        <w:t xml:space="preserve"> </w:t>
      </w:r>
      <w:r>
        <w:t>aplicables</w:t>
      </w:r>
      <w:r>
        <w:rPr>
          <w:spacing w:val="10"/>
        </w:rPr>
        <w:t xml:space="preserve"> </w:t>
      </w:r>
      <w:r>
        <w:t>en</w:t>
      </w:r>
      <w:r>
        <w:rPr>
          <w:spacing w:val="10"/>
        </w:rPr>
        <w:t xml:space="preserve"> </w:t>
      </w:r>
      <w:r>
        <w:t>casos</w:t>
      </w:r>
      <w:r>
        <w:rPr>
          <w:spacing w:val="10"/>
        </w:rPr>
        <w:t xml:space="preserve"> </w:t>
      </w:r>
      <w:r>
        <w:t>de</w:t>
      </w:r>
      <w:r>
        <w:rPr>
          <w:spacing w:val="10"/>
        </w:rPr>
        <w:t xml:space="preserve"> </w:t>
      </w:r>
      <w:r>
        <w:t>discriminación,</w:t>
      </w:r>
      <w:r>
        <w:rPr>
          <w:spacing w:val="11"/>
        </w:rPr>
        <w:t xml:space="preserve"> </w:t>
      </w:r>
      <w:r>
        <w:t>incluidas</w:t>
      </w:r>
      <w:r>
        <w:rPr>
          <w:spacing w:val="10"/>
        </w:rPr>
        <w:t xml:space="preserve"> </w:t>
      </w:r>
      <w:r>
        <w:t>las</w:t>
      </w:r>
      <w:r>
        <w:rPr>
          <w:spacing w:val="10"/>
        </w:rPr>
        <w:t xml:space="preserve"> </w:t>
      </w:r>
      <w:r>
        <w:t>normas</w:t>
      </w:r>
      <w:r>
        <w:rPr>
          <w:spacing w:val="10"/>
        </w:rPr>
        <w:t xml:space="preserve"> </w:t>
      </w:r>
      <w:r>
        <w:t>que</w:t>
      </w:r>
      <w:r>
        <w:rPr>
          <w:spacing w:val="10"/>
        </w:rPr>
        <w:t xml:space="preserve"> </w:t>
      </w:r>
      <w:r>
        <w:t>regulan</w:t>
      </w:r>
      <w:r>
        <w:rPr>
          <w:spacing w:val="10"/>
        </w:rPr>
        <w:t xml:space="preserve"> </w:t>
      </w:r>
      <w:r>
        <w:t>el</w:t>
      </w:r>
      <w:r>
        <w:rPr>
          <w:spacing w:val="10"/>
        </w:rPr>
        <w:t xml:space="preserve"> </w:t>
      </w:r>
      <w:r>
        <w:t>cambio</w:t>
      </w:r>
      <w:r>
        <w:rPr>
          <w:spacing w:val="10"/>
        </w:rPr>
        <w:t xml:space="preserve"> </w:t>
      </w:r>
      <w:r>
        <w:t>de la carga de la prueba.781</w:t>
      </w:r>
    </w:p>
    <w:p w14:paraId="419652AF" w14:textId="77777777" w:rsidR="0014798C" w:rsidRDefault="004E1F0B">
      <w:pPr>
        <w:pStyle w:val="Textoindependiente"/>
        <w:spacing w:before="169" w:line="326" w:lineRule="auto"/>
        <w:ind w:left="1107" w:right="1272" w:firstLine="1"/>
      </w:pPr>
      <w:r>
        <w:t>En situaciones en las que a los organismos de igualdad se les asigna este tipo de función de aplicación, se les exige que cumplan con</w:t>
      </w:r>
      <w:r>
        <w:rPr>
          <w:spacing w:val="12"/>
        </w:rPr>
        <w:t xml:space="preserve"> </w:t>
      </w:r>
      <w:r>
        <w:t>los</w:t>
      </w:r>
      <w:r>
        <w:rPr>
          <w:spacing w:val="12"/>
        </w:rPr>
        <w:t xml:space="preserve"> </w:t>
      </w:r>
      <w:r>
        <w:t>estrictos</w:t>
      </w:r>
      <w:r>
        <w:rPr>
          <w:spacing w:val="12"/>
        </w:rPr>
        <w:t xml:space="preserve"> </w:t>
      </w:r>
      <w:r>
        <w:t>estándares</w:t>
      </w:r>
      <w:r>
        <w:rPr>
          <w:spacing w:val="12"/>
        </w:rPr>
        <w:t xml:space="preserve"> </w:t>
      </w:r>
      <w:r>
        <w:t>establecidos</w:t>
      </w:r>
      <w:r>
        <w:rPr>
          <w:spacing w:val="12"/>
        </w:rPr>
        <w:t xml:space="preserve"> </w:t>
      </w:r>
      <w:r>
        <w:t>para</w:t>
      </w:r>
      <w:r>
        <w:rPr>
          <w:spacing w:val="12"/>
        </w:rPr>
        <w:t xml:space="preserve"> </w:t>
      </w:r>
      <w:r>
        <w:t>dichos</w:t>
      </w:r>
      <w:r>
        <w:rPr>
          <w:spacing w:val="12"/>
        </w:rPr>
        <w:t xml:space="preserve"> </w:t>
      </w:r>
      <w:r>
        <w:t>organismos</w:t>
      </w:r>
      <w:r>
        <w:rPr>
          <w:spacing w:val="12"/>
        </w:rPr>
        <w:t xml:space="preserve"> </w:t>
      </w:r>
      <w:r>
        <w:t>según</w:t>
      </w:r>
      <w:r>
        <w:rPr>
          <w:spacing w:val="12"/>
        </w:rPr>
        <w:t xml:space="preserve"> </w:t>
      </w:r>
      <w:r>
        <w:t>el</w:t>
      </w:r>
      <w:r>
        <w:rPr>
          <w:spacing w:val="12"/>
        </w:rPr>
        <w:t xml:space="preserve"> </w:t>
      </w:r>
      <w:r>
        <w:t>derecho</w:t>
      </w:r>
      <w:r>
        <w:rPr>
          <w:spacing w:val="12"/>
        </w:rPr>
        <w:t xml:space="preserve"> </w:t>
      </w:r>
      <w:r>
        <w:t>internacional,</w:t>
      </w:r>
      <w:r>
        <w:rPr>
          <w:spacing w:val="13"/>
        </w:rPr>
        <w:t xml:space="preserve"> </w:t>
      </w:r>
      <w:r>
        <w:t>que</w:t>
      </w:r>
      <w:r>
        <w:rPr>
          <w:spacing w:val="12"/>
        </w:rPr>
        <w:t xml:space="preserve"> </w:t>
      </w:r>
      <w:r>
        <w:t>se</w:t>
      </w:r>
      <w:r>
        <w:rPr>
          <w:spacing w:val="12"/>
        </w:rPr>
        <w:t xml:space="preserve"> </w:t>
      </w:r>
      <w:r>
        <w:t>establecen</w:t>
      </w:r>
      <w:r>
        <w:rPr>
          <w:spacing w:val="12"/>
        </w:rPr>
        <w:t xml:space="preserve"> </w:t>
      </w:r>
      <w:r>
        <w:t>en</w:t>
      </w:r>
      <w:r>
        <w:rPr>
          <w:spacing w:val="12"/>
        </w:rPr>
        <w:t xml:space="preserve"> </w:t>
      </w:r>
      <w:r>
        <w:t>la sección III.A.1(a) de la segunda parte del presente guía782 y debe estar sujeto a apelación ante los tribunales. Para evitar</w:t>
      </w:r>
    </w:p>
    <w:p w14:paraId="3EEEEDD3" w14:textId="77777777" w:rsidR="0014798C" w:rsidRDefault="004E1F0B">
      <w:pPr>
        <w:pStyle w:val="Textoindependiente"/>
        <w:spacing w:line="326" w:lineRule="auto"/>
        <w:ind w:left="1107" w:right="1239" w:firstLine="4"/>
      </w:pPr>
      <w:r>
        <w:t>cualquier conflicto de intereses que pueda resultar en denegación de justicia, en situaciones en las que las funciones de aplicación de la ley de un organismo de igualdad van paralelas a las facultades de investigar y litigar casos de discriminación, es importante que “cada función sea desempeñada por una unidad o entidad diferente”. por personal diferente”.783 Cada una de estas unidades debe cumplir con las garantías institucionales necesarias para cumplir sus mandatos.784 En particular, deben ser funcionalmente independientes y contar con recursos humanos y financieros adecuados.785</w:t>
      </w:r>
    </w:p>
    <w:p w14:paraId="6F2680DB" w14:textId="77777777" w:rsidR="0014798C" w:rsidRDefault="0014798C">
      <w:pPr>
        <w:pStyle w:val="Textoindependiente"/>
      </w:pPr>
    </w:p>
    <w:p w14:paraId="332A3D28" w14:textId="77777777" w:rsidR="0014798C" w:rsidRDefault="0014798C">
      <w:pPr>
        <w:pStyle w:val="Textoindependiente"/>
        <w:spacing w:before="97"/>
      </w:pPr>
    </w:p>
    <w:p w14:paraId="7678FB13" w14:textId="77777777" w:rsidR="0014798C" w:rsidRDefault="004E1F0B">
      <w:pPr>
        <w:pStyle w:val="Textoindependiente"/>
        <w:ind w:left="1335"/>
      </w:pPr>
      <w:r>
        <w:rPr>
          <w:noProof/>
        </w:rPr>
        <w:drawing>
          <wp:anchor distT="0" distB="0" distL="0" distR="0" simplePos="0" relativeHeight="251658445" behindDoc="1" locked="0" layoutInCell="1" allowOverlap="1" wp14:anchorId="6C778263" wp14:editId="3FD20D78">
            <wp:simplePos x="0" y="0"/>
            <wp:positionH relativeFrom="page">
              <wp:posOffset>813154</wp:posOffset>
            </wp:positionH>
            <wp:positionV relativeFrom="paragraph">
              <wp:posOffset>-147322</wp:posOffset>
            </wp:positionV>
            <wp:extent cx="5943667" cy="5001101"/>
            <wp:effectExtent l="0" t="0" r="0" b="0"/>
            <wp:wrapNone/>
            <wp:docPr id="239" name="Image 23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39" name="Image 239"/>
                    <pic:cNvPicPr/>
                  </pic:nvPicPr>
                  <pic:blipFill>
                    <a:blip r:embed="rId216" cstate="print"/>
                    <a:stretch>
                      <a:fillRect/>
                    </a:stretch>
                  </pic:blipFill>
                  <pic:spPr>
                    <a:xfrm>
                      <a:off x="0" y="0"/>
                      <a:ext cx="5943667" cy="5001101"/>
                    </a:xfrm>
                    <a:prstGeom prst="rect">
                      <a:avLst/>
                    </a:prstGeom>
                  </pic:spPr>
                </pic:pic>
              </a:graphicData>
            </a:graphic>
          </wp:anchor>
        </w:drawing>
      </w:r>
      <w:r>
        <w:t>CASOS:</w:t>
      </w:r>
      <w:r>
        <w:rPr>
          <w:spacing w:val="1"/>
        </w:rPr>
        <w:t xml:space="preserve"> </w:t>
      </w:r>
      <w:r>
        <w:t>UN</w:t>
      </w:r>
      <w:r>
        <w:rPr>
          <w:spacing w:val="1"/>
        </w:rPr>
        <w:t xml:space="preserve"> </w:t>
      </w:r>
      <w:r>
        <w:t>EJEMPLO</w:t>
      </w:r>
      <w:r>
        <w:rPr>
          <w:spacing w:val="1"/>
        </w:rPr>
        <w:t xml:space="preserve"> </w:t>
      </w:r>
      <w:r>
        <w:t>DE</w:t>
      </w:r>
      <w:r>
        <w:rPr>
          <w:spacing w:val="1"/>
        </w:rPr>
        <w:t xml:space="preserve"> </w:t>
      </w:r>
      <w:r>
        <w:t>LA</w:t>
      </w:r>
      <w:r>
        <w:rPr>
          <w:spacing w:val="1"/>
        </w:rPr>
        <w:t xml:space="preserve"> </w:t>
      </w:r>
      <w:r>
        <w:t>REPÚBLICA</w:t>
      </w:r>
      <w:r>
        <w:rPr>
          <w:spacing w:val="2"/>
        </w:rPr>
        <w:t xml:space="preserve"> </w:t>
      </w:r>
      <w:r>
        <w:t>DE</w:t>
      </w:r>
      <w:r>
        <w:rPr>
          <w:spacing w:val="1"/>
        </w:rPr>
        <w:t xml:space="preserve"> </w:t>
      </w:r>
      <w:r>
        <w:rPr>
          <w:spacing w:val="-2"/>
        </w:rPr>
        <w:t>MOLDAVIA</w:t>
      </w:r>
    </w:p>
    <w:p w14:paraId="1A44F60D" w14:textId="77777777" w:rsidR="0014798C" w:rsidRDefault="0014798C">
      <w:pPr>
        <w:pStyle w:val="Textoindependiente"/>
        <w:spacing w:before="35"/>
      </w:pPr>
    </w:p>
    <w:p w14:paraId="62A004CC" w14:textId="77777777" w:rsidR="0014798C" w:rsidRDefault="004E1F0B">
      <w:pPr>
        <w:pStyle w:val="Textoindependiente"/>
        <w:spacing w:line="326" w:lineRule="auto"/>
        <w:ind w:left="1333" w:right="1418" w:hanging="1"/>
      </w:pPr>
      <w:r>
        <w:t>En sus casos, los organismos de igualdad han desempeñado un papel decisivo a la hora de garantizar que las víctimas de discriminación reciban la debida reparación legal. También han sido clave para poner fin a prácticas discriminatorias sistemáticas. Por ejemplo, en su decisión de 9 de septiembre de 2014, el Consejo para Prevenir y Combatir la Discriminación</w:t>
      </w:r>
      <w:r>
        <w:rPr>
          <w:spacing w:val="40"/>
        </w:rPr>
        <w:t xml:space="preserve"> </w:t>
      </w:r>
      <w:r>
        <w:t>y Garantizar la Igualdad de la República de Moldavia se pronunció sobre el caso 110/2014, en el que a una mujer se le</w:t>
      </w:r>
    </w:p>
    <w:p w14:paraId="2FE4E92A" w14:textId="77777777" w:rsidR="0014798C" w:rsidRDefault="004E1F0B">
      <w:pPr>
        <w:pStyle w:val="Textoindependiente"/>
        <w:spacing w:line="326" w:lineRule="auto"/>
        <w:ind w:left="1332" w:right="1463"/>
      </w:pPr>
      <w:r>
        <w:t>había negado la inscripción en un programa de reciclaje profesional para aprender manicura y habilidades de pedicura, por considerar que su condición de persona con discapacidad le impedía realizar dicho trabajo. Ese enfoque no estaba en conformidad con la Convención sobre los derechos de las personas con discapacidad, que la República de Moldova había ratificado recientemente, y en particular con la garantía de igualdad y no discriminación para las personas con discapacidad, incluso en el ámbito laboral. El Consejo dictaminó que excluir a una persona de la formación profesional por motivos de discapacidad</w:t>
      </w:r>
      <w:r>
        <w:rPr>
          <w:spacing w:val="10"/>
        </w:rPr>
        <w:t xml:space="preserve"> </w:t>
      </w:r>
      <w:r>
        <w:t>era</w:t>
      </w:r>
      <w:r>
        <w:rPr>
          <w:spacing w:val="10"/>
        </w:rPr>
        <w:t xml:space="preserve"> </w:t>
      </w:r>
      <w:r>
        <w:t>discriminatorio.</w:t>
      </w:r>
      <w:r>
        <w:rPr>
          <w:spacing w:val="11"/>
        </w:rPr>
        <w:t xml:space="preserve"> </w:t>
      </w:r>
      <w:r>
        <w:t>La</w:t>
      </w:r>
      <w:r>
        <w:rPr>
          <w:spacing w:val="10"/>
        </w:rPr>
        <w:t xml:space="preserve"> </w:t>
      </w:r>
      <w:r>
        <w:t>decisión</w:t>
      </w:r>
      <w:r>
        <w:rPr>
          <w:spacing w:val="10"/>
        </w:rPr>
        <w:t xml:space="preserve"> </w:t>
      </w:r>
      <w:r>
        <w:t>generó</w:t>
      </w:r>
      <w:r>
        <w:rPr>
          <w:spacing w:val="10"/>
        </w:rPr>
        <w:t xml:space="preserve"> </w:t>
      </w:r>
      <w:r>
        <w:t>una</w:t>
      </w:r>
      <w:r>
        <w:rPr>
          <w:spacing w:val="10"/>
        </w:rPr>
        <w:t xml:space="preserve"> </w:t>
      </w:r>
      <w:r>
        <w:t>mayor</w:t>
      </w:r>
      <w:r>
        <w:rPr>
          <w:spacing w:val="10"/>
        </w:rPr>
        <w:t xml:space="preserve"> </w:t>
      </w:r>
      <w:r>
        <w:t>comprensión</w:t>
      </w:r>
      <w:r>
        <w:rPr>
          <w:spacing w:val="10"/>
        </w:rPr>
        <w:t xml:space="preserve"> </w:t>
      </w:r>
      <w:r>
        <w:t>del</w:t>
      </w:r>
      <w:r>
        <w:rPr>
          <w:spacing w:val="10"/>
        </w:rPr>
        <w:t xml:space="preserve"> </w:t>
      </w:r>
      <w:r>
        <w:t>requisito</w:t>
      </w:r>
      <w:r>
        <w:rPr>
          <w:spacing w:val="10"/>
        </w:rPr>
        <w:t xml:space="preserve"> </w:t>
      </w:r>
      <w:r>
        <w:t>legal</w:t>
      </w:r>
      <w:r>
        <w:rPr>
          <w:spacing w:val="10"/>
        </w:rPr>
        <w:t xml:space="preserve"> </w:t>
      </w:r>
      <w:r>
        <w:t>de</w:t>
      </w:r>
      <w:r>
        <w:rPr>
          <w:spacing w:val="10"/>
        </w:rPr>
        <w:t xml:space="preserve"> </w:t>
      </w:r>
      <w:r>
        <w:t>garantizar</w:t>
      </w:r>
      <w:r>
        <w:rPr>
          <w:spacing w:val="10"/>
        </w:rPr>
        <w:t xml:space="preserve"> </w:t>
      </w:r>
      <w:r>
        <w:t>el</w:t>
      </w:r>
      <w:r>
        <w:rPr>
          <w:spacing w:val="10"/>
        </w:rPr>
        <w:t xml:space="preserve"> </w:t>
      </w:r>
      <w:r>
        <w:t>derecho</w:t>
      </w:r>
      <w:r>
        <w:rPr>
          <w:spacing w:val="10"/>
        </w:rPr>
        <w:t xml:space="preserve"> </w:t>
      </w:r>
      <w:r>
        <w:t>a la no discriminación de las personas con discapacidad y, por lo tanto, ha sido crucial para promover una reforma positiva a nivel nacional.</w:t>
      </w:r>
    </w:p>
    <w:p w14:paraId="7BD1CF0A" w14:textId="77777777" w:rsidR="0014798C" w:rsidRDefault="0014798C">
      <w:pPr>
        <w:pStyle w:val="Textoindependiente"/>
      </w:pPr>
    </w:p>
    <w:p w14:paraId="3B00AA38" w14:textId="77777777" w:rsidR="0014798C" w:rsidRDefault="0014798C">
      <w:pPr>
        <w:pStyle w:val="Textoindependiente"/>
        <w:spacing w:before="159"/>
      </w:pPr>
    </w:p>
    <w:p w14:paraId="238EFC4A" w14:textId="77777777" w:rsidR="0014798C" w:rsidRDefault="004E1F0B">
      <w:pPr>
        <w:pStyle w:val="Textoindependiente"/>
        <w:spacing w:line="326" w:lineRule="auto"/>
        <w:ind w:left="1107" w:right="1272" w:firstLine="1"/>
      </w:pPr>
      <w:r>
        <w:t>En situaciones en las que las decisiones de los organismos de igualdad no son de naturaleza vinculante, es particularmente importante que las víctimas conserven una vía judicial para hacer valer sus derechos legales.786 Los marcos legales nacionales nunca deben excluir la posibilidad de que las personas presenten una demanda ante un tribunal</w:t>
      </w:r>
      <w:proofErr w:type="gramStart"/>
      <w:r>
        <w:t>. ,</w:t>
      </w:r>
      <w:proofErr w:type="gramEnd"/>
      <w:r>
        <w:t xml:space="preserve"> independientemente de la disponibilidad de un organismo de igualdad con poderes de toma de decisiones.787 Además, deben existir mecanismos para</w:t>
      </w:r>
    </w:p>
    <w:p w14:paraId="3F716379" w14:textId="77777777" w:rsidR="0014798C" w:rsidRDefault="004E1F0B">
      <w:pPr>
        <w:pStyle w:val="Textoindependiente"/>
        <w:spacing w:line="182" w:lineRule="exact"/>
        <w:ind w:left="1108"/>
      </w:pPr>
      <w:r>
        <w:t>garantizar</w:t>
      </w:r>
      <w:r>
        <w:rPr>
          <w:spacing w:val="3"/>
        </w:rPr>
        <w:t xml:space="preserve"> </w:t>
      </w:r>
      <w:r>
        <w:t>que</w:t>
      </w:r>
      <w:r>
        <w:rPr>
          <w:spacing w:val="4"/>
        </w:rPr>
        <w:t xml:space="preserve"> </w:t>
      </w:r>
      <w:r>
        <w:t>las</w:t>
      </w:r>
      <w:r>
        <w:rPr>
          <w:spacing w:val="4"/>
        </w:rPr>
        <w:t xml:space="preserve"> </w:t>
      </w:r>
      <w:r>
        <w:t>recomendaciones</w:t>
      </w:r>
      <w:r>
        <w:rPr>
          <w:spacing w:val="4"/>
        </w:rPr>
        <w:t xml:space="preserve"> </w:t>
      </w:r>
      <w:r>
        <w:t>sean</w:t>
      </w:r>
      <w:r>
        <w:rPr>
          <w:spacing w:val="4"/>
        </w:rPr>
        <w:t xml:space="preserve"> </w:t>
      </w:r>
      <w:r>
        <w:t>debidamente</w:t>
      </w:r>
      <w:r>
        <w:rPr>
          <w:spacing w:val="4"/>
        </w:rPr>
        <w:t xml:space="preserve"> </w:t>
      </w:r>
      <w:r>
        <w:t>consideradas</w:t>
      </w:r>
      <w:r>
        <w:rPr>
          <w:spacing w:val="4"/>
        </w:rPr>
        <w:t xml:space="preserve"> </w:t>
      </w:r>
      <w:r>
        <w:t>e</w:t>
      </w:r>
      <w:r>
        <w:rPr>
          <w:spacing w:val="4"/>
        </w:rPr>
        <w:t xml:space="preserve"> </w:t>
      </w:r>
      <w:r>
        <w:t>implementadas</w:t>
      </w:r>
      <w:r>
        <w:rPr>
          <w:spacing w:val="4"/>
        </w:rPr>
        <w:t xml:space="preserve"> </w:t>
      </w:r>
      <w:r>
        <w:t>por</w:t>
      </w:r>
      <w:r>
        <w:rPr>
          <w:spacing w:val="4"/>
        </w:rPr>
        <w:t xml:space="preserve"> </w:t>
      </w:r>
      <w:r>
        <w:t>el</w:t>
      </w:r>
      <w:r>
        <w:rPr>
          <w:spacing w:val="4"/>
        </w:rPr>
        <w:t xml:space="preserve"> </w:t>
      </w:r>
      <w:r>
        <w:t>gobierno</w:t>
      </w:r>
      <w:r>
        <w:rPr>
          <w:spacing w:val="4"/>
        </w:rPr>
        <w:t xml:space="preserve"> </w:t>
      </w:r>
      <w:r>
        <w:t>y</w:t>
      </w:r>
      <w:r>
        <w:rPr>
          <w:spacing w:val="4"/>
        </w:rPr>
        <w:t xml:space="preserve"> </w:t>
      </w:r>
      <w:r>
        <w:t>otros</w:t>
      </w:r>
      <w:r>
        <w:rPr>
          <w:spacing w:val="4"/>
        </w:rPr>
        <w:t xml:space="preserve"> </w:t>
      </w:r>
      <w:r>
        <w:t>responsables</w:t>
      </w:r>
      <w:r>
        <w:rPr>
          <w:spacing w:val="4"/>
        </w:rPr>
        <w:t xml:space="preserve"> </w:t>
      </w:r>
      <w:r>
        <w:rPr>
          <w:spacing w:val="-2"/>
        </w:rPr>
        <w:t>relevantes.788</w:t>
      </w:r>
    </w:p>
    <w:p w14:paraId="7C01E275" w14:textId="77777777" w:rsidR="0014798C" w:rsidRDefault="0014798C">
      <w:pPr>
        <w:pStyle w:val="Textoindependiente"/>
        <w:rPr>
          <w:sz w:val="11"/>
        </w:rPr>
      </w:pPr>
    </w:p>
    <w:p w14:paraId="6F59A9F9" w14:textId="77777777" w:rsidR="0014798C" w:rsidRDefault="0014798C">
      <w:pPr>
        <w:pStyle w:val="Textoindependiente"/>
        <w:rPr>
          <w:sz w:val="11"/>
        </w:rPr>
      </w:pPr>
    </w:p>
    <w:p w14:paraId="5DDA9EE1" w14:textId="77777777" w:rsidR="0014798C" w:rsidRDefault="0014798C">
      <w:pPr>
        <w:pStyle w:val="Textoindependiente"/>
        <w:rPr>
          <w:sz w:val="11"/>
        </w:rPr>
      </w:pPr>
    </w:p>
    <w:p w14:paraId="270E0D75" w14:textId="77777777" w:rsidR="0014798C" w:rsidRDefault="0014798C">
      <w:pPr>
        <w:pStyle w:val="Textoindependiente"/>
        <w:rPr>
          <w:sz w:val="11"/>
        </w:rPr>
      </w:pPr>
    </w:p>
    <w:p w14:paraId="612714AC" w14:textId="77777777" w:rsidR="0014798C" w:rsidRDefault="0014798C">
      <w:pPr>
        <w:pStyle w:val="Textoindependiente"/>
        <w:rPr>
          <w:sz w:val="11"/>
        </w:rPr>
      </w:pPr>
    </w:p>
    <w:p w14:paraId="3350FC27" w14:textId="77777777" w:rsidR="0014798C" w:rsidRDefault="0014798C">
      <w:pPr>
        <w:pStyle w:val="Textoindependiente"/>
        <w:rPr>
          <w:sz w:val="11"/>
        </w:rPr>
      </w:pPr>
    </w:p>
    <w:p w14:paraId="44E62CB3" w14:textId="77777777" w:rsidR="0014798C" w:rsidRDefault="0014798C">
      <w:pPr>
        <w:pStyle w:val="Textoindependiente"/>
        <w:rPr>
          <w:sz w:val="11"/>
        </w:rPr>
      </w:pPr>
    </w:p>
    <w:p w14:paraId="4D4DA246" w14:textId="77777777" w:rsidR="0014798C" w:rsidRDefault="0014798C">
      <w:pPr>
        <w:pStyle w:val="Textoindependiente"/>
        <w:rPr>
          <w:sz w:val="11"/>
        </w:rPr>
      </w:pPr>
    </w:p>
    <w:p w14:paraId="365729B4" w14:textId="77777777" w:rsidR="0014798C" w:rsidRDefault="0014798C">
      <w:pPr>
        <w:pStyle w:val="Textoindependiente"/>
        <w:rPr>
          <w:sz w:val="11"/>
        </w:rPr>
      </w:pPr>
    </w:p>
    <w:p w14:paraId="48E7A2CD" w14:textId="77777777" w:rsidR="0014798C" w:rsidRDefault="0014798C">
      <w:pPr>
        <w:pStyle w:val="Textoindependiente"/>
        <w:rPr>
          <w:sz w:val="11"/>
        </w:rPr>
      </w:pPr>
    </w:p>
    <w:p w14:paraId="795D6617" w14:textId="77777777" w:rsidR="0014798C" w:rsidRDefault="0014798C">
      <w:pPr>
        <w:pStyle w:val="Textoindependiente"/>
        <w:rPr>
          <w:sz w:val="11"/>
        </w:rPr>
      </w:pPr>
    </w:p>
    <w:p w14:paraId="0F227579" w14:textId="77777777" w:rsidR="0014798C" w:rsidRDefault="0014798C">
      <w:pPr>
        <w:pStyle w:val="Textoindependiente"/>
        <w:rPr>
          <w:sz w:val="11"/>
        </w:rPr>
      </w:pPr>
    </w:p>
    <w:p w14:paraId="380152D6" w14:textId="77777777" w:rsidR="0014798C" w:rsidRDefault="0014798C">
      <w:pPr>
        <w:pStyle w:val="Textoindependiente"/>
        <w:rPr>
          <w:sz w:val="11"/>
        </w:rPr>
      </w:pPr>
    </w:p>
    <w:p w14:paraId="25D3B835" w14:textId="77777777" w:rsidR="0014798C" w:rsidRDefault="0014798C">
      <w:pPr>
        <w:pStyle w:val="Textoindependiente"/>
        <w:rPr>
          <w:sz w:val="11"/>
        </w:rPr>
      </w:pPr>
    </w:p>
    <w:p w14:paraId="464E8246" w14:textId="77777777" w:rsidR="0014798C" w:rsidRDefault="0014798C">
      <w:pPr>
        <w:pStyle w:val="Textoindependiente"/>
        <w:rPr>
          <w:sz w:val="11"/>
        </w:rPr>
      </w:pPr>
    </w:p>
    <w:p w14:paraId="4CE89A09" w14:textId="77777777" w:rsidR="0014798C" w:rsidRDefault="0014798C">
      <w:pPr>
        <w:pStyle w:val="Textoindependiente"/>
        <w:rPr>
          <w:sz w:val="11"/>
        </w:rPr>
      </w:pPr>
    </w:p>
    <w:p w14:paraId="126A269C" w14:textId="77777777" w:rsidR="0014798C" w:rsidRDefault="0014798C">
      <w:pPr>
        <w:pStyle w:val="Textoindependiente"/>
        <w:rPr>
          <w:sz w:val="11"/>
        </w:rPr>
      </w:pPr>
    </w:p>
    <w:p w14:paraId="0D57F243" w14:textId="77777777" w:rsidR="0014798C" w:rsidRDefault="0014798C">
      <w:pPr>
        <w:pStyle w:val="Textoindependiente"/>
        <w:rPr>
          <w:sz w:val="11"/>
        </w:rPr>
      </w:pPr>
    </w:p>
    <w:p w14:paraId="01F5A1AD" w14:textId="77777777" w:rsidR="0014798C" w:rsidRDefault="0014798C">
      <w:pPr>
        <w:pStyle w:val="Textoindependiente"/>
        <w:rPr>
          <w:sz w:val="11"/>
        </w:rPr>
      </w:pPr>
    </w:p>
    <w:p w14:paraId="47481934" w14:textId="77777777" w:rsidR="0014798C" w:rsidRDefault="0014798C">
      <w:pPr>
        <w:pStyle w:val="Textoindependiente"/>
        <w:spacing w:before="125"/>
        <w:rPr>
          <w:sz w:val="11"/>
        </w:rPr>
      </w:pPr>
    </w:p>
    <w:p w14:paraId="33FBB1F1" w14:textId="77777777" w:rsidR="0014798C" w:rsidRDefault="004E1F0B">
      <w:pPr>
        <w:pStyle w:val="Prrafodelista"/>
        <w:numPr>
          <w:ilvl w:val="0"/>
          <w:numId w:val="32"/>
        </w:numPr>
        <w:tabs>
          <w:tab w:val="left" w:pos="1333"/>
        </w:tabs>
        <w:ind w:left="1333" w:hanging="225"/>
        <w:rPr>
          <w:sz w:val="11"/>
        </w:rPr>
      </w:pPr>
      <w:proofErr w:type="spellStart"/>
      <w:r>
        <w:rPr>
          <w:w w:val="105"/>
          <w:sz w:val="11"/>
        </w:rPr>
        <w:t>Ibíd</w:t>
      </w:r>
      <w:proofErr w:type="spellEnd"/>
      <w:r>
        <w:rPr>
          <w:w w:val="105"/>
          <w:sz w:val="11"/>
        </w:rPr>
        <w:t>.,</w:t>
      </w:r>
      <w:r>
        <w:rPr>
          <w:spacing w:val="-2"/>
          <w:w w:val="105"/>
          <w:sz w:val="11"/>
        </w:rPr>
        <w:t xml:space="preserve"> </w:t>
      </w:r>
      <w:r>
        <w:rPr>
          <w:w w:val="105"/>
          <w:sz w:val="11"/>
        </w:rPr>
        <w:t>párr.</w:t>
      </w:r>
      <w:r>
        <w:rPr>
          <w:spacing w:val="-1"/>
          <w:w w:val="105"/>
          <w:sz w:val="11"/>
        </w:rPr>
        <w:t xml:space="preserve"> </w:t>
      </w:r>
      <w:r>
        <w:rPr>
          <w:w w:val="105"/>
          <w:sz w:val="11"/>
        </w:rPr>
        <w:t>17</w:t>
      </w:r>
      <w:r>
        <w:rPr>
          <w:spacing w:val="-2"/>
          <w:w w:val="105"/>
          <w:sz w:val="11"/>
        </w:rPr>
        <w:t xml:space="preserve"> </w:t>
      </w:r>
      <w:r>
        <w:rPr>
          <w:spacing w:val="-5"/>
          <w:w w:val="105"/>
          <w:sz w:val="11"/>
        </w:rPr>
        <w:t>d).</w:t>
      </w:r>
    </w:p>
    <w:p w14:paraId="59E6310F" w14:textId="77777777" w:rsidR="0014798C" w:rsidRDefault="004E1F0B">
      <w:pPr>
        <w:pStyle w:val="Prrafodelista"/>
        <w:numPr>
          <w:ilvl w:val="0"/>
          <w:numId w:val="32"/>
        </w:numPr>
        <w:tabs>
          <w:tab w:val="left" w:pos="1333"/>
        </w:tabs>
        <w:spacing w:before="110"/>
        <w:ind w:left="1333" w:hanging="225"/>
        <w:rPr>
          <w:sz w:val="11"/>
        </w:rPr>
      </w:pPr>
      <w:proofErr w:type="spellStart"/>
      <w:r>
        <w:rPr>
          <w:w w:val="105"/>
          <w:sz w:val="11"/>
        </w:rPr>
        <w:t>Ibídem</w:t>
      </w:r>
      <w:proofErr w:type="spellEnd"/>
      <w:r>
        <w:rPr>
          <w:w w:val="105"/>
          <w:sz w:val="11"/>
        </w:rPr>
        <w:t>,</w:t>
      </w:r>
      <w:r>
        <w:rPr>
          <w:spacing w:val="-2"/>
          <w:w w:val="105"/>
          <w:sz w:val="11"/>
        </w:rPr>
        <w:t xml:space="preserve"> </w:t>
      </w:r>
      <w:r>
        <w:rPr>
          <w:w w:val="105"/>
          <w:sz w:val="11"/>
        </w:rPr>
        <w:t>párr.</w:t>
      </w:r>
      <w:r>
        <w:rPr>
          <w:spacing w:val="-2"/>
          <w:w w:val="105"/>
          <w:sz w:val="11"/>
        </w:rPr>
        <w:t xml:space="preserve"> 17(a).</w:t>
      </w:r>
    </w:p>
    <w:p w14:paraId="6EF4E35D" w14:textId="77777777" w:rsidR="0014798C" w:rsidRDefault="004E1F0B">
      <w:pPr>
        <w:pStyle w:val="Prrafodelista"/>
        <w:numPr>
          <w:ilvl w:val="0"/>
          <w:numId w:val="32"/>
        </w:numPr>
        <w:tabs>
          <w:tab w:val="left" w:pos="1333"/>
        </w:tabs>
        <w:spacing w:before="110"/>
        <w:ind w:left="1333" w:hanging="225"/>
        <w:rPr>
          <w:sz w:val="11"/>
        </w:rPr>
      </w:pPr>
      <w:r>
        <w:rPr>
          <w:w w:val="105"/>
          <w:sz w:val="11"/>
        </w:rPr>
        <w:t>Véase</w:t>
      </w:r>
      <w:r>
        <w:rPr>
          <w:spacing w:val="-1"/>
          <w:w w:val="105"/>
          <w:sz w:val="11"/>
        </w:rPr>
        <w:t xml:space="preserve"> </w:t>
      </w:r>
      <w:r>
        <w:rPr>
          <w:w w:val="105"/>
          <w:sz w:val="11"/>
        </w:rPr>
        <w:t>la</w:t>
      </w:r>
      <w:r>
        <w:rPr>
          <w:spacing w:val="-1"/>
          <w:w w:val="105"/>
          <w:sz w:val="11"/>
        </w:rPr>
        <w:t xml:space="preserve"> </w:t>
      </w:r>
      <w:r>
        <w:rPr>
          <w:w w:val="105"/>
          <w:sz w:val="11"/>
        </w:rPr>
        <w:t>sección</w:t>
      </w:r>
      <w:r>
        <w:rPr>
          <w:spacing w:val="-1"/>
          <w:w w:val="105"/>
          <w:sz w:val="11"/>
        </w:rPr>
        <w:t xml:space="preserve"> </w:t>
      </w:r>
      <w:r>
        <w:rPr>
          <w:w w:val="105"/>
          <w:sz w:val="11"/>
        </w:rPr>
        <w:t>III.A.1(a)</w:t>
      </w:r>
      <w:r>
        <w:rPr>
          <w:spacing w:val="-1"/>
          <w:w w:val="105"/>
          <w:sz w:val="11"/>
        </w:rPr>
        <w:t xml:space="preserve"> </w:t>
      </w:r>
      <w:r>
        <w:rPr>
          <w:w w:val="105"/>
          <w:sz w:val="11"/>
        </w:rPr>
        <w:t>de</w:t>
      </w:r>
      <w:r>
        <w:rPr>
          <w:spacing w:val="-1"/>
          <w:w w:val="105"/>
          <w:sz w:val="11"/>
        </w:rPr>
        <w:t xml:space="preserve"> </w:t>
      </w:r>
      <w:r>
        <w:rPr>
          <w:w w:val="105"/>
          <w:sz w:val="11"/>
        </w:rPr>
        <w:t>la</w:t>
      </w:r>
      <w:r>
        <w:rPr>
          <w:spacing w:val="-1"/>
          <w:w w:val="105"/>
          <w:sz w:val="11"/>
        </w:rPr>
        <w:t xml:space="preserve"> </w:t>
      </w:r>
      <w:r>
        <w:rPr>
          <w:w w:val="105"/>
          <w:sz w:val="11"/>
        </w:rPr>
        <w:t>segunda</w:t>
      </w:r>
      <w:r>
        <w:rPr>
          <w:spacing w:val="-1"/>
          <w:w w:val="105"/>
          <w:sz w:val="11"/>
        </w:rPr>
        <w:t xml:space="preserve"> </w:t>
      </w:r>
      <w:r>
        <w:rPr>
          <w:w w:val="105"/>
          <w:sz w:val="11"/>
        </w:rPr>
        <w:t>parte</w:t>
      </w:r>
      <w:r>
        <w:rPr>
          <w:spacing w:val="-1"/>
          <w:w w:val="105"/>
          <w:sz w:val="11"/>
        </w:rPr>
        <w:t xml:space="preserve"> </w:t>
      </w:r>
      <w:r>
        <w:rPr>
          <w:w w:val="105"/>
          <w:sz w:val="11"/>
        </w:rPr>
        <w:t>de</w:t>
      </w:r>
      <w:r>
        <w:rPr>
          <w:spacing w:val="-1"/>
          <w:w w:val="105"/>
          <w:sz w:val="11"/>
        </w:rPr>
        <w:t xml:space="preserve"> </w:t>
      </w:r>
      <w:r>
        <w:rPr>
          <w:w w:val="105"/>
          <w:sz w:val="11"/>
        </w:rPr>
        <w:t>la</w:t>
      </w:r>
      <w:r>
        <w:rPr>
          <w:spacing w:val="-1"/>
          <w:w w:val="105"/>
          <w:sz w:val="11"/>
        </w:rPr>
        <w:t xml:space="preserve"> </w:t>
      </w:r>
      <w:r>
        <w:rPr>
          <w:w w:val="105"/>
          <w:sz w:val="11"/>
        </w:rPr>
        <w:t>presente</w:t>
      </w:r>
      <w:r>
        <w:rPr>
          <w:spacing w:val="-1"/>
          <w:w w:val="105"/>
          <w:sz w:val="11"/>
        </w:rPr>
        <w:t xml:space="preserve"> </w:t>
      </w:r>
      <w:r>
        <w:rPr>
          <w:spacing w:val="-2"/>
          <w:w w:val="105"/>
          <w:sz w:val="11"/>
        </w:rPr>
        <w:t>guía.</w:t>
      </w:r>
    </w:p>
    <w:p w14:paraId="43C35B99" w14:textId="77777777" w:rsidR="0014798C" w:rsidRDefault="004E1F0B">
      <w:pPr>
        <w:pStyle w:val="Prrafodelista"/>
        <w:numPr>
          <w:ilvl w:val="0"/>
          <w:numId w:val="32"/>
        </w:numPr>
        <w:tabs>
          <w:tab w:val="left" w:pos="1333"/>
        </w:tabs>
        <w:spacing w:before="110"/>
        <w:ind w:left="1333" w:hanging="225"/>
        <w:rPr>
          <w:sz w:val="11"/>
        </w:rPr>
      </w:pPr>
      <w:r>
        <w:rPr>
          <w:w w:val="105"/>
          <w:sz w:val="11"/>
        </w:rPr>
        <w:t>Consejo</w:t>
      </w:r>
      <w:r>
        <w:rPr>
          <w:spacing w:val="-2"/>
          <w:w w:val="105"/>
          <w:sz w:val="11"/>
        </w:rPr>
        <w:t xml:space="preserve"> </w:t>
      </w:r>
      <w:r>
        <w:rPr>
          <w:w w:val="105"/>
          <w:sz w:val="11"/>
        </w:rPr>
        <w:t>de</w:t>
      </w:r>
      <w:r>
        <w:rPr>
          <w:spacing w:val="-2"/>
          <w:w w:val="105"/>
          <w:sz w:val="11"/>
        </w:rPr>
        <w:t xml:space="preserve"> </w:t>
      </w:r>
      <w:r>
        <w:rPr>
          <w:w w:val="105"/>
          <w:sz w:val="11"/>
        </w:rPr>
        <w:t>Europa,</w:t>
      </w:r>
      <w:r>
        <w:rPr>
          <w:spacing w:val="-2"/>
          <w:w w:val="105"/>
          <w:sz w:val="11"/>
        </w:rPr>
        <w:t xml:space="preserve"> </w:t>
      </w:r>
      <w:r>
        <w:rPr>
          <w:w w:val="105"/>
          <w:sz w:val="11"/>
        </w:rPr>
        <w:t>Comisión</w:t>
      </w:r>
      <w:r>
        <w:rPr>
          <w:spacing w:val="-1"/>
          <w:w w:val="105"/>
          <w:sz w:val="11"/>
        </w:rPr>
        <w:t xml:space="preserve"> </w:t>
      </w:r>
      <w:r>
        <w:rPr>
          <w:w w:val="105"/>
          <w:sz w:val="11"/>
        </w:rPr>
        <w:t>Europea</w:t>
      </w:r>
      <w:r>
        <w:rPr>
          <w:spacing w:val="-2"/>
          <w:w w:val="105"/>
          <w:sz w:val="11"/>
        </w:rPr>
        <w:t xml:space="preserve"> </w:t>
      </w:r>
      <w:r>
        <w:rPr>
          <w:w w:val="105"/>
          <w:sz w:val="11"/>
        </w:rPr>
        <w:t>contra</w:t>
      </w:r>
      <w:r>
        <w:rPr>
          <w:spacing w:val="-2"/>
          <w:w w:val="105"/>
          <w:sz w:val="11"/>
        </w:rPr>
        <w:t xml:space="preserve"> </w:t>
      </w:r>
      <w:r>
        <w:rPr>
          <w:w w:val="105"/>
          <w:sz w:val="11"/>
        </w:rPr>
        <w:t>el</w:t>
      </w:r>
      <w:r>
        <w:rPr>
          <w:spacing w:val="-2"/>
          <w:w w:val="105"/>
          <w:sz w:val="11"/>
        </w:rPr>
        <w:t xml:space="preserve"> </w:t>
      </w:r>
      <w:r>
        <w:rPr>
          <w:w w:val="105"/>
          <w:sz w:val="11"/>
        </w:rPr>
        <w:t>Racismo</w:t>
      </w:r>
      <w:r>
        <w:rPr>
          <w:spacing w:val="-2"/>
          <w:w w:val="105"/>
          <w:sz w:val="11"/>
        </w:rPr>
        <w:t xml:space="preserve"> </w:t>
      </w:r>
      <w:r>
        <w:rPr>
          <w:w w:val="105"/>
          <w:sz w:val="11"/>
        </w:rPr>
        <w:t>y</w:t>
      </w:r>
      <w:r>
        <w:rPr>
          <w:spacing w:val="-2"/>
          <w:w w:val="105"/>
          <w:sz w:val="11"/>
        </w:rPr>
        <w:t xml:space="preserve"> </w:t>
      </w:r>
      <w:r>
        <w:rPr>
          <w:w w:val="105"/>
          <w:sz w:val="11"/>
        </w:rPr>
        <w:t>la</w:t>
      </w:r>
      <w:r>
        <w:rPr>
          <w:spacing w:val="-2"/>
          <w:w w:val="105"/>
          <w:sz w:val="11"/>
        </w:rPr>
        <w:t xml:space="preserve"> </w:t>
      </w:r>
      <w:r>
        <w:rPr>
          <w:w w:val="105"/>
          <w:sz w:val="11"/>
        </w:rPr>
        <w:t>Intolerancia,</w:t>
      </w:r>
      <w:r>
        <w:rPr>
          <w:spacing w:val="-1"/>
          <w:w w:val="105"/>
          <w:sz w:val="11"/>
        </w:rPr>
        <w:t xml:space="preserve"> </w:t>
      </w:r>
      <w:r>
        <w:rPr>
          <w:w w:val="105"/>
          <w:sz w:val="11"/>
        </w:rPr>
        <w:t>“Recomendación</w:t>
      </w:r>
      <w:r>
        <w:rPr>
          <w:spacing w:val="-2"/>
          <w:w w:val="105"/>
          <w:sz w:val="11"/>
        </w:rPr>
        <w:t xml:space="preserve"> </w:t>
      </w:r>
      <w:r>
        <w:rPr>
          <w:w w:val="105"/>
          <w:sz w:val="11"/>
        </w:rPr>
        <w:t>de</w:t>
      </w:r>
      <w:r>
        <w:rPr>
          <w:spacing w:val="-2"/>
          <w:w w:val="105"/>
          <w:sz w:val="11"/>
        </w:rPr>
        <w:t xml:space="preserve"> </w:t>
      </w:r>
      <w:r>
        <w:rPr>
          <w:w w:val="105"/>
          <w:sz w:val="11"/>
        </w:rPr>
        <w:t>política</w:t>
      </w:r>
      <w:r>
        <w:rPr>
          <w:spacing w:val="-2"/>
          <w:w w:val="105"/>
          <w:sz w:val="11"/>
        </w:rPr>
        <w:t xml:space="preserve"> </w:t>
      </w:r>
      <w:r>
        <w:rPr>
          <w:w w:val="105"/>
          <w:sz w:val="11"/>
        </w:rPr>
        <w:t>general</w:t>
      </w:r>
      <w:r>
        <w:rPr>
          <w:spacing w:val="-2"/>
          <w:w w:val="105"/>
          <w:sz w:val="11"/>
        </w:rPr>
        <w:t xml:space="preserve"> </w:t>
      </w:r>
      <w:r>
        <w:rPr>
          <w:w w:val="105"/>
          <w:sz w:val="11"/>
        </w:rPr>
        <w:t>No.</w:t>
      </w:r>
      <w:r>
        <w:rPr>
          <w:spacing w:val="-2"/>
          <w:w w:val="105"/>
          <w:sz w:val="11"/>
        </w:rPr>
        <w:t xml:space="preserve"> </w:t>
      </w:r>
      <w:r>
        <w:rPr>
          <w:w w:val="105"/>
          <w:sz w:val="11"/>
        </w:rPr>
        <w:t>2</w:t>
      </w:r>
      <w:r>
        <w:rPr>
          <w:spacing w:val="-2"/>
          <w:w w:val="105"/>
          <w:sz w:val="11"/>
        </w:rPr>
        <w:t xml:space="preserve"> </w:t>
      </w:r>
      <w:r>
        <w:rPr>
          <w:w w:val="105"/>
          <w:sz w:val="11"/>
        </w:rPr>
        <w:t>de</w:t>
      </w:r>
      <w:r>
        <w:rPr>
          <w:spacing w:val="-2"/>
          <w:w w:val="105"/>
          <w:sz w:val="11"/>
        </w:rPr>
        <w:t xml:space="preserve"> </w:t>
      </w:r>
      <w:r>
        <w:rPr>
          <w:w w:val="105"/>
          <w:sz w:val="11"/>
        </w:rPr>
        <w:t>la</w:t>
      </w:r>
      <w:r>
        <w:rPr>
          <w:spacing w:val="-2"/>
          <w:w w:val="105"/>
          <w:sz w:val="11"/>
        </w:rPr>
        <w:t xml:space="preserve"> </w:t>
      </w:r>
      <w:r>
        <w:rPr>
          <w:w w:val="105"/>
          <w:sz w:val="11"/>
        </w:rPr>
        <w:t>ECRI”,</w:t>
      </w:r>
      <w:r>
        <w:rPr>
          <w:spacing w:val="-1"/>
          <w:w w:val="105"/>
          <w:sz w:val="11"/>
        </w:rPr>
        <w:t xml:space="preserve"> </w:t>
      </w:r>
      <w:r>
        <w:rPr>
          <w:w w:val="105"/>
          <w:sz w:val="11"/>
        </w:rPr>
        <w:t>párr.</w:t>
      </w:r>
      <w:r>
        <w:rPr>
          <w:spacing w:val="-1"/>
          <w:w w:val="105"/>
          <w:sz w:val="11"/>
        </w:rPr>
        <w:t xml:space="preserve"> </w:t>
      </w:r>
      <w:r>
        <w:rPr>
          <w:spacing w:val="-5"/>
          <w:w w:val="105"/>
          <w:sz w:val="11"/>
        </w:rPr>
        <w:t>11.</w:t>
      </w:r>
    </w:p>
    <w:p w14:paraId="389DDD51" w14:textId="77777777" w:rsidR="0014798C" w:rsidRDefault="004E1F0B">
      <w:pPr>
        <w:pStyle w:val="Prrafodelista"/>
        <w:numPr>
          <w:ilvl w:val="0"/>
          <w:numId w:val="32"/>
        </w:numPr>
        <w:tabs>
          <w:tab w:val="left" w:pos="1333"/>
        </w:tabs>
        <w:spacing w:before="110"/>
        <w:ind w:left="1333" w:hanging="225"/>
        <w:rPr>
          <w:sz w:val="11"/>
        </w:rPr>
      </w:pPr>
      <w:proofErr w:type="spellStart"/>
      <w:r>
        <w:rPr>
          <w:w w:val="105"/>
          <w:sz w:val="11"/>
        </w:rPr>
        <w:t>Ibíd</w:t>
      </w:r>
      <w:proofErr w:type="spellEnd"/>
      <w:r>
        <w:rPr>
          <w:w w:val="105"/>
          <w:sz w:val="11"/>
        </w:rPr>
        <w:t>.</w:t>
      </w:r>
      <w:r>
        <w:rPr>
          <w:spacing w:val="-1"/>
          <w:w w:val="105"/>
          <w:sz w:val="11"/>
        </w:rPr>
        <w:t xml:space="preserve"> </w:t>
      </w:r>
      <w:r>
        <w:rPr>
          <w:w w:val="105"/>
          <w:sz w:val="11"/>
        </w:rPr>
        <w:t>Ver</w:t>
      </w:r>
      <w:r>
        <w:rPr>
          <w:spacing w:val="-1"/>
          <w:w w:val="105"/>
          <w:sz w:val="11"/>
        </w:rPr>
        <w:t xml:space="preserve"> </w:t>
      </w:r>
      <w:r>
        <w:rPr>
          <w:w w:val="105"/>
          <w:sz w:val="11"/>
        </w:rPr>
        <w:t>más</w:t>
      </w:r>
      <w:r>
        <w:rPr>
          <w:spacing w:val="-1"/>
          <w:w w:val="105"/>
          <w:sz w:val="11"/>
        </w:rPr>
        <w:t xml:space="preserve"> </w:t>
      </w:r>
      <w:r>
        <w:rPr>
          <w:w w:val="105"/>
          <w:sz w:val="11"/>
        </w:rPr>
        <w:t>la</w:t>
      </w:r>
      <w:r>
        <w:rPr>
          <w:spacing w:val="-1"/>
          <w:w w:val="105"/>
          <w:sz w:val="11"/>
        </w:rPr>
        <w:t xml:space="preserve"> </w:t>
      </w:r>
      <w:r>
        <w:rPr>
          <w:w w:val="105"/>
          <w:sz w:val="11"/>
        </w:rPr>
        <w:t>sección IV.B</w:t>
      </w:r>
      <w:r>
        <w:rPr>
          <w:spacing w:val="-1"/>
          <w:w w:val="105"/>
          <w:sz w:val="11"/>
        </w:rPr>
        <w:t xml:space="preserve"> </w:t>
      </w:r>
      <w:r>
        <w:rPr>
          <w:w w:val="105"/>
          <w:sz w:val="11"/>
        </w:rPr>
        <w:t>de</w:t>
      </w:r>
      <w:r>
        <w:rPr>
          <w:spacing w:val="-1"/>
          <w:w w:val="105"/>
          <w:sz w:val="11"/>
        </w:rPr>
        <w:t xml:space="preserve"> </w:t>
      </w:r>
      <w:r>
        <w:rPr>
          <w:w w:val="105"/>
          <w:sz w:val="11"/>
        </w:rPr>
        <w:t>esta</w:t>
      </w:r>
      <w:r>
        <w:rPr>
          <w:spacing w:val="-1"/>
          <w:w w:val="105"/>
          <w:sz w:val="11"/>
        </w:rPr>
        <w:t xml:space="preserve"> </w:t>
      </w:r>
      <w:r>
        <w:rPr>
          <w:spacing w:val="-2"/>
          <w:w w:val="105"/>
          <w:sz w:val="11"/>
        </w:rPr>
        <w:t>parte.</w:t>
      </w:r>
    </w:p>
    <w:p w14:paraId="1B403303" w14:textId="77777777" w:rsidR="0014798C" w:rsidRDefault="004E1F0B">
      <w:pPr>
        <w:pStyle w:val="Prrafodelista"/>
        <w:numPr>
          <w:ilvl w:val="0"/>
          <w:numId w:val="32"/>
        </w:numPr>
        <w:tabs>
          <w:tab w:val="left" w:pos="1333"/>
        </w:tabs>
        <w:spacing w:before="110"/>
        <w:ind w:left="1333" w:hanging="225"/>
        <w:rPr>
          <w:sz w:val="11"/>
        </w:rPr>
      </w:pPr>
      <w:proofErr w:type="spellStart"/>
      <w:r>
        <w:rPr>
          <w:w w:val="105"/>
          <w:sz w:val="11"/>
        </w:rPr>
        <w:t>Ibíd</w:t>
      </w:r>
      <w:proofErr w:type="spellEnd"/>
      <w:r>
        <w:rPr>
          <w:w w:val="105"/>
          <w:sz w:val="11"/>
        </w:rPr>
        <w:t>.</w:t>
      </w:r>
      <w:r>
        <w:rPr>
          <w:spacing w:val="-2"/>
          <w:w w:val="105"/>
          <w:sz w:val="11"/>
        </w:rPr>
        <w:t xml:space="preserve"> </w:t>
      </w:r>
      <w:r>
        <w:rPr>
          <w:w w:val="105"/>
          <w:sz w:val="11"/>
        </w:rPr>
        <w:t>Véanse, en</w:t>
      </w:r>
      <w:r>
        <w:rPr>
          <w:spacing w:val="-1"/>
          <w:w w:val="105"/>
          <w:sz w:val="11"/>
        </w:rPr>
        <w:t xml:space="preserve"> </w:t>
      </w:r>
      <w:r>
        <w:rPr>
          <w:w w:val="105"/>
          <w:sz w:val="11"/>
        </w:rPr>
        <w:t>particular, las</w:t>
      </w:r>
      <w:r>
        <w:rPr>
          <w:spacing w:val="-1"/>
          <w:w w:val="105"/>
          <w:sz w:val="11"/>
        </w:rPr>
        <w:t xml:space="preserve"> </w:t>
      </w:r>
      <w:r>
        <w:rPr>
          <w:w w:val="105"/>
          <w:sz w:val="11"/>
        </w:rPr>
        <w:t>secciones</w:t>
      </w:r>
      <w:r>
        <w:rPr>
          <w:spacing w:val="-1"/>
          <w:w w:val="105"/>
          <w:sz w:val="11"/>
        </w:rPr>
        <w:t xml:space="preserve"> </w:t>
      </w:r>
      <w:r>
        <w:rPr>
          <w:w w:val="105"/>
          <w:sz w:val="11"/>
        </w:rPr>
        <w:t>IV.B.1</w:t>
      </w:r>
      <w:r>
        <w:rPr>
          <w:spacing w:val="-1"/>
          <w:w w:val="105"/>
          <w:sz w:val="11"/>
        </w:rPr>
        <w:t xml:space="preserve"> </w:t>
      </w:r>
      <w:r>
        <w:rPr>
          <w:w w:val="105"/>
          <w:sz w:val="11"/>
        </w:rPr>
        <w:t>y</w:t>
      </w:r>
      <w:r>
        <w:rPr>
          <w:spacing w:val="-1"/>
          <w:w w:val="105"/>
          <w:sz w:val="11"/>
        </w:rPr>
        <w:t xml:space="preserve"> </w:t>
      </w:r>
      <w:r>
        <w:rPr>
          <w:spacing w:val="-2"/>
          <w:w w:val="105"/>
          <w:sz w:val="11"/>
        </w:rPr>
        <w:t>IV.B.2.</w:t>
      </w:r>
    </w:p>
    <w:p w14:paraId="08F1B19E" w14:textId="77777777" w:rsidR="0014798C" w:rsidRDefault="004E1F0B">
      <w:pPr>
        <w:spacing w:before="56" w:line="60" w:lineRule="exact"/>
        <w:ind w:left="1108"/>
        <w:rPr>
          <w:sz w:val="8"/>
        </w:rPr>
      </w:pPr>
      <w:r>
        <w:rPr>
          <w:spacing w:val="-5"/>
          <w:w w:val="105"/>
          <w:sz w:val="8"/>
        </w:rPr>
        <w:t>786</w:t>
      </w:r>
    </w:p>
    <w:p w14:paraId="3B379E5D" w14:textId="77777777" w:rsidR="0014798C" w:rsidRDefault="004E1F0B">
      <w:pPr>
        <w:spacing w:line="110" w:lineRule="exact"/>
        <w:ind w:left="1370"/>
        <w:rPr>
          <w:sz w:val="10"/>
        </w:rPr>
      </w:pPr>
      <w:r>
        <w:rPr>
          <w:spacing w:val="-2"/>
          <w:sz w:val="10"/>
        </w:rPr>
        <w:t>Véase,</w:t>
      </w:r>
      <w:r>
        <w:rPr>
          <w:sz w:val="10"/>
        </w:rPr>
        <w:t xml:space="preserve"> </w:t>
      </w:r>
      <w:r>
        <w:rPr>
          <w:spacing w:val="-2"/>
          <w:sz w:val="10"/>
        </w:rPr>
        <w:t>en</w:t>
      </w:r>
      <w:r>
        <w:rPr>
          <w:spacing w:val="1"/>
          <w:sz w:val="10"/>
        </w:rPr>
        <w:t xml:space="preserve"> </w:t>
      </w:r>
      <w:r>
        <w:rPr>
          <w:spacing w:val="-2"/>
          <w:sz w:val="10"/>
        </w:rPr>
        <w:t>términos</w:t>
      </w:r>
      <w:r>
        <w:rPr>
          <w:spacing w:val="1"/>
          <w:sz w:val="10"/>
        </w:rPr>
        <w:t xml:space="preserve"> </w:t>
      </w:r>
      <w:r>
        <w:rPr>
          <w:spacing w:val="-2"/>
          <w:sz w:val="10"/>
        </w:rPr>
        <w:t>generales,</w:t>
      </w:r>
      <w:r>
        <w:rPr>
          <w:spacing w:val="1"/>
          <w:sz w:val="10"/>
        </w:rPr>
        <w:t xml:space="preserve"> </w:t>
      </w:r>
      <w:r>
        <w:rPr>
          <w:spacing w:val="-2"/>
          <w:sz w:val="10"/>
        </w:rPr>
        <w:t>la</w:t>
      </w:r>
      <w:r>
        <w:rPr>
          <w:spacing w:val="1"/>
          <w:sz w:val="10"/>
        </w:rPr>
        <w:t xml:space="preserve"> </w:t>
      </w:r>
      <w:r>
        <w:rPr>
          <w:spacing w:val="-2"/>
          <w:sz w:val="10"/>
        </w:rPr>
        <w:t>sección</w:t>
      </w:r>
      <w:r>
        <w:rPr>
          <w:spacing w:val="1"/>
          <w:sz w:val="10"/>
        </w:rPr>
        <w:t xml:space="preserve"> </w:t>
      </w:r>
      <w:r>
        <w:rPr>
          <w:spacing w:val="-2"/>
          <w:sz w:val="10"/>
        </w:rPr>
        <w:t>III.A</w:t>
      </w:r>
      <w:r>
        <w:rPr>
          <w:spacing w:val="1"/>
          <w:sz w:val="10"/>
        </w:rPr>
        <w:t xml:space="preserve"> </w:t>
      </w:r>
      <w:r>
        <w:rPr>
          <w:spacing w:val="-2"/>
          <w:sz w:val="10"/>
        </w:rPr>
        <w:t>de</w:t>
      </w:r>
      <w:r>
        <w:rPr>
          <w:sz w:val="10"/>
        </w:rPr>
        <w:t xml:space="preserve"> </w:t>
      </w:r>
      <w:r>
        <w:rPr>
          <w:spacing w:val="-2"/>
          <w:sz w:val="10"/>
        </w:rPr>
        <w:t>la</w:t>
      </w:r>
      <w:r>
        <w:rPr>
          <w:spacing w:val="1"/>
          <w:sz w:val="10"/>
        </w:rPr>
        <w:t xml:space="preserve"> </w:t>
      </w:r>
      <w:r>
        <w:rPr>
          <w:spacing w:val="-2"/>
          <w:sz w:val="10"/>
        </w:rPr>
        <w:t>segunda</w:t>
      </w:r>
      <w:r>
        <w:rPr>
          <w:spacing w:val="1"/>
          <w:sz w:val="10"/>
        </w:rPr>
        <w:t xml:space="preserve"> </w:t>
      </w:r>
      <w:r>
        <w:rPr>
          <w:spacing w:val="-2"/>
          <w:sz w:val="10"/>
        </w:rPr>
        <w:t>parte</w:t>
      </w:r>
      <w:r>
        <w:rPr>
          <w:sz w:val="10"/>
        </w:rPr>
        <w:t xml:space="preserve"> </w:t>
      </w:r>
      <w:r>
        <w:rPr>
          <w:spacing w:val="-2"/>
          <w:sz w:val="10"/>
        </w:rPr>
        <w:t>de</w:t>
      </w:r>
      <w:r>
        <w:rPr>
          <w:spacing w:val="1"/>
          <w:sz w:val="10"/>
        </w:rPr>
        <w:t xml:space="preserve"> </w:t>
      </w:r>
      <w:r>
        <w:rPr>
          <w:spacing w:val="-2"/>
          <w:sz w:val="10"/>
        </w:rPr>
        <w:t>la</w:t>
      </w:r>
      <w:r>
        <w:rPr>
          <w:spacing w:val="1"/>
          <w:sz w:val="10"/>
        </w:rPr>
        <w:t xml:space="preserve"> </w:t>
      </w:r>
      <w:r>
        <w:rPr>
          <w:spacing w:val="-2"/>
          <w:sz w:val="10"/>
        </w:rPr>
        <w:t>presente</w:t>
      </w:r>
      <w:r>
        <w:rPr>
          <w:spacing w:val="1"/>
          <w:sz w:val="10"/>
        </w:rPr>
        <w:t xml:space="preserve"> </w:t>
      </w:r>
      <w:r>
        <w:rPr>
          <w:spacing w:val="-2"/>
          <w:sz w:val="10"/>
        </w:rPr>
        <w:t>guía.</w:t>
      </w:r>
    </w:p>
    <w:p w14:paraId="5FC336D1" w14:textId="77777777" w:rsidR="0014798C" w:rsidRDefault="0014798C">
      <w:pPr>
        <w:pStyle w:val="Textoindependiente"/>
        <w:spacing w:before="6"/>
        <w:rPr>
          <w:sz w:val="10"/>
        </w:rPr>
      </w:pPr>
    </w:p>
    <w:p w14:paraId="5F1AD261" w14:textId="77777777" w:rsidR="0014798C" w:rsidRDefault="004E1F0B">
      <w:pPr>
        <w:spacing w:line="340" w:lineRule="auto"/>
        <w:ind w:left="1368" w:right="2004" w:hanging="260"/>
        <w:rPr>
          <w:sz w:val="11"/>
        </w:rPr>
      </w:pPr>
      <w:r>
        <w:rPr>
          <w:w w:val="105"/>
          <w:sz w:val="11"/>
        </w:rPr>
        <w:t>787 De hecho, el Comité de Derechos Económicos, Sociales y Culturales ha señalado que “hay algunas obligaciones, como (pero no limitadas a) las relativas a la no</w:t>
      </w:r>
      <w:r>
        <w:rPr>
          <w:spacing w:val="40"/>
          <w:w w:val="105"/>
          <w:sz w:val="11"/>
        </w:rPr>
        <w:t xml:space="preserve"> </w:t>
      </w:r>
      <w:r>
        <w:rPr>
          <w:w w:val="105"/>
          <w:sz w:val="11"/>
        </w:rPr>
        <w:t>discriminación,</w:t>
      </w:r>
      <w:r>
        <w:rPr>
          <w:spacing w:val="7"/>
          <w:w w:val="105"/>
          <w:sz w:val="11"/>
        </w:rPr>
        <w:t xml:space="preserve"> </w:t>
      </w:r>
      <w:r>
        <w:rPr>
          <w:w w:val="105"/>
          <w:sz w:val="11"/>
        </w:rPr>
        <w:t>en</w:t>
      </w:r>
      <w:r>
        <w:rPr>
          <w:spacing w:val="5"/>
          <w:w w:val="105"/>
          <w:sz w:val="11"/>
        </w:rPr>
        <w:t xml:space="preserve"> </w:t>
      </w:r>
      <w:r>
        <w:rPr>
          <w:w w:val="105"/>
          <w:sz w:val="11"/>
        </w:rPr>
        <w:t>relación</w:t>
      </w:r>
      <w:r>
        <w:rPr>
          <w:spacing w:val="5"/>
          <w:w w:val="105"/>
          <w:sz w:val="11"/>
        </w:rPr>
        <w:t xml:space="preserve"> </w:t>
      </w:r>
      <w:r>
        <w:rPr>
          <w:w w:val="105"/>
          <w:sz w:val="11"/>
        </w:rPr>
        <w:t>con</w:t>
      </w:r>
      <w:r>
        <w:rPr>
          <w:spacing w:val="5"/>
          <w:w w:val="105"/>
          <w:sz w:val="11"/>
        </w:rPr>
        <w:t xml:space="preserve"> </w:t>
      </w:r>
      <w:r>
        <w:rPr>
          <w:w w:val="105"/>
          <w:sz w:val="11"/>
        </w:rPr>
        <w:t>las</w:t>
      </w:r>
      <w:r>
        <w:rPr>
          <w:spacing w:val="5"/>
          <w:w w:val="105"/>
          <w:sz w:val="11"/>
        </w:rPr>
        <w:t xml:space="preserve"> </w:t>
      </w:r>
      <w:r>
        <w:rPr>
          <w:w w:val="105"/>
          <w:sz w:val="11"/>
        </w:rPr>
        <w:t>cuales</w:t>
      </w:r>
      <w:r>
        <w:rPr>
          <w:spacing w:val="5"/>
          <w:w w:val="105"/>
          <w:sz w:val="11"/>
        </w:rPr>
        <w:t xml:space="preserve"> </w:t>
      </w:r>
      <w:r>
        <w:rPr>
          <w:w w:val="105"/>
          <w:sz w:val="11"/>
        </w:rPr>
        <w:t>la</w:t>
      </w:r>
      <w:r>
        <w:rPr>
          <w:spacing w:val="5"/>
          <w:w w:val="105"/>
          <w:sz w:val="11"/>
        </w:rPr>
        <w:t xml:space="preserve"> </w:t>
      </w:r>
      <w:r>
        <w:rPr>
          <w:w w:val="105"/>
          <w:sz w:val="11"/>
        </w:rPr>
        <w:t>provisión</w:t>
      </w:r>
      <w:r>
        <w:rPr>
          <w:spacing w:val="5"/>
          <w:w w:val="105"/>
          <w:sz w:val="11"/>
        </w:rPr>
        <w:t xml:space="preserve"> </w:t>
      </w:r>
      <w:r>
        <w:rPr>
          <w:w w:val="105"/>
          <w:sz w:val="11"/>
        </w:rPr>
        <w:t>de</w:t>
      </w:r>
      <w:r>
        <w:rPr>
          <w:spacing w:val="5"/>
          <w:w w:val="105"/>
          <w:sz w:val="11"/>
        </w:rPr>
        <w:t xml:space="preserve"> </w:t>
      </w:r>
      <w:r>
        <w:rPr>
          <w:w w:val="105"/>
          <w:sz w:val="11"/>
        </w:rPr>
        <w:t>algún</w:t>
      </w:r>
      <w:r>
        <w:rPr>
          <w:spacing w:val="5"/>
          <w:w w:val="105"/>
          <w:sz w:val="11"/>
        </w:rPr>
        <w:t xml:space="preserve"> </w:t>
      </w:r>
      <w:r>
        <w:rPr>
          <w:w w:val="105"/>
          <w:sz w:val="11"/>
        </w:rPr>
        <w:t>tipo</w:t>
      </w:r>
      <w:r>
        <w:rPr>
          <w:spacing w:val="5"/>
          <w:w w:val="105"/>
          <w:sz w:val="11"/>
        </w:rPr>
        <w:t xml:space="preserve"> </w:t>
      </w:r>
      <w:r>
        <w:rPr>
          <w:w w:val="105"/>
          <w:sz w:val="11"/>
        </w:rPr>
        <w:t>de</w:t>
      </w:r>
      <w:r>
        <w:rPr>
          <w:spacing w:val="5"/>
          <w:w w:val="105"/>
          <w:sz w:val="11"/>
        </w:rPr>
        <w:t xml:space="preserve"> </w:t>
      </w:r>
      <w:r>
        <w:rPr>
          <w:w w:val="105"/>
          <w:sz w:val="11"/>
        </w:rPr>
        <w:t>recurso</w:t>
      </w:r>
      <w:r>
        <w:rPr>
          <w:spacing w:val="5"/>
          <w:w w:val="105"/>
          <w:sz w:val="11"/>
        </w:rPr>
        <w:t xml:space="preserve"> </w:t>
      </w:r>
      <w:r>
        <w:rPr>
          <w:w w:val="105"/>
          <w:sz w:val="11"/>
        </w:rPr>
        <w:t>judicial</w:t>
      </w:r>
      <w:r>
        <w:rPr>
          <w:spacing w:val="5"/>
          <w:w w:val="105"/>
          <w:sz w:val="11"/>
        </w:rPr>
        <w:t xml:space="preserve"> </w:t>
      </w:r>
      <w:r>
        <w:rPr>
          <w:w w:val="105"/>
          <w:sz w:val="11"/>
        </w:rPr>
        <w:t>sería</w:t>
      </w:r>
      <w:r>
        <w:rPr>
          <w:spacing w:val="5"/>
          <w:w w:val="105"/>
          <w:sz w:val="11"/>
        </w:rPr>
        <w:t xml:space="preserve"> </w:t>
      </w:r>
      <w:r>
        <w:rPr>
          <w:w w:val="105"/>
          <w:sz w:val="11"/>
        </w:rPr>
        <w:t>parecen</w:t>
      </w:r>
      <w:r>
        <w:rPr>
          <w:spacing w:val="5"/>
          <w:w w:val="105"/>
          <w:sz w:val="11"/>
        </w:rPr>
        <w:t xml:space="preserve"> </w:t>
      </w:r>
      <w:r>
        <w:rPr>
          <w:w w:val="105"/>
          <w:sz w:val="11"/>
        </w:rPr>
        <w:t>indispensables</w:t>
      </w:r>
      <w:r>
        <w:rPr>
          <w:spacing w:val="5"/>
          <w:w w:val="105"/>
          <w:sz w:val="11"/>
        </w:rPr>
        <w:t xml:space="preserve"> </w:t>
      </w:r>
      <w:r>
        <w:rPr>
          <w:w w:val="105"/>
          <w:sz w:val="11"/>
        </w:rPr>
        <w:t>para</w:t>
      </w:r>
      <w:r>
        <w:rPr>
          <w:spacing w:val="5"/>
          <w:w w:val="105"/>
          <w:sz w:val="11"/>
        </w:rPr>
        <w:t xml:space="preserve"> </w:t>
      </w:r>
      <w:r>
        <w:rPr>
          <w:w w:val="105"/>
          <w:sz w:val="11"/>
        </w:rPr>
        <w:t>satisfacer</w:t>
      </w:r>
      <w:r>
        <w:rPr>
          <w:spacing w:val="5"/>
          <w:w w:val="105"/>
          <w:sz w:val="11"/>
        </w:rPr>
        <w:t xml:space="preserve"> </w:t>
      </w:r>
      <w:r>
        <w:rPr>
          <w:w w:val="105"/>
          <w:sz w:val="11"/>
        </w:rPr>
        <w:t>los</w:t>
      </w:r>
      <w:r>
        <w:rPr>
          <w:spacing w:val="5"/>
          <w:w w:val="105"/>
          <w:sz w:val="11"/>
        </w:rPr>
        <w:t xml:space="preserve"> </w:t>
      </w:r>
      <w:r>
        <w:rPr>
          <w:w w:val="105"/>
          <w:sz w:val="11"/>
        </w:rPr>
        <w:t>requisitos</w:t>
      </w:r>
      <w:r>
        <w:rPr>
          <w:spacing w:val="5"/>
          <w:w w:val="105"/>
          <w:sz w:val="11"/>
        </w:rPr>
        <w:t xml:space="preserve"> </w:t>
      </w:r>
      <w:r>
        <w:rPr>
          <w:w w:val="105"/>
          <w:sz w:val="11"/>
        </w:rPr>
        <w:t>del</w:t>
      </w:r>
      <w:r>
        <w:rPr>
          <w:spacing w:val="5"/>
          <w:w w:val="105"/>
          <w:sz w:val="11"/>
        </w:rPr>
        <w:t xml:space="preserve"> </w:t>
      </w:r>
      <w:r>
        <w:rPr>
          <w:w w:val="105"/>
          <w:sz w:val="11"/>
        </w:rPr>
        <w:t>Pacto”</w:t>
      </w:r>
      <w:r>
        <w:rPr>
          <w:spacing w:val="40"/>
          <w:w w:val="105"/>
          <w:sz w:val="11"/>
        </w:rPr>
        <w:t xml:space="preserve"> </w:t>
      </w:r>
      <w:r>
        <w:rPr>
          <w:w w:val="105"/>
          <w:sz w:val="11"/>
        </w:rPr>
        <w:t>(nota a pie de página omitida). Véase Comité de Derechos Económicos, Sociales y Culturales, observación general núm. 9 (1998), párr. 9.</w:t>
      </w:r>
    </w:p>
    <w:p w14:paraId="2305C701" w14:textId="77777777" w:rsidR="0014798C" w:rsidRDefault="0014798C">
      <w:pPr>
        <w:pStyle w:val="Textoindependiente"/>
        <w:spacing w:before="110"/>
        <w:rPr>
          <w:sz w:val="11"/>
        </w:rPr>
      </w:pPr>
    </w:p>
    <w:p w14:paraId="2FB03D31" w14:textId="77777777" w:rsidR="0014798C" w:rsidRDefault="004E1F0B">
      <w:pPr>
        <w:ind w:left="1108"/>
        <w:rPr>
          <w:sz w:val="11"/>
        </w:rPr>
      </w:pPr>
      <w:r>
        <w:rPr>
          <w:w w:val="105"/>
          <w:sz w:val="11"/>
        </w:rPr>
        <w:t>788</w:t>
      </w:r>
      <w:r>
        <w:rPr>
          <w:spacing w:val="-2"/>
          <w:w w:val="105"/>
          <w:sz w:val="11"/>
        </w:rPr>
        <w:t xml:space="preserve"> </w:t>
      </w:r>
      <w:r>
        <w:rPr>
          <w:w w:val="105"/>
          <w:sz w:val="11"/>
        </w:rPr>
        <w:t>Consejo</w:t>
      </w:r>
      <w:r>
        <w:rPr>
          <w:spacing w:val="-2"/>
          <w:w w:val="105"/>
          <w:sz w:val="11"/>
        </w:rPr>
        <w:t xml:space="preserve"> </w:t>
      </w:r>
      <w:r>
        <w:rPr>
          <w:w w:val="105"/>
          <w:sz w:val="11"/>
        </w:rPr>
        <w:t>de</w:t>
      </w:r>
      <w:r>
        <w:rPr>
          <w:spacing w:val="-2"/>
          <w:w w:val="105"/>
          <w:sz w:val="11"/>
        </w:rPr>
        <w:t xml:space="preserve"> </w:t>
      </w:r>
      <w:r>
        <w:rPr>
          <w:w w:val="105"/>
          <w:sz w:val="11"/>
        </w:rPr>
        <w:t>Europa,</w:t>
      </w:r>
      <w:r>
        <w:rPr>
          <w:spacing w:val="-1"/>
          <w:w w:val="105"/>
          <w:sz w:val="11"/>
        </w:rPr>
        <w:t xml:space="preserve"> </w:t>
      </w:r>
      <w:r>
        <w:rPr>
          <w:w w:val="105"/>
          <w:sz w:val="11"/>
        </w:rPr>
        <w:t>Comisión</w:t>
      </w:r>
      <w:r>
        <w:rPr>
          <w:spacing w:val="-2"/>
          <w:w w:val="105"/>
          <w:sz w:val="11"/>
        </w:rPr>
        <w:t xml:space="preserve"> </w:t>
      </w:r>
      <w:r>
        <w:rPr>
          <w:w w:val="105"/>
          <w:sz w:val="11"/>
        </w:rPr>
        <w:t>Europea</w:t>
      </w:r>
      <w:r>
        <w:rPr>
          <w:spacing w:val="-2"/>
          <w:w w:val="105"/>
          <w:sz w:val="11"/>
        </w:rPr>
        <w:t xml:space="preserve"> </w:t>
      </w:r>
      <w:r>
        <w:rPr>
          <w:w w:val="105"/>
          <w:sz w:val="11"/>
        </w:rPr>
        <w:t>contra</w:t>
      </w:r>
      <w:r>
        <w:rPr>
          <w:spacing w:val="-2"/>
          <w:w w:val="105"/>
          <w:sz w:val="11"/>
        </w:rPr>
        <w:t xml:space="preserve"> </w:t>
      </w:r>
      <w:r>
        <w:rPr>
          <w:w w:val="105"/>
          <w:sz w:val="11"/>
        </w:rPr>
        <w:t>el</w:t>
      </w:r>
      <w:r>
        <w:rPr>
          <w:spacing w:val="-2"/>
          <w:w w:val="105"/>
          <w:sz w:val="11"/>
        </w:rPr>
        <w:t xml:space="preserve"> </w:t>
      </w:r>
      <w:r>
        <w:rPr>
          <w:w w:val="105"/>
          <w:sz w:val="11"/>
        </w:rPr>
        <w:t>Racismo</w:t>
      </w:r>
      <w:r>
        <w:rPr>
          <w:spacing w:val="-2"/>
          <w:w w:val="105"/>
          <w:sz w:val="11"/>
        </w:rPr>
        <w:t xml:space="preserve"> </w:t>
      </w:r>
      <w:r>
        <w:rPr>
          <w:w w:val="105"/>
          <w:sz w:val="11"/>
        </w:rPr>
        <w:t>y</w:t>
      </w:r>
      <w:r>
        <w:rPr>
          <w:spacing w:val="-2"/>
          <w:w w:val="105"/>
          <w:sz w:val="11"/>
        </w:rPr>
        <w:t xml:space="preserve"> </w:t>
      </w:r>
      <w:r>
        <w:rPr>
          <w:w w:val="105"/>
          <w:sz w:val="11"/>
        </w:rPr>
        <w:t>la</w:t>
      </w:r>
      <w:r>
        <w:rPr>
          <w:spacing w:val="-2"/>
          <w:w w:val="105"/>
          <w:sz w:val="11"/>
        </w:rPr>
        <w:t xml:space="preserve"> </w:t>
      </w:r>
      <w:r>
        <w:rPr>
          <w:w w:val="105"/>
          <w:sz w:val="11"/>
        </w:rPr>
        <w:t>Intolerancia,</w:t>
      </w:r>
      <w:r>
        <w:rPr>
          <w:spacing w:val="-1"/>
          <w:w w:val="105"/>
          <w:sz w:val="11"/>
        </w:rPr>
        <w:t xml:space="preserve"> </w:t>
      </w:r>
      <w:r>
        <w:rPr>
          <w:w w:val="105"/>
          <w:sz w:val="11"/>
        </w:rPr>
        <w:t>“Recomendación</w:t>
      </w:r>
      <w:r>
        <w:rPr>
          <w:spacing w:val="-2"/>
          <w:w w:val="105"/>
          <w:sz w:val="11"/>
        </w:rPr>
        <w:t xml:space="preserve"> </w:t>
      </w:r>
      <w:r>
        <w:rPr>
          <w:w w:val="105"/>
          <w:sz w:val="11"/>
        </w:rPr>
        <w:t>de</w:t>
      </w:r>
      <w:r>
        <w:rPr>
          <w:spacing w:val="-2"/>
          <w:w w:val="105"/>
          <w:sz w:val="11"/>
        </w:rPr>
        <w:t xml:space="preserve"> </w:t>
      </w:r>
      <w:r>
        <w:rPr>
          <w:w w:val="105"/>
          <w:sz w:val="11"/>
        </w:rPr>
        <w:t>política</w:t>
      </w:r>
      <w:r>
        <w:rPr>
          <w:spacing w:val="-2"/>
          <w:w w:val="105"/>
          <w:sz w:val="11"/>
        </w:rPr>
        <w:t xml:space="preserve"> </w:t>
      </w:r>
      <w:r>
        <w:rPr>
          <w:w w:val="105"/>
          <w:sz w:val="11"/>
        </w:rPr>
        <w:t>general</w:t>
      </w:r>
      <w:r>
        <w:rPr>
          <w:spacing w:val="-1"/>
          <w:w w:val="105"/>
          <w:sz w:val="11"/>
        </w:rPr>
        <w:t xml:space="preserve"> </w:t>
      </w:r>
      <w:r>
        <w:rPr>
          <w:w w:val="105"/>
          <w:sz w:val="11"/>
        </w:rPr>
        <w:t>No.</w:t>
      </w:r>
      <w:r>
        <w:rPr>
          <w:spacing w:val="-2"/>
          <w:w w:val="105"/>
          <w:sz w:val="11"/>
        </w:rPr>
        <w:t xml:space="preserve"> </w:t>
      </w:r>
      <w:r>
        <w:rPr>
          <w:w w:val="105"/>
          <w:sz w:val="11"/>
        </w:rPr>
        <w:t>2</w:t>
      </w:r>
      <w:r>
        <w:rPr>
          <w:spacing w:val="-2"/>
          <w:w w:val="105"/>
          <w:sz w:val="11"/>
        </w:rPr>
        <w:t xml:space="preserve"> </w:t>
      </w:r>
      <w:r>
        <w:rPr>
          <w:w w:val="105"/>
          <w:sz w:val="11"/>
        </w:rPr>
        <w:t>de</w:t>
      </w:r>
      <w:r>
        <w:rPr>
          <w:spacing w:val="-2"/>
          <w:w w:val="105"/>
          <w:sz w:val="11"/>
        </w:rPr>
        <w:t xml:space="preserve"> </w:t>
      </w:r>
      <w:r>
        <w:rPr>
          <w:w w:val="105"/>
          <w:sz w:val="11"/>
        </w:rPr>
        <w:t>la</w:t>
      </w:r>
      <w:r>
        <w:rPr>
          <w:spacing w:val="-2"/>
          <w:w w:val="105"/>
          <w:sz w:val="11"/>
        </w:rPr>
        <w:t xml:space="preserve"> </w:t>
      </w:r>
      <w:r>
        <w:rPr>
          <w:w w:val="105"/>
          <w:sz w:val="11"/>
        </w:rPr>
        <w:t>ECRI”,</w:t>
      </w:r>
      <w:r>
        <w:rPr>
          <w:spacing w:val="-1"/>
          <w:w w:val="105"/>
          <w:sz w:val="11"/>
        </w:rPr>
        <w:t xml:space="preserve"> </w:t>
      </w:r>
      <w:r>
        <w:rPr>
          <w:w w:val="105"/>
          <w:sz w:val="11"/>
        </w:rPr>
        <w:t>párr.</w:t>
      </w:r>
      <w:r>
        <w:rPr>
          <w:spacing w:val="-1"/>
          <w:w w:val="105"/>
          <w:sz w:val="11"/>
        </w:rPr>
        <w:t xml:space="preserve"> </w:t>
      </w:r>
      <w:r>
        <w:rPr>
          <w:spacing w:val="-5"/>
          <w:w w:val="105"/>
          <w:sz w:val="11"/>
        </w:rPr>
        <w:t>36.</w:t>
      </w:r>
    </w:p>
    <w:p w14:paraId="172853C0" w14:textId="77777777" w:rsidR="0014798C" w:rsidRDefault="0014798C">
      <w:pPr>
        <w:pStyle w:val="Textoindependiente"/>
      </w:pPr>
    </w:p>
    <w:p w14:paraId="0121A327" w14:textId="77777777" w:rsidR="0014798C" w:rsidRDefault="0014798C">
      <w:pPr>
        <w:pStyle w:val="Textoindependiente"/>
      </w:pPr>
    </w:p>
    <w:p w14:paraId="027CBDB4" w14:textId="77777777" w:rsidR="0014798C" w:rsidRDefault="0014798C">
      <w:pPr>
        <w:pStyle w:val="Textoindependiente"/>
        <w:spacing w:before="110"/>
      </w:pPr>
    </w:p>
    <w:p w14:paraId="06864E27" w14:textId="77777777" w:rsidR="0014798C" w:rsidRDefault="004E1F0B">
      <w:pPr>
        <w:pStyle w:val="Textoindependiente"/>
        <w:ind w:left="502"/>
      </w:pPr>
      <w:r>
        <w:rPr>
          <w:spacing w:val="-5"/>
        </w:rPr>
        <w:t>112</w:t>
      </w:r>
    </w:p>
    <w:p w14:paraId="6970F023" w14:textId="77777777" w:rsidR="0014798C" w:rsidRDefault="0014798C">
      <w:pPr>
        <w:sectPr w:rsidR="0014798C" w:rsidSect="00F265E4">
          <w:pgSz w:w="11900" w:h="16820"/>
          <w:pgMar w:top="340" w:right="0" w:bottom="280" w:left="200" w:header="121" w:footer="0" w:gutter="0"/>
          <w:cols w:space="720"/>
        </w:sectPr>
      </w:pPr>
    </w:p>
    <w:p w14:paraId="2CB96899" w14:textId="77777777" w:rsidR="0014798C" w:rsidRDefault="0014798C">
      <w:pPr>
        <w:pStyle w:val="Textoindependiente"/>
        <w:spacing w:before="51"/>
        <w:rPr>
          <w:sz w:val="14"/>
        </w:rPr>
      </w:pPr>
    </w:p>
    <w:p w14:paraId="5FEE75F2" w14:textId="77777777" w:rsidR="0014798C" w:rsidRDefault="004E1F0B">
      <w:pPr>
        <w:ind w:left="1111"/>
        <w:rPr>
          <w:sz w:val="14"/>
        </w:rPr>
      </w:pPr>
      <w:r>
        <w:rPr>
          <w:color w:val="00AC59"/>
          <w:sz w:val="14"/>
        </w:rPr>
        <w:t>SEGUNDA</w:t>
      </w:r>
      <w:r>
        <w:rPr>
          <w:color w:val="00AC59"/>
          <w:spacing w:val="-5"/>
          <w:sz w:val="14"/>
        </w:rPr>
        <w:t xml:space="preserve"> </w:t>
      </w:r>
      <w:r>
        <w:rPr>
          <w:color w:val="00AC59"/>
          <w:sz w:val="14"/>
        </w:rPr>
        <w:t>PARTE:</w:t>
      </w:r>
      <w:r>
        <w:rPr>
          <w:color w:val="00AC59"/>
          <w:spacing w:val="-5"/>
          <w:sz w:val="14"/>
        </w:rPr>
        <w:t xml:space="preserve"> </w:t>
      </w:r>
      <w:r>
        <w:rPr>
          <w:color w:val="00AC59"/>
          <w:sz w:val="14"/>
        </w:rPr>
        <w:t>CONTENIDO</w:t>
      </w:r>
      <w:r>
        <w:rPr>
          <w:color w:val="00AC59"/>
          <w:spacing w:val="-4"/>
          <w:sz w:val="14"/>
        </w:rPr>
        <w:t xml:space="preserve"> </w:t>
      </w:r>
      <w:r>
        <w:rPr>
          <w:color w:val="00AC59"/>
          <w:sz w:val="14"/>
        </w:rPr>
        <w:t>DE</w:t>
      </w:r>
      <w:r>
        <w:rPr>
          <w:color w:val="00AC59"/>
          <w:spacing w:val="-5"/>
          <w:sz w:val="14"/>
        </w:rPr>
        <w:t xml:space="preserve"> </w:t>
      </w:r>
      <w:r>
        <w:rPr>
          <w:color w:val="00AC59"/>
          <w:sz w:val="14"/>
        </w:rPr>
        <w:t>LA</w:t>
      </w:r>
      <w:r>
        <w:rPr>
          <w:color w:val="00AC59"/>
          <w:spacing w:val="-4"/>
          <w:sz w:val="14"/>
        </w:rPr>
        <w:t xml:space="preserve"> </w:t>
      </w:r>
      <w:r>
        <w:rPr>
          <w:color w:val="00AC59"/>
          <w:sz w:val="14"/>
        </w:rPr>
        <w:t>LEY</w:t>
      </w:r>
      <w:r>
        <w:rPr>
          <w:color w:val="00AC59"/>
          <w:spacing w:val="-4"/>
          <w:sz w:val="14"/>
        </w:rPr>
        <w:t xml:space="preserve"> </w:t>
      </w:r>
      <w:r>
        <w:rPr>
          <w:color w:val="00AC59"/>
          <w:sz w:val="14"/>
        </w:rPr>
        <w:t>INTEGRAL</w:t>
      </w:r>
      <w:r>
        <w:rPr>
          <w:color w:val="00AC59"/>
          <w:spacing w:val="-5"/>
          <w:sz w:val="14"/>
        </w:rPr>
        <w:t xml:space="preserve"> </w:t>
      </w:r>
      <w:r>
        <w:rPr>
          <w:color w:val="00AC59"/>
          <w:spacing w:val="-2"/>
          <w:sz w:val="14"/>
        </w:rPr>
        <w:t>ANTIDISCRIMINACIÓN</w:t>
      </w:r>
    </w:p>
    <w:p w14:paraId="5A2F9FE0" w14:textId="77777777" w:rsidR="0014798C" w:rsidRDefault="0014798C">
      <w:pPr>
        <w:pStyle w:val="Textoindependiente"/>
        <w:rPr>
          <w:sz w:val="15"/>
        </w:rPr>
      </w:pPr>
    </w:p>
    <w:p w14:paraId="701541D8" w14:textId="77777777" w:rsidR="0014798C" w:rsidRDefault="0014798C">
      <w:pPr>
        <w:pStyle w:val="Textoindependiente"/>
        <w:rPr>
          <w:sz w:val="15"/>
        </w:rPr>
      </w:pPr>
    </w:p>
    <w:p w14:paraId="7A8BE3C4" w14:textId="77777777" w:rsidR="0014798C" w:rsidRDefault="0014798C">
      <w:pPr>
        <w:pStyle w:val="Textoindependiente"/>
        <w:rPr>
          <w:sz w:val="15"/>
        </w:rPr>
      </w:pPr>
    </w:p>
    <w:p w14:paraId="63ADD069" w14:textId="77777777" w:rsidR="0014798C" w:rsidRDefault="0014798C">
      <w:pPr>
        <w:pStyle w:val="Textoindependiente"/>
        <w:rPr>
          <w:sz w:val="15"/>
        </w:rPr>
      </w:pPr>
    </w:p>
    <w:p w14:paraId="1E212FE0" w14:textId="77777777" w:rsidR="0014798C" w:rsidRDefault="0014798C">
      <w:pPr>
        <w:pStyle w:val="Textoindependiente"/>
        <w:spacing w:before="129"/>
        <w:rPr>
          <w:sz w:val="15"/>
        </w:rPr>
      </w:pPr>
    </w:p>
    <w:p w14:paraId="7A367525" w14:textId="77777777" w:rsidR="0014798C" w:rsidRDefault="004E1F0B">
      <w:pPr>
        <w:ind w:left="1333"/>
        <w:rPr>
          <w:sz w:val="15"/>
        </w:rPr>
      </w:pPr>
      <w:r>
        <w:rPr>
          <w:noProof/>
        </w:rPr>
        <w:drawing>
          <wp:anchor distT="0" distB="0" distL="0" distR="0" simplePos="0" relativeHeight="251658446" behindDoc="1" locked="0" layoutInCell="1" allowOverlap="1" wp14:anchorId="785B9805" wp14:editId="6CE3F971">
            <wp:simplePos x="0" y="0"/>
            <wp:positionH relativeFrom="page">
              <wp:posOffset>813154</wp:posOffset>
            </wp:positionH>
            <wp:positionV relativeFrom="paragraph">
              <wp:posOffset>-163627</wp:posOffset>
            </wp:positionV>
            <wp:extent cx="6743345" cy="7445485"/>
            <wp:effectExtent l="0" t="0" r="0" b="0"/>
            <wp:wrapNone/>
            <wp:docPr id="240" name="Image 24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40" name="Image 240"/>
                    <pic:cNvPicPr/>
                  </pic:nvPicPr>
                  <pic:blipFill>
                    <a:blip r:embed="rId217" cstate="print"/>
                    <a:stretch>
                      <a:fillRect/>
                    </a:stretch>
                  </pic:blipFill>
                  <pic:spPr>
                    <a:xfrm>
                      <a:off x="0" y="0"/>
                      <a:ext cx="6743345" cy="7445485"/>
                    </a:xfrm>
                    <a:prstGeom prst="rect">
                      <a:avLst/>
                    </a:prstGeom>
                  </pic:spPr>
                </pic:pic>
              </a:graphicData>
            </a:graphic>
          </wp:anchor>
        </w:drawing>
      </w:r>
      <w:r>
        <w:rPr>
          <w:sz w:val="15"/>
        </w:rPr>
        <w:t>SEGUIMIENTO</w:t>
      </w:r>
      <w:r>
        <w:rPr>
          <w:spacing w:val="13"/>
          <w:sz w:val="15"/>
        </w:rPr>
        <w:t xml:space="preserve"> </w:t>
      </w:r>
      <w:r>
        <w:rPr>
          <w:sz w:val="15"/>
        </w:rPr>
        <w:t>Y</w:t>
      </w:r>
      <w:r>
        <w:rPr>
          <w:spacing w:val="14"/>
          <w:sz w:val="15"/>
        </w:rPr>
        <w:t xml:space="preserve"> </w:t>
      </w:r>
      <w:r>
        <w:rPr>
          <w:sz w:val="15"/>
        </w:rPr>
        <w:t>SUPERVISIÓN:</w:t>
      </w:r>
      <w:r>
        <w:rPr>
          <w:spacing w:val="14"/>
          <w:sz w:val="15"/>
        </w:rPr>
        <w:t xml:space="preserve"> </w:t>
      </w:r>
      <w:r>
        <w:rPr>
          <w:sz w:val="15"/>
        </w:rPr>
        <w:t>EJEMPLOS</w:t>
      </w:r>
      <w:r>
        <w:rPr>
          <w:spacing w:val="14"/>
          <w:sz w:val="15"/>
        </w:rPr>
        <w:t xml:space="preserve"> </w:t>
      </w:r>
      <w:r>
        <w:rPr>
          <w:sz w:val="15"/>
        </w:rPr>
        <w:t>DE</w:t>
      </w:r>
      <w:r>
        <w:rPr>
          <w:spacing w:val="13"/>
          <w:sz w:val="15"/>
        </w:rPr>
        <w:t xml:space="preserve"> </w:t>
      </w:r>
      <w:r>
        <w:rPr>
          <w:sz w:val="15"/>
        </w:rPr>
        <w:t>DINAMARCA</w:t>
      </w:r>
      <w:r>
        <w:rPr>
          <w:spacing w:val="16"/>
          <w:sz w:val="15"/>
        </w:rPr>
        <w:t xml:space="preserve"> </w:t>
      </w:r>
      <w:r>
        <w:rPr>
          <w:sz w:val="15"/>
        </w:rPr>
        <w:t>Y</w:t>
      </w:r>
      <w:r>
        <w:rPr>
          <w:spacing w:val="13"/>
          <w:sz w:val="15"/>
        </w:rPr>
        <w:t xml:space="preserve"> </w:t>
      </w:r>
      <w:r>
        <w:rPr>
          <w:spacing w:val="-2"/>
          <w:sz w:val="15"/>
        </w:rPr>
        <w:t>TAILANDIA</w:t>
      </w:r>
    </w:p>
    <w:p w14:paraId="1639054E" w14:textId="77777777" w:rsidR="0014798C" w:rsidRDefault="0014798C">
      <w:pPr>
        <w:pStyle w:val="Textoindependiente"/>
        <w:spacing w:before="58"/>
        <w:rPr>
          <w:sz w:val="15"/>
        </w:rPr>
      </w:pPr>
    </w:p>
    <w:p w14:paraId="248D345D" w14:textId="77777777" w:rsidR="0014798C" w:rsidRDefault="004E1F0B">
      <w:pPr>
        <w:spacing w:line="348" w:lineRule="auto"/>
        <w:ind w:left="1334" w:right="1499" w:hanging="2"/>
        <w:rPr>
          <w:sz w:val="15"/>
        </w:rPr>
      </w:pPr>
      <w:r>
        <w:rPr>
          <w:w w:val="105"/>
          <w:sz w:val="15"/>
        </w:rPr>
        <w:t>En</w:t>
      </w:r>
      <w:r>
        <w:rPr>
          <w:spacing w:val="-3"/>
          <w:w w:val="105"/>
          <w:sz w:val="15"/>
        </w:rPr>
        <w:t xml:space="preserve"> </w:t>
      </w:r>
      <w:r>
        <w:rPr>
          <w:w w:val="105"/>
          <w:sz w:val="15"/>
        </w:rPr>
        <w:t>lo</w:t>
      </w:r>
      <w:r>
        <w:rPr>
          <w:spacing w:val="-3"/>
          <w:w w:val="105"/>
          <w:sz w:val="15"/>
        </w:rPr>
        <w:t xml:space="preserve"> </w:t>
      </w:r>
      <w:r>
        <w:rPr>
          <w:w w:val="105"/>
          <w:sz w:val="15"/>
        </w:rPr>
        <w:t>que</w:t>
      </w:r>
      <w:r>
        <w:rPr>
          <w:spacing w:val="-3"/>
          <w:w w:val="105"/>
          <w:sz w:val="15"/>
        </w:rPr>
        <w:t xml:space="preserve"> </w:t>
      </w:r>
      <w:r>
        <w:rPr>
          <w:w w:val="105"/>
          <w:sz w:val="15"/>
        </w:rPr>
        <w:t>respecta</w:t>
      </w:r>
      <w:r>
        <w:rPr>
          <w:spacing w:val="-3"/>
          <w:w w:val="105"/>
          <w:sz w:val="15"/>
        </w:rPr>
        <w:t xml:space="preserve"> </w:t>
      </w:r>
      <w:r>
        <w:rPr>
          <w:w w:val="105"/>
          <w:sz w:val="15"/>
        </w:rPr>
        <w:t>al</w:t>
      </w:r>
      <w:r>
        <w:rPr>
          <w:spacing w:val="-3"/>
          <w:w w:val="105"/>
          <w:sz w:val="15"/>
        </w:rPr>
        <w:t xml:space="preserve"> </w:t>
      </w:r>
      <w:r>
        <w:rPr>
          <w:w w:val="105"/>
          <w:sz w:val="15"/>
        </w:rPr>
        <w:t>seguimiento</w:t>
      </w:r>
      <w:r>
        <w:rPr>
          <w:spacing w:val="-3"/>
          <w:w w:val="105"/>
          <w:sz w:val="15"/>
        </w:rPr>
        <w:t xml:space="preserve"> </w:t>
      </w:r>
      <w:r>
        <w:rPr>
          <w:w w:val="105"/>
          <w:sz w:val="15"/>
        </w:rPr>
        <w:t>y</w:t>
      </w:r>
      <w:r>
        <w:rPr>
          <w:spacing w:val="-3"/>
          <w:w w:val="105"/>
          <w:sz w:val="15"/>
        </w:rPr>
        <w:t xml:space="preserve"> </w:t>
      </w:r>
      <w:r>
        <w:rPr>
          <w:w w:val="105"/>
          <w:sz w:val="15"/>
        </w:rPr>
        <w:t>supervisión</w:t>
      </w:r>
      <w:r>
        <w:rPr>
          <w:spacing w:val="-3"/>
          <w:w w:val="105"/>
          <w:sz w:val="15"/>
        </w:rPr>
        <w:t xml:space="preserve"> </w:t>
      </w:r>
      <w:r>
        <w:rPr>
          <w:w w:val="105"/>
          <w:sz w:val="15"/>
        </w:rPr>
        <w:t>de</w:t>
      </w:r>
      <w:r>
        <w:rPr>
          <w:spacing w:val="-3"/>
          <w:w w:val="105"/>
          <w:sz w:val="15"/>
        </w:rPr>
        <w:t xml:space="preserve"> </w:t>
      </w:r>
      <w:r>
        <w:rPr>
          <w:w w:val="105"/>
          <w:sz w:val="15"/>
        </w:rPr>
        <w:t>la</w:t>
      </w:r>
      <w:r>
        <w:rPr>
          <w:spacing w:val="-3"/>
          <w:w w:val="105"/>
          <w:sz w:val="15"/>
        </w:rPr>
        <w:t xml:space="preserve"> </w:t>
      </w:r>
      <w:r>
        <w:rPr>
          <w:w w:val="105"/>
          <w:sz w:val="15"/>
        </w:rPr>
        <w:t>aplicación</w:t>
      </w:r>
      <w:r>
        <w:rPr>
          <w:spacing w:val="-3"/>
          <w:w w:val="105"/>
          <w:sz w:val="15"/>
        </w:rPr>
        <w:t xml:space="preserve"> </w:t>
      </w:r>
      <w:r>
        <w:rPr>
          <w:w w:val="105"/>
          <w:sz w:val="15"/>
        </w:rPr>
        <w:t>de</w:t>
      </w:r>
      <w:r>
        <w:rPr>
          <w:spacing w:val="-3"/>
          <w:w w:val="105"/>
          <w:sz w:val="15"/>
        </w:rPr>
        <w:t xml:space="preserve"> </w:t>
      </w:r>
      <w:r>
        <w:rPr>
          <w:w w:val="105"/>
          <w:sz w:val="15"/>
        </w:rPr>
        <w:t>las</w:t>
      </w:r>
      <w:r>
        <w:rPr>
          <w:spacing w:val="-3"/>
          <w:w w:val="105"/>
          <w:sz w:val="15"/>
        </w:rPr>
        <w:t xml:space="preserve"> </w:t>
      </w:r>
      <w:r>
        <w:rPr>
          <w:w w:val="105"/>
          <w:sz w:val="15"/>
        </w:rPr>
        <w:t>medidas</w:t>
      </w:r>
      <w:r>
        <w:rPr>
          <w:spacing w:val="-3"/>
          <w:w w:val="105"/>
          <w:sz w:val="15"/>
        </w:rPr>
        <w:t xml:space="preserve"> </w:t>
      </w:r>
      <w:r>
        <w:rPr>
          <w:w w:val="105"/>
          <w:sz w:val="15"/>
        </w:rPr>
        <w:t>ordenadas,</w:t>
      </w:r>
      <w:r>
        <w:rPr>
          <w:spacing w:val="-2"/>
          <w:w w:val="105"/>
          <w:sz w:val="15"/>
        </w:rPr>
        <w:t xml:space="preserve"> </w:t>
      </w:r>
      <w:r>
        <w:rPr>
          <w:w w:val="105"/>
          <w:sz w:val="15"/>
        </w:rPr>
        <w:t>los</w:t>
      </w:r>
      <w:r>
        <w:rPr>
          <w:spacing w:val="-3"/>
          <w:w w:val="105"/>
          <w:sz w:val="15"/>
        </w:rPr>
        <w:t xml:space="preserve"> </w:t>
      </w:r>
      <w:r>
        <w:rPr>
          <w:w w:val="105"/>
          <w:sz w:val="15"/>
        </w:rPr>
        <w:t>organismos</w:t>
      </w:r>
      <w:r>
        <w:rPr>
          <w:spacing w:val="-3"/>
          <w:w w:val="105"/>
          <w:sz w:val="15"/>
        </w:rPr>
        <w:t xml:space="preserve"> </w:t>
      </w:r>
      <w:r>
        <w:rPr>
          <w:w w:val="105"/>
          <w:sz w:val="15"/>
        </w:rPr>
        <w:t>de</w:t>
      </w:r>
      <w:r>
        <w:rPr>
          <w:spacing w:val="-3"/>
          <w:w w:val="105"/>
          <w:sz w:val="15"/>
        </w:rPr>
        <w:t xml:space="preserve"> </w:t>
      </w:r>
      <w:r>
        <w:rPr>
          <w:w w:val="105"/>
          <w:sz w:val="15"/>
        </w:rPr>
        <w:t>igualdad</w:t>
      </w:r>
      <w:r>
        <w:rPr>
          <w:spacing w:val="-3"/>
          <w:w w:val="105"/>
          <w:sz w:val="15"/>
        </w:rPr>
        <w:t xml:space="preserve"> </w:t>
      </w:r>
      <w:r>
        <w:rPr>
          <w:w w:val="105"/>
          <w:sz w:val="15"/>
        </w:rPr>
        <w:t>deben estar</w:t>
      </w:r>
      <w:r>
        <w:rPr>
          <w:spacing w:val="-7"/>
          <w:w w:val="105"/>
          <w:sz w:val="15"/>
        </w:rPr>
        <w:t xml:space="preserve"> </w:t>
      </w:r>
      <w:r>
        <w:rPr>
          <w:w w:val="105"/>
          <w:sz w:val="15"/>
        </w:rPr>
        <w:t>facultados</w:t>
      </w:r>
      <w:r>
        <w:rPr>
          <w:spacing w:val="-7"/>
          <w:w w:val="105"/>
          <w:sz w:val="15"/>
        </w:rPr>
        <w:t xml:space="preserve"> </w:t>
      </w:r>
      <w:r>
        <w:rPr>
          <w:w w:val="105"/>
          <w:sz w:val="15"/>
        </w:rPr>
        <w:t>para</w:t>
      </w:r>
      <w:r>
        <w:rPr>
          <w:spacing w:val="-7"/>
          <w:w w:val="105"/>
          <w:sz w:val="15"/>
        </w:rPr>
        <w:t xml:space="preserve"> </w:t>
      </w:r>
      <w:r>
        <w:rPr>
          <w:w w:val="105"/>
          <w:sz w:val="15"/>
        </w:rPr>
        <w:t>ordenar</w:t>
      </w:r>
      <w:r>
        <w:rPr>
          <w:spacing w:val="-7"/>
          <w:w w:val="105"/>
          <w:sz w:val="15"/>
        </w:rPr>
        <w:t xml:space="preserve"> </w:t>
      </w:r>
      <w:r>
        <w:rPr>
          <w:w w:val="105"/>
          <w:sz w:val="15"/>
        </w:rPr>
        <w:t>a</w:t>
      </w:r>
      <w:r>
        <w:rPr>
          <w:spacing w:val="-7"/>
          <w:w w:val="105"/>
          <w:sz w:val="15"/>
        </w:rPr>
        <w:t xml:space="preserve"> </w:t>
      </w:r>
      <w:r>
        <w:rPr>
          <w:w w:val="105"/>
          <w:sz w:val="15"/>
        </w:rPr>
        <w:t>los</w:t>
      </w:r>
      <w:r>
        <w:rPr>
          <w:spacing w:val="-7"/>
          <w:w w:val="105"/>
          <w:sz w:val="15"/>
        </w:rPr>
        <w:t xml:space="preserve"> </w:t>
      </w:r>
      <w:r>
        <w:rPr>
          <w:w w:val="105"/>
          <w:sz w:val="15"/>
        </w:rPr>
        <w:t>encuestados</w:t>
      </w:r>
      <w:r>
        <w:rPr>
          <w:spacing w:val="-7"/>
          <w:w w:val="105"/>
          <w:sz w:val="15"/>
        </w:rPr>
        <w:t xml:space="preserve"> </w:t>
      </w:r>
      <w:r>
        <w:rPr>
          <w:w w:val="105"/>
          <w:sz w:val="15"/>
        </w:rPr>
        <w:t>que</w:t>
      </w:r>
      <w:r>
        <w:rPr>
          <w:spacing w:val="-7"/>
          <w:w w:val="105"/>
          <w:sz w:val="15"/>
        </w:rPr>
        <w:t xml:space="preserve"> </w:t>
      </w:r>
      <w:r>
        <w:rPr>
          <w:w w:val="105"/>
          <w:sz w:val="15"/>
        </w:rPr>
        <w:t>les</w:t>
      </w:r>
      <w:r>
        <w:rPr>
          <w:spacing w:val="-7"/>
          <w:w w:val="105"/>
          <w:sz w:val="15"/>
        </w:rPr>
        <w:t xml:space="preserve"> </w:t>
      </w:r>
      <w:r>
        <w:rPr>
          <w:w w:val="105"/>
          <w:sz w:val="15"/>
        </w:rPr>
        <w:t>informen</w:t>
      </w:r>
      <w:r>
        <w:rPr>
          <w:spacing w:val="-7"/>
          <w:w w:val="105"/>
          <w:sz w:val="15"/>
        </w:rPr>
        <w:t xml:space="preserve"> </w:t>
      </w:r>
      <w:r>
        <w:rPr>
          <w:w w:val="105"/>
          <w:sz w:val="15"/>
        </w:rPr>
        <w:t>sobre</w:t>
      </w:r>
      <w:r>
        <w:rPr>
          <w:spacing w:val="-7"/>
          <w:w w:val="105"/>
          <w:sz w:val="15"/>
        </w:rPr>
        <w:t xml:space="preserve"> </w:t>
      </w:r>
      <w:r>
        <w:rPr>
          <w:w w:val="105"/>
          <w:sz w:val="15"/>
        </w:rPr>
        <w:t>las</w:t>
      </w:r>
      <w:r>
        <w:rPr>
          <w:spacing w:val="-7"/>
          <w:w w:val="105"/>
          <w:sz w:val="15"/>
        </w:rPr>
        <w:t xml:space="preserve"> </w:t>
      </w:r>
      <w:r>
        <w:rPr>
          <w:w w:val="105"/>
          <w:sz w:val="15"/>
        </w:rPr>
        <w:t>medidas</w:t>
      </w:r>
      <w:r>
        <w:rPr>
          <w:spacing w:val="-7"/>
          <w:w w:val="105"/>
          <w:sz w:val="15"/>
        </w:rPr>
        <w:t xml:space="preserve"> </w:t>
      </w:r>
      <w:r>
        <w:rPr>
          <w:w w:val="105"/>
          <w:sz w:val="15"/>
        </w:rPr>
        <w:t>adoptadas</w:t>
      </w:r>
      <w:r>
        <w:rPr>
          <w:spacing w:val="-7"/>
          <w:w w:val="105"/>
          <w:sz w:val="15"/>
        </w:rPr>
        <w:t xml:space="preserve"> </w:t>
      </w:r>
      <w:r>
        <w:rPr>
          <w:w w:val="105"/>
          <w:sz w:val="15"/>
        </w:rPr>
        <w:t>en</w:t>
      </w:r>
      <w:r>
        <w:rPr>
          <w:spacing w:val="-7"/>
          <w:w w:val="105"/>
          <w:sz w:val="15"/>
        </w:rPr>
        <w:t xml:space="preserve"> </w:t>
      </w:r>
      <w:r>
        <w:rPr>
          <w:w w:val="105"/>
          <w:sz w:val="15"/>
        </w:rPr>
        <w:t>un</w:t>
      </w:r>
      <w:r>
        <w:rPr>
          <w:spacing w:val="-7"/>
          <w:w w:val="105"/>
          <w:sz w:val="15"/>
        </w:rPr>
        <w:t xml:space="preserve"> </w:t>
      </w:r>
      <w:r>
        <w:rPr>
          <w:w w:val="105"/>
          <w:sz w:val="15"/>
        </w:rPr>
        <w:t>plazo</w:t>
      </w:r>
      <w:r>
        <w:rPr>
          <w:spacing w:val="-7"/>
          <w:w w:val="105"/>
          <w:sz w:val="15"/>
        </w:rPr>
        <w:t xml:space="preserve"> </w:t>
      </w:r>
      <w:r>
        <w:rPr>
          <w:w w:val="105"/>
          <w:sz w:val="15"/>
        </w:rPr>
        <w:t>determinado</w:t>
      </w:r>
      <w:r>
        <w:rPr>
          <w:spacing w:val="-7"/>
          <w:w w:val="105"/>
          <w:sz w:val="15"/>
        </w:rPr>
        <w:t xml:space="preserve"> </w:t>
      </w:r>
      <w:r>
        <w:rPr>
          <w:w w:val="105"/>
          <w:sz w:val="15"/>
        </w:rPr>
        <w:t>o,</w:t>
      </w:r>
      <w:r>
        <w:rPr>
          <w:spacing w:val="-7"/>
          <w:w w:val="105"/>
          <w:sz w:val="15"/>
        </w:rPr>
        <w:t xml:space="preserve"> </w:t>
      </w:r>
      <w:r>
        <w:rPr>
          <w:w w:val="105"/>
          <w:sz w:val="15"/>
        </w:rPr>
        <w:t>tras la emisión de una orden, tener la facultad de controlar y supervisar el cumplimiento</w:t>
      </w:r>
      <w:proofErr w:type="gramStart"/>
      <w:r>
        <w:rPr>
          <w:w w:val="105"/>
          <w:sz w:val="15"/>
        </w:rPr>
        <w:t>. .</w:t>
      </w:r>
      <w:proofErr w:type="gramEnd"/>
    </w:p>
    <w:p w14:paraId="581EA202" w14:textId="77777777" w:rsidR="0014798C" w:rsidRDefault="004E1F0B">
      <w:pPr>
        <w:spacing w:line="348" w:lineRule="auto"/>
        <w:ind w:left="1334" w:right="1464" w:hanging="2"/>
        <w:rPr>
          <w:sz w:val="15"/>
        </w:rPr>
      </w:pPr>
      <w:r>
        <w:rPr>
          <w:w w:val="105"/>
          <w:sz w:val="15"/>
        </w:rPr>
        <w:t>En</w:t>
      </w:r>
      <w:r>
        <w:rPr>
          <w:spacing w:val="-5"/>
          <w:w w:val="105"/>
          <w:sz w:val="15"/>
        </w:rPr>
        <w:t xml:space="preserve"> </w:t>
      </w:r>
      <w:r>
        <w:rPr>
          <w:w w:val="105"/>
          <w:sz w:val="15"/>
        </w:rPr>
        <w:t>caso</w:t>
      </w:r>
      <w:r>
        <w:rPr>
          <w:spacing w:val="-5"/>
          <w:w w:val="105"/>
          <w:sz w:val="15"/>
        </w:rPr>
        <w:t xml:space="preserve"> </w:t>
      </w:r>
      <w:r>
        <w:rPr>
          <w:w w:val="105"/>
          <w:sz w:val="15"/>
        </w:rPr>
        <w:t>de</w:t>
      </w:r>
      <w:r>
        <w:rPr>
          <w:spacing w:val="-5"/>
          <w:w w:val="105"/>
          <w:sz w:val="15"/>
        </w:rPr>
        <w:t xml:space="preserve"> </w:t>
      </w:r>
      <w:r>
        <w:rPr>
          <w:w w:val="105"/>
          <w:sz w:val="15"/>
        </w:rPr>
        <w:t>incumplimiento</w:t>
      </w:r>
      <w:r>
        <w:rPr>
          <w:spacing w:val="-5"/>
          <w:w w:val="105"/>
          <w:sz w:val="15"/>
        </w:rPr>
        <w:t xml:space="preserve"> </w:t>
      </w:r>
      <w:r>
        <w:rPr>
          <w:w w:val="105"/>
          <w:sz w:val="15"/>
        </w:rPr>
        <w:t>de</w:t>
      </w:r>
      <w:r>
        <w:rPr>
          <w:spacing w:val="-5"/>
          <w:w w:val="105"/>
          <w:sz w:val="15"/>
        </w:rPr>
        <w:t xml:space="preserve"> </w:t>
      </w:r>
      <w:r>
        <w:rPr>
          <w:w w:val="105"/>
          <w:sz w:val="15"/>
        </w:rPr>
        <w:t>una</w:t>
      </w:r>
      <w:r>
        <w:rPr>
          <w:spacing w:val="-5"/>
          <w:w w:val="105"/>
          <w:sz w:val="15"/>
        </w:rPr>
        <w:t xml:space="preserve"> </w:t>
      </w:r>
      <w:r>
        <w:rPr>
          <w:w w:val="105"/>
          <w:sz w:val="15"/>
        </w:rPr>
        <w:t>orden,</w:t>
      </w:r>
      <w:r>
        <w:rPr>
          <w:spacing w:val="-5"/>
          <w:w w:val="105"/>
          <w:sz w:val="15"/>
        </w:rPr>
        <w:t xml:space="preserve"> </w:t>
      </w:r>
      <w:r>
        <w:rPr>
          <w:w w:val="105"/>
          <w:sz w:val="15"/>
        </w:rPr>
        <w:t>los</w:t>
      </w:r>
      <w:r>
        <w:rPr>
          <w:spacing w:val="-5"/>
          <w:w w:val="105"/>
          <w:sz w:val="15"/>
        </w:rPr>
        <w:t xml:space="preserve"> </w:t>
      </w:r>
      <w:r>
        <w:rPr>
          <w:w w:val="105"/>
          <w:sz w:val="15"/>
        </w:rPr>
        <w:t>organismos</w:t>
      </w:r>
      <w:r>
        <w:rPr>
          <w:spacing w:val="-5"/>
          <w:w w:val="105"/>
          <w:sz w:val="15"/>
        </w:rPr>
        <w:t xml:space="preserve"> </w:t>
      </w:r>
      <w:r>
        <w:rPr>
          <w:w w:val="105"/>
          <w:sz w:val="15"/>
        </w:rPr>
        <w:t>de</w:t>
      </w:r>
      <w:r>
        <w:rPr>
          <w:spacing w:val="-5"/>
          <w:w w:val="105"/>
          <w:sz w:val="15"/>
        </w:rPr>
        <w:t xml:space="preserve"> </w:t>
      </w:r>
      <w:r>
        <w:rPr>
          <w:w w:val="105"/>
          <w:sz w:val="15"/>
        </w:rPr>
        <w:t>igualdad</w:t>
      </w:r>
      <w:r>
        <w:rPr>
          <w:spacing w:val="-5"/>
          <w:w w:val="105"/>
          <w:sz w:val="15"/>
        </w:rPr>
        <w:t xml:space="preserve"> </w:t>
      </w:r>
      <w:r>
        <w:rPr>
          <w:w w:val="105"/>
          <w:sz w:val="15"/>
        </w:rPr>
        <w:t>deberían</w:t>
      </w:r>
      <w:r>
        <w:rPr>
          <w:spacing w:val="-5"/>
          <w:w w:val="105"/>
          <w:sz w:val="15"/>
        </w:rPr>
        <w:t xml:space="preserve"> </w:t>
      </w:r>
      <w:r>
        <w:rPr>
          <w:w w:val="105"/>
          <w:sz w:val="15"/>
        </w:rPr>
        <w:t>tener</w:t>
      </w:r>
      <w:r>
        <w:rPr>
          <w:spacing w:val="-5"/>
          <w:w w:val="105"/>
          <w:sz w:val="15"/>
        </w:rPr>
        <w:t xml:space="preserve"> </w:t>
      </w:r>
      <w:r>
        <w:rPr>
          <w:w w:val="105"/>
          <w:sz w:val="15"/>
        </w:rPr>
        <w:t>competencias</w:t>
      </w:r>
      <w:r>
        <w:rPr>
          <w:spacing w:val="-5"/>
          <w:w w:val="105"/>
          <w:sz w:val="15"/>
        </w:rPr>
        <w:t xml:space="preserve"> </w:t>
      </w:r>
      <w:r>
        <w:rPr>
          <w:w w:val="105"/>
          <w:sz w:val="15"/>
        </w:rPr>
        <w:t>para</w:t>
      </w:r>
      <w:r>
        <w:rPr>
          <w:spacing w:val="-5"/>
          <w:w w:val="105"/>
          <w:sz w:val="15"/>
        </w:rPr>
        <w:t xml:space="preserve"> </w:t>
      </w:r>
      <w:r>
        <w:rPr>
          <w:w w:val="105"/>
          <w:sz w:val="15"/>
        </w:rPr>
        <w:t>imponer</w:t>
      </w:r>
      <w:r>
        <w:rPr>
          <w:spacing w:val="-5"/>
          <w:w w:val="105"/>
          <w:sz w:val="15"/>
        </w:rPr>
        <w:t xml:space="preserve"> </w:t>
      </w:r>
      <w:r>
        <w:rPr>
          <w:w w:val="105"/>
          <w:sz w:val="15"/>
        </w:rPr>
        <w:t>una</w:t>
      </w:r>
      <w:r>
        <w:rPr>
          <w:spacing w:val="-5"/>
          <w:w w:val="105"/>
          <w:sz w:val="15"/>
        </w:rPr>
        <w:t xml:space="preserve"> </w:t>
      </w:r>
      <w:r>
        <w:rPr>
          <w:w w:val="105"/>
          <w:sz w:val="15"/>
        </w:rPr>
        <w:t>multa</w:t>
      </w:r>
      <w:r>
        <w:rPr>
          <w:spacing w:val="-5"/>
          <w:w w:val="105"/>
          <w:sz w:val="15"/>
        </w:rPr>
        <w:t xml:space="preserve"> </w:t>
      </w:r>
      <w:r>
        <w:rPr>
          <w:w w:val="105"/>
          <w:sz w:val="15"/>
        </w:rPr>
        <w:t>por incumplimiento.</w:t>
      </w:r>
      <w:r>
        <w:rPr>
          <w:spacing w:val="-1"/>
          <w:w w:val="105"/>
          <w:sz w:val="15"/>
        </w:rPr>
        <w:t xml:space="preserve"> </w:t>
      </w:r>
      <w:r>
        <w:rPr>
          <w:w w:val="105"/>
          <w:sz w:val="15"/>
        </w:rPr>
        <w:t>Por</w:t>
      </w:r>
      <w:r>
        <w:rPr>
          <w:spacing w:val="-2"/>
          <w:w w:val="105"/>
          <w:sz w:val="15"/>
        </w:rPr>
        <w:t xml:space="preserve"> </w:t>
      </w:r>
      <w:r>
        <w:rPr>
          <w:w w:val="105"/>
          <w:sz w:val="15"/>
        </w:rPr>
        <w:t>ejemplo,</w:t>
      </w:r>
      <w:r>
        <w:rPr>
          <w:spacing w:val="-1"/>
          <w:w w:val="105"/>
          <w:sz w:val="15"/>
        </w:rPr>
        <w:t xml:space="preserve"> </w:t>
      </w:r>
      <w:r>
        <w:rPr>
          <w:w w:val="105"/>
          <w:sz w:val="15"/>
        </w:rPr>
        <w:t>si</w:t>
      </w:r>
      <w:r>
        <w:rPr>
          <w:spacing w:val="-2"/>
          <w:w w:val="105"/>
          <w:sz w:val="15"/>
        </w:rPr>
        <w:t xml:space="preserve"> </w:t>
      </w:r>
      <w:r>
        <w:rPr>
          <w:w w:val="105"/>
          <w:sz w:val="15"/>
        </w:rPr>
        <w:t>no</w:t>
      </w:r>
      <w:r>
        <w:rPr>
          <w:spacing w:val="-2"/>
          <w:w w:val="105"/>
          <w:sz w:val="15"/>
        </w:rPr>
        <w:t xml:space="preserve"> </w:t>
      </w:r>
      <w:r>
        <w:rPr>
          <w:w w:val="105"/>
          <w:sz w:val="15"/>
        </w:rPr>
        <w:t>se</w:t>
      </w:r>
      <w:r>
        <w:rPr>
          <w:spacing w:val="-2"/>
          <w:w w:val="105"/>
          <w:sz w:val="15"/>
        </w:rPr>
        <w:t xml:space="preserve"> </w:t>
      </w:r>
      <w:r>
        <w:rPr>
          <w:w w:val="105"/>
          <w:sz w:val="15"/>
        </w:rPr>
        <w:t>cumplen</w:t>
      </w:r>
      <w:r>
        <w:rPr>
          <w:spacing w:val="-2"/>
          <w:w w:val="105"/>
          <w:sz w:val="15"/>
        </w:rPr>
        <w:t xml:space="preserve"> </w:t>
      </w:r>
      <w:r>
        <w:rPr>
          <w:w w:val="105"/>
          <w:sz w:val="15"/>
        </w:rPr>
        <w:t>las</w:t>
      </w:r>
      <w:r>
        <w:rPr>
          <w:spacing w:val="-2"/>
          <w:w w:val="105"/>
          <w:sz w:val="15"/>
        </w:rPr>
        <w:t xml:space="preserve"> </w:t>
      </w:r>
      <w:r>
        <w:rPr>
          <w:w w:val="105"/>
          <w:sz w:val="15"/>
        </w:rPr>
        <w:t>decisiones</w:t>
      </w:r>
      <w:r>
        <w:rPr>
          <w:spacing w:val="-2"/>
          <w:w w:val="105"/>
          <w:sz w:val="15"/>
        </w:rPr>
        <w:t xml:space="preserve"> </w:t>
      </w:r>
      <w:r>
        <w:rPr>
          <w:w w:val="105"/>
          <w:sz w:val="15"/>
        </w:rPr>
        <w:t>tomadas</w:t>
      </w:r>
      <w:r>
        <w:rPr>
          <w:spacing w:val="-2"/>
          <w:w w:val="105"/>
          <w:sz w:val="15"/>
        </w:rPr>
        <w:t xml:space="preserve"> </w:t>
      </w:r>
      <w:r>
        <w:rPr>
          <w:w w:val="105"/>
          <w:sz w:val="15"/>
        </w:rPr>
        <w:t>por</w:t>
      </w:r>
      <w:r>
        <w:rPr>
          <w:spacing w:val="-2"/>
          <w:w w:val="105"/>
          <w:sz w:val="15"/>
        </w:rPr>
        <w:t xml:space="preserve"> </w:t>
      </w:r>
      <w:r>
        <w:rPr>
          <w:w w:val="105"/>
          <w:sz w:val="15"/>
        </w:rPr>
        <w:t>la</w:t>
      </w:r>
      <w:r>
        <w:rPr>
          <w:spacing w:val="-2"/>
          <w:w w:val="105"/>
          <w:sz w:val="15"/>
        </w:rPr>
        <w:t xml:space="preserve"> </w:t>
      </w:r>
      <w:r>
        <w:rPr>
          <w:w w:val="105"/>
          <w:sz w:val="15"/>
        </w:rPr>
        <w:t>Junta</w:t>
      </w:r>
      <w:r>
        <w:rPr>
          <w:spacing w:val="-2"/>
          <w:w w:val="105"/>
          <w:sz w:val="15"/>
        </w:rPr>
        <w:t xml:space="preserve"> </w:t>
      </w:r>
      <w:r>
        <w:rPr>
          <w:w w:val="105"/>
          <w:sz w:val="15"/>
        </w:rPr>
        <w:t>de</w:t>
      </w:r>
      <w:r>
        <w:rPr>
          <w:spacing w:val="-2"/>
          <w:w w:val="105"/>
          <w:sz w:val="15"/>
        </w:rPr>
        <w:t xml:space="preserve"> </w:t>
      </w:r>
      <w:r>
        <w:rPr>
          <w:w w:val="105"/>
          <w:sz w:val="15"/>
        </w:rPr>
        <w:t>Igualdad</w:t>
      </w:r>
      <w:r>
        <w:rPr>
          <w:spacing w:val="-2"/>
          <w:w w:val="105"/>
          <w:sz w:val="15"/>
        </w:rPr>
        <w:t xml:space="preserve"> </w:t>
      </w:r>
      <w:r>
        <w:rPr>
          <w:w w:val="105"/>
          <w:sz w:val="15"/>
        </w:rPr>
        <w:t>de</w:t>
      </w:r>
      <w:r>
        <w:rPr>
          <w:spacing w:val="-2"/>
          <w:w w:val="105"/>
          <w:sz w:val="15"/>
        </w:rPr>
        <w:t xml:space="preserve"> </w:t>
      </w:r>
      <w:r>
        <w:rPr>
          <w:w w:val="105"/>
          <w:sz w:val="15"/>
        </w:rPr>
        <w:t>Trato</w:t>
      </w:r>
      <w:r>
        <w:rPr>
          <w:spacing w:val="-2"/>
          <w:w w:val="105"/>
          <w:sz w:val="15"/>
        </w:rPr>
        <w:t xml:space="preserve"> </w:t>
      </w:r>
      <w:r>
        <w:rPr>
          <w:w w:val="105"/>
          <w:sz w:val="15"/>
        </w:rPr>
        <w:t>de</w:t>
      </w:r>
      <w:r>
        <w:rPr>
          <w:spacing w:val="-2"/>
          <w:w w:val="105"/>
          <w:sz w:val="15"/>
        </w:rPr>
        <w:t xml:space="preserve"> </w:t>
      </w:r>
      <w:r>
        <w:rPr>
          <w:w w:val="105"/>
          <w:sz w:val="15"/>
        </w:rPr>
        <w:t>Dinamarca,</w:t>
      </w:r>
      <w:r>
        <w:rPr>
          <w:spacing w:val="-1"/>
          <w:w w:val="105"/>
          <w:sz w:val="15"/>
        </w:rPr>
        <w:t xml:space="preserve"> </w:t>
      </w:r>
      <w:r>
        <w:rPr>
          <w:w w:val="105"/>
          <w:sz w:val="15"/>
        </w:rPr>
        <w:t>la Junta,</w:t>
      </w:r>
      <w:r>
        <w:rPr>
          <w:spacing w:val="-8"/>
          <w:w w:val="105"/>
          <w:sz w:val="15"/>
        </w:rPr>
        <w:t xml:space="preserve"> </w:t>
      </w:r>
      <w:r>
        <w:rPr>
          <w:w w:val="105"/>
          <w:sz w:val="15"/>
        </w:rPr>
        <w:t>a</w:t>
      </w:r>
      <w:r>
        <w:rPr>
          <w:spacing w:val="-8"/>
          <w:w w:val="105"/>
          <w:sz w:val="15"/>
        </w:rPr>
        <w:t xml:space="preserve"> </w:t>
      </w:r>
      <w:r>
        <w:rPr>
          <w:w w:val="105"/>
          <w:sz w:val="15"/>
        </w:rPr>
        <w:t>petición</w:t>
      </w:r>
      <w:r>
        <w:rPr>
          <w:spacing w:val="-8"/>
          <w:w w:val="105"/>
          <w:sz w:val="15"/>
        </w:rPr>
        <w:t xml:space="preserve"> </w:t>
      </w:r>
      <w:r>
        <w:rPr>
          <w:w w:val="105"/>
          <w:sz w:val="15"/>
        </w:rPr>
        <w:t>y</w:t>
      </w:r>
      <w:r>
        <w:rPr>
          <w:spacing w:val="-8"/>
          <w:w w:val="105"/>
          <w:sz w:val="15"/>
        </w:rPr>
        <w:t xml:space="preserve"> </w:t>
      </w:r>
      <w:r>
        <w:rPr>
          <w:w w:val="105"/>
          <w:sz w:val="15"/>
        </w:rPr>
        <w:t>en</w:t>
      </w:r>
      <w:r>
        <w:rPr>
          <w:spacing w:val="-8"/>
          <w:w w:val="105"/>
          <w:sz w:val="15"/>
        </w:rPr>
        <w:t xml:space="preserve"> </w:t>
      </w:r>
      <w:r>
        <w:rPr>
          <w:w w:val="105"/>
          <w:sz w:val="15"/>
        </w:rPr>
        <w:t>nombre</w:t>
      </w:r>
      <w:r>
        <w:rPr>
          <w:spacing w:val="-8"/>
          <w:w w:val="105"/>
          <w:sz w:val="15"/>
        </w:rPr>
        <w:t xml:space="preserve"> </w:t>
      </w:r>
      <w:r>
        <w:rPr>
          <w:w w:val="105"/>
          <w:sz w:val="15"/>
        </w:rPr>
        <w:t>del</w:t>
      </w:r>
      <w:r>
        <w:rPr>
          <w:spacing w:val="-8"/>
          <w:w w:val="105"/>
          <w:sz w:val="15"/>
        </w:rPr>
        <w:t xml:space="preserve"> </w:t>
      </w:r>
      <w:r>
        <w:rPr>
          <w:w w:val="105"/>
          <w:sz w:val="15"/>
        </w:rPr>
        <w:t>demandante,</w:t>
      </w:r>
      <w:r>
        <w:rPr>
          <w:spacing w:val="-7"/>
          <w:w w:val="105"/>
          <w:sz w:val="15"/>
        </w:rPr>
        <w:t xml:space="preserve"> </w:t>
      </w:r>
      <w:r>
        <w:rPr>
          <w:w w:val="105"/>
          <w:sz w:val="15"/>
        </w:rPr>
        <w:t>debe</w:t>
      </w:r>
      <w:r>
        <w:rPr>
          <w:spacing w:val="-8"/>
          <w:w w:val="105"/>
          <w:sz w:val="15"/>
        </w:rPr>
        <w:t xml:space="preserve"> </w:t>
      </w:r>
      <w:r>
        <w:rPr>
          <w:w w:val="105"/>
          <w:sz w:val="15"/>
        </w:rPr>
        <w:t>llevar</w:t>
      </w:r>
      <w:r>
        <w:rPr>
          <w:spacing w:val="-8"/>
          <w:w w:val="105"/>
          <w:sz w:val="15"/>
        </w:rPr>
        <w:t xml:space="preserve"> </w:t>
      </w:r>
      <w:r>
        <w:rPr>
          <w:w w:val="105"/>
          <w:sz w:val="15"/>
        </w:rPr>
        <w:t>el</w:t>
      </w:r>
      <w:r>
        <w:rPr>
          <w:spacing w:val="-8"/>
          <w:w w:val="105"/>
          <w:sz w:val="15"/>
        </w:rPr>
        <w:t xml:space="preserve"> </w:t>
      </w:r>
      <w:r>
        <w:rPr>
          <w:w w:val="105"/>
          <w:sz w:val="15"/>
        </w:rPr>
        <w:t>asunto</w:t>
      </w:r>
      <w:r>
        <w:rPr>
          <w:spacing w:val="-8"/>
          <w:w w:val="105"/>
          <w:sz w:val="15"/>
        </w:rPr>
        <w:t xml:space="preserve"> </w:t>
      </w:r>
      <w:r>
        <w:rPr>
          <w:w w:val="105"/>
          <w:sz w:val="15"/>
        </w:rPr>
        <w:t>ante</w:t>
      </w:r>
      <w:r>
        <w:rPr>
          <w:spacing w:val="-8"/>
          <w:w w:val="105"/>
          <w:sz w:val="15"/>
        </w:rPr>
        <w:t xml:space="preserve"> </w:t>
      </w:r>
      <w:r>
        <w:rPr>
          <w:w w:val="105"/>
          <w:sz w:val="15"/>
        </w:rPr>
        <w:t>los</w:t>
      </w:r>
      <w:r>
        <w:rPr>
          <w:spacing w:val="-8"/>
          <w:w w:val="105"/>
          <w:sz w:val="15"/>
        </w:rPr>
        <w:t xml:space="preserve"> </w:t>
      </w:r>
      <w:r>
        <w:rPr>
          <w:w w:val="105"/>
          <w:sz w:val="15"/>
        </w:rPr>
        <w:t>tribunales</w:t>
      </w:r>
      <w:r>
        <w:rPr>
          <w:spacing w:val="-8"/>
          <w:w w:val="105"/>
          <w:sz w:val="15"/>
        </w:rPr>
        <w:t xml:space="preserve"> </w:t>
      </w:r>
      <w:r>
        <w:rPr>
          <w:w w:val="105"/>
          <w:sz w:val="15"/>
        </w:rPr>
        <w:t>civiles.789</w:t>
      </w:r>
      <w:r>
        <w:rPr>
          <w:spacing w:val="-8"/>
          <w:w w:val="105"/>
          <w:sz w:val="15"/>
        </w:rPr>
        <w:t xml:space="preserve"> </w:t>
      </w:r>
      <w:r>
        <w:rPr>
          <w:w w:val="105"/>
          <w:sz w:val="15"/>
        </w:rPr>
        <w:t>Algunos</w:t>
      </w:r>
      <w:r>
        <w:rPr>
          <w:spacing w:val="-8"/>
          <w:w w:val="105"/>
          <w:sz w:val="15"/>
        </w:rPr>
        <w:t xml:space="preserve"> </w:t>
      </w:r>
      <w:r>
        <w:rPr>
          <w:w w:val="105"/>
          <w:sz w:val="15"/>
        </w:rPr>
        <w:t>órganos</w:t>
      </w:r>
      <w:r>
        <w:rPr>
          <w:spacing w:val="-8"/>
          <w:w w:val="105"/>
          <w:sz w:val="15"/>
        </w:rPr>
        <w:t xml:space="preserve"> </w:t>
      </w:r>
      <w:r>
        <w:rPr>
          <w:w w:val="105"/>
          <w:sz w:val="15"/>
        </w:rPr>
        <w:t>de</w:t>
      </w:r>
      <w:r>
        <w:rPr>
          <w:spacing w:val="-8"/>
          <w:w w:val="105"/>
          <w:sz w:val="15"/>
        </w:rPr>
        <w:t xml:space="preserve"> </w:t>
      </w:r>
      <w:r>
        <w:rPr>
          <w:w w:val="105"/>
          <w:sz w:val="15"/>
        </w:rPr>
        <w:t>igualdad</w:t>
      </w:r>
    </w:p>
    <w:p w14:paraId="2A3A18D8" w14:textId="77777777" w:rsidR="0014798C" w:rsidRDefault="004E1F0B">
      <w:pPr>
        <w:spacing w:line="348" w:lineRule="auto"/>
        <w:ind w:left="1333" w:right="1463"/>
        <w:rPr>
          <w:sz w:val="15"/>
        </w:rPr>
      </w:pPr>
      <w:r>
        <w:rPr>
          <w:noProof/>
        </w:rPr>
        <mc:AlternateContent>
          <mc:Choice Requires="wps">
            <w:drawing>
              <wp:anchor distT="0" distB="0" distL="0" distR="0" simplePos="0" relativeHeight="251658296" behindDoc="0" locked="0" layoutInCell="1" allowOverlap="1" wp14:anchorId="00E5472F" wp14:editId="76E89589">
                <wp:simplePos x="0" y="0"/>
                <wp:positionH relativeFrom="page">
                  <wp:posOffset>7310646</wp:posOffset>
                </wp:positionH>
                <wp:positionV relativeFrom="paragraph">
                  <wp:posOffset>495960</wp:posOffset>
                </wp:positionV>
                <wp:extent cx="86995" cy="295910"/>
                <wp:effectExtent l="0" t="0" r="0" b="0"/>
                <wp:wrapNone/>
                <wp:docPr id="241" name="Textbox 24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86995" cy="295910"/>
                        </a:xfrm>
                        <a:prstGeom prst="rect">
                          <a:avLst/>
                        </a:prstGeom>
                      </wps:spPr>
                      <wps:txbx>
                        <w:txbxContent>
                          <w:p w14:paraId="748C6367" w14:textId="77777777" w:rsidR="0014798C" w:rsidRDefault="004E1F0B">
                            <w:pPr>
                              <w:spacing w:before="23"/>
                              <w:ind w:left="20"/>
                              <w:rPr>
                                <w:sz w:val="8"/>
                              </w:rPr>
                            </w:pPr>
                            <w:r>
                              <w:rPr>
                                <w:color w:val="FFFFFF"/>
                                <w:spacing w:val="-27"/>
                                <w:w w:val="105"/>
                                <w:sz w:val="8"/>
                              </w:rPr>
                              <w:t>–IP</w:t>
                            </w:r>
                            <w:r>
                              <w:rPr>
                                <w:spacing w:val="-27"/>
                                <w:w w:val="105"/>
                                <w:sz w:val="8"/>
                              </w:rPr>
                              <w:t>S</w:t>
                            </w:r>
                            <w:r>
                              <w:rPr>
                                <w:color w:val="FFFFFF"/>
                                <w:spacing w:val="-27"/>
                                <w:w w:val="105"/>
                                <w:sz w:val="8"/>
                              </w:rPr>
                              <w:t>VA</w:t>
                            </w:r>
                            <w:r>
                              <w:rPr>
                                <w:spacing w:val="-27"/>
                                <w:w w:val="105"/>
                                <w:sz w:val="8"/>
                              </w:rPr>
                              <w:t>E</w:t>
                            </w:r>
                            <w:r>
                              <w:rPr>
                                <w:color w:val="FFFFFF"/>
                                <w:spacing w:val="-27"/>
                                <w:w w:val="105"/>
                                <w:sz w:val="8"/>
                              </w:rPr>
                              <w:t>R</w:t>
                            </w:r>
                            <w:r>
                              <w:rPr>
                                <w:spacing w:val="-27"/>
                                <w:w w:val="105"/>
                                <w:sz w:val="8"/>
                              </w:rPr>
                              <w:t>G</w:t>
                            </w:r>
                            <w:r>
                              <w:rPr>
                                <w:color w:val="FFFFFF"/>
                                <w:spacing w:val="-27"/>
                                <w:w w:val="105"/>
                                <w:sz w:val="8"/>
                              </w:rPr>
                              <w:t>T</w:t>
                            </w:r>
                            <w:r>
                              <w:rPr>
                                <w:spacing w:val="-27"/>
                                <w:w w:val="105"/>
                                <w:sz w:val="8"/>
                              </w:rPr>
                              <w:t>U</w:t>
                            </w:r>
                            <w:r>
                              <w:rPr>
                                <w:color w:val="FFFFFF"/>
                                <w:spacing w:val="-27"/>
                                <w:w w:val="105"/>
                                <w:sz w:val="8"/>
                              </w:rPr>
                              <w:t>E</w:t>
                            </w:r>
                            <w:r>
                              <w:rPr>
                                <w:spacing w:val="-27"/>
                                <w:w w:val="105"/>
                                <w:sz w:val="8"/>
                              </w:rPr>
                              <w:t>NDA</w:t>
                            </w:r>
                          </w:p>
                        </w:txbxContent>
                      </wps:txbx>
                      <wps:bodyPr vert="vert270" wrap="square" lIns="0" tIns="0" rIns="0" bIns="0" rtlCol="0">
                        <a:noAutofit/>
                      </wps:bodyPr>
                    </wps:wsp>
                  </a:graphicData>
                </a:graphic>
              </wp:anchor>
            </w:drawing>
          </mc:Choice>
          <mc:Fallback>
            <w:pict>
              <v:shape w14:anchorId="00E5472F" id="Textbox 241" o:spid="_x0000_s1119" type="#_x0000_t202" style="position:absolute;left:0;text-align:left;margin-left:575.65pt;margin-top:39.05pt;width:6.85pt;height:23.3pt;z-index:251658296;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" filled="f" stroked="f">
                <v:textbox style="layout-flow:vertical;mso-layout-flow-alt:bottom-to-top" inset="0,0,0,0">
                  <w:txbxContent>
                    <w:p w14:paraId="748C6367" w14:textId="77777777" w:rsidR="0014798C" w:rsidRDefault="004E1F0B">
                      <w:pPr>
                        <w:spacing w:before="23"/>
                        <w:ind w:left="20"/>
                        <w:rPr>
                          <w:sz w:val="8"/>
                        </w:rPr>
                      </w:pPr>
                      <w:r>
                        <w:rPr>
                          <w:color w:val="FFFFFF"/>
                          <w:spacing w:val="-27"/>
                          <w:w w:val="105"/>
                          <w:sz w:val="8"/>
                        </w:rPr>
                        <w:t>–IP</w:t>
                      </w:r>
                      <w:r>
                        <w:rPr>
                          <w:spacing w:val="-27"/>
                          <w:w w:val="105"/>
                          <w:sz w:val="8"/>
                        </w:rPr>
                        <w:t>S</w:t>
                      </w:r>
                      <w:r>
                        <w:rPr>
                          <w:color w:val="FFFFFF"/>
                          <w:spacing w:val="-27"/>
                          <w:w w:val="105"/>
                          <w:sz w:val="8"/>
                        </w:rPr>
                        <w:t>VA</w:t>
                      </w:r>
                      <w:r>
                        <w:rPr>
                          <w:spacing w:val="-27"/>
                          <w:w w:val="105"/>
                          <w:sz w:val="8"/>
                        </w:rPr>
                        <w:t>E</w:t>
                      </w:r>
                      <w:r>
                        <w:rPr>
                          <w:color w:val="FFFFFF"/>
                          <w:spacing w:val="-27"/>
                          <w:w w:val="105"/>
                          <w:sz w:val="8"/>
                        </w:rPr>
                        <w:t>R</w:t>
                      </w:r>
                      <w:r>
                        <w:rPr>
                          <w:spacing w:val="-27"/>
                          <w:w w:val="105"/>
                          <w:sz w:val="8"/>
                        </w:rPr>
                        <w:t>G</w:t>
                      </w:r>
                      <w:r>
                        <w:rPr>
                          <w:color w:val="FFFFFF"/>
                          <w:spacing w:val="-27"/>
                          <w:w w:val="105"/>
                          <w:sz w:val="8"/>
                        </w:rPr>
                        <w:t>T</w:t>
                      </w:r>
                      <w:r>
                        <w:rPr>
                          <w:spacing w:val="-27"/>
                          <w:w w:val="105"/>
                          <w:sz w:val="8"/>
                        </w:rPr>
                        <w:t>U</w:t>
                      </w:r>
                      <w:r>
                        <w:rPr>
                          <w:color w:val="FFFFFF"/>
                          <w:spacing w:val="-27"/>
                          <w:w w:val="105"/>
                          <w:sz w:val="8"/>
                        </w:rPr>
                        <w:t>E</w:t>
                      </w:r>
                      <w:r>
                        <w:rPr>
                          <w:spacing w:val="-27"/>
                          <w:w w:val="105"/>
                          <w:sz w:val="8"/>
                        </w:rPr>
                        <w:t>NDA</w:t>
                      </w:r>
                    </w:p>
                  </w:txbxContent>
                </v:textbox>
                <w10:wrap anchorx="page"/>
              </v:shape>
            </w:pict>
          </mc:Fallback>
        </mc:AlternateContent>
      </w:r>
      <w:r>
        <w:rPr>
          <w:w w:val="105"/>
          <w:sz w:val="15"/>
        </w:rPr>
        <w:t>han</w:t>
      </w:r>
      <w:r>
        <w:rPr>
          <w:spacing w:val="-9"/>
          <w:w w:val="105"/>
          <w:sz w:val="15"/>
        </w:rPr>
        <w:t xml:space="preserve"> </w:t>
      </w:r>
      <w:r>
        <w:rPr>
          <w:w w:val="105"/>
          <w:sz w:val="15"/>
        </w:rPr>
        <w:t>recibido</w:t>
      </w:r>
      <w:r>
        <w:rPr>
          <w:spacing w:val="-9"/>
          <w:w w:val="105"/>
          <w:sz w:val="15"/>
        </w:rPr>
        <w:t xml:space="preserve"> </w:t>
      </w:r>
      <w:r>
        <w:rPr>
          <w:w w:val="105"/>
          <w:sz w:val="15"/>
        </w:rPr>
        <w:t>incluso</w:t>
      </w:r>
      <w:r>
        <w:rPr>
          <w:spacing w:val="-9"/>
          <w:w w:val="105"/>
          <w:sz w:val="15"/>
        </w:rPr>
        <w:t xml:space="preserve"> </w:t>
      </w:r>
      <w:r>
        <w:rPr>
          <w:w w:val="105"/>
          <w:sz w:val="15"/>
        </w:rPr>
        <w:t>poderes</w:t>
      </w:r>
      <w:r>
        <w:rPr>
          <w:spacing w:val="-9"/>
          <w:w w:val="105"/>
          <w:sz w:val="15"/>
        </w:rPr>
        <w:t xml:space="preserve"> </w:t>
      </w:r>
      <w:r>
        <w:rPr>
          <w:w w:val="105"/>
          <w:sz w:val="15"/>
        </w:rPr>
        <w:t>más</w:t>
      </w:r>
      <w:r>
        <w:rPr>
          <w:spacing w:val="-9"/>
          <w:w w:val="105"/>
          <w:sz w:val="15"/>
        </w:rPr>
        <w:t xml:space="preserve"> </w:t>
      </w:r>
      <w:r>
        <w:rPr>
          <w:w w:val="105"/>
          <w:sz w:val="15"/>
        </w:rPr>
        <w:t>estrictos</w:t>
      </w:r>
      <w:r>
        <w:rPr>
          <w:spacing w:val="-9"/>
          <w:w w:val="105"/>
          <w:sz w:val="15"/>
        </w:rPr>
        <w:t xml:space="preserve"> </w:t>
      </w:r>
      <w:r>
        <w:rPr>
          <w:w w:val="105"/>
          <w:sz w:val="15"/>
        </w:rPr>
        <w:t>para</w:t>
      </w:r>
      <w:r>
        <w:rPr>
          <w:spacing w:val="-9"/>
          <w:w w:val="105"/>
          <w:sz w:val="15"/>
        </w:rPr>
        <w:t xml:space="preserve"> </w:t>
      </w:r>
      <w:r>
        <w:rPr>
          <w:w w:val="105"/>
          <w:sz w:val="15"/>
        </w:rPr>
        <w:t>abordar</w:t>
      </w:r>
      <w:r>
        <w:rPr>
          <w:spacing w:val="-9"/>
          <w:w w:val="105"/>
          <w:sz w:val="15"/>
        </w:rPr>
        <w:t xml:space="preserve"> </w:t>
      </w:r>
      <w:r>
        <w:rPr>
          <w:w w:val="105"/>
          <w:sz w:val="15"/>
        </w:rPr>
        <w:t>el</w:t>
      </w:r>
      <w:r>
        <w:rPr>
          <w:spacing w:val="-9"/>
          <w:w w:val="105"/>
          <w:sz w:val="15"/>
        </w:rPr>
        <w:t xml:space="preserve"> </w:t>
      </w:r>
      <w:r>
        <w:rPr>
          <w:w w:val="105"/>
          <w:sz w:val="15"/>
        </w:rPr>
        <w:t>incumplimiento:</w:t>
      </w:r>
      <w:r>
        <w:rPr>
          <w:spacing w:val="-8"/>
          <w:w w:val="105"/>
          <w:sz w:val="15"/>
        </w:rPr>
        <w:t xml:space="preserve"> </w:t>
      </w:r>
      <w:r>
        <w:rPr>
          <w:w w:val="105"/>
          <w:sz w:val="15"/>
        </w:rPr>
        <w:t>en</w:t>
      </w:r>
      <w:r>
        <w:rPr>
          <w:spacing w:val="-9"/>
          <w:w w:val="105"/>
          <w:sz w:val="15"/>
        </w:rPr>
        <w:t xml:space="preserve"> </w:t>
      </w:r>
      <w:r>
        <w:rPr>
          <w:w w:val="105"/>
          <w:sz w:val="15"/>
        </w:rPr>
        <w:t>Tailandia,</w:t>
      </w:r>
      <w:r>
        <w:rPr>
          <w:spacing w:val="-8"/>
          <w:w w:val="105"/>
          <w:sz w:val="15"/>
        </w:rPr>
        <w:t xml:space="preserve"> </w:t>
      </w:r>
      <w:r>
        <w:rPr>
          <w:w w:val="105"/>
          <w:sz w:val="15"/>
        </w:rPr>
        <w:t>cualquier</w:t>
      </w:r>
      <w:r>
        <w:rPr>
          <w:spacing w:val="-9"/>
          <w:w w:val="105"/>
          <w:sz w:val="15"/>
        </w:rPr>
        <w:t xml:space="preserve"> </w:t>
      </w:r>
      <w:r>
        <w:rPr>
          <w:w w:val="105"/>
          <w:sz w:val="15"/>
        </w:rPr>
        <w:t>persona</w:t>
      </w:r>
      <w:r>
        <w:rPr>
          <w:spacing w:val="-9"/>
          <w:w w:val="105"/>
          <w:sz w:val="15"/>
        </w:rPr>
        <w:t xml:space="preserve"> </w:t>
      </w:r>
      <w:r>
        <w:rPr>
          <w:w w:val="105"/>
          <w:sz w:val="15"/>
        </w:rPr>
        <w:t>que</w:t>
      </w:r>
      <w:r>
        <w:rPr>
          <w:spacing w:val="-9"/>
          <w:w w:val="105"/>
          <w:sz w:val="15"/>
        </w:rPr>
        <w:t xml:space="preserve"> </w:t>
      </w:r>
      <w:r>
        <w:rPr>
          <w:w w:val="105"/>
          <w:sz w:val="15"/>
        </w:rPr>
        <w:t>viole</w:t>
      </w:r>
      <w:r>
        <w:rPr>
          <w:spacing w:val="-9"/>
          <w:w w:val="105"/>
          <w:sz w:val="15"/>
        </w:rPr>
        <w:t xml:space="preserve"> </w:t>
      </w:r>
      <w:r>
        <w:rPr>
          <w:w w:val="105"/>
          <w:sz w:val="15"/>
        </w:rPr>
        <w:t>las</w:t>
      </w:r>
      <w:r>
        <w:rPr>
          <w:spacing w:val="-9"/>
          <w:w w:val="105"/>
          <w:sz w:val="15"/>
        </w:rPr>
        <w:t xml:space="preserve"> </w:t>
      </w:r>
      <w:r>
        <w:rPr>
          <w:w w:val="105"/>
          <w:sz w:val="15"/>
        </w:rPr>
        <w:t>órdenes del</w:t>
      </w:r>
      <w:r>
        <w:rPr>
          <w:spacing w:val="-3"/>
          <w:w w:val="105"/>
          <w:sz w:val="15"/>
        </w:rPr>
        <w:t xml:space="preserve"> </w:t>
      </w:r>
      <w:r>
        <w:rPr>
          <w:w w:val="105"/>
          <w:sz w:val="15"/>
        </w:rPr>
        <w:t>Comité</w:t>
      </w:r>
      <w:r>
        <w:rPr>
          <w:spacing w:val="-3"/>
          <w:w w:val="105"/>
          <w:sz w:val="15"/>
        </w:rPr>
        <w:t xml:space="preserve"> </w:t>
      </w:r>
      <w:r>
        <w:rPr>
          <w:w w:val="105"/>
          <w:sz w:val="15"/>
        </w:rPr>
        <w:t>para</w:t>
      </w:r>
      <w:r>
        <w:rPr>
          <w:spacing w:val="-3"/>
          <w:w w:val="105"/>
          <w:sz w:val="15"/>
        </w:rPr>
        <w:t xml:space="preserve"> </w:t>
      </w:r>
      <w:r>
        <w:rPr>
          <w:w w:val="105"/>
          <w:sz w:val="15"/>
        </w:rPr>
        <w:t>la</w:t>
      </w:r>
      <w:r>
        <w:rPr>
          <w:spacing w:val="-3"/>
          <w:w w:val="105"/>
          <w:sz w:val="15"/>
        </w:rPr>
        <w:t xml:space="preserve"> </w:t>
      </w:r>
      <w:r>
        <w:rPr>
          <w:w w:val="105"/>
          <w:sz w:val="15"/>
        </w:rPr>
        <w:t>Consideración</w:t>
      </w:r>
      <w:r>
        <w:rPr>
          <w:spacing w:val="-3"/>
          <w:w w:val="105"/>
          <w:sz w:val="15"/>
        </w:rPr>
        <w:t xml:space="preserve"> </w:t>
      </w:r>
      <w:r>
        <w:rPr>
          <w:w w:val="105"/>
          <w:sz w:val="15"/>
        </w:rPr>
        <w:t>de</w:t>
      </w:r>
      <w:r>
        <w:rPr>
          <w:spacing w:val="-3"/>
          <w:w w:val="105"/>
          <w:sz w:val="15"/>
        </w:rPr>
        <w:t xml:space="preserve"> </w:t>
      </w:r>
      <w:r>
        <w:rPr>
          <w:w w:val="105"/>
          <w:sz w:val="15"/>
        </w:rPr>
        <w:t>la</w:t>
      </w:r>
      <w:r>
        <w:rPr>
          <w:spacing w:val="-3"/>
          <w:w w:val="105"/>
          <w:sz w:val="15"/>
        </w:rPr>
        <w:t xml:space="preserve"> </w:t>
      </w:r>
      <w:r>
        <w:rPr>
          <w:w w:val="105"/>
          <w:sz w:val="15"/>
        </w:rPr>
        <w:t>Discriminación</w:t>
      </w:r>
      <w:r>
        <w:rPr>
          <w:spacing w:val="-3"/>
          <w:w w:val="105"/>
          <w:sz w:val="15"/>
        </w:rPr>
        <w:t xml:space="preserve"> </w:t>
      </w:r>
      <w:r>
        <w:rPr>
          <w:w w:val="105"/>
          <w:sz w:val="15"/>
        </w:rPr>
        <w:t>Injusta</w:t>
      </w:r>
      <w:r>
        <w:rPr>
          <w:spacing w:val="-3"/>
          <w:w w:val="105"/>
          <w:sz w:val="15"/>
        </w:rPr>
        <w:t xml:space="preserve"> </w:t>
      </w:r>
      <w:r>
        <w:rPr>
          <w:w w:val="105"/>
          <w:sz w:val="15"/>
        </w:rPr>
        <w:t>de</w:t>
      </w:r>
      <w:r>
        <w:rPr>
          <w:spacing w:val="-3"/>
          <w:w w:val="105"/>
          <w:sz w:val="15"/>
        </w:rPr>
        <w:t xml:space="preserve"> </w:t>
      </w:r>
      <w:r>
        <w:rPr>
          <w:w w:val="105"/>
          <w:sz w:val="15"/>
        </w:rPr>
        <w:t>Género</w:t>
      </w:r>
      <w:r>
        <w:rPr>
          <w:spacing w:val="-3"/>
          <w:w w:val="105"/>
          <w:sz w:val="15"/>
        </w:rPr>
        <w:t xml:space="preserve"> </w:t>
      </w:r>
      <w:r>
        <w:rPr>
          <w:w w:val="105"/>
          <w:sz w:val="15"/>
        </w:rPr>
        <w:t>está</w:t>
      </w:r>
      <w:r>
        <w:rPr>
          <w:spacing w:val="-3"/>
          <w:w w:val="105"/>
          <w:sz w:val="15"/>
        </w:rPr>
        <w:t xml:space="preserve"> </w:t>
      </w:r>
      <w:r>
        <w:rPr>
          <w:w w:val="105"/>
          <w:sz w:val="15"/>
        </w:rPr>
        <w:t>sujeta</w:t>
      </w:r>
      <w:r>
        <w:rPr>
          <w:spacing w:val="-3"/>
          <w:w w:val="105"/>
          <w:sz w:val="15"/>
        </w:rPr>
        <w:t xml:space="preserve"> </w:t>
      </w:r>
      <w:r>
        <w:rPr>
          <w:w w:val="105"/>
          <w:sz w:val="15"/>
        </w:rPr>
        <w:t>a</w:t>
      </w:r>
      <w:r>
        <w:rPr>
          <w:spacing w:val="-3"/>
          <w:w w:val="105"/>
          <w:sz w:val="15"/>
        </w:rPr>
        <w:t xml:space="preserve"> </w:t>
      </w:r>
      <w:r>
        <w:rPr>
          <w:w w:val="105"/>
          <w:sz w:val="15"/>
        </w:rPr>
        <w:t>una</w:t>
      </w:r>
      <w:r>
        <w:rPr>
          <w:spacing w:val="-3"/>
          <w:w w:val="105"/>
          <w:sz w:val="15"/>
        </w:rPr>
        <w:t xml:space="preserve"> </w:t>
      </w:r>
      <w:r>
        <w:rPr>
          <w:w w:val="105"/>
          <w:sz w:val="15"/>
        </w:rPr>
        <w:t>pena</w:t>
      </w:r>
      <w:r>
        <w:rPr>
          <w:spacing w:val="-3"/>
          <w:w w:val="105"/>
          <w:sz w:val="15"/>
        </w:rPr>
        <w:t xml:space="preserve"> </w:t>
      </w:r>
      <w:r>
        <w:rPr>
          <w:w w:val="105"/>
          <w:sz w:val="15"/>
        </w:rPr>
        <w:t>de</w:t>
      </w:r>
      <w:r>
        <w:rPr>
          <w:spacing w:val="-3"/>
          <w:w w:val="105"/>
          <w:sz w:val="15"/>
        </w:rPr>
        <w:t xml:space="preserve"> </w:t>
      </w:r>
      <w:r>
        <w:rPr>
          <w:w w:val="105"/>
          <w:sz w:val="15"/>
        </w:rPr>
        <w:t>prisión</w:t>
      </w:r>
      <w:r>
        <w:rPr>
          <w:spacing w:val="-3"/>
          <w:w w:val="105"/>
          <w:sz w:val="15"/>
        </w:rPr>
        <w:t xml:space="preserve"> </w:t>
      </w:r>
      <w:r>
        <w:rPr>
          <w:w w:val="105"/>
          <w:sz w:val="15"/>
        </w:rPr>
        <w:t>por</w:t>
      </w:r>
      <w:r>
        <w:rPr>
          <w:spacing w:val="-3"/>
          <w:w w:val="105"/>
          <w:sz w:val="15"/>
        </w:rPr>
        <w:t xml:space="preserve"> </w:t>
      </w:r>
      <w:r>
        <w:rPr>
          <w:w w:val="105"/>
          <w:sz w:val="15"/>
        </w:rPr>
        <w:t>un</w:t>
      </w:r>
      <w:r>
        <w:rPr>
          <w:spacing w:val="-3"/>
          <w:w w:val="105"/>
          <w:sz w:val="15"/>
        </w:rPr>
        <w:t xml:space="preserve"> </w:t>
      </w:r>
      <w:r>
        <w:rPr>
          <w:w w:val="105"/>
          <w:sz w:val="15"/>
        </w:rPr>
        <w:t>período máximo de seis meses, o una multa de hasta 20.000 baht, o ambas.</w:t>
      </w:r>
    </w:p>
    <w:p w14:paraId="11D7E273" w14:textId="77777777" w:rsidR="0014798C" w:rsidRDefault="0014798C">
      <w:pPr>
        <w:pStyle w:val="Textoindependiente"/>
        <w:rPr>
          <w:sz w:val="28"/>
        </w:rPr>
      </w:pPr>
    </w:p>
    <w:p w14:paraId="2217104C" w14:textId="77777777" w:rsidR="0014798C" w:rsidRDefault="0014798C">
      <w:pPr>
        <w:pStyle w:val="Textoindependiente"/>
        <w:spacing w:before="23"/>
        <w:rPr>
          <w:sz w:val="28"/>
        </w:rPr>
      </w:pPr>
    </w:p>
    <w:p w14:paraId="69D90820" w14:textId="77777777" w:rsidR="0014798C" w:rsidRDefault="004E1F0B">
      <w:pPr>
        <w:numPr>
          <w:ilvl w:val="1"/>
          <w:numId w:val="3"/>
        </w:numPr>
        <w:tabs>
          <w:tab w:val="left" w:pos="1480"/>
        </w:tabs>
        <w:ind w:left="1480" w:hanging="360"/>
        <w:rPr>
          <w:color w:val="00AC59"/>
          <w:sz w:val="28"/>
        </w:rPr>
      </w:pPr>
      <w:r>
        <w:rPr>
          <w:color w:val="00AC59"/>
          <w:sz w:val="28"/>
        </w:rPr>
        <w:t>Garantizar</w:t>
      </w:r>
      <w:r>
        <w:rPr>
          <w:color w:val="00AC59"/>
          <w:spacing w:val="4"/>
          <w:sz w:val="28"/>
        </w:rPr>
        <w:t xml:space="preserve"> </w:t>
      </w:r>
      <w:r>
        <w:rPr>
          <w:color w:val="00AC59"/>
          <w:sz w:val="28"/>
        </w:rPr>
        <w:t>la</w:t>
      </w:r>
      <w:r>
        <w:rPr>
          <w:color w:val="00AC59"/>
          <w:spacing w:val="5"/>
          <w:sz w:val="28"/>
        </w:rPr>
        <w:t xml:space="preserve"> </w:t>
      </w:r>
      <w:r>
        <w:rPr>
          <w:color w:val="00AC59"/>
          <w:sz w:val="28"/>
        </w:rPr>
        <w:t>eficacia</w:t>
      </w:r>
      <w:r>
        <w:rPr>
          <w:color w:val="00AC59"/>
          <w:spacing w:val="5"/>
          <w:sz w:val="28"/>
        </w:rPr>
        <w:t xml:space="preserve"> </w:t>
      </w:r>
      <w:r>
        <w:rPr>
          <w:color w:val="00AC59"/>
          <w:sz w:val="28"/>
        </w:rPr>
        <w:t>de</w:t>
      </w:r>
      <w:r>
        <w:rPr>
          <w:color w:val="00AC59"/>
          <w:spacing w:val="5"/>
          <w:sz w:val="28"/>
        </w:rPr>
        <w:t xml:space="preserve"> </w:t>
      </w:r>
      <w:r>
        <w:rPr>
          <w:color w:val="00AC59"/>
          <w:sz w:val="28"/>
        </w:rPr>
        <w:t>los</w:t>
      </w:r>
      <w:r>
        <w:rPr>
          <w:color w:val="00AC59"/>
          <w:spacing w:val="5"/>
          <w:sz w:val="28"/>
        </w:rPr>
        <w:t xml:space="preserve"> </w:t>
      </w:r>
      <w:r>
        <w:rPr>
          <w:color w:val="00AC59"/>
          <w:sz w:val="28"/>
        </w:rPr>
        <w:t>órganos</w:t>
      </w:r>
      <w:r>
        <w:rPr>
          <w:color w:val="00AC59"/>
          <w:spacing w:val="5"/>
          <w:sz w:val="28"/>
        </w:rPr>
        <w:t xml:space="preserve"> </w:t>
      </w:r>
      <w:r>
        <w:rPr>
          <w:color w:val="00AC59"/>
          <w:sz w:val="28"/>
        </w:rPr>
        <w:t>de</w:t>
      </w:r>
      <w:r>
        <w:rPr>
          <w:color w:val="00AC59"/>
          <w:spacing w:val="5"/>
          <w:sz w:val="28"/>
        </w:rPr>
        <w:t xml:space="preserve"> </w:t>
      </w:r>
      <w:r>
        <w:rPr>
          <w:color w:val="00AC59"/>
          <w:spacing w:val="-2"/>
          <w:sz w:val="28"/>
        </w:rPr>
        <w:t>igualdad</w:t>
      </w:r>
    </w:p>
    <w:p w14:paraId="4619AFA2" w14:textId="77777777" w:rsidR="0014798C" w:rsidRDefault="0014798C">
      <w:pPr>
        <w:pStyle w:val="Textoindependiente"/>
        <w:spacing w:before="108"/>
        <w:rPr>
          <w:sz w:val="15"/>
        </w:rPr>
      </w:pPr>
    </w:p>
    <w:p w14:paraId="6273A4EE" w14:textId="77777777" w:rsidR="0014798C" w:rsidRDefault="004E1F0B">
      <w:pPr>
        <w:spacing w:line="348" w:lineRule="auto"/>
        <w:ind w:left="1107" w:right="1463" w:hanging="1"/>
        <w:rPr>
          <w:sz w:val="15"/>
        </w:rPr>
      </w:pPr>
      <w:r>
        <w:rPr>
          <w:sz w:val="15"/>
        </w:rPr>
        <w:t>El establecimiento de órganos de igualdad es esencial para cumplir con las obligaciones de los Estados de respetar, proteger y hacer realidad los derechos a la igualdad y la no discriminación.790 De hecho, es difícil encontrar jurisdicciones que hayan logrado avances significativos en la implementación de los derechos a la igualdad y a la no discriminación. discriminación sin haber establecido y dotado de</w:t>
      </w:r>
      <w:r>
        <w:rPr>
          <w:spacing w:val="1"/>
          <w:sz w:val="15"/>
        </w:rPr>
        <w:t xml:space="preserve"> </w:t>
      </w:r>
      <w:r>
        <w:rPr>
          <w:sz w:val="15"/>
        </w:rPr>
        <w:t>recursos</w:t>
      </w:r>
      <w:r>
        <w:rPr>
          <w:spacing w:val="1"/>
          <w:sz w:val="15"/>
        </w:rPr>
        <w:t xml:space="preserve"> </w:t>
      </w:r>
      <w:r>
        <w:rPr>
          <w:sz w:val="15"/>
        </w:rPr>
        <w:t>adecuados</w:t>
      </w:r>
      <w:r>
        <w:rPr>
          <w:spacing w:val="2"/>
          <w:sz w:val="15"/>
        </w:rPr>
        <w:t xml:space="preserve"> </w:t>
      </w:r>
      <w:r>
        <w:rPr>
          <w:sz w:val="15"/>
        </w:rPr>
        <w:t>a</w:t>
      </w:r>
      <w:r>
        <w:rPr>
          <w:spacing w:val="1"/>
          <w:sz w:val="15"/>
        </w:rPr>
        <w:t xml:space="preserve"> </w:t>
      </w:r>
      <w:r>
        <w:rPr>
          <w:sz w:val="15"/>
        </w:rPr>
        <w:t>una</w:t>
      </w:r>
      <w:r>
        <w:rPr>
          <w:spacing w:val="1"/>
          <w:sz w:val="15"/>
        </w:rPr>
        <w:t xml:space="preserve"> </w:t>
      </w:r>
      <w:r>
        <w:rPr>
          <w:sz w:val="15"/>
        </w:rPr>
        <w:t>institución</w:t>
      </w:r>
      <w:r>
        <w:rPr>
          <w:spacing w:val="2"/>
          <w:sz w:val="15"/>
        </w:rPr>
        <w:t xml:space="preserve"> </w:t>
      </w:r>
      <w:r>
        <w:rPr>
          <w:sz w:val="15"/>
        </w:rPr>
        <w:t>independiente</w:t>
      </w:r>
      <w:r>
        <w:rPr>
          <w:spacing w:val="1"/>
          <w:sz w:val="15"/>
        </w:rPr>
        <w:t xml:space="preserve"> </w:t>
      </w:r>
      <w:r>
        <w:rPr>
          <w:sz w:val="15"/>
        </w:rPr>
        <w:t>para</w:t>
      </w:r>
      <w:r>
        <w:rPr>
          <w:spacing w:val="2"/>
          <w:sz w:val="15"/>
        </w:rPr>
        <w:t xml:space="preserve"> </w:t>
      </w:r>
      <w:r>
        <w:rPr>
          <w:sz w:val="15"/>
        </w:rPr>
        <w:t>supervisar</w:t>
      </w:r>
      <w:r>
        <w:rPr>
          <w:spacing w:val="1"/>
          <w:sz w:val="15"/>
        </w:rPr>
        <w:t xml:space="preserve"> </w:t>
      </w:r>
      <w:r>
        <w:rPr>
          <w:sz w:val="15"/>
        </w:rPr>
        <w:t>la</w:t>
      </w:r>
      <w:r>
        <w:rPr>
          <w:spacing w:val="1"/>
          <w:sz w:val="15"/>
        </w:rPr>
        <w:t xml:space="preserve"> </w:t>
      </w:r>
      <w:r>
        <w:rPr>
          <w:sz w:val="15"/>
        </w:rPr>
        <w:t>implementación,</w:t>
      </w:r>
      <w:r>
        <w:rPr>
          <w:spacing w:val="3"/>
          <w:sz w:val="15"/>
        </w:rPr>
        <w:t xml:space="preserve"> </w:t>
      </w:r>
      <w:r>
        <w:rPr>
          <w:sz w:val="15"/>
        </w:rPr>
        <w:t>brindar</w:t>
      </w:r>
      <w:r>
        <w:rPr>
          <w:spacing w:val="1"/>
          <w:sz w:val="15"/>
        </w:rPr>
        <w:t xml:space="preserve"> </w:t>
      </w:r>
      <w:r>
        <w:rPr>
          <w:sz w:val="15"/>
        </w:rPr>
        <w:t>experiencia</w:t>
      </w:r>
      <w:r>
        <w:rPr>
          <w:spacing w:val="2"/>
          <w:sz w:val="15"/>
        </w:rPr>
        <w:t xml:space="preserve"> </w:t>
      </w:r>
      <w:r>
        <w:rPr>
          <w:sz w:val="15"/>
        </w:rPr>
        <w:t>y</w:t>
      </w:r>
      <w:r>
        <w:rPr>
          <w:spacing w:val="1"/>
          <w:sz w:val="15"/>
        </w:rPr>
        <w:t xml:space="preserve"> </w:t>
      </w:r>
      <w:r>
        <w:rPr>
          <w:sz w:val="15"/>
        </w:rPr>
        <w:t>ayudar</w:t>
      </w:r>
      <w:r>
        <w:rPr>
          <w:spacing w:val="1"/>
          <w:sz w:val="15"/>
        </w:rPr>
        <w:t xml:space="preserve"> </w:t>
      </w:r>
      <w:r>
        <w:rPr>
          <w:sz w:val="15"/>
        </w:rPr>
        <w:t>a</w:t>
      </w:r>
      <w:r>
        <w:rPr>
          <w:spacing w:val="2"/>
          <w:sz w:val="15"/>
        </w:rPr>
        <w:t xml:space="preserve"> </w:t>
      </w:r>
      <w:r>
        <w:rPr>
          <w:sz w:val="15"/>
        </w:rPr>
        <w:t>las</w:t>
      </w:r>
      <w:r>
        <w:rPr>
          <w:spacing w:val="1"/>
          <w:sz w:val="15"/>
        </w:rPr>
        <w:t xml:space="preserve"> </w:t>
      </w:r>
      <w:r>
        <w:rPr>
          <w:spacing w:val="-2"/>
          <w:sz w:val="15"/>
        </w:rPr>
        <w:t>víctimas.</w:t>
      </w:r>
    </w:p>
    <w:p w14:paraId="098B1874" w14:textId="77777777" w:rsidR="0014798C" w:rsidRDefault="0014798C">
      <w:pPr>
        <w:pStyle w:val="Textoindependiente"/>
        <w:rPr>
          <w:sz w:val="15"/>
        </w:rPr>
      </w:pPr>
    </w:p>
    <w:p w14:paraId="3835D363" w14:textId="77777777" w:rsidR="0014798C" w:rsidRDefault="0014798C">
      <w:pPr>
        <w:pStyle w:val="Textoindependiente"/>
        <w:spacing w:before="73"/>
        <w:rPr>
          <w:sz w:val="15"/>
        </w:rPr>
      </w:pPr>
    </w:p>
    <w:p w14:paraId="03FB4E1E" w14:textId="77777777" w:rsidR="0014798C" w:rsidRDefault="004E1F0B">
      <w:pPr>
        <w:spacing w:line="348" w:lineRule="auto"/>
        <w:ind w:left="1107" w:right="1272" w:firstLine="2"/>
        <w:rPr>
          <w:sz w:val="15"/>
        </w:rPr>
      </w:pPr>
      <w:r>
        <w:rPr>
          <w:w w:val="105"/>
          <w:sz w:val="15"/>
        </w:rPr>
        <w:t>Se</w:t>
      </w:r>
      <w:r>
        <w:rPr>
          <w:spacing w:val="-2"/>
          <w:w w:val="105"/>
          <w:sz w:val="15"/>
        </w:rPr>
        <w:t xml:space="preserve"> </w:t>
      </w:r>
      <w:r>
        <w:rPr>
          <w:w w:val="105"/>
          <w:sz w:val="15"/>
        </w:rPr>
        <w:t>han</w:t>
      </w:r>
      <w:r>
        <w:rPr>
          <w:spacing w:val="-2"/>
          <w:w w:val="105"/>
          <w:sz w:val="15"/>
        </w:rPr>
        <w:t xml:space="preserve"> </w:t>
      </w:r>
      <w:r>
        <w:rPr>
          <w:w w:val="105"/>
          <w:sz w:val="15"/>
        </w:rPr>
        <w:t>establecido</w:t>
      </w:r>
      <w:r>
        <w:rPr>
          <w:spacing w:val="-2"/>
          <w:w w:val="105"/>
          <w:sz w:val="15"/>
        </w:rPr>
        <w:t xml:space="preserve"> </w:t>
      </w:r>
      <w:r>
        <w:rPr>
          <w:w w:val="105"/>
          <w:sz w:val="15"/>
        </w:rPr>
        <w:t>diferentes</w:t>
      </w:r>
      <w:r>
        <w:rPr>
          <w:spacing w:val="-2"/>
          <w:w w:val="105"/>
          <w:sz w:val="15"/>
        </w:rPr>
        <w:t xml:space="preserve"> </w:t>
      </w:r>
      <w:r>
        <w:rPr>
          <w:w w:val="105"/>
          <w:sz w:val="15"/>
        </w:rPr>
        <w:t>modelos</w:t>
      </w:r>
      <w:r>
        <w:rPr>
          <w:spacing w:val="-2"/>
          <w:w w:val="105"/>
          <w:sz w:val="15"/>
        </w:rPr>
        <w:t xml:space="preserve"> </w:t>
      </w:r>
      <w:r>
        <w:rPr>
          <w:w w:val="105"/>
          <w:sz w:val="15"/>
        </w:rPr>
        <w:t>de</w:t>
      </w:r>
      <w:r>
        <w:rPr>
          <w:spacing w:val="-2"/>
          <w:w w:val="105"/>
          <w:sz w:val="15"/>
        </w:rPr>
        <w:t xml:space="preserve"> </w:t>
      </w:r>
      <w:r>
        <w:rPr>
          <w:w w:val="105"/>
          <w:sz w:val="15"/>
        </w:rPr>
        <w:t>organismo</w:t>
      </w:r>
      <w:r>
        <w:rPr>
          <w:spacing w:val="-2"/>
          <w:w w:val="105"/>
          <w:sz w:val="15"/>
        </w:rPr>
        <w:t xml:space="preserve"> </w:t>
      </w:r>
      <w:r>
        <w:rPr>
          <w:w w:val="105"/>
          <w:sz w:val="15"/>
        </w:rPr>
        <w:t>de</w:t>
      </w:r>
      <w:r>
        <w:rPr>
          <w:spacing w:val="-2"/>
          <w:w w:val="105"/>
          <w:sz w:val="15"/>
        </w:rPr>
        <w:t xml:space="preserve"> </w:t>
      </w:r>
      <w:r>
        <w:rPr>
          <w:w w:val="105"/>
          <w:sz w:val="15"/>
        </w:rPr>
        <w:t>igualdad</w:t>
      </w:r>
      <w:r>
        <w:rPr>
          <w:spacing w:val="-2"/>
          <w:w w:val="105"/>
          <w:sz w:val="15"/>
        </w:rPr>
        <w:t xml:space="preserve"> </w:t>
      </w:r>
      <w:r>
        <w:rPr>
          <w:w w:val="105"/>
          <w:sz w:val="15"/>
        </w:rPr>
        <w:t>a</w:t>
      </w:r>
      <w:r>
        <w:rPr>
          <w:spacing w:val="-2"/>
          <w:w w:val="105"/>
          <w:sz w:val="15"/>
        </w:rPr>
        <w:t xml:space="preserve"> </w:t>
      </w:r>
      <w:r>
        <w:rPr>
          <w:w w:val="105"/>
          <w:sz w:val="15"/>
        </w:rPr>
        <w:t>nivel</w:t>
      </w:r>
      <w:r>
        <w:rPr>
          <w:spacing w:val="-2"/>
          <w:w w:val="105"/>
          <w:sz w:val="15"/>
        </w:rPr>
        <w:t xml:space="preserve"> </w:t>
      </w:r>
      <w:r>
        <w:rPr>
          <w:w w:val="105"/>
          <w:sz w:val="15"/>
        </w:rPr>
        <w:t>nacional,</w:t>
      </w:r>
      <w:r>
        <w:rPr>
          <w:spacing w:val="-1"/>
          <w:w w:val="105"/>
          <w:sz w:val="15"/>
        </w:rPr>
        <w:t xml:space="preserve"> </w:t>
      </w:r>
      <w:r>
        <w:rPr>
          <w:w w:val="105"/>
          <w:sz w:val="15"/>
        </w:rPr>
        <w:t>que</w:t>
      </w:r>
      <w:r>
        <w:rPr>
          <w:spacing w:val="-2"/>
          <w:w w:val="105"/>
          <w:sz w:val="15"/>
        </w:rPr>
        <w:t xml:space="preserve"> </w:t>
      </w:r>
      <w:r>
        <w:rPr>
          <w:w w:val="105"/>
          <w:sz w:val="15"/>
        </w:rPr>
        <w:t>pueden</w:t>
      </w:r>
      <w:r>
        <w:rPr>
          <w:spacing w:val="-2"/>
          <w:w w:val="105"/>
          <w:sz w:val="15"/>
        </w:rPr>
        <w:t xml:space="preserve"> </w:t>
      </w:r>
      <w:r>
        <w:rPr>
          <w:w w:val="105"/>
          <w:sz w:val="15"/>
        </w:rPr>
        <w:t>ser</w:t>
      </w:r>
      <w:r>
        <w:rPr>
          <w:spacing w:val="-2"/>
          <w:w w:val="105"/>
          <w:sz w:val="15"/>
        </w:rPr>
        <w:t xml:space="preserve"> </w:t>
      </w:r>
      <w:r>
        <w:rPr>
          <w:w w:val="105"/>
          <w:sz w:val="15"/>
        </w:rPr>
        <w:t>más</w:t>
      </w:r>
      <w:r>
        <w:rPr>
          <w:spacing w:val="-2"/>
          <w:w w:val="105"/>
          <w:sz w:val="15"/>
        </w:rPr>
        <w:t xml:space="preserve"> </w:t>
      </w:r>
      <w:r>
        <w:rPr>
          <w:w w:val="105"/>
          <w:sz w:val="15"/>
        </w:rPr>
        <w:t>adecuados</w:t>
      </w:r>
      <w:r>
        <w:rPr>
          <w:spacing w:val="-2"/>
          <w:w w:val="105"/>
          <w:sz w:val="15"/>
        </w:rPr>
        <w:t xml:space="preserve"> </w:t>
      </w:r>
      <w:r>
        <w:rPr>
          <w:w w:val="105"/>
          <w:sz w:val="15"/>
        </w:rPr>
        <w:t>para</w:t>
      </w:r>
      <w:r>
        <w:rPr>
          <w:spacing w:val="-2"/>
          <w:w w:val="105"/>
          <w:sz w:val="15"/>
        </w:rPr>
        <w:t xml:space="preserve"> </w:t>
      </w:r>
      <w:r>
        <w:rPr>
          <w:w w:val="105"/>
          <w:sz w:val="15"/>
        </w:rPr>
        <w:t>algunos contextos</w:t>
      </w:r>
      <w:r>
        <w:rPr>
          <w:spacing w:val="-7"/>
          <w:w w:val="105"/>
          <w:sz w:val="15"/>
        </w:rPr>
        <w:t xml:space="preserve"> </w:t>
      </w:r>
      <w:r>
        <w:rPr>
          <w:w w:val="105"/>
          <w:sz w:val="15"/>
        </w:rPr>
        <w:t>que</w:t>
      </w:r>
      <w:r>
        <w:rPr>
          <w:spacing w:val="-7"/>
          <w:w w:val="105"/>
          <w:sz w:val="15"/>
        </w:rPr>
        <w:t xml:space="preserve"> </w:t>
      </w:r>
      <w:r>
        <w:rPr>
          <w:w w:val="105"/>
          <w:sz w:val="15"/>
        </w:rPr>
        <w:t>para</w:t>
      </w:r>
      <w:r>
        <w:rPr>
          <w:spacing w:val="-7"/>
          <w:w w:val="105"/>
          <w:sz w:val="15"/>
        </w:rPr>
        <w:t xml:space="preserve"> </w:t>
      </w:r>
      <w:r>
        <w:rPr>
          <w:w w:val="105"/>
          <w:sz w:val="15"/>
        </w:rPr>
        <w:t>otros.</w:t>
      </w:r>
      <w:r>
        <w:rPr>
          <w:spacing w:val="-7"/>
          <w:w w:val="105"/>
          <w:sz w:val="15"/>
        </w:rPr>
        <w:t xml:space="preserve"> </w:t>
      </w:r>
      <w:r>
        <w:rPr>
          <w:w w:val="105"/>
          <w:sz w:val="15"/>
        </w:rPr>
        <w:t>Si</w:t>
      </w:r>
      <w:r>
        <w:rPr>
          <w:spacing w:val="-7"/>
          <w:w w:val="105"/>
          <w:sz w:val="15"/>
        </w:rPr>
        <w:t xml:space="preserve"> </w:t>
      </w:r>
      <w:r>
        <w:rPr>
          <w:w w:val="105"/>
          <w:sz w:val="15"/>
        </w:rPr>
        <w:t>bien</w:t>
      </w:r>
      <w:r>
        <w:rPr>
          <w:spacing w:val="-7"/>
          <w:w w:val="105"/>
          <w:sz w:val="15"/>
        </w:rPr>
        <w:t xml:space="preserve"> </w:t>
      </w:r>
      <w:r>
        <w:rPr>
          <w:w w:val="105"/>
          <w:sz w:val="15"/>
        </w:rPr>
        <w:t>los</w:t>
      </w:r>
      <w:r>
        <w:rPr>
          <w:spacing w:val="-7"/>
          <w:w w:val="105"/>
          <w:sz w:val="15"/>
        </w:rPr>
        <w:t xml:space="preserve"> </w:t>
      </w:r>
      <w:r>
        <w:rPr>
          <w:w w:val="105"/>
          <w:sz w:val="15"/>
        </w:rPr>
        <w:t>Estados</w:t>
      </w:r>
      <w:r>
        <w:rPr>
          <w:spacing w:val="-7"/>
          <w:w w:val="105"/>
          <w:sz w:val="15"/>
        </w:rPr>
        <w:t xml:space="preserve"> </w:t>
      </w:r>
      <w:r>
        <w:rPr>
          <w:w w:val="105"/>
          <w:sz w:val="15"/>
        </w:rPr>
        <w:t>poseen</w:t>
      </w:r>
      <w:r>
        <w:rPr>
          <w:spacing w:val="-7"/>
          <w:w w:val="105"/>
          <w:sz w:val="15"/>
        </w:rPr>
        <w:t xml:space="preserve"> </w:t>
      </w:r>
      <w:r>
        <w:rPr>
          <w:w w:val="105"/>
          <w:sz w:val="15"/>
        </w:rPr>
        <w:t>cierta</w:t>
      </w:r>
      <w:r>
        <w:rPr>
          <w:spacing w:val="-7"/>
          <w:w w:val="105"/>
          <w:sz w:val="15"/>
        </w:rPr>
        <w:t xml:space="preserve"> </w:t>
      </w:r>
      <w:r>
        <w:rPr>
          <w:w w:val="105"/>
          <w:sz w:val="15"/>
        </w:rPr>
        <w:t>flexibilidad</w:t>
      </w:r>
      <w:r>
        <w:rPr>
          <w:spacing w:val="-7"/>
          <w:w w:val="105"/>
          <w:sz w:val="15"/>
        </w:rPr>
        <w:t xml:space="preserve"> </w:t>
      </w:r>
      <w:r>
        <w:rPr>
          <w:w w:val="105"/>
          <w:sz w:val="15"/>
        </w:rPr>
        <w:t>para</w:t>
      </w:r>
      <w:r>
        <w:rPr>
          <w:spacing w:val="-7"/>
          <w:w w:val="105"/>
          <w:sz w:val="15"/>
        </w:rPr>
        <w:t xml:space="preserve"> </w:t>
      </w:r>
      <w:r>
        <w:rPr>
          <w:w w:val="105"/>
          <w:sz w:val="15"/>
        </w:rPr>
        <w:t>determinar</w:t>
      </w:r>
      <w:r>
        <w:rPr>
          <w:spacing w:val="-7"/>
          <w:w w:val="105"/>
          <w:sz w:val="15"/>
        </w:rPr>
        <w:t xml:space="preserve"> </w:t>
      </w:r>
      <w:r>
        <w:rPr>
          <w:w w:val="105"/>
          <w:sz w:val="15"/>
        </w:rPr>
        <w:t>el</w:t>
      </w:r>
      <w:r>
        <w:rPr>
          <w:spacing w:val="-7"/>
          <w:w w:val="105"/>
          <w:sz w:val="15"/>
        </w:rPr>
        <w:t xml:space="preserve"> </w:t>
      </w:r>
      <w:r>
        <w:rPr>
          <w:w w:val="105"/>
          <w:sz w:val="15"/>
        </w:rPr>
        <w:t>mandato,</w:t>
      </w:r>
      <w:r>
        <w:rPr>
          <w:spacing w:val="-6"/>
          <w:w w:val="105"/>
          <w:sz w:val="15"/>
        </w:rPr>
        <w:t xml:space="preserve"> </w:t>
      </w:r>
      <w:r>
        <w:rPr>
          <w:w w:val="105"/>
          <w:sz w:val="15"/>
        </w:rPr>
        <w:t>las</w:t>
      </w:r>
      <w:r>
        <w:rPr>
          <w:spacing w:val="-7"/>
          <w:w w:val="105"/>
          <w:sz w:val="15"/>
        </w:rPr>
        <w:t xml:space="preserve"> </w:t>
      </w:r>
      <w:r>
        <w:rPr>
          <w:w w:val="105"/>
          <w:sz w:val="15"/>
        </w:rPr>
        <w:t>funciones</w:t>
      </w:r>
      <w:r>
        <w:rPr>
          <w:spacing w:val="-7"/>
          <w:w w:val="105"/>
          <w:sz w:val="15"/>
        </w:rPr>
        <w:t xml:space="preserve"> </w:t>
      </w:r>
      <w:r>
        <w:rPr>
          <w:w w:val="105"/>
          <w:sz w:val="15"/>
        </w:rPr>
        <w:t>y</w:t>
      </w:r>
      <w:r>
        <w:rPr>
          <w:spacing w:val="-7"/>
          <w:w w:val="105"/>
          <w:sz w:val="15"/>
        </w:rPr>
        <w:t xml:space="preserve"> </w:t>
      </w:r>
      <w:r>
        <w:rPr>
          <w:w w:val="105"/>
          <w:sz w:val="15"/>
        </w:rPr>
        <w:t>los</w:t>
      </w:r>
      <w:r>
        <w:rPr>
          <w:spacing w:val="-7"/>
          <w:w w:val="105"/>
          <w:sz w:val="15"/>
        </w:rPr>
        <w:t xml:space="preserve"> </w:t>
      </w:r>
      <w:r>
        <w:rPr>
          <w:w w:val="105"/>
          <w:sz w:val="15"/>
        </w:rPr>
        <w:t>poderes</w:t>
      </w:r>
      <w:r>
        <w:rPr>
          <w:spacing w:val="-7"/>
          <w:w w:val="105"/>
          <w:sz w:val="15"/>
        </w:rPr>
        <w:t xml:space="preserve"> </w:t>
      </w:r>
      <w:r>
        <w:rPr>
          <w:w w:val="105"/>
          <w:sz w:val="15"/>
        </w:rPr>
        <w:t>de</w:t>
      </w:r>
      <w:r>
        <w:rPr>
          <w:spacing w:val="-7"/>
          <w:w w:val="105"/>
          <w:sz w:val="15"/>
        </w:rPr>
        <w:t xml:space="preserve"> </w:t>
      </w:r>
      <w:r>
        <w:rPr>
          <w:w w:val="105"/>
          <w:sz w:val="15"/>
        </w:rPr>
        <w:t>las instituciones</w:t>
      </w:r>
      <w:r>
        <w:rPr>
          <w:spacing w:val="-2"/>
          <w:w w:val="105"/>
          <w:sz w:val="15"/>
        </w:rPr>
        <w:t xml:space="preserve"> </w:t>
      </w:r>
      <w:r>
        <w:rPr>
          <w:w w:val="105"/>
          <w:sz w:val="15"/>
        </w:rPr>
        <w:t>que</w:t>
      </w:r>
      <w:r>
        <w:rPr>
          <w:spacing w:val="-2"/>
          <w:w w:val="105"/>
          <w:sz w:val="15"/>
        </w:rPr>
        <w:t xml:space="preserve"> </w:t>
      </w:r>
      <w:r>
        <w:rPr>
          <w:w w:val="105"/>
          <w:sz w:val="15"/>
        </w:rPr>
        <w:t>establecen</w:t>
      </w:r>
      <w:r>
        <w:rPr>
          <w:spacing w:val="-2"/>
          <w:w w:val="105"/>
          <w:sz w:val="15"/>
        </w:rPr>
        <w:t xml:space="preserve"> </w:t>
      </w:r>
      <w:r>
        <w:rPr>
          <w:w w:val="105"/>
          <w:sz w:val="15"/>
        </w:rPr>
        <w:t>conforme</w:t>
      </w:r>
      <w:r>
        <w:rPr>
          <w:spacing w:val="-2"/>
          <w:w w:val="105"/>
          <w:sz w:val="15"/>
        </w:rPr>
        <w:t xml:space="preserve"> </w:t>
      </w:r>
      <w:r>
        <w:rPr>
          <w:w w:val="105"/>
          <w:sz w:val="15"/>
        </w:rPr>
        <w:t>a</w:t>
      </w:r>
      <w:r>
        <w:rPr>
          <w:spacing w:val="-2"/>
          <w:w w:val="105"/>
          <w:sz w:val="15"/>
        </w:rPr>
        <w:t xml:space="preserve"> </w:t>
      </w:r>
      <w:r>
        <w:rPr>
          <w:w w:val="105"/>
          <w:sz w:val="15"/>
        </w:rPr>
        <w:t>la</w:t>
      </w:r>
      <w:r>
        <w:rPr>
          <w:spacing w:val="-2"/>
          <w:w w:val="105"/>
          <w:sz w:val="15"/>
        </w:rPr>
        <w:t xml:space="preserve"> </w:t>
      </w:r>
      <w:r>
        <w:rPr>
          <w:w w:val="105"/>
          <w:sz w:val="15"/>
        </w:rPr>
        <w:t>legislación</w:t>
      </w:r>
      <w:r>
        <w:rPr>
          <w:spacing w:val="-2"/>
          <w:w w:val="105"/>
          <w:sz w:val="15"/>
        </w:rPr>
        <w:t xml:space="preserve"> </w:t>
      </w:r>
      <w:r>
        <w:rPr>
          <w:w w:val="105"/>
          <w:sz w:val="15"/>
        </w:rPr>
        <w:t>nacional,</w:t>
      </w:r>
      <w:r>
        <w:rPr>
          <w:spacing w:val="-1"/>
          <w:w w:val="105"/>
          <w:sz w:val="15"/>
        </w:rPr>
        <w:t xml:space="preserve"> </w:t>
      </w:r>
      <w:r>
        <w:rPr>
          <w:w w:val="105"/>
          <w:sz w:val="15"/>
        </w:rPr>
        <w:t>los</w:t>
      </w:r>
      <w:r>
        <w:rPr>
          <w:spacing w:val="-2"/>
          <w:w w:val="105"/>
          <w:sz w:val="15"/>
        </w:rPr>
        <w:t xml:space="preserve"> </w:t>
      </w:r>
      <w:r>
        <w:rPr>
          <w:w w:val="105"/>
          <w:sz w:val="15"/>
        </w:rPr>
        <w:t>órganos</w:t>
      </w:r>
      <w:r>
        <w:rPr>
          <w:spacing w:val="-2"/>
          <w:w w:val="105"/>
          <w:sz w:val="15"/>
        </w:rPr>
        <w:t xml:space="preserve"> </w:t>
      </w:r>
      <w:r>
        <w:rPr>
          <w:w w:val="105"/>
          <w:sz w:val="15"/>
        </w:rPr>
        <w:t>de</w:t>
      </w:r>
      <w:r>
        <w:rPr>
          <w:spacing w:val="-2"/>
          <w:w w:val="105"/>
          <w:sz w:val="15"/>
        </w:rPr>
        <w:t xml:space="preserve"> </w:t>
      </w:r>
      <w:r>
        <w:rPr>
          <w:w w:val="105"/>
          <w:sz w:val="15"/>
        </w:rPr>
        <w:t>igualdad</w:t>
      </w:r>
      <w:r>
        <w:rPr>
          <w:spacing w:val="-2"/>
          <w:w w:val="105"/>
          <w:sz w:val="15"/>
        </w:rPr>
        <w:t xml:space="preserve"> </w:t>
      </w:r>
      <w:r>
        <w:rPr>
          <w:w w:val="105"/>
          <w:sz w:val="15"/>
        </w:rPr>
        <w:t>deben</w:t>
      </w:r>
      <w:r>
        <w:rPr>
          <w:spacing w:val="-2"/>
          <w:w w:val="105"/>
          <w:sz w:val="15"/>
        </w:rPr>
        <w:t xml:space="preserve"> </w:t>
      </w:r>
      <w:r>
        <w:rPr>
          <w:w w:val="105"/>
          <w:sz w:val="15"/>
        </w:rPr>
        <w:t>ser</w:t>
      </w:r>
      <w:r>
        <w:rPr>
          <w:spacing w:val="-2"/>
          <w:w w:val="105"/>
          <w:sz w:val="15"/>
        </w:rPr>
        <w:t xml:space="preserve"> </w:t>
      </w:r>
      <w:r>
        <w:rPr>
          <w:w w:val="105"/>
          <w:sz w:val="15"/>
        </w:rPr>
        <w:t>eficaces</w:t>
      </w:r>
      <w:r>
        <w:rPr>
          <w:spacing w:val="-2"/>
          <w:w w:val="105"/>
          <w:sz w:val="15"/>
        </w:rPr>
        <w:t xml:space="preserve"> </w:t>
      </w:r>
      <w:r>
        <w:rPr>
          <w:w w:val="105"/>
          <w:sz w:val="15"/>
        </w:rPr>
        <w:t>para</w:t>
      </w:r>
      <w:r>
        <w:rPr>
          <w:spacing w:val="-2"/>
          <w:w w:val="105"/>
          <w:sz w:val="15"/>
        </w:rPr>
        <w:t xml:space="preserve"> </w:t>
      </w:r>
      <w:r>
        <w:rPr>
          <w:w w:val="105"/>
          <w:sz w:val="15"/>
        </w:rPr>
        <w:t>promover</w:t>
      </w:r>
      <w:r>
        <w:rPr>
          <w:spacing w:val="-2"/>
          <w:w w:val="105"/>
          <w:sz w:val="15"/>
        </w:rPr>
        <w:t xml:space="preserve"> </w:t>
      </w:r>
      <w:r>
        <w:rPr>
          <w:w w:val="105"/>
          <w:sz w:val="15"/>
        </w:rPr>
        <w:t>la protección</w:t>
      </w:r>
      <w:r>
        <w:rPr>
          <w:spacing w:val="-2"/>
          <w:w w:val="105"/>
          <w:sz w:val="15"/>
        </w:rPr>
        <w:t xml:space="preserve"> </w:t>
      </w:r>
      <w:r>
        <w:rPr>
          <w:w w:val="105"/>
          <w:sz w:val="15"/>
        </w:rPr>
        <w:t>de</w:t>
      </w:r>
      <w:r>
        <w:rPr>
          <w:spacing w:val="-2"/>
          <w:w w:val="105"/>
          <w:sz w:val="15"/>
        </w:rPr>
        <w:t xml:space="preserve"> </w:t>
      </w:r>
      <w:r>
        <w:rPr>
          <w:w w:val="105"/>
          <w:sz w:val="15"/>
        </w:rPr>
        <w:t>los</w:t>
      </w:r>
      <w:r>
        <w:rPr>
          <w:spacing w:val="-2"/>
          <w:w w:val="105"/>
          <w:sz w:val="15"/>
        </w:rPr>
        <w:t xml:space="preserve"> </w:t>
      </w:r>
      <w:r>
        <w:rPr>
          <w:w w:val="105"/>
          <w:sz w:val="15"/>
        </w:rPr>
        <w:t>derechos</w:t>
      </w:r>
      <w:r>
        <w:rPr>
          <w:spacing w:val="-2"/>
          <w:w w:val="105"/>
          <w:sz w:val="15"/>
        </w:rPr>
        <w:t xml:space="preserve"> </w:t>
      </w:r>
      <w:r>
        <w:rPr>
          <w:w w:val="105"/>
          <w:sz w:val="15"/>
        </w:rPr>
        <w:t>a</w:t>
      </w:r>
      <w:r>
        <w:rPr>
          <w:spacing w:val="-2"/>
          <w:w w:val="105"/>
          <w:sz w:val="15"/>
        </w:rPr>
        <w:t xml:space="preserve"> </w:t>
      </w:r>
      <w:r>
        <w:rPr>
          <w:w w:val="105"/>
          <w:sz w:val="15"/>
        </w:rPr>
        <w:t>la</w:t>
      </w:r>
      <w:r>
        <w:rPr>
          <w:spacing w:val="-2"/>
          <w:w w:val="105"/>
          <w:sz w:val="15"/>
        </w:rPr>
        <w:t xml:space="preserve"> </w:t>
      </w:r>
      <w:r>
        <w:rPr>
          <w:w w:val="105"/>
          <w:sz w:val="15"/>
        </w:rPr>
        <w:t>igualdad</w:t>
      </w:r>
      <w:r>
        <w:rPr>
          <w:spacing w:val="-2"/>
          <w:w w:val="105"/>
          <w:sz w:val="15"/>
        </w:rPr>
        <w:t xml:space="preserve"> </w:t>
      </w:r>
      <w:r>
        <w:rPr>
          <w:w w:val="105"/>
          <w:sz w:val="15"/>
        </w:rPr>
        <w:t>y</w:t>
      </w:r>
      <w:r>
        <w:rPr>
          <w:spacing w:val="-2"/>
          <w:w w:val="105"/>
          <w:sz w:val="15"/>
        </w:rPr>
        <w:t xml:space="preserve"> </w:t>
      </w:r>
      <w:r>
        <w:rPr>
          <w:w w:val="105"/>
          <w:sz w:val="15"/>
        </w:rPr>
        <w:t>la</w:t>
      </w:r>
      <w:r>
        <w:rPr>
          <w:spacing w:val="-2"/>
          <w:w w:val="105"/>
          <w:sz w:val="15"/>
        </w:rPr>
        <w:t xml:space="preserve"> </w:t>
      </w:r>
      <w:r>
        <w:rPr>
          <w:w w:val="105"/>
          <w:sz w:val="15"/>
        </w:rPr>
        <w:t>no</w:t>
      </w:r>
      <w:r>
        <w:rPr>
          <w:spacing w:val="-2"/>
          <w:w w:val="105"/>
          <w:sz w:val="15"/>
        </w:rPr>
        <w:t xml:space="preserve"> </w:t>
      </w:r>
      <w:r>
        <w:rPr>
          <w:w w:val="105"/>
          <w:sz w:val="15"/>
        </w:rPr>
        <w:t>discriminación.</w:t>
      </w:r>
      <w:r>
        <w:rPr>
          <w:spacing w:val="-1"/>
          <w:w w:val="105"/>
          <w:sz w:val="15"/>
        </w:rPr>
        <w:t xml:space="preserve"> </w:t>
      </w:r>
      <w:r>
        <w:rPr>
          <w:w w:val="105"/>
          <w:sz w:val="15"/>
        </w:rPr>
        <w:t>Esto</w:t>
      </w:r>
      <w:r>
        <w:rPr>
          <w:spacing w:val="-2"/>
          <w:w w:val="105"/>
          <w:sz w:val="15"/>
        </w:rPr>
        <w:t xml:space="preserve"> </w:t>
      </w:r>
      <w:r>
        <w:rPr>
          <w:w w:val="105"/>
          <w:sz w:val="15"/>
        </w:rPr>
        <w:t>requiere</w:t>
      </w:r>
      <w:r>
        <w:rPr>
          <w:spacing w:val="-2"/>
          <w:w w:val="105"/>
          <w:sz w:val="15"/>
        </w:rPr>
        <w:t xml:space="preserve"> </w:t>
      </w:r>
      <w:r>
        <w:rPr>
          <w:w w:val="105"/>
          <w:sz w:val="15"/>
        </w:rPr>
        <w:t>que</w:t>
      </w:r>
      <w:r>
        <w:rPr>
          <w:spacing w:val="-2"/>
          <w:w w:val="105"/>
          <w:sz w:val="15"/>
        </w:rPr>
        <w:t xml:space="preserve"> </w:t>
      </w:r>
      <w:r>
        <w:rPr>
          <w:w w:val="105"/>
          <w:sz w:val="15"/>
        </w:rPr>
        <w:t>se</w:t>
      </w:r>
      <w:r>
        <w:rPr>
          <w:spacing w:val="-2"/>
          <w:w w:val="105"/>
          <w:sz w:val="15"/>
        </w:rPr>
        <w:t xml:space="preserve"> </w:t>
      </w:r>
      <w:r>
        <w:rPr>
          <w:w w:val="105"/>
          <w:sz w:val="15"/>
        </w:rPr>
        <w:t>cumplan</w:t>
      </w:r>
      <w:r>
        <w:rPr>
          <w:spacing w:val="-2"/>
          <w:w w:val="105"/>
          <w:sz w:val="15"/>
        </w:rPr>
        <w:t xml:space="preserve"> </w:t>
      </w:r>
      <w:r>
        <w:rPr>
          <w:w w:val="105"/>
          <w:sz w:val="15"/>
        </w:rPr>
        <w:t>cada</w:t>
      </w:r>
      <w:r>
        <w:rPr>
          <w:spacing w:val="-2"/>
          <w:w w:val="105"/>
          <w:sz w:val="15"/>
        </w:rPr>
        <w:t xml:space="preserve"> </w:t>
      </w:r>
      <w:r>
        <w:rPr>
          <w:w w:val="105"/>
          <w:sz w:val="15"/>
        </w:rPr>
        <w:t>una</w:t>
      </w:r>
      <w:r>
        <w:rPr>
          <w:spacing w:val="-2"/>
          <w:w w:val="105"/>
          <w:sz w:val="15"/>
        </w:rPr>
        <w:t xml:space="preserve"> </w:t>
      </w:r>
      <w:r>
        <w:rPr>
          <w:w w:val="105"/>
          <w:sz w:val="15"/>
        </w:rPr>
        <w:t>de</w:t>
      </w:r>
      <w:r>
        <w:rPr>
          <w:spacing w:val="-2"/>
          <w:w w:val="105"/>
          <w:sz w:val="15"/>
        </w:rPr>
        <w:t xml:space="preserve"> </w:t>
      </w:r>
      <w:r>
        <w:rPr>
          <w:w w:val="105"/>
          <w:sz w:val="15"/>
        </w:rPr>
        <w:t>esas</w:t>
      </w:r>
      <w:r>
        <w:rPr>
          <w:spacing w:val="-2"/>
          <w:w w:val="105"/>
          <w:sz w:val="15"/>
        </w:rPr>
        <w:t xml:space="preserve"> </w:t>
      </w:r>
      <w:r>
        <w:rPr>
          <w:w w:val="105"/>
          <w:sz w:val="15"/>
        </w:rPr>
        <w:t>garantías institucionales</w:t>
      </w:r>
      <w:r>
        <w:rPr>
          <w:spacing w:val="-6"/>
          <w:w w:val="105"/>
          <w:sz w:val="15"/>
        </w:rPr>
        <w:t xml:space="preserve"> </w:t>
      </w:r>
      <w:r>
        <w:rPr>
          <w:w w:val="105"/>
          <w:sz w:val="15"/>
        </w:rPr>
        <w:t>de</w:t>
      </w:r>
      <w:r>
        <w:rPr>
          <w:spacing w:val="-5"/>
          <w:w w:val="105"/>
          <w:sz w:val="15"/>
        </w:rPr>
        <w:t xml:space="preserve"> </w:t>
      </w:r>
      <w:r>
        <w:rPr>
          <w:w w:val="105"/>
          <w:sz w:val="15"/>
        </w:rPr>
        <w:t>independencia,</w:t>
      </w:r>
      <w:r>
        <w:rPr>
          <w:spacing w:val="-4"/>
          <w:w w:val="105"/>
          <w:sz w:val="15"/>
        </w:rPr>
        <w:t xml:space="preserve"> </w:t>
      </w:r>
      <w:r>
        <w:rPr>
          <w:w w:val="105"/>
          <w:sz w:val="15"/>
        </w:rPr>
        <w:t>recursos</w:t>
      </w:r>
      <w:r>
        <w:rPr>
          <w:spacing w:val="-5"/>
          <w:w w:val="105"/>
          <w:sz w:val="15"/>
        </w:rPr>
        <w:t xml:space="preserve"> </w:t>
      </w:r>
      <w:r>
        <w:rPr>
          <w:w w:val="105"/>
          <w:sz w:val="15"/>
        </w:rPr>
        <w:t>adecuados,</w:t>
      </w:r>
      <w:r>
        <w:rPr>
          <w:spacing w:val="-4"/>
          <w:w w:val="105"/>
          <w:sz w:val="15"/>
        </w:rPr>
        <w:t xml:space="preserve"> </w:t>
      </w:r>
      <w:r>
        <w:rPr>
          <w:w w:val="105"/>
          <w:sz w:val="15"/>
        </w:rPr>
        <w:t>accesibilidad,</w:t>
      </w:r>
      <w:r>
        <w:rPr>
          <w:spacing w:val="-4"/>
          <w:w w:val="105"/>
          <w:sz w:val="15"/>
        </w:rPr>
        <w:t xml:space="preserve"> </w:t>
      </w:r>
      <w:r>
        <w:rPr>
          <w:w w:val="105"/>
          <w:sz w:val="15"/>
        </w:rPr>
        <w:t>reflexividad</w:t>
      </w:r>
      <w:r>
        <w:rPr>
          <w:spacing w:val="-5"/>
          <w:w w:val="105"/>
          <w:sz w:val="15"/>
        </w:rPr>
        <w:t xml:space="preserve"> </w:t>
      </w:r>
      <w:r>
        <w:rPr>
          <w:w w:val="105"/>
          <w:sz w:val="15"/>
        </w:rPr>
        <w:t>y</w:t>
      </w:r>
      <w:r>
        <w:rPr>
          <w:spacing w:val="-5"/>
          <w:w w:val="105"/>
          <w:sz w:val="15"/>
        </w:rPr>
        <w:t xml:space="preserve"> </w:t>
      </w:r>
      <w:r>
        <w:rPr>
          <w:w w:val="105"/>
          <w:sz w:val="15"/>
        </w:rPr>
        <w:t>participación.</w:t>
      </w:r>
      <w:r>
        <w:rPr>
          <w:spacing w:val="-4"/>
          <w:w w:val="105"/>
          <w:sz w:val="15"/>
        </w:rPr>
        <w:t xml:space="preserve"> </w:t>
      </w:r>
      <w:r>
        <w:rPr>
          <w:w w:val="105"/>
          <w:sz w:val="15"/>
        </w:rPr>
        <w:t>También</w:t>
      </w:r>
      <w:r>
        <w:rPr>
          <w:spacing w:val="-5"/>
          <w:w w:val="105"/>
          <w:sz w:val="15"/>
        </w:rPr>
        <w:t xml:space="preserve"> </w:t>
      </w:r>
      <w:r>
        <w:rPr>
          <w:w w:val="105"/>
          <w:sz w:val="15"/>
        </w:rPr>
        <w:t>requiere</w:t>
      </w:r>
      <w:r>
        <w:rPr>
          <w:spacing w:val="-5"/>
          <w:w w:val="105"/>
          <w:sz w:val="15"/>
        </w:rPr>
        <w:t xml:space="preserve"> </w:t>
      </w:r>
      <w:r>
        <w:rPr>
          <w:w w:val="105"/>
          <w:sz w:val="15"/>
        </w:rPr>
        <w:t>que</w:t>
      </w:r>
      <w:r>
        <w:rPr>
          <w:spacing w:val="-5"/>
          <w:w w:val="105"/>
          <w:sz w:val="15"/>
        </w:rPr>
        <w:t xml:space="preserve"> </w:t>
      </w:r>
      <w:r>
        <w:rPr>
          <w:w w:val="105"/>
          <w:sz w:val="15"/>
        </w:rPr>
        <w:t>el</w:t>
      </w:r>
      <w:r>
        <w:rPr>
          <w:spacing w:val="-5"/>
          <w:w w:val="105"/>
          <w:sz w:val="15"/>
        </w:rPr>
        <w:t xml:space="preserve"> </w:t>
      </w:r>
      <w:r>
        <w:rPr>
          <w:w w:val="105"/>
          <w:sz w:val="15"/>
        </w:rPr>
        <w:t>organismo tenga el mandato y los poderes adecuados.</w:t>
      </w:r>
    </w:p>
    <w:p w14:paraId="5AF07D82" w14:textId="77777777" w:rsidR="0014798C" w:rsidRDefault="004E1F0B">
      <w:pPr>
        <w:spacing w:before="168" w:line="348" w:lineRule="auto"/>
        <w:ind w:left="1105" w:right="1335" w:firstLine="9"/>
        <w:rPr>
          <w:sz w:val="15"/>
        </w:rPr>
      </w:pPr>
      <w:r>
        <w:rPr>
          <w:w w:val="105"/>
          <w:sz w:val="15"/>
        </w:rPr>
        <w:t>De</w:t>
      </w:r>
      <w:r>
        <w:rPr>
          <w:spacing w:val="-6"/>
          <w:w w:val="105"/>
          <w:sz w:val="15"/>
        </w:rPr>
        <w:t xml:space="preserve"> </w:t>
      </w:r>
      <w:r>
        <w:rPr>
          <w:w w:val="105"/>
          <w:sz w:val="15"/>
        </w:rPr>
        <w:t>conformidad</w:t>
      </w:r>
      <w:r>
        <w:rPr>
          <w:spacing w:val="-6"/>
          <w:w w:val="105"/>
          <w:sz w:val="15"/>
        </w:rPr>
        <w:t xml:space="preserve"> </w:t>
      </w:r>
      <w:r>
        <w:rPr>
          <w:w w:val="105"/>
          <w:sz w:val="15"/>
        </w:rPr>
        <w:t>con</w:t>
      </w:r>
      <w:r>
        <w:rPr>
          <w:spacing w:val="-6"/>
          <w:w w:val="105"/>
          <w:sz w:val="15"/>
        </w:rPr>
        <w:t xml:space="preserve"> </w:t>
      </w:r>
      <w:r>
        <w:rPr>
          <w:w w:val="105"/>
          <w:sz w:val="15"/>
        </w:rPr>
        <w:t>las</w:t>
      </w:r>
      <w:r>
        <w:rPr>
          <w:spacing w:val="-6"/>
          <w:w w:val="105"/>
          <w:sz w:val="15"/>
        </w:rPr>
        <w:t xml:space="preserve"> </w:t>
      </w:r>
      <w:r>
        <w:rPr>
          <w:w w:val="105"/>
          <w:sz w:val="15"/>
        </w:rPr>
        <w:t>obligaciones</w:t>
      </w:r>
      <w:r>
        <w:rPr>
          <w:spacing w:val="-6"/>
          <w:w w:val="105"/>
          <w:sz w:val="15"/>
        </w:rPr>
        <w:t xml:space="preserve"> </w:t>
      </w:r>
      <w:r>
        <w:rPr>
          <w:w w:val="105"/>
          <w:sz w:val="15"/>
        </w:rPr>
        <w:t>de</w:t>
      </w:r>
      <w:r>
        <w:rPr>
          <w:spacing w:val="-6"/>
          <w:w w:val="105"/>
          <w:sz w:val="15"/>
        </w:rPr>
        <w:t xml:space="preserve"> </w:t>
      </w:r>
      <w:r>
        <w:rPr>
          <w:w w:val="105"/>
          <w:sz w:val="15"/>
        </w:rPr>
        <w:t>los</w:t>
      </w:r>
      <w:r>
        <w:rPr>
          <w:spacing w:val="-6"/>
          <w:w w:val="105"/>
          <w:sz w:val="15"/>
        </w:rPr>
        <w:t xml:space="preserve"> </w:t>
      </w:r>
      <w:r>
        <w:rPr>
          <w:w w:val="105"/>
          <w:sz w:val="15"/>
        </w:rPr>
        <w:t>Estados</w:t>
      </w:r>
      <w:r>
        <w:rPr>
          <w:spacing w:val="-6"/>
          <w:w w:val="105"/>
          <w:sz w:val="15"/>
        </w:rPr>
        <w:t xml:space="preserve"> </w:t>
      </w:r>
      <w:r>
        <w:rPr>
          <w:w w:val="105"/>
          <w:sz w:val="15"/>
        </w:rPr>
        <w:t>en</w:t>
      </w:r>
      <w:r>
        <w:rPr>
          <w:spacing w:val="-6"/>
          <w:w w:val="105"/>
          <w:sz w:val="15"/>
        </w:rPr>
        <w:t xml:space="preserve"> </w:t>
      </w:r>
      <w:r>
        <w:rPr>
          <w:w w:val="105"/>
          <w:sz w:val="15"/>
        </w:rPr>
        <w:t>virtud</w:t>
      </w:r>
      <w:r>
        <w:rPr>
          <w:spacing w:val="-6"/>
          <w:w w:val="105"/>
          <w:sz w:val="15"/>
        </w:rPr>
        <w:t xml:space="preserve"> </w:t>
      </w:r>
      <w:r>
        <w:rPr>
          <w:w w:val="105"/>
          <w:sz w:val="15"/>
        </w:rPr>
        <w:t>del</w:t>
      </w:r>
      <w:r>
        <w:rPr>
          <w:spacing w:val="-6"/>
          <w:w w:val="105"/>
          <w:sz w:val="15"/>
        </w:rPr>
        <w:t xml:space="preserve"> </w:t>
      </w:r>
      <w:r>
        <w:rPr>
          <w:w w:val="105"/>
          <w:sz w:val="15"/>
        </w:rPr>
        <w:t>derecho</w:t>
      </w:r>
      <w:r>
        <w:rPr>
          <w:spacing w:val="-6"/>
          <w:w w:val="105"/>
          <w:sz w:val="15"/>
        </w:rPr>
        <w:t xml:space="preserve"> </w:t>
      </w:r>
      <w:r>
        <w:rPr>
          <w:w w:val="105"/>
          <w:sz w:val="15"/>
        </w:rPr>
        <w:t>internacional,</w:t>
      </w:r>
      <w:r>
        <w:rPr>
          <w:spacing w:val="-5"/>
          <w:w w:val="105"/>
          <w:sz w:val="15"/>
        </w:rPr>
        <w:t xml:space="preserve"> </w:t>
      </w:r>
      <w:r>
        <w:rPr>
          <w:w w:val="105"/>
          <w:sz w:val="15"/>
        </w:rPr>
        <w:t>la</w:t>
      </w:r>
      <w:r>
        <w:rPr>
          <w:spacing w:val="-6"/>
          <w:w w:val="105"/>
          <w:sz w:val="15"/>
        </w:rPr>
        <w:t xml:space="preserve"> </w:t>
      </w:r>
      <w:r>
        <w:rPr>
          <w:w w:val="105"/>
          <w:sz w:val="15"/>
        </w:rPr>
        <w:t>labor</w:t>
      </w:r>
      <w:r>
        <w:rPr>
          <w:spacing w:val="-6"/>
          <w:w w:val="105"/>
          <w:sz w:val="15"/>
        </w:rPr>
        <w:t xml:space="preserve"> </w:t>
      </w:r>
      <w:r>
        <w:rPr>
          <w:w w:val="105"/>
          <w:sz w:val="15"/>
        </w:rPr>
        <w:t>de</w:t>
      </w:r>
      <w:r>
        <w:rPr>
          <w:spacing w:val="-6"/>
          <w:w w:val="105"/>
          <w:sz w:val="15"/>
        </w:rPr>
        <w:t xml:space="preserve"> </w:t>
      </w:r>
      <w:r>
        <w:rPr>
          <w:w w:val="105"/>
          <w:sz w:val="15"/>
        </w:rPr>
        <w:t>los</w:t>
      </w:r>
      <w:r>
        <w:rPr>
          <w:spacing w:val="-6"/>
          <w:w w:val="105"/>
          <w:sz w:val="15"/>
        </w:rPr>
        <w:t xml:space="preserve"> </w:t>
      </w:r>
      <w:r>
        <w:rPr>
          <w:w w:val="105"/>
          <w:sz w:val="15"/>
        </w:rPr>
        <w:t>órganos</w:t>
      </w:r>
      <w:r>
        <w:rPr>
          <w:spacing w:val="-6"/>
          <w:w w:val="105"/>
          <w:sz w:val="15"/>
        </w:rPr>
        <w:t xml:space="preserve"> </w:t>
      </w:r>
      <w:r>
        <w:rPr>
          <w:w w:val="105"/>
          <w:sz w:val="15"/>
        </w:rPr>
        <w:t>de</w:t>
      </w:r>
      <w:r>
        <w:rPr>
          <w:spacing w:val="-6"/>
          <w:w w:val="105"/>
          <w:sz w:val="15"/>
        </w:rPr>
        <w:t xml:space="preserve"> </w:t>
      </w:r>
      <w:r>
        <w:rPr>
          <w:w w:val="105"/>
          <w:sz w:val="15"/>
        </w:rPr>
        <w:t>igualdad</w:t>
      </w:r>
      <w:r>
        <w:rPr>
          <w:spacing w:val="-6"/>
          <w:w w:val="105"/>
          <w:sz w:val="15"/>
        </w:rPr>
        <w:t xml:space="preserve"> </w:t>
      </w:r>
      <w:r>
        <w:rPr>
          <w:w w:val="105"/>
          <w:sz w:val="15"/>
        </w:rPr>
        <w:t>–ya</w:t>
      </w:r>
      <w:r>
        <w:rPr>
          <w:spacing w:val="-6"/>
          <w:w w:val="105"/>
          <w:sz w:val="15"/>
        </w:rPr>
        <w:t xml:space="preserve"> </w:t>
      </w:r>
      <w:r>
        <w:rPr>
          <w:w w:val="105"/>
          <w:sz w:val="15"/>
        </w:rPr>
        <w:t>sea individualmente</w:t>
      </w:r>
      <w:r>
        <w:rPr>
          <w:spacing w:val="-8"/>
          <w:w w:val="105"/>
          <w:sz w:val="15"/>
        </w:rPr>
        <w:t xml:space="preserve"> </w:t>
      </w:r>
      <w:r>
        <w:rPr>
          <w:w w:val="105"/>
          <w:sz w:val="15"/>
        </w:rPr>
        <w:t>o</w:t>
      </w:r>
      <w:r>
        <w:rPr>
          <w:spacing w:val="-8"/>
          <w:w w:val="105"/>
          <w:sz w:val="15"/>
        </w:rPr>
        <w:t xml:space="preserve"> </w:t>
      </w:r>
      <w:r>
        <w:rPr>
          <w:w w:val="105"/>
          <w:sz w:val="15"/>
        </w:rPr>
        <w:t>en</w:t>
      </w:r>
      <w:r>
        <w:rPr>
          <w:spacing w:val="-8"/>
          <w:w w:val="105"/>
          <w:sz w:val="15"/>
        </w:rPr>
        <w:t xml:space="preserve"> </w:t>
      </w:r>
      <w:r>
        <w:rPr>
          <w:w w:val="105"/>
          <w:sz w:val="15"/>
        </w:rPr>
        <w:t>su</w:t>
      </w:r>
      <w:r>
        <w:rPr>
          <w:spacing w:val="-8"/>
          <w:w w:val="105"/>
          <w:sz w:val="15"/>
        </w:rPr>
        <w:t xml:space="preserve"> </w:t>
      </w:r>
      <w:r>
        <w:rPr>
          <w:w w:val="105"/>
          <w:sz w:val="15"/>
        </w:rPr>
        <w:t>conjunto–</w:t>
      </w:r>
      <w:r>
        <w:rPr>
          <w:spacing w:val="-8"/>
          <w:w w:val="105"/>
          <w:sz w:val="15"/>
        </w:rPr>
        <w:t xml:space="preserve"> </w:t>
      </w:r>
      <w:r>
        <w:rPr>
          <w:w w:val="105"/>
          <w:sz w:val="15"/>
        </w:rPr>
        <w:t>debe</w:t>
      </w:r>
      <w:r>
        <w:rPr>
          <w:spacing w:val="-8"/>
          <w:w w:val="105"/>
          <w:sz w:val="15"/>
        </w:rPr>
        <w:t xml:space="preserve"> </w:t>
      </w:r>
      <w:r>
        <w:rPr>
          <w:w w:val="105"/>
          <w:sz w:val="15"/>
        </w:rPr>
        <w:t>abarcar</w:t>
      </w:r>
      <w:r>
        <w:rPr>
          <w:spacing w:val="-8"/>
          <w:w w:val="105"/>
          <w:sz w:val="15"/>
        </w:rPr>
        <w:t xml:space="preserve"> </w:t>
      </w:r>
      <w:r>
        <w:rPr>
          <w:w w:val="105"/>
          <w:sz w:val="15"/>
        </w:rPr>
        <w:t>todos</w:t>
      </w:r>
      <w:r>
        <w:rPr>
          <w:spacing w:val="-8"/>
          <w:w w:val="105"/>
          <w:sz w:val="15"/>
        </w:rPr>
        <w:t xml:space="preserve"> </w:t>
      </w:r>
      <w:r>
        <w:rPr>
          <w:w w:val="105"/>
          <w:sz w:val="15"/>
        </w:rPr>
        <w:t>los</w:t>
      </w:r>
      <w:r>
        <w:rPr>
          <w:spacing w:val="-8"/>
          <w:w w:val="105"/>
          <w:sz w:val="15"/>
        </w:rPr>
        <w:t xml:space="preserve"> </w:t>
      </w:r>
      <w:r>
        <w:rPr>
          <w:w w:val="105"/>
          <w:sz w:val="15"/>
        </w:rPr>
        <w:t>motivos,</w:t>
      </w:r>
      <w:r>
        <w:rPr>
          <w:spacing w:val="-8"/>
          <w:w w:val="105"/>
          <w:sz w:val="15"/>
        </w:rPr>
        <w:t xml:space="preserve"> </w:t>
      </w:r>
      <w:r>
        <w:rPr>
          <w:w w:val="105"/>
          <w:sz w:val="15"/>
        </w:rPr>
        <w:t>formas</w:t>
      </w:r>
      <w:r>
        <w:rPr>
          <w:spacing w:val="-8"/>
          <w:w w:val="105"/>
          <w:sz w:val="15"/>
        </w:rPr>
        <w:t xml:space="preserve"> </w:t>
      </w:r>
      <w:r>
        <w:rPr>
          <w:w w:val="105"/>
          <w:sz w:val="15"/>
        </w:rPr>
        <w:t>y</w:t>
      </w:r>
      <w:r>
        <w:rPr>
          <w:spacing w:val="-8"/>
          <w:w w:val="105"/>
          <w:sz w:val="15"/>
        </w:rPr>
        <w:t xml:space="preserve"> </w:t>
      </w:r>
      <w:r>
        <w:rPr>
          <w:w w:val="105"/>
          <w:sz w:val="15"/>
        </w:rPr>
        <w:t>manifestaciones</w:t>
      </w:r>
      <w:r>
        <w:rPr>
          <w:spacing w:val="-8"/>
          <w:w w:val="105"/>
          <w:sz w:val="15"/>
        </w:rPr>
        <w:t xml:space="preserve"> </w:t>
      </w:r>
      <w:r>
        <w:rPr>
          <w:w w:val="105"/>
          <w:sz w:val="15"/>
        </w:rPr>
        <w:t>de</w:t>
      </w:r>
      <w:r>
        <w:rPr>
          <w:spacing w:val="-8"/>
          <w:w w:val="105"/>
          <w:sz w:val="15"/>
        </w:rPr>
        <w:t xml:space="preserve"> </w:t>
      </w:r>
      <w:r>
        <w:rPr>
          <w:w w:val="105"/>
          <w:sz w:val="15"/>
        </w:rPr>
        <w:t>discriminación,</w:t>
      </w:r>
      <w:r>
        <w:rPr>
          <w:spacing w:val="-8"/>
          <w:w w:val="105"/>
          <w:sz w:val="15"/>
        </w:rPr>
        <w:t xml:space="preserve"> </w:t>
      </w:r>
      <w:r>
        <w:rPr>
          <w:w w:val="105"/>
          <w:sz w:val="15"/>
        </w:rPr>
        <w:t>en</w:t>
      </w:r>
      <w:r>
        <w:rPr>
          <w:spacing w:val="-8"/>
          <w:w w:val="105"/>
          <w:sz w:val="15"/>
        </w:rPr>
        <w:t xml:space="preserve"> </w:t>
      </w:r>
      <w:r>
        <w:rPr>
          <w:w w:val="105"/>
          <w:sz w:val="15"/>
        </w:rPr>
        <w:t>todos</w:t>
      </w:r>
      <w:r>
        <w:rPr>
          <w:spacing w:val="-8"/>
          <w:w w:val="105"/>
          <w:sz w:val="15"/>
        </w:rPr>
        <w:t xml:space="preserve"> </w:t>
      </w:r>
      <w:r>
        <w:rPr>
          <w:w w:val="105"/>
          <w:sz w:val="15"/>
        </w:rPr>
        <w:t>los</w:t>
      </w:r>
      <w:r>
        <w:rPr>
          <w:spacing w:val="-8"/>
          <w:w w:val="105"/>
          <w:sz w:val="15"/>
        </w:rPr>
        <w:t xml:space="preserve"> </w:t>
      </w:r>
      <w:r>
        <w:rPr>
          <w:w w:val="105"/>
          <w:sz w:val="15"/>
        </w:rPr>
        <w:t>ámbitos de</w:t>
      </w:r>
      <w:r>
        <w:rPr>
          <w:spacing w:val="-2"/>
          <w:w w:val="105"/>
          <w:sz w:val="15"/>
        </w:rPr>
        <w:t xml:space="preserve"> </w:t>
      </w:r>
      <w:r>
        <w:rPr>
          <w:w w:val="105"/>
          <w:sz w:val="15"/>
        </w:rPr>
        <w:t>la</w:t>
      </w:r>
      <w:r>
        <w:rPr>
          <w:spacing w:val="-2"/>
          <w:w w:val="105"/>
          <w:sz w:val="15"/>
        </w:rPr>
        <w:t xml:space="preserve"> </w:t>
      </w:r>
      <w:r>
        <w:rPr>
          <w:w w:val="105"/>
          <w:sz w:val="15"/>
        </w:rPr>
        <w:t>vida</w:t>
      </w:r>
      <w:r>
        <w:rPr>
          <w:spacing w:val="-2"/>
          <w:w w:val="105"/>
          <w:sz w:val="15"/>
        </w:rPr>
        <w:t xml:space="preserve"> </w:t>
      </w:r>
      <w:r>
        <w:rPr>
          <w:w w:val="105"/>
          <w:sz w:val="15"/>
        </w:rPr>
        <w:t>regulados</w:t>
      </w:r>
      <w:r>
        <w:rPr>
          <w:spacing w:val="-2"/>
          <w:w w:val="105"/>
          <w:sz w:val="15"/>
        </w:rPr>
        <w:t xml:space="preserve"> </w:t>
      </w:r>
      <w:r>
        <w:rPr>
          <w:w w:val="105"/>
          <w:sz w:val="15"/>
        </w:rPr>
        <w:t>por</w:t>
      </w:r>
      <w:r>
        <w:rPr>
          <w:spacing w:val="-2"/>
          <w:w w:val="105"/>
          <w:sz w:val="15"/>
        </w:rPr>
        <w:t xml:space="preserve"> </w:t>
      </w:r>
      <w:r>
        <w:rPr>
          <w:w w:val="105"/>
          <w:sz w:val="15"/>
        </w:rPr>
        <w:t>la</w:t>
      </w:r>
      <w:r>
        <w:rPr>
          <w:spacing w:val="-2"/>
          <w:w w:val="105"/>
          <w:sz w:val="15"/>
        </w:rPr>
        <w:t xml:space="preserve"> </w:t>
      </w:r>
      <w:r>
        <w:rPr>
          <w:w w:val="105"/>
          <w:sz w:val="15"/>
        </w:rPr>
        <w:t>ley,</w:t>
      </w:r>
      <w:r>
        <w:rPr>
          <w:spacing w:val="-2"/>
          <w:w w:val="105"/>
          <w:sz w:val="15"/>
        </w:rPr>
        <w:t xml:space="preserve"> </w:t>
      </w:r>
      <w:r>
        <w:rPr>
          <w:w w:val="105"/>
          <w:sz w:val="15"/>
        </w:rPr>
        <w:t>incluidos</w:t>
      </w:r>
      <w:r>
        <w:rPr>
          <w:spacing w:val="-2"/>
          <w:w w:val="105"/>
          <w:sz w:val="15"/>
        </w:rPr>
        <w:t xml:space="preserve"> </w:t>
      </w:r>
      <w:r>
        <w:rPr>
          <w:w w:val="105"/>
          <w:sz w:val="15"/>
        </w:rPr>
        <w:t>tanto</w:t>
      </w:r>
      <w:r>
        <w:rPr>
          <w:spacing w:val="-2"/>
          <w:w w:val="105"/>
          <w:sz w:val="15"/>
        </w:rPr>
        <w:t xml:space="preserve"> </w:t>
      </w:r>
      <w:r>
        <w:rPr>
          <w:w w:val="105"/>
          <w:sz w:val="15"/>
        </w:rPr>
        <w:t>el</w:t>
      </w:r>
      <w:r>
        <w:rPr>
          <w:spacing w:val="-2"/>
          <w:w w:val="105"/>
          <w:sz w:val="15"/>
        </w:rPr>
        <w:t xml:space="preserve"> </w:t>
      </w:r>
      <w:r>
        <w:rPr>
          <w:w w:val="105"/>
          <w:sz w:val="15"/>
        </w:rPr>
        <w:t>sector</w:t>
      </w:r>
      <w:r>
        <w:rPr>
          <w:spacing w:val="-2"/>
          <w:w w:val="105"/>
          <w:sz w:val="15"/>
        </w:rPr>
        <w:t xml:space="preserve"> </w:t>
      </w:r>
      <w:r>
        <w:rPr>
          <w:w w:val="105"/>
          <w:sz w:val="15"/>
        </w:rPr>
        <w:t>público</w:t>
      </w:r>
      <w:r>
        <w:rPr>
          <w:spacing w:val="-2"/>
          <w:w w:val="105"/>
          <w:sz w:val="15"/>
        </w:rPr>
        <w:t xml:space="preserve"> </w:t>
      </w:r>
      <w:r>
        <w:rPr>
          <w:w w:val="105"/>
          <w:sz w:val="15"/>
        </w:rPr>
        <w:t>como</w:t>
      </w:r>
      <w:r>
        <w:rPr>
          <w:spacing w:val="-2"/>
          <w:w w:val="105"/>
          <w:sz w:val="15"/>
        </w:rPr>
        <w:t xml:space="preserve"> </w:t>
      </w:r>
      <w:r>
        <w:rPr>
          <w:w w:val="105"/>
          <w:sz w:val="15"/>
        </w:rPr>
        <w:t>el</w:t>
      </w:r>
      <w:r>
        <w:rPr>
          <w:spacing w:val="-2"/>
          <w:w w:val="105"/>
          <w:sz w:val="15"/>
        </w:rPr>
        <w:t xml:space="preserve"> </w:t>
      </w:r>
      <w:r>
        <w:rPr>
          <w:w w:val="105"/>
          <w:sz w:val="15"/>
        </w:rPr>
        <w:t>privado.791</w:t>
      </w:r>
      <w:r>
        <w:rPr>
          <w:spacing w:val="-2"/>
          <w:w w:val="105"/>
          <w:sz w:val="15"/>
        </w:rPr>
        <w:t xml:space="preserve"> </w:t>
      </w:r>
      <w:r>
        <w:rPr>
          <w:w w:val="105"/>
          <w:sz w:val="15"/>
        </w:rPr>
        <w:t>En</w:t>
      </w:r>
      <w:r>
        <w:rPr>
          <w:spacing w:val="-2"/>
          <w:w w:val="105"/>
          <w:sz w:val="15"/>
        </w:rPr>
        <w:t xml:space="preserve"> </w:t>
      </w:r>
      <w:r>
        <w:rPr>
          <w:w w:val="105"/>
          <w:sz w:val="15"/>
        </w:rPr>
        <w:t>algunos</w:t>
      </w:r>
      <w:r>
        <w:rPr>
          <w:spacing w:val="-2"/>
          <w:w w:val="105"/>
          <w:sz w:val="15"/>
        </w:rPr>
        <w:t xml:space="preserve"> </w:t>
      </w:r>
      <w:r>
        <w:rPr>
          <w:w w:val="105"/>
          <w:sz w:val="15"/>
        </w:rPr>
        <w:t>países</w:t>
      </w:r>
      <w:r>
        <w:rPr>
          <w:spacing w:val="-2"/>
          <w:w w:val="105"/>
          <w:sz w:val="15"/>
        </w:rPr>
        <w:t xml:space="preserve"> </w:t>
      </w:r>
      <w:r>
        <w:rPr>
          <w:w w:val="105"/>
          <w:sz w:val="15"/>
        </w:rPr>
        <w:t>se</w:t>
      </w:r>
      <w:r>
        <w:rPr>
          <w:spacing w:val="-2"/>
          <w:w w:val="105"/>
          <w:sz w:val="15"/>
        </w:rPr>
        <w:t xml:space="preserve"> </w:t>
      </w:r>
      <w:r>
        <w:rPr>
          <w:w w:val="105"/>
          <w:sz w:val="15"/>
        </w:rPr>
        <w:t>han</w:t>
      </w:r>
      <w:r>
        <w:rPr>
          <w:spacing w:val="-2"/>
          <w:w w:val="105"/>
          <w:sz w:val="15"/>
        </w:rPr>
        <w:t xml:space="preserve"> </w:t>
      </w:r>
      <w:r>
        <w:rPr>
          <w:w w:val="105"/>
          <w:sz w:val="15"/>
        </w:rPr>
        <w:t>creado</w:t>
      </w:r>
      <w:r>
        <w:rPr>
          <w:spacing w:val="-2"/>
          <w:w w:val="105"/>
          <w:sz w:val="15"/>
        </w:rPr>
        <w:t xml:space="preserve"> </w:t>
      </w:r>
      <w:r>
        <w:rPr>
          <w:w w:val="105"/>
          <w:sz w:val="15"/>
        </w:rPr>
        <w:t>órganos</w:t>
      </w:r>
      <w:r>
        <w:rPr>
          <w:spacing w:val="-2"/>
          <w:w w:val="105"/>
          <w:sz w:val="15"/>
        </w:rPr>
        <w:t xml:space="preserve"> </w:t>
      </w:r>
      <w:r>
        <w:rPr>
          <w:w w:val="105"/>
          <w:sz w:val="15"/>
        </w:rPr>
        <w:t>con mandatos</w:t>
      </w:r>
      <w:r>
        <w:rPr>
          <w:spacing w:val="-1"/>
          <w:w w:val="105"/>
          <w:sz w:val="15"/>
        </w:rPr>
        <w:t xml:space="preserve"> </w:t>
      </w:r>
      <w:r>
        <w:rPr>
          <w:w w:val="105"/>
          <w:sz w:val="15"/>
        </w:rPr>
        <w:t>múltiples</w:t>
      </w:r>
      <w:r>
        <w:rPr>
          <w:spacing w:val="-1"/>
          <w:w w:val="105"/>
          <w:sz w:val="15"/>
        </w:rPr>
        <w:t xml:space="preserve"> </w:t>
      </w:r>
      <w:r>
        <w:rPr>
          <w:w w:val="105"/>
          <w:sz w:val="15"/>
        </w:rPr>
        <w:t>(generalmente</w:t>
      </w:r>
      <w:r>
        <w:rPr>
          <w:spacing w:val="-1"/>
          <w:w w:val="105"/>
          <w:sz w:val="15"/>
        </w:rPr>
        <w:t xml:space="preserve"> </w:t>
      </w:r>
      <w:r>
        <w:rPr>
          <w:w w:val="105"/>
          <w:sz w:val="15"/>
        </w:rPr>
        <w:t>un</w:t>
      </w:r>
      <w:r>
        <w:rPr>
          <w:spacing w:val="-1"/>
          <w:w w:val="105"/>
          <w:sz w:val="15"/>
        </w:rPr>
        <w:t xml:space="preserve"> </w:t>
      </w:r>
      <w:r>
        <w:rPr>
          <w:w w:val="105"/>
          <w:sz w:val="15"/>
        </w:rPr>
        <w:t>defensor</w:t>
      </w:r>
      <w:r>
        <w:rPr>
          <w:spacing w:val="-1"/>
          <w:w w:val="105"/>
          <w:sz w:val="15"/>
        </w:rPr>
        <w:t xml:space="preserve"> </w:t>
      </w:r>
      <w:r>
        <w:rPr>
          <w:w w:val="105"/>
          <w:sz w:val="15"/>
        </w:rPr>
        <w:t>del</w:t>
      </w:r>
      <w:r>
        <w:rPr>
          <w:spacing w:val="-1"/>
          <w:w w:val="105"/>
          <w:sz w:val="15"/>
        </w:rPr>
        <w:t xml:space="preserve"> </w:t>
      </w:r>
      <w:r>
        <w:rPr>
          <w:w w:val="105"/>
          <w:sz w:val="15"/>
        </w:rPr>
        <w:t>pueblo</w:t>
      </w:r>
      <w:r>
        <w:rPr>
          <w:spacing w:val="-1"/>
          <w:w w:val="105"/>
          <w:sz w:val="15"/>
        </w:rPr>
        <w:t xml:space="preserve"> </w:t>
      </w:r>
      <w:r>
        <w:rPr>
          <w:w w:val="105"/>
          <w:sz w:val="15"/>
        </w:rPr>
        <w:t>de</w:t>
      </w:r>
      <w:r>
        <w:rPr>
          <w:spacing w:val="-1"/>
          <w:w w:val="105"/>
          <w:sz w:val="15"/>
        </w:rPr>
        <w:t xml:space="preserve"> </w:t>
      </w:r>
      <w:r>
        <w:rPr>
          <w:w w:val="105"/>
          <w:sz w:val="15"/>
        </w:rPr>
        <w:t>derechos</w:t>
      </w:r>
      <w:r>
        <w:rPr>
          <w:spacing w:val="-1"/>
          <w:w w:val="105"/>
          <w:sz w:val="15"/>
        </w:rPr>
        <w:t xml:space="preserve"> </w:t>
      </w:r>
      <w:r>
        <w:rPr>
          <w:w w:val="105"/>
          <w:sz w:val="15"/>
        </w:rPr>
        <w:t>humanos</w:t>
      </w:r>
      <w:r>
        <w:rPr>
          <w:spacing w:val="-1"/>
          <w:w w:val="105"/>
          <w:sz w:val="15"/>
        </w:rPr>
        <w:t xml:space="preserve"> </w:t>
      </w:r>
      <w:r>
        <w:rPr>
          <w:w w:val="105"/>
          <w:sz w:val="15"/>
        </w:rPr>
        <w:t>o</w:t>
      </w:r>
      <w:r>
        <w:rPr>
          <w:spacing w:val="-1"/>
          <w:w w:val="105"/>
          <w:sz w:val="15"/>
        </w:rPr>
        <w:t xml:space="preserve"> </w:t>
      </w:r>
      <w:r>
        <w:rPr>
          <w:w w:val="105"/>
          <w:sz w:val="15"/>
        </w:rPr>
        <w:t>una</w:t>
      </w:r>
      <w:r>
        <w:rPr>
          <w:spacing w:val="-1"/>
          <w:w w:val="105"/>
          <w:sz w:val="15"/>
        </w:rPr>
        <w:t xml:space="preserve"> </w:t>
      </w:r>
      <w:r>
        <w:rPr>
          <w:w w:val="105"/>
          <w:sz w:val="15"/>
        </w:rPr>
        <w:t>institución</w:t>
      </w:r>
      <w:r>
        <w:rPr>
          <w:spacing w:val="-1"/>
          <w:w w:val="105"/>
          <w:sz w:val="15"/>
        </w:rPr>
        <w:t xml:space="preserve"> </w:t>
      </w:r>
      <w:r>
        <w:rPr>
          <w:w w:val="105"/>
          <w:sz w:val="15"/>
        </w:rPr>
        <w:t>nacional</w:t>
      </w:r>
      <w:r>
        <w:rPr>
          <w:spacing w:val="-1"/>
          <w:w w:val="105"/>
          <w:sz w:val="15"/>
        </w:rPr>
        <w:t xml:space="preserve"> </w:t>
      </w:r>
      <w:r>
        <w:rPr>
          <w:w w:val="105"/>
          <w:sz w:val="15"/>
        </w:rPr>
        <w:t>de</w:t>
      </w:r>
      <w:r>
        <w:rPr>
          <w:spacing w:val="-1"/>
          <w:w w:val="105"/>
          <w:sz w:val="15"/>
        </w:rPr>
        <w:t xml:space="preserve"> </w:t>
      </w:r>
      <w:r>
        <w:rPr>
          <w:w w:val="105"/>
          <w:sz w:val="15"/>
        </w:rPr>
        <w:t>derechos</w:t>
      </w:r>
      <w:r>
        <w:rPr>
          <w:spacing w:val="-1"/>
          <w:w w:val="105"/>
          <w:sz w:val="15"/>
        </w:rPr>
        <w:t xml:space="preserve"> </w:t>
      </w:r>
      <w:r>
        <w:rPr>
          <w:w w:val="105"/>
          <w:sz w:val="15"/>
        </w:rPr>
        <w:t>humanos) con</w:t>
      </w:r>
      <w:r>
        <w:rPr>
          <w:spacing w:val="-3"/>
          <w:w w:val="105"/>
          <w:sz w:val="15"/>
        </w:rPr>
        <w:t xml:space="preserve"> </w:t>
      </w:r>
      <w:r>
        <w:rPr>
          <w:w w:val="105"/>
          <w:sz w:val="15"/>
        </w:rPr>
        <w:t>un</w:t>
      </w:r>
      <w:r>
        <w:rPr>
          <w:spacing w:val="-3"/>
          <w:w w:val="105"/>
          <w:sz w:val="15"/>
        </w:rPr>
        <w:t xml:space="preserve"> </w:t>
      </w:r>
      <w:r>
        <w:rPr>
          <w:w w:val="105"/>
          <w:sz w:val="15"/>
        </w:rPr>
        <w:t>doble</w:t>
      </w:r>
      <w:r>
        <w:rPr>
          <w:spacing w:val="-3"/>
          <w:w w:val="105"/>
          <w:sz w:val="15"/>
        </w:rPr>
        <w:t xml:space="preserve"> </w:t>
      </w:r>
      <w:r>
        <w:rPr>
          <w:w w:val="105"/>
          <w:sz w:val="15"/>
        </w:rPr>
        <w:t>mandato</w:t>
      </w:r>
      <w:r>
        <w:rPr>
          <w:spacing w:val="-3"/>
          <w:w w:val="105"/>
          <w:sz w:val="15"/>
        </w:rPr>
        <w:t xml:space="preserve"> </w:t>
      </w:r>
      <w:r>
        <w:rPr>
          <w:w w:val="105"/>
          <w:sz w:val="15"/>
        </w:rPr>
        <w:t>en</w:t>
      </w:r>
      <w:r>
        <w:rPr>
          <w:spacing w:val="-3"/>
          <w:w w:val="105"/>
          <w:sz w:val="15"/>
        </w:rPr>
        <w:t xml:space="preserve"> </w:t>
      </w:r>
      <w:r>
        <w:rPr>
          <w:w w:val="105"/>
          <w:sz w:val="15"/>
        </w:rPr>
        <w:t>materia</w:t>
      </w:r>
      <w:r>
        <w:rPr>
          <w:spacing w:val="-3"/>
          <w:w w:val="105"/>
          <w:sz w:val="15"/>
        </w:rPr>
        <w:t xml:space="preserve"> </w:t>
      </w:r>
      <w:r>
        <w:rPr>
          <w:w w:val="105"/>
          <w:sz w:val="15"/>
        </w:rPr>
        <w:t>de</w:t>
      </w:r>
      <w:r>
        <w:rPr>
          <w:spacing w:val="-3"/>
          <w:w w:val="105"/>
          <w:sz w:val="15"/>
        </w:rPr>
        <w:t xml:space="preserve"> </w:t>
      </w:r>
      <w:r>
        <w:rPr>
          <w:w w:val="105"/>
          <w:sz w:val="15"/>
        </w:rPr>
        <w:t>igualdad</w:t>
      </w:r>
      <w:r>
        <w:rPr>
          <w:spacing w:val="-3"/>
          <w:w w:val="105"/>
          <w:sz w:val="15"/>
        </w:rPr>
        <w:t xml:space="preserve"> </w:t>
      </w:r>
      <w:r>
        <w:rPr>
          <w:w w:val="105"/>
          <w:sz w:val="15"/>
        </w:rPr>
        <w:t>y</w:t>
      </w:r>
      <w:r>
        <w:rPr>
          <w:spacing w:val="-3"/>
          <w:w w:val="105"/>
          <w:sz w:val="15"/>
        </w:rPr>
        <w:t xml:space="preserve"> </w:t>
      </w:r>
      <w:r>
        <w:rPr>
          <w:w w:val="105"/>
          <w:sz w:val="15"/>
        </w:rPr>
        <w:t>derechos</w:t>
      </w:r>
      <w:r>
        <w:rPr>
          <w:spacing w:val="-3"/>
          <w:w w:val="105"/>
          <w:sz w:val="15"/>
        </w:rPr>
        <w:t xml:space="preserve"> </w:t>
      </w:r>
      <w:r>
        <w:rPr>
          <w:w w:val="105"/>
          <w:sz w:val="15"/>
        </w:rPr>
        <w:t>humanos.</w:t>
      </w:r>
      <w:r>
        <w:rPr>
          <w:spacing w:val="-2"/>
          <w:w w:val="105"/>
          <w:sz w:val="15"/>
        </w:rPr>
        <w:t xml:space="preserve"> </w:t>
      </w:r>
      <w:r>
        <w:rPr>
          <w:w w:val="105"/>
          <w:sz w:val="15"/>
        </w:rPr>
        <w:t>Para</w:t>
      </w:r>
      <w:r>
        <w:rPr>
          <w:spacing w:val="-3"/>
          <w:w w:val="105"/>
          <w:sz w:val="15"/>
        </w:rPr>
        <w:t xml:space="preserve"> </w:t>
      </w:r>
      <w:r>
        <w:rPr>
          <w:w w:val="105"/>
          <w:sz w:val="15"/>
        </w:rPr>
        <w:t>garantizar</w:t>
      </w:r>
      <w:r>
        <w:rPr>
          <w:spacing w:val="-3"/>
          <w:w w:val="105"/>
          <w:sz w:val="15"/>
        </w:rPr>
        <w:t xml:space="preserve"> </w:t>
      </w:r>
      <w:r>
        <w:rPr>
          <w:w w:val="105"/>
          <w:sz w:val="15"/>
        </w:rPr>
        <w:t>su</w:t>
      </w:r>
      <w:r>
        <w:rPr>
          <w:spacing w:val="-3"/>
          <w:w w:val="105"/>
          <w:sz w:val="15"/>
        </w:rPr>
        <w:t xml:space="preserve"> </w:t>
      </w:r>
      <w:r>
        <w:rPr>
          <w:w w:val="105"/>
          <w:sz w:val="15"/>
        </w:rPr>
        <w:t>eficacia,</w:t>
      </w:r>
      <w:r>
        <w:rPr>
          <w:spacing w:val="-2"/>
          <w:w w:val="105"/>
          <w:sz w:val="15"/>
        </w:rPr>
        <w:t xml:space="preserve"> </w:t>
      </w:r>
      <w:r>
        <w:rPr>
          <w:w w:val="105"/>
          <w:sz w:val="15"/>
        </w:rPr>
        <w:t>es</w:t>
      </w:r>
      <w:r>
        <w:rPr>
          <w:spacing w:val="-3"/>
          <w:w w:val="105"/>
          <w:sz w:val="15"/>
        </w:rPr>
        <w:t xml:space="preserve"> </w:t>
      </w:r>
      <w:r>
        <w:rPr>
          <w:w w:val="105"/>
          <w:sz w:val="15"/>
        </w:rPr>
        <w:t>importante</w:t>
      </w:r>
      <w:r>
        <w:rPr>
          <w:spacing w:val="-3"/>
          <w:w w:val="105"/>
          <w:sz w:val="15"/>
        </w:rPr>
        <w:t xml:space="preserve"> </w:t>
      </w:r>
      <w:r>
        <w:rPr>
          <w:w w:val="105"/>
          <w:sz w:val="15"/>
        </w:rPr>
        <w:t>que</w:t>
      </w:r>
      <w:r>
        <w:rPr>
          <w:spacing w:val="-3"/>
          <w:w w:val="105"/>
          <w:sz w:val="15"/>
        </w:rPr>
        <w:t xml:space="preserve"> </w:t>
      </w:r>
      <w:r>
        <w:rPr>
          <w:w w:val="105"/>
          <w:sz w:val="15"/>
        </w:rPr>
        <w:t>el</w:t>
      </w:r>
      <w:r>
        <w:rPr>
          <w:spacing w:val="-3"/>
          <w:w w:val="105"/>
          <w:sz w:val="15"/>
        </w:rPr>
        <w:t xml:space="preserve"> </w:t>
      </w:r>
      <w:r>
        <w:rPr>
          <w:w w:val="105"/>
          <w:sz w:val="15"/>
        </w:rPr>
        <w:t>mandato</w:t>
      </w:r>
      <w:r>
        <w:rPr>
          <w:spacing w:val="-3"/>
          <w:w w:val="105"/>
          <w:sz w:val="15"/>
        </w:rPr>
        <w:t xml:space="preserve"> </w:t>
      </w:r>
      <w:r>
        <w:rPr>
          <w:w w:val="105"/>
          <w:sz w:val="15"/>
        </w:rPr>
        <w:t>de</w:t>
      </w:r>
    </w:p>
    <w:p w14:paraId="570BCF4C" w14:textId="77777777" w:rsidR="0014798C" w:rsidRDefault="004E1F0B">
      <w:pPr>
        <w:spacing w:line="171" w:lineRule="exact"/>
        <w:ind w:left="1111"/>
        <w:rPr>
          <w:sz w:val="15"/>
        </w:rPr>
      </w:pPr>
      <w:r>
        <w:rPr>
          <w:spacing w:val="-2"/>
          <w:w w:val="105"/>
          <w:sz w:val="15"/>
        </w:rPr>
        <w:t>igualdad</w:t>
      </w:r>
      <w:r>
        <w:rPr>
          <w:w w:val="105"/>
          <w:sz w:val="15"/>
        </w:rPr>
        <w:t xml:space="preserve"> </w:t>
      </w:r>
      <w:r>
        <w:rPr>
          <w:spacing w:val="-2"/>
          <w:w w:val="105"/>
          <w:sz w:val="15"/>
        </w:rPr>
        <w:t>de</w:t>
      </w:r>
      <w:r>
        <w:rPr>
          <w:w w:val="105"/>
          <w:sz w:val="15"/>
        </w:rPr>
        <w:t xml:space="preserve"> </w:t>
      </w:r>
      <w:r>
        <w:rPr>
          <w:spacing w:val="-2"/>
          <w:w w:val="105"/>
          <w:sz w:val="15"/>
        </w:rPr>
        <w:t>dichas</w:t>
      </w:r>
      <w:r>
        <w:rPr>
          <w:spacing w:val="1"/>
          <w:w w:val="105"/>
          <w:sz w:val="15"/>
        </w:rPr>
        <w:t xml:space="preserve"> </w:t>
      </w:r>
      <w:r>
        <w:rPr>
          <w:spacing w:val="-2"/>
          <w:w w:val="105"/>
          <w:sz w:val="15"/>
        </w:rPr>
        <w:t>instituciones</w:t>
      </w:r>
      <w:r>
        <w:rPr>
          <w:w w:val="105"/>
          <w:sz w:val="15"/>
        </w:rPr>
        <w:t xml:space="preserve"> </w:t>
      </w:r>
      <w:r>
        <w:rPr>
          <w:spacing w:val="-2"/>
          <w:w w:val="105"/>
          <w:sz w:val="15"/>
        </w:rPr>
        <w:t>esté</w:t>
      </w:r>
      <w:r>
        <w:rPr>
          <w:w w:val="105"/>
          <w:sz w:val="15"/>
        </w:rPr>
        <w:t xml:space="preserve"> </w:t>
      </w:r>
      <w:r>
        <w:rPr>
          <w:spacing w:val="-2"/>
          <w:w w:val="105"/>
          <w:sz w:val="15"/>
        </w:rPr>
        <w:t>bien</w:t>
      </w:r>
      <w:r>
        <w:rPr>
          <w:spacing w:val="1"/>
          <w:w w:val="105"/>
          <w:sz w:val="15"/>
        </w:rPr>
        <w:t xml:space="preserve"> </w:t>
      </w:r>
      <w:r>
        <w:rPr>
          <w:spacing w:val="-2"/>
          <w:w w:val="105"/>
          <w:sz w:val="15"/>
        </w:rPr>
        <w:t>definido</w:t>
      </w:r>
      <w:r>
        <w:rPr>
          <w:w w:val="105"/>
          <w:sz w:val="15"/>
        </w:rPr>
        <w:t xml:space="preserve"> </w:t>
      </w:r>
      <w:r>
        <w:rPr>
          <w:spacing w:val="-2"/>
          <w:w w:val="105"/>
          <w:sz w:val="15"/>
        </w:rPr>
        <w:t>y</w:t>
      </w:r>
      <w:r>
        <w:rPr>
          <w:spacing w:val="1"/>
          <w:w w:val="105"/>
          <w:sz w:val="15"/>
        </w:rPr>
        <w:t xml:space="preserve"> </w:t>
      </w:r>
      <w:r>
        <w:rPr>
          <w:spacing w:val="-2"/>
          <w:w w:val="105"/>
          <w:sz w:val="15"/>
        </w:rPr>
        <w:t>que</w:t>
      </w:r>
      <w:r>
        <w:rPr>
          <w:w w:val="105"/>
          <w:sz w:val="15"/>
        </w:rPr>
        <w:t xml:space="preserve"> </w:t>
      </w:r>
      <w:r>
        <w:rPr>
          <w:spacing w:val="-2"/>
          <w:w w:val="105"/>
          <w:sz w:val="15"/>
        </w:rPr>
        <w:t>cada</w:t>
      </w:r>
      <w:r>
        <w:rPr>
          <w:w w:val="105"/>
          <w:sz w:val="15"/>
        </w:rPr>
        <w:t xml:space="preserve"> </w:t>
      </w:r>
      <w:r>
        <w:rPr>
          <w:spacing w:val="-2"/>
          <w:w w:val="105"/>
          <w:sz w:val="15"/>
        </w:rPr>
        <w:t>uno</w:t>
      </w:r>
      <w:r>
        <w:rPr>
          <w:spacing w:val="1"/>
          <w:w w:val="105"/>
          <w:sz w:val="15"/>
        </w:rPr>
        <w:t xml:space="preserve"> </w:t>
      </w:r>
      <w:r>
        <w:rPr>
          <w:spacing w:val="-2"/>
          <w:w w:val="105"/>
          <w:sz w:val="15"/>
        </w:rPr>
        <w:t>de</w:t>
      </w:r>
      <w:r>
        <w:rPr>
          <w:w w:val="105"/>
          <w:sz w:val="15"/>
        </w:rPr>
        <w:t xml:space="preserve"> </w:t>
      </w:r>
      <w:r>
        <w:rPr>
          <w:spacing w:val="-2"/>
          <w:w w:val="105"/>
          <w:sz w:val="15"/>
        </w:rPr>
        <w:t>los</w:t>
      </w:r>
      <w:r>
        <w:rPr>
          <w:spacing w:val="1"/>
          <w:w w:val="105"/>
          <w:sz w:val="15"/>
        </w:rPr>
        <w:t xml:space="preserve"> </w:t>
      </w:r>
      <w:r>
        <w:rPr>
          <w:spacing w:val="-2"/>
          <w:w w:val="105"/>
          <w:sz w:val="15"/>
        </w:rPr>
        <w:t>requisitos</w:t>
      </w:r>
      <w:r>
        <w:rPr>
          <w:w w:val="105"/>
          <w:sz w:val="15"/>
        </w:rPr>
        <w:t xml:space="preserve"> </w:t>
      </w:r>
      <w:r>
        <w:rPr>
          <w:spacing w:val="-2"/>
          <w:w w:val="105"/>
          <w:sz w:val="15"/>
        </w:rPr>
        <w:t>institucionales</w:t>
      </w:r>
      <w:r>
        <w:rPr>
          <w:spacing w:val="-1"/>
          <w:w w:val="105"/>
          <w:sz w:val="15"/>
        </w:rPr>
        <w:t xml:space="preserve"> </w:t>
      </w:r>
      <w:r>
        <w:rPr>
          <w:spacing w:val="-2"/>
          <w:w w:val="105"/>
          <w:sz w:val="15"/>
        </w:rPr>
        <w:t>establecidos</w:t>
      </w:r>
      <w:r>
        <w:rPr>
          <w:spacing w:val="1"/>
          <w:w w:val="105"/>
          <w:sz w:val="15"/>
        </w:rPr>
        <w:t xml:space="preserve"> </w:t>
      </w:r>
      <w:r>
        <w:rPr>
          <w:spacing w:val="-2"/>
          <w:w w:val="105"/>
          <w:sz w:val="15"/>
        </w:rPr>
        <w:t>anteriormente</w:t>
      </w:r>
      <w:r>
        <w:rPr>
          <w:w w:val="105"/>
          <w:sz w:val="15"/>
        </w:rPr>
        <w:t xml:space="preserve"> </w:t>
      </w:r>
      <w:r>
        <w:rPr>
          <w:spacing w:val="-2"/>
          <w:w w:val="105"/>
          <w:sz w:val="15"/>
        </w:rPr>
        <w:t>esté</w:t>
      </w:r>
      <w:r>
        <w:rPr>
          <w:spacing w:val="1"/>
          <w:w w:val="105"/>
          <w:sz w:val="15"/>
        </w:rPr>
        <w:t xml:space="preserve"> </w:t>
      </w:r>
      <w:r>
        <w:rPr>
          <w:spacing w:val="-2"/>
          <w:w w:val="105"/>
          <w:sz w:val="15"/>
        </w:rPr>
        <w:t>garantizado.792</w:t>
      </w:r>
    </w:p>
    <w:p w14:paraId="7B1C8619" w14:textId="77777777" w:rsidR="0014798C" w:rsidRDefault="004E1F0B">
      <w:pPr>
        <w:spacing w:before="77" w:line="288" w:lineRule="auto"/>
        <w:ind w:left="1110" w:right="1272" w:hanging="3"/>
        <w:rPr>
          <w:sz w:val="15"/>
        </w:rPr>
      </w:pPr>
      <w:r>
        <w:rPr>
          <w:w w:val="105"/>
          <w:sz w:val="15"/>
        </w:rPr>
        <w:t>También</w:t>
      </w:r>
      <w:r>
        <w:rPr>
          <w:spacing w:val="-10"/>
          <w:w w:val="105"/>
          <w:sz w:val="15"/>
        </w:rPr>
        <w:t xml:space="preserve"> </w:t>
      </w:r>
      <w:r>
        <w:rPr>
          <w:w w:val="105"/>
          <w:sz w:val="15"/>
        </w:rPr>
        <w:t>se</w:t>
      </w:r>
      <w:r>
        <w:rPr>
          <w:spacing w:val="-10"/>
          <w:w w:val="105"/>
          <w:sz w:val="15"/>
        </w:rPr>
        <w:t xml:space="preserve"> </w:t>
      </w:r>
      <w:r>
        <w:rPr>
          <w:w w:val="105"/>
          <w:sz w:val="15"/>
        </w:rPr>
        <w:t>deben</w:t>
      </w:r>
      <w:r>
        <w:rPr>
          <w:spacing w:val="-10"/>
          <w:w w:val="105"/>
          <w:sz w:val="15"/>
        </w:rPr>
        <w:t xml:space="preserve"> </w:t>
      </w:r>
      <w:r>
        <w:rPr>
          <w:w w:val="105"/>
          <w:sz w:val="15"/>
        </w:rPr>
        <w:t>implementar</w:t>
      </w:r>
      <w:r>
        <w:rPr>
          <w:spacing w:val="-10"/>
          <w:w w:val="105"/>
          <w:sz w:val="15"/>
        </w:rPr>
        <w:t xml:space="preserve"> </w:t>
      </w:r>
      <w:r>
        <w:rPr>
          <w:w w:val="105"/>
          <w:sz w:val="15"/>
        </w:rPr>
        <w:t>medidas</w:t>
      </w:r>
      <w:r>
        <w:rPr>
          <w:spacing w:val="-10"/>
          <w:w w:val="105"/>
          <w:sz w:val="15"/>
        </w:rPr>
        <w:t xml:space="preserve"> </w:t>
      </w:r>
      <w:r>
        <w:rPr>
          <w:w w:val="105"/>
          <w:sz w:val="15"/>
        </w:rPr>
        <w:t>para</w:t>
      </w:r>
      <w:r>
        <w:rPr>
          <w:spacing w:val="-10"/>
          <w:w w:val="105"/>
          <w:sz w:val="15"/>
        </w:rPr>
        <w:t xml:space="preserve"> </w:t>
      </w:r>
      <w:r>
        <w:rPr>
          <w:w w:val="105"/>
          <w:sz w:val="15"/>
        </w:rPr>
        <w:t>garantizar</w:t>
      </w:r>
      <w:r>
        <w:rPr>
          <w:spacing w:val="-10"/>
          <w:w w:val="105"/>
          <w:sz w:val="15"/>
        </w:rPr>
        <w:t xml:space="preserve"> </w:t>
      </w:r>
      <w:r>
        <w:rPr>
          <w:w w:val="105"/>
          <w:sz w:val="15"/>
        </w:rPr>
        <w:t>una</w:t>
      </w:r>
      <w:r>
        <w:rPr>
          <w:spacing w:val="-10"/>
          <w:w w:val="105"/>
          <w:sz w:val="15"/>
        </w:rPr>
        <w:t xml:space="preserve"> </w:t>
      </w:r>
      <w:r>
        <w:rPr>
          <w:w w:val="105"/>
          <w:sz w:val="15"/>
        </w:rPr>
        <w:t>“cooperación</w:t>
      </w:r>
      <w:r>
        <w:rPr>
          <w:spacing w:val="-10"/>
          <w:w w:val="105"/>
          <w:sz w:val="15"/>
        </w:rPr>
        <w:t xml:space="preserve"> </w:t>
      </w:r>
      <w:r>
        <w:rPr>
          <w:w w:val="105"/>
          <w:sz w:val="15"/>
        </w:rPr>
        <w:t>adecuada</w:t>
      </w:r>
      <w:r>
        <w:rPr>
          <w:spacing w:val="-10"/>
          <w:w w:val="105"/>
          <w:sz w:val="15"/>
        </w:rPr>
        <w:t xml:space="preserve"> </w:t>
      </w:r>
      <w:r>
        <w:rPr>
          <w:w w:val="105"/>
          <w:sz w:val="15"/>
        </w:rPr>
        <w:t>y</w:t>
      </w:r>
      <w:r>
        <w:rPr>
          <w:spacing w:val="-10"/>
          <w:w w:val="105"/>
          <w:sz w:val="15"/>
        </w:rPr>
        <w:t xml:space="preserve"> </w:t>
      </w:r>
      <w:r>
        <w:rPr>
          <w:w w:val="105"/>
          <w:sz w:val="15"/>
        </w:rPr>
        <w:t>estrecha</w:t>
      </w:r>
      <w:r>
        <w:rPr>
          <w:spacing w:val="-10"/>
          <w:w w:val="105"/>
          <w:sz w:val="15"/>
        </w:rPr>
        <w:t xml:space="preserve"> </w:t>
      </w:r>
      <w:r>
        <w:rPr>
          <w:w w:val="105"/>
          <w:sz w:val="15"/>
        </w:rPr>
        <w:t>entre”</w:t>
      </w:r>
      <w:r>
        <w:rPr>
          <w:spacing w:val="-10"/>
          <w:w w:val="105"/>
          <w:sz w:val="15"/>
        </w:rPr>
        <w:t xml:space="preserve"> </w:t>
      </w:r>
      <w:r>
        <w:rPr>
          <w:w w:val="105"/>
          <w:sz w:val="15"/>
        </w:rPr>
        <w:t>diferentes</w:t>
      </w:r>
      <w:r>
        <w:rPr>
          <w:spacing w:val="-10"/>
          <w:w w:val="105"/>
          <w:sz w:val="15"/>
        </w:rPr>
        <w:t xml:space="preserve"> </w:t>
      </w:r>
      <w:r>
        <w:rPr>
          <w:w w:val="105"/>
          <w:sz w:val="15"/>
        </w:rPr>
        <w:t>entidades establecidas conforme a la legislación nacional.793</w:t>
      </w:r>
    </w:p>
    <w:p w14:paraId="10517814" w14:textId="77777777" w:rsidR="0014798C" w:rsidRDefault="0014798C">
      <w:pPr>
        <w:pStyle w:val="Textoindependiente"/>
        <w:spacing w:before="83"/>
        <w:rPr>
          <w:sz w:val="15"/>
        </w:rPr>
      </w:pPr>
    </w:p>
    <w:p w14:paraId="207848A5" w14:textId="77777777" w:rsidR="0014798C" w:rsidRDefault="004E1F0B">
      <w:pPr>
        <w:spacing w:line="348" w:lineRule="auto"/>
        <w:ind w:left="1108" w:right="1166" w:hanging="5"/>
        <w:rPr>
          <w:sz w:val="15"/>
        </w:rPr>
      </w:pPr>
      <w:r>
        <w:rPr>
          <w:w w:val="105"/>
          <w:sz w:val="15"/>
        </w:rPr>
        <w:t>Cuando</w:t>
      </w:r>
      <w:r>
        <w:rPr>
          <w:spacing w:val="-2"/>
          <w:w w:val="105"/>
          <w:sz w:val="15"/>
        </w:rPr>
        <w:t xml:space="preserve"> </w:t>
      </w:r>
      <w:r>
        <w:rPr>
          <w:w w:val="105"/>
          <w:sz w:val="15"/>
        </w:rPr>
        <w:t>cuentan</w:t>
      </w:r>
      <w:r>
        <w:rPr>
          <w:spacing w:val="-2"/>
          <w:w w:val="105"/>
          <w:sz w:val="15"/>
        </w:rPr>
        <w:t xml:space="preserve"> </w:t>
      </w:r>
      <w:r>
        <w:rPr>
          <w:w w:val="105"/>
          <w:sz w:val="15"/>
        </w:rPr>
        <w:t>con</w:t>
      </w:r>
      <w:r>
        <w:rPr>
          <w:spacing w:val="-2"/>
          <w:w w:val="105"/>
          <w:sz w:val="15"/>
        </w:rPr>
        <w:t xml:space="preserve"> </w:t>
      </w:r>
      <w:r>
        <w:rPr>
          <w:w w:val="105"/>
          <w:sz w:val="15"/>
        </w:rPr>
        <w:t>financiación</w:t>
      </w:r>
      <w:r>
        <w:rPr>
          <w:spacing w:val="-2"/>
          <w:w w:val="105"/>
          <w:sz w:val="15"/>
        </w:rPr>
        <w:t xml:space="preserve"> </w:t>
      </w:r>
      <w:r>
        <w:rPr>
          <w:w w:val="105"/>
          <w:sz w:val="15"/>
        </w:rPr>
        <w:t>suficiente,</w:t>
      </w:r>
      <w:r>
        <w:rPr>
          <w:spacing w:val="-1"/>
          <w:w w:val="105"/>
          <w:sz w:val="15"/>
        </w:rPr>
        <w:t xml:space="preserve"> </w:t>
      </w:r>
      <w:r>
        <w:rPr>
          <w:w w:val="105"/>
          <w:sz w:val="15"/>
        </w:rPr>
        <w:t>mandatos</w:t>
      </w:r>
      <w:r>
        <w:rPr>
          <w:spacing w:val="-2"/>
          <w:w w:val="105"/>
          <w:sz w:val="15"/>
        </w:rPr>
        <w:t xml:space="preserve"> </w:t>
      </w:r>
      <w:r>
        <w:rPr>
          <w:w w:val="105"/>
          <w:sz w:val="15"/>
        </w:rPr>
        <w:t>claros</w:t>
      </w:r>
      <w:r>
        <w:rPr>
          <w:spacing w:val="-2"/>
          <w:w w:val="105"/>
          <w:sz w:val="15"/>
        </w:rPr>
        <w:t xml:space="preserve"> </w:t>
      </w:r>
      <w:r>
        <w:rPr>
          <w:w w:val="105"/>
          <w:sz w:val="15"/>
        </w:rPr>
        <w:t>y</w:t>
      </w:r>
      <w:r>
        <w:rPr>
          <w:spacing w:val="-2"/>
          <w:w w:val="105"/>
          <w:sz w:val="15"/>
        </w:rPr>
        <w:t xml:space="preserve"> </w:t>
      </w:r>
      <w:r>
        <w:rPr>
          <w:w w:val="105"/>
          <w:sz w:val="15"/>
        </w:rPr>
        <w:t>garantías</w:t>
      </w:r>
      <w:r>
        <w:rPr>
          <w:spacing w:val="-2"/>
          <w:w w:val="105"/>
          <w:sz w:val="15"/>
        </w:rPr>
        <w:t xml:space="preserve"> </w:t>
      </w:r>
      <w:r>
        <w:rPr>
          <w:w w:val="105"/>
          <w:sz w:val="15"/>
        </w:rPr>
        <w:t>institucionales</w:t>
      </w:r>
      <w:r>
        <w:rPr>
          <w:spacing w:val="-3"/>
          <w:w w:val="105"/>
          <w:sz w:val="15"/>
        </w:rPr>
        <w:t xml:space="preserve"> </w:t>
      </w:r>
      <w:r>
        <w:rPr>
          <w:w w:val="105"/>
          <w:sz w:val="15"/>
        </w:rPr>
        <w:t>para</w:t>
      </w:r>
      <w:r>
        <w:rPr>
          <w:spacing w:val="-2"/>
          <w:w w:val="105"/>
          <w:sz w:val="15"/>
        </w:rPr>
        <w:t xml:space="preserve"> </w:t>
      </w:r>
      <w:r>
        <w:rPr>
          <w:w w:val="105"/>
          <w:sz w:val="15"/>
        </w:rPr>
        <w:t>garantizar</w:t>
      </w:r>
      <w:r>
        <w:rPr>
          <w:spacing w:val="-2"/>
          <w:w w:val="105"/>
          <w:sz w:val="15"/>
        </w:rPr>
        <w:t xml:space="preserve"> </w:t>
      </w:r>
      <w:r>
        <w:rPr>
          <w:w w:val="105"/>
          <w:sz w:val="15"/>
        </w:rPr>
        <w:t>su</w:t>
      </w:r>
      <w:r>
        <w:rPr>
          <w:spacing w:val="-2"/>
          <w:w w:val="105"/>
          <w:sz w:val="15"/>
        </w:rPr>
        <w:t xml:space="preserve"> </w:t>
      </w:r>
      <w:r>
        <w:rPr>
          <w:w w:val="105"/>
          <w:sz w:val="15"/>
        </w:rPr>
        <w:t>independencia,</w:t>
      </w:r>
      <w:r>
        <w:rPr>
          <w:spacing w:val="-1"/>
          <w:w w:val="105"/>
          <w:sz w:val="15"/>
        </w:rPr>
        <w:t xml:space="preserve"> </w:t>
      </w:r>
      <w:r>
        <w:rPr>
          <w:w w:val="105"/>
          <w:sz w:val="15"/>
        </w:rPr>
        <w:t>los organismos</w:t>
      </w:r>
      <w:r>
        <w:rPr>
          <w:spacing w:val="-9"/>
          <w:w w:val="105"/>
          <w:sz w:val="15"/>
        </w:rPr>
        <w:t xml:space="preserve"> </w:t>
      </w:r>
      <w:r>
        <w:rPr>
          <w:w w:val="105"/>
          <w:sz w:val="15"/>
        </w:rPr>
        <w:t>de</w:t>
      </w:r>
      <w:r>
        <w:rPr>
          <w:spacing w:val="-9"/>
          <w:w w:val="105"/>
          <w:sz w:val="15"/>
        </w:rPr>
        <w:t xml:space="preserve"> </w:t>
      </w:r>
      <w:r>
        <w:rPr>
          <w:w w:val="105"/>
          <w:sz w:val="15"/>
        </w:rPr>
        <w:t>igualdad</w:t>
      </w:r>
      <w:r>
        <w:rPr>
          <w:spacing w:val="-9"/>
          <w:w w:val="105"/>
          <w:sz w:val="15"/>
        </w:rPr>
        <w:t xml:space="preserve"> </w:t>
      </w:r>
      <w:r>
        <w:rPr>
          <w:w w:val="105"/>
          <w:sz w:val="15"/>
        </w:rPr>
        <w:t>han</w:t>
      </w:r>
      <w:r>
        <w:rPr>
          <w:spacing w:val="-9"/>
          <w:w w:val="105"/>
          <w:sz w:val="15"/>
        </w:rPr>
        <w:t xml:space="preserve"> </w:t>
      </w:r>
      <w:r>
        <w:rPr>
          <w:w w:val="105"/>
          <w:sz w:val="15"/>
        </w:rPr>
        <w:t>demostrado</w:t>
      </w:r>
      <w:r>
        <w:rPr>
          <w:spacing w:val="-9"/>
          <w:w w:val="105"/>
          <w:sz w:val="15"/>
        </w:rPr>
        <w:t xml:space="preserve"> </w:t>
      </w:r>
      <w:r>
        <w:rPr>
          <w:w w:val="105"/>
          <w:sz w:val="15"/>
        </w:rPr>
        <w:t>ser</w:t>
      </w:r>
      <w:r>
        <w:rPr>
          <w:spacing w:val="-9"/>
          <w:w w:val="105"/>
          <w:sz w:val="15"/>
        </w:rPr>
        <w:t xml:space="preserve"> </w:t>
      </w:r>
      <w:r>
        <w:rPr>
          <w:w w:val="105"/>
          <w:sz w:val="15"/>
        </w:rPr>
        <w:t>extremadamente</w:t>
      </w:r>
      <w:r>
        <w:rPr>
          <w:spacing w:val="-9"/>
          <w:w w:val="105"/>
          <w:sz w:val="15"/>
        </w:rPr>
        <w:t xml:space="preserve"> </w:t>
      </w:r>
      <w:r>
        <w:rPr>
          <w:w w:val="105"/>
          <w:sz w:val="15"/>
        </w:rPr>
        <w:t>eficaces</w:t>
      </w:r>
      <w:r>
        <w:rPr>
          <w:spacing w:val="-9"/>
          <w:w w:val="105"/>
          <w:sz w:val="15"/>
        </w:rPr>
        <w:t xml:space="preserve"> </w:t>
      </w:r>
      <w:r>
        <w:rPr>
          <w:w w:val="105"/>
          <w:sz w:val="15"/>
        </w:rPr>
        <w:t>en</w:t>
      </w:r>
      <w:r>
        <w:rPr>
          <w:spacing w:val="-9"/>
          <w:w w:val="105"/>
          <w:sz w:val="15"/>
        </w:rPr>
        <w:t xml:space="preserve"> </w:t>
      </w:r>
      <w:r>
        <w:rPr>
          <w:w w:val="105"/>
          <w:sz w:val="15"/>
        </w:rPr>
        <w:t>la</w:t>
      </w:r>
      <w:r>
        <w:rPr>
          <w:spacing w:val="-9"/>
          <w:w w:val="105"/>
          <w:sz w:val="15"/>
        </w:rPr>
        <w:t xml:space="preserve"> </w:t>
      </w:r>
      <w:r>
        <w:rPr>
          <w:w w:val="105"/>
          <w:sz w:val="15"/>
        </w:rPr>
        <w:t>práctica.</w:t>
      </w:r>
      <w:r>
        <w:rPr>
          <w:spacing w:val="-9"/>
          <w:w w:val="105"/>
          <w:sz w:val="15"/>
        </w:rPr>
        <w:t xml:space="preserve"> </w:t>
      </w:r>
      <w:r>
        <w:rPr>
          <w:w w:val="105"/>
          <w:sz w:val="15"/>
        </w:rPr>
        <w:t>Los</w:t>
      </w:r>
      <w:r>
        <w:rPr>
          <w:spacing w:val="-9"/>
          <w:w w:val="105"/>
          <w:sz w:val="15"/>
        </w:rPr>
        <w:t xml:space="preserve"> </w:t>
      </w:r>
      <w:r>
        <w:rPr>
          <w:w w:val="105"/>
          <w:sz w:val="15"/>
        </w:rPr>
        <w:t>propios</w:t>
      </w:r>
      <w:r>
        <w:rPr>
          <w:spacing w:val="-9"/>
          <w:w w:val="105"/>
          <w:sz w:val="15"/>
        </w:rPr>
        <w:t xml:space="preserve"> </w:t>
      </w:r>
      <w:r>
        <w:rPr>
          <w:w w:val="105"/>
          <w:sz w:val="15"/>
        </w:rPr>
        <w:t>organismos</w:t>
      </w:r>
      <w:r>
        <w:rPr>
          <w:spacing w:val="-9"/>
          <w:w w:val="105"/>
          <w:sz w:val="15"/>
        </w:rPr>
        <w:t xml:space="preserve"> </w:t>
      </w:r>
      <w:r>
        <w:rPr>
          <w:w w:val="105"/>
          <w:sz w:val="15"/>
        </w:rPr>
        <w:t>de</w:t>
      </w:r>
      <w:r>
        <w:rPr>
          <w:spacing w:val="-9"/>
          <w:w w:val="105"/>
          <w:sz w:val="15"/>
        </w:rPr>
        <w:t xml:space="preserve"> </w:t>
      </w:r>
      <w:r>
        <w:rPr>
          <w:w w:val="105"/>
          <w:sz w:val="15"/>
        </w:rPr>
        <w:t>igualdad</w:t>
      </w:r>
      <w:r>
        <w:rPr>
          <w:spacing w:val="-9"/>
          <w:w w:val="105"/>
          <w:sz w:val="15"/>
        </w:rPr>
        <w:t xml:space="preserve"> </w:t>
      </w:r>
      <w:r>
        <w:rPr>
          <w:w w:val="105"/>
          <w:sz w:val="15"/>
        </w:rPr>
        <w:t>desempeñan un</w:t>
      </w:r>
      <w:r>
        <w:rPr>
          <w:spacing w:val="-3"/>
          <w:w w:val="105"/>
          <w:sz w:val="15"/>
        </w:rPr>
        <w:t xml:space="preserve"> </w:t>
      </w:r>
      <w:r>
        <w:rPr>
          <w:w w:val="105"/>
          <w:sz w:val="15"/>
        </w:rPr>
        <w:t>papel</w:t>
      </w:r>
      <w:r>
        <w:rPr>
          <w:spacing w:val="-3"/>
          <w:w w:val="105"/>
          <w:sz w:val="15"/>
        </w:rPr>
        <w:t xml:space="preserve"> </w:t>
      </w:r>
      <w:r>
        <w:rPr>
          <w:w w:val="105"/>
          <w:sz w:val="15"/>
        </w:rPr>
        <w:t>importante</w:t>
      </w:r>
      <w:r>
        <w:rPr>
          <w:spacing w:val="-3"/>
          <w:w w:val="105"/>
          <w:sz w:val="15"/>
        </w:rPr>
        <w:t xml:space="preserve"> </w:t>
      </w:r>
      <w:r>
        <w:rPr>
          <w:w w:val="105"/>
          <w:sz w:val="15"/>
        </w:rPr>
        <w:t>a</w:t>
      </w:r>
      <w:r>
        <w:rPr>
          <w:spacing w:val="-3"/>
          <w:w w:val="105"/>
          <w:sz w:val="15"/>
        </w:rPr>
        <w:t xml:space="preserve"> </w:t>
      </w:r>
      <w:r>
        <w:rPr>
          <w:w w:val="105"/>
          <w:sz w:val="15"/>
        </w:rPr>
        <w:t>la</w:t>
      </w:r>
      <w:r>
        <w:rPr>
          <w:spacing w:val="-3"/>
          <w:w w:val="105"/>
          <w:sz w:val="15"/>
        </w:rPr>
        <w:t xml:space="preserve"> </w:t>
      </w:r>
      <w:r>
        <w:rPr>
          <w:w w:val="105"/>
          <w:sz w:val="15"/>
        </w:rPr>
        <w:t>hora</w:t>
      </w:r>
      <w:r>
        <w:rPr>
          <w:spacing w:val="-3"/>
          <w:w w:val="105"/>
          <w:sz w:val="15"/>
        </w:rPr>
        <w:t xml:space="preserve"> </w:t>
      </w:r>
      <w:r>
        <w:rPr>
          <w:w w:val="105"/>
          <w:sz w:val="15"/>
        </w:rPr>
        <w:t>de</w:t>
      </w:r>
      <w:r>
        <w:rPr>
          <w:spacing w:val="-3"/>
          <w:w w:val="105"/>
          <w:sz w:val="15"/>
        </w:rPr>
        <w:t xml:space="preserve"> </w:t>
      </w:r>
      <w:r>
        <w:rPr>
          <w:w w:val="105"/>
          <w:sz w:val="15"/>
        </w:rPr>
        <w:t>garantizar</w:t>
      </w:r>
      <w:r>
        <w:rPr>
          <w:spacing w:val="-3"/>
          <w:w w:val="105"/>
          <w:sz w:val="15"/>
        </w:rPr>
        <w:t xml:space="preserve"> </w:t>
      </w:r>
      <w:r>
        <w:rPr>
          <w:w w:val="105"/>
          <w:sz w:val="15"/>
        </w:rPr>
        <w:t>el</w:t>
      </w:r>
      <w:r>
        <w:rPr>
          <w:spacing w:val="-3"/>
          <w:w w:val="105"/>
          <w:sz w:val="15"/>
        </w:rPr>
        <w:t xml:space="preserve"> </w:t>
      </w:r>
      <w:r>
        <w:rPr>
          <w:w w:val="105"/>
          <w:sz w:val="15"/>
        </w:rPr>
        <w:t>cumplimiento</w:t>
      </w:r>
      <w:r>
        <w:rPr>
          <w:spacing w:val="-3"/>
          <w:w w:val="105"/>
          <w:sz w:val="15"/>
        </w:rPr>
        <w:t xml:space="preserve"> </w:t>
      </w:r>
      <w:r>
        <w:rPr>
          <w:w w:val="105"/>
          <w:sz w:val="15"/>
        </w:rPr>
        <w:t>eficaz</w:t>
      </w:r>
      <w:r>
        <w:rPr>
          <w:spacing w:val="-3"/>
          <w:w w:val="105"/>
          <w:sz w:val="15"/>
        </w:rPr>
        <w:t xml:space="preserve"> </w:t>
      </w:r>
      <w:r>
        <w:rPr>
          <w:w w:val="105"/>
          <w:sz w:val="15"/>
        </w:rPr>
        <w:t>de</w:t>
      </w:r>
      <w:r>
        <w:rPr>
          <w:spacing w:val="-3"/>
          <w:w w:val="105"/>
          <w:sz w:val="15"/>
        </w:rPr>
        <w:t xml:space="preserve"> </w:t>
      </w:r>
      <w:r>
        <w:rPr>
          <w:w w:val="105"/>
          <w:sz w:val="15"/>
        </w:rPr>
        <w:t>sus</w:t>
      </w:r>
      <w:r>
        <w:rPr>
          <w:spacing w:val="-3"/>
          <w:w w:val="105"/>
          <w:sz w:val="15"/>
        </w:rPr>
        <w:t xml:space="preserve"> </w:t>
      </w:r>
      <w:r>
        <w:rPr>
          <w:w w:val="105"/>
          <w:sz w:val="15"/>
        </w:rPr>
        <w:t>mandatos,</w:t>
      </w:r>
      <w:r>
        <w:rPr>
          <w:spacing w:val="-2"/>
          <w:w w:val="105"/>
          <w:sz w:val="15"/>
        </w:rPr>
        <w:t xml:space="preserve"> </w:t>
      </w:r>
      <w:r>
        <w:rPr>
          <w:w w:val="105"/>
          <w:sz w:val="15"/>
        </w:rPr>
        <w:t>participando</w:t>
      </w:r>
      <w:r>
        <w:rPr>
          <w:spacing w:val="-3"/>
          <w:w w:val="105"/>
          <w:sz w:val="15"/>
        </w:rPr>
        <w:t xml:space="preserve"> </w:t>
      </w:r>
      <w:r>
        <w:rPr>
          <w:w w:val="105"/>
          <w:sz w:val="15"/>
        </w:rPr>
        <w:t>en</w:t>
      </w:r>
      <w:r>
        <w:rPr>
          <w:spacing w:val="-3"/>
          <w:w w:val="105"/>
          <w:sz w:val="15"/>
        </w:rPr>
        <w:t xml:space="preserve"> </w:t>
      </w:r>
      <w:r>
        <w:rPr>
          <w:w w:val="105"/>
          <w:sz w:val="15"/>
        </w:rPr>
        <w:t>la</w:t>
      </w:r>
      <w:r>
        <w:rPr>
          <w:spacing w:val="-3"/>
          <w:w w:val="105"/>
          <w:sz w:val="15"/>
        </w:rPr>
        <w:t xml:space="preserve"> </w:t>
      </w:r>
      <w:r>
        <w:rPr>
          <w:w w:val="105"/>
          <w:sz w:val="15"/>
        </w:rPr>
        <w:t>planificación</w:t>
      </w:r>
      <w:r>
        <w:rPr>
          <w:spacing w:val="-3"/>
          <w:w w:val="105"/>
          <w:sz w:val="15"/>
        </w:rPr>
        <w:t xml:space="preserve"> </w:t>
      </w:r>
      <w:r>
        <w:rPr>
          <w:w w:val="105"/>
          <w:sz w:val="15"/>
        </w:rPr>
        <w:t>estratégica,</w:t>
      </w:r>
      <w:r>
        <w:rPr>
          <w:spacing w:val="-2"/>
          <w:w w:val="105"/>
          <w:sz w:val="15"/>
        </w:rPr>
        <w:t xml:space="preserve"> </w:t>
      </w:r>
      <w:r>
        <w:rPr>
          <w:w w:val="105"/>
          <w:sz w:val="15"/>
        </w:rPr>
        <w:t>el establecimiento</w:t>
      </w:r>
      <w:r>
        <w:rPr>
          <w:spacing w:val="-2"/>
          <w:w w:val="105"/>
          <w:sz w:val="15"/>
        </w:rPr>
        <w:t xml:space="preserve"> </w:t>
      </w:r>
      <w:r>
        <w:rPr>
          <w:w w:val="105"/>
          <w:sz w:val="15"/>
        </w:rPr>
        <w:t>de</w:t>
      </w:r>
      <w:r>
        <w:rPr>
          <w:spacing w:val="-2"/>
          <w:w w:val="105"/>
          <w:sz w:val="15"/>
        </w:rPr>
        <w:t xml:space="preserve"> </w:t>
      </w:r>
      <w:r>
        <w:rPr>
          <w:w w:val="105"/>
          <w:sz w:val="15"/>
        </w:rPr>
        <w:t>objetivos</w:t>
      </w:r>
      <w:r>
        <w:rPr>
          <w:spacing w:val="-2"/>
          <w:w w:val="105"/>
          <w:sz w:val="15"/>
        </w:rPr>
        <w:t xml:space="preserve"> </w:t>
      </w:r>
      <w:r>
        <w:rPr>
          <w:w w:val="105"/>
          <w:sz w:val="15"/>
        </w:rPr>
        <w:t>y</w:t>
      </w:r>
      <w:r>
        <w:rPr>
          <w:spacing w:val="-2"/>
          <w:w w:val="105"/>
          <w:sz w:val="15"/>
        </w:rPr>
        <w:t xml:space="preserve"> </w:t>
      </w:r>
      <w:r>
        <w:rPr>
          <w:w w:val="105"/>
          <w:sz w:val="15"/>
        </w:rPr>
        <w:t>el</w:t>
      </w:r>
      <w:r>
        <w:rPr>
          <w:spacing w:val="-2"/>
          <w:w w:val="105"/>
          <w:sz w:val="15"/>
        </w:rPr>
        <w:t xml:space="preserve"> </w:t>
      </w:r>
      <w:r>
        <w:rPr>
          <w:w w:val="105"/>
          <w:sz w:val="15"/>
        </w:rPr>
        <w:t>establecimiento</w:t>
      </w:r>
      <w:r>
        <w:rPr>
          <w:spacing w:val="-2"/>
          <w:w w:val="105"/>
          <w:sz w:val="15"/>
        </w:rPr>
        <w:t xml:space="preserve"> </w:t>
      </w:r>
      <w:r>
        <w:rPr>
          <w:w w:val="105"/>
          <w:sz w:val="15"/>
        </w:rPr>
        <w:t>de</w:t>
      </w:r>
      <w:r>
        <w:rPr>
          <w:spacing w:val="-2"/>
          <w:w w:val="105"/>
          <w:sz w:val="15"/>
        </w:rPr>
        <w:t xml:space="preserve"> </w:t>
      </w:r>
      <w:r>
        <w:rPr>
          <w:w w:val="105"/>
          <w:sz w:val="15"/>
        </w:rPr>
        <w:t>indicadores</w:t>
      </w:r>
      <w:r>
        <w:rPr>
          <w:spacing w:val="-2"/>
          <w:w w:val="105"/>
          <w:sz w:val="15"/>
        </w:rPr>
        <w:t xml:space="preserve"> </w:t>
      </w:r>
      <w:r>
        <w:rPr>
          <w:w w:val="105"/>
          <w:sz w:val="15"/>
        </w:rPr>
        <w:t>y</w:t>
      </w:r>
      <w:r>
        <w:rPr>
          <w:spacing w:val="-2"/>
          <w:w w:val="105"/>
          <w:sz w:val="15"/>
        </w:rPr>
        <w:t xml:space="preserve"> </w:t>
      </w:r>
      <w:r>
        <w:rPr>
          <w:w w:val="105"/>
          <w:sz w:val="15"/>
        </w:rPr>
        <w:t>puntos</w:t>
      </w:r>
      <w:r>
        <w:rPr>
          <w:spacing w:val="-2"/>
          <w:w w:val="105"/>
          <w:sz w:val="15"/>
        </w:rPr>
        <w:t xml:space="preserve"> </w:t>
      </w:r>
      <w:r>
        <w:rPr>
          <w:w w:val="105"/>
          <w:sz w:val="15"/>
        </w:rPr>
        <w:t>de</w:t>
      </w:r>
      <w:r>
        <w:rPr>
          <w:spacing w:val="-2"/>
          <w:w w:val="105"/>
          <w:sz w:val="15"/>
        </w:rPr>
        <w:t xml:space="preserve"> </w:t>
      </w:r>
      <w:r>
        <w:rPr>
          <w:w w:val="105"/>
          <w:sz w:val="15"/>
        </w:rPr>
        <w:t>referencia</w:t>
      </w:r>
      <w:r>
        <w:rPr>
          <w:spacing w:val="-2"/>
          <w:w w:val="105"/>
          <w:sz w:val="15"/>
        </w:rPr>
        <w:t xml:space="preserve"> </w:t>
      </w:r>
      <w:r>
        <w:rPr>
          <w:w w:val="105"/>
          <w:sz w:val="15"/>
        </w:rPr>
        <w:t>para</w:t>
      </w:r>
      <w:r>
        <w:rPr>
          <w:spacing w:val="-2"/>
          <w:w w:val="105"/>
          <w:sz w:val="15"/>
        </w:rPr>
        <w:t xml:space="preserve"> </w:t>
      </w:r>
      <w:r>
        <w:rPr>
          <w:w w:val="105"/>
          <w:sz w:val="15"/>
        </w:rPr>
        <w:t>monitorear</w:t>
      </w:r>
      <w:r>
        <w:rPr>
          <w:spacing w:val="-2"/>
          <w:w w:val="105"/>
          <w:sz w:val="15"/>
        </w:rPr>
        <w:t xml:space="preserve"> </w:t>
      </w:r>
      <w:r>
        <w:rPr>
          <w:w w:val="105"/>
          <w:sz w:val="15"/>
        </w:rPr>
        <w:t>los</w:t>
      </w:r>
      <w:r>
        <w:rPr>
          <w:spacing w:val="-2"/>
          <w:w w:val="105"/>
          <w:sz w:val="15"/>
        </w:rPr>
        <w:t xml:space="preserve"> </w:t>
      </w:r>
      <w:r>
        <w:rPr>
          <w:w w:val="105"/>
          <w:sz w:val="15"/>
        </w:rPr>
        <w:t>resultados</w:t>
      </w:r>
      <w:r>
        <w:rPr>
          <w:spacing w:val="-2"/>
          <w:w w:val="105"/>
          <w:sz w:val="15"/>
        </w:rPr>
        <w:t xml:space="preserve"> </w:t>
      </w:r>
      <w:r>
        <w:rPr>
          <w:w w:val="105"/>
          <w:sz w:val="15"/>
        </w:rPr>
        <w:t>de</w:t>
      </w:r>
      <w:r>
        <w:rPr>
          <w:spacing w:val="-2"/>
          <w:w w:val="105"/>
          <w:sz w:val="15"/>
        </w:rPr>
        <w:t xml:space="preserve"> </w:t>
      </w:r>
      <w:r>
        <w:rPr>
          <w:w w:val="105"/>
          <w:sz w:val="15"/>
        </w:rPr>
        <w:t>su</w:t>
      </w:r>
      <w:r>
        <w:rPr>
          <w:spacing w:val="-2"/>
          <w:w w:val="105"/>
          <w:sz w:val="15"/>
        </w:rPr>
        <w:t xml:space="preserve"> </w:t>
      </w:r>
      <w:r>
        <w:rPr>
          <w:w w:val="105"/>
          <w:sz w:val="15"/>
        </w:rPr>
        <w:t>trabajo</w:t>
      </w:r>
      <w:r>
        <w:rPr>
          <w:spacing w:val="-2"/>
          <w:w w:val="105"/>
          <w:sz w:val="15"/>
        </w:rPr>
        <w:t xml:space="preserve"> </w:t>
      </w:r>
      <w:r>
        <w:rPr>
          <w:w w:val="105"/>
          <w:sz w:val="15"/>
        </w:rPr>
        <w:t>y</w:t>
      </w:r>
    </w:p>
    <w:p w14:paraId="4187B051" w14:textId="77777777" w:rsidR="0014798C" w:rsidRDefault="004E1F0B">
      <w:pPr>
        <w:spacing w:line="348" w:lineRule="auto"/>
        <w:ind w:left="1107" w:right="1418"/>
        <w:rPr>
          <w:sz w:val="15"/>
        </w:rPr>
      </w:pPr>
      <w:r>
        <w:rPr>
          <w:w w:val="105"/>
          <w:sz w:val="15"/>
        </w:rPr>
        <w:t>el</w:t>
      </w:r>
      <w:r>
        <w:rPr>
          <w:spacing w:val="-1"/>
          <w:w w:val="105"/>
          <w:sz w:val="15"/>
        </w:rPr>
        <w:t xml:space="preserve"> </w:t>
      </w:r>
      <w:r>
        <w:rPr>
          <w:w w:val="105"/>
          <w:sz w:val="15"/>
        </w:rPr>
        <w:t>logro</w:t>
      </w:r>
      <w:r>
        <w:rPr>
          <w:spacing w:val="-1"/>
          <w:w w:val="105"/>
          <w:sz w:val="15"/>
        </w:rPr>
        <w:t xml:space="preserve"> </w:t>
      </w:r>
      <w:r>
        <w:rPr>
          <w:w w:val="105"/>
          <w:sz w:val="15"/>
        </w:rPr>
        <w:t>de</w:t>
      </w:r>
      <w:r>
        <w:rPr>
          <w:spacing w:val="-1"/>
          <w:w w:val="105"/>
          <w:sz w:val="15"/>
        </w:rPr>
        <w:t xml:space="preserve"> </w:t>
      </w:r>
      <w:r>
        <w:rPr>
          <w:w w:val="105"/>
          <w:sz w:val="15"/>
        </w:rPr>
        <w:t>sus</w:t>
      </w:r>
      <w:r>
        <w:rPr>
          <w:spacing w:val="-1"/>
          <w:w w:val="105"/>
          <w:sz w:val="15"/>
        </w:rPr>
        <w:t xml:space="preserve"> </w:t>
      </w:r>
      <w:r>
        <w:rPr>
          <w:w w:val="105"/>
          <w:sz w:val="15"/>
        </w:rPr>
        <w:t>objetivos.794</w:t>
      </w:r>
      <w:r>
        <w:rPr>
          <w:spacing w:val="-1"/>
          <w:w w:val="105"/>
          <w:sz w:val="15"/>
        </w:rPr>
        <w:t xml:space="preserve"> </w:t>
      </w:r>
      <w:r>
        <w:rPr>
          <w:w w:val="105"/>
          <w:sz w:val="15"/>
        </w:rPr>
        <w:t>Es</w:t>
      </w:r>
      <w:r>
        <w:rPr>
          <w:spacing w:val="-1"/>
          <w:w w:val="105"/>
          <w:sz w:val="15"/>
        </w:rPr>
        <w:t xml:space="preserve"> </w:t>
      </w:r>
      <w:r>
        <w:rPr>
          <w:w w:val="105"/>
          <w:sz w:val="15"/>
        </w:rPr>
        <w:t>importante</w:t>
      </w:r>
      <w:r>
        <w:rPr>
          <w:spacing w:val="-1"/>
          <w:w w:val="105"/>
          <w:sz w:val="15"/>
        </w:rPr>
        <w:t xml:space="preserve"> </w:t>
      </w:r>
      <w:r>
        <w:rPr>
          <w:w w:val="105"/>
          <w:sz w:val="15"/>
        </w:rPr>
        <w:t>que</w:t>
      </w:r>
      <w:r>
        <w:rPr>
          <w:spacing w:val="-1"/>
          <w:w w:val="105"/>
          <w:sz w:val="15"/>
        </w:rPr>
        <w:t xml:space="preserve"> </w:t>
      </w:r>
      <w:r>
        <w:rPr>
          <w:w w:val="105"/>
          <w:sz w:val="15"/>
        </w:rPr>
        <w:t>los</w:t>
      </w:r>
      <w:r>
        <w:rPr>
          <w:spacing w:val="-1"/>
          <w:w w:val="105"/>
          <w:sz w:val="15"/>
        </w:rPr>
        <w:t xml:space="preserve"> </w:t>
      </w:r>
      <w:r>
        <w:rPr>
          <w:w w:val="105"/>
          <w:sz w:val="15"/>
        </w:rPr>
        <w:t>Estados</w:t>
      </w:r>
      <w:r>
        <w:rPr>
          <w:spacing w:val="-1"/>
          <w:w w:val="105"/>
          <w:sz w:val="15"/>
        </w:rPr>
        <w:t xml:space="preserve"> </w:t>
      </w:r>
      <w:r>
        <w:rPr>
          <w:w w:val="105"/>
          <w:sz w:val="15"/>
        </w:rPr>
        <w:t>apoyar</w:t>
      </w:r>
      <w:r>
        <w:rPr>
          <w:spacing w:val="-1"/>
          <w:w w:val="105"/>
          <w:sz w:val="15"/>
        </w:rPr>
        <w:t xml:space="preserve"> </w:t>
      </w:r>
      <w:r>
        <w:rPr>
          <w:w w:val="105"/>
          <w:sz w:val="15"/>
        </w:rPr>
        <w:t>estos</w:t>
      </w:r>
      <w:r>
        <w:rPr>
          <w:spacing w:val="-1"/>
          <w:w w:val="105"/>
          <w:sz w:val="15"/>
        </w:rPr>
        <w:t xml:space="preserve"> </w:t>
      </w:r>
      <w:r>
        <w:rPr>
          <w:w w:val="105"/>
          <w:sz w:val="15"/>
        </w:rPr>
        <w:t>procesos</w:t>
      </w:r>
      <w:r>
        <w:rPr>
          <w:spacing w:val="-1"/>
          <w:w w:val="105"/>
          <w:sz w:val="15"/>
        </w:rPr>
        <w:t xml:space="preserve"> </w:t>
      </w:r>
      <w:r>
        <w:rPr>
          <w:w w:val="105"/>
          <w:sz w:val="15"/>
        </w:rPr>
        <w:t>y</w:t>
      </w:r>
      <w:r>
        <w:rPr>
          <w:spacing w:val="-1"/>
          <w:w w:val="105"/>
          <w:sz w:val="15"/>
        </w:rPr>
        <w:t xml:space="preserve"> </w:t>
      </w:r>
      <w:r>
        <w:rPr>
          <w:w w:val="105"/>
          <w:sz w:val="15"/>
        </w:rPr>
        <w:t>trabajar</w:t>
      </w:r>
      <w:r>
        <w:rPr>
          <w:spacing w:val="-1"/>
          <w:w w:val="105"/>
          <w:sz w:val="15"/>
        </w:rPr>
        <w:t xml:space="preserve"> </w:t>
      </w:r>
      <w:r>
        <w:rPr>
          <w:w w:val="105"/>
          <w:sz w:val="15"/>
        </w:rPr>
        <w:t>para</w:t>
      </w:r>
      <w:r>
        <w:rPr>
          <w:spacing w:val="-1"/>
          <w:w w:val="105"/>
          <w:sz w:val="15"/>
        </w:rPr>
        <w:t xml:space="preserve"> </w:t>
      </w:r>
      <w:r>
        <w:rPr>
          <w:w w:val="105"/>
          <w:sz w:val="15"/>
        </w:rPr>
        <w:t>garantizar</w:t>
      </w:r>
      <w:r>
        <w:rPr>
          <w:spacing w:val="-1"/>
          <w:w w:val="105"/>
          <w:sz w:val="15"/>
        </w:rPr>
        <w:t xml:space="preserve"> </w:t>
      </w:r>
      <w:r>
        <w:rPr>
          <w:w w:val="105"/>
          <w:sz w:val="15"/>
        </w:rPr>
        <w:t>la</w:t>
      </w:r>
      <w:r>
        <w:rPr>
          <w:spacing w:val="-1"/>
          <w:w w:val="105"/>
          <w:sz w:val="15"/>
        </w:rPr>
        <w:t xml:space="preserve"> </w:t>
      </w:r>
      <w:r>
        <w:rPr>
          <w:w w:val="105"/>
          <w:sz w:val="15"/>
        </w:rPr>
        <w:t>eficacia</w:t>
      </w:r>
      <w:r>
        <w:rPr>
          <w:spacing w:val="-1"/>
          <w:w w:val="105"/>
          <w:sz w:val="15"/>
        </w:rPr>
        <w:t xml:space="preserve"> </w:t>
      </w:r>
      <w:r>
        <w:rPr>
          <w:w w:val="105"/>
          <w:sz w:val="15"/>
        </w:rPr>
        <w:t>de</w:t>
      </w:r>
      <w:r>
        <w:rPr>
          <w:spacing w:val="-1"/>
          <w:w w:val="105"/>
          <w:sz w:val="15"/>
        </w:rPr>
        <w:t xml:space="preserve"> </w:t>
      </w:r>
      <w:r>
        <w:rPr>
          <w:w w:val="105"/>
          <w:sz w:val="15"/>
        </w:rPr>
        <w:t>sus instituciones.</w:t>
      </w:r>
      <w:r>
        <w:rPr>
          <w:spacing w:val="-5"/>
          <w:w w:val="105"/>
          <w:sz w:val="15"/>
        </w:rPr>
        <w:t xml:space="preserve"> </w:t>
      </w:r>
      <w:r>
        <w:rPr>
          <w:w w:val="105"/>
          <w:sz w:val="15"/>
        </w:rPr>
        <w:t>Sobre</w:t>
      </w:r>
      <w:r>
        <w:rPr>
          <w:spacing w:val="-6"/>
          <w:w w:val="105"/>
          <w:sz w:val="15"/>
        </w:rPr>
        <w:t xml:space="preserve"> </w:t>
      </w:r>
      <w:r>
        <w:rPr>
          <w:w w:val="105"/>
          <w:sz w:val="15"/>
        </w:rPr>
        <w:t>este</w:t>
      </w:r>
      <w:r>
        <w:rPr>
          <w:spacing w:val="-6"/>
          <w:w w:val="105"/>
          <w:sz w:val="15"/>
        </w:rPr>
        <w:t xml:space="preserve"> </w:t>
      </w:r>
      <w:r>
        <w:rPr>
          <w:w w:val="105"/>
          <w:sz w:val="15"/>
        </w:rPr>
        <w:t>punto,</w:t>
      </w:r>
      <w:r>
        <w:rPr>
          <w:spacing w:val="-6"/>
          <w:w w:val="105"/>
          <w:sz w:val="15"/>
        </w:rPr>
        <w:t xml:space="preserve"> </w:t>
      </w:r>
      <w:r>
        <w:rPr>
          <w:w w:val="105"/>
          <w:sz w:val="15"/>
        </w:rPr>
        <w:t>el</w:t>
      </w:r>
      <w:r>
        <w:rPr>
          <w:spacing w:val="-6"/>
          <w:w w:val="105"/>
          <w:sz w:val="15"/>
        </w:rPr>
        <w:t xml:space="preserve"> </w:t>
      </w:r>
      <w:r>
        <w:rPr>
          <w:w w:val="105"/>
          <w:sz w:val="15"/>
        </w:rPr>
        <w:t>Relator</w:t>
      </w:r>
      <w:r>
        <w:rPr>
          <w:spacing w:val="-6"/>
          <w:w w:val="105"/>
          <w:sz w:val="15"/>
        </w:rPr>
        <w:t xml:space="preserve"> </w:t>
      </w:r>
      <w:r>
        <w:rPr>
          <w:w w:val="105"/>
          <w:sz w:val="15"/>
        </w:rPr>
        <w:t>Especial</w:t>
      </w:r>
      <w:r>
        <w:rPr>
          <w:spacing w:val="-6"/>
          <w:w w:val="105"/>
          <w:sz w:val="15"/>
        </w:rPr>
        <w:t xml:space="preserve"> </w:t>
      </w:r>
      <w:r>
        <w:rPr>
          <w:w w:val="105"/>
          <w:sz w:val="15"/>
        </w:rPr>
        <w:t>sobre</w:t>
      </w:r>
      <w:r>
        <w:rPr>
          <w:spacing w:val="-6"/>
          <w:w w:val="105"/>
          <w:sz w:val="15"/>
        </w:rPr>
        <w:t xml:space="preserve"> </w:t>
      </w:r>
      <w:r>
        <w:rPr>
          <w:w w:val="105"/>
          <w:sz w:val="15"/>
        </w:rPr>
        <w:t>las</w:t>
      </w:r>
      <w:r>
        <w:rPr>
          <w:spacing w:val="-6"/>
          <w:w w:val="105"/>
          <w:sz w:val="15"/>
        </w:rPr>
        <w:t xml:space="preserve"> </w:t>
      </w:r>
      <w:r>
        <w:rPr>
          <w:w w:val="105"/>
          <w:sz w:val="15"/>
        </w:rPr>
        <w:t>formas</w:t>
      </w:r>
      <w:r>
        <w:rPr>
          <w:spacing w:val="-6"/>
          <w:w w:val="105"/>
          <w:sz w:val="15"/>
        </w:rPr>
        <w:t xml:space="preserve"> </w:t>
      </w:r>
      <w:r>
        <w:rPr>
          <w:w w:val="105"/>
          <w:sz w:val="15"/>
        </w:rPr>
        <w:t>contemporáneas</w:t>
      </w:r>
      <w:r>
        <w:rPr>
          <w:spacing w:val="-6"/>
          <w:w w:val="105"/>
          <w:sz w:val="15"/>
        </w:rPr>
        <w:t xml:space="preserve"> </w:t>
      </w:r>
      <w:r>
        <w:rPr>
          <w:w w:val="105"/>
          <w:sz w:val="15"/>
        </w:rPr>
        <w:t>de</w:t>
      </w:r>
      <w:r>
        <w:rPr>
          <w:spacing w:val="-6"/>
          <w:w w:val="105"/>
          <w:sz w:val="15"/>
        </w:rPr>
        <w:t xml:space="preserve"> </w:t>
      </w:r>
      <w:r>
        <w:rPr>
          <w:w w:val="105"/>
          <w:sz w:val="15"/>
        </w:rPr>
        <w:t>racismo,</w:t>
      </w:r>
      <w:r>
        <w:rPr>
          <w:spacing w:val="-5"/>
          <w:w w:val="105"/>
          <w:sz w:val="15"/>
        </w:rPr>
        <w:t xml:space="preserve"> </w:t>
      </w:r>
      <w:r>
        <w:rPr>
          <w:w w:val="105"/>
          <w:sz w:val="15"/>
        </w:rPr>
        <w:t>discriminación</w:t>
      </w:r>
      <w:r>
        <w:rPr>
          <w:spacing w:val="-6"/>
          <w:w w:val="105"/>
          <w:sz w:val="15"/>
        </w:rPr>
        <w:t xml:space="preserve"> </w:t>
      </w:r>
      <w:r>
        <w:rPr>
          <w:w w:val="105"/>
          <w:sz w:val="15"/>
        </w:rPr>
        <w:t>racial,</w:t>
      </w:r>
      <w:r>
        <w:rPr>
          <w:spacing w:val="-5"/>
          <w:w w:val="105"/>
          <w:sz w:val="15"/>
        </w:rPr>
        <w:t xml:space="preserve"> </w:t>
      </w:r>
      <w:r>
        <w:rPr>
          <w:w w:val="105"/>
          <w:sz w:val="15"/>
        </w:rPr>
        <w:t>xenofobia</w:t>
      </w:r>
      <w:r>
        <w:rPr>
          <w:spacing w:val="-6"/>
          <w:w w:val="105"/>
          <w:sz w:val="15"/>
        </w:rPr>
        <w:t xml:space="preserve"> </w:t>
      </w:r>
      <w:r>
        <w:rPr>
          <w:w w:val="105"/>
          <w:sz w:val="15"/>
        </w:rPr>
        <w:t>y formas</w:t>
      </w:r>
      <w:r>
        <w:rPr>
          <w:spacing w:val="-8"/>
          <w:w w:val="105"/>
          <w:sz w:val="15"/>
        </w:rPr>
        <w:t xml:space="preserve"> </w:t>
      </w:r>
      <w:r>
        <w:rPr>
          <w:w w:val="105"/>
          <w:sz w:val="15"/>
        </w:rPr>
        <w:t>conexas</w:t>
      </w:r>
      <w:r>
        <w:rPr>
          <w:spacing w:val="-8"/>
          <w:w w:val="105"/>
          <w:sz w:val="15"/>
        </w:rPr>
        <w:t xml:space="preserve"> </w:t>
      </w:r>
      <w:r>
        <w:rPr>
          <w:w w:val="105"/>
          <w:sz w:val="15"/>
        </w:rPr>
        <w:t>de</w:t>
      </w:r>
      <w:r>
        <w:rPr>
          <w:spacing w:val="-8"/>
          <w:w w:val="105"/>
          <w:sz w:val="15"/>
        </w:rPr>
        <w:t xml:space="preserve"> </w:t>
      </w:r>
      <w:r>
        <w:rPr>
          <w:w w:val="105"/>
          <w:sz w:val="15"/>
        </w:rPr>
        <w:t>intolerancia</w:t>
      </w:r>
      <w:r>
        <w:rPr>
          <w:spacing w:val="-8"/>
          <w:w w:val="105"/>
          <w:sz w:val="15"/>
        </w:rPr>
        <w:t xml:space="preserve"> </w:t>
      </w:r>
      <w:r>
        <w:rPr>
          <w:w w:val="105"/>
          <w:sz w:val="15"/>
        </w:rPr>
        <w:t>ha</w:t>
      </w:r>
      <w:r>
        <w:rPr>
          <w:spacing w:val="-8"/>
          <w:w w:val="105"/>
          <w:sz w:val="15"/>
        </w:rPr>
        <w:t xml:space="preserve"> </w:t>
      </w:r>
      <w:r>
        <w:rPr>
          <w:w w:val="105"/>
          <w:sz w:val="15"/>
        </w:rPr>
        <w:t>llamado</w:t>
      </w:r>
      <w:r>
        <w:rPr>
          <w:spacing w:val="-8"/>
          <w:w w:val="105"/>
          <w:sz w:val="15"/>
        </w:rPr>
        <w:t xml:space="preserve"> </w:t>
      </w:r>
      <w:r>
        <w:rPr>
          <w:w w:val="105"/>
          <w:sz w:val="15"/>
        </w:rPr>
        <w:t>a</w:t>
      </w:r>
      <w:r>
        <w:rPr>
          <w:spacing w:val="-8"/>
          <w:w w:val="105"/>
          <w:sz w:val="15"/>
        </w:rPr>
        <w:t xml:space="preserve"> </w:t>
      </w:r>
      <w:r>
        <w:rPr>
          <w:w w:val="105"/>
          <w:sz w:val="15"/>
        </w:rPr>
        <w:t>los</w:t>
      </w:r>
      <w:r>
        <w:rPr>
          <w:spacing w:val="-8"/>
          <w:w w:val="105"/>
          <w:sz w:val="15"/>
        </w:rPr>
        <w:t xml:space="preserve"> </w:t>
      </w:r>
      <w:r>
        <w:rPr>
          <w:w w:val="105"/>
          <w:sz w:val="15"/>
        </w:rPr>
        <w:t>Estados</w:t>
      </w:r>
      <w:r>
        <w:rPr>
          <w:spacing w:val="-8"/>
          <w:w w:val="105"/>
          <w:sz w:val="15"/>
        </w:rPr>
        <w:t xml:space="preserve"> </w:t>
      </w:r>
      <w:r>
        <w:rPr>
          <w:w w:val="105"/>
          <w:sz w:val="15"/>
        </w:rPr>
        <w:t>a</w:t>
      </w:r>
      <w:r>
        <w:rPr>
          <w:spacing w:val="-8"/>
          <w:w w:val="105"/>
          <w:sz w:val="15"/>
        </w:rPr>
        <w:t xml:space="preserve"> </w:t>
      </w:r>
      <w:r>
        <w:rPr>
          <w:w w:val="105"/>
          <w:sz w:val="15"/>
        </w:rPr>
        <w:t>“identificar</w:t>
      </w:r>
      <w:r>
        <w:rPr>
          <w:spacing w:val="-8"/>
          <w:w w:val="105"/>
          <w:sz w:val="15"/>
        </w:rPr>
        <w:t xml:space="preserve"> </w:t>
      </w:r>
      <w:r>
        <w:rPr>
          <w:w w:val="105"/>
          <w:sz w:val="15"/>
        </w:rPr>
        <w:t>los</w:t>
      </w:r>
      <w:r>
        <w:rPr>
          <w:spacing w:val="-8"/>
          <w:w w:val="105"/>
          <w:sz w:val="15"/>
        </w:rPr>
        <w:t xml:space="preserve"> </w:t>
      </w:r>
      <w:r>
        <w:rPr>
          <w:w w:val="105"/>
          <w:sz w:val="15"/>
        </w:rPr>
        <w:t>desafíos</w:t>
      </w:r>
      <w:r>
        <w:rPr>
          <w:spacing w:val="-8"/>
          <w:w w:val="105"/>
          <w:sz w:val="15"/>
        </w:rPr>
        <w:t xml:space="preserve"> </w:t>
      </w:r>
      <w:r>
        <w:rPr>
          <w:w w:val="105"/>
          <w:sz w:val="15"/>
        </w:rPr>
        <w:t>que</w:t>
      </w:r>
      <w:r>
        <w:rPr>
          <w:spacing w:val="-8"/>
          <w:w w:val="105"/>
          <w:sz w:val="15"/>
        </w:rPr>
        <w:t xml:space="preserve"> </w:t>
      </w:r>
      <w:r>
        <w:rPr>
          <w:w w:val="105"/>
          <w:sz w:val="15"/>
        </w:rPr>
        <w:t>enfrentan</w:t>
      </w:r>
      <w:r>
        <w:rPr>
          <w:spacing w:val="-8"/>
          <w:w w:val="105"/>
          <w:sz w:val="15"/>
        </w:rPr>
        <w:t xml:space="preserve"> </w:t>
      </w:r>
      <w:r>
        <w:rPr>
          <w:w w:val="105"/>
          <w:sz w:val="15"/>
        </w:rPr>
        <w:t>los</w:t>
      </w:r>
      <w:r>
        <w:rPr>
          <w:spacing w:val="-8"/>
          <w:w w:val="105"/>
          <w:sz w:val="15"/>
        </w:rPr>
        <w:t xml:space="preserve"> </w:t>
      </w:r>
      <w:r>
        <w:rPr>
          <w:w w:val="105"/>
          <w:sz w:val="15"/>
        </w:rPr>
        <w:t>órganos</w:t>
      </w:r>
      <w:r>
        <w:rPr>
          <w:spacing w:val="-8"/>
          <w:w w:val="105"/>
          <w:sz w:val="15"/>
        </w:rPr>
        <w:t xml:space="preserve"> </w:t>
      </w:r>
      <w:r>
        <w:rPr>
          <w:w w:val="105"/>
          <w:sz w:val="15"/>
        </w:rPr>
        <w:t>[de</w:t>
      </w:r>
      <w:r>
        <w:rPr>
          <w:spacing w:val="-8"/>
          <w:w w:val="105"/>
          <w:sz w:val="15"/>
        </w:rPr>
        <w:t xml:space="preserve"> </w:t>
      </w:r>
      <w:r>
        <w:rPr>
          <w:w w:val="105"/>
          <w:sz w:val="15"/>
        </w:rPr>
        <w:t>igualdad]</w:t>
      </w:r>
      <w:r>
        <w:rPr>
          <w:spacing w:val="-7"/>
          <w:w w:val="105"/>
          <w:sz w:val="15"/>
        </w:rPr>
        <w:t xml:space="preserve"> </w:t>
      </w:r>
      <w:r>
        <w:rPr>
          <w:w w:val="105"/>
          <w:sz w:val="15"/>
        </w:rPr>
        <w:t>y</w:t>
      </w:r>
      <w:r>
        <w:rPr>
          <w:spacing w:val="-8"/>
          <w:w w:val="105"/>
          <w:sz w:val="15"/>
        </w:rPr>
        <w:t xml:space="preserve"> </w:t>
      </w:r>
      <w:r>
        <w:rPr>
          <w:w w:val="105"/>
          <w:sz w:val="15"/>
        </w:rPr>
        <w:t>brindar el apoyo necesario para el trabajo que realizan”795.</w:t>
      </w:r>
    </w:p>
    <w:p w14:paraId="0D83ED1E" w14:textId="77777777" w:rsidR="0014798C" w:rsidRDefault="0014798C">
      <w:pPr>
        <w:pStyle w:val="Textoindependiente"/>
        <w:rPr>
          <w:sz w:val="11"/>
        </w:rPr>
      </w:pPr>
    </w:p>
    <w:p w14:paraId="192C5BA3" w14:textId="77777777" w:rsidR="0014798C" w:rsidRDefault="0014798C">
      <w:pPr>
        <w:pStyle w:val="Textoindependiente"/>
        <w:rPr>
          <w:sz w:val="11"/>
        </w:rPr>
      </w:pPr>
    </w:p>
    <w:p w14:paraId="55C4377B" w14:textId="77777777" w:rsidR="0014798C" w:rsidRDefault="0014798C">
      <w:pPr>
        <w:pStyle w:val="Textoindependiente"/>
        <w:spacing w:before="83"/>
        <w:rPr>
          <w:sz w:val="11"/>
        </w:rPr>
      </w:pPr>
    </w:p>
    <w:p w14:paraId="63915D85" w14:textId="77777777" w:rsidR="0014798C" w:rsidRDefault="004E1F0B">
      <w:pPr>
        <w:ind w:left="1108"/>
        <w:rPr>
          <w:sz w:val="11"/>
        </w:rPr>
      </w:pPr>
      <w:r>
        <w:rPr>
          <w:w w:val="105"/>
          <w:sz w:val="11"/>
        </w:rPr>
        <w:t>789</w:t>
      </w:r>
      <w:r>
        <w:rPr>
          <w:spacing w:val="-3"/>
          <w:w w:val="105"/>
          <w:sz w:val="11"/>
        </w:rPr>
        <w:t xml:space="preserve"> </w:t>
      </w:r>
      <w:r>
        <w:rPr>
          <w:w w:val="105"/>
          <w:sz w:val="11"/>
        </w:rPr>
        <w:t>Se</w:t>
      </w:r>
      <w:r>
        <w:rPr>
          <w:spacing w:val="-3"/>
          <w:w w:val="105"/>
          <w:sz w:val="11"/>
        </w:rPr>
        <w:t xml:space="preserve"> </w:t>
      </w:r>
      <w:r>
        <w:rPr>
          <w:w w:val="105"/>
          <w:sz w:val="11"/>
        </w:rPr>
        <w:t>prevén</w:t>
      </w:r>
      <w:r>
        <w:rPr>
          <w:spacing w:val="-3"/>
          <w:w w:val="105"/>
          <w:sz w:val="11"/>
        </w:rPr>
        <w:t xml:space="preserve"> </w:t>
      </w:r>
      <w:r>
        <w:rPr>
          <w:w w:val="105"/>
          <w:sz w:val="11"/>
        </w:rPr>
        <w:t>mecanismos</w:t>
      </w:r>
      <w:r>
        <w:rPr>
          <w:spacing w:val="-3"/>
          <w:w w:val="105"/>
          <w:sz w:val="11"/>
        </w:rPr>
        <w:t xml:space="preserve"> </w:t>
      </w:r>
      <w:r>
        <w:rPr>
          <w:w w:val="105"/>
          <w:sz w:val="11"/>
        </w:rPr>
        <w:t>similares</w:t>
      </w:r>
      <w:r>
        <w:rPr>
          <w:spacing w:val="-3"/>
          <w:w w:val="105"/>
          <w:sz w:val="11"/>
        </w:rPr>
        <w:t xml:space="preserve"> </w:t>
      </w:r>
      <w:r>
        <w:rPr>
          <w:w w:val="105"/>
          <w:sz w:val="11"/>
        </w:rPr>
        <w:t>en</w:t>
      </w:r>
      <w:r>
        <w:rPr>
          <w:spacing w:val="-3"/>
          <w:w w:val="105"/>
          <w:sz w:val="11"/>
        </w:rPr>
        <w:t xml:space="preserve"> </w:t>
      </w:r>
      <w:r>
        <w:rPr>
          <w:w w:val="105"/>
          <w:sz w:val="11"/>
        </w:rPr>
        <w:t>el</w:t>
      </w:r>
      <w:r>
        <w:rPr>
          <w:spacing w:val="-3"/>
          <w:w w:val="105"/>
          <w:sz w:val="11"/>
        </w:rPr>
        <w:t xml:space="preserve"> </w:t>
      </w:r>
      <w:r>
        <w:rPr>
          <w:w w:val="105"/>
          <w:sz w:val="11"/>
        </w:rPr>
        <w:t>caso</w:t>
      </w:r>
      <w:r>
        <w:rPr>
          <w:spacing w:val="-3"/>
          <w:w w:val="105"/>
          <w:sz w:val="11"/>
        </w:rPr>
        <w:t xml:space="preserve"> </w:t>
      </w:r>
      <w:r>
        <w:rPr>
          <w:w w:val="105"/>
          <w:sz w:val="11"/>
        </w:rPr>
        <w:t>del</w:t>
      </w:r>
      <w:r>
        <w:rPr>
          <w:spacing w:val="-3"/>
          <w:w w:val="105"/>
          <w:sz w:val="11"/>
        </w:rPr>
        <w:t xml:space="preserve"> </w:t>
      </w:r>
      <w:r>
        <w:rPr>
          <w:w w:val="105"/>
          <w:sz w:val="11"/>
        </w:rPr>
        <w:t>Defensor</w:t>
      </w:r>
      <w:r>
        <w:rPr>
          <w:spacing w:val="-3"/>
          <w:w w:val="105"/>
          <w:sz w:val="11"/>
        </w:rPr>
        <w:t xml:space="preserve"> </w:t>
      </w:r>
      <w:r>
        <w:rPr>
          <w:w w:val="105"/>
          <w:sz w:val="11"/>
        </w:rPr>
        <w:t>de</w:t>
      </w:r>
      <w:r>
        <w:rPr>
          <w:spacing w:val="-3"/>
          <w:w w:val="105"/>
          <w:sz w:val="11"/>
        </w:rPr>
        <w:t xml:space="preserve"> </w:t>
      </w:r>
      <w:r>
        <w:rPr>
          <w:w w:val="105"/>
          <w:sz w:val="11"/>
        </w:rPr>
        <w:t>los</w:t>
      </w:r>
      <w:r>
        <w:rPr>
          <w:spacing w:val="-3"/>
          <w:w w:val="105"/>
          <w:sz w:val="11"/>
        </w:rPr>
        <w:t xml:space="preserve"> </w:t>
      </w:r>
      <w:r>
        <w:rPr>
          <w:w w:val="105"/>
          <w:sz w:val="11"/>
        </w:rPr>
        <w:t>Derechos</w:t>
      </w:r>
      <w:r>
        <w:rPr>
          <w:spacing w:val="-3"/>
          <w:w w:val="105"/>
          <w:sz w:val="11"/>
        </w:rPr>
        <w:t xml:space="preserve"> </w:t>
      </w:r>
      <w:r>
        <w:rPr>
          <w:w w:val="105"/>
          <w:sz w:val="11"/>
        </w:rPr>
        <w:t>en</w:t>
      </w:r>
      <w:r>
        <w:rPr>
          <w:spacing w:val="-3"/>
          <w:w w:val="105"/>
          <w:sz w:val="11"/>
        </w:rPr>
        <w:t xml:space="preserve"> </w:t>
      </w:r>
      <w:r>
        <w:rPr>
          <w:w w:val="105"/>
          <w:sz w:val="11"/>
        </w:rPr>
        <w:t>Francia,</w:t>
      </w:r>
      <w:r>
        <w:rPr>
          <w:spacing w:val="-3"/>
          <w:w w:val="105"/>
          <w:sz w:val="11"/>
        </w:rPr>
        <w:t xml:space="preserve"> </w:t>
      </w:r>
      <w:r>
        <w:rPr>
          <w:w w:val="105"/>
          <w:sz w:val="11"/>
        </w:rPr>
        <w:t>el</w:t>
      </w:r>
      <w:r>
        <w:rPr>
          <w:spacing w:val="-3"/>
          <w:w w:val="105"/>
          <w:sz w:val="11"/>
        </w:rPr>
        <w:t xml:space="preserve"> </w:t>
      </w:r>
      <w:r>
        <w:rPr>
          <w:w w:val="105"/>
          <w:sz w:val="11"/>
        </w:rPr>
        <w:t>Tribunal</w:t>
      </w:r>
      <w:r>
        <w:rPr>
          <w:spacing w:val="-3"/>
          <w:w w:val="105"/>
          <w:sz w:val="11"/>
        </w:rPr>
        <w:t xml:space="preserve"> </w:t>
      </w:r>
      <w:r>
        <w:rPr>
          <w:w w:val="105"/>
          <w:sz w:val="11"/>
        </w:rPr>
        <w:t>Nacional</w:t>
      </w:r>
      <w:r>
        <w:rPr>
          <w:spacing w:val="-3"/>
          <w:w w:val="105"/>
          <w:sz w:val="11"/>
        </w:rPr>
        <w:t xml:space="preserve"> </w:t>
      </w:r>
      <w:r>
        <w:rPr>
          <w:w w:val="105"/>
          <w:sz w:val="11"/>
        </w:rPr>
        <w:t>de</w:t>
      </w:r>
      <w:r>
        <w:rPr>
          <w:spacing w:val="-3"/>
          <w:w w:val="105"/>
          <w:sz w:val="11"/>
        </w:rPr>
        <w:t xml:space="preserve"> </w:t>
      </w:r>
      <w:r>
        <w:rPr>
          <w:w w:val="105"/>
          <w:sz w:val="11"/>
        </w:rPr>
        <w:t>No</w:t>
      </w:r>
      <w:r>
        <w:rPr>
          <w:spacing w:val="-3"/>
          <w:w w:val="105"/>
          <w:sz w:val="11"/>
        </w:rPr>
        <w:t xml:space="preserve"> </w:t>
      </w:r>
      <w:r>
        <w:rPr>
          <w:w w:val="105"/>
          <w:sz w:val="11"/>
        </w:rPr>
        <w:t>Discriminación</w:t>
      </w:r>
      <w:r>
        <w:rPr>
          <w:spacing w:val="-3"/>
          <w:w w:val="105"/>
          <w:sz w:val="11"/>
        </w:rPr>
        <w:t xml:space="preserve"> </w:t>
      </w:r>
      <w:r>
        <w:rPr>
          <w:w w:val="105"/>
          <w:sz w:val="11"/>
        </w:rPr>
        <w:t>e</w:t>
      </w:r>
      <w:r>
        <w:rPr>
          <w:spacing w:val="-3"/>
          <w:w w:val="105"/>
          <w:sz w:val="11"/>
        </w:rPr>
        <w:t xml:space="preserve"> </w:t>
      </w:r>
      <w:r>
        <w:rPr>
          <w:spacing w:val="-2"/>
          <w:w w:val="105"/>
          <w:sz w:val="11"/>
        </w:rPr>
        <w:t>Igualdad</w:t>
      </w:r>
    </w:p>
    <w:p w14:paraId="5ABDB079" w14:textId="77777777" w:rsidR="0014798C" w:rsidRDefault="004E1F0B">
      <w:pPr>
        <w:spacing w:before="25"/>
        <w:ind w:left="1368"/>
        <w:rPr>
          <w:sz w:val="11"/>
        </w:rPr>
      </w:pPr>
      <w:r>
        <w:rPr>
          <w:w w:val="105"/>
          <w:sz w:val="11"/>
        </w:rPr>
        <w:t>en</w:t>
      </w:r>
      <w:r>
        <w:rPr>
          <w:spacing w:val="-1"/>
          <w:w w:val="105"/>
          <w:sz w:val="11"/>
        </w:rPr>
        <w:t xml:space="preserve"> </w:t>
      </w:r>
      <w:r>
        <w:rPr>
          <w:w w:val="105"/>
          <w:sz w:val="11"/>
        </w:rPr>
        <w:t>Finlandia</w:t>
      </w:r>
      <w:r>
        <w:rPr>
          <w:spacing w:val="-1"/>
          <w:w w:val="105"/>
          <w:sz w:val="11"/>
        </w:rPr>
        <w:t xml:space="preserve"> </w:t>
      </w:r>
      <w:r>
        <w:rPr>
          <w:w w:val="105"/>
          <w:sz w:val="11"/>
        </w:rPr>
        <w:t>y</w:t>
      </w:r>
      <w:r>
        <w:rPr>
          <w:spacing w:val="-1"/>
          <w:w w:val="105"/>
          <w:sz w:val="11"/>
        </w:rPr>
        <w:t xml:space="preserve"> </w:t>
      </w:r>
      <w:r>
        <w:rPr>
          <w:w w:val="105"/>
          <w:sz w:val="11"/>
        </w:rPr>
        <w:t>el</w:t>
      </w:r>
      <w:r>
        <w:rPr>
          <w:spacing w:val="-1"/>
          <w:w w:val="105"/>
          <w:sz w:val="11"/>
        </w:rPr>
        <w:t xml:space="preserve"> </w:t>
      </w:r>
      <w:r>
        <w:rPr>
          <w:w w:val="105"/>
          <w:sz w:val="11"/>
        </w:rPr>
        <w:t>Defensor</w:t>
      </w:r>
      <w:r>
        <w:rPr>
          <w:spacing w:val="-1"/>
          <w:w w:val="105"/>
          <w:sz w:val="11"/>
        </w:rPr>
        <w:t xml:space="preserve"> </w:t>
      </w:r>
      <w:r>
        <w:rPr>
          <w:w w:val="105"/>
          <w:sz w:val="11"/>
        </w:rPr>
        <w:t>del</w:t>
      </w:r>
      <w:r>
        <w:rPr>
          <w:spacing w:val="-1"/>
          <w:w w:val="105"/>
          <w:sz w:val="11"/>
        </w:rPr>
        <w:t xml:space="preserve"> </w:t>
      </w:r>
      <w:r>
        <w:rPr>
          <w:w w:val="105"/>
          <w:sz w:val="11"/>
        </w:rPr>
        <w:t>Pueblo</w:t>
      </w:r>
      <w:r>
        <w:rPr>
          <w:spacing w:val="-1"/>
          <w:w w:val="105"/>
          <w:sz w:val="11"/>
        </w:rPr>
        <w:t xml:space="preserve"> </w:t>
      </w:r>
      <w:r>
        <w:rPr>
          <w:w w:val="105"/>
          <w:sz w:val="11"/>
        </w:rPr>
        <w:t>para</w:t>
      </w:r>
      <w:r>
        <w:rPr>
          <w:spacing w:val="-1"/>
          <w:w w:val="105"/>
          <w:sz w:val="11"/>
        </w:rPr>
        <w:t xml:space="preserve"> </w:t>
      </w:r>
      <w:r>
        <w:rPr>
          <w:w w:val="105"/>
          <w:sz w:val="11"/>
        </w:rPr>
        <w:t>la</w:t>
      </w:r>
      <w:r>
        <w:rPr>
          <w:spacing w:val="-1"/>
          <w:w w:val="105"/>
          <w:sz w:val="11"/>
        </w:rPr>
        <w:t xml:space="preserve"> </w:t>
      </w:r>
      <w:r>
        <w:rPr>
          <w:w w:val="105"/>
          <w:sz w:val="11"/>
        </w:rPr>
        <w:t>Igualdad en</w:t>
      </w:r>
      <w:r>
        <w:rPr>
          <w:spacing w:val="-1"/>
          <w:w w:val="105"/>
          <w:sz w:val="11"/>
        </w:rPr>
        <w:t xml:space="preserve"> </w:t>
      </w:r>
      <w:r>
        <w:rPr>
          <w:spacing w:val="-2"/>
          <w:w w:val="105"/>
          <w:sz w:val="11"/>
        </w:rPr>
        <w:t>Suecia.</w:t>
      </w:r>
    </w:p>
    <w:p w14:paraId="3A280725" w14:textId="77777777" w:rsidR="0014798C" w:rsidRDefault="0014798C">
      <w:pPr>
        <w:pStyle w:val="Textoindependiente"/>
        <w:spacing w:before="12"/>
        <w:rPr>
          <w:sz w:val="11"/>
        </w:rPr>
      </w:pPr>
    </w:p>
    <w:p w14:paraId="2CA6F394" w14:textId="77777777" w:rsidR="0014798C" w:rsidRDefault="004E1F0B">
      <w:pPr>
        <w:ind w:left="1108"/>
        <w:rPr>
          <w:sz w:val="11"/>
        </w:rPr>
      </w:pPr>
      <w:r>
        <w:rPr>
          <w:w w:val="105"/>
          <w:sz w:val="11"/>
        </w:rPr>
        <w:t>790</w:t>
      </w:r>
      <w:r>
        <w:rPr>
          <w:spacing w:val="-4"/>
          <w:w w:val="105"/>
          <w:sz w:val="11"/>
        </w:rPr>
        <w:t xml:space="preserve"> </w:t>
      </w:r>
      <w:r>
        <w:rPr>
          <w:w w:val="105"/>
          <w:sz w:val="11"/>
        </w:rPr>
        <w:t>Véase</w:t>
      </w:r>
      <w:r>
        <w:rPr>
          <w:spacing w:val="-3"/>
          <w:w w:val="105"/>
          <w:sz w:val="11"/>
        </w:rPr>
        <w:t xml:space="preserve"> </w:t>
      </w:r>
      <w:r>
        <w:rPr>
          <w:w w:val="105"/>
          <w:sz w:val="11"/>
        </w:rPr>
        <w:t>la</w:t>
      </w:r>
      <w:r>
        <w:rPr>
          <w:spacing w:val="-4"/>
          <w:w w:val="105"/>
          <w:sz w:val="11"/>
        </w:rPr>
        <w:t xml:space="preserve"> </w:t>
      </w:r>
      <w:r>
        <w:rPr>
          <w:w w:val="105"/>
          <w:sz w:val="11"/>
        </w:rPr>
        <w:t>sección</w:t>
      </w:r>
      <w:r>
        <w:rPr>
          <w:spacing w:val="-3"/>
          <w:w w:val="105"/>
          <w:sz w:val="11"/>
        </w:rPr>
        <w:t xml:space="preserve"> </w:t>
      </w:r>
      <w:r>
        <w:rPr>
          <w:w w:val="105"/>
          <w:sz w:val="11"/>
        </w:rPr>
        <w:t>IB</w:t>
      </w:r>
      <w:r>
        <w:rPr>
          <w:spacing w:val="-4"/>
          <w:w w:val="105"/>
          <w:sz w:val="11"/>
        </w:rPr>
        <w:t xml:space="preserve"> </w:t>
      </w:r>
      <w:r>
        <w:rPr>
          <w:w w:val="105"/>
          <w:sz w:val="11"/>
        </w:rPr>
        <w:t>de</w:t>
      </w:r>
      <w:r>
        <w:rPr>
          <w:spacing w:val="-3"/>
          <w:w w:val="105"/>
          <w:sz w:val="11"/>
        </w:rPr>
        <w:t xml:space="preserve"> </w:t>
      </w:r>
      <w:r>
        <w:rPr>
          <w:w w:val="105"/>
          <w:sz w:val="11"/>
        </w:rPr>
        <w:t>la</w:t>
      </w:r>
      <w:r>
        <w:rPr>
          <w:spacing w:val="-4"/>
          <w:w w:val="105"/>
          <w:sz w:val="11"/>
        </w:rPr>
        <w:t xml:space="preserve"> </w:t>
      </w:r>
      <w:r>
        <w:rPr>
          <w:w w:val="105"/>
          <w:sz w:val="11"/>
        </w:rPr>
        <w:t>primera</w:t>
      </w:r>
      <w:r>
        <w:rPr>
          <w:spacing w:val="-3"/>
          <w:w w:val="105"/>
          <w:sz w:val="11"/>
        </w:rPr>
        <w:t xml:space="preserve"> </w:t>
      </w:r>
      <w:r>
        <w:rPr>
          <w:w w:val="105"/>
          <w:sz w:val="11"/>
        </w:rPr>
        <w:t>parte</w:t>
      </w:r>
      <w:r>
        <w:rPr>
          <w:spacing w:val="-3"/>
          <w:w w:val="105"/>
          <w:sz w:val="11"/>
        </w:rPr>
        <w:t xml:space="preserve"> </w:t>
      </w:r>
      <w:r>
        <w:rPr>
          <w:w w:val="105"/>
          <w:sz w:val="11"/>
        </w:rPr>
        <w:t>de</w:t>
      </w:r>
      <w:r>
        <w:rPr>
          <w:spacing w:val="-4"/>
          <w:w w:val="105"/>
          <w:sz w:val="11"/>
        </w:rPr>
        <w:t xml:space="preserve"> </w:t>
      </w:r>
      <w:r>
        <w:rPr>
          <w:w w:val="105"/>
          <w:sz w:val="11"/>
        </w:rPr>
        <w:t>la</w:t>
      </w:r>
      <w:r>
        <w:rPr>
          <w:spacing w:val="-3"/>
          <w:w w:val="105"/>
          <w:sz w:val="11"/>
        </w:rPr>
        <w:t xml:space="preserve"> </w:t>
      </w:r>
      <w:r>
        <w:rPr>
          <w:w w:val="105"/>
          <w:sz w:val="11"/>
        </w:rPr>
        <w:t>presente</w:t>
      </w:r>
      <w:r>
        <w:rPr>
          <w:spacing w:val="-4"/>
          <w:w w:val="105"/>
          <w:sz w:val="11"/>
        </w:rPr>
        <w:t xml:space="preserve"> </w:t>
      </w:r>
      <w:r>
        <w:rPr>
          <w:spacing w:val="-2"/>
          <w:w w:val="105"/>
          <w:sz w:val="11"/>
        </w:rPr>
        <w:t>guía.</w:t>
      </w:r>
    </w:p>
    <w:p w14:paraId="1BDB4624" w14:textId="77777777" w:rsidR="0014798C" w:rsidRDefault="004E1F0B">
      <w:pPr>
        <w:spacing w:before="110"/>
        <w:ind w:left="1108"/>
        <w:rPr>
          <w:sz w:val="11"/>
        </w:rPr>
      </w:pPr>
      <w:r>
        <w:rPr>
          <w:w w:val="105"/>
          <w:sz w:val="11"/>
        </w:rPr>
        <w:t>791</w:t>
      </w:r>
      <w:r>
        <w:rPr>
          <w:spacing w:val="-5"/>
          <w:w w:val="105"/>
          <w:sz w:val="11"/>
        </w:rPr>
        <w:t xml:space="preserve"> </w:t>
      </w:r>
      <w:r>
        <w:rPr>
          <w:w w:val="105"/>
          <w:sz w:val="11"/>
        </w:rPr>
        <w:t>Véase</w:t>
      </w:r>
      <w:r>
        <w:rPr>
          <w:spacing w:val="-4"/>
          <w:w w:val="105"/>
          <w:sz w:val="11"/>
        </w:rPr>
        <w:t xml:space="preserve"> </w:t>
      </w:r>
      <w:r>
        <w:rPr>
          <w:w w:val="105"/>
          <w:sz w:val="11"/>
        </w:rPr>
        <w:t>la</w:t>
      </w:r>
      <w:r>
        <w:rPr>
          <w:spacing w:val="-4"/>
          <w:w w:val="105"/>
          <w:sz w:val="11"/>
        </w:rPr>
        <w:t xml:space="preserve"> </w:t>
      </w:r>
      <w:r>
        <w:rPr>
          <w:w w:val="105"/>
          <w:sz w:val="11"/>
        </w:rPr>
        <w:t>sección</w:t>
      </w:r>
      <w:r>
        <w:rPr>
          <w:spacing w:val="-4"/>
          <w:w w:val="105"/>
          <w:sz w:val="11"/>
        </w:rPr>
        <w:t xml:space="preserve"> </w:t>
      </w:r>
      <w:r>
        <w:rPr>
          <w:w w:val="105"/>
          <w:sz w:val="11"/>
        </w:rPr>
        <w:t>IA</w:t>
      </w:r>
      <w:r>
        <w:rPr>
          <w:spacing w:val="-4"/>
          <w:w w:val="105"/>
          <w:sz w:val="11"/>
        </w:rPr>
        <w:t xml:space="preserve"> </w:t>
      </w:r>
      <w:r>
        <w:rPr>
          <w:w w:val="105"/>
          <w:sz w:val="11"/>
        </w:rPr>
        <w:t>de</w:t>
      </w:r>
      <w:r>
        <w:rPr>
          <w:spacing w:val="-4"/>
          <w:w w:val="105"/>
          <w:sz w:val="11"/>
        </w:rPr>
        <w:t xml:space="preserve"> </w:t>
      </w:r>
      <w:r>
        <w:rPr>
          <w:w w:val="105"/>
          <w:sz w:val="11"/>
        </w:rPr>
        <w:t>la</w:t>
      </w:r>
      <w:r>
        <w:rPr>
          <w:spacing w:val="-4"/>
          <w:w w:val="105"/>
          <w:sz w:val="11"/>
        </w:rPr>
        <w:t xml:space="preserve"> </w:t>
      </w:r>
      <w:r>
        <w:rPr>
          <w:w w:val="105"/>
          <w:sz w:val="11"/>
        </w:rPr>
        <w:t>segunda</w:t>
      </w:r>
      <w:r>
        <w:rPr>
          <w:spacing w:val="-4"/>
          <w:w w:val="105"/>
          <w:sz w:val="11"/>
        </w:rPr>
        <w:t xml:space="preserve"> </w:t>
      </w:r>
      <w:r>
        <w:rPr>
          <w:w w:val="105"/>
          <w:sz w:val="11"/>
        </w:rPr>
        <w:t>parte</w:t>
      </w:r>
      <w:r>
        <w:rPr>
          <w:spacing w:val="-4"/>
          <w:w w:val="105"/>
          <w:sz w:val="11"/>
        </w:rPr>
        <w:t xml:space="preserve"> </w:t>
      </w:r>
      <w:r>
        <w:rPr>
          <w:w w:val="105"/>
          <w:sz w:val="11"/>
        </w:rPr>
        <w:t>de</w:t>
      </w:r>
      <w:r>
        <w:rPr>
          <w:spacing w:val="-4"/>
          <w:w w:val="105"/>
          <w:sz w:val="11"/>
        </w:rPr>
        <w:t xml:space="preserve"> </w:t>
      </w:r>
      <w:r>
        <w:rPr>
          <w:w w:val="105"/>
          <w:sz w:val="11"/>
        </w:rPr>
        <w:t>la</w:t>
      </w:r>
      <w:r>
        <w:rPr>
          <w:spacing w:val="-4"/>
          <w:w w:val="105"/>
          <w:sz w:val="11"/>
        </w:rPr>
        <w:t xml:space="preserve"> </w:t>
      </w:r>
      <w:r>
        <w:rPr>
          <w:w w:val="105"/>
          <w:sz w:val="11"/>
        </w:rPr>
        <w:t>presente</w:t>
      </w:r>
      <w:r>
        <w:rPr>
          <w:spacing w:val="-4"/>
          <w:w w:val="105"/>
          <w:sz w:val="11"/>
        </w:rPr>
        <w:t xml:space="preserve"> </w:t>
      </w:r>
      <w:r>
        <w:rPr>
          <w:w w:val="105"/>
          <w:sz w:val="11"/>
        </w:rPr>
        <w:t>guía.</w:t>
      </w:r>
      <w:r>
        <w:rPr>
          <w:spacing w:val="-4"/>
          <w:w w:val="105"/>
          <w:sz w:val="11"/>
        </w:rPr>
        <w:t xml:space="preserve"> </w:t>
      </w:r>
      <w:r>
        <w:rPr>
          <w:w w:val="105"/>
          <w:sz w:val="11"/>
        </w:rPr>
        <w:t>Véase</w:t>
      </w:r>
      <w:r>
        <w:rPr>
          <w:spacing w:val="-4"/>
          <w:w w:val="105"/>
          <w:sz w:val="11"/>
        </w:rPr>
        <w:t xml:space="preserve"> </w:t>
      </w:r>
      <w:r>
        <w:rPr>
          <w:w w:val="105"/>
          <w:sz w:val="11"/>
        </w:rPr>
        <w:t>también</w:t>
      </w:r>
      <w:r>
        <w:rPr>
          <w:spacing w:val="-4"/>
          <w:w w:val="105"/>
          <w:sz w:val="11"/>
        </w:rPr>
        <w:t xml:space="preserve"> </w:t>
      </w:r>
      <w:r>
        <w:rPr>
          <w:w w:val="105"/>
          <w:sz w:val="11"/>
        </w:rPr>
        <w:t>Consejo</w:t>
      </w:r>
      <w:r>
        <w:rPr>
          <w:spacing w:val="-4"/>
          <w:w w:val="105"/>
          <w:sz w:val="11"/>
        </w:rPr>
        <w:t xml:space="preserve"> </w:t>
      </w:r>
      <w:r>
        <w:rPr>
          <w:w w:val="105"/>
          <w:sz w:val="11"/>
        </w:rPr>
        <w:t>de</w:t>
      </w:r>
      <w:r>
        <w:rPr>
          <w:spacing w:val="-4"/>
          <w:w w:val="105"/>
          <w:sz w:val="11"/>
        </w:rPr>
        <w:t xml:space="preserve"> </w:t>
      </w:r>
      <w:r>
        <w:rPr>
          <w:w w:val="105"/>
          <w:sz w:val="11"/>
        </w:rPr>
        <w:t>Europa,</w:t>
      </w:r>
      <w:r>
        <w:rPr>
          <w:spacing w:val="-4"/>
          <w:w w:val="105"/>
          <w:sz w:val="11"/>
        </w:rPr>
        <w:t xml:space="preserve"> </w:t>
      </w:r>
      <w:r>
        <w:rPr>
          <w:w w:val="105"/>
          <w:sz w:val="11"/>
        </w:rPr>
        <w:t>Comisión</w:t>
      </w:r>
      <w:r>
        <w:rPr>
          <w:spacing w:val="-4"/>
          <w:w w:val="105"/>
          <w:sz w:val="11"/>
        </w:rPr>
        <w:t xml:space="preserve"> </w:t>
      </w:r>
      <w:r>
        <w:rPr>
          <w:w w:val="105"/>
          <w:sz w:val="11"/>
        </w:rPr>
        <w:t>Europea</w:t>
      </w:r>
      <w:r>
        <w:rPr>
          <w:spacing w:val="-4"/>
          <w:w w:val="105"/>
          <w:sz w:val="11"/>
        </w:rPr>
        <w:t xml:space="preserve"> </w:t>
      </w:r>
      <w:r>
        <w:rPr>
          <w:w w:val="105"/>
          <w:sz w:val="11"/>
        </w:rPr>
        <w:t>contra</w:t>
      </w:r>
      <w:r>
        <w:rPr>
          <w:spacing w:val="-4"/>
          <w:w w:val="105"/>
          <w:sz w:val="11"/>
        </w:rPr>
        <w:t xml:space="preserve"> </w:t>
      </w:r>
      <w:r>
        <w:rPr>
          <w:w w:val="105"/>
          <w:sz w:val="11"/>
        </w:rPr>
        <w:t>el</w:t>
      </w:r>
      <w:r>
        <w:rPr>
          <w:spacing w:val="-5"/>
          <w:w w:val="105"/>
          <w:sz w:val="11"/>
        </w:rPr>
        <w:t xml:space="preserve"> </w:t>
      </w:r>
      <w:r>
        <w:rPr>
          <w:w w:val="105"/>
          <w:sz w:val="11"/>
        </w:rPr>
        <w:t>Racismo</w:t>
      </w:r>
      <w:r>
        <w:rPr>
          <w:spacing w:val="-4"/>
          <w:w w:val="105"/>
          <w:sz w:val="11"/>
        </w:rPr>
        <w:t xml:space="preserve"> </w:t>
      </w:r>
      <w:r>
        <w:rPr>
          <w:w w:val="105"/>
          <w:sz w:val="11"/>
        </w:rPr>
        <w:t>y</w:t>
      </w:r>
      <w:r>
        <w:rPr>
          <w:spacing w:val="-4"/>
          <w:w w:val="105"/>
          <w:sz w:val="11"/>
        </w:rPr>
        <w:t xml:space="preserve"> </w:t>
      </w:r>
      <w:r>
        <w:rPr>
          <w:w w:val="105"/>
          <w:sz w:val="11"/>
        </w:rPr>
        <w:t>la</w:t>
      </w:r>
      <w:r>
        <w:rPr>
          <w:spacing w:val="-4"/>
          <w:w w:val="105"/>
          <w:sz w:val="11"/>
        </w:rPr>
        <w:t xml:space="preserve"> </w:t>
      </w:r>
      <w:r>
        <w:rPr>
          <w:spacing w:val="-2"/>
          <w:w w:val="105"/>
          <w:sz w:val="11"/>
        </w:rPr>
        <w:t>Intolerancia,</w:t>
      </w:r>
    </w:p>
    <w:p w14:paraId="461E9098" w14:textId="77777777" w:rsidR="0014798C" w:rsidRDefault="004E1F0B">
      <w:pPr>
        <w:spacing w:before="25"/>
        <w:ind w:left="1378"/>
        <w:rPr>
          <w:sz w:val="11"/>
        </w:rPr>
      </w:pPr>
      <w:r>
        <w:rPr>
          <w:w w:val="105"/>
          <w:sz w:val="11"/>
        </w:rPr>
        <w:t>“Recomendación</w:t>
      </w:r>
      <w:r>
        <w:rPr>
          <w:spacing w:val="-2"/>
          <w:w w:val="105"/>
          <w:sz w:val="11"/>
        </w:rPr>
        <w:t xml:space="preserve"> </w:t>
      </w:r>
      <w:r>
        <w:rPr>
          <w:w w:val="105"/>
          <w:sz w:val="11"/>
        </w:rPr>
        <w:t>de</w:t>
      </w:r>
      <w:r>
        <w:rPr>
          <w:spacing w:val="-2"/>
          <w:w w:val="105"/>
          <w:sz w:val="11"/>
        </w:rPr>
        <w:t xml:space="preserve"> </w:t>
      </w:r>
      <w:r>
        <w:rPr>
          <w:w w:val="105"/>
          <w:sz w:val="11"/>
        </w:rPr>
        <w:t>política</w:t>
      </w:r>
      <w:r>
        <w:rPr>
          <w:spacing w:val="-1"/>
          <w:w w:val="105"/>
          <w:sz w:val="11"/>
        </w:rPr>
        <w:t xml:space="preserve"> </w:t>
      </w:r>
      <w:r>
        <w:rPr>
          <w:w w:val="105"/>
          <w:sz w:val="11"/>
        </w:rPr>
        <w:t>general</w:t>
      </w:r>
      <w:r>
        <w:rPr>
          <w:spacing w:val="-2"/>
          <w:w w:val="105"/>
          <w:sz w:val="11"/>
        </w:rPr>
        <w:t xml:space="preserve"> </w:t>
      </w:r>
      <w:r>
        <w:rPr>
          <w:w w:val="105"/>
          <w:sz w:val="11"/>
        </w:rPr>
        <w:t>núm.</w:t>
      </w:r>
      <w:r>
        <w:rPr>
          <w:spacing w:val="-2"/>
          <w:w w:val="105"/>
          <w:sz w:val="11"/>
        </w:rPr>
        <w:t xml:space="preserve"> </w:t>
      </w:r>
      <w:r>
        <w:rPr>
          <w:w w:val="105"/>
          <w:sz w:val="11"/>
        </w:rPr>
        <w:t>2</w:t>
      </w:r>
      <w:r>
        <w:rPr>
          <w:spacing w:val="-1"/>
          <w:w w:val="105"/>
          <w:sz w:val="11"/>
        </w:rPr>
        <w:t xml:space="preserve"> </w:t>
      </w:r>
      <w:r>
        <w:rPr>
          <w:w w:val="105"/>
          <w:sz w:val="11"/>
        </w:rPr>
        <w:t>de</w:t>
      </w:r>
      <w:r>
        <w:rPr>
          <w:spacing w:val="-2"/>
          <w:w w:val="105"/>
          <w:sz w:val="11"/>
        </w:rPr>
        <w:t xml:space="preserve"> </w:t>
      </w:r>
      <w:r>
        <w:rPr>
          <w:w w:val="105"/>
          <w:sz w:val="11"/>
        </w:rPr>
        <w:t>la</w:t>
      </w:r>
      <w:r>
        <w:rPr>
          <w:spacing w:val="-2"/>
          <w:w w:val="105"/>
          <w:sz w:val="11"/>
        </w:rPr>
        <w:t xml:space="preserve"> </w:t>
      </w:r>
      <w:r>
        <w:rPr>
          <w:w w:val="105"/>
          <w:sz w:val="11"/>
        </w:rPr>
        <w:t>ECRI”,</w:t>
      </w:r>
      <w:r>
        <w:rPr>
          <w:spacing w:val="-1"/>
          <w:w w:val="105"/>
          <w:sz w:val="11"/>
        </w:rPr>
        <w:t xml:space="preserve"> </w:t>
      </w:r>
      <w:r>
        <w:rPr>
          <w:w w:val="105"/>
          <w:sz w:val="11"/>
        </w:rPr>
        <w:t>párr.</w:t>
      </w:r>
      <w:r>
        <w:rPr>
          <w:spacing w:val="-1"/>
          <w:w w:val="105"/>
          <w:sz w:val="11"/>
        </w:rPr>
        <w:t xml:space="preserve"> </w:t>
      </w:r>
      <w:r>
        <w:rPr>
          <w:w w:val="105"/>
          <w:sz w:val="11"/>
        </w:rPr>
        <w:t>4.</w:t>
      </w:r>
      <w:r>
        <w:rPr>
          <w:spacing w:val="-2"/>
          <w:w w:val="105"/>
          <w:sz w:val="11"/>
        </w:rPr>
        <w:t xml:space="preserve"> </w:t>
      </w:r>
      <w:r>
        <w:rPr>
          <w:w w:val="105"/>
          <w:sz w:val="11"/>
        </w:rPr>
        <w:t>En</w:t>
      </w:r>
      <w:r>
        <w:rPr>
          <w:spacing w:val="-1"/>
          <w:w w:val="105"/>
          <w:sz w:val="11"/>
        </w:rPr>
        <w:t xml:space="preserve"> </w:t>
      </w:r>
      <w:r>
        <w:rPr>
          <w:w w:val="105"/>
          <w:sz w:val="11"/>
        </w:rPr>
        <w:t>relación</w:t>
      </w:r>
      <w:r>
        <w:rPr>
          <w:spacing w:val="-2"/>
          <w:w w:val="105"/>
          <w:sz w:val="11"/>
        </w:rPr>
        <w:t xml:space="preserve"> </w:t>
      </w:r>
      <w:r>
        <w:rPr>
          <w:w w:val="105"/>
          <w:sz w:val="11"/>
        </w:rPr>
        <w:t>con</w:t>
      </w:r>
      <w:r>
        <w:rPr>
          <w:spacing w:val="-2"/>
          <w:w w:val="105"/>
          <w:sz w:val="11"/>
        </w:rPr>
        <w:t xml:space="preserve"> </w:t>
      </w:r>
      <w:r>
        <w:rPr>
          <w:w w:val="105"/>
          <w:sz w:val="11"/>
        </w:rPr>
        <w:t>esto,</w:t>
      </w:r>
      <w:r>
        <w:rPr>
          <w:spacing w:val="-1"/>
          <w:w w:val="105"/>
          <w:sz w:val="11"/>
        </w:rPr>
        <w:t xml:space="preserve"> </w:t>
      </w:r>
      <w:r>
        <w:rPr>
          <w:w w:val="105"/>
          <w:sz w:val="11"/>
        </w:rPr>
        <w:t>véase</w:t>
      </w:r>
      <w:r>
        <w:rPr>
          <w:spacing w:val="-2"/>
          <w:w w:val="105"/>
          <w:sz w:val="11"/>
        </w:rPr>
        <w:t xml:space="preserve"> </w:t>
      </w:r>
      <w:r>
        <w:rPr>
          <w:w w:val="105"/>
          <w:sz w:val="11"/>
        </w:rPr>
        <w:t>A/71/301,</w:t>
      </w:r>
      <w:r>
        <w:rPr>
          <w:spacing w:val="-1"/>
          <w:w w:val="105"/>
          <w:sz w:val="11"/>
        </w:rPr>
        <w:t xml:space="preserve"> </w:t>
      </w:r>
      <w:proofErr w:type="spellStart"/>
      <w:r>
        <w:rPr>
          <w:w w:val="105"/>
          <w:sz w:val="11"/>
        </w:rPr>
        <w:t>párrs</w:t>
      </w:r>
      <w:proofErr w:type="spellEnd"/>
      <w:r>
        <w:rPr>
          <w:w w:val="105"/>
          <w:sz w:val="11"/>
        </w:rPr>
        <w:t>. 6</w:t>
      </w:r>
      <w:r>
        <w:rPr>
          <w:spacing w:val="-2"/>
          <w:w w:val="105"/>
          <w:sz w:val="11"/>
        </w:rPr>
        <w:t xml:space="preserve"> </w:t>
      </w:r>
      <w:r>
        <w:rPr>
          <w:w w:val="105"/>
          <w:sz w:val="11"/>
        </w:rPr>
        <w:t>y</w:t>
      </w:r>
      <w:r>
        <w:rPr>
          <w:spacing w:val="-2"/>
          <w:w w:val="105"/>
          <w:sz w:val="11"/>
        </w:rPr>
        <w:t xml:space="preserve"> </w:t>
      </w:r>
      <w:r>
        <w:rPr>
          <w:spacing w:val="-5"/>
          <w:w w:val="105"/>
          <w:sz w:val="11"/>
        </w:rPr>
        <w:t>8.</w:t>
      </w:r>
    </w:p>
    <w:p w14:paraId="1D9DF5EE" w14:textId="77777777" w:rsidR="0014798C" w:rsidRDefault="0014798C">
      <w:pPr>
        <w:pStyle w:val="Textoindependiente"/>
        <w:spacing w:before="12"/>
        <w:rPr>
          <w:sz w:val="11"/>
        </w:rPr>
      </w:pPr>
    </w:p>
    <w:p w14:paraId="4FF075B7" w14:textId="77777777" w:rsidR="0014798C" w:rsidRDefault="004E1F0B">
      <w:pPr>
        <w:ind w:left="1108"/>
        <w:rPr>
          <w:sz w:val="11"/>
        </w:rPr>
      </w:pPr>
      <w:r>
        <w:rPr>
          <w:w w:val="105"/>
          <w:sz w:val="11"/>
        </w:rPr>
        <w:t>792</w:t>
      </w:r>
      <w:r>
        <w:rPr>
          <w:spacing w:val="-5"/>
          <w:w w:val="105"/>
          <w:sz w:val="11"/>
        </w:rPr>
        <w:t xml:space="preserve"> </w:t>
      </w:r>
      <w:r>
        <w:rPr>
          <w:w w:val="105"/>
          <w:sz w:val="11"/>
        </w:rPr>
        <w:t>Consejo</w:t>
      </w:r>
      <w:r>
        <w:rPr>
          <w:spacing w:val="-5"/>
          <w:w w:val="105"/>
          <w:sz w:val="11"/>
        </w:rPr>
        <w:t xml:space="preserve"> </w:t>
      </w:r>
      <w:r>
        <w:rPr>
          <w:w w:val="105"/>
          <w:sz w:val="11"/>
        </w:rPr>
        <w:t>de</w:t>
      </w:r>
      <w:r>
        <w:rPr>
          <w:spacing w:val="-5"/>
          <w:w w:val="105"/>
          <w:sz w:val="11"/>
        </w:rPr>
        <w:t xml:space="preserve"> </w:t>
      </w:r>
      <w:r>
        <w:rPr>
          <w:w w:val="105"/>
          <w:sz w:val="11"/>
        </w:rPr>
        <w:t>Europa,</w:t>
      </w:r>
      <w:r>
        <w:rPr>
          <w:spacing w:val="-5"/>
          <w:w w:val="105"/>
          <w:sz w:val="11"/>
        </w:rPr>
        <w:t xml:space="preserve"> </w:t>
      </w:r>
      <w:r>
        <w:rPr>
          <w:w w:val="105"/>
          <w:sz w:val="11"/>
        </w:rPr>
        <w:t>Comisión</w:t>
      </w:r>
      <w:r>
        <w:rPr>
          <w:spacing w:val="-4"/>
          <w:w w:val="105"/>
          <w:sz w:val="11"/>
        </w:rPr>
        <w:t xml:space="preserve"> </w:t>
      </w:r>
      <w:r>
        <w:rPr>
          <w:w w:val="105"/>
          <w:sz w:val="11"/>
        </w:rPr>
        <w:t>Europea</w:t>
      </w:r>
      <w:r>
        <w:rPr>
          <w:spacing w:val="-5"/>
          <w:w w:val="105"/>
          <w:sz w:val="11"/>
        </w:rPr>
        <w:t xml:space="preserve"> </w:t>
      </w:r>
      <w:r>
        <w:rPr>
          <w:w w:val="105"/>
          <w:sz w:val="11"/>
        </w:rPr>
        <w:t>contra</w:t>
      </w:r>
      <w:r>
        <w:rPr>
          <w:spacing w:val="-5"/>
          <w:w w:val="105"/>
          <w:sz w:val="11"/>
        </w:rPr>
        <w:t xml:space="preserve"> </w:t>
      </w:r>
      <w:r>
        <w:rPr>
          <w:w w:val="105"/>
          <w:sz w:val="11"/>
        </w:rPr>
        <w:t>el</w:t>
      </w:r>
      <w:r>
        <w:rPr>
          <w:spacing w:val="-5"/>
          <w:w w:val="105"/>
          <w:sz w:val="11"/>
        </w:rPr>
        <w:t xml:space="preserve"> </w:t>
      </w:r>
      <w:r>
        <w:rPr>
          <w:w w:val="105"/>
          <w:sz w:val="11"/>
        </w:rPr>
        <w:t>Racismo</w:t>
      </w:r>
      <w:r>
        <w:rPr>
          <w:spacing w:val="-5"/>
          <w:w w:val="105"/>
          <w:sz w:val="11"/>
        </w:rPr>
        <w:t xml:space="preserve"> </w:t>
      </w:r>
      <w:r>
        <w:rPr>
          <w:w w:val="105"/>
          <w:sz w:val="11"/>
        </w:rPr>
        <w:t>y</w:t>
      </w:r>
      <w:r>
        <w:rPr>
          <w:spacing w:val="-4"/>
          <w:w w:val="105"/>
          <w:sz w:val="11"/>
        </w:rPr>
        <w:t xml:space="preserve"> </w:t>
      </w:r>
      <w:r>
        <w:rPr>
          <w:w w:val="105"/>
          <w:sz w:val="11"/>
        </w:rPr>
        <w:t>la</w:t>
      </w:r>
      <w:r>
        <w:rPr>
          <w:spacing w:val="-5"/>
          <w:w w:val="105"/>
          <w:sz w:val="11"/>
        </w:rPr>
        <w:t xml:space="preserve"> </w:t>
      </w:r>
      <w:r>
        <w:rPr>
          <w:w w:val="105"/>
          <w:sz w:val="11"/>
        </w:rPr>
        <w:t>Intolerancia,</w:t>
      </w:r>
      <w:r>
        <w:rPr>
          <w:spacing w:val="-4"/>
          <w:w w:val="105"/>
          <w:sz w:val="11"/>
        </w:rPr>
        <w:t xml:space="preserve"> </w:t>
      </w:r>
      <w:r>
        <w:rPr>
          <w:w w:val="105"/>
          <w:sz w:val="11"/>
        </w:rPr>
        <w:t>“Recomendación</w:t>
      </w:r>
      <w:r>
        <w:rPr>
          <w:spacing w:val="-5"/>
          <w:w w:val="105"/>
          <w:sz w:val="11"/>
        </w:rPr>
        <w:t xml:space="preserve"> </w:t>
      </w:r>
      <w:r>
        <w:rPr>
          <w:w w:val="105"/>
          <w:sz w:val="11"/>
        </w:rPr>
        <w:t>de</w:t>
      </w:r>
      <w:r>
        <w:rPr>
          <w:spacing w:val="-5"/>
          <w:w w:val="105"/>
          <w:sz w:val="11"/>
        </w:rPr>
        <w:t xml:space="preserve"> </w:t>
      </w:r>
      <w:r>
        <w:rPr>
          <w:w w:val="105"/>
          <w:sz w:val="11"/>
        </w:rPr>
        <w:t>política</w:t>
      </w:r>
      <w:r>
        <w:rPr>
          <w:spacing w:val="-5"/>
          <w:w w:val="105"/>
          <w:sz w:val="11"/>
        </w:rPr>
        <w:t xml:space="preserve"> </w:t>
      </w:r>
      <w:r>
        <w:rPr>
          <w:w w:val="105"/>
          <w:sz w:val="11"/>
        </w:rPr>
        <w:t>general</w:t>
      </w:r>
      <w:r>
        <w:rPr>
          <w:spacing w:val="-4"/>
          <w:w w:val="105"/>
          <w:sz w:val="11"/>
        </w:rPr>
        <w:t xml:space="preserve"> </w:t>
      </w:r>
      <w:r>
        <w:rPr>
          <w:w w:val="105"/>
          <w:sz w:val="11"/>
        </w:rPr>
        <w:t>No.</w:t>
      </w:r>
      <w:r>
        <w:rPr>
          <w:spacing w:val="-5"/>
          <w:w w:val="105"/>
          <w:sz w:val="11"/>
        </w:rPr>
        <w:t xml:space="preserve"> </w:t>
      </w:r>
      <w:r>
        <w:rPr>
          <w:w w:val="105"/>
          <w:sz w:val="11"/>
        </w:rPr>
        <w:t>2</w:t>
      </w:r>
      <w:r>
        <w:rPr>
          <w:spacing w:val="-5"/>
          <w:w w:val="105"/>
          <w:sz w:val="11"/>
        </w:rPr>
        <w:t xml:space="preserve"> </w:t>
      </w:r>
      <w:r>
        <w:rPr>
          <w:w w:val="105"/>
          <w:sz w:val="11"/>
        </w:rPr>
        <w:t>de</w:t>
      </w:r>
      <w:r>
        <w:rPr>
          <w:spacing w:val="-5"/>
          <w:w w:val="105"/>
          <w:sz w:val="11"/>
        </w:rPr>
        <w:t xml:space="preserve"> </w:t>
      </w:r>
      <w:r>
        <w:rPr>
          <w:w w:val="105"/>
          <w:sz w:val="11"/>
        </w:rPr>
        <w:t>la</w:t>
      </w:r>
      <w:r>
        <w:rPr>
          <w:spacing w:val="-5"/>
          <w:w w:val="105"/>
          <w:sz w:val="11"/>
        </w:rPr>
        <w:t xml:space="preserve"> </w:t>
      </w:r>
      <w:r>
        <w:rPr>
          <w:w w:val="105"/>
          <w:sz w:val="11"/>
        </w:rPr>
        <w:t>ECRI”,</w:t>
      </w:r>
      <w:r>
        <w:rPr>
          <w:spacing w:val="-4"/>
          <w:w w:val="105"/>
          <w:sz w:val="11"/>
        </w:rPr>
        <w:t xml:space="preserve"> </w:t>
      </w:r>
      <w:proofErr w:type="spellStart"/>
      <w:r>
        <w:rPr>
          <w:w w:val="105"/>
          <w:sz w:val="11"/>
        </w:rPr>
        <w:t>párrs</w:t>
      </w:r>
      <w:proofErr w:type="spellEnd"/>
      <w:r>
        <w:rPr>
          <w:w w:val="105"/>
          <w:sz w:val="11"/>
        </w:rPr>
        <w:t>.</w:t>
      </w:r>
      <w:r>
        <w:rPr>
          <w:spacing w:val="-5"/>
          <w:w w:val="105"/>
          <w:sz w:val="11"/>
        </w:rPr>
        <w:t xml:space="preserve"> </w:t>
      </w:r>
      <w:r>
        <w:rPr>
          <w:spacing w:val="-4"/>
          <w:w w:val="105"/>
          <w:sz w:val="11"/>
        </w:rPr>
        <w:t>7–9.</w:t>
      </w:r>
    </w:p>
    <w:p w14:paraId="56E0C78B" w14:textId="77777777" w:rsidR="0014798C" w:rsidRDefault="004E1F0B">
      <w:pPr>
        <w:spacing w:before="110"/>
        <w:ind w:left="1108"/>
        <w:rPr>
          <w:sz w:val="11"/>
        </w:rPr>
      </w:pPr>
      <w:r>
        <w:rPr>
          <w:w w:val="105"/>
          <w:sz w:val="11"/>
        </w:rPr>
        <w:t>793</w:t>
      </w:r>
      <w:r>
        <w:rPr>
          <w:spacing w:val="-4"/>
          <w:w w:val="105"/>
          <w:sz w:val="11"/>
        </w:rPr>
        <w:t xml:space="preserve"> </w:t>
      </w:r>
      <w:r>
        <w:rPr>
          <w:w w:val="105"/>
          <w:sz w:val="11"/>
        </w:rPr>
        <w:t>Directrices</w:t>
      </w:r>
      <w:r>
        <w:rPr>
          <w:spacing w:val="-3"/>
          <w:w w:val="105"/>
          <w:sz w:val="11"/>
        </w:rPr>
        <w:t xml:space="preserve"> </w:t>
      </w:r>
      <w:r>
        <w:rPr>
          <w:w w:val="105"/>
          <w:sz w:val="11"/>
        </w:rPr>
        <w:t>sobre</w:t>
      </w:r>
      <w:r>
        <w:rPr>
          <w:spacing w:val="-4"/>
          <w:w w:val="105"/>
          <w:sz w:val="11"/>
        </w:rPr>
        <w:t xml:space="preserve"> </w:t>
      </w:r>
      <w:r>
        <w:rPr>
          <w:w w:val="105"/>
          <w:sz w:val="11"/>
        </w:rPr>
        <w:t>marcos</w:t>
      </w:r>
      <w:r>
        <w:rPr>
          <w:spacing w:val="-3"/>
          <w:w w:val="105"/>
          <w:sz w:val="11"/>
        </w:rPr>
        <w:t xml:space="preserve"> </w:t>
      </w:r>
      <w:r>
        <w:rPr>
          <w:w w:val="105"/>
          <w:sz w:val="11"/>
        </w:rPr>
        <w:t>de</w:t>
      </w:r>
      <w:r>
        <w:rPr>
          <w:spacing w:val="-3"/>
          <w:w w:val="105"/>
          <w:sz w:val="11"/>
        </w:rPr>
        <w:t xml:space="preserve"> </w:t>
      </w:r>
      <w:r>
        <w:rPr>
          <w:w w:val="105"/>
          <w:sz w:val="11"/>
        </w:rPr>
        <w:t>monitoreo</w:t>
      </w:r>
      <w:r>
        <w:rPr>
          <w:spacing w:val="-4"/>
          <w:w w:val="105"/>
          <w:sz w:val="11"/>
        </w:rPr>
        <w:t xml:space="preserve"> </w:t>
      </w:r>
      <w:r>
        <w:rPr>
          <w:w w:val="105"/>
          <w:sz w:val="11"/>
        </w:rPr>
        <w:t>independiente</w:t>
      </w:r>
      <w:r>
        <w:rPr>
          <w:spacing w:val="-3"/>
          <w:w w:val="105"/>
          <w:sz w:val="11"/>
        </w:rPr>
        <w:t xml:space="preserve"> </w:t>
      </w:r>
      <w:r>
        <w:rPr>
          <w:w w:val="105"/>
          <w:sz w:val="11"/>
        </w:rPr>
        <w:t>y</w:t>
      </w:r>
      <w:r>
        <w:rPr>
          <w:spacing w:val="-4"/>
          <w:w w:val="105"/>
          <w:sz w:val="11"/>
        </w:rPr>
        <w:t xml:space="preserve"> </w:t>
      </w:r>
      <w:r>
        <w:rPr>
          <w:w w:val="105"/>
          <w:sz w:val="11"/>
        </w:rPr>
        <w:t>su</w:t>
      </w:r>
      <w:r>
        <w:rPr>
          <w:spacing w:val="-3"/>
          <w:w w:val="105"/>
          <w:sz w:val="11"/>
        </w:rPr>
        <w:t xml:space="preserve"> </w:t>
      </w:r>
      <w:r>
        <w:rPr>
          <w:w w:val="105"/>
          <w:sz w:val="11"/>
        </w:rPr>
        <w:t>participación</w:t>
      </w:r>
      <w:r>
        <w:rPr>
          <w:spacing w:val="-3"/>
          <w:w w:val="105"/>
          <w:sz w:val="11"/>
        </w:rPr>
        <w:t xml:space="preserve"> </w:t>
      </w:r>
      <w:r>
        <w:rPr>
          <w:w w:val="105"/>
          <w:sz w:val="11"/>
        </w:rPr>
        <w:t>en</w:t>
      </w:r>
      <w:r>
        <w:rPr>
          <w:spacing w:val="-4"/>
          <w:w w:val="105"/>
          <w:sz w:val="11"/>
        </w:rPr>
        <w:t xml:space="preserve"> </w:t>
      </w:r>
      <w:r>
        <w:rPr>
          <w:w w:val="105"/>
          <w:sz w:val="11"/>
        </w:rPr>
        <w:t>el</w:t>
      </w:r>
      <w:r>
        <w:rPr>
          <w:spacing w:val="-3"/>
          <w:w w:val="105"/>
          <w:sz w:val="11"/>
        </w:rPr>
        <w:t xml:space="preserve"> </w:t>
      </w:r>
      <w:r>
        <w:rPr>
          <w:w w:val="105"/>
          <w:sz w:val="11"/>
        </w:rPr>
        <w:t>trabajo</w:t>
      </w:r>
      <w:r>
        <w:rPr>
          <w:spacing w:val="-3"/>
          <w:w w:val="105"/>
          <w:sz w:val="11"/>
        </w:rPr>
        <w:t xml:space="preserve"> </w:t>
      </w:r>
      <w:r>
        <w:rPr>
          <w:w w:val="105"/>
          <w:sz w:val="11"/>
        </w:rPr>
        <w:t>del</w:t>
      </w:r>
      <w:r>
        <w:rPr>
          <w:spacing w:val="-4"/>
          <w:w w:val="105"/>
          <w:sz w:val="11"/>
        </w:rPr>
        <w:t xml:space="preserve"> </w:t>
      </w:r>
      <w:r>
        <w:rPr>
          <w:w w:val="105"/>
          <w:sz w:val="11"/>
        </w:rPr>
        <w:t>Comité</w:t>
      </w:r>
      <w:r>
        <w:rPr>
          <w:spacing w:val="-3"/>
          <w:w w:val="105"/>
          <w:sz w:val="11"/>
        </w:rPr>
        <w:t xml:space="preserve"> </w:t>
      </w:r>
      <w:r>
        <w:rPr>
          <w:w w:val="105"/>
          <w:sz w:val="11"/>
        </w:rPr>
        <w:t>sobre</w:t>
      </w:r>
      <w:r>
        <w:rPr>
          <w:spacing w:val="-4"/>
          <w:w w:val="105"/>
          <w:sz w:val="11"/>
        </w:rPr>
        <w:t xml:space="preserve"> </w:t>
      </w:r>
      <w:r>
        <w:rPr>
          <w:w w:val="105"/>
          <w:sz w:val="11"/>
        </w:rPr>
        <w:t>los</w:t>
      </w:r>
      <w:r>
        <w:rPr>
          <w:spacing w:val="-3"/>
          <w:w w:val="105"/>
          <w:sz w:val="11"/>
        </w:rPr>
        <w:t xml:space="preserve"> </w:t>
      </w:r>
      <w:r>
        <w:rPr>
          <w:w w:val="105"/>
          <w:sz w:val="11"/>
        </w:rPr>
        <w:t>Derechos</w:t>
      </w:r>
      <w:r>
        <w:rPr>
          <w:spacing w:val="-3"/>
          <w:w w:val="105"/>
          <w:sz w:val="11"/>
        </w:rPr>
        <w:t xml:space="preserve"> </w:t>
      </w:r>
      <w:r>
        <w:rPr>
          <w:w w:val="105"/>
          <w:sz w:val="11"/>
        </w:rPr>
        <w:t>de</w:t>
      </w:r>
      <w:r>
        <w:rPr>
          <w:spacing w:val="-4"/>
          <w:w w:val="105"/>
          <w:sz w:val="11"/>
        </w:rPr>
        <w:t xml:space="preserve"> </w:t>
      </w:r>
      <w:r>
        <w:rPr>
          <w:w w:val="105"/>
          <w:sz w:val="11"/>
        </w:rPr>
        <w:t>las</w:t>
      </w:r>
      <w:r>
        <w:rPr>
          <w:spacing w:val="-3"/>
          <w:w w:val="105"/>
          <w:sz w:val="11"/>
        </w:rPr>
        <w:t xml:space="preserve"> </w:t>
      </w:r>
      <w:r>
        <w:rPr>
          <w:w w:val="105"/>
          <w:sz w:val="11"/>
        </w:rPr>
        <w:t>Personas</w:t>
      </w:r>
      <w:r>
        <w:rPr>
          <w:spacing w:val="-4"/>
          <w:w w:val="105"/>
          <w:sz w:val="11"/>
        </w:rPr>
        <w:t xml:space="preserve"> </w:t>
      </w:r>
      <w:r>
        <w:rPr>
          <w:spacing w:val="-5"/>
          <w:w w:val="105"/>
          <w:sz w:val="11"/>
        </w:rPr>
        <w:t>con</w:t>
      </w:r>
    </w:p>
    <w:p w14:paraId="08540614" w14:textId="77777777" w:rsidR="0014798C" w:rsidRDefault="004E1F0B">
      <w:pPr>
        <w:spacing w:before="24"/>
        <w:ind w:left="1367"/>
        <w:rPr>
          <w:sz w:val="11"/>
        </w:rPr>
      </w:pPr>
      <w:r>
        <w:rPr>
          <w:w w:val="105"/>
          <w:sz w:val="11"/>
        </w:rPr>
        <w:t>Discapacidades,</w:t>
      </w:r>
      <w:r>
        <w:rPr>
          <w:spacing w:val="-4"/>
          <w:w w:val="105"/>
          <w:sz w:val="11"/>
        </w:rPr>
        <w:t xml:space="preserve"> </w:t>
      </w:r>
      <w:r>
        <w:rPr>
          <w:w w:val="105"/>
          <w:sz w:val="11"/>
        </w:rPr>
        <w:t>párr.</w:t>
      </w:r>
      <w:r>
        <w:rPr>
          <w:spacing w:val="-3"/>
          <w:w w:val="105"/>
          <w:sz w:val="11"/>
        </w:rPr>
        <w:t xml:space="preserve"> </w:t>
      </w:r>
      <w:r>
        <w:rPr>
          <w:spacing w:val="-5"/>
          <w:w w:val="105"/>
          <w:sz w:val="11"/>
        </w:rPr>
        <w:t>14.</w:t>
      </w:r>
    </w:p>
    <w:p w14:paraId="1A79D3EE" w14:textId="77777777" w:rsidR="0014798C" w:rsidRDefault="0014798C">
      <w:pPr>
        <w:pStyle w:val="Textoindependiente"/>
        <w:spacing w:before="12"/>
        <w:rPr>
          <w:sz w:val="11"/>
        </w:rPr>
      </w:pPr>
    </w:p>
    <w:p w14:paraId="4EC420CF" w14:textId="77777777" w:rsidR="0014798C" w:rsidRDefault="004E1F0B">
      <w:pPr>
        <w:ind w:left="1108"/>
        <w:rPr>
          <w:sz w:val="11"/>
        </w:rPr>
      </w:pPr>
      <w:r>
        <w:rPr>
          <w:w w:val="105"/>
          <w:sz w:val="11"/>
        </w:rPr>
        <w:t>794</w:t>
      </w:r>
      <w:r>
        <w:rPr>
          <w:spacing w:val="-5"/>
          <w:w w:val="105"/>
          <w:sz w:val="11"/>
        </w:rPr>
        <w:t xml:space="preserve"> </w:t>
      </w:r>
      <w:r>
        <w:rPr>
          <w:w w:val="105"/>
          <w:sz w:val="11"/>
        </w:rPr>
        <w:t>Consejo</w:t>
      </w:r>
      <w:r>
        <w:rPr>
          <w:spacing w:val="-5"/>
          <w:w w:val="105"/>
          <w:sz w:val="11"/>
        </w:rPr>
        <w:t xml:space="preserve"> </w:t>
      </w:r>
      <w:r>
        <w:rPr>
          <w:w w:val="105"/>
          <w:sz w:val="11"/>
        </w:rPr>
        <w:t>de</w:t>
      </w:r>
      <w:r>
        <w:rPr>
          <w:spacing w:val="-5"/>
          <w:w w:val="105"/>
          <w:sz w:val="11"/>
        </w:rPr>
        <w:t xml:space="preserve"> </w:t>
      </w:r>
      <w:r>
        <w:rPr>
          <w:w w:val="105"/>
          <w:sz w:val="11"/>
        </w:rPr>
        <w:t>Europa,</w:t>
      </w:r>
      <w:r>
        <w:rPr>
          <w:spacing w:val="-4"/>
          <w:w w:val="105"/>
          <w:sz w:val="11"/>
        </w:rPr>
        <w:t xml:space="preserve"> </w:t>
      </w:r>
      <w:r>
        <w:rPr>
          <w:w w:val="105"/>
          <w:sz w:val="11"/>
        </w:rPr>
        <w:t>Comisión</w:t>
      </w:r>
      <w:r>
        <w:rPr>
          <w:spacing w:val="-5"/>
          <w:w w:val="105"/>
          <w:sz w:val="11"/>
        </w:rPr>
        <w:t xml:space="preserve"> </w:t>
      </w:r>
      <w:r>
        <w:rPr>
          <w:w w:val="105"/>
          <w:sz w:val="11"/>
        </w:rPr>
        <w:t>Europea</w:t>
      </w:r>
      <w:r>
        <w:rPr>
          <w:spacing w:val="-5"/>
          <w:w w:val="105"/>
          <w:sz w:val="11"/>
        </w:rPr>
        <w:t xml:space="preserve"> </w:t>
      </w:r>
      <w:r>
        <w:rPr>
          <w:w w:val="105"/>
          <w:sz w:val="11"/>
        </w:rPr>
        <w:t>contra</w:t>
      </w:r>
      <w:r>
        <w:rPr>
          <w:spacing w:val="-5"/>
          <w:w w:val="105"/>
          <w:sz w:val="11"/>
        </w:rPr>
        <w:t xml:space="preserve"> </w:t>
      </w:r>
      <w:r>
        <w:rPr>
          <w:w w:val="105"/>
          <w:sz w:val="11"/>
        </w:rPr>
        <w:t>el</w:t>
      </w:r>
      <w:r>
        <w:rPr>
          <w:spacing w:val="-4"/>
          <w:w w:val="105"/>
          <w:sz w:val="11"/>
        </w:rPr>
        <w:t xml:space="preserve"> </w:t>
      </w:r>
      <w:r>
        <w:rPr>
          <w:w w:val="105"/>
          <w:sz w:val="11"/>
        </w:rPr>
        <w:t>Racismo</w:t>
      </w:r>
      <w:r>
        <w:rPr>
          <w:spacing w:val="-5"/>
          <w:w w:val="105"/>
          <w:sz w:val="11"/>
        </w:rPr>
        <w:t xml:space="preserve"> </w:t>
      </w:r>
      <w:r>
        <w:rPr>
          <w:w w:val="105"/>
          <w:sz w:val="11"/>
        </w:rPr>
        <w:t>y</w:t>
      </w:r>
      <w:r>
        <w:rPr>
          <w:spacing w:val="-5"/>
          <w:w w:val="105"/>
          <w:sz w:val="11"/>
        </w:rPr>
        <w:t xml:space="preserve"> </w:t>
      </w:r>
      <w:r>
        <w:rPr>
          <w:w w:val="105"/>
          <w:sz w:val="11"/>
        </w:rPr>
        <w:t>la</w:t>
      </w:r>
      <w:r>
        <w:rPr>
          <w:spacing w:val="-5"/>
          <w:w w:val="105"/>
          <w:sz w:val="11"/>
        </w:rPr>
        <w:t xml:space="preserve"> </w:t>
      </w:r>
      <w:r>
        <w:rPr>
          <w:w w:val="105"/>
          <w:sz w:val="11"/>
        </w:rPr>
        <w:t>Intolerancia,</w:t>
      </w:r>
      <w:r>
        <w:rPr>
          <w:spacing w:val="-4"/>
          <w:w w:val="105"/>
          <w:sz w:val="11"/>
        </w:rPr>
        <w:t xml:space="preserve"> </w:t>
      </w:r>
      <w:r>
        <w:rPr>
          <w:w w:val="105"/>
          <w:sz w:val="11"/>
        </w:rPr>
        <w:t>“Recomendación</w:t>
      </w:r>
      <w:r>
        <w:rPr>
          <w:spacing w:val="-4"/>
          <w:w w:val="105"/>
          <w:sz w:val="11"/>
        </w:rPr>
        <w:t xml:space="preserve"> </w:t>
      </w:r>
      <w:r>
        <w:rPr>
          <w:w w:val="105"/>
          <w:sz w:val="11"/>
        </w:rPr>
        <w:t>de</w:t>
      </w:r>
      <w:r>
        <w:rPr>
          <w:spacing w:val="-5"/>
          <w:w w:val="105"/>
          <w:sz w:val="11"/>
        </w:rPr>
        <w:t xml:space="preserve"> </w:t>
      </w:r>
      <w:r>
        <w:rPr>
          <w:w w:val="105"/>
          <w:sz w:val="11"/>
        </w:rPr>
        <w:t>política</w:t>
      </w:r>
      <w:r>
        <w:rPr>
          <w:spacing w:val="-5"/>
          <w:w w:val="105"/>
          <w:sz w:val="11"/>
        </w:rPr>
        <w:t xml:space="preserve"> </w:t>
      </w:r>
      <w:r>
        <w:rPr>
          <w:w w:val="105"/>
          <w:sz w:val="11"/>
        </w:rPr>
        <w:t>general</w:t>
      </w:r>
      <w:r>
        <w:rPr>
          <w:spacing w:val="-5"/>
          <w:w w:val="105"/>
          <w:sz w:val="11"/>
        </w:rPr>
        <w:t xml:space="preserve"> </w:t>
      </w:r>
      <w:r>
        <w:rPr>
          <w:w w:val="105"/>
          <w:sz w:val="11"/>
        </w:rPr>
        <w:t>No.</w:t>
      </w:r>
      <w:r>
        <w:rPr>
          <w:spacing w:val="-4"/>
          <w:w w:val="105"/>
          <w:sz w:val="11"/>
        </w:rPr>
        <w:t xml:space="preserve"> </w:t>
      </w:r>
      <w:r>
        <w:rPr>
          <w:w w:val="105"/>
          <w:sz w:val="11"/>
        </w:rPr>
        <w:t>2</w:t>
      </w:r>
      <w:r>
        <w:rPr>
          <w:spacing w:val="-5"/>
          <w:w w:val="105"/>
          <w:sz w:val="11"/>
        </w:rPr>
        <w:t xml:space="preserve"> </w:t>
      </w:r>
      <w:r>
        <w:rPr>
          <w:w w:val="105"/>
          <w:sz w:val="11"/>
        </w:rPr>
        <w:t>de</w:t>
      </w:r>
      <w:r>
        <w:rPr>
          <w:spacing w:val="-5"/>
          <w:w w:val="105"/>
          <w:sz w:val="11"/>
        </w:rPr>
        <w:t xml:space="preserve"> </w:t>
      </w:r>
      <w:r>
        <w:rPr>
          <w:w w:val="105"/>
          <w:sz w:val="11"/>
        </w:rPr>
        <w:t>la</w:t>
      </w:r>
      <w:r>
        <w:rPr>
          <w:spacing w:val="-5"/>
          <w:w w:val="105"/>
          <w:sz w:val="11"/>
        </w:rPr>
        <w:t xml:space="preserve"> </w:t>
      </w:r>
      <w:r>
        <w:rPr>
          <w:w w:val="105"/>
          <w:sz w:val="11"/>
        </w:rPr>
        <w:t>ECRI”,</w:t>
      </w:r>
      <w:r>
        <w:rPr>
          <w:spacing w:val="-4"/>
          <w:w w:val="105"/>
          <w:sz w:val="11"/>
        </w:rPr>
        <w:t xml:space="preserve"> </w:t>
      </w:r>
      <w:r>
        <w:rPr>
          <w:w w:val="105"/>
          <w:sz w:val="11"/>
        </w:rPr>
        <w:t>párr.</w:t>
      </w:r>
      <w:r>
        <w:rPr>
          <w:spacing w:val="-5"/>
          <w:w w:val="105"/>
          <w:sz w:val="11"/>
        </w:rPr>
        <w:t xml:space="preserve"> 33.</w:t>
      </w:r>
    </w:p>
    <w:p w14:paraId="552B8CC0" w14:textId="77777777" w:rsidR="0014798C" w:rsidRDefault="0014798C">
      <w:pPr>
        <w:rPr>
          <w:sz w:val="11"/>
        </w:rPr>
        <w:sectPr w:rsidR="0014798C" w:rsidSect="00F265E4">
          <w:pgSz w:w="11900" w:h="16820"/>
          <w:pgMar w:top="340" w:right="0" w:bottom="280" w:left="200" w:header="121" w:footer="0" w:gutter="0"/>
          <w:cols w:space="720"/>
        </w:sectPr>
      </w:pPr>
    </w:p>
    <w:p w14:paraId="02C37CA4" w14:textId="77777777" w:rsidR="0014798C" w:rsidRDefault="004E1F0B">
      <w:pPr>
        <w:spacing w:before="56"/>
        <w:jc w:val="right"/>
        <w:rPr>
          <w:sz w:val="8"/>
        </w:rPr>
      </w:pPr>
      <w:r>
        <w:rPr>
          <w:spacing w:val="-5"/>
          <w:w w:val="105"/>
          <w:sz w:val="8"/>
        </w:rPr>
        <w:t>795</w:t>
      </w:r>
    </w:p>
    <w:p w14:paraId="20915FB8" w14:textId="77777777" w:rsidR="0014798C" w:rsidRDefault="004E1F0B">
      <w:pPr>
        <w:spacing w:before="82"/>
        <w:ind w:left="76"/>
        <w:rPr>
          <w:sz w:val="11"/>
        </w:rPr>
      </w:pPr>
      <w:r>
        <w:br w:type="column"/>
      </w:r>
      <w:r>
        <w:rPr>
          <w:w w:val="105"/>
          <w:sz w:val="11"/>
        </w:rPr>
        <w:t>A/71/301,</w:t>
      </w:r>
      <w:r>
        <w:rPr>
          <w:spacing w:val="-2"/>
          <w:w w:val="105"/>
          <w:sz w:val="11"/>
        </w:rPr>
        <w:t xml:space="preserve"> </w:t>
      </w:r>
      <w:r>
        <w:rPr>
          <w:w w:val="105"/>
          <w:sz w:val="11"/>
        </w:rPr>
        <w:t>párr.</w:t>
      </w:r>
      <w:r>
        <w:rPr>
          <w:spacing w:val="-2"/>
          <w:w w:val="105"/>
          <w:sz w:val="11"/>
        </w:rPr>
        <w:t xml:space="preserve"> </w:t>
      </w:r>
      <w:r>
        <w:rPr>
          <w:spacing w:val="-5"/>
          <w:w w:val="105"/>
          <w:sz w:val="11"/>
        </w:rPr>
        <w:t>12.</w:t>
      </w:r>
    </w:p>
    <w:p w14:paraId="0411DBE8" w14:textId="77777777" w:rsidR="0014798C" w:rsidRDefault="0014798C">
      <w:pPr>
        <w:rPr>
          <w:sz w:val="11"/>
        </w:rPr>
        <w:sectPr w:rsidR="0014798C" w:rsidSect="00F265E4">
          <w:type w:val="continuous"/>
          <w:pgSz w:w="11900" w:h="16820"/>
          <w:pgMar w:top="40" w:right="0" w:bottom="280" w:left="200" w:header="121" w:footer="0" w:gutter="0"/>
          <w:cols w:num="2" w:space="720" w:equalWidth="0">
            <w:col w:w="1250" w:space="40"/>
            <w:col w:w="10410"/>
          </w:cols>
        </w:sectPr>
      </w:pPr>
    </w:p>
    <w:p w14:paraId="3C2E1764" w14:textId="77777777" w:rsidR="0014798C" w:rsidRDefault="0014798C">
      <w:pPr>
        <w:pStyle w:val="Textoindependiente"/>
      </w:pPr>
    </w:p>
    <w:p w14:paraId="4F443570" w14:textId="77777777" w:rsidR="0014798C" w:rsidRDefault="0014798C">
      <w:pPr>
        <w:pStyle w:val="Textoindependiente"/>
      </w:pPr>
    </w:p>
    <w:p w14:paraId="06C2E8ED" w14:textId="77777777" w:rsidR="0014798C" w:rsidRDefault="0014798C">
      <w:pPr>
        <w:pStyle w:val="Textoindependiente"/>
        <w:spacing w:before="111"/>
      </w:pPr>
    </w:p>
    <w:p w14:paraId="7E6E7A66" w14:textId="77777777" w:rsidR="0014798C" w:rsidRDefault="004E1F0B">
      <w:pPr>
        <w:pStyle w:val="Textoindependiente"/>
        <w:ind w:right="714"/>
        <w:jc w:val="right"/>
      </w:pPr>
      <w:r>
        <w:rPr>
          <w:spacing w:val="-5"/>
        </w:rPr>
        <w:t>113</w:t>
      </w:r>
    </w:p>
    <w:p w14:paraId="6F5AA4FF" w14:textId="77777777" w:rsidR="0014798C" w:rsidRDefault="0014798C">
      <w:pPr>
        <w:jc w:val="right"/>
        <w:sectPr w:rsidR="0014798C" w:rsidSect="00F265E4">
          <w:type w:val="continuous"/>
          <w:pgSz w:w="11900" w:h="16820"/>
          <w:pgMar w:top="40" w:right="0" w:bottom="280" w:left="200" w:header="121" w:footer="0" w:gutter="0"/>
          <w:cols w:space="720"/>
        </w:sectPr>
      </w:pPr>
    </w:p>
    <w:p w14:paraId="0378B3EA" w14:textId="77777777" w:rsidR="0014798C" w:rsidRDefault="004E1F0B">
      <w:pPr>
        <w:spacing w:before="76"/>
        <w:ind w:left="113"/>
        <w:rPr>
          <w:sz w:val="21"/>
        </w:rPr>
      </w:pPr>
      <w:r>
        <w:rPr>
          <w:noProof/>
        </w:rPr>
        <w:lastRenderedPageBreak/>
        <w:drawing>
          <wp:anchor distT="0" distB="0" distL="0" distR="0" simplePos="0" relativeHeight="251658447" behindDoc="1" locked="0" layoutInCell="1" allowOverlap="1" wp14:anchorId="53BDA334" wp14:editId="2D2ADFA1">
            <wp:simplePos x="0" y="0"/>
            <wp:positionH relativeFrom="page">
              <wp:posOffset>0</wp:posOffset>
            </wp:positionH>
            <wp:positionV relativeFrom="page">
              <wp:posOffset>0</wp:posOffset>
            </wp:positionV>
            <wp:extent cx="7556500" cy="10680700"/>
            <wp:effectExtent l="0" t="0" r="0" b="0"/>
            <wp:wrapNone/>
            <wp:docPr id="242" name="Image 24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42" name="Image 242"/>
                    <pic:cNvPicPr/>
                  </pic:nvPicPr>
                  <pic:blipFill>
                    <a:blip r:embed="rId159" cstate="print"/>
                    <a:stretch>
                      <a:fillRect/>
                    </a:stretch>
                  </pic:blipFill>
                  <pic:spPr>
                    <a:xfrm>
                      <a:off x="0" y="0"/>
                      <a:ext cx="7556500" cy="10680700"/>
                    </a:xfrm>
                    <a:prstGeom prst="rect">
                      <a:avLst/>
                    </a:prstGeom>
                  </pic:spPr>
                </pic:pic>
              </a:graphicData>
            </a:graphic>
          </wp:anchor>
        </w:drawing>
      </w:r>
      <w:r>
        <w:rPr>
          <w:sz w:val="21"/>
        </w:rPr>
        <w:t>Machine</w:t>
      </w:r>
      <w:r>
        <w:rPr>
          <w:spacing w:val="6"/>
          <w:sz w:val="21"/>
        </w:rPr>
        <w:t xml:space="preserve"> </w:t>
      </w:r>
      <w:proofErr w:type="spellStart"/>
      <w:r>
        <w:rPr>
          <w:sz w:val="21"/>
        </w:rPr>
        <w:t>Translated</w:t>
      </w:r>
      <w:proofErr w:type="spellEnd"/>
      <w:r>
        <w:rPr>
          <w:spacing w:val="7"/>
          <w:sz w:val="21"/>
        </w:rPr>
        <w:t xml:space="preserve"> </w:t>
      </w:r>
      <w:proofErr w:type="spellStart"/>
      <w:r>
        <w:rPr>
          <w:sz w:val="21"/>
        </w:rPr>
        <w:t>by</w:t>
      </w:r>
      <w:proofErr w:type="spellEnd"/>
      <w:r>
        <w:rPr>
          <w:spacing w:val="7"/>
          <w:sz w:val="21"/>
        </w:rPr>
        <w:t xml:space="preserve"> </w:t>
      </w:r>
      <w:r>
        <w:rPr>
          <w:spacing w:val="-2"/>
          <w:sz w:val="21"/>
        </w:rPr>
        <w:t>Google</w:t>
      </w:r>
    </w:p>
    <w:p w14:paraId="489AD36D" w14:textId="77777777" w:rsidR="0014798C" w:rsidRDefault="0014798C">
      <w:pPr>
        <w:rPr>
          <w:sz w:val="21"/>
        </w:rPr>
        <w:sectPr w:rsidR="0014798C" w:rsidSect="00F265E4">
          <w:headerReference w:type="default" r:id="rId218"/>
          <w:pgSz w:w="11900" w:h="16820"/>
          <w:pgMar w:top="40" w:right="0" w:bottom="280" w:left="200" w:header="0" w:footer="0" w:gutter="0"/>
          <w:cols w:space="720"/>
        </w:sectPr>
      </w:pPr>
    </w:p>
    <w:p w14:paraId="76ADD802" w14:textId="77777777" w:rsidR="0014798C" w:rsidRDefault="004E1F0B">
      <w:pPr>
        <w:spacing w:before="76"/>
        <w:ind w:left="113"/>
        <w:rPr>
          <w:sz w:val="21"/>
        </w:rPr>
      </w:pPr>
      <w:r>
        <w:rPr>
          <w:noProof/>
        </w:rPr>
        <w:lastRenderedPageBreak/>
        <w:drawing>
          <wp:anchor distT="0" distB="0" distL="0" distR="0" simplePos="0" relativeHeight="251658448" behindDoc="1" locked="0" layoutInCell="1" allowOverlap="1" wp14:anchorId="60D1DFE1" wp14:editId="6E86A403">
            <wp:simplePos x="0" y="0"/>
            <wp:positionH relativeFrom="page">
              <wp:posOffset>0</wp:posOffset>
            </wp:positionH>
            <wp:positionV relativeFrom="page">
              <wp:posOffset>0</wp:posOffset>
            </wp:positionV>
            <wp:extent cx="7556500" cy="10680700"/>
            <wp:effectExtent l="0" t="0" r="0" b="0"/>
            <wp:wrapNone/>
            <wp:docPr id="243" name="Image 24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43" name="Image 243"/>
                    <pic:cNvPicPr/>
                  </pic:nvPicPr>
                  <pic:blipFill>
                    <a:blip r:embed="rId219" cstate="print"/>
                    <a:stretch>
                      <a:fillRect/>
                    </a:stretch>
                  </pic:blipFill>
                  <pic:spPr>
                    <a:xfrm>
                      <a:off x="0" y="0"/>
                      <a:ext cx="7556500" cy="10680700"/>
                    </a:xfrm>
                    <a:prstGeom prst="rect">
                      <a:avLst/>
                    </a:prstGeom>
                  </pic:spPr>
                </pic:pic>
              </a:graphicData>
            </a:graphic>
          </wp:anchor>
        </w:drawing>
      </w:r>
      <w:r>
        <w:rPr>
          <w:sz w:val="21"/>
        </w:rPr>
        <w:t>Machine</w:t>
      </w:r>
      <w:r>
        <w:rPr>
          <w:spacing w:val="6"/>
          <w:sz w:val="21"/>
        </w:rPr>
        <w:t xml:space="preserve"> </w:t>
      </w:r>
      <w:proofErr w:type="spellStart"/>
      <w:r>
        <w:rPr>
          <w:sz w:val="21"/>
        </w:rPr>
        <w:t>Translated</w:t>
      </w:r>
      <w:proofErr w:type="spellEnd"/>
      <w:r>
        <w:rPr>
          <w:spacing w:val="7"/>
          <w:sz w:val="21"/>
        </w:rPr>
        <w:t xml:space="preserve"> </w:t>
      </w:r>
      <w:proofErr w:type="spellStart"/>
      <w:r>
        <w:rPr>
          <w:sz w:val="21"/>
        </w:rPr>
        <w:t>by</w:t>
      </w:r>
      <w:proofErr w:type="spellEnd"/>
      <w:r>
        <w:rPr>
          <w:spacing w:val="7"/>
          <w:sz w:val="21"/>
        </w:rPr>
        <w:t xml:space="preserve"> </w:t>
      </w:r>
      <w:r>
        <w:rPr>
          <w:spacing w:val="-2"/>
          <w:sz w:val="21"/>
        </w:rPr>
        <w:t>Google</w:t>
      </w:r>
    </w:p>
    <w:p w14:paraId="0644B5A6" w14:textId="77777777" w:rsidR="0014798C" w:rsidRDefault="0014798C">
      <w:pPr>
        <w:pStyle w:val="Textoindependiente"/>
        <w:spacing w:before="51"/>
        <w:rPr>
          <w:sz w:val="14"/>
        </w:rPr>
      </w:pPr>
    </w:p>
    <w:p w14:paraId="14F94A98" w14:textId="77777777" w:rsidR="0014798C" w:rsidRDefault="004E1F0B">
      <w:pPr>
        <w:ind w:left="1111"/>
        <w:rPr>
          <w:sz w:val="14"/>
        </w:rPr>
      </w:pPr>
      <w:r>
        <w:rPr>
          <w:color w:val="00AC59"/>
          <w:sz w:val="14"/>
        </w:rPr>
        <w:t>SEGUNDA</w:t>
      </w:r>
      <w:r>
        <w:rPr>
          <w:color w:val="00AC59"/>
          <w:spacing w:val="-5"/>
          <w:sz w:val="14"/>
        </w:rPr>
        <w:t xml:space="preserve"> </w:t>
      </w:r>
      <w:r>
        <w:rPr>
          <w:color w:val="00AC59"/>
          <w:sz w:val="14"/>
        </w:rPr>
        <w:t>PARTE:</w:t>
      </w:r>
      <w:r>
        <w:rPr>
          <w:color w:val="00AC59"/>
          <w:spacing w:val="-5"/>
          <w:sz w:val="14"/>
        </w:rPr>
        <w:t xml:space="preserve"> </w:t>
      </w:r>
      <w:r>
        <w:rPr>
          <w:color w:val="00AC59"/>
          <w:sz w:val="14"/>
        </w:rPr>
        <w:t>CONTENIDO</w:t>
      </w:r>
      <w:r>
        <w:rPr>
          <w:color w:val="00AC59"/>
          <w:spacing w:val="-4"/>
          <w:sz w:val="14"/>
        </w:rPr>
        <w:t xml:space="preserve"> </w:t>
      </w:r>
      <w:r>
        <w:rPr>
          <w:color w:val="00AC59"/>
          <w:sz w:val="14"/>
        </w:rPr>
        <w:t>DE</w:t>
      </w:r>
      <w:r>
        <w:rPr>
          <w:color w:val="00AC59"/>
          <w:spacing w:val="-5"/>
          <w:sz w:val="14"/>
        </w:rPr>
        <w:t xml:space="preserve"> </w:t>
      </w:r>
      <w:r>
        <w:rPr>
          <w:color w:val="00AC59"/>
          <w:sz w:val="14"/>
        </w:rPr>
        <w:t>LA</w:t>
      </w:r>
      <w:r>
        <w:rPr>
          <w:color w:val="00AC59"/>
          <w:spacing w:val="-4"/>
          <w:sz w:val="14"/>
        </w:rPr>
        <w:t xml:space="preserve"> </w:t>
      </w:r>
      <w:r>
        <w:rPr>
          <w:color w:val="00AC59"/>
          <w:sz w:val="14"/>
        </w:rPr>
        <w:t>LEY</w:t>
      </w:r>
      <w:r>
        <w:rPr>
          <w:color w:val="00AC59"/>
          <w:spacing w:val="-4"/>
          <w:sz w:val="14"/>
        </w:rPr>
        <w:t xml:space="preserve"> </w:t>
      </w:r>
      <w:r>
        <w:rPr>
          <w:color w:val="00AC59"/>
          <w:sz w:val="14"/>
        </w:rPr>
        <w:t>INTEGRAL</w:t>
      </w:r>
      <w:r>
        <w:rPr>
          <w:color w:val="00AC59"/>
          <w:spacing w:val="-5"/>
          <w:sz w:val="14"/>
        </w:rPr>
        <w:t xml:space="preserve"> </w:t>
      </w:r>
      <w:r>
        <w:rPr>
          <w:color w:val="00AC59"/>
          <w:spacing w:val="-2"/>
          <w:sz w:val="14"/>
        </w:rPr>
        <w:t>ANTIDISCRIMINACIÓN</w:t>
      </w:r>
    </w:p>
    <w:p w14:paraId="3AAF5FEB" w14:textId="77777777" w:rsidR="0014798C" w:rsidRDefault="0014798C">
      <w:pPr>
        <w:pStyle w:val="Textoindependiente"/>
        <w:rPr>
          <w:sz w:val="28"/>
        </w:rPr>
      </w:pPr>
    </w:p>
    <w:p w14:paraId="74FF84C6" w14:textId="77777777" w:rsidR="0014798C" w:rsidRDefault="0014798C">
      <w:pPr>
        <w:pStyle w:val="Textoindependiente"/>
        <w:rPr>
          <w:sz w:val="28"/>
        </w:rPr>
      </w:pPr>
    </w:p>
    <w:p w14:paraId="099587EF" w14:textId="77777777" w:rsidR="0014798C" w:rsidRDefault="0014798C">
      <w:pPr>
        <w:pStyle w:val="Textoindependiente"/>
        <w:spacing w:before="8"/>
        <w:rPr>
          <w:sz w:val="28"/>
        </w:rPr>
      </w:pPr>
    </w:p>
    <w:p w14:paraId="488C93CC" w14:textId="77777777" w:rsidR="0014798C" w:rsidRDefault="004E1F0B">
      <w:pPr>
        <w:pStyle w:val="Ttulo9"/>
        <w:numPr>
          <w:ilvl w:val="0"/>
          <w:numId w:val="3"/>
        </w:numPr>
        <w:tabs>
          <w:tab w:val="left" w:pos="1437"/>
        </w:tabs>
        <w:ind w:left="1437" w:hanging="339"/>
        <w:rPr>
          <w:color w:val="00AC59"/>
        </w:rPr>
      </w:pPr>
      <w:bookmarkStart w:id="16" w:name="implementacion"/>
      <w:r>
        <w:rPr>
          <w:color w:val="00AC59"/>
        </w:rPr>
        <w:t>OBLIGACIONES</w:t>
      </w:r>
      <w:r>
        <w:rPr>
          <w:color w:val="00AC59"/>
          <w:spacing w:val="-19"/>
        </w:rPr>
        <w:t xml:space="preserve"> </w:t>
      </w:r>
      <w:r>
        <w:rPr>
          <w:color w:val="00AC59"/>
        </w:rPr>
        <w:t>DE</w:t>
      </w:r>
      <w:r>
        <w:rPr>
          <w:color w:val="00AC59"/>
          <w:spacing w:val="-20"/>
        </w:rPr>
        <w:t xml:space="preserve"> </w:t>
      </w:r>
      <w:r>
        <w:rPr>
          <w:color w:val="00AC59"/>
          <w:spacing w:val="-2"/>
        </w:rPr>
        <w:t>IMPLEMENTACIÓN</w:t>
      </w:r>
      <w:bookmarkEnd w:id="16"/>
    </w:p>
    <w:p w14:paraId="540EC6E2" w14:textId="77777777" w:rsidR="0014798C" w:rsidRDefault="0014798C">
      <w:pPr>
        <w:pStyle w:val="Textoindependiente"/>
      </w:pPr>
    </w:p>
    <w:p w14:paraId="55F0BAC5" w14:textId="77777777" w:rsidR="0014798C" w:rsidRDefault="0014798C">
      <w:pPr>
        <w:pStyle w:val="Textoindependiente"/>
        <w:spacing w:before="89"/>
      </w:pPr>
    </w:p>
    <w:p w14:paraId="0F39FC46" w14:textId="77777777" w:rsidR="0014798C" w:rsidRDefault="004E1F0B">
      <w:pPr>
        <w:pStyle w:val="Textoindependiente"/>
        <w:ind w:left="1335"/>
      </w:pPr>
      <w:r>
        <w:rPr>
          <w:color w:val="FFFFFF"/>
          <w:spacing w:val="-2"/>
        </w:rPr>
        <w:t>RESUMEN</w:t>
      </w:r>
    </w:p>
    <w:p w14:paraId="3E8FC1B4" w14:textId="77777777" w:rsidR="0014798C" w:rsidRDefault="0014798C">
      <w:pPr>
        <w:pStyle w:val="Textoindependiente"/>
        <w:spacing w:before="150"/>
      </w:pPr>
    </w:p>
    <w:p w14:paraId="2C06D9AE" w14:textId="77777777" w:rsidR="0014798C" w:rsidRDefault="004E1F0B">
      <w:pPr>
        <w:pStyle w:val="Prrafodelista"/>
        <w:numPr>
          <w:ilvl w:val="0"/>
          <w:numId w:val="31"/>
        </w:numPr>
        <w:tabs>
          <w:tab w:val="left" w:pos="1456"/>
          <w:tab w:val="left" w:pos="1560"/>
        </w:tabs>
        <w:spacing w:line="271" w:lineRule="auto"/>
        <w:ind w:right="1667" w:hanging="203"/>
        <w:rPr>
          <w:sz w:val="16"/>
        </w:rPr>
      </w:pPr>
      <w:r>
        <w:rPr>
          <w:sz w:val="16"/>
        </w:rPr>
        <w:t>La</w:t>
      </w:r>
      <w:r>
        <w:rPr>
          <w:spacing w:val="-2"/>
          <w:sz w:val="16"/>
        </w:rPr>
        <w:t xml:space="preserve"> </w:t>
      </w:r>
      <w:r>
        <w:rPr>
          <w:sz w:val="16"/>
        </w:rPr>
        <w:t>evaluación</w:t>
      </w:r>
      <w:r>
        <w:rPr>
          <w:spacing w:val="-2"/>
          <w:sz w:val="16"/>
        </w:rPr>
        <w:t xml:space="preserve"> </w:t>
      </w:r>
      <w:r>
        <w:rPr>
          <w:sz w:val="16"/>
        </w:rPr>
        <w:t>del</w:t>
      </w:r>
      <w:r>
        <w:rPr>
          <w:spacing w:val="-2"/>
          <w:sz w:val="16"/>
        </w:rPr>
        <w:t xml:space="preserve"> </w:t>
      </w:r>
      <w:r>
        <w:rPr>
          <w:sz w:val="16"/>
        </w:rPr>
        <w:t>impacto</w:t>
      </w:r>
      <w:r>
        <w:rPr>
          <w:spacing w:val="-2"/>
          <w:sz w:val="16"/>
        </w:rPr>
        <w:t xml:space="preserve"> </w:t>
      </w:r>
      <w:r>
        <w:rPr>
          <w:sz w:val="16"/>
        </w:rPr>
        <w:t>en</w:t>
      </w:r>
      <w:r>
        <w:rPr>
          <w:spacing w:val="-2"/>
          <w:sz w:val="16"/>
        </w:rPr>
        <w:t xml:space="preserve"> </w:t>
      </w:r>
      <w:r>
        <w:rPr>
          <w:sz w:val="16"/>
        </w:rPr>
        <w:t>la</w:t>
      </w:r>
      <w:r>
        <w:rPr>
          <w:spacing w:val="-2"/>
          <w:sz w:val="16"/>
        </w:rPr>
        <w:t xml:space="preserve"> </w:t>
      </w:r>
      <w:r>
        <w:rPr>
          <w:sz w:val="16"/>
        </w:rPr>
        <w:t>igualdad</w:t>
      </w:r>
      <w:r>
        <w:rPr>
          <w:spacing w:val="-2"/>
          <w:sz w:val="16"/>
        </w:rPr>
        <w:t xml:space="preserve"> </w:t>
      </w:r>
      <w:r>
        <w:rPr>
          <w:sz w:val="16"/>
        </w:rPr>
        <w:t>es</w:t>
      </w:r>
      <w:r>
        <w:rPr>
          <w:spacing w:val="-2"/>
          <w:sz w:val="16"/>
        </w:rPr>
        <w:t xml:space="preserve"> </w:t>
      </w:r>
      <w:r>
        <w:rPr>
          <w:sz w:val="16"/>
        </w:rPr>
        <w:t>una</w:t>
      </w:r>
      <w:r>
        <w:rPr>
          <w:spacing w:val="-2"/>
          <w:sz w:val="16"/>
        </w:rPr>
        <w:t xml:space="preserve"> </w:t>
      </w:r>
      <w:r>
        <w:rPr>
          <w:sz w:val="16"/>
        </w:rPr>
        <w:t>herramienta</w:t>
      </w:r>
      <w:r>
        <w:rPr>
          <w:spacing w:val="-2"/>
          <w:sz w:val="16"/>
        </w:rPr>
        <w:t xml:space="preserve"> </w:t>
      </w:r>
      <w:r>
        <w:rPr>
          <w:sz w:val="16"/>
        </w:rPr>
        <w:t>esencial</w:t>
      </w:r>
      <w:r>
        <w:rPr>
          <w:spacing w:val="-2"/>
          <w:sz w:val="16"/>
        </w:rPr>
        <w:t xml:space="preserve"> </w:t>
      </w:r>
      <w:r>
        <w:rPr>
          <w:sz w:val="16"/>
        </w:rPr>
        <w:t>en</w:t>
      </w:r>
      <w:r>
        <w:rPr>
          <w:spacing w:val="-2"/>
          <w:sz w:val="16"/>
        </w:rPr>
        <w:t xml:space="preserve"> </w:t>
      </w:r>
      <w:r>
        <w:rPr>
          <w:sz w:val="16"/>
        </w:rPr>
        <w:t>la</w:t>
      </w:r>
      <w:r>
        <w:rPr>
          <w:spacing w:val="-2"/>
          <w:sz w:val="16"/>
        </w:rPr>
        <w:t xml:space="preserve"> </w:t>
      </w:r>
      <w:r>
        <w:rPr>
          <w:sz w:val="16"/>
        </w:rPr>
        <w:t>implementación</w:t>
      </w:r>
      <w:r>
        <w:rPr>
          <w:spacing w:val="-2"/>
          <w:sz w:val="16"/>
        </w:rPr>
        <w:t xml:space="preserve"> </w:t>
      </w:r>
      <w:r>
        <w:rPr>
          <w:sz w:val="16"/>
        </w:rPr>
        <w:t>y</w:t>
      </w:r>
      <w:r>
        <w:rPr>
          <w:spacing w:val="-2"/>
          <w:sz w:val="16"/>
        </w:rPr>
        <w:t xml:space="preserve"> </w:t>
      </w:r>
      <w:r>
        <w:rPr>
          <w:sz w:val="16"/>
        </w:rPr>
        <w:t>aplicación</w:t>
      </w:r>
      <w:r>
        <w:rPr>
          <w:spacing w:val="-2"/>
          <w:sz w:val="16"/>
        </w:rPr>
        <w:t xml:space="preserve"> </w:t>
      </w:r>
      <w:r>
        <w:rPr>
          <w:sz w:val="16"/>
        </w:rPr>
        <w:t>del</w:t>
      </w:r>
      <w:r>
        <w:rPr>
          <w:spacing w:val="-2"/>
          <w:sz w:val="16"/>
        </w:rPr>
        <w:t xml:space="preserve"> </w:t>
      </w:r>
      <w:r>
        <w:rPr>
          <w:sz w:val="16"/>
        </w:rPr>
        <w:t>derecho</w:t>
      </w:r>
      <w:r>
        <w:rPr>
          <w:spacing w:val="-2"/>
          <w:sz w:val="16"/>
        </w:rPr>
        <w:t xml:space="preserve"> </w:t>
      </w:r>
      <w:r>
        <w:rPr>
          <w:sz w:val="16"/>
        </w:rPr>
        <w:t>a</w:t>
      </w:r>
      <w:r>
        <w:rPr>
          <w:spacing w:val="-2"/>
          <w:sz w:val="16"/>
        </w:rPr>
        <w:t xml:space="preserve"> </w:t>
      </w:r>
      <w:r>
        <w:rPr>
          <w:sz w:val="16"/>
        </w:rPr>
        <w:t>la no discriminación.</w:t>
      </w:r>
    </w:p>
    <w:p w14:paraId="1DD9A009" w14:textId="77777777" w:rsidR="0014798C" w:rsidRDefault="0014798C">
      <w:pPr>
        <w:pStyle w:val="Textoindependiente"/>
        <w:spacing w:before="13"/>
      </w:pPr>
    </w:p>
    <w:p w14:paraId="40DD391C" w14:textId="77777777" w:rsidR="0014798C" w:rsidRDefault="004E1F0B">
      <w:pPr>
        <w:pStyle w:val="Prrafodelista"/>
        <w:numPr>
          <w:ilvl w:val="0"/>
          <w:numId w:val="31"/>
        </w:numPr>
        <w:tabs>
          <w:tab w:val="left" w:pos="1457"/>
          <w:tab w:val="left" w:pos="1559"/>
        </w:tabs>
        <w:spacing w:line="326" w:lineRule="auto"/>
        <w:ind w:left="1559" w:right="1703" w:hanging="201"/>
        <w:rPr>
          <w:sz w:val="16"/>
        </w:rPr>
      </w:pPr>
      <w:r>
        <w:rPr>
          <w:sz w:val="16"/>
        </w:rPr>
        <w:t>La</w:t>
      </w:r>
      <w:r>
        <w:rPr>
          <w:spacing w:val="-2"/>
          <w:sz w:val="16"/>
        </w:rPr>
        <w:t xml:space="preserve"> </w:t>
      </w:r>
      <w:r>
        <w:rPr>
          <w:sz w:val="16"/>
        </w:rPr>
        <w:t>evaluación</w:t>
      </w:r>
      <w:r>
        <w:rPr>
          <w:spacing w:val="-2"/>
          <w:sz w:val="16"/>
        </w:rPr>
        <w:t xml:space="preserve"> </w:t>
      </w:r>
      <w:r>
        <w:rPr>
          <w:sz w:val="16"/>
        </w:rPr>
        <w:t>del</w:t>
      </w:r>
      <w:r>
        <w:rPr>
          <w:spacing w:val="-2"/>
          <w:sz w:val="16"/>
        </w:rPr>
        <w:t xml:space="preserve"> </w:t>
      </w:r>
      <w:r>
        <w:rPr>
          <w:sz w:val="16"/>
        </w:rPr>
        <w:t>impacto</w:t>
      </w:r>
      <w:r>
        <w:rPr>
          <w:spacing w:val="-2"/>
          <w:sz w:val="16"/>
        </w:rPr>
        <w:t xml:space="preserve"> </w:t>
      </w:r>
      <w:r>
        <w:rPr>
          <w:sz w:val="16"/>
        </w:rPr>
        <w:t>en</w:t>
      </w:r>
      <w:r>
        <w:rPr>
          <w:spacing w:val="-2"/>
          <w:sz w:val="16"/>
        </w:rPr>
        <w:t xml:space="preserve"> </w:t>
      </w:r>
      <w:r>
        <w:rPr>
          <w:sz w:val="16"/>
        </w:rPr>
        <w:t>materia</w:t>
      </w:r>
      <w:r>
        <w:rPr>
          <w:spacing w:val="-2"/>
          <w:sz w:val="16"/>
        </w:rPr>
        <w:t xml:space="preserve"> </w:t>
      </w:r>
      <w:r>
        <w:rPr>
          <w:sz w:val="16"/>
        </w:rPr>
        <w:t>de</w:t>
      </w:r>
      <w:r>
        <w:rPr>
          <w:spacing w:val="-2"/>
          <w:sz w:val="16"/>
        </w:rPr>
        <w:t xml:space="preserve"> </w:t>
      </w:r>
      <w:r>
        <w:rPr>
          <w:sz w:val="16"/>
        </w:rPr>
        <w:t>igualdad</w:t>
      </w:r>
      <w:r>
        <w:rPr>
          <w:spacing w:val="-2"/>
          <w:sz w:val="16"/>
        </w:rPr>
        <w:t xml:space="preserve"> </w:t>
      </w:r>
      <w:r>
        <w:rPr>
          <w:sz w:val="16"/>
        </w:rPr>
        <w:t>requiere</w:t>
      </w:r>
      <w:r>
        <w:rPr>
          <w:spacing w:val="-2"/>
          <w:sz w:val="16"/>
        </w:rPr>
        <w:t xml:space="preserve"> </w:t>
      </w:r>
      <w:r>
        <w:rPr>
          <w:sz w:val="16"/>
        </w:rPr>
        <w:t>evaluaciones</w:t>
      </w:r>
      <w:r>
        <w:rPr>
          <w:spacing w:val="-2"/>
          <w:sz w:val="16"/>
        </w:rPr>
        <w:t xml:space="preserve"> </w:t>
      </w:r>
      <w:r>
        <w:rPr>
          <w:sz w:val="16"/>
        </w:rPr>
        <w:t>preventivas,</w:t>
      </w:r>
      <w:r>
        <w:rPr>
          <w:spacing w:val="-1"/>
          <w:sz w:val="16"/>
        </w:rPr>
        <w:t xml:space="preserve"> </w:t>
      </w:r>
      <w:r>
        <w:rPr>
          <w:sz w:val="16"/>
        </w:rPr>
        <w:t>consultivas</w:t>
      </w:r>
      <w:r>
        <w:rPr>
          <w:spacing w:val="-2"/>
          <w:sz w:val="16"/>
        </w:rPr>
        <w:t xml:space="preserve"> </w:t>
      </w:r>
      <w:r>
        <w:rPr>
          <w:sz w:val="16"/>
        </w:rPr>
        <w:t>y</w:t>
      </w:r>
      <w:r>
        <w:rPr>
          <w:spacing w:val="-2"/>
          <w:sz w:val="16"/>
        </w:rPr>
        <w:t xml:space="preserve"> </w:t>
      </w:r>
      <w:r>
        <w:rPr>
          <w:sz w:val="16"/>
        </w:rPr>
        <w:t>basadas</w:t>
      </w:r>
      <w:r>
        <w:rPr>
          <w:spacing w:val="-2"/>
          <w:sz w:val="16"/>
        </w:rPr>
        <w:t xml:space="preserve"> </w:t>
      </w:r>
      <w:r>
        <w:rPr>
          <w:sz w:val="16"/>
        </w:rPr>
        <w:t>en</w:t>
      </w:r>
      <w:r>
        <w:rPr>
          <w:spacing w:val="-2"/>
          <w:sz w:val="16"/>
        </w:rPr>
        <w:t xml:space="preserve"> </w:t>
      </w:r>
      <w:r>
        <w:rPr>
          <w:sz w:val="16"/>
        </w:rPr>
        <w:t>datos</w:t>
      </w:r>
      <w:r>
        <w:rPr>
          <w:spacing w:val="-2"/>
          <w:sz w:val="16"/>
        </w:rPr>
        <w:t xml:space="preserve"> </w:t>
      </w:r>
      <w:r>
        <w:rPr>
          <w:sz w:val="16"/>
        </w:rPr>
        <w:t>de las leyes, políticas y decisiones para garantizar que no discriminen directa o indirectamente y para identificar cómo se pueden atender y promover las necesidades particulares de las personas y grupos discriminados</w:t>
      </w:r>
      <w:proofErr w:type="gramStart"/>
      <w:r>
        <w:rPr>
          <w:sz w:val="16"/>
        </w:rPr>
        <w:t>. .</w:t>
      </w:r>
      <w:proofErr w:type="gramEnd"/>
    </w:p>
    <w:p w14:paraId="01E4B7B9" w14:textId="77777777" w:rsidR="0014798C" w:rsidRDefault="0014798C">
      <w:pPr>
        <w:pStyle w:val="Textoindependiente"/>
        <w:spacing w:before="178"/>
      </w:pPr>
    </w:p>
    <w:p w14:paraId="3E68F1CC" w14:textId="77777777" w:rsidR="0014798C" w:rsidRDefault="004E1F0B">
      <w:pPr>
        <w:pStyle w:val="Prrafodelista"/>
        <w:numPr>
          <w:ilvl w:val="0"/>
          <w:numId w:val="31"/>
        </w:numPr>
        <w:tabs>
          <w:tab w:val="left" w:pos="1457"/>
          <w:tab w:val="left" w:pos="1564"/>
        </w:tabs>
        <w:spacing w:line="326" w:lineRule="auto"/>
        <w:ind w:left="1564" w:right="1508" w:hanging="206"/>
        <w:rPr>
          <w:sz w:val="16"/>
        </w:rPr>
      </w:pPr>
      <w:r>
        <w:rPr>
          <w:noProof/>
        </w:rPr>
        <mc:AlternateContent>
          <mc:Choice Requires="wps">
            <w:drawing>
              <wp:anchor distT="0" distB="0" distL="0" distR="0" simplePos="0" relativeHeight="251658297" behindDoc="0" locked="0" layoutInCell="1" allowOverlap="1" wp14:anchorId="3E4EE8CC" wp14:editId="7445AE8D">
                <wp:simplePos x="0" y="0"/>
                <wp:positionH relativeFrom="page">
                  <wp:posOffset>7311619</wp:posOffset>
                </wp:positionH>
                <wp:positionV relativeFrom="paragraph">
                  <wp:posOffset>-216547</wp:posOffset>
                </wp:positionV>
                <wp:extent cx="85725" cy="290195"/>
                <wp:effectExtent l="0" t="0" r="0" b="0"/>
                <wp:wrapNone/>
                <wp:docPr id="244" name="Textbox 24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85725" cy="290195"/>
                        </a:xfrm>
                        <a:prstGeom prst="rect">
                          <a:avLst/>
                        </a:prstGeom>
                      </wps:spPr>
                      <wps:txbx>
                        <w:txbxContent>
                          <w:p w14:paraId="302FBFED" w14:textId="77777777" w:rsidR="0014798C" w:rsidRDefault="004E1F0B">
                            <w:pPr>
                              <w:spacing w:before="21"/>
                              <w:ind w:left="20"/>
                              <w:rPr>
                                <w:sz w:val="8"/>
                              </w:rPr>
                            </w:pPr>
                            <w:r>
                              <w:rPr>
                                <w:color w:val="FFFFFF"/>
                                <w:spacing w:val="-28"/>
                                <w:w w:val="105"/>
                                <w:sz w:val="8"/>
                              </w:rPr>
                              <w:t>P–V</w:t>
                            </w:r>
                            <w:r>
                              <w:rPr>
                                <w:spacing w:val="-28"/>
                                <w:w w:val="105"/>
                                <w:sz w:val="8"/>
                              </w:rPr>
                              <w:t>S</w:t>
                            </w:r>
                            <w:r>
                              <w:rPr>
                                <w:color w:val="FFFFFF"/>
                                <w:spacing w:val="-28"/>
                                <w:w w:val="105"/>
                                <w:sz w:val="8"/>
                              </w:rPr>
                              <w:t>A</w:t>
                            </w:r>
                            <w:r>
                              <w:rPr>
                                <w:spacing w:val="-28"/>
                                <w:w w:val="105"/>
                                <w:sz w:val="8"/>
                              </w:rPr>
                              <w:t>E</w:t>
                            </w:r>
                            <w:r>
                              <w:rPr>
                                <w:color w:val="FFFFFF"/>
                                <w:spacing w:val="-28"/>
                                <w:w w:val="105"/>
                                <w:sz w:val="8"/>
                              </w:rPr>
                              <w:t>R</w:t>
                            </w:r>
                            <w:r>
                              <w:rPr>
                                <w:spacing w:val="-28"/>
                                <w:w w:val="105"/>
                                <w:sz w:val="8"/>
                              </w:rPr>
                              <w:t>G</w:t>
                            </w:r>
                            <w:r>
                              <w:rPr>
                                <w:color w:val="FFFFFF"/>
                                <w:spacing w:val="-28"/>
                                <w:w w:val="105"/>
                                <w:sz w:val="8"/>
                              </w:rPr>
                              <w:t>T</w:t>
                            </w:r>
                            <w:r>
                              <w:rPr>
                                <w:spacing w:val="-28"/>
                                <w:w w:val="105"/>
                                <w:sz w:val="8"/>
                              </w:rPr>
                              <w:t>U</w:t>
                            </w:r>
                            <w:r>
                              <w:rPr>
                                <w:color w:val="FFFFFF"/>
                                <w:spacing w:val="-28"/>
                                <w:w w:val="105"/>
                                <w:sz w:val="8"/>
                              </w:rPr>
                              <w:t>E</w:t>
                            </w:r>
                            <w:r>
                              <w:rPr>
                                <w:spacing w:val="-28"/>
                                <w:w w:val="105"/>
                                <w:sz w:val="8"/>
                              </w:rPr>
                              <w:t>NDA</w:t>
                            </w:r>
                          </w:p>
                        </w:txbxContent>
                      </wps:txbx>
                      <wps:bodyPr vert="vert270" wrap="square" lIns="0" tIns="0" rIns="0" bIns="0" rtlCol="0">
                        <a:noAutofit/>
                      </wps:bodyPr>
                    </wps:wsp>
                  </a:graphicData>
                </a:graphic>
              </wp:anchor>
            </w:drawing>
          </mc:Choice>
          <mc:Fallback>
            <w:pict>
              <v:shape w14:anchorId="3E4EE8CC" id="Textbox 244" o:spid="_x0000_s1120" type="#_x0000_t202" style="position:absolute;left:0;text-align:left;margin-left:575.7pt;margin-top:-17.05pt;width:6.75pt;height:22.85pt;z-index:251658297;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" filled="f" stroked="f">
                <v:textbox style="layout-flow:vertical;mso-layout-flow-alt:bottom-to-top" inset="0,0,0,0">
                  <w:txbxContent>
                    <w:p w14:paraId="302FBFED" w14:textId="77777777" w:rsidR="0014798C" w:rsidRDefault="004E1F0B">
                      <w:pPr>
                        <w:spacing w:before="21"/>
                        <w:ind w:left="20"/>
                        <w:rPr>
                          <w:sz w:val="8"/>
                        </w:rPr>
                      </w:pPr>
                      <w:r>
                        <w:rPr>
                          <w:color w:val="FFFFFF"/>
                          <w:spacing w:val="-28"/>
                          <w:w w:val="105"/>
                          <w:sz w:val="8"/>
                        </w:rPr>
                        <w:t>P–V</w:t>
                      </w:r>
                      <w:r>
                        <w:rPr>
                          <w:spacing w:val="-28"/>
                          <w:w w:val="105"/>
                          <w:sz w:val="8"/>
                        </w:rPr>
                        <w:t>S</w:t>
                      </w:r>
                      <w:r>
                        <w:rPr>
                          <w:color w:val="FFFFFF"/>
                          <w:spacing w:val="-28"/>
                          <w:w w:val="105"/>
                          <w:sz w:val="8"/>
                        </w:rPr>
                        <w:t>A</w:t>
                      </w:r>
                      <w:r>
                        <w:rPr>
                          <w:spacing w:val="-28"/>
                          <w:w w:val="105"/>
                          <w:sz w:val="8"/>
                        </w:rPr>
                        <w:t>E</w:t>
                      </w:r>
                      <w:r>
                        <w:rPr>
                          <w:color w:val="FFFFFF"/>
                          <w:spacing w:val="-28"/>
                          <w:w w:val="105"/>
                          <w:sz w:val="8"/>
                        </w:rPr>
                        <w:t>R</w:t>
                      </w:r>
                      <w:r>
                        <w:rPr>
                          <w:spacing w:val="-28"/>
                          <w:w w:val="105"/>
                          <w:sz w:val="8"/>
                        </w:rPr>
                        <w:t>G</w:t>
                      </w:r>
                      <w:r>
                        <w:rPr>
                          <w:color w:val="FFFFFF"/>
                          <w:spacing w:val="-28"/>
                          <w:w w:val="105"/>
                          <w:sz w:val="8"/>
                        </w:rPr>
                        <w:t>T</w:t>
                      </w:r>
                      <w:r>
                        <w:rPr>
                          <w:spacing w:val="-28"/>
                          <w:w w:val="105"/>
                          <w:sz w:val="8"/>
                        </w:rPr>
                        <w:t>U</w:t>
                      </w:r>
                      <w:r>
                        <w:rPr>
                          <w:color w:val="FFFFFF"/>
                          <w:spacing w:val="-28"/>
                          <w:w w:val="105"/>
                          <w:sz w:val="8"/>
                        </w:rPr>
                        <w:t>E</w:t>
                      </w:r>
                      <w:r>
                        <w:rPr>
                          <w:spacing w:val="-28"/>
                          <w:w w:val="105"/>
                          <w:sz w:val="8"/>
                        </w:rPr>
                        <w:t>NDA</w:t>
                      </w:r>
                    </w:p>
                  </w:txbxContent>
                </v:textbox>
                <w10:wrap anchorx="page"/>
              </v:shape>
            </w:pict>
          </mc:Fallback>
        </mc:AlternateContent>
      </w:r>
      <w:r>
        <w:rPr>
          <w:sz w:val="16"/>
        </w:rPr>
        <w:t>Para ser eficaz, la evaluación de impacto debe realizarse antes de introducir una política y realizarse en consulta con miembros</w:t>
      </w:r>
      <w:r>
        <w:rPr>
          <w:spacing w:val="-3"/>
          <w:sz w:val="16"/>
        </w:rPr>
        <w:t xml:space="preserve"> </w:t>
      </w:r>
      <w:r>
        <w:rPr>
          <w:sz w:val="16"/>
        </w:rPr>
        <w:t>de</w:t>
      </w:r>
      <w:r>
        <w:rPr>
          <w:spacing w:val="-3"/>
          <w:sz w:val="16"/>
        </w:rPr>
        <w:t xml:space="preserve"> </w:t>
      </w:r>
      <w:r>
        <w:rPr>
          <w:sz w:val="16"/>
        </w:rPr>
        <w:t>cualquier</w:t>
      </w:r>
      <w:r>
        <w:rPr>
          <w:spacing w:val="-3"/>
          <w:sz w:val="16"/>
        </w:rPr>
        <w:t xml:space="preserve"> </w:t>
      </w:r>
      <w:r>
        <w:rPr>
          <w:sz w:val="16"/>
        </w:rPr>
        <w:t>comunidad</w:t>
      </w:r>
      <w:r>
        <w:rPr>
          <w:spacing w:val="-3"/>
          <w:sz w:val="16"/>
        </w:rPr>
        <w:t xml:space="preserve"> </w:t>
      </w:r>
      <w:r>
        <w:rPr>
          <w:sz w:val="16"/>
        </w:rPr>
        <w:t>potencialmente</w:t>
      </w:r>
      <w:r>
        <w:rPr>
          <w:spacing w:val="-3"/>
          <w:sz w:val="16"/>
        </w:rPr>
        <w:t xml:space="preserve"> </w:t>
      </w:r>
      <w:r>
        <w:rPr>
          <w:sz w:val="16"/>
        </w:rPr>
        <w:t>afectada</w:t>
      </w:r>
      <w:r>
        <w:rPr>
          <w:spacing w:val="-3"/>
          <w:sz w:val="16"/>
        </w:rPr>
        <w:t xml:space="preserve"> </w:t>
      </w:r>
      <w:r>
        <w:rPr>
          <w:sz w:val="16"/>
        </w:rPr>
        <w:t>en</w:t>
      </w:r>
      <w:r>
        <w:rPr>
          <w:spacing w:val="-3"/>
          <w:sz w:val="16"/>
        </w:rPr>
        <w:t xml:space="preserve"> </w:t>
      </w:r>
      <w:r>
        <w:rPr>
          <w:sz w:val="16"/>
        </w:rPr>
        <w:t>toda</w:t>
      </w:r>
      <w:r>
        <w:rPr>
          <w:spacing w:val="-3"/>
          <w:sz w:val="16"/>
        </w:rPr>
        <w:t xml:space="preserve"> </w:t>
      </w:r>
      <w:r>
        <w:rPr>
          <w:sz w:val="16"/>
        </w:rPr>
        <w:t>su</w:t>
      </w:r>
      <w:r>
        <w:rPr>
          <w:spacing w:val="-3"/>
          <w:sz w:val="16"/>
        </w:rPr>
        <w:t xml:space="preserve"> </w:t>
      </w:r>
      <w:r>
        <w:rPr>
          <w:sz w:val="16"/>
        </w:rPr>
        <w:t>diversidad.</w:t>
      </w:r>
      <w:r>
        <w:rPr>
          <w:spacing w:val="-2"/>
          <w:sz w:val="16"/>
        </w:rPr>
        <w:t xml:space="preserve"> </w:t>
      </w:r>
      <w:r>
        <w:rPr>
          <w:sz w:val="16"/>
        </w:rPr>
        <w:t>Los</w:t>
      </w:r>
      <w:r>
        <w:rPr>
          <w:spacing w:val="-3"/>
          <w:sz w:val="16"/>
        </w:rPr>
        <w:t xml:space="preserve"> </w:t>
      </w:r>
      <w:r>
        <w:rPr>
          <w:sz w:val="16"/>
        </w:rPr>
        <w:t>resultados</w:t>
      </w:r>
      <w:r>
        <w:rPr>
          <w:spacing w:val="-3"/>
          <w:sz w:val="16"/>
        </w:rPr>
        <w:t xml:space="preserve"> </w:t>
      </w:r>
      <w:r>
        <w:rPr>
          <w:sz w:val="16"/>
        </w:rPr>
        <w:t>de</w:t>
      </w:r>
      <w:r>
        <w:rPr>
          <w:spacing w:val="-3"/>
          <w:sz w:val="16"/>
        </w:rPr>
        <w:t xml:space="preserve"> </w:t>
      </w:r>
      <w:r>
        <w:rPr>
          <w:sz w:val="16"/>
        </w:rPr>
        <w:t>la</w:t>
      </w:r>
      <w:r>
        <w:rPr>
          <w:spacing w:val="-3"/>
          <w:sz w:val="16"/>
        </w:rPr>
        <w:t xml:space="preserve"> </w:t>
      </w:r>
      <w:r>
        <w:rPr>
          <w:sz w:val="16"/>
        </w:rPr>
        <w:t>evaluación</w:t>
      </w:r>
      <w:r>
        <w:rPr>
          <w:spacing w:val="-3"/>
          <w:sz w:val="16"/>
        </w:rPr>
        <w:t xml:space="preserve"> </w:t>
      </w:r>
      <w:r>
        <w:rPr>
          <w:sz w:val="16"/>
        </w:rPr>
        <w:t>deben hacerse públicos y dar lugar a cambios políticos significativos.</w:t>
      </w:r>
    </w:p>
    <w:p w14:paraId="5B1104CA" w14:textId="77777777" w:rsidR="0014798C" w:rsidRDefault="0014798C">
      <w:pPr>
        <w:pStyle w:val="Textoindependiente"/>
      </w:pPr>
    </w:p>
    <w:p w14:paraId="36F19685" w14:textId="77777777" w:rsidR="0014798C" w:rsidRDefault="0014798C">
      <w:pPr>
        <w:pStyle w:val="Textoindependiente"/>
        <w:spacing w:before="140"/>
      </w:pPr>
    </w:p>
    <w:p w14:paraId="6D283DB0" w14:textId="77777777" w:rsidR="0014798C" w:rsidRDefault="004E1F0B">
      <w:pPr>
        <w:pStyle w:val="Textoindependiente"/>
        <w:ind w:left="1109"/>
      </w:pPr>
      <w:r>
        <w:t>Cada</w:t>
      </w:r>
      <w:r>
        <w:rPr>
          <w:spacing w:val="-3"/>
        </w:rPr>
        <w:t xml:space="preserve"> </w:t>
      </w:r>
      <w:r>
        <w:t>uno</w:t>
      </w:r>
      <w:r>
        <w:rPr>
          <w:spacing w:val="-2"/>
        </w:rPr>
        <w:t xml:space="preserve"> </w:t>
      </w:r>
      <w:r>
        <w:t>de</w:t>
      </w:r>
      <w:r>
        <w:rPr>
          <w:spacing w:val="-2"/>
        </w:rPr>
        <w:t xml:space="preserve"> </w:t>
      </w:r>
      <w:r>
        <w:t>los</w:t>
      </w:r>
      <w:r>
        <w:rPr>
          <w:spacing w:val="-2"/>
        </w:rPr>
        <w:t xml:space="preserve"> </w:t>
      </w:r>
      <w:r>
        <w:t>tratados</w:t>
      </w:r>
      <w:r>
        <w:rPr>
          <w:spacing w:val="-2"/>
        </w:rPr>
        <w:t xml:space="preserve"> </w:t>
      </w:r>
      <w:r>
        <w:t>fundamentales</w:t>
      </w:r>
      <w:r>
        <w:rPr>
          <w:spacing w:val="-2"/>
        </w:rPr>
        <w:t xml:space="preserve"> </w:t>
      </w:r>
      <w:r>
        <w:t>de</w:t>
      </w:r>
      <w:r>
        <w:rPr>
          <w:spacing w:val="-2"/>
        </w:rPr>
        <w:t xml:space="preserve"> </w:t>
      </w:r>
      <w:r>
        <w:t>derechos</w:t>
      </w:r>
      <w:r>
        <w:rPr>
          <w:spacing w:val="-2"/>
        </w:rPr>
        <w:t xml:space="preserve"> </w:t>
      </w:r>
      <w:r>
        <w:t>humanos</w:t>
      </w:r>
      <w:r>
        <w:rPr>
          <w:spacing w:val="-2"/>
        </w:rPr>
        <w:t xml:space="preserve"> </w:t>
      </w:r>
      <w:r>
        <w:t>de</w:t>
      </w:r>
      <w:r>
        <w:rPr>
          <w:spacing w:val="-3"/>
        </w:rPr>
        <w:t xml:space="preserve"> </w:t>
      </w:r>
      <w:r>
        <w:t>las</w:t>
      </w:r>
      <w:r>
        <w:rPr>
          <w:spacing w:val="-2"/>
        </w:rPr>
        <w:t xml:space="preserve"> </w:t>
      </w:r>
      <w:r>
        <w:t>Naciones</w:t>
      </w:r>
      <w:r>
        <w:rPr>
          <w:spacing w:val="-2"/>
        </w:rPr>
        <w:t xml:space="preserve"> </w:t>
      </w:r>
      <w:r>
        <w:t>Unidas</w:t>
      </w:r>
      <w:r>
        <w:rPr>
          <w:spacing w:val="-2"/>
        </w:rPr>
        <w:t xml:space="preserve"> </w:t>
      </w:r>
      <w:r>
        <w:t>exige</w:t>
      </w:r>
      <w:r>
        <w:rPr>
          <w:spacing w:val="-2"/>
        </w:rPr>
        <w:t xml:space="preserve"> </w:t>
      </w:r>
      <w:r>
        <w:t>que</w:t>
      </w:r>
      <w:r>
        <w:rPr>
          <w:spacing w:val="-2"/>
        </w:rPr>
        <w:t xml:space="preserve"> </w:t>
      </w:r>
      <w:r>
        <w:t>los</w:t>
      </w:r>
      <w:r>
        <w:rPr>
          <w:spacing w:val="-2"/>
        </w:rPr>
        <w:t xml:space="preserve"> </w:t>
      </w:r>
      <w:r>
        <w:t>Estados</w:t>
      </w:r>
      <w:r>
        <w:rPr>
          <w:spacing w:val="-2"/>
        </w:rPr>
        <w:t xml:space="preserve"> </w:t>
      </w:r>
      <w:r>
        <w:t>adopten</w:t>
      </w:r>
      <w:r>
        <w:rPr>
          <w:spacing w:val="-2"/>
        </w:rPr>
        <w:t xml:space="preserve"> </w:t>
      </w:r>
      <w:r>
        <w:rPr>
          <w:spacing w:val="-5"/>
        </w:rPr>
        <w:t>las</w:t>
      </w:r>
    </w:p>
    <w:p w14:paraId="3BD36CD1" w14:textId="77777777" w:rsidR="0014798C" w:rsidRDefault="004E1F0B">
      <w:pPr>
        <w:pStyle w:val="Textoindependiente"/>
        <w:spacing w:before="66" w:line="271" w:lineRule="auto"/>
        <w:ind w:left="1114" w:right="1272" w:hanging="8"/>
      </w:pPr>
      <w:r>
        <w:t xml:space="preserve">medidas necesarias para hacer efectivos los derechos que protegen, incluido el derecho a la no discriminación.796 Los </w:t>
      </w:r>
      <w:proofErr w:type="gramStart"/>
      <w:r>
        <w:t>Estados partes</w:t>
      </w:r>
      <w:proofErr w:type="gramEnd"/>
      <w:r>
        <w:rPr>
          <w:spacing w:val="-8"/>
        </w:rPr>
        <w:t xml:space="preserve"> </w:t>
      </w:r>
      <w:r>
        <w:t>tanto</w:t>
      </w:r>
      <w:r>
        <w:rPr>
          <w:spacing w:val="-5"/>
        </w:rPr>
        <w:t xml:space="preserve"> </w:t>
      </w:r>
      <w:r>
        <w:t>en</w:t>
      </w:r>
      <w:r>
        <w:rPr>
          <w:spacing w:val="-5"/>
        </w:rPr>
        <w:t xml:space="preserve"> </w:t>
      </w:r>
      <w:r>
        <w:t>la</w:t>
      </w:r>
      <w:r>
        <w:rPr>
          <w:spacing w:val="-5"/>
        </w:rPr>
        <w:t xml:space="preserve"> </w:t>
      </w:r>
      <w:r>
        <w:t>Convención</w:t>
      </w:r>
      <w:r>
        <w:rPr>
          <w:spacing w:val="-5"/>
        </w:rPr>
        <w:t xml:space="preserve"> </w:t>
      </w:r>
      <w:r>
        <w:t>Internacional</w:t>
      </w:r>
      <w:r>
        <w:rPr>
          <w:spacing w:val="-5"/>
        </w:rPr>
        <w:t xml:space="preserve"> </w:t>
      </w:r>
      <w:r>
        <w:t>sobre</w:t>
      </w:r>
      <w:r>
        <w:rPr>
          <w:spacing w:val="-6"/>
        </w:rPr>
        <w:t xml:space="preserve"> </w:t>
      </w:r>
      <w:r>
        <w:t>la</w:t>
      </w:r>
      <w:r>
        <w:rPr>
          <w:spacing w:val="-5"/>
        </w:rPr>
        <w:t xml:space="preserve"> </w:t>
      </w:r>
      <w:r>
        <w:t>Eliminación</w:t>
      </w:r>
      <w:r>
        <w:rPr>
          <w:spacing w:val="-5"/>
        </w:rPr>
        <w:t xml:space="preserve"> </w:t>
      </w:r>
      <w:r>
        <w:t>de</w:t>
      </w:r>
      <w:r>
        <w:rPr>
          <w:spacing w:val="-5"/>
        </w:rPr>
        <w:t xml:space="preserve"> </w:t>
      </w:r>
      <w:r>
        <w:t>todas</w:t>
      </w:r>
      <w:r>
        <w:rPr>
          <w:spacing w:val="-5"/>
        </w:rPr>
        <w:t xml:space="preserve"> </w:t>
      </w:r>
      <w:r>
        <w:t>las</w:t>
      </w:r>
      <w:r>
        <w:rPr>
          <w:spacing w:val="-5"/>
        </w:rPr>
        <w:t xml:space="preserve"> </w:t>
      </w:r>
      <w:r>
        <w:t>Formas</w:t>
      </w:r>
      <w:r>
        <w:rPr>
          <w:spacing w:val="-6"/>
        </w:rPr>
        <w:t xml:space="preserve"> </w:t>
      </w:r>
      <w:r>
        <w:t>de</w:t>
      </w:r>
      <w:r>
        <w:rPr>
          <w:spacing w:val="-5"/>
        </w:rPr>
        <w:t xml:space="preserve"> </w:t>
      </w:r>
      <w:r>
        <w:t>Discriminación</w:t>
      </w:r>
      <w:r>
        <w:rPr>
          <w:spacing w:val="-4"/>
        </w:rPr>
        <w:t xml:space="preserve"> </w:t>
      </w:r>
      <w:r>
        <w:t>Racial</w:t>
      </w:r>
      <w:r>
        <w:rPr>
          <w:spacing w:val="-5"/>
        </w:rPr>
        <w:t xml:space="preserve"> </w:t>
      </w:r>
      <w:r>
        <w:t>Discriminación</w:t>
      </w:r>
      <w:r>
        <w:rPr>
          <w:spacing w:val="-4"/>
        </w:rPr>
        <w:t xml:space="preserve"> </w:t>
      </w:r>
      <w:r>
        <w:t>y</w:t>
      </w:r>
      <w:r>
        <w:rPr>
          <w:spacing w:val="-5"/>
        </w:rPr>
        <w:t xml:space="preserve"> la</w:t>
      </w:r>
    </w:p>
    <w:p w14:paraId="39026CB6" w14:textId="77777777" w:rsidR="0014798C" w:rsidRDefault="004E1F0B">
      <w:pPr>
        <w:pStyle w:val="Textoindependiente"/>
        <w:spacing w:before="83" w:line="326" w:lineRule="auto"/>
        <w:ind w:left="1105" w:right="1395" w:firstLine="5"/>
      </w:pPr>
      <w:r>
        <w:t>Convención</w:t>
      </w:r>
      <w:r>
        <w:rPr>
          <w:spacing w:val="-2"/>
        </w:rPr>
        <w:t xml:space="preserve"> </w:t>
      </w:r>
      <w:r>
        <w:t>sobre</w:t>
      </w:r>
      <w:r>
        <w:rPr>
          <w:spacing w:val="-2"/>
        </w:rPr>
        <w:t xml:space="preserve"> </w:t>
      </w:r>
      <w:r>
        <w:t>la</w:t>
      </w:r>
      <w:r>
        <w:rPr>
          <w:spacing w:val="-2"/>
        </w:rPr>
        <w:t xml:space="preserve"> </w:t>
      </w:r>
      <w:r>
        <w:t>Eliminación</w:t>
      </w:r>
      <w:r>
        <w:rPr>
          <w:spacing w:val="-2"/>
        </w:rPr>
        <w:t xml:space="preserve"> </w:t>
      </w:r>
      <w:r>
        <w:t>de</w:t>
      </w:r>
      <w:r>
        <w:rPr>
          <w:spacing w:val="-2"/>
        </w:rPr>
        <w:t xml:space="preserve"> </w:t>
      </w:r>
      <w:r>
        <w:t>Todas</w:t>
      </w:r>
      <w:r>
        <w:rPr>
          <w:spacing w:val="-2"/>
        </w:rPr>
        <w:t xml:space="preserve"> </w:t>
      </w:r>
      <w:r>
        <w:t>las</w:t>
      </w:r>
      <w:r>
        <w:rPr>
          <w:spacing w:val="-2"/>
        </w:rPr>
        <w:t xml:space="preserve"> </w:t>
      </w:r>
      <w:r>
        <w:t>Formas</w:t>
      </w:r>
      <w:r>
        <w:rPr>
          <w:spacing w:val="-2"/>
        </w:rPr>
        <w:t xml:space="preserve"> </w:t>
      </w:r>
      <w:r>
        <w:t>de</w:t>
      </w:r>
      <w:r>
        <w:rPr>
          <w:spacing w:val="-2"/>
        </w:rPr>
        <w:t xml:space="preserve"> </w:t>
      </w:r>
      <w:r>
        <w:t>Discriminación</w:t>
      </w:r>
      <w:r>
        <w:rPr>
          <w:spacing w:val="-1"/>
        </w:rPr>
        <w:t xml:space="preserve"> </w:t>
      </w:r>
      <w:r>
        <w:t>contra</w:t>
      </w:r>
      <w:r>
        <w:rPr>
          <w:spacing w:val="-2"/>
        </w:rPr>
        <w:t xml:space="preserve"> </w:t>
      </w:r>
      <w:r>
        <w:t>la</w:t>
      </w:r>
      <w:r>
        <w:rPr>
          <w:spacing w:val="-2"/>
        </w:rPr>
        <w:t xml:space="preserve"> </w:t>
      </w:r>
      <w:r>
        <w:t>Mujer,</w:t>
      </w:r>
      <w:r>
        <w:rPr>
          <w:spacing w:val="-1"/>
        </w:rPr>
        <w:t xml:space="preserve"> </w:t>
      </w:r>
      <w:r>
        <w:t>por</w:t>
      </w:r>
      <w:r>
        <w:rPr>
          <w:spacing w:val="-2"/>
        </w:rPr>
        <w:t xml:space="preserve"> </w:t>
      </w:r>
      <w:r>
        <w:t>ejemplo,</w:t>
      </w:r>
      <w:r>
        <w:rPr>
          <w:spacing w:val="-1"/>
        </w:rPr>
        <w:t xml:space="preserve"> </w:t>
      </w:r>
      <w:r>
        <w:t>se</w:t>
      </w:r>
      <w:r>
        <w:rPr>
          <w:spacing w:val="-2"/>
        </w:rPr>
        <w:t xml:space="preserve"> </w:t>
      </w:r>
      <w:r>
        <w:t>comprometen</w:t>
      </w:r>
      <w:r>
        <w:rPr>
          <w:spacing w:val="-2"/>
        </w:rPr>
        <w:t xml:space="preserve"> </w:t>
      </w:r>
      <w:r>
        <w:t>a</w:t>
      </w:r>
      <w:r>
        <w:rPr>
          <w:spacing w:val="-2"/>
        </w:rPr>
        <w:t xml:space="preserve"> </w:t>
      </w:r>
      <w:r>
        <w:t>“aplicar por todos los medios apropiados y sin demora una política para eliminar” la discriminación.797 Así, junto con la eliminación de leyes y políticas discriminatorias, y la Para establecer y hacer cumplir un marco legal protector, el derecho internacional requiere la adopción de medidas proactivas para la implementación de los derechos a la igualdad y la no discriminación.</w:t>
      </w:r>
    </w:p>
    <w:p w14:paraId="2D115357" w14:textId="77777777" w:rsidR="0014798C" w:rsidRDefault="004E1F0B">
      <w:pPr>
        <w:pStyle w:val="Textoindependiente"/>
        <w:spacing w:before="168" w:line="326" w:lineRule="auto"/>
        <w:ind w:left="1107" w:right="1239" w:firstLine="1"/>
      </w:pPr>
      <w:r>
        <w:t>Las medidas de implementación forman parte de un programa de acción integral, que incluye acciones positivas, diseñadas para eliminar la discriminación y lograr la igualdad en la práctica.798 Como se analiza en otras partes de la presente guía, las medidas de</w:t>
      </w:r>
      <w:r>
        <w:rPr>
          <w:spacing w:val="-2"/>
        </w:rPr>
        <w:t xml:space="preserve"> </w:t>
      </w:r>
      <w:r>
        <w:t>implementación</w:t>
      </w:r>
      <w:r>
        <w:rPr>
          <w:spacing w:val="-2"/>
        </w:rPr>
        <w:t xml:space="preserve"> </w:t>
      </w:r>
      <w:r>
        <w:t>pueden</w:t>
      </w:r>
      <w:r>
        <w:rPr>
          <w:spacing w:val="-2"/>
        </w:rPr>
        <w:t xml:space="preserve"> </w:t>
      </w:r>
      <w:r>
        <w:t>ser</w:t>
      </w:r>
      <w:r>
        <w:rPr>
          <w:spacing w:val="-2"/>
        </w:rPr>
        <w:t xml:space="preserve"> </w:t>
      </w:r>
      <w:r>
        <w:t>supervisadas</w:t>
      </w:r>
      <w:r>
        <w:rPr>
          <w:spacing w:val="-2"/>
        </w:rPr>
        <w:t xml:space="preserve"> </w:t>
      </w:r>
      <w:r>
        <w:t>por</w:t>
      </w:r>
      <w:r>
        <w:rPr>
          <w:spacing w:val="-2"/>
        </w:rPr>
        <w:t xml:space="preserve"> </w:t>
      </w:r>
      <w:r>
        <w:t>organismos</w:t>
      </w:r>
      <w:r>
        <w:rPr>
          <w:spacing w:val="-2"/>
        </w:rPr>
        <w:t xml:space="preserve"> </w:t>
      </w:r>
      <w:r>
        <w:t>independientes</w:t>
      </w:r>
      <w:r>
        <w:rPr>
          <w:spacing w:val="-2"/>
        </w:rPr>
        <w:t xml:space="preserve"> </w:t>
      </w:r>
      <w:r>
        <w:t>de</w:t>
      </w:r>
      <w:r>
        <w:rPr>
          <w:spacing w:val="-2"/>
        </w:rPr>
        <w:t xml:space="preserve"> </w:t>
      </w:r>
      <w:r>
        <w:t>igualdad</w:t>
      </w:r>
      <w:r>
        <w:rPr>
          <w:spacing w:val="-2"/>
        </w:rPr>
        <w:t xml:space="preserve"> </w:t>
      </w:r>
      <w:r>
        <w:t>y</w:t>
      </w:r>
      <w:r>
        <w:rPr>
          <w:spacing w:val="-2"/>
        </w:rPr>
        <w:t xml:space="preserve"> </w:t>
      </w:r>
      <w:r>
        <w:t>pueden</w:t>
      </w:r>
      <w:r>
        <w:rPr>
          <w:spacing w:val="-2"/>
        </w:rPr>
        <w:t xml:space="preserve"> </w:t>
      </w:r>
      <w:r>
        <w:t>realizarse</w:t>
      </w:r>
      <w:r>
        <w:rPr>
          <w:spacing w:val="-2"/>
        </w:rPr>
        <w:t xml:space="preserve"> </w:t>
      </w:r>
      <w:r>
        <w:t>a</w:t>
      </w:r>
      <w:r>
        <w:rPr>
          <w:spacing w:val="-2"/>
        </w:rPr>
        <w:t xml:space="preserve"> </w:t>
      </w:r>
      <w:r>
        <w:t>través</w:t>
      </w:r>
      <w:r>
        <w:rPr>
          <w:spacing w:val="-2"/>
        </w:rPr>
        <w:t xml:space="preserve"> </w:t>
      </w:r>
      <w:r>
        <w:t>del</w:t>
      </w:r>
      <w:r>
        <w:rPr>
          <w:spacing w:val="-2"/>
        </w:rPr>
        <w:t xml:space="preserve"> </w:t>
      </w:r>
      <w:r>
        <w:t>adopción de deberes estatutarios de igualdad.799</w:t>
      </w:r>
    </w:p>
    <w:p w14:paraId="0CB7068D" w14:textId="77777777" w:rsidR="0014798C" w:rsidRDefault="004E1F0B">
      <w:pPr>
        <w:pStyle w:val="Textoindependiente"/>
        <w:spacing w:before="168" w:line="326" w:lineRule="auto"/>
        <w:ind w:left="1107" w:right="1272" w:hanging="1"/>
      </w:pPr>
      <w:r>
        <w:t>Se puede identificar un claro consenso a partir de la práctica y los comentarios de los órganos de tratados de derechos humanos sobre</w:t>
      </w:r>
      <w:r>
        <w:rPr>
          <w:spacing w:val="-2"/>
        </w:rPr>
        <w:t xml:space="preserve"> </w:t>
      </w:r>
      <w:r>
        <w:t>la</w:t>
      </w:r>
      <w:r>
        <w:rPr>
          <w:spacing w:val="-2"/>
        </w:rPr>
        <w:t xml:space="preserve"> </w:t>
      </w:r>
      <w:r>
        <w:t>existencia</w:t>
      </w:r>
      <w:r>
        <w:rPr>
          <w:spacing w:val="-2"/>
        </w:rPr>
        <w:t xml:space="preserve"> </w:t>
      </w:r>
      <w:r>
        <w:t>de</w:t>
      </w:r>
      <w:r>
        <w:rPr>
          <w:spacing w:val="-2"/>
        </w:rPr>
        <w:t xml:space="preserve"> </w:t>
      </w:r>
      <w:r>
        <w:t>obligaciones</w:t>
      </w:r>
      <w:r>
        <w:rPr>
          <w:spacing w:val="-2"/>
        </w:rPr>
        <w:t xml:space="preserve"> </w:t>
      </w:r>
      <w:r>
        <w:t>de</w:t>
      </w:r>
      <w:r>
        <w:rPr>
          <w:spacing w:val="-2"/>
        </w:rPr>
        <w:t xml:space="preserve"> </w:t>
      </w:r>
      <w:r>
        <w:t>implementación</w:t>
      </w:r>
      <w:r>
        <w:rPr>
          <w:spacing w:val="-2"/>
        </w:rPr>
        <w:t xml:space="preserve"> </w:t>
      </w:r>
      <w:r>
        <w:t>discretas,</w:t>
      </w:r>
      <w:r>
        <w:rPr>
          <w:spacing w:val="-1"/>
        </w:rPr>
        <w:t xml:space="preserve"> </w:t>
      </w:r>
      <w:r>
        <w:t>derivadas</w:t>
      </w:r>
      <w:r>
        <w:rPr>
          <w:spacing w:val="-2"/>
        </w:rPr>
        <w:t xml:space="preserve"> </w:t>
      </w:r>
      <w:r>
        <w:t>de</w:t>
      </w:r>
      <w:r>
        <w:rPr>
          <w:spacing w:val="-2"/>
        </w:rPr>
        <w:t xml:space="preserve"> </w:t>
      </w:r>
      <w:r>
        <w:t>la</w:t>
      </w:r>
      <w:r>
        <w:rPr>
          <w:spacing w:val="-2"/>
        </w:rPr>
        <w:t xml:space="preserve"> </w:t>
      </w:r>
      <w:r>
        <w:t>obligación</w:t>
      </w:r>
      <w:r>
        <w:rPr>
          <w:spacing w:val="-2"/>
        </w:rPr>
        <w:t xml:space="preserve"> </w:t>
      </w:r>
      <w:r>
        <w:t>general</w:t>
      </w:r>
      <w:r>
        <w:rPr>
          <w:spacing w:val="-2"/>
        </w:rPr>
        <w:t xml:space="preserve"> </w:t>
      </w:r>
      <w:r>
        <w:t>de</w:t>
      </w:r>
      <w:r>
        <w:rPr>
          <w:spacing w:val="-2"/>
        </w:rPr>
        <w:t xml:space="preserve"> </w:t>
      </w:r>
      <w:r>
        <w:t>garantizar</w:t>
      </w:r>
      <w:r>
        <w:rPr>
          <w:spacing w:val="-2"/>
        </w:rPr>
        <w:t xml:space="preserve"> </w:t>
      </w:r>
      <w:r>
        <w:t>la</w:t>
      </w:r>
      <w:r>
        <w:rPr>
          <w:spacing w:val="-2"/>
        </w:rPr>
        <w:t xml:space="preserve"> </w:t>
      </w:r>
      <w:r>
        <w:t>efectividad</w:t>
      </w:r>
      <w:r>
        <w:rPr>
          <w:spacing w:val="-2"/>
        </w:rPr>
        <w:t xml:space="preserve"> </w:t>
      </w:r>
      <w:r>
        <w:t xml:space="preserve">del derecho a la no discriminación y avanzar hacia la igualdad. Como se establece en la sección IB de la primera parte de la presente guía, los Estados tienen la obligación inmediata de derogar o modificar leyes, políticas y prácticas que discriminan y de garantizar una protección integral y efectiva contra la discriminación.800 Más allá de estas obligaciones, las obligaciones de implementación de los Estados </w:t>
      </w:r>
      <w:proofErr w:type="gramStart"/>
      <w:r>
        <w:t>incluyen :</w:t>
      </w:r>
      <w:proofErr w:type="gramEnd"/>
    </w:p>
    <w:p w14:paraId="64830FCF" w14:textId="77777777" w:rsidR="0014798C" w:rsidRDefault="004E1F0B">
      <w:pPr>
        <w:pStyle w:val="Prrafodelista"/>
        <w:numPr>
          <w:ilvl w:val="0"/>
          <w:numId w:val="30"/>
        </w:numPr>
        <w:tabs>
          <w:tab w:val="left" w:pos="1216"/>
          <w:tab w:val="left" w:pos="1345"/>
        </w:tabs>
        <w:spacing w:before="111" w:line="326" w:lineRule="auto"/>
        <w:ind w:right="1373" w:hanging="228"/>
        <w:rPr>
          <w:sz w:val="16"/>
        </w:rPr>
      </w:pPr>
      <w:r>
        <w:rPr>
          <w:sz w:val="16"/>
        </w:rPr>
        <w:t>La obligación de combatir los prejuicios y promover la celebración de la diversidad humana. Esta obligación –que debería codificarse</w:t>
      </w:r>
      <w:r>
        <w:rPr>
          <w:spacing w:val="-2"/>
          <w:sz w:val="16"/>
        </w:rPr>
        <w:t xml:space="preserve"> </w:t>
      </w:r>
      <w:r>
        <w:rPr>
          <w:sz w:val="16"/>
        </w:rPr>
        <w:t>en</w:t>
      </w:r>
      <w:r>
        <w:rPr>
          <w:spacing w:val="-2"/>
          <w:sz w:val="16"/>
        </w:rPr>
        <w:t xml:space="preserve"> </w:t>
      </w:r>
      <w:r>
        <w:rPr>
          <w:sz w:val="16"/>
        </w:rPr>
        <w:t>la</w:t>
      </w:r>
      <w:r>
        <w:rPr>
          <w:spacing w:val="-2"/>
          <w:sz w:val="16"/>
        </w:rPr>
        <w:t xml:space="preserve"> </w:t>
      </w:r>
      <w:r>
        <w:rPr>
          <w:sz w:val="16"/>
        </w:rPr>
        <w:t>legislación</w:t>
      </w:r>
      <w:r>
        <w:rPr>
          <w:spacing w:val="-2"/>
          <w:sz w:val="16"/>
        </w:rPr>
        <w:t xml:space="preserve"> </w:t>
      </w:r>
      <w:r>
        <w:rPr>
          <w:sz w:val="16"/>
        </w:rPr>
        <w:t>contra</w:t>
      </w:r>
      <w:r>
        <w:rPr>
          <w:spacing w:val="-2"/>
          <w:sz w:val="16"/>
        </w:rPr>
        <w:t xml:space="preserve"> </w:t>
      </w:r>
      <w:r>
        <w:rPr>
          <w:sz w:val="16"/>
        </w:rPr>
        <w:t>la</w:t>
      </w:r>
      <w:r>
        <w:rPr>
          <w:spacing w:val="-2"/>
          <w:sz w:val="16"/>
        </w:rPr>
        <w:t xml:space="preserve"> </w:t>
      </w:r>
      <w:r>
        <w:rPr>
          <w:sz w:val="16"/>
        </w:rPr>
        <w:t>discriminación</w:t>
      </w:r>
      <w:r>
        <w:rPr>
          <w:spacing w:val="-1"/>
          <w:sz w:val="16"/>
        </w:rPr>
        <w:t xml:space="preserve"> </w:t>
      </w:r>
      <w:r>
        <w:rPr>
          <w:sz w:val="16"/>
        </w:rPr>
        <w:t>pero</w:t>
      </w:r>
      <w:r>
        <w:rPr>
          <w:spacing w:val="-2"/>
          <w:sz w:val="16"/>
        </w:rPr>
        <w:t xml:space="preserve"> </w:t>
      </w:r>
      <w:r>
        <w:rPr>
          <w:sz w:val="16"/>
        </w:rPr>
        <w:t>que</w:t>
      </w:r>
      <w:r>
        <w:rPr>
          <w:spacing w:val="-2"/>
          <w:sz w:val="16"/>
        </w:rPr>
        <w:t xml:space="preserve"> </w:t>
      </w:r>
      <w:r>
        <w:rPr>
          <w:sz w:val="16"/>
        </w:rPr>
        <w:t>requiere</w:t>
      </w:r>
      <w:r>
        <w:rPr>
          <w:spacing w:val="-2"/>
          <w:sz w:val="16"/>
        </w:rPr>
        <w:t xml:space="preserve"> </w:t>
      </w:r>
      <w:r>
        <w:rPr>
          <w:sz w:val="16"/>
        </w:rPr>
        <w:t>una</w:t>
      </w:r>
      <w:r>
        <w:rPr>
          <w:spacing w:val="-2"/>
          <w:sz w:val="16"/>
        </w:rPr>
        <w:t xml:space="preserve"> </w:t>
      </w:r>
      <w:r>
        <w:rPr>
          <w:sz w:val="16"/>
        </w:rPr>
        <w:t>gama</w:t>
      </w:r>
      <w:r>
        <w:rPr>
          <w:spacing w:val="-2"/>
          <w:sz w:val="16"/>
        </w:rPr>
        <w:t xml:space="preserve"> </w:t>
      </w:r>
      <w:r>
        <w:rPr>
          <w:sz w:val="16"/>
        </w:rPr>
        <w:t>de</w:t>
      </w:r>
      <w:r>
        <w:rPr>
          <w:spacing w:val="-2"/>
          <w:sz w:val="16"/>
        </w:rPr>
        <w:t xml:space="preserve"> </w:t>
      </w:r>
      <w:r>
        <w:rPr>
          <w:sz w:val="16"/>
        </w:rPr>
        <w:t>actividades</w:t>
      </w:r>
      <w:r>
        <w:rPr>
          <w:spacing w:val="-2"/>
          <w:sz w:val="16"/>
        </w:rPr>
        <w:t xml:space="preserve"> </w:t>
      </w:r>
      <w:r>
        <w:rPr>
          <w:sz w:val="16"/>
        </w:rPr>
        <w:t>mucho</w:t>
      </w:r>
      <w:r>
        <w:rPr>
          <w:spacing w:val="-2"/>
          <w:sz w:val="16"/>
        </w:rPr>
        <w:t xml:space="preserve"> </w:t>
      </w:r>
      <w:r>
        <w:rPr>
          <w:sz w:val="16"/>
        </w:rPr>
        <w:t>más</w:t>
      </w:r>
      <w:r>
        <w:rPr>
          <w:spacing w:val="-2"/>
          <w:sz w:val="16"/>
        </w:rPr>
        <w:t xml:space="preserve"> </w:t>
      </w:r>
      <w:r>
        <w:rPr>
          <w:sz w:val="16"/>
        </w:rPr>
        <w:t>amplia</w:t>
      </w:r>
      <w:r>
        <w:rPr>
          <w:spacing w:val="-2"/>
          <w:sz w:val="16"/>
        </w:rPr>
        <w:t xml:space="preserve"> </w:t>
      </w:r>
      <w:r>
        <w:rPr>
          <w:sz w:val="16"/>
        </w:rPr>
        <w:t>que</w:t>
      </w:r>
      <w:r>
        <w:rPr>
          <w:spacing w:val="-2"/>
          <w:sz w:val="16"/>
        </w:rPr>
        <w:t xml:space="preserve"> </w:t>
      </w:r>
      <w:r>
        <w:rPr>
          <w:sz w:val="16"/>
        </w:rPr>
        <w:t>la</w:t>
      </w:r>
      <w:r>
        <w:rPr>
          <w:spacing w:val="-2"/>
          <w:sz w:val="16"/>
        </w:rPr>
        <w:t xml:space="preserve"> </w:t>
      </w:r>
      <w:r>
        <w:rPr>
          <w:sz w:val="16"/>
        </w:rPr>
        <w:t>que puede lograrse mediante la sola ley– se analiza en la sexta parte de la presente guía.</w:t>
      </w:r>
    </w:p>
    <w:p w14:paraId="13026812" w14:textId="77777777" w:rsidR="0014798C" w:rsidRDefault="004E1F0B">
      <w:pPr>
        <w:pStyle w:val="Prrafodelista"/>
        <w:numPr>
          <w:ilvl w:val="0"/>
          <w:numId w:val="30"/>
        </w:numPr>
        <w:tabs>
          <w:tab w:val="left" w:pos="1217"/>
        </w:tabs>
        <w:spacing w:before="112"/>
        <w:ind w:left="1217" w:hanging="99"/>
        <w:rPr>
          <w:sz w:val="16"/>
        </w:rPr>
      </w:pPr>
      <w:r>
        <w:rPr>
          <w:sz w:val="16"/>
        </w:rPr>
        <w:t>La</w:t>
      </w:r>
      <w:r>
        <w:rPr>
          <w:spacing w:val="-3"/>
          <w:sz w:val="16"/>
        </w:rPr>
        <w:t xml:space="preserve"> </w:t>
      </w:r>
      <w:r>
        <w:rPr>
          <w:sz w:val="16"/>
        </w:rPr>
        <w:t>obligación</w:t>
      </w:r>
      <w:r>
        <w:rPr>
          <w:spacing w:val="-2"/>
          <w:sz w:val="16"/>
        </w:rPr>
        <w:t xml:space="preserve"> </w:t>
      </w:r>
      <w:r>
        <w:rPr>
          <w:sz w:val="16"/>
        </w:rPr>
        <w:t>de</w:t>
      </w:r>
      <w:r>
        <w:rPr>
          <w:spacing w:val="-2"/>
          <w:sz w:val="16"/>
        </w:rPr>
        <w:t xml:space="preserve"> </w:t>
      </w:r>
      <w:r>
        <w:rPr>
          <w:sz w:val="16"/>
        </w:rPr>
        <w:t>desarrollar</w:t>
      </w:r>
      <w:r>
        <w:rPr>
          <w:spacing w:val="-2"/>
          <w:sz w:val="16"/>
        </w:rPr>
        <w:t xml:space="preserve"> </w:t>
      </w:r>
      <w:r>
        <w:rPr>
          <w:sz w:val="16"/>
        </w:rPr>
        <w:t>e</w:t>
      </w:r>
      <w:r>
        <w:rPr>
          <w:spacing w:val="-2"/>
          <w:sz w:val="16"/>
        </w:rPr>
        <w:t xml:space="preserve"> </w:t>
      </w:r>
      <w:r>
        <w:rPr>
          <w:sz w:val="16"/>
        </w:rPr>
        <w:t>implementar</w:t>
      </w:r>
      <w:r>
        <w:rPr>
          <w:spacing w:val="-3"/>
          <w:sz w:val="16"/>
        </w:rPr>
        <w:t xml:space="preserve"> </w:t>
      </w:r>
      <w:r>
        <w:rPr>
          <w:sz w:val="16"/>
        </w:rPr>
        <w:t>políticas</w:t>
      </w:r>
      <w:r>
        <w:rPr>
          <w:spacing w:val="-2"/>
          <w:sz w:val="16"/>
        </w:rPr>
        <w:t xml:space="preserve"> </w:t>
      </w:r>
      <w:r>
        <w:rPr>
          <w:sz w:val="16"/>
        </w:rPr>
        <w:t>y</w:t>
      </w:r>
      <w:r>
        <w:rPr>
          <w:spacing w:val="-2"/>
          <w:sz w:val="16"/>
        </w:rPr>
        <w:t xml:space="preserve"> </w:t>
      </w:r>
      <w:r>
        <w:rPr>
          <w:sz w:val="16"/>
        </w:rPr>
        <w:t>estrategias</w:t>
      </w:r>
      <w:r>
        <w:rPr>
          <w:spacing w:val="-2"/>
          <w:sz w:val="16"/>
        </w:rPr>
        <w:t xml:space="preserve"> </w:t>
      </w:r>
      <w:r>
        <w:rPr>
          <w:sz w:val="16"/>
        </w:rPr>
        <w:t>de</w:t>
      </w:r>
      <w:r>
        <w:rPr>
          <w:spacing w:val="-2"/>
          <w:sz w:val="16"/>
        </w:rPr>
        <w:t xml:space="preserve"> igualdad.</w:t>
      </w:r>
    </w:p>
    <w:p w14:paraId="5E5F3548" w14:textId="77777777" w:rsidR="0014798C" w:rsidRDefault="004E1F0B">
      <w:pPr>
        <w:pStyle w:val="Prrafodelista"/>
        <w:numPr>
          <w:ilvl w:val="0"/>
          <w:numId w:val="30"/>
        </w:numPr>
        <w:tabs>
          <w:tab w:val="left" w:pos="1217"/>
        </w:tabs>
        <w:spacing w:before="179"/>
        <w:ind w:left="1217" w:hanging="99"/>
        <w:rPr>
          <w:sz w:val="16"/>
        </w:rPr>
      </w:pPr>
      <w:r>
        <w:rPr>
          <w:sz w:val="16"/>
        </w:rPr>
        <w:t>La</w:t>
      </w:r>
      <w:r>
        <w:rPr>
          <w:spacing w:val="-6"/>
          <w:sz w:val="16"/>
        </w:rPr>
        <w:t xml:space="preserve"> </w:t>
      </w:r>
      <w:r>
        <w:rPr>
          <w:sz w:val="16"/>
        </w:rPr>
        <w:t>obligación</w:t>
      </w:r>
      <w:r>
        <w:rPr>
          <w:spacing w:val="-3"/>
          <w:sz w:val="16"/>
        </w:rPr>
        <w:t xml:space="preserve"> </w:t>
      </w:r>
      <w:r>
        <w:rPr>
          <w:sz w:val="16"/>
        </w:rPr>
        <w:t>de</w:t>
      </w:r>
      <w:r>
        <w:rPr>
          <w:spacing w:val="-4"/>
          <w:sz w:val="16"/>
        </w:rPr>
        <w:t xml:space="preserve"> </w:t>
      </w:r>
      <w:r>
        <w:rPr>
          <w:sz w:val="16"/>
        </w:rPr>
        <w:t>utilizar</w:t>
      </w:r>
      <w:r>
        <w:rPr>
          <w:spacing w:val="-3"/>
          <w:sz w:val="16"/>
        </w:rPr>
        <w:t xml:space="preserve"> </w:t>
      </w:r>
      <w:r>
        <w:rPr>
          <w:sz w:val="16"/>
        </w:rPr>
        <w:t>evaluaciones</w:t>
      </w:r>
      <w:r>
        <w:rPr>
          <w:spacing w:val="-3"/>
          <w:sz w:val="16"/>
        </w:rPr>
        <w:t xml:space="preserve"> </w:t>
      </w:r>
      <w:r>
        <w:rPr>
          <w:sz w:val="16"/>
        </w:rPr>
        <w:t>de</w:t>
      </w:r>
      <w:r>
        <w:rPr>
          <w:spacing w:val="-4"/>
          <w:sz w:val="16"/>
        </w:rPr>
        <w:t xml:space="preserve"> </w:t>
      </w:r>
      <w:r>
        <w:rPr>
          <w:sz w:val="16"/>
        </w:rPr>
        <w:t>impacto</w:t>
      </w:r>
      <w:r>
        <w:rPr>
          <w:spacing w:val="-3"/>
          <w:sz w:val="16"/>
        </w:rPr>
        <w:t xml:space="preserve"> </w:t>
      </w:r>
      <w:r>
        <w:rPr>
          <w:sz w:val="16"/>
        </w:rPr>
        <w:t>en</w:t>
      </w:r>
      <w:r>
        <w:rPr>
          <w:spacing w:val="-3"/>
          <w:sz w:val="16"/>
        </w:rPr>
        <w:t xml:space="preserve"> </w:t>
      </w:r>
      <w:r>
        <w:rPr>
          <w:spacing w:val="-2"/>
          <w:sz w:val="16"/>
        </w:rPr>
        <w:t>igualdad.</w:t>
      </w:r>
    </w:p>
    <w:p w14:paraId="058BF496" w14:textId="77777777" w:rsidR="0014798C" w:rsidRDefault="004E1F0B">
      <w:pPr>
        <w:pStyle w:val="Prrafodelista"/>
        <w:numPr>
          <w:ilvl w:val="0"/>
          <w:numId w:val="30"/>
        </w:numPr>
        <w:tabs>
          <w:tab w:val="left" w:pos="1217"/>
        </w:tabs>
        <w:spacing w:before="179"/>
        <w:ind w:left="1217" w:hanging="99"/>
        <w:rPr>
          <w:sz w:val="16"/>
        </w:rPr>
      </w:pPr>
      <w:r>
        <w:rPr>
          <w:sz w:val="16"/>
        </w:rPr>
        <w:t>La</w:t>
      </w:r>
      <w:r>
        <w:rPr>
          <w:spacing w:val="-7"/>
          <w:sz w:val="16"/>
        </w:rPr>
        <w:t xml:space="preserve"> </w:t>
      </w:r>
      <w:r>
        <w:rPr>
          <w:sz w:val="16"/>
        </w:rPr>
        <w:t>obligación</w:t>
      </w:r>
      <w:r>
        <w:rPr>
          <w:spacing w:val="-4"/>
          <w:sz w:val="16"/>
        </w:rPr>
        <w:t xml:space="preserve"> </w:t>
      </w:r>
      <w:r>
        <w:rPr>
          <w:sz w:val="16"/>
        </w:rPr>
        <w:t>de</w:t>
      </w:r>
      <w:r>
        <w:rPr>
          <w:spacing w:val="-4"/>
          <w:sz w:val="16"/>
        </w:rPr>
        <w:t xml:space="preserve"> </w:t>
      </w:r>
      <w:r>
        <w:rPr>
          <w:sz w:val="16"/>
        </w:rPr>
        <w:t>vigilar</w:t>
      </w:r>
      <w:r>
        <w:rPr>
          <w:spacing w:val="-5"/>
          <w:sz w:val="16"/>
        </w:rPr>
        <w:t xml:space="preserve"> </w:t>
      </w:r>
      <w:r>
        <w:rPr>
          <w:sz w:val="16"/>
        </w:rPr>
        <w:t>la</w:t>
      </w:r>
      <w:r>
        <w:rPr>
          <w:spacing w:val="-4"/>
          <w:sz w:val="16"/>
        </w:rPr>
        <w:t xml:space="preserve"> </w:t>
      </w:r>
      <w:r>
        <w:rPr>
          <w:sz w:val="16"/>
        </w:rPr>
        <w:t>igualdad</w:t>
      </w:r>
      <w:r>
        <w:rPr>
          <w:spacing w:val="-4"/>
          <w:sz w:val="16"/>
        </w:rPr>
        <w:t xml:space="preserve"> </w:t>
      </w:r>
      <w:r>
        <w:rPr>
          <w:sz w:val="16"/>
        </w:rPr>
        <w:t>mediante</w:t>
      </w:r>
      <w:r>
        <w:rPr>
          <w:spacing w:val="-4"/>
          <w:sz w:val="16"/>
        </w:rPr>
        <w:t xml:space="preserve"> </w:t>
      </w:r>
      <w:r>
        <w:rPr>
          <w:sz w:val="16"/>
        </w:rPr>
        <w:t>la</w:t>
      </w:r>
      <w:r>
        <w:rPr>
          <w:spacing w:val="-5"/>
          <w:sz w:val="16"/>
        </w:rPr>
        <w:t xml:space="preserve"> </w:t>
      </w:r>
      <w:r>
        <w:rPr>
          <w:sz w:val="16"/>
        </w:rPr>
        <w:t>recogida,</w:t>
      </w:r>
      <w:r>
        <w:rPr>
          <w:spacing w:val="-3"/>
          <w:sz w:val="16"/>
        </w:rPr>
        <w:t xml:space="preserve"> </w:t>
      </w:r>
      <w:r>
        <w:rPr>
          <w:sz w:val="16"/>
        </w:rPr>
        <w:t>análisis</w:t>
      </w:r>
      <w:r>
        <w:rPr>
          <w:spacing w:val="-4"/>
          <w:sz w:val="16"/>
        </w:rPr>
        <w:t xml:space="preserve"> </w:t>
      </w:r>
      <w:r>
        <w:rPr>
          <w:sz w:val="16"/>
        </w:rPr>
        <w:t>y</w:t>
      </w:r>
      <w:r>
        <w:rPr>
          <w:spacing w:val="-5"/>
          <w:sz w:val="16"/>
        </w:rPr>
        <w:t xml:space="preserve"> </w:t>
      </w:r>
      <w:r>
        <w:rPr>
          <w:sz w:val="16"/>
        </w:rPr>
        <w:t>publicación</w:t>
      </w:r>
      <w:r>
        <w:rPr>
          <w:spacing w:val="-4"/>
          <w:sz w:val="16"/>
        </w:rPr>
        <w:t xml:space="preserve"> </w:t>
      </w:r>
      <w:r>
        <w:rPr>
          <w:sz w:val="16"/>
        </w:rPr>
        <w:t>de</w:t>
      </w:r>
      <w:r>
        <w:rPr>
          <w:spacing w:val="-4"/>
          <w:sz w:val="16"/>
        </w:rPr>
        <w:t xml:space="preserve"> </w:t>
      </w:r>
      <w:r>
        <w:rPr>
          <w:sz w:val="16"/>
        </w:rPr>
        <w:t>datos</w:t>
      </w:r>
      <w:r>
        <w:rPr>
          <w:spacing w:val="-4"/>
          <w:sz w:val="16"/>
        </w:rPr>
        <w:t xml:space="preserve"> </w:t>
      </w:r>
      <w:r>
        <w:rPr>
          <w:spacing w:val="-2"/>
          <w:sz w:val="16"/>
        </w:rPr>
        <w:t>desglosados.</w:t>
      </w:r>
    </w:p>
    <w:p w14:paraId="6532C168" w14:textId="77777777" w:rsidR="0014798C" w:rsidRDefault="0014798C">
      <w:pPr>
        <w:pStyle w:val="Textoindependiente"/>
        <w:rPr>
          <w:sz w:val="13"/>
        </w:rPr>
      </w:pPr>
    </w:p>
    <w:p w14:paraId="6732A558" w14:textId="77777777" w:rsidR="0014798C" w:rsidRDefault="0014798C">
      <w:pPr>
        <w:pStyle w:val="Textoindependiente"/>
        <w:rPr>
          <w:sz w:val="13"/>
        </w:rPr>
      </w:pPr>
    </w:p>
    <w:p w14:paraId="1CFE16C2" w14:textId="77777777" w:rsidR="0014798C" w:rsidRDefault="0014798C">
      <w:pPr>
        <w:pStyle w:val="Textoindependiente"/>
        <w:rPr>
          <w:sz w:val="13"/>
        </w:rPr>
      </w:pPr>
    </w:p>
    <w:p w14:paraId="5ABBD8A2" w14:textId="77777777" w:rsidR="0014798C" w:rsidRDefault="0014798C">
      <w:pPr>
        <w:pStyle w:val="Textoindependiente"/>
        <w:rPr>
          <w:sz w:val="13"/>
        </w:rPr>
      </w:pPr>
    </w:p>
    <w:p w14:paraId="7372959E" w14:textId="77777777" w:rsidR="0014798C" w:rsidRDefault="0014798C">
      <w:pPr>
        <w:pStyle w:val="Textoindependiente"/>
        <w:rPr>
          <w:sz w:val="13"/>
        </w:rPr>
      </w:pPr>
    </w:p>
    <w:p w14:paraId="0DE2B547" w14:textId="77777777" w:rsidR="0014798C" w:rsidRDefault="0014798C">
      <w:pPr>
        <w:pStyle w:val="Textoindependiente"/>
        <w:spacing w:before="78"/>
        <w:rPr>
          <w:sz w:val="13"/>
        </w:rPr>
      </w:pPr>
    </w:p>
    <w:p w14:paraId="4D512767" w14:textId="77777777" w:rsidR="0014798C" w:rsidRDefault="004E1F0B">
      <w:pPr>
        <w:ind w:left="1108"/>
        <w:rPr>
          <w:sz w:val="13"/>
        </w:rPr>
      </w:pPr>
      <w:r>
        <w:rPr>
          <w:sz w:val="13"/>
          <w:vertAlign w:val="superscript"/>
        </w:rPr>
        <w:t>796</w:t>
      </w:r>
      <w:r>
        <w:rPr>
          <w:spacing w:val="63"/>
          <w:sz w:val="13"/>
        </w:rPr>
        <w:t xml:space="preserve"> </w:t>
      </w:r>
      <w:r>
        <w:rPr>
          <w:sz w:val="13"/>
        </w:rPr>
        <w:t>Véase,</w:t>
      </w:r>
      <w:r>
        <w:rPr>
          <w:spacing w:val="-6"/>
          <w:sz w:val="13"/>
        </w:rPr>
        <w:t xml:space="preserve"> </w:t>
      </w:r>
      <w:r>
        <w:rPr>
          <w:sz w:val="13"/>
        </w:rPr>
        <w:t>por</w:t>
      </w:r>
      <w:r>
        <w:rPr>
          <w:spacing w:val="-6"/>
          <w:sz w:val="13"/>
        </w:rPr>
        <w:t xml:space="preserve"> </w:t>
      </w:r>
      <w:r>
        <w:rPr>
          <w:sz w:val="13"/>
        </w:rPr>
        <w:t>ejemplo,</w:t>
      </w:r>
      <w:r>
        <w:rPr>
          <w:spacing w:val="-5"/>
          <w:sz w:val="13"/>
        </w:rPr>
        <w:t xml:space="preserve"> </w:t>
      </w:r>
      <w:r>
        <w:rPr>
          <w:sz w:val="13"/>
        </w:rPr>
        <w:t>Pacto</w:t>
      </w:r>
      <w:r>
        <w:rPr>
          <w:spacing w:val="-7"/>
          <w:sz w:val="13"/>
        </w:rPr>
        <w:t xml:space="preserve"> </w:t>
      </w:r>
      <w:r>
        <w:rPr>
          <w:sz w:val="13"/>
        </w:rPr>
        <w:t>Internacional</w:t>
      </w:r>
      <w:r>
        <w:rPr>
          <w:spacing w:val="-7"/>
          <w:sz w:val="13"/>
        </w:rPr>
        <w:t xml:space="preserve"> </w:t>
      </w:r>
      <w:r>
        <w:rPr>
          <w:sz w:val="13"/>
        </w:rPr>
        <w:t>de</w:t>
      </w:r>
      <w:r>
        <w:rPr>
          <w:spacing w:val="-6"/>
          <w:sz w:val="13"/>
        </w:rPr>
        <w:t xml:space="preserve"> </w:t>
      </w:r>
      <w:r>
        <w:rPr>
          <w:sz w:val="13"/>
        </w:rPr>
        <w:t>Derechos</w:t>
      </w:r>
      <w:r>
        <w:rPr>
          <w:spacing w:val="-6"/>
          <w:sz w:val="13"/>
        </w:rPr>
        <w:t xml:space="preserve"> </w:t>
      </w:r>
      <w:r>
        <w:rPr>
          <w:sz w:val="13"/>
        </w:rPr>
        <w:t>Civiles</w:t>
      </w:r>
      <w:r>
        <w:rPr>
          <w:spacing w:val="-5"/>
          <w:sz w:val="13"/>
        </w:rPr>
        <w:t xml:space="preserve"> </w:t>
      </w:r>
      <w:r>
        <w:rPr>
          <w:sz w:val="13"/>
        </w:rPr>
        <w:t>y</w:t>
      </w:r>
      <w:r>
        <w:rPr>
          <w:spacing w:val="-6"/>
          <w:sz w:val="13"/>
        </w:rPr>
        <w:t xml:space="preserve"> </w:t>
      </w:r>
      <w:r>
        <w:rPr>
          <w:sz w:val="13"/>
        </w:rPr>
        <w:t>Políticos,</w:t>
      </w:r>
      <w:r>
        <w:rPr>
          <w:spacing w:val="-6"/>
          <w:sz w:val="13"/>
        </w:rPr>
        <w:t xml:space="preserve"> </w:t>
      </w:r>
      <w:r>
        <w:rPr>
          <w:sz w:val="13"/>
        </w:rPr>
        <w:t>art.</w:t>
      </w:r>
      <w:r>
        <w:rPr>
          <w:spacing w:val="-6"/>
          <w:sz w:val="13"/>
        </w:rPr>
        <w:t xml:space="preserve"> </w:t>
      </w:r>
      <w:r>
        <w:rPr>
          <w:w w:val="90"/>
          <w:sz w:val="13"/>
        </w:rPr>
        <w:t>2;</w:t>
      </w:r>
      <w:r>
        <w:rPr>
          <w:spacing w:val="-2"/>
          <w:w w:val="90"/>
          <w:sz w:val="13"/>
        </w:rPr>
        <w:t xml:space="preserve"> </w:t>
      </w:r>
      <w:r>
        <w:rPr>
          <w:sz w:val="13"/>
        </w:rPr>
        <w:t>Pacto</w:t>
      </w:r>
      <w:r>
        <w:rPr>
          <w:spacing w:val="-7"/>
          <w:sz w:val="13"/>
        </w:rPr>
        <w:t xml:space="preserve"> </w:t>
      </w:r>
      <w:r>
        <w:rPr>
          <w:sz w:val="13"/>
        </w:rPr>
        <w:t>Internacional</w:t>
      </w:r>
      <w:r>
        <w:rPr>
          <w:spacing w:val="-7"/>
          <w:sz w:val="13"/>
        </w:rPr>
        <w:t xml:space="preserve"> </w:t>
      </w:r>
      <w:r>
        <w:rPr>
          <w:sz w:val="13"/>
        </w:rPr>
        <w:t>de</w:t>
      </w:r>
      <w:r>
        <w:rPr>
          <w:spacing w:val="-5"/>
          <w:sz w:val="13"/>
        </w:rPr>
        <w:t xml:space="preserve"> </w:t>
      </w:r>
      <w:r>
        <w:rPr>
          <w:sz w:val="13"/>
        </w:rPr>
        <w:t>Derechos</w:t>
      </w:r>
      <w:r>
        <w:rPr>
          <w:spacing w:val="-6"/>
          <w:sz w:val="13"/>
        </w:rPr>
        <w:t xml:space="preserve"> </w:t>
      </w:r>
      <w:r>
        <w:rPr>
          <w:sz w:val="13"/>
        </w:rPr>
        <w:t>Económicos,</w:t>
      </w:r>
      <w:r>
        <w:rPr>
          <w:spacing w:val="-6"/>
          <w:sz w:val="13"/>
        </w:rPr>
        <w:t xml:space="preserve"> </w:t>
      </w:r>
      <w:r>
        <w:rPr>
          <w:sz w:val="13"/>
        </w:rPr>
        <w:t>Sociales</w:t>
      </w:r>
      <w:r>
        <w:rPr>
          <w:spacing w:val="-7"/>
          <w:sz w:val="13"/>
        </w:rPr>
        <w:t xml:space="preserve"> </w:t>
      </w:r>
      <w:r>
        <w:rPr>
          <w:sz w:val="13"/>
        </w:rPr>
        <w:t>y</w:t>
      </w:r>
      <w:r>
        <w:rPr>
          <w:spacing w:val="-6"/>
          <w:sz w:val="13"/>
        </w:rPr>
        <w:t xml:space="preserve"> </w:t>
      </w:r>
      <w:r>
        <w:rPr>
          <w:spacing w:val="-2"/>
          <w:sz w:val="13"/>
        </w:rPr>
        <w:t>Culturales,</w:t>
      </w:r>
    </w:p>
    <w:p w14:paraId="3D61869D" w14:textId="77777777" w:rsidR="0014798C" w:rsidRDefault="004E1F0B">
      <w:pPr>
        <w:spacing w:before="30" w:line="288" w:lineRule="auto"/>
        <w:ind w:left="1365" w:right="1463" w:firstLine="2"/>
        <w:rPr>
          <w:sz w:val="13"/>
        </w:rPr>
      </w:pPr>
      <w:r>
        <w:rPr>
          <w:sz w:val="13"/>
        </w:rPr>
        <w:t>art.</w:t>
      </w:r>
      <w:r>
        <w:rPr>
          <w:spacing w:val="-6"/>
          <w:sz w:val="13"/>
        </w:rPr>
        <w:t xml:space="preserve"> </w:t>
      </w:r>
      <w:r>
        <w:rPr>
          <w:w w:val="90"/>
          <w:sz w:val="13"/>
        </w:rPr>
        <w:t>2;</w:t>
      </w:r>
      <w:r>
        <w:rPr>
          <w:spacing w:val="-3"/>
          <w:w w:val="90"/>
          <w:sz w:val="13"/>
        </w:rPr>
        <w:t xml:space="preserve"> </w:t>
      </w:r>
      <w:r>
        <w:rPr>
          <w:sz w:val="13"/>
        </w:rPr>
        <w:t>Convención</w:t>
      </w:r>
      <w:r>
        <w:rPr>
          <w:spacing w:val="-6"/>
          <w:sz w:val="13"/>
        </w:rPr>
        <w:t xml:space="preserve"> </w:t>
      </w:r>
      <w:r>
        <w:rPr>
          <w:sz w:val="13"/>
        </w:rPr>
        <w:t>Internacional</w:t>
      </w:r>
      <w:r>
        <w:rPr>
          <w:spacing w:val="-7"/>
          <w:sz w:val="13"/>
        </w:rPr>
        <w:t xml:space="preserve"> </w:t>
      </w:r>
      <w:r>
        <w:rPr>
          <w:sz w:val="13"/>
        </w:rPr>
        <w:t>sobre</w:t>
      </w:r>
      <w:r>
        <w:rPr>
          <w:spacing w:val="-6"/>
          <w:sz w:val="13"/>
        </w:rPr>
        <w:t xml:space="preserve"> </w:t>
      </w:r>
      <w:r>
        <w:rPr>
          <w:sz w:val="13"/>
        </w:rPr>
        <w:t>la</w:t>
      </w:r>
      <w:r>
        <w:rPr>
          <w:spacing w:val="-6"/>
          <w:sz w:val="13"/>
        </w:rPr>
        <w:t xml:space="preserve"> </w:t>
      </w:r>
      <w:r>
        <w:rPr>
          <w:sz w:val="13"/>
        </w:rPr>
        <w:t>Eliminación</w:t>
      </w:r>
      <w:r>
        <w:rPr>
          <w:spacing w:val="-6"/>
          <w:sz w:val="13"/>
        </w:rPr>
        <w:t xml:space="preserve"> </w:t>
      </w:r>
      <w:r>
        <w:rPr>
          <w:sz w:val="13"/>
        </w:rPr>
        <w:t>de</w:t>
      </w:r>
      <w:r>
        <w:rPr>
          <w:spacing w:val="-6"/>
          <w:sz w:val="13"/>
        </w:rPr>
        <w:t xml:space="preserve"> </w:t>
      </w:r>
      <w:r>
        <w:rPr>
          <w:sz w:val="13"/>
        </w:rPr>
        <w:t>todas</w:t>
      </w:r>
      <w:r>
        <w:rPr>
          <w:spacing w:val="-7"/>
          <w:sz w:val="13"/>
        </w:rPr>
        <w:t xml:space="preserve"> </w:t>
      </w:r>
      <w:r>
        <w:rPr>
          <w:sz w:val="13"/>
        </w:rPr>
        <w:t>las</w:t>
      </w:r>
      <w:r>
        <w:rPr>
          <w:spacing w:val="-6"/>
          <w:sz w:val="13"/>
        </w:rPr>
        <w:t xml:space="preserve"> </w:t>
      </w:r>
      <w:r>
        <w:rPr>
          <w:sz w:val="13"/>
        </w:rPr>
        <w:t>Formas</w:t>
      </w:r>
      <w:r>
        <w:rPr>
          <w:spacing w:val="-7"/>
          <w:sz w:val="13"/>
        </w:rPr>
        <w:t xml:space="preserve"> </w:t>
      </w:r>
      <w:r>
        <w:rPr>
          <w:sz w:val="13"/>
        </w:rPr>
        <w:t>de</w:t>
      </w:r>
      <w:r>
        <w:rPr>
          <w:spacing w:val="-6"/>
          <w:sz w:val="13"/>
        </w:rPr>
        <w:t xml:space="preserve"> </w:t>
      </w:r>
      <w:r>
        <w:rPr>
          <w:sz w:val="13"/>
        </w:rPr>
        <w:t>Discriminación</w:t>
      </w:r>
      <w:r>
        <w:rPr>
          <w:spacing w:val="-6"/>
          <w:sz w:val="13"/>
        </w:rPr>
        <w:t xml:space="preserve"> </w:t>
      </w:r>
      <w:r>
        <w:rPr>
          <w:sz w:val="13"/>
        </w:rPr>
        <w:t>Racial,</w:t>
      </w:r>
      <w:r>
        <w:rPr>
          <w:spacing w:val="-6"/>
          <w:sz w:val="13"/>
        </w:rPr>
        <w:t xml:space="preserve"> </w:t>
      </w:r>
      <w:r>
        <w:rPr>
          <w:sz w:val="13"/>
        </w:rPr>
        <w:t>art.</w:t>
      </w:r>
      <w:r>
        <w:rPr>
          <w:spacing w:val="-6"/>
          <w:sz w:val="13"/>
        </w:rPr>
        <w:t xml:space="preserve"> </w:t>
      </w:r>
      <w:r>
        <w:rPr>
          <w:w w:val="90"/>
          <w:sz w:val="13"/>
        </w:rPr>
        <w:t>2;</w:t>
      </w:r>
      <w:r>
        <w:rPr>
          <w:spacing w:val="-3"/>
          <w:w w:val="90"/>
          <w:sz w:val="13"/>
        </w:rPr>
        <w:t xml:space="preserve"> </w:t>
      </w:r>
      <w:r>
        <w:rPr>
          <w:sz w:val="13"/>
        </w:rPr>
        <w:t>Convención</w:t>
      </w:r>
      <w:r>
        <w:rPr>
          <w:spacing w:val="-6"/>
          <w:sz w:val="13"/>
        </w:rPr>
        <w:t xml:space="preserve"> </w:t>
      </w:r>
      <w:r>
        <w:rPr>
          <w:sz w:val="13"/>
        </w:rPr>
        <w:t>sobre</w:t>
      </w:r>
      <w:r>
        <w:rPr>
          <w:spacing w:val="-6"/>
          <w:sz w:val="13"/>
        </w:rPr>
        <w:t xml:space="preserve"> </w:t>
      </w:r>
      <w:r>
        <w:rPr>
          <w:sz w:val="13"/>
        </w:rPr>
        <w:t>la</w:t>
      </w:r>
      <w:r>
        <w:rPr>
          <w:spacing w:val="-6"/>
          <w:sz w:val="13"/>
        </w:rPr>
        <w:t xml:space="preserve"> </w:t>
      </w:r>
      <w:r>
        <w:rPr>
          <w:sz w:val="13"/>
        </w:rPr>
        <w:t>eliminación</w:t>
      </w:r>
      <w:r>
        <w:rPr>
          <w:spacing w:val="-6"/>
          <w:sz w:val="13"/>
        </w:rPr>
        <w:t xml:space="preserve"> </w:t>
      </w:r>
      <w:r>
        <w:rPr>
          <w:sz w:val="13"/>
        </w:rPr>
        <w:t>de</w:t>
      </w:r>
      <w:r>
        <w:rPr>
          <w:spacing w:val="-6"/>
          <w:sz w:val="13"/>
        </w:rPr>
        <w:t xml:space="preserve"> </w:t>
      </w:r>
      <w:r>
        <w:rPr>
          <w:sz w:val="13"/>
        </w:rPr>
        <w:t>todas</w:t>
      </w:r>
      <w:r>
        <w:rPr>
          <w:spacing w:val="-7"/>
          <w:sz w:val="13"/>
        </w:rPr>
        <w:t xml:space="preserve"> </w:t>
      </w:r>
      <w:r>
        <w:rPr>
          <w:sz w:val="13"/>
        </w:rPr>
        <w:t>las</w:t>
      </w:r>
      <w:r>
        <w:rPr>
          <w:spacing w:val="40"/>
          <w:sz w:val="13"/>
        </w:rPr>
        <w:t xml:space="preserve"> </w:t>
      </w:r>
      <w:r>
        <w:rPr>
          <w:sz w:val="13"/>
        </w:rPr>
        <w:t>formas</w:t>
      </w:r>
      <w:r>
        <w:rPr>
          <w:spacing w:val="-4"/>
          <w:sz w:val="13"/>
        </w:rPr>
        <w:t xml:space="preserve"> </w:t>
      </w:r>
      <w:r>
        <w:rPr>
          <w:sz w:val="13"/>
        </w:rPr>
        <w:t>de</w:t>
      </w:r>
      <w:r>
        <w:rPr>
          <w:spacing w:val="-3"/>
          <w:sz w:val="13"/>
        </w:rPr>
        <w:t xml:space="preserve"> </w:t>
      </w:r>
      <w:r>
        <w:rPr>
          <w:sz w:val="13"/>
        </w:rPr>
        <w:t>discriminación</w:t>
      </w:r>
      <w:r>
        <w:rPr>
          <w:spacing w:val="-3"/>
          <w:sz w:val="13"/>
        </w:rPr>
        <w:t xml:space="preserve"> </w:t>
      </w:r>
      <w:r>
        <w:rPr>
          <w:sz w:val="13"/>
        </w:rPr>
        <w:t>contra</w:t>
      </w:r>
      <w:r>
        <w:rPr>
          <w:spacing w:val="-3"/>
          <w:sz w:val="13"/>
        </w:rPr>
        <w:t xml:space="preserve"> </w:t>
      </w:r>
      <w:r>
        <w:rPr>
          <w:sz w:val="13"/>
        </w:rPr>
        <w:t>la</w:t>
      </w:r>
      <w:r>
        <w:rPr>
          <w:spacing w:val="-3"/>
          <w:sz w:val="13"/>
        </w:rPr>
        <w:t xml:space="preserve"> </w:t>
      </w:r>
      <w:r>
        <w:rPr>
          <w:sz w:val="13"/>
        </w:rPr>
        <w:t>mujer,</w:t>
      </w:r>
      <w:r>
        <w:rPr>
          <w:spacing w:val="-3"/>
          <w:sz w:val="13"/>
        </w:rPr>
        <w:t xml:space="preserve"> </w:t>
      </w:r>
      <w:r>
        <w:rPr>
          <w:sz w:val="13"/>
        </w:rPr>
        <w:t>art.</w:t>
      </w:r>
      <w:r>
        <w:rPr>
          <w:spacing w:val="-3"/>
          <w:sz w:val="13"/>
        </w:rPr>
        <w:t xml:space="preserve"> </w:t>
      </w:r>
      <w:r>
        <w:rPr>
          <w:w w:val="90"/>
          <w:sz w:val="13"/>
        </w:rPr>
        <w:t xml:space="preserve">2; </w:t>
      </w:r>
      <w:r>
        <w:rPr>
          <w:sz w:val="13"/>
        </w:rPr>
        <w:t>Convención</w:t>
      </w:r>
      <w:r>
        <w:rPr>
          <w:spacing w:val="-3"/>
          <w:sz w:val="13"/>
        </w:rPr>
        <w:t xml:space="preserve"> </w:t>
      </w:r>
      <w:r>
        <w:rPr>
          <w:sz w:val="13"/>
        </w:rPr>
        <w:t>sobre</w:t>
      </w:r>
      <w:r>
        <w:rPr>
          <w:spacing w:val="-3"/>
          <w:sz w:val="13"/>
        </w:rPr>
        <w:t xml:space="preserve"> </w:t>
      </w:r>
      <w:r>
        <w:rPr>
          <w:sz w:val="13"/>
        </w:rPr>
        <w:t>los</w:t>
      </w:r>
      <w:r>
        <w:rPr>
          <w:spacing w:val="-3"/>
          <w:sz w:val="13"/>
        </w:rPr>
        <w:t xml:space="preserve"> </w:t>
      </w:r>
      <w:r>
        <w:rPr>
          <w:sz w:val="13"/>
        </w:rPr>
        <w:t>Derechos</w:t>
      </w:r>
      <w:r>
        <w:rPr>
          <w:spacing w:val="-3"/>
          <w:sz w:val="13"/>
        </w:rPr>
        <w:t xml:space="preserve"> </w:t>
      </w:r>
      <w:r>
        <w:rPr>
          <w:sz w:val="13"/>
        </w:rPr>
        <w:t>de</w:t>
      </w:r>
      <w:r>
        <w:rPr>
          <w:spacing w:val="-3"/>
          <w:sz w:val="13"/>
        </w:rPr>
        <w:t xml:space="preserve"> </w:t>
      </w:r>
      <w:r>
        <w:rPr>
          <w:sz w:val="13"/>
        </w:rPr>
        <w:t>las</w:t>
      </w:r>
      <w:r>
        <w:rPr>
          <w:spacing w:val="-3"/>
          <w:sz w:val="13"/>
        </w:rPr>
        <w:t xml:space="preserve"> </w:t>
      </w:r>
      <w:r>
        <w:rPr>
          <w:sz w:val="13"/>
        </w:rPr>
        <w:t>Personas</w:t>
      </w:r>
      <w:r>
        <w:rPr>
          <w:spacing w:val="-4"/>
          <w:sz w:val="13"/>
        </w:rPr>
        <w:t xml:space="preserve"> </w:t>
      </w:r>
      <w:r>
        <w:rPr>
          <w:sz w:val="13"/>
        </w:rPr>
        <w:t>con</w:t>
      </w:r>
      <w:r>
        <w:rPr>
          <w:spacing w:val="-3"/>
          <w:sz w:val="13"/>
        </w:rPr>
        <w:t xml:space="preserve"> </w:t>
      </w:r>
      <w:r>
        <w:rPr>
          <w:sz w:val="13"/>
        </w:rPr>
        <w:t>Discapacidad,</w:t>
      </w:r>
      <w:r>
        <w:rPr>
          <w:spacing w:val="-2"/>
          <w:sz w:val="13"/>
        </w:rPr>
        <w:t xml:space="preserve"> </w:t>
      </w:r>
      <w:r>
        <w:rPr>
          <w:sz w:val="13"/>
        </w:rPr>
        <w:t>art.</w:t>
      </w:r>
      <w:r>
        <w:rPr>
          <w:spacing w:val="-3"/>
          <w:sz w:val="13"/>
        </w:rPr>
        <w:t xml:space="preserve"> </w:t>
      </w:r>
      <w:r>
        <w:rPr>
          <w:w w:val="90"/>
          <w:sz w:val="13"/>
        </w:rPr>
        <w:t xml:space="preserve">4; </w:t>
      </w:r>
      <w:r>
        <w:rPr>
          <w:sz w:val="13"/>
        </w:rPr>
        <w:t>y</w:t>
      </w:r>
      <w:r>
        <w:rPr>
          <w:spacing w:val="-3"/>
          <w:sz w:val="13"/>
        </w:rPr>
        <w:t xml:space="preserve"> </w:t>
      </w:r>
      <w:r>
        <w:rPr>
          <w:sz w:val="13"/>
        </w:rPr>
        <w:t>Convención</w:t>
      </w:r>
      <w:r>
        <w:rPr>
          <w:spacing w:val="-3"/>
          <w:sz w:val="13"/>
        </w:rPr>
        <w:t xml:space="preserve"> </w:t>
      </w:r>
      <w:r>
        <w:rPr>
          <w:sz w:val="13"/>
        </w:rPr>
        <w:t>sobre</w:t>
      </w:r>
      <w:r>
        <w:rPr>
          <w:spacing w:val="-3"/>
          <w:sz w:val="13"/>
        </w:rPr>
        <w:t xml:space="preserve"> </w:t>
      </w:r>
      <w:r>
        <w:rPr>
          <w:sz w:val="13"/>
        </w:rPr>
        <w:t>los</w:t>
      </w:r>
      <w:r>
        <w:rPr>
          <w:spacing w:val="40"/>
          <w:sz w:val="13"/>
        </w:rPr>
        <w:t xml:space="preserve"> </w:t>
      </w:r>
      <w:r>
        <w:rPr>
          <w:sz w:val="13"/>
        </w:rPr>
        <w:t>Derechos del Niño, art. 2.</w:t>
      </w:r>
    </w:p>
    <w:p w14:paraId="617619F6" w14:textId="77777777" w:rsidR="0014798C" w:rsidRDefault="004E1F0B">
      <w:pPr>
        <w:spacing w:before="104"/>
        <w:ind w:left="1108"/>
        <w:rPr>
          <w:sz w:val="11"/>
        </w:rPr>
      </w:pPr>
      <w:r>
        <w:rPr>
          <w:sz w:val="11"/>
        </w:rPr>
        <w:t>797</w:t>
      </w:r>
      <w:r>
        <w:rPr>
          <w:spacing w:val="-5"/>
          <w:sz w:val="11"/>
        </w:rPr>
        <w:t xml:space="preserve"> </w:t>
      </w:r>
      <w:r>
        <w:rPr>
          <w:sz w:val="11"/>
        </w:rPr>
        <w:t>Convención</w:t>
      </w:r>
      <w:r>
        <w:rPr>
          <w:spacing w:val="-5"/>
          <w:sz w:val="11"/>
        </w:rPr>
        <w:t xml:space="preserve"> </w:t>
      </w:r>
      <w:r>
        <w:rPr>
          <w:sz w:val="11"/>
        </w:rPr>
        <w:t>Internacional</w:t>
      </w:r>
      <w:r>
        <w:rPr>
          <w:spacing w:val="-4"/>
          <w:sz w:val="11"/>
        </w:rPr>
        <w:t xml:space="preserve"> </w:t>
      </w:r>
      <w:r>
        <w:rPr>
          <w:sz w:val="11"/>
        </w:rPr>
        <w:t>sobre</w:t>
      </w:r>
      <w:r>
        <w:rPr>
          <w:spacing w:val="-5"/>
          <w:sz w:val="11"/>
        </w:rPr>
        <w:t xml:space="preserve"> </w:t>
      </w:r>
      <w:r>
        <w:rPr>
          <w:sz w:val="11"/>
        </w:rPr>
        <w:t>la</w:t>
      </w:r>
      <w:r>
        <w:rPr>
          <w:spacing w:val="-4"/>
          <w:sz w:val="11"/>
        </w:rPr>
        <w:t xml:space="preserve"> </w:t>
      </w:r>
      <w:r>
        <w:rPr>
          <w:sz w:val="11"/>
        </w:rPr>
        <w:t>Eliminación</w:t>
      </w:r>
      <w:r>
        <w:rPr>
          <w:spacing w:val="-5"/>
          <w:sz w:val="11"/>
        </w:rPr>
        <w:t xml:space="preserve"> </w:t>
      </w:r>
      <w:r>
        <w:rPr>
          <w:sz w:val="11"/>
        </w:rPr>
        <w:t>de</w:t>
      </w:r>
      <w:r>
        <w:rPr>
          <w:spacing w:val="-4"/>
          <w:sz w:val="11"/>
        </w:rPr>
        <w:t xml:space="preserve"> </w:t>
      </w:r>
      <w:r>
        <w:rPr>
          <w:sz w:val="11"/>
        </w:rPr>
        <w:t>todas</w:t>
      </w:r>
      <w:r>
        <w:rPr>
          <w:spacing w:val="-5"/>
          <w:sz w:val="11"/>
        </w:rPr>
        <w:t xml:space="preserve"> </w:t>
      </w:r>
      <w:r>
        <w:rPr>
          <w:sz w:val="11"/>
        </w:rPr>
        <w:t>las</w:t>
      </w:r>
      <w:r>
        <w:rPr>
          <w:spacing w:val="-5"/>
          <w:sz w:val="11"/>
        </w:rPr>
        <w:t xml:space="preserve"> </w:t>
      </w:r>
      <w:r>
        <w:rPr>
          <w:sz w:val="11"/>
        </w:rPr>
        <w:t>Formas</w:t>
      </w:r>
      <w:r>
        <w:rPr>
          <w:spacing w:val="-4"/>
          <w:sz w:val="11"/>
        </w:rPr>
        <w:t xml:space="preserve"> </w:t>
      </w:r>
      <w:r>
        <w:rPr>
          <w:sz w:val="11"/>
        </w:rPr>
        <w:t>de</w:t>
      </w:r>
      <w:r>
        <w:rPr>
          <w:spacing w:val="-5"/>
          <w:sz w:val="11"/>
        </w:rPr>
        <w:t xml:space="preserve"> </w:t>
      </w:r>
      <w:r>
        <w:rPr>
          <w:sz w:val="11"/>
        </w:rPr>
        <w:t>Discriminación</w:t>
      </w:r>
      <w:r>
        <w:rPr>
          <w:spacing w:val="-4"/>
          <w:sz w:val="11"/>
        </w:rPr>
        <w:t xml:space="preserve"> </w:t>
      </w:r>
      <w:r>
        <w:rPr>
          <w:sz w:val="11"/>
        </w:rPr>
        <w:t>Racial,</w:t>
      </w:r>
      <w:r>
        <w:rPr>
          <w:spacing w:val="-5"/>
          <w:sz w:val="11"/>
        </w:rPr>
        <w:t xml:space="preserve"> </w:t>
      </w:r>
      <w:r>
        <w:rPr>
          <w:sz w:val="11"/>
        </w:rPr>
        <w:t>art.</w:t>
      </w:r>
      <w:r>
        <w:rPr>
          <w:spacing w:val="-4"/>
          <w:sz w:val="11"/>
        </w:rPr>
        <w:t xml:space="preserve"> </w:t>
      </w:r>
      <w:r>
        <w:rPr>
          <w:w w:val="95"/>
          <w:sz w:val="11"/>
        </w:rPr>
        <w:t>2;</w:t>
      </w:r>
      <w:r>
        <w:rPr>
          <w:spacing w:val="-3"/>
          <w:w w:val="95"/>
          <w:sz w:val="11"/>
        </w:rPr>
        <w:t xml:space="preserve"> </w:t>
      </w:r>
      <w:r>
        <w:rPr>
          <w:sz w:val="11"/>
        </w:rPr>
        <w:t>y</w:t>
      </w:r>
      <w:r>
        <w:rPr>
          <w:spacing w:val="-5"/>
          <w:sz w:val="11"/>
        </w:rPr>
        <w:t xml:space="preserve"> </w:t>
      </w:r>
      <w:r>
        <w:rPr>
          <w:sz w:val="11"/>
        </w:rPr>
        <w:t>Convención</w:t>
      </w:r>
      <w:r>
        <w:rPr>
          <w:spacing w:val="-5"/>
          <w:sz w:val="11"/>
        </w:rPr>
        <w:t xml:space="preserve"> </w:t>
      </w:r>
      <w:r>
        <w:rPr>
          <w:sz w:val="11"/>
        </w:rPr>
        <w:t>sobre</w:t>
      </w:r>
      <w:r>
        <w:rPr>
          <w:spacing w:val="-4"/>
          <w:sz w:val="11"/>
        </w:rPr>
        <w:t xml:space="preserve"> </w:t>
      </w:r>
      <w:r>
        <w:rPr>
          <w:sz w:val="11"/>
        </w:rPr>
        <w:t>la</w:t>
      </w:r>
      <w:r>
        <w:rPr>
          <w:spacing w:val="-5"/>
          <w:sz w:val="11"/>
        </w:rPr>
        <w:t xml:space="preserve"> </w:t>
      </w:r>
      <w:r>
        <w:rPr>
          <w:sz w:val="11"/>
        </w:rPr>
        <w:t>Eliminación</w:t>
      </w:r>
      <w:r>
        <w:rPr>
          <w:spacing w:val="-4"/>
          <w:sz w:val="11"/>
        </w:rPr>
        <w:t xml:space="preserve"> </w:t>
      </w:r>
      <w:r>
        <w:rPr>
          <w:sz w:val="11"/>
        </w:rPr>
        <w:t>de</w:t>
      </w:r>
      <w:r>
        <w:rPr>
          <w:spacing w:val="-5"/>
          <w:sz w:val="11"/>
        </w:rPr>
        <w:t xml:space="preserve"> </w:t>
      </w:r>
      <w:r>
        <w:rPr>
          <w:spacing w:val="-2"/>
          <w:sz w:val="11"/>
        </w:rPr>
        <w:t>Todos</w:t>
      </w:r>
    </w:p>
    <w:p w14:paraId="0ACEE5E9" w14:textId="77777777" w:rsidR="0014798C" w:rsidRDefault="004E1F0B">
      <w:pPr>
        <w:spacing w:before="7"/>
        <w:ind w:left="1368"/>
        <w:rPr>
          <w:sz w:val="13"/>
        </w:rPr>
      </w:pPr>
      <w:r>
        <w:rPr>
          <w:sz w:val="13"/>
        </w:rPr>
        <w:t>Formas</w:t>
      </w:r>
      <w:r>
        <w:rPr>
          <w:spacing w:val="-5"/>
          <w:sz w:val="13"/>
        </w:rPr>
        <w:t xml:space="preserve"> </w:t>
      </w:r>
      <w:r>
        <w:rPr>
          <w:sz w:val="13"/>
        </w:rPr>
        <w:t>de</w:t>
      </w:r>
      <w:r>
        <w:rPr>
          <w:spacing w:val="-4"/>
          <w:sz w:val="13"/>
        </w:rPr>
        <w:t xml:space="preserve"> </w:t>
      </w:r>
      <w:r>
        <w:rPr>
          <w:sz w:val="13"/>
        </w:rPr>
        <w:t>Discriminación</w:t>
      </w:r>
      <w:r>
        <w:rPr>
          <w:spacing w:val="-4"/>
          <w:sz w:val="13"/>
        </w:rPr>
        <w:t xml:space="preserve"> </w:t>
      </w:r>
      <w:r>
        <w:rPr>
          <w:sz w:val="13"/>
        </w:rPr>
        <w:t>contra</w:t>
      </w:r>
      <w:r>
        <w:rPr>
          <w:spacing w:val="-4"/>
          <w:sz w:val="13"/>
        </w:rPr>
        <w:t xml:space="preserve"> </w:t>
      </w:r>
      <w:r>
        <w:rPr>
          <w:sz w:val="13"/>
        </w:rPr>
        <w:t>la</w:t>
      </w:r>
      <w:r>
        <w:rPr>
          <w:spacing w:val="-4"/>
          <w:sz w:val="13"/>
        </w:rPr>
        <w:t xml:space="preserve"> </w:t>
      </w:r>
      <w:r>
        <w:rPr>
          <w:sz w:val="13"/>
        </w:rPr>
        <w:t>Mujer,</w:t>
      </w:r>
      <w:r>
        <w:rPr>
          <w:spacing w:val="-4"/>
          <w:sz w:val="13"/>
        </w:rPr>
        <w:t xml:space="preserve"> </w:t>
      </w:r>
      <w:r>
        <w:rPr>
          <w:sz w:val="13"/>
        </w:rPr>
        <w:t>art.</w:t>
      </w:r>
      <w:r>
        <w:rPr>
          <w:spacing w:val="-4"/>
          <w:sz w:val="13"/>
        </w:rPr>
        <w:t xml:space="preserve"> </w:t>
      </w:r>
      <w:r>
        <w:rPr>
          <w:spacing w:val="-5"/>
          <w:sz w:val="13"/>
        </w:rPr>
        <w:t>2.</w:t>
      </w:r>
    </w:p>
    <w:p w14:paraId="3E56D291" w14:textId="77777777" w:rsidR="0014798C" w:rsidRDefault="004E1F0B">
      <w:pPr>
        <w:spacing w:before="87"/>
        <w:ind w:left="1108"/>
        <w:rPr>
          <w:sz w:val="13"/>
        </w:rPr>
      </w:pPr>
      <w:r>
        <w:rPr>
          <w:sz w:val="13"/>
          <w:vertAlign w:val="superscript"/>
        </w:rPr>
        <w:t>798</w:t>
      </w:r>
      <w:r>
        <w:rPr>
          <w:spacing w:val="74"/>
          <w:sz w:val="13"/>
        </w:rPr>
        <w:t xml:space="preserve"> </w:t>
      </w:r>
      <w:r>
        <w:rPr>
          <w:sz w:val="13"/>
        </w:rPr>
        <w:t>Véase,</w:t>
      </w:r>
      <w:r>
        <w:rPr>
          <w:spacing w:val="-3"/>
          <w:sz w:val="13"/>
        </w:rPr>
        <w:t xml:space="preserve"> </w:t>
      </w:r>
      <w:r>
        <w:rPr>
          <w:sz w:val="13"/>
        </w:rPr>
        <w:t>por</w:t>
      </w:r>
      <w:r>
        <w:rPr>
          <w:spacing w:val="-2"/>
          <w:sz w:val="13"/>
        </w:rPr>
        <w:t xml:space="preserve"> </w:t>
      </w:r>
      <w:r>
        <w:rPr>
          <w:sz w:val="13"/>
        </w:rPr>
        <w:t>ejemplo,</w:t>
      </w:r>
      <w:r>
        <w:rPr>
          <w:spacing w:val="-3"/>
          <w:sz w:val="13"/>
        </w:rPr>
        <w:t xml:space="preserve"> </w:t>
      </w:r>
      <w:r>
        <w:rPr>
          <w:sz w:val="13"/>
        </w:rPr>
        <w:t>Comité</w:t>
      </w:r>
      <w:r>
        <w:rPr>
          <w:spacing w:val="-3"/>
          <w:sz w:val="13"/>
        </w:rPr>
        <w:t xml:space="preserve"> </w:t>
      </w:r>
      <w:r>
        <w:rPr>
          <w:sz w:val="13"/>
        </w:rPr>
        <w:t>de</w:t>
      </w:r>
      <w:r>
        <w:rPr>
          <w:spacing w:val="-3"/>
          <w:sz w:val="13"/>
        </w:rPr>
        <w:t xml:space="preserve"> </w:t>
      </w:r>
      <w:r>
        <w:rPr>
          <w:sz w:val="13"/>
        </w:rPr>
        <w:t>Derechos</w:t>
      </w:r>
      <w:r>
        <w:rPr>
          <w:spacing w:val="-3"/>
          <w:sz w:val="13"/>
        </w:rPr>
        <w:t xml:space="preserve"> </w:t>
      </w:r>
      <w:r>
        <w:rPr>
          <w:sz w:val="13"/>
        </w:rPr>
        <w:t>Económicos,</w:t>
      </w:r>
      <w:r>
        <w:rPr>
          <w:spacing w:val="-2"/>
          <w:sz w:val="13"/>
        </w:rPr>
        <w:t xml:space="preserve"> </w:t>
      </w:r>
      <w:r>
        <w:rPr>
          <w:sz w:val="13"/>
        </w:rPr>
        <w:t>Sociales</w:t>
      </w:r>
      <w:r>
        <w:rPr>
          <w:spacing w:val="-4"/>
          <w:sz w:val="13"/>
        </w:rPr>
        <w:t xml:space="preserve"> </w:t>
      </w:r>
      <w:r>
        <w:rPr>
          <w:sz w:val="13"/>
        </w:rPr>
        <w:t>y</w:t>
      </w:r>
      <w:r>
        <w:rPr>
          <w:spacing w:val="-3"/>
          <w:sz w:val="13"/>
        </w:rPr>
        <w:t xml:space="preserve"> </w:t>
      </w:r>
      <w:r>
        <w:rPr>
          <w:sz w:val="13"/>
        </w:rPr>
        <w:t>Culturales,</w:t>
      </w:r>
      <w:r>
        <w:rPr>
          <w:spacing w:val="-3"/>
          <w:sz w:val="13"/>
        </w:rPr>
        <w:t xml:space="preserve"> </w:t>
      </w:r>
      <w:r>
        <w:rPr>
          <w:sz w:val="13"/>
        </w:rPr>
        <w:t>observación</w:t>
      </w:r>
      <w:r>
        <w:rPr>
          <w:spacing w:val="-2"/>
          <w:sz w:val="13"/>
        </w:rPr>
        <w:t xml:space="preserve"> </w:t>
      </w:r>
      <w:r>
        <w:rPr>
          <w:sz w:val="13"/>
        </w:rPr>
        <w:t>general</w:t>
      </w:r>
      <w:r>
        <w:rPr>
          <w:spacing w:val="-3"/>
          <w:sz w:val="13"/>
        </w:rPr>
        <w:t xml:space="preserve"> </w:t>
      </w:r>
      <w:r>
        <w:rPr>
          <w:sz w:val="13"/>
        </w:rPr>
        <w:t>núm.</w:t>
      </w:r>
      <w:r>
        <w:rPr>
          <w:spacing w:val="-3"/>
          <w:sz w:val="13"/>
        </w:rPr>
        <w:t xml:space="preserve"> </w:t>
      </w:r>
      <w:r>
        <w:rPr>
          <w:sz w:val="13"/>
        </w:rPr>
        <w:t>20</w:t>
      </w:r>
      <w:r>
        <w:rPr>
          <w:spacing w:val="-3"/>
          <w:sz w:val="13"/>
        </w:rPr>
        <w:t xml:space="preserve"> </w:t>
      </w:r>
      <w:r>
        <w:rPr>
          <w:sz w:val="13"/>
        </w:rPr>
        <w:t>(2009),</w:t>
      </w:r>
      <w:r>
        <w:rPr>
          <w:spacing w:val="-3"/>
          <w:sz w:val="13"/>
        </w:rPr>
        <w:t xml:space="preserve"> </w:t>
      </w:r>
      <w:r>
        <w:rPr>
          <w:sz w:val="13"/>
        </w:rPr>
        <w:t>párr.</w:t>
      </w:r>
      <w:r>
        <w:rPr>
          <w:spacing w:val="-2"/>
          <w:sz w:val="13"/>
        </w:rPr>
        <w:t xml:space="preserve"> </w:t>
      </w:r>
      <w:r>
        <w:rPr>
          <w:spacing w:val="-5"/>
          <w:sz w:val="13"/>
        </w:rPr>
        <w:t>36.</w:t>
      </w:r>
    </w:p>
    <w:p w14:paraId="23D8E3FD" w14:textId="77777777" w:rsidR="0014798C" w:rsidRDefault="0014798C">
      <w:pPr>
        <w:pStyle w:val="Textoindependiente"/>
        <w:spacing w:before="12"/>
        <w:rPr>
          <w:sz w:val="11"/>
        </w:rPr>
      </w:pPr>
    </w:p>
    <w:p w14:paraId="52AF162F" w14:textId="77777777" w:rsidR="0014798C" w:rsidRDefault="004E1F0B">
      <w:pPr>
        <w:spacing w:before="1"/>
        <w:ind w:left="1108"/>
        <w:rPr>
          <w:sz w:val="11"/>
        </w:rPr>
      </w:pPr>
      <w:r>
        <w:rPr>
          <w:sz w:val="11"/>
        </w:rPr>
        <w:t>799</w:t>
      </w:r>
      <w:r>
        <w:rPr>
          <w:spacing w:val="-1"/>
          <w:sz w:val="11"/>
        </w:rPr>
        <w:t xml:space="preserve"> </w:t>
      </w:r>
      <w:r>
        <w:rPr>
          <w:sz w:val="11"/>
        </w:rPr>
        <w:t>Véase</w:t>
      </w:r>
      <w:r>
        <w:rPr>
          <w:spacing w:val="-1"/>
          <w:sz w:val="11"/>
        </w:rPr>
        <w:t xml:space="preserve"> </w:t>
      </w:r>
      <w:r>
        <w:rPr>
          <w:sz w:val="11"/>
        </w:rPr>
        <w:t>la</w:t>
      </w:r>
      <w:r>
        <w:rPr>
          <w:spacing w:val="-1"/>
          <w:sz w:val="11"/>
        </w:rPr>
        <w:t xml:space="preserve"> </w:t>
      </w:r>
      <w:r>
        <w:rPr>
          <w:sz w:val="11"/>
        </w:rPr>
        <w:t>sección</w:t>
      </w:r>
      <w:r>
        <w:rPr>
          <w:spacing w:val="-1"/>
          <w:sz w:val="11"/>
        </w:rPr>
        <w:t xml:space="preserve"> </w:t>
      </w:r>
      <w:r>
        <w:rPr>
          <w:sz w:val="11"/>
        </w:rPr>
        <w:t>IC2 de</w:t>
      </w:r>
      <w:r>
        <w:rPr>
          <w:spacing w:val="-1"/>
          <w:sz w:val="11"/>
        </w:rPr>
        <w:t xml:space="preserve"> </w:t>
      </w:r>
      <w:r>
        <w:rPr>
          <w:sz w:val="11"/>
        </w:rPr>
        <w:t>la</w:t>
      </w:r>
      <w:r>
        <w:rPr>
          <w:spacing w:val="-1"/>
          <w:sz w:val="11"/>
        </w:rPr>
        <w:t xml:space="preserve"> </w:t>
      </w:r>
      <w:r>
        <w:rPr>
          <w:sz w:val="11"/>
        </w:rPr>
        <w:t>segunda</w:t>
      </w:r>
      <w:r>
        <w:rPr>
          <w:spacing w:val="-1"/>
          <w:sz w:val="11"/>
        </w:rPr>
        <w:t xml:space="preserve"> </w:t>
      </w:r>
      <w:r>
        <w:rPr>
          <w:sz w:val="11"/>
        </w:rPr>
        <w:t>parte</w:t>
      </w:r>
      <w:r>
        <w:rPr>
          <w:spacing w:val="-1"/>
          <w:sz w:val="11"/>
        </w:rPr>
        <w:t xml:space="preserve"> </w:t>
      </w:r>
      <w:r>
        <w:rPr>
          <w:sz w:val="11"/>
        </w:rPr>
        <w:t>de la</w:t>
      </w:r>
      <w:r>
        <w:rPr>
          <w:spacing w:val="-1"/>
          <w:sz w:val="11"/>
        </w:rPr>
        <w:t xml:space="preserve"> </w:t>
      </w:r>
      <w:r>
        <w:rPr>
          <w:sz w:val="11"/>
        </w:rPr>
        <w:t>presente</w:t>
      </w:r>
      <w:r>
        <w:rPr>
          <w:spacing w:val="-1"/>
          <w:sz w:val="11"/>
        </w:rPr>
        <w:t xml:space="preserve"> </w:t>
      </w:r>
      <w:r>
        <w:rPr>
          <w:spacing w:val="-2"/>
          <w:sz w:val="11"/>
        </w:rPr>
        <w:t>guía.</w:t>
      </w:r>
    </w:p>
    <w:p w14:paraId="21F2E889" w14:textId="77777777" w:rsidR="0014798C" w:rsidRDefault="004E1F0B">
      <w:pPr>
        <w:spacing w:before="104"/>
        <w:ind w:left="1110"/>
        <w:rPr>
          <w:sz w:val="11"/>
        </w:rPr>
      </w:pPr>
      <w:r>
        <w:rPr>
          <w:sz w:val="11"/>
        </w:rPr>
        <w:t>800</w:t>
      </w:r>
      <w:r>
        <w:rPr>
          <w:spacing w:val="-6"/>
          <w:sz w:val="11"/>
        </w:rPr>
        <w:t xml:space="preserve"> </w:t>
      </w:r>
      <w:r>
        <w:rPr>
          <w:sz w:val="11"/>
        </w:rPr>
        <w:t>Convención</w:t>
      </w:r>
      <w:r>
        <w:rPr>
          <w:spacing w:val="-5"/>
          <w:sz w:val="11"/>
        </w:rPr>
        <w:t xml:space="preserve"> </w:t>
      </w:r>
      <w:r>
        <w:rPr>
          <w:sz w:val="11"/>
        </w:rPr>
        <w:t>Internacional</w:t>
      </w:r>
      <w:r>
        <w:rPr>
          <w:spacing w:val="-5"/>
          <w:sz w:val="11"/>
        </w:rPr>
        <w:t xml:space="preserve"> </w:t>
      </w:r>
      <w:r>
        <w:rPr>
          <w:sz w:val="11"/>
        </w:rPr>
        <w:t>sobre</w:t>
      </w:r>
      <w:r>
        <w:rPr>
          <w:spacing w:val="-6"/>
          <w:sz w:val="11"/>
        </w:rPr>
        <w:t xml:space="preserve"> </w:t>
      </w:r>
      <w:r>
        <w:rPr>
          <w:sz w:val="11"/>
        </w:rPr>
        <w:t>la</w:t>
      </w:r>
      <w:r>
        <w:rPr>
          <w:spacing w:val="-5"/>
          <w:sz w:val="11"/>
        </w:rPr>
        <w:t xml:space="preserve"> </w:t>
      </w:r>
      <w:r>
        <w:rPr>
          <w:sz w:val="11"/>
        </w:rPr>
        <w:t>Eliminación</w:t>
      </w:r>
      <w:r>
        <w:rPr>
          <w:spacing w:val="-5"/>
          <w:sz w:val="11"/>
        </w:rPr>
        <w:t xml:space="preserve"> </w:t>
      </w:r>
      <w:r>
        <w:rPr>
          <w:sz w:val="11"/>
        </w:rPr>
        <w:t>de</w:t>
      </w:r>
      <w:r>
        <w:rPr>
          <w:spacing w:val="-6"/>
          <w:sz w:val="11"/>
        </w:rPr>
        <w:t xml:space="preserve"> </w:t>
      </w:r>
      <w:r>
        <w:rPr>
          <w:sz w:val="11"/>
        </w:rPr>
        <w:t>todas</w:t>
      </w:r>
      <w:r>
        <w:rPr>
          <w:spacing w:val="-5"/>
          <w:sz w:val="11"/>
        </w:rPr>
        <w:t xml:space="preserve"> </w:t>
      </w:r>
      <w:r>
        <w:rPr>
          <w:sz w:val="11"/>
        </w:rPr>
        <w:t>las</w:t>
      </w:r>
      <w:r>
        <w:rPr>
          <w:spacing w:val="-5"/>
          <w:sz w:val="11"/>
        </w:rPr>
        <w:t xml:space="preserve"> </w:t>
      </w:r>
      <w:r>
        <w:rPr>
          <w:sz w:val="11"/>
        </w:rPr>
        <w:t>Formas</w:t>
      </w:r>
      <w:r>
        <w:rPr>
          <w:spacing w:val="-6"/>
          <w:sz w:val="11"/>
        </w:rPr>
        <w:t xml:space="preserve"> </w:t>
      </w:r>
      <w:r>
        <w:rPr>
          <w:sz w:val="11"/>
        </w:rPr>
        <w:t>de</w:t>
      </w:r>
      <w:r>
        <w:rPr>
          <w:spacing w:val="-5"/>
          <w:sz w:val="11"/>
        </w:rPr>
        <w:t xml:space="preserve"> </w:t>
      </w:r>
      <w:r>
        <w:rPr>
          <w:sz w:val="11"/>
        </w:rPr>
        <w:t>Discriminación</w:t>
      </w:r>
      <w:r>
        <w:rPr>
          <w:spacing w:val="-5"/>
          <w:sz w:val="11"/>
        </w:rPr>
        <w:t xml:space="preserve"> </w:t>
      </w:r>
      <w:r>
        <w:rPr>
          <w:sz w:val="11"/>
        </w:rPr>
        <w:t>Racial,</w:t>
      </w:r>
      <w:r>
        <w:rPr>
          <w:spacing w:val="-6"/>
          <w:sz w:val="11"/>
        </w:rPr>
        <w:t xml:space="preserve"> </w:t>
      </w:r>
      <w:r>
        <w:rPr>
          <w:sz w:val="11"/>
        </w:rPr>
        <w:t>art.</w:t>
      </w:r>
      <w:r>
        <w:rPr>
          <w:spacing w:val="-5"/>
          <w:sz w:val="11"/>
        </w:rPr>
        <w:t xml:space="preserve"> </w:t>
      </w:r>
      <w:r>
        <w:rPr>
          <w:sz w:val="11"/>
        </w:rPr>
        <w:t>2</w:t>
      </w:r>
      <w:r>
        <w:rPr>
          <w:spacing w:val="-5"/>
          <w:sz w:val="11"/>
        </w:rPr>
        <w:t xml:space="preserve"> </w:t>
      </w:r>
      <w:r>
        <w:rPr>
          <w:sz w:val="11"/>
        </w:rPr>
        <w:t>(1)</w:t>
      </w:r>
      <w:r>
        <w:rPr>
          <w:spacing w:val="-5"/>
          <w:sz w:val="11"/>
        </w:rPr>
        <w:t xml:space="preserve"> </w:t>
      </w:r>
      <w:r>
        <w:rPr>
          <w:sz w:val="11"/>
        </w:rPr>
        <w:t>(c);</w:t>
      </w:r>
      <w:r>
        <w:rPr>
          <w:spacing w:val="-6"/>
          <w:sz w:val="11"/>
        </w:rPr>
        <w:t xml:space="preserve"> </w:t>
      </w:r>
      <w:r>
        <w:rPr>
          <w:sz w:val="11"/>
        </w:rPr>
        <w:t>Convención</w:t>
      </w:r>
      <w:r>
        <w:rPr>
          <w:spacing w:val="-5"/>
          <w:sz w:val="11"/>
        </w:rPr>
        <w:t xml:space="preserve"> </w:t>
      </w:r>
      <w:r>
        <w:rPr>
          <w:sz w:val="11"/>
        </w:rPr>
        <w:t>Internacional</w:t>
      </w:r>
      <w:r>
        <w:rPr>
          <w:spacing w:val="-5"/>
          <w:sz w:val="11"/>
        </w:rPr>
        <w:t xml:space="preserve"> </w:t>
      </w:r>
      <w:r>
        <w:rPr>
          <w:sz w:val="11"/>
        </w:rPr>
        <w:t>sobre</w:t>
      </w:r>
      <w:r>
        <w:rPr>
          <w:spacing w:val="-6"/>
          <w:sz w:val="11"/>
        </w:rPr>
        <w:t xml:space="preserve"> </w:t>
      </w:r>
      <w:r>
        <w:rPr>
          <w:spacing w:val="-5"/>
          <w:sz w:val="11"/>
        </w:rPr>
        <w:t>la</w:t>
      </w:r>
    </w:p>
    <w:p w14:paraId="7ECF92FA" w14:textId="77777777" w:rsidR="0014798C" w:rsidRDefault="004E1F0B">
      <w:pPr>
        <w:spacing w:before="7"/>
        <w:ind w:left="345" w:right="277"/>
        <w:jc w:val="center"/>
        <w:rPr>
          <w:sz w:val="13"/>
        </w:rPr>
      </w:pPr>
      <w:r>
        <w:rPr>
          <w:sz w:val="13"/>
        </w:rPr>
        <w:t>Eliminación</w:t>
      </w:r>
      <w:r>
        <w:rPr>
          <w:spacing w:val="-6"/>
          <w:sz w:val="13"/>
        </w:rPr>
        <w:t xml:space="preserve"> </w:t>
      </w:r>
      <w:r>
        <w:rPr>
          <w:sz w:val="13"/>
        </w:rPr>
        <w:t>de</w:t>
      </w:r>
      <w:r>
        <w:rPr>
          <w:spacing w:val="-6"/>
          <w:sz w:val="13"/>
        </w:rPr>
        <w:t xml:space="preserve"> </w:t>
      </w:r>
      <w:r>
        <w:rPr>
          <w:sz w:val="13"/>
        </w:rPr>
        <w:t>todas</w:t>
      </w:r>
      <w:r>
        <w:rPr>
          <w:spacing w:val="-7"/>
          <w:sz w:val="13"/>
        </w:rPr>
        <w:t xml:space="preserve"> </w:t>
      </w:r>
      <w:r>
        <w:rPr>
          <w:sz w:val="13"/>
        </w:rPr>
        <w:t>las</w:t>
      </w:r>
      <w:r>
        <w:rPr>
          <w:spacing w:val="-6"/>
          <w:sz w:val="13"/>
        </w:rPr>
        <w:t xml:space="preserve"> </w:t>
      </w:r>
      <w:r>
        <w:rPr>
          <w:sz w:val="13"/>
        </w:rPr>
        <w:t>formas</w:t>
      </w:r>
      <w:r>
        <w:rPr>
          <w:spacing w:val="-6"/>
          <w:sz w:val="13"/>
        </w:rPr>
        <w:t xml:space="preserve"> </w:t>
      </w:r>
      <w:r>
        <w:rPr>
          <w:sz w:val="13"/>
        </w:rPr>
        <w:t>de</w:t>
      </w:r>
      <w:r>
        <w:rPr>
          <w:spacing w:val="-6"/>
          <w:sz w:val="13"/>
        </w:rPr>
        <w:t xml:space="preserve"> </w:t>
      </w:r>
      <w:r>
        <w:rPr>
          <w:sz w:val="13"/>
        </w:rPr>
        <w:t>discriminación</w:t>
      </w:r>
      <w:r>
        <w:rPr>
          <w:spacing w:val="-6"/>
          <w:sz w:val="13"/>
        </w:rPr>
        <w:t xml:space="preserve"> </w:t>
      </w:r>
      <w:r>
        <w:rPr>
          <w:sz w:val="13"/>
        </w:rPr>
        <w:t>contra</w:t>
      </w:r>
      <w:r>
        <w:rPr>
          <w:spacing w:val="-6"/>
          <w:sz w:val="13"/>
        </w:rPr>
        <w:t xml:space="preserve"> </w:t>
      </w:r>
      <w:r>
        <w:rPr>
          <w:sz w:val="13"/>
        </w:rPr>
        <w:t>la</w:t>
      </w:r>
      <w:r>
        <w:rPr>
          <w:spacing w:val="-6"/>
          <w:sz w:val="13"/>
        </w:rPr>
        <w:t xml:space="preserve"> </w:t>
      </w:r>
      <w:r>
        <w:rPr>
          <w:sz w:val="13"/>
        </w:rPr>
        <w:t>mujer,</w:t>
      </w:r>
      <w:r>
        <w:rPr>
          <w:spacing w:val="-6"/>
          <w:sz w:val="13"/>
        </w:rPr>
        <w:t xml:space="preserve"> </w:t>
      </w:r>
      <w:r>
        <w:rPr>
          <w:sz w:val="13"/>
        </w:rPr>
        <w:t>art.</w:t>
      </w:r>
      <w:r>
        <w:rPr>
          <w:spacing w:val="-5"/>
          <w:sz w:val="13"/>
        </w:rPr>
        <w:t xml:space="preserve"> </w:t>
      </w:r>
      <w:r>
        <w:rPr>
          <w:w w:val="90"/>
          <w:sz w:val="13"/>
        </w:rPr>
        <w:t>2;</w:t>
      </w:r>
      <w:r>
        <w:rPr>
          <w:spacing w:val="-3"/>
          <w:w w:val="90"/>
          <w:sz w:val="13"/>
        </w:rPr>
        <w:t xml:space="preserve"> </w:t>
      </w:r>
      <w:r>
        <w:rPr>
          <w:sz w:val="13"/>
        </w:rPr>
        <w:t>y</w:t>
      </w:r>
      <w:r>
        <w:rPr>
          <w:spacing w:val="-6"/>
          <w:sz w:val="13"/>
        </w:rPr>
        <w:t xml:space="preserve"> </w:t>
      </w:r>
      <w:r>
        <w:rPr>
          <w:sz w:val="13"/>
        </w:rPr>
        <w:t>Convención</w:t>
      </w:r>
      <w:r>
        <w:rPr>
          <w:spacing w:val="-5"/>
          <w:sz w:val="13"/>
        </w:rPr>
        <w:t xml:space="preserve"> </w:t>
      </w:r>
      <w:r>
        <w:rPr>
          <w:sz w:val="13"/>
        </w:rPr>
        <w:t>sobre</w:t>
      </w:r>
      <w:r>
        <w:rPr>
          <w:spacing w:val="-6"/>
          <w:sz w:val="13"/>
        </w:rPr>
        <w:t xml:space="preserve"> </w:t>
      </w:r>
      <w:r>
        <w:rPr>
          <w:sz w:val="13"/>
        </w:rPr>
        <w:t>los</w:t>
      </w:r>
      <w:r>
        <w:rPr>
          <w:spacing w:val="-6"/>
          <w:sz w:val="13"/>
        </w:rPr>
        <w:t xml:space="preserve"> </w:t>
      </w:r>
      <w:r>
        <w:rPr>
          <w:sz w:val="13"/>
        </w:rPr>
        <w:t>Derechos</w:t>
      </w:r>
      <w:r>
        <w:rPr>
          <w:spacing w:val="-6"/>
          <w:sz w:val="13"/>
        </w:rPr>
        <w:t xml:space="preserve"> </w:t>
      </w:r>
      <w:r>
        <w:rPr>
          <w:sz w:val="13"/>
        </w:rPr>
        <w:t>de</w:t>
      </w:r>
      <w:r>
        <w:rPr>
          <w:spacing w:val="-6"/>
          <w:sz w:val="13"/>
        </w:rPr>
        <w:t xml:space="preserve"> </w:t>
      </w:r>
      <w:r>
        <w:rPr>
          <w:sz w:val="13"/>
        </w:rPr>
        <w:t>las</w:t>
      </w:r>
      <w:r>
        <w:rPr>
          <w:spacing w:val="-6"/>
          <w:sz w:val="13"/>
        </w:rPr>
        <w:t xml:space="preserve"> </w:t>
      </w:r>
      <w:r>
        <w:rPr>
          <w:sz w:val="13"/>
        </w:rPr>
        <w:t>Personas</w:t>
      </w:r>
      <w:r>
        <w:rPr>
          <w:spacing w:val="-6"/>
          <w:sz w:val="13"/>
        </w:rPr>
        <w:t xml:space="preserve"> </w:t>
      </w:r>
      <w:r>
        <w:rPr>
          <w:sz w:val="13"/>
        </w:rPr>
        <w:t>con</w:t>
      </w:r>
      <w:r>
        <w:rPr>
          <w:spacing w:val="-6"/>
          <w:sz w:val="13"/>
        </w:rPr>
        <w:t xml:space="preserve"> </w:t>
      </w:r>
      <w:r>
        <w:rPr>
          <w:sz w:val="13"/>
        </w:rPr>
        <w:t>Discapacidad,</w:t>
      </w:r>
      <w:r>
        <w:rPr>
          <w:spacing w:val="-5"/>
          <w:sz w:val="13"/>
        </w:rPr>
        <w:t xml:space="preserve"> </w:t>
      </w:r>
      <w:r>
        <w:rPr>
          <w:sz w:val="13"/>
        </w:rPr>
        <w:t>art.</w:t>
      </w:r>
      <w:r>
        <w:rPr>
          <w:spacing w:val="-6"/>
          <w:sz w:val="13"/>
        </w:rPr>
        <w:t xml:space="preserve"> </w:t>
      </w:r>
      <w:r>
        <w:rPr>
          <w:sz w:val="13"/>
        </w:rPr>
        <w:t>4</w:t>
      </w:r>
      <w:r>
        <w:rPr>
          <w:spacing w:val="-6"/>
          <w:sz w:val="13"/>
        </w:rPr>
        <w:t xml:space="preserve"> </w:t>
      </w:r>
      <w:r>
        <w:rPr>
          <w:sz w:val="13"/>
        </w:rPr>
        <w:t>(1)</w:t>
      </w:r>
      <w:r>
        <w:rPr>
          <w:spacing w:val="-6"/>
          <w:sz w:val="13"/>
        </w:rPr>
        <w:t xml:space="preserve"> </w:t>
      </w:r>
      <w:r>
        <w:rPr>
          <w:spacing w:val="-4"/>
          <w:sz w:val="13"/>
        </w:rPr>
        <w:t>(b).</w:t>
      </w:r>
    </w:p>
    <w:p w14:paraId="7C467E66" w14:textId="77777777" w:rsidR="0014798C" w:rsidRDefault="0014798C">
      <w:pPr>
        <w:pStyle w:val="Textoindependiente"/>
      </w:pPr>
    </w:p>
    <w:p w14:paraId="376BF961" w14:textId="77777777" w:rsidR="0014798C" w:rsidRDefault="0014798C">
      <w:pPr>
        <w:pStyle w:val="Textoindependiente"/>
      </w:pPr>
    </w:p>
    <w:p w14:paraId="444ACE7D" w14:textId="77777777" w:rsidR="0014798C" w:rsidRDefault="0014798C">
      <w:pPr>
        <w:pStyle w:val="Textoindependiente"/>
        <w:spacing w:before="107"/>
      </w:pPr>
    </w:p>
    <w:p w14:paraId="04E0597F" w14:textId="77777777" w:rsidR="0014798C" w:rsidRDefault="004E1F0B">
      <w:pPr>
        <w:pStyle w:val="Textoindependiente"/>
        <w:ind w:right="712"/>
        <w:jc w:val="right"/>
      </w:pPr>
      <w:r>
        <w:rPr>
          <w:spacing w:val="-5"/>
        </w:rPr>
        <w:t>115</w:t>
      </w:r>
    </w:p>
    <w:p w14:paraId="2DD60693" w14:textId="77777777" w:rsidR="0014798C" w:rsidRDefault="0014798C">
      <w:pPr>
        <w:jc w:val="right"/>
        <w:sectPr w:rsidR="0014798C" w:rsidSect="00F265E4">
          <w:headerReference w:type="default" r:id="rId220"/>
          <w:pgSz w:w="11900" w:h="16820"/>
          <w:pgMar w:top="40" w:right="0" w:bottom="280" w:left="200" w:header="0" w:footer="0" w:gutter="0"/>
          <w:cols w:space="720"/>
        </w:sectPr>
      </w:pPr>
    </w:p>
    <w:p w14:paraId="06C6FA0A" w14:textId="77777777" w:rsidR="0014798C" w:rsidRDefault="0014798C">
      <w:pPr>
        <w:pStyle w:val="Textoindependiente"/>
        <w:spacing w:before="85"/>
        <w:rPr>
          <w:sz w:val="12"/>
        </w:rPr>
      </w:pPr>
    </w:p>
    <w:p w14:paraId="1A7313CC" w14:textId="77777777" w:rsidR="0014798C" w:rsidRDefault="004E1F0B">
      <w:pPr>
        <w:ind w:left="1111"/>
        <w:rPr>
          <w:sz w:val="12"/>
        </w:rPr>
      </w:pPr>
      <w:r>
        <w:rPr>
          <w:color w:val="00AC59"/>
          <w:sz w:val="12"/>
        </w:rPr>
        <w:t>PROTECCIÓN</w:t>
      </w:r>
      <w:r>
        <w:rPr>
          <w:color w:val="00AC59"/>
          <w:spacing w:val="6"/>
          <w:sz w:val="12"/>
        </w:rPr>
        <w:t xml:space="preserve"> </w:t>
      </w:r>
      <w:r>
        <w:rPr>
          <w:color w:val="00AC59"/>
          <w:sz w:val="12"/>
        </w:rPr>
        <w:t>DE</w:t>
      </w:r>
      <w:r>
        <w:rPr>
          <w:color w:val="00AC59"/>
          <w:spacing w:val="7"/>
          <w:sz w:val="12"/>
        </w:rPr>
        <w:t xml:space="preserve"> </w:t>
      </w:r>
      <w:r>
        <w:rPr>
          <w:color w:val="00AC59"/>
          <w:sz w:val="12"/>
        </w:rPr>
        <w:t>LOS</w:t>
      </w:r>
      <w:r>
        <w:rPr>
          <w:color w:val="00AC59"/>
          <w:spacing w:val="8"/>
          <w:sz w:val="12"/>
        </w:rPr>
        <w:t xml:space="preserve"> </w:t>
      </w:r>
      <w:r>
        <w:rPr>
          <w:color w:val="00AC59"/>
          <w:sz w:val="12"/>
        </w:rPr>
        <w:t>DERECHOS</w:t>
      </w:r>
      <w:r>
        <w:rPr>
          <w:color w:val="00AC59"/>
          <w:spacing w:val="8"/>
          <w:sz w:val="12"/>
        </w:rPr>
        <w:t xml:space="preserve"> </w:t>
      </w:r>
      <w:r>
        <w:rPr>
          <w:color w:val="00AC59"/>
          <w:sz w:val="12"/>
        </w:rPr>
        <w:t>DE</w:t>
      </w:r>
      <w:r>
        <w:rPr>
          <w:color w:val="00AC59"/>
          <w:spacing w:val="6"/>
          <w:sz w:val="12"/>
        </w:rPr>
        <w:t xml:space="preserve"> </w:t>
      </w:r>
      <w:r>
        <w:rPr>
          <w:color w:val="00AC59"/>
          <w:sz w:val="12"/>
        </w:rPr>
        <w:t>LAS</w:t>
      </w:r>
      <w:r>
        <w:rPr>
          <w:color w:val="00AC59"/>
          <w:spacing w:val="7"/>
          <w:sz w:val="12"/>
        </w:rPr>
        <w:t xml:space="preserve"> </w:t>
      </w:r>
      <w:r>
        <w:rPr>
          <w:color w:val="00AC59"/>
          <w:sz w:val="12"/>
        </w:rPr>
        <w:t>MINORÍAS:</w:t>
      </w:r>
      <w:r>
        <w:rPr>
          <w:color w:val="00AC59"/>
          <w:spacing w:val="8"/>
          <w:sz w:val="12"/>
        </w:rPr>
        <w:t xml:space="preserve"> </w:t>
      </w:r>
      <w:r>
        <w:rPr>
          <w:color w:val="00AC59"/>
          <w:sz w:val="12"/>
        </w:rPr>
        <w:t>una</w:t>
      </w:r>
      <w:r>
        <w:rPr>
          <w:color w:val="00AC59"/>
          <w:spacing w:val="7"/>
          <w:sz w:val="12"/>
        </w:rPr>
        <w:t xml:space="preserve"> </w:t>
      </w:r>
      <w:r>
        <w:rPr>
          <w:color w:val="00AC59"/>
          <w:sz w:val="12"/>
        </w:rPr>
        <w:t>guía</w:t>
      </w:r>
      <w:r>
        <w:rPr>
          <w:color w:val="00AC59"/>
          <w:spacing w:val="6"/>
          <w:sz w:val="12"/>
        </w:rPr>
        <w:t xml:space="preserve"> </w:t>
      </w:r>
      <w:r>
        <w:rPr>
          <w:color w:val="00AC59"/>
          <w:sz w:val="12"/>
        </w:rPr>
        <w:t>práctica</w:t>
      </w:r>
      <w:r>
        <w:rPr>
          <w:color w:val="00AC59"/>
          <w:spacing w:val="7"/>
          <w:sz w:val="12"/>
        </w:rPr>
        <w:t xml:space="preserve"> </w:t>
      </w:r>
      <w:r>
        <w:rPr>
          <w:color w:val="00AC59"/>
          <w:sz w:val="12"/>
        </w:rPr>
        <w:t>para</w:t>
      </w:r>
      <w:r>
        <w:rPr>
          <w:color w:val="00AC59"/>
          <w:spacing w:val="8"/>
          <w:sz w:val="12"/>
        </w:rPr>
        <w:t xml:space="preserve"> </w:t>
      </w:r>
      <w:r>
        <w:rPr>
          <w:color w:val="00AC59"/>
          <w:sz w:val="12"/>
        </w:rPr>
        <w:t>desarrollar</w:t>
      </w:r>
      <w:r>
        <w:rPr>
          <w:color w:val="00AC59"/>
          <w:spacing w:val="6"/>
          <w:sz w:val="12"/>
        </w:rPr>
        <w:t xml:space="preserve"> </w:t>
      </w:r>
      <w:r>
        <w:rPr>
          <w:color w:val="00AC59"/>
          <w:sz w:val="12"/>
        </w:rPr>
        <w:t>una</w:t>
      </w:r>
      <w:r>
        <w:rPr>
          <w:color w:val="00AC59"/>
          <w:spacing w:val="7"/>
          <w:sz w:val="12"/>
        </w:rPr>
        <w:t xml:space="preserve"> </w:t>
      </w:r>
      <w:r>
        <w:rPr>
          <w:color w:val="00AC59"/>
          <w:sz w:val="12"/>
        </w:rPr>
        <w:t>legislación</w:t>
      </w:r>
      <w:r>
        <w:rPr>
          <w:color w:val="00AC59"/>
          <w:spacing w:val="8"/>
          <w:sz w:val="12"/>
        </w:rPr>
        <w:t xml:space="preserve"> </w:t>
      </w:r>
      <w:r>
        <w:rPr>
          <w:color w:val="00AC59"/>
          <w:sz w:val="12"/>
        </w:rPr>
        <w:t>integral</w:t>
      </w:r>
      <w:r>
        <w:rPr>
          <w:color w:val="00AC59"/>
          <w:spacing w:val="7"/>
          <w:sz w:val="12"/>
        </w:rPr>
        <w:t xml:space="preserve"> </w:t>
      </w:r>
      <w:r>
        <w:rPr>
          <w:color w:val="00AC59"/>
          <w:sz w:val="12"/>
        </w:rPr>
        <w:t>contra</w:t>
      </w:r>
      <w:r>
        <w:rPr>
          <w:color w:val="00AC59"/>
          <w:spacing w:val="6"/>
          <w:sz w:val="12"/>
        </w:rPr>
        <w:t xml:space="preserve"> </w:t>
      </w:r>
      <w:r>
        <w:rPr>
          <w:color w:val="00AC59"/>
          <w:sz w:val="12"/>
        </w:rPr>
        <w:t>la</w:t>
      </w:r>
      <w:r>
        <w:rPr>
          <w:color w:val="00AC59"/>
          <w:spacing w:val="7"/>
          <w:sz w:val="12"/>
        </w:rPr>
        <w:t xml:space="preserve"> </w:t>
      </w:r>
      <w:r>
        <w:rPr>
          <w:color w:val="00AC59"/>
          <w:spacing w:val="-2"/>
          <w:sz w:val="12"/>
        </w:rPr>
        <w:t>discriminación</w:t>
      </w:r>
    </w:p>
    <w:p w14:paraId="4BCB3B7F" w14:textId="77777777" w:rsidR="0014798C" w:rsidRDefault="0014798C">
      <w:pPr>
        <w:pStyle w:val="Textoindependiente"/>
      </w:pPr>
    </w:p>
    <w:p w14:paraId="4EB64E6D" w14:textId="77777777" w:rsidR="0014798C" w:rsidRDefault="0014798C">
      <w:pPr>
        <w:pStyle w:val="Textoindependiente"/>
      </w:pPr>
    </w:p>
    <w:p w14:paraId="42EB9CE4" w14:textId="77777777" w:rsidR="0014798C" w:rsidRDefault="0014798C">
      <w:pPr>
        <w:pStyle w:val="Textoindependiente"/>
      </w:pPr>
    </w:p>
    <w:p w14:paraId="63EEA2E1" w14:textId="77777777" w:rsidR="0014798C" w:rsidRDefault="0014798C">
      <w:pPr>
        <w:pStyle w:val="Textoindependiente"/>
      </w:pPr>
    </w:p>
    <w:p w14:paraId="54EB7997" w14:textId="77777777" w:rsidR="0014798C" w:rsidRDefault="0014798C">
      <w:pPr>
        <w:pStyle w:val="Textoindependiente"/>
        <w:spacing w:before="73"/>
      </w:pPr>
    </w:p>
    <w:p w14:paraId="68A46640" w14:textId="77777777" w:rsidR="0014798C" w:rsidRDefault="004E1F0B">
      <w:pPr>
        <w:pStyle w:val="Prrafodelista"/>
        <w:numPr>
          <w:ilvl w:val="0"/>
          <w:numId w:val="30"/>
        </w:numPr>
        <w:tabs>
          <w:tab w:val="left" w:pos="1219"/>
          <w:tab w:val="left" w:pos="1348"/>
        </w:tabs>
        <w:spacing w:line="326" w:lineRule="auto"/>
        <w:ind w:left="1348" w:right="1555" w:hanging="230"/>
        <w:rPr>
          <w:sz w:val="16"/>
        </w:rPr>
      </w:pPr>
      <w:r>
        <w:rPr>
          <w:sz w:val="16"/>
        </w:rPr>
        <w:t>La obligación de consultar y asegurar la participación de los grupos afectados en todas las políticas, estrategias, monitoreo, iniciativas de investigación y acción positiva.</w:t>
      </w:r>
    </w:p>
    <w:p w14:paraId="05F3A1A3" w14:textId="77777777" w:rsidR="0014798C" w:rsidRDefault="004E1F0B">
      <w:pPr>
        <w:pStyle w:val="Textoindependiente"/>
        <w:spacing w:before="169" w:line="326" w:lineRule="auto"/>
        <w:ind w:left="1107" w:right="1239" w:firstLine="1"/>
      </w:pPr>
      <w:r>
        <w:t>Cabe</w:t>
      </w:r>
      <w:r>
        <w:rPr>
          <w:spacing w:val="13"/>
        </w:rPr>
        <w:t xml:space="preserve"> </w:t>
      </w:r>
      <w:r>
        <w:t>señalar</w:t>
      </w:r>
      <w:r>
        <w:rPr>
          <w:spacing w:val="13"/>
        </w:rPr>
        <w:t xml:space="preserve"> </w:t>
      </w:r>
      <w:r>
        <w:t>que</w:t>
      </w:r>
      <w:r>
        <w:rPr>
          <w:spacing w:val="13"/>
        </w:rPr>
        <w:t xml:space="preserve"> </w:t>
      </w:r>
      <w:r>
        <w:t>no</w:t>
      </w:r>
      <w:r>
        <w:rPr>
          <w:spacing w:val="13"/>
        </w:rPr>
        <w:t xml:space="preserve"> </w:t>
      </w:r>
      <w:r>
        <w:t>todas</w:t>
      </w:r>
      <w:r>
        <w:rPr>
          <w:spacing w:val="13"/>
        </w:rPr>
        <w:t xml:space="preserve"> </w:t>
      </w:r>
      <w:r>
        <w:t>estas</w:t>
      </w:r>
      <w:r>
        <w:rPr>
          <w:spacing w:val="13"/>
        </w:rPr>
        <w:t xml:space="preserve"> </w:t>
      </w:r>
      <w:r>
        <w:t>medidas</w:t>
      </w:r>
      <w:r>
        <w:rPr>
          <w:spacing w:val="13"/>
        </w:rPr>
        <w:t xml:space="preserve"> </w:t>
      </w:r>
      <w:r>
        <w:t>deberían</w:t>
      </w:r>
      <w:r>
        <w:rPr>
          <w:spacing w:val="13"/>
        </w:rPr>
        <w:t xml:space="preserve"> </w:t>
      </w:r>
      <w:r>
        <w:t>(o</w:t>
      </w:r>
      <w:r>
        <w:rPr>
          <w:spacing w:val="13"/>
        </w:rPr>
        <w:t xml:space="preserve"> </w:t>
      </w:r>
      <w:r>
        <w:t>de</w:t>
      </w:r>
      <w:r>
        <w:rPr>
          <w:spacing w:val="13"/>
        </w:rPr>
        <w:t xml:space="preserve"> </w:t>
      </w:r>
      <w:r>
        <w:t>hecho</w:t>
      </w:r>
      <w:r>
        <w:rPr>
          <w:spacing w:val="13"/>
        </w:rPr>
        <w:t xml:space="preserve"> </w:t>
      </w:r>
      <w:r>
        <w:t>podrían)</w:t>
      </w:r>
      <w:r>
        <w:rPr>
          <w:spacing w:val="13"/>
        </w:rPr>
        <w:t xml:space="preserve"> </w:t>
      </w:r>
      <w:r>
        <w:t>implementarse</w:t>
      </w:r>
      <w:r>
        <w:rPr>
          <w:spacing w:val="13"/>
        </w:rPr>
        <w:t xml:space="preserve"> </w:t>
      </w:r>
      <w:r>
        <w:t>plenamente</w:t>
      </w:r>
      <w:r>
        <w:rPr>
          <w:spacing w:val="13"/>
        </w:rPr>
        <w:t xml:space="preserve"> </w:t>
      </w:r>
      <w:r>
        <w:t>o</w:t>
      </w:r>
      <w:r>
        <w:rPr>
          <w:spacing w:val="13"/>
        </w:rPr>
        <w:t xml:space="preserve"> </w:t>
      </w:r>
      <w:r>
        <w:t>incluirse</w:t>
      </w:r>
      <w:r>
        <w:rPr>
          <w:spacing w:val="13"/>
        </w:rPr>
        <w:t xml:space="preserve"> </w:t>
      </w:r>
      <w:r>
        <w:t>dentro</w:t>
      </w:r>
      <w:r>
        <w:rPr>
          <w:spacing w:val="13"/>
        </w:rPr>
        <w:t xml:space="preserve"> </w:t>
      </w:r>
      <w:r>
        <w:t>de</w:t>
      </w:r>
      <w:r>
        <w:rPr>
          <w:spacing w:val="13"/>
        </w:rPr>
        <w:t xml:space="preserve"> </w:t>
      </w:r>
      <w:r>
        <w:t>una ley integral contra la discriminación. Algunas medidas de implementación requieren que los Estados adopten políticas o prácticas que no pueden detallarse en la legislación, mientras que otras implican medidas fiscales o económicas que son de naturaleza dinámica. Así, si bien el derecho internacional deja claro que los Estados deben garantizar la implementación efectiva de los derechos</w:t>
      </w:r>
      <w:r>
        <w:rPr>
          <w:spacing w:val="9"/>
        </w:rPr>
        <w:t xml:space="preserve"> </w:t>
      </w:r>
      <w:r>
        <w:t>a</w:t>
      </w:r>
      <w:r>
        <w:rPr>
          <w:spacing w:val="9"/>
        </w:rPr>
        <w:t xml:space="preserve"> </w:t>
      </w:r>
      <w:r>
        <w:t>la</w:t>
      </w:r>
      <w:r>
        <w:rPr>
          <w:spacing w:val="9"/>
        </w:rPr>
        <w:t xml:space="preserve"> </w:t>
      </w:r>
      <w:r>
        <w:t>igualdad</w:t>
      </w:r>
      <w:r>
        <w:rPr>
          <w:spacing w:val="9"/>
        </w:rPr>
        <w:t xml:space="preserve"> </w:t>
      </w:r>
      <w:r>
        <w:t>y</w:t>
      </w:r>
      <w:r>
        <w:rPr>
          <w:spacing w:val="9"/>
        </w:rPr>
        <w:t xml:space="preserve"> </w:t>
      </w:r>
      <w:r>
        <w:t>la</w:t>
      </w:r>
      <w:r>
        <w:rPr>
          <w:spacing w:val="9"/>
        </w:rPr>
        <w:t xml:space="preserve"> </w:t>
      </w:r>
      <w:r>
        <w:t>no</w:t>
      </w:r>
      <w:r>
        <w:rPr>
          <w:spacing w:val="9"/>
        </w:rPr>
        <w:t xml:space="preserve"> </w:t>
      </w:r>
      <w:r>
        <w:t>discriminación,</w:t>
      </w:r>
      <w:r>
        <w:rPr>
          <w:spacing w:val="12"/>
        </w:rPr>
        <w:t xml:space="preserve"> </w:t>
      </w:r>
      <w:r>
        <w:t>los</w:t>
      </w:r>
      <w:r>
        <w:rPr>
          <w:spacing w:val="9"/>
        </w:rPr>
        <w:t xml:space="preserve"> </w:t>
      </w:r>
      <w:r>
        <w:t>principales</w:t>
      </w:r>
      <w:r>
        <w:rPr>
          <w:spacing w:val="9"/>
        </w:rPr>
        <w:t xml:space="preserve"> </w:t>
      </w:r>
      <w:r>
        <w:t>instrumentos</w:t>
      </w:r>
      <w:r>
        <w:rPr>
          <w:spacing w:val="9"/>
        </w:rPr>
        <w:t xml:space="preserve"> </w:t>
      </w:r>
      <w:r>
        <w:t>en</w:t>
      </w:r>
      <w:r>
        <w:rPr>
          <w:spacing w:val="9"/>
        </w:rPr>
        <w:t xml:space="preserve"> </w:t>
      </w:r>
      <w:r>
        <w:t>su</w:t>
      </w:r>
      <w:r>
        <w:rPr>
          <w:spacing w:val="9"/>
        </w:rPr>
        <w:t xml:space="preserve"> </w:t>
      </w:r>
      <w:r>
        <w:t>mayor</w:t>
      </w:r>
      <w:r>
        <w:rPr>
          <w:spacing w:val="9"/>
        </w:rPr>
        <w:t xml:space="preserve"> </w:t>
      </w:r>
      <w:r>
        <w:t>parte</w:t>
      </w:r>
      <w:r>
        <w:rPr>
          <w:spacing w:val="9"/>
        </w:rPr>
        <w:t xml:space="preserve"> </w:t>
      </w:r>
      <w:r>
        <w:t>dejan</w:t>
      </w:r>
      <w:r>
        <w:rPr>
          <w:spacing w:val="9"/>
        </w:rPr>
        <w:t xml:space="preserve"> </w:t>
      </w:r>
      <w:r>
        <w:t>el</w:t>
      </w:r>
      <w:r>
        <w:rPr>
          <w:spacing w:val="9"/>
        </w:rPr>
        <w:t xml:space="preserve"> </w:t>
      </w:r>
      <w:r>
        <w:t>diseño</w:t>
      </w:r>
      <w:r>
        <w:rPr>
          <w:spacing w:val="9"/>
        </w:rPr>
        <w:t xml:space="preserve"> </w:t>
      </w:r>
      <w:r>
        <w:t>de</w:t>
      </w:r>
      <w:r>
        <w:rPr>
          <w:spacing w:val="9"/>
        </w:rPr>
        <w:t xml:space="preserve"> </w:t>
      </w:r>
      <w:r>
        <w:t>tales</w:t>
      </w:r>
      <w:r>
        <w:rPr>
          <w:spacing w:val="9"/>
        </w:rPr>
        <w:t xml:space="preserve"> </w:t>
      </w:r>
      <w:r>
        <w:t>medidas</w:t>
      </w:r>
      <w:r>
        <w:rPr>
          <w:spacing w:val="9"/>
        </w:rPr>
        <w:t xml:space="preserve"> </w:t>
      </w:r>
      <w:r>
        <w:t>a la discreción nacional.801</w:t>
      </w:r>
    </w:p>
    <w:p w14:paraId="6E8C8B68" w14:textId="77777777" w:rsidR="0014798C" w:rsidRDefault="004E1F0B">
      <w:pPr>
        <w:pStyle w:val="Textoindependiente"/>
        <w:spacing w:before="167" w:line="326" w:lineRule="auto"/>
        <w:ind w:left="1111" w:right="1463" w:hanging="6"/>
      </w:pPr>
      <w:r>
        <w:t>Sin embargo, es importante que los Estados garanticen que su legislación contra la discriminación requiera la adopción de medidas de implementación y proporcione el marco para su funcionamiento.</w:t>
      </w:r>
    </w:p>
    <w:p w14:paraId="20CD0088" w14:textId="77777777" w:rsidR="0014798C" w:rsidRDefault="004E1F0B">
      <w:pPr>
        <w:numPr>
          <w:ilvl w:val="1"/>
          <w:numId w:val="3"/>
        </w:numPr>
        <w:tabs>
          <w:tab w:val="left" w:pos="1445"/>
        </w:tabs>
        <w:spacing w:before="289"/>
        <w:ind w:left="1445" w:hanging="345"/>
        <w:rPr>
          <w:color w:val="00AC59"/>
          <w:sz w:val="28"/>
        </w:rPr>
      </w:pPr>
      <w:r>
        <w:rPr>
          <w:color w:val="00AC59"/>
          <w:sz w:val="28"/>
        </w:rPr>
        <w:t>Políticas</w:t>
      </w:r>
      <w:r>
        <w:rPr>
          <w:color w:val="00AC59"/>
          <w:spacing w:val="6"/>
          <w:sz w:val="28"/>
        </w:rPr>
        <w:t xml:space="preserve"> </w:t>
      </w:r>
      <w:r>
        <w:rPr>
          <w:color w:val="00AC59"/>
          <w:sz w:val="28"/>
        </w:rPr>
        <w:t>y</w:t>
      </w:r>
      <w:r>
        <w:rPr>
          <w:color w:val="00AC59"/>
          <w:spacing w:val="7"/>
          <w:sz w:val="28"/>
        </w:rPr>
        <w:t xml:space="preserve"> </w:t>
      </w:r>
      <w:r>
        <w:rPr>
          <w:color w:val="00AC59"/>
          <w:sz w:val="28"/>
        </w:rPr>
        <w:t>estrategias</w:t>
      </w:r>
      <w:r>
        <w:rPr>
          <w:color w:val="00AC59"/>
          <w:spacing w:val="7"/>
          <w:sz w:val="28"/>
        </w:rPr>
        <w:t xml:space="preserve"> </w:t>
      </w:r>
      <w:r>
        <w:rPr>
          <w:color w:val="00AC59"/>
          <w:sz w:val="28"/>
        </w:rPr>
        <w:t>de</w:t>
      </w:r>
      <w:r>
        <w:rPr>
          <w:color w:val="00AC59"/>
          <w:spacing w:val="7"/>
          <w:sz w:val="28"/>
        </w:rPr>
        <w:t xml:space="preserve"> </w:t>
      </w:r>
      <w:r>
        <w:rPr>
          <w:color w:val="00AC59"/>
          <w:spacing w:val="-2"/>
          <w:sz w:val="28"/>
        </w:rPr>
        <w:t>igualdad</w:t>
      </w:r>
    </w:p>
    <w:p w14:paraId="739A1CAC" w14:textId="77777777" w:rsidR="0014798C" w:rsidRDefault="0014798C">
      <w:pPr>
        <w:pStyle w:val="Textoindependiente"/>
        <w:spacing w:before="57"/>
      </w:pPr>
    </w:p>
    <w:p w14:paraId="7A4AE652" w14:textId="77777777" w:rsidR="0014798C" w:rsidRDefault="004E1F0B">
      <w:pPr>
        <w:pStyle w:val="Textoindependiente"/>
        <w:spacing w:line="326" w:lineRule="auto"/>
        <w:ind w:left="1107" w:right="1418" w:firstLine="5"/>
      </w:pPr>
      <w:r>
        <w:t>Los Estados partes en la Convención Internacional sobre la Eliminación de todas las Formas de Discriminación Racial, la Convención sobre la Eliminación de Todas las Formas de Discriminación contra la Mujer y la Convención sobre los Derechos de las Personas con Discapacidad asumen el compromiso general de “comprometerse a perseguir por todos medios apropiados y</w:t>
      </w:r>
      <w:r>
        <w:rPr>
          <w:spacing w:val="80"/>
        </w:rPr>
        <w:t xml:space="preserve"> </w:t>
      </w:r>
      <w:r>
        <w:t>sin demora una política” para eliminar la discriminación.802 Como lo aclaró el Comité para la Eliminación de la Discriminación contra la Mujer, el compromiso de “política” aquí se entiende como política de Estado en su sentido más amplio, que requiere la “adopción de una gama integral de medidas”,</w:t>
      </w:r>
      <w:r>
        <w:rPr>
          <w:spacing w:val="14"/>
        </w:rPr>
        <w:t xml:space="preserve"> </w:t>
      </w:r>
      <w:r>
        <w:t>que van desde la adopción de garantías constitucionales de no discriminación</w:t>
      </w:r>
      <w:r>
        <w:rPr>
          <w:spacing w:val="80"/>
        </w:rPr>
        <w:t xml:space="preserve"> </w:t>
      </w:r>
      <w:r>
        <w:t>hasta la derogación de legislación discriminatoria.803</w:t>
      </w:r>
    </w:p>
    <w:p w14:paraId="2672D11A" w14:textId="77777777" w:rsidR="0014798C" w:rsidRDefault="004E1F0B">
      <w:pPr>
        <w:pStyle w:val="Textoindependiente"/>
        <w:spacing w:line="326" w:lineRule="auto"/>
        <w:ind w:left="1105" w:right="1463" w:firstLine="2"/>
      </w:pPr>
      <w:r>
        <w:t>Sin embargo, el Comité para la Eliminación de la Discriminación contra la Mujer destaca que, como elemento esencial de este compromiso político amplio y global, los Estados deberían adoptar “planes de acción integrales... que proporcionen un marco para la realización práctica del principio de igualdad formal y sustantiva”. de mujeres y hombres”.804</w:t>
      </w:r>
    </w:p>
    <w:p w14:paraId="1DCC88EC" w14:textId="77777777" w:rsidR="0014798C" w:rsidRDefault="0014798C">
      <w:pPr>
        <w:pStyle w:val="Textoindependiente"/>
      </w:pPr>
    </w:p>
    <w:p w14:paraId="4AAD7B3C" w14:textId="77777777" w:rsidR="0014798C" w:rsidRDefault="0014798C">
      <w:pPr>
        <w:pStyle w:val="Textoindependiente"/>
        <w:spacing w:before="46"/>
      </w:pPr>
    </w:p>
    <w:p w14:paraId="7C5D7ACB" w14:textId="77777777" w:rsidR="0014798C" w:rsidRDefault="004E1F0B">
      <w:pPr>
        <w:pStyle w:val="Textoindependiente"/>
        <w:spacing w:before="1" w:line="326" w:lineRule="auto"/>
        <w:ind w:left="1109" w:right="1335" w:hanging="4"/>
      </w:pPr>
      <w:r>
        <w:t>Las declaraciones del Comité para la Eliminación de la Discriminación contra la Mujer reflejan el claro consenso internacional de que los Estados deben desarrollar, adoptar e implementar políticas, planes de acción y estrategias de igualdad y no discriminación. Se puede considerar que el deber implica dos aspectos.</w:t>
      </w:r>
    </w:p>
    <w:p w14:paraId="293CC152" w14:textId="77777777" w:rsidR="0014798C" w:rsidRDefault="004E1F0B">
      <w:pPr>
        <w:pStyle w:val="Textoindependiente"/>
        <w:spacing w:before="168" w:line="326" w:lineRule="auto"/>
        <w:ind w:left="1103" w:right="1332" w:firstLine="6"/>
      </w:pPr>
      <w:r>
        <w:t>En</w:t>
      </w:r>
      <w:r>
        <w:rPr>
          <w:spacing w:val="13"/>
        </w:rPr>
        <w:t xml:space="preserve"> </w:t>
      </w:r>
      <w:r>
        <w:t>primer</w:t>
      </w:r>
      <w:r>
        <w:rPr>
          <w:spacing w:val="13"/>
        </w:rPr>
        <w:t xml:space="preserve"> </w:t>
      </w:r>
      <w:r>
        <w:t>lugar,</w:t>
      </w:r>
      <w:r>
        <w:rPr>
          <w:spacing w:val="14"/>
        </w:rPr>
        <w:t xml:space="preserve"> </w:t>
      </w:r>
      <w:r>
        <w:t>los</w:t>
      </w:r>
      <w:r>
        <w:rPr>
          <w:spacing w:val="13"/>
        </w:rPr>
        <w:t xml:space="preserve"> </w:t>
      </w:r>
      <w:r>
        <w:t>Estados</w:t>
      </w:r>
      <w:r>
        <w:rPr>
          <w:spacing w:val="13"/>
        </w:rPr>
        <w:t xml:space="preserve"> </w:t>
      </w:r>
      <w:r>
        <w:t>deben</w:t>
      </w:r>
      <w:r>
        <w:rPr>
          <w:spacing w:val="13"/>
        </w:rPr>
        <w:t xml:space="preserve"> </w:t>
      </w:r>
      <w:r>
        <w:t>adoptar</w:t>
      </w:r>
      <w:r>
        <w:rPr>
          <w:spacing w:val="13"/>
        </w:rPr>
        <w:t xml:space="preserve"> </w:t>
      </w:r>
      <w:r>
        <w:t>estrategias</w:t>
      </w:r>
      <w:r>
        <w:rPr>
          <w:spacing w:val="13"/>
        </w:rPr>
        <w:t xml:space="preserve"> </w:t>
      </w:r>
      <w:r>
        <w:t>específicas</w:t>
      </w:r>
      <w:r>
        <w:rPr>
          <w:spacing w:val="13"/>
        </w:rPr>
        <w:t xml:space="preserve"> </w:t>
      </w:r>
      <w:r>
        <w:t>centradas</w:t>
      </w:r>
      <w:r>
        <w:rPr>
          <w:spacing w:val="13"/>
        </w:rPr>
        <w:t xml:space="preserve"> </w:t>
      </w:r>
      <w:r>
        <w:t>en</w:t>
      </w:r>
      <w:r>
        <w:rPr>
          <w:spacing w:val="13"/>
        </w:rPr>
        <w:t xml:space="preserve"> </w:t>
      </w:r>
      <w:r>
        <w:t>el</w:t>
      </w:r>
      <w:r>
        <w:rPr>
          <w:spacing w:val="13"/>
        </w:rPr>
        <w:t xml:space="preserve"> </w:t>
      </w:r>
      <w:r>
        <w:t>logro</w:t>
      </w:r>
      <w:r>
        <w:rPr>
          <w:spacing w:val="13"/>
        </w:rPr>
        <w:t xml:space="preserve"> </w:t>
      </w:r>
      <w:r>
        <w:t>de</w:t>
      </w:r>
      <w:r>
        <w:rPr>
          <w:spacing w:val="13"/>
        </w:rPr>
        <w:t xml:space="preserve"> </w:t>
      </w:r>
      <w:r>
        <w:t>la</w:t>
      </w:r>
      <w:r>
        <w:rPr>
          <w:spacing w:val="13"/>
        </w:rPr>
        <w:t xml:space="preserve"> </w:t>
      </w:r>
      <w:r>
        <w:t>igualdad</w:t>
      </w:r>
      <w:r>
        <w:rPr>
          <w:spacing w:val="13"/>
        </w:rPr>
        <w:t xml:space="preserve"> </w:t>
      </w:r>
      <w:r>
        <w:t>y</w:t>
      </w:r>
      <w:r>
        <w:rPr>
          <w:spacing w:val="13"/>
        </w:rPr>
        <w:t xml:space="preserve"> </w:t>
      </w:r>
      <w:r>
        <w:t>la</w:t>
      </w:r>
      <w:r>
        <w:rPr>
          <w:spacing w:val="13"/>
        </w:rPr>
        <w:t xml:space="preserve"> </w:t>
      </w:r>
      <w:r>
        <w:t>no</w:t>
      </w:r>
      <w:r>
        <w:rPr>
          <w:spacing w:val="13"/>
        </w:rPr>
        <w:t xml:space="preserve"> </w:t>
      </w:r>
      <w:r>
        <w:t>discriminación. El Comité de Derechos Económicos, Sociales y Culturales ha comentado que los Estados “deberían garantizar que se</w:t>
      </w:r>
      <w:r>
        <w:rPr>
          <w:spacing w:val="40"/>
        </w:rPr>
        <w:t xml:space="preserve"> </w:t>
      </w:r>
      <w:r>
        <w:t>establezcan e implementen estrategias, políticas y planes de acción para abordar la discriminación tanto formal como sustantiva por parte de actores públicos y privados”.805 El Comité sobre la Eliminación de la Discriminación contra la Mujer, como se</w:t>
      </w:r>
      <w:r>
        <w:rPr>
          <w:spacing w:val="80"/>
        </w:rPr>
        <w:t xml:space="preserve"> </w:t>
      </w:r>
      <w:r>
        <w:t>señaló, ha reconocido que los Estados deben adoptar planes de acción integrales para la realización de la igualdad entre</w:t>
      </w:r>
      <w:r>
        <w:rPr>
          <w:spacing w:val="40"/>
        </w:rPr>
        <w:t xml:space="preserve"> </w:t>
      </w:r>
      <w:r>
        <w:t>hombres</w:t>
      </w:r>
      <w:r>
        <w:rPr>
          <w:spacing w:val="11"/>
        </w:rPr>
        <w:t xml:space="preserve"> </w:t>
      </w:r>
      <w:r>
        <w:t>y</w:t>
      </w:r>
      <w:r>
        <w:rPr>
          <w:spacing w:val="11"/>
        </w:rPr>
        <w:t xml:space="preserve"> </w:t>
      </w:r>
      <w:r>
        <w:t>mujeres.806</w:t>
      </w:r>
      <w:r>
        <w:rPr>
          <w:spacing w:val="11"/>
        </w:rPr>
        <w:t xml:space="preserve"> </w:t>
      </w:r>
      <w:r>
        <w:t>De</w:t>
      </w:r>
      <w:r>
        <w:rPr>
          <w:spacing w:val="11"/>
        </w:rPr>
        <w:t xml:space="preserve"> </w:t>
      </w:r>
      <w:r>
        <w:t>manera</w:t>
      </w:r>
      <w:r>
        <w:rPr>
          <w:spacing w:val="11"/>
        </w:rPr>
        <w:t xml:space="preserve"> </w:t>
      </w:r>
      <w:r>
        <w:t>similar,</w:t>
      </w:r>
      <w:r>
        <w:rPr>
          <w:spacing w:val="12"/>
        </w:rPr>
        <w:t xml:space="preserve"> </w:t>
      </w:r>
      <w:r>
        <w:t>el</w:t>
      </w:r>
      <w:r>
        <w:rPr>
          <w:spacing w:val="11"/>
        </w:rPr>
        <w:t xml:space="preserve"> </w:t>
      </w:r>
      <w:r>
        <w:t>Comité</w:t>
      </w:r>
      <w:r>
        <w:rPr>
          <w:spacing w:val="11"/>
        </w:rPr>
        <w:t xml:space="preserve"> </w:t>
      </w:r>
      <w:r>
        <w:t>sobre</w:t>
      </w:r>
      <w:r>
        <w:rPr>
          <w:spacing w:val="11"/>
        </w:rPr>
        <w:t xml:space="preserve"> </w:t>
      </w:r>
      <w:r>
        <w:t>los</w:t>
      </w:r>
      <w:r>
        <w:rPr>
          <w:spacing w:val="11"/>
        </w:rPr>
        <w:t xml:space="preserve"> </w:t>
      </w:r>
      <w:r>
        <w:t>Derechos</w:t>
      </w:r>
      <w:r>
        <w:rPr>
          <w:spacing w:val="11"/>
        </w:rPr>
        <w:t xml:space="preserve"> </w:t>
      </w:r>
      <w:r>
        <w:t>de</w:t>
      </w:r>
      <w:r>
        <w:rPr>
          <w:spacing w:val="11"/>
        </w:rPr>
        <w:t xml:space="preserve"> </w:t>
      </w:r>
      <w:r>
        <w:t>las</w:t>
      </w:r>
      <w:r>
        <w:rPr>
          <w:spacing w:val="11"/>
        </w:rPr>
        <w:t xml:space="preserve"> </w:t>
      </w:r>
      <w:r>
        <w:t>Personas</w:t>
      </w:r>
      <w:r>
        <w:rPr>
          <w:spacing w:val="11"/>
        </w:rPr>
        <w:t xml:space="preserve"> </w:t>
      </w:r>
      <w:r>
        <w:t>con</w:t>
      </w:r>
      <w:r>
        <w:rPr>
          <w:spacing w:val="11"/>
        </w:rPr>
        <w:t xml:space="preserve"> </w:t>
      </w:r>
      <w:r>
        <w:t>Discapacidad</w:t>
      </w:r>
      <w:r>
        <w:rPr>
          <w:spacing w:val="11"/>
        </w:rPr>
        <w:t xml:space="preserve"> </w:t>
      </w:r>
      <w:r>
        <w:t>ha</w:t>
      </w:r>
      <w:r>
        <w:rPr>
          <w:spacing w:val="11"/>
        </w:rPr>
        <w:t xml:space="preserve"> </w:t>
      </w:r>
      <w:r>
        <w:t>enfatizado</w:t>
      </w:r>
      <w:r>
        <w:rPr>
          <w:spacing w:val="11"/>
        </w:rPr>
        <w:t xml:space="preserve"> </w:t>
      </w:r>
      <w:r>
        <w:t>que la plena implementación del derecho para la no discriminación es necesario desarrollar “en estrecha consulta con las organizaciones</w:t>
      </w:r>
      <w:r>
        <w:rPr>
          <w:spacing w:val="15"/>
        </w:rPr>
        <w:t xml:space="preserve"> </w:t>
      </w:r>
      <w:r>
        <w:t>de</w:t>
      </w:r>
      <w:r>
        <w:rPr>
          <w:spacing w:val="15"/>
        </w:rPr>
        <w:t xml:space="preserve"> </w:t>
      </w:r>
      <w:r>
        <w:t>personas</w:t>
      </w:r>
      <w:r>
        <w:rPr>
          <w:spacing w:val="15"/>
        </w:rPr>
        <w:t xml:space="preserve"> </w:t>
      </w:r>
      <w:r>
        <w:t>con</w:t>
      </w:r>
      <w:r>
        <w:rPr>
          <w:spacing w:val="15"/>
        </w:rPr>
        <w:t xml:space="preserve"> </w:t>
      </w:r>
      <w:r>
        <w:t>discapacidad...</w:t>
      </w:r>
      <w:r>
        <w:rPr>
          <w:spacing w:val="17"/>
        </w:rPr>
        <w:t xml:space="preserve"> </w:t>
      </w:r>
      <w:r>
        <w:t>y</w:t>
      </w:r>
      <w:r>
        <w:rPr>
          <w:spacing w:val="15"/>
        </w:rPr>
        <w:t xml:space="preserve"> </w:t>
      </w:r>
      <w:r>
        <w:t>otras</w:t>
      </w:r>
      <w:r>
        <w:rPr>
          <w:spacing w:val="15"/>
        </w:rPr>
        <w:t xml:space="preserve"> </w:t>
      </w:r>
      <w:r>
        <w:t>partes</w:t>
      </w:r>
      <w:r>
        <w:rPr>
          <w:spacing w:val="15"/>
        </w:rPr>
        <w:t xml:space="preserve"> </w:t>
      </w:r>
      <w:r>
        <w:t>interesadas</w:t>
      </w:r>
      <w:r>
        <w:rPr>
          <w:spacing w:val="15"/>
        </w:rPr>
        <w:t xml:space="preserve"> </w:t>
      </w:r>
      <w:r>
        <w:t>pertinentes...</w:t>
      </w:r>
      <w:r>
        <w:rPr>
          <w:spacing w:val="17"/>
        </w:rPr>
        <w:t xml:space="preserve"> </w:t>
      </w:r>
      <w:r>
        <w:t>una</w:t>
      </w:r>
      <w:r>
        <w:rPr>
          <w:spacing w:val="15"/>
        </w:rPr>
        <w:t xml:space="preserve"> </w:t>
      </w:r>
      <w:r>
        <w:t>política</w:t>
      </w:r>
      <w:r>
        <w:rPr>
          <w:spacing w:val="15"/>
        </w:rPr>
        <w:t xml:space="preserve"> </w:t>
      </w:r>
      <w:r>
        <w:t>y</w:t>
      </w:r>
      <w:r>
        <w:rPr>
          <w:spacing w:val="15"/>
        </w:rPr>
        <w:t xml:space="preserve"> </w:t>
      </w:r>
      <w:r>
        <w:t>estrategia</w:t>
      </w:r>
      <w:r>
        <w:rPr>
          <w:spacing w:val="15"/>
        </w:rPr>
        <w:t xml:space="preserve"> </w:t>
      </w:r>
      <w:r>
        <w:t>de</w:t>
      </w:r>
      <w:r>
        <w:rPr>
          <w:spacing w:val="15"/>
        </w:rPr>
        <w:t xml:space="preserve"> </w:t>
      </w:r>
      <w:r>
        <w:t>igualdad que sea inclusiva y accesible para todas las personas con discapacidad”.807</w:t>
      </w:r>
    </w:p>
    <w:p w14:paraId="1AD13F22" w14:textId="77777777" w:rsidR="0014798C" w:rsidRDefault="004E1F0B">
      <w:pPr>
        <w:pStyle w:val="Textoindependiente"/>
        <w:spacing w:before="166" w:line="326" w:lineRule="auto"/>
        <w:ind w:left="1107" w:right="1059" w:firstLine="5"/>
      </w:pPr>
      <w:r>
        <w:t>En</w:t>
      </w:r>
      <w:r>
        <w:rPr>
          <w:spacing w:val="12"/>
        </w:rPr>
        <w:t xml:space="preserve"> </w:t>
      </w:r>
      <w:r>
        <w:t>segundo</w:t>
      </w:r>
      <w:r>
        <w:rPr>
          <w:spacing w:val="12"/>
        </w:rPr>
        <w:t xml:space="preserve"> </w:t>
      </w:r>
      <w:r>
        <w:t>lugar,</w:t>
      </w:r>
      <w:r>
        <w:rPr>
          <w:spacing w:val="13"/>
        </w:rPr>
        <w:t xml:space="preserve"> </w:t>
      </w:r>
      <w:r>
        <w:t>los</w:t>
      </w:r>
      <w:r>
        <w:rPr>
          <w:spacing w:val="12"/>
        </w:rPr>
        <w:t xml:space="preserve"> </w:t>
      </w:r>
      <w:r>
        <w:t>Estados</w:t>
      </w:r>
      <w:r>
        <w:rPr>
          <w:spacing w:val="12"/>
        </w:rPr>
        <w:t xml:space="preserve"> </w:t>
      </w:r>
      <w:r>
        <w:t>deberían</w:t>
      </w:r>
      <w:r>
        <w:rPr>
          <w:spacing w:val="12"/>
        </w:rPr>
        <w:t xml:space="preserve"> </w:t>
      </w:r>
      <w:r>
        <w:t>integrar</w:t>
      </w:r>
      <w:r>
        <w:rPr>
          <w:spacing w:val="12"/>
        </w:rPr>
        <w:t xml:space="preserve"> </w:t>
      </w:r>
      <w:r>
        <w:t>la</w:t>
      </w:r>
      <w:r>
        <w:rPr>
          <w:spacing w:val="12"/>
        </w:rPr>
        <w:t xml:space="preserve"> </w:t>
      </w:r>
      <w:r>
        <w:t>planificación</w:t>
      </w:r>
      <w:r>
        <w:rPr>
          <w:spacing w:val="12"/>
        </w:rPr>
        <w:t xml:space="preserve"> </w:t>
      </w:r>
      <w:r>
        <w:t>de</w:t>
      </w:r>
      <w:r>
        <w:rPr>
          <w:spacing w:val="12"/>
        </w:rPr>
        <w:t xml:space="preserve"> </w:t>
      </w:r>
      <w:r>
        <w:t>la</w:t>
      </w:r>
      <w:r>
        <w:rPr>
          <w:spacing w:val="12"/>
        </w:rPr>
        <w:t xml:space="preserve"> </w:t>
      </w:r>
      <w:r>
        <w:t>igualdad</w:t>
      </w:r>
      <w:r>
        <w:rPr>
          <w:spacing w:val="12"/>
        </w:rPr>
        <w:t xml:space="preserve"> </w:t>
      </w:r>
      <w:r>
        <w:t>y</w:t>
      </w:r>
      <w:r>
        <w:rPr>
          <w:spacing w:val="12"/>
        </w:rPr>
        <w:t xml:space="preserve"> </w:t>
      </w:r>
      <w:r>
        <w:t>la</w:t>
      </w:r>
      <w:r>
        <w:rPr>
          <w:spacing w:val="12"/>
        </w:rPr>
        <w:t xml:space="preserve"> </w:t>
      </w:r>
      <w:r>
        <w:t>no</w:t>
      </w:r>
      <w:r>
        <w:rPr>
          <w:spacing w:val="12"/>
        </w:rPr>
        <w:t xml:space="preserve"> </w:t>
      </w:r>
      <w:r>
        <w:t>discriminación</w:t>
      </w:r>
      <w:r>
        <w:rPr>
          <w:spacing w:val="12"/>
        </w:rPr>
        <w:t xml:space="preserve"> </w:t>
      </w:r>
      <w:r>
        <w:t>en</w:t>
      </w:r>
      <w:r>
        <w:rPr>
          <w:spacing w:val="12"/>
        </w:rPr>
        <w:t xml:space="preserve"> </w:t>
      </w:r>
      <w:r>
        <w:t>sus</w:t>
      </w:r>
      <w:r>
        <w:rPr>
          <w:spacing w:val="12"/>
        </w:rPr>
        <w:t xml:space="preserve"> </w:t>
      </w:r>
      <w:r>
        <w:t>programas</w:t>
      </w:r>
      <w:r>
        <w:rPr>
          <w:spacing w:val="12"/>
        </w:rPr>
        <w:t xml:space="preserve"> </w:t>
      </w:r>
      <w:r>
        <w:t>más amplios de desarrollo de políticas. Por ejemplo, además de exigir la adopción de normas específicas de igualdad y no discriminación</w:t>
      </w:r>
    </w:p>
    <w:p w14:paraId="686FB4BF" w14:textId="77777777" w:rsidR="0014798C" w:rsidRDefault="004E1F0B">
      <w:pPr>
        <w:pStyle w:val="Textoindependiente"/>
        <w:spacing w:before="156"/>
        <w:rPr>
          <w:sz w:val="20"/>
        </w:rPr>
      </w:pPr>
      <w:r>
        <w:rPr>
          <w:noProof/>
        </w:rPr>
        <w:drawing>
          <wp:anchor distT="0" distB="0" distL="0" distR="0" simplePos="0" relativeHeight="251658540" behindDoc="1" locked="0" layoutInCell="1" allowOverlap="1" wp14:anchorId="30464C43" wp14:editId="13E875B1">
            <wp:simplePos x="0" y="0"/>
            <wp:positionH relativeFrom="page">
              <wp:posOffset>826632</wp:posOffset>
            </wp:positionH>
            <wp:positionV relativeFrom="paragraph">
              <wp:posOffset>260941</wp:posOffset>
            </wp:positionV>
            <wp:extent cx="931001" cy="35813"/>
            <wp:effectExtent l="0" t="0" r="0" b="0"/>
            <wp:wrapTopAndBottom/>
            <wp:docPr id="246" name="Image 24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46" name="Image 246"/>
                    <pic:cNvPicPr/>
                  </pic:nvPicPr>
                  <pic:blipFill>
                    <a:blip r:embed="rId221" cstate="print"/>
                    <a:stretch>
                      <a:fillRect/>
                    </a:stretch>
                  </pic:blipFill>
                  <pic:spPr>
                    <a:xfrm>
                      <a:off x="0" y="0"/>
                      <a:ext cx="931001" cy="35813"/>
                    </a:xfrm>
                    <a:prstGeom prst="rect">
                      <a:avLst/>
                    </a:prstGeom>
                  </pic:spPr>
                </pic:pic>
              </a:graphicData>
            </a:graphic>
          </wp:anchor>
        </w:drawing>
      </w:r>
    </w:p>
    <w:p w14:paraId="2075E279" w14:textId="77777777" w:rsidR="0014798C" w:rsidRDefault="0014798C">
      <w:pPr>
        <w:pStyle w:val="Textoindependiente"/>
        <w:spacing w:before="1"/>
        <w:rPr>
          <w:sz w:val="6"/>
        </w:rPr>
      </w:pPr>
    </w:p>
    <w:p w14:paraId="657E02B0" w14:textId="77777777" w:rsidR="0014798C" w:rsidRDefault="0014798C">
      <w:pPr>
        <w:rPr>
          <w:sz w:val="6"/>
        </w:rPr>
        <w:sectPr w:rsidR="0014798C" w:rsidSect="00F265E4">
          <w:headerReference w:type="default" r:id="rId222"/>
          <w:pgSz w:w="11900" w:h="16820"/>
          <w:pgMar w:top="340" w:right="0" w:bottom="280" w:left="200" w:header="121" w:footer="0" w:gutter="0"/>
          <w:cols w:space="720"/>
        </w:sectPr>
      </w:pPr>
    </w:p>
    <w:p w14:paraId="2E3A05C3" w14:textId="77777777" w:rsidR="0014798C" w:rsidRDefault="004E1F0B">
      <w:pPr>
        <w:spacing w:before="52"/>
        <w:jc w:val="right"/>
        <w:rPr>
          <w:sz w:val="8"/>
        </w:rPr>
      </w:pPr>
      <w:r>
        <w:rPr>
          <w:spacing w:val="-5"/>
          <w:w w:val="105"/>
          <w:sz w:val="8"/>
        </w:rPr>
        <w:t>801</w:t>
      </w:r>
    </w:p>
    <w:p w14:paraId="02FBCBEE" w14:textId="77777777" w:rsidR="0014798C" w:rsidRDefault="004E1F0B">
      <w:pPr>
        <w:spacing w:before="79" w:line="268" w:lineRule="auto"/>
        <w:ind w:left="77" w:right="1494"/>
        <w:rPr>
          <w:sz w:val="14"/>
        </w:rPr>
      </w:pPr>
      <w:r>
        <w:br w:type="column"/>
      </w:r>
      <w:r>
        <w:rPr>
          <w:sz w:val="14"/>
        </w:rPr>
        <w:t>Véase, por ejemplo, Comité para la Eliminación de la Discriminación contra la Mujer, recomendación general núm. 28 (2010), párr. 23: “Esta</w:t>
      </w:r>
      <w:r>
        <w:rPr>
          <w:spacing w:val="40"/>
          <w:sz w:val="14"/>
        </w:rPr>
        <w:t xml:space="preserve"> </w:t>
      </w:r>
      <w:r>
        <w:rPr>
          <w:sz w:val="14"/>
        </w:rPr>
        <w:t>obligación de utilizar medios o una determinada forma de conducta da a un Estado parte una gran flexibilidad para diseñar una política que</w:t>
      </w:r>
      <w:r>
        <w:rPr>
          <w:spacing w:val="40"/>
          <w:sz w:val="14"/>
        </w:rPr>
        <w:t xml:space="preserve"> </w:t>
      </w:r>
      <w:r>
        <w:rPr>
          <w:sz w:val="14"/>
        </w:rPr>
        <w:t>sea apropiada para su marco jurídico, político, económico, administrativo e institucional particular y que pueda responder a las obstáculos y</w:t>
      </w:r>
      <w:r>
        <w:rPr>
          <w:spacing w:val="40"/>
          <w:sz w:val="14"/>
        </w:rPr>
        <w:t xml:space="preserve"> </w:t>
      </w:r>
      <w:r>
        <w:rPr>
          <w:sz w:val="14"/>
        </w:rPr>
        <w:t>resistencias particulares a la eliminación de la discriminación contra la mujer existentes en ese Estado parte”.</w:t>
      </w:r>
    </w:p>
    <w:p w14:paraId="10CB24E2" w14:textId="77777777" w:rsidR="0014798C" w:rsidRDefault="0014798C">
      <w:pPr>
        <w:spacing w:line="268" w:lineRule="auto"/>
        <w:rPr>
          <w:sz w:val="14"/>
        </w:rPr>
        <w:sectPr w:rsidR="0014798C" w:rsidSect="00F265E4">
          <w:type w:val="continuous"/>
          <w:pgSz w:w="11900" w:h="16820"/>
          <w:pgMar w:top="40" w:right="0" w:bottom="280" w:left="200" w:header="121" w:footer="0" w:gutter="0"/>
          <w:cols w:num="2" w:space="720" w:equalWidth="0">
            <w:col w:w="1252" w:space="40"/>
            <w:col w:w="10408"/>
          </w:cols>
        </w:sectPr>
      </w:pPr>
    </w:p>
    <w:p w14:paraId="5C52A727" w14:textId="77777777" w:rsidR="0014798C" w:rsidRDefault="004E1F0B">
      <w:pPr>
        <w:pStyle w:val="Prrafodelista"/>
        <w:numPr>
          <w:ilvl w:val="0"/>
          <w:numId w:val="29"/>
        </w:numPr>
        <w:tabs>
          <w:tab w:val="left" w:pos="1343"/>
          <w:tab w:val="left" w:pos="1366"/>
        </w:tabs>
        <w:spacing w:before="68" w:line="316" w:lineRule="auto"/>
        <w:ind w:right="1672" w:hanging="256"/>
        <w:rPr>
          <w:sz w:val="12"/>
        </w:rPr>
      </w:pPr>
      <w:r>
        <w:rPr>
          <w:sz w:val="12"/>
        </w:rPr>
        <w:t>Convención</w:t>
      </w:r>
      <w:r>
        <w:rPr>
          <w:spacing w:val="-2"/>
          <w:sz w:val="12"/>
        </w:rPr>
        <w:t xml:space="preserve"> </w:t>
      </w:r>
      <w:r>
        <w:rPr>
          <w:sz w:val="12"/>
        </w:rPr>
        <w:t>Internacional</w:t>
      </w:r>
      <w:r>
        <w:rPr>
          <w:spacing w:val="-2"/>
          <w:sz w:val="12"/>
        </w:rPr>
        <w:t xml:space="preserve"> </w:t>
      </w:r>
      <w:r>
        <w:rPr>
          <w:sz w:val="12"/>
        </w:rPr>
        <w:t>sobre</w:t>
      </w:r>
      <w:r>
        <w:rPr>
          <w:spacing w:val="-2"/>
          <w:sz w:val="12"/>
        </w:rPr>
        <w:t xml:space="preserve"> </w:t>
      </w:r>
      <w:r>
        <w:rPr>
          <w:sz w:val="12"/>
        </w:rPr>
        <w:t>la</w:t>
      </w:r>
      <w:r>
        <w:rPr>
          <w:spacing w:val="-2"/>
          <w:sz w:val="12"/>
        </w:rPr>
        <w:t xml:space="preserve"> </w:t>
      </w:r>
      <w:r>
        <w:rPr>
          <w:sz w:val="12"/>
        </w:rPr>
        <w:t>Eliminación</w:t>
      </w:r>
      <w:r>
        <w:rPr>
          <w:spacing w:val="-2"/>
          <w:sz w:val="12"/>
        </w:rPr>
        <w:t xml:space="preserve"> </w:t>
      </w:r>
      <w:r>
        <w:rPr>
          <w:sz w:val="12"/>
        </w:rPr>
        <w:t>de</w:t>
      </w:r>
      <w:r>
        <w:rPr>
          <w:spacing w:val="-2"/>
          <w:sz w:val="12"/>
        </w:rPr>
        <w:t xml:space="preserve"> </w:t>
      </w:r>
      <w:r>
        <w:rPr>
          <w:sz w:val="12"/>
        </w:rPr>
        <w:t>todas</w:t>
      </w:r>
      <w:r>
        <w:rPr>
          <w:spacing w:val="-2"/>
          <w:sz w:val="12"/>
        </w:rPr>
        <w:t xml:space="preserve"> </w:t>
      </w:r>
      <w:r>
        <w:rPr>
          <w:sz w:val="12"/>
        </w:rPr>
        <w:t>las</w:t>
      </w:r>
      <w:r>
        <w:rPr>
          <w:spacing w:val="-2"/>
          <w:sz w:val="12"/>
        </w:rPr>
        <w:t xml:space="preserve"> </w:t>
      </w:r>
      <w:r>
        <w:rPr>
          <w:sz w:val="12"/>
        </w:rPr>
        <w:t>Formas</w:t>
      </w:r>
      <w:r>
        <w:rPr>
          <w:spacing w:val="-2"/>
          <w:sz w:val="12"/>
        </w:rPr>
        <w:t xml:space="preserve"> </w:t>
      </w:r>
      <w:r>
        <w:rPr>
          <w:sz w:val="12"/>
        </w:rPr>
        <w:t>de</w:t>
      </w:r>
      <w:r>
        <w:rPr>
          <w:spacing w:val="-2"/>
          <w:sz w:val="12"/>
        </w:rPr>
        <w:t xml:space="preserve"> </w:t>
      </w:r>
      <w:r>
        <w:rPr>
          <w:sz w:val="12"/>
        </w:rPr>
        <w:t>Discriminación</w:t>
      </w:r>
      <w:r>
        <w:rPr>
          <w:spacing w:val="-2"/>
          <w:sz w:val="12"/>
        </w:rPr>
        <w:t xml:space="preserve"> </w:t>
      </w:r>
      <w:r>
        <w:rPr>
          <w:sz w:val="12"/>
        </w:rPr>
        <w:t>Racial,</w:t>
      </w:r>
      <w:r>
        <w:rPr>
          <w:spacing w:val="-2"/>
          <w:sz w:val="12"/>
        </w:rPr>
        <w:t xml:space="preserve"> </w:t>
      </w:r>
      <w:r>
        <w:rPr>
          <w:sz w:val="12"/>
        </w:rPr>
        <w:t>art.</w:t>
      </w:r>
      <w:r>
        <w:rPr>
          <w:spacing w:val="-2"/>
          <w:sz w:val="12"/>
        </w:rPr>
        <w:t xml:space="preserve"> </w:t>
      </w:r>
      <w:r>
        <w:rPr>
          <w:sz w:val="12"/>
        </w:rPr>
        <w:t>2</w:t>
      </w:r>
      <w:r>
        <w:rPr>
          <w:spacing w:val="-2"/>
          <w:sz w:val="12"/>
        </w:rPr>
        <w:t xml:space="preserve"> </w:t>
      </w:r>
      <w:r>
        <w:rPr>
          <w:sz w:val="12"/>
        </w:rPr>
        <w:t>(</w:t>
      </w:r>
      <w:proofErr w:type="gramStart"/>
      <w:r>
        <w:rPr>
          <w:sz w:val="12"/>
        </w:rPr>
        <w:t>1);</w:t>
      </w:r>
      <w:proofErr w:type="gramEnd"/>
      <w:r>
        <w:rPr>
          <w:spacing w:val="-2"/>
          <w:sz w:val="12"/>
        </w:rPr>
        <w:t xml:space="preserve"> </w:t>
      </w:r>
      <w:r>
        <w:rPr>
          <w:sz w:val="12"/>
        </w:rPr>
        <w:t>y</w:t>
      </w:r>
      <w:r>
        <w:rPr>
          <w:spacing w:val="-2"/>
          <w:sz w:val="12"/>
        </w:rPr>
        <w:t xml:space="preserve"> </w:t>
      </w:r>
      <w:r>
        <w:rPr>
          <w:sz w:val="12"/>
        </w:rPr>
        <w:t>Convención</w:t>
      </w:r>
      <w:r>
        <w:rPr>
          <w:spacing w:val="-2"/>
          <w:sz w:val="12"/>
        </w:rPr>
        <w:t xml:space="preserve"> </w:t>
      </w:r>
      <w:r>
        <w:rPr>
          <w:sz w:val="12"/>
        </w:rPr>
        <w:t>sobre</w:t>
      </w:r>
      <w:r>
        <w:rPr>
          <w:spacing w:val="-2"/>
          <w:sz w:val="12"/>
        </w:rPr>
        <w:t xml:space="preserve"> </w:t>
      </w:r>
      <w:r>
        <w:rPr>
          <w:sz w:val="12"/>
        </w:rPr>
        <w:t>la</w:t>
      </w:r>
      <w:r>
        <w:rPr>
          <w:spacing w:val="-2"/>
          <w:sz w:val="12"/>
        </w:rPr>
        <w:t xml:space="preserve"> </w:t>
      </w:r>
      <w:r>
        <w:rPr>
          <w:sz w:val="12"/>
        </w:rPr>
        <w:t>eliminación</w:t>
      </w:r>
      <w:r>
        <w:rPr>
          <w:spacing w:val="-2"/>
          <w:sz w:val="12"/>
        </w:rPr>
        <w:t xml:space="preserve"> </w:t>
      </w:r>
      <w:r>
        <w:rPr>
          <w:sz w:val="12"/>
        </w:rPr>
        <w:t>de</w:t>
      </w:r>
      <w:r>
        <w:rPr>
          <w:spacing w:val="-2"/>
          <w:sz w:val="12"/>
        </w:rPr>
        <w:t xml:space="preserve"> </w:t>
      </w:r>
      <w:r>
        <w:rPr>
          <w:sz w:val="12"/>
        </w:rPr>
        <w:t>todas</w:t>
      </w:r>
      <w:r>
        <w:rPr>
          <w:spacing w:val="-2"/>
          <w:sz w:val="12"/>
        </w:rPr>
        <w:t xml:space="preserve"> </w:t>
      </w:r>
      <w:r>
        <w:rPr>
          <w:sz w:val="12"/>
        </w:rPr>
        <w:t>las</w:t>
      </w:r>
      <w:r>
        <w:rPr>
          <w:spacing w:val="-2"/>
          <w:sz w:val="12"/>
        </w:rPr>
        <w:t xml:space="preserve"> </w:t>
      </w:r>
      <w:r>
        <w:rPr>
          <w:sz w:val="12"/>
        </w:rPr>
        <w:t>formas</w:t>
      </w:r>
      <w:r>
        <w:rPr>
          <w:spacing w:val="-2"/>
          <w:sz w:val="12"/>
        </w:rPr>
        <w:t xml:space="preserve"> </w:t>
      </w:r>
      <w:r>
        <w:rPr>
          <w:sz w:val="12"/>
        </w:rPr>
        <w:t>de</w:t>
      </w:r>
      <w:r>
        <w:rPr>
          <w:spacing w:val="40"/>
          <w:sz w:val="12"/>
        </w:rPr>
        <w:t xml:space="preserve"> </w:t>
      </w:r>
      <w:r>
        <w:rPr>
          <w:sz w:val="12"/>
        </w:rPr>
        <w:t>discriminación contra la mujer, art. 2. El artículo 4 de la Convención sobre los Derechos de las Personas con Discapacidad establece las obligaciones generales</w:t>
      </w:r>
      <w:r>
        <w:rPr>
          <w:spacing w:val="40"/>
          <w:sz w:val="12"/>
        </w:rPr>
        <w:t xml:space="preserve"> </w:t>
      </w:r>
      <w:r>
        <w:rPr>
          <w:sz w:val="12"/>
        </w:rPr>
        <w:t xml:space="preserve">de los Estados en virtud de </w:t>
      </w:r>
      <w:proofErr w:type="gramStart"/>
      <w:r>
        <w:rPr>
          <w:sz w:val="12"/>
        </w:rPr>
        <w:t>la misma</w:t>
      </w:r>
      <w:proofErr w:type="gramEnd"/>
      <w:r>
        <w:rPr>
          <w:sz w:val="12"/>
        </w:rPr>
        <w:t>, que incluyen la adopción de “todas las medidas apropiadas” y una obligación específica “de tener en cuenta la protección y</w:t>
      </w:r>
      <w:r>
        <w:rPr>
          <w:spacing w:val="40"/>
          <w:sz w:val="12"/>
        </w:rPr>
        <w:t xml:space="preserve"> </w:t>
      </w:r>
      <w:r>
        <w:rPr>
          <w:sz w:val="12"/>
        </w:rPr>
        <w:t>promoción de los derechos humanos de las personas con discapacidad”. personas con discapacidad en todas las políticas y programas”.</w:t>
      </w:r>
    </w:p>
    <w:p w14:paraId="69E364B9" w14:textId="77777777" w:rsidR="0014798C" w:rsidRDefault="004E1F0B">
      <w:pPr>
        <w:pStyle w:val="Prrafodelista"/>
        <w:numPr>
          <w:ilvl w:val="0"/>
          <w:numId w:val="29"/>
        </w:numPr>
        <w:tabs>
          <w:tab w:val="left" w:pos="1343"/>
        </w:tabs>
        <w:spacing w:before="52"/>
        <w:ind w:left="1343" w:hanging="233"/>
        <w:rPr>
          <w:sz w:val="12"/>
        </w:rPr>
      </w:pPr>
      <w:r>
        <w:rPr>
          <w:sz w:val="12"/>
        </w:rPr>
        <w:t>Comité</w:t>
      </w:r>
      <w:r>
        <w:rPr>
          <w:spacing w:val="-2"/>
          <w:sz w:val="12"/>
        </w:rPr>
        <w:t xml:space="preserve"> </w:t>
      </w:r>
      <w:r>
        <w:rPr>
          <w:sz w:val="12"/>
        </w:rPr>
        <w:t>para</w:t>
      </w:r>
      <w:r>
        <w:rPr>
          <w:spacing w:val="-1"/>
          <w:sz w:val="12"/>
        </w:rPr>
        <w:t xml:space="preserve"> </w:t>
      </w:r>
      <w:r>
        <w:rPr>
          <w:sz w:val="12"/>
        </w:rPr>
        <w:t>la</w:t>
      </w:r>
      <w:r>
        <w:rPr>
          <w:spacing w:val="-2"/>
          <w:sz w:val="12"/>
        </w:rPr>
        <w:t xml:space="preserve"> </w:t>
      </w:r>
      <w:r>
        <w:rPr>
          <w:sz w:val="12"/>
        </w:rPr>
        <w:t>Eliminación</w:t>
      </w:r>
      <w:r>
        <w:rPr>
          <w:spacing w:val="-1"/>
          <w:sz w:val="12"/>
        </w:rPr>
        <w:t xml:space="preserve"> </w:t>
      </w:r>
      <w:r>
        <w:rPr>
          <w:sz w:val="12"/>
        </w:rPr>
        <w:t>de</w:t>
      </w:r>
      <w:r>
        <w:rPr>
          <w:spacing w:val="-2"/>
          <w:sz w:val="12"/>
        </w:rPr>
        <w:t xml:space="preserve"> </w:t>
      </w:r>
      <w:r>
        <w:rPr>
          <w:sz w:val="12"/>
        </w:rPr>
        <w:t>la</w:t>
      </w:r>
      <w:r>
        <w:rPr>
          <w:spacing w:val="-1"/>
          <w:sz w:val="12"/>
        </w:rPr>
        <w:t xml:space="preserve"> </w:t>
      </w:r>
      <w:r>
        <w:rPr>
          <w:sz w:val="12"/>
        </w:rPr>
        <w:t>Discriminación</w:t>
      </w:r>
      <w:r>
        <w:rPr>
          <w:spacing w:val="-2"/>
          <w:sz w:val="12"/>
        </w:rPr>
        <w:t xml:space="preserve"> </w:t>
      </w:r>
      <w:r>
        <w:rPr>
          <w:sz w:val="12"/>
        </w:rPr>
        <w:t>contra</w:t>
      </w:r>
      <w:r>
        <w:rPr>
          <w:spacing w:val="-1"/>
          <w:sz w:val="12"/>
        </w:rPr>
        <w:t xml:space="preserve"> </w:t>
      </w:r>
      <w:r>
        <w:rPr>
          <w:sz w:val="12"/>
        </w:rPr>
        <w:t>la</w:t>
      </w:r>
      <w:r>
        <w:rPr>
          <w:spacing w:val="-2"/>
          <w:sz w:val="12"/>
        </w:rPr>
        <w:t xml:space="preserve"> </w:t>
      </w:r>
      <w:r>
        <w:rPr>
          <w:sz w:val="12"/>
        </w:rPr>
        <w:t>Mujer,</w:t>
      </w:r>
      <w:r>
        <w:rPr>
          <w:spacing w:val="-1"/>
          <w:sz w:val="12"/>
        </w:rPr>
        <w:t xml:space="preserve"> </w:t>
      </w:r>
      <w:r>
        <w:rPr>
          <w:sz w:val="12"/>
        </w:rPr>
        <w:t>recomendación</w:t>
      </w:r>
      <w:r>
        <w:rPr>
          <w:spacing w:val="-2"/>
          <w:sz w:val="12"/>
        </w:rPr>
        <w:t xml:space="preserve"> </w:t>
      </w:r>
      <w:r>
        <w:rPr>
          <w:sz w:val="12"/>
        </w:rPr>
        <w:t>general</w:t>
      </w:r>
      <w:r>
        <w:rPr>
          <w:spacing w:val="-1"/>
          <w:sz w:val="12"/>
        </w:rPr>
        <w:t xml:space="preserve"> </w:t>
      </w:r>
      <w:r>
        <w:rPr>
          <w:sz w:val="12"/>
        </w:rPr>
        <w:t>núm.</w:t>
      </w:r>
      <w:r>
        <w:rPr>
          <w:spacing w:val="-2"/>
          <w:sz w:val="12"/>
        </w:rPr>
        <w:t xml:space="preserve"> </w:t>
      </w:r>
      <w:r>
        <w:rPr>
          <w:sz w:val="12"/>
        </w:rPr>
        <w:t>28</w:t>
      </w:r>
      <w:r>
        <w:rPr>
          <w:spacing w:val="-1"/>
          <w:sz w:val="12"/>
        </w:rPr>
        <w:t xml:space="preserve"> </w:t>
      </w:r>
      <w:r>
        <w:rPr>
          <w:sz w:val="12"/>
        </w:rPr>
        <w:t>(2010),</w:t>
      </w:r>
      <w:r>
        <w:rPr>
          <w:spacing w:val="-2"/>
          <w:sz w:val="12"/>
        </w:rPr>
        <w:t xml:space="preserve"> </w:t>
      </w:r>
      <w:r>
        <w:rPr>
          <w:sz w:val="12"/>
        </w:rPr>
        <w:t>párr.</w:t>
      </w:r>
      <w:r>
        <w:rPr>
          <w:spacing w:val="-1"/>
          <w:sz w:val="12"/>
        </w:rPr>
        <w:t xml:space="preserve"> </w:t>
      </w:r>
      <w:r>
        <w:rPr>
          <w:spacing w:val="-5"/>
          <w:sz w:val="12"/>
        </w:rPr>
        <w:t>24.</w:t>
      </w:r>
    </w:p>
    <w:p w14:paraId="539BFA14" w14:textId="77777777" w:rsidR="0014798C" w:rsidRDefault="004E1F0B">
      <w:pPr>
        <w:pStyle w:val="Prrafodelista"/>
        <w:numPr>
          <w:ilvl w:val="0"/>
          <w:numId w:val="29"/>
        </w:numPr>
        <w:tabs>
          <w:tab w:val="left" w:pos="1343"/>
        </w:tabs>
        <w:spacing w:before="67"/>
        <w:ind w:left="1343" w:hanging="233"/>
        <w:rPr>
          <w:sz w:val="12"/>
        </w:rPr>
      </w:pPr>
      <w:proofErr w:type="spellStart"/>
      <w:r>
        <w:rPr>
          <w:spacing w:val="-2"/>
          <w:sz w:val="12"/>
        </w:rPr>
        <w:t>Ibíd</w:t>
      </w:r>
      <w:proofErr w:type="spellEnd"/>
      <w:r>
        <w:rPr>
          <w:spacing w:val="-2"/>
          <w:sz w:val="12"/>
        </w:rPr>
        <w:t>.</w:t>
      </w:r>
    </w:p>
    <w:p w14:paraId="21D5A82F" w14:textId="77777777" w:rsidR="0014798C" w:rsidRDefault="004E1F0B">
      <w:pPr>
        <w:pStyle w:val="Prrafodelista"/>
        <w:numPr>
          <w:ilvl w:val="0"/>
          <w:numId w:val="29"/>
        </w:numPr>
        <w:tabs>
          <w:tab w:val="left" w:pos="1343"/>
        </w:tabs>
        <w:spacing w:before="130"/>
        <w:ind w:left="1343" w:hanging="233"/>
        <w:rPr>
          <w:sz w:val="12"/>
        </w:rPr>
      </w:pPr>
      <w:r>
        <w:rPr>
          <w:sz w:val="12"/>
        </w:rPr>
        <w:t>Comité</w:t>
      </w:r>
      <w:r>
        <w:rPr>
          <w:spacing w:val="-1"/>
          <w:sz w:val="12"/>
        </w:rPr>
        <w:t xml:space="preserve"> </w:t>
      </w:r>
      <w:r>
        <w:rPr>
          <w:sz w:val="12"/>
        </w:rPr>
        <w:t>de</w:t>
      </w:r>
      <w:r>
        <w:rPr>
          <w:spacing w:val="-1"/>
          <w:sz w:val="12"/>
        </w:rPr>
        <w:t xml:space="preserve"> </w:t>
      </w:r>
      <w:r>
        <w:rPr>
          <w:sz w:val="12"/>
        </w:rPr>
        <w:t>Derechos Económicos,</w:t>
      </w:r>
      <w:r>
        <w:rPr>
          <w:spacing w:val="-1"/>
          <w:sz w:val="12"/>
        </w:rPr>
        <w:t xml:space="preserve"> </w:t>
      </w:r>
      <w:r>
        <w:rPr>
          <w:sz w:val="12"/>
        </w:rPr>
        <w:t>Sociales y</w:t>
      </w:r>
      <w:r>
        <w:rPr>
          <w:spacing w:val="-1"/>
          <w:sz w:val="12"/>
        </w:rPr>
        <w:t xml:space="preserve"> </w:t>
      </w:r>
      <w:r>
        <w:rPr>
          <w:sz w:val="12"/>
        </w:rPr>
        <w:t>Culturales, observación</w:t>
      </w:r>
      <w:r>
        <w:rPr>
          <w:spacing w:val="-1"/>
          <w:sz w:val="12"/>
        </w:rPr>
        <w:t xml:space="preserve"> </w:t>
      </w:r>
      <w:r>
        <w:rPr>
          <w:sz w:val="12"/>
        </w:rPr>
        <w:t>general</w:t>
      </w:r>
      <w:r>
        <w:rPr>
          <w:spacing w:val="-1"/>
          <w:sz w:val="12"/>
        </w:rPr>
        <w:t xml:space="preserve"> </w:t>
      </w:r>
      <w:r>
        <w:rPr>
          <w:sz w:val="12"/>
        </w:rPr>
        <w:t>núm. 20</w:t>
      </w:r>
      <w:r>
        <w:rPr>
          <w:spacing w:val="-1"/>
          <w:sz w:val="12"/>
        </w:rPr>
        <w:t xml:space="preserve"> </w:t>
      </w:r>
      <w:r>
        <w:rPr>
          <w:sz w:val="12"/>
        </w:rPr>
        <w:t>(2009), párr.</w:t>
      </w:r>
      <w:r>
        <w:rPr>
          <w:spacing w:val="-1"/>
          <w:sz w:val="12"/>
        </w:rPr>
        <w:t xml:space="preserve"> </w:t>
      </w:r>
      <w:r>
        <w:rPr>
          <w:spacing w:val="-5"/>
          <w:sz w:val="12"/>
        </w:rPr>
        <w:t>38.</w:t>
      </w:r>
    </w:p>
    <w:p w14:paraId="1CA1E187" w14:textId="77777777" w:rsidR="0014798C" w:rsidRDefault="004E1F0B">
      <w:pPr>
        <w:pStyle w:val="Prrafodelista"/>
        <w:numPr>
          <w:ilvl w:val="0"/>
          <w:numId w:val="29"/>
        </w:numPr>
        <w:tabs>
          <w:tab w:val="left" w:pos="1343"/>
        </w:tabs>
        <w:spacing w:before="99"/>
        <w:ind w:left="1343" w:hanging="233"/>
        <w:rPr>
          <w:sz w:val="12"/>
        </w:rPr>
      </w:pPr>
      <w:r>
        <w:rPr>
          <w:sz w:val="12"/>
        </w:rPr>
        <w:t>Comité</w:t>
      </w:r>
      <w:r>
        <w:rPr>
          <w:spacing w:val="-2"/>
          <w:sz w:val="12"/>
        </w:rPr>
        <w:t xml:space="preserve"> </w:t>
      </w:r>
      <w:r>
        <w:rPr>
          <w:sz w:val="12"/>
        </w:rPr>
        <w:t>para</w:t>
      </w:r>
      <w:r>
        <w:rPr>
          <w:spacing w:val="-1"/>
          <w:sz w:val="12"/>
        </w:rPr>
        <w:t xml:space="preserve"> </w:t>
      </w:r>
      <w:r>
        <w:rPr>
          <w:sz w:val="12"/>
        </w:rPr>
        <w:t>la</w:t>
      </w:r>
      <w:r>
        <w:rPr>
          <w:spacing w:val="-2"/>
          <w:sz w:val="12"/>
        </w:rPr>
        <w:t xml:space="preserve"> </w:t>
      </w:r>
      <w:r>
        <w:rPr>
          <w:sz w:val="12"/>
        </w:rPr>
        <w:t>Eliminación</w:t>
      </w:r>
      <w:r>
        <w:rPr>
          <w:spacing w:val="-1"/>
          <w:sz w:val="12"/>
        </w:rPr>
        <w:t xml:space="preserve"> </w:t>
      </w:r>
      <w:r>
        <w:rPr>
          <w:sz w:val="12"/>
        </w:rPr>
        <w:t>de</w:t>
      </w:r>
      <w:r>
        <w:rPr>
          <w:spacing w:val="-2"/>
          <w:sz w:val="12"/>
        </w:rPr>
        <w:t xml:space="preserve"> </w:t>
      </w:r>
      <w:r>
        <w:rPr>
          <w:sz w:val="12"/>
        </w:rPr>
        <w:t>la</w:t>
      </w:r>
      <w:r>
        <w:rPr>
          <w:spacing w:val="-1"/>
          <w:sz w:val="12"/>
        </w:rPr>
        <w:t xml:space="preserve"> </w:t>
      </w:r>
      <w:r>
        <w:rPr>
          <w:sz w:val="12"/>
        </w:rPr>
        <w:t>Discriminación</w:t>
      </w:r>
      <w:r>
        <w:rPr>
          <w:spacing w:val="-2"/>
          <w:sz w:val="12"/>
        </w:rPr>
        <w:t xml:space="preserve"> </w:t>
      </w:r>
      <w:r>
        <w:rPr>
          <w:sz w:val="12"/>
        </w:rPr>
        <w:t>contra</w:t>
      </w:r>
      <w:r>
        <w:rPr>
          <w:spacing w:val="-1"/>
          <w:sz w:val="12"/>
        </w:rPr>
        <w:t xml:space="preserve"> </w:t>
      </w:r>
      <w:r>
        <w:rPr>
          <w:sz w:val="12"/>
        </w:rPr>
        <w:t>la</w:t>
      </w:r>
      <w:r>
        <w:rPr>
          <w:spacing w:val="-2"/>
          <w:sz w:val="12"/>
        </w:rPr>
        <w:t xml:space="preserve"> </w:t>
      </w:r>
      <w:r>
        <w:rPr>
          <w:sz w:val="12"/>
        </w:rPr>
        <w:t>Mujer,</w:t>
      </w:r>
      <w:r>
        <w:rPr>
          <w:spacing w:val="-1"/>
          <w:sz w:val="12"/>
        </w:rPr>
        <w:t xml:space="preserve"> </w:t>
      </w:r>
      <w:r>
        <w:rPr>
          <w:sz w:val="12"/>
        </w:rPr>
        <w:t>recomendación</w:t>
      </w:r>
      <w:r>
        <w:rPr>
          <w:spacing w:val="-2"/>
          <w:sz w:val="12"/>
        </w:rPr>
        <w:t xml:space="preserve"> </w:t>
      </w:r>
      <w:r>
        <w:rPr>
          <w:sz w:val="12"/>
        </w:rPr>
        <w:t>general</w:t>
      </w:r>
      <w:r>
        <w:rPr>
          <w:spacing w:val="-1"/>
          <w:sz w:val="12"/>
        </w:rPr>
        <w:t xml:space="preserve"> </w:t>
      </w:r>
      <w:r>
        <w:rPr>
          <w:sz w:val="12"/>
        </w:rPr>
        <w:t>núm.</w:t>
      </w:r>
      <w:r>
        <w:rPr>
          <w:spacing w:val="-2"/>
          <w:sz w:val="12"/>
        </w:rPr>
        <w:t xml:space="preserve"> </w:t>
      </w:r>
      <w:r>
        <w:rPr>
          <w:sz w:val="12"/>
        </w:rPr>
        <w:t>28</w:t>
      </w:r>
      <w:r>
        <w:rPr>
          <w:spacing w:val="-1"/>
          <w:sz w:val="12"/>
        </w:rPr>
        <w:t xml:space="preserve"> </w:t>
      </w:r>
      <w:r>
        <w:rPr>
          <w:sz w:val="12"/>
        </w:rPr>
        <w:t>(2010),</w:t>
      </w:r>
      <w:r>
        <w:rPr>
          <w:spacing w:val="-2"/>
          <w:sz w:val="12"/>
        </w:rPr>
        <w:t xml:space="preserve"> </w:t>
      </w:r>
      <w:r>
        <w:rPr>
          <w:sz w:val="12"/>
        </w:rPr>
        <w:t>párr.</w:t>
      </w:r>
      <w:r>
        <w:rPr>
          <w:spacing w:val="-1"/>
          <w:sz w:val="12"/>
        </w:rPr>
        <w:t xml:space="preserve"> </w:t>
      </w:r>
      <w:r>
        <w:rPr>
          <w:spacing w:val="-5"/>
          <w:sz w:val="12"/>
        </w:rPr>
        <w:t>24.</w:t>
      </w:r>
    </w:p>
    <w:p w14:paraId="0955B257" w14:textId="77777777" w:rsidR="0014798C" w:rsidRDefault="004E1F0B">
      <w:pPr>
        <w:pStyle w:val="Prrafodelista"/>
        <w:numPr>
          <w:ilvl w:val="0"/>
          <w:numId w:val="29"/>
        </w:numPr>
        <w:tabs>
          <w:tab w:val="left" w:pos="1343"/>
        </w:tabs>
        <w:spacing w:before="98"/>
        <w:ind w:left="1343" w:hanging="233"/>
        <w:rPr>
          <w:sz w:val="12"/>
        </w:rPr>
      </w:pPr>
      <w:r>
        <w:rPr>
          <w:sz w:val="12"/>
        </w:rPr>
        <w:t>Comité</w:t>
      </w:r>
      <w:r>
        <w:rPr>
          <w:spacing w:val="-1"/>
          <w:sz w:val="12"/>
        </w:rPr>
        <w:t xml:space="preserve"> </w:t>
      </w:r>
      <w:r>
        <w:rPr>
          <w:sz w:val="12"/>
        </w:rPr>
        <w:t>sobre los Derechos de las Personas con Discapacidad,</w:t>
      </w:r>
      <w:r>
        <w:rPr>
          <w:spacing w:val="1"/>
          <w:sz w:val="12"/>
        </w:rPr>
        <w:t xml:space="preserve"> </w:t>
      </w:r>
      <w:r>
        <w:rPr>
          <w:sz w:val="12"/>
        </w:rPr>
        <w:t>observación</w:t>
      </w:r>
      <w:r>
        <w:rPr>
          <w:spacing w:val="-1"/>
          <w:sz w:val="12"/>
        </w:rPr>
        <w:t xml:space="preserve"> </w:t>
      </w:r>
      <w:r>
        <w:rPr>
          <w:sz w:val="12"/>
        </w:rPr>
        <w:t xml:space="preserve">general núm. 6 (2018), párr. 73 </w:t>
      </w:r>
      <w:r>
        <w:rPr>
          <w:spacing w:val="-5"/>
          <w:sz w:val="12"/>
        </w:rPr>
        <w:t>j).</w:t>
      </w:r>
    </w:p>
    <w:p w14:paraId="37A77338" w14:textId="77777777" w:rsidR="0014798C" w:rsidRDefault="0014798C">
      <w:pPr>
        <w:pStyle w:val="Textoindependiente"/>
      </w:pPr>
    </w:p>
    <w:p w14:paraId="2DFC0D5A" w14:textId="77777777" w:rsidR="0014798C" w:rsidRDefault="0014798C">
      <w:pPr>
        <w:pStyle w:val="Textoindependiente"/>
      </w:pPr>
    </w:p>
    <w:p w14:paraId="3998FFA6" w14:textId="77777777" w:rsidR="0014798C" w:rsidRDefault="0014798C">
      <w:pPr>
        <w:pStyle w:val="Textoindependiente"/>
        <w:spacing w:before="107"/>
      </w:pPr>
    </w:p>
    <w:p w14:paraId="3D9467DC" w14:textId="77777777" w:rsidR="0014798C" w:rsidRDefault="004E1F0B">
      <w:pPr>
        <w:pStyle w:val="Textoindependiente"/>
        <w:ind w:left="500"/>
      </w:pPr>
      <w:r>
        <w:rPr>
          <w:spacing w:val="-5"/>
          <w:w w:val="105"/>
        </w:rPr>
        <w:t>116</w:t>
      </w:r>
    </w:p>
    <w:p w14:paraId="016133A0" w14:textId="77777777" w:rsidR="0014798C" w:rsidRDefault="0014798C">
      <w:pPr>
        <w:sectPr w:rsidR="0014798C" w:rsidSect="00F265E4">
          <w:type w:val="continuous"/>
          <w:pgSz w:w="11900" w:h="16820"/>
          <w:pgMar w:top="40" w:right="0" w:bottom="280" w:left="200" w:header="121" w:footer="0" w:gutter="0"/>
          <w:cols w:space="720"/>
        </w:sectPr>
      </w:pPr>
    </w:p>
    <w:p w14:paraId="0906264B" w14:textId="77777777" w:rsidR="0014798C" w:rsidRDefault="0014798C">
      <w:pPr>
        <w:pStyle w:val="Textoindependiente"/>
        <w:spacing w:before="51"/>
        <w:rPr>
          <w:sz w:val="14"/>
        </w:rPr>
      </w:pPr>
    </w:p>
    <w:p w14:paraId="4BF7C252" w14:textId="77777777" w:rsidR="0014798C" w:rsidRDefault="004E1F0B">
      <w:pPr>
        <w:ind w:left="1111"/>
        <w:rPr>
          <w:sz w:val="14"/>
        </w:rPr>
      </w:pPr>
      <w:r>
        <w:rPr>
          <w:color w:val="00AC59"/>
          <w:sz w:val="14"/>
        </w:rPr>
        <w:t>SEGUNDA</w:t>
      </w:r>
      <w:r>
        <w:rPr>
          <w:color w:val="00AC59"/>
          <w:spacing w:val="-5"/>
          <w:sz w:val="14"/>
        </w:rPr>
        <w:t xml:space="preserve"> </w:t>
      </w:r>
      <w:r>
        <w:rPr>
          <w:color w:val="00AC59"/>
          <w:sz w:val="14"/>
        </w:rPr>
        <w:t>PARTE:</w:t>
      </w:r>
      <w:r>
        <w:rPr>
          <w:color w:val="00AC59"/>
          <w:spacing w:val="-5"/>
          <w:sz w:val="14"/>
        </w:rPr>
        <w:t xml:space="preserve"> </w:t>
      </w:r>
      <w:r>
        <w:rPr>
          <w:color w:val="00AC59"/>
          <w:sz w:val="14"/>
        </w:rPr>
        <w:t>CONTENIDO</w:t>
      </w:r>
      <w:r>
        <w:rPr>
          <w:color w:val="00AC59"/>
          <w:spacing w:val="-4"/>
          <w:sz w:val="14"/>
        </w:rPr>
        <w:t xml:space="preserve"> </w:t>
      </w:r>
      <w:r>
        <w:rPr>
          <w:color w:val="00AC59"/>
          <w:sz w:val="14"/>
        </w:rPr>
        <w:t>DE</w:t>
      </w:r>
      <w:r>
        <w:rPr>
          <w:color w:val="00AC59"/>
          <w:spacing w:val="-5"/>
          <w:sz w:val="14"/>
        </w:rPr>
        <w:t xml:space="preserve"> </w:t>
      </w:r>
      <w:r>
        <w:rPr>
          <w:color w:val="00AC59"/>
          <w:sz w:val="14"/>
        </w:rPr>
        <w:t>LA</w:t>
      </w:r>
      <w:r>
        <w:rPr>
          <w:color w:val="00AC59"/>
          <w:spacing w:val="-4"/>
          <w:sz w:val="14"/>
        </w:rPr>
        <w:t xml:space="preserve"> </w:t>
      </w:r>
      <w:r>
        <w:rPr>
          <w:color w:val="00AC59"/>
          <w:sz w:val="14"/>
        </w:rPr>
        <w:t>LEY</w:t>
      </w:r>
      <w:r>
        <w:rPr>
          <w:color w:val="00AC59"/>
          <w:spacing w:val="-4"/>
          <w:sz w:val="14"/>
        </w:rPr>
        <w:t xml:space="preserve"> </w:t>
      </w:r>
      <w:r>
        <w:rPr>
          <w:color w:val="00AC59"/>
          <w:sz w:val="14"/>
        </w:rPr>
        <w:t>INTEGRAL</w:t>
      </w:r>
      <w:r>
        <w:rPr>
          <w:color w:val="00AC59"/>
          <w:spacing w:val="-5"/>
          <w:sz w:val="14"/>
        </w:rPr>
        <w:t xml:space="preserve"> </w:t>
      </w:r>
      <w:r>
        <w:rPr>
          <w:color w:val="00AC59"/>
          <w:spacing w:val="-2"/>
          <w:sz w:val="14"/>
        </w:rPr>
        <w:t>ANTIDISCRIMINACIÓN</w:t>
      </w:r>
    </w:p>
    <w:p w14:paraId="7AE6962B" w14:textId="77777777" w:rsidR="0014798C" w:rsidRDefault="0014798C">
      <w:pPr>
        <w:pStyle w:val="Textoindependiente"/>
        <w:rPr>
          <w:sz w:val="15"/>
        </w:rPr>
      </w:pPr>
    </w:p>
    <w:p w14:paraId="7B1BF7FD" w14:textId="77777777" w:rsidR="0014798C" w:rsidRDefault="0014798C">
      <w:pPr>
        <w:pStyle w:val="Textoindependiente"/>
        <w:rPr>
          <w:sz w:val="15"/>
        </w:rPr>
      </w:pPr>
    </w:p>
    <w:p w14:paraId="7B059539" w14:textId="77777777" w:rsidR="0014798C" w:rsidRDefault="0014798C">
      <w:pPr>
        <w:pStyle w:val="Textoindependiente"/>
        <w:rPr>
          <w:sz w:val="15"/>
        </w:rPr>
      </w:pPr>
    </w:p>
    <w:p w14:paraId="203AB6B4" w14:textId="77777777" w:rsidR="0014798C" w:rsidRDefault="0014798C">
      <w:pPr>
        <w:pStyle w:val="Textoindependiente"/>
        <w:rPr>
          <w:sz w:val="15"/>
        </w:rPr>
      </w:pPr>
    </w:p>
    <w:p w14:paraId="077FC8C6" w14:textId="77777777" w:rsidR="0014798C" w:rsidRDefault="0014798C">
      <w:pPr>
        <w:pStyle w:val="Textoindependiente"/>
        <w:spacing w:before="104"/>
        <w:rPr>
          <w:sz w:val="15"/>
        </w:rPr>
      </w:pPr>
    </w:p>
    <w:p w14:paraId="4C45FBF1" w14:textId="77777777" w:rsidR="0014798C" w:rsidRDefault="004E1F0B">
      <w:pPr>
        <w:spacing w:line="348" w:lineRule="auto"/>
        <w:ind w:left="1107" w:right="1463"/>
        <w:rPr>
          <w:sz w:val="15"/>
        </w:rPr>
      </w:pPr>
      <w:r>
        <w:rPr>
          <w:noProof/>
        </w:rPr>
        <w:drawing>
          <wp:anchor distT="0" distB="0" distL="0" distR="0" simplePos="0" relativeHeight="251658449" behindDoc="1" locked="0" layoutInCell="1" allowOverlap="1" wp14:anchorId="57F7C87D" wp14:editId="57D33E4C">
            <wp:simplePos x="0" y="0"/>
            <wp:positionH relativeFrom="page">
              <wp:posOffset>826632</wp:posOffset>
            </wp:positionH>
            <wp:positionV relativeFrom="paragraph">
              <wp:posOffset>1074439</wp:posOffset>
            </wp:positionV>
            <wp:extent cx="6729867" cy="5432463"/>
            <wp:effectExtent l="0" t="0" r="0" b="0"/>
            <wp:wrapNone/>
            <wp:docPr id="247" name="Image 24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47" name="Image 247"/>
                    <pic:cNvPicPr/>
                  </pic:nvPicPr>
                  <pic:blipFill>
                    <a:blip r:embed="rId223" cstate="print"/>
                    <a:stretch>
                      <a:fillRect/>
                    </a:stretch>
                  </pic:blipFill>
                  <pic:spPr>
                    <a:xfrm>
                      <a:off x="0" y="0"/>
                      <a:ext cx="6729867" cy="5432463"/>
                    </a:xfrm>
                    <a:prstGeom prst="rect">
                      <a:avLst/>
                    </a:prstGeom>
                  </pic:spPr>
                </pic:pic>
              </a:graphicData>
            </a:graphic>
          </wp:anchor>
        </w:drawing>
      </w:r>
      <w:r>
        <w:rPr>
          <w:sz w:val="15"/>
        </w:rPr>
        <w:t>políticas económicas, el Comité de Derechos Económicos, Sociales y Culturales ha recomendado a los Estados que “las políticas</w:t>
      </w:r>
      <w:r>
        <w:rPr>
          <w:spacing w:val="40"/>
          <w:sz w:val="15"/>
        </w:rPr>
        <w:t xml:space="preserve"> </w:t>
      </w:r>
      <w:r>
        <w:rPr>
          <w:sz w:val="15"/>
        </w:rPr>
        <w:t>económicas, como las asignaciones presupuestarias y las medidas para estimular el crecimiento económico”, deben diseñarse de</w:t>
      </w:r>
      <w:r>
        <w:rPr>
          <w:spacing w:val="80"/>
          <w:sz w:val="15"/>
        </w:rPr>
        <w:t xml:space="preserve"> </w:t>
      </w:r>
      <w:r>
        <w:rPr>
          <w:sz w:val="15"/>
        </w:rPr>
        <w:t>manera que garanticen el disfrute efectivo de los derechos sin discriminación.808 El Comité de Derechos Económicos, Sociales y Culturales ha recomendado a los Estados que Eliminación de la Discriminación contra la Mujer ha señalado que los Estados deben</w:t>
      </w:r>
      <w:r>
        <w:rPr>
          <w:spacing w:val="40"/>
          <w:sz w:val="15"/>
        </w:rPr>
        <w:t xml:space="preserve"> </w:t>
      </w:r>
      <w:r>
        <w:rPr>
          <w:sz w:val="15"/>
        </w:rPr>
        <w:t>garantizar que las medidas diseñadas para eliminar la discriminación estén “vinculadas a los principales procesos presupuestarios</w:t>
      </w:r>
      <w:r>
        <w:rPr>
          <w:spacing w:val="80"/>
          <w:sz w:val="15"/>
        </w:rPr>
        <w:t xml:space="preserve"> </w:t>
      </w:r>
      <w:r>
        <w:rPr>
          <w:sz w:val="15"/>
        </w:rPr>
        <w:t>gubernamentales para garantizar que todos los aspectos de la política estén adecuadamente financiados”.809 En el marco del Comité</w:t>
      </w:r>
      <w:r>
        <w:rPr>
          <w:spacing w:val="40"/>
          <w:sz w:val="15"/>
        </w:rPr>
        <w:t xml:space="preserve"> </w:t>
      </w:r>
      <w:r>
        <w:rPr>
          <w:sz w:val="15"/>
        </w:rPr>
        <w:t>sobre los Derechos de las Personas con Discapacidad, los Estados deben “tener en cuenta la protección y promoción de los derechos</w:t>
      </w:r>
      <w:r>
        <w:rPr>
          <w:spacing w:val="40"/>
          <w:sz w:val="15"/>
        </w:rPr>
        <w:t xml:space="preserve"> </w:t>
      </w:r>
      <w:r>
        <w:rPr>
          <w:sz w:val="15"/>
        </w:rPr>
        <w:t>humanos de las personas con discapacidad en todas las políticas y programas”810.</w:t>
      </w:r>
    </w:p>
    <w:p w14:paraId="33DF263E" w14:textId="77777777" w:rsidR="0014798C" w:rsidRDefault="004E1F0B">
      <w:pPr>
        <w:spacing w:before="167" w:line="348" w:lineRule="auto"/>
        <w:ind w:left="1107" w:right="1463" w:hanging="4"/>
        <w:rPr>
          <w:sz w:val="15"/>
        </w:rPr>
      </w:pPr>
      <w:r>
        <w:rPr>
          <w:noProof/>
        </w:rPr>
        <mc:AlternateContent>
          <mc:Choice Requires="wps">
            <w:drawing>
              <wp:anchor distT="0" distB="0" distL="0" distR="0" simplePos="0" relativeHeight="251658298" behindDoc="0" locked="0" layoutInCell="1" allowOverlap="1" wp14:anchorId="5E09D01C" wp14:editId="3981AE98">
                <wp:simplePos x="0" y="0"/>
                <wp:positionH relativeFrom="page">
                  <wp:posOffset>7311619</wp:posOffset>
                </wp:positionH>
                <wp:positionV relativeFrom="paragraph">
                  <wp:posOffset>436509</wp:posOffset>
                </wp:positionV>
                <wp:extent cx="85725" cy="290195"/>
                <wp:effectExtent l="0" t="0" r="0" b="0"/>
                <wp:wrapNone/>
                <wp:docPr id="248" name="Textbox 24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85725" cy="290195"/>
                        </a:xfrm>
                        <a:prstGeom prst="rect">
                          <a:avLst/>
                        </a:prstGeom>
                      </wps:spPr>
                      <wps:txbx>
                        <w:txbxContent>
                          <w:p w14:paraId="3D16CB22" w14:textId="77777777" w:rsidR="0014798C" w:rsidRDefault="004E1F0B">
                            <w:pPr>
                              <w:spacing w:before="21"/>
                              <w:ind w:left="20"/>
                              <w:rPr>
                                <w:sz w:val="8"/>
                              </w:rPr>
                            </w:pPr>
                            <w:r>
                              <w:rPr>
                                <w:color w:val="FFFFFF"/>
                                <w:spacing w:val="-28"/>
                                <w:w w:val="105"/>
                                <w:sz w:val="8"/>
                              </w:rPr>
                              <w:t>P–V</w:t>
                            </w:r>
                            <w:r>
                              <w:rPr>
                                <w:spacing w:val="-28"/>
                                <w:w w:val="105"/>
                                <w:sz w:val="8"/>
                              </w:rPr>
                              <w:t>S</w:t>
                            </w:r>
                            <w:r>
                              <w:rPr>
                                <w:color w:val="FFFFFF"/>
                                <w:spacing w:val="-28"/>
                                <w:w w:val="105"/>
                                <w:sz w:val="8"/>
                              </w:rPr>
                              <w:t>A</w:t>
                            </w:r>
                            <w:r>
                              <w:rPr>
                                <w:spacing w:val="-28"/>
                                <w:w w:val="105"/>
                                <w:sz w:val="8"/>
                              </w:rPr>
                              <w:t>E</w:t>
                            </w:r>
                            <w:r>
                              <w:rPr>
                                <w:color w:val="FFFFFF"/>
                                <w:spacing w:val="-28"/>
                                <w:w w:val="105"/>
                                <w:sz w:val="8"/>
                              </w:rPr>
                              <w:t>R</w:t>
                            </w:r>
                            <w:r>
                              <w:rPr>
                                <w:spacing w:val="-28"/>
                                <w:w w:val="105"/>
                                <w:sz w:val="8"/>
                              </w:rPr>
                              <w:t>G</w:t>
                            </w:r>
                            <w:r>
                              <w:rPr>
                                <w:color w:val="FFFFFF"/>
                                <w:spacing w:val="-28"/>
                                <w:w w:val="105"/>
                                <w:sz w:val="8"/>
                              </w:rPr>
                              <w:t>T</w:t>
                            </w:r>
                            <w:r>
                              <w:rPr>
                                <w:spacing w:val="-28"/>
                                <w:w w:val="105"/>
                                <w:sz w:val="8"/>
                              </w:rPr>
                              <w:t>U</w:t>
                            </w:r>
                            <w:r>
                              <w:rPr>
                                <w:color w:val="FFFFFF"/>
                                <w:spacing w:val="-28"/>
                                <w:w w:val="105"/>
                                <w:sz w:val="8"/>
                              </w:rPr>
                              <w:t>E</w:t>
                            </w:r>
                            <w:r>
                              <w:rPr>
                                <w:spacing w:val="-28"/>
                                <w:w w:val="105"/>
                                <w:sz w:val="8"/>
                              </w:rPr>
                              <w:t>NDA</w:t>
                            </w:r>
                          </w:p>
                        </w:txbxContent>
                      </wps:txbx>
                      <wps:bodyPr vert="vert270" wrap="square" lIns="0" tIns="0" rIns="0" bIns="0" rtlCol="0">
                        <a:noAutofit/>
                      </wps:bodyPr>
                    </wps:wsp>
                  </a:graphicData>
                </a:graphic>
              </wp:anchor>
            </w:drawing>
          </mc:Choice>
          <mc:Fallback>
            <w:pict>
              <v:shape w14:anchorId="5E09D01C" id="Textbox 248" o:spid="_x0000_s1121" type="#_x0000_t202" style="position:absolute;left:0;text-align:left;margin-left:575.7pt;margin-top:34.35pt;width:6.75pt;height:22.85pt;z-index:251658298;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" filled="f" stroked="f">
                <v:textbox style="layout-flow:vertical;mso-layout-flow-alt:bottom-to-top" inset="0,0,0,0">
                  <w:txbxContent>
                    <w:p w14:paraId="3D16CB22" w14:textId="77777777" w:rsidR="0014798C" w:rsidRDefault="004E1F0B">
                      <w:pPr>
                        <w:spacing w:before="21"/>
                        <w:ind w:left="20"/>
                        <w:rPr>
                          <w:sz w:val="8"/>
                        </w:rPr>
                      </w:pPr>
                      <w:r>
                        <w:rPr>
                          <w:color w:val="FFFFFF"/>
                          <w:spacing w:val="-28"/>
                          <w:w w:val="105"/>
                          <w:sz w:val="8"/>
                        </w:rPr>
                        <w:t>P–V</w:t>
                      </w:r>
                      <w:r>
                        <w:rPr>
                          <w:spacing w:val="-28"/>
                          <w:w w:val="105"/>
                          <w:sz w:val="8"/>
                        </w:rPr>
                        <w:t>S</w:t>
                      </w:r>
                      <w:r>
                        <w:rPr>
                          <w:color w:val="FFFFFF"/>
                          <w:spacing w:val="-28"/>
                          <w:w w:val="105"/>
                          <w:sz w:val="8"/>
                        </w:rPr>
                        <w:t>A</w:t>
                      </w:r>
                      <w:r>
                        <w:rPr>
                          <w:spacing w:val="-28"/>
                          <w:w w:val="105"/>
                          <w:sz w:val="8"/>
                        </w:rPr>
                        <w:t>E</w:t>
                      </w:r>
                      <w:r>
                        <w:rPr>
                          <w:color w:val="FFFFFF"/>
                          <w:spacing w:val="-28"/>
                          <w:w w:val="105"/>
                          <w:sz w:val="8"/>
                        </w:rPr>
                        <w:t>R</w:t>
                      </w:r>
                      <w:r>
                        <w:rPr>
                          <w:spacing w:val="-28"/>
                          <w:w w:val="105"/>
                          <w:sz w:val="8"/>
                        </w:rPr>
                        <w:t>G</w:t>
                      </w:r>
                      <w:r>
                        <w:rPr>
                          <w:color w:val="FFFFFF"/>
                          <w:spacing w:val="-28"/>
                          <w:w w:val="105"/>
                          <w:sz w:val="8"/>
                        </w:rPr>
                        <w:t>T</w:t>
                      </w:r>
                      <w:r>
                        <w:rPr>
                          <w:spacing w:val="-28"/>
                          <w:w w:val="105"/>
                          <w:sz w:val="8"/>
                        </w:rPr>
                        <w:t>U</w:t>
                      </w:r>
                      <w:r>
                        <w:rPr>
                          <w:color w:val="FFFFFF"/>
                          <w:spacing w:val="-28"/>
                          <w:w w:val="105"/>
                          <w:sz w:val="8"/>
                        </w:rPr>
                        <w:t>E</w:t>
                      </w:r>
                      <w:r>
                        <w:rPr>
                          <w:spacing w:val="-28"/>
                          <w:w w:val="105"/>
                          <w:sz w:val="8"/>
                        </w:rPr>
                        <w:t>NDA</w:t>
                      </w:r>
                    </w:p>
                  </w:txbxContent>
                </v:textbox>
                <w10:wrap anchorx="page"/>
              </v:shape>
            </w:pict>
          </mc:Fallback>
        </mc:AlternateContent>
      </w:r>
      <w:r>
        <w:rPr>
          <w:sz w:val="15"/>
        </w:rPr>
        <w:t>Si bien</w:t>
      </w:r>
      <w:r>
        <w:rPr>
          <w:spacing w:val="11"/>
          <w:sz w:val="15"/>
        </w:rPr>
        <w:t xml:space="preserve"> </w:t>
      </w:r>
      <w:r>
        <w:rPr>
          <w:sz w:val="15"/>
        </w:rPr>
        <w:t>los</w:t>
      </w:r>
      <w:r>
        <w:rPr>
          <w:spacing w:val="11"/>
          <w:sz w:val="15"/>
        </w:rPr>
        <w:t xml:space="preserve"> </w:t>
      </w:r>
      <w:proofErr w:type="gramStart"/>
      <w:r>
        <w:rPr>
          <w:sz w:val="15"/>
        </w:rPr>
        <w:t>Estados partes</w:t>
      </w:r>
      <w:proofErr w:type="gramEnd"/>
      <w:r>
        <w:rPr>
          <w:sz w:val="15"/>
        </w:rPr>
        <w:t xml:space="preserve"> tienen “mucha</w:t>
      </w:r>
      <w:r>
        <w:rPr>
          <w:spacing w:val="11"/>
          <w:sz w:val="15"/>
        </w:rPr>
        <w:t xml:space="preserve"> </w:t>
      </w:r>
      <w:r>
        <w:rPr>
          <w:sz w:val="15"/>
        </w:rPr>
        <w:t>flexibilidad” en</w:t>
      </w:r>
      <w:r>
        <w:rPr>
          <w:spacing w:val="11"/>
          <w:sz w:val="15"/>
        </w:rPr>
        <w:t xml:space="preserve"> </w:t>
      </w:r>
      <w:r>
        <w:rPr>
          <w:sz w:val="15"/>
        </w:rPr>
        <w:t>el</w:t>
      </w:r>
      <w:r>
        <w:rPr>
          <w:spacing w:val="11"/>
          <w:sz w:val="15"/>
        </w:rPr>
        <w:t xml:space="preserve"> </w:t>
      </w:r>
      <w:r>
        <w:rPr>
          <w:sz w:val="15"/>
        </w:rPr>
        <w:t>desarrollo</w:t>
      </w:r>
      <w:r>
        <w:rPr>
          <w:spacing w:val="11"/>
          <w:sz w:val="15"/>
        </w:rPr>
        <w:t xml:space="preserve"> </w:t>
      </w:r>
      <w:r>
        <w:rPr>
          <w:sz w:val="15"/>
        </w:rPr>
        <w:t>de</w:t>
      </w:r>
      <w:r>
        <w:rPr>
          <w:spacing w:val="11"/>
          <w:sz w:val="15"/>
        </w:rPr>
        <w:t xml:space="preserve"> </w:t>
      </w:r>
      <w:r>
        <w:rPr>
          <w:sz w:val="15"/>
        </w:rPr>
        <w:t>políticas,811 un</w:t>
      </w:r>
      <w:r>
        <w:rPr>
          <w:spacing w:val="11"/>
          <w:sz w:val="15"/>
        </w:rPr>
        <w:t xml:space="preserve"> </w:t>
      </w:r>
      <w:r>
        <w:rPr>
          <w:sz w:val="15"/>
        </w:rPr>
        <w:t>Estado debe</w:t>
      </w:r>
      <w:r>
        <w:rPr>
          <w:spacing w:val="11"/>
          <w:sz w:val="15"/>
        </w:rPr>
        <w:t xml:space="preserve"> </w:t>
      </w:r>
      <w:r>
        <w:rPr>
          <w:sz w:val="15"/>
        </w:rPr>
        <w:t>“poder</w:t>
      </w:r>
      <w:r>
        <w:rPr>
          <w:spacing w:val="11"/>
          <w:sz w:val="15"/>
        </w:rPr>
        <w:t xml:space="preserve"> </w:t>
      </w:r>
      <w:r>
        <w:rPr>
          <w:sz w:val="15"/>
        </w:rPr>
        <w:t>justificar la</w:t>
      </w:r>
      <w:r>
        <w:rPr>
          <w:spacing w:val="11"/>
          <w:sz w:val="15"/>
        </w:rPr>
        <w:t xml:space="preserve"> </w:t>
      </w:r>
      <w:r>
        <w:rPr>
          <w:sz w:val="15"/>
        </w:rPr>
        <w:t>idoneidad</w:t>
      </w:r>
      <w:r>
        <w:rPr>
          <w:spacing w:val="11"/>
          <w:sz w:val="15"/>
        </w:rPr>
        <w:t xml:space="preserve"> </w:t>
      </w:r>
      <w:r>
        <w:rPr>
          <w:sz w:val="15"/>
        </w:rPr>
        <w:t>de los medios particulares que ha elegido y demostrar si logrará el efecto y resultado previstos”.812 Allí es, por lo tanto, un requisito para</w:t>
      </w:r>
      <w:r>
        <w:rPr>
          <w:spacing w:val="40"/>
          <w:sz w:val="15"/>
        </w:rPr>
        <w:t xml:space="preserve"> </w:t>
      </w:r>
      <w:r>
        <w:rPr>
          <w:sz w:val="15"/>
        </w:rPr>
        <w:t>garantizar</w:t>
      </w:r>
      <w:r>
        <w:rPr>
          <w:spacing w:val="14"/>
          <w:sz w:val="15"/>
        </w:rPr>
        <w:t xml:space="preserve"> </w:t>
      </w:r>
      <w:r>
        <w:rPr>
          <w:sz w:val="15"/>
        </w:rPr>
        <w:t>que</w:t>
      </w:r>
      <w:r>
        <w:rPr>
          <w:spacing w:val="16"/>
          <w:sz w:val="15"/>
        </w:rPr>
        <w:t xml:space="preserve"> </w:t>
      </w:r>
      <w:r>
        <w:rPr>
          <w:sz w:val="15"/>
        </w:rPr>
        <w:t>las</w:t>
      </w:r>
      <w:r>
        <w:rPr>
          <w:spacing w:val="16"/>
          <w:sz w:val="15"/>
        </w:rPr>
        <w:t xml:space="preserve"> </w:t>
      </w:r>
      <w:r>
        <w:rPr>
          <w:sz w:val="15"/>
        </w:rPr>
        <w:t>medidas</w:t>
      </w:r>
      <w:r>
        <w:rPr>
          <w:spacing w:val="14"/>
          <w:sz w:val="15"/>
        </w:rPr>
        <w:t xml:space="preserve"> </w:t>
      </w:r>
      <w:r>
        <w:rPr>
          <w:sz w:val="15"/>
        </w:rPr>
        <w:t>sean</w:t>
      </w:r>
      <w:r>
        <w:rPr>
          <w:spacing w:val="16"/>
          <w:sz w:val="15"/>
        </w:rPr>
        <w:t xml:space="preserve"> </w:t>
      </w:r>
      <w:r>
        <w:rPr>
          <w:sz w:val="15"/>
        </w:rPr>
        <w:t>efectivas,</w:t>
      </w:r>
      <w:r>
        <w:rPr>
          <w:spacing w:val="16"/>
          <w:sz w:val="15"/>
        </w:rPr>
        <w:t xml:space="preserve"> </w:t>
      </w:r>
      <w:r>
        <w:rPr>
          <w:sz w:val="15"/>
        </w:rPr>
        <w:t>y</w:t>
      </w:r>
      <w:r>
        <w:rPr>
          <w:spacing w:val="16"/>
          <w:sz w:val="15"/>
        </w:rPr>
        <w:t xml:space="preserve"> </w:t>
      </w:r>
      <w:r>
        <w:rPr>
          <w:sz w:val="15"/>
        </w:rPr>
        <w:t>el</w:t>
      </w:r>
      <w:r>
        <w:rPr>
          <w:spacing w:val="16"/>
          <w:sz w:val="15"/>
        </w:rPr>
        <w:t xml:space="preserve"> </w:t>
      </w:r>
      <w:r>
        <w:rPr>
          <w:sz w:val="15"/>
        </w:rPr>
        <w:t>proceso</w:t>
      </w:r>
      <w:r>
        <w:rPr>
          <w:spacing w:val="16"/>
          <w:sz w:val="15"/>
        </w:rPr>
        <w:t xml:space="preserve"> </w:t>
      </w:r>
      <w:r>
        <w:rPr>
          <w:sz w:val="15"/>
        </w:rPr>
        <w:t>para</w:t>
      </w:r>
      <w:r>
        <w:rPr>
          <w:spacing w:val="16"/>
          <w:sz w:val="15"/>
        </w:rPr>
        <w:t xml:space="preserve"> </w:t>
      </w:r>
      <w:r>
        <w:rPr>
          <w:sz w:val="15"/>
        </w:rPr>
        <w:t>el</w:t>
      </w:r>
      <w:r>
        <w:rPr>
          <w:spacing w:val="16"/>
          <w:sz w:val="15"/>
        </w:rPr>
        <w:t xml:space="preserve"> </w:t>
      </w:r>
      <w:r>
        <w:rPr>
          <w:sz w:val="15"/>
        </w:rPr>
        <w:t>desarrollo</w:t>
      </w:r>
      <w:r>
        <w:rPr>
          <w:spacing w:val="16"/>
          <w:sz w:val="15"/>
        </w:rPr>
        <w:t xml:space="preserve"> </w:t>
      </w:r>
      <w:r>
        <w:rPr>
          <w:sz w:val="15"/>
        </w:rPr>
        <w:t>de</w:t>
      </w:r>
      <w:r>
        <w:rPr>
          <w:spacing w:val="16"/>
          <w:sz w:val="15"/>
        </w:rPr>
        <w:t xml:space="preserve"> </w:t>
      </w:r>
      <w:r>
        <w:rPr>
          <w:sz w:val="15"/>
        </w:rPr>
        <w:t>planes</w:t>
      </w:r>
      <w:r>
        <w:rPr>
          <w:spacing w:val="14"/>
          <w:sz w:val="15"/>
        </w:rPr>
        <w:t xml:space="preserve"> </w:t>
      </w:r>
      <w:r>
        <w:rPr>
          <w:sz w:val="15"/>
        </w:rPr>
        <w:t>y</w:t>
      </w:r>
      <w:r>
        <w:rPr>
          <w:spacing w:val="16"/>
          <w:sz w:val="15"/>
        </w:rPr>
        <w:t xml:space="preserve"> </w:t>
      </w:r>
      <w:r>
        <w:rPr>
          <w:sz w:val="15"/>
        </w:rPr>
        <w:t>estrategias</w:t>
      </w:r>
      <w:r>
        <w:rPr>
          <w:spacing w:val="14"/>
          <w:sz w:val="15"/>
        </w:rPr>
        <w:t xml:space="preserve"> </w:t>
      </w:r>
      <w:r>
        <w:rPr>
          <w:sz w:val="15"/>
        </w:rPr>
        <w:t>de</w:t>
      </w:r>
      <w:r>
        <w:rPr>
          <w:spacing w:val="16"/>
          <w:sz w:val="15"/>
        </w:rPr>
        <w:t xml:space="preserve"> </w:t>
      </w:r>
      <w:r>
        <w:rPr>
          <w:sz w:val="15"/>
        </w:rPr>
        <w:t>igualdad</w:t>
      </w:r>
      <w:r>
        <w:rPr>
          <w:spacing w:val="16"/>
          <w:sz w:val="15"/>
        </w:rPr>
        <w:t xml:space="preserve"> </w:t>
      </w:r>
      <w:r>
        <w:rPr>
          <w:sz w:val="15"/>
        </w:rPr>
        <w:t>y</w:t>
      </w:r>
      <w:r>
        <w:rPr>
          <w:spacing w:val="16"/>
          <w:sz w:val="15"/>
        </w:rPr>
        <w:t xml:space="preserve"> </w:t>
      </w:r>
      <w:r>
        <w:rPr>
          <w:sz w:val="15"/>
        </w:rPr>
        <w:t>su</w:t>
      </w:r>
      <w:r>
        <w:rPr>
          <w:spacing w:val="16"/>
          <w:sz w:val="15"/>
        </w:rPr>
        <w:t xml:space="preserve"> </w:t>
      </w:r>
      <w:r>
        <w:rPr>
          <w:sz w:val="15"/>
        </w:rPr>
        <w:t>implementación debe ser consultivo y participativo.813</w:t>
      </w:r>
    </w:p>
    <w:p w14:paraId="12CADC43" w14:textId="77777777" w:rsidR="0014798C" w:rsidRDefault="0014798C">
      <w:pPr>
        <w:pStyle w:val="Textoindependiente"/>
        <w:rPr>
          <w:sz w:val="19"/>
        </w:rPr>
      </w:pPr>
    </w:p>
    <w:p w14:paraId="0B70B19D" w14:textId="77777777" w:rsidR="0014798C" w:rsidRDefault="0014798C">
      <w:pPr>
        <w:pStyle w:val="Textoindependiente"/>
        <w:spacing w:before="175"/>
        <w:rPr>
          <w:sz w:val="19"/>
        </w:rPr>
      </w:pPr>
    </w:p>
    <w:p w14:paraId="7D5A7B25" w14:textId="77777777" w:rsidR="0014798C" w:rsidRDefault="004E1F0B">
      <w:pPr>
        <w:numPr>
          <w:ilvl w:val="1"/>
          <w:numId w:val="3"/>
        </w:numPr>
        <w:tabs>
          <w:tab w:val="left" w:pos="1349"/>
        </w:tabs>
        <w:spacing w:before="1"/>
        <w:ind w:left="1349" w:hanging="229"/>
        <w:rPr>
          <w:color w:val="00AC59"/>
          <w:sz w:val="19"/>
        </w:rPr>
      </w:pPr>
      <w:r>
        <w:rPr>
          <w:color w:val="00AC59"/>
          <w:sz w:val="19"/>
        </w:rPr>
        <w:t>Evaluación</w:t>
      </w:r>
      <w:r>
        <w:rPr>
          <w:color w:val="00AC59"/>
          <w:spacing w:val="-10"/>
          <w:sz w:val="19"/>
        </w:rPr>
        <w:t xml:space="preserve"> </w:t>
      </w:r>
      <w:r>
        <w:rPr>
          <w:color w:val="00AC59"/>
          <w:sz w:val="19"/>
        </w:rPr>
        <w:t>del</w:t>
      </w:r>
      <w:r>
        <w:rPr>
          <w:color w:val="00AC59"/>
          <w:spacing w:val="-11"/>
          <w:sz w:val="19"/>
        </w:rPr>
        <w:t xml:space="preserve"> </w:t>
      </w:r>
      <w:r>
        <w:rPr>
          <w:color w:val="00AC59"/>
          <w:sz w:val="19"/>
        </w:rPr>
        <w:t>impacto</w:t>
      </w:r>
      <w:r>
        <w:rPr>
          <w:color w:val="00AC59"/>
          <w:spacing w:val="-10"/>
          <w:sz w:val="19"/>
        </w:rPr>
        <w:t xml:space="preserve"> </w:t>
      </w:r>
      <w:r>
        <w:rPr>
          <w:color w:val="00AC59"/>
          <w:sz w:val="19"/>
        </w:rPr>
        <w:t>en</w:t>
      </w:r>
      <w:r>
        <w:rPr>
          <w:color w:val="00AC59"/>
          <w:spacing w:val="-10"/>
          <w:sz w:val="19"/>
        </w:rPr>
        <w:t xml:space="preserve"> </w:t>
      </w:r>
      <w:r>
        <w:rPr>
          <w:color w:val="00AC59"/>
          <w:sz w:val="19"/>
        </w:rPr>
        <w:t>materia</w:t>
      </w:r>
      <w:r>
        <w:rPr>
          <w:color w:val="00AC59"/>
          <w:spacing w:val="-10"/>
          <w:sz w:val="19"/>
        </w:rPr>
        <w:t xml:space="preserve"> </w:t>
      </w:r>
      <w:r>
        <w:rPr>
          <w:color w:val="00AC59"/>
          <w:sz w:val="19"/>
        </w:rPr>
        <w:t>de</w:t>
      </w:r>
      <w:r>
        <w:rPr>
          <w:color w:val="00AC59"/>
          <w:spacing w:val="-10"/>
          <w:sz w:val="19"/>
        </w:rPr>
        <w:t xml:space="preserve"> </w:t>
      </w:r>
      <w:r>
        <w:rPr>
          <w:color w:val="00AC59"/>
          <w:spacing w:val="-2"/>
          <w:sz w:val="19"/>
        </w:rPr>
        <w:t>igualdad</w:t>
      </w:r>
    </w:p>
    <w:p w14:paraId="1333339B" w14:textId="77777777" w:rsidR="0014798C" w:rsidRDefault="0014798C">
      <w:pPr>
        <w:pStyle w:val="Textoindependiente"/>
        <w:spacing w:before="97"/>
        <w:rPr>
          <w:sz w:val="15"/>
        </w:rPr>
      </w:pPr>
    </w:p>
    <w:p w14:paraId="2E4F69D9" w14:textId="77777777" w:rsidR="0014798C" w:rsidRDefault="004E1F0B">
      <w:pPr>
        <w:spacing w:line="348" w:lineRule="auto"/>
        <w:ind w:left="1107" w:right="1378" w:hanging="4"/>
        <w:rPr>
          <w:sz w:val="15"/>
        </w:rPr>
      </w:pPr>
      <w:r>
        <w:rPr>
          <w:sz w:val="15"/>
        </w:rPr>
        <w:t>Si bien los instrumentos internacionales de derechos humanos no lo exigen explícitamente, la evaluación del impacto en la igualdad se</w:t>
      </w:r>
      <w:r>
        <w:rPr>
          <w:spacing w:val="40"/>
          <w:sz w:val="15"/>
        </w:rPr>
        <w:t xml:space="preserve"> </w:t>
      </w:r>
      <w:r>
        <w:rPr>
          <w:sz w:val="15"/>
        </w:rPr>
        <w:t>entiende cada vez más como una herramienta esencial para la eliminación de la discriminación814 y, por lo tanto, un medio necesario</w:t>
      </w:r>
      <w:r>
        <w:rPr>
          <w:spacing w:val="40"/>
          <w:sz w:val="15"/>
        </w:rPr>
        <w:t xml:space="preserve"> </w:t>
      </w:r>
      <w:r>
        <w:rPr>
          <w:sz w:val="15"/>
        </w:rPr>
        <w:t>para</w:t>
      </w:r>
      <w:r>
        <w:rPr>
          <w:spacing w:val="17"/>
          <w:sz w:val="15"/>
        </w:rPr>
        <w:t xml:space="preserve"> </w:t>
      </w:r>
      <w:r>
        <w:rPr>
          <w:sz w:val="15"/>
        </w:rPr>
        <w:t>que</w:t>
      </w:r>
      <w:r>
        <w:rPr>
          <w:spacing w:val="17"/>
          <w:sz w:val="15"/>
        </w:rPr>
        <w:t xml:space="preserve"> </w:t>
      </w:r>
      <w:r>
        <w:rPr>
          <w:sz w:val="15"/>
        </w:rPr>
        <w:t>los</w:t>
      </w:r>
      <w:r>
        <w:rPr>
          <w:spacing w:val="17"/>
          <w:sz w:val="15"/>
        </w:rPr>
        <w:t xml:space="preserve"> </w:t>
      </w:r>
      <w:r>
        <w:rPr>
          <w:sz w:val="15"/>
        </w:rPr>
        <w:t>Estados</w:t>
      </w:r>
      <w:r>
        <w:rPr>
          <w:spacing w:val="15"/>
          <w:sz w:val="15"/>
        </w:rPr>
        <w:t xml:space="preserve"> </w:t>
      </w:r>
      <w:r>
        <w:rPr>
          <w:sz w:val="15"/>
        </w:rPr>
        <w:t>cumplan</w:t>
      </w:r>
      <w:r>
        <w:rPr>
          <w:spacing w:val="17"/>
          <w:sz w:val="15"/>
        </w:rPr>
        <w:t xml:space="preserve"> </w:t>
      </w:r>
      <w:r>
        <w:rPr>
          <w:sz w:val="15"/>
        </w:rPr>
        <w:t>con</w:t>
      </w:r>
      <w:r>
        <w:rPr>
          <w:spacing w:val="17"/>
          <w:sz w:val="15"/>
        </w:rPr>
        <w:t xml:space="preserve"> </w:t>
      </w:r>
      <w:r>
        <w:rPr>
          <w:sz w:val="15"/>
        </w:rPr>
        <w:t>sus</w:t>
      </w:r>
      <w:r>
        <w:rPr>
          <w:spacing w:val="17"/>
          <w:sz w:val="15"/>
        </w:rPr>
        <w:t xml:space="preserve"> </w:t>
      </w:r>
      <w:r>
        <w:rPr>
          <w:sz w:val="15"/>
        </w:rPr>
        <w:t>obligaciones</w:t>
      </w:r>
      <w:r>
        <w:rPr>
          <w:spacing w:val="15"/>
          <w:sz w:val="15"/>
        </w:rPr>
        <w:t xml:space="preserve"> </w:t>
      </w:r>
      <w:r>
        <w:rPr>
          <w:sz w:val="15"/>
        </w:rPr>
        <w:t>de</w:t>
      </w:r>
      <w:r>
        <w:rPr>
          <w:spacing w:val="17"/>
          <w:sz w:val="15"/>
        </w:rPr>
        <w:t xml:space="preserve"> </w:t>
      </w:r>
      <w:r>
        <w:rPr>
          <w:sz w:val="15"/>
        </w:rPr>
        <w:t>derecho</w:t>
      </w:r>
      <w:r>
        <w:rPr>
          <w:spacing w:val="17"/>
          <w:sz w:val="15"/>
        </w:rPr>
        <w:t xml:space="preserve"> </w:t>
      </w:r>
      <w:r>
        <w:rPr>
          <w:sz w:val="15"/>
        </w:rPr>
        <w:t>internacional.</w:t>
      </w:r>
      <w:r>
        <w:rPr>
          <w:spacing w:val="18"/>
          <w:sz w:val="15"/>
        </w:rPr>
        <w:t xml:space="preserve"> </w:t>
      </w:r>
      <w:r>
        <w:rPr>
          <w:sz w:val="15"/>
        </w:rPr>
        <w:t>La</w:t>
      </w:r>
      <w:r>
        <w:rPr>
          <w:spacing w:val="17"/>
          <w:sz w:val="15"/>
        </w:rPr>
        <w:t xml:space="preserve"> </w:t>
      </w:r>
      <w:r>
        <w:rPr>
          <w:sz w:val="15"/>
        </w:rPr>
        <w:t>evaluación</w:t>
      </w:r>
      <w:r>
        <w:rPr>
          <w:spacing w:val="17"/>
          <w:sz w:val="15"/>
        </w:rPr>
        <w:t xml:space="preserve"> </w:t>
      </w:r>
      <w:r>
        <w:rPr>
          <w:sz w:val="15"/>
        </w:rPr>
        <w:t>del</w:t>
      </w:r>
      <w:r>
        <w:rPr>
          <w:spacing w:val="17"/>
          <w:sz w:val="15"/>
        </w:rPr>
        <w:t xml:space="preserve"> </w:t>
      </w:r>
      <w:r>
        <w:rPr>
          <w:sz w:val="15"/>
        </w:rPr>
        <w:t>impacto</w:t>
      </w:r>
      <w:r>
        <w:rPr>
          <w:spacing w:val="17"/>
          <w:sz w:val="15"/>
        </w:rPr>
        <w:t xml:space="preserve"> </w:t>
      </w:r>
      <w:r>
        <w:rPr>
          <w:sz w:val="15"/>
        </w:rPr>
        <w:t>en</w:t>
      </w:r>
      <w:r>
        <w:rPr>
          <w:spacing w:val="17"/>
          <w:sz w:val="15"/>
        </w:rPr>
        <w:t xml:space="preserve"> </w:t>
      </w:r>
      <w:r>
        <w:rPr>
          <w:sz w:val="15"/>
        </w:rPr>
        <w:t>materia</w:t>
      </w:r>
      <w:r>
        <w:rPr>
          <w:spacing w:val="17"/>
          <w:sz w:val="15"/>
        </w:rPr>
        <w:t xml:space="preserve"> </w:t>
      </w:r>
      <w:r>
        <w:rPr>
          <w:sz w:val="15"/>
        </w:rPr>
        <w:t>de</w:t>
      </w:r>
      <w:r>
        <w:rPr>
          <w:spacing w:val="17"/>
          <w:sz w:val="15"/>
        </w:rPr>
        <w:t xml:space="preserve"> </w:t>
      </w:r>
      <w:r>
        <w:rPr>
          <w:sz w:val="15"/>
        </w:rPr>
        <w:t>igualdad implica</w:t>
      </w:r>
      <w:r>
        <w:rPr>
          <w:spacing w:val="15"/>
          <w:sz w:val="15"/>
        </w:rPr>
        <w:t xml:space="preserve"> </w:t>
      </w:r>
      <w:r>
        <w:rPr>
          <w:sz w:val="15"/>
        </w:rPr>
        <w:t>una</w:t>
      </w:r>
      <w:r>
        <w:rPr>
          <w:spacing w:val="15"/>
          <w:sz w:val="15"/>
        </w:rPr>
        <w:t xml:space="preserve"> </w:t>
      </w:r>
      <w:r>
        <w:rPr>
          <w:sz w:val="15"/>
        </w:rPr>
        <w:t>evaluación</w:t>
      </w:r>
      <w:r>
        <w:rPr>
          <w:spacing w:val="15"/>
          <w:sz w:val="15"/>
        </w:rPr>
        <w:t xml:space="preserve"> </w:t>
      </w:r>
      <w:r>
        <w:rPr>
          <w:sz w:val="15"/>
        </w:rPr>
        <w:t>preventiva,</w:t>
      </w:r>
      <w:r>
        <w:rPr>
          <w:spacing w:val="15"/>
          <w:sz w:val="15"/>
        </w:rPr>
        <w:t xml:space="preserve"> </w:t>
      </w:r>
      <w:r>
        <w:rPr>
          <w:sz w:val="15"/>
        </w:rPr>
        <w:t>consultiva</w:t>
      </w:r>
      <w:r>
        <w:rPr>
          <w:spacing w:val="15"/>
          <w:sz w:val="15"/>
        </w:rPr>
        <w:t xml:space="preserve"> </w:t>
      </w:r>
      <w:r>
        <w:rPr>
          <w:sz w:val="15"/>
        </w:rPr>
        <w:t>y</w:t>
      </w:r>
      <w:r>
        <w:rPr>
          <w:spacing w:val="15"/>
          <w:sz w:val="15"/>
        </w:rPr>
        <w:t xml:space="preserve"> </w:t>
      </w:r>
      <w:r>
        <w:rPr>
          <w:sz w:val="15"/>
        </w:rPr>
        <w:t>basada</w:t>
      </w:r>
      <w:r>
        <w:rPr>
          <w:spacing w:val="15"/>
          <w:sz w:val="15"/>
        </w:rPr>
        <w:t xml:space="preserve"> </w:t>
      </w:r>
      <w:r>
        <w:rPr>
          <w:sz w:val="15"/>
        </w:rPr>
        <w:t>en</w:t>
      </w:r>
      <w:r>
        <w:rPr>
          <w:spacing w:val="15"/>
          <w:sz w:val="15"/>
        </w:rPr>
        <w:t xml:space="preserve"> </w:t>
      </w:r>
      <w:r>
        <w:rPr>
          <w:sz w:val="15"/>
        </w:rPr>
        <w:t>datos</w:t>
      </w:r>
      <w:r>
        <w:rPr>
          <w:spacing w:val="14"/>
          <w:sz w:val="15"/>
        </w:rPr>
        <w:t xml:space="preserve"> </w:t>
      </w:r>
      <w:r>
        <w:rPr>
          <w:sz w:val="15"/>
        </w:rPr>
        <w:t>de</w:t>
      </w:r>
      <w:r>
        <w:rPr>
          <w:spacing w:val="15"/>
          <w:sz w:val="15"/>
        </w:rPr>
        <w:t xml:space="preserve"> </w:t>
      </w:r>
      <w:r>
        <w:rPr>
          <w:sz w:val="15"/>
        </w:rPr>
        <w:t>una</w:t>
      </w:r>
      <w:r>
        <w:rPr>
          <w:spacing w:val="15"/>
          <w:sz w:val="15"/>
        </w:rPr>
        <w:t xml:space="preserve"> </w:t>
      </w:r>
      <w:r>
        <w:rPr>
          <w:sz w:val="15"/>
        </w:rPr>
        <w:t>ley,</w:t>
      </w:r>
      <w:r>
        <w:rPr>
          <w:spacing w:val="15"/>
          <w:sz w:val="15"/>
        </w:rPr>
        <w:t xml:space="preserve"> </w:t>
      </w:r>
      <w:r>
        <w:rPr>
          <w:sz w:val="15"/>
        </w:rPr>
        <w:t>política</w:t>
      </w:r>
      <w:r>
        <w:rPr>
          <w:spacing w:val="14"/>
          <w:sz w:val="15"/>
        </w:rPr>
        <w:t xml:space="preserve"> </w:t>
      </w:r>
      <w:r>
        <w:rPr>
          <w:sz w:val="15"/>
        </w:rPr>
        <w:t>o</w:t>
      </w:r>
      <w:r>
        <w:rPr>
          <w:spacing w:val="15"/>
          <w:sz w:val="15"/>
        </w:rPr>
        <w:t xml:space="preserve"> </w:t>
      </w:r>
      <w:r>
        <w:rPr>
          <w:sz w:val="15"/>
        </w:rPr>
        <w:t>decisión</w:t>
      </w:r>
      <w:r>
        <w:rPr>
          <w:spacing w:val="15"/>
          <w:sz w:val="15"/>
        </w:rPr>
        <w:t xml:space="preserve"> </w:t>
      </w:r>
      <w:r>
        <w:rPr>
          <w:sz w:val="15"/>
        </w:rPr>
        <w:t>para</w:t>
      </w:r>
      <w:r>
        <w:rPr>
          <w:spacing w:val="15"/>
          <w:sz w:val="15"/>
        </w:rPr>
        <w:t xml:space="preserve"> </w:t>
      </w:r>
      <w:r>
        <w:rPr>
          <w:sz w:val="15"/>
        </w:rPr>
        <w:t>garantizar</w:t>
      </w:r>
      <w:r>
        <w:rPr>
          <w:spacing w:val="14"/>
          <w:sz w:val="15"/>
        </w:rPr>
        <w:t xml:space="preserve"> </w:t>
      </w:r>
      <w:r>
        <w:rPr>
          <w:sz w:val="15"/>
        </w:rPr>
        <w:t>que</w:t>
      </w:r>
      <w:r>
        <w:rPr>
          <w:spacing w:val="15"/>
          <w:sz w:val="15"/>
        </w:rPr>
        <w:t xml:space="preserve"> </w:t>
      </w:r>
      <w:r>
        <w:rPr>
          <w:sz w:val="15"/>
        </w:rPr>
        <w:t>no</w:t>
      </w:r>
      <w:r>
        <w:rPr>
          <w:spacing w:val="15"/>
          <w:sz w:val="15"/>
        </w:rPr>
        <w:t xml:space="preserve"> </w:t>
      </w:r>
      <w:r>
        <w:rPr>
          <w:sz w:val="15"/>
        </w:rPr>
        <w:t>discriminen directa o indirectamente y para identificar cómo se pueden atender y satisfacer las necesidades particulares de las personas y grupos</w:t>
      </w:r>
      <w:r>
        <w:rPr>
          <w:spacing w:val="80"/>
          <w:sz w:val="15"/>
        </w:rPr>
        <w:t xml:space="preserve"> </w:t>
      </w:r>
      <w:r>
        <w:rPr>
          <w:sz w:val="15"/>
        </w:rPr>
        <w:t>discriminados.</w:t>
      </w:r>
      <w:r>
        <w:rPr>
          <w:spacing w:val="15"/>
          <w:sz w:val="15"/>
        </w:rPr>
        <w:t xml:space="preserve"> </w:t>
      </w:r>
      <w:r>
        <w:rPr>
          <w:sz w:val="15"/>
        </w:rPr>
        <w:t>avanzado.</w:t>
      </w:r>
      <w:r>
        <w:rPr>
          <w:spacing w:val="14"/>
          <w:sz w:val="15"/>
        </w:rPr>
        <w:t xml:space="preserve"> </w:t>
      </w:r>
      <w:r>
        <w:rPr>
          <w:sz w:val="15"/>
        </w:rPr>
        <w:t>Por</w:t>
      </w:r>
      <w:r>
        <w:rPr>
          <w:spacing w:val="13"/>
          <w:sz w:val="15"/>
        </w:rPr>
        <w:t xml:space="preserve"> </w:t>
      </w:r>
      <w:r>
        <w:rPr>
          <w:sz w:val="15"/>
        </w:rPr>
        <w:t>lo</w:t>
      </w:r>
      <w:r>
        <w:rPr>
          <w:spacing w:val="14"/>
          <w:sz w:val="15"/>
        </w:rPr>
        <w:t xml:space="preserve"> </w:t>
      </w:r>
      <w:r>
        <w:rPr>
          <w:sz w:val="15"/>
        </w:rPr>
        <w:t>tanto,</w:t>
      </w:r>
      <w:r>
        <w:rPr>
          <w:spacing w:val="14"/>
          <w:sz w:val="15"/>
        </w:rPr>
        <w:t xml:space="preserve"> </w:t>
      </w:r>
      <w:r>
        <w:rPr>
          <w:sz w:val="15"/>
        </w:rPr>
        <w:t>la</w:t>
      </w:r>
      <w:r>
        <w:rPr>
          <w:spacing w:val="14"/>
          <w:sz w:val="15"/>
        </w:rPr>
        <w:t xml:space="preserve"> </w:t>
      </w:r>
      <w:r>
        <w:rPr>
          <w:sz w:val="15"/>
        </w:rPr>
        <w:t>obligación</w:t>
      </w:r>
      <w:r>
        <w:rPr>
          <w:spacing w:val="14"/>
          <w:sz w:val="15"/>
        </w:rPr>
        <w:t xml:space="preserve"> </w:t>
      </w:r>
      <w:r>
        <w:rPr>
          <w:sz w:val="15"/>
        </w:rPr>
        <w:t>de</w:t>
      </w:r>
      <w:r>
        <w:rPr>
          <w:spacing w:val="14"/>
          <w:sz w:val="15"/>
        </w:rPr>
        <w:t xml:space="preserve"> </w:t>
      </w:r>
      <w:r>
        <w:rPr>
          <w:sz w:val="15"/>
        </w:rPr>
        <w:t>llevar</w:t>
      </w:r>
      <w:r>
        <w:rPr>
          <w:spacing w:val="14"/>
          <w:sz w:val="15"/>
        </w:rPr>
        <w:t xml:space="preserve"> </w:t>
      </w:r>
      <w:r>
        <w:rPr>
          <w:sz w:val="15"/>
        </w:rPr>
        <w:t>a</w:t>
      </w:r>
      <w:r>
        <w:rPr>
          <w:spacing w:val="14"/>
          <w:sz w:val="15"/>
        </w:rPr>
        <w:t xml:space="preserve"> </w:t>
      </w:r>
      <w:r>
        <w:rPr>
          <w:sz w:val="15"/>
        </w:rPr>
        <w:t>cabo</w:t>
      </w:r>
      <w:r>
        <w:rPr>
          <w:spacing w:val="14"/>
          <w:sz w:val="15"/>
        </w:rPr>
        <w:t xml:space="preserve"> </w:t>
      </w:r>
      <w:r>
        <w:rPr>
          <w:sz w:val="15"/>
        </w:rPr>
        <w:t>una</w:t>
      </w:r>
      <w:r>
        <w:rPr>
          <w:spacing w:val="14"/>
          <w:sz w:val="15"/>
        </w:rPr>
        <w:t xml:space="preserve"> </w:t>
      </w:r>
      <w:r>
        <w:rPr>
          <w:sz w:val="15"/>
        </w:rPr>
        <w:t>evaluación</w:t>
      </w:r>
      <w:r>
        <w:rPr>
          <w:spacing w:val="14"/>
          <w:sz w:val="15"/>
        </w:rPr>
        <w:t xml:space="preserve"> </w:t>
      </w:r>
      <w:r>
        <w:rPr>
          <w:sz w:val="15"/>
        </w:rPr>
        <w:t>del</w:t>
      </w:r>
      <w:r>
        <w:rPr>
          <w:spacing w:val="14"/>
          <w:sz w:val="15"/>
        </w:rPr>
        <w:t xml:space="preserve"> </w:t>
      </w:r>
      <w:r>
        <w:rPr>
          <w:sz w:val="15"/>
        </w:rPr>
        <w:t>impacto</w:t>
      </w:r>
      <w:r>
        <w:rPr>
          <w:spacing w:val="14"/>
          <w:sz w:val="15"/>
        </w:rPr>
        <w:t xml:space="preserve"> </w:t>
      </w:r>
      <w:r>
        <w:rPr>
          <w:sz w:val="15"/>
        </w:rPr>
        <w:t>en</w:t>
      </w:r>
      <w:r>
        <w:rPr>
          <w:spacing w:val="14"/>
          <w:sz w:val="15"/>
        </w:rPr>
        <w:t xml:space="preserve"> </w:t>
      </w:r>
      <w:r>
        <w:rPr>
          <w:sz w:val="15"/>
        </w:rPr>
        <w:t>la</w:t>
      </w:r>
      <w:r>
        <w:rPr>
          <w:spacing w:val="14"/>
          <w:sz w:val="15"/>
        </w:rPr>
        <w:t xml:space="preserve"> </w:t>
      </w:r>
      <w:r>
        <w:rPr>
          <w:sz w:val="15"/>
        </w:rPr>
        <w:t>igualdad</w:t>
      </w:r>
      <w:r>
        <w:rPr>
          <w:spacing w:val="14"/>
          <w:sz w:val="15"/>
        </w:rPr>
        <w:t xml:space="preserve"> </w:t>
      </w:r>
      <w:r>
        <w:rPr>
          <w:sz w:val="15"/>
        </w:rPr>
        <w:t>forma</w:t>
      </w:r>
      <w:r>
        <w:rPr>
          <w:spacing w:val="14"/>
          <w:sz w:val="15"/>
        </w:rPr>
        <w:t xml:space="preserve"> </w:t>
      </w:r>
      <w:r>
        <w:rPr>
          <w:sz w:val="15"/>
        </w:rPr>
        <w:t>parte</w:t>
      </w:r>
      <w:r>
        <w:rPr>
          <w:spacing w:val="13"/>
          <w:sz w:val="15"/>
        </w:rPr>
        <w:t xml:space="preserve"> </w:t>
      </w:r>
      <w:r>
        <w:rPr>
          <w:sz w:val="15"/>
        </w:rPr>
        <w:t>del</w:t>
      </w:r>
      <w:r>
        <w:rPr>
          <w:spacing w:val="14"/>
          <w:sz w:val="15"/>
        </w:rPr>
        <w:t xml:space="preserve"> </w:t>
      </w:r>
      <w:r>
        <w:rPr>
          <w:sz w:val="15"/>
        </w:rPr>
        <w:t>deber de los Estados de respetar el derecho a la no discriminación absteniéndose de discriminar en la ley, las políticas y la práctica. Sin</w:t>
      </w:r>
      <w:r>
        <w:rPr>
          <w:spacing w:val="40"/>
          <w:sz w:val="15"/>
        </w:rPr>
        <w:t xml:space="preserve"> </w:t>
      </w:r>
      <w:r>
        <w:rPr>
          <w:sz w:val="15"/>
        </w:rPr>
        <w:t>embargo, en la práctica, la evaluación del impacto de la igualdad también puede tener una gama más amplia de impactos positivos, al</w:t>
      </w:r>
      <w:r>
        <w:rPr>
          <w:spacing w:val="40"/>
          <w:sz w:val="15"/>
        </w:rPr>
        <w:t xml:space="preserve"> </w:t>
      </w:r>
      <w:r>
        <w:rPr>
          <w:sz w:val="15"/>
        </w:rPr>
        <w:t>permitir a los Estados identificar y adoptar respuestas políticas que eliminen las barreras estructurales a la participación igualitaria y</w:t>
      </w:r>
      <w:r>
        <w:rPr>
          <w:spacing w:val="40"/>
          <w:sz w:val="15"/>
        </w:rPr>
        <w:t xml:space="preserve"> </w:t>
      </w:r>
      <w:r>
        <w:rPr>
          <w:sz w:val="15"/>
        </w:rPr>
        <w:t>promuevan la igualdad de manera más amplia.</w:t>
      </w:r>
    </w:p>
    <w:p w14:paraId="379C6793" w14:textId="77777777" w:rsidR="0014798C" w:rsidRDefault="004E1F0B">
      <w:pPr>
        <w:spacing w:before="167" w:line="348" w:lineRule="auto"/>
        <w:ind w:left="1107" w:right="1309" w:hanging="1"/>
        <w:rPr>
          <w:sz w:val="15"/>
        </w:rPr>
      </w:pPr>
      <w:r>
        <w:rPr>
          <w:sz w:val="15"/>
        </w:rPr>
        <w:t>El</w:t>
      </w:r>
      <w:r>
        <w:rPr>
          <w:spacing w:val="14"/>
          <w:sz w:val="15"/>
        </w:rPr>
        <w:t xml:space="preserve"> </w:t>
      </w:r>
      <w:r>
        <w:rPr>
          <w:sz w:val="15"/>
        </w:rPr>
        <w:t>uso</w:t>
      </w:r>
      <w:r>
        <w:rPr>
          <w:spacing w:val="16"/>
          <w:sz w:val="15"/>
        </w:rPr>
        <w:t xml:space="preserve"> </w:t>
      </w:r>
      <w:r>
        <w:rPr>
          <w:sz w:val="15"/>
        </w:rPr>
        <w:t>de</w:t>
      </w:r>
      <w:r>
        <w:rPr>
          <w:spacing w:val="16"/>
          <w:sz w:val="15"/>
        </w:rPr>
        <w:t xml:space="preserve"> </w:t>
      </w:r>
      <w:r>
        <w:rPr>
          <w:sz w:val="15"/>
        </w:rPr>
        <w:t>la</w:t>
      </w:r>
      <w:r>
        <w:rPr>
          <w:spacing w:val="16"/>
          <w:sz w:val="15"/>
        </w:rPr>
        <w:t xml:space="preserve"> </w:t>
      </w:r>
      <w:r>
        <w:rPr>
          <w:sz w:val="15"/>
        </w:rPr>
        <w:t>evaluación</w:t>
      </w:r>
      <w:r>
        <w:rPr>
          <w:spacing w:val="16"/>
          <w:sz w:val="15"/>
        </w:rPr>
        <w:t xml:space="preserve"> </w:t>
      </w:r>
      <w:r>
        <w:rPr>
          <w:sz w:val="15"/>
        </w:rPr>
        <w:t>del</w:t>
      </w:r>
      <w:r>
        <w:rPr>
          <w:spacing w:val="16"/>
          <w:sz w:val="15"/>
        </w:rPr>
        <w:t xml:space="preserve"> </w:t>
      </w:r>
      <w:r>
        <w:rPr>
          <w:sz w:val="15"/>
        </w:rPr>
        <w:t>impacto</w:t>
      </w:r>
      <w:r>
        <w:rPr>
          <w:spacing w:val="16"/>
          <w:sz w:val="15"/>
        </w:rPr>
        <w:t xml:space="preserve"> </w:t>
      </w:r>
      <w:r>
        <w:rPr>
          <w:sz w:val="15"/>
        </w:rPr>
        <w:t>en</w:t>
      </w:r>
      <w:r>
        <w:rPr>
          <w:spacing w:val="16"/>
          <w:sz w:val="15"/>
        </w:rPr>
        <w:t xml:space="preserve"> </w:t>
      </w:r>
      <w:r>
        <w:rPr>
          <w:sz w:val="15"/>
        </w:rPr>
        <w:t>los</w:t>
      </w:r>
      <w:r>
        <w:rPr>
          <w:spacing w:val="16"/>
          <w:sz w:val="15"/>
        </w:rPr>
        <w:t xml:space="preserve"> </w:t>
      </w:r>
      <w:r>
        <w:rPr>
          <w:sz w:val="15"/>
        </w:rPr>
        <w:t>derechos</w:t>
      </w:r>
      <w:r>
        <w:rPr>
          <w:spacing w:val="14"/>
          <w:sz w:val="15"/>
        </w:rPr>
        <w:t xml:space="preserve"> </w:t>
      </w:r>
      <w:r>
        <w:rPr>
          <w:sz w:val="15"/>
        </w:rPr>
        <w:t>humanos</w:t>
      </w:r>
      <w:r>
        <w:rPr>
          <w:spacing w:val="14"/>
          <w:sz w:val="15"/>
        </w:rPr>
        <w:t xml:space="preserve"> </w:t>
      </w:r>
      <w:r>
        <w:rPr>
          <w:sz w:val="15"/>
        </w:rPr>
        <w:t>ha</w:t>
      </w:r>
      <w:r>
        <w:rPr>
          <w:spacing w:val="16"/>
          <w:sz w:val="15"/>
        </w:rPr>
        <w:t xml:space="preserve"> </w:t>
      </w:r>
      <w:r>
        <w:rPr>
          <w:sz w:val="15"/>
        </w:rPr>
        <w:t>aumentado</w:t>
      </w:r>
      <w:r>
        <w:rPr>
          <w:spacing w:val="14"/>
          <w:sz w:val="15"/>
        </w:rPr>
        <w:t xml:space="preserve"> </w:t>
      </w:r>
      <w:r>
        <w:rPr>
          <w:sz w:val="15"/>
        </w:rPr>
        <w:t>en</w:t>
      </w:r>
      <w:r>
        <w:rPr>
          <w:spacing w:val="16"/>
          <w:sz w:val="15"/>
        </w:rPr>
        <w:t xml:space="preserve"> </w:t>
      </w:r>
      <w:r>
        <w:rPr>
          <w:sz w:val="15"/>
        </w:rPr>
        <w:t>los</w:t>
      </w:r>
      <w:r>
        <w:rPr>
          <w:spacing w:val="16"/>
          <w:sz w:val="15"/>
        </w:rPr>
        <w:t xml:space="preserve"> </w:t>
      </w:r>
      <w:r>
        <w:rPr>
          <w:sz w:val="15"/>
        </w:rPr>
        <w:t>últimos</w:t>
      </w:r>
      <w:r>
        <w:rPr>
          <w:spacing w:val="14"/>
          <w:sz w:val="15"/>
        </w:rPr>
        <w:t xml:space="preserve"> </w:t>
      </w:r>
      <w:r>
        <w:rPr>
          <w:sz w:val="15"/>
        </w:rPr>
        <w:t>años</w:t>
      </w:r>
      <w:r>
        <w:rPr>
          <w:spacing w:val="16"/>
          <w:sz w:val="15"/>
        </w:rPr>
        <w:t xml:space="preserve"> </w:t>
      </w:r>
      <w:r>
        <w:rPr>
          <w:sz w:val="15"/>
        </w:rPr>
        <w:t>y</w:t>
      </w:r>
      <w:r>
        <w:rPr>
          <w:spacing w:val="16"/>
          <w:sz w:val="15"/>
        </w:rPr>
        <w:t xml:space="preserve"> </w:t>
      </w:r>
      <w:r>
        <w:rPr>
          <w:sz w:val="15"/>
        </w:rPr>
        <w:t>los</w:t>
      </w:r>
      <w:r>
        <w:rPr>
          <w:spacing w:val="16"/>
          <w:sz w:val="15"/>
        </w:rPr>
        <w:t xml:space="preserve"> </w:t>
      </w:r>
      <w:r>
        <w:rPr>
          <w:sz w:val="15"/>
        </w:rPr>
        <w:t>órganos</w:t>
      </w:r>
      <w:r>
        <w:rPr>
          <w:spacing w:val="14"/>
          <w:sz w:val="15"/>
        </w:rPr>
        <w:t xml:space="preserve"> </w:t>
      </w:r>
      <w:r>
        <w:rPr>
          <w:sz w:val="15"/>
        </w:rPr>
        <w:t>de</w:t>
      </w:r>
      <w:r>
        <w:rPr>
          <w:spacing w:val="16"/>
          <w:sz w:val="15"/>
        </w:rPr>
        <w:t xml:space="preserve"> </w:t>
      </w:r>
      <w:r>
        <w:rPr>
          <w:sz w:val="15"/>
        </w:rPr>
        <w:t>derechos</w:t>
      </w:r>
      <w:r>
        <w:rPr>
          <w:spacing w:val="14"/>
          <w:sz w:val="15"/>
        </w:rPr>
        <w:t xml:space="preserve"> </w:t>
      </w:r>
      <w:r>
        <w:rPr>
          <w:sz w:val="15"/>
        </w:rPr>
        <w:t>humanos han recomendado su aplicación en diversas áreas, incluso con respecto al medio ambiente, las empresas815 y los derechos de los</w:t>
      </w:r>
      <w:r>
        <w:rPr>
          <w:spacing w:val="40"/>
          <w:sz w:val="15"/>
        </w:rPr>
        <w:t xml:space="preserve"> </w:t>
      </w:r>
      <w:r>
        <w:rPr>
          <w:sz w:val="15"/>
        </w:rPr>
        <w:t xml:space="preserve">pueblos indígenas816 y los niños.817 En un informe reciente, el </w:t>
      </w:r>
      <w:proofErr w:type="spellStart"/>
      <w:r>
        <w:rPr>
          <w:sz w:val="15"/>
        </w:rPr>
        <w:t>El</w:t>
      </w:r>
      <w:proofErr w:type="spellEnd"/>
      <w:r>
        <w:rPr>
          <w:sz w:val="15"/>
        </w:rPr>
        <w:t xml:space="preserve"> Relator Especial sobre las formas contemporáneas de racismo,</w:t>
      </w:r>
      <w:r>
        <w:rPr>
          <w:spacing w:val="40"/>
          <w:sz w:val="15"/>
        </w:rPr>
        <w:t xml:space="preserve"> </w:t>
      </w:r>
      <w:r>
        <w:rPr>
          <w:sz w:val="15"/>
        </w:rPr>
        <w:t>discriminación racial, xenofobia y formas conexas de intolerancia identificó el uso específico de la evaluación del impacto en la igualdad como un “requisito previo” para el diseño de tecnologías digitales.818 La Convención sobre los derechos de las personas con</w:t>
      </w:r>
      <w:r>
        <w:rPr>
          <w:spacing w:val="80"/>
          <w:sz w:val="15"/>
        </w:rPr>
        <w:t xml:space="preserve"> </w:t>
      </w:r>
      <w:r>
        <w:rPr>
          <w:sz w:val="15"/>
        </w:rPr>
        <w:t>discapacidad</w:t>
      </w:r>
      <w:r>
        <w:rPr>
          <w:spacing w:val="13"/>
          <w:sz w:val="15"/>
        </w:rPr>
        <w:t xml:space="preserve"> </w:t>
      </w:r>
      <w:r>
        <w:rPr>
          <w:sz w:val="15"/>
        </w:rPr>
        <w:t>incluye,</w:t>
      </w:r>
      <w:r>
        <w:rPr>
          <w:spacing w:val="13"/>
          <w:sz w:val="15"/>
        </w:rPr>
        <w:t xml:space="preserve"> </w:t>
      </w:r>
      <w:r>
        <w:rPr>
          <w:sz w:val="15"/>
        </w:rPr>
        <w:t>en</w:t>
      </w:r>
      <w:r>
        <w:rPr>
          <w:spacing w:val="13"/>
          <w:sz w:val="15"/>
        </w:rPr>
        <w:t xml:space="preserve"> </w:t>
      </w:r>
      <w:r>
        <w:rPr>
          <w:sz w:val="15"/>
        </w:rPr>
        <w:t>virtud</w:t>
      </w:r>
      <w:r>
        <w:rPr>
          <w:spacing w:val="13"/>
          <w:sz w:val="15"/>
        </w:rPr>
        <w:t xml:space="preserve"> </w:t>
      </w:r>
      <w:r>
        <w:rPr>
          <w:sz w:val="15"/>
        </w:rPr>
        <w:t>del</w:t>
      </w:r>
      <w:r>
        <w:rPr>
          <w:spacing w:val="13"/>
          <w:sz w:val="15"/>
        </w:rPr>
        <w:t xml:space="preserve"> </w:t>
      </w:r>
      <w:r>
        <w:rPr>
          <w:sz w:val="15"/>
        </w:rPr>
        <w:t>artículo</w:t>
      </w:r>
      <w:r>
        <w:rPr>
          <w:spacing w:val="11"/>
          <w:sz w:val="15"/>
        </w:rPr>
        <w:t xml:space="preserve"> </w:t>
      </w:r>
      <w:r>
        <w:rPr>
          <w:sz w:val="15"/>
        </w:rPr>
        <w:t>4</w:t>
      </w:r>
      <w:r>
        <w:rPr>
          <w:spacing w:val="13"/>
          <w:sz w:val="15"/>
        </w:rPr>
        <w:t xml:space="preserve"> </w:t>
      </w:r>
      <w:r>
        <w:rPr>
          <w:sz w:val="15"/>
        </w:rPr>
        <w:t>,</w:t>
      </w:r>
      <w:r>
        <w:rPr>
          <w:spacing w:val="11"/>
          <w:sz w:val="15"/>
        </w:rPr>
        <w:t xml:space="preserve"> </w:t>
      </w:r>
      <w:r>
        <w:rPr>
          <w:sz w:val="15"/>
        </w:rPr>
        <w:t>un</w:t>
      </w:r>
      <w:r>
        <w:rPr>
          <w:spacing w:val="13"/>
          <w:sz w:val="15"/>
        </w:rPr>
        <w:t xml:space="preserve"> </w:t>
      </w:r>
      <w:r>
        <w:rPr>
          <w:sz w:val="15"/>
        </w:rPr>
        <w:t>requisito</w:t>
      </w:r>
      <w:r>
        <w:rPr>
          <w:spacing w:val="13"/>
          <w:sz w:val="15"/>
        </w:rPr>
        <w:t xml:space="preserve"> </w:t>
      </w:r>
      <w:r>
        <w:rPr>
          <w:sz w:val="15"/>
        </w:rPr>
        <w:t>para</w:t>
      </w:r>
      <w:r>
        <w:rPr>
          <w:spacing w:val="13"/>
          <w:sz w:val="15"/>
        </w:rPr>
        <w:t xml:space="preserve"> </w:t>
      </w:r>
      <w:r>
        <w:rPr>
          <w:sz w:val="15"/>
        </w:rPr>
        <w:t>que</w:t>
      </w:r>
      <w:r>
        <w:rPr>
          <w:spacing w:val="13"/>
          <w:sz w:val="15"/>
        </w:rPr>
        <w:t xml:space="preserve"> </w:t>
      </w:r>
      <w:r>
        <w:rPr>
          <w:sz w:val="15"/>
        </w:rPr>
        <w:t>los</w:t>
      </w:r>
      <w:r>
        <w:rPr>
          <w:spacing w:val="13"/>
          <w:sz w:val="15"/>
        </w:rPr>
        <w:t xml:space="preserve"> </w:t>
      </w:r>
      <w:r>
        <w:rPr>
          <w:sz w:val="15"/>
        </w:rPr>
        <w:t>Estados</w:t>
      </w:r>
      <w:r>
        <w:rPr>
          <w:spacing w:val="11"/>
          <w:sz w:val="15"/>
        </w:rPr>
        <w:t xml:space="preserve"> </w:t>
      </w:r>
      <w:r>
        <w:rPr>
          <w:sz w:val="15"/>
        </w:rPr>
        <w:t>partes</w:t>
      </w:r>
      <w:r>
        <w:rPr>
          <w:spacing w:val="11"/>
          <w:sz w:val="15"/>
        </w:rPr>
        <w:t xml:space="preserve"> </w:t>
      </w:r>
      <w:r>
        <w:rPr>
          <w:sz w:val="15"/>
        </w:rPr>
        <w:t>“tengan</w:t>
      </w:r>
      <w:r>
        <w:rPr>
          <w:spacing w:val="11"/>
          <w:sz w:val="15"/>
        </w:rPr>
        <w:t xml:space="preserve"> </w:t>
      </w:r>
      <w:r>
        <w:rPr>
          <w:sz w:val="15"/>
        </w:rPr>
        <w:t>en</w:t>
      </w:r>
      <w:r>
        <w:rPr>
          <w:spacing w:val="13"/>
          <w:sz w:val="15"/>
        </w:rPr>
        <w:t xml:space="preserve"> </w:t>
      </w:r>
      <w:r>
        <w:rPr>
          <w:sz w:val="15"/>
        </w:rPr>
        <w:t>cuenta</w:t>
      </w:r>
      <w:r>
        <w:rPr>
          <w:spacing w:val="11"/>
          <w:sz w:val="15"/>
        </w:rPr>
        <w:t xml:space="preserve"> </w:t>
      </w:r>
      <w:r>
        <w:rPr>
          <w:sz w:val="15"/>
        </w:rPr>
        <w:t>la</w:t>
      </w:r>
      <w:r>
        <w:rPr>
          <w:spacing w:val="13"/>
          <w:sz w:val="15"/>
        </w:rPr>
        <w:t xml:space="preserve"> </w:t>
      </w:r>
      <w:r>
        <w:rPr>
          <w:sz w:val="15"/>
        </w:rPr>
        <w:t>protección</w:t>
      </w:r>
      <w:r>
        <w:rPr>
          <w:spacing w:val="13"/>
          <w:sz w:val="15"/>
        </w:rPr>
        <w:t xml:space="preserve"> </w:t>
      </w:r>
      <w:r>
        <w:rPr>
          <w:sz w:val="15"/>
        </w:rPr>
        <w:t>y</w:t>
      </w:r>
      <w:r>
        <w:rPr>
          <w:spacing w:val="13"/>
          <w:sz w:val="15"/>
        </w:rPr>
        <w:t xml:space="preserve"> </w:t>
      </w:r>
      <w:r>
        <w:rPr>
          <w:sz w:val="15"/>
        </w:rPr>
        <w:t>promoción</w:t>
      </w:r>
      <w:r>
        <w:rPr>
          <w:spacing w:val="13"/>
          <w:sz w:val="15"/>
        </w:rPr>
        <w:t xml:space="preserve"> </w:t>
      </w:r>
      <w:r>
        <w:rPr>
          <w:sz w:val="15"/>
        </w:rPr>
        <w:t>de los derechos humanos de las personas con discapacidad en todas las políticas y programas”819.</w:t>
      </w:r>
    </w:p>
    <w:p w14:paraId="063E3FA8" w14:textId="77777777" w:rsidR="0014798C" w:rsidRDefault="004E1F0B">
      <w:pPr>
        <w:spacing w:line="348" w:lineRule="auto"/>
        <w:ind w:left="1103" w:right="1626" w:firstLine="2"/>
        <w:rPr>
          <w:sz w:val="15"/>
        </w:rPr>
      </w:pPr>
      <w:r>
        <w:rPr>
          <w:sz w:val="15"/>
        </w:rPr>
        <w:t>El Comité para la Eliminación de la Discriminación contra la Mujer ha señalado que, para cumplir con sus obligaciones en virtud del</w:t>
      </w:r>
      <w:r>
        <w:rPr>
          <w:spacing w:val="40"/>
          <w:sz w:val="15"/>
        </w:rPr>
        <w:t xml:space="preserve"> </w:t>
      </w:r>
      <w:r>
        <w:rPr>
          <w:sz w:val="15"/>
        </w:rPr>
        <w:t>artículo 2 de la Convención sobre la Eliminación de todas las formas de Discriminación contra la Mujer, los Estados “deben evaluar</w:t>
      </w:r>
      <w:r>
        <w:rPr>
          <w:spacing w:val="40"/>
          <w:sz w:val="15"/>
        </w:rPr>
        <w:t xml:space="preserve"> </w:t>
      </w:r>
      <w:r>
        <w:rPr>
          <w:sz w:val="15"/>
        </w:rPr>
        <w:t>inmediatamente la situación de jure y de facto de las mujeres”. y tomar medidas concretas para formular e implementar una política”</w:t>
      </w:r>
      <w:r>
        <w:rPr>
          <w:spacing w:val="40"/>
          <w:sz w:val="15"/>
        </w:rPr>
        <w:t xml:space="preserve"> </w:t>
      </w:r>
      <w:r>
        <w:rPr>
          <w:sz w:val="15"/>
        </w:rPr>
        <w:t>para eliminar la discriminación.820 En su observación general núm. 20 (2009), el Comité de Derechos Económicos, Sociales y Culturales hace referencia repetidas veces a las obligaciones de los Estados de garantizar</w:t>
      </w:r>
    </w:p>
    <w:p w14:paraId="1D1CCDED" w14:textId="77777777" w:rsidR="0014798C" w:rsidRDefault="0014798C">
      <w:pPr>
        <w:pStyle w:val="Textoindependiente"/>
        <w:rPr>
          <w:sz w:val="12"/>
        </w:rPr>
      </w:pPr>
    </w:p>
    <w:p w14:paraId="7514B1EB" w14:textId="77777777" w:rsidR="0014798C" w:rsidRDefault="0014798C">
      <w:pPr>
        <w:pStyle w:val="Textoindependiente"/>
        <w:rPr>
          <w:sz w:val="12"/>
        </w:rPr>
      </w:pPr>
    </w:p>
    <w:p w14:paraId="35FA86BF" w14:textId="77777777" w:rsidR="0014798C" w:rsidRDefault="0014798C">
      <w:pPr>
        <w:pStyle w:val="Textoindependiente"/>
        <w:spacing w:before="47"/>
        <w:rPr>
          <w:sz w:val="12"/>
        </w:rPr>
      </w:pPr>
    </w:p>
    <w:p w14:paraId="67102952" w14:textId="77777777" w:rsidR="0014798C" w:rsidRDefault="004E1F0B">
      <w:pPr>
        <w:pStyle w:val="Prrafodelista"/>
        <w:numPr>
          <w:ilvl w:val="0"/>
          <w:numId w:val="29"/>
        </w:numPr>
        <w:tabs>
          <w:tab w:val="left" w:pos="1345"/>
        </w:tabs>
        <w:ind w:left="1345" w:hanging="235"/>
        <w:rPr>
          <w:sz w:val="12"/>
        </w:rPr>
      </w:pPr>
      <w:r>
        <w:rPr>
          <w:sz w:val="12"/>
        </w:rPr>
        <w:t>Comité</w:t>
      </w:r>
      <w:r>
        <w:rPr>
          <w:spacing w:val="-1"/>
          <w:sz w:val="12"/>
        </w:rPr>
        <w:t xml:space="preserve"> </w:t>
      </w:r>
      <w:r>
        <w:rPr>
          <w:sz w:val="12"/>
        </w:rPr>
        <w:t>de</w:t>
      </w:r>
      <w:r>
        <w:rPr>
          <w:spacing w:val="-1"/>
          <w:sz w:val="12"/>
        </w:rPr>
        <w:t xml:space="preserve"> </w:t>
      </w:r>
      <w:r>
        <w:rPr>
          <w:sz w:val="12"/>
        </w:rPr>
        <w:t>Derechos Económicos, Sociales y</w:t>
      </w:r>
      <w:r>
        <w:rPr>
          <w:spacing w:val="-1"/>
          <w:sz w:val="12"/>
        </w:rPr>
        <w:t xml:space="preserve"> </w:t>
      </w:r>
      <w:r>
        <w:rPr>
          <w:sz w:val="12"/>
        </w:rPr>
        <w:t>Culturales,</w:t>
      </w:r>
      <w:r>
        <w:rPr>
          <w:spacing w:val="1"/>
          <w:sz w:val="12"/>
        </w:rPr>
        <w:t xml:space="preserve"> </w:t>
      </w:r>
      <w:r>
        <w:rPr>
          <w:sz w:val="12"/>
        </w:rPr>
        <w:t>observación</w:t>
      </w:r>
      <w:r>
        <w:rPr>
          <w:spacing w:val="-1"/>
          <w:sz w:val="12"/>
        </w:rPr>
        <w:t xml:space="preserve"> </w:t>
      </w:r>
      <w:r>
        <w:rPr>
          <w:sz w:val="12"/>
        </w:rPr>
        <w:t>general</w:t>
      </w:r>
      <w:r>
        <w:rPr>
          <w:spacing w:val="-1"/>
          <w:sz w:val="12"/>
        </w:rPr>
        <w:t xml:space="preserve"> </w:t>
      </w:r>
      <w:r>
        <w:rPr>
          <w:sz w:val="12"/>
        </w:rPr>
        <w:t>núm. 20</w:t>
      </w:r>
      <w:r>
        <w:rPr>
          <w:spacing w:val="-1"/>
          <w:sz w:val="12"/>
        </w:rPr>
        <w:t xml:space="preserve"> </w:t>
      </w:r>
      <w:r>
        <w:rPr>
          <w:sz w:val="12"/>
        </w:rPr>
        <w:t>(2009),</w:t>
      </w:r>
      <w:r>
        <w:rPr>
          <w:spacing w:val="1"/>
          <w:sz w:val="12"/>
        </w:rPr>
        <w:t xml:space="preserve"> </w:t>
      </w:r>
      <w:r>
        <w:rPr>
          <w:sz w:val="12"/>
        </w:rPr>
        <w:t>párr.</w:t>
      </w:r>
      <w:r>
        <w:rPr>
          <w:spacing w:val="-1"/>
          <w:sz w:val="12"/>
        </w:rPr>
        <w:t xml:space="preserve"> </w:t>
      </w:r>
      <w:r>
        <w:rPr>
          <w:spacing w:val="-5"/>
          <w:sz w:val="12"/>
        </w:rPr>
        <w:t>38.</w:t>
      </w:r>
    </w:p>
    <w:p w14:paraId="720E2A1E" w14:textId="77777777" w:rsidR="0014798C" w:rsidRDefault="004E1F0B">
      <w:pPr>
        <w:pStyle w:val="Prrafodelista"/>
        <w:numPr>
          <w:ilvl w:val="0"/>
          <w:numId w:val="29"/>
        </w:numPr>
        <w:tabs>
          <w:tab w:val="left" w:pos="1345"/>
        </w:tabs>
        <w:spacing w:before="99"/>
        <w:ind w:left="1345" w:hanging="235"/>
        <w:rPr>
          <w:sz w:val="12"/>
        </w:rPr>
      </w:pPr>
      <w:r>
        <w:rPr>
          <w:sz w:val="12"/>
        </w:rPr>
        <w:t>Comité</w:t>
      </w:r>
      <w:r>
        <w:rPr>
          <w:spacing w:val="-2"/>
          <w:sz w:val="12"/>
        </w:rPr>
        <w:t xml:space="preserve"> </w:t>
      </w:r>
      <w:r>
        <w:rPr>
          <w:sz w:val="12"/>
        </w:rPr>
        <w:t>para</w:t>
      </w:r>
      <w:r>
        <w:rPr>
          <w:spacing w:val="-1"/>
          <w:sz w:val="12"/>
        </w:rPr>
        <w:t xml:space="preserve"> </w:t>
      </w:r>
      <w:r>
        <w:rPr>
          <w:sz w:val="12"/>
        </w:rPr>
        <w:t>la</w:t>
      </w:r>
      <w:r>
        <w:rPr>
          <w:spacing w:val="-2"/>
          <w:sz w:val="12"/>
        </w:rPr>
        <w:t xml:space="preserve"> </w:t>
      </w:r>
      <w:r>
        <w:rPr>
          <w:sz w:val="12"/>
        </w:rPr>
        <w:t>Eliminación</w:t>
      </w:r>
      <w:r>
        <w:rPr>
          <w:spacing w:val="-1"/>
          <w:sz w:val="12"/>
        </w:rPr>
        <w:t xml:space="preserve"> </w:t>
      </w:r>
      <w:r>
        <w:rPr>
          <w:sz w:val="12"/>
        </w:rPr>
        <w:t>de</w:t>
      </w:r>
      <w:r>
        <w:rPr>
          <w:spacing w:val="-2"/>
          <w:sz w:val="12"/>
        </w:rPr>
        <w:t xml:space="preserve"> </w:t>
      </w:r>
      <w:r>
        <w:rPr>
          <w:sz w:val="12"/>
        </w:rPr>
        <w:t>la</w:t>
      </w:r>
      <w:r>
        <w:rPr>
          <w:spacing w:val="-1"/>
          <w:sz w:val="12"/>
        </w:rPr>
        <w:t xml:space="preserve"> </w:t>
      </w:r>
      <w:r>
        <w:rPr>
          <w:sz w:val="12"/>
        </w:rPr>
        <w:t>Discriminación</w:t>
      </w:r>
      <w:r>
        <w:rPr>
          <w:spacing w:val="-2"/>
          <w:sz w:val="12"/>
        </w:rPr>
        <w:t xml:space="preserve"> </w:t>
      </w:r>
      <w:r>
        <w:rPr>
          <w:sz w:val="12"/>
        </w:rPr>
        <w:t>contra</w:t>
      </w:r>
      <w:r>
        <w:rPr>
          <w:spacing w:val="-1"/>
          <w:sz w:val="12"/>
        </w:rPr>
        <w:t xml:space="preserve"> </w:t>
      </w:r>
      <w:r>
        <w:rPr>
          <w:sz w:val="12"/>
        </w:rPr>
        <w:t>la</w:t>
      </w:r>
      <w:r>
        <w:rPr>
          <w:spacing w:val="-2"/>
          <w:sz w:val="12"/>
        </w:rPr>
        <w:t xml:space="preserve"> </w:t>
      </w:r>
      <w:r>
        <w:rPr>
          <w:sz w:val="12"/>
        </w:rPr>
        <w:t>Mujer,</w:t>
      </w:r>
      <w:r>
        <w:rPr>
          <w:spacing w:val="-1"/>
          <w:sz w:val="12"/>
        </w:rPr>
        <w:t xml:space="preserve"> </w:t>
      </w:r>
      <w:r>
        <w:rPr>
          <w:sz w:val="12"/>
        </w:rPr>
        <w:t>recomendación</w:t>
      </w:r>
      <w:r>
        <w:rPr>
          <w:spacing w:val="-2"/>
          <w:sz w:val="12"/>
        </w:rPr>
        <w:t xml:space="preserve"> </w:t>
      </w:r>
      <w:r>
        <w:rPr>
          <w:sz w:val="12"/>
        </w:rPr>
        <w:t>general</w:t>
      </w:r>
      <w:r>
        <w:rPr>
          <w:spacing w:val="-1"/>
          <w:sz w:val="12"/>
        </w:rPr>
        <w:t xml:space="preserve"> </w:t>
      </w:r>
      <w:r>
        <w:rPr>
          <w:sz w:val="12"/>
        </w:rPr>
        <w:t>núm.</w:t>
      </w:r>
      <w:r>
        <w:rPr>
          <w:spacing w:val="-2"/>
          <w:sz w:val="12"/>
        </w:rPr>
        <w:t xml:space="preserve"> </w:t>
      </w:r>
      <w:r>
        <w:rPr>
          <w:sz w:val="12"/>
        </w:rPr>
        <w:t>28</w:t>
      </w:r>
      <w:r>
        <w:rPr>
          <w:spacing w:val="-1"/>
          <w:sz w:val="12"/>
        </w:rPr>
        <w:t xml:space="preserve"> </w:t>
      </w:r>
      <w:r>
        <w:rPr>
          <w:sz w:val="12"/>
        </w:rPr>
        <w:t>(2010),</w:t>
      </w:r>
      <w:r>
        <w:rPr>
          <w:spacing w:val="-1"/>
          <w:sz w:val="12"/>
        </w:rPr>
        <w:t xml:space="preserve"> </w:t>
      </w:r>
      <w:r>
        <w:rPr>
          <w:sz w:val="12"/>
        </w:rPr>
        <w:t>párr.</w:t>
      </w:r>
      <w:r>
        <w:rPr>
          <w:spacing w:val="-1"/>
          <w:sz w:val="12"/>
        </w:rPr>
        <w:t xml:space="preserve"> </w:t>
      </w:r>
      <w:r>
        <w:rPr>
          <w:spacing w:val="-5"/>
          <w:sz w:val="12"/>
        </w:rPr>
        <w:t>28.</w:t>
      </w:r>
    </w:p>
    <w:p w14:paraId="2472C05A" w14:textId="77777777" w:rsidR="0014798C" w:rsidRDefault="004E1F0B">
      <w:pPr>
        <w:pStyle w:val="Prrafodelista"/>
        <w:numPr>
          <w:ilvl w:val="0"/>
          <w:numId w:val="29"/>
        </w:numPr>
        <w:tabs>
          <w:tab w:val="left" w:pos="1345"/>
        </w:tabs>
        <w:spacing w:before="98"/>
        <w:ind w:left="1345" w:hanging="235"/>
        <w:rPr>
          <w:sz w:val="12"/>
        </w:rPr>
      </w:pPr>
      <w:r>
        <w:rPr>
          <w:sz w:val="12"/>
        </w:rPr>
        <w:t>Convención sobre</w:t>
      </w:r>
      <w:r>
        <w:rPr>
          <w:spacing w:val="1"/>
          <w:sz w:val="12"/>
        </w:rPr>
        <w:t xml:space="preserve"> </w:t>
      </w:r>
      <w:r>
        <w:rPr>
          <w:sz w:val="12"/>
        </w:rPr>
        <w:t>los Derechos</w:t>
      </w:r>
      <w:r>
        <w:rPr>
          <w:spacing w:val="1"/>
          <w:sz w:val="12"/>
        </w:rPr>
        <w:t xml:space="preserve"> </w:t>
      </w:r>
      <w:r>
        <w:rPr>
          <w:sz w:val="12"/>
        </w:rPr>
        <w:t>de las</w:t>
      </w:r>
      <w:r>
        <w:rPr>
          <w:spacing w:val="1"/>
          <w:sz w:val="12"/>
        </w:rPr>
        <w:t xml:space="preserve"> </w:t>
      </w:r>
      <w:r>
        <w:rPr>
          <w:sz w:val="12"/>
        </w:rPr>
        <w:t>Personas con</w:t>
      </w:r>
      <w:r>
        <w:rPr>
          <w:spacing w:val="1"/>
          <w:sz w:val="12"/>
        </w:rPr>
        <w:t xml:space="preserve"> </w:t>
      </w:r>
      <w:r>
        <w:rPr>
          <w:sz w:val="12"/>
        </w:rPr>
        <w:t>Discapacidad,</w:t>
      </w:r>
      <w:r>
        <w:rPr>
          <w:spacing w:val="1"/>
          <w:sz w:val="12"/>
        </w:rPr>
        <w:t xml:space="preserve"> </w:t>
      </w:r>
      <w:r>
        <w:rPr>
          <w:sz w:val="12"/>
        </w:rPr>
        <w:t>art.</w:t>
      </w:r>
      <w:r>
        <w:rPr>
          <w:spacing w:val="1"/>
          <w:sz w:val="12"/>
        </w:rPr>
        <w:t xml:space="preserve"> </w:t>
      </w:r>
      <w:r>
        <w:rPr>
          <w:sz w:val="12"/>
        </w:rPr>
        <w:t>4 (1)</w:t>
      </w:r>
      <w:r>
        <w:rPr>
          <w:spacing w:val="1"/>
          <w:sz w:val="12"/>
        </w:rPr>
        <w:t xml:space="preserve"> </w:t>
      </w:r>
      <w:r>
        <w:rPr>
          <w:spacing w:val="-4"/>
          <w:sz w:val="12"/>
        </w:rPr>
        <w:t>(c).</w:t>
      </w:r>
    </w:p>
    <w:p w14:paraId="614A157C" w14:textId="77777777" w:rsidR="0014798C" w:rsidRDefault="004E1F0B">
      <w:pPr>
        <w:pStyle w:val="Prrafodelista"/>
        <w:numPr>
          <w:ilvl w:val="0"/>
          <w:numId w:val="29"/>
        </w:numPr>
        <w:tabs>
          <w:tab w:val="left" w:pos="1345"/>
        </w:tabs>
        <w:spacing w:before="98"/>
        <w:ind w:left="1345" w:hanging="235"/>
        <w:rPr>
          <w:sz w:val="12"/>
        </w:rPr>
      </w:pPr>
      <w:r>
        <w:rPr>
          <w:sz w:val="12"/>
        </w:rPr>
        <w:t>Comité</w:t>
      </w:r>
      <w:r>
        <w:rPr>
          <w:spacing w:val="-2"/>
          <w:sz w:val="12"/>
        </w:rPr>
        <w:t xml:space="preserve"> </w:t>
      </w:r>
      <w:r>
        <w:rPr>
          <w:sz w:val="12"/>
        </w:rPr>
        <w:t>para</w:t>
      </w:r>
      <w:r>
        <w:rPr>
          <w:spacing w:val="-1"/>
          <w:sz w:val="12"/>
        </w:rPr>
        <w:t xml:space="preserve"> </w:t>
      </w:r>
      <w:r>
        <w:rPr>
          <w:sz w:val="12"/>
        </w:rPr>
        <w:t>la</w:t>
      </w:r>
      <w:r>
        <w:rPr>
          <w:spacing w:val="-2"/>
          <w:sz w:val="12"/>
        </w:rPr>
        <w:t xml:space="preserve"> </w:t>
      </w:r>
      <w:r>
        <w:rPr>
          <w:sz w:val="12"/>
        </w:rPr>
        <w:t>Eliminación</w:t>
      </w:r>
      <w:r>
        <w:rPr>
          <w:spacing w:val="-1"/>
          <w:sz w:val="12"/>
        </w:rPr>
        <w:t xml:space="preserve"> </w:t>
      </w:r>
      <w:r>
        <w:rPr>
          <w:sz w:val="12"/>
        </w:rPr>
        <w:t>de</w:t>
      </w:r>
      <w:r>
        <w:rPr>
          <w:spacing w:val="-2"/>
          <w:sz w:val="12"/>
        </w:rPr>
        <w:t xml:space="preserve"> </w:t>
      </w:r>
      <w:r>
        <w:rPr>
          <w:sz w:val="12"/>
        </w:rPr>
        <w:t>la</w:t>
      </w:r>
      <w:r>
        <w:rPr>
          <w:spacing w:val="-1"/>
          <w:sz w:val="12"/>
        </w:rPr>
        <w:t xml:space="preserve"> </w:t>
      </w:r>
      <w:r>
        <w:rPr>
          <w:sz w:val="12"/>
        </w:rPr>
        <w:t>Discriminación</w:t>
      </w:r>
      <w:r>
        <w:rPr>
          <w:spacing w:val="-2"/>
          <w:sz w:val="12"/>
        </w:rPr>
        <w:t xml:space="preserve"> </w:t>
      </w:r>
      <w:r>
        <w:rPr>
          <w:sz w:val="12"/>
        </w:rPr>
        <w:t>contra</w:t>
      </w:r>
      <w:r>
        <w:rPr>
          <w:spacing w:val="-1"/>
          <w:sz w:val="12"/>
        </w:rPr>
        <w:t xml:space="preserve"> </w:t>
      </w:r>
      <w:r>
        <w:rPr>
          <w:sz w:val="12"/>
        </w:rPr>
        <w:t>la</w:t>
      </w:r>
      <w:r>
        <w:rPr>
          <w:spacing w:val="-2"/>
          <w:sz w:val="12"/>
        </w:rPr>
        <w:t xml:space="preserve"> </w:t>
      </w:r>
      <w:r>
        <w:rPr>
          <w:sz w:val="12"/>
        </w:rPr>
        <w:t>Mujer,</w:t>
      </w:r>
      <w:r>
        <w:rPr>
          <w:spacing w:val="-1"/>
          <w:sz w:val="12"/>
        </w:rPr>
        <w:t xml:space="preserve"> </w:t>
      </w:r>
      <w:r>
        <w:rPr>
          <w:sz w:val="12"/>
        </w:rPr>
        <w:t>recomendación</w:t>
      </w:r>
      <w:r>
        <w:rPr>
          <w:spacing w:val="-2"/>
          <w:sz w:val="12"/>
        </w:rPr>
        <w:t xml:space="preserve"> </w:t>
      </w:r>
      <w:r>
        <w:rPr>
          <w:sz w:val="12"/>
        </w:rPr>
        <w:t>general</w:t>
      </w:r>
      <w:r>
        <w:rPr>
          <w:spacing w:val="-1"/>
          <w:sz w:val="12"/>
        </w:rPr>
        <w:t xml:space="preserve"> </w:t>
      </w:r>
      <w:r>
        <w:rPr>
          <w:sz w:val="12"/>
        </w:rPr>
        <w:t>núm.</w:t>
      </w:r>
      <w:r>
        <w:rPr>
          <w:spacing w:val="-2"/>
          <w:sz w:val="12"/>
        </w:rPr>
        <w:t xml:space="preserve"> </w:t>
      </w:r>
      <w:r>
        <w:rPr>
          <w:sz w:val="12"/>
        </w:rPr>
        <w:t>28</w:t>
      </w:r>
      <w:r>
        <w:rPr>
          <w:spacing w:val="-1"/>
          <w:sz w:val="12"/>
        </w:rPr>
        <w:t xml:space="preserve"> </w:t>
      </w:r>
      <w:r>
        <w:rPr>
          <w:sz w:val="12"/>
        </w:rPr>
        <w:t>(2010),</w:t>
      </w:r>
      <w:r>
        <w:rPr>
          <w:spacing w:val="-1"/>
          <w:sz w:val="12"/>
        </w:rPr>
        <w:t xml:space="preserve"> </w:t>
      </w:r>
      <w:r>
        <w:rPr>
          <w:sz w:val="12"/>
        </w:rPr>
        <w:t>párr.</w:t>
      </w:r>
      <w:r>
        <w:rPr>
          <w:spacing w:val="-1"/>
          <w:sz w:val="12"/>
        </w:rPr>
        <w:t xml:space="preserve"> </w:t>
      </w:r>
      <w:r>
        <w:rPr>
          <w:spacing w:val="-5"/>
          <w:sz w:val="12"/>
        </w:rPr>
        <w:t>23.</w:t>
      </w:r>
    </w:p>
    <w:p w14:paraId="72271940" w14:textId="77777777" w:rsidR="0014798C" w:rsidRDefault="004E1F0B">
      <w:pPr>
        <w:pStyle w:val="Prrafodelista"/>
        <w:numPr>
          <w:ilvl w:val="0"/>
          <w:numId w:val="29"/>
        </w:numPr>
        <w:tabs>
          <w:tab w:val="left" w:pos="1345"/>
        </w:tabs>
        <w:spacing w:before="67"/>
        <w:ind w:left="1345" w:hanging="235"/>
        <w:rPr>
          <w:sz w:val="12"/>
        </w:rPr>
      </w:pPr>
      <w:proofErr w:type="spellStart"/>
      <w:r>
        <w:rPr>
          <w:spacing w:val="-2"/>
          <w:sz w:val="12"/>
        </w:rPr>
        <w:t>Ibíd</w:t>
      </w:r>
      <w:proofErr w:type="spellEnd"/>
      <w:r>
        <w:rPr>
          <w:spacing w:val="-2"/>
          <w:sz w:val="12"/>
        </w:rPr>
        <w:t>.</w:t>
      </w:r>
    </w:p>
    <w:p w14:paraId="610098F8" w14:textId="77777777" w:rsidR="0014798C" w:rsidRDefault="004E1F0B">
      <w:pPr>
        <w:pStyle w:val="Prrafodelista"/>
        <w:numPr>
          <w:ilvl w:val="0"/>
          <w:numId w:val="29"/>
        </w:numPr>
        <w:tabs>
          <w:tab w:val="left" w:pos="1344"/>
          <w:tab w:val="left" w:pos="1367"/>
        </w:tabs>
        <w:spacing w:before="130" w:line="312" w:lineRule="auto"/>
        <w:ind w:left="1367" w:right="2334" w:hanging="258"/>
        <w:rPr>
          <w:sz w:val="12"/>
        </w:rPr>
      </w:pPr>
      <w:proofErr w:type="spellStart"/>
      <w:r>
        <w:rPr>
          <w:sz w:val="12"/>
        </w:rPr>
        <w:t>Ibíd</w:t>
      </w:r>
      <w:proofErr w:type="spellEnd"/>
      <w:r>
        <w:rPr>
          <w:sz w:val="12"/>
        </w:rPr>
        <w:t>.,</w:t>
      </w:r>
      <w:r>
        <w:rPr>
          <w:spacing w:val="-3"/>
          <w:sz w:val="12"/>
        </w:rPr>
        <w:t xml:space="preserve"> </w:t>
      </w:r>
      <w:proofErr w:type="spellStart"/>
      <w:r>
        <w:rPr>
          <w:sz w:val="12"/>
        </w:rPr>
        <w:t>párrs</w:t>
      </w:r>
      <w:proofErr w:type="spellEnd"/>
      <w:r>
        <w:rPr>
          <w:sz w:val="12"/>
        </w:rPr>
        <w:t>.</w:t>
      </w:r>
      <w:r>
        <w:rPr>
          <w:spacing w:val="-3"/>
          <w:sz w:val="12"/>
        </w:rPr>
        <w:t xml:space="preserve"> </w:t>
      </w:r>
      <w:r>
        <w:rPr>
          <w:sz w:val="12"/>
        </w:rPr>
        <w:t>27–28;</w:t>
      </w:r>
      <w:r>
        <w:rPr>
          <w:spacing w:val="-3"/>
          <w:sz w:val="12"/>
        </w:rPr>
        <w:t xml:space="preserve"> </w:t>
      </w:r>
      <w:r>
        <w:rPr>
          <w:sz w:val="12"/>
        </w:rPr>
        <w:t>Convención</w:t>
      </w:r>
      <w:r>
        <w:rPr>
          <w:spacing w:val="-3"/>
          <w:sz w:val="12"/>
        </w:rPr>
        <w:t xml:space="preserve"> </w:t>
      </w:r>
      <w:r>
        <w:rPr>
          <w:sz w:val="12"/>
        </w:rPr>
        <w:t>sobre</w:t>
      </w:r>
      <w:r>
        <w:rPr>
          <w:spacing w:val="-3"/>
          <w:sz w:val="12"/>
        </w:rPr>
        <w:t xml:space="preserve"> </w:t>
      </w:r>
      <w:r>
        <w:rPr>
          <w:sz w:val="12"/>
        </w:rPr>
        <w:t>los</w:t>
      </w:r>
      <w:r>
        <w:rPr>
          <w:spacing w:val="-3"/>
          <w:sz w:val="12"/>
        </w:rPr>
        <w:t xml:space="preserve"> </w:t>
      </w:r>
      <w:r>
        <w:rPr>
          <w:sz w:val="12"/>
        </w:rPr>
        <w:t>Derechos</w:t>
      </w:r>
      <w:r>
        <w:rPr>
          <w:spacing w:val="-3"/>
          <w:sz w:val="12"/>
        </w:rPr>
        <w:t xml:space="preserve"> </w:t>
      </w:r>
      <w:r>
        <w:rPr>
          <w:sz w:val="12"/>
        </w:rPr>
        <w:t>de</w:t>
      </w:r>
      <w:r>
        <w:rPr>
          <w:spacing w:val="-3"/>
          <w:sz w:val="12"/>
        </w:rPr>
        <w:t xml:space="preserve"> </w:t>
      </w:r>
      <w:r>
        <w:rPr>
          <w:sz w:val="12"/>
        </w:rPr>
        <w:t>las</w:t>
      </w:r>
      <w:r>
        <w:rPr>
          <w:spacing w:val="-3"/>
          <w:sz w:val="12"/>
        </w:rPr>
        <w:t xml:space="preserve"> </w:t>
      </w:r>
      <w:r>
        <w:rPr>
          <w:sz w:val="12"/>
        </w:rPr>
        <w:t>Personas</w:t>
      </w:r>
      <w:r>
        <w:rPr>
          <w:spacing w:val="-3"/>
          <w:sz w:val="12"/>
        </w:rPr>
        <w:t xml:space="preserve"> </w:t>
      </w:r>
      <w:r>
        <w:rPr>
          <w:sz w:val="12"/>
        </w:rPr>
        <w:t>con</w:t>
      </w:r>
      <w:r>
        <w:rPr>
          <w:spacing w:val="-3"/>
          <w:sz w:val="12"/>
        </w:rPr>
        <w:t xml:space="preserve"> </w:t>
      </w:r>
      <w:r>
        <w:rPr>
          <w:sz w:val="12"/>
        </w:rPr>
        <w:t>Discapacidad,</w:t>
      </w:r>
      <w:r>
        <w:rPr>
          <w:spacing w:val="-2"/>
          <w:sz w:val="12"/>
        </w:rPr>
        <w:t xml:space="preserve"> </w:t>
      </w:r>
      <w:r>
        <w:rPr>
          <w:sz w:val="12"/>
        </w:rPr>
        <w:t>art.</w:t>
      </w:r>
      <w:r>
        <w:rPr>
          <w:spacing w:val="-3"/>
          <w:sz w:val="12"/>
        </w:rPr>
        <w:t xml:space="preserve"> </w:t>
      </w:r>
      <w:r>
        <w:rPr>
          <w:sz w:val="12"/>
        </w:rPr>
        <w:t>4</w:t>
      </w:r>
      <w:r>
        <w:rPr>
          <w:spacing w:val="-3"/>
          <w:sz w:val="12"/>
        </w:rPr>
        <w:t xml:space="preserve"> </w:t>
      </w:r>
      <w:r>
        <w:rPr>
          <w:sz w:val="12"/>
        </w:rPr>
        <w:t>(</w:t>
      </w:r>
      <w:proofErr w:type="gramStart"/>
      <w:r>
        <w:rPr>
          <w:sz w:val="12"/>
        </w:rPr>
        <w:t>3);</w:t>
      </w:r>
      <w:proofErr w:type="gramEnd"/>
      <w:r>
        <w:rPr>
          <w:spacing w:val="-3"/>
          <w:sz w:val="12"/>
        </w:rPr>
        <w:t xml:space="preserve"> </w:t>
      </w:r>
      <w:r>
        <w:rPr>
          <w:sz w:val="12"/>
        </w:rPr>
        <w:t>y</w:t>
      </w:r>
      <w:r>
        <w:rPr>
          <w:spacing w:val="-3"/>
          <w:sz w:val="12"/>
        </w:rPr>
        <w:t xml:space="preserve"> </w:t>
      </w:r>
      <w:r>
        <w:rPr>
          <w:sz w:val="12"/>
        </w:rPr>
        <w:t>Comité</w:t>
      </w:r>
      <w:r>
        <w:rPr>
          <w:spacing w:val="-3"/>
          <w:sz w:val="12"/>
        </w:rPr>
        <w:t xml:space="preserve"> </w:t>
      </w:r>
      <w:r>
        <w:rPr>
          <w:sz w:val="12"/>
        </w:rPr>
        <w:t>sobre</w:t>
      </w:r>
      <w:r>
        <w:rPr>
          <w:spacing w:val="-3"/>
          <w:sz w:val="12"/>
        </w:rPr>
        <w:t xml:space="preserve"> </w:t>
      </w:r>
      <w:r>
        <w:rPr>
          <w:sz w:val="12"/>
        </w:rPr>
        <w:t>los</w:t>
      </w:r>
      <w:r>
        <w:rPr>
          <w:spacing w:val="-3"/>
          <w:sz w:val="12"/>
        </w:rPr>
        <w:t xml:space="preserve"> </w:t>
      </w:r>
      <w:r>
        <w:rPr>
          <w:sz w:val="12"/>
        </w:rPr>
        <w:t>Derechos</w:t>
      </w:r>
      <w:r>
        <w:rPr>
          <w:spacing w:val="-3"/>
          <w:sz w:val="12"/>
        </w:rPr>
        <w:t xml:space="preserve"> </w:t>
      </w:r>
      <w:r>
        <w:rPr>
          <w:sz w:val="12"/>
        </w:rPr>
        <w:t>de</w:t>
      </w:r>
      <w:r>
        <w:rPr>
          <w:spacing w:val="-3"/>
          <w:sz w:val="12"/>
        </w:rPr>
        <w:t xml:space="preserve"> </w:t>
      </w:r>
      <w:r>
        <w:rPr>
          <w:sz w:val="12"/>
        </w:rPr>
        <w:t>las</w:t>
      </w:r>
      <w:r>
        <w:rPr>
          <w:spacing w:val="-3"/>
          <w:sz w:val="12"/>
        </w:rPr>
        <w:t xml:space="preserve"> </w:t>
      </w:r>
      <w:r>
        <w:rPr>
          <w:sz w:val="12"/>
        </w:rPr>
        <w:t>Personas</w:t>
      </w:r>
      <w:r>
        <w:rPr>
          <w:spacing w:val="-3"/>
          <w:sz w:val="12"/>
        </w:rPr>
        <w:t xml:space="preserve"> </w:t>
      </w:r>
      <w:r>
        <w:rPr>
          <w:sz w:val="12"/>
        </w:rPr>
        <w:t>con</w:t>
      </w:r>
      <w:r>
        <w:rPr>
          <w:spacing w:val="40"/>
          <w:sz w:val="12"/>
        </w:rPr>
        <w:t xml:space="preserve"> </w:t>
      </w:r>
      <w:r>
        <w:rPr>
          <w:sz w:val="12"/>
        </w:rPr>
        <w:t>Discapacidad, observación general núm. 6 (2018), párr. 73 j).</w:t>
      </w:r>
    </w:p>
    <w:p w14:paraId="6EF95182" w14:textId="77777777" w:rsidR="0014798C" w:rsidRDefault="0014798C">
      <w:pPr>
        <w:spacing w:line="312" w:lineRule="auto"/>
        <w:rPr>
          <w:sz w:val="12"/>
        </w:rPr>
        <w:sectPr w:rsidR="0014798C" w:rsidSect="00F265E4">
          <w:pgSz w:w="11900" w:h="16820"/>
          <w:pgMar w:top="340" w:right="0" w:bottom="280" w:left="200" w:header="121" w:footer="0" w:gutter="0"/>
          <w:cols w:space="720"/>
        </w:sectPr>
      </w:pPr>
    </w:p>
    <w:p w14:paraId="6DB8EC3F" w14:textId="77777777" w:rsidR="0014798C" w:rsidRDefault="004E1F0B">
      <w:pPr>
        <w:spacing w:before="13"/>
        <w:jc w:val="right"/>
        <w:rPr>
          <w:sz w:val="8"/>
        </w:rPr>
      </w:pPr>
      <w:r>
        <w:rPr>
          <w:spacing w:val="-5"/>
          <w:w w:val="105"/>
          <w:sz w:val="8"/>
        </w:rPr>
        <w:t>814</w:t>
      </w:r>
    </w:p>
    <w:p w14:paraId="6A4C2F2F" w14:textId="77777777" w:rsidR="0014798C" w:rsidRDefault="0014798C">
      <w:pPr>
        <w:pStyle w:val="Textoindependiente"/>
        <w:spacing w:before="52"/>
        <w:rPr>
          <w:sz w:val="8"/>
        </w:rPr>
      </w:pPr>
    </w:p>
    <w:p w14:paraId="07BB197C" w14:textId="77777777" w:rsidR="0014798C" w:rsidRDefault="004E1F0B">
      <w:pPr>
        <w:ind w:right="1"/>
        <w:jc w:val="right"/>
        <w:rPr>
          <w:sz w:val="8"/>
        </w:rPr>
      </w:pPr>
      <w:r>
        <w:rPr>
          <w:spacing w:val="-5"/>
          <w:w w:val="105"/>
          <w:sz w:val="8"/>
        </w:rPr>
        <w:t>815</w:t>
      </w:r>
    </w:p>
    <w:p w14:paraId="2FCD63BE" w14:textId="77777777" w:rsidR="0014798C" w:rsidRDefault="004E1F0B">
      <w:pPr>
        <w:spacing w:before="47"/>
        <w:ind w:left="78"/>
        <w:rPr>
          <w:sz w:val="13"/>
        </w:rPr>
      </w:pPr>
      <w:r>
        <w:br w:type="column"/>
      </w:r>
      <w:r>
        <w:rPr>
          <w:sz w:val="13"/>
        </w:rPr>
        <w:t>Véase,</w:t>
      </w:r>
      <w:r>
        <w:rPr>
          <w:spacing w:val="-3"/>
          <w:sz w:val="13"/>
        </w:rPr>
        <w:t xml:space="preserve"> </w:t>
      </w:r>
      <w:r>
        <w:rPr>
          <w:sz w:val="13"/>
        </w:rPr>
        <w:t>por</w:t>
      </w:r>
      <w:r>
        <w:rPr>
          <w:spacing w:val="-3"/>
          <w:sz w:val="13"/>
        </w:rPr>
        <w:t xml:space="preserve"> </w:t>
      </w:r>
      <w:r>
        <w:rPr>
          <w:sz w:val="13"/>
        </w:rPr>
        <w:t>ejemplo,</w:t>
      </w:r>
      <w:r>
        <w:rPr>
          <w:spacing w:val="-3"/>
          <w:sz w:val="13"/>
        </w:rPr>
        <w:t xml:space="preserve"> </w:t>
      </w:r>
      <w:r>
        <w:rPr>
          <w:sz w:val="13"/>
        </w:rPr>
        <w:t>A/HRC/44/57,</w:t>
      </w:r>
      <w:r>
        <w:rPr>
          <w:spacing w:val="-3"/>
          <w:sz w:val="13"/>
        </w:rPr>
        <w:t xml:space="preserve"> </w:t>
      </w:r>
      <w:r>
        <w:rPr>
          <w:sz w:val="13"/>
        </w:rPr>
        <w:t>párr.</w:t>
      </w:r>
      <w:r>
        <w:rPr>
          <w:spacing w:val="-3"/>
          <w:sz w:val="13"/>
        </w:rPr>
        <w:t xml:space="preserve"> </w:t>
      </w:r>
      <w:r>
        <w:rPr>
          <w:sz w:val="13"/>
        </w:rPr>
        <w:t>56;</w:t>
      </w:r>
      <w:r>
        <w:rPr>
          <w:spacing w:val="-3"/>
          <w:sz w:val="13"/>
        </w:rPr>
        <w:t xml:space="preserve"> </w:t>
      </w:r>
      <w:r>
        <w:rPr>
          <w:sz w:val="13"/>
        </w:rPr>
        <w:t>y</w:t>
      </w:r>
      <w:r>
        <w:rPr>
          <w:spacing w:val="-2"/>
          <w:sz w:val="13"/>
        </w:rPr>
        <w:t xml:space="preserve"> </w:t>
      </w:r>
      <w:r>
        <w:rPr>
          <w:sz w:val="13"/>
        </w:rPr>
        <w:t>A/75/258,</w:t>
      </w:r>
      <w:r>
        <w:rPr>
          <w:spacing w:val="-3"/>
          <w:sz w:val="13"/>
        </w:rPr>
        <w:t xml:space="preserve"> </w:t>
      </w:r>
      <w:r>
        <w:rPr>
          <w:sz w:val="13"/>
        </w:rPr>
        <w:t>párr.</w:t>
      </w:r>
      <w:r>
        <w:rPr>
          <w:spacing w:val="-3"/>
          <w:sz w:val="13"/>
        </w:rPr>
        <w:t xml:space="preserve"> </w:t>
      </w:r>
      <w:r>
        <w:rPr>
          <w:spacing w:val="-5"/>
          <w:sz w:val="13"/>
        </w:rPr>
        <w:t>89.</w:t>
      </w:r>
    </w:p>
    <w:p w14:paraId="7578449D" w14:textId="77777777" w:rsidR="0014798C" w:rsidRDefault="004E1F0B">
      <w:pPr>
        <w:spacing w:before="87"/>
        <w:ind w:left="78"/>
        <w:rPr>
          <w:sz w:val="13"/>
        </w:rPr>
      </w:pPr>
      <w:r>
        <w:rPr>
          <w:sz w:val="13"/>
        </w:rPr>
        <w:t>Véase,</w:t>
      </w:r>
      <w:r>
        <w:rPr>
          <w:spacing w:val="8"/>
          <w:sz w:val="13"/>
        </w:rPr>
        <w:t xml:space="preserve"> </w:t>
      </w:r>
      <w:r>
        <w:rPr>
          <w:sz w:val="13"/>
        </w:rPr>
        <w:t>por</w:t>
      </w:r>
      <w:r>
        <w:rPr>
          <w:spacing w:val="9"/>
          <w:sz w:val="13"/>
        </w:rPr>
        <w:t xml:space="preserve"> </w:t>
      </w:r>
      <w:r>
        <w:rPr>
          <w:sz w:val="13"/>
        </w:rPr>
        <w:t>ejemplo,</w:t>
      </w:r>
      <w:r>
        <w:rPr>
          <w:spacing w:val="9"/>
          <w:sz w:val="13"/>
        </w:rPr>
        <w:t xml:space="preserve"> </w:t>
      </w:r>
      <w:r>
        <w:rPr>
          <w:sz w:val="13"/>
        </w:rPr>
        <w:t>Comité</w:t>
      </w:r>
      <w:r>
        <w:rPr>
          <w:spacing w:val="8"/>
          <w:sz w:val="13"/>
        </w:rPr>
        <w:t xml:space="preserve"> </w:t>
      </w:r>
      <w:r>
        <w:rPr>
          <w:sz w:val="13"/>
        </w:rPr>
        <w:t>de</w:t>
      </w:r>
      <w:r>
        <w:rPr>
          <w:spacing w:val="9"/>
          <w:sz w:val="13"/>
        </w:rPr>
        <w:t xml:space="preserve"> </w:t>
      </w:r>
      <w:r>
        <w:rPr>
          <w:sz w:val="13"/>
        </w:rPr>
        <w:t>Derechos</w:t>
      </w:r>
      <w:r>
        <w:rPr>
          <w:spacing w:val="8"/>
          <w:sz w:val="13"/>
        </w:rPr>
        <w:t xml:space="preserve"> </w:t>
      </w:r>
      <w:r>
        <w:rPr>
          <w:sz w:val="13"/>
        </w:rPr>
        <w:t>Económicos,</w:t>
      </w:r>
      <w:r>
        <w:rPr>
          <w:spacing w:val="8"/>
          <w:sz w:val="13"/>
        </w:rPr>
        <w:t xml:space="preserve"> </w:t>
      </w:r>
      <w:r>
        <w:rPr>
          <w:sz w:val="13"/>
        </w:rPr>
        <w:t>Sociales</w:t>
      </w:r>
      <w:r>
        <w:rPr>
          <w:spacing w:val="8"/>
          <w:sz w:val="13"/>
        </w:rPr>
        <w:t xml:space="preserve"> </w:t>
      </w:r>
      <w:r>
        <w:rPr>
          <w:sz w:val="13"/>
        </w:rPr>
        <w:t>y</w:t>
      </w:r>
      <w:r>
        <w:rPr>
          <w:spacing w:val="9"/>
          <w:sz w:val="13"/>
        </w:rPr>
        <w:t xml:space="preserve"> </w:t>
      </w:r>
      <w:r>
        <w:rPr>
          <w:sz w:val="13"/>
        </w:rPr>
        <w:t>Culturales,</w:t>
      </w:r>
      <w:r>
        <w:rPr>
          <w:spacing w:val="8"/>
          <w:sz w:val="13"/>
        </w:rPr>
        <w:t xml:space="preserve"> </w:t>
      </w:r>
      <w:r>
        <w:rPr>
          <w:sz w:val="13"/>
        </w:rPr>
        <w:t>observación</w:t>
      </w:r>
      <w:r>
        <w:rPr>
          <w:spacing w:val="9"/>
          <w:sz w:val="13"/>
        </w:rPr>
        <w:t xml:space="preserve"> </w:t>
      </w:r>
      <w:r>
        <w:rPr>
          <w:sz w:val="13"/>
        </w:rPr>
        <w:t>general</w:t>
      </w:r>
      <w:r>
        <w:rPr>
          <w:spacing w:val="9"/>
          <w:sz w:val="13"/>
        </w:rPr>
        <w:t xml:space="preserve"> </w:t>
      </w:r>
      <w:r>
        <w:rPr>
          <w:sz w:val="13"/>
        </w:rPr>
        <w:t>núm.</w:t>
      </w:r>
      <w:r>
        <w:rPr>
          <w:spacing w:val="8"/>
          <w:sz w:val="13"/>
        </w:rPr>
        <w:t xml:space="preserve"> </w:t>
      </w:r>
      <w:r>
        <w:rPr>
          <w:sz w:val="13"/>
        </w:rPr>
        <w:t>24</w:t>
      </w:r>
      <w:r>
        <w:rPr>
          <w:spacing w:val="9"/>
          <w:sz w:val="13"/>
        </w:rPr>
        <w:t xml:space="preserve"> </w:t>
      </w:r>
      <w:r>
        <w:rPr>
          <w:sz w:val="13"/>
        </w:rPr>
        <w:t>(2017),</w:t>
      </w:r>
      <w:r>
        <w:rPr>
          <w:spacing w:val="9"/>
          <w:sz w:val="13"/>
        </w:rPr>
        <w:t xml:space="preserve"> </w:t>
      </w:r>
      <w:r>
        <w:rPr>
          <w:sz w:val="13"/>
        </w:rPr>
        <w:t>párr.</w:t>
      </w:r>
      <w:r>
        <w:rPr>
          <w:spacing w:val="8"/>
          <w:sz w:val="13"/>
        </w:rPr>
        <w:t xml:space="preserve"> </w:t>
      </w:r>
      <w:r>
        <w:rPr>
          <w:spacing w:val="-5"/>
          <w:sz w:val="13"/>
        </w:rPr>
        <w:t>13.</w:t>
      </w:r>
    </w:p>
    <w:p w14:paraId="21ED3E03" w14:textId="77777777" w:rsidR="0014798C" w:rsidRDefault="0014798C">
      <w:pPr>
        <w:rPr>
          <w:sz w:val="13"/>
        </w:rPr>
        <w:sectPr w:rsidR="0014798C" w:rsidSect="00F265E4">
          <w:type w:val="continuous"/>
          <w:pgSz w:w="11900" w:h="16820"/>
          <w:pgMar w:top="40" w:right="0" w:bottom="280" w:left="200" w:header="121" w:footer="0" w:gutter="0"/>
          <w:cols w:num="2" w:space="720" w:equalWidth="0">
            <w:col w:w="1252" w:space="40"/>
            <w:col w:w="10408"/>
          </w:cols>
        </w:sectPr>
      </w:pPr>
    </w:p>
    <w:p w14:paraId="2570C00D" w14:textId="77777777" w:rsidR="0014798C" w:rsidRDefault="004E1F0B">
      <w:pPr>
        <w:spacing w:before="98"/>
        <w:ind w:left="1110"/>
        <w:rPr>
          <w:sz w:val="12"/>
        </w:rPr>
      </w:pPr>
      <w:r>
        <w:rPr>
          <w:sz w:val="12"/>
        </w:rPr>
        <w:t>816</w:t>
      </w:r>
      <w:r>
        <w:rPr>
          <w:spacing w:val="-2"/>
          <w:sz w:val="12"/>
        </w:rPr>
        <w:t xml:space="preserve"> </w:t>
      </w:r>
      <w:proofErr w:type="spellStart"/>
      <w:r>
        <w:rPr>
          <w:sz w:val="12"/>
        </w:rPr>
        <w:t>Ibíd</w:t>
      </w:r>
      <w:proofErr w:type="spellEnd"/>
      <w:r>
        <w:rPr>
          <w:sz w:val="12"/>
        </w:rPr>
        <w:t>.,</w:t>
      </w:r>
      <w:r>
        <w:rPr>
          <w:spacing w:val="-1"/>
          <w:sz w:val="12"/>
        </w:rPr>
        <w:t xml:space="preserve"> </w:t>
      </w:r>
      <w:r>
        <w:rPr>
          <w:sz w:val="12"/>
        </w:rPr>
        <w:t>párr.</w:t>
      </w:r>
      <w:r>
        <w:rPr>
          <w:spacing w:val="-1"/>
          <w:sz w:val="12"/>
        </w:rPr>
        <w:t xml:space="preserve"> </w:t>
      </w:r>
      <w:r>
        <w:rPr>
          <w:spacing w:val="-5"/>
          <w:sz w:val="12"/>
        </w:rPr>
        <w:t>17.</w:t>
      </w:r>
    </w:p>
    <w:p w14:paraId="718466B8" w14:textId="77777777" w:rsidR="0014798C" w:rsidRDefault="0014798C">
      <w:pPr>
        <w:rPr>
          <w:sz w:val="12"/>
        </w:rPr>
        <w:sectPr w:rsidR="0014798C" w:rsidSect="00F265E4">
          <w:type w:val="continuous"/>
          <w:pgSz w:w="11900" w:h="16820"/>
          <w:pgMar w:top="40" w:right="0" w:bottom="280" w:left="200" w:header="121" w:footer="0" w:gutter="0"/>
          <w:cols w:space="720"/>
        </w:sectPr>
      </w:pPr>
    </w:p>
    <w:p w14:paraId="7F65A34A" w14:textId="77777777" w:rsidR="0014798C" w:rsidRDefault="004E1F0B">
      <w:pPr>
        <w:spacing w:before="53"/>
        <w:jc w:val="right"/>
        <w:rPr>
          <w:sz w:val="8"/>
        </w:rPr>
      </w:pPr>
      <w:r>
        <w:rPr>
          <w:spacing w:val="-5"/>
          <w:w w:val="105"/>
          <w:sz w:val="8"/>
        </w:rPr>
        <w:t>817</w:t>
      </w:r>
    </w:p>
    <w:p w14:paraId="79365739" w14:textId="77777777" w:rsidR="0014798C" w:rsidRDefault="004E1F0B">
      <w:pPr>
        <w:spacing w:before="88"/>
        <w:ind w:left="78"/>
        <w:rPr>
          <w:sz w:val="13"/>
        </w:rPr>
      </w:pPr>
      <w:r>
        <w:br w:type="column"/>
      </w:r>
      <w:r>
        <w:rPr>
          <w:sz w:val="13"/>
        </w:rPr>
        <w:t>Véase,</w:t>
      </w:r>
      <w:r>
        <w:rPr>
          <w:spacing w:val="3"/>
          <w:sz w:val="13"/>
        </w:rPr>
        <w:t xml:space="preserve"> </w:t>
      </w:r>
      <w:r>
        <w:rPr>
          <w:sz w:val="13"/>
        </w:rPr>
        <w:t>por</w:t>
      </w:r>
      <w:r>
        <w:rPr>
          <w:spacing w:val="3"/>
          <w:sz w:val="13"/>
        </w:rPr>
        <w:t xml:space="preserve"> </w:t>
      </w:r>
      <w:r>
        <w:rPr>
          <w:sz w:val="13"/>
        </w:rPr>
        <w:t>ejemplo,</w:t>
      </w:r>
      <w:r>
        <w:rPr>
          <w:spacing w:val="3"/>
          <w:sz w:val="13"/>
        </w:rPr>
        <w:t xml:space="preserve"> </w:t>
      </w:r>
      <w:r>
        <w:rPr>
          <w:sz w:val="13"/>
        </w:rPr>
        <w:t>Comité</w:t>
      </w:r>
      <w:r>
        <w:rPr>
          <w:spacing w:val="3"/>
          <w:sz w:val="13"/>
        </w:rPr>
        <w:t xml:space="preserve"> </w:t>
      </w:r>
      <w:r>
        <w:rPr>
          <w:sz w:val="13"/>
        </w:rPr>
        <w:t>de</w:t>
      </w:r>
      <w:r>
        <w:rPr>
          <w:spacing w:val="3"/>
          <w:sz w:val="13"/>
        </w:rPr>
        <w:t xml:space="preserve"> </w:t>
      </w:r>
      <w:r>
        <w:rPr>
          <w:sz w:val="13"/>
        </w:rPr>
        <w:t>los</w:t>
      </w:r>
      <w:r>
        <w:rPr>
          <w:spacing w:val="3"/>
          <w:sz w:val="13"/>
        </w:rPr>
        <w:t xml:space="preserve"> </w:t>
      </w:r>
      <w:r>
        <w:rPr>
          <w:sz w:val="13"/>
        </w:rPr>
        <w:t>Derechos</w:t>
      </w:r>
      <w:r>
        <w:rPr>
          <w:spacing w:val="2"/>
          <w:sz w:val="13"/>
        </w:rPr>
        <w:t xml:space="preserve"> </w:t>
      </w:r>
      <w:r>
        <w:rPr>
          <w:sz w:val="13"/>
        </w:rPr>
        <w:t>del</w:t>
      </w:r>
      <w:r>
        <w:rPr>
          <w:spacing w:val="3"/>
          <w:sz w:val="13"/>
        </w:rPr>
        <w:t xml:space="preserve"> </w:t>
      </w:r>
      <w:r>
        <w:rPr>
          <w:sz w:val="13"/>
        </w:rPr>
        <w:t>Niño,</w:t>
      </w:r>
      <w:r>
        <w:rPr>
          <w:spacing w:val="3"/>
          <w:sz w:val="13"/>
        </w:rPr>
        <w:t xml:space="preserve"> </w:t>
      </w:r>
      <w:r>
        <w:rPr>
          <w:sz w:val="13"/>
        </w:rPr>
        <w:t>observación</w:t>
      </w:r>
      <w:r>
        <w:rPr>
          <w:spacing w:val="3"/>
          <w:sz w:val="13"/>
        </w:rPr>
        <w:t xml:space="preserve"> </w:t>
      </w:r>
      <w:r>
        <w:rPr>
          <w:sz w:val="13"/>
        </w:rPr>
        <w:t>general</w:t>
      </w:r>
      <w:r>
        <w:rPr>
          <w:spacing w:val="3"/>
          <w:sz w:val="13"/>
        </w:rPr>
        <w:t xml:space="preserve"> </w:t>
      </w:r>
      <w:r>
        <w:rPr>
          <w:sz w:val="13"/>
        </w:rPr>
        <w:t>núm.</w:t>
      </w:r>
      <w:r>
        <w:rPr>
          <w:spacing w:val="3"/>
          <w:sz w:val="13"/>
        </w:rPr>
        <w:t xml:space="preserve"> </w:t>
      </w:r>
      <w:r>
        <w:rPr>
          <w:sz w:val="13"/>
        </w:rPr>
        <w:t>5</w:t>
      </w:r>
      <w:r>
        <w:rPr>
          <w:spacing w:val="3"/>
          <w:sz w:val="13"/>
        </w:rPr>
        <w:t xml:space="preserve"> </w:t>
      </w:r>
      <w:r>
        <w:rPr>
          <w:sz w:val="13"/>
        </w:rPr>
        <w:t>(2003),</w:t>
      </w:r>
      <w:r>
        <w:rPr>
          <w:spacing w:val="3"/>
          <w:sz w:val="13"/>
        </w:rPr>
        <w:t xml:space="preserve"> </w:t>
      </w:r>
      <w:r>
        <w:rPr>
          <w:sz w:val="13"/>
        </w:rPr>
        <w:t>párr.</w:t>
      </w:r>
      <w:r>
        <w:rPr>
          <w:spacing w:val="3"/>
          <w:sz w:val="13"/>
        </w:rPr>
        <w:t xml:space="preserve"> </w:t>
      </w:r>
      <w:r>
        <w:rPr>
          <w:sz w:val="13"/>
        </w:rPr>
        <w:t>45;</w:t>
      </w:r>
      <w:r>
        <w:rPr>
          <w:spacing w:val="3"/>
          <w:sz w:val="13"/>
        </w:rPr>
        <w:t xml:space="preserve"> </w:t>
      </w:r>
      <w:r>
        <w:rPr>
          <w:sz w:val="13"/>
        </w:rPr>
        <w:t>y</w:t>
      </w:r>
      <w:r>
        <w:rPr>
          <w:spacing w:val="3"/>
          <w:sz w:val="13"/>
        </w:rPr>
        <w:t xml:space="preserve"> </w:t>
      </w:r>
      <w:r>
        <w:rPr>
          <w:sz w:val="13"/>
        </w:rPr>
        <w:t>observación</w:t>
      </w:r>
      <w:r>
        <w:rPr>
          <w:spacing w:val="3"/>
          <w:sz w:val="13"/>
        </w:rPr>
        <w:t xml:space="preserve"> </w:t>
      </w:r>
      <w:r>
        <w:rPr>
          <w:sz w:val="13"/>
        </w:rPr>
        <w:t>general</w:t>
      </w:r>
      <w:r>
        <w:rPr>
          <w:spacing w:val="3"/>
          <w:sz w:val="13"/>
        </w:rPr>
        <w:t xml:space="preserve"> </w:t>
      </w:r>
      <w:r>
        <w:rPr>
          <w:sz w:val="13"/>
        </w:rPr>
        <w:t>núm.</w:t>
      </w:r>
      <w:r>
        <w:rPr>
          <w:spacing w:val="3"/>
          <w:sz w:val="13"/>
        </w:rPr>
        <w:t xml:space="preserve"> </w:t>
      </w:r>
      <w:r>
        <w:rPr>
          <w:sz w:val="13"/>
        </w:rPr>
        <w:t>14</w:t>
      </w:r>
      <w:r>
        <w:rPr>
          <w:spacing w:val="3"/>
          <w:sz w:val="13"/>
        </w:rPr>
        <w:t xml:space="preserve"> </w:t>
      </w:r>
      <w:r>
        <w:rPr>
          <w:sz w:val="13"/>
        </w:rPr>
        <w:t>(2013),</w:t>
      </w:r>
      <w:r>
        <w:rPr>
          <w:spacing w:val="3"/>
          <w:sz w:val="13"/>
        </w:rPr>
        <w:t xml:space="preserve"> </w:t>
      </w:r>
      <w:r>
        <w:rPr>
          <w:sz w:val="13"/>
        </w:rPr>
        <w:t>párr.</w:t>
      </w:r>
      <w:r>
        <w:rPr>
          <w:spacing w:val="3"/>
          <w:sz w:val="13"/>
        </w:rPr>
        <w:t xml:space="preserve"> </w:t>
      </w:r>
      <w:r>
        <w:rPr>
          <w:spacing w:val="-5"/>
          <w:sz w:val="13"/>
        </w:rPr>
        <w:t>99.</w:t>
      </w:r>
    </w:p>
    <w:p w14:paraId="34BD23F6" w14:textId="77777777" w:rsidR="0014798C" w:rsidRDefault="0014798C">
      <w:pPr>
        <w:rPr>
          <w:sz w:val="13"/>
        </w:rPr>
        <w:sectPr w:rsidR="0014798C" w:rsidSect="00F265E4">
          <w:type w:val="continuous"/>
          <w:pgSz w:w="11900" w:h="16820"/>
          <w:pgMar w:top="40" w:right="0" w:bottom="280" w:left="200" w:header="121" w:footer="0" w:gutter="0"/>
          <w:cols w:num="2" w:space="720" w:equalWidth="0">
            <w:col w:w="1252" w:space="40"/>
            <w:col w:w="10408"/>
          </w:cols>
        </w:sectPr>
      </w:pPr>
    </w:p>
    <w:p w14:paraId="571970C1" w14:textId="77777777" w:rsidR="0014798C" w:rsidRDefault="0014798C">
      <w:pPr>
        <w:pStyle w:val="Textoindependiente"/>
        <w:spacing w:before="5"/>
        <w:rPr>
          <w:sz w:val="11"/>
        </w:rPr>
      </w:pPr>
    </w:p>
    <w:p w14:paraId="06077488" w14:textId="77777777" w:rsidR="0014798C" w:rsidRDefault="0014798C">
      <w:pPr>
        <w:rPr>
          <w:sz w:val="11"/>
        </w:rPr>
        <w:sectPr w:rsidR="0014798C" w:rsidSect="00F265E4">
          <w:type w:val="continuous"/>
          <w:pgSz w:w="11900" w:h="16820"/>
          <w:pgMar w:top="40" w:right="0" w:bottom="280" w:left="200" w:header="121" w:footer="0" w:gutter="0"/>
          <w:cols w:space="720"/>
        </w:sectPr>
      </w:pPr>
    </w:p>
    <w:p w14:paraId="670E45C5" w14:textId="77777777" w:rsidR="0014798C" w:rsidRDefault="0014798C">
      <w:pPr>
        <w:pStyle w:val="Textoindependiente"/>
        <w:spacing w:before="8"/>
        <w:rPr>
          <w:sz w:val="8"/>
        </w:rPr>
      </w:pPr>
    </w:p>
    <w:p w14:paraId="29977188" w14:textId="77777777" w:rsidR="0014798C" w:rsidRDefault="004E1F0B">
      <w:pPr>
        <w:jc w:val="right"/>
        <w:rPr>
          <w:sz w:val="8"/>
        </w:rPr>
      </w:pPr>
      <w:r>
        <w:rPr>
          <w:spacing w:val="-5"/>
          <w:w w:val="105"/>
          <w:sz w:val="8"/>
        </w:rPr>
        <w:t>818</w:t>
      </w:r>
    </w:p>
    <w:p w14:paraId="31EB3584" w14:textId="77777777" w:rsidR="0014798C" w:rsidRDefault="004E1F0B">
      <w:pPr>
        <w:spacing w:before="135"/>
        <w:ind w:left="76"/>
        <w:rPr>
          <w:sz w:val="13"/>
        </w:rPr>
      </w:pPr>
      <w:r>
        <w:br w:type="column"/>
      </w:r>
      <w:r>
        <w:rPr>
          <w:sz w:val="13"/>
        </w:rPr>
        <w:t>A/HRC/44/57,</w:t>
      </w:r>
      <w:r>
        <w:rPr>
          <w:spacing w:val="10"/>
          <w:sz w:val="13"/>
        </w:rPr>
        <w:t xml:space="preserve"> </w:t>
      </w:r>
      <w:r>
        <w:rPr>
          <w:sz w:val="13"/>
        </w:rPr>
        <w:t>párr.</w:t>
      </w:r>
      <w:r>
        <w:rPr>
          <w:spacing w:val="11"/>
          <w:sz w:val="13"/>
        </w:rPr>
        <w:t xml:space="preserve"> </w:t>
      </w:r>
      <w:r>
        <w:rPr>
          <w:spacing w:val="-5"/>
          <w:sz w:val="13"/>
        </w:rPr>
        <w:t>56.</w:t>
      </w:r>
    </w:p>
    <w:p w14:paraId="2770CAE4" w14:textId="77777777" w:rsidR="0014798C" w:rsidRDefault="0014798C">
      <w:pPr>
        <w:rPr>
          <w:sz w:val="13"/>
        </w:rPr>
        <w:sectPr w:rsidR="0014798C" w:rsidSect="00F265E4">
          <w:type w:val="continuous"/>
          <w:pgSz w:w="11900" w:h="16820"/>
          <w:pgMar w:top="40" w:right="0" w:bottom="280" w:left="200" w:header="121" w:footer="0" w:gutter="0"/>
          <w:cols w:num="2" w:space="720" w:equalWidth="0">
            <w:col w:w="1250" w:space="40"/>
            <w:col w:w="10410"/>
          </w:cols>
        </w:sectPr>
      </w:pPr>
    </w:p>
    <w:p w14:paraId="2D2460AD" w14:textId="77777777" w:rsidR="0014798C" w:rsidRDefault="004E1F0B">
      <w:pPr>
        <w:spacing w:before="97"/>
        <w:ind w:left="1110"/>
        <w:rPr>
          <w:sz w:val="12"/>
        </w:rPr>
      </w:pPr>
      <w:r>
        <w:rPr>
          <w:sz w:val="12"/>
        </w:rPr>
        <w:lastRenderedPageBreak/>
        <w:t>819 Convención sobre</w:t>
      </w:r>
      <w:r>
        <w:rPr>
          <w:spacing w:val="1"/>
          <w:sz w:val="12"/>
        </w:rPr>
        <w:t xml:space="preserve"> </w:t>
      </w:r>
      <w:r>
        <w:rPr>
          <w:sz w:val="12"/>
        </w:rPr>
        <w:t>los Derechos</w:t>
      </w:r>
      <w:r>
        <w:rPr>
          <w:spacing w:val="1"/>
          <w:sz w:val="12"/>
        </w:rPr>
        <w:t xml:space="preserve"> </w:t>
      </w:r>
      <w:r>
        <w:rPr>
          <w:sz w:val="12"/>
        </w:rPr>
        <w:t>de las</w:t>
      </w:r>
      <w:r>
        <w:rPr>
          <w:spacing w:val="1"/>
          <w:sz w:val="12"/>
        </w:rPr>
        <w:t xml:space="preserve"> </w:t>
      </w:r>
      <w:r>
        <w:rPr>
          <w:sz w:val="12"/>
        </w:rPr>
        <w:t>Personas con</w:t>
      </w:r>
      <w:r>
        <w:rPr>
          <w:spacing w:val="1"/>
          <w:sz w:val="12"/>
        </w:rPr>
        <w:t xml:space="preserve"> </w:t>
      </w:r>
      <w:r>
        <w:rPr>
          <w:sz w:val="12"/>
        </w:rPr>
        <w:t>Discapacidad,</w:t>
      </w:r>
      <w:r>
        <w:rPr>
          <w:spacing w:val="1"/>
          <w:sz w:val="12"/>
        </w:rPr>
        <w:t xml:space="preserve"> </w:t>
      </w:r>
      <w:r>
        <w:rPr>
          <w:sz w:val="12"/>
        </w:rPr>
        <w:t>art.</w:t>
      </w:r>
      <w:r>
        <w:rPr>
          <w:spacing w:val="1"/>
          <w:sz w:val="12"/>
        </w:rPr>
        <w:t xml:space="preserve"> </w:t>
      </w:r>
      <w:r>
        <w:rPr>
          <w:sz w:val="12"/>
        </w:rPr>
        <w:t>4 (1)</w:t>
      </w:r>
      <w:r>
        <w:rPr>
          <w:spacing w:val="1"/>
          <w:sz w:val="12"/>
        </w:rPr>
        <w:t xml:space="preserve"> </w:t>
      </w:r>
      <w:r>
        <w:rPr>
          <w:spacing w:val="-4"/>
          <w:sz w:val="12"/>
        </w:rPr>
        <w:t>(c).</w:t>
      </w:r>
    </w:p>
    <w:p w14:paraId="679D8A23" w14:textId="77777777" w:rsidR="0014798C" w:rsidRDefault="004E1F0B">
      <w:pPr>
        <w:spacing w:before="99"/>
        <w:ind w:left="1110"/>
        <w:rPr>
          <w:sz w:val="12"/>
        </w:rPr>
      </w:pPr>
      <w:r>
        <w:rPr>
          <w:sz w:val="12"/>
        </w:rPr>
        <w:t>820</w:t>
      </w:r>
      <w:r>
        <w:rPr>
          <w:spacing w:val="-2"/>
          <w:sz w:val="12"/>
        </w:rPr>
        <w:t xml:space="preserve"> </w:t>
      </w:r>
      <w:r>
        <w:rPr>
          <w:sz w:val="12"/>
        </w:rPr>
        <w:t>Comité</w:t>
      </w:r>
      <w:r>
        <w:rPr>
          <w:spacing w:val="-1"/>
          <w:sz w:val="12"/>
        </w:rPr>
        <w:t xml:space="preserve"> </w:t>
      </w:r>
      <w:r>
        <w:rPr>
          <w:sz w:val="12"/>
        </w:rPr>
        <w:t>para</w:t>
      </w:r>
      <w:r>
        <w:rPr>
          <w:spacing w:val="-2"/>
          <w:sz w:val="12"/>
        </w:rPr>
        <w:t xml:space="preserve"> </w:t>
      </w:r>
      <w:r>
        <w:rPr>
          <w:sz w:val="12"/>
        </w:rPr>
        <w:t>la</w:t>
      </w:r>
      <w:r>
        <w:rPr>
          <w:spacing w:val="-1"/>
          <w:sz w:val="12"/>
        </w:rPr>
        <w:t xml:space="preserve"> </w:t>
      </w:r>
      <w:r>
        <w:rPr>
          <w:sz w:val="12"/>
        </w:rPr>
        <w:t>Eliminación</w:t>
      </w:r>
      <w:r>
        <w:rPr>
          <w:spacing w:val="-1"/>
          <w:sz w:val="12"/>
        </w:rPr>
        <w:t xml:space="preserve"> </w:t>
      </w:r>
      <w:r>
        <w:rPr>
          <w:sz w:val="12"/>
        </w:rPr>
        <w:t>de</w:t>
      </w:r>
      <w:r>
        <w:rPr>
          <w:spacing w:val="-2"/>
          <w:sz w:val="12"/>
        </w:rPr>
        <w:t xml:space="preserve"> </w:t>
      </w:r>
      <w:r>
        <w:rPr>
          <w:sz w:val="12"/>
        </w:rPr>
        <w:t>la</w:t>
      </w:r>
      <w:r>
        <w:rPr>
          <w:spacing w:val="-1"/>
          <w:sz w:val="12"/>
        </w:rPr>
        <w:t xml:space="preserve"> </w:t>
      </w:r>
      <w:r>
        <w:rPr>
          <w:sz w:val="12"/>
        </w:rPr>
        <w:t>Discriminación</w:t>
      </w:r>
      <w:r>
        <w:rPr>
          <w:spacing w:val="-2"/>
          <w:sz w:val="12"/>
        </w:rPr>
        <w:t xml:space="preserve"> </w:t>
      </w:r>
      <w:r>
        <w:rPr>
          <w:sz w:val="12"/>
        </w:rPr>
        <w:t>contra</w:t>
      </w:r>
      <w:r>
        <w:rPr>
          <w:spacing w:val="-1"/>
          <w:sz w:val="12"/>
        </w:rPr>
        <w:t xml:space="preserve"> </w:t>
      </w:r>
      <w:r>
        <w:rPr>
          <w:sz w:val="12"/>
        </w:rPr>
        <w:t>la</w:t>
      </w:r>
      <w:r>
        <w:rPr>
          <w:spacing w:val="-1"/>
          <w:sz w:val="12"/>
        </w:rPr>
        <w:t xml:space="preserve"> </w:t>
      </w:r>
      <w:r>
        <w:rPr>
          <w:sz w:val="12"/>
        </w:rPr>
        <w:t>Mujer,</w:t>
      </w:r>
      <w:r>
        <w:rPr>
          <w:spacing w:val="-2"/>
          <w:sz w:val="12"/>
        </w:rPr>
        <w:t xml:space="preserve"> </w:t>
      </w:r>
      <w:r>
        <w:rPr>
          <w:sz w:val="12"/>
        </w:rPr>
        <w:t>recomendación</w:t>
      </w:r>
      <w:r>
        <w:rPr>
          <w:spacing w:val="-1"/>
          <w:sz w:val="12"/>
        </w:rPr>
        <w:t xml:space="preserve"> </w:t>
      </w:r>
      <w:r>
        <w:rPr>
          <w:sz w:val="12"/>
        </w:rPr>
        <w:t>general</w:t>
      </w:r>
      <w:r>
        <w:rPr>
          <w:spacing w:val="-1"/>
          <w:sz w:val="12"/>
        </w:rPr>
        <w:t xml:space="preserve"> </w:t>
      </w:r>
      <w:r>
        <w:rPr>
          <w:sz w:val="12"/>
        </w:rPr>
        <w:t>núm.</w:t>
      </w:r>
      <w:r>
        <w:rPr>
          <w:spacing w:val="-2"/>
          <w:sz w:val="12"/>
        </w:rPr>
        <w:t xml:space="preserve"> </w:t>
      </w:r>
      <w:r>
        <w:rPr>
          <w:sz w:val="12"/>
        </w:rPr>
        <w:t>28</w:t>
      </w:r>
      <w:r>
        <w:rPr>
          <w:spacing w:val="-1"/>
          <w:sz w:val="12"/>
        </w:rPr>
        <w:t xml:space="preserve"> </w:t>
      </w:r>
      <w:r>
        <w:rPr>
          <w:sz w:val="12"/>
        </w:rPr>
        <w:t>(2010),</w:t>
      </w:r>
      <w:r>
        <w:rPr>
          <w:spacing w:val="-1"/>
          <w:sz w:val="12"/>
        </w:rPr>
        <w:t xml:space="preserve"> </w:t>
      </w:r>
      <w:r>
        <w:rPr>
          <w:sz w:val="12"/>
        </w:rPr>
        <w:t>párr.</w:t>
      </w:r>
      <w:r>
        <w:rPr>
          <w:spacing w:val="-1"/>
          <w:sz w:val="12"/>
        </w:rPr>
        <w:t xml:space="preserve"> </w:t>
      </w:r>
      <w:r>
        <w:rPr>
          <w:spacing w:val="-5"/>
          <w:sz w:val="12"/>
        </w:rPr>
        <w:t>24.</w:t>
      </w:r>
    </w:p>
    <w:p w14:paraId="21C950E2" w14:textId="77777777" w:rsidR="0014798C" w:rsidRDefault="0014798C">
      <w:pPr>
        <w:pStyle w:val="Textoindependiente"/>
        <w:rPr>
          <w:sz w:val="17"/>
        </w:rPr>
      </w:pPr>
    </w:p>
    <w:p w14:paraId="4330C4B8" w14:textId="77777777" w:rsidR="0014798C" w:rsidRDefault="0014798C">
      <w:pPr>
        <w:pStyle w:val="Textoindependiente"/>
        <w:rPr>
          <w:sz w:val="17"/>
        </w:rPr>
      </w:pPr>
    </w:p>
    <w:p w14:paraId="0D3554AA" w14:textId="77777777" w:rsidR="0014798C" w:rsidRDefault="0014798C">
      <w:pPr>
        <w:pStyle w:val="Textoindependiente"/>
        <w:spacing w:before="85"/>
        <w:rPr>
          <w:sz w:val="12"/>
        </w:rPr>
      </w:pPr>
    </w:p>
    <w:p w14:paraId="51FDAE03" w14:textId="77777777" w:rsidR="0014798C" w:rsidRDefault="004E1F0B">
      <w:pPr>
        <w:ind w:left="1111"/>
        <w:rPr>
          <w:sz w:val="12"/>
        </w:rPr>
      </w:pPr>
      <w:r>
        <w:rPr>
          <w:color w:val="00AC59"/>
          <w:sz w:val="12"/>
        </w:rPr>
        <w:t>PROTECCIÓN</w:t>
      </w:r>
      <w:r>
        <w:rPr>
          <w:color w:val="00AC59"/>
          <w:spacing w:val="6"/>
          <w:sz w:val="12"/>
        </w:rPr>
        <w:t xml:space="preserve"> </w:t>
      </w:r>
      <w:r>
        <w:rPr>
          <w:color w:val="00AC59"/>
          <w:sz w:val="12"/>
        </w:rPr>
        <w:t>DE</w:t>
      </w:r>
      <w:r>
        <w:rPr>
          <w:color w:val="00AC59"/>
          <w:spacing w:val="7"/>
          <w:sz w:val="12"/>
        </w:rPr>
        <w:t xml:space="preserve"> </w:t>
      </w:r>
      <w:r>
        <w:rPr>
          <w:color w:val="00AC59"/>
          <w:sz w:val="12"/>
        </w:rPr>
        <w:t>LOS</w:t>
      </w:r>
      <w:r>
        <w:rPr>
          <w:color w:val="00AC59"/>
          <w:spacing w:val="8"/>
          <w:sz w:val="12"/>
        </w:rPr>
        <w:t xml:space="preserve"> </w:t>
      </w:r>
      <w:r>
        <w:rPr>
          <w:color w:val="00AC59"/>
          <w:sz w:val="12"/>
        </w:rPr>
        <w:t>DERECHOS</w:t>
      </w:r>
      <w:r>
        <w:rPr>
          <w:color w:val="00AC59"/>
          <w:spacing w:val="8"/>
          <w:sz w:val="12"/>
        </w:rPr>
        <w:t xml:space="preserve"> </w:t>
      </w:r>
      <w:r>
        <w:rPr>
          <w:color w:val="00AC59"/>
          <w:sz w:val="12"/>
        </w:rPr>
        <w:t>DE</w:t>
      </w:r>
      <w:r>
        <w:rPr>
          <w:color w:val="00AC59"/>
          <w:spacing w:val="6"/>
          <w:sz w:val="12"/>
        </w:rPr>
        <w:t xml:space="preserve"> </w:t>
      </w:r>
      <w:r>
        <w:rPr>
          <w:color w:val="00AC59"/>
          <w:sz w:val="12"/>
        </w:rPr>
        <w:t>LAS</w:t>
      </w:r>
      <w:r>
        <w:rPr>
          <w:color w:val="00AC59"/>
          <w:spacing w:val="7"/>
          <w:sz w:val="12"/>
        </w:rPr>
        <w:t xml:space="preserve"> </w:t>
      </w:r>
      <w:r>
        <w:rPr>
          <w:color w:val="00AC59"/>
          <w:sz w:val="12"/>
        </w:rPr>
        <w:t>MINORÍAS:</w:t>
      </w:r>
      <w:r>
        <w:rPr>
          <w:color w:val="00AC59"/>
          <w:spacing w:val="8"/>
          <w:sz w:val="12"/>
        </w:rPr>
        <w:t xml:space="preserve"> </w:t>
      </w:r>
      <w:r>
        <w:rPr>
          <w:color w:val="00AC59"/>
          <w:sz w:val="12"/>
        </w:rPr>
        <w:t>una</w:t>
      </w:r>
      <w:r>
        <w:rPr>
          <w:color w:val="00AC59"/>
          <w:spacing w:val="7"/>
          <w:sz w:val="12"/>
        </w:rPr>
        <w:t xml:space="preserve"> </w:t>
      </w:r>
      <w:r>
        <w:rPr>
          <w:color w:val="00AC59"/>
          <w:sz w:val="12"/>
        </w:rPr>
        <w:t>guía</w:t>
      </w:r>
      <w:r>
        <w:rPr>
          <w:color w:val="00AC59"/>
          <w:spacing w:val="6"/>
          <w:sz w:val="12"/>
        </w:rPr>
        <w:t xml:space="preserve"> </w:t>
      </w:r>
      <w:r>
        <w:rPr>
          <w:color w:val="00AC59"/>
          <w:sz w:val="12"/>
        </w:rPr>
        <w:t>práctica</w:t>
      </w:r>
      <w:r>
        <w:rPr>
          <w:color w:val="00AC59"/>
          <w:spacing w:val="7"/>
          <w:sz w:val="12"/>
        </w:rPr>
        <w:t xml:space="preserve"> </w:t>
      </w:r>
      <w:r>
        <w:rPr>
          <w:color w:val="00AC59"/>
          <w:sz w:val="12"/>
        </w:rPr>
        <w:t>para</w:t>
      </w:r>
      <w:r>
        <w:rPr>
          <w:color w:val="00AC59"/>
          <w:spacing w:val="8"/>
          <w:sz w:val="12"/>
        </w:rPr>
        <w:t xml:space="preserve"> </w:t>
      </w:r>
      <w:r>
        <w:rPr>
          <w:color w:val="00AC59"/>
          <w:sz w:val="12"/>
        </w:rPr>
        <w:t>desarrollar</w:t>
      </w:r>
      <w:r>
        <w:rPr>
          <w:color w:val="00AC59"/>
          <w:spacing w:val="6"/>
          <w:sz w:val="12"/>
        </w:rPr>
        <w:t xml:space="preserve"> </w:t>
      </w:r>
      <w:r>
        <w:rPr>
          <w:color w:val="00AC59"/>
          <w:sz w:val="12"/>
        </w:rPr>
        <w:t>una</w:t>
      </w:r>
      <w:r>
        <w:rPr>
          <w:color w:val="00AC59"/>
          <w:spacing w:val="7"/>
          <w:sz w:val="12"/>
        </w:rPr>
        <w:t xml:space="preserve"> </w:t>
      </w:r>
      <w:r>
        <w:rPr>
          <w:color w:val="00AC59"/>
          <w:sz w:val="12"/>
        </w:rPr>
        <w:t>legislación</w:t>
      </w:r>
      <w:r>
        <w:rPr>
          <w:color w:val="00AC59"/>
          <w:spacing w:val="8"/>
          <w:sz w:val="12"/>
        </w:rPr>
        <w:t xml:space="preserve"> </w:t>
      </w:r>
      <w:r>
        <w:rPr>
          <w:color w:val="00AC59"/>
          <w:sz w:val="12"/>
        </w:rPr>
        <w:t>integral</w:t>
      </w:r>
      <w:r>
        <w:rPr>
          <w:color w:val="00AC59"/>
          <w:spacing w:val="7"/>
          <w:sz w:val="12"/>
        </w:rPr>
        <w:t xml:space="preserve"> </w:t>
      </w:r>
      <w:r>
        <w:rPr>
          <w:color w:val="00AC59"/>
          <w:sz w:val="12"/>
        </w:rPr>
        <w:t>contra</w:t>
      </w:r>
      <w:r>
        <w:rPr>
          <w:color w:val="00AC59"/>
          <w:spacing w:val="6"/>
          <w:sz w:val="12"/>
        </w:rPr>
        <w:t xml:space="preserve"> </w:t>
      </w:r>
      <w:r>
        <w:rPr>
          <w:color w:val="00AC59"/>
          <w:sz w:val="12"/>
        </w:rPr>
        <w:t>la</w:t>
      </w:r>
      <w:r>
        <w:rPr>
          <w:color w:val="00AC59"/>
          <w:spacing w:val="7"/>
          <w:sz w:val="12"/>
        </w:rPr>
        <w:t xml:space="preserve"> </w:t>
      </w:r>
      <w:r>
        <w:rPr>
          <w:color w:val="00AC59"/>
          <w:spacing w:val="-2"/>
          <w:sz w:val="12"/>
        </w:rPr>
        <w:t>discriminación</w:t>
      </w:r>
    </w:p>
    <w:p w14:paraId="0C098209" w14:textId="77777777" w:rsidR="0014798C" w:rsidRDefault="0014798C">
      <w:pPr>
        <w:pStyle w:val="Textoindependiente"/>
      </w:pPr>
    </w:p>
    <w:p w14:paraId="63CE37AF" w14:textId="77777777" w:rsidR="0014798C" w:rsidRDefault="0014798C">
      <w:pPr>
        <w:pStyle w:val="Textoindependiente"/>
      </w:pPr>
    </w:p>
    <w:p w14:paraId="793B190D" w14:textId="77777777" w:rsidR="0014798C" w:rsidRDefault="0014798C">
      <w:pPr>
        <w:pStyle w:val="Textoindependiente"/>
      </w:pPr>
    </w:p>
    <w:p w14:paraId="6B3CF7D0" w14:textId="77777777" w:rsidR="0014798C" w:rsidRDefault="0014798C">
      <w:pPr>
        <w:pStyle w:val="Textoindependiente"/>
      </w:pPr>
    </w:p>
    <w:p w14:paraId="1CFBDC94" w14:textId="77777777" w:rsidR="0014798C" w:rsidRDefault="0014798C">
      <w:pPr>
        <w:pStyle w:val="Textoindependiente"/>
        <w:spacing w:before="67"/>
      </w:pPr>
    </w:p>
    <w:p w14:paraId="0549D08B" w14:textId="77777777" w:rsidR="0014798C" w:rsidRDefault="004E1F0B">
      <w:pPr>
        <w:pStyle w:val="Textoindependiente"/>
        <w:spacing w:line="326" w:lineRule="auto"/>
        <w:ind w:left="1108" w:right="1272" w:hanging="2"/>
      </w:pPr>
      <w:r>
        <w:t>que</w:t>
      </w:r>
      <w:r>
        <w:rPr>
          <w:spacing w:val="-4"/>
        </w:rPr>
        <w:t xml:space="preserve"> </w:t>
      </w:r>
      <w:r>
        <w:t>las</w:t>
      </w:r>
      <w:r>
        <w:rPr>
          <w:spacing w:val="-4"/>
        </w:rPr>
        <w:t xml:space="preserve"> </w:t>
      </w:r>
      <w:r>
        <w:t>políticas</w:t>
      </w:r>
      <w:r>
        <w:rPr>
          <w:spacing w:val="-4"/>
        </w:rPr>
        <w:t xml:space="preserve"> </w:t>
      </w:r>
      <w:r>
        <w:t>económicas</w:t>
      </w:r>
      <w:r>
        <w:rPr>
          <w:spacing w:val="-4"/>
        </w:rPr>
        <w:t xml:space="preserve"> </w:t>
      </w:r>
      <w:r>
        <w:t>y</w:t>
      </w:r>
      <w:r>
        <w:rPr>
          <w:spacing w:val="-4"/>
        </w:rPr>
        <w:t xml:space="preserve"> </w:t>
      </w:r>
      <w:r>
        <w:t>de</w:t>
      </w:r>
      <w:r>
        <w:rPr>
          <w:spacing w:val="-4"/>
        </w:rPr>
        <w:t xml:space="preserve"> </w:t>
      </w:r>
      <w:r>
        <w:t>otro</w:t>
      </w:r>
      <w:r>
        <w:rPr>
          <w:spacing w:val="-4"/>
        </w:rPr>
        <w:t xml:space="preserve"> </w:t>
      </w:r>
      <w:r>
        <w:t>tipo</w:t>
      </w:r>
      <w:r>
        <w:rPr>
          <w:spacing w:val="-4"/>
        </w:rPr>
        <w:t xml:space="preserve"> </w:t>
      </w:r>
      <w:r>
        <w:t>no</w:t>
      </w:r>
      <w:r>
        <w:rPr>
          <w:spacing w:val="-4"/>
        </w:rPr>
        <w:t xml:space="preserve"> </w:t>
      </w:r>
      <w:r>
        <w:t>den</w:t>
      </w:r>
      <w:r>
        <w:rPr>
          <w:spacing w:val="-4"/>
        </w:rPr>
        <w:t xml:space="preserve"> </w:t>
      </w:r>
      <w:r>
        <w:t>lugar</w:t>
      </w:r>
      <w:r>
        <w:rPr>
          <w:spacing w:val="-4"/>
        </w:rPr>
        <w:t xml:space="preserve"> </w:t>
      </w:r>
      <w:r>
        <w:t>a</w:t>
      </w:r>
      <w:r>
        <w:rPr>
          <w:spacing w:val="-4"/>
        </w:rPr>
        <w:t xml:space="preserve"> </w:t>
      </w:r>
      <w:r>
        <w:t>una</w:t>
      </w:r>
      <w:r>
        <w:rPr>
          <w:spacing w:val="-4"/>
        </w:rPr>
        <w:t xml:space="preserve"> </w:t>
      </w:r>
      <w:r>
        <w:t>denegación</w:t>
      </w:r>
      <w:r>
        <w:rPr>
          <w:spacing w:val="-4"/>
        </w:rPr>
        <w:t xml:space="preserve"> </w:t>
      </w:r>
      <w:r>
        <w:t>o</w:t>
      </w:r>
      <w:r>
        <w:rPr>
          <w:spacing w:val="-4"/>
        </w:rPr>
        <w:t xml:space="preserve"> </w:t>
      </w:r>
      <w:r>
        <w:t>limitación</w:t>
      </w:r>
      <w:r>
        <w:rPr>
          <w:spacing w:val="-4"/>
        </w:rPr>
        <w:t xml:space="preserve"> </w:t>
      </w:r>
      <w:r>
        <w:t>discriminatoria</w:t>
      </w:r>
      <w:r>
        <w:rPr>
          <w:spacing w:val="-4"/>
        </w:rPr>
        <w:t xml:space="preserve"> </w:t>
      </w:r>
      <w:r>
        <w:t>de</w:t>
      </w:r>
      <w:r>
        <w:rPr>
          <w:spacing w:val="-4"/>
        </w:rPr>
        <w:t xml:space="preserve"> </w:t>
      </w:r>
      <w:r>
        <w:t>los</w:t>
      </w:r>
      <w:r>
        <w:rPr>
          <w:spacing w:val="-4"/>
        </w:rPr>
        <w:t xml:space="preserve"> </w:t>
      </w:r>
      <w:r>
        <w:t>derechos</w:t>
      </w:r>
      <w:r>
        <w:rPr>
          <w:spacing w:val="-4"/>
        </w:rPr>
        <w:t xml:space="preserve"> </w:t>
      </w:r>
      <w:r>
        <w:t>económicos, sociales o culturales821, obligación que claramente entraña algún elemento de evaluación.</w:t>
      </w:r>
    </w:p>
    <w:p w14:paraId="7BD20F80" w14:textId="77777777" w:rsidR="0014798C" w:rsidRDefault="004E1F0B">
      <w:pPr>
        <w:pStyle w:val="Textoindependiente"/>
        <w:spacing w:before="169" w:line="326" w:lineRule="auto"/>
        <w:ind w:left="1107" w:right="1272" w:firstLine="1"/>
      </w:pPr>
      <w:r>
        <w:t>De</w:t>
      </w:r>
      <w:r>
        <w:rPr>
          <w:spacing w:val="-4"/>
        </w:rPr>
        <w:t xml:space="preserve"> </w:t>
      </w:r>
      <w:r>
        <w:t>hecho,</w:t>
      </w:r>
      <w:r>
        <w:rPr>
          <w:spacing w:val="-3"/>
        </w:rPr>
        <w:t xml:space="preserve"> </w:t>
      </w:r>
      <w:r>
        <w:t>el</w:t>
      </w:r>
      <w:r>
        <w:rPr>
          <w:spacing w:val="-4"/>
        </w:rPr>
        <w:t xml:space="preserve"> </w:t>
      </w:r>
      <w:r>
        <w:t>debate</w:t>
      </w:r>
      <w:r>
        <w:rPr>
          <w:spacing w:val="-4"/>
        </w:rPr>
        <w:t xml:space="preserve"> </w:t>
      </w:r>
      <w:r>
        <w:t>del</w:t>
      </w:r>
      <w:r>
        <w:rPr>
          <w:spacing w:val="-4"/>
        </w:rPr>
        <w:t xml:space="preserve"> </w:t>
      </w:r>
      <w:r>
        <w:t>Comité</w:t>
      </w:r>
      <w:r>
        <w:rPr>
          <w:spacing w:val="-4"/>
        </w:rPr>
        <w:t xml:space="preserve"> </w:t>
      </w:r>
      <w:r>
        <w:t>de</w:t>
      </w:r>
      <w:r>
        <w:rPr>
          <w:spacing w:val="-4"/>
        </w:rPr>
        <w:t xml:space="preserve"> </w:t>
      </w:r>
      <w:r>
        <w:t>Derechos</w:t>
      </w:r>
      <w:r>
        <w:rPr>
          <w:spacing w:val="-4"/>
        </w:rPr>
        <w:t xml:space="preserve"> </w:t>
      </w:r>
      <w:r>
        <w:t>Económicos,</w:t>
      </w:r>
      <w:r>
        <w:rPr>
          <w:spacing w:val="-3"/>
        </w:rPr>
        <w:t xml:space="preserve"> </w:t>
      </w:r>
      <w:r>
        <w:t>Sociales</w:t>
      </w:r>
      <w:r>
        <w:rPr>
          <w:spacing w:val="-4"/>
        </w:rPr>
        <w:t xml:space="preserve"> </w:t>
      </w:r>
      <w:r>
        <w:t>y</w:t>
      </w:r>
      <w:r>
        <w:rPr>
          <w:spacing w:val="-4"/>
        </w:rPr>
        <w:t xml:space="preserve"> </w:t>
      </w:r>
      <w:r>
        <w:t>Culturales</w:t>
      </w:r>
      <w:r>
        <w:rPr>
          <w:spacing w:val="-4"/>
        </w:rPr>
        <w:t xml:space="preserve"> </w:t>
      </w:r>
      <w:r>
        <w:t>sobre</w:t>
      </w:r>
      <w:r>
        <w:rPr>
          <w:spacing w:val="-4"/>
        </w:rPr>
        <w:t xml:space="preserve"> </w:t>
      </w:r>
      <w:r>
        <w:t>las</w:t>
      </w:r>
      <w:r>
        <w:rPr>
          <w:spacing w:val="-4"/>
        </w:rPr>
        <w:t xml:space="preserve"> </w:t>
      </w:r>
      <w:r>
        <w:t>obligaciones</w:t>
      </w:r>
      <w:r>
        <w:rPr>
          <w:spacing w:val="-4"/>
        </w:rPr>
        <w:t xml:space="preserve"> </w:t>
      </w:r>
      <w:r>
        <w:t>de</w:t>
      </w:r>
      <w:r>
        <w:rPr>
          <w:spacing w:val="-4"/>
        </w:rPr>
        <w:t xml:space="preserve"> </w:t>
      </w:r>
      <w:r>
        <w:t>no</w:t>
      </w:r>
      <w:r>
        <w:rPr>
          <w:spacing w:val="-4"/>
        </w:rPr>
        <w:t xml:space="preserve"> </w:t>
      </w:r>
      <w:r>
        <w:t>discriminación</w:t>
      </w:r>
      <w:r>
        <w:rPr>
          <w:spacing w:val="-4"/>
        </w:rPr>
        <w:t xml:space="preserve"> </w:t>
      </w:r>
      <w:r>
        <w:t>ilustra tanto la utilidad como la necesidad de una evaluación del impacto en la igualdad. El Comité ha observado que existe una “fuerte presunción” contra la adopción de “medidas regresivas” 822 en el Pacto y afirmó que en situaciones en las que se prevén tales medidas, “el Estado parte tiene la carga de probar su necesidad”823. Las medidas regresivas no deben “afectar desproporcionadamente a personas y grupos desfavorecidos y marginados” ni “aplicarse de manera discriminatoria”824.</w:t>
      </w:r>
    </w:p>
    <w:p w14:paraId="44A9ABBE" w14:textId="77777777" w:rsidR="0014798C" w:rsidRDefault="0014798C">
      <w:pPr>
        <w:pStyle w:val="Textoindependiente"/>
      </w:pPr>
    </w:p>
    <w:p w14:paraId="3C2E76CF" w14:textId="77777777" w:rsidR="0014798C" w:rsidRDefault="0014798C">
      <w:pPr>
        <w:pStyle w:val="Textoindependiente"/>
        <w:spacing w:before="49"/>
      </w:pPr>
    </w:p>
    <w:p w14:paraId="5D90B46C" w14:textId="77777777" w:rsidR="0014798C" w:rsidRDefault="004E1F0B">
      <w:pPr>
        <w:pStyle w:val="Textoindependiente"/>
        <w:spacing w:before="1" w:line="326" w:lineRule="auto"/>
        <w:ind w:left="1107" w:right="1228" w:hanging="2"/>
      </w:pPr>
      <w:r>
        <w:t>Los órganos de tratados de derechos humanos de las Naciones Unidas y los titulares de mandatos de procedimientos especiales han brindado orientación para garantizar la aplicación adecuada y efectiva de la evaluación del impacto en la igualdad. En primer lugar, la evaluación de impacto debe buscar evaluar (y eliminar) cualquier impacto discriminatorio de una política sobre los miembros de un grupo protegido.825 En situaciones en las que se identifican impactos discriminatorios, las políticas deben adaptarse para satisfacer las necesidades de dichos grupos y no deben exacerbar desigualdades. En segundo lugar, para garantizar su eficacia, dicha evaluación debe ser obligatoria, en lugar de opcional.826 En tercer lugar, en consonancia con el reconocimiento de que el derecho a la no discriminación genera “una obligación inmediata y transversal” para los Estados,827 la El deber de llevar a cabo una evaluación del impacto en la igualdad es un deber ex ante, lo que significa que la evaluación debe realizarse antes de que se adopte una política.828 Sin embargo, sigue siendo importante que la evaluación del impacto en la igualdad</w:t>
      </w:r>
      <w:r>
        <w:rPr>
          <w:spacing w:val="-4"/>
        </w:rPr>
        <w:t xml:space="preserve"> </w:t>
      </w:r>
      <w:r>
        <w:t>también</w:t>
      </w:r>
      <w:r>
        <w:rPr>
          <w:spacing w:val="-4"/>
        </w:rPr>
        <w:t xml:space="preserve"> </w:t>
      </w:r>
      <w:r>
        <w:t>se</w:t>
      </w:r>
      <w:r>
        <w:rPr>
          <w:spacing w:val="-4"/>
        </w:rPr>
        <w:t xml:space="preserve"> </w:t>
      </w:r>
      <w:r>
        <w:t>integre</w:t>
      </w:r>
      <w:r>
        <w:rPr>
          <w:spacing w:val="-4"/>
        </w:rPr>
        <w:t xml:space="preserve"> </w:t>
      </w:r>
      <w:r>
        <w:t>en</w:t>
      </w:r>
      <w:r>
        <w:rPr>
          <w:spacing w:val="-4"/>
        </w:rPr>
        <w:t xml:space="preserve"> </w:t>
      </w:r>
      <w:r>
        <w:t>la</w:t>
      </w:r>
      <w:r>
        <w:rPr>
          <w:spacing w:val="-4"/>
        </w:rPr>
        <w:t xml:space="preserve"> </w:t>
      </w:r>
      <w:r>
        <w:t>implementación</w:t>
      </w:r>
      <w:r>
        <w:rPr>
          <w:spacing w:val="-4"/>
        </w:rPr>
        <w:t xml:space="preserve"> </w:t>
      </w:r>
      <w:r>
        <w:t>y</w:t>
      </w:r>
      <w:r>
        <w:rPr>
          <w:spacing w:val="-4"/>
        </w:rPr>
        <w:t xml:space="preserve"> </w:t>
      </w:r>
      <w:r>
        <w:t>el</w:t>
      </w:r>
      <w:r>
        <w:rPr>
          <w:spacing w:val="-4"/>
        </w:rPr>
        <w:t xml:space="preserve"> </w:t>
      </w:r>
      <w:r>
        <w:t>seguimiento</w:t>
      </w:r>
      <w:r>
        <w:rPr>
          <w:spacing w:val="-4"/>
        </w:rPr>
        <w:t xml:space="preserve"> </w:t>
      </w:r>
      <w:r>
        <w:t>de</w:t>
      </w:r>
      <w:r>
        <w:rPr>
          <w:spacing w:val="-4"/>
        </w:rPr>
        <w:t xml:space="preserve"> </w:t>
      </w:r>
      <w:r>
        <w:t>las</w:t>
      </w:r>
      <w:r>
        <w:rPr>
          <w:spacing w:val="-4"/>
        </w:rPr>
        <w:t xml:space="preserve"> </w:t>
      </w:r>
      <w:r>
        <w:t>políticas</w:t>
      </w:r>
      <w:r>
        <w:rPr>
          <w:spacing w:val="-4"/>
        </w:rPr>
        <w:t xml:space="preserve"> </w:t>
      </w:r>
      <w:r>
        <w:t>para</w:t>
      </w:r>
      <w:r>
        <w:rPr>
          <w:spacing w:val="-4"/>
        </w:rPr>
        <w:t xml:space="preserve"> </w:t>
      </w:r>
      <w:r>
        <w:t>evitar</w:t>
      </w:r>
      <w:r>
        <w:rPr>
          <w:spacing w:val="-4"/>
        </w:rPr>
        <w:t xml:space="preserve"> </w:t>
      </w:r>
      <w:r>
        <w:t>situaciones</w:t>
      </w:r>
      <w:r>
        <w:rPr>
          <w:spacing w:val="-4"/>
        </w:rPr>
        <w:t xml:space="preserve"> </w:t>
      </w:r>
      <w:r>
        <w:t>imprevistas</w:t>
      </w:r>
      <w:r>
        <w:rPr>
          <w:spacing w:val="-4"/>
        </w:rPr>
        <w:t xml:space="preserve"> </w:t>
      </w:r>
      <w:r>
        <w:t>o</w:t>
      </w:r>
      <w:r>
        <w:rPr>
          <w:spacing w:val="-4"/>
        </w:rPr>
        <w:t xml:space="preserve"> </w:t>
      </w:r>
      <w:r>
        <w:t>emergentes. impactos discriminatorios y garantizar que cualquier medida proactiva funcione según lo previsto. En tercer lugar, la evaluación</w:t>
      </w:r>
      <w:r>
        <w:rPr>
          <w:spacing w:val="40"/>
        </w:rPr>
        <w:t xml:space="preserve"> </w:t>
      </w:r>
      <w:r>
        <w:t>debe realizarse en consulta con miembros de aquellos grupos a los que se puede aplicar la política.829 Los resultados deben ponerse a disposición del público y “dar lugar a cambios significativos en las propuestas de políticas”.830</w:t>
      </w:r>
    </w:p>
    <w:p w14:paraId="1366692E" w14:textId="77777777" w:rsidR="0014798C" w:rsidRDefault="004E1F0B">
      <w:pPr>
        <w:pStyle w:val="Textoindependiente"/>
        <w:spacing w:before="1"/>
        <w:rPr>
          <w:sz w:val="13"/>
        </w:rPr>
      </w:pPr>
      <w:r>
        <w:rPr>
          <w:noProof/>
        </w:rPr>
        <mc:AlternateContent>
          <mc:Choice Requires="wpg">
            <w:drawing>
              <wp:anchor distT="0" distB="0" distL="0" distR="0" simplePos="0" relativeHeight="251658541" behindDoc="1" locked="0" layoutInCell="1" allowOverlap="1" wp14:anchorId="3F13D0B0" wp14:editId="7639D71C">
                <wp:simplePos x="0" y="0"/>
                <wp:positionH relativeFrom="page">
                  <wp:posOffset>808662</wp:posOffset>
                </wp:positionH>
                <wp:positionV relativeFrom="paragraph">
                  <wp:posOffset>111204</wp:posOffset>
                </wp:positionV>
                <wp:extent cx="5948680" cy="2947670"/>
                <wp:effectExtent l="0" t="0" r="0" b="0"/>
                <wp:wrapTopAndBottom/>
                <wp:docPr id="249" name="Group 24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948680" cy="2947670"/>
                          <a:chOff x="0" y="0"/>
                          <a:chExt cx="5948680" cy="2947670"/>
                        </a:xfrm>
                      </wpg:grpSpPr>
                      <pic:pic xmlns:pic="http://schemas.openxmlformats.org/drawingml/2006/picture">
                        <pic:nvPicPr>
                          <pic:cNvPr id="250" name="Image 250"/>
                          <pic:cNvPicPr/>
                        </pic:nvPicPr>
                        <pic:blipFill>
                          <a:blip r:embed="rId224" cstate="print"/>
                          <a:stretch>
                            <a:fillRect/>
                          </a:stretch>
                        </pic:blipFill>
                        <pic:spPr>
                          <a:xfrm>
                            <a:off x="0" y="0"/>
                            <a:ext cx="5948160" cy="2947639"/>
                          </a:xfrm>
                          <a:prstGeom prst="rect">
                            <a:avLst/>
                          </a:prstGeom>
                        </pic:spPr>
                      </pic:pic>
                      <wps:wsp>
                        <wps:cNvPr id="251" name="Textbox 251"/>
                        <wps:cNvSpPr txBox="1"/>
                        <wps:spPr>
                          <a:xfrm>
                            <a:off x="164545" y="188921"/>
                            <a:ext cx="5574030" cy="1851660"/>
                          </a:xfrm>
                          <a:prstGeom prst="rect">
                            <a:avLst/>
                          </a:prstGeom>
                        </wps:spPr>
                        <wps:txbx>
                          <w:txbxContent>
                            <w:p w14:paraId="57277A8E" w14:textId="77777777" w:rsidR="0014798C" w:rsidRDefault="004E1F0B">
                              <w:pPr>
                                <w:spacing w:line="319" w:lineRule="auto"/>
                                <w:ind w:left="10" w:right="941"/>
                                <w:rPr>
                                  <w:sz w:val="16"/>
                                </w:rPr>
                              </w:pPr>
                              <w:r>
                                <w:rPr>
                                  <w:sz w:val="16"/>
                                </w:rPr>
                                <w:t>LA</w:t>
                              </w:r>
                              <w:r>
                                <w:rPr>
                                  <w:spacing w:val="-6"/>
                                  <w:sz w:val="16"/>
                                </w:rPr>
                                <w:t xml:space="preserve"> </w:t>
                              </w:r>
                              <w:r>
                                <w:rPr>
                                  <w:sz w:val="16"/>
                                </w:rPr>
                                <w:t>LEGISLACIÓN</w:t>
                              </w:r>
                              <w:r>
                                <w:rPr>
                                  <w:spacing w:val="-7"/>
                                  <w:sz w:val="16"/>
                                </w:rPr>
                                <w:t xml:space="preserve"> </w:t>
                              </w:r>
                              <w:r>
                                <w:rPr>
                                  <w:sz w:val="16"/>
                                </w:rPr>
                                <w:t>EN</w:t>
                              </w:r>
                              <w:r>
                                <w:rPr>
                                  <w:spacing w:val="-6"/>
                                  <w:sz w:val="16"/>
                                </w:rPr>
                                <w:t xml:space="preserve"> </w:t>
                              </w:r>
                              <w:r>
                                <w:rPr>
                                  <w:sz w:val="16"/>
                                </w:rPr>
                                <w:t>LA</w:t>
                              </w:r>
                              <w:r>
                                <w:rPr>
                                  <w:spacing w:val="-6"/>
                                  <w:sz w:val="16"/>
                                </w:rPr>
                                <w:t xml:space="preserve"> </w:t>
                              </w:r>
                              <w:r>
                                <w:rPr>
                                  <w:sz w:val="16"/>
                                </w:rPr>
                                <w:t>PRÁCTICA:</w:t>
                              </w:r>
                              <w:r>
                                <w:rPr>
                                  <w:spacing w:val="-6"/>
                                  <w:sz w:val="16"/>
                                </w:rPr>
                                <w:t xml:space="preserve"> </w:t>
                              </w:r>
                              <w:r>
                                <w:rPr>
                                  <w:sz w:val="16"/>
                                </w:rPr>
                                <w:t>EL</w:t>
                              </w:r>
                              <w:r>
                                <w:rPr>
                                  <w:spacing w:val="-6"/>
                                  <w:sz w:val="16"/>
                                </w:rPr>
                                <w:t xml:space="preserve"> </w:t>
                              </w:r>
                              <w:r>
                                <w:rPr>
                                  <w:sz w:val="16"/>
                                </w:rPr>
                                <w:t>SECTOR</w:t>
                              </w:r>
                              <w:r>
                                <w:rPr>
                                  <w:spacing w:val="-6"/>
                                  <w:sz w:val="16"/>
                                </w:rPr>
                                <w:t xml:space="preserve"> </w:t>
                              </w:r>
                              <w:r>
                                <w:rPr>
                                  <w:sz w:val="16"/>
                                </w:rPr>
                                <w:t>PÚBLICO</w:t>
                              </w:r>
                              <w:r>
                                <w:rPr>
                                  <w:spacing w:val="-6"/>
                                  <w:sz w:val="16"/>
                                </w:rPr>
                                <w:t xml:space="preserve"> </w:t>
                              </w:r>
                              <w:r>
                                <w:rPr>
                                  <w:sz w:val="16"/>
                                </w:rPr>
                                <w:t>IGUALDAD</w:t>
                              </w:r>
                              <w:r>
                                <w:rPr>
                                  <w:spacing w:val="-6"/>
                                  <w:sz w:val="16"/>
                                </w:rPr>
                                <w:t xml:space="preserve"> </w:t>
                              </w:r>
                              <w:r>
                                <w:rPr>
                                  <w:sz w:val="16"/>
                                </w:rPr>
                                <w:t>DEBER</w:t>
                              </w:r>
                              <w:r>
                                <w:rPr>
                                  <w:spacing w:val="-6"/>
                                  <w:sz w:val="16"/>
                                </w:rPr>
                                <w:t xml:space="preserve"> </w:t>
                              </w:r>
                              <w:r>
                                <w:rPr>
                                  <w:sz w:val="16"/>
                                </w:rPr>
                                <w:t>E</w:t>
                              </w:r>
                              <w:r>
                                <w:rPr>
                                  <w:spacing w:val="-6"/>
                                  <w:sz w:val="16"/>
                                </w:rPr>
                                <w:t xml:space="preserve"> </w:t>
                              </w:r>
                              <w:r>
                                <w:rPr>
                                  <w:sz w:val="16"/>
                                </w:rPr>
                                <w:t>IGUALDAD EVALUACIÓN DE IMPACTO EN EL REINO UNIDO</w:t>
                              </w:r>
                            </w:p>
                            <w:p w14:paraId="209571DB" w14:textId="77777777" w:rsidR="0014798C" w:rsidRDefault="004E1F0B">
                              <w:pPr>
                                <w:spacing w:before="154" w:line="326" w:lineRule="auto"/>
                                <w:ind w:left="1" w:hanging="2"/>
                                <w:rPr>
                                  <w:sz w:val="16"/>
                                </w:rPr>
                              </w:pPr>
                              <w:r>
                                <w:rPr>
                                  <w:sz w:val="16"/>
                                </w:rPr>
                                <w:t>El</w:t>
                              </w:r>
                              <w:r>
                                <w:rPr>
                                  <w:spacing w:val="-3"/>
                                  <w:sz w:val="16"/>
                                </w:rPr>
                                <w:t xml:space="preserve"> </w:t>
                              </w:r>
                              <w:r>
                                <w:rPr>
                                  <w:sz w:val="16"/>
                                </w:rPr>
                                <w:t>deber</w:t>
                              </w:r>
                              <w:r>
                                <w:rPr>
                                  <w:spacing w:val="-3"/>
                                  <w:sz w:val="16"/>
                                </w:rPr>
                                <w:t xml:space="preserve"> </w:t>
                              </w:r>
                              <w:r>
                                <w:rPr>
                                  <w:sz w:val="16"/>
                                </w:rPr>
                                <w:t>de</w:t>
                              </w:r>
                              <w:r>
                                <w:rPr>
                                  <w:spacing w:val="-3"/>
                                  <w:sz w:val="16"/>
                                </w:rPr>
                                <w:t xml:space="preserve"> </w:t>
                              </w:r>
                              <w:r>
                                <w:rPr>
                                  <w:sz w:val="16"/>
                                </w:rPr>
                                <w:t>igualdad</w:t>
                              </w:r>
                              <w:r>
                                <w:rPr>
                                  <w:spacing w:val="-3"/>
                                  <w:sz w:val="16"/>
                                </w:rPr>
                                <w:t xml:space="preserve"> </w:t>
                              </w:r>
                              <w:r>
                                <w:rPr>
                                  <w:sz w:val="16"/>
                                </w:rPr>
                                <w:t>del</w:t>
                              </w:r>
                              <w:r>
                                <w:rPr>
                                  <w:spacing w:val="-3"/>
                                  <w:sz w:val="16"/>
                                </w:rPr>
                                <w:t xml:space="preserve"> </w:t>
                              </w:r>
                              <w:r>
                                <w:rPr>
                                  <w:sz w:val="16"/>
                                </w:rPr>
                                <w:t>sector</w:t>
                              </w:r>
                              <w:r>
                                <w:rPr>
                                  <w:spacing w:val="-3"/>
                                  <w:sz w:val="16"/>
                                </w:rPr>
                                <w:t xml:space="preserve"> </w:t>
                              </w:r>
                              <w:r>
                                <w:rPr>
                                  <w:sz w:val="16"/>
                                </w:rPr>
                                <w:t>público</w:t>
                              </w:r>
                              <w:r>
                                <w:rPr>
                                  <w:spacing w:val="-3"/>
                                  <w:sz w:val="16"/>
                                </w:rPr>
                                <w:t xml:space="preserve"> </w:t>
                              </w:r>
                              <w:r>
                                <w:rPr>
                                  <w:sz w:val="16"/>
                                </w:rPr>
                                <w:t>se</w:t>
                              </w:r>
                              <w:r>
                                <w:rPr>
                                  <w:spacing w:val="-3"/>
                                  <w:sz w:val="16"/>
                                </w:rPr>
                                <w:t xml:space="preserve"> </w:t>
                              </w:r>
                              <w:r>
                                <w:rPr>
                                  <w:sz w:val="16"/>
                                </w:rPr>
                                <w:t>introdujo</w:t>
                              </w:r>
                              <w:r>
                                <w:rPr>
                                  <w:spacing w:val="-3"/>
                                  <w:sz w:val="16"/>
                                </w:rPr>
                                <w:t xml:space="preserve"> </w:t>
                              </w:r>
                              <w:r>
                                <w:rPr>
                                  <w:sz w:val="16"/>
                                </w:rPr>
                                <w:t>en</w:t>
                              </w:r>
                              <w:r>
                                <w:rPr>
                                  <w:spacing w:val="-3"/>
                                  <w:sz w:val="16"/>
                                </w:rPr>
                                <w:t xml:space="preserve"> </w:t>
                              </w:r>
                              <w:r>
                                <w:rPr>
                                  <w:sz w:val="16"/>
                                </w:rPr>
                                <w:t>la</w:t>
                              </w:r>
                              <w:r>
                                <w:rPr>
                                  <w:spacing w:val="-3"/>
                                  <w:sz w:val="16"/>
                                </w:rPr>
                                <w:t xml:space="preserve"> </w:t>
                              </w:r>
                              <w:r>
                                <w:rPr>
                                  <w:sz w:val="16"/>
                                </w:rPr>
                                <w:t>Ley</w:t>
                              </w:r>
                              <w:r>
                                <w:rPr>
                                  <w:spacing w:val="-3"/>
                                  <w:sz w:val="16"/>
                                </w:rPr>
                                <w:t xml:space="preserve"> </w:t>
                              </w:r>
                              <w:r>
                                <w:rPr>
                                  <w:sz w:val="16"/>
                                </w:rPr>
                                <w:t>de</w:t>
                              </w:r>
                              <w:r>
                                <w:rPr>
                                  <w:spacing w:val="-3"/>
                                  <w:sz w:val="16"/>
                                </w:rPr>
                                <w:t xml:space="preserve"> </w:t>
                              </w:r>
                              <w:r>
                                <w:rPr>
                                  <w:sz w:val="16"/>
                                </w:rPr>
                                <w:t>Igualdad</w:t>
                              </w:r>
                              <w:r>
                                <w:rPr>
                                  <w:spacing w:val="-3"/>
                                  <w:sz w:val="16"/>
                                </w:rPr>
                                <w:t xml:space="preserve"> </w:t>
                              </w:r>
                              <w:r>
                                <w:rPr>
                                  <w:sz w:val="16"/>
                                </w:rPr>
                                <w:t>de</w:t>
                              </w:r>
                              <w:r>
                                <w:rPr>
                                  <w:spacing w:val="-3"/>
                                  <w:sz w:val="16"/>
                                </w:rPr>
                                <w:t xml:space="preserve"> </w:t>
                              </w:r>
                              <w:r>
                                <w:rPr>
                                  <w:sz w:val="16"/>
                                </w:rPr>
                                <w:t>2010,</w:t>
                              </w:r>
                              <w:r>
                                <w:rPr>
                                  <w:spacing w:val="-2"/>
                                  <w:sz w:val="16"/>
                                </w:rPr>
                                <w:t xml:space="preserve"> </w:t>
                              </w:r>
                              <w:r>
                                <w:rPr>
                                  <w:sz w:val="16"/>
                                </w:rPr>
                                <w:t>que</w:t>
                              </w:r>
                              <w:r>
                                <w:rPr>
                                  <w:spacing w:val="-3"/>
                                  <w:sz w:val="16"/>
                                </w:rPr>
                                <w:t xml:space="preserve"> </w:t>
                              </w:r>
                              <w:r>
                                <w:rPr>
                                  <w:sz w:val="16"/>
                                </w:rPr>
                                <w:t>reunió,</w:t>
                              </w:r>
                              <w:r>
                                <w:rPr>
                                  <w:spacing w:val="-2"/>
                                  <w:sz w:val="16"/>
                                </w:rPr>
                                <w:t xml:space="preserve"> </w:t>
                              </w:r>
                              <w:r>
                                <w:rPr>
                                  <w:sz w:val="16"/>
                                </w:rPr>
                                <w:t>armonizó</w:t>
                              </w:r>
                              <w:r>
                                <w:rPr>
                                  <w:spacing w:val="-3"/>
                                  <w:sz w:val="16"/>
                                </w:rPr>
                                <w:t xml:space="preserve"> </w:t>
                              </w:r>
                              <w:r>
                                <w:rPr>
                                  <w:sz w:val="16"/>
                                </w:rPr>
                                <w:t>y</w:t>
                              </w:r>
                              <w:r>
                                <w:rPr>
                                  <w:spacing w:val="-3"/>
                                  <w:sz w:val="16"/>
                                </w:rPr>
                                <w:t xml:space="preserve"> </w:t>
                              </w:r>
                              <w:r>
                                <w:rPr>
                                  <w:sz w:val="16"/>
                                </w:rPr>
                                <w:t>amplió</w:t>
                              </w:r>
                              <w:r>
                                <w:rPr>
                                  <w:spacing w:val="-3"/>
                                  <w:sz w:val="16"/>
                                </w:rPr>
                                <w:t xml:space="preserve"> </w:t>
                              </w:r>
                              <w:r>
                                <w:rPr>
                                  <w:sz w:val="16"/>
                                </w:rPr>
                                <w:t>la protección brindada en virtud de una serie de instrumentos de igualdad anteriores y específicos.</w:t>
                              </w:r>
                            </w:p>
                            <w:p w14:paraId="203D90FD" w14:textId="77777777" w:rsidR="0014798C" w:rsidRDefault="004E1F0B">
                              <w:pPr>
                                <w:spacing w:line="326" w:lineRule="auto"/>
                                <w:ind w:hanging="1"/>
                                <w:rPr>
                                  <w:sz w:val="16"/>
                                </w:rPr>
                              </w:pPr>
                              <w:r>
                                <w:rPr>
                                  <w:sz w:val="16"/>
                                </w:rPr>
                                <w:t xml:space="preserve">El deber requiere pensar en torno a la igualdad para que se integre en la toma de decisiones públicas, exigiendo a las </w:t>
                              </w:r>
                              <w:r>
                                <w:rPr>
                                  <w:sz w:val="16"/>
                                </w:rPr>
                                <w:t>autoridades</w:t>
                              </w:r>
                              <w:r>
                                <w:rPr>
                                  <w:spacing w:val="-5"/>
                                  <w:sz w:val="16"/>
                                </w:rPr>
                                <w:t xml:space="preserve"> </w:t>
                              </w:r>
                              <w:r>
                                <w:rPr>
                                  <w:sz w:val="16"/>
                                </w:rPr>
                                <w:t>públicas</w:t>
                              </w:r>
                              <w:r>
                                <w:rPr>
                                  <w:spacing w:val="-5"/>
                                  <w:sz w:val="16"/>
                                </w:rPr>
                                <w:t xml:space="preserve"> </w:t>
                              </w:r>
                              <w:r>
                                <w:rPr>
                                  <w:sz w:val="16"/>
                                </w:rPr>
                                <w:t>que</w:t>
                              </w:r>
                              <w:r>
                                <w:rPr>
                                  <w:spacing w:val="-5"/>
                                  <w:sz w:val="16"/>
                                </w:rPr>
                                <w:t xml:space="preserve"> </w:t>
                              </w:r>
                              <w:r>
                                <w:rPr>
                                  <w:sz w:val="16"/>
                                </w:rPr>
                                <w:t>tengan</w:t>
                              </w:r>
                              <w:r>
                                <w:rPr>
                                  <w:spacing w:val="-5"/>
                                  <w:sz w:val="16"/>
                                </w:rPr>
                                <w:t xml:space="preserve"> </w:t>
                              </w:r>
                              <w:r>
                                <w:rPr>
                                  <w:sz w:val="16"/>
                                </w:rPr>
                                <w:t>“debida</w:t>
                              </w:r>
                              <w:r>
                                <w:rPr>
                                  <w:spacing w:val="-5"/>
                                  <w:sz w:val="16"/>
                                </w:rPr>
                                <w:t xml:space="preserve"> </w:t>
                              </w:r>
                              <w:r>
                                <w:rPr>
                                  <w:sz w:val="16"/>
                                </w:rPr>
                                <w:t>consideración”</w:t>
                              </w:r>
                              <w:r>
                                <w:rPr>
                                  <w:spacing w:val="-5"/>
                                  <w:sz w:val="16"/>
                                </w:rPr>
                                <w:t xml:space="preserve"> </w:t>
                              </w:r>
                              <w:r>
                                <w:rPr>
                                  <w:sz w:val="16"/>
                                </w:rPr>
                                <w:t>la</w:t>
                              </w:r>
                              <w:r>
                                <w:rPr>
                                  <w:spacing w:val="-5"/>
                                  <w:sz w:val="16"/>
                                </w:rPr>
                                <w:t xml:space="preserve"> </w:t>
                              </w:r>
                              <w:r>
                                <w:rPr>
                                  <w:sz w:val="16"/>
                                </w:rPr>
                                <w:t>necesidad</w:t>
                              </w:r>
                              <w:r>
                                <w:rPr>
                                  <w:spacing w:val="-5"/>
                                  <w:sz w:val="16"/>
                                </w:rPr>
                                <w:t xml:space="preserve"> </w:t>
                              </w:r>
                              <w:r>
                                <w:rPr>
                                  <w:sz w:val="16"/>
                                </w:rPr>
                                <w:t>de</w:t>
                              </w:r>
                              <w:r>
                                <w:rPr>
                                  <w:spacing w:val="-5"/>
                                  <w:sz w:val="16"/>
                                </w:rPr>
                                <w:t xml:space="preserve"> </w:t>
                              </w:r>
                              <w:r>
                                <w:rPr>
                                  <w:sz w:val="16"/>
                                </w:rPr>
                                <w:t>eliminar</w:t>
                              </w:r>
                              <w:r>
                                <w:rPr>
                                  <w:spacing w:val="-5"/>
                                  <w:sz w:val="16"/>
                                </w:rPr>
                                <w:t xml:space="preserve"> </w:t>
                              </w:r>
                              <w:r>
                                <w:rPr>
                                  <w:sz w:val="16"/>
                                </w:rPr>
                                <w:t>la</w:t>
                              </w:r>
                              <w:r>
                                <w:rPr>
                                  <w:spacing w:val="-5"/>
                                  <w:sz w:val="16"/>
                                </w:rPr>
                                <w:t xml:space="preserve"> </w:t>
                              </w:r>
                              <w:r>
                                <w:rPr>
                                  <w:sz w:val="16"/>
                                </w:rPr>
                                <w:t>discriminación,</w:t>
                              </w:r>
                              <w:r>
                                <w:rPr>
                                  <w:spacing w:val="-3"/>
                                  <w:sz w:val="16"/>
                                </w:rPr>
                                <w:t xml:space="preserve"> </w:t>
                              </w:r>
                              <w:r>
                                <w:rPr>
                                  <w:sz w:val="16"/>
                                </w:rPr>
                                <w:t>promover</w:t>
                              </w:r>
                              <w:r>
                                <w:rPr>
                                  <w:spacing w:val="-5"/>
                                  <w:sz w:val="16"/>
                                </w:rPr>
                                <w:t xml:space="preserve"> </w:t>
                              </w:r>
                              <w:r>
                                <w:rPr>
                                  <w:sz w:val="16"/>
                                </w:rPr>
                                <w:t>la</w:t>
                              </w:r>
                              <w:r>
                                <w:rPr>
                                  <w:spacing w:val="-5"/>
                                  <w:sz w:val="16"/>
                                </w:rPr>
                                <w:t xml:space="preserve"> </w:t>
                              </w:r>
                              <w:r>
                                <w:rPr>
                                  <w:sz w:val="16"/>
                                </w:rPr>
                                <w:t>igualdad</w:t>
                              </w:r>
                              <w:r>
                                <w:rPr>
                                  <w:spacing w:val="-5"/>
                                  <w:sz w:val="16"/>
                                </w:rPr>
                                <w:t xml:space="preserve"> </w:t>
                              </w:r>
                              <w:r>
                                <w:rPr>
                                  <w:sz w:val="16"/>
                                </w:rPr>
                                <w:t>de oportunidades y fomentar buenas relaciones entre los grupos discriminados y otros en la sociedad.</w:t>
                              </w:r>
                            </w:p>
                            <w:p w14:paraId="74EFF6C0" w14:textId="77777777" w:rsidR="0014798C" w:rsidRDefault="004E1F0B">
                              <w:pPr>
                                <w:spacing w:before="111"/>
                                <w:ind w:left="5"/>
                                <w:rPr>
                                  <w:sz w:val="16"/>
                                </w:rPr>
                              </w:pPr>
                              <w:r>
                                <w:rPr>
                                  <w:sz w:val="16"/>
                                </w:rPr>
                                <w:t>En</w:t>
                              </w:r>
                              <w:r>
                                <w:rPr>
                                  <w:spacing w:val="-7"/>
                                  <w:sz w:val="16"/>
                                </w:rPr>
                                <w:t xml:space="preserve"> </w:t>
                              </w:r>
                              <w:r>
                                <w:rPr>
                                  <w:sz w:val="16"/>
                                </w:rPr>
                                <w:t>concreto,</w:t>
                              </w:r>
                              <w:r>
                                <w:rPr>
                                  <w:spacing w:val="-5"/>
                                  <w:sz w:val="16"/>
                                </w:rPr>
                                <w:t xml:space="preserve"> </w:t>
                              </w:r>
                              <w:r>
                                <w:rPr>
                                  <w:sz w:val="16"/>
                                </w:rPr>
                                <w:t>el</w:t>
                              </w:r>
                              <w:r>
                                <w:rPr>
                                  <w:spacing w:val="-6"/>
                                  <w:sz w:val="16"/>
                                </w:rPr>
                                <w:t xml:space="preserve"> </w:t>
                              </w:r>
                              <w:r>
                                <w:rPr>
                                  <w:sz w:val="16"/>
                                </w:rPr>
                                <w:t>artículo</w:t>
                              </w:r>
                              <w:r>
                                <w:rPr>
                                  <w:spacing w:val="-6"/>
                                  <w:sz w:val="16"/>
                                </w:rPr>
                                <w:t xml:space="preserve"> </w:t>
                              </w:r>
                              <w:r>
                                <w:rPr>
                                  <w:sz w:val="16"/>
                                </w:rPr>
                                <w:t>149</w:t>
                              </w:r>
                              <w:r>
                                <w:rPr>
                                  <w:spacing w:val="-6"/>
                                  <w:sz w:val="16"/>
                                </w:rPr>
                                <w:t xml:space="preserve"> </w:t>
                              </w:r>
                              <w:r>
                                <w:rPr>
                                  <w:sz w:val="16"/>
                                </w:rPr>
                                <w:t>(1)</w:t>
                              </w:r>
                              <w:r>
                                <w:rPr>
                                  <w:spacing w:val="-6"/>
                                  <w:sz w:val="16"/>
                                </w:rPr>
                                <w:t xml:space="preserve"> </w:t>
                              </w:r>
                              <w:r>
                                <w:rPr>
                                  <w:sz w:val="16"/>
                                </w:rPr>
                                <w:t>de</w:t>
                              </w:r>
                              <w:r>
                                <w:rPr>
                                  <w:spacing w:val="-6"/>
                                  <w:sz w:val="16"/>
                                </w:rPr>
                                <w:t xml:space="preserve"> </w:t>
                              </w:r>
                              <w:r>
                                <w:rPr>
                                  <w:sz w:val="16"/>
                                </w:rPr>
                                <w:t>la</w:t>
                              </w:r>
                              <w:r>
                                <w:rPr>
                                  <w:spacing w:val="-7"/>
                                  <w:sz w:val="16"/>
                                </w:rPr>
                                <w:t xml:space="preserve"> </w:t>
                              </w:r>
                              <w:r>
                                <w:rPr>
                                  <w:sz w:val="16"/>
                                </w:rPr>
                                <w:t>Ley</w:t>
                              </w:r>
                              <w:r>
                                <w:rPr>
                                  <w:spacing w:val="-6"/>
                                  <w:sz w:val="16"/>
                                </w:rPr>
                                <w:t xml:space="preserve"> </w:t>
                              </w:r>
                              <w:r>
                                <w:rPr>
                                  <w:spacing w:val="-2"/>
                                  <w:sz w:val="16"/>
                                </w:rPr>
                                <w:t>dispone:</w:t>
                              </w:r>
                            </w:p>
                            <w:p w14:paraId="34DA1079" w14:textId="77777777" w:rsidR="0014798C" w:rsidRDefault="004E1F0B">
                              <w:pPr>
                                <w:numPr>
                                  <w:ilvl w:val="0"/>
                                  <w:numId w:val="28"/>
                                </w:numPr>
                                <w:tabs>
                                  <w:tab w:val="left" w:pos="476"/>
                                </w:tabs>
                                <w:spacing w:before="179"/>
                                <w:ind w:left="476" w:hanging="238"/>
                                <w:rPr>
                                  <w:sz w:val="16"/>
                                </w:rPr>
                              </w:pPr>
                              <w:r>
                                <w:rPr>
                                  <w:sz w:val="16"/>
                                </w:rPr>
                                <w:t>Una</w:t>
                              </w:r>
                              <w:r>
                                <w:rPr>
                                  <w:spacing w:val="-10"/>
                                  <w:sz w:val="16"/>
                                </w:rPr>
                                <w:t xml:space="preserve"> </w:t>
                              </w:r>
                              <w:r>
                                <w:rPr>
                                  <w:sz w:val="16"/>
                                </w:rPr>
                                <w:t>autoridad</w:t>
                              </w:r>
                              <w:r>
                                <w:rPr>
                                  <w:spacing w:val="-9"/>
                                  <w:sz w:val="16"/>
                                </w:rPr>
                                <w:t xml:space="preserve"> </w:t>
                              </w:r>
                              <w:r>
                                <w:rPr>
                                  <w:sz w:val="16"/>
                                </w:rPr>
                                <w:t>pública</w:t>
                              </w:r>
                              <w:r>
                                <w:rPr>
                                  <w:spacing w:val="-9"/>
                                  <w:sz w:val="16"/>
                                </w:rPr>
                                <w:t xml:space="preserve"> </w:t>
                              </w:r>
                              <w:r>
                                <w:rPr>
                                  <w:sz w:val="16"/>
                                </w:rPr>
                                <w:t>debe,</w:t>
                              </w:r>
                              <w:r>
                                <w:rPr>
                                  <w:spacing w:val="-9"/>
                                  <w:sz w:val="16"/>
                                </w:rPr>
                                <w:t xml:space="preserve"> </w:t>
                              </w:r>
                              <w:r>
                                <w:rPr>
                                  <w:sz w:val="16"/>
                                </w:rPr>
                                <w:t>en</w:t>
                              </w:r>
                              <w:r>
                                <w:rPr>
                                  <w:spacing w:val="-9"/>
                                  <w:sz w:val="16"/>
                                </w:rPr>
                                <w:t xml:space="preserve"> </w:t>
                              </w:r>
                              <w:r>
                                <w:rPr>
                                  <w:sz w:val="16"/>
                                </w:rPr>
                                <w:t>el</w:t>
                              </w:r>
                              <w:r>
                                <w:rPr>
                                  <w:spacing w:val="-9"/>
                                  <w:sz w:val="16"/>
                                </w:rPr>
                                <w:t xml:space="preserve"> </w:t>
                              </w:r>
                              <w:r>
                                <w:rPr>
                                  <w:sz w:val="16"/>
                                </w:rPr>
                                <w:t>ejercicio</w:t>
                              </w:r>
                              <w:r>
                                <w:rPr>
                                  <w:spacing w:val="-9"/>
                                  <w:sz w:val="16"/>
                                </w:rPr>
                                <w:t xml:space="preserve"> </w:t>
                              </w:r>
                              <w:r>
                                <w:rPr>
                                  <w:sz w:val="16"/>
                                </w:rPr>
                                <w:t>de</w:t>
                              </w:r>
                              <w:r>
                                <w:rPr>
                                  <w:spacing w:val="-10"/>
                                  <w:sz w:val="16"/>
                                </w:rPr>
                                <w:t xml:space="preserve"> </w:t>
                              </w:r>
                              <w:r>
                                <w:rPr>
                                  <w:sz w:val="16"/>
                                </w:rPr>
                                <w:t>sus</w:t>
                              </w:r>
                              <w:r>
                                <w:rPr>
                                  <w:spacing w:val="-9"/>
                                  <w:sz w:val="16"/>
                                </w:rPr>
                                <w:t xml:space="preserve"> </w:t>
                              </w:r>
                              <w:r>
                                <w:rPr>
                                  <w:sz w:val="16"/>
                                </w:rPr>
                                <w:t>funciones,</w:t>
                              </w:r>
                              <w:r>
                                <w:rPr>
                                  <w:spacing w:val="-8"/>
                                  <w:sz w:val="16"/>
                                </w:rPr>
                                <w:t xml:space="preserve"> </w:t>
                              </w:r>
                              <w:r>
                                <w:rPr>
                                  <w:sz w:val="16"/>
                                </w:rPr>
                                <w:t>tener</w:t>
                              </w:r>
                              <w:r>
                                <w:rPr>
                                  <w:spacing w:val="-9"/>
                                  <w:sz w:val="16"/>
                                </w:rPr>
                                <w:t xml:space="preserve"> </w:t>
                              </w:r>
                              <w:r>
                                <w:rPr>
                                  <w:sz w:val="16"/>
                                </w:rPr>
                                <w:t>debidamente</w:t>
                              </w:r>
                              <w:r>
                                <w:rPr>
                                  <w:spacing w:val="-10"/>
                                  <w:sz w:val="16"/>
                                </w:rPr>
                                <w:t xml:space="preserve"> </w:t>
                              </w:r>
                              <w:r>
                                <w:rPr>
                                  <w:sz w:val="16"/>
                                </w:rPr>
                                <w:t>en</w:t>
                              </w:r>
                              <w:r>
                                <w:rPr>
                                  <w:spacing w:val="-9"/>
                                  <w:sz w:val="16"/>
                                </w:rPr>
                                <w:t xml:space="preserve"> </w:t>
                              </w:r>
                              <w:r>
                                <w:rPr>
                                  <w:sz w:val="16"/>
                                </w:rPr>
                                <w:t>cuenta</w:t>
                              </w:r>
                              <w:r>
                                <w:rPr>
                                  <w:spacing w:val="-9"/>
                                  <w:sz w:val="16"/>
                                </w:rPr>
                                <w:t xml:space="preserve"> </w:t>
                              </w:r>
                              <w:r>
                                <w:rPr>
                                  <w:sz w:val="16"/>
                                </w:rPr>
                                <w:t>la</w:t>
                              </w:r>
                              <w:r>
                                <w:rPr>
                                  <w:spacing w:val="-9"/>
                                  <w:sz w:val="16"/>
                                </w:rPr>
                                <w:t xml:space="preserve"> </w:t>
                              </w:r>
                              <w:r>
                                <w:rPr>
                                  <w:sz w:val="16"/>
                                </w:rPr>
                                <w:t>necesidad</w:t>
                              </w:r>
                              <w:r>
                                <w:rPr>
                                  <w:spacing w:val="-10"/>
                                  <w:sz w:val="16"/>
                                </w:rPr>
                                <w:t xml:space="preserve"> </w:t>
                              </w:r>
                              <w:r>
                                <w:rPr>
                                  <w:spacing w:val="-5"/>
                                  <w:sz w:val="16"/>
                                </w:rPr>
                                <w:t>de:</w:t>
                              </w:r>
                            </w:p>
                            <w:p w14:paraId="2CB6BB03" w14:textId="77777777" w:rsidR="0014798C" w:rsidRDefault="004E1F0B">
                              <w:pPr>
                                <w:numPr>
                                  <w:ilvl w:val="1"/>
                                  <w:numId w:val="28"/>
                                </w:numPr>
                                <w:tabs>
                                  <w:tab w:val="left" w:pos="787"/>
                                </w:tabs>
                                <w:spacing w:before="179"/>
                                <w:ind w:left="787" w:hanging="238"/>
                                <w:rPr>
                                  <w:sz w:val="16"/>
                                </w:rPr>
                              </w:pPr>
                              <w:r>
                                <w:rPr>
                                  <w:sz w:val="16"/>
                                </w:rPr>
                                <w:t>eliminar</w:t>
                              </w:r>
                              <w:r>
                                <w:rPr>
                                  <w:spacing w:val="-9"/>
                                  <w:sz w:val="16"/>
                                </w:rPr>
                                <w:t xml:space="preserve"> </w:t>
                              </w:r>
                              <w:r>
                                <w:rPr>
                                  <w:sz w:val="16"/>
                                </w:rPr>
                                <w:t>la</w:t>
                              </w:r>
                              <w:r>
                                <w:rPr>
                                  <w:spacing w:val="-9"/>
                                  <w:sz w:val="16"/>
                                </w:rPr>
                                <w:t xml:space="preserve"> </w:t>
                              </w:r>
                              <w:r>
                                <w:rPr>
                                  <w:sz w:val="16"/>
                                </w:rPr>
                                <w:t>discriminación,</w:t>
                              </w:r>
                              <w:r>
                                <w:rPr>
                                  <w:spacing w:val="-7"/>
                                  <w:sz w:val="16"/>
                                </w:rPr>
                                <w:t xml:space="preserve"> </w:t>
                              </w:r>
                              <w:r>
                                <w:rPr>
                                  <w:sz w:val="16"/>
                                </w:rPr>
                                <w:t>el</w:t>
                              </w:r>
                              <w:r>
                                <w:rPr>
                                  <w:spacing w:val="-9"/>
                                  <w:sz w:val="16"/>
                                </w:rPr>
                                <w:t xml:space="preserve"> </w:t>
                              </w:r>
                              <w:r>
                                <w:rPr>
                                  <w:sz w:val="16"/>
                                </w:rPr>
                                <w:t>acoso,</w:t>
                              </w:r>
                              <w:r>
                                <w:rPr>
                                  <w:spacing w:val="-8"/>
                                  <w:sz w:val="16"/>
                                </w:rPr>
                                <w:t xml:space="preserve"> </w:t>
                              </w:r>
                              <w:r>
                                <w:rPr>
                                  <w:sz w:val="16"/>
                                </w:rPr>
                                <w:t>la</w:t>
                              </w:r>
                              <w:r>
                                <w:rPr>
                                  <w:spacing w:val="-8"/>
                                  <w:sz w:val="16"/>
                                </w:rPr>
                                <w:t xml:space="preserve"> </w:t>
                              </w:r>
                              <w:r>
                                <w:rPr>
                                  <w:sz w:val="16"/>
                                </w:rPr>
                                <w:t>victimización</w:t>
                              </w:r>
                              <w:r>
                                <w:rPr>
                                  <w:spacing w:val="-9"/>
                                  <w:sz w:val="16"/>
                                </w:rPr>
                                <w:t xml:space="preserve"> </w:t>
                              </w:r>
                              <w:r>
                                <w:rPr>
                                  <w:sz w:val="16"/>
                                </w:rPr>
                                <w:t>y</w:t>
                              </w:r>
                              <w:r>
                                <w:rPr>
                                  <w:spacing w:val="-9"/>
                                  <w:sz w:val="16"/>
                                </w:rPr>
                                <w:t xml:space="preserve"> </w:t>
                              </w:r>
                              <w:r>
                                <w:rPr>
                                  <w:sz w:val="16"/>
                                </w:rPr>
                                <w:t>cualquier</w:t>
                              </w:r>
                              <w:r>
                                <w:rPr>
                                  <w:spacing w:val="-9"/>
                                  <w:sz w:val="16"/>
                                </w:rPr>
                                <w:t xml:space="preserve"> </w:t>
                              </w:r>
                              <w:r>
                                <w:rPr>
                                  <w:sz w:val="16"/>
                                </w:rPr>
                                <w:t>otra</w:t>
                              </w:r>
                              <w:r>
                                <w:rPr>
                                  <w:spacing w:val="-8"/>
                                  <w:sz w:val="16"/>
                                </w:rPr>
                                <w:t xml:space="preserve"> </w:t>
                              </w:r>
                              <w:r>
                                <w:rPr>
                                  <w:sz w:val="16"/>
                                </w:rPr>
                                <w:t>conducta</w:t>
                              </w:r>
                              <w:r>
                                <w:rPr>
                                  <w:spacing w:val="-9"/>
                                  <w:sz w:val="16"/>
                                </w:rPr>
                                <w:t xml:space="preserve"> </w:t>
                              </w:r>
                              <w:r>
                                <w:rPr>
                                  <w:sz w:val="16"/>
                                </w:rPr>
                                <w:t>prohibida</w:t>
                              </w:r>
                              <w:r>
                                <w:rPr>
                                  <w:spacing w:val="-9"/>
                                  <w:sz w:val="16"/>
                                </w:rPr>
                                <w:t xml:space="preserve"> </w:t>
                              </w:r>
                              <w:r>
                                <w:rPr>
                                  <w:sz w:val="16"/>
                                </w:rPr>
                                <w:t>por</w:t>
                              </w:r>
                              <w:r>
                                <w:rPr>
                                  <w:spacing w:val="-8"/>
                                  <w:sz w:val="16"/>
                                </w:rPr>
                                <w:t xml:space="preserve"> </w:t>
                              </w:r>
                              <w:r>
                                <w:rPr>
                                  <w:sz w:val="16"/>
                                </w:rPr>
                                <w:t>o</w:t>
                              </w:r>
                              <w:r>
                                <w:rPr>
                                  <w:spacing w:val="-9"/>
                                  <w:sz w:val="16"/>
                                </w:rPr>
                                <w:t xml:space="preserve"> </w:t>
                              </w:r>
                              <w:r>
                                <w:rPr>
                                  <w:sz w:val="16"/>
                                </w:rPr>
                                <w:t>bajo</w:t>
                              </w:r>
                              <w:r>
                                <w:rPr>
                                  <w:spacing w:val="-9"/>
                                  <w:sz w:val="16"/>
                                </w:rPr>
                                <w:t xml:space="preserve"> </w:t>
                              </w:r>
                              <w:r>
                                <w:rPr>
                                  <w:sz w:val="16"/>
                                </w:rPr>
                                <w:t>esta</w:t>
                              </w:r>
                              <w:r>
                                <w:rPr>
                                  <w:spacing w:val="-9"/>
                                  <w:sz w:val="16"/>
                                </w:rPr>
                                <w:t xml:space="preserve"> </w:t>
                              </w:r>
                              <w:r>
                                <w:rPr>
                                  <w:spacing w:val="-4"/>
                                  <w:sz w:val="16"/>
                                </w:rPr>
                                <w:t>Ley;</w:t>
                              </w:r>
                            </w:p>
                          </w:txbxContent>
                        </wps:txbx>
                        <wps:bodyPr wrap="square" lIns="0" tIns="0" rIns="0" bIns="0" rtlCol="0">
                          <a:noAutofit/>
                        </wps:bodyPr>
                      </wps:wsp>
                      <wps:wsp>
                        <wps:cNvPr id="252" name="Textbox 252"/>
                        <wps:cNvSpPr txBox="1"/>
                        <wps:spPr>
                          <a:xfrm>
                            <a:off x="513651" y="2304343"/>
                            <a:ext cx="5144770" cy="283845"/>
                          </a:xfrm>
                          <a:prstGeom prst="rect">
                            <a:avLst/>
                          </a:prstGeom>
                        </wps:spPr>
                        <wps:txbx>
                          <w:txbxContent>
                            <w:p w14:paraId="71678489" w14:textId="77777777" w:rsidR="0014798C" w:rsidRDefault="004E1F0B">
                              <w:pPr>
                                <w:spacing w:line="181" w:lineRule="exact"/>
                                <w:rPr>
                                  <w:sz w:val="16"/>
                                </w:rPr>
                              </w:pPr>
                              <w:r>
                                <w:rPr>
                                  <w:sz w:val="16"/>
                                </w:rPr>
                                <w:t>(b)</w:t>
                              </w:r>
                              <w:r>
                                <w:rPr>
                                  <w:spacing w:val="1"/>
                                  <w:sz w:val="16"/>
                                </w:rPr>
                                <w:t xml:space="preserve"> </w:t>
                              </w:r>
                              <w:r>
                                <w:rPr>
                                  <w:sz w:val="16"/>
                                </w:rPr>
                                <w:t>promover</w:t>
                              </w:r>
                              <w:r>
                                <w:rPr>
                                  <w:spacing w:val="2"/>
                                  <w:sz w:val="16"/>
                                </w:rPr>
                                <w:t xml:space="preserve"> </w:t>
                              </w:r>
                              <w:r>
                                <w:rPr>
                                  <w:sz w:val="16"/>
                                </w:rPr>
                                <w:t>la</w:t>
                              </w:r>
                              <w:r>
                                <w:rPr>
                                  <w:spacing w:val="1"/>
                                  <w:sz w:val="16"/>
                                </w:rPr>
                                <w:t xml:space="preserve"> </w:t>
                              </w:r>
                              <w:r>
                                <w:rPr>
                                  <w:sz w:val="16"/>
                                </w:rPr>
                                <w:t>igualdad</w:t>
                              </w:r>
                              <w:r>
                                <w:rPr>
                                  <w:spacing w:val="2"/>
                                  <w:sz w:val="16"/>
                                </w:rPr>
                                <w:t xml:space="preserve"> </w:t>
                              </w:r>
                              <w:r>
                                <w:rPr>
                                  <w:sz w:val="16"/>
                                </w:rPr>
                                <w:t>de</w:t>
                              </w:r>
                              <w:r>
                                <w:rPr>
                                  <w:spacing w:val="2"/>
                                  <w:sz w:val="16"/>
                                </w:rPr>
                                <w:t xml:space="preserve"> </w:t>
                              </w:r>
                              <w:r>
                                <w:rPr>
                                  <w:sz w:val="16"/>
                                </w:rPr>
                                <w:t>oportunidades</w:t>
                              </w:r>
                              <w:r>
                                <w:rPr>
                                  <w:spacing w:val="1"/>
                                  <w:sz w:val="16"/>
                                </w:rPr>
                                <w:t xml:space="preserve"> </w:t>
                              </w:r>
                              <w:r>
                                <w:rPr>
                                  <w:sz w:val="16"/>
                                </w:rPr>
                                <w:t>entre</w:t>
                              </w:r>
                              <w:r>
                                <w:rPr>
                                  <w:spacing w:val="2"/>
                                  <w:sz w:val="16"/>
                                </w:rPr>
                                <w:t xml:space="preserve"> </w:t>
                              </w:r>
                              <w:r>
                                <w:rPr>
                                  <w:sz w:val="16"/>
                                </w:rPr>
                                <w:t>personas</w:t>
                              </w:r>
                              <w:r>
                                <w:rPr>
                                  <w:spacing w:val="2"/>
                                  <w:sz w:val="16"/>
                                </w:rPr>
                                <w:t xml:space="preserve"> </w:t>
                              </w:r>
                              <w:r>
                                <w:rPr>
                                  <w:sz w:val="16"/>
                                </w:rPr>
                                <w:t>que</w:t>
                              </w:r>
                              <w:r>
                                <w:rPr>
                                  <w:spacing w:val="1"/>
                                  <w:sz w:val="16"/>
                                </w:rPr>
                                <w:t xml:space="preserve"> </w:t>
                              </w:r>
                              <w:r>
                                <w:rPr>
                                  <w:sz w:val="16"/>
                                </w:rPr>
                                <w:t>comparten</w:t>
                              </w:r>
                              <w:r>
                                <w:rPr>
                                  <w:spacing w:val="2"/>
                                  <w:sz w:val="16"/>
                                </w:rPr>
                                <w:t xml:space="preserve"> </w:t>
                              </w:r>
                              <w:r>
                                <w:rPr>
                                  <w:sz w:val="16"/>
                                </w:rPr>
                                <w:t>una</w:t>
                              </w:r>
                              <w:r>
                                <w:rPr>
                                  <w:spacing w:val="1"/>
                                  <w:sz w:val="16"/>
                                </w:rPr>
                                <w:t xml:space="preserve"> </w:t>
                              </w:r>
                              <w:r>
                                <w:rPr>
                                  <w:sz w:val="16"/>
                                </w:rPr>
                                <w:t>característica</w:t>
                              </w:r>
                              <w:r>
                                <w:rPr>
                                  <w:spacing w:val="2"/>
                                  <w:sz w:val="16"/>
                                </w:rPr>
                                <w:t xml:space="preserve"> </w:t>
                              </w:r>
                              <w:r>
                                <w:rPr>
                                  <w:sz w:val="16"/>
                                </w:rPr>
                                <w:t>protegida</w:t>
                              </w:r>
                              <w:r>
                                <w:rPr>
                                  <w:spacing w:val="2"/>
                                  <w:sz w:val="16"/>
                                </w:rPr>
                                <w:t xml:space="preserve"> </w:t>
                              </w:r>
                              <w:r>
                                <w:rPr>
                                  <w:spacing w:val="-2"/>
                                  <w:sz w:val="16"/>
                                </w:rPr>
                                <w:t>relevante</w:t>
                              </w:r>
                            </w:p>
                            <w:p w14:paraId="2B54693E" w14:textId="77777777" w:rsidR="0014798C" w:rsidRDefault="004E1F0B">
                              <w:pPr>
                                <w:spacing w:before="81"/>
                                <w:ind w:left="334"/>
                                <w:rPr>
                                  <w:sz w:val="16"/>
                                </w:rPr>
                              </w:pPr>
                              <w:r>
                                <w:rPr>
                                  <w:sz w:val="16"/>
                                </w:rPr>
                                <w:t>y</w:t>
                              </w:r>
                              <w:r>
                                <w:rPr>
                                  <w:spacing w:val="-5"/>
                                  <w:sz w:val="16"/>
                                </w:rPr>
                                <w:t xml:space="preserve"> </w:t>
                              </w:r>
                              <w:r>
                                <w:rPr>
                                  <w:sz w:val="16"/>
                                </w:rPr>
                                <w:t>personas</w:t>
                              </w:r>
                              <w:r>
                                <w:rPr>
                                  <w:spacing w:val="-4"/>
                                  <w:sz w:val="16"/>
                                </w:rPr>
                                <w:t xml:space="preserve"> </w:t>
                              </w:r>
                              <w:r>
                                <w:rPr>
                                  <w:sz w:val="16"/>
                                </w:rPr>
                                <w:t>que</w:t>
                              </w:r>
                              <w:r>
                                <w:rPr>
                                  <w:spacing w:val="-5"/>
                                  <w:sz w:val="16"/>
                                </w:rPr>
                                <w:t xml:space="preserve"> </w:t>
                              </w:r>
                              <w:r>
                                <w:rPr>
                                  <w:sz w:val="16"/>
                                </w:rPr>
                                <w:t>no</w:t>
                              </w:r>
                              <w:r>
                                <w:rPr>
                                  <w:spacing w:val="-4"/>
                                  <w:sz w:val="16"/>
                                </w:rPr>
                                <w:t xml:space="preserve"> </w:t>
                              </w:r>
                              <w:r>
                                <w:rPr>
                                  <w:sz w:val="16"/>
                                </w:rPr>
                                <w:t>lo</w:t>
                              </w:r>
                              <w:r>
                                <w:rPr>
                                  <w:spacing w:val="-5"/>
                                  <w:sz w:val="16"/>
                                </w:rPr>
                                <w:t xml:space="preserve"> </w:t>
                              </w:r>
                              <w:r>
                                <w:rPr>
                                  <w:spacing w:val="-2"/>
                                  <w:sz w:val="16"/>
                                </w:rPr>
                                <w:t>comparten;</w:t>
                              </w:r>
                            </w:p>
                          </w:txbxContent>
                        </wps:txbx>
                        <wps:bodyPr wrap="square" lIns="0" tIns="0" rIns="0" bIns="0" rtlCol="0">
                          <a:noAutofit/>
                        </wps:bodyPr>
                      </wps:wsp>
                    </wpg:wgp>
                  </a:graphicData>
                </a:graphic>
              </wp:anchor>
            </w:drawing>
          </mc:Choice>
          <mc:Fallback>
            <w:pict>
              <v:group w14:anchorId="3F13D0B0" id="Group 249" o:spid="_x0000_s1122" style="position:absolute;margin-left:63.65pt;margin-top:8.75pt;width:468.4pt;height:232.1pt;z-index:-251657939;mso-wrap-distance-left:0;mso-wrap-distance-right:0;mso-position-horizontal-relative:page" coordsize="59486,29476"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">
                <v:shape id="Image 250" o:spid="_x0000_s1123" type="#_x0000_t75" style="position:absolute;width:59481;height:2947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">
                  <v:imagedata r:id="rId225" o:title=""/>
                </v:shape>
                <v:shape id="Textbox 251" o:spid="_x0000_s1124" type="#_x0000_t202" style="position:absolute;left:1645;top:1889;width:55740;height:1851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" filled="f" stroked="f">
                  <v:textbox inset="0,0,0,0">
                    <w:txbxContent>
                      <w:p w14:paraId="57277A8E" w14:textId="77777777" w:rsidR="0014798C" w:rsidRDefault="004E1F0B">
                        <w:pPr>
                          <w:spacing w:line="319" w:lineRule="auto"/>
                          <w:ind w:left="10" w:right="941"/>
                          <w:rPr>
                            <w:sz w:val="16"/>
                          </w:rPr>
                        </w:pPr>
                        <w:r>
                          <w:rPr>
                            <w:sz w:val="16"/>
                          </w:rPr>
                          <w:t>LA</w:t>
                        </w:r>
                        <w:r>
                          <w:rPr>
                            <w:spacing w:val="-6"/>
                            <w:sz w:val="16"/>
                          </w:rPr>
                          <w:t xml:space="preserve"> </w:t>
                        </w:r>
                        <w:r>
                          <w:rPr>
                            <w:sz w:val="16"/>
                          </w:rPr>
                          <w:t>LEGISLACIÓN</w:t>
                        </w:r>
                        <w:r>
                          <w:rPr>
                            <w:spacing w:val="-7"/>
                            <w:sz w:val="16"/>
                          </w:rPr>
                          <w:t xml:space="preserve"> </w:t>
                        </w:r>
                        <w:r>
                          <w:rPr>
                            <w:sz w:val="16"/>
                          </w:rPr>
                          <w:t>EN</w:t>
                        </w:r>
                        <w:r>
                          <w:rPr>
                            <w:spacing w:val="-6"/>
                            <w:sz w:val="16"/>
                          </w:rPr>
                          <w:t xml:space="preserve"> </w:t>
                        </w:r>
                        <w:r>
                          <w:rPr>
                            <w:sz w:val="16"/>
                          </w:rPr>
                          <w:t>LA</w:t>
                        </w:r>
                        <w:r>
                          <w:rPr>
                            <w:spacing w:val="-6"/>
                            <w:sz w:val="16"/>
                          </w:rPr>
                          <w:t xml:space="preserve"> </w:t>
                        </w:r>
                        <w:r>
                          <w:rPr>
                            <w:sz w:val="16"/>
                          </w:rPr>
                          <w:t>PRÁCTICA:</w:t>
                        </w:r>
                        <w:r>
                          <w:rPr>
                            <w:spacing w:val="-6"/>
                            <w:sz w:val="16"/>
                          </w:rPr>
                          <w:t xml:space="preserve"> </w:t>
                        </w:r>
                        <w:r>
                          <w:rPr>
                            <w:sz w:val="16"/>
                          </w:rPr>
                          <w:t>EL</w:t>
                        </w:r>
                        <w:r>
                          <w:rPr>
                            <w:spacing w:val="-6"/>
                            <w:sz w:val="16"/>
                          </w:rPr>
                          <w:t xml:space="preserve"> </w:t>
                        </w:r>
                        <w:r>
                          <w:rPr>
                            <w:sz w:val="16"/>
                          </w:rPr>
                          <w:t>SECTOR</w:t>
                        </w:r>
                        <w:r>
                          <w:rPr>
                            <w:spacing w:val="-6"/>
                            <w:sz w:val="16"/>
                          </w:rPr>
                          <w:t xml:space="preserve"> </w:t>
                        </w:r>
                        <w:r>
                          <w:rPr>
                            <w:sz w:val="16"/>
                          </w:rPr>
                          <w:t>PÚBLICO</w:t>
                        </w:r>
                        <w:r>
                          <w:rPr>
                            <w:spacing w:val="-6"/>
                            <w:sz w:val="16"/>
                          </w:rPr>
                          <w:t xml:space="preserve"> </w:t>
                        </w:r>
                        <w:r>
                          <w:rPr>
                            <w:sz w:val="16"/>
                          </w:rPr>
                          <w:t>IGUALDAD</w:t>
                        </w:r>
                        <w:r>
                          <w:rPr>
                            <w:spacing w:val="-6"/>
                            <w:sz w:val="16"/>
                          </w:rPr>
                          <w:t xml:space="preserve"> </w:t>
                        </w:r>
                        <w:r>
                          <w:rPr>
                            <w:sz w:val="16"/>
                          </w:rPr>
                          <w:t>DEBER</w:t>
                        </w:r>
                        <w:r>
                          <w:rPr>
                            <w:spacing w:val="-6"/>
                            <w:sz w:val="16"/>
                          </w:rPr>
                          <w:t xml:space="preserve"> </w:t>
                        </w:r>
                        <w:r>
                          <w:rPr>
                            <w:sz w:val="16"/>
                          </w:rPr>
                          <w:t>E</w:t>
                        </w:r>
                        <w:r>
                          <w:rPr>
                            <w:spacing w:val="-6"/>
                            <w:sz w:val="16"/>
                          </w:rPr>
                          <w:t xml:space="preserve"> </w:t>
                        </w:r>
                        <w:r>
                          <w:rPr>
                            <w:sz w:val="16"/>
                          </w:rPr>
                          <w:t>IGUALDAD EVALUACIÓN DE IMPACTO EN EL REINO UNIDO</w:t>
                        </w:r>
                      </w:p>
                      <w:p w14:paraId="209571DB" w14:textId="77777777" w:rsidR="0014798C" w:rsidRDefault="004E1F0B">
                        <w:pPr>
                          <w:spacing w:before="154" w:line="326" w:lineRule="auto"/>
                          <w:ind w:left="1" w:hanging="2"/>
                          <w:rPr>
                            <w:sz w:val="16"/>
                          </w:rPr>
                        </w:pPr>
                        <w:r>
                          <w:rPr>
                            <w:sz w:val="16"/>
                          </w:rPr>
                          <w:t>El</w:t>
                        </w:r>
                        <w:r>
                          <w:rPr>
                            <w:spacing w:val="-3"/>
                            <w:sz w:val="16"/>
                          </w:rPr>
                          <w:t xml:space="preserve"> </w:t>
                        </w:r>
                        <w:r>
                          <w:rPr>
                            <w:sz w:val="16"/>
                          </w:rPr>
                          <w:t>deber</w:t>
                        </w:r>
                        <w:r>
                          <w:rPr>
                            <w:spacing w:val="-3"/>
                            <w:sz w:val="16"/>
                          </w:rPr>
                          <w:t xml:space="preserve"> </w:t>
                        </w:r>
                        <w:r>
                          <w:rPr>
                            <w:sz w:val="16"/>
                          </w:rPr>
                          <w:t>de</w:t>
                        </w:r>
                        <w:r>
                          <w:rPr>
                            <w:spacing w:val="-3"/>
                            <w:sz w:val="16"/>
                          </w:rPr>
                          <w:t xml:space="preserve"> </w:t>
                        </w:r>
                        <w:r>
                          <w:rPr>
                            <w:sz w:val="16"/>
                          </w:rPr>
                          <w:t>igualdad</w:t>
                        </w:r>
                        <w:r>
                          <w:rPr>
                            <w:spacing w:val="-3"/>
                            <w:sz w:val="16"/>
                          </w:rPr>
                          <w:t xml:space="preserve"> </w:t>
                        </w:r>
                        <w:r>
                          <w:rPr>
                            <w:sz w:val="16"/>
                          </w:rPr>
                          <w:t>del</w:t>
                        </w:r>
                        <w:r>
                          <w:rPr>
                            <w:spacing w:val="-3"/>
                            <w:sz w:val="16"/>
                          </w:rPr>
                          <w:t xml:space="preserve"> </w:t>
                        </w:r>
                        <w:r>
                          <w:rPr>
                            <w:sz w:val="16"/>
                          </w:rPr>
                          <w:t>sector</w:t>
                        </w:r>
                        <w:r>
                          <w:rPr>
                            <w:spacing w:val="-3"/>
                            <w:sz w:val="16"/>
                          </w:rPr>
                          <w:t xml:space="preserve"> </w:t>
                        </w:r>
                        <w:r>
                          <w:rPr>
                            <w:sz w:val="16"/>
                          </w:rPr>
                          <w:t>público</w:t>
                        </w:r>
                        <w:r>
                          <w:rPr>
                            <w:spacing w:val="-3"/>
                            <w:sz w:val="16"/>
                          </w:rPr>
                          <w:t xml:space="preserve"> </w:t>
                        </w:r>
                        <w:r>
                          <w:rPr>
                            <w:sz w:val="16"/>
                          </w:rPr>
                          <w:t>se</w:t>
                        </w:r>
                        <w:r>
                          <w:rPr>
                            <w:spacing w:val="-3"/>
                            <w:sz w:val="16"/>
                          </w:rPr>
                          <w:t xml:space="preserve"> </w:t>
                        </w:r>
                        <w:r>
                          <w:rPr>
                            <w:sz w:val="16"/>
                          </w:rPr>
                          <w:t>introdujo</w:t>
                        </w:r>
                        <w:r>
                          <w:rPr>
                            <w:spacing w:val="-3"/>
                            <w:sz w:val="16"/>
                          </w:rPr>
                          <w:t xml:space="preserve"> </w:t>
                        </w:r>
                        <w:r>
                          <w:rPr>
                            <w:sz w:val="16"/>
                          </w:rPr>
                          <w:t>en</w:t>
                        </w:r>
                        <w:r>
                          <w:rPr>
                            <w:spacing w:val="-3"/>
                            <w:sz w:val="16"/>
                          </w:rPr>
                          <w:t xml:space="preserve"> </w:t>
                        </w:r>
                        <w:r>
                          <w:rPr>
                            <w:sz w:val="16"/>
                          </w:rPr>
                          <w:t>la</w:t>
                        </w:r>
                        <w:r>
                          <w:rPr>
                            <w:spacing w:val="-3"/>
                            <w:sz w:val="16"/>
                          </w:rPr>
                          <w:t xml:space="preserve"> </w:t>
                        </w:r>
                        <w:r>
                          <w:rPr>
                            <w:sz w:val="16"/>
                          </w:rPr>
                          <w:t>Ley</w:t>
                        </w:r>
                        <w:r>
                          <w:rPr>
                            <w:spacing w:val="-3"/>
                            <w:sz w:val="16"/>
                          </w:rPr>
                          <w:t xml:space="preserve"> </w:t>
                        </w:r>
                        <w:r>
                          <w:rPr>
                            <w:sz w:val="16"/>
                          </w:rPr>
                          <w:t>de</w:t>
                        </w:r>
                        <w:r>
                          <w:rPr>
                            <w:spacing w:val="-3"/>
                            <w:sz w:val="16"/>
                          </w:rPr>
                          <w:t xml:space="preserve"> </w:t>
                        </w:r>
                        <w:r>
                          <w:rPr>
                            <w:sz w:val="16"/>
                          </w:rPr>
                          <w:t>Igualdad</w:t>
                        </w:r>
                        <w:r>
                          <w:rPr>
                            <w:spacing w:val="-3"/>
                            <w:sz w:val="16"/>
                          </w:rPr>
                          <w:t xml:space="preserve"> </w:t>
                        </w:r>
                        <w:r>
                          <w:rPr>
                            <w:sz w:val="16"/>
                          </w:rPr>
                          <w:t>de</w:t>
                        </w:r>
                        <w:r>
                          <w:rPr>
                            <w:spacing w:val="-3"/>
                            <w:sz w:val="16"/>
                          </w:rPr>
                          <w:t xml:space="preserve"> </w:t>
                        </w:r>
                        <w:r>
                          <w:rPr>
                            <w:sz w:val="16"/>
                          </w:rPr>
                          <w:t>2010,</w:t>
                        </w:r>
                        <w:r>
                          <w:rPr>
                            <w:spacing w:val="-2"/>
                            <w:sz w:val="16"/>
                          </w:rPr>
                          <w:t xml:space="preserve"> </w:t>
                        </w:r>
                        <w:r>
                          <w:rPr>
                            <w:sz w:val="16"/>
                          </w:rPr>
                          <w:t>que</w:t>
                        </w:r>
                        <w:r>
                          <w:rPr>
                            <w:spacing w:val="-3"/>
                            <w:sz w:val="16"/>
                          </w:rPr>
                          <w:t xml:space="preserve"> </w:t>
                        </w:r>
                        <w:r>
                          <w:rPr>
                            <w:sz w:val="16"/>
                          </w:rPr>
                          <w:t>reunió,</w:t>
                        </w:r>
                        <w:r>
                          <w:rPr>
                            <w:spacing w:val="-2"/>
                            <w:sz w:val="16"/>
                          </w:rPr>
                          <w:t xml:space="preserve"> </w:t>
                        </w:r>
                        <w:r>
                          <w:rPr>
                            <w:sz w:val="16"/>
                          </w:rPr>
                          <w:t>armonizó</w:t>
                        </w:r>
                        <w:r>
                          <w:rPr>
                            <w:spacing w:val="-3"/>
                            <w:sz w:val="16"/>
                          </w:rPr>
                          <w:t xml:space="preserve"> </w:t>
                        </w:r>
                        <w:r>
                          <w:rPr>
                            <w:sz w:val="16"/>
                          </w:rPr>
                          <w:t>y</w:t>
                        </w:r>
                        <w:r>
                          <w:rPr>
                            <w:spacing w:val="-3"/>
                            <w:sz w:val="16"/>
                          </w:rPr>
                          <w:t xml:space="preserve"> </w:t>
                        </w:r>
                        <w:r>
                          <w:rPr>
                            <w:sz w:val="16"/>
                          </w:rPr>
                          <w:t>amplió</w:t>
                        </w:r>
                        <w:r>
                          <w:rPr>
                            <w:spacing w:val="-3"/>
                            <w:sz w:val="16"/>
                          </w:rPr>
                          <w:t xml:space="preserve"> </w:t>
                        </w:r>
                        <w:r>
                          <w:rPr>
                            <w:sz w:val="16"/>
                          </w:rPr>
                          <w:t>la protección brindada en virtud de una serie de instrumentos de igualdad anteriores y específicos.</w:t>
                        </w:r>
                      </w:p>
                      <w:p w14:paraId="203D90FD" w14:textId="77777777" w:rsidR="0014798C" w:rsidRDefault="004E1F0B">
                        <w:pPr>
                          <w:spacing w:line="326" w:lineRule="auto"/>
                          <w:ind w:hanging="1"/>
                          <w:rPr>
                            <w:sz w:val="16"/>
                          </w:rPr>
                        </w:pPr>
                        <w:r>
                          <w:rPr>
                            <w:sz w:val="16"/>
                          </w:rPr>
                          <w:t xml:space="preserve">El deber requiere pensar en torno a la igualdad para que se integre en la toma de decisiones públicas, exigiendo a las </w:t>
                        </w:r>
                        <w:proofErr w:type="gramStart"/>
                        <w:r>
                          <w:rPr>
                            <w:sz w:val="16"/>
                          </w:rPr>
                          <w:t>autoridades</w:t>
                        </w:r>
                        <w:r>
                          <w:rPr>
                            <w:spacing w:val="-5"/>
                            <w:sz w:val="16"/>
                          </w:rPr>
                          <w:t xml:space="preserve"> </w:t>
                        </w:r>
                        <w:r>
                          <w:rPr>
                            <w:sz w:val="16"/>
                          </w:rPr>
                          <w:t>públicas</w:t>
                        </w:r>
                        <w:proofErr w:type="gramEnd"/>
                        <w:r>
                          <w:rPr>
                            <w:spacing w:val="-5"/>
                            <w:sz w:val="16"/>
                          </w:rPr>
                          <w:t xml:space="preserve"> </w:t>
                        </w:r>
                        <w:r>
                          <w:rPr>
                            <w:sz w:val="16"/>
                          </w:rPr>
                          <w:t>que</w:t>
                        </w:r>
                        <w:r>
                          <w:rPr>
                            <w:spacing w:val="-5"/>
                            <w:sz w:val="16"/>
                          </w:rPr>
                          <w:t xml:space="preserve"> </w:t>
                        </w:r>
                        <w:r>
                          <w:rPr>
                            <w:sz w:val="16"/>
                          </w:rPr>
                          <w:t>tengan</w:t>
                        </w:r>
                        <w:r>
                          <w:rPr>
                            <w:spacing w:val="-5"/>
                            <w:sz w:val="16"/>
                          </w:rPr>
                          <w:t xml:space="preserve"> </w:t>
                        </w:r>
                        <w:r>
                          <w:rPr>
                            <w:sz w:val="16"/>
                          </w:rPr>
                          <w:t>“debida</w:t>
                        </w:r>
                        <w:r>
                          <w:rPr>
                            <w:spacing w:val="-5"/>
                            <w:sz w:val="16"/>
                          </w:rPr>
                          <w:t xml:space="preserve"> </w:t>
                        </w:r>
                        <w:r>
                          <w:rPr>
                            <w:sz w:val="16"/>
                          </w:rPr>
                          <w:t>consideración”</w:t>
                        </w:r>
                        <w:r>
                          <w:rPr>
                            <w:spacing w:val="-5"/>
                            <w:sz w:val="16"/>
                          </w:rPr>
                          <w:t xml:space="preserve"> </w:t>
                        </w:r>
                        <w:r>
                          <w:rPr>
                            <w:sz w:val="16"/>
                          </w:rPr>
                          <w:t>la</w:t>
                        </w:r>
                        <w:r>
                          <w:rPr>
                            <w:spacing w:val="-5"/>
                            <w:sz w:val="16"/>
                          </w:rPr>
                          <w:t xml:space="preserve"> </w:t>
                        </w:r>
                        <w:r>
                          <w:rPr>
                            <w:sz w:val="16"/>
                          </w:rPr>
                          <w:t>necesidad</w:t>
                        </w:r>
                        <w:r>
                          <w:rPr>
                            <w:spacing w:val="-5"/>
                            <w:sz w:val="16"/>
                          </w:rPr>
                          <w:t xml:space="preserve"> </w:t>
                        </w:r>
                        <w:r>
                          <w:rPr>
                            <w:sz w:val="16"/>
                          </w:rPr>
                          <w:t>de</w:t>
                        </w:r>
                        <w:r>
                          <w:rPr>
                            <w:spacing w:val="-5"/>
                            <w:sz w:val="16"/>
                          </w:rPr>
                          <w:t xml:space="preserve"> </w:t>
                        </w:r>
                        <w:r>
                          <w:rPr>
                            <w:sz w:val="16"/>
                          </w:rPr>
                          <w:t>eliminar</w:t>
                        </w:r>
                        <w:r>
                          <w:rPr>
                            <w:spacing w:val="-5"/>
                            <w:sz w:val="16"/>
                          </w:rPr>
                          <w:t xml:space="preserve"> </w:t>
                        </w:r>
                        <w:r>
                          <w:rPr>
                            <w:sz w:val="16"/>
                          </w:rPr>
                          <w:t>la</w:t>
                        </w:r>
                        <w:r>
                          <w:rPr>
                            <w:spacing w:val="-5"/>
                            <w:sz w:val="16"/>
                          </w:rPr>
                          <w:t xml:space="preserve"> </w:t>
                        </w:r>
                        <w:r>
                          <w:rPr>
                            <w:sz w:val="16"/>
                          </w:rPr>
                          <w:t>discriminación,</w:t>
                        </w:r>
                        <w:r>
                          <w:rPr>
                            <w:spacing w:val="-3"/>
                            <w:sz w:val="16"/>
                          </w:rPr>
                          <w:t xml:space="preserve"> </w:t>
                        </w:r>
                        <w:r>
                          <w:rPr>
                            <w:sz w:val="16"/>
                          </w:rPr>
                          <w:t>promover</w:t>
                        </w:r>
                        <w:r>
                          <w:rPr>
                            <w:spacing w:val="-5"/>
                            <w:sz w:val="16"/>
                          </w:rPr>
                          <w:t xml:space="preserve"> </w:t>
                        </w:r>
                        <w:r>
                          <w:rPr>
                            <w:sz w:val="16"/>
                          </w:rPr>
                          <w:t>la</w:t>
                        </w:r>
                        <w:r>
                          <w:rPr>
                            <w:spacing w:val="-5"/>
                            <w:sz w:val="16"/>
                          </w:rPr>
                          <w:t xml:space="preserve"> </w:t>
                        </w:r>
                        <w:r>
                          <w:rPr>
                            <w:sz w:val="16"/>
                          </w:rPr>
                          <w:t>igualdad</w:t>
                        </w:r>
                        <w:r>
                          <w:rPr>
                            <w:spacing w:val="-5"/>
                            <w:sz w:val="16"/>
                          </w:rPr>
                          <w:t xml:space="preserve"> </w:t>
                        </w:r>
                        <w:r>
                          <w:rPr>
                            <w:sz w:val="16"/>
                          </w:rPr>
                          <w:t>de oportunidades y fomentar buenas relaciones entre los grupos discriminados y otros en la sociedad.</w:t>
                        </w:r>
                      </w:p>
                      <w:p w14:paraId="74EFF6C0" w14:textId="77777777" w:rsidR="0014798C" w:rsidRDefault="004E1F0B">
                        <w:pPr>
                          <w:spacing w:before="111"/>
                          <w:ind w:left="5"/>
                          <w:rPr>
                            <w:sz w:val="16"/>
                          </w:rPr>
                        </w:pPr>
                        <w:r>
                          <w:rPr>
                            <w:sz w:val="16"/>
                          </w:rPr>
                          <w:t>En</w:t>
                        </w:r>
                        <w:r>
                          <w:rPr>
                            <w:spacing w:val="-7"/>
                            <w:sz w:val="16"/>
                          </w:rPr>
                          <w:t xml:space="preserve"> </w:t>
                        </w:r>
                        <w:r>
                          <w:rPr>
                            <w:sz w:val="16"/>
                          </w:rPr>
                          <w:t>concreto,</w:t>
                        </w:r>
                        <w:r>
                          <w:rPr>
                            <w:spacing w:val="-5"/>
                            <w:sz w:val="16"/>
                          </w:rPr>
                          <w:t xml:space="preserve"> </w:t>
                        </w:r>
                        <w:r>
                          <w:rPr>
                            <w:sz w:val="16"/>
                          </w:rPr>
                          <w:t>el</w:t>
                        </w:r>
                        <w:r>
                          <w:rPr>
                            <w:spacing w:val="-6"/>
                            <w:sz w:val="16"/>
                          </w:rPr>
                          <w:t xml:space="preserve"> </w:t>
                        </w:r>
                        <w:r>
                          <w:rPr>
                            <w:sz w:val="16"/>
                          </w:rPr>
                          <w:t>artículo</w:t>
                        </w:r>
                        <w:r>
                          <w:rPr>
                            <w:spacing w:val="-6"/>
                            <w:sz w:val="16"/>
                          </w:rPr>
                          <w:t xml:space="preserve"> </w:t>
                        </w:r>
                        <w:r>
                          <w:rPr>
                            <w:sz w:val="16"/>
                          </w:rPr>
                          <w:t>149</w:t>
                        </w:r>
                        <w:r>
                          <w:rPr>
                            <w:spacing w:val="-6"/>
                            <w:sz w:val="16"/>
                          </w:rPr>
                          <w:t xml:space="preserve"> </w:t>
                        </w:r>
                        <w:r>
                          <w:rPr>
                            <w:sz w:val="16"/>
                          </w:rPr>
                          <w:t>(1)</w:t>
                        </w:r>
                        <w:r>
                          <w:rPr>
                            <w:spacing w:val="-6"/>
                            <w:sz w:val="16"/>
                          </w:rPr>
                          <w:t xml:space="preserve"> </w:t>
                        </w:r>
                        <w:r>
                          <w:rPr>
                            <w:sz w:val="16"/>
                          </w:rPr>
                          <w:t>de</w:t>
                        </w:r>
                        <w:r>
                          <w:rPr>
                            <w:spacing w:val="-6"/>
                            <w:sz w:val="16"/>
                          </w:rPr>
                          <w:t xml:space="preserve"> </w:t>
                        </w:r>
                        <w:r>
                          <w:rPr>
                            <w:sz w:val="16"/>
                          </w:rPr>
                          <w:t>la</w:t>
                        </w:r>
                        <w:r>
                          <w:rPr>
                            <w:spacing w:val="-7"/>
                            <w:sz w:val="16"/>
                          </w:rPr>
                          <w:t xml:space="preserve"> </w:t>
                        </w:r>
                        <w:r>
                          <w:rPr>
                            <w:sz w:val="16"/>
                          </w:rPr>
                          <w:t>Ley</w:t>
                        </w:r>
                        <w:r>
                          <w:rPr>
                            <w:spacing w:val="-6"/>
                            <w:sz w:val="16"/>
                          </w:rPr>
                          <w:t xml:space="preserve"> </w:t>
                        </w:r>
                        <w:r>
                          <w:rPr>
                            <w:spacing w:val="-2"/>
                            <w:sz w:val="16"/>
                          </w:rPr>
                          <w:t>dispone:</w:t>
                        </w:r>
                      </w:p>
                      <w:p w14:paraId="34DA1079" w14:textId="77777777" w:rsidR="0014798C" w:rsidRDefault="004E1F0B">
                        <w:pPr>
                          <w:numPr>
                            <w:ilvl w:val="0"/>
                            <w:numId w:val="28"/>
                          </w:numPr>
                          <w:tabs>
                            <w:tab w:val="left" w:pos="476"/>
                          </w:tabs>
                          <w:spacing w:before="179"/>
                          <w:ind w:left="476" w:hanging="238"/>
                          <w:rPr>
                            <w:sz w:val="16"/>
                          </w:rPr>
                        </w:pPr>
                        <w:r>
                          <w:rPr>
                            <w:sz w:val="16"/>
                          </w:rPr>
                          <w:t>Una</w:t>
                        </w:r>
                        <w:r>
                          <w:rPr>
                            <w:spacing w:val="-10"/>
                            <w:sz w:val="16"/>
                          </w:rPr>
                          <w:t xml:space="preserve"> </w:t>
                        </w:r>
                        <w:proofErr w:type="gramStart"/>
                        <w:r>
                          <w:rPr>
                            <w:sz w:val="16"/>
                          </w:rPr>
                          <w:t>autoridad</w:t>
                        </w:r>
                        <w:r>
                          <w:rPr>
                            <w:spacing w:val="-9"/>
                            <w:sz w:val="16"/>
                          </w:rPr>
                          <w:t xml:space="preserve"> </w:t>
                        </w:r>
                        <w:r>
                          <w:rPr>
                            <w:sz w:val="16"/>
                          </w:rPr>
                          <w:t>pública</w:t>
                        </w:r>
                        <w:proofErr w:type="gramEnd"/>
                        <w:r>
                          <w:rPr>
                            <w:spacing w:val="-9"/>
                            <w:sz w:val="16"/>
                          </w:rPr>
                          <w:t xml:space="preserve"> </w:t>
                        </w:r>
                        <w:r>
                          <w:rPr>
                            <w:sz w:val="16"/>
                          </w:rPr>
                          <w:t>debe,</w:t>
                        </w:r>
                        <w:r>
                          <w:rPr>
                            <w:spacing w:val="-9"/>
                            <w:sz w:val="16"/>
                          </w:rPr>
                          <w:t xml:space="preserve"> </w:t>
                        </w:r>
                        <w:r>
                          <w:rPr>
                            <w:sz w:val="16"/>
                          </w:rPr>
                          <w:t>en</w:t>
                        </w:r>
                        <w:r>
                          <w:rPr>
                            <w:spacing w:val="-9"/>
                            <w:sz w:val="16"/>
                          </w:rPr>
                          <w:t xml:space="preserve"> </w:t>
                        </w:r>
                        <w:r>
                          <w:rPr>
                            <w:sz w:val="16"/>
                          </w:rPr>
                          <w:t>el</w:t>
                        </w:r>
                        <w:r>
                          <w:rPr>
                            <w:spacing w:val="-9"/>
                            <w:sz w:val="16"/>
                          </w:rPr>
                          <w:t xml:space="preserve"> </w:t>
                        </w:r>
                        <w:r>
                          <w:rPr>
                            <w:sz w:val="16"/>
                          </w:rPr>
                          <w:t>ejercicio</w:t>
                        </w:r>
                        <w:r>
                          <w:rPr>
                            <w:spacing w:val="-9"/>
                            <w:sz w:val="16"/>
                          </w:rPr>
                          <w:t xml:space="preserve"> </w:t>
                        </w:r>
                        <w:r>
                          <w:rPr>
                            <w:sz w:val="16"/>
                          </w:rPr>
                          <w:t>de</w:t>
                        </w:r>
                        <w:r>
                          <w:rPr>
                            <w:spacing w:val="-10"/>
                            <w:sz w:val="16"/>
                          </w:rPr>
                          <w:t xml:space="preserve"> </w:t>
                        </w:r>
                        <w:r>
                          <w:rPr>
                            <w:sz w:val="16"/>
                          </w:rPr>
                          <w:t>sus</w:t>
                        </w:r>
                        <w:r>
                          <w:rPr>
                            <w:spacing w:val="-9"/>
                            <w:sz w:val="16"/>
                          </w:rPr>
                          <w:t xml:space="preserve"> </w:t>
                        </w:r>
                        <w:r>
                          <w:rPr>
                            <w:sz w:val="16"/>
                          </w:rPr>
                          <w:t>funciones,</w:t>
                        </w:r>
                        <w:r>
                          <w:rPr>
                            <w:spacing w:val="-8"/>
                            <w:sz w:val="16"/>
                          </w:rPr>
                          <w:t xml:space="preserve"> </w:t>
                        </w:r>
                        <w:r>
                          <w:rPr>
                            <w:sz w:val="16"/>
                          </w:rPr>
                          <w:t>tener</w:t>
                        </w:r>
                        <w:r>
                          <w:rPr>
                            <w:spacing w:val="-9"/>
                            <w:sz w:val="16"/>
                          </w:rPr>
                          <w:t xml:space="preserve"> </w:t>
                        </w:r>
                        <w:r>
                          <w:rPr>
                            <w:sz w:val="16"/>
                          </w:rPr>
                          <w:t>debidamente</w:t>
                        </w:r>
                        <w:r>
                          <w:rPr>
                            <w:spacing w:val="-10"/>
                            <w:sz w:val="16"/>
                          </w:rPr>
                          <w:t xml:space="preserve"> </w:t>
                        </w:r>
                        <w:r>
                          <w:rPr>
                            <w:sz w:val="16"/>
                          </w:rPr>
                          <w:t>en</w:t>
                        </w:r>
                        <w:r>
                          <w:rPr>
                            <w:spacing w:val="-9"/>
                            <w:sz w:val="16"/>
                          </w:rPr>
                          <w:t xml:space="preserve"> </w:t>
                        </w:r>
                        <w:r>
                          <w:rPr>
                            <w:sz w:val="16"/>
                          </w:rPr>
                          <w:t>cuenta</w:t>
                        </w:r>
                        <w:r>
                          <w:rPr>
                            <w:spacing w:val="-9"/>
                            <w:sz w:val="16"/>
                          </w:rPr>
                          <w:t xml:space="preserve"> </w:t>
                        </w:r>
                        <w:r>
                          <w:rPr>
                            <w:sz w:val="16"/>
                          </w:rPr>
                          <w:t>la</w:t>
                        </w:r>
                        <w:r>
                          <w:rPr>
                            <w:spacing w:val="-9"/>
                            <w:sz w:val="16"/>
                          </w:rPr>
                          <w:t xml:space="preserve"> </w:t>
                        </w:r>
                        <w:r>
                          <w:rPr>
                            <w:sz w:val="16"/>
                          </w:rPr>
                          <w:t>necesidad</w:t>
                        </w:r>
                        <w:r>
                          <w:rPr>
                            <w:spacing w:val="-10"/>
                            <w:sz w:val="16"/>
                          </w:rPr>
                          <w:t xml:space="preserve"> </w:t>
                        </w:r>
                        <w:r>
                          <w:rPr>
                            <w:spacing w:val="-5"/>
                            <w:sz w:val="16"/>
                          </w:rPr>
                          <w:t>de:</w:t>
                        </w:r>
                      </w:p>
                      <w:p w14:paraId="2CB6BB03" w14:textId="77777777" w:rsidR="0014798C" w:rsidRDefault="004E1F0B">
                        <w:pPr>
                          <w:numPr>
                            <w:ilvl w:val="1"/>
                            <w:numId w:val="28"/>
                          </w:numPr>
                          <w:tabs>
                            <w:tab w:val="left" w:pos="787"/>
                          </w:tabs>
                          <w:spacing w:before="179"/>
                          <w:ind w:left="787" w:hanging="238"/>
                          <w:rPr>
                            <w:sz w:val="16"/>
                          </w:rPr>
                        </w:pPr>
                        <w:r>
                          <w:rPr>
                            <w:sz w:val="16"/>
                          </w:rPr>
                          <w:t>eliminar</w:t>
                        </w:r>
                        <w:r>
                          <w:rPr>
                            <w:spacing w:val="-9"/>
                            <w:sz w:val="16"/>
                          </w:rPr>
                          <w:t xml:space="preserve"> </w:t>
                        </w:r>
                        <w:r>
                          <w:rPr>
                            <w:sz w:val="16"/>
                          </w:rPr>
                          <w:t>la</w:t>
                        </w:r>
                        <w:r>
                          <w:rPr>
                            <w:spacing w:val="-9"/>
                            <w:sz w:val="16"/>
                          </w:rPr>
                          <w:t xml:space="preserve"> </w:t>
                        </w:r>
                        <w:r>
                          <w:rPr>
                            <w:sz w:val="16"/>
                          </w:rPr>
                          <w:t>discriminación,</w:t>
                        </w:r>
                        <w:r>
                          <w:rPr>
                            <w:spacing w:val="-7"/>
                            <w:sz w:val="16"/>
                          </w:rPr>
                          <w:t xml:space="preserve"> </w:t>
                        </w:r>
                        <w:r>
                          <w:rPr>
                            <w:sz w:val="16"/>
                          </w:rPr>
                          <w:t>el</w:t>
                        </w:r>
                        <w:r>
                          <w:rPr>
                            <w:spacing w:val="-9"/>
                            <w:sz w:val="16"/>
                          </w:rPr>
                          <w:t xml:space="preserve"> </w:t>
                        </w:r>
                        <w:r>
                          <w:rPr>
                            <w:sz w:val="16"/>
                          </w:rPr>
                          <w:t>acoso,</w:t>
                        </w:r>
                        <w:r>
                          <w:rPr>
                            <w:spacing w:val="-8"/>
                            <w:sz w:val="16"/>
                          </w:rPr>
                          <w:t xml:space="preserve"> </w:t>
                        </w:r>
                        <w:r>
                          <w:rPr>
                            <w:sz w:val="16"/>
                          </w:rPr>
                          <w:t>la</w:t>
                        </w:r>
                        <w:r>
                          <w:rPr>
                            <w:spacing w:val="-8"/>
                            <w:sz w:val="16"/>
                          </w:rPr>
                          <w:t xml:space="preserve"> </w:t>
                        </w:r>
                        <w:r>
                          <w:rPr>
                            <w:sz w:val="16"/>
                          </w:rPr>
                          <w:t>victimización</w:t>
                        </w:r>
                        <w:r>
                          <w:rPr>
                            <w:spacing w:val="-9"/>
                            <w:sz w:val="16"/>
                          </w:rPr>
                          <w:t xml:space="preserve"> </w:t>
                        </w:r>
                        <w:r>
                          <w:rPr>
                            <w:sz w:val="16"/>
                          </w:rPr>
                          <w:t>y</w:t>
                        </w:r>
                        <w:r>
                          <w:rPr>
                            <w:spacing w:val="-9"/>
                            <w:sz w:val="16"/>
                          </w:rPr>
                          <w:t xml:space="preserve"> </w:t>
                        </w:r>
                        <w:r>
                          <w:rPr>
                            <w:sz w:val="16"/>
                          </w:rPr>
                          <w:t>cualquier</w:t>
                        </w:r>
                        <w:r>
                          <w:rPr>
                            <w:spacing w:val="-9"/>
                            <w:sz w:val="16"/>
                          </w:rPr>
                          <w:t xml:space="preserve"> </w:t>
                        </w:r>
                        <w:r>
                          <w:rPr>
                            <w:sz w:val="16"/>
                          </w:rPr>
                          <w:t>otra</w:t>
                        </w:r>
                        <w:r>
                          <w:rPr>
                            <w:spacing w:val="-8"/>
                            <w:sz w:val="16"/>
                          </w:rPr>
                          <w:t xml:space="preserve"> </w:t>
                        </w:r>
                        <w:r>
                          <w:rPr>
                            <w:sz w:val="16"/>
                          </w:rPr>
                          <w:t>conducta</w:t>
                        </w:r>
                        <w:r>
                          <w:rPr>
                            <w:spacing w:val="-9"/>
                            <w:sz w:val="16"/>
                          </w:rPr>
                          <w:t xml:space="preserve"> </w:t>
                        </w:r>
                        <w:r>
                          <w:rPr>
                            <w:sz w:val="16"/>
                          </w:rPr>
                          <w:t>prohibida</w:t>
                        </w:r>
                        <w:r>
                          <w:rPr>
                            <w:spacing w:val="-9"/>
                            <w:sz w:val="16"/>
                          </w:rPr>
                          <w:t xml:space="preserve"> </w:t>
                        </w:r>
                        <w:r>
                          <w:rPr>
                            <w:sz w:val="16"/>
                          </w:rPr>
                          <w:t>por</w:t>
                        </w:r>
                        <w:r>
                          <w:rPr>
                            <w:spacing w:val="-8"/>
                            <w:sz w:val="16"/>
                          </w:rPr>
                          <w:t xml:space="preserve"> </w:t>
                        </w:r>
                        <w:r>
                          <w:rPr>
                            <w:sz w:val="16"/>
                          </w:rPr>
                          <w:t>o</w:t>
                        </w:r>
                        <w:r>
                          <w:rPr>
                            <w:spacing w:val="-9"/>
                            <w:sz w:val="16"/>
                          </w:rPr>
                          <w:t xml:space="preserve"> </w:t>
                        </w:r>
                        <w:r>
                          <w:rPr>
                            <w:sz w:val="16"/>
                          </w:rPr>
                          <w:t>bajo</w:t>
                        </w:r>
                        <w:r>
                          <w:rPr>
                            <w:spacing w:val="-9"/>
                            <w:sz w:val="16"/>
                          </w:rPr>
                          <w:t xml:space="preserve"> </w:t>
                        </w:r>
                        <w:r>
                          <w:rPr>
                            <w:sz w:val="16"/>
                          </w:rPr>
                          <w:t>esta</w:t>
                        </w:r>
                        <w:r>
                          <w:rPr>
                            <w:spacing w:val="-9"/>
                            <w:sz w:val="16"/>
                          </w:rPr>
                          <w:t xml:space="preserve"> </w:t>
                        </w:r>
                        <w:r>
                          <w:rPr>
                            <w:spacing w:val="-4"/>
                            <w:sz w:val="16"/>
                          </w:rPr>
                          <w:t>Ley;</w:t>
                        </w:r>
                      </w:p>
                    </w:txbxContent>
                  </v:textbox>
                </v:shape>
                <v:shape id="Textbox 252" o:spid="_x0000_s1125" type="#_x0000_t202" style="position:absolute;left:5136;top:23043;width:51448;height:283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" filled="f" stroked="f">
                  <v:textbox inset="0,0,0,0">
                    <w:txbxContent>
                      <w:p w14:paraId="71678489" w14:textId="77777777" w:rsidR="0014798C" w:rsidRDefault="004E1F0B">
                        <w:pPr>
                          <w:spacing w:line="181" w:lineRule="exact"/>
                          <w:rPr>
                            <w:sz w:val="16"/>
                          </w:rPr>
                        </w:pPr>
                        <w:r>
                          <w:rPr>
                            <w:sz w:val="16"/>
                          </w:rPr>
                          <w:t>(b)</w:t>
                        </w:r>
                        <w:r>
                          <w:rPr>
                            <w:spacing w:val="1"/>
                            <w:sz w:val="16"/>
                          </w:rPr>
                          <w:t xml:space="preserve"> </w:t>
                        </w:r>
                        <w:r>
                          <w:rPr>
                            <w:sz w:val="16"/>
                          </w:rPr>
                          <w:t>promover</w:t>
                        </w:r>
                        <w:r>
                          <w:rPr>
                            <w:spacing w:val="2"/>
                            <w:sz w:val="16"/>
                          </w:rPr>
                          <w:t xml:space="preserve"> </w:t>
                        </w:r>
                        <w:r>
                          <w:rPr>
                            <w:sz w:val="16"/>
                          </w:rPr>
                          <w:t>la</w:t>
                        </w:r>
                        <w:r>
                          <w:rPr>
                            <w:spacing w:val="1"/>
                            <w:sz w:val="16"/>
                          </w:rPr>
                          <w:t xml:space="preserve"> </w:t>
                        </w:r>
                        <w:r>
                          <w:rPr>
                            <w:sz w:val="16"/>
                          </w:rPr>
                          <w:t>igualdad</w:t>
                        </w:r>
                        <w:r>
                          <w:rPr>
                            <w:spacing w:val="2"/>
                            <w:sz w:val="16"/>
                          </w:rPr>
                          <w:t xml:space="preserve"> </w:t>
                        </w:r>
                        <w:r>
                          <w:rPr>
                            <w:sz w:val="16"/>
                          </w:rPr>
                          <w:t>de</w:t>
                        </w:r>
                        <w:r>
                          <w:rPr>
                            <w:spacing w:val="2"/>
                            <w:sz w:val="16"/>
                          </w:rPr>
                          <w:t xml:space="preserve"> </w:t>
                        </w:r>
                        <w:r>
                          <w:rPr>
                            <w:sz w:val="16"/>
                          </w:rPr>
                          <w:t>oportunidades</w:t>
                        </w:r>
                        <w:r>
                          <w:rPr>
                            <w:spacing w:val="1"/>
                            <w:sz w:val="16"/>
                          </w:rPr>
                          <w:t xml:space="preserve"> </w:t>
                        </w:r>
                        <w:r>
                          <w:rPr>
                            <w:sz w:val="16"/>
                          </w:rPr>
                          <w:t>entre</w:t>
                        </w:r>
                        <w:r>
                          <w:rPr>
                            <w:spacing w:val="2"/>
                            <w:sz w:val="16"/>
                          </w:rPr>
                          <w:t xml:space="preserve"> </w:t>
                        </w:r>
                        <w:r>
                          <w:rPr>
                            <w:sz w:val="16"/>
                          </w:rPr>
                          <w:t>personas</w:t>
                        </w:r>
                        <w:r>
                          <w:rPr>
                            <w:spacing w:val="2"/>
                            <w:sz w:val="16"/>
                          </w:rPr>
                          <w:t xml:space="preserve"> </w:t>
                        </w:r>
                        <w:r>
                          <w:rPr>
                            <w:sz w:val="16"/>
                          </w:rPr>
                          <w:t>que</w:t>
                        </w:r>
                        <w:r>
                          <w:rPr>
                            <w:spacing w:val="1"/>
                            <w:sz w:val="16"/>
                          </w:rPr>
                          <w:t xml:space="preserve"> </w:t>
                        </w:r>
                        <w:r>
                          <w:rPr>
                            <w:sz w:val="16"/>
                          </w:rPr>
                          <w:t>comparten</w:t>
                        </w:r>
                        <w:r>
                          <w:rPr>
                            <w:spacing w:val="2"/>
                            <w:sz w:val="16"/>
                          </w:rPr>
                          <w:t xml:space="preserve"> </w:t>
                        </w:r>
                        <w:r>
                          <w:rPr>
                            <w:sz w:val="16"/>
                          </w:rPr>
                          <w:t>una</w:t>
                        </w:r>
                        <w:r>
                          <w:rPr>
                            <w:spacing w:val="1"/>
                            <w:sz w:val="16"/>
                          </w:rPr>
                          <w:t xml:space="preserve"> </w:t>
                        </w:r>
                        <w:r>
                          <w:rPr>
                            <w:sz w:val="16"/>
                          </w:rPr>
                          <w:t>característica</w:t>
                        </w:r>
                        <w:r>
                          <w:rPr>
                            <w:spacing w:val="2"/>
                            <w:sz w:val="16"/>
                          </w:rPr>
                          <w:t xml:space="preserve"> </w:t>
                        </w:r>
                        <w:r>
                          <w:rPr>
                            <w:sz w:val="16"/>
                          </w:rPr>
                          <w:t>protegida</w:t>
                        </w:r>
                        <w:r>
                          <w:rPr>
                            <w:spacing w:val="2"/>
                            <w:sz w:val="16"/>
                          </w:rPr>
                          <w:t xml:space="preserve"> </w:t>
                        </w:r>
                        <w:r>
                          <w:rPr>
                            <w:spacing w:val="-2"/>
                            <w:sz w:val="16"/>
                          </w:rPr>
                          <w:t>relevante</w:t>
                        </w:r>
                      </w:p>
                      <w:p w14:paraId="2B54693E" w14:textId="77777777" w:rsidR="0014798C" w:rsidRDefault="004E1F0B">
                        <w:pPr>
                          <w:spacing w:before="81"/>
                          <w:ind w:left="334"/>
                          <w:rPr>
                            <w:sz w:val="16"/>
                          </w:rPr>
                        </w:pPr>
                        <w:r>
                          <w:rPr>
                            <w:sz w:val="16"/>
                          </w:rPr>
                          <w:t>y</w:t>
                        </w:r>
                        <w:r>
                          <w:rPr>
                            <w:spacing w:val="-5"/>
                            <w:sz w:val="16"/>
                          </w:rPr>
                          <w:t xml:space="preserve"> </w:t>
                        </w:r>
                        <w:r>
                          <w:rPr>
                            <w:sz w:val="16"/>
                          </w:rPr>
                          <w:t>personas</w:t>
                        </w:r>
                        <w:r>
                          <w:rPr>
                            <w:spacing w:val="-4"/>
                            <w:sz w:val="16"/>
                          </w:rPr>
                          <w:t xml:space="preserve"> </w:t>
                        </w:r>
                        <w:r>
                          <w:rPr>
                            <w:sz w:val="16"/>
                          </w:rPr>
                          <w:t>que</w:t>
                        </w:r>
                        <w:r>
                          <w:rPr>
                            <w:spacing w:val="-5"/>
                            <w:sz w:val="16"/>
                          </w:rPr>
                          <w:t xml:space="preserve"> </w:t>
                        </w:r>
                        <w:r>
                          <w:rPr>
                            <w:sz w:val="16"/>
                          </w:rPr>
                          <w:t>no</w:t>
                        </w:r>
                        <w:r>
                          <w:rPr>
                            <w:spacing w:val="-4"/>
                            <w:sz w:val="16"/>
                          </w:rPr>
                          <w:t xml:space="preserve"> </w:t>
                        </w:r>
                        <w:r>
                          <w:rPr>
                            <w:sz w:val="16"/>
                          </w:rPr>
                          <w:t>lo</w:t>
                        </w:r>
                        <w:r>
                          <w:rPr>
                            <w:spacing w:val="-5"/>
                            <w:sz w:val="16"/>
                          </w:rPr>
                          <w:t xml:space="preserve"> </w:t>
                        </w:r>
                        <w:r>
                          <w:rPr>
                            <w:spacing w:val="-2"/>
                            <w:sz w:val="16"/>
                          </w:rPr>
                          <w:t>comparten;</w:t>
                        </w:r>
                      </w:p>
                    </w:txbxContent>
                  </v:textbox>
                </v:shape>
                <w10:wrap type="topAndBottom" anchorx="page"/>
              </v:group>
            </w:pict>
          </mc:Fallback>
        </mc:AlternateContent>
      </w:r>
    </w:p>
    <w:p w14:paraId="5ADDCA4C" w14:textId="77777777" w:rsidR="0014798C" w:rsidRDefault="0014798C">
      <w:pPr>
        <w:pStyle w:val="Textoindependiente"/>
        <w:spacing w:before="1"/>
        <w:rPr>
          <w:sz w:val="6"/>
        </w:rPr>
      </w:pPr>
    </w:p>
    <w:p w14:paraId="09A6B57B" w14:textId="77777777" w:rsidR="0014798C" w:rsidRDefault="0014798C">
      <w:pPr>
        <w:rPr>
          <w:sz w:val="6"/>
        </w:rPr>
        <w:sectPr w:rsidR="0014798C" w:rsidSect="00F265E4">
          <w:pgSz w:w="11900" w:h="16820"/>
          <w:pgMar w:top="340" w:right="0" w:bottom="280" w:left="200" w:header="121" w:footer="0" w:gutter="0"/>
          <w:cols w:space="720"/>
        </w:sectPr>
      </w:pPr>
    </w:p>
    <w:p w14:paraId="5B8CEA6D" w14:textId="77777777" w:rsidR="0014798C" w:rsidRDefault="004E1F0B">
      <w:pPr>
        <w:spacing w:before="67"/>
        <w:jc w:val="right"/>
        <w:rPr>
          <w:sz w:val="8"/>
        </w:rPr>
      </w:pPr>
      <w:r>
        <w:rPr>
          <w:spacing w:val="-5"/>
          <w:w w:val="105"/>
          <w:sz w:val="8"/>
        </w:rPr>
        <w:t>821</w:t>
      </w:r>
    </w:p>
    <w:p w14:paraId="480A4106" w14:textId="77777777" w:rsidR="0014798C" w:rsidRDefault="004E1F0B">
      <w:pPr>
        <w:spacing w:before="76"/>
        <w:ind w:left="81"/>
        <w:rPr>
          <w:sz w:val="12"/>
        </w:rPr>
      </w:pPr>
      <w:r>
        <w:br w:type="column"/>
      </w:r>
      <w:r>
        <w:rPr>
          <w:sz w:val="12"/>
        </w:rPr>
        <w:t>Véase,</w:t>
      </w:r>
      <w:r>
        <w:rPr>
          <w:spacing w:val="-1"/>
          <w:sz w:val="12"/>
        </w:rPr>
        <w:t xml:space="preserve"> </w:t>
      </w:r>
      <w:r>
        <w:rPr>
          <w:sz w:val="12"/>
        </w:rPr>
        <w:t>por</w:t>
      </w:r>
      <w:r>
        <w:rPr>
          <w:spacing w:val="-1"/>
          <w:sz w:val="12"/>
        </w:rPr>
        <w:t xml:space="preserve"> </w:t>
      </w:r>
      <w:r>
        <w:rPr>
          <w:sz w:val="12"/>
        </w:rPr>
        <w:t>ejemplo, Comité</w:t>
      </w:r>
      <w:r>
        <w:rPr>
          <w:spacing w:val="-1"/>
          <w:sz w:val="12"/>
        </w:rPr>
        <w:t xml:space="preserve"> </w:t>
      </w:r>
      <w:r>
        <w:rPr>
          <w:sz w:val="12"/>
        </w:rPr>
        <w:t>de Derechos</w:t>
      </w:r>
      <w:r>
        <w:rPr>
          <w:spacing w:val="-1"/>
          <w:sz w:val="12"/>
        </w:rPr>
        <w:t xml:space="preserve"> </w:t>
      </w:r>
      <w:r>
        <w:rPr>
          <w:sz w:val="12"/>
        </w:rPr>
        <w:t>Económicos,</w:t>
      </w:r>
      <w:r>
        <w:rPr>
          <w:spacing w:val="-1"/>
          <w:sz w:val="12"/>
        </w:rPr>
        <w:t xml:space="preserve"> </w:t>
      </w:r>
      <w:r>
        <w:rPr>
          <w:sz w:val="12"/>
        </w:rPr>
        <w:t>Sociales y</w:t>
      </w:r>
      <w:r>
        <w:rPr>
          <w:spacing w:val="-1"/>
          <w:sz w:val="12"/>
        </w:rPr>
        <w:t xml:space="preserve"> </w:t>
      </w:r>
      <w:r>
        <w:rPr>
          <w:sz w:val="12"/>
        </w:rPr>
        <w:t>Culturales, observación</w:t>
      </w:r>
      <w:r>
        <w:rPr>
          <w:spacing w:val="-1"/>
          <w:sz w:val="12"/>
        </w:rPr>
        <w:t xml:space="preserve"> </w:t>
      </w:r>
      <w:r>
        <w:rPr>
          <w:sz w:val="12"/>
        </w:rPr>
        <w:t>general núm.</w:t>
      </w:r>
      <w:r>
        <w:rPr>
          <w:spacing w:val="-1"/>
          <w:sz w:val="12"/>
        </w:rPr>
        <w:t xml:space="preserve"> </w:t>
      </w:r>
      <w:r>
        <w:rPr>
          <w:sz w:val="12"/>
        </w:rPr>
        <w:t>20</w:t>
      </w:r>
      <w:r>
        <w:rPr>
          <w:spacing w:val="-1"/>
          <w:sz w:val="12"/>
        </w:rPr>
        <w:t xml:space="preserve"> </w:t>
      </w:r>
      <w:r>
        <w:rPr>
          <w:sz w:val="12"/>
        </w:rPr>
        <w:t>(2009), párr.</w:t>
      </w:r>
      <w:r>
        <w:rPr>
          <w:spacing w:val="-1"/>
          <w:sz w:val="12"/>
        </w:rPr>
        <w:t xml:space="preserve"> </w:t>
      </w:r>
      <w:r>
        <w:rPr>
          <w:spacing w:val="-5"/>
          <w:sz w:val="12"/>
        </w:rPr>
        <w:t>38.</w:t>
      </w:r>
    </w:p>
    <w:p w14:paraId="4C6D4C76" w14:textId="77777777" w:rsidR="0014798C" w:rsidRDefault="0014798C">
      <w:pPr>
        <w:rPr>
          <w:sz w:val="12"/>
        </w:rPr>
        <w:sectPr w:rsidR="0014798C" w:rsidSect="00F265E4">
          <w:type w:val="continuous"/>
          <w:pgSz w:w="11900" w:h="16820"/>
          <w:pgMar w:top="40" w:right="0" w:bottom="280" w:left="200" w:header="121" w:footer="0" w:gutter="0"/>
          <w:cols w:num="2" w:space="720" w:equalWidth="0">
            <w:col w:w="1250" w:space="40"/>
            <w:col w:w="10410"/>
          </w:cols>
        </w:sectPr>
      </w:pPr>
    </w:p>
    <w:p w14:paraId="181B1712" w14:textId="77777777" w:rsidR="0014798C" w:rsidRDefault="004E1F0B">
      <w:pPr>
        <w:spacing w:before="99"/>
        <w:ind w:left="1110"/>
        <w:rPr>
          <w:sz w:val="12"/>
        </w:rPr>
      </w:pPr>
      <w:r>
        <w:rPr>
          <w:sz w:val="12"/>
        </w:rPr>
        <w:t>822</w:t>
      </w:r>
      <w:r>
        <w:rPr>
          <w:spacing w:val="-1"/>
          <w:sz w:val="12"/>
        </w:rPr>
        <w:t xml:space="preserve"> </w:t>
      </w:r>
      <w:r>
        <w:rPr>
          <w:sz w:val="12"/>
        </w:rPr>
        <w:t>Comité</w:t>
      </w:r>
      <w:r>
        <w:rPr>
          <w:spacing w:val="-1"/>
          <w:sz w:val="12"/>
        </w:rPr>
        <w:t xml:space="preserve"> </w:t>
      </w:r>
      <w:r>
        <w:rPr>
          <w:sz w:val="12"/>
        </w:rPr>
        <w:t>de Derechos</w:t>
      </w:r>
      <w:r>
        <w:rPr>
          <w:spacing w:val="-1"/>
          <w:sz w:val="12"/>
        </w:rPr>
        <w:t xml:space="preserve"> </w:t>
      </w:r>
      <w:r>
        <w:rPr>
          <w:sz w:val="12"/>
        </w:rPr>
        <w:t>Económicos, Sociales</w:t>
      </w:r>
      <w:r>
        <w:rPr>
          <w:spacing w:val="-1"/>
          <w:sz w:val="12"/>
        </w:rPr>
        <w:t xml:space="preserve"> </w:t>
      </w:r>
      <w:r>
        <w:rPr>
          <w:sz w:val="12"/>
        </w:rPr>
        <w:t>y Culturales,</w:t>
      </w:r>
      <w:r>
        <w:rPr>
          <w:spacing w:val="-1"/>
          <w:sz w:val="12"/>
        </w:rPr>
        <w:t xml:space="preserve"> </w:t>
      </w:r>
      <w:r>
        <w:rPr>
          <w:sz w:val="12"/>
        </w:rPr>
        <w:t>observación general</w:t>
      </w:r>
      <w:r>
        <w:rPr>
          <w:spacing w:val="-1"/>
          <w:sz w:val="12"/>
        </w:rPr>
        <w:t xml:space="preserve"> </w:t>
      </w:r>
      <w:r>
        <w:rPr>
          <w:sz w:val="12"/>
        </w:rPr>
        <w:t>núm. 25</w:t>
      </w:r>
      <w:r>
        <w:rPr>
          <w:spacing w:val="-1"/>
          <w:sz w:val="12"/>
        </w:rPr>
        <w:t xml:space="preserve"> </w:t>
      </w:r>
      <w:r>
        <w:rPr>
          <w:sz w:val="12"/>
        </w:rPr>
        <w:t>(2020), párr.</w:t>
      </w:r>
      <w:r>
        <w:rPr>
          <w:spacing w:val="-1"/>
          <w:sz w:val="12"/>
        </w:rPr>
        <w:t xml:space="preserve"> </w:t>
      </w:r>
      <w:r>
        <w:rPr>
          <w:spacing w:val="-5"/>
          <w:sz w:val="12"/>
        </w:rPr>
        <w:t>24.</w:t>
      </w:r>
    </w:p>
    <w:p w14:paraId="6250DCF6" w14:textId="77777777" w:rsidR="0014798C" w:rsidRDefault="004E1F0B">
      <w:pPr>
        <w:spacing w:before="98"/>
        <w:ind w:left="1110"/>
        <w:rPr>
          <w:sz w:val="12"/>
        </w:rPr>
      </w:pPr>
      <w:r>
        <w:rPr>
          <w:sz w:val="12"/>
        </w:rPr>
        <w:t>823</w:t>
      </w:r>
      <w:r>
        <w:rPr>
          <w:spacing w:val="-1"/>
          <w:sz w:val="12"/>
        </w:rPr>
        <w:t xml:space="preserve"> </w:t>
      </w:r>
      <w:r>
        <w:rPr>
          <w:sz w:val="12"/>
        </w:rPr>
        <w:t>Comité</w:t>
      </w:r>
      <w:r>
        <w:rPr>
          <w:spacing w:val="-1"/>
          <w:sz w:val="12"/>
        </w:rPr>
        <w:t xml:space="preserve"> </w:t>
      </w:r>
      <w:r>
        <w:rPr>
          <w:sz w:val="12"/>
        </w:rPr>
        <w:t>de Derechos</w:t>
      </w:r>
      <w:r>
        <w:rPr>
          <w:spacing w:val="-1"/>
          <w:sz w:val="12"/>
        </w:rPr>
        <w:t xml:space="preserve"> </w:t>
      </w:r>
      <w:r>
        <w:rPr>
          <w:sz w:val="12"/>
        </w:rPr>
        <w:t>Económicos, Sociales</w:t>
      </w:r>
      <w:r>
        <w:rPr>
          <w:spacing w:val="-1"/>
          <w:sz w:val="12"/>
        </w:rPr>
        <w:t xml:space="preserve"> </w:t>
      </w:r>
      <w:r>
        <w:rPr>
          <w:sz w:val="12"/>
        </w:rPr>
        <w:t>y Culturales,</w:t>
      </w:r>
      <w:r>
        <w:rPr>
          <w:spacing w:val="-1"/>
          <w:sz w:val="12"/>
        </w:rPr>
        <w:t xml:space="preserve"> </w:t>
      </w:r>
      <w:r>
        <w:rPr>
          <w:sz w:val="12"/>
        </w:rPr>
        <w:t>observación general</w:t>
      </w:r>
      <w:r>
        <w:rPr>
          <w:spacing w:val="-1"/>
          <w:sz w:val="12"/>
        </w:rPr>
        <w:t xml:space="preserve"> </w:t>
      </w:r>
      <w:r>
        <w:rPr>
          <w:sz w:val="12"/>
        </w:rPr>
        <w:t>núm. 22</w:t>
      </w:r>
      <w:r>
        <w:rPr>
          <w:spacing w:val="-1"/>
          <w:sz w:val="12"/>
        </w:rPr>
        <w:t xml:space="preserve"> </w:t>
      </w:r>
      <w:r>
        <w:rPr>
          <w:sz w:val="12"/>
        </w:rPr>
        <w:t>(2016), párr.</w:t>
      </w:r>
      <w:r>
        <w:rPr>
          <w:spacing w:val="-1"/>
          <w:sz w:val="12"/>
        </w:rPr>
        <w:t xml:space="preserve"> </w:t>
      </w:r>
      <w:r>
        <w:rPr>
          <w:spacing w:val="-5"/>
          <w:sz w:val="12"/>
        </w:rPr>
        <w:t>38.</w:t>
      </w:r>
    </w:p>
    <w:p w14:paraId="5339B7E3" w14:textId="77777777" w:rsidR="0014798C" w:rsidRDefault="004E1F0B">
      <w:pPr>
        <w:spacing w:before="67"/>
        <w:ind w:left="1110"/>
        <w:rPr>
          <w:sz w:val="12"/>
        </w:rPr>
      </w:pPr>
      <w:r>
        <w:rPr>
          <w:sz w:val="12"/>
        </w:rPr>
        <w:t xml:space="preserve">824 </w:t>
      </w:r>
      <w:proofErr w:type="spellStart"/>
      <w:r>
        <w:rPr>
          <w:spacing w:val="-2"/>
          <w:sz w:val="12"/>
        </w:rPr>
        <w:t>Ibíd</w:t>
      </w:r>
      <w:proofErr w:type="spellEnd"/>
      <w:r>
        <w:rPr>
          <w:spacing w:val="-2"/>
          <w:sz w:val="12"/>
        </w:rPr>
        <w:t>.</w:t>
      </w:r>
    </w:p>
    <w:p w14:paraId="6850563B" w14:textId="77777777" w:rsidR="0014798C" w:rsidRDefault="0014798C">
      <w:pPr>
        <w:rPr>
          <w:sz w:val="12"/>
        </w:rPr>
        <w:sectPr w:rsidR="0014798C" w:rsidSect="00F265E4">
          <w:type w:val="continuous"/>
          <w:pgSz w:w="11900" w:h="16820"/>
          <w:pgMar w:top="40" w:right="0" w:bottom="280" w:left="200" w:header="121" w:footer="0" w:gutter="0"/>
          <w:cols w:space="720"/>
        </w:sectPr>
      </w:pPr>
    </w:p>
    <w:p w14:paraId="6D08FC4F" w14:textId="77777777" w:rsidR="0014798C" w:rsidRDefault="0014798C">
      <w:pPr>
        <w:pStyle w:val="Textoindependiente"/>
        <w:spacing w:before="29"/>
        <w:rPr>
          <w:sz w:val="8"/>
        </w:rPr>
      </w:pPr>
    </w:p>
    <w:p w14:paraId="0CC44B9A" w14:textId="77777777" w:rsidR="0014798C" w:rsidRDefault="004E1F0B">
      <w:pPr>
        <w:jc w:val="right"/>
        <w:rPr>
          <w:sz w:val="8"/>
        </w:rPr>
      </w:pPr>
      <w:r>
        <w:rPr>
          <w:spacing w:val="-5"/>
          <w:w w:val="105"/>
          <w:sz w:val="8"/>
        </w:rPr>
        <w:t>825</w:t>
      </w:r>
    </w:p>
    <w:p w14:paraId="619511CF" w14:textId="77777777" w:rsidR="0014798C" w:rsidRDefault="004E1F0B">
      <w:pPr>
        <w:spacing w:before="130"/>
        <w:ind w:left="81"/>
        <w:rPr>
          <w:sz w:val="12"/>
        </w:rPr>
      </w:pPr>
      <w:r>
        <w:br w:type="column"/>
      </w:r>
      <w:r>
        <w:rPr>
          <w:sz w:val="12"/>
        </w:rPr>
        <w:t>Véase,</w:t>
      </w:r>
      <w:r>
        <w:rPr>
          <w:spacing w:val="-2"/>
          <w:sz w:val="12"/>
        </w:rPr>
        <w:t xml:space="preserve"> </w:t>
      </w:r>
      <w:r>
        <w:rPr>
          <w:sz w:val="12"/>
        </w:rPr>
        <w:t>por</w:t>
      </w:r>
      <w:r>
        <w:rPr>
          <w:spacing w:val="-1"/>
          <w:sz w:val="12"/>
        </w:rPr>
        <w:t xml:space="preserve"> </w:t>
      </w:r>
      <w:r>
        <w:rPr>
          <w:sz w:val="12"/>
        </w:rPr>
        <w:t>ejemplo,</w:t>
      </w:r>
      <w:r>
        <w:rPr>
          <w:spacing w:val="-1"/>
          <w:sz w:val="12"/>
        </w:rPr>
        <w:t xml:space="preserve"> </w:t>
      </w:r>
      <w:r>
        <w:rPr>
          <w:sz w:val="12"/>
        </w:rPr>
        <w:t>A/HRC/41/54/Add.2,</w:t>
      </w:r>
      <w:r>
        <w:rPr>
          <w:spacing w:val="-2"/>
          <w:sz w:val="12"/>
        </w:rPr>
        <w:t xml:space="preserve"> </w:t>
      </w:r>
      <w:r>
        <w:rPr>
          <w:sz w:val="12"/>
        </w:rPr>
        <w:t>párr.</w:t>
      </w:r>
      <w:r>
        <w:rPr>
          <w:spacing w:val="-1"/>
          <w:sz w:val="12"/>
        </w:rPr>
        <w:t xml:space="preserve"> </w:t>
      </w:r>
      <w:r>
        <w:rPr>
          <w:spacing w:val="-5"/>
          <w:sz w:val="12"/>
        </w:rPr>
        <w:t>15.</w:t>
      </w:r>
    </w:p>
    <w:p w14:paraId="2ED91B40" w14:textId="77777777" w:rsidR="0014798C" w:rsidRDefault="0014798C">
      <w:pPr>
        <w:rPr>
          <w:sz w:val="12"/>
        </w:rPr>
        <w:sectPr w:rsidR="0014798C" w:rsidSect="00F265E4">
          <w:type w:val="continuous"/>
          <w:pgSz w:w="11900" w:h="16820"/>
          <w:pgMar w:top="40" w:right="0" w:bottom="280" w:left="200" w:header="121" w:footer="0" w:gutter="0"/>
          <w:cols w:num="2" w:space="720" w:equalWidth="0">
            <w:col w:w="1250" w:space="40"/>
            <w:col w:w="10410"/>
          </w:cols>
        </w:sectPr>
      </w:pPr>
    </w:p>
    <w:p w14:paraId="59F7330D" w14:textId="77777777" w:rsidR="0014798C" w:rsidRDefault="004E1F0B">
      <w:pPr>
        <w:spacing w:before="99"/>
        <w:ind w:left="1110"/>
        <w:rPr>
          <w:sz w:val="12"/>
        </w:rPr>
      </w:pPr>
      <w:r>
        <w:rPr>
          <w:sz w:val="12"/>
        </w:rPr>
        <w:t>826</w:t>
      </w:r>
      <w:r>
        <w:rPr>
          <w:spacing w:val="-1"/>
          <w:sz w:val="12"/>
        </w:rPr>
        <w:t xml:space="preserve"> </w:t>
      </w:r>
      <w:proofErr w:type="spellStart"/>
      <w:r>
        <w:rPr>
          <w:sz w:val="12"/>
        </w:rPr>
        <w:t>Ibíd</w:t>
      </w:r>
      <w:proofErr w:type="spellEnd"/>
      <w:r>
        <w:rPr>
          <w:sz w:val="12"/>
        </w:rPr>
        <w:t>.,</w:t>
      </w:r>
      <w:r>
        <w:rPr>
          <w:spacing w:val="-1"/>
          <w:sz w:val="12"/>
        </w:rPr>
        <w:t xml:space="preserve"> </w:t>
      </w:r>
      <w:proofErr w:type="spellStart"/>
      <w:r>
        <w:rPr>
          <w:sz w:val="12"/>
        </w:rPr>
        <w:t>párrs</w:t>
      </w:r>
      <w:proofErr w:type="spellEnd"/>
      <w:r>
        <w:rPr>
          <w:sz w:val="12"/>
        </w:rPr>
        <w:t>.</w:t>
      </w:r>
      <w:r>
        <w:rPr>
          <w:spacing w:val="-1"/>
          <w:sz w:val="12"/>
        </w:rPr>
        <w:t xml:space="preserve"> </w:t>
      </w:r>
      <w:r>
        <w:rPr>
          <w:sz w:val="12"/>
        </w:rPr>
        <w:t>15</w:t>
      </w:r>
      <w:r>
        <w:rPr>
          <w:spacing w:val="-1"/>
          <w:sz w:val="12"/>
        </w:rPr>
        <w:t xml:space="preserve"> </w:t>
      </w:r>
      <w:r>
        <w:rPr>
          <w:sz w:val="12"/>
        </w:rPr>
        <w:t>y</w:t>
      </w:r>
      <w:r>
        <w:rPr>
          <w:spacing w:val="-1"/>
          <w:sz w:val="12"/>
        </w:rPr>
        <w:t xml:space="preserve"> </w:t>
      </w:r>
      <w:r>
        <w:rPr>
          <w:sz w:val="12"/>
        </w:rPr>
        <w:t>74</w:t>
      </w:r>
      <w:r>
        <w:rPr>
          <w:spacing w:val="-1"/>
          <w:sz w:val="12"/>
        </w:rPr>
        <w:t xml:space="preserve"> </w:t>
      </w:r>
      <w:r>
        <w:rPr>
          <w:sz w:val="12"/>
        </w:rPr>
        <w:t>(c).</w:t>
      </w:r>
      <w:r>
        <w:rPr>
          <w:spacing w:val="-1"/>
          <w:sz w:val="12"/>
        </w:rPr>
        <w:t xml:space="preserve"> </w:t>
      </w:r>
      <w:r>
        <w:rPr>
          <w:sz w:val="12"/>
        </w:rPr>
        <w:t>Véase</w:t>
      </w:r>
      <w:r>
        <w:rPr>
          <w:spacing w:val="-1"/>
          <w:sz w:val="12"/>
        </w:rPr>
        <w:t xml:space="preserve"> </w:t>
      </w:r>
      <w:r>
        <w:rPr>
          <w:sz w:val="12"/>
        </w:rPr>
        <w:t>también A/HRC/44/57,</w:t>
      </w:r>
      <w:r>
        <w:rPr>
          <w:spacing w:val="-1"/>
          <w:sz w:val="12"/>
        </w:rPr>
        <w:t xml:space="preserve"> </w:t>
      </w:r>
      <w:r>
        <w:rPr>
          <w:sz w:val="12"/>
        </w:rPr>
        <w:t>párr.</w:t>
      </w:r>
      <w:r>
        <w:rPr>
          <w:spacing w:val="-1"/>
          <w:sz w:val="12"/>
        </w:rPr>
        <w:t xml:space="preserve"> </w:t>
      </w:r>
      <w:r>
        <w:rPr>
          <w:spacing w:val="-5"/>
          <w:sz w:val="12"/>
        </w:rPr>
        <w:t>56.</w:t>
      </w:r>
    </w:p>
    <w:p w14:paraId="7B6E5A87" w14:textId="77777777" w:rsidR="0014798C" w:rsidRDefault="004E1F0B">
      <w:pPr>
        <w:spacing w:before="98" w:line="312" w:lineRule="auto"/>
        <w:ind w:left="1365" w:right="2482" w:hanging="255"/>
        <w:rPr>
          <w:sz w:val="12"/>
        </w:rPr>
      </w:pPr>
      <w:r>
        <w:rPr>
          <w:sz w:val="12"/>
        </w:rPr>
        <w:t>827</w:t>
      </w:r>
      <w:r>
        <w:rPr>
          <w:spacing w:val="-2"/>
          <w:sz w:val="12"/>
        </w:rPr>
        <w:t xml:space="preserve"> </w:t>
      </w:r>
      <w:r>
        <w:rPr>
          <w:sz w:val="12"/>
        </w:rPr>
        <w:t>Comité</w:t>
      </w:r>
      <w:r>
        <w:rPr>
          <w:spacing w:val="-2"/>
          <w:sz w:val="12"/>
        </w:rPr>
        <w:t xml:space="preserve"> </w:t>
      </w:r>
      <w:r>
        <w:rPr>
          <w:sz w:val="12"/>
        </w:rPr>
        <w:t>de</w:t>
      </w:r>
      <w:r>
        <w:rPr>
          <w:spacing w:val="-2"/>
          <w:sz w:val="12"/>
        </w:rPr>
        <w:t xml:space="preserve"> </w:t>
      </w:r>
      <w:r>
        <w:rPr>
          <w:sz w:val="12"/>
        </w:rPr>
        <w:t>Derechos</w:t>
      </w:r>
      <w:r>
        <w:rPr>
          <w:spacing w:val="-2"/>
          <w:sz w:val="12"/>
        </w:rPr>
        <w:t xml:space="preserve"> </w:t>
      </w:r>
      <w:r>
        <w:rPr>
          <w:sz w:val="12"/>
        </w:rPr>
        <w:t>Económicos,</w:t>
      </w:r>
      <w:r>
        <w:rPr>
          <w:spacing w:val="-2"/>
          <w:sz w:val="12"/>
        </w:rPr>
        <w:t xml:space="preserve"> </w:t>
      </w:r>
      <w:r>
        <w:rPr>
          <w:sz w:val="12"/>
        </w:rPr>
        <w:t>Sociales</w:t>
      </w:r>
      <w:r>
        <w:rPr>
          <w:spacing w:val="-2"/>
          <w:sz w:val="12"/>
        </w:rPr>
        <w:t xml:space="preserve"> </w:t>
      </w:r>
      <w:r>
        <w:rPr>
          <w:sz w:val="12"/>
        </w:rPr>
        <w:t>y</w:t>
      </w:r>
      <w:r>
        <w:rPr>
          <w:spacing w:val="-2"/>
          <w:sz w:val="12"/>
        </w:rPr>
        <w:t xml:space="preserve"> </w:t>
      </w:r>
      <w:r>
        <w:rPr>
          <w:sz w:val="12"/>
        </w:rPr>
        <w:t>Culturales,</w:t>
      </w:r>
      <w:r>
        <w:rPr>
          <w:spacing w:val="-2"/>
          <w:sz w:val="12"/>
        </w:rPr>
        <w:t xml:space="preserve"> </w:t>
      </w:r>
      <w:r>
        <w:rPr>
          <w:sz w:val="12"/>
        </w:rPr>
        <w:t>observación</w:t>
      </w:r>
      <w:r>
        <w:rPr>
          <w:spacing w:val="-2"/>
          <w:sz w:val="12"/>
        </w:rPr>
        <w:t xml:space="preserve"> </w:t>
      </w:r>
      <w:r>
        <w:rPr>
          <w:sz w:val="12"/>
        </w:rPr>
        <w:t>general</w:t>
      </w:r>
      <w:r>
        <w:rPr>
          <w:spacing w:val="-2"/>
          <w:sz w:val="12"/>
        </w:rPr>
        <w:t xml:space="preserve"> </w:t>
      </w:r>
      <w:r>
        <w:rPr>
          <w:sz w:val="12"/>
        </w:rPr>
        <w:t>núm.</w:t>
      </w:r>
      <w:r>
        <w:rPr>
          <w:spacing w:val="-2"/>
          <w:sz w:val="12"/>
        </w:rPr>
        <w:t xml:space="preserve"> </w:t>
      </w:r>
      <w:r>
        <w:rPr>
          <w:sz w:val="12"/>
        </w:rPr>
        <w:t>20</w:t>
      </w:r>
      <w:r>
        <w:rPr>
          <w:spacing w:val="-2"/>
          <w:sz w:val="12"/>
        </w:rPr>
        <w:t xml:space="preserve"> </w:t>
      </w:r>
      <w:r>
        <w:rPr>
          <w:sz w:val="12"/>
        </w:rPr>
        <w:t>(2009),</w:t>
      </w:r>
      <w:r>
        <w:rPr>
          <w:spacing w:val="-2"/>
          <w:sz w:val="12"/>
        </w:rPr>
        <w:t xml:space="preserve"> </w:t>
      </w:r>
      <w:r>
        <w:rPr>
          <w:sz w:val="12"/>
        </w:rPr>
        <w:t>párr.</w:t>
      </w:r>
      <w:r>
        <w:rPr>
          <w:spacing w:val="-2"/>
          <w:sz w:val="12"/>
        </w:rPr>
        <w:t xml:space="preserve"> </w:t>
      </w:r>
      <w:r>
        <w:rPr>
          <w:w w:val="95"/>
          <w:sz w:val="12"/>
        </w:rPr>
        <w:t xml:space="preserve">7; </w:t>
      </w:r>
      <w:r>
        <w:rPr>
          <w:sz w:val="12"/>
        </w:rPr>
        <w:t>y</w:t>
      </w:r>
      <w:r>
        <w:rPr>
          <w:spacing w:val="-2"/>
          <w:sz w:val="12"/>
        </w:rPr>
        <w:t xml:space="preserve"> </w:t>
      </w:r>
      <w:r>
        <w:rPr>
          <w:sz w:val="12"/>
        </w:rPr>
        <w:t>Comité</w:t>
      </w:r>
      <w:r>
        <w:rPr>
          <w:spacing w:val="-2"/>
          <w:sz w:val="12"/>
        </w:rPr>
        <w:t xml:space="preserve"> </w:t>
      </w:r>
      <w:r>
        <w:rPr>
          <w:sz w:val="12"/>
        </w:rPr>
        <w:t>de</w:t>
      </w:r>
      <w:r>
        <w:rPr>
          <w:spacing w:val="-2"/>
          <w:sz w:val="12"/>
        </w:rPr>
        <w:t xml:space="preserve"> </w:t>
      </w:r>
      <w:r>
        <w:rPr>
          <w:sz w:val="12"/>
        </w:rPr>
        <w:t>los</w:t>
      </w:r>
      <w:r>
        <w:rPr>
          <w:spacing w:val="-2"/>
          <w:sz w:val="12"/>
        </w:rPr>
        <w:t xml:space="preserve"> </w:t>
      </w:r>
      <w:r>
        <w:rPr>
          <w:sz w:val="12"/>
        </w:rPr>
        <w:t>Derechos</w:t>
      </w:r>
      <w:r>
        <w:rPr>
          <w:spacing w:val="-2"/>
          <w:sz w:val="12"/>
        </w:rPr>
        <w:t xml:space="preserve"> </w:t>
      </w:r>
      <w:r>
        <w:rPr>
          <w:sz w:val="12"/>
        </w:rPr>
        <w:t>de</w:t>
      </w:r>
      <w:r>
        <w:rPr>
          <w:spacing w:val="-2"/>
          <w:sz w:val="12"/>
        </w:rPr>
        <w:t xml:space="preserve"> </w:t>
      </w:r>
      <w:r>
        <w:rPr>
          <w:sz w:val="12"/>
        </w:rPr>
        <w:t>las</w:t>
      </w:r>
      <w:r>
        <w:rPr>
          <w:spacing w:val="-2"/>
          <w:sz w:val="12"/>
        </w:rPr>
        <w:t xml:space="preserve"> </w:t>
      </w:r>
      <w:r>
        <w:rPr>
          <w:sz w:val="12"/>
        </w:rPr>
        <w:t>Personas</w:t>
      </w:r>
      <w:r>
        <w:rPr>
          <w:spacing w:val="40"/>
          <w:sz w:val="12"/>
        </w:rPr>
        <w:t xml:space="preserve"> </w:t>
      </w:r>
      <w:r>
        <w:rPr>
          <w:sz w:val="12"/>
        </w:rPr>
        <w:t>con Discapacidad, observación general núm. 6 (2018), párr. 12. Véase también A/HRC/26/29, párr. 19.</w:t>
      </w:r>
    </w:p>
    <w:p w14:paraId="5393E0F5" w14:textId="77777777" w:rsidR="0014798C" w:rsidRDefault="0014798C">
      <w:pPr>
        <w:spacing w:line="312" w:lineRule="auto"/>
        <w:rPr>
          <w:sz w:val="12"/>
        </w:rPr>
        <w:sectPr w:rsidR="0014798C" w:rsidSect="00F265E4">
          <w:type w:val="continuous"/>
          <w:pgSz w:w="11900" w:h="16820"/>
          <w:pgMar w:top="40" w:right="0" w:bottom="280" w:left="200" w:header="121" w:footer="0" w:gutter="0"/>
          <w:cols w:space="720"/>
        </w:sectPr>
      </w:pPr>
    </w:p>
    <w:p w14:paraId="6B29F0D7" w14:textId="77777777" w:rsidR="0014798C" w:rsidRDefault="004E1F0B">
      <w:pPr>
        <w:spacing w:before="48"/>
        <w:jc w:val="right"/>
        <w:rPr>
          <w:sz w:val="8"/>
        </w:rPr>
      </w:pPr>
      <w:r>
        <w:rPr>
          <w:spacing w:val="-5"/>
          <w:w w:val="105"/>
          <w:sz w:val="8"/>
        </w:rPr>
        <w:t>828</w:t>
      </w:r>
    </w:p>
    <w:p w14:paraId="43096024" w14:textId="77777777" w:rsidR="0014798C" w:rsidRDefault="0014798C">
      <w:pPr>
        <w:pStyle w:val="Textoindependiente"/>
        <w:rPr>
          <w:sz w:val="8"/>
        </w:rPr>
      </w:pPr>
    </w:p>
    <w:p w14:paraId="59BA1E9E" w14:textId="77777777" w:rsidR="0014798C" w:rsidRDefault="0014798C">
      <w:pPr>
        <w:pStyle w:val="Textoindependiente"/>
        <w:rPr>
          <w:sz w:val="8"/>
        </w:rPr>
      </w:pPr>
    </w:p>
    <w:p w14:paraId="54356F8F" w14:textId="77777777" w:rsidR="0014798C" w:rsidRDefault="0014798C">
      <w:pPr>
        <w:pStyle w:val="Textoindependiente"/>
        <w:rPr>
          <w:sz w:val="8"/>
        </w:rPr>
      </w:pPr>
    </w:p>
    <w:p w14:paraId="2105AAD3" w14:textId="77777777" w:rsidR="0014798C" w:rsidRDefault="0014798C">
      <w:pPr>
        <w:pStyle w:val="Textoindependiente"/>
        <w:rPr>
          <w:sz w:val="8"/>
        </w:rPr>
      </w:pPr>
    </w:p>
    <w:p w14:paraId="71772D60" w14:textId="77777777" w:rsidR="0014798C" w:rsidRDefault="0014798C">
      <w:pPr>
        <w:pStyle w:val="Textoindependiente"/>
        <w:rPr>
          <w:sz w:val="8"/>
        </w:rPr>
      </w:pPr>
    </w:p>
    <w:p w14:paraId="0414BC15" w14:textId="77777777" w:rsidR="0014798C" w:rsidRDefault="0014798C">
      <w:pPr>
        <w:pStyle w:val="Textoindependiente"/>
        <w:rPr>
          <w:sz w:val="8"/>
        </w:rPr>
      </w:pPr>
    </w:p>
    <w:p w14:paraId="2A801D04" w14:textId="77777777" w:rsidR="0014798C" w:rsidRDefault="0014798C">
      <w:pPr>
        <w:pStyle w:val="Textoindependiente"/>
        <w:rPr>
          <w:sz w:val="8"/>
        </w:rPr>
      </w:pPr>
    </w:p>
    <w:p w14:paraId="0FE5DC73" w14:textId="77777777" w:rsidR="0014798C" w:rsidRDefault="0014798C">
      <w:pPr>
        <w:pStyle w:val="Textoindependiente"/>
        <w:rPr>
          <w:sz w:val="8"/>
        </w:rPr>
      </w:pPr>
    </w:p>
    <w:p w14:paraId="0046F1E3" w14:textId="77777777" w:rsidR="0014798C" w:rsidRDefault="0014798C">
      <w:pPr>
        <w:pStyle w:val="Textoindependiente"/>
        <w:spacing w:before="36"/>
        <w:rPr>
          <w:sz w:val="8"/>
        </w:rPr>
      </w:pPr>
    </w:p>
    <w:p w14:paraId="3CBA373B" w14:textId="77777777" w:rsidR="0014798C" w:rsidRDefault="004E1F0B">
      <w:pPr>
        <w:jc w:val="right"/>
        <w:rPr>
          <w:sz w:val="8"/>
        </w:rPr>
      </w:pPr>
      <w:r>
        <w:rPr>
          <w:spacing w:val="-5"/>
          <w:w w:val="105"/>
          <w:sz w:val="8"/>
        </w:rPr>
        <w:t>829</w:t>
      </w:r>
    </w:p>
    <w:p w14:paraId="4EE59AE4" w14:textId="77777777" w:rsidR="0014798C" w:rsidRDefault="004E1F0B">
      <w:pPr>
        <w:spacing w:before="57" w:line="312" w:lineRule="auto"/>
        <w:ind w:left="78" w:right="1594" w:firstLine="2"/>
        <w:rPr>
          <w:sz w:val="12"/>
        </w:rPr>
      </w:pPr>
      <w:r>
        <w:br w:type="column"/>
      </w:r>
      <w:r>
        <w:rPr>
          <w:sz w:val="12"/>
        </w:rPr>
        <w:t>Véase, por ejemplo, A/75/258, párr. 89c). Véase también el Comité de los Derechos del Niño; que ha distinguido las evaluaciones de impacto sobre los derechos</w:t>
      </w:r>
      <w:r>
        <w:rPr>
          <w:spacing w:val="40"/>
          <w:sz w:val="12"/>
        </w:rPr>
        <w:t xml:space="preserve"> </w:t>
      </w:r>
      <w:r>
        <w:rPr>
          <w:sz w:val="12"/>
        </w:rPr>
        <w:t>del niño de las evaluaciones de impacto sobre los derechos del niño. Ambos son requeridos bajo el Convenio, sin embargo, el primero es un deber ex ante (es</w:t>
      </w:r>
      <w:r>
        <w:rPr>
          <w:spacing w:val="80"/>
          <w:sz w:val="12"/>
        </w:rPr>
        <w:t xml:space="preserve"> </w:t>
      </w:r>
      <w:r>
        <w:rPr>
          <w:sz w:val="12"/>
        </w:rPr>
        <w:t>decir, se requiere antes de que se adopte cualquier política), mientras que el segundo es un deber ex post (es decir, se aplica después de que se haya adoptado la</w:t>
      </w:r>
      <w:r>
        <w:rPr>
          <w:spacing w:val="40"/>
          <w:sz w:val="12"/>
        </w:rPr>
        <w:t xml:space="preserve"> </w:t>
      </w:r>
      <w:r>
        <w:rPr>
          <w:sz w:val="12"/>
        </w:rPr>
        <w:t>política, para evaluar su impacto). impacto). Véase Comité de los Derechos del Niño, observación general núm. 5 (2003), párr. 45; y observación general núm.</w:t>
      </w:r>
    </w:p>
    <w:p w14:paraId="5973F77D" w14:textId="77777777" w:rsidR="0014798C" w:rsidRDefault="004E1F0B">
      <w:pPr>
        <w:spacing w:before="2"/>
        <w:ind w:left="77"/>
        <w:rPr>
          <w:sz w:val="12"/>
        </w:rPr>
      </w:pPr>
      <w:r>
        <w:rPr>
          <w:sz w:val="12"/>
        </w:rPr>
        <w:t>14</w:t>
      </w:r>
      <w:r>
        <w:rPr>
          <w:spacing w:val="-2"/>
          <w:sz w:val="12"/>
        </w:rPr>
        <w:t xml:space="preserve"> </w:t>
      </w:r>
      <w:r>
        <w:rPr>
          <w:sz w:val="12"/>
        </w:rPr>
        <w:t>(2013),</w:t>
      </w:r>
      <w:r>
        <w:rPr>
          <w:spacing w:val="-1"/>
          <w:sz w:val="12"/>
        </w:rPr>
        <w:t xml:space="preserve"> </w:t>
      </w:r>
      <w:r>
        <w:rPr>
          <w:sz w:val="12"/>
        </w:rPr>
        <w:t>párr.</w:t>
      </w:r>
      <w:r>
        <w:rPr>
          <w:spacing w:val="-1"/>
          <w:sz w:val="12"/>
        </w:rPr>
        <w:t xml:space="preserve"> </w:t>
      </w:r>
      <w:r>
        <w:rPr>
          <w:spacing w:val="-5"/>
          <w:sz w:val="12"/>
        </w:rPr>
        <w:t>99.</w:t>
      </w:r>
    </w:p>
    <w:p w14:paraId="50EA6E5F" w14:textId="77777777" w:rsidR="0014798C" w:rsidRDefault="004E1F0B">
      <w:pPr>
        <w:spacing w:before="99"/>
        <w:ind w:left="76"/>
        <w:rPr>
          <w:sz w:val="12"/>
        </w:rPr>
      </w:pPr>
      <w:r>
        <w:rPr>
          <w:spacing w:val="-2"/>
          <w:sz w:val="12"/>
        </w:rPr>
        <w:t>A/HRC/44/57,</w:t>
      </w:r>
      <w:r>
        <w:rPr>
          <w:spacing w:val="-5"/>
          <w:sz w:val="12"/>
        </w:rPr>
        <w:t xml:space="preserve"> </w:t>
      </w:r>
      <w:r>
        <w:rPr>
          <w:spacing w:val="-2"/>
          <w:sz w:val="12"/>
        </w:rPr>
        <w:t>párr.</w:t>
      </w:r>
      <w:r>
        <w:rPr>
          <w:spacing w:val="-4"/>
          <w:sz w:val="12"/>
        </w:rPr>
        <w:t xml:space="preserve"> </w:t>
      </w:r>
      <w:r>
        <w:rPr>
          <w:spacing w:val="-2"/>
          <w:sz w:val="12"/>
        </w:rPr>
        <w:t>56;</w:t>
      </w:r>
      <w:r>
        <w:rPr>
          <w:spacing w:val="-4"/>
          <w:sz w:val="12"/>
        </w:rPr>
        <w:t xml:space="preserve"> </w:t>
      </w:r>
      <w:r>
        <w:rPr>
          <w:spacing w:val="-2"/>
          <w:sz w:val="12"/>
        </w:rPr>
        <w:t>y</w:t>
      </w:r>
      <w:r>
        <w:rPr>
          <w:spacing w:val="-4"/>
          <w:sz w:val="12"/>
        </w:rPr>
        <w:t xml:space="preserve"> </w:t>
      </w:r>
      <w:r>
        <w:rPr>
          <w:spacing w:val="-2"/>
          <w:sz w:val="12"/>
        </w:rPr>
        <w:t>A/75/258,</w:t>
      </w:r>
      <w:r>
        <w:rPr>
          <w:spacing w:val="-4"/>
          <w:sz w:val="12"/>
        </w:rPr>
        <w:t xml:space="preserve"> </w:t>
      </w:r>
      <w:r>
        <w:rPr>
          <w:spacing w:val="-2"/>
          <w:sz w:val="12"/>
        </w:rPr>
        <w:t>párr.</w:t>
      </w:r>
      <w:r>
        <w:rPr>
          <w:spacing w:val="-4"/>
          <w:sz w:val="12"/>
        </w:rPr>
        <w:t xml:space="preserve"> </w:t>
      </w:r>
      <w:r>
        <w:rPr>
          <w:spacing w:val="-5"/>
          <w:sz w:val="12"/>
        </w:rPr>
        <w:t>89.</w:t>
      </w:r>
    </w:p>
    <w:p w14:paraId="4C9904EF" w14:textId="77777777" w:rsidR="0014798C" w:rsidRDefault="0014798C">
      <w:pPr>
        <w:rPr>
          <w:sz w:val="12"/>
        </w:rPr>
        <w:sectPr w:rsidR="0014798C" w:rsidSect="00F265E4">
          <w:type w:val="continuous"/>
          <w:pgSz w:w="11900" w:h="16820"/>
          <w:pgMar w:top="40" w:right="0" w:bottom="280" w:left="200" w:header="121" w:footer="0" w:gutter="0"/>
          <w:cols w:num="2" w:space="720" w:equalWidth="0">
            <w:col w:w="1250" w:space="40"/>
            <w:col w:w="10410"/>
          </w:cols>
        </w:sectPr>
      </w:pPr>
    </w:p>
    <w:p w14:paraId="0A8A0DBF" w14:textId="77777777" w:rsidR="0014798C" w:rsidRDefault="0014798C">
      <w:pPr>
        <w:sectPr w:rsidR="0014798C" w:rsidSect="00F265E4">
          <w:type w:val="continuous"/>
          <w:pgSz w:w="11900" w:h="16820"/>
          <w:pgMar w:top="40" w:right="0" w:bottom="280" w:left="200" w:header="121" w:footer="0" w:gutter="0"/>
          <w:cols w:space="720"/>
        </w:sectPr>
      </w:pPr>
    </w:p>
    <w:p w14:paraId="6D3E178D" w14:textId="77777777" w:rsidR="0014798C" w:rsidRDefault="0014798C">
      <w:pPr>
        <w:pStyle w:val="Textoindependiente"/>
        <w:spacing w:before="51"/>
        <w:rPr>
          <w:sz w:val="14"/>
        </w:rPr>
      </w:pPr>
    </w:p>
    <w:p w14:paraId="021A5AC9" w14:textId="77777777" w:rsidR="0014798C" w:rsidRDefault="004E1F0B">
      <w:pPr>
        <w:ind w:left="1111"/>
        <w:rPr>
          <w:sz w:val="14"/>
        </w:rPr>
      </w:pPr>
      <w:r>
        <w:rPr>
          <w:color w:val="00AC59"/>
          <w:sz w:val="14"/>
        </w:rPr>
        <w:t>SEGUNDA</w:t>
      </w:r>
      <w:r>
        <w:rPr>
          <w:color w:val="00AC59"/>
          <w:spacing w:val="-5"/>
          <w:sz w:val="14"/>
        </w:rPr>
        <w:t xml:space="preserve"> </w:t>
      </w:r>
      <w:r>
        <w:rPr>
          <w:color w:val="00AC59"/>
          <w:sz w:val="14"/>
        </w:rPr>
        <w:t>PARTE:</w:t>
      </w:r>
      <w:r>
        <w:rPr>
          <w:color w:val="00AC59"/>
          <w:spacing w:val="-5"/>
          <w:sz w:val="14"/>
        </w:rPr>
        <w:t xml:space="preserve"> </w:t>
      </w:r>
      <w:r>
        <w:rPr>
          <w:color w:val="00AC59"/>
          <w:sz w:val="14"/>
        </w:rPr>
        <w:t>CONTENIDO</w:t>
      </w:r>
      <w:r>
        <w:rPr>
          <w:color w:val="00AC59"/>
          <w:spacing w:val="-4"/>
          <w:sz w:val="14"/>
        </w:rPr>
        <w:t xml:space="preserve"> </w:t>
      </w:r>
      <w:r>
        <w:rPr>
          <w:color w:val="00AC59"/>
          <w:sz w:val="14"/>
        </w:rPr>
        <w:t>DE</w:t>
      </w:r>
      <w:r>
        <w:rPr>
          <w:color w:val="00AC59"/>
          <w:spacing w:val="-5"/>
          <w:sz w:val="14"/>
        </w:rPr>
        <w:t xml:space="preserve"> </w:t>
      </w:r>
      <w:r>
        <w:rPr>
          <w:color w:val="00AC59"/>
          <w:sz w:val="14"/>
        </w:rPr>
        <w:t>LA</w:t>
      </w:r>
      <w:r>
        <w:rPr>
          <w:color w:val="00AC59"/>
          <w:spacing w:val="-4"/>
          <w:sz w:val="14"/>
        </w:rPr>
        <w:t xml:space="preserve"> </w:t>
      </w:r>
      <w:r>
        <w:rPr>
          <w:color w:val="00AC59"/>
          <w:sz w:val="14"/>
        </w:rPr>
        <w:t>LEY</w:t>
      </w:r>
      <w:r>
        <w:rPr>
          <w:color w:val="00AC59"/>
          <w:spacing w:val="-4"/>
          <w:sz w:val="14"/>
        </w:rPr>
        <w:t xml:space="preserve"> </w:t>
      </w:r>
      <w:r>
        <w:rPr>
          <w:color w:val="00AC59"/>
          <w:sz w:val="14"/>
        </w:rPr>
        <w:t>INTEGRAL</w:t>
      </w:r>
      <w:r>
        <w:rPr>
          <w:color w:val="00AC59"/>
          <w:spacing w:val="-5"/>
          <w:sz w:val="14"/>
        </w:rPr>
        <w:t xml:space="preserve"> </w:t>
      </w:r>
      <w:r>
        <w:rPr>
          <w:color w:val="00AC59"/>
          <w:spacing w:val="-2"/>
          <w:sz w:val="14"/>
        </w:rPr>
        <w:t>ANTIDISCRIMINACIÓN</w:t>
      </w:r>
    </w:p>
    <w:p w14:paraId="48198D7D" w14:textId="77777777" w:rsidR="0014798C" w:rsidRDefault="0014798C">
      <w:pPr>
        <w:pStyle w:val="Textoindependiente"/>
      </w:pPr>
    </w:p>
    <w:p w14:paraId="1755BE4B" w14:textId="77777777" w:rsidR="0014798C" w:rsidRDefault="0014798C">
      <w:pPr>
        <w:pStyle w:val="Textoindependiente"/>
      </w:pPr>
    </w:p>
    <w:p w14:paraId="4F721178" w14:textId="77777777" w:rsidR="0014798C" w:rsidRDefault="0014798C">
      <w:pPr>
        <w:pStyle w:val="Textoindependiente"/>
      </w:pPr>
    </w:p>
    <w:p w14:paraId="66151AB5" w14:textId="77777777" w:rsidR="0014798C" w:rsidRDefault="0014798C">
      <w:pPr>
        <w:pStyle w:val="Textoindependiente"/>
      </w:pPr>
    </w:p>
    <w:p w14:paraId="52AE8418" w14:textId="77777777" w:rsidR="0014798C" w:rsidRDefault="0014798C">
      <w:pPr>
        <w:pStyle w:val="Textoindependiente"/>
        <w:spacing w:before="40"/>
      </w:pPr>
    </w:p>
    <w:p w14:paraId="0C0E6D9B" w14:textId="77777777" w:rsidR="0014798C" w:rsidRDefault="004E1F0B">
      <w:pPr>
        <w:pStyle w:val="Textoindependiente"/>
        <w:spacing w:line="326" w:lineRule="auto"/>
        <w:ind w:left="2210" w:right="1807" w:hanging="329"/>
      </w:pPr>
      <w:r>
        <w:rPr>
          <w:noProof/>
        </w:rPr>
        <w:drawing>
          <wp:anchor distT="0" distB="0" distL="0" distR="0" simplePos="0" relativeHeight="251658450" behindDoc="1" locked="0" layoutInCell="1" allowOverlap="1" wp14:anchorId="23FE51F2" wp14:editId="6E9A85A8">
            <wp:simplePos x="0" y="0"/>
            <wp:positionH relativeFrom="page">
              <wp:posOffset>808662</wp:posOffset>
            </wp:positionH>
            <wp:positionV relativeFrom="paragraph">
              <wp:posOffset>-139128</wp:posOffset>
            </wp:positionV>
            <wp:extent cx="6747837" cy="7800460"/>
            <wp:effectExtent l="0" t="0" r="0" b="0"/>
            <wp:wrapNone/>
            <wp:docPr id="253" name="Image 25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53" name="Image 253"/>
                    <pic:cNvPicPr/>
                  </pic:nvPicPr>
                  <pic:blipFill>
                    <a:blip r:embed="rId226" cstate="print"/>
                    <a:stretch>
                      <a:fillRect/>
                    </a:stretch>
                  </pic:blipFill>
                  <pic:spPr>
                    <a:xfrm>
                      <a:off x="0" y="0"/>
                      <a:ext cx="6747837" cy="7800460"/>
                    </a:xfrm>
                    <a:prstGeom prst="rect">
                      <a:avLst/>
                    </a:prstGeom>
                  </pic:spPr>
                </pic:pic>
              </a:graphicData>
            </a:graphic>
          </wp:anchor>
        </w:drawing>
      </w:r>
      <w:r>
        <w:t>(c)</w:t>
      </w:r>
      <w:r>
        <w:rPr>
          <w:spacing w:val="-3"/>
        </w:rPr>
        <w:t xml:space="preserve"> </w:t>
      </w:r>
      <w:r>
        <w:t>fomentar</w:t>
      </w:r>
      <w:r>
        <w:rPr>
          <w:spacing w:val="-3"/>
        </w:rPr>
        <w:t xml:space="preserve"> </w:t>
      </w:r>
      <w:r>
        <w:t>buenas</w:t>
      </w:r>
      <w:r>
        <w:rPr>
          <w:spacing w:val="-3"/>
        </w:rPr>
        <w:t xml:space="preserve"> </w:t>
      </w:r>
      <w:r>
        <w:t>relaciones</w:t>
      </w:r>
      <w:r>
        <w:rPr>
          <w:spacing w:val="-3"/>
        </w:rPr>
        <w:t xml:space="preserve"> </w:t>
      </w:r>
      <w:r>
        <w:t>entre</w:t>
      </w:r>
      <w:r>
        <w:rPr>
          <w:spacing w:val="-3"/>
        </w:rPr>
        <w:t xml:space="preserve"> </w:t>
      </w:r>
      <w:r>
        <w:t>personas</w:t>
      </w:r>
      <w:r>
        <w:rPr>
          <w:spacing w:val="-3"/>
        </w:rPr>
        <w:t xml:space="preserve"> </w:t>
      </w:r>
      <w:r>
        <w:t>que</w:t>
      </w:r>
      <w:r>
        <w:rPr>
          <w:spacing w:val="-3"/>
        </w:rPr>
        <w:t xml:space="preserve"> </w:t>
      </w:r>
      <w:r>
        <w:t>comparten</w:t>
      </w:r>
      <w:r>
        <w:rPr>
          <w:spacing w:val="-3"/>
        </w:rPr>
        <w:t xml:space="preserve"> </w:t>
      </w:r>
      <w:r>
        <w:t>una</w:t>
      </w:r>
      <w:r>
        <w:rPr>
          <w:spacing w:val="-3"/>
        </w:rPr>
        <w:t xml:space="preserve"> </w:t>
      </w:r>
      <w:r>
        <w:t>característica</w:t>
      </w:r>
      <w:r>
        <w:rPr>
          <w:spacing w:val="-3"/>
        </w:rPr>
        <w:t xml:space="preserve"> </w:t>
      </w:r>
      <w:r>
        <w:t>protegida</w:t>
      </w:r>
      <w:r>
        <w:rPr>
          <w:spacing w:val="-3"/>
        </w:rPr>
        <w:t xml:space="preserve"> </w:t>
      </w:r>
      <w:r>
        <w:t>relevante</w:t>
      </w:r>
      <w:r>
        <w:rPr>
          <w:spacing w:val="-3"/>
        </w:rPr>
        <w:t xml:space="preserve"> </w:t>
      </w:r>
      <w:r>
        <w:t>y</w:t>
      </w:r>
      <w:r>
        <w:rPr>
          <w:spacing w:val="-3"/>
        </w:rPr>
        <w:t xml:space="preserve"> </w:t>
      </w:r>
      <w:r>
        <w:t>personas que no la comparten.</w:t>
      </w:r>
    </w:p>
    <w:p w14:paraId="208F8177" w14:textId="77777777" w:rsidR="0014798C" w:rsidRDefault="004E1F0B">
      <w:pPr>
        <w:pStyle w:val="Textoindependiente"/>
        <w:spacing w:before="112" w:line="326" w:lineRule="auto"/>
        <w:ind w:left="1332" w:right="1553"/>
      </w:pPr>
      <w:r>
        <w:rPr>
          <w:noProof/>
        </w:rPr>
        <mc:AlternateContent>
          <mc:Choice Requires="wps">
            <w:drawing>
              <wp:anchor distT="0" distB="0" distL="0" distR="0" simplePos="0" relativeHeight="251658299" behindDoc="0" locked="0" layoutInCell="1" allowOverlap="1" wp14:anchorId="39066894" wp14:editId="45E6DAFE">
                <wp:simplePos x="0" y="0"/>
                <wp:positionH relativeFrom="page">
                  <wp:posOffset>7311619</wp:posOffset>
                </wp:positionH>
                <wp:positionV relativeFrom="paragraph">
                  <wp:posOffset>1393389</wp:posOffset>
                </wp:positionV>
                <wp:extent cx="85725" cy="290195"/>
                <wp:effectExtent l="0" t="0" r="0" b="0"/>
                <wp:wrapNone/>
                <wp:docPr id="254" name="Textbox 25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85725" cy="290195"/>
                        </a:xfrm>
                        <a:prstGeom prst="rect">
                          <a:avLst/>
                        </a:prstGeom>
                      </wps:spPr>
                      <wps:txbx>
                        <w:txbxContent>
                          <w:p w14:paraId="65B72F95" w14:textId="77777777" w:rsidR="0014798C" w:rsidRDefault="004E1F0B">
                            <w:pPr>
                              <w:spacing w:before="21"/>
                              <w:ind w:left="20"/>
                              <w:rPr>
                                <w:sz w:val="8"/>
                              </w:rPr>
                            </w:pPr>
                            <w:r>
                              <w:rPr>
                                <w:color w:val="FFFFFF"/>
                                <w:spacing w:val="-28"/>
                                <w:w w:val="105"/>
                                <w:sz w:val="8"/>
                              </w:rPr>
                              <w:t>P–V</w:t>
                            </w:r>
                            <w:r>
                              <w:rPr>
                                <w:spacing w:val="-28"/>
                                <w:w w:val="105"/>
                                <w:sz w:val="8"/>
                              </w:rPr>
                              <w:t>S</w:t>
                            </w:r>
                            <w:r>
                              <w:rPr>
                                <w:color w:val="FFFFFF"/>
                                <w:spacing w:val="-28"/>
                                <w:w w:val="105"/>
                                <w:sz w:val="8"/>
                              </w:rPr>
                              <w:t>A</w:t>
                            </w:r>
                            <w:r>
                              <w:rPr>
                                <w:spacing w:val="-28"/>
                                <w:w w:val="105"/>
                                <w:sz w:val="8"/>
                              </w:rPr>
                              <w:t>E</w:t>
                            </w:r>
                            <w:r>
                              <w:rPr>
                                <w:color w:val="FFFFFF"/>
                                <w:spacing w:val="-28"/>
                                <w:w w:val="105"/>
                                <w:sz w:val="8"/>
                              </w:rPr>
                              <w:t>R</w:t>
                            </w:r>
                            <w:r>
                              <w:rPr>
                                <w:spacing w:val="-28"/>
                                <w:w w:val="105"/>
                                <w:sz w:val="8"/>
                              </w:rPr>
                              <w:t>G</w:t>
                            </w:r>
                            <w:r>
                              <w:rPr>
                                <w:color w:val="FFFFFF"/>
                                <w:spacing w:val="-28"/>
                                <w:w w:val="105"/>
                                <w:sz w:val="8"/>
                              </w:rPr>
                              <w:t>T</w:t>
                            </w:r>
                            <w:r>
                              <w:rPr>
                                <w:spacing w:val="-28"/>
                                <w:w w:val="105"/>
                                <w:sz w:val="8"/>
                              </w:rPr>
                              <w:t>U</w:t>
                            </w:r>
                            <w:r>
                              <w:rPr>
                                <w:color w:val="FFFFFF"/>
                                <w:spacing w:val="-28"/>
                                <w:w w:val="105"/>
                                <w:sz w:val="8"/>
                              </w:rPr>
                              <w:t>E</w:t>
                            </w:r>
                            <w:r>
                              <w:rPr>
                                <w:spacing w:val="-28"/>
                                <w:w w:val="105"/>
                                <w:sz w:val="8"/>
                              </w:rPr>
                              <w:t>NDA</w:t>
                            </w:r>
                          </w:p>
                        </w:txbxContent>
                      </wps:txbx>
                      <wps:bodyPr vert="vert270" wrap="square" lIns="0" tIns="0" rIns="0" bIns="0" rtlCol="0">
                        <a:noAutofit/>
                      </wps:bodyPr>
                    </wps:wsp>
                  </a:graphicData>
                </a:graphic>
              </wp:anchor>
            </w:drawing>
          </mc:Choice>
          <mc:Fallback>
            <w:pict>
              <v:shape w14:anchorId="39066894" id="Textbox 254" o:spid="_x0000_s1126" type="#_x0000_t202" style="position:absolute;left:0;text-align:left;margin-left:575.7pt;margin-top:109.7pt;width:6.75pt;height:22.85pt;z-index:251658299;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" filled="f" stroked="f">
                <v:textbox style="layout-flow:vertical;mso-layout-flow-alt:bottom-to-top" inset="0,0,0,0">
                  <w:txbxContent>
                    <w:p w14:paraId="65B72F95" w14:textId="77777777" w:rsidR="0014798C" w:rsidRDefault="004E1F0B">
                      <w:pPr>
                        <w:spacing w:before="21"/>
                        <w:ind w:left="20"/>
                        <w:rPr>
                          <w:sz w:val="8"/>
                        </w:rPr>
                      </w:pPr>
                      <w:r>
                        <w:rPr>
                          <w:color w:val="FFFFFF"/>
                          <w:spacing w:val="-28"/>
                          <w:w w:val="105"/>
                          <w:sz w:val="8"/>
                        </w:rPr>
                        <w:t>P–V</w:t>
                      </w:r>
                      <w:r>
                        <w:rPr>
                          <w:spacing w:val="-28"/>
                          <w:w w:val="105"/>
                          <w:sz w:val="8"/>
                        </w:rPr>
                        <w:t>S</w:t>
                      </w:r>
                      <w:r>
                        <w:rPr>
                          <w:color w:val="FFFFFF"/>
                          <w:spacing w:val="-28"/>
                          <w:w w:val="105"/>
                          <w:sz w:val="8"/>
                        </w:rPr>
                        <w:t>A</w:t>
                      </w:r>
                      <w:r>
                        <w:rPr>
                          <w:spacing w:val="-28"/>
                          <w:w w:val="105"/>
                          <w:sz w:val="8"/>
                        </w:rPr>
                        <w:t>E</w:t>
                      </w:r>
                      <w:r>
                        <w:rPr>
                          <w:color w:val="FFFFFF"/>
                          <w:spacing w:val="-28"/>
                          <w:w w:val="105"/>
                          <w:sz w:val="8"/>
                        </w:rPr>
                        <w:t>R</w:t>
                      </w:r>
                      <w:r>
                        <w:rPr>
                          <w:spacing w:val="-28"/>
                          <w:w w:val="105"/>
                          <w:sz w:val="8"/>
                        </w:rPr>
                        <w:t>G</w:t>
                      </w:r>
                      <w:r>
                        <w:rPr>
                          <w:color w:val="FFFFFF"/>
                          <w:spacing w:val="-28"/>
                          <w:w w:val="105"/>
                          <w:sz w:val="8"/>
                        </w:rPr>
                        <w:t>T</w:t>
                      </w:r>
                      <w:r>
                        <w:rPr>
                          <w:spacing w:val="-28"/>
                          <w:w w:val="105"/>
                          <w:sz w:val="8"/>
                        </w:rPr>
                        <w:t>U</w:t>
                      </w:r>
                      <w:r>
                        <w:rPr>
                          <w:color w:val="FFFFFF"/>
                          <w:spacing w:val="-28"/>
                          <w:w w:val="105"/>
                          <w:sz w:val="8"/>
                        </w:rPr>
                        <w:t>E</w:t>
                      </w:r>
                      <w:r>
                        <w:rPr>
                          <w:spacing w:val="-28"/>
                          <w:w w:val="105"/>
                          <w:sz w:val="8"/>
                        </w:rPr>
                        <w:t>NDA</w:t>
                      </w:r>
                    </w:p>
                  </w:txbxContent>
                </v:textbox>
                <w10:wrap anchorx="page"/>
              </v:shape>
            </w:pict>
          </mc:Fallback>
        </mc:AlternateContent>
      </w:r>
      <w:r>
        <w:t>El término "debida consideración" se explica en el artículo 149 (3) de la Ley, como el requisito de que las autoridades públicas tengan debidamente en cuenta la necesidad de "eliminar o minimizar las desventajas" experimentadas por las personas</w:t>
      </w:r>
      <w:r>
        <w:rPr>
          <w:spacing w:val="-2"/>
        </w:rPr>
        <w:t xml:space="preserve"> </w:t>
      </w:r>
      <w:r>
        <w:t>que</w:t>
      </w:r>
      <w:r>
        <w:rPr>
          <w:spacing w:val="-2"/>
        </w:rPr>
        <w:t xml:space="preserve"> </w:t>
      </w:r>
      <w:r>
        <w:t>pertenecen</w:t>
      </w:r>
      <w:r>
        <w:rPr>
          <w:spacing w:val="-2"/>
        </w:rPr>
        <w:t xml:space="preserve"> </w:t>
      </w:r>
      <w:r>
        <w:t>a</w:t>
      </w:r>
      <w:r>
        <w:rPr>
          <w:spacing w:val="-2"/>
        </w:rPr>
        <w:t xml:space="preserve"> </w:t>
      </w:r>
      <w:r>
        <w:t>un</w:t>
      </w:r>
      <w:r>
        <w:rPr>
          <w:spacing w:val="-2"/>
        </w:rPr>
        <w:t xml:space="preserve"> </w:t>
      </w:r>
      <w:r>
        <w:t>grupo</w:t>
      </w:r>
      <w:r>
        <w:rPr>
          <w:spacing w:val="-2"/>
        </w:rPr>
        <w:t xml:space="preserve"> </w:t>
      </w:r>
      <w:r>
        <w:t>protegido,</w:t>
      </w:r>
      <w:r>
        <w:rPr>
          <w:spacing w:val="-1"/>
        </w:rPr>
        <w:t xml:space="preserve"> </w:t>
      </w:r>
      <w:r>
        <w:t>de</w:t>
      </w:r>
      <w:r>
        <w:rPr>
          <w:spacing w:val="-2"/>
        </w:rPr>
        <w:t xml:space="preserve"> </w:t>
      </w:r>
      <w:r>
        <w:t>"adoptar</w:t>
      </w:r>
      <w:r>
        <w:rPr>
          <w:spacing w:val="-2"/>
        </w:rPr>
        <w:t xml:space="preserve"> </w:t>
      </w:r>
      <w:r>
        <w:t>medidas</w:t>
      </w:r>
      <w:r>
        <w:rPr>
          <w:spacing w:val="-2"/>
        </w:rPr>
        <w:t xml:space="preserve"> </w:t>
      </w:r>
      <w:r>
        <w:t>para</w:t>
      </w:r>
      <w:r>
        <w:rPr>
          <w:spacing w:val="-2"/>
        </w:rPr>
        <w:t xml:space="preserve"> </w:t>
      </w:r>
      <w:r>
        <w:t>satisfacer</w:t>
      </w:r>
      <w:r>
        <w:rPr>
          <w:spacing w:val="-2"/>
        </w:rPr>
        <w:t xml:space="preserve"> </w:t>
      </w:r>
      <w:r>
        <w:t>las</w:t>
      </w:r>
      <w:r>
        <w:rPr>
          <w:spacing w:val="-2"/>
        </w:rPr>
        <w:t xml:space="preserve"> </w:t>
      </w:r>
      <w:r>
        <w:t>necesidades”</w:t>
      </w:r>
      <w:r>
        <w:rPr>
          <w:spacing w:val="-2"/>
        </w:rPr>
        <w:t xml:space="preserve"> </w:t>
      </w:r>
      <w:r>
        <w:t>de</w:t>
      </w:r>
      <w:r>
        <w:rPr>
          <w:spacing w:val="-2"/>
        </w:rPr>
        <w:t xml:space="preserve"> </w:t>
      </w:r>
      <w:r>
        <w:t>dichas</w:t>
      </w:r>
      <w:r>
        <w:rPr>
          <w:spacing w:val="-2"/>
        </w:rPr>
        <w:t xml:space="preserve"> </w:t>
      </w:r>
      <w:r>
        <w:t>personas</w:t>
      </w:r>
      <w:r>
        <w:rPr>
          <w:spacing w:val="-2"/>
        </w:rPr>
        <w:t xml:space="preserve"> </w:t>
      </w:r>
      <w:r>
        <w:t>y “alentar a las personas que comparten una característica protegida relevante a participar en la vida pública o en cualquier otra</w:t>
      </w:r>
      <w:r>
        <w:rPr>
          <w:spacing w:val="-3"/>
        </w:rPr>
        <w:t xml:space="preserve"> </w:t>
      </w:r>
      <w:r>
        <w:t>actividad</w:t>
      </w:r>
      <w:r>
        <w:rPr>
          <w:spacing w:val="-3"/>
        </w:rPr>
        <w:t xml:space="preserve"> </w:t>
      </w:r>
      <w:r>
        <w:t>en</w:t>
      </w:r>
      <w:r>
        <w:rPr>
          <w:spacing w:val="-3"/>
        </w:rPr>
        <w:t xml:space="preserve"> </w:t>
      </w:r>
      <w:r>
        <w:t>la</w:t>
      </w:r>
      <w:r>
        <w:rPr>
          <w:spacing w:val="-3"/>
        </w:rPr>
        <w:t xml:space="preserve"> </w:t>
      </w:r>
      <w:r>
        <w:t>que</w:t>
      </w:r>
      <w:r>
        <w:rPr>
          <w:spacing w:val="-3"/>
        </w:rPr>
        <w:t xml:space="preserve"> </w:t>
      </w:r>
      <w:r>
        <w:t>la</w:t>
      </w:r>
      <w:r>
        <w:rPr>
          <w:spacing w:val="-3"/>
        </w:rPr>
        <w:t xml:space="preserve"> </w:t>
      </w:r>
      <w:r>
        <w:t>participación</w:t>
      </w:r>
      <w:r>
        <w:rPr>
          <w:spacing w:val="-3"/>
        </w:rPr>
        <w:t xml:space="preserve"> </w:t>
      </w:r>
      <w:r>
        <w:t>de</w:t>
      </w:r>
      <w:r>
        <w:rPr>
          <w:spacing w:val="-3"/>
        </w:rPr>
        <w:t xml:space="preserve"> </w:t>
      </w:r>
      <w:r>
        <w:t>dichas</w:t>
      </w:r>
      <w:r>
        <w:rPr>
          <w:spacing w:val="-3"/>
        </w:rPr>
        <w:t xml:space="preserve"> </w:t>
      </w:r>
      <w:r>
        <w:t>personas</w:t>
      </w:r>
      <w:r>
        <w:rPr>
          <w:spacing w:val="-3"/>
        </w:rPr>
        <w:t xml:space="preserve"> </w:t>
      </w:r>
      <w:r>
        <w:t>sea</w:t>
      </w:r>
      <w:r>
        <w:rPr>
          <w:spacing w:val="-3"/>
        </w:rPr>
        <w:t xml:space="preserve"> </w:t>
      </w:r>
      <w:r>
        <w:t>desproporcionadamente</w:t>
      </w:r>
      <w:r>
        <w:rPr>
          <w:spacing w:val="-3"/>
        </w:rPr>
        <w:t xml:space="preserve"> </w:t>
      </w:r>
      <w:r>
        <w:t>baja”.</w:t>
      </w:r>
      <w:r>
        <w:rPr>
          <w:spacing w:val="-2"/>
        </w:rPr>
        <w:t xml:space="preserve"> </w:t>
      </w:r>
      <w:r>
        <w:t>Según</w:t>
      </w:r>
      <w:r>
        <w:rPr>
          <w:spacing w:val="-3"/>
        </w:rPr>
        <w:t xml:space="preserve"> </w:t>
      </w:r>
      <w:r>
        <w:t>el</w:t>
      </w:r>
      <w:r>
        <w:rPr>
          <w:spacing w:val="-3"/>
        </w:rPr>
        <w:t xml:space="preserve"> </w:t>
      </w:r>
      <w:r>
        <w:t>artículo</w:t>
      </w:r>
      <w:r>
        <w:rPr>
          <w:spacing w:val="-3"/>
        </w:rPr>
        <w:t xml:space="preserve"> </w:t>
      </w:r>
      <w:r>
        <w:t>149</w:t>
      </w:r>
      <w:r>
        <w:rPr>
          <w:spacing w:val="-3"/>
        </w:rPr>
        <w:t xml:space="preserve"> </w:t>
      </w:r>
      <w:r>
        <w:t>(5),</w:t>
      </w:r>
      <w:r>
        <w:rPr>
          <w:spacing w:val="-2"/>
        </w:rPr>
        <w:t xml:space="preserve"> </w:t>
      </w:r>
      <w:r>
        <w:t>las autoridades públicas deben tener debidamente en cuenta la necesidad de "abordar los prejuicios" y "promover el entendimiento". El artículo 149 (6) reconoce explícitamente que el cumplimiento del deber “puede implicar tratar a algunas personas más favorablemente que a otras”, permitiendo así la adopción de medidas positivas (en la medida en que tales medidas sean compatibles con otras partes de la Ley).</w:t>
      </w:r>
    </w:p>
    <w:p w14:paraId="3C6687E0" w14:textId="77777777" w:rsidR="0014798C" w:rsidRDefault="004E1F0B">
      <w:pPr>
        <w:spacing w:before="95"/>
        <w:ind w:left="1332"/>
        <w:rPr>
          <w:sz w:val="18"/>
        </w:rPr>
      </w:pPr>
      <w:r>
        <w:rPr>
          <w:sz w:val="18"/>
        </w:rPr>
        <w:t>Los</w:t>
      </w:r>
      <w:r>
        <w:rPr>
          <w:spacing w:val="-7"/>
          <w:sz w:val="18"/>
        </w:rPr>
        <w:t xml:space="preserve"> </w:t>
      </w:r>
      <w:r>
        <w:rPr>
          <w:sz w:val="18"/>
        </w:rPr>
        <w:t>tribunales</w:t>
      </w:r>
      <w:r>
        <w:rPr>
          <w:spacing w:val="-4"/>
          <w:sz w:val="18"/>
        </w:rPr>
        <w:t xml:space="preserve"> </w:t>
      </w:r>
      <w:r>
        <w:rPr>
          <w:sz w:val="18"/>
        </w:rPr>
        <w:t>han</w:t>
      </w:r>
      <w:r>
        <w:rPr>
          <w:spacing w:val="-4"/>
          <w:sz w:val="18"/>
        </w:rPr>
        <w:t xml:space="preserve"> </w:t>
      </w:r>
      <w:r>
        <w:rPr>
          <w:sz w:val="18"/>
        </w:rPr>
        <w:t>aclarado</w:t>
      </w:r>
      <w:r>
        <w:rPr>
          <w:spacing w:val="-4"/>
          <w:sz w:val="18"/>
        </w:rPr>
        <w:t xml:space="preserve"> </w:t>
      </w:r>
      <w:r>
        <w:rPr>
          <w:sz w:val="18"/>
        </w:rPr>
        <w:t>aún</w:t>
      </w:r>
      <w:r>
        <w:rPr>
          <w:spacing w:val="-5"/>
          <w:sz w:val="18"/>
        </w:rPr>
        <w:t xml:space="preserve"> </w:t>
      </w:r>
      <w:r>
        <w:rPr>
          <w:sz w:val="18"/>
        </w:rPr>
        <w:t>más</w:t>
      </w:r>
      <w:r>
        <w:rPr>
          <w:spacing w:val="-4"/>
          <w:sz w:val="18"/>
        </w:rPr>
        <w:t xml:space="preserve"> </w:t>
      </w:r>
      <w:r>
        <w:rPr>
          <w:sz w:val="18"/>
        </w:rPr>
        <w:t>el</w:t>
      </w:r>
      <w:r>
        <w:rPr>
          <w:spacing w:val="-4"/>
          <w:sz w:val="18"/>
        </w:rPr>
        <w:t xml:space="preserve"> </w:t>
      </w:r>
      <w:r>
        <w:rPr>
          <w:sz w:val="18"/>
        </w:rPr>
        <w:t>significado</w:t>
      </w:r>
      <w:r>
        <w:rPr>
          <w:spacing w:val="-4"/>
          <w:sz w:val="18"/>
        </w:rPr>
        <w:t xml:space="preserve"> </w:t>
      </w:r>
      <w:r>
        <w:rPr>
          <w:sz w:val="18"/>
        </w:rPr>
        <w:t>del</w:t>
      </w:r>
      <w:r>
        <w:rPr>
          <w:spacing w:val="-5"/>
          <w:sz w:val="18"/>
        </w:rPr>
        <w:t xml:space="preserve"> </w:t>
      </w:r>
      <w:r>
        <w:rPr>
          <w:sz w:val="18"/>
        </w:rPr>
        <w:t>término</w:t>
      </w:r>
      <w:r>
        <w:rPr>
          <w:spacing w:val="-4"/>
          <w:sz w:val="18"/>
        </w:rPr>
        <w:t xml:space="preserve"> </w:t>
      </w:r>
      <w:r>
        <w:rPr>
          <w:sz w:val="18"/>
        </w:rPr>
        <w:t>“debida</w:t>
      </w:r>
      <w:r>
        <w:rPr>
          <w:spacing w:val="-4"/>
          <w:sz w:val="18"/>
        </w:rPr>
        <w:t xml:space="preserve"> </w:t>
      </w:r>
      <w:r>
        <w:rPr>
          <w:sz w:val="18"/>
        </w:rPr>
        <w:t>consideración”.</w:t>
      </w:r>
      <w:r>
        <w:rPr>
          <w:spacing w:val="-2"/>
          <w:sz w:val="18"/>
        </w:rPr>
        <w:t xml:space="preserve"> </w:t>
      </w:r>
      <w:r>
        <w:rPr>
          <w:sz w:val="18"/>
        </w:rPr>
        <w:t>En</w:t>
      </w:r>
      <w:r>
        <w:rPr>
          <w:spacing w:val="-5"/>
          <w:sz w:val="18"/>
        </w:rPr>
        <w:t xml:space="preserve"> </w:t>
      </w:r>
      <w:r>
        <w:rPr>
          <w:sz w:val="18"/>
        </w:rPr>
        <w:t>el</w:t>
      </w:r>
      <w:r>
        <w:rPr>
          <w:spacing w:val="-4"/>
          <w:sz w:val="18"/>
        </w:rPr>
        <w:t xml:space="preserve"> </w:t>
      </w:r>
      <w:r>
        <w:rPr>
          <w:sz w:val="18"/>
        </w:rPr>
        <w:t>caso</w:t>
      </w:r>
      <w:r>
        <w:rPr>
          <w:spacing w:val="-4"/>
          <w:sz w:val="18"/>
        </w:rPr>
        <w:t xml:space="preserve"> </w:t>
      </w:r>
      <w:r>
        <w:rPr>
          <w:sz w:val="18"/>
        </w:rPr>
        <w:t>R</w:t>
      </w:r>
      <w:r>
        <w:rPr>
          <w:spacing w:val="-4"/>
          <w:sz w:val="18"/>
        </w:rPr>
        <w:t xml:space="preserve"> </w:t>
      </w:r>
      <w:r>
        <w:rPr>
          <w:sz w:val="18"/>
        </w:rPr>
        <w:t>(Brown)</w:t>
      </w:r>
      <w:r>
        <w:rPr>
          <w:spacing w:val="-4"/>
          <w:sz w:val="18"/>
        </w:rPr>
        <w:t xml:space="preserve"> </w:t>
      </w:r>
      <w:r>
        <w:rPr>
          <w:spacing w:val="-5"/>
          <w:sz w:val="18"/>
        </w:rPr>
        <w:t>v.</w:t>
      </w:r>
    </w:p>
    <w:p w14:paraId="44776774" w14:textId="77777777" w:rsidR="0014798C" w:rsidRDefault="004E1F0B">
      <w:pPr>
        <w:pStyle w:val="Textoindependiente"/>
        <w:tabs>
          <w:tab w:val="left" w:pos="3574"/>
        </w:tabs>
        <w:spacing w:before="59"/>
        <w:ind w:right="167"/>
        <w:jc w:val="center"/>
      </w:pPr>
      <w:r>
        <w:t>Secretario</w:t>
      </w:r>
      <w:r>
        <w:rPr>
          <w:spacing w:val="-5"/>
        </w:rPr>
        <w:t xml:space="preserve"> </w:t>
      </w:r>
      <w:r>
        <w:t>de</w:t>
      </w:r>
      <w:r>
        <w:rPr>
          <w:spacing w:val="-5"/>
        </w:rPr>
        <w:t xml:space="preserve"> </w:t>
      </w:r>
      <w:r>
        <w:t>Estado</w:t>
      </w:r>
      <w:r>
        <w:rPr>
          <w:spacing w:val="-4"/>
        </w:rPr>
        <w:t xml:space="preserve"> </w:t>
      </w:r>
      <w:r>
        <w:t>de</w:t>
      </w:r>
      <w:r>
        <w:rPr>
          <w:spacing w:val="-5"/>
        </w:rPr>
        <w:t xml:space="preserve"> </w:t>
      </w:r>
      <w:r>
        <w:t>Trabajo</w:t>
      </w:r>
      <w:r>
        <w:rPr>
          <w:spacing w:val="-5"/>
        </w:rPr>
        <w:t xml:space="preserve"> </w:t>
      </w:r>
      <w:r>
        <w:t>y</w:t>
      </w:r>
      <w:r>
        <w:rPr>
          <w:spacing w:val="-4"/>
        </w:rPr>
        <w:t xml:space="preserve"> </w:t>
      </w:r>
      <w:r>
        <w:rPr>
          <w:spacing w:val="-2"/>
        </w:rPr>
        <w:t>Pensiones,</w:t>
      </w:r>
      <w:r>
        <w:tab/>
        <w:t>831</w:t>
      </w:r>
      <w:r>
        <w:rPr>
          <w:spacing w:val="-5"/>
        </w:rPr>
        <w:t xml:space="preserve"> </w:t>
      </w:r>
      <w:r>
        <w:t>El</w:t>
      </w:r>
      <w:r>
        <w:rPr>
          <w:spacing w:val="-3"/>
        </w:rPr>
        <w:t xml:space="preserve"> </w:t>
      </w:r>
      <w:r>
        <w:t>juez</w:t>
      </w:r>
      <w:r>
        <w:rPr>
          <w:spacing w:val="-3"/>
        </w:rPr>
        <w:t xml:space="preserve"> </w:t>
      </w:r>
      <w:proofErr w:type="spellStart"/>
      <w:r>
        <w:t>Aikens</w:t>
      </w:r>
      <w:proofErr w:type="spellEnd"/>
      <w:r>
        <w:rPr>
          <w:spacing w:val="-3"/>
        </w:rPr>
        <w:t xml:space="preserve"> </w:t>
      </w:r>
      <w:r>
        <w:t>pronunció</w:t>
      </w:r>
      <w:r>
        <w:rPr>
          <w:spacing w:val="-3"/>
        </w:rPr>
        <w:t xml:space="preserve"> </w:t>
      </w:r>
      <w:r>
        <w:t>lo</w:t>
      </w:r>
      <w:r>
        <w:rPr>
          <w:spacing w:val="-3"/>
        </w:rPr>
        <w:t xml:space="preserve"> </w:t>
      </w:r>
      <w:r>
        <w:t>que</w:t>
      </w:r>
      <w:r>
        <w:rPr>
          <w:spacing w:val="-3"/>
        </w:rPr>
        <w:t xml:space="preserve"> </w:t>
      </w:r>
      <w:r>
        <w:t>se</w:t>
      </w:r>
      <w:r>
        <w:rPr>
          <w:spacing w:val="-3"/>
        </w:rPr>
        <w:t xml:space="preserve"> </w:t>
      </w:r>
      <w:r>
        <w:t>conoce</w:t>
      </w:r>
      <w:r>
        <w:rPr>
          <w:spacing w:val="-3"/>
        </w:rPr>
        <w:t xml:space="preserve"> </w:t>
      </w:r>
      <w:r>
        <w:t>como</w:t>
      </w:r>
      <w:r>
        <w:rPr>
          <w:spacing w:val="-3"/>
        </w:rPr>
        <w:t xml:space="preserve"> </w:t>
      </w:r>
      <w:r>
        <w:t>los</w:t>
      </w:r>
      <w:r>
        <w:rPr>
          <w:spacing w:val="-3"/>
        </w:rPr>
        <w:t xml:space="preserve"> </w:t>
      </w:r>
      <w:r>
        <w:t>Principios</w:t>
      </w:r>
      <w:r>
        <w:rPr>
          <w:spacing w:val="-2"/>
        </w:rPr>
        <w:t xml:space="preserve"> Brown,</w:t>
      </w:r>
    </w:p>
    <w:p w14:paraId="33C8A721" w14:textId="77777777" w:rsidR="0014798C" w:rsidRDefault="004E1F0B">
      <w:pPr>
        <w:pStyle w:val="Textoindependiente"/>
        <w:spacing w:before="64"/>
        <w:ind w:left="1339"/>
      </w:pPr>
      <w:r>
        <w:t>que</w:t>
      </w:r>
      <w:r>
        <w:rPr>
          <w:spacing w:val="-7"/>
        </w:rPr>
        <w:t xml:space="preserve"> </w:t>
      </w:r>
      <w:r>
        <w:t>establecen</w:t>
      </w:r>
      <w:r>
        <w:rPr>
          <w:spacing w:val="-4"/>
        </w:rPr>
        <w:t xml:space="preserve"> </w:t>
      </w:r>
      <w:r>
        <w:t>seis</w:t>
      </w:r>
      <w:r>
        <w:rPr>
          <w:spacing w:val="-5"/>
        </w:rPr>
        <w:t xml:space="preserve"> </w:t>
      </w:r>
      <w:r>
        <w:t>criterios</w:t>
      </w:r>
      <w:r>
        <w:rPr>
          <w:spacing w:val="-4"/>
        </w:rPr>
        <w:t xml:space="preserve"> </w:t>
      </w:r>
      <w:r>
        <w:t>clave</w:t>
      </w:r>
      <w:r>
        <w:rPr>
          <w:spacing w:val="-4"/>
        </w:rPr>
        <w:t xml:space="preserve"> </w:t>
      </w:r>
      <w:r>
        <w:t>para</w:t>
      </w:r>
      <w:r>
        <w:rPr>
          <w:spacing w:val="-5"/>
        </w:rPr>
        <w:t xml:space="preserve"> </w:t>
      </w:r>
      <w:r>
        <w:t>el</w:t>
      </w:r>
      <w:r>
        <w:rPr>
          <w:spacing w:val="-4"/>
        </w:rPr>
        <w:t xml:space="preserve"> </w:t>
      </w:r>
      <w:r>
        <w:t>funcionamiento</w:t>
      </w:r>
      <w:r>
        <w:rPr>
          <w:spacing w:val="-5"/>
        </w:rPr>
        <w:t xml:space="preserve"> </w:t>
      </w:r>
      <w:r>
        <w:t>del</w:t>
      </w:r>
      <w:r>
        <w:rPr>
          <w:spacing w:val="-4"/>
        </w:rPr>
        <w:t xml:space="preserve"> </w:t>
      </w:r>
      <w:r>
        <w:t>deber</w:t>
      </w:r>
      <w:r>
        <w:rPr>
          <w:spacing w:val="-4"/>
        </w:rPr>
        <w:t xml:space="preserve"> </w:t>
      </w:r>
      <w:r>
        <w:t>de</w:t>
      </w:r>
      <w:r>
        <w:rPr>
          <w:spacing w:val="-5"/>
        </w:rPr>
        <w:t xml:space="preserve"> </w:t>
      </w:r>
      <w:r>
        <w:t>igualdad</w:t>
      </w:r>
      <w:r>
        <w:rPr>
          <w:spacing w:val="-4"/>
        </w:rPr>
        <w:t xml:space="preserve"> </w:t>
      </w:r>
      <w:r>
        <w:t>del</w:t>
      </w:r>
      <w:r>
        <w:rPr>
          <w:spacing w:val="-4"/>
        </w:rPr>
        <w:t xml:space="preserve"> </w:t>
      </w:r>
      <w:r>
        <w:t>sector</w:t>
      </w:r>
      <w:r>
        <w:rPr>
          <w:spacing w:val="-5"/>
        </w:rPr>
        <w:t xml:space="preserve"> </w:t>
      </w:r>
      <w:r>
        <w:t>público,</w:t>
      </w:r>
      <w:r>
        <w:rPr>
          <w:spacing w:val="-3"/>
        </w:rPr>
        <w:t xml:space="preserve"> </w:t>
      </w:r>
      <w:r>
        <w:t>de</w:t>
      </w:r>
      <w:r>
        <w:rPr>
          <w:spacing w:val="-5"/>
        </w:rPr>
        <w:t xml:space="preserve"> </w:t>
      </w:r>
      <w:r>
        <w:t>la</w:t>
      </w:r>
      <w:r>
        <w:rPr>
          <w:spacing w:val="-4"/>
        </w:rPr>
        <w:t xml:space="preserve"> </w:t>
      </w:r>
      <w:r>
        <w:t>siguiente</w:t>
      </w:r>
      <w:r>
        <w:rPr>
          <w:spacing w:val="-4"/>
        </w:rPr>
        <w:t xml:space="preserve"> </w:t>
      </w:r>
      <w:r>
        <w:rPr>
          <w:spacing w:val="-2"/>
        </w:rPr>
        <w:t>manera:</w:t>
      </w:r>
    </w:p>
    <w:p w14:paraId="33C07C99" w14:textId="77777777" w:rsidR="0014798C" w:rsidRDefault="004E1F0B">
      <w:pPr>
        <w:pStyle w:val="Prrafodelista"/>
        <w:numPr>
          <w:ilvl w:val="0"/>
          <w:numId w:val="1"/>
        </w:numPr>
        <w:tabs>
          <w:tab w:val="left" w:pos="1577"/>
        </w:tabs>
        <w:spacing w:before="66"/>
        <w:ind w:left="1577" w:hanging="239"/>
        <w:rPr>
          <w:sz w:val="16"/>
        </w:rPr>
      </w:pPr>
      <w:r>
        <w:rPr>
          <w:sz w:val="16"/>
        </w:rPr>
        <w:t>las</w:t>
      </w:r>
      <w:r>
        <w:rPr>
          <w:spacing w:val="-5"/>
          <w:sz w:val="16"/>
        </w:rPr>
        <w:t xml:space="preserve"> </w:t>
      </w:r>
      <w:r>
        <w:rPr>
          <w:sz w:val="16"/>
        </w:rPr>
        <w:t>autoridades</w:t>
      </w:r>
      <w:r>
        <w:rPr>
          <w:spacing w:val="-3"/>
          <w:sz w:val="16"/>
        </w:rPr>
        <w:t xml:space="preserve"> </w:t>
      </w:r>
      <w:r>
        <w:rPr>
          <w:sz w:val="16"/>
        </w:rPr>
        <w:t>públicas</w:t>
      </w:r>
      <w:r>
        <w:rPr>
          <w:spacing w:val="-2"/>
          <w:sz w:val="16"/>
        </w:rPr>
        <w:t xml:space="preserve"> </w:t>
      </w:r>
      <w:r>
        <w:rPr>
          <w:sz w:val="16"/>
        </w:rPr>
        <w:t>“deben</w:t>
      </w:r>
      <w:r>
        <w:rPr>
          <w:spacing w:val="-3"/>
          <w:sz w:val="16"/>
        </w:rPr>
        <w:t xml:space="preserve"> </w:t>
      </w:r>
      <w:r>
        <w:rPr>
          <w:sz w:val="16"/>
        </w:rPr>
        <w:t>ser</w:t>
      </w:r>
      <w:r>
        <w:rPr>
          <w:spacing w:val="-2"/>
          <w:sz w:val="16"/>
        </w:rPr>
        <w:t xml:space="preserve"> </w:t>
      </w:r>
      <w:r>
        <w:rPr>
          <w:sz w:val="16"/>
        </w:rPr>
        <w:t>conscientes</w:t>
      </w:r>
      <w:r>
        <w:rPr>
          <w:spacing w:val="-3"/>
          <w:sz w:val="16"/>
        </w:rPr>
        <w:t xml:space="preserve"> </w:t>
      </w:r>
      <w:r>
        <w:rPr>
          <w:sz w:val="16"/>
        </w:rPr>
        <w:t>de</w:t>
      </w:r>
      <w:r>
        <w:rPr>
          <w:spacing w:val="-3"/>
          <w:sz w:val="16"/>
        </w:rPr>
        <w:t xml:space="preserve"> </w:t>
      </w:r>
      <w:r>
        <w:rPr>
          <w:sz w:val="16"/>
        </w:rPr>
        <w:t>su</w:t>
      </w:r>
      <w:r>
        <w:rPr>
          <w:spacing w:val="-2"/>
          <w:sz w:val="16"/>
        </w:rPr>
        <w:t xml:space="preserve"> </w:t>
      </w:r>
      <w:r>
        <w:rPr>
          <w:sz w:val="16"/>
        </w:rPr>
        <w:t>deber</w:t>
      </w:r>
      <w:r>
        <w:rPr>
          <w:spacing w:val="-3"/>
          <w:sz w:val="16"/>
        </w:rPr>
        <w:t xml:space="preserve"> </w:t>
      </w:r>
      <w:r>
        <w:rPr>
          <w:sz w:val="16"/>
        </w:rPr>
        <w:t>de</w:t>
      </w:r>
      <w:r>
        <w:rPr>
          <w:spacing w:val="-2"/>
          <w:sz w:val="16"/>
        </w:rPr>
        <w:t xml:space="preserve"> </w:t>
      </w:r>
      <w:r>
        <w:rPr>
          <w:sz w:val="16"/>
        </w:rPr>
        <w:t>tener</w:t>
      </w:r>
      <w:r>
        <w:rPr>
          <w:spacing w:val="-3"/>
          <w:sz w:val="16"/>
        </w:rPr>
        <w:t xml:space="preserve"> </w:t>
      </w:r>
      <w:r>
        <w:rPr>
          <w:sz w:val="16"/>
        </w:rPr>
        <w:t>'debida</w:t>
      </w:r>
      <w:r>
        <w:rPr>
          <w:spacing w:val="-2"/>
          <w:sz w:val="16"/>
        </w:rPr>
        <w:t xml:space="preserve"> </w:t>
      </w:r>
      <w:r>
        <w:rPr>
          <w:sz w:val="16"/>
        </w:rPr>
        <w:t>consideración'</w:t>
      </w:r>
      <w:r>
        <w:rPr>
          <w:spacing w:val="-1"/>
          <w:sz w:val="16"/>
        </w:rPr>
        <w:t xml:space="preserve"> </w:t>
      </w:r>
      <w:r>
        <w:rPr>
          <w:sz w:val="16"/>
        </w:rPr>
        <w:t>'</w:t>
      </w:r>
      <w:r>
        <w:rPr>
          <w:spacing w:val="-3"/>
          <w:sz w:val="16"/>
        </w:rPr>
        <w:t xml:space="preserve"> </w:t>
      </w:r>
      <w:r>
        <w:rPr>
          <w:sz w:val="16"/>
        </w:rPr>
        <w:t>a</w:t>
      </w:r>
      <w:r>
        <w:rPr>
          <w:spacing w:val="-2"/>
          <w:sz w:val="16"/>
        </w:rPr>
        <w:t xml:space="preserve"> </w:t>
      </w:r>
      <w:r>
        <w:rPr>
          <w:sz w:val="16"/>
        </w:rPr>
        <w:t>los</w:t>
      </w:r>
      <w:r>
        <w:rPr>
          <w:spacing w:val="-3"/>
          <w:sz w:val="16"/>
        </w:rPr>
        <w:t xml:space="preserve"> </w:t>
      </w:r>
      <w:r>
        <w:rPr>
          <w:sz w:val="16"/>
        </w:rPr>
        <w:t>objetivos</w:t>
      </w:r>
      <w:r>
        <w:rPr>
          <w:spacing w:val="-2"/>
          <w:sz w:val="16"/>
        </w:rPr>
        <w:t xml:space="preserve"> </w:t>
      </w:r>
      <w:proofErr w:type="gramStart"/>
      <w:r>
        <w:rPr>
          <w:spacing w:val="-2"/>
          <w:sz w:val="16"/>
        </w:rPr>
        <w:t>identificados”;</w:t>
      </w:r>
      <w:proofErr w:type="gramEnd"/>
    </w:p>
    <w:p w14:paraId="7A78CABA" w14:textId="77777777" w:rsidR="0014798C" w:rsidRDefault="004E1F0B">
      <w:pPr>
        <w:pStyle w:val="Prrafodelista"/>
        <w:numPr>
          <w:ilvl w:val="0"/>
          <w:numId w:val="1"/>
        </w:numPr>
        <w:tabs>
          <w:tab w:val="left" w:pos="1573"/>
        </w:tabs>
        <w:spacing w:before="65"/>
        <w:ind w:left="1573" w:hanging="239"/>
        <w:rPr>
          <w:sz w:val="16"/>
        </w:rPr>
      </w:pPr>
      <w:r>
        <w:rPr>
          <w:sz w:val="16"/>
        </w:rPr>
        <w:t>el</w:t>
      </w:r>
      <w:r>
        <w:rPr>
          <w:spacing w:val="-6"/>
          <w:sz w:val="16"/>
        </w:rPr>
        <w:t xml:space="preserve"> </w:t>
      </w:r>
      <w:r>
        <w:rPr>
          <w:sz w:val="16"/>
        </w:rPr>
        <w:t>“deber</w:t>
      </w:r>
      <w:r>
        <w:rPr>
          <w:spacing w:val="-4"/>
          <w:sz w:val="16"/>
        </w:rPr>
        <w:t xml:space="preserve"> </w:t>
      </w:r>
      <w:r>
        <w:rPr>
          <w:sz w:val="16"/>
        </w:rPr>
        <w:t>debe</w:t>
      </w:r>
      <w:r>
        <w:rPr>
          <w:spacing w:val="-4"/>
          <w:sz w:val="16"/>
        </w:rPr>
        <w:t xml:space="preserve"> </w:t>
      </w:r>
      <w:r>
        <w:rPr>
          <w:sz w:val="16"/>
        </w:rPr>
        <w:t>cumplirse</w:t>
      </w:r>
      <w:r>
        <w:rPr>
          <w:spacing w:val="-4"/>
          <w:sz w:val="16"/>
        </w:rPr>
        <w:t xml:space="preserve"> </w:t>
      </w:r>
      <w:r>
        <w:rPr>
          <w:sz w:val="16"/>
        </w:rPr>
        <w:t>antes</w:t>
      </w:r>
      <w:r>
        <w:rPr>
          <w:spacing w:val="-3"/>
          <w:sz w:val="16"/>
        </w:rPr>
        <w:t xml:space="preserve"> </w:t>
      </w:r>
      <w:r>
        <w:rPr>
          <w:sz w:val="16"/>
        </w:rPr>
        <w:t>y</w:t>
      </w:r>
      <w:r>
        <w:rPr>
          <w:spacing w:val="-4"/>
          <w:sz w:val="16"/>
        </w:rPr>
        <w:t xml:space="preserve"> </w:t>
      </w:r>
      <w:r>
        <w:rPr>
          <w:sz w:val="16"/>
        </w:rPr>
        <w:t>en</w:t>
      </w:r>
      <w:r>
        <w:rPr>
          <w:spacing w:val="-4"/>
          <w:sz w:val="16"/>
        </w:rPr>
        <w:t xml:space="preserve"> </w:t>
      </w:r>
      <w:r>
        <w:rPr>
          <w:sz w:val="16"/>
        </w:rPr>
        <w:t>el</w:t>
      </w:r>
      <w:r>
        <w:rPr>
          <w:spacing w:val="-4"/>
          <w:sz w:val="16"/>
        </w:rPr>
        <w:t xml:space="preserve"> </w:t>
      </w:r>
      <w:r>
        <w:rPr>
          <w:sz w:val="16"/>
        </w:rPr>
        <w:t>momento</w:t>
      </w:r>
      <w:r>
        <w:rPr>
          <w:spacing w:val="-4"/>
          <w:sz w:val="16"/>
        </w:rPr>
        <w:t xml:space="preserve"> </w:t>
      </w:r>
      <w:r>
        <w:rPr>
          <w:sz w:val="16"/>
        </w:rPr>
        <w:t>en</w:t>
      </w:r>
      <w:r>
        <w:rPr>
          <w:spacing w:val="-3"/>
          <w:sz w:val="16"/>
        </w:rPr>
        <w:t xml:space="preserve"> </w:t>
      </w:r>
      <w:r>
        <w:rPr>
          <w:sz w:val="16"/>
        </w:rPr>
        <w:t>que</w:t>
      </w:r>
      <w:r>
        <w:rPr>
          <w:spacing w:val="-4"/>
          <w:sz w:val="16"/>
        </w:rPr>
        <w:t xml:space="preserve"> </w:t>
      </w:r>
      <w:r>
        <w:rPr>
          <w:sz w:val="16"/>
        </w:rPr>
        <w:t>se</w:t>
      </w:r>
      <w:r>
        <w:rPr>
          <w:spacing w:val="-4"/>
          <w:sz w:val="16"/>
        </w:rPr>
        <w:t xml:space="preserve"> </w:t>
      </w:r>
      <w:r>
        <w:rPr>
          <w:sz w:val="16"/>
        </w:rPr>
        <w:t>esté</w:t>
      </w:r>
      <w:r>
        <w:rPr>
          <w:spacing w:val="-4"/>
          <w:sz w:val="16"/>
        </w:rPr>
        <w:t xml:space="preserve"> </w:t>
      </w:r>
      <w:r>
        <w:rPr>
          <w:sz w:val="16"/>
        </w:rPr>
        <w:t>considerando</w:t>
      </w:r>
      <w:r>
        <w:rPr>
          <w:spacing w:val="-4"/>
          <w:sz w:val="16"/>
        </w:rPr>
        <w:t xml:space="preserve"> </w:t>
      </w:r>
      <w:r>
        <w:rPr>
          <w:sz w:val="16"/>
        </w:rPr>
        <w:t>una</w:t>
      </w:r>
      <w:r>
        <w:rPr>
          <w:spacing w:val="-3"/>
          <w:sz w:val="16"/>
        </w:rPr>
        <w:t xml:space="preserve"> </w:t>
      </w:r>
      <w:r>
        <w:rPr>
          <w:sz w:val="16"/>
        </w:rPr>
        <w:t>política</w:t>
      </w:r>
      <w:r>
        <w:rPr>
          <w:spacing w:val="-4"/>
          <w:sz w:val="16"/>
        </w:rPr>
        <w:t xml:space="preserve"> </w:t>
      </w:r>
      <w:r>
        <w:rPr>
          <w:sz w:val="16"/>
        </w:rPr>
        <w:t>particular”</w:t>
      </w:r>
      <w:r>
        <w:rPr>
          <w:spacing w:val="-4"/>
          <w:sz w:val="16"/>
        </w:rPr>
        <w:t xml:space="preserve"> </w:t>
      </w:r>
      <w:r>
        <w:rPr>
          <w:sz w:val="16"/>
        </w:rPr>
        <w:t>que</w:t>
      </w:r>
      <w:r>
        <w:rPr>
          <w:spacing w:val="-4"/>
          <w:sz w:val="16"/>
        </w:rPr>
        <w:t xml:space="preserve"> </w:t>
      </w:r>
      <w:r>
        <w:rPr>
          <w:sz w:val="16"/>
        </w:rPr>
        <w:t>pueda</w:t>
      </w:r>
      <w:r>
        <w:rPr>
          <w:spacing w:val="-3"/>
          <w:sz w:val="16"/>
        </w:rPr>
        <w:t xml:space="preserve"> </w:t>
      </w:r>
      <w:r>
        <w:rPr>
          <w:spacing w:val="-2"/>
          <w:sz w:val="16"/>
        </w:rPr>
        <w:t>afectar</w:t>
      </w:r>
    </w:p>
    <w:p w14:paraId="070636E9" w14:textId="77777777" w:rsidR="0014798C" w:rsidRDefault="004E1F0B">
      <w:pPr>
        <w:pStyle w:val="Textoindependiente"/>
        <w:spacing w:before="66" w:line="326" w:lineRule="auto"/>
        <w:ind w:left="1332" w:right="1335" w:firstLine="6"/>
      </w:pPr>
      <w:r>
        <w:t>a</w:t>
      </w:r>
      <w:r>
        <w:rPr>
          <w:spacing w:val="-10"/>
        </w:rPr>
        <w:t xml:space="preserve"> </w:t>
      </w:r>
      <w:r>
        <w:t>un</w:t>
      </w:r>
      <w:r>
        <w:rPr>
          <w:spacing w:val="-10"/>
        </w:rPr>
        <w:t xml:space="preserve"> </w:t>
      </w:r>
      <w:r>
        <w:t>grupo</w:t>
      </w:r>
      <w:r>
        <w:rPr>
          <w:spacing w:val="-10"/>
        </w:rPr>
        <w:t xml:space="preserve"> </w:t>
      </w:r>
      <w:r>
        <w:t>protegido;</w:t>
      </w:r>
      <w:r>
        <w:rPr>
          <w:spacing w:val="-10"/>
        </w:rPr>
        <w:t xml:space="preserve"> </w:t>
      </w:r>
      <w:r>
        <w:t>c)</w:t>
      </w:r>
      <w:r>
        <w:rPr>
          <w:spacing w:val="-10"/>
        </w:rPr>
        <w:t xml:space="preserve"> </w:t>
      </w:r>
      <w:r>
        <w:t>“el</w:t>
      </w:r>
      <w:r>
        <w:rPr>
          <w:spacing w:val="-10"/>
        </w:rPr>
        <w:t xml:space="preserve"> </w:t>
      </w:r>
      <w:r>
        <w:t>deber</w:t>
      </w:r>
      <w:r>
        <w:rPr>
          <w:spacing w:val="-10"/>
        </w:rPr>
        <w:t xml:space="preserve"> </w:t>
      </w:r>
      <w:r>
        <w:t>debe</w:t>
      </w:r>
      <w:r>
        <w:rPr>
          <w:spacing w:val="-10"/>
        </w:rPr>
        <w:t xml:space="preserve"> </w:t>
      </w:r>
      <w:r>
        <w:t>ejercerse</w:t>
      </w:r>
      <w:r>
        <w:rPr>
          <w:spacing w:val="-10"/>
        </w:rPr>
        <w:t xml:space="preserve"> </w:t>
      </w:r>
      <w:r>
        <w:t>sustancialmente,</w:t>
      </w:r>
      <w:r>
        <w:rPr>
          <w:spacing w:val="-9"/>
        </w:rPr>
        <w:t xml:space="preserve"> </w:t>
      </w:r>
      <w:r>
        <w:t>con</w:t>
      </w:r>
      <w:r>
        <w:rPr>
          <w:spacing w:val="-10"/>
        </w:rPr>
        <w:t xml:space="preserve"> </w:t>
      </w:r>
      <w:r>
        <w:t>rigor</w:t>
      </w:r>
      <w:r>
        <w:rPr>
          <w:spacing w:val="-10"/>
        </w:rPr>
        <w:t xml:space="preserve"> </w:t>
      </w:r>
      <w:r>
        <w:t>y</w:t>
      </w:r>
      <w:r>
        <w:rPr>
          <w:spacing w:val="-10"/>
        </w:rPr>
        <w:t xml:space="preserve"> </w:t>
      </w:r>
      <w:r>
        <w:t>con</w:t>
      </w:r>
      <w:r>
        <w:rPr>
          <w:spacing w:val="-10"/>
        </w:rPr>
        <w:t xml:space="preserve"> </w:t>
      </w:r>
      <w:r>
        <w:t>mentalidad</w:t>
      </w:r>
      <w:r>
        <w:rPr>
          <w:spacing w:val="-10"/>
        </w:rPr>
        <w:t xml:space="preserve"> </w:t>
      </w:r>
      <w:proofErr w:type="gramStart"/>
      <w:r>
        <w:t>abierta”;</w:t>
      </w:r>
      <w:proofErr w:type="gramEnd"/>
      <w:r>
        <w:rPr>
          <w:spacing w:val="-10"/>
        </w:rPr>
        <w:t xml:space="preserve"> </w:t>
      </w:r>
      <w:r>
        <w:t>(d)</w:t>
      </w:r>
      <w:r>
        <w:rPr>
          <w:spacing w:val="-10"/>
        </w:rPr>
        <w:t xml:space="preserve"> </w:t>
      </w:r>
      <w:r>
        <w:t>el</w:t>
      </w:r>
      <w:r>
        <w:rPr>
          <w:spacing w:val="-10"/>
        </w:rPr>
        <w:t xml:space="preserve"> </w:t>
      </w:r>
      <w:r>
        <w:t>deber</w:t>
      </w:r>
      <w:r>
        <w:rPr>
          <w:spacing w:val="-10"/>
        </w:rPr>
        <w:t xml:space="preserve"> </w:t>
      </w:r>
      <w:r>
        <w:t>no</w:t>
      </w:r>
      <w:r>
        <w:rPr>
          <w:spacing w:val="-10"/>
        </w:rPr>
        <w:t xml:space="preserve"> </w:t>
      </w:r>
      <w:r>
        <w:t xml:space="preserve">puede </w:t>
      </w:r>
      <w:r>
        <w:rPr>
          <w:spacing w:val="-2"/>
        </w:rPr>
        <w:t>ser</w:t>
      </w:r>
      <w:r>
        <w:rPr>
          <w:spacing w:val="-4"/>
        </w:rPr>
        <w:t xml:space="preserve"> </w:t>
      </w:r>
      <w:r>
        <w:rPr>
          <w:spacing w:val="-2"/>
        </w:rPr>
        <w:t>delegado;</w:t>
      </w:r>
      <w:r>
        <w:rPr>
          <w:spacing w:val="-3"/>
        </w:rPr>
        <w:t xml:space="preserve"> </w:t>
      </w:r>
      <w:r>
        <w:rPr>
          <w:spacing w:val="-2"/>
        </w:rPr>
        <w:t>(e)</w:t>
      </w:r>
      <w:r>
        <w:rPr>
          <w:spacing w:val="-4"/>
        </w:rPr>
        <w:t xml:space="preserve"> </w:t>
      </w:r>
      <w:r>
        <w:rPr>
          <w:spacing w:val="-2"/>
        </w:rPr>
        <w:t>“el</w:t>
      </w:r>
      <w:r>
        <w:rPr>
          <w:spacing w:val="-4"/>
        </w:rPr>
        <w:t xml:space="preserve"> </w:t>
      </w:r>
      <w:r>
        <w:rPr>
          <w:spacing w:val="-2"/>
        </w:rPr>
        <w:t>deber</w:t>
      </w:r>
      <w:r>
        <w:rPr>
          <w:spacing w:val="-4"/>
        </w:rPr>
        <w:t xml:space="preserve"> </w:t>
      </w:r>
      <w:r>
        <w:rPr>
          <w:spacing w:val="-2"/>
        </w:rPr>
        <w:t>es</w:t>
      </w:r>
      <w:r>
        <w:rPr>
          <w:spacing w:val="-4"/>
        </w:rPr>
        <w:t xml:space="preserve"> </w:t>
      </w:r>
      <w:proofErr w:type="gramStart"/>
      <w:r>
        <w:rPr>
          <w:spacing w:val="-2"/>
        </w:rPr>
        <w:t>continuo”;</w:t>
      </w:r>
      <w:proofErr w:type="gramEnd"/>
      <w:r>
        <w:rPr>
          <w:spacing w:val="-3"/>
        </w:rPr>
        <w:t xml:space="preserve"> </w:t>
      </w:r>
      <w:r>
        <w:rPr>
          <w:spacing w:val="-2"/>
        </w:rPr>
        <w:t>y</w:t>
      </w:r>
      <w:r>
        <w:rPr>
          <w:spacing w:val="-4"/>
        </w:rPr>
        <w:t xml:space="preserve"> </w:t>
      </w:r>
      <w:r>
        <w:rPr>
          <w:spacing w:val="-2"/>
        </w:rPr>
        <w:t>(f)</w:t>
      </w:r>
      <w:r>
        <w:rPr>
          <w:spacing w:val="-4"/>
        </w:rPr>
        <w:t xml:space="preserve"> </w:t>
      </w:r>
      <w:r>
        <w:rPr>
          <w:spacing w:val="-2"/>
        </w:rPr>
        <w:t>las</w:t>
      </w:r>
      <w:r>
        <w:rPr>
          <w:spacing w:val="-4"/>
        </w:rPr>
        <w:t xml:space="preserve"> </w:t>
      </w:r>
      <w:r>
        <w:rPr>
          <w:spacing w:val="-2"/>
        </w:rPr>
        <w:t>autoridades</w:t>
      </w:r>
      <w:r>
        <w:rPr>
          <w:spacing w:val="-4"/>
        </w:rPr>
        <w:t xml:space="preserve"> </w:t>
      </w:r>
      <w:r>
        <w:rPr>
          <w:spacing w:val="-2"/>
        </w:rPr>
        <w:t>públicas</w:t>
      </w:r>
      <w:r>
        <w:rPr>
          <w:spacing w:val="-4"/>
        </w:rPr>
        <w:t xml:space="preserve"> </w:t>
      </w:r>
      <w:r>
        <w:rPr>
          <w:spacing w:val="-2"/>
        </w:rPr>
        <w:t>deben</w:t>
      </w:r>
      <w:r>
        <w:rPr>
          <w:spacing w:val="-4"/>
        </w:rPr>
        <w:t xml:space="preserve"> </w:t>
      </w:r>
      <w:r>
        <w:rPr>
          <w:spacing w:val="-2"/>
        </w:rPr>
        <w:t>mantener</w:t>
      </w:r>
      <w:r>
        <w:rPr>
          <w:spacing w:val="-4"/>
        </w:rPr>
        <w:t xml:space="preserve"> </w:t>
      </w:r>
      <w:r>
        <w:rPr>
          <w:spacing w:val="-2"/>
        </w:rPr>
        <w:t>“registros</w:t>
      </w:r>
      <w:r>
        <w:rPr>
          <w:spacing w:val="-4"/>
        </w:rPr>
        <w:t xml:space="preserve"> </w:t>
      </w:r>
      <w:r>
        <w:rPr>
          <w:spacing w:val="-2"/>
        </w:rPr>
        <w:t>adecuados”</w:t>
      </w:r>
      <w:r>
        <w:rPr>
          <w:spacing w:val="-4"/>
        </w:rPr>
        <w:t xml:space="preserve"> </w:t>
      </w:r>
      <w:r>
        <w:rPr>
          <w:spacing w:val="-2"/>
        </w:rPr>
        <w:t>que</w:t>
      </w:r>
      <w:r>
        <w:rPr>
          <w:spacing w:val="-4"/>
        </w:rPr>
        <w:t xml:space="preserve"> </w:t>
      </w:r>
      <w:r>
        <w:rPr>
          <w:spacing w:val="-2"/>
        </w:rPr>
        <w:t xml:space="preserve">demuestren </w:t>
      </w:r>
      <w:r>
        <w:t>que han considerado sus “deberes de igualdad y han reflexionado sobre las cuestiones pertinentes”.832</w:t>
      </w:r>
    </w:p>
    <w:p w14:paraId="14754D82" w14:textId="77777777" w:rsidR="0014798C" w:rsidRDefault="0014798C">
      <w:pPr>
        <w:pStyle w:val="Textoindependiente"/>
        <w:spacing w:before="177"/>
      </w:pPr>
    </w:p>
    <w:p w14:paraId="732B24ED" w14:textId="77777777" w:rsidR="0014798C" w:rsidRDefault="004E1F0B">
      <w:pPr>
        <w:pStyle w:val="Textoindependiente"/>
        <w:spacing w:before="1" w:line="326" w:lineRule="auto"/>
        <w:ind w:left="1334" w:right="1378" w:hanging="2"/>
      </w:pPr>
      <w:r>
        <w:t>Para</w:t>
      </w:r>
      <w:r>
        <w:rPr>
          <w:spacing w:val="-3"/>
        </w:rPr>
        <w:t xml:space="preserve"> </w:t>
      </w:r>
      <w:r>
        <w:t>demostrar</w:t>
      </w:r>
      <w:r>
        <w:rPr>
          <w:spacing w:val="-3"/>
        </w:rPr>
        <w:t xml:space="preserve"> </w:t>
      </w:r>
      <w:r>
        <w:t>el</w:t>
      </w:r>
      <w:r>
        <w:rPr>
          <w:spacing w:val="-3"/>
        </w:rPr>
        <w:t xml:space="preserve"> </w:t>
      </w:r>
      <w:r>
        <w:t>cumplimiento</w:t>
      </w:r>
      <w:r>
        <w:rPr>
          <w:spacing w:val="-3"/>
        </w:rPr>
        <w:t xml:space="preserve"> </w:t>
      </w:r>
      <w:r>
        <w:t>del</w:t>
      </w:r>
      <w:r>
        <w:rPr>
          <w:spacing w:val="-3"/>
        </w:rPr>
        <w:t xml:space="preserve"> </w:t>
      </w:r>
      <w:r>
        <w:t>deber</w:t>
      </w:r>
      <w:r>
        <w:rPr>
          <w:spacing w:val="-3"/>
        </w:rPr>
        <w:t xml:space="preserve"> </w:t>
      </w:r>
      <w:r>
        <w:t>de</w:t>
      </w:r>
      <w:r>
        <w:rPr>
          <w:spacing w:val="-3"/>
        </w:rPr>
        <w:t xml:space="preserve"> </w:t>
      </w:r>
      <w:r>
        <w:t>igualdad</w:t>
      </w:r>
      <w:r>
        <w:rPr>
          <w:spacing w:val="-3"/>
        </w:rPr>
        <w:t xml:space="preserve"> </w:t>
      </w:r>
      <w:r>
        <w:t>del</w:t>
      </w:r>
      <w:r>
        <w:rPr>
          <w:spacing w:val="-3"/>
        </w:rPr>
        <w:t xml:space="preserve"> </w:t>
      </w:r>
      <w:r>
        <w:t>sector</w:t>
      </w:r>
      <w:r>
        <w:rPr>
          <w:spacing w:val="-3"/>
        </w:rPr>
        <w:t xml:space="preserve"> </w:t>
      </w:r>
      <w:r>
        <w:t>público</w:t>
      </w:r>
      <w:r>
        <w:rPr>
          <w:spacing w:val="-3"/>
        </w:rPr>
        <w:t xml:space="preserve"> </w:t>
      </w:r>
      <w:r>
        <w:t>e</w:t>
      </w:r>
      <w:r>
        <w:rPr>
          <w:spacing w:val="-3"/>
        </w:rPr>
        <w:t xml:space="preserve"> </w:t>
      </w:r>
      <w:r>
        <w:t>instrumentalizar</w:t>
      </w:r>
      <w:r>
        <w:rPr>
          <w:spacing w:val="-3"/>
        </w:rPr>
        <w:t xml:space="preserve"> </w:t>
      </w:r>
      <w:r>
        <w:t>los</w:t>
      </w:r>
      <w:r>
        <w:rPr>
          <w:spacing w:val="-3"/>
        </w:rPr>
        <w:t xml:space="preserve"> </w:t>
      </w:r>
      <w:r>
        <w:t>enfoques,</w:t>
      </w:r>
      <w:r>
        <w:rPr>
          <w:spacing w:val="-2"/>
        </w:rPr>
        <w:t xml:space="preserve"> </w:t>
      </w:r>
      <w:r>
        <w:t>muchas</w:t>
      </w:r>
      <w:r>
        <w:rPr>
          <w:spacing w:val="-3"/>
        </w:rPr>
        <w:t xml:space="preserve"> </w:t>
      </w:r>
      <w:r>
        <w:t>autoridades públicas llevan a cabo evaluaciones de impacto en materia de igualdad. Si bien esto no es obligatorio en Inglaterra (a diferencia de Gales y Escocia), como se mencionó anteriormente, sí es obligatorio en la práctica.</w:t>
      </w:r>
    </w:p>
    <w:p w14:paraId="59349AD9" w14:textId="77777777" w:rsidR="0014798C" w:rsidRDefault="0014798C">
      <w:pPr>
        <w:pStyle w:val="Textoindependiente"/>
        <w:spacing w:before="104"/>
        <w:rPr>
          <w:sz w:val="31"/>
        </w:rPr>
      </w:pPr>
    </w:p>
    <w:p w14:paraId="52254F52" w14:textId="77777777" w:rsidR="0014798C" w:rsidRDefault="004E1F0B">
      <w:pPr>
        <w:pStyle w:val="Prrafodelista"/>
        <w:numPr>
          <w:ilvl w:val="1"/>
          <w:numId w:val="3"/>
        </w:numPr>
        <w:tabs>
          <w:tab w:val="left" w:pos="1510"/>
        </w:tabs>
        <w:ind w:left="1510" w:hanging="401"/>
        <w:rPr>
          <w:color w:val="00AC59"/>
          <w:sz w:val="31"/>
        </w:rPr>
      </w:pPr>
      <w:r>
        <w:rPr>
          <w:color w:val="00AC59"/>
          <w:sz w:val="31"/>
        </w:rPr>
        <w:t>Seguimiento</w:t>
      </w:r>
      <w:r>
        <w:rPr>
          <w:color w:val="00AC59"/>
          <w:spacing w:val="4"/>
          <w:sz w:val="31"/>
        </w:rPr>
        <w:t xml:space="preserve"> </w:t>
      </w:r>
      <w:r>
        <w:rPr>
          <w:color w:val="00AC59"/>
          <w:sz w:val="31"/>
        </w:rPr>
        <w:t>y</w:t>
      </w:r>
      <w:r>
        <w:rPr>
          <w:color w:val="00AC59"/>
          <w:spacing w:val="5"/>
          <w:sz w:val="31"/>
        </w:rPr>
        <w:t xml:space="preserve"> </w:t>
      </w:r>
      <w:r>
        <w:rPr>
          <w:color w:val="00AC59"/>
          <w:spacing w:val="-2"/>
          <w:sz w:val="31"/>
        </w:rPr>
        <w:t>datos</w:t>
      </w:r>
    </w:p>
    <w:p w14:paraId="7C60EA7B" w14:textId="77777777" w:rsidR="0014798C" w:rsidRDefault="0014798C">
      <w:pPr>
        <w:pStyle w:val="Textoindependiente"/>
        <w:spacing w:before="20"/>
      </w:pPr>
    </w:p>
    <w:p w14:paraId="2D106DE4" w14:textId="77777777" w:rsidR="0014798C" w:rsidRDefault="004E1F0B">
      <w:pPr>
        <w:pStyle w:val="Textoindependiente"/>
        <w:spacing w:line="326" w:lineRule="auto"/>
        <w:ind w:left="1107" w:right="1272" w:firstLine="5"/>
      </w:pPr>
      <w:r>
        <w:t xml:space="preserve">Los </w:t>
      </w:r>
      <w:proofErr w:type="gramStart"/>
      <w:r>
        <w:t>Estados partes</w:t>
      </w:r>
      <w:proofErr w:type="gramEnd"/>
      <w:r>
        <w:t xml:space="preserve"> están obligados a monitorear la implementación y efectividad de sus medidas para eliminar la discriminación. Los órganos de tratados, en su colaboración con los Estados a través del proceso de presentación de informes periódicos, subrayan repetida y sistemáticamente la necesidad de recopilar y presentar datos desglosados sobre la participación de grupos expuestos a discriminación en diferentes ámbitos de la vida.833 En su recomendación general núm. 24 (1999 ), el Comité para la Eliminación</w:t>
      </w:r>
      <w:r>
        <w:rPr>
          <w:spacing w:val="-2"/>
        </w:rPr>
        <w:t xml:space="preserve"> </w:t>
      </w:r>
      <w:r>
        <w:t>de</w:t>
      </w:r>
      <w:r>
        <w:rPr>
          <w:spacing w:val="-2"/>
        </w:rPr>
        <w:t xml:space="preserve"> </w:t>
      </w:r>
      <w:r>
        <w:t>la</w:t>
      </w:r>
      <w:r>
        <w:rPr>
          <w:spacing w:val="-2"/>
        </w:rPr>
        <w:t xml:space="preserve"> </w:t>
      </w:r>
      <w:r>
        <w:t>Discriminación</w:t>
      </w:r>
      <w:r>
        <w:rPr>
          <w:spacing w:val="-2"/>
        </w:rPr>
        <w:t xml:space="preserve"> </w:t>
      </w:r>
      <w:r>
        <w:t>Racial</w:t>
      </w:r>
      <w:r>
        <w:rPr>
          <w:spacing w:val="-2"/>
        </w:rPr>
        <w:t xml:space="preserve"> </w:t>
      </w:r>
      <w:r>
        <w:t>afirmó</w:t>
      </w:r>
      <w:r>
        <w:rPr>
          <w:spacing w:val="-2"/>
        </w:rPr>
        <w:t xml:space="preserve"> </w:t>
      </w:r>
      <w:r>
        <w:t>que</w:t>
      </w:r>
      <w:r>
        <w:rPr>
          <w:spacing w:val="-2"/>
        </w:rPr>
        <w:t xml:space="preserve"> </w:t>
      </w:r>
      <w:r>
        <w:t>“es</w:t>
      </w:r>
      <w:r>
        <w:rPr>
          <w:spacing w:val="-2"/>
        </w:rPr>
        <w:t xml:space="preserve"> </w:t>
      </w:r>
      <w:r>
        <w:t>esencial</w:t>
      </w:r>
      <w:r>
        <w:rPr>
          <w:spacing w:val="-2"/>
        </w:rPr>
        <w:t xml:space="preserve"> </w:t>
      </w:r>
      <w:r>
        <w:t>que</w:t>
      </w:r>
      <w:r>
        <w:rPr>
          <w:spacing w:val="-2"/>
        </w:rPr>
        <w:t xml:space="preserve"> </w:t>
      </w:r>
      <w:r>
        <w:t>los</w:t>
      </w:r>
      <w:r>
        <w:rPr>
          <w:spacing w:val="-2"/>
        </w:rPr>
        <w:t xml:space="preserve"> </w:t>
      </w:r>
      <w:r>
        <w:t>Estados</w:t>
      </w:r>
      <w:r>
        <w:rPr>
          <w:spacing w:val="-2"/>
        </w:rPr>
        <w:t xml:space="preserve"> </w:t>
      </w:r>
      <w:r>
        <w:t>partes</w:t>
      </w:r>
      <w:r>
        <w:rPr>
          <w:spacing w:val="-2"/>
        </w:rPr>
        <w:t xml:space="preserve"> </w:t>
      </w:r>
      <w:r>
        <w:t>proporcionen</w:t>
      </w:r>
      <w:r>
        <w:rPr>
          <w:spacing w:val="-2"/>
        </w:rPr>
        <w:t xml:space="preserve"> </w:t>
      </w:r>
      <w:r>
        <w:t>al</w:t>
      </w:r>
      <w:r>
        <w:rPr>
          <w:spacing w:val="-2"/>
        </w:rPr>
        <w:t xml:space="preserve"> </w:t>
      </w:r>
      <w:r>
        <w:t>Comité,</w:t>
      </w:r>
      <w:r>
        <w:rPr>
          <w:spacing w:val="-1"/>
        </w:rPr>
        <w:t xml:space="preserve"> </w:t>
      </w:r>
      <w:r>
        <w:t>en</w:t>
      </w:r>
      <w:r>
        <w:rPr>
          <w:spacing w:val="-2"/>
        </w:rPr>
        <w:t xml:space="preserve"> </w:t>
      </w:r>
      <w:r>
        <w:t>la</w:t>
      </w:r>
      <w:r>
        <w:rPr>
          <w:spacing w:val="-2"/>
        </w:rPr>
        <w:t xml:space="preserve"> </w:t>
      </w:r>
      <w:r>
        <w:t>medida</w:t>
      </w:r>
      <w:r>
        <w:rPr>
          <w:spacing w:val="-2"/>
        </w:rPr>
        <w:t xml:space="preserve"> </w:t>
      </w:r>
      <w:r>
        <w:t>de</w:t>
      </w:r>
      <w:r>
        <w:rPr>
          <w:spacing w:val="-2"/>
        </w:rPr>
        <w:t xml:space="preserve"> </w:t>
      </w:r>
      <w:r>
        <w:t>lo</w:t>
      </w:r>
    </w:p>
    <w:p w14:paraId="6A548B62" w14:textId="77777777" w:rsidR="0014798C" w:rsidRDefault="004E1F0B">
      <w:pPr>
        <w:pStyle w:val="Textoindependiente"/>
        <w:spacing w:line="326" w:lineRule="auto"/>
        <w:ind w:left="1111" w:right="1166" w:hanging="5"/>
      </w:pPr>
      <w:r>
        <w:t>posible,</w:t>
      </w:r>
      <w:r>
        <w:rPr>
          <w:spacing w:val="-2"/>
        </w:rPr>
        <w:t xml:space="preserve"> </w:t>
      </w:r>
      <w:r>
        <w:t>información</w:t>
      </w:r>
      <w:r>
        <w:rPr>
          <w:spacing w:val="-3"/>
        </w:rPr>
        <w:t xml:space="preserve"> </w:t>
      </w:r>
      <w:r>
        <w:t>sobre</w:t>
      </w:r>
      <w:r>
        <w:rPr>
          <w:spacing w:val="-3"/>
        </w:rPr>
        <w:t xml:space="preserve"> </w:t>
      </w:r>
      <w:r>
        <w:t>la</w:t>
      </w:r>
      <w:r>
        <w:rPr>
          <w:spacing w:val="-3"/>
        </w:rPr>
        <w:t xml:space="preserve"> </w:t>
      </w:r>
      <w:r>
        <w:t>presencia</w:t>
      </w:r>
      <w:r>
        <w:rPr>
          <w:spacing w:val="-3"/>
        </w:rPr>
        <w:t xml:space="preserve"> </w:t>
      </w:r>
      <w:r>
        <w:t>en</w:t>
      </w:r>
      <w:r>
        <w:rPr>
          <w:spacing w:val="-3"/>
        </w:rPr>
        <w:t xml:space="preserve"> </w:t>
      </w:r>
      <w:r>
        <w:t>su</w:t>
      </w:r>
      <w:r>
        <w:rPr>
          <w:spacing w:val="-3"/>
        </w:rPr>
        <w:t xml:space="preserve"> </w:t>
      </w:r>
      <w:r>
        <w:t>territorio</w:t>
      </w:r>
      <w:r>
        <w:rPr>
          <w:spacing w:val="-3"/>
        </w:rPr>
        <w:t xml:space="preserve"> </w:t>
      </w:r>
      <w:r>
        <w:t>de</w:t>
      </w:r>
      <w:r>
        <w:rPr>
          <w:spacing w:val="-3"/>
        </w:rPr>
        <w:t xml:space="preserve"> </w:t>
      </w:r>
      <w:r>
        <w:t>[diferentes]</w:t>
      </w:r>
      <w:r>
        <w:rPr>
          <w:spacing w:val="-2"/>
        </w:rPr>
        <w:t xml:space="preserve"> </w:t>
      </w:r>
      <w:r>
        <w:t>grupos”.834</w:t>
      </w:r>
      <w:r>
        <w:rPr>
          <w:spacing w:val="-3"/>
        </w:rPr>
        <w:t xml:space="preserve"> </w:t>
      </w:r>
      <w:r>
        <w:t>El</w:t>
      </w:r>
      <w:r>
        <w:rPr>
          <w:spacing w:val="-3"/>
        </w:rPr>
        <w:t xml:space="preserve"> </w:t>
      </w:r>
      <w:r>
        <w:t>Comité</w:t>
      </w:r>
      <w:r>
        <w:rPr>
          <w:spacing w:val="-3"/>
        </w:rPr>
        <w:t xml:space="preserve"> </w:t>
      </w:r>
      <w:r>
        <w:t>para</w:t>
      </w:r>
      <w:r>
        <w:rPr>
          <w:spacing w:val="-3"/>
        </w:rPr>
        <w:t xml:space="preserve"> </w:t>
      </w:r>
      <w:r>
        <w:t>la</w:t>
      </w:r>
      <w:r>
        <w:rPr>
          <w:spacing w:val="-3"/>
        </w:rPr>
        <w:t xml:space="preserve"> </w:t>
      </w:r>
      <w:r>
        <w:t>Eliminación</w:t>
      </w:r>
      <w:r>
        <w:rPr>
          <w:spacing w:val="-3"/>
        </w:rPr>
        <w:t xml:space="preserve"> </w:t>
      </w:r>
      <w:r>
        <w:t>de</w:t>
      </w:r>
      <w:r>
        <w:rPr>
          <w:spacing w:val="-3"/>
        </w:rPr>
        <w:t xml:space="preserve"> </w:t>
      </w:r>
      <w:r>
        <w:t>la</w:t>
      </w:r>
      <w:r>
        <w:rPr>
          <w:spacing w:val="-3"/>
        </w:rPr>
        <w:t xml:space="preserve"> </w:t>
      </w:r>
      <w:r>
        <w:t xml:space="preserve">Discriminación contra la Discriminación Racial </w:t>
      </w:r>
      <w:proofErr w:type="spellStart"/>
      <w:r>
        <w:t>Women</w:t>
      </w:r>
      <w:proofErr w:type="spellEnd"/>
      <w:r>
        <w:t xml:space="preserve"> ha sostenido de manera similar que los Estados deben “crear y mejorar continuamente las bases de datos estadísticas y el análisis de todas las formas de discriminación contra las mujeres... y contra las mujeres pertenecientes a grupos vulnerables específicos en particular”.835</w:t>
      </w:r>
    </w:p>
    <w:p w14:paraId="48741A59" w14:textId="77777777" w:rsidR="0014798C" w:rsidRDefault="004E1F0B">
      <w:pPr>
        <w:pStyle w:val="Textoindependiente"/>
        <w:spacing w:before="165" w:line="326" w:lineRule="auto"/>
        <w:ind w:left="1107" w:right="1192" w:firstLine="1"/>
      </w:pPr>
      <w:r>
        <w:t>Además de esta obligación internacional de presentación de informes, el Comité para la Eliminación de la Discriminación contra la Mujer ha subrayado la necesidad de realizar un seguimiento y recopilar datos para garantizar la aplicación efectiva de las leyes contra la discriminación a nivel nacional, señalando que los Estados deben “establecer indicadores, puntos de referencia y cronogramas” y “mecanismos que recopilen datos relevantes desglosados por sexo, permitan un seguimiento efectivo, faciliten la evaluación continua y permitan la revisión o complementación de las medidas existentes y la identificación de nuevas medidas”.836 El</w:t>
      </w:r>
      <w:r>
        <w:rPr>
          <w:spacing w:val="-3"/>
        </w:rPr>
        <w:t xml:space="preserve"> </w:t>
      </w:r>
      <w:r>
        <w:t>Comité</w:t>
      </w:r>
      <w:r>
        <w:rPr>
          <w:spacing w:val="-3"/>
        </w:rPr>
        <w:t xml:space="preserve"> </w:t>
      </w:r>
      <w:r>
        <w:t>de</w:t>
      </w:r>
      <w:r>
        <w:rPr>
          <w:spacing w:val="-3"/>
        </w:rPr>
        <w:t xml:space="preserve"> </w:t>
      </w:r>
      <w:r>
        <w:t>Derechos</w:t>
      </w:r>
      <w:r>
        <w:rPr>
          <w:spacing w:val="-3"/>
        </w:rPr>
        <w:t xml:space="preserve"> </w:t>
      </w:r>
      <w:r>
        <w:t>Económicos,</w:t>
      </w:r>
      <w:r>
        <w:rPr>
          <w:spacing w:val="-2"/>
        </w:rPr>
        <w:t xml:space="preserve"> </w:t>
      </w:r>
      <w:r>
        <w:t>Sociales</w:t>
      </w:r>
      <w:r>
        <w:rPr>
          <w:spacing w:val="-3"/>
        </w:rPr>
        <w:t xml:space="preserve"> </w:t>
      </w:r>
      <w:r>
        <w:t>y</w:t>
      </w:r>
      <w:r>
        <w:rPr>
          <w:spacing w:val="-3"/>
        </w:rPr>
        <w:t xml:space="preserve"> </w:t>
      </w:r>
      <w:r>
        <w:t>Culturales</w:t>
      </w:r>
      <w:r>
        <w:rPr>
          <w:spacing w:val="-3"/>
        </w:rPr>
        <w:t xml:space="preserve"> </w:t>
      </w:r>
      <w:r>
        <w:t>ha</w:t>
      </w:r>
      <w:r>
        <w:rPr>
          <w:spacing w:val="-3"/>
        </w:rPr>
        <w:t xml:space="preserve"> </w:t>
      </w:r>
      <w:r>
        <w:t>especificado</w:t>
      </w:r>
      <w:r>
        <w:rPr>
          <w:spacing w:val="-3"/>
        </w:rPr>
        <w:t xml:space="preserve"> </w:t>
      </w:r>
      <w:r>
        <w:t>que</w:t>
      </w:r>
      <w:r>
        <w:rPr>
          <w:spacing w:val="-3"/>
        </w:rPr>
        <w:t xml:space="preserve"> </w:t>
      </w:r>
      <w:r>
        <w:t>habiendo</w:t>
      </w:r>
      <w:r>
        <w:rPr>
          <w:spacing w:val="-3"/>
        </w:rPr>
        <w:t xml:space="preserve"> </w:t>
      </w:r>
      <w:r>
        <w:t>adoptado</w:t>
      </w:r>
      <w:r>
        <w:rPr>
          <w:spacing w:val="-3"/>
        </w:rPr>
        <w:t xml:space="preserve"> </w:t>
      </w:r>
      <w:r>
        <w:t>“medidas</w:t>
      </w:r>
      <w:r>
        <w:rPr>
          <w:spacing w:val="-3"/>
        </w:rPr>
        <w:t xml:space="preserve"> </w:t>
      </w:r>
      <w:r>
        <w:t>concretas,</w:t>
      </w:r>
      <w:r>
        <w:rPr>
          <w:spacing w:val="-2"/>
        </w:rPr>
        <w:t xml:space="preserve"> </w:t>
      </w:r>
      <w:r>
        <w:t>deliberadas y específicas” para eliminar la discriminación, los Estados “deberían</w:t>
      </w:r>
    </w:p>
    <w:p w14:paraId="2923A9D1" w14:textId="77777777" w:rsidR="0014798C" w:rsidRDefault="0014798C">
      <w:pPr>
        <w:pStyle w:val="Textoindependiente"/>
        <w:rPr>
          <w:sz w:val="13"/>
        </w:rPr>
      </w:pPr>
    </w:p>
    <w:p w14:paraId="58367677" w14:textId="77777777" w:rsidR="0014798C" w:rsidRDefault="0014798C">
      <w:pPr>
        <w:pStyle w:val="Textoindependiente"/>
        <w:rPr>
          <w:sz w:val="13"/>
        </w:rPr>
      </w:pPr>
    </w:p>
    <w:p w14:paraId="3C6B8E45" w14:textId="77777777" w:rsidR="0014798C" w:rsidRDefault="0014798C">
      <w:pPr>
        <w:pStyle w:val="Textoindependiente"/>
        <w:rPr>
          <w:sz w:val="13"/>
        </w:rPr>
      </w:pPr>
    </w:p>
    <w:p w14:paraId="053DBB25" w14:textId="77777777" w:rsidR="0014798C" w:rsidRDefault="0014798C">
      <w:pPr>
        <w:pStyle w:val="Textoindependiente"/>
        <w:rPr>
          <w:sz w:val="13"/>
        </w:rPr>
      </w:pPr>
    </w:p>
    <w:p w14:paraId="2C413842" w14:textId="77777777" w:rsidR="0014798C" w:rsidRDefault="0014798C">
      <w:pPr>
        <w:pStyle w:val="Textoindependiente"/>
        <w:rPr>
          <w:sz w:val="13"/>
        </w:rPr>
      </w:pPr>
    </w:p>
    <w:p w14:paraId="5D181032" w14:textId="77777777" w:rsidR="0014798C" w:rsidRDefault="0014798C">
      <w:pPr>
        <w:pStyle w:val="Textoindependiente"/>
        <w:spacing w:before="52"/>
        <w:rPr>
          <w:sz w:val="13"/>
        </w:rPr>
      </w:pPr>
    </w:p>
    <w:p w14:paraId="7F322E4B" w14:textId="77777777" w:rsidR="0014798C" w:rsidRDefault="004E1F0B">
      <w:pPr>
        <w:ind w:left="1110"/>
        <w:rPr>
          <w:sz w:val="13"/>
        </w:rPr>
      </w:pPr>
      <w:r>
        <w:rPr>
          <w:sz w:val="13"/>
        </w:rPr>
        <w:t>831 R (Brown)</w:t>
      </w:r>
      <w:r>
        <w:rPr>
          <w:spacing w:val="1"/>
          <w:sz w:val="13"/>
        </w:rPr>
        <w:t xml:space="preserve"> </w:t>
      </w:r>
      <w:r>
        <w:rPr>
          <w:sz w:val="13"/>
        </w:rPr>
        <w:t>contra el Secretario</w:t>
      </w:r>
      <w:r>
        <w:rPr>
          <w:spacing w:val="1"/>
          <w:sz w:val="13"/>
        </w:rPr>
        <w:t xml:space="preserve"> </w:t>
      </w:r>
      <w:r>
        <w:rPr>
          <w:sz w:val="13"/>
        </w:rPr>
        <w:t>de Estado</w:t>
      </w:r>
      <w:r>
        <w:rPr>
          <w:spacing w:val="1"/>
          <w:sz w:val="13"/>
        </w:rPr>
        <w:t xml:space="preserve"> </w:t>
      </w:r>
      <w:r>
        <w:rPr>
          <w:sz w:val="13"/>
        </w:rPr>
        <w:t>de Trabajo y</w:t>
      </w:r>
      <w:r>
        <w:rPr>
          <w:spacing w:val="1"/>
          <w:sz w:val="13"/>
        </w:rPr>
        <w:t xml:space="preserve"> </w:t>
      </w:r>
      <w:r>
        <w:rPr>
          <w:sz w:val="13"/>
        </w:rPr>
        <w:t>Pensiones [2008] EWHC</w:t>
      </w:r>
      <w:r>
        <w:rPr>
          <w:spacing w:val="1"/>
          <w:sz w:val="13"/>
        </w:rPr>
        <w:t xml:space="preserve"> </w:t>
      </w:r>
      <w:r>
        <w:rPr>
          <w:sz w:val="13"/>
        </w:rPr>
        <w:t xml:space="preserve">3158 </w:t>
      </w:r>
      <w:r>
        <w:rPr>
          <w:spacing w:val="-2"/>
          <w:sz w:val="13"/>
        </w:rPr>
        <w:t>(</w:t>
      </w:r>
      <w:proofErr w:type="spellStart"/>
      <w:r>
        <w:rPr>
          <w:spacing w:val="-2"/>
          <w:sz w:val="13"/>
        </w:rPr>
        <w:t>Admin</w:t>
      </w:r>
      <w:proofErr w:type="spellEnd"/>
      <w:r>
        <w:rPr>
          <w:spacing w:val="-2"/>
          <w:sz w:val="13"/>
        </w:rPr>
        <w:t>).</w:t>
      </w:r>
    </w:p>
    <w:p w14:paraId="4326F52C" w14:textId="77777777" w:rsidR="0014798C" w:rsidRDefault="004E1F0B">
      <w:pPr>
        <w:spacing w:before="87"/>
        <w:ind w:left="1110"/>
        <w:rPr>
          <w:sz w:val="14"/>
        </w:rPr>
      </w:pPr>
      <w:r>
        <w:rPr>
          <w:sz w:val="14"/>
        </w:rPr>
        <w:t>832</w:t>
      </w:r>
      <w:r>
        <w:rPr>
          <w:spacing w:val="-10"/>
          <w:sz w:val="14"/>
        </w:rPr>
        <w:t xml:space="preserve"> </w:t>
      </w:r>
      <w:proofErr w:type="spellStart"/>
      <w:r>
        <w:rPr>
          <w:sz w:val="14"/>
        </w:rPr>
        <w:t>Ibíd</w:t>
      </w:r>
      <w:proofErr w:type="spellEnd"/>
      <w:r>
        <w:rPr>
          <w:sz w:val="14"/>
        </w:rPr>
        <w:t>.,</w:t>
      </w:r>
      <w:r>
        <w:rPr>
          <w:spacing w:val="-10"/>
          <w:sz w:val="14"/>
        </w:rPr>
        <w:t xml:space="preserve"> </w:t>
      </w:r>
      <w:proofErr w:type="spellStart"/>
      <w:r>
        <w:rPr>
          <w:sz w:val="14"/>
        </w:rPr>
        <w:t>párrs</w:t>
      </w:r>
      <w:proofErr w:type="spellEnd"/>
      <w:r>
        <w:rPr>
          <w:sz w:val="14"/>
        </w:rPr>
        <w:t>.</w:t>
      </w:r>
      <w:r>
        <w:rPr>
          <w:spacing w:val="-9"/>
          <w:sz w:val="14"/>
        </w:rPr>
        <w:t xml:space="preserve"> </w:t>
      </w:r>
      <w:r>
        <w:rPr>
          <w:sz w:val="14"/>
        </w:rPr>
        <w:t>90–92</w:t>
      </w:r>
      <w:r>
        <w:rPr>
          <w:spacing w:val="-10"/>
          <w:sz w:val="14"/>
        </w:rPr>
        <w:t xml:space="preserve"> </w:t>
      </w:r>
      <w:r>
        <w:rPr>
          <w:sz w:val="14"/>
        </w:rPr>
        <w:t>y</w:t>
      </w:r>
      <w:r>
        <w:rPr>
          <w:spacing w:val="-10"/>
          <w:sz w:val="14"/>
        </w:rPr>
        <w:t xml:space="preserve"> </w:t>
      </w:r>
      <w:r>
        <w:rPr>
          <w:spacing w:val="-2"/>
          <w:sz w:val="14"/>
        </w:rPr>
        <w:t>94–96.</w:t>
      </w:r>
    </w:p>
    <w:p w14:paraId="489871A0" w14:textId="77777777" w:rsidR="0014798C" w:rsidRDefault="0014798C">
      <w:pPr>
        <w:rPr>
          <w:sz w:val="14"/>
        </w:rPr>
        <w:sectPr w:rsidR="0014798C" w:rsidSect="00F265E4">
          <w:pgSz w:w="11900" w:h="16820"/>
          <w:pgMar w:top="340" w:right="0" w:bottom="280" w:left="200" w:header="121" w:footer="0" w:gutter="0"/>
          <w:cols w:space="720"/>
        </w:sectPr>
      </w:pPr>
    </w:p>
    <w:p w14:paraId="1B4BDC65" w14:textId="77777777" w:rsidR="0014798C" w:rsidRDefault="004E1F0B">
      <w:pPr>
        <w:spacing w:before="49"/>
        <w:jc w:val="right"/>
        <w:rPr>
          <w:sz w:val="8"/>
        </w:rPr>
      </w:pPr>
      <w:r>
        <w:rPr>
          <w:spacing w:val="-5"/>
          <w:w w:val="105"/>
          <w:sz w:val="8"/>
        </w:rPr>
        <w:t>833</w:t>
      </w:r>
    </w:p>
    <w:p w14:paraId="4852DD4A" w14:textId="77777777" w:rsidR="0014798C" w:rsidRDefault="004E1F0B">
      <w:pPr>
        <w:spacing w:before="75" w:line="288" w:lineRule="auto"/>
        <w:ind w:left="76" w:right="1277" w:firstLine="4"/>
        <w:rPr>
          <w:sz w:val="13"/>
        </w:rPr>
      </w:pPr>
      <w:r>
        <w:br w:type="column"/>
      </w:r>
      <w:r>
        <w:rPr>
          <w:spacing w:val="-2"/>
          <w:sz w:val="13"/>
        </w:rPr>
        <w:t>Véase,</w:t>
      </w:r>
      <w:r>
        <w:rPr>
          <w:spacing w:val="-5"/>
          <w:sz w:val="13"/>
        </w:rPr>
        <w:t xml:space="preserve"> </w:t>
      </w:r>
      <w:r>
        <w:rPr>
          <w:spacing w:val="-2"/>
          <w:sz w:val="13"/>
        </w:rPr>
        <w:t>por</w:t>
      </w:r>
      <w:r>
        <w:rPr>
          <w:spacing w:val="-5"/>
          <w:sz w:val="13"/>
        </w:rPr>
        <w:t xml:space="preserve"> </w:t>
      </w:r>
      <w:r>
        <w:rPr>
          <w:spacing w:val="-2"/>
          <w:sz w:val="13"/>
        </w:rPr>
        <w:t>ejemplo,</w:t>
      </w:r>
      <w:r>
        <w:rPr>
          <w:spacing w:val="-5"/>
          <w:sz w:val="13"/>
        </w:rPr>
        <w:t xml:space="preserve"> </w:t>
      </w:r>
      <w:r>
        <w:rPr>
          <w:spacing w:val="-2"/>
          <w:sz w:val="13"/>
        </w:rPr>
        <w:t>CCPR/C/BEL/CO/6,</w:t>
      </w:r>
      <w:r>
        <w:rPr>
          <w:spacing w:val="-5"/>
          <w:sz w:val="13"/>
        </w:rPr>
        <w:t xml:space="preserve"> </w:t>
      </w:r>
      <w:r>
        <w:rPr>
          <w:spacing w:val="-2"/>
          <w:sz w:val="13"/>
        </w:rPr>
        <w:t>párr.</w:t>
      </w:r>
      <w:r>
        <w:rPr>
          <w:spacing w:val="-5"/>
          <w:sz w:val="13"/>
        </w:rPr>
        <w:t xml:space="preserve"> </w:t>
      </w:r>
      <w:r>
        <w:rPr>
          <w:spacing w:val="-2"/>
          <w:sz w:val="13"/>
        </w:rPr>
        <w:t>16</w:t>
      </w:r>
      <w:proofErr w:type="gramStart"/>
      <w:r>
        <w:rPr>
          <w:spacing w:val="-2"/>
          <w:sz w:val="13"/>
        </w:rPr>
        <w:t>c);</w:t>
      </w:r>
      <w:proofErr w:type="gramEnd"/>
      <w:r>
        <w:rPr>
          <w:spacing w:val="-5"/>
          <w:sz w:val="13"/>
        </w:rPr>
        <w:t xml:space="preserve"> </w:t>
      </w:r>
      <w:r>
        <w:rPr>
          <w:spacing w:val="-2"/>
          <w:sz w:val="13"/>
        </w:rPr>
        <w:t>E/C.12/FRA/CO/4,</w:t>
      </w:r>
      <w:r>
        <w:rPr>
          <w:spacing w:val="-5"/>
          <w:sz w:val="13"/>
        </w:rPr>
        <w:t xml:space="preserve"> </w:t>
      </w:r>
      <w:r>
        <w:rPr>
          <w:spacing w:val="-2"/>
          <w:sz w:val="13"/>
        </w:rPr>
        <w:t>párr.</w:t>
      </w:r>
      <w:r>
        <w:rPr>
          <w:spacing w:val="-5"/>
          <w:sz w:val="13"/>
        </w:rPr>
        <w:t xml:space="preserve"> </w:t>
      </w:r>
      <w:r w:rsidRPr="00537489">
        <w:rPr>
          <w:spacing w:val="-2"/>
          <w:sz w:val="13"/>
          <w:lang w:val="en-US"/>
        </w:rPr>
        <w:t>17</w:t>
      </w:r>
      <w:r>
        <w:rPr>
          <w:spacing w:val="-2"/>
          <w:sz w:val="13"/>
        </w:rPr>
        <w:t>;</w:t>
      </w:r>
      <w:r w:rsidRPr="00537489">
        <w:rPr>
          <w:spacing w:val="-5"/>
          <w:sz w:val="13"/>
          <w:lang w:val="en-US"/>
        </w:rPr>
        <w:t xml:space="preserve"> </w:t>
      </w:r>
      <w:r w:rsidRPr="00537489">
        <w:rPr>
          <w:spacing w:val="-2"/>
          <w:sz w:val="13"/>
          <w:lang w:val="en-US"/>
        </w:rPr>
        <w:t>CEDAW/C/BGR/CO/8,</w:t>
      </w:r>
      <w:r w:rsidRPr="00537489">
        <w:rPr>
          <w:spacing w:val="-5"/>
          <w:sz w:val="13"/>
          <w:lang w:val="en-US"/>
        </w:rPr>
        <w:t xml:space="preserve"> </w:t>
      </w:r>
      <w:proofErr w:type="spellStart"/>
      <w:r w:rsidRPr="00537489">
        <w:rPr>
          <w:spacing w:val="-2"/>
          <w:sz w:val="13"/>
          <w:lang w:val="en-US"/>
        </w:rPr>
        <w:t>párr</w:t>
      </w:r>
      <w:proofErr w:type="spellEnd"/>
      <w:r w:rsidRPr="00537489">
        <w:rPr>
          <w:spacing w:val="-2"/>
          <w:sz w:val="13"/>
          <w:lang w:val="en-US"/>
        </w:rPr>
        <w:t>.</w:t>
      </w:r>
      <w:r w:rsidRPr="00537489">
        <w:rPr>
          <w:spacing w:val="-5"/>
          <w:sz w:val="13"/>
          <w:lang w:val="en-US"/>
        </w:rPr>
        <w:t xml:space="preserve"> </w:t>
      </w:r>
      <w:r w:rsidRPr="00537489">
        <w:rPr>
          <w:spacing w:val="-2"/>
          <w:sz w:val="13"/>
          <w:lang w:val="en-US"/>
        </w:rPr>
        <w:t>46</w:t>
      </w:r>
      <w:r>
        <w:rPr>
          <w:spacing w:val="-2"/>
          <w:sz w:val="13"/>
        </w:rPr>
        <w:t>;</w:t>
      </w:r>
      <w:r w:rsidRPr="00537489">
        <w:rPr>
          <w:spacing w:val="-5"/>
          <w:sz w:val="13"/>
          <w:lang w:val="en-US"/>
        </w:rPr>
        <w:t xml:space="preserve"> </w:t>
      </w:r>
      <w:r w:rsidRPr="00537489">
        <w:rPr>
          <w:spacing w:val="-2"/>
          <w:sz w:val="13"/>
          <w:lang w:val="en-US"/>
        </w:rPr>
        <w:t>CERD/C/KHM/CO/14-17,</w:t>
      </w:r>
      <w:r w:rsidRPr="00537489">
        <w:rPr>
          <w:spacing w:val="-5"/>
          <w:sz w:val="13"/>
          <w:lang w:val="en-US"/>
        </w:rPr>
        <w:t xml:space="preserve"> </w:t>
      </w:r>
      <w:proofErr w:type="spellStart"/>
      <w:r w:rsidRPr="00537489">
        <w:rPr>
          <w:spacing w:val="-2"/>
          <w:sz w:val="13"/>
          <w:lang w:val="en-US"/>
        </w:rPr>
        <w:t>párr</w:t>
      </w:r>
      <w:proofErr w:type="spellEnd"/>
      <w:r w:rsidRPr="00537489">
        <w:rPr>
          <w:spacing w:val="-2"/>
          <w:sz w:val="13"/>
          <w:lang w:val="en-US"/>
        </w:rPr>
        <w:t>.</w:t>
      </w:r>
      <w:r w:rsidRPr="00537489">
        <w:rPr>
          <w:spacing w:val="-5"/>
          <w:sz w:val="13"/>
          <w:lang w:val="en-US"/>
        </w:rPr>
        <w:t xml:space="preserve"> </w:t>
      </w:r>
      <w:r>
        <w:rPr>
          <w:spacing w:val="-2"/>
          <w:sz w:val="13"/>
        </w:rPr>
        <w:t>6;</w:t>
      </w:r>
      <w:r>
        <w:rPr>
          <w:spacing w:val="-5"/>
          <w:sz w:val="13"/>
        </w:rPr>
        <w:t xml:space="preserve"> </w:t>
      </w:r>
      <w:r>
        <w:rPr>
          <w:spacing w:val="-2"/>
          <w:sz w:val="13"/>
        </w:rPr>
        <w:t>y</w:t>
      </w:r>
      <w:r>
        <w:rPr>
          <w:spacing w:val="40"/>
          <w:sz w:val="13"/>
        </w:rPr>
        <w:t xml:space="preserve"> </w:t>
      </w:r>
      <w:r>
        <w:rPr>
          <w:sz w:val="13"/>
        </w:rPr>
        <w:t>CRPD/C/IRQ/CO/1, párr. 60c).</w:t>
      </w:r>
    </w:p>
    <w:p w14:paraId="2E004E7A" w14:textId="77777777" w:rsidR="0014798C" w:rsidRDefault="0014798C">
      <w:pPr>
        <w:spacing w:line="288" w:lineRule="auto"/>
        <w:rPr>
          <w:sz w:val="13"/>
        </w:rPr>
        <w:sectPr w:rsidR="0014798C" w:rsidSect="00F265E4">
          <w:type w:val="continuous"/>
          <w:pgSz w:w="11900" w:h="16820"/>
          <w:pgMar w:top="40" w:right="0" w:bottom="280" w:left="200" w:header="121" w:footer="0" w:gutter="0"/>
          <w:cols w:num="2" w:space="720" w:equalWidth="0">
            <w:col w:w="1250" w:space="40"/>
            <w:col w:w="10410"/>
          </w:cols>
        </w:sectPr>
      </w:pPr>
    </w:p>
    <w:p w14:paraId="5CCF7C0E" w14:textId="77777777" w:rsidR="0014798C" w:rsidRDefault="004E1F0B">
      <w:pPr>
        <w:spacing w:before="58"/>
        <w:ind w:left="1110"/>
        <w:rPr>
          <w:sz w:val="14"/>
        </w:rPr>
      </w:pPr>
      <w:r>
        <w:rPr>
          <w:spacing w:val="-2"/>
          <w:sz w:val="14"/>
        </w:rPr>
        <w:t>834</w:t>
      </w:r>
      <w:r>
        <w:rPr>
          <w:spacing w:val="-3"/>
          <w:sz w:val="14"/>
        </w:rPr>
        <w:t xml:space="preserve"> </w:t>
      </w:r>
      <w:r>
        <w:rPr>
          <w:spacing w:val="-2"/>
          <w:sz w:val="14"/>
        </w:rPr>
        <w:t>Comité para la Eliminación de la Discriminación Racial, recomendación general núm. 24 (1999),</w:t>
      </w:r>
      <w:r>
        <w:rPr>
          <w:spacing w:val="-3"/>
          <w:sz w:val="14"/>
        </w:rPr>
        <w:t xml:space="preserve"> </w:t>
      </w:r>
      <w:r>
        <w:rPr>
          <w:spacing w:val="-2"/>
          <w:sz w:val="14"/>
        </w:rPr>
        <w:t xml:space="preserve">párr. </w:t>
      </w:r>
      <w:r>
        <w:rPr>
          <w:spacing w:val="-5"/>
          <w:sz w:val="14"/>
        </w:rPr>
        <w:t>1.</w:t>
      </w:r>
    </w:p>
    <w:p w14:paraId="1ED707D8" w14:textId="77777777" w:rsidR="0014798C" w:rsidRDefault="004E1F0B">
      <w:pPr>
        <w:spacing w:before="75"/>
        <w:ind w:left="1110"/>
        <w:rPr>
          <w:sz w:val="14"/>
        </w:rPr>
      </w:pPr>
      <w:r>
        <w:rPr>
          <w:spacing w:val="-2"/>
          <w:sz w:val="14"/>
        </w:rPr>
        <w:t xml:space="preserve">835 Comité para la Eliminación de la Discriminación contra la Mujer, recomendación general núm. 28 (2010), párr. </w:t>
      </w:r>
      <w:r>
        <w:rPr>
          <w:spacing w:val="-5"/>
          <w:sz w:val="14"/>
        </w:rPr>
        <w:t>10.</w:t>
      </w:r>
    </w:p>
    <w:p w14:paraId="3A54AC61" w14:textId="77777777" w:rsidR="0014798C" w:rsidRDefault="004E1F0B">
      <w:pPr>
        <w:spacing w:before="76"/>
        <w:ind w:left="1110"/>
        <w:rPr>
          <w:sz w:val="14"/>
        </w:rPr>
      </w:pPr>
      <w:r>
        <w:rPr>
          <w:spacing w:val="-2"/>
          <w:sz w:val="14"/>
        </w:rPr>
        <w:t>836</w:t>
      </w:r>
      <w:r>
        <w:rPr>
          <w:spacing w:val="-1"/>
          <w:sz w:val="14"/>
        </w:rPr>
        <w:t xml:space="preserve"> </w:t>
      </w:r>
      <w:proofErr w:type="spellStart"/>
      <w:r>
        <w:rPr>
          <w:spacing w:val="-2"/>
          <w:sz w:val="14"/>
        </w:rPr>
        <w:t>Ibíd</w:t>
      </w:r>
      <w:proofErr w:type="spellEnd"/>
      <w:r>
        <w:rPr>
          <w:spacing w:val="-2"/>
          <w:sz w:val="14"/>
        </w:rPr>
        <w:t>.,</w:t>
      </w:r>
      <w:r>
        <w:rPr>
          <w:spacing w:val="-1"/>
          <w:sz w:val="14"/>
        </w:rPr>
        <w:t xml:space="preserve"> </w:t>
      </w:r>
      <w:r>
        <w:rPr>
          <w:spacing w:val="-2"/>
          <w:sz w:val="14"/>
        </w:rPr>
        <w:t>párr.</w:t>
      </w:r>
      <w:r>
        <w:rPr>
          <w:spacing w:val="-1"/>
          <w:sz w:val="14"/>
        </w:rPr>
        <w:t xml:space="preserve"> </w:t>
      </w:r>
      <w:r>
        <w:rPr>
          <w:spacing w:val="-5"/>
          <w:sz w:val="14"/>
        </w:rPr>
        <w:t>28.</w:t>
      </w:r>
    </w:p>
    <w:p w14:paraId="5D65E6F1" w14:textId="77777777" w:rsidR="0014798C" w:rsidRDefault="0014798C">
      <w:pPr>
        <w:pStyle w:val="Textoindependiente"/>
      </w:pPr>
    </w:p>
    <w:p w14:paraId="2959A65C" w14:textId="77777777" w:rsidR="0014798C" w:rsidRDefault="0014798C">
      <w:pPr>
        <w:pStyle w:val="Textoindependiente"/>
      </w:pPr>
    </w:p>
    <w:p w14:paraId="6F4FE618" w14:textId="77777777" w:rsidR="0014798C" w:rsidRDefault="0014798C">
      <w:pPr>
        <w:pStyle w:val="Textoindependiente"/>
        <w:spacing w:before="95"/>
      </w:pPr>
    </w:p>
    <w:p w14:paraId="673B1C47" w14:textId="77777777" w:rsidR="0014798C" w:rsidRDefault="004E1F0B">
      <w:pPr>
        <w:pStyle w:val="Textoindependiente"/>
        <w:ind w:right="704"/>
        <w:jc w:val="right"/>
      </w:pPr>
      <w:r>
        <w:rPr>
          <w:spacing w:val="-5"/>
          <w:w w:val="105"/>
        </w:rPr>
        <w:t>119</w:t>
      </w:r>
    </w:p>
    <w:p w14:paraId="61B8CFD8" w14:textId="77777777" w:rsidR="0014798C" w:rsidRDefault="0014798C">
      <w:pPr>
        <w:jc w:val="right"/>
        <w:sectPr w:rsidR="0014798C" w:rsidSect="00F265E4">
          <w:type w:val="continuous"/>
          <w:pgSz w:w="11900" w:h="16820"/>
          <w:pgMar w:top="40" w:right="0" w:bottom="280" w:left="200" w:header="121" w:footer="0" w:gutter="0"/>
          <w:cols w:space="720"/>
        </w:sectPr>
      </w:pPr>
    </w:p>
    <w:p w14:paraId="0A0A7B92" w14:textId="77777777" w:rsidR="0014798C" w:rsidRDefault="0014798C">
      <w:pPr>
        <w:pStyle w:val="Textoindependiente"/>
        <w:spacing w:before="85"/>
        <w:rPr>
          <w:sz w:val="12"/>
        </w:rPr>
      </w:pPr>
    </w:p>
    <w:p w14:paraId="4F334B4F" w14:textId="77777777" w:rsidR="0014798C" w:rsidRDefault="004E1F0B">
      <w:pPr>
        <w:ind w:left="1111"/>
        <w:rPr>
          <w:sz w:val="12"/>
        </w:rPr>
      </w:pPr>
      <w:r>
        <w:rPr>
          <w:color w:val="00AC59"/>
          <w:sz w:val="12"/>
        </w:rPr>
        <w:t>PROTECCIÓN</w:t>
      </w:r>
      <w:r>
        <w:rPr>
          <w:color w:val="00AC59"/>
          <w:spacing w:val="6"/>
          <w:sz w:val="12"/>
        </w:rPr>
        <w:t xml:space="preserve"> </w:t>
      </w:r>
      <w:r>
        <w:rPr>
          <w:color w:val="00AC59"/>
          <w:sz w:val="12"/>
        </w:rPr>
        <w:t>DE</w:t>
      </w:r>
      <w:r>
        <w:rPr>
          <w:color w:val="00AC59"/>
          <w:spacing w:val="7"/>
          <w:sz w:val="12"/>
        </w:rPr>
        <w:t xml:space="preserve"> </w:t>
      </w:r>
      <w:r>
        <w:rPr>
          <w:color w:val="00AC59"/>
          <w:sz w:val="12"/>
        </w:rPr>
        <w:t>LOS</w:t>
      </w:r>
      <w:r>
        <w:rPr>
          <w:color w:val="00AC59"/>
          <w:spacing w:val="8"/>
          <w:sz w:val="12"/>
        </w:rPr>
        <w:t xml:space="preserve"> </w:t>
      </w:r>
      <w:r>
        <w:rPr>
          <w:color w:val="00AC59"/>
          <w:sz w:val="12"/>
        </w:rPr>
        <w:t>DERECHOS</w:t>
      </w:r>
      <w:r>
        <w:rPr>
          <w:color w:val="00AC59"/>
          <w:spacing w:val="8"/>
          <w:sz w:val="12"/>
        </w:rPr>
        <w:t xml:space="preserve"> </w:t>
      </w:r>
      <w:r>
        <w:rPr>
          <w:color w:val="00AC59"/>
          <w:sz w:val="12"/>
        </w:rPr>
        <w:t>DE</w:t>
      </w:r>
      <w:r>
        <w:rPr>
          <w:color w:val="00AC59"/>
          <w:spacing w:val="6"/>
          <w:sz w:val="12"/>
        </w:rPr>
        <w:t xml:space="preserve"> </w:t>
      </w:r>
      <w:r>
        <w:rPr>
          <w:color w:val="00AC59"/>
          <w:sz w:val="12"/>
        </w:rPr>
        <w:t>LAS</w:t>
      </w:r>
      <w:r>
        <w:rPr>
          <w:color w:val="00AC59"/>
          <w:spacing w:val="7"/>
          <w:sz w:val="12"/>
        </w:rPr>
        <w:t xml:space="preserve"> </w:t>
      </w:r>
      <w:r>
        <w:rPr>
          <w:color w:val="00AC59"/>
          <w:sz w:val="12"/>
        </w:rPr>
        <w:t>MINORÍAS:</w:t>
      </w:r>
      <w:r>
        <w:rPr>
          <w:color w:val="00AC59"/>
          <w:spacing w:val="8"/>
          <w:sz w:val="12"/>
        </w:rPr>
        <w:t xml:space="preserve"> </w:t>
      </w:r>
      <w:r>
        <w:rPr>
          <w:color w:val="00AC59"/>
          <w:sz w:val="12"/>
        </w:rPr>
        <w:t>una</w:t>
      </w:r>
      <w:r>
        <w:rPr>
          <w:color w:val="00AC59"/>
          <w:spacing w:val="7"/>
          <w:sz w:val="12"/>
        </w:rPr>
        <w:t xml:space="preserve"> </w:t>
      </w:r>
      <w:r>
        <w:rPr>
          <w:color w:val="00AC59"/>
          <w:sz w:val="12"/>
        </w:rPr>
        <w:t>guía</w:t>
      </w:r>
      <w:r>
        <w:rPr>
          <w:color w:val="00AC59"/>
          <w:spacing w:val="6"/>
          <w:sz w:val="12"/>
        </w:rPr>
        <w:t xml:space="preserve"> </w:t>
      </w:r>
      <w:r>
        <w:rPr>
          <w:color w:val="00AC59"/>
          <w:sz w:val="12"/>
        </w:rPr>
        <w:t>práctica</w:t>
      </w:r>
      <w:r>
        <w:rPr>
          <w:color w:val="00AC59"/>
          <w:spacing w:val="7"/>
          <w:sz w:val="12"/>
        </w:rPr>
        <w:t xml:space="preserve"> </w:t>
      </w:r>
      <w:r>
        <w:rPr>
          <w:color w:val="00AC59"/>
          <w:sz w:val="12"/>
        </w:rPr>
        <w:t>para</w:t>
      </w:r>
      <w:r>
        <w:rPr>
          <w:color w:val="00AC59"/>
          <w:spacing w:val="8"/>
          <w:sz w:val="12"/>
        </w:rPr>
        <w:t xml:space="preserve"> </w:t>
      </w:r>
      <w:r>
        <w:rPr>
          <w:color w:val="00AC59"/>
          <w:sz w:val="12"/>
        </w:rPr>
        <w:t>desarrollar</w:t>
      </w:r>
      <w:r>
        <w:rPr>
          <w:color w:val="00AC59"/>
          <w:spacing w:val="6"/>
          <w:sz w:val="12"/>
        </w:rPr>
        <w:t xml:space="preserve"> </w:t>
      </w:r>
      <w:r>
        <w:rPr>
          <w:color w:val="00AC59"/>
          <w:sz w:val="12"/>
        </w:rPr>
        <w:t>una</w:t>
      </w:r>
      <w:r>
        <w:rPr>
          <w:color w:val="00AC59"/>
          <w:spacing w:val="7"/>
          <w:sz w:val="12"/>
        </w:rPr>
        <w:t xml:space="preserve"> </w:t>
      </w:r>
      <w:r>
        <w:rPr>
          <w:color w:val="00AC59"/>
          <w:sz w:val="12"/>
        </w:rPr>
        <w:t>legislación</w:t>
      </w:r>
      <w:r>
        <w:rPr>
          <w:color w:val="00AC59"/>
          <w:spacing w:val="8"/>
          <w:sz w:val="12"/>
        </w:rPr>
        <w:t xml:space="preserve"> </w:t>
      </w:r>
      <w:r>
        <w:rPr>
          <w:color w:val="00AC59"/>
          <w:sz w:val="12"/>
        </w:rPr>
        <w:t>integral</w:t>
      </w:r>
      <w:r>
        <w:rPr>
          <w:color w:val="00AC59"/>
          <w:spacing w:val="7"/>
          <w:sz w:val="12"/>
        </w:rPr>
        <w:t xml:space="preserve"> </w:t>
      </w:r>
      <w:r>
        <w:rPr>
          <w:color w:val="00AC59"/>
          <w:sz w:val="12"/>
        </w:rPr>
        <w:t>contra</w:t>
      </w:r>
      <w:r>
        <w:rPr>
          <w:color w:val="00AC59"/>
          <w:spacing w:val="6"/>
          <w:sz w:val="12"/>
        </w:rPr>
        <w:t xml:space="preserve"> </w:t>
      </w:r>
      <w:r>
        <w:rPr>
          <w:color w:val="00AC59"/>
          <w:sz w:val="12"/>
        </w:rPr>
        <w:t>la</w:t>
      </w:r>
      <w:r>
        <w:rPr>
          <w:color w:val="00AC59"/>
          <w:spacing w:val="7"/>
          <w:sz w:val="12"/>
        </w:rPr>
        <w:t xml:space="preserve"> </w:t>
      </w:r>
      <w:r>
        <w:rPr>
          <w:color w:val="00AC59"/>
          <w:spacing w:val="-2"/>
          <w:sz w:val="12"/>
        </w:rPr>
        <w:t>discriminación</w:t>
      </w:r>
    </w:p>
    <w:p w14:paraId="7DDCE32C" w14:textId="77777777" w:rsidR="0014798C" w:rsidRDefault="0014798C">
      <w:pPr>
        <w:pStyle w:val="Textoindependiente"/>
      </w:pPr>
    </w:p>
    <w:p w14:paraId="1E040825" w14:textId="77777777" w:rsidR="0014798C" w:rsidRDefault="0014798C">
      <w:pPr>
        <w:pStyle w:val="Textoindependiente"/>
      </w:pPr>
    </w:p>
    <w:p w14:paraId="1BB94258" w14:textId="77777777" w:rsidR="0014798C" w:rsidRDefault="0014798C">
      <w:pPr>
        <w:pStyle w:val="Textoindependiente"/>
      </w:pPr>
    </w:p>
    <w:p w14:paraId="2D32E7B6" w14:textId="77777777" w:rsidR="0014798C" w:rsidRDefault="0014798C">
      <w:pPr>
        <w:pStyle w:val="Textoindependiente"/>
      </w:pPr>
    </w:p>
    <w:p w14:paraId="14EFFE5F" w14:textId="77777777" w:rsidR="0014798C" w:rsidRDefault="0014798C">
      <w:pPr>
        <w:pStyle w:val="Textoindependiente"/>
        <w:spacing w:before="55"/>
      </w:pPr>
    </w:p>
    <w:p w14:paraId="55FE4067" w14:textId="77777777" w:rsidR="0014798C" w:rsidRDefault="004E1F0B">
      <w:pPr>
        <w:pStyle w:val="Textoindependiente"/>
        <w:spacing w:line="326" w:lineRule="auto"/>
        <w:ind w:left="1111" w:right="1400" w:hanging="4"/>
      </w:pPr>
      <w:r>
        <w:t>evaluar</w:t>
      </w:r>
      <w:r>
        <w:rPr>
          <w:spacing w:val="-2"/>
        </w:rPr>
        <w:t xml:space="preserve"> </w:t>
      </w:r>
      <w:r>
        <w:t>periódicamente</w:t>
      </w:r>
      <w:r>
        <w:rPr>
          <w:spacing w:val="-2"/>
        </w:rPr>
        <w:t xml:space="preserve"> </w:t>
      </w:r>
      <w:r>
        <w:t>si</w:t>
      </w:r>
      <w:r>
        <w:rPr>
          <w:spacing w:val="-1"/>
        </w:rPr>
        <w:t xml:space="preserve"> </w:t>
      </w:r>
      <w:r>
        <w:t>las</w:t>
      </w:r>
      <w:r>
        <w:rPr>
          <w:spacing w:val="-2"/>
        </w:rPr>
        <w:t xml:space="preserve"> </w:t>
      </w:r>
      <w:r>
        <w:t>medidas</w:t>
      </w:r>
      <w:r>
        <w:rPr>
          <w:spacing w:val="-2"/>
        </w:rPr>
        <w:t xml:space="preserve"> </w:t>
      </w:r>
      <w:r>
        <w:t>elegidas</w:t>
      </w:r>
      <w:r>
        <w:rPr>
          <w:spacing w:val="-2"/>
        </w:rPr>
        <w:t xml:space="preserve"> </w:t>
      </w:r>
      <w:r>
        <w:t>son</w:t>
      </w:r>
      <w:r>
        <w:rPr>
          <w:spacing w:val="-1"/>
        </w:rPr>
        <w:t xml:space="preserve"> </w:t>
      </w:r>
      <w:r>
        <w:t>efectivas</w:t>
      </w:r>
      <w:r>
        <w:rPr>
          <w:spacing w:val="-2"/>
        </w:rPr>
        <w:t xml:space="preserve"> </w:t>
      </w:r>
      <w:r>
        <w:t>en</w:t>
      </w:r>
      <w:r>
        <w:rPr>
          <w:spacing w:val="-1"/>
        </w:rPr>
        <w:t xml:space="preserve"> </w:t>
      </w:r>
      <w:r>
        <w:t>la</w:t>
      </w:r>
      <w:r>
        <w:rPr>
          <w:spacing w:val="-2"/>
        </w:rPr>
        <w:t xml:space="preserve"> </w:t>
      </w:r>
      <w:r>
        <w:t>práctica”,</w:t>
      </w:r>
      <w:r>
        <w:rPr>
          <w:spacing w:val="-1"/>
        </w:rPr>
        <w:t xml:space="preserve"> </w:t>
      </w:r>
      <w:r>
        <w:t>señalando</w:t>
      </w:r>
      <w:r>
        <w:rPr>
          <w:spacing w:val="-1"/>
        </w:rPr>
        <w:t xml:space="preserve"> </w:t>
      </w:r>
      <w:r>
        <w:t>que</w:t>
      </w:r>
      <w:r>
        <w:rPr>
          <w:spacing w:val="-1"/>
        </w:rPr>
        <w:t xml:space="preserve"> </w:t>
      </w:r>
      <w:r>
        <w:t>dicho</w:t>
      </w:r>
      <w:r>
        <w:rPr>
          <w:spacing w:val="-1"/>
        </w:rPr>
        <w:t xml:space="preserve"> </w:t>
      </w:r>
      <w:r>
        <w:t>“monitoreo</w:t>
      </w:r>
      <w:r>
        <w:rPr>
          <w:spacing w:val="-2"/>
        </w:rPr>
        <w:t xml:space="preserve"> </w:t>
      </w:r>
      <w:r>
        <w:t>debe</w:t>
      </w:r>
      <w:r>
        <w:rPr>
          <w:spacing w:val="-1"/>
        </w:rPr>
        <w:t xml:space="preserve"> </w:t>
      </w:r>
      <w:r>
        <w:t>evaluar</w:t>
      </w:r>
      <w:r>
        <w:rPr>
          <w:spacing w:val="-2"/>
        </w:rPr>
        <w:t xml:space="preserve"> </w:t>
      </w:r>
      <w:r>
        <w:t>tanto las medidas adoptadas como los resultados alcanzados en la eliminación de la discriminación”.837</w:t>
      </w:r>
    </w:p>
    <w:p w14:paraId="15F98A9C" w14:textId="77777777" w:rsidR="0014798C" w:rsidRDefault="004E1F0B">
      <w:pPr>
        <w:pStyle w:val="Textoindependiente"/>
        <w:spacing w:before="169" w:line="326" w:lineRule="auto"/>
        <w:ind w:left="1107" w:right="1335" w:hanging="1"/>
      </w:pPr>
      <w:r>
        <w:t xml:space="preserve">La Convención sobre los Derechos de las Personas con Discapacidad establece una obligación explícita de recopilar datos, estipulando, en su artículo 31, que los Estados se comprometen a “recopilar información apropiada, incluidos datos estadísticos y de investigación, que les permita formular e implementar políticas para dar efecto a la Convención". Continúa estableciendo que esta información debe ser desglosada y que debe usarse para “ayudar a evaluar la implementación de las obligaciones de los </w:t>
      </w:r>
      <w:proofErr w:type="gramStart"/>
      <w:r>
        <w:t>Estados Partes</w:t>
      </w:r>
      <w:proofErr w:type="gramEnd"/>
      <w:r>
        <w:t xml:space="preserve"> bajo la... Convención y para identificar y abordar las barreras que enfrentan las personas con discapacidad en el ejercicio de sus derechos”. En su recomendación general núm. 6 (2018), el Comité sobre los Derechos de las Personas con Discapacidad brindó orientación sobre la implementación de esta obligación, señalando que los datos “deben estar desglosados por</w:t>
      </w:r>
      <w:r>
        <w:rPr>
          <w:spacing w:val="-1"/>
        </w:rPr>
        <w:t xml:space="preserve"> </w:t>
      </w:r>
      <w:r>
        <w:t>discapacidad y por</w:t>
      </w:r>
      <w:r>
        <w:rPr>
          <w:spacing w:val="-1"/>
        </w:rPr>
        <w:t xml:space="preserve"> </w:t>
      </w:r>
      <w:r>
        <w:t>categorías</w:t>
      </w:r>
      <w:r>
        <w:rPr>
          <w:spacing w:val="-1"/>
        </w:rPr>
        <w:t xml:space="preserve"> </w:t>
      </w:r>
      <w:r>
        <w:t>interseccionales”</w:t>
      </w:r>
      <w:r>
        <w:rPr>
          <w:spacing w:val="-1"/>
        </w:rPr>
        <w:t xml:space="preserve"> </w:t>
      </w:r>
      <w:r>
        <w:t>y “proporcionar</w:t>
      </w:r>
      <w:r>
        <w:rPr>
          <w:spacing w:val="-1"/>
        </w:rPr>
        <w:t xml:space="preserve"> </w:t>
      </w:r>
      <w:r>
        <w:t>información</w:t>
      </w:r>
      <w:r>
        <w:rPr>
          <w:spacing w:val="-1"/>
        </w:rPr>
        <w:t xml:space="preserve"> </w:t>
      </w:r>
      <w:r>
        <w:t>sobre todas</w:t>
      </w:r>
      <w:r>
        <w:rPr>
          <w:spacing w:val="-1"/>
        </w:rPr>
        <w:t xml:space="preserve"> </w:t>
      </w:r>
      <w:r>
        <w:t>las</w:t>
      </w:r>
      <w:r>
        <w:rPr>
          <w:spacing w:val="-1"/>
        </w:rPr>
        <w:t xml:space="preserve"> </w:t>
      </w:r>
      <w:r>
        <w:t>formas</w:t>
      </w:r>
      <w:r>
        <w:rPr>
          <w:spacing w:val="-1"/>
        </w:rPr>
        <w:t xml:space="preserve"> </w:t>
      </w:r>
      <w:r>
        <w:t>de discriminación”. Señaló que los datos que se recopilarán deberían ser “amplios” y que el diseño, la recopilación y el análisis de los datos deberían ser participativos.838</w:t>
      </w:r>
      <w:r>
        <w:rPr>
          <w:spacing w:val="-1"/>
        </w:rPr>
        <w:t xml:space="preserve"> </w:t>
      </w:r>
      <w:r>
        <w:t>A</w:t>
      </w:r>
      <w:r>
        <w:rPr>
          <w:spacing w:val="-1"/>
        </w:rPr>
        <w:t xml:space="preserve"> </w:t>
      </w:r>
      <w:r>
        <w:t>un nivel más</w:t>
      </w:r>
      <w:r>
        <w:rPr>
          <w:spacing w:val="-1"/>
        </w:rPr>
        <w:t xml:space="preserve"> </w:t>
      </w:r>
      <w:r>
        <w:t>práctico ,</w:t>
      </w:r>
      <w:r>
        <w:rPr>
          <w:spacing w:val="-1"/>
        </w:rPr>
        <w:t xml:space="preserve"> </w:t>
      </w:r>
      <w:r>
        <w:t>el ACNUDH, en colaboración con varios</w:t>
      </w:r>
      <w:r>
        <w:rPr>
          <w:spacing w:val="-1"/>
        </w:rPr>
        <w:t xml:space="preserve"> </w:t>
      </w:r>
      <w:r>
        <w:t>Estados, expertos, entidades</w:t>
      </w:r>
      <w:r>
        <w:rPr>
          <w:spacing w:val="-1"/>
        </w:rPr>
        <w:t xml:space="preserve"> </w:t>
      </w:r>
      <w:r>
        <w:t>de las</w:t>
      </w:r>
      <w:r>
        <w:rPr>
          <w:spacing w:val="-1"/>
        </w:rPr>
        <w:t xml:space="preserve"> </w:t>
      </w:r>
      <w:r>
        <w:t xml:space="preserve">Naciones Unidas, actores de desarrollo y organizaciones no gubernamentales, y con el apoyo de la Unión Europea, ha desarrollado el proyecto </w:t>
      </w:r>
      <w:proofErr w:type="spellStart"/>
      <w:r>
        <w:t>Bridging</w:t>
      </w:r>
      <w:proofErr w:type="spellEnd"/>
      <w:r>
        <w:t xml:space="preserve"> </w:t>
      </w:r>
      <w:proofErr w:type="spellStart"/>
      <w:r>
        <w:t>the</w:t>
      </w:r>
      <w:proofErr w:type="spellEnd"/>
      <w:r>
        <w:t xml:space="preserve"> Gap, que ha desarrollado un conjunto de indicadores para medir la implementación de la Convención.839</w:t>
      </w:r>
    </w:p>
    <w:p w14:paraId="21473853" w14:textId="77777777" w:rsidR="0014798C" w:rsidRDefault="0014798C">
      <w:pPr>
        <w:pStyle w:val="Textoindependiente"/>
      </w:pPr>
    </w:p>
    <w:p w14:paraId="44487DBA" w14:textId="77777777" w:rsidR="0014798C" w:rsidRDefault="0014798C">
      <w:pPr>
        <w:pStyle w:val="Textoindependiente"/>
        <w:spacing w:before="45"/>
      </w:pPr>
    </w:p>
    <w:p w14:paraId="2C0C1D8A" w14:textId="77777777" w:rsidR="0014798C" w:rsidRDefault="004E1F0B">
      <w:pPr>
        <w:pStyle w:val="Textoindependiente"/>
        <w:spacing w:before="1" w:line="326" w:lineRule="auto"/>
        <w:ind w:left="1107" w:right="1272" w:firstLine="2"/>
      </w:pPr>
      <w:r>
        <w:t>Los</w:t>
      </w:r>
      <w:r>
        <w:rPr>
          <w:spacing w:val="-2"/>
        </w:rPr>
        <w:t xml:space="preserve"> </w:t>
      </w:r>
      <w:r>
        <w:t>datos</w:t>
      </w:r>
      <w:r>
        <w:rPr>
          <w:spacing w:val="-2"/>
        </w:rPr>
        <w:t xml:space="preserve"> </w:t>
      </w:r>
      <w:r>
        <w:t>recopilados</w:t>
      </w:r>
      <w:r>
        <w:rPr>
          <w:spacing w:val="-2"/>
        </w:rPr>
        <w:t xml:space="preserve"> </w:t>
      </w:r>
      <w:r>
        <w:t>deben</w:t>
      </w:r>
      <w:r>
        <w:rPr>
          <w:spacing w:val="-1"/>
        </w:rPr>
        <w:t xml:space="preserve"> </w:t>
      </w:r>
      <w:r>
        <w:t>hacerse</w:t>
      </w:r>
      <w:r>
        <w:rPr>
          <w:spacing w:val="-1"/>
        </w:rPr>
        <w:t xml:space="preserve"> </w:t>
      </w:r>
      <w:r>
        <w:t>públicos</w:t>
      </w:r>
      <w:r>
        <w:rPr>
          <w:spacing w:val="-2"/>
        </w:rPr>
        <w:t xml:space="preserve"> </w:t>
      </w:r>
      <w:r>
        <w:t>en</w:t>
      </w:r>
      <w:r>
        <w:rPr>
          <w:spacing w:val="-1"/>
        </w:rPr>
        <w:t xml:space="preserve"> </w:t>
      </w:r>
      <w:r>
        <w:t>formatos</w:t>
      </w:r>
      <w:r>
        <w:rPr>
          <w:spacing w:val="-2"/>
        </w:rPr>
        <w:t xml:space="preserve"> </w:t>
      </w:r>
      <w:r>
        <w:t>fácilmente</w:t>
      </w:r>
      <w:r>
        <w:rPr>
          <w:spacing w:val="-2"/>
        </w:rPr>
        <w:t xml:space="preserve"> </w:t>
      </w:r>
      <w:r>
        <w:t>accesibles</w:t>
      </w:r>
      <w:r>
        <w:rPr>
          <w:spacing w:val="-2"/>
        </w:rPr>
        <w:t xml:space="preserve"> </w:t>
      </w:r>
      <w:r>
        <w:t>al</w:t>
      </w:r>
      <w:r>
        <w:rPr>
          <w:spacing w:val="-1"/>
        </w:rPr>
        <w:t xml:space="preserve"> </w:t>
      </w:r>
      <w:r>
        <w:t>público</w:t>
      </w:r>
      <w:r>
        <w:rPr>
          <w:spacing w:val="-1"/>
        </w:rPr>
        <w:t xml:space="preserve"> </w:t>
      </w:r>
      <w:r>
        <w:t>en</w:t>
      </w:r>
      <w:r>
        <w:rPr>
          <w:spacing w:val="-1"/>
        </w:rPr>
        <w:t xml:space="preserve"> </w:t>
      </w:r>
      <w:r>
        <w:t>general</w:t>
      </w:r>
      <w:r>
        <w:rPr>
          <w:spacing w:val="-1"/>
        </w:rPr>
        <w:t xml:space="preserve"> </w:t>
      </w:r>
      <w:r>
        <w:t>para</w:t>
      </w:r>
      <w:r>
        <w:rPr>
          <w:spacing w:val="-1"/>
        </w:rPr>
        <w:t xml:space="preserve"> </w:t>
      </w:r>
      <w:r>
        <w:t>informar</w:t>
      </w:r>
      <w:r>
        <w:rPr>
          <w:spacing w:val="-2"/>
        </w:rPr>
        <w:t xml:space="preserve"> </w:t>
      </w:r>
      <w:r>
        <w:t>tanto</w:t>
      </w:r>
      <w:r>
        <w:rPr>
          <w:spacing w:val="-2"/>
        </w:rPr>
        <w:t xml:space="preserve"> </w:t>
      </w:r>
      <w:r>
        <w:t>la formulación</w:t>
      </w:r>
      <w:r>
        <w:rPr>
          <w:spacing w:val="-1"/>
        </w:rPr>
        <w:t xml:space="preserve"> </w:t>
      </w:r>
      <w:r>
        <w:t>de políticas</w:t>
      </w:r>
      <w:r>
        <w:rPr>
          <w:spacing w:val="-1"/>
        </w:rPr>
        <w:t xml:space="preserve"> </w:t>
      </w:r>
      <w:r>
        <w:t>como los</w:t>
      </w:r>
      <w:r>
        <w:rPr>
          <w:spacing w:val="-1"/>
        </w:rPr>
        <w:t xml:space="preserve"> </w:t>
      </w:r>
      <w:r>
        <w:t>debates</w:t>
      </w:r>
      <w:r>
        <w:rPr>
          <w:spacing w:val="-1"/>
        </w:rPr>
        <w:t xml:space="preserve"> </w:t>
      </w:r>
      <w:r>
        <w:t>más</w:t>
      </w:r>
      <w:r>
        <w:rPr>
          <w:spacing w:val="-1"/>
        </w:rPr>
        <w:t xml:space="preserve"> </w:t>
      </w:r>
      <w:r>
        <w:t>amplios</w:t>
      </w:r>
      <w:r>
        <w:rPr>
          <w:spacing w:val="-1"/>
        </w:rPr>
        <w:t xml:space="preserve"> </w:t>
      </w:r>
      <w:r>
        <w:t>sobre la</w:t>
      </w:r>
      <w:r>
        <w:rPr>
          <w:spacing w:val="-1"/>
        </w:rPr>
        <w:t xml:space="preserve"> </w:t>
      </w:r>
      <w:r>
        <w:t>igualdad, la</w:t>
      </w:r>
      <w:r>
        <w:rPr>
          <w:spacing w:val="-1"/>
        </w:rPr>
        <w:t xml:space="preserve"> </w:t>
      </w:r>
      <w:r>
        <w:t>no discriminación, otros</w:t>
      </w:r>
      <w:r>
        <w:rPr>
          <w:spacing w:val="-1"/>
        </w:rPr>
        <w:t xml:space="preserve"> </w:t>
      </w:r>
      <w:r>
        <w:t>derechos</w:t>
      </w:r>
      <w:r>
        <w:rPr>
          <w:spacing w:val="-1"/>
        </w:rPr>
        <w:t xml:space="preserve"> </w:t>
      </w:r>
      <w:r>
        <w:t>humanos</w:t>
      </w:r>
      <w:r>
        <w:rPr>
          <w:spacing w:val="-1"/>
        </w:rPr>
        <w:t xml:space="preserve"> </w:t>
      </w:r>
      <w:r>
        <w:t>y la eficacia de las medidas para respetar, proteger y cumplir estos derechos.840 Sin embargo, la publicación de datos no debe aumentar el estigma ni suponer riesgos para las personas.841</w:t>
      </w:r>
    </w:p>
    <w:p w14:paraId="67D61038" w14:textId="77777777" w:rsidR="0014798C" w:rsidRDefault="0014798C">
      <w:pPr>
        <w:pStyle w:val="Textoindependiente"/>
        <w:spacing w:before="69"/>
      </w:pPr>
    </w:p>
    <w:p w14:paraId="1A39336D" w14:textId="77777777" w:rsidR="0014798C" w:rsidRDefault="004E1F0B">
      <w:pPr>
        <w:pStyle w:val="Prrafodelista"/>
        <w:numPr>
          <w:ilvl w:val="1"/>
          <w:numId w:val="3"/>
        </w:numPr>
        <w:tabs>
          <w:tab w:val="left" w:pos="1581"/>
        </w:tabs>
        <w:ind w:left="1581" w:hanging="461"/>
        <w:rPr>
          <w:color w:val="00AC59"/>
          <w:sz w:val="36"/>
        </w:rPr>
      </w:pPr>
      <w:r>
        <w:rPr>
          <w:color w:val="00AC59"/>
          <w:sz w:val="36"/>
        </w:rPr>
        <w:t>Consulta,</w:t>
      </w:r>
      <w:r>
        <w:rPr>
          <w:color w:val="00AC59"/>
          <w:spacing w:val="-5"/>
          <w:sz w:val="36"/>
        </w:rPr>
        <w:t xml:space="preserve"> </w:t>
      </w:r>
      <w:r>
        <w:rPr>
          <w:color w:val="00AC59"/>
          <w:sz w:val="36"/>
        </w:rPr>
        <w:t>compromiso</w:t>
      </w:r>
      <w:r>
        <w:rPr>
          <w:color w:val="00AC59"/>
          <w:spacing w:val="-6"/>
          <w:sz w:val="36"/>
        </w:rPr>
        <w:t xml:space="preserve"> </w:t>
      </w:r>
      <w:r>
        <w:rPr>
          <w:color w:val="00AC59"/>
          <w:sz w:val="36"/>
        </w:rPr>
        <w:t>y</w:t>
      </w:r>
      <w:r>
        <w:rPr>
          <w:color w:val="00AC59"/>
          <w:spacing w:val="-5"/>
          <w:sz w:val="36"/>
        </w:rPr>
        <w:t xml:space="preserve"> </w:t>
      </w:r>
      <w:r>
        <w:rPr>
          <w:color w:val="00AC59"/>
          <w:spacing w:val="-2"/>
          <w:sz w:val="36"/>
        </w:rPr>
        <w:t>participación</w:t>
      </w:r>
    </w:p>
    <w:p w14:paraId="1F769279" w14:textId="77777777" w:rsidR="0014798C" w:rsidRDefault="004E1F0B">
      <w:pPr>
        <w:pStyle w:val="Textoindependiente"/>
        <w:spacing w:before="183" w:line="326" w:lineRule="auto"/>
        <w:ind w:left="1108" w:right="1463"/>
      </w:pPr>
      <w:r>
        <w:t>Cada</w:t>
      </w:r>
      <w:r>
        <w:rPr>
          <w:spacing w:val="-2"/>
        </w:rPr>
        <w:t xml:space="preserve"> </w:t>
      </w:r>
      <w:r>
        <w:t>uno</w:t>
      </w:r>
      <w:r>
        <w:rPr>
          <w:spacing w:val="-1"/>
        </w:rPr>
        <w:t xml:space="preserve"> </w:t>
      </w:r>
      <w:r>
        <w:t>de</w:t>
      </w:r>
      <w:r>
        <w:rPr>
          <w:spacing w:val="-1"/>
        </w:rPr>
        <w:t xml:space="preserve"> </w:t>
      </w:r>
      <w:r>
        <w:t>los</w:t>
      </w:r>
      <w:r>
        <w:rPr>
          <w:spacing w:val="-2"/>
        </w:rPr>
        <w:t xml:space="preserve"> </w:t>
      </w:r>
      <w:r>
        <w:t>órganos</w:t>
      </w:r>
      <w:r>
        <w:rPr>
          <w:spacing w:val="-2"/>
        </w:rPr>
        <w:t xml:space="preserve"> </w:t>
      </w:r>
      <w:r>
        <w:t>de</w:t>
      </w:r>
      <w:r>
        <w:rPr>
          <w:spacing w:val="-1"/>
        </w:rPr>
        <w:t xml:space="preserve"> </w:t>
      </w:r>
      <w:r>
        <w:t>tratados</w:t>
      </w:r>
      <w:r>
        <w:rPr>
          <w:spacing w:val="-2"/>
        </w:rPr>
        <w:t xml:space="preserve"> </w:t>
      </w:r>
      <w:r>
        <w:t>que</w:t>
      </w:r>
      <w:r>
        <w:rPr>
          <w:spacing w:val="-1"/>
        </w:rPr>
        <w:t xml:space="preserve"> </w:t>
      </w:r>
      <w:r>
        <w:t>se</w:t>
      </w:r>
      <w:r>
        <w:rPr>
          <w:spacing w:val="-1"/>
        </w:rPr>
        <w:t xml:space="preserve"> </w:t>
      </w:r>
      <w:r>
        <w:t>ha</w:t>
      </w:r>
      <w:r>
        <w:rPr>
          <w:spacing w:val="-1"/>
        </w:rPr>
        <w:t xml:space="preserve"> </w:t>
      </w:r>
      <w:r>
        <w:t>comprometido</w:t>
      </w:r>
      <w:r>
        <w:rPr>
          <w:spacing w:val="-2"/>
        </w:rPr>
        <w:t xml:space="preserve"> </w:t>
      </w:r>
      <w:r>
        <w:t>con</w:t>
      </w:r>
      <w:r>
        <w:rPr>
          <w:spacing w:val="-1"/>
        </w:rPr>
        <w:t xml:space="preserve"> </w:t>
      </w:r>
      <w:r>
        <w:t>las</w:t>
      </w:r>
      <w:r>
        <w:rPr>
          <w:spacing w:val="-2"/>
        </w:rPr>
        <w:t xml:space="preserve"> </w:t>
      </w:r>
      <w:r>
        <w:t>obligaciones</w:t>
      </w:r>
      <w:r>
        <w:rPr>
          <w:spacing w:val="-2"/>
        </w:rPr>
        <w:t xml:space="preserve"> </w:t>
      </w:r>
      <w:r>
        <w:t>de</w:t>
      </w:r>
      <w:r>
        <w:rPr>
          <w:spacing w:val="-1"/>
        </w:rPr>
        <w:t xml:space="preserve"> </w:t>
      </w:r>
      <w:r>
        <w:t>los</w:t>
      </w:r>
      <w:r>
        <w:rPr>
          <w:spacing w:val="-2"/>
        </w:rPr>
        <w:t xml:space="preserve"> </w:t>
      </w:r>
      <w:r>
        <w:t>Estados</w:t>
      </w:r>
      <w:r>
        <w:rPr>
          <w:spacing w:val="-2"/>
        </w:rPr>
        <w:t xml:space="preserve"> </w:t>
      </w:r>
      <w:r>
        <w:t>de</w:t>
      </w:r>
      <w:r>
        <w:rPr>
          <w:spacing w:val="-1"/>
        </w:rPr>
        <w:t xml:space="preserve"> </w:t>
      </w:r>
      <w:r>
        <w:t>implementar</w:t>
      </w:r>
      <w:r>
        <w:rPr>
          <w:spacing w:val="-2"/>
        </w:rPr>
        <w:t xml:space="preserve"> </w:t>
      </w:r>
      <w:r>
        <w:t>el</w:t>
      </w:r>
      <w:r>
        <w:rPr>
          <w:spacing w:val="-1"/>
        </w:rPr>
        <w:t xml:space="preserve"> </w:t>
      </w:r>
      <w:r>
        <w:t>derecho</w:t>
      </w:r>
      <w:r>
        <w:rPr>
          <w:spacing w:val="-1"/>
        </w:rPr>
        <w:t xml:space="preserve"> </w:t>
      </w:r>
      <w:r>
        <w:t>a la no discriminación ha enfatizado la importancia de la consulta, el compromiso y la participación.</w:t>
      </w:r>
    </w:p>
    <w:p w14:paraId="22DDF670" w14:textId="77777777" w:rsidR="0014798C" w:rsidRDefault="004E1F0B">
      <w:pPr>
        <w:pStyle w:val="Textoindependiente"/>
        <w:spacing w:before="169" w:line="326" w:lineRule="auto"/>
        <w:ind w:left="1107" w:right="1300" w:hanging="1"/>
      </w:pPr>
      <w:r>
        <w:t>El deber de garantizar la participación igualitaria se relaciona directamente con el empoderamiento de los titulares de derechos.</w:t>
      </w:r>
      <w:r>
        <w:rPr>
          <w:spacing w:val="80"/>
        </w:rPr>
        <w:t xml:space="preserve"> </w:t>
      </w:r>
      <w:r>
        <w:t>La Convención Internacional</w:t>
      </w:r>
      <w:r>
        <w:rPr>
          <w:spacing w:val="-1"/>
        </w:rPr>
        <w:t xml:space="preserve"> </w:t>
      </w:r>
      <w:r>
        <w:t>sobre la</w:t>
      </w:r>
      <w:r>
        <w:rPr>
          <w:spacing w:val="-1"/>
        </w:rPr>
        <w:t xml:space="preserve"> </w:t>
      </w:r>
      <w:r>
        <w:t>Eliminación</w:t>
      </w:r>
      <w:r>
        <w:rPr>
          <w:spacing w:val="-1"/>
        </w:rPr>
        <w:t xml:space="preserve"> </w:t>
      </w:r>
      <w:r>
        <w:t>de todas</w:t>
      </w:r>
      <w:r>
        <w:rPr>
          <w:spacing w:val="-1"/>
        </w:rPr>
        <w:t xml:space="preserve"> </w:t>
      </w:r>
      <w:r>
        <w:t>las</w:t>
      </w:r>
      <w:r>
        <w:rPr>
          <w:spacing w:val="-1"/>
        </w:rPr>
        <w:t xml:space="preserve"> </w:t>
      </w:r>
      <w:r>
        <w:t>Formas</w:t>
      </w:r>
      <w:r>
        <w:rPr>
          <w:spacing w:val="-1"/>
        </w:rPr>
        <w:t xml:space="preserve"> </w:t>
      </w:r>
      <w:r>
        <w:t>de Discriminación Racial, en virtud</w:t>
      </w:r>
      <w:r>
        <w:rPr>
          <w:spacing w:val="-1"/>
        </w:rPr>
        <w:t xml:space="preserve"> </w:t>
      </w:r>
      <w:r>
        <w:t>del artículo</w:t>
      </w:r>
      <w:r>
        <w:rPr>
          <w:spacing w:val="-1"/>
        </w:rPr>
        <w:t xml:space="preserve"> </w:t>
      </w:r>
      <w:r>
        <w:t xml:space="preserve">2 (1) (e), por ejemplo, obliga a los </w:t>
      </w:r>
      <w:proofErr w:type="gramStart"/>
      <w:r>
        <w:t>Estados partes</w:t>
      </w:r>
      <w:proofErr w:type="gramEnd"/>
      <w:r>
        <w:t xml:space="preserve"> a “alentar, cuando proceda, las organizaciones y movimientos multirraciales integracionistas</w:t>
      </w:r>
      <w:r>
        <w:rPr>
          <w:spacing w:val="80"/>
        </w:rPr>
        <w:t xml:space="preserve"> </w:t>
      </w:r>
      <w:r>
        <w:t>y otros</w:t>
      </w:r>
      <w:r>
        <w:rPr>
          <w:spacing w:val="-1"/>
        </w:rPr>
        <w:t xml:space="preserve"> </w:t>
      </w:r>
      <w:r>
        <w:t>medios</w:t>
      </w:r>
      <w:r>
        <w:rPr>
          <w:spacing w:val="-1"/>
        </w:rPr>
        <w:t xml:space="preserve"> </w:t>
      </w:r>
      <w:r>
        <w:t>para eliminar</w:t>
      </w:r>
      <w:r>
        <w:rPr>
          <w:spacing w:val="-1"/>
        </w:rPr>
        <w:t xml:space="preserve"> </w:t>
      </w:r>
      <w:r>
        <w:t>las</w:t>
      </w:r>
      <w:r>
        <w:rPr>
          <w:spacing w:val="-1"/>
        </w:rPr>
        <w:t xml:space="preserve"> </w:t>
      </w:r>
      <w:r>
        <w:t>barreras</w:t>
      </w:r>
      <w:r>
        <w:rPr>
          <w:spacing w:val="-1"/>
        </w:rPr>
        <w:t xml:space="preserve"> </w:t>
      </w:r>
      <w:r>
        <w:t>entre</w:t>
      </w:r>
      <w:r>
        <w:rPr>
          <w:spacing w:val="-1"/>
        </w:rPr>
        <w:t xml:space="preserve"> </w:t>
      </w:r>
      <w:r>
        <w:t>razas, y desalentar</w:t>
      </w:r>
      <w:r>
        <w:rPr>
          <w:spacing w:val="-1"/>
        </w:rPr>
        <w:t xml:space="preserve"> </w:t>
      </w:r>
      <w:r>
        <w:t>todo</w:t>
      </w:r>
      <w:r>
        <w:rPr>
          <w:spacing w:val="-1"/>
        </w:rPr>
        <w:t xml:space="preserve"> </w:t>
      </w:r>
      <w:r>
        <w:t>lo</w:t>
      </w:r>
      <w:r>
        <w:rPr>
          <w:spacing w:val="-1"/>
        </w:rPr>
        <w:t xml:space="preserve"> </w:t>
      </w:r>
      <w:r>
        <w:t>que tienda</w:t>
      </w:r>
      <w:r>
        <w:rPr>
          <w:spacing w:val="-1"/>
        </w:rPr>
        <w:t xml:space="preserve"> </w:t>
      </w:r>
      <w:r>
        <w:t>a fortalecer</w:t>
      </w:r>
      <w:r>
        <w:rPr>
          <w:spacing w:val="-1"/>
        </w:rPr>
        <w:t xml:space="preserve"> </w:t>
      </w:r>
      <w:r>
        <w:t>la</w:t>
      </w:r>
      <w:r>
        <w:rPr>
          <w:spacing w:val="-1"/>
        </w:rPr>
        <w:t xml:space="preserve"> </w:t>
      </w:r>
      <w:r>
        <w:t>división racial”. El</w:t>
      </w:r>
      <w:r>
        <w:rPr>
          <w:spacing w:val="-1"/>
        </w:rPr>
        <w:t xml:space="preserve"> </w:t>
      </w:r>
      <w:r>
        <w:t>artículo</w:t>
      </w:r>
      <w:r>
        <w:rPr>
          <w:spacing w:val="-1"/>
        </w:rPr>
        <w:t xml:space="preserve"> </w:t>
      </w:r>
      <w:r>
        <w:t>7 de la Convención sobre la eliminación de todas las formas de discriminación contra la mujer exige de manera similar que los Estados “adopten todas las medidas apropiadas para eliminar la discriminación contra la mujer en la vida política y pública del país y, en particular, garantizarán a las mujeres, en igualdad de condiciones, relación con los hombres, el derecho... a participar en organizaciones y asociaciones no gubernamentales interesadas en la vida pública y política del país”. En sus comentarios generales, el Comité sobre los Derechos de las Personas con Discapacidad</w:t>
      </w:r>
    </w:p>
    <w:p w14:paraId="3843EF4B" w14:textId="77777777" w:rsidR="0014798C" w:rsidRDefault="0014798C">
      <w:pPr>
        <w:pStyle w:val="Textoindependiente"/>
        <w:rPr>
          <w:sz w:val="20"/>
        </w:rPr>
      </w:pPr>
    </w:p>
    <w:p w14:paraId="213FEA76" w14:textId="77777777" w:rsidR="0014798C" w:rsidRDefault="004E1F0B">
      <w:pPr>
        <w:pStyle w:val="Textoindependiente"/>
        <w:spacing w:before="59"/>
        <w:rPr>
          <w:sz w:val="20"/>
        </w:rPr>
      </w:pPr>
      <w:r>
        <w:rPr>
          <w:noProof/>
        </w:rPr>
        <w:drawing>
          <wp:anchor distT="0" distB="0" distL="0" distR="0" simplePos="0" relativeHeight="251658542" behindDoc="1" locked="0" layoutInCell="1" allowOverlap="1" wp14:anchorId="446C2B53" wp14:editId="04C6DBF5">
            <wp:simplePos x="0" y="0"/>
            <wp:positionH relativeFrom="page">
              <wp:posOffset>826632</wp:posOffset>
            </wp:positionH>
            <wp:positionV relativeFrom="paragraph">
              <wp:posOffset>198890</wp:posOffset>
            </wp:positionV>
            <wp:extent cx="931001" cy="35813"/>
            <wp:effectExtent l="0" t="0" r="0" b="0"/>
            <wp:wrapTopAndBottom/>
            <wp:docPr id="255" name="Image 25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55" name="Image 255"/>
                    <pic:cNvPicPr/>
                  </pic:nvPicPr>
                  <pic:blipFill>
                    <a:blip r:embed="rId227" cstate="print"/>
                    <a:stretch>
                      <a:fillRect/>
                    </a:stretch>
                  </pic:blipFill>
                  <pic:spPr>
                    <a:xfrm>
                      <a:off x="0" y="0"/>
                      <a:ext cx="931001" cy="35813"/>
                    </a:xfrm>
                    <a:prstGeom prst="rect">
                      <a:avLst/>
                    </a:prstGeom>
                  </pic:spPr>
                </pic:pic>
              </a:graphicData>
            </a:graphic>
          </wp:anchor>
        </w:drawing>
      </w:r>
    </w:p>
    <w:p w14:paraId="2C127F05" w14:textId="77777777" w:rsidR="0014798C" w:rsidRDefault="004E1F0B">
      <w:pPr>
        <w:spacing w:before="137"/>
        <w:ind w:left="1110"/>
        <w:rPr>
          <w:sz w:val="12"/>
        </w:rPr>
      </w:pPr>
      <w:r>
        <w:rPr>
          <w:sz w:val="12"/>
        </w:rPr>
        <w:t>837</w:t>
      </w:r>
      <w:r>
        <w:rPr>
          <w:spacing w:val="-6"/>
          <w:sz w:val="12"/>
        </w:rPr>
        <w:t xml:space="preserve"> </w:t>
      </w:r>
      <w:r>
        <w:rPr>
          <w:sz w:val="12"/>
        </w:rPr>
        <w:t>Comité</w:t>
      </w:r>
      <w:r>
        <w:rPr>
          <w:spacing w:val="-4"/>
          <w:sz w:val="12"/>
        </w:rPr>
        <w:t xml:space="preserve"> </w:t>
      </w:r>
      <w:r>
        <w:rPr>
          <w:sz w:val="12"/>
        </w:rPr>
        <w:t>de</w:t>
      </w:r>
      <w:r>
        <w:rPr>
          <w:spacing w:val="-4"/>
          <w:sz w:val="12"/>
        </w:rPr>
        <w:t xml:space="preserve"> </w:t>
      </w:r>
      <w:r>
        <w:rPr>
          <w:sz w:val="12"/>
        </w:rPr>
        <w:t>Derechos</w:t>
      </w:r>
      <w:r>
        <w:rPr>
          <w:spacing w:val="-4"/>
          <w:sz w:val="12"/>
        </w:rPr>
        <w:t xml:space="preserve"> </w:t>
      </w:r>
      <w:r>
        <w:rPr>
          <w:sz w:val="12"/>
        </w:rPr>
        <w:t>Económicos,</w:t>
      </w:r>
      <w:r>
        <w:rPr>
          <w:spacing w:val="-3"/>
          <w:sz w:val="12"/>
        </w:rPr>
        <w:t xml:space="preserve"> </w:t>
      </w:r>
      <w:r>
        <w:rPr>
          <w:sz w:val="12"/>
        </w:rPr>
        <w:t>Sociales</w:t>
      </w:r>
      <w:r>
        <w:rPr>
          <w:spacing w:val="-5"/>
          <w:sz w:val="12"/>
        </w:rPr>
        <w:t xml:space="preserve"> </w:t>
      </w:r>
      <w:r>
        <w:rPr>
          <w:sz w:val="12"/>
        </w:rPr>
        <w:t>y</w:t>
      </w:r>
      <w:r>
        <w:rPr>
          <w:spacing w:val="-4"/>
          <w:sz w:val="12"/>
        </w:rPr>
        <w:t xml:space="preserve"> </w:t>
      </w:r>
      <w:r>
        <w:rPr>
          <w:sz w:val="12"/>
        </w:rPr>
        <w:t>Culturales,</w:t>
      </w:r>
      <w:r>
        <w:rPr>
          <w:spacing w:val="-3"/>
          <w:sz w:val="12"/>
        </w:rPr>
        <w:t xml:space="preserve"> </w:t>
      </w:r>
      <w:r>
        <w:rPr>
          <w:sz w:val="12"/>
        </w:rPr>
        <w:t>observación</w:t>
      </w:r>
      <w:r>
        <w:rPr>
          <w:spacing w:val="-4"/>
          <w:sz w:val="12"/>
        </w:rPr>
        <w:t xml:space="preserve"> </w:t>
      </w:r>
      <w:r>
        <w:rPr>
          <w:sz w:val="12"/>
        </w:rPr>
        <w:t>general</w:t>
      </w:r>
      <w:r>
        <w:rPr>
          <w:spacing w:val="-4"/>
          <w:sz w:val="12"/>
        </w:rPr>
        <w:t xml:space="preserve"> </w:t>
      </w:r>
      <w:r>
        <w:rPr>
          <w:sz w:val="12"/>
        </w:rPr>
        <w:t>núm.</w:t>
      </w:r>
      <w:r>
        <w:rPr>
          <w:spacing w:val="-4"/>
          <w:sz w:val="12"/>
        </w:rPr>
        <w:t xml:space="preserve"> </w:t>
      </w:r>
      <w:r>
        <w:rPr>
          <w:sz w:val="12"/>
        </w:rPr>
        <w:t>20</w:t>
      </w:r>
      <w:r>
        <w:rPr>
          <w:spacing w:val="-3"/>
          <w:sz w:val="12"/>
        </w:rPr>
        <w:t xml:space="preserve"> </w:t>
      </w:r>
      <w:r>
        <w:rPr>
          <w:sz w:val="12"/>
        </w:rPr>
        <w:t>(2009),</w:t>
      </w:r>
      <w:r>
        <w:rPr>
          <w:spacing w:val="-4"/>
          <w:sz w:val="12"/>
        </w:rPr>
        <w:t xml:space="preserve"> </w:t>
      </w:r>
      <w:proofErr w:type="spellStart"/>
      <w:r>
        <w:rPr>
          <w:sz w:val="12"/>
        </w:rPr>
        <w:t>párrs</w:t>
      </w:r>
      <w:proofErr w:type="spellEnd"/>
      <w:r>
        <w:rPr>
          <w:sz w:val="12"/>
        </w:rPr>
        <w:t>.</w:t>
      </w:r>
      <w:r>
        <w:rPr>
          <w:spacing w:val="-4"/>
          <w:sz w:val="12"/>
        </w:rPr>
        <w:t xml:space="preserve"> </w:t>
      </w:r>
      <w:r>
        <w:rPr>
          <w:sz w:val="12"/>
        </w:rPr>
        <w:t>36</w:t>
      </w:r>
      <w:r>
        <w:rPr>
          <w:spacing w:val="-4"/>
          <w:sz w:val="12"/>
        </w:rPr>
        <w:t xml:space="preserve"> </w:t>
      </w:r>
      <w:r>
        <w:rPr>
          <w:sz w:val="12"/>
        </w:rPr>
        <w:t>y</w:t>
      </w:r>
      <w:r>
        <w:rPr>
          <w:spacing w:val="-3"/>
          <w:sz w:val="12"/>
        </w:rPr>
        <w:t xml:space="preserve"> </w:t>
      </w:r>
      <w:r>
        <w:rPr>
          <w:spacing w:val="-5"/>
          <w:sz w:val="12"/>
        </w:rPr>
        <w:t>41.</w:t>
      </w:r>
    </w:p>
    <w:p w14:paraId="5C9FA799" w14:textId="77777777" w:rsidR="0014798C" w:rsidRDefault="004E1F0B">
      <w:pPr>
        <w:spacing w:before="99"/>
        <w:ind w:left="1110"/>
        <w:rPr>
          <w:sz w:val="12"/>
        </w:rPr>
      </w:pPr>
      <w:r>
        <w:rPr>
          <w:sz w:val="12"/>
        </w:rPr>
        <w:t>838</w:t>
      </w:r>
      <w:r>
        <w:rPr>
          <w:spacing w:val="-6"/>
          <w:sz w:val="12"/>
        </w:rPr>
        <w:t xml:space="preserve"> </w:t>
      </w:r>
      <w:r>
        <w:rPr>
          <w:sz w:val="12"/>
        </w:rPr>
        <w:t>Comité</w:t>
      </w:r>
      <w:r>
        <w:rPr>
          <w:spacing w:val="-3"/>
          <w:sz w:val="12"/>
        </w:rPr>
        <w:t xml:space="preserve"> </w:t>
      </w:r>
      <w:r>
        <w:rPr>
          <w:sz w:val="12"/>
        </w:rPr>
        <w:t>sobre</w:t>
      </w:r>
      <w:r>
        <w:rPr>
          <w:spacing w:val="-4"/>
          <w:sz w:val="12"/>
        </w:rPr>
        <w:t xml:space="preserve"> </w:t>
      </w:r>
      <w:r>
        <w:rPr>
          <w:sz w:val="12"/>
        </w:rPr>
        <w:t>los</w:t>
      </w:r>
      <w:r>
        <w:rPr>
          <w:spacing w:val="-3"/>
          <w:sz w:val="12"/>
        </w:rPr>
        <w:t xml:space="preserve"> </w:t>
      </w:r>
      <w:r>
        <w:rPr>
          <w:sz w:val="12"/>
        </w:rPr>
        <w:t>Derechos</w:t>
      </w:r>
      <w:r>
        <w:rPr>
          <w:spacing w:val="-4"/>
          <w:sz w:val="12"/>
        </w:rPr>
        <w:t xml:space="preserve"> </w:t>
      </w:r>
      <w:r>
        <w:rPr>
          <w:sz w:val="12"/>
        </w:rPr>
        <w:t>de</w:t>
      </w:r>
      <w:r>
        <w:rPr>
          <w:spacing w:val="-3"/>
          <w:sz w:val="12"/>
        </w:rPr>
        <w:t xml:space="preserve"> </w:t>
      </w:r>
      <w:r>
        <w:rPr>
          <w:sz w:val="12"/>
        </w:rPr>
        <w:t>las</w:t>
      </w:r>
      <w:r>
        <w:rPr>
          <w:spacing w:val="-4"/>
          <w:sz w:val="12"/>
        </w:rPr>
        <w:t xml:space="preserve"> </w:t>
      </w:r>
      <w:r>
        <w:rPr>
          <w:sz w:val="12"/>
        </w:rPr>
        <w:t>Personas</w:t>
      </w:r>
      <w:r>
        <w:rPr>
          <w:spacing w:val="-4"/>
          <w:sz w:val="12"/>
        </w:rPr>
        <w:t xml:space="preserve"> </w:t>
      </w:r>
      <w:r>
        <w:rPr>
          <w:sz w:val="12"/>
        </w:rPr>
        <w:t>con</w:t>
      </w:r>
      <w:r>
        <w:rPr>
          <w:spacing w:val="-3"/>
          <w:sz w:val="12"/>
        </w:rPr>
        <w:t xml:space="preserve"> </w:t>
      </w:r>
      <w:r>
        <w:rPr>
          <w:sz w:val="12"/>
        </w:rPr>
        <w:t>Discapacidad,</w:t>
      </w:r>
      <w:r>
        <w:rPr>
          <w:spacing w:val="-3"/>
          <w:sz w:val="12"/>
        </w:rPr>
        <w:t xml:space="preserve"> </w:t>
      </w:r>
      <w:r>
        <w:rPr>
          <w:sz w:val="12"/>
        </w:rPr>
        <w:t>observación</w:t>
      </w:r>
      <w:r>
        <w:rPr>
          <w:spacing w:val="-3"/>
          <w:sz w:val="12"/>
        </w:rPr>
        <w:t xml:space="preserve"> </w:t>
      </w:r>
      <w:r>
        <w:rPr>
          <w:sz w:val="12"/>
        </w:rPr>
        <w:t>general</w:t>
      </w:r>
      <w:r>
        <w:rPr>
          <w:spacing w:val="-4"/>
          <w:sz w:val="12"/>
        </w:rPr>
        <w:t xml:space="preserve"> </w:t>
      </w:r>
      <w:r>
        <w:rPr>
          <w:sz w:val="12"/>
        </w:rPr>
        <w:t>núm.</w:t>
      </w:r>
      <w:r>
        <w:rPr>
          <w:spacing w:val="-3"/>
          <w:sz w:val="12"/>
        </w:rPr>
        <w:t xml:space="preserve"> </w:t>
      </w:r>
      <w:r>
        <w:rPr>
          <w:sz w:val="12"/>
        </w:rPr>
        <w:t>6</w:t>
      </w:r>
      <w:r>
        <w:rPr>
          <w:spacing w:val="-4"/>
          <w:sz w:val="12"/>
        </w:rPr>
        <w:t xml:space="preserve"> </w:t>
      </w:r>
      <w:r>
        <w:rPr>
          <w:sz w:val="12"/>
        </w:rPr>
        <w:t>(2018),</w:t>
      </w:r>
      <w:r>
        <w:rPr>
          <w:spacing w:val="-3"/>
          <w:sz w:val="12"/>
        </w:rPr>
        <w:t xml:space="preserve"> </w:t>
      </w:r>
      <w:r>
        <w:rPr>
          <w:sz w:val="12"/>
        </w:rPr>
        <w:t>párr.</w:t>
      </w:r>
      <w:r>
        <w:rPr>
          <w:spacing w:val="-3"/>
          <w:sz w:val="12"/>
        </w:rPr>
        <w:t xml:space="preserve"> </w:t>
      </w:r>
      <w:r>
        <w:rPr>
          <w:spacing w:val="-5"/>
          <w:sz w:val="12"/>
        </w:rPr>
        <w:t>71.</w:t>
      </w:r>
    </w:p>
    <w:p w14:paraId="73ED8F0A" w14:textId="77777777" w:rsidR="0014798C" w:rsidRDefault="004E1F0B">
      <w:pPr>
        <w:spacing w:before="90" w:line="312" w:lineRule="auto"/>
        <w:ind w:left="1366" w:right="1626" w:hanging="257"/>
        <w:rPr>
          <w:sz w:val="12"/>
        </w:rPr>
      </w:pPr>
      <w:r>
        <w:rPr>
          <w:sz w:val="12"/>
        </w:rPr>
        <w:t>839 Véase ACNUDH,</w:t>
      </w:r>
      <w:r>
        <w:rPr>
          <w:spacing w:val="11"/>
          <w:sz w:val="12"/>
        </w:rPr>
        <w:t xml:space="preserve"> </w:t>
      </w:r>
      <w:r>
        <w:rPr>
          <w:sz w:val="12"/>
        </w:rPr>
        <w:t>“Indicadores de derechos humanos en la Convención sobre los Derechos de las Personas con Discapacidad” y “Orientación sobre fuentes de</w:t>
      </w:r>
      <w:r>
        <w:rPr>
          <w:spacing w:val="80"/>
          <w:sz w:val="12"/>
        </w:rPr>
        <w:t xml:space="preserve"> </w:t>
      </w:r>
      <w:r>
        <w:rPr>
          <w:sz w:val="12"/>
        </w:rPr>
        <w:t>datos” en Promoción de los derechos de las personas con discapacidad a través de los Objetivos de Desarrollo Sostenible: un paquete de recursos (versión</w:t>
      </w:r>
      <w:r>
        <w:rPr>
          <w:spacing w:val="40"/>
          <w:sz w:val="12"/>
        </w:rPr>
        <w:t xml:space="preserve"> </w:t>
      </w:r>
      <w:r>
        <w:rPr>
          <w:sz w:val="12"/>
        </w:rPr>
        <w:t xml:space="preserve">avanzada, 2021, disponible en </w:t>
      </w:r>
      <w:hyperlink r:id="rId228">
        <w:r>
          <w:rPr>
            <w:color w:val="0075BF"/>
            <w:sz w:val="12"/>
          </w:rPr>
          <w:t>www.ohchr.org/en/</w:t>
        </w:r>
        <w:proofErr w:type="spellStart"/>
        <w:r>
          <w:rPr>
            <w:color w:val="0075BF"/>
            <w:sz w:val="12"/>
          </w:rPr>
          <w:t>disabilities</w:t>
        </w:r>
        <w:proofErr w:type="spellEnd"/>
        <w:r>
          <w:rPr>
            <w:color w:val="0075BF"/>
            <w:sz w:val="12"/>
          </w:rPr>
          <w:t>/</w:t>
        </w:r>
        <w:proofErr w:type="spellStart"/>
        <w:r>
          <w:rPr>
            <w:color w:val="0075BF"/>
            <w:sz w:val="12"/>
          </w:rPr>
          <w:t>sdg-crpd-resource-package</w:t>
        </w:r>
        <w:proofErr w:type="spellEnd"/>
        <w:r>
          <w:rPr>
            <w:color w:val="0075BF"/>
            <w:sz w:val="12"/>
          </w:rPr>
          <w:t>;</w:t>
        </w:r>
      </w:hyperlink>
      <w:r>
        <w:rPr>
          <w:color w:val="0075BF"/>
          <w:sz w:val="12"/>
        </w:rPr>
        <w:t xml:space="preserve"> </w:t>
      </w:r>
      <w:r>
        <w:rPr>
          <w:sz w:val="12"/>
        </w:rPr>
        <w:t>publicación próxima a realizarse en 2023).</w:t>
      </w:r>
    </w:p>
    <w:p w14:paraId="7B957980" w14:textId="77777777" w:rsidR="0014798C" w:rsidRDefault="0014798C">
      <w:pPr>
        <w:spacing w:line="312" w:lineRule="auto"/>
        <w:rPr>
          <w:sz w:val="12"/>
        </w:rPr>
        <w:sectPr w:rsidR="0014798C" w:rsidSect="00F265E4">
          <w:pgSz w:w="11900" w:h="16820"/>
          <w:pgMar w:top="340" w:right="0" w:bottom="280" w:left="200" w:header="121" w:footer="0" w:gutter="0"/>
          <w:cols w:space="720"/>
        </w:sectPr>
      </w:pPr>
    </w:p>
    <w:p w14:paraId="306321E8" w14:textId="77777777" w:rsidR="0014798C" w:rsidRDefault="004E1F0B">
      <w:pPr>
        <w:spacing w:before="21"/>
        <w:jc w:val="right"/>
        <w:rPr>
          <w:sz w:val="8"/>
        </w:rPr>
      </w:pPr>
      <w:r>
        <w:rPr>
          <w:spacing w:val="-5"/>
          <w:w w:val="105"/>
          <w:sz w:val="8"/>
        </w:rPr>
        <w:t>840</w:t>
      </w:r>
    </w:p>
    <w:p w14:paraId="6618853D" w14:textId="77777777" w:rsidR="0014798C" w:rsidRDefault="004E1F0B">
      <w:pPr>
        <w:spacing w:before="58" w:line="312" w:lineRule="auto"/>
        <w:ind w:left="74" w:right="1704" w:firstLine="12"/>
        <w:rPr>
          <w:sz w:val="12"/>
        </w:rPr>
      </w:pPr>
      <w:r>
        <w:br w:type="column"/>
      </w:r>
      <w:r>
        <w:rPr>
          <w:sz w:val="12"/>
        </w:rPr>
        <w:t>“Deben</w:t>
      </w:r>
      <w:r>
        <w:rPr>
          <w:spacing w:val="10"/>
          <w:sz w:val="12"/>
        </w:rPr>
        <w:t xml:space="preserve"> </w:t>
      </w:r>
      <w:r>
        <w:rPr>
          <w:sz w:val="12"/>
        </w:rPr>
        <w:t>desarrollarse</w:t>
      </w:r>
      <w:r>
        <w:rPr>
          <w:spacing w:val="10"/>
          <w:sz w:val="12"/>
        </w:rPr>
        <w:t xml:space="preserve"> </w:t>
      </w:r>
      <w:r>
        <w:rPr>
          <w:sz w:val="12"/>
        </w:rPr>
        <w:t>capacidades</w:t>
      </w:r>
      <w:r>
        <w:rPr>
          <w:spacing w:val="10"/>
          <w:sz w:val="12"/>
        </w:rPr>
        <w:t xml:space="preserve"> </w:t>
      </w:r>
      <w:r>
        <w:rPr>
          <w:sz w:val="12"/>
        </w:rPr>
        <w:t>y</w:t>
      </w:r>
      <w:r>
        <w:rPr>
          <w:spacing w:val="10"/>
          <w:sz w:val="12"/>
        </w:rPr>
        <w:t xml:space="preserve"> </w:t>
      </w:r>
      <w:r>
        <w:rPr>
          <w:sz w:val="12"/>
        </w:rPr>
        <w:t>asociaciones</w:t>
      </w:r>
      <w:r>
        <w:rPr>
          <w:spacing w:val="10"/>
          <w:sz w:val="12"/>
        </w:rPr>
        <w:t xml:space="preserve"> </w:t>
      </w:r>
      <w:r>
        <w:rPr>
          <w:sz w:val="12"/>
        </w:rPr>
        <w:t>para</w:t>
      </w:r>
      <w:r>
        <w:rPr>
          <w:spacing w:val="10"/>
          <w:sz w:val="12"/>
        </w:rPr>
        <w:t xml:space="preserve"> </w:t>
      </w:r>
      <w:r>
        <w:rPr>
          <w:sz w:val="12"/>
        </w:rPr>
        <w:t>permitir</w:t>
      </w:r>
      <w:r>
        <w:rPr>
          <w:spacing w:val="10"/>
          <w:sz w:val="12"/>
        </w:rPr>
        <w:t xml:space="preserve"> </w:t>
      </w:r>
      <w:r>
        <w:rPr>
          <w:sz w:val="12"/>
        </w:rPr>
        <w:t>que</w:t>
      </w:r>
      <w:r>
        <w:rPr>
          <w:spacing w:val="10"/>
          <w:sz w:val="12"/>
        </w:rPr>
        <w:t xml:space="preserve"> </w:t>
      </w:r>
      <w:r>
        <w:rPr>
          <w:sz w:val="12"/>
        </w:rPr>
        <w:t>los</w:t>
      </w:r>
      <w:r>
        <w:rPr>
          <w:spacing w:val="10"/>
          <w:sz w:val="12"/>
        </w:rPr>
        <w:t xml:space="preserve"> </w:t>
      </w:r>
      <w:r>
        <w:rPr>
          <w:sz w:val="12"/>
        </w:rPr>
        <w:t>Estados</w:t>
      </w:r>
      <w:r>
        <w:rPr>
          <w:spacing w:val="10"/>
          <w:sz w:val="12"/>
        </w:rPr>
        <w:t xml:space="preserve"> </w:t>
      </w:r>
      <w:r>
        <w:rPr>
          <w:sz w:val="12"/>
        </w:rPr>
        <w:t>cumplan</w:t>
      </w:r>
      <w:r>
        <w:rPr>
          <w:spacing w:val="10"/>
          <w:sz w:val="12"/>
        </w:rPr>
        <w:t xml:space="preserve"> </w:t>
      </w:r>
      <w:r>
        <w:rPr>
          <w:sz w:val="12"/>
        </w:rPr>
        <w:t>su</w:t>
      </w:r>
      <w:r>
        <w:rPr>
          <w:spacing w:val="10"/>
          <w:sz w:val="12"/>
        </w:rPr>
        <w:t xml:space="preserve"> </w:t>
      </w:r>
      <w:r>
        <w:rPr>
          <w:sz w:val="12"/>
        </w:rPr>
        <w:t>obligación</w:t>
      </w:r>
      <w:r>
        <w:rPr>
          <w:spacing w:val="10"/>
          <w:sz w:val="12"/>
        </w:rPr>
        <w:t xml:space="preserve"> </w:t>
      </w:r>
      <w:r>
        <w:rPr>
          <w:sz w:val="12"/>
        </w:rPr>
        <w:t>de</w:t>
      </w:r>
      <w:r>
        <w:rPr>
          <w:spacing w:val="10"/>
          <w:sz w:val="12"/>
        </w:rPr>
        <w:t xml:space="preserve"> </w:t>
      </w:r>
      <w:r>
        <w:rPr>
          <w:sz w:val="12"/>
        </w:rPr>
        <w:t>recopilar</w:t>
      </w:r>
      <w:r>
        <w:rPr>
          <w:spacing w:val="10"/>
          <w:sz w:val="12"/>
        </w:rPr>
        <w:t xml:space="preserve"> </w:t>
      </w:r>
      <w:r>
        <w:rPr>
          <w:sz w:val="12"/>
        </w:rPr>
        <w:t>y</w:t>
      </w:r>
      <w:r>
        <w:rPr>
          <w:spacing w:val="10"/>
          <w:sz w:val="12"/>
        </w:rPr>
        <w:t xml:space="preserve"> </w:t>
      </w:r>
      <w:r>
        <w:rPr>
          <w:sz w:val="12"/>
        </w:rPr>
        <w:t>publicar</w:t>
      </w:r>
      <w:r>
        <w:rPr>
          <w:spacing w:val="10"/>
          <w:sz w:val="12"/>
        </w:rPr>
        <w:t xml:space="preserve"> </w:t>
      </w:r>
      <w:r>
        <w:rPr>
          <w:sz w:val="12"/>
        </w:rPr>
        <w:t>datos</w:t>
      </w:r>
      <w:r>
        <w:rPr>
          <w:spacing w:val="10"/>
          <w:sz w:val="12"/>
        </w:rPr>
        <w:t xml:space="preserve"> </w:t>
      </w:r>
      <w:r>
        <w:rPr>
          <w:sz w:val="12"/>
        </w:rPr>
        <w:t>desglosados</w:t>
      </w:r>
      <w:r>
        <w:rPr>
          <w:spacing w:val="10"/>
          <w:sz w:val="12"/>
        </w:rPr>
        <w:t xml:space="preserve"> </w:t>
      </w:r>
      <w:r>
        <w:rPr>
          <w:sz w:val="12"/>
        </w:rPr>
        <w:t>por</w:t>
      </w:r>
      <w:r>
        <w:rPr>
          <w:spacing w:val="10"/>
          <w:sz w:val="12"/>
        </w:rPr>
        <w:t xml:space="preserve"> </w:t>
      </w:r>
      <w:r>
        <w:rPr>
          <w:sz w:val="12"/>
        </w:rPr>
        <w:t>motivos</w:t>
      </w:r>
      <w:r>
        <w:rPr>
          <w:spacing w:val="40"/>
          <w:sz w:val="12"/>
        </w:rPr>
        <w:t xml:space="preserve"> </w:t>
      </w:r>
      <w:r>
        <w:rPr>
          <w:sz w:val="12"/>
        </w:rPr>
        <w:t>de discriminación reconocidos en el derecho internacional de los derechos humanos. … Cuando sea posible, los datos deben publicarse en un formato que</w:t>
      </w:r>
      <w:r>
        <w:rPr>
          <w:spacing w:val="40"/>
          <w:sz w:val="12"/>
        </w:rPr>
        <w:t xml:space="preserve"> </w:t>
      </w:r>
      <w:r>
        <w:rPr>
          <w:sz w:val="12"/>
        </w:rPr>
        <w:t>permita la identificación y el análisis de disparidades y discriminaciones múltiples e interseccionales.</w:t>
      </w:r>
      <w:r>
        <w:rPr>
          <w:spacing w:val="17"/>
          <w:sz w:val="12"/>
        </w:rPr>
        <w:t xml:space="preserve"> </w:t>
      </w:r>
      <w:r>
        <w:rPr>
          <w:sz w:val="12"/>
        </w:rPr>
        <w:t>Las personas pueden experimentar discriminación y</w:t>
      </w:r>
      <w:r>
        <w:rPr>
          <w:spacing w:val="40"/>
          <w:sz w:val="12"/>
        </w:rPr>
        <w:t xml:space="preserve"> </w:t>
      </w:r>
      <w:r>
        <w:rPr>
          <w:sz w:val="12"/>
        </w:rPr>
        <w:t>desigualdad</w:t>
      </w:r>
      <w:r>
        <w:rPr>
          <w:spacing w:val="12"/>
          <w:sz w:val="12"/>
        </w:rPr>
        <w:t xml:space="preserve"> </w:t>
      </w:r>
      <w:r>
        <w:rPr>
          <w:sz w:val="12"/>
        </w:rPr>
        <w:t>en</w:t>
      </w:r>
      <w:r>
        <w:rPr>
          <w:spacing w:val="12"/>
          <w:sz w:val="12"/>
        </w:rPr>
        <w:t xml:space="preserve"> </w:t>
      </w:r>
      <w:r>
        <w:rPr>
          <w:sz w:val="12"/>
        </w:rPr>
        <w:t>múltiples</w:t>
      </w:r>
      <w:r>
        <w:rPr>
          <w:spacing w:val="12"/>
          <w:sz w:val="12"/>
        </w:rPr>
        <w:t xml:space="preserve"> </w:t>
      </w:r>
      <w:r>
        <w:rPr>
          <w:sz w:val="12"/>
        </w:rPr>
        <w:t>ejes</w:t>
      </w:r>
      <w:r>
        <w:rPr>
          <w:spacing w:val="12"/>
          <w:sz w:val="12"/>
        </w:rPr>
        <w:t xml:space="preserve"> </w:t>
      </w:r>
      <w:r>
        <w:rPr>
          <w:sz w:val="12"/>
        </w:rPr>
        <w:t>(por</w:t>
      </w:r>
      <w:r>
        <w:rPr>
          <w:spacing w:val="12"/>
          <w:sz w:val="12"/>
        </w:rPr>
        <w:t xml:space="preserve"> </w:t>
      </w:r>
      <w:r>
        <w:rPr>
          <w:sz w:val="12"/>
        </w:rPr>
        <w:t>ejemplo,</w:t>
      </w:r>
      <w:r>
        <w:rPr>
          <w:spacing w:val="14"/>
          <w:sz w:val="12"/>
        </w:rPr>
        <w:t xml:space="preserve"> </w:t>
      </w:r>
      <w:r>
        <w:rPr>
          <w:sz w:val="12"/>
        </w:rPr>
        <w:t>género</w:t>
      </w:r>
      <w:r>
        <w:rPr>
          <w:spacing w:val="12"/>
          <w:sz w:val="12"/>
        </w:rPr>
        <w:t xml:space="preserve"> </w:t>
      </w:r>
      <w:r>
        <w:rPr>
          <w:sz w:val="12"/>
        </w:rPr>
        <w:t>y</w:t>
      </w:r>
      <w:r>
        <w:rPr>
          <w:spacing w:val="12"/>
          <w:sz w:val="12"/>
        </w:rPr>
        <w:t xml:space="preserve"> </w:t>
      </w:r>
      <w:r>
        <w:rPr>
          <w:sz w:val="12"/>
        </w:rPr>
        <w:t>discapacidad).</w:t>
      </w:r>
      <w:r>
        <w:rPr>
          <w:spacing w:val="14"/>
          <w:sz w:val="12"/>
        </w:rPr>
        <w:t xml:space="preserve"> </w:t>
      </w:r>
      <w:r>
        <w:rPr>
          <w:sz w:val="12"/>
        </w:rPr>
        <w:t>El</w:t>
      </w:r>
      <w:r>
        <w:rPr>
          <w:spacing w:val="12"/>
          <w:sz w:val="12"/>
        </w:rPr>
        <w:t xml:space="preserve"> </w:t>
      </w:r>
      <w:r>
        <w:rPr>
          <w:sz w:val="12"/>
        </w:rPr>
        <w:t>análisis</w:t>
      </w:r>
      <w:r>
        <w:rPr>
          <w:spacing w:val="12"/>
          <w:sz w:val="12"/>
        </w:rPr>
        <w:t xml:space="preserve"> </w:t>
      </w:r>
      <w:r>
        <w:rPr>
          <w:sz w:val="12"/>
        </w:rPr>
        <w:t>de</w:t>
      </w:r>
      <w:r>
        <w:rPr>
          <w:spacing w:val="12"/>
          <w:sz w:val="12"/>
        </w:rPr>
        <w:t xml:space="preserve"> </w:t>
      </w:r>
      <w:r>
        <w:rPr>
          <w:sz w:val="12"/>
        </w:rPr>
        <w:t>datos</w:t>
      </w:r>
      <w:r>
        <w:rPr>
          <w:spacing w:val="12"/>
          <w:sz w:val="12"/>
        </w:rPr>
        <w:t xml:space="preserve"> </w:t>
      </w:r>
      <w:r>
        <w:rPr>
          <w:sz w:val="12"/>
        </w:rPr>
        <w:t>a</w:t>
      </w:r>
      <w:r>
        <w:rPr>
          <w:spacing w:val="12"/>
          <w:sz w:val="12"/>
        </w:rPr>
        <w:t xml:space="preserve"> </w:t>
      </w:r>
      <w:r>
        <w:rPr>
          <w:sz w:val="12"/>
        </w:rPr>
        <w:t>nivel</w:t>
      </w:r>
      <w:r>
        <w:rPr>
          <w:spacing w:val="12"/>
          <w:sz w:val="12"/>
        </w:rPr>
        <w:t xml:space="preserve"> </w:t>
      </w:r>
      <w:r>
        <w:rPr>
          <w:sz w:val="12"/>
        </w:rPr>
        <w:t>de</w:t>
      </w:r>
      <w:r>
        <w:rPr>
          <w:spacing w:val="12"/>
          <w:sz w:val="12"/>
        </w:rPr>
        <w:t xml:space="preserve"> </w:t>
      </w:r>
      <w:r>
        <w:rPr>
          <w:sz w:val="12"/>
        </w:rPr>
        <w:t>subgrupo</w:t>
      </w:r>
      <w:r>
        <w:rPr>
          <w:spacing w:val="12"/>
          <w:sz w:val="12"/>
        </w:rPr>
        <w:t xml:space="preserve"> </w:t>
      </w:r>
      <w:r>
        <w:rPr>
          <w:sz w:val="12"/>
        </w:rPr>
        <w:t>permite</w:t>
      </w:r>
      <w:r>
        <w:rPr>
          <w:spacing w:val="12"/>
          <w:sz w:val="12"/>
        </w:rPr>
        <w:t xml:space="preserve"> </w:t>
      </w:r>
      <w:r>
        <w:rPr>
          <w:sz w:val="12"/>
        </w:rPr>
        <w:t>comprender</w:t>
      </w:r>
      <w:r>
        <w:rPr>
          <w:spacing w:val="12"/>
          <w:sz w:val="12"/>
        </w:rPr>
        <w:t xml:space="preserve"> </w:t>
      </w:r>
      <w:r>
        <w:rPr>
          <w:sz w:val="12"/>
        </w:rPr>
        <w:t>desigualdades</w:t>
      </w:r>
      <w:r>
        <w:rPr>
          <w:spacing w:val="12"/>
          <w:sz w:val="12"/>
        </w:rPr>
        <w:t xml:space="preserve"> </w:t>
      </w:r>
      <w:r>
        <w:rPr>
          <w:sz w:val="12"/>
        </w:rPr>
        <w:t>múltiples</w:t>
      </w:r>
      <w:r>
        <w:rPr>
          <w:spacing w:val="12"/>
          <w:sz w:val="12"/>
        </w:rPr>
        <w:t xml:space="preserve"> </w:t>
      </w:r>
      <w:r>
        <w:rPr>
          <w:sz w:val="12"/>
        </w:rPr>
        <w:t>y</w:t>
      </w:r>
    </w:p>
    <w:p w14:paraId="55BC6BB2" w14:textId="77777777" w:rsidR="0014798C" w:rsidRDefault="004E1F0B">
      <w:pPr>
        <w:spacing w:before="2" w:line="312" w:lineRule="auto"/>
        <w:ind w:left="74" w:right="1494" w:firstLine="3"/>
        <w:rPr>
          <w:sz w:val="12"/>
        </w:rPr>
      </w:pPr>
      <w:r>
        <w:rPr>
          <w:sz w:val="12"/>
        </w:rPr>
        <w:t>entrecruzadas. Los indicadores cualitativos y la información contextual, incluido el estatus legal, institucional o cultural de las poblaciones afectadas, también son</w:t>
      </w:r>
      <w:r>
        <w:rPr>
          <w:spacing w:val="40"/>
          <w:sz w:val="12"/>
        </w:rPr>
        <w:t xml:space="preserve"> </w:t>
      </w:r>
      <w:r>
        <w:rPr>
          <w:sz w:val="12"/>
        </w:rPr>
        <w:t>esenciales para mejorar la comprensión y la contextualización de los datos recopilados dentro de un [enfoque de datos basado en los derechos humanos]”. Véase</w:t>
      </w:r>
      <w:r>
        <w:rPr>
          <w:spacing w:val="40"/>
          <w:sz w:val="12"/>
        </w:rPr>
        <w:t xml:space="preserve"> </w:t>
      </w:r>
      <w:r>
        <w:rPr>
          <w:sz w:val="12"/>
        </w:rPr>
        <w:t>ACNUDH,</w:t>
      </w:r>
      <w:r>
        <w:rPr>
          <w:spacing w:val="11"/>
          <w:sz w:val="12"/>
        </w:rPr>
        <w:t xml:space="preserve"> </w:t>
      </w:r>
      <w:r>
        <w:rPr>
          <w:sz w:val="12"/>
        </w:rPr>
        <w:t>“Un</w:t>
      </w:r>
      <w:r>
        <w:rPr>
          <w:spacing w:val="10"/>
          <w:sz w:val="12"/>
        </w:rPr>
        <w:t xml:space="preserve"> </w:t>
      </w:r>
      <w:r>
        <w:rPr>
          <w:sz w:val="12"/>
        </w:rPr>
        <w:t>enfoque</w:t>
      </w:r>
      <w:r>
        <w:rPr>
          <w:spacing w:val="10"/>
          <w:sz w:val="12"/>
        </w:rPr>
        <w:t xml:space="preserve"> </w:t>
      </w:r>
      <w:r>
        <w:rPr>
          <w:sz w:val="12"/>
        </w:rPr>
        <w:t>de</w:t>
      </w:r>
      <w:r>
        <w:rPr>
          <w:spacing w:val="10"/>
          <w:sz w:val="12"/>
        </w:rPr>
        <w:t xml:space="preserve"> </w:t>
      </w:r>
      <w:r>
        <w:rPr>
          <w:sz w:val="12"/>
        </w:rPr>
        <w:t>los</w:t>
      </w:r>
      <w:r>
        <w:rPr>
          <w:spacing w:val="10"/>
          <w:sz w:val="12"/>
        </w:rPr>
        <w:t xml:space="preserve"> </w:t>
      </w:r>
      <w:r>
        <w:rPr>
          <w:sz w:val="12"/>
        </w:rPr>
        <w:t>datos</w:t>
      </w:r>
      <w:r>
        <w:rPr>
          <w:spacing w:val="10"/>
          <w:sz w:val="12"/>
        </w:rPr>
        <w:t xml:space="preserve"> </w:t>
      </w:r>
      <w:r>
        <w:rPr>
          <w:sz w:val="12"/>
        </w:rPr>
        <w:t>basado</w:t>
      </w:r>
      <w:r>
        <w:rPr>
          <w:spacing w:val="10"/>
          <w:sz w:val="12"/>
        </w:rPr>
        <w:t xml:space="preserve"> </w:t>
      </w:r>
      <w:r>
        <w:rPr>
          <w:sz w:val="12"/>
        </w:rPr>
        <w:t>en</w:t>
      </w:r>
      <w:r>
        <w:rPr>
          <w:spacing w:val="10"/>
          <w:sz w:val="12"/>
        </w:rPr>
        <w:t xml:space="preserve"> </w:t>
      </w:r>
      <w:r>
        <w:rPr>
          <w:sz w:val="12"/>
        </w:rPr>
        <w:t>los</w:t>
      </w:r>
      <w:r>
        <w:rPr>
          <w:spacing w:val="10"/>
          <w:sz w:val="12"/>
        </w:rPr>
        <w:t xml:space="preserve"> </w:t>
      </w:r>
      <w:r>
        <w:rPr>
          <w:sz w:val="12"/>
        </w:rPr>
        <w:t>derechos</w:t>
      </w:r>
      <w:r>
        <w:rPr>
          <w:spacing w:val="10"/>
          <w:sz w:val="12"/>
        </w:rPr>
        <w:t xml:space="preserve"> </w:t>
      </w:r>
      <w:r>
        <w:rPr>
          <w:sz w:val="12"/>
        </w:rPr>
        <w:t>humanos:</w:t>
      </w:r>
      <w:r>
        <w:rPr>
          <w:spacing w:val="11"/>
          <w:sz w:val="12"/>
        </w:rPr>
        <w:t xml:space="preserve"> </w:t>
      </w:r>
      <w:r>
        <w:rPr>
          <w:sz w:val="12"/>
        </w:rPr>
        <w:t>no</w:t>
      </w:r>
      <w:r>
        <w:rPr>
          <w:spacing w:val="10"/>
          <w:sz w:val="12"/>
        </w:rPr>
        <w:t xml:space="preserve"> </w:t>
      </w:r>
      <w:r>
        <w:rPr>
          <w:sz w:val="12"/>
        </w:rPr>
        <w:t>dejar</w:t>
      </w:r>
      <w:r>
        <w:rPr>
          <w:spacing w:val="10"/>
          <w:sz w:val="12"/>
        </w:rPr>
        <w:t xml:space="preserve"> </w:t>
      </w:r>
      <w:r>
        <w:rPr>
          <w:sz w:val="12"/>
        </w:rPr>
        <w:t>a</w:t>
      </w:r>
      <w:r>
        <w:rPr>
          <w:spacing w:val="10"/>
          <w:sz w:val="12"/>
        </w:rPr>
        <w:t xml:space="preserve"> </w:t>
      </w:r>
      <w:r>
        <w:rPr>
          <w:sz w:val="12"/>
        </w:rPr>
        <w:t>nadie</w:t>
      </w:r>
      <w:r>
        <w:rPr>
          <w:spacing w:val="10"/>
          <w:sz w:val="12"/>
        </w:rPr>
        <w:t xml:space="preserve"> </w:t>
      </w:r>
      <w:r>
        <w:rPr>
          <w:sz w:val="12"/>
        </w:rPr>
        <w:t>atrás</w:t>
      </w:r>
      <w:r>
        <w:rPr>
          <w:spacing w:val="10"/>
          <w:sz w:val="12"/>
        </w:rPr>
        <w:t xml:space="preserve"> </w:t>
      </w:r>
      <w:r>
        <w:rPr>
          <w:sz w:val="12"/>
        </w:rPr>
        <w:t>en</w:t>
      </w:r>
      <w:r>
        <w:rPr>
          <w:spacing w:val="10"/>
          <w:sz w:val="12"/>
        </w:rPr>
        <w:t xml:space="preserve"> </w:t>
      </w:r>
      <w:r>
        <w:rPr>
          <w:sz w:val="12"/>
        </w:rPr>
        <w:t>la</w:t>
      </w:r>
      <w:r>
        <w:rPr>
          <w:spacing w:val="10"/>
          <w:sz w:val="12"/>
        </w:rPr>
        <w:t xml:space="preserve"> </w:t>
      </w:r>
      <w:r>
        <w:rPr>
          <w:sz w:val="12"/>
        </w:rPr>
        <w:t>Agenda</w:t>
      </w:r>
      <w:r>
        <w:rPr>
          <w:spacing w:val="10"/>
          <w:sz w:val="12"/>
        </w:rPr>
        <w:t xml:space="preserve"> </w:t>
      </w:r>
      <w:r>
        <w:rPr>
          <w:sz w:val="12"/>
        </w:rPr>
        <w:t>2030</w:t>
      </w:r>
      <w:r>
        <w:rPr>
          <w:spacing w:val="10"/>
          <w:sz w:val="12"/>
        </w:rPr>
        <w:t xml:space="preserve"> </w:t>
      </w:r>
      <w:r>
        <w:rPr>
          <w:sz w:val="12"/>
        </w:rPr>
        <w:t>para</w:t>
      </w:r>
      <w:r>
        <w:rPr>
          <w:spacing w:val="10"/>
          <w:sz w:val="12"/>
        </w:rPr>
        <w:t xml:space="preserve"> </w:t>
      </w:r>
      <w:r>
        <w:rPr>
          <w:sz w:val="12"/>
        </w:rPr>
        <w:t>el</w:t>
      </w:r>
      <w:r>
        <w:rPr>
          <w:spacing w:val="10"/>
          <w:sz w:val="12"/>
        </w:rPr>
        <w:t xml:space="preserve"> </w:t>
      </w:r>
      <w:r>
        <w:rPr>
          <w:sz w:val="12"/>
        </w:rPr>
        <w:t>Desarrollo</w:t>
      </w:r>
      <w:r>
        <w:rPr>
          <w:spacing w:val="10"/>
          <w:sz w:val="12"/>
        </w:rPr>
        <w:t xml:space="preserve"> </w:t>
      </w:r>
      <w:r>
        <w:rPr>
          <w:sz w:val="12"/>
        </w:rPr>
        <w:t>Sostenible”</w:t>
      </w:r>
    </w:p>
    <w:p w14:paraId="387C7324" w14:textId="77777777" w:rsidR="0014798C" w:rsidRDefault="004E1F0B">
      <w:pPr>
        <w:spacing w:before="1"/>
        <w:ind w:left="83"/>
        <w:rPr>
          <w:sz w:val="12"/>
        </w:rPr>
      </w:pPr>
      <w:r>
        <w:rPr>
          <w:sz w:val="12"/>
        </w:rPr>
        <w:t>(Ginebra,</w:t>
      </w:r>
      <w:r>
        <w:rPr>
          <w:spacing w:val="15"/>
          <w:sz w:val="12"/>
        </w:rPr>
        <w:t xml:space="preserve"> </w:t>
      </w:r>
      <w:r>
        <w:rPr>
          <w:sz w:val="12"/>
        </w:rPr>
        <w:t>2018),</w:t>
      </w:r>
      <w:r>
        <w:rPr>
          <w:spacing w:val="15"/>
          <w:sz w:val="12"/>
        </w:rPr>
        <w:t xml:space="preserve"> </w:t>
      </w:r>
      <w:r>
        <w:rPr>
          <w:sz w:val="12"/>
        </w:rPr>
        <w:t>págs.</w:t>
      </w:r>
      <w:r>
        <w:rPr>
          <w:spacing w:val="15"/>
          <w:sz w:val="12"/>
        </w:rPr>
        <w:t xml:space="preserve"> </w:t>
      </w:r>
      <w:r>
        <w:rPr>
          <w:sz w:val="12"/>
        </w:rPr>
        <w:t>7</w:t>
      </w:r>
      <w:r>
        <w:rPr>
          <w:spacing w:val="14"/>
          <w:sz w:val="12"/>
        </w:rPr>
        <w:t xml:space="preserve"> </w:t>
      </w:r>
      <w:r>
        <w:rPr>
          <w:sz w:val="12"/>
        </w:rPr>
        <w:t>y</w:t>
      </w:r>
      <w:r>
        <w:rPr>
          <w:spacing w:val="14"/>
          <w:sz w:val="12"/>
        </w:rPr>
        <w:t xml:space="preserve"> </w:t>
      </w:r>
      <w:r>
        <w:rPr>
          <w:sz w:val="12"/>
        </w:rPr>
        <w:t>8.</w:t>
      </w:r>
      <w:r>
        <w:rPr>
          <w:spacing w:val="14"/>
          <w:sz w:val="12"/>
        </w:rPr>
        <w:t xml:space="preserve"> </w:t>
      </w:r>
      <w:r>
        <w:rPr>
          <w:sz w:val="12"/>
        </w:rPr>
        <w:t>Disponible</w:t>
      </w:r>
      <w:r>
        <w:rPr>
          <w:spacing w:val="14"/>
          <w:sz w:val="12"/>
        </w:rPr>
        <w:t xml:space="preserve"> </w:t>
      </w:r>
      <w:r>
        <w:rPr>
          <w:sz w:val="12"/>
        </w:rPr>
        <w:t>en</w:t>
      </w:r>
      <w:r>
        <w:rPr>
          <w:spacing w:val="14"/>
          <w:sz w:val="12"/>
        </w:rPr>
        <w:t xml:space="preserve"> </w:t>
      </w:r>
      <w:hyperlink r:id="rId229">
        <w:r>
          <w:rPr>
            <w:color w:val="0075BF"/>
            <w:spacing w:val="-2"/>
            <w:sz w:val="12"/>
          </w:rPr>
          <w:t>www.ohchr.org/Documents/Issues/HRIndicators/GuidanceNoteonApproachtoData.pdf.</w:t>
        </w:r>
      </w:hyperlink>
    </w:p>
    <w:p w14:paraId="195A0000" w14:textId="77777777" w:rsidR="0014798C" w:rsidRDefault="0014798C">
      <w:pPr>
        <w:rPr>
          <w:sz w:val="12"/>
        </w:rPr>
        <w:sectPr w:rsidR="0014798C" w:rsidSect="00F265E4">
          <w:type w:val="continuous"/>
          <w:pgSz w:w="11900" w:h="16820"/>
          <w:pgMar w:top="40" w:right="0" w:bottom="280" w:left="200" w:header="121" w:footer="0" w:gutter="0"/>
          <w:cols w:num="2" w:space="720" w:equalWidth="0">
            <w:col w:w="1252" w:space="40"/>
            <w:col w:w="10408"/>
          </w:cols>
        </w:sectPr>
      </w:pPr>
    </w:p>
    <w:p w14:paraId="2CBEC443" w14:textId="77777777" w:rsidR="0014798C" w:rsidRDefault="004E1F0B">
      <w:pPr>
        <w:spacing w:before="107" w:line="312" w:lineRule="auto"/>
        <w:ind w:left="1366" w:right="2002" w:hanging="256"/>
        <w:jc w:val="both"/>
        <w:rPr>
          <w:sz w:val="12"/>
        </w:rPr>
      </w:pPr>
      <w:r>
        <w:rPr>
          <w:sz w:val="12"/>
        </w:rPr>
        <w:t>841 “En algunos casos, puede ser necesario por razones logísticas, políticas o de otro tipo utilizar características demográficas para identificar una población en</w:t>
      </w:r>
      <w:r>
        <w:rPr>
          <w:spacing w:val="40"/>
          <w:sz w:val="12"/>
        </w:rPr>
        <w:t xml:space="preserve"> </w:t>
      </w:r>
      <w:r>
        <w:rPr>
          <w:sz w:val="12"/>
        </w:rPr>
        <w:t>particular. Por ejemplo, si una determinada minoría étnica no es reconocida por el Estado pero se entiende que reside exclusivamente en un lugar. En este</w:t>
      </w:r>
      <w:r>
        <w:rPr>
          <w:spacing w:val="40"/>
          <w:sz w:val="12"/>
        </w:rPr>
        <w:t xml:space="preserve"> </w:t>
      </w:r>
      <w:r>
        <w:rPr>
          <w:sz w:val="12"/>
        </w:rPr>
        <w:t>caso, se puede pensar que los datos sobre el lugar de residencia de un individuo denotan, ipso facto, su origen étnico. Cuando los datos se utilizan de esta</w:t>
      </w:r>
    </w:p>
    <w:p w14:paraId="2D7C0406" w14:textId="77777777" w:rsidR="0014798C" w:rsidRDefault="004E1F0B">
      <w:pPr>
        <w:spacing w:before="1" w:line="312" w:lineRule="auto"/>
        <w:ind w:left="1366" w:right="1418" w:firstLine="2"/>
        <w:rPr>
          <w:sz w:val="12"/>
        </w:rPr>
      </w:pPr>
      <w:r>
        <w:rPr>
          <w:sz w:val="12"/>
        </w:rPr>
        <w:t>manera para identificar grupos particulares, los recopiladores de datos deben asegurarse de que su manejo y publicación no implique autoidentificación cuando no se</w:t>
      </w:r>
      <w:r>
        <w:rPr>
          <w:spacing w:val="40"/>
          <w:sz w:val="12"/>
        </w:rPr>
        <w:t xml:space="preserve"> </w:t>
      </w:r>
      <w:r>
        <w:rPr>
          <w:sz w:val="12"/>
        </w:rPr>
        <w:t>haya revelado información personal relacionada con la identidad étnica. Los datos deben describirse con precisión para dejar claro que los parámetros establecidos</w:t>
      </w:r>
      <w:r>
        <w:rPr>
          <w:spacing w:val="40"/>
          <w:sz w:val="12"/>
        </w:rPr>
        <w:t xml:space="preserve"> </w:t>
      </w:r>
      <w:r>
        <w:rPr>
          <w:sz w:val="12"/>
        </w:rPr>
        <w:t>para un grupo particular</w:t>
      </w:r>
      <w:r>
        <w:rPr>
          <w:spacing w:val="-1"/>
          <w:sz w:val="12"/>
        </w:rPr>
        <w:t xml:space="preserve"> </w:t>
      </w:r>
      <w:r>
        <w:rPr>
          <w:sz w:val="12"/>
        </w:rPr>
        <w:t>se han establecido según el lugar de residencia, en este ejemplo, y no según la autoidentificación</w:t>
      </w:r>
      <w:r>
        <w:rPr>
          <w:spacing w:val="-1"/>
          <w:sz w:val="12"/>
        </w:rPr>
        <w:t xml:space="preserve"> </w:t>
      </w:r>
      <w:r>
        <w:rPr>
          <w:sz w:val="12"/>
        </w:rPr>
        <w:t>de los miembros del grupo. … Los datos no</w:t>
      </w:r>
      <w:r>
        <w:rPr>
          <w:spacing w:val="40"/>
          <w:sz w:val="12"/>
        </w:rPr>
        <w:t xml:space="preserve"> </w:t>
      </w:r>
      <w:r>
        <w:rPr>
          <w:sz w:val="12"/>
        </w:rPr>
        <w:t>deben publicarse ni ser accesibles públicamente de una manera que permita la identificación de interesados individuales, ya sea directa o indirectamente. El</w:t>
      </w:r>
    </w:p>
    <w:p w14:paraId="09B3312D" w14:textId="77777777" w:rsidR="0014798C" w:rsidRDefault="004E1F0B">
      <w:pPr>
        <w:spacing w:before="2"/>
        <w:ind w:left="1369"/>
        <w:rPr>
          <w:sz w:val="12"/>
        </w:rPr>
      </w:pPr>
      <w:r>
        <w:rPr>
          <w:sz w:val="12"/>
        </w:rPr>
        <w:t>acceso</w:t>
      </w:r>
      <w:r>
        <w:rPr>
          <w:spacing w:val="-6"/>
          <w:sz w:val="12"/>
        </w:rPr>
        <w:t xml:space="preserve"> </w:t>
      </w:r>
      <w:r>
        <w:rPr>
          <w:sz w:val="12"/>
        </w:rPr>
        <w:t>a</w:t>
      </w:r>
      <w:r>
        <w:rPr>
          <w:spacing w:val="-3"/>
          <w:sz w:val="12"/>
        </w:rPr>
        <w:t xml:space="preserve"> </w:t>
      </w:r>
      <w:r>
        <w:rPr>
          <w:sz w:val="12"/>
        </w:rPr>
        <w:t>la</w:t>
      </w:r>
      <w:r>
        <w:rPr>
          <w:spacing w:val="-3"/>
          <w:sz w:val="12"/>
        </w:rPr>
        <w:t xml:space="preserve"> </w:t>
      </w:r>
      <w:r>
        <w:rPr>
          <w:sz w:val="12"/>
        </w:rPr>
        <w:t>información</w:t>
      </w:r>
      <w:r>
        <w:rPr>
          <w:spacing w:val="-4"/>
          <w:sz w:val="12"/>
        </w:rPr>
        <w:t xml:space="preserve"> </w:t>
      </w:r>
      <w:r>
        <w:rPr>
          <w:sz w:val="12"/>
        </w:rPr>
        <w:t>debe</w:t>
      </w:r>
      <w:r>
        <w:rPr>
          <w:spacing w:val="-3"/>
          <w:sz w:val="12"/>
        </w:rPr>
        <w:t xml:space="preserve"> </w:t>
      </w:r>
      <w:r>
        <w:rPr>
          <w:sz w:val="12"/>
        </w:rPr>
        <w:t>equilibrarse</w:t>
      </w:r>
      <w:r>
        <w:rPr>
          <w:spacing w:val="-3"/>
          <w:sz w:val="12"/>
        </w:rPr>
        <w:t xml:space="preserve"> </w:t>
      </w:r>
      <w:r>
        <w:rPr>
          <w:sz w:val="12"/>
        </w:rPr>
        <w:t>con</w:t>
      </w:r>
      <w:r>
        <w:rPr>
          <w:spacing w:val="-4"/>
          <w:sz w:val="12"/>
        </w:rPr>
        <w:t xml:space="preserve"> </w:t>
      </w:r>
      <w:r>
        <w:rPr>
          <w:sz w:val="12"/>
        </w:rPr>
        <w:t>los</w:t>
      </w:r>
      <w:r>
        <w:rPr>
          <w:spacing w:val="-3"/>
          <w:sz w:val="12"/>
        </w:rPr>
        <w:t xml:space="preserve"> </w:t>
      </w:r>
      <w:r>
        <w:rPr>
          <w:sz w:val="12"/>
        </w:rPr>
        <w:t>derechos</w:t>
      </w:r>
      <w:r>
        <w:rPr>
          <w:spacing w:val="-3"/>
          <w:sz w:val="12"/>
        </w:rPr>
        <w:t xml:space="preserve"> </w:t>
      </w:r>
      <w:r>
        <w:rPr>
          <w:sz w:val="12"/>
        </w:rPr>
        <w:t>a</w:t>
      </w:r>
      <w:r>
        <w:rPr>
          <w:spacing w:val="-3"/>
          <w:sz w:val="12"/>
        </w:rPr>
        <w:t xml:space="preserve"> </w:t>
      </w:r>
      <w:r>
        <w:rPr>
          <w:sz w:val="12"/>
        </w:rPr>
        <w:t>la</w:t>
      </w:r>
      <w:r>
        <w:rPr>
          <w:spacing w:val="-4"/>
          <w:sz w:val="12"/>
        </w:rPr>
        <w:t xml:space="preserve"> </w:t>
      </w:r>
      <w:r>
        <w:rPr>
          <w:sz w:val="12"/>
        </w:rPr>
        <w:t>privacidad</w:t>
      </w:r>
      <w:r>
        <w:rPr>
          <w:spacing w:val="-3"/>
          <w:sz w:val="12"/>
        </w:rPr>
        <w:t xml:space="preserve"> </w:t>
      </w:r>
      <w:r>
        <w:rPr>
          <w:sz w:val="12"/>
        </w:rPr>
        <w:t>y</w:t>
      </w:r>
      <w:r>
        <w:rPr>
          <w:spacing w:val="-3"/>
          <w:sz w:val="12"/>
        </w:rPr>
        <w:t xml:space="preserve"> </w:t>
      </w:r>
      <w:r>
        <w:rPr>
          <w:sz w:val="12"/>
        </w:rPr>
        <w:t>la</w:t>
      </w:r>
      <w:r>
        <w:rPr>
          <w:spacing w:val="-4"/>
          <w:sz w:val="12"/>
        </w:rPr>
        <w:t xml:space="preserve"> </w:t>
      </w:r>
      <w:r>
        <w:rPr>
          <w:sz w:val="12"/>
        </w:rPr>
        <w:t>protección</w:t>
      </w:r>
      <w:r>
        <w:rPr>
          <w:spacing w:val="-3"/>
          <w:sz w:val="12"/>
        </w:rPr>
        <w:t xml:space="preserve"> </w:t>
      </w:r>
      <w:r>
        <w:rPr>
          <w:sz w:val="12"/>
        </w:rPr>
        <w:t>de</w:t>
      </w:r>
      <w:r>
        <w:rPr>
          <w:spacing w:val="-3"/>
          <w:sz w:val="12"/>
        </w:rPr>
        <w:t xml:space="preserve"> </w:t>
      </w:r>
      <w:r>
        <w:rPr>
          <w:sz w:val="12"/>
        </w:rPr>
        <w:t>datos”.</w:t>
      </w:r>
      <w:r>
        <w:rPr>
          <w:spacing w:val="-3"/>
          <w:sz w:val="12"/>
        </w:rPr>
        <w:t xml:space="preserve"> </w:t>
      </w:r>
      <w:proofErr w:type="spellStart"/>
      <w:r>
        <w:rPr>
          <w:sz w:val="12"/>
        </w:rPr>
        <w:t>Ibíd</w:t>
      </w:r>
      <w:proofErr w:type="spellEnd"/>
      <w:r>
        <w:rPr>
          <w:sz w:val="12"/>
        </w:rPr>
        <w:t>.,</w:t>
      </w:r>
      <w:r>
        <w:rPr>
          <w:spacing w:val="-4"/>
          <w:sz w:val="12"/>
        </w:rPr>
        <w:t xml:space="preserve"> </w:t>
      </w:r>
      <w:r>
        <w:rPr>
          <w:sz w:val="12"/>
        </w:rPr>
        <w:t>págs.</w:t>
      </w:r>
      <w:r>
        <w:rPr>
          <w:spacing w:val="-3"/>
          <w:sz w:val="12"/>
        </w:rPr>
        <w:t xml:space="preserve"> </w:t>
      </w:r>
      <w:r>
        <w:rPr>
          <w:sz w:val="12"/>
        </w:rPr>
        <w:t>13-19,</w:t>
      </w:r>
      <w:r>
        <w:rPr>
          <w:spacing w:val="-3"/>
          <w:sz w:val="12"/>
        </w:rPr>
        <w:t xml:space="preserve"> </w:t>
      </w:r>
      <w:r>
        <w:rPr>
          <w:sz w:val="12"/>
        </w:rPr>
        <w:t>en</w:t>
      </w:r>
      <w:r>
        <w:rPr>
          <w:spacing w:val="-4"/>
          <w:sz w:val="12"/>
        </w:rPr>
        <w:t xml:space="preserve"> </w:t>
      </w:r>
      <w:r>
        <w:rPr>
          <w:sz w:val="12"/>
        </w:rPr>
        <w:t>págs.</w:t>
      </w:r>
      <w:r>
        <w:rPr>
          <w:spacing w:val="-3"/>
          <w:sz w:val="12"/>
        </w:rPr>
        <w:t xml:space="preserve"> </w:t>
      </w:r>
      <w:r>
        <w:rPr>
          <w:sz w:val="12"/>
        </w:rPr>
        <w:t>13</w:t>
      </w:r>
      <w:r>
        <w:rPr>
          <w:spacing w:val="-3"/>
          <w:sz w:val="12"/>
        </w:rPr>
        <w:t xml:space="preserve"> </w:t>
      </w:r>
      <w:r>
        <w:rPr>
          <w:sz w:val="12"/>
        </w:rPr>
        <w:t>y</w:t>
      </w:r>
      <w:r>
        <w:rPr>
          <w:spacing w:val="-3"/>
          <w:sz w:val="12"/>
        </w:rPr>
        <w:t xml:space="preserve"> </w:t>
      </w:r>
      <w:r>
        <w:rPr>
          <w:spacing w:val="-5"/>
          <w:sz w:val="12"/>
        </w:rPr>
        <w:t>16.</w:t>
      </w:r>
    </w:p>
    <w:p w14:paraId="3A723A67" w14:textId="77777777" w:rsidR="0014798C" w:rsidRDefault="0014798C">
      <w:pPr>
        <w:pStyle w:val="Textoindependiente"/>
        <w:rPr>
          <w:sz w:val="18"/>
        </w:rPr>
      </w:pPr>
    </w:p>
    <w:p w14:paraId="4B375DF4" w14:textId="77777777" w:rsidR="0014798C" w:rsidRDefault="0014798C">
      <w:pPr>
        <w:pStyle w:val="Textoindependiente"/>
        <w:rPr>
          <w:sz w:val="18"/>
        </w:rPr>
      </w:pPr>
    </w:p>
    <w:p w14:paraId="261C3FFF" w14:textId="77777777" w:rsidR="0014798C" w:rsidRDefault="0014798C">
      <w:pPr>
        <w:pStyle w:val="Textoindependiente"/>
        <w:spacing w:before="201"/>
        <w:rPr>
          <w:sz w:val="18"/>
        </w:rPr>
      </w:pPr>
    </w:p>
    <w:p w14:paraId="24CFD1C3" w14:textId="77777777" w:rsidR="0014798C" w:rsidRDefault="004E1F0B">
      <w:pPr>
        <w:ind w:left="478"/>
        <w:rPr>
          <w:sz w:val="18"/>
        </w:rPr>
      </w:pPr>
      <w:r>
        <w:rPr>
          <w:spacing w:val="-5"/>
          <w:sz w:val="18"/>
        </w:rPr>
        <w:t>120</w:t>
      </w:r>
    </w:p>
    <w:p w14:paraId="53AEDB30" w14:textId="77777777" w:rsidR="0014798C" w:rsidRDefault="0014798C">
      <w:pPr>
        <w:rPr>
          <w:sz w:val="18"/>
        </w:rPr>
        <w:sectPr w:rsidR="0014798C" w:rsidSect="00F265E4">
          <w:type w:val="continuous"/>
          <w:pgSz w:w="11900" w:h="16820"/>
          <w:pgMar w:top="40" w:right="0" w:bottom="280" w:left="200" w:header="121" w:footer="0" w:gutter="0"/>
          <w:cols w:space="720"/>
        </w:sectPr>
      </w:pPr>
    </w:p>
    <w:p w14:paraId="761BA6DD" w14:textId="77777777" w:rsidR="0014798C" w:rsidRDefault="0014798C">
      <w:pPr>
        <w:pStyle w:val="Textoindependiente"/>
        <w:spacing w:before="51"/>
        <w:rPr>
          <w:sz w:val="14"/>
        </w:rPr>
      </w:pPr>
    </w:p>
    <w:p w14:paraId="1DDD51BE" w14:textId="77777777" w:rsidR="0014798C" w:rsidRDefault="004E1F0B">
      <w:pPr>
        <w:ind w:left="1111"/>
        <w:rPr>
          <w:sz w:val="14"/>
        </w:rPr>
      </w:pPr>
      <w:r>
        <w:rPr>
          <w:color w:val="00AC59"/>
          <w:sz w:val="14"/>
        </w:rPr>
        <w:t>SEGUNDA</w:t>
      </w:r>
      <w:r>
        <w:rPr>
          <w:color w:val="00AC59"/>
          <w:spacing w:val="-5"/>
          <w:sz w:val="14"/>
        </w:rPr>
        <w:t xml:space="preserve"> </w:t>
      </w:r>
      <w:r>
        <w:rPr>
          <w:color w:val="00AC59"/>
          <w:sz w:val="14"/>
        </w:rPr>
        <w:t>PARTE:</w:t>
      </w:r>
      <w:r>
        <w:rPr>
          <w:color w:val="00AC59"/>
          <w:spacing w:val="-5"/>
          <w:sz w:val="14"/>
        </w:rPr>
        <w:t xml:space="preserve"> </w:t>
      </w:r>
      <w:r>
        <w:rPr>
          <w:color w:val="00AC59"/>
          <w:sz w:val="14"/>
        </w:rPr>
        <w:t>CONTENIDO</w:t>
      </w:r>
      <w:r>
        <w:rPr>
          <w:color w:val="00AC59"/>
          <w:spacing w:val="-4"/>
          <w:sz w:val="14"/>
        </w:rPr>
        <w:t xml:space="preserve"> </w:t>
      </w:r>
      <w:r>
        <w:rPr>
          <w:color w:val="00AC59"/>
          <w:sz w:val="14"/>
        </w:rPr>
        <w:t>DE</w:t>
      </w:r>
      <w:r>
        <w:rPr>
          <w:color w:val="00AC59"/>
          <w:spacing w:val="-5"/>
          <w:sz w:val="14"/>
        </w:rPr>
        <w:t xml:space="preserve"> </w:t>
      </w:r>
      <w:r>
        <w:rPr>
          <w:color w:val="00AC59"/>
          <w:sz w:val="14"/>
        </w:rPr>
        <w:t>LA</w:t>
      </w:r>
      <w:r>
        <w:rPr>
          <w:color w:val="00AC59"/>
          <w:spacing w:val="-4"/>
          <w:sz w:val="14"/>
        </w:rPr>
        <w:t xml:space="preserve"> </w:t>
      </w:r>
      <w:r>
        <w:rPr>
          <w:color w:val="00AC59"/>
          <w:sz w:val="14"/>
        </w:rPr>
        <w:t>LEY</w:t>
      </w:r>
      <w:r>
        <w:rPr>
          <w:color w:val="00AC59"/>
          <w:spacing w:val="-4"/>
          <w:sz w:val="14"/>
        </w:rPr>
        <w:t xml:space="preserve"> </w:t>
      </w:r>
      <w:r>
        <w:rPr>
          <w:color w:val="00AC59"/>
          <w:sz w:val="14"/>
        </w:rPr>
        <w:t>INTEGRAL</w:t>
      </w:r>
      <w:r>
        <w:rPr>
          <w:color w:val="00AC59"/>
          <w:spacing w:val="-5"/>
          <w:sz w:val="14"/>
        </w:rPr>
        <w:t xml:space="preserve"> </w:t>
      </w:r>
      <w:r>
        <w:rPr>
          <w:color w:val="00AC59"/>
          <w:spacing w:val="-2"/>
          <w:sz w:val="14"/>
        </w:rPr>
        <w:t>ANTIDISCRIMINACIÓN</w:t>
      </w:r>
    </w:p>
    <w:p w14:paraId="4E959767" w14:textId="77777777" w:rsidR="0014798C" w:rsidRDefault="0014798C">
      <w:pPr>
        <w:pStyle w:val="Textoindependiente"/>
      </w:pPr>
    </w:p>
    <w:p w14:paraId="5BDE18CB" w14:textId="77777777" w:rsidR="0014798C" w:rsidRDefault="0014798C">
      <w:pPr>
        <w:pStyle w:val="Textoindependiente"/>
      </w:pPr>
    </w:p>
    <w:p w14:paraId="7269FD6F" w14:textId="77777777" w:rsidR="0014798C" w:rsidRDefault="0014798C">
      <w:pPr>
        <w:pStyle w:val="Textoindependiente"/>
      </w:pPr>
    </w:p>
    <w:p w14:paraId="672C756C" w14:textId="77777777" w:rsidR="0014798C" w:rsidRDefault="0014798C">
      <w:pPr>
        <w:pStyle w:val="Textoindependiente"/>
      </w:pPr>
    </w:p>
    <w:p w14:paraId="2FA191DE" w14:textId="77777777" w:rsidR="0014798C" w:rsidRDefault="0014798C">
      <w:pPr>
        <w:pStyle w:val="Textoindependiente"/>
        <w:spacing w:before="61"/>
      </w:pPr>
    </w:p>
    <w:p w14:paraId="6465BF1F" w14:textId="77777777" w:rsidR="0014798C" w:rsidRDefault="004E1F0B">
      <w:pPr>
        <w:pStyle w:val="Textoindependiente"/>
        <w:spacing w:line="326" w:lineRule="auto"/>
        <w:ind w:left="1110" w:right="1551" w:hanging="2"/>
        <w:jc w:val="both"/>
      </w:pPr>
      <w:r>
        <w:t>ha establecido en detalle la participación igualitaria como una cuestión transversal de la Convención pertinente.842 El Relator Especial sobre los derechos de las personas con discapacidad ha declarado que: “La participación activa de las personas con discapacidad en la toma de decisiones es un requisito de la modelo de derechos humanos de la discapacidad.”843</w:t>
      </w:r>
    </w:p>
    <w:p w14:paraId="2E62016C" w14:textId="77777777" w:rsidR="0014798C" w:rsidRDefault="004E1F0B">
      <w:pPr>
        <w:spacing w:before="141" w:line="307" w:lineRule="auto"/>
        <w:ind w:left="1107" w:right="1236" w:hanging="1"/>
        <w:rPr>
          <w:sz w:val="17"/>
        </w:rPr>
      </w:pPr>
      <w:r>
        <w:rPr>
          <w:noProof/>
        </w:rPr>
        <w:drawing>
          <wp:anchor distT="0" distB="0" distL="0" distR="0" simplePos="0" relativeHeight="251658451" behindDoc="1" locked="0" layoutInCell="1" allowOverlap="1" wp14:anchorId="5BF10072" wp14:editId="47AB0954">
            <wp:simplePos x="0" y="0"/>
            <wp:positionH relativeFrom="page">
              <wp:posOffset>826632</wp:posOffset>
            </wp:positionH>
            <wp:positionV relativeFrom="paragraph">
              <wp:posOffset>588568</wp:posOffset>
            </wp:positionV>
            <wp:extent cx="6729867" cy="6870336"/>
            <wp:effectExtent l="0" t="0" r="0" b="0"/>
            <wp:wrapNone/>
            <wp:docPr id="256" name="Image 25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56" name="Image 256"/>
                    <pic:cNvPicPr/>
                  </pic:nvPicPr>
                  <pic:blipFill>
                    <a:blip r:embed="rId230" cstate="print"/>
                    <a:stretch>
                      <a:fillRect/>
                    </a:stretch>
                  </pic:blipFill>
                  <pic:spPr>
                    <a:xfrm>
                      <a:off x="0" y="0"/>
                      <a:ext cx="6729867" cy="6870336"/>
                    </a:xfrm>
                    <a:prstGeom prst="rect">
                      <a:avLst/>
                    </a:prstGeom>
                  </pic:spPr>
                </pic:pic>
              </a:graphicData>
            </a:graphic>
          </wp:anchor>
        </w:drawing>
      </w:r>
      <w:r>
        <w:rPr>
          <w:noProof/>
        </w:rPr>
        <mc:AlternateContent>
          <mc:Choice Requires="wps">
            <w:drawing>
              <wp:anchor distT="0" distB="0" distL="0" distR="0" simplePos="0" relativeHeight="251658300" behindDoc="0" locked="0" layoutInCell="1" allowOverlap="1" wp14:anchorId="0791B549" wp14:editId="7BE455DB">
                <wp:simplePos x="0" y="0"/>
                <wp:positionH relativeFrom="page">
                  <wp:posOffset>7311619</wp:posOffset>
                </wp:positionH>
                <wp:positionV relativeFrom="paragraph">
                  <wp:posOffset>1221165</wp:posOffset>
                </wp:positionV>
                <wp:extent cx="85725" cy="290195"/>
                <wp:effectExtent l="0" t="0" r="0" b="0"/>
                <wp:wrapNone/>
                <wp:docPr id="257" name="Textbox 25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85725" cy="290195"/>
                        </a:xfrm>
                        <a:prstGeom prst="rect">
                          <a:avLst/>
                        </a:prstGeom>
                      </wps:spPr>
                      <wps:txbx>
                        <w:txbxContent>
                          <w:p w14:paraId="5C08B1EF" w14:textId="77777777" w:rsidR="0014798C" w:rsidRDefault="004E1F0B">
                            <w:pPr>
                              <w:spacing w:before="21"/>
                              <w:ind w:left="20"/>
                              <w:rPr>
                                <w:sz w:val="8"/>
                              </w:rPr>
                            </w:pPr>
                            <w:r>
                              <w:rPr>
                                <w:color w:val="FFFFFF"/>
                                <w:spacing w:val="-28"/>
                                <w:w w:val="105"/>
                                <w:sz w:val="8"/>
                              </w:rPr>
                              <w:t>P–V</w:t>
                            </w:r>
                            <w:r>
                              <w:rPr>
                                <w:spacing w:val="-28"/>
                                <w:w w:val="105"/>
                                <w:sz w:val="8"/>
                              </w:rPr>
                              <w:t>S</w:t>
                            </w:r>
                            <w:r>
                              <w:rPr>
                                <w:color w:val="FFFFFF"/>
                                <w:spacing w:val="-28"/>
                                <w:w w:val="105"/>
                                <w:sz w:val="8"/>
                              </w:rPr>
                              <w:t>A</w:t>
                            </w:r>
                            <w:r>
                              <w:rPr>
                                <w:spacing w:val="-28"/>
                                <w:w w:val="105"/>
                                <w:sz w:val="8"/>
                              </w:rPr>
                              <w:t>E</w:t>
                            </w:r>
                            <w:r>
                              <w:rPr>
                                <w:color w:val="FFFFFF"/>
                                <w:spacing w:val="-28"/>
                                <w:w w:val="105"/>
                                <w:sz w:val="8"/>
                              </w:rPr>
                              <w:t>R</w:t>
                            </w:r>
                            <w:r>
                              <w:rPr>
                                <w:spacing w:val="-28"/>
                                <w:w w:val="105"/>
                                <w:sz w:val="8"/>
                              </w:rPr>
                              <w:t>G</w:t>
                            </w:r>
                            <w:r>
                              <w:rPr>
                                <w:color w:val="FFFFFF"/>
                                <w:spacing w:val="-28"/>
                                <w:w w:val="105"/>
                                <w:sz w:val="8"/>
                              </w:rPr>
                              <w:t>T</w:t>
                            </w:r>
                            <w:r>
                              <w:rPr>
                                <w:spacing w:val="-28"/>
                                <w:w w:val="105"/>
                                <w:sz w:val="8"/>
                              </w:rPr>
                              <w:t>U</w:t>
                            </w:r>
                            <w:r>
                              <w:rPr>
                                <w:color w:val="FFFFFF"/>
                                <w:spacing w:val="-28"/>
                                <w:w w:val="105"/>
                                <w:sz w:val="8"/>
                              </w:rPr>
                              <w:t>E</w:t>
                            </w:r>
                            <w:r>
                              <w:rPr>
                                <w:spacing w:val="-28"/>
                                <w:w w:val="105"/>
                                <w:sz w:val="8"/>
                              </w:rPr>
                              <w:t>NDA</w:t>
                            </w:r>
                          </w:p>
                        </w:txbxContent>
                      </wps:txbx>
                      <wps:bodyPr vert="vert270" wrap="square" lIns="0" tIns="0" rIns="0" bIns="0" rtlCol="0">
                        <a:noAutofit/>
                      </wps:bodyPr>
                    </wps:wsp>
                  </a:graphicData>
                </a:graphic>
              </wp:anchor>
            </w:drawing>
          </mc:Choice>
          <mc:Fallback>
            <w:pict>
              <v:shape w14:anchorId="0791B549" id="Textbox 257" o:spid="_x0000_s1127" type="#_x0000_t202" style="position:absolute;left:0;text-align:left;margin-left:575.7pt;margin-top:96.15pt;width:6.75pt;height:22.85pt;z-index:251658300;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" filled="f" stroked="f">
                <v:textbox style="layout-flow:vertical;mso-layout-flow-alt:bottom-to-top" inset="0,0,0,0">
                  <w:txbxContent>
                    <w:p w14:paraId="5C08B1EF" w14:textId="77777777" w:rsidR="0014798C" w:rsidRDefault="004E1F0B">
                      <w:pPr>
                        <w:spacing w:before="21"/>
                        <w:ind w:left="20"/>
                        <w:rPr>
                          <w:sz w:val="8"/>
                        </w:rPr>
                      </w:pPr>
                      <w:r>
                        <w:rPr>
                          <w:color w:val="FFFFFF"/>
                          <w:spacing w:val="-28"/>
                          <w:w w:val="105"/>
                          <w:sz w:val="8"/>
                        </w:rPr>
                        <w:t>P–V</w:t>
                      </w:r>
                      <w:r>
                        <w:rPr>
                          <w:spacing w:val="-28"/>
                          <w:w w:val="105"/>
                          <w:sz w:val="8"/>
                        </w:rPr>
                        <w:t>S</w:t>
                      </w:r>
                      <w:r>
                        <w:rPr>
                          <w:color w:val="FFFFFF"/>
                          <w:spacing w:val="-28"/>
                          <w:w w:val="105"/>
                          <w:sz w:val="8"/>
                        </w:rPr>
                        <w:t>A</w:t>
                      </w:r>
                      <w:r>
                        <w:rPr>
                          <w:spacing w:val="-28"/>
                          <w:w w:val="105"/>
                          <w:sz w:val="8"/>
                        </w:rPr>
                        <w:t>E</w:t>
                      </w:r>
                      <w:r>
                        <w:rPr>
                          <w:color w:val="FFFFFF"/>
                          <w:spacing w:val="-28"/>
                          <w:w w:val="105"/>
                          <w:sz w:val="8"/>
                        </w:rPr>
                        <w:t>R</w:t>
                      </w:r>
                      <w:r>
                        <w:rPr>
                          <w:spacing w:val="-28"/>
                          <w:w w:val="105"/>
                          <w:sz w:val="8"/>
                        </w:rPr>
                        <w:t>G</w:t>
                      </w:r>
                      <w:r>
                        <w:rPr>
                          <w:color w:val="FFFFFF"/>
                          <w:spacing w:val="-28"/>
                          <w:w w:val="105"/>
                          <w:sz w:val="8"/>
                        </w:rPr>
                        <w:t>T</w:t>
                      </w:r>
                      <w:r>
                        <w:rPr>
                          <w:spacing w:val="-28"/>
                          <w:w w:val="105"/>
                          <w:sz w:val="8"/>
                        </w:rPr>
                        <w:t>U</w:t>
                      </w:r>
                      <w:r>
                        <w:rPr>
                          <w:color w:val="FFFFFF"/>
                          <w:spacing w:val="-28"/>
                          <w:w w:val="105"/>
                          <w:sz w:val="8"/>
                        </w:rPr>
                        <w:t>E</w:t>
                      </w:r>
                      <w:r>
                        <w:rPr>
                          <w:spacing w:val="-28"/>
                          <w:w w:val="105"/>
                          <w:sz w:val="8"/>
                        </w:rPr>
                        <w:t>NDA</w:t>
                      </w:r>
                    </w:p>
                  </w:txbxContent>
                </v:textbox>
                <w10:wrap anchorx="page"/>
              </v:shape>
            </w:pict>
          </mc:Fallback>
        </mc:AlternateContent>
      </w:r>
      <w:r>
        <w:rPr>
          <w:sz w:val="17"/>
        </w:rPr>
        <w:t>Esta</w:t>
      </w:r>
      <w:r>
        <w:rPr>
          <w:spacing w:val="16"/>
          <w:sz w:val="17"/>
        </w:rPr>
        <w:t xml:space="preserve"> </w:t>
      </w:r>
      <w:r>
        <w:rPr>
          <w:sz w:val="17"/>
        </w:rPr>
        <w:t>obligación</w:t>
      </w:r>
      <w:r>
        <w:rPr>
          <w:spacing w:val="16"/>
          <w:sz w:val="17"/>
        </w:rPr>
        <w:t xml:space="preserve"> </w:t>
      </w:r>
      <w:r>
        <w:rPr>
          <w:sz w:val="17"/>
        </w:rPr>
        <w:t>de</w:t>
      </w:r>
      <w:r>
        <w:rPr>
          <w:spacing w:val="16"/>
          <w:sz w:val="17"/>
        </w:rPr>
        <w:t xml:space="preserve"> </w:t>
      </w:r>
      <w:r>
        <w:rPr>
          <w:sz w:val="17"/>
        </w:rPr>
        <w:t>consultar</w:t>
      </w:r>
      <w:r>
        <w:rPr>
          <w:spacing w:val="16"/>
          <w:sz w:val="17"/>
        </w:rPr>
        <w:t xml:space="preserve"> </w:t>
      </w:r>
      <w:r>
        <w:rPr>
          <w:sz w:val="17"/>
        </w:rPr>
        <w:t>e</w:t>
      </w:r>
      <w:r>
        <w:rPr>
          <w:spacing w:val="16"/>
          <w:sz w:val="17"/>
        </w:rPr>
        <w:t xml:space="preserve"> </w:t>
      </w:r>
      <w:r>
        <w:rPr>
          <w:sz w:val="17"/>
        </w:rPr>
        <w:t>involucrar</w:t>
      </w:r>
      <w:r>
        <w:rPr>
          <w:spacing w:val="16"/>
          <w:sz w:val="17"/>
        </w:rPr>
        <w:t xml:space="preserve"> </w:t>
      </w:r>
      <w:r>
        <w:rPr>
          <w:sz w:val="17"/>
        </w:rPr>
        <w:t>a</w:t>
      </w:r>
      <w:r>
        <w:rPr>
          <w:spacing w:val="16"/>
          <w:sz w:val="17"/>
        </w:rPr>
        <w:t xml:space="preserve"> </w:t>
      </w:r>
      <w:r>
        <w:rPr>
          <w:sz w:val="17"/>
        </w:rPr>
        <w:t>quienes</w:t>
      </w:r>
      <w:r>
        <w:rPr>
          <w:spacing w:val="16"/>
          <w:sz w:val="17"/>
        </w:rPr>
        <w:t xml:space="preserve"> </w:t>
      </w:r>
      <w:r>
        <w:rPr>
          <w:sz w:val="17"/>
        </w:rPr>
        <w:t>están</w:t>
      </w:r>
      <w:r>
        <w:rPr>
          <w:spacing w:val="16"/>
          <w:sz w:val="17"/>
        </w:rPr>
        <w:t xml:space="preserve"> </w:t>
      </w:r>
      <w:r>
        <w:rPr>
          <w:sz w:val="17"/>
        </w:rPr>
        <w:t>expuestos</w:t>
      </w:r>
      <w:r>
        <w:rPr>
          <w:spacing w:val="16"/>
          <w:sz w:val="17"/>
        </w:rPr>
        <w:t xml:space="preserve"> </w:t>
      </w:r>
      <w:r>
        <w:rPr>
          <w:sz w:val="17"/>
        </w:rPr>
        <w:t>a</w:t>
      </w:r>
      <w:r>
        <w:rPr>
          <w:spacing w:val="16"/>
          <w:sz w:val="17"/>
        </w:rPr>
        <w:t xml:space="preserve"> </w:t>
      </w:r>
      <w:r>
        <w:rPr>
          <w:sz w:val="17"/>
        </w:rPr>
        <w:t>la</w:t>
      </w:r>
      <w:r>
        <w:rPr>
          <w:spacing w:val="16"/>
          <w:sz w:val="17"/>
        </w:rPr>
        <w:t xml:space="preserve"> </w:t>
      </w:r>
      <w:r>
        <w:rPr>
          <w:sz w:val="17"/>
        </w:rPr>
        <w:t>discriminación</w:t>
      </w:r>
      <w:r>
        <w:rPr>
          <w:spacing w:val="17"/>
          <w:sz w:val="17"/>
        </w:rPr>
        <w:t xml:space="preserve"> </w:t>
      </w:r>
      <w:r>
        <w:rPr>
          <w:sz w:val="17"/>
        </w:rPr>
        <w:t>se</w:t>
      </w:r>
      <w:r>
        <w:rPr>
          <w:spacing w:val="16"/>
          <w:sz w:val="17"/>
        </w:rPr>
        <w:t xml:space="preserve"> </w:t>
      </w:r>
      <w:r>
        <w:rPr>
          <w:sz w:val="17"/>
        </w:rPr>
        <w:t>aplica</w:t>
      </w:r>
      <w:r>
        <w:rPr>
          <w:spacing w:val="16"/>
          <w:sz w:val="17"/>
        </w:rPr>
        <w:t xml:space="preserve"> </w:t>
      </w:r>
      <w:r>
        <w:rPr>
          <w:sz w:val="17"/>
        </w:rPr>
        <w:t>al</w:t>
      </w:r>
      <w:r>
        <w:rPr>
          <w:spacing w:val="16"/>
          <w:sz w:val="17"/>
        </w:rPr>
        <w:t xml:space="preserve"> </w:t>
      </w:r>
      <w:r>
        <w:rPr>
          <w:sz w:val="17"/>
        </w:rPr>
        <w:t>desarrollo</w:t>
      </w:r>
      <w:r>
        <w:rPr>
          <w:spacing w:val="16"/>
          <w:sz w:val="17"/>
        </w:rPr>
        <w:t xml:space="preserve"> </w:t>
      </w:r>
      <w:r>
        <w:rPr>
          <w:sz w:val="17"/>
        </w:rPr>
        <w:t>de</w:t>
      </w:r>
      <w:r>
        <w:rPr>
          <w:spacing w:val="16"/>
          <w:sz w:val="17"/>
        </w:rPr>
        <w:t xml:space="preserve"> </w:t>
      </w:r>
      <w:r>
        <w:rPr>
          <w:sz w:val="17"/>
        </w:rPr>
        <w:t>todas las leyes y políticas contra la discriminación. Por ejemplo, al comentar sobre la selección de medidas para eliminar la discriminación, el Comité de Derechos Económicos, Sociales y Culturales ha señalado que “ se debe garantizar a los individuos y grupos de individuos que puedan distinguirse por uno o más de los motivos prohibidos la derecho a participar</w:t>
      </w:r>
      <w:r>
        <w:rPr>
          <w:spacing w:val="40"/>
          <w:sz w:val="17"/>
        </w:rPr>
        <w:t xml:space="preserve"> </w:t>
      </w:r>
      <w:r>
        <w:rPr>
          <w:sz w:val="17"/>
        </w:rPr>
        <w:t>en</w:t>
      </w:r>
      <w:r>
        <w:rPr>
          <w:spacing w:val="11"/>
          <w:sz w:val="17"/>
        </w:rPr>
        <w:t xml:space="preserve"> </w:t>
      </w:r>
      <w:r>
        <w:rPr>
          <w:sz w:val="17"/>
        </w:rPr>
        <w:t>los</w:t>
      </w:r>
      <w:r>
        <w:rPr>
          <w:spacing w:val="11"/>
          <w:sz w:val="17"/>
        </w:rPr>
        <w:t xml:space="preserve"> </w:t>
      </w:r>
      <w:r>
        <w:rPr>
          <w:sz w:val="17"/>
        </w:rPr>
        <w:t>procesos</w:t>
      </w:r>
      <w:r>
        <w:rPr>
          <w:spacing w:val="11"/>
          <w:sz w:val="17"/>
        </w:rPr>
        <w:t xml:space="preserve"> </w:t>
      </w:r>
      <w:r>
        <w:rPr>
          <w:sz w:val="17"/>
        </w:rPr>
        <w:t>de</w:t>
      </w:r>
      <w:r>
        <w:rPr>
          <w:spacing w:val="11"/>
          <w:sz w:val="17"/>
        </w:rPr>
        <w:t xml:space="preserve"> </w:t>
      </w:r>
      <w:r>
        <w:rPr>
          <w:sz w:val="17"/>
        </w:rPr>
        <w:t>toma</w:t>
      </w:r>
      <w:r>
        <w:rPr>
          <w:spacing w:val="11"/>
          <w:sz w:val="17"/>
        </w:rPr>
        <w:t xml:space="preserve"> </w:t>
      </w:r>
      <w:r>
        <w:rPr>
          <w:sz w:val="17"/>
        </w:rPr>
        <w:t>de</w:t>
      </w:r>
      <w:r>
        <w:rPr>
          <w:spacing w:val="11"/>
          <w:sz w:val="17"/>
        </w:rPr>
        <w:t xml:space="preserve"> </w:t>
      </w:r>
      <w:r>
        <w:rPr>
          <w:sz w:val="17"/>
        </w:rPr>
        <w:t>decisiones”.844</w:t>
      </w:r>
      <w:r>
        <w:rPr>
          <w:spacing w:val="11"/>
          <w:sz w:val="17"/>
        </w:rPr>
        <w:t xml:space="preserve"> </w:t>
      </w:r>
      <w:r>
        <w:rPr>
          <w:sz w:val="17"/>
        </w:rPr>
        <w:t>De</w:t>
      </w:r>
      <w:r>
        <w:rPr>
          <w:spacing w:val="11"/>
          <w:sz w:val="17"/>
        </w:rPr>
        <w:t xml:space="preserve"> </w:t>
      </w:r>
      <w:r>
        <w:rPr>
          <w:sz w:val="17"/>
        </w:rPr>
        <w:t>manera</w:t>
      </w:r>
      <w:r>
        <w:rPr>
          <w:spacing w:val="11"/>
          <w:sz w:val="17"/>
        </w:rPr>
        <w:t xml:space="preserve"> </w:t>
      </w:r>
      <w:r>
        <w:rPr>
          <w:sz w:val="17"/>
        </w:rPr>
        <w:t>similar,</w:t>
      </w:r>
      <w:r>
        <w:rPr>
          <w:spacing w:val="12"/>
          <w:sz w:val="17"/>
        </w:rPr>
        <w:t xml:space="preserve"> </w:t>
      </w:r>
      <w:r>
        <w:rPr>
          <w:sz w:val="17"/>
        </w:rPr>
        <w:t>el</w:t>
      </w:r>
      <w:r>
        <w:rPr>
          <w:spacing w:val="11"/>
          <w:sz w:val="17"/>
        </w:rPr>
        <w:t xml:space="preserve"> </w:t>
      </w:r>
      <w:r>
        <w:rPr>
          <w:sz w:val="17"/>
        </w:rPr>
        <w:t>Comité</w:t>
      </w:r>
      <w:r>
        <w:rPr>
          <w:spacing w:val="11"/>
          <w:sz w:val="17"/>
        </w:rPr>
        <w:t xml:space="preserve"> </w:t>
      </w:r>
      <w:r>
        <w:rPr>
          <w:sz w:val="17"/>
        </w:rPr>
        <w:t>para</w:t>
      </w:r>
      <w:r>
        <w:rPr>
          <w:spacing w:val="11"/>
          <w:sz w:val="17"/>
        </w:rPr>
        <w:t xml:space="preserve"> </w:t>
      </w:r>
      <w:r>
        <w:rPr>
          <w:sz w:val="17"/>
        </w:rPr>
        <w:t>la</w:t>
      </w:r>
      <w:r>
        <w:rPr>
          <w:spacing w:val="11"/>
          <w:sz w:val="17"/>
        </w:rPr>
        <w:t xml:space="preserve"> </w:t>
      </w:r>
      <w:r>
        <w:rPr>
          <w:sz w:val="17"/>
        </w:rPr>
        <w:t>Eliminación</w:t>
      </w:r>
      <w:r>
        <w:rPr>
          <w:spacing w:val="11"/>
          <w:sz w:val="17"/>
        </w:rPr>
        <w:t xml:space="preserve"> </w:t>
      </w:r>
      <w:r>
        <w:rPr>
          <w:sz w:val="17"/>
        </w:rPr>
        <w:t>de</w:t>
      </w:r>
      <w:r>
        <w:rPr>
          <w:spacing w:val="11"/>
          <w:sz w:val="17"/>
        </w:rPr>
        <w:t xml:space="preserve"> </w:t>
      </w:r>
      <w:r>
        <w:rPr>
          <w:sz w:val="17"/>
        </w:rPr>
        <w:t>la</w:t>
      </w:r>
      <w:r>
        <w:rPr>
          <w:spacing w:val="11"/>
          <w:sz w:val="17"/>
        </w:rPr>
        <w:t xml:space="preserve"> </w:t>
      </w:r>
      <w:r>
        <w:rPr>
          <w:sz w:val="17"/>
        </w:rPr>
        <w:t>Discriminación</w:t>
      </w:r>
      <w:r>
        <w:rPr>
          <w:spacing w:val="12"/>
          <w:sz w:val="17"/>
        </w:rPr>
        <w:t xml:space="preserve"> </w:t>
      </w:r>
      <w:r>
        <w:rPr>
          <w:sz w:val="17"/>
        </w:rPr>
        <w:t xml:space="preserve">contra la Mujer ha recomendado que los Estados “aseguren que las mujeres puedan participar activamente en el desarrollo, la implementación y el seguimiento” de su política general para eliminar la discriminación. </w:t>
      </w:r>
      <w:r>
        <w:rPr>
          <w:w w:val="70"/>
          <w:sz w:val="17"/>
        </w:rPr>
        <w:t>;</w:t>
      </w:r>
      <w:r>
        <w:rPr>
          <w:spacing w:val="15"/>
          <w:sz w:val="17"/>
        </w:rPr>
        <w:t xml:space="preserve"> </w:t>
      </w:r>
      <w:r>
        <w:rPr>
          <w:sz w:val="17"/>
        </w:rPr>
        <w:t>señalando además que “se</w:t>
      </w:r>
      <w:r>
        <w:rPr>
          <w:spacing w:val="80"/>
          <w:sz w:val="17"/>
        </w:rPr>
        <w:t xml:space="preserve"> </w:t>
      </w:r>
      <w:r>
        <w:rPr>
          <w:sz w:val="17"/>
        </w:rPr>
        <w:t>deben</w:t>
      </w:r>
      <w:r>
        <w:rPr>
          <w:spacing w:val="22"/>
          <w:sz w:val="17"/>
        </w:rPr>
        <w:t xml:space="preserve"> </w:t>
      </w:r>
      <w:r>
        <w:rPr>
          <w:sz w:val="17"/>
        </w:rPr>
        <w:t>dedicar</w:t>
      </w:r>
      <w:r>
        <w:rPr>
          <w:spacing w:val="22"/>
          <w:sz w:val="17"/>
        </w:rPr>
        <w:t xml:space="preserve"> </w:t>
      </w:r>
      <w:r>
        <w:rPr>
          <w:sz w:val="17"/>
        </w:rPr>
        <w:t>recursos</w:t>
      </w:r>
      <w:r>
        <w:rPr>
          <w:spacing w:val="22"/>
          <w:sz w:val="17"/>
        </w:rPr>
        <w:t xml:space="preserve"> </w:t>
      </w:r>
      <w:r>
        <w:rPr>
          <w:sz w:val="17"/>
        </w:rPr>
        <w:t>a</w:t>
      </w:r>
      <w:r>
        <w:rPr>
          <w:spacing w:val="22"/>
          <w:sz w:val="17"/>
        </w:rPr>
        <w:t xml:space="preserve"> </w:t>
      </w:r>
      <w:r>
        <w:rPr>
          <w:sz w:val="17"/>
        </w:rPr>
        <w:t>garantizar</w:t>
      </w:r>
      <w:r>
        <w:rPr>
          <w:spacing w:val="22"/>
          <w:sz w:val="17"/>
        </w:rPr>
        <w:t xml:space="preserve"> </w:t>
      </w:r>
      <w:r>
        <w:rPr>
          <w:sz w:val="17"/>
        </w:rPr>
        <w:t>que</w:t>
      </w:r>
      <w:r>
        <w:rPr>
          <w:spacing w:val="22"/>
          <w:sz w:val="17"/>
        </w:rPr>
        <w:t xml:space="preserve"> </w:t>
      </w:r>
      <w:r>
        <w:rPr>
          <w:sz w:val="17"/>
        </w:rPr>
        <w:t>las</w:t>
      </w:r>
      <w:r>
        <w:rPr>
          <w:spacing w:val="22"/>
          <w:sz w:val="17"/>
        </w:rPr>
        <w:t xml:space="preserve"> </w:t>
      </w:r>
      <w:r>
        <w:rPr>
          <w:sz w:val="17"/>
        </w:rPr>
        <w:t>organizaciones</w:t>
      </w:r>
      <w:r>
        <w:rPr>
          <w:spacing w:val="22"/>
          <w:sz w:val="17"/>
        </w:rPr>
        <w:t xml:space="preserve"> </w:t>
      </w:r>
      <w:r>
        <w:rPr>
          <w:sz w:val="17"/>
        </w:rPr>
        <w:t>no</w:t>
      </w:r>
      <w:r>
        <w:rPr>
          <w:spacing w:val="22"/>
          <w:sz w:val="17"/>
        </w:rPr>
        <w:t xml:space="preserve"> </w:t>
      </w:r>
      <w:r>
        <w:rPr>
          <w:sz w:val="17"/>
        </w:rPr>
        <w:t>gubernamentales</w:t>
      </w:r>
      <w:r>
        <w:rPr>
          <w:spacing w:val="22"/>
          <w:sz w:val="17"/>
        </w:rPr>
        <w:t xml:space="preserve"> </w:t>
      </w:r>
      <w:r>
        <w:rPr>
          <w:sz w:val="17"/>
        </w:rPr>
        <w:t>de</w:t>
      </w:r>
      <w:r>
        <w:rPr>
          <w:spacing w:val="22"/>
          <w:sz w:val="17"/>
        </w:rPr>
        <w:t xml:space="preserve"> </w:t>
      </w:r>
      <w:r>
        <w:rPr>
          <w:sz w:val="17"/>
        </w:rPr>
        <w:t>derechos</w:t>
      </w:r>
      <w:r>
        <w:rPr>
          <w:spacing w:val="22"/>
          <w:sz w:val="17"/>
        </w:rPr>
        <w:t xml:space="preserve"> </w:t>
      </w:r>
      <w:r>
        <w:rPr>
          <w:sz w:val="17"/>
        </w:rPr>
        <w:t>humanos</w:t>
      </w:r>
      <w:r>
        <w:rPr>
          <w:spacing w:val="22"/>
          <w:sz w:val="17"/>
        </w:rPr>
        <w:t xml:space="preserve"> </w:t>
      </w:r>
      <w:r>
        <w:rPr>
          <w:sz w:val="17"/>
        </w:rPr>
        <w:t>y</w:t>
      </w:r>
      <w:r>
        <w:rPr>
          <w:spacing w:val="22"/>
          <w:sz w:val="17"/>
        </w:rPr>
        <w:t xml:space="preserve"> </w:t>
      </w:r>
      <w:r>
        <w:rPr>
          <w:sz w:val="17"/>
        </w:rPr>
        <w:t>de</w:t>
      </w:r>
      <w:r>
        <w:rPr>
          <w:spacing w:val="22"/>
          <w:sz w:val="17"/>
        </w:rPr>
        <w:t xml:space="preserve"> </w:t>
      </w:r>
      <w:r>
        <w:rPr>
          <w:sz w:val="17"/>
        </w:rPr>
        <w:t>mujeres estén bien informadas, sean consultadas adecuadamente y, en general, puedan desempeñar un papel activo en el desarrollo</w:t>
      </w:r>
      <w:r>
        <w:rPr>
          <w:spacing w:val="18"/>
          <w:sz w:val="17"/>
        </w:rPr>
        <w:t xml:space="preserve"> </w:t>
      </w:r>
      <w:r>
        <w:rPr>
          <w:sz w:val="17"/>
        </w:rPr>
        <w:t>inicial</w:t>
      </w:r>
      <w:r>
        <w:rPr>
          <w:spacing w:val="18"/>
          <w:sz w:val="17"/>
        </w:rPr>
        <w:t xml:space="preserve"> </w:t>
      </w:r>
      <w:r>
        <w:rPr>
          <w:sz w:val="17"/>
        </w:rPr>
        <w:t>y</w:t>
      </w:r>
      <w:r>
        <w:rPr>
          <w:spacing w:val="18"/>
          <w:sz w:val="17"/>
        </w:rPr>
        <w:t xml:space="preserve"> </w:t>
      </w:r>
      <w:r>
        <w:rPr>
          <w:sz w:val="17"/>
        </w:rPr>
        <w:t>posterior</w:t>
      </w:r>
      <w:r>
        <w:rPr>
          <w:spacing w:val="18"/>
          <w:sz w:val="17"/>
        </w:rPr>
        <w:t xml:space="preserve"> </w:t>
      </w:r>
      <w:r>
        <w:rPr>
          <w:sz w:val="17"/>
        </w:rPr>
        <w:t>de</w:t>
      </w:r>
      <w:r>
        <w:rPr>
          <w:spacing w:val="18"/>
          <w:sz w:val="17"/>
        </w:rPr>
        <w:t xml:space="preserve"> </w:t>
      </w:r>
      <w:r>
        <w:rPr>
          <w:sz w:val="17"/>
        </w:rPr>
        <w:t>la</w:t>
      </w:r>
      <w:r>
        <w:rPr>
          <w:spacing w:val="18"/>
          <w:sz w:val="17"/>
        </w:rPr>
        <w:t xml:space="preserve"> </w:t>
      </w:r>
      <w:r>
        <w:rPr>
          <w:sz w:val="17"/>
        </w:rPr>
        <w:t>política”.845</w:t>
      </w:r>
      <w:r>
        <w:rPr>
          <w:spacing w:val="18"/>
          <w:sz w:val="17"/>
        </w:rPr>
        <w:t xml:space="preserve"> </w:t>
      </w:r>
      <w:r>
        <w:rPr>
          <w:sz w:val="17"/>
        </w:rPr>
        <w:t>Estos</w:t>
      </w:r>
      <w:r>
        <w:rPr>
          <w:spacing w:val="18"/>
          <w:sz w:val="17"/>
        </w:rPr>
        <w:t xml:space="preserve"> </w:t>
      </w:r>
      <w:r>
        <w:rPr>
          <w:sz w:val="17"/>
        </w:rPr>
        <w:t>requisitos</w:t>
      </w:r>
      <w:r>
        <w:rPr>
          <w:spacing w:val="18"/>
          <w:sz w:val="17"/>
        </w:rPr>
        <w:t xml:space="preserve"> </w:t>
      </w:r>
      <w:r>
        <w:rPr>
          <w:sz w:val="17"/>
        </w:rPr>
        <w:t>reflejan</w:t>
      </w:r>
      <w:r>
        <w:rPr>
          <w:spacing w:val="18"/>
          <w:sz w:val="17"/>
        </w:rPr>
        <w:t xml:space="preserve"> </w:t>
      </w:r>
      <w:r>
        <w:rPr>
          <w:sz w:val="17"/>
        </w:rPr>
        <w:t>una</w:t>
      </w:r>
      <w:r>
        <w:rPr>
          <w:spacing w:val="18"/>
          <w:sz w:val="17"/>
        </w:rPr>
        <w:t xml:space="preserve"> </w:t>
      </w:r>
      <w:r>
        <w:rPr>
          <w:sz w:val="17"/>
        </w:rPr>
        <w:t>larga</w:t>
      </w:r>
      <w:r>
        <w:rPr>
          <w:spacing w:val="18"/>
          <w:sz w:val="17"/>
        </w:rPr>
        <w:t xml:space="preserve"> </w:t>
      </w:r>
      <w:r>
        <w:rPr>
          <w:sz w:val="17"/>
        </w:rPr>
        <w:t>trayectoria</w:t>
      </w:r>
      <w:r>
        <w:rPr>
          <w:spacing w:val="18"/>
          <w:sz w:val="17"/>
        </w:rPr>
        <w:t xml:space="preserve"> </w:t>
      </w:r>
      <w:r>
        <w:rPr>
          <w:sz w:val="17"/>
        </w:rPr>
        <w:t>-principios</w:t>
      </w:r>
      <w:r>
        <w:rPr>
          <w:spacing w:val="18"/>
          <w:sz w:val="17"/>
        </w:rPr>
        <w:t xml:space="preserve"> </w:t>
      </w:r>
      <w:r>
        <w:rPr>
          <w:sz w:val="17"/>
        </w:rPr>
        <w:t>vigentes</w:t>
      </w:r>
      <w:r>
        <w:rPr>
          <w:spacing w:val="18"/>
          <w:sz w:val="17"/>
        </w:rPr>
        <w:t xml:space="preserve"> </w:t>
      </w:r>
      <w:r>
        <w:rPr>
          <w:sz w:val="17"/>
        </w:rPr>
        <w:t>del derecho internacional de los derechos humanos, tal como se articulan, por ejemplo, en la Declaración sobre los derechos</w:t>
      </w:r>
      <w:r>
        <w:rPr>
          <w:spacing w:val="80"/>
          <w:sz w:val="17"/>
        </w:rPr>
        <w:t xml:space="preserve"> </w:t>
      </w:r>
      <w:r>
        <w:rPr>
          <w:sz w:val="17"/>
        </w:rPr>
        <w:t>de las personas pertenecientes a minorías nacionales o étnicas, religiosas y lingüísticas, cuyo artículo 2 establece que</w:t>
      </w:r>
    </w:p>
    <w:p w14:paraId="00DD5B10" w14:textId="77777777" w:rsidR="0014798C" w:rsidRDefault="004E1F0B">
      <w:pPr>
        <w:spacing w:line="190" w:lineRule="exact"/>
        <w:ind w:left="1108" w:right="-15"/>
        <w:rPr>
          <w:sz w:val="17"/>
        </w:rPr>
      </w:pPr>
      <w:r>
        <w:rPr>
          <w:sz w:val="17"/>
        </w:rPr>
        <w:t>“las</w:t>
      </w:r>
      <w:r>
        <w:rPr>
          <w:spacing w:val="6"/>
          <w:sz w:val="17"/>
        </w:rPr>
        <w:t xml:space="preserve"> </w:t>
      </w:r>
      <w:r>
        <w:rPr>
          <w:sz w:val="17"/>
        </w:rPr>
        <w:t>personas</w:t>
      </w:r>
      <w:r>
        <w:rPr>
          <w:spacing w:val="7"/>
          <w:sz w:val="17"/>
        </w:rPr>
        <w:t xml:space="preserve"> </w:t>
      </w:r>
      <w:r>
        <w:rPr>
          <w:sz w:val="17"/>
        </w:rPr>
        <w:t>pertenecientes</w:t>
      </w:r>
      <w:r>
        <w:rPr>
          <w:spacing w:val="7"/>
          <w:sz w:val="17"/>
        </w:rPr>
        <w:t xml:space="preserve"> </w:t>
      </w:r>
      <w:r>
        <w:rPr>
          <w:sz w:val="17"/>
        </w:rPr>
        <w:t>a</w:t>
      </w:r>
      <w:r>
        <w:rPr>
          <w:spacing w:val="7"/>
          <w:sz w:val="17"/>
        </w:rPr>
        <w:t xml:space="preserve"> </w:t>
      </w:r>
      <w:r>
        <w:rPr>
          <w:sz w:val="17"/>
        </w:rPr>
        <w:t>minorías</w:t>
      </w:r>
      <w:r>
        <w:rPr>
          <w:spacing w:val="7"/>
          <w:sz w:val="17"/>
        </w:rPr>
        <w:t xml:space="preserve"> </w:t>
      </w:r>
      <w:r>
        <w:rPr>
          <w:sz w:val="17"/>
        </w:rPr>
        <w:t>tienen</w:t>
      </w:r>
      <w:r>
        <w:rPr>
          <w:spacing w:val="6"/>
          <w:sz w:val="17"/>
        </w:rPr>
        <w:t xml:space="preserve"> </w:t>
      </w:r>
      <w:r>
        <w:rPr>
          <w:sz w:val="17"/>
        </w:rPr>
        <w:t>derecho</w:t>
      </w:r>
      <w:r>
        <w:rPr>
          <w:spacing w:val="7"/>
          <w:sz w:val="17"/>
        </w:rPr>
        <w:t xml:space="preserve"> </w:t>
      </w:r>
      <w:r>
        <w:rPr>
          <w:sz w:val="17"/>
        </w:rPr>
        <w:t>a</w:t>
      </w:r>
      <w:r>
        <w:rPr>
          <w:spacing w:val="7"/>
          <w:sz w:val="17"/>
        </w:rPr>
        <w:t xml:space="preserve"> </w:t>
      </w:r>
      <w:r>
        <w:rPr>
          <w:sz w:val="17"/>
        </w:rPr>
        <w:t>participar</w:t>
      </w:r>
      <w:r>
        <w:rPr>
          <w:spacing w:val="7"/>
          <w:sz w:val="17"/>
        </w:rPr>
        <w:t xml:space="preserve"> </w:t>
      </w:r>
      <w:r>
        <w:rPr>
          <w:sz w:val="17"/>
        </w:rPr>
        <w:t>eficazmente</w:t>
      </w:r>
      <w:r>
        <w:rPr>
          <w:spacing w:val="7"/>
          <w:sz w:val="17"/>
        </w:rPr>
        <w:t xml:space="preserve"> </w:t>
      </w:r>
      <w:r>
        <w:rPr>
          <w:sz w:val="17"/>
        </w:rPr>
        <w:t>en</w:t>
      </w:r>
      <w:r>
        <w:rPr>
          <w:spacing w:val="6"/>
          <w:sz w:val="17"/>
        </w:rPr>
        <w:t xml:space="preserve"> </w:t>
      </w:r>
      <w:r>
        <w:rPr>
          <w:sz w:val="17"/>
        </w:rPr>
        <w:t>las</w:t>
      </w:r>
      <w:r>
        <w:rPr>
          <w:spacing w:val="7"/>
          <w:sz w:val="17"/>
        </w:rPr>
        <w:t xml:space="preserve"> </w:t>
      </w:r>
      <w:r>
        <w:rPr>
          <w:sz w:val="17"/>
        </w:rPr>
        <w:t>decisiones</w:t>
      </w:r>
      <w:r>
        <w:rPr>
          <w:spacing w:val="7"/>
          <w:sz w:val="17"/>
        </w:rPr>
        <w:t xml:space="preserve"> </w:t>
      </w:r>
      <w:r>
        <w:rPr>
          <w:sz w:val="17"/>
        </w:rPr>
        <w:t>a</w:t>
      </w:r>
      <w:r>
        <w:rPr>
          <w:spacing w:val="7"/>
          <w:sz w:val="17"/>
        </w:rPr>
        <w:t xml:space="preserve"> </w:t>
      </w:r>
      <w:r>
        <w:rPr>
          <w:sz w:val="17"/>
        </w:rPr>
        <w:t>nivel</w:t>
      </w:r>
      <w:r>
        <w:rPr>
          <w:spacing w:val="7"/>
          <w:sz w:val="17"/>
        </w:rPr>
        <w:t xml:space="preserve"> </w:t>
      </w:r>
      <w:r>
        <w:rPr>
          <w:sz w:val="17"/>
        </w:rPr>
        <w:t>nacional</w:t>
      </w:r>
      <w:r>
        <w:rPr>
          <w:spacing w:val="6"/>
          <w:sz w:val="17"/>
        </w:rPr>
        <w:t xml:space="preserve"> </w:t>
      </w:r>
      <w:r>
        <w:rPr>
          <w:sz w:val="17"/>
        </w:rPr>
        <w:t>y,</w:t>
      </w:r>
      <w:r>
        <w:rPr>
          <w:spacing w:val="7"/>
          <w:sz w:val="17"/>
        </w:rPr>
        <w:t xml:space="preserve"> </w:t>
      </w:r>
      <w:r>
        <w:rPr>
          <w:sz w:val="17"/>
        </w:rPr>
        <w:t>en</w:t>
      </w:r>
      <w:r>
        <w:rPr>
          <w:spacing w:val="7"/>
          <w:sz w:val="17"/>
        </w:rPr>
        <w:t xml:space="preserve"> </w:t>
      </w:r>
      <w:r>
        <w:rPr>
          <w:sz w:val="17"/>
        </w:rPr>
        <w:t>su</w:t>
      </w:r>
      <w:r>
        <w:rPr>
          <w:spacing w:val="7"/>
          <w:sz w:val="17"/>
        </w:rPr>
        <w:t xml:space="preserve"> </w:t>
      </w:r>
      <w:r>
        <w:rPr>
          <w:sz w:val="17"/>
        </w:rPr>
        <w:t>caso,</w:t>
      </w:r>
      <w:r>
        <w:rPr>
          <w:spacing w:val="8"/>
          <w:sz w:val="17"/>
        </w:rPr>
        <w:t xml:space="preserve"> </w:t>
      </w:r>
      <w:r>
        <w:rPr>
          <w:spacing w:val="-2"/>
          <w:sz w:val="17"/>
        </w:rPr>
        <w:t>regional</w:t>
      </w:r>
    </w:p>
    <w:p w14:paraId="46FB2B96" w14:textId="77777777" w:rsidR="0014798C" w:rsidRDefault="0014798C">
      <w:pPr>
        <w:pStyle w:val="Textoindependiente"/>
        <w:spacing w:before="67"/>
      </w:pPr>
    </w:p>
    <w:p w14:paraId="2CC3EADE" w14:textId="77777777" w:rsidR="0014798C" w:rsidRDefault="004E1F0B">
      <w:pPr>
        <w:pStyle w:val="Textoindependiente"/>
        <w:spacing w:line="326" w:lineRule="auto"/>
        <w:ind w:left="1114" w:right="1166" w:hanging="8"/>
      </w:pPr>
      <w:r>
        <w:t>Como en otras áreas, tanto la Convención sobre los Derechos de las Personas con Discapacidad como su Comité correspondiente articulan las mejores prácticas actuales, lo que refleja el enfoque general de la Convención en garantizar la plena participación</w:t>
      </w:r>
    </w:p>
    <w:p w14:paraId="73160FA0" w14:textId="77777777" w:rsidR="0014798C" w:rsidRDefault="004E1F0B">
      <w:pPr>
        <w:pStyle w:val="Textoindependiente"/>
        <w:spacing w:line="326" w:lineRule="auto"/>
        <w:ind w:left="1107" w:right="1418" w:firstLine="2"/>
      </w:pPr>
      <w:r>
        <w:t>de las personas con discapacidad en todos los ámbitos de la vida. El artículo 4 (3) de la Convención establece que los Estados deben consultar estrechamente e involucrar activamente a las personas con discapacidad en el desarrollo e implementación de leyes y políticas, mientras que el artículo 33 (3) establece que las personas con discapacidad deben involucrarse y participar en</w:t>
      </w:r>
      <w:r>
        <w:rPr>
          <w:spacing w:val="40"/>
        </w:rPr>
        <w:t xml:space="preserve"> </w:t>
      </w:r>
      <w:r>
        <w:t>el monitoreo. de la aplicación de la Convención. Como se analizó anteriormente, el Comité ha señalado expresamente que tanto el desarrollo de políticas y estrategias como el seguimiento y la implementación de la Convención deben realizarse con la</w:t>
      </w:r>
    </w:p>
    <w:p w14:paraId="30626A2E" w14:textId="77777777" w:rsidR="0014798C" w:rsidRDefault="004E1F0B">
      <w:pPr>
        <w:pStyle w:val="Textoindependiente"/>
        <w:spacing w:line="326" w:lineRule="auto"/>
        <w:ind w:left="1111" w:right="1246" w:hanging="2"/>
        <w:jc w:val="both"/>
      </w:pPr>
      <w:r>
        <w:t>participación de las personas con discapacidad. El Comité también ha señalado la particular importancia de una estrecha consulta</w:t>
      </w:r>
      <w:r>
        <w:rPr>
          <w:spacing w:val="40"/>
        </w:rPr>
        <w:t xml:space="preserve"> </w:t>
      </w:r>
      <w:r>
        <w:t>y participación activa de las organizaciones de la sociedad civil, con miras en particular a garantizar la representación de la “vasta diversidad de la sociedad” y la necesidad de abordar la discriminación interseccional.846</w:t>
      </w:r>
    </w:p>
    <w:p w14:paraId="4A9046B2" w14:textId="77777777" w:rsidR="0014798C" w:rsidRDefault="0014798C">
      <w:pPr>
        <w:pStyle w:val="Textoindependiente"/>
        <w:rPr>
          <w:sz w:val="12"/>
        </w:rPr>
      </w:pPr>
    </w:p>
    <w:p w14:paraId="1BF4E84B" w14:textId="77777777" w:rsidR="0014798C" w:rsidRDefault="0014798C">
      <w:pPr>
        <w:pStyle w:val="Textoindependiente"/>
        <w:rPr>
          <w:sz w:val="12"/>
        </w:rPr>
      </w:pPr>
    </w:p>
    <w:p w14:paraId="1D803F9E" w14:textId="77777777" w:rsidR="0014798C" w:rsidRDefault="0014798C">
      <w:pPr>
        <w:pStyle w:val="Textoindependiente"/>
        <w:rPr>
          <w:sz w:val="12"/>
        </w:rPr>
      </w:pPr>
    </w:p>
    <w:p w14:paraId="5C1556FB" w14:textId="77777777" w:rsidR="0014798C" w:rsidRDefault="0014798C">
      <w:pPr>
        <w:pStyle w:val="Textoindependiente"/>
        <w:rPr>
          <w:sz w:val="12"/>
        </w:rPr>
      </w:pPr>
    </w:p>
    <w:p w14:paraId="39B6B912" w14:textId="77777777" w:rsidR="0014798C" w:rsidRDefault="0014798C">
      <w:pPr>
        <w:pStyle w:val="Textoindependiente"/>
        <w:rPr>
          <w:sz w:val="12"/>
        </w:rPr>
      </w:pPr>
    </w:p>
    <w:p w14:paraId="31E6B1DE" w14:textId="77777777" w:rsidR="0014798C" w:rsidRDefault="0014798C">
      <w:pPr>
        <w:pStyle w:val="Textoindependiente"/>
        <w:rPr>
          <w:sz w:val="12"/>
        </w:rPr>
      </w:pPr>
    </w:p>
    <w:p w14:paraId="7A4272AD" w14:textId="77777777" w:rsidR="0014798C" w:rsidRDefault="0014798C">
      <w:pPr>
        <w:pStyle w:val="Textoindependiente"/>
        <w:rPr>
          <w:sz w:val="12"/>
        </w:rPr>
      </w:pPr>
    </w:p>
    <w:p w14:paraId="62365FAA" w14:textId="77777777" w:rsidR="0014798C" w:rsidRDefault="0014798C">
      <w:pPr>
        <w:pStyle w:val="Textoindependiente"/>
        <w:rPr>
          <w:sz w:val="12"/>
        </w:rPr>
      </w:pPr>
    </w:p>
    <w:p w14:paraId="5B00F0AC" w14:textId="77777777" w:rsidR="0014798C" w:rsidRDefault="0014798C">
      <w:pPr>
        <w:pStyle w:val="Textoindependiente"/>
        <w:rPr>
          <w:sz w:val="12"/>
        </w:rPr>
      </w:pPr>
    </w:p>
    <w:p w14:paraId="4E1DD03F" w14:textId="77777777" w:rsidR="0014798C" w:rsidRDefault="0014798C">
      <w:pPr>
        <w:pStyle w:val="Textoindependiente"/>
        <w:rPr>
          <w:sz w:val="12"/>
        </w:rPr>
      </w:pPr>
    </w:p>
    <w:p w14:paraId="68CAF1F4" w14:textId="77777777" w:rsidR="0014798C" w:rsidRDefault="0014798C">
      <w:pPr>
        <w:pStyle w:val="Textoindependiente"/>
        <w:rPr>
          <w:sz w:val="12"/>
        </w:rPr>
      </w:pPr>
    </w:p>
    <w:p w14:paraId="4CB0FB27" w14:textId="77777777" w:rsidR="0014798C" w:rsidRDefault="0014798C">
      <w:pPr>
        <w:pStyle w:val="Textoindependiente"/>
        <w:rPr>
          <w:sz w:val="12"/>
        </w:rPr>
      </w:pPr>
    </w:p>
    <w:p w14:paraId="3C9FD505" w14:textId="77777777" w:rsidR="0014798C" w:rsidRDefault="0014798C">
      <w:pPr>
        <w:pStyle w:val="Textoindependiente"/>
        <w:rPr>
          <w:sz w:val="12"/>
        </w:rPr>
      </w:pPr>
    </w:p>
    <w:p w14:paraId="5ABBF017" w14:textId="77777777" w:rsidR="0014798C" w:rsidRDefault="0014798C">
      <w:pPr>
        <w:pStyle w:val="Textoindependiente"/>
        <w:rPr>
          <w:sz w:val="12"/>
        </w:rPr>
      </w:pPr>
    </w:p>
    <w:p w14:paraId="76F682EF" w14:textId="77777777" w:rsidR="0014798C" w:rsidRDefault="0014798C">
      <w:pPr>
        <w:pStyle w:val="Textoindependiente"/>
        <w:rPr>
          <w:sz w:val="12"/>
        </w:rPr>
      </w:pPr>
    </w:p>
    <w:p w14:paraId="6A0A1032" w14:textId="77777777" w:rsidR="0014798C" w:rsidRDefault="0014798C">
      <w:pPr>
        <w:pStyle w:val="Textoindependiente"/>
        <w:rPr>
          <w:sz w:val="12"/>
        </w:rPr>
      </w:pPr>
    </w:p>
    <w:p w14:paraId="1F1C344B" w14:textId="77777777" w:rsidR="0014798C" w:rsidRDefault="0014798C">
      <w:pPr>
        <w:pStyle w:val="Textoindependiente"/>
        <w:rPr>
          <w:sz w:val="12"/>
        </w:rPr>
      </w:pPr>
    </w:p>
    <w:p w14:paraId="180EEAD4" w14:textId="77777777" w:rsidR="0014798C" w:rsidRDefault="0014798C">
      <w:pPr>
        <w:pStyle w:val="Textoindependiente"/>
        <w:rPr>
          <w:sz w:val="12"/>
        </w:rPr>
      </w:pPr>
    </w:p>
    <w:p w14:paraId="0F5388BB" w14:textId="77777777" w:rsidR="0014798C" w:rsidRDefault="0014798C">
      <w:pPr>
        <w:pStyle w:val="Textoindependiente"/>
        <w:rPr>
          <w:sz w:val="12"/>
        </w:rPr>
      </w:pPr>
    </w:p>
    <w:p w14:paraId="12B12CE0" w14:textId="77777777" w:rsidR="0014798C" w:rsidRDefault="0014798C">
      <w:pPr>
        <w:pStyle w:val="Textoindependiente"/>
        <w:rPr>
          <w:sz w:val="12"/>
        </w:rPr>
      </w:pPr>
    </w:p>
    <w:p w14:paraId="32135708" w14:textId="77777777" w:rsidR="0014798C" w:rsidRDefault="0014798C">
      <w:pPr>
        <w:pStyle w:val="Textoindependiente"/>
        <w:rPr>
          <w:sz w:val="12"/>
        </w:rPr>
      </w:pPr>
    </w:p>
    <w:p w14:paraId="2AFE9697" w14:textId="77777777" w:rsidR="0014798C" w:rsidRDefault="0014798C">
      <w:pPr>
        <w:pStyle w:val="Textoindependiente"/>
        <w:rPr>
          <w:sz w:val="12"/>
        </w:rPr>
      </w:pPr>
    </w:p>
    <w:p w14:paraId="03E3D9AE" w14:textId="77777777" w:rsidR="0014798C" w:rsidRDefault="0014798C">
      <w:pPr>
        <w:pStyle w:val="Textoindependiente"/>
        <w:rPr>
          <w:sz w:val="12"/>
        </w:rPr>
      </w:pPr>
    </w:p>
    <w:p w14:paraId="57228BE0" w14:textId="77777777" w:rsidR="0014798C" w:rsidRDefault="0014798C">
      <w:pPr>
        <w:pStyle w:val="Textoindependiente"/>
        <w:rPr>
          <w:sz w:val="12"/>
        </w:rPr>
      </w:pPr>
    </w:p>
    <w:p w14:paraId="635CFBE5" w14:textId="77777777" w:rsidR="0014798C" w:rsidRDefault="0014798C">
      <w:pPr>
        <w:pStyle w:val="Textoindependiente"/>
        <w:rPr>
          <w:sz w:val="12"/>
        </w:rPr>
      </w:pPr>
    </w:p>
    <w:p w14:paraId="01387323" w14:textId="77777777" w:rsidR="0014798C" w:rsidRDefault="0014798C">
      <w:pPr>
        <w:pStyle w:val="Textoindependiente"/>
        <w:rPr>
          <w:sz w:val="12"/>
        </w:rPr>
      </w:pPr>
    </w:p>
    <w:p w14:paraId="6DA5AB40" w14:textId="77777777" w:rsidR="0014798C" w:rsidRDefault="0014798C">
      <w:pPr>
        <w:pStyle w:val="Textoindependiente"/>
        <w:rPr>
          <w:sz w:val="12"/>
        </w:rPr>
      </w:pPr>
    </w:p>
    <w:p w14:paraId="07A7B688" w14:textId="77777777" w:rsidR="0014798C" w:rsidRDefault="0014798C">
      <w:pPr>
        <w:pStyle w:val="Textoindependiente"/>
        <w:rPr>
          <w:sz w:val="12"/>
        </w:rPr>
      </w:pPr>
    </w:p>
    <w:p w14:paraId="48123D39" w14:textId="77777777" w:rsidR="0014798C" w:rsidRDefault="0014798C">
      <w:pPr>
        <w:pStyle w:val="Textoindependiente"/>
        <w:rPr>
          <w:sz w:val="12"/>
        </w:rPr>
      </w:pPr>
    </w:p>
    <w:p w14:paraId="7EC387EC" w14:textId="77777777" w:rsidR="0014798C" w:rsidRDefault="0014798C">
      <w:pPr>
        <w:pStyle w:val="Textoindependiente"/>
        <w:rPr>
          <w:sz w:val="12"/>
        </w:rPr>
      </w:pPr>
    </w:p>
    <w:p w14:paraId="2E426F3B" w14:textId="77777777" w:rsidR="0014798C" w:rsidRDefault="0014798C">
      <w:pPr>
        <w:pStyle w:val="Textoindependiente"/>
        <w:rPr>
          <w:sz w:val="12"/>
        </w:rPr>
      </w:pPr>
    </w:p>
    <w:p w14:paraId="45B20612" w14:textId="77777777" w:rsidR="0014798C" w:rsidRDefault="0014798C">
      <w:pPr>
        <w:pStyle w:val="Textoindependiente"/>
        <w:rPr>
          <w:sz w:val="12"/>
        </w:rPr>
      </w:pPr>
    </w:p>
    <w:p w14:paraId="599FBFFF" w14:textId="77777777" w:rsidR="0014798C" w:rsidRDefault="0014798C">
      <w:pPr>
        <w:pStyle w:val="Textoindependiente"/>
        <w:rPr>
          <w:sz w:val="12"/>
        </w:rPr>
      </w:pPr>
    </w:p>
    <w:p w14:paraId="60958336" w14:textId="77777777" w:rsidR="0014798C" w:rsidRDefault="0014798C">
      <w:pPr>
        <w:pStyle w:val="Textoindependiente"/>
        <w:rPr>
          <w:sz w:val="12"/>
        </w:rPr>
      </w:pPr>
    </w:p>
    <w:p w14:paraId="62D785D5" w14:textId="77777777" w:rsidR="0014798C" w:rsidRDefault="0014798C">
      <w:pPr>
        <w:pStyle w:val="Textoindependiente"/>
        <w:rPr>
          <w:sz w:val="12"/>
        </w:rPr>
      </w:pPr>
    </w:p>
    <w:p w14:paraId="013626B5" w14:textId="77777777" w:rsidR="0014798C" w:rsidRDefault="0014798C">
      <w:pPr>
        <w:pStyle w:val="Textoindependiente"/>
        <w:rPr>
          <w:sz w:val="12"/>
        </w:rPr>
      </w:pPr>
    </w:p>
    <w:p w14:paraId="15779791" w14:textId="77777777" w:rsidR="0014798C" w:rsidRDefault="0014798C">
      <w:pPr>
        <w:pStyle w:val="Textoindependiente"/>
        <w:rPr>
          <w:sz w:val="12"/>
        </w:rPr>
      </w:pPr>
    </w:p>
    <w:p w14:paraId="27FE56CB" w14:textId="77777777" w:rsidR="0014798C" w:rsidRDefault="0014798C">
      <w:pPr>
        <w:pStyle w:val="Textoindependiente"/>
        <w:rPr>
          <w:sz w:val="12"/>
        </w:rPr>
      </w:pPr>
    </w:p>
    <w:p w14:paraId="635462CD" w14:textId="77777777" w:rsidR="0014798C" w:rsidRDefault="0014798C">
      <w:pPr>
        <w:pStyle w:val="Textoindependiente"/>
        <w:rPr>
          <w:sz w:val="12"/>
        </w:rPr>
      </w:pPr>
    </w:p>
    <w:p w14:paraId="375F4BBF" w14:textId="77777777" w:rsidR="0014798C" w:rsidRDefault="0014798C">
      <w:pPr>
        <w:pStyle w:val="Textoindependiente"/>
        <w:rPr>
          <w:sz w:val="12"/>
        </w:rPr>
      </w:pPr>
    </w:p>
    <w:p w14:paraId="5DE9A485" w14:textId="77777777" w:rsidR="0014798C" w:rsidRDefault="0014798C">
      <w:pPr>
        <w:pStyle w:val="Textoindependiente"/>
        <w:rPr>
          <w:sz w:val="12"/>
        </w:rPr>
      </w:pPr>
    </w:p>
    <w:p w14:paraId="67595CC1" w14:textId="77777777" w:rsidR="0014798C" w:rsidRDefault="0014798C">
      <w:pPr>
        <w:pStyle w:val="Textoindependiente"/>
        <w:rPr>
          <w:sz w:val="12"/>
        </w:rPr>
      </w:pPr>
    </w:p>
    <w:p w14:paraId="6A483B2B" w14:textId="77777777" w:rsidR="0014798C" w:rsidRDefault="004E1F0B">
      <w:pPr>
        <w:spacing w:before="1"/>
        <w:ind w:left="1110"/>
        <w:rPr>
          <w:sz w:val="12"/>
        </w:rPr>
      </w:pPr>
      <w:r>
        <w:rPr>
          <w:spacing w:val="-2"/>
          <w:w w:val="105"/>
          <w:sz w:val="12"/>
        </w:rPr>
        <w:t>842</w:t>
      </w:r>
      <w:r>
        <w:rPr>
          <w:w w:val="105"/>
          <w:sz w:val="12"/>
        </w:rPr>
        <w:t xml:space="preserve"> </w:t>
      </w:r>
      <w:r>
        <w:rPr>
          <w:spacing w:val="-2"/>
          <w:w w:val="105"/>
          <w:sz w:val="12"/>
        </w:rPr>
        <w:t>Comité</w:t>
      </w:r>
      <w:r>
        <w:rPr>
          <w:w w:val="105"/>
          <w:sz w:val="12"/>
        </w:rPr>
        <w:t xml:space="preserve"> </w:t>
      </w:r>
      <w:r>
        <w:rPr>
          <w:spacing w:val="-2"/>
          <w:w w:val="105"/>
          <w:sz w:val="12"/>
        </w:rPr>
        <w:t>sobre</w:t>
      </w:r>
      <w:r>
        <w:rPr>
          <w:spacing w:val="1"/>
          <w:w w:val="105"/>
          <w:sz w:val="12"/>
        </w:rPr>
        <w:t xml:space="preserve"> </w:t>
      </w:r>
      <w:r>
        <w:rPr>
          <w:spacing w:val="-2"/>
          <w:w w:val="105"/>
          <w:sz w:val="12"/>
        </w:rPr>
        <w:t>los</w:t>
      </w:r>
      <w:r>
        <w:rPr>
          <w:w w:val="105"/>
          <w:sz w:val="12"/>
        </w:rPr>
        <w:t xml:space="preserve"> </w:t>
      </w:r>
      <w:r>
        <w:rPr>
          <w:spacing w:val="-2"/>
          <w:w w:val="105"/>
          <w:sz w:val="12"/>
        </w:rPr>
        <w:t>Derechos</w:t>
      </w:r>
      <w:r>
        <w:rPr>
          <w:spacing w:val="1"/>
          <w:w w:val="105"/>
          <w:sz w:val="12"/>
        </w:rPr>
        <w:t xml:space="preserve"> </w:t>
      </w:r>
      <w:r>
        <w:rPr>
          <w:spacing w:val="-2"/>
          <w:w w:val="105"/>
          <w:sz w:val="12"/>
        </w:rPr>
        <w:t>de</w:t>
      </w:r>
      <w:r>
        <w:rPr>
          <w:w w:val="105"/>
          <w:sz w:val="12"/>
        </w:rPr>
        <w:t xml:space="preserve"> </w:t>
      </w:r>
      <w:r>
        <w:rPr>
          <w:spacing w:val="-2"/>
          <w:w w:val="105"/>
          <w:sz w:val="12"/>
        </w:rPr>
        <w:t>las</w:t>
      </w:r>
      <w:r>
        <w:rPr>
          <w:spacing w:val="1"/>
          <w:w w:val="105"/>
          <w:sz w:val="12"/>
        </w:rPr>
        <w:t xml:space="preserve"> </w:t>
      </w:r>
      <w:r>
        <w:rPr>
          <w:spacing w:val="-2"/>
          <w:w w:val="105"/>
          <w:sz w:val="12"/>
        </w:rPr>
        <w:t>Personas</w:t>
      </w:r>
      <w:r>
        <w:rPr>
          <w:w w:val="105"/>
          <w:sz w:val="12"/>
        </w:rPr>
        <w:t xml:space="preserve"> </w:t>
      </w:r>
      <w:r>
        <w:rPr>
          <w:spacing w:val="-2"/>
          <w:w w:val="105"/>
          <w:sz w:val="12"/>
        </w:rPr>
        <w:t>con</w:t>
      </w:r>
      <w:r>
        <w:rPr>
          <w:spacing w:val="1"/>
          <w:w w:val="105"/>
          <w:sz w:val="12"/>
        </w:rPr>
        <w:t xml:space="preserve"> </w:t>
      </w:r>
      <w:r>
        <w:rPr>
          <w:spacing w:val="-2"/>
          <w:w w:val="105"/>
          <w:sz w:val="12"/>
        </w:rPr>
        <w:t>Discapacidad,</w:t>
      </w:r>
      <w:r>
        <w:rPr>
          <w:spacing w:val="1"/>
          <w:w w:val="105"/>
          <w:sz w:val="12"/>
        </w:rPr>
        <w:t xml:space="preserve"> </w:t>
      </w:r>
      <w:r>
        <w:rPr>
          <w:spacing w:val="-2"/>
          <w:w w:val="105"/>
          <w:sz w:val="12"/>
        </w:rPr>
        <w:t>observación</w:t>
      </w:r>
      <w:r>
        <w:rPr>
          <w:w w:val="105"/>
          <w:sz w:val="12"/>
        </w:rPr>
        <w:t xml:space="preserve"> </w:t>
      </w:r>
      <w:r>
        <w:rPr>
          <w:spacing w:val="-2"/>
          <w:w w:val="105"/>
          <w:sz w:val="12"/>
        </w:rPr>
        <w:t>general</w:t>
      </w:r>
      <w:r>
        <w:rPr>
          <w:spacing w:val="1"/>
          <w:w w:val="105"/>
          <w:sz w:val="12"/>
        </w:rPr>
        <w:t xml:space="preserve"> </w:t>
      </w:r>
      <w:r>
        <w:rPr>
          <w:spacing w:val="-2"/>
          <w:w w:val="105"/>
          <w:sz w:val="12"/>
        </w:rPr>
        <w:t>núm.</w:t>
      </w:r>
      <w:r>
        <w:rPr>
          <w:w w:val="105"/>
          <w:sz w:val="12"/>
        </w:rPr>
        <w:t xml:space="preserve"> </w:t>
      </w:r>
      <w:r>
        <w:rPr>
          <w:spacing w:val="-2"/>
          <w:w w:val="105"/>
          <w:sz w:val="12"/>
        </w:rPr>
        <w:t>7</w:t>
      </w:r>
      <w:r>
        <w:rPr>
          <w:spacing w:val="1"/>
          <w:w w:val="105"/>
          <w:sz w:val="12"/>
        </w:rPr>
        <w:t xml:space="preserve"> </w:t>
      </w:r>
      <w:r>
        <w:rPr>
          <w:spacing w:val="-2"/>
          <w:w w:val="105"/>
          <w:sz w:val="12"/>
        </w:rPr>
        <w:t>(2018).</w:t>
      </w:r>
    </w:p>
    <w:p w14:paraId="7012BF67" w14:textId="77777777" w:rsidR="0014798C" w:rsidRDefault="0014798C">
      <w:pPr>
        <w:rPr>
          <w:sz w:val="12"/>
        </w:rPr>
        <w:sectPr w:rsidR="0014798C" w:rsidSect="00F265E4">
          <w:pgSz w:w="11900" w:h="16820"/>
          <w:pgMar w:top="340" w:right="0" w:bottom="280" w:left="200" w:header="121" w:footer="0" w:gutter="0"/>
          <w:cols w:space="720"/>
        </w:sectPr>
      </w:pPr>
    </w:p>
    <w:p w14:paraId="1A45CA02" w14:textId="77777777" w:rsidR="0014798C" w:rsidRDefault="004E1F0B">
      <w:pPr>
        <w:spacing w:before="53"/>
        <w:jc w:val="right"/>
        <w:rPr>
          <w:sz w:val="8"/>
        </w:rPr>
      </w:pPr>
      <w:r>
        <w:rPr>
          <w:spacing w:val="-5"/>
          <w:w w:val="105"/>
          <w:sz w:val="8"/>
        </w:rPr>
        <w:t>843</w:t>
      </w:r>
    </w:p>
    <w:p w14:paraId="02635E4F" w14:textId="77777777" w:rsidR="0014798C" w:rsidRDefault="004E1F0B">
      <w:pPr>
        <w:spacing w:before="74"/>
        <w:ind w:left="76"/>
        <w:rPr>
          <w:sz w:val="15"/>
        </w:rPr>
      </w:pPr>
      <w:r>
        <w:br w:type="column"/>
      </w:r>
      <w:r>
        <w:rPr>
          <w:sz w:val="15"/>
        </w:rPr>
        <w:t>A/HRC/43/41,</w:t>
      </w:r>
      <w:r>
        <w:rPr>
          <w:spacing w:val="-1"/>
          <w:sz w:val="15"/>
        </w:rPr>
        <w:t xml:space="preserve"> </w:t>
      </w:r>
      <w:r>
        <w:rPr>
          <w:sz w:val="15"/>
        </w:rPr>
        <w:t xml:space="preserve">párr. </w:t>
      </w:r>
      <w:r>
        <w:rPr>
          <w:spacing w:val="-5"/>
          <w:sz w:val="15"/>
        </w:rPr>
        <w:t>46.</w:t>
      </w:r>
    </w:p>
    <w:p w14:paraId="3925BD4A" w14:textId="77777777" w:rsidR="0014798C" w:rsidRDefault="0014798C">
      <w:pPr>
        <w:rPr>
          <w:sz w:val="15"/>
        </w:rPr>
        <w:sectPr w:rsidR="0014798C" w:rsidSect="00F265E4">
          <w:type w:val="continuous"/>
          <w:pgSz w:w="11900" w:h="16820"/>
          <w:pgMar w:top="40" w:right="0" w:bottom="280" w:left="200" w:header="121" w:footer="0" w:gutter="0"/>
          <w:cols w:num="2" w:space="720" w:equalWidth="0">
            <w:col w:w="1250" w:space="40"/>
            <w:col w:w="10410"/>
          </w:cols>
        </w:sectPr>
      </w:pPr>
    </w:p>
    <w:p w14:paraId="77DB8963" w14:textId="77777777" w:rsidR="0014798C" w:rsidRDefault="004E1F0B">
      <w:pPr>
        <w:pStyle w:val="Prrafodelista"/>
        <w:numPr>
          <w:ilvl w:val="0"/>
          <w:numId w:val="27"/>
        </w:numPr>
        <w:tabs>
          <w:tab w:val="left" w:pos="1350"/>
        </w:tabs>
        <w:spacing w:before="88"/>
        <w:ind w:left="1350" w:hanging="240"/>
        <w:rPr>
          <w:sz w:val="12"/>
        </w:rPr>
      </w:pPr>
      <w:r>
        <w:rPr>
          <w:sz w:val="12"/>
        </w:rPr>
        <w:t>Comité</w:t>
      </w:r>
      <w:r>
        <w:rPr>
          <w:spacing w:val="7"/>
          <w:sz w:val="12"/>
        </w:rPr>
        <w:t xml:space="preserve"> </w:t>
      </w:r>
      <w:r>
        <w:rPr>
          <w:sz w:val="12"/>
        </w:rPr>
        <w:t>de</w:t>
      </w:r>
      <w:r>
        <w:rPr>
          <w:spacing w:val="8"/>
          <w:sz w:val="12"/>
        </w:rPr>
        <w:t xml:space="preserve"> </w:t>
      </w:r>
      <w:r>
        <w:rPr>
          <w:sz w:val="12"/>
        </w:rPr>
        <w:t>Derechos</w:t>
      </w:r>
      <w:r>
        <w:rPr>
          <w:spacing w:val="8"/>
          <w:sz w:val="12"/>
        </w:rPr>
        <w:t xml:space="preserve"> </w:t>
      </w:r>
      <w:r>
        <w:rPr>
          <w:sz w:val="12"/>
        </w:rPr>
        <w:t>Económicos,</w:t>
      </w:r>
      <w:r>
        <w:rPr>
          <w:spacing w:val="8"/>
          <w:sz w:val="12"/>
        </w:rPr>
        <w:t xml:space="preserve"> </w:t>
      </w:r>
      <w:r>
        <w:rPr>
          <w:sz w:val="12"/>
        </w:rPr>
        <w:t>Sociales</w:t>
      </w:r>
      <w:r>
        <w:rPr>
          <w:spacing w:val="7"/>
          <w:sz w:val="12"/>
        </w:rPr>
        <w:t xml:space="preserve"> </w:t>
      </w:r>
      <w:r>
        <w:rPr>
          <w:sz w:val="12"/>
        </w:rPr>
        <w:t>y</w:t>
      </w:r>
      <w:r>
        <w:rPr>
          <w:spacing w:val="8"/>
          <w:sz w:val="12"/>
        </w:rPr>
        <w:t xml:space="preserve"> </w:t>
      </w:r>
      <w:r>
        <w:rPr>
          <w:sz w:val="12"/>
        </w:rPr>
        <w:t>Culturales,</w:t>
      </w:r>
      <w:r>
        <w:rPr>
          <w:spacing w:val="8"/>
          <w:sz w:val="12"/>
        </w:rPr>
        <w:t xml:space="preserve"> </w:t>
      </w:r>
      <w:r>
        <w:rPr>
          <w:sz w:val="12"/>
        </w:rPr>
        <w:t>observación</w:t>
      </w:r>
      <w:r>
        <w:rPr>
          <w:spacing w:val="8"/>
          <w:sz w:val="12"/>
        </w:rPr>
        <w:t xml:space="preserve"> </w:t>
      </w:r>
      <w:r>
        <w:rPr>
          <w:sz w:val="12"/>
        </w:rPr>
        <w:t>general</w:t>
      </w:r>
      <w:r>
        <w:rPr>
          <w:spacing w:val="8"/>
          <w:sz w:val="12"/>
        </w:rPr>
        <w:t xml:space="preserve"> </w:t>
      </w:r>
      <w:r>
        <w:rPr>
          <w:sz w:val="12"/>
        </w:rPr>
        <w:t>núm.</w:t>
      </w:r>
      <w:r>
        <w:rPr>
          <w:spacing w:val="8"/>
          <w:sz w:val="12"/>
        </w:rPr>
        <w:t xml:space="preserve"> </w:t>
      </w:r>
      <w:r>
        <w:rPr>
          <w:sz w:val="12"/>
        </w:rPr>
        <w:t>20</w:t>
      </w:r>
      <w:r>
        <w:rPr>
          <w:spacing w:val="8"/>
          <w:sz w:val="12"/>
        </w:rPr>
        <w:t xml:space="preserve"> </w:t>
      </w:r>
      <w:r>
        <w:rPr>
          <w:sz w:val="12"/>
        </w:rPr>
        <w:t>(2009),</w:t>
      </w:r>
      <w:r>
        <w:rPr>
          <w:spacing w:val="8"/>
          <w:sz w:val="12"/>
        </w:rPr>
        <w:t xml:space="preserve"> </w:t>
      </w:r>
      <w:r>
        <w:rPr>
          <w:sz w:val="12"/>
        </w:rPr>
        <w:t>párr.</w:t>
      </w:r>
      <w:r>
        <w:rPr>
          <w:spacing w:val="8"/>
          <w:sz w:val="12"/>
        </w:rPr>
        <w:t xml:space="preserve"> </w:t>
      </w:r>
      <w:r>
        <w:rPr>
          <w:spacing w:val="-5"/>
          <w:sz w:val="12"/>
        </w:rPr>
        <w:t>36.</w:t>
      </w:r>
    </w:p>
    <w:p w14:paraId="3C329313" w14:textId="77777777" w:rsidR="0014798C" w:rsidRDefault="004E1F0B">
      <w:pPr>
        <w:pStyle w:val="Prrafodelista"/>
        <w:numPr>
          <w:ilvl w:val="0"/>
          <w:numId w:val="27"/>
        </w:numPr>
        <w:tabs>
          <w:tab w:val="left" w:pos="1350"/>
        </w:tabs>
        <w:spacing w:before="98"/>
        <w:ind w:left="1350" w:hanging="240"/>
        <w:rPr>
          <w:sz w:val="12"/>
        </w:rPr>
      </w:pPr>
      <w:r>
        <w:rPr>
          <w:spacing w:val="-2"/>
          <w:w w:val="105"/>
          <w:sz w:val="12"/>
        </w:rPr>
        <w:t>Comité</w:t>
      </w:r>
      <w:r>
        <w:rPr>
          <w:spacing w:val="-1"/>
          <w:w w:val="105"/>
          <w:sz w:val="12"/>
        </w:rPr>
        <w:t xml:space="preserve"> </w:t>
      </w:r>
      <w:r>
        <w:rPr>
          <w:spacing w:val="-2"/>
          <w:w w:val="105"/>
          <w:sz w:val="12"/>
        </w:rPr>
        <w:t>para</w:t>
      </w:r>
      <w:r>
        <w:rPr>
          <w:spacing w:val="-1"/>
          <w:w w:val="105"/>
          <w:sz w:val="12"/>
        </w:rPr>
        <w:t xml:space="preserve"> </w:t>
      </w:r>
      <w:r>
        <w:rPr>
          <w:spacing w:val="-2"/>
          <w:w w:val="105"/>
          <w:sz w:val="12"/>
        </w:rPr>
        <w:t>la</w:t>
      </w:r>
      <w:r>
        <w:rPr>
          <w:w w:val="105"/>
          <w:sz w:val="12"/>
        </w:rPr>
        <w:t xml:space="preserve"> </w:t>
      </w:r>
      <w:r>
        <w:rPr>
          <w:spacing w:val="-2"/>
          <w:w w:val="105"/>
          <w:sz w:val="12"/>
        </w:rPr>
        <w:t>Eliminación</w:t>
      </w:r>
      <w:r>
        <w:rPr>
          <w:spacing w:val="-1"/>
          <w:w w:val="105"/>
          <w:sz w:val="12"/>
        </w:rPr>
        <w:t xml:space="preserve"> </w:t>
      </w:r>
      <w:r>
        <w:rPr>
          <w:spacing w:val="-2"/>
          <w:w w:val="105"/>
          <w:sz w:val="12"/>
        </w:rPr>
        <w:t>de</w:t>
      </w:r>
      <w:r>
        <w:rPr>
          <w:w w:val="105"/>
          <w:sz w:val="12"/>
        </w:rPr>
        <w:t xml:space="preserve"> </w:t>
      </w:r>
      <w:r>
        <w:rPr>
          <w:spacing w:val="-2"/>
          <w:w w:val="105"/>
          <w:sz w:val="12"/>
        </w:rPr>
        <w:t>la</w:t>
      </w:r>
      <w:r>
        <w:rPr>
          <w:spacing w:val="-1"/>
          <w:w w:val="105"/>
          <w:sz w:val="12"/>
        </w:rPr>
        <w:t xml:space="preserve"> </w:t>
      </w:r>
      <w:r>
        <w:rPr>
          <w:spacing w:val="-2"/>
          <w:w w:val="105"/>
          <w:sz w:val="12"/>
        </w:rPr>
        <w:t>Discriminación</w:t>
      </w:r>
      <w:r>
        <w:rPr>
          <w:w w:val="105"/>
          <w:sz w:val="12"/>
        </w:rPr>
        <w:t xml:space="preserve"> </w:t>
      </w:r>
      <w:r>
        <w:rPr>
          <w:spacing w:val="-2"/>
          <w:w w:val="105"/>
          <w:sz w:val="12"/>
        </w:rPr>
        <w:t>contra</w:t>
      </w:r>
      <w:r>
        <w:rPr>
          <w:spacing w:val="-1"/>
          <w:w w:val="105"/>
          <w:sz w:val="12"/>
        </w:rPr>
        <w:t xml:space="preserve"> </w:t>
      </w:r>
      <w:r>
        <w:rPr>
          <w:spacing w:val="-2"/>
          <w:w w:val="105"/>
          <w:sz w:val="12"/>
        </w:rPr>
        <w:t>la</w:t>
      </w:r>
      <w:r>
        <w:rPr>
          <w:w w:val="105"/>
          <w:sz w:val="12"/>
        </w:rPr>
        <w:t xml:space="preserve"> </w:t>
      </w:r>
      <w:r>
        <w:rPr>
          <w:spacing w:val="-2"/>
          <w:w w:val="105"/>
          <w:sz w:val="12"/>
        </w:rPr>
        <w:t>Mujer,</w:t>
      </w:r>
      <w:r>
        <w:rPr>
          <w:spacing w:val="-1"/>
          <w:w w:val="105"/>
          <w:sz w:val="12"/>
        </w:rPr>
        <w:t xml:space="preserve"> </w:t>
      </w:r>
      <w:r>
        <w:rPr>
          <w:spacing w:val="-2"/>
          <w:w w:val="105"/>
          <w:sz w:val="12"/>
        </w:rPr>
        <w:t>recomendación</w:t>
      </w:r>
      <w:r>
        <w:rPr>
          <w:w w:val="105"/>
          <w:sz w:val="12"/>
        </w:rPr>
        <w:t xml:space="preserve"> </w:t>
      </w:r>
      <w:r>
        <w:rPr>
          <w:spacing w:val="-2"/>
          <w:w w:val="105"/>
          <w:sz w:val="12"/>
        </w:rPr>
        <w:t>general</w:t>
      </w:r>
      <w:r>
        <w:rPr>
          <w:spacing w:val="-1"/>
          <w:w w:val="105"/>
          <w:sz w:val="12"/>
        </w:rPr>
        <w:t xml:space="preserve"> </w:t>
      </w:r>
      <w:r>
        <w:rPr>
          <w:spacing w:val="-2"/>
          <w:w w:val="105"/>
          <w:sz w:val="12"/>
        </w:rPr>
        <w:t>núm.</w:t>
      </w:r>
      <w:r>
        <w:rPr>
          <w:w w:val="105"/>
          <w:sz w:val="12"/>
        </w:rPr>
        <w:t xml:space="preserve"> </w:t>
      </w:r>
      <w:r>
        <w:rPr>
          <w:spacing w:val="-2"/>
          <w:w w:val="105"/>
          <w:sz w:val="12"/>
        </w:rPr>
        <w:t>28</w:t>
      </w:r>
      <w:r>
        <w:rPr>
          <w:spacing w:val="-1"/>
          <w:w w:val="105"/>
          <w:sz w:val="12"/>
        </w:rPr>
        <w:t xml:space="preserve"> </w:t>
      </w:r>
      <w:r>
        <w:rPr>
          <w:spacing w:val="-2"/>
          <w:w w:val="105"/>
          <w:sz w:val="12"/>
        </w:rPr>
        <w:t>(2010),</w:t>
      </w:r>
      <w:r>
        <w:rPr>
          <w:w w:val="105"/>
          <w:sz w:val="12"/>
        </w:rPr>
        <w:t xml:space="preserve"> </w:t>
      </w:r>
      <w:r>
        <w:rPr>
          <w:spacing w:val="-2"/>
          <w:w w:val="105"/>
          <w:sz w:val="12"/>
        </w:rPr>
        <w:t>párr.</w:t>
      </w:r>
      <w:r>
        <w:rPr>
          <w:spacing w:val="-1"/>
          <w:w w:val="105"/>
          <w:sz w:val="12"/>
        </w:rPr>
        <w:t xml:space="preserve"> </w:t>
      </w:r>
      <w:r>
        <w:rPr>
          <w:spacing w:val="-5"/>
          <w:w w:val="105"/>
          <w:sz w:val="12"/>
        </w:rPr>
        <w:t>27.</w:t>
      </w:r>
    </w:p>
    <w:p w14:paraId="7B412055" w14:textId="77777777" w:rsidR="0014798C" w:rsidRDefault="004E1F0B">
      <w:pPr>
        <w:pStyle w:val="Prrafodelista"/>
        <w:numPr>
          <w:ilvl w:val="0"/>
          <w:numId w:val="27"/>
        </w:numPr>
        <w:tabs>
          <w:tab w:val="left" w:pos="1350"/>
        </w:tabs>
        <w:spacing w:before="99"/>
        <w:ind w:left="1350" w:hanging="240"/>
        <w:rPr>
          <w:sz w:val="12"/>
        </w:rPr>
      </w:pPr>
      <w:r>
        <w:rPr>
          <w:spacing w:val="-2"/>
          <w:w w:val="105"/>
          <w:sz w:val="12"/>
        </w:rPr>
        <w:t>Comité</w:t>
      </w:r>
      <w:r>
        <w:rPr>
          <w:w w:val="105"/>
          <w:sz w:val="12"/>
        </w:rPr>
        <w:t xml:space="preserve"> </w:t>
      </w:r>
      <w:r>
        <w:rPr>
          <w:spacing w:val="-2"/>
          <w:w w:val="105"/>
          <w:sz w:val="12"/>
        </w:rPr>
        <w:t>sobre</w:t>
      </w:r>
      <w:r>
        <w:rPr>
          <w:w w:val="105"/>
          <w:sz w:val="12"/>
        </w:rPr>
        <w:t xml:space="preserve"> </w:t>
      </w:r>
      <w:r>
        <w:rPr>
          <w:spacing w:val="-2"/>
          <w:w w:val="105"/>
          <w:sz w:val="12"/>
        </w:rPr>
        <w:t>los</w:t>
      </w:r>
      <w:r>
        <w:rPr>
          <w:spacing w:val="1"/>
          <w:w w:val="105"/>
          <w:sz w:val="12"/>
        </w:rPr>
        <w:t xml:space="preserve"> </w:t>
      </w:r>
      <w:r>
        <w:rPr>
          <w:spacing w:val="-2"/>
          <w:w w:val="105"/>
          <w:sz w:val="12"/>
        </w:rPr>
        <w:t>Derechos</w:t>
      </w:r>
      <w:r>
        <w:rPr>
          <w:w w:val="105"/>
          <w:sz w:val="12"/>
        </w:rPr>
        <w:t xml:space="preserve"> </w:t>
      </w:r>
      <w:r>
        <w:rPr>
          <w:spacing w:val="-2"/>
          <w:w w:val="105"/>
          <w:sz w:val="12"/>
        </w:rPr>
        <w:t>de</w:t>
      </w:r>
      <w:r>
        <w:rPr>
          <w:spacing w:val="1"/>
          <w:w w:val="105"/>
          <w:sz w:val="12"/>
        </w:rPr>
        <w:t xml:space="preserve"> </w:t>
      </w:r>
      <w:r>
        <w:rPr>
          <w:spacing w:val="-2"/>
          <w:w w:val="105"/>
          <w:sz w:val="12"/>
        </w:rPr>
        <w:t>las</w:t>
      </w:r>
      <w:r>
        <w:rPr>
          <w:w w:val="105"/>
          <w:sz w:val="12"/>
        </w:rPr>
        <w:t xml:space="preserve"> </w:t>
      </w:r>
      <w:r>
        <w:rPr>
          <w:spacing w:val="-2"/>
          <w:w w:val="105"/>
          <w:sz w:val="12"/>
        </w:rPr>
        <w:t>Personas</w:t>
      </w:r>
      <w:r>
        <w:rPr>
          <w:spacing w:val="1"/>
          <w:w w:val="105"/>
          <w:sz w:val="12"/>
        </w:rPr>
        <w:t xml:space="preserve"> </w:t>
      </w:r>
      <w:r>
        <w:rPr>
          <w:spacing w:val="-2"/>
          <w:w w:val="105"/>
          <w:sz w:val="12"/>
        </w:rPr>
        <w:t>con</w:t>
      </w:r>
      <w:r>
        <w:rPr>
          <w:w w:val="105"/>
          <w:sz w:val="12"/>
        </w:rPr>
        <w:t xml:space="preserve"> </w:t>
      </w:r>
      <w:r>
        <w:rPr>
          <w:spacing w:val="-2"/>
          <w:w w:val="105"/>
          <w:sz w:val="12"/>
        </w:rPr>
        <w:t>Discapacidad,</w:t>
      </w:r>
      <w:r>
        <w:rPr>
          <w:spacing w:val="2"/>
          <w:w w:val="105"/>
          <w:sz w:val="12"/>
        </w:rPr>
        <w:t xml:space="preserve"> </w:t>
      </w:r>
      <w:r>
        <w:rPr>
          <w:spacing w:val="-2"/>
          <w:w w:val="105"/>
          <w:sz w:val="12"/>
        </w:rPr>
        <w:t>observación</w:t>
      </w:r>
      <w:r>
        <w:rPr>
          <w:w w:val="105"/>
          <w:sz w:val="12"/>
        </w:rPr>
        <w:t xml:space="preserve"> </w:t>
      </w:r>
      <w:r>
        <w:rPr>
          <w:spacing w:val="-2"/>
          <w:w w:val="105"/>
          <w:sz w:val="12"/>
        </w:rPr>
        <w:t>general</w:t>
      </w:r>
      <w:r>
        <w:rPr>
          <w:spacing w:val="1"/>
          <w:w w:val="105"/>
          <w:sz w:val="12"/>
        </w:rPr>
        <w:t xml:space="preserve"> </w:t>
      </w:r>
      <w:r>
        <w:rPr>
          <w:spacing w:val="-2"/>
          <w:w w:val="105"/>
          <w:sz w:val="12"/>
        </w:rPr>
        <w:t>núm.</w:t>
      </w:r>
      <w:r>
        <w:rPr>
          <w:w w:val="105"/>
          <w:sz w:val="12"/>
        </w:rPr>
        <w:t xml:space="preserve"> </w:t>
      </w:r>
      <w:r>
        <w:rPr>
          <w:spacing w:val="-2"/>
          <w:w w:val="105"/>
          <w:sz w:val="12"/>
        </w:rPr>
        <w:t>6</w:t>
      </w:r>
      <w:r>
        <w:rPr>
          <w:spacing w:val="1"/>
          <w:w w:val="105"/>
          <w:sz w:val="12"/>
        </w:rPr>
        <w:t xml:space="preserve"> </w:t>
      </w:r>
      <w:r>
        <w:rPr>
          <w:spacing w:val="-2"/>
          <w:w w:val="105"/>
          <w:sz w:val="12"/>
        </w:rPr>
        <w:t>(2018),</w:t>
      </w:r>
      <w:r>
        <w:rPr>
          <w:w w:val="105"/>
          <w:sz w:val="12"/>
        </w:rPr>
        <w:t xml:space="preserve"> </w:t>
      </w:r>
      <w:r>
        <w:rPr>
          <w:spacing w:val="-2"/>
          <w:w w:val="105"/>
          <w:sz w:val="12"/>
        </w:rPr>
        <w:t>párr.</w:t>
      </w:r>
      <w:r>
        <w:rPr>
          <w:spacing w:val="1"/>
          <w:w w:val="105"/>
          <w:sz w:val="12"/>
        </w:rPr>
        <w:t xml:space="preserve"> </w:t>
      </w:r>
      <w:r>
        <w:rPr>
          <w:spacing w:val="-5"/>
          <w:w w:val="105"/>
          <w:sz w:val="12"/>
        </w:rPr>
        <w:t>33.</w:t>
      </w:r>
    </w:p>
    <w:p w14:paraId="0C825451" w14:textId="77777777" w:rsidR="0014798C" w:rsidRDefault="0014798C">
      <w:pPr>
        <w:pStyle w:val="Textoindependiente"/>
      </w:pPr>
    </w:p>
    <w:p w14:paraId="7EE96F94" w14:textId="77777777" w:rsidR="0014798C" w:rsidRDefault="0014798C">
      <w:pPr>
        <w:pStyle w:val="Textoindependiente"/>
      </w:pPr>
    </w:p>
    <w:p w14:paraId="5C6A7DE5" w14:textId="77777777" w:rsidR="0014798C" w:rsidRDefault="0014798C">
      <w:pPr>
        <w:pStyle w:val="Textoindependiente"/>
        <w:spacing w:before="103"/>
      </w:pPr>
    </w:p>
    <w:p w14:paraId="7C6CA137" w14:textId="77777777" w:rsidR="0014798C" w:rsidRDefault="004E1F0B">
      <w:pPr>
        <w:pStyle w:val="Textoindependiente"/>
        <w:ind w:right="717"/>
        <w:jc w:val="right"/>
      </w:pPr>
      <w:r>
        <w:rPr>
          <w:spacing w:val="-5"/>
          <w:w w:val="105"/>
        </w:rPr>
        <w:t>121</w:t>
      </w:r>
    </w:p>
    <w:p w14:paraId="6E71B1D0" w14:textId="77777777" w:rsidR="0014798C" w:rsidRDefault="0014798C">
      <w:pPr>
        <w:jc w:val="right"/>
        <w:sectPr w:rsidR="0014798C" w:rsidSect="00F265E4">
          <w:type w:val="continuous"/>
          <w:pgSz w:w="11900" w:h="16820"/>
          <w:pgMar w:top="40" w:right="0" w:bottom="280" w:left="200" w:header="121" w:footer="0" w:gutter="0"/>
          <w:cols w:space="720"/>
        </w:sectPr>
      </w:pPr>
    </w:p>
    <w:p w14:paraId="1ABF7C10" w14:textId="77777777" w:rsidR="0014798C" w:rsidRDefault="004E1F0B">
      <w:pPr>
        <w:spacing w:before="76"/>
        <w:ind w:left="113"/>
        <w:rPr>
          <w:sz w:val="21"/>
        </w:rPr>
      </w:pPr>
      <w:r>
        <w:rPr>
          <w:noProof/>
        </w:rPr>
        <w:lastRenderedPageBreak/>
        <w:drawing>
          <wp:anchor distT="0" distB="0" distL="0" distR="0" simplePos="0" relativeHeight="251658452" behindDoc="1" locked="0" layoutInCell="1" allowOverlap="1" wp14:anchorId="01BEB670" wp14:editId="0C698E2E">
            <wp:simplePos x="0" y="0"/>
            <wp:positionH relativeFrom="page">
              <wp:posOffset>0</wp:posOffset>
            </wp:positionH>
            <wp:positionV relativeFrom="page">
              <wp:posOffset>0</wp:posOffset>
            </wp:positionV>
            <wp:extent cx="7556500" cy="10680700"/>
            <wp:effectExtent l="0" t="0" r="0" b="0"/>
            <wp:wrapNone/>
            <wp:docPr id="258" name="Image 25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58" name="Image 258"/>
                    <pic:cNvPicPr/>
                  </pic:nvPicPr>
                  <pic:blipFill>
                    <a:blip r:embed="rId231" cstate="print"/>
                    <a:stretch>
                      <a:fillRect/>
                    </a:stretch>
                  </pic:blipFill>
                  <pic:spPr>
                    <a:xfrm>
                      <a:off x="0" y="0"/>
                      <a:ext cx="7556500" cy="10680700"/>
                    </a:xfrm>
                    <a:prstGeom prst="rect">
                      <a:avLst/>
                    </a:prstGeom>
                  </pic:spPr>
                </pic:pic>
              </a:graphicData>
            </a:graphic>
          </wp:anchor>
        </w:drawing>
      </w:r>
      <w:r>
        <w:rPr>
          <w:sz w:val="21"/>
        </w:rPr>
        <w:t>Machine</w:t>
      </w:r>
      <w:r>
        <w:rPr>
          <w:spacing w:val="6"/>
          <w:sz w:val="21"/>
        </w:rPr>
        <w:t xml:space="preserve"> </w:t>
      </w:r>
      <w:proofErr w:type="spellStart"/>
      <w:r>
        <w:rPr>
          <w:sz w:val="21"/>
        </w:rPr>
        <w:t>Translated</w:t>
      </w:r>
      <w:proofErr w:type="spellEnd"/>
      <w:r>
        <w:rPr>
          <w:spacing w:val="7"/>
          <w:sz w:val="21"/>
        </w:rPr>
        <w:t xml:space="preserve"> </w:t>
      </w:r>
      <w:proofErr w:type="spellStart"/>
      <w:r>
        <w:rPr>
          <w:sz w:val="21"/>
        </w:rPr>
        <w:t>by</w:t>
      </w:r>
      <w:proofErr w:type="spellEnd"/>
      <w:r>
        <w:rPr>
          <w:spacing w:val="7"/>
          <w:sz w:val="21"/>
        </w:rPr>
        <w:t xml:space="preserve"> </w:t>
      </w:r>
      <w:r>
        <w:rPr>
          <w:spacing w:val="-2"/>
          <w:sz w:val="21"/>
        </w:rPr>
        <w:t>Google</w:t>
      </w:r>
    </w:p>
    <w:p w14:paraId="3F074343" w14:textId="77777777" w:rsidR="0014798C" w:rsidRDefault="0014798C">
      <w:pPr>
        <w:pStyle w:val="Textoindependiente"/>
        <w:rPr>
          <w:sz w:val="35"/>
        </w:rPr>
      </w:pPr>
    </w:p>
    <w:p w14:paraId="14AC25D4" w14:textId="77777777" w:rsidR="0014798C" w:rsidRDefault="0014798C">
      <w:pPr>
        <w:pStyle w:val="Textoindependiente"/>
        <w:rPr>
          <w:sz w:val="35"/>
        </w:rPr>
      </w:pPr>
    </w:p>
    <w:p w14:paraId="2B33EA3E" w14:textId="77777777" w:rsidR="0014798C" w:rsidRDefault="0014798C">
      <w:pPr>
        <w:pStyle w:val="Textoindependiente"/>
        <w:rPr>
          <w:sz w:val="35"/>
        </w:rPr>
      </w:pPr>
    </w:p>
    <w:p w14:paraId="01AE1728" w14:textId="77777777" w:rsidR="0014798C" w:rsidRDefault="0014798C">
      <w:pPr>
        <w:pStyle w:val="Textoindependiente"/>
        <w:rPr>
          <w:sz w:val="35"/>
        </w:rPr>
      </w:pPr>
    </w:p>
    <w:p w14:paraId="0EBB09B7" w14:textId="77777777" w:rsidR="0014798C" w:rsidRDefault="0014798C">
      <w:pPr>
        <w:pStyle w:val="Textoindependiente"/>
        <w:rPr>
          <w:sz w:val="35"/>
        </w:rPr>
      </w:pPr>
    </w:p>
    <w:p w14:paraId="38705D18" w14:textId="77777777" w:rsidR="0014798C" w:rsidRDefault="0014798C">
      <w:pPr>
        <w:pStyle w:val="Textoindependiente"/>
        <w:rPr>
          <w:sz w:val="35"/>
        </w:rPr>
      </w:pPr>
    </w:p>
    <w:p w14:paraId="49B02142" w14:textId="77777777" w:rsidR="0014798C" w:rsidRDefault="0014798C">
      <w:pPr>
        <w:pStyle w:val="Textoindependiente"/>
        <w:rPr>
          <w:sz w:val="35"/>
        </w:rPr>
      </w:pPr>
    </w:p>
    <w:p w14:paraId="04F8BC05" w14:textId="77777777" w:rsidR="0014798C" w:rsidRDefault="0014798C">
      <w:pPr>
        <w:pStyle w:val="Textoindependiente"/>
        <w:rPr>
          <w:sz w:val="35"/>
        </w:rPr>
      </w:pPr>
    </w:p>
    <w:p w14:paraId="5551B387" w14:textId="77777777" w:rsidR="0014798C" w:rsidRDefault="0014798C">
      <w:pPr>
        <w:pStyle w:val="Textoindependiente"/>
        <w:rPr>
          <w:sz w:val="35"/>
        </w:rPr>
      </w:pPr>
    </w:p>
    <w:p w14:paraId="3A612639" w14:textId="77777777" w:rsidR="0014798C" w:rsidRDefault="0014798C">
      <w:pPr>
        <w:pStyle w:val="Textoindependiente"/>
        <w:rPr>
          <w:sz w:val="35"/>
        </w:rPr>
      </w:pPr>
    </w:p>
    <w:p w14:paraId="3C042CED" w14:textId="77777777" w:rsidR="0014798C" w:rsidRDefault="0014798C">
      <w:pPr>
        <w:pStyle w:val="Textoindependiente"/>
        <w:rPr>
          <w:sz w:val="35"/>
        </w:rPr>
      </w:pPr>
    </w:p>
    <w:p w14:paraId="073C603C" w14:textId="77777777" w:rsidR="0014798C" w:rsidRDefault="0014798C">
      <w:pPr>
        <w:pStyle w:val="Textoindependiente"/>
        <w:rPr>
          <w:sz w:val="35"/>
        </w:rPr>
      </w:pPr>
    </w:p>
    <w:p w14:paraId="324492FF" w14:textId="77777777" w:rsidR="0014798C" w:rsidRDefault="0014798C">
      <w:pPr>
        <w:pStyle w:val="Textoindependiente"/>
        <w:rPr>
          <w:sz w:val="35"/>
        </w:rPr>
      </w:pPr>
    </w:p>
    <w:p w14:paraId="0BC81921" w14:textId="77777777" w:rsidR="0014798C" w:rsidRDefault="0014798C">
      <w:pPr>
        <w:pStyle w:val="Textoindependiente"/>
        <w:rPr>
          <w:sz w:val="35"/>
        </w:rPr>
      </w:pPr>
    </w:p>
    <w:p w14:paraId="1678CE53" w14:textId="77777777" w:rsidR="0014798C" w:rsidRDefault="0014798C">
      <w:pPr>
        <w:pStyle w:val="Textoindependiente"/>
        <w:rPr>
          <w:sz w:val="35"/>
        </w:rPr>
      </w:pPr>
    </w:p>
    <w:p w14:paraId="338FF6A2" w14:textId="77777777" w:rsidR="0014798C" w:rsidRDefault="0014798C">
      <w:pPr>
        <w:pStyle w:val="Textoindependiente"/>
        <w:rPr>
          <w:sz w:val="35"/>
        </w:rPr>
      </w:pPr>
    </w:p>
    <w:p w14:paraId="34F56C56" w14:textId="77777777" w:rsidR="0014798C" w:rsidRDefault="0014798C">
      <w:pPr>
        <w:pStyle w:val="Textoindependiente"/>
        <w:rPr>
          <w:sz w:val="35"/>
        </w:rPr>
      </w:pPr>
    </w:p>
    <w:p w14:paraId="4649DDA8" w14:textId="77777777" w:rsidR="0014798C" w:rsidRDefault="0014798C">
      <w:pPr>
        <w:pStyle w:val="Textoindependiente"/>
        <w:rPr>
          <w:sz w:val="35"/>
        </w:rPr>
      </w:pPr>
    </w:p>
    <w:p w14:paraId="1AC95BA3" w14:textId="77777777" w:rsidR="0014798C" w:rsidRDefault="0014798C">
      <w:pPr>
        <w:pStyle w:val="Textoindependiente"/>
        <w:rPr>
          <w:sz w:val="35"/>
        </w:rPr>
      </w:pPr>
    </w:p>
    <w:p w14:paraId="39CD3B61" w14:textId="77777777" w:rsidR="0014798C" w:rsidRDefault="0014798C">
      <w:pPr>
        <w:pStyle w:val="Textoindependiente"/>
        <w:rPr>
          <w:sz w:val="35"/>
        </w:rPr>
      </w:pPr>
    </w:p>
    <w:p w14:paraId="116BD6CD" w14:textId="77777777" w:rsidR="0014798C" w:rsidRDefault="0014798C">
      <w:pPr>
        <w:pStyle w:val="Textoindependiente"/>
        <w:rPr>
          <w:sz w:val="35"/>
        </w:rPr>
      </w:pPr>
    </w:p>
    <w:p w14:paraId="711C32CA" w14:textId="77777777" w:rsidR="0014798C" w:rsidRDefault="0014798C">
      <w:pPr>
        <w:pStyle w:val="Textoindependiente"/>
        <w:rPr>
          <w:sz w:val="35"/>
        </w:rPr>
      </w:pPr>
    </w:p>
    <w:p w14:paraId="61D551B0" w14:textId="77777777" w:rsidR="0014798C" w:rsidRDefault="0014798C">
      <w:pPr>
        <w:pStyle w:val="Textoindependiente"/>
        <w:rPr>
          <w:sz w:val="35"/>
        </w:rPr>
      </w:pPr>
    </w:p>
    <w:p w14:paraId="4FABB2C4" w14:textId="77777777" w:rsidR="0014798C" w:rsidRDefault="0014798C">
      <w:pPr>
        <w:pStyle w:val="Textoindependiente"/>
        <w:rPr>
          <w:sz w:val="35"/>
        </w:rPr>
      </w:pPr>
    </w:p>
    <w:p w14:paraId="08F5DD47" w14:textId="77777777" w:rsidR="0014798C" w:rsidRDefault="0014798C">
      <w:pPr>
        <w:pStyle w:val="Textoindependiente"/>
        <w:rPr>
          <w:sz w:val="35"/>
        </w:rPr>
      </w:pPr>
    </w:p>
    <w:p w14:paraId="5B3698A0" w14:textId="77777777" w:rsidR="0014798C" w:rsidRDefault="0014798C">
      <w:pPr>
        <w:pStyle w:val="Textoindependiente"/>
        <w:rPr>
          <w:sz w:val="35"/>
        </w:rPr>
      </w:pPr>
    </w:p>
    <w:p w14:paraId="588A15EE" w14:textId="77777777" w:rsidR="0014798C" w:rsidRDefault="0014798C">
      <w:pPr>
        <w:pStyle w:val="Textoindependiente"/>
        <w:rPr>
          <w:sz w:val="35"/>
        </w:rPr>
      </w:pPr>
    </w:p>
    <w:p w14:paraId="44782334" w14:textId="77777777" w:rsidR="0014798C" w:rsidRDefault="0014798C">
      <w:pPr>
        <w:pStyle w:val="Textoindependiente"/>
        <w:rPr>
          <w:sz w:val="35"/>
        </w:rPr>
      </w:pPr>
    </w:p>
    <w:p w14:paraId="4FEB5044" w14:textId="77777777" w:rsidR="0014798C" w:rsidRDefault="0014798C">
      <w:pPr>
        <w:pStyle w:val="Textoindependiente"/>
        <w:rPr>
          <w:sz w:val="35"/>
        </w:rPr>
      </w:pPr>
    </w:p>
    <w:p w14:paraId="11731A65" w14:textId="77777777" w:rsidR="0014798C" w:rsidRDefault="0014798C">
      <w:pPr>
        <w:pStyle w:val="Textoindependiente"/>
        <w:rPr>
          <w:sz w:val="35"/>
        </w:rPr>
      </w:pPr>
    </w:p>
    <w:p w14:paraId="07C8586E" w14:textId="77777777" w:rsidR="0014798C" w:rsidRDefault="0014798C">
      <w:pPr>
        <w:pStyle w:val="Textoindependiente"/>
        <w:rPr>
          <w:sz w:val="35"/>
        </w:rPr>
      </w:pPr>
    </w:p>
    <w:p w14:paraId="2BF52F3B" w14:textId="77777777" w:rsidR="0014798C" w:rsidRDefault="0014798C">
      <w:pPr>
        <w:pStyle w:val="Textoindependiente"/>
        <w:rPr>
          <w:sz w:val="35"/>
        </w:rPr>
      </w:pPr>
    </w:p>
    <w:p w14:paraId="7821B7E8" w14:textId="77777777" w:rsidR="0014798C" w:rsidRDefault="0014798C">
      <w:pPr>
        <w:pStyle w:val="Textoindependiente"/>
        <w:rPr>
          <w:sz w:val="35"/>
        </w:rPr>
      </w:pPr>
    </w:p>
    <w:p w14:paraId="40993871" w14:textId="77777777" w:rsidR="0014798C" w:rsidRDefault="0014798C">
      <w:pPr>
        <w:pStyle w:val="Textoindependiente"/>
        <w:spacing w:before="36"/>
        <w:rPr>
          <w:sz w:val="35"/>
        </w:rPr>
      </w:pPr>
    </w:p>
    <w:p w14:paraId="511715F3" w14:textId="3B93FF1E" w:rsidR="0014798C" w:rsidRPr="00505800" w:rsidRDefault="00505800">
      <w:pPr>
        <w:ind w:left="1188"/>
        <w:rPr>
          <w:rFonts w:ascii="Tahoma" w:hAnsi="Tahoma" w:cs="Tahoma"/>
          <w:b/>
          <w:bCs/>
          <w:sz w:val="24"/>
          <w:szCs w:val="24"/>
        </w:rPr>
      </w:pPr>
      <w:r w:rsidRPr="00505800">
        <w:rPr>
          <w:rFonts w:ascii="Tahoma" w:hAnsi="Tahoma" w:cs="Tahoma"/>
          <w:b/>
          <w:bCs/>
          <w:color w:val="803108"/>
          <w:sz w:val="24"/>
          <w:szCs w:val="24"/>
        </w:rPr>
        <w:t>TERCERA PARTE</w:t>
      </w:r>
      <w:r w:rsidR="004E1F0B" w:rsidRPr="00505800">
        <w:rPr>
          <w:rFonts w:ascii="Tahoma" w:hAnsi="Tahoma" w:cs="Tahoma"/>
          <w:b/>
          <w:bCs/>
          <w:color w:val="803108"/>
          <w:spacing w:val="-2"/>
          <w:sz w:val="24"/>
          <w:szCs w:val="24"/>
        </w:rPr>
        <w:t>:</w:t>
      </w:r>
    </w:p>
    <w:p w14:paraId="7DB1EF61" w14:textId="77777777" w:rsidR="0014798C" w:rsidRDefault="004E1F0B">
      <w:pPr>
        <w:pStyle w:val="Ttulo8"/>
        <w:spacing w:before="327"/>
        <w:ind w:left="1132" w:firstLine="0"/>
      </w:pPr>
      <w:r>
        <w:rPr>
          <w:color w:val="FFFFFF"/>
        </w:rPr>
        <w:t>PROTECCIÓN</w:t>
      </w:r>
      <w:r>
        <w:rPr>
          <w:color w:val="FFFFFF"/>
          <w:spacing w:val="4"/>
        </w:rPr>
        <w:t xml:space="preserve"> </w:t>
      </w:r>
      <w:r>
        <w:rPr>
          <w:color w:val="FFFFFF"/>
        </w:rPr>
        <w:t>DE</w:t>
      </w:r>
      <w:r>
        <w:rPr>
          <w:color w:val="FFFFFF"/>
          <w:spacing w:val="5"/>
        </w:rPr>
        <w:t xml:space="preserve"> </w:t>
      </w:r>
      <w:r>
        <w:rPr>
          <w:color w:val="FFFFFF"/>
        </w:rPr>
        <w:t>LOS</w:t>
      </w:r>
      <w:r>
        <w:rPr>
          <w:color w:val="FFFFFF"/>
          <w:spacing w:val="6"/>
        </w:rPr>
        <w:t xml:space="preserve"> </w:t>
      </w:r>
      <w:r>
        <w:rPr>
          <w:color w:val="FFFFFF"/>
        </w:rPr>
        <w:t>DERECHOS</w:t>
      </w:r>
      <w:r>
        <w:rPr>
          <w:color w:val="FFFFFF"/>
          <w:spacing w:val="7"/>
        </w:rPr>
        <w:t xml:space="preserve"> </w:t>
      </w:r>
      <w:r>
        <w:rPr>
          <w:color w:val="FFFFFF"/>
        </w:rPr>
        <w:t>DE</w:t>
      </w:r>
      <w:r>
        <w:rPr>
          <w:color w:val="FFFFFF"/>
          <w:spacing w:val="5"/>
        </w:rPr>
        <w:t xml:space="preserve"> </w:t>
      </w:r>
      <w:r>
        <w:rPr>
          <w:color w:val="FFFFFF"/>
        </w:rPr>
        <w:t>LAS</w:t>
      </w:r>
      <w:r>
        <w:rPr>
          <w:color w:val="FFFFFF"/>
          <w:spacing w:val="6"/>
        </w:rPr>
        <w:t xml:space="preserve"> </w:t>
      </w:r>
      <w:r>
        <w:rPr>
          <w:color w:val="FFFFFF"/>
          <w:spacing w:val="-2"/>
        </w:rPr>
        <w:t>MINORÍAS</w:t>
      </w:r>
    </w:p>
    <w:p w14:paraId="2E394FDB" w14:textId="77777777" w:rsidR="0014798C" w:rsidRDefault="0014798C">
      <w:pPr>
        <w:sectPr w:rsidR="0014798C" w:rsidSect="00F265E4">
          <w:headerReference w:type="default" r:id="rId232"/>
          <w:pgSz w:w="11900" w:h="16820"/>
          <w:pgMar w:top="40" w:right="0" w:bottom="280" w:left="200" w:header="0" w:footer="0" w:gutter="0"/>
          <w:cols w:space="720"/>
        </w:sectPr>
      </w:pPr>
    </w:p>
    <w:p w14:paraId="67B94286" w14:textId="77777777" w:rsidR="0014798C" w:rsidRDefault="004E1F0B">
      <w:pPr>
        <w:pStyle w:val="Textoindependiente"/>
        <w:rPr>
          <w:sz w:val="9"/>
        </w:rPr>
      </w:pPr>
      <w:r>
        <w:rPr>
          <w:noProof/>
        </w:rPr>
        <w:lastRenderedPageBreak/>
        <w:drawing>
          <wp:anchor distT="0" distB="0" distL="0" distR="0" simplePos="0" relativeHeight="251658453" behindDoc="1" locked="0" layoutInCell="1" allowOverlap="1" wp14:anchorId="488023A0" wp14:editId="76E38256">
            <wp:simplePos x="0" y="0"/>
            <wp:positionH relativeFrom="page">
              <wp:posOffset>0</wp:posOffset>
            </wp:positionH>
            <wp:positionV relativeFrom="page">
              <wp:posOffset>930124</wp:posOffset>
            </wp:positionV>
            <wp:extent cx="7556500" cy="9750575"/>
            <wp:effectExtent l="0" t="0" r="0" b="0"/>
            <wp:wrapNone/>
            <wp:docPr id="260" name="Image 26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60" name="Image 260"/>
                    <pic:cNvPicPr/>
                  </pic:nvPicPr>
                  <pic:blipFill>
                    <a:blip r:embed="rId233" cstate="print"/>
                    <a:stretch>
                      <a:fillRect/>
                    </a:stretch>
                  </pic:blipFill>
                  <pic:spPr>
                    <a:xfrm>
                      <a:off x="0" y="0"/>
                      <a:ext cx="7556500" cy="9750575"/>
                    </a:xfrm>
                    <a:prstGeom prst="rect">
                      <a:avLst/>
                    </a:prstGeom>
                  </pic:spPr>
                </pic:pic>
              </a:graphicData>
            </a:graphic>
          </wp:anchor>
        </w:drawing>
      </w:r>
    </w:p>
    <w:p w14:paraId="4939F0D6" w14:textId="77777777" w:rsidR="0014798C" w:rsidRDefault="0014798C">
      <w:pPr>
        <w:pStyle w:val="Textoindependiente"/>
        <w:spacing w:before="31"/>
        <w:rPr>
          <w:sz w:val="9"/>
        </w:rPr>
      </w:pPr>
    </w:p>
    <w:p w14:paraId="4ED919A2" w14:textId="77777777" w:rsidR="0014798C" w:rsidRDefault="004E1F0B">
      <w:pPr>
        <w:ind w:left="1111"/>
        <w:rPr>
          <w:sz w:val="9"/>
        </w:rPr>
      </w:pPr>
      <w:r>
        <w:rPr>
          <w:color w:val="803108"/>
          <w:w w:val="105"/>
          <w:sz w:val="9"/>
        </w:rPr>
        <w:t>PARTE</w:t>
      </w:r>
      <w:r>
        <w:rPr>
          <w:color w:val="803108"/>
          <w:spacing w:val="1"/>
          <w:w w:val="105"/>
          <w:sz w:val="9"/>
        </w:rPr>
        <w:t xml:space="preserve"> </w:t>
      </w:r>
      <w:r>
        <w:rPr>
          <w:color w:val="803108"/>
          <w:w w:val="105"/>
          <w:sz w:val="9"/>
        </w:rPr>
        <w:t>TRES:</w:t>
      </w:r>
      <w:r>
        <w:rPr>
          <w:color w:val="803108"/>
          <w:spacing w:val="2"/>
          <w:w w:val="105"/>
          <w:sz w:val="9"/>
        </w:rPr>
        <w:t xml:space="preserve"> </w:t>
      </w:r>
      <w:r>
        <w:rPr>
          <w:color w:val="803108"/>
          <w:w w:val="105"/>
          <w:sz w:val="9"/>
        </w:rPr>
        <w:t>PROTECCIÓN</w:t>
      </w:r>
      <w:r>
        <w:rPr>
          <w:color w:val="803108"/>
          <w:spacing w:val="2"/>
          <w:w w:val="105"/>
          <w:sz w:val="9"/>
        </w:rPr>
        <w:t xml:space="preserve"> </w:t>
      </w:r>
      <w:r>
        <w:rPr>
          <w:color w:val="803108"/>
          <w:w w:val="105"/>
          <w:sz w:val="9"/>
        </w:rPr>
        <w:t>DE</w:t>
      </w:r>
      <w:r>
        <w:rPr>
          <w:color w:val="803108"/>
          <w:spacing w:val="1"/>
          <w:w w:val="105"/>
          <w:sz w:val="9"/>
        </w:rPr>
        <w:t xml:space="preserve"> </w:t>
      </w:r>
      <w:r>
        <w:rPr>
          <w:color w:val="803108"/>
          <w:w w:val="105"/>
          <w:sz w:val="9"/>
        </w:rPr>
        <w:t>LOS</w:t>
      </w:r>
      <w:r>
        <w:rPr>
          <w:color w:val="803108"/>
          <w:spacing w:val="2"/>
          <w:w w:val="105"/>
          <w:sz w:val="9"/>
        </w:rPr>
        <w:t xml:space="preserve"> </w:t>
      </w:r>
      <w:r>
        <w:rPr>
          <w:color w:val="803108"/>
          <w:w w:val="105"/>
          <w:sz w:val="9"/>
        </w:rPr>
        <w:t>DERECHOS</w:t>
      </w:r>
      <w:r>
        <w:rPr>
          <w:color w:val="803108"/>
          <w:spacing w:val="3"/>
          <w:w w:val="105"/>
          <w:sz w:val="9"/>
        </w:rPr>
        <w:t xml:space="preserve"> </w:t>
      </w:r>
      <w:r>
        <w:rPr>
          <w:color w:val="803108"/>
          <w:w w:val="105"/>
          <w:sz w:val="9"/>
        </w:rPr>
        <w:t>DE</w:t>
      </w:r>
      <w:r>
        <w:rPr>
          <w:color w:val="803108"/>
          <w:spacing w:val="1"/>
          <w:w w:val="105"/>
          <w:sz w:val="9"/>
        </w:rPr>
        <w:t xml:space="preserve"> </w:t>
      </w:r>
      <w:r>
        <w:rPr>
          <w:color w:val="803108"/>
          <w:w w:val="105"/>
          <w:sz w:val="9"/>
        </w:rPr>
        <w:t>LAS</w:t>
      </w:r>
      <w:r>
        <w:rPr>
          <w:color w:val="803108"/>
          <w:spacing w:val="2"/>
          <w:w w:val="105"/>
          <w:sz w:val="9"/>
        </w:rPr>
        <w:t xml:space="preserve"> </w:t>
      </w:r>
      <w:r>
        <w:rPr>
          <w:color w:val="803108"/>
          <w:spacing w:val="-2"/>
          <w:w w:val="105"/>
          <w:sz w:val="9"/>
        </w:rPr>
        <w:t>MINORÍAS</w:t>
      </w:r>
    </w:p>
    <w:p w14:paraId="79B93829" w14:textId="77777777" w:rsidR="0014798C" w:rsidRDefault="0014798C">
      <w:pPr>
        <w:pStyle w:val="Textoindependiente"/>
        <w:rPr>
          <w:sz w:val="17"/>
        </w:rPr>
      </w:pPr>
    </w:p>
    <w:p w14:paraId="51AC74B4" w14:textId="77777777" w:rsidR="0014798C" w:rsidRDefault="0014798C">
      <w:pPr>
        <w:pStyle w:val="Textoindependiente"/>
        <w:rPr>
          <w:sz w:val="17"/>
        </w:rPr>
      </w:pPr>
    </w:p>
    <w:p w14:paraId="60060850" w14:textId="77777777" w:rsidR="0014798C" w:rsidRDefault="0014798C">
      <w:pPr>
        <w:pStyle w:val="Textoindependiente"/>
        <w:rPr>
          <w:sz w:val="17"/>
        </w:rPr>
      </w:pPr>
    </w:p>
    <w:p w14:paraId="6279C69E" w14:textId="77777777" w:rsidR="0014798C" w:rsidRDefault="0014798C">
      <w:pPr>
        <w:pStyle w:val="Textoindependiente"/>
        <w:spacing w:before="172"/>
        <w:rPr>
          <w:sz w:val="17"/>
        </w:rPr>
      </w:pPr>
    </w:p>
    <w:p w14:paraId="74C58844" w14:textId="77777777" w:rsidR="0014798C" w:rsidRDefault="004E1F0B">
      <w:pPr>
        <w:ind w:left="1335"/>
        <w:rPr>
          <w:sz w:val="17"/>
        </w:rPr>
      </w:pPr>
      <w:r>
        <w:rPr>
          <w:color w:val="FFFFFF"/>
          <w:spacing w:val="-2"/>
          <w:sz w:val="17"/>
        </w:rPr>
        <w:t>RESUMEN</w:t>
      </w:r>
    </w:p>
    <w:p w14:paraId="590995FB" w14:textId="77777777" w:rsidR="0014798C" w:rsidRDefault="0014798C">
      <w:pPr>
        <w:pStyle w:val="Textoindependiente"/>
        <w:spacing w:before="127"/>
        <w:rPr>
          <w:sz w:val="17"/>
        </w:rPr>
      </w:pPr>
    </w:p>
    <w:p w14:paraId="5FCBB2FF" w14:textId="77777777" w:rsidR="0014798C" w:rsidRDefault="004E1F0B">
      <w:pPr>
        <w:pStyle w:val="Prrafodelista"/>
        <w:numPr>
          <w:ilvl w:val="0"/>
          <w:numId w:val="26"/>
        </w:numPr>
        <w:tabs>
          <w:tab w:val="left" w:pos="1463"/>
          <w:tab w:val="left" w:pos="1559"/>
        </w:tabs>
        <w:spacing w:line="307" w:lineRule="auto"/>
        <w:ind w:right="1345" w:hanging="201"/>
        <w:rPr>
          <w:color w:val="0075BF"/>
          <w:sz w:val="17"/>
        </w:rPr>
      </w:pPr>
      <w:r>
        <w:rPr>
          <w:sz w:val="17"/>
        </w:rPr>
        <w:t>La realización de los derechos de las minorías nacionales, étnicas, religiosas y lingüísticas requiere una protección efectiva</w:t>
      </w:r>
      <w:r>
        <w:rPr>
          <w:spacing w:val="-7"/>
          <w:sz w:val="17"/>
        </w:rPr>
        <w:t xml:space="preserve"> </w:t>
      </w:r>
      <w:r>
        <w:rPr>
          <w:sz w:val="17"/>
        </w:rPr>
        <w:t>y</w:t>
      </w:r>
      <w:r>
        <w:rPr>
          <w:spacing w:val="-7"/>
          <w:sz w:val="17"/>
        </w:rPr>
        <w:t xml:space="preserve"> </w:t>
      </w:r>
      <w:r>
        <w:rPr>
          <w:sz w:val="17"/>
        </w:rPr>
        <w:t>el</w:t>
      </w:r>
      <w:r>
        <w:rPr>
          <w:spacing w:val="-7"/>
          <w:sz w:val="17"/>
        </w:rPr>
        <w:t xml:space="preserve"> </w:t>
      </w:r>
      <w:r>
        <w:rPr>
          <w:sz w:val="17"/>
        </w:rPr>
        <w:t>cumplimiento</w:t>
      </w:r>
      <w:r>
        <w:rPr>
          <w:spacing w:val="-7"/>
          <w:sz w:val="17"/>
        </w:rPr>
        <w:t xml:space="preserve"> </w:t>
      </w:r>
      <w:r>
        <w:rPr>
          <w:sz w:val="17"/>
        </w:rPr>
        <w:t>del</w:t>
      </w:r>
      <w:r>
        <w:rPr>
          <w:spacing w:val="-7"/>
          <w:sz w:val="17"/>
        </w:rPr>
        <w:t xml:space="preserve"> </w:t>
      </w:r>
      <w:r>
        <w:rPr>
          <w:sz w:val="17"/>
        </w:rPr>
        <w:t>derecho</w:t>
      </w:r>
      <w:r>
        <w:rPr>
          <w:spacing w:val="-7"/>
          <w:sz w:val="17"/>
        </w:rPr>
        <w:t xml:space="preserve"> </w:t>
      </w:r>
      <w:r>
        <w:rPr>
          <w:sz w:val="17"/>
        </w:rPr>
        <w:t>a</w:t>
      </w:r>
      <w:r>
        <w:rPr>
          <w:spacing w:val="-7"/>
          <w:sz w:val="17"/>
        </w:rPr>
        <w:t xml:space="preserve"> </w:t>
      </w:r>
      <w:r>
        <w:rPr>
          <w:sz w:val="17"/>
        </w:rPr>
        <w:t>la</w:t>
      </w:r>
      <w:r>
        <w:rPr>
          <w:spacing w:val="-7"/>
          <w:sz w:val="17"/>
        </w:rPr>
        <w:t xml:space="preserve"> </w:t>
      </w:r>
      <w:r>
        <w:rPr>
          <w:sz w:val="17"/>
        </w:rPr>
        <w:t>no</w:t>
      </w:r>
      <w:r>
        <w:rPr>
          <w:spacing w:val="-7"/>
          <w:sz w:val="17"/>
        </w:rPr>
        <w:t xml:space="preserve"> </w:t>
      </w:r>
      <w:r>
        <w:rPr>
          <w:sz w:val="17"/>
        </w:rPr>
        <w:t>discriminación.</w:t>
      </w:r>
      <w:r>
        <w:rPr>
          <w:spacing w:val="-6"/>
          <w:sz w:val="17"/>
        </w:rPr>
        <w:t xml:space="preserve"> </w:t>
      </w:r>
      <w:r>
        <w:rPr>
          <w:sz w:val="17"/>
        </w:rPr>
        <w:t>Como</w:t>
      </w:r>
      <w:r>
        <w:rPr>
          <w:spacing w:val="-7"/>
          <w:sz w:val="17"/>
        </w:rPr>
        <w:t xml:space="preserve"> </w:t>
      </w:r>
      <w:r>
        <w:rPr>
          <w:sz w:val="17"/>
        </w:rPr>
        <w:t>tal,</w:t>
      </w:r>
      <w:r>
        <w:rPr>
          <w:spacing w:val="-7"/>
          <w:sz w:val="17"/>
        </w:rPr>
        <w:t xml:space="preserve"> </w:t>
      </w:r>
      <w:r>
        <w:rPr>
          <w:sz w:val="17"/>
        </w:rPr>
        <w:t>la</w:t>
      </w:r>
      <w:r>
        <w:rPr>
          <w:spacing w:val="-7"/>
          <w:sz w:val="17"/>
        </w:rPr>
        <w:t xml:space="preserve"> </w:t>
      </w:r>
      <w:r>
        <w:rPr>
          <w:sz w:val="17"/>
        </w:rPr>
        <w:t>promulgación,</w:t>
      </w:r>
      <w:r>
        <w:rPr>
          <w:spacing w:val="-7"/>
          <w:sz w:val="17"/>
        </w:rPr>
        <w:t xml:space="preserve"> </w:t>
      </w:r>
      <w:r>
        <w:rPr>
          <w:sz w:val="17"/>
        </w:rPr>
        <w:t>aplicación</w:t>
      </w:r>
      <w:r>
        <w:rPr>
          <w:spacing w:val="-7"/>
          <w:sz w:val="17"/>
        </w:rPr>
        <w:t xml:space="preserve"> </w:t>
      </w:r>
      <w:r>
        <w:rPr>
          <w:sz w:val="17"/>
        </w:rPr>
        <w:t>e</w:t>
      </w:r>
      <w:r>
        <w:rPr>
          <w:spacing w:val="-7"/>
          <w:sz w:val="17"/>
        </w:rPr>
        <w:t xml:space="preserve"> </w:t>
      </w:r>
      <w:r>
        <w:rPr>
          <w:sz w:val="17"/>
        </w:rPr>
        <w:t>implementación de leyes integrales contra la discriminación es esencial para que los Estados cumplan con sus obligaciones de respetar, proteger y hacer realidad los derechos de las minorías.</w:t>
      </w:r>
    </w:p>
    <w:p w14:paraId="249EC14C" w14:textId="77777777" w:rsidR="0014798C" w:rsidRDefault="004E1F0B">
      <w:pPr>
        <w:pStyle w:val="Prrafodelista"/>
        <w:numPr>
          <w:ilvl w:val="0"/>
          <w:numId w:val="26"/>
        </w:numPr>
        <w:tabs>
          <w:tab w:val="left" w:pos="1462"/>
          <w:tab w:val="left" w:pos="1559"/>
        </w:tabs>
        <w:spacing w:before="111" w:line="307" w:lineRule="auto"/>
        <w:ind w:right="1602" w:hanging="202"/>
        <w:rPr>
          <w:color w:val="0075BF"/>
          <w:sz w:val="17"/>
        </w:rPr>
      </w:pPr>
      <w:r>
        <w:rPr>
          <w:sz w:val="17"/>
        </w:rPr>
        <w:t>La</w:t>
      </w:r>
      <w:r>
        <w:rPr>
          <w:spacing w:val="-2"/>
          <w:sz w:val="17"/>
        </w:rPr>
        <w:t xml:space="preserve"> </w:t>
      </w:r>
      <w:r>
        <w:rPr>
          <w:sz w:val="17"/>
        </w:rPr>
        <w:t>prohibición</w:t>
      </w:r>
      <w:r>
        <w:rPr>
          <w:spacing w:val="-2"/>
          <w:sz w:val="17"/>
        </w:rPr>
        <w:t xml:space="preserve"> </w:t>
      </w:r>
      <w:r>
        <w:rPr>
          <w:sz w:val="17"/>
        </w:rPr>
        <w:t>de</w:t>
      </w:r>
      <w:r>
        <w:rPr>
          <w:spacing w:val="-2"/>
          <w:sz w:val="17"/>
        </w:rPr>
        <w:t xml:space="preserve"> </w:t>
      </w:r>
      <w:r>
        <w:rPr>
          <w:sz w:val="17"/>
        </w:rPr>
        <w:t>la</w:t>
      </w:r>
      <w:r>
        <w:rPr>
          <w:spacing w:val="-2"/>
          <w:sz w:val="17"/>
        </w:rPr>
        <w:t xml:space="preserve"> </w:t>
      </w:r>
      <w:r>
        <w:rPr>
          <w:sz w:val="17"/>
        </w:rPr>
        <w:t>discriminación</w:t>
      </w:r>
      <w:r>
        <w:rPr>
          <w:spacing w:val="-2"/>
          <w:sz w:val="17"/>
        </w:rPr>
        <w:t xml:space="preserve"> </w:t>
      </w:r>
      <w:r>
        <w:rPr>
          <w:sz w:val="17"/>
        </w:rPr>
        <w:t>es</w:t>
      </w:r>
      <w:r>
        <w:rPr>
          <w:spacing w:val="-2"/>
          <w:sz w:val="17"/>
        </w:rPr>
        <w:t xml:space="preserve"> </w:t>
      </w:r>
      <w:r>
        <w:rPr>
          <w:sz w:val="17"/>
        </w:rPr>
        <w:t>inherente</w:t>
      </w:r>
      <w:r>
        <w:rPr>
          <w:spacing w:val="-2"/>
          <w:sz w:val="17"/>
        </w:rPr>
        <w:t xml:space="preserve"> </w:t>
      </w:r>
      <w:r>
        <w:rPr>
          <w:sz w:val="17"/>
        </w:rPr>
        <w:t>a</w:t>
      </w:r>
      <w:r>
        <w:rPr>
          <w:spacing w:val="-2"/>
          <w:sz w:val="17"/>
        </w:rPr>
        <w:t xml:space="preserve"> </w:t>
      </w:r>
      <w:r>
        <w:rPr>
          <w:sz w:val="17"/>
        </w:rPr>
        <w:t>los</w:t>
      </w:r>
      <w:r>
        <w:rPr>
          <w:spacing w:val="-2"/>
          <w:sz w:val="17"/>
        </w:rPr>
        <w:t xml:space="preserve"> </w:t>
      </w:r>
      <w:r>
        <w:rPr>
          <w:sz w:val="17"/>
        </w:rPr>
        <w:t>derechos</w:t>
      </w:r>
      <w:r>
        <w:rPr>
          <w:spacing w:val="-2"/>
          <w:sz w:val="17"/>
        </w:rPr>
        <w:t xml:space="preserve"> </w:t>
      </w:r>
      <w:r>
        <w:rPr>
          <w:sz w:val="17"/>
        </w:rPr>
        <w:t>de</w:t>
      </w:r>
      <w:r>
        <w:rPr>
          <w:spacing w:val="-2"/>
          <w:sz w:val="17"/>
        </w:rPr>
        <w:t xml:space="preserve"> </w:t>
      </w:r>
      <w:r>
        <w:rPr>
          <w:sz w:val="17"/>
        </w:rPr>
        <w:t>las</w:t>
      </w:r>
      <w:r>
        <w:rPr>
          <w:spacing w:val="-2"/>
          <w:sz w:val="17"/>
        </w:rPr>
        <w:t xml:space="preserve"> </w:t>
      </w:r>
      <w:r>
        <w:rPr>
          <w:sz w:val="17"/>
        </w:rPr>
        <w:t>minorías.</w:t>
      </w:r>
      <w:r>
        <w:rPr>
          <w:spacing w:val="-1"/>
          <w:sz w:val="17"/>
        </w:rPr>
        <w:t xml:space="preserve"> </w:t>
      </w:r>
      <w:r>
        <w:rPr>
          <w:sz w:val="17"/>
        </w:rPr>
        <w:t>Los</w:t>
      </w:r>
      <w:r>
        <w:rPr>
          <w:spacing w:val="-2"/>
          <w:sz w:val="17"/>
        </w:rPr>
        <w:t xml:space="preserve"> </w:t>
      </w:r>
      <w:r>
        <w:rPr>
          <w:sz w:val="17"/>
        </w:rPr>
        <w:t>Estados</w:t>
      </w:r>
      <w:r>
        <w:rPr>
          <w:spacing w:val="-2"/>
          <w:sz w:val="17"/>
        </w:rPr>
        <w:t xml:space="preserve"> </w:t>
      </w:r>
      <w:r>
        <w:rPr>
          <w:sz w:val="17"/>
        </w:rPr>
        <w:t>deben</w:t>
      </w:r>
      <w:r>
        <w:rPr>
          <w:spacing w:val="-2"/>
          <w:sz w:val="17"/>
        </w:rPr>
        <w:t xml:space="preserve"> </w:t>
      </w:r>
      <w:r>
        <w:rPr>
          <w:sz w:val="17"/>
        </w:rPr>
        <w:t>garantizar</w:t>
      </w:r>
      <w:r>
        <w:rPr>
          <w:spacing w:val="-2"/>
          <w:sz w:val="17"/>
        </w:rPr>
        <w:t xml:space="preserve"> </w:t>
      </w:r>
      <w:r>
        <w:rPr>
          <w:sz w:val="17"/>
        </w:rPr>
        <w:t>que todos</w:t>
      </w:r>
      <w:r>
        <w:rPr>
          <w:spacing w:val="-6"/>
          <w:sz w:val="17"/>
        </w:rPr>
        <w:t xml:space="preserve"> </w:t>
      </w:r>
      <w:r>
        <w:rPr>
          <w:sz w:val="17"/>
        </w:rPr>
        <w:t>los</w:t>
      </w:r>
      <w:r>
        <w:rPr>
          <w:spacing w:val="-6"/>
          <w:sz w:val="17"/>
        </w:rPr>
        <w:t xml:space="preserve"> </w:t>
      </w:r>
      <w:r>
        <w:rPr>
          <w:sz w:val="17"/>
        </w:rPr>
        <w:t>aspectos</w:t>
      </w:r>
      <w:r>
        <w:rPr>
          <w:spacing w:val="-6"/>
          <w:sz w:val="17"/>
        </w:rPr>
        <w:t xml:space="preserve"> </w:t>
      </w:r>
      <w:r>
        <w:rPr>
          <w:sz w:val="17"/>
        </w:rPr>
        <w:t>del</w:t>
      </w:r>
      <w:r>
        <w:rPr>
          <w:spacing w:val="-6"/>
          <w:sz w:val="17"/>
        </w:rPr>
        <w:t xml:space="preserve"> </w:t>
      </w:r>
      <w:r>
        <w:rPr>
          <w:sz w:val="17"/>
        </w:rPr>
        <w:t>derecho</w:t>
      </w:r>
      <w:r>
        <w:rPr>
          <w:spacing w:val="-6"/>
          <w:sz w:val="17"/>
        </w:rPr>
        <w:t xml:space="preserve"> </w:t>
      </w:r>
      <w:r>
        <w:rPr>
          <w:sz w:val="17"/>
        </w:rPr>
        <w:t>a</w:t>
      </w:r>
      <w:r>
        <w:rPr>
          <w:spacing w:val="-6"/>
          <w:sz w:val="17"/>
        </w:rPr>
        <w:t xml:space="preserve"> </w:t>
      </w:r>
      <w:r>
        <w:rPr>
          <w:sz w:val="17"/>
        </w:rPr>
        <w:t>la</w:t>
      </w:r>
      <w:r>
        <w:rPr>
          <w:spacing w:val="-6"/>
          <w:sz w:val="17"/>
        </w:rPr>
        <w:t xml:space="preserve"> </w:t>
      </w:r>
      <w:r>
        <w:rPr>
          <w:sz w:val="17"/>
        </w:rPr>
        <w:t>no</w:t>
      </w:r>
      <w:r>
        <w:rPr>
          <w:spacing w:val="-6"/>
          <w:sz w:val="17"/>
        </w:rPr>
        <w:t xml:space="preserve"> </w:t>
      </w:r>
      <w:r>
        <w:rPr>
          <w:sz w:val="17"/>
        </w:rPr>
        <w:t>discriminación</w:t>
      </w:r>
      <w:r>
        <w:rPr>
          <w:spacing w:val="-6"/>
          <w:sz w:val="17"/>
        </w:rPr>
        <w:t xml:space="preserve"> </w:t>
      </w:r>
      <w:r>
        <w:rPr>
          <w:sz w:val="17"/>
        </w:rPr>
        <w:t>sean</w:t>
      </w:r>
      <w:r>
        <w:rPr>
          <w:spacing w:val="-6"/>
          <w:sz w:val="17"/>
        </w:rPr>
        <w:t xml:space="preserve"> </w:t>
      </w:r>
      <w:r>
        <w:rPr>
          <w:sz w:val="17"/>
        </w:rPr>
        <w:t>efectivos</w:t>
      </w:r>
      <w:r>
        <w:rPr>
          <w:spacing w:val="-6"/>
          <w:sz w:val="17"/>
        </w:rPr>
        <w:t xml:space="preserve"> </w:t>
      </w:r>
      <w:r>
        <w:rPr>
          <w:sz w:val="17"/>
        </w:rPr>
        <w:t>en</w:t>
      </w:r>
      <w:r>
        <w:rPr>
          <w:spacing w:val="-6"/>
          <w:sz w:val="17"/>
        </w:rPr>
        <w:t xml:space="preserve"> </w:t>
      </w:r>
      <w:r>
        <w:rPr>
          <w:sz w:val="17"/>
        </w:rPr>
        <w:t>sus</w:t>
      </w:r>
      <w:r>
        <w:rPr>
          <w:spacing w:val="-6"/>
          <w:sz w:val="17"/>
        </w:rPr>
        <w:t xml:space="preserve"> </w:t>
      </w:r>
      <w:r>
        <w:rPr>
          <w:sz w:val="17"/>
        </w:rPr>
        <w:t>esfuerzos</w:t>
      </w:r>
      <w:r>
        <w:rPr>
          <w:spacing w:val="-6"/>
          <w:sz w:val="17"/>
        </w:rPr>
        <w:t xml:space="preserve"> </w:t>
      </w:r>
      <w:r>
        <w:rPr>
          <w:sz w:val="17"/>
        </w:rPr>
        <w:t>por</w:t>
      </w:r>
      <w:r>
        <w:rPr>
          <w:spacing w:val="-6"/>
          <w:sz w:val="17"/>
        </w:rPr>
        <w:t xml:space="preserve"> </w:t>
      </w:r>
      <w:r>
        <w:rPr>
          <w:sz w:val="17"/>
        </w:rPr>
        <w:t>garantizar</w:t>
      </w:r>
      <w:r>
        <w:rPr>
          <w:spacing w:val="-6"/>
          <w:sz w:val="17"/>
        </w:rPr>
        <w:t xml:space="preserve"> </w:t>
      </w:r>
      <w:r>
        <w:rPr>
          <w:sz w:val="17"/>
        </w:rPr>
        <w:t>los</w:t>
      </w:r>
      <w:r>
        <w:rPr>
          <w:spacing w:val="-6"/>
          <w:sz w:val="17"/>
        </w:rPr>
        <w:t xml:space="preserve"> </w:t>
      </w:r>
      <w:r>
        <w:rPr>
          <w:sz w:val="17"/>
        </w:rPr>
        <w:t>derechos de</w:t>
      </w:r>
      <w:r>
        <w:rPr>
          <w:spacing w:val="-6"/>
          <w:sz w:val="17"/>
        </w:rPr>
        <w:t xml:space="preserve"> </w:t>
      </w:r>
      <w:r>
        <w:rPr>
          <w:sz w:val="17"/>
        </w:rPr>
        <w:t>las</w:t>
      </w:r>
      <w:r>
        <w:rPr>
          <w:spacing w:val="-6"/>
          <w:sz w:val="17"/>
        </w:rPr>
        <w:t xml:space="preserve"> </w:t>
      </w:r>
      <w:r>
        <w:rPr>
          <w:sz w:val="17"/>
        </w:rPr>
        <w:t>minorías.</w:t>
      </w:r>
      <w:r>
        <w:rPr>
          <w:spacing w:val="-5"/>
          <w:sz w:val="17"/>
        </w:rPr>
        <w:t xml:space="preserve"> </w:t>
      </w:r>
      <w:r>
        <w:rPr>
          <w:sz w:val="17"/>
        </w:rPr>
        <w:t>Esto</w:t>
      </w:r>
      <w:r>
        <w:rPr>
          <w:spacing w:val="-6"/>
          <w:sz w:val="17"/>
        </w:rPr>
        <w:t xml:space="preserve"> </w:t>
      </w:r>
      <w:r>
        <w:rPr>
          <w:sz w:val="17"/>
        </w:rPr>
        <w:t>incluye</w:t>
      </w:r>
      <w:r>
        <w:rPr>
          <w:spacing w:val="-6"/>
          <w:sz w:val="17"/>
        </w:rPr>
        <w:t xml:space="preserve"> </w:t>
      </w:r>
      <w:r>
        <w:rPr>
          <w:sz w:val="17"/>
        </w:rPr>
        <w:t>garantizar</w:t>
      </w:r>
      <w:r>
        <w:rPr>
          <w:spacing w:val="-6"/>
          <w:sz w:val="17"/>
        </w:rPr>
        <w:t xml:space="preserve"> </w:t>
      </w:r>
      <w:r>
        <w:rPr>
          <w:sz w:val="17"/>
        </w:rPr>
        <w:t>que</w:t>
      </w:r>
      <w:r>
        <w:rPr>
          <w:spacing w:val="-6"/>
          <w:sz w:val="17"/>
        </w:rPr>
        <w:t xml:space="preserve"> </w:t>
      </w:r>
      <w:r>
        <w:rPr>
          <w:sz w:val="17"/>
        </w:rPr>
        <w:t>las</w:t>
      </w:r>
      <w:r>
        <w:rPr>
          <w:spacing w:val="-6"/>
          <w:sz w:val="17"/>
        </w:rPr>
        <w:t xml:space="preserve"> </w:t>
      </w:r>
      <w:r>
        <w:rPr>
          <w:sz w:val="17"/>
        </w:rPr>
        <w:t>leyes,</w:t>
      </w:r>
      <w:r>
        <w:rPr>
          <w:spacing w:val="-5"/>
          <w:sz w:val="17"/>
        </w:rPr>
        <w:t xml:space="preserve"> </w:t>
      </w:r>
      <w:r>
        <w:rPr>
          <w:sz w:val="17"/>
        </w:rPr>
        <w:t>políticas</w:t>
      </w:r>
      <w:r>
        <w:rPr>
          <w:spacing w:val="-6"/>
          <w:sz w:val="17"/>
        </w:rPr>
        <w:t xml:space="preserve"> </w:t>
      </w:r>
      <w:r>
        <w:rPr>
          <w:sz w:val="17"/>
        </w:rPr>
        <w:t>y</w:t>
      </w:r>
      <w:r>
        <w:rPr>
          <w:spacing w:val="-6"/>
          <w:sz w:val="17"/>
        </w:rPr>
        <w:t xml:space="preserve"> </w:t>
      </w:r>
      <w:r>
        <w:rPr>
          <w:sz w:val="17"/>
        </w:rPr>
        <w:t>prácticas</w:t>
      </w:r>
      <w:r>
        <w:rPr>
          <w:spacing w:val="-6"/>
          <w:sz w:val="17"/>
        </w:rPr>
        <w:t xml:space="preserve"> </w:t>
      </w:r>
      <w:r>
        <w:rPr>
          <w:sz w:val="17"/>
        </w:rPr>
        <w:t>no</w:t>
      </w:r>
      <w:r>
        <w:rPr>
          <w:spacing w:val="-6"/>
          <w:sz w:val="17"/>
        </w:rPr>
        <w:t xml:space="preserve"> </w:t>
      </w:r>
      <w:r>
        <w:rPr>
          <w:sz w:val="17"/>
        </w:rPr>
        <w:t>discriminen</w:t>
      </w:r>
      <w:r>
        <w:rPr>
          <w:spacing w:val="-6"/>
          <w:sz w:val="17"/>
        </w:rPr>
        <w:t xml:space="preserve"> </w:t>
      </w:r>
      <w:r>
        <w:rPr>
          <w:sz w:val="17"/>
        </w:rPr>
        <w:t>directa</w:t>
      </w:r>
      <w:r>
        <w:rPr>
          <w:spacing w:val="-6"/>
          <w:sz w:val="17"/>
        </w:rPr>
        <w:t xml:space="preserve"> </w:t>
      </w:r>
      <w:r>
        <w:rPr>
          <w:sz w:val="17"/>
        </w:rPr>
        <w:t>o</w:t>
      </w:r>
      <w:r>
        <w:rPr>
          <w:spacing w:val="-6"/>
          <w:sz w:val="17"/>
        </w:rPr>
        <w:t xml:space="preserve"> </w:t>
      </w:r>
      <w:r>
        <w:rPr>
          <w:sz w:val="17"/>
        </w:rPr>
        <w:t>indirectamente a</w:t>
      </w:r>
      <w:r>
        <w:rPr>
          <w:spacing w:val="-6"/>
          <w:sz w:val="17"/>
        </w:rPr>
        <w:t xml:space="preserve"> </w:t>
      </w:r>
      <w:r>
        <w:rPr>
          <w:sz w:val="17"/>
        </w:rPr>
        <w:t>los</w:t>
      </w:r>
      <w:r>
        <w:rPr>
          <w:spacing w:val="-6"/>
          <w:sz w:val="17"/>
        </w:rPr>
        <w:t xml:space="preserve"> </w:t>
      </w:r>
      <w:r>
        <w:rPr>
          <w:sz w:val="17"/>
        </w:rPr>
        <w:t>miembros</w:t>
      </w:r>
      <w:r>
        <w:rPr>
          <w:spacing w:val="-6"/>
          <w:sz w:val="17"/>
        </w:rPr>
        <w:t xml:space="preserve"> </w:t>
      </w:r>
      <w:r>
        <w:rPr>
          <w:sz w:val="17"/>
        </w:rPr>
        <w:t>de</w:t>
      </w:r>
      <w:r>
        <w:rPr>
          <w:spacing w:val="-6"/>
          <w:sz w:val="17"/>
        </w:rPr>
        <w:t xml:space="preserve"> </w:t>
      </w:r>
      <w:r>
        <w:rPr>
          <w:sz w:val="17"/>
        </w:rPr>
        <w:t>comunidades</w:t>
      </w:r>
      <w:r>
        <w:rPr>
          <w:spacing w:val="-6"/>
          <w:sz w:val="17"/>
        </w:rPr>
        <w:t xml:space="preserve"> </w:t>
      </w:r>
      <w:r>
        <w:rPr>
          <w:sz w:val="17"/>
        </w:rPr>
        <w:t>minoritarias</w:t>
      </w:r>
      <w:r>
        <w:rPr>
          <w:spacing w:val="-6"/>
          <w:sz w:val="17"/>
        </w:rPr>
        <w:t xml:space="preserve"> </w:t>
      </w:r>
      <w:r>
        <w:rPr>
          <w:sz w:val="17"/>
        </w:rPr>
        <w:t>que</w:t>
      </w:r>
      <w:r>
        <w:rPr>
          <w:spacing w:val="-6"/>
          <w:sz w:val="17"/>
        </w:rPr>
        <w:t xml:space="preserve"> </w:t>
      </w:r>
      <w:r>
        <w:rPr>
          <w:sz w:val="17"/>
        </w:rPr>
        <w:t>disfrutan</w:t>
      </w:r>
      <w:r>
        <w:rPr>
          <w:spacing w:val="-6"/>
          <w:sz w:val="17"/>
        </w:rPr>
        <w:t xml:space="preserve"> </w:t>
      </w:r>
      <w:r>
        <w:rPr>
          <w:sz w:val="17"/>
        </w:rPr>
        <w:t>de</w:t>
      </w:r>
      <w:r>
        <w:rPr>
          <w:spacing w:val="-6"/>
          <w:sz w:val="17"/>
        </w:rPr>
        <w:t xml:space="preserve"> </w:t>
      </w:r>
      <w:r>
        <w:rPr>
          <w:sz w:val="17"/>
        </w:rPr>
        <w:t>su</w:t>
      </w:r>
      <w:r>
        <w:rPr>
          <w:spacing w:val="-6"/>
          <w:sz w:val="17"/>
        </w:rPr>
        <w:t xml:space="preserve"> </w:t>
      </w:r>
      <w:r>
        <w:rPr>
          <w:sz w:val="17"/>
        </w:rPr>
        <w:t>cultura,</w:t>
      </w:r>
      <w:r>
        <w:rPr>
          <w:spacing w:val="-6"/>
          <w:sz w:val="17"/>
        </w:rPr>
        <w:t xml:space="preserve"> </w:t>
      </w:r>
      <w:r>
        <w:rPr>
          <w:sz w:val="17"/>
        </w:rPr>
        <w:t>profesan</w:t>
      </w:r>
      <w:r>
        <w:rPr>
          <w:spacing w:val="-6"/>
          <w:sz w:val="17"/>
        </w:rPr>
        <w:t xml:space="preserve"> </w:t>
      </w:r>
      <w:r>
        <w:rPr>
          <w:sz w:val="17"/>
        </w:rPr>
        <w:t>o</w:t>
      </w:r>
      <w:r>
        <w:rPr>
          <w:spacing w:val="-6"/>
          <w:sz w:val="17"/>
        </w:rPr>
        <w:t xml:space="preserve"> </w:t>
      </w:r>
      <w:r>
        <w:rPr>
          <w:sz w:val="17"/>
        </w:rPr>
        <w:t>practican</w:t>
      </w:r>
      <w:r>
        <w:rPr>
          <w:spacing w:val="-6"/>
          <w:sz w:val="17"/>
        </w:rPr>
        <w:t xml:space="preserve"> </w:t>
      </w:r>
      <w:r>
        <w:rPr>
          <w:sz w:val="17"/>
        </w:rPr>
        <w:t>su</w:t>
      </w:r>
      <w:r>
        <w:rPr>
          <w:spacing w:val="-6"/>
          <w:sz w:val="17"/>
        </w:rPr>
        <w:t xml:space="preserve"> </w:t>
      </w:r>
      <w:r>
        <w:rPr>
          <w:sz w:val="17"/>
        </w:rPr>
        <w:t>religión</w:t>
      </w:r>
      <w:r>
        <w:rPr>
          <w:spacing w:val="-6"/>
          <w:sz w:val="17"/>
        </w:rPr>
        <w:t xml:space="preserve"> </w:t>
      </w:r>
      <w:r>
        <w:rPr>
          <w:sz w:val="17"/>
        </w:rPr>
        <w:t>o</w:t>
      </w:r>
      <w:r>
        <w:rPr>
          <w:spacing w:val="-6"/>
          <w:sz w:val="17"/>
        </w:rPr>
        <w:t xml:space="preserve"> </w:t>
      </w:r>
      <w:r>
        <w:rPr>
          <w:sz w:val="17"/>
        </w:rPr>
        <w:t>utilizan su idioma. También incluye garantizar que las medidas para respetar y garantizar el disfrute comunitario de la cultura, la práctica de la religión y el uso del idioma no den lugar a discriminación por motivos de género, sexo, orientación sexual u otros motivos.</w:t>
      </w:r>
    </w:p>
    <w:p w14:paraId="796A4038" w14:textId="77777777" w:rsidR="0014798C" w:rsidRDefault="004E1F0B">
      <w:pPr>
        <w:pStyle w:val="Prrafodelista"/>
        <w:numPr>
          <w:ilvl w:val="0"/>
          <w:numId w:val="26"/>
        </w:numPr>
        <w:tabs>
          <w:tab w:val="left" w:pos="1462"/>
          <w:tab w:val="left" w:pos="1559"/>
        </w:tabs>
        <w:spacing w:before="110" w:line="307" w:lineRule="auto"/>
        <w:ind w:right="1667" w:hanging="202"/>
        <w:rPr>
          <w:color w:val="0075BF"/>
          <w:sz w:val="17"/>
        </w:rPr>
      </w:pPr>
      <w:r>
        <w:rPr>
          <w:sz w:val="17"/>
        </w:rPr>
        <w:t>Los</w:t>
      </w:r>
      <w:r>
        <w:rPr>
          <w:spacing w:val="-3"/>
          <w:sz w:val="17"/>
        </w:rPr>
        <w:t xml:space="preserve"> </w:t>
      </w:r>
      <w:r>
        <w:rPr>
          <w:sz w:val="17"/>
        </w:rPr>
        <w:t>derechos</w:t>
      </w:r>
      <w:r>
        <w:rPr>
          <w:spacing w:val="-3"/>
          <w:sz w:val="17"/>
        </w:rPr>
        <w:t xml:space="preserve"> </w:t>
      </w:r>
      <w:r>
        <w:rPr>
          <w:sz w:val="17"/>
        </w:rPr>
        <w:t>de</w:t>
      </w:r>
      <w:r>
        <w:rPr>
          <w:spacing w:val="-3"/>
          <w:sz w:val="17"/>
        </w:rPr>
        <w:t xml:space="preserve"> </w:t>
      </w:r>
      <w:r>
        <w:rPr>
          <w:sz w:val="17"/>
        </w:rPr>
        <w:t>las</w:t>
      </w:r>
      <w:r>
        <w:rPr>
          <w:spacing w:val="-3"/>
          <w:sz w:val="17"/>
        </w:rPr>
        <w:t xml:space="preserve"> </w:t>
      </w:r>
      <w:r>
        <w:rPr>
          <w:sz w:val="17"/>
        </w:rPr>
        <w:t>minorías</w:t>
      </w:r>
      <w:r>
        <w:rPr>
          <w:spacing w:val="-3"/>
          <w:sz w:val="17"/>
        </w:rPr>
        <w:t xml:space="preserve"> </w:t>
      </w:r>
      <w:r>
        <w:rPr>
          <w:sz w:val="17"/>
        </w:rPr>
        <w:t>a</w:t>
      </w:r>
      <w:r>
        <w:rPr>
          <w:spacing w:val="-3"/>
          <w:sz w:val="17"/>
        </w:rPr>
        <w:t xml:space="preserve"> </w:t>
      </w:r>
      <w:r>
        <w:rPr>
          <w:sz w:val="17"/>
        </w:rPr>
        <w:t>la</w:t>
      </w:r>
      <w:r>
        <w:rPr>
          <w:spacing w:val="-3"/>
          <w:sz w:val="17"/>
        </w:rPr>
        <w:t xml:space="preserve"> </w:t>
      </w:r>
      <w:r>
        <w:rPr>
          <w:sz w:val="17"/>
        </w:rPr>
        <w:t>no</w:t>
      </w:r>
      <w:r>
        <w:rPr>
          <w:spacing w:val="-3"/>
          <w:sz w:val="17"/>
        </w:rPr>
        <w:t xml:space="preserve"> </w:t>
      </w:r>
      <w:r>
        <w:rPr>
          <w:sz w:val="17"/>
        </w:rPr>
        <w:t>discriminación</w:t>
      </w:r>
      <w:r>
        <w:rPr>
          <w:spacing w:val="-3"/>
          <w:sz w:val="17"/>
        </w:rPr>
        <w:t xml:space="preserve"> </w:t>
      </w:r>
      <w:r>
        <w:rPr>
          <w:sz w:val="17"/>
        </w:rPr>
        <w:t>y</w:t>
      </w:r>
      <w:r>
        <w:rPr>
          <w:spacing w:val="-3"/>
          <w:sz w:val="17"/>
        </w:rPr>
        <w:t xml:space="preserve"> </w:t>
      </w:r>
      <w:r>
        <w:rPr>
          <w:sz w:val="17"/>
        </w:rPr>
        <w:t>la</w:t>
      </w:r>
      <w:r>
        <w:rPr>
          <w:spacing w:val="-3"/>
          <w:sz w:val="17"/>
        </w:rPr>
        <w:t xml:space="preserve"> </w:t>
      </w:r>
      <w:r>
        <w:rPr>
          <w:sz w:val="17"/>
        </w:rPr>
        <w:t>igualdad</w:t>
      </w:r>
      <w:r>
        <w:rPr>
          <w:spacing w:val="-3"/>
          <w:sz w:val="17"/>
        </w:rPr>
        <w:t xml:space="preserve"> </w:t>
      </w:r>
      <w:r>
        <w:rPr>
          <w:sz w:val="17"/>
        </w:rPr>
        <w:t>no</w:t>
      </w:r>
      <w:r>
        <w:rPr>
          <w:spacing w:val="-3"/>
          <w:sz w:val="17"/>
        </w:rPr>
        <w:t xml:space="preserve"> </w:t>
      </w:r>
      <w:r>
        <w:rPr>
          <w:sz w:val="17"/>
        </w:rPr>
        <w:t>pueden</w:t>
      </w:r>
      <w:r>
        <w:rPr>
          <w:spacing w:val="-3"/>
          <w:sz w:val="17"/>
        </w:rPr>
        <w:t xml:space="preserve"> </w:t>
      </w:r>
      <w:r>
        <w:rPr>
          <w:sz w:val="17"/>
        </w:rPr>
        <w:t>realizarse</w:t>
      </w:r>
      <w:r>
        <w:rPr>
          <w:spacing w:val="-3"/>
          <w:sz w:val="17"/>
        </w:rPr>
        <w:t xml:space="preserve"> </w:t>
      </w:r>
      <w:r>
        <w:rPr>
          <w:sz w:val="17"/>
        </w:rPr>
        <w:t>efectivamente</w:t>
      </w:r>
      <w:r>
        <w:rPr>
          <w:spacing w:val="-3"/>
          <w:sz w:val="17"/>
        </w:rPr>
        <w:t xml:space="preserve"> </w:t>
      </w:r>
      <w:r>
        <w:rPr>
          <w:sz w:val="17"/>
        </w:rPr>
        <w:t>sin</w:t>
      </w:r>
      <w:r>
        <w:rPr>
          <w:spacing w:val="-3"/>
          <w:sz w:val="17"/>
        </w:rPr>
        <w:t xml:space="preserve"> </w:t>
      </w:r>
      <w:r>
        <w:rPr>
          <w:sz w:val="17"/>
        </w:rPr>
        <w:t>que</w:t>
      </w:r>
      <w:r>
        <w:rPr>
          <w:spacing w:val="-3"/>
          <w:sz w:val="17"/>
        </w:rPr>
        <w:t xml:space="preserve"> </w:t>
      </w:r>
      <w:proofErr w:type="gramStart"/>
      <w:r>
        <w:rPr>
          <w:sz w:val="17"/>
        </w:rPr>
        <w:t>una amplia</w:t>
      </w:r>
      <w:r>
        <w:rPr>
          <w:spacing w:val="-6"/>
          <w:sz w:val="17"/>
        </w:rPr>
        <w:t xml:space="preserve"> </w:t>
      </w:r>
      <w:r>
        <w:rPr>
          <w:sz w:val="17"/>
        </w:rPr>
        <w:t>gama</w:t>
      </w:r>
      <w:r>
        <w:rPr>
          <w:spacing w:val="-6"/>
          <w:sz w:val="17"/>
        </w:rPr>
        <w:t xml:space="preserve"> </w:t>
      </w:r>
      <w:r>
        <w:rPr>
          <w:sz w:val="17"/>
        </w:rPr>
        <w:t>de</w:t>
      </w:r>
      <w:r>
        <w:rPr>
          <w:spacing w:val="-6"/>
          <w:sz w:val="17"/>
        </w:rPr>
        <w:t xml:space="preserve"> </w:t>
      </w:r>
      <w:r>
        <w:rPr>
          <w:sz w:val="17"/>
        </w:rPr>
        <w:t>garantías</w:t>
      </w:r>
      <w:r>
        <w:rPr>
          <w:spacing w:val="-6"/>
          <w:sz w:val="17"/>
        </w:rPr>
        <w:t xml:space="preserve"> </w:t>
      </w:r>
      <w:r>
        <w:rPr>
          <w:sz w:val="17"/>
        </w:rPr>
        <w:t>de</w:t>
      </w:r>
      <w:r>
        <w:rPr>
          <w:spacing w:val="-6"/>
          <w:sz w:val="17"/>
        </w:rPr>
        <w:t xml:space="preserve"> </w:t>
      </w:r>
      <w:r>
        <w:rPr>
          <w:sz w:val="17"/>
        </w:rPr>
        <w:t>derechos</w:t>
      </w:r>
      <w:r>
        <w:rPr>
          <w:spacing w:val="-6"/>
          <w:sz w:val="17"/>
        </w:rPr>
        <w:t xml:space="preserve"> </w:t>
      </w:r>
      <w:r>
        <w:rPr>
          <w:sz w:val="17"/>
        </w:rPr>
        <w:t>de</w:t>
      </w:r>
      <w:r>
        <w:rPr>
          <w:spacing w:val="-6"/>
          <w:sz w:val="17"/>
        </w:rPr>
        <w:t xml:space="preserve"> </w:t>
      </w:r>
      <w:r>
        <w:rPr>
          <w:sz w:val="17"/>
        </w:rPr>
        <w:t>las</w:t>
      </w:r>
      <w:r>
        <w:rPr>
          <w:spacing w:val="-6"/>
          <w:sz w:val="17"/>
        </w:rPr>
        <w:t xml:space="preserve"> </w:t>
      </w:r>
      <w:r>
        <w:rPr>
          <w:sz w:val="17"/>
        </w:rPr>
        <w:t>minorías</w:t>
      </w:r>
      <w:r>
        <w:rPr>
          <w:spacing w:val="-6"/>
          <w:sz w:val="17"/>
        </w:rPr>
        <w:t xml:space="preserve"> </w:t>
      </w:r>
      <w:r>
        <w:rPr>
          <w:sz w:val="17"/>
        </w:rPr>
        <w:t>sean</w:t>
      </w:r>
      <w:proofErr w:type="gramEnd"/>
      <w:r>
        <w:rPr>
          <w:spacing w:val="-6"/>
          <w:sz w:val="17"/>
        </w:rPr>
        <w:t xml:space="preserve"> </w:t>
      </w:r>
      <w:r>
        <w:rPr>
          <w:sz w:val="17"/>
        </w:rPr>
        <w:t>efectivas</w:t>
      </w:r>
      <w:r>
        <w:rPr>
          <w:spacing w:val="-6"/>
          <w:sz w:val="17"/>
        </w:rPr>
        <w:t xml:space="preserve"> </w:t>
      </w:r>
      <w:r>
        <w:rPr>
          <w:sz w:val="17"/>
        </w:rPr>
        <w:t>y</w:t>
      </w:r>
      <w:r>
        <w:rPr>
          <w:spacing w:val="-6"/>
          <w:sz w:val="17"/>
        </w:rPr>
        <w:t xml:space="preserve"> </w:t>
      </w:r>
      <w:r>
        <w:rPr>
          <w:sz w:val="17"/>
        </w:rPr>
        <w:t>se</w:t>
      </w:r>
      <w:r>
        <w:rPr>
          <w:spacing w:val="-6"/>
          <w:sz w:val="17"/>
        </w:rPr>
        <w:t xml:space="preserve"> </w:t>
      </w:r>
      <w:r>
        <w:rPr>
          <w:sz w:val="17"/>
        </w:rPr>
        <w:t>realicen</w:t>
      </w:r>
      <w:r>
        <w:rPr>
          <w:spacing w:val="-6"/>
          <w:sz w:val="17"/>
        </w:rPr>
        <w:t xml:space="preserve"> </w:t>
      </w:r>
      <w:r>
        <w:rPr>
          <w:sz w:val="17"/>
        </w:rPr>
        <w:t>en</w:t>
      </w:r>
      <w:r>
        <w:rPr>
          <w:spacing w:val="-6"/>
          <w:sz w:val="17"/>
        </w:rPr>
        <w:t xml:space="preserve"> </w:t>
      </w:r>
      <w:r>
        <w:rPr>
          <w:sz w:val="17"/>
        </w:rPr>
        <w:t>la</w:t>
      </w:r>
      <w:r>
        <w:rPr>
          <w:spacing w:val="-6"/>
          <w:sz w:val="17"/>
        </w:rPr>
        <w:t xml:space="preserve"> </w:t>
      </w:r>
      <w:r>
        <w:rPr>
          <w:sz w:val="17"/>
        </w:rPr>
        <w:t>práctica.</w:t>
      </w:r>
      <w:r>
        <w:rPr>
          <w:spacing w:val="-5"/>
          <w:sz w:val="17"/>
        </w:rPr>
        <w:t xml:space="preserve"> </w:t>
      </w:r>
      <w:r>
        <w:rPr>
          <w:sz w:val="17"/>
        </w:rPr>
        <w:t>Estos</w:t>
      </w:r>
      <w:r>
        <w:rPr>
          <w:spacing w:val="-6"/>
          <w:sz w:val="17"/>
        </w:rPr>
        <w:t xml:space="preserve"> </w:t>
      </w:r>
      <w:r>
        <w:rPr>
          <w:sz w:val="17"/>
        </w:rPr>
        <w:t>incluyen el reconocimiento, la participación genuina y la consulta en todos los asuntos de relevancia para la comunidad.</w:t>
      </w:r>
    </w:p>
    <w:p w14:paraId="7C2EACB6" w14:textId="77777777" w:rsidR="0014798C" w:rsidRDefault="0014798C">
      <w:pPr>
        <w:pStyle w:val="Textoindependiente"/>
        <w:rPr>
          <w:sz w:val="13"/>
        </w:rPr>
      </w:pPr>
    </w:p>
    <w:p w14:paraId="25A4B270" w14:textId="77777777" w:rsidR="0014798C" w:rsidRDefault="004E1F0B">
      <w:pPr>
        <w:pStyle w:val="Prrafodelista"/>
        <w:numPr>
          <w:ilvl w:val="0"/>
          <w:numId w:val="26"/>
        </w:numPr>
        <w:tabs>
          <w:tab w:val="left" w:pos="84"/>
        </w:tabs>
        <w:ind w:left="84" w:right="159" w:hanging="84"/>
        <w:jc w:val="center"/>
        <w:rPr>
          <w:color w:val="0075BF"/>
          <w:sz w:val="13"/>
        </w:rPr>
      </w:pPr>
      <w:r>
        <w:rPr>
          <w:noProof/>
        </w:rPr>
        <mc:AlternateContent>
          <mc:Choice Requires="wps">
            <w:drawing>
              <wp:anchor distT="0" distB="0" distL="0" distR="0" simplePos="0" relativeHeight="251658301" behindDoc="0" locked="0" layoutInCell="1" allowOverlap="1" wp14:anchorId="110C0A44" wp14:editId="15F29145">
                <wp:simplePos x="0" y="0"/>
                <wp:positionH relativeFrom="page">
                  <wp:posOffset>7293418</wp:posOffset>
                </wp:positionH>
                <wp:positionV relativeFrom="paragraph">
                  <wp:posOffset>2632</wp:posOffset>
                </wp:positionV>
                <wp:extent cx="104775" cy="260985"/>
                <wp:effectExtent l="0" t="0" r="0" b="0"/>
                <wp:wrapNone/>
                <wp:docPr id="261" name="Textbox 26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04775" cy="260985"/>
                        </a:xfrm>
                        <a:prstGeom prst="rect">
                          <a:avLst/>
                        </a:prstGeom>
                      </wps:spPr>
                      <wps:txbx>
                        <w:txbxContent>
                          <w:p w14:paraId="764D0FDA" w14:textId="77777777" w:rsidR="0014798C" w:rsidRDefault="004E1F0B">
                            <w:pPr>
                              <w:spacing w:before="17"/>
                              <w:ind w:left="20"/>
                              <w:rPr>
                                <w:sz w:val="11"/>
                              </w:rPr>
                            </w:pPr>
                            <w:r>
                              <w:rPr>
                                <w:color w:val="FFFFFF"/>
                                <w:spacing w:val="-33"/>
                                <w:sz w:val="11"/>
                              </w:rPr>
                              <w:t>TPRAERSTE</w:t>
                            </w:r>
                          </w:p>
                        </w:txbxContent>
                      </wps:txbx>
                      <wps:bodyPr vert="vert270" wrap="square" lIns="0" tIns="0" rIns="0" bIns="0" rtlCol="0">
                        <a:noAutofit/>
                      </wps:bodyPr>
                    </wps:wsp>
                  </a:graphicData>
                </a:graphic>
              </wp:anchor>
            </w:drawing>
          </mc:Choice>
          <mc:Fallback>
            <w:pict>
              <v:shape w14:anchorId="110C0A44" id="Textbox 261" o:spid="_x0000_s1128" type="#_x0000_t202" style="position:absolute;left:0;text-align:left;margin-left:574.3pt;margin-top:.2pt;width:8.25pt;height:20.55pt;z-index:251658301;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" filled="f" stroked="f">
                <v:textbox style="layout-flow:vertical;mso-layout-flow-alt:bottom-to-top" inset="0,0,0,0">
                  <w:txbxContent>
                    <w:p w14:paraId="764D0FDA" w14:textId="77777777" w:rsidR="0014798C" w:rsidRDefault="004E1F0B">
                      <w:pPr>
                        <w:spacing w:before="17"/>
                        <w:ind w:left="20"/>
                        <w:rPr>
                          <w:sz w:val="11"/>
                        </w:rPr>
                      </w:pPr>
                      <w:r>
                        <w:rPr>
                          <w:color w:val="FFFFFF"/>
                          <w:spacing w:val="-33"/>
                          <w:sz w:val="11"/>
                        </w:rPr>
                        <w:t>TPRAERSTE</w:t>
                      </w:r>
                    </w:p>
                  </w:txbxContent>
                </v:textbox>
                <w10:wrap anchorx="page"/>
              </v:shape>
            </w:pict>
          </mc:Fallback>
        </mc:AlternateContent>
      </w:r>
      <w:r>
        <w:rPr>
          <w:w w:val="105"/>
          <w:sz w:val="13"/>
        </w:rPr>
        <w:t>Los</w:t>
      </w:r>
      <w:r>
        <w:rPr>
          <w:spacing w:val="-7"/>
          <w:w w:val="105"/>
          <w:sz w:val="13"/>
        </w:rPr>
        <w:t xml:space="preserve"> </w:t>
      </w:r>
      <w:r>
        <w:rPr>
          <w:w w:val="105"/>
          <w:sz w:val="13"/>
        </w:rPr>
        <w:t>pueblos</w:t>
      </w:r>
      <w:r>
        <w:rPr>
          <w:spacing w:val="-6"/>
          <w:w w:val="105"/>
          <w:sz w:val="13"/>
        </w:rPr>
        <w:t xml:space="preserve"> </w:t>
      </w:r>
      <w:r>
        <w:rPr>
          <w:w w:val="105"/>
          <w:sz w:val="13"/>
        </w:rPr>
        <w:t>indígenas</w:t>
      </w:r>
      <w:r>
        <w:rPr>
          <w:spacing w:val="-6"/>
          <w:w w:val="105"/>
          <w:sz w:val="13"/>
        </w:rPr>
        <w:t xml:space="preserve"> </w:t>
      </w:r>
      <w:r>
        <w:rPr>
          <w:w w:val="105"/>
          <w:sz w:val="13"/>
        </w:rPr>
        <w:t>disfrutan</w:t>
      </w:r>
      <w:r>
        <w:rPr>
          <w:spacing w:val="-7"/>
          <w:w w:val="105"/>
          <w:sz w:val="13"/>
        </w:rPr>
        <w:t xml:space="preserve"> </w:t>
      </w:r>
      <w:r>
        <w:rPr>
          <w:w w:val="105"/>
          <w:sz w:val="13"/>
        </w:rPr>
        <w:t>de</w:t>
      </w:r>
      <w:r>
        <w:rPr>
          <w:spacing w:val="-6"/>
          <w:w w:val="105"/>
          <w:sz w:val="13"/>
        </w:rPr>
        <w:t xml:space="preserve"> </w:t>
      </w:r>
      <w:r>
        <w:rPr>
          <w:w w:val="105"/>
          <w:sz w:val="13"/>
        </w:rPr>
        <w:t>derechos</w:t>
      </w:r>
      <w:r>
        <w:rPr>
          <w:spacing w:val="-6"/>
          <w:w w:val="105"/>
          <w:sz w:val="13"/>
        </w:rPr>
        <w:t xml:space="preserve"> </w:t>
      </w:r>
      <w:r>
        <w:rPr>
          <w:w w:val="105"/>
          <w:sz w:val="13"/>
        </w:rPr>
        <w:t>explícitos</w:t>
      </w:r>
      <w:r>
        <w:rPr>
          <w:spacing w:val="-6"/>
          <w:w w:val="105"/>
          <w:sz w:val="13"/>
        </w:rPr>
        <w:t xml:space="preserve"> </w:t>
      </w:r>
      <w:r>
        <w:rPr>
          <w:w w:val="105"/>
          <w:sz w:val="13"/>
        </w:rPr>
        <w:t>bajo</w:t>
      </w:r>
      <w:r>
        <w:rPr>
          <w:spacing w:val="-7"/>
          <w:w w:val="105"/>
          <w:sz w:val="13"/>
        </w:rPr>
        <w:t xml:space="preserve"> </w:t>
      </w:r>
      <w:r>
        <w:rPr>
          <w:w w:val="105"/>
          <w:sz w:val="13"/>
        </w:rPr>
        <w:t>el</w:t>
      </w:r>
      <w:r>
        <w:rPr>
          <w:spacing w:val="-6"/>
          <w:w w:val="105"/>
          <w:sz w:val="13"/>
        </w:rPr>
        <w:t xml:space="preserve"> </w:t>
      </w:r>
      <w:r>
        <w:rPr>
          <w:w w:val="105"/>
          <w:sz w:val="13"/>
        </w:rPr>
        <w:t>derecho</w:t>
      </w:r>
      <w:r>
        <w:rPr>
          <w:spacing w:val="-6"/>
          <w:w w:val="105"/>
          <w:sz w:val="13"/>
        </w:rPr>
        <w:t xml:space="preserve"> </w:t>
      </w:r>
      <w:r>
        <w:rPr>
          <w:w w:val="105"/>
          <w:sz w:val="13"/>
        </w:rPr>
        <w:t>internacional</w:t>
      </w:r>
      <w:r>
        <w:rPr>
          <w:spacing w:val="-6"/>
          <w:w w:val="105"/>
          <w:sz w:val="13"/>
        </w:rPr>
        <w:t xml:space="preserve"> </w:t>
      </w:r>
      <w:r>
        <w:rPr>
          <w:w w:val="105"/>
          <w:sz w:val="13"/>
        </w:rPr>
        <w:t>de</w:t>
      </w:r>
      <w:r>
        <w:rPr>
          <w:spacing w:val="-7"/>
          <w:w w:val="105"/>
          <w:sz w:val="13"/>
        </w:rPr>
        <w:t xml:space="preserve"> </w:t>
      </w:r>
      <w:r>
        <w:rPr>
          <w:w w:val="105"/>
          <w:sz w:val="13"/>
        </w:rPr>
        <w:t>derechos</w:t>
      </w:r>
      <w:r>
        <w:rPr>
          <w:spacing w:val="-6"/>
          <w:w w:val="105"/>
          <w:sz w:val="13"/>
        </w:rPr>
        <w:t xml:space="preserve"> </w:t>
      </w:r>
      <w:r>
        <w:rPr>
          <w:w w:val="105"/>
          <w:sz w:val="13"/>
        </w:rPr>
        <w:t>humanos</w:t>
      </w:r>
      <w:r>
        <w:rPr>
          <w:spacing w:val="-6"/>
          <w:w w:val="105"/>
          <w:sz w:val="13"/>
        </w:rPr>
        <w:t xml:space="preserve"> </w:t>
      </w:r>
      <w:r>
        <w:rPr>
          <w:w w:val="105"/>
          <w:sz w:val="13"/>
        </w:rPr>
        <w:t>que</w:t>
      </w:r>
      <w:r>
        <w:rPr>
          <w:spacing w:val="-6"/>
          <w:w w:val="105"/>
          <w:sz w:val="13"/>
        </w:rPr>
        <w:t xml:space="preserve"> </w:t>
      </w:r>
      <w:r>
        <w:rPr>
          <w:w w:val="105"/>
          <w:sz w:val="13"/>
        </w:rPr>
        <w:t>van</w:t>
      </w:r>
      <w:r>
        <w:rPr>
          <w:spacing w:val="-7"/>
          <w:w w:val="105"/>
          <w:sz w:val="13"/>
        </w:rPr>
        <w:t xml:space="preserve"> </w:t>
      </w:r>
      <w:r>
        <w:rPr>
          <w:w w:val="105"/>
          <w:sz w:val="13"/>
        </w:rPr>
        <w:t>más</w:t>
      </w:r>
      <w:r>
        <w:rPr>
          <w:spacing w:val="-6"/>
          <w:w w:val="105"/>
          <w:sz w:val="13"/>
        </w:rPr>
        <w:t xml:space="preserve"> </w:t>
      </w:r>
      <w:r>
        <w:rPr>
          <w:w w:val="105"/>
          <w:sz w:val="13"/>
        </w:rPr>
        <w:t>allá</w:t>
      </w:r>
      <w:r>
        <w:rPr>
          <w:spacing w:val="-6"/>
          <w:w w:val="105"/>
          <w:sz w:val="13"/>
        </w:rPr>
        <w:t xml:space="preserve"> </w:t>
      </w:r>
      <w:r>
        <w:rPr>
          <w:w w:val="105"/>
          <w:sz w:val="13"/>
        </w:rPr>
        <w:t>de</w:t>
      </w:r>
      <w:r>
        <w:rPr>
          <w:spacing w:val="-6"/>
          <w:w w:val="105"/>
          <w:sz w:val="13"/>
        </w:rPr>
        <w:t xml:space="preserve"> </w:t>
      </w:r>
      <w:r>
        <w:rPr>
          <w:w w:val="105"/>
          <w:sz w:val="13"/>
        </w:rPr>
        <w:t>los</w:t>
      </w:r>
      <w:r>
        <w:rPr>
          <w:spacing w:val="-7"/>
          <w:w w:val="105"/>
          <w:sz w:val="13"/>
        </w:rPr>
        <w:t xml:space="preserve"> </w:t>
      </w:r>
      <w:r>
        <w:rPr>
          <w:spacing w:val="-2"/>
          <w:w w:val="105"/>
          <w:sz w:val="13"/>
        </w:rPr>
        <w:t>establecidos</w:t>
      </w:r>
    </w:p>
    <w:p w14:paraId="3A5E30F4" w14:textId="77777777" w:rsidR="0014798C" w:rsidRDefault="004E1F0B">
      <w:pPr>
        <w:spacing w:before="63"/>
        <w:ind w:left="1564"/>
        <w:rPr>
          <w:sz w:val="17"/>
        </w:rPr>
      </w:pPr>
      <w:r>
        <w:rPr>
          <w:sz w:val="17"/>
        </w:rPr>
        <w:t>como</w:t>
      </w:r>
      <w:r>
        <w:rPr>
          <w:spacing w:val="-7"/>
          <w:sz w:val="17"/>
        </w:rPr>
        <w:t xml:space="preserve"> </w:t>
      </w:r>
      <w:r>
        <w:rPr>
          <w:sz w:val="17"/>
        </w:rPr>
        <w:t>requisitos</w:t>
      </w:r>
      <w:r>
        <w:rPr>
          <w:spacing w:val="-7"/>
          <w:sz w:val="17"/>
        </w:rPr>
        <w:t xml:space="preserve"> </w:t>
      </w:r>
      <w:r>
        <w:rPr>
          <w:sz w:val="17"/>
        </w:rPr>
        <w:t>básicos</w:t>
      </w:r>
      <w:r>
        <w:rPr>
          <w:spacing w:val="-7"/>
          <w:sz w:val="17"/>
        </w:rPr>
        <w:t xml:space="preserve"> </w:t>
      </w:r>
      <w:r>
        <w:rPr>
          <w:sz w:val="17"/>
        </w:rPr>
        <w:t>para</w:t>
      </w:r>
      <w:r>
        <w:rPr>
          <w:spacing w:val="-7"/>
          <w:sz w:val="17"/>
        </w:rPr>
        <w:t xml:space="preserve"> </w:t>
      </w:r>
      <w:r>
        <w:rPr>
          <w:sz w:val="17"/>
        </w:rPr>
        <w:t>las</w:t>
      </w:r>
      <w:r>
        <w:rPr>
          <w:spacing w:val="-6"/>
          <w:sz w:val="17"/>
        </w:rPr>
        <w:t xml:space="preserve"> </w:t>
      </w:r>
      <w:r>
        <w:rPr>
          <w:spacing w:val="-2"/>
          <w:sz w:val="17"/>
        </w:rPr>
        <w:t>minorías.</w:t>
      </w:r>
    </w:p>
    <w:p w14:paraId="4A88D84E" w14:textId="77777777" w:rsidR="0014798C" w:rsidRDefault="0014798C">
      <w:pPr>
        <w:pStyle w:val="Textoindependiente"/>
        <w:spacing w:before="302"/>
        <w:rPr>
          <w:sz w:val="28"/>
        </w:rPr>
      </w:pPr>
    </w:p>
    <w:p w14:paraId="7EDF161A" w14:textId="5DBCE7B8" w:rsidR="0014798C" w:rsidRDefault="004E1F0B" w:rsidP="00412578">
      <w:pPr>
        <w:pStyle w:val="Ttulo9"/>
        <w:numPr>
          <w:ilvl w:val="0"/>
          <w:numId w:val="25"/>
        </w:numPr>
        <w:tabs>
          <w:tab w:val="left" w:pos="1353"/>
          <w:tab w:val="left" w:pos="1633"/>
        </w:tabs>
        <w:spacing w:line="297" w:lineRule="auto"/>
        <w:ind w:right="501" w:hanging="510"/>
      </w:pPr>
      <w:bookmarkStart w:id="17" w:name="_TOC_250006"/>
      <w:bookmarkStart w:id="18" w:name="prohibición"/>
      <w:r>
        <w:rPr>
          <w:color w:val="803108"/>
        </w:rPr>
        <w:t>DERECHOS</w:t>
      </w:r>
      <w:r>
        <w:rPr>
          <w:color w:val="803108"/>
          <w:spacing w:val="-14"/>
        </w:rPr>
        <w:t xml:space="preserve"> </w:t>
      </w:r>
      <w:r>
        <w:rPr>
          <w:color w:val="803108"/>
        </w:rPr>
        <w:t>DE</w:t>
      </w:r>
      <w:r>
        <w:rPr>
          <w:color w:val="803108"/>
          <w:spacing w:val="-15"/>
        </w:rPr>
        <w:t xml:space="preserve"> </w:t>
      </w:r>
      <w:r>
        <w:rPr>
          <w:color w:val="803108"/>
        </w:rPr>
        <w:t>LAS</w:t>
      </w:r>
      <w:r>
        <w:rPr>
          <w:color w:val="803108"/>
          <w:spacing w:val="-15"/>
        </w:rPr>
        <w:t xml:space="preserve"> </w:t>
      </w:r>
      <w:r>
        <w:rPr>
          <w:color w:val="803108"/>
        </w:rPr>
        <w:t>MINORÍAS</w:t>
      </w:r>
      <w:r>
        <w:rPr>
          <w:color w:val="803108"/>
          <w:spacing w:val="-14"/>
        </w:rPr>
        <w:t xml:space="preserve"> </w:t>
      </w:r>
      <w:r>
        <w:rPr>
          <w:color w:val="803108"/>
        </w:rPr>
        <w:t>Y</w:t>
      </w:r>
      <w:r>
        <w:rPr>
          <w:color w:val="803108"/>
          <w:spacing w:val="-15"/>
        </w:rPr>
        <w:t xml:space="preserve"> </w:t>
      </w:r>
      <w:bookmarkEnd w:id="17"/>
      <w:r>
        <w:rPr>
          <w:color w:val="803108"/>
        </w:rPr>
        <w:t>PROHIBICIÓN</w:t>
      </w:r>
      <w:r w:rsidR="00412578">
        <w:rPr>
          <w:color w:val="803108"/>
        </w:rPr>
        <w:t xml:space="preserve"> </w:t>
      </w:r>
      <w:r>
        <w:rPr>
          <w:color w:val="803108"/>
        </w:rPr>
        <w:t>DE DISCRIMINACIÓN</w:t>
      </w:r>
    </w:p>
    <w:bookmarkEnd w:id="18"/>
    <w:p w14:paraId="4F5FE79E" w14:textId="77777777" w:rsidR="0014798C" w:rsidRDefault="004E1F0B">
      <w:pPr>
        <w:spacing w:before="167" w:line="307" w:lineRule="auto"/>
        <w:ind w:left="1108" w:right="1301" w:firstLine="6"/>
        <w:rPr>
          <w:sz w:val="17"/>
        </w:rPr>
      </w:pPr>
      <w:r>
        <w:rPr>
          <w:sz w:val="17"/>
        </w:rPr>
        <w:t>Una</w:t>
      </w:r>
      <w:r>
        <w:rPr>
          <w:spacing w:val="-6"/>
          <w:sz w:val="17"/>
        </w:rPr>
        <w:t xml:space="preserve"> </w:t>
      </w:r>
      <w:r>
        <w:rPr>
          <w:sz w:val="17"/>
        </w:rPr>
        <w:t>ley</w:t>
      </w:r>
      <w:r>
        <w:rPr>
          <w:spacing w:val="-6"/>
          <w:sz w:val="17"/>
        </w:rPr>
        <w:t xml:space="preserve"> </w:t>
      </w:r>
      <w:r>
        <w:rPr>
          <w:sz w:val="17"/>
        </w:rPr>
        <w:t>integral</w:t>
      </w:r>
      <w:r>
        <w:rPr>
          <w:spacing w:val="-6"/>
          <w:sz w:val="17"/>
        </w:rPr>
        <w:t xml:space="preserve"> </w:t>
      </w:r>
      <w:r>
        <w:rPr>
          <w:sz w:val="17"/>
        </w:rPr>
        <w:t>contra</w:t>
      </w:r>
      <w:r>
        <w:rPr>
          <w:spacing w:val="-6"/>
          <w:sz w:val="17"/>
        </w:rPr>
        <w:t xml:space="preserve"> </w:t>
      </w:r>
      <w:r>
        <w:rPr>
          <w:sz w:val="17"/>
        </w:rPr>
        <w:t>la</w:t>
      </w:r>
      <w:r>
        <w:rPr>
          <w:spacing w:val="-6"/>
          <w:sz w:val="17"/>
        </w:rPr>
        <w:t xml:space="preserve"> </w:t>
      </w:r>
      <w:r>
        <w:rPr>
          <w:sz w:val="17"/>
        </w:rPr>
        <w:t>discriminación</w:t>
      </w:r>
      <w:r>
        <w:rPr>
          <w:spacing w:val="-6"/>
          <w:sz w:val="17"/>
        </w:rPr>
        <w:t xml:space="preserve"> </w:t>
      </w:r>
      <w:r>
        <w:rPr>
          <w:sz w:val="17"/>
        </w:rPr>
        <w:t>es</w:t>
      </w:r>
      <w:r>
        <w:rPr>
          <w:spacing w:val="-6"/>
          <w:sz w:val="17"/>
        </w:rPr>
        <w:t xml:space="preserve"> </w:t>
      </w:r>
      <w:r>
        <w:rPr>
          <w:sz w:val="17"/>
        </w:rPr>
        <w:t>un</w:t>
      </w:r>
      <w:r>
        <w:rPr>
          <w:spacing w:val="-6"/>
          <w:sz w:val="17"/>
        </w:rPr>
        <w:t xml:space="preserve"> </w:t>
      </w:r>
      <w:r>
        <w:rPr>
          <w:sz w:val="17"/>
        </w:rPr>
        <w:t>elemento</w:t>
      </w:r>
      <w:r>
        <w:rPr>
          <w:spacing w:val="-6"/>
          <w:sz w:val="17"/>
        </w:rPr>
        <w:t xml:space="preserve"> </w:t>
      </w:r>
      <w:r>
        <w:rPr>
          <w:sz w:val="17"/>
        </w:rPr>
        <w:t>central</w:t>
      </w:r>
      <w:r>
        <w:rPr>
          <w:spacing w:val="-6"/>
          <w:sz w:val="17"/>
        </w:rPr>
        <w:t xml:space="preserve"> </w:t>
      </w:r>
      <w:r>
        <w:rPr>
          <w:sz w:val="17"/>
        </w:rPr>
        <w:t>y</w:t>
      </w:r>
      <w:r>
        <w:rPr>
          <w:spacing w:val="-6"/>
          <w:sz w:val="17"/>
        </w:rPr>
        <w:t xml:space="preserve"> </w:t>
      </w:r>
      <w:r>
        <w:rPr>
          <w:sz w:val="17"/>
        </w:rPr>
        <w:t>esencial</w:t>
      </w:r>
      <w:r>
        <w:rPr>
          <w:spacing w:val="-6"/>
          <w:sz w:val="17"/>
        </w:rPr>
        <w:t xml:space="preserve"> </w:t>
      </w:r>
      <w:r>
        <w:rPr>
          <w:sz w:val="17"/>
        </w:rPr>
        <w:t>en</w:t>
      </w:r>
      <w:r>
        <w:rPr>
          <w:spacing w:val="-6"/>
          <w:sz w:val="17"/>
        </w:rPr>
        <w:t xml:space="preserve"> </w:t>
      </w:r>
      <w:r>
        <w:rPr>
          <w:sz w:val="17"/>
        </w:rPr>
        <w:t>la</w:t>
      </w:r>
      <w:r>
        <w:rPr>
          <w:spacing w:val="-6"/>
          <w:sz w:val="17"/>
        </w:rPr>
        <w:t xml:space="preserve"> </w:t>
      </w:r>
      <w:r>
        <w:rPr>
          <w:sz w:val="17"/>
        </w:rPr>
        <w:t>realización</w:t>
      </w:r>
      <w:r>
        <w:rPr>
          <w:spacing w:val="-6"/>
          <w:sz w:val="17"/>
        </w:rPr>
        <w:t xml:space="preserve"> </w:t>
      </w:r>
      <w:r>
        <w:rPr>
          <w:sz w:val="17"/>
        </w:rPr>
        <w:t>de</w:t>
      </w:r>
      <w:r>
        <w:rPr>
          <w:spacing w:val="-6"/>
          <w:sz w:val="17"/>
        </w:rPr>
        <w:t xml:space="preserve"> </w:t>
      </w:r>
      <w:r>
        <w:rPr>
          <w:sz w:val="17"/>
        </w:rPr>
        <w:t>los</w:t>
      </w:r>
      <w:r>
        <w:rPr>
          <w:spacing w:val="-6"/>
          <w:sz w:val="17"/>
        </w:rPr>
        <w:t xml:space="preserve"> </w:t>
      </w:r>
      <w:r>
        <w:rPr>
          <w:sz w:val="17"/>
        </w:rPr>
        <w:t>derechos</w:t>
      </w:r>
      <w:r>
        <w:rPr>
          <w:spacing w:val="-6"/>
          <w:sz w:val="17"/>
        </w:rPr>
        <w:t xml:space="preserve"> </w:t>
      </w:r>
      <w:r>
        <w:rPr>
          <w:sz w:val="17"/>
        </w:rPr>
        <w:t>humanos</w:t>
      </w:r>
      <w:r>
        <w:rPr>
          <w:spacing w:val="-6"/>
          <w:sz w:val="17"/>
        </w:rPr>
        <w:t xml:space="preserve"> </w:t>
      </w:r>
      <w:r>
        <w:rPr>
          <w:sz w:val="17"/>
        </w:rPr>
        <w:t>de</w:t>
      </w:r>
      <w:r>
        <w:rPr>
          <w:spacing w:val="-6"/>
          <w:sz w:val="17"/>
        </w:rPr>
        <w:t xml:space="preserve"> </w:t>
      </w:r>
      <w:r>
        <w:rPr>
          <w:sz w:val="17"/>
        </w:rPr>
        <w:t>las minorías. La</w:t>
      </w:r>
      <w:r>
        <w:rPr>
          <w:spacing w:val="-1"/>
          <w:sz w:val="17"/>
        </w:rPr>
        <w:t xml:space="preserve"> </w:t>
      </w:r>
      <w:r>
        <w:rPr>
          <w:sz w:val="17"/>
        </w:rPr>
        <w:t>promulgación</w:t>
      </w:r>
      <w:r>
        <w:rPr>
          <w:spacing w:val="-1"/>
          <w:sz w:val="17"/>
        </w:rPr>
        <w:t xml:space="preserve"> </w:t>
      </w:r>
      <w:r>
        <w:rPr>
          <w:sz w:val="17"/>
        </w:rPr>
        <w:t>y</w:t>
      </w:r>
      <w:r>
        <w:rPr>
          <w:spacing w:val="-1"/>
          <w:sz w:val="17"/>
        </w:rPr>
        <w:t xml:space="preserve"> </w:t>
      </w:r>
      <w:r>
        <w:rPr>
          <w:sz w:val="17"/>
        </w:rPr>
        <w:t>aplicación</w:t>
      </w:r>
      <w:r>
        <w:rPr>
          <w:spacing w:val="-1"/>
          <w:sz w:val="17"/>
        </w:rPr>
        <w:t xml:space="preserve"> </w:t>
      </w:r>
      <w:r>
        <w:rPr>
          <w:sz w:val="17"/>
        </w:rPr>
        <w:t>de</w:t>
      </w:r>
      <w:r>
        <w:rPr>
          <w:spacing w:val="-1"/>
          <w:sz w:val="17"/>
        </w:rPr>
        <w:t xml:space="preserve"> </w:t>
      </w:r>
      <w:r>
        <w:rPr>
          <w:sz w:val="17"/>
        </w:rPr>
        <w:t>dichas</w:t>
      </w:r>
      <w:r>
        <w:rPr>
          <w:spacing w:val="-1"/>
          <w:sz w:val="17"/>
        </w:rPr>
        <w:t xml:space="preserve"> </w:t>
      </w:r>
      <w:r>
        <w:rPr>
          <w:sz w:val="17"/>
        </w:rPr>
        <w:t>leyes</w:t>
      </w:r>
      <w:r>
        <w:rPr>
          <w:spacing w:val="-1"/>
          <w:sz w:val="17"/>
        </w:rPr>
        <w:t xml:space="preserve"> </w:t>
      </w:r>
      <w:r>
        <w:rPr>
          <w:sz w:val="17"/>
        </w:rPr>
        <w:t>es</w:t>
      </w:r>
      <w:r>
        <w:rPr>
          <w:spacing w:val="-1"/>
          <w:sz w:val="17"/>
        </w:rPr>
        <w:t xml:space="preserve"> </w:t>
      </w:r>
      <w:r>
        <w:rPr>
          <w:sz w:val="17"/>
        </w:rPr>
        <w:t>una</w:t>
      </w:r>
      <w:r>
        <w:rPr>
          <w:spacing w:val="-1"/>
          <w:sz w:val="17"/>
        </w:rPr>
        <w:t xml:space="preserve"> </w:t>
      </w:r>
      <w:r>
        <w:rPr>
          <w:sz w:val="17"/>
        </w:rPr>
        <w:t>condición</w:t>
      </w:r>
      <w:r>
        <w:rPr>
          <w:spacing w:val="-1"/>
          <w:sz w:val="17"/>
        </w:rPr>
        <w:t xml:space="preserve"> </w:t>
      </w:r>
      <w:r>
        <w:rPr>
          <w:sz w:val="17"/>
        </w:rPr>
        <w:t>necesaria</w:t>
      </w:r>
      <w:r>
        <w:rPr>
          <w:spacing w:val="-1"/>
          <w:sz w:val="17"/>
        </w:rPr>
        <w:t xml:space="preserve"> </w:t>
      </w:r>
      <w:r>
        <w:rPr>
          <w:sz w:val="17"/>
        </w:rPr>
        <w:t>–pero</w:t>
      </w:r>
      <w:r>
        <w:rPr>
          <w:spacing w:val="-1"/>
          <w:sz w:val="17"/>
        </w:rPr>
        <w:t xml:space="preserve"> </w:t>
      </w:r>
      <w:r>
        <w:rPr>
          <w:sz w:val="17"/>
        </w:rPr>
        <w:t>no</w:t>
      </w:r>
      <w:r>
        <w:rPr>
          <w:spacing w:val="-1"/>
          <w:sz w:val="17"/>
        </w:rPr>
        <w:t xml:space="preserve"> </w:t>
      </w:r>
      <w:r>
        <w:rPr>
          <w:sz w:val="17"/>
        </w:rPr>
        <w:t>suficiente–</w:t>
      </w:r>
      <w:r>
        <w:rPr>
          <w:spacing w:val="-1"/>
          <w:sz w:val="17"/>
        </w:rPr>
        <w:t xml:space="preserve"> </w:t>
      </w:r>
      <w:r>
        <w:rPr>
          <w:sz w:val="17"/>
        </w:rPr>
        <w:t>para</w:t>
      </w:r>
      <w:r>
        <w:rPr>
          <w:spacing w:val="-1"/>
          <w:sz w:val="17"/>
        </w:rPr>
        <w:t xml:space="preserve"> </w:t>
      </w:r>
      <w:r>
        <w:rPr>
          <w:sz w:val="17"/>
        </w:rPr>
        <w:t>el</w:t>
      </w:r>
      <w:r>
        <w:rPr>
          <w:spacing w:val="-1"/>
          <w:sz w:val="17"/>
        </w:rPr>
        <w:t xml:space="preserve"> </w:t>
      </w:r>
      <w:r>
        <w:rPr>
          <w:sz w:val="17"/>
        </w:rPr>
        <w:t>disfrute</w:t>
      </w:r>
      <w:r>
        <w:rPr>
          <w:spacing w:val="-1"/>
          <w:sz w:val="17"/>
        </w:rPr>
        <w:t xml:space="preserve"> </w:t>
      </w:r>
      <w:r>
        <w:rPr>
          <w:sz w:val="17"/>
        </w:rPr>
        <w:t>de los</w:t>
      </w:r>
      <w:r>
        <w:rPr>
          <w:spacing w:val="-12"/>
          <w:sz w:val="17"/>
        </w:rPr>
        <w:t xml:space="preserve"> </w:t>
      </w:r>
      <w:r>
        <w:rPr>
          <w:sz w:val="17"/>
        </w:rPr>
        <w:t>derechos</w:t>
      </w:r>
      <w:r>
        <w:rPr>
          <w:spacing w:val="-12"/>
          <w:sz w:val="17"/>
        </w:rPr>
        <w:t xml:space="preserve"> </w:t>
      </w:r>
      <w:r>
        <w:rPr>
          <w:sz w:val="17"/>
        </w:rPr>
        <w:t>de</w:t>
      </w:r>
      <w:r>
        <w:rPr>
          <w:spacing w:val="-12"/>
          <w:sz w:val="17"/>
        </w:rPr>
        <w:t xml:space="preserve"> </w:t>
      </w:r>
      <w:r>
        <w:rPr>
          <w:sz w:val="17"/>
        </w:rPr>
        <w:t>las</w:t>
      </w:r>
      <w:r>
        <w:rPr>
          <w:spacing w:val="-12"/>
          <w:sz w:val="17"/>
        </w:rPr>
        <w:t xml:space="preserve"> </w:t>
      </w:r>
      <w:r>
        <w:rPr>
          <w:sz w:val="17"/>
        </w:rPr>
        <w:t>minorías;</w:t>
      </w:r>
      <w:r>
        <w:rPr>
          <w:spacing w:val="-12"/>
          <w:sz w:val="17"/>
        </w:rPr>
        <w:t xml:space="preserve"> </w:t>
      </w:r>
      <w:r>
        <w:rPr>
          <w:sz w:val="17"/>
        </w:rPr>
        <w:t>hay</w:t>
      </w:r>
      <w:r>
        <w:rPr>
          <w:spacing w:val="-11"/>
          <w:sz w:val="17"/>
        </w:rPr>
        <w:t xml:space="preserve"> </w:t>
      </w:r>
      <w:r>
        <w:rPr>
          <w:sz w:val="17"/>
        </w:rPr>
        <w:t>aspectos</w:t>
      </w:r>
      <w:r>
        <w:rPr>
          <w:spacing w:val="-12"/>
          <w:sz w:val="17"/>
        </w:rPr>
        <w:t xml:space="preserve"> </w:t>
      </w:r>
      <w:r>
        <w:rPr>
          <w:sz w:val="17"/>
        </w:rPr>
        <w:t>específicos</w:t>
      </w:r>
      <w:r>
        <w:rPr>
          <w:spacing w:val="-12"/>
          <w:sz w:val="17"/>
        </w:rPr>
        <w:t xml:space="preserve"> </w:t>
      </w:r>
      <w:r>
        <w:rPr>
          <w:sz w:val="17"/>
        </w:rPr>
        <w:t>de</w:t>
      </w:r>
      <w:r>
        <w:rPr>
          <w:spacing w:val="-12"/>
          <w:sz w:val="17"/>
        </w:rPr>
        <w:t xml:space="preserve"> </w:t>
      </w:r>
      <w:r>
        <w:rPr>
          <w:sz w:val="17"/>
        </w:rPr>
        <w:t>los</w:t>
      </w:r>
      <w:r>
        <w:rPr>
          <w:spacing w:val="-12"/>
          <w:sz w:val="17"/>
        </w:rPr>
        <w:t xml:space="preserve"> </w:t>
      </w:r>
      <w:r>
        <w:rPr>
          <w:sz w:val="17"/>
        </w:rPr>
        <w:t>derechos</w:t>
      </w:r>
      <w:r>
        <w:rPr>
          <w:spacing w:val="-11"/>
          <w:sz w:val="17"/>
        </w:rPr>
        <w:t xml:space="preserve"> </w:t>
      </w:r>
      <w:r>
        <w:rPr>
          <w:sz w:val="17"/>
        </w:rPr>
        <w:t>de</w:t>
      </w:r>
      <w:r>
        <w:rPr>
          <w:spacing w:val="-12"/>
          <w:sz w:val="17"/>
        </w:rPr>
        <w:t xml:space="preserve"> </w:t>
      </w:r>
      <w:r>
        <w:rPr>
          <w:sz w:val="17"/>
        </w:rPr>
        <w:t>las</w:t>
      </w:r>
      <w:r>
        <w:rPr>
          <w:spacing w:val="-12"/>
          <w:sz w:val="17"/>
        </w:rPr>
        <w:t xml:space="preserve"> </w:t>
      </w:r>
      <w:r>
        <w:rPr>
          <w:sz w:val="17"/>
        </w:rPr>
        <w:t>minorías</w:t>
      </w:r>
      <w:r>
        <w:rPr>
          <w:spacing w:val="-12"/>
          <w:sz w:val="17"/>
        </w:rPr>
        <w:t xml:space="preserve"> </w:t>
      </w:r>
      <w:r>
        <w:rPr>
          <w:sz w:val="17"/>
        </w:rPr>
        <w:t>étnicas,</w:t>
      </w:r>
      <w:r>
        <w:rPr>
          <w:spacing w:val="-12"/>
          <w:sz w:val="17"/>
        </w:rPr>
        <w:t xml:space="preserve"> </w:t>
      </w:r>
      <w:r>
        <w:rPr>
          <w:sz w:val="17"/>
        </w:rPr>
        <w:t>religiosas</w:t>
      </w:r>
      <w:r>
        <w:rPr>
          <w:spacing w:val="-11"/>
          <w:sz w:val="17"/>
        </w:rPr>
        <w:t xml:space="preserve"> </w:t>
      </w:r>
      <w:r>
        <w:rPr>
          <w:sz w:val="17"/>
        </w:rPr>
        <w:t>y</w:t>
      </w:r>
      <w:r>
        <w:rPr>
          <w:spacing w:val="-12"/>
          <w:sz w:val="17"/>
        </w:rPr>
        <w:t xml:space="preserve"> </w:t>
      </w:r>
      <w:r>
        <w:rPr>
          <w:sz w:val="17"/>
        </w:rPr>
        <w:t>lingüísticas</w:t>
      </w:r>
      <w:r>
        <w:rPr>
          <w:spacing w:val="-12"/>
          <w:sz w:val="17"/>
        </w:rPr>
        <w:t xml:space="preserve"> </w:t>
      </w:r>
      <w:r>
        <w:rPr>
          <w:sz w:val="17"/>
        </w:rPr>
        <w:t>que van</w:t>
      </w:r>
      <w:r>
        <w:rPr>
          <w:spacing w:val="-5"/>
          <w:sz w:val="17"/>
        </w:rPr>
        <w:t xml:space="preserve"> </w:t>
      </w:r>
      <w:r>
        <w:rPr>
          <w:sz w:val="17"/>
        </w:rPr>
        <w:t>más</w:t>
      </w:r>
      <w:r>
        <w:rPr>
          <w:spacing w:val="-5"/>
          <w:sz w:val="17"/>
        </w:rPr>
        <w:t xml:space="preserve"> </w:t>
      </w:r>
      <w:r>
        <w:rPr>
          <w:sz w:val="17"/>
        </w:rPr>
        <w:t>allá</w:t>
      </w:r>
      <w:r>
        <w:rPr>
          <w:spacing w:val="-5"/>
          <w:sz w:val="17"/>
        </w:rPr>
        <w:t xml:space="preserve"> </w:t>
      </w:r>
      <w:r>
        <w:rPr>
          <w:sz w:val="17"/>
        </w:rPr>
        <w:t>del</w:t>
      </w:r>
      <w:r>
        <w:rPr>
          <w:spacing w:val="-5"/>
          <w:sz w:val="17"/>
        </w:rPr>
        <w:t xml:space="preserve"> </w:t>
      </w:r>
      <w:r>
        <w:rPr>
          <w:sz w:val="17"/>
        </w:rPr>
        <w:t>alcance</w:t>
      </w:r>
      <w:r>
        <w:rPr>
          <w:spacing w:val="-5"/>
          <w:sz w:val="17"/>
        </w:rPr>
        <w:t xml:space="preserve"> </w:t>
      </w:r>
      <w:r>
        <w:rPr>
          <w:sz w:val="17"/>
        </w:rPr>
        <w:t>y</w:t>
      </w:r>
      <w:r>
        <w:rPr>
          <w:spacing w:val="-5"/>
          <w:sz w:val="17"/>
        </w:rPr>
        <w:t xml:space="preserve"> </w:t>
      </w:r>
      <w:r>
        <w:rPr>
          <w:sz w:val="17"/>
        </w:rPr>
        <w:t>los</w:t>
      </w:r>
      <w:r>
        <w:rPr>
          <w:spacing w:val="-5"/>
          <w:sz w:val="17"/>
        </w:rPr>
        <w:t xml:space="preserve"> </w:t>
      </w:r>
      <w:r>
        <w:rPr>
          <w:sz w:val="17"/>
        </w:rPr>
        <w:t>requisitos</w:t>
      </w:r>
      <w:r>
        <w:rPr>
          <w:spacing w:val="-5"/>
          <w:sz w:val="17"/>
        </w:rPr>
        <w:t xml:space="preserve"> </w:t>
      </w:r>
      <w:r>
        <w:rPr>
          <w:sz w:val="17"/>
        </w:rPr>
        <w:t>de</w:t>
      </w:r>
      <w:r>
        <w:rPr>
          <w:spacing w:val="-5"/>
          <w:sz w:val="17"/>
        </w:rPr>
        <w:t xml:space="preserve"> </w:t>
      </w:r>
      <w:r>
        <w:rPr>
          <w:sz w:val="17"/>
        </w:rPr>
        <w:t>la</w:t>
      </w:r>
      <w:r>
        <w:rPr>
          <w:spacing w:val="-5"/>
          <w:sz w:val="17"/>
        </w:rPr>
        <w:t xml:space="preserve"> </w:t>
      </w:r>
      <w:r>
        <w:rPr>
          <w:sz w:val="17"/>
        </w:rPr>
        <w:t>ley</w:t>
      </w:r>
      <w:r>
        <w:rPr>
          <w:spacing w:val="-5"/>
          <w:sz w:val="17"/>
        </w:rPr>
        <w:t xml:space="preserve"> </w:t>
      </w:r>
      <w:r>
        <w:rPr>
          <w:sz w:val="17"/>
        </w:rPr>
        <w:t>contra</w:t>
      </w:r>
      <w:r>
        <w:rPr>
          <w:spacing w:val="-5"/>
          <w:sz w:val="17"/>
        </w:rPr>
        <w:t xml:space="preserve"> </w:t>
      </w:r>
      <w:r>
        <w:rPr>
          <w:sz w:val="17"/>
        </w:rPr>
        <w:t>la</w:t>
      </w:r>
      <w:r>
        <w:rPr>
          <w:spacing w:val="-5"/>
          <w:sz w:val="17"/>
        </w:rPr>
        <w:t xml:space="preserve"> </w:t>
      </w:r>
      <w:r>
        <w:rPr>
          <w:sz w:val="17"/>
        </w:rPr>
        <w:t>discriminación;</w:t>
      </w:r>
      <w:r>
        <w:rPr>
          <w:spacing w:val="-3"/>
          <w:sz w:val="17"/>
        </w:rPr>
        <w:t xml:space="preserve"> </w:t>
      </w:r>
      <w:r>
        <w:rPr>
          <w:sz w:val="17"/>
        </w:rPr>
        <w:t>Del</w:t>
      </w:r>
      <w:r>
        <w:rPr>
          <w:spacing w:val="-5"/>
          <w:sz w:val="17"/>
        </w:rPr>
        <w:t xml:space="preserve"> </w:t>
      </w:r>
      <w:r>
        <w:rPr>
          <w:sz w:val="17"/>
        </w:rPr>
        <w:t>mismo</w:t>
      </w:r>
      <w:r>
        <w:rPr>
          <w:spacing w:val="-5"/>
          <w:sz w:val="17"/>
        </w:rPr>
        <w:t xml:space="preserve"> </w:t>
      </w:r>
      <w:r>
        <w:rPr>
          <w:sz w:val="17"/>
        </w:rPr>
        <w:t>modo,</w:t>
      </w:r>
      <w:r>
        <w:rPr>
          <w:spacing w:val="-5"/>
          <w:sz w:val="17"/>
        </w:rPr>
        <w:t xml:space="preserve"> </w:t>
      </w:r>
      <w:r>
        <w:rPr>
          <w:sz w:val="17"/>
        </w:rPr>
        <w:t>las</w:t>
      </w:r>
      <w:r>
        <w:rPr>
          <w:spacing w:val="-5"/>
          <w:sz w:val="17"/>
        </w:rPr>
        <w:t xml:space="preserve"> </w:t>
      </w:r>
      <w:r>
        <w:rPr>
          <w:sz w:val="17"/>
        </w:rPr>
        <w:t>leyes</w:t>
      </w:r>
      <w:r>
        <w:rPr>
          <w:spacing w:val="-5"/>
          <w:sz w:val="17"/>
        </w:rPr>
        <w:t xml:space="preserve"> </w:t>
      </w:r>
      <w:r>
        <w:rPr>
          <w:sz w:val="17"/>
        </w:rPr>
        <w:t>integrales</w:t>
      </w:r>
      <w:r>
        <w:rPr>
          <w:spacing w:val="-5"/>
          <w:sz w:val="17"/>
        </w:rPr>
        <w:t xml:space="preserve"> </w:t>
      </w:r>
      <w:r>
        <w:rPr>
          <w:sz w:val="17"/>
        </w:rPr>
        <w:t>contra</w:t>
      </w:r>
      <w:r>
        <w:rPr>
          <w:spacing w:val="-5"/>
          <w:sz w:val="17"/>
        </w:rPr>
        <w:t xml:space="preserve"> </w:t>
      </w:r>
      <w:r>
        <w:rPr>
          <w:sz w:val="17"/>
        </w:rPr>
        <w:t>la discriminación brindan protección para todos, no solo para los miembros de comunidades minoritarias. Sin embargo, se reconoce</w:t>
      </w:r>
      <w:r>
        <w:rPr>
          <w:spacing w:val="-5"/>
          <w:sz w:val="17"/>
        </w:rPr>
        <w:t xml:space="preserve"> </w:t>
      </w:r>
      <w:r>
        <w:rPr>
          <w:sz w:val="17"/>
        </w:rPr>
        <w:t>ampliamente</w:t>
      </w:r>
      <w:r>
        <w:rPr>
          <w:spacing w:val="-5"/>
          <w:sz w:val="17"/>
        </w:rPr>
        <w:t xml:space="preserve"> </w:t>
      </w:r>
      <w:r>
        <w:rPr>
          <w:sz w:val="17"/>
        </w:rPr>
        <w:t>que</w:t>
      </w:r>
      <w:r>
        <w:rPr>
          <w:spacing w:val="-5"/>
          <w:sz w:val="17"/>
        </w:rPr>
        <w:t xml:space="preserve"> </w:t>
      </w:r>
      <w:r>
        <w:rPr>
          <w:sz w:val="17"/>
        </w:rPr>
        <w:t>los</w:t>
      </w:r>
      <w:r>
        <w:rPr>
          <w:spacing w:val="-5"/>
          <w:sz w:val="17"/>
        </w:rPr>
        <w:t xml:space="preserve"> </w:t>
      </w:r>
      <w:r>
        <w:rPr>
          <w:sz w:val="17"/>
        </w:rPr>
        <w:t>derechos</w:t>
      </w:r>
      <w:r>
        <w:rPr>
          <w:spacing w:val="-5"/>
          <w:sz w:val="17"/>
        </w:rPr>
        <w:t xml:space="preserve"> </w:t>
      </w:r>
      <w:r>
        <w:rPr>
          <w:sz w:val="17"/>
        </w:rPr>
        <w:t>de</w:t>
      </w:r>
      <w:r>
        <w:rPr>
          <w:spacing w:val="-5"/>
          <w:sz w:val="17"/>
        </w:rPr>
        <w:t xml:space="preserve"> </w:t>
      </w:r>
      <w:r>
        <w:rPr>
          <w:sz w:val="17"/>
        </w:rPr>
        <w:t>las</w:t>
      </w:r>
      <w:r>
        <w:rPr>
          <w:spacing w:val="-5"/>
          <w:sz w:val="17"/>
        </w:rPr>
        <w:t xml:space="preserve"> </w:t>
      </w:r>
      <w:r>
        <w:rPr>
          <w:sz w:val="17"/>
        </w:rPr>
        <w:t>minorías</w:t>
      </w:r>
      <w:r>
        <w:rPr>
          <w:spacing w:val="-5"/>
          <w:sz w:val="17"/>
        </w:rPr>
        <w:t xml:space="preserve"> </w:t>
      </w:r>
      <w:r>
        <w:rPr>
          <w:sz w:val="17"/>
        </w:rPr>
        <w:t>no</w:t>
      </w:r>
      <w:r>
        <w:rPr>
          <w:spacing w:val="-5"/>
          <w:sz w:val="17"/>
        </w:rPr>
        <w:t xml:space="preserve"> </w:t>
      </w:r>
      <w:r>
        <w:rPr>
          <w:sz w:val="17"/>
        </w:rPr>
        <w:t>pueden</w:t>
      </w:r>
      <w:r>
        <w:rPr>
          <w:spacing w:val="-5"/>
          <w:sz w:val="17"/>
        </w:rPr>
        <w:t xml:space="preserve"> </w:t>
      </w:r>
      <w:r>
        <w:rPr>
          <w:sz w:val="17"/>
        </w:rPr>
        <w:t>realizarse</w:t>
      </w:r>
      <w:r>
        <w:rPr>
          <w:spacing w:val="-5"/>
          <w:sz w:val="17"/>
        </w:rPr>
        <w:t xml:space="preserve"> </w:t>
      </w:r>
      <w:r>
        <w:rPr>
          <w:sz w:val="17"/>
        </w:rPr>
        <w:t>sin</w:t>
      </w:r>
      <w:r>
        <w:rPr>
          <w:spacing w:val="-5"/>
          <w:sz w:val="17"/>
        </w:rPr>
        <w:t xml:space="preserve"> </w:t>
      </w:r>
      <w:r>
        <w:rPr>
          <w:sz w:val="17"/>
        </w:rPr>
        <w:t>leyes</w:t>
      </w:r>
      <w:r>
        <w:rPr>
          <w:spacing w:val="-5"/>
          <w:sz w:val="17"/>
        </w:rPr>
        <w:t xml:space="preserve"> </w:t>
      </w:r>
      <w:r>
        <w:rPr>
          <w:sz w:val="17"/>
        </w:rPr>
        <w:t>que</w:t>
      </w:r>
      <w:r>
        <w:rPr>
          <w:spacing w:val="-5"/>
          <w:sz w:val="17"/>
        </w:rPr>
        <w:t xml:space="preserve"> </w:t>
      </w:r>
      <w:r>
        <w:rPr>
          <w:sz w:val="17"/>
        </w:rPr>
        <w:t>brinden</w:t>
      </w:r>
      <w:r>
        <w:rPr>
          <w:spacing w:val="-5"/>
          <w:sz w:val="17"/>
        </w:rPr>
        <w:t xml:space="preserve"> </w:t>
      </w:r>
      <w:r>
        <w:rPr>
          <w:sz w:val="17"/>
        </w:rPr>
        <w:t>una</w:t>
      </w:r>
      <w:r>
        <w:rPr>
          <w:spacing w:val="-5"/>
          <w:sz w:val="17"/>
        </w:rPr>
        <w:t xml:space="preserve"> </w:t>
      </w:r>
      <w:r>
        <w:rPr>
          <w:sz w:val="17"/>
        </w:rPr>
        <w:t>protección</w:t>
      </w:r>
      <w:r>
        <w:rPr>
          <w:spacing w:val="-5"/>
          <w:sz w:val="17"/>
        </w:rPr>
        <w:t xml:space="preserve"> </w:t>
      </w:r>
      <w:r>
        <w:rPr>
          <w:sz w:val="17"/>
        </w:rPr>
        <w:t>integral y efectiva contra la discriminación.</w:t>
      </w:r>
    </w:p>
    <w:p w14:paraId="2D458220" w14:textId="77777777" w:rsidR="0014798C" w:rsidRDefault="004E1F0B">
      <w:pPr>
        <w:spacing w:before="166" w:line="307" w:lineRule="auto"/>
        <w:ind w:left="1108" w:right="1239"/>
        <w:rPr>
          <w:sz w:val="17"/>
        </w:rPr>
      </w:pPr>
      <w:r>
        <w:rPr>
          <w:sz w:val="17"/>
        </w:rPr>
        <w:t>En</w:t>
      </w:r>
      <w:r>
        <w:rPr>
          <w:spacing w:val="-7"/>
          <w:sz w:val="17"/>
        </w:rPr>
        <w:t xml:space="preserve"> </w:t>
      </w:r>
      <w:r>
        <w:rPr>
          <w:sz w:val="17"/>
        </w:rPr>
        <w:t>su</w:t>
      </w:r>
      <w:r>
        <w:rPr>
          <w:spacing w:val="-7"/>
          <w:sz w:val="17"/>
        </w:rPr>
        <w:t xml:space="preserve"> </w:t>
      </w:r>
      <w:r>
        <w:rPr>
          <w:sz w:val="17"/>
        </w:rPr>
        <w:t>resolución</w:t>
      </w:r>
      <w:r>
        <w:rPr>
          <w:spacing w:val="-7"/>
          <w:sz w:val="17"/>
        </w:rPr>
        <w:t xml:space="preserve"> </w:t>
      </w:r>
      <w:r>
        <w:rPr>
          <w:sz w:val="17"/>
        </w:rPr>
        <w:t>más</w:t>
      </w:r>
      <w:r>
        <w:rPr>
          <w:spacing w:val="-7"/>
          <w:sz w:val="17"/>
        </w:rPr>
        <w:t xml:space="preserve"> </w:t>
      </w:r>
      <w:r>
        <w:rPr>
          <w:sz w:val="17"/>
        </w:rPr>
        <w:t>reciente</w:t>
      </w:r>
      <w:r>
        <w:rPr>
          <w:spacing w:val="-7"/>
          <w:sz w:val="17"/>
        </w:rPr>
        <w:t xml:space="preserve"> </w:t>
      </w:r>
      <w:r>
        <w:rPr>
          <w:sz w:val="17"/>
        </w:rPr>
        <w:t>sobre</w:t>
      </w:r>
      <w:r>
        <w:rPr>
          <w:spacing w:val="-7"/>
          <w:sz w:val="17"/>
        </w:rPr>
        <w:t xml:space="preserve"> </w:t>
      </w:r>
      <w:r>
        <w:rPr>
          <w:sz w:val="17"/>
        </w:rPr>
        <w:t>los</w:t>
      </w:r>
      <w:r>
        <w:rPr>
          <w:spacing w:val="-7"/>
          <w:sz w:val="17"/>
        </w:rPr>
        <w:t xml:space="preserve"> </w:t>
      </w:r>
      <w:r>
        <w:rPr>
          <w:sz w:val="17"/>
        </w:rPr>
        <w:t>derechos</w:t>
      </w:r>
      <w:r>
        <w:rPr>
          <w:spacing w:val="-7"/>
          <w:sz w:val="17"/>
        </w:rPr>
        <w:t xml:space="preserve"> </w:t>
      </w:r>
      <w:r>
        <w:rPr>
          <w:sz w:val="17"/>
        </w:rPr>
        <w:t>de</w:t>
      </w:r>
      <w:r>
        <w:rPr>
          <w:spacing w:val="-7"/>
          <w:sz w:val="17"/>
        </w:rPr>
        <w:t xml:space="preserve"> </w:t>
      </w:r>
      <w:r>
        <w:rPr>
          <w:sz w:val="17"/>
        </w:rPr>
        <w:t>las</w:t>
      </w:r>
      <w:r>
        <w:rPr>
          <w:spacing w:val="-7"/>
          <w:sz w:val="17"/>
        </w:rPr>
        <w:t xml:space="preserve"> </w:t>
      </w:r>
      <w:r>
        <w:rPr>
          <w:sz w:val="17"/>
        </w:rPr>
        <w:t>personas</w:t>
      </w:r>
      <w:r>
        <w:rPr>
          <w:spacing w:val="-7"/>
          <w:sz w:val="17"/>
        </w:rPr>
        <w:t xml:space="preserve"> </w:t>
      </w:r>
      <w:r>
        <w:rPr>
          <w:sz w:val="17"/>
        </w:rPr>
        <w:t>pertenecientes</w:t>
      </w:r>
      <w:r>
        <w:rPr>
          <w:spacing w:val="-7"/>
          <w:sz w:val="17"/>
        </w:rPr>
        <w:t xml:space="preserve"> </w:t>
      </w:r>
      <w:r>
        <w:rPr>
          <w:sz w:val="17"/>
        </w:rPr>
        <w:t>a</w:t>
      </w:r>
      <w:r>
        <w:rPr>
          <w:spacing w:val="-7"/>
          <w:sz w:val="17"/>
        </w:rPr>
        <w:t xml:space="preserve"> </w:t>
      </w:r>
      <w:r>
        <w:rPr>
          <w:sz w:val="17"/>
        </w:rPr>
        <w:t>minorías</w:t>
      </w:r>
      <w:r>
        <w:rPr>
          <w:spacing w:val="-7"/>
          <w:sz w:val="17"/>
        </w:rPr>
        <w:t xml:space="preserve"> </w:t>
      </w:r>
      <w:r>
        <w:rPr>
          <w:sz w:val="17"/>
        </w:rPr>
        <w:t>nacionales</w:t>
      </w:r>
      <w:r>
        <w:rPr>
          <w:spacing w:val="-7"/>
          <w:sz w:val="17"/>
        </w:rPr>
        <w:t xml:space="preserve"> </w:t>
      </w:r>
      <w:r>
        <w:rPr>
          <w:sz w:val="17"/>
        </w:rPr>
        <w:t>o</w:t>
      </w:r>
      <w:r>
        <w:rPr>
          <w:spacing w:val="-7"/>
          <w:sz w:val="17"/>
        </w:rPr>
        <w:t xml:space="preserve"> </w:t>
      </w:r>
      <w:r>
        <w:rPr>
          <w:sz w:val="17"/>
        </w:rPr>
        <w:t>étnicas,</w:t>
      </w:r>
      <w:r>
        <w:rPr>
          <w:spacing w:val="-6"/>
          <w:sz w:val="17"/>
        </w:rPr>
        <w:t xml:space="preserve"> </w:t>
      </w:r>
      <w:r>
        <w:rPr>
          <w:sz w:val="17"/>
        </w:rPr>
        <w:t>religiosas y lingüísticas, el Consejo de Derechos Humanos destacó el vínculo entre los derechos de las minorías y el derecho a la no discriminación, destacando, entre otras cosas:</w:t>
      </w:r>
    </w:p>
    <w:p w14:paraId="5E9DC46A" w14:textId="77777777" w:rsidR="0014798C" w:rsidRDefault="004E1F0B">
      <w:pPr>
        <w:spacing w:before="112" w:line="307" w:lineRule="auto"/>
        <w:ind w:left="1674" w:right="1272" w:hanging="1"/>
        <w:rPr>
          <w:sz w:val="17"/>
        </w:rPr>
      </w:pPr>
      <w:r>
        <w:rPr>
          <w:color w:val="803108"/>
          <w:sz w:val="17"/>
        </w:rPr>
        <w:t>la</w:t>
      </w:r>
      <w:r>
        <w:rPr>
          <w:color w:val="803108"/>
          <w:spacing w:val="-6"/>
          <w:sz w:val="17"/>
        </w:rPr>
        <w:t xml:space="preserve"> </w:t>
      </w:r>
      <w:r>
        <w:rPr>
          <w:color w:val="803108"/>
          <w:sz w:val="17"/>
        </w:rPr>
        <w:t>necesidad</w:t>
      </w:r>
      <w:r>
        <w:rPr>
          <w:color w:val="803108"/>
          <w:spacing w:val="-6"/>
          <w:sz w:val="17"/>
        </w:rPr>
        <w:t xml:space="preserve"> </w:t>
      </w:r>
      <w:r>
        <w:rPr>
          <w:color w:val="803108"/>
          <w:sz w:val="17"/>
        </w:rPr>
        <w:t>de</w:t>
      </w:r>
      <w:r>
        <w:rPr>
          <w:color w:val="803108"/>
          <w:spacing w:val="-6"/>
          <w:sz w:val="17"/>
        </w:rPr>
        <w:t xml:space="preserve"> </w:t>
      </w:r>
      <w:r>
        <w:rPr>
          <w:color w:val="803108"/>
          <w:sz w:val="17"/>
        </w:rPr>
        <w:t>intensificar</w:t>
      </w:r>
      <w:r>
        <w:rPr>
          <w:color w:val="803108"/>
          <w:spacing w:val="-6"/>
          <w:sz w:val="17"/>
        </w:rPr>
        <w:t xml:space="preserve"> </w:t>
      </w:r>
      <w:r>
        <w:rPr>
          <w:color w:val="803108"/>
          <w:sz w:val="17"/>
        </w:rPr>
        <w:t>los</w:t>
      </w:r>
      <w:r>
        <w:rPr>
          <w:color w:val="803108"/>
          <w:spacing w:val="-6"/>
          <w:sz w:val="17"/>
        </w:rPr>
        <w:t xml:space="preserve"> </w:t>
      </w:r>
      <w:r>
        <w:rPr>
          <w:color w:val="803108"/>
          <w:sz w:val="17"/>
        </w:rPr>
        <w:t>esfuerzos</w:t>
      </w:r>
      <w:r>
        <w:rPr>
          <w:color w:val="803108"/>
          <w:spacing w:val="-6"/>
          <w:sz w:val="17"/>
        </w:rPr>
        <w:t xml:space="preserve"> </w:t>
      </w:r>
      <w:r>
        <w:rPr>
          <w:color w:val="803108"/>
          <w:sz w:val="17"/>
        </w:rPr>
        <w:t>para</w:t>
      </w:r>
      <w:r>
        <w:rPr>
          <w:color w:val="803108"/>
          <w:spacing w:val="-6"/>
          <w:sz w:val="17"/>
        </w:rPr>
        <w:t xml:space="preserve"> </w:t>
      </w:r>
      <w:r>
        <w:rPr>
          <w:color w:val="803108"/>
          <w:sz w:val="17"/>
        </w:rPr>
        <w:t>alcanzar</w:t>
      </w:r>
      <w:r>
        <w:rPr>
          <w:color w:val="803108"/>
          <w:spacing w:val="-6"/>
          <w:sz w:val="17"/>
        </w:rPr>
        <w:t xml:space="preserve"> </w:t>
      </w:r>
      <w:r>
        <w:rPr>
          <w:color w:val="803108"/>
          <w:sz w:val="17"/>
        </w:rPr>
        <w:t>el</w:t>
      </w:r>
      <w:r>
        <w:rPr>
          <w:color w:val="803108"/>
          <w:spacing w:val="-6"/>
          <w:sz w:val="17"/>
        </w:rPr>
        <w:t xml:space="preserve"> </w:t>
      </w:r>
      <w:r>
        <w:rPr>
          <w:color w:val="803108"/>
          <w:sz w:val="17"/>
        </w:rPr>
        <w:t>objetivo</w:t>
      </w:r>
      <w:r>
        <w:rPr>
          <w:color w:val="803108"/>
          <w:spacing w:val="-6"/>
          <w:sz w:val="17"/>
        </w:rPr>
        <w:t xml:space="preserve"> </w:t>
      </w:r>
      <w:r>
        <w:rPr>
          <w:color w:val="803108"/>
          <w:sz w:val="17"/>
        </w:rPr>
        <w:t>de</w:t>
      </w:r>
      <w:r>
        <w:rPr>
          <w:color w:val="803108"/>
          <w:spacing w:val="-6"/>
          <w:sz w:val="17"/>
        </w:rPr>
        <w:t xml:space="preserve"> </w:t>
      </w:r>
      <w:r>
        <w:rPr>
          <w:color w:val="803108"/>
          <w:sz w:val="17"/>
        </w:rPr>
        <w:t>la</w:t>
      </w:r>
      <w:r>
        <w:rPr>
          <w:color w:val="803108"/>
          <w:spacing w:val="-6"/>
          <w:sz w:val="17"/>
        </w:rPr>
        <w:t xml:space="preserve"> </w:t>
      </w:r>
      <w:r>
        <w:rPr>
          <w:color w:val="803108"/>
          <w:sz w:val="17"/>
        </w:rPr>
        <w:t>plena</w:t>
      </w:r>
      <w:r>
        <w:rPr>
          <w:color w:val="803108"/>
          <w:spacing w:val="-6"/>
          <w:sz w:val="17"/>
        </w:rPr>
        <w:t xml:space="preserve"> </w:t>
      </w:r>
      <w:r>
        <w:rPr>
          <w:color w:val="803108"/>
          <w:sz w:val="17"/>
        </w:rPr>
        <w:t>realización</w:t>
      </w:r>
      <w:r>
        <w:rPr>
          <w:color w:val="803108"/>
          <w:spacing w:val="-6"/>
          <w:sz w:val="17"/>
        </w:rPr>
        <w:t xml:space="preserve"> </w:t>
      </w:r>
      <w:r>
        <w:rPr>
          <w:color w:val="803108"/>
          <w:sz w:val="17"/>
        </w:rPr>
        <w:t>de</w:t>
      </w:r>
      <w:r>
        <w:rPr>
          <w:color w:val="803108"/>
          <w:spacing w:val="-6"/>
          <w:sz w:val="17"/>
        </w:rPr>
        <w:t xml:space="preserve"> </w:t>
      </w:r>
      <w:r>
        <w:rPr>
          <w:color w:val="803108"/>
          <w:sz w:val="17"/>
        </w:rPr>
        <w:t>los</w:t>
      </w:r>
      <w:r>
        <w:rPr>
          <w:color w:val="803108"/>
          <w:spacing w:val="-6"/>
          <w:sz w:val="17"/>
        </w:rPr>
        <w:t xml:space="preserve"> </w:t>
      </w:r>
      <w:r>
        <w:rPr>
          <w:color w:val="803108"/>
          <w:sz w:val="17"/>
        </w:rPr>
        <w:t>derechos</w:t>
      </w:r>
      <w:r>
        <w:rPr>
          <w:color w:val="803108"/>
          <w:spacing w:val="-6"/>
          <w:sz w:val="17"/>
        </w:rPr>
        <w:t xml:space="preserve"> </w:t>
      </w:r>
      <w:r>
        <w:rPr>
          <w:color w:val="803108"/>
          <w:sz w:val="17"/>
        </w:rPr>
        <w:t>de</w:t>
      </w:r>
      <w:r>
        <w:rPr>
          <w:color w:val="803108"/>
          <w:spacing w:val="-6"/>
          <w:sz w:val="17"/>
        </w:rPr>
        <w:t xml:space="preserve"> </w:t>
      </w:r>
      <w:r>
        <w:rPr>
          <w:color w:val="803108"/>
          <w:sz w:val="17"/>
        </w:rPr>
        <w:t>las personas pertenecientes a minorías nacionales o étnicas, religiosas y lingüísticas, incluso abordando sus condiciones</w:t>
      </w:r>
      <w:r>
        <w:rPr>
          <w:color w:val="803108"/>
          <w:spacing w:val="-2"/>
          <w:sz w:val="17"/>
        </w:rPr>
        <w:t xml:space="preserve"> </w:t>
      </w:r>
      <w:r>
        <w:rPr>
          <w:color w:val="803108"/>
          <w:sz w:val="17"/>
        </w:rPr>
        <w:t>económicas</w:t>
      </w:r>
      <w:r>
        <w:rPr>
          <w:color w:val="803108"/>
          <w:spacing w:val="-2"/>
          <w:sz w:val="17"/>
        </w:rPr>
        <w:t xml:space="preserve"> </w:t>
      </w:r>
      <w:r>
        <w:rPr>
          <w:color w:val="803108"/>
          <w:sz w:val="17"/>
        </w:rPr>
        <w:t>y</w:t>
      </w:r>
      <w:r>
        <w:rPr>
          <w:color w:val="803108"/>
          <w:spacing w:val="-2"/>
          <w:sz w:val="17"/>
        </w:rPr>
        <w:t xml:space="preserve"> </w:t>
      </w:r>
      <w:r>
        <w:rPr>
          <w:color w:val="803108"/>
          <w:sz w:val="17"/>
        </w:rPr>
        <w:t>sociales</w:t>
      </w:r>
      <w:r>
        <w:rPr>
          <w:color w:val="803108"/>
          <w:spacing w:val="-2"/>
          <w:sz w:val="17"/>
        </w:rPr>
        <w:t xml:space="preserve"> </w:t>
      </w:r>
      <w:r>
        <w:rPr>
          <w:color w:val="803108"/>
          <w:sz w:val="17"/>
        </w:rPr>
        <w:t>y</w:t>
      </w:r>
      <w:r>
        <w:rPr>
          <w:color w:val="803108"/>
          <w:spacing w:val="-2"/>
          <w:sz w:val="17"/>
        </w:rPr>
        <w:t xml:space="preserve"> </w:t>
      </w:r>
      <w:r>
        <w:rPr>
          <w:color w:val="803108"/>
          <w:sz w:val="17"/>
        </w:rPr>
        <w:t>su</w:t>
      </w:r>
      <w:r>
        <w:rPr>
          <w:color w:val="803108"/>
          <w:spacing w:val="-2"/>
          <w:sz w:val="17"/>
        </w:rPr>
        <w:t xml:space="preserve"> </w:t>
      </w:r>
      <w:r>
        <w:rPr>
          <w:color w:val="803108"/>
          <w:sz w:val="17"/>
        </w:rPr>
        <w:t>marginación,</w:t>
      </w:r>
      <w:r>
        <w:rPr>
          <w:color w:val="803108"/>
          <w:spacing w:val="-1"/>
          <w:sz w:val="17"/>
        </w:rPr>
        <w:t xml:space="preserve"> </w:t>
      </w:r>
      <w:r>
        <w:rPr>
          <w:color w:val="803108"/>
          <w:sz w:val="17"/>
        </w:rPr>
        <w:t>y</w:t>
      </w:r>
      <w:r>
        <w:rPr>
          <w:color w:val="803108"/>
          <w:spacing w:val="-2"/>
          <w:sz w:val="17"/>
        </w:rPr>
        <w:t xml:space="preserve"> </w:t>
      </w:r>
      <w:r>
        <w:rPr>
          <w:color w:val="803108"/>
          <w:sz w:val="17"/>
        </w:rPr>
        <w:t>poner</w:t>
      </w:r>
      <w:r>
        <w:rPr>
          <w:color w:val="803108"/>
          <w:spacing w:val="-2"/>
          <w:sz w:val="17"/>
        </w:rPr>
        <w:t xml:space="preserve"> </w:t>
      </w:r>
      <w:r>
        <w:rPr>
          <w:color w:val="803108"/>
          <w:sz w:val="17"/>
        </w:rPr>
        <w:t>fin</w:t>
      </w:r>
      <w:r>
        <w:rPr>
          <w:color w:val="803108"/>
          <w:spacing w:val="-2"/>
          <w:sz w:val="17"/>
        </w:rPr>
        <w:t xml:space="preserve"> </w:t>
      </w:r>
      <w:r>
        <w:rPr>
          <w:color w:val="803108"/>
          <w:sz w:val="17"/>
        </w:rPr>
        <w:t>a</w:t>
      </w:r>
      <w:r>
        <w:rPr>
          <w:color w:val="803108"/>
          <w:spacing w:val="-2"/>
          <w:sz w:val="17"/>
        </w:rPr>
        <w:t xml:space="preserve"> </w:t>
      </w:r>
      <w:r>
        <w:rPr>
          <w:color w:val="803108"/>
          <w:sz w:val="17"/>
        </w:rPr>
        <w:t>cualquier</w:t>
      </w:r>
      <w:r>
        <w:rPr>
          <w:color w:val="803108"/>
          <w:spacing w:val="-2"/>
          <w:sz w:val="17"/>
        </w:rPr>
        <w:t xml:space="preserve"> </w:t>
      </w:r>
      <w:r>
        <w:rPr>
          <w:color w:val="803108"/>
          <w:sz w:val="17"/>
        </w:rPr>
        <w:t>tipo</w:t>
      </w:r>
      <w:r>
        <w:rPr>
          <w:color w:val="803108"/>
          <w:spacing w:val="-2"/>
          <w:sz w:val="17"/>
        </w:rPr>
        <w:t xml:space="preserve"> </w:t>
      </w:r>
      <w:r>
        <w:rPr>
          <w:color w:val="803108"/>
          <w:sz w:val="17"/>
        </w:rPr>
        <w:t>de</w:t>
      </w:r>
      <w:r>
        <w:rPr>
          <w:color w:val="803108"/>
          <w:spacing w:val="-2"/>
          <w:sz w:val="17"/>
        </w:rPr>
        <w:t xml:space="preserve"> </w:t>
      </w:r>
      <w:r>
        <w:rPr>
          <w:color w:val="803108"/>
          <w:sz w:val="17"/>
        </w:rPr>
        <w:t>discriminación</w:t>
      </w:r>
      <w:r>
        <w:rPr>
          <w:color w:val="803108"/>
          <w:spacing w:val="-2"/>
          <w:sz w:val="17"/>
        </w:rPr>
        <w:t xml:space="preserve"> </w:t>
      </w:r>
      <w:r>
        <w:rPr>
          <w:color w:val="803108"/>
          <w:sz w:val="17"/>
        </w:rPr>
        <w:t>contra</w:t>
      </w:r>
      <w:r>
        <w:rPr>
          <w:color w:val="803108"/>
          <w:spacing w:val="-2"/>
          <w:sz w:val="17"/>
        </w:rPr>
        <w:t xml:space="preserve"> </w:t>
      </w:r>
      <w:r>
        <w:rPr>
          <w:color w:val="803108"/>
          <w:sz w:val="17"/>
        </w:rPr>
        <w:t>ellas,</w:t>
      </w:r>
    </w:p>
    <w:p w14:paraId="6584F896" w14:textId="77777777" w:rsidR="0014798C" w:rsidRDefault="004E1F0B">
      <w:pPr>
        <w:spacing w:before="13"/>
        <w:ind w:left="1687"/>
        <w:rPr>
          <w:sz w:val="17"/>
        </w:rPr>
      </w:pPr>
      <w:r>
        <w:rPr>
          <w:color w:val="803108"/>
          <w:spacing w:val="-10"/>
          <w:sz w:val="17"/>
        </w:rPr>
        <w:t>…</w:t>
      </w:r>
    </w:p>
    <w:p w14:paraId="394189C7" w14:textId="77777777" w:rsidR="0014798C" w:rsidRDefault="004E1F0B">
      <w:pPr>
        <w:spacing w:before="153" w:line="307" w:lineRule="auto"/>
        <w:ind w:left="1677" w:right="1463" w:firstLine="10"/>
        <w:rPr>
          <w:sz w:val="17"/>
        </w:rPr>
      </w:pPr>
      <w:r>
        <w:rPr>
          <w:color w:val="803108"/>
          <w:sz w:val="17"/>
        </w:rPr>
        <w:t>…</w:t>
      </w:r>
      <w:r>
        <w:rPr>
          <w:color w:val="803108"/>
          <w:spacing w:val="-8"/>
          <w:sz w:val="17"/>
        </w:rPr>
        <w:t xml:space="preserve"> </w:t>
      </w:r>
      <w:r>
        <w:rPr>
          <w:color w:val="803108"/>
          <w:sz w:val="17"/>
        </w:rPr>
        <w:t>la</w:t>
      </w:r>
      <w:r>
        <w:rPr>
          <w:color w:val="803108"/>
          <w:spacing w:val="-8"/>
          <w:sz w:val="17"/>
        </w:rPr>
        <w:t xml:space="preserve"> </w:t>
      </w:r>
      <w:r>
        <w:rPr>
          <w:color w:val="803108"/>
          <w:sz w:val="17"/>
        </w:rPr>
        <w:t>importancia</w:t>
      </w:r>
      <w:r>
        <w:rPr>
          <w:color w:val="803108"/>
          <w:spacing w:val="-8"/>
          <w:sz w:val="17"/>
        </w:rPr>
        <w:t xml:space="preserve"> </w:t>
      </w:r>
      <w:r>
        <w:rPr>
          <w:color w:val="803108"/>
          <w:sz w:val="17"/>
        </w:rPr>
        <w:t>de</w:t>
      </w:r>
      <w:r>
        <w:rPr>
          <w:color w:val="803108"/>
          <w:spacing w:val="-8"/>
          <w:sz w:val="17"/>
        </w:rPr>
        <w:t xml:space="preserve"> </w:t>
      </w:r>
      <w:r>
        <w:rPr>
          <w:color w:val="803108"/>
          <w:sz w:val="17"/>
        </w:rPr>
        <w:t>reconocer</w:t>
      </w:r>
      <w:r>
        <w:rPr>
          <w:color w:val="803108"/>
          <w:spacing w:val="-8"/>
          <w:sz w:val="17"/>
        </w:rPr>
        <w:t xml:space="preserve"> </w:t>
      </w:r>
      <w:r>
        <w:rPr>
          <w:color w:val="803108"/>
          <w:sz w:val="17"/>
        </w:rPr>
        <w:t>y</w:t>
      </w:r>
      <w:r>
        <w:rPr>
          <w:color w:val="803108"/>
          <w:spacing w:val="-8"/>
          <w:sz w:val="17"/>
        </w:rPr>
        <w:t xml:space="preserve"> </w:t>
      </w:r>
      <w:r>
        <w:rPr>
          <w:color w:val="803108"/>
          <w:sz w:val="17"/>
        </w:rPr>
        <w:t>abordar</w:t>
      </w:r>
      <w:r>
        <w:rPr>
          <w:color w:val="803108"/>
          <w:spacing w:val="-8"/>
          <w:sz w:val="17"/>
        </w:rPr>
        <w:t xml:space="preserve"> </w:t>
      </w:r>
      <w:r>
        <w:rPr>
          <w:color w:val="803108"/>
          <w:sz w:val="17"/>
        </w:rPr>
        <w:t>formas</w:t>
      </w:r>
      <w:r>
        <w:rPr>
          <w:color w:val="803108"/>
          <w:spacing w:val="-8"/>
          <w:sz w:val="17"/>
        </w:rPr>
        <w:t xml:space="preserve"> </w:t>
      </w:r>
      <w:r>
        <w:rPr>
          <w:color w:val="803108"/>
          <w:sz w:val="17"/>
        </w:rPr>
        <w:t>múltiples,</w:t>
      </w:r>
      <w:r>
        <w:rPr>
          <w:color w:val="803108"/>
          <w:spacing w:val="-7"/>
          <w:sz w:val="17"/>
        </w:rPr>
        <w:t xml:space="preserve"> </w:t>
      </w:r>
      <w:r>
        <w:rPr>
          <w:color w:val="803108"/>
          <w:sz w:val="17"/>
        </w:rPr>
        <w:t>agravadas</w:t>
      </w:r>
      <w:r>
        <w:rPr>
          <w:color w:val="803108"/>
          <w:spacing w:val="-8"/>
          <w:sz w:val="17"/>
        </w:rPr>
        <w:t xml:space="preserve"> </w:t>
      </w:r>
      <w:r>
        <w:rPr>
          <w:color w:val="803108"/>
          <w:sz w:val="17"/>
        </w:rPr>
        <w:t>e</w:t>
      </w:r>
      <w:r>
        <w:rPr>
          <w:color w:val="803108"/>
          <w:spacing w:val="-8"/>
          <w:sz w:val="17"/>
        </w:rPr>
        <w:t xml:space="preserve"> </w:t>
      </w:r>
      <w:r>
        <w:rPr>
          <w:color w:val="803108"/>
          <w:sz w:val="17"/>
        </w:rPr>
        <w:t>interseccionales</w:t>
      </w:r>
      <w:r>
        <w:rPr>
          <w:color w:val="803108"/>
          <w:spacing w:val="-8"/>
          <w:sz w:val="17"/>
        </w:rPr>
        <w:t xml:space="preserve"> </w:t>
      </w:r>
      <w:r>
        <w:rPr>
          <w:color w:val="803108"/>
          <w:sz w:val="17"/>
        </w:rPr>
        <w:t>de</w:t>
      </w:r>
      <w:r>
        <w:rPr>
          <w:color w:val="803108"/>
          <w:spacing w:val="-8"/>
          <w:sz w:val="17"/>
        </w:rPr>
        <w:t xml:space="preserve"> </w:t>
      </w:r>
      <w:r>
        <w:rPr>
          <w:color w:val="803108"/>
          <w:sz w:val="17"/>
        </w:rPr>
        <w:t>discriminación</w:t>
      </w:r>
      <w:r>
        <w:rPr>
          <w:color w:val="803108"/>
          <w:spacing w:val="-8"/>
          <w:sz w:val="17"/>
        </w:rPr>
        <w:t xml:space="preserve"> </w:t>
      </w:r>
      <w:r>
        <w:rPr>
          <w:color w:val="803108"/>
          <w:sz w:val="17"/>
        </w:rPr>
        <w:t>contra personas pertenecientes a minorías nacionales o étnicas, religiosas y lingüísticas y el impacto negativo compuesto en el disfrute de sus derechos,847</w:t>
      </w:r>
    </w:p>
    <w:p w14:paraId="224F77BA" w14:textId="77777777" w:rsidR="0014798C" w:rsidRDefault="004E1F0B">
      <w:pPr>
        <w:spacing w:before="126" w:line="316" w:lineRule="auto"/>
        <w:ind w:left="1107" w:right="1272" w:firstLine="1"/>
        <w:rPr>
          <w:sz w:val="17"/>
        </w:rPr>
      </w:pPr>
      <w:r>
        <w:rPr>
          <w:sz w:val="15"/>
        </w:rPr>
        <w:t>En</w:t>
      </w:r>
      <w:r>
        <w:rPr>
          <w:spacing w:val="-2"/>
          <w:sz w:val="15"/>
        </w:rPr>
        <w:t xml:space="preserve"> </w:t>
      </w:r>
      <w:r>
        <w:rPr>
          <w:sz w:val="15"/>
        </w:rPr>
        <w:t>diversos</w:t>
      </w:r>
      <w:r>
        <w:rPr>
          <w:spacing w:val="-2"/>
          <w:sz w:val="15"/>
        </w:rPr>
        <w:t xml:space="preserve"> </w:t>
      </w:r>
      <w:r>
        <w:rPr>
          <w:sz w:val="15"/>
        </w:rPr>
        <w:t>contextos</w:t>
      </w:r>
      <w:r>
        <w:rPr>
          <w:spacing w:val="-2"/>
          <w:sz w:val="15"/>
        </w:rPr>
        <w:t xml:space="preserve"> </w:t>
      </w:r>
      <w:r>
        <w:rPr>
          <w:sz w:val="15"/>
        </w:rPr>
        <w:t>y</w:t>
      </w:r>
      <w:r>
        <w:rPr>
          <w:spacing w:val="-2"/>
          <w:sz w:val="15"/>
        </w:rPr>
        <w:t xml:space="preserve"> </w:t>
      </w:r>
      <w:r>
        <w:rPr>
          <w:sz w:val="15"/>
        </w:rPr>
        <w:t>áreas</w:t>
      </w:r>
      <w:r>
        <w:rPr>
          <w:spacing w:val="-2"/>
          <w:sz w:val="15"/>
        </w:rPr>
        <w:t xml:space="preserve"> </w:t>
      </w:r>
      <w:r>
        <w:rPr>
          <w:sz w:val="15"/>
        </w:rPr>
        <w:t>de</w:t>
      </w:r>
      <w:r>
        <w:rPr>
          <w:spacing w:val="-2"/>
          <w:sz w:val="15"/>
        </w:rPr>
        <w:t xml:space="preserve"> </w:t>
      </w:r>
      <w:r>
        <w:rPr>
          <w:sz w:val="15"/>
        </w:rPr>
        <w:t>la</w:t>
      </w:r>
      <w:r>
        <w:rPr>
          <w:spacing w:val="-2"/>
          <w:sz w:val="15"/>
        </w:rPr>
        <w:t xml:space="preserve"> </w:t>
      </w:r>
      <w:r>
        <w:rPr>
          <w:sz w:val="15"/>
        </w:rPr>
        <w:t>vida,</w:t>
      </w:r>
      <w:r>
        <w:rPr>
          <w:spacing w:val="-1"/>
          <w:sz w:val="15"/>
        </w:rPr>
        <w:t xml:space="preserve"> </w:t>
      </w:r>
      <w:r>
        <w:rPr>
          <w:sz w:val="15"/>
        </w:rPr>
        <w:t>los</w:t>
      </w:r>
      <w:r>
        <w:rPr>
          <w:spacing w:val="-2"/>
          <w:sz w:val="15"/>
        </w:rPr>
        <w:t xml:space="preserve"> </w:t>
      </w:r>
      <w:r>
        <w:rPr>
          <w:sz w:val="15"/>
        </w:rPr>
        <w:t>órganos</w:t>
      </w:r>
      <w:r>
        <w:rPr>
          <w:spacing w:val="-2"/>
          <w:sz w:val="15"/>
        </w:rPr>
        <w:t xml:space="preserve"> </w:t>
      </w:r>
      <w:r>
        <w:rPr>
          <w:sz w:val="15"/>
        </w:rPr>
        <w:t>creados</w:t>
      </w:r>
      <w:r>
        <w:rPr>
          <w:spacing w:val="-2"/>
          <w:sz w:val="15"/>
        </w:rPr>
        <w:t xml:space="preserve"> </w:t>
      </w:r>
      <w:r>
        <w:rPr>
          <w:sz w:val="15"/>
        </w:rPr>
        <w:t>en</w:t>
      </w:r>
      <w:r>
        <w:rPr>
          <w:spacing w:val="-2"/>
          <w:sz w:val="15"/>
        </w:rPr>
        <w:t xml:space="preserve"> </w:t>
      </w:r>
      <w:r>
        <w:rPr>
          <w:sz w:val="15"/>
        </w:rPr>
        <w:t>virtud</w:t>
      </w:r>
      <w:r>
        <w:rPr>
          <w:spacing w:val="-2"/>
          <w:sz w:val="15"/>
        </w:rPr>
        <w:t xml:space="preserve"> </w:t>
      </w:r>
      <w:r>
        <w:rPr>
          <w:sz w:val="15"/>
        </w:rPr>
        <w:t>de</w:t>
      </w:r>
      <w:r>
        <w:rPr>
          <w:spacing w:val="-2"/>
          <w:sz w:val="15"/>
        </w:rPr>
        <w:t xml:space="preserve"> </w:t>
      </w:r>
      <w:r>
        <w:rPr>
          <w:sz w:val="15"/>
        </w:rPr>
        <w:t>tratados,</w:t>
      </w:r>
      <w:r>
        <w:rPr>
          <w:spacing w:val="-1"/>
          <w:sz w:val="15"/>
        </w:rPr>
        <w:t xml:space="preserve"> </w:t>
      </w:r>
      <w:r>
        <w:rPr>
          <w:sz w:val="15"/>
        </w:rPr>
        <w:t>incluido</w:t>
      </w:r>
      <w:r>
        <w:rPr>
          <w:spacing w:val="-2"/>
          <w:sz w:val="15"/>
        </w:rPr>
        <w:t xml:space="preserve"> </w:t>
      </w:r>
      <w:r>
        <w:rPr>
          <w:sz w:val="15"/>
        </w:rPr>
        <w:t>el</w:t>
      </w:r>
      <w:r>
        <w:rPr>
          <w:spacing w:val="-2"/>
          <w:sz w:val="15"/>
        </w:rPr>
        <w:t xml:space="preserve"> </w:t>
      </w:r>
      <w:r>
        <w:rPr>
          <w:sz w:val="15"/>
        </w:rPr>
        <w:t>Comité</w:t>
      </w:r>
      <w:r>
        <w:rPr>
          <w:spacing w:val="-2"/>
          <w:sz w:val="15"/>
        </w:rPr>
        <w:t xml:space="preserve"> </w:t>
      </w:r>
      <w:r>
        <w:rPr>
          <w:sz w:val="15"/>
        </w:rPr>
        <w:t>de</w:t>
      </w:r>
      <w:r>
        <w:rPr>
          <w:spacing w:val="-2"/>
          <w:sz w:val="15"/>
        </w:rPr>
        <w:t xml:space="preserve"> </w:t>
      </w:r>
      <w:r>
        <w:rPr>
          <w:sz w:val="15"/>
        </w:rPr>
        <w:t>Derechos</w:t>
      </w:r>
      <w:r>
        <w:rPr>
          <w:spacing w:val="-2"/>
          <w:sz w:val="15"/>
        </w:rPr>
        <w:t xml:space="preserve"> </w:t>
      </w:r>
      <w:r>
        <w:rPr>
          <w:sz w:val="15"/>
        </w:rPr>
        <w:t>Humanos,</w:t>
      </w:r>
      <w:r>
        <w:rPr>
          <w:spacing w:val="-1"/>
          <w:sz w:val="15"/>
        </w:rPr>
        <w:t xml:space="preserve"> </w:t>
      </w:r>
      <w:r>
        <w:rPr>
          <w:sz w:val="15"/>
        </w:rPr>
        <w:t>el</w:t>
      </w:r>
      <w:r>
        <w:rPr>
          <w:spacing w:val="-2"/>
          <w:sz w:val="15"/>
        </w:rPr>
        <w:t xml:space="preserve"> </w:t>
      </w:r>
      <w:r>
        <w:rPr>
          <w:sz w:val="15"/>
        </w:rPr>
        <w:t>Comité</w:t>
      </w:r>
      <w:r>
        <w:rPr>
          <w:spacing w:val="-2"/>
          <w:sz w:val="15"/>
        </w:rPr>
        <w:t xml:space="preserve"> </w:t>
      </w:r>
      <w:r>
        <w:rPr>
          <w:sz w:val="15"/>
        </w:rPr>
        <w:t xml:space="preserve">de </w:t>
      </w:r>
      <w:r>
        <w:rPr>
          <w:sz w:val="17"/>
        </w:rPr>
        <w:t>Derechos Económicos, Sociales y Culturales, el Comité para la Eliminación de la Discriminación contra la Mujer, el Comité para la Eliminación de la Discriminación Racial, el Comité sobre los Derechos de las Personas con</w:t>
      </w:r>
    </w:p>
    <w:p w14:paraId="5DB0EBA4" w14:textId="77777777" w:rsidR="0014798C" w:rsidRDefault="004E1F0B">
      <w:pPr>
        <w:spacing w:line="307" w:lineRule="auto"/>
        <w:ind w:left="1111" w:right="1272" w:hanging="3"/>
        <w:rPr>
          <w:sz w:val="17"/>
        </w:rPr>
      </w:pPr>
      <w:r>
        <w:rPr>
          <w:sz w:val="17"/>
        </w:rPr>
        <w:t>Discapacidades,</w:t>
      </w:r>
      <w:r>
        <w:rPr>
          <w:spacing w:val="-4"/>
          <w:sz w:val="17"/>
        </w:rPr>
        <w:t xml:space="preserve"> </w:t>
      </w:r>
      <w:r>
        <w:rPr>
          <w:sz w:val="17"/>
        </w:rPr>
        <w:t>el</w:t>
      </w:r>
      <w:r>
        <w:rPr>
          <w:spacing w:val="-6"/>
          <w:sz w:val="17"/>
        </w:rPr>
        <w:t xml:space="preserve"> </w:t>
      </w:r>
      <w:r>
        <w:rPr>
          <w:sz w:val="17"/>
        </w:rPr>
        <w:t>Comité</w:t>
      </w:r>
      <w:r>
        <w:rPr>
          <w:spacing w:val="-6"/>
          <w:sz w:val="17"/>
        </w:rPr>
        <w:t xml:space="preserve"> </w:t>
      </w:r>
      <w:r>
        <w:rPr>
          <w:sz w:val="17"/>
        </w:rPr>
        <w:t>contra</w:t>
      </w:r>
      <w:r>
        <w:rPr>
          <w:spacing w:val="-6"/>
          <w:sz w:val="17"/>
        </w:rPr>
        <w:t xml:space="preserve"> </w:t>
      </w:r>
      <w:r>
        <w:rPr>
          <w:sz w:val="17"/>
        </w:rPr>
        <w:t>la</w:t>
      </w:r>
      <w:r>
        <w:rPr>
          <w:spacing w:val="-6"/>
          <w:sz w:val="17"/>
        </w:rPr>
        <w:t xml:space="preserve"> </w:t>
      </w:r>
      <w:r>
        <w:rPr>
          <w:sz w:val="17"/>
        </w:rPr>
        <w:t>Tortura,</w:t>
      </w:r>
      <w:r>
        <w:rPr>
          <w:spacing w:val="-5"/>
          <w:sz w:val="17"/>
        </w:rPr>
        <w:t xml:space="preserve"> </w:t>
      </w:r>
      <w:r>
        <w:rPr>
          <w:sz w:val="17"/>
        </w:rPr>
        <w:t>el</w:t>
      </w:r>
      <w:r>
        <w:rPr>
          <w:spacing w:val="-6"/>
          <w:sz w:val="17"/>
        </w:rPr>
        <w:t xml:space="preserve"> </w:t>
      </w:r>
      <w:r>
        <w:rPr>
          <w:sz w:val="17"/>
        </w:rPr>
        <w:t>Comité</w:t>
      </w:r>
      <w:r>
        <w:rPr>
          <w:spacing w:val="-6"/>
          <w:sz w:val="17"/>
        </w:rPr>
        <w:t xml:space="preserve"> </w:t>
      </w:r>
      <w:r>
        <w:rPr>
          <w:sz w:val="17"/>
        </w:rPr>
        <w:t>de</w:t>
      </w:r>
      <w:r>
        <w:rPr>
          <w:spacing w:val="-6"/>
          <w:sz w:val="17"/>
        </w:rPr>
        <w:t xml:space="preserve"> </w:t>
      </w:r>
      <w:r>
        <w:rPr>
          <w:sz w:val="17"/>
        </w:rPr>
        <w:t>los</w:t>
      </w:r>
      <w:r>
        <w:rPr>
          <w:spacing w:val="-6"/>
          <w:sz w:val="17"/>
        </w:rPr>
        <w:t xml:space="preserve"> </w:t>
      </w:r>
      <w:r>
        <w:rPr>
          <w:sz w:val="17"/>
        </w:rPr>
        <w:t>Derechos</w:t>
      </w:r>
      <w:r>
        <w:rPr>
          <w:spacing w:val="-6"/>
          <w:sz w:val="17"/>
        </w:rPr>
        <w:t xml:space="preserve"> </w:t>
      </w:r>
      <w:r>
        <w:rPr>
          <w:sz w:val="17"/>
        </w:rPr>
        <w:t>del</w:t>
      </w:r>
      <w:r>
        <w:rPr>
          <w:spacing w:val="-6"/>
          <w:sz w:val="17"/>
        </w:rPr>
        <w:t xml:space="preserve"> </w:t>
      </w:r>
      <w:r>
        <w:rPr>
          <w:sz w:val="17"/>
        </w:rPr>
        <w:t>Niño</w:t>
      </w:r>
      <w:r>
        <w:rPr>
          <w:spacing w:val="-6"/>
          <w:sz w:val="17"/>
        </w:rPr>
        <w:t xml:space="preserve"> </w:t>
      </w:r>
      <w:r>
        <w:rPr>
          <w:sz w:val="17"/>
        </w:rPr>
        <w:t>y</w:t>
      </w:r>
      <w:r>
        <w:rPr>
          <w:spacing w:val="-6"/>
          <w:sz w:val="17"/>
        </w:rPr>
        <w:t xml:space="preserve"> </w:t>
      </w:r>
      <w:r>
        <w:rPr>
          <w:sz w:val="17"/>
        </w:rPr>
        <w:t>el</w:t>
      </w:r>
      <w:r>
        <w:rPr>
          <w:spacing w:val="-6"/>
          <w:sz w:val="17"/>
        </w:rPr>
        <w:t xml:space="preserve"> </w:t>
      </w:r>
      <w:r>
        <w:rPr>
          <w:sz w:val="17"/>
        </w:rPr>
        <w:t>Comité</w:t>
      </w:r>
      <w:r>
        <w:rPr>
          <w:spacing w:val="-6"/>
          <w:sz w:val="17"/>
        </w:rPr>
        <w:t xml:space="preserve"> </w:t>
      </w:r>
      <w:r>
        <w:rPr>
          <w:sz w:val="17"/>
        </w:rPr>
        <w:t>para</w:t>
      </w:r>
      <w:r>
        <w:rPr>
          <w:spacing w:val="-6"/>
          <w:sz w:val="17"/>
        </w:rPr>
        <w:t xml:space="preserve"> </w:t>
      </w:r>
      <w:r>
        <w:rPr>
          <w:sz w:val="17"/>
        </w:rPr>
        <w:t>la</w:t>
      </w:r>
      <w:r>
        <w:rPr>
          <w:spacing w:val="-6"/>
          <w:sz w:val="17"/>
        </w:rPr>
        <w:t xml:space="preserve"> </w:t>
      </w:r>
      <w:r>
        <w:rPr>
          <w:sz w:val="17"/>
        </w:rPr>
        <w:t>Protección</w:t>
      </w:r>
      <w:r>
        <w:rPr>
          <w:spacing w:val="-6"/>
          <w:sz w:val="17"/>
        </w:rPr>
        <w:t xml:space="preserve"> </w:t>
      </w:r>
      <w:r>
        <w:rPr>
          <w:sz w:val="17"/>
        </w:rPr>
        <w:t>de</w:t>
      </w:r>
      <w:r>
        <w:rPr>
          <w:spacing w:val="-6"/>
          <w:sz w:val="17"/>
        </w:rPr>
        <w:t xml:space="preserve"> </w:t>
      </w:r>
      <w:r>
        <w:rPr>
          <w:sz w:val="17"/>
        </w:rPr>
        <w:t>los Derechos de Todos los Trabajadores Migratorios y de sus Familiares, han pedido</w:t>
      </w:r>
    </w:p>
    <w:p w14:paraId="674CE0F2" w14:textId="77777777" w:rsidR="0014798C" w:rsidRDefault="0014798C">
      <w:pPr>
        <w:pStyle w:val="Textoindependiente"/>
        <w:rPr>
          <w:sz w:val="11"/>
        </w:rPr>
      </w:pPr>
    </w:p>
    <w:p w14:paraId="0B5E931C" w14:textId="77777777" w:rsidR="0014798C" w:rsidRDefault="0014798C">
      <w:pPr>
        <w:pStyle w:val="Textoindependiente"/>
        <w:rPr>
          <w:sz w:val="11"/>
        </w:rPr>
      </w:pPr>
    </w:p>
    <w:p w14:paraId="463E61ED" w14:textId="77777777" w:rsidR="0014798C" w:rsidRDefault="0014798C">
      <w:pPr>
        <w:pStyle w:val="Textoindependiente"/>
        <w:rPr>
          <w:sz w:val="11"/>
        </w:rPr>
      </w:pPr>
    </w:p>
    <w:p w14:paraId="623FA93F" w14:textId="77777777" w:rsidR="0014798C" w:rsidRDefault="0014798C">
      <w:pPr>
        <w:pStyle w:val="Textoindependiente"/>
        <w:rPr>
          <w:sz w:val="11"/>
        </w:rPr>
      </w:pPr>
    </w:p>
    <w:p w14:paraId="3F4CC229" w14:textId="77777777" w:rsidR="0014798C" w:rsidRDefault="0014798C">
      <w:pPr>
        <w:pStyle w:val="Textoindependiente"/>
        <w:rPr>
          <w:sz w:val="11"/>
        </w:rPr>
      </w:pPr>
    </w:p>
    <w:p w14:paraId="7EC1646D" w14:textId="77777777" w:rsidR="0014798C" w:rsidRDefault="0014798C">
      <w:pPr>
        <w:pStyle w:val="Textoindependiente"/>
        <w:rPr>
          <w:sz w:val="11"/>
        </w:rPr>
      </w:pPr>
    </w:p>
    <w:p w14:paraId="5C369904" w14:textId="77777777" w:rsidR="0014798C" w:rsidRDefault="0014798C">
      <w:pPr>
        <w:pStyle w:val="Textoindependiente"/>
        <w:rPr>
          <w:sz w:val="11"/>
        </w:rPr>
      </w:pPr>
    </w:p>
    <w:p w14:paraId="35990C30" w14:textId="77777777" w:rsidR="0014798C" w:rsidRDefault="0014798C">
      <w:pPr>
        <w:pStyle w:val="Textoindependiente"/>
        <w:rPr>
          <w:sz w:val="11"/>
        </w:rPr>
      </w:pPr>
    </w:p>
    <w:p w14:paraId="4B757031" w14:textId="77777777" w:rsidR="0014798C" w:rsidRDefault="0014798C">
      <w:pPr>
        <w:pStyle w:val="Textoindependiente"/>
        <w:spacing w:before="97"/>
        <w:rPr>
          <w:sz w:val="11"/>
        </w:rPr>
      </w:pPr>
    </w:p>
    <w:p w14:paraId="735DF112" w14:textId="77777777" w:rsidR="0014798C" w:rsidRDefault="004E1F0B">
      <w:pPr>
        <w:pStyle w:val="Prrafodelista"/>
        <w:numPr>
          <w:ilvl w:val="0"/>
          <w:numId w:val="27"/>
        </w:numPr>
        <w:tabs>
          <w:tab w:val="left" w:pos="1329"/>
        </w:tabs>
        <w:ind w:left="1329" w:hanging="219"/>
        <w:rPr>
          <w:sz w:val="11"/>
        </w:rPr>
      </w:pPr>
      <w:r>
        <w:rPr>
          <w:sz w:val="11"/>
        </w:rPr>
        <w:t>Resolución</w:t>
      </w:r>
      <w:r>
        <w:rPr>
          <w:spacing w:val="7"/>
          <w:sz w:val="11"/>
        </w:rPr>
        <w:t xml:space="preserve"> </w:t>
      </w:r>
      <w:r>
        <w:rPr>
          <w:sz w:val="11"/>
        </w:rPr>
        <w:t>43/8</w:t>
      </w:r>
      <w:r>
        <w:rPr>
          <w:spacing w:val="6"/>
          <w:sz w:val="11"/>
        </w:rPr>
        <w:t xml:space="preserve"> </w:t>
      </w:r>
      <w:r>
        <w:rPr>
          <w:sz w:val="11"/>
        </w:rPr>
        <w:t>del</w:t>
      </w:r>
      <w:r>
        <w:rPr>
          <w:spacing w:val="7"/>
          <w:sz w:val="11"/>
        </w:rPr>
        <w:t xml:space="preserve"> </w:t>
      </w:r>
      <w:r>
        <w:rPr>
          <w:sz w:val="11"/>
        </w:rPr>
        <w:t>Consejo</w:t>
      </w:r>
      <w:r>
        <w:rPr>
          <w:spacing w:val="8"/>
          <w:sz w:val="11"/>
        </w:rPr>
        <w:t xml:space="preserve"> </w:t>
      </w:r>
      <w:r>
        <w:rPr>
          <w:sz w:val="11"/>
        </w:rPr>
        <w:t>de</w:t>
      </w:r>
      <w:r>
        <w:rPr>
          <w:spacing w:val="7"/>
          <w:sz w:val="11"/>
        </w:rPr>
        <w:t xml:space="preserve"> </w:t>
      </w:r>
      <w:r>
        <w:rPr>
          <w:sz w:val="11"/>
        </w:rPr>
        <w:t>Derechos</w:t>
      </w:r>
      <w:r>
        <w:rPr>
          <w:spacing w:val="6"/>
          <w:sz w:val="11"/>
        </w:rPr>
        <w:t xml:space="preserve"> </w:t>
      </w:r>
      <w:r>
        <w:rPr>
          <w:sz w:val="11"/>
        </w:rPr>
        <w:t>Humanos,</w:t>
      </w:r>
      <w:r>
        <w:rPr>
          <w:spacing w:val="8"/>
          <w:sz w:val="11"/>
        </w:rPr>
        <w:t xml:space="preserve"> </w:t>
      </w:r>
      <w:r>
        <w:rPr>
          <w:spacing w:val="-2"/>
          <w:sz w:val="11"/>
        </w:rPr>
        <w:t>preámbulo.</w:t>
      </w:r>
    </w:p>
    <w:p w14:paraId="75F6479B" w14:textId="77777777" w:rsidR="0014798C" w:rsidRDefault="0014798C">
      <w:pPr>
        <w:pStyle w:val="Textoindependiente"/>
        <w:rPr>
          <w:sz w:val="17"/>
        </w:rPr>
      </w:pPr>
    </w:p>
    <w:p w14:paraId="0426001F" w14:textId="77777777" w:rsidR="0014798C" w:rsidRDefault="0014798C">
      <w:pPr>
        <w:pStyle w:val="Textoindependiente"/>
        <w:rPr>
          <w:sz w:val="17"/>
        </w:rPr>
      </w:pPr>
    </w:p>
    <w:p w14:paraId="40DF4DA6" w14:textId="77777777" w:rsidR="0014798C" w:rsidRDefault="0014798C">
      <w:pPr>
        <w:pStyle w:val="Textoindependiente"/>
        <w:spacing w:before="74"/>
        <w:rPr>
          <w:sz w:val="17"/>
        </w:rPr>
      </w:pPr>
    </w:p>
    <w:p w14:paraId="51B2AF79" w14:textId="77777777" w:rsidR="0014798C" w:rsidRDefault="004E1F0B">
      <w:pPr>
        <w:ind w:right="712"/>
        <w:jc w:val="right"/>
        <w:rPr>
          <w:sz w:val="17"/>
        </w:rPr>
      </w:pPr>
      <w:r>
        <w:rPr>
          <w:spacing w:val="-5"/>
          <w:sz w:val="17"/>
        </w:rPr>
        <w:t>123</w:t>
      </w:r>
    </w:p>
    <w:p w14:paraId="4F028A73" w14:textId="77777777" w:rsidR="0014798C" w:rsidRDefault="0014798C">
      <w:pPr>
        <w:jc w:val="right"/>
        <w:rPr>
          <w:sz w:val="17"/>
        </w:rPr>
        <w:sectPr w:rsidR="0014798C" w:rsidSect="00F265E4">
          <w:headerReference w:type="default" r:id="rId234"/>
          <w:pgSz w:w="11900" w:h="16820"/>
          <w:pgMar w:top="340" w:right="0" w:bottom="280" w:left="200" w:header="121" w:footer="0" w:gutter="0"/>
          <w:cols w:space="720"/>
        </w:sectPr>
      </w:pPr>
    </w:p>
    <w:p w14:paraId="2F864149" w14:textId="77777777" w:rsidR="0014798C" w:rsidRDefault="0014798C">
      <w:pPr>
        <w:pStyle w:val="Textoindependiente"/>
        <w:spacing w:before="85"/>
        <w:rPr>
          <w:sz w:val="12"/>
        </w:rPr>
      </w:pPr>
    </w:p>
    <w:p w14:paraId="4C834963" w14:textId="77777777" w:rsidR="0014798C" w:rsidRDefault="004E1F0B">
      <w:pPr>
        <w:ind w:left="1111"/>
        <w:rPr>
          <w:sz w:val="12"/>
        </w:rPr>
      </w:pPr>
      <w:r>
        <w:rPr>
          <w:color w:val="803108"/>
          <w:sz w:val="12"/>
        </w:rPr>
        <w:t>PROTECCIÓN</w:t>
      </w:r>
      <w:r>
        <w:rPr>
          <w:color w:val="803108"/>
          <w:spacing w:val="6"/>
          <w:sz w:val="12"/>
        </w:rPr>
        <w:t xml:space="preserve"> </w:t>
      </w:r>
      <w:r>
        <w:rPr>
          <w:color w:val="803108"/>
          <w:sz w:val="12"/>
        </w:rPr>
        <w:t>DE</w:t>
      </w:r>
      <w:r>
        <w:rPr>
          <w:color w:val="803108"/>
          <w:spacing w:val="7"/>
          <w:sz w:val="12"/>
        </w:rPr>
        <w:t xml:space="preserve"> </w:t>
      </w:r>
      <w:r>
        <w:rPr>
          <w:color w:val="803108"/>
          <w:sz w:val="12"/>
        </w:rPr>
        <w:t>LOS</w:t>
      </w:r>
      <w:r>
        <w:rPr>
          <w:color w:val="803108"/>
          <w:spacing w:val="8"/>
          <w:sz w:val="12"/>
        </w:rPr>
        <w:t xml:space="preserve"> </w:t>
      </w:r>
      <w:r>
        <w:rPr>
          <w:color w:val="803108"/>
          <w:sz w:val="12"/>
        </w:rPr>
        <w:t>DERECHOS</w:t>
      </w:r>
      <w:r>
        <w:rPr>
          <w:color w:val="803108"/>
          <w:spacing w:val="8"/>
          <w:sz w:val="12"/>
        </w:rPr>
        <w:t xml:space="preserve"> </w:t>
      </w:r>
      <w:r>
        <w:rPr>
          <w:color w:val="803108"/>
          <w:sz w:val="12"/>
        </w:rPr>
        <w:t>DE</w:t>
      </w:r>
      <w:r>
        <w:rPr>
          <w:color w:val="803108"/>
          <w:spacing w:val="6"/>
          <w:sz w:val="12"/>
        </w:rPr>
        <w:t xml:space="preserve"> </w:t>
      </w:r>
      <w:r>
        <w:rPr>
          <w:color w:val="803108"/>
          <w:sz w:val="12"/>
        </w:rPr>
        <w:t>LAS</w:t>
      </w:r>
      <w:r>
        <w:rPr>
          <w:color w:val="803108"/>
          <w:spacing w:val="7"/>
          <w:sz w:val="12"/>
        </w:rPr>
        <w:t xml:space="preserve"> </w:t>
      </w:r>
      <w:r>
        <w:rPr>
          <w:color w:val="803108"/>
          <w:sz w:val="12"/>
        </w:rPr>
        <w:t>MINORÍAS:</w:t>
      </w:r>
      <w:r>
        <w:rPr>
          <w:color w:val="803108"/>
          <w:spacing w:val="8"/>
          <w:sz w:val="12"/>
        </w:rPr>
        <w:t xml:space="preserve"> </w:t>
      </w:r>
      <w:r>
        <w:rPr>
          <w:color w:val="803108"/>
          <w:sz w:val="12"/>
        </w:rPr>
        <w:t>una</w:t>
      </w:r>
      <w:r>
        <w:rPr>
          <w:color w:val="803108"/>
          <w:spacing w:val="7"/>
          <w:sz w:val="12"/>
        </w:rPr>
        <w:t xml:space="preserve"> </w:t>
      </w:r>
      <w:r>
        <w:rPr>
          <w:color w:val="803108"/>
          <w:sz w:val="12"/>
        </w:rPr>
        <w:t>guía</w:t>
      </w:r>
      <w:r>
        <w:rPr>
          <w:color w:val="803108"/>
          <w:spacing w:val="6"/>
          <w:sz w:val="12"/>
        </w:rPr>
        <w:t xml:space="preserve"> </w:t>
      </w:r>
      <w:r>
        <w:rPr>
          <w:color w:val="803108"/>
          <w:sz w:val="12"/>
        </w:rPr>
        <w:t>práctica</w:t>
      </w:r>
      <w:r>
        <w:rPr>
          <w:color w:val="803108"/>
          <w:spacing w:val="7"/>
          <w:sz w:val="12"/>
        </w:rPr>
        <w:t xml:space="preserve"> </w:t>
      </w:r>
      <w:r>
        <w:rPr>
          <w:color w:val="803108"/>
          <w:sz w:val="12"/>
        </w:rPr>
        <w:t>para</w:t>
      </w:r>
      <w:r>
        <w:rPr>
          <w:color w:val="803108"/>
          <w:spacing w:val="8"/>
          <w:sz w:val="12"/>
        </w:rPr>
        <w:t xml:space="preserve"> </w:t>
      </w:r>
      <w:r>
        <w:rPr>
          <w:color w:val="803108"/>
          <w:sz w:val="12"/>
        </w:rPr>
        <w:t>desarrollar</w:t>
      </w:r>
      <w:r>
        <w:rPr>
          <w:color w:val="803108"/>
          <w:spacing w:val="6"/>
          <w:sz w:val="12"/>
        </w:rPr>
        <w:t xml:space="preserve"> </w:t>
      </w:r>
      <w:r>
        <w:rPr>
          <w:color w:val="803108"/>
          <w:sz w:val="12"/>
        </w:rPr>
        <w:t>una</w:t>
      </w:r>
      <w:r>
        <w:rPr>
          <w:color w:val="803108"/>
          <w:spacing w:val="7"/>
          <w:sz w:val="12"/>
        </w:rPr>
        <w:t xml:space="preserve"> </w:t>
      </w:r>
      <w:r>
        <w:rPr>
          <w:color w:val="803108"/>
          <w:sz w:val="12"/>
        </w:rPr>
        <w:t>legislación</w:t>
      </w:r>
      <w:r>
        <w:rPr>
          <w:color w:val="803108"/>
          <w:spacing w:val="8"/>
          <w:sz w:val="12"/>
        </w:rPr>
        <w:t xml:space="preserve"> </w:t>
      </w:r>
      <w:r>
        <w:rPr>
          <w:color w:val="803108"/>
          <w:sz w:val="12"/>
        </w:rPr>
        <w:t>integral</w:t>
      </w:r>
      <w:r>
        <w:rPr>
          <w:color w:val="803108"/>
          <w:spacing w:val="7"/>
          <w:sz w:val="12"/>
        </w:rPr>
        <w:t xml:space="preserve"> </w:t>
      </w:r>
      <w:r>
        <w:rPr>
          <w:color w:val="803108"/>
          <w:sz w:val="12"/>
        </w:rPr>
        <w:t>contra</w:t>
      </w:r>
      <w:r>
        <w:rPr>
          <w:color w:val="803108"/>
          <w:spacing w:val="6"/>
          <w:sz w:val="12"/>
        </w:rPr>
        <w:t xml:space="preserve"> </w:t>
      </w:r>
      <w:r>
        <w:rPr>
          <w:color w:val="803108"/>
          <w:sz w:val="12"/>
        </w:rPr>
        <w:t>la</w:t>
      </w:r>
      <w:r>
        <w:rPr>
          <w:color w:val="803108"/>
          <w:spacing w:val="7"/>
          <w:sz w:val="12"/>
        </w:rPr>
        <w:t xml:space="preserve"> </w:t>
      </w:r>
      <w:r>
        <w:rPr>
          <w:color w:val="803108"/>
          <w:spacing w:val="-2"/>
          <w:sz w:val="12"/>
        </w:rPr>
        <w:t>discriminación</w:t>
      </w:r>
    </w:p>
    <w:p w14:paraId="63A339D2" w14:textId="77777777" w:rsidR="0014798C" w:rsidRDefault="0014798C">
      <w:pPr>
        <w:pStyle w:val="Textoindependiente"/>
        <w:rPr>
          <w:sz w:val="15"/>
        </w:rPr>
      </w:pPr>
    </w:p>
    <w:p w14:paraId="07EE2BD9" w14:textId="77777777" w:rsidR="0014798C" w:rsidRDefault="0014798C">
      <w:pPr>
        <w:pStyle w:val="Textoindependiente"/>
        <w:rPr>
          <w:sz w:val="15"/>
        </w:rPr>
      </w:pPr>
    </w:p>
    <w:p w14:paraId="5714CF4A" w14:textId="77777777" w:rsidR="0014798C" w:rsidRDefault="0014798C">
      <w:pPr>
        <w:pStyle w:val="Textoindependiente"/>
        <w:rPr>
          <w:sz w:val="15"/>
        </w:rPr>
      </w:pPr>
    </w:p>
    <w:p w14:paraId="54613135" w14:textId="77777777" w:rsidR="0014798C" w:rsidRDefault="0014798C">
      <w:pPr>
        <w:pStyle w:val="Textoindependiente"/>
        <w:rPr>
          <w:sz w:val="15"/>
        </w:rPr>
      </w:pPr>
    </w:p>
    <w:p w14:paraId="2FA9AA9A" w14:textId="77777777" w:rsidR="0014798C" w:rsidRDefault="0014798C">
      <w:pPr>
        <w:pStyle w:val="Textoindependiente"/>
        <w:spacing w:before="110"/>
        <w:rPr>
          <w:sz w:val="15"/>
        </w:rPr>
      </w:pPr>
    </w:p>
    <w:p w14:paraId="1B02A273" w14:textId="77777777" w:rsidR="0014798C" w:rsidRDefault="004E1F0B">
      <w:pPr>
        <w:spacing w:line="345" w:lineRule="auto"/>
        <w:ind w:left="1108" w:right="1335" w:firstLine="3"/>
        <w:rPr>
          <w:sz w:val="15"/>
        </w:rPr>
      </w:pPr>
      <w:r>
        <w:rPr>
          <w:sz w:val="16"/>
        </w:rPr>
        <w:t>Los Estados deben garantizar a las minorías el pleno disfrute de los derechos del Pacto y la Convención sin discriminación.848</w:t>
      </w:r>
      <w:r>
        <w:rPr>
          <w:spacing w:val="40"/>
          <w:sz w:val="16"/>
        </w:rPr>
        <w:t xml:space="preserve"> </w:t>
      </w:r>
      <w:r>
        <w:rPr>
          <w:sz w:val="15"/>
        </w:rPr>
        <w:t>Los convenios de la OIT también reconocen la necesidad de abordar la discriminación y los estereotipos contra las minorías étnicas, lingüísticas y religiosas.849 En su intervención en el 43º período de sesiones del Consejo de Derechos Humanos, el Gobierno de Austria –patrocinador del mandato de las minorías del Consejo de Derechos Humanos– enfatizó que la prohibición de la discriminación ocupa un lugar central en la protección de las minorías.</w:t>
      </w:r>
    </w:p>
    <w:p w14:paraId="4F1EDAB6" w14:textId="77777777" w:rsidR="0014798C" w:rsidRDefault="004E1F0B">
      <w:pPr>
        <w:spacing w:before="170" w:line="348" w:lineRule="auto"/>
        <w:ind w:left="1107" w:right="1463" w:firstLine="2"/>
        <w:rPr>
          <w:sz w:val="15"/>
        </w:rPr>
      </w:pPr>
      <w:r>
        <w:rPr>
          <w:sz w:val="15"/>
        </w:rPr>
        <w:t>La discriminación por motivos de origen étnico, religión e idioma está prohibida tanto en los Pactos como en otras disposiciones del derecho internacional, pero hasta el día de hoy persisten patrones de discriminación por esos motivos, cuyas víctimas suelen ser miembros de minorías. Como tal, garantizar el disfrute igualitario de los derechos humanos por parte de las minorías requiere una protección efectiva contra la discriminación.</w:t>
      </w:r>
    </w:p>
    <w:p w14:paraId="6DB95626" w14:textId="77777777" w:rsidR="0014798C" w:rsidRDefault="004E1F0B">
      <w:pPr>
        <w:spacing w:before="168" w:line="348" w:lineRule="auto"/>
        <w:ind w:left="1107" w:right="1463" w:hanging="1"/>
        <w:rPr>
          <w:sz w:val="15"/>
        </w:rPr>
      </w:pPr>
      <w:r>
        <w:rPr>
          <w:sz w:val="15"/>
        </w:rPr>
        <w:t>La mayoría de las cuestiones de discriminación que enfrentan las minorías no serán diferentes de aquellas relacionadas con la discriminación por cualquier otro motivo. Por ejemplo, en los casos de discriminación directa en los que un empleador no contrata a personas por motivos de origen étnico o religión, es poco probable que los pasos, consideraciones o cuestiones legales en esos casos sean diferentes de los de los casos relacionados con la discriminación por motivos de sexo. orientación sexual o cualquier otro motivo protegido. Así, muchas aplicaciones de la ley antidiscriminación a la protección de las minorías han surgido en relación con casos de discriminación en el acceso al empleo, la educación, la atención médica, los bienes y servicios y otras áreas de la vida reguladas por la ley, en casos que reflejan aquellos interpuesto por otros motivos.</w:t>
      </w:r>
    </w:p>
    <w:p w14:paraId="7A2AEE6E" w14:textId="77777777" w:rsidR="0014798C" w:rsidRDefault="0014798C">
      <w:pPr>
        <w:pStyle w:val="Textoindependiente"/>
        <w:rPr>
          <w:sz w:val="15"/>
        </w:rPr>
      </w:pPr>
    </w:p>
    <w:p w14:paraId="5C09F143" w14:textId="77777777" w:rsidR="0014798C" w:rsidRDefault="0014798C">
      <w:pPr>
        <w:pStyle w:val="Textoindependiente"/>
        <w:spacing w:before="72"/>
        <w:rPr>
          <w:sz w:val="15"/>
        </w:rPr>
      </w:pPr>
    </w:p>
    <w:p w14:paraId="0479888F" w14:textId="77777777" w:rsidR="0014798C" w:rsidRDefault="004E1F0B">
      <w:pPr>
        <w:spacing w:line="348" w:lineRule="auto"/>
        <w:ind w:left="1107" w:right="1301" w:hanging="1"/>
        <w:rPr>
          <w:sz w:val="15"/>
        </w:rPr>
      </w:pPr>
      <w:r>
        <w:rPr>
          <w:sz w:val="15"/>
        </w:rPr>
        <w:t>Como tal, el legado global de más de un siglo de litigación de casos que cuestionan la discriminación por motivos étnicos ha dado como resultado un extenso cuerpo de jurisprudencia, cuyo resumen está más allá del alcance de la presente guía, pero que se ha desarrollado principalmente en sectores tales como educación, empleo, atención médica, vivienda, asistencia social y seguridad social; acceso a servicios disponibles al público, incluidos transporte público, servicios de taxi, restaurantes, clubes, discotecas, museos, bibliotecas y piscinas;</w:t>
      </w:r>
      <w:r>
        <w:rPr>
          <w:spacing w:val="-1"/>
          <w:sz w:val="15"/>
        </w:rPr>
        <w:t xml:space="preserve"> </w:t>
      </w:r>
      <w:r>
        <w:rPr>
          <w:sz w:val="15"/>
        </w:rPr>
        <w:t>derechos</w:t>
      </w:r>
      <w:r>
        <w:rPr>
          <w:spacing w:val="-2"/>
          <w:sz w:val="15"/>
        </w:rPr>
        <w:t xml:space="preserve"> </w:t>
      </w:r>
      <w:r>
        <w:rPr>
          <w:sz w:val="15"/>
        </w:rPr>
        <w:t>políticos,</w:t>
      </w:r>
      <w:r>
        <w:rPr>
          <w:spacing w:val="-1"/>
          <w:sz w:val="15"/>
        </w:rPr>
        <w:t xml:space="preserve"> </w:t>
      </w:r>
      <w:r>
        <w:rPr>
          <w:sz w:val="15"/>
        </w:rPr>
        <w:t>como</w:t>
      </w:r>
      <w:r>
        <w:rPr>
          <w:spacing w:val="-2"/>
          <w:sz w:val="15"/>
        </w:rPr>
        <w:t xml:space="preserve"> </w:t>
      </w:r>
      <w:r>
        <w:rPr>
          <w:sz w:val="15"/>
        </w:rPr>
        <w:t>el</w:t>
      </w:r>
      <w:r>
        <w:rPr>
          <w:spacing w:val="-2"/>
          <w:sz w:val="15"/>
        </w:rPr>
        <w:t xml:space="preserve"> </w:t>
      </w:r>
      <w:r>
        <w:rPr>
          <w:sz w:val="15"/>
        </w:rPr>
        <w:t>derecho</w:t>
      </w:r>
      <w:r>
        <w:rPr>
          <w:spacing w:val="-2"/>
          <w:sz w:val="15"/>
        </w:rPr>
        <w:t xml:space="preserve"> </w:t>
      </w:r>
      <w:r>
        <w:rPr>
          <w:sz w:val="15"/>
        </w:rPr>
        <w:t>a</w:t>
      </w:r>
      <w:r>
        <w:rPr>
          <w:spacing w:val="-2"/>
          <w:sz w:val="15"/>
        </w:rPr>
        <w:t xml:space="preserve"> </w:t>
      </w:r>
      <w:r>
        <w:rPr>
          <w:sz w:val="15"/>
        </w:rPr>
        <w:t>votar</w:t>
      </w:r>
      <w:r>
        <w:rPr>
          <w:spacing w:val="-2"/>
          <w:sz w:val="15"/>
        </w:rPr>
        <w:t xml:space="preserve"> </w:t>
      </w:r>
      <w:r>
        <w:rPr>
          <w:sz w:val="15"/>
        </w:rPr>
        <w:t>y</w:t>
      </w:r>
      <w:r>
        <w:rPr>
          <w:spacing w:val="-2"/>
          <w:sz w:val="15"/>
        </w:rPr>
        <w:t xml:space="preserve"> </w:t>
      </w:r>
      <w:r>
        <w:rPr>
          <w:sz w:val="15"/>
        </w:rPr>
        <w:t>presentarse</w:t>
      </w:r>
      <w:r>
        <w:rPr>
          <w:spacing w:val="-2"/>
          <w:sz w:val="15"/>
        </w:rPr>
        <w:t xml:space="preserve"> </w:t>
      </w:r>
      <w:r>
        <w:rPr>
          <w:sz w:val="15"/>
        </w:rPr>
        <w:t>a</w:t>
      </w:r>
      <w:r>
        <w:rPr>
          <w:spacing w:val="-2"/>
          <w:sz w:val="15"/>
        </w:rPr>
        <w:t xml:space="preserve"> </w:t>
      </w:r>
      <w:r>
        <w:rPr>
          <w:sz w:val="15"/>
        </w:rPr>
        <w:t>cargos</w:t>
      </w:r>
      <w:r>
        <w:rPr>
          <w:spacing w:val="-2"/>
          <w:sz w:val="15"/>
        </w:rPr>
        <w:t xml:space="preserve"> </w:t>
      </w:r>
      <w:r>
        <w:rPr>
          <w:sz w:val="15"/>
        </w:rPr>
        <w:t>públicos;</w:t>
      </w:r>
      <w:r>
        <w:rPr>
          <w:spacing w:val="-1"/>
          <w:sz w:val="15"/>
        </w:rPr>
        <w:t xml:space="preserve"> </w:t>
      </w:r>
      <w:r>
        <w:rPr>
          <w:sz w:val="15"/>
        </w:rPr>
        <w:t>y</w:t>
      </w:r>
      <w:r>
        <w:rPr>
          <w:spacing w:val="-2"/>
          <w:sz w:val="15"/>
        </w:rPr>
        <w:t xml:space="preserve"> </w:t>
      </w:r>
      <w:r>
        <w:rPr>
          <w:sz w:val="15"/>
        </w:rPr>
        <w:t>la</w:t>
      </w:r>
      <w:r>
        <w:rPr>
          <w:spacing w:val="-2"/>
          <w:sz w:val="15"/>
        </w:rPr>
        <w:t xml:space="preserve"> </w:t>
      </w:r>
      <w:r>
        <w:rPr>
          <w:sz w:val="15"/>
        </w:rPr>
        <w:t>prohibición</w:t>
      </w:r>
      <w:r>
        <w:rPr>
          <w:spacing w:val="-2"/>
          <w:sz w:val="15"/>
        </w:rPr>
        <w:t xml:space="preserve"> </w:t>
      </w:r>
      <w:r>
        <w:rPr>
          <w:sz w:val="15"/>
        </w:rPr>
        <w:t>de</w:t>
      </w:r>
      <w:r>
        <w:rPr>
          <w:spacing w:val="-2"/>
          <w:sz w:val="15"/>
        </w:rPr>
        <w:t xml:space="preserve"> </w:t>
      </w:r>
      <w:r>
        <w:rPr>
          <w:sz w:val="15"/>
        </w:rPr>
        <w:t>la</w:t>
      </w:r>
      <w:r>
        <w:rPr>
          <w:spacing w:val="-2"/>
          <w:sz w:val="15"/>
        </w:rPr>
        <w:t xml:space="preserve"> </w:t>
      </w:r>
      <w:r>
        <w:rPr>
          <w:sz w:val="15"/>
        </w:rPr>
        <w:t>discriminación</w:t>
      </w:r>
      <w:r>
        <w:rPr>
          <w:spacing w:val="-2"/>
          <w:sz w:val="15"/>
        </w:rPr>
        <w:t xml:space="preserve"> </w:t>
      </w:r>
      <w:r>
        <w:rPr>
          <w:sz w:val="15"/>
        </w:rPr>
        <w:t>en</w:t>
      </w:r>
      <w:r>
        <w:rPr>
          <w:spacing w:val="-2"/>
          <w:sz w:val="15"/>
        </w:rPr>
        <w:t xml:space="preserve"> </w:t>
      </w:r>
      <w:r>
        <w:rPr>
          <w:sz w:val="15"/>
        </w:rPr>
        <w:t>el</w:t>
      </w:r>
      <w:r>
        <w:rPr>
          <w:spacing w:val="-2"/>
          <w:sz w:val="15"/>
        </w:rPr>
        <w:t xml:space="preserve"> </w:t>
      </w:r>
      <w:r>
        <w:rPr>
          <w:sz w:val="15"/>
        </w:rPr>
        <w:t>sistema judicial, incluso en lo que respecta a las acciones de la policía y otros servicios de seguridad, así como el requisito de investigar</w:t>
      </w:r>
      <w:r>
        <w:rPr>
          <w:spacing w:val="80"/>
          <w:sz w:val="15"/>
        </w:rPr>
        <w:t xml:space="preserve"> </w:t>
      </w:r>
      <w:r>
        <w:rPr>
          <w:sz w:val="15"/>
        </w:rPr>
        <w:t>eficazmente y descubrir prejuicios y animadversión en los delitos. En efecto, la legislación contra la discriminación tal como se implementa en</w:t>
      </w:r>
      <w:r>
        <w:rPr>
          <w:spacing w:val="10"/>
          <w:sz w:val="15"/>
        </w:rPr>
        <w:t xml:space="preserve"> </w:t>
      </w:r>
      <w:r>
        <w:rPr>
          <w:sz w:val="15"/>
        </w:rPr>
        <w:t>esta</w:t>
      </w:r>
      <w:r>
        <w:rPr>
          <w:spacing w:val="10"/>
          <w:sz w:val="15"/>
        </w:rPr>
        <w:t xml:space="preserve"> </w:t>
      </w:r>
      <w:r>
        <w:rPr>
          <w:sz w:val="15"/>
        </w:rPr>
        <w:t>área</w:t>
      </w:r>
      <w:r>
        <w:rPr>
          <w:spacing w:val="10"/>
          <w:sz w:val="15"/>
        </w:rPr>
        <w:t xml:space="preserve"> </w:t>
      </w:r>
      <w:r>
        <w:rPr>
          <w:sz w:val="15"/>
        </w:rPr>
        <w:t>sigue</w:t>
      </w:r>
      <w:r>
        <w:rPr>
          <w:spacing w:val="10"/>
          <w:sz w:val="15"/>
        </w:rPr>
        <w:t xml:space="preserve"> </w:t>
      </w:r>
      <w:r>
        <w:rPr>
          <w:sz w:val="15"/>
        </w:rPr>
        <w:t>en</w:t>
      </w:r>
      <w:r>
        <w:rPr>
          <w:spacing w:val="10"/>
          <w:sz w:val="15"/>
        </w:rPr>
        <w:t xml:space="preserve"> </w:t>
      </w:r>
      <w:r>
        <w:rPr>
          <w:sz w:val="15"/>
        </w:rPr>
        <w:t>términos</w:t>
      </w:r>
      <w:r>
        <w:rPr>
          <w:spacing w:val="10"/>
          <w:sz w:val="15"/>
        </w:rPr>
        <w:t xml:space="preserve"> </w:t>
      </w:r>
      <w:r>
        <w:rPr>
          <w:sz w:val="15"/>
        </w:rPr>
        <w:t>generales</w:t>
      </w:r>
      <w:r>
        <w:rPr>
          <w:spacing w:val="10"/>
          <w:sz w:val="15"/>
        </w:rPr>
        <w:t xml:space="preserve"> </w:t>
      </w:r>
      <w:r>
        <w:rPr>
          <w:sz w:val="15"/>
        </w:rPr>
        <w:t>los</w:t>
      </w:r>
      <w:r>
        <w:rPr>
          <w:spacing w:val="10"/>
          <w:sz w:val="15"/>
        </w:rPr>
        <w:t xml:space="preserve"> </w:t>
      </w:r>
      <w:r>
        <w:rPr>
          <w:sz w:val="15"/>
        </w:rPr>
        <w:t>contornos</w:t>
      </w:r>
      <w:r>
        <w:rPr>
          <w:spacing w:val="10"/>
          <w:sz w:val="15"/>
        </w:rPr>
        <w:t xml:space="preserve"> </w:t>
      </w:r>
      <w:r>
        <w:rPr>
          <w:sz w:val="15"/>
        </w:rPr>
        <w:t>de</w:t>
      </w:r>
      <w:r>
        <w:rPr>
          <w:spacing w:val="10"/>
          <w:sz w:val="15"/>
        </w:rPr>
        <w:t xml:space="preserve"> </w:t>
      </w:r>
      <w:r>
        <w:rPr>
          <w:sz w:val="15"/>
        </w:rPr>
        <w:t>los</w:t>
      </w:r>
      <w:r>
        <w:rPr>
          <w:spacing w:val="10"/>
          <w:sz w:val="15"/>
        </w:rPr>
        <w:t xml:space="preserve"> </w:t>
      </w:r>
      <w:r>
        <w:rPr>
          <w:sz w:val="15"/>
        </w:rPr>
        <w:t>derechos</w:t>
      </w:r>
      <w:r>
        <w:rPr>
          <w:spacing w:val="10"/>
          <w:sz w:val="15"/>
        </w:rPr>
        <w:t xml:space="preserve"> </w:t>
      </w:r>
      <w:r>
        <w:rPr>
          <w:sz w:val="15"/>
        </w:rPr>
        <w:t>establecidos</w:t>
      </w:r>
      <w:r>
        <w:rPr>
          <w:spacing w:val="10"/>
          <w:sz w:val="15"/>
        </w:rPr>
        <w:t xml:space="preserve"> </w:t>
      </w:r>
      <w:r>
        <w:rPr>
          <w:sz w:val="15"/>
        </w:rPr>
        <w:t>en</w:t>
      </w:r>
      <w:r>
        <w:rPr>
          <w:spacing w:val="10"/>
          <w:sz w:val="15"/>
        </w:rPr>
        <w:t xml:space="preserve"> </w:t>
      </w:r>
      <w:r>
        <w:rPr>
          <w:sz w:val="15"/>
        </w:rPr>
        <w:t>el</w:t>
      </w:r>
      <w:r>
        <w:rPr>
          <w:spacing w:val="10"/>
          <w:sz w:val="15"/>
        </w:rPr>
        <w:t xml:space="preserve"> </w:t>
      </w:r>
      <w:r>
        <w:rPr>
          <w:sz w:val="15"/>
        </w:rPr>
        <w:t>artículo</w:t>
      </w:r>
      <w:r>
        <w:rPr>
          <w:spacing w:val="10"/>
          <w:sz w:val="15"/>
        </w:rPr>
        <w:t xml:space="preserve"> </w:t>
      </w:r>
      <w:r>
        <w:rPr>
          <w:sz w:val="15"/>
        </w:rPr>
        <w:t>5</w:t>
      </w:r>
      <w:r>
        <w:rPr>
          <w:spacing w:val="10"/>
          <w:sz w:val="15"/>
        </w:rPr>
        <w:t xml:space="preserve"> </w:t>
      </w:r>
      <w:r>
        <w:rPr>
          <w:sz w:val="15"/>
        </w:rPr>
        <w:t>de</w:t>
      </w:r>
      <w:r>
        <w:rPr>
          <w:spacing w:val="10"/>
          <w:sz w:val="15"/>
        </w:rPr>
        <w:t xml:space="preserve"> </w:t>
      </w:r>
      <w:r>
        <w:rPr>
          <w:sz w:val="15"/>
        </w:rPr>
        <w:t>la</w:t>
      </w:r>
      <w:r>
        <w:rPr>
          <w:spacing w:val="10"/>
          <w:sz w:val="15"/>
        </w:rPr>
        <w:t xml:space="preserve"> </w:t>
      </w:r>
      <w:r>
        <w:rPr>
          <w:sz w:val="15"/>
        </w:rPr>
        <w:t>Convención</w:t>
      </w:r>
      <w:r>
        <w:rPr>
          <w:spacing w:val="10"/>
          <w:sz w:val="15"/>
        </w:rPr>
        <w:t xml:space="preserve"> </w:t>
      </w:r>
      <w:r>
        <w:rPr>
          <w:sz w:val="15"/>
        </w:rPr>
        <w:t>Internacional sobre la Eliminación de todas las Formas de Discriminación Racial, como se detalla en las secciones anteriores.</w:t>
      </w:r>
    </w:p>
    <w:p w14:paraId="45789B08" w14:textId="77777777" w:rsidR="0014798C" w:rsidRDefault="0014798C">
      <w:pPr>
        <w:pStyle w:val="Textoindependiente"/>
        <w:rPr>
          <w:sz w:val="15"/>
        </w:rPr>
      </w:pPr>
    </w:p>
    <w:p w14:paraId="3EE06DE1" w14:textId="77777777" w:rsidR="0014798C" w:rsidRDefault="0014798C">
      <w:pPr>
        <w:pStyle w:val="Textoindependiente"/>
        <w:spacing w:before="71"/>
        <w:rPr>
          <w:sz w:val="15"/>
        </w:rPr>
      </w:pPr>
    </w:p>
    <w:p w14:paraId="42E420C3" w14:textId="77777777" w:rsidR="0014798C" w:rsidRDefault="004E1F0B">
      <w:pPr>
        <w:spacing w:before="1" w:line="348" w:lineRule="auto"/>
        <w:ind w:left="1111" w:right="1272" w:hanging="6"/>
        <w:rPr>
          <w:sz w:val="15"/>
        </w:rPr>
      </w:pPr>
      <w:r>
        <w:rPr>
          <w:sz w:val="15"/>
        </w:rPr>
        <w:t>Dicho esto, como ha establecido el Comité de Derechos Humanos, el Pacto Internacional de Derechos Civiles y Políticos distingue la protección de los derechos de las minorías garantizada por el artículo 27 de las garantías de no discriminación e igualdad de protección previstas en los artículos 2 (1) y 26 del Pacto Internacional de Derechos Civiles y Políticos. Pacto.850 El artículo 27 establece que:</w:t>
      </w:r>
    </w:p>
    <w:p w14:paraId="44C9B261" w14:textId="77777777" w:rsidR="0014798C" w:rsidRDefault="004E1F0B">
      <w:pPr>
        <w:spacing w:before="55" w:line="348" w:lineRule="auto"/>
        <w:ind w:left="1674" w:right="1510" w:hanging="2"/>
        <w:jc w:val="both"/>
        <w:rPr>
          <w:sz w:val="15"/>
        </w:rPr>
      </w:pPr>
      <w:r>
        <w:rPr>
          <w:color w:val="803108"/>
          <w:sz w:val="15"/>
        </w:rPr>
        <w:t>En aquellos Estados en los que existan minorías étnicas, religiosas o lingüísticas, no se negará a las personas pertenecientes</w:t>
      </w:r>
      <w:r>
        <w:rPr>
          <w:color w:val="803108"/>
          <w:spacing w:val="80"/>
          <w:sz w:val="15"/>
        </w:rPr>
        <w:t xml:space="preserve"> </w:t>
      </w:r>
      <w:r>
        <w:rPr>
          <w:color w:val="803108"/>
          <w:sz w:val="15"/>
        </w:rPr>
        <w:t>a</w:t>
      </w:r>
      <w:r>
        <w:rPr>
          <w:color w:val="803108"/>
          <w:spacing w:val="5"/>
          <w:sz w:val="15"/>
        </w:rPr>
        <w:t xml:space="preserve"> </w:t>
      </w:r>
      <w:r>
        <w:rPr>
          <w:color w:val="803108"/>
          <w:sz w:val="15"/>
        </w:rPr>
        <w:t>dichas</w:t>
      </w:r>
      <w:r>
        <w:rPr>
          <w:color w:val="803108"/>
          <w:spacing w:val="5"/>
          <w:sz w:val="15"/>
        </w:rPr>
        <w:t xml:space="preserve"> </w:t>
      </w:r>
      <w:r>
        <w:rPr>
          <w:color w:val="803108"/>
          <w:sz w:val="15"/>
        </w:rPr>
        <w:t>minorías</w:t>
      </w:r>
      <w:r>
        <w:rPr>
          <w:color w:val="803108"/>
          <w:spacing w:val="5"/>
          <w:sz w:val="15"/>
        </w:rPr>
        <w:t xml:space="preserve"> </w:t>
      </w:r>
      <w:r>
        <w:rPr>
          <w:color w:val="803108"/>
          <w:sz w:val="15"/>
        </w:rPr>
        <w:t>el</w:t>
      </w:r>
      <w:r>
        <w:rPr>
          <w:color w:val="803108"/>
          <w:spacing w:val="5"/>
          <w:sz w:val="15"/>
        </w:rPr>
        <w:t xml:space="preserve"> </w:t>
      </w:r>
      <w:r>
        <w:rPr>
          <w:color w:val="803108"/>
          <w:sz w:val="15"/>
        </w:rPr>
        <w:t>derecho,</w:t>
      </w:r>
      <w:r>
        <w:rPr>
          <w:color w:val="803108"/>
          <w:spacing w:val="6"/>
          <w:sz w:val="15"/>
        </w:rPr>
        <w:t xml:space="preserve"> </w:t>
      </w:r>
      <w:r>
        <w:rPr>
          <w:color w:val="803108"/>
          <w:sz w:val="15"/>
        </w:rPr>
        <w:t>en</w:t>
      </w:r>
      <w:r>
        <w:rPr>
          <w:color w:val="803108"/>
          <w:spacing w:val="5"/>
          <w:sz w:val="15"/>
        </w:rPr>
        <w:t xml:space="preserve"> </w:t>
      </w:r>
      <w:r>
        <w:rPr>
          <w:color w:val="803108"/>
          <w:sz w:val="15"/>
        </w:rPr>
        <w:t>comunidad</w:t>
      </w:r>
      <w:r>
        <w:rPr>
          <w:color w:val="803108"/>
          <w:spacing w:val="5"/>
          <w:sz w:val="15"/>
        </w:rPr>
        <w:t xml:space="preserve"> </w:t>
      </w:r>
      <w:r>
        <w:rPr>
          <w:color w:val="803108"/>
          <w:sz w:val="15"/>
        </w:rPr>
        <w:t>con</w:t>
      </w:r>
      <w:r>
        <w:rPr>
          <w:color w:val="803108"/>
          <w:spacing w:val="5"/>
          <w:sz w:val="15"/>
        </w:rPr>
        <w:t xml:space="preserve"> </w:t>
      </w:r>
      <w:r>
        <w:rPr>
          <w:color w:val="803108"/>
          <w:sz w:val="15"/>
        </w:rPr>
        <w:t>los</w:t>
      </w:r>
      <w:r>
        <w:rPr>
          <w:color w:val="803108"/>
          <w:spacing w:val="5"/>
          <w:sz w:val="15"/>
        </w:rPr>
        <w:t xml:space="preserve"> </w:t>
      </w:r>
      <w:r>
        <w:rPr>
          <w:color w:val="803108"/>
          <w:sz w:val="15"/>
        </w:rPr>
        <w:t>demás</w:t>
      </w:r>
      <w:r>
        <w:rPr>
          <w:color w:val="803108"/>
          <w:spacing w:val="5"/>
          <w:sz w:val="15"/>
        </w:rPr>
        <w:t xml:space="preserve"> </w:t>
      </w:r>
      <w:r>
        <w:rPr>
          <w:color w:val="803108"/>
          <w:sz w:val="15"/>
        </w:rPr>
        <w:t>miembros</w:t>
      </w:r>
      <w:r>
        <w:rPr>
          <w:color w:val="803108"/>
          <w:spacing w:val="5"/>
          <w:sz w:val="15"/>
        </w:rPr>
        <w:t xml:space="preserve"> </w:t>
      </w:r>
      <w:r>
        <w:rPr>
          <w:color w:val="803108"/>
          <w:sz w:val="15"/>
        </w:rPr>
        <w:t>de</w:t>
      </w:r>
      <w:r>
        <w:rPr>
          <w:color w:val="803108"/>
          <w:spacing w:val="5"/>
          <w:sz w:val="15"/>
        </w:rPr>
        <w:t xml:space="preserve"> </w:t>
      </w:r>
      <w:r>
        <w:rPr>
          <w:color w:val="803108"/>
          <w:sz w:val="15"/>
        </w:rPr>
        <w:t>su</w:t>
      </w:r>
      <w:r>
        <w:rPr>
          <w:color w:val="803108"/>
          <w:spacing w:val="5"/>
          <w:sz w:val="15"/>
        </w:rPr>
        <w:t xml:space="preserve"> </w:t>
      </w:r>
      <w:r>
        <w:rPr>
          <w:color w:val="803108"/>
          <w:sz w:val="15"/>
        </w:rPr>
        <w:t>grupo,</w:t>
      </w:r>
      <w:r>
        <w:rPr>
          <w:color w:val="803108"/>
          <w:spacing w:val="5"/>
          <w:sz w:val="15"/>
        </w:rPr>
        <w:t xml:space="preserve"> </w:t>
      </w:r>
      <w:r>
        <w:rPr>
          <w:color w:val="803108"/>
          <w:sz w:val="15"/>
        </w:rPr>
        <w:t>a</w:t>
      </w:r>
      <w:r>
        <w:rPr>
          <w:color w:val="803108"/>
          <w:spacing w:val="5"/>
          <w:sz w:val="15"/>
        </w:rPr>
        <w:t xml:space="preserve"> </w:t>
      </w:r>
      <w:r>
        <w:rPr>
          <w:color w:val="803108"/>
          <w:sz w:val="15"/>
        </w:rPr>
        <w:t>disfrutar</w:t>
      </w:r>
      <w:r>
        <w:rPr>
          <w:color w:val="803108"/>
          <w:spacing w:val="5"/>
          <w:sz w:val="15"/>
        </w:rPr>
        <w:t xml:space="preserve"> </w:t>
      </w:r>
      <w:r>
        <w:rPr>
          <w:color w:val="803108"/>
          <w:sz w:val="15"/>
        </w:rPr>
        <w:t>de</w:t>
      </w:r>
      <w:r>
        <w:rPr>
          <w:color w:val="803108"/>
          <w:spacing w:val="5"/>
          <w:sz w:val="15"/>
        </w:rPr>
        <w:t xml:space="preserve"> </w:t>
      </w:r>
      <w:r>
        <w:rPr>
          <w:color w:val="803108"/>
          <w:sz w:val="15"/>
        </w:rPr>
        <w:t>su</w:t>
      </w:r>
      <w:r>
        <w:rPr>
          <w:color w:val="803108"/>
          <w:spacing w:val="5"/>
          <w:sz w:val="15"/>
        </w:rPr>
        <w:t xml:space="preserve"> </w:t>
      </w:r>
      <w:r>
        <w:rPr>
          <w:color w:val="803108"/>
          <w:sz w:val="15"/>
        </w:rPr>
        <w:t>propia</w:t>
      </w:r>
      <w:r>
        <w:rPr>
          <w:color w:val="803108"/>
          <w:spacing w:val="5"/>
          <w:sz w:val="15"/>
        </w:rPr>
        <w:t xml:space="preserve"> </w:t>
      </w:r>
      <w:r>
        <w:rPr>
          <w:color w:val="803108"/>
          <w:sz w:val="15"/>
        </w:rPr>
        <w:t>cultura,</w:t>
      </w:r>
      <w:r>
        <w:rPr>
          <w:color w:val="803108"/>
          <w:spacing w:val="6"/>
          <w:sz w:val="15"/>
        </w:rPr>
        <w:t xml:space="preserve"> </w:t>
      </w:r>
      <w:r>
        <w:rPr>
          <w:color w:val="803108"/>
          <w:sz w:val="15"/>
        </w:rPr>
        <w:t>a</w:t>
      </w:r>
      <w:r>
        <w:rPr>
          <w:color w:val="803108"/>
          <w:spacing w:val="5"/>
          <w:sz w:val="15"/>
        </w:rPr>
        <w:t xml:space="preserve"> </w:t>
      </w:r>
      <w:r>
        <w:rPr>
          <w:color w:val="803108"/>
          <w:sz w:val="15"/>
        </w:rPr>
        <w:t>profesar y practicar su propia religión, o utilizar su propio idioma.</w:t>
      </w:r>
    </w:p>
    <w:p w14:paraId="08CD0F67" w14:textId="77777777" w:rsidR="0014798C" w:rsidRDefault="004E1F0B">
      <w:pPr>
        <w:spacing w:before="112" w:line="348" w:lineRule="auto"/>
        <w:ind w:left="1107" w:right="1463" w:hanging="1"/>
        <w:rPr>
          <w:sz w:val="15"/>
        </w:rPr>
      </w:pPr>
      <w:r>
        <w:rPr>
          <w:sz w:val="15"/>
        </w:rPr>
        <w:t>Como señala el Comité de Derechos Humanos: “Los términos utilizados en el artículo 27 indican que las personas que deben ser protegidas son aquellas que pertenecen a un grupo y que comparten en común una cultura, una religión y/o un idioma”.851</w:t>
      </w:r>
    </w:p>
    <w:p w14:paraId="3DD4A5EE" w14:textId="77777777" w:rsidR="0014798C" w:rsidRDefault="004E1F0B">
      <w:pPr>
        <w:spacing w:line="348" w:lineRule="auto"/>
        <w:ind w:left="1107" w:right="1272" w:hanging="4"/>
        <w:rPr>
          <w:sz w:val="15"/>
        </w:rPr>
      </w:pPr>
      <w:r>
        <w:rPr>
          <w:sz w:val="15"/>
        </w:rPr>
        <w:t>Si</w:t>
      </w:r>
      <w:r>
        <w:rPr>
          <w:spacing w:val="8"/>
          <w:sz w:val="15"/>
        </w:rPr>
        <w:t xml:space="preserve"> </w:t>
      </w:r>
      <w:r>
        <w:rPr>
          <w:sz w:val="15"/>
        </w:rPr>
        <w:t>bien</w:t>
      </w:r>
      <w:r>
        <w:rPr>
          <w:spacing w:val="8"/>
          <w:sz w:val="15"/>
        </w:rPr>
        <w:t xml:space="preserve"> </w:t>
      </w:r>
      <w:r>
        <w:rPr>
          <w:sz w:val="15"/>
        </w:rPr>
        <w:t>todas</w:t>
      </w:r>
      <w:r>
        <w:rPr>
          <w:spacing w:val="8"/>
          <w:sz w:val="15"/>
        </w:rPr>
        <w:t xml:space="preserve"> </w:t>
      </w:r>
      <w:r>
        <w:rPr>
          <w:sz w:val="15"/>
        </w:rPr>
        <w:t>las</w:t>
      </w:r>
      <w:r>
        <w:rPr>
          <w:spacing w:val="8"/>
          <w:sz w:val="15"/>
        </w:rPr>
        <w:t xml:space="preserve"> </w:t>
      </w:r>
      <w:r>
        <w:rPr>
          <w:sz w:val="15"/>
        </w:rPr>
        <w:t>personas</w:t>
      </w:r>
      <w:r>
        <w:rPr>
          <w:spacing w:val="8"/>
          <w:sz w:val="15"/>
        </w:rPr>
        <w:t xml:space="preserve"> </w:t>
      </w:r>
      <w:r>
        <w:rPr>
          <w:sz w:val="15"/>
        </w:rPr>
        <w:t>tienen</w:t>
      </w:r>
      <w:r>
        <w:rPr>
          <w:spacing w:val="8"/>
          <w:sz w:val="15"/>
        </w:rPr>
        <w:t xml:space="preserve"> </w:t>
      </w:r>
      <w:r>
        <w:rPr>
          <w:sz w:val="15"/>
        </w:rPr>
        <w:t>derecho</w:t>
      </w:r>
      <w:r>
        <w:rPr>
          <w:spacing w:val="8"/>
          <w:sz w:val="15"/>
        </w:rPr>
        <w:t xml:space="preserve"> </w:t>
      </w:r>
      <w:r>
        <w:rPr>
          <w:sz w:val="15"/>
        </w:rPr>
        <w:t>a</w:t>
      </w:r>
      <w:r>
        <w:rPr>
          <w:spacing w:val="8"/>
          <w:sz w:val="15"/>
        </w:rPr>
        <w:t xml:space="preserve"> </w:t>
      </w:r>
      <w:r>
        <w:rPr>
          <w:sz w:val="15"/>
        </w:rPr>
        <w:t>la</w:t>
      </w:r>
      <w:r>
        <w:rPr>
          <w:spacing w:val="8"/>
          <w:sz w:val="15"/>
        </w:rPr>
        <w:t xml:space="preserve"> </w:t>
      </w:r>
      <w:r>
        <w:rPr>
          <w:sz w:val="15"/>
        </w:rPr>
        <w:t>no</w:t>
      </w:r>
      <w:r>
        <w:rPr>
          <w:spacing w:val="8"/>
          <w:sz w:val="15"/>
        </w:rPr>
        <w:t xml:space="preserve"> </w:t>
      </w:r>
      <w:r>
        <w:rPr>
          <w:sz w:val="15"/>
        </w:rPr>
        <w:t>discriminación,</w:t>
      </w:r>
      <w:r>
        <w:rPr>
          <w:spacing w:val="10"/>
          <w:sz w:val="15"/>
        </w:rPr>
        <w:t xml:space="preserve"> </w:t>
      </w:r>
      <w:r>
        <w:rPr>
          <w:sz w:val="15"/>
        </w:rPr>
        <w:t>el</w:t>
      </w:r>
      <w:r>
        <w:rPr>
          <w:spacing w:val="8"/>
          <w:sz w:val="15"/>
        </w:rPr>
        <w:t xml:space="preserve"> </w:t>
      </w:r>
      <w:r>
        <w:rPr>
          <w:sz w:val="15"/>
        </w:rPr>
        <w:t>derecho</w:t>
      </w:r>
      <w:r>
        <w:rPr>
          <w:spacing w:val="8"/>
          <w:sz w:val="15"/>
        </w:rPr>
        <w:t xml:space="preserve"> </w:t>
      </w:r>
      <w:r>
        <w:rPr>
          <w:sz w:val="15"/>
        </w:rPr>
        <w:t>establecido</w:t>
      </w:r>
      <w:r>
        <w:rPr>
          <w:spacing w:val="8"/>
          <w:sz w:val="15"/>
        </w:rPr>
        <w:t xml:space="preserve"> </w:t>
      </w:r>
      <w:r>
        <w:rPr>
          <w:sz w:val="15"/>
        </w:rPr>
        <w:t>en</w:t>
      </w:r>
      <w:r>
        <w:rPr>
          <w:spacing w:val="8"/>
          <w:sz w:val="15"/>
        </w:rPr>
        <w:t xml:space="preserve"> </w:t>
      </w:r>
      <w:r>
        <w:rPr>
          <w:sz w:val="15"/>
        </w:rPr>
        <w:t>el</w:t>
      </w:r>
      <w:r>
        <w:rPr>
          <w:spacing w:val="8"/>
          <w:sz w:val="15"/>
        </w:rPr>
        <w:t xml:space="preserve"> </w:t>
      </w:r>
      <w:r>
        <w:rPr>
          <w:sz w:val="15"/>
        </w:rPr>
        <w:t>artículo</w:t>
      </w:r>
      <w:r>
        <w:rPr>
          <w:spacing w:val="8"/>
          <w:sz w:val="15"/>
        </w:rPr>
        <w:t xml:space="preserve"> </w:t>
      </w:r>
      <w:r>
        <w:rPr>
          <w:sz w:val="15"/>
        </w:rPr>
        <w:t>27</w:t>
      </w:r>
      <w:r>
        <w:rPr>
          <w:spacing w:val="8"/>
          <w:sz w:val="15"/>
        </w:rPr>
        <w:t xml:space="preserve"> </w:t>
      </w:r>
      <w:r>
        <w:rPr>
          <w:sz w:val="15"/>
        </w:rPr>
        <w:t>“es</w:t>
      </w:r>
      <w:r>
        <w:rPr>
          <w:spacing w:val="8"/>
          <w:sz w:val="15"/>
        </w:rPr>
        <w:t xml:space="preserve"> </w:t>
      </w:r>
      <w:r>
        <w:rPr>
          <w:sz w:val="15"/>
        </w:rPr>
        <w:t>distinto</w:t>
      </w:r>
      <w:r>
        <w:rPr>
          <w:spacing w:val="8"/>
          <w:sz w:val="15"/>
        </w:rPr>
        <w:t xml:space="preserve"> </w:t>
      </w:r>
      <w:r>
        <w:rPr>
          <w:sz w:val="15"/>
        </w:rPr>
        <w:t>y</w:t>
      </w:r>
      <w:r>
        <w:rPr>
          <w:spacing w:val="8"/>
          <w:sz w:val="15"/>
        </w:rPr>
        <w:t xml:space="preserve"> </w:t>
      </w:r>
      <w:r>
        <w:rPr>
          <w:sz w:val="15"/>
        </w:rPr>
        <w:t>adicional</w:t>
      </w:r>
      <w:r>
        <w:rPr>
          <w:spacing w:val="8"/>
          <w:sz w:val="15"/>
        </w:rPr>
        <w:t xml:space="preserve"> </w:t>
      </w:r>
      <w:r>
        <w:rPr>
          <w:sz w:val="15"/>
        </w:rPr>
        <w:t>a”852 este derecho y, de hecho, todos los demás derechos. El artículo 27 crea derechos específicos de práctica comunitaria que complementan, pero son independientes de, los derechos establecidos en los artículos 2 (1) y 26.</w:t>
      </w:r>
    </w:p>
    <w:p w14:paraId="21EE6831" w14:textId="77777777" w:rsidR="0014798C" w:rsidRDefault="0014798C">
      <w:pPr>
        <w:pStyle w:val="Textoindependiente"/>
        <w:rPr>
          <w:sz w:val="20"/>
        </w:rPr>
      </w:pPr>
    </w:p>
    <w:p w14:paraId="521FD347" w14:textId="77777777" w:rsidR="0014798C" w:rsidRDefault="0014798C">
      <w:pPr>
        <w:pStyle w:val="Textoindependiente"/>
        <w:rPr>
          <w:sz w:val="20"/>
        </w:rPr>
      </w:pPr>
    </w:p>
    <w:p w14:paraId="29F91C77" w14:textId="77777777" w:rsidR="0014798C" w:rsidRDefault="004E1F0B">
      <w:pPr>
        <w:pStyle w:val="Textoindependiente"/>
        <w:spacing w:before="94"/>
        <w:rPr>
          <w:sz w:val="20"/>
        </w:rPr>
      </w:pPr>
      <w:r>
        <w:rPr>
          <w:noProof/>
        </w:rPr>
        <w:drawing>
          <wp:anchor distT="0" distB="0" distL="0" distR="0" simplePos="0" relativeHeight="251658543" behindDoc="1" locked="0" layoutInCell="1" allowOverlap="1" wp14:anchorId="15BBD13F" wp14:editId="615714CF">
            <wp:simplePos x="0" y="0"/>
            <wp:positionH relativeFrom="page">
              <wp:posOffset>826632</wp:posOffset>
            </wp:positionH>
            <wp:positionV relativeFrom="paragraph">
              <wp:posOffset>221147</wp:posOffset>
            </wp:positionV>
            <wp:extent cx="931001" cy="71627"/>
            <wp:effectExtent l="0" t="0" r="0" b="0"/>
            <wp:wrapTopAndBottom/>
            <wp:docPr id="262" name="Image 26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62" name="Image 262"/>
                    <pic:cNvPicPr/>
                  </pic:nvPicPr>
                  <pic:blipFill>
                    <a:blip r:embed="rId235" cstate="print"/>
                    <a:stretch>
                      <a:fillRect/>
                    </a:stretch>
                  </pic:blipFill>
                  <pic:spPr>
                    <a:xfrm>
                      <a:off x="0" y="0"/>
                      <a:ext cx="931001" cy="71627"/>
                    </a:xfrm>
                    <a:prstGeom prst="rect">
                      <a:avLst/>
                    </a:prstGeom>
                  </pic:spPr>
                </pic:pic>
              </a:graphicData>
            </a:graphic>
          </wp:anchor>
        </w:drawing>
      </w:r>
    </w:p>
    <w:p w14:paraId="54C5DA9E" w14:textId="77777777" w:rsidR="0014798C" w:rsidRDefault="004E1F0B">
      <w:pPr>
        <w:pStyle w:val="Prrafodelista"/>
        <w:numPr>
          <w:ilvl w:val="0"/>
          <w:numId w:val="27"/>
        </w:numPr>
        <w:tabs>
          <w:tab w:val="left" w:pos="1357"/>
          <w:tab w:val="left" w:pos="1366"/>
        </w:tabs>
        <w:spacing w:before="108" w:line="319" w:lineRule="auto"/>
        <w:ind w:left="1366" w:right="1577" w:hanging="257"/>
        <w:rPr>
          <w:sz w:val="13"/>
        </w:rPr>
      </w:pPr>
      <w:r>
        <w:rPr>
          <w:sz w:val="13"/>
        </w:rPr>
        <w:t>Por</w:t>
      </w:r>
      <w:r>
        <w:rPr>
          <w:spacing w:val="-3"/>
          <w:sz w:val="13"/>
        </w:rPr>
        <w:t xml:space="preserve"> </w:t>
      </w:r>
      <w:r>
        <w:rPr>
          <w:sz w:val="13"/>
        </w:rPr>
        <w:t>ejemplo,</w:t>
      </w:r>
      <w:r>
        <w:rPr>
          <w:spacing w:val="-2"/>
          <w:sz w:val="13"/>
        </w:rPr>
        <w:t xml:space="preserve"> </w:t>
      </w:r>
      <w:r>
        <w:rPr>
          <w:sz w:val="13"/>
        </w:rPr>
        <w:t>en</w:t>
      </w:r>
      <w:r>
        <w:rPr>
          <w:spacing w:val="-3"/>
          <w:sz w:val="13"/>
        </w:rPr>
        <w:t xml:space="preserve"> </w:t>
      </w:r>
      <w:r>
        <w:rPr>
          <w:sz w:val="13"/>
        </w:rPr>
        <w:t>su</w:t>
      </w:r>
      <w:r>
        <w:rPr>
          <w:spacing w:val="-3"/>
          <w:sz w:val="13"/>
        </w:rPr>
        <w:t xml:space="preserve"> </w:t>
      </w:r>
      <w:r>
        <w:rPr>
          <w:sz w:val="13"/>
        </w:rPr>
        <w:t>Observación</w:t>
      </w:r>
      <w:r>
        <w:rPr>
          <w:spacing w:val="-3"/>
          <w:sz w:val="13"/>
        </w:rPr>
        <w:t xml:space="preserve"> </w:t>
      </w:r>
      <w:r>
        <w:rPr>
          <w:sz w:val="13"/>
        </w:rPr>
        <w:t>general</w:t>
      </w:r>
      <w:r>
        <w:rPr>
          <w:spacing w:val="-3"/>
          <w:sz w:val="13"/>
        </w:rPr>
        <w:t xml:space="preserve"> </w:t>
      </w:r>
      <w:r>
        <w:rPr>
          <w:sz w:val="13"/>
        </w:rPr>
        <w:t>núm.</w:t>
      </w:r>
      <w:r>
        <w:rPr>
          <w:spacing w:val="-3"/>
          <w:sz w:val="13"/>
        </w:rPr>
        <w:t xml:space="preserve"> </w:t>
      </w:r>
      <w:r>
        <w:rPr>
          <w:sz w:val="13"/>
        </w:rPr>
        <w:t>21</w:t>
      </w:r>
      <w:r>
        <w:rPr>
          <w:spacing w:val="-3"/>
          <w:sz w:val="13"/>
        </w:rPr>
        <w:t xml:space="preserve"> </w:t>
      </w:r>
      <w:r>
        <w:rPr>
          <w:sz w:val="13"/>
        </w:rPr>
        <w:t>(2009),</w:t>
      </w:r>
      <w:r>
        <w:rPr>
          <w:spacing w:val="-2"/>
          <w:sz w:val="13"/>
        </w:rPr>
        <w:t xml:space="preserve"> </w:t>
      </w:r>
      <w:r>
        <w:rPr>
          <w:sz w:val="13"/>
        </w:rPr>
        <w:t>el</w:t>
      </w:r>
      <w:r>
        <w:rPr>
          <w:spacing w:val="-3"/>
          <w:sz w:val="13"/>
        </w:rPr>
        <w:t xml:space="preserve"> </w:t>
      </w:r>
      <w:r>
        <w:rPr>
          <w:sz w:val="13"/>
        </w:rPr>
        <w:t>Comité</w:t>
      </w:r>
      <w:r>
        <w:rPr>
          <w:spacing w:val="-3"/>
          <w:sz w:val="13"/>
        </w:rPr>
        <w:t xml:space="preserve"> </w:t>
      </w:r>
      <w:r>
        <w:rPr>
          <w:sz w:val="13"/>
        </w:rPr>
        <w:t>de</w:t>
      </w:r>
      <w:r>
        <w:rPr>
          <w:spacing w:val="-3"/>
          <w:sz w:val="13"/>
        </w:rPr>
        <w:t xml:space="preserve"> </w:t>
      </w:r>
      <w:r>
        <w:rPr>
          <w:sz w:val="13"/>
        </w:rPr>
        <w:t>Derechos</w:t>
      </w:r>
      <w:r>
        <w:rPr>
          <w:spacing w:val="-3"/>
          <w:sz w:val="13"/>
        </w:rPr>
        <w:t xml:space="preserve"> </w:t>
      </w:r>
      <w:r>
        <w:rPr>
          <w:sz w:val="13"/>
        </w:rPr>
        <w:t>Económicos,</w:t>
      </w:r>
      <w:r>
        <w:rPr>
          <w:spacing w:val="-2"/>
          <w:sz w:val="13"/>
        </w:rPr>
        <w:t xml:space="preserve"> </w:t>
      </w:r>
      <w:r>
        <w:rPr>
          <w:sz w:val="13"/>
        </w:rPr>
        <w:t>Sociales</w:t>
      </w:r>
      <w:r>
        <w:rPr>
          <w:spacing w:val="-3"/>
          <w:sz w:val="13"/>
        </w:rPr>
        <w:t xml:space="preserve"> </w:t>
      </w:r>
      <w:r>
        <w:rPr>
          <w:sz w:val="13"/>
        </w:rPr>
        <w:t>y</w:t>
      </w:r>
      <w:r>
        <w:rPr>
          <w:spacing w:val="-3"/>
          <w:sz w:val="13"/>
        </w:rPr>
        <w:t xml:space="preserve"> </w:t>
      </w:r>
      <w:r>
        <w:rPr>
          <w:sz w:val="13"/>
        </w:rPr>
        <w:t>Culturales</w:t>
      </w:r>
      <w:r>
        <w:rPr>
          <w:spacing w:val="-3"/>
          <w:sz w:val="13"/>
        </w:rPr>
        <w:t xml:space="preserve"> </w:t>
      </w:r>
      <w:r>
        <w:rPr>
          <w:sz w:val="13"/>
        </w:rPr>
        <w:t>aborda</w:t>
      </w:r>
      <w:r>
        <w:rPr>
          <w:spacing w:val="-3"/>
          <w:sz w:val="13"/>
        </w:rPr>
        <w:t xml:space="preserve"> </w:t>
      </w:r>
      <w:r>
        <w:rPr>
          <w:sz w:val="13"/>
        </w:rPr>
        <w:t>la</w:t>
      </w:r>
      <w:r>
        <w:rPr>
          <w:spacing w:val="-3"/>
          <w:sz w:val="13"/>
        </w:rPr>
        <w:t xml:space="preserve"> </w:t>
      </w:r>
      <w:r>
        <w:rPr>
          <w:sz w:val="13"/>
        </w:rPr>
        <w:t>cuestión</w:t>
      </w:r>
      <w:r>
        <w:rPr>
          <w:spacing w:val="-3"/>
          <w:sz w:val="13"/>
        </w:rPr>
        <w:t xml:space="preserve"> </w:t>
      </w:r>
      <w:r>
        <w:rPr>
          <w:sz w:val="13"/>
        </w:rPr>
        <w:t>particular</w:t>
      </w:r>
      <w:r>
        <w:rPr>
          <w:spacing w:val="40"/>
          <w:sz w:val="13"/>
        </w:rPr>
        <w:t xml:space="preserve"> </w:t>
      </w:r>
      <w:r>
        <w:rPr>
          <w:sz w:val="12"/>
        </w:rPr>
        <w:t>derechos de las minorías a la vida cultural, que deberían garantizarse a todos sin discriminación. Véase Comité de Derechos Económicos, Sociales y Culturales,</w:t>
      </w:r>
      <w:r>
        <w:rPr>
          <w:spacing w:val="40"/>
          <w:sz w:val="12"/>
        </w:rPr>
        <w:t xml:space="preserve"> </w:t>
      </w:r>
      <w:r>
        <w:rPr>
          <w:sz w:val="12"/>
        </w:rPr>
        <w:t xml:space="preserve">observación general núm. 21 (2009), </w:t>
      </w:r>
      <w:proofErr w:type="spellStart"/>
      <w:r>
        <w:rPr>
          <w:sz w:val="12"/>
        </w:rPr>
        <w:t>párrs</w:t>
      </w:r>
      <w:proofErr w:type="spellEnd"/>
      <w:r>
        <w:rPr>
          <w:sz w:val="12"/>
        </w:rPr>
        <w:t>. 21–24 y 32–33. Véase también CEDAW/C/DNK/CO/8, párr. 34;</w:t>
      </w:r>
    </w:p>
    <w:p w14:paraId="4560D3FD" w14:textId="77777777" w:rsidR="0014798C" w:rsidRDefault="004E1F0B">
      <w:pPr>
        <w:spacing w:line="135" w:lineRule="exact"/>
        <w:ind w:left="1371"/>
        <w:rPr>
          <w:sz w:val="12"/>
        </w:rPr>
      </w:pPr>
      <w:r w:rsidRPr="00537489">
        <w:rPr>
          <w:spacing w:val="-2"/>
          <w:sz w:val="12"/>
          <w:lang w:val="en-US"/>
        </w:rPr>
        <w:t xml:space="preserve">CERD/C/ISR/CO/17-19, </w:t>
      </w:r>
      <w:proofErr w:type="spellStart"/>
      <w:r w:rsidRPr="00537489">
        <w:rPr>
          <w:spacing w:val="-2"/>
          <w:sz w:val="12"/>
          <w:lang w:val="en-US"/>
        </w:rPr>
        <w:t>párr</w:t>
      </w:r>
      <w:proofErr w:type="spellEnd"/>
      <w:r w:rsidRPr="00537489">
        <w:rPr>
          <w:spacing w:val="-2"/>
          <w:sz w:val="12"/>
          <w:lang w:val="en-US"/>
        </w:rPr>
        <w:t>.</w:t>
      </w:r>
      <w:r w:rsidRPr="00537489">
        <w:rPr>
          <w:spacing w:val="-3"/>
          <w:sz w:val="12"/>
          <w:lang w:val="en-US"/>
        </w:rPr>
        <w:t xml:space="preserve"> </w:t>
      </w:r>
      <w:r w:rsidRPr="00537489">
        <w:rPr>
          <w:spacing w:val="-2"/>
          <w:sz w:val="12"/>
          <w:lang w:val="en-US"/>
        </w:rPr>
        <w:t>35</w:t>
      </w:r>
      <w:r>
        <w:rPr>
          <w:spacing w:val="-2"/>
          <w:sz w:val="12"/>
        </w:rPr>
        <w:t>;</w:t>
      </w:r>
      <w:r w:rsidRPr="00537489">
        <w:rPr>
          <w:spacing w:val="-3"/>
          <w:sz w:val="12"/>
          <w:lang w:val="en-US"/>
        </w:rPr>
        <w:t xml:space="preserve"> </w:t>
      </w:r>
      <w:r w:rsidRPr="00537489">
        <w:rPr>
          <w:spacing w:val="-2"/>
          <w:sz w:val="12"/>
          <w:lang w:val="en-US"/>
        </w:rPr>
        <w:t>CRPD/C/NOR/CO/1,</w:t>
      </w:r>
      <w:r w:rsidRPr="00537489">
        <w:rPr>
          <w:spacing w:val="-3"/>
          <w:sz w:val="12"/>
          <w:lang w:val="en-US"/>
        </w:rPr>
        <w:t xml:space="preserve"> </w:t>
      </w:r>
      <w:proofErr w:type="spellStart"/>
      <w:r w:rsidRPr="00537489">
        <w:rPr>
          <w:spacing w:val="-2"/>
          <w:sz w:val="12"/>
          <w:lang w:val="en-US"/>
        </w:rPr>
        <w:t>párr</w:t>
      </w:r>
      <w:proofErr w:type="spellEnd"/>
      <w:r w:rsidRPr="00537489">
        <w:rPr>
          <w:spacing w:val="-2"/>
          <w:sz w:val="12"/>
          <w:lang w:val="en-US"/>
        </w:rPr>
        <w:t>.</w:t>
      </w:r>
      <w:r w:rsidRPr="00537489">
        <w:rPr>
          <w:spacing w:val="-3"/>
          <w:sz w:val="12"/>
          <w:lang w:val="en-US"/>
        </w:rPr>
        <w:t xml:space="preserve"> </w:t>
      </w:r>
      <w:r w:rsidRPr="00537489">
        <w:rPr>
          <w:spacing w:val="-2"/>
          <w:sz w:val="12"/>
          <w:lang w:val="en-US"/>
        </w:rPr>
        <w:t>7</w:t>
      </w:r>
      <w:r>
        <w:rPr>
          <w:spacing w:val="-2"/>
          <w:sz w:val="12"/>
        </w:rPr>
        <w:t>;</w:t>
      </w:r>
      <w:r w:rsidRPr="00537489">
        <w:rPr>
          <w:spacing w:val="-2"/>
          <w:sz w:val="12"/>
          <w:lang w:val="en-US"/>
        </w:rPr>
        <w:t xml:space="preserve"> CAT/C/SWE/CO/6-7,</w:t>
      </w:r>
      <w:r w:rsidRPr="00537489">
        <w:rPr>
          <w:spacing w:val="-3"/>
          <w:sz w:val="12"/>
          <w:lang w:val="en-US"/>
        </w:rPr>
        <w:t xml:space="preserve"> </w:t>
      </w:r>
      <w:proofErr w:type="spellStart"/>
      <w:r w:rsidRPr="00537489">
        <w:rPr>
          <w:spacing w:val="-2"/>
          <w:sz w:val="12"/>
          <w:lang w:val="en-US"/>
        </w:rPr>
        <w:t>párr</w:t>
      </w:r>
      <w:proofErr w:type="spellEnd"/>
      <w:r w:rsidRPr="00537489">
        <w:rPr>
          <w:spacing w:val="-2"/>
          <w:sz w:val="12"/>
          <w:lang w:val="en-US"/>
        </w:rPr>
        <w:t>.</w:t>
      </w:r>
      <w:r w:rsidRPr="00537489">
        <w:rPr>
          <w:spacing w:val="-3"/>
          <w:sz w:val="12"/>
          <w:lang w:val="en-US"/>
        </w:rPr>
        <w:t xml:space="preserve"> </w:t>
      </w:r>
      <w:r w:rsidRPr="00537489">
        <w:rPr>
          <w:spacing w:val="-2"/>
          <w:sz w:val="12"/>
          <w:lang w:val="en-US"/>
        </w:rPr>
        <w:t>15</w:t>
      </w:r>
      <w:r>
        <w:rPr>
          <w:spacing w:val="-2"/>
          <w:sz w:val="12"/>
        </w:rPr>
        <w:t>;</w:t>
      </w:r>
      <w:r w:rsidRPr="00537489">
        <w:rPr>
          <w:spacing w:val="-3"/>
          <w:sz w:val="12"/>
          <w:lang w:val="en-US"/>
        </w:rPr>
        <w:t xml:space="preserve"> </w:t>
      </w:r>
      <w:r w:rsidRPr="00537489">
        <w:rPr>
          <w:spacing w:val="-2"/>
          <w:sz w:val="12"/>
          <w:lang w:val="en-US"/>
        </w:rPr>
        <w:t>CRC/C/AUT/CO/5-6,</w:t>
      </w:r>
      <w:r w:rsidRPr="00537489">
        <w:rPr>
          <w:spacing w:val="-3"/>
          <w:sz w:val="12"/>
          <w:lang w:val="en-US"/>
        </w:rPr>
        <w:t xml:space="preserve"> </w:t>
      </w:r>
      <w:proofErr w:type="spellStart"/>
      <w:r w:rsidRPr="00537489">
        <w:rPr>
          <w:spacing w:val="-2"/>
          <w:sz w:val="12"/>
          <w:lang w:val="en-US"/>
        </w:rPr>
        <w:t>párr</w:t>
      </w:r>
      <w:proofErr w:type="spellEnd"/>
      <w:r w:rsidRPr="00537489">
        <w:rPr>
          <w:spacing w:val="-2"/>
          <w:sz w:val="12"/>
          <w:lang w:val="en-US"/>
        </w:rPr>
        <w:t>. 17</w:t>
      </w:r>
      <w:r>
        <w:rPr>
          <w:spacing w:val="-2"/>
          <w:sz w:val="12"/>
        </w:rPr>
        <w:t>;</w:t>
      </w:r>
      <w:r w:rsidRPr="00537489">
        <w:rPr>
          <w:spacing w:val="-3"/>
          <w:sz w:val="12"/>
          <w:lang w:val="en-US"/>
        </w:rPr>
        <w:t xml:space="preserve"> </w:t>
      </w:r>
      <w:r w:rsidRPr="00537489">
        <w:rPr>
          <w:spacing w:val="-2"/>
          <w:sz w:val="12"/>
          <w:lang w:val="en-US"/>
        </w:rPr>
        <w:t>y</w:t>
      </w:r>
      <w:r w:rsidRPr="00537489">
        <w:rPr>
          <w:spacing w:val="-3"/>
          <w:sz w:val="12"/>
          <w:lang w:val="en-US"/>
        </w:rPr>
        <w:t xml:space="preserve"> </w:t>
      </w:r>
      <w:r w:rsidRPr="00537489">
        <w:rPr>
          <w:spacing w:val="-2"/>
          <w:sz w:val="12"/>
          <w:lang w:val="en-US"/>
        </w:rPr>
        <w:t>CMW/C/LBY/CO/1,</w:t>
      </w:r>
      <w:r w:rsidRPr="00537489">
        <w:rPr>
          <w:spacing w:val="-3"/>
          <w:sz w:val="12"/>
          <w:lang w:val="en-US"/>
        </w:rPr>
        <w:t xml:space="preserve"> </w:t>
      </w:r>
      <w:proofErr w:type="spellStart"/>
      <w:r w:rsidRPr="00537489">
        <w:rPr>
          <w:spacing w:val="-2"/>
          <w:sz w:val="12"/>
          <w:lang w:val="en-US"/>
        </w:rPr>
        <w:t>párr</w:t>
      </w:r>
      <w:proofErr w:type="spellEnd"/>
      <w:r w:rsidRPr="00537489">
        <w:rPr>
          <w:spacing w:val="-2"/>
          <w:sz w:val="12"/>
          <w:lang w:val="en-US"/>
        </w:rPr>
        <w:t>.</w:t>
      </w:r>
      <w:r w:rsidRPr="00537489">
        <w:rPr>
          <w:spacing w:val="-3"/>
          <w:sz w:val="12"/>
          <w:lang w:val="en-US"/>
        </w:rPr>
        <w:t xml:space="preserve"> </w:t>
      </w:r>
      <w:r>
        <w:rPr>
          <w:spacing w:val="-5"/>
          <w:sz w:val="12"/>
        </w:rPr>
        <w:t>29.</w:t>
      </w:r>
    </w:p>
    <w:p w14:paraId="2EB15CAA" w14:textId="77777777" w:rsidR="0014798C" w:rsidRDefault="0014798C">
      <w:pPr>
        <w:pStyle w:val="Textoindependiente"/>
        <w:spacing w:before="105"/>
        <w:rPr>
          <w:sz w:val="13"/>
        </w:rPr>
      </w:pPr>
    </w:p>
    <w:p w14:paraId="653CB1BC" w14:textId="77777777" w:rsidR="0014798C" w:rsidRDefault="004E1F0B">
      <w:pPr>
        <w:pStyle w:val="Prrafodelista"/>
        <w:numPr>
          <w:ilvl w:val="0"/>
          <w:numId w:val="27"/>
        </w:numPr>
        <w:tabs>
          <w:tab w:val="left" w:pos="1358"/>
        </w:tabs>
        <w:ind w:left="1358" w:hanging="248"/>
        <w:rPr>
          <w:sz w:val="13"/>
        </w:rPr>
      </w:pPr>
      <w:r>
        <w:rPr>
          <w:sz w:val="13"/>
        </w:rPr>
        <w:t>En</w:t>
      </w:r>
      <w:r>
        <w:rPr>
          <w:spacing w:val="-9"/>
          <w:sz w:val="13"/>
        </w:rPr>
        <w:t xml:space="preserve"> </w:t>
      </w:r>
      <w:r>
        <w:rPr>
          <w:sz w:val="13"/>
        </w:rPr>
        <w:t>particular</w:t>
      </w:r>
      <w:r>
        <w:rPr>
          <w:spacing w:val="-8"/>
          <w:sz w:val="13"/>
        </w:rPr>
        <w:t xml:space="preserve"> </w:t>
      </w:r>
      <w:r>
        <w:rPr>
          <w:sz w:val="13"/>
        </w:rPr>
        <w:t>–</w:t>
      </w:r>
      <w:r>
        <w:rPr>
          <w:spacing w:val="-9"/>
          <w:sz w:val="13"/>
        </w:rPr>
        <w:t xml:space="preserve"> </w:t>
      </w:r>
      <w:r>
        <w:rPr>
          <w:sz w:val="13"/>
        </w:rPr>
        <w:t>aunque</w:t>
      </w:r>
      <w:r>
        <w:rPr>
          <w:spacing w:val="-8"/>
          <w:sz w:val="13"/>
        </w:rPr>
        <w:t xml:space="preserve"> </w:t>
      </w:r>
      <w:r>
        <w:rPr>
          <w:sz w:val="13"/>
        </w:rPr>
        <w:t>no</w:t>
      </w:r>
      <w:r>
        <w:rPr>
          <w:spacing w:val="-8"/>
          <w:sz w:val="13"/>
        </w:rPr>
        <w:t xml:space="preserve"> </w:t>
      </w:r>
      <w:r>
        <w:rPr>
          <w:sz w:val="13"/>
        </w:rPr>
        <w:t>exclusivamente</w:t>
      </w:r>
      <w:r>
        <w:rPr>
          <w:spacing w:val="-9"/>
          <w:sz w:val="13"/>
        </w:rPr>
        <w:t xml:space="preserve"> </w:t>
      </w:r>
      <w:r>
        <w:rPr>
          <w:sz w:val="13"/>
        </w:rPr>
        <w:t>–</w:t>
      </w:r>
      <w:r>
        <w:rPr>
          <w:spacing w:val="-8"/>
          <w:sz w:val="13"/>
        </w:rPr>
        <w:t xml:space="preserve"> </w:t>
      </w:r>
      <w:r>
        <w:rPr>
          <w:sz w:val="13"/>
        </w:rPr>
        <w:t>basándose</w:t>
      </w:r>
      <w:r>
        <w:rPr>
          <w:spacing w:val="-8"/>
          <w:sz w:val="13"/>
        </w:rPr>
        <w:t xml:space="preserve"> </w:t>
      </w:r>
      <w:r>
        <w:rPr>
          <w:sz w:val="13"/>
        </w:rPr>
        <w:t>en</w:t>
      </w:r>
      <w:r>
        <w:rPr>
          <w:spacing w:val="-9"/>
          <w:sz w:val="13"/>
        </w:rPr>
        <w:t xml:space="preserve"> </w:t>
      </w:r>
      <w:r>
        <w:rPr>
          <w:sz w:val="13"/>
        </w:rPr>
        <w:t>las</w:t>
      </w:r>
      <w:r>
        <w:rPr>
          <w:spacing w:val="-8"/>
          <w:sz w:val="13"/>
        </w:rPr>
        <w:t xml:space="preserve"> </w:t>
      </w:r>
      <w:r>
        <w:rPr>
          <w:sz w:val="13"/>
        </w:rPr>
        <w:t>disposiciones</w:t>
      </w:r>
      <w:r>
        <w:rPr>
          <w:spacing w:val="-9"/>
          <w:sz w:val="13"/>
        </w:rPr>
        <w:t xml:space="preserve"> </w:t>
      </w:r>
      <w:r>
        <w:rPr>
          <w:sz w:val="13"/>
        </w:rPr>
        <w:t>del</w:t>
      </w:r>
      <w:r>
        <w:rPr>
          <w:spacing w:val="-8"/>
          <w:sz w:val="13"/>
        </w:rPr>
        <w:t xml:space="preserve"> </w:t>
      </w:r>
      <w:r>
        <w:rPr>
          <w:sz w:val="13"/>
        </w:rPr>
        <w:t>Convenio</w:t>
      </w:r>
      <w:r>
        <w:rPr>
          <w:spacing w:val="-8"/>
          <w:sz w:val="13"/>
        </w:rPr>
        <w:t xml:space="preserve"> </w:t>
      </w:r>
      <w:r>
        <w:rPr>
          <w:sz w:val="13"/>
        </w:rPr>
        <w:t>sobre</w:t>
      </w:r>
      <w:r>
        <w:rPr>
          <w:spacing w:val="-9"/>
          <w:sz w:val="13"/>
        </w:rPr>
        <w:t xml:space="preserve"> </w:t>
      </w:r>
      <w:r>
        <w:rPr>
          <w:sz w:val="13"/>
        </w:rPr>
        <w:t>igualdad</w:t>
      </w:r>
      <w:r>
        <w:rPr>
          <w:spacing w:val="-8"/>
          <w:sz w:val="13"/>
        </w:rPr>
        <w:t xml:space="preserve"> </w:t>
      </w:r>
      <w:r>
        <w:rPr>
          <w:sz w:val="13"/>
        </w:rPr>
        <w:t>de</w:t>
      </w:r>
      <w:r>
        <w:rPr>
          <w:spacing w:val="-9"/>
          <w:sz w:val="13"/>
        </w:rPr>
        <w:t xml:space="preserve"> </w:t>
      </w:r>
      <w:r>
        <w:rPr>
          <w:sz w:val="13"/>
        </w:rPr>
        <w:t>remuneración,</w:t>
      </w:r>
      <w:r>
        <w:rPr>
          <w:spacing w:val="-7"/>
          <w:sz w:val="13"/>
        </w:rPr>
        <w:t xml:space="preserve"> </w:t>
      </w:r>
      <w:r>
        <w:rPr>
          <w:sz w:val="13"/>
        </w:rPr>
        <w:t>1951</w:t>
      </w:r>
      <w:r>
        <w:rPr>
          <w:spacing w:val="-8"/>
          <w:sz w:val="13"/>
        </w:rPr>
        <w:t xml:space="preserve"> </w:t>
      </w:r>
      <w:r>
        <w:rPr>
          <w:sz w:val="13"/>
        </w:rPr>
        <w:t>(núm.</w:t>
      </w:r>
      <w:r>
        <w:rPr>
          <w:spacing w:val="-9"/>
          <w:sz w:val="13"/>
        </w:rPr>
        <w:t xml:space="preserve"> </w:t>
      </w:r>
      <w:r>
        <w:rPr>
          <w:sz w:val="13"/>
        </w:rPr>
        <w:t>100),</w:t>
      </w:r>
      <w:r>
        <w:rPr>
          <w:spacing w:val="-8"/>
          <w:sz w:val="13"/>
        </w:rPr>
        <w:t xml:space="preserve"> </w:t>
      </w:r>
      <w:r>
        <w:rPr>
          <w:spacing w:val="-5"/>
          <w:sz w:val="13"/>
        </w:rPr>
        <w:t>el</w:t>
      </w:r>
    </w:p>
    <w:p w14:paraId="647B5A2D" w14:textId="77777777" w:rsidR="0014798C" w:rsidRDefault="004E1F0B">
      <w:pPr>
        <w:spacing w:before="54"/>
        <w:ind w:left="1367"/>
        <w:rPr>
          <w:sz w:val="12"/>
        </w:rPr>
      </w:pPr>
      <w:r>
        <w:rPr>
          <w:sz w:val="12"/>
        </w:rPr>
        <w:t>Convenio</w:t>
      </w:r>
      <w:r>
        <w:rPr>
          <w:spacing w:val="2"/>
          <w:sz w:val="12"/>
        </w:rPr>
        <w:t xml:space="preserve"> </w:t>
      </w:r>
      <w:r>
        <w:rPr>
          <w:sz w:val="12"/>
        </w:rPr>
        <w:t>sobre</w:t>
      </w:r>
      <w:r>
        <w:rPr>
          <w:spacing w:val="2"/>
          <w:sz w:val="12"/>
        </w:rPr>
        <w:t xml:space="preserve"> </w:t>
      </w:r>
      <w:r>
        <w:rPr>
          <w:sz w:val="12"/>
        </w:rPr>
        <w:t>la</w:t>
      </w:r>
      <w:r>
        <w:rPr>
          <w:spacing w:val="2"/>
          <w:sz w:val="12"/>
        </w:rPr>
        <w:t xml:space="preserve"> </w:t>
      </w:r>
      <w:r>
        <w:rPr>
          <w:sz w:val="12"/>
        </w:rPr>
        <w:t>discriminación</w:t>
      </w:r>
      <w:r>
        <w:rPr>
          <w:spacing w:val="2"/>
          <w:sz w:val="12"/>
        </w:rPr>
        <w:t xml:space="preserve"> </w:t>
      </w:r>
      <w:r>
        <w:rPr>
          <w:sz w:val="12"/>
        </w:rPr>
        <w:t>(empleo</w:t>
      </w:r>
      <w:r>
        <w:rPr>
          <w:spacing w:val="2"/>
          <w:sz w:val="12"/>
        </w:rPr>
        <w:t xml:space="preserve"> </w:t>
      </w:r>
      <w:r>
        <w:rPr>
          <w:sz w:val="12"/>
        </w:rPr>
        <w:t>y</w:t>
      </w:r>
      <w:r>
        <w:rPr>
          <w:spacing w:val="2"/>
          <w:sz w:val="12"/>
        </w:rPr>
        <w:t xml:space="preserve"> </w:t>
      </w:r>
      <w:r>
        <w:rPr>
          <w:sz w:val="12"/>
        </w:rPr>
        <w:t>ocupación),</w:t>
      </w:r>
      <w:r>
        <w:rPr>
          <w:spacing w:val="3"/>
          <w:sz w:val="12"/>
        </w:rPr>
        <w:t xml:space="preserve"> </w:t>
      </w:r>
      <w:r>
        <w:rPr>
          <w:sz w:val="12"/>
        </w:rPr>
        <w:t>1958</w:t>
      </w:r>
      <w:r>
        <w:rPr>
          <w:spacing w:val="2"/>
          <w:sz w:val="12"/>
        </w:rPr>
        <w:t xml:space="preserve"> </w:t>
      </w:r>
      <w:r>
        <w:rPr>
          <w:sz w:val="12"/>
        </w:rPr>
        <w:t>(núm.</w:t>
      </w:r>
      <w:r>
        <w:rPr>
          <w:spacing w:val="2"/>
          <w:sz w:val="12"/>
        </w:rPr>
        <w:t xml:space="preserve"> </w:t>
      </w:r>
      <w:r>
        <w:rPr>
          <w:sz w:val="12"/>
        </w:rPr>
        <w:t>111)</w:t>
      </w:r>
      <w:r>
        <w:rPr>
          <w:spacing w:val="2"/>
          <w:sz w:val="12"/>
        </w:rPr>
        <w:t xml:space="preserve"> </w:t>
      </w:r>
      <w:r>
        <w:rPr>
          <w:sz w:val="12"/>
        </w:rPr>
        <w:t>y</w:t>
      </w:r>
      <w:r>
        <w:rPr>
          <w:spacing w:val="2"/>
          <w:sz w:val="12"/>
        </w:rPr>
        <w:t xml:space="preserve"> </w:t>
      </w:r>
      <w:r>
        <w:rPr>
          <w:sz w:val="12"/>
        </w:rPr>
        <w:t>Convenio</w:t>
      </w:r>
      <w:r>
        <w:rPr>
          <w:spacing w:val="2"/>
          <w:sz w:val="12"/>
        </w:rPr>
        <w:t xml:space="preserve"> </w:t>
      </w:r>
      <w:r>
        <w:rPr>
          <w:sz w:val="12"/>
        </w:rPr>
        <w:t>sobre</w:t>
      </w:r>
      <w:r>
        <w:rPr>
          <w:spacing w:val="2"/>
          <w:sz w:val="12"/>
        </w:rPr>
        <w:t xml:space="preserve"> </w:t>
      </w:r>
      <w:r>
        <w:rPr>
          <w:sz w:val="12"/>
        </w:rPr>
        <w:t>la</w:t>
      </w:r>
      <w:r>
        <w:rPr>
          <w:spacing w:val="2"/>
          <w:sz w:val="12"/>
        </w:rPr>
        <w:t xml:space="preserve"> </w:t>
      </w:r>
      <w:r>
        <w:rPr>
          <w:sz w:val="12"/>
        </w:rPr>
        <w:t>política</w:t>
      </w:r>
      <w:r>
        <w:rPr>
          <w:spacing w:val="2"/>
          <w:sz w:val="12"/>
        </w:rPr>
        <w:t xml:space="preserve"> </w:t>
      </w:r>
      <w:r>
        <w:rPr>
          <w:sz w:val="12"/>
        </w:rPr>
        <w:t>del</w:t>
      </w:r>
      <w:r>
        <w:rPr>
          <w:spacing w:val="2"/>
          <w:sz w:val="12"/>
        </w:rPr>
        <w:t xml:space="preserve"> </w:t>
      </w:r>
      <w:r>
        <w:rPr>
          <w:sz w:val="12"/>
        </w:rPr>
        <w:t>empleo,</w:t>
      </w:r>
      <w:r>
        <w:rPr>
          <w:spacing w:val="4"/>
          <w:sz w:val="12"/>
        </w:rPr>
        <w:t xml:space="preserve"> </w:t>
      </w:r>
      <w:r>
        <w:rPr>
          <w:sz w:val="12"/>
        </w:rPr>
        <w:t>1964</w:t>
      </w:r>
      <w:r>
        <w:rPr>
          <w:spacing w:val="2"/>
          <w:sz w:val="12"/>
        </w:rPr>
        <w:t xml:space="preserve"> </w:t>
      </w:r>
      <w:r>
        <w:rPr>
          <w:sz w:val="12"/>
        </w:rPr>
        <w:t>(núm.</w:t>
      </w:r>
      <w:r>
        <w:rPr>
          <w:spacing w:val="2"/>
          <w:sz w:val="12"/>
        </w:rPr>
        <w:t xml:space="preserve"> </w:t>
      </w:r>
      <w:r>
        <w:rPr>
          <w:sz w:val="12"/>
        </w:rPr>
        <w:t>122).</w:t>
      </w:r>
      <w:r>
        <w:rPr>
          <w:spacing w:val="2"/>
          <w:sz w:val="12"/>
        </w:rPr>
        <w:t xml:space="preserve"> </w:t>
      </w:r>
      <w:r>
        <w:rPr>
          <w:spacing w:val="-5"/>
          <w:sz w:val="12"/>
        </w:rPr>
        <w:t>Ver</w:t>
      </w:r>
    </w:p>
    <w:p w14:paraId="6B3F6B3A" w14:textId="77777777" w:rsidR="0014798C" w:rsidRDefault="004E1F0B">
      <w:pPr>
        <w:spacing w:before="42" w:line="256" w:lineRule="auto"/>
        <w:ind w:left="1365" w:right="1725" w:firstLine="6"/>
        <w:rPr>
          <w:sz w:val="12"/>
        </w:rPr>
      </w:pPr>
      <w:r>
        <w:rPr>
          <w:sz w:val="12"/>
        </w:rPr>
        <w:t>Resolución 74/165 de la Asamblea General. Véase también OIT, “Trabajo normativo de la OIT sobre minorías étnicas, lingüísticas y religiosas”, en los archivos</w:t>
      </w:r>
      <w:r>
        <w:rPr>
          <w:spacing w:val="80"/>
          <w:sz w:val="12"/>
        </w:rPr>
        <w:t xml:space="preserve"> </w:t>
      </w:r>
      <w:r>
        <w:rPr>
          <w:sz w:val="12"/>
        </w:rPr>
        <w:t>del</w:t>
      </w:r>
      <w:r>
        <w:rPr>
          <w:spacing w:val="-7"/>
          <w:sz w:val="12"/>
        </w:rPr>
        <w:t xml:space="preserve"> </w:t>
      </w:r>
      <w:r>
        <w:rPr>
          <w:sz w:val="12"/>
        </w:rPr>
        <w:t>ACNUDH.</w:t>
      </w:r>
    </w:p>
    <w:p w14:paraId="7B018C13" w14:textId="77777777" w:rsidR="0014798C" w:rsidRDefault="004E1F0B">
      <w:pPr>
        <w:pStyle w:val="Prrafodelista"/>
        <w:numPr>
          <w:ilvl w:val="0"/>
          <w:numId w:val="27"/>
        </w:numPr>
        <w:tabs>
          <w:tab w:val="left" w:pos="1358"/>
        </w:tabs>
        <w:spacing w:before="98"/>
        <w:ind w:left="1358" w:hanging="248"/>
        <w:rPr>
          <w:sz w:val="13"/>
        </w:rPr>
      </w:pPr>
      <w:r>
        <w:rPr>
          <w:spacing w:val="-2"/>
          <w:sz w:val="13"/>
        </w:rPr>
        <w:t>Comité</w:t>
      </w:r>
      <w:r>
        <w:rPr>
          <w:spacing w:val="2"/>
          <w:sz w:val="13"/>
        </w:rPr>
        <w:t xml:space="preserve"> </w:t>
      </w:r>
      <w:r>
        <w:rPr>
          <w:spacing w:val="-2"/>
          <w:sz w:val="13"/>
        </w:rPr>
        <w:t>de</w:t>
      </w:r>
      <w:r>
        <w:rPr>
          <w:spacing w:val="3"/>
          <w:sz w:val="13"/>
        </w:rPr>
        <w:t xml:space="preserve"> </w:t>
      </w:r>
      <w:r>
        <w:rPr>
          <w:spacing w:val="-2"/>
          <w:sz w:val="13"/>
        </w:rPr>
        <w:t>Derechos</w:t>
      </w:r>
      <w:r>
        <w:rPr>
          <w:spacing w:val="3"/>
          <w:sz w:val="13"/>
        </w:rPr>
        <w:t xml:space="preserve"> </w:t>
      </w:r>
      <w:r>
        <w:rPr>
          <w:spacing w:val="-2"/>
          <w:sz w:val="13"/>
        </w:rPr>
        <w:t>Humanos,</w:t>
      </w:r>
      <w:r>
        <w:rPr>
          <w:spacing w:val="4"/>
          <w:sz w:val="13"/>
        </w:rPr>
        <w:t xml:space="preserve"> </w:t>
      </w:r>
      <w:r>
        <w:rPr>
          <w:spacing w:val="-2"/>
          <w:sz w:val="13"/>
        </w:rPr>
        <w:t>observación</w:t>
      </w:r>
      <w:r>
        <w:rPr>
          <w:spacing w:val="2"/>
          <w:sz w:val="13"/>
        </w:rPr>
        <w:t xml:space="preserve"> </w:t>
      </w:r>
      <w:r>
        <w:rPr>
          <w:spacing w:val="-2"/>
          <w:sz w:val="13"/>
        </w:rPr>
        <w:t>general</w:t>
      </w:r>
      <w:r>
        <w:rPr>
          <w:spacing w:val="3"/>
          <w:sz w:val="13"/>
        </w:rPr>
        <w:t xml:space="preserve"> </w:t>
      </w:r>
      <w:r>
        <w:rPr>
          <w:spacing w:val="-2"/>
          <w:sz w:val="13"/>
        </w:rPr>
        <w:t>núm.</w:t>
      </w:r>
      <w:r>
        <w:rPr>
          <w:spacing w:val="3"/>
          <w:sz w:val="13"/>
        </w:rPr>
        <w:t xml:space="preserve"> </w:t>
      </w:r>
      <w:r>
        <w:rPr>
          <w:spacing w:val="-2"/>
          <w:sz w:val="13"/>
        </w:rPr>
        <w:t>23</w:t>
      </w:r>
      <w:r>
        <w:rPr>
          <w:spacing w:val="2"/>
          <w:sz w:val="13"/>
        </w:rPr>
        <w:t xml:space="preserve"> </w:t>
      </w:r>
      <w:r>
        <w:rPr>
          <w:spacing w:val="-2"/>
          <w:sz w:val="13"/>
        </w:rPr>
        <w:t>(1994),</w:t>
      </w:r>
      <w:r>
        <w:rPr>
          <w:spacing w:val="4"/>
          <w:sz w:val="13"/>
        </w:rPr>
        <w:t xml:space="preserve"> </w:t>
      </w:r>
      <w:r>
        <w:rPr>
          <w:spacing w:val="-2"/>
          <w:sz w:val="13"/>
        </w:rPr>
        <w:t>párr.</w:t>
      </w:r>
      <w:r>
        <w:rPr>
          <w:spacing w:val="3"/>
          <w:sz w:val="13"/>
        </w:rPr>
        <w:t xml:space="preserve"> </w:t>
      </w:r>
      <w:r>
        <w:rPr>
          <w:spacing w:val="-5"/>
          <w:sz w:val="13"/>
        </w:rPr>
        <w:t>4.</w:t>
      </w:r>
    </w:p>
    <w:p w14:paraId="0567A66C" w14:textId="77777777" w:rsidR="0014798C" w:rsidRDefault="004E1F0B">
      <w:pPr>
        <w:pStyle w:val="Prrafodelista"/>
        <w:numPr>
          <w:ilvl w:val="0"/>
          <w:numId w:val="27"/>
        </w:numPr>
        <w:tabs>
          <w:tab w:val="left" w:pos="1358"/>
        </w:tabs>
        <w:spacing w:before="87"/>
        <w:ind w:left="1358" w:hanging="248"/>
        <w:rPr>
          <w:sz w:val="13"/>
        </w:rPr>
      </w:pPr>
      <w:proofErr w:type="spellStart"/>
      <w:r>
        <w:rPr>
          <w:sz w:val="13"/>
        </w:rPr>
        <w:t>Ibíd</w:t>
      </w:r>
      <w:proofErr w:type="spellEnd"/>
      <w:r>
        <w:rPr>
          <w:sz w:val="13"/>
        </w:rPr>
        <w:t>.,</w:t>
      </w:r>
      <w:r>
        <w:rPr>
          <w:spacing w:val="-9"/>
          <w:sz w:val="13"/>
        </w:rPr>
        <w:t xml:space="preserve"> </w:t>
      </w:r>
      <w:r>
        <w:rPr>
          <w:sz w:val="13"/>
        </w:rPr>
        <w:t>párr.</w:t>
      </w:r>
      <w:r>
        <w:rPr>
          <w:spacing w:val="-8"/>
          <w:sz w:val="13"/>
        </w:rPr>
        <w:t xml:space="preserve"> </w:t>
      </w:r>
      <w:r>
        <w:rPr>
          <w:spacing w:val="-4"/>
          <w:sz w:val="13"/>
        </w:rPr>
        <w:t>5.1.</w:t>
      </w:r>
    </w:p>
    <w:p w14:paraId="746837E6" w14:textId="77777777" w:rsidR="0014798C" w:rsidRDefault="004E1F0B">
      <w:pPr>
        <w:pStyle w:val="Prrafodelista"/>
        <w:numPr>
          <w:ilvl w:val="0"/>
          <w:numId w:val="27"/>
        </w:numPr>
        <w:tabs>
          <w:tab w:val="left" w:pos="1358"/>
        </w:tabs>
        <w:spacing w:before="86"/>
        <w:ind w:left="1358" w:hanging="248"/>
        <w:rPr>
          <w:sz w:val="13"/>
        </w:rPr>
      </w:pPr>
      <w:proofErr w:type="spellStart"/>
      <w:r>
        <w:rPr>
          <w:sz w:val="13"/>
        </w:rPr>
        <w:t>Ibíd</w:t>
      </w:r>
      <w:proofErr w:type="spellEnd"/>
      <w:r>
        <w:rPr>
          <w:sz w:val="13"/>
        </w:rPr>
        <w:t>.,</w:t>
      </w:r>
      <w:r>
        <w:rPr>
          <w:spacing w:val="-9"/>
          <w:sz w:val="13"/>
        </w:rPr>
        <w:t xml:space="preserve"> </w:t>
      </w:r>
      <w:r>
        <w:rPr>
          <w:sz w:val="13"/>
        </w:rPr>
        <w:t>párr.</w:t>
      </w:r>
      <w:r>
        <w:rPr>
          <w:spacing w:val="-8"/>
          <w:sz w:val="13"/>
        </w:rPr>
        <w:t xml:space="preserve"> </w:t>
      </w:r>
      <w:r>
        <w:rPr>
          <w:spacing w:val="-5"/>
          <w:sz w:val="13"/>
        </w:rPr>
        <w:t>1.</w:t>
      </w:r>
    </w:p>
    <w:p w14:paraId="5D357B5F" w14:textId="77777777" w:rsidR="0014798C" w:rsidRDefault="0014798C">
      <w:pPr>
        <w:pStyle w:val="Textoindependiente"/>
        <w:rPr>
          <w:sz w:val="18"/>
        </w:rPr>
      </w:pPr>
    </w:p>
    <w:p w14:paraId="67CADF6C" w14:textId="77777777" w:rsidR="0014798C" w:rsidRDefault="0014798C">
      <w:pPr>
        <w:pStyle w:val="Textoindependiente"/>
        <w:rPr>
          <w:sz w:val="18"/>
        </w:rPr>
      </w:pPr>
    </w:p>
    <w:p w14:paraId="6CEA325C" w14:textId="77777777" w:rsidR="0014798C" w:rsidRDefault="0014798C">
      <w:pPr>
        <w:pStyle w:val="Textoindependiente"/>
        <w:spacing w:before="23"/>
        <w:rPr>
          <w:sz w:val="18"/>
        </w:rPr>
      </w:pPr>
    </w:p>
    <w:p w14:paraId="6F9AE47C" w14:textId="77777777" w:rsidR="0014798C" w:rsidRDefault="004E1F0B">
      <w:pPr>
        <w:spacing w:before="1"/>
        <w:ind w:left="478"/>
        <w:rPr>
          <w:sz w:val="18"/>
        </w:rPr>
      </w:pPr>
      <w:r>
        <w:rPr>
          <w:spacing w:val="-5"/>
          <w:sz w:val="18"/>
        </w:rPr>
        <w:t>124</w:t>
      </w:r>
    </w:p>
    <w:p w14:paraId="243C6CFF" w14:textId="77777777" w:rsidR="0014798C" w:rsidRDefault="0014798C">
      <w:pPr>
        <w:rPr>
          <w:sz w:val="18"/>
        </w:rPr>
        <w:sectPr w:rsidR="0014798C" w:rsidSect="00F265E4">
          <w:pgSz w:w="11900" w:h="16820"/>
          <w:pgMar w:top="340" w:right="0" w:bottom="280" w:left="200" w:header="121" w:footer="0" w:gutter="0"/>
          <w:cols w:space="720"/>
        </w:sectPr>
      </w:pPr>
    </w:p>
    <w:p w14:paraId="3D2E4788" w14:textId="77777777" w:rsidR="0014798C" w:rsidRDefault="0014798C">
      <w:pPr>
        <w:pStyle w:val="Textoindependiente"/>
        <w:rPr>
          <w:sz w:val="9"/>
        </w:rPr>
      </w:pPr>
    </w:p>
    <w:p w14:paraId="337AFE87" w14:textId="77777777" w:rsidR="0014798C" w:rsidRDefault="0014798C">
      <w:pPr>
        <w:pStyle w:val="Textoindependiente"/>
        <w:spacing w:before="31"/>
        <w:rPr>
          <w:sz w:val="9"/>
        </w:rPr>
      </w:pPr>
    </w:p>
    <w:p w14:paraId="10835DE2" w14:textId="77777777" w:rsidR="0014798C" w:rsidRDefault="004E1F0B">
      <w:pPr>
        <w:ind w:left="1111"/>
        <w:rPr>
          <w:sz w:val="9"/>
        </w:rPr>
      </w:pPr>
      <w:r>
        <w:rPr>
          <w:color w:val="803108"/>
          <w:w w:val="105"/>
          <w:sz w:val="9"/>
        </w:rPr>
        <w:t>PARTE</w:t>
      </w:r>
      <w:r>
        <w:rPr>
          <w:color w:val="803108"/>
          <w:spacing w:val="1"/>
          <w:w w:val="105"/>
          <w:sz w:val="9"/>
        </w:rPr>
        <w:t xml:space="preserve"> </w:t>
      </w:r>
      <w:r>
        <w:rPr>
          <w:color w:val="803108"/>
          <w:w w:val="105"/>
          <w:sz w:val="9"/>
        </w:rPr>
        <w:t>TRES:</w:t>
      </w:r>
      <w:r>
        <w:rPr>
          <w:color w:val="803108"/>
          <w:spacing w:val="2"/>
          <w:w w:val="105"/>
          <w:sz w:val="9"/>
        </w:rPr>
        <w:t xml:space="preserve"> </w:t>
      </w:r>
      <w:r>
        <w:rPr>
          <w:color w:val="803108"/>
          <w:w w:val="105"/>
          <w:sz w:val="9"/>
        </w:rPr>
        <w:t>PROTECCIÓN</w:t>
      </w:r>
      <w:r>
        <w:rPr>
          <w:color w:val="803108"/>
          <w:spacing w:val="2"/>
          <w:w w:val="105"/>
          <w:sz w:val="9"/>
        </w:rPr>
        <w:t xml:space="preserve"> </w:t>
      </w:r>
      <w:r>
        <w:rPr>
          <w:color w:val="803108"/>
          <w:w w:val="105"/>
          <w:sz w:val="9"/>
        </w:rPr>
        <w:t>DE</w:t>
      </w:r>
      <w:r>
        <w:rPr>
          <w:color w:val="803108"/>
          <w:spacing w:val="1"/>
          <w:w w:val="105"/>
          <w:sz w:val="9"/>
        </w:rPr>
        <w:t xml:space="preserve"> </w:t>
      </w:r>
      <w:r>
        <w:rPr>
          <w:color w:val="803108"/>
          <w:w w:val="105"/>
          <w:sz w:val="9"/>
        </w:rPr>
        <w:t>LOS</w:t>
      </w:r>
      <w:r>
        <w:rPr>
          <w:color w:val="803108"/>
          <w:spacing w:val="2"/>
          <w:w w:val="105"/>
          <w:sz w:val="9"/>
        </w:rPr>
        <w:t xml:space="preserve"> </w:t>
      </w:r>
      <w:r>
        <w:rPr>
          <w:color w:val="803108"/>
          <w:w w:val="105"/>
          <w:sz w:val="9"/>
        </w:rPr>
        <w:t>DERECHOS</w:t>
      </w:r>
      <w:r>
        <w:rPr>
          <w:color w:val="803108"/>
          <w:spacing w:val="3"/>
          <w:w w:val="105"/>
          <w:sz w:val="9"/>
        </w:rPr>
        <w:t xml:space="preserve"> </w:t>
      </w:r>
      <w:r>
        <w:rPr>
          <w:color w:val="803108"/>
          <w:w w:val="105"/>
          <w:sz w:val="9"/>
        </w:rPr>
        <w:t>DE</w:t>
      </w:r>
      <w:r>
        <w:rPr>
          <w:color w:val="803108"/>
          <w:spacing w:val="1"/>
          <w:w w:val="105"/>
          <w:sz w:val="9"/>
        </w:rPr>
        <w:t xml:space="preserve"> </w:t>
      </w:r>
      <w:r>
        <w:rPr>
          <w:color w:val="803108"/>
          <w:w w:val="105"/>
          <w:sz w:val="9"/>
        </w:rPr>
        <w:t>LAS</w:t>
      </w:r>
      <w:r>
        <w:rPr>
          <w:color w:val="803108"/>
          <w:spacing w:val="2"/>
          <w:w w:val="105"/>
          <w:sz w:val="9"/>
        </w:rPr>
        <w:t xml:space="preserve"> </w:t>
      </w:r>
      <w:r>
        <w:rPr>
          <w:color w:val="803108"/>
          <w:spacing w:val="-2"/>
          <w:w w:val="105"/>
          <w:sz w:val="9"/>
        </w:rPr>
        <w:t>MINORÍAS</w:t>
      </w:r>
    </w:p>
    <w:p w14:paraId="1AB55C9A" w14:textId="77777777" w:rsidR="0014798C" w:rsidRDefault="0014798C">
      <w:pPr>
        <w:pStyle w:val="Textoindependiente"/>
        <w:rPr>
          <w:sz w:val="15"/>
        </w:rPr>
      </w:pPr>
    </w:p>
    <w:p w14:paraId="3AAE4DF2" w14:textId="77777777" w:rsidR="0014798C" w:rsidRDefault="0014798C">
      <w:pPr>
        <w:pStyle w:val="Textoindependiente"/>
        <w:rPr>
          <w:sz w:val="15"/>
        </w:rPr>
      </w:pPr>
    </w:p>
    <w:p w14:paraId="4BF11A20" w14:textId="77777777" w:rsidR="0014798C" w:rsidRDefault="0014798C">
      <w:pPr>
        <w:pStyle w:val="Textoindependiente"/>
        <w:rPr>
          <w:sz w:val="15"/>
        </w:rPr>
      </w:pPr>
    </w:p>
    <w:p w14:paraId="7B8415F6" w14:textId="77777777" w:rsidR="0014798C" w:rsidRDefault="0014798C">
      <w:pPr>
        <w:pStyle w:val="Textoindependiente"/>
        <w:rPr>
          <w:sz w:val="15"/>
        </w:rPr>
      </w:pPr>
    </w:p>
    <w:p w14:paraId="154B847E" w14:textId="77777777" w:rsidR="0014798C" w:rsidRDefault="0014798C">
      <w:pPr>
        <w:pStyle w:val="Textoindependiente"/>
        <w:spacing w:before="136"/>
        <w:rPr>
          <w:sz w:val="15"/>
        </w:rPr>
      </w:pPr>
    </w:p>
    <w:p w14:paraId="0D268EA6" w14:textId="77777777" w:rsidR="0014798C" w:rsidRDefault="004E1F0B">
      <w:pPr>
        <w:spacing w:line="348" w:lineRule="auto"/>
        <w:ind w:left="1111" w:right="1166" w:hanging="6"/>
        <w:rPr>
          <w:sz w:val="15"/>
        </w:rPr>
      </w:pPr>
      <w:r>
        <w:rPr>
          <w:sz w:val="15"/>
        </w:rPr>
        <w:t>Los</w:t>
      </w:r>
      <w:r>
        <w:rPr>
          <w:spacing w:val="-7"/>
          <w:sz w:val="15"/>
        </w:rPr>
        <w:t xml:space="preserve"> </w:t>
      </w:r>
      <w:r>
        <w:rPr>
          <w:sz w:val="15"/>
        </w:rPr>
        <w:t>derechos</w:t>
      </w:r>
      <w:r>
        <w:rPr>
          <w:spacing w:val="-7"/>
          <w:sz w:val="15"/>
        </w:rPr>
        <w:t xml:space="preserve"> </w:t>
      </w:r>
      <w:r>
        <w:rPr>
          <w:sz w:val="15"/>
        </w:rPr>
        <w:t>enunciados</w:t>
      </w:r>
      <w:r>
        <w:rPr>
          <w:spacing w:val="-7"/>
          <w:sz w:val="15"/>
        </w:rPr>
        <w:t xml:space="preserve"> </w:t>
      </w:r>
      <w:r>
        <w:rPr>
          <w:sz w:val="15"/>
        </w:rPr>
        <w:t>en</w:t>
      </w:r>
      <w:r>
        <w:rPr>
          <w:spacing w:val="-7"/>
          <w:sz w:val="15"/>
        </w:rPr>
        <w:t xml:space="preserve"> </w:t>
      </w:r>
      <w:r>
        <w:rPr>
          <w:sz w:val="15"/>
        </w:rPr>
        <w:t>el</w:t>
      </w:r>
      <w:r>
        <w:rPr>
          <w:spacing w:val="-7"/>
          <w:sz w:val="15"/>
        </w:rPr>
        <w:t xml:space="preserve"> </w:t>
      </w:r>
      <w:r>
        <w:rPr>
          <w:sz w:val="15"/>
        </w:rPr>
        <w:t>artículo</w:t>
      </w:r>
      <w:r>
        <w:rPr>
          <w:spacing w:val="-7"/>
          <w:sz w:val="15"/>
        </w:rPr>
        <w:t xml:space="preserve"> </w:t>
      </w:r>
      <w:r>
        <w:rPr>
          <w:sz w:val="15"/>
        </w:rPr>
        <w:t>27</w:t>
      </w:r>
      <w:r>
        <w:rPr>
          <w:spacing w:val="-7"/>
          <w:sz w:val="15"/>
        </w:rPr>
        <w:t xml:space="preserve"> </w:t>
      </w:r>
      <w:r>
        <w:rPr>
          <w:sz w:val="15"/>
        </w:rPr>
        <w:t>se</w:t>
      </w:r>
      <w:r>
        <w:rPr>
          <w:spacing w:val="-7"/>
          <w:sz w:val="15"/>
        </w:rPr>
        <w:t xml:space="preserve"> </w:t>
      </w:r>
      <w:r>
        <w:rPr>
          <w:sz w:val="15"/>
        </w:rPr>
        <w:t>desarrollan</w:t>
      </w:r>
      <w:r>
        <w:rPr>
          <w:spacing w:val="-7"/>
          <w:sz w:val="15"/>
        </w:rPr>
        <w:t xml:space="preserve"> </w:t>
      </w:r>
      <w:r>
        <w:rPr>
          <w:sz w:val="15"/>
        </w:rPr>
        <w:t>con</w:t>
      </w:r>
      <w:r>
        <w:rPr>
          <w:spacing w:val="-7"/>
          <w:sz w:val="15"/>
        </w:rPr>
        <w:t xml:space="preserve"> </w:t>
      </w:r>
      <w:r>
        <w:rPr>
          <w:sz w:val="15"/>
        </w:rPr>
        <w:t>más</w:t>
      </w:r>
      <w:r>
        <w:rPr>
          <w:spacing w:val="-7"/>
          <w:sz w:val="15"/>
        </w:rPr>
        <w:t xml:space="preserve"> </w:t>
      </w:r>
      <w:r>
        <w:rPr>
          <w:sz w:val="15"/>
        </w:rPr>
        <w:t>detalle</w:t>
      </w:r>
      <w:r>
        <w:rPr>
          <w:spacing w:val="-7"/>
          <w:sz w:val="15"/>
        </w:rPr>
        <w:t xml:space="preserve"> </w:t>
      </w:r>
      <w:r>
        <w:rPr>
          <w:sz w:val="15"/>
        </w:rPr>
        <w:t>en</w:t>
      </w:r>
      <w:r>
        <w:rPr>
          <w:spacing w:val="-7"/>
          <w:sz w:val="15"/>
        </w:rPr>
        <w:t xml:space="preserve"> </w:t>
      </w:r>
      <w:r>
        <w:rPr>
          <w:sz w:val="15"/>
        </w:rPr>
        <w:t>la</w:t>
      </w:r>
      <w:r>
        <w:rPr>
          <w:spacing w:val="-7"/>
          <w:sz w:val="15"/>
        </w:rPr>
        <w:t xml:space="preserve"> </w:t>
      </w:r>
      <w:r>
        <w:rPr>
          <w:sz w:val="15"/>
        </w:rPr>
        <w:t>Declaración</w:t>
      </w:r>
      <w:r>
        <w:rPr>
          <w:spacing w:val="-7"/>
          <w:sz w:val="15"/>
        </w:rPr>
        <w:t xml:space="preserve"> </w:t>
      </w:r>
      <w:r>
        <w:rPr>
          <w:sz w:val="15"/>
        </w:rPr>
        <w:t>sobre</w:t>
      </w:r>
      <w:r>
        <w:rPr>
          <w:spacing w:val="-7"/>
          <w:sz w:val="15"/>
        </w:rPr>
        <w:t xml:space="preserve"> </w:t>
      </w:r>
      <w:r>
        <w:rPr>
          <w:sz w:val="15"/>
        </w:rPr>
        <w:t>los</w:t>
      </w:r>
      <w:r>
        <w:rPr>
          <w:spacing w:val="-7"/>
          <w:sz w:val="15"/>
        </w:rPr>
        <w:t xml:space="preserve"> </w:t>
      </w:r>
      <w:r>
        <w:rPr>
          <w:sz w:val="15"/>
        </w:rPr>
        <w:t>derechos</w:t>
      </w:r>
      <w:r>
        <w:rPr>
          <w:spacing w:val="-7"/>
          <w:sz w:val="15"/>
        </w:rPr>
        <w:t xml:space="preserve"> </w:t>
      </w:r>
      <w:r>
        <w:rPr>
          <w:sz w:val="15"/>
        </w:rPr>
        <w:t>de</w:t>
      </w:r>
      <w:r>
        <w:rPr>
          <w:spacing w:val="-7"/>
          <w:sz w:val="15"/>
        </w:rPr>
        <w:t xml:space="preserve"> </w:t>
      </w:r>
      <w:r>
        <w:rPr>
          <w:sz w:val="15"/>
        </w:rPr>
        <w:t>las</w:t>
      </w:r>
      <w:r>
        <w:rPr>
          <w:spacing w:val="-7"/>
          <w:sz w:val="15"/>
        </w:rPr>
        <w:t xml:space="preserve"> </w:t>
      </w:r>
      <w:r>
        <w:rPr>
          <w:sz w:val="15"/>
        </w:rPr>
        <w:t>personas</w:t>
      </w:r>
      <w:r>
        <w:rPr>
          <w:spacing w:val="-7"/>
          <w:sz w:val="15"/>
        </w:rPr>
        <w:t xml:space="preserve"> </w:t>
      </w:r>
      <w:r>
        <w:rPr>
          <w:sz w:val="15"/>
        </w:rPr>
        <w:t>pertenecientes a</w:t>
      </w:r>
      <w:r>
        <w:rPr>
          <w:spacing w:val="-2"/>
          <w:sz w:val="15"/>
        </w:rPr>
        <w:t xml:space="preserve"> </w:t>
      </w:r>
      <w:r>
        <w:rPr>
          <w:sz w:val="15"/>
        </w:rPr>
        <w:t>minorías</w:t>
      </w:r>
      <w:r>
        <w:rPr>
          <w:spacing w:val="-2"/>
          <w:sz w:val="15"/>
        </w:rPr>
        <w:t xml:space="preserve"> </w:t>
      </w:r>
      <w:r>
        <w:rPr>
          <w:sz w:val="15"/>
        </w:rPr>
        <w:t>nacionales</w:t>
      </w:r>
      <w:r>
        <w:rPr>
          <w:spacing w:val="-2"/>
          <w:sz w:val="15"/>
        </w:rPr>
        <w:t xml:space="preserve"> </w:t>
      </w:r>
      <w:r>
        <w:rPr>
          <w:sz w:val="15"/>
        </w:rPr>
        <w:t>o</w:t>
      </w:r>
      <w:r>
        <w:rPr>
          <w:spacing w:val="-2"/>
          <w:sz w:val="15"/>
        </w:rPr>
        <w:t xml:space="preserve"> </w:t>
      </w:r>
      <w:r>
        <w:rPr>
          <w:sz w:val="15"/>
        </w:rPr>
        <w:t>étnicas,</w:t>
      </w:r>
      <w:r>
        <w:rPr>
          <w:spacing w:val="-1"/>
          <w:sz w:val="15"/>
        </w:rPr>
        <w:t xml:space="preserve"> </w:t>
      </w:r>
      <w:r>
        <w:rPr>
          <w:sz w:val="15"/>
        </w:rPr>
        <w:t>religiosas</w:t>
      </w:r>
      <w:r>
        <w:rPr>
          <w:spacing w:val="-2"/>
          <w:sz w:val="15"/>
        </w:rPr>
        <w:t xml:space="preserve"> </w:t>
      </w:r>
      <w:r>
        <w:rPr>
          <w:sz w:val="15"/>
        </w:rPr>
        <w:t>y</w:t>
      </w:r>
      <w:r>
        <w:rPr>
          <w:spacing w:val="-2"/>
          <w:sz w:val="15"/>
        </w:rPr>
        <w:t xml:space="preserve"> </w:t>
      </w:r>
      <w:r>
        <w:rPr>
          <w:sz w:val="15"/>
        </w:rPr>
        <w:t>lingüísticas,</w:t>
      </w:r>
      <w:r>
        <w:rPr>
          <w:spacing w:val="-1"/>
          <w:sz w:val="15"/>
        </w:rPr>
        <w:t xml:space="preserve"> </w:t>
      </w:r>
      <w:r>
        <w:rPr>
          <w:sz w:val="15"/>
        </w:rPr>
        <w:t>aprobada</w:t>
      </w:r>
      <w:r>
        <w:rPr>
          <w:spacing w:val="-2"/>
          <w:sz w:val="15"/>
        </w:rPr>
        <w:t xml:space="preserve"> </w:t>
      </w:r>
      <w:r>
        <w:rPr>
          <w:sz w:val="15"/>
        </w:rPr>
        <w:t>por</w:t>
      </w:r>
      <w:r>
        <w:rPr>
          <w:spacing w:val="-2"/>
          <w:sz w:val="15"/>
        </w:rPr>
        <w:t xml:space="preserve"> </w:t>
      </w:r>
      <w:r>
        <w:rPr>
          <w:sz w:val="15"/>
        </w:rPr>
        <w:t>la</w:t>
      </w:r>
      <w:r>
        <w:rPr>
          <w:spacing w:val="-2"/>
          <w:sz w:val="15"/>
        </w:rPr>
        <w:t xml:space="preserve"> </w:t>
      </w:r>
      <w:r>
        <w:rPr>
          <w:sz w:val="15"/>
        </w:rPr>
        <w:t>Asamblea</w:t>
      </w:r>
      <w:r>
        <w:rPr>
          <w:spacing w:val="-2"/>
          <w:sz w:val="15"/>
        </w:rPr>
        <w:t xml:space="preserve"> </w:t>
      </w:r>
      <w:r>
        <w:rPr>
          <w:sz w:val="15"/>
        </w:rPr>
        <w:t>General</w:t>
      </w:r>
      <w:r>
        <w:rPr>
          <w:spacing w:val="-2"/>
          <w:sz w:val="15"/>
        </w:rPr>
        <w:t xml:space="preserve"> </w:t>
      </w:r>
      <w:r>
        <w:rPr>
          <w:sz w:val="15"/>
        </w:rPr>
        <w:t>en</w:t>
      </w:r>
      <w:r>
        <w:rPr>
          <w:spacing w:val="-2"/>
          <w:sz w:val="15"/>
        </w:rPr>
        <w:t xml:space="preserve"> </w:t>
      </w:r>
      <w:r>
        <w:rPr>
          <w:sz w:val="15"/>
        </w:rPr>
        <w:t>su</w:t>
      </w:r>
      <w:r>
        <w:rPr>
          <w:spacing w:val="-2"/>
          <w:sz w:val="15"/>
        </w:rPr>
        <w:t xml:space="preserve"> </w:t>
      </w:r>
      <w:r>
        <w:rPr>
          <w:sz w:val="15"/>
        </w:rPr>
        <w:t>resolución</w:t>
      </w:r>
      <w:r>
        <w:rPr>
          <w:spacing w:val="-2"/>
          <w:sz w:val="15"/>
        </w:rPr>
        <w:t xml:space="preserve"> </w:t>
      </w:r>
      <w:r>
        <w:rPr>
          <w:sz w:val="15"/>
        </w:rPr>
        <w:t>47/135,</w:t>
      </w:r>
      <w:r>
        <w:rPr>
          <w:spacing w:val="-2"/>
          <w:sz w:val="15"/>
        </w:rPr>
        <w:t xml:space="preserve"> </w:t>
      </w:r>
      <w:r>
        <w:rPr>
          <w:sz w:val="15"/>
        </w:rPr>
        <w:t>de</w:t>
      </w:r>
      <w:r>
        <w:rPr>
          <w:spacing w:val="-2"/>
          <w:sz w:val="15"/>
        </w:rPr>
        <w:t xml:space="preserve"> </w:t>
      </w:r>
      <w:r>
        <w:rPr>
          <w:sz w:val="15"/>
        </w:rPr>
        <w:t>18</w:t>
      </w:r>
      <w:r>
        <w:rPr>
          <w:spacing w:val="-2"/>
          <w:sz w:val="15"/>
        </w:rPr>
        <w:t xml:space="preserve"> </w:t>
      </w:r>
      <w:r>
        <w:rPr>
          <w:sz w:val="15"/>
        </w:rPr>
        <w:t>de</w:t>
      </w:r>
      <w:r>
        <w:rPr>
          <w:spacing w:val="-2"/>
          <w:sz w:val="15"/>
        </w:rPr>
        <w:t xml:space="preserve"> </w:t>
      </w:r>
      <w:r>
        <w:rPr>
          <w:sz w:val="15"/>
        </w:rPr>
        <w:t>diciembre</w:t>
      </w:r>
      <w:r>
        <w:rPr>
          <w:spacing w:val="-2"/>
          <w:sz w:val="15"/>
        </w:rPr>
        <w:t xml:space="preserve"> </w:t>
      </w:r>
      <w:r>
        <w:rPr>
          <w:sz w:val="15"/>
        </w:rPr>
        <w:t>de 1992.</w:t>
      </w:r>
      <w:r>
        <w:rPr>
          <w:spacing w:val="-1"/>
          <w:sz w:val="15"/>
        </w:rPr>
        <w:t xml:space="preserve"> </w:t>
      </w:r>
      <w:r>
        <w:rPr>
          <w:sz w:val="15"/>
        </w:rPr>
        <w:t>En</w:t>
      </w:r>
      <w:r>
        <w:rPr>
          <w:spacing w:val="-1"/>
          <w:sz w:val="15"/>
        </w:rPr>
        <w:t xml:space="preserve"> </w:t>
      </w:r>
      <w:r>
        <w:rPr>
          <w:sz w:val="15"/>
        </w:rPr>
        <w:t>la</w:t>
      </w:r>
      <w:r>
        <w:rPr>
          <w:spacing w:val="-1"/>
          <w:sz w:val="15"/>
        </w:rPr>
        <w:t xml:space="preserve"> </w:t>
      </w:r>
      <w:r>
        <w:rPr>
          <w:sz w:val="15"/>
        </w:rPr>
        <w:t>Declaración, la</w:t>
      </w:r>
      <w:r>
        <w:rPr>
          <w:spacing w:val="-1"/>
          <w:sz w:val="15"/>
        </w:rPr>
        <w:t xml:space="preserve"> </w:t>
      </w:r>
      <w:r>
        <w:rPr>
          <w:sz w:val="15"/>
        </w:rPr>
        <w:t>Asamblea</w:t>
      </w:r>
      <w:r>
        <w:rPr>
          <w:spacing w:val="-1"/>
          <w:sz w:val="15"/>
        </w:rPr>
        <w:t xml:space="preserve"> </w:t>
      </w:r>
      <w:r>
        <w:rPr>
          <w:sz w:val="15"/>
        </w:rPr>
        <w:t>General</w:t>
      </w:r>
      <w:r>
        <w:rPr>
          <w:spacing w:val="-1"/>
          <w:sz w:val="15"/>
        </w:rPr>
        <w:t xml:space="preserve"> </w:t>
      </w:r>
      <w:r>
        <w:rPr>
          <w:sz w:val="15"/>
        </w:rPr>
        <w:t>reafirma, entre</w:t>
      </w:r>
      <w:r>
        <w:rPr>
          <w:spacing w:val="-1"/>
          <w:sz w:val="15"/>
        </w:rPr>
        <w:t xml:space="preserve"> </w:t>
      </w:r>
      <w:r>
        <w:rPr>
          <w:sz w:val="15"/>
        </w:rPr>
        <w:t>otras</w:t>
      </w:r>
      <w:r>
        <w:rPr>
          <w:spacing w:val="-1"/>
          <w:sz w:val="15"/>
        </w:rPr>
        <w:t xml:space="preserve"> </w:t>
      </w:r>
      <w:r>
        <w:rPr>
          <w:sz w:val="15"/>
        </w:rPr>
        <w:t>cosas,</w:t>
      </w:r>
      <w:r>
        <w:rPr>
          <w:spacing w:val="-1"/>
          <w:sz w:val="15"/>
        </w:rPr>
        <w:t xml:space="preserve"> </w:t>
      </w:r>
      <w:r>
        <w:rPr>
          <w:sz w:val="15"/>
        </w:rPr>
        <w:t>que:</w:t>
      </w:r>
      <w:r>
        <w:rPr>
          <w:spacing w:val="-1"/>
          <w:sz w:val="15"/>
        </w:rPr>
        <w:t xml:space="preserve"> </w:t>
      </w:r>
      <w:r>
        <w:rPr>
          <w:sz w:val="15"/>
        </w:rPr>
        <w:t>“Las</w:t>
      </w:r>
      <w:r>
        <w:rPr>
          <w:spacing w:val="-1"/>
          <w:sz w:val="15"/>
        </w:rPr>
        <w:t xml:space="preserve"> </w:t>
      </w:r>
      <w:r>
        <w:rPr>
          <w:sz w:val="15"/>
        </w:rPr>
        <w:t>personas</w:t>
      </w:r>
      <w:r>
        <w:rPr>
          <w:spacing w:val="-1"/>
          <w:sz w:val="15"/>
        </w:rPr>
        <w:t xml:space="preserve"> </w:t>
      </w:r>
      <w:r>
        <w:rPr>
          <w:sz w:val="15"/>
        </w:rPr>
        <w:t>pertenecientes</w:t>
      </w:r>
      <w:r>
        <w:rPr>
          <w:spacing w:val="-1"/>
          <w:sz w:val="15"/>
        </w:rPr>
        <w:t xml:space="preserve"> </w:t>
      </w:r>
      <w:r>
        <w:rPr>
          <w:sz w:val="15"/>
        </w:rPr>
        <w:t>a</w:t>
      </w:r>
      <w:r>
        <w:rPr>
          <w:spacing w:val="-1"/>
          <w:sz w:val="15"/>
        </w:rPr>
        <w:t xml:space="preserve"> </w:t>
      </w:r>
      <w:r>
        <w:rPr>
          <w:sz w:val="15"/>
        </w:rPr>
        <w:t>minorías</w:t>
      </w:r>
      <w:r>
        <w:rPr>
          <w:spacing w:val="-1"/>
          <w:sz w:val="15"/>
        </w:rPr>
        <w:t xml:space="preserve"> </w:t>
      </w:r>
      <w:r>
        <w:rPr>
          <w:sz w:val="15"/>
        </w:rPr>
        <w:t>nacionales</w:t>
      </w:r>
      <w:r>
        <w:rPr>
          <w:spacing w:val="-1"/>
          <w:sz w:val="15"/>
        </w:rPr>
        <w:t xml:space="preserve"> </w:t>
      </w:r>
      <w:r>
        <w:rPr>
          <w:sz w:val="15"/>
        </w:rPr>
        <w:t>o</w:t>
      </w:r>
    </w:p>
    <w:p w14:paraId="1B3B249D" w14:textId="77777777" w:rsidR="0014798C" w:rsidRDefault="004E1F0B">
      <w:pPr>
        <w:spacing w:line="348" w:lineRule="auto"/>
        <w:ind w:left="1108" w:right="1272"/>
        <w:rPr>
          <w:sz w:val="15"/>
        </w:rPr>
      </w:pPr>
      <w:r>
        <w:rPr>
          <w:sz w:val="15"/>
        </w:rPr>
        <w:t>étnicas,</w:t>
      </w:r>
      <w:r>
        <w:rPr>
          <w:spacing w:val="-5"/>
          <w:sz w:val="15"/>
        </w:rPr>
        <w:t xml:space="preserve"> </w:t>
      </w:r>
      <w:r>
        <w:rPr>
          <w:sz w:val="15"/>
        </w:rPr>
        <w:t>religiosas</w:t>
      </w:r>
      <w:r>
        <w:rPr>
          <w:spacing w:val="-6"/>
          <w:sz w:val="15"/>
        </w:rPr>
        <w:t xml:space="preserve"> </w:t>
      </w:r>
      <w:r>
        <w:rPr>
          <w:sz w:val="15"/>
        </w:rPr>
        <w:t>y</w:t>
      </w:r>
      <w:r>
        <w:rPr>
          <w:spacing w:val="-6"/>
          <w:sz w:val="15"/>
        </w:rPr>
        <w:t xml:space="preserve"> </w:t>
      </w:r>
      <w:r>
        <w:rPr>
          <w:sz w:val="15"/>
        </w:rPr>
        <w:t>lingüísticas...</w:t>
      </w:r>
      <w:r>
        <w:rPr>
          <w:spacing w:val="-5"/>
          <w:sz w:val="15"/>
        </w:rPr>
        <w:t xml:space="preserve"> </w:t>
      </w:r>
      <w:r>
        <w:rPr>
          <w:sz w:val="15"/>
        </w:rPr>
        <w:t>tienen</w:t>
      </w:r>
      <w:r>
        <w:rPr>
          <w:spacing w:val="-6"/>
          <w:sz w:val="15"/>
        </w:rPr>
        <w:t xml:space="preserve"> </w:t>
      </w:r>
      <w:r>
        <w:rPr>
          <w:sz w:val="15"/>
        </w:rPr>
        <w:t>derecho</w:t>
      </w:r>
      <w:r>
        <w:rPr>
          <w:spacing w:val="-6"/>
          <w:sz w:val="15"/>
        </w:rPr>
        <w:t xml:space="preserve"> </w:t>
      </w:r>
      <w:r>
        <w:rPr>
          <w:sz w:val="15"/>
        </w:rPr>
        <w:t>a</w:t>
      </w:r>
      <w:r>
        <w:rPr>
          <w:spacing w:val="-6"/>
          <w:sz w:val="15"/>
        </w:rPr>
        <w:t xml:space="preserve"> </w:t>
      </w:r>
      <w:r>
        <w:rPr>
          <w:sz w:val="15"/>
        </w:rPr>
        <w:t>disfrutar</w:t>
      </w:r>
      <w:r>
        <w:rPr>
          <w:spacing w:val="-6"/>
          <w:sz w:val="15"/>
        </w:rPr>
        <w:t xml:space="preserve"> </w:t>
      </w:r>
      <w:r>
        <w:rPr>
          <w:sz w:val="15"/>
        </w:rPr>
        <w:t>de</w:t>
      </w:r>
      <w:r>
        <w:rPr>
          <w:spacing w:val="-6"/>
          <w:sz w:val="15"/>
        </w:rPr>
        <w:t xml:space="preserve"> </w:t>
      </w:r>
      <w:r>
        <w:rPr>
          <w:sz w:val="15"/>
        </w:rPr>
        <w:t>su</w:t>
      </w:r>
      <w:r>
        <w:rPr>
          <w:spacing w:val="-6"/>
          <w:sz w:val="15"/>
        </w:rPr>
        <w:t xml:space="preserve"> </w:t>
      </w:r>
      <w:r>
        <w:rPr>
          <w:sz w:val="15"/>
        </w:rPr>
        <w:t>propia</w:t>
      </w:r>
      <w:r>
        <w:rPr>
          <w:spacing w:val="-6"/>
          <w:sz w:val="15"/>
        </w:rPr>
        <w:t xml:space="preserve"> </w:t>
      </w:r>
      <w:r>
        <w:rPr>
          <w:sz w:val="15"/>
        </w:rPr>
        <w:t>cultura,</w:t>
      </w:r>
      <w:r>
        <w:rPr>
          <w:spacing w:val="-5"/>
          <w:sz w:val="15"/>
        </w:rPr>
        <w:t xml:space="preserve"> </w:t>
      </w:r>
      <w:r>
        <w:rPr>
          <w:sz w:val="15"/>
        </w:rPr>
        <w:t>a</w:t>
      </w:r>
      <w:r>
        <w:rPr>
          <w:spacing w:val="-6"/>
          <w:sz w:val="15"/>
        </w:rPr>
        <w:t xml:space="preserve"> </w:t>
      </w:r>
      <w:r>
        <w:rPr>
          <w:sz w:val="15"/>
        </w:rPr>
        <w:t>profesar</w:t>
      </w:r>
      <w:r>
        <w:rPr>
          <w:spacing w:val="-6"/>
          <w:sz w:val="15"/>
        </w:rPr>
        <w:t xml:space="preserve"> </w:t>
      </w:r>
      <w:r>
        <w:rPr>
          <w:sz w:val="15"/>
        </w:rPr>
        <w:t>y</w:t>
      </w:r>
      <w:r>
        <w:rPr>
          <w:spacing w:val="-6"/>
          <w:sz w:val="15"/>
        </w:rPr>
        <w:t xml:space="preserve"> </w:t>
      </w:r>
      <w:r>
        <w:rPr>
          <w:sz w:val="15"/>
        </w:rPr>
        <w:t>practicar</w:t>
      </w:r>
      <w:r>
        <w:rPr>
          <w:spacing w:val="-6"/>
          <w:sz w:val="15"/>
        </w:rPr>
        <w:t xml:space="preserve"> </w:t>
      </w:r>
      <w:r>
        <w:rPr>
          <w:sz w:val="15"/>
        </w:rPr>
        <w:t>su</w:t>
      </w:r>
      <w:r>
        <w:rPr>
          <w:spacing w:val="-6"/>
          <w:sz w:val="15"/>
        </w:rPr>
        <w:t xml:space="preserve"> </w:t>
      </w:r>
      <w:r>
        <w:rPr>
          <w:sz w:val="15"/>
        </w:rPr>
        <w:t>propia</w:t>
      </w:r>
      <w:r>
        <w:rPr>
          <w:spacing w:val="-6"/>
          <w:sz w:val="15"/>
        </w:rPr>
        <w:t xml:space="preserve"> </w:t>
      </w:r>
      <w:r>
        <w:rPr>
          <w:sz w:val="15"/>
        </w:rPr>
        <w:t>religión</w:t>
      </w:r>
      <w:r>
        <w:rPr>
          <w:spacing w:val="-6"/>
          <w:sz w:val="15"/>
        </w:rPr>
        <w:t xml:space="preserve"> </w:t>
      </w:r>
      <w:r>
        <w:rPr>
          <w:sz w:val="15"/>
        </w:rPr>
        <w:t>y</w:t>
      </w:r>
      <w:r>
        <w:rPr>
          <w:spacing w:val="-6"/>
          <w:sz w:val="15"/>
        </w:rPr>
        <w:t xml:space="preserve"> </w:t>
      </w:r>
      <w:r>
        <w:rPr>
          <w:sz w:val="15"/>
        </w:rPr>
        <w:t>a</w:t>
      </w:r>
      <w:r>
        <w:rPr>
          <w:spacing w:val="-6"/>
          <w:sz w:val="15"/>
        </w:rPr>
        <w:t xml:space="preserve"> </w:t>
      </w:r>
      <w:r>
        <w:rPr>
          <w:sz w:val="15"/>
        </w:rPr>
        <w:t>utilizar</w:t>
      </w:r>
      <w:r>
        <w:rPr>
          <w:spacing w:val="-6"/>
          <w:sz w:val="15"/>
        </w:rPr>
        <w:t xml:space="preserve"> </w:t>
      </w:r>
      <w:r>
        <w:rPr>
          <w:sz w:val="15"/>
        </w:rPr>
        <w:t>su</w:t>
      </w:r>
      <w:r>
        <w:rPr>
          <w:spacing w:val="-6"/>
          <w:sz w:val="15"/>
        </w:rPr>
        <w:t xml:space="preserve"> </w:t>
      </w:r>
      <w:r>
        <w:rPr>
          <w:sz w:val="15"/>
        </w:rPr>
        <w:t>propio idioma,</w:t>
      </w:r>
      <w:r>
        <w:rPr>
          <w:spacing w:val="-1"/>
          <w:sz w:val="15"/>
        </w:rPr>
        <w:t xml:space="preserve"> </w:t>
      </w:r>
      <w:r>
        <w:rPr>
          <w:sz w:val="15"/>
        </w:rPr>
        <w:t>en</w:t>
      </w:r>
      <w:r>
        <w:rPr>
          <w:spacing w:val="-2"/>
          <w:sz w:val="15"/>
        </w:rPr>
        <w:t xml:space="preserve"> </w:t>
      </w:r>
      <w:r>
        <w:rPr>
          <w:sz w:val="15"/>
        </w:rPr>
        <w:t>privado</w:t>
      </w:r>
      <w:r>
        <w:rPr>
          <w:spacing w:val="-2"/>
          <w:sz w:val="15"/>
        </w:rPr>
        <w:t xml:space="preserve"> </w:t>
      </w:r>
      <w:r>
        <w:rPr>
          <w:sz w:val="15"/>
        </w:rPr>
        <w:t>y</w:t>
      </w:r>
      <w:r>
        <w:rPr>
          <w:spacing w:val="-2"/>
          <w:sz w:val="15"/>
        </w:rPr>
        <w:t xml:space="preserve"> </w:t>
      </w:r>
      <w:r>
        <w:rPr>
          <w:sz w:val="15"/>
        </w:rPr>
        <w:t>en</w:t>
      </w:r>
      <w:r>
        <w:rPr>
          <w:spacing w:val="-2"/>
          <w:sz w:val="15"/>
        </w:rPr>
        <w:t xml:space="preserve"> </w:t>
      </w:r>
      <w:r>
        <w:rPr>
          <w:sz w:val="15"/>
        </w:rPr>
        <w:t>público,</w:t>
      </w:r>
      <w:r>
        <w:rPr>
          <w:spacing w:val="-1"/>
          <w:sz w:val="15"/>
        </w:rPr>
        <w:t xml:space="preserve"> </w:t>
      </w:r>
      <w:r>
        <w:rPr>
          <w:sz w:val="15"/>
        </w:rPr>
        <w:t>libremente</w:t>
      </w:r>
      <w:r>
        <w:rPr>
          <w:spacing w:val="-2"/>
          <w:sz w:val="15"/>
        </w:rPr>
        <w:t xml:space="preserve"> </w:t>
      </w:r>
      <w:r>
        <w:rPr>
          <w:sz w:val="15"/>
        </w:rPr>
        <w:t>y</w:t>
      </w:r>
      <w:r>
        <w:rPr>
          <w:spacing w:val="-2"/>
          <w:sz w:val="15"/>
        </w:rPr>
        <w:t xml:space="preserve"> </w:t>
      </w:r>
      <w:r>
        <w:rPr>
          <w:sz w:val="15"/>
        </w:rPr>
        <w:t>sin</w:t>
      </w:r>
      <w:r>
        <w:rPr>
          <w:spacing w:val="-2"/>
          <w:sz w:val="15"/>
        </w:rPr>
        <w:t xml:space="preserve"> </w:t>
      </w:r>
      <w:r>
        <w:rPr>
          <w:sz w:val="15"/>
        </w:rPr>
        <w:t>injerencias</w:t>
      </w:r>
      <w:r>
        <w:rPr>
          <w:spacing w:val="-2"/>
          <w:sz w:val="15"/>
        </w:rPr>
        <w:t xml:space="preserve"> </w:t>
      </w:r>
      <w:r>
        <w:rPr>
          <w:sz w:val="15"/>
        </w:rPr>
        <w:t>ni</w:t>
      </w:r>
      <w:r>
        <w:rPr>
          <w:spacing w:val="-2"/>
          <w:sz w:val="15"/>
        </w:rPr>
        <w:t xml:space="preserve"> </w:t>
      </w:r>
      <w:r>
        <w:rPr>
          <w:sz w:val="15"/>
        </w:rPr>
        <w:t>ninguna</w:t>
      </w:r>
      <w:r>
        <w:rPr>
          <w:spacing w:val="-2"/>
          <w:sz w:val="15"/>
        </w:rPr>
        <w:t xml:space="preserve"> </w:t>
      </w:r>
      <w:r>
        <w:rPr>
          <w:sz w:val="15"/>
        </w:rPr>
        <w:t>forma</w:t>
      </w:r>
      <w:r>
        <w:rPr>
          <w:spacing w:val="-2"/>
          <w:sz w:val="15"/>
        </w:rPr>
        <w:t xml:space="preserve"> </w:t>
      </w:r>
      <w:r>
        <w:rPr>
          <w:sz w:val="15"/>
        </w:rPr>
        <w:t>de</w:t>
      </w:r>
      <w:r>
        <w:rPr>
          <w:spacing w:val="-2"/>
          <w:sz w:val="15"/>
        </w:rPr>
        <w:t xml:space="preserve"> </w:t>
      </w:r>
      <w:r>
        <w:rPr>
          <w:sz w:val="15"/>
        </w:rPr>
        <w:t>discriminación”. 853</w:t>
      </w:r>
      <w:r>
        <w:rPr>
          <w:spacing w:val="-2"/>
          <w:sz w:val="15"/>
        </w:rPr>
        <w:t xml:space="preserve"> </w:t>
      </w:r>
      <w:r>
        <w:rPr>
          <w:sz w:val="15"/>
        </w:rPr>
        <w:t>Afirma</w:t>
      </w:r>
      <w:r>
        <w:rPr>
          <w:spacing w:val="-2"/>
          <w:sz w:val="15"/>
        </w:rPr>
        <w:t xml:space="preserve"> </w:t>
      </w:r>
      <w:r>
        <w:rPr>
          <w:sz w:val="15"/>
        </w:rPr>
        <w:t>además</w:t>
      </w:r>
      <w:r>
        <w:rPr>
          <w:spacing w:val="-2"/>
          <w:sz w:val="15"/>
        </w:rPr>
        <w:t xml:space="preserve"> </w:t>
      </w:r>
      <w:r>
        <w:rPr>
          <w:sz w:val="15"/>
        </w:rPr>
        <w:t>los</w:t>
      </w:r>
      <w:r>
        <w:rPr>
          <w:spacing w:val="-2"/>
          <w:sz w:val="15"/>
        </w:rPr>
        <w:t xml:space="preserve"> </w:t>
      </w:r>
      <w:r>
        <w:rPr>
          <w:sz w:val="15"/>
        </w:rPr>
        <w:t>derechos</w:t>
      </w:r>
      <w:r>
        <w:rPr>
          <w:spacing w:val="-2"/>
          <w:sz w:val="15"/>
        </w:rPr>
        <w:t xml:space="preserve"> </w:t>
      </w:r>
      <w:r>
        <w:rPr>
          <w:sz w:val="15"/>
        </w:rPr>
        <w:t>de</w:t>
      </w:r>
      <w:r>
        <w:rPr>
          <w:spacing w:val="-2"/>
          <w:sz w:val="15"/>
        </w:rPr>
        <w:t xml:space="preserve"> </w:t>
      </w:r>
      <w:r>
        <w:rPr>
          <w:sz w:val="15"/>
        </w:rPr>
        <w:t>las minorías</w:t>
      </w:r>
      <w:r>
        <w:rPr>
          <w:spacing w:val="-8"/>
          <w:sz w:val="15"/>
        </w:rPr>
        <w:t xml:space="preserve"> </w:t>
      </w:r>
      <w:r>
        <w:rPr>
          <w:sz w:val="15"/>
        </w:rPr>
        <w:t>“a</w:t>
      </w:r>
      <w:r>
        <w:rPr>
          <w:spacing w:val="-8"/>
          <w:sz w:val="15"/>
        </w:rPr>
        <w:t xml:space="preserve"> </w:t>
      </w:r>
      <w:r>
        <w:rPr>
          <w:sz w:val="15"/>
        </w:rPr>
        <w:t>participar</w:t>
      </w:r>
      <w:r>
        <w:rPr>
          <w:spacing w:val="-8"/>
          <w:sz w:val="15"/>
        </w:rPr>
        <w:t xml:space="preserve"> </w:t>
      </w:r>
      <w:r>
        <w:rPr>
          <w:sz w:val="15"/>
        </w:rPr>
        <w:t>efectivamente</w:t>
      </w:r>
      <w:r>
        <w:rPr>
          <w:spacing w:val="-8"/>
          <w:sz w:val="15"/>
        </w:rPr>
        <w:t xml:space="preserve"> </w:t>
      </w:r>
      <w:r>
        <w:rPr>
          <w:sz w:val="15"/>
        </w:rPr>
        <w:t>en</w:t>
      </w:r>
      <w:r>
        <w:rPr>
          <w:spacing w:val="-8"/>
          <w:sz w:val="15"/>
        </w:rPr>
        <w:t xml:space="preserve"> </w:t>
      </w:r>
      <w:r>
        <w:rPr>
          <w:sz w:val="15"/>
        </w:rPr>
        <w:t>la</w:t>
      </w:r>
      <w:r>
        <w:rPr>
          <w:spacing w:val="-8"/>
          <w:sz w:val="15"/>
        </w:rPr>
        <w:t xml:space="preserve"> </w:t>
      </w:r>
      <w:r>
        <w:rPr>
          <w:sz w:val="15"/>
        </w:rPr>
        <w:t>vida</w:t>
      </w:r>
      <w:r>
        <w:rPr>
          <w:spacing w:val="-8"/>
          <w:sz w:val="15"/>
        </w:rPr>
        <w:t xml:space="preserve"> </w:t>
      </w:r>
      <w:r>
        <w:rPr>
          <w:sz w:val="15"/>
        </w:rPr>
        <w:t>cultural,</w:t>
      </w:r>
      <w:r>
        <w:rPr>
          <w:spacing w:val="-8"/>
          <w:sz w:val="15"/>
        </w:rPr>
        <w:t xml:space="preserve"> </w:t>
      </w:r>
      <w:r>
        <w:rPr>
          <w:sz w:val="15"/>
        </w:rPr>
        <w:t>religiosa,</w:t>
      </w:r>
      <w:r>
        <w:rPr>
          <w:spacing w:val="-8"/>
          <w:sz w:val="15"/>
        </w:rPr>
        <w:t xml:space="preserve"> </w:t>
      </w:r>
      <w:r>
        <w:rPr>
          <w:sz w:val="15"/>
        </w:rPr>
        <w:t>social,</w:t>
      </w:r>
      <w:r>
        <w:rPr>
          <w:spacing w:val="-8"/>
          <w:sz w:val="15"/>
        </w:rPr>
        <w:t xml:space="preserve"> </w:t>
      </w:r>
      <w:r>
        <w:rPr>
          <w:sz w:val="15"/>
        </w:rPr>
        <w:t>económica</w:t>
      </w:r>
      <w:r>
        <w:rPr>
          <w:spacing w:val="-8"/>
          <w:sz w:val="15"/>
        </w:rPr>
        <w:t xml:space="preserve"> </w:t>
      </w:r>
      <w:r>
        <w:rPr>
          <w:sz w:val="15"/>
        </w:rPr>
        <w:t>y</w:t>
      </w:r>
      <w:r>
        <w:rPr>
          <w:spacing w:val="-8"/>
          <w:sz w:val="15"/>
        </w:rPr>
        <w:t xml:space="preserve"> </w:t>
      </w:r>
      <w:proofErr w:type="gramStart"/>
      <w:r>
        <w:rPr>
          <w:sz w:val="15"/>
        </w:rPr>
        <w:t>pública”;</w:t>
      </w:r>
      <w:proofErr w:type="gramEnd"/>
      <w:r>
        <w:rPr>
          <w:spacing w:val="-8"/>
          <w:sz w:val="15"/>
        </w:rPr>
        <w:t xml:space="preserve"> </w:t>
      </w:r>
      <w:r>
        <w:rPr>
          <w:sz w:val="15"/>
        </w:rPr>
        <w:t>“participar</w:t>
      </w:r>
      <w:r>
        <w:rPr>
          <w:spacing w:val="-8"/>
          <w:sz w:val="15"/>
        </w:rPr>
        <w:t xml:space="preserve"> </w:t>
      </w:r>
      <w:r>
        <w:rPr>
          <w:sz w:val="15"/>
        </w:rPr>
        <w:t>efectivamente</w:t>
      </w:r>
      <w:r>
        <w:rPr>
          <w:spacing w:val="-8"/>
          <w:sz w:val="15"/>
        </w:rPr>
        <w:t xml:space="preserve"> </w:t>
      </w:r>
      <w:r>
        <w:rPr>
          <w:sz w:val="15"/>
        </w:rPr>
        <w:t>en</w:t>
      </w:r>
      <w:r>
        <w:rPr>
          <w:spacing w:val="-8"/>
          <w:sz w:val="15"/>
        </w:rPr>
        <w:t xml:space="preserve"> </w:t>
      </w:r>
      <w:r>
        <w:rPr>
          <w:sz w:val="15"/>
        </w:rPr>
        <w:t>las</w:t>
      </w:r>
      <w:r>
        <w:rPr>
          <w:spacing w:val="-8"/>
          <w:sz w:val="15"/>
        </w:rPr>
        <w:t xml:space="preserve"> </w:t>
      </w:r>
      <w:r>
        <w:rPr>
          <w:sz w:val="15"/>
        </w:rPr>
        <w:t>decisiones</w:t>
      </w:r>
      <w:r>
        <w:rPr>
          <w:spacing w:val="-8"/>
          <w:sz w:val="15"/>
        </w:rPr>
        <w:t xml:space="preserve"> </w:t>
      </w:r>
      <w:r>
        <w:rPr>
          <w:sz w:val="15"/>
        </w:rPr>
        <w:t>a nivel</w:t>
      </w:r>
      <w:r>
        <w:rPr>
          <w:spacing w:val="-7"/>
          <w:sz w:val="15"/>
        </w:rPr>
        <w:t xml:space="preserve"> </w:t>
      </w:r>
      <w:r>
        <w:rPr>
          <w:sz w:val="15"/>
        </w:rPr>
        <w:t>nacional</w:t>
      </w:r>
      <w:r>
        <w:rPr>
          <w:spacing w:val="-7"/>
          <w:sz w:val="15"/>
        </w:rPr>
        <w:t xml:space="preserve"> </w:t>
      </w:r>
      <w:r>
        <w:rPr>
          <w:sz w:val="15"/>
        </w:rPr>
        <w:t>y,</w:t>
      </w:r>
      <w:r>
        <w:rPr>
          <w:spacing w:val="-7"/>
          <w:sz w:val="15"/>
        </w:rPr>
        <w:t xml:space="preserve"> </w:t>
      </w:r>
      <w:r>
        <w:rPr>
          <w:sz w:val="15"/>
        </w:rPr>
        <w:t>en</w:t>
      </w:r>
      <w:r>
        <w:rPr>
          <w:spacing w:val="-7"/>
          <w:sz w:val="15"/>
        </w:rPr>
        <w:t xml:space="preserve"> </w:t>
      </w:r>
      <w:r>
        <w:rPr>
          <w:sz w:val="15"/>
        </w:rPr>
        <w:t>su</w:t>
      </w:r>
      <w:r>
        <w:rPr>
          <w:spacing w:val="-7"/>
          <w:sz w:val="15"/>
        </w:rPr>
        <w:t xml:space="preserve"> </w:t>
      </w:r>
      <w:r>
        <w:rPr>
          <w:sz w:val="15"/>
        </w:rPr>
        <w:t>caso,</w:t>
      </w:r>
      <w:r>
        <w:rPr>
          <w:spacing w:val="-7"/>
          <w:sz w:val="15"/>
        </w:rPr>
        <w:t xml:space="preserve"> </w:t>
      </w:r>
      <w:r>
        <w:rPr>
          <w:sz w:val="15"/>
        </w:rPr>
        <w:t>regional,</w:t>
      </w:r>
      <w:r>
        <w:rPr>
          <w:spacing w:val="-6"/>
          <w:sz w:val="15"/>
        </w:rPr>
        <w:t xml:space="preserve"> </w:t>
      </w:r>
      <w:r>
        <w:rPr>
          <w:sz w:val="15"/>
        </w:rPr>
        <w:t>relativas</w:t>
      </w:r>
      <w:r>
        <w:rPr>
          <w:spacing w:val="-7"/>
          <w:sz w:val="15"/>
        </w:rPr>
        <w:t xml:space="preserve"> </w:t>
      </w:r>
      <w:r>
        <w:rPr>
          <w:sz w:val="15"/>
        </w:rPr>
        <w:t>a</w:t>
      </w:r>
      <w:r>
        <w:rPr>
          <w:spacing w:val="-7"/>
          <w:sz w:val="15"/>
        </w:rPr>
        <w:t xml:space="preserve"> </w:t>
      </w:r>
      <w:r>
        <w:rPr>
          <w:sz w:val="15"/>
        </w:rPr>
        <w:t>la</w:t>
      </w:r>
      <w:r>
        <w:rPr>
          <w:spacing w:val="-7"/>
          <w:sz w:val="15"/>
        </w:rPr>
        <w:t xml:space="preserve"> </w:t>
      </w:r>
      <w:r>
        <w:rPr>
          <w:sz w:val="15"/>
        </w:rPr>
        <w:t>minoría</w:t>
      </w:r>
      <w:r>
        <w:rPr>
          <w:spacing w:val="-7"/>
          <w:sz w:val="15"/>
        </w:rPr>
        <w:t xml:space="preserve"> </w:t>
      </w:r>
      <w:r>
        <w:rPr>
          <w:sz w:val="15"/>
        </w:rPr>
        <w:t>a</w:t>
      </w:r>
      <w:r>
        <w:rPr>
          <w:spacing w:val="-7"/>
          <w:sz w:val="15"/>
        </w:rPr>
        <w:t xml:space="preserve"> </w:t>
      </w:r>
      <w:r>
        <w:rPr>
          <w:sz w:val="15"/>
        </w:rPr>
        <w:t>la</w:t>
      </w:r>
      <w:r>
        <w:rPr>
          <w:spacing w:val="-7"/>
          <w:sz w:val="15"/>
        </w:rPr>
        <w:t xml:space="preserve"> </w:t>
      </w:r>
      <w:r>
        <w:rPr>
          <w:sz w:val="15"/>
        </w:rPr>
        <w:t>que</w:t>
      </w:r>
      <w:r>
        <w:rPr>
          <w:spacing w:val="-7"/>
          <w:sz w:val="15"/>
        </w:rPr>
        <w:t xml:space="preserve"> </w:t>
      </w:r>
      <w:r>
        <w:rPr>
          <w:sz w:val="15"/>
        </w:rPr>
        <w:t>pertenecen</w:t>
      </w:r>
      <w:r>
        <w:rPr>
          <w:spacing w:val="-7"/>
          <w:sz w:val="15"/>
        </w:rPr>
        <w:t xml:space="preserve"> </w:t>
      </w:r>
      <w:r>
        <w:rPr>
          <w:sz w:val="15"/>
        </w:rPr>
        <w:t>o</w:t>
      </w:r>
      <w:r>
        <w:rPr>
          <w:spacing w:val="-7"/>
          <w:sz w:val="15"/>
        </w:rPr>
        <w:t xml:space="preserve"> </w:t>
      </w:r>
      <w:r>
        <w:rPr>
          <w:sz w:val="15"/>
        </w:rPr>
        <w:t>a</w:t>
      </w:r>
      <w:r>
        <w:rPr>
          <w:spacing w:val="-7"/>
          <w:sz w:val="15"/>
        </w:rPr>
        <w:t xml:space="preserve"> </w:t>
      </w:r>
      <w:r>
        <w:rPr>
          <w:sz w:val="15"/>
        </w:rPr>
        <w:t>las</w:t>
      </w:r>
      <w:r>
        <w:rPr>
          <w:spacing w:val="-7"/>
          <w:sz w:val="15"/>
        </w:rPr>
        <w:t xml:space="preserve"> </w:t>
      </w:r>
      <w:r>
        <w:rPr>
          <w:sz w:val="15"/>
        </w:rPr>
        <w:t>regiones</w:t>
      </w:r>
      <w:r>
        <w:rPr>
          <w:spacing w:val="-7"/>
          <w:sz w:val="15"/>
        </w:rPr>
        <w:t xml:space="preserve"> </w:t>
      </w:r>
      <w:r>
        <w:rPr>
          <w:sz w:val="15"/>
        </w:rPr>
        <w:t>en</w:t>
      </w:r>
      <w:r>
        <w:rPr>
          <w:spacing w:val="-7"/>
          <w:sz w:val="15"/>
        </w:rPr>
        <w:t xml:space="preserve"> </w:t>
      </w:r>
      <w:r>
        <w:rPr>
          <w:sz w:val="15"/>
        </w:rPr>
        <w:t>las</w:t>
      </w:r>
      <w:r>
        <w:rPr>
          <w:spacing w:val="-7"/>
          <w:sz w:val="15"/>
        </w:rPr>
        <w:t xml:space="preserve"> </w:t>
      </w:r>
      <w:r>
        <w:rPr>
          <w:sz w:val="15"/>
        </w:rPr>
        <w:t>que</w:t>
      </w:r>
      <w:r>
        <w:rPr>
          <w:spacing w:val="-7"/>
          <w:sz w:val="15"/>
        </w:rPr>
        <w:t xml:space="preserve"> </w:t>
      </w:r>
      <w:proofErr w:type="gramStart"/>
      <w:r>
        <w:rPr>
          <w:sz w:val="15"/>
        </w:rPr>
        <w:t>viven”;</w:t>
      </w:r>
      <w:proofErr w:type="gramEnd"/>
      <w:r>
        <w:rPr>
          <w:spacing w:val="-6"/>
          <w:sz w:val="15"/>
        </w:rPr>
        <w:t xml:space="preserve"> </w:t>
      </w:r>
      <w:r>
        <w:rPr>
          <w:sz w:val="15"/>
        </w:rPr>
        <w:t>y</w:t>
      </w:r>
      <w:r>
        <w:rPr>
          <w:spacing w:val="-7"/>
          <w:sz w:val="15"/>
        </w:rPr>
        <w:t xml:space="preserve"> </w:t>
      </w:r>
      <w:r>
        <w:rPr>
          <w:sz w:val="15"/>
        </w:rPr>
        <w:t>“establecer</w:t>
      </w:r>
      <w:r>
        <w:rPr>
          <w:spacing w:val="-7"/>
          <w:sz w:val="15"/>
        </w:rPr>
        <w:t xml:space="preserve"> </w:t>
      </w:r>
      <w:r>
        <w:rPr>
          <w:sz w:val="15"/>
        </w:rPr>
        <w:t>y</w:t>
      </w:r>
      <w:r>
        <w:rPr>
          <w:spacing w:val="-7"/>
          <w:sz w:val="15"/>
        </w:rPr>
        <w:t xml:space="preserve"> </w:t>
      </w:r>
      <w:r>
        <w:rPr>
          <w:sz w:val="15"/>
        </w:rPr>
        <w:t>mantener sus</w:t>
      </w:r>
      <w:r>
        <w:rPr>
          <w:spacing w:val="-10"/>
          <w:sz w:val="15"/>
        </w:rPr>
        <w:t xml:space="preserve"> </w:t>
      </w:r>
      <w:r>
        <w:rPr>
          <w:sz w:val="15"/>
        </w:rPr>
        <w:t>propias</w:t>
      </w:r>
      <w:r>
        <w:rPr>
          <w:spacing w:val="-10"/>
          <w:sz w:val="15"/>
        </w:rPr>
        <w:t xml:space="preserve"> </w:t>
      </w:r>
      <w:proofErr w:type="gramStart"/>
      <w:r>
        <w:rPr>
          <w:sz w:val="15"/>
        </w:rPr>
        <w:t>asociaciones”;</w:t>
      </w:r>
      <w:proofErr w:type="gramEnd"/>
      <w:r>
        <w:rPr>
          <w:spacing w:val="-10"/>
          <w:sz w:val="15"/>
        </w:rPr>
        <w:t xml:space="preserve"> </w:t>
      </w:r>
      <w:r>
        <w:rPr>
          <w:sz w:val="15"/>
        </w:rPr>
        <w:t>así</w:t>
      </w:r>
      <w:r>
        <w:rPr>
          <w:spacing w:val="-10"/>
          <w:sz w:val="15"/>
        </w:rPr>
        <w:t xml:space="preserve"> </w:t>
      </w:r>
      <w:r>
        <w:rPr>
          <w:sz w:val="15"/>
        </w:rPr>
        <w:t>como</w:t>
      </w:r>
      <w:r>
        <w:rPr>
          <w:spacing w:val="-10"/>
          <w:sz w:val="15"/>
        </w:rPr>
        <w:t xml:space="preserve"> </w:t>
      </w:r>
      <w:r>
        <w:rPr>
          <w:sz w:val="15"/>
        </w:rPr>
        <w:t>varias</w:t>
      </w:r>
      <w:r>
        <w:rPr>
          <w:spacing w:val="-10"/>
          <w:sz w:val="15"/>
        </w:rPr>
        <w:t xml:space="preserve"> </w:t>
      </w:r>
      <w:r>
        <w:rPr>
          <w:sz w:val="15"/>
        </w:rPr>
        <w:t>otras</w:t>
      </w:r>
      <w:r>
        <w:rPr>
          <w:spacing w:val="-10"/>
          <w:sz w:val="15"/>
        </w:rPr>
        <w:t xml:space="preserve"> </w:t>
      </w:r>
      <w:r>
        <w:rPr>
          <w:sz w:val="15"/>
        </w:rPr>
        <w:t>garantías,</w:t>
      </w:r>
      <w:r>
        <w:rPr>
          <w:spacing w:val="-10"/>
          <w:sz w:val="15"/>
        </w:rPr>
        <w:t xml:space="preserve"> </w:t>
      </w:r>
      <w:r>
        <w:rPr>
          <w:sz w:val="15"/>
        </w:rPr>
        <w:t>particularmente</w:t>
      </w:r>
      <w:r>
        <w:rPr>
          <w:spacing w:val="-10"/>
          <w:sz w:val="15"/>
        </w:rPr>
        <w:t xml:space="preserve"> </w:t>
      </w:r>
      <w:r>
        <w:rPr>
          <w:sz w:val="15"/>
        </w:rPr>
        <w:t>en</w:t>
      </w:r>
      <w:r>
        <w:rPr>
          <w:spacing w:val="-10"/>
          <w:sz w:val="15"/>
        </w:rPr>
        <w:t xml:space="preserve"> </w:t>
      </w:r>
      <w:r>
        <w:rPr>
          <w:sz w:val="15"/>
        </w:rPr>
        <w:t>un</w:t>
      </w:r>
      <w:r>
        <w:rPr>
          <w:spacing w:val="-10"/>
          <w:sz w:val="15"/>
        </w:rPr>
        <w:t xml:space="preserve"> </w:t>
      </w:r>
      <w:r>
        <w:rPr>
          <w:sz w:val="15"/>
        </w:rPr>
        <w:t>contexto</w:t>
      </w:r>
      <w:r>
        <w:rPr>
          <w:spacing w:val="-10"/>
          <w:sz w:val="15"/>
        </w:rPr>
        <w:t xml:space="preserve"> </w:t>
      </w:r>
      <w:r>
        <w:rPr>
          <w:sz w:val="15"/>
        </w:rPr>
        <w:t>transfronterizo.854</w:t>
      </w:r>
    </w:p>
    <w:p w14:paraId="46F85840" w14:textId="77777777" w:rsidR="0014798C" w:rsidRDefault="0014798C">
      <w:pPr>
        <w:pStyle w:val="Textoindependiente"/>
        <w:rPr>
          <w:sz w:val="15"/>
        </w:rPr>
      </w:pPr>
    </w:p>
    <w:p w14:paraId="405E7873" w14:textId="77777777" w:rsidR="0014798C" w:rsidRDefault="0014798C">
      <w:pPr>
        <w:pStyle w:val="Textoindependiente"/>
        <w:rPr>
          <w:sz w:val="15"/>
        </w:rPr>
      </w:pPr>
    </w:p>
    <w:p w14:paraId="033FAE85" w14:textId="77777777" w:rsidR="0014798C" w:rsidRDefault="0014798C">
      <w:pPr>
        <w:pStyle w:val="Textoindependiente"/>
        <w:spacing w:before="149"/>
        <w:rPr>
          <w:sz w:val="15"/>
        </w:rPr>
      </w:pPr>
    </w:p>
    <w:p w14:paraId="3D16D685" w14:textId="77777777" w:rsidR="0014798C" w:rsidRDefault="004E1F0B">
      <w:pPr>
        <w:spacing w:line="348" w:lineRule="auto"/>
        <w:ind w:left="1108" w:right="1335" w:hanging="5"/>
        <w:rPr>
          <w:sz w:val="15"/>
        </w:rPr>
      </w:pPr>
      <w:r>
        <w:rPr>
          <w:noProof/>
        </w:rPr>
        <w:drawing>
          <wp:anchor distT="0" distB="0" distL="0" distR="0" simplePos="0" relativeHeight="251658454" behindDoc="1" locked="0" layoutInCell="1" allowOverlap="1" wp14:anchorId="64C62882" wp14:editId="210CDEDE">
            <wp:simplePos x="0" y="0"/>
            <wp:positionH relativeFrom="page">
              <wp:posOffset>826632</wp:posOffset>
            </wp:positionH>
            <wp:positionV relativeFrom="paragraph">
              <wp:posOffset>458799</wp:posOffset>
            </wp:positionV>
            <wp:extent cx="6729867" cy="5180835"/>
            <wp:effectExtent l="0" t="0" r="0" b="0"/>
            <wp:wrapNone/>
            <wp:docPr id="263" name="Image 26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63" name="Image 263"/>
                    <pic:cNvPicPr/>
                  </pic:nvPicPr>
                  <pic:blipFill>
                    <a:blip r:embed="rId236" cstate="print"/>
                    <a:stretch>
                      <a:fillRect/>
                    </a:stretch>
                  </pic:blipFill>
                  <pic:spPr>
                    <a:xfrm>
                      <a:off x="0" y="0"/>
                      <a:ext cx="6729867" cy="5180835"/>
                    </a:xfrm>
                    <a:prstGeom prst="rect">
                      <a:avLst/>
                    </a:prstGeom>
                  </pic:spPr>
                </pic:pic>
              </a:graphicData>
            </a:graphic>
          </wp:anchor>
        </w:drawing>
      </w:r>
      <w:r>
        <w:rPr>
          <w:sz w:val="15"/>
        </w:rPr>
        <w:t>Si</w:t>
      </w:r>
      <w:r>
        <w:rPr>
          <w:spacing w:val="-3"/>
          <w:sz w:val="15"/>
        </w:rPr>
        <w:t xml:space="preserve"> </w:t>
      </w:r>
      <w:r>
        <w:rPr>
          <w:sz w:val="15"/>
        </w:rPr>
        <w:t>bien</w:t>
      </w:r>
      <w:r>
        <w:rPr>
          <w:spacing w:val="-3"/>
          <w:sz w:val="15"/>
        </w:rPr>
        <w:t xml:space="preserve"> </w:t>
      </w:r>
      <w:r>
        <w:rPr>
          <w:sz w:val="15"/>
        </w:rPr>
        <w:t>estos</w:t>
      </w:r>
      <w:r>
        <w:rPr>
          <w:spacing w:val="-3"/>
          <w:sz w:val="15"/>
        </w:rPr>
        <w:t xml:space="preserve"> </w:t>
      </w:r>
      <w:r>
        <w:rPr>
          <w:sz w:val="15"/>
        </w:rPr>
        <w:t>derechos</w:t>
      </w:r>
      <w:r>
        <w:rPr>
          <w:spacing w:val="-3"/>
          <w:sz w:val="15"/>
        </w:rPr>
        <w:t xml:space="preserve"> </w:t>
      </w:r>
      <w:r>
        <w:rPr>
          <w:sz w:val="15"/>
        </w:rPr>
        <w:t>son</w:t>
      </w:r>
      <w:r>
        <w:rPr>
          <w:spacing w:val="-3"/>
          <w:sz w:val="15"/>
        </w:rPr>
        <w:t xml:space="preserve"> </w:t>
      </w:r>
      <w:r>
        <w:rPr>
          <w:sz w:val="15"/>
        </w:rPr>
        <w:t>distintos</w:t>
      </w:r>
      <w:r>
        <w:rPr>
          <w:spacing w:val="-3"/>
          <w:sz w:val="15"/>
        </w:rPr>
        <w:t xml:space="preserve"> </w:t>
      </w:r>
      <w:r>
        <w:rPr>
          <w:sz w:val="15"/>
        </w:rPr>
        <w:t>del</w:t>
      </w:r>
      <w:r>
        <w:rPr>
          <w:spacing w:val="-3"/>
          <w:sz w:val="15"/>
        </w:rPr>
        <w:t xml:space="preserve"> </w:t>
      </w:r>
      <w:r>
        <w:rPr>
          <w:sz w:val="15"/>
        </w:rPr>
        <w:t>derecho</w:t>
      </w:r>
      <w:r>
        <w:rPr>
          <w:spacing w:val="-3"/>
          <w:sz w:val="15"/>
        </w:rPr>
        <w:t xml:space="preserve"> </w:t>
      </w:r>
      <w:r>
        <w:rPr>
          <w:sz w:val="15"/>
        </w:rPr>
        <w:t>a</w:t>
      </w:r>
      <w:r>
        <w:rPr>
          <w:spacing w:val="-3"/>
          <w:sz w:val="15"/>
        </w:rPr>
        <w:t xml:space="preserve"> </w:t>
      </w:r>
      <w:r>
        <w:rPr>
          <w:sz w:val="15"/>
        </w:rPr>
        <w:t>la</w:t>
      </w:r>
      <w:r>
        <w:rPr>
          <w:spacing w:val="-3"/>
          <w:sz w:val="15"/>
        </w:rPr>
        <w:t xml:space="preserve"> </w:t>
      </w:r>
      <w:r>
        <w:rPr>
          <w:sz w:val="15"/>
        </w:rPr>
        <w:t>no</w:t>
      </w:r>
      <w:r>
        <w:rPr>
          <w:spacing w:val="-3"/>
          <w:sz w:val="15"/>
        </w:rPr>
        <w:t xml:space="preserve"> </w:t>
      </w:r>
      <w:r>
        <w:rPr>
          <w:sz w:val="15"/>
        </w:rPr>
        <w:t>discriminación,</w:t>
      </w:r>
      <w:r>
        <w:rPr>
          <w:spacing w:val="-2"/>
          <w:sz w:val="15"/>
        </w:rPr>
        <w:t xml:space="preserve"> </w:t>
      </w:r>
      <w:r>
        <w:rPr>
          <w:sz w:val="15"/>
        </w:rPr>
        <w:t>su</w:t>
      </w:r>
      <w:r>
        <w:rPr>
          <w:spacing w:val="-3"/>
          <w:sz w:val="15"/>
        </w:rPr>
        <w:t xml:space="preserve"> </w:t>
      </w:r>
      <w:r>
        <w:rPr>
          <w:sz w:val="15"/>
        </w:rPr>
        <w:t>realización</w:t>
      </w:r>
      <w:r>
        <w:rPr>
          <w:spacing w:val="-3"/>
          <w:sz w:val="15"/>
        </w:rPr>
        <w:t xml:space="preserve"> </w:t>
      </w:r>
      <w:r>
        <w:rPr>
          <w:sz w:val="15"/>
        </w:rPr>
        <w:t>depende</w:t>
      </w:r>
      <w:r>
        <w:rPr>
          <w:spacing w:val="-3"/>
          <w:sz w:val="15"/>
        </w:rPr>
        <w:t xml:space="preserve"> </w:t>
      </w:r>
      <w:r>
        <w:rPr>
          <w:sz w:val="15"/>
        </w:rPr>
        <w:t>de</w:t>
      </w:r>
      <w:r>
        <w:rPr>
          <w:spacing w:val="-3"/>
          <w:sz w:val="15"/>
        </w:rPr>
        <w:t xml:space="preserve"> </w:t>
      </w:r>
      <w:r>
        <w:rPr>
          <w:sz w:val="15"/>
        </w:rPr>
        <w:t>una</w:t>
      </w:r>
      <w:r>
        <w:rPr>
          <w:spacing w:val="-3"/>
          <w:sz w:val="15"/>
        </w:rPr>
        <w:t xml:space="preserve"> </w:t>
      </w:r>
      <w:r>
        <w:rPr>
          <w:sz w:val="15"/>
        </w:rPr>
        <w:t>protección</w:t>
      </w:r>
      <w:r>
        <w:rPr>
          <w:spacing w:val="-3"/>
          <w:sz w:val="15"/>
        </w:rPr>
        <w:t xml:space="preserve"> </w:t>
      </w:r>
      <w:r>
        <w:rPr>
          <w:sz w:val="15"/>
        </w:rPr>
        <w:t>integral</w:t>
      </w:r>
      <w:r>
        <w:rPr>
          <w:spacing w:val="-3"/>
          <w:sz w:val="15"/>
        </w:rPr>
        <w:t xml:space="preserve"> </w:t>
      </w:r>
      <w:r>
        <w:rPr>
          <w:sz w:val="15"/>
        </w:rPr>
        <w:t>y</w:t>
      </w:r>
      <w:r>
        <w:rPr>
          <w:spacing w:val="-3"/>
          <w:sz w:val="15"/>
        </w:rPr>
        <w:t xml:space="preserve"> </w:t>
      </w:r>
      <w:r>
        <w:rPr>
          <w:sz w:val="15"/>
        </w:rPr>
        <w:t>efectiva</w:t>
      </w:r>
      <w:r>
        <w:rPr>
          <w:spacing w:val="-3"/>
          <w:sz w:val="15"/>
        </w:rPr>
        <w:t xml:space="preserve"> </w:t>
      </w:r>
      <w:r>
        <w:rPr>
          <w:sz w:val="15"/>
        </w:rPr>
        <w:t>contra la</w:t>
      </w:r>
      <w:r>
        <w:rPr>
          <w:spacing w:val="-2"/>
          <w:sz w:val="15"/>
        </w:rPr>
        <w:t xml:space="preserve"> </w:t>
      </w:r>
      <w:r>
        <w:rPr>
          <w:sz w:val="15"/>
        </w:rPr>
        <w:t>discriminación.</w:t>
      </w:r>
      <w:r>
        <w:rPr>
          <w:spacing w:val="-1"/>
          <w:sz w:val="15"/>
        </w:rPr>
        <w:t xml:space="preserve"> </w:t>
      </w:r>
      <w:r>
        <w:rPr>
          <w:sz w:val="15"/>
        </w:rPr>
        <w:t>Los</w:t>
      </w:r>
      <w:r>
        <w:rPr>
          <w:spacing w:val="-2"/>
          <w:sz w:val="15"/>
        </w:rPr>
        <w:t xml:space="preserve"> </w:t>
      </w:r>
      <w:r>
        <w:rPr>
          <w:sz w:val="15"/>
        </w:rPr>
        <w:t>Estados</w:t>
      </w:r>
      <w:r>
        <w:rPr>
          <w:spacing w:val="-2"/>
          <w:sz w:val="15"/>
        </w:rPr>
        <w:t xml:space="preserve"> </w:t>
      </w:r>
      <w:r>
        <w:rPr>
          <w:sz w:val="15"/>
        </w:rPr>
        <w:t>deben</w:t>
      </w:r>
      <w:r>
        <w:rPr>
          <w:spacing w:val="-2"/>
          <w:sz w:val="15"/>
        </w:rPr>
        <w:t xml:space="preserve"> </w:t>
      </w:r>
      <w:r>
        <w:rPr>
          <w:sz w:val="15"/>
        </w:rPr>
        <w:t>garantizar</w:t>
      </w:r>
      <w:r>
        <w:rPr>
          <w:spacing w:val="-2"/>
          <w:sz w:val="15"/>
        </w:rPr>
        <w:t xml:space="preserve"> </w:t>
      </w:r>
      <w:r>
        <w:rPr>
          <w:sz w:val="15"/>
        </w:rPr>
        <w:t>que</w:t>
      </w:r>
      <w:r>
        <w:rPr>
          <w:spacing w:val="-2"/>
          <w:sz w:val="15"/>
        </w:rPr>
        <w:t xml:space="preserve"> </w:t>
      </w:r>
      <w:r>
        <w:rPr>
          <w:sz w:val="15"/>
        </w:rPr>
        <w:t>las</w:t>
      </w:r>
      <w:r>
        <w:rPr>
          <w:spacing w:val="-2"/>
          <w:sz w:val="15"/>
        </w:rPr>
        <w:t xml:space="preserve"> </w:t>
      </w:r>
      <w:r>
        <w:rPr>
          <w:sz w:val="15"/>
        </w:rPr>
        <w:t>leyes,</w:t>
      </w:r>
      <w:r>
        <w:rPr>
          <w:spacing w:val="-2"/>
          <w:sz w:val="15"/>
        </w:rPr>
        <w:t xml:space="preserve"> </w:t>
      </w:r>
      <w:r>
        <w:rPr>
          <w:sz w:val="15"/>
        </w:rPr>
        <w:t>políticas</w:t>
      </w:r>
      <w:r>
        <w:rPr>
          <w:spacing w:val="-2"/>
          <w:sz w:val="15"/>
        </w:rPr>
        <w:t xml:space="preserve"> </w:t>
      </w:r>
      <w:r>
        <w:rPr>
          <w:sz w:val="15"/>
        </w:rPr>
        <w:t>y</w:t>
      </w:r>
      <w:r>
        <w:rPr>
          <w:spacing w:val="-2"/>
          <w:sz w:val="15"/>
        </w:rPr>
        <w:t xml:space="preserve"> </w:t>
      </w:r>
      <w:r>
        <w:rPr>
          <w:sz w:val="15"/>
        </w:rPr>
        <w:t>prácticas</w:t>
      </w:r>
      <w:r>
        <w:rPr>
          <w:spacing w:val="-2"/>
          <w:sz w:val="15"/>
        </w:rPr>
        <w:t xml:space="preserve"> </w:t>
      </w:r>
      <w:r>
        <w:rPr>
          <w:sz w:val="15"/>
        </w:rPr>
        <w:t>no</w:t>
      </w:r>
      <w:r>
        <w:rPr>
          <w:spacing w:val="-2"/>
          <w:sz w:val="15"/>
        </w:rPr>
        <w:t xml:space="preserve"> </w:t>
      </w:r>
      <w:r>
        <w:rPr>
          <w:sz w:val="15"/>
        </w:rPr>
        <w:t>discriminen,</w:t>
      </w:r>
      <w:r>
        <w:rPr>
          <w:spacing w:val="-1"/>
          <w:sz w:val="15"/>
        </w:rPr>
        <w:t xml:space="preserve"> </w:t>
      </w:r>
      <w:r>
        <w:rPr>
          <w:sz w:val="15"/>
        </w:rPr>
        <w:t>directa</w:t>
      </w:r>
      <w:r>
        <w:rPr>
          <w:spacing w:val="-2"/>
          <w:sz w:val="15"/>
        </w:rPr>
        <w:t xml:space="preserve"> </w:t>
      </w:r>
      <w:r>
        <w:rPr>
          <w:sz w:val="15"/>
        </w:rPr>
        <w:t>o</w:t>
      </w:r>
      <w:r>
        <w:rPr>
          <w:spacing w:val="-2"/>
          <w:sz w:val="15"/>
        </w:rPr>
        <w:t xml:space="preserve"> </w:t>
      </w:r>
      <w:r>
        <w:rPr>
          <w:sz w:val="15"/>
        </w:rPr>
        <w:t>indirectamente,</w:t>
      </w:r>
      <w:r>
        <w:rPr>
          <w:spacing w:val="-1"/>
          <w:sz w:val="15"/>
        </w:rPr>
        <w:t xml:space="preserve"> </w:t>
      </w:r>
      <w:r>
        <w:rPr>
          <w:sz w:val="15"/>
        </w:rPr>
        <w:t>a</w:t>
      </w:r>
      <w:r>
        <w:rPr>
          <w:spacing w:val="-2"/>
          <w:sz w:val="15"/>
        </w:rPr>
        <w:t xml:space="preserve"> </w:t>
      </w:r>
      <w:r>
        <w:rPr>
          <w:sz w:val="15"/>
        </w:rPr>
        <w:t>las</w:t>
      </w:r>
      <w:r>
        <w:rPr>
          <w:spacing w:val="-2"/>
          <w:sz w:val="15"/>
        </w:rPr>
        <w:t xml:space="preserve"> </w:t>
      </w:r>
      <w:r>
        <w:rPr>
          <w:sz w:val="15"/>
        </w:rPr>
        <w:t xml:space="preserve">minorías </w:t>
      </w:r>
      <w:r>
        <w:rPr>
          <w:spacing w:val="-2"/>
          <w:sz w:val="15"/>
        </w:rPr>
        <w:t>étnicas, religiosas</w:t>
      </w:r>
      <w:r>
        <w:rPr>
          <w:spacing w:val="-3"/>
          <w:sz w:val="15"/>
        </w:rPr>
        <w:t xml:space="preserve"> </w:t>
      </w:r>
      <w:r>
        <w:rPr>
          <w:spacing w:val="-2"/>
          <w:sz w:val="15"/>
        </w:rPr>
        <w:t>y</w:t>
      </w:r>
      <w:r>
        <w:rPr>
          <w:spacing w:val="-3"/>
          <w:sz w:val="15"/>
        </w:rPr>
        <w:t xml:space="preserve"> </w:t>
      </w:r>
      <w:r>
        <w:rPr>
          <w:spacing w:val="-2"/>
          <w:sz w:val="15"/>
        </w:rPr>
        <w:t>lingüísticas</w:t>
      </w:r>
      <w:r>
        <w:rPr>
          <w:spacing w:val="-3"/>
          <w:sz w:val="15"/>
        </w:rPr>
        <w:t xml:space="preserve"> </w:t>
      </w:r>
      <w:r>
        <w:rPr>
          <w:spacing w:val="-2"/>
          <w:sz w:val="15"/>
        </w:rPr>
        <w:t>que</w:t>
      </w:r>
      <w:r>
        <w:rPr>
          <w:spacing w:val="-3"/>
          <w:sz w:val="15"/>
        </w:rPr>
        <w:t xml:space="preserve"> </w:t>
      </w:r>
      <w:r>
        <w:rPr>
          <w:spacing w:val="-2"/>
          <w:sz w:val="15"/>
        </w:rPr>
        <w:t>ejercen</w:t>
      </w:r>
      <w:r>
        <w:rPr>
          <w:spacing w:val="-3"/>
          <w:sz w:val="15"/>
        </w:rPr>
        <w:t xml:space="preserve"> </w:t>
      </w:r>
      <w:r>
        <w:rPr>
          <w:spacing w:val="-2"/>
          <w:sz w:val="15"/>
        </w:rPr>
        <w:t>su</w:t>
      </w:r>
      <w:r>
        <w:rPr>
          <w:spacing w:val="-3"/>
          <w:sz w:val="15"/>
        </w:rPr>
        <w:t xml:space="preserve"> </w:t>
      </w:r>
      <w:r>
        <w:rPr>
          <w:spacing w:val="-2"/>
          <w:sz w:val="15"/>
        </w:rPr>
        <w:t>cultura; transmitir, honrar</w:t>
      </w:r>
      <w:r>
        <w:rPr>
          <w:spacing w:val="-3"/>
          <w:sz w:val="15"/>
        </w:rPr>
        <w:t xml:space="preserve"> </w:t>
      </w:r>
      <w:r>
        <w:rPr>
          <w:spacing w:val="-2"/>
          <w:sz w:val="15"/>
        </w:rPr>
        <w:t>y</w:t>
      </w:r>
      <w:r>
        <w:rPr>
          <w:spacing w:val="-3"/>
          <w:sz w:val="15"/>
        </w:rPr>
        <w:t xml:space="preserve"> </w:t>
      </w:r>
      <w:r>
        <w:rPr>
          <w:spacing w:val="-2"/>
          <w:sz w:val="15"/>
        </w:rPr>
        <w:t>recordar</w:t>
      </w:r>
      <w:r>
        <w:rPr>
          <w:spacing w:val="-3"/>
          <w:sz w:val="15"/>
        </w:rPr>
        <w:t xml:space="preserve"> </w:t>
      </w:r>
      <w:r>
        <w:rPr>
          <w:spacing w:val="-2"/>
          <w:sz w:val="15"/>
        </w:rPr>
        <w:t>públicamente</w:t>
      </w:r>
      <w:r>
        <w:rPr>
          <w:spacing w:val="-3"/>
          <w:sz w:val="15"/>
        </w:rPr>
        <w:t xml:space="preserve"> </w:t>
      </w:r>
      <w:r>
        <w:rPr>
          <w:spacing w:val="-2"/>
          <w:sz w:val="15"/>
        </w:rPr>
        <w:t>su</w:t>
      </w:r>
      <w:r>
        <w:rPr>
          <w:spacing w:val="-3"/>
          <w:sz w:val="15"/>
        </w:rPr>
        <w:t xml:space="preserve"> </w:t>
      </w:r>
      <w:r>
        <w:rPr>
          <w:spacing w:val="-2"/>
          <w:sz w:val="15"/>
        </w:rPr>
        <w:t>historia; profesar</w:t>
      </w:r>
      <w:r>
        <w:rPr>
          <w:spacing w:val="-3"/>
          <w:sz w:val="15"/>
        </w:rPr>
        <w:t xml:space="preserve"> </w:t>
      </w:r>
      <w:r>
        <w:rPr>
          <w:spacing w:val="-2"/>
          <w:sz w:val="15"/>
        </w:rPr>
        <w:t>su</w:t>
      </w:r>
      <w:r>
        <w:rPr>
          <w:spacing w:val="-3"/>
          <w:sz w:val="15"/>
        </w:rPr>
        <w:t xml:space="preserve"> </w:t>
      </w:r>
      <w:r>
        <w:rPr>
          <w:spacing w:val="-2"/>
          <w:sz w:val="15"/>
        </w:rPr>
        <w:t>religión</w:t>
      </w:r>
      <w:r>
        <w:rPr>
          <w:spacing w:val="-3"/>
          <w:sz w:val="15"/>
        </w:rPr>
        <w:t xml:space="preserve"> </w:t>
      </w:r>
      <w:r>
        <w:rPr>
          <w:spacing w:val="-2"/>
          <w:sz w:val="15"/>
        </w:rPr>
        <w:t>o</w:t>
      </w:r>
      <w:r>
        <w:rPr>
          <w:spacing w:val="-3"/>
          <w:sz w:val="15"/>
        </w:rPr>
        <w:t xml:space="preserve"> </w:t>
      </w:r>
      <w:r>
        <w:rPr>
          <w:spacing w:val="-2"/>
          <w:sz w:val="15"/>
        </w:rPr>
        <w:t>creencia</w:t>
      </w:r>
      <w:r>
        <w:rPr>
          <w:sz w:val="15"/>
        </w:rPr>
        <w:t xml:space="preserve"> en</w:t>
      </w:r>
      <w:r>
        <w:rPr>
          <w:spacing w:val="-11"/>
          <w:sz w:val="15"/>
        </w:rPr>
        <w:t xml:space="preserve"> </w:t>
      </w:r>
      <w:r>
        <w:rPr>
          <w:sz w:val="15"/>
        </w:rPr>
        <w:t>comunidad</w:t>
      </w:r>
      <w:r>
        <w:rPr>
          <w:spacing w:val="-10"/>
          <w:sz w:val="15"/>
        </w:rPr>
        <w:t xml:space="preserve"> </w:t>
      </w:r>
      <w:r>
        <w:rPr>
          <w:sz w:val="15"/>
        </w:rPr>
        <w:t>con</w:t>
      </w:r>
      <w:r>
        <w:rPr>
          <w:spacing w:val="-11"/>
          <w:sz w:val="15"/>
        </w:rPr>
        <w:t xml:space="preserve"> </w:t>
      </w:r>
      <w:r>
        <w:rPr>
          <w:sz w:val="15"/>
        </w:rPr>
        <w:t>otros;</w:t>
      </w:r>
      <w:r>
        <w:rPr>
          <w:spacing w:val="-10"/>
          <w:sz w:val="15"/>
        </w:rPr>
        <w:t xml:space="preserve"> </w:t>
      </w:r>
      <w:r>
        <w:rPr>
          <w:sz w:val="15"/>
        </w:rPr>
        <w:t>o</w:t>
      </w:r>
      <w:r>
        <w:rPr>
          <w:spacing w:val="-11"/>
          <w:sz w:val="15"/>
        </w:rPr>
        <w:t xml:space="preserve"> </w:t>
      </w:r>
      <w:r>
        <w:rPr>
          <w:sz w:val="15"/>
        </w:rPr>
        <w:t>usar</w:t>
      </w:r>
      <w:r>
        <w:rPr>
          <w:spacing w:val="-10"/>
          <w:sz w:val="15"/>
        </w:rPr>
        <w:t xml:space="preserve"> </w:t>
      </w:r>
      <w:r>
        <w:rPr>
          <w:sz w:val="15"/>
        </w:rPr>
        <w:t>su</w:t>
      </w:r>
      <w:r>
        <w:rPr>
          <w:spacing w:val="-10"/>
          <w:sz w:val="15"/>
        </w:rPr>
        <w:t xml:space="preserve"> </w:t>
      </w:r>
      <w:r>
        <w:rPr>
          <w:sz w:val="15"/>
        </w:rPr>
        <w:t>idioma</w:t>
      </w:r>
      <w:r>
        <w:rPr>
          <w:spacing w:val="-11"/>
          <w:sz w:val="15"/>
        </w:rPr>
        <w:t xml:space="preserve"> </w:t>
      </w:r>
      <w:r>
        <w:rPr>
          <w:sz w:val="15"/>
        </w:rPr>
        <w:t>en</w:t>
      </w:r>
      <w:r>
        <w:rPr>
          <w:spacing w:val="-10"/>
          <w:sz w:val="15"/>
        </w:rPr>
        <w:t xml:space="preserve"> </w:t>
      </w:r>
      <w:r>
        <w:rPr>
          <w:sz w:val="15"/>
        </w:rPr>
        <w:t>comunidad</w:t>
      </w:r>
      <w:r>
        <w:rPr>
          <w:spacing w:val="-11"/>
          <w:sz w:val="15"/>
        </w:rPr>
        <w:t xml:space="preserve"> </w:t>
      </w:r>
      <w:r>
        <w:rPr>
          <w:sz w:val="15"/>
        </w:rPr>
        <w:t>con</w:t>
      </w:r>
      <w:r>
        <w:rPr>
          <w:spacing w:val="-10"/>
          <w:sz w:val="15"/>
        </w:rPr>
        <w:t xml:space="preserve"> </w:t>
      </w:r>
      <w:r>
        <w:rPr>
          <w:sz w:val="15"/>
        </w:rPr>
        <w:t>otros.</w:t>
      </w:r>
      <w:r>
        <w:rPr>
          <w:spacing w:val="-11"/>
          <w:sz w:val="15"/>
        </w:rPr>
        <w:t xml:space="preserve"> </w:t>
      </w:r>
      <w:r>
        <w:rPr>
          <w:sz w:val="15"/>
        </w:rPr>
        <w:t>De</w:t>
      </w:r>
      <w:r>
        <w:rPr>
          <w:spacing w:val="-10"/>
          <w:sz w:val="15"/>
        </w:rPr>
        <w:t xml:space="preserve"> </w:t>
      </w:r>
      <w:r>
        <w:rPr>
          <w:sz w:val="15"/>
        </w:rPr>
        <w:t>manera</w:t>
      </w:r>
      <w:r>
        <w:rPr>
          <w:spacing w:val="-10"/>
          <w:sz w:val="15"/>
        </w:rPr>
        <w:t xml:space="preserve"> </w:t>
      </w:r>
      <w:r>
        <w:rPr>
          <w:sz w:val="15"/>
        </w:rPr>
        <w:t>similar,</w:t>
      </w:r>
      <w:r>
        <w:rPr>
          <w:spacing w:val="-11"/>
          <w:sz w:val="15"/>
        </w:rPr>
        <w:t xml:space="preserve"> </w:t>
      </w:r>
      <w:r>
        <w:rPr>
          <w:sz w:val="15"/>
        </w:rPr>
        <w:t>los</w:t>
      </w:r>
      <w:r>
        <w:rPr>
          <w:spacing w:val="-10"/>
          <w:sz w:val="15"/>
        </w:rPr>
        <w:t xml:space="preserve"> </w:t>
      </w:r>
      <w:r>
        <w:rPr>
          <w:sz w:val="15"/>
        </w:rPr>
        <w:t>Estados</w:t>
      </w:r>
      <w:r>
        <w:rPr>
          <w:spacing w:val="-11"/>
          <w:sz w:val="15"/>
        </w:rPr>
        <w:t xml:space="preserve"> </w:t>
      </w:r>
      <w:r>
        <w:rPr>
          <w:sz w:val="15"/>
        </w:rPr>
        <w:t>deben</w:t>
      </w:r>
      <w:r>
        <w:rPr>
          <w:spacing w:val="-10"/>
          <w:sz w:val="15"/>
        </w:rPr>
        <w:t xml:space="preserve"> </w:t>
      </w:r>
      <w:r>
        <w:rPr>
          <w:sz w:val="15"/>
        </w:rPr>
        <w:t>garantizar</w:t>
      </w:r>
      <w:r>
        <w:rPr>
          <w:spacing w:val="-10"/>
          <w:sz w:val="15"/>
        </w:rPr>
        <w:t xml:space="preserve"> </w:t>
      </w:r>
      <w:r>
        <w:rPr>
          <w:sz w:val="15"/>
        </w:rPr>
        <w:t>una</w:t>
      </w:r>
      <w:r>
        <w:rPr>
          <w:spacing w:val="-11"/>
          <w:sz w:val="15"/>
        </w:rPr>
        <w:t xml:space="preserve"> </w:t>
      </w:r>
      <w:r>
        <w:rPr>
          <w:sz w:val="15"/>
        </w:rPr>
        <w:t>protección</w:t>
      </w:r>
      <w:r>
        <w:rPr>
          <w:spacing w:val="-10"/>
          <w:sz w:val="15"/>
        </w:rPr>
        <w:t xml:space="preserve"> </w:t>
      </w:r>
      <w:r>
        <w:rPr>
          <w:sz w:val="15"/>
        </w:rPr>
        <w:t>efectiva contra</w:t>
      </w:r>
      <w:r>
        <w:rPr>
          <w:spacing w:val="-2"/>
          <w:sz w:val="15"/>
        </w:rPr>
        <w:t xml:space="preserve"> </w:t>
      </w:r>
      <w:r>
        <w:rPr>
          <w:sz w:val="15"/>
        </w:rPr>
        <w:t>la</w:t>
      </w:r>
      <w:r>
        <w:rPr>
          <w:spacing w:val="-2"/>
          <w:sz w:val="15"/>
        </w:rPr>
        <w:t xml:space="preserve"> </w:t>
      </w:r>
      <w:r>
        <w:rPr>
          <w:sz w:val="15"/>
        </w:rPr>
        <w:t>discriminación</w:t>
      </w:r>
      <w:r>
        <w:rPr>
          <w:spacing w:val="-2"/>
          <w:sz w:val="15"/>
        </w:rPr>
        <w:t xml:space="preserve"> </w:t>
      </w:r>
      <w:r>
        <w:rPr>
          <w:sz w:val="15"/>
        </w:rPr>
        <w:t>por</w:t>
      </w:r>
      <w:r>
        <w:rPr>
          <w:spacing w:val="-2"/>
          <w:sz w:val="15"/>
        </w:rPr>
        <w:t xml:space="preserve"> </w:t>
      </w:r>
      <w:r>
        <w:rPr>
          <w:sz w:val="15"/>
        </w:rPr>
        <w:t>parte</w:t>
      </w:r>
      <w:r>
        <w:rPr>
          <w:spacing w:val="-2"/>
          <w:sz w:val="15"/>
        </w:rPr>
        <w:t xml:space="preserve"> </w:t>
      </w:r>
      <w:r>
        <w:rPr>
          <w:sz w:val="15"/>
        </w:rPr>
        <w:t>de</w:t>
      </w:r>
      <w:r>
        <w:rPr>
          <w:spacing w:val="-2"/>
          <w:sz w:val="15"/>
        </w:rPr>
        <w:t xml:space="preserve"> </w:t>
      </w:r>
      <w:r>
        <w:rPr>
          <w:sz w:val="15"/>
        </w:rPr>
        <w:t>actores</w:t>
      </w:r>
      <w:r>
        <w:rPr>
          <w:spacing w:val="-2"/>
          <w:sz w:val="15"/>
        </w:rPr>
        <w:t xml:space="preserve"> </w:t>
      </w:r>
      <w:r>
        <w:rPr>
          <w:sz w:val="15"/>
        </w:rPr>
        <w:t>privados</w:t>
      </w:r>
      <w:r>
        <w:rPr>
          <w:spacing w:val="-2"/>
          <w:sz w:val="15"/>
        </w:rPr>
        <w:t xml:space="preserve"> </w:t>
      </w:r>
      <w:r>
        <w:rPr>
          <w:sz w:val="15"/>
        </w:rPr>
        <w:t>que</w:t>
      </w:r>
      <w:r>
        <w:rPr>
          <w:spacing w:val="-2"/>
          <w:sz w:val="15"/>
        </w:rPr>
        <w:t xml:space="preserve"> </w:t>
      </w:r>
      <w:r>
        <w:rPr>
          <w:sz w:val="15"/>
        </w:rPr>
        <w:t>interferirían</w:t>
      </w:r>
      <w:r>
        <w:rPr>
          <w:spacing w:val="-2"/>
          <w:sz w:val="15"/>
        </w:rPr>
        <w:t xml:space="preserve"> </w:t>
      </w:r>
      <w:r>
        <w:rPr>
          <w:sz w:val="15"/>
        </w:rPr>
        <w:t>con</w:t>
      </w:r>
      <w:r>
        <w:rPr>
          <w:spacing w:val="-2"/>
          <w:sz w:val="15"/>
        </w:rPr>
        <w:t xml:space="preserve"> </w:t>
      </w:r>
      <w:r>
        <w:rPr>
          <w:sz w:val="15"/>
        </w:rPr>
        <w:t>el</w:t>
      </w:r>
      <w:r>
        <w:rPr>
          <w:spacing w:val="-2"/>
          <w:sz w:val="15"/>
        </w:rPr>
        <w:t xml:space="preserve"> </w:t>
      </w:r>
      <w:r>
        <w:rPr>
          <w:sz w:val="15"/>
        </w:rPr>
        <w:t>ejercicio</w:t>
      </w:r>
      <w:r>
        <w:rPr>
          <w:spacing w:val="-2"/>
          <w:sz w:val="15"/>
        </w:rPr>
        <w:t xml:space="preserve"> </w:t>
      </w:r>
      <w:r>
        <w:rPr>
          <w:sz w:val="15"/>
        </w:rPr>
        <w:t>y</w:t>
      </w:r>
      <w:r>
        <w:rPr>
          <w:spacing w:val="-2"/>
          <w:sz w:val="15"/>
        </w:rPr>
        <w:t xml:space="preserve"> </w:t>
      </w:r>
      <w:r>
        <w:rPr>
          <w:sz w:val="15"/>
        </w:rPr>
        <w:t>disfrute</w:t>
      </w:r>
      <w:r>
        <w:rPr>
          <w:spacing w:val="-2"/>
          <w:sz w:val="15"/>
        </w:rPr>
        <w:t xml:space="preserve"> </w:t>
      </w:r>
      <w:r>
        <w:rPr>
          <w:sz w:val="15"/>
        </w:rPr>
        <w:t>de</w:t>
      </w:r>
      <w:r>
        <w:rPr>
          <w:spacing w:val="-2"/>
          <w:sz w:val="15"/>
        </w:rPr>
        <w:t xml:space="preserve"> </w:t>
      </w:r>
      <w:r>
        <w:rPr>
          <w:sz w:val="15"/>
        </w:rPr>
        <w:t>estos</w:t>
      </w:r>
      <w:r>
        <w:rPr>
          <w:spacing w:val="-2"/>
          <w:sz w:val="15"/>
        </w:rPr>
        <w:t xml:space="preserve"> </w:t>
      </w:r>
      <w:r>
        <w:rPr>
          <w:sz w:val="15"/>
        </w:rPr>
        <w:t>derechos.855</w:t>
      </w:r>
    </w:p>
    <w:p w14:paraId="30307A9F" w14:textId="77777777" w:rsidR="0014798C" w:rsidRDefault="0014798C">
      <w:pPr>
        <w:pStyle w:val="Textoindependiente"/>
        <w:rPr>
          <w:sz w:val="15"/>
        </w:rPr>
      </w:pPr>
    </w:p>
    <w:p w14:paraId="4EDCE91F" w14:textId="77777777" w:rsidR="0014798C" w:rsidRDefault="0014798C">
      <w:pPr>
        <w:pStyle w:val="Textoindependiente"/>
        <w:rPr>
          <w:sz w:val="15"/>
        </w:rPr>
      </w:pPr>
    </w:p>
    <w:p w14:paraId="0BE82F6B" w14:textId="77777777" w:rsidR="0014798C" w:rsidRDefault="0014798C">
      <w:pPr>
        <w:pStyle w:val="Textoindependiente"/>
        <w:spacing w:before="150"/>
        <w:rPr>
          <w:sz w:val="15"/>
        </w:rPr>
      </w:pPr>
    </w:p>
    <w:p w14:paraId="656FD796" w14:textId="77777777" w:rsidR="0014798C" w:rsidRDefault="004E1F0B">
      <w:pPr>
        <w:spacing w:line="348" w:lineRule="auto"/>
        <w:ind w:left="1108" w:right="1326" w:hanging="2"/>
        <w:rPr>
          <w:sz w:val="15"/>
        </w:rPr>
      </w:pPr>
      <w:r>
        <w:rPr>
          <w:noProof/>
        </w:rPr>
        <mc:AlternateContent>
          <mc:Choice Requires="wps">
            <w:drawing>
              <wp:anchor distT="0" distB="0" distL="0" distR="0" simplePos="0" relativeHeight="251658302" behindDoc="0" locked="0" layoutInCell="1" allowOverlap="1" wp14:anchorId="05CEA3BF" wp14:editId="636C9998">
                <wp:simplePos x="0" y="0"/>
                <wp:positionH relativeFrom="page">
                  <wp:posOffset>7293418</wp:posOffset>
                </wp:positionH>
                <wp:positionV relativeFrom="paragraph">
                  <wp:posOffset>-148648</wp:posOffset>
                </wp:positionV>
                <wp:extent cx="104775" cy="260985"/>
                <wp:effectExtent l="0" t="0" r="0" b="0"/>
                <wp:wrapNone/>
                <wp:docPr id="264" name="Textbox 26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04775" cy="260985"/>
                        </a:xfrm>
                        <a:prstGeom prst="rect">
                          <a:avLst/>
                        </a:prstGeom>
                      </wps:spPr>
                      <wps:txbx>
                        <w:txbxContent>
                          <w:p w14:paraId="37AF1790" w14:textId="77777777" w:rsidR="0014798C" w:rsidRDefault="004E1F0B">
                            <w:pPr>
                              <w:spacing w:before="17"/>
                              <w:ind w:left="20"/>
                              <w:rPr>
                                <w:sz w:val="11"/>
                              </w:rPr>
                            </w:pPr>
                            <w:r>
                              <w:rPr>
                                <w:color w:val="FFFFFF"/>
                                <w:spacing w:val="-33"/>
                                <w:sz w:val="11"/>
                              </w:rPr>
                              <w:t>TPRAERSTE</w:t>
                            </w:r>
                          </w:p>
                        </w:txbxContent>
                      </wps:txbx>
                      <wps:bodyPr vert="vert270" wrap="square" lIns="0" tIns="0" rIns="0" bIns="0" rtlCol="0">
                        <a:noAutofit/>
                      </wps:bodyPr>
                    </wps:wsp>
                  </a:graphicData>
                </a:graphic>
              </wp:anchor>
            </w:drawing>
          </mc:Choice>
          <mc:Fallback>
            <w:pict>
              <v:shape w14:anchorId="05CEA3BF" id="Textbox 264" o:spid="_x0000_s1129" type="#_x0000_t202" style="position:absolute;left:0;text-align:left;margin-left:574.3pt;margin-top:-11.7pt;width:8.25pt;height:20.55pt;z-index:251658302;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" filled="f" stroked="f">
                <v:textbox style="layout-flow:vertical;mso-layout-flow-alt:bottom-to-top" inset="0,0,0,0">
                  <w:txbxContent>
                    <w:p w14:paraId="37AF1790" w14:textId="77777777" w:rsidR="0014798C" w:rsidRDefault="004E1F0B">
                      <w:pPr>
                        <w:spacing w:before="17"/>
                        <w:ind w:left="20"/>
                        <w:rPr>
                          <w:sz w:val="11"/>
                        </w:rPr>
                      </w:pPr>
                      <w:r>
                        <w:rPr>
                          <w:color w:val="FFFFFF"/>
                          <w:spacing w:val="-33"/>
                          <w:sz w:val="11"/>
                        </w:rPr>
                        <w:t>TPRAERSTE</w:t>
                      </w:r>
                    </w:p>
                  </w:txbxContent>
                </v:textbox>
                <w10:wrap anchorx="page"/>
              </v:shape>
            </w:pict>
          </mc:Fallback>
        </mc:AlternateContent>
      </w:r>
      <w:r>
        <w:rPr>
          <w:sz w:val="15"/>
        </w:rPr>
        <w:t>Dicho</w:t>
      </w:r>
      <w:r>
        <w:rPr>
          <w:spacing w:val="-4"/>
          <w:sz w:val="15"/>
        </w:rPr>
        <w:t xml:space="preserve"> </w:t>
      </w:r>
      <w:r>
        <w:rPr>
          <w:sz w:val="15"/>
        </w:rPr>
        <w:t>esto,</w:t>
      </w:r>
      <w:r>
        <w:rPr>
          <w:spacing w:val="-4"/>
          <w:sz w:val="15"/>
        </w:rPr>
        <w:t xml:space="preserve"> </w:t>
      </w:r>
      <w:r>
        <w:rPr>
          <w:sz w:val="15"/>
        </w:rPr>
        <w:t>la</w:t>
      </w:r>
      <w:r>
        <w:rPr>
          <w:spacing w:val="-4"/>
          <w:sz w:val="15"/>
        </w:rPr>
        <w:t xml:space="preserve"> </w:t>
      </w:r>
      <w:r>
        <w:rPr>
          <w:sz w:val="15"/>
        </w:rPr>
        <w:t>realización</w:t>
      </w:r>
      <w:r>
        <w:rPr>
          <w:spacing w:val="-4"/>
          <w:sz w:val="15"/>
        </w:rPr>
        <w:t xml:space="preserve"> </w:t>
      </w:r>
      <w:r>
        <w:rPr>
          <w:sz w:val="15"/>
        </w:rPr>
        <w:t>de</w:t>
      </w:r>
      <w:r>
        <w:rPr>
          <w:spacing w:val="-4"/>
          <w:sz w:val="15"/>
        </w:rPr>
        <w:t xml:space="preserve"> </w:t>
      </w:r>
      <w:r>
        <w:rPr>
          <w:sz w:val="15"/>
        </w:rPr>
        <w:t>los</w:t>
      </w:r>
      <w:r>
        <w:rPr>
          <w:spacing w:val="-4"/>
          <w:sz w:val="15"/>
        </w:rPr>
        <w:t xml:space="preserve"> </w:t>
      </w:r>
      <w:r>
        <w:rPr>
          <w:sz w:val="15"/>
        </w:rPr>
        <w:t>derechos</w:t>
      </w:r>
      <w:r>
        <w:rPr>
          <w:spacing w:val="-4"/>
          <w:sz w:val="15"/>
        </w:rPr>
        <w:t xml:space="preserve"> </w:t>
      </w:r>
      <w:r>
        <w:rPr>
          <w:sz w:val="15"/>
        </w:rPr>
        <w:t>de</w:t>
      </w:r>
      <w:r>
        <w:rPr>
          <w:spacing w:val="-4"/>
          <w:sz w:val="15"/>
        </w:rPr>
        <w:t xml:space="preserve"> </w:t>
      </w:r>
      <w:r>
        <w:rPr>
          <w:sz w:val="15"/>
        </w:rPr>
        <w:t>las</w:t>
      </w:r>
      <w:r>
        <w:rPr>
          <w:spacing w:val="-4"/>
          <w:sz w:val="15"/>
        </w:rPr>
        <w:t xml:space="preserve"> </w:t>
      </w:r>
      <w:r>
        <w:rPr>
          <w:sz w:val="15"/>
        </w:rPr>
        <w:t>minorías</w:t>
      </w:r>
      <w:r>
        <w:rPr>
          <w:spacing w:val="-4"/>
          <w:sz w:val="15"/>
        </w:rPr>
        <w:t xml:space="preserve"> </w:t>
      </w:r>
      <w:r>
        <w:rPr>
          <w:sz w:val="15"/>
        </w:rPr>
        <w:t>puede</w:t>
      </w:r>
      <w:r>
        <w:rPr>
          <w:spacing w:val="-4"/>
          <w:sz w:val="15"/>
        </w:rPr>
        <w:t xml:space="preserve"> </w:t>
      </w:r>
      <w:r>
        <w:rPr>
          <w:sz w:val="15"/>
        </w:rPr>
        <w:t>–</w:t>
      </w:r>
      <w:r>
        <w:rPr>
          <w:spacing w:val="-4"/>
          <w:sz w:val="15"/>
        </w:rPr>
        <w:t xml:space="preserve"> </w:t>
      </w:r>
      <w:r>
        <w:rPr>
          <w:sz w:val="15"/>
        </w:rPr>
        <w:t>en</w:t>
      </w:r>
      <w:r>
        <w:rPr>
          <w:spacing w:val="-4"/>
          <w:sz w:val="15"/>
        </w:rPr>
        <w:t xml:space="preserve"> </w:t>
      </w:r>
      <w:r>
        <w:rPr>
          <w:sz w:val="15"/>
        </w:rPr>
        <w:t>la</w:t>
      </w:r>
      <w:r>
        <w:rPr>
          <w:spacing w:val="-4"/>
          <w:sz w:val="15"/>
        </w:rPr>
        <w:t xml:space="preserve"> </w:t>
      </w:r>
      <w:r>
        <w:rPr>
          <w:sz w:val="15"/>
        </w:rPr>
        <w:t>práctica</w:t>
      </w:r>
      <w:r>
        <w:rPr>
          <w:spacing w:val="-4"/>
          <w:sz w:val="15"/>
        </w:rPr>
        <w:t xml:space="preserve"> </w:t>
      </w:r>
      <w:r>
        <w:rPr>
          <w:sz w:val="15"/>
        </w:rPr>
        <w:t>–</w:t>
      </w:r>
      <w:r>
        <w:rPr>
          <w:spacing w:val="-4"/>
          <w:sz w:val="15"/>
        </w:rPr>
        <w:t xml:space="preserve"> </w:t>
      </w:r>
      <w:r>
        <w:rPr>
          <w:sz w:val="15"/>
        </w:rPr>
        <w:t>estar</w:t>
      </w:r>
      <w:r>
        <w:rPr>
          <w:spacing w:val="-4"/>
          <w:sz w:val="15"/>
        </w:rPr>
        <w:t xml:space="preserve"> </w:t>
      </w:r>
      <w:r>
        <w:rPr>
          <w:sz w:val="15"/>
        </w:rPr>
        <w:t>en</w:t>
      </w:r>
      <w:r>
        <w:rPr>
          <w:spacing w:val="-4"/>
          <w:sz w:val="15"/>
        </w:rPr>
        <w:t xml:space="preserve"> </w:t>
      </w:r>
      <w:r>
        <w:rPr>
          <w:sz w:val="15"/>
        </w:rPr>
        <w:t>tensión</w:t>
      </w:r>
      <w:r>
        <w:rPr>
          <w:spacing w:val="-4"/>
          <w:sz w:val="15"/>
        </w:rPr>
        <w:t xml:space="preserve"> </w:t>
      </w:r>
      <w:r>
        <w:rPr>
          <w:sz w:val="15"/>
        </w:rPr>
        <w:t>con</w:t>
      </w:r>
      <w:r>
        <w:rPr>
          <w:spacing w:val="-4"/>
          <w:sz w:val="15"/>
        </w:rPr>
        <w:t xml:space="preserve"> </w:t>
      </w:r>
      <w:r>
        <w:rPr>
          <w:sz w:val="15"/>
        </w:rPr>
        <w:t>los</w:t>
      </w:r>
      <w:r>
        <w:rPr>
          <w:spacing w:val="-4"/>
          <w:sz w:val="15"/>
        </w:rPr>
        <w:t xml:space="preserve"> </w:t>
      </w:r>
      <w:r>
        <w:rPr>
          <w:sz w:val="15"/>
        </w:rPr>
        <w:t>derechos</w:t>
      </w:r>
      <w:r>
        <w:rPr>
          <w:spacing w:val="-4"/>
          <w:sz w:val="15"/>
        </w:rPr>
        <w:t xml:space="preserve"> </w:t>
      </w:r>
      <w:r>
        <w:rPr>
          <w:sz w:val="15"/>
        </w:rPr>
        <w:t>de</w:t>
      </w:r>
      <w:r>
        <w:rPr>
          <w:spacing w:val="-4"/>
          <w:sz w:val="15"/>
        </w:rPr>
        <w:t xml:space="preserve"> </w:t>
      </w:r>
      <w:r>
        <w:rPr>
          <w:sz w:val="15"/>
        </w:rPr>
        <w:t>las</w:t>
      </w:r>
      <w:r>
        <w:rPr>
          <w:spacing w:val="-4"/>
          <w:sz w:val="15"/>
        </w:rPr>
        <w:t xml:space="preserve"> </w:t>
      </w:r>
      <w:r>
        <w:rPr>
          <w:sz w:val="15"/>
        </w:rPr>
        <w:t>personas</w:t>
      </w:r>
      <w:r>
        <w:rPr>
          <w:spacing w:val="-4"/>
          <w:sz w:val="15"/>
        </w:rPr>
        <w:t xml:space="preserve"> </w:t>
      </w:r>
      <w:r>
        <w:rPr>
          <w:sz w:val="15"/>
        </w:rPr>
        <w:t>dentro y</w:t>
      </w:r>
      <w:r>
        <w:rPr>
          <w:spacing w:val="-1"/>
          <w:sz w:val="15"/>
        </w:rPr>
        <w:t xml:space="preserve"> </w:t>
      </w:r>
      <w:r>
        <w:rPr>
          <w:sz w:val="15"/>
        </w:rPr>
        <w:t>fuera</w:t>
      </w:r>
      <w:r>
        <w:rPr>
          <w:spacing w:val="-1"/>
          <w:sz w:val="15"/>
        </w:rPr>
        <w:t xml:space="preserve"> </w:t>
      </w:r>
      <w:r>
        <w:rPr>
          <w:sz w:val="15"/>
        </w:rPr>
        <w:t>de</w:t>
      </w:r>
      <w:r>
        <w:rPr>
          <w:spacing w:val="-1"/>
          <w:sz w:val="15"/>
        </w:rPr>
        <w:t xml:space="preserve"> </w:t>
      </w:r>
      <w:r>
        <w:rPr>
          <w:sz w:val="15"/>
        </w:rPr>
        <w:t>la</w:t>
      </w:r>
      <w:r>
        <w:rPr>
          <w:spacing w:val="-1"/>
          <w:sz w:val="15"/>
        </w:rPr>
        <w:t xml:space="preserve"> </w:t>
      </w:r>
      <w:r>
        <w:rPr>
          <w:sz w:val="15"/>
        </w:rPr>
        <w:t>comunidad</w:t>
      </w:r>
      <w:r>
        <w:rPr>
          <w:spacing w:val="-1"/>
          <w:sz w:val="15"/>
        </w:rPr>
        <w:t xml:space="preserve"> </w:t>
      </w:r>
      <w:r>
        <w:rPr>
          <w:sz w:val="15"/>
        </w:rPr>
        <w:t>minoritaria</w:t>
      </w:r>
      <w:r>
        <w:rPr>
          <w:spacing w:val="-1"/>
          <w:sz w:val="15"/>
        </w:rPr>
        <w:t xml:space="preserve"> </w:t>
      </w:r>
      <w:r>
        <w:rPr>
          <w:sz w:val="15"/>
        </w:rPr>
        <w:t>a</w:t>
      </w:r>
      <w:r>
        <w:rPr>
          <w:spacing w:val="-1"/>
          <w:sz w:val="15"/>
        </w:rPr>
        <w:t xml:space="preserve"> </w:t>
      </w:r>
      <w:r>
        <w:rPr>
          <w:sz w:val="15"/>
        </w:rPr>
        <w:t>la</w:t>
      </w:r>
      <w:r>
        <w:rPr>
          <w:spacing w:val="-1"/>
          <w:sz w:val="15"/>
        </w:rPr>
        <w:t xml:space="preserve"> </w:t>
      </w:r>
      <w:r>
        <w:rPr>
          <w:sz w:val="15"/>
        </w:rPr>
        <w:t>no</w:t>
      </w:r>
      <w:r>
        <w:rPr>
          <w:spacing w:val="-1"/>
          <w:sz w:val="15"/>
        </w:rPr>
        <w:t xml:space="preserve"> </w:t>
      </w:r>
      <w:r>
        <w:rPr>
          <w:sz w:val="15"/>
        </w:rPr>
        <w:t>discriminación. En</w:t>
      </w:r>
      <w:r>
        <w:rPr>
          <w:spacing w:val="-1"/>
          <w:sz w:val="15"/>
        </w:rPr>
        <w:t xml:space="preserve"> </w:t>
      </w:r>
      <w:r>
        <w:rPr>
          <w:sz w:val="15"/>
        </w:rPr>
        <w:t>diversos</w:t>
      </w:r>
      <w:r>
        <w:rPr>
          <w:spacing w:val="-1"/>
          <w:sz w:val="15"/>
        </w:rPr>
        <w:t xml:space="preserve"> </w:t>
      </w:r>
      <w:r>
        <w:rPr>
          <w:sz w:val="15"/>
        </w:rPr>
        <w:t>países</w:t>
      </w:r>
      <w:r>
        <w:rPr>
          <w:spacing w:val="-1"/>
          <w:sz w:val="15"/>
        </w:rPr>
        <w:t xml:space="preserve"> </w:t>
      </w:r>
      <w:r>
        <w:rPr>
          <w:sz w:val="15"/>
        </w:rPr>
        <w:t>y</w:t>
      </w:r>
      <w:r>
        <w:rPr>
          <w:spacing w:val="-1"/>
          <w:sz w:val="15"/>
        </w:rPr>
        <w:t xml:space="preserve"> </w:t>
      </w:r>
      <w:r>
        <w:rPr>
          <w:sz w:val="15"/>
        </w:rPr>
        <w:t>contextos, los</w:t>
      </w:r>
      <w:r>
        <w:rPr>
          <w:spacing w:val="-1"/>
          <w:sz w:val="15"/>
        </w:rPr>
        <w:t xml:space="preserve"> </w:t>
      </w:r>
      <w:r>
        <w:rPr>
          <w:sz w:val="15"/>
        </w:rPr>
        <w:t>legisladores</w:t>
      </w:r>
      <w:r>
        <w:rPr>
          <w:spacing w:val="-1"/>
          <w:sz w:val="15"/>
        </w:rPr>
        <w:t xml:space="preserve"> </w:t>
      </w:r>
      <w:r>
        <w:rPr>
          <w:sz w:val="15"/>
        </w:rPr>
        <w:t>han</w:t>
      </w:r>
      <w:r>
        <w:rPr>
          <w:spacing w:val="-1"/>
          <w:sz w:val="15"/>
        </w:rPr>
        <w:t xml:space="preserve"> </w:t>
      </w:r>
      <w:r>
        <w:rPr>
          <w:sz w:val="15"/>
        </w:rPr>
        <w:t>luchado</w:t>
      </w:r>
      <w:r>
        <w:rPr>
          <w:spacing w:val="-1"/>
          <w:sz w:val="15"/>
        </w:rPr>
        <w:t xml:space="preserve"> </w:t>
      </w:r>
      <w:r>
        <w:rPr>
          <w:sz w:val="15"/>
        </w:rPr>
        <w:t>por</w:t>
      </w:r>
      <w:r>
        <w:rPr>
          <w:spacing w:val="-1"/>
          <w:sz w:val="15"/>
        </w:rPr>
        <w:t xml:space="preserve"> </w:t>
      </w:r>
      <w:r>
        <w:rPr>
          <w:sz w:val="15"/>
        </w:rPr>
        <w:t>equilibrar adecuadamente</w:t>
      </w:r>
      <w:r>
        <w:rPr>
          <w:spacing w:val="-6"/>
          <w:sz w:val="15"/>
        </w:rPr>
        <w:t xml:space="preserve"> </w:t>
      </w:r>
      <w:r>
        <w:rPr>
          <w:sz w:val="15"/>
        </w:rPr>
        <w:t>los</w:t>
      </w:r>
      <w:r>
        <w:rPr>
          <w:spacing w:val="-6"/>
          <w:sz w:val="15"/>
        </w:rPr>
        <w:t xml:space="preserve"> </w:t>
      </w:r>
      <w:r>
        <w:rPr>
          <w:sz w:val="15"/>
        </w:rPr>
        <w:t>derechos</w:t>
      </w:r>
      <w:r>
        <w:rPr>
          <w:spacing w:val="-6"/>
          <w:sz w:val="15"/>
        </w:rPr>
        <w:t xml:space="preserve"> </w:t>
      </w:r>
      <w:r>
        <w:rPr>
          <w:sz w:val="15"/>
        </w:rPr>
        <w:t>de</w:t>
      </w:r>
      <w:r>
        <w:rPr>
          <w:spacing w:val="-6"/>
          <w:sz w:val="15"/>
        </w:rPr>
        <w:t xml:space="preserve"> </w:t>
      </w:r>
      <w:r>
        <w:rPr>
          <w:sz w:val="15"/>
        </w:rPr>
        <w:t>las</w:t>
      </w:r>
      <w:r>
        <w:rPr>
          <w:spacing w:val="-6"/>
          <w:sz w:val="15"/>
        </w:rPr>
        <w:t xml:space="preserve"> </w:t>
      </w:r>
      <w:r>
        <w:rPr>
          <w:sz w:val="15"/>
        </w:rPr>
        <w:t>minorías</w:t>
      </w:r>
      <w:r>
        <w:rPr>
          <w:spacing w:val="-6"/>
          <w:sz w:val="15"/>
        </w:rPr>
        <w:t xml:space="preserve"> </w:t>
      </w:r>
      <w:r>
        <w:rPr>
          <w:sz w:val="15"/>
        </w:rPr>
        <w:t>y</w:t>
      </w:r>
      <w:r>
        <w:rPr>
          <w:spacing w:val="-6"/>
          <w:sz w:val="15"/>
        </w:rPr>
        <w:t xml:space="preserve"> </w:t>
      </w:r>
      <w:r>
        <w:rPr>
          <w:sz w:val="15"/>
        </w:rPr>
        <w:t>las</w:t>
      </w:r>
      <w:r>
        <w:rPr>
          <w:spacing w:val="-6"/>
          <w:sz w:val="15"/>
        </w:rPr>
        <w:t xml:space="preserve"> </w:t>
      </w:r>
      <w:r>
        <w:rPr>
          <w:sz w:val="15"/>
        </w:rPr>
        <w:t>garantías</w:t>
      </w:r>
      <w:r>
        <w:rPr>
          <w:spacing w:val="-6"/>
          <w:sz w:val="15"/>
        </w:rPr>
        <w:t xml:space="preserve"> </w:t>
      </w:r>
      <w:r>
        <w:rPr>
          <w:sz w:val="15"/>
        </w:rPr>
        <w:t>conexas,</w:t>
      </w:r>
      <w:r>
        <w:rPr>
          <w:spacing w:val="-5"/>
          <w:sz w:val="15"/>
        </w:rPr>
        <w:t xml:space="preserve"> </w:t>
      </w:r>
      <w:r>
        <w:rPr>
          <w:sz w:val="15"/>
        </w:rPr>
        <w:t>por</w:t>
      </w:r>
      <w:r>
        <w:rPr>
          <w:spacing w:val="-6"/>
          <w:sz w:val="15"/>
        </w:rPr>
        <w:t xml:space="preserve"> </w:t>
      </w:r>
      <w:r>
        <w:rPr>
          <w:sz w:val="15"/>
        </w:rPr>
        <w:t>un</w:t>
      </w:r>
      <w:r>
        <w:rPr>
          <w:spacing w:val="-6"/>
          <w:sz w:val="15"/>
        </w:rPr>
        <w:t xml:space="preserve"> </w:t>
      </w:r>
      <w:r>
        <w:rPr>
          <w:sz w:val="15"/>
        </w:rPr>
        <w:t>lado,</w:t>
      </w:r>
      <w:r>
        <w:rPr>
          <w:spacing w:val="-6"/>
          <w:sz w:val="15"/>
        </w:rPr>
        <w:t xml:space="preserve"> </w:t>
      </w:r>
      <w:r>
        <w:rPr>
          <w:sz w:val="15"/>
        </w:rPr>
        <w:t>con</w:t>
      </w:r>
      <w:r>
        <w:rPr>
          <w:spacing w:val="-6"/>
          <w:sz w:val="15"/>
        </w:rPr>
        <w:t xml:space="preserve"> </w:t>
      </w:r>
      <w:r>
        <w:rPr>
          <w:sz w:val="15"/>
        </w:rPr>
        <w:t>el</w:t>
      </w:r>
      <w:r>
        <w:rPr>
          <w:spacing w:val="-6"/>
          <w:sz w:val="15"/>
        </w:rPr>
        <w:t xml:space="preserve"> </w:t>
      </w:r>
      <w:r>
        <w:rPr>
          <w:sz w:val="15"/>
        </w:rPr>
        <w:t>derecho</w:t>
      </w:r>
      <w:r>
        <w:rPr>
          <w:spacing w:val="-6"/>
          <w:sz w:val="15"/>
        </w:rPr>
        <w:t xml:space="preserve"> </w:t>
      </w:r>
      <w:r>
        <w:rPr>
          <w:sz w:val="15"/>
        </w:rPr>
        <w:t>a</w:t>
      </w:r>
      <w:r>
        <w:rPr>
          <w:spacing w:val="-6"/>
          <w:sz w:val="15"/>
        </w:rPr>
        <w:t xml:space="preserve"> </w:t>
      </w:r>
      <w:r>
        <w:rPr>
          <w:sz w:val="15"/>
        </w:rPr>
        <w:t>la</w:t>
      </w:r>
      <w:r>
        <w:rPr>
          <w:spacing w:val="-6"/>
          <w:sz w:val="15"/>
        </w:rPr>
        <w:t xml:space="preserve"> </w:t>
      </w:r>
      <w:r>
        <w:rPr>
          <w:sz w:val="15"/>
        </w:rPr>
        <w:t>no</w:t>
      </w:r>
      <w:r>
        <w:rPr>
          <w:spacing w:val="-6"/>
          <w:sz w:val="15"/>
        </w:rPr>
        <w:t xml:space="preserve"> </w:t>
      </w:r>
      <w:r>
        <w:rPr>
          <w:sz w:val="15"/>
        </w:rPr>
        <w:t>discriminación,</w:t>
      </w:r>
      <w:r>
        <w:rPr>
          <w:spacing w:val="-5"/>
          <w:sz w:val="15"/>
        </w:rPr>
        <w:t xml:space="preserve"> </w:t>
      </w:r>
      <w:r>
        <w:rPr>
          <w:sz w:val="15"/>
        </w:rPr>
        <w:t>por</w:t>
      </w:r>
      <w:r>
        <w:rPr>
          <w:spacing w:val="-6"/>
          <w:sz w:val="15"/>
        </w:rPr>
        <w:t xml:space="preserve"> </w:t>
      </w:r>
      <w:r>
        <w:rPr>
          <w:sz w:val="15"/>
        </w:rPr>
        <w:t>el</w:t>
      </w:r>
      <w:r>
        <w:rPr>
          <w:spacing w:val="-6"/>
          <w:sz w:val="15"/>
        </w:rPr>
        <w:t xml:space="preserve"> </w:t>
      </w:r>
      <w:r>
        <w:rPr>
          <w:sz w:val="15"/>
        </w:rPr>
        <w:t>otro.</w:t>
      </w:r>
      <w:r>
        <w:rPr>
          <w:spacing w:val="-6"/>
          <w:sz w:val="15"/>
        </w:rPr>
        <w:t xml:space="preserve"> </w:t>
      </w:r>
      <w:r>
        <w:rPr>
          <w:sz w:val="15"/>
        </w:rPr>
        <w:t>Una</w:t>
      </w:r>
      <w:r>
        <w:rPr>
          <w:spacing w:val="-6"/>
          <w:sz w:val="15"/>
        </w:rPr>
        <w:t xml:space="preserve"> </w:t>
      </w:r>
      <w:r>
        <w:rPr>
          <w:sz w:val="15"/>
        </w:rPr>
        <w:t>de esas</w:t>
      </w:r>
      <w:r>
        <w:rPr>
          <w:spacing w:val="-1"/>
          <w:sz w:val="15"/>
        </w:rPr>
        <w:t xml:space="preserve"> </w:t>
      </w:r>
      <w:r>
        <w:rPr>
          <w:sz w:val="15"/>
        </w:rPr>
        <w:t>áreas</w:t>
      </w:r>
      <w:r>
        <w:rPr>
          <w:spacing w:val="-1"/>
          <w:sz w:val="15"/>
        </w:rPr>
        <w:t xml:space="preserve"> </w:t>
      </w:r>
      <w:r>
        <w:rPr>
          <w:sz w:val="15"/>
        </w:rPr>
        <w:t>se</w:t>
      </w:r>
      <w:r>
        <w:rPr>
          <w:spacing w:val="-1"/>
          <w:sz w:val="15"/>
        </w:rPr>
        <w:t xml:space="preserve"> </w:t>
      </w:r>
      <w:r>
        <w:rPr>
          <w:sz w:val="15"/>
        </w:rPr>
        <w:t>refiere</w:t>
      </w:r>
      <w:r>
        <w:rPr>
          <w:spacing w:val="-1"/>
          <w:sz w:val="15"/>
        </w:rPr>
        <w:t xml:space="preserve"> </w:t>
      </w:r>
      <w:r>
        <w:rPr>
          <w:sz w:val="15"/>
        </w:rPr>
        <w:t>a</w:t>
      </w:r>
      <w:r>
        <w:rPr>
          <w:spacing w:val="-1"/>
          <w:sz w:val="15"/>
        </w:rPr>
        <w:t xml:space="preserve"> </w:t>
      </w:r>
      <w:r>
        <w:rPr>
          <w:sz w:val="15"/>
        </w:rPr>
        <w:t>las</w:t>
      </w:r>
      <w:r>
        <w:rPr>
          <w:spacing w:val="-1"/>
          <w:sz w:val="15"/>
        </w:rPr>
        <w:t xml:space="preserve"> </w:t>
      </w:r>
      <w:r>
        <w:rPr>
          <w:sz w:val="15"/>
        </w:rPr>
        <w:t>obligaciones</w:t>
      </w:r>
      <w:r>
        <w:rPr>
          <w:spacing w:val="-1"/>
          <w:sz w:val="15"/>
        </w:rPr>
        <w:t xml:space="preserve"> </w:t>
      </w:r>
      <w:r>
        <w:rPr>
          <w:sz w:val="15"/>
        </w:rPr>
        <w:t>de</w:t>
      </w:r>
      <w:r>
        <w:rPr>
          <w:spacing w:val="-1"/>
          <w:sz w:val="15"/>
        </w:rPr>
        <w:t xml:space="preserve"> </w:t>
      </w:r>
      <w:r>
        <w:rPr>
          <w:sz w:val="15"/>
        </w:rPr>
        <w:t>los</w:t>
      </w:r>
      <w:r>
        <w:rPr>
          <w:spacing w:val="-1"/>
          <w:sz w:val="15"/>
        </w:rPr>
        <w:t xml:space="preserve"> </w:t>
      </w:r>
      <w:r>
        <w:rPr>
          <w:sz w:val="15"/>
        </w:rPr>
        <w:t>Estados</w:t>
      </w:r>
      <w:r>
        <w:rPr>
          <w:spacing w:val="-1"/>
          <w:sz w:val="15"/>
        </w:rPr>
        <w:t xml:space="preserve"> </w:t>
      </w:r>
      <w:r>
        <w:rPr>
          <w:sz w:val="15"/>
        </w:rPr>
        <w:t>de</w:t>
      </w:r>
      <w:r>
        <w:rPr>
          <w:spacing w:val="-1"/>
          <w:sz w:val="15"/>
        </w:rPr>
        <w:t xml:space="preserve"> </w:t>
      </w:r>
      <w:r>
        <w:rPr>
          <w:sz w:val="15"/>
        </w:rPr>
        <w:t>eliminar</w:t>
      </w:r>
      <w:r>
        <w:rPr>
          <w:spacing w:val="-1"/>
          <w:sz w:val="15"/>
        </w:rPr>
        <w:t xml:space="preserve"> </w:t>
      </w:r>
      <w:r>
        <w:rPr>
          <w:sz w:val="15"/>
        </w:rPr>
        <w:t>la</w:t>
      </w:r>
      <w:r>
        <w:rPr>
          <w:spacing w:val="-1"/>
          <w:sz w:val="15"/>
        </w:rPr>
        <w:t xml:space="preserve"> </w:t>
      </w:r>
      <w:r>
        <w:rPr>
          <w:sz w:val="15"/>
        </w:rPr>
        <w:t>discriminación</w:t>
      </w:r>
      <w:r>
        <w:rPr>
          <w:spacing w:val="-1"/>
          <w:sz w:val="15"/>
        </w:rPr>
        <w:t xml:space="preserve"> </w:t>
      </w:r>
      <w:r>
        <w:rPr>
          <w:sz w:val="15"/>
        </w:rPr>
        <w:t>basada</w:t>
      </w:r>
      <w:r>
        <w:rPr>
          <w:spacing w:val="-1"/>
          <w:sz w:val="15"/>
        </w:rPr>
        <w:t xml:space="preserve"> </w:t>
      </w:r>
      <w:r>
        <w:rPr>
          <w:sz w:val="15"/>
        </w:rPr>
        <w:t>en</w:t>
      </w:r>
      <w:r>
        <w:rPr>
          <w:spacing w:val="-1"/>
          <w:sz w:val="15"/>
        </w:rPr>
        <w:t xml:space="preserve"> </w:t>
      </w:r>
      <w:r>
        <w:rPr>
          <w:sz w:val="15"/>
        </w:rPr>
        <w:t>el</w:t>
      </w:r>
      <w:r>
        <w:rPr>
          <w:spacing w:val="-1"/>
          <w:sz w:val="15"/>
        </w:rPr>
        <w:t xml:space="preserve"> </w:t>
      </w:r>
      <w:r>
        <w:rPr>
          <w:sz w:val="15"/>
        </w:rPr>
        <w:t>género</w:t>
      </w:r>
      <w:r>
        <w:rPr>
          <w:spacing w:val="-1"/>
          <w:sz w:val="15"/>
        </w:rPr>
        <w:t xml:space="preserve"> </w:t>
      </w:r>
      <w:r>
        <w:rPr>
          <w:sz w:val="15"/>
        </w:rPr>
        <w:t>y</w:t>
      </w:r>
      <w:r>
        <w:rPr>
          <w:spacing w:val="-1"/>
          <w:sz w:val="15"/>
        </w:rPr>
        <w:t xml:space="preserve"> </w:t>
      </w:r>
      <w:r>
        <w:rPr>
          <w:sz w:val="15"/>
        </w:rPr>
        <w:t>hacer</w:t>
      </w:r>
      <w:r>
        <w:rPr>
          <w:spacing w:val="-1"/>
          <w:sz w:val="15"/>
        </w:rPr>
        <w:t xml:space="preserve"> </w:t>
      </w:r>
      <w:r>
        <w:rPr>
          <w:sz w:val="15"/>
        </w:rPr>
        <w:t>realidad</w:t>
      </w:r>
      <w:r>
        <w:rPr>
          <w:spacing w:val="-1"/>
          <w:sz w:val="15"/>
        </w:rPr>
        <w:t xml:space="preserve"> </w:t>
      </w:r>
      <w:r>
        <w:rPr>
          <w:sz w:val="15"/>
        </w:rPr>
        <w:t>los</w:t>
      </w:r>
      <w:r>
        <w:rPr>
          <w:spacing w:val="-1"/>
          <w:sz w:val="15"/>
        </w:rPr>
        <w:t xml:space="preserve"> </w:t>
      </w:r>
      <w:r>
        <w:rPr>
          <w:sz w:val="15"/>
        </w:rPr>
        <w:t>derechos</w:t>
      </w:r>
      <w:r>
        <w:rPr>
          <w:spacing w:val="-1"/>
          <w:sz w:val="15"/>
        </w:rPr>
        <w:t xml:space="preserve"> </w:t>
      </w:r>
      <w:r>
        <w:rPr>
          <w:sz w:val="15"/>
        </w:rPr>
        <w:t>de las comunidades minoritarias. También han surgido otras cuestiones jurídicas, incluidas las relativas a los intentos de justificar la discriminación</w:t>
      </w:r>
      <w:r>
        <w:rPr>
          <w:spacing w:val="-1"/>
          <w:sz w:val="15"/>
        </w:rPr>
        <w:t xml:space="preserve"> </w:t>
      </w:r>
      <w:r>
        <w:rPr>
          <w:sz w:val="15"/>
        </w:rPr>
        <w:t>haciendo</w:t>
      </w:r>
      <w:r>
        <w:rPr>
          <w:spacing w:val="-1"/>
          <w:sz w:val="15"/>
        </w:rPr>
        <w:t xml:space="preserve"> </w:t>
      </w:r>
      <w:r>
        <w:rPr>
          <w:sz w:val="15"/>
        </w:rPr>
        <w:t>referencia</w:t>
      </w:r>
      <w:r>
        <w:rPr>
          <w:spacing w:val="-1"/>
          <w:sz w:val="15"/>
        </w:rPr>
        <w:t xml:space="preserve"> </w:t>
      </w:r>
      <w:r>
        <w:rPr>
          <w:sz w:val="15"/>
        </w:rPr>
        <w:t>a</w:t>
      </w:r>
      <w:r>
        <w:rPr>
          <w:spacing w:val="-1"/>
          <w:sz w:val="15"/>
        </w:rPr>
        <w:t xml:space="preserve"> </w:t>
      </w:r>
      <w:r>
        <w:rPr>
          <w:sz w:val="15"/>
        </w:rPr>
        <w:t>las</w:t>
      </w:r>
      <w:r>
        <w:rPr>
          <w:spacing w:val="-1"/>
          <w:sz w:val="15"/>
        </w:rPr>
        <w:t xml:space="preserve"> </w:t>
      </w:r>
      <w:r>
        <w:rPr>
          <w:sz w:val="15"/>
        </w:rPr>
        <w:t>creencias</w:t>
      </w:r>
      <w:r>
        <w:rPr>
          <w:spacing w:val="-1"/>
          <w:sz w:val="15"/>
        </w:rPr>
        <w:t xml:space="preserve"> </w:t>
      </w:r>
      <w:r>
        <w:rPr>
          <w:sz w:val="15"/>
        </w:rPr>
        <w:t>religiosas</w:t>
      </w:r>
      <w:r>
        <w:rPr>
          <w:spacing w:val="-1"/>
          <w:sz w:val="15"/>
        </w:rPr>
        <w:t xml:space="preserve"> </w:t>
      </w:r>
      <w:r>
        <w:rPr>
          <w:sz w:val="15"/>
        </w:rPr>
        <w:t>o</w:t>
      </w:r>
      <w:r>
        <w:rPr>
          <w:spacing w:val="-1"/>
          <w:sz w:val="15"/>
        </w:rPr>
        <w:t xml:space="preserve"> </w:t>
      </w:r>
      <w:r>
        <w:rPr>
          <w:sz w:val="15"/>
        </w:rPr>
        <w:t>culturales</w:t>
      </w:r>
      <w:r>
        <w:rPr>
          <w:spacing w:val="-1"/>
          <w:sz w:val="15"/>
        </w:rPr>
        <w:t xml:space="preserve"> </w:t>
      </w:r>
      <w:r>
        <w:rPr>
          <w:sz w:val="15"/>
        </w:rPr>
        <w:t>de</w:t>
      </w:r>
      <w:r>
        <w:rPr>
          <w:spacing w:val="-1"/>
          <w:sz w:val="15"/>
        </w:rPr>
        <w:t xml:space="preserve"> </w:t>
      </w:r>
      <w:r>
        <w:rPr>
          <w:sz w:val="15"/>
        </w:rPr>
        <w:t>la</w:t>
      </w:r>
      <w:r>
        <w:rPr>
          <w:spacing w:val="-1"/>
          <w:sz w:val="15"/>
        </w:rPr>
        <w:t xml:space="preserve"> </w:t>
      </w:r>
      <w:r>
        <w:rPr>
          <w:sz w:val="15"/>
        </w:rPr>
        <w:t>parte</w:t>
      </w:r>
      <w:r>
        <w:rPr>
          <w:spacing w:val="-1"/>
          <w:sz w:val="15"/>
        </w:rPr>
        <w:t xml:space="preserve"> </w:t>
      </w:r>
      <w:r>
        <w:rPr>
          <w:sz w:val="15"/>
        </w:rPr>
        <w:t>discriminadora. Algunas</w:t>
      </w:r>
      <w:r>
        <w:rPr>
          <w:spacing w:val="-1"/>
          <w:sz w:val="15"/>
        </w:rPr>
        <w:t xml:space="preserve"> </w:t>
      </w:r>
      <w:r>
        <w:rPr>
          <w:sz w:val="15"/>
        </w:rPr>
        <w:t>de</w:t>
      </w:r>
      <w:r>
        <w:rPr>
          <w:spacing w:val="-1"/>
          <w:sz w:val="15"/>
        </w:rPr>
        <w:t xml:space="preserve"> </w:t>
      </w:r>
      <w:r>
        <w:rPr>
          <w:sz w:val="15"/>
        </w:rPr>
        <w:t>estas</w:t>
      </w:r>
      <w:r>
        <w:rPr>
          <w:spacing w:val="-1"/>
          <w:sz w:val="15"/>
        </w:rPr>
        <w:t xml:space="preserve"> </w:t>
      </w:r>
      <w:r>
        <w:rPr>
          <w:sz w:val="15"/>
        </w:rPr>
        <w:t>preguntas</w:t>
      </w:r>
      <w:r>
        <w:rPr>
          <w:spacing w:val="-1"/>
          <w:sz w:val="15"/>
        </w:rPr>
        <w:t xml:space="preserve"> </w:t>
      </w:r>
      <w:r>
        <w:rPr>
          <w:sz w:val="15"/>
        </w:rPr>
        <w:t>se</w:t>
      </w:r>
      <w:r>
        <w:rPr>
          <w:spacing w:val="-1"/>
          <w:sz w:val="15"/>
        </w:rPr>
        <w:t xml:space="preserve"> </w:t>
      </w:r>
      <w:r>
        <w:rPr>
          <w:sz w:val="15"/>
        </w:rPr>
        <w:t>han expresado</w:t>
      </w:r>
      <w:r>
        <w:rPr>
          <w:spacing w:val="-1"/>
          <w:sz w:val="15"/>
        </w:rPr>
        <w:t xml:space="preserve"> </w:t>
      </w:r>
      <w:r>
        <w:rPr>
          <w:sz w:val="15"/>
        </w:rPr>
        <w:t>como</w:t>
      </w:r>
      <w:r>
        <w:rPr>
          <w:spacing w:val="-1"/>
          <w:sz w:val="15"/>
        </w:rPr>
        <w:t xml:space="preserve"> </w:t>
      </w:r>
      <w:r>
        <w:rPr>
          <w:sz w:val="15"/>
        </w:rPr>
        <w:t>las</w:t>
      </w:r>
      <w:r>
        <w:rPr>
          <w:spacing w:val="-1"/>
          <w:sz w:val="15"/>
        </w:rPr>
        <w:t xml:space="preserve"> </w:t>
      </w:r>
      <w:r>
        <w:rPr>
          <w:sz w:val="15"/>
        </w:rPr>
        <w:t>posibilidades</w:t>
      </w:r>
      <w:r>
        <w:rPr>
          <w:spacing w:val="-1"/>
          <w:sz w:val="15"/>
        </w:rPr>
        <w:t xml:space="preserve"> </w:t>
      </w:r>
      <w:r>
        <w:rPr>
          <w:sz w:val="15"/>
        </w:rPr>
        <w:t>contrastantes</w:t>
      </w:r>
      <w:r>
        <w:rPr>
          <w:spacing w:val="-2"/>
          <w:sz w:val="15"/>
        </w:rPr>
        <w:t xml:space="preserve"> </w:t>
      </w:r>
      <w:r>
        <w:rPr>
          <w:sz w:val="15"/>
        </w:rPr>
        <w:t>disponibles</w:t>
      </w:r>
      <w:r>
        <w:rPr>
          <w:spacing w:val="-1"/>
          <w:sz w:val="15"/>
        </w:rPr>
        <w:t xml:space="preserve"> </w:t>
      </w:r>
      <w:r>
        <w:rPr>
          <w:sz w:val="15"/>
        </w:rPr>
        <w:t>para</w:t>
      </w:r>
      <w:r>
        <w:rPr>
          <w:spacing w:val="-1"/>
          <w:sz w:val="15"/>
        </w:rPr>
        <w:t xml:space="preserve"> </w:t>
      </w:r>
      <w:r>
        <w:rPr>
          <w:sz w:val="15"/>
        </w:rPr>
        <w:t>los</w:t>
      </w:r>
      <w:r>
        <w:rPr>
          <w:spacing w:val="-1"/>
          <w:sz w:val="15"/>
        </w:rPr>
        <w:t xml:space="preserve"> </w:t>
      </w:r>
      <w:r>
        <w:rPr>
          <w:sz w:val="15"/>
        </w:rPr>
        <w:t>Estados</w:t>
      </w:r>
      <w:r>
        <w:rPr>
          <w:spacing w:val="-1"/>
          <w:sz w:val="15"/>
        </w:rPr>
        <w:t xml:space="preserve"> </w:t>
      </w:r>
      <w:r>
        <w:rPr>
          <w:sz w:val="15"/>
        </w:rPr>
        <w:t>para</w:t>
      </w:r>
      <w:r>
        <w:rPr>
          <w:spacing w:val="-1"/>
          <w:sz w:val="15"/>
        </w:rPr>
        <w:t xml:space="preserve"> </w:t>
      </w:r>
      <w:r>
        <w:rPr>
          <w:sz w:val="15"/>
        </w:rPr>
        <w:t>que</w:t>
      </w:r>
      <w:r>
        <w:rPr>
          <w:spacing w:val="-1"/>
          <w:sz w:val="15"/>
        </w:rPr>
        <w:t xml:space="preserve"> </w:t>
      </w:r>
      <w:r>
        <w:rPr>
          <w:sz w:val="15"/>
        </w:rPr>
        <w:t>se</w:t>
      </w:r>
      <w:r>
        <w:rPr>
          <w:spacing w:val="-1"/>
          <w:sz w:val="15"/>
        </w:rPr>
        <w:t xml:space="preserve"> </w:t>
      </w:r>
      <w:r>
        <w:rPr>
          <w:sz w:val="15"/>
        </w:rPr>
        <w:t>incluyan</w:t>
      </w:r>
      <w:r>
        <w:rPr>
          <w:spacing w:val="-1"/>
          <w:sz w:val="15"/>
        </w:rPr>
        <w:t xml:space="preserve"> </w:t>
      </w:r>
      <w:r>
        <w:rPr>
          <w:sz w:val="15"/>
        </w:rPr>
        <w:t>las</w:t>
      </w:r>
      <w:r>
        <w:rPr>
          <w:spacing w:val="-1"/>
          <w:sz w:val="15"/>
        </w:rPr>
        <w:t xml:space="preserve"> </w:t>
      </w:r>
      <w:r>
        <w:rPr>
          <w:sz w:val="15"/>
        </w:rPr>
        <w:t>demandas, en</w:t>
      </w:r>
      <w:r>
        <w:rPr>
          <w:spacing w:val="-1"/>
          <w:sz w:val="15"/>
        </w:rPr>
        <w:t xml:space="preserve"> </w:t>
      </w:r>
      <w:r>
        <w:rPr>
          <w:sz w:val="15"/>
        </w:rPr>
        <w:t>contraposición</w:t>
      </w:r>
      <w:r>
        <w:rPr>
          <w:spacing w:val="-1"/>
          <w:sz w:val="15"/>
        </w:rPr>
        <w:t xml:space="preserve"> </w:t>
      </w:r>
      <w:r>
        <w:rPr>
          <w:sz w:val="15"/>
        </w:rPr>
        <w:t>a</w:t>
      </w:r>
      <w:r>
        <w:rPr>
          <w:spacing w:val="-1"/>
          <w:sz w:val="15"/>
        </w:rPr>
        <w:t xml:space="preserve"> </w:t>
      </w:r>
      <w:r>
        <w:rPr>
          <w:sz w:val="15"/>
        </w:rPr>
        <w:t>las solicitudes para “optar por no participar” en sistemas inclusivos.856</w:t>
      </w:r>
    </w:p>
    <w:p w14:paraId="0EAE8CC8" w14:textId="77777777" w:rsidR="0014798C" w:rsidRDefault="004E1F0B">
      <w:pPr>
        <w:spacing w:line="348" w:lineRule="auto"/>
        <w:ind w:left="1107" w:right="1272" w:hanging="2"/>
        <w:rPr>
          <w:sz w:val="15"/>
        </w:rPr>
      </w:pPr>
      <w:r>
        <w:rPr>
          <w:sz w:val="15"/>
        </w:rPr>
        <w:t>Los</w:t>
      </w:r>
      <w:r>
        <w:rPr>
          <w:spacing w:val="-1"/>
          <w:sz w:val="15"/>
        </w:rPr>
        <w:t xml:space="preserve"> </w:t>
      </w:r>
      <w:r>
        <w:rPr>
          <w:sz w:val="15"/>
        </w:rPr>
        <w:t>órganos</w:t>
      </w:r>
      <w:r>
        <w:rPr>
          <w:spacing w:val="-1"/>
          <w:sz w:val="15"/>
        </w:rPr>
        <w:t xml:space="preserve"> </w:t>
      </w:r>
      <w:r>
        <w:rPr>
          <w:sz w:val="15"/>
        </w:rPr>
        <w:t>de</w:t>
      </w:r>
      <w:r>
        <w:rPr>
          <w:spacing w:val="-1"/>
          <w:sz w:val="15"/>
        </w:rPr>
        <w:t xml:space="preserve"> </w:t>
      </w:r>
      <w:r>
        <w:rPr>
          <w:sz w:val="15"/>
        </w:rPr>
        <w:t>tratados</w:t>
      </w:r>
      <w:r>
        <w:rPr>
          <w:spacing w:val="-1"/>
          <w:sz w:val="15"/>
        </w:rPr>
        <w:t xml:space="preserve"> </w:t>
      </w:r>
      <w:r>
        <w:rPr>
          <w:sz w:val="15"/>
        </w:rPr>
        <w:t>de</w:t>
      </w:r>
      <w:r>
        <w:rPr>
          <w:spacing w:val="-1"/>
          <w:sz w:val="15"/>
        </w:rPr>
        <w:t xml:space="preserve"> </w:t>
      </w:r>
      <w:r>
        <w:rPr>
          <w:sz w:val="15"/>
        </w:rPr>
        <w:t>las</w:t>
      </w:r>
      <w:r>
        <w:rPr>
          <w:spacing w:val="-1"/>
          <w:sz w:val="15"/>
        </w:rPr>
        <w:t xml:space="preserve"> </w:t>
      </w:r>
      <w:r>
        <w:rPr>
          <w:sz w:val="15"/>
        </w:rPr>
        <w:t>Naciones</w:t>
      </w:r>
      <w:r>
        <w:rPr>
          <w:spacing w:val="-1"/>
          <w:sz w:val="15"/>
        </w:rPr>
        <w:t xml:space="preserve"> </w:t>
      </w:r>
      <w:r>
        <w:rPr>
          <w:sz w:val="15"/>
        </w:rPr>
        <w:t>Unidas</w:t>
      </w:r>
      <w:r>
        <w:rPr>
          <w:spacing w:val="-1"/>
          <w:sz w:val="15"/>
        </w:rPr>
        <w:t xml:space="preserve"> </w:t>
      </w:r>
      <w:r>
        <w:rPr>
          <w:sz w:val="15"/>
        </w:rPr>
        <w:t>han</w:t>
      </w:r>
      <w:r>
        <w:rPr>
          <w:spacing w:val="-1"/>
          <w:sz w:val="15"/>
        </w:rPr>
        <w:t xml:space="preserve"> </w:t>
      </w:r>
      <w:r>
        <w:rPr>
          <w:sz w:val="15"/>
        </w:rPr>
        <w:t>reconocido</w:t>
      </w:r>
      <w:r>
        <w:rPr>
          <w:spacing w:val="-1"/>
          <w:sz w:val="15"/>
        </w:rPr>
        <w:t xml:space="preserve"> </w:t>
      </w:r>
      <w:r>
        <w:rPr>
          <w:sz w:val="15"/>
        </w:rPr>
        <w:t>sistemáticamente</w:t>
      </w:r>
      <w:r>
        <w:rPr>
          <w:spacing w:val="-1"/>
          <w:sz w:val="15"/>
        </w:rPr>
        <w:t xml:space="preserve"> </w:t>
      </w:r>
      <w:r>
        <w:rPr>
          <w:sz w:val="15"/>
        </w:rPr>
        <w:t>que</w:t>
      </w:r>
      <w:r>
        <w:rPr>
          <w:spacing w:val="-1"/>
          <w:sz w:val="15"/>
        </w:rPr>
        <w:t xml:space="preserve"> </w:t>
      </w:r>
      <w:r>
        <w:rPr>
          <w:sz w:val="15"/>
        </w:rPr>
        <w:t>las</w:t>
      </w:r>
      <w:r>
        <w:rPr>
          <w:spacing w:val="-1"/>
          <w:sz w:val="15"/>
        </w:rPr>
        <w:t xml:space="preserve"> </w:t>
      </w:r>
      <w:r>
        <w:rPr>
          <w:sz w:val="15"/>
        </w:rPr>
        <w:t>medidas</w:t>
      </w:r>
      <w:r>
        <w:rPr>
          <w:spacing w:val="-1"/>
          <w:sz w:val="15"/>
        </w:rPr>
        <w:t xml:space="preserve"> </w:t>
      </w:r>
      <w:r>
        <w:rPr>
          <w:sz w:val="15"/>
        </w:rPr>
        <w:t>adoptadas</w:t>
      </w:r>
      <w:r>
        <w:rPr>
          <w:spacing w:val="-1"/>
          <w:sz w:val="15"/>
        </w:rPr>
        <w:t xml:space="preserve"> </w:t>
      </w:r>
      <w:r>
        <w:rPr>
          <w:sz w:val="15"/>
        </w:rPr>
        <w:t>para</w:t>
      </w:r>
      <w:r>
        <w:rPr>
          <w:spacing w:val="-1"/>
          <w:sz w:val="15"/>
        </w:rPr>
        <w:t xml:space="preserve"> </w:t>
      </w:r>
      <w:r>
        <w:rPr>
          <w:sz w:val="15"/>
        </w:rPr>
        <w:t>la</w:t>
      </w:r>
      <w:r>
        <w:rPr>
          <w:spacing w:val="-1"/>
          <w:sz w:val="15"/>
        </w:rPr>
        <w:t xml:space="preserve"> </w:t>
      </w:r>
      <w:r>
        <w:rPr>
          <w:sz w:val="15"/>
        </w:rPr>
        <w:t>realización</w:t>
      </w:r>
      <w:r>
        <w:rPr>
          <w:spacing w:val="-1"/>
          <w:sz w:val="15"/>
        </w:rPr>
        <w:t xml:space="preserve"> </w:t>
      </w:r>
      <w:r>
        <w:rPr>
          <w:sz w:val="15"/>
        </w:rPr>
        <w:t>de</w:t>
      </w:r>
      <w:r>
        <w:rPr>
          <w:spacing w:val="-1"/>
          <w:sz w:val="15"/>
        </w:rPr>
        <w:t xml:space="preserve"> </w:t>
      </w:r>
      <w:r>
        <w:rPr>
          <w:sz w:val="15"/>
        </w:rPr>
        <w:t>los derechos</w:t>
      </w:r>
      <w:r>
        <w:rPr>
          <w:spacing w:val="-1"/>
          <w:sz w:val="15"/>
        </w:rPr>
        <w:t xml:space="preserve"> </w:t>
      </w:r>
      <w:r>
        <w:rPr>
          <w:sz w:val="15"/>
        </w:rPr>
        <w:t>de</w:t>
      </w:r>
      <w:r>
        <w:rPr>
          <w:spacing w:val="-1"/>
          <w:sz w:val="15"/>
        </w:rPr>
        <w:t xml:space="preserve"> </w:t>
      </w:r>
      <w:r>
        <w:rPr>
          <w:sz w:val="15"/>
        </w:rPr>
        <w:t>las</w:t>
      </w:r>
      <w:r>
        <w:rPr>
          <w:spacing w:val="-1"/>
          <w:sz w:val="15"/>
        </w:rPr>
        <w:t xml:space="preserve"> </w:t>
      </w:r>
      <w:r>
        <w:rPr>
          <w:sz w:val="15"/>
        </w:rPr>
        <w:t>minorías</w:t>
      </w:r>
      <w:r>
        <w:rPr>
          <w:spacing w:val="-1"/>
          <w:sz w:val="15"/>
        </w:rPr>
        <w:t xml:space="preserve"> </w:t>
      </w:r>
      <w:r>
        <w:rPr>
          <w:sz w:val="15"/>
        </w:rPr>
        <w:t>no</w:t>
      </w:r>
      <w:r>
        <w:rPr>
          <w:spacing w:val="-1"/>
          <w:sz w:val="15"/>
        </w:rPr>
        <w:t xml:space="preserve"> </w:t>
      </w:r>
      <w:r>
        <w:rPr>
          <w:sz w:val="15"/>
        </w:rPr>
        <w:t>pueden</w:t>
      </w:r>
      <w:r>
        <w:rPr>
          <w:spacing w:val="-1"/>
          <w:sz w:val="15"/>
        </w:rPr>
        <w:t xml:space="preserve"> </w:t>
      </w:r>
      <w:r>
        <w:rPr>
          <w:sz w:val="15"/>
        </w:rPr>
        <w:t>dar</w:t>
      </w:r>
      <w:r>
        <w:rPr>
          <w:spacing w:val="-1"/>
          <w:sz w:val="15"/>
        </w:rPr>
        <w:t xml:space="preserve"> </w:t>
      </w:r>
      <w:r>
        <w:rPr>
          <w:sz w:val="15"/>
        </w:rPr>
        <w:t>lugar</w:t>
      </w:r>
      <w:r>
        <w:rPr>
          <w:spacing w:val="-1"/>
          <w:sz w:val="15"/>
        </w:rPr>
        <w:t xml:space="preserve"> </w:t>
      </w:r>
      <w:r>
        <w:rPr>
          <w:sz w:val="15"/>
        </w:rPr>
        <w:t>a</w:t>
      </w:r>
      <w:r>
        <w:rPr>
          <w:spacing w:val="-1"/>
          <w:sz w:val="15"/>
        </w:rPr>
        <w:t xml:space="preserve"> </w:t>
      </w:r>
      <w:r>
        <w:rPr>
          <w:sz w:val="15"/>
        </w:rPr>
        <w:t>discriminación</w:t>
      </w:r>
      <w:r>
        <w:rPr>
          <w:spacing w:val="-1"/>
          <w:sz w:val="15"/>
        </w:rPr>
        <w:t xml:space="preserve"> </w:t>
      </w:r>
      <w:r>
        <w:rPr>
          <w:sz w:val="15"/>
        </w:rPr>
        <w:t>contra</w:t>
      </w:r>
      <w:r>
        <w:rPr>
          <w:spacing w:val="-1"/>
          <w:sz w:val="15"/>
        </w:rPr>
        <w:t xml:space="preserve"> </w:t>
      </w:r>
      <w:r>
        <w:rPr>
          <w:sz w:val="15"/>
        </w:rPr>
        <w:t>las</w:t>
      </w:r>
      <w:r>
        <w:rPr>
          <w:spacing w:val="-1"/>
          <w:sz w:val="15"/>
        </w:rPr>
        <w:t xml:space="preserve"> </w:t>
      </w:r>
      <w:r>
        <w:rPr>
          <w:sz w:val="15"/>
        </w:rPr>
        <w:t>mujeres</w:t>
      </w:r>
      <w:r>
        <w:rPr>
          <w:spacing w:val="-1"/>
          <w:sz w:val="15"/>
        </w:rPr>
        <w:t xml:space="preserve"> </w:t>
      </w:r>
      <w:r>
        <w:rPr>
          <w:sz w:val="15"/>
        </w:rPr>
        <w:t>o</w:t>
      </w:r>
      <w:r>
        <w:rPr>
          <w:spacing w:val="-1"/>
          <w:sz w:val="15"/>
        </w:rPr>
        <w:t xml:space="preserve"> </w:t>
      </w:r>
      <w:r>
        <w:rPr>
          <w:sz w:val="15"/>
        </w:rPr>
        <w:t>las</w:t>
      </w:r>
      <w:r>
        <w:rPr>
          <w:spacing w:val="-1"/>
          <w:sz w:val="15"/>
        </w:rPr>
        <w:t xml:space="preserve"> </w:t>
      </w:r>
      <w:r>
        <w:rPr>
          <w:sz w:val="15"/>
        </w:rPr>
        <w:t>niñas,</w:t>
      </w:r>
      <w:r>
        <w:rPr>
          <w:spacing w:val="-1"/>
          <w:sz w:val="15"/>
        </w:rPr>
        <w:t xml:space="preserve"> </w:t>
      </w:r>
      <w:r>
        <w:rPr>
          <w:sz w:val="15"/>
        </w:rPr>
        <w:t>o</w:t>
      </w:r>
      <w:r>
        <w:rPr>
          <w:spacing w:val="-1"/>
          <w:sz w:val="15"/>
        </w:rPr>
        <w:t xml:space="preserve"> </w:t>
      </w:r>
      <w:r>
        <w:rPr>
          <w:sz w:val="15"/>
        </w:rPr>
        <w:t>por</w:t>
      </w:r>
      <w:r>
        <w:rPr>
          <w:spacing w:val="-1"/>
          <w:sz w:val="15"/>
        </w:rPr>
        <w:t xml:space="preserve"> </w:t>
      </w:r>
      <w:r>
        <w:rPr>
          <w:sz w:val="15"/>
        </w:rPr>
        <w:t>otros</w:t>
      </w:r>
      <w:r>
        <w:rPr>
          <w:spacing w:val="-1"/>
          <w:sz w:val="15"/>
        </w:rPr>
        <w:t xml:space="preserve"> </w:t>
      </w:r>
      <w:r>
        <w:rPr>
          <w:sz w:val="15"/>
        </w:rPr>
        <w:t>motivos.857</w:t>
      </w:r>
      <w:r>
        <w:rPr>
          <w:spacing w:val="-1"/>
          <w:sz w:val="15"/>
        </w:rPr>
        <w:t xml:space="preserve"> </w:t>
      </w:r>
      <w:proofErr w:type="spellStart"/>
      <w:r>
        <w:rPr>
          <w:sz w:val="15"/>
        </w:rPr>
        <w:t>Aún</w:t>
      </w:r>
      <w:proofErr w:type="spellEnd"/>
      <w:r>
        <w:rPr>
          <w:spacing w:val="-1"/>
          <w:sz w:val="15"/>
        </w:rPr>
        <w:t xml:space="preserve"> </w:t>
      </w:r>
      <w:r>
        <w:rPr>
          <w:sz w:val="15"/>
        </w:rPr>
        <w:t>así,</w:t>
      </w:r>
      <w:r>
        <w:rPr>
          <w:spacing w:val="-1"/>
          <w:sz w:val="15"/>
        </w:rPr>
        <w:t xml:space="preserve"> </w:t>
      </w:r>
      <w:r>
        <w:rPr>
          <w:sz w:val="15"/>
        </w:rPr>
        <w:t>persisten algunas</w:t>
      </w:r>
      <w:r>
        <w:rPr>
          <w:spacing w:val="-7"/>
          <w:sz w:val="15"/>
        </w:rPr>
        <w:t xml:space="preserve"> </w:t>
      </w:r>
      <w:r>
        <w:rPr>
          <w:sz w:val="15"/>
        </w:rPr>
        <w:t>tensiones</w:t>
      </w:r>
      <w:r>
        <w:rPr>
          <w:spacing w:val="-7"/>
          <w:sz w:val="15"/>
        </w:rPr>
        <w:t xml:space="preserve"> </w:t>
      </w:r>
      <w:r>
        <w:rPr>
          <w:sz w:val="15"/>
        </w:rPr>
        <w:t>genuinas.</w:t>
      </w:r>
      <w:r>
        <w:rPr>
          <w:spacing w:val="-6"/>
          <w:sz w:val="15"/>
        </w:rPr>
        <w:t xml:space="preserve"> </w:t>
      </w:r>
      <w:r>
        <w:rPr>
          <w:sz w:val="15"/>
        </w:rPr>
        <w:t>Por</w:t>
      </w:r>
      <w:r>
        <w:rPr>
          <w:spacing w:val="-7"/>
          <w:sz w:val="15"/>
        </w:rPr>
        <w:t xml:space="preserve"> </w:t>
      </w:r>
      <w:r>
        <w:rPr>
          <w:sz w:val="15"/>
        </w:rPr>
        <w:t>ejemplo,</w:t>
      </w:r>
      <w:r>
        <w:rPr>
          <w:spacing w:val="-6"/>
          <w:sz w:val="15"/>
        </w:rPr>
        <w:t xml:space="preserve"> </w:t>
      </w:r>
      <w:r>
        <w:rPr>
          <w:sz w:val="15"/>
        </w:rPr>
        <w:t>como</w:t>
      </w:r>
      <w:r>
        <w:rPr>
          <w:spacing w:val="-7"/>
          <w:sz w:val="15"/>
        </w:rPr>
        <w:t xml:space="preserve"> </w:t>
      </w:r>
      <w:r>
        <w:rPr>
          <w:sz w:val="15"/>
        </w:rPr>
        <w:t>se</w:t>
      </w:r>
      <w:r>
        <w:rPr>
          <w:spacing w:val="-7"/>
          <w:sz w:val="15"/>
        </w:rPr>
        <w:t xml:space="preserve"> </w:t>
      </w:r>
      <w:r>
        <w:rPr>
          <w:sz w:val="15"/>
        </w:rPr>
        <w:t>señala</w:t>
      </w:r>
      <w:r>
        <w:rPr>
          <w:spacing w:val="-7"/>
          <w:sz w:val="15"/>
        </w:rPr>
        <w:t xml:space="preserve"> </w:t>
      </w:r>
      <w:r>
        <w:rPr>
          <w:sz w:val="15"/>
        </w:rPr>
        <w:t>más</w:t>
      </w:r>
      <w:r>
        <w:rPr>
          <w:spacing w:val="-7"/>
          <w:sz w:val="15"/>
        </w:rPr>
        <w:t xml:space="preserve"> </w:t>
      </w:r>
      <w:r>
        <w:rPr>
          <w:sz w:val="15"/>
        </w:rPr>
        <w:t>adelante,</w:t>
      </w:r>
      <w:r>
        <w:rPr>
          <w:spacing w:val="-6"/>
          <w:sz w:val="15"/>
        </w:rPr>
        <w:t xml:space="preserve"> </w:t>
      </w:r>
      <w:r>
        <w:rPr>
          <w:sz w:val="15"/>
        </w:rPr>
        <w:t>el</w:t>
      </w:r>
      <w:r>
        <w:rPr>
          <w:spacing w:val="-7"/>
          <w:sz w:val="15"/>
        </w:rPr>
        <w:t xml:space="preserve"> </w:t>
      </w:r>
      <w:r>
        <w:rPr>
          <w:sz w:val="15"/>
        </w:rPr>
        <w:t>significado</w:t>
      </w:r>
      <w:r>
        <w:rPr>
          <w:spacing w:val="-7"/>
          <w:sz w:val="15"/>
        </w:rPr>
        <w:t xml:space="preserve"> </w:t>
      </w:r>
      <w:r>
        <w:rPr>
          <w:sz w:val="15"/>
        </w:rPr>
        <w:t>de</w:t>
      </w:r>
      <w:r>
        <w:rPr>
          <w:spacing w:val="-7"/>
          <w:sz w:val="15"/>
        </w:rPr>
        <w:t xml:space="preserve"> </w:t>
      </w:r>
      <w:r>
        <w:rPr>
          <w:sz w:val="15"/>
        </w:rPr>
        <w:t>igualdad</w:t>
      </w:r>
      <w:r>
        <w:rPr>
          <w:spacing w:val="-7"/>
          <w:sz w:val="15"/>
        </w:rPr>
        <w:t xml:space="preserve"> </w:t>
      </w:r>
      <w:r>
        <w:rPr>
          <w:sz w:val="15"/>
        </w:rPr>
        <w:t>de</w:t>
      </w:r>
      <w:r>
        <w:rPr>
          <w:spacing w:val="-7"/>
          <w:sz w:val="15"/>
        </w:rPr>
        <w:t xml:space="preserve"> </w:t>
      </w:r>
      <w:r>
        <w:rPr>
          <w:sz w:val="15"/>
        </w:rPr>
        <w:t>acceso</w:t>
      </w:r>
      <w:r>
        <w:rPr>
          <w:spacing w:val="-7"/>
          <w:sz w:val="15"/>
        </w:rPr>
        <w:t xml:space="preserve"> </w:t>
      </w:r>
      <w:r>
        <w:rPr>
          <w:sz w:val="15"/>
        </w:rPr>
        <w:t>a</w:t>
      </w:r>
      <w:r>
        <w:rPr>
          <w:spacing w:val="-7"/>
          <w:sz w:val="15"/>
        </w:rPr>
        <w:t xml:space="preserve"> </w:t>
      </w:r>
      <w:r>
        <w:rPr>
          <w:sz w:val="15"/>
        </w:rPr>
        <w:t>la</w:t>
      </w:r>
      <w:r>
        <w:rPr>
          <w:spacing w:val="-7"/>
          <w:sz w:val="15"/>
        </w:rPr>
        <w:t xml:space="preserve"> </w:t>
      </w:r>
      <w:r>
        <w:rPr>
          <w:sz w:val="15"/>
        </w:rPr>
        <w:t>educación</w:t>
      </w:r>
      <w:r>
        <w:rPr>
          <w:spacing w:val="-7"/>
          <w:sz w:val="15"/>
        </w:rPr>
        <w:t xml:space="preserve"> </w:t>
      </w:r>
      <w:r>
        <w:rPr>
          <w:sz w:val="15"/>
        </w:rPr>
        <w:t>en</w:t>
      </w:r>
      <w:r>
        <w:rPr>
          <w:spacing w:val="-7"/>
          <w:sz w:val="15"/>
        </w:rPr>
        <w:t xml:space="preserve"> </w:t>
      </w:r>
      <w:r>
        <w:rPr>
          <w:sz w:val="15"/>
        </w:rPr>
        <w:t>un</w:t>
      </w:r>
      <w:r>
        <w:rPr>
          <w:spacing w:val="-7"/>
          <w:sz w:val="15"/>
        </w:rPr>
        <w:t xml:space="preserve"> </w:t>
      </w:r>
      <w:r>
        <w:rPr>
          <w:sz w:val="15"/>
        </w:rPr>
        <w:t>contexto de lengua minoritaria no está completamente resuelto.</w:t>
      </w:r>
    </w:p>
    <w:p w14:paraId="595B8EB9" w14:textId="77777777" w:rsidR="0014798C" w:rsidRDefault="004E1F0B">
      <w:pPr>
        <w:spacing w:before="166" w:line="348" w:lineRule="auto"/>
        <w:ind w:left="1105" w:right="1272" w:firstLine="9"/>
        <w:rPr>
          <w:sz w:val="15"/>
        </w:rPr>
      </w:pPr>
      <w:r>
        <w:rPr>
          <w:sz w:val="15"/>
        </w:rPr>
        <w:t>Una</w:t>
      </w:r>
      <w:r>
        <w:rPr>
          <w:spacing w:val="-7"/>
          <w:sz w:val="15"/>
        </w:rPr>
        <w:t xml:space="preserve"> </w:t>
      </w:r>
      <w:r>
        <w:rPr>
          <w:sz w:val="15"/>
        </w:rPr>
        <w:t>cuestión</w:t>
      </w:r>
      <w:r>
        <w:rPr>
          <w:spacing w:val="-7"/>
          <w:sz w:val="15"/>
        </w:rPr>
        <w:t xml:space="preserve"> </w:t>
      </w:r>
      <w:r>
        <w:rPr>
          <w:sz w:val="15"/>
        </w:rPr>
        <w:t>central</w:t>
      </w:r>
      <w:r>
        <w:rPr>
          <w:spacing w:val="-7"/>
          <w:sz w:val="15"/>
        </w:rPr>
        <w:t xml:space="preserve"> </w:t>
      </w:r>
      <w:r>
        <w:rPr>
          <w:sz w:val="15"/>
        </w:rPr>
        <w:t>es</w:t>
      </w:r>
      <w:r>
        <w:rPr>
          <w:spacing w:val="-7"/>
          <w:sz w:val="15"/>
        </w:rPr>
        <w:t xml:space="preserve"> </w:t>
      </w:r>
      <w:r>
        <w:rPr>
          <w:sz w:val="15"/>
        </w:rPr>
        <w:t>quién</w:t>
      </w:r>
      <w:r>
        <w:rPr>
          <w:spacing w:val="-7"/>
          <w:sz w:val="15"/>
        </w:rPr>
        <w:t xml:space="preserve"> </w:t>
      </w:r>
      <w:r>
        <w:rPr>
          <w:sz w:val="15"/>
        </w:rPr>
        <w:t>está</w:t>
      </w:r>
      <w:r>
        <w:rPr>
          <w:spacing w:val="-7"/>
          <w:sz w:val="15"/>
        </w:rPr>
        <w:t xml:space="preserve"> </w:t>
      </w:r>
      <w:r>
        <w:rPr>
          <w:sz w:val="15"/>
        </w:rPr>
        <w:t>protegido</w:t>
      </w:r>
      <w:r>
        <w:rPr>
          <w:spacing w:val="-7"/>
          <w:sz w:val="15"/>
        </w:rPr>
        <w:t xml:space="preserve"> </w:t>
      </w:r>
      <w:r>
        <w:rPr>
          <w:sz w:val="15"/>
        </w:rPr>
        <w:t>en</w:t>
      </w:r>
      <w:r>
        <w:rPr>
          <w:spacing w:val="-7"/>
          <w:sz w:val="15"/>
        </w:rPr>
        <w:t xml:space="preserve"> </w:t>
      </w:r>
      <w:r>
        <w:rPr>
          <w:sz w:val="15"/>
        </w:rPr>
        <w:t>estos</w:t>
      </w:r>
      <w:r>
        <w:rPr>
          <w:spacing w:val="-7"/>
          <w:sz w:val="15"/>
        </w:rPr>
        <w:t xml:space="preserve"> </w:t>
      </w:r>
      <w:r>
        <w:rPr>
          <w:sz w:val="15"/>
        </w:rPr>
        <w:t>dos</w:t>
      </w:r>
      <w:r>
        <w:rPr>
          <w:spacing w:val="-7"/>
          <w:sz w:val="15"/>
        </w:rPr>
        <w:t xml:space="preserve"> </w:t>
      </w:r>
      <w:r>
        <w:rPr>
          <w:sz w:val="15"/>
        </w:rPr>
        <w:t>regímenes</w:t>
      </w:r>
      <w:r>
        <w:rPr>
          <w:spacing w:val="-7"/>
          <w:sz w:val="15"/>
        </w:rPr>
        <w:t xml:space="preserve"> </w:t>
      </w:r>
      <w:r>
        <w:rPr>
          <w:sz w:val="15"/>
        </w:rPr>
        <w:t>jurídicos</w:t>
      </w:r>
      <w:r>
        <w:rPr>
          <w:spacing w:val="-7"/>
          <w:sz w:val="15"/>
        </w:rPr>
        <w:t xml:space="preserve"> </w:t>
      </w:r>
      <w:r>
        <w:rPr>
          <w:sz w:val="15"/>
        </w:rPr>
        <w:t>vecinos.</w:t>
      </w:r>
      <w:r>
        <w:rPr>
          <w:spacing w:val="-6"/>
          <w:sz w:val="15"/>
        </w:rPr>
        <w:t xml:space="preserve"> </w:t>
      </w:r>
      <w:r>
        <w:rPr>
          <w:sz w:val="15"/>
        </w:rPr>
        <w:t>Los</w:t>
      </w:r>
      <w:r>
        <w:rPr>
          <w:spacing w:val="-7"/>
          <w:sz w:val="15"/>
        </w:rPr>
        <w:t xml:space="preserve"> </w:t>
      </w:r>
      <w:r>
        <w:rPr>
          <w:sz w:val="15"/>
        </w:rPr>
        <w:t>derechos</w:t>
      </w:r>
      <w:r>
        <w:rPr>
          <w:spacing w:val="-7"/>
          <w:sz w:val="15"/>
        </w:rPr>
        <w:t xml:space="preserve"> </w:t>
      </w:r>
      <w:r>
        <w:rPr>
          <w:sz w:val="15"/>
        </w:rPr>
        <w:t>de</w:t>
      </w:r>
      <w:r>
        <w:rPr>
          <w:spacing w:val="-7"/>
          <w:sz w:val="15"/>
        </w:rPr>
        <w:t xml:space="preserve"> </w:t>
      </w:r>
      <w:r>
        <w:rPr>
          <w:sz w:val="15"/>
        </w:rPr>
        <w:t>las</w:t>
      </w:r>
      <w:r>
        <w:rPr>
          <w:spacing w:val="-7"/>
          <w:sz w:val="15"/>
        </w:rPr>
        <w:t xml:space="preserve"> </w:t>
      </w:r>
      <w:r>
        <w:rPr>
          <w:sz w:val="15"/>
        </w:rPr>
        <w:t>minorías</w:t>
      </w:r>
      <w:r>
        <w:rPr>
          <w:spacing w:val="-7"/>
          <w:sz w:val="15"/>
        </w:rPr>
        <w:t xml:space="preserve"> </w:t>
      </w:r>
      <w:r>
        <w:rPr>
          <w:sz w:val="15"/>
        </w:rPr>
        <w:t>–alineados</w:t>
      </w:r>
      <w:r>
        <w:rPr>
          <w:spacing w:val="-7"/>
          <w:sz w:val="15"/>
        </w:rPr>
        <w:t xml:space="preserve"> </w:t>
      </w:r>
      <w:r>
        <w:rPr>
          <w:sz w:val="15"/>
        </w:rPr>
        <w:t>con</w:t>
      </w:r>
      <w:r>
        <w:rPr>
          <w:spacing w:val="-7"/>
          <w:sz w:val="15"/>
        </w:rPr>
        <w:t xml:space="preserve"> </w:t>
      </w:r>
      <w:r>
        <w:rPr>
          <w:sz w:val="15"/>
        </w:rPr>
        <w:t>otros aspectos</w:t>
      </w:r>
      <w:r>
        <w:rPr>
          <w:spacing w:val="-3"/>
          <w:sz w:val="15"/>
        </w:rPr>
        <w:t xml:space="preserve"> </w:t>
      </w:r>
      <w:r>
        <w:rPr>
          <w:sz w:val="15"/>
        </w:rPr>
        <w:t>del</w:t>
      </w:r>
      <w:r>
        <w:rPr>
          <w:spacing w:val="-3"/>
          <w:sz w:val="15"/>
        </w:rPr>
        <w:t xml:space="preserve"> </w:t>
      </w:r>
      <w:r>
        <w:rPr>
          <w:sz w:val="15"/>
        </w:rPr>
        <w:t>derecho</w:t>
      </w:r>
      <w:r>
        <w:rPr>
          <w:spacing w:val="-3"/>
          <w:sz w:val="15"/>
        </w:rPr>
        <w:t xml:space="preserve"> </w:t>
      </w:r>
      <w:r>
        <w:rPr>
          <w:sz w:val="15"/>
        </w:rPr>
        <w:t>internacional</w:t>
      </w:r>
      <w:r>
        <w:rPr>
          <w:spacing w:val="-3"/>
          <w:sz w:val="15"/>
        </w:rPr>
        <w:t xml:space="preserve"> </w:t>
      </w:r>
      <w:r>
        <w:rPr>
          <w:sz w:val="15"/>
        </w:rPr>
        <w:t>de</w:t>
      </w:r>
      <w:r>
        <w:rPr>
          <w:spacing w:val="-3"/>
          <w:sz w:val="15"/>
        </w:rPr>
        <w:t xml:space="preserve"> </w:t>
      </w:r>
      <w:r>
        <w:rPr>
          <w:sz w:val="15"/>
        </w:rPr>
        <w:t>los</w:t>
      </w:r>
      <w:r>
        <w:rPr>
          <w:spacing w:val="-3"/>
          <w:sz w:val="15"/>
        </w:rPr>
        <w:t xml:space="preserve"> </w:t>
      </w:r>
      <w:r>
        <w:rPr>
          <w:sz w:val="15"/>
        </w:rPr>
        <w:t>derechos</w:t>
      </w:r>
      <w:r>
        <w:rPr>
          <w:spacing w:val="-3"/>
          <w:sz w:val="15"/>
        </w:rPr>
        <w:t xml:space="preserve"> </w:t>
      </w:r>
      <w:r>
        <w:rPr>
          <w:sz w:val="15"/>
        </w:rPr>
        <w:t>humanos–</w:t>
      </w:r>
      <w:r>
        <w:rPr>
          <w:spacing w:val="-3"/>
          <w:sz w:val="15"/>
        </w:rPr>
        <w:t xml:space="preserve"> </w:t>
      </w:r>
      <w:r>
        <w:rPr>
          <w:sz w:val="15"/>
        </w:rPr>
        <w:t>garantizan</w:t>
      </w:r>
      <w:r>
        <w:rPr>
          <w:spacing w:val="-3"/>
          <w:sz w:val="15"/>
        </w:rPr>
        <w:t xml:space="preserve"> </w:t>
      </w:r>
      <w:r>
        <w:rPr>
          <w:sz w:val="15"/>
        </w:rPr>
        <w:t>que</w:t>
      </w:r>
      <w:r>
        <w:rPr>
          <w:spacing w:val="-3"/>
          <w:sz w:val="15"/>
        </w:rPr>
        <w:t xml:space="preserve"> </w:t>
      </w:r>
      <w:r>
        <w:rPr>
          <w:sz w:val="15"/>
        </w:rPr>
        <w:t>una</w:t>
      </w:r>
      <w:r>
        <w:rPr>
          <w:spacing w:val="-3"/>
          <w:sz w:val="15"/>
        </w:rPr>
        <w:t xml:space="preserve"> </w:t>
      </w:r>
      <w:r>
        <w:rPr>
          <w:sz w:val="15"/>
        </w:rPr>
        <w:t>persona</w:t>
      </w:r>
      <w:r>
        <w:rPr>
          <w:spacing w:val="-3"/>
          <w:sz w:val="15"/>
        </w:rPr>
        <w:t xml:space="preserve"> </w:t>
      </w:r>
      <w:r>
        <w:rPr>
          <w:sz w:val="15"/>
        </w:rPr>
        <w:t>tiene</w:t>
      </w:r>
      <w:r>
        <w:rPr>
          <w:spacing w:val="-3"/>
          <w:sz w:val="15"/>
        </w:rPr>
        <w:t xml:space="preserve"> </w:t>
      </w:r>
      <w:r>
        <w:rPr>
          <w:sz w:val="15"/>
        </w:rPr>
        <w:t>el</w:t>
      </w:r>
      <w:r>
        <w:rPr>
          <w:spacing w:val="-3"/>
          <w:sz w:val="15"/>
        </w:rPr>
        <w:t xml:space="preserve"> </w:t>
      </w:r>
      <w:r>
        <w:rPr>
          <w:sz w:val="15"/>
        </w:rPr>
        <w:t>derecho</w:t>
      </w:r>
      <w:r>
        <w:rPr>
          <w:spacing w:val="-3"/>
          <w:sz w:val="15"/>
        </w:rPr>
        <w:t xml:space="preserve"> </w:t>
      </w:r>
      <w:r>
        <w:rPr>
          <w:sz w:val="15"/>
        </w:rPr>
        <w:t>de</w:t>
      </w:r>
      <w:r>
        <w:rPr>
          <w:spacing w:val="-3"/>
          <w:sz w:val="15"/>
        </w:rPr>
        <w:t xml:space="preserve"> </w:t>
      </w:r>
      <w:r>
        <w:rPr>
          <w:sz w:val="15"/>
        </w:rPr>
        <w:t>autoidentificación</w:t>
      </w:r>
      <w:r>
        <w:rPr>
          <w:spacing w:val="-3"/>
          <w:sz w:val="15"/>
        </w:rPr>
        <w:t xml:space="preserve"> </w:t>
      </w:r>
      <w:r>
        <w:rPr>
          <w:sz w:val="15"/>
        </w:rPr>
        <w:t>y autodeterminación</w:t>
      </w:r>
      <w:r>
        <w:rPr>
          <w:spacing w:val="-4"/>
          <w:sz w:val="15"/>
        </w:rPr>
        <w:t xml:space="preserve"> </w:t>
      </w:r>
      <w:r>
        <w:rPr>
          <w:sz w:val="15"/>
        </w:rPr>
        <w:t>personal.</w:t>
      </w:r>
      <w:r>
        <w:rPr>
          <w:spacing w:val="-3"/>
          <w:sz w:val="15"/>
        </w:rPr>
        <w:t xml:space="preserve"> </w:t>
      </w:r>
      <w:r>
        <w:rPr>
          <w:sz w:val="15"/>
        </w:rPr>
        <w:t>La</w:t>
      </w:r>
      <w:r>
        <w:rPr>
          <w:spacing w:val="-4"/>
          <w:sz w:val="15"/>
        </w:rPr>
        <w:t xml:space="preserve"> </w:t>
      </w:r>
      <w:r>
        <w:rPr>
          <w:sz w:val="15"/>
        </w:rPr>
        <w:t>legislación</w:t>
      </w:r>
      <w:r>
        <w:rPr>
          <w:spacing w:val="-4"/>
          <w:sz w:val="15"/>
        </w:rPr>
        <w:t xml:space="preserve"> </w:t>
      </w:r>
      <w:r>
        <w:rPr>
          <w:sz w:val="15"/>
        </w:rPr>
        <w:t>antidiscriminación,</w:t>
      </w:r>
      <w:r>
        <w:rPr>
          <w:spacing w:val="-2"/>
          <w:sz w:val="15"/>
        </w:rPr>
        <w:t xml:space="preserve"> </w:t>
      </w:r>
      <w:r>
        <w:rPr>
          <w:sz w:val="15"/>
        </w:rPr>
        <w:t>por</w:t>
      </w:r>
      <w:r>
        <w:rPr>
          <w:spacing w:val="-4"/>
          <w:sz w:val="15"/>
        </w:rPr>
        <w:t xml:space="preserve"> </w:t>
      </w:r>
      <w:r>
        <w:rPr>
          <w:sz w:val="15"/>
        </w:rPr>
        <w:t>el</w:t>
      </w:r>
      <w:r>
        <w:rPr>
          <w:spacing w:val="-4"/>
          <w:sz w:val="15"/>
        </w:rPr>
        <w:t xml:space="preserve"> </w:t>
      </w:r>
      <w:r>
        <w:rPr>
          <w:sz w:val="15"/>
        </w:rPr>
        <w:t>contrario,</w:t>
      </w:r>
      <w:r>
        <w:rPr>
          <w:spacing w:val="-3"/>
          <w:sz w:val="15"/>
        </w:rPr>
        <w:t xml:space="preserve"> </w:t>
      </w:r>
      <w:r>
        <w:rPr>
          <w:sz w:val="15"/>
        </w:rPr>
        <w:t>es</w:t>
      </w:r>
      <w:r>
        <w:rPr>
          <w:spacing w:val="-4"/>
          <w:sz w:val="15"/>
        </w:rPr>
        <w:t xml:space="preserve"> </w:t>
      </w:r>
      <w:r>
        <w:rPr>
          <w:sz w:val="15"/>
        </w:rPr>
        <w:t>agnóstica</w:t>
      </w:r>
      <w:r>
        <w:rPr>
          <w:spacing w:val="-4"/>
          <w:sz w:val="15"/>
        </w:rPr>
        <w:t xml:space="preserve"> </w:t>
      </w:r>
      <w:r>
        <w:rPr>
          <w:sz w:val="15"/>
        </w:rPr>
        <w:t>en</w:t>
      </w:r>
      <w:r>
        <w:rPr>
          <w:spacing w:val="-4"/>
          <w:sz w:val="15"/>
        </w:rPr>
        <w:t xml:space="preserve"> </w:t>
      </w:r>
      <w:r>
        <w:rPr>
          <w:sz w:val="15"/>
        </w:rPr>
        <w:t>cuanto</w:t>
      </w:r>
      <w:r>
        <w:rPr>
          <w:spacing w:val="-4"/>
          <w:sz w:val="15"/>
        </w:rPr>
        <w:t xml:space="preserve"> </w:t>
      </w:r>
      <w:r>
        <w:rPr>
          <w:sz w:val="15"/>
        </w:rPr>
        <w:t>a</w:t>
      </w:r>
      <w:r>
        <w:rPr>
          <w:spacing w:val="-4"/>
          <w:sz w:val="15"/>
        </w:rPr>
        <w:t xml:space="preserve"> </w:t>
      </w:r>
      <w:r>
        <w:rPr>
          <w:sz w:val="15"/>
        </w:rPr>
        <w:t>la</w:t>
      </w:r>
      <w:r>
        <w:rPr>
          <w:spacing w:val="-4"/>
          <w:sz w:val="15"/>
        </w:rPr>
        <w:t xml:space="preserve"> </w:t>
      </w:r>
      <w:r>
        <w:rPr>
          <w:sz w:val="15"/>
        </w:rPr>
        <w:t>identidad</w:t>
      </w:r>
      <w:r>
        <w:rPr>
          <w:spacing w:val="-4"/>
          <w:sz w:val="15"/>
        </w:rPr>
        <w:t xml:space="preserve"> </w:t>
      </w:r>
      <w:r>
        <w:rPr>
          <w:sz w:val="15"/>
        </w:rPr>
        <w:t>de</w:t>
      </w:r>
      <w:r>
        <w:rPr>
          <w:spacing w:val="-4"/>
          <w:sz w:val="15"/>
        </w:rPr>
        <w:t xml:space="preserve"> </w:t>
      </w:r>
      <w:r>
        <w:rPr>
          <w:sz w:val="15"/>
        </w:rPr>
        <w:t>la</w:t>
      </w:r>
      <w:r>
        <w:rPr>
          <w:spacing w:val="-4"/>
          <w:sz w:val="15"/>
        </w:rPr>
        <w:t xml:space="preserve"> </w:t>
      </w:r>
      <w:r>
        <w:rPr>
          <w:sz w:val="15"/>
        </w:rPr>
        <w:t>persona</w:t>
      </w:r>
      <w:r>
        <w:rPr>
          <w:spacing w:val="-4"/>
          <w:sz w:val="15"/>
        </w:rPr>
        <w:t xml:space="preserve"> </w:t>
      </w:r>
      <w:r>
        <w:rPr>
          <w:sz w:val="15"/>
        </w:rPr>
        <w:t>en cuestión,</w:t>
      </w:r>
      <w:r>
        <w:rPr>
          <w:spacing w:val="-2"/>
          <w:sz w:val="15"/>
        </w:rPr>
        <w:t xml:space="preserve"> </w:t>
      </w:r>
      <w:r>
        <w:rPr>
          <w:sz w:val="15"/>
        </w:rPr>
        <w:t>como</w:t>
      </w:r>
      <w:r>
        <w:rPr>
          <w:spacing w:val="-3"/>
          <w:sz w:val="15"/>
        </w:rPr>
        <w:t xml:space="preserve"> </w:t>
      </w:r>
      <w:r>
        <w:rPr>
          <w:sz w:val="15"/>
        </w:rPr>
        <w:t>se</w:t>
      </w:r>
      <w:r>
        <w:rPr>
          <w:spacing w:val="-3"/>
          <w:sz w:val="15"/>
        </w:rPr>
        <w:t xml:space="preserve"> </w:t>
      </w:r>
      <w:r>
        <w:rPr>
          <w:sz w:val="15"/>
        </w:rPr>
        <w:t>demuestra</w:t>
      </w:r>
      <w:r>
        <w:rPr>
          <w:spacing w:val="-3"/>
          <w:sz w:val="15"/>
        </w:rPr>
        <w:t xml:space="preserve"> </w:t>
      </w:r>
      <w:r>
        <w:rPr>
          <w:sz w:val="15"/>
        </w:rPr>
        <w:t>anteriormente</w:t>
      </w:r>
      <w:r>
        <w:rPr>
          <w:spacing w:val="-3"/>
          <w:sz w:val="15"/>
        </w:rPr>
        <w:t xml:space="preserve"> </w:t>
      </w:r>
      <w:r>
        <w:rPr>
          <w:sz w:val="15"/>
        </w:rPr>
        <w:t>en</w:t>
      </w:r>
      <w:r>
        <w:rPr>
          <w:spacing w:val="-3"/>
          <w:sz w:val="15"/>
        </w:rPr>
        <w:t xml:space="preserve"> </w:t>
      </w:r>
      <w:r>
        <w:rPr>
          <w:sz w:val="15"/>
        </w:rPr>
        <w:t>la</w:t>
      </w:r>
      <w:r>
        <w:rPr>
          <w:spacing w:val="-3"/>
          <w:sz w:val="15"/>
        </w:rPr>
        <w:t xml:space="preserve"> </w:t>
      </w:r>
      <w:r>
        <w:rPr>
          <w:sz w:val="15"/>
        </w:rPr>
        <w:t>sección</w:t>
      </w:r>
      <w:r>
        <w:rPr>
          <w:spacing w:val="-3"/>
          <w:sz w:val="15"/>
        </w:rPr>
        <w:t xml:space="preserve"> </w:t>
      </w:r>
      <w:r>
        <w:rPr>
          <w:sz w:val="15"/>
        </w:rPr>
        <w:t>sobre</w:t>
      </w:r>
      <w:r>
        <w:rPr>
          <w:spacing w:val="-3"/>
          <w:sz w:val="15"/>
        </w:rPr>
        <w:t xml:space="preserve"> </w:t>
      </w:r>
      <w:r>
        <w:rPr>
          <w:sz w:val="15"/>
        </w:rPr>
        <w:t>la</w:t>
      </w:r>
      <w:r>
        <w:rPr>
          <w:spacing w:val="-3"/>
          <w:sz w:val="15"/>
        </w:rPr>
        <w:t xml:space="preserve"> </w:t>
      </w:r>
      <w:r>
        <w:rPr>
          <w:sz w:val="15"/>
        </w:rPr>
        <w:t>discriminación</w:t>
      </w:r>
      <w:r>
        <w:rPr>
          <w:spacing w:val="-3"/>
          <w:sz w:val="15"/>
        </w:rPr>
        <w:t xml:space="preserve"> </w:t>
      </w:r>
      <w:r>
        <w:rPr>
          <w:sz w:val="15"/>
        </w:rPr>
        <w:t>basada</w:t>
      </w:r>
      <w:r>
        <w:rPr>
          <w:spacing w:val="-3"/>
          <w:sz w:val="15"/>
        </w:rPr>
        <w:t xml:space="preserve"> </w:t>
      </w:r>
      <w:r>
        <w:rPr>
          <w:sz w:val="15"/>
        </w:rPr>
        <w:t>en</w:t>
      </w:r>
      <w:r>
        <w:rPr>
          <w:spacing w:val="-3"/>
          <w:sz w:val="15"/>
        </w:rPr>
        <w:t xml:space="preserve"> </w:t>
      </w:r>
      <w:r>
        <w:rPr>
          <w:sz w:val="15"/>
        </w:rPr>
        <w:t>la</w:t>
      </w:r>
      <w:r>
        <w:rPr>
          <w:spacing w:val="-3"/>
          <w:sz w:val="15"/>
        </w:rPr>
        <w:t xml:space="preserve"> </w:t>
      </w:r>
      <w:r>
        <w:rPr>
          <w:sz w:val="15"/>
        </w:rPr>
        <w:t>asociación</w:t>
      </w:r>
      <w:r>
        <w:rPr>
          <w:spacing w:val="-3"/>
          <w:sz w:val="15"/>
        </w:rPr>
        <w:t xml:space="preserve"> </w:t>
      </w:r>
      <w:r>
        <w:rPr>
          <w:sz w:val="15"/>
        </w:rPr>
        <w:t>y</w:t>
      </w:r>
      <w:r>
        <w:rPr>
          <w:spacing w:val="-3"/>
          <w:sz w:val="15"/>
        </w:rPr>
        <w:t xml:space="preserve"> </w:t>
      </w:r>
      <w:r>
        <w:rPr>
          <w:sz w:val="15"/>
        </w:rPr>
        <w:t>la</w:t>
      </w:r>
      <w:r>
        <w:rPr>
          <w:spacing w:val="-3"/>
          <w:sz w:val="15"/>
        </w:rPr>
        <w:t xml:space="preserve"> </w:t>
      </w:r>
      <w:r>
        <w:rPr>
          <w:sz w:val="15"/>
        </w:rPr>
        <w:t>percepción.</w:t>
      </w:r>
    </w:p>
    <w:p w14:paraId="287F46A5" w14:textId="77777777" w:rsidR="0014798C" w:rsidRDefault="004E1F0B">
      <w:pPr>
        <w:spacing w:line="348" w:lineRule="auto"/>
        <w:ind w:left="1107" w:right="1463" w:hanging="1"/>
        <w:rPr>
          <w:sz w:val="15"/>
        </w:rPr>
      </w:pPr>
      <w:r>
        <w:rPr>
          <w:sz w:val="15"/>
        </w:rPr>
        <w:t>Para</w:t>
      </w:r>
      <w:r>
        <w:rPr>
          <w:spacing w:val="-1"/>
          <w:sz w:val="15"/>
        </w:rPr>
        <w:t xml:space="preserve"> </w:t>
      </w:r>
      <w:r>
        <w:rPr>
          <w:sz w:val="15"/>
        </w:rPr>
        <w:t>ilustrar</w:t>
      </w:r>
      <w:r>
        <w:rPr>
          <w:spacing w:val="-1"/>
          <w:sz w:val="15"/>
        </w:rPr>
        <w:t xml:space="preserve"> </w:t>
      </w:r>
      <w:r>
        <w:rPr>
          <w:sz w:val="15"/>
        </w:rPr>
        <w:t>este</w:t>
      </w:r>
      <w:r>
        <w:rPr>
          <w:spacing w:val="-1"/>
          <w:sz w:val="15"/>
        </w:rPr>
        <w:t xml:space="preserve"> </w:t>
      </w:r>
      <w:r>
        <w:rPr>
          <w:sz w:val="15"/>
        </w:rPr>
        <w:t>punto:</w:t>
      </w:r>
      <w:r>
        <w:rPr>
          <w:spacing w:val="-1"/>
          <w:sz w:val="15"/>
        </w:rPr>
        <w:t xml:space="preserve"> </w:t>
      </w:r>
      <w:r>
        <w:rPr>
          <w:sz w:val="15"/>
        </w:rPr>
        <w:t>el</w:t>
      </w:r>
      <w:r>
        <w:rPr>
          <w:spacing w:val="-1"/>
          <w:sz w:val="15"/>
        </w:rPr>
        <w:t xml:space="preserve"> </w:t>
      </w:r>
      <w:r>
        <w:rPr>
          <w:sz w:val="15"/>
        </w:rPr>
        <w:t>primer</w:t>
      </w:r>
      <w:r>
        <w:rPr>
          <w:spacing w:val="-1"/>
          <w:sz w:val="15"/>
        </w:rPr>
        <w:t xml:space="preserve"> </w:t>
      </w:r>
      <w:r>
        <w:rPr>
          <w:sz w:val="15"/>
        </w:rPr>
        <w:t>caso</w:t>
      </w:r>
      <w:r>
        <w:rPr>
          <w:spacing w:val="-1"/>
          <w:sz w:val="15"/>
        </w:rPr>
        <w:t xml:space="preserve"> </w:t>
      </w:r>
      <w:r>
        <w:rPr>
          <w:sz w:val="15"/>
        </w:rPr>
        <w:t>juzgado</w:t>
      </w:r>
      <w:r>
        <w:rPr>
          <w:spacing w:val="-1"/>
          <w:sz w:val="15"/>
        </w:rPr>
        <w:t xml:space="preserve"> </w:t>
      </w:r>
      <w:r>
        <w:rPr>
          <w:sz w:val="15"/>
        </w:rPr>
        <w:t>bajo</w:t>
      </w:r>
      <w:r>
        <w:rPr>
          <w:spacing w:val="-1"/>
          <w:sz w:val="15"/>
        </w:rPr>
        <w:t xml:space="preserve"> </w:t>
      </w:r>
      <w:r>
        <w:rPr>
          <w:sz w:val="15"/>
        </w:rPr>
        <w:t>las</w:t>
      </w:r>
      <w:r>
        <w:rPr>
          <w:spacing w:val="-1"/>
          <w:sz w:val="15"/>
        </w:rPr>
        <w:t xml:space="preserve"> </w:t>
      </w:r>
      <w:r>
        <w:rPr>
          <w:sz w:val="15"/>
        </w:rPr>
        <w:t>disposiciones</w:t>
      </w:r>
      <w:r>
        <w:rPr>
          <w:spacing w:val="-1"/>
          <w:sz w:val="15"/>
        </w:rPr>
        <w:t xml:space="preserve"> </w:t>
      </w:r>
      <w:r>
        <w:rPr>
          <w:sz w:val="15"/>
        </w:rPr>
        <w:t>reforzadas</w:t>
      </w:r>
      <w:r>
        <w:rPr>
          <w:spacing w:val="-1"/>
          <w:sz w:val="15"/>
        </w:rPr>
        <w:t xml:space="preserve"> </w:t>
      </w:r>
      <w:r>
        <w:rPr>
          <w:sz w:val="15"/>
        </w:rPr>
        <w:t>sobre</w:t>
      </w:r>
      <w:r>
        <w:rPr>
          <w:spacing w:val="-1"/>
          <w:sz w:val="15"/>
        </w:rPr>
        <w:t xml:space="preserve"> </w:t>
      </w:r>
      <w:r>
        <w:rPr>
          <w:sz w:val="15"/>
        </w:rPr>
        <w:t>delitos</w:t>
      </w:r>
      <w:r>
        <w:rPr>
          <w:spacing w:val="-1"/>
          <w:sz w:val="15"/>
        </w:rPr>
        <w:t xml:space="preserve"> </w:t>
      </w:r>
      <w:r>
        <w:rPr>
          <w:sz w:val="15"/>
        </w:rPr>
        <w:t>de</w:t>
      </w:r>
      <w:r>
        <w:rPr>
          <w:spacing w:val="-1"/>
          <w:sz w:val="15"/>
        </w:rPr>
        <w:t xml:space="preserve"> </w:t>
      </w:r>
      <w:r>
        <w:rPr>
          <w:sz w:val="15"/>
        </w:rPr>
        <w:t>odio</w:t>
      </w:r>
      <w:r>
        <w:rPr>
          <w:spacing w:val="-1"/>
          <w:sz w:val="15"/>
        </w:rPr>
        <w:t xml:space="preserve"> </w:t>
      </w:r>
      <w:r>
        <w:rPr>
          <w:sz w:val="15"/>
        </w:rPr>
        <w:t>de</w:t>
      </w:r>
      <w:r>
        <w:rPr>
          <w:spacing w:val="-1"/>
          <w:sz w:val="15"/>
        </w:rPr>
        <w:t xml:space="preserve"> </w:t>
      </w:r>
      <w:r>
        <w:rPr>
          <w:sz w:val="15"/>
        </w:rPr>
        <w:t>1996</w:t>
      </w:r>
      <w:r>
        <w:rPr>
          <w:spacing w:val="-1"/>
          <w:sz w:val="15"/>
        </w:rPr>
        <w:t xml:space="preserve"> </w:t>
      </w:r>
      <w:r>
        <w:rPr>
          <w:sz w:val="15"/>
        </w:rPr>
        <w:t>en</w:t>
      </w:r>
      <w:r>
        <w:rPr>
          <w:spacing w:val="-1"/>
          <w:sz w:val="15"/>
        </w:rPr>
        <w:t xml:space="preserve"> </w:t>
      </w:r>
      <w:r>
        <w:rPr>
          <w:sz w:val="15"/>
        </w:rPr>
        <w:t>Hungría</w:t>
      </w:r>
      <w:r>
        <w:rPr>
          <w:spacing w:val="-1"/>
          <w:sz w:val="15"/>
        </w:rPr>
        <w:t xml:space="preserve"> </w:t>
      </w:r>
      <w:r>
        <w:rPr>
          <w:sz w:val="15"/>
        </w:rPr>
        <w:t>se</w:t>
      </w:r>
      <w:r>
        <w:rPr>
          <w:spacing w:val="-1"/>
          <w:sz w:val="15"/>
        </w:rPr>
        <w:t xml:space="preserve"> </w:t>
      </w:r>
      <w:r>
        <w:rPr>
          <w:sz w:val="15"/>
        </w:rPr>
        <w:t>refería</w:t>
      </w:r>
      <w:r>
        <w:rPr>
          <w:spacing w:val="-1"/>
          <w:sz w:val="15"/>
        </w:rPr>
        <w:t xml:space="preserve"> </w:t>
      </w:r>
      <w:r>
        <w:rPr>
          <w:sz w:val="15"/>
        </w:rPr>
        <w:t>a neonazis</w:t>
      </w:r>
      <w:r>
        <w:rPr>
          <w:spacing w:val="-6"/>
          <w:sz w:val="15"/>
        </w:rPr>
        <w:t xml:space="preserve"> </w:t>
      </w:r>
      <w:r>
        <w:rPr>
          <w:sz w:val="15"/>
        </w:rPr>
        <w:t>que</w:t>
      </w:r>
      <w:r>
        <w:rPr>
          <w:spacing w:val="-6"/>
          <w:sz w:val="15"/>
        </w:rPr>
        <w:t xml:space="preserve"> </w:t>
      </w:r>
      <w:r>
        <w:rPr>
          <w:sz w:val="15"/>
        </w:rPr>
        <w:t>golpearon</w:t>
      </w:r>
      <w:r>
        <w:rPr>
          <w:spacing w:val="-6"/>
          <w:sz w:val="15"/>
        </w:rPr>
        <w:t xml:space="preserve"> </w:t>
      </w:r>
      <w:r>
        <w:rPr>
          <w:sz w:val="15"/>
        </w:rPr>
        <w:t>a</w:t>
      </w:r>
      <w:r>
        <w:rPr>
          <w:spacing w:val="-6"/>
          <w:sz w:val="15"/>
        </w:rPr>
        <w:t xml:space="preserve"> </w:t>
      </w:r>
      <w:r>
        <w:rPr>
          <w:sz w:val="15"/>
        </w:rPr>
        <w:t>un</w:t>
      </w:r>
      <w:r>
        <w:rPr>
          <w:spacing w:val="-6"/>
          <w:sz w:val="15"/>
        </w:rPr>
        <w:t xml:space="preserve"> </w:t>
      </w:r>
      <w:r>
        <w:rPr>
          <w:sz w:val="15"/>
        </w:rPr>
        <w:t>hombre</w:t>
      </w:r>
      <w:r>
        <w:rPr>
          <w:spacing w:val="-6"/>
          <w:sz w:val="15"/>
        </w:rPr>
        <w:t xml:space="preserve"> </w:t>
      </w:r>
      <w:r>
        <w:rPr>
          <w:sz w:val="15"/>
        </w:rPr>
        <w:t>que</w:t>
      </w:r>
      <w:r>
        <w:rPr>
          <w:spacing w:val="-6"/>
          <w:sz w:val="15"/>
        </w:rPr>
        <w:t xml:space="preserve"> </w:t>
      </w:r>
      <w:r>
        <w:rPr>
          <w:sz w:val="15"/>
        </w:rPr>
        <w:t>se</w:t>
      </w:r>
      <w:r>
        <w:rPr>
          <w:spacing w:val="-6"/>
          <w:sz w:val="15"/>
        </w:rPr>
        <w:t xml:space="preserve"> </w:t>
      </w:r>
      <w:r>
        <w:rPr>
          <w:sz w:val="15"/>
        </w:rPr>
        <w:t>anunció</w:t>
      </w:r>
      <w:r>
        <w:rPr>
          <w:spacing w:val="-6"/>
          <w:sz w:val="15"/>
        </w:rPr>
        <w:t xml:space="preserve"> </w:t>
      </w:r>
      <w:r>
        <w:rPr>
          <w:sz w:val="15"/>
        </w:rPr>
        <w:t>como</w:t>
      </w:r>
      <w:r>
        <w:rPr>
          <w:spacing w:val="-6"/>
          <w:sz w:val="15"/>
        </w:rPr>
        <w:t xml:space="preserve"> </w:t>
      </w:r>
      <w:r>
        <w:rPr>
          <w:sz w:val="15"/>
        </w:rPr>
        <w:t>judío,</w:t>
      </w:r>
      <w:r>
        <w:rPr>
          <w:spacing w:val="-6"/>
          <w:sz w:val="15"/>
        </w:rPr>
        <w:t xml:space="preserve"> </w:t>
      </w:r>
      <w:r>
        <w:rPr>
          <w:sz w:val="15"/>
        </w:rPr>
        <w:t>después</w:t>
      </w:r>
      <w:r>
        <w:rPr>
          <w:spacing w:val="-6"/>
          <w:sz w:val="15"/>
        </w:rPr>
        <w:t xml:space="preserve"> </w:t>
      </w:r>
      <w:r>
        <w:rPr>
          <w:sz w:val="15"/>
        </w:rPr>
        <w:t>de</w:t>
      </w:r>
      <w:r>
        <w:rPr>
          <w:spacing w:val="-6"/>
          <w:sz w:val="15"/>
        </w:rPr>
        <w:t xml:space="preserve"> </w:t>
      </w:r>
      <w:r>
        <w:rPr>
          <w:sz w:val="15"/>
        </w:rPr>
        <w:t>escucharlos</w:t>
      </w:r>
      <w:r>
        <w:rPr>
          <w:spacing w:val="-6"/>
          <w:sz w:val="15"/>
        </w:rPr>
        <w:t xml:space="preserve"> </w:t>
      </w:r>
      <w:r>
        <w:rPr>
          <w:sz w:val="15"/>
        </w:rPr>
        <w:t>gritar</w:t>
      </w:r>
      <w:r>
        <w:rPr>
          <w:spacing w:val="-6"/>
          <w:sz w:val="15"/>
        </w:rPr>
        <w:t xml:space="preserve"> </w:t>
      </w:r>
      <w:r>
        <w:rPr>
          <w:sz w:val="15"/>
        </w:rPr>
        <w:t>consignas</w:t>
      </w:r>
      <w:r>
        <w:rPr>
          <w:spacing w:val="-6"/>
          <w:sz w:val="15"/>
        </w:rPr>
        <w:t xml:space="preserve"> </w:t>
      </w:r>
      <w:r>
        <w:rPr>
          <w:sz w:val="15"/>
        </w:rPr>
        <w:t>antisemitas.858</w:t>
      </w:r>
      <w:r>
        <w:rPr>
          <w:spacing w:val="-6"/>
          <w:sz w:val="15"/>
        </w:rPr>
        <w:t xml:space="preserve"> </w:t>
      </w:r>
      <w:r>
        <w:rPr>
          <w:sz w:val="15"/>
        </w:rPr>
        <w:t>La</w:t>
      </w:r>
      <w:r>
        <w:rPr>
          <w:spacing w:val="-6"/>
          <w:sz w:val="15"/>
        </w:rPr>
        <w:t xml:space="preserve"> </w:t>
      </w:r>
      <w:r>
        <w:rPr>
          <w:sz w:val="15"/>
        </w:rPr>
        <w:t>víctima,</w:t>
      </w:r>
      <w:r>
        <w:rPr>
          <w:spacing w:val="-6"/>
          <w:sz w:val="15"/>
        </w:rPr>
        <w:t xml:space="preserve"> </w:t>
      </w:r>
      <w:r>
        <w:rPr>
          <w:sz w:val="15"/>
        </w:rPr>
        <w:t>de hecho,</w:t>
      </w:r>
      <w:r>
        <w:rPr>
          <w:spacing w:val="-1"/>
          <w:sz w:val="15"/>
        </w:rPr>
        <w:t xml:space="preserve"> </w:t>
      </w:r>
      <w:r>
        <w:rPr>
          <w:sz w:val="15"/>
        </w:rPr>
        <w:t>era</w:t>
      </w:r>
      <w:r>
        <w:rPr>
          <w:spacing w:val="-1"/>
          <w:sz w:val="15"/>
        </w:rPr>
        <w:t xml:space="preserve"> </w:t>
      </w:r>
      <w:r>
        <w:rPr>
          <w:sz w:val="15"/>
        </w:rPr>
        <w:t>no</w:t>
      </w:r>
      <w:r>
        <w:rPr>
          <w:spacing w:val="-1"/>
          <w:sz w:val="15"/>
        </w:rPr>
        <w:t xml:space="preserve"> </w:t>
      </w:r>
      <w:r>
        <w:rPr>
          <w:sz w:val="15"/>
        </w:rPr>
        <w:t>era</w:t>
      </w:r>
      <w:r>
        <w:rPr>
          <w:spacing w:val="-1"/>
          <w:sz w:val="15"/>
        </w:rPr>
        <w:t xml:space="preserve"> </w:t>
      </w:r>
      <w:r>
        <w:rPr>
          <w:sz w:val="15"/>
        </w:rPr>
        <w:t>judío</w:t>
      </w:r>
      <w:r>
        <w:rPr>
          <w:spacing w:val="-1"/>
          <w:sz w:val="15"/>
        </w:rPr>
        <w:t xml:space="preserve"> </w:t>
      </w:r>
      <w:r>
        <w:rPr>
          <w:sz w:val="15"/>
        </w:rPr>
        <w:t>y</w:t>
      </w:r>
      <w:r>
        <w:rPr>
          <w:spacing w:val="-1"/>
          <w:sz w:val="15"/>
        </w:rPr>
        <w:t xml:space="preserve"> </w:t>
      </w:r>
      <w:r>
        <w:rPr>
          <w:sz w:val="15"/>
        </w:rPr>
        <w:t>sólo</w:t>
      </w:r>
      <w:r>
        <w:rPr>
          <w:spacing w:val="-1"/>
          <w:sz w:val="15"/>
        </w:rPr>
        <w:t xml:space="preserve"> </w:t>
      </w:r>
      <w:r>
        <w:rPr>
          <w:sz w:val="15"/>
        </w:rPr>
        <w:t>había</w:t>
      </w:r>
      <w:r>
        <w:rPr>
          <w:spacing w:val="-1"/>
          <w:sz w:val="15"/>
        </w:rPr>
        <w:t xml:space="preserve"> </w:t>
      </w:r>
      <w:r>
        <w:rPr>
          <w:sz w:val="15"/>
        </w:rPr>
        <w:t>afirmado</w:t>
      </w:r>
      <w:r>
        <w:rPr>
          <w:spacing w:val="-1"/>
          <w:sz w:val="15"/>
        </w:rPr>
        <w:t xml:space="preserve"> </w:t>
      </w:r>
      <w:r>
        <w:rPr>
          <w:sz w:val="15"/>
        </w:rPr>
        <w:t>ser</w:t>
      </w:r>
      <w:r>
        <w:rPr>
          <w:spacing w:val="-1"/>
          <w:sz w:val="15"/>
        </w:rPr>
        <w:t xml:space="preserve"> </w:t>
      </w:r>
      <w:r>
        <w:rPr>
          <w:sz w:val="15"/>
        </w:rPr>
        <w:t>judío</w:t>
      </w:r>
      <w:r>
        <w:rPr>
          <w:spacing w:val="-1"/>
          <w:sz w:val="15"/>
        </w:rPr>
        <w:t xml:space="preserve"> </w:t>
      </w:r>
      <w:r>
        <w:rPr>
          <w:sz w:val="15"/>
        </w:rPr>
        <w:t>para</w:t>
      </w:r>
      <w:r>
        <w:rPr>
          <w:spacing w:val="-1"/>
          <w:sz w:val="15"/>
        </w:rPr>
        <w:t xml:space="preserve"> </w:t>
      </w:r>
      <w:r>
        <w:rPr>
          <w:sz w:val="15"/>
        </w:rPr>
        <w:t>expresar</w:t>
      </w:r>
      <w:r>
        <w:rPr>
          <w:spacing w:val="-1"/>
          <w:sz w:val="15"/>
        </w:rPr>
        <w:t xml:space="preserve"> </w:t>
      </w:r>
      <w:r>
        <w:rPr>
          <w:sz w:val="15"/>
        </w:rPr>
        <w:t>su</w:t>
      </w:r>
      <w:r>
        <w:rPr>
          <w:spacing w:val="-1"/>
          <w:sz w:val="15"/>
        </w:rPr>
        <w:t xml:space="preserve"> </w:t>
      </w:r>
      <w:r>
        <w:rPr>
          <w:sz w:val="15"/>
        </w:rPr>
        <w:t>oposición</w:t>
      </w:r>
      <w:r>
        <w:rPr>
          <w:spacing w:val="-1"/>
          <w:sz w:val="15"/>
        </w:rPr>
        <w:t xml:space="preserve"> </w:t>
      </w:r>
      <w:r>
        <w:rPr>
          <w:sz w:val="15"/>
        </w:rPr>
        <w:t>a</w:t>
      </w:r>
      <w:r>
        <w:rPr>
          <w:spacing w:val="-1"/>
          <w:sz w:val="15"/>
        </w:rPr>
        <w:t xml:space="preserve"> </w:t>
      </w:r>
      <w:r>
        <w:rPr>
          <w:sz w:val="15"/>
        </w:rPr>
        <w:t>las</w:t>
      </w:r>
      <w:r>
        <w:rPr>
          <w:spacing w:val="-1"/>
          <w:sz w:val="15"/>
        </w:rPr>
        <w:t xml:space="preserve"> </w:t>
      </w:r>
      <w:r>
        <w:rPr>
          <w:sz w:val="15"/>
        </w:rPr>
        <w:t>opiniones</w:t>
      </w:r>
      <w:r>
        <w:rPr>
          <w:spacing w:val="-1"/>
          <w:sz w:val="15"/>
        </w:rPr>
        <w:t xml:space="preserve"> </w:t>
      </w:r>
      <w:r>
        <w:rPr>
          <w:sz w:val="15"/>
        </w:rPr>
        <w:t>racistas</w:t>
      </w:r>
      <w:r>
        <w:rPr>
          <w:spacing w:val="-1"/>
          <w:sz w:val="15"/>
        </w:rPr>
        <w:t xml:space="preserve"> </w:t>
      </w:r>
      <w:r>
        <w:rPr>
          <w:sz w:val="15"/>
        </w:rPr>
        <w:t>expresadas. Las</w:t>
      </w:r>
      <w:r>
        <w:rPr>
          <w:spacing w:val="-1"/>
          <w:sz w:val="15"/>
        </w:rPr>
        <w:t xml:space="preserve"> </w:t>
      </w:r>
      <w:r>
        <w:rPr>
          <w:sz w:val="15"/>
        </w:rPr>
        <w:t>autoridades húngaras</w:t>
      </w:r>
      <w:r>
        <w:rPr>
          <w:spacing w:val="-5"/>
          <w:sz w:val="15"/>
        </w:rPr>
        <w:t xml:space="preserve"> </w:t>
      </w:r>
      <w:r>
        <w:rPr>
          <w:sz w:val="15"/>
        </w:rPr>
        <w:t>procesaron</w:t>
      </w:r>
      <w:r>
        <w:rPr>
          <w:spacing w:val="-5"/>
          <w:sz w:val="15"/>
        </w:rPr>
        <w:t xml:space="preserve"> </w:t>
      </w:r>
      <w:r>
        <w:rPr>
          <w:sz w:val="15"/>
        </w:rPr>
        <w:t>a</w:t>
      </w:r>
      <w:r>
        <w:rPr>
          <w:spacing w:val="-5"/>
          <w:sz w:val="15"/>
        </w:rPr>
        <w:t xml:space="preserve"> </w:t>
      </w:r>
      <w:r>
        <w:rPr>
          <w:sz w:val="15"/>
        </w:rPr>
        <w:t>los</w:t>
      </w:r>
      <w:r>
        <w:rPr>
          <w:spacing w:val="-5"/>
          <w:sz w:val="15"/>
        </w:rPr>
        <w:t xml:space="preserve"> </w:t>
      </w:r>
      <w:r>
        <w:rPr>
          <w:sz w:val="15"/>
        </w:rPr>
        <w:t>perpetradores</w:t>
      </w:r>
      <w:r>
        <w:rPr>
          <w:spacing w:val="-5"/>
          <w:sz w:val="15"/>
        </w:rPr>
        <w:t xml:space="preserve"> </w:t>
      </w:r>
      <w:r>
        <w:rPr>
          <w:sz w:val="15"/>
        </w:rPr>
        <w:t>por</w:t>
      </w:r>
      <w:r>
        <w:rPr>
          <w:spacing w:val="-5"/>
          <w:sz w:val="15"/>
        </w:rPr>
        <w:t xml:space="preserve"> </w:t>
      </w:r>
      <w:r>
        <w:rPr>
          <w:sz w:val="15"/>
        </w:rPr>
        <w:t>actos</w:t>
      </w:r>
      <w:r>
        <w:rPr>
          <w:spacing w:val="-5"/>
          <w:sz w:val="15"/>
        </w:rPr>
        <w:t xml:space="preserve"> </w:t>
      </w:r>
      <w:r>
        <w:rPr>
          <w:sz w:val="15"/>
        </w:rPr>
        <w:t>criminales</w:t>
      </w:r>
      <w:r>
        <w:rPr>
          <w:spacing w:val="-5"/>
          <w:sz w:val="15"/>
        </w:rPr>
        <w:t xml:space="preserve"> </w:t>
      </w:r>
      <w:r>
        <w:rPr>
          <w:sz w:val="15"/>
        </w:rPr>
        <w:t>motivados</w:t>
      </w:r>
      <w:r>
        <w:rPr>
          <w:spacing w:val="-5"/>
          <w:sz w:val="15"/>
        </w:rPr>
        <w:t xml:space="preserve"> </w:t>
      </w:r>
      <w:r>
        <w:rPr>
          <w:sz w:val="15"/>
        </w:rPr>
        <w:t>por</w:t>
      </w:r>
      <w:r>
        <w:rPr>
          <w:spacing w:val="-5"/>
          <w:sz w:val="15"/>
        </w:rPr>
        <w:t xml:space="preserve"> </w:t>
      </w:r>
      <w:r>
        <w:rPr>
          <w:sz w:val="15"/>
        </w:rPr>
        <w:t>prejuicios</w:t>
      </w:r>
      <w:r>
        <w:rPr>
          <w:spacing w:val="-5"/>
          <w:sz w:val="15"/>
        </w:rPr>
        <w:t xml:space="preserve"> </w:t>
      </w:r>
      <w:r>
        <w:rPr>
          <w:sz w:val="15"/>
        </w:rPr>
        <w:t>y,</w:t>
      </w:r>
      <w:r>
        <w:rPr>
          <w:spacing w:val="-5"/>
          <w:sz w:val="15"/>
        </w:rPr>
        <w:t xml:space="preserve"> </w:t>
      </w:r>
      <w:r>
        <w:rPr>
          <w:sz w:val="15"/>
        </w:rPr>
        <w:t>correctamente,</w:t>
      </w:r>
      <w:r>
        <w:rPr>
          <w:spacing w:val="-4"/>
          <w:sz w:val="15"/>
        </w:rPr>
        <w:t xml:space="preserve"> </w:t>
      </w:r>
      <w:r>
        <w:rPr>
          <w:sz w:val="15"/>
        </w:rPr>
        <w:t>no</w:t>
      </w:r>
      <w:r>
        <w:rPr>
          <w:spacing w:val="-5"/>
          <w:sz w:val="15"/>
        </w:rPr>
        <w:t xml:space="preserve"> </w:t>
      </w:r>
      <w:r>
        <w:rPr>
          <w:sz w:val="15"/>
        </w:rPr>
        <w:t>investigaron</w:t>
      </w:r>
      <w:r>
        <w:rPr>
          <w:spacing w:val="-5"/>
          <w:sz w:val="15"/>
        </w:rPr>
        <w:t xml:space="preserve"> </w:t>
      </w:r>
      <w:r>
        <w:rPr>
          <w:sz w:val="15"/>
        </w:rPr>
        <w:t>la</w:t>
      </w:r>
      <w:r>
        <w:rPr>
          <w:spacing w:val="-5"/>
          <w:sz w:val="15"/>
        </w:rPr>
        <w:t xml:space="preserve"> </w:t>
      </w:r>
      <w:r>
        <w:rPr>
          <w:sz w:val="15"/>
        </w:rPr>
        <w:t>cuestión</w:t>
      </w:r>
      <w:r>
        <w:rPr>
          <w:spacing w:val="-5"/>
          <w:sz w:val="15"/>
        </w:rPr>
        <w:t xml:space="preserve"> </w:t>
      </w:r>
      <w:r>
        <w:rPr>
          <w:sz w:val="15"/>
        </w:rPr>
        <w:t>de</w:t>
      </w:r>
      <w:r>
        <w:rPr>
          <w:spacing w:val="-5"/>
          <w:sz w:val="15"/>
        </w:rPr>
        <w:t xml:space="preserve"> </w:t>
      </w:r>
      <w:r>
        <w:rPr>
          <w:sz w:val="15"/>
        </w:rPr>
        <w:t>la identidad</w:t>
      </w:r>
      <w:r>
        <w:rPr>
          <w:spacing w:val="-6"/>
          <w:sz w:val="15"/>
        </w:rPr>
        <w:t xml:space="preserve"> </w:t>
      </w:r>
      <w:r>
        <w:rPr>
          <w:sz w:val="15"/>
        </w:rPr>
        <w:t>de</w:t>
      </w:r>
      <w:r>
        <w:rPr>
          <w:spacing w:val="-6"/>
          <w:sz w:val="15"/>
        </w:rPr>
        <w:t xml:space="preserve"> </w:t>
      </w:r>
      <w:r>
        <w:rPr>
          <w:sz w:val="15"/>
        </w:rPr>
        <w:t>la</w:t>
      </w:r>
      <w:r>
        <w:rPr>
          <w:spacing w:val="-6"/>
          <w:sz w:val="15"/>
        </w:rPr>
        <w:t xml:space="preserve"> </w:t>
      </w:r>
      <w:r>
        <w:rPr>
          <w:sz w:val="15"/>
        </w:rPr>
        <w:t>víctima.</w:t>
      </w:r>
      <w:r>
        <w:rPr>
          <w:spacing w:val="-6"/>
          <w:sz w:val="15"/>
        </w:rPr>
        <w:t xml:space="preserve"> </w:t>
      </w:r>
      <w:r>
        <w:rPr>
          <w:sz w:val="15"/>
        </w:rPr>
        <w:t>La</w:t>
      </w:r>
      <w:r>
        <w:rPr>
          <w:spacing w:val="-6"/>
          <w:sz w:val="15"/>
        </w:rPr>
        <w:t xml:space="preserve"> </w:t>
      </w:r>
      <w:r>
        <w:rPr>
          <w:sz w:val="15"/>
        </w:rPr>
        <w:t>cuestión</w:t>
      </w:r>
      <w:r>
        <w:rPr>
          <w:spacing w:val="-6"/>
          <w:sz w:val="15"/>
        </w:rPr>
        <w:t xml:space="preserve"> </w:t>
      </w:r>
      <w:r>
        <w:rPr>
          <w:sz w:val="15"/>
        </w:rPr>
        <w:t>en</w:t>
      </w:r>
      <w:r>
        <w:rPr>
          <w:spacing w:val="-6"/>
          <w:sz w:val="15"/>
        </w:rPr>
        <w:t xml:space="preserve"> </w:t>
      </w:r>
      <w:r>
        <w:rPr>
          <w:sz w:val="15"/>
        </w:rPr>
        <w:t>cuestión</w:t>
      </w:r>
      <w:r>
        <w:rPr>
          <w:spacing w:val="-6"/>
          <w:sz w:val="15"/>
        </w:rPr>
        <w:t xml:space="preserve"> </w:t>
      </w:r>
      <w:r>
        <w:rPr>
          <w:sz w:val="15"/>
        </w:rPr>
        <w:t>no</w:t>
      </w:r>
      <w:r>
        <w:rPr>
          <w:spacing w:val="-6"/>
          <w:sz w:val="15"/>
        </w:rPr>
        <w:t xml:space="preserve"> </w:t>
      </w:r>
      <w:r>
        <w:rPr>
          <w:sz w:val="15"/>
        </w:rPr>
        <w:t>era</w:t>
      </w:r>
      <w:r>
        <w:rPr>
          <w:spacing w:val="-6"/>
          <w:sz w:val="15"/>
        </w:rPr>
        <w:t xml:space="preserve"> </w:t>
      </w:r>
      <w:r>
        <w:rPr>
          <w:sz w:val="15"/>
        </w:rPr>
        <w:t>la</w:t>
      </w:r>
      <w:r>
        <w:rPr>
          <w:spacing w:val="-6"/>
          <w:sz w:val="15"/>
        </w:rPr>
        <w:t xml:space="preserve"> </w:t>
      </w:r>
      <w:r>
        <w:rPr>
          <w:sz w:val="15"/>
        </w:rPr>
        <w:t>identidad</w:t>
      </w:r>
      <w:r>
        <w:rPr>
          <w:spacing w:val="-6"/>
          <w:sz w:val="15"/>
        </w:rPr>
        <w:t xml:space="preserve"> </w:t>
      </w:r>
      <w:r>
        <w:rPr>
          <w:sz w:val="15"/>
        </w:rPr>
        <w:t>de</w:t>
      </w:r>
      <w:r>
        <w:rPr>
          <w:spacing w:val="-6"/>
          <w:sz w:val="15"/>
        </w:rPr>
        <w:t xml:space="preserve"> </w:t>
      </w:r>
      <w:r>
        <w:rPr>
          <w:sz w:val="15"/>
        </w:rPr>
        <w:t>la</w:t>
      </w:r>
      <w:r>
        <w:rPr>
          <w:spacing w:val="-6"/>
          <w:sz w:val="15"/>
        </w:rPr>
        <w:t xml:space="preserve"> </w:t>
      </w:r>
      <w:r>
        <w:rPr>
          <w:sz w:val="15"/>
        </w:rPr>
        <w:t>víctima,</w:t>
      </w:r>
      <w:r>
        <w:rPr>
          <w:spacing w:val="-6"/>
          <w:sz w:val="15"/>
        </w:rPr>
        <w:t xml:space="preserve"> </w:t>
      </w:r>
      <w:r>
        <w:rPr>
          <w:sz w:val="15"/>
        </w:rPr>
        <w:t>sino</w:t>
      </w:r>
      <w:r>
        <w:rPr>
          <w:spacing w:val="-6"/>
          <w:sz w:val="15"/>
        </w:rPr>
        <w:t xml:space="preserve"> </w:t>
      </w:r>
      <w:r>
        <w:rPr>
          <w:sz w:val="15"/>
        </w:rPr>
        <w:t>más</w:t>
      </w:r>
      <w:r>
        <w:rPr>
          <w:spacing w:val="-6"/>
          <w:sz w:val="15"/>
        </w:rPr>
        <w:t xml:space="preserve"> </w:t>
      </w:r>
      <w:r>
        <w:rPr>
          <w:sz w:val="15"/>
        </w:rPr>
        <w:t>bien</w:t>
      </w:r>
      <w:r>
        <w:rPr>
          <w:spacing w:val="-6"/>
          <w:sz w:val="15"/>
        </w:rPr>
        <w:t xml:space="preserve"> </w:t>
      </w:r>
      <w:r>
        <w:rPr>
          <w:sz w:val="15"/>
        </w:rPr>
        <w:t>la</w:t>
      </w:r>
      <w:r>
        <w:rPr>
          <w:spacing w:val="-6"/>
          <w:sz w:val="15"/>
        </w:rPr>
        <w:t xml:space="preserve"> </w:t>
      </w:r>
      <w:r>
        <w:rPr>
          <w:sz w:val="15"/>
        </w:rPr>
        <w:t>percepción</w:t>
      </w:r>
      <w:r>
        <w:rPr>
          <w:spacing w:val="-6"/>
          <w:sz w:val="15"/>
        </w:rPr>
        <w:t xml:space="preserve"> </w:t>
      </w:r>
      <w:r>
        <w:rPr>
          <w:sz w:val="15"/>
        </w:rPr>
        <w:t>que</w:t>
      </w:r>
      <w:r>
        <w:rPr>
          <w:spacing w:val="-6"/>
          <w:sz w:val="15"/>
        </w:rPr>
        <w:t xml:space="preserve"> </w:t>
      </w:r>
      <w:r>
        <w:rPr>
          <w:sz w:val="15"/>
        </w:rPr>
        <w:t>tenían</w:t>
      </w:r>
      <w:r>
        <w:rPr>
          <w:spacing w:val="-6"/>
          <w:sz w:val="15"/>
        </w:rPr>
        <w:t xml:space="preserve"> </w:t>
      </w:r>
      <w:r>
        <w:rPr>
          <w:sz w:val="15"/>
        </w:rPr>
        <w:t>los</w:t>
      </w:r>
      <w:r>
        <w:rPr>
          <w:spacing w:val="-6"/>
          <w:sz w:val="15"/>
        </w:rPr>
        <w:t xml:space="preserve"> </w:t>
      </w:r>
      <w:r>
        <w:rPr>
          <w:sz w:val="15"/>
        </w:rPr>
        <w:t>perpetradores de que era judía.</w:t>
      </w:r>
    </w:p>
    <w:p w14:paraId="35C5EFF3" w14:textId="77777777" w:rsidR="0014798C" w:rsidRDefault="0014798C">
      <w:pPr>
        <w:pStyle w:val="Textoindependiente"/>
        <w:rPr>
          <w:sz w:val="15"/>
        </w:rPr>
      </w:pPr>
    </w:p>
    <w:p w14:paraId="0593061D" w14:textId="77777777" w:rsidR="0014798C" w:rsidRDefault="0014798C">
      <w:pPr>
        <w:pStyle w:val="Textoindependiente"/>
        <w:spacing w:before="70"/>
        <w:rPr>
          <w:sz w:val="15"/>
        </w:rPr>
      </w:pPr>
    </w:p>
    <w:p w14:paraId="745E28ED" w14:textId="77777777" w:rsidR="0014798C" w:rsidRDefault="004E1F0B">
      <w:pPr>
        <w:spacing w:before="1" w:line="348" w:lineRule="auto"/>
        <w:ind w:left="1107" w:right="1272" w:hanging="1"/>
        <w:rPr>
          <w:sz w:val="15"/>
        </w:rPr>
      </w:pPr>
      <w:r>
        <w:rPr>
          <w:sz w:val="15"/>
        </w:rPr>
        <w:t>Esta</w:t>
      </w:r>
      <w:r>
        <w:rPr>
          <w:spacing w:val="-6"/>
          <w:sz w:val="15"/>
        </w:rPr>
        <w:t xml:space="preserve"> </w:t>
      </w:r>
      <w:r>
        <w:rPr>
          <w:sz w:val="15"/>
        </w:rPr>
        <w:t>sección</w:t>
      </w:r>
      <w:r>
        <w:rPr>
          <w:spacing w:val="-6"/>
          <w:sz w:val="15"/>
        </w:rPr>
        <w:t xml:space="preserve"> </w:t>
      </w:r>
      <w:r>
        <w:rPr>
          <w:sz w:val="15"/>
        </w:rPr>
        <w:t>de</w:t>
      </w:r>
      <w:r>
        <w:rPr>
          <w:spacing w:val="-6"/>
          <w:sz w:val="15"/>
        </w:rPr>
        <w:t xml:space="preserve"> </w:t>
      </w:r>
      <w:r>
        <w:rPr>
          <w:sz w:val="15"/>
        </w:rPr>
        <w:t>la</w:t>
      </w:r>
      <w:r>
        <w:rPr>
          <w:spacing w:val="-6"/>
          <w:sz w:val="15"/>
        </w:rPr>
        <w:t xml:space="preserve"> </w:t>
      </w:r>
      <w:r>
        <w:rPr>
          <w:sz w:val="15"/>
        </w:rPr>
        <w:t>presente</w:t>
      </w:r>
      <w:r>
        <w:rPr>
          <w:spacing w:val="-6"/>
          <w:sz w:val="15"/>
        </w:rPr>
        <w:t xml:space="preserve"> </w:t>
      </w:r>
      <w:r>
        <w:rPr>
          <w:sz w:val="15"/>
        </w:rPr>
        <w:t>guía</w:t>
      </w:r>
      <w:r>
        <w:rPr>
          <w:spacing w:val="-6"/>
          <w:sz w:val="15"/>
        </w:rPr>
        <w:t xml:space="preserve"> </w:t>
      </w:r>
      <w:r>
        <w:rPr>
          <w:sz w:val="15"/>
        </w:rPr>
        <w:t>examina</w:t>
      </w:r>
      <w:r>
        <w:rPr>
          <w:spacing w:val="-6"/>
          <w:sz w:val="15"/>
        </w:rPr>
        <w:t xml:space="preserve"> </w:t>
      </w:r>
      <w:r>
        <w:rPr>
          <w:sz w:val="15"/>
        </w:rPr>
        <w:t>algunas</w:t>
      </w:r>
      <w:r>
        <w:rPr>
          <w:spacing w:val="-6"/>
          <w:sz w:val="15"/>
        </w:rPr>
        <w:t xml:space="preserve"> </w:t>
      </w:r>
      <w:r>
        <w:rPr>
          <w:sz w:val="15"/>
        </w:rPr>
        <w:t>de</w:t>
      </w:r>
      <w:r>
        <w:rPr>
          <w:spacing w:val="-6"/>
          <w:sz w:val="15"/>
        </w:rPr>
        <w:t xml:space="preserve"> </w:t>
      </w:r>
      <w:r>
        <w:rPr>
          <w:sz w:val="15"/>
        </w:rPr>
        <w:t>estas</w:t>
      </w:r>
      <w:r>
        <w:rPr>
          <w:spacing w:val="-6"/>
          <w:sz w:val="15"/>
        </w:rPr>
        <w:t xml:space="preserve"> </w:t>
      </w:r>
      <w:r>
        <w:rPr>
          <w:sz w:val="15"/>
        </w:rPr>
        <w:t>cuestiones</w:t>
      </w:r>
      <w:r>
        <w:rPr>
          <w:spacing w:val="-6"/>
          <w:sz w:val="15"/>
        </w:rPr>
        <w:t xml:space="preserve"> </w:t>
      </w:r>
      <w:r>
        <w:rPr>
          <w:sz w:val="15"/>
        </w:rPr>
        <w:t>que</w:t>
      </w:r>
      <w:r>
        <w:rPr>
          <w:spacing w:val="-6"/>
          <w:sz w:val="15"/>
        </w:rPr>
        <w:t xml:space="preserve"> </w:t>
      </w:r>
      <w:r>
        <w:rPr>
          <w:sz w:val="15"/>
        </w:rPr>
        <w:t>surgen</w:t>
      </w:r>
      <w:r>
        <w:rPr>
          <w:spacing w:val="-6"/>
          <w:sz w:val="15"/>
        </w:rPr>
        <w:t xml:space="preserve"> </w:t>
      </w:r>
      <w:r>
        <w:rPr>
          <w:sz w:val="15"/>
        </w:rPr>
        <w:t>en</w:t>
      </w:r>
      <w:r>
        <w:rPr>
          <w:spacing w:val="-6"/>
          <w:sz w:val="15"/>
        </w:rPr>
        <w:t xml:space="preserve"> </w:t>
      </w:r>
      <w:r>
        <w:rPr>
          <w:sz w:val="15"/>
        </w:rPr>
        <w:t>la</w:t>
      </w:r>
      <w:r>
        <w:rPr>
          <w:spacing w:val="-6"/>
          <w:sz w:val="15"/>
        </w:rPr>
        <w:t xml:space="preserve"> </w:t>
      </w:r>
      <w:r>
        <w:rPr>
          <w:sz w:val="15"/>
        </w:rPr>
        <w:t>intersección</w:t>
      </w:r>
      <w:r>
        <w:rPr>
          <w:spacing w:val="-6"/>
          <w:sz w:val="15"/>
        </w:rPr>
        <w:t xml:space="preserve"> </w:t>
      </w:r>
      <w:r>
        <w:rPr>
          <w:sz w:val="15"/>
        </w:rPr>
        <w:t>del</w:t>
      </w:r>
      <w:r>
        <w:rPr>
          <w:spacing w:val="-6"/>
          <w:sz w:val="15"/>
        </w:rPr>
        <w:t xml:space="preserve"> </w:t>
      </w:r>
      <w:r>
        <w:rPr>
          <w:sz w:val="15"/>
        </w:rPr>
        <w:t>derecho</w:t>
      </w:r>
      <w:r>
        <w:rPr>
          <w:spacing w:val="-6"/>
          <w:sz w:val="15"/>
        </w:rPr>
        <w:t xml:space="preserve"> </w:t>
      </w:r>
      <w:r>
        <w:rPr>
          <w:sz w:val="15"/>
        </w:rPr>
        <w:t>a</w:t>
      </w:r>
      <w:r>
        <w:rPr>
          <w:spacing w:val="-6"/>
          <w:sz w:val="15"/>
        </w:rPr>
        <w:t xml:space="preserve"> </w:t>
      </w:r>
      <w:r>
        <w:rPr>
          <w:sz w:val="15"/>
        </w:rPr>
        <w:t>la</w:t>
      </w:r>
      <w:r>
        <w:rPr>
          <w:spacing w:val="-6"/>
          <w:sz w:val="15"/>
        </w:rPr>
        <w:t xml:space="preserve"> </w:t>
      </w:r>
      <w:r>
        <w:rPr>
          <w:sz w:val="15"/>
        </w:rPr>
        <w:t>no</w:t>
      </w:r>
      <w:r>
        <w:rPr>
          <w:spacing w:val="-6"/>
          <w:sz w:val="15"/>
        </w:rPr>
        <w:t xml:space="preserve"> </w:t>
      </w:r>
      <w:r>
        <w:rPr>
          <w:sz w:val="15"/>
        </w:rPr>
        <w:t>discriminación</w:t>
      </w:r>
      <w:r>
        <w:rPr>
          <w:spacing w:val="-6"/>
          <w:sz w:val="15"/>
        </w:rPr>
        <w:t xml:space="preserve"> </w:t>
      </w:r>
      <w:r>
        <w:rPr>
          <w:sz w:val="15"/>
        </w:rPr>
        <w:t>y</w:t>
      </w:r>
      <w:r>
        <w:rPr>
          <w:spacing w:val="-6"/>
          <w:sz w:val="15"/>
        </w:rPr>
        <w:t xml:space="preserve"> </w:t>
      </w:r>
      <w:r>
        <w:rPr>
          <w:sz w:val="15"/>
        </w:rPr>
        <w:t>los derechos de las minorías. No pretende ser una exploración exhaustiva de todos</w:t>
      </w:r>
    </w:p>
    <w:p w14:paraId="5B54F43F" w14:textId="77777777" w:rsidR="0014798C" w:rsidRDefault="0014798C">
      <w:pPr>
        <w:pStyle w:val="Textoindependiente"/>
        <w:rPr>
          <w:sz w:val="12"/>
        </w:rPr>
      </w:pPr>
    </w:p>
    <w:p w14:paraId="652B014E" w14:textId="77777777" w:rsidR="0014798C" w:rsidRDefault="0014798C">
      <w:pPr>
        <w:pStyle w:val="Textoindependiente"/>
        <w:rPr>
          <w:sz w:val="12"/>
        </w:rPr>
      </w:pPr>
    </w:p>
    <w:p w14:paraId="3DDE072B" w14:textId="77777777" w:rsidR="0014798C" w:rsidRDefault="0014798C">
      <w:pPr>
        <w:pStyle w:val="Textoindependiente"/>
        <w:spacing w:before="135"/>
        <w:rPr>
          <w:sz w:val="12"/>
        </w:rPr>
      </w:pPr>
    </w:p>
    <w:p w14:paraId="09C5E3CD" w14:textId="77777777" w:rsidR="0014798C" w:rsidRDefault="004E1F0B">
      <w:pPr>
        <w:pStyle w:val="Prrafodelista"/>
        <w:numPr>
          <w:ilvl w:val="0"/>
          <w:numId w:val="27"/>
        </w:numPr>
        <w:tabs>
          <w:tab w:val="left" w:pos="1347"/>
        </w:tabs>
        <w:ind w:left="1347" w:hanging="237"/>
        <w:rPr>
          <w:sz w:val="12"/>
        </w:rPr>
      </w:pPr>
      <w:r>
        <w:rPr>
          <w:sz w:val="12"/>
        </w:rPr>
        <w:t>Declaración</w:t>
      </w:r>
      <w:r>
        <w:rPr>
          <w:spacing w:val="8"/>
          <w:sz w:val="12"/>
        </w:rPr>
        <w:t xml:space="preserve"> </w:t>
      </w:r>
      <w:r>
        <w:rPr>
          <w:sz w:val="12"/>
        </w:rPr>
        <w:t>sobre</w:t>
      </w:r>
      <w:r>
        <w:rPr>
          <w:spacing w:val="9"/>
          <w:sz w:val="12"/>
        </w:rPr>
        <w:t xml:space="preserve"> </w:t>
      </w:r>
      <w:r>
        <w:rPr>
          <w:sz w:val="12"/>
        </w:rPr>
        <w:t>los</w:t>
      </w:r>
      <w:r>
        <w:rPr>
          <w:spacing w:val="8"/>
          <w:sz w:val="12"/>
        </w:rPr>
        <w:t xml:space="preserve"> </w:t>
      </w:r>
      <w:r>
        <w:rPr>
          <w:sz w:val="12"/>
        </w:rPr>
        <w:t>derechos</w:t>
      </w:r>
      <w:r>
        <w:rPr>
          <w:spacing w:val="9"/>
          <w:sz w:val="12"/>
        </w:rPr>
        <w:t xml:space="preserve"> </w:t>
      </w:r>
      <w:r>
        <w:rPr>
          <w:sz w:val="12"/>
        </w:rPr>
        <w:t>de</w:t>
      </w:r>
      <w:r>
        <w:rPr>
          <w:spacing w:val="8"/>
          <w:sz w:val="12"/>
        </w:rPr>
        <w:t xml:space="preserve"> </w:t>
      </w:r>
      <w:r>
        <w:rPr>
          <w:sz w:val="12"/>
        </w:rPr>
        <w:t>las</w:t>
      </w:r>
      <w:r>
        <w:rPr>
          <w:spacing w:val="9"/>
          <w:sz w:val="12"/>
        </w:rPr>
        <w:t xml:space="preserve"> </w:t>
      </w:r>
      <w:r>
        <w:rPr>
          <w:sz w:val="12"/>
        </w:rPr>
        <w:t>personas</w:t>
      </w:r>
      <w:r>
        <w:rPr>
          <w:spacing w:val="8"/>
          <w:sz w:val="12"/>
        </w:rPr>
        <w:t xml:space="preserve"> </w:t>
      </w:r>
      <w:r>
        <w:rPr>
          <w:sz w:val="12"/>
        </w:rPr>
        <w:t>pertenecientes</w:t>
      </w:r>
      <w:r>
        <w:rPr>
          <w:spacing w:val="9"/>
          <w:sz w:val="12"/>
        </w:rPr>
        <w:t xml:space="preserve"> </w:t>
      </w:r>
      <w:r>
        <w:rPr>
          <w:sz w:val="12"/>
        </w:rPr>
        <w:t>a</w:t>
      </w:r>
      <w:r>
        <w:rPr>
          <w:spacing w:val="8"/>
          <w:sz w:val="12"/>
        </w:rPr>
        <w:t xml:space="preserve"> </w:t>
      </w:r>
      <w:r>
        <w:rPr>
          <w:sz w:val="12"/>
        </w:rPr>
        <w:t>minorías</w:t>
      </w:r>
      <w:r>
        <w:rPr>
          <w:spacing w:val="9"/>
          <w:sz w:val="12"/>
        </w:rPr>
        <w:t xml:space="preserve"> </w:t>
      </w:r>
      <w:r>
        <w:rPr>
          <w:sz w:val="12"/>
        </w:rPr>
        <w:t>nacionales</w:t>
      </w:r>
      <w:r>
        <w:rPr>
          <w:spacing w:val="8"/>
          <w:sz w:val="12"/>
        </w:rPr>
        <w:t xml:space="preserve"> </w:t>
      </w:r>
      <w:r>
        <w:rPr>
          <w:sz w:val="12"/>
        </w:rPr>
        <w:t>o</w:t>
      </w:r>
      <w:r>
        <w:rPr>
          <w:spacing w:val="9"/>
          <w:sz w:val="12"/>
        </w:rPr>
        <w:t xml:space="preserve"> </w:t>
      </w:r>
      <w:r>
        <w:rPr>
          <w:sz w:val="12"/>
        </w:rPr>
        <w:t>étnicas,</w:t>
      </w:r>
      <w:r>
        <w:rPr>
          <w:spacing w:val="10"/>
          <w:sz w:val="12"/>
        </w:rPr>
        <w:t xml:space="preserve"> </w:t>
      </w:r>
      <w:r>
        <w:rPr>
          <w:sz w:val="12"/>
        </w:rPr>
        <w:t>religiosas</w:t>
      </w:r>
      <w:r>
        <w:rPr>
          <w:spacing w:val="8"/>
          <w:sz w:val="12"/>
        </w:rPr>
        <w:t xml:space="preserve"> </w:t>
      </w:r>
      <w:r>
        <w:rPr>
          <w:sz w:val="12"/>
        </w:rPr>
        <w:t>y</w:t>
      </w:r>
      <w:r>
        <w:rPr>
          <w:spacing w:val="9"/>
          <w:sz w:val="12"/>
        </w:rPr>
        <w:t xml:space="preserve"> </w:t>
      </w:r>
      <w:r>
        <w:rPr>
          <w:sz w:val="12"/>
        </w:rPr>
        <w:t>lingüísticas,</w:t>
      </w:r>
      <w:r>
        <w:rPr>
          <w:spacing w:val="10"/>
          <w:sz w:val="12"/>
        </w:rPr>
        <w:t xml:space="preserve"> </w:t>
      </w:r>
      <w:r>
        <w:rPr>
          <w:sz w:val="12"/>
        </w:rPr>
        <w:t>art.</w:t>
      </w:r>
      <w:r>
        <w:rPr>
          <w:spacing w:val="9"/>
          <w:sz w:val="12"/>
        </w:rPr>
        <w:t xml:space="preserve"> </w:t>
      </w:r>
      <w:r>
        <w:rPr>
          <w:spacing w:val="-5"/>
          <w:sz w:val="12"/>
        </w:rPr>
        <w:t>2.</w:t>
      </w:r>
    </w:p>
    <w:p w14:paraId="07C0E786" w14:textId="77777777" w:rsidR="0014798C" w:rsidRDefault="004E1F0B">
      <w:pPr>
        <w:pStyle w:val="Prrafodelista"/>
        <w:numPr>
          <w:ilvl w:val="0"/>
          <w:numId w:val="27"/>
        </w:numPr>
        <w:tabs>
          <w:tab w:val="left" w:pos="1347"/>
        </w:tabs>
        <w:spacing w:before="67"/>
        <w:ind w:left="1347" w:hanging="237"/>
        <w:rPr>
          <w:sz w:val="12"/>
        </w:rPr>
      </w:pPr>
      <w:proofErr w:type="spellStart"/>
      <w:r>
        <w:rPr>
          <w:spacing w:val="-2"/>
          <w:w w:val="105"/>
          <w:sz w:val="12"/>
        </w:rPr>
        <w:t>Ibíd</w:t>
      </w:r>
      <w:proofErr w:type="spellEnd"/>
      <w:r>
        <w:rPr>
          <w:spacing w:val="-2"/>
          <w:w w:val="105"/>
          <w:sz w:val="12"/>
        </w:rPr>
        <w:t>.</w:t>
      </w:r>
    </w:p>
    <w:p w14:paraId="0E7EAE10" w14:textId="77777777" w:rsidR="0014798C" w:rsidRDefault="004E1F0B">
      <w:pPr>
        <w:pStyle w:val="Prrafodelista"/>
        <w:numPr>
          <w:ilvl w:val="0"/>
          <w:numId w:val="27"/>
        </w:numPr>
        <w:tabs>
          <w:tab w:val="left" w:pos="1347"/>
        </w:tabs>
        <w:spacing w:before="130"/>
        <w:ind w:left="1347" w:hanging="237"/>
        <w:rPr>
          <w:sz w:val="12"/>
        </w:rPr>
      </w:pPr>
      <w:r>
        <w:rPr>
          <w:spacing w:val="-2"/>
          <w:w w:val="105"/>
          <w:sz w:val="12"/>
        </w:rPr>
        <w:t>Véase la</w:t>
      </w:r>
      <w:r>
        <w:rPr>
          <w:spacing w:val="-1"/>
          <w:w w:val="105"/>
          <w:sz w:val="12"/>
        </w:rPr>
        <w:t xml:space="preserve"> </w:t>
      </w:r>
      <w:r>
        <w:rPr>
          <w:spacing w:val="-2"/>
          <w:w w:val="105"/>
          <w:sz w:val="12"/>
        </w:rPr>
        <w:t>sección IA3</w:t>
      </w:r>
      <w:r>
        <w:rPr>
          <w:spacing w:val="-1"/>
          <w:w w:val="105"/>
          <w:sz w:val="12"/>
        </w:rPr>
        <w:t xml:space="preserve"> </w:t>
      </w:r>
      <w:r>
        <w:rPr>
          <w:spacing w:val="-2"/>
          <w:w w:val="105"/>
          <w:sz w:val="12"/>
        </w:rPr>
        <w:t>de la</w:t>
      </w:r>
      <w:r>
        <w:rPr>
          <w:spacing w:val="-1"/>
          <w:w w:val="105"/>
          <w:sz w:val="12"/>
        </w:rPr>
        <w:t xml:space="preserve"> </w:t>
      </w:r>
      <w:r>
        <w:rPr>
          <w:spacing w:val="-2"/>
          <w:w w:val="105"/>
          <w:sz w:val="12"/>
        </w:rPr>
        <w:t>segunda parte</w:t>
      </w:r>
      <w:r>
        <w:rPr>
          <w:spacing w:val="-1"/>
          <w:w w:val="105"/>
          <w:sz w:val="12"/>
        </w:rPr>
        <w:t xml:space="preserve"> </w:t>
      </w:r>
      <w:r>
        <w:rPr>
          <w:spacing w:val="-2"/>
          <w:w w:val="105"/>
          <w:sz w:val="12"/>
        </w:rPr>
        <w:t>de</w:t>
      </w:r>
      <w:r>
        <w:rPr>
          <w:spacing w:val="-1"/>
          <w:w w:val="105"/>
          <w:sz w:val="12"/>
        </w:rPr>
        <w:t xml:space="preserve"> </w:t>
      </w:r>
      <w:r>
        <w:rPr>
          <w:spacing w:val="-2"/>
          <w:w w:val="105"/>
          <w:sz w:val="12"/>
        </w:rPr>
        <w:t>la presente</w:t>
      </w:r>
      <w:r>
        <w:rPr>
          <w:spacing w:val="-1"/>
          <w:w w:val="105"/>
          <w:sz w:val="12"/>
        </w:rPr>
        <w:t xml:space="preserve"> </w:t>
      </w:r>
      <w:r>
        <w:rPr>
          <w:spacing w:val="-2"/>
          <w:w w:val="105"/>
          <w:sz w:val="12"/>
        </w:rPr>
        <w:t>guía.</w:t>
      </w:r>
    </w:p>
    <w:p w14:paraId="2CE86000" w14:textId="77777777" w:rsidR="0014798C" w:rsidRDefault="004E1F0B">
      <w:pPr>
        <w:pStyle w:val="Prrafodelista"/>
        <w:numPr>
          <w:ilvl w:val="0"/>
          <w:numId w:val="27"/>
        </w:numPr>
        <w:tabs>
          <w:tab w:val="left" w:pos="1356"/>
          <w:tab w:val="left" w:pos="1367"/>
        </w:tabs>
        <w:spacing w:before="72" w:line="280" w:lineRule="auto"/>
        <w:ind w:left="1367" w:right="1873" w:hanging="257"/>
        <w:rPr>
          <w:sz w:val="13"/>
        </w:rPr>
      </w:pPr>
      <w:proofErr w:type="spellStart"/>
      <w:r>
        <w:rPr>
          <w:sz w:val="13"/>
        </w:rPr>
        <w:t>Ayelet</w:t>
      </w:r>
      <w:proofErr w:type="spellEnd"/>
      <w:r>
        <w:rPr>
          <w:spacing w:val="-10"/>
          <w:sz w:val="13"/>
        </w:rPr>
        <w:t xml:space="preserve"> </w:t>
      </w:r>
      <w:proofErr w:type="spellStart"/>
      <w:r>
        <w:rPr>
          <w:sz w:val="13"/>
        </w:rPr>
        <w:t>Shachar</w:t>
      </w:r>
      <w:proofErr w:type="spellEnd"/>
      <w:r>
        <w:rPr>
          <w:sz w:val="13"/>
        </w:rPr>
        <w:t>,</w:t>
      </w:r>
      <w:r>
        <w:rPr>
          <w:spacing w:val="-9"/>
          <w:sz w:val="13"/>
        </w:rPr>
        <w:t xml:space="preserve"> </w:t>
      </w:r>
      <w:r>
        <w:rPr>
          <w:sz w:val="13"/>
        </w:rPr>
        <w:t>Jurisdicciones</w:t>
      </w:r>
      <w:r>
        <w:rPr>
          <w:spacing w:val="-9"/>
          <w:sz w:val="13"/>
        </w:rPr>
        <w:t xml:space="preserve"> </w:t>
      </w:r>
      <w:r>
        <w:rPr>
          <w:sz w:val="13"/>
        </w:rPr>
        <w:t>multiculturales:</w:t>
      </w:r>
      <w:r>
        <w:rPr>
          <w:spacing w:val="-9"/>
          <w:sz w:val="13"/>
        </w:rPr>
        <w:t xml:space="preserve"> </w:t>
      </w:r>
      <w:r>
        <w:rPr>
          <w:sz w:val="13"/>
        </w:rPr>
        <w:t>diferencias</w:t>
      </w:r>
      <w:r>
        <w:rPr>
          <w:spacing w:val="-9"/>
          <w:sz w:val="13"/>
        </w:rPr>
        <w:t xml:space="preserve"> </w:t>
      </w:r>
      <w:r>
        <w:rPr>
          <w:sz w:val="13"/>
        </w:rPr>
        <w:t>culturales</w:t>
      </w:r>
      <w:r>
        <w:rPr>
          <w:spacing w:val="-9"/>
          <w:sz w:val="13"/>
        </w:rPr>
        <w:t xml:space="preserve"> </w:t>
      </w:r>
      <w:r>
        <w:rPr>
          <w:sz w:val="13"/>
        </w:rPr>
        <w:t>y</w:t>
      </w:r>
      <w:r>
        <w:rPr>
          <w:spacing w:val="-9"/>
          <w:sz w:val="13"/>
        </w:rPr>
        <w:t xml:space="preserve"> </w:t>
      </w:r>
      <w:r>
        <w:rPr>
          <w:sz w:val="13"/>
        </w:rPr>
        <w:t>derechos</w:t>
      </w:r>
      <w:r>
        <w:rPr>
          <w:spacing w:val="-9"/>
          <w:sz w:val="13"/>
        </w:rPr>
        <w:t xml:space="preserve"> </w:t>
      </w:r>
      <w:r>
        <w:rPr>
          <w:sz w:val="13"/>
        </w:rPr>
        <w:t>de</w:t>
      </w:r>
      <w:r>
        <w:rPr>
          <w:spacing w:val="-9"/>
          <w:sz w:val="13"/>
        </w:rPr>
        <w:t xml:space="preserve"> </w:t>
      </w:r>
      <w:r>
        <w:rPr>
          <w:sz w:val="13"/>
        </w:rPr>
        <w:t>las</w:t>
      </w:r>
      <w:r>
        <w:rPr>
          <w:spacing w:val="-9"/>
          <w:sz w:val="13"/>
        </w:rPr>
        <w:t xml:space="preserve"> </w:t>
      </w:r>
      <w:r>
        <w:rPr>
          <w:sz w:val="13"/>
        </w:rPr>
        <w:t>mujeres</w:t>
      </w:r>
      <w:r>
        <w:rPr>
          <w:spacing w:val="-9"/>
          <w:sz w:val="13"/>
        </w:rPr>
        <w:t xml:space="preserve"> </w:t>
      </w:r>
      <w:r>
        <w:rPr>
          <w:sz w:val="13"/>
        </w:rPr>
        <w:t>(Cambridge,</w:t>
      </w:r>
      <w:r>
        <w:rPr>
          <w:spacing w:val="-9"/>
          <w:sz w:val="13"/>
        </w:rPr>
        <w:t xml:space="preserve"> </w:t>
      </w:r>
      <w:r>
        <w:rPr>
          <w:sz w:val="13"/>
        </w:rPr>
        <w:t>Reino</w:t>
      </w:r>
      <w:r>
        <w:rPr>
          <w:spacing w:val="-9"/>
          <w:sz w:val="13"/>
        </w:rPr>
        <w:t xml:space="preserve"> </w:t>
      </w:r>
      <w:r>
        <w:rPr>
          <w:sz w:val="13"/>
        </w:rPr>
        <w:t>Unido,</w:t>
      </w:r>
      <w:r>
        <w:rPr>
          <w:spacing w:val="-9"/>
          <w:sz w:val="13"/>
        </w:rPr>
        <w:t xml:space="preserve"> </w:t>
      </w:r>
      <w:r>
        <w:rPr>
          <w:sz w:val="13"/>
        </w:rPr>
        <w:t>Universidad</w:t>
      </w:r>
      <w:r>
        <w:rPr>
          <w:spacing w:val="-9"/>
          <w:sz w:val="13"/>
        </w:rPr>
        <w:t xml:space="preserve"> </w:t>
      </w:r>
      <w:r>
        <w:rPr>
          <w:sz w:val="13"/>
        </w:rPr>
        <w:t>de</w:t>
      </w:r>
      <w:r>
        <w:rPr>
          <w:spacing w:val="-9"/>
          <w:sz w:val="13"/>
        </w:rPr>
        <w:t xml:space="preserve"> </w:t>
      </w:r>
      <w:r>
        <w:rPr>
          <w:sz w:val="13"/>
        </w:rPr>
        <w:t>Cambridge</w:t>
      </w:r>
      <w:r>
        <w:rPr>
          <w:spacing w:val="40"/>
          <w:sz w:val="13"/>
        </w:rPr>
        <w:t xml:space="preserve"> </w:t>
      </w:r>
      <w:r>
        <w:rPr>
          <w:sz w:val="13"/>
        </w:rPr>
        <w:t>Prensa,</w:t>
      </w:r>
      <w:r>
        <w:rPr>
          <w:spacing w:val="-7"/>
          <w:sz w:val="13"/>
        </w:rPr>
        <w:t xml:space="preserve"> </w:t>
      </w:r>
      <w:r>
        <w:rPr>
          <w:sz w:val="13"/>
        </w:rPr>
        <w:t>2001).</w:t>
      </w:r>
    </w:p>
    <w:p w14:paraId="69B79EB6" w14:textId="77777777" w:rsidR="0014798C" w:rsidRDefault="0014798C">
      <w:pPr>
        <w:spacing w:line="280" w:lineRule="auto"/>
        <w:rPr>
          <w:sz w:val="13"/>
        </w:rPr>
        <w:sectPr w:rsidR="0014798C" w:rsidSect="00F265E4">
          <w:pgSz w:w="11900" w:h="16820"/>
          <w:pgMar w:top="340" w:right="0" w:bottom="280" w:left="200" w:header="121" w:footer="0" w:gutter="0"/>
          <w:cols w:space="720"/>
        </w:sectPr>
      </w:pPr>
    </w:p>
    <w:p w14:paraId="4450AD98" w14:textId="77777777" w:rsidR="0014798C" w:rsidRDefault="004E1F0B">
      <w:pPr>
        <w:spacing w:before="48"/>
        <w:jc w:val="right"/>
        <w:rPr>
          <w:sz w:val="8"/>
        </w:rPr>
      </w:pPr>
      <w:r>
        <w:rPr>
          <w:spacing w:val="-5"/>
          <w:w w:val="105"/>
          <w:sz w:val="8"/>
        </w:rPr>
        <w:t>857</w:t>
      </w:r>
    </w:p>
    <w:p w14:paraId="66207543" w14:textId="77777777" w:rsidR="0014798C" w:rsidRDefault="004E1F0B">
      <w:pPr>
        <w:spacing w:before="66" w:line="280" w:lineRule="auto"/>
        <w:ind w:left="84" w:right="1704" w:hanging="7"/>
        <w:rPr>
          <w:sz w:val="13"/>
        </w:rPr>
      </w:pPr>
      <w:r>
        <w:br w:type="column"/>
      </w:r>
      <w:r>
        <w:rPr>
          <w:spacing w:val="-2"/>
          <w:sz w:val="13"/>
        </w:rPr>
        <w:t>Véase, por ejemplo, Comité de Derechos Humanos, observación general núm. 28 (2000), párr. 32; y Comité de Derechos Humanos, Lovelace v.</w:t>
      </w:r>
      <w:r>
        <w:rPr>
          <w:spacing w:val="40"/>
          <w:sz w:val="13"/>
        </w:rPr>
        <w:t xml:space="preserve"> </w:t>
      </w:r>
      <w:r>
        <w:rPr>
          <w:sz w:val="13"/>
        </w:rPr>
        <w:t>Canadá, comunicación No. 24/1977.</w:t>
      </w:r>
    </w:p>
    <w:p w14:paraId="063F6B67" w14:textId="77777777" w:rsidR="0014798C" w:rsidRDefault="0014798C">
      <w:pPr>
        <w:spacing w:line="280" w:lineRule="auto"/>
        <w:rPr>
          <w:sz w:val="13"/>
        </w:rPr>
        <w:sectPr w:rsidR="0014798C" w:rsidSect="00F265E4">
          <w:type w:val="continuous"/>
          <w:pgSz w:w="11900" w:h="16820"/>
          <w:pgMar w:top="40" w:right="0" w:bottom="280" w:left="200" w:header="121" w:footer="0" w:gutter="0"/>
          <w:cols w:num="2" w:space="720" w:equalWidth="0">
            <w:col w:w="1252" w:space="40"/>
            <w:col w:w="10408"/>
          </w:cols>
        </w:sectPr>
      </w:pPr>
    </w:p>
    <w:p w14:paraId="4A07FCA6" w14:textId="77777777" w:rsidR="0014798C" w:rsidRDefault="004E1F0B">
      <w:pPr>
        <w:pStyle w:val="Prrafodelista"/>
        <w:numPr>
          <w:ilvl w:val="0"/>
          <w:numId w:val="24"/>
        </w:numPr>
        <w:tabs>
          <w:tab w:val="left" w:pos="1356"/>
          <w:tab w:val="left" w:pos="1368"/>
        </w:tabs>
        <w:spacing w:before="66" w:line="288" w:lineRule="auto"/>
        <w:ind w:right="1933" w:hanging="258"/>
        <w:rPr>
          <w:sz w:val="13"/>
        </w:rPr>
      </w:pPr>
      <w:proofErr w:type="spellStart"/>
      <w:r>
        <w:rPr>
          <w:spacing w:val="-2"/>
          <w:sz w:val="13"/>
        </w:rPr>
        <w:t>Nemzeti</w:t>
      </w:r>
      <w:proofErr w:type="spellEnd"/>
      <w:r>
        <w:rPr>
          <w:spacing w:val="-2"/>
          <w:sz w:val="13"/>
        </w:rPr>
        <w:t xml:space="preserve"> </w:t>
      </w:r>
      <w:proofErr w:type="spellStart"/>
      <w:r>
        <w:rPr>
          <w:spacing w:val="-2"/>
          <w:sz w:val="13"/>
        </w:rPr>
        <w:t>és</w:t>
      </w:r>
      <w:proofErr w:type="spellEnd"/>
      <w:r>
        <w:rPr>
          <w:spacing w:val="-2"/>
          <w:sz w:val="13"/>
        </w:rPr>
        <w:t xml:space="preserve"> </w:t>
      </w:r>
      <w:proofErr w:type="spellStart"/>
      <w:r>
        <w:rPr>
          <w:spacing w:val="-2"/>
          <w:sz w:val="13"/>
        </w:rPr>
        <w:t>Etnikai</w:t>
      </w:r>
      <w:proofErr w:type="spellEnd"/>
      <w:r>
        <w:rPr>
          <w:spacing w:val="-2"/>
          <w:sz w:val="13"/>
        </w:rPr>
        <w:t xml:space="preserve"> </w:t>
      </w:r>
      <w:proofErr w:type="spellStart"/>
      <w:r>
        <w:rPr>
          <w:spacing w:val="-2"/>
          <w:sz w:val="13"/>
        </w:rPr>
        <w:t>Kisebbségi</w:t>
      </w:r>
      <w:proofErr w:type="spellEnd"/>
      <w:r>
        <w:rPr>
          <w:spacing w:val="-2"/>
          <w:sz w:val="13"/>
        </w:rPr>
        <w:t xml:space="preserve"> </w:t>
      </w:r>
      <w:proofErr w:type="spellStart"/>
      <w:r>
        <w:rPr>
          <w:spacing w:val="-2"/>
          <w:sz w:val="13"/>
        </w:rPr>
        <w:t>Jogvédő</w:t>
      </w:r>
      <w:proofErr w:type="spellEnd"/>
      <w:r>
        <w:rPr>
          <w:spacing w:val="-2"/>
          <w:sz w:val="13"/>
        </w:rPr>
        <w:t xml:space="preserve"> </w:t>
      </w:r>
      <w:proofErr w:type="spellStart"/>
      <w:r>
        <w:rPr>
          <w:spacing w:val="-2"/>
          <w:sz w:val="13"/>
        </w:rPr>
        <w:t>Iroda</w:t>
      </w:r>
      <w:proofErr w:type="spellEnd"/>
      <w:r>
        <w:rPr>
          <w:spacing w:val="-2"/>
          <w:sz w:val="13"/>
        </w:rPr>
        <w:t xml:space="preserve"> (NEKI), Caso </w:t>
      </w:r>
      <w:proofErr w:type="spellStart"/>
      <w:r>
        <w:rPr>
          <w:spacing w:val="-2"/>
          <w:sz w:val="13"/>
        </w:rPr>
        <w:t>Tamas</w:t>
      </w:r>
      <w:proofErr w:type="spellEnd"/>
      <w:r>
        <w:rPr>
          <w:spacing w:val="-2"/>
          <w:sz w:val="13"/>
        </w:rPr>
        <w:t xml:space="preserve"> H. 1997, </w:t>
      </w:r>
      <w:hyperlink r:id="rId237">
        <w:r>
          <w:rPr>
            <w:color w:val="0075BF"/>
            <w:spacing w:val="-2"/>
            <w:sz w:val="13"/>
          </w:rPr>
          <w:t>https://www.neki.hu/archivum-feher-fuzet/,</w:t>
        </w:r>
      </w:hyperlink>
      <w:r>
        <w:rPr>
          <w:color w:val="0075BF"/>
          <w:spacing w:val="-2"/>
          <w:sz w:val="13"/>
        </w:rPr>
        <w:t xml:space="preserve"> </w:t>
      </w:r>
      <w:r>
        <w:rPr>
          <w:spacing w:val="-2"/>
          <w:sz w:val="13"/>
        </w:rPr>
        <w:t xml:space="preserve">también resumido en: </w:t>
      </w:r>
      <w:r>
        <w:rPr>
          <w:color w:val="0075BF"/>
          <w:spacing w:val="-2"/>
          <w:sz w:val="13"/>
        </w:rPr>
        <w:t>https://</w:t>
      </w:r>
      <w:r>
        <w:rPr>
          <w:color w:val="0075BF"/>
          <w:spacing w:val="40"/>
          <w:sz w:val="13"/>
        </w:rPr>
        <w:t xml:space="preserve"> </w:t>
      </w:r>
      <w:r>
        <w:rPr>
          <w:color w:val="0075BF"/>
          <w:spacing w:val="-2"/>
          <w:sz w:val="13"/>
        </w:rPr>
        <w:t>magyarnarancs.hu/belpol/perek_szelsojobboldaliak_ellen_itelet_is_meg_nem_is-61981?fbclid=IwAR2kxIEkPDVj_syl5_</w:t>
      </w:r>
      <w:r>
        <w:rPr>
          <w:color w:val="0075BF"/>
          <w:spacing w:val="40"/>
          <w:sz w:val="13"/>
        </w:rPr>
        <w:t xml:space="preserve"> </w:t>
      </w:r>
      <w:r>
        <w:rPr>
          <w:color w:val="0075BF"/>
          <w:spacing w:val="-2"/>
          <w:sz w:val="13"/>
        </w:rPr>
        <w:t>ulZRU8utBPKJy1gwh1rMJ6CxnAxylbvCAjoxDu8YE.</w:t>
      </w:r>
    </w:p>
    <w:p w14:paraId="2F7448EB" w14:textId="77777777" w:rsidR="0014798C" w:rsidRDefault="0014798C">
      <w:pPr>
        <w:pStyle w:val="Textoindependiente"/>
        <w:rPr>
          <w:sz w:val="17"/>
        </w:rPr>
      </w:pPr>
    </w:p>
    <w:p w14:paraId="1B1E2655" w14:textId="77777777" w:rsidR="0014798C" w:rsidRDefault="0014798C">
      <w:pPr>
        <w:pStyle w:val="Textoindependiente"/>
        <w:rPr>
          <w:sz w:val="17"/>
        </w:rPr>
      </w:pPr>
    </w:p>
    <w:p w14:paraId="6EB13EE0" w14:textId="77777777" w:rsidR="0014798C" w:rsidRDefault="0014798C">
      <w:pPr>
        <w:pStyle w:val="Textoindependiente"/>
        <w:spacing w:before="24"/>
        <w:rPr>
          <w:sz w:val="17"/>
        </w:rPr>
      </w:pPr>
    </w:p>
    <w:p w14:paraId="20C619D4" w14:textId="77777777" w:rsidR="0014798C" w:rsidRDefault="004E1F0B">
      <w:pPr>
        <w:ind w:right="710"/>
        <w:jc w:val="right"/>
        <w:rPr>
          <w:sz w:val="17"/>
        </w:rPr>
      </w:pPr>
      <w:r>
        <w:rPr>
          <w:spacing w:val="-5"/>
          <w:w w:val="105"/>
          <w:sz w:val="17"/>
        </w:rPr>
        <w:t>125</w:t>
      </w:r>
    </w:p>
    <w:p w14:paraId="6AD996A1" w14:textId="77777777" w:rsidR="0014798C" w:rsidRDefault="0014798C">
      <w:pPr>
        <w:jc w:val="right"/>
        <w:rPr>
          <w:sz w:val="17"/>
        </w:rPr>
        <w:sectPr w:rsidR="0014798C" w:rsidSect="00F265E4">
          <w:type w:val="continuous"/>
          <w:pgSz w:w="11900" w:h="16820"/>
          <w:pgMar w:top="40" w:right="0" w:bottom="280" w:left="200" w:header="121" w:footer="0" w:gutter="0"/>
          <w:cols w:space="720"/>
        </w:sectPr>
      </w:pPr>
    </w:p>
    <w:p w14:paraId="38749CAB" w14:textId="77777777" w:rsidR="0014798C" w:rsidRDefault="0014798C">
      <w:pPr>
        <w:pStyle w:val="Textoindependiente"/>
        <w:spacing w:before="85"/>
        <w:rPr>
          <w:sz w:val="12"/>
        </w:rPr>
      </w:pPr>
    </w:p>
    <w:p w14:paraId="6CAB2176" w14:textId="77777777" w:rsidR="0014798C" w:rsidRDefault="004E1F0B">
      <w:pPr>
        <w:ind w:left="1111"/>
        <w:rPr>
          <w:sz w:val="12"/>
        </w:rPr>
      </w:pPr>
      <w:r>
        <w:rPr>
          <w:color w:val="803108"/>
          <w:sz w:val="12"/>
        </w:rPr>
        <w:t>PROTECCIÓN</w:t>
      </w:r>
      <w:r>
        <w:rPr>
          <w:color w:val="803108"/>
          <w:spacing w:val="6"/>
          <w:sz w:val="12"/>
        </w:rPr>
        <w:t xml:space="preserve"> </w:t>
      </w:r>
      <w:r>
        <w:rPr>
          <w:color w:val="803108"/>
          <w:sz w:val="12"/>
        </w:rPr>
        <w:t>DE</w:t>
      </w:r>
      <w:r>
        <w:rPr>
          <w:color w:val="803108"/>
          <w:spacing w:val="7"/>
          <w:sz w:val="12"/>
        </w:rPr>
        <w:t xml:space="preserve"> </w:t>
      </w:r>
      <w:r>
        <w:rPr>
          <w:color w:val="803108"/>
          <w:sz w:val="12"/>
        </w:rPr>
        <w:t>LOS</w:t>
      </w:r>
      <w:r>
        <w:rPr>
          <w:color w:val="803108"/>
          <w:spacing w:val="8"/>
          <w:sz w:val="12"/>
        </w:rPr>
        <w:t xml:space="preserve"> </w:t>
      </w:r>
      <w:r>
        <w:rPr>
          <w:color w:val="803108"/>
          <w:sz w:val="12"/>
        </w:rPr>
        <w:t>DERECHOS</w:t>
      </w:r>
      <w:r>
        <w:rPr>
          <w:color w:val="803108"/>
          <w:spacing w:val="8"/>
          <w:sz w:val="12"/>
        </w:rPr>
        <w:t xml:space="preserve"> </w:t>
      </w:r>
      <w:r>
        <w:rPr>
          <w:color w:val="803108"/>
          <w:sz w:val="12"/>
        </w:rPr>
        <w:t>DE</w:t>
      </w:r>
      <w:r>
        <w:rPr>
          <w:color w:val="803108"/>
          <w:spacing w:val="6"/>
          <w:sz w:val="12"/>
        </w:rPr>
        <w:t xml:space="preserve"> </w:t>
      </w:r>
      <w:r>
        <w:rPr>
          <w:color w:val="803108"/>
          <w:sz w:val="12"/>
        </w:rPr>
        <w:t>LAS</w:t>
      </w:r>
      <w:r>
        <w:rPr>
          <w:color w:val="803108"/>
          <w:spacing w:val="7"/>
          <w:sz w:val="12"/>
        </w:rPr>
        <w:t xml:space="preserve"> </w:t>
      </w:r>
      <w:r>
        <w:rPr>
          <w:color w:val="803108"/>
          <w:sz w:val="12"/>
        </w:rPr>
        <w:t>MINORÍAS:</w:t>
      </w:r>
      <w:r>
        <w:rPr>
          <w:color w:val="803108"/>
          <w:spacing w:val="8"/>
          <w:sz w:val="12"/>
        </w:rPr>
        <w:t xml:space="preserve"> </w:t>
      </w:r>
      <w:r>
        <w:rPr>
          <w:color w:val="803108"/>
          <w:sz w:val="12"/>
        </w:rPr>
        <w:t>una</w:t>
      </w:r>
      <w:r>
        <w:rPr>
          <w:color w:val="803108"/>
          <w:spacing w:val="7"/>
          <w:sz w:val="12"/>
        </w:rPr>
        <w:t xml:space="preserve"> </w:t>
      </w:r>
      <w:r>
        <w:rPr>
          <w:color w:val="803108"/>
          <w:sz w:val="12"/>
        </w:rPr>
        <w:t>guía</w:t>
      </w:r>
      <w:r>
        <w:rPr>
          <w:color w:val="803108"/>
          <w:spacing w:val="6"/>
          <w:sz w:val="12"/>
        </w:rPr>
        <w:t xml:space="preserve"> </w:t>
      </w:r>
      <w:r>
        <w:rPr>
          <w:color w:val="803108"/>
          <w:sz w:val="12"/>
        </w:rPr>
        <w:t>práctica</w:t>
      </w:r>
      <w:r>
        <w:rPr>
          <w:color w:val="803108"/>
          <w:spacing w:val="7"/>
          <w:sz w:val="12"/>
        </w:rPr>
        <w:t xml:space="preserve"> </w:t>
      </w:r>
      <w:r>
        <w:rPr>
          <w:color w:val="803108"/>
          <w:sz w:val="12"/>
        </w:rPr>
        <w:t>para</w:t>
      </w:r>
      <w:r>
        <w:rPr>
          <w:color w:val="803108"/>
          <w:spacing w:val="8"/>
          <w:sz w:val="12"/>
        </w:rPr>
        <w:t xml:space="preserve"> </w:t>
      </w:r>
      <w:r>
        <w:rPr>
          <w:color w:val="803108"/>
          <w:sz w:val="12"/>
        </w:rPr>
        <w:t>desarrollar</w:t>
      </w:r>
      <w:r>
        <w:rPr>
          <w:color w:val="803108"/>
          <w:spacing w:val="6"/>
          <w:sz w:val="12"/>
        </w:rPr>
        <w:t xml:space="preserve"> </w:t>
      </w:r>
      <w:r>
        <w:rPr>
          <w:color w:val="803108"/>
          <w:sz w:val="12"/>
        </w:rPr>
        <w:t>una</w:t>
      </w:r>
      <w:r>
        <w:rPr>
          <w:color w:val="803108"/>
          <w:spacing w:val="7"/>
          <w:sz w:val="12"/>
        </w:rPr>
        <w:t xml:space="preserve"> </w:t>
      </w:r>
      <w:r>
        <w:rPr>
          <w:color w:val="803108"/>
          <w:sz w:val="12"/>
        </w:rPr>
        <w:t>legislación</w:t>
      </w:r>
      <w:r>
        <w:rPr>
          <w:color w:val="803108"/>
          <w:spacing w:val="8"/>
          <w:sz w:val="12"/>
        </w:rPr>
        <w:t xml:space="preserve"> </w:t>
      </w:r>
      <w:r>
        <w:rPr>
          <w:color w:val="803108"/>
          <w:sz w:val="12"/>
        </w:rPr>
        <w:t>integral</w:t>
      </w:r>
      <w:r>
        <w:rPr>
          <w:color w:val="803108"/>
          <w:spacing w:val="7"/>
          <w:sz w:val="12"/>
        </w:rPr>
        <w:t xml:space="preserve"> </w:t>
      </w:r>
      <w:r>
        <w:rPr>
          <w:color w:val="803108"/>
          <w:sz w:val="12"/>
        </w:rPr>
        <w:t>contra</w:t>
      </w:r>
      <w:r>
        <w:rPr>
          <w:color w:val="803108"/>
          <w:spacing w:val="6"/>
          <w:sz w:val="12"/>
        </w:rPr>
        <w:t xml:space="preserve"> </w:t>
      </w:r>
      <w:r>
        <w:rPr>
          <w:color w:val="803108"/>
          <w:sz w:val="12"/>
        </w:rPr>
        <w:t>la</w:t>
      </w:r>
      <w:r>
        <w:rPr>
          <w:color w:val="803108"/>
          <w:spacing w:val="7"/>
          <w:sz w:val="12"/>
        </w:rPr>
        <w:t xml:space="preserve"> </w:t>
      </w:r>
      <w:r>
        <w:rPr>
          <w:color w:val="803108"/>
          <w:spacing w:val="-2"/>
          <w:sz w:val="12"/>
        </w:rPr>
        <w:t>discriminación</w:t>
      </w:r>
    </w:p>
    <w:p w14:paraId="7C2FA7CC" w14:textId="77777777" w:rsidR="0014798C" w:rsidRDefault="0014798C">
      <w:pPr>
        <w:pStyle w:val="Textoindependiente"/>
      </w:pPr>
    </w:p>
    <w:p w14:paraId="4B4527BB" w14:textId="77777777" w:rsidR="0014798C" w:rsidRDefault="0014798C">
      <w:pPr>
        <w:pStyle w:val="Textoindependiente"/>
      </w:pPr>
    </w:p>
    <w:p w14:paraId="37121D0E" w14:textId="77777777" w:rsidR="0014798C" w:rsidRDefault="0014798C">
      <w:pPr>
        <w:pStyle w:val="Textoindependiente"/>
      </w:pPr>
    </w:p>
    <w:p w14:paraId="4CF1800C" w14:textId="77777777" w:rsidR="0014798C" w:rsidRDefault="0014798C">
      <w:pPr>
        <w:pStyle w:val="Textoindependiente"/>
      </w:pPr>
    </w:p>
    <w:p w14:paraId="67CA1DA8" w14:textId="77777777" w:rsidR="0014798C" w:rsidRDefault="0014798C">
      <w:pPr>
        <w:pStyle w:val="Textoindependiente"/>
        <w:spacing w:before="73"/>
      </w:pPr>
    </w:p>
    <w:p w14:paraId="4FE092F1" w14:textId="77777777" w:rsidR="0014798C" w:rsidRDefault="004E1F0B">
      <w:pPr>
        <w:pStyle w:val="Textoindependiente"/>
        <w:spacing w:line="326" w:lineRule="auto"/>
        <w:ind w:left="1107" w:right="1463" w:firstLine="4"/>
      </w:pPr>
      <w:r>
        <w:t>aspectos de los derechos de las minorías, sino que pretende explorar aspectos de la aplicación particular de la ley contra la discriminación a los derechos de las minorías y los dilemas particulares que surgen a este respecto. El objetivo principal es ayudar a quienes participan en el desarrollo de leyes contra la discriminación a comprender la aplicación del derecho a la no discriminación en el contexto de los derechos de las minorías.</w:t>
      </w:r>
    </w:p>
    <w:p w14:paraId="75720A61" w14:textId="77777777" w:rsidR="0014798C" w:rsidRDefault="0014798C">
      <w:pPr>
        <w:pStyle w:val="Textoindependiente"/>
        <w:spacing w:before="74"/>
        <w:rPr>
          <w:sz w:val="22"/>
        </w:rPr>
      </w:pPr>
    </w:p>
    <w:p w14:paraId="33051B7B" w14:textId="77777777" w:rsidR="0014798C" w:rsidRDefault="004E1F0B">
      <w:pPr>
        <w:numPr>
          <w:ilvl w:val="0"/>
          <w:numId w:val="23"/>
        </w:numPr>
        <w:tabs>
          <w:tab w:val="left" w:pos="1365"/>
        </w:tabs>
        <w:ind w:left="1365" w:hanging="265"/>
        <w:rPr>
          <w:color w:val="803108"/>
        </w:rPr>
      </w:pPr>
      <w:bookmarkStart w:id="19" w:name="_TOC_250005"/>
      <w:r>
        <w:rPr>
          <w:color w:val="803108"/>
        </w:rPr>
        <w:t>Derechos</w:t>
      </w:r>
      <w:r>
        <w:rPr>
          <w:color w:val="803108"/>
          <w:spacing w:val="-9"/>
        </w:rPr>
        <w:t xml:space="preserve"> </w:t>
      </w:r>
      <w:r>
        <w:rPr>
          <w:color w:val="803108"/>
        </w:rPr>
        <w:t>de</w:t>
      </w:r>
      <w:r>
        <w:rPr>
          <w:color w:val="803108"/>
          <w:spacing w:val="-8"/>
        </w:rPr>
        <w:t xml:space="preserve"> </w:t>
      </w:r>
      <w:r>
        <w:rPr>
          <w:color w:val="803108"/>
        </w:rPr>
        <w:t>las</w:t>
      </w:r>
      <w:r>
        <w:rPr>
          <w:color w:val="803108"/>
          <w:spacing w:val="-8"/>
        </w:rPr>
        <w:t xml:space="preserve"> </w:t>
      </w:r>
      <w:r>
        <w:rPr>
          <w:color w:val="803108"/>
        </w:rPr>
        <w:t>minorías</w:t>
      </w:r>
      <w:r>
        <w:rPr>
          <w:color w:val="803108"/>
          <w:spacing w:val="-9"/>
        </w:rPr>
        <w:t xml:space="preserve"> </w:t>
      </w:r>
      <w:r>
        <w:rPr>
          <w:color w:val="803108"/>
        </w:rPr>
        <w:t>según</w:t>
      </w:r>
      <w:r>
        <w:rPr>
          <w:color w:val="803108"/>
          <w:spacing w:val="-9"/>
        </w:rPr>
        <w:t xml:space="preserve"> </w:t>
      </w:r>
      <w:r>
        <w:rPr>
          <w:color w:val="803108"/>
        </w:rPr>
        <w:t>el</w:t>
      </w:r>
      <w:r>
        <w:rPr>
          <w:color w:val="803108"/>
          <w:spacing w:val="-8"/>
        </w:rPr>
        <w:t xml:space="preserve"> </w:t>
      </w:r>
      <w:r>
        <w:rPr>
          <w:color w:val="803108"/>
        </w:rPr>
        <w:t>derecho</w:t>
      </w:r>
      <w:r>
        <w:rPr>
          <w:color w:val="803108"/>
          <w:spacing w:val="-8"/>
        </w:rPr>
        <w:t xml:space="preserve"> </w:t>
      </w:r>
      <w:bookmarkEnd w:id="19"/>
      <w:r>
        <w:rPr>
          <w:color w:val="803108"/>
          <w:spacing w:val="-2"/>
        </w:rPr>
        <w:t>internacional</w:t>
      </w:r>
    </w:p>
    <w:p w14:paraId="65FC1B6B" w14:textId="77777777" w:rsidR="0014798C" w:rsidRDefault="0014798C">
      <w:pPr>
        <w:pStyle w:val="Textoindependiente"/>
        <w:spacing w:before="87"/>
      </w:pPr>
    </w:p>
    <w:p w14:paraId="13B4BAA1" w14:textId="77777777" w:rsidR="0014798C" w:rsidRDefault="004E1F0B">
      <w:pPr>
        <w:pStyle w:val="Textoindependiente"/>
        <w:spacing w:line="326" w:lineRule="auto"/>
        <w:ind w:left="1107" w:right="1272" w:hanging="1"/>
      </w:pPr>
      <w:r>
        <w:t>Como</w:t>
      </w:r>
      <w:r>
        <w:rPr>
          <w:spacing w:val="13"/>
        </w:rPr>
        <w:t xml:space="preserve"> </w:t>
      </w:r>
      <w:r>
        <w:t>se</w:t>
      </w:r>
      <w:r>
        <w:rPr>
          <w:spacing w:val="13"/>
        </w:rPr>
        <w:t xml:space="preserve"> </w:t>
      </w:r>
      <w:r>
        <w:t>señaló</w:t>
      </w:r>
      <w:r>
        <w:rPr>
          <w:spacing w:val="13"/>
        </w:rPr>
        <w:t xml:space="preserve"> </w:t>
      </w:r>
      <w:r>
        <w:t>anteriormente,</w:t>
      </w:r>
      <w:r>
        <w:rPr>
          <w:spacing w:val="14"/>
        </w:rPr>
        <w:t xml:space="preserve"> </w:t>
      </w:r>
      <w:r>
        <w:t>el</w:t>
      </w:r>
      <w:r>
        <w:rPr>
          <w:spacing w:val="13"/>
        </w:rPr>
        <w:t xml:space="preserve"> </w:t>
      </w:r>
      <w:r>
        <w:t>artículo</w:t>
      </w:r>
      <w:r>
        <w:rPr>
          <w:spacing w:val="13"/>
        </w:rPr>
        <w:t xml:space="preserve"> </w:t>
      </w:r>
      <w:r>
        <w:t>27</w:t>
      </w:r>
      <w:r>
        <w:rPr>
          <w:spacing w:val="13"/>
        </w:rPr>
        <w:t xml:space="preserve"> </w:t>
      </w:r>
      <w:r>
        <w:t>del</w:t>
      </w:r>
      <w:r>
        <w:rPr>
          <w:spacing w:val="13"/>
        </w:rPr>
        <w:t xml:space="preserve"> </w:t>
      </w:r>
      <w:r>
        <w:t>Pacto</w:t>
      </w:r>
      <w:r>
        <w:rPr>
          <w:spacing w:val="13"/>
        </w:rPr>
        <w:t xml:space="preserve"> </w:t>
      </w:r>
      <w:r>
        <w:t>Internacional</w:t>
      </w:r>
      <w:r>
        <w:rPr>
          <w:spacing w:val="13"/>
        </w:rPr>
        <w:t xml:space="preserve"> </w:t>
      </w:r>
      <w:r>
        <w:t>de</w:t>
      </w:r>
      <w:r>
        <w:rPr>
          <w:spacing w:val="13"/>
        </w:rPr>
        <w:t xml:space="preserve"> </w:t>
      </w:r>
      <w:r>
        <w:t>Derechos</w:t>
      </w:r>
      <w:r>
        <w:rPr>
          <w:spacing w:val="13"/>
        </w:rPr>
        <w:t xml:space="preserve"> </w:t>
      </w:r>
      <w:r>
        <w:t>Civiles</w:t>
      </w:r>
      <w:r>
        <w:rPr>
          <w:spacing w:val="13"/>
        </w:rPr>
        <w:t xml:space="preserve"> </w:t>
      </w:r>
      <w:r>
        <w:t>y</w:t>
      </w:r>
      <w:r>
        <w:rPr>
          <w:spacing w:val="13"/>
        </w:rPr>
        <w:t xml:space="preserve"> </w:t>
      </w:r>
      <w:r>
        <w:t>Políticos</w:t>
      </w:r>
      <w:r>
        <w:rPr>
          <w:spacing w:val="13"/>
        </w:rPr>
        <w:t xml:space="preserve"> </w:t>
      </w:r>
      <w:r>
        <w:t>establece</w:t>
      </w:r>
      <w:r>
        <w:rPr>
          <w:spacing w:val="13"/>
        </w:rPr>
        <w:t xml:space="preserve"> </w:t>
      </w:r>
      <w:r>
        <w:t>que</w:t>
      </w:r>
      <w:r>
        <w:rPr>
          <w:spacing w:val="13"/>
        </w:rPr>
        <w:t xml:space="preserve"> </w:t>
      </w:r>
      <w:r>
        <w:t>a</w:t>
      </w:r>
      <w:r>
        <w:rPr>
          <w:spacing w:val="13"/>
        </w:rPr>
        <w:t xml:space="preserve"> </w:t>
      </w:r>
      <w:r>
        <w:t>las personas pertenecientes a minorías étnicas, religiosas o lingüísticas "no se les negará el derecho, en comunidad con los demás miembros de su grupo, a disfrutar de su propia cultura"</w:t>
      </w:r>
      <w:proofErr w:type="gramStart"/>
      <w:r>
        <w:t>. ,</w:t>
      </w:r>
      <w:proofErr w:type="gramEnd"/>
      <w:r>
        <w:t xml:space="preserve"> profesar y practicar su propia religión, o utilizar su propia lengua”. El artículo 30 de la Convención sobre los Derechos del Niño proporciona garantías similares, incluidas las “personas de origen indígena”, además de las minorías étnicas, religiosas o lingüísticas. Los tratados regionales de derechos humanos también establecen disposiciones explícitas sobre los derechos de las minorías.859</w:t>
      </w:r>
    </w:p>
    <w:p w14:paraId="17687567" w14:textId="77777777" w:rsidR="0014798C" w:rsidRDefault="004E1F0B">
      <w:pPr>
        <w:pStyle w:val="Textoindependiente"/>
        <w:spacing w:before="167" w:line="326" w:lineRule="auto"/>
        <w:ind w:left="1108" w:right="1335" w:hanging="2"/>
      </w:pPr>
      <w:r>
        <w:t xml:space="preserve">El Comité de Derechos Humanos, en su Observación general </w:t>
      </w:r>
      <w:proofErr w:type="spellStart"/>
      <w:r>
        <w:t>Nº</w:t>
      </w:r>
      <w:proofErr w:type="spellEnd"/>
      <w:r>
        <w:t xml:space="preserve"> 23 (1994), ha establecido una serie de elementos de los derechos establecidos en el artículo 27 del Pacto Internacional de Derechos Civiles y Políticos. En particular, ha observado que:</w:t>
      </w:r>
    </w:p>
    <w:p w14:paraId="1D6CABC3" w14:textId="77777777" w:rsidR="0014798C" w:rsidRDefault="0014798C">
      <w:pPr>
        <w:pStyle w:val="Textoindependiente"/>
        <w:spacing w:before="178"/>
      </w:pPr>
    </w:p>
    <w:p w14:paraId="6D062C48" w14:textId="77777777" w:rsidR="0014798C" w:rsidRDefault="004E1F0B">
      <w:pPr>
        <w:pStyle w:val="Textoindependiente"/>
        <w:spacing w:line="326" w:lineRule="auto"/>
        <w:ind w:left="1677" w:right="1626" w:hanging="6"/>
      </w:pPr>
      <w:r>
        <w:rPr>
          <w:color w:val="803108"/>
        </w:rPr>
        <w:t>Aunque</w:t>
      </w:r>
      <w:r>
        <w:rPr>
          <w:color w:val="803108"/>
          <w:spacing w:val="14"/>
        </w:rPr>
        <w:t xml:space="preserve"> </w:t>
      </w:r>
      <w:r>
        <w:rPr>
          <w:color w:val="803108"/>
        </w:rPr>
        <w:t>los</w:t>
      </w:r>
      <w:r>
        <w:rPr>
          <w:color w:val="803108"/>
          <w:spacing w:val="14"/>
        </w:rPr>
        <w:t xml:space="preserve"> </w:t>
      </w:r>
      <w:r>
        <w:rPr>
          <w:color w:val="803108"/>
        </w:rPr>
        <w:t>derechos</w:t>
      </w:r>
      <w:r>
        <w:rPr>
          <w:color w:val="803108"/>
          <w:spacing w:val="14"/>
        </w:rPr>
        <w:t xml:space="preserve"> </w:t>
      </w:r>
      <w:r>
        <w:rPr>
          <w:color w:val="803108"/>
        </w:rPr>
        <w:t>protegidos</w:t>
      </w:r>
      <w:r>
        <w:rPr>
          <w:color w:val="803108"/>
          <w:spacing w:val="14"/>
        </w:rPr>
        <w:t xml:space="preserve"> </w:t>
      </w:r>
      <w:r>
        <w:rPr>
          <w:color w:val="803108"/>
        </w:rPr>
        <w:t>por</w:t>
      </w:r>
      <w:r>
        <w:rPr>
          <w:color w:val="803108"/>
          <w:spacing w:val="14"/>
        </w:rPr>
        <w:t xml:space="preserve"> </w:t>
      </w:r>
      <w:r>
        <w:rPr>
          <w:color w:val="803108"/>
        </w:rPr>
        <w:t>el</w:t>
      </w:r>
      <w:r>
        <w:rPr>
          <w:color w:val="803108"/>
          <w:spacing w:val="14"/>
        </w:rPr>
        <w:t xml:space="preserve"> </w:t>
      </w:r>
      <w:r>
        <w:rPr>
          <w:color w:val="803108"/>
        </w:rPr>
        <w:t>artículo</w:t>
      </w:r>
      <w:r>
        <w:rPr>
          <w:color w:val="803108"/>
          <w:spacing w:val="14"/>
        </w:rPr>
        <w:t xml:space="preserve"> </w:t>
      </w:r>
      <w:r>
        <w:rPr>
          <w:color w:val="803108"/>
        </w:rPr>
        <w:t>27</w:t>
      </w:r>
      <w:r>
        <w:rPr>
          <w:color w:val="803108"/>
          <w:spacing w:val="14"/>
        </w:rPr>
        <w:t xml:space="preserve"> </w:t>
      </w:r>
      <w:r>
        <w:rPr>
          <w:color w:val="803108"/>
        </w:rPr>
        <w:t>son</w:t>
      </w:r>
      <w:r>
        <w:rPr>
          <w:color w:val="803108"/>
          <w:spacing w:val="14"/>
        </w:rPr>
        <w:t xml:space="preserve"> </w:t>
      </w:r>
      <w:r>
        <w:rPr>
          <w:color w:val="803108"/>
        </w:rPr>
        <w:t>derechos</w:t>
      </w:r>
      <w:r>
        <w:rPr>
          <w:color w:val="803108"/>
          <w:spacing w:val="14"/>
        </w:rPr>
        <w:t xml:space="preserve"> </w:t>
      </w:r>
      <w:r>
        <w:rPr>
          <w:color w:val="803108"/>
        </w:rPr>
        <w:t>individuales,</w:t>
      </w:r>
      <w:r>
        <w:rPr>
          <w:color w:val="803108"/>
          <w:spacing w:val="17"/>
        </w:rPr>
        <w:t xml:space="preserve"> </w:t>
      </w:r>
      <w:r>
        <w:rPr>
          <w:color w:val="803108"/>
        </w:rPr>
        <w:t>dependen</w:t>
      </w:r>
      <w:r>
        <w:rPr>
          <w:color w:val="803108"/>
          <w:spacing w:val="14"/>
        </w:rPr>
        <w:t xml:space="preserve"> </w:t>
      </w:r>
      <w:r>
        <w:rPr>
          <w:color w:val="803108"/>
        </w:rPr>
        <w:t>a</w:t>
      </w:r>
      <w:r>
        <w:rPr>
          <w:color w:val="803108"/>
          <w:spacing w:val="14"/>
        </w:rPr>
        <w:t xml:space="preserve"> </w:t>
      </w:r>
      <w:r>
        <w:rPr>
          <w:color w:val="803108"/>
        </w:rPr>
        <w:t>su</w:t>
      </w:r>
      <w:r>
        <w:rPr>
          <w:color w:val="803108"/>
          <w:spacing w:val="14"/>
        </w:rPr>
        <w:t xml:space="preserve"> </w:t>
      </w:r>
      <w:r>
        <w:rPr>
          <w:color w:val="803108"/>
        </w:rPr>
        <w:t>vez</w:t>
      </w:r>
      <w:r>
        <w:rPr>
          <w:color w:val="803108"/>
          <w:spacing w:val="14"/>
        </w:rPr>
        <w:t xml:space="preserve"> </w:t>
      </w:r>
      <w:r>
        <w:rPr>
          <w:color w:val="803108"/>
        </w:rPr>
        <w:t>de</w:t>
      </w:r>
      <w:r>
        <w:rPr>
          <w:color w:val="803108"/>
          <w:spacing w:val="14"/>
        </w:rPr>
        <w:t xml:space="preserve"> </w:t>
      </w:r>
      <w:r>
        <w:rPr>
          <w:color w:val="803108"/>
        </w:rPr>
        <w:t>la</w:t>
      </w:r>
      <w:r>
        <w:rPr>
          <w:color w:val="803108"/>
          <w:spacing w:val="14"/>
        </w:rPr>
        <w:t xml:space="preserve"> </w:t>
      </w:r>
      <w:r>
        <w:rPr>
          <w:color w:val="803108"/>
        </w:rPr>
        <w:t>capacidad del grupo minoritario para mantener su cultura, idioma o religión. En consecuencia, también pueden ser necesarias</w:t>
      </w:r>
    </w:p>
    <w:p w14:paraId="20DDBB32" w14:textId="77777777" w:rsidR="0014798C" w:rsidRDefault="004E1F0B">
      <w:pPr>
        <w:pStyle w:val="Textoindependiente"/>
        <w:spacing w:line="326" w:lineRule="auto"/>
        <w:ind w:left="1674" w:right="1479" w:hanging="5"/>
      </w:pPr>
      <w:r>
        <w:rPr>
          <w:color w:val="803108"/>
        </w:rPr>
        <w:t>medidas</w:t>
      </w:r>
      <w:r>
        <w:rPr>
          <w:color w:val="803108"/>
          <w:spacing w:val="6"/>
        </w:rPr>
        <w:t xml:space="preserve"> </w:t>
      </w:r>
      <w:r>
        <w:rPr>
          <w:color w:val="803108"/>
        </w:rPr>
        <w:t>positivas</w:t>
      </w:r>
      <w:r>
        <w:rPr>
          <w:color w:val="803108"/>
          <w:spacing w:val="6"/>
        </w:rPr>
        <w:t xml:space="preserve"> </w:t>
      </w:r>
      <w:r>
        <w:rPr>
          <w:color w:val="803108"/>
        </w:rPr>
        <w:t>por</w:t>
      </w:r>
      <w:r>
        <w:rPr>
          <w:color w:val="803108"/>
          <w:spacing w:val="6"/>
        </w:rPr>
        <w:t xml:space="preserve"> </w:t>
      </w:r>
      <w:r>
        <w:rPr>
          <w:color w:val="803108"/>
        </w:rPr>
        <w:t>parte</w:t>
      </w:r>
      <w:r>
        <w:rPr>
          <w:color w:val="803108"/>
          <w:spacing w:val="6"/>
        </w:rPr>
        <w:t xml:space="preserve"> </w:t>
      </w:r>
      <w:r>
        <w:rPr>
          <w:color w:val="803108"/>
        </w:rPr>
        <w:t>de</w:t>
      </w:r>
      <w:r>
        <w:rPr>
          <w:color w:val="803108"/>
          <w:spacing w:val="6"/>
        </w:rPr>
        <w:t xml:space="preserve"> </w:t>
      </w:r>
      <w:r>
        <w:rPr>
          <w:color w:val="803108"/>
        </w:rPr>
        <w:t>los</w:t>
      </w:r>
      <w:r>
        <w:rPr>
          <w:color w:val="803108"/>
          <w:spacing w:val="6"/>
        </w:rPr>
        <w:t xml:space="preserve"> </w:t>
      </w:r>
      <w:r>
        <w:rPr>
          <w:color w:val="803108"/>
        </w:rPr>
        <w:t>Estados</w:t>
      </w:r>
      <w:r>
        <w:rPr>
          <w:color w:val="803108"/>
          <w:spacing w:val="6"/>
        </w:rPr>
        <w:t xml:space="preserve"> </w:t>
      </w:r>
      <w:r>
        <w:rPr>
          <w:color w:val="803108"/>
        </w:rPr>
        <w:t>para</w:t>
      </w:r>
      <w:r>
        <w:rPr>
          <w:color w:val="803108"/>
          <w:spacing w:val="6"/>
        </w:rPr>
        <w:t xml:space="preserve"> </w:t>
      </w:r>
      <w:r>
        <w:rPr>
          <w:color w:val="803108"/>
        </w:rPr>
        <w:t>proteger</w:t>
      </w:r>
      <w:r>
        <w:rPr>
          <w:color w:val="803108"/>
          <w:spacing w:val="6"/>
        </w:rPr>
        <w:t xml:space="preserve"> </w:t>
      </w:r>
      <w:r>
        <w:rPr>
          <w:color w:val="803108"/>
        </w:rPr>
        <w:t>la</w:t>
      </w:r>
      <w:r>
        <w:rPr>
          <w:color w:val="803108"/>
          <w:spacing w:val="6"/>
        </w:rPr>
        <w:t xml:space="preserve"> </w:t>
      </w:r>
      <w:r>
        <w:rPr>
          <w:color w:val="803108"/>
        </w:rPr>
        <w:t>identidad</w:t>
      </w:r>
      <w:r>
        <w:rPr>
          <w:color w:val="803108"/>
          <w:spacing w:val="6"/>
        </w:rPr>
        <w:t xml:space="preserve"> </w:t>
      </w:r>
      <w:r>
        <w:rPr>
          <w:color w:val="803108"/>
        </w:rPr>
        <w:t>de</w:t>
      </w:r>
      <w:r>
        <w:rPr>
          <w:color w:val="803108"/>
          <w:spacing w:val="6"/>
        </w:rPr>
        <w:t xml:space="preserve"> </w:t>
      </w:r>
      <w:r>
        <w:rPr>
          <w:color w:val="803108"/>
        </w:rPr>
        <w:t>una</w:t>
      </w:r>
      <w:r>
        <w:rPr>
          <w:color w:val="803108"/>
          <w:spacing w:val="6"/>
        </w:rPr>
        <w:t xml:space="preserve"> </w:t>
      </w:r>
      <w:r>
        <w:rPr>
          <w:color w:val="803108"/>
        </w:rPr>
        <w:t>minoría</w:t>
      </w:r>
      <w:r>
        <w:rPr>
          <w:color w:val="803108"/>
          <w:spacing w:val="6"/>
        </w:rPr>
        <w:t xml:space="preserve"> </w:t>
      </w:r>
      <w:r>
        <w:rPr>
          <w:color w:val="803108"/>
        </w:rPr>
        <w:t>y</w:t>
      </w:r>
      <w:r>
        <w:rPr>
          <w:color w:val="803108"/>
          <w:spacing w:val="6"/>
        </w:rPr>
        <w:t xml:space="preserve"> </w:t>
      </w:r>
      <w:r>
        <w:rPr>
          <w:color w:val="803108"/>
        </w:rPr>
        <w:t>los</w:t>
      </w:r>
      <w:r>
        <w:rPr>
          <w:color w:val="803108"/>
          <w:spacing w:val="6"/>
        </w:rPr>
        <w:t xml:space="preserve"> </w:t>
      </w:r>
      <w:r>
        <w:rPr>
          <w:color w:val="803108"/>
        </w:rPr>
        <w:t>derechos</w:t>
      </w:r>
      <w:r>
        <w:rPr>
          <w:color w:val="803108"/>
          <w:spacing w:val="6"/>
        </w:rPr>
        <w:t xml:space="preserve"> </w:t>
      </w:r>
      <w:r>
        <w:rPr>
          <w:color w:val="803108"/>
        </w:rPr>
        <w:t>de</w:t>
      </w:r>
      <w:r>
        <w:rPr>
          <w:color w:val="803108"/>
          <w:spacing w:val="6"/>
        </w:rPr>
        <w:t xml:space="preserve"> </w:t>
      </w:r>
      <w:r>
        <w:rPr>
          <w:color w:val="803108"/>
        </w:rPr>
        <w:t>sus</w:t>
      </w:r>
      <w:r>
        <w:rPr>
          <w:color w:val="803108"/>
          <w:spacing w:val="6"/>
        </w:rPr>
        <w:t xml:space="preserve"> </w:t>
      </w:r>
      <w:r>
        <w:rPr>
          <w:color w:val="803108"/>
        </w:rPr>
        <w:t xml:space="preserve">miembros a disfrutar y desarrollar su cultura e idioma y a practicar su religión, en comunidad con los demás miembros del </w:t>
      </w:r>
      <w:r>
        <w:rPr>
          <w:color w:val="803108"/>
          <w:spacing w:val="-2"/>
        </w:rPr>
        <w:t>grupo.860</w:t>
      </w:r>
    </w:p>
    <w:p w14:paraId="75633C83" w14:textId="77777777" w:rsidR="0014798C" w:rsidRDefault="004E1F0B">
      <w:pPr>
        <w:pStyle w:val="Textoindependiente"/>
        <w:spacing w:before="111" w:line="326" w:lineRule="auto"/>
        <w:ind w:left="1105" w:right="1463"/>
      </w:pPr>
      <w:r>
        <w:t>El Comité ha observado que estas medidas positivas “deben respetar las disposiciones de los artículos [2 (1)]</w:t>
      </w:r>
      <w:r>
        <w:rPr>
          <w:spacing w:val="15"/>
        </w:rPr>
        <w:t xml:space="preserve"> </w:t>
      </w:r>
      <w:r>
        <w:t>y 26 del Pacto</w:t>
      </w:r>
      <w:r>
        <w:rPr>
          <w:spacing w:val="80"/>
        </w:rPr>
        <w:t xml:space="preserve"> </w:t>
      </w:r>
      <w:r>
        <w:t>tanto en lo que respecta al trato entre las diferentes minorías como al trato entre las personas que pertenecen a ellas y el resto</w:t>
      </w:r>
      <w:r>
        <w:rPr>
          <w:spacing w:val="80"/>
        </w:rPr>
        <w:t xml:space="preserve"> </w:t>
      </w:r>
      <w:r>
        <w:t>de la población</w:t>
      </w:r>
      <w:proofErr w:type="gramStart"/>
      <w:r>
        <w:t>. ”</w:t>
      </w:r>
      <w:proofErr w:type="gramEnd"/>
      <w:r>
        <w:t>. Yendo más allá, el Comité ha observado que las medidas positivas para garantizar el disfrute comunitario de</w:t>
      </w:r>
      <w:r>
        <w:rPr>
          <w:spacing w:val="40"/>
        </w:rPr>
        <w:t xml:space="preserve"> </w:t>
      </w:r>
      <w:r>
        <w:t>los derechos de las minorías serán una diferenciación legítima a los efectos del derecho a la no discriminación, en la medida en que “estén dirigidas a corregir las condiciones que impiden o perjudican el disfrute de los derechos” y se basan en criterios razonables y objetivos.861</w:t>
      </w:r>
    </w:p>
    <w:p w14:paraId="7B155523" w14:textId="77777777" w:rsidR="0014798C" w:rsidRDefault="004E1F0B">
      <w:pPr>
        <w:pStyle w:val="Textoindependiente"/>
        <w:spacing w:line="326" w:lineRule="auto"/>
        <w:ind w:left="1108" w:right="1272" w:hanging="1"/>
      </w:pPr>
      <w:r>
        <w:t>En términos más generales, el Comité ha observado que “ninguno de los derechos protegidos en virtud del artículo 27 del Pacto podrá ejercerse legítimamente de manera o en medida incompatible” con otros derechos del Pacto862.</w:t>
      </w:r>
    </w:p>
    <w:p w14:paraId="7C70211D" w14:textId="77777777" w:rsidR="0014798C" w:rsidRDefault="004E1F0B">
      <w:pPr>
        <w:pStyle w:val="Textoindependiente"/>
        <w:spacing w:before="166" w:line="326" w:lineRule="auto"/>
        <w:ind w:left="1111" w:right="1345" w:hanging="6"/>
      </w:pPr>
      <w:r>
        <w:t>El Comité ha observado además que el artículo 27 impone a los Estados la “obligación de garantizar que la existencia y el</w:t>
      </w:r>
      <w:r>
        <w:rPr>
          <w:spacing w:val="80"/>
        </w:rPr>
        <w:t xml:space="preserve"> </w:t>
      </w:r>
      <w:r>
        <w:t>ejercicio</w:t>
      </w:r>
      <w:r>
        <w:rPr>
          <w:spacing w:val="5"/>
        </w:rPr>
        <w:t xml:space="preserve"> </w:t>
      </w:r>
      <w:r>
        <w:t>de</w:t>
      </w:r>
      <w:r>
        <w:rPr>
          <w:spacing w:val="5"/>
        </w:rPr>
        <w:t xml:space="preserve"> </w:t>
      </w:r>
      <w:r>
        <w:t>este</w:t>
      </w:r>
      <w:r>
        <w:rPr>
          <w:spacing w:val="5"/>
        </w:rPr>
        <w:t xml:space="preserve"> </w:t>
      </w:r>
      <w:r>
        <w:t>derecho</w:t>
      </w:r>
      <w:r>
        <w:rPr>
          <w:spacing w:val="5"/>
        </w:rPr>
        <w:t xml:space="preserve"> </w:t>
      </w:r>
      <w:r>
        <w:t>estén</w:t>
      </w:r>
      <w:r>
        <w:rPr>
          <w:spacing w:val="5"/>
        </w:rPr>
        <w:t xml:space="preserve"> </w:t>
      </w:r>
      <w:r>
        <w:t>protegidos</w:t>
      </w:r>
      <w:r>
        <w:rPr>
          <w:spacing w:val="5"/>
        </w:rPr>
        <w:t xml:space="preserve"> </w:t>
      </w:r>
      <w:r>
        <w:t>contra</w:t>
      </w:r>
      <w:r>
        <w:rPr>
          <w:spacing w:val="5"/>
        </w:rPr>
        <w:t xml:space="preserve"> </w:t>
      </w:r>
      <w:r>
        <w:t>su</w:t>
      </w:r>
      <w:r>
        <w:rPr>
          <w:spacing w:val="6"/>
        </w:rPr>
        <w:t xml:space="preserve"> </w:t>
      </w:r>
      <w:r>
        <w:t>negación</w:t>
      </w:r>
      <w:r>
        <w:rPr>
          <w:spacing w:val="5"/>
        </w:rPr>
        <w:t xml:space="preserve"> </w:t>
      </w:r>
      <w:r>
        <w:t>o</w:t>
      </w:r>
      <w:r>
        <w:rPr>
          <w:spacing w:val="5"/>
        </w:rPr>
        <w:t xml:space="preserve"> </w:t>
      </w:r>
      <w:r>
        <w:t>violación”,</w:t>
      </w:r>
      <w:r>
        <w:rPr>
          <w:spacing w:val="6"/>
        </w:rPr>
        <w:t xml:space="preserve"> </w:t>
      </w:r>
      <w:r>
        <w:t>incluso</w:t>
      </w:r>
      <w:r>
        <w:rPr>
          <w:spacing w:val="5"/>
        </w:rPr>
        <w:t xml:space="preserve"> </w:t>
      </w:r>
      <w:r>
        <w:t>por</w:t>
      </w:r>
      <w:r>
        <w:rPr>
          <w:spacing w:val="5"/>
        </w:rPr>
        <w:t xml:space="preserve"> </w:t>
      </w:r>
      <w:r>
        <w:t>parte</w:t>
      </w:r>
      <w:r>
        <w:rPr>
          <w:spacing w:val="5"/>
        </w:rPr>
        <w:t xml:space="preserve"> </w:t>
      </w:r>
      <w:r>
        <w:t>de</w:t>
      </w:r>
      <w:r>
        <w:rPr>
          <w:spacing w:val="5"/>
        </w:rPr>
        <w:t xml:space="preserve"> </w:t>
      </w:r>
      <w:r>
        <w:t>agentes</w:t>
      </w:r>
      <w:r>
        <w:rPr>
          <w:spacing w:val="6"/>
        </w:rPr>
        <w:t xml:space="preserve"> </w:t>
      </w:r>
      <w:r>
        <w:t>estatales</w:t>
      </w:r>
      <w:r>
        <w:rPr>
          <w:spacing w:val="5"/>
        </w:rPr>
        <w:t xml:space="preserve"> </w:t>
      </w:r>
      <w:r>
        <w:t>y</w:t>
      </w:r>
      <w:r>
        <w:rPr>
          <w:spacing w:val="5"/>
        </w:rPr>
        <w:t xml:space="preserve"> </w:t>
      </w:r>
      <w:r>
        <w:rPr>
          <w:spacing w:val="-2"/>
        </w:rPr>
        <w:t>privados863.</w:t>
      </w:r>
    </w:p>
    <w:p w14:paraId="74B34A0C" w14:textId="77777777" w:rsidR="0014798C" w:rsidRDefault="0014798C">
      <w:pPr>
        <w:pStyle w:val="Textoindependiente"/>
      </w:pPr>
    </w:p>
    <w:p w14:paraId="1D2C9996" w14:textId="77777777" w:rsidR="0014798C" w:rsidRDefault="0014798C">
      <w:pPr>
        <w:pStyle w:val="Textoindependiente"/>
        <w:spacing w:before="51"/>
      </w:pPr>
    </w:p>
    <w:p w14:paraId="530CC045" w14:textId="77777777" w:rsidR="0014798C" w:rsidRDefault="004E1F0B">
      <w:pPr>
        <w:pStyle w:val="Textoindependiente"/>
        <w:spacing w:line="326" w:lineRule="auto"/>
        <w:ind w:left="1108" w:right="1272" w:firstLine="1"/>
      </w:pPr>
      <w:r>
        <w:t>Además, la Comisión ha observado que “la cultura se manifiesta de muchas formas, incluido un modo de vida particular asociado con el uso de los recursos de la tierra... especialmente en el caso de los pueblos indígenas”. Esto requiere no sólo “medidas</w:t>
      </w:r>
      <w:r>
        <w:rPr>
          <w:spacing w:val="80"/>
        </w:rPr>
        <w:t xml:space="preserve"> </w:t>
      </w:r>
      <w:r>
        <w:t>legales</w:t>
      </w:r>
      <w:r>
        <w:rPr>
          <w:spacing w:val="16"/>
        </w:rPr>
        <w:t xml:space="preserve"> </w:t>
      </w:r>
      <w:r>
        <w:t>positivas</w:t>
      </w:r>
      <w:r>
        <w:rPr>
          <w:spacing w:val="16"/>
        </w:rPr>
        <w:t xml:space="preserve"> </w:t>
      </w:r>
      <w:r>
        <w:t>de</w:t>
      </w:r>
      <w:r>
        <w:rPr>
          <w:spacing w:val="16"/>
        </w:rPr>
        <w:t xml:space="preserve"> </w:t>
      </w:r>
      <w:r>
        <w:t>protección”</w:t>
      </w:r>
      <w:r>
        <w:rPr>
          <w:spacing w:val="16"/>
        </w:rPr>
        <w:t xml:space="preserve"> </w:t>
      </w:r>
      <w:r>
        <w:t>sino</w:t>
      </w:r>
      <w:r>
        <w:rPr>
          <w:spacing w:val="16"/>
        </w:rPr>
        <w:t xml:space="preserve"> </w:t>
      </w:r>
      <w:r>
        <w:t>también</w:t>
      </w:r>
      <w:r>
        <w:rPr>
          <w:spacing w:val="16"/>
        </w:rPr>
        <w:t xml:space="preserve"> </w:t>
      </w:r>
      <w:r>
        <w:t>“medidas</w:t>
      </w:r>
      <w:r>
        <w:rPr>
          <w:spacing w:val="16"/>
        </w:rPr>
        <w:t xml:space="preserve"> </w:t>
      </w:r>
      <w:r>
        <w:t>para</w:t>
      </w:r>
      <w:r>
        <w:rPr>
          <w:spacing w:val="16"/>
        </w:rPr>
        <w:t xml:space="preserve"> </w:t>
      </w:r>
      <w:r>
        <w:t>asegurar</w:t>
      </w:r>
      <w:r>
        <w:rPr>
          <w:spacing w:val="16"/>
        </w:rPr>
        <w:t xml:space="preserve"> </w:t>
      </w:r>
      <w:r>
        <w:t>la</w:t>
      </w:r>
      <w:r>
        <w:rPr>
          <w:spacing w:val="16"/>
        </w:rPr>
        <w:t xml:space="preserve"> </w:t>
      </w:r>
      <w:r>
        <w:t>participación</w:t>
      </w:r>
      <w:r>
        <w:rPr>
          <w:spacing w:val="16"/>
        </w:rPr>
        <w:t xml:space="preserve"> </w:t>
      </w:r>
      <w:r>
        <w:t>efectiva</w:t>
      </w:r>
      <w:r>
        <w:rPr>
          <w:spacing w:val="16"/>
        </w:rPr>
        <w:t xml:space="preserve"> </w:t>
      </w:r>
      <w:r>
        <w:t>de</w:t>
      </w:r>
      <w:r>
        <w:rPr>
          <w:spacing w:val="16"/>
        </w:rPr>
        <w:t xml:space="preserve"> </w:t>
      </w:r>
      <w:r>
        <w:t>los</w:t>
      </w:r>
      <w:r>
        <w:rPr>
          <w:spacing w:val="16"/>
        </w:rPr>
        <w:t xml:space="preserve"> </w:t>
      </w:r>
      <w:r>
        <w:t>miembros</w:t>
      </w:r>
      <w:r>
        <w:rPr>
          <w:spacing w:val="16"/>
        </w:rPr>
        <w:t xml:space="preserve"> </w:t>
      </w:r>
      <w:r>
        <w:t>de</w:t>
      </w:r>
      <w:r>
        <w:rPr>
          <w:spacing w:val="16"/>
        </w:rPr>
        <w:t xml:space="preserve"> </w:t>
      </w:r>
      <w:r>
        <w:t>las comunidades minoritarias en las decisiones que les afectan”.864</w:t>
      </w:r>
    </w:p>
    <w:p w14:paraId="2B38FA6C" w14:textId="77777777" w:rsidR="0014798C" w:rsidRDefault="004E1F0B">
      <w:pPr>
        <w:pStyle w:val="Textoindependiente"/>
        <w:spacing w:before="168" w:line="326" w:lineRule="auto"/>
        <w:ind w:left="1107" w:right="1626" w:firstLine="3"/>
      </w:pPr>
      <w:r>
        <w:t xml:space="preserve">Leída en su totalidad, la Observación general </w:t>
      </w:r>
      <w:proofErr w:type="spellStart"/>
      <w:r>
        <w:t>Nº</w:t>
      </w:r>
      <w:proofErr w:type="spellEnd"/>
      <w:r>
        <w:t xml:space="preserve"> 23 (1994) deja claro que el Comité de Derechos Humanos considera que la disposición sobre derechos de las minorías prevista en el artículo 27 del Pacto Internacional de Derechos Civiles y Políticos tiene como elemento central los derechos a la igualdad y la no discriminación</w:t>
      </w:r>
      <w:proofErr w:type="gramStart"/>
      <w:r>
        <w:t>. .</w:t>
      </w:r>
      <w:proofErr w:type="gramEnd"/>
    </w:p>
    <w:p w14:paraId="43EBD587" w14:textId="77777777" w:rsidR="0014798C" w:rsidRDefault="0014798C">
      <w:pPr>
        <w:pStyle w:val="Textoindependiente"/>
        <w:rPr>
          <w:sz w:val="20"/>
        </w:rPr>
      </w:pPr>
    </w:p>
    <w:p w14:paraId="496B8325" w14:textId="77777777" w:rsidR="0014798C" w:rsidRDefault="004E1F0B">
      <w:pPr>
        <w:pStyle w:val="Textoindependiente"/>
        <w:spacing w:before="72"/>
        <w:rPr>
          <w:sz w:val="20"/>
        </w:rPr>
      </w:pPr>
      <w:r>
        <w:rPr>
          <w:noProof/>
        </w:rPr>
        <w:drawing>
          <wp:anchor distT="0" distB="0" distL="0" distR="0" simplePos="0" relativeHeight="251658544" behindDoc="1" locked="0" layoutInCell="1" allowOverlap="1" wp14:anchorId="584D59CC" wp14:editId="2A7AD16F">
            <wp:simplePos x="0" y="0"/>
            <wp:positionH relativeFrom="page">
              <wp:posOffset>826632</wp:posOffset>
            </wp:positionH>
            <wp:positionV relativeFrom="paragraph">
              <wp:posOffset>207552</wp:posOffset>
            </wp:positionV>
            <wp:extent cx="931001" cy="35813"/>
            <wp:effectExtent l="0" t="0" r="0" b="0"/>
            <wp:wrapTopAndBottom/>
            <wp:docPr id="265" name="Image 26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65" name="Image 265"/>
                    <pic:cNvPicPr/>
                  </pic:nvPicPr>
                  <pic:blipFill>
                    <a:blip r:embed="rId238" cstate="print"/>
                    <a:stretch>
                      <a:fillRect/>
                    </a:stretch>
                  </pic:blipFill>
                  <pic:spPr>
                    <a:xfrm>
                      <a:off x="0" y="0"/>
                      <a:ext cx="931001" cy="35813"/>
                    </a:xfrm>
                    <a:prstGeom prst="rect">
                      <a:avLst/>
                    </a:prstGeom>
                  </pic:spPr>
                </pic:pic>
              </a:graphicData>
            </a:graphic>
          </wp:anchor>
        </w:drawing>
      </w:r>
    </w:p>
    <w:p w14:paraId="3C92F9E2" w14:textId="77777777" w:rsidR="0014798C" w:rsidRDefault="004E1F0B">
      <w:pPr>
        <w:pStyle w:val="Prrafodelista"/>
        <w:numPr>
          <w:ilvl w:val="0"/>
          <w:numId w:val="24"/>
        </w:numPr>
        <w:tabs>
          <w:tab w:val="left" w:pos="1363"/>
          <w:tab w:val="left" w:pos="1365"/>
        </w:tabs>
        <w:spacing w:before="120" w:line="288" w:lineRule="auto"/>
        <w:ind w:left="1365" w:right="1527" w:hanging="255"/>
        <w:rPr>
          <w:sz w:val="13"/>
        </w:rPr>
      </w:pPr>
      <w:r>
        <w:rPr>
          <w:sz w:val="13"/>
        </w:rPr>
        <w:t>El sistema del Consejo de Europa incluye dos tratados explícitamente dedicados a las minorías: el Convenio Marco para la Protección de las Minorías</w:t>
      </w:r>
      <w:r>
        <w:rPr>
          <w:spacing w:val="40"/>
          <w:sz w:val="13"/>
        </w:rPr>
        <w:t xml:space="preserve"> </w:t>
      </w:r>
      <w:r>
        <w:rPr>
          <w:sz w:val="13"/>
        </w:rPr>
        <w:t>Nacionales</w:t>
      </w:r>
      <w:r>
        <w:rPr>
          <w:spacing w:val="6"/>
          <w:sz w:val="13"/>
        </w:rPr>
        <w:t xml:space="preserve"> </w:t>
      </w:r>
      <w:r>
        <w:rPr>
          <w:sz w:val="13"/>
        </w:rPr>
        <w:t>y</w:t>
      </w:r>
      <w:r>
        <w:rPr>
          <w:spacing w:val="6"/>
          <w:sz w:val="13"/>
        </w:rPr>
        <w:t xml:space="preserve"> </w:t>
      </w:r>
      <w:r>
        <w:rPr>
          <w:sz w:val="13"/>
        </w:rPr>
        <w:t>la</w:t>
      </w:r>
      <w:r>
        <w:rPr>
          <w:spacing w:val="6"/>
          <w:sz w:val="13"/>
        </w:rPr>
        <w:t xml:space="preserve"> </w:t>
      </w:r>
      <w:r>
        <w:rPr>
          <w:sz w:val="13"/>
        </w:rPr>
        <w:t>Carta</w:t>
      </w:r>
      <w:r>
        <w:rPr>
          <w:spacing w:val="6"/>
          <w:sz w:val="13"/>
        </w:rPr>
        <w:t xml:space="preserve"> </w:t>
      </w:r>
      <w:r>
        <w:rPr>
          <w:sz w:val="13"/>
        </w:rPr>
        <w:t>Europea</w:t>
      </w:r>
      <w:r>
        <w:rPr>
          <w:spacing w:val="6"/>
          <w:sz w:val="13"/>
        </w:rPr>
        <w:t xml:space="preserve"> </w:t>
      </w:r>
      <w:r>
        <w:rPr>
          <w:sz w:val="13"/>
        </w:rPr>
        <w:t>de</w:t>
      </w:r>
      <w:r>
        <w:rPr>
          <w:spacing w:val="6"/>
          <w:sz w:val="13"/>
        </w:rPr>
        <w:t xml:space="preserve"> </w:t>
      </w:r>
      <w:r>
        <w:rPr>
          <w:sz w:val="13"/>
        </w:rPr>
        <w:t>las</w:t>
      </w:r>
      <w:r>
        <w:rPr>
          <w:spacing w:val="6"/>
          <w:sz w:val="13"/>
        </w:rPr>
        <w:t xml:space="preserve"> </w:t>
      </w:r>
      <w:r>
        <w:rPr>
          <w:sz w:val="13"/>
        </w:rPr>
        <w:t>Lenguas</w:t>
      </w:r>
      <w:r>
        <w:rPr>
          <w:spacing w:val="6"/>
          <w:sz w:val="13"/>
        </w:rPr>
        <w:t xml:space="preserve"> </w:t>
      </w:r>
      <w:r>
        <w:rPr>
          <w:sz w:val="13"/>
        </w:rPr>
        <w:t>Regionales</w:t>
      </w:r>
      <w:r>
        <w:rPr>
          <w:spacing w:val="6"/>
          <w:sz w:val="13"/>
        </w:rPr>
        <w:t xml:space="preserve"> </w:t>
      </w:r>
      <w:r>
        <w:rPr>
          <w:sz w:val="13"/>
        </w:rPr>
        <w:t>o</w:t>
      </w:r>
      <w:r>
        <w:rPr>
          <w:spacing w:val="6"/>
          <w:sz w:val="13"/>
        </w:rPr>
        <w:t xml:space="preserve"> </w:t>
      </w:r>
      <w:r>
        <w:rPr>
          <w:sz w:val="13"/>
        </w:rPr>
        <w:t>Minoritarias.</w:t>
      </w:r>
      <w:r>
        <w:rPr>
          <w:spacing w:val="7"/>
          <w:sz w:val="13"/>
        </w:rPr>
        <w:t xml:space="preserve"> </w:t>
      </w:r>
      <w:r>
        <w:rPr>
          <w:sz w:val="13"/>
        </w:rPr>
        <w:t>Según</w:t>
      </w:r>
      <w:r>
        <w:rPr>
          <w:spacing w:val="6"/>
          <w:sz w:val="13"/>
        </w:rPr>
        <w:t xml:space="preserve"> </w:t>
      </w:r>
      <w:r>
        <w:rPr>
          <w:sz w:val="13"/>
        </w:rPr>
        <w:t>el</w:t>
      </w:r>
      <w:r>
        <w:rPr>
          <w:spacing w:val="6"/>
          <w:sz w:val="13"/>
        </w:rPr>
        <w:t xml:space="preserve"> </w:t>
      </w:r>
      <w:r>
        <w:rPr>
          <w:sz w:val="13"/>
        </w:rPr>
        <w:t>artículo</w:t>
      </w:r>
      <w:r>
        <w:rPr>
          <w:spacing w:val="6"/>
          <w:sz w:val="13"/>
        </w:rPr>
        <w:t xml:space="preserve"> </w:t>
      </w:r>
      <w:r>
        <w:rPr>
          <w:sz w:val="13"/>
        </w:rPr>
        <w:t>4</w:t>
      </w:r>
      <w:r>
        <w:rPr>
          <w:spacing w:val="6"/>
          <w:sz w:val="13"/>
        </w:rPr>
        <w:t xml:space="preserve"> </w:t>
      </w:r>
      <w:r>
        <w:rPr>
          <w:sz w:val="13"/>
        </w:rPr>
        <w:t>de</w:t>
      </w:r>
      <w:r>
        <w:rPr>
          <w:spacing w:val="6"/>
          <w:sz w:val="13"/>
        </w:rPr>
        <w:t xml:space="preserve"> </w:t>
      </w:r>
      <w:r>
        <w:rPr>
          <w:sz w:val="13"/>
        </w:rPr>
        <w:t>la</w:t>
      </w:r>
      <w:r>
        <w:rPr>
          <w:spacing w:val="6"/>
          <w:sz w:val="13"/>
        </w:rPr>
        <w:t xml:space="preserve"> </w:t>
      </w:r>
      <w:r>
        <w:rPr>
          <w:sz w:val="13"/>
        </w:rPr>
        <w:t>Convención</w:t>
      </w:r>
      <w:r>
        <w:rPr>
          <w:spacing w:val="6"/>
          <w:sz w:val="13"/>
        </w:rPr>
        <w:t xml:space="preserve"> </w:t>
      </w:r>
      <w:r>
        <w:rPr>
          <w:sz w:val="13"/>
        </w:rPr>
        <w:t>Interamericana</w:t>
      </w:r>
      <w:r>
        <w:rPr>
          <w:spacing w:val="6"/>
          <w:sz w:val="13"/>
        </w:rPr>
        <w:t xml:space="preserve"> </w:t>
      </w:r>
      <w:r>
        <w:rPr>
          <w:sz w:val="13"/>
        </w:rPr>
        <w:t>contra</w:t>
      </w:r>
      <w:r>
        <w:rPr>
          <w:spacing w:val="6"/>
          <w:sz w:val="13"/>
        </w:rPr>
        <w:t xml:space="preserve"> </w:t>
      </w:r>
      <w:r>
        <w:rPr>
          <w:sz w:val="13"/>
        </w:rPr>
        <w:t>Todas</w:t>
      </w:r>
      <w:r>
        <w:rPr>
          <w:spacing w:val="6"/>
          <w:sz w:val="13"/>
        </w:rPr>
        <w:t xml:space="preserve"> </w:t>
      </w:r>
      <w:r>
        <w:rPr>
          <w:sz w:val="13"/>
        </w:rPr>
        <w:t>las</w:t>
      </w:r>
      <w:r>
        <w:rPr>
          <w:spacing w:val="40"/>
          <w:sz w:val="13"/>
        </w:rPr>
        <w:t xml:space="preserve"> </w:t>
      </w:r>
      <w:r>
        <w:rPr>
          <w:sz w:val="13"/>
        </w:rPr>
        <w:t>Formas de Discriminación e Intolerancia, “Los Estados se comprometen a prevenir, eliminar, prohibir y sancionar… cualquier restricción discriminatoria</w:t>
      </w:r>
      <w:r>
        <w:rPr>
          <w:spacing w:val="40"/>
          <w:sz w:val="13"/>
        </w:rPr>
        <w:t xml:space="preserve"> </w:t>
      </w:r>
      <w:r>
        <w:rPr>
          <w:sz w:val="13"/>
        </w:rPr>
        <w:t>al disfrute de los derechos humanos consagrados en los instrumentos internacionales y regionales aplicables y en los jurisprudencia de los tribunales</w:t>
      </w:r>
      <w:r>
        <w:rPr>
          <w:spacing w:val="40"/>
          <w:sz w:val="13"/>
        </w:rPr>
        <w:t xml:space="preserve"> </w:t>
      </w:r>
      <w:r>
        <w:rPr>
          <w:sz w:val="13"/>
        </w:rPr>
        <w:t>internacionales y regionales de derechos humanos, particularmente la aplicable a minorías o grupos que se encuentran en situaciones vulnerables y</w:t>
      </w:r>
      <w:r>
        <w:rPr>
          <w:spacing w:val="40"/>
          <w:sz w:val="13"/>
        </w:rPr>
        <w:t xml:space="preserve"> </w:t>
      </w:r>
      <w:r>
        <w:rPr>
          <w:sz w:val="13"/>
        </w:rPr>
        <w:t>sujetos a discriminación”.</w:t>
      </w:r>
    </w:p>
    <w:p w14:paraId="6D892BF7" w14:textId="77777777" w:rsidR="0014798C" w:rsidRDefault="004E1F0B">
      <w:pPr>
        <w:pStyle w:val="Prrafodelista"/>
        <w:numPr>
          <w:ilvl w:val="0"/>
          <w:numId w:val="24"/>
        </w:numPr>
        <w:tabs>
          <w:tab w:val="left" w:pos="1363"/>
        </w:tabs>
        <w:spacing w:before="60"/>
        <w:ind w:left="1363" w:hanging="253"/>
        <w:rPr>
          <w:sz w:val="13"/>
        </w:rPr>
      </w:pPr>
      <w:r>
        <w:rPr>
          <w:sz w:val="13"/>
        </w:rPr>
        <w:t>Comité</w:t>
      </w:r>
      <w:r>
        <w:rPr>
          <w:spacing w:val="-1"/>
          <w:sz w:val="13"/>
        </w:rPr>
        <w:t xml:space="preserve"> </w:t>
      </w:r>
      <w:r>
        <w:rPr>
          <w:sz w:val="13"/>
        </w:rPr>
        <w:t>de Derechos</w:t>
      </w:r>
      <w:r>
        <w:rPr>
          <w:spacing w:val="-1"/>
          <w:sz w:val="13"/>
        </w:rPr>
        <w:t xml:space="preserve"> </w:t>
      </w:r>
      <w:r>
        <w:rPr>
          <w:sz w:val="13"/>
        </w:rPr>
        <w:t>Humanos, observación general</w:t>
      </w:r>
      <w:r>
        <w:rPr>
          <w:spacing w:val="-1"/>
          <w:sz w:val="13"/>
        </w:rPr>
        <w:t xml:space="preserve"> </w:t>
      </w:r>
      <w:r>
        <w:rPr>
          <w:sz w:val="13"/>
        </w:rPr>
        <w:t>núm. 23 (1994),</w:t>
      </w:r>
      <w:r>
        <w:rPr>
          <w:spacing w:val="-1"/>
          <w:sz w:val="13"/>
        </w:rPr>
        <w:t xml:space="preserve"> </w:t>
      </w:r>
      <w:r>
        <w:rPr>
          <w:sz w:val="13"/>
        </w:rPr>
        <w:t xml:space="preserve">párr. </w:t>
      </w:r>
      <w:r>
        <w:rPr>
          <w:spacing w:val="-4"/>
          <w:sz w:val="13"/>
        </w:rPr>
        <w:t>6.2.</w:t>
      </w:r>
    </w:p>
    <w:p w14:paraId="42688CE7" w14:textId="77777777" w:rsidR="0014798C" w:rsidRDefault="004E1F0B">
      <w:pPr>
        <w:pStyle w:val="Prrafodelista"/>
        <w:numPr>
          <w:ilvl w:val="0"/>
          <w:numId w:val="24"/>
        </w:numPr>
        <w:tabs>
          <w:tab w:val="left" w:pos="1363"/>
        </w:tabs>
        <w:spacing w:before="55"/>
        <w:ind w:left="1363" w:hanging="253"/>
        <w:rPr>
          <w:sz w:val="13"/>
        </w:rPr>
      </w:pPr>
      <w:proofErr w:type="spellStart"/>
      <w:r>
        <w:rPr>
          <w:spacing w:val="-2"/>
          <w:sz w:val="13"/>
        </w:rPr>
        <w:t>Ibíd</w:t>
      </w:r>
      <w:proofErr w:type="spellEnd"/>
      <w:r>
        <w:rPr>
          <w:spacing w:val="-2"/>
          <w:sz w:val="13"/>
        </w:rPr>
        <w:t>.</w:t>
      </w:r>
    </w:p>
    <w:p w14:paraId="3FF26298" w14:textId="77777777" w:rsidR="0014798C" w:rsidRDefault="004E1F0B">
      <w:pPr>
        <w:pStyle w:val="Prrafodelista"/>
        <w:numPr>
          <w:ilvl w:val="0"/>
          <w:numId w:val="24"/>
        </w:numPr>
        <w:tabs>
          <w:tab w:val="left" w:pos="1363"/>
        </w:tabs>
        <w:spacing w:before="119"/>
        <w:ind w:left="1363" w:hanging="253"/>
        <w:rPr>
          <w:sz w:val="13"/>
        </w:rPr>
      </w:pPr>
      <w:proofErr w:type="spellStart"/>
      <w:r>
        <w:rPr>
          <w:sz w:val="13"/>
        </w:rPr>
        <w:t>Ibíd</w:t>
      </w:r>
      <w:proofErr w:type="spellEnd"/>
      <w:r>
        <w:rPr>
          <w:sz w:val="13"/>
        </w:rPr>
        <w:t>.,</w:t>
      </w:r>
      <w:r>
        <w:rPr>
          <w:spacing w:val="-2"/>
          <w:sz w:val="13"/>
        </w:rPr>
        <w:t xml:space="preserve"> </w:t>
      </w:r>
      <w:r>
        <w:rPr>
          <w:sz w:val="13"/>
        </w:rPr>
        <w:t>párr.</w:t>
      </w:r>
      <w:r>
        <w:rPr>
          <w:spacing w:val="-2"/>
          <w:sz w:val="13"/>
        </w:rPr>
        <w:t xml:space="preserve"> </w:t>
      </w:r>
      <w:r>
        <w:rPr>
          <w:spacing w:val="-5"/>
          <w:sz w:val="13"/>
        </w:rPr>
        <w:t>8.</w:t>
      </w:r>
    </w:p>
    <w:p w14:paraId="50BD318B" w14:textId="77777777" w:rsidR="0014798C" w:rsidRDefault="004E1F0B">
      <w:pPr>
        <w:pStyle w:val="Prrafodelista"/>
        <w:numPr>
          <w:ilvl w:val="0"/>
          <w:numId w:val="24"/>
        </w:numPr>
        <w:tabs>
          <w:tab w:val="left" w:pos="1363"/>
        </w:tabs>
        <w:spacing w:before="87"/>
        <w:ind w:left="1363" w:hanging="253"/>
        <w:rPr>
          <w:sz w:val="13"/>
        </w:rPr>
      </w:pPr>
      <w:proofErr w:type="spellStart"/>
      <w:r>
        <w:rPr>
          <w:sz w:val="13"/>
        </w:rPr>
        <w:t>Ibíd</w:t>
      </w:r>
      <w:proofErr w:type="spellEnd"/>
      <w:r>
        <w:rPr>
          <w:sz w:val="13"/>
        </w:rPr>
        <w:t>.,</w:t>
      </w:r>
      <w:r>
        <w:rPr>
          <w:spacing w:val="-2"/>
          <w:sz w:val="13"/>
        </w:rPr>
        <w:t xml:space="preserve"> </w:t>
      </w:r>
      <w:r>
        <w:rPr>
          <w:sz w:val="13"/>
        </w:rPr>
        <w:t>párr.</w:t>
      </w:r>
      <w:r>
        <w:rPr>
          <w:spacing w:val="-2"/>
          <w:sz w:val="13"/>
        </w:rPr>
        <w:t xml:space="preserve"> </w:t>
      </w:r>
      <w:r>
        <w:rPr>
          <w:spacing w:val="-4"/>
          <w:sz w:val="13"/>
        </w:rPr>
        <w:t>6.1.</w:t>
      </w:r>
    </w:p>
    <w:p w14:paraId="0522708D" w14:textId="77777777" w:rsidR="0014798C" w:rsidRDefault="004E1F0B">
      <w:pPr>
        <w:pStyle w:val="Prrafodelista"/>
        <w:numPr>
          <w:ilvl w:val="0"/>
          <w:numId w:val="24"/>
        </w:numPr>
        <w:tabs>
          <w:tab w:val="left" w:pos="1363"/>
        </w:tabs>
        <w:spacing w:before="86"/>
        <w:ind w:left="1363" w:hanging="253"/>
        <w:rPr>
          <w:sz w:val="13"/>
        </w:rPr>
      </w:pPr>
      <w:proofErr w:type="spellStart"/>
      <w:r>
        <w:rPr>
          <w:sz w:val="13"/>
        </w:rPr>
        <w:t>Ibíd</w:t>
      </w:r>
      <w:proofErr w:type="spellEnd"/>
      <w:r>
        <w:rPr>
          <w:sz w:val="13"/>
        </w:rPr>
        <w:t>.,</w:t>
      </w:r>
      <w:r>
        <w:rPr>
          <w:spacing w:val="-2"/>
          <w:sz w:val="13"/>
        </w:rPr>
        <w:t xml:space="preserve"> </w:t>
      </w:r>
      <w:r>
        <w:rPr>
          <w:sz w:val="13"/>
        </w:rPr>
        <w:t>párr.</w:t>
      </w:r>
      <w:r>
        <w:rPr>
          <w:spacing w:val="-2"/>
          <w:sz w:val="13"/>
        </w:rPr>
        <w:t xml:space="preserve"> </w:t>
      </w:r>
      <w:r>
        <w:rPr>
          <w:spacing w:val="-5"/>
          <w:sz w:val="13"/>
        </w:rPr>
        <w:t>7.</w:t>
      </w:r>
    </w:p>
    <w:p w14:paraId="1544768A" w14:textId="77777777" w:rsidR="0014798C" w:rsidRDefault="0014798C">
      <w:pPr>
        <w:pStyle w:val="Textoindependiente"/>
        <w:rPr>
          <w:sz w:val="18"/>
        </w:rPr>
      </w:pPr>
    </w:p>
    <w:p w14:paraId="7E845123" w14:textId="77777777" w:rsidR="0014798C" w:rsidRDefault="0014798C">
      <w:pPr>
        <w:pStyle w:val="Textoindependiente"/>
        <w:rPr>
          <w:sz w:val="18"/>
        </w:rPr>
      </w:pPr>
    </w:p>
    <w:p w14:paraId="3529B715" w14:textId="77777777" w:rsidR="0014798C" w:rsidRDefault="0014798C">
      <w:pPr>
        <w:pStyle w:val="Textoindependiente"/>
        <w:spacing w:before="22"/>
        <w:rPr>
          <w:sz w:val="18"/>
        </w:rPr>
      </w:pPr>
    </w:p>
    <w:p w14:paraId="1C6174C7" w14:textId="77777777" w:rsidR="0014798C" w:rsidRDefault="004E1F0B">
      <w:pPr>
        <w:spacing w:before="1"/>
        <w:ind w:left="482"/>
        <w:rPr>
          <w:sz w:val="18"/>
        </w:rPr>
      </w:pPr>
      <w:r>
        <w:rPr>
          <w:spacing w:val="-5"/>
          <w:sz w:val="18"/>
        </w:rPr>
        <w:t>126</w:t>
      </w:r>
    </w:p>
    <w:p w14:paraId="61C9A918" w14:textId="77777777" w:rsidR="0014798C" w:rsidRDefault="0014798C">
      <w:pPr>
        <w:rPr>
          <w:sz w:val="18"/>
        </w:rPr>
        <w:sectPr w:rsidR="0014798C" w:rsidSect="00F265E4">
          <w:pgSz w:w="11900" w:h="16820"/>
          <w:pgMar w:top="340" w:right="0" w:bottom="280" w:left="200" w:header="121" w:footer="0" w:gutter="0"/>
          <w:cols w:space="720"/>
        </w:sectPr>
      </w:pPr>
    </w:p>
    <w:p w14:paraId="1068DD68" w14:textId="77777777" w:rsidR="0014798C" w:rsidRDefault="0014798C">
      <w:pPr>
        <w:pStyle w:val="Textoindependiente"/>
        <w:rPr>
          <w:sz w:val="9"/>
        </w:rPr>
      </w:pPr>
    </w:p>
    <w:p w14:paraId="22029089" w14:textId="77777777" w:rsidR="0014798C" w:rsidRDefault="0014798C">
      <w:pPr>
        <w:pStyle w:val="Textoindependiente"/>
        <w:spacing w:before="31"/>
        <w:rPr>
          <w:sz w:val="9"/>
        </w:rPr>
      </w:pPr>
    </w:p>
    <w:p w14:paraId="576FA29F" w14:textId="77777777" w:rsidR="0014798C" w:rsidRDefault="004E1F0B">
      <w:pPr>
        <w:ind w:left="1111"/>
        <w:rPr>
          <w:sz w:val="9"/>
        </w:rPr>
      </w:pPr>
      <w:r>
        <w:rPr>
          <w:color w:val="803108"/>
          <w:w w:val="105"/>
          <w:sz w:val="9"/>
        </w:rPr>
        <w:t>PARTE</w:t>
      </w:r>
      <w:r>
        <w:rPr>
          <w:color w:val="803108"/>
          <w:spacing w:val="1"/>
          <w:w w:val="105"/>
          <w:sz w:val="9"/>
        </w:rPr>
        <w:t xml:space="preserve"> </w:t>
      </w:r>
      <w:r>
        <w:rPr>
          <w:color w:val="803108"/>
          <w:w w:val="105"/>
          <w:sz w:val="9"/>
        </w:rPr>
        <w:t>TRES:</w:t>
      </w:r>
      <w:r>
        <w:rPr>
          <w:color w:val="803108"/>
          <w:spacing w:val="2"/>
          <w:w w:val="105"/>
          <w:sz w:val="9"/>
        </w:rPr>
        <w:t xml:space="preserve"> </w:t>
      </w:r>
      <w:r>
        <w:rPr>
          <w:color w:val="803108"/>
          <w:w w:val="105"/>
          <w:sz w:val="9"/>
        </w:rPr>
        <w:t>PROTECCIÓN</w:t>
      </w:r>
      <w:r>
        <w:rPr>
          <w:color w:val="803108"/>
          <w:spacing w:val="2"/>
          <w:w w:val="105"/>
          <w:sz w:val="9"/>
        </w:rPr>
        <w:t xml:space="preserve"> </w:t>
      </w:r>
      <w:r>
        <w:rPr>
          <w:color w:val="803108"/>
          <w:w w:val="105"/>
          <w:sz w:val="9"/>
        </w:rPr>
        <w:t>DE</w:t>
      </w:r>
      <w:r>
        <w:rPr>
          <w:color w:val="803108"/>
          <w:spacing w:val="1"/>
          <w:w w:val="105"/>
          <w:sz w:val="9"/>
        </w:rPr>
        <w:t xml:space="preserve"> </w:t>
      </w:r>
      <w:r>
        <w:rPr>
          <w:color w:val="803108"/>
          <w:w w:val="105"/>
          <w:sz w:val="9"/>
        </w:rPr>
        <w:t>LOS</w:t>
      </w:r>
      <w:r>
        <w:rPr>
          <w:color w:val="803108"/>
          <w:spacing w:val="2"/>
          <w:w w:val="105"/>
          <w:sz w:val="9"/>
        </w:rPr>
        <w:t xml:space="preserve"> </w:t>
      </w:r>
      <w:r>
        <w:rPr>
          <w:color w:val="803108"/>
          <w:w w:val="105"/>
          <w:sz w:val="9"/>
        </w:rPr>
        <w:t>DERECHOS</w:t>
      </w:r>
      <w:r>
        <w:rPr>
          <w:color w:val="803108"/>
          <w:spacing w:val="3"/>
          <w:w w:val="105"/>
          <w:sz w:val="9"/>
        </w:rPr>
        <w:t xml:space="preserve"> </w:t>
      </w:r>
      <w:r>
        <w:rPr>
          <w:color w:val="803108"/>
          <w:w w:val="105"/>
          <w:sz w:val="9"/>
        </w:rPr>
        <w:t>DE</w:t>
      </w:r>
      <w:r>
        <w:rPr>
          <w:color w:val="803108"/>
          <w:spacing w:val="1"/>
          <w:w w:val="105"/>
          <w:sz w:val="9"/>
        </w:rPr>
        <w:t xml:space="preserve"> </w:t>
      </w:r>
      <w:r>
        <w:rPr>
          <w:color w:val="803108"/>
          <w:w w:val="105"/>
          <w:sz w:val="9"/>
        </w:rPr>
        <w:t>LAS</w:t>
      </w:r>
      <w:r>
        <w:rPr>
          <w:color w:val="803108"/>
          <w:spacing w:val="2"/>
          <w:w w:val="105"/>
          <w:sz w:val="9"/>
        </w:rPr>
        <w:t xml:space="preserve"> </w:t>
      </w:r>
      <w:r>
        <w:rPr>
          <w:color w:val="803108"/>
          <w:spacing w:val="-2"/>
          <w:w w:val="105"/>
          <w:sz w:val="9"/>
        </w:rPr>
        <w:t>MINORÍAS</w:t>
      </w:r>
    </w:p>
    <w:p w14:paraId="70BE9935" w14:textId="77777777" w:rsidR="0014798C" w:rsidRDefault="0014798C">
      <w:pPr>
        <w:pStyle w:val="Textoindependiente"/>
      </w:pPr>
    </w:p>
    <w:p w14:paraId="5B087239" w14:textId="77777777" w:rsidR="0014798C" w:rsidRDefault="0014798C">
      <w:pPr>
        <w:pStyle w:val="Textoindependiente"/>
      </w:pPr>
    </w:p>
    <w:p w14:paraId="6E12EB2B" w14:textId="77777777" w:rsidR="0014798C" w:rsidRDefault="0014798C">
      <w:pPr>
        <w:pStyle w:val="Textoindependiente"/>
      </w:pPr>
    </w:p>
    <w:p w14:paraId="66D4B120" w14:textId="77777777" w:rsidR="0014798C" w:rsidRDefault="0014798C">
      <w:pPr>
        <w:pStyle w:val="Textoindependiente"/>
      </w:pPr>
    </w:p>
    <w:p w14:paraId="089C1708" w14:textId="77777777" w:rsidR="0014798C" w:rsidRDefault="0014798C">
      <w:pPr>
        <w:pStyle w:val="Textoindependiente"/>
        <w:spacing w:before="79"/>
      </w:pPr>
    </w:p>
    <w:p w14:paraId="672C51CA" w14:textId="77777777" w:rsidR="0014798C" w:rsidRDefault="004E1F0B">
      <w:pPr>
        <w:pStyle w:val="Textoindependiente"/>
        <w:ind w:left="1108"/>
      </w:pPr>
      <w:r>
        <w:t>Además</w:t>
      </w:r>
      <w:r>
        <w:rPr>
          <w:spacing w:val="-7"/>
        </w:rPr>
        <w:t xml:space="preserve"> </w:t>
      </w:r>
      <w:r>
        <w:t>de</w:t>
      </w:r>
      <w:r>
        <w:rPr>
          <w:spacing w:val="-7"/>
        </w:rPr>
        <w:t xml:space="preserve"> </w:t>
      </w:r>
      <w:r>
        <w:t>las</w:t>
      </w:r>
      <w:r>
        <w:rPr>
          <w:spacing w:val="-7"/>
        </w:rPr>
        <w:t xml:space="preserve"> </w:t>
      </w:r>
      <w:r>
        <w:t>garantías</w:t>
      </w:r>
      <w:r>
        <w:rPr>
          <w:spacing w:val="-7"/>
        </w:rPr>
        <w:t xml:space="preserve"> </w:t>
      </w:r>
      <w:r>
        <w:t>previstas</w:t>
      </w:r>
      <w:r>
        <w:rPr>
          <w:spacing w:val="-6"/>
        </w:rPr>
        <w:t xml:space="preserve"> </w:t>
      </w:r>
      <w:r>
        <w:t>en</w:t>
      </w:r>
      <w:r>
        <w:rPr>
          <w:spacing w:val="-7"/>
        </w:rPr>
        <w:t xml:space="preserve"> </w:t>
      </w:r>
      <w:r>
        <w:t>el</w:t>
      </w:r>
      <w:r>
        <w:rPr>
          <w:spacing w:val="-7"/>
        </w:rPr>
        <w:t xml:space="preserve"> </w:t>
      </w:r>
      <w:r>
        <w:t>artículo</w:t>
      </w:r>
      <w:r>
        <w:rPr>
          <w:spacing w:val="-7"/>
        </w:rPr>
        <w:t xml:space="preserve"> </w:t>
      </w:r>
      <w:r>
        <w:t>27</w:t>
      </w:r>
      <w:r>
        <w:rPr>
          <w:spacing w:val="-6"/>
        </w:rPr>
        <w:t xml:space="preserve"> </w:t>
      </w:r>
      <w:r>
        <w:t>del</w:t>
      </w:r>
      <w:r>
        <w:rPr>
          <w:spacing w:val="-7"/>
        </w:rPr>
        <w:t xml:space="preserve"> </w:t>
      </w:r>
      <w:r>
        <w:t>Pacto</w:t>
      </w:r>
      <w:r>
        <w:rPr>
          <w:spacing w:val="-7"/>
        </w:rPr>
        <w:t xml:space="preserve"> </w:t>
      </w:r>
      <w:r>
        <w:t>Internacional</w:t>
      </w:r>
      <w:r>
        <w:rPr>
          <w:spacing w:val="-7"/>
        </w:rPr>
        <w:t xml:space="preserve"> </w:t>
      </w:r>
      <w:r>
        <w:t>de</w:t>
      </w:r>
      <w:r>
        <w:rPr>
          <w:spacing w:val="-7"/>
        </w:rPr>
        <w:t xml:space="preserve"> </w:t>
      </w:r>
      <w:r>
        <w:t>Derechos</w:t>
      </w:r>
      <w:r>
        <w:rPr>
          <w:spacing w:val="-6"/>
        </w:rPr>
        <w:t xml:space="preserve"> </w:t>
      </w:r>
      <w:r>
        <w:t>Civiles</w:t>
      </w:r>
      <w:r>
        <w:rPr>
          <w:spacing w:val="-7"/>
        </w:rPr>
        <w:t xml:space="preserve"> </w:t>
      </w:r>
      <w:r>
        <w:t>y</w:t>
      </w:r>
      <w:r>
        <w:rPr>
          <w:spacing w:val="-7"/>
        </w:rPr>
        <w:t xml:space="preserve"> </w:t>
      </w:r>
      <w:r>
        <w:rPr>
          <w:spacing w:val="-2"/>
        </w:rPr>
        <w:t>Políticos</w:t>
      </w:r>
    </w:p>
    <w:p w14:paraId="2A4AA1F4" w14:textId="77777777" w:rsidR="0014798C" w:rsidRDefault="004E1F0B">
      <w:pPr>
        <w:pStyle w:val="Textoindependiente"/>
        <w:spacing w:before="66" w:line="326" w:lineRule="auto"/>
        <w:ind w:left="1107" w:right="1272" w:firstLine="2"/>
      </w:pPr>
      <w:r>
        <w:t>Derechos,</w:t>
      </w:r>
      <w:r>
        <w:rPr>
          <w:spacing w:val="-6"/>
        </w:rPr>
        <w:t xml:space="preserve"> </w:t>
      </w:r>
      <w:r>
        <w:t>la</w:t>
      </w:r>
      <w:r>
        <w:rPr>
          <w:spacing w:val="-7"/>
        </w:rPr>
        <w:t xml:space="preserve"> </w:t>
      </w:r>
      <w:r>
        <w:t>Declaración</w:t>
      </w:r>
      <w:r>
        <w:rPr>
          <w:spacing w:val="-7"/>
        </w:rPr>
        <w:t xml:space="preserve"> </w:t>
      </w:r>
      <w:r>
        <w:t>sobre</w:t>
      </w:r>
      <w:r>
        <w:rPr>
          <w:spacing w:val="-7"/>
        </w:rPr>
        <w:t xml:space="preserve"> </w:t>
      </w:r>
      <w:r>
        <w:t>los</w:t>
      </w:r>
      <w:r>
        <w:rPr>
          <w:spacing w:val="-7"/>
        </w:rPr>
        <w:t xml:space="preserve"> </w:t>
      </w:r>
      <w:r>
        <w:t>derechos</w:t>
      </w:r>
      <w:r>
        <w:rPr>
          <w:spacing w:val="-7"/>
        </w:rPr>
        <w:t xml:space="preserve"> </w:t>
      </w:r>
      <w:r>
        <w:t>de</w:t>
      </w:r>
      <w:r>
        <w:rPr>
          <w:spacing w:val="-7"/>
        </w:rPr>
        <w:t xml:space="preserve"> </w:t>
      </w:r>
      <w:r>
        <w:t>las</w:t>
      </w:r>
      <w:r>
        <w:rPr>
          <w:spacing w:val="-7"/>
        </w:rPr>
        <w:t xml:space="preserve"> </w:t>
      </w:r>
      <w:r>
        <w:t>personas</w:t>
      </w:r>
      <w:r>
        <w:rPr>
          <w:spacing w:val="-7"/>
        </w:rPr>
        <w:t xml:space="preserve"> </w:t>
      </w:r>
      <w:r>
        <w:t>pertenecientes</w:t>
      </w:r>
      <w:r>
        <w:rPr>
          <w:spacing w:val="-7"/>
        </w:rPr>
        <w:t xml:space="preserve"> </w:t>
      </w:r>
      <w:r>
        <w:t>a</w:t>
      </w:r>
      <w:r>
        <w:rPr>
          <w:spacing w:val="-7"/>
        </w:rPr>
        <w:t xml:space="preserve"> </w:t>
      </w:r>
      <w:r>
        <w:t>grupos</w:t>
      </w:r>
      <w:r>
        <w:rPr>
          <w:spacing w:val="-7"/>
        </w:rPr>
        <w:t xml:space="preserve"> </w:t>
      </w:r>
      <w:r>
        <w:t>nacionales</w:t>
      </w:r>
      <w:r>
        <w:rPr>
          <w:spacing w:val="-7"/>
        </w:rPr>
        <w:t xml:space="preserve"> </w:t>
      </w:r>
      <w:r>
        <w:t>o</w:t>
      </w:r>
      <w:r>
        <w:rPr>
          <w:spacing w:val="-7"/>
        </w:rPr>
        <w:t xml:space="preserve"> </w:t>
      </w:r>
      <w:r>
        <w:t>étnicos,</w:t>
      </w:r>
      <w:r>
        <w:rPr>
          <w:spacing w:val="-6"/>
        </w:rPr>
        <w:t xml:space="preserve"> </w:t>
      </w:r>
      <w:r>
        <w:t>religiosos</w:t>
      </w:r>
      <w:r>
        <w:rPr>
          <w:spacing w:val="-7"/>
        </w:rPr>
        <w:t xml:space="preserve"> </w:t>
      </w:r>
      <w:r>
        <w:t>y</w:t>
      </w:r>
      <w:r>
        <w:rPr>
          <w:spacing w:val="-7"/>
        </w:rPr>
        <w:t xml:space="preserve"> </w:t>
      </w:r>
      <w:r>
        <w:t>lingüísticos. Minorías establece que:</w:t>
      </w:r>
    </w:p>
    <w:p w14:paraId="0C33D2E1" w14:textId="77777777" w:rsidR="0014798C" w:rsidRDefault="004E1F0B">
      <w:pPr>
        <w:pStyle w:val="Prrafodelista"/>
        <w:numPr>
          <w:ilvl w:val="1"/>
          <w:numId w:val="24"/>
        </w:numPr>
        <w:tabs>
          <w:tab w:val="left" w:pos="1217"/>
          <w:tab w:val="left" w:pos="1348"/>
        </w:tabs>
        <w:spacing w:before="112" w:line="316" w:lineRule="auto"/>
        <w:ind w:right="3185" w:hanging="230"/>
        <w:rPr>
          <w:sz w:val="16"/>
        </w:rPr>
      </w:pPr>
      <w:r>
        <w:rPr>
          <w:sz w:val="16"/>
        </w:rPr>
        <w:t>Los</w:t>
      </w:r>
      <w:r>
        <w:rPr>
          <w:spacing w:val="-7"/>
          <w:sz w:val="16"/>
        </w:rPr>
        <w:t xml:space="preserve"> </w:t>
      </w:r>
      <w:r>
        <w:rPr>
          <w:sz w:val="16"/>
        </w:rPr>
        <w:t>Estados</w:t>
      </w:r>
      <w:r>
        <w:rPr>
          <w:spacing w:val="-7"/>
          <w:sz w:val="16"/>
        </w:rPr>
        <w:t xml:space="preserve"> </w:t>
      </w:r>
      <w:r>
        <w:rPr>
          <w:sz w:val="16"/>
        </w:rPr>
        <w:t>protegerán</w:t>
      </w:r>
      <w:r>
        <w:rPr>
          <w:spacing w:val="-7"/>
          <w:sz w:val="16"/>
        </w:rPr>
        <w:t xml:space="preserve"> </w:t>
      </w:r>
      <w:r>
        <w:rPr>
          <w:sz w:val="16"/>
        </w:rPr>
        <w:t>la</w:t>
      </w:r>
      <w:r>
        <w:rPr>
          <w:spacing w:val="-7"/>
          <w:sz w:val="16"/>
        </w:rPr>
        <w:t xml:space="preserve"> </w:t>
      </w:r>
      <w:r>
        <w:rPr>
          <w:sz w:val="16"/>
        </w:rPr>
        <w:t>existencia</w:t>
      </w:r>
      <w:r>
        <w:rPr>
          <w:spacing w:val="-7"/>
          <w:sz w:val="16"/>
        </w:rPr>
        <w:t xml:space="preserve"> </w:t>
      </w:r>
      <w:r>
        <w:rPr>
          <w:sz w:val="16"/>
        </w:rPr>
        <w:t>y</w:t>
      </w:r>
      <w:r>
        <w:rPr>
          <w:spacing w:val="-7"/>
          <w:sz w:val="16"/>
        </w:rPr>
        <w:t xml:space="preserve"> </w:t>
      </w:r>
      <w:r>
        <w:rPr>
          <w:sz w:val="16"/>
        </w:rPr>
        <w:t>la</w:t>
      </w:r>
      <w:r>
        <w:rPr>
          <w:spacing w:val="-7"/>
          <w:sz w:val="16"/>
        </w:rPr>
        <w:t xml:space="preserve"> </w:t>
      </w:r>
      <w:r>
        <w:rPr>
          <w:sz w:val="16"/>
        </w:rPr>
        <w:t>identidad</w:t>
      </w:r>
      <w:r>
        <w:rPr>
          <w:spacing w:val="-7"/>
          <w:sz w:val="16"/>
        </w:rPr>
        <w:t xml:space="preserve"> </w:t>
      </w:r>
      <w:r>
        <w:rPr>
          <w:sz w:val="16"/>
        </w:rPr>
        <w:t>(nacional</w:t>
      </w:r>
      <w:r>
        <w:rPr>
          <w:spacing w:val="-7"/>
          <w:sz w:val="16"/>
        </w:rPr>
        <w:t xml:space="preserve"> </w:t>
      </w:r>
      <w:r>
        <w:rPr>
          <w:sz w:val="16"/>
        </w:rPr>
        <w:t>o</w:t>
      </w:r>
      <w:r>
        <w:rPr>
          <w:spacing w:val="-7"/>
          <w:sz w:val="16"/>
        </w:rPr>
        <w:t xml:space="preserve"> </w:t>
      </w:r>
      <w:r>
        <w:rPr>
          <w:sz w:val="16"/>
        </w:rPr>
        <w:t>étnica,</w:t>
      </w:r>
      <w:r>
        <w:rPr>
          <w:spacing w:val="-7"/>
          <w:sz w:val="16"/>
        </w:rPr>
        <w:t xml:space="preserve"> </w:t>
      </w:r>
      <w:r>
        <w:rPr>
          <w:sz w:val="16"/>
        </w:rPr>
        <w:t>cultural,</w:t>
      </w:r>
      <w:r>
        <w:rPr>
          <w:spacing w:val="-6"/>
          <w:sz w:val="16"/>
        </w:rPr>
        <w:t xml:space="preserve"> </w:t>
      </w:r>
      <w:r>
        <w:rPr>
          <w:sz w:val="16"/>
        </w:rPr>
        <w:t>religiosa</w:t>
      </w:r>
      <w:r>
        <w:rPr>
          <w:spacing w:val="-7"/>
          <w:sz w:val="16"/>
        </w:rPr>
        <w:t xml:space="preserve"> </w:t>
      </w:r>
      <w:r>
        <w:rPr>
          <w:sz w:val="16"/>
        </w:rPr>
        <w:t>y</w:t>
      </w:r>
      <w:r>
        <w:rPr>
          <w:spacing w:val="-7"/>
          <w:sz w:val="16"/>
        </w:rPr>
        <w:t xml:space="preserve"> </w:t>
      </w:r>
      <w:r>
        <w:rPr>
          <w:sz w:val="16"/>
        </w:rPr>
        <w:t>lingüística)</w:t>
      </w:r>
      <w:r>
        <w:rPr>
          <w:spacing w:val="-7"/>
          <w:sz w:val="16"/>
        </w:rPr>
        <w:t xml:space="preserve"> </w:t>
      </w:r>
      <w:r>
        <w:rPr>
          <w:sz w:val="16"/>
        </w:rPr>
        <w:t>de minorías (artículo 1).</w:t>
      </w:r>
    </w:p>
    <w:p w14:paraId="3B2DAEEC" w14:textId="77777777" w:rsidR="0014798C" w:rsidRDefault="004E1F0B">
      <w:pPr>
        <w:pStyle w:val="Prrafodelista"/>
        <w:numPr>
          <w:ilvl w:val="1"/>
          <w:numId w:val="24"/>
        </w:numPr>
        <w:tabs>
          <w:tab w:val="left" w:pos="1217"/>
          <w:tab w:val="left" w:pos="1348"/>
        </w:tabs>
        <w:spacing w:before="127" w:line="326" w:lineRule="auto"/>
        <w:ind w:right="1420" w:hanging="230"/>
        <w:rPr>
          <w:sz w:val="16"/>
        </w:rPr>
      </w:pPr>
      <w:r>
        <w:rPr>
          <w:sz w:val="16"/>
        </w:rPr>
        <w:t>Las</w:t>
      </w:r>
      <w:r>
        <w:rPr>
          <w:spacing w:val="-6"/>
          <w:sz w:val="16"/>
        </w:rPr>
        <w:t xml:space="preserve"> </w:t>
      </w:r>
      <w:r>
        <w:rPr>
          <w:sz w:val="16"/>
        </w:rPr>
        <w:t>personas</w:t>
      </w:r>
      <w:r>
        <w:rPr>
          <w:spacing w:val="-6"/>
          <w:sz w:val="16"/>
        </w:rPr>
        <w:t xml:space="preserve"> </w:t>
      </w:r>
      <w:r>
        <w:rPr>
          <w:sz w:val="16"/>
        </w:rPr>
        <w:t>pertenecientes</w:t>
      </w:r>
      <w:r>
        <w:rPr>
          <w:spacing w:val="-6"/>
          <w:sz w:val="16"/>
        </w:rPr>
        <w:t xml:space="preserve"> </w:t>
      </w:r>
      <w:r>
        <w:rPr>
          <w:sz w:val="16"/>
        </w:rPr>
        <w:t>a</w:t>
      </w:r>
      <w:r>
        <w:rPr>
          <w:spacing w:val="-6"/>
          <w:sz w:val="16"/>
        </w:rPr>
        <w:t xml:space="preserve"> </w:t>
      </w:r>
      <w:r>
        <w:rPr>
          <w:sz w:val="16"/>
        </w:rPr>
        <w:t>minorías</w:t>
      </w:r>
      <w:r>
        <w:rPr>
          <w:spacing w:val="-6"/>
          <w:sz w:val="16"/>
        </w:rPr>
        <w:t xml:space="preserve"> </w:t>
      </w:r>
      <w:r>
        <w:rPr>
          <w:sz w:val="16"/>
        </w:rPr>
        <w:t>tienen</w:t>
      </w:r>
      <w:r>
        <w:rPr>
          <w:spacing w:val="-6"/>
          <w:sz w:val="16"/>
        </w:rPr>
        <w:t xml:space="preserve"> </w:t>
      </w:r>
      <w:r>
        <w:rPr>
          <w:sz w:val="16"/>
        </w:rPr>
        <w:t>derecho</w:t>
      </w:r>
      <w:r>
        <w:rPr>
          <w:spacing w:val="-6"/>
          <w:sz w:val="16"/>
        </w:rPr>
        <w:t xml:space="preserve"> </w:t>
      </w:r>
      <w:r>
        <w:rPr>
          <w:sz w:val="16"/>
        </w:rPr>
        <w:t>a</w:t>
      </w:r>
      <w:r>
        <w:rPr>
          <w:spacing w:val="-6"/>
          <w:sz w:val="16"/>
        </w:rPr>
        <w:t xml:space="preserve"> </w:t>
      </w:r>
      <w:r>
        <w:rPr>
          <w:sz w:val="16"/>
        </w:rPr>
        <w:t>disfrutar</w:t>
      </w:r>
      <w:r>
        <w:rPr>
          <w:spacing w:val="-6"/>
          <w:sz w:val="16"/>
        </w:rPr>
        <w:t xml:space="preserve"> </w:t>
      </w:r>
      <w:r>
        <w:rPr>
          <w:sz w:val="16"/>
        </w:rPr>
        <w:t>de</w:t>
      </w:r>
      <w:r>
        <w:rPr>
          <w:spacing w:val="-6"/>
          <w:sz w:val="16"/>
        </w:rPr>
        <w:t xml:space="preserve"> </w:t>
      </w:r>
      <w:r>
        <w:rPr>
          <w:sz w:val="16"/>
        </w:rPr>
        <w:t>su</w:t>
      </w:r>
      <w:r>
        <w:rPr>
          <w:spacing w:val="-6"/>
          <w:sz w:val="16"/>
        </w:rPr>
        <w:t xml:space="preserve"> </w:t>
      </w:r>
      <w:r>
        <w:rPr>
          <w:sz w:val="16"/>
        </w:rPr>
        <w:t>propia</w:t>
      </w:r>
      <w:r>
        <w:rPr>
          <w:spacing w:val="-6"/>
          <w:sz w:val="16"/>
        </w:rPr>
        <w:t xml:space="preserve"> </w:t>
      </w:r>
      <w:r>
        <w:rPr>
          <w:sz w:val="16"/>
        </w:rPr>
        <w:t>cultura,</w:t>
      </w:r>
      <w:r>
        <w:rPr>
          <w:spacing w:val="-5"/>
          <w:sz w:val="16"/>
        </w:rPr>
        <w:t xml:space="preserve"> </w:t>
      </w:r>
      <w:r>
        <w:rPr>
          <w:sz w:val="16"/>
        </w:rPr>
        <w:t>a</w:t>
      </w:r>
      <w:r>
        <w:rPr>
          <w:spacing w:val="-6"/>
          <w:sz w:val="16"/>
        </w:rPr>
        <w:t xml:space="preserve"> </w:t>
      </w:r>
      <w:r>
        <w:rPr>
          <w:sz w:val="16"/>
        </w:rPr>
        <w:t>profesar</w:t>
      </w:r>
      <w:r>
        <w:rPr>
          <w:spacing w:val="-6"/>
          <w:sz w:val="16"/>
        </w:rPr>
        <w:t xml:space="preserve"> </w:t>
      </w:r>
      <w:r>
        <w:rPr>
          <w:sz w:val="16"/>
        </w:rPr>
        <w:t>y</w:t>
      </w:r>
      <w:r>
        <w:rPr>
          <w:spacing w:val="-6"/>
          <w:sz w:val="16"/>
        </w:rPr>
        <w:t xml:space="preserve"> </w:t>
      </w:r>
      <w:r>
        <w:rPr>
          <w:sz w:val="16"/>
        </w:rPr>
        <w:t>practicar</w:t>
      </w:r>
      <w:r>
        <w:rPr>
          <w:spacing w:val="-6"/>
          <w:sz w:val="16"/>
        </w:rPr>
        <w:t xml:space="preserve"> </w:t>
      </w:r>
      <w:r>
        <w:rPr>
          <w:sz w:val="16"/>
        </w:rPr>
        <w:t>su</w:t>
      </w:r>
      <w:r>
        <w:rPr>
          <w:spacing w:val="-6"/>
          <w:sz w:val="16"/>
        </w:rPr>
        <w:t xml:space="preserve"> </w:t>
      </w:r>
      <w:r>
        <w:rPr>
          <w:sz w:val="16"/>
        </w:rPr>
        <w:t>propia</w:t>
      </w:r>
      <w:r>
        <w:rPr>
          <w:spacing w:val="-6"/>
          <w:sz w:val="16"/>
        </w:rPr>
        <w:t xml:space="preserve"> </w:t>
      </w:r>
      <w:r>
        <w:rPr>
          <w:sz w:val="16"/>
        </w:rPr>
        <w:t>religión</w:t>
      </w:r>
      <w:r>
        <w:rPr>
          <w:spacing w:val="-6"/>
          <w:sz w:val="16"/>
        </w:rPr>
        <w:t xml:space="preserve"> </w:t>
      </w:r>
      <w:r>
        <w:rPr>
          <w:sz w:val="16"/>
        </w:rPr>
        <w:t>y a</w:t>
      </w:r>
      <w:r>
        <w:rPr>
          <w:spacing w:val="-7"/>
          <w:sz w:val="16"/>
        </w:rPr>
        <w:t xml:space="preserve"> </w:t>
      </w:r>
      <w:r>
        <w:rPr>
          <w:sz w:val="16"/>
        </w:rPr>
        <w:t>utilizar</w:t>
      </w:r>
      <w:r>
        <w:rPr>
          <w:spacing w:val="-7"/>
          <w:sz w:val="16"/>
        </w:rPr>
        <w:t xml:space="preserve"> </w:t>
      </w:r>
      <w:r>
        <w:rPr>
          <w:sz w:val="16"/>
        </w:rPr>
        <w:t>su</w:t>
      </w:r>
      <w:r>
        <w:rPr>
          <w:spacing w:val="-7"/>
          <w:sz w:val="16"/>
        </w:rPr>
        <w:t xml:space="preserve"> </w:t>
      </w:r>
      <w:r>
        <w:rPr>
          <w:sz w:val="16"/>
        </w:rPr>
        <w:t>propio</w:t>
      </w:r>
      <w:r>
        <w:rPr>
          <w:spacing w:val="-7"/>
          <w:sz w:val="16"/>
        </w:rPr>
        <w:t xml:space="preserve"> </w:t>
      </w:r>
      <w:r>
        <w:rPr>
          <w:sz w:val="16"/>
        </w:rPr>
        <w:t>idioma,</w:t>
      </w:r>
      <w:r>
        <w:rPr>
          <w:spacing w:val="-6"/>
          <w:sz w:val="16"/>
        </w:rPr>
        <w:t xml:space="preserve"> </w:t>
      </w:r>
      <w:r>
        <w:rPr>
          <w:sz w:val="16"/>
        </w:rPr>
        <w:t>en</w:t>
      </w:r>
      <w:r>
        <w:rPr>
          <w:spacing w:val="-7"/>
          <w:sz w:val="16"/>
        </w:rPr>
        <w:t xml:space="preserve"> </w:t>
      </w:r>
      <w:r>
        <w:rPr>
          <w:sz w:val="16"/>
        </w:rPr>
        <w:t>privado</w:t>
      </w:r>
      <w:r>
        <w:rPr>
          <w:spacing w:val="-7"/>
          <w:sz w:val="16"/>
        </w:rPr>
        <w:t xml:space="preserve"> </w:t>
      </w:r>
      <w:r>
        <w:rPr>
          <w:sz w:val="16"/>
        </w:rPr>
        <w:t>y</w:t>
      </w:r>
      <w:r>
        <w:rPr>
          <w:spacing w:val="-7"/>
          <w:sz w:val="16"/>
        </w:rPr>
        <w:t xml:space="preserve"> </w:t>
      </w:r>
      <w:r>
        <w:rPr>
          <w:sz w:val="16"/>
        </w:rPr>
        <w:t>en</w:t>
      </w:r>
      <w:r>
        <w:rPr>
          <w:spacing w:val="-7"/>
          <w:sz w:val="16"/>
        </w:rPr>
        <w:t xml:space="preserve"> </w:t>
      </w:r>
      <w:r>
        <w:rPr>
          <w:sz w:val="16"/>
        </w:rPr>
        <w:t>público,</w:t>
      </w:r>
      <w:r>
        <w:rPr>
          <w:spacing w:val="-6"/>
          <w:sz w:val="16"/>
        </w:rPr>
        <w:t xml:space="preserve"> </w:t>
      </w:r>
      <w:r>
        <w:rPr>
          <w:sz w:val="16"/>
        </w:rPr>
        <w:t>libremente</w:t>
      </w:r>
      <w:r>
        <w:rPr>
          <w:spacing w:val="-7"/>
          <w:sz w:val="16"/>
        </w:rPr>
        <w:t xml:space="preserve"> </w:t>
      </w:r>
      <w:r>
        <w:rPr>
          <w:sz w:val="16"/>
        </w:rPr>
        <w:t>y</w:t>
      </w:r>
      <w:r>
        <w:rPr>
          <w:spacing w:val="-7"/>
          <w:sz w:val="16"/>
        </w:rPr>
        <w:t xml:space="preserve"> </w:t>
      </w:r>
      <w:r>
        <w:rPr>
          <w:sz w:val="16"/>
        </w:rPr>
        <w:t>sin</w:t>
      </w:r>
      <w:r>
        <w:rPr>
          <w:spacing w:val="-7"/>
          <w:sz w:val="16"/>
        </w:rPr>
        <w:t xml:space="preserve"> </w:t>
      </w:r>
      <w:r>
        <w:rPr>
          <w:sz w:val="16"/>
        </w:rPr>
        <w:t>injerencias</w:t>
      </w:r>
      <w:r>
        <w:rPr>
          <w:spacing w:val="-7"/>
          <w:sz w:val="16"/>
        </w:rPr>
        <w:t xml:space="preserve"> </w:t>
      </w:r>
      <w:r>
        <w:rPr>
          <w:sz w:val="16"/>
        </w:rPr>
        <w:t>ni</w:t>
      </w:r>
      <w:r>
        <w:rPr>
          <w:spacing w:val="-7"/>
          <w:sz w:val="16"/>
        </w:rPr>
        <w:t xml:space="preserve"> </w:t>
      </w:r>
      <w:r>
        <w:rPr>
          <w:sz w:val="16"/>
        </w:rPr>
        <w:t>ninguna</w:t>
      </w:r>
      <w:r>
        <w:rPr>
          <w:spacing w:val="-7"/>
          <w:sz w:val="16"/>
        </w:rPr>
        <w:t xml:space="preserve"> </w:t>
      </w:r>
      <w:r>
        <w:rPr>
          <w:sz w:val="16"/>
        </w:rPr>
        <w:t>forma</w:t>
      </w:r>
      <w:r>
        <w:rPr>
          <w:spacing w:val="-7"/>
          <w:sz w:val="16"/>
        </w:rPr>
        <w:t xml:space="preserve"> </w:t>
      </w:r>
      <w:r>
        <w:rPr>
          <w:sz w:val="16"/>
        </w:rPr>
        <w:t>de</w:t>
      </w:r>
      <w:r>
        <w:rPr>
          <w:spacing w:val="-7"/>
          <w:sz w:val="16"/>
        </w:rPr>
        <w:t xml:space="preserve"> </w:t>
      </w:r>
      <w:r>
        <w:rPr>
          <w:sz w:val="16"/>
        </w:rPr>
        <w:t>discriminación;</w:t>
      </w:r>
      <w:r>
        <w:rPr>
          <w:spacing w:val="-5"/>
          <w:sz w:val="16"/>
        </w:rPr>
        <w:t xml:space="preserve"> </w:t>
      </w:r>
      <w:r>
        <w:rPr>
          <w:sz w:val="16"/>
        </w:rPr>
        <w:t>también tienen</w:t>
      </w:r>
      <w:r>
        <w:rPr>
          <w:spacing w:val="-12"/>
          <w:sz w:val="16"/>
        </w:rPr>
        <w:t xml:space="preserve"> </w:t>
      </w:r>
      <w:r>
        <w:rPr>
          <w:sz w:val="16"/>
        </w:rPr>
        <w:t>derecho</w:t>
      </w:r>
      <w:r>
        <w:rPr>
          <w:spacing w:val="-11"/>
          <w:sz w:val="16"/>
        </w:rPr>
        <w:t xml:space="preserve"> </w:t>
      </w:r>
      <w:r>
        <w:rPr>
          <w:sz w:val="16"/>
        </w:rPr>
        <w:t>a</w:t>
      </w:r>
      <w:r>
        <w:rPr>
          <w:spacing w:val="-11"/>
          <w:sz w:val="16"/>
        </w:rPr>
        <w:t xml:space="preserve"> </w:t>
      </w:r>
      <w:r>
        <w:rPr>
          <w:sz w:val="16"/>
        </w:rPr>
        <w:t>participar</w:t>
      </w:r>
      <w:r>
        <w:rPr>
          <w:spacing w:val="-11"/>
          <w:sz w:val="16"/>
        </w:rPr>
        <w:t xml:space="preserve"> </w:t>
      </w:r>
      <w:r>
        <w:rPr>
          <w:sz w:val="16"/>
        </w:rPr>
        <w:t>efectivamente</w:t>
      </w:r>
      <w:r>
        <w:rPr>
          <w:spacing w:val="-11"/>
          <w:sz w:val="16"/>
        </w:rPr>
        <w:t xml:space="preserve"> </w:t>
      </w:r>
      <w:r>
        <w:rPr>
          <w:sz w:val="16"/>
        </w:rPr>
        <w:t>en</w:t>
      </w:r>
      <w:r>
        <w:rPr>
          <w:spacing w:val="-11"/>
          <w:sz w:val="16"/>
        </w:rPr>
        <w:t xml:space="preserve"> </w:t>
      </w:r>
      <w:r>
        <w:rPr>
          <w:sz w:val="16"/>
        </w:rPr>
        <w:t>la</w:t>
      </w:r>
      <w:r>
        <w:rPr>
          <w:spacing w:val="-11"/>
          <w:sz w:val="16"/>
        </w:rPr>
        <w:t xml:space="preserve"> </w:t>
      </w:r>
      <w:r>
        <w:rPr>
          <w:sz w:val="16"/>
        </w:rPr>
        <w:t>vida</w:t>
      </w:r>
      <w:r>
        <w:rPr>
          <w:spacing w:val="-11"/>
          <w:sz w:val="16"/>
        </w:rPr>
        <w:t xml:space="preserve"> </w:t>
      </w:r>
      <w:r>
        <w:rPr>
          <w:sz w:val="16"/>
        </w:rPr>
        <w:t>cultural,</w:t>
      </w:r>
      <w:r>
        <w:rPr>
          <w:spacing w:val="-12"/>
          <w:sz w:val="16"/>
        </w:rPr>
        <w:t xml:space="preserve"> </w:t>
      </w:r>
      <w:r>
        <w:rPr>
          <w:sz w:val="16"/>
        </w:rPr>
        <w:t>religiosa,</w:t>
      </w:r>
      <w:r>
        <w:rPr>
          <w:spacing w:val="-11"/>
          <w:sz w:val="16"/>
        </w:rPr>
        <w:t xml:space="preserve"> </w:t>
      </w:r>
      <w:r>
        <w:rPr>
          <w:sz w:val="16"/>
        </w:rPr>
        <w:t>social,</w:t>
      </w:r>
      <w:r>
        <w:rPr>
          <w:spacing w:val="-11"/>
          <w:sz w:val="16"/>
        </w:rPr>
        <w:t xml:space="preserve"> </w:t>
      </w:r>
      <w:r>
        <w:rPr>
          <w:sz w:val="16"/>
        </w:rPr>
        <w:t>económica</w:t>
      </w:r>
      <w:r>
        <w:rPr>
          <w:spacing w:val="-11"/>
          <w:sz w:val="16"/>
        </w:rPr>
        <w:t xml:space="preserve"> </w:t>
      </w:r>
      <w:r>
        <w:rPr>
          <w:sz w:val="16"/>
        </w:rPr>
        <w:t>y</w:t>
      </w:r>
      <w:r>
        <w:rPr>
          <w:spacing w:val="-11"/>
          <w:sz w:val="16"/>
        </w:rPr>
        <w:t xml:space="preserve"> </w:t>
      </w:r>
      <w:r>
        <w:rPr>
          <w:sz w:val="16"/>
        </w:rPr>
        <w:t>pública;</w:t>
      </w:r>
      <w:r>
        <w:rPr>
          <w:spacing w:val="-11"/>
          <w:sz w:val="16"/>
        </w:rPr>
        <w:t xml:space="preserve"> </w:t>
      </w:r>
      <w:r>
        <w:rPr>
          <w:sz w:val="16"/>
        </w:rPr>
        <w:t>participar</w:t>
      </w:r>
      <w:r>
        <w:rPr>
          <w:spacing w:val="-11"/>
          <w:sz w:val="16"/>
        </w:rPr>
        <w:t xml:space="preserve"> </w:t>
      </w:r>
      <w:r>
        <w:rPr>
          <w:sz w:val="16"/>
        </w:rPr>
        <w:t>efectivamente</w:t>
      </w:r>
      <w:r>
        <w:rPr>
          <w:spacing w:val="-11"/>
          <w:sz w:val="16"/>
        </w:rPr>
        <w:t xml:space="preserve"> </w:t>
      </w:r>
      <w:r>
        <w:rPr>
          <w:sz w:val="16"/>
        </w:rPr>
        <w:t>en las decisiones a nivel nacional y, en su caso, regional, relativas a la minoría a la que pertenecen o a las regiones en las que viven;</w:t>
      </w:r>
      <w:r>
        <w:rPr>
          <w:spacing w:val="-3"/>
          <w:sz w:val="16"/>
        </w:rPr>
        <w:t xml:space="preserve"> </w:t>
      </w:r>
      <w:r>
        <w:rPr>
          <w:sz w:val="16"/>
        </w:rPr>
        <w:t>y</w:t>
      </w:r>
      <w:r>
        <w:rPr>
          <w:spacing w:val="-3"/>
          <w:sz w:val="16"/>
        </w:rPr>
        <w:t xml:space="preserve"> </w:t>
      </w:r>
      <w:r>
        <w:rPr>
          <w:sz w:val="16"/>
        </w:rPr>
        <w:t>establecer</w:t>
      </w:r>
      <w:r>
        <w:rPr>
          <w:spacing w:val="-3"/>
          <w:sz w:val="16"/>
        </w:rPr>
        <w:t xml:space="preserve"> </w:t>
      </w:r>
      <w:r>
        <w:rPr>
          <w:sz w:val="16"/>
        </w:rPr>
        <w:t>y</w:t>
      </w:r>
      <w:r>
        <w:rPr>
          <w:spacing w:val="-3"/>
          <w:sz w:val="16"/>
        </w:rPr>
        <w:t xml:space="preserve"> </w:t>
      </w:r>
      <w:r>
        <w:rPr>
          <w:sz w:val="16"/>
        </w:rPr>
        <w:t>mantener</w:t>
      </w:r>
      <w:r>
        <w:rPr>
          <w:spacing w:val="-3"/>
          <w:sz w:val="16"/>
        </w:rPr>
        <w:t xml:space="preserve"> </w:t>
      </w:r>
      <w:r>
        <w:rPr>
          <w:sz w:val="16"/>
        </w:rPr>
        <w:t>sus</w:t>
      </w:r>
      <w:r>
        <w:rPr>
          <w:spacing w:val="-3"/>
          <w:sz w:val="16"/>
        </w:rPr>
        <w:t xml:space="preserve"> </w:t>
      </w:r>
      <w:r>
        <w:rPr>
          <w:sz w:val="16"/>
        </w:rPr>
        <w:t>propias</w:t>
      </w:r>
      <w:r>
        <w:rPr>
          <w:spacing w:val="-3"/>
          <w:sz w:val="16"/>
        </w:rPr>
        <w:t xml:space="preserve"> </w:t>
      </w:r>
      <w:r>
        <w:rPr>
          <w:sz w:val="16"/>
        </w:rPr>
        <w:t>asociaciones</w:t>
      </w:r>
      <w:r>
        <w:rPr>
          <w:spacing w:val="-3"/>
          <w:sz w:val="16"/>
        </w:rPr>
        <w:t xml:space="preserve"> </w:t>
      </w:r>
      <w:r>
        <w:rPr>
          <w:sz w:val="16"/>
        </w:rPr>
        <w:t>(art.</w:t>
      </w:r>
      <w:r>
        <w:rPr>
          <w:spacing w:val="-3"/>
          <w:sz w:val="16"/>
        </w:rPr>
        <w:t xml:space="preserve"> </w:t>
      </w:r>
      <w:r>
        <w:rPr>
          <w:sz w:val="16"/>
        </w:rPr>
        <w:t>2).</w:t>
      </w:r>
    </w:p>
    <w:p w14:paraId="629C5B84" w14:textId="77777777" w:rsidR="0014798C" w:rsidRDefault="0014798C">
      <w:pPr>
        <w:pStyle w:val="Textoindependiente"/>
        <w:spacing w:before="176"/>
      </w:pPr>
    </w:p>
    <w:p w14:paraId="236FB13E" w14:textId="77777777" w:rsidR="0014798C" w:rsidRDefault="004E1F0B">
      <w:pPr>
        <w:pStyle w:val="Prrafodelista"/>
        <w:numPr>
          <w:ilvl w:val="1"/>
          <w:numId w:val="24"/>
        </w:numPr>
        <w:tabs>
          <w:tab w:val="left" w:pos="1216"/>
          <w:tab w:val="left" w:pos="1351"/>
        </w:tabs>
        <w:spacing w:before="1" w:line="316" w:lineRule="auto"/>
        <w:ind w:left="1351" w:right="3078" w:hanging="234"/>
        <w:rPr>
          <w:sz w:val="16"/>
        </w:rPr>
      </w:pPr>
      <w:r>
        <w:rPr>
          <w:noProof/>
        </w:rPr>
        <w:drawing>
          <wp:anchor distT="0" distB="0" distL="0" distR="0" simplePos="0" relativeHeight="251658455" behindDoc="1" locked="0" layoutInCell="1" allowOverlap="1" wp14:anchorId="44C15F7F" wp14:editId="4979729D">
            <wp:simplePos x="0" y="0"/>
            <wp:positionH relativeFrom="page">
              <wp:posOffset>826632</wp:posOffset>
            </wp:positionH>
            <wp:positionV relativeFrom="paragraph">
              <wp:posOffset>192463</wp:posOffset>
            </wp:positionV>
            <wp:extent cx="6729867" cy="5360570"/>
            <wp:effectExtent l="0" t="0" r="0" b="0"/>
            <wp:wrapNone/>
            <wp:docPr id="266" name="Image 26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66" name="Image 266"/>
                    <pic:cNvPicPr/>
                  </pic:nvPicPr>
                  <pic:blipFill>
                    <a:blip r:embed="rId239" cstate="print"/>
                    <a:stretch>
                      <a:fillRect/>
                    </a:stretch>
                  </pic:blipFill>
                  <pic:spPr>
                    <a:xfrm>
                      <a:off x="0" y="0"/>
                      <a:ext cx="6729867" cy="5360570"/>
                    </a:xfrm>
                    <a:prstGeom prst="rect">
                      <a:avLst/>
                    </a:prstGeom>
                  </pic:spPr>
                </pic:pic>
              </a:graphicData>
            </a:graphic>
          </wp:anchor>
        </w:drawing>
      </w:r>
      <w:r>
        <w:rPr>
          <w:sz w:val="16"/>
        </w:rPr>
        <w:t>Estos</w:t>
      </w:r>
      <w:r>
        <w:rPr>
          <w:spacing w:val="-7"/>
          <w:sz w:val="16"/>
        </w:rPr>
        <w:t xml:space="preserve"> </w:t>
      </w:r>
      <w:r>
        <w:rPr>
          <w:sz w:val="16"/>
        </w:rPr>
        <w:t>derechos</w:t>
      </w:r>
      <w:r>
        <w:rPr>
          <w:spacing w:val="-7"/>
          <w:sz w:val="16"/>
        </w:rPr>
        <w:t xml:space="preserve"> </w:t>
      </w:r>
      <w:r>
        <w:rPr>
          <w:sz w:val="16"/>
        </w:rPr>
        <w:t>podrán</w:t>
      </w:r>
      <w:r>
        <w:rPr>
          <w:spacing w:val="-7"/>
          <w:sz w:val="16"/>
        </w:rPr>
        <w:t xml:space="preserve"> </w:t>
      </w:r>
      <w:r>
        <w:rPr>
          <w:sz w:val="16"/>
        </w:rPr>
        <w:t>ser</w:t>
      </w:r>
      <w:r>
        <w:rPr>
          <w:spacing w:val="-7"/>
          <w:sz w:val="16"/>
        </w:rPr>
        <w:t xml:space="preserve"> </w:t>
      </w:r>
      <w:r>
        <w:rPr>
          <w:sz w:val="16"/>
        </w:rPr>
        <w:t>ejercidos</w:t>
      </w:r>
      <w:r>
        <w:rPr>
          <w:spacing w:val="-7"/>
          <w:sz w:val="16"/>
        </w:rPr>
        <w:t xml:space="preserve"> </w:t>
      </w:r>
      <w:r>
        <w:rPr>
          <w:sz w:val="16"/>
        </w:rPr>
        <w:t>individualmente</w:t>
      </w:r>
      <w:r>
        <w:rPr>
          <w:spacing w:val="-7"/>
          <w:sz w:val="16"/>
        </w:rPr>
        <w:t xml:space="preserve"> </w:t>
      </w:r>
      <w:r>
        <w:rPr>
          <w:sz w:val="16"/>
        </w:rPr>
        <w:t>y</w:t>
      </w:r>
      <w:r>
        <w:rPr>
          <w:spacing w:val="-7"/>
          <w:sz w:val="16"/>
        </w:rPr>
        <w:t xml:space="preserve"> </w:t>
      </w:r>
      <w:r>
        <w:rPr>
          <w:sz w:val="16"/>
        </w:rPr>
        <w:t>en</w:t>
      </w:r>
      <w:r>
        <w:rPr>
          <w:spacing w:val="-7"/>
          <w:sz w:val="16"/>
        </w:rPr>
        <w:t xml:space="preserve"> </w:t>
      </w:r>
      <w:r>
        <w:rPr>
          <w:sz w:val="16"/>
        </w:rPr>
        <w:t>comunidad</w:t>
      </w:r>
      <w:r>
        <w:rPr>
          <w:spacing w:val="-7"/>
          <w:sz w:val="16"/>
        </w:rPr>
        <w:t xml:space="preserve"> </w:t>
      </w:r>
      <w:r>
        <w:rPr>
          <w:sz w:val="16"/>
        </w:rPr>
        <w:t>con</w:t>
      </w:r>
      <w:r>
        <w:rPr>
          <w:spacing w:val="-7"/>
          <w:sz w:val="16"/>
        </w:rPr>
        <w:t xml:space="preserve"> </w:t>
      </w:r>
      <w:r>
        <w:rPr>
          <w:sz w:val="16"/>
        </w:rPr>
        <w:t>otros</w:t>
      </w:r>
      <w:r>
        <w:rPr>
          <w:spacing w:val="-7"/>
          <w:sz w:val="16"/>
        </w:rPr>
        <w:t xml:space="preserve"> </w:t>
      </w:r>
      <w:r>
        <w:rPr>
          <w:sz w:val="16"/>
        </w:rPr>
        <w:t>miembros</w:t>
      </w:r>
      <w:r>
        <w:rPr>
          <w:spacing w:val="-7"/>
          <w:sz w:val="16"/>
        </w:rPr>
        <w:t xml:space="preserve"> </w:t>
      </w:r>
      <w:r>
        <w:rPr>
          <w:sz w:val="16"/>
        </w:rPr>
        <w:t>del</w:t>
      </w:r>
      <w:r>
        <w:rPr>
          <w:spacing w:val="-7"/>
          <w:sz w:val="16"/>
        </w:rPr>
        <w:t xml:space="preserve"> </w:t>
      </w:r>
      <w:r>
        <w:rPr>
          <w:sz w:val="16"/>
        </w:rPr>
        <w:t>grupo</w:t>
      </w:r>
      <w:r>
        <w:rPr>
          <w:spacing w:val="-7"/>
          <w:sz w:val="16"/>
        </w:rPr>
        <w:t xml:space="preserve"> </w:t>
      </w:r>
      <w:r>
        <w:rPr>
          <w:sz w:val="16"/>
        </w:rPr>
        <w:t>y</w:t>
      </w:r>
      <w:r>
        <w:rPr>
          <w:spacing w:val="-7"/>
          <w:sz w:val="16"/>
        </w:rPr>
        <w:t xml:space="preserve"> </w:t>
      </w:r>
      <w:r>
        <w:rPr>
          <w:sz w:val="16"/>
        </w:rPr>
        <w:t>sin discriminación (artículo 3).</w:t>
      </w:r>
    </w:p>
    <w:p w14:paraId="0EEF6CA5" w14:textId="77777777" w:rsidR="0014798C" w:rsidRDefault="004E1F0B">
      <w:pPr>
        <w:pStyle w:val="Prrafodelista"/>
        <w:numPr>
          <w:ilvl w:val="1"/>
          <w:numId w:val="24"/>
        </w:numPr>
        <w:tabs>
          <w:tab w:val="left" w:pos="1217"/>
          <w:tab w:val="left" w:pos="1348"/>
        </w:tabs>
        <w:spacing w:before="127" w:line="326" w:lineRule="auto"/>
        <w:ind w:right="1374" w:hanging="230"/>
        <w:rPr>
          <w:sz w:val="16"/>
        </w:rPr>
      </w:pPr>
      <w:r>
        <w:rPr>
          <w:noProof/>
        </w:rPr>
        <mc:AlternateContent>
          <mc:Choice Requires="wps">
            <w:drawing>
              <wp:anchor distT="0" distB="0" distL="0" distR="0" simplePos="0" relativeHeight="251658303" behindDoc="0" locked="0" layoutInCell="1" allowOverlap="1" wp14:anchorId="532EC4F4" wp14:editId="4446AF43">
                <wp:simplePos x="0" y="0"/>
                <wp:positionH relativeFrom="page">
                  <wp:posOffset>7293418</wp:posOffset>
                </wp:positionH>
                <wp:positionV relativeFrom="paragraph">
                  <wp:posOffset>493862</wp:posOffset>
                </wp:positionV>
                <wp:extent cx="104775" cy="260985"/>
                <wp:effectExtent l="0" t="0" r="0" b="0"/>
                <wp:wrapNone/>
                <wp:docPr id="267" name="Textbox 26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04775" cy="260985"/>
                        </a:xfrm>
                        <a:prstGeom prst="rect">
                          <a:avLst/>
                        </a:prstGeom>
                      </wps:spPr>
                      <wps:txbx>
                        <w:txbxContent>
                          <w:p w14:paraId="38CCC9CC" w14:textId="77777777" w:rsidR="0014798C" w:rsidRDefault="004E1F0B">
                            <w:pPr>
                              <w:spacing w:before="17"/>
                              <w:ind w:left="20"/>
                              <w:rPr>
                                <w:sz w:val="11"/>
                              </w:rPr>
                            </w:pPr>
                            <w:r>
                              <w:rPr>
                                <w:color w:val="FFFFFF"/>
                                <w:spacing w:val="-33"/>
                                <w:sz w:val="11"/>
                              </w:rPr>
                              <w:t>TPRAERSTE</w:t>
                            </w:r>
                          </w:p>
                        </w:txbxContent>
                      </wps:txbx>
                      <wps:bodyPr vert="vert270" wrap="square" lIns="0" tIns="0" rIns="0" bIns="0" rtlCol="0">
                        <a:noAutofit/>
                      </wps:bodyPr>
                    </wps:wsp>
                  </a:graphicData>
                </a:graphic>
              </wp:anchor>
            </w:drawing>
          </mc:Choice>
          <mc:Fallback>
            <w:pict>
              <v:shape w14:anchorId="532EC4F4" id="Textbox 267" o:spid="_x0000_s1130" type="#_x0000_t202" style="position:absolute;left:0;text-align:left;margin-left:574.3pt;margin-top:38.9pt;width:8.25pt;height:20.55pt;z-index:251658303;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" filled="f" stroked="f">
                <v:textbox style="layout-flow:vertical;mso-layout-flow-alt:bottom-to-top" inset="0,0,0,0">
                  <w:txbxContent>
                    <w:p w14:paraId="38CCC9CC" w14:textId="77777777" w:rsidR="0014798C" w:rsidRDefault="004E1F0B">
                      <w:pPr>
                        <w:spacing w:before="17"/>
                        <w:ind w:left="20"/>
                        <w:rPr>
                          <w:sz w:val="11"/>
                        </w:rPr>
                      </w:pPr>
                      <w:r>
                        <w:rPr>
                          <w:color w:val="FFFFFF"/>
                          <w:spacing w:val="-33"/>
                          <w:sz w:val="11"/>
                        </w:rPr>
                        <w:t>TPRAERSTE</w:t>
                      </w:r>
                    </w:p>
                  </w:txbxContent>
                </v:textbox>
                <w10:wrap anchorx="page"/>
              </v:shape>
            </w:pict>
          </mc:Fallback>
        </mc:AlternateContent>
      </w:r>
      <w:r>
        <w:rPr>
          <w:sz w:val="16"/>
        </w:rPr>
        <w:t>Los Estados adoptarán medidas –incluidas medidas proactivas– para garantizar el ejercicio pleno y efectivo de los derechos de las</w:t>
      </w:r>
      <w:r>
        <w:rPr>
          <w:spacing w:val="-6"/>
          <w:sz w:val="16"/>
        </w:rPr>
        <w:t xml:space="preserve"> </w:t>
      </w:r>
      <w:r>
        <w:rPr>
          <w:sz w:val="16"/>
        </w:rPr>
        <w:t>minorías</w:t>
      </w:r>
      <w:r>
        <w:rPr>
          <w:spacing w:val="-6"/>
          <w:sz w:val="16"/>
        </w:rPr>
        <w:t xml:space="preserve"> </w:t>
      </w:r>
      <w:r>
        <w:rPr>
          <w:sz w:val="16"/>
        </w:rPr>
        <w:t>y</w:t>
      </w:r>
      <w:r>
        <w:rPr>
          <w:spacing w:val="-6"/>
          <w:sz w:val="16"/>
        </w:rPr>
        <w:t xml:space="preserve"> </w:t>
      </w:r>
      <w:r>
        <w:rPr>
          <w:sz w:val="16"/>
        </w:rPr>
        <w:t>crear</w:t>
      </w:r>
      <w:r>
        <w:rPr>
          <w:spacing w:val="-6"/>
          <w:sz w:val="16"/>
        </w:rPr>
        <w:t xml:space="preserve"> </w:t>
      </w:r>
      <w:r>
        <w:rPr>
          <w:sz w:val="16"/>
        </w:rPr>
        <w:t>condiciones</w:t>
      </w:r>
      <w:r>
        <w:rPr>
          <w:spacing w:val="-6"/>
          <w:sz w:val="16"/>
        </w:rPr>
        <w:t xml:space="preserve"> </w:t>
      </w:r>
      <w:r>
        <w:rPr>
          <w:sz w:val="16"/>
        </w:rPr>
        <w:t>favorables</w:t>
      </w:r>
      <w:r>
        <w:rPr>
          <w:spacing w:val="-6"/>
          <w:sz w:val="16"/>
        </w:rPr>
        <w:t xml:space="preserve"> </w:t>
      </w:r>
      <w:r>
        <w:rPr>
          <w:sz w:val="16"/>
        </w:rPr>
        <w:t>para</w:t>
      </w:r>
      <w:r>
        <w:rPr>
          <w:spacing w:val="-6"/>
          <w:sz w:val="16"/>
        </w:rPr>
        <w:t xml:space="preserve"> </w:t>
      </w:r>
      <w:r>
        <w:rPr>
          <w:sz w:val="16"/>
        </w:rPr>
        <w:t>el</w:t>
      </w:r>
      <w:r>
        <w:rPr>
          <w:spacing w:val="-6"/>
          <w:sz w:val="16"/>
        </w:rPr>
        <w:t xml:space="preserve"> </w:t>
      </w:r>
      <w:r>
        <w:rPr>
          <w:sz w:val="16"/>
        </w:rPr>
        <w:t>desarrollo</w:t>
      </w:r>
      <w:r>
        <w:rPr>
          <w:spacing w:val="-6"/>
          <w:sz w:val="16"/>
        </w:rPr>
        <w:t xml:space="preserve"> </w:t>
      </w:r>
      <w:r>
        <w:rPr>
          <w:sz w:val="16"/>
        </w:rPr>
        <w:t>y</w:t>
      </w:r>
      <w:r>
        <w:rPr>
          <w:spacing w:val="-6"/>
          <w:sz w:val="16"/>
        </w:rPr>
        <w:t xml:space="preserve"> </w:t>
      </w:r>
      <w:r>
        <w:rPr>
          <w:sz w:val="16"/>
        </w:rPr>
        <w:t>la</w:t>
      </w:r>
      <w:r>
        <w:rPr>
          <w:spacing w:val="-6"/>
          <w:sz w:val="16"/>
        </w:rPr>
        <w:t xml:space="preserve"> </w:t>
      </w:r>
      <w:r>
        <w:rPr>
          <w:sz w:val="16"/>
        </w:rPr>
        <w:t>expresión</w:t>
      </w:r>
      <w:r>
        <w:rPr>
          <w:spacing w:val="-6"/>
          <w:sz w:val="16"/>
        </w:rPr>
        <w:t xml:space="preserve"> </w:t>
      </w:r>
      <w:r>
        <w:rPr>
          <w:sz w:val="16"/>
        </w:rPr>
        <w:t>de</w:t>
      </w:r>
      <w:r>
        <w:rPr>
          <w:spacing w:val="-6"/>
          <w:sz w:val="16"/>
        </w:rPr>
        <w:t xml:space="preserve"> </w:t>
      </w:r>
      <w:r>
        <w:rPr>
          <w:sz w:val="16"/>
        </w:rPr>
        <w:t>la</w:t>
      </w:r>
      <w:r>
        <w:rPr>
          <w:spacing w:val="-6"/>
          <w:sz w:val="16"/>
        </w:rPr>
        <w:t xml:space="preserve"> </w:t>
      </w:r>
      <w:r>
        <w:rPr>
          <w:sz w:val="16"/>
        </w:rPr>
        <w:t>cultura,</w:t>
      </w:r>
      <w:r>
        <w:rPr>
          <w:spacing w:val="-5"/>
          <w:sz w:val="16"/>
        </w:rPr>
        <w:t xml:space="preserve"> </w:t>
      </w:r>
      <w:r>
        <w:rPr>
          <w:sz w:val="16"/>
        </w:rPr>
        <w:t>la</w:t>
      </w:r>
      <w:r>
        <w:rPr>
          <w:spacing w:val="-6"/>
          <w:sz w:val="16"/>
        </w:rPr>
        <w:t xml:space="preserve"> </w:t>
      </w:r>
      <w:r>
        <w:rPr>
          <w:sz w:val="16"/>
        </w:rPr>
        <w:t>lengua,</w:t>
      </w:r>
      <w:r>
        <w:rPr>
          <w:spacing w:val="-5"/>
          <w:sz w:val="16"/>
        </w:rPr>
        <w:t xml:space="preserve"> </w:t>
      </w:r>
      <w:r>
        <w:rPr>
          <w:sz w:val="16"/>
        </w:rPr>
        <w:t>la</w:t>
      </w:r>
      <w:r>
        <w:rPr>
          <w:spacing w:val="-6"/>
          <w:sz w:val="16"/>
        </w:rPr>
        <w:t xml:space="preserve"> </w:t>
      </w:r>
      <w:r>
        <w:rPr>
          <w:sz w:val="16"/>
        </w:rPr>
        <w:t>religión,</w:t>
      </w:r>
      <w:r>
        <w:rPr>
          <w:spacing w:val="-5"/>
          <w:sz w:val="16"/>
        </w:rPr>
        <w:t xml:space="preserve"> </w:t>
      </w:r>
      <w:r>
        <w:rPr>
          <w:sz w:val="16"/>
        </w:rPr>
        <w:t>las</w:t>
      </w:r>
      <w:r>
        <w:rPr>
          <w:spacing w:val="-6"/>
          <w:sz w:val="16"/>
        </w:rPr>
        <w:t xml:space="preserve"> </w:t>
      </w:r>
      <w:r>
        <w:rPr>
          <w:sz w:val="16"/>
        </w:rPr>
        <w:t>tradiciones</w:t>
      </w:r>
      <w:r>
        <w:rPr>
          <w:spacing w:val="-6"/>
          <w:sz w:val="16"/>
        </w:rPr>
        <w:t xml:space="preserve"> </w:t>
      </w:r>
      <w:r>
        <w:rPr>
          <w:sz w:val="16"/>
        </w:rPr>
        <w:t>y las costumbres (art. 4).</w:t>
      </w:r>
    </w:p>
    <w:p w14:paraId="1227B69C" w14:textId="77777777" w:rsidR="0014798C" w:rsidRDefault="004E1F0B">
      <w:pPr>
        <w:pStyle w:val="Textoindependiente"/>
        <w:spacing w:before="168" w:line="326" w:lineRule="auto"/>
        <w:ind w:left="1107" w:right="1272" w:hanging="1"/>
      </w:pPr>
      <w:r>
        <w:t>El</w:t>
      </w:r>
      <w:r>
        <w:rPr>
          <w:spacing w:val="-6"/>
        </w:rPr>
        <w:t xml:space="preserve"> </w:t>
      </w:r>
      <w:r>
        <w:t>artículo</w:t>
      </w:r>
      <w:r>
        <w:rPr>
          <w:spacing w:val="-6"/>
        </w:rPr>
        <w:t xml:space="preserve"> </w:t>
      </w:r>
      <w:r>
        <w:t>8</w:t>
      </w:r>
      <w:r>
        <w:rPr>
          <w:spacing w:val="-6"/>
        </w:rPr>
        <w:t xml:space="preserve"> </w:t>
      </w:r>
      <w:r>
        <w:t>(3)</w:t>
      </w:r>
      <w:r>
        <w:rPr>
          <w:spacing w:val="-6"/>
        </w:rPr>
        <w:t xml:space="preserve"> </w:t>
      </w:r>
      <w:r>
        <w:t>de</w:t>
      </w:r>
      <w:r>
        <w:rPr>
          <w:spacing w:val="-6"/>
        </w:rPr>
        <w:t xml:space="preserve"> </w:t>
      </w:r>
      <w:r>
        <w:t>la</w:t>
      </w:r>
      <w:r>
        <w:rPr>
          <w:spacing w:val="-6"/>
        </w:rPr>
        <w:t xml:space="preserve"> </w:t>
      </w:r>
      <w:r>
        <w:t>Declaración</w:t>
      </w:r>
      <w:r>
        <w:rPr>
          <w:spacing w:val="-6"/>
        </w:rPr>
        <w:t xml:space="preserve"> </w:t>
      </w:r>
      <w:r>
        <w:t>establece</w:t>
      </w:r>
      <w:r>
        <w:rPr>
          <w:spacing w:val="-6"/>
        </w:rPr>
        <w:t xml:space="preserve"> </w:t>
      </w:r>
      <w:r>
        <w:t>que</w:t>
      </w:r>
      <w:r>
        <w:rPr>
          <w:spacing w:val="-6"/>
        </w:rPr>
        <w:t xml:space="preserve"> </w:t>
      </w:r>
      <w:r>
        <w:t>las</w:t>
      </w:r>
      <w:r>
        <w:rPr>
          <w:spacing w:val="-6"/>
        </w:rPr>
        <w:t xml:space="preserve"> </w:t>
      </w:r>
      <w:r>
        <w:t>medidas</w:t>
      </w:r>
      <w:r>
        <w:rPr>
          <w:spacing w:val="-6"/>
        </w:rPr>
        <w:t xml:space="preserve"> </w:t>
      </w:r>
      <w:r>
        <w:t>adoptadas</w:t>
      </w:r>
      <w:r>
        <w:rPr>
          <w:spacing w:val="-6"/>
        </w:rPr>
        <w:t xml:space="preserve"> </w:t>
      </w:r>
      <w:r>
        <w:t>para</w:t>
      </w:r>
      <w:r>
        <w:rPr>
          <w:spacing w:val="-6"/>
        </w:rPr>
        <w:t xml:space="preserve"> </w:t>
      </w:r>
      <w:r>
        <w:t>promover</w:t>
      </w:r>
      <w:r>
        <w:rPr>
          <w:spacing w:val="-6"/>
        </w:rPr>
        <w:t xml:space="preserve"> </w:t>
      </w:r>
      <w:r>
        <w:t>sus</w:t>
      </w:r>
      <w:r>
        <w:rPr>
          <w:spacing w:val="-6"/>
        </w:rPr>
        <w:t xml:space="preserve"> </w:t>
      </w:r>
      <w:r>
        <w:t>objetivos</w:t>
      </w:r>
      <w:r>
        <w:rPr>
          <w:spacing w:val="-6"/>
        </w:rPr>
        <w:t xml:space="preserve"> </w:t>
      </w:r>
      <w:r>
        <w:t>no</w:t>
      </w:r>
      <w:r>
        <w:rPr>
          <w:spacing w:val="-6"/>
        </w:rPr>
        <w:t xml:space="preserve"> </w:t>
      </w:r>
      <w:r>
        <w:t>se</w:t>
      </w:r>
      <w:r>
        <w:rPr>
          <w:spacing w:val="-6"/>
        </w:rPr>
        <w:t xml:space="preserve"> </w:t>
      </w:r>
      <w:r>
        <w:t>considerarán</w:t>
      </w:r>
      <w:r>
        <w:rPr>
          <w:spacing w:val="-6"/>
        </w:rPr>
        <w:t xml:space="preserve"> </w:t>
      </w:r>
      <w:r>
        <w:t>prima</w:t>
      </w:r>
      <w:r>
        <w:rPr>
          <w:spacing w:val="-6"/>
        </w:rPr>
        <w:t xml:space="preserve"> </w:t>
      </w:r>
      <w:r>
        <w:t>facie contrarias</w:t>
      </w:r>
      <w:r>
        <w:rPr>
          <w:spacing w:val="-4"/>
        </w:rPr>
        <w:t xml:space="preserve"> </w:t>
      </w:r>
      <w:r>
        <w:t>al</w:t>
      </w:r>
      <w:r>
        <w:rPr>
          <w:spacing w:val="-4"/>
        </w:rPr>
        <w:t xml:space="preserve"> </w:t>
      </w:r>
      <w:r>
        <w:t>principio</w:t>
      </w:r>
      <w:r>
        <w:rPr>
          <w:spacing w:val="-4"/>
        </w:rPr>
        <w:t xml:space="preserve"> </w:t>
      </w:r>
      <w:r>
        <w:t>de</w:t>
      </w:r>
      <w:r>
        <w:rPr>
          <w:spacing w:val="-4"/>
        </w:rPr>
        <w:t xml:space="preserve"> </w:t>
      </w:r>
      <w:r>
        <w:t>igualdad.</w:t>
      </w:r>
      <w:r>
        <w:rPr>
          <w:spacing w:val="-3"/>
        </w:rPr>
        <w:t xml:space="preserve"> </w:t>
      </w:r>
      <w:r>
        <w:t>De</w:t>
      </w:r>
      <w:r>
        <w:rPr>
          <w:spacing w:val="-4"/>
        </w:rPr>
        <w:t xml:space="preserve"> </w:t>
      </w:r>
      <w:r>
        <w:t>hecho,</w:t>
      </w:r>
      <w:r>
        <w:rPr>
          <w:spacing w:val="-4"/>
        </w:rPr>
        <w:t xml:space="preserve"> </w:t>
      </w:r>
      <w:r>
        <w:t>el</w:t>
      </w:r>
      <w:r>
        <w:rPr>
          <w:spacing w:val="-4"/>
        </w:rPr>
        <w:t xml:space="preserve"> </w:t>
      </w:r>
      <w:r>
        <w:t>comentario</w:t>
      </w:r>
      <w:r>
        <w:rPr>
          <w:spacing w:val="-4"/>
        </w:rPr>
        <w:t xml:space="preserve"> </w:t>
      </w:r>
      <w:r>
        <w:t>a</w:t>
      </w:r>
      <w:r>
        <w:rPr>
          <w:spacing w:val="-4"/>
        </w:rPr>
        <w:t xml:space="preserve"> </w:t>
      </w:r>
      <w:r>
        <w:t>la</w:t>
      </w:r>
      <w:r>
        <w:rPr>
          <w:spacing w:val="-4"/>
        </w:rPr>
        <w:t xml:space="preserve"> </w:t>
      </w:r>
      <w:r>
        <w:t>Declaración</w:t>
      </w:r>
      <w:r>
        <w:rPr>
          <w:spacing w:val="-4"/>
        </w:rPr>
        <w:t xml:space="preserve"> </w:t>
      </w:r>
      <w:r>
        <w:t>establece</w:t>
      </w:r>
      <w:r>
        <w:rPr>
          <w:spacing w:val="-4"/>
        </w:rPr>
        <w:t xml:space="preserve"> </w:t>
      </w:r>
      <w:r>
        <w:t>que</w:t>
      </w:r>
      <w:r>
        <w:rPr>
          <w:spacing w:val="-4"/>
        </w:rPr>
        <w:t xml:space="preserve"> </w:t>
      </w:r>
      <w:r>
        <w:t>la</w:t>
      </w:r>
      <w:r>
        <w:rPr>
          <w:spacing w:val="-4"/>
        </w:rPr>
        <w:t xml:space="preserve"> </w:t>
      </w:r>
      <w:r>
        <w:t>protección</w:t>
      </w:r>
      <w:r>
        <w:rPr>
          <w:spacing w:val="-4"/>
        </w:rPr>
        <w:t xml:space="preserve"> </w:t>
      </w:r>
      <w:r>
        <w:t>de</w:t>
      </w:r>
      <w:r>
        <w:rPr>
          <w:spacing w:val="-4"/>
        </w:rPr>
        <w:t xml:space="preserve"> </w:t>
      </w:r>
      <w:r>
        <w:t>las</w:t>
      </w:r>
      <w:r>
        <w:rPr>
          <w:spacing w:val="-4"/>
        </w:rPr>
        <w:t xml:space="preserve"> </w:t>
      </w:r>
      <w:r>
        <w:t>minorías</w:t>
      </w:r>
      <w:r>
        <w:rPr>
          <w:spacing w:val="-4"/>
        </w:rPr>
        <w:t xml:space="preserve"> </w:t>
      </w:r>
      <w:r>
        <w:t>se</w:t>
      </w:r>
      <w:r>
        <w:rPr>
          <w:spacing w:val="-4"/>
        </w:rPr>
        <w:t xml:space="preserve"> </w:t>
      </w:r>
      <w:r>
        <w:t>basa</w:t>
      </w:r>
      <w:r>
        <w:rPr>
          <w:spacing w:val="-4"/>
        </w:rPr>
        <w:t xml:space="preserve"> </w:t>
      </w:r>
      <w:r>
        <w:t xml:space="preserve">en </w:t>
      </w:r>
      <w:r>
        <w:rPr>
          <w:spacing w:val="-2"/>
        </w:rPr>
        <w:t>cuatro</w:t>
      </w:r>
      <w:r>
        <w:rPr>
          <w:spacing w:val="-8"/>
        </w:rPr>
        <w:t xml:space="preserve"> </w:t>
      </w:r>
      <w:r>
        <w:rPr>
          <w:spacing w:val="-2"/>
        </w:rPr>
        <w:t>requisitos:</w:t>
      </w:r>
      <w:r>
        <w:rPr>
          <w:spacing w:val="-8"/>
        </w:rPr>
        <w:t xml:space="preserve"> </w:t>
      </w:r>
      <w:r>
        <w:rPr>
          <w:spacing w:val="-2"/>
        </w:rPr>
        <w:t>protección</w:t>
      </w:r>
      <w:r>
        <w:rPr>
          <w:spacing w:val="-8"/>
        </w:rPr>
        <w:t xml:space="preserve"> </w:t>
      </w:r>
      <w:r>
        <w:rPr>
          <w:spacing w:val="-2"/>
        </w:rPr>
        <w:t>de</w:t>
      </w:r>
      <w:r>
        <w:rPr>
          <w:spacing w:val="-8"/>
        </w:rPr>
        <w:t xml:space="preserve"> </w:t>
      </w:r>
      <w:r>
        <w:rPr>
          <w:spacing w:val="-2"/>
        </w:rPr>
        <w:t>la</w:t>
      </w:r>
      <w:r>
        <w:rPr>
          <w:spacing w:val="-8"/>
        </w:rPr>
        <w:t xml:space="preserve"> </w:t>
      </w:r>
      <w:r>
        <w:rPr>
          <w:spacing w:val="-2"/>
        </w:rPr>
        <w:t>existencia</w:t>
      </w:r>
      <w:r>
        <w:rPr>
          <w:spacing w:val="-8"/>
        </w:rPr>
        <w:t xml:space="preserve"> </w:t>
      </w:r>
      <w:r>
        <w:rPr>
          <w:spacing w:val="-2"/>
        </w:rPr>
        <w:t>de</w:t>
      </w:r>
      <w:r>
        <w:rPr>
          <w:spacing w:val="-8"/>
        </w:rPr>
        <w:t xml:space="preserve"> </w:t>
      </w:r>
      <w:r>
        <w:rPr>
          <w:spacing w:val="-2"/>
        </w:rPr>
        <w:t>las</w:t>
      </w:r>
      <w:r>
        <w:rPr>
          <w:spacing w:val="-8"/>
        </w:rPr>
        <w:t xml:space="preserve"> </w:t>
      </w:r>
      <w:r>
        <w:rPr>
          <w:spacing w:val="-2"/>
        </w:rPr>
        <w:t>minorías;</w:t>
      </w:r>
      <w:r>
        <w:rPr>
          <w:spacing w:val="-8"/>
        </w:rPr>
        <w:t xml:space="preserve"> </w:t>
      </w:r>
      <w:r>
        <w:rPr>
          <w:spacing w:val="-2"/>
        </w:rPr>
        <w:t>no</w:t>
      </w:r>
      <w:r>
        <w:rPr>
          <w:spacing w:val="-8"/>
        </w:rPr>
        <w:t xml:space="preserve"> </w:t>
      </w:r>
      <w:r>
        <w:rPr>
          <w:spacing w:val="-2"/>
        </w:rPr>
        <w:t>exclusión;</w:t>
      </w:r>
      <w:r>
        <w:rPr>
          <w:spacing w:val="-8"/>
        </w:rPr>
        <w:t xml:space="preserve"> </w:t>
      </w:r>
      <w:r>
        <w:rPr>
          <w:spacing w:val="-2"/>
        </w:rPr>
        <w:t>no</w:t>
      </w:r>
      <w:r>
        <w:rPr>
          <w:spacing w:val="-8"/>
        </w:rPr>
        <w:t xml:space="preserve"> </w:t>
      </w:r>
      <w:r>
        <w:rPr>
          <w:spacing w:val="-2"/>
        </w:rPr>
        <w:t>discriminación;</w:t>
      </w:r>
      <w:r>
        <w:rPr>
          <w:spacing w:val="-7"/>
        </w:rPr>
        <w:t xml:space="preserve"> </w:t>
      </w:r>
      <w:r>
        <w:rPr>
          <w:spacing w:val="-2"/>
        </w:rPr>
        <w:t>y</w:t>
      </w:r>
      <w:r>
        <w:rPr>
          <w:spacing w:val="-8"/>
        </w:rPr>
        <w:t xml:space="preserve"> </w:t>
      </w:r>
      <w:r>
        <w:rPr>
          <w:spacing w:val="-2"/>
        </w:rPr>
        <w:t>no</w:t>
      </w:r>
      <w:r>
        <w:rPr>
          <w:spacing w:val="-8"/>
        </w:rPr>
        <w:t xml:space="preserve"> </w:t>
      </w:r>
      <w:r>
        <w:rPr>
          <w:spacing w:val="-2"/>
        </w:rPr>
        <w:t>asimilación</w:t>
      </w:r>
      <w:r>
        <w:rPr>
          <w:spacing w:val="-8"/>
        </w:rPr>
        <w:t xml:space="preserve"> </w:t>
      </w:r>
      <w:r>
        <w:rPr>
          <w:spacing w:val="-2"/>
        </w:rPr>
        <w:t>de</w:t>
      </w:r>
      <w:r>
        <w:rPr>
          <w:spacing w:val="-8"/>
        </w:rPr>
        <w:t xml:space="preserve"> </w:t>
      </w:r>
      <w:r>
        <w:rPr>
          <w:spacing w:val="-2"/>
        </w:rPr>
        <w:t>los</w:t>
      </w:r>
      <w:r>
        <w:rPr>
          <w:spacing w:val="-8"/>
        </w:rPr>
        <w:t xml:space="preserve"> </w:t>
      </w:r>
      <w:r>
        <w:rPr>
          <w:spacing w:val="-2"/>
        </w:rPr>
        <w:t>grupos afectados.865</w:t>
      </w:r>
    </w:p>
    <w:p w14:paraId="189528C9" w14:textId="77777777" w:rsidR="0014798C" w:rsidRDefault="0014798C">
      <w:pPr>
        <w:pStyle w:val="Textoindependiente"/>
        <w:spacing w:before="34"/>
        <w:rPr>
          <w:sz w:val="23"/>
        </w:rPr>
      </w:pPr>
    </w:p>
    <w:p w14:paraId="2D4A5DA5" w14:textId="77777777" w:rsidR="0014798C" w:rsidRDefault="004E1F0B">
      <w:pPr>
        <w:numPr>
          <w:ilvl w:val="0"/>
          <w:numId w:val="23"/>
        </w:numPr>
        <w:tabs>
          <w:tab w:val="left" w:pos="1404"/>
        </w:tabs>
        <w:ind w:left="1404" w:hanging="284"/>
        <w:rPr>
          <w:color w:val="803108"/>
          <w:sz w:val="23"/>
        </w:rPr>
      </w:pPr>
      <w:bookmarkStart w:id="20" w:name="_TOC_250004"/>
      <w:r>
        <w:rPr>
          <w:color w:val="803108"/>
          <w:sz w:val="23"/>
        </w:rPr>
        <w:t>¿Quiénes</w:t>
      </w:r>
      <w:r>
        <w:rPr>
          <w:color w:val="803108"/>
          <w:spacing w:val="4"/>
          <w:sz w:val="23"/>
        </w:rPr>
        <w:t xml:space="preserve"> </w:t>
      </w:r>
      <w:r>
        <w:rPr>
          <w:color w:val="803108"/>
          <w:sz w:val="23"/>
        </w:rPr>
        <w:t>son</w:t>
      </w:r>
      <w:r>
        <w:rPr>
          <w:color w:val="803108"/>
          <w:spacing w:val="6"/>
          <w:sz w:val="23"/>
        </w:rPr>
        <w:t xml:space="preserve"> </w:t>
      </w:r>
      <w:r>
        <w:rPr>
          <w:color w:val="803108"/>
          <w:sz w:val="23"/>
        </w:rPr>
        <w:t>las</w:t>
      </w:r>
      <w:r>
        <w:rPr>
          <w:color w:val="803108"/>
          <w:spacing w:val="5"/>
          <w:sz w:val="23"/>
        </w:rPr>
        <w:t xml:space="preserve"> </w:t>
      </w:r>
      <w:bookmarkEnd w:id="20"/>
      <w:r>
        <w:rPr>
          <w:color w:val="803108"/>
          <w:spacing w:val="-2"/>
          <w:sz w:val="23"/>
        </w:rPr>
        <w:t>minorías?</w:t>
      </w:r>
    </w:p>
    <w:p w14:paraId="18F74661" w14:textId="77777777" w:rsidR="0014798C" w:rsidRDefault="0014798C">
      <w:pPr>
        <w:pStyle w:val="Textoindependiente"/>
        <w:spacing w:before="104"/>
      </w:pPr>
    </w:p>
    <w:p w14:paraId="6153BCFF" w14:textId="77777777" w:rsidR="0014798C" w:rsidRDefault="004E1F0B">
      <w:pPr>
        <w:pStyle w:val="Textoindependiente"/>
        <w:spacing w:line="326" w:lineRule="auto"/>
        <w:ind w:left="1107" w:right="1272" w:hanging="1"/>
      </w:pPr>
      <w:r>
        <w:t>El término “minorías” se refiere a los miembros de las cuatro categorías establecidas en la Declaración sobre los derechos de las personas pertenecientes a minorías nacionales o étnicas, religiosas y lingüísticas: minorías nacionales, étnicas, religiosas y lingüísticas.</w:t>
      </w:r>
      <w:r>
        <w:rPr>
          <w:spacing w:val="-1"/>
        </w:rPr>
        <w:t xml:space="preserve"> </w:t>
      </w:r>
      <w:r>
        <w:t>En</w:t>
      </w:r>
      <w:r>
        <w:rPr>
          <w:spacing w:val="-2"/>
        </w:rPr>
        <w:t xml:space="preserve"> </w:t>
      </w:r>
      <w:r>
        <w:t>su</w:t>
      </w:r>
      <w:r>
        <w:rPr>
          <w:spacing w:val="-2"/>
        </w:rPr>
        <w:t xml:space="preserve"> </w:t>
      </w:r>
      <w:r>
        <w:t>Observación</w:t>
      </w:r>
      <w:r>
        <w:rPr>
          <w:spacing w:val="-2"/>
        </w:rPr>
        <w:t xml:space="preserve"> </w:t>
      </w:r>
      <w:r>
        <w:t>general</w:t>
      </w:r>
      <w:r>
        <w:rPr>
          <w:spacing w:val="-2"/>
        </w:rPr>
        <w:t xml:space="preserve"> </w:t>
      </w:r>
      <w:r>
        <w:t>No.</w:t>
      </w:r>
      <w:r>
        <w:rPr>
          <w:spacing w:val="-2"/>
        </w:rPr>
        <w:t xml:space="preserve"> </w:t>
      </w:r>
      <w:r>
        <w:t>23</w:t>
      </w:r>
      <w:r>
        <w:rPr>
          <w:spacing w:val="-2"/>
        </w:rPr>
        <w:t xml:space="preserve"> </w:t>
      </w:r>
      <w:r>
        <w:t>(1994),</w:t>
      </w:r>
      <w:r>
        <w:rPr>
          <w:spacing w:val="-1"/>
        </w:rPr>
        <w:t xml:space="preserve"> </w:t>
      </w:r>
      <w:r>
        <w:t>el</w:t>
      </w:r>
      <w:r>
        <w:rPr>
          <w:spacing w:val="-2"/>
        </w:rPr>
        <w:t xml:space="preserve"> </w:t>
      </w:r>
      <w:r>
        <w:t>Comité</w:t>
      </w:r>
      <w:r>
        <w:rPr>
          <w:spacing w:val="-2"/>
        </w:rPr>
        <w:t xml:space="preserve"> </w:t>
      </w:r>
      <w:r>
        <w:t>de</w:t>
      </w:r>
      <w:r>
        <w:rPr>
          <w:spacing w:val="-2"/>
        </w:rPr>
        <w:t xml:space="preserve"> </w:t>
      </w:r>
      <w:r>
        <w:t>Derechos</w:t>
      </w:r>
      <w:r>
        <w:rPr>
          <w:spacing w:val="-2"/>
        </w:rPr>
        <w:t xml:space="preserve"> </w:t>
      </w:r>
      <w:r>
        <w:t>Humanos</w:t>
      </w:r>
      <w:r>
        <w:rPr>
          <w:spacing w:val="-2"/>
        </w:rPr>
        <w:t xml:space="preserve"> </w:t>
      </w:r>
      <w:r>
        <w:t>establece</w:t>
      </w:r>
      <w:r>
        <w:rPr>
          <w:spacing w:val="-2"/>
        </w:rPr>
        <w:t xml:space="preserve"> </w:t>
      </w:r>
      <w:r>
        <w:t>que</w:t>
      </w:r>
      <w:r>
        <w:rPr>
          <w:spacing w:val="-2"/>
        </w:rPr>
        <w:t xml:space="preserve"> </w:t>
      </w:r>
      <w:r>
        <w:t>“las</w:t>
      </w:r>
      <w:r>
        <w:rPr>
          <w:spacing w:val="-2"/>
        </w:rPr>
        <w:t xml:space="preserve"> </w:t>
      </w:r>
      <w:r>
        <w:t>personas</w:t>
      </w:r>
      <w:r>
        <w:rPr>
          <w:spacing w:val="-2"/>
        </w:rPr>
        <w:t xml:space="preserve"> </w:t>
      </w:r>
      <w:r>
        <w:t>designadas para</w:t>
      </w:r>
      <w:r>
        <w:rPr>
          <w:spacing w:val="-6"/>
        </w:rPr>
        <w:t xml:space="preserve"> </w:t>
      </w:r>
      <w:r>
        <w:t>ser</w:t>
      </w:r>
      <w:r>
        <w:rPr>
          <w:spacing w:val="-6"/>
        </w:rPr>
        <w:t xml:space="preserve"> </w:t>
      </w:r>
      <w:r>
        <w:t>protegidas”</w:t>
      </w:r>
      <w:r>
        <w:rPr>
          <w:spacing w:val="-6"/>
        </w:rPr>
        <w:t xml:space="preserve"> </w:t>
      </w:r>
      <w:r>
        <w:t>en</w:t>
      </w:r>
      <w:r>
        <w:rPr>
          <w:spacing w:val="-6"/>
        </w:rPr>
        <w:t xml:space="preserve"> </w:t>
      </w:r>
      <w:r>
        <w:t>virtud</w:t>
      </w:r>
      <w:r>
        <w:rPr>
          <w:spacing w:val="-6"/>
        </w:rPr>
        <w:t xml:space="preserve"> </w:t>
      </w:r>
      <w:r>
        <w:t>del</w:t>
      </w:r>
      <w:r>
        <w:rPr>
          <w:spacing w:val="-6"/>
        </w:rPr>
        <w:t xml:space="preserve"> </w:t>
      </w:r>
      <w:r>
        <w:t>artículo</w:t>
      </w:r>
      <w:r>
        <w:rPr>
          <w:spacing w:val="-6"/>
        </w:rPr>
        <w:t xml:space="preserve"> </w:t>
      </w:r>
      <w:r>
        <w:t>27</w:t>
      </w:r>
      <w:r>
        <w:rPr>
          <w:spacing w:val="-6"/>
        </w:rPr>
        <w:t xml:space="preserve"> </w:t>
      </w:r>
      <w:r>
        <w:t>“son</w:t>
      </w:r>
      <w:r>
        <w:rPr>
          <w:spacing w:val="-6"/>
        </w:rPr>
        <w:t xml:space="preserve"> </w:t>
      </w:r>
      <w:r>
        <w:t>aquellas</w:t>
      </w:r>
      <w:r>
        <w:rPr>
          <w:spacing w:val="-6"/>
        </w:rPr>
        <w:t xml:space="preserve"> </w:t>
      </w:r>
      <w:r>
        <w:t>que</w:t>
      </w:r>
      <w:r>
        <w:rPr>
          <w:spacing w:val="-6"/>
        </w:rPr>
        <w:t xml:space="preserve"> </w:t>
      </w:r>
      <w:r>
        <w:t>pertenecen</w:t>
      </w:r>
      <w:r>
        <w:rPr>
          <w:spacing w:val="-6"/>
        </w:rPr>
        <w:t xml:space="preserve"> </w:t>
      </w:r>
      <w:r>
        <w:t>a</w:t>
      </w:r>
      <w:r>
        <w:rPr>
          <w:spacing w:val="-6"/>
        </w:rPr>
        <w:t xml:space="preserve"> </w:t>
      </w:r>
      <w:r>
        <w:t>un</w:t>
      </w:r>
      <w:r>
        <w:rPr>
          <w:spacing w:val="-6"/>
        </w:rPr>
        <w:t xml:space="preserve"> </w:t>
      </w:r>
      <w:r>
        <w:t>grupo</w:t>
      </w:r>
      <w:r>
        <w:rPr>
          <w:spacing w:val="-6"/>
        </w:rPr>
        <w:t xml:space="preserve"> </w:t>
      </w:r>
      <w:r>
        <w:t>y</w:t>
      </w:r>
      <w:r>
        <w:rPr>
          <w:spacing w:val="-6"/>
        </w:rPr>
        <w:t xml:space="preserve"> </w:t>
      </w:r>
      <w:r>
        <w:t>que</w:t>
      </w:r>
      <w:r>
        <w:rPr>
          <w:spacing w:val="-6"/>
        </w:rPr>
        <w:t xml:space="preserve"> </w:t>
      </w:r>
      <w:r>
        <w:t>comparten</w:t>
      </w:r>
      <w:r>
        <w:rPr>
          <w:spacing w:val="-6"/>
        </w:rPr>
        <w:t xml:space="preserve"> </w:t>
      </w:r>
      <w:r>
        <w:t>en</w:t>
      </w:r>
      <w:r>
        <w:rPr>
          <w:spacing w:val="-6"/>
        </w:rPr>
        <w:t xml:space="preserve"> </w:t>
      </w:r>
      <w:r>
        <w:t>común</w:t>
      </w:r>
      <w:r>
        <w:rPr>
          <w:spacing w:val="-6"/>
        </w:rPr>
        <w:t xml:space="preserve"> </w:t>
      </w:r>
      <w:r>
        <w:t>una</w:t>
      </w:r>
      <w:r>
        <w:rPr>
          <w:spacing w:val="-6"/>
        </w:rPr>
        <w:t xml:space="preserve"> </w:t>
      </w:r>
      <w:r>
        <w:t>cultura,</w:t>
      </w:r>
      <w:r>
        <w:rPr>
          <w:spacing w:val="-5"/>
        </w:rPr>
        <w:t xml:space="preserve"> </w:t>
      </w:r>
      <w:r>
        <w:t>una religión</w:t>
      </w:r>
      <w:r>
        <w:rPr>
          <w:spacing w:val="-3"/>
        </w:rPr>
        <w:t xml:space="preserve"> </w:t>
      </w:r>
      <w:r>
        <w:t>y/o</w:t>
      </w:r>
      <w:r>
        <w:rPr>
          <w:spacing w:val="-3"/>
        </w:rPr>
        <w:t xml:space="preserve"> </w:t>
      </w:r>
      <w:r>
        <w:t>un</w:t>
      </w:r>
      <w:r>
        <w:rPr>
          <w:spacing w:val="-3"/>
        </w:rPr>
        <w:t xml:space="preserve"> </w:t>
      </w:r>
      <w:r>
        <w:t>idioma”.866</w:t>
      </w:r>
      <w:r>
        <w:rPr>
          <w:spacing w:val="-3"/>
        </w:rPr>
        <w:t xml:space="preserve"> </w:t>
      </w:r>
      <w:r>
        <w:t>No</w:t>
      </w:r>
      <w:r>
        <w:rPr>
          <w:spacing w:val="-3"/>
        </w:rPr>
        <w:t xml:space="preserve"> </w:t>
      </w:r>
      <w:r>
        <w:t>existe</w:t>
      </w:r>
      <w:r>
        <w:rPr>
          <w:spacing w:val="-3"/>
        </w:rPr>
        <w:t xml:space="preserve"> </w:t>
      </w:r>
      <w:r>
        <w:t>una</w:t>
      </w:r>
      <w:r>
        <w:rPr>
          <w:spacing w:val="-3"/>
        </w:rPr>
        <w:t xml:space="preserve"> </w:t>
      </w:r>
      <w:r>
        <w:t>definición</w:t>
      </w:r>
      <w:r>
        <w:rPr>
          <w:spacing w:val="-3"/>
        </w:rPr>
        <w:t xml:space="preserve"> </w:t>
      </w:r>
      <w:r>
        <w:t>universalmente</w:t>
      </w:r>
      <w:r>
        <w:rPr>
          <w:spacing w:val="-3"/>
        </w:rPr>
        <w:t xml:space="preserve"> </w:t>
      </w:r>
      <w:r>
        <w:t>aceptada</w:t>
      </w:r>
      <w:r>
        <w:rPr>
          <w:spacing w:val="-3"/>
        </w:rPr>
        <w:t xml:space="preserve"> </w:t>
      </w:r>
      <w:r>
        <w:t>de</w:t>
      </w:r>
      <w:r>
        <w:rPr>
          <w:spacing w:val="-3"/>
        </w:rPr>
        <w:t xml:space="preserve"> </w:t>
      </w:r>
      <w:r>
        <w:t>minorías.</w:t>
      </w:r>
      <w:r>
        <w:rPr>
          <w:spacing w:val="-2"/>
        </w:rPr>
        <w:t xml:space="preserve"> </w:t>
      </w:r>
      <w:r>
        <w:t>De</w:t>
      </w:r>
      <w:r>
        <w:rPr>
          <w:spacing w:val="-3"/>
        </w:rPr>
        <w:t xml:space="preserve"> </w:t>
      </w:r>
      <w:r>
        <w:t>hecho,</w:t>
      </w:r>
      <w:r>
        <w:rPr>
          <w:spacing w:val="-3"/>
        </w:rPr>
        <w:t xml:space="preserve"> </w:t>
      </w:r>
      <w:r>
        <w:t>una</w:t>
      </w:r>
      <w:r>
        <w:rPr>
          <w:spacing w:val="-3"/>
        </w:rPr>
        <w:t xml:space="preserve"> </w:t>
      </w:r>
      <w:r>
        <w:t>“falta</w:t>
      </w:r>
      <w:r>
        <w:rPr>
          <w:spacing w:val="-3"/>
        </w:rPr>
        <w:t xml:space="preserve"> </w:t>
      </w:r>
      <w:r>
        <w:t>de</w:t>
      </w:r>
      <w:r>
        <w:rPr>
          <w:spacing w:val="-3"/>
        </w:rPr>
        <w:t xml:space="preserve"> </w:t>
      </w:r>
      <w:r>
        <w:t>coherencia</w:t>
      </w:r>
      <w:r>
        <w:rPr>
          <w:spacing w:val="-3"/>
        </w:rPr>
        <w:t xml:space="preserve"> </w:t>
      </w:r>
      <w:r>
        <w:t>a</w:t>
      </w:r>
      <w:r>
        <w:rPr>
          <w:spacing w:val="-3"/>
        </w:rPr>
        <w:t xml:space="preserve"> </w:t>
      </w:r>
      <w:r>
        <w:t>la hora de comprender quién es una minoría”, como señala el Relator Especial sobre cuestiones de las minorías, “es un obstáculo recurrente para la realización plena y efectiva de los derechos humanos de las minorías”.867</w:t>
      </w:r>
    </w:p>
    <w:p w14:paraId="64866098" w14:textId="77777777" w:rsidR="0014798C" w:rsidRDefault="004E1F0B">
      <w:pPr>
        <w:pStyle w:val="Textoindependiente"/>
        <w:spacing w:line="181" w:lineRule="exact"/>
        <w:ind w:left="1108"/>
      </w:pPr>
      <w:r>
        <w:t>Sin</w:t>
      </w:r>
      <w:r>
        <w:rPr>
          <w:spacing w:val="-9"/>
        </w:rPr>
        <w:t xml:space="preserve"> </w:t>
      </w:r>
      <w:r>
        <w:t>embargo,</w:t>
      </w:r>
      <w:r>
        <w:rPr>
          <w:spacing w:val="-7"/>
        </w:rPr>
        <w:t xml:space="preserve"> </w:t>
      </w:r>
      <w:r>
        <w:t>en</w:t>
      </w:r>
      <w:r>
        <w:rPr>
          <w:spacing w:val="-8"/>
        </w:rPr>
        <w:t xml:space="preserve"> </w:t>
      </w:r>
      <w:r>
        <w:t>general</w:t>
      </w:r>
      <w:r>
        <w:rPr>
          <w:spacing w:val="-9"/>
        </w:rPr>
        <w:t xml:space="preserve"> </w:t>
      </w:r>
      <w:r>
        <w:t>se</w:t>
      </w:r>
      <w:r>
        <w:rPr>
          <w:spacing w:val="-8"/>
        </w:rPr>
        <w:t xml:space="preserve"> </w:t>
      </w:r>
      <w:r>
        <w:t>aceptan</w:t>
      </w:r>
      <w:r>
        <w:rPr>
          <w:spacing w:val="-8"/>
        </w:rPr>
        <w:t xml:space="preserve"> </w:t>
      </w:r>
      <w:r>
        <w:t>ciertos</w:t>
      </w:r>
      <w:r>
        <w:rPr>
          <w:spacing w:val="-8"/>
        </w:rPr>
        <w:t xml:space="preserve"> </w:t>
      </w:r>
      <w:r>
        <w:t>principios</w:t>
      </w:r>
      <w:r>
        <w:rPr>
          <w:spacing w:val="-9"/>
        </w:rPr>
        <w:t xml:space="preserve"> </w:t>
      </w:r>
      <w:r>
        <w:rPr>
          <w:spacing w:val="-2"/>
        </w:rPr>
        <w:t>básicos.</w:t>
      </w:r>
    </w:p>
    <w:p w14:paraId="12349EE2" w14:textId="77777777" w:rsidR="0014798C" w:rsidRDefault="0014798C">
      <w:pPr>
        <w:pStyle w:val="Textoindependiente"/>
        <w:spacing w:before="51"/>
      </w:pPr>
    </w:p>
    <w:p w14:paraId="07BFFAA7" w14:textId="77777777" w:rsidR="0014798C" w:rsidRDefault="004E1F0B">
      <w:pPr>
        <w:pStyle w:val="Textoindependiente"/>
        <w:spacing w:line="326" w:lineRule="auto"/>
        <w:ind w:left="1111" w:right="1272" w:hanging="6"/>
      </w:pPr>
      <w:r>
        <w:t>El</w:t>
      </w:r>
      <w:r>
        <w:rPr>
          <w:spacing w:val="-6"/>
        </w:rPr>
        <w:t xml:space="preserve"> </w:t>
      </w:r>
      <w:r>
        <w:t>primer</w:t>
      </w:r>
      <w:r>
        <w:rPr>
          <w:spacing w:val="-6"/>
        </w:rPr>
        <w:t xml:space="preserve"> </w:t>
      </w:r>
      <w:r>
        <w:t>principio</w:t>
      </w:r>
      <w:r>
        <w:rPr>
          <w:spacing w:val="-6"/>
        </w:rPr>
        <w:t xml:space="preserve"> </w:t>
      </w:r>
      <w:r>
        <w:t>básico</w:t>
      </w:r>
      <w:r>
        <w:rPr>
          <w:spacing w:val="-6"/>
        </w:rPr>
        <w:t xml:space="preserve"> </w:t>
      </w:r>
      <w:r>
        <w:t>es</w:t>
      </w:r>
      <w:r>
        <w:rPr>
          <w:spacing w:val="-6"/>
        </w:rPr>
        <w:t xml:space="preserve"> </w:t>
      </w:r>
      <w:r>
        <w:t>que</w:t>
      </w:r>
      <w:r>
        <w:rPr>
          <w:spacing w:val="-6"/>
        </w:rPr>
        <w:t xml:space="preserve"> </w:t>
      </w:r>
      <w:r>
        <w:t>“la</w:t>
      </w:r>
      <w:r>
        <w:rPr>
          <w:spacing w:val="-6"/>
        </w:rPr>
        <w:t xml:space="preserve"> </w:t>
      </w:r>
      <w:r>
        <w:t>existencia</w:t>
      </w:r>
      <w:r>
        <w:rPr>
          <w:spacing w:val="-6"/>
        </w:rPr>
        <w:t xml:space="preserve"> </w:t>
      </w:r>
      <w:r>
        <w:t>de</w:t>
      </w:r>
      <w:r>
        <w:rPr>
          <w:spacing w:val="-6"/>
        </w:rPr>
        <w:t xml:space="preserve"> </w:t>
      </w:r>
      <w:r>
        <w:t>una</w:t>
      </w:r>
      <w:r>
        <w:rPr>
          <w:spacing w:val="-6"/>
        </w:rPr>
        <w:t xml:space="preserve"> </w:t>
      </w:r>
      <w:r>
        <w:t>minoría</w:t>
      </w:r>
      <w:r>
        <w:rPr>
          <w:spacing w:val="-6"/>
        </w:rPr>
        <w:t xml:space="preserve"> </w:t>
      </w:r>
      <w:r>
        <w:t>étnica,</w:t>
      </w:r>
      <w:r>
        <w:rPr>
          <w:spacing w:val="-6"/>
        </w:rPr>
        <w:t xml:space="preserve"> </w:t>
      </w:r>
      <w:r>
        <w:t>religiosa</w:t>
      </w:r>
      <w:r>
        <w:rPr>
          <w:spacing w:val="-6"/>
        </w:rPr>
        <w:t xml:space="preserve"> </w:t>
      </w:r>
      <w:r>
        <w:t>o</w:t>
      </w:r>
      <w:r>
        <w:rPr>
          <w:spacing w:val="-6"/>
        </w:rPr>
        <w:t xml:space="preserve"> </w:t>
      </w:r>
      <w:r>
        <w:t>lingüística</w:t>
      </w:r>
      <w:r>
        <w:rPr>
          <w:spacing w:val="-6"/>
        </w:rPr>
        <w:t xml:space="preserve"> </w:t>
      </w:r>
      <w:r>
        <w:t>en</w:t>
      </w:r>
      <w:r>
        <w:rPr>
          <w:spacing w:val="-6"/>
        </w:rPr>
        <w:t xml:space="preserve"> </w:t>
      </w:r>
      <w:r>
        <w:t>un</w:t>
      </w:r>
      <w:r>
        <w:rPr>
          <w:spacing w:val="-6"/>
        </w:rPr>
        <w:t xml:space="preserve"> </w:t>
      </w:r>
      <w:r>
        <w:t>Estado</w:t>
      </w:r>
      <w:r>
        <w:rPr>
          <w:spacing w:val="-6"/>
        </w:rPr>
        <w:t xml:space="preserve"> </w:t>
      </w:r>
      <w:r>
        <w:t>parte</w:t>
      </w:r>
      <w:r>
        <w:rPr>
          <w:spacing w:val="-6"/>
        </w:rPr>
        <w:t xml:space="preserve"> </w:t>
      </w:r>
      <w:r>
        <w:t>determinado</w:t>
      </w:r>
      <w:r>
        <w:rPr>
          <w:spacing w:val="-6"/>
        </w:rPr>
        <w:t xml:space="preserve"> </w:t>
      </w:r>
      <w:r>
        <w:t>no depende de una decisión de ese Estado parte, sino que debe establecerse mediante criterios objetivos”.868</w:t>
      </w:r>
    </w:p>
    <w:p w14:paraId="6AFF9522" w14:textId="77777777" w:rsidR="0014798C" w:rsidRDefault="004E1F0B">
      <w:pPr>
        <w:pStyle w:val="Textoindependiente"/>
        <w:spacing w:line="183" w:lineRule="exact"/>
        <w:ind w:left="1106"/>
      </w:pPr>
      <w:r>
        <w:t>Por</w:t>
      </w:r>
      <w:r>
        <w:rPr>
          <w:spacing w:val="-8"/>
        </w:rPr>
        <w:t xml:space="preserve"> </w:t>
      </w:r>
      <w:r>
        <w:t>tanto,</w:t>
      </w:r>
      <w:r>
        <w:rPr>
          <w:spacing w:val="-7"/>
        </w:rPr>
        <w:t xml:space="preserve"> </w:t>
      </w:r>
      <w:r>
        <w:t>la</w:t>
      </w:r>
      <w:r>
        <w:rPr>
          <w:spacing w:val="-7"/>
        </w:rPr>
        <w:t xml:space="preserve"> </w:t>
      </w:r>
      <w:r>
        <w:t>existencia</w:t>
      </w:r>
      <w:r>
        <w:rPr>
          <w:spacing w:val="-8"/>
        </w:rPr>
        <w:t xml:space="preserve"> </w:t>
      </w:r>
      <w:r>
        <w:t>de</w:t>
      </w:r>
      <w:r>
        <w:rPr>
          <w:spacing w:val="-7"/>
        </w:rPr>
        <w:t xml:space="preserve"> </w:t>
      </w:r>
      <w:r>
        <w:t>un</w:t>
      </w:r>
      <w:r>
        <w:rPr>
          <w:spacing w:val="-7"/>
        </w:rPr>
        <w:t xml:space="preserve"> </w:t>
      </w:r>
      <w:r>
        <w:t>grupo</w:t>
      </w:r>
      <w:r>
        <w:rPr>
          <w:spacing w:val="-7"/>
        </w:rPr>
        <w:t xml:space="preserve"> </w:t>
      </w:r>
      <w:r>
        <w:t>minoritario</w:t>
      </w:r>
      <w:r>
        <w:rPr>
          <w:spacing w:val="-8"/>
        </w:rPr>
        <w:t xml:space="preserve"> </w:t>
      </w:r>
      <w:r>
        <w:t>es</w:t>
      </w:r>
      <w:r>
        <w:rPr>
          <w:spacing w:val="-7"/>
        </w:rPr>
        <w:t xml:space="preserve"> </w:t>
      </w:r>
      <w:r>
        <w:t>una</w:t>
      </w:r>
      <w:r>
        <w:rPr>
          <w:spacing w:val="-7"/>
        </w:rPr>
        <w:t xml:space="preserve"> </w:t>
      </w:r>
      <w:r>
        <w:t>cuestión</w:t>
      </w:r>
      <w:r>
        <w:rPr>
          <w:spacing w:val="-7"/>
        </w:rPr>
        <w:t xml:space="preserve"> </w:t>
      </w:r>
      <w:r>
        <w:t>de</w:t>
      </w:r>
      <w:r>
        <w:rPr>
          <w:spacing w:val="-8"/>
        </w:rPr>
        <w:t xml:space="preserve"> </w:t>
      </w:r>
      <w:r>
        <w:t>hecho,</w:t>
      </w:r>
      <w:r>
        <w:rPr>
          <w:spacing w:val="-7"/>
        </w:rPr>
        <w:t xml:space="preserve"> </w:t>
      </w:r>
      <w:r>
        <w:t>no</w:t>
      </w:r>
      <w:r>
        <w:rPr>
          <w:spacing w:val="-7"/>
        </w:rPr>
        <w:t xml:space="preserve"> </w:t>
      </w:r>
      <w:r>
        <w:t>de</w:t>
      </w:r>
      <w:r>
        <w:rPr>
          <w:spacing w:val="-7"/>
        </w:rPr>
        <w:t xml:space="preserve"> </w:t>
      </w:r>
      <w:r>
        <w:t>ley</w:t>
      </w:r>
      <w:r>
        <w:rPr>
          <w:spacing w:val="-8"/>
        </w:rPr>
        <w:t xml:space="preserve"> </w:t>
      </w:r>
      <w:r>
        <w:t>ni</w:t>
      </w:r>
      <w:r>
        <w:rPr>
          <w:spacing w:val="-7"/>
        </w:rPr>
        <w:t xml:space="preserve"> </w:t>
      </w:r>
      <w:r>
        <w:t>de</w:t>
      </w:r>
      <w:r>
        <w:rPr>
          <w:spacing w:val="-7"/>
        </w:rPr>
        <w:t xml:space="preserve"> </w:t>
      </w:r>
      <w:r>
        <w:t>política</w:t>
      </w:r>
      <w:r>
        <w:rPr>
          <w:spacing w:val="-7"/>
        </w:rPr>
        <w:t xml:space="preserve"> </w:t>
      </w:r>
      <w:r>
        <w:t>o</w:t>
      </w:r>
      <w:r>
        <w:rPr>
          <w:spacing w:val="-8"/>
        </w:rPr>
        <w:t xml:space="preserve"> </w:t>
      </w:r>
      <w:r>
        <w:t>decisión</w:t>
      </w:r>
      <w:r>
        <w:rPr>
          <w:spacing w:val="-7"/>
        </w:rPr>
        <w:t xml:space="preserve"> </w:t>
      </w:r>
      <w:r>
        <w:rPr>
          <w:spacing w:val="-2"/>
        </w:rPr>
        <w:t>oficial.</w:t>
      </w:r>
    </w:p>
    <w:p w14:paraId="6A092998" w14:textId="77777777" w:rsidR="0014798C" w:rsidRDefault="0014798C">
      <w:pPr>
        <w:pStyle w:val="Textoindependiente"/>
        <w:spacing w:before="52"/>
      </w:pPr>
    </w:p>
    <w:p w14:paraId="7C8D89F3" w14:textId="77777777" w:rsidR="0014798C" w:rsidRDefault="004E1F0B">
      <w:pPr>
        <w:pStyle w:val="Textoindependiente"/>
        <w:spacing w:line="326" w:lineRule="auto"/>
        <w:ind w:left="1108" w:right="1272" w:hanging="2"/>
      </w:pPr>
      <w:r>
        <w:t>Otro principio fundamental es el hecho de que las definiciones de minorías no pueden limitarse a ciudadanos ni a residentes permanentes.869 El Comité de Derechos Humanos ha sostenido que las minorías deben entenderse como parte de un Estado en su</w:t>
      </w:r>
      <w:r>
        <w:rPr>
          <w:spacing w:val="-6"/>
        </w:rPr>
        <w:t xml:space="preserve"> </w:t>
      </w:r>
      <w:r>
        <w:t>conjunto</w:t>
      </w:r>
      <w:r>
        <w:rPr>
          <w:spacing w:val="-6"/>
        </w:rPr>
        <w:t xml:space="preserve"> </w:t>
      </w:r>
      <w:r>
        <w:t>y</w:t>
      </w:r>
      <w:r>
        <w:rPr>
          <w:spacing w:val="-6"/>
        </w:rPr>
        <w:t xml:space="preserve"> </w:t>
      </w:r>
      <w:r>
        <w:t>no</w:t>
      </w:r>
      <w:r>
        <w:rPr>
          <w:spacing w:val="-6"/>
        </w:rPr>
        <w:t xml:space="preserve"> </w:t>
      </w:r>
      <w:r>
        <w:t>dentro</w:t>
      </w:r>
      <w:r>
        <w:rPr>
          <w:spacing w:val="-6"/>
        </w:rPr>
        <w:t xml:space="preserve"> </w:t>
      </w:r>
      <w:r>
        <w:t>de</w:t>
      </w:r>
      <w:r>
        <w:rPr>
          <w:spacing w:val="-6"/>
        </w:rPr>
        <w:t xml:space="preserve"> </w:t>
      </w:r>
      <w:r>
        <w:t>una</w:t>
      </w:r>
      <w:r>
        <w:rPr>
          <w:spacing w:val="-6"/>
        </w:rPr>
        <w:t xml:space="preserve"> </w:t>
      </w:r>
      <w:r>
        <w:t>provincia</w:t>
      </w:r>
      <w:r>
        <w:rPr>
          <w:spacing w:val="-6"/>
        </w:rPr>
        <w:t xml:space="preserve"> </w:t>
      </w:r>
      <w:r>
        <w:t>en</w:t>
      </w:r>
      <w:r>
        <w:rPr>
          <w:spacing w:val="-6"/>
        </w:rPr>
        <w:t xml:space="preserve"> </w:t>
      </w:r>
      <w:r>
        <w:t>particular.870</w:t>
      </w:r>
      <w:r>
        <w:rPr>
          <w:spacing w:val="-6"/>
        </w:rPr>
        <w:t xml:space="preserve"> </w:t>
      </w:r>
      <w:r>
        <w:t>El</w:t>
      </w:r>
      <w:r>
        <w:rPr>
          <w:spacing w:val="-6"/>
        </w:rPr>
        <w:t xml:space="preserve"> </w:t>
      </w:r>
      <w:r>
        <w:t>Grupo</w:t>
      </w:r>
      <w:r>
        <w:rPr>
          <w:spacing w:val="-6"/>
        </w:rPr>
        <w:t xml:space="preserve"> </w:t>
      </w:r>
      <w:r>
        <w:t>de</w:t>
      </w:r>
      <w:r>
        <w:rPr>
          <w:spacing w:val="-6"/>
        </w:rPr>
        <w:t xml:space="preserve"> </w:t>
      </w:r>
      <w:r>
        <w:t>Minorías</w:t>
      </w:r>
      <w:r>
        <w:rPr>
          <w:spacing w:val="-6"/>
        </w:rPr>
        <w:t xml:space="preserve"> </w:t>
      </w:r>
      <w:r>
        <w:t>de</w:t>
      </w:r>
      <w:r>
        <w:rPr>
          <w:spacing w:val="-6"/>
        </w:rPr>
        <w:t xml:space="preserve"> </w:t>
      </w:r>
      <w:r>
        <w:t>la</w:t>
      </w:r>
      <w:r>
        <w:rPr>
          <w:spacing w:val="-6"/>
        </w:rPr>
        <w:t xml:space="preserve"> </w:t>
      </w:r>
      <w:r>
        <w:t>Declaración</w:t>
      </w:r>
      <w:r>
        <w:rPr>
          <w:spacing w:val="-6"/>
        </w:rPr>
        <w:t xml:space="preserve"> </w:t>
      </w:r>
      <w:r>
        <w:t>ha</w:t>
      </w:r>
      <w:r>
        <w:rPr>
          <w:spacing w:val="-6"/>
        </w:rPr>
        <w:t xml:space="preserve"> </w:t>
      </w:r>
      <w:r>
        <w:t>establecido</w:t>
      </w:r>
      <w:r>
        <w:rPr>
          <w:spacing w:val="-6"/>
        </w:rPr>
        <w:t xml:space="preserve"> </w:t>
      </w:r>
      <w:r>
        <w:t>que</w:t>
      </w:r>
      <w:r>
        <w:rPr>
          <w:spacing w:val="-6"/>
        </w:rPr>
        <w:t xml:space="preserve"> </w:t>
      </w:r>
      <w:r>
        <w:t>la</w:t>
      </w:r>
      <w:r>
        <w:rPr>
          <w:spacing w:val="-6"/>
        </w:rPr>
        <w:t xml:space="preserve"> </w:t>
      </w:r>
      <w:r>
        <w:t>Declaración tiene un alcance tan amplio como el del artículo 27 del Pacto Internacional de Derechos Civiles y Políticos y su aplicación se extiende a las minorías independientemente de su ciudadanía.871 Este enfoque</w:t>
      </w:r>
    </w:p>
    <w:p w14:paraId="5CF23865" w14:textId="77777777" w:rsidR="0014798C" w:rsidRDefault="0014798C">
      <w:pPr>
        <w:pStyle w:val="Textoindependiente"/>
        <w:rPr>
          <w:sz w:val="13"/>
        </w:rPr>
      </w:pPr>
    </w:p>
    <w:p w14:paraId="536A641D" w14:textId="77777777" w:rsidR="0014798C" w:rsidRDefault="0014798C">
      <w:pPr>
        <w:pStyle w:val="Textoindependiente"/>
        <w:rPr>
          <w:sz w:val="13"/>
        </w:rPr>
      </w:pPr>
    </w:p>
    <w:p w14:paraId="338F9C2E" w14:textId="77777777" w:rsidR="0014798C" w:rsidRDefault="0014798C">
      <w:pPr>
        <w:pStyle w:val="Textoindependiente"/>
        <w:rPr>
          <w:sz w:val="13"/>
        </w:rPr>
      </w:pPr>
    </w:p>
    <w:p w14:paraId="27675CEA" w14:textId="77777777" w:rsidR="0014798C" w:rsidRDefault="0014798C">
      <w:pPr>
        <w:pStyle w:val="Textoindependiente"/>
        <w:rPr>
          <w:sz w:val="13"/>
        </w:rPr>
      </w:pPr>
    </w:p>
    <w:p w14:paraId="43644C6F" w14:textId="77777777" w:rsidR="0014798C" w:rsidRDefault="0014798C">
      <w:pPr>
        <w:pStyle w:val="Textoindependiente"/>
        <w:rPr>
          <w:sz w:val="13"/>
        </w:rPr>
      </w:pPr>
    </w:p>
    <w:p w14:paraId="79D5067A" w14:textId="77777777" w:rsidR="0014798C" w:rsidRDefault="0014798C">
      <w:pPr>
        <w:pStyle w:val="Textoindependiente"/>
        <w:rPr>
          <w:sz w:val="13"/>
        </w:rPr>
      </w:pPr>
    </w:p>
    <w:p w14:paraId="7C667372" w14:textId="77777777" w:rsidR="0014798C" w:rsidRDefault="0014798C">
      <w:pPr>
        <w:pStyle w:val="Textoindependiente"/>
        <w:spacing w:before="127"/>
        <w:rPr>
          <w:sz w:val="13"/>
        </w:rPr>
      </w:pPr>
    </w:p>
    <w:p w14:paraId="0167E9CF" w14:textId="77777777" w:rsidR="0014798C" w:rsidRDefault="004E1F0B">
      <w:pPr>
        <w:pStyle w:val="Prrafodelista"/>
        <w:numPr>
          <w:ilvl w:val="0"/>
          <w:numId w:val="24"/>
        </w:numPr>
        <w:tabs>
          <w:tab w:val="left" w:pos="1363"/>
        </w:tabs>
        <w:ind w:left="1363" w:hanging="253"/>
        <w:rPr>
          <w:sz w:val="13"/>
        </w:rPr>
      </w:pPr>
      <w:r>
        <w:rPr>
          <w:sz w:val="13"/>
        </w:rPr>
        <w:t>E/CN.4/Sub.2/AC.5/2005/2,</w:t>
      </w:r>
      <w:r>
        <w:rPr>
          <w:spacing w:val="-4"/>
          <w:sz w:val="13"/>
        </w:rPr>
        <w:t xml:space="preserve"> </w:t>
      </w:r>
      <w:r>
        <w:rPr>
          <w:sz w:val="13"/>
        </w:rPr>
        <w:t>párr.</w:t>
      </w:r>
      <w:r>
        <w:rPr>
          <w:spacing w:val="-3"/>
          <w:sz w:val="13"/>
        </w:rPr>
        <w:t xml:space="preserve"> </w:t>
      </w:r>
      <w:r>
        <w:rPr>
          <w:spacing w:val="-5"/>
          <w:sz w:val="13"/>
        </w:rPr>
        <w:t>23.</w:t>
      </w:r>
    </w:p>
    <w:p w14:paraId="0A815463" w14:textId="77777777" w:rsidR="0014798C" w:rsidRDefault="004E1F0B">
      <w:pPr>
        <w:pStyle w:val="Prrafodelista"/>
        <w:numPr>
          <w:ilvl w:val="0"/>
          <w:numId w:val="24"/>
        </w:numPr>
        <w:tabs>
          <w:tab w:val="left" w:pos="1363"/>
        </w:tabs>
        <w:spacing w:before="87"/>
        <w:ind w:left="1363" w:hanging="253"/>
        <w:rPr>
          <w:sz w:val="13"/>
        </w:rPr>
      </w:pPr>
      <w:r>
        <w:rPr>
          <w:sz w:val="13"/>
        </w:rPr>
        <w:t>Comité</w:t>
      </w:r>
      <w:r>
        <w:rPr>
          <w:spacing w:val="-1"/>
          <w:sz w:val="13"/>
        </w:rPr>
        <w:t xml:space="preserve"> </w:t>
      </w:r>
      <w:r>
        <w:rPr>
          <w:sz w:val="13"/>
        </w:rPr>
        <w:t>de Derechos</w:t>
      </w:r>
      <w:r>
        <w:rPr>
          <w:spacing w:val="-1"/>
          <w:sz w:val="13"/>
        </w:rPr>
        <w:t xml:space="preserve"> </w:t>
      </w:r>
      <w:r>
        <w:rPr>
          <w:sz w:val="13"/>
        </w:rPr>
        <w:t>Humanos, observación general</w:t>
      </w:r>
      <w:r>
        <w:rPr>
          <w:spacing w:val="-1"/>
          <w:sz w:val="13"/>
        </w:rPr>
        <w:t xml:space="preserve"> </w:t>
      </w:r>
      <w:r>
        <w:rPr>
          <w:sz w:val="13"/>
        </w:rPr>
        <w:t>núm. 23 (1994),</w:t>
      </w:r>
      <w:r>
        <w:rPr>
          <w:spacing w:val="-1"/>
          <w:sz w:val="13"/>
        </w:rPr>
        <w:t xml:space="preserve"> </w:t>
      </w:r>
      <w:r>
        <w:rPr>
          <w:sz w:val="13"/>
        </w:rPr>
        <w:t xml:space="preserve">párr. </w:t>
      </w:r>
      <w:r>
        <w:rPr>
          <w:spacing w:val="-4"/>
          <w:sz w:val="13"/>
        </w:rPr>
        <w:t>5.1.</w:t>
      </w:r>
    </w:p>
    <w:p w14:paraId="1E8F178F" w14:textId="77777777" w:rsidR="0014798C" w:rsidRDefault="004E1F0B">
      <w:pPr>
        <w:pStyle w:val="Prrafodelista"/>
        <w:numPr>
          <w:ilvl w:val="0"/>
          <w:numId w:val="24"/>
        </w:numPr>
        <w:tabs>
          <w:tab w:val="left" w:pos="1364"/>
          <w:tab w:val="left" w:pos="1367"/>
        </w:tabs>
        <w:spacing w:before="89" w:line="288" w:lineRule="auto"/>
        <w:ind w:left="1367" w:right="1613" w:hanging="257"/>
        <w:rPr>
          <w:sz w:val="13"/>
        </w:rPr>
      </w:pPr>
      <w:r>
        <w:rPr>
          <w:sz w:val="13"/>
        </w:rPr>
        <w:t xml:space="preserve">Relator Especial sobre cuestiones de las minorías, “Concepto de minoría: definición de mandato”, ACNUDH, 2021. Disponible en </w:t>
      </w:r>
      <w:hyperlink r:id="rId240">
        <w:r>
          <w:rPr>
            <w:color w:val="0075BF"/>
            <w:sz w:val="13"/>
          </w:rPr>
          <w:t>www.ohchr.org/EN/</w:t>
        </w:r>
      </w:hyperlink>
      <w:r>
        <w:rPr>
          <w:color w:val="0075BF"/>
          <w:spacing w:val="40"/>
          <w:sz w:val="13"/>
        </w:rPr>
        <w:t xml:space="preserve"> </w:t>
      </w:r>
      <w:r>
        <w:rPr>
          <w:color w:val="0075BF"/>
          <w:spacing w:val="-2"/>
          <w:sz w:val="13"/>
        </w:rPr>
        <w:t>Problemas/Minorías/</w:t>
      </w:r>
      <w:proofErr w:type="spellStart"/>
      <w:r>
        <w:rPr>
          <w:color w:val="0075BF"/>
          <w:spacing w:val="-2"/>
          <w:sz w:val="13"/>
        </w:rPr>
        <w:t>SRMinorities</w:t>
      </w:r>
      <w:proofErr w:type="spellEnd"/>
      <w:r>
        <w:rPr>
          <w:color w:val="0075BF"/>
          <w:spacing w:val="-2"/>
          <w:sz w:val="13"/>
        </w:rPr>
        <w:t>/Pages/ConceptMinority.aspx.</w:t>
      </w:r>
    </w:p>
    <w:p w14:paraId="728793C3" w14:textId="77777777" w:rsidR="0014798C" w:rsidRDefault="004E1F0B">
      <w:pPr>
        <w:pStyle w:val="Prrafodelista"/>
        <w:numPr>
          <w:ilvl w:val="0"/>
          <w:numId w:val="24"/>
        </w:numPr>
        <w:tabs>
          <w:tab w:val="left" w:pos="1363"/>
        </w:tabs>
        <w:spacing w:before="55"/>
        <w:ind w:left="1363" w:hanging="253"/>
        <w:rPr>
          <w:sz w:val="13"/>
        </w:rPr>
      </w:pPr>
      <w:r>
        <w:rPr>
          <w:sz w:val="13"/>
        </w:rPr>
        <w:t>Comité</w:t>
      </w:r>
      <w:r>
        <w:rPr>
          <w:spacing w:val="-1"/>
          <w:sz w:val="13"/>
        </w:rPr>
        <w:t xml:space="preserve"> </w:t>
      </w:r>
      <w:r>
        <w:rPr>
          <w:sz w:val="13"/>
        </w:rPr>
        <w:t>de Derechos</w:t>
      </w:r>
      <w:r>
        <w:rPr>
          <w:spacing w:val="-1"/>
          <w:sz w:val="13"/>
        </w:rPr>
        <w:t xml:space="preserve"> </w:t>
      </w:r>
      <w:r>
        <w:rPr>
          <w:sz w:val="13"/>
        </w:rPr>
        <w:t>Humanos, observación general</w:t>
      </w:r>
      <w:r>
        <w:rPr>
          <w:spacing w:val="-1"/>
          <w:sz w:val="13"/>
        </w:rPr>
        <w:t xml:space="preserve"> </w:t>
      </w:r>
      <w:r>
        <w:rPr>
          <w:sz w:val="13"/>
        </w:rPr>
        <w:t>núm. 23 (1994),</w:t>
      </w:r>
      <w:r>
        <w:rPr>
          <w:spacing w:val="-1"/>
          <w:sz w:val="13"/>
        </w:rPr>
        <w:t xml:space="preserve"> </w:t>
      </w:r>
      <w:r>
        <w:rPr>
          <w:sz w:val="13"/>
        </w:rPr>
        <w:t xml:space="preserve">párr. </w:t>
      </w:r>
      <w:r>
        <w:rPr>
          <w:spacing w:val="-4"/>
          <w:sz w:val="13"/>
        </w:rPr>
        <w:t>5.2.</w:t>
      </w:r>
    </w:p>
    <w:p w14:paraId="563C9AFC" w14:textId="77777777" w:rsidR="0014798C" w:rsidRDefault="004E1F0B">
      <w:pPr>
        <w:pStyle w:val="Prrafodelista"/>
        <w:numPr>
          <w:ilvl w:val="0"/>
          <w:numId w:val="24"/>
        </w:numPr>
        <w:tabs>
          <w:tab w:val="left" w:pos="1363"/>
        </w:tabs>
        <w:spacing w:before="87"/>
        <w:ind w:left="1363" w:hanging="253"/>
        <w:rPr>
          <w:sz w:val="13"/>
        </w:rPr>
      </w:pPr>
      <w:proofErr w:type="spellStart"/>
      <w:r>
        <w:rPr>
          <w:sz w:val="13"/>
        </w:rPr>
        <w:t>Ibíd</w:t>
      </w:r>
      <w:proofErr w:type="spellEnd"/>
      <w:r>
        <w:rPr>
          <w:sz w:val="13"/>
        </w:rPr>
        <w:t>.,</w:t>
      </w:r>
      <w:r>
        <w:rPr>
          <w:spacing w:val="-2"/>
          <w:sz w:val="13"/>
        </w:rPr>
        <w:t xml:space="preserve"> </w:t>
      </w:r>
      <w:proofErr w:type="spellStart"/>
      <w:r>
        <w:rPr>
          <w:sz w:val="13"/>
        </w:rPr>
        <w:t>párrs</w:t>
      </w:r>
      <w:proofErr w:type="spellEnd"/>
      <w:r>
        <w:rPr>
          <w:sz w:val="13"/>
        </w:rPr>
        <w:t>.</w:t>
      </w:r>
      <w:r>
        <w:rPr>
          <w:spacing w:val="-2"/>
          <w:sz w:val="13"/>
        </w:rPr>
        <w:t xml:space="preserve"> </w:t>
      </w:r>
      <w:r>
        <w:rPr>
          <w:sz w:val="13"/>
        </w:rPr>
        <w:t>5.1–5.2.</w:t>
      </w:r>
      <w:r>
        <w:rPr>
          <w:spacing w:val="-1"/>
          <w:sz w:val="13"/>
        </w:rPr>
        <w:t xml:space="preserve"> </w:t>
      </w:r>
      <w:r>
        <w:rPr>
          <w:sz w:val="13"/>
        </w:rPr>
        <w:t>Véase</w:t>
      </w:r>
      <w:r>
        <w:rPr>
          <w:spacing w:val="-2"/>
          <w:sz w:val="13"/>
        </w:rPr>
        <w:t xml:space="preserve"> </w:t>
      </w:r>
      <w:r>
        <w:rPr>
          <w:sz w:val="13"/>
        </w:rPr>
        <w:t>también</w:t>
      </w:r>
      <w:r>
        <w:rPr>
          <w:spacing w:val="-1"/>
          <w:sz w:val="13"/>
        </w:rPr>
        <w:t xml:space="preserve"> </w:t>
      </w:r>
      <w:r>
        <w:rPr>
          <w:sz w:val="13"/>
        </w:rPr>
        <w:t>A/74/160,</w:t>
      </w:r>
      <w:r>
        <w:rPr>
          <w:spacing w:val="-2"/>
          <w:sz w:val="13"/>
        </w:rPr>
        <w:t xml:space="preserve"> </w:t>
      </w:r>
      <w:r>
        <w:rPr>
          <w:sz w:val="13"/>
        </w:rPr>
        <w:t>párr.</w:t>
      </w:r>
      <w:r>
        <w:rPr>
          <w:spacing w:val="-1"/>
          <w:sz w:val="13"/>
        </w:rPr>
        <w:t xml:space="preserve"> </w:t>
      </w:r>
      <w:r>
        <w:rPr>
          <w:spacing w:val="-5"/>
          <w:sz w:val="13"/>
        </w:rPr>
        <w:t>59.</w:t>
      </w:r>
    </w:p>
    <w:p w14:paraId="6E12906F" w14:textId="77777777" w:rsidR="0014798C" w:rsidRDefault="004E1F0B">
      <w:pPr>
        <w:pStyle w:val="Prrafodelista"/>
        <w:numPr>
          <w:ilvl w:val="0"/>
          <w:numId w:val="24"/>
        </w:numPr>
        <w:tabs>
          <w:tab w:val="left" w:pos="1364"/>
        </w:tabs>
        <w:spacing w:before="89"/>
        <w:ind w:left="1364" w:hanging="254"/>
        <w:rPr>
          <w:sz w:val="13"/>
        </w:rPr>
      </w:pPr>
      <w:r>
        <w:rPr>
          <w:sz w:val="13"/>
        </w:rPr>
        <w:t>Comité de</w:t>
      </w:r>
      <w:r>
        <w:rPr>
          <w:spacing w:val="1"/>
          <w:sz w:val="13"/>
        </w:rPr>
        <w:t xml:space="preserve"> </w:t>
      </w:r>
      <w:r>
        <w:rPr>
          <w:sz w:val="13"/>
        </w:rPr>
        <w:t>Derechos Humanos,</w:t>
      </w:r>
      <w:r>
        <w:rPr>
          <w:spacing w:val="1"/>
          <w:sz w:val="13"/>
        </w:rPr>
        <w:t xml:space="preserve"> </w:t>
      </w:r>
      <w:proofErr w:type="spellStart"/>
      <w:r>
        <w:rPr>
          <w:sz w:val="13"/>
        </w:rPr>
        <w:t>Ballantyne</w:t>
      </w:r>
      <w:proofErr w:type="spellEnd"/>
      <w:r>
        <w:rPr>
          <w:spacing w:val="1"/>
          <w:sz w:val="13"/>
        </w:rPr>
        <w:t xml:space="preserve"> </w:t>
      </w:r>
      <w:r>
        <w:rPr>
          <w:sz w:val="13"/>
        </w:rPr>
        <w:t>et al.</w:t>
      </w:r>
      <w:r>
        <w:rPr>
          <w:spacing w:val="1"/>
          <w:sz w:val="13"/>
        </w:rPr>
        <w:t xml:space="preserve"> </w:t>
      </w:r>
      <w:r>
        <w:rPr>
          <w:sz w:val="13"/>
        </w:rPr>
        <w:t>Canadá,</w:t>
      </w:r>
      <w:r>
        <w:rPr>
          <w:spacing w:val="1"/>
          <w:sz w:val="13"/>
        </w:rPr>
        <w:t xml:space="preserve"> </w:t>
      </w:r>
      <w:r>
        <w:rPr>
          <w:sz w:val="13"/>
        </w:rPr>
        <w:t>comunicaciones Nos.</w:t>
      </w:r>
      <w:r>
        <w:rPr>
          <w:spacing w:val="1"/>
          <w:sz w:val="13"/>
        </w:rPr>
        <w:t xml:space="preserve"> </w:t>
      </w:r>
      <w:r>
        <w:rPr>
          <w:sz w:val="13"/>
        </w:rPr>
        <w:t>359/1989 y</w:t>
      </w:r>
      <w:r>
        <w:rPr>
          <w:spacing w:val="1"/>
          <w:sz w:val="13"/>
        </w:rPr>
        <w:t xml:space="preserve"> </w:t>
      </w:r>
      <w:r>
        <w:rPr>
          <w:spacing w:val="-2"/>
          <w:sz w:val="13"/>
        </w:rPr>
        <w:t>385/1989.</w:t>
      </w:r>
    </w:p>
    <w:p w14:paraId="593BD8D3" w14:textId="77777777" w:rsidR="0014798C" w:rsidRDefault="004E1F0B">
      <w:pPr>
        <w:pStyle w:val="Prrafodelista"/>
        <w:numPr>
          <w:ilvl w:val="0"/>
          <w:numId w:val="24"/>
        </w:numPr>
        <w:tabs>
          <w:tab w:val="left" w:pos="1363"/>
        </w:tabs>
        <w:spacing w:before="85"/>
        <w:ind w:left="1363" w:hanging="253"/>
        <w:rPr>
          <w:sz w:val="13"/>
        </w:rPr>
      </w:pPr>
      <w:r>
        <w:rPr>
          <w:sz w:val="13"/>
        </w:rPr>
        <w:t>E/CN.4/Sub.2/AC.5/2005/2,</w:t>
      </w:r>
      <w:r>
        <w:rPr>
          <w:spacing w:val="-4"/>
          <w:sz w:val="13"/>
        </w:rPr>
        <w:t xml:space="preserve"> </w:t>
      </w:r>
      <w:r>
        <w:rPr>
          <w:sz w:val="13"/>
        </w:rPr>
        <w:t>párr.</w:t>
      </w:r>
      <w:r>
        <w:rPr>
          <w:spacing w:val="-3"/>
          <w:sz w:val="13"/>
        </w:rPr>
        <w:t xml:space="preserve"> </w:t>
      </w:r>
      <w:r>
        <w:rPr>
          <w:spacing w:val="-5"/>
          <w:sz w:val="13"/>
        </w:rPr>
        <w:t>9.</w:t>
      </w:r>
    </w:p>
    <w:p w14:paraId="67FA0312" w14:textId="77777777" w:rsidR="0014798C" w:rsidRDefault="0014798C">
      <w:pPr>
        <w:pStyle w:val="Textoindependiente"/>
        <w:rPr>
          <w:sz w:val="18"/>
        </w:rPr>
      </w:pPr>
    </w:p>
    <w:p w14:paraId="7D54C35E" w14:textId="77777777" w:rsidR="0014798C" w:rsidRDefault="0014798C">
      <w:pPr>
        <w:pStyle w:val="Textoindependiente"/>
        <w:rPr>
          <w:sz w:val="18"/>
        </w:rPr>
      </w:pPr>
    </w:p>
    <w:p w14:paraId="37D7FAB0" w14:textId="77777777" w:rsidR="0014798C" w:rsidRDefault="0014798C">
      <w:pPr>
        <w:pStyle w:val="Textoindependiente"/>
        <w:spacing w:before="26"/>
        <w:rPr>
          <w:sz w:val="18"/>
        </w:rPr>
      </w:pPr>
    </w:p>
    <w:p w14:paraId="73B9106B" w14:textId="77777777" w:rsidR="0014798C" w:rsidRDefault="004E1F0B">
      <w:pPr>
        <w:ind w:right="694"/>
        <w:jc w:val="right"/>
        <w:rPr>
          <w:sz w:val="18"/>
        </w:rPr>
      </w:pPr>
      <w:r>
        <w:rPr>
          <w:spacing w:val="-5"/>
          <w:w w:val="105"/>
          <w:sz w:val="18"/>
        </w:rPr>
        <w:t>127</w:t>
      </w:r>
    </w:p>
    <w:p w14:paraId="1DB7DAF3" w14:textId="77777777" w:rsidR="0014798C" w:rsidRDefault="0014798C">
      <w:pPr>
        <w:jc w:val="right"/>
        <w:rPr>
          <w:sz w:val="18"/>
        </w:rPr>
        <w:sectPr w:rsidR="0014798C" w:rsidSect="00F265E4">
          <w:pgSz w:w="11900" w:h="16820"/>
          <w:pgMar w:top="340" w:right="0" w:bottom="280" w:left="200" w:header="121" w:footer="0" w:gutter="0"/>
          <w:cols w:space="720"/>
        </w:sectPr>
      </w:pPr>
    </w:p>
    <w:p w14:paraId="31575C58" w14:textId="77777777" w:rsidR="0014798C" w:rsidRDefault="0014798C">
      <w:pPr>
        <w:pStyle w:val="Textoindependiente"/>
        <w:spacing w:before="85"/>
        <w:rPr>
          <w:sz w:val="12"/>
        </w:rPr>
      </w:pPr>
    </w:p>
    <w:p w14:paraId="7F7E5B0E" w14:textId="77777777" w:rsidR="0014798C" w:rsidRDefault="004E1F0B">
      <w:pPr>
        <w:ind w:left="1111"/>
        <w:rPr>
          <w:sz w:val="12"/>
        </w:rPr>
      </w:pPr>
      <w:r>
        <w:rPr>
          <w:color w:val="803108"/>
          <w:sz w:val="12"/>
        </w:rPr>
        <w:t>PROTECCIÓN</w:t>
      </w:r>
      <w:r>
        <w:rPr>
          <w:color w:val="803108"/>
          <w:spacing w:val="6"/>
          <w:sz w:val="12"/>
        </w:rPr>
        <w:t xml:space="preserve"> </w:t>
      </w:r>
      <w:r>
        <w:rPr>
          <w:color w:val="803108"/>
          <w:sz w:val="12"/>
        </w:rPr>
        <w:t>DE</w:t>
      </w:r>
      <w:r>
        <w:rPr>
          <w:color w:val="803108"/>
          <w:spacing w:val="7"/>
          <w:sz w:val="12"/>
        </w:rPr>
        <w:t xml:space="preserve"> </w:t>
      </w:r>
      <w:r>
        <w:rPr>
          <w:color w:val="803108"/>
          <w:sz w:val="12"/>
        </w:rPr>
        <w:t>LOS</w:t>
      </w:r>
      <w:r>
        <w:rPr>
          <w:color w:val="803108"/>
          <w:spacing w:val="8"/>
          <w:sz w:val="12"/>
        </w:rPr>
        <w:t xml:space="preserve"> </w:t>
      </w:r>
      <w:r>
        <w:rPr>
          <w:color w:val="803108"/>
          <w:sz w:val="12"/>
        </w:rPr>
        <w:t>DERECHOS</w:t>
      </w:r>
      <w:r>
        <w:rPr>
          <w:color w:val="803108"/>
          <w:spacing w:val="8"/>
          <w:sz w:val="12"/>
        </w:rPr>
        <w:t xml:space="preserve"> </w:t>
      </w:r>
      <w:r>
        <w:rPr>
          <w:color w:val="803108"/>
          <w:sz w:val="12"/>
        </w:rPr>
        <w:t>DE</w:t>
      </w:r>
      <w:r>
        <w:rPr>
          <w:color w:val="803108"/>
          <w:spacing w:val="6"/>
          <w:sz w:val="12"/>
        </w:rPr>
        <w:t xml:space="preserve"> </w:t>
      </w:r>
      <w:r>
        <w:rPr>
          <w:color w:val="803108"/>
          <w:sz w:val="12"/>
        </w:rPr>
        <w:t>LAS</w:t>
      </w:r>
      <w:r>
        <w:rPr>
          <w:color w:val="803108"/>
          <w:spacing w:val="7"/>
          <w:sz w:val="12"/>
        </w:rPr>
        <w:t xml:space="preserve"> </w:t>
      </w:r>
      <w:r>
        <w:rPr>
          <w:color w:val="803108"/>
          <w:sz w:val="12"/>
        </w:rPr>
        <w:t>MINORÍAS:</w:t>
      </w:r>
      <w:r>
        <w:rPr>
          <w:color w:val="803108"/>
          <w:spacing w:val="8"/>
          <w:sz w:val="12"/>
        </w:rPr>
        <w:t xml:space="preserve"> </w:t>
      </w:r>
      <w:r>
        <w:rPr>
          <w:color w:val="803108"/>
          <w:sz w:val="12"/>
        </w:rPr>
        <w:t>una</w:t>
      </w:r>
      <w:r>
        <w:rPr>
          <w:color w:val="803108"/>
          <w:spacing w:val="7"/>
          <w:sz w:val="12"/>
        </w:rPr>
        <w:t xml:space="preserve"> </w:t>
      </w:r>
      <w:r>
        <w:rPr>
          <w:color w:val="803108"/>
          <w:sz w:val="12"/>
        </w:rPr>
        <w:t>guía</w:t>
      </w:r>
      <w:r>
        <w:rPr>
          <w:color w:val="803108"/>
          <w:spacing w:val="6"/>
          <w:sz w:val="12"/>
        </w:rPr>
        <w:t xml:space="preserve"> </w:t>
      </w:r>
      <w:r>
        <w:rPr>
          <w:color w:val="803108"/>
          <w:sz w:val="12"/>
        </w:rPr>
        <w:t>práctica</w:t>
      </w:r>
      <w:r>
        <w:rPr>
          <w:color w:val="803108"/>
          <w:spacing w:val="7"/>
          <w:sz w:val="12"/>
        </w:rPr>
        <w:t xml:space="preserve"> </w:t>
      </w:r>
      <w:r>
        <w:rPr>
          <w:color w:val="803108"/>
          <w:sz w:val="12"/>
        </w:rPr>
        <w:t>para</w:t>
      </w:r>
      <w:r>
        <w:rPr>
          <w:color w:val="803108"/>
          <w:spacing w:val="8"/>
          <w:sz w:val="12"/>
        </w:rPr>
        <w:t xml:space="preserve"> </w:t>
      </w:r>
      <w:r>
        <w:rPr>
          <w:color w:val="803108"/>
          <w:sz w:val="12"/>
        </w:rPr>
        <w:t>desarrollar</w:t>
      </w:r>
      <w:r>
        <w:rPr>
          <w:color w:val="803108"/>
          <w:spacing w:val="6"/>
          <w:sz w:val="12"/>
        </w:rPr>
        <w:t xml:space="preserve"> </w:t>
      </w:r>
      <w:r>
        <w:rPr>
          <w:color w:val="803108"/>
          <w:sz w:val="12"/>
        </w:rPr>
        <w:t>una</w:t>
      </w:r>
      <w:r>
        <w:rPr>
          <w:color w:val="803108"/>
          <w:spacing w:val="7"/>
          <w:sz w:val="12"/>
        </w:rPr>
        <w:t xml:space="preserve"> </w:t>
      </w:r>
      <w:r>
        <w:rPr>
          <w:color w:val="803108"/>
          <w:sz w:val="12"/>
        </w:rPr>
        <w:t>legislación</w:t>
      </w:r>
      <w:r>
        <w:rPr>
          <w:color w:val="803108"/>
          <w:spacing w:val="8"/>
          <w:sz w:val="12"/>
        </w:rPr>
        <w:t xml:space="preserve"> </w:t>
      </w:r>
      <w:r>
        <w:rPr>
          <w:color w:val="803108"/>
          <w:sz w:val="12"/>
        </w:rPr>
        <w:t>integral</w:t>
      </w:r>
      <w:r>
        <w:rPr>
          <w:color w:val="803108"/>
          <w:spacing w:val="7"/>
          <w:sz w:val="12"/>
        </w:rPr>
        <w:t xml:space="preserve"> </w:t>
      </w:r>
      <w:r>
        <w:rPr>
          <w:color w:val="803108"/>
          <w:sz w:val="12"/>
        </w:rPr>
        <w:t>contra</w:t>
      </w:r>
      <w:r>
        <w:rPr>
          <w:color w:val="803108"/>
          <w:spacing w:val="6"/>
          <w:sz w:val="12"/>
        </w:rPr>
        <w:t xml:space="preserve"> </w:t>
      </w:r>
      <w:r>
        <w:rPr>
          <w:color w:val="803108"/>
          <w:sz w:val="12"/>
        </w:rPr>
        <w:t>la</w:t>
      </w:r>
      <w:r>
        <w:rPr>
          <w:color w:val="803108"/>
          <w:spacing w:val="7"/>
          <w:sz w:val="12"/>
        </w:rPr>
        <w:t xml:space="preserve"> </w:t>
      </w:r>
      <w:r>
        <w:rPr>
          <w:color w:val="803108"/>
          <w:spacing w:val="-2"/>
          <w:sz w:val="12"/>
        </w:rPr>
        <w:t>discriminación</w:t>
      </w:r>
    </w:p>
    <w:p w14:paraId="2D78260B" w14:textId="77777777" w:rsidR="0014798C" w:rsidRDefault="0014798C">
      <w:pPr>
        <w:pStyle w:val="Textoindependiente"/>
      </w:pPr>
    </w:p>
    <w:p w14:paraId="75583482" w14:textId="77777777" w:rsidR="0014798C" w:rsidRDefault="0014798C">
      <w:pPr>
        <w:pStyle w:val="Textoindependiente"/>
      </w:pPr>
    </w:p>
    <w:p w14:paraId="53E34820" w14:textId="77777777" w:rsidR="0014798C" w:rsidRDefault="0014798C">
      <w:pPr>
        <w:pStyle w:val="Textoindependiente"/>
      </w:pPr>
    </w:p>
    <w:p w14:paraId="5152D8DA" w14:textId="77777777" w:rsidR="0014798C" w:rsidRDefault="0014798C">
      <w:pPr>
        <w:pStyle w:val="Textoindependiente"/>
      </w:pPr>
    </w:p>
    <w:p w14:paraId="72560C3E" w14:textId="77777777" w:rsidR="0014798C" w:rsidRDefault="0014798C">
      <w:pPr>
        <w:pStyle w:val="Textoindependiente"/>
        <w:spacing w:before="52"/>
      </w:pPr>
    </w:p>
    <w:p w14:paraId="6A2099B0" w14:textId="77777777" w:rsidR="0014798C" w:rsidRDefault="004E1F0B">
      <w:pPr>
        <w:pStyle w:val="Textoindependiente"/>
        <w:spacing w:line="326" w:lineRule="auto"/>
        <w:ind w:left="1109" w:right="1272"/>
      </w:pPr>
      <w:r>
        <w:rPr>
          <w:w w:val="105"/>
        </w:rPr>
        <w:t>también</w:t>
      </w:r>
      <w:r>
        <w:rPr>
          <w:spacing w:val="-11"/>
          <w:w w:val="105"/>
        </w:rPr>
        <w:t xml:space="preserve"> </w:t>
      </w:r>
      <w:r>
        <w:rPr>
          <w:w w:val="105"/>
        </w:rPr>
        <w:t>lo</w:t>
      </w:r>
      <w:r>
        <w:rPr>
          <w:spacing w:val="-11"/>
          <w:w w:val="105"/>
        </w:rPr>
        <w:t xml:space="preserve"> </w:t>
      </w:r>
      <w:r>
        <w:rPr>
          <w:w w:val="105"/>
        </w:rPr>
        <w:t>aplican</w:t>
      </w:r>
      <w:r>
        <w:rPr>
          <w:spacing w:val="-11"/>
          <w:w w:val="105"/>
        </w:rPr>
        <w:t xml:space="preserve"> </w:t>
      </w:r>
      <w:r>
        <w:rPr>
          <w:w w:val="105"/>
        </w:rPr>
        <w:t>los</w:t>
      </w:r>
      <w:r>
        <w:rPr>
          <w:spacing w:val="-11"/>
          <w:w w:val="105"/>
        </w:rPr>
        <w:t xml:space="preserve"> </w:t>
      </w:r>
      <w:r>
        <w:rPr>
          <w:w w:val="105"/>
        </w:rPr>
        <w:t>órganos</w:t>
      </w:r>
      <w:r>
        <w:rPr>
          <w:spacing w:val="-11"/>
          <w:w w:val="105"/>
        </w:rPr>
        <w:t xml:space="preserve"> </w:t>
      </w:r>
      <w:r>
        <w:rPr>
          <w:w w:val="105"/>
        </w:rPr>
        <w:t>del</w:t>
      </w:r>
      <w:r>
        <w:rPr>
          <w:spacing w:val="-11"/>
          <w:w w:val="105"/>
        </w:rPr>
        <w:t xml:space="preserve"> </w:t>
      </w:r>
      <w:r>
        <w:rPr>
          <w:w w:val="105"/>
        </w:rPr>
        <w:t>Consejo</w:t>
      </w:r>
      <w:r>
        <w:rPr>
          <w:spacing w:val="-11"/>
          <w:w w:val="105"/>
        </w:rPr>
        <w:t xml:space="preserve"> </w:t>
      </w:r>
      <w:r>
        <w:rPr>
          <w:w w:val="105"/>
        </w:rPr>
        <w:t>de</w:t>
      </w:r>
      <w:r>
        <w:rPr>
          <w:spacing w:val="-11"/>
          <w:w w:val="105"/>
        </w:rPr>
        <w:t xml:space="preserve"> </w:t>
      </w:r>
      <w:r>
        <w:rPr>
          <w:w w:val="105"/>
        </w:rPr>
        <w:t>Europa</w:t>
      </w:r>
      <w:r>
        <w:rPr>
          <w:spacing w:val="-11"/>
          <w:w w:val="105"/>
        </w:rPr>
        <w:t xml:space="preserve"> </w:t>
      </w:r>
      <w:r>
        <w:rPr>
          <w:w w:val="105"/>
        </w:rPr>
        <w:t>y</w:t>
      </w:r>
      <w:r>
        <w:rPr>
          <w:spacing w:val="-11"/>
          <w:w w:val="105"/>
        </w:rPr>
        <w:t xml:space="preserve"> </w:t>
      </w:r>
      <w:r>
        <w:rPr>
          <w:w w:val="105"/>
        </w:rPr>
        <w:t>la</w:t>
      </w:r>
      <w:r>
        <w:rPr>
          <w:spacing w:val="-11"/>
          <w:w w:val="105"/>
        </w:rPr>
        <w:t xml:space="preserve"> </w:t>
      </w:r>
      <w:r>
        <w:rPr>
          <w:w w:val="105"/>
        </w:rPr>
        <w:t>Organización</w:t>
      </w:r>
      <w:r>
        <w:rPr>
          <w:spacing w:val="-11"/>
          <w:w w:val="105"/>
        </w:rPr>
        <w:t xml:space="preserve"> </w:t>
      </w:r>
      <w:r>
        <w:rPr>
          <w:w w:val="105"/>
        </w:rPr>
        <w:t>para</w:t>
      </w:r>
      <w:r>
        <w:rPr>
          <w:spacing w:val="-11"/>
          <w:w w:val="105"/>
        </w:rPr>
        <w:t xml:space="preserve"> </w:t>
      </w:r>
      <w:r>
        <w:rPr>
          <w:w w:val="105"/>
        </w:rPr>
        <w:t>la</w:t>
      </w:r>
      <w:r>
        <w:rPr>
          <w:spacing w:val="-11"/>
          <w:w w:val="105"/>
        </w:rPr>
        <w:t xml:space="preserve"> </w:t>
      </w:r>
      <w:r>
        <w:rPr>
          <w:w w:val="105"/>
        </w:rPr>
        <w:t>Seguridad</w:t>
      </w:r>
      <w:r>
        <w:rPr>
          <w:spacing w:val="-11"/>
          <w:w w:val="105"/>
        </w:rPr>
        <w:t xml:space="preserve"> </w:t>
      </w:r>
      <w:r>
        <w:rPr>
          <w:w w:val="105"/>
        </w:rPr>
        <w:t>y</w:t>
      </w:r>
      <w:r>
        <w:rPr>
          <w:spacing w:val="-11"/>
          <w:w w:val="105"/>
        </w:rPr>
        <w:t xml:space="preserve"> </w:t>
      </w:r>
      <w:r>
        <w:rPr>
          <w:w w:val="105"/>
        </w:rPr>
        <w:t>la</w:t>
      </w:r>
      <w:r>
        <w:rPr>
          <w:spacing w:val="-11"/>
          <w:w w:val="105"/>
        </w:rPr>
        <w:t xml:space="preserve"> </w:t>
      </w:r>
      <w:r>
        <w:rPr>
          <w:w w:val="105"/>
        </w:rPr>
        <w:t>Cooperación</w:t>
      </w:r>
      <w:r>
        <w:rPr>
          <w:spacing w:val="-11"/>
          <w:w w:val="105"/>
        </w:rPr>
        <w:t xml:space="preserve"> </w:t>
      </w:r>
      <w:r>
        <w:rPr>
          <w:w w:val="105"/>
        </w:rPr>
        <w:t>en</w:t>
      </w:r>
      <w:r>
        <w:rPr>
          <w:spacing w:val="-11"/>
          <w:w w:val="105"/>
        </w:rPr>
        <w:t xml:space="preserve"> </w:t>
      </w:r>
      <w:r>
        <w:rPr>
          <w:w w:val="105"/>
        </w:rPr>
        <w:t>Europa dedicados específicamente a la protección de las minorías.872</w:t>
      </w:r>
    </w:p>
    <w:p w14:paraId="7FB4D5D1" w14:textId="77777777" w:rsidR="0014798C" w:rsidRDefault="004E1F0B">
      <w:pPr>
        <w:pStyle w:val="Textoindependiente"/>
        <w:spacing w:before="169" w:line="326" w:lineRule="auto"/>
        <w:ind w:left="1108" w:right="1463"/>
      </w:pPr>
      <w:r>
        <w:t>En Europa, el enfoque adoptado para la definición de minorías ha seguido tres principios generales: (a) énfasis en la</w:t>
      </w:r>
      <w:r>
        <w:rPr>
          <w:spacing w:val="40"/>
        </w:rPr>
        <w:t xml:space="preserve"> </w:t>
      </w:r>
      <w:r>
        <w:t>identificación de las minorías como una cuestión de hecho, más que como una ley; (b) el reconocimiento de que se entiende que la existencia de minorías es una cuestión que requiere evaluación según criterios tanto objetivos como subjetivos;873</w:t>
      </w:r>
    </w:p>
    <w:p w14:paraId="577BADCF" w14:textId="77777777" w:rsidR="0014798C" w:rsidRDefault="004E1F0B">
      <w:pPr>
        <w:pStyle w:val="Textoindependiente"/>
        <w:spacing w:line="326" w:lineRule="auto"/>
        <w:ind w:left="1108" w:right="1272" w:firstLine="3"/>
      </w:pPr>
      <w:r>
        <w:rPr>
          <w:w w:val="105"/>
        </w:rPr>
        <w:t>y</w:t>
      </w:r>
      <w:r>
        <w:rPr>
          <w:spacing w:val="-6"/>
          <w:w w:val="105"/>
        </w:rPr>
        <w:t xml:space="preserve"> </w:t>
      </w:r>
      <w:r>
        <w:rPr>
          <w:w w:val="105"/>
        </w:rPr>
        <w:t>(c)</w:t>
      </w:r>
      <w:r>
        <w:rPr>
          <w:spacing w:val="-6"/>
          <w:w w:val="105"/>
        </w:rPr>
        <w:t xml:space="preserve"> </w:t>
      </w:r>
      <w:r>
        <w:rPr>
          <w:w w:val="105"/>
        </w:rPr>
        <w:t>resistencia</w:t>
      </w:r>
      <w:r>
        <w:rPr>
          <w:spacing w:val="-6"/>
          <w:w w:val="105"/>
        </w:rPr>
        <w:t xml:space="preserve"> </w:t>
      </w:r>
      <w:r>
        <w:rPr>
          <w:w w:val="105"/>
        </w:rPr>
        <w:t>a</w:t>
      </w:r>
      <w:r>
        <w:rPr>
          <w:spacing w:val="-6"/>
          <w:w w:val="105"/>
        </w:rPr>
        <w:t xml:space="preserve"> </w:t>
      </w:r>
      <w:r>
        <w:rPr>
          <w:w w:val="105"/>
        </w:rPr>
        <w:t>una</w:t>
      </w:r>
      <w:r>
        <w:rPr>
          <w:spacing w:val="-6"/>
          <w:w w:val="105"/>
        </w:rPr>
        <w:t xml:space="preserve"> </w:t>
      </w:r>
      <w:r>
        <w:rPr>
          <w:w w:val="105"/>
        </w:rPr>
        <w:t>definición</w:t>
      </w:r>
      <w:r>
        <w:rPr>
          <w:spacing w:val="-6"/>
          <w:w w:val="105"/>
        </w:rPr>
        <w:t xml:space="preserve"> </w:t>
      </w:r>
      <w:r>
        <w:rPr>
          <w:w w:val="105"/>
        </w:rPr>
        <w:t>única,</w:t>
      </w:r>
      <w:r>
        <w:rPr>
          <w:spacing w:val="-6"/>
          <w:w w:val="105"/>
        </w:rPr>
        <w:t xml:space="preserve"> </w:t>
      </w:r>
      <w:r>
        <w:rPr>
          <w:w w:val="105"/>
        </w:rPr>
        <w:t>estricta</w:t>
      </w:r>
      <w:r>
        <w:rPr>
          <w:spacing w:val="-6"/>
          <w:w w:val="105"/>
        </w:rPr>
        <w:t xml:space="preserve"> </w:t>
      </w:r>
      <w:r>
        <w:rPr>
          <w:w w:val="105"/>
        </w:rPr>
        <w:t>o</w:t>
      </w:r>
      <w:r>
        <w:rPr>
          <w:spacing w:val="-6"/>
          <w:w w:val="105"/>
        </w:rPr>
        <w:t xml:space="preserve"> </w:t>
      </w:r>
      <w:r>
        <w:rPr>
          <w:w w:val="105"/>
        </w:rPr>
        <w:t>vinculante,</w:t>
      </w:r>
      <w:r>
        <w:rPr>
          <w:spacing w:val="-5"/>
          <w:w w:val="105"/>
        </w:rPr>
        <w:t xml:space="preserve"> </w:t>
      </w:r>
      <w:r>
        <w:rPr>
          <w:w w:val="105"/>
        </w:rPr>
        <w:t>en</w:t>
      </w:r>
      <w:r>
        <w:rPr>
          <w:spacing w:val="-6"/>
          <w:w w:val="105"/>
        </w:rPr>
        <w:t xml:space="preserve"> </w:t>
      </w:r>
      <w:r>
        <w:rPr>
          <w:w w:val="105"/>
        </w:rPr>
        <w:t>el</w:t>
      </w:r>
      <w:r>
        <w:rPr>
          <w:spacing w:val="-6"/>
          <w:w w:val="105"/>
        </w:rPr>
        <w:t xml:space="preserve"> </w:t>
      </w:r>
      <w:r>
        <w:rPr>
          <w:w w:val="105"/>
        </w:rPr>
        <w:t>contexto</w:t>
      </w:r>
      <w:r>
        <w:rPr>
          <w:spacing w:val="-6"/>
          <w:w w:val="105"/>
        </w:rPr>
        <w:t xml:space="preserve"> </w:t>
      </w:r>
      <w:r>
        <w:rPr>
          <w:w w:val="105"/>
        </w:rPr>
        <w:t>de</w:t>
      </w:r>
      <w:r>
        <w:rPr>
          <w:spacing w:val="-6"/>
          <w:w w:val="105"/>
        </w:rPr>
        <w:t xml:space="preserve"> </w:t>
      </w:r>
      <w:r>
        <w:rPr>
          <w:w w:val="105"/>
        </w:rPr>
        <w:t>una</w:t>
      </w:r>
      <w:r>
        <w:rPr>
          <w:spacing w:val="-6"/>
          <w:w w:val="105"/>
        </w:rPr>
        <w:t xml:space="preserve"> </w:t>
      </w:r>
      <w:r>
        <w:rPr>
          <w:w w:val="105"/>
        </w:rPr>
        <w:t>conciencia</w:t>
      </w:r>
      <w:r>
        <w:rPr>
          <w:spacing w:val="-6"/>
          <w:w w:val="105"/>
        </w:rPr>
        <w:t xml:space="preserve"> </w:t>
      </w:r>
      <w:r>
        <w:rPr>
          <w:w w:val="105"/>
        </w:rPr>
        <w:t>del</w:t>
      </w:r>
      <w:r>
        <w:rPr>
          <w:spacing w:val="-6"/>
          <w:w w:val="105"/>
        </w:rPr>
        <w:t xml:space="preserve"> </w:t>
      </w:r>
      <w:r>
        <w:rPr>
          <w:w w:val="105"/>
        </w:rPr>
        <w:t>riesgo</w:t>
      </w:r>
      <w:r>
        <w:rPr>
          <w:spacing w:val="-6"/>
          <w:w w:val="105"/>
        </w:rPr>
        <w:t xml:space="preserve"> </w:t>
      </w:r>
      <w:r>
        <w:rPr>
          <w:w w:val="105"/>
        </w:rPr>
        <w:t>para</w:t>
      </w:r>
      <w:r>
        <w:rPr>
          <w:spacing w:val="-6"/>
          <w:w w:val="105"/>
        </w:rPr>
        <w:t xml:space="preserve"> </w:t>
      </w:r>
      <w:r>
        <w:rPr>
          <w:w w:val="105"/>
        </w:rPr>
        <w:t>los</w:t>
      </w:r>
      <w:r>
        <w:rPr>
          <w:spacing w:val="-6"/>
          <w:w w:val="105"/>
        </w:rPr>
        <w:t xml:space="preserve"> </w:t>
      </w:r>
      <w:r>
        <w:rPr>
          <w:w w:val="105"/>
        </w:rPr>
        <w:t>derechos humanos</w:t>
      </w:r>
      <w:r>
        <w:rPr>
          <w:spacing w:val="-12"/>
          <w:w w:val="105"/>
        </w:rPr>
        <w:t xml:space="preserve"> </w:t>
      </w:r>
      <w:r>
        <w:rPr>
          <w:w w:val="105"/>
        </w:rPr>
        <w:t>de</w:t>
      </w:r>
      <w:r>
        <w:rPr>
          <w:spacing w:val="-12"/>
          <w:w w:val="105"/>
        </w:rPr>
        <w:t xml:space="preserve"> </w:t>
      </w:r>
      <w:r>
        <w:rPr>
          <w:w w:val="105"/>
        </w:rPr>
        <w:t>las</w:t>
      </w:r>
      <w:r>
        <w:rPr>
          <w:spacing w:val="-11"/>
          <w:w w:val="105"/>
        </w:rPr>
        <w:t xml:space="preserve"> </w:t>
      </w:r>
      <w:r>
        <w:rPr>
          <w:w w:val="105"/>
        </w:rPr>
        <w:t>minorías</w:t>
      </w:r>
      <w:r>
        <w:rPr>
          <w:spacing w:val="-12"/>
          <w:w w:val="105"/>
        </w:rPr>
        <w:t xml:space="preserve"> </w:t>
      </w:r>
      <w:r>
        <w:rPr>
          <w:w w:val="105"/>
        </w:rPr>
        <w:t>que</w:t>
      </w:r>
      <w:r>
        <w:rPr>
          <w:spacing w:val="-12"/>
          <w:w w:val="105"/>
        </w:rPr>
        <w:t xml:space="preserve"> </w:t>
      </w:r>
      <w:r>
        <w:rPr>
          <w:w w:val="105"/>
        </w:rPr>
        <w:t>surge</w:t>
      </w:r>
      <w:r>
        <w:rPr>
          <w:spacing w:val="-12"/>
          <w:w w:val="105"/>
        </w:rPr>
        <w:t xml:space="preserve"> </w:t>
      </w:r>
      <w:r>
        <w:rPr>
          <w:w w:val="105"/>
        </w:rPr>
        <w:t>de</w:t>
      </w:r>
      <w:r>
        <w:rPr>
          <w:spacing w:val="-11"/>
          <w:w w:val="105"/>
        </w:rPr>
        <w:t xml:space="preserve"> </w:t>
      </w:r>
      <w:r>
        <w:rPr>
          <w:w w:val="105"/>
        </w:rPr>
        <w:t>definiciones</w:t>
      </w:r>
      <w:r>
        <w:rPr>
          <w:spacing w:val="-12"/>
          <w:w w:val="105"/>
        </w:rPr>
        <w:t xml:space="preserve"> </w:t>
      </w:r>
      <w:r>
        <w:rPr>
          <w:w w:val="105"/>
        </w:rPr>
        <w:t>potencialmente</w:t>
      </w:r>
      <w:r>
        <w:rPr>
          <w:spacing w:val="-12"/>
          <w:w w:val="105"/>
        </w:rPr>
        <w:t xml:space="preserve"> </w:t>
      </w:r>
      <w:r>
        <w:rPr>
          <w:w w:val="105"/>
        </w:rPr>
        <w:t>estrechas.874</w:t>
      </w:r>
      <w:r>
        <w:rPr>
          <w:spacing w:val="-11"/>
          <w:w w:val="105"/>
        </w:rPr>
        <w:t xml:space="preserve"> </w:t>
      </w:r>
      <w:r>
        <w:rPr>
          <w:w w:val="105"/>
        </w:rPr>
        <w:t>En</w:t>
      </w:r>
      <w:r>
        <w:rPr>
          <w:spacing w:val="-12"/>
          <w:w w:val="105"/>
        </w:rPr>
        <w:t xml:space="preserve"> </w:t>
      </w:r>
      <w:r>
        <w:rPr>
          <w:w w:val="105"/>
        </w:rPr>
        <w:t>el</w:t>
      </w:r>
      <w:r>
        <w:rPr>
          <w:spacing w:val="-12"/>
          <w:w w:val="105"/>
        </w:rPr>
        <w:t xml:space="preserve"> </w:t>
      </w:r>
      <w:r>
        <w:rPr>
          <w:w w:val="105"/>
        </w:rPr>
        <w:t>trabajo</w:t>
      </w:r>
      <w:r>
        <w:rPr>
          <w:spacing w:val="-11"/>
          <w:w w:val="105"/>
        </w:rPr>
        <w:t xml:space="preserve"> </w:t>
      </w:r>
      <w:r>
        <w:rPr>
          <w:w w:val="105"/>
        </w:rPr>
        <w:t>tanto</w:t>
      </w:r>
      <w:r>
        <w:rPr>
          <w:spacing w:val="-12"/>
          <w:w w:val="105"/>
        </w:rPr>
        <w:t xml:space="preserve"> </w:t>
      </w:r>
      <w:r>
        <w:rPr>
          <w:w w:val="105"/>
        </w:rPr>
        <w:t>del</w:t>
      </w:r>
      <w:r>
        <w:rPr>
          <w:spacing w:val="-12"/>
          <w:w w:val="105"/>
        </w:rPr>
        <w:t xml:space="preserve"> </w:t>
      </w:r>
      <w:r>
        <w:rPr>
          <w:w w:val="105"/>
        </w:rPr>
        <w:t>Consejo</w:t>
      </w:r>
      <w:r>
        <w:rPr>
          <w:spacing w:val="-11"/>
          <w:w w:val="105"/>
        </w:rPr>
        <w:t xml:space="preserve"> </w:t>
      </w:r>
      <w:r>
        <w:rPr>
          <w:w w:val="105"/>
        </w:rPr>
        <w:t>de</w:t>
      </w:r>
      <w:r>
        <w:rPr>
          <w:spacing w:val="-12"/>
          <w:w w:val="105"/>
        </w:rPr>
        <w:t xml:space="preserve"> </w:t>
      </w:r>
      <w:r>
        <w:rPr>
          <w:w w:val="105"/>
        </w:rPr>
        <w:t>Europa como</w:t>
      </w:r>
      <w:r>
        <w:rPr>
          <w:spacing w:val="-10"/>
          <w:w w:val="105"/>
        </w:rPr>
        <w:t xml:space="preserve"> </w:t>
      </w:r>
      <w:r>
        <w:rPr>
          <w:w w:val="105"/>
        </w:rPr>
        <w:t>del</w:t>
      </w:r>
      <w:r>
        <w:rPr>
          <w:spacing w:val="-10"/>
          <w:w w:val="105"/>
        </w:rPr>
        <w:t xml:space="preserve"> </w:t>
      </w:r>
      <w:r>
        <w:rPr>
          <w:w w:val="105"/>
        </w:rPr>
        <w:t>Alto</w:t>
      </w:r>
      <w:r>
        <w:rPr>
          <w:spacing w:val="-11"/>
          <w:w w:val="105"/>
        </w:rPr>
        <w:t xml:space="preserve"> </w:t>
      </w:r>
      <w:r>
        <w:rPr>
          <w:w w:val="105"/>
        </w:rPr>
        <w:t>Comisionado</w:t>
      </w:r>
      <w:r>
        <w:rPr>
          <w:spacing w:val="-10"/>
          <w:w w:val="105"/>
        </w:rPr>
        <w:t xml:space="preserve"> </w:t>
      </w:r>
      <w:r>
        <w:rPr>
          <w:w w:val="105"/>
        </w:rPr>
        <w:t>para</w:t>
      </w:r>
      <w:r>
        <w:rPr>
          <w:spacing w:val="-10"/>
          <w:w w:val="105"/>
        </w:rPr>
        <w:t xml:space="preserve"> </w:t>
      </w:r>
      <w:r>
        <w:rPr>
          <w:w w:val="105"/>
        </w:rPr>
        <w:t>las</w:t>
      </w:r>
      <w:r>
        <w:rPr>
          <w:spacing w:val="-10"/>
          <w:w w:val="105"/>
        </w:rPr>
        <w:t xml:space="preserve"> </w:t>
      </w:r>
      <w:r>
        <w:rPr>
          <w:w w:val="105"/>
        </w:rPr>
        <w:t>Minorías</w:t>
      </w:r>
      <w:r>
        <w:rPr>
          <w:spacing w:val="-11"/>
          <w:w w:val="105"/>
        </w:rPr>
        <w:t xml:space="preserve"> </w:t>
      </w:r>
      <w:r>
        <w:rPr>
          <w:w w:val="105"/>
        </w:rPr>
        <w:t>Nacionales</w:t>
      </w:r>
      <w:r>
        <w:rPr>
          <w:spacing w:val="-10"/>
          <w:w w:val="105"/>
        </w:rPr>
        <w:t xml:space="preserve"> </w:t>
      </w:r>
      <w:r>
        <w:rPr>
          <w:w w:val="105"/>
        </w:rPr>
        <w:t>de</w:t>
      </w:r>
      <w:r>
        <w:rPr>
          <w:spacing w:val="-10"/>
          <w:w w:val="105"/>
        </w:rPr>
        <w:t xml:space="preserve"> </w:t>
      </w:r>
      <w:r>
        <w:rPr>
          <w:w w:val="105"/>
        </w:rPr>
        <w:t>la</w:t>
      </w:r>
      <w:r>
        <w:rPr>
          <w:spacing w:val="-10"/>
          <w:w w:val="105"/>
        </w:rPr>
        <w:t xml:space="preserve"> </w:t>
      </w:r>
      <w:r>
        <w:rPr>
          <w:w w:val="105"/>
        </w:rPr>
        <w:t>Organización</w:t>
      </w:r>
      <w:r>
        <w:rPr>
          <w:spacing w:val="-10"/>
          <w:w w:val="105"/>
        </w:rPr>
        <w:t xml:space="preserve"> </w:t>
      </w:r>
      <w:r>
        <w:rPr>
          <w:w w:val="105"/>
        </w:rPr>
        <w:t>para</w:t>
      </w:r>
      <w:r>
        <w:rPr>
          <w:spacing w:val="-10"/>
          <w:w w:val="105"/>
        </w:rPr>
        <w:t xml:space="preserve"> </w:t>
      </w:r>
      <w:r>
        <w:rPr>
          <w:w w:val="105"/>
        </w:rPr>
        <w:t>la</w:t>
      </w:r>
      <w:r>
        <w:rPr>
          <w:spacing w:val="-10"/>
          <w:w w:val="105"/>
        </w:rPr>
        <w:t xml:space="preserve"> </w:t>
      </w:r>
      <w:r>
        <w:rPr>
          <w:w w:val="105"/>
        </w:rPr>
        <w:t>Seguridad</w:t>
      </w:r>
      <w:r>
        <w:rPr>
          <w:spacing w:val="-10"/>
          <w:w w:val="105"/>
        </w:rPr>
        <w:t xml:space="preserve"> </w:t>
      </w:r>
      <w:r>
        <w:rPr>
          <w:w w:val="105"/>
        </w:rPr>
        <w:t>y</w:t>
      </w:r>
      <w:r>
        <w:rPr>
          <w:spacing w:val="-10"/>
          <w:w w:val="105"/>
        </w:rPr>
        <w:t xml:space="preserve"> </w:t>
      </w:r>
      <w:r>
        <w:rPr>
          <w:w w:val="105"/>
        </w:rPr>
        <w:t>la</w:t>
      </w:r>
      <w:r>
        <w:rPr>
          <w:spacing w:val="-10"/>
          <w:w w:val="105"/>
        </w:rPr>
        <w:t xml:space="preserve"> </w:t>
      </w:r>
      <w:r>
        <w:rPr>
          <w:w w:val="105"/>
        </w:rPr>
        <w:t>Cooperación</w:t>
      </w:r>
      <w:r>
        <w:rPr>
          <w:spacing w:val="-10"/>
          <w:w w:val="105"/>
        </w:rPr>
        <w:t xml:space="preserve"> </w:t>
      </w:r>
      <w:r>
        <w:rPr>
          <w:w w:val="105"/>
        </w:rPr>
        <w:t>en</w:t>
      </w:r>
      <w:r>
        <w:rPr>
          <w:spacing w:val="-10"/>
          <w:w w:val="105"/>
        </w:rPr>
        <w:t xml:space="preserve"> </w:t>
      </w:r>
      <w:r>
        <w:rPr>
          <w:w w:val="105"/>
        </w:rPr>
        <w:t>Europa, este último enfoque ha sido denominado “pragmático”.875</w:t>
      </w:r>
    </w:p>
    <w:p w14:paraId="3EC7B3D8" w14:textId="77777777" w:rsidR="0014798C" w:rsidRDefault="004E1F0B">
      <w:pPr>
        <w:pStyle w:val="Textoindependiente"/>
        <w:spacing w:before="167" w:line="326" w:lineRule="auto"/>
        <w:ind w:left="1107" w:right="1335" w:hanging="1"/>
      </w:pPr>
      <w:r>
        <w:rPr>
          <w:w w:val="105"/>
        </w:rPr>
        <w:t>Otro</w:t>
      </w:r>
      <w:r>
        <w:rPr>
          <w:spacing w:val="-12"/>
          <w:w w:val="105"/>
        </w:rPr>
        <w:t xml:space="preserve"> </w:t>
      </w:r>
      <w:r>
        <w:rPr>
          <w:w w:val="105"/>
        </w:rPr>
        <w:t>principio</w:t>
      </w:r>
      <w:r>
        <w:rPr>
          <w:spacing w:val="-12"/>
          <w:w w:val="105"/>
        </w:rPr>
        <w:t xml:space="preserve"> </w:t>
      </w:r>
      <w:r>
        <w:rPr>
          <w:w w:val="105"/>
        </w:rPr>
        <w:t>básico</w:t>
      </w:r>
      <w:r>
        <w:rPr>
          <w:spacing w:val="-11"/>
          <w:w w:val="105"/>
        </w:rPr>
        <w:t xml:space="preserve"> </w:t>
      </w:r>
      <w:r>
        <w:rPr>
          <w:w w:val="105"/>
        </w:rPr>
        <w:t>se</w:t>
      </w:r>
      <w:r>
        <w:rPr>
          <w:spacing w:val="-12"/>
          <w:w w:val="105"/>
        </w:rPr>
        <w:t xml:space="preserve"> </w:t>
      </w:r>
      <w:r>
        <w:rPr>
          <w:w w:val="105"/>
        </w:rPr>
        <w:t>establece</w:t>
      </w:r>
      <w:r>
        <w:rPr>
          <w:spacing w:val="-12"/>
          <w:w w:val="105"/>
        </w:rPr>
        <w:t xml:space="preserve"> </w:t>
      </w:r>
      <w:r>
        <w:rPr>
          <w:w w:val="105"/>
        </w:rPr>
        <w:t>en</w:t>
      </w:r>
      <w:r>
        <w:rPr>
          <w:spacing w:val="-12"/>
          <w:w w:val="105"/>
        </w:rPr>
        <w:t xml:space="preserve"> </w:t>
      </w:r>
      <w:r>
        <w:rPr>
          <w:w w:val="105"/>
        </w:rPr>
        <w:t>la</w:t>
      </w:r>
      <w:r>
        <w:rPr>
          <w:spacing w:val="-11"/>
          <w:w w:val="105"/>
        </w:rPr>
        <w:t xml:space="preserve"> </w:t>
      </w:r>
      <w:r>
        <w:rPr>
          <w:w w:val="105"/>
        </w:rPr>
        <w:t>“Nota</w:t>
      </w:r>
      <w:r>
        <w:rPr>
          <w:spacing w:val="-12"/>
          <w:w w:val="105"/>
        </w:rPr>
        <w:t xml:space="preserve"> </w:t>
      </w:r>
      <w:r>
        <w:rPr>
          <w:w w:val="105"/>
        </w:rPr>
        <w:t>de</w:t>
      </w:r>
      <w:r>
        <w:rPr>
          <w:spacing w:val="-12"/>
          <w:w w:val="105"/>
        </w:rPr>
        <w:t xml:space="preserve"> </w:t>
      </w:r>
      <w:r>
        <w:rPr>
          <w:w w:val="105"/>
        </w:rPr>
        <w:t>orientación</w:t>
      </w:r>
      <w:r>
        <w:rPr>
          <w:spacing w:val="-11"/>
          <w:w w:val="105"/>
        </w:rPr>
        <w:t xml:space="preserve"> </w:t>
      </w:r>
      <w:r>
        <w:rPr>
          <w:w w:val="105"/>
        </w:rPr>
        <w:t>del</w:t>
      </w:r>
      <w:r>
        <w:rPr>
          <w:spacing w:val="-12"/>
          <w:w w:val="105"/>
        </w:rPr>
        <w:t xml:space="preserve"> </w:t>
      </w:r>
      <w:r>
        <w:rPr>
          <w:w w:val="105"/>
        </w:rPr>
        <w:t>Secretario</w:t>
      </w:r>
      <w:r>
        <w:rPr>
          <w:spacing w:val="-12"/>
          <w:w w:val="105"/>
        </w:rPr>
        <w:t xml:space="preserve"> </w:t>
      </w:r>
      <w:r>
        <w:rPr>
          <w:w w:val="105"/>
        </w:rPr>
        <w:t>General</w:t>
      </w:r>
      <w:r>
        <w:rPr>
          <w:spacing w:val="-11"/>
          <w:w w:val="105"/>
        </w:rPr>
        <w:t xml:space="preserve"> </w:t>
      </w:r>
      <w:r>
        <w:rPr>
          <w:w w:val="105"/>
        </w:rPr>
        <w:t>sobre</w:t>
      </w:r>
      <w:r>
        <w:rPr>
          <w:spacing w:val="-12"/>
          <w:w w:val="105"/>
        </w:rPr>
        <w:t xml:space="preserve"> </w:t>
      </w:r>
      <w:r>
        <w:rPr>
          <w:w w:val="105"/>
        </w:rPr>
        <w:t>discriminación</w:t>
      </w:r>
      <w:r>
        <w:rPr>
          <w:spacing w:val="-12"/>
          <w:w w:val="105"/>
        </w:rPr>
        <w:t xml:space="preserve"> </w:t>
      </w:r>
      <w:r>
        <w:rPr>
          <w:w w:val="105"/>
        </w:rPr>
        <w:t>racial</w:t>
      </w:r>
      <w:r>
        <w:rPr>
          <w:spacing w:val="-11"/>
          <w:w w:val="105"/>
        </w:rPr>
        <w:t xml:space="preserve"> </w:t>
      </w:r>
      <w:r>
        <w:rPr>
          <w:w w:val="105"/>
        </w:rPr>
        <w:t>y</w:t>
      </w:r>
      <w:r>
        <w:rPr>
          <w:spacing w:val="-12"/>
          <w:w w:val="105"/>
        </w:rPr>
        <w:t xml:space="preserve"> </w:t>
      </w:r>
      <w:r>
        <w:rPr>
          <w:w w:val="105"/>
        </w:rPr>
        <w:t>protección</w:t>
      </w:r>
      <w:r>
        <w:rPr>
          <w:spacing w:val="-12"/>
          <w:w w:val="105"/>
        </w:rPr>
        <w:t xml:space="preserve"> </w:t>
      </w:r>
      <w:r>
        <w:rPr>
          <w:w w:val="105"/>
        </w:rPr>
        <w:t>de las</w:t>
      </w:r>
      <w:r>
        <w:rPr>
          <w:spacing w:val="-6"/>
          <w:w w:val="105"/>
        </w:rPr>
        <w:t xml:space="preserve"> </w:t>
      </w:r>
      <w:r>
        <w:rPr>
          <w:w w:val="105"/>
        </w:rPr>
        <w:t>minorías”,</w:t>
      </w:r>
      <w:r>
        <w:rPr>
          <w:spacing w:val="-5"/>
          <w:w w:val="105"/>
        </w:rPr>
        <w:t xml:space="preserve"> </w:t>
      </w:r>
      <w:r>
        <w:rPr>
          <w:w w:val="105"/>
        </w:rPr>
        <w:t>en</w:t>
      </w:r>
      <w:r>
        <w:rPr>
          <w:spacing w:val="-6"/>
          <w:w w:val="105"/>
        </w:rPr>
        <w:t xml:space="preserve"> </w:t>
      </w:r>
      <w:r>
        <w:rPr>
          <w:w w:val="105"/>
        </w:rPr>
        <w:t>la</w:t>
      </w:r>
      <w:r>
        <w:rPr>
          <w:spacing w:val="-6"/>
          <w:w w:val="105"/>
        </w:rPr>
        <w:t xml:space="preserve"> </w:t>
      </w:r>
      <w:r>
        <w:rPr>
          <w:w w:val="105"/>
        </w:rPr>
        <w:t>que</w:t>
      </w:r>
      <w:r>
        <w:rPr>
          <w:spacing w:val="-6"/>
          <w:w w:val="105"/>
        </w:rPr>
        <w:t xml:space="preserve"> </w:t>
      </w:r>
      <w:r>
        <w:rPr>
          <w:w w:val="105"/>
        </w:rPr>
        <w:t>el</w:t>
      </w:r>
      <w:r>
        <w:rPr>
          <w:spacing w:val="-6"/>
          <w:w w:val="105"/>
        </w:rPr>
        <w:t xml:space="preserve"> </w:t>
      </w:r>
      <w:r>
        <w:rPr>
          <w:w w:val="105"/>
        </w:rPr>
        <w:t>Secretario</w:t>
      </w:r>
      <w:r>
        <w:rPr>
          <w:spacing w:val="-6"/>
          <w:w w:val="105"/>
        </w:rPr>
        <w:t xml:space="preserve"> </w:t>
      </w:r>
      <w:r>
        <w:rPr>
          <w:w w:val="105"/>
        </w:rPr>
        <w:t>General</w:t>
      </w:r>
      <w:r>
        <w:rPr>
          <w:spacing w:val="-6"/>
          <w:w w:val="105"/>
        </w:rPr>
        <w:t xml:space="preserve"> </w:t>
      </w:r>
      <w:r>
        <w:rPr>
          <w:w w:val="105"/>
        </w:rPr>
        <w:t>reconoció</w:t>
      </w:r>
      <w:r>
        <w:rPr>
          <w:spacing w:val="-6"/>
          <w:w w:val="105"/>
        </w:rPr>
        <w:t xml:space="preserve"> </w:t>
      </w:r>
      <w:r>
        <w:rPr>
          <w:w w:val="105"/>
        </w:rPr>
        <w:t>que</w:t>
      </w:r>
      <w:r>
        <w:rPr>
          <w:spacing w:val="-6"/>
          <w:w w:val="105"/>
        </w:rPr>
        <w:t xml:space="preserve"> </w:t>
      </w:r>
      <w:r>
        <w:rPr>
          <w:w w:val="105"/>
        </w:rPr>
        <w:t>la</w:t>
      </w:r>
      <w:r>
        <w:rPr>
          <w:spacing w:val="-6"/>
          <w:w w:val="105"/>
        </w:rPr>
        <w:t xml:space="preserve"> </w:t>
      </w:r>
      <w:r>
        <w:rPr>
          <w:w w:val="105"/>
        </w:rPr>
        <w:t>atención</w:t>
      </w:r>
      <w:r>
        <w:rPr>
          <w:spacing w:val="-6"/>
          <w:w w:val="105"/>
        </w:rPr>
        <w:t xml:space="preserve"> </w:t>
      </w:r>
      <w:r>
        <w:rPr>
          <w:w w:val="105"/>
        </w:rPr>
        <w:t>debería</w:t>
      </w:r>
      <w:r>
        <w:rPr>
          <w:spacing w:val="-6"/>
          <w:w w:val="105"/>
        </w:rPr>
        <w:t xml:space="preserve"> </w:t>
      </w:r>
      <w:r>
        <w:rPr>
          <w:w w:val="105"/>
        </w:rPr>
        <w:t>centrarse</w:t>
      </w:r>
      <w:r>
        <w:rPr>
          <w:spacing w:val="-6"/>
          <w:w w:val="105"/>
        </w:rPr>
        <w:t xml:space="preserve"> </w:t>
      </w:r>
      <w:r>
        <w:rPr>
          <w:w w:val="105"/>
        </w:rPr>
        <w:t>en</w:t>
      </w:r>
      <w:r>
        <w:rPr>
          <w:spacing w:val="-6"/>
          <w:w w:val="105"/>
        </w:rPr>
        <w:t xml:space="preserve"> </w:t>
      </w:r>
      <w:r>
        <w:rPr>
          <w:w w:val="105"/>
        </w:rPr>
        <w:t>los</w:t>
      </w:r>
      <w:r>
        <w:rPr>
          <w:spacing w:val="-6"/>
          <w:w w:val="105"/>
        </w:rPr>
        <w:t xml:space="preserve"> </w:t>
      </w:r>
      <w:r>
        <w:rPr>
          <w:w w:val="105"/>
        </w:rPr>
        <w:t>más</w:t>
      </w:r>
      <w:r>
        <w:rPr>
          <w:spacing w:val="-6"/>
          <w:w w:val="105"/>
        </w:rPr>
        <w:t xml:space="preserve"> </w:t>
      </w:r>
      <w:r>
        <w:rPr>
          <w:w w:val="105"/>
        </w:rPr>
        <w:t>marginados:</w:t>
      </w:r>
      <w:r>
        <w:rPr>
          <w:spacing w:val="-5"/>
          <w:w w:val="105"/>
        </w:rPr>
        <w:t xml:space="preserve"> </w:t>
      </w:r>
      <w:r>
        <w:rPr>
          <w:color w:val="803108"/>
          <w:w w:val="105"/>
        </w:rPr>
        <w:t>si</w:t>
      </w:r>
      <w:r>
        <w:rPr>
          <w:color w:val="803108"/>
          <w:spacing w:val="-6"/>
          <w:w w:val="105"/>
        </w:rPr>
        <w:t xml:space="preserve"> </w:t>
      </w:r>
      <w:r>
        <w:rPr>
          <w:color w:val="803108"/>
          <w:w w:val="105"/>
        </w:rPr>
        <w:t>bien</w:t>
      </w:r>
      <w:r>
        <w:rPr>
          <w:color w:val="803108"/>
          <w:spacing w:val="-6"/>
          <w:w w:val="105"/>
        </w:rPr>
        <w:t xml:space="preserve"> </w:t>
      </w:r>
      <w:r>
        <w:rPr>
          <w:color w:val="803108"/>
          <w:w w:val="105"/>
        </w:rPr>
        <w:t>en la mayoría de</w:t>
      </w:r>
    </w:p>
    <w:p w14:paraId="0E4B308D" w14:textId="77777777" w:rsidR="0014798C" w:rsidRDefault="004E1F0B">
      <w:pPr>
        <w:pStyle w:val="Textoindependiente"/>
        <w:spacing w:before="111" w:line="326" w:lineRule="auto"/>
        <w:ind w:left="1672" w:right="1626" w:hanging="2"/>
      </w:pPr>
      <w:r>
        <w:rPr>
          <w:color w:val="803108"/>
          <w:w w:val="105"/>
        </w:rPr>
        <w:t>los</w:t>
      </w:r>
      <w:r>
        <w:rPr>
          <w:color w:val="803108"/>
          <w:spacing w:val="-12"/>
          <w:w w:val="105"/>
        </w:rPr>
        <w:t xml:space="preserve"> </w:t>
      </w:r>
      <w:r>
        <w:rPr>
          <w:color w:val="803108"/>
          <w:w w:val="105"/>
        </w:rPr>
        <w:t>casos</w:t>
      </w:r>
      <w:r>
        <w:rPr>
          <w:color w:val="803108"/>
          <w:spacing w:val="-12"/>
          <w:w w:val="105"/>
        </w:rPr>
        <w:t xml:space="preserve"> </w:t>
      </w:r>
      <w:r>
        <w:rPr>
          <w:color w:val="803108"/>
          <w:w w:val="105"/>
        </w:rPr>
        <w:t>las</w:t>
      </w:r>
      <w:r>
        <w:rPr>
          <w:color w:val="803108"/>
          <w:spacing w:val="-11"/>
          <w:w w:val="105"/>
        </w:rPr>
        <w:t xml:space="preserve"> </w:t>
      </w:r>
      <w:r>
        <w:rPr>
          <w:color w:val="803108"/>
          <w:w w:val="105"/>
        </w:rPr>
        <w:t>minorías</w:t>
      </w:r>
      <w:r>
        <w:rPr>
          <w:color w:val="803108"/>
          <w:spacing w:val="-12"/>
          <w:w w:val="105"/>
        </w:rPr>
        <w:t xml:space="preserve"> </w:t>
      </w:r>
      <w:r>
        <w:rPr>
          <w:color w:val="803108"/>
          <w:w w:val="105"/>
        </w:rPr>
        <w:t>están</w:t>
      </w:r>
      <w:r>
        <w:rPr>
          <w:color w:val="803108"/>
          <w:spacing w:val="-12"/>
          <w:w w:val="105"/>
        </w:rPr>
        <w:t xml:space="preserve"> </w:t>
      </w:r>
      <w:r>
        <w:rPr>
          <w:color w:val="803108"/>
          <w:w w:val="105"/>
        </w:rPr>
        <w:t>en</w:t>
      </w:r>
      <w:r>
        <w:rPr>
          <w:color w:val="803108"/>
          <w:spacing w:val="-12"/>
          <w:w w:val="105"/>
        </w:rPr>
        <w:t xml:space="preserve"> </w:t>
      </w:r>
      <w:r>
        <w:rPr>
          <w:color w:val="803108"/>
          <w:w w:val="105"/>
        </w:rPr>
        <w:t>una</w:t>
      </w:r>
      <w:r>
        <w:rPr>
          <w:color w:val="803108"/>
          <w:spacing w:val="-11"/>
          <w:w w:val="105"/>
        </w:rPr>
        <w:t xml:space="preserve"> </w:t>
      </w:r>
      <w:r>
        <w:rPr>
          <w:color w:val="803108"/>
          <w:w w:val="105"/>
        </w:rPr>
        <w:t>posición</w:t>
      </w:r>
      <w:r>
        <w:rPr>
          <w:color w:val="803108"/>
          <w:spacing w:val="-12"/>
          <w:w w:val="105"/>
        </w:rPr>
        <w:t xml:space="preserve"> </w:t>
      </w:r>
      <w:r>
        <w:rPr>
          <w:color w:val="803108"/>
          <w:w w:val="105"/>
        </w:rPr>
        <w:t>no</w:t>
      </w:r>
      <w:r>
        <w:rPr>
          <w:color w:val="803108"/>
          <w:spacing w:val="-12"/>
          <w:w w:val="105"/>
        </w:rPr>
        <w:t xml:space="preserve"> </w:t>
      </w:r>
      <w:r>
        <w:rPr>
          <w:color w:val="803108"/>
          <w:w w:val="105"/>
        </w:rPr>
        <w:t>dominante...</w:t>
      </w:r>
      <w:r>
        <w:rPr>
          <w:color w:val="803108"/>
          <w:spacing w:val="-11"/>
          <w:w w:val="105"/>
        </w:rPr>
        <w:t xml:space="preserve"> </w:t>
      </w:r>
      <w:r>
        <w:rPr>
          <w:color w:val="803108"/>
          <w:w w:val="105"/>
        </w:rPr>
        <w:t>existen</w:t>
      </w:r>
      <w:r>
        <w:rPr>
          <w:color w:val="803108"/>
          <w:spacing w:val="-12"/>
          <w:w w:val="105"/>
        </w:rPr>
        <w:t xml:space="preserve"> </w:t>
      </w:r>
      <w:r>
        <w:rPr>
          <w:color w:val="803108"/>
          <w:w w:val="105"/>
        </w:rPr>
        <w:t>grandes</w:t>
      </w:r>
      <w:r>
        <w:rPr>
          <w:color w:val="803108"/>
          <w:spacing w:val="-12"/>
          <w:w w:val="105"/>
        </w:rPr>
        <w:t xml:space="preserve"> </w:t>
      </w:r>
      <w:r>
        <w:rPr>
          <w:color w:val="803108"/>
          <w:w w:val="105"/>
        </w:rPr>
        <w:t>diferencias</w:t>
      </w:r>
      <w:r>
        <w:rPr>
          <w:color w:val="803108"/>
          <w:spacing w:val="-11"/>
          <w:w w:val="105"/>
        </w:rPr>
        <w:t xml:space="preserve"> </w:t>
      </w:r>
      <w:r>
        <w:rPr>
          <w:color w:val="803108"/>
          <w:w w:val="105"/>
        </w:rPr>
        <w:t>entre</w:t>
      </w:r>
      <w:r>
        <w:rPr>
          <w:color w:val="803108"/>
          <w:spacing w:val="-12"/>
          <w:w w:val="105"/>
        </w:rPr>
        <w:t xml:space="preserve"> </w:t>
      </w:r>
      <w:r>
        <w:rPr>
          <w:color w:val="803108"/>
          <w:w w:val="105"/>
        </w:rPr>
        <w:t>las</w:t>
      </w:r>
      <w:r>
        <w:rPr>
          <w:color w:val="803108"/>
          <w:spacing w:val="-12"/>
          <w:w w:val="105"/>
        </w:rPr>
        <w:t xml:space="preserve"> </w:t>
      </w:r>
      <w:r>
        <w:rPr>
          <w:color w:val="803108"/>
          <w:w w:val="105"/>
        </w:rPr>
        <w:t>experiencias</w:t>
      </w:r>
      <w:r>
        <w:rPr>
          <w:color w:val="803108"/>
          <w:spacing w:val="-11"/>
          <w:w w:val="105"/>
        </w:rPr>
        <w:t xml:space="preserve"> </w:t>
      </w:r>
      <w:r>
        <w:rPr>
          <w:color w:val="803108"/>
          <w:w w:val="105"/>
        </w:rPr>
        <w:t>y posiciones</w:t>
      </w:r>
      <w:r>
        <w:rPr>
          <w:color w:val="803108"/>
          <w:spacing w:val="-4"/>
          <w:w w:val="105"/>
        </w:rPr>
        <w:t xml:space="preserve"> </w:t>
      </w:r>
      <w:r>
        <w:rPr>
          <w:color w:val="803108"/>
          <w:w w:val="105"/>
        </w:rPr>
        <w:t>de</w:t>
      </w:r>
      <w:r>
        <w:rPr>
          <w:color w:val="803108"/>
          <w:spacing w:val="-4"/>
          <w:w w:val="105"/>
        </w:rPr>
        <w:t xml:space="preserve"> </w:t>
      </w:r>
      <w:r>
        <w:rPr>
          <w:color w:val="803108"/>
          <w:w w:val="105"/>
        </w:rPr>
        <w:t>las</w:t>
      </w:r>
      <w:r>
        <w:rPr>
          <w:color w:val="803108"/>
          <w:spacing w:val="-4"/>
          <w:w w:val="105"/>
        </w:rPr>
        <w:t xml:space="preserve"> </w:t>
      </w:r>
      <w:r>
        <w:rPr>
          <w:color w:val="803108"/>
          <w:w w:val="105"/>
        </w:rPr>
        <w:t>minorías.</w:t>
      </w:r>
      <w:r>
        <w:rPr>
          <w:color w:val="803108"/>
          <w:spacing w:val="-4"/>
          <w:w w:val="105"/>
        </w:rPr>
        <w:t xml:space="preserve"> </w:t>
      </w:r>
      <w:r>
        <w:rPr>
          <w:color w:val="803108"/>
          <w:w w:val="105"/>
        </w:rPr>
        <w:t>Mientras</w:t>
      </w:r>
      <w:r>
        <w:rPr>
          <w:color w:val="803108"/>
          <w:spacing w:val="-5"/>
          <w:w w:val="105"/>
        </w:rPr>
        <w:t xml:space="preserve"> </w:t>
      </w:r>
      <w:r>
        <w:rPr>
          <w:color w:val="803108"/>
          <w:w w:val="105"/>
        </w:rPr>
        <w:t>que</w:t>
      </w:r>
      <w:r>
        <w:rPr>
          <w:color w:val="803108"/>
          <w:spacing w:val="-4"/>
          <w:w w:val="105"/>
        </w:rPr>
        <w:t xml:space="preserve"> </w:t>
      </w:r>
      <w:r>
        <w:rPr>
          <w:color w:val="803108"/>
          <w:w w:val="105"/>
        </w:rPr>
        <w:t>algunas</w:t>
      </w:r>
      <w:r>
        <w:rPr>
          <w:color w:val="803108"/>
          <w:spacing w:val="-4"/>
          <w:w w:val="105"/>
        </w:rPr>
        <w:t xml:space="preserve"> </w:t>
      </w:r>
      <w:r>
        <w:rPr>
          <w:color w:val="803108"/>
          <w:w w:val="105"/>
        </w:rPr>
        <w:t>minorías</w:t>
      </w:r>
      <w:r>
        <w:rPr>
          <w:color w:val="803108"/>
          <w:spacing w:val="-5"/>
          <w:w w:val="105"/>
        </w:rPr>
        <w:t xml:space="preserve"> </w:t>
      </w:r>
      <w:r>
        <w:rPr>
          <w:color w:val="803108"/>
          <w:w w:val="105"/>
        </w:rPr>
        <w:t>son</w:t>
      </w:r>
      <w:r>
        <w:rPr>
          <w:color w:val="803108"/>
          <w:spacing w:val="-4"/>
          <w:w w:val="105"/>
        </w:rPr>
        <w:t xml:space="preserve"> </w:t>
      </w:r>
      <w:r>
        <w:rPr>
          <w:color w:val="803108"/>
          <w:w w:val="105"/>
        </w:rPr>
        <w:t>sistemáticamente</w:t>
      </w:r>
      <w:r>
        <w:rPr>
          <w:color w:val="803108"/>
          <w:spacing w:val="-5"/>
          <w:w w:val="105"/>
        </w:rPr>
        <w:t xml:space="preserve"> </w:t>
      </w:r>
      <w:r>
        <w:rPr>
          <w:color w:val="803108"/>
          <w:w w:val="105"/>
        </w:rPr>
        <w:t>marginadas</w:t>
      </w:r>
      <w:r>
        <w:rPr>
          <w:color w:val="803108"/>
          <w:spacing w:val="-4"/>
          <w:w w:val="105"/>
        </w:rPr>
        <w:t xml:space="preserve"> </w:t>
      </w:r>
      <w:r>
        <w:rPr>
          <w:color w:val="803108"/>
          <w:w w:val="105"/>
        </w:rPr>
        <w:t>y</w:t>
      </w:r>
      <w:r>
        <w:rPr>
          <w:color w:val="803108"/>
          <w:spacing w:val="-4"/>
          <w:w w:val="105"/>
        </w:rPr>
        <w:t xml:space="preserve"> </w:t>
      </w:r>
      <w:r>
        <w:rPr>
          <w:color w:val="803108"/>
          <w:w w:val="105"/>
        </w:rPr>
        <w:t>excluidas</w:t>
      </w:r>
      <w:r>
        <w:rPr>
          <w:color w:val="803108"/>
          <w:spacing w:val="-4"/>
          <w:w w:val="105"/>
        </w:rPr>
        <w:t xml:space="preserve"> </w:t>
      </w:r>
      <w:r>
        <w:rPr>
          <w:color w:val="803108"/>
          <w:w w:val="105"/>
        </w:rPr>
        <w:t>de</w:t>
      </w:r>
      <w:r>
        <w:rPr>
          <w:color w:val="803108"/>
          <w:spacing w:val="-4"/>
          <w:w w:val="105"/>
        </w:rPr>
        <w:t xml:space="preserve"> </w:t>
      </w:r>
      <w:r>
        <w:rPr>
          <w:color w:val="803108"/>
          <w:w w:val="105"/>
        </w:rPr>
        <w:t>la toma</w:t>
      </w:r>
      <w:r>
        <w:rPr>
          <w:color w:val="803108"/>
          <w:spacing w:val="-4"/>
          <w:w w:val="105"/>
        </w:rPr>
        <w:t xml:space="preserve"> </w:t>
      </w:r>
      <w:r>
        <w:rPr>
          <w:color w:val="803108"/>
          <w:w w:val="105"/>
        </w:rPr>
        <w:t>de</w:t>
      </w:r>
      <w:r>
        <w:rPr>
          <w:color w:val="803108"/>
          <w:spacing w:val="-4"/>
          <w:w w:val="105"/>
        </w:rPr>
        <w:t xml:space="preserve"> </w:t>
      </w:r>
      <w:r>
        <w:rPr>
          <w:color w:val="803108"/>
          <w:w w:val="105"/>
        </w:rPr>
        <w:t>decisiones</w:t>
      </w:r>
      <w:r>
        <w:rPr>
          <w:color w:val="803108"/>
          <w:spacing w:val="-4"/>
          <w:w w:val="105"/>
        </w:rPr>
        <w:t xml:space="preserve"> </w:t>
      </w:r>
      <w:r>
        <w:rPr>
          <w:color w:val="803108"/>
          <w:w w:val="105"/>
        </w:rPr>
        <w:t>y</w:t>
      </w:r>
      <w:r>
        <w:rPr>
          <w:color w:val="803108"/>
          <w:spacing w:val="-4"/>
          <w:w w:val="105"/>
        </w:rPr>
        <w:t xml:space="preserve"> </w:t>
      </w:r>
      <w:r>
        <w:rPr>
          <w:color w:val="803108"/>
          <w:w w:val="105"/>
        </w:rPr>
        <w:t>reciben</w:t>
      </w:r>
      <w:r>
        <w:rPr>
          <w:color w:val="803108"/>
          <w:spacing w:val="-4"/>
          <w:w w:val="105"/>
        </w:rPr>
        <w:t xml:space="preserve"> </w:t>
      </w:r>
      <w:r>
        <w:rPr>
          <w:color w:val="803108"/>
          <w:w w:val="105"/>
        </w:rPr>
        <w:t>poco</w:t>
      </w:r>
      <w:r>
        <w:rPr>
          <w:color w:val="803108"/>
          <w:spacing w:val="-4"/>
          <w:w w:val="105"/>
        </w:rPr>
        <w:t xml:space="preserve"> </w:t>
      </w:r>
      <w:r>
        <w:rPr>
          <w:color w:val="803108"/>
          <w:w w:val="105"/>
        </w:rPr>
        <w:t>o</w:t>
      </w:r>
      <w:r>
        <w:rPr>
          <w:color w:val="803108"/>
          <w:spacing w:val="-4"/>
          <w:w w:val="105"/>
        </w:rPr>
        <w:t xml:space="preserve"> </w:t>
      </w:r>
      <w:r>
        <w:rPr>
          <w:color w:val="803108"/>
          <w:w w:val="105"/>
        </w:rPr>
        <w:t>ningún</w:t>
      </w:r>
      <w:r>
        <w:rPr>
          <w:color w:val="803108"/>
          <w:spacing w:val="-4"/>
          <w:w w:val="105"/>
        </w:rPr>
        <w:t xml:space="preserve"> </w:t>
      </w:r>
      <w:r>
        <w:rPr>
          <w:color w:val="803108"/>
          <w:w w:val="105"/>
        </w:rPr>
        <w:t>apoyo</w:t>
      </w:r>
      <w:r>
        <w:rPr>
          <w:color w:val="803108"/>
          <w:spacing w:val="-4"/>
          <w:w w:val="105"/>
        </w:rPr>
        <w:t xml:space="preserve"> </w:t>
      </w:r>
      <w:r>
        <w:rPr>
          <w:color w:val="803108"/>
          <w:w w:val="105"/>
        </w:rPr>
        <w:t>para</w:t>
      </w:r>
      <w:r>
        <w:rPr>
          <w:color w:val="803108"/>
          <w:spacing w:val="-4"/>
          <w:w w:val="105"/>
        </w:rPr>
        <w:t xml:space="preserve"> </w:t>
      </w:r>
      <w:r>
        <w:rPr>
          <w:color w:val="803108"/>
          <w:w w:val="105"/>
        </w:rPr>
        <w:t>mejorar</w:t>
      </w:r>
      <w:r>
        <w:rPr>
          <w:color w:val="803108"/>
          <w:spacing w:val="-4"/>
          <w:w w:val="105"/>
        </w:rPr>
        <w:t xml:space="preserve"> </w:t>
      </w:r>
      <w:r>
        <w:rPr>
          <w:color w:val="803108"/>
          <w:w w:val="105"/>
        </w:rPr>
        <w:t>su</w:t>
      </w:r>
      <w:r>
        <w:rPr>
          <w:color w:val="803108"/>
          <w:spacing w:val="-4"/>
          <w:w w:val="105"/>
        </w:rPr>
        <w:t xml:space="preserve"> </w:t>
      </w:r>
      <w:r>
        <w:rPr>
          <w:color w:val="803108"/>
          <w:w w:val="105"/>
        </w:rPr>
        <w:t>situación,</w:t>
      </w:r>
      <w:r>
        <w:rPr>
          <w:color w:val="803108"/>
          <w:spacing w:val="-3"/>
          <w:w w:val="105"/>
        </w:rPr>
        <w:t xml:space="preserve"> </w:t>
      </w:r>
      <w:r>
        <w:rPr>
          <w:color w:val="803108"/>
          <w:w w:val="105"/>
        </w:rPr>
        <w:t>otras</w:t>
      </w:r>
      <w:r>
        <w:rPr>
          <w:color w:val="803108"/>
          <w:spacing w:val="-4"/>
          <w:w w:val="105"/>
        </w:rPr>
        <w:t xml:space="preserve"> </w:t>
      </w:r>
      <w:r>
        <w:rPr>
          <w:color w:val="803108"/>
          <w:w w:val="105"/>
        </w:rPr>
        <w:t>desempeñan</w:t>
      </w:r>
      <w:r>
        <w:rPr>
          <w:color w:val="803108"/>
          <w:spacing w:val="-4"/>
          <w:w w:val="105"/>
        </w:rPr>
        <w:t xml:space="preserve"> </w:t>
      </w:r>
      <w:r>
        <w:rPr>
          <w:color w:val="803108"/>
          <w:w w:val="105"/>
        </w:rPr>
        <w:t>un</w:t>
      </w:r>
      <w:r>
        <w:rPr>
          <w:color w:val="803108"/>
          <w:spacing w:val="-4"/>
          <w:w w:val="105"/>
        </w:rPr>
        <w:t xml:space="preserve"> </w:t>
      </w:r>
      <w:r>
        <w:rPr>
          <w:color w:val="803108"/>
          <w:w w:val="105"/>
        </w:rPr>
        <w:t>papel importante</w:t>
      </w:r>
      <w:r>
        <w:rPr>
          <w:color w:val="803108"/>
          <w:spacing w:val="-7"/>
          <w:w w:val="105"/>
        </w:rPr>
        <w:t xml:space="preserve"> </w:t>
      </w:r>
      <w:r>
        <w:rPr>
          <w:color w:val="803108"/>
          <w:w w:val="105"/>
        </w:rPr>
        <w:t>en</w:t>
      </w:r>
      <w:r>
        <w:rPr>
          <w:color w:val="803108"/>
          <w:spacing w:val="-7"/>
          <w:w w:val="105"/>
        </w:rPr>
        <w:t xml:space="preserve"> </w:t>
      </w:r>
      <w:r>
        <w:rPr>
          <w:color w:val="803108"/>
          <w:w w:val="105"/>
        </w:rPr>
        <w:t>[la]</w:t>
      </w:r>
      <w:r>
        <w:rPr>
          <w:color w:val="803108"/>
          <w:spacing w:val="-7"/>
          <w:w w:val="105"/>
        </w:rPr>
        <w:t xml:space="preserve"> </w:t>
      </w:r>
      <w:r>
        <w:rPr>
          <w:color w:val="803108"/>
          <w:w w:val="105"/>
        </w:rPr>
        <w:t>economía,</w:t>
      </w:r>
      <w:r>
        <w:rPr>
          <w:color w:val="803108"/>
          <w:spacing w:val="-7"/>
          <w:w w:val="105"/>
        </w:rPr>
        <w:t xml:space="preserve"> </w:t>
      </w:r>
      <w:r>
        <w:rPr>
          <w:color w:val="803108"/>
          <w:w w:val="105"/>
        </w:rPr>
        <w:t>las</w:t>
      </w:r>
      <w:r>
        <w:rPr>
          <w:color w:val="803108"/>
          <w:spacing w:val="-7"/>
          <w:w w:val="105"/>
        </w:rPr>
        <w:t xml:space="preserve"> </w:t>
      </w:r>
      <w:r>
        <w:rPr>
          <w:color w:val="803108"/>
          <w:w w:val="105"/>
        </w:rPr>
        <w:t>estructuras</w:t>
      </w:r>
      <w:r>
        <w:rPr>
          <w:color w:val="803108"/>
          <w:spacing w:val="-8"/>
          <w:w w:val="105"/>
        </w:rPr>
        <w:t xml:space="preserve"> </w:t>
      </w:r>
      <w:r>
        <w:rPr>
          <w:color w:val="803108"/>
          <w:w w:val="105"/>
        </w:rPr>
        <w:t>[del</w:t>
      </w:r>
      <w:r>
        <w:rPr>
          <w:color w:val="803108"/>
          <w:spacing w:val="-7"/>
          <w:w w:val="105"/>
        </w:rPr>
        <w:t xml:space="preserve"> </w:t>
      </w:r>
      <w:r>
        <w:rPr>
          <w:color w:val="803108"/>
          <w:w w:val="105"/>
        </w:rPr>
        <w:t>Estado]</w:t>
      </w:r>
      <w:r>
        <w:rPr>
          <w:color w:val="803108"/>
          <w:spacing w:val="-7"/>
          <w:w w:val="105"/>
        </w:rPr>
        <w:t xml:space="preserve"> </w:t>
      </w:r>
      <w:r>
        <w:rPr>
          <w:color w:val="803108"/>
          <w:w w:val="105"/>
        </w:rPr>
        <w:t>y</w:t>
      </w:r>
      <w:r>
        <w:rPr>
          <w:color w:val="803108"/>
          <w:spacing w:val="-7"/>
          <w:w w:val="105"/>
        </w:rPr>
        <w:t xml:space="preserve"> </w:t>
      </w:r>
      <w:r>
        <w:rPr>
          <w:color w:val="803108"/>
          <w:w w:val="105"/>
        </w:rPr>
        <w:t>otros</w:t>
      </w:r>
      <w:r>
        <w:rPr>
          <w:color w:val="803108"/>
          <w:spacing w:val="-7"/>
          <w:w w:val="105"/>
        </w:rPr>
        <w:t xml:space="preserve"> </w:t>
      </w:r>
      <w:r>
        <w:rPr>
          <w:color w:val="803108"/>
          <w:w w:val="105"/>
        </w:rPr>
        <w:t>contextos.</w:t>
      </w:r>
      <w:r>
        <w:rPr>
          <w:color w:val="803108"/>
          <w:spacing w:val="-7"/>
          <w:w w:val="105"/>
        </w:rPr>
        <w:t xml:space="preserve"> </w:t>
      </w:r>
      <w:r>
        <w:rPr>
          <w:color w:val="803108"/>
          <w:w w:val="105"/>
        </w:rPr>
        <w:t>Esta</w:t>
      </w:r>
      <w:r>
        <w:rPr>
          <w:color w:val="803108"/>
          <w:spacing w:val="-8"/>
          <w:w w:val="105"/>
        </w:rPr>
        <w:t xml:space="preserve"> </w:t>
      </w:r>
      <w:r>
        <w:rPr>
          <w:color w:val="803108"/>
          <w:w w:val="105"/>
        </w:rPr>
        <w:t>diversidad</w:t>
      </w:r>
      <w:r>
        <w:rPr>
          <w:color w:val="803108"/>
          <w:spacing w:val="-7"/>
          <w:w w:val="105"/>
        </w:rPr>
        <w:t xml:space="preserve"> </w:t>
      </w:r>
      <w:r>
        <w:rPr>
          <w:color w:val="803108"/>
          <w:w w:val="105"/>
        </w:rPr>
        <w:t>también</w:t>
      </w:r>
      <w:r>
        <w:rPr>
          <w:color w:val="803108"/>
          <w:spacing w:val="-7"/>
          <w:w w:val="105"/>
        </w:rPr>
        <w:t xml:space="preserve"> </w:t>
      </w:r>
      <w:r>
        <w:rPr>
          <w:color w:val="803108"/>
          <w:w w:val="105"/>
        </w:rPr>
        <w:t>puede</w:t>
      </w:r>
      <w:r>
        <w:rPr>
          <w:color w:val="803108"/>
          <w:spacing w:val="-7"/>
          <w:w w:val="105"/>
        </w:rPr>
        <w:t xml:space="preserve"> </w:t>
      </w:r>
      <w:r>
        <w:rPr>
          <w:color w:val="803108"/>
          <w:w w:val="105"/>
        </w:rPr>
        <w:t>estar</w:t>
      </w:r>
    </w:p>
    <w:p w14:paraId="759244D8" w14:textId="77777777" w:rsidR="0014798C" w:rsidRDefault="004E1F0B">
      <w:pPr>
        <w:pStyle w:val="Textoindependiente"/>
        <w:tabs>
          <w:tab w:val="left" w:pos="4315"/>
        </w:tabs>
        <w:spacing w:line="183" w:lineRule="exact"/>
        <w:ind w:left="56"/>
        <w:jc w:val="center"/>
      </w:pPr>
      <w:r>
        <w:rPr>
          <w:color w:val="803108"/>
        </w:rPr>
        <w:t>presente</w:t>
      </w:r>
      <w:r>
        <w:rPr>
          <w:color w:val="803108"/>
          <w:spacing w:val="13"/>
        </w:rPr>
        <w:t xml:space="preserve"> </w:t>
      </w:r>
      <w:r>
        <w:rPr>
          <w:color w:val="803108"/>
        </w:rPr>
        <w:t>dentro</w:t>
      </w:r>
      <w:r>
        <w:rPr>
          <w:color w:val="803108"/>
          <w:spacing w:val="13"/>
        </w:rPr>
        <w:t xml:space="preserve"> </w:t>
      </w:r>
      <w:r>
        <w:rPr>
          <w:color w:val="803108"/>
        </w:rPr>
        <w:t>de</w:t>
      </w:r>
      <w:r>
        <w:rPr>
          <w:color w:val="803108"/>
          <w:spacing w:val="13"/>
        </w:rPr>
        <w:t xml:space="preserve"> </w:t>
      </w:r>
      <w:r>
        <w:rPr>
          <w:color w:val="803108"/>
        </w:rPr>
        <w:t>las</w:t>
      </w:r>
      <w:r>
        <w:rPr>
          <w:color w:val="803108"/>
          <w:spacing w:val="13"/>
        </w:rPr>
        <w:t xml:space="preserve"> </w:t>
      </w:r>
      <w:r>
        <w:rPr>
          <w:color w:val="803108"/>
        </w:rPr>
        <w:t>comunidades</w:t>
      </w:r>
      <w:r>
        <w:rPr>
          <w:color w:val="803108"/>
          <w:spacing w:val="13"/>
        </w:rPr>
        <w:t xml:space="preserve"> </w:t>
      </w:r>
      <w:r>
        <w:rPr>
          <w:color w:val="803108"/>
        </w:rPr>
        <w:t>minoritarias.</w:t>
      </w:r>
      <w:r>
        <w:rPr>
          <w:color w:val="803108"/>
          <w:spacing w:val="15"/>
        </w:rPr>
        <w:t xml:space="preserve"> </w:t>
      </w:r>
      <w:r>
        <w:rPr>
          <w:color w:val="803108"/>
          <w:spacing w:val="-10"/>
        </w:rPr>
        <w:t>…</w:t>
      </w:r>
      <w:r>
        <w:rPr>
          <w:color w:val="803108"/>
        </w:rPr>
        <w:tab/>
        <w:t>Al</w:t>
      </w:r>
      <w:r>
        <w:rPr>
          <w:color w:val="803108"/>
          <w:spacing w:val="10"/>
        </w:rPr>
        <w:t xml:space="preserve"> </w:t>
      </w:r>
      <w:r>
        <w:rPr>
          <w:color w:val="803108"/>
        </w:rPr>
        <w:t>considerar</w:t>
      </w:r>
      <w:r>
        <w:rPr>
          <w:color w:val="803108"/>
          <w:spacing w:val="10"/>
        </w:rPr>
        <w:t xml:space="preserve"> </w:t>
      </w:r>
      <w:r>
        <w:rPr>
          <w:color w:val="803108"/>
        </w:rPr>
        <w:t>tales</w:t>
      </w:r>
      <w:r>
        <w:rPr>
          <w:color w:val="803108"/>
          <w:spacing w:val="10"/>
        </w:rPr>
        <w:t xml:space="preserve"> </w:t>
      </w:r>
      <w:r>
        <w:rPr>
          <w:color w:val="803108"/>
        </w:rPr>
        <w:t>diferencias,</w:t>
      </w:r>
      <w:r>
        <w:rPr>
          <w:color w:val="803108"/>
          <w:spacing w:val="11"/>
        </w:rPr>
        <w:t xml:space="preserve"> </w:t>
      </w:r>
      <w:r>
        <w:rPr>
          <w:color w:val="803108"/>
        </w:rPr>
        <w:t>que</w:t>
      </w:r>
      <w:r>
        <w:rPr>
          <w:color w:val="803108"/>
          <w:spacing w:val="10"/>
        </w:rPr>
        <w:t xml:space="preserve"> </w:t>
      </w:r>
      <w:r>
        <w:rPr>
          <w:color w:val="803108"/>
        </w:rPr>
        <w:t>varían</w:t>
      </w:r>
      <w:r>
        <w:rPr>
          <w:color w:val="803108"/>
          <w:spacing w:val="10"/>
        </w:rPr>
        <w:t xml:space="preserve"> </w:t>
      </w:r>
      <w:r>
        <w:rPr>
          <w:color w:val="803108"/>
        </w:rPr>
        <w:t>con</w:t>
      </w:r>
      <w:r>
        <w:rPr>
          <w:color w:val="803108"/>
          <w:spacing w:val="10"/>
        </w:rPr>
        <w:t xml:space="preserve"> </w:t>
      </w:r>
      <w:r>
        <w:rPr>
          <w:color w:val="803108"/>
        </w:rPr>
        <w:t>el</w:t>
      </w:r>
      <w:r>
        <w:rPr>
          <w:color w:val="803108"/>
          <w:spacing w:val="10"/>
        </w:rPr>
        <w:t xml:space="preserve"> </w:t>
      </w:r>
      <w:r>
        <w:rPr>
          <w:color w:val="803108"/>
          <w:spacing w:val="-2"/>
        </w:rPr>
        <w:t>tiempo,</w:t>
      </w:r>
    </w:p>
    <w:p w14:paraId="07681872" w14:textId="77777777" w:rsidR="0014798C" w:rsidRDefault="004E1F0B">
      <w:pPr>
        <w:pStyle w:val="Textoindependiente"/>
        <w:spacing w:before="65" w:line="326" w:lineRule="auto"/>
        <w:ind w:left="1677" w:right="2182" w:hanging="4"/>
      </w:pPr>
      <w:r>
        <w:rPr>
          <w:color w:val="803108"/>
          <w:w w:val="105"/>
        </w:rPr>
        <w:t>el</w:t>
      </w:r>
      <w:r>
        <w:rPr>
          <w:color w:val="803108"/>
          <w:spacing w:val="-12"/>
          <w:w w:val="105"/>
        </w:rPr>
        <w:t xml:space="preserve"> </w:t>
      </w:r>
      <w:r>
        <w:rPr>
          <w:color w:val="803108"/>
          <w:w w:val="105"/>
        </w:rPr>
        <w:t>sistema</w:t>
      </w:r>
      <w:r>
        <w:rPr>
          <w:color w:val="803108"/>
          <w:spacing w:val="-12"/>
          <w:w w:val="105"/>
        </w:rPr>
        <w:t xml:space="preserve"> </w:t>
      </w:r>
      <w:r>
        <w:rPr>
          <w:color w:val="803108"/>
          <w:w w:val="105"/>
        </w:rPr>
        <w:t>de</w:t>
      </w:r>
      <w:r>
        <w:rPr>
          <w:color w:val="803108"/>
          <w:spacing w:val="-11"/>
          <w:w w:val="105"/>
        </w:rPr>
        <w:t xml:space="preserve"> </w:t>
      </w:r>
      <w:r>
        <w:rPr>
          <w:color w:val="803108"/>
          <w:w w:val="105"/>
        </w:rPr>
        <w:t>las</w:t>
      </w:r>
      <w:r>
        <w:rPr>
          <w:color w:val="803108"/>
          <w:spacing w:val="-12"/>
          <w:w w:val="105"/>
        </w:rPr>
        <w:t xml:space="preserve"> </w:t>
      </w:r>
      <w:r>
        <w:rPr>
          <w:color w:val="803108"/>
          <w:w w:val="105"/>
        </w:rPr>
        <w:t>Naciones</w:t>
      </w:r>
      <w:r>
        <w:rPr>
          <w:color w:val="803108"/>
          <w:spacing w:val="-12"/>
          <w:w w:val="105"/>
        </w:rPr>
        <w:t xml:space="preserve"> </w:t>
      </w:r>
      <w:r>
        <w:rPr>
          <w:color w:val="803108"/>
          <w:w w:val="105"/>
        </w:rPr>
        <w:t>Unidas</w:t>
      </w:r>
      <w:r>
        <w:rPr>
          <w:color w:val="803108"/>
          <w:spacing w:val="-12"/>
          <w:w w:val="105"/>
        </w:rPr>
        <w:t xml:space="preserve"> </w:t>
      </w:r>
      <w:r>
        <w:rPr>
          <w:color w:val="803108"/>
          <w:w w:val="105"/>
        </w:rPr>
        <w:t>debería</w:t>
      </w:r>
      <w:r>
        <w:rPr>
          <w:color w:val="803108"/>
          <w:spacing w:val="-11"/>
          <w:w w:val="105"/>
        </w:rPr>
        <w:t xml:space="preserve"> </w:t>
      </w:r>
      <w:r>
        <w:rPr>
          <w:color w:val="803108"/>
          <w:w w:val="105"/>
        </w:rPr>
        <w:t>prestar</w:t>
      </w:r>
      <w:r>
        <w:rPr>
          <w:color w:val="803108"/>
          <w:spacing w:val="-12"/>
          <w:w w:val="105"/>
        </w:rPr>
        <w:t xml:space="preserve"> </w:t>
      </w:r>
      <w:r>
        <w:rPr>
          <w:color w:val="803108"/>
          <w:w w:val="105"/>
        </w:rPr>
        <w:t>especial</w:t>
      </w:r>
      <w:r>
        <w:rPr>
          <w:color w:val="803108"/>
          <w:spacing w:val="-12"/>
          <w:w w:val="105"/>
        </w:rPr>
        <w:t xml:space="preserve"> </w:t>
      </w:r>
      <w:r>
        <w:rPr>
          <w:color w:val="803108"/>
          <w:w w:val="105"/>
        </w:rPr>
        <w:t>atención</w:t>
      </w:r>
      <w:r>
        <w:rPr>
          <w:color w:val="803108"/>
          <w:spacing w:val="-11"/>
          <w:w w:val="105"/>
        </w:rPr>
        <w:t xml:space="preserve"> </w:t>
      </w:r>
      <w:r>
        <w:rPr>
          <w:color w:val="803108"/>
          <w:w w:val="105"/>
        </w:rPr>
        <w:t>a</w:t>
      </w:r>
      <w:r>
        <w:rPr>
          <w:color w:val="803108"/>
          <w:spacing w:val="-12"/>
          <w:w w:val="105"/>
        </w:rPr>
        <w:t xml:space="preserve"> </w:t>
      </w:r>
      <w:r>
        <w:rPr>
          <w:color w:val="803108"/>
          <w:w w:val="105"/>
        </w:rPr>
        <w:t>quienes</w:t>
      </w:r>
      <w:r>
        <w:rPr>
          <w:color w:val="803108"/>
          <w:spacing w:val="-12"/>
          <w:w w:val="105"/>
        </w:rPr>
        <w:t xml:space="preserve"> </w:t>
      </w:r>
      <w:r>
        <w:rPr>
          <w:color w:val="803108"/>
          <w:w w:val="105"/>
        </w:rPr>
        <w:t>son</w:t>
      </w:r>
      <w:r>
        <w:rPr>
          <w:color w:val="803108"/>
          <w:spacing w:val="-11"/>
          <w:w w:val="105"/>
        </w:rPr>
        <w:t xml:space="preserve"> </w:t>
      </w:r>
      <w:r>
        <w:rPr>
          <w:color w:val="803108"/>
          <w:w w:val="105"/>
        </w:rPr>
        <w:t>económica,</w:t>
      </w:r>
      <w:r>
        <w:rPr>
          <w:color w:val="803108"/>
          <w:spacing w:val="-12"/>
          <w:w w:val="105"/>
        </w:rPr>
        <w:t xml:space="preserve"> </w:t>
      </w:r>
      <w:r>
        <w:rPr>
          <w:color w:val="803108"/>
          <w:w w:val="105"/>
        </w:rPr>
        <w:t>política</w:t>
      </w:r>
      <w:r>
        <w:rPr>
          <w:color w:val="803108"/>
          <w:spacing w:val="-12"/>
          <w:w w:val="105"/>
        </w:rPr>
        <w:t xml:space="preserve"> </w:t>
      </w:r>
      <w:r>
        <w:rPr>
          <w:color w:val="803108"/>
          <w:w w:val="105"/>
        </w:rPr>
        <w:t>y/o o</w:t>
      </w:r>
      <w:r>
        <w:rPr>
          <w:color w:val="803108"/>
          <w:spacing w:val="-2"/>
          <w:w w:val="105"/>
        </w:rPr>
        <w:t xml:space="preserve"> </w:t>
      </w:r>
      <w:r>
        <w:rPr>
          <w:color w:val="803108"/>
          <w:w w:val="105"/>
        </w:rPr>
        <w:t>socialmente</w:t>
      </w:r>
      <w:r>
        <w:rPr>
          <w:color w:val="803108"/>
          <w:spacing w:val="-2"/>
          <w:w w:val="105"/>
        </w:rPr>
        <w:t xml:space="preserve"> </w:t>
      </w:r>
      <w:r>
        <w:rPr>
          <w:color w:val="803108"/>
          <w:w w:val="105"/>
        </w:rPr>
        <w:t>más</w:t>
      </w:r>
      <w:r>
        <w:rPr>
          <w:color w:val="803108"/>
          <w:spacing w:val="-2"/>
          <w:w w:val="105"/>
        </w:rPr>
        <w:t xml:space="preserve"> </w:t>
      </w:r>
      <w:r>
        <w:rPr>
          <w:color w:val="803108"/>
          <w:w w:val="105"/>
        </w:rPr>
        <w:t>marginados</w:t>
      </w:r>
      <w:r>
        <w:rPr>
          <w:color w:val="803108"/>
          <w:spacing w:val="-2"/>
          <w:w w:val="105"/>
        </w:rPr>
        <w:t xml:space="preserve"> </w:t>
      </w:r>
      <w:r>
        <w:rPr>
          <w:color w:val="803108"/>
          <w:w w:val="105"/>
        </w:rPr>
        <w:t>y</w:t>
      </w:r>
      <w:r>
        <w:rPr>
          <w:color w:val="803108"/>
          <w:spacing w:val="-2"/>
          <w:w w:val="105"/>
        </w:rPr>
        <w:t xml:space="preserve"> </w:t>
      </w:r>
      <w:r>
        <w:rPr>
          <w:color w:val="803108"/>
          <w:w w:val="105"/>
        </w:rPr>
        <w:t>cuyos</w:t>
      </w:r>
      <w:r>
        <w:rPr>
          <w:color w:val="803108"/>
          <w:spacing w:val="-2"/>
          <w:w w:val="105"/>
        </w:rPr>
        <w:t xml:space="preserve"> </w:t>
      </w:r>
      <w:r>
        <w:rPr>
          <w:color w:val="803108"/>
          <w:w w:val="105"/>
        </w:rPr>
        <w:t>derechos</w:t>
      </w:r>
      <w:r>
        <w:rPr>
          <w:color w:val="803108"/>
          <w:spacing w:val="-2"/>
          <w:w w:val="105"/>
        </w:rPr>
        <w:t xml:space="preserve"> </w:t>
      </w:r>
      <w:r>
        <w:rPr>
          <w:color w:val="803108"/>
          <w:w w:val="105"/>
        </w:rPr>
        <w:t>están</w:t>
      </w:r>
      <w:r>
        <w:rPr>
          <w:color w:val="803108"/>
          <w:spacing w:val="-2"/>
          <w:w w:val="105"/>
        </w:rPr>
        <w:t xml:space="preserve"> </w:t>
      </w:r>
      <w:r>
        <w:rPr>
          <w:color w:val="803108"/>
          <w:w w:val="105"/>
        </w:rPr>
        <w:t>particularmente</w:t>
      </w:r>
      <w:r>
        <w:rPr>
          <w:color w:val="803108"/>
          <w:spacing w:val="-2"/>
          <w:w w:val="105"/>
        </w:rPr>
        <w:t xml:space="preserve"> </w:t>
      </w:r>
      <w:r>
        <w:rPr>
          <w:color w:val="803108"/>
          <w:w w:val="105"/>
        </w:rPr>
        <w:t>en</w:t>
      </w:r>
      <w:r>
        <w:rPr>
          <w:color w:val="803108"/>
          <w:spacing w:val="-2"/>
          <w:w w:val="105"/>
        </w:rPr>
        <w:t xml:space="preserve"> </w:t>
      </w:r>
      <w:r>
        <w:rPr>
          <w:color w:val="803108"/>
          <w:w w:val="105"/>
        </w:rPr>
        <w:t>riesgo.876</w:t>
      </w:r>
    </w:p>
    <w:p w14:paraId="3F7E7833" w14:textId="77777777" w:rsidR="0014798C" w:rsidRDefault="004E1F0B">
      <w:pPr>
        <w:pStyle w:val="Textoindependiente"/>
        <w:spacing w:before="113" w:line="326" w:lineRule="auto"/>
        <w:ind w:left="1107" w:right="1272" w:hanging="1"/>
      </w:pPr>
      <w:r>
        <w:rPr>
          <w:w w:val="105"/>
        </w:rPr>
        <w:t>Ha</w:t>
      </w:r>
      <w:r>
        <w:rPr>
          <w:spacing w:val="-10"/>
          <w:w w:val="105"/>
        </w:rPr>
        <w:t xml:space="preserve"> </w:t>
      </w:r>
      <w:r>
        <w:rPr>
          <w:w w:val="105"/>
        </w:rPr>
        <w:t>habido</w:t>
      </w:r>
      <w:r>
        <w:rPr>
          <w:spacing w:val="-10"/>
          <w:w w:val="105"/>
        </w:rPr>
        <w:t xml:space="preserve"> </w:t>
      </w:r>
      <w:r>
        <w:rPr>
          <w:w w:val="105"/>
        </w:rPr>
        <w:t>un</w:t>
      </w:r>
      <w:r>
        <w:rPr>
          <w:spacing w:val="-10"/>
          <w:w w:val="105"/>
        </w:rPr>
        <w:t xml:space="preserve"> </w:t>
      </w:r>
      <w:r>
        <w:rPr>
          <w:w w:val="105"/>
        </w:rPr>
        <w:t>debate</w:t>
      </w:r>
      <w:r>
        <w:rPr>
          <w:spacing w:val="-10"/>
          <w:w w:val="105"/>
        </w:rPr>
        <w:t xml:space="preserve"> </w:t>
      </w:r>
      <w:r>
        <w:rPr>
          <w:w w:val="105"/>
        </w:rPr>
        <w:t>sobre</w:t>
      </w:r>
      <w:r>
        <w:rPr>
          <w:spacing w:val="-10"/>
          <w:w w:val="105"/>
        </w:rPr>
        <w:t xml:space="preserve"> </w:t>
      </w:r>
      <w:r>
        <w:rPr>
          <w:w w:val="105"/>
        </w:rPr>
        <w:t>si</w:t>
      </w:r>
      <w:r>
        <w:rPr>
          <w:spacing w:val="-10"/>
          <w:w w:val="105"/>
        </w:rPr>
        <w:t xml:space="preserve"> </w:t>
      </w:r>
      <w:r>
        <w:rPr>
          <w:w w:val="105"/>
        </w:rPr>
        <w:t>el</w:t>
      </w:r>
      <w:r>
        <w:rPr>
          <w:spacing w:val="-10"/>
          <w:w w:val="105"/>
        </w:rPr>
        <w:t xml:space="preserve"> </w:t>
      </w:r>
      <w:r>
        <w:rPr>
          <w:w w:val="105"/>
        </w:rPr>
        <w:t>término</w:t>
      </w:r>
      <w:r>
        <w:rPr>
          <w:spacing w:val="-10"/>
          <w:w w:val="105"/>
        </w:rPr>
        <w:t xml:space="preserve"> </w:t>
      </w:r>
      <w:r>
        <w:rPr>
          <w:w w:val="105"/>
        </w:rPr>
        <w:t>“minorías”</w:t>
      </w:r>
      <w:r>
        <w:rPr>
          <w:spacing w:val="-11"/>
          <w:w w:val="105"/>
        </w:rPr>
        <w:t xml:space="preserve"> </w:t>
      </w:r>
      <w:r>
        <w:rPr>
          <w:w w:val="105"/>
        </w:rPr>
        <w:t>se</w:t>
      </w:r>
      <w:r>
        <w:rPr>
          <w:spacing w:val="-10"/>
          <w:w w:val="105"/>
        </w:rPr>
        <w:t xml:space="preserve"> </w:t>
      </w:r>
      <w:r>
        <w:rPr>
          <w:w w:val="105"/>
        </w:rPr>
        <w:t>refiere</w:t>
      </w:r>
      <w:r>
        <w:rPr>
          <w:spacing w:val="-10"/>
          <w:w w:val="105"/>
        </w:rPr>
        <w:t xml:space="preserve"> </w:t>
      </w:r>
      <w:r>
        <w:rPr>
          <w:w w:val="105"/>
        </w:rPr>
        <w:t>a</w:t>
      </w:r>
      <w:r>
        <w:rPr>
          <w:spacing w:val="-10"/>
          <w:w w:val="105"/>
        </w:rPr>
        <w:t xml:space="preserve"> </w:t>
      </w:r>
      <w:r>
        <w:rPr>
          <w:w w:val="105"/>
        </w:rPr>
        <w:t>grupos</w:t>
      </w:r>
      <w:r>
        <w:rPr>
          <w:spacing w:val="-10"/>
          <w:w w:val="105"/>
        </w:rPr>
        <w:t xml:space="preserve"> </w:t>
      </w:r>
      <w:r>
        <w:rPr>
          <w:w w:val="105"/>
        </w:rPr>
        <w:t>que</w:t>
      </w:r>
      <w:r>
        <w:rPr>
          <w:spacing w:val="-10"/>
          <w:w w:val="105"/>
        </w:rPr>
        <w:t xml:space="preserve"> </w:t>
      </w:r>
      <w:r>
        <w:rPr>
          <w:w w:val="105"/>
        </w:rPr>
        <w:t>constituyen</w:t>
      </w:r>
      <w:r>
        <w:rPr>
          <w:spacing w:val="-10"/>
          <w:w w:val="105"/>
        </w:rPr>
        <w:t xml:space="preserve"> </w:t>
      </w:r>
      <w:r>
        <w:rPr>
          <w:w w:val="105"/>
        </w:rPr>
        <w:t>menos</w:t>
      </w:r>
      <w:r>
        <w:rPr>
          <w:spacing w:val="-10"/>
          <w:w w:val="105"/>
        </w:rPr>
        <w:t xml:space="preserve"> </w:t>
      </w:r>
      <w:r>
        <w:rPr>
          <w:w w:val="105"/>
        </w:rPr>
        <w:t>del</w:t>
      </w:r>
      <w:r>
        <w:rPr>
          <w:spacing w:val="-10"/>
          <w:w w:val="105"/>
        </w:rPr>
        <w:t xml:space="preserve"> </w:t>
      </w:r>
      <w:r>
        <w:rPr>
          <w:w w:val="105"/>
        </w:rPr>
        <w:t>50</w:t>
      </w:r>
      <w:r>
        <w:rPr>
          <w:spacing w:val="-10"/>
          <w:w w:val="105"/>
        </w:rPr>
        <w:t xml:space="preserve"> </w:t>
      </w:r>
      <w:r>
        <w:rPr>
          <w:w w:val="105"/>
        </w:rPr>
        <w:t>por</w:t>
      </w:r>
      <w:r>
        <w:rPr>
          <w:spacing w:val="-10"/>
          <w:w w:val="105"/>
        </w:rPr>
        <w:t xml:space="preserve"> </w:t>
      </w:r>
      <w:r>
        <w:rPr>
          <w:w w:val="105"/>
        </w:rPr>
        <w:t>ciento</w:t>
      </w:r>
      <w:r>
        <w:rPr>
          <w:spacing w:val="-10"/>
          <w:w w:val="105"/>
        </w:rPr>
        <w:t xml:space="preserve"> </w:t>
      </w:r>
      <w:r>
        <w:rPr>
          <w:w w:val="105"/>
        </w:rPr>
        <w:t>de</w:t>
      </w:r>
      <w:r>
        <w:rPr>
          <w:spacing w:val="-10"/>
          <w:w w:val="105"/>
        </w:rPr>
        <w:t xml:space="preserve"> </w:t>
      </w:r>
      <w:r>
        <w:rPr>
          <w:w w:val="105"/>
        </w:rPr>
        <w:t>la</w:t>
      </w:r>
      <w:r>
        <w:rPr>
          <w:spacing w:val="-10"/>
          <w:w w:val="105"/>
        </w:rPr>
        <w:t xml:space="preserve"> </w:t>
      </w:r>
      <w:r>
        <w:rPr>
          <w:w w:val="105"/>
        </w:rPr>
        <w:t>población nacional</w:t>
      </w:r>
      <w:r>
        <w:rPr>
          <w:spacing w:val="-7"/>
          <w:w w:val="105"/>
        </w:rPr>
        <w:t xml:space="preserve"> </w:t>
      </w:r>
      <w:r>
        <w:rPr>
          <w:w w:val="105"/>
        </w:rPr>
        <w:t>o</w:t>
      </w:r>
      <w:r>
        <w:rPr>
          <w:spacing w:val="-7"/>
          <w:w w:val="105"/>
        </w:rPr>
        <w:t xml:space="preserve"> </w:t>
      </w:r>
      <w:r>
        <w:rPr>
          <w:w w:val="105"/>
        </w:rPr>
        <w:t>local.</w:t>
      </w:r>
      <w:r>
        <w:rPr>
          <w:spacing w:val="-7"/>
          <w:w w:val="105"/>
        </w:rPr>
        <w:t xml:space="preserve"> </w:t>
      </w:r>
      <w:r>
        <w:rPr>
          <w:w w:val="105"/>
        </w:rPr>
        <w:t>Gay</w:t>
      </w:r>
      <w:r>
        <w:rPr>
          <w:spacing w:val="-7"/>
          <w:w w:val="105"/>
        </w:rPr>
        <w:t xml:space="preserve"> </w:t>
      </w:r>
      <w:proofErr w:type="spellStart"/>
      <w:r>
        <w:rPr>
          <w:w w:val="105"/>
        </w:rPr>
        <w:t>McDougall</w:t>
      </w:r>
      <w:proofErr w:type="spellEnd"/>
      <w:r>
        <w:rPr>
          <w:w w:val="105"/>
        </w:rPr>
        <w:t>,</w:t>
      </w:r>
      <w:r>
        <w:rPr>
          <w:spacing w:val="-6"/>
          <w:w w:val="105"/>
        </w:rPr>
        <w:t xml:space="preserve"> </w:t>
      </w:r>
      <w:r>
        <w:rPr>
          <w:w w:val="105"/>
        </w:rPr>
        <w:t>el</w:t>
      </w:r>
      <w:r>
        <w:rPr>
          <w:spacing w:val="-7"/>
          <w:w w:val="105"/>
        </w:rPr>
        <w:t xml:space="preserve"> </w:t>
      </w:r>
      <w:r>
        <w:rPr>
          <w:w w:val="105"/>
        </w:rPr>
        <w:t>primer</w:t>
      </w:r>
      <w:r>
        <w:rPr>
          <w:spacing w:val="-7"/>
          <w:w w:val="105"/>
        </w:rPr>
        <w:t xml:space="preserve"> </w:t>
      </w:r>
      <w:r>
        <w:rPr>
          <w:w w:val="105"/>
        </w:rPr>
        <w:t>experto</w:t>
      </w:r>
      <w:r>
        <w:rPr>
          <w:spacing w:val="-7"/>
          <w:w w:val="105"/>
        </w:rPr>
        <w:t xml:space="preserve"> </w:t>
      </w:r>
      <w:r>
        <w:rPr>
          <w:w w:val="105"/>
        </w:rPr>
        <w:t>independiente</w:t>
      </w:r>
      <w:r>
        <w:rPr>
          <w:spacing w:val="-7"/>
          <w:w w:val="105"/>
        </w:rPr>
        <w:t xml:space="preserve"> </w:t>
      </w:r>
      <w:r>
        <w:rPr>
          <w:w w:val="105"/>
        </w:rPr>
        <w:t>en</w:t>
      </w:r>
      <w:r>
        <w:rPr>
          <w:spacing w:val="-7"/>
          <w:w w:val="105"/>
        </w:rPr>
        <w:t xml:space="preserve"> </w:t>
      </w:r>
      <w:r>
        <w:rPr>
          <w:w w:val="105"/>
        </w:rPr>
        <w:t>cuestiones</w:t>
      </w:r>
      <w:r>
        <w:rPr>
          <w:spacing w:val="-8"/>
          <w:w w:val="105"/>
        </w:rPr>
        <w:t xml:space="preserve"> </w:t>
      </w:r>
      <w:r>
        <w:rPr>
          <w:w w:val="105"/>
        </w:rPr>
        <w:t>de</w:t>
      </w:r>
      <w:r>
        <w:rPr>
          <w:spacing w:val="-7"/>
          <w:w w:val="105"/>
        </w:rPr>
        <w:t xml:space="preserve"> </w:t>
      </w:r>
      <w:r>
        <w:rPr>
          <w:w w:val="105"/>
        </w:rPr>
        <w:t>minorías,</w:t>
      </w:r>
      <w:r>
        <w:rPr>
          <w:spacing w:val="-7"/>
          <w:w w:val="105"/>
        </w:rPr>
        <w:t xml:space="preserve"> </w:t>
      </w:r>
      <w:r>
        <w:rPr>
          <w:w w:val="105"/>
        </w:rPr>
        <w:t>trabajó</w:t>
      </w:r>
      <w:r>
        <w:rPr>
          <w:spacing w:val="-7"/>
          <w:w w:val="105"/>
        </w:rPr>
        <w:t xml:space="preserve"> </w:t>
      </w:r>
      <w:r>
        <w:rPr>
          <w:w w:val="105"/>
        </w:rPr>
        <w:t>extensamente</w:t>
      </w:r>
      <w:r>
        <w:rPr>
          <w:spacing w:val="-7"/>
          <w:w w:val="105"/>
        </w:rPr>
        <w:t xml:space="preserve"> </w:t>
      </w:r>
      <w:r>
        <w:rPr>
          <w:w w:val="105"/>
        </w:rPr>
        <w:t>para desacoplar</w:t>
      </w:r>
      <w:r>
        <w:rPr>
          <w:spacing w:val="-4"/>
          <w:w w:val="105"/>
        </w:rPr>
        <w:t xml:space="preserve"> </w:t>
      </w:r>
      <w:r>
        <w:rPr>
          <w:w w:val="105"/>
        </w:rPr>
        <w:t>la</w:t>
      </w:r>
      <w:r>
        <w:rPr>
          <w:spacing w:val="-4"/>
          <w:w w:val="105"/>
        </w:rPr>
        <w:t xml:space="preserve"> </w:t>
      </w:r>
      <w:r>
        <w:rPr>
          <w:w w:val="105"/>
        </w:rPr>
        <w:t>definición</w:t>
      </w:r>
      <w:r>
        <w:rPr>
          <w:spacing w:val="-4"/>
          <w:w w:val="105"/>
        </w:rPr>
        <w:t xml:space="preserve"> </w:t>
      </w:r>
      <w:r>
        <w:rPr>
          <w:w w:val="105"/>
        </w:rPr>
        <w:t>de</w:t>
      </w:r>
      <w:r>
        <w:rPr>
          <w:spacing w:val="-4"/>
          <w:w w:val="105"/>
        </w:rPr>
        <w:t xml:space="preserve"> </w:t>
      </w:r>
      <w:r>
        <w:rPr>
          <w:w w:val="105"/>
        </w:rPr>
        <w:t>minorías</w:t>
      </w:r>
      <w:r>
        <w:rPr>
          <w:spacing w:val="-5"/>
          <w:w w:val="105"/>
        </w:rPr>
        <w:t xml:space="preserve"> </w:t>
      </w:r>
      <w:r>
        <w:rPr>
          <w:w w:val="105"/>
        </w:rPr>
        <w:t>de</w:t>
      </w:r>
      <w:r>
        <w:rPr>
          <w:spacing w:val="-4"/>
          <w:w w:val="105"/>
        </w:rPr>
        <w:t xml:space="preserve"> </w:t>
      </w:r>
      <w:r>
        <w:rPr>
          <w:w w:val="105"/>
        </w:rPr>
        <w:t>la</w:t>
      </w:r>
      <w:r>
        <w:rPr>
          <w:spacing w:val="-4"/>
          <w:w w:val="105"/>
        </w:rPr>
        <w:t xml:space="preserve"> </w:t>
      </w:r>
      <w:r>
        <w:rPr>
          <w:w w:val="105"/>
        </w:rPr>
        <w:t>cantidad</w:t>
      </w:r>
      <w:r>
        <w:rPr>
          <w:spacing w:val="-4"/>
          <w:w w:val="105"/>
        </w:rPr>
        <w:t xml:space="preserve"> </w:t>
      </w:r>
      <w:r>
        <w:rPr>
          <w:w w:val="105"/>
        </w:rPr>
        <w:t>numérica,</w:t>
      </w:r>
      <w:r>
        <w:rPr>
          <w:spacing w:val="-3"/>
          <w:w w:val="105"/>
        </w:rPr>
        <w:t xml:space="preserve"> </w:t>
      </w:r>
      <w:r>
        <w:rPr>
          <w:w w:val="105"/>
        </w:rPr>
        <w:t>e</w:t>
      </w:r>
      <w:r>
        <w:rPr>
          <w:spacing w:val="-4"/>
          <w:w w:val="105"/>
        </w:rPr>
        <w:t xml:space="preserve"> </w:t>
      </w:r>
      <w:r>
        <w:rPr>
          <w:w w:val="105"/>
        </w:rPr>
        <w:t>incluyó</w:t>
      </w:r>
      <w:r>
        <w:rPr>
          <w:spacing w:val="-4"/>
          <w:w w:val="105"/>
        </w:rPr>
        <w:t xml:space="preserve"> </w:t>
      </w:r>
      <w:r>
        <w:rPr>
          <w:w w:val="105"/>
        </w:rPr>
        <w:t>en</w:t>
      </w:r>
      <w:r>
        <w:rPr>
          <w:spacing w:val="-4"/>
          <w:w w:val="105"/>
        </w:rPr>
        <w:t xml:space="preserve"> </w:t>
      </w:r>
      <w:r>
        <w:rPr>
          <w:w w:val="105"/>
        </w:rPr>
        <w:t>la</w:t>
      </w:r>
      <w:r>
        <w:rPr>
          <w:spacing w:val="-4"/>
          <w:w w:val="105"/>
        </w:rPr>
        <w:t xml:space="preserve"> </w:t>
      </w:r>
      <w:r>
        <w:rPr>
          <w:w w:val="105"/>
        </w:rPr>
        <w:t>definición</w:t>
      </w:r>
      <w:r>
        <w:rPr>
          <w:spacing w:val="-4"/>
          <w:w w:val="105"/>
        </w:rPr>
        <w:t xml:space="preserve"> </w:t>
      </w:r>
      <w:r>
        <w:rPr>
          <w:w w:val="105"/>
        </w:rPr>
        <w:t>a</w:t>
      </w:r>
      <w:r>
        <w:rPr>
          <w:spacing w:val="-4"/>
          <w:w w:val="105"/>
        </w:rPr>
        <w:t xml:space="preserve"> </w:t>
      </w:r>
      <w:r>
        <w:rPr>
          <w:w w:val="105"/>
        </w:rPr>
        <w:t>comunidades</w:t>
      </w:r>
      <w:r>
        <w:rPr>
          <w:spacing w:val="-4"/>
          <w:w w:val="105"/>
        </w:rPr>
        <w:t xml:space="preserve"> </w:t>
      </w:r>
      <w:r>
        <w:rPr>
          <w:w w:val="105"/>
        </w:rPr>
        <w:t>como</w:t>
      </w:r>
      <w:r>
        <w:rPr>
          <w:spacing w:val="-4"/>
          <w:w w:val="105"/>
        </w:rPr>
        <w:t xml:space="preserve"> </w:t>
      </w:r>
      <w:r>
        <w:rPr>
          <w:w w:val="105"/>
        </w:rPr>
        <w:t>los afrodescendientes</w:t>
      </w:r>
      <w:r>
        <w:rPr>
          <w:spacing w:val="-5"/>
          <w:w w:val="105"/>
        </w:rPr>
        <w:t xml:space="preserve"> </w:t>
      </w:r>
      <w:r>
        <w:rPr>
          <w:w w:val="105"/>
        </w:rPr>
        <w:t>en</w:t>
      </w:r>
      <w:r>
        <w:rPr>
          <w:spacing w:val="-4"/>
          <w:w w:val="105"/>
        </w:rPr>
        <w:t xml:space="preserve"> </w:t>
      </w:r>
      <w:r>
        <w:rPr>
          <w:w w:val="105"/>
        </w:rPr>
        <w:t>Brasil,</w:t>
      </w:r>
      <w:r>
        <w:rPr>
          <w:spacing w:val="-4"/>
          <w:w w:val="105"/>
        </w:rPr>
        <w:t xml:space="preserve"> </w:t>
      </w:r>
      <w:r>
        <w:rPr>
          <w:w w:val="105"/>
        </w:rPr>
        <w:t>es</w:t>
      </w:r>
      <w:r>
        <w:rPr>
          <w:spacing w:val="-4"/>
          <w:w w:val="105"/>
        </w:rPr>
        <w:t xml:space="preserve"> </w:t>
      </w:r>
      <w:r>
        <w:rPr>
          <w:w w:val="105"/>
        </w:rPr>
        <w:t>decir,</w:t>
      </w:r>
      <w:r>
        <w:rPr>
          <w:spacing w:val="-4"/>
          <w:w w:val="105"/>
        </w:rPr>
        <w:t xml:space="preserve"> </w:t>
      </w:r>
      <w:r>
        <w:rPr>
          <w:w w:val="105"/>
        </w:rPr>
        <w:t>personas</w:t>
      </w:r>
      <w:r>
        <w:rPr>
          <w:spacing w:val="-4"/>
          <w:w w:val="105"/>
        </w:rPr>
        <w:t xml:space="preserve"> </w:t>
      </w:r>
      <w:r>
        <w:rPr>
          <w:w w:val="105"/>
        </w:rPr>
        <w:t>que</w:t>
      </w:r>
      <w:r>
        <w:rPr>
          <w:spacing w:val="-4"/>
          <w:w w:val="105"/>
        </w:rPr>
        <w:t xml:space="preserve"> </w:t>
      </w:r>
      <w:r>
        <w:rPr>
          <w:w w:val="105"/>
        </w:rPr>
        <w:t>pueden</w:t>
      </w:r>
      <w:r>
        <w:rPr>
          <w:spacing w:val="-4"/>
          <w:w w:val="105"/>
        </w:rPr>
        <w:t xml:space="preserve"> </w:t>
      </w:r>
      <w:r>
        <w:rPr>
          <w:w w:val="105"/>
        </w:rPr>
        <w:t>formar</w:t>
      </w:r>
      <w:r>
        <w:rPr>
          <w:spacing w:val="-4"/>
          <w:w w:val="105"/>
        </w:rPr>
        <w:t xml:space="preserve"> </w:t>
      </w:r>
      <w:r>
        <w:rPr>
          <w:w w:val="105"/>
        </w:rPr>
        <w:t>parte</w:t>
      </w:r>
      <w:r>
        <w:rPr>
          <w:spacing w:val="-4"/>
          <w:w w:val="105"/>
        </w:rPr>
        <w:t xml:space="preserve"> </w:t>
      </w:r>
      <w:r>
        <w:rPr>
          <w:w w:val="105"/>
        </w:rPr>
        <w:t>de</w:t>
      </w:r>
      <w:r>
        <w:rPr>
          <w:spacing w:val="-4"/>
          <w:w w:val="105"/>
        </w:rPr>
        <w:t xml:space="preserve"> </w:t>
      </w:r>
      <w:r>
        <w:rPr>
          <w:w w:val="105"/>
        </w:rPr>
        <w:t>la</w:t>
      </w:r>
      <w:r>
        <w:rPr>
          <w:spacing w:val="-4"/>
          <w:w w:val="105"/>
        </w:rPr>
        <w:t xml:space="preserve"> </w:t>
      </w:r>
      <w:r>
        <w:rPr>
          <w:w w:val="105"/>
        </w:rPr>
        <w:t>mayoría</w:t>
      </w:r>
      <w:r>
        <w:rPr>
          <w:spacing w:val="-4"/>
          <w:w w:val="105"/>
        </w:rPr>
        <w:t xml:space="preserve"> </w:t>
      </w:r>
      <w:r>
        <w:rPr>
          <w:w w:val="105"/>
        </w:rPr>
        <w:t>de</w:t>
      </w:r>
      <w:r>
        <w:rPr>
          <w:spacing w:val="-4"/>
          <w:w w:val="105"/>
        </w:rPr>
        <w:t xml:space="preserve"> </w:t>
      </w:r>
      <w:r>
        <w:rPr>
          <w:w w:val="105"/>
        </w:rPr>
        <w:t>la</w:t>
      </w:r>
      <w:r>
        <w:rPr>
          <w:spacing w:val="-4"/>
          <w:w w:val="105"/>
        </w:rPr>
        <w:t xml:space="preserve"> </w:t>
      </w:r>
      <w:r>
        <w:rPr>
          <w:w w:val="105"/>
        </w:rPr>
        <w:t>población</w:t>
      </w:r>
      <w:proofErr w:type="gramStart"/>
      <w:r>
        <w:rPr>
          <w:w w:val="105"/>
        </w:rPr>
        <w:t>.</w:t>
      </w:r>
      <w:r>
        <w:rPr>
          <w:spacing w:val="-4"/>
          <w:w w:val="105"/>
        </w:rPr>
        <w:t xml:space="preserve"> </w:t>
      </w:r>
      <w:r>
        <w:rPr>
          <w:w w:val="105"/>
        </w:rPr>
        <w:t>,</w:t>
      </w:r>
      <w:proofErr w:type="gramEnd"/>
      <w:r>
        <w:rPr>
          <w:spacing w:val="-3"/>
          <w:w w:val="105"/>
        </w:rPr>
        <w:t xml:space="preserve"> </w:t>
      </w:r>
      <w:r>
        <w:rPr>
          <w:w w:val="105"/>
        </w:rPr>
        <w:t>pero</w:t>
      </w:r>
      <w:r>
        <w:rPr>
          <w:spacing w:val="-4"/>
          <w:w w:val="105"/>
        </w:rPr>
        <w:t xml:space="preserve"> </w:t>
      </w:r>
      <w:r>
        <w:rPr>
          <w:w w:val="105"/>
        </w:rPr>
        <w:t xml:space="preserve">son </w:t>
      </w:r>
      <w:r>
        <w:rPr>
          <w:spacing w:val="-2"/>
          <w:w w:val="105"/>
        </w:rPr>
        <w:t xml:space="preserve">sistemáticamente marginados. En su interpretación de la Declaración, la Experta Independiente destacó “cuatro grandes áreas </w:t>
      </w:r>
      <w:r>
        <w:rPr>
          <w:w w:val="105"/>
        </w:rPr>
        <w:t>de preocupación relacionadas con las minorías a nivel mundial”:</w:t>
      </w:r>
    </w:p>
    <w:p w14:paraId="71D60B80" w14:textId="77777777" w:rsidR="0014798C" w:rsidRDefault="004E1F0B">
      <w:pPr>
        <w:pStyle w:val="Prrafodelista"/>
        <w:numPr>
          <w:ilvl w:val="0"/>
          <w:numId w:val="22"/>
        </w:numPr>
        <w:tabs>
          <w:tab w:val="left" w:pos="1876"/>
        </w:tabs>
        <w:spacing w:before="110"/>
        <w:ind w:hanging="192"/>
        <w:rPr>
          <w:sz w:val="16"/>
        </w:rPr>
      </w:pPr>
      <w:r>
        <w:rPr>
          <w:color w:val="803108"/>
          <w:spacing w:val="-2"/>
          <w:w w:val="105"/>
          <w:sz w:val="16"/>
        </w:rPr>
        <w:t>la</w:t>
      </w:r>
      <w:r>
        <w:rPr>
          <w:color w:val="803108"/>
          <w:spacing w:val="-3"/>
          <w:w w:val="105"/>
          <w:sz w:val="16"/>
        </w:rPr>
        <w:t xml:space="preserve"> </w:t>
      </w:r>
      <w:r>
        <w:rPr>
          <w:color w:val="803108"/>
          <w:spacing w:val="-2"/>
          <w:w w:val="105"/>
          <w:sz w:val="16"/>
        </w:rPr>
        <w:t>protección</w:t>
      </w:r>
      <w:r>
        <w:rPr>
          <w:color w:val="803108"/>
          <w:spacing w:val="-3"/>
          <w:w w:val="105"/>
          <w:sz w:val="16"/>
        </w:rPr>
        <w:t xml:space="preserve"> </w:t>
      </w:r>
      <w:r>
        <w:rPr>
          <w:color w:val="803108"/>
          <w:spacing w:val="-2"/>
          <w:w w:val="105"/>
          <w:sz w:val="16"/>
        </w:rPr>
        <w:t>de</w:t>
      </w:r>
      <w:r>
        <w:rPr>
          <w:color w:val="803108"/>
          <w:spacing w:val="-3"/>
          <w:w w:val="105"/>
          <w:sz w:val="16"/>
        </w:rPr>
        <w:t xml:space="preserve"> </w:t>
      </w:r>
      <w:r>
        <w:rPr>
          <w:color w:val="803108"/>
          <w:spacing w:val="-2"/>
          <w:w w:val="105"/>
          <w:sz w:val="16"/>
        </w:rPr>
        <w:t>la</w:t>
      </w:r>
      <w:r>
        <w:rPr>
          <w:color w:val="803108"/>
          <w:spacing w:val="-3"/>
          <w:w w:val="105"/>
          <w:sz w:val="16"/>
        </w:rPr>
        <w:t xml:space="preserve"> </w:t>
      </w:r>
      <w:r>
        <w:rPr>
          <w:color w:val="803108"/>
          <w:spacing w:val="-2"/>
          <w:w w:val="105"/>
          <w:sz w:val="16"/>
        </w:rPr>
        <w:t>supervivencia</w:t>
      </w:r>
      <w:r>
        <w:rPr>
          <w:color w:val="803108"/>
          <w:spacing w:val="-3"/>
          <w:w w:val="105"/>
          <w:sz w:val="16"/>
        </w:rPr>
        <w:t xml:space="preserve"> </w:t>
      </w:r>
      <w:r>
        <w:rPr>
          <w:color w:val="803108"/>
          <w:spacing w:val="-2"/>
          <w:w w:val="105"/>
          <w:sz w:val="16"/>
        </w:rPr>
        <w:t>de</w:t>
      </w:r>
      <w:r>
        <w:rPr>
          <w:color w:val="803108"/>
          <w:spacing w:val="-3"/>
          <w:w w:val="105"/>
          <w:sz w:val="16"/>
        </w:rPr>
        <w:t xml:space="preserve"> </w:t>
      </w:r>
      <w:r>
        <w:rPr>
          <w:color w:val="803108"/>
          <w:spacing w:val="-2"/>
          <w:w w:val="105"/>
          <w:sz w:val="16"/>
        </w:rPr>
        <w:t>una</w:t>
      </w:r>
      <w:r>
        <w:rPr>
          <w:color w:val="803108"/>
          <w:spacing w:val="-3"/>
          <w:w w:val="105"/>
          <w:sz w:val="16"/>
        </w:rPr>
        <w:t xml:space="preserve"> </w:t>
      </w:r>
      <w:r>
        <w:rPr>
          <w:color w:val="803108"/>
          <w:spacing w:val="-2"/>
          <w:w w:val="105"/>
          <w:sz w:val="16"/>
        </w:rPr>
        <w:t>minoría,</w:t>
      </w:r>
      <w:r>
        <w:rPr>
          <w:color w:val="803108"/>
          <w:spacing w:val="-3"/>
          <w:w w:val="105"/>
          <w:sz w:val="16"/>
        </w:rPr>
        <w:t xml:space="preserve"> </w:t>
      </w:r>
      <w:r>
        <w:rPr>
          <w:color w:val="803108"/>
          <w:spacing w:val="-2"/>
          <w:w w:val="105"/>
          <w:sz w:val="16"/>
        </w:rPr>
        <w:t>combatiendo</w:t>
      </w:r>
      <w:r>
        <w:rPr>
          <w:color w:val="803108"/>
          <w:spacing w:val="-3"/>
          <w:w w:val="105"/>
          <w:sz w:val="16"/>
        </w:rPr>
        <w:t xml:space="preserve"> </w:t>
      </w:r>
      <w:r>
        <w:rPr>
          <w:color w:val="803108"/>
          <w:spacing w:val="-2"/>
          <w:w w:val="105"/>
          <w:sz w:val="16"/>
        </w:rPr>
        <w:t>la</w:t>
      </w:r>
      <w:r>
        <w:rPr>
          <w:color w:val="803108"/>
          <w:spacing w:val="-3"/>
          <w:w w:val="105"/>
          <w:sz w:val="16"/>
        </w:rPr>
        <w:t xml:space="preserve"> </w:t>
      </w:r>
      <w:r>
        <w:rPr>
          <w:color w:val="803108"/>
          <w:spacing w:val="-2"/>
          <w:w w:val="105"/>
          <w:sz w:val="16"/>
        </w:rPr>
        <w:t>violencia</w:t>
      </w:r>
      <w:r>
        <w:rPr>
          <w:color w:val="803108"/>
          <w:spacing w:val="-3"/>
          <w:w w:val="105"/>
          <w:sz w:val="16"/>
        </w:rPr>
        <w:t xml:space="preserve"> </w:t>
      </w:r>
      <w:r>
        <w:rPr>
          <w:color w:val="803108"/>
          <w:spacing w:val="-2"/>
          <w:w w:val="105"/>
          <w:sz w:val="16"/>
        </w:rPr>
        <w:t>contra ella</w:t>
      </w:r>
      <w:r>
        <w:rPr>
          <w:color w:val="803108"/>
          <w:spacing w:val="-3"/>
          <w:w w:val="105"/>
          <w:sz w:val="16"/>
        </w:rPr>
        <w:t xml:space="preserve"> </w:t>
      </w:r>
      <w:r>
        <w:rPr>
          <w:color w:val="803108"/>
          <w:spacing w:val="-2"/>
          <w:w w:val="105"/>
          <w:sz w:val="16"/>
        </w:rPr>
        <w:t>y</w:t>
      </w:r>
      <w:r>
        <w:rPr>
          <w:color w:val="803108"/>
          <w:spacing w:val="-3"/>
          <w:w w:val="105"/>
          <w:sz w:val="16"/>
        </w:rPr>
        <w:t xml:space="preserve"> </w:t>
      </w:r>
      <w:r>
        <w:rPr>
          <w:color w:val="803108"/>
          <w:spacing w:val="-2"/>
          <w:w w:val="105"/>
          <w:sz w:val="16"/>
        </w:rPr>
        <w:t>previniendo</w:t>
      </w:r>
      <w:r>
        <w:rPr>
          <w:color w:val="803108"/>
          <w:spacing w:val="-3"/>
          <w:w w:val="105"/>
          <w:sz w:val="16"/>
        </w:rPr>
        <w:t xml:space="preserve"> </w:t>
      </w:r>
      <w:r>
        <w:rPr>
          <w:color w:val="803108"/>
          <w:spacing w:val="-2"/>
          <w:w w:val="105"/>
          <w:sz w:val="16"/>
        </w:rPr>
        <w:t>el</w:t>
      </w:r>
      <w:r>
        <w:rPr>
          <w:color w:val="803108"/>
          <w:spacing w:val="-3"/>
          <w:w w:val="105"/>
          <w:sz w:val="16"/>
        </w:rPr>
        <w:t xml:space="preserve"> </w:t>
      </w:r>
      <w:r>
        <w:rPr>
          <w:color w:val="803108"/>
          <w:spacing w:val="-2"/>
          <w:w w:val="105"/>
          <w:sz w:val="16"/>
        </w:rPr>
        <w:t>genocidio;</w:t>
      </w:r>
    </w:p>
    <w:p w14:paraId="3B841893" w14:textId="77777777" w:rsidR="0014798C" w:rsidRDefault="004E1F0B">
      <w:pPr>
        <w:pStyle w:val="Prrafodelista"/>
        <w:numPr>
          <w:ilvl w:val="0"/>
          <w:numId w:val="22"/>
        </w:numPr>
        <w:tabs>
          <w:tab w:val="left" w:pos="1866"/>
        </w:tabs>
        <w:spacing w:before="66" w:line="326" w:lineRule="auto"/>
        <w:ind w:left="1673" w:right="1470" w:firstLine="1"/>
        <w:rPr>
          <w:sz w:val="16"/>
        </w:rPr>
      </w:pPr>
      <w:r>
        <w:rPr>
          <w:color w:val="803108"/>
          <w:w w:val="105"/>
          <w:sz w:val="16"/>
        </w:rPr>
        <w:t>la</w:t>
      </w:r>
      <w:r>
        <w:rPr>
          <w:color w:val="803108"/>
          <w:spacing w:val="-12"/>
          <w:w w:val="105"/>
          <w:sz w:val="16"/>
        </w:rPr>
        <w:t xml:space="preserve"> </w:t>
      </w:r>
      <w:r>
        <w:rPr>
          <w:color w:val="803108"/>
          <w:w w:val="105"/>
          <w:sz w:val="16"/>
        </w:rPr>
        <w:t>protección</w:t>
      </w:r>
      <w:r>
        <w:rPr>
          <w:color w:val="803108"/>
          <w:spacing w:val="-11"/>
          <w:w w:val="105"/>
          <w:sz w:val="16"/>
        </w:rPr>
        <w:t xml:space="preserve"> </w:t>
      </w:r>
      <w:r>
        <w:rPr>
          <w:color w:val="803108"/>
          <w:w w:val="105"/>
          <w:sz w:val="16"/>
        </w:rPr>
        <w:t>y</w:t>
      </w:r>
      <w:r>
        <w:rPr>
          <w:color w:val="803108"/>
          <w:spacing w:val="-12"/>
          <w:w w:val="105"/>
          <w:sz w:val="16"/>
        </w:rPr>
        <w:t xml:space="preserve"> </w:t>
      </w:r>
      <w:r>
        <w:rPr>
          <w:color w:val="803108"/>
          <w:w w:val="105"/>
          <w:sz w:val="16"/>
        </w:rPr>
        <w:t>promoción</w:t>
      </w:r>
      <w:r>
        <w:rPr>
          <w:color w:val="803108"/>
          <w:spacing w:val="-11"/>
          <w:w w:val="105"/>
          <w:sz w:val="16"/>
        </w:rPr>
        <w:t xml:space="preserve"> </w:t>
      </w:r>
      <w:r>
        <w:rPr>
          <w:color w:val="803108"/>
          <w:w w:val="105"/>
          <w:sz w:val="16"/>
        </w:rPr>
        <w:t>de</w:t>
      </w:r>
      <w:r>
        <w:rPr>
          <w:color w:val="803108"/>
          <w:spacing w:val="-12"/>
          <w:w w:val="105"/>
          <w:sz w:val="16"/>
        </w:rPr>
        <w:t xml:space="preserve"> </w:t>
      </w:r>
      <w:r>
        <w:rPr>
          <w:color w:val="803108"/>
          <w:w w:val="105"/>
          <w:sz w:val="16"/>
        </w:rPr>
        <w:t>la</w:t>
      </w:r>
      <w:r>
        <w:rPr>
          <w:color w:val="803108"/>
          <w:spacing w:val="-11"/>
          <w:w w:val="105"/>
          <w:sz w:val="16"/>
        </w:rPr>
        <w:t xml:space="preserve"> </w:t>
      </w:r>
      <w:r>
        <w:rPr>
          <w:color w:val="803108"/>
          <w:w w:val="105"/>
          <w:sz w:val="16"/>
        </w:rPr>
        <w:t>identidad</w:t>
      </w:r>
      <w:r>
        <w:rPr>
          <w:color w:val="803108"/>
          <w:spacing w:val="-12"/>
          <w:w w:val="105"/>
          <w:sz w:val="16"/>
        </w:rPr>
        <w:t xml:space="preserve"> </w:t>
      </w:r>
      <w:r>
        <w:rPr>
          <w:color w:val="803108"/>
          <w:w w:val="105"/>
          <w:sz w:val="16"/>
        </w:rPr>
        <w:t>cultural</w:t>
      </w:r>
      <w:r>
        <w:rPr>
          <w:color w:val="803108"/>
          <w:spacing w:val="-11"/>
          <w:w w:val="105"/>
          <w:sz w:val="16"/>
        </w:rPr>
        <w:t xml:space="preserve"> </w:t>
      </w:r>
      <w:r>
        <w:rPr>
          <w:color w:val="803108"/>
          <w:w w:val="105"/>
          <w:sz w:val="16"/>
        </w:rPr>
        <w:t>de</w:t>
      </w:r>
      <w:r>
        <w:rPr>
          <w:color w:val="803108"/>
          <w:spacing w:val="-12"/>
          <w:w w:val="105"/>
          <w:sz w:val="16"/>
        </w:rPr>
        <w:t xml:space="preserve"> </w:t>
      </w:r>
      <w:r>
        <w:rPr>
          <w:color w:val="803108"/>
          <w:w w:val="105"/>
          <w:sz w:val="16"/>
        </w:rPr>
        <w:t>los</w:t>
      </w:r>
      <w:r>
        <w:rPr>
          <w:color w:val="803108"/>
          <w:spacing w:val="-11"/>
          <w:w w:val="105"/>
          <w:sz w:val="16"/>
        </w:rPr>
        <w:t xml:space="preserve"> </w:t>
      </w:r>
      <w:r>
        <w:rPr>
          <w:color w:val="803108"/>
          <w:w w:val="105"/>
          <w:sz w:val="16"/>
        </w:rPr>
        <w:t>grupos</w:t>
      </w:r>
      <w:r>
        <w:rPr>
          <w:color w:val="803108"/>
          <w:spacing w:val="-12"/>
          <w:w w:val="105"/>
          <w:sz w:val="16"/>
        </w:rPr>
        <w:t xml:space="preserve"> </w:t>
      </w:r>
      <w:r>
        <w:rPr>
          <w:color w:val="803108"/>
          <w:w w:val="105"/>
          <w:sz w:val="16"/>
        </w:rPr>
        <w:t>minoritarios</w:t>
      </w:r>
      <w:r>
        <w:rPr>
          <w:color w:val="803108"/>
          <w:spacing w:val="-12"/>
          <w:w w:val="105"/>
          <w:sz w:val="16"/>
        </w:rPr>
        <w:t xml:space="preserve"> </w:t>
      </w:r>
      <w:r>
        <w:rPr>
          <w:color w:val="803108"/>
          <w:w w:val="105"/>
          <w:sz w:val="16"/>
        </w:rPr>
        <w:t>y</w:t>
      </w:r>
      <w:r>
        <w:rPr>
          <w:color w:val="803108"/>
          <w:spacing w:val="-11"/>
          <w:w w:val="105"/>
          <w:sz w:val="16"/>
        </w:rPr>
        <w:t xml:space="preserve"> </w:t>
      </w:r>
      <w:r>
        <w:rPr>
          <w:color w:val="803108"/>
          <w:w w:val="105"/>
          <w:sz w:val="16"/>
        </w:rPr>
        <w:t>el</w:t>
      </w:r>
      <w:r>
        <w:rPr>
          <w:color w:val="803108"/>
          <w:spacing w:val="-12"/>
          <w:w w:val="105"/>
          <w:sz w:val="16"/>
        </w:rPr>
        <w:t xml:space="preserve"> </w:t>
      </w:r>
      <w:r>
        <w:rPr>
          <w:color w:val="803108"/>
          <w:w w:val="105"/>
          <w:sz w:val="16"/>
        </w:rPr>
        <w:t>derecho</w:t>
      </w:r>
      <w:r>
        <w:rPr>
          <w:color w:val="803108"/>
          <w:spacing w:val="-11"/>
          <w:w w:val="105"/>
          <w:sz w:val="16"/>
        </w:rPr>
        <w:t xml:space="preserve"> </w:t>
      </w:r>
      <w:r>
        <w:rPr>
          <w:color w:val="803108"/>
          <w:w w:val="105"/>
          <w:sz w:val="16"/>
        </w:rPr>
        <w:t>de</w:t>
      </w:r>
      <w:r>
        <w:rPr>
          <w:color w:val="803108"/>
          <w:spacing w:val="-12"/>
          <w:w w:val="105"/>
          <w:sz w:val="16"/>
        </w:rPr>
        <w:t xml:space="preserve"> </w:t>
      </w:r>
      <w:r>
        <w:rPr>
          <w:color w:val="803108"/>
          <w:w w:val="105"/>
          <w:sz w:val="16"/>
        </w:rPr>
        <w:t>los</w:t>
      </w:r>
      <w:r>
        <w:rPr>
          <w:color w:val="803108"/>
          <w:spacing w:val="-11"/>
          <w:w w:val="105"/>
          <w:sz w:val="16"/>
        </w:rPr>
        <w:t xml:space="preserve"> </w:t>
      </w:r>
      <w:r>
        <w:rPr>
          <w:color w:val="803108"/>
          <w:w w:val="105"/>
          <w:sz w:val="16"/>
        </w:rPr>
        <w:t>grupos</w:t>
      </w:r>
      <w:r>
        <w:rPr>
          <w:color w:val="803108"/>
          <w:spacing w:val="-12"/>
          <w:w w:val="105"/>
          <w:sz w:val="16"/>
        </w:rPr>
        <w:t xml:space="preserve"> </w:t>
      </w:r>
      <w:r>
        <w:rPr>
          <w:color w:val="803108"/>
          <w:w w:val="105"/>
          <w:sz w:val="16"/>
        </w:rPr>
        <w:t>nacionales, étnicos,</w:t>
      </w:r>
      <w:r>
        <w:rPr>
          <w:color w:val="803108"/>
          <w:spacing w:val="-11"/>
          <w:w w:val="105"/>
          <w:sz w:val="16"/>
        </w:rPr>
        <w:t xml:space="preserve"> </w:t>
      </w:r>
      <w:r>
        <w:rPr>
          <w:color w:val="803108"/>
          <w:w w:val="105"/>
          <w:sz w:val="16"/>
        </w:rPr>
        <w:t>religiosos</w:t>
      </w:r>
      <w:r>
        <w:rPr>
          <w:color w:val="803108"/>
          <w:spacing w:val="-11"/>
          <w:w w:val="105"/>
          <w:sz w:val="16"/>
        </w:rPr>
        <w:t xml:space="preserve"> </w:t>
      </w:r>
      <w:r>
        <w:rPr>
          <w:color w:val="803108"/>
          <w:w w:val="105"/>
          <w:sz w:val="16"/>
        </w:rPr>
        <w:t>o</w:t>
      </w:r>
      <w:r>
        <w:rPr>
          <w:color w:val="803108"/>
          <w:spacing w:val="-11"/>
          <w:w w:val="105"/>
          <w:sz w:val="16"/>
        </w:rPr>
        <w:t xml:space="preserve"> </w:t>
      </w:r>
      <w:r>
        <w:rPr>
          <w:color w:val="803108"/>
          <w:w w:val="105"/>
          <w:sz w:val="16"/>
        </w:rPr>
        <w:t>lingüísticos</w:t>
      </w:r>
      <w:r>
        <w:rPr>
          <w:color w:val="803108"/>
          <w:spacing w:val="-12"/>
          <w:w w:val="105"/>
          <w:sz w:val="16"/>
        </w:rPr>
        <w:t xml:space="preserve"> </w:t>
      </w:r>
      <w:r>
        <w:rPr>
          <w:color w:val="803108"/>
          <w:w w:val="105"/>
          <w:sz w:val="16"/>
        </w:rPr>
        <w:t>a</w:t>
      </w:r>
      <w:r>
        <w:rPr>
          <w:color w:val="803108"/>
          <w:spacing w:val="-11"/>
          <w:w w:val="105"/>
          <w:sz w:val="16"/>
        </w:rPr>
        <w:t xml:space="preserve"> </w:t>
      </w:r>
      <w:r>
        <w:rPr>
          <w:color w:val="803108"/>
          <w:w w:val="105"/>
          <w:sz w:val="16"/>
        </w:rPr>
        <w:t>disfrutar</w:t>
      </w:r>
      <w:r>
        <w:rPr>
          <w:color w:val="803108"/>
          <w:spacing w:val="-12"/>
          <w:w w:val="105"/>
          <w:sz w:val="16"/>
        </w:rPr>
        <w:t xml:space="preserve"> </w:t>
      </w:r>
      <w:r>
        <w:rPr>
          <w:color w:val="803108"/>
          <w:w w:val="105"/>
          <w:sz w:val="16"/>
        </w:rPr>
        <w:t>de</w:t>
      </w:r>
      <w:r>
        <w:rPr>
          <w:color w:val="803108"/>
          <w:spacing w:val="-11"/>
          <w:w w:val="105"/>
          <w:sz w:val="16"/>
        </w:rPr>
        <w:t xml:space="preserve"> </w:t>
      </w:r>
      <w:r>
        <w:rPr>
          <w:color w:val="803108"/>
          <w:w w:val="105"/>
          <w:sz w:val="16"/>
        </w:rPr>
        <w:t>su</w:t>
      </w:r>
      <w:r>
        <w:rPr>
          <w:color w:val="803108"/>
          <w:spacing w:val="-11"/>
          <w:w w:val="105"/>
          <w:sz w:val="16"/>
        </w:rPr>
        <w:t xml:space="preserve"> </w:t>
      </w:r>
      <w:r>
        <w:rPr>
          <w:color w:val="803108"/>
          <w:w w:val="105"/>
          <w:sz w:val="16"/>
        </w:rPr>
        <w:t>identidad</w:t>
      </w:r>
      <w:r>
        <w:rPr>
          <w:color w:val="803108"/>
          <w:spacing w:val="-11"/>
          <w:w w:val="105"/>
          <w:sz w:val="16"/>
        </w:rPr>
        <w:t xml:space="preserve"> </w:t>
      </w:r>
      <w:r>
        <w:rPr>
          <w:color w:val="803108"/>
          <w:w w:val="105"/>
          <w:sz w:val="16"/>
        </w:rPr>
        <w:t>colectiva</w:t>
      </w:r>
      <w:r>
        <w:rPr>
          <w:color w:val="803108"/>
          <w:spacing w:val="-11"/>
          <w:w w:val="105"/>
          <w:sz w:val="16"/>
        </w:rPr>
        <w:t xml:space="preserve"> </w:t>
      </w:r>
      <w:r>
        <w:rPr>
          <w:color w:val="803108"/>
          <w:w w:val="105"/>
          <w:sz w:val="16"/>
        </w:rPr>
        <w:t>y</w:t>
      </w:r>
      <w:r>
        <w:rPr>
          <w:color w:val="803108"/>
          <w:spacing w:val="-11"/>
          <w:w w:val="105"/>
          <w:sz w:val="16"/>
        </w:rPr>
        <w:t xml:space="preserve"> </w:t>
      </w:r>
      <w:r>
        <w:rPr>
          <w:color w:val="803108"/>
          <w:w w:val="105"/>
          <w:sz w:val="16"/>
        </w:rPr>
        <w:t>a</w:t>
      </w:r>
      <w:r>
        <w:rPr>
          <w:color w:val="803108"/>
          <w:spacing w:val="-11"/>
          <w:w w:val="105"/>
          <w:sz w:val="16"/>
        </w:rPr>
        <w:t xml:space="preserve"> </w:t>
      </w:r>
      <w:r>
        <w:rPr>
          <w:color w:val="803108"/>
          <w:w w:val="105"/>
          <w:sz w:val="16"/>
        </w:rPr>
        <w:t>rechazar</w:t>
      </w:r>
      <w:r>
        <w:rPr>
          <w:color w:val="803108"/>
          <w:spacing w:val="-11"/>
          <w:w w:val="105"/>
          <w:sz w:val="16"/>
        </w:rPr>
        <w:t xml:space="preserve"> </w:t>
      </w:r>
      <w:r>
        <w:rPr>
          <w:color w:val="803108"/>
          <w:w w:val="105"/>
          <w:sz w:val="16"/>
        </w:rPr>
        <w:t>la</w:t>
      </w:r>
      <w:r>
        <w:rPr>
          <w:color w:val="803108"/>
          <w:spacing w:val="-11"/>
          <w:w w:val="105"/>
          <w:sz w:val="16"/>
        </w:rPr>
        <w:t xml:space="preserve"> </w:t>
      </w:r>
      <w:r>
        <w:rPr>
          <w:color w:val="803108"/>
          <w:w w:val="105"/>
          <w:sz w:val="16"/>
        </w:rPr>
        <w:t>asimilación</w:t>
      </w:r>
      <w:r>
        <w:rPr>
          <w:color w:val="803108"/>
          <w:spacing w:val="-11"/>
          <w:w w:val="105"/>
          <w:sz w:val="16"/>
        </w:rPr>
        <w:t xml:space="preserve"> </w:t>
      </w:r>
      <w:r>
        <w:rPr>
          <w:color w:val="803108"/>
          <w:w w:val="105"/>
          <w:sz w:val="16"/>
        </w:rPr>
        <w:t>forzada;</w:t>
      </w:r>
      <w:r>
        <w:rPr>
          <w:color w:val="803108"/>
          <w:spacing w:val="-11"/>
          <w:w w:val="105"/>
          <w:sz w:val="16"/>
        </w:rPr>
        <w:t xml:space="preserve"> </w:t>
      </w:r>
      <w:r>
        <w:rPr>
          <w:color w:val="803108"/>
          <w:w w:val="105"/>
          <w:sz w:val="16"/>
        </w:rPr>
        <w:t>(c)</w:t>
      </w:r>
      <w:r>
        <w:rPr>
          <w:color w:val="803108"/>
          <w:spacing w:val="-11"/>
          <w:w w:val="105"/>
          <w:sz w:val="16"/>
        </w:rPr>
        <w:t xml:space="preserve"> </w:t>
      </w:r>
      <w:r>
        <w:rPr>
          <w:color w:val="803108"/>
          <w:w w:val="105"/>
          <w:sz w:val="16"/>
        </w:rPr>
        <w:t>la garantía</w:t>
      </w:r>
      <w:r>
        <w:rPr>
          <w:color w:val="803108"/>
          <w:spacing w:val="-6"/>
          <w:w w:val="105"/>
          <w:sz w:val="16"/>
        </w:rPr>
        <w:t xml:space="preserve"> </w:t>
      </w:r>
      <w:r>
        <w:rPr>
          <w:color w:val="803108"/>
          <w:w w:val="105"/>
          <w:sz w:val="16"/>
        </w:rPr>
        <w:t>de</w:t>
      </w:r>
      <w:r>
        <w:rPr>
          <w:color w:val="803108"/>
          <w:spacing w:val="-5"/>
          <w:w w:val="105"/>
          <w:sz w:val="16"/>
        </w:rPr>
        <w:t xml:space="preserve"> </w:t>
      </w:r>
      <w:r>
        <w:rPr>
          <w:color w:val="803108"/>
          <w:w w:val="105"/>
          <w:sz w:val="16"/>
        </w:rPr>
        <w:t>los</w:t>
      </w:r>
      <w:r>
        <w:rPr>
          <w:color w:val="803108"/>
          <w:spacing w:val="-5"/>
          <w:w w:val="105"/>
          <w:sz w:val="16"/>
        </w:rPr>
        <w:t xml:space="preserve"> </w:t>
      </w:r>
      <w:r>
        <w:rPr>
          <w:color w:val="803108"/>
          <w:w w:val="105"/>
          <w:sz w:val="16"/>
        </w:rPr>
        <w:t>derechos</w:t>
      </w:r>
      <w:r>
        <w:rPr>
          <w:color w:val="803108"/>
          <w:spacing w:val="-5"/>
          <w:w w:val="105"/>
          <w:sz w:val="16"/>
        </w:rPr>
        <w:t xml:space="preserve"> </w:t>
      </w:r>
      <w:r>
        <w:rPr>
          <w:color w:val="803108"/>
          <w:w w:val="105"/>
          <w:sz w:val="16"/>
        </w:rPr>
        <w:t>a</w:t>
      </w:r>
      <w:r>
        <w:rPr>
          <w:color w:val="803108"/>
          <w:spacing w:val="-5"/>
          <w:w w:val="105"/>
          <w:sz w:val="16"/>
        </w:rPr>
        <w:t xml:space="preserve"> </w:t>
      </w:r>
      <w:r>
        <w:rPr>
          <w:color w:val="803108"/>
          <w:w w:val="105"/>
          <w:sz w:val="16"/>
        </w:rPr>
        <w:t>la</w:t>
      </w:r>
      <w:r>
        <w:rPr>
          <w:color w:val="803108"/>
          <w:spacing w:val="-5"/>
          <w:w w:val="105"/>
          <w:sz w:val="16"/>
        </w:rPr>
        <w:t xml:space="preserve"> </w:t>
      </w:r>
      <w:r>
        <w:rPr>
          <w:color w:val="803108"/>
          <w:w w:val="105"/>
          <w:sz w:val="16"/>
        </w:rPr>
        <w:t>no</w:t>
      </w:r>
      <w:r>
        <w:rPr>
          <w:color w:val="803108"/>
          <w:spacing w:val="-5"/>
          <w:w w:val="105"/>
          <w:sz w:val="16"/>
        </w:rPr>
        <w:t xml:space="preserve"> </w:t>
      </w:r>
      <w:r>
        <w:rPr>
          <w:color w:val="803108"/>
          <w:w w:val="105"/>
          <w:sz w:val="16"/>
        </w:rPr>
        <w:t>discriminación</w:t>
      </w:r>
      <w:r>
        <w:rPr>
          <w:color w:val="803108"/>
          <w:spacing w:val="-5"/>
          <w:w w:val="105"/>
          <w:sz w:val="16"/>
        </w:rPr>
        <w:t xml:space="preserve"> </w:t>
      </w:r>
      <w:r>
        <w:rPr>
          <w:color w:val="803108"/>
          <w:w w:val="105"/>
          <w:sz w:val="16"/>
        </w:rPr>
        <w:t>y</w:t>
      </w:r>
      <w:r>
        <w:rPr>
          <w:color w:val="803108"/>
          <w:spacing w:val="-5"/>
          <w:w w:val="105"/>
          <w:sz w:val="16"/>
        </w:rPr>
        <w:t xml:space="preserve"> </w:t>
      </w:r>
      <w:r>
        <w:rPr>
          <w:color w:val="803108"/>
          <w:w w:val="105"/>
          <w:sz w:val="16"/>
        </w:rPr>
        <w:t>la</w:t>
      </w:r>
      <w:r>
        <w:rPr>
          <w:color w:val="803108"/>
          <w:spacing w:val="-5"/>
          <w:w w:val="105"/>
          <w:sz w:val="16"/>
        </w:rPr>
        <w:t xml:space="preserve"> </w:t>
      </w:r>
      <w:r>
        <w:rPr>
          <w:color w:val="803108"/>
          <w:w w:val="105"/>
          <w:sz w:val="16"/>
        </w:rPr>
        <w:t>igualdad,</w:t>
      </w:r>
      <w:r>
        <w:rPr>
          <w:color w:val="803108"/>
          <w:spacing w:val="-5"/>
          <w:w w:val="105"/>
          <w:sz w:val="16"/>
        </w:rPr>
        <w:t xml:space="preserve"> </w:t>
      </w:r>
      <w:r>
        <w:rPr>
          <w:color w:val="803108"/>
          <w:w w:val="105"/>
          <w:sz w:val="16"/>
        </w:rPr>
        <w:t>incluido</w:t>
      </w:r>
      <w:r>
        <w:rPr>
          <w:color w:val="803108"/>
          <w:spacing w:val="-5"/>
          <w:w w:val="105"/>
          <w:sz w:val="16"/>
        </w:rPr>
        <w:t xml:space="preserve"> </w:t>
      </w:r>
      <w:r>
        <w:rPr>
          <w:color w:val="803108"/>
          <w:w w:val="105"/>
          <w:sz w:val="16"/>
        </w:rPr>
        <w:t>el</w:t>
      </w:r>
      <w:r>
        <w:rPr>
          <w:color w:val="803108"/>
          <w:spacing w:val="-5"/>
          <w:w w:val="105"/>
          <w:sz w:val="16"/>
        </w:rPr>
        <w:t xml:space="preserve"> </w:t>
      </w:r>
      <w:r>
        <w:rPr>
          <w:color w:val="803108"/>
          <w:w w:val="105"/>
          <w:sz w:val="16"/>
        </w:rPr>
        <w:t>fin</w:t>
      </w:r>
      <w:r>
        <w:rPr>
          <w:color w:val="803108"/>
          <w:spacing w:val="-5"/>
          <w:w w:val="105"/>
          <w:sz w:val="16"/>
        </w:rPr>
        <w:t xml:space="preserve"> </w:t>
      </w:r>
      <w:r>
        <w:rPr>
          <w:color w:val="803108"/>
          <w:w w:val="105"/>
          <w:sz w:val="16"/>
        </w:rPr>
        <w:t>de</w:t>
      </w:r>
      <w:r>
        <w:rPr>
          <w:color w:val="803108"/>
          <w:spacing w:val="-5"/>
          <w:w w:val="105"/>
          <w:sz w:val="16"/>
        </w:rPr>
        <w:t xml:space="preserve"> </w:t>
      </w:r>
      <w:r>
        <w:rPr>
          <w:color w:val="803108"/>
          <w:w w:val="105"/>
          <w:sz w:val="16"/>
        </w:rPr>
        <w:t>la</w:t>
      </w:r>
      <w:r>
        <w:rPr>
          <w:color w:val="803108"/>
          <w:spacing w:val="-5"/>
          <w:w w:val="105"/>
          <w:sz w:val="16"/>
        </w:rPr>
        <w:t xml:space="preserve"> </w:t>
      </w:r>
      <w:r>
        <w:rPr>
          <w:color w:val="803108"/>
          <w:w w:val="105"/>
          <w:sz w:val="16"/>
        </w:rPr>
        <w:t>discriminación</w:t>
      </w:r>
      <w:r>
        <w:rPr>
          <w:color w:val="803108"/>
          <w:spacing w:val="-5"/>
          <w:w w:val="105"/>
          <w:sz w:val="16"/>
        </w:rPr>
        <w:t xml:space="preserve"> </w:t>
      </w:r>
      <w:r>
        <w:rPr>
          <w:color w:val="803108"/>
          <w:w w:val="105"/>
          <w:sz w:val="16"/>
        </w:rPr>
        <w:t>estructural</w:t>
      </w:r>
      <w:r>
        <w:rPr>
          <w:color w:val="803108"/>
          <w:spacing w:val="-5"/>
          <w:w w:val="105"/>
          <w:sz w:val="16"/>
        </w:rPr>
        <w:t xml:space="preserve"> </w:t>
      </w:r>
      <w:r>
        <w:rPr>
          <w:color w:val="803108"/>
          <w:w w:val="105"/>
          <w:sz w:val="16"/>
        </w:rPr>
        <w:t>o sistémica</w:t>
      </w:r>
      <w:r>
        <w:rPr>
          <w:color w:val="803108"/>
          <w:spacing w:val="-11"/>
          <w:w w:val="105"/>
          <w:sz w:val="16"/>
        </w:rPr>
        <w:t xml:space="preserve"> </w:t>
      </w:r>
      <w:r>
        <w:rPr>
          <w:color w:val="803108"/>
          <w:w w:val="105"/>
          <w:sz w:val="16"/>
        </w:rPr>
        <w:t>y</w:t>
      </w:r>
      <w:r>
        <w:rPr>
          <w:color w:val="803108"/>
          <w:spacing w:val="-11"/>
          <w:w w:val="105"/>
          <w:sz w:val="16"/>
        </w:rPr>
        <w:t xml:space="preserve"> </w:t>
      </w:r>
      <w:r>
        <w:rPr>
          <w:color w:val="803108"/>
          <w:w w:val="105"/>
          <w:sz w:val="16"/>
        </w:rPr>
        <w:t>la</w:t>
      </w:r>
      <w:r>
        <w:rPr>
          <w:color w:val="803108"/>
          <w:spacing w:val="-11"/>
          <w:w w:val="105"/>
          <w:sz w:val="16"/>
        </w:rPr>
        <w:t xml:space="preserve"> </w:t>
      </w:r>
      <w:r>
        <w:rPr>
          <w:color w:val="803108"/>
          <w:w w:val="105"/>
          <w:sz w:val="16"/>
        </w:rPr>
        <w:t>promoción</w:t>
      </w:r>
      <w:r>
        <w:rPr>
          <w:color w:val="803108"/>
          <w:spacing w:val="-11"/>
          <w:w w:val="105"/>
          <w:sz w:val="16"/>
        </w:rPr>
        <w:t xml:space="preserve"> </w:t>
      </w:r>
      <w:r>
        <w:rPr>
          <w:color w:val="803108"/>
          <w:w w:val="105"/>
          <w:sz w:val="16"/>
        </w:rPr>
        <w:t>de</w:t>
      </w:r>
      <w:r>
        <w:rPr>
          <w:color w:val="803108"/>
          <w:spacing w:val="-11"/>
          <w:w w:val="105"/>
          <w:sz w:val="16"/>
        </w:rPr>
        <w:t xml:space="preserve"> </w:t>
      </w:r>
      <w:r>
        <w:rPr>
          <w:color w:val="803108"/>
          <w:w w:val="105"/>
          <w:sz w:val="16"/>
        </w:rPr>
        <w:t>acciones</w:t>
      </w:r>
      <w:r>
        <w:rPr>
          <w:color w:val="803108"/>
          <w:spacing w:val="-11"/>
          <w:w w:val="105"/>
          <w:sz w:val="16"/>
        </w:rPr>
        <w:t xml:space="preserve"> </w:t>
      </w:r>
      <w:r>
        <w:rPr>
          <w:color w:val="803108"/>
          <w:w w:val="105"/>
          <w:sz w:val="16"/>
        </w:rPr>
        <w:t>afirmativas</w:t>
      </w:r>
      <w:r>
        <w:rPr>
          <w:color w:val="803108"/>
          <w:spacing w:val="-12"/>
          <w:w w:val="105"/>
          <w:sz w:val="16"/>
        </w:rPr>
        <w:t xml:space="preserve"> </w:t>
      </w:r>
      <w:r>
        <w:rPr>
          <w:color w:val="803108"/>
          <w:w w:val="105"/>
          <w:sz w:val="16"/>
        </w:rPr>
        <w:t>cuando</w:t>
      </w:r>
      <w:r>
        <w:rPr>
          <w:color w:val="803108"/>
          <w:spacing w:val="-11"/>
          <w:w w:val="105"/>
          <w:sz w:val="16"/>
        </w:rPr>
        <w:t xml:space="preserve"> </w:t>
      </w:r>
      <w:r>
        <w:rPr>
          <w:color w:val="803108"/>
          <w:w w:val="105"/>
          <w:sz w:val="16"/>
        </w:rPr>
        <w:t>sea</w:t>
      </w:r>
      <w:r>
        <w:rPr>
          <w:color w:val="803108"/>
          <w:spacing w:val="-11"/>
          <w:w w:val="105"/>
          <w:sz w:val="16"/>
        </w:rPr>
        <w:t xml:space="preserve"> </w:t>
      </w:r>
      <w:r>
        <w:rPr>
          <w:color w:val="803108"/>
          <w:w w:val="105"/>
          <w:sz w:val="16"/>
        </w:rPr>
        <w:t>necesario;</w:t>
      </w:r>
      <w:r>
        <w:rPr>
          <w:color w:val="803108"/>
          <w:spacing w:val="-10"/>
          <w:w w:val="105"/>
          <w:sz w:val="16"/>
        </w:rPr>
        <w:t xml:space="preserve"> </w:t>
      </w:r>
      <w:r>
        <w:rPr>
          <w:color w:val="803108"/>
          <w:w w:val="105"/>
          <w:sz w:val="16"/>
        </w:rPr>
        <w:t>y</w:t>
      </w:r>
      <w:r>
        <w:rPr>
          <w:color w:val="803108"/>
          <w:spacing w:val="-11"/>
          <w:w w:val="105"/>
          <w:sz w:val="16"/>
        </w:rPr>
        <w:t xml:space="preserve"> </w:t>
      </w:r>
      <w:r>
        <w:rPr>
          <w:color w:val="803108"/>
          <w:w w:val="105"/>
          <w:sz w:val="16"/>
        </w:rPr>
        <w:t>(d)</w:t>
      </w:r>
      <w:r>
        <w:rPr>
          <w:color w:val="803108"/>
          <w:spacing w:val="-11"/>
          <w:w w:val="105"/>
          <w:sz w:val="16"/>
        </w:rPr>
        <w:t xml:space="preserve"> </w:t>
      </w:r>
      <w:r>
        <w:rPr>
          <w:color w:val="803108"/>
          <w:w w:val="105"/>
          <w:sz w:val="16"/>
        </w:rPr>
        <w:t>la</w:t>
      </w:r>
      <w:r>
        <w:rPr>
          <w:color w:val="803108"/>
          <w:spacing w:val="-11"/>
          <w:w w:val="105"/>
          <w:sz w:val="16"/>
        </w:rPr>
        <w:t xml:space="preserve"> </w:t>
      </w:r>
      <w:r>
        <w:rPr>
          <w:color w:val="803108"/>
          <w:w w:val="105"/>
          <w:sz w:val="16"/>
        </w:rPr>
        <w:t>garantía</w:t>
      </w:r>
      <w:r>
        <w:rPr>
          <w:color w:val="803108"/>
          <w:spacing w:val="-12"/>
          <w:w w:val="105"/>
          <w:sz w:val="16"/>
        </w:rPr>
        <w:t xml:space="preserve"> </w:t>
      </w:r>
      <w:r>
        <w:rPr>
          <w:color w:val="803108"/>
          <w:w w:val="105"/>
          <w:sz w:val="16"/>
        </w:rPr>
        <w:t>del</w:t>
      </w:r>
      <w:r>
        <w:rPr>
          <w:color w:val="803108"/>
          <w:spacing w:val="-11"/>
          <w:w w:val="105"/>
          <w:sz w:val="16"/>
        </w:rPr>
        <w:t xml:space="preserve"> </w:t>
      </w:r>
      <w:r>
        <w:rPr>
          <w:color w:val="803108"/>
          <w:w w:val="105"/>
          <w:sz w:val="16"/>
        </w:rPr>
        <w:t>derecho</w:t>
      </w:r>
      <w:r>
        <w:rPr>
          <w:color w:val="803108"/>
          <w:spacing w:val="-11"/>
          <w:w w:val="105"/>
          <w:sz w:val="16"/>
        </w:rPr>
        <w:t xml:space="preserve"> </w:t>
      </w:r>
      <w:r>
        <w:rPr>
          <w:color w:val="803108"/>
          <w:w w:val="105"/>
          <w:sz w:val="16"/>
        </w:rPr>
        <w:t>a</w:t>
      </w:r>
      <w:r>
        <w:rPr>
          <w:color w:val="803108"/>
          <w:spacing w:val="-11"/>
          <w:w w:val="105"/>
          <w:sz w:val="16"/>
        </w:rPr>
        <w:t xml:space="preserve"> </w:t>
      </w:r>
      <w:r>
        <w:rPr>
          <w:color w:val="803108"/>
          <w:w w:val="105"/>
          <w:sz w:val="16"/>
        </w:rPr>
        <w:t>la participación</w:t>
      </w:r>
      <w:r>
        <w:rPr>
          <w:color w:val="803108"/>
          <w:spacing w:val="-5"/>
          <w:w w:val="105"/>
          <w:sz w:val="16"/>
        </w:rPr>
        <w:t xml:space="preserve"> </w:t>
      </w:r>
      <w:r>
        <w:rPr>
          <w:color w:val="803108"/>
          <w:w w:val="105"/>
          <w:sz w:val="16"/>
        </w:rPr>
        <w:t>efectiva</w:t>
      </w:r>
      <w:r>
        <w:rPr>
          <w:color w:val="803108"/>
          <w:spacing w:val="-5"/>
          <w:w w:val="105"/>
          <w:sz w:val="16"/>
        </w:rPr>
        <w:t xml:space="preserve"> </w:t>
      </w:r>
      <w:r>
        <w:rPr>
          <w:color w:val="803108"/>
          <w:w w:val="105"/>
          <w:sz w:val="16"/>
        </w:rPr>
        <w:t>de</w:t>
      </w:r>
      <w:r>
        <w:rPr>
          <w:color w:val="803108"/>
          <w:spacing w:val="-5"/>
          <w:w w:val="105"/>
          <w:sz w:val="16"/>
        </w:rPr>
        <w:t xml:space="preserve"> </w:t>
      </w:r>
      <w:r>
        <w:rPr>
          <w:color w:val="803108"/>
          <w:w w:val="105"/>
          <w:sz w:val="16"/>
        </w:rPr>
        <w:t>los</w:t>
      </w:r>
      <w:r>
        <w:rPr>
          <w:color w:val="803108"/>
          <w:spacing w:val="-5"/>
          <w:w w:val="105"/>
          <w:sz w:val="16"/>
        </w:rPr>
        <w:t xml:space="preserve"> </w:t>
      </w:r>
      <w:r>
        <w:rPr>
          <w:color w:val="803108"/>
          <w:w w:val="105"/>
          <w:sz w:val="16"/>
        </w:rPr>
        <w:t>miembros</w:t>
      </w:r>
      <w:r>
        <w:rPr>
          <w:color w:val="803108"/>
          <w:spacing w:val="-5"/>
          <w:w w:val="105"/>
          <w:sz w:val="16"/>
        </w:rPr>
        <w:t xml:space="preserve"> </w:t>
      </w:r>
      <w:r>
        <w:rPr>
          <w:color w:val="803108"/>
          <w:w w:val="105"/>
          <w:sz w:val="16"/>
        </w:rPr>
        <w:t>de</w:t>
      </w:r>
      <w:r>
        <w:rPr>
          <w:color w:val="803108"/>
          <w:spacing w:val="-5"/>
          <w:w w:val="105"/>
          <w:sz w:val="16"/>
        </w:rPr>
        <w:t xml:space="preserve"> </w:t>
      </w:r>
      <w:r>
        <w:rPr>
          <w:color w:val="803108"/>
          <w:w w:val="105"/>
          <w:sz w:val="16"/>
        </w:rPr>
        <w:t>las</w:t>
      </w:r>
      <w:r>
        <w:rPr>
          <w:color w:val="803108"/>
          <w:spacing w:val="-5"/>
          <w:w w:val="105"/>
          <w:sz w:val="16"/>
        </w:rPr>
        <w:t xml:space="preserve"> </w:t>
      </w:r>
      <w:r>
        <w:rPr>
          <w:color w:val="803108"/>
          <w:w w:val="105"/>
          <w:sz w:val="16"/>
        </w:rPr>
        <w:t>minorías</w:t>
      </w:r>
      <w:r>
        <w:rPr>
          <w:color w:val="803108"/>
          <w:spacing w:val="-6"/>
          <w:w w:val="105"/>
          <w:sz w:val="16"/>
        </w:rPr>
        <w:t xml:space="preserve"> </w:t>
      </w:r>
      <w:r>
        <w:rPr>
          <w:color w:val="803108"/>
          <w:w w:val="105"/>
          <w:sz w:val="16"/>
        </w:rPr>
        <w:t>en</w:t>
      </w:r>
      <w:r>
        <w:rPr>
          <w:color w:val="803108"/>
          <w:spacing w:val="-5"/>
          <w:w w:val="105"/>
          <w:sz w:val="16"/>
        </w:rPr>
        <w:t xml:space="preserve"> </w:t>
      </w:r>
      <w:r>
        <w:rPr>
          <w:color w:val="803108"/>
          <w:w w:val="105"/>
          <w:sz w:val="16"/>
        </w:rPr>
        <w:t>la</w:t>
      </w:r>
      <w:r>
        <w:rPr>
          <w:color w:val="803108"/>
          <w:spacing w:val="-5"/>
          <w:w w:val="105"/>
          <w:sz w:val="16"/>
        </w:rPr>
        <w:t xml:space="preserve"> </w:t>
      </w:r>
      <w:r>
        <w:rPr>
          <w:color w:val="803108"/>
          <w:w w:val="105"/>
          <w:sz w:val="16"/>
        </w:rPr>
        <w:t>vida</w:t>
      </w:r>
      <w:r>
        <w:rPr>
          <w:color w:val="803108"/>
          <w:spacing w:val="-5"/>
          <w:w w:val="105"/>
          <w:sz w:val="16"/>
        </w:rPr>
        <w:t xml:space="preserve"> </w:t>
      </w:r>
      <w:r>
        <w:rPr>
          <w:color w:val="803108"/>
          <w:w w:val="105"/>
          <w:sz w:val="16"/>
        </w:rPr>
        <w:t>pública,</w:t>
      </w:r>
      <w:r>
        <w:rPr>
          <w:color w:val="803108"/>
          <w:spacing w:val="-5"/>
          <w:w w:val="105"/>
          <w:sz w:val="16"/>
        </w:rPr>
        <w:t xml:space="preserve"> </w:t>
      </w:r>
      <w:r>
        <w:rPr>
          <w:color w:val="803108"/>
          <w:w w:val="105"/>
          <w:sz w:val="16"/>
        </w:rPr>
        <w:t>especialmente</w:t>
      </w:r>
      <w:r>
        <w:rPr>
          <w:color w:val="803108"/>
          <w:spacing w:val="-5"/>
          <w:w w:val="105"/>
          <w:sz w:val="16"/>
        </w:rPr>
        <w:t xml:space="preserve"> </w:t>
      </w:r>
      <w:r>
        <w:rPr>
          <w:color w:val="803108"/>
          <w:w w:val="105"/>
          <w:sz w:val="16"/>
        </w:rPr>
        <w:t>en</w:t>
      </w:r>
      <w:r>
        <w:rPr>
          <w:color w:val="803108"/>
          <w:spacing w:val="-5"/>
          <w:w w:val="105"/>
          <w:sz w:val="16"/>
        </w:rPr>
        <w:t xml:space="preserve"> </w:t>
      </w:r>
      <w:r>
        <w:rPr>
          <w:color w:val="803108"/>
          <w:w w:val="105"/>
          <w:sz w:val="16"/>
        </w:rPr>
        <w:t>lo</w:t>
      </w:r>
      <w:r>
        <w:rPr>
          <w:color w:val="803108"/>
          <w:spacing w:val="-5"/>
          <w:w w:val="105"/>
          <w:sz w:val="16"/>
        </w:rPr>
        <w:t xml:space="preserve"> </w:t>
      </w:r>
      <w:r>
        <w:rPr>
          <w:color w:val="803108"/>
          <w:w w:val="105"/>
          <w:sz w:val="16"/>
        </w:rPr>
        <w:t>que</w:t>
      </w:r>
      <w:r>
        <w:rPr>
          <w:color w:val="803108"/>
          <w:spacing w:val="-5"/>
          <w:w w:val="105"/>
          <w:sz w:val="16"/>
        </w:rPr>
        <w:t xml:space="preserve"> </w:t>
      </w:r>
      <w:r>
        <w:rPr>
          <w:color w:val="803108"/>
          <w:w w:val="105"/>
          <w:sz w:val="16"/>
        </w:rPr>
        <w:t>respecta</w:t>
      </w:r>
      <w:r>
        <w:rPr>
          <w:color w:val="803108"/>
          <w:spacing w:val="-5"/>
          <w:w w:val="105"/>
          <w:sz w:val="16"/>
        </w:rPr>
        <w:t xml:space="preserve"> </w:t>
      </w:r>
      <w:r>
        <w:rPr>
          <w:color w:val="803108"/>
          <w:w w:val="105"/>
          <w:sz w:val="16"/>
        </w:rPr>
        <w:t>a</w:t>
      </w:r>
      <w:r>
        <w:rPr>
          <w:color w:val="803108"/>
          <w:spacing w:val="-5"/>
          <w:w w:val="105"/>
          <w:sz w:val="16"/>
        </w:rPr>
        <w:t xml:space="preserve"> </w:t>
      </w:r>
      <w:r>
        <w:rPr>
          <w:color w:val="803108"/>
          <w:w w:val="105"/>
          <w:sz w:val="16"/>
        </w:rPr>
        <w:t>las decisiones que los afectan.877</w:t>
      </w:r>
    </w:p>
    <w:p w14:paraId="55AF889B" w14:textId="77777777" w:rsidR="0014798C" w:rsidRDefault="0014798C">
      <w:pPr>
        <w:pStyle w:val="Textoindependiente"/>
        <w:rPr>
          <w:sz w:val="20"/>
        </w:rPr>
      </w:pPr>
    </w:p>
    <w:p w14:paraId="4A188DE8" w14:textId="77777777" w:rsidR="0014798C" w:rsidRDefault="0014798C">
      <w:pPr>
        <w:pStyle w:val="Textoindependiente"/>
        <w:rPr>
          <w:sz w:val="20"/>
        </w:rPr>
      </w:pPr>
    </w:p>
    <w:p w14:paraId="2B08D0D4" w14:textId="77777777" w:rsidR="0014798C" w:rsidRDefault="0014798C">
      <w:pPr>
        <w:pStyle w:val="Textoindependiente"/>
        <w:rPr>
          <w:sz w:val="20"/>
        </w:rPr>
      </w:pPr>
    </w:p>
    <w:p w14:paraId="0C401CCD" w14:textId="77777777" w:rsidR="0014798C" w:rsidRDefault="004E1F0B">
      <w:pPr>
        <w:pStyle w:val="Textoindependiente"/>
        <w:spacing w:before="68"/>
        <w:rPr>
          <w:sz w:val="20"/>
        </w:rPr>
      </w:pPr>
      <w:r>
        <w:rPr>
          <w:noProof/>
        </w:rPr>
        <w:drawing>
          <wp:anchor distT="0" distB="0" distL="0" distR="0" simplePos="0" relativeHeight="251658545" behindDoc="1" locked="0" layoutInCell="1" allowOverlap="1" wp14:anchorId="66BE8962" wp14:editId="36A971F5">
            <wp:simplePos x="0" y="0"/>
            <wp:positionH relativeFrom="page">
              <wp:posOffset>826632</wp:posOffset>
            </wp:positionH>
            <wp:positionV relativeFrom="paragraph">
              <wp:posOffset>205064</wp:posOffset>
            </wp:positionV>
            <wp:extent cx="931001" cy="35813"/>
            <wp:effectExtent l="0" t="0" r="0" b="0"/>
            <wp:wrapTopAndBottom/>
            <wp:docPr id="268" name="Image 26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68" name="Image 268"/>
                    <pic:cNvPicPr/>
                  </pic:nvPicPr>
                  <pic:blipFill>
                    <a:blip r:embed="rId241" cstate="print"/>
                    <a:stretch>
                      <a:fillRect/>
                    </a:stretch>
                  </pic:blipFill>
                  <pic:spPr>
                    <a:xfrm>
                      <a:off x="0" y="0"/>
                      <a:ext cx="931001" cy="35813"/>
                    </a:xfrm>
                    <a:prstGeom prst="rect">
                      <a:avLst/>
                    </a:prstGeom>
                  </pic:spPr>
                </pic:pic>
              </a:graphicData>
            </a:graphic>
          </wp:anchor>
        </w:drawing>
      </w:r>
    </w:p>
    <w:p w14:paraId="129D9867" w14:textId="77777777" w:rsidR="0014798C" w:rsidRDefault="0014798C">
      <w:pPr>
        <w:pStyle w:val="Textoindependiente"/>
        <w:spacing w:before="18"/>
        <w:rPr>
          <w:sz w:val="12"/>
        </w:rPr>
      </w:pPr>
    </w:p>
    <w:p w14:paraId="42EC562C" w14:textId="77777777" w:rsidR="0014798C" w:rsidRDefault="004E1F0B">
      <w:pPr>
        <w:pStyle w:val="Prrafodelista"/>
        <w:numPr>
          <w:ilvl w:val="0"/>
          <w:numId w:val="24"/>
        </w:numPr>
        <w:tabs>
          <w:tab w:val="left" w:pos="1340"/>
        </w:tabs>
        <w:ind w:left="1340" w:hanging="230"/>
        <w:rPr>
          <w:sz w:val="12"/>
        </w:rPr>
      </w:pPr>
      <w:r>
        <w:rPr>
          <w:sz w:val="12"/>
        </w:rPr>
        <w:t>En</w:t>
      </w:r>
      <w:r>
        <w:rPr>
          <w:spacing w:val="-6"/>
          <w:sz w:val="12"/>
        </w:rPr>
        <w:t xml:space="preserve"> </w:t>
      </w:r>
      <w:r>
        <w:rPr>
          <w:sz w:val="12"/>
        </w:rPr>
        <w:t>particular</w:t>
      </w:r>
      <w:r>
        <w:rPr>
          <w:spacing w:val="-6"/>
          <w:sz w:val="12"/>
        </w:rPr>
        <w:t xml:space="preserve"> </w:t>
      </w:r>
      <w:r>
        <w:rPr>
          <w:sz w:val="12"/>
        </w:rPr>
        <w:t>en</w:t>
      </w:r>
      <w:r>
        <w:rPr>
          <w:spacing w:val="-6"/>
          <w:sz w:val="12"/>
        </w:rPr>
        <w:t xml:space="preserve"> </w:t>
      </w:r>
      <w:r>
        <w:rPr>
          <w:sz w:val="12"/>
        </w:rPr>
        <w:t>lo</w:t>
      </w:r>
      <w:r>
        <w:rPr>
          <w:spacing w:val="-6"/>
          <w:sz w:val="12"/>
        </w:rPr>
        <w:t xml:space="preserve"> </w:t>
      </w:r>
      <w:r>
        <w:rPr>
          <w:sz w:val="12"/>
        </w:rPr>
        <w:t>que</w:t>
      </w:r>
      <w:r>
        <w:rPr>
          <w:spacing w:val="-6"/>
          <w:sz w:val="12"/>
        </w:rPr>
        <w:t xml:space="preserve"> </w:t>
      </w:r>
      <w:r>
        <w:rPr>
          <w:sz w:val="12"/>
        </w:rPr>
        <w:t>se</w:t>
      </w:r>
      <w:r>
        <w:rPr>
          <w:spacing w:val="-6"/>
          <w:sz w:val="12"/>
        </w:rPr>
        <w:t xml:space="preserve"> </w:t>
      </w:r>
      <w:r>
        <w:rPr>
          <w:sz w:val="12"/>
        </w:rPr>
        <w:t>refiere</w:t>
      </w:r>
      <w:r>
        <w:rPr>
          <w:spacing w:val="-5"/>
          <w:sz w:val="12"/>
        </w:rPr>
        <w:t xml:space="preserve"> </w:t>
      </w:r>
      <w:r>
        <w:rPr>
          <w:sz w:val="12"/>
        </w:rPr>
        <w:t>al</w:t>
      </w:r>
      <w:r>
        <w:rPr>
          <w:spacing w:val="-6"/>
          <w:sz w:val="12"/>
        </w:rPr>
        <w:t xml:space="preserve"> </w:t>
      </w:r>
      <w:r>
        <w:rPr>
          <w:sz w:val="12"/>
        </w:rPr>
        <w:t>Convenio</w:t>
      </w:r>
      <w:r>
        <w:rPr>
          <w:spacing w:val="-6"/>
          <w:sz w:val="12"/>
        </w:rPr>
        <w:t xml:space="preserve"> </w:t>
      </w:r>
      <w:r>
        <w:rPr>
          <w:sz w:val="12"/>
        </w:rPr>
        <w:t>Marco</w:t>
      </w:r>
      <w:r>
        <w:rPr>
          <w:spacing w:val="-6"/>
          <w:sz w:val="12"/>
        </w:rPr>
        <w:t xml:space="preserve"> </w:t>
      </w:r>
      <w:r>
        <w:rPr>
          <w:sz w:val="12"/>
        </w:rPr>
        <w:t>del</w:t>
      </w:r>
      <w:r>
        <w:rPr>
          <w:spacing w:val="-6"/>
          <w:sz w:val="12"/>
        </w:rPr>
        <w:t xml:space="preserve"> </w:t>
      </w:r>
      <w:r>
        <w:rPr>
          <w:sz w:val="12"/>
        </w:rPr>
        <w:t>Consejo</w:t>
      </w:r>
      <w:r>
        <w:rPr>
          <w:spacing w:val="-6"/>
          <w:sz w:val="12"/>
        </w:rPr>
        <w:t xml:space="preserve"> </w:t>
      </w:r>
      <w:r>
        <w:rPr>
          <w:sz w:val="12"/>
        </w:rPr>
        <w:t>de</w:t>
      </w:r>
      <w:r>
        <w:rPr>
          <w:spacing w:val="-5"/>
          <w:sz w:val="12"/>
        </w:rPr>
        <w:t xml:space="preserve"> </w:t>
      </w:r>
      <w:r>
        <w:rPr>
          <w:sz w:val="12"/>
        </w:rPr>
        <w:t>Europa</w:t>
      </w:r>
      <w:r>
        <w:rPr>
          <w:spacing w:val="-6"/>
          <w:sz w:val="12"/>
        </w:rPr>
        <w:t xml:space="preserve"> </w:t>
      </w:r>
      <w:r>
        <w:rPr>
          <w:sz w:val="12"/>
        </w:rPr>
        <w:t>para</w:t>
      </w:r>
      <w:r>
        <w:rPr>
          <w:spacing w:val="-6"/>
          <w:sz w:val="12"/>
        </w:rPr>
        <w:t xml:space="preserve"> </w:t>
      </w:r>
      <w:r>
        <w:rPr>
          <w:sz w:val="12"/>
        </w:rPr>
        <w:t>la</w:t>
      </w:r>
      <w:r>
        <w:rPr>
          <w:spacing w:val="-6"/>
          <w:sz w:val="12"/>
        </w:rPr>
        <w:t xml:space="preserve"> </w:t>
      </w:r>
      <w:r>
        <w:rPr>
          <w:sz w:val="12"/>
        </w:rPr>
        <w:t>Protección</w:t>
      </w:r>
      <w:r>
        <w:rPr>
          <w:spacing w:val="-6"/>
          <w:sz w:val="12"/>
        </w:rPr>
        <w:t xml:space="preserve"> </w:t>
      </w:r>
      <w:r>
        <w:rPr>
          <w:sz w:val="12"/>
        </w:rPr>
        <w:t>de</w:t>
      </w:r>
      <w:r>
        <w:rPr>
          <w:spacing w:val="-6"/>
          <w:sz w:val="12"/>
        </w:rPr>
        <w:t xml:space="preserve"> </w:t>
      </w:r>
      <w:r>
        <w:rPr>
          <w:sz w:val="12"/>
        </w:rPr>
        <w:t>las</w:t>
      </w:r>
      <w:r>
        <w:rPr>
          <w:spacing w:val="-6"/>
          <w:sz w:val="12"/>
        </w:rPr>
        <w:t xml:space="preserve"> </w:t>
      </w:r>
      <w:r>
        <w:rPr>
          <w:sz w:val="12"/>
        </w:rPr>
        <w:t>Minorías</w:t>
      </w:r>
      <w:r>
        <w:rPr>
          <w:spacing w:val="-5"/>
          <w:sz w:val="12"/>
        </w:rPr>
        <w:t xml:space="preserve"> </w:t>
      </w:r>
      <w:r>
        <w:rPr>
          <w:sz w:val="12"/>
        </w:rPr>
        <w:t>Nacionales</w:t>
      </w:r>
      <w:r>
        <w:rPr>
          <w:spacing w:val="-6"/>
          <w:sz w:val="12"/>
        </w:rPr>
        <w:t xml:space="preserve"> </w:t>
      </w:r>
      <w:r>
        <w:rPr>
          <w:sz w:val="12"/>
        </w:rPr>
        <w:t>(1995)</w:t>
      </w:r>
      <w:r>
        <w:rPr>
          <w:spacing w:val="-6"/>
          <w:sz w:val="12"/>
        </w:rPr>
        <w:t xml:space="preserve"> </w:t>
      </w:r>
      <w:r>
        <w:rPr>
          <w:sz w:val="12"/>
        </w:rPr>
        <w:t>y</w:t>
      </w:r>
      <w:r>
        <w:rPr>
          <w:spacing w:val="-6"/>
          <w:sz w:val="12"/>
        </w:rPr>
        <w:t xml:space="preserve"> </w:t>
      </w:r>
      <w:r>
        <w:rPr>
          <w:sz w:val="12"/>
        </w:rPr>
        <w:t>el</w:t>
      </w:r>
      <w:r>
        <w:rPr>
          <w:spacing w:val="-6"/>
          <w:sz w:val="12"/>
        </w:rPr>
        <w:t xml:space="preserve"> </w:t>
      </w:r>
      <w:r>
        <w:rPr>
          <w:spacing w:val="-4"/>
          <w:sz w:val="12"/>
        </w:rPr>
        <w:t>Alto</w:t>
      </w:r>
    </w:p>
    <w:p w14:paraId="7FB2BD02" w14:textId="77777777" w:rsidR="0014798C" w:rsidRDefault="004E1F0B">
      <w:pPr>
        <w:spacing w:before="35"/>
        <w:ind w:left="1371"/>
        <w:rPr>
          <w:sz w:val="13"/>
        </w:rPr>
      </w:pPr>
      <w:r>
        <w:rPr>
          <w:spacing w:val="-2"/>
          <w:w w:val="105"/>
          <w:sz w:val="13"/>
        </w:rPr>
        <w:t>Comisionado</w:t>
      </w:r>
      <w:r>
        <w:rPr>
          <w:spacing w:val="-1"/>
          <w:w w:val="105"/>
          <w:sz w:val="13"/>
        </w:rPr>
        <w:t xml:space="preserve"> </w:t>
      </w:r>
      <w:r>
        <w:rPr>
          <w:spacing w:val="-2"/>
          <w:w w:val="105"/>
          <w:sz w:val="13"/>
        </w:rPr>
        <w:t>de</w:t>
      </w:r>
      <w:r>
        <w:rPr>
          <w:spacing w:val="-1"/>
          <w:w w:val="105"/>
          <w:sz w:val="13"/>
        </w:rPr>
        <w:t xml:space="preserve"> </w:t>
      </w:r>
      <w:r>
        <w:rPr>
          <w:spacing w:val="-2"/>
          <w:w w:val="105"/>
          <w:sz w:val="13"/>
        </w:rPr>
        <w:t>Minorías</w:t>
      </w:r>
      <w:r>
        <w:rPr>
          <w:spacing w:val="-1"/>
          <w:w w:val="105"/>
          <w:sz w:val="13"/>
        </w:rPr>
        <w:t xml:space="preserve"> </w:t>
      </w:r>
      <w:r>
        <w:rPr>
          <w:spacing w:val="-2"/>
          <w:w w:val="105"/>
          <w:sz w:val="13"/>
        </w:rPr>
        <w:t>Nacionales de</w:t>
      </w:r>
      <w:r>
        <w:rPr>
          <w:spacing w:val="-1"/>
          <w:w w:val="105"/>
          <w:sz w:val="13"/>
        </w:rPr>
        <w:t xml:space="preserve"> </w:t>
      </w:r>
      <w:r>
        <w:rPr>
          <w:spacing w:val="-2"/>
          <w:w w:val="105"/>
          <w:sz w:val="13"/>
        </w:rPr>
        <w:t>la</w:t>
      </w:r>
      <w:r>
        <w:rPr>
          <w:spacing w:val="-1"/>
          <w:w w:val="105"/>
          <w:sz w:val="13"/>
        </w:rPr>
        <w:t xml:space="preserve"> </w:t>
      </w:r>
      <w:r>
        <w:rPr>
          <w:spacing w:val="-2"/>
          <w:w w:val="105"/>
          <w:sz w:val="13"/>
        </w:rPr>
        <w:t>Organización para</w:t>
      </w:r>
      <w:r>
        <w:rPr>
          <w:w w:val="105"/>
          <w:sz w:val="13"/>
        </w:rPr>
        <w:t xml:space="preserve"> </w:t>
      </w:r>
      <w:r>
        <w:rPr>
          <w:spacing w:val="-2"/>
          <w:w w:val="105"/>
          <w:sz w:val="13"/>
        </w:rPr>
        <w:t>la</w:t>
      </w:r>
      <w:r>
        <w:rPr>
          <w:spacing w:val="-1"/>
          <w:w w:val="105"/>
          <w:sz w:val="13"/>
        </w:rPr>
        <w:t xml:space="preserve"> </w:t>
      </w:r>
      <w:r>
        <w:rPr>
          <w:spacing w:val="-2"/>
          <w:w w:val="105"/>
          <w:sz w:val="13"/>
        </w:rPr>
        <w:t>Seguridad y</w:t>
      </w:r>
      <w:r>
        <w:rPr>
          <w:w w:val="105"/>
          <w:sz w:val="13"/>
        </w:rPr>
        <w:t xml:space="preserve"> </w:t>
      </w:r>
      <w:r>
        <w:rPr>
          <w:spacing w:val="-2"/>
          <w:w w:val="105"/>
          <w:sz w:val="13"/>
        </w:rPr>
        <w:t>la</w:t>
      </w:r>
      <w:r>
        <w:rPr>
          <w:spacing w:val="-1"/>
          <w:w w:val="105"/>
          <w:sz w:val="13"/>
        </w:rPr>
        <w:t xml:space="preserve"> </w:t>
      </w:r>
      <w:r>
        <w:rPr>
          <w:spacing w:val="-2"/>
          <w:w w:val="105"/>
          <w:sz w:val="13"/>
        </w:rPr>
        <w:t>Cooperación</w:t>
      </w:r>
      <w:r>
        <w:rPr>
          <w:spacing w:val="-1"/>
          <w:w w:val="105"/>
          <w:sz w:val="13"/>
        </w:rPr>
        <w:t xml:space="preserve"> </w:t>
      </w:r>
      <w:r>
        <w:rPr>
          <w:spacing w:val="-2"/>
          <w:w w:val="105"/>
          <w:sz w:val="13"/>
        </w:rPr>
        <w:t>en</w:t>
      </w:r>
      <w:r>
        <w:rPr>
          <w:spacing w:val="-1"/>
          <w:w w:val="105"/>
          <w:sz w:val="13"/>
        </w:rPr>
        <w:t xml:space="preserve"> </w:t>
      </w:r>
      <w:r>
        <w:rPr>
          <w:spacing w:val="-2"/>
          <w:w w:val="105"/>
          <w:sz w:val="13"/>
        </w:rPr>
        <w:t>Europa.</w:t>
      </w:r>
    </w:p>
    <w:p w14:paraId="0709EC91" w14:textId="77777777" w:rsidR="0014798C" w:rsidRDefault="004E1F0B">
      <w:pPr>
        <w:pStyle w:val="Prrafodelista"/>
        <w:numPr>
          <w:ilvl w:val="0"/>
          <w:numId w:val="24"/>
        </w:numPr>
        <w:tabs>
          <w:tab w:val="left" w:pos="1340"/>
        </w:tabs>
        <w:spacing w:before="94"/>
        <w:ind w:left="1340" w:hanging="230"/>
        <w:rPr>
          <w:sz w:val="12"/>
        </w:rPr>
      </w:pPr>
      <w:r>
        <w:rPr>
          <w:spacing w:val="-2"/>
          <w:sz w:val="12"/>
        </w:rPr>
        <w:t>Véase</w:t>
      </w:r>
      <w:r>
        <w:rPr>
          <w:spacing w:val="2"/>
          <w:sz w:val="12"/>
        </w:rPr>
        <w:t xml:space="preserve"> </w:t>
      </w:r>
      <w:r>
        <w:rPr>
          <w:spacing w:val="-2"/>
          <w:sz w:val="12"/>
        </w:rPr>
        <w:t>también</w:t>
      </w:r>
      <w:r>
        <w:rPr>
          <w:spacing w:val="3"/>
          <w:sz w:val="12"/>
        </w:rPr>
        <w:t xml:space="preserve"> </w:t>
      </w:r>
      <w:r>
        <w:rPr>
          <w:spacing w:val="-2"/>
          <w:sz w:val="12"/>
        </w:rPr>
        <w:t>Comité</w:t>
      </w:r>
      <w:r>
        <w:rPr>
          <w:spacing w:val="3"/>
          <w:sz w:val="12"/>
        </w:rPr>
        <w:t xml:space="preserve"> </w:t>
      </w:r>
      <w:r>
        <w:rPr>
          <w:spacing w:val="-2"/>
          <w:sz w:val="12"/>
        </w:rPr>
        <w:t>de</w:t>
      </w:r>
      <w:r>
        <w:rPr>
          <w:spacing w:val="3"/>
          <w:sz w:val="12"/>
        </w:rPr>
        <w:t xml:space="preserve"> </w:t>
      </w:r>
      <w:r>
        <w:rPr>
          <w:spacing w:val="-2"/>
          <w:sz w:val="12"/>
        </w:rPr>
        <w:t>Derechos</w:t>
      </w:r>
      <w:r>
        <w:rPr>
          <w:spacing w:val="3"/>
          <w:sz w:val="12"/>
        </w:rPr>
        <w:t xml:space="preserve"> </w:t>
      </w:r>
      <w:r>
        <w:rPr>
          <w:spacing w:val="-2"/>
          <w:sz w:val="12"/>
        </w:rPr>
        <w:t>Humanos,</w:t>
      </w:r>
      <w:r>
        <w:rPr>
          <w:spacing w:val="4"/>
          <w:sz w:val="12"/>
        </w:rPr>
        <w:t xml:space="preserve"> </w:t>
      </w:r>
      <w:r>
        <w:rPr>
          <w:spacing w:val="-2"/>
          <w:sz w:val="12"/>
        </w:rPr>
        <w:t>observación</w:t>
      </w:r>
      <w:r>
        <w:rPr>
          <w:spacing w:val="3"/>
          <w:sz w:val="12"/>
        </w:rPr>
        <w:t xml:space="preserve"> </w:t>
      </w:r>
      <w:r>
        <w:rPr>
          <w:spacing w:val="-2"/>
          <w:sz w:val="12"/>
        </w:rPr>
        <w:t>general</w:t>
      </w:r>
      <w:r>
        <w:rPr>
          <w:spacing w:val="3"/>
          <w:sz w:val="12"/>
        </w:rPr>
        <w:t xml:space="preserve"> </w:t>
      </w:r>
      <w:r>
        <w:rPr>
          <w:spacing w:val="-2"/>
          <w:sz w:val="12"/>
        </w:rPr>
        <w:t>núm.</w:t>
      </w:r>
      <w:r>
        <w:rPr>
          <w:spacing w:val="3"/>
          <w:sz w:val="12"/>
        </w:rPr>
        <w:t xml:space="preserve"> </w:t>
      </w:r>
      <w:r>
        <w:rPr>
          <w:spacing w:val="-2"/>
          <w:sz w:val="12"/>
        </w:rPr>
        <w:t>23</w:t>
      </w:r>
      <w:r>
        <w:rPr>
          <w:spacing w:val="3"/>
          <w:sz w:val="12"/>
        </w:rPr>
        <w:t xml:space="preserve"> </w:t>
      </w:r>
      <w:r>
        <w:rPr>
          <w:spacing w:val="-2"/>
          <w:sz w:val="12"/>
        </w:rPr>
        <w:t>(1994).</w:t>
      </w:r>
    </w:p>
    <w:p w14:paraId="22C52D73" w14:textId="77777777" w:rsidR="0014798C" w:rsidRDefault="0014798C">
      <w:pPr>
        <w:rPr>
          <w:sz w:val="12"/>
        </w:rPr>
        <w:sectPr w:rsidR="0014798C" w:rsidSect="00F265E4">
          <w:pgSz w:w="11900" w:h="16820"/>
          <w:pgMar w:top="340" w:right="0" w:bottom="280" w:left="200" w:header="121" w:footer="0" w:gutter="0"/>
          <w:cols w:space="720"/>
        </w:sectPr>
      </w:pPr>
    </w:p>
    <w:p w14:paraId="016D6627" w14:textId="77777777" w:rsidR="0014798C" w:rsidRDefault="004E1F0B">
      <w:pPr>
        <w:spacing w:before="54"/>
        <w:jc w:val="right"/>
        <w:rPr>
          <w:sz w:val="8"/>
        </w:rPr>
      </w:pPr>
      <w:r>
        <w:rPr>
          <w:spacing w:val="-5"/>
          <w:w w:val="105"/>
          <w:sz w:val="8"/>
        </w:rPr>
        <w:t>874</w:t>
      </w:r>
    </w:p>
    <w:p w14:paraId="5CF4A3AF" w14:textId="77777777" w:rsidR="0014798C" w:rsidRDefault="004E1F0B">
      <w:pPr>
        <w:spacing w:before="91" w:line="285" w:lineRule="auto"/>
        <w:ind w:left="75" w:right="1765"/>
        <w:rPr>
          <w:sz w:val="13"/>
        </w:rPr>
      </w:pPr>
      <w:r>
        <w:br w:type="column"/>
      </w:r>
      <w:r>
        <w:rPr>
          <w:w w:val="105"/>
          <w:sz w:val="13"/>
        </w:rPr>
        <w:t>Comisión</w:t>
      </w:r>
      <w:r>
        <w:rPr>
          <w:spacing w:val="-7"/>
          <w:w w:val="105"/>
          <w:sz w:val="13"/>
        </w:rPr>
        <w:t xml:space="preserve"> </w:t>
      </w:r>
      <w:r>
        <w:rPr>
          <w:w w:val="105"/>
          <w:sz w:val="13"/>
        </w:rPr>
        <w:t>Europea</w:t>
      </w:r>
      <w:r>
        <w:rPr>
          <w:spacing w:val="-8"/>
          <w:w w:val="105"/>
          <w:sz w:val="13"/>
        </w:rPr>
        <w:t xml:space="preserve"> </w:t>
      </w:r>
      <w:r>
        <w:rPr>
          <w:w w:val="105"/>
          <w:sz w:val="13"/>
        </w:rPr>
        <w:t>para</w:t>
      </w:r>
      <w:r>
        <w:rPr>
          <w:spacing w:val="-7"/>
          <w:w w:val="105"/>
          <w:sz w:val="13"/>
        </w:rPr>
        <w:t xml:space="preserve"> </w:t>
      </w:r>
      <w:r>
        <w:rPr>
          <w:w w:val="105"/>
          <w:sz w:val="13"/>
        </w:rPr>
        <w:t>la</w:t>
      </w:r>
      <w:r>
        <w:rPr>
          <w:spacing w:val="-8"/>
          <w:w w:val="105"/>
          <w:sz w:val="13"/>
        </w:rPr>
        <w:t xml:space="preserve"> </w:t>
      </w:r>
      <w:r>
        <w:rPr>
          <w:w w:val="105"/>
          <w:sz w:val="13"/>
        </w:rPr>
        <w:t>Democracia</w:t>
      </w:r>
      <w:r>
        <w:rPr>
          <w:spacing w:val="-7"/>
          <w:w w:val="105"/>
          <w:sz w:val="13"/>
        </w:rPr>
        <w:t xml:space="preserve"> </w:t>
      </w:r>
      <w:r>
        <w:rPr>
          <w:w w:val="105"/>
          <w:sz w:val="13"/>
        </w:rPr>
        <w:t>a</w:t>
      </w:r>
      <w:r>
        <w:rPr>
          <w:spacing w:val="-8"/>
          <w:w w:val="105"/>
          <w:sz w:val="13"/>
        </w:rPr>
        <w:t xml:space="preserve"> </w:t>
      </w:r>
      <w:r>
        <w:rPr>
          <w:w w:val="105"/>
          <w:sz w:val="13"/>
        </w:rPr>
        <w:t>través</w:t>
      </w:r>
      <w:r>
        <w:rPr>
          <w:spacing w:val="-8"/>
          <w:w w:val="105"/>
          <w:sz w:val="13"/>
        </w:rPr>
        <w:t xml:space="preserve"> </w:t>
      </w:r>
      <w:r>
        <w:rPr>
          <w:w w:val="105"/>
          <w:sz w:val="13"/>
        </w:rPr>
        <w:t>del</w:t>
      </w:r>
      <w:r>
        <w:rPr>
          <w:spacing w:val="-8"/>
          <w:w w:val="105"/>
          <w:sz w:val="13"/>
        </w:rPr>
        <w:t xml:space="preserve"> </w:t>
      </w:r>
      <w:r>
        <w:rPr>
          <w:w w:val="105"/>
          <w:sz w:val="13"/>
        </w:rPr>
        <w:t>Derecho</w:t>
      </w:r>
      <w:r>
        <w:rPr>
          <w:spacing w:val="-7"/>
          <w:w w:val="105"/>
          <w:sz w:val="13"/>
        </w:rPr>
        <w:t xml:space="preserve"> </w:t>
      </w:r>
      <w:r>
        <w:rPr>
          <w:w w:val="105"/>
          <w:sz w:val="13"/>
        </w:rPr>
        <w:t>(Comisión</w:t>
      </w:r>
      <w:r>
        <w:rPr>
          <w:spacing w:val="-7"/>
          <w:w w:val="105"/>
          <w:sz w:val="13"/>
        </w:rPr>
        <w:t xml:space="preserve"> </w:t>
      </w:r>
      <w:r>
        <w:rPr>
          <w:w w:val="105"/>
          <w:sz w:val="13"/>
        </w:rPr>
        <w:t>de</w:t>
      </w:r>
      <w:r>
        <w:rPr>
          <w:spacing w:val="-8"/>
          <w:w w:val="105"/>
          <w:sz w:val="13"/>
        </w:rPr>
        <w:t xml:space="preserve"> </w:t>
      </w:r>
      <w:r>
        <w:rPr>
          <w:w w:val="105"/>
          <w:sz w:val="13"/>
        </w:rPr>
        <w:t>Venecia),</w:t>
      </w:r>
      <w:r>
        <w:rPr>
          <w:spacing w:val="-7"/>
          <w:w w:val="105"/>
          <w:sz w:val="13"/>
        </w:rPr>
        <w:t xml:space="preserve"> </w:t>
      </w:r>
      <w:r>
        <w:rPr>
          <w:w w:val="105"/>
          <w:sz w:val="13"/>
        </w:rPr>
        <w:t>Compilación</w:t>
      </w:r>
      <w:r>
        <w:rPr>
          <w:spacing w:val="-7"/>
          <w:w w:val="105"/>
          <w:sz w:val="13"/>
        </w:rPr>
        <w:t xml:space="preserve"> </w:t>
      </w:r>
      <w:r>
        <w:rPr>
          <w:w w:val="105"/>
          <w:sz w:val="13"/>
        </w:rPr>
        <w:t>de</w:t>
      </w:r>
      <w:r>
        <w:rPr>
          <w:spacing w:val="-8"/>
          <w:w w:val="105"/>
          <w:sz w:val="13"/>
        </w:rPr>
        <w:t xml:space="preserve"> </w:t>
      </w:r>
      <w:r>
        <w:rPr>
          <w:w w:val="105"/>
          <w:sz w:val="13"/>
        </w:rPr>
        <w:t>opiniones</w:t>
      </w:r>
      <w:r>
        <w:rPr>
          <w:spacing w:val="-8"/>
          <w:w w:val="105"/>
          <w:sz w:val="13"/>
        </w:rPr>
        <w:t xml:space="preserve"> </w:t>
      </w:r>
      <w:r>
        <w:rPr>
          <w:w w:val="105"/>
          <w:sz w:val="13"/>
        </w:rPr>
        <w:t>e</w:t>
      </w:r>
      <w:r>
        <w:rPr>
          <w:spacing w:val="-8"/>
          <w:w w:val="105"/>
          <w:sz w:val="13"/>
        </w:rPr>
        <w:t xml:space="preserve"> </w:t>
      </w:r>
      <w:r>
        <w:rPr>
          <w:w w:val="105"/>
          <w:sz w:val="13"/>
        </w:rPr>
        <w:t>informes</w:t>
      </w:r>
      <w:r>
        <w:rPr>
          <w:spacing w:val="-8"/>
          <w:w w:val="105"/>
          <w:sz w:val="13"/>
        </w:rPr>
        <w:t xml:space="preserve"> </w:t>
      </w:r>
      <w:r>
        <w:rPr>
          <w:w w:val="105"/>
          <w:sz w:val="13"/>
        </w:rPr>
        <w:t>de</w:t>
      </w:r>
      <w:r>
        <w:rPr>
          <w:spacing w:val="-8"/>
          <w:w w:val="105"/>
          <w:sz w:val="13"/>
        </w:rPr>
        <w:t xml:space="preserve"> </w:t>
      </w:r>
      <w:r>
        <w:rPr>
          <w:w w:val="105"/>
          <w:sz w:val="13"/>
        </w:rPr>
        <w:t>la</w:t>
      </w:r>
      <w:r>
        <w:rPr>
          <w:spacing w:val="-8"/>
          <w:w w:val="105"/>
          <w:sz w:val="13"/>
        </w:rPr>
        <w:t xml:space="preserve"> </w:t>
      </w:r>
      <w:r>
        <w:rPr>
          <w:w w:val="105"/>
          <w:sz w:val="13"/>
        </w:rPr>
        <w:t>Comisión</w:t>
      </w:r>
      <w:r>
        <w:rPr>
          <w:spacing w:val="-7"/>
          <w:w w:val="105"/>
          <w:sz w:val="13"/>
        </w:rPr>
        <w:t xml:space="preserve"> </w:t>
      </w:r>
      <w:r>
        <w:rPr>
          <w:w w:val="105"/>
          <w:sz w:val="13"/>
        </w:rPr>
        <w:t>de</w:t>
      </w:r>
      <w:r>
        <w:rPr>
          <w:spacing w:val="40"/>
          <w:w w:val="105"/>
          <w:sz w:val="13"/>
        </w:rPr>
        <w:t xml:space="preserve"> </w:t>
      </w:r>
      <w:r>
        <w:rPr>
          <w:spacing w:val="-2"/>
          <w:w w:val="105"/>
          <w:sz w:val="13"/>
        </w:rPr>
        <w:t xml:space="preserve">Venecia sobre la protección de las minorías nacionales (Estrasburgo, 2017). Disponible en </w:t>
      </w:r>
      <w:hyperlink r:id="rId242">
        <w:r>
          <w:rPr>
            <w:color w:val="0075BF"/>
            <w:spacing w:val="-2"/>
            <w:w w:val="105"/>
            <w:sz w:val="13"/>
          </w:rPr>
          <w:t>www.venice.coe.int/webforms/documents/?pdf=CDL-</w:t>
        </w:r>
      </w:hyperlink>
      <w:r>
        <w:rPr>
          <w:color w:val="0075BF"/>
          <w:spacing w:val="40"/>
          <w:w w:val="105"/>
          <w:sz w:val="13"/>
        </w:rPr>
        <w:t xml:space="preserve"> </w:t>
      </w:r>
      <w:proofErr w:type="gramStart"/>
      <w:r>
        <w:rPr>
          <w:color w:val="0075BF"/>
          <w:spacing w:val="-2"/>
          <w:w w:val="105"/>
          <w:sz w:val="13"/>
        </w:rPr>
        <w:t>PI(</w:t>
      </w:r>
      <w:proofErr w:type="gramEnd"/>
      <w:r>
        <w:rPr>
          <w:color w:val="0075BF"/>
          <w:spacing w:val="-2"/>
          <w:w w:val="105"/>
          <w:sz w:val="13"/>
        </w:rPr>
        <w:t>2018)002-e.</w:t>
      </w:r>
    </w:p>
    <w:p w14:paraId="30384F49" w14:textId="77777777" w:rsidR="0014798C" w:rsidRDefault="0014798C">
      <w:pPr>
        <w:spacing w:line="285" w:lineRule="auto"/>
        <w:rPr>
          <w:sz w:val="13"/>
        </w:rPr>
        <w:sectPr w:rsidR="0014798C" w:rsidSect="00F265E4">
          <w:type w:val="continuous"/>
          <w:pgSz w:w="11900" w:h="16820"/>
          <w:pgMar w:top="40" w:right="0" w:bottom="280" w:left="200" w:header="121" w:footer="0" w:gutter="0"/>
          <w:cols w:num="2" w:space="720" w:equalWidth="0">
            <w:col w:w="1252" w:space="40"/>
            <w:col w:w="10408"/>
          </w:cols>
        </w:sectPr>
      </w:pPr>
    </w:p>
    <w:p w14:paraId="7B46793C" w14:textId="77777777" w:rsidR="0014798C" w:rsidRDefault="004E1F0B">
      <w:pPr>
        <w:spacing w:before="63" w:line="288" w:lineRule="auto"/>
        <w:ind w:left="1368" w:right="1840" w:hanging="258"/>
        <w:rPr>
          <w:sz w:val="13"/>
        </w:rPr>
      </w:pPr>
      <w:r>
        <w:rPr>
          <w:w w:val="105"/>
          <w:sz w:val="13"/>
        </w:rPr>
        <w:t>875</w:t>
      </w:r>
      <w:r>
        <w:rPr>
          <w:spacing w:val="-9"/>
          <w:w w:val="105"/>
          <w:sz w:val="13"/>
        </w:rPr>
        <w:t xml:space="preserve"> </w:t>
      </w:r>
      <w:r>
        <w:rPr>
          <w:w w:val="105"/>
          <w:sz w:val="13"/>
        </w:rPr>
        <w:t>“No</w:t>
      </w:r>
      <w:r>
        <w:rPr>
          <w:spacing w:val="-9"/>
          <w:w w:val="105"/>
          <w:sz w:val="13"/>
        </w:rPr>
        <w:t xml:space="preserve"> </w:t>
      </w:r>
      <w:r>
        <w:rPr>
          <w:w w:val="105"/>
          <w:sz w:val="13"/>
        </w:rPr>
        <w:t>existe</w:t>
      </w:r>
      <w:r>
        <w:rPr>
          <w:spacing w:val="-9"/>
          <w:w w:val="105"/>
          <w:sz w:val="13"/>
        </w:rPr>
        <w:t xml:space="preserve"> </w:t>
      </w:r>
      <w:r>
        <w:rPr>
          <w:w w:val="105"/>
          <w:sz w:val="13"/>
        </w:rPr>
        <w:t>una</w:t>
      </w:r>
      <w:r>
        <w:rPr>
          <w:spacing w:val="-9"/>
          <w:w w:val="105"/>
          <w:sz w:val="13"/>
        </w:rPr>
        <w:t xml:space="preserve"> </w:t>
      </w:r>
      <w:r>
        <w:rPr>
          <w:w w:val="105"/>
          <w:sz w:val="13"/>
        </w:rPr>
        <w:t>definición</w:t>
      </w:r>
      <w:r>
        <w:rPr>
          <w:spacing w:val="-9"/>
          <w:w w:val="105"/>
          <w:sz w:val="13"/>
        </w:rPr>
        <w:t xml:space="preserve"> </w:t>
      </w:r>
      <w:r>
        <w:rPr>
          <w:w w:val="105"/>
          <w:sz w:val="13"/>
        </w:rPr>
        <w:t>generalmente</w:t>
      </w:r>
      <w:r>
        <w:rPr>
          <w:spacing w:val="-9"/>
          <w:w w:val="105"/>
          <w:sz w:val="13"/>
        </w:rPr>
        <w:t xml:space="preserve"> </w:t>
      </w:r>
      <w:r>
        <w:rPr>
          <w:w w:val="105"/>
          <w:sz w:val="13"/>
        </w:rPr>
        <w:t>aceptada</w:t>
      </w:r>
      <w:r>
        <w:rPr>
          <w:spacing w:val="-9"/>
          <w:w w:val="105"/>
          <w:sz w:val="13"/>
        </w:rPr>
        <w:t xml:space="preserve"> </w:t>
      </w:r>
      <w:r>
        <w:rPr>
          <w:w w:val="105"/>
          <w:sz w:val="13"/>
        </w:rPr>
        <w:t>del</w:t>
      </w:r>
      <w:r>
        <w:rPr>
          <w:spacing w:val="-9"/>
          <w:w w:val="105"/>
          <w:sz w:val="13"/>
        </w:rPr>
        <w:t xml:space="preserve"> </w:t>
      </w:r>
      <w:r>
        <w:rPr>
          <w:w w:val="105"/>
          <w:sz w:val="13"/>
        </w:rPr>
        <w:t>concepto</w:t>
      </w:r>
      <w:r>
        <w:rPr>
          <w:spacing w:val="-9"/>
          <w:w w:val="105"/>
          <w:sz w:val="13"/>
        </w:rPr>
        <w:t xml:space="preserve"> </w:t>
      </w:r>
      <w:r>
        <w:rPr>
          <w:w w:val="105"/>
          <w:sz w:val="13"/>
        </w:rPr>
        <w:t>de</w:t>
      </w:r>
      <w:r>
        <w:rPr>
          <w:spacing w:val="-9"/>
          <w:w w:val="105"/>
          <w:sz w:val="13"/>
        </w:rPr>
        <w:t xml:space="preserve"> </w:t>
      </w:r>
      <w:r>
        <w:rPr>
          <w:w w:val="105"/>
          <w:sz w:val="13"/>
        </w:rPr>
        <w:t>'minoría'.</w:t>
      </w:r>
      <w:r>
        <w:rPr>
          <w:spacing w:val="-8"/>
          <w:w w:val="105"/>
          <w:sz w:val="13"/>
        </w:rPr>
        <w:t xml:space="preserve"> </w:t>
      </w:r>
      <w:r>
        <w:rPr>
          <w:w w:val="105"/>
          <w:sz w:val="13"/>
        </w:rPr>
        <w:t>Ciertamente</w:t>
      </w:r>
      <w:r>
        <w:rPr>
          <w:spacing w:val="-9"/>
          <w:w w:val="105"/>
          <w:sz w:val="13"/>
        </w:rPr>
        <w:t xml:space="preserve"> </w:t>
      </w:r>
      <w:r>
        <w:rPr>
          <w:w w:val="105"/>
          <w:sz w:val="13"/>
        </w:rPr>
        <w:t>se</w:t>
      </w:r>
      <w:r>
        <w:rPr>
          <w:spacing w:val="-8"/>
          <w:w w:val="105"/>
          <w:sz w:val="13"/>
        </w:rPr>
        <w:t xml:space="preserve"> </w:t>
      </w:r>
      <w:r>
        <w:rPr>
          <w:w w:val="105"/>
          <w:sz w:val="13"/>
        </w:rPr>
        <w:t>han</w:t>
      </w:r>
      <w:r>
        <w:rPr>
          <w:spacing w:val="-9"/>
          <w:w w:val="105"/>
          <w:sz w:val="13"/>
        </w:rPr>
        <w:t xml:space="preserve"> </w:t>
      </w:r>
      <w:r>
        <w:rPr>
          <w:w w:val="105"/>
          <w:sz w:val="13"/>
        </w:rPr>
        <w:t>identificado</w:t>
      </w:r>
      <w:r>
        <w:rPr>
          <w:spacing w:val="-9"/>
          <w:w w:val="105"/>
          <w:sz w:val="13"/>
        </w:rPr>
        <w:t xml:space="preserve"> </w:t>
      </w:r>
      <w:r>
        <w:rPr>
          <w:w w:val="105"/>
          <w:sz w:val="13"/>
        </w:rPr>
        <w:t>algunos</w:t>
      </w:r>
      <w:r>
        <w:rPr>
          <w:spacing w:val="-9"/>
          <w:w w:val="105"/>
          <w:sz w:val="13"/>
        </w:rPr>
        <w:t xml:space="preserve"> </w:t>
      </w:r>
      <w:r>
        <w:rPr>
          <w:w w:val="105"/>
          <w:sz w:val="13"/>
        </w:rPr>
        <w:t>elementos</w:t>
      </w:r>
      <w:r>
        <w:rPr>
          <w:spacing w:val="-9"/>
          <w:w w:val="105"/>
          <w:sz w:val="13"/>
        </w:rPr>
        <w:t xml:space="preserve"> </w:t>
      </w:r>
      <w:proofErr w:type="gramStart"/>
      <w:r>
        <w:rPr>
          <w:w w:val="105"/>
          <w:sz w:val="13"/>
        </w:rPr>
        <w:t>del</w:t>
      </w:r>
      <w:r>
        <w:rPr>
          <w:spacing w:val="-9"/>
          <w:w w:val="105"/>
          <w:sz w:val="13"/>
        </w:rPr>
        <w:t xml:space="preserve"> </w:t>
      </w:r>
      <w:r>
        <w:rPr>
          <w:w w:val="105"/>
          <w:sz w:val="13"/>
        </w:rPr>
        <w:t>mismo</w:t>
      </w:r>
      <w:proofErr w:type="gramEnd"/>
      <w:r>
        <w:rPr>
          <w:spacing w:val="40"/>
          <w:w w:val="105"/>
          <w:sz w:val="13"/>
        </w:rPr>
        <w:t xml:space="preserve"> </w:t>
      </w:r>
      <w:r>
        <w:rPr>
          <w:w w:val="105"/>
          <w:sz w:val="13"/>
        </w:rPr>
        <w:t>como,</w:t>
      </w:r>
      <w:r>
        <w:rPr>
          <w:spacing w:val="-10"/>
          <w:w w:val="105"/>
          <w:sz w:val="13"/>
        </w:rPr>
        <w:t xml:space="preserve"> </w:t>
      </w:r>
      <w:r>
        <w:rPr>
          <w:w w:val="105"/>
          <w:sz w:val="13"/>
        </w:rPr>
        <w:t>por</w:t>
      </w:r>
      <w:r>
        <w:rPr>
          <w:spacing w:val="-9"/>
          <w:w w:val="105"/>
          <w:sz w:val="13"/>
        </w:rPr>
        <w:t xml:space="preserve"> </w:t>
      </w:r>
      <w:r>
        <w:rPr>
          <w:w w:val="105"/>
          <w:sz w:val="13"/>
        </w:rPr>
        <w:t>ejemplo,</w:t>
      </w:r>
      <w:r>
        <w:rPr>
          <w:spacing w:val="-10"/>
          <w:w w:val="105"/>
          <w:sz w:val="13"/>
        </w:rPr>
        <w:t xml:space="preserve"> </w:t>
      </w:r>
      <w:r>
        <w:rPr>
          <w:w w:val="105"/>
          <w:sz w:val="13"/>
        </w:rPr>
        <w:t>la</w:t>
      </w:r>
      <w:r>
        <w:rPr>
          <w:spacing w:val="-9"/>
          <w:w w:val="105"/>
          <w:sz w:val="13"/>
        </w:rPr>
        <w:t xml:space="preserve"> </w:t>
      </w:r>
      <w:r>
        <w:rPr>
          <w:w w:val="105"/>
          <w:sz w:val="13"/>
        </w:rPr>
        <w:t>clasificación</w:t>
      </w:r>
      <w:r>
        <w:rPr>
          <w:spacing w:val="-10"/>
          <w:w w:val="105"/>
          <w:sz w:val="13"/>
        </w:rPr>
        <w:t xml:space="preserve"> </w:t>
      </w:r>
      <w:r>
        <w:rPr>
          <w:w w:val="105"/>
          <w:sz w:val="13"/>
        </w:rPr>
        <w:t>estándar,</w:t>
      </w:r>
      <w:r>
        <w:rPr>
          <w:spacing w:val="-9"/>
          <w:w w:val="105"/>
          <w:sz w:val="13"/>
        </w:rPr>
        <w:t xml:space="preserve"> </w:t>
      </w:r>
      <w:r>
        <w:rPr>
          <w:w w:val="105"/>
          <w:sz w:val="13"/>
        </w:rPr>
        <w:t>si</w:t>
      </w:r>
      <w:r>
        <w:rPr>
          <w:spacing w:val="-10"/>
          <w:w w:val="105"/>
          <w:sz w:val="13"/>
        </w:rPr>
        <w:t xml:space="preserve"> </w:t>
      </w:r>
      <w:r>
        <w:rPr>
          <w:w w:val="105"/>
          <w:sz w:val="13"/>
        </w:rPr>
        <w:t>no</w:t>
      </w:r>
      <w:r>
        <w:rPr>
          <w:spacing w:val="-9"/>
          <w:w w:val="105"/>
          <w:sz w:val="13"/>
        </w:rPr>
        <w:t xml:space="preserve"> </w:t>
      </w:r>
      <w:r>
        <w:rPr>
          <w:w w:val="105"/>
          <w:sz w:val="13"/>
        </w:rPr>
        <w:t>universal,</w:t>
      </w:r>
      <w:r>
        <w:rPr>
          <w:spacing w:val="-10"/>
          <w:w w:val="105"/>
          <w:sz w:val="13"/>
        </w:rPr>
        <w:t xml:space="preserve"> </w:t>
      </w:r>
      <w:r>
        <w:rPr>
          <w:w w:val="105"/>
          <w:sz w:val="13"/>
        </w:rPr>
        <w:t>de</w:t>
      </w:r>
      <w:r>
        <w:rPr>
          <w:spacing w:val="-9"/>
          <w:w w:val="105"/>
          <w:sz w:val="13"/>
        </w:rPr>
        <w:t xml:space="preserve"> </w:t>
      </w:r>
      <w:r>
        <w:rPr>
          <w:w w:val="105"/>
          <w:sz w:val="13"/>
        </w:rPr>
        <w:t>las</w:t>
      </w:r>
      <w:r>
        <w:rPr>
          <w:spacing w:val="-10"/>
          <w:w w:val="105"/>
          <w:sz w:val="13"/>
        </w:rPr>
        <w:t xml:space="preserve"> </w:t>
      </w:r>
      <w:r>
        <w:rPr>
          <w:w w:val="105"/>
          <w:sz w:val="13"/>
        </w:rPr>
        <w:t>minorías</w:t>
      </w:r>
      <w:r>
        <w:rPr>
          <w:spacing w:val="-9"/>
          <w:w w:val="105"/>
          <w:sz w:val="13"/>
        </w:rPr>
        <w:t xml:space="preserve"> </w:t>
      </w:r>
      <w:r>
        <w:rPr>
          <w:w w:val="105"/>
          <w:sz w:val="13"/>
        </w:rPr>
        <w:t>en</w:t>
      </w:r>
      <w:r>
        <w:rPr>
          <w:spacing w:val="-10"/>
          <w:w w:val="105"/>
          <w:sz w:val="13"/>
        </w:rPr>
        <w:t xml:space="preserve"> </w:t>
      </w:r>
      <w:r>
        <w:rPr>
          <w:w w:val="105"/>
          <w:sz w:val="13"/>
        </w:rPr>
        <w:t>tres</w:t>
      </w:r>
      <w:r>
        <w:rPr>
          <w:spacing w:val="-9"/>
          <w:w w:val="105"/>
          <w:sz w:val="13"/>
        </w:rPr>
        <w:t xml:space="preserve"> </w:t>
      </w:r>
      <w:r>
        <w:rPr>
          <w:w w:val="105"/>
          <w:sz w:val="13"/>
        </w:rPr>
        <w:t>grupos:</w:t>
      </w:r>
      <w:r>
        <w:rPr>
          <w:spacing w:val="-10"/>
          <w:w w:val="105"/>
          <w:sz w:val="13"/>
        </w:rPr>
        <w:t xml:space="preserve"> </w:t>
      </w:r>
      <w:r>
        <w:rPr>
          <w:w w:val="105"/>
          <w:sz w:val="13"/>
        </w:rPr>
        <w:t>minorías</w:t>
      </w:r>
      <w:r>
        <w:rPr>
          <w:spacing w:val="-9"/>
          <w:w w:val="105"/>
          <w:sz w:val="13"/>
        </w:rPr>
        <w:t xml:space="preserve"> </w:t>
      </w:r>
      <w:r>
        <w:rPr>
          <w:w w:val="105"/>
          <w:sz w:val="13"/>
        </w:rPr>
        <w:t>étnicas,</w:t>
      </w:r>
      <w:r>
        <w:rPr>
          <w:spacing w:val="-10"/>
          <w:w w:val="105"/>
          <w:sz w:val="13"/>
        </w:rPr>
        <w:t xml:space="preserve"> </w:t>
      </w:r>
      <w:r>
        <w:rPr>
          <w:w w:val="105"/>
          <w:sz w:val="13"/>
        </w:rPr>
        <w:t>minorías</w:t>
      </w:r>
      <w:r>
        <w:rPr>
          <w:spacing w:val="-9"/>
          <w:w w:val="105"/>
          <w:sz w:val="13"/>
        </w:rPr>
        <w:t xml:space="preserve"> </w:t>
      </w:r>
      <w:r>
        <w:rPr>
          <w:w w:val="105"/>
          <w:sz w:val="13"/>
        </w:rPr>
        <w:t>lingüísticas</w:t>
      </w:r>
      <w:r>
        <w:rPr>
          <w:spacing w:val="-10"/>
          <w:w w:val="105"/>
          <w:sz w:val="13"/>
        </w:rPr>
        <w:t xml:space="preserve"> </w:t>
      </w:r>
      <w:r>
        <w:rPr>
          <w:w w:val="105"/>
          <w:sz w:val="13"/>
        </w:rPr>
        <w:t>y</w:t>
      </w:r>
      <w:r>
        <w:rPr>
          <w:spacing w:val="-9"/>
          <w:w w:val="105"/>
          <w:sz w:val="13"/>
        </w:rPr>
        <w:t xml:space="preserve"> </w:t>
      </w:r>
      <w:r>
        <w:rPr>
          <w:w w:val="105"/>
          <w:sz w:val="13"/>
        </w:rPr>
        <w:t>minorías</w:t>
      </w:r>
    </w:p>
    <w:p w14:paraId="59A5EB35" w14:textId="77777777" w:rsidR="0014798C" w:rsidRDefault="004E1F0B">
      <w:pPr>
        <w:spacing w:before="1" w:line="288" w:lineRule="auto"/>
        <w:ind w:left="1366" w:right="1725"/>
        <w:rPr>
          <w:sz w:val="13"/>
        </w:rPr>
      </w:pPr>
      <w:r>
        <w:rPr>
          <w:sz w:val="13"/>
        </w:rPr>
        <w:t>religiosas; cualquiera de estos tres criterios puede estar presente o, más a menudo, pueden ser en parte acumulativos. Esta triple caracterización</w:t>
      </w:r>
      <w:r>
        <w:rPr>
          <w:spacing w:val="40"/>
          <w:w w:val="105"/>
          <w:sz w:val="13"/>
        </w:rPr>
        <w:t xml:space="preserve"> </w:t>
      </w:r>
      <w:r>
        <w:rPr>
          <w:w w:val="105"/>
          <w:sz w:val="13"/>
        </w:rPr>
        <w:t>(en</w:t>
      </w:r>
      <w:r>
        <w:rPr>
          <w:spacing w:val="-5"/>
          <w:w w:val="105"/>
          <w:sz w:val="13"/>
        </w:rPr>
        <w:t xml:space="preserve"> </w:t>
      </w:r>
      <w:r>
        <w:rPr>
          <w:w w:val="105"/>
          <w:sz w:val="13"/>
        </w:rPr>
        <w:t>parte)</w:t>
      </w:r>
      <w:r>
        <w:rPr>
          <w:spacing w:val="-6"/>
          <w:w w:val="105"/>
          <w:sz w:val="13"/>
        </w:rPr>
        <w:t xml:space="preserve"> </w:t>
      </w:r>
      <w:r>
        <w:rPr>
          <w:w w:val="105"/>
          <w:sz w:val="13"/>
        </w:rPr>
        <w:t>se</w:t>
      </w:r>
      <w:r>
        <w:rPr>
          <w:spacing w:val="-5"/>
          <w:w w:val="105"/>
          <w:sz w:val="13"/>
        </w:rPr>
        <w:t xml:space="preserve"> </w:t>
      </w:r>
      <w:r>
        <w:rPr>
          <w:w w:val="105"/>
          <w:sz w:val="13"/>
        </w:rPr>
        <w:t>adopta</w:t>
      </w:r>
      <w:r>
        <w:rPr>
          <w:spacing w:val="-6"/>
          <w:w w:val="105"/>
          <w:sz w:val="13"/>
        </w:rPr>
        <w:t xml:space="preserve"> </w:t>
      </w:r>
      <w:r>
        <w:rPr>
          <w:w w:val="105"/>
          <w:sz w:val="13"/>
        </w:rPr>
        <w:t>en</w:t>
      </w:r>
      <w:r>
        <w:rPr>
          <w:spacing w:val="-6"/>
          <w:w w:val="105"/>
          <w:sz w:val="13"/>
        </w:rPr>
        <w:t xml:space="preserve"> </w:t>
      </w:r>
      <w:r>
        <w:rPr>
          <w:w w:val="105"/>
          <w:sz w:val="13"/>
        </w:rPr>
        <w:t>el</w:t>
      </w:r>
      <w:r>
        <w:rPr>
          <w:spacing w:val="-6"/>
          <w:w w:val="105"/>
          <w:sz w:val="13"/>
        </w:rPr>
        <w:t xml:space="preserve"> </w:t>
      </w:r>
      <w:r>
        <w:rPr>
          <w:w w:val="105"/>
          <w:sz w:val="13"/>
        </w:rPr>
        <w:t>artículo</w:t>
      </w:r>
      <w:r>
        <w:rPr>
          <w:spacing w:val="-6"/>
          <w:w w:val="105"/>
          <w:sz w:val="13"/>
        </w:rPr>
        <w:t xml:space="preserve"> </w:t>
      </w:r>
      <w:r>
        <w:rPr>
          <w:w w:val="105"/>
          <w:sz w:val="13"/>
        </w:rPr>
        <w:t>27</w:t>
      </w:r>
      <w:r>
        <w:rPr>
          <w:spacing w:val="-6"/>
          <w:w w:val="105"/>
          <w:sz w:val="13"/>
        </w:rPr>
        <w:t xml:space="preserve"> </w:t>
      </w:r>
      <w:r>
        <w:rPr>
          <w:w w:val="105"/>
          <w:sz w:val="13"/>
        </w:rPr>
        <w:t>del</w:t>
      </w:r>
      <w:r>
        <w:rPr>
          <w:spacing w:val="-6"/>
          <w:w w:val="105"/>
          <w:sz w:val="13"/>
        </w:rPr>
        <w:t xml:space="preserve"> </w:t>
      </w:r>
      <w:r>
        <w:rPr>
          <w:w w:val="105"/>
          <w:sz w:val="13"/>
        </w:rPr>
        <w:t>Pacto</w:t>
      </w:r>
      <w:r>
        <w:rPr>
          <w:spacing w:val="-6"/>
          <w:w w:val="105"/>
          <w:sz w:val="13"/>
        </w:rPr>
        <w:t xml:space="preserve"> </w:t>
      </w:r>
      <w:r>
        <w:rPr>
          <w:w w:val="105"/>
          <w:sz w:val="13"/>
        </w:rPr>
        <w:t>Internacional</w:t>
      </w:r>
      <w:r>
        <w:rPr>
          <w:spacing w:val="-6"/>
          <w:w w:val="105"/>
          <w:sz w:val="13"/>
        </w:rPr>
        <w:t xml:space="preserve"> </w:t>
      </w:r>
      <w:r>
        <w:rPr>
          <w:w w:val="105"/>
          <w:sz w:val="13"/>
        </w:rPr>
        <w:t>de</w:t>
      </w:r>
      <w:r>
        <w:rPr>
          <w:spacing w:val="-6"/>
          <w:w w:val="105"/>
          <w:sz w:val="13"/>
        </w:rPr>
        <w:t xml:space="preserve"> </w:t>
      </w:r>
      <w:r>
        <w:rPr>
          <w:w w:val="105"/>
          <w:sz w:val="13"/>
        </w:rPr>
        <w:t>Derechos</w:t>
      </w:r>
      <w:r>
        <w:rPr>
          <w:spacing w:val="-6"/>
          <w:w w:val="105"/>
          <w:sz w:val="13"/>
        </w:rPr>
        <w:t xml:space="preserve"> </w:t>
      </w:r>
      <w:r>
        <w:rPr>
          <w:w w:val="105"/>
          <w:sz w:val="13"/>
        </w:rPr>
        <w:t>Civiles</w:t>
      </w:r>
      <w:r>
        <w:rPr>
          <w:spacing w:val="-6"/>
          <w:w w:val="105"/>
          <w:sz w:val="13"/>
        </w:rPr>
        <w:t xml:space="preserve"> </w:t>
      </w:r>
      <w:r>
        <w:rPr>
          <w:w w:val="105"/>
          <w:sz w:val="13"/>
        </w:rPr>
        <w:t>y</w:t>
      </w:r>
      <w:r>
        <w:rPr>
          <w:spacing w:val="-5"/>
          <w:w w:val="105"/>
          <w:sz w:val="13"/>
        </w:rPr>
        <w:t xml:space="preserve"> </w:t>
      </w:r>
      <w:r>
        <w:rPr>
          <w:w w:val="105"/>
          <w:sz w:val="13"/>
        </w:rPr>
        <w:t>Políticos</w:t>
      </w:r>
      <w:r>
        <w:rPr>
          <w:spacing w:val="-6"/>
          <w:w w:val="105"/>
          <w:sz w:val="13"/>
        </w:rPr>
        <w:t xml:space="preserve"> </w:t>
      </w:r>
      <w:r>
        <w:rPr>
          <w:w w:val="105"/>
          <w:sz w:val="13"/>
        </w:rPr>
        <w:t>y</w:t>
      </w:r>
      <w:r>
        <w:rPr>
          <w:spacing w:val="-5"/>
          <w:w w:val="105"/>
          <w:sz w:val="13"/>
        </w:rPr>
        <w:t xml:space="preserve"> </w:t>
      </w:r>
      <w:r>
        <w:rPr>
          <w:w w:val="105"/>
          <w:sz w:val="13"/>
        </w:rPr>
        <w:t>se</w:t>
      </w:r>
      <w:r>
        <w:rPr>
          <w:spacing w:val="-5"/>
          <w:w w:val="105"/>
          <w:sz w:val="13"/>
        </w:rPr>
        <w:t xml:space="preserve"> </w:t>
      </w:r>
      <w:r>
        <w:rPr>
          <w:w w:val="105"/>
          <w:sz w:val="13"/>
        </w:rPr>
        <w:t>menciona</w:t>
      </w:r>
      <w:r>
        <w:rPr>
          <w:spacing w:val="-5"/>
          <w:w w:val="105"/>
          <w:sz w:val="13"/>
        </w:rPr>
        <w:t xml:space="preserve"> </w:t>
      </w:r>
      <w:r>
        <w:rPr>
          <w:w w:val="105"/>
          <w:sz w:val="13"/>
        </w:rPr>
        <w:t>en</w:t>
      </w:r>
      <w:r>
        <w:rPr>
          <w:spacing w:val="-6"/>
          <w:w w:val="105"/>
          <w:sz w:val="13"/>
        </w:rPr>
        <w:t xml:space="preserve"> </w:t>
      </w:r>
      <w:r>
        <w:rPr>
          <w:w w:val="105"/>
          <w:sz w:val="13"/>
        </w:rPr>
        <w:t>la</w:t>
      </w:r>
      <w:r>
        <w:rPr>
          <w:spacing w:val="-6"/>
          <w:w w:val="105"/>
          <w:sz w:val="13"/>
        </w:rPr>
        <w:t xml:space="preserve"> </w:t>
      </w:r>
      <w:r>
        <w:rPr>
          <w:w w:val="105"/>
          <w:sz w:val="13"/>
        </w:rPr>
        <w:t>sección</w:t>
      </w:r>
      <w:r>
        <w:rPr>
          <w:spacing w:val="-5"/>
          <w:w w:val="105"/>
          <w:sz w:val="13"/>
        </w:rPr>
        <w:t xml:space="preserve"> </w:t>
      </w:r>
      <w:r>
        <w:rPr>
          <w:w w:val="105"/>
          <w:sz w:val="13"/>
        </w:rPr>
        <w:t>5.1</w:t>
      </w:r>
      <w:r>
        <w:rPr>
          <w:spacing w:val="-6"/>
          <w:w w:val="105"/>
          <w:sz w:val="13"/>
        </w:rPr>
        <w:t xml:space="preserve"> </w:t>
      </w:r>
      <w:r>
        <w:rPr>
          <w:w w:val="105"/>
          <w:sz w:val="13"/>
        </w:rPr>
        <w:t>de</w:t>
      </w:r>
      <w:r>
        <w:rPr>
          <w:spacing w:val="-6"/>
          <w:w w:val="105"/>
          <w:sz w:val="13"/>
        </w:rPr>
        <w:t xml:space="preserve"> </w:t>
      </w:r>
      <w:r>
        <w:rPr>
          <w:w w:val="105"/>
          <w:sz w:val="13"/>
        </w:rPr>
        <w:t>la</w:t>
      </w:r>
      <w:r>
        <w:rPr>
          <w:spacing w:val="-6"/>
          <w:w w:val="105"/>
          <w:sz w:val="13"/>
        </w:rPr>
        <w:t xml:space="preserve"> </w:t>
      </w:r>
      <w:r>
        <w:rPr>
          <w:w w:val="105"/>
          <w:sz w:val="13"/>
        </w:rPr>
        <w:t>observación</w:t>
      </w:r>
      <w:r>
        <w:rPr>
          <w:spacing w:val="40"/>
          <w:w w:val="105"/>
          <w:sz w:val="13"/>
        </w:rPr>
        <w:t xml:space="preserve"> </w:t>
      </w:r>
      <w:r>
        <w:rPr>
          <w:w w:val="105"/>
          <w:sz w:val="13"/>
        </w:rPr>
        <w:t>general</w:t>
      </w:r>
      <w:r>
        <w:rPr>
          <w:spacing w:val="-8"/>
          <w:w w:val="105"/>
          <w:sz w:val="13"/>
        </w:rPr>
        <w:t xml:space="preserve"> </w:t>
      </w:r>
      <w:r>
        <w:rPr>
          <w:w w:val="105"/>
          <w:sz w:val="13"/>
        </w:rPr>
        <w:t>[…]</w:t>
      </w:r>
      <w:r>
        <w:rPr>
          <w:spacing w:val="-8"/>
          <w:w w:val="105"/>
          <w:sz w:val="13"/>
        </w:rPr>
        <w:t xml:space="preserve"> </w:t>
      </w:r>
      <w:r>
        <w:rPr>
          <w:w w:val="105"/>
          <w:sz w:val="13"/>
        </w:rPr>
        <w:t>del</w:t>
      </w:r>
      <w:r>
        <w:rPr>
          <w:spacing w:val="-8"/>
          <w:w w:val="105"/>
          <w:sz w:val="13"/>
        </w:rPr>
        <w:t xml:space="preserve"> </w:t>
      </w:r>
      <w:r>
        <w:rPr>
          <w:w w:val="105"/>
          <w:sz w:val="13"/>
        </w:rPr>
        <w:t>6</w:t>
      </w:r>
      <w:r>
        <w:rPr>
          <w:spacing w:val="-8"/>
          <w:w w:val="105"/>
          <w:sz w:val="13"/>
        </w:rPr>
        <w:t xml:space="preserve"> </w:t>
      </w:r>
      <w:r>
        <w:rPr>
          <w:w w:val="105"/>
          <w:sz w:val="13"/>
        </w:rPr>
        <w:t>de</w:t>
      </w:r>
      <w:r>
        <w:rPr>
          <w:spacing w:val="-8"/>
          <w:w w:val="105"/>
          <w:sz w:val="13"/>
        </w:rPr>
        <w:t xml:space="preserve"> </w:t>
      </w:r>
      <w:r>
        <w:rPr>
          <w:w w:val="105"/>
          <w:sz w:val="13"/>
        </w:rPr>
        <w:t>abril</w:t>
      </w:r>
      <w:r>
        <w:rPr>
          <w:spacing w:val="-8"/>
          <w:w w:val="105"/>
          <w:sz w:val="13"/>
        </w:rPr>
        <w:t xml:space="preserve"> </w:t>
      </w:r>
      <w:r>
        <w:rPr>
          <w:w w:val="105"/>
          <w:sz w:val="13"/>
        </w:rPr>
        <w:t>de</w:t>
      </w:r>
      <w:r>
        <w:rPr>
          <w:spacing w:val="-8"/>
          <w:w w:val="105"/>
          <w:sz w:val="13"/>
        </w:rPr>
        <w:t xml:space="preserve"> </w:t>
      </w:r>
      <w:r>
        <w:rPr>
          <w:w w:val="105"/>
          <w:sz w:val="13"/>
        </w:rPr>
        <w:t>1994.</w:t>
      </w:r>
      <w:r>
        <w:rPr>
          <w:spacing w:val="-8"/>
          <w:w w:val="105"/>
          <w:sz w:val="13"/>
        </w:rPr>
        <w:t xml:space="preserve"> </w:t>
      </w:r>
      <w:r>
        <w:rPr>
          <w:w w:val="105"/>
          <w:sz w:val="13"/>
        </w:rPr>
        <w:t>[…]</w:t>
      </w:r>
      <w:r>
        <w:rPr>
          <w:spacing w:val="-8"/>
          <w:w w:val="105"/>
          <w:sz w:val="13"/>
        </w:rPr>
        <w:t xml:space="preserve"> </w:t>
      </w:r>
      <w:r>
        <w:rPr>
          <w:w w:val="105"/>
          <w:sz w:val="13"/>
        </w:rPr>
        <w:t>Sin</w:t>
      </w:r>
      <w:r>
        <w:rPr>
          <w:spacing w:val="-8"/>
          <w:w w:val="105"/>
          <w:sz w:val="13"/>
        </w:rPr>
        <w:t xml:space="preserve"> </w:t>
      </w:r>
      <w:r>
        <w:rPr>
          <w:w w:val="105"/>
          <w:sz w:val="13"/>
        </w:rPr>
        <w:t>embargo,</w:t>
      </w:r>
      <w:r>
        <w:rPr>
          <w:spacing w:val="-8"/>
          <w:w w:val="105"/>
          <w:sz w:val="13"/>
        </w:rPr>
        <w:t xml:space="preserve"> </w:t>
      </w:r>
      <w:r>
        <w:rPr>
          <w:w w:val="105"/>
          <w:sz w:val="13"/>
        </w:rPr>
        <w:t>no</w:t>
      </w:r>
      <w:r>
        <w:rPr>
          <w:spacing w:val="-8"/>
          <w:w w:val="105"/>
          <w:sz w:val="13"/>
        </w:rPr>
        <w:t xml:space="preserve"> </w:t>
      </w:r>
      <w:r>
        <w:rPr>
          <w:w w:val="105"/>
          <w:sz w:val="13"/>
        </w:rPr>
        <w:t>se</w:t>
      </w:r>
      <w:r>
        <w:rPr>
          <w:spacing w:val="-8"/>
          <w:w w:val="105"/>
          <w:sz w:val="13"/>
        </w:rPr>
        <w:t xml:space="preserve"> </w:t>
      </w:r>
      <w:r>
        <w:rPr>
          <w:w w:val="105"/>
          <w:sz w:val="13"/>
        </w:rPr>
        <w:t>ha</w:t>
      </w:r>
      <w:r>
        <w:rPr>
          <w:spacing w:val="-8"/>
          <w:w w:val="105"/>
          <w:sz w:val="13"/>
        </w:rPr>
        <w:t xml:space="preserve"> </w:t>
      </w:r>
      <w:r>
        <w:rPr>
          <w:w w:val="105"/>
          <w:sz w:val="13"/>
        </w:rPr>
        <w:t>establecido</w:t>
      </w:r>
      <w:r>
        <w:rPr>
          <w:spacing w:val="-8"/>
          <w:w w:val="105"/>
          <w:sz w:val="13"/>
        </w:rPr>
        <w:t xml:space="preserve"> </w:t>
      </w:r>
      <w:r>
        <w:rPr>
          <w:w w:val="105"/>
          <w:sz w:val="13"/>
        </w:rPr>
        <w:t>ninguna</w:t>
      </w:r>
      <w:r>
        <w:rPr>
          <w:spacing w:val="-8"/>
          <w:w w:val="105"/>
          <w:sz w:val="13"/>
        </w:rPr>
        <w:t xml:space="preserve"> </w:t>
      </w:r>
      <w:r>
        <w:rPr>
          <w:w w:val="105"/>
          <w:sz w:val="13"/>
        </w:rPr>
        <w:t>definición</w:t>
      </w:r>
      <w:r>
        <w:rPr>
          <w:spacing w:val="-8"/>
          <w:w w:val="105"/>
          <w:sz w:val="13"/>
        </w:rPr>
        <w:t xml:space="preserve"> </w:t>
      </w:r>
      <w:r>
        <w:rPr>
          <w:w w:val="105"/>
          <w:sz w:val="13"/>
        </w:rPr>
        <w:t>generalmente</w:t>
      </w:r>
      <w:r>
        <w:rPr>
          <w:spacing w:val="-8"/>
          <w:w w:val="105"/>
          <w:sz w:val="13"/>
        </w:rPr>
        <w:t xml:space="preserve"> </w:t>
      </w:r>
      <w:r>
        <w:rPr>
          <w:w w:val="105"/>
          <w:sz w:val="13"/>
        </w:rPr>
        <w:t>aceptada</w:t>
      </w:r>
      <w:r>
        <w:rPr>
          <w:spacing w:val="-8"/>
          <w:w w:val="105"/>
          <w:sz w:val="13"/>
        </w:rPr>
        <w:t xml:space="preserve"> </w:t>
      </w:r>
      <w:r>
        <w:rPr>
          <w:w w:val="105"/>
          <w:sz w:val="13"/>
        </w:rPr>
        <w:t>de</w:t>
      </w:r>
      <w:r>
        <w:rPr>
          <w:spacing w:val="-8"/>
          <w:w w:val="105"/>
          <w:sz w:val="13"/>
        </w:rPr>
        <w:t xml:space="preserve"> </w:t>
      </w:r>
      <w:r>
        <w:rPr>
          <w:w w:val="105"/>
          <w:sz w:val="13"/>
        </w:rPr>
        <w:t>minorías.</w:t>
      </w:r>
      <w:r>
        <w:rPr>
          <w:spacing w:val="-8"/>
          <w:w w:val="105"/>
          <w:sz w:val="13"/>
        </w:rPr>
        <w:t xml:space="preserve"> </w:t>
      </w:r>
      <w:r>
        <w:rPr>
          <w:w w:val="105"/>
          <w:sz w:val="13"/>
        </w:rPr>
        <w:t>formulado</w:t>
      </w:r>
    </w:p>
    <w:p w14:paraId="4D3D2632" w14:textId="77777777" w:rsidR="0014798C" w:rsidRDefault="004E1F0B">
      <w:pPr>
        <w:spacing w:before="1" w:line="288" w:lineRule="auto"/>
        <w:ind w:left="1366" w:right="1463" w:firstLine="1"/>
        <w:rPr>
          <w:sz w:val="13"/>
        </w:rPr>
      </w:pPr>
      <w:r>
        <w:rPr>
          <w:w w:val="105"/>
          <w:sz w:val="13"/>
        </w:rPr>
        <w:t>en</w:t>
      </w:r>
      <w:r>
        <w:rPr>
          <w:spacing w:val="-8"/>
          <w:w w:val="105"/>
          <w:sz w:val="13"/>
        </w:rPr>
        <w:t xml:space="preserve"> </w:t>
      </w:r>
      <w:r>
        <w:rPr>
          <w:w w:val="105"/>
          <w:sz w:val="13"/>
        </w:rPr>
        <w:t>ningún</w:t>
      </w:r>
      <w:r>
        <w:rPr>
          <w:spacing w:val="-8"/>
          <w:w w:val="105"/>
          <w:sz w:val="13"/>
        </w:rPr>
        <w:t xml:space="preserve"> </w:t>
      </w:r>
      <w:r>
        <w:rPr>
          <w:w w:val="105"/>
          <w:sz w:val="13"/>
        </w:rPr>
        <w:t>instrumento</w:t>
      </w:r>
      <w:r>
        <w:rPr>
          <w:spacing w:val="-8"/>
          <w:w w:val="105"/>
          <w:sz w:val="13"/>
        </w:rPr>
        <w:t xml:space="preserve"> </w:t>
      </w:r>
      <w:r>
        <w:rPr>
          <w:w w:val="105"/>
          <w:sz w:val="13"/>
        </w:rPr>
        <w:t>o</w:t>
      </w:r>
      <w:r>
        <w:rPr>
          <w:spacing w:val="-8"/>
          <w:w w:val="105"/>
          <w:sz w:val="13"/>
        </w:rPr>
        <w:t xml:space="preserve"> </w:t>
      </w:r>
      <w:r>
        <w:rPr>
          <w:w w:val="105"/>
          <w:sz w:val="13"/>
        </w:rPr>
        <w:t>doctrina</w:t>
      </w:r>
      <w:r>
        <w:rPr>
          <w:spacing w:val="-8"/>
          <w:w w:val="105"/>
          <w:sz w:val="13"/>
        </w:rPr>
        <w:t xml:space="preserve"> </w:t>
      </w:r>
      <w:r>
        <w:rPr>
          <w:w w:val="105"/>
          <w:sz w:val="13"/>
        </w:rPr>
        <w:t>jurídica</w:t>
      </w:r>
      <w:r>
        <w:rPr>
          <w:spacing w:val="-8"/>
          <w:w w:val="105"/>
          <w:sz w:val="13"/>
        </w:rPr>
        <w:t xml:space="preserve"> </w:t>
      </w:r>
      <w:r>
        <w:rPr>
          <w:w w:val="105"/>
          <w:sz w:val="13"/>
        </w:rPr>
        <w:t>internacional</w:t>
      </w:r>
      <w:r>
        <w:rPr>
          <w:spacing w:val="-8"/>
          <w:w w:val="105"/>
          <w:sz w:val="13"/>
        </w:rPr>
        <w:t xml:space="preserve"> </w:t>
      </w:r>
      <w:r>
        <w:rPr>
          <w:w w:val="105"/>
          <w:sz w:val="13"/>
        </w:rPr>
        <w:t>hasta</w:t>
      </w:r>
      <w:r>
        <w:rPr>
          <w:spacing w:val="-8"/>
          <w:w w:val="105"/>
          <w:sz w:val="13"/>
        </w:rPr>
        <w:t xml:space="preserve"> </w:t>
      </w:r>
      <w:r>
        <w:rPr>
          <w:w w:val="105"/>
          <w:sz w:val="13"/>
        </w:rPr>
        <w:t>la</w:t>
      </w:r>
      <w:r>
        <w:rPr>
          <w:spacing w:val="-8"/>
          <w:w w:val="105"/>
          <w:sz w:val="13"/>
        </w:rPr>
        <w:t xml:space="preserve"> </w:t>
      </w:r>
      <w:r>
        <w:rPr>
          <w:w w:val="105"/>
          <w:sz w:val="13"/>
        </w:rPr>
        <w:t>fecha.</w:t>
      </w:r>
      <w:r>
        <w:rPr>
          <w:spacing w:val="-7"/>
          <w:w w:val="105"/>
          <w:sz w:val="13"/>
        </w:rPr>
        <w:t xml:space="preserve"> </w:t>
      </w:r>
      <w:r>
        <w:rPr>
          <w:w w:val="105"/>
          <w:sz w:val="13"/>
        </w:rPr>
        <w:t>Si</w:t>
      </w:r>
      <w:r>
        <w:rPr>
          <w:spacing w:val="-8"/>
          <w:w w:val="105"/>
          <w:sz w:val="13"/>
        </w:rPr>
        <w:t xml:space="preserve"> </w:t>
      </w:r>
      <w:r>
        <w:rPr>
          <w:w w:val="105"/>
          <w:sz w:val="13"/>
        </w:rPr>
        <w:t>bien</w:t>
      </w:r>
      <w:r>
        <w:rPr>
          <w:spacing w:val="-8"/>
          <w:w w:val="105"/>
          <w:sz w:val="13"/>
        </w:rPr>
        <w:t xml:space="preserve"> </w:t>
      </w:r>
      <w:r>
        <w:rPr>
          <w:w w:val="105"/>
          <w:sz w:val="13"/>
        </w:rPr>
        <w:t>algunos</w:t>
      </w:r>
      <w:r>
        <w:rPr>
          <w:spacing w:val="-8"/>
          <w:w w:val="105"/>
          <w:sz w:val="13"/>
        </w:rPr>
        <w:t xml:space="preserve"> </w:t>
      </w:r>
      <w:r>
        <w:rPr>
          <w:w w:val="105"/>
          <w:sz w:val="13"/>
        </w:rPr>
        <w:t>autores</w:t>
      </w:r>
      <w:r>
        <w:rPr>
          <w:spacing w:val="-8"/>
          <w:w w:val="105"/>
          <w:sz w:val="13"/>
        </w:rPr>
        <w:t xml:space="preserve"> </w:t>
      </w:r>
      <w:r>
        <w:rPr>
          <w:w w:val="105"/>
          <w:sz w:val="13"/>
        </w:rPr>
        <w:t>han</w:t>
      </w:r>
      <w:r>
        <w:rPr>
          <w:spacing w:val="-8"/>
          <w:w w:val="105"/>
          <w:sz w:val="13"/>
        </w:rPr>
        <w:t xml:space="preserve"> </w:t>
      </w:r>
      <w:r>
        <w:rPr>
          <w:w w:val="105"/>
          <w:sz w:val="13"/>
        </w:rPr>
        <w:t>intentado</w:t>
      </w:r>
      <w:r>
        <w:rPr>
          <w:spacing w:val="-8"/>
          <w:w w:val="105"/>
          <w:sz w:val="13"/>
        </w:rPr>
        <w:t xml:space="preserve"> </w:t>
      </w:r>
      <w:r>
        <w:rPr>
          <w:w w:val="105"/>
          <w:sz w:val="13"/>
        </w:rPr>
        <w:t>profundizar</w:t>
      </w:r>
      <w:r>
        <w:rPr>
          <w:spacing w:val="-8"/>
          <w:w w:val="105"/>
          <w:sz w:val="13"/>
        </w:rPr>
        <w:t xml:space="preserve"> </w:t>
      </w:r>
      <w:r>
        <w:rPr>
          <w:w w:val="105"/>
          <w:sz w:val="13"/>
        </w:rPr>
        <w:t>en</w:t>
      </w:r>
      <w:r>
        <w:rPr>
          <w:spacing w:val="-8"/>
          <w:w w:val="105"/>
          <w:sz w:val="13"/>
        </w:rPr>
        <w:t xml:space="preserve"> </w:t>
      </w:r>
      <w:r>
        <w:rPr>
          <w:w w:val="105"/>
          <w:sz w:val="13"/>
        </w:rPr>
        <w:t>la</w:t>
      </w:r>
      <w:r>
        <w:rPr>
          <w:spacing w:val="-8"/>
          <w:w w:val="105"/>
          <w:sz w:val="13"/>
        </w:rPr>
        <w:t xml:space="preserve"> </w:t>
      </w:r>
      <w:r>
        <w:rPr>
          <w:w w:val="105"/>
          <w:sz w:val="13"/>
        </w:rPr>
        <w:t>cuestión,</w:t>
      </w:r>
      <w:r>
        <w:rPr>
          <w:spacing w:val="-7"/>
          <w:w w:val="105"/>
          <w:sz w:val="13"/>
        </w:rPr>
        <w:t xml:space="preserve"> </w:t>
      </w:r>
      <w:r>
        <w:rPr>
          <w:w w:val="105"/>
          <w:sz w:val="13"/>
        </w:rPr>
        <w:t>otros</w:t>
      </w:r>
      <w:r>
        <w:rPr>
          <w:spacing w:val="-8"/>
          <w:w w:val="105"/>
          <w:sz w:val="13"/>
        </w:rPr>
        <w:t xml:space="preserve"> </w:t>
      </w:r>
      <w:r>
        <w:rPr>
          <w:w w:val="105"/>
          <w:sz w:val="13"/>
        </w:rPr>
        <w:t>han</w:t>
      </w:r>
      <w:r>
        <w:rPr>
          <w:spacing w:val="40"/>
          <w:w w:val="105"/>
          <w:sz w:val="13"/>
        </w:rPr>
        <w:t xml:space="preserve"> </w:t>
      </w:r>
      <w:r>
        <w:rPr>
          <w:w w:val="105"/>
          <w:sz w:val="13"/>
        </w:rPr>
        <w:t>preferido</w:t>
      </w:r>
      <w:r>
        <w:rPr>
          <w:spacing w:val="-10"/>
          <w:w w:val="105"/>
          <w:sz w:val="13"/>
        </w:rPr>
        <w:t xml:space="preserve"> </w:t>
      </w:r>
      <w:r>
        <w:rPr>
          <w:w w:val="105"/>
          <w:sz w:val="13"/>
        </w:rPr>
        <w:t>no</w:t>
      </w:r>
      <w:r>
        <w:rPr>
          <w:spacing w:val="-9"/>
          <w:w w:val="105"/>
          <w:sz w:val="13"/>
        </w:rPr>
        <w:t xml:space="preserve"> </w:t>
      </w:r>
      <w:r>
        <w:rPr>
          <w:w w:val="105"/>
          <w:sz w:val="13"/>
        </w:rPr>
        <w:t>hacerlo,</w:t>
      </w:r>
      <w:r>
        <w:rPr>
          <w:spacing w:val="-9"/>
          <w:w w:val="105"/>
          <w:sz w:val="13"/>
        </w:rPr>
        <w:t xml:space="preserve"> </w:t>
      </w:r>
      <w:r>
        <w:rPr>
          <w:w w:val="105"/>
          <w:sz w:val="13"/>
        </w:rPr>
        <w:t>considerando</w:t>
      </w:r>
      <w:r>
        <w:rPr>
          <w:spacing w:val="-9"/>
          <w:w w:val="105"/>
          <w:sz w:val="13"/>
        </w:rPr>
        <w:t xml:space="preserve"> </w:t>
      </w:r>
      <w:r>
        <w:rPr>
          <w:w w:val="105"/>
          <w:sz w:val="13"/>
        </w:rPr>
        <w:t>que</w:t>
      </w:r>
      <w:r>
        <w:rPr>
          <w:spacing w:val="-9"/>
          <w:w w:val="105"/>
          <w:sz w:val="13"/>
        </w:rPr>
        <w:t xml:space="preserve"> </w:t>
      </w:r>
      <w:r>
        <w:rPr>
          <w:w w:val="105"/>
          <w:sz w:val="13"/>
        </w:rPr>
        <w:t>tal</w:t>
      </w:r>
      <w:r>
        <w:rPr>
          <w:spacing w:val="-10"/>
          <w:w w:val="105"/>
          <w:sz w:val="13"/>
        </w:rPr>
        <w:t xml:space="preserve"> </w:t>
      </w:r>
      <w:r>
        <w:rPr>
          <w:w w:val="105"/>
          <w:sz w:val="13"/>
        </w:rPr>
        <w:t>definición</w:t>
      </w:r>
      <w:r>
        <w:rPr>
          <w:spacing w:val="-9"/>
          <w:w w:val="105"/>
          <w:sz w:val="13"/>
        </w:rPr>
        <w:t xml:space="preserve"> </w:t>
      </w:r>
      <w:r>
        <w:rPr>
          <w:w w:val="105"/>
          <w:sz w:val="13"/>
        </w:rPr>
        <w:t>es</w:t>
      </w:r>
      <w:r>
        <w:rPr>
          <w:spacing w:val="-9"/>
          <w:w w:val="105"/>
          <w:sz w:val="13"/>
        </w:rPr>
        <w:t xml:space="preserve"> </w:t>
      </w:r>
      <w:r>
        <w:rPr>
          <w:w w:val="105"/>
          <w:sz w:val="13"/>
        </w:rPr>
        <w:t>imposible</w:t>
      </w:r>
      <w:r>
        <w:rPr>
          <w:spacing w:val="-9"/>
          <w:w w:val="105"/>
          <w:sz w:val="13"/>
        </w:rPr>
        <w:t xml:space="preserve"> </w:t>
      </w:r>
      <w:r>
        <w:rPr>
          <w:w w:val="105"/>
          <w:sz w:val="13"/>
        </w:rPr>
        <w:t>o</w:t>
      </w:r>
      <w:r>
        <w:rPr>
          <w:spacing w:val="-10"/>
          <w:w w:val="105"/>
          <w:sz w:val="13"/>
        </w:rPr>
        <w:t xml:space="preserve"> </w:t>
      </w:r>
      <w:r>
        <w:rPr>
          <w:w w:val="105"/>
          <w:sz w:val="13"/>
        </w:rPr>
        <w:t>que,</w:t>
      </w:r>
      <w:r>
        <w:rPr>
          <w:spacing w:val="-8"/>
          <w:w w:val="105"/>
          <w:sz w:val="13"/>
        </w:rPr>
        <w:t xml:space="preserve"> </w:t>
      </w:r>
      <w:r>
        <w:rPr>
          <w:w w:val="105"/>
          <w:sz w:val="13"/>
        </w:rPr>
        <w:t>en</w:t>
      </w:r>
      <w:r>
        <w:rPr>
          <w:spacing w:val="-10"/>
          <w:w w:val="105"/>
          <w:sz w:val="13"/>
        </w:rPr>
        <w:t xml:space="preserve"> </w:t>
      </w:r>
      <w:r>
        <w:rPr>
          <w:w w:val="105"/>
          <w:sz w:val="13"/>
        </w:rPr>
        <w:t>cualquier</w:t>
      </w:r>
      <w:r>
        <w:rPr>
          <w:spacing w:val="-9"/>
          <w:w w:val="105"/>
          <w:sz w:val="13"/>
        </w:rPr>
        <w:t xml:space="preserve"> </w:t>
      </w:r>
      <w:r>
        <w:rPr>
          <w:w w:val="105"/>
          <w:sz w:val="13"/>
        </w:rPr>
        <w:t>caso,</w:t>
      </w:r>
      <w:r>
        <w:rPr>
          <w:spacing w:val="-9"/>
          <w:w w:val="105"/>
          <w:sz w:val="13"/>
        </w:rPr>
        <w:t xml:space="preserve"> </w:t>
      </w:r>
      <w:r>
        <w:rPr>
          <w:w w:val="105"/>
          <w:sz w:val="13"/>
        </w:rPr>
        <w:t>no</w:t>
      </w:r>
      <w:r>
        <w:rPr>
          <w:spacing w:val="-9"/>
          <w:w w:val="105"/>
          <w:sz w:val="13"/>
        </w:rPr>
        <w:t xml:space="preserve"> </w:t>
      </w:r>
      <w:r>
        <w:rPr>
          <w:w w:val="105"/>
          <w:sz w:val="13"/>
        </w:rPr>
        <w:t>sirve</w:t>
      </w:r>
      <w:r>
        <w:rPr>
          <w:spacing w:val="-9"/>
          <w:w w:val="105"/>
          <w:sz w:val="13"/>
        </w:rPr>
        <w:t xml:space="preserve"> </w:t>
      </w:r>
      <w:r>
        <w:rPr>
          <w:w w:val="105"/>
          <w:sz w:val="13"/>
        </w:rPr>
        <w:t>para</w:t>
      </w:r>
      <w:r>
        <w:rPr>
          <w:spacing w:val="-9"/>
          <w:w w:val="105"/>
          <w:sz w:val="13"/>
        </w:rPr>
        <w:t xml:space="preserve"> </w:t>
      </w:r>
      <w:r>
        <w:rPr>
          <w:w w:val="105"/>
          <w:sz w:val="13"/>
        </w:rPr>
        <w:t>nada.</w:t>
      </w:r>
      <w:r>
        <w:rPr>
          <w:spacing w:val="-9"/>
          <w:w w:val="105"/>
          <w:sz w:val="13"/>
        </w:rPr>
        <w:t xml:space="preserve"> </w:t>
      </w:r>
      <w:r>
        <w:rPr>
          <w:w w:val="105"/>
          <w:sz w:val="13"/>
        </w:rPr>
        <w:t>Así,</w:t>
      </w:r>
      <w:r>
        <w:rPr>
          <w:spacing w:val="-10"/>
          <w:w w:val="105"/>
          <w:sz w:val="13"/>
        </w:rPr>
        <w:t xml:space="preserve"> </w:t>
      </w:r>
      <w:r>
        <w:rPr>
          <w:w w:val="105"/>
          <w:sz w:val="13"/>
        </w:rPr>
        <w:t>el</w:t>
      </w:r>
      <w:r>
        <w:rPr>
          <w:spacing w:val="-9"/>
          <w:w w:val="105"/>
          <w:sz w:val="13"/>
        </w:rPr>
        <w:t xml:space="preserve"> </w:t>
      </w:r>
      <w:r>
        <w:rPr>
          <w:w w:val="105"/>
          <w:sz w:val="13"/>
        </w:rPr>
        <w:t>Alto</w:t>
      </w:r>
      <w:r>
        <w:rPr>
          <w:spacing w:val="-9"/>
          <w:w w:val="105"/>
          <w:sz w:val="13"/>
        </w:rPr>
        <w:t xml:space="preserve"> </w:t>
      </w:r>
      <w:r>
        <w:rPr>
          <w:w w:val="105"/>
          <w:sz w:val="13"/>
        </w:rPr>
        <w:t>Comisionado</w:t>
      </w:r>
      <w:r>
        <w:rPr>
          <w:spacing w:val="-9"/>
          <w:w w:val="105"/>
          <w:sz w:val="13"/>
        </w:rPr>
        <w:t xml:space="preserve"> </w:t>
      </w:r>
      <w:r>
        <w:rPr>
          <w:w w:val="105"/>
          <w:sz w:val="13"/>
        </w:rPr>
        <w:t>de</w:t>
      </w:r>
      <w:r>
        <w:rPr>
          <w:spacing w:val="-10"/>
          <w:w w:val="105"/>
          <w:sz w:val="13"/>
        </w:rPr>
        <w:t xml:space="preserve"> </w:t>
      </w:r>
      <w:r>
        <w:rPr>
          <w:w w:val="105"/>
          <w:sz w:val="13"/>
        </w:rPr>
        <w:t>la</w:t>
      </w:r>
      <w:r>
        <w:rPr>
          <w:spacing w:val="-9"/>
          <w:w w:val="105"/>
          <w:sz w:val="13"/>
        </w:rPr>
        <w:t xml:space="preserve"> </w:t>
      </w:r>
      <w:r>
        <w:rPr>
          <w:w w:val="105"/>
          <w:sz w:val="13"/>
        </w:rPr>
        <w:t>CSCE</w:t>
      </w:r>
      <w:r>
        <w:rPr>
          <w:spacing w:val="40"/>
          <w:w w:val="105"/>
          <w:sz w:val="13"/>
        </w:rPr>
        <w:t xml:space="preserve"> </w:t>
      </w:r>
      <w:r>
        <w:rPr>
          <w:w w:val="105"/>
          <w:sz w:val="13"/>
        </w:rPr>
        <w:t>para</w:t>
      </w:r>
      <w:r>
        <w:rPr>
          <w:spacing w:val="-7"/>
          <w:w w:val="105"/>
          <w:sz w:val="13"/>
        </w:rPr>
        <w:t xml:space="preserve"> </w:t>
      </w:r>
      <w:r>
        <w:rPr>
          <w:w w:val="105"/>
          <w:sz w:val="13"/>
        </w:rPr>
        <w:t>las</w:t>
      </w:r>
      <w:r>
        <w:rPr>
          <w:spacing w:val="-8"/>
          <w:w w:val="105"/>
          <w:sz w:val="13"/>
        </w:rPr>
        <w:t xml:space="preserve"> </w:t>
      </w:r>
      <w:r>
        <w:rPr>
          <w:w w:val="105"/>
          <w:sz w:val="13"/>
        </w:rPr>
        <w:t>Minorías</w:t>
      </w:r>
      <w:r>
        <w:rPr>
          <w:spacing w:val="-8"/>
          <w:w w:val="105"/>
          <w:sz w:val="13"/>
        </w:rPr>
        <w:t xml:space="preserve"> </w:t>
      </w:r>
      <w:r>
        <w:rPr>
          <w:w w:val="105"/>
          <w:sz w:val="13"/>
        </w:rPr>
        <w:t>Nacionales</w:t>
      </w:r>
      <w:r>
        <w:rPr>
          <w:spacing w:val="-8"/>
          <w:w w:val="105"/>
          <w:sz w:val="13"/>
        </w:rPr>
        <w:t xml:space="preserve"> </w:t>
      </w:r>
      <w:r>
        <w:rPr>
          <w:w w:val="105"/>
          <w:sz w:val="13"/>
        </w:rPr>
        <w:t>actúa</w:t>
      </w:r>
      <w:r>
        <w:rPr>
          <w:spacing w:val="-8"/>
          <w:w w:val="105"/>
          <w:sz w:val="13"/>
        </w:rPr>
        <w:t xml:space="preserve"> </w:t>
      </w:r>
      <w:r>
        <w:rPr>
          <w:w w:val="105"/>
          <w:sz w:val="13"/>
        </w:rPr>
        <w:t>de</w:t>
      </w:r>
      <w:r>
        <w:rPr>
          <w:spacing w:val="-8"/>
          <w:w w:val="105"/>
          <w:sz w:val="13"/>
        </w:rPr>
        <w:t xml:space="preserve"> </w:t>
      </w:r>
      <w:r>
        <w:rPr>
          <w:w w:val="105"/>
          <w:sz w:val="13"/>
        </w:rPr>
        <w:t>manera</w:t>
      </w:r>
      <w:r>
        <w:rPr>
          <w:spacing w:val="-7"/>
          <w:w w:val="105"/>
          <w:sz w:val="13"/>
        </w:rPr>
        <w:t xml:space="preserve"> </w:t>
      </w:r>
      <w:r>
        <w:rPr>
          <w:w w:val="105"/>
          <w:sz w:val="13"/>
        </w:rPr>
        <w:t>pragmática</w:t>
      </w:r>
      <w:r>
        <w:rPr>
          <w:spacing w:val="-8"/>
          <w:w w:val="105"/>
          <w:sz w:val="13"/>
        </w:rPr>
        <w:t xml:space="preserve"> </w:t>
      </w:r>
      <w:r>
        <w:rPr>
          <w:w w:val="105"/>
          <w:sz w:val="13"/>
        </w:rPr>
        <w:t>y</w:t>
      </w:r>
      <w:r>
        <w:rPr>
          <w:spacing w:val="-7"/>
          <w:w w:val="105"/>
          <w:sz w:val="13"/>
        </w:rPr>
        <w:t xml:space="preserve"> </w:t>
      </w:r>
      <w:r>
        <w:rPr>
          <w:w w:val="105"/>
          <w:sz w:val="13"/>
        </w:rPr>
        <w:t>sin</w:t>
      </w:r>
      <w:r>
        <w:rPr>
          <w:spacing w:val="-7"/>
          <w:w w:val="105"/>
          <w:sz w:val="13"/>
        </w:rPr>
        <w:t xml:space="preserve"> </w:t>
      </w:r>
      <w:r>
        <w:rPr>
          <w:w w:val="105"/>
          <w:sz w:val="13"/>
        </w:rPr>
        <w:t>formular</w:t>
      </w:r>
      <w:r>
        <w:rPr>
          <w:spacing w:val="-8"/>
          <w:w w:val="105"/>
          <w:sz w:val="13"/>
        </w:rPr>
        <w:t xml:space="preserve"> </w:t>
      </w:r>
      <w:r>
        <w:rPr>
          <w:w w:val="105"/>
          <w:sz w:val="13"/>
        </w:rPr>
        <w:t>ninguna</w:t>
      </w:r>
      <w:r>
        <w:rPr>
          <w:spacing w:val="-8"/>
          <w:w w:val="105"/>
          <w:sz w:val="13"/>
        </w:rPr>
        <w:t xml:space="preserve"> </w:t>
      </w:r>
      <w:r>
        <w:rPr>
          <w:w w:val="105"/>
          <w:sz w:val="13"/>
        </w:rPr>
        <w:t>definición,</w:t>
      </w:r>
      <w:r>
        <w:rPr>
          <w:spacing w:val="-7"/>
          <w:w w:val="105"/>
          <w:sz w:val="13"/>
        </w:rPr>
        <w:t xml:space="preserve"> </w:t>
      </w:r>
      <w:r>
        <w:rPr>
          <w:w w:val="105"/>
          <w:sz w:val="13"/>
        </w:rPr>
        <w:t>siempre</w:t>
      </w:r>
      <w:r>
        <w:rPr>
          <w:spacing w:val="-7"/>
          <w:w w:val="105"/>
          <w:sz w:val="13"/>
        </w:rPr>
        <w:t xml:space="preserve"> </w:t>
      </w:r>
      <w:r>
        <w:rPr>
          <w:w w:val="105"/>
          <w:sz w:val="13"/>
        </w:rPr>
        <w:t>que</w:t>
      </w:r>
      <w:r>
        <w:rPr>
          <w:spacing w:val="-8"/>
          <w:w w:val="105"/>
          <w:sz w:val="13"/>
        </w:rPr>
        <w:t xml:space="preserve"> </w:t>
      </w:r>
      <w:r>
        <w:rPr>
          <w:w w:val="105"/>
          <w:sz w:val="13"/>
        </w:rPr>
        <w:t>considera</w:t>
      </w:r>
      <w:r>
        <w:rPr>
          <w:spacing w:val="-7"/>
          <w:w w:val="105"/>
          <w:sz w:val="13"/>
        </w:rPr>
        <w:t xml:space="preserve"> </w:t>
      </w:r>
      <w:r>
        <w:rPr>
          <w:w w:val="105"/>
          <w:sz w:val="13"/>
        </w:rPr>
        <w:t>que</w:t>
      </w:r>
      <w:r>
        <w:rPr>
          <w:spacing w:val="-8"/>
          <w:w w:val="105"/>
          <w:sz w:val="13"/>
        </w:rPr>
        <w:t xml:space="preserve"> </w:t>
      </w:r>
      <w:r>
        <w:rPr>
          <w:w w:val="105"/>
          <w:sz w:val="13"/>
        </w:rPr>
        <w:t>existe</w:t>
      </w:r>
      <w:r>
        <w:rPr>
          <w:spacing w:val="-8"/>
          <w:w w:val="105"/>
          <w:sz w:val="13"/>
        </w:rPr>
        <w:t xml:space="preserve"> </w:t>
      </w:r>
      <w:r>
        <w:rPr>
          <w:w w:val="105"/>
          <w:sz w:val="13"/>
        </w:rPr>
        <w:t>una</w:t>
      </w:r>
      <w:r>
        <w:rPr>
          <w:spacing w:val="-8"/>
          <w:w w:val="105"/>
          <w:sz w:val="13"/>
        </w:rPr>
        <w:t xml:space="preserve"> </w:t>
      </w:r>
      <w:r>
        <w:rPr>
          <w:w w:val="105"/>
          <w:sz w:val="13"/>
        </w:rPr>
        <w:t>cuestión</w:t>
      </w:r>
      <w:r>
        <w:rPr>
          <w:spacing w:val="-8"/>
          <w:w w:val="105"/>
          <w:sz w:val="13"/>
        </w:rPr>
        <w:t xml:space="preserve"> </w:t>
      </w:r>
      <w:r>
        <w:rPr>
          <w:w w:val="105"/>
          <w:sz w:val="13"/>
        </w:rPr>
        <w:t>que</w:t>
      </w:r>
      <w:r>
        <w:rPr>
          <w:spacing w:val="40"/>
          <w:w w:val="105"/>
          <w:sz w:val="13"/>
        </w:rPr>
        <w:t xml:space="preserve"> </w:t>
      </w:r>
      <w:r>
        <w:rPr>
          <w:w w:val="105"/>
          <w:sz w:val="13"/>
        </w:rPr>
        <w:t>afecta</w:t>
      </w:r>
      <w:r>
        <w:rPr>
          <w:spacing w:val="-7"/>
          <w:w w:val="105"/>
          <w:sz w:val="13"/>
        </w:rPr>
        <w:t xml:space="preserve"> </w:t>
      </w:r>
      <w:r>
        <w:rPr>
          <w:w w:val="105"/>
          <w:sz w:val="13"/>
        </w:rPr>
        <w:t>a</w:t>
      </w:r>
      <w:r>
        <w:rPr>
          <w:spacing w:val="-7"/>
          <w:w w:val="105"/>
          <w:sz w:val="13"/>
        </w:rPr>
        <w:t xml:space="preserve"> </w:t>
      </w:r>
      <w:r>
        <w:rPr>
          <w:w w:val="105"/>
          <w:sz w:val="13"/>
        </w:rPr>
        <w:t>las</w:t>
      </w:r>
      <w:r>
        <w:rPr>
          <w:spacing w:val="-7"/>
          <w:w w:val="105"/>
          <w:sz w:val="13"/>
        </w:rPr>
        <w:t xml:space="preserve"> </w:t>
      </w:r>
      <w:r>
        <w:rPr>
          <w:w w:val="105"/>
          <w:sz w:val="13"/>
        </w:rPr>
        <w:t>minorías”.</w:t>
      </w:r>
      <w:r>
        <w:rPr>
          <w:spacing w:val="-6"/>
          <w:w w:val="105"/>
          <w:sz w:val="13"/>
        </w:rPr>
        <w:t xml:space="preserve"> </w:t>
      </w:r>
      <w:proofErr w:type="spellStart"/>
      <w:r>
        <w:rPr>
          <w:w w:val="105"/>
          <w:sz w:val="13"/>
        </w:rPr>
        <w:t>Ibíd</w:t>
      </w:r>
      <w:proofErr w:type="spellEnd"/>
      <w:r>
        <w:rPr>
          <w:w w:val="105"/>
          <w:sz w:val="13"/>
        </w:rPr>
        <w:t>.,</w:t>
      </w:r>
      <w:r>
        <w:rPr>
          <w:spacing w:val="-6"/>
          <w:w w:val="105"/>
          <w:sz w:val="13"/>
        </w:rPr>
        <w:t xml:space="preserve"> </w:t>
      </w:r>
      <w:r>
        <w:rPr>
          <w:w w:val="105"/>
          <w:sz w:val="13"/>
        </w:rPr>
        <w:t>pág.</w:t>
      </w:r>
      <w:r>
        <w:rPr>
          <w:spacing w:val="-6"/>
          <w:w w:val="105"/>
          <w:sz w:val="13"/>
        </w:rPr>
        <w:t xml:space="preserve"> </w:t>
      </w:r>
      <w:r>
        <w:rPr>
          <w:w w:val="105"/>
          <w:sz w:val="13"/>
        </w:rPr>
        <w:t>4,</w:t>
      </w:r>
      <w:r>
        <w:rPr>
          <w:spacing w:val="-7"/>
          <w:w w:val="105"/>
          <w:sz w:val="13"/>
        </w:rPr>
        <w:t xml:space="preserve"> </w:t>
      </w:r>
      <w:r>
        <w:rPr>
          <w:w w:val="105"/>
          <w:sz w:val="13"/>
        </w:rPr>
        <w:t>citando</w:t>
      </w:r>
      <w:r>
        <w:rPr>
          <w:spacing w:val="-7"/>
          <w:w w:val="105"/>
          <w:sz w:val="13"/>
        </w:rPr>
        <w:t xml:space="preserve"> </w:t>
      </w:r>
      <w:r>
        <w:rPr>
          <w:w w:val="105"/>
          <w:sz w:val="13"/>
        </w:rPr>
        <w:t>el</w:t>
      </w:r>
      <w:r>
        <w:rPr>
          <w:spacing w:val="-7"/>
          <w:w w:val="105"/>
          <w:sz w:val="13"/>
        </w:rPr>
        <w:t xml:space="preserve"> </w:t>
      </w:r>
      <w:r>
        <w:rPr>
          <w:w w:val="105"/>
          <w:sz w:val="13"/>
        </w:rPr>
        <w:t>informe</w:t>
      </w:r>
      <w:r>
        <w:rPr>
          <w:spacing w:val="-7"/>
          <w:w w:val="105"/>
          <w:sz w:val="13"/>
        </w:rPr>
        <w:t xml:space="preserve"> </w:t>
      </w:r>
      <w:r>
        <w:rPr>
          <w:w w:val="105"/>
          <w:sz w:val="13"/>
        </w:rPr>
        <w:t>sobre</w:t>
      </w:r>
      <w:r>
        <w:rPr>
          <w:spacing w:val="-6"/>
          <w:w w:val="105"/>
          <w:sz w:val="13"/>
        </w:rPr>
        <w:t xml:space="preserve"> </w:t>
      </w:r>
      <w:r>
        <w:rPr>
          <w:w w:val="105"/>
          <w:sz w:val="13"/>
        </w:rPr>
        <w:t>las</w:t>
      </w:r>
      <w:r>
        <w:rPr>
          <w:spacing w:val="-7"/>
          <w:w w:val="105"/>
          <w:sz w:val="13"/>
        </w:rPr>
        <w:t xml:space="preserve"> </w:t>
      </w:r>
      <w:r>
        <w:rPr>
          <w:w w:val="105"/>
          <w:sz w:val="13"/>
        </w:rPr>
        <w:t>respuestas</w:t>
      </w:r>
      <w:r>
        <w:rPr>
          <w:spacing w:val="-7"/>
          <w:w w:val="105"/>
          <w:sz w:val="13"/>
        </w:rPr>
        <w:t xml:space="preserve"> </w:t>
      </w:r>
      <w:r>
        <w:rPr>
          <w:w w:val="105"/>
          <w:sz w:val="13"/>
        </w:rPr>
        <w:t>al</w:t>
      </w:r>
      <w:r>
        <w:rPr>
          <w:spacing w:val="-7"/>
          <w:w w:val="105"/>
          <w:sz w:val="13"/>
        </w:rPr>
        <w:t xml:space="preserve"> </w:t>
      </w:r>
      <w:r>
        <w:rPr>
          <w:w w:val="105"/>
          <w:sz w:val="13"/>
        </w:rPr>
        <w:t>cuestionario</w:t>
      </w:r>
      <w:r>
        <w:rPr>
          <w:spacing w:val="-7"/>
          <w:w w:val="105"/>
          <w:sz w:val="13"/>
        </w:rPr>
        <w:t xml:space="preserve"> </w:t>
      </w:r>
      <w:r>
        <w:rPr>
          <w:w w:val="105"/>
          <w:sz w:val="13"/>
        </w:rPr>
        <w:t>sobre</w:t>
      </w:r>
      <w:r>
        <w:rPr>
          <w:spacing w:val="-6"/>
          <w:w w:val="105"/>
          <w:sz w:val="13"/>
        </w:rPr>
        <w:t xml:space="preserve"> </w:t>
      </w:r>
      <w:r>
        <w:rPr>
          <w:w w:val="105"/>
          <w:sz w:val="13"/>
        </w:rPr>
        <w:t>los</w:t>
      </w:r>
      <w:r>
        <w:rPr>
          <w:spacing w:val="-7"/>
          <w:w w:val="105"/>
          <w:sz w:val="13"/>
        </w:rPr>
        <w:t xml:space="preserve"> </w:t>
      </w:r>
      <w:r>
        <w:rPr>
          <w:w w:val="105"/>
          <w:sz w:val="13"/>
        </w:rPr>
        <w:t>derechos</w:t>
      </w:r>
      <w:r>
        <w:rPr>
          <w:spacing w:val="-7"/>
          <w:w w:val="105"/>
          <w:sz w:val="13"/>
        </w:rPr>
        <w:t xml:space="preserve"> </w:t>
      </w:r>
      <w:r>
        <w:rPr>
          <w:w w:val="105"/>
          <w:sz w:val="13"/>
        </w:rPr>
        <w:t>de</w:t>
      </w:r>
      <w:r>
        <w:rPr>
          <w:spacing w:val="-7"/>
          <w:w w:val="105"/>
          <w:sz w:val="13"/>
        </w:rPr>
        <w:t xml:space="preserve"> </w:t>
      </w:r>
      <w:r>
        <w:rPr>
          <w:w w:val="105"/>
          <w:sz w:val="13"/>
        </w:rPr>
        <w:t>las</w:t>
      </w:r>
      <w:r>
        <w:rPr>
          <w:spacing w:val="-7"/>
          <w:w w:val="105"/>
          <w:sz w:val="13"/>
        </w:rPr>
        <w:t xml:space="preserve"> </w:t>
      </w:r>
      <w:r>
        <w:rPr>
          <w:w w:val="105"/>
          <w:sz w:val="13"/>
        </w:rPr>
        <w:t>minorías,</w:t>
      </w:r>
      <w:r>
        <w:rPr>
          <w:spacing w:val="-6"/>
          <w:w w:val="105"/>
          <w:sz w:val="13"/>
        </w:rPr>
        <w:t xml:space="preserve"> </w:t>
      </w:r>
      <w:r>
        <w:rPr>
          <w:w w:val="105"/>
          <w:sz w:val="13"/>
        </w:rPr>
        <w:t>en</w:t>
      </w:r>
      <w:r>
        <w:rPr>
          <w:spacing w:val="-7"/>
          <w:w w:val="105"/>
          <w:sz w:val="13"/>
        </w:rPr>
        <w:t xml:space="preserve"> </w:t>
      </w:r>
      <w:r>
        <w:rPr>
          <w:w w:val="105"/>
          <w:sz w:val="13"/>
        </w:rPr>
        <w:t>Comisión</w:t>
      </w:r>
    </w:p>
    <w:p w14:paraId="3DEF331E" w14:textId="77777777" w:rsidR="0014798C" w:rsidRDefault="004E1F0B">
      <w:pPr>
        <w:spacing w:before="2" w:line="288" w:lineRule="auto"/>
        <w:ind w:left="1375" w:right="2004" w:hanging="8"/>
        <w:rPr>
          <w:sz w:val="13"/>
        </w:rPr>
      </w:pPr>
      <w:r>
        <w:rPr>
          <w:w w:val="105"/>
          <w:sz w:val="13"/>
        </w:rPr>
        <w:t>Europea</w:t>
      </w:r>
      <w:r>
        <w:rPr>
          <w:spacing w:val="-10"/>
          <w:w w:val="105"/>
          <w:sz w:val="13"/>
        </w:rPr>
        <w:t xml:space="preserve"> </w:t>
      </w:r>
      <w:r>
        <w:rPr>
          <w:w w:val="105"/>
          <w:sz w:val="13"/>
        </w:rPr>
        <w:t>para</w:t>
      </w:r>
      <w:r>
        <w:rPr>
          <w:spacing w:val="-9"/>
          <w:w w:val="105"/>
          <w:sz w:val="13"/>
        </w:rPr>
        <w:t xml:space="preserve"> </w:t>
      </w:r>
      <w:r>
        <w:rPr>
          <w:w w:val="105"/>
          <w:sz w:val="13"/>
        </w:rPr>
        <w:t>la</w:t>
      </w:r>
      <w:r>
        <w:rPr>
          <w:spacing w:val="-10"/>
          <w:w w:val="105"/>
          <w:sz w:val="13"/>
        </w:rPr>
        <w:t xml:space="preserve"> </w:t>
      </w:r>
      <w:r>
        <w:rPr>
          <w:w w:val="105"/>
          <w:sz w:val="13"/>
        </w:rPr>
        <w:t>Democracia</w:t>
      </w:r>
      <w:r>
        <w:rPr>
          <w:spacing w:val="-9"/>
          <w:w w:val="105"/>
          <w:sz w:val="13"/>
        </w:rPr>
        <w:t xml:space="preserve"> </w:t>
      </w:r>
      <w:r>
        <w:rPr>
          <w:w w:val="105"/>
          <w:sz w:val="13"/>
        </w:rPr>
        <w:t>a</w:t>
      </w:r>
      <w:r>
        <w:rPr>
          <w:spacing w:val="-10"/>
          <w:w w:val="105"/>
          <w:sz w:val="13"/>
        </w:rPr>
        <w:t xml:space="preserve"> </w:t>
      </w:r>
      <w:r>
        <w:rPr>
          <w:w w:val="105"/>
          <w:sz w:val="13"/>
        </w:rPr>
        <w:t>través</w:t>
      </w:r>
      <w:r>
        <w:rPr>
          <w:spacing w:val="-9"/>
          <w:w w:val="105"/>
          <w:sz w:val="13"/>
        </w:rPr>
        <w:t xml:space="preserve"> </w:t>
      </w:r>
      <w:r>
        <w:rPr>
          <w:w w:val="105"/>
          <w:sz w:val="13"/>
        </w:rPr>
        <w:t>del</w:t>
      </w:r>
      <w:r>
        <w:rPr>
          <w:spacing w:val="-10"/>
          <w:w w:val="105"/>
          <w:sz w:val="13"/>
        </w:rPr>
        <w:t xml:space="preserve"> </w:t>
      </w:r>
      <w:r>
        <w:rPr>
          <w:w w:val="105"/>
          <w:sz w:val="13"/>
        </w:rPr>
        <w:t>Derecho</w:t>
      </w:r>
      <w:r>
        <w:rPr>
          <w:spacing w:val="-9"/>
          <w:w w:val="105"/>
          <w:sz w:val="13"/>
        </w:rPr>
        <w:t xml:space="preserve"> </w:t>
      </w:r>
      <w:r>
        <w:rPr>
          <w:w w:val="105"/>
          <w:sz w:val="13"/>
        </w:rPr>
        <w:t>(Comisión</w:t>
      </w:r>
      <w:r>
        <w:rPr>
          <w:spacing w:val="-10"/>
          <w:w w:val="105"/>
          <w:sz w:val="13"/>
        </w:rPr>
        <w:t xml:space="preserve"> </w:t>
      </w:r>
      <w:r>
        <w:rPr>
          <w:w w:val="105"/>
          <w:sz w:val="13"/>
        </w:rPr>
        <w:t>de</w:t>
      </w:r>
      <w:r>
        <w:rPr>
          <w:spacing w:val="-9"/>
          <w:w w:val="105"/>
          <w:sz w:val="13"/>
        </w:rPr>
        <w:t xml:space="preserve"> </w:t>
      </w:r>
      <w:r>
        <w:rPr>
          <w:w w:val="105"/>
          <w:sz w:val="13"/>
        </w:rPr>
        <w:t>Venecia),</w:t>
      </w:r>
      <w:r>
        <w:rPr>
          <w:spacing w:val="-10"/>
          <w:w w:val="105"/>
          <w:sz w:val="13"/>
        </w:rPr>
        <w:t xml:space="preserve"> </w:t>
      </w:r>
      <w:r>
        <w:rPr>
          <w:w w:val="105"/>
          <w:sz w:val="13"/>
        </w:rPr>
        <w:t>The</w:t>
      </w:r>
      <w:r>
        <w:rPr>
          <w:spacing w:val="-9"/>
          <w:w w:val="105"/>
          <w:sz w:val="13"/>
        </w:rPr>
        <w:t xml:space="preserve"> </w:t>
      </w:r>
      <w:proofErr w:type="spellStart"/>
      <w:r>
        <w:rPr>
          <w:w w:val="105"/>
          <w:sz w:val="13"/>
        </w:rPr>
        <w:t>Protection</w:t>
      </w:r>
      <w:proofErr w:type="spellEnd"/>
      <w:r>
        <w:rPr>
          <w:spacing w:val="-10"/>
          <w:w w:val="105"/>
          <w:sz w:val="13"/>
        </w:rPr>
        <w:t xml:space="preserve"> </w:t>
      </w:r>
      <w:r>
        <w:rPr>
          <w:w w:val="105"/>
          <w:sz w:val="13"/>
        </w:rPr>
        <w:t>of</w:t>
      </w:r>
      <w:r>
        <w:rPr>
          <w:spacing w:val="-9"/>
          <w:w w:val="105"/>
          <w:sz w:val="13"/>
        </w:rPr>
        <w:t xml:space="preserve"> </w:t>
      </w:r>
      <w:proofErr w:type="spellStart"/>
      <w:r>
        <w:rPr>
          <w:w w:val="105"/>
          <w:sz w:val="13"/>
        </w:rPr>
        <w:t>Minorities</w:t>
      </w:r>
      <w:proofErr w:type="spellEnd"/>
      <w:r>
        <w:rPr>
          <w:w w:val="105"/>
          <w:sz w:val="13"/>
        </w:rPr>
        <w:t>,</w:t>
      </w:r>
      <w:r>
        <w:rPr>
          <w:spacing w:val="-10"/>
          <w:w w:val="105"/>
          <w:sz w:val="13"/>
        </w:rPr>
        <w:t xml:space="preserve"> </w:t>
      </w:r>
      <w:proofErr w:type="spellStart"/>
      <w:r>
        <w:rPr>
          <w:w w:val="105"/>
          <w:sz w:val="13"/>
        </w:rPr>
        <w:t>Collection</w:t>
      </w:r>
      <w:proofErr w:type="spellEnd"/>
      <w:r>
        <w:rPr>
          <w:spacing w:val="-9"/>
          <w:w w:val="105"/>
          <w:sz w:val="13"/>
        </w:rPr>
        <w:t xml:space="preserve"> </w:t>
      </w:r>
      <w:r>
        <w:rPr>
          <w:w w:val="105"/>
          <w:sz w:val="13"/>
        </w:rPr>
        <w:t>Science</w:t>
      </w:r>
      <w:r>
        <w:rPr>
          <w:spacing w:val="-10"/>
          <w:w w:val="105"/>
          <w:sz w:val="13"/>
        </w:rPr>
        <w:t xml:space="preserve"> </w:t>
      </w:r>
      <w:r>
        <w:rPr>
          <w:w w:val="105"/>
          <w:sz w:val="13"/>
        </w:rPr>
        <w:t>and</w:t>
      </w:r>
      <w:r>
        <w:rPr>
          <w:spacing w:val="-9"/>
          <w:w w:val="105"/>
          <w:sz w:val="13"/>
        </w:rPr>
        <w:t xml:space="preserve"> </w:t>
      </w:r>
      <w:proofErr w:type="spellStart"/>
      <w:r>
        <w:rPr>
          <w:w w:val="105"/>
          <w:sz w:val="13"/>
        </w:rPr>
        <w:t>Technique</w:t>
      </w:r>
      <w:proofErr w:type="spellEnd"/>
      <w:r>
        <w:rPr>
          <w:spacing w:val="-10"/>
          <w:w w:val="105"/>
          <w:sz w:val="13"/>
        </w:rPr>
        <w:t xml:space="preserve"> </w:t>
      </w:r>
      <w:r>
        <w:rPr>
          <w:w w:val="105"/>
          <w:sz w:val="13"/>
        </w:rPr>
        <w:t>of</w:t>
      </w:r>
      <w:r>
        <w:rPr>
          <w:spacing w:val="40"/>
          <w:w w:val="105"/>
          <w:sz w:val="13"/>
        </w:rPr>
        <w:t xml:space="preserve"> </w:t>
      </w:r>
      <w:proofErr w:type="spellStart"/>
      <w:r>
        <w:rPr>
          <w:w w:val="105"/>
          <w:sz w:val="13"/>
        </w:rPr>
        <w:t>Democracy</w:t>
      </w:r>
      <w:proofErr w:type="spellEnd"/>
      <w:r>
        <w:rPr>
          <w:w w:val="105"/>
          <w:sz w:val="13"/>
        </w:rPr>
        <w:t>, No. 9 (Estrasburgo, 1994).</w:t>
      </w:r>
    </w:p>
    <w:p w14:paraId="1C88CF68" w14:textId="77777777" w:rsidR="0014798C" w:rsidRDefault="004E1F0B">
      <w:pPr>
        <w:spacing w:before="64"/>
        <w:ind w:left="1110"/>
        <w:rPr>
          <w:sz w:val="12"/>
        </w:rPr>
      </w:pPr>
      <w:r>
        <w:rPr>
          <w:spacing w:val="-2"/>
          <w:sz w:val="12"/>
        </w:rPr>
        <w:t>876</w:t>
      </w:r>
      <w:r>
        <w:rPr>
          <w:spacing w:val="3"/>
          <w:sz w:val="12"/>
        </w:rPr>
        <w:t xml:space="preserve"> </w:t>
      </w:r>
      <w:r>
        <w:rPr>
          <w:spacing w:val="-2"/>
          <w:sz w:val="12"/>
        </w:rPr>
        <w:t>Secretario</w:t>
      </w:r>
      <w:r>
        <w:rPr>
          <w:spacing w:val="3"/>
          <w:sz w:val="12"/>
        </w:rPr>
        <w:t xml:space="preserve"> </w:t>
      </w:r>
      <w:r>
        <w:rPr>
          <w:spacing w:val="-2"/>
          <w:sz w:val="12"/>
        </w:rPr>
        <w:t>General,</w:t>
      </w:r>
      <w:r>
        <w:rPr>
          <w:spacing w:val="5"/>
          <w:sz w:val="12"/>
        </w:rPr>
        <w:t xml:space="preserve"> </w:t>
      </w:r>
      <w:r>
        <w:rPr>
          <w:spacing w:val="-2"/>
          <w:sz w:val="12"/>
        </w:rPr>
        <w:t>“Nota</w:t>
      </w:r>
      <w:r>
        <w:rPr>
          <w:spacing w:val="3"/>
          <w:sz w:val="12"/>
        </w:rPr>
        <w:t xml:space="preserve"> </w:t>
      </w:r>
      <w:r>
        <w:rPr>
          <w:spacing w:val="-2"/>
          <w:sz w:val="12"/>
        </w:rPr>
        <w:t>de</w:t>
      </w:r>
      <w:r>
        <w:rPr>
          <w:spacing w:val="3"/>
          <w:sz w:val="12"/>
        </w:rPr>
        <w:t xml:space="preserve"> </w:t>
      </w:r>
      <w:r>
        <w:rPr>
          <w:spacing w:val="-2"/>
          <w:sz w:val="12"/>
        </w:rPr>
        <w:t>orientación</w:t>
      </w:r>
      <w:r>
        <w:rPr>
          <w:spacing w:val="4"/>
          <w:sz w:val="12"/>
        </w:rPr>
        <w:t xml:space="preserve"> </w:t>
      </w:r>
      <w:r>
        <w:rPr>
          <w:spacing w:val="-2"/>
          <w:sz w:val="12"/>
        </w:rPr>
        <w:t>del</w:t>
      </w:r>
      <w:r>
        <w:rPr>
          <w:spacing w:val="3"/>
          <w:sz w:val="12"/>
        </w:rPr>
        <w:t xml:space="preserve"> </w:t>
      </w:r>
      <w:r>
        <w:rPr>
          <w:spacing w:val="-2"/>
          <w:sz w:val="12"/>
        </w:rPr>
        <w:t>Secretario</w:t>
      </w:r>
      <w:r>
        <w:rPr>
          <w:spacing w:val="3"/>
          <w:sz w:val="12"/>
        </w:rPr>
        <w:t xml:space="preserve"> </w:t>
      </w:r>
      <w:r>
        <w:rPr>
          <w:spacing w:val="-2"/>
          <w:sz w:val="12"/>
        </w:rPr>
        <w:t>General</w:t>
      </w:r>
      <w:r>
        <w:rPr>
          <w:spacing w:val="4"/>
          <w:sz w:val="12"/>
        </w:rPr>
        <w:t xml:space="preserve"> </w:t>
      </w:r>
      <w:r>
        <w:rPr>
          <w:spacing w:val="-2"/>
          <w:sz w:val="12"/>
        </w:rPr>
        <w:t>sobre</w:t>
      </w:r>
      <w:r>
        <w:rPr>
          <w:spacing w:val="3"/>
          <w:sz w:val="12"/>
        </w:rPr>
        <w:t xml:space="preserve"> </w:t>
      </w:r>
      <w:r>
        <w:rPr>
          <w:spacing w:val="-2"/>
          <w:sz w:val="12"/>
        </w:rPr>
        <w:t>discriminación</w:t>
      </w:r>
      <w:r>
        <w:rPr>
          <w:spacing w:val="4"/>
          <w:sz w:val="12"/>
        </w:rPr>
        <w:t xml:space="preserve"> </w:t>
      </w:r>
      <w:r>
        <w:rPr>
          <w:spacing w:val="-2"/>
          <w:sz w:val="12"/>
        </w:rPr>
        <w:t>racial</w:t>
      </w:r>
      <w:r>
        <w:rPr>
          <w:spacing w:val="3"/>
          <w:sz w:val="12"/>
        </w:rPr>
        <w:t xml:space="preserve"> </w:t>
      </w:r>
      <w:r>
        <w:rPr>
          <w:spacing w:val="-2"/>
          <w:sz w:val="12"/>
        </w:rPr>
        <w:t>y</w:t>
      </w:r>
      <w:r>
        <w:rPr>
          <w:spacing w:val="3"/>
          <w:sz w:val="12"/>
        </w:rPr>
        <w:t xml:space="preserve"> </w:t>
      </w:r>
      <w:r>
        <w:rPr>
          <w:spacing w:val="-2"/>
          <w:sz w:val="12"/>
        </w:rPr>
        <w:t>protección</w:t>
      </w:r>
      <w:r>
        <w:rPr>
          <w:spacing w:val="4"/>
          <w:sz w:val="12"/>
        </w:rPr>
        <w:t xml:space="preserve"> </w:t>
      </w:r>
      <w:r>
        <w:rPr>
          <w:spacing w:val="-2"/>
          <w:sz w:val="12"/>
        </w:rPr>
        <w:t>de</w:t>
      </w:r>
      <w:r>
        <w:rPr>
          <w:spacing w:val="3"/>
          <w:sz w:val="12"/>
        </w:rPr>
        <w:t xml:space="preserve"> </w:t>
      </w:r>
      <w:r>
        <w:rPr>
          <w:spacing w:val="-2"/>
          <w:sz w:val="12"/>
        </w:rPr>
        <w:t>las</w:t>
      </w:r>
      <w:r>
        <w:rPr>
          <w:spacing w:val="3"/>
          <w:sz w:val="12"/>
        </w:rPr>
        <w:t xml:space="preserve"> </w:t>
      </w:r>
      <w:r>
        <w:rPr>
          <w:spacing w:val="-2"/>
          <w:sz w:val="12"/>
        </w:rPr>
        <w:t>minorías”</w:t>
      </w:r>
      <w:r>
        <w:rPr>
          <w:spacing w:val="4"/>
          <w:sz w:val="12"/>
        </w:rPr>
        <w:t xml:space="preserve"> </w:t>
      </w:r>
      <w:r>
        <w:rPr>
          <w:spacing w:val="-2"/>
          <w:sz w:val="12"/>
        </w:rPr>
        <w:t>(2013),</w:t>
      </w:r>
      <w:r>
        <w:rPr>
          <w:spacing w:val="4"/>
          <w:sz w:val="12"/>
        </w:rPr>
        <w:t xml:space="preserve"> </w:t>
      </w:r>
      <w:proofErr w:type="spellStart"/>
      <w:r>
        <w:rPr>
          <w:spacing w:val="-2"/>
          <w:sz w:val="12"/>
        </w:rPr>
        <w:t>párrs</w:t>
      </w:r>
      <w:proofErr w:type="spellEnd"/>
      <w:r>
        <w:rPr>
          <w:spacing w:val="-2"/>
          <w:sz w:val="12"/>
        </w:rPr>
        <w:t>.</w:t>
      </w:r>
      <w:r>
        <w:rPr>
          <w:spacing w:val="5"/>
          <w:sz w:val="12"/>
        </w:rPr>
        <w:t xml:space="preserve"> </w:t>
      </w:r>
      <w:r>
        <w:rPr>
          <w:spacing w:val="-2"/>
          <w:sz w:val="12"/>
        </w:rPr>
        <w:t>18–19.</w:t>
      </w:r>
    </w:p>
    <w:p w14:paraId="47898386" w14:textId="77777777" w:rsidR="0014798C" w:rsidRDefault="004E1F0B">
      <w:pPr>
        <w:spacing w:before="35"/>
        <w:ind w:left="1365"/>
        <w:rPr>
          <w:sz w:val="13"/>
        </w:rPr>
      </w:pPr>
      <w:r>
        <w:rPr>
          <w:sz w:val="13"/>
        </w:rPr>
        <w:t>Disponible</w:t>
      </w:r>
      <w:r>
        <w:rPr>
          <w:spacing w:val="61"/>
          <w:sz w:val="13"/>
        </w:rPr>
        <w:t xml:space="preserve"> </w:t>
      </w:r>
      <w:r>
        <w:rPr>
          <w:sz w:val="13"/>
        </w:rPr>
        <w:t>en</w:t>
      </w:r>
      <w:r>
        <w:rPr>
          <w:spacing w:val="61"/>
          <w:sz w:val="13"/>
        </w:rPr>
        <w:t xml:space="preserve"> </w:t>
      </w:r>
      <w:hyperlink r:id="rId243">
        <w:r>
          <w:rPr>
            <w:color w:val="0075BF"/>
            <w:spacing w:val="-2"/>
            <w:sz w:val="13"/>
          </w:rPr>
          <w:t>www.ohchr.org/documents/Issues/Minorities/GuidanceNoteRacialDiscriminationMinorities.pdf.</w:t>
        </w:r>
      </w:hyperlink>
    </w:p>
    <w:p w14:paraId="0187951C" w14:textId="77777777" w:rsidR="0014798C" w:rsidRDefault="004E1F0B">
      <w:pPr>
        <w:spacing w:before="94"/>
        <w:ind w:left="1110"/>
        <w:rPr>
          <w:sz w:val="12"/>
        </w:rPr>
      </w:pPr>
      <w:r>
        <w:rPr>
          <w:spacing w:val="-2"/>
          <w:sz w:val="12"/>
        </w:rPr>
        <w:t>877</w:t>
      </w:r>
      <w:r>
        <w:rPr>
          <w:spacing w:val="4"/>
          <w:sz w:val="12"/>
        </w:rPr>
        <w:t xml:space="preserve"> </w:t>
      </w:r>
      <w:r>
        <w:rPr>
          <w:spacing w:val="-2"/>
          <w:sz w:val="12"/>
        </w:rPr>
        <w:t>A/HRC/10/11/Add.2,</w:t>
      </w:r>
      <w:r>
        <w:rPr>
          <w:spacing w:val="5"/>
          <w:sz w:val="12"/>
        </w:rPr>
        <w:t xml:space="preserve"> </w:t>
      </w:r>
      <w:r>
        <w:rPr>
          <w:spacing w:val="-2"/>
          <w:sz w:val="12"/>
        </w:rPr>
        <w:t>párr.</w:t>
      </w:r>
      <w:r>
        <w:rPr>
          <w:spacing w:val="5"/>
          <w:sz w:val="12"/>
        </w:rPr>
        <w:t xml:space="preserve"> </w:t>
      </w:r>
      <w:r>
        <w:rPr>
          <w:spacing w:val="-5"/>
          <w:sz w:val="12"/>
        </w:rPr>
        <w:t>3.</w:t>
      </w:r>
    </w:p>
    <w:p w14:paraId="496FF617" w14:textId="77777777" w:rsidR="0014798C" w:rsidRDefault="0014798C">
      <w:pPr>
        <w:pStyle w:val="Textoindependiente"/>
        <w:rPr>
          <w:sz w:val="17"/>
        </w:rPr>
      </w:pPr>
    </w:p>
    <w:p w14:paraId="67409C8E" w14:textId="77777777" w:rsidR="0014798C" w:rsidRDefault="0014798C">
      <w:pPr>
        <w:pStyle w:val="Textoindependiente"/>
        <w:rPr>
          <w:sz w:val="17"/>
        </w:rPr>
      </w:pPr>
    </w:p>
    <w:p w14:paraId="34C2F4D7" w14:textId="77777777" w:rsidR="0014798C" w:rsidRDefault="0014798C">
      <w:pPr>
        <w:pStyle w:val="Textoindependiente"/>
        <w:spacing w:before="64"/>
        <w:rPr>
          <w:sz w:val="17"/>
        </w:rPr>
      </w:pPr>
    </w:p>
    <w:p w14:paraId="36379C3F" w14:textId="77777777" w:rsidR="0014798C" w:rsidRDefault="004E1F0B">
      <w:pPr>
        <w:ind w:left="482"/>
        <w:rPr>
          <w:sz w:val="17"/>
        </w:rPr>
      </w:pPr>
      <w:r>
        <w:rPr>
          <w:spacing w:val="-5"/>
          <w:w w:val="105"/>
          <w:sz w:val="17"/>
        </w:rPr>
        <w:t>128</w:t>
      </w:r>
    </w:p>
    <w:p w14:paraId="0E71E2F3" w14:textId="77777777" w:rsidR="0014798C" w:rsidRDefault="0014798C">
      <w:pPr>
        <w:rPr>
          <w:sz w:val="17"/>
        </w:rPr>
        <w:sectPr w:rsidR="0014798C" w:rsidSect="00F265E4">
          <w:type w:val="continuous"/>
          <w:pgSz w:w="11900" w:h="16820"/>
          <w:pgMar w:top="40" w:right="0" w:bottom="280" w:left="200" w:header="121" w:footer="0" w:gutter="0"/>
          <w:cols w:space="720"/>
        </w:sectPr>
      </w:pPr>
    </w:p>
    <w:p w14:paraId="421C3162" w14:textId="77777777" w:rsidR="0014798C" w:rsidRDefault="0014798C">
      <w:pPr>
        <w:pStyle w:val="Textoindependiente"/>
        <w:rPr>
          <w:sz w:val="9"/>
        </w:rPr>
      </w:pPr>
    </w:p>
    <w:p w14:paraId="4E9F63C7" w14:textId="77777777" w:rsidR="0014798C" w:rsidRDefault="0014798C">
      <w:pPr>
        <w:pStyle w:val="Textoindependiente"/>
        <w:spacing w:before="31"/>
        <w:rPr>
          <w:sz w:val="9"/>
        </w:rPr>
      </w:pPr>
    </w:p>
    <w:p w14:paraId="53C3A7B4" w14:textId="77777777" w:rsidR="0014798C" w:rsidRDefault="004E1F0B">
      <w:pPr>
        <w:ind w:left="1111"/>
        <w:rPr>
          <w:sz w:val="9"/>
        </w:rPr>
      </w:pPr>
      <w:r>
        <w:rPr>
          <w:color w:val="803108"/>
          <w:w w:val="105"/>
          <w:sz w:val="9"/>
        </w:rPr>
        <w:t>PARTE</w:t>
      </w:r>
      <w:r>
        <w:rPr>
          <w:color w:val="803108"/>
          <w:spacing w:val="1"/>
          <w:w w:val="105"/>
          <w:sz w:val="9"/>
        </w:rPr>
        <w:t xml:space="preserve"> </w:t>
      </w:r>
      <w:r>
        <w:rPr>
          <w:color w:val="803108"/>
          <w:w w:val="105"/>
          <w:sz w:val="9"/>
        </w:rPr>
        <w:t>TRES:</w:t>
      </w:r>
      <w:r>
        <w:rPr>
          <w:color w:val="803108"/>
          <w:spacing w:val="2"/>
          <w:w w:val="105"/>
          <w:sz w:val="9"/>
        </w:rPr>
        <w:t xml:space="preserve"> </w:t>
      </w:r>
      <w:r>
        <w:rPr>
          <w:color w:val="803108"/>
          <w:w w:val="105"/>
          <w:sz w:val="9"/>
        </w:rPr>
        <w:t>PROTECCIÓN</w:t>
      </w:r>
      <w:r>
        <w:rPr>
          <w:color w:val="803108"/>
          <w:spacing w:val="2"/>
          <w:w w:val="105"/>
          <w:sz w:val="9"/>
        </w:rPr>
        <w:t xml:space="preserve"> </w:t>
      </w:r>
      <w:r>
        <w:rPr>
          <w:color w:val="803108"/>
          <w:w w:val="105"/>
          <w:sz w:val="9"/>
        </w:rPr>
        <w:t>DE</w:t>
      </w:r>
      <w:r>
        <w:rPr>
          <w:color w:val="803108"/>
          <w:spacing w:val="1"/>
          <w:w w:val="105"/>
          <w:sz w:val="9"/>
        </w:rPr>
        <w:t xml:space="preserve"> </w:t>
      </w:r>
      <w:r>
        <w:rPr>
          <w:color w:val="803108"/>
          <w:w w:val="105"/>
          <w:sz w:val="9"/>
        </w:rPr>
        <w:t>LOS</w:t>
      </w:r>
      <w:r>
        <w:rPr>
          <w:color w:val="803108"/>
          <w:spacing w:val="2"/>
          <w:w w:val="105"/>
          <w:sz w:val="9"/>
        </w:rPr>
        <w:t xml:space="preserve"> </w:t>
      </w:r>
      <w:r>
        <w:rPr>
          <w:color w:val="803108"/>
          <w:w w:val="105"/>
          <w:sz w:val="9"/>
        </w:rPr>
        <w:t>DERECHOS</w:t>
      </w:r>
      <w:r>
        <w:rPr>
          <w:color w:val="803108"/>
          <w:spacing w:val="3"/>
          <w:w w:val="105"/>
          <w:sz w:val="9"/>
        </w:rPr>
        <w:t xml:space="preserve"> </w:t>
      </w:r>
      <w:r>
        <w:rPr>
          <w:color w:val="803108"/>
          <w:w w:val="105"/>
          <w:sz w:val="9"/>
        </w:rPr>
        <w:t>DE</w:t>
      </w:r>
      <w:r>
        <w:rPr>
          <w:color w:val="803108"/>
          <w:spacing w:val="1"/>
          <w:w w:val="105"/>
          <w:sz w:val="9"/>
        </w:rPr>
        <w:t xml:space="preserve"> </w:t>
      </w:r>
      <w:r>
        <w:rPr>
          <w:color w:val="803108"/>
          <w:w w:val="105"/>
          <w:sz w:val="9"/>
        </w:rPr>
        <w:t>LAS</w:t>
      </w:r>
      <w:r>
        <w:rPr>
          <w:color w:val="803108"/>
          <w:spacing w:val="2"/>
          <w:w w:val="105"/>
          <w:sz w:val="9"/>
        </w:rPr>
        <w:t xml:space="preserve"> </w:t>
      </w:r>
      <w:r>
        <w:rPr>
          <w:color w:val="803108"/>
          <w:spacing w:val="-2"/>
          <w:w w:val="105"/>
          <w:sz w:val="9"/>
        </w:rPr>
        <w:t>MINORÍAS</w:t>
      </w:r>
    </w:p>
    <w:p w14:paraId="14057923" w14:textId="77777777" w:rsidR="0014798C" w:rsidRDefault="0014798C">
      <w:pPr>
        <w:pStyle w:val="Textoindependiente"/>
        <w:rPr>
          <w:sz w:val="17"/>
        </w:rPr>
      </w:pPr>
    </w:p>
    <w:p w14:paraId="3104F7E7" w14:textId="77777777" w:rsidR="0014798C" w:rsidRDefault="0014798C">
      <w:pPr>
        <w:pStyle w:val="Textoindependiente"/>
        <w:rPr>
          <w:sz w:val="17"/>
        </w:rPr>
      </w:pPr>
    </w:p>
    <w:p w14:paraId="26A717A3" w14:textId="77777777" w:rsidR="0014798C" w:rsidRDefault="0014798C">
      <w:pPr>
        <w:pStyle w:val="Textoindependiente"/>
        <w:rPr>
          <w:sz w:val="17"/>
        </w:rPr>
      </w:pPr>
    </w:p>
    <w:p w14:paraId="73427CF6" w14:textId="77777777" w:rsidR="0014798C" w:rsidRDefault="0014798C">
      <w:pPr>
        <w:pStyle w:val="Textoindependiente"/>
        <w:rPr>
          <w:sz w:val="17"/>
        </w:rPr>
      </w:pPr>
    </w:p>
    <w:p w14:paraId="58C0E4C6" w14:textId="77777777" w:rsidR="0014798C" w:rsidRDefault="0014798C">
      <w:pPr>
        <w:pStyle w:val="Textoindependiente"/>
        <w:spacing w:before="7"/>
        <w:rPr>
          <w:sz w:val="17"/>
        </w:rPr>
      </w:pPr>
    </w:p>
    <w:p w14:paraId="7B15600F" w14:textId="77777777" w:rsidR="0014798C" w:rsidRDefault="004E1F0B">
      <w:pPr>
        <w:ind w:left="1106"/>
        <w:rPr>
          <w:sz w:val="17"/>
        </w:rPr>
      </w:pPr>
      <w:r>
        <w:rPr>
          <w:sz w:val="17"/>
        </w:rPr>
        <w:t>El</w:t>
      </w:r>
      <w:r>
        <w:rPr>
          <w:spacing w:val="7"/>
          <w:sz w:val="17"/>
        </w:rPr>
        <w:t xml:space="preserve"> </w:t>
      </w:r>
      <w:r>
        <w:rPr>
          <w:sz w:val="17"/>
        </w:rPr>
        <w:t>actual</w:t>
      </w:r>
      <w:r>
        <w:rPr>
          <w:spacing w:val="7"/>
          <w:sz w:val="17"/>
        </w:rPr>
        <w:t xml:space="preserve"> </w:t>
      </w:r>
      <w:r>
        <w:rPr>
          <w:sz w:val="17"/>
        </w:rPr>
        <w:t>Relator</w:t>
      </w:r>
      <w:r>
        <w:rPr>
          <w:spacing w:val="7"/>
          <w:sz w:val="17"/>
        </w:rPr>
        <w:t xml:space="preserve"> </w:t>
      </w:r>
      <w:r>
        <w:rPr>
          <w:sz w:val="17"/>
        </w:rPr>
        <w:t>Especial</w:t>
      </w:r>
      <w:r>
        <w:rPr>
          <w:spacing w:val="7"/>
          <w:sz w:val="17"/>
        </w:rPr>
        <w:t xml:space="preserve"> </w:t>
      </w:r>
      <w:r>
        <w:rPr>
          <w:sz w:val="17"/>
        </w:rPr>
        <w:t>sobre</w:t>
      </w:r>
      <w:r>
        <w:rPr>
          <w:spacing w:val="8"/>
          <w:sz w:val="17"/>
        </w:rPr>
        <w:t xml:space="preserve"> </w:t>
      </w:r>
      <w:r>
        <w:rPr>
          <w:sz w:val="17"/>
        </w:rPr>
        <w:t>cuestiones</w:t>
      </w:r>
      <w:r>
        <w:rPr>
          <w:spacing w:val="7"/>
          <w:sz w:val="17"/>
        </w:rPr>
        <w:t xml:space="preserve"> </w:t>
      </w:r>
      <w:r>
        <w:rPr>
          <w:sz w:val="17"/>
        </w:rPr>
        <w:t>de</w:t>
      </w:r>
      <w:r>
        <w:rPr>
          <w:spacing w:val="8"/>
          <w:sz w:val="17"/>
        </w:rPr>
        <w:t xml:space="preserve"> </w:t>
      </w:r>
      <w:r>
        <w:rPr>
          <w:sz w:val="17"/>
        </w:rPr>
        <w:t>las</w:t>
      </w:r>
      <w:r>
        <w:rPr>
          <w:spacing w:val="9"/>
          <w:sz w:val="17"/>
        </w:rPr>
        <w:t xml:space="preserve"> </w:t>
      </w:r>
      <w:r>
        <w:rPr>
          <w:sz w:val="17"/>
        </w:rPr>
        <w:t>minorías</w:t>
      </w:r>
      <w:r>
        <w:rPr>
          <w:spacing w:val="7"/>
          <w:sz w:val="17"/>
        </w:rPr>
        <w:t xml:space="preserve"> </w:t>
      </w:r>
      <w:r>
        <w:rPr>
          <w:sz w:val="17"/>
        </w:rPr>
        <w:t>ha</w:t>
      </w:r>
      <w:r>
        <w:rPr>
          <w:spacing w:val="8"/>
          <w:sz w:val="17"/>
        </w:rPr>
        <w:t xml:space="preserve"> </w:t>
      </w:r>
      <w:r>
        <w:rPr>
          <w:sz w:val="17"/>
        </w:rPr>
        <w:t>tratado</w:t>
      </w:r>
      <w:r>
        <w:rPr>
          <w:spacing w:val="7"/>
          <w:sz w:val="17"/>
        </w:rPr>
        <w:t xml:space="preserve"> </w:t>
      </w:r>
      <w:r>
        <w:rPr>
          <w:sz w:val="17"/>
        </w:rPr>
        <w:t>de</w:t>
      </w:r>
      <w:r>
        <w:rPr>
          <w:spacing w:val="8"/>
          <w:sz w:val="17"/>
        </w:rPr>
        <w:t xml:space="preserve"> </w:t>
      </w:r>
      <w:r>
        <w:rPr>
          <w:sz w:val="17"/>
        </w:rPr>
        <w:t>restablecer</w:t>
      </w:r>
      <w:r>
        <w:rPr>
          <w:spacing w:val="7"/>
          <w:sz w:val="17"/>
        </w:rPr>
        <w:t xml:space="preserve"> </w:t>
      </w:r>
      <w:r>
        <w:rPr>
          <w:sz w:val="17"/>
        </w:rPr>
        <w:t>o</w:t>
      </w:r>
      <w:r>
        <w:rPr>
          <w:spacing w:val="9"/>
          <w:sz w:val="17"/>
        </w:rPr>
        <w:t xml:space="preserve"> </w:t>
      </w:r>
      <w:r>
        <w:rPr>
          <w:sz w:val="17"/>
        </w:rPr>
        <w:t>revitalizar</w:t>
      </w:r>
      <w:r>
        <w:rPr>
          <w:spacing w:val="7"/>
          <w:sz w:val="17"/>
        </w:rPr>
        <w:t xml:space="preserve"> </w:t>
      </w:r>
      <w:r>
        <w:rPr>
          <w:spacing w:val="-2"/>
          <w:sz w:val="17"/>
        </w:rPr>
        <w:t>interpretaciones</w:t>
      </w:r>
    </w:p>
    <w:p w14:paraId="7E13215F" w14:textId="77777777" w:rsidR="0014798C" w:rsidRDefault="004E1F0B">
      <w:pPr>
        <w:spacing w:before="55"/>
        <w:ind w:left="1109"/>
        <w:rPr>
          <w:sz w:val="17"/>
        </w:rPr>
      </w:pPr>
      <w:r>
        <w:rPr>
          <w:sz w:val="17"/>
        </w:rPr>
        <w:t>anteriores,</w:t>
      </w:r>
      <w:r>
        <w:rPr>
          <w:spacing w:val="7"/>
          <w:sz w:val="17"/>
        </w:rPr>
        <w:t xml:space="preserve"> </w:t>
      </w:r>
      <w:r>
        <w:rPr>
          <w:sz w:val="17"/>
        </w:rPr>
        <w:t>según</w:t>
      </w:r>
      <w:r>
        <w:rPr>
          <w:spacing w:val="7"/>
          <w:sz w:val="17"/>
        </w:rPr>
        <w:t xml:space="preserve"> </w:t>
      </w:r>
      <w:r>
        <w:rPr>
          <w:sz w:val="17"/>
        </w:rPr>
        <w:t>las</w:t>
      </w:r>
      <w:r>
        <w:rPr>
          <w:spacing w:val="7"/>
          <w:sz w:val="17"/>
        </w:rPr>
        <w:t xml:space="preserve"> </w:t>
      </w:r>
      <w:r>
        <w:rPr>
          <w:sz w:val="17"/>
        </w:rPr>
        <w:t>cuales</w:t>
      </w:r>
      <w:r>
        <w:rPr>
          <w:spacing w:val="5"/>
          <w:sz w:val="17"/>
        </w:rPr>
        <w:t xml:space="preserve"> </w:t>
      </w:r>
      <w:r>
        <w:rPr>
          <w:sz w:val="17"/>
        </w:rPr>
        <w:t>una</w:t>
      </w:r>
      <w:r>
        <w:rPr>
          <w:spacing w:val="7"/>
          <w:sz w:val="17"/>
        </w:rPr>
        <w:t xml:space="preserve"> </w:t>
      </w:r>
      <w:r>
        <w:rPr>
          <w:sz w:val="17"/>
        </w:rPr>
        <w:t>minoría</w:t>
      </w:r>
      <w:r>
        <w:rPr>
          <w:spacing w:val="5"/>
          <w:sz w:val="17"/>
        </w:rPr>
        <w:t xml:space="preserve"> </w:t>
      </w:r>
      <w:r>
        <w:rPr>
          <w:sz w:val="17"/>
        </w:rPr>
        <w:t>se</w:t>
      </w:r>
      <w:r>
        <w:rPr>
          <w:spacing w:val="7"/>
          <w:sz w:val="17"/>
        </w:rPr>
        <w:t xml:space="preserve"> </w:t>
      </w:r>
      <w:r>
        <w:rPr>
          <w:sz w:val="17"/>
        </w:rPr>
        <w:t>refiere</w:t>
      </w:r>
      <w:r>
        <w:rPr>
          <w:spacing w:val="6"/>
          <w:sz w:val="17"/>
        </w:rPr>
        <w:t xml:space="preserve"> </w:t>
      </w:r>
      <w:r>
        <w:rPr>
          <w:sz w:val="17"/>
        </w:rPr>
        <w:t>a</w:t>
      </w:r>
      <w:r>
        <w:rPr>
          <w:spacing w:val="6"/>
          <w:sz w:val="17"/>
        </w:rPr>
        <w:t xml:space="preserve"> </w:t>
      </w:r>
      <w:r>
        <w:rPr>
          <w:sz w:val="17"/>
        </w:rPr>
        <w:t>un</w:t>
      </w:r>
      <w:r>
        <w:rPr>
          <w:spacing w:val="7"/>
          <w:sz w:val="17"/>
        </w:rPr>
        <w:t xml:space="preserve"> </w:t>
      </w:r>
      <w:r>
        <w:rPr>
          <w:sz w:val="17"/>
        </w:rPr>
        <w:t>grupo</w:t>
      </w:r>
      <w:r>
        <w:rPr>
          <w:spacing w:val="7"/>
          <w:sz w:val="17"/>
        </w:rPr>
        <w:t xml:space="preserve"> </w:t>
      </w:r>
      <w:r>
        <w:rPr>
          <w:sz w:val="17"/>
        </w:rPr>
        <w:t>que</w:t>
      </w:r>
      <w:r>
        <w:rPr>
          <w:spacing w:val="6"/>
          <w:sz w:val="17"/>
        </w:rPr>
        <w:t xml:space="preserve"> </w:t>
      </w:r>
      <w:r>
        <w:rPr>
          <w:sz w:val="17"/>
        </w:rPr>
        <w:t>es</w:t>
      </w:r>
      <w:r>
        <w:rPr>
          <w:spacing w:val="7"/>
          <w:sz w:val="17"/>
        </w:rPr>
        <w:t xml:space="preserve"> </w:t>
      </w:r>
      <w:r>
        <w:rPr>
          <w:sz w:val="17"/>
        </w:rPr>
        <w:t>más</w:t>
      </w:r>
      <w:r>
        <w:rPr>
          <w:spacing w:val="7"/>
          <w:sz w:val="17"/>
        </w:rPr>
        <w:t xml:space="preserve"> </w:t>
      </w:r>
      <w:r>
        <w:rPr>
          <w:sz w:val="17"/>
        </w:rPr>
        <w:t>pequeño</w:t>
      </w:r>
      <w:r>
        <w:rPr>
          <w:spacing w:val="6"/>
          <w:sz w:val="17"/>
        </w:rPr>
        <w:t xml:space="preserve"> </w:t>
      </w:r>
      <w:r>
        <w:rPr>
          <w:sz w:val="17"/>
        </w:rPr>
        <w:t>que</w:t>
      </w:r>
      <w:r>
        <w:rPr>
          <w:spacing w:val="7"/>
          <w:sz w:val="17"/>
        </w:rPr>
        <w:t xml:space="preserve"> </w:t>
      </w:r>
      <w:r>
        <w:rPr>
          <w:sz w:val="17"/>
        </w:rPr>
        <w:t>la(s)</w:t>
      </w:r>
      <w:r>
        <w:rPr>
          <w:spacing w:val="7"/>
          <w:sz w:val="17"/>
        </w:rPr>
        <w:t xml:space="preserve"> </w:t>
      </w:r>
      <w:r>
        <w:rPr>
          <w:sz w:val="17"/>
        </w:rPr>
        <w:t>población(es)</w:t>
      </w:r>
      <w:r>
        <w:rPr>
          <w:spacing w:val="5"/>
          <w:sz w:val="17"/>
        </w:rPr>
        <w:t xml:space="preserve"> </w:t>
      </w:r>
      <w:r>
        <w:rPr>
          <w:spacing w:val="-2"/>
          <w:sz w:val="17"/>
        </w:rPr>
        <w:t>mayoritaria(s).878</w:t>
      </w:r>
    </w:p>
    <w:p w14:paraId="3EF43884" w14:textId="77777777" w:rsidR="0014798C" w:rsidRDefault="0014798C">
      <w:pPr>
        <w:pStyle w:val="Textoindependiente"/>
        <w:spacing w:before="27"/>
        <w:rPr>
          <w:sz w:val="17"/>
        </w:rPr>
      </w:pPr>
    </w:p>
    <w:p w14:paraId="3A28F54C" w14:textId="77777777" w:rsidR="0014798C" w:rsidRDefault="004E1F0B">
      <w:pPr>
        <w:spacing w:line="307" w:lineRule="auto"/>
        <w:ind w:left="1108" w:right="1210" w:hanging="2"/>
        <w:rPr>
          <w:sz w:val="17"/>
        </w:rPr>
      </w:pPr>
      <w:r>
        <w:rPr>
          <w:sz w:val="17"/>
        </w:rPr>
        <w:t>Una consideración primordial en cuestiones de minorías es la autoidentificación de la persona en cuestión. El derecho internacional no exige que una persona se identifique como una única minoría. Se debe permitir que las personas se identifiquen</w:t>
      </w:r>
      <w:r>
        <w:rPr>
          <w:spacing w:val="-6"/>
          <w:sz w:val="17"/>
        </w:rPr>
        <w:t xml:space="preserve"> </w:t>
      </w:r>
      <w:r>
        <w:rPr>
          <w:sz w:val="17"/>
        </w:rPr>
        <w:t>como</w:t>
      </w:r>
      <w:r>
        <w:rPr>
          <w:spacing w:val="-6"/>
          <w:sz w:val="17"/>
        </w:rPr>
        <w:t xml:space="preserve"> </w:t>
      </w:r>
      <w:r>
        <w:rPr>
          <w:sz w:val="17"/>
        </w:rPr>
        <w:t>miembros</w:t>
      </w:r>
      <w:r>
        <w:rPr>
          <w:spacing w:val="-6"/>
          <w:sz w:val="17"/>
        </w:rPr>
        <w:t xml:space="preserve"> </w:t>
      </w:r>
      <w:r>
        <w:rPr>
          <w:sz w:val="17"/>
        </w:rPr>
        <w:t>de</w:t>
      </w:r>
      <w:r>
        <w:rPr>
          <w:spacing w:val="-6"/>
          <w:sz w:val="17"/>
        </w:rPr>
        <w:t xml:space="preserve"> </w:t>
      </w:r>
      <w:r>
        <w:rPr>
          <w:sz w:val="17"/>
        </w:rPr>
        <w:t>múltiples</w:t>
      </w:r>
      <w:r>
        <w:rPr>
          <w:spacing w:val="-6"/>
          <w:sz w:val="17"/>
        </w:rPr>
        <w:t xml:space="preserve"> </w:t>
      </w:r>
      <w:r>
        <w:rPr>
          <w:sz w:val="17"/>
        </w:rPr>
        <w:t>minorías</w:t>
      </w:r>
      <w:r>
        <w:rPr>
          <w:spacing w:val="-6"/>
          <w:sz w:val="17"/>
        </w:rPr>
        <w:t xml:space="preserve"> </w:t>
      </w:r>
      <w:r>
        <w:rPr>
          <w:sz w:val="17"/>
        </w:rPr>
        <w:t>étnicas,</w:t>
      </w:r>
      <w:r>
        <w:rPr>
          <w:spacing w:val="-6"/>
          <w:sz w:val="17"/>
        </w:rPr>
        <w:t xml:space="preserve"> </w:t>
      </w:r>
      <w:r>
        <w:rPr>
          <w:sz w:val="17"/>
        </w:rPr>
        <w:t>religiosas</w:t>
      </w:r>
      <w:r>
        <w:rPr>
          <w:spacing w:val="-6"/>
          <w:sz w:val="17"/>
        </w:rPr>
        <w:t xml:space="preserve"> </w:t>
      </w:r>
      <w:r>
        <w:rPr>
          <w:sz w:val="17"/>
        </w:rPr>
        <w:t>o</w:t>
      </w:r>
      <w:r>
        <w:rPr>
          <w:spacing w:val="-6"/>
          <w:sz w:val="17"/>
        </w:rPr>
        <w:t xml:space="preserve"> </w:t>
      </w:r>
      <w:r>
        <w:rPr>
          <w:sz w:val="17"/>
        </w:rPr>
        <w:t>lingüísticas</w:t>
      </w:r>
      <w:r>
        <w:rPr>
          <w:spacing w:val="-6"/>
          <w:sz w:val="17"/>
        </w:rPr>
        <w:t xml:space="preserve"> </w:t>
      </w:r>
      <w:r>
        <w:rPr>
          <w:sz w:val="17"/>
        </w:rPr>
        <w:t>y</w:t>
      </w:r>
      <w:r>
        <w:rPr>
          <w:spacing w:val="-6"/>
          <w:sz w:val="17"/>
        </w:rPr>
        <w:t xml:space="preserve"> </w:t>
      </w:r>
      <w:r>
        <w:rPr>
          <w:sz w:val="17"/>
        </w:rPr>
        <w:t>que</w:t>
      </w:r>
      <w:r>
        <w:rPr>
          <w:spacing w:val="-6"/>
          <w:sz w:val="17"/>
        </w:rPr>
        <w:t xml:space="preserve"> </w:t>
      </w:r>
      <w:r>
        <w:rPr>
          <w:sz w:val="17"/>
        </w:rPr>
        <w:t>éstas</w:t>
      </w:r>
      <w:r>
        <w:rPr>
          <w:spacing w:val="-6"/>
          <w:sz w:val="17"/>
        </w:rPr>
        <w:t xml:space="preserve"> </w:t>
      </w:r>
      <w:r>
        <w:rPr>
          <w:sz w:val="17"/>
        </w:rPr>
        <w:t>sean</w:t>
      </w:r>
      <w:r>
        <w:rPr>
          <w:spacing w:val="-6"/>
          <w:sz w:val="17"/>
        </w:rPr>
        <w:t xml:space="preserve"> </w:t>
      </w:r>
      <w:r>
        <w:rPr>
          <w:sz w:val="17"/>
        </w:rPr>
        <w:t>reconocidas</w:t>
      </w:r>
      <w:r>
        <w:rPr>
          <w:spacing w:val="-6"/>
          <w:sz w:val="17"/>
        </w:rPr>
        <w:t xml:space="preserve"> </w:t>
      </w:r>
      <w:r>
        <w:rPr>
          <w:sz w:val="17"/>
        </w:rPr>
        <w:t>legalmente. Por ejemplo, en lo que respecta al origen étnico, en sus orientaciones para los Estados en la realización de censos de población,</w:t>
      </w:r>
      <w:r>
        <w:rPr>
          <w:spacing w:val="-8"/>
          <w:sz w:val="17"/>
        </w:rPr>
        <w:t xml:space="preserve"> </w:t>
      </w:r>
      <w:r>
        <w:rPr>
          <w:sz w:val="17"/>
        </w:rPr>
        <w:t>la</w:t>
      </w:r>
      <w:r>
        <w:rPr>
          <w:spacing w:val="-9"/>
          <w:sz w:val="17"/>
        </w:rPr>
        <w:t xml:space="preserve"> </w:t>
      </w:r>
      <w:r>
        <w:rPr>
          <w:sz w:val="17"/>
        </w:rPr>
        <w:t>Comisión</w:t>
      </w:r>
      <w:r>
        <w:rPr>
          <w:spacing w:val="-9"/>
          <w:sz w:val="17"/>
        </w:rPr>
        <w:t xml:space="preserve"> </w:t>
      </w:r>
      <w:r>
        <w:rPr>
          <w:sz w:val="17"/>
        </w:rPr>
        <w:t>Económica</w:t>
      </w:r>
      <w:r>
        <w:rPr>
          <w:spacing w:val="-9"/>
          <w:sz w:val="17"/>
        </w:rPr>
        <w:t xml:space="preserve"> </w:t>
      </w:r>
      <w:r>
        <w:rPr>
          <w:sz w:val="17"/>
        </w:rPr>
        <w:t>para</w:t>
      </w:r>
      <w:r>
        <w:rPr>
          <w:spacing w:val="-9"/>
          <w:sz w:val="17"/>
        </w:rPr>
        <w:t xml:space="preserve"> </w:t>
      </w:r>
      <w:r>
        <w:rPr>
          <w:sz w:val="17"/>
        </w:rPr>
        <w:t>Europa</w:t>
      </w:r>
      <w:r>
        <w:rPr>
          <w:spacing w:val="-9"/>
          <w:sz w:val="17"/>
        </w:rPr>
        <w:t xml:space="preserve"> </w:t>
      </w:r>
      <w:r>
        <w:rPr>
          <w:sz w:val="17"/>
        </w:rPr>
        <w:t>ha</w:t>
      </w:r>
      <w:r>
        <w:rPr>
          <w:spacing w:val="-9"/>
          <w:sz w:val="17"/>
        </w:rPr>
        <w:t xml:space="preserve"> </w:t>
      </w:r>
      <w:r>
        <w:rPr>
          <w:sz w:val="17"/>
        </w:rPr>
        <w:t>declarado:</w:t>
      </w:r>
      <w:r>
        <w:rPr>
          <w:spacing w:val="-8"/>
          <w:sz w:val="17"/>
        </w:rPr>
        <w:t xml:space="preserve"> </w:t>
      </w:r>
      <w:r>
        <w:rPr>
          <w:sz w:val="17"/>
        </w:rPr>
        <w:t>"el</w:t>
      </w:r>
      <w:r>
        <w:rPr>
          <w:spacing w:val="-9"/>
          <w:sz w:val="17"/>
        </w:rPr>
        <w:t xml:space="preserve"> </w:t>
      </w:r>
      <w:r>
        <w:rPr>
          <w:sz w:val="17"/>
        </w:rPr>
        <w:t>origen</w:t>
      </w:r>
      <w:r>
        <w:rPr>
          <w:spacing w:val="-9"/>
          <w:sz w:val="17"/>
        </w:rPr>
        <w:t xml:space="preserve"> </w:t>
      </w:r>
      <w:r>
        <w:rPr>
          <w:sz w:val="17"/>
        </w:rPr>
        <w:t>étnico</w:t>
      </w:r>
      <w:r>
        <w:rPr>
          <w:spacing w:val="-9"/>
          <w:sz w:val="17"/>
        </w:rPr>
        <w:t xml:space="preserve"> </w:t>
      </w:r>
      <w:r>
        <w:rPr>
          <w:sz w:val="17"/>
        </w:rPr>
        <w:t>tiene</w:t>
      </w:r>
      <w:r>
        <w:rPr>
          <w:spacing w:val="-9"/>
          <w:sz w:val="17"/>
        </w:rPr>
        <w:t xml:space="preserve"> </w:t>
      </w:r>
      <w:r>
        <w:rPr>
          <w:sz w:val="17"/>
        </w:rPr>
        <w:t>necesariamente</w:t>
      </w:r>
      <w:r>
        <w:rPr>
          <w:spacing w:val="-9"/>
          <w:sz w:val="17"/>
        </w:rPr>
        <w:t xml:space="preserve"> </w:t>
      </w:r>
      <w:r>
        <w:rPr>
          <w:sz w:val="17"/>
        </w:rPr>
        <w:t>una</w:t>
      </w:r>
      <w:r>
        <w:rPr>
          <w:spacing w:val="-9"/>
          <w:sz w:val="17"/>
        </w:rPr>
        <w:t xml:space="preserve"> </w:t>
      </w:r>
      <w:r>
        <w:rPr>
          <w:sz w:val="17"/>
        </w:rPr>
        <w:t>dimensión</w:t>
      </w:r>
      <w:r>
        <w:rPr>
          <w:spacing w:val="-9"/>
          <w:sz w:val="17"/>
        </w:rPr>
        <w:t xml:space="preserve"> </w:t>
      </w:r>
      <w:r>
        <w:rPr>
          <w:sz w:val="17"/>
        </w:rPr>
        <w:t>subjetiva y algunos grupos étnicos son muy pequeños", lo que significa que la información sobre el origen étnico debe "basarse en sobre la libre autodeclaración de una persona” y “los encuestados deben tener la libertad de indicar más de una afiliación étnica</w:t>
      </w:r>
      <w:r>
        <w:rPr>
          <w:spacing w:val="-5"/>
          <w:sz w:val="17"/>
        </w:rPr>
        <w:t xml:space="preserve"> </w:t>
      </w:r>
      <w:r>
        <w:rPr>
          <w:sz w:val="17"/>
        </w:rPr>
        <w:t>o</w:t>
      </w:r>
      <w:r>
        <w:rPr>
          <w:spacing w:val="-5"/>
          <w:sz w:val="17"/>
        </w:rPr>
        <w:t xml:space="preserve"> </w:t>
      </w:r>
      <w:r>
        <w:rPr>
          <w:sz w:val="17"/>
        </w:rPr>
        <w:t>una</w:t>
      </w:r>
      <w:r>
        <w:rPr>
          <w:spacing w:val="-5"/>
          <w:sz w:val="17"/>
        </w:rPr>
        <w:t xml:space="preserve"> </w:t>
      </w:r>
      <w:r>
        <w:rPr>
          <w:sz w:val="17"/>
        </w:rPr>
        <w:t>combinación</w:t>
      </w:r>
      <w:r>
        <w:rPr>
          <w:spacing w:val="-5"/>
          <w:sz w:val="17"/>
        </w:rPr>
        <w:t xml:space="preserve"> </w:t>
      </w:r>
      <w:r>
        <w:rPr>
          <w:sz w:val="17"/>
        </w:rPr>
        <w:t>de</w:t>
      </w:r>
      <w:r>
        <w:rPr>
          <w:spacing w:val="-5"/>
          <w:sz w:val="17"/>
        </w:rPr>
        <w:t xml:space="preserve"> </w:t>
      </w:r>
      <w:r>
        <w:rPr>
          <w:sz w:val="17"/>
        </w:rPr>
        <w:t>afiliaciones</w:t>
      </w:r>
      <w:r>
        <w:rPr>
          <w:spacing w:val="-5"/>
          <w:sz w:val="17"/>
        </w:rPr>
        <w:t xml:space="preserve"> </w:t>
      </w:r>
      <w:r>
        <w:rPr>
          <w:sz w:val="17"/>
        </w:rPr>
        <w:t>étnicas</w:t>
      </w:r>
      <w:r>
        <w:rPr>
          <w:spacing w:val="-5"/>
          <w:sz w:val="17"/>
        </w:rPr>
        <w:t xml:space="preserve"> </w:t>
      </w:r>
      <w:r>
        <w:rPr>
          <w:sz w:val="17"/>
        </w:rPr>
        <w:t>si</w:t>
      </w:r>
      <w:r>
        <w:rPr>
          <w:spacing w:val="-5"/>
          <w:sz w:val="17"/>
        </w:rPr>
        <w:t xml:space="preserve"> </w:t>
      </w:r>
      <w:r>
        <w:rPr>
          <w:sz w:val="17"/>
        </w:rPr>
        <w:t>así</w:t>
      </w:r>
      <w:r>
        <w:rPr>
          <w:spacing w:val="-5"/>
          <w:sz w:val="17"/>
        </w:rPr>
        <w:t xml:space="preserve"> </w:t>
      </w:r>
      <w:r>
        <w:rPr>
          <w:sz w:val="17"/>
        </w:rPr>
        <w:t>lo</w:t>
      </w:r>
      <w:r>
        <w:rPr>
          <w:spacing w:val="-5"/>
          <w:sz w:val="17"/>
        </w:rPr>
        <w:t xml:space="preserve"> </w:t>
      </w:r>
      <w:r>
        <w:rPr>
          <w:sz w:val="17"/>
        </w:rPr>
        <w:t>desean”.879</w:t>
      </w:r>
      <w:r>
        <w:rPr>
          <w:spacing w:val="-5"/>
          <w:sz w:val="17"/>
        </w:rPr>
        <w:t xml:space="preserve"> </w:t>
      </w:r>
      <w:r>
        <w:rPr>
          <w:sz w:val="17"/>
        </w:rPr>
        <w:t>Además,</w:t>
      </w:r>
      <w:r>
        <w:rPr>
          <w:spacing w:val="-5"/>
          <w:sz w:val="17"/>
        </w:rPr>
        <w:t xml:space="preserve"> </w:t>
      </w:r>
      <w:r>
        <w:rPr>
          <w:sz w:val="17"/>
        </w:rPr>
        <w:t>los</w:t>
      </w:r>
      <w:r>
        <w:rPr>
          <w:spacing w:val="-5"/>
          <w:sz w:val="17"/>
        </w:rPr>
        <w:t xml:space="preserve"> </w:t>
      </w:r>
      <w:r>
        <w:rPr>
          <w:sz w:val="17"/>
        </w:rPr>
        <w:t>aspectos</w:t>
      </w:r>
      <w:r>
        <w:rPr>
          <w:spacing w:val="-5"/>
          <w:sz w:val="17"/>
        </w:rPr>
        <w:t xml:space="preserve"> </w:t>
      </w:r>
      <w:r>
        <w:rPr>
          <w:sz w:val="17"/>
        </w:rPr>
        <w:t>de</w:t>
      </w:r>
      <w:r>
        <w:rPr>
          <w:spacing w:val="-5"/>
          <w:sz w:val="17"/>
        </w:rPr>
        <w:t xml:space="preserve"> </w:t>
      </w:r>
      <w:r>
        <w:rPr>
          <w:sz w:val="17"/>
        </w:rPr>
        <w:t>la</w:t>
      </w:r>
      <w:r>
        <w:rPr>
          <w:spacing w:val="-5"/>
          <w:sz w:val="17"/>
        </w:rPr>
        <w:t xml:space="preserve"> </w:t>
      </w:r>
      <w:r>
        <w:rPr>
          <w:sz w:val="17"/>
        </w:rPr>
        <w:t>identidad</w:t>
      </w:r>
      <w:r>
        <w:rPr>
          <w:spacing w:val="-5"/>
          <w:sz w:val="17"/>
        </w:rPr>
        <w:t xml:space="preserve"> </w:t>
      </w:r>
      <w:r>
        <w:rPr>
          <w:sz w:val="17"/>
        </w:rPr>
        <w:t>son</w:t>
      </w:r>
      <w:r>
        <w:rPr>
          <w:spacing w:val="-5"/>
          <w:sz w:val="17"/>
        </w:rPr>
        <w:t xml:space="preserve"> </w:t>
      </w:r>
      <w:r>
        <w:rPr>
          <w:sz w:val="17"/>
        </w:rPr>
        <w:t>modificables</w:t>
      </w:r>
    </w:p>
    <w:p w14:paraId="50573A2D" w14:textId="77777777" w:rsidR="0014798C" w:rsidRDefault="004E1F0B">
      <w:pPr>
        <w:spacing w:line="192" w:lineRule="exact"/>
        <w:ind w:left="1108"/>
        <w:rPr>
          <w:sz w:val="17"/>
        </w:rPr>
      </w:pPr>
      <w:r>
        <w:rPr>
          <w:sz w:val="17"/>
        </w:rPr>
        <w:t>y</w:t>
      </w:r>
      <w:r>
        <w:rPr>
          <w:spacing w:val="-9"/>
          <w:sz w:val="17"/>
        </w:rPr>
        <w:t xml:space="preserve"> </w:t>
      </w:r>
      <w:r>
        <w:rPr>
          <w:sz w:val="17"/>
        </w:rPr>
        <w:t>deben</w:t>
      </w:r>
      <w:r>
        <w:rPr>
          <w:spacing w:val="-9"/>
          <w:sz w:val="17"/>
        </w:rPr>
        <w:t xml:space="preserve"> </w:t>
      </w:r>
      <w:r>
        <w:rPr>
          <w:sz w:val="17"/>
        </w:rPr>
        <w:t>ser</w:t>
      </w:r>
      <w:r>
        <w:rPr>
          <w:spacing w:val="-8"/>
          <w:sz w:val="17"/>
        </w:rPr>
        <w:t xml:space="preserve"> </w:t>
      </w:r>
      <w:r>
        <w:rPr>
          <w:sz w:val="17"/>
        </w:rPr>
        <w:t>reconocibles</w:t>
      </w:r>
      <w:r>
        <w:rPr>
          <w:spacing w:val="-9"/>
          <w:sz w:val="17"/>
        </w:rPr>
        <w:t xml:space="preserve"> </w:t>
      </w:r>
      <w:r>
        <w:rPr>
          <w:sz w:val="17"/>
        </w:rPr>
        <w:t>oficialmente</w:t>
      </w:r>
      <w:r>
        <w:rPr>
          <w:spacing w:val="-9"/>
          <w:sz w:val="17"/>
        </w:rPr>
        <w:t xml:space="preserve"> </w:t>
      </w:r>
      <w:r>
        <w:rPr>
          <w:sz w:val="17"/>
        </w:rPr>
        <w:t>como</w:t>
      </w:r>
      <w:r>
        <w:rPr>
          <w:spacing w:val="-8"/>
          <w:sz w:val="17"/>
        </w:rPr>
        <w:t xml:space="preserve"> </w:t>
      </w:r>
      <w:r>
        <w:rPr>
          <w:sz w:val="17"/>
        </w:rPr>
        <w:t>tales,</w:t>
      </w:r>
      <w:r>
        <w:rPr>
          <w:spacing w:val="-9"/>
          <w:sz w:val="17"/>
        </w:rPr>
        <w:t xml:space="preserve"> </w:t>
      </w:r>
      <w:r>
        <w:rPr>
          <w:sz w:val="17"/>
        </w:rPr>
        <w:t>siempre</w:t>
      </w:r>
      <w:r>
        <w:rPr>
          <w:spacing w:val="-9"/>
          <w:sz w:val="17"/>
        </w:rPr>
        <w:t xml:space="preserve"> </w:t>
      </w:r>
      <w:r>
        <w:rPr>
          <w:sz w:val="17"/>
        </w:rPr>
        <w:t>que</w:t>
      </w:r>
      <w:r>
        <w:rPr>
          <w:spacing w:val="-8"/>
          <w:sz w:val="17"/>
        </w:rPr>
        <w:t xml:space="preserve"> </w:t>
      </w:r>
      <w:r>
        <w:rPr>
          <w:sz w:val="17"/>
        </w:rPr>
        <w:t>los</w:t>
      </w:r>
      <w:r>
        <w:rPr>
          <w:spacing w:val="-9"/>
          <w:sz w:val="17"/>
        </w:rPr>
        <w:t xml:space="preserve"> </w:t>
      </w:r>
      <w:r>
        <w:rPr>
          <w:sz w:val="17"/>
        </w:rPr>
        <w:t>cambios</w:t>
      </w:r>
      <w:r>
        <w:rPr>
          <w:spacing w:val="-9"/>
          <w:sz w:val="17"/>
        </w:rPr>
        <w:t xml:space="preserve"> </w:t>
      </w:r>
      <w:r>
        <w:rPr>
          <w:sz w:val="17"/>
        </w:rPr>
        <w:t>se</w:t>
      </w:r>
      <w:r>
        <w:rPr>
          <w:spacing w:val="-8"/>
          <w:sz w:val="17"/>
        </w:rPr>
        <w:t xml:space="preserve"> </w:t>
      </w:r>
      <w:r>
        <w:rPr>
          <w:sz w:val="17"/>
        </w:rPr>
        <w:t>realicen</w:t>
      </w:r>
      <w:r>
        <w:rPr>
          <w:spacing w:val="-9"/>
          <w:sz w:val="17"/>
        </w:rPr>
        <w:t xml:space="preserve"> </w:t>
      </w:r>
      <w:r>
        <w:rPr>
          <w:sz w:val="17"/>
        </w:rPr>
        <w:t>sobre</w:t>
      </w:r>
      <w:r>
        <w:rPr>
          <w:spacing w:val="-9"/>
          <w:sz w:val="17"/>
        </w:rPr>
        <w:t xml:space="preserve"> </w:t>
      </w:r>
      <w:r>
        <w:rPr>
          <w:sz w:val="17"/>
        </w:rPr>
        <w:t>la</w:t>
      </w:r>
      <w:r>
        <w:rPr>
          <w:spacing w:val="-8"/>
          <w:sz w:val="17"/>
        </w:rPr>
        <w:t xml:space="preserve"> </w:t>
      </w:r>
      <w:r>
        <w:rPr>
          <w:sz w:val="17"/>
        </w:rPr>
        <w:t>base</w:t>
      </w:r>
      <w:r>
        <w:rPr>
          <w:spacing w:val="-9"/>
          <w:sz w:val="17"/>
        </w:rPr>
        <w:t xml:space="preserve"> </w:t>
      </w:r>
      <w:r>
        <w:rPr>
          <w:sz w:val="17"/>
        </w:rPr>
        <w:t>del</w:t>
      </w:r>
      <w:r>
        <w:rPr>
          <w:spacing w:val="-9"/>
          <w:sz w:val="17"/>
        </w:rPr>
        <w:t xml:space="preserve"> </w:t>
      </w:r>
      <w:r>
        <w:rPr>
          <w:sz w:val="17"/>
        </w:rPr>
        <w:t>consentimiento</w:t>
      </w:r>
      <w:r>
        <w:rPr>
          <w:spacing w:val="-8"/>
          <w:sz w:val="17"/>
        </w:rPr>
        <w:t xml:space="preserve"> </w:t>
      </w:r>
      <w:r>
        <w:rPr>
          <w:sz w:val="17"/>
        </w:rPr>
        <w:t>libre</w:t>
      </w:r>
      <w:r>
        <w:rPr>
          <w:spacing w:val="-9"/>
          <w:sz w:val="17"/>
        </w:rPr>
        <w:t xml:space="preserve"> </w:t>
      </w:r>
      <w:r>
        <w:rPr>
          <w:sz w:val="17"/>
        </w:rPr>
        <w:t>e</w:t>
      </w:r>
      <w:r>
        <w:rPr>
          <w:spacing w:val="-9"/>
          <w:sz w:val="17"/>
        </w:rPr>
        <w:t xml:space="preserve"> </w:t>
      </w:r>
      <w:r>
        <w:rPr>
          <w:spacing w:val="-2"/>
          <w:sz w:val="17"/>
        </w:rPr>
        <w:t>informado.88</w:t>
      </w:r>
    </w:p>
    <w:p w14:paraId="3D5FBAD2" w14:textId="77777777" w:rsidR="0014798C" w:rsidRDefault="004E1F0B">
      <w:pPr>
        <w:pStyle w:val="Textoindependiente"/>
        <w:spacing w:before="100"/>
        <w:ind w:left="1108"/>
      </w:pPr>
      <w:r>
        <w:rPr>
          <w:noProof/>
        </w:rPr>
        <mc:AlternateContent>
          <mc:Choice Requires="wps">
            <w:drawing>
              <wp:anchor distT="0" distB="0" distL="0" distR="0" simplePos="0" relativeHeight="251658305" behindDoc="0" locked="0" layoutInCell="1" allowOverlap="1" wp14:anchorId="1D85996D" wp14:editId="295BA0C6">
                <wp:simplePos x="0" y="0"/>
                <wp:positionH relativeFrom="page">
                  <wp:posOffset>7293418</wp:posOffset>
                </wp:positionH>
                <wp:positionV relativeFrom="paragraph">
                  <wp:posOffset>954633</wp:posOffset>
                </wp:positionV>
                <wp:extent cx="104775" cy="260985"/>
                <wp:effectExtent l="0" t="0" r="0" b="0"/>
                <wp:wrapNone/>
                <wp:docPr id="269" name="Textbox 26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04775" cy="260985"/>
                        </a:xfrm>
                        <a:prstGeom prst="rect">
                          <a:avLst/>
                        </a:prstGeom>
                      </wps:spPr>
                      <wps:txbx>
                        <w:txbxContent>
                          <w:p w14:paraId="2ADFD945" w14:textId="77777777" w:rsidR="0014798C" w:rsidRDefault="004E1F0B">
                            <w:pPr>
                              <w:spacing w:before="17"/>
                              <w:ind w:left="20"/>
                              <w:rPr>
                                <w:sz w:val="11"/>
                              </w:rPr>
                            </w:pPr>
                            <w:r>
                              <w:rPr>
                                <w:color w:val="FFFFFF"/>
                                <w:spacing w:val="-33"/>
                                <w:sz w:val="11"/>
                              </w:rPr>
                              <w:t>TPRAERSTE</w:t>
                            </w:r>
                          </w:p>
                        </w:txbxContent>
                      </wps:txbx>
                      <wps:bodyPr vert="vert270" wrap="square" lIns="0" tIns="0" rIns="0" bIns="0" rtlCol="0">
                        <a:noAutofit/>
                      </wps:bodyPr>
                    </wps:wsp>
                  </a:graphicData>
                </a:graphic>
              </wp:anchor>
            </w:drawing>
          </mc:Choice>
          <mc:Fallback>
            <w:pict>
              <v:shape w14:anchorId="1D85996D" id="Textbox 269" o:spid="_x0000_s1131" type="#_x0000_t202" style="position:absolute;left:0;text-align:left;margin-left:574.3pt;margin-top:75.15pt;width:8.25pt;height:20.55pt;z-index:251658305;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" filled="f" stroked="f">
                <v:textbox style="layout-flow:vertical;mso-layout-flow-alt:bottom-to-top" inset="0,0,0,0">
                  <w:txbxContent>
                    <w:p w14:paraId="2ADFD945" w14:textId="77777777" w:rsidR="0014798C" w:rsidRDefault="004E1F0B">
                      <w:pPr>
                        <w:spacing w:before="17"/>
                        <w:ind w:left="20"/>
                        <w:rPr>
                          <w:sz w:val="11"/>
                        </w:rPr>
                      </w:pPr>
                      <w:r>
                        <w:rPr>
                          <w:color w:val="FFFFFF"/>
                          <w:spacing w:val="-33"/>
                          <w:sz w:val="11"/>
                        </w:rPr>
                        <w:t>TPRAERSTE</w:t>
                      </w:r>
                    </w:p>
                  </w:txbxContent>
                </v:textbox>
                <w10:wrap anchorx="page"/>
              </v:shape>
            </w:pict>
          </mc:Fallback>
        </mc:AlternateContent>
      </w:r>
      <w:r>
        <w:t>La</w:t>
      </w:r>
      <w:r>
        <w:rPr>
          <w:spacing w:val="11"/>
        </w:rPr>
        <w:t xml:space="preserve"> </w:t>
      </w:r>
      <w:r>
        <w:t>autoidentificación</w:t>
      </w:r>
      <w:r>
        <w:rPr>
          <w:spacing w:val="11"/>
        </w:rPr>
        <w:t xml:space="preserve"> </w:t>
      </w:r>
      <w:r>
        <w:t>individual</w:t>
      </w:r>
      <w:r>
        <w:rPr>
          <w:spacing w:val="11"/>
        </w:rPr>
        <w:t xml:space="preserve"> </w:t>
      </w:r>
      <w:r>
        <w:t>es</w:t>
      </w:r>
      <w:r>
        <w:rPr>
          <w:spacing w:val="11"/>
        </w:rPr>
        <w:t xml:space="preserve"> </w:t>
      </w:r>
      <w:r>
        <w:t>una</w:t>
      </w:r>
      <w:r>
        <w:rPr>
          <w:spacing w:val="11"/>
        </w:rPr>
        <w:t xml:space="preserve"> </w:t>
      </w:r>
      <w:r>
        <w:t>cuestión</w:t>
      </w:r>
      <w:r>
        <w:rPr>
          <w:spacing w:val="11"/>
        </w:rPr>
        <w:t xml:space="preserve"> </w:t>
      </w:r>
      <w:r>
        <w:t>de</w:t>
      </w:r>
      <w:r>
        <w:rPr>
          <w:spacing w:val="11"/>
        </w:rPr>
        <w:t xml:space="preserve"> </w:t>
      </w:r>
      <w:r>
        <w:t>derecho</w:t>
      </w:r>
      <w:r>
        <w:rPr>
          <w:spacing w:val="11"/>
        </w:rPr>
        <w:t xml:space="preserve"> </w:t>
      </w:r>
      <w:r>
        <w:t>de</w:t>
      </w:r>
      <w:r>
        <w:rPr>
          <w:spacing w:val="11"/>
        </w:rPr>
        <w:t xml:space="preserve"> </w:t>
      </w:r>
      <w:r>
        <w:t>autodeterminación</w:t>
      </w:r>
      <w:r>
        <w:rPr>
          <w:spacing w:val="11"/>
        </w:rPr>
        <w:t xml:space="preserve"> </w:t>
      </w:r>
      <w:r>
        <w:rPr>
          <w:spacing w:val="-2"/>
        </w:rPr>
        <w:t>individual.881</w:t>
      </w:r>
    </w:p>
    <w:p w14:paraId="1C8EE867" w14:textId="77777777" w:rsidR="0014798C" w:rsidRDefault="0014798C">
      <w:pPr>
        <w:pStyle w:val="Textoindependiente"/>
        <w:rPr>
          <w:sz w:val="10"/>
        </w:rPr>
      </w:pPr>
    </w:p>
    <w:p w14:paraId="3176704A" w14:textId="77777777" w:rsidR="0014798C" w:rsidRDefault="0014798C">
      <w:pPr>
        <w:pStyle w:val="Textoindependiente"/>
        <w:rPr>
          <w:sz w:val="10"/>
        </w:rPr>
      </w:pPr>
    </w:p>
    <w:p w14:paraId="27BE9B8E" w14:textId="77777777" w:rsidR="0014798C" w:rsidRDefault="0014798C">
      <w:pPr>
        <w:pStyle w:val="Textoindependiente"/>
        <w:rPr>
          <w:sz w:val="10"/>
        </w:rPr>
      </w:pPr>
    </w:p>
    <w:p w14:paraId="566253CD" w14:textId="77777777" w:rsidR="0014798C" w:rsidRDefault="0014798C">
      <w:pPr>
        <w:pStyle w:val="Textoindependiente"/>
        <w:rPr>
          <w:sz w:val="10"/>
        </w:rPr>
      </w:pPr>
    </w:p>
    <w:p w14:paraId="1535C8AD" w14:textId="77777777" w:rsidR="0014798C" w:rsidRDefault="0014798C">
      <w:pPr>
        <w:pStyle w:val="Textoindependiente"/>
        <w:rPr>
          <w:sz w:val="10"/>
        </w:rPr>
      </w:pPr>
    </w:p>
    <w:p w14:paraId="4B604939" w14:textId="77777777" w:rsidR="0014798C" w:rsidRDefault="0014798C">
      <w:pPr>
        <w:pStyle w:val="Textoindependiente"/>
        <w:rPr>
          <w:sz w:val="10"/>
        </w:rPr>
      </w:pPr>
    </w:p>
    <w:p w14:paraId="47E5E846" w14:textId="77777777" w:rsidR="0014798C" w:rsidRDefault="0014798C">
      <w:pPr>
        <w:pStyle w:val="Textoindependiente"/>
        <w:rPr>
          <w:sz w:val="10"/>
        </w:rPr>
      </w:pPr>
    </w:p>
    <w:p w14:paraId="5A0C93BA" w14:textId="77777777" w:rsidR="0014798C" w:rsidRDefault="0014798C">
      <w:pPr>
        <w:pStyle w:val="Textoindependiente"/>
        <w:rPr>
          <w:sz w:val="10"/>
        </w:rPr>
      </w:pPr>
    </w:p>
    <w:p w14:paraId="2F8C3FA8" w14:textId="77777777" w:rsidR="0014798C" w:rsidRDefault="0014798C">
      <w:pPr>
        <w:pStyle w:val="Textoindependiente"/>
        <w:rPr>
          <w:sz w:val="10"/>
        </w:rPr>
      </w:pPr>
    </w:p>
    <w:p w14:paraId="3272D7E3" w14:textId="77777777" w:rsidR="0014798C" w:rsidRDefault="0014798C">
      <w:pPr>
        <w:pStyle w:val="Textoindependiente"/>
        <w:rPr>
          <w:sz w:val="10"/>
        </w:rPr>
      </w:pPr>
    </w:p>
    <w:p w14:paraId="7AD100B8" w14:textId="77777777" w:rsidR="0014798C" w:rsidRDefault="0014798C">
      <w:pPr>
        <w:pStyle w:val="Textoindependiente"/>
        <w:rPr>
          <w:sz w:val="10"/>
        </w:rPr>
      </w:pPr>
    </w:p>
    <w:p w14:paraId="3F158A34" w14:textId="77777777" w:rsidR="0014798C" w:rsidRDefault="0014798C">
      <w:pPr>
        <w:pStyle w:val="Textoindependiente"/>
        <w:rPr>
          <w:sz w:val="10"/>
        </w:rPr>
      </w:pPr>
    </w:p>
    <w:p w14:paraId="3863D45E" w14:textId="77777777" w:rsidR="0014798C" w:rsidRDefault="0014798C">
      <w:pPr>
        <w:pStyle w:val="Textoindependiente"/>
        <w:rPr>
          <w:sz w:val="10"/>
        </w:rPr>
      </w:pPr>
    </w:p>
    <w:p w14:paraId="68D6EE11" w14:textId="77777777" w:rsidR="0014798C" w:rsidRDefault="0014798C">
      <w:pPr>
        <w:pStyle w:val="Textoindependiente"/>
        <w:rPr>
          <w:sz w:val="10"/>
        </w:rPr>
      </w:pPr>
    </w:p>
    <w:p w14:paraId="1877ECCD" w14:textId="77777777" w:rsidR="0014798C" w:rsidRDefault="0014798C">
      <w:pPr>
        <w:pStyle w:val="Textoindependiente"/>
        <w:rPr>
          <w:sz w:val="10"/>
        </w:rPr>
      </w:pPr>
    </w:p>
    <w:p w14:paraId="4BC43A28" w14:textId="77777777" w:rsidR="0014798C" w:rsidRDefault="0014798C">
      <w:pPr>
        <w:pStyle w:val="Textoindependiente"/>
        <w:rPr>
          <w:sz w:val="10"/>
        </w:rPr>
      </w:pPr>
    </w:p>
    <w:p w14:paraId="41F7E786" w14:textId="77777777" w:rsidR="0014798C" w:rsidRDefault="0014798C">
      <w:pPr>
        <w:pStyle w:val="Textoindependiente"/>
        <w:rPr>
          <w:sz w:val="10"/>
        </w:rPr>
      </w:pPr>
    </w:p>
    <w:p w14:paraId="5E79D519" w14:textId="77777777" w:rsidR="0014798C" w:rsidRDefault="0014798C">
      <w:pPr>
        <w:pStyle w:val="Textoindependiente"/>
        <w:rPr>
          <w:sz w:val="10"/>
        </w:rPr>
      </w:pPr>
    </w:p>
    <w:p w14:paraId="02F0FC9F" w14:textId="77777777" w:rsidR="0014798C" w:rsidRDefault="0014798C">
      <w:pPr>
        <w:pStyle w:val="Textoindependiente"/>
        <w:rPr>
          <w:sz w:val="10"/>
        </w:rPr>
      </w:pPr>
    </w:p>
    <w:p w14:paraId="72181FBF" w14:textId="77777777" w:rsidR="0014798C" w:rsidRDefault="0014798C">
      <w:pPr>
        <w:pStyle w:val="Textoindependiente"/>
        <w:rPr>
          <w:sz w:val="10"/>
        </w:rPr>
      </w:pPr>
    </w:p>
    <w:p w14:paraId="2286E73D" w14:textId="77777777" w:rsidR="0014798C" w:rsidRDefault="0014798C">
      <w:pPr>
        <w:pStyle w:val="Textoindependiente"/>
        <w:rPr>
          <w:sz w:val="10"/>
        </w:rPr>
      </w:pPr>
    </w:p>
    <w:p w14:paraId="2C61DB83" w14:textId="77777777" w:rsidR="0014798C" w:rsidRDefault="0014798C">
      <w:pPr>
        <w:pStyle w:val="Textoindependiente"/>
        <w:rPr>
          <w:sz w:val="10"/>
        </w:rPr>
      </w:pPr>
    </w:p>
    <w:p w14:paraId="412F0DF3" w14:textId="77777777" w:rsidR="0014798C" w:rsidRDefault="0014798C">
      <w:pPr>
        <w:pStyle w:val="Textoindependiente"/>
        <w:rPr>
          <w:sz w:val="10"/>
        </w:rPr>
      </w:pPr>
    </w:p>
    <w:p w14:paraId="4537098E" w14:textId="77777777" w:rsidR="0014798C" w:rsidRDefault="0014798C">
      <w:pPr>
        <w:pStyle w:val="Textoindependiente"/>
        <w:rPr>
          <w:sz w:val="10"/>
        </w:rPr>
      </w:pPr>
    </w:p>
    <w:p w14:paraId="6B76641A" w14:textId="77777777" w:rsidR="0014798C" w:rsidRDefault="0014798C">
      <w:pPr>
        <w:pStyle w:val="Textoindependiente"/>
        <w:rPr>
          <w:sz w:val="10"/>
        </w:rPr>
      </w:pPr>
    </w:p>
    <w:p w14:paraId="37EB1948" w14:textId="77777777" w:rsidR="0014798C" w:rsidRDefault="0014798C">
      <w:pPr>
        <w:pStyle w:val="Textoindependiente"/>
        <w:rPr>
          <w:sz w:val="10"/>
        </w:rPr>
      </w:pPr>
    </w:p>
    <w:p w14:paraId="51359EEB" w14:textId="77777777" w:rsidR="0014798C" w:rsidRDefault="0014798C">
      <w:pPr>
        <w:pStyle w:val="Textoindependiente"/>
        <w:rPr>
          <w:sz w:val="10"/>
        </w:rPr>
      </w:pPr>
    </w:p>
    <w:p w14:paraId="111E8D51" w14:textId="77777777" w:rsidR="0014798C" w:rsidRDefault="0014798C">
      <w:pPr>
        <w:pStyle w:val="Textoindependiente"/>
        <w:rPr>
          <w:sz w:val="10"/>
        </w:rPr>
      </w:pPr>
    </w:p>
    <w:p w14:paraId="5C201E23" w14:textId="77777777" w:rsidR="0014798C" w:rsidRDefault="0014798C">
      <w:pPr>
        <w:pStyle w:val="Textoindependiente"/>
        <w:rPr>
          <w:sz w:val="10"/>
        </w:rPr>
      </w:pPr>
    </w:p>
    <w:p w14:paraId="57310A04" w14:textId="77777777" w:rsidR="0014798C" w:rsidRDefault="0014798C">
      <w:pPr>
        <w:pStyle w:val="Textoindependiente"/>
        <w:rPr>
          <w:sz w:val="10"/>
        </w:rPr>
      </w:pPr>
    </w:p>
    <w:p w14:paraId="0F5A2B79" w14:textId="77777777" w:rsidR="0014798C" w:rsidRDefault="0014798C">
      <w:pPr>
        <w:pStyle w:val="Textoindependiente"/>
        <w:rPr>
          <w:sz w:val="10"/>
        </w:rPr>
      </w:pPr>
    </w:p>
    <w:p w14:paraId="114289A4" w14:textId="77777777" w:rsidR="0014798C" w:rsidRDefault="0014798C">
      <w:pPr>
        <w:pStyle w:val="Textoindependiente"/>
        <w:rPr>
          <w:sz w:val="10"/>
        </w:rPr>
      </w:pPr>
    </w:p>
    <w:p w14:paraId="40A71366" w14:textId="77777777" w:rsidR="0014798C" w:rsidRDefault="0014798C">
      <w:pPr>
        <w:pStyle w:val="Textoindependiente"/>
        <w:rPr>
          <w:sz w:val="10"/>
        </w:rPr>
      </w:pPr>
    </w:p>
    <w:p w14:paraId="649FFA15" w14:textId="77777777" w:rsidR="0014798C" w:rsidRDefault="0014798C">
      <w:pPr>
        <w:pStyle w:val="Textoindependiente"/>
        <w:rPr>
          <w:sz w:val="10"/>
        </w:rPr>
      </w:pPr>
    </w:p>
    <w:p w14:paraId="6849E326" w14:textId="77777777" w:rsidR="0014798C" w:rsidRDefault="0014798C">
      <w:pPr>
        <w:pStyle w:val="Textoindependiente"/>
        <w:rPr>
          <w:sz w:val="10"/>
        </w:rPr>
      </w:pPr>
    </w:p>
    <w:p w14:paraId="759C1BBE" w14:textId="77777777" w:rsidR="0014798C" w:rsidRDefault="0014798C">
      <w:pPr>
        <w:pStyle w:val="Textoindependiente"/>
        <w:rPr>
          <w:sz w:val="10"/>
        </w:rPr>
      </w:pPr>
    </w:p>
    <w:p w14:paraId="00E13A4B" w14:textId="77777777" w:rsidR="0014798C" w:rsidRDefault="0014798C">
      <w:pPr>
        <w:pStyle w:val="Textoindependiente"/>
        <w:rPr>
          <w:sz w:val="10"/>
        </w:rPr>
      </w:pPr>
    </w:p>
    <w:p w14:paraId="5B8602DF" w14:textId="77777777" w:rsidR="0014798C" w:rsidRDefault="0014798C">
      <w:pPr>
        <w:pStyle w:val="Textoindependiente"/>
        <w:spacing w:before="47"/>
        <w:rPr>
          <w:sz w:val="10"/>
        </w:rPr>
      </w:pPr>
    </w:p>
    <w:p w14:paraId="3F29049F" w14:textId="77777777" w:rsidR="0014798C" w:rsidRDefault="004E1F0B">
      <w:pPr>
        <w:spacing w:line="374" w:lineRule="auto"/>
        <w:ind w:left="1369" w:right="1463" w:hanging="259"/>
        <w:rPr>
          <w:sz w:val="10"/>
        </w:rPr>
      </w:pPr>
      <w:r>
        <w:rPr>
          <w:noProof/>
        </w:rPr>
        <mc:AlternateContent>
          <mc:Choice Requires="wpg">
            <w:drawing>
              <wp:anchor distT="0" distB="0" distL="0" distR="0" simplePos="0" relativeHeight="251658304" behindDoc="0" locked="0" layoutInCell="1" allowOverlap="1" wp14:anchorId="3B338BEB" wp14:editId="438B94DB">
                <wp:simplePos x="0" y="0"/>
                <wp:positionH relativeFrom="page">
                  <wp:posOffset>826632</wp:posOffset>
                </wp:positionH>
                <wp:positionV relativeFrom="paragraph">
                  <wp:posOffset>-2654773</wp:posOffset>
                </wp:positionV>
                <wp:extent cx="6730365" cy="2534920"/>
                <wp:effectExtent l="0" t="0" r="0" b="0"/>
                <wp:wrapNone/>
                <wp:docPr id="270" name="Group 27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730365" cy="2534920"/>
                          <a:chOff x="0" y="0"/>
                          <a:chExt cx="6730365" cy="2534920"/>
                        </a:xfrm>
                      </wpg:grpSpPr>
                      <pic:pic xmlns:pic="http://schemas.openxmlformats.org/drawingml/2006/picture">
                        <pic:nvPicPr>
                          <pic:cNvPr id="271" name="Image 271"/>
                          <pic:cNvPicPr/>
                        </pic:nvPicPr>
                        <pic:blipFill>
                          <a:blip r:embed="rId244" cstate="print"/>
                          <a:stretch>
                            <a:fillRect/>
                          </a:stretch>
                        </pic:blipFill>
                        <pic:spPr>
                          <a:xfrm>
                            <a:off x="0" y="14051"/>
                            <a:ext cx="6729867" cy="2520771"/>
                          </a:xfrm>
                          <a:prstGeom prst="rect">
                            <a:avLst/>
                          </a:prstGeom>
                        </pic:spPr>
                      </pic:pic>
                      <wps:wsp>
                        <wps:cNvPr id="272" name="Textbox 272"/>
                        <wps:cNvSpPr txBox="1"/>
                        <wps:spPr>
                          <a:xfrm>
                            <a:off x="0" y="0"/>
                            <a:ext cx="6730365" cy="2534920"/>
                          </a:xfrm>
                          <a:prstGeom prst="rect">
                            <a:avLst/>
                          </a:prstGeom>
                        </wps:spPr>
                        <wps:txbx>
                          <w:txbxContent>
                            <w:p w14:paraId="38000376" w14:textId="77777777" w:rsidR="0014798C" w:rsidRDefault="004E1F0B">
                              <w:pPr>
                                <w:spacing w:line="326" w:lineRule="auto"/>
                                <w:ind w:left="5" w:right="1337" w:hanging="2"/>
                                <w:rPr>
                                  <w:sz w:val="16"/>
                                </w:rPr>
                              </w:pPr>
                              <w:r>
                                <w:rPr>
                                  <w:w w:val="105"/>
                                  <w:sz w:val="16"/>
                                </w:rPr>
                                <w:t>La</w:t>
                              </w:r>
                              <w:r>
                                <w:rPr>
                                  <w:spacing w:val="-3"/>
                                  <w:w w:val="105"/>
                                  <w:sz w:val="16"/>
                                </w:rPr>
                                <w:t xml:space="preserve"> </w:t>
                              </w:r>
                              <w:r>
                                <w:rPr>
                                  <w:w w:val="105"/>
                                  <w:sz w:val="16"/>
                                </w:rPr>
                                <w:t>comprensión</w:t>
                              </w:r>
                              <w:r>
                                <w:rPr>
                                  <w:spacing w:val="-3"/>
                                  <w:w w:val="105"/>
                                  <w:sz w:val="16"/>
                                </w:rPr>
                                <w:t xml:space="preserve"> </w:t>
                              </w:r>
                              <w:r>
                                <w:rPr>
                                  <w:w w:val="105"/>
                                  <w:sz w:val="16"/>
                                </w:rPr>
                                <w:t>de</w:t>
                              </w:r>
                              <w:r>
                                <w:rPr>
                                  <w:spacing w:val="-3"/>
                                  <w:w w:val="105"/>
                                  <w:sz w:val="16"/>
                                </w:rPr>
                                <w:t xml:space="preserve"> </w:t>
                              </w:r>
                              <w:r>
                                <w:rPr>
                                  <w:w w:val="105"/>
                                  <w:sz w:val="16"/>
                                </w:rPr>
                                <w:t>los</w:t>
                              </w:r>
                              <w:r>
                                <w:rPr>
                                  <w:spacing w:val="-3"/>
                                  <w:w w:val="105"/>
                                  <w:sz w:val="16"/>
                                </w:rPr>
                                <w:t xml:space="preserve"> </w:t>
                              </w:r>
                              <w:r>
                                <w:rPr>
                                  <w:w w:val="105"/>
                                  <w:sz w:val="16"/>
                                </w:rPr>
                                <w:t>derechos</w:t>
                              </w:r>
                              <w:r>
                                <w:rPr>
                                  <w:spacing w:val="-3"/>
                                  <w:w w:val="105"/>
                                  <w:sz w:val="16"/>
                                </w:rPr>
                                <w:t xml:space="preserve"> </w:t>
                              </w:r>
                              <w:r>
                                <w:rPr>
                                  <w:w w:val="105"/>
                                  <w:sz w:val="16"/>
                                </w:rPr>
                                <w:t>de</w:t>
                              </w:r>
                              <w:r>
                                <w:rPr>
                                  <w:spacing w:val="-3"/>
                                  <w:w w:val="105"/>
                                  <w:sz w:val="16"/>
                                </w:rPr>
                                <w:t xml:space="preserve"> </w:t>
                              </w:r>
                              <w:r>
                                <w:rPr>
                                  <w:w w:val="105"/>
                                  <w:sz w:val="16"/>
                                </w:rPr>
                                <w:t>las</w:t>
                              </w:r>
                              <w:r>
                                <w:rPr>
                                  <w:spacing w:val="-3"/>
                                  <w:w w:val="105"/>
                                  <w:sz w:val="16"/>
                                </w:rPr>
                                <w:t xml:space="preserve"> </w:t>
                              </w:r>
                              <w:r>
                                <w:rPr>
                                  <w:w w:val="105"/>
                                  <w:sz w:val="16"/>
                                </w:rPr>
                                <w:t>minorías</w:t>
                              </w:r>
                              <w:r>
                                <w:rPr>
                                  <w:spacing w:val="-3"/>
                                  <w:w w:val="105"/>
                                  <w:sz w:val="16"/>
                                </w:rPr>
                                <w:t xml:space="preserve"> </w:t>
                              </w:r>
                              <w:r>
                                <w:rPr>
                                  <w:w w:val="105"/>
                                  <w:sz w:val="16"/>
                                </w:rPr>
                                <w:t>continúa</w:t>
                              </w:r>
                              <w:r>
                                <w:rPr>
                                  <w:spacing w:val="-3"/>
                                  <w:w w:val="105"/>
                                  <w:sz w:val="16"/>
                                </w:rPr>
                                <w:t xml:space="preserve"> </w:t>
                              </w:r>
                              <w:r>
                                <w:rPr>
                                  <w:w w:val="105"/>
                                  <w:sz w:val="16"/>
                                </w:rPr>
                                <w:t>evolucionando.</w:t>
                              </w:r>
                              <w:r>
                                <w:rPr>
                                  <w:spacing w:val="-2"/>
                                  <w:w w:val="105"/>
                                  <w:sz w:val="16"/>
                                </w:rPr>
                                <w:t xml:space="preserve"> </w:t>
                              </w:r>
                              <w:r>
                                <w:rPr>
                                  <w:w w:val="105"/>
                                  <w:sz w:val="16"/>
                                </w:rPr>
                                <w:t>Por</w:t>
                              </w:r>
                              <w:r>
                                <w:rPr>
                                  <w:spacing w:val="-3"/>
                                  <w:w w:val="105"/>
                                  <w:sz w:val="16"/>
                                </w:rPr>
                                <w:t xml:space="preserve"> </w:t>
                              </w:r>
                              <w:r>
                                <w:rPr>
                                  <w:w w:val="105"/>
                                  <w:sz w:val="16"/>
                                </w:rPr>
                                <w:t>ejemplo,</w:t>
                              </w:r>
                              <w:r>
                                <w:rPr>
                                  <w:spacing w:val="-2"/>
                                  <w:w w:val="105"/>
                                  <w:sz w:val="16"/>
                                </w:rPr>
                                <w:t xml:space="preserve"> </w:t>
                              </w:r>
                              <w:r>
                                <w:rPr>
                                  <w:w w:val="105"/>
                                  <w:sz w:val="16"/>
                                </w:rPr>
                                <w:t>el</w:t>
                              </w:r>
                              <w:r>
                                <w:rPr>
                                  <w:spacing w:val="-3"/>
                                  <w:w w:val="105"/>
                                  <w:sz w:val="16"/>
                                </w:rPr>
                                <w:t xml:space="preserve"> </w:t>
                              </w:r>
                              <w:r>
                                <w:rPr>
                                  <w:w w:val="105"/>
                                  <w:sz w:val="16"/>
                                </w:rPr>
                                <w:t>Relator</w:t>
                              </w:r>
                              <w:r>
                                <w:rPr>
                                  <w:spacing w:val="-3"/>
                                  <w:w w:val="105"/>
                                  <w:sz w:val="16"/>
                                </w:rPr>
                                <w:t xml:space="preserve"> </w:t>
                              </w:r>
                              <w:r>
                                <w:rPr>
                                  <w:w w:val="105"/>
                                  <w:sz w:val="16"/>
                                </w:rPr>
                                <w:t>Especial</w:t>
                              </w:r>
                              <w:r>
                                <w:rPr>
                                  <w:spacing w:val="-3"/>
                                  <w:w w:val="105"/>
                                  <w:sz w:val="16"/>
                                </w:rPr>
                                <w:t xml:space="preserve"> </w:t>
                              </w:r>
                              <w:r>
                                <w:rPr>
                                  <w:w w:val="105"/>
                                  <w:sz w:val="16"/>
                                </w:rPr>
                                <w:t>sobre</w:t>
                              </w:r>
                              <w:r>
                                <w:rPr>
                                  <w:spacing w:val="-3"/>
                                  <w:w w:val="105"/>
                                  <w:sz w:val="16"/>
                                </w:rPr>
                                <w:t xml:space="preserve"> </w:t>
                              </w:r>
                              <w:r>
                                <w:rPr>
                                  <w:w w:val="105"/>
                                  <w:sz w:val="16"/>
                                </w:rPr>
                                <w:t>cuestiones de</w:t>
                              </w:r>
                              <w:r>
                                <w:rPr>
                                  <w:spacing w:val="-10"/>
                                  <w:w w:val="105"/>
                                  <w:sz w:val="16"/>
                                </w:rPr>
                                <w:t xml:space="preserve"> </w:t>
                              </w:r>
                              <w:r>
                                <w:rPr>
                                  <w:w w:val="105"/>
                                  <w:sz w:val="16"/>
                                </w:rPr>
                                <w:t>las</w:t>
                              </w:r>
                              <w:r>
                                <w:rPr>
                                  <w:spacing w:val="-10"/>
                                  <w:w w:val="105"/>
                                  <w:sz w:val="16"/>
                                </w:rPr>
                                <w:t xml:space="preserve"> </w:t>
                              </w:r>
                              <w:r>
                                <w:rPr>
                                  <w:w w:val="105"/>
                                  <w:sz w:val="16"/>
                                </w:rPr>
                                <w:t>minorías</w:t>
                              </w:r>
                              <w:r>
                                <w:rPr>
                                  <w:spacing w:val="-10"/>
                                  <w:w w:val="105"/>
                                  <w:sz w:val="16"/>
                                </w:rPr>
                                <w:t xml:space="preserve"> </w:t>
                              </w:r>
                              <w:r>
                                <w:rPr>
                                  <w:w w:val="105"/>
                                  <w:sz w:val="16"/>
                                </w:rPr>
                                <w:t>ha</w:t>
                              </w:r>
                              <w:r>
                                <w:rPr>
                                  <w:spacing w:val="-10"/>
                                  <w:w w:val="105"/>
                                  <w:sz w:val="16"/>
                                </w:rPr>
                                <w:t xml:space="preserve"> </w:t>
                              </w:r>
                              <w:r>
                                <w:rPr>
                                  <w:w w:val="105"/>
                                  <w:sz w:val="16"/>
                                </w:rPr>
                                <w:t>recordado</w:t>
                              </w:r>
                              <w:r>
                                <w:rPr>
                                  <w:spacing w:val="-10"/>
                                  <w:w w:val="105"/>
                                  <w:sz w:val="16"/>
                                </w:rPr>
                                <w:t xml:space="preserve"> </w:t>
                              </w:r>
                              <w:r>
                                <w:rPr>
                                  <w:w w:val="105"/>
                                  <w:sz w:val="16"/>
                                </w:rPr>
                                <w:t>recientemente</w:t>
                              </w:r>
                              <w:r>
                                <w:rPr>
                                  <w:spacing w:val="-10"/>
                                  <w:w w:val="105"/>
                                  <w:sz w:val="16"/>
                                </w:rPr>
                                <w:t xml:space="preserve"> </w:t>
                              </w:r>
                              <w:r>
                                <w:rPr>
                                  <w:w w:val="105"/>
                                  <w:sz w:val="16"/>
                                </w:rPr>
                                <w:t>que</w:t>
                              </w:r>
                              <w:r>
                                <w:rPr>
                                  <w:spacing w:val="-10"/>
                                  <w:w w:val="105"/>
                                  <w:sz w:val="16"/>
                                </w:rPr>
                                <w:t xml:space="preserve"> </w:t>
                              </w:r>
                              <w:r>
                                <w:rPr>
                                  <w:w w:val="105"/>
                                  <w:sz w:val="16"/>
                                </w:rPr>
                                <w:t>las</w:t>
                              </w:r>
                              <w:r>
                                <w:rPr>
                                  <w:spacing w:val="-10"/>
                                  <w:w w:val="105"/>
                                  <w:sz w:val="16"/>
                                </w:rPr>
                                <w:t xml:space="preserve"> </w:t>
                              </w:r>
                              <w:r>
                                <w:rPr>
                                  <w:w w:val="105"/>
                                  <w:sz w:val="16"/>
                                </w:rPr>
                                <w:t>minorías</w:t>
                              </w:r>
                              <w:r>
                                <w:rPr>
                                  <w:spacing w:val="-10"/>
                                  <w:w w:val="105"/>
                                  <w:sz w:val="16"/>
                                </w:rPr>
                                <w:t xml:space="preserve"> </w:t>
                              </w:r>
                              <w:r>
                                <w:rPr>
                                  <w:w w:val="105"/>
                                  <w:sz w:val="16"/>
                                </w:rPr>
                                <w:t>lingüísticas</w:t>
                              </w:r>
                              <w:r>
                                <w:rPr>
                                  <w:spacing w:val="-11"/>
                                  <w:w w:val="105"/>
                                  <w:sz w:val="16"/>
                                </w:rPr>
                                <w:t xml:space="preserve"> </w:t>
                              </w:r>
                              <w:r>
                                <w:rPr>
                                  <w:w w:val="105"/>
                                  <w:sz w:val="16"/>
                                </w:rPr>
                                <w:t>incluyen</w:t>
                              </w:r>
                              <w:r>
                                <w:rPr>
                                  <w:spacing w:val="-10"/>
                                  <w:w w:val="105"/>
                                  <w:sz w:val="16"/>
                                </w:rPr>
                                <w:t xml:space="preserve"> </w:t>
                              </w:r>
                              <w:r>
                                <w:rPr>
                                  <w:w w:val="105"/>
                                  <w:sz w:val="16"/>
                                </w:rPr>
                                <w:t>a</w:t>
                              </w:r>
                              <w:r>
                                <w:rPr>
                                  <w:spacing w:val="-10"/>
                                  <w:w w:val="105"/>
                                  <w:sz w:val="16"/>
                                </w:rPr>
                                <w:t xml:space="preserve"> </w:t>
                              </w:r>
                              <w:r>
                                <w:rPr>
                                  <w:w w:val="105"/>
                                  <w:sz w:val="16"/>
                                </w:rPr>
                                <w:t>los</w:t>
                              </w:r>
                              <w:r>
                                <w:rPr>
                                  <w:spacing w:val="-10"/>
                                  <w:w w:val="105"/>
                                  <w:sz w:val="16"/>
                                </w:rPr>
                                <w:t xml:space="preserve"> </w:t>
                              </w:r>
                              <w:r>
                                <w:rPr>
                                  <w:w w:val="105"/>
                                  <w:sz w:val="16"/>
                                </w:rPr>
                                <w:t>usuarios</w:t>
                              </w:r>
                              <w:r>
                                <w:rPr>
                                  <w:spacing w:val="-10"/>
                                  <w:w w:val="105"/>
                                  <w:sz w:val="16"/>
                                </w:rPr>
                                <w:t xml:space="preserve"> </w:t>
                              </w:r>
                              <w:r>
                                <w:rPr>
                                  <w:w w:val="105"/>
                                  <w:sz w:val="16"/>
                                </w:rPr>
                                <w:t>de</w:t>
                              </w:r>
                              <w:r>
                                <w:rPr>
                                  <w:spacing w:val="-10"/>
                                  <w:w w:val="105"/>
                                  <w:sz w:val="16"/>
                                </w:rPr>
                                <w:t xml:space="preserve"> </w:t>
                              </w:r>
                              <w:r>
                                <w:rPr>
                                  <w:w w:val="105"/>
                                  <w:sz w:val="16"/>
                                </w:rPr>
                                <w:t>lenguas</w:t>
                              </w:r>
                              <w:r>
                                <w:rPr>
                                  <w:spacing w:val="-10"/>
                                  <w:w w:val="105"/>
                                  <w:sz w:val="16"/>
                                </w:rPr>
                                <w:t xml:space="preserve"> </w:t>
                              </w:r>
                              <w:r>
                                <w:rPr>
                                  <w:w w:val="105"/>
                                  <w:sz w:val="16"/>
                                </w:rPr>
                                <w:t>de</w:t>
                              </w:r>
                              <w:r>
                                <w:rPr>
                                  <w:spacing w:val="-10"/>
                                  <w:w w:val="105"/>
                                  <w:sz w:val="16"/>
                                </w:rPr>
                                <w:t xml:space="preserve"> </w:t>
                              </w:r>
                              <w:r>
                                <w:rPr>
                                  <w:w w:val="105"/>
                                  <w:sz w:val="16"/>
                                </w:rPr>
                                <w:t>señas.882</w:t>
                              </w:r>
                              <w:r>
                                <w:rPr>
                                  <w:spacing w:val="-10"/>
                                  <w:w w:val="105"/>
                                  <w:sz w:val="16"/>
                                </w:rPr>
                                <w:t xml:space="preserve"> </w:t>
                              </w:r>
                              <w:r>
                                <w:rPr>
                                  <w:w w:val="105"/>
                                  <w:sz w:val="16"/>
                                </w:rPr>
                                <w:t>En otro</w:t>
                              </w:r>
                              <w:r>
                                <w:rPr>
                                  <w:spacing w:val="-9"/>
                                  <w:w w:val="105"/>
                                  <w:sz w:val="16"/>
                                </w:rPr>
                                <w:t xml:space="preserve"> </w:t>
                              </w:r>
                              <w:r>
                                <w:rPr>
                                  <w:w w:val="105"/>
                                  <w:sz w:val="16"/>
                                </w:rPr>
                                <w:t>frente,</w:t>
                              </w:r>
                              <w:r>
                                <w:rPr>
                                  <w:spacing w:val="-9"/>
                                  <w:w w:val="105"/>
                                  <w:sz w:val="16"/>
                                </w:rPr>
                                <w:t xml:space="preserve"> </w:t>
                              </w:r>
                              <w:r>
                                <w:rPr>
                                  <w:w w:val="105"/>
                                  <w:sz w:val="16"/>
                                </w:rPr>
                                <w:t>el</w:t>
                              </w:r>
                              <w:r>
                                <w:rPr>
                                  <w:spacing w:val="-9"/>
                                  <w:w w:val="105"/>
                                  <w:sz w:val="16"/>
                                </w:rPr>
                                <w:t xml:space="preserve"> </w:t>
                              </w:r>
                              <w:r>
                                <w:rPr>
                                  <w:w w:val="105"/>
                                  <w:sz w:val="16"/>
                                </w:rPr>
                                <w:t>Relator</w:t>
                              </w:r>
                              <w:r>
                                <w:rPr>
                                  <w:spacing w:val="-9"/>
                                  <w:w w:val="105"/>
                                  <w:sz w:val="16"/>
                                </w:rPr>
                                <w:t xml:space="preserve"> </w:t>
                              </w:r>
                              <w:r>
                                <w:rPr>
                                  <w:w w:val="105"/>
                                  <w:sz w:val="16"/>
                                </w:rPr>
                                <w:t>Especial</w:t>
                              </w:r>
                              <w:r>
                                <w:rPr>
                                  <w:spacing w:val="-9"/>
                                  <w:w w:val="105"/>
                                  <w:sz w:val="16"/>
                                </w:rPr>
                                <w:t xml:space="preserve"> </w:t>
                              </w:r>
                              <w:r>
                                <w:rPr>
                                  <w:w w:val="105"/>
                                  <w:sz w:val="16"/>
                                </w:rPr>
                                <w:t>afirmó</w:t>
                              </w:r>
                              <w:r>
                                <w:rPr>
                                  <w:spacing w:val="-9"/>
                                  <w:w w:val="105"/>
                                  <w:sz w:val="16"/>
                                </w:rPr>
                                <w:t xml:space="preserve"> </w:t>
                              </w:r>
                              <w:r>
                                <w:rPr>
                                  <w:w w:val="105"/>
                                  <w:sz w:val="16"/>
                                </w:rPr>
                                <w:t>que,</w:t>
                              </w:r>
                              <w:r>
                                <w:rPr>
                                  <w:spacing w:val="-9"/>
                                  <w:w w:val="105"/>
                                  <w:sz w:val="16"/>
                                </w:rPr>
                                <w:t xml:space="preserve"> </w:t>
                              </w:r>
                              <w:r>
                                <w:rPr>
                                  <w:w w:val="105"/>
                                  <w:sz w:val="16"/>
                                </w:rPr>
                                <w:t>en</w:t>
                              </w:r>
                              <w:r>
                                <w:rPr>
                                  <w:spacing w:val="-9"/>
                                  <w:w w:val="105"/>
                                  <w:sz w:val="16"/>
                                </w:rPr>
                                <w:t xml:space="preserve"> </w:t>
                              </w:r>
                              <w:r>
                                <w:rPr>
                                  <w:w w:val="105"/>
                                  <w:sz w:val="16"/>
                                </w:rPr>
                                <w:t>lo</w:t>
                              </w:r>
                              <w:r>
                                <w:rPr>
                                  <w:spacing w:val="-9"/>
                                  <w:w w:val="105"/>
                                  <w:sz w:val="16"/>
                                </w:rPr>
                                <w:t xml:space="preserve"> </w:t>
                              </w:r>
                              <w:r>
                                <w:rPr>
                                  <w:w w:val="105"/>
                                  <w:sz w:val="16"/>
                                </w:rPr>
                                <w:t>que</w:t>
                              </w:r>
                              <w:r>
                                <w:rPr>
                                  <w:spacing w:val="-9"/>
                                  <w:w w:val="105"/>
                                  <w:sz w:val="16"/>
                                </w:rPr>
                                <w:t xml:space="preserve"> </w:t>
                              </w:r>
                              <w:r>
                                <w:rPr>
                                  <w:w w:val="105"/>
                                  <w:sz w:val="16"/>
                                </w:rPr>
                                <w:t>respecta</w:t>
                              </w:r>
                              <w:r>
                                <w:rPr>
                                  <w:spacing w:val="-9"/>
                                  <w:w w:val="105"/>
                                  <w:sz w:val="16"/>
                                </w:rPr>
                                <w:t xml:space="preserve"> </w:t>
                              </w:r>
                              <w:r>
                                <w:rPr>
                                  <w:w w:val="105"/>
                                  <w:sz w:val="16"/>
                                </w:rPr>
                                <w:t>a</w:t>
                              </w:r>
                              <w:r>
                                <w:rPr>
                                  <w:spacing w:val="-9"/>
                                  <w:w w:val="105"/>
                                  <w:sz w:val="16"/>
                                </w:rPr>
                                <w:t xml:space="preserve"> </w:t>
                              </w:r>
                              <w:r>
                                <w:rPr>
                                  <w:w w:val="105"/>
                                  <w:sz w:val="16"/>
                                </w:rPr>
                                <w:t>las</w:t>
                              </w:r>
                              <w:r>
                                <w:rPr>
                                  <w:spacing w:val="-9"/>
                                  <w:w w:val="105"/>
                                  <w:sz w:val="16"/>
                                </w:rPr>
                                <w:t xml:space="preserve"> </w:t>
                              </w:r>
                              <w:r>
                                <w:rPr>
                                  <w:w w:val="105"/>
                                  <w:sz w:val="16"/>
                                </w:rPr>
                                <w:t>minorías</w:t>
                              </w:r>
                              <w:r>
                                <w:rPr>
                                  <w:spacing w:val="-9"/>
                                  <w:w w:val="105"/>
                                  <w:sz w:val="16"/>
                                </w:rPr>
                                <w:t xml:space="preserve"> </w:t>
                              </w:r>
                              <w:r>
                                <w:rPr>
                                  <w:w w:val="105"/>
                                  <w:sz w:val="16"/>
                                </w:rPr>
                                <w:t>religiosas</w:t>
                              </w:r>
                              <w:r>
                                <w:rPr>
                                  <w:spacing w:val="-9"/>
                                  <w:w w:val="105"/>
                                  <w:sz w:val="16"/>
                                </w:rPr>
                                <w:t xml:space="preserve"> </w:t>
                              </w:r>
                              <w:r>
                                <w:rPr>
                                  <w:w w:val="105"/>
                                  <w:sz w:val="16"/>
                                </w:rPr>
                                <w:t>o</w:t>
                              </w:r>
                              <w:r>
                                <w:rPr>
                                  <w:spacing w:val="-9"/>
                                  <w:w w:val="105"/>
                                  <w:sz w:val="16"/>
                                </w:rPr>
                                <w:t xml:space="preserve"> </w:t>
                              </w:r>
                              <w:r>
                                <w:rPr>
                                  <w:w w:val="105"/>
                                  <w:sz w:val="16"/>
                                </w:rPr>
                                <w:t>de</w:t>
                              </w:r>
                              <w:r>
                                <w:rPr>
                                  <w:spacing w:val="-9"/>
                                  <w:w w:val="105"/>
                                  <w:sz w:val="16"/>
                                </w:rPr>
                                <w:t xml:space="preserve"> </w:t>
                              </w:r>
                              <w:r>
                                <w:rPr>
                                  <w:w w:val="105"/>
                                  <w:sz w:val="16"/>
                                </w:rPr>
                                <w:t>creencias:</w:t>
                              </w:r>
                              <w:r>
                                <w:rPr>
                                  <w:spacing w:val="-8"/>
                                  <w:w w:val="105"/>
                                  <w:sz w:val="16"/>
                                </w:rPr>
                                <w:t xml:space="preserve"> </w:t>
                              </w:r>
                              <w:r>
                                <w:rPr>
                                  <w:w w:val="105"/>
                                  <w:sz w:val="16"/>
                                </w:rPr>
                                <w:t>“Esta</w:t>
                              </w:r>
                              <w:r>
                                <w:rPr>
                                  <w:spacing w:val="-9"/>
                                  <w:w w:val="105"/>
                                  <w:sz w:val="16"/>
                                </w:rPr>
                                <w:t xml:space="preserve"> </w:t>
                              </w:r>
                              <w:r>
                                <w:rPr>
                                  <w:w w:val="105"/>
                                  <w:sz w:val="16"/>
                                </w:rPr>
                                <w:t>categoría</w:t>
                              </w:r>
                              <w:r>
                                <w:rPr>
                                  <w:spacing w:val="-9"/>
                                  <w:w w:val="105"/>
                                  <w:sz w:val="16"/>
                                </w:rPr>
                                <w:t xml:space="preserve"> </w:t>
                              </w:r>
                              <w:r>
                                <w:rPr>
                                  <w:w w:val="105"/>
                                  <w:sz w:val="16"/>
                                </w:rPr>
                                <w:t>incluye una</w:t>
                              </w:r>
                              <w:r>
                                <w:rPr>
                                  <w:spacing w:val="-3"/>
                                  <w:w w:val="105"/>
                                  <w:sz w:val="16"/>
                                </w:rPr>
                                <w:t xml:space="preserve"> </w:t>
                              </w:r>
                              <w:r>
                                <w:rPr>
                                  <w:w w:val="105"/>
                                  <w:sz w:val="16"/>
                                </w:rPr>
                                <w:t>amplia</w:t>
                              </w:r>
                              <w:r>
                                <w:rPr>
                                  <w:spacing w:val="-3"/>
                                  <w:w w:val="105"/>
                                  <w:sz w:val="16"/>
                                </w:rPr>
                                <w:t xml:space="preserve"> </w:t>
                              </w:r>
                              <w:r>
                                <w:rPr>
                                  <w:w w:val="105"/>
                                  <w:sz w:val="16"/>
                                </w:rPr>
                                <w:t>gama</w:t>
                              </w:r>
                              <w:r>
                                <w:rPr>
                                  <w:spacing w:val="-3"/>
                                  <w:w w:val="105"/>
                                  <w:sz w:val="16"/>
                                </w:rPr>
                                <w:t xml:space="preserve"> </w:t>
                              </w:r>
                              <w:r>
                                <w:rPr>
                                  <w:w w:val="105"/>
                                  <w:sz w:val="16"/>
                                </w:rPr>
                                <w:t>de</w:t>
                              </w:r>
                              <w:r>
                                <w:rPr>
                                  <w:spacing w:val="-3"/>
                                  <w:w w:val="105"/>
                                  <w:sz w:val="16"/>
                                </w:rPr>
                                <w:t xml:space="preserve"> </w:t>
                              </w:r>
                              <w:r>
                                <w:rPr>
                                  <w:w w:val="105"/>
                                  <w:sz w:val="16"/>
                                </w:rPr>
                                <w:t>personas</w:t>
                              </w:r>
                              <w:r>
                                <w:rPr>
                                  <w:spacing w:val="-3"/>
                                  <w:w w:val="105"/>
                                  <w:sz w:val="16"/>
                                </w:rPr>
                                <w:t xml:space="preserve"> </w:t>
                              </w:r>
                              <w:r>
                                <w:rPr>
                                  <w:w w:val="105"/>
                                  <w:sz w:val="16"/>
                                </w:rPr>
                                <w:t>religiosas,</w:t>
                              </w:r>
                              <w:r>
                                <w:rPr>
                                  <w:spacing w:val="-2"/>
                                  <w:w w:val="105"/>
                                  <w:sz w:val="16"/>
                                </w:rPr>
                                <w:t xml:space="preserve"> </w:t>
                              </w:r>
                              <w:r>
                                <w:rPr>
                                  <w:w w:val="105"/>
                                  <w:sz w:val="16"/>
                                </w:rPr>
                                <w:t>no</w:t>
                              </w:r>
                              <w:r>
                                <w:rPr>
                                  <w:spacing w:val="-3"/>
                                  <w:w w:val="105"/>
                                  <w:sz w:val="16"/>
                                </w:rPr>
                                <w:t xml:space="preserve"> </w:t>
                              </w:r>
                              <w:r>
                                <w:rPr>
                                  <w:w w:val="105"/>
                                  <w:sz w:val="16"/>
                                </w:rPr>
                                <w:t>-creencias</w:t>
                              </w:r>
                              <w:r>
                                <w:rPr>
                                  <w:spacing w:val="-3"/>
                                  <w:w w:val="105"/>
                                  <w:sz w:val="16"/>
                                </w:rPr>
                                <w:t xml:space="preserve"> </w:t>
                              </w:r>
                              <w:r>
                                <w:rPr>
                                  <w:w w:val="105"/>
                                  <w:sz w:val="16"/>
                                </w:rPr>
                                <w:t>religiosas,</w:t>
                              </w:r>
                              <w:r>
                                <w:rPr>
                                  <w:spacing w:val="-2"/>
                                  <w:w w:val="105"/>
                                  <w:sz w:val="16"/>
                                </w:rPr>
                                <w:t xml:space="preserve"> </w:t>
                              </w:r>
                              <w:r>
                                <w:rPr>
                                  <w:w w:val="105"/>
                                  <w:sz w:val="16"/>
                                </w:rPr>
                                <w:t>no</w:t>
                              </w:r>
                              <w:r>
                                <w:rPr>
                                  <w:spacing w:val="-3"/>
                                  <w:w w:val="105"/>
                                  <w:sz w:val="16"/>
                                </w:rPr>
                                <w:t xml:space="preserve"> </w:t>
                              </w:r>
                              <w:r>
                                <w:rPr>
                                  <w:w w:val="105"/>
                                  <w:sz w:val="16"/>
                                </w:rPr>
                                <w:t>teístas</w:t>
                              </w:r>
                              <w:r>
                                <w:rPr>
                                  <w:spacing w:val="-4"/>
                                  <w:w w:val="105"/>
                                  <w:sz w:val="16"/>
                                </w:rPr>
                                <w:t xml:space="preserve"> </w:t>
                              </w:r>
                              <w:r>
                                <w:rPr>
                                  <w:w w:val="105"/>
                                  <w:sz w:val="16"/>
                                </w:rPr>
                                <w:t>y</w:t>
                              </w:r>
                              <w:r>
                                <w:rPr>
                                  <w:spacing w:val="-3"/>
                                  <w:w w:val="105"/>
                                  <w:sz w:val="16"/>
                                </w:rPr>
                                <w:t xml:space="preserve"> </w:t>
                              </w:r>
                              <w:r>
                                <w:rPr>
                                  <w:w w:val="105"/>
                                  <w:sz w:val="16"/>
                                </w:rPr>
                                <w:t>de</w:t>
                              </w:r>
                              <w:r>
                                <w:rPr>
                                  <w:spacing w:val="-3"/>
                                  <w:w w:val="105"/>
                                  <w:sz w:val="16"/>
                                </w:rPr>
                                <w:t xml:space="preserve"> </w:t>
                              </w:r>
                              <w:r>
                                <w:rPr>
                                  <w:w w:val="105"/>
                                  <w:sz w:val="16"/>
                                </w:rPr>
                                <w:t>otro</w:t>
                              </w:r>
                              <w:r>
                                <w:rPr>
                                  <w:spacing w:val="-3"/>
                                  <w:w w:val="105"/>
                                  <w:sz w:val="16"/>
                                </w:rPr>
                                <w:t xml:space="preserve"> </w:t>
                              </w:r>
                              <w:r>
                                <w:rPr>
                                  <w:w w:val="105"/>
                                  <w:sz w:val="16"/>
                                </w:rPr>
                                <w:t>tipo,</w:t>
                              </w:r>
                              <w:r>
                                <w:rPr>
                                  <w:spacing w:val="-3"/>
                                  <w:w w:val="105"/>
                                  <w:sz w:val="16"/>
                                </w:rPr>
                                <w:t xml:space="preserve"> </w:t>
                              </w:r>
                              <w:r>
                                <w:rPr>
                                  <w:w w:val="105"/>
                                  <w:sz w:val="16"/>
                                </w:rPr>
                                <w:t>como</w:t>
                              </w:r>
                              <w:r>
                                <w:rPr>
                                  <w:spacing w:val="-3"/>
                                  <w:w w:val="105"/>
                                  <w:sz w:val="16"/>
                                </w:rPr>
                                <w:t xml:space="preserve"> </w:t>
                              </w:r>
                              <w:r>
                                <w:rPr>
                                  <w:w w:val="105"/>
                                  <w:sz w:val="16"/>
                                </w:rPr>
                                <w:t>religiones</w:t>
                              </w:r>
                              <w:r>
                                <w:rPr>
                                  <w:spacing w:val="-3"/>
                                  <w:w w:val="105"/>
                                  <w:sz w:val="16"/>
                                </w:rPr>
                                <w:t xml:space="preserve"> </w:t>
                              </w:r>
                              <w:r>
                                <w:rPr>
                                  <w:w w:val="105"/>
                                  <w:sz w:val="16"/>
                                </w:rPr>
                                <w:t>o</w:t>
                              </w:r>
                              <w:r>
                                <w:rPr>
                                  <w:spacing w:val="-3"/>
                                  <w:w w:val="105"/>
                                  <w:sz w:val="16"/>
                                </w:rPr>
                                <w:t xml:space="preserve"> </w:t>
                              </w:r>
                              <w:r>
                                <w:rPr>
                                  <w:w w:val="105"/>
                                  <w:sz w:val="16"/>
                                </w:rPr>
                                <w:t>creencias</w:t>
                              </w:r>
                              <w:r>
                                <w:rPr>
                                  <w:spacing w:val="-3"/>
                                  <w:w w:val="105"/>
                                  <w:sz w:val="16"/>
                                </w:rPr>
                                <w:t xml:space="preserve"> </w:t>
                              </w:r>
                              <w:r>
                                <w:rPr>
                                  <w:w w:val="105"/>
                                  <w:sz w:val="16"/>
                                </w:rPr>
                                <w:t>no reconocidas</w:t>
                              </w:r>
                              <w:r>
                                <w:rPr>
                                  <w:spacing w:val="-6"/>
                                  <w:w w:val="105"/>
                                  <w:sz w:val="16"/>
                                </w:rPr>
                                <w:t xml:space="preserve"> </w:t>
                              </w:r>
                              <w:r>
                                <w:rPr>
                                  <w:w w:val="105"/>
                                  <w:sz w:val="16"/>
                                </w:rPr>
                                <w:t>y</w:t>
                              </w:r>
                              <w:r>
                                <w:rPr>
                                  <w:spacing w:val="-6"/>
                                  <w:w w:val="105"/>
                                  <w:sz w:val="16"/>
                                </w:rPr>
                                <w:t xml:space="preserve"> </w:t>
                              </w:r>
                              <w:r>
                                <w:rPr>
                                  <w:w w:val="105"/>
                                  <w:sz w:val="16"/>
                                </w:rPr>
                                <w:t>no</w:t>
                              </w:r>
                              <w:r>
                                <w:rPr>
                                  <w:spacing w:val="-6"/>
                                  <w:w w:val="105"/>
                                  <w:sz w:val="16"/>
                                </w:rPr>
                                <w:t xml:space="preserve"> </w:t>
                              </w:r>
                              <w:r>
                                <w:rPr>
                                  <w:w w:val="105"/>
                                  <w:sz w:val="16"/>
                                </w:rPr>
                                <w:t>tradicionales,</w:t>
                              </w:r>
                              <w:r>
                                <w:rPr>
                                  <w:spacing w:val="-5"/>
                                  <w:w w:val="105"/>
                                  <w:sz w:val="16"/>
                                </w:rPr>
                                <w:t xml:space="preserve"> </w:t>
                              </w:r>
                              <w:r>
                                <w:rPr>
                                  <w:w w:val="105"/>
                                  <w:sz w:val="16"/>
                                </w:rPr>
                                <w:t>incluidos</w:t>
                              </w:r>
                              <w:r>
                                <w:rPr>
                                  <w:spacing w:val="-6"/>
                                  <w:w w:val="105"/>
                                  <w:sz w:val="16"/>
                                </w:rPr>
                                <w:t xml:space="preserve"> </w:t>
                              </w:r>
                              <w:r>
                                <w:rPr>
                                  <w:w w:val="105"/>
                                  <w:sz w:val="16"/>
                                </w:rPr>
                                <w:t>animistas,</w:t>
                              </w:r>
                              <w:r>
                                <w:rPr>
                                  <w:spacing w:val="-5"/>
                                  <w:w w:val="105"/>
                                  <w:sz w:val="16"/>
                                </w:rPr>
                                <w:t xml:space="preserve"> </w:t>
                              </w:r>
                              <w:r>
                                <w:rPr>
                                  <w:w w:val="105"/>
                                  <w:sz w:val="16"/>
                                </w:rPr>
                                <w:t>ateos,</w:t>
                              </w:r>
                              <w:r>
                                <w:rPr>
                                  <w:spacing w:val="-6"/>
                                  <w:w w:val="105"/>
                                  <w:sz w:val="16"/>
                                </w:rPr>
                                <w:t xml:space="preserve"> </w:t>
                              </w:r>
                              <w:r>
                                <w:rPr>
                                  <w:w w:val="105"/>
                                  <w:sz w:val="16"/>
                                </w:rPr>
                                <w:t>agnósticos,</w:t>
                              </w:r>
                              <w:r>
                                <w:rPr>
                                  <w:spacing w:val="-5"/>
                                  <w:w w:val="105"/>
                                  <w:sz w:val="16"/>
                                </w:rPr>
                                <w:t xml:space="preserve"> </w:t>
                              </w:r>
                              <w:r>
                                <w:rPr>
                                  <w:w w:val="105"/>
                                  <w:sz w:val="16"/>
                                </w:rPr>
                                <w:t>humanistas,</w:t>
                              </w:r>
                              <w:r>
                                <w:rPr>
                                  <w:spacing w:val="-5"/>
                                  <w:w w:val="105"/>
                                  <w:sz w:val="16"/>
                                </w:rPr>
                                <w:t xml:space="preserve"> </w:t>
                              </w:r>
                              <w:r>
                                <w:rPr>
                                  <w:w w:val="105"/>
                                  <w:sz w:val="16"/>
                                </w:rPr>
                                <w:t>'nuevas</w:t>
                              </w:r>
                              <w:r>
                                <w:rPr>
                                  <w:spacing w:val="-6"/>
                                  <w:w w:val="105"/>
                                  <w:sz w:val="16"/>
                                </w:rPr>
                                <w:t xml:space="preserve"> </w:t>
                              </w:r>
                              <w:r>
                                <w:rPr>
                                  <w:w w:val="105"/>
                                  <w:sz w:val="16"/>
                                </w:rPr>
                                <w:t>religiones',</w:t>
                              </w:r>
                              <w:r>
                                <w:rPr>
                                  <w:spacing w:val="-5"/>
                                  <w:w w:val="105"/>
                                  <w:sz w:val="16"/>
                                </w:rPr>
                                <w:t xml:space="preserve"> </w:t>
                              </w:r>
                              <w:r>
                                <w:rPr>
                                  <w:w w:val="105"/>
                                  <w:sz w:val="16"/>
                                </w:rPr>
                                <w:t>etc.”883</w:t>
                              </w:r>
                              <w:r>
                                <w:rPr>
                                  <w:spacing w:val="-6"/>
                                  <w:w w:val="105"/>
                                  <w:sz w:val="16"/>
                                </w:rPr>
                                <w:t xml:space="preserve"> </w:t>
                              </w:r>
                              <w:r>
                                <w:rPr>
                                  <w:w w:val="105"/>
                                  <w:sz w:val="16"/>
                                </w:rPr>
                                <w:t>Reflexión sobre</w:t>
                              </w:r>
                              <w:r>
                                <w:rPr>
                                  <w:spacing w:val="-5"/>
                                  <w:w w:val="105"/>
                                  <w:sz w:val="16"/>
                                </w:rPr>
                                <w:t xml:space="preserve"> </w:t>
                              </w:r>
                              <w:r>
                                <w:rPr>
                                  <w:w w:val="105"/>
                                  <w:sz w:val="16"/>
                                </w:rPr>
                                <w:t>la</w:t>
                              </w:r>
                              <w:r>
                                <w:rPr>
                                  <w:spacing w:val="-5"/>
                                  <w:w w:val="105"/>
                                  <w:sz w:val="16"/>
                                </w:rPr>
                                <w:t xml:space="preserve"> </w:t>
                              </w:r>
                              <w:r>
                                <w:rPr>
                                  <w:w w:val="105"/>
                                  <w:sz w:val="16"/>
                                </w:rPr>
                                <w:t>interpretación</w:t>
                              </w:r>
                              <w:r>
                                <w:rPr>
                                  <w:spacing w:val="-5"/>
                                  <w:w w:val="105"/>
                                  <w:sz w:val="16"/>
                                </w:rPr>
                                <w:t xml:space="preserve"> </w:t>
                              </w:r>
                              <w:r>
                                <w:rPr>
                                  <w:w w:val="105"/>
                                  <w:sz w:val="16"/>
                                </w:rPr>
                                <w:t>de</w:t>
                              </w:r>
                              <w:r>
                                <w:rPr>
                                  <w:spacing w:val="-5"/>
                                  <w:w w:val="105"/>
                                  <w:sz w:val="16"/>
                                </w:rPr>
                                <w:t xml:space="preserve"> </w:t>
                              </w:r>
                              <w:r>
                                <w:rPr>
                                  <w:w w:val="105"/>
                                  <w:sz w:val="16"/>
                                </w:rPr>
                                <w:t>la</w:t>
                              </w:r>
                              <w:r>
                                <w:rPr>
                                  <w:spacing w:val="-5"/>
                                  <w:w w:val="105"/>
                                  <w:sz w:val="16"/>
                                </w:rPr>
                                <w:t xml:space="preserve"> </w:t>
                              </w:r>
                              <w:r>
                                <w:rPr>
                                  <w:w w:val="105"/>
                                  <w:sz w:val="16"/>
                                </w:rPr>
                                <w:t>definición</w:t>
                              </w:r>
                              <w:r>
                                <w:rPr>
                                  <w:spacing w:val="-5"/>
                                  <w:w w:val="105"/>
                                  <w:sz w:val="16"/>
                                </w:rPr>
                                <w:t xml:space="preserve"> </w:t>
                              </w:r>
                              <w:r>
                                <w:rPr>
                                  <w:w w:val="105"/>
                                  <w:sz w:val="16"/>
                                </w:rPr>
                                <w:t>de</w:t>
                              </w:r>
                              <w:r>
                                <w:rPr>
                                  <w:spacing w:val="-5"/>
                                  <w:w w:val="105"/>
                                  <w:sz w:val="16"/>
                                </w:rPr>
                                <w:t xml:space="preserve"> </w:t>
                              </w:r>
                              <w:r>
                                <w:rPr>
                                  <w:w w:val="105"/>
                                  <w:sz w:val="16"/>
                                </w:rPr>
                                <w:t>concepto</w:t>
                              </w:r>
                              <w:r>
                                <w:rPr>
                                  <w:spacing w:val="-5"/>
                                  <w:w w:val="105"/>
                                  <w:sz w:val="16"/>
                                </w:rPr>
                                <w:t xml:space="preserve"> </w:t>
                              </w:r>
                              <w:r>
                                <w:rPr>
                                  <w:w w:val="105"/>
                                  <w:sz w:val="16"/>
                                </w:rPr>
                                <w:t>basada</w:t>
                              </w:r>
                              <w:r>
                                <w:rPr>
                                  <w:spacing w:val="-5"/>
                                  <w:w w:val="105"/>
                                  <w:sz w:val="16"/>
                                </w:rPr>
                                <w:t xml:space="preserve"> </w:t>
                              </w:r>
                              <w:r>
                                <w:rPr>
                                  <w:w w:val="105"/>
                                  <w:sz w:val="16"/>
                                </w:rPr>
                                <w:t>en</w:t>
                              </w:r>
                              <w:r>
                                <w:rPr>
                                  <w:spacing w:val="-5"/>
                                  <w:w w:val="105"/>
                                  <w:sz w:val="16"/>
                                </w:rPr>
                                <w:t xml:space="preserve"> </w:t>
                              </w:r>
                              <w:r>
                                <w:rPr>
                                  <w:w w:val="105"/>
                                  <w:sz w:val="16"/>
                                </w:rPr>
                                <w:t>los</w:t>
                              </w:r>
                              <w:r>
                                <w:rPr>
                                  <w:spacing w:val="-5"/>
                                  <w:w w:val="105"/>
                                  <w:sz w:val="16"/>
                                </w:rPr>
                                <w:t xml:space="preserve"> </w:t>
                              </w:r>
                              <w:r>
                                <w:rPr>
                                  <w:w w:val="105"/>
                                  <w:sz w:val="16"/>
                                </w:rPr>
                                <w:t>derechos</w:t>
                              </w:r>
                              <w:r>
                                <w:rPr>
                                  <w:spacing w:val="-5"/>
                                  <w:w w:val="105"/>
                                  <w:sz w:val="16"/>
                                </w:rPr>
                                <w:t xml:space="preserve"> </w:t>
                              </w:r>
                              <w:r>
                                <w:rPr>
                                  <w:w w:val="105"/>
                                  <w:sz w:val="16"/>
                                </w:rPr>
                                <w:t>humanos</w:t>
                              </w:r>
                              <w:r>
                                <w:rPr>
                                  <w:spacing w:val="-5"/>
                                  <w:w w:val="105"/>
                                  <w:sz w:val="16"/>
                                </w:rPr>
                                <w:t xml:space="preserve"> </w:t>
                              </w:r>
                              <w:r>
                                <w:rPr>
                                  <w:w w:val="105"/>
                                  <w:sz w:val="16"/>
                                </w:rPr>
                                <w:t>minorías</w:t>
                              </w:r>
                              <w:r>
                                <w:rPr>
                                  <w:spacing w:val="-5"/>
                                  <w:w w:val="105"/>
                                  <w:sz w:val="16"/>
                                </w:rPr>
                                <w:t xml:space="preserve"> </w:t>
                              </w:r>
                              <w:r>
                                <w:rPr>
                                  <w:w w:val="105"/>
                                  <w:sz w:val="16"/>
                                </w:rPr>
                                <w:t>es</w:t>
                              </w:r>
                              <w:r>
                                <w:rPr>
                                  <w:spacing w:val="-5"/>
                                  <w:w w:val="105"/>
                                  <w:sz w:val="16"/>
                                </w:rPr>
                                <w:t xml:space="preserve"> </w:t>
                              </w:r>
                              <w:r>
                                <w:rPr>
                                  <w:w w:val="105"/>
                                  <w:sz w:val="16"/>
                                </w:rPr>
                                <w:t>particularmente</w:t>
                              </w:r>
                              <w:r>
                                <w:rPr>
                                  <w:spacing w:val="-5"/>
                                  <w:w w:val="105"/>
                                  <w:sz w:val="16"/>
                                </w:rPr>
                                <w:t xml:space="preserve"> </w:t>
                              </w:r>
                              <w:r>
                                <w:rPr>
                                  <w:w w:val="105"/>
                                  <w:sz w:val="16"/>
                                </w:rPr>
                                <w:t>apropiado en el contexto de no dejar a nadie atrás.884</w:t>
                              </w:r>
                            </w:p>
                          </w:txbxContent>
                        </wps:txbx>
                        <wps:bodyPr wrap="square" lIns="0" tIns="0" rIns="0" bIns="0" rtlCol="0">
                          <a:noAutofit/>
                        </wps:bodyPr>
                      </wps:wsp>
                    </wpg:wgp>
                  </a:graphicData>
                </a:graphic>
              </wp:anchor>
            </w:drawing>
          </mc:Choice>
          <mc:Fallback>
            <w:pict>
              <v:group w14:anchorId="3B338BEB" id="Group 270" o:spid="_x0000_s1132" style="position:absolute;left:0;text-align:left;margin-left:65.1pt;margin-top:-209.05pt;width:529.95pt;height:199.6pt;z-index:251658304;mso-wrap-distance-left:0;mso-wrap-distance-right:0;mso-position-horizontal-relative:page" coordsize="67303,25349"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">
                <v:shape id="Image 271" o:spid="_x0000_s1133" type="#_x0000_t75" style="position:absolute;top:140;width:67298;height:2520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">
                  <v:imagedata r:id="rId245" o:title=""/>
                </v:shape>
                <v:shape id="Textbox 272" o:spid="_x0000_s1134" type="#_x0000_t202" style="position:absolute;width:67303;height:253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" filled="f" stroked="f">
                  <v:textbox inset="0,0,0,0">
                    <w:txbxContent>
                      <w:p w14:paraId="38000376" w14:textId="77777777" w:rsidR="0014798C" w:rsidRDefault="004E1F0B">
                        <w:pPr>
                          <w:spacing w:line="326" w:lineRule="auto"/>
                          <w:ind w:left="5" w:right="1337" w:hanging="2"/>
                          <w:rPr>
                            <w:sz w:val="16"/>
                          </w:rPr>
                        </w:pPr>
                        <w:r>
                          <w:rPr>
                            <w:w w:val="105"/>
                            <w:sz w:val="16"/>
                          </w:rPr>
                          <w:t>La</w:t>
                        </w:r>
                        <w:r>
                          <w:rPr>
                            <w:spacing w:val="-3"/>
                            <w:w w:val="105"/>
                            <w:sz w:val="16"/>
                          </w:rPr>
                          <w:t xml:space="preserve"> </w:t>
                        </w:r>
                        <w:r>
                          <w:rPr>
                            <w:w w:val="105"/>
                            <w:sz w:val="16"/>
                          </w:rPr>
                          <w:t>comprensión</w:t>
                        </w:r>
                        <w:r>
                          <w:rPr>
                            <w:spacing w:val="-3"/>
                            <w:w w:val="105"/>
                            <w:sz w:val="16"/>
                          </w:rPr>
                          <w:t xml:space="preserve"> </w:t>
                        </w:r>
                        <w:r>
                          <w:rPr>
                            <w:w w:val="105"/>
                            <w:sz w:val="16"/>
                          </w:rPr>
                          <w:t>de</w:t>
                        </w:r>
                        <w:r>
                          <w:rPr>
                            <w:spacing w:val="-3"/>
                            <w:w w:val="105"/>
                            <w:sz w:val="16"/>
                          </w:rPr>
                          <w:t xml:space="preserve"> </w:t>
                        </w:r>
                        <w:r>
                          <w:rPr>
                            <w:w w:val="105"/>
                            <w:sz w:val="16"/>
                          </w:rPr>
                          <w:t>los</w:t>
                        </w:r>
                        <w:r>
                          <w:rPr>
                            <w:spacing w:val="-3"/>
                            <w:w w:val="105"/>
                            <w:sz w:val="16"/>
                          </w:rPr>
                          <w:t xml:space="preserve"> </w:t>
                        </w:r>
                        <w:r>
                          <w:rPr>
                            <w:w w:val="105"/>
                            <w:sz w:val="16"/>
                          </w:rPr>
                          <w:t>derechos</w:t>
                        </w:r>
                        <w:r>
                          <w:rPr>
                            <w:spacing w:val="-3"/>
                            <w:w w:val="105"/>
                            <w:sz w:val="16"/>
                          </w:rPr>
                          <w:t xml:space="preserve"> </w:t>
                        </w:r>
                        <w:r>
                          <w:rPr>
                            <w:w w:val="105"/>
                            <w:sz w:val="16"/>
                          </w:rPr>
                          <w:t>de</w:t>
                        </w:r>
                        <w:r>
                          <w:rPr>
                            <w:spacing w:val="-3"/>
                            <w:w w:val="105"/>
                            <w:sz w:val="16"/>
                          </w:rPr>
                          <w:t xml:space="preserve"> </w:t>
                        </w:r>
                        <w:r>
                          <w:rPr>
                            <w:w w:val="105"/>
                            <w:sz w:val="16"/>
                          </w:rPr>
                          <w:t>las</w:t>
                        </w:r>
                        <w:r>
                          <w:rPr>
                            <w:spacing w:val="-3"/>
                            <w:w w:val="105"/>
                            <w:sz w:val="16"/>
                          </w:rPr>
                          <w:t xml:space="preserve"> </w:t>
                        </w:r>
                        <w:r>
                          <w:rPr>
                            <w:w w:val="105"/>
                            <w:sz w:val="16"/>
                          </w:rPr>
                          <w:t>minorías</w:t>
                        </w:r>
                        <w:r>
                          <w:rPr>
                            <w:spacing w:val="-3"/>
                            <w:w w:val="105"/>
                            <w:sz w:val="16"/>
                          </w:rPr>
                          <w:t xml:space="preserve"> </w:t>
                        </w:r>
                        <w:r>
                          <w:rPr>
                            <w:w w:val="105"/>
                            <w:sz w:val="16"/>
                          </w:rPr>
                          <w:t>continúa</w:t>
                        </w:r>
                        <w:r>
                          <w:rPr>
                            <w:spacing w:val="-3"/>
                            <w:w w:val="105"/>
                            <w:sz w:val="16"/>
                          </w:rPr>
                          <w:t xml:space="preserve"> </w:t>
                        </w:r>
                        <w:r>
                          <w:rPr>
                            <w:w w:val="105"/>
                            <w:sz w:val="16"/>
                          </w:rPr>
                          <w:t>evolucionando.</w:t>
                        </w:r>
                        <w:r>
                          <w:rPr>
                            <w:spacing w:val="-2"/>
                            <w:w w:val="105"/>
                            <w:sz w:val="16"/>
                          </w:rPr>
                          <w:t xml:space="preserve"> </w:t>
                        </w:r>
                        <w:r>
                          <w:rPr>
                            <w:w w:val="105"/>
                            <w:sz w:val="16"/>
                          </w:rPr>
                          <w:t>Por</w:t>
                        </w:r>
                        <w:r>
                          <w:rPr>
                            <w:spacing w:val="-3"/>
                            <w:w w:val="105"/>
                            <w:sz w:val="16"/>
                          </w:rPr>
                          <w:t xml:space="preserve"> </w:t>
                        </w:r>
                        <w:r>
                          <w:rPr>
                            <w:w w:val="105"/>
                            <w:sz w:val="16"/>
                          </w:rPr>
                          <w:t>ejemplo,</w:t>
                        </w:r>
                        <w:r>
                          <w:rPr>
                            <w:spacing w:val="-2"/>
                            <w:w w:val="105"/>
                            <w:sz w:val="16"/>
                          </w:rPr>
                          <w:t xml:space="preserve"> </w:t>
                        </w:r>
                        <w:r>
                          <w:rPr>
                            <w:w w:val="105"/>
                            <w:sz w:val="16"/>
                          </w:rPr>
                          <w:t>el</w:t>
                        </w:r>
                        <w:r>
                          <w:rPr>
                            <w:spacing w:val="-3"/>
                            <w:w w:val="105"/>
                            <w:sz w:val="16"/>
                          </w:rPr>
                          <w:t xml:space="preserve"> </w:t>
                        </w:r>
                        <w:r>
                          <w:rPr>
                            <w:w w:val="105"/>
                            <w:sz w:val="16"/>
                          </w:rPr>
                          <w:t>Relator</w:t>
                        </w:r>
                        <w:r>
                          <w:rPr>
                            <w:spacing w:val="-3"/>
                            <w:w w:val="105"/>
                            <w:sz w:val="16"/>
                          </w:rPr>
                          <w:t xml:space="preserve"> </w:t>
                        </w:r>
                        <w:r>
                          <w:rPr>
                            <w:w w:val="105"/>
                            <w:sz w:val="16"/>
                          </w:rPr>
                          <w:t>Especial</w:t>
                        </w:r>
                        <w:r>
                          <w:rPr>
                            <w:spacing w:val="-3"/>
                            <w:w w:val="105"/>
                            <w:sz w:val="16"/>
                          </w:rPr>
                          <w:t xml:space="preserve"> </w:t>
                        </w:r>
                        <w:r>
                          <w:rPr>
                            <w:w w:val="105"/>
                            <w:sz w:val="16"/>
                          </w:rPr>
                          <w:t>sobre</w:t>
                        </w:r>
                        <w:r>
                          <w:rPr>
                            <w:spacing w:val="-3"/>
                            <w:w w:val="105"/>
                            <w:sz w:val="16"/>
                          </w:rPr>
                          <w:t xml:space="preserve"> </w:t>
                        </w:r>
                        <w:r>
                          <w:rPr>
                            <w:w w:val="105"/>
                            <w:sz w:val="16"/>
                          </w:rPr>
                          <w:t>cuestiones de</w:t>
                        </w:r>
                        <w:r>
                          <w:rPr>
                            <w:spacing w:val="-10"/>
                            <w:w w:val="105"/>
                            <w:sz w:val="16"/>
                          </w:rPr>
                          <w:t xml:space="preserve"> </w:t>
                        </w:r>
                        <w:r>
                          <w:rPr>
                            <w:w w:val="105"/>
                            <w:sz w:val="16"/>
                          </w:rPr>
                          <w:t>las</w:t>
                        </w:r>
                        <w:r>
                          <w:rPr>
                            <w:spacing w:val="-10"/>
                            <w:w w:val="105"/>
                            <w:sz w:val="16"/>
                          </w:rPr>
                          <w:t xml:space="preserve"> </w:t>
                        </w:r>
                        <w:r>
                          <w:rPr>
                            <w:w w:val="105"/>
                            <w:sz w:val="16"/>
                          </w:rPr>
                          <w:t>minorías</w:t>
                        </w:r>
                        <w:r>
                          <w:rPr>
                            <w:spacing w:val="-10"/>
                            <w:w w:val="105"/>
                            <w:sz w:val="16"/>
                          </w:rPr>
                          <w:t xml:space="preserve"> </w:t>
                        </w:r>
                        <w:r>
                          <w:rPr>
                            <w:w w:val="105"/>
                            <w:sz w:val="16"/>
                          </w:rPr>
                          <w:t>ha</w:t>
                        </w:r>
                        <w:r>
                          <w:rPr>
                            <w:spacing w:val="-10"/>
                            <w:w w:val="105"/>
                            <w:sz w:val="16"/>
                          </w:rPr>
                          <w:t xml:space="preserve"> </w:t>
                        </w:r>
                        <w:r>
                          <w:rPr>
                            <w:w w:val="105"/>
                            <w:sz w:val="16"/>
                          </w:rPr>
                          <w:t>recordado</w:t>
                        </w:r>
                        <w:r>
                          <w:rPr>
                            <w:spacing w:val="-10"/>
                            <w:w w:val="105"/>
                            <w:sz w:val="16"/>
                          </w:rPr>
                          <w:t xml:space="preserve"> </w:t>
                        </w:r>
                        <w:r>
                          <w:rPr>
                            <w:w w:val="105"/>
                            <w:sz w:val="16"/>
                          </w:rPr>
                          <w:t>recientemente</w:t>
                        </w:r>
                        <w:r>
                          <w:rPr>
                            <w:spacing w:val="-10"/>
                            <w:w w:val="105"/>
                            <w:sz w:val="16"/>
                          </w:rPr>
                          <w:t xml:space="preserve"> </w:t>
                        </w:r>
                        <w:r>
                          <w:rPr>
                            <w:w w:val="105"/>
                            <w:sz w:val="16"/>
                          </w:rPr>
                          <w:t>que</w:t>
                        </w:r>
                        <w:r>
                          <w:rPr>
                            <w:spacing w:val="-10"/>
                            <w:w w:val="105"/>
                            <w:sz w:val="16"/>
                          </w:rPr>
                          <w:t xml:space="preserve"> </w:t>
                        </w:r>
                        <w:r>
                          <w:rPr>
                            <w:w w:val="105"/>
                            <w:sz w:val="16"/>
                          </w:rPr>
                          <w:t>las</w:t>
                        </w:r>
                        <w:r>
                          <w:rPr>
                            <w:spacing w:val="-10"/>
                            <w:w w:val="105"/>
                            <w:sz w:val="16"/>
                          </w:rPr>
                          <w:t xml:space="preserve"> </w:t>
                        </w:r>
                        <w:r>
                          <w:rPr>
                            <w:w w:val="105"/>
                            <w:sz w:val="16"/>
                          </w:rPr>
                          <w:t>minorías</w:t>
                        </w:r>
                        <w:r>
                          <w:rPr>
                            <w:spacing w:val="-10"/>
                            <w:w w:val="105"/>
                            <w:sz w:val="16"/>
                          </w:rPr>
                          <w:t xml:space="preserve"> </w:t>
                        </w:r>
                        <w:r>
                          <w:rPr>
                            <w:w w:val="105"/>
                            <w:sz w:val="16"/>
                          </w:rPr>
                          <w:t>lingüísticas</w:t>
                        </w:r>
                        <w:r>
                          <w:rPr>
                            <w:spacing w:val="-11"/>
                            <w:w w:val="105"/>
                            <w:sz w:val="16"/>
                          </w:rPr>
                          <w:t xml:space="preserve"> </w:t>
                        </w:r>
                        <w:r>
                          <w:rPr>
                            <w:w w:val="105"/>
                            <w:sz w:val="16"/>
                          </w:rPr>
                          <w:t>incluyen</w:t>
                        </w:r>
                        <w:r>
                          <w:rPr>
                            <w:spacing w:val="-10"/>
                            <w:w w:val="105"/>
                            <w:sz w:val="16"/>
                          </w:rPr>
                          <w:t xml:space="preserve"> </w:t>
                        </w:r>
                        <w:r>
                          <w:rPr>
                            <w:w w:val="105"/>
                            <w:sz w:val="16"/>
                          </w:rPr>
                          <w:t>a</w:t>
                        </w:r>
                        <w:r>
                          <w:rPr>
                            <w:spacing w:val="-10"/>
                            <w:w w:val="105"/>
                            <w:sz w:val="16"/>
                          </w:rPr>
                          <w:t xml:space="preserve"> </w:t>
                        </w:r>
                        <w:r>
                          <w:rPr>
                            <w:w w:val="105"/>
                            <w:sz w:val="16"/>
                          </w:rPr>
                          <w:t>los</w:t>
                        </w:r>
                        <w:r>
                          <w:rPr>
                            <w:spacing w:val="-10"/>
                            <w:w w:val="105"/>
                            <w:sz w:val="16"/>
                          </w:rPr>
                          <w:t xml:space="preserve"> </w:t>
                        </w:r>
                        <w:r>
                          <w:rPr>
                            <w:w w:val="105"/>
                            <w:sz w:val="16"/>
                          </w:rPr>
                          <w:t>usuarios</w:t>
                        </w:r>
                        <w:r>
                          <w:rPr>
                            <w:spacing w:val="-10"/>
                            <w:w w:val="105"/>
                            <w:sz w:val="16"/>
                          </w:rPr>
                          <w:t xml:space="preserve"> </w:t>
                        </w:r>
                        <w:r>
                          <w:rPr>
                            <w:w w:val="105"/>
                            <w:sz w:val="16"/>
                          </w:rPr>
                          <w:t>de</w:t>
                        </w:r>
                        <w:r>
                          <w:rPr>
                            <w:spacing w:val="-10"/>
                            <w:w w:val="105"/>
                            <w:sz w:val="16"/>
                          </w:rPr>
                          <w:t xml:space="preserve"> </w:t>
                        </w:r>
                        <w:r>
                          <w:rPr>
                            <w:w w:val="105"/>
                            <w:sz w:val="16"/>
                          </w:rPr>
                          <w:t>lenguas</w:t>
                        </w:r>
                        <w:r>
                          <w:rPr>
                            <w:spacing w:val="-10"/>
                            <w:w w:val="105"/>
                            <w:sz w:val="16"/>
                          </w:rPr>
                          <w:t xml:space="preserve"> </w:t>
                        </w:r>
                        <w:r>
                          <w:rPr>
                            <w:w w:val="105"/>
                            <w:sz w:val="16"/>
                          </w:rPr>
                          <w:t>de</w:t>
                        </w:r>
                        <w:r>
                          <w:rPr>
                            <w:spacing w:val="-10"/>
                            <w:w w:val="105"/>
                            <w:sz w:val="16"/>
                          </w:rPr>
                          <w:t xml:space="preserve"> </w:t>
                        </w:r>
                        <w:r>
                          <w:rPr>
                            <w:w w:val="105"/>
                            <w:sz w:val="16"/>
                          </w:rPr>
                          <w:t>señas.882</w:t>
                        </w:r>
                        <w:r>
                          <w:rPr>
                            <w:spacing w:val="-10"/>
                            <w:w w:val="105"/>
                            <w:sz w:val="16"/>
                          </w:rPr>
                          <w:t xml:space="preserve"> </w:t>
                        </w:r>
                        <w:r>
                          <w:rPr>
                            <w:w w:val="105"/>
                            <w:sz w:val="16"/>
                          </w:rPr>
                          <w:t>En otro</w:t>
                        </w:r>
                        <w:r>
                          <w:rPr>
                            <w:spacing w:val="-9"/>
                            <w:w w:val="105"/>
                            <w:sz w:val="16"/>
                          </w:rPr>
                          <w:t xml:space="preserve"> </w:t>
                        </w:r>
                        <w:r>
                          <w:rPr>
                            <w:w w:val="105"/>
                            <w:sz w:val="16"/>
                          </w:rPr>
                          <w:t>frente,</w:t>
                        </w:r>
                        <w:r>
                          <w:rPr>
                            <w:spacing w:val="-9"/>
                            <w:w w:val="105"/>
                            <w:sz w:val="16"/>
                          </w:rPr>
                          <w:t xml:space="preserve"> </w:t>
                        </w:r>
                        <w:r>
                          <w:rPr>
                            <w:w w:val="105"/>
                            <w:sz w:val="16"/>
                          </w:rPr>
                          <w:t>el</w:t>
                        </w:r>
                        <w:r>
                          <w:rPr>
                            <w:spacing w:val="-9"/>
                            <w:w w:val="105"/>
                            <w:sz w:val="16"/>
                          </w:rPr>
                          <w:t xml:space="preserve"> </w:t>
                        </w:r>
                        <w:r>
                          <w:rPr>
                            <w:w w:val="105"/>
                            <w:sz w:val="16"/>
                          </w:rPr>
                          <w:t>Relator</w:t>
                        </w:r>
                        <w:r>
                          <w:rPr>
                            <w:spacing w:val="-9"/>
                            <w:w w:val="105"/>
                            <w:sz w:val="16"/>
                          </w:rPr>
                          <w:t xml:space="preserve"> </w:t>
                        </w:r>
                        <w:r>
                          <w:rPr>
                            <w:w w:val="105"/>
                            <w:sz w:val="16"/>
                          </w:rPr>
                          <w:t>Especial</w:t>
                        </w:r>
                        <w:r>
                          <w:rPr>
                            <w:spacing w:val="-9"/>
                            <w:w w:val="105"/>
                            <w:sz w:val="16"/>
                          </w:rPr>
                          <w:t xml:space="preserve"> </w:t>
                        </w:r>
                        <w:r>
                          <w:rPr>
                            <w:w w:val="105"/>
                            <w:sz w:val="16"/>
                          </w:rPr>
                          <w:t>afirmó</w:t>
                        </w:r>
                        <w:r>
                          <w:rPr>
                            <w:spacing w:val="-9"/>
                            <w:w w:val="105"/>
                            <w:sz w:val="16"/>
                          </w:rPr>
                          <w:t xml:space="preserve"> </w:t>
                        </w:r>
                        <w:r>
                          <w:rPr>
                            <w:w w:val="105"/>
                            <w:sz w:val="16"/>
                          </w:rPr>
                          <w:t>que,</w:t>
                        </w:r>
                        <w:r>
                          <w:rPr>
                            <w:spacing w:val="-9"/>
                            <w:w w:val="105"/>
                            <w:sz w:val="16"/>
                          </w:rPr>
                          <w:t xml:space="preserve"> </w:t>
                        </w:r>
                        <w:r>
                          <w:rPr>
                            <w:w w:val="105"/>
                            <w:sz w:val="16"/>
                          </w:rPr>
                          <w:t>en</w:t>
                        </w:r>
                        <w:r>
                          <w:rPr>
                            <w:spacing w:val="-9"/>
                            <w:w w:val="105"/>
                            <w:sz w:val="16"/>
                          </w:rPr>
                          <w:t xml:space="preserve"> </w:t>
                        </w:r>
                        <w:r>
                          <w:rPr>
                            <w:w w:val="105"/>
                            <w:sz w:val="16"/>
                          </w:rPr>
                          <w:t>lo</w:t>
                        </w:r>
                        <w:r>
                          <w:rPr>
                            <w:spacing w:val="-9"/>
                            <w:w w:val="105"/>
                            <w:sz w:val="16"/>
                          </w:rPr>
                          <w:t xml:space="preserve"> </w:t>
                        </w:r>
                        <w:r>
                          <w:rPr>
                            <w:w w:val="105"/>
                            <w:sz w:val="16"/>
                          </w:rPr>
                          <w:t>que</w:t>
                        </w:r>
                        <w:r>
                          <w:rPr>
                            <w:spacing w:val="-9"/>
                            <w:w w:val="105"/>
                            <w:sz w:val="16"/>
                          </w:rPr>
                          <w:t xml:space="preserve"> </w:t>
                        </w:r>
                        <w:r>
                          <w:rPr>
                            <w:w w:val="105"/>
                            <w:sz w:val="16"/>
                          </w:rPr>
                          <w:t>respecta</w:t>
                        </w:r>
                        <w:r>
                          <w:rPr>
                            <w:spacing w:val="-9"/>
                            <w:w w:val="105"/>
                            <w:sz w:val="16"/>
                          </w:rPr>
                          <w:t xml:space="preserve"> </w:t>
                        </w:r>
                        <w:r>
                          <w:rPr>
                            <w:w w:val="105"/>
                            <w:sz w:val="16"/>
                          </w:rPr>
                          <w:t>a</w:t>
                        </w:r>
                        <w:r>
                          <w:rPr>
                            <w:spacing w:val="-9"/>
                            <w:w w:val="105"/>
                            <w:sz w:val="16"/>
                          </w:rPr>
                          <w:t xml:space="preserve"> </w:t>
                        </w:r>
                        <w:r>
                          <w:rPr>
                            <w:w w:val="105"/>
                            <w:sz w:val="16"/>
                          </w:rPr>
                          <w:t>las</w:t>
                        </w:r>
                        <w:r>
                          <w:rPr>
                            <w:spacing w:val="-9"/>
                            <w:w w:val="105"/>
                            <w:sz w:val="16"/>
                          </w:rPr>
                          <w:t xml:space="preserve"> </w:t>
                        </w:r>
                        <w:r>
                          <w:rPr>
                            <w:w w:val="105"/>
                            <w:sz w:val="16"/>
                          </w:rPr>
                          <w:t>minorías</w:t>
                        </w:r>
                        <w:r>
                          <w:rPr>
                            <w:spacing w:val="-9"/>
                            <w:w w:val="105"/>
                            <w:sz w:val="16"/>
                          </w:rPr>
                          <w:t xml:space="preserve"> </w:t>
                        </w:r>
                        <w:r>
                          <w:rPr>
                            <w:w w:val="105"/>
                            <w:sz w:val="16"/>
                          </w:rPr>
                          <w:t>religiosas</w:t>
                        </w:r>
                        <w:r>
                          <w:rPr>
                            <w:spacing w:val="-9"/>
                            <w:w w:val="105"/>
                            <w:sz w:val="16"/>
                          </w:rPr>
                          <w:t xml:space="preserve"> </w:t>
                        </w:r>
                        <w:r>
                          <w:rPr>
                            <w:w w:val="105"/>
                            <w:sz w:val="16"/>
                          </w:rPr>
                          <w:t>o</w:t>
                        </w:r>
                        <w:r>
                          <w:rPr>
                            <w:spacing w:val="-9"/>
                            <w:w w:val="105"/>
                            <w:sz w:val="16"/>
                          </w:rPr>
                          <w:t xml:space="preserve"> </w:t>
                        </w:r>
                        <w:r>
                          <w:rPr>
                            <w:w w:val="105"/>
                            <w:sz w:val="16"/>
                          </w:rPr>
                          <w:t>de</w:t>
                        </w:r>
                        <w:r>
                          <w:rPr>
                            <w:spacing w:val="-9"/>
                            <w:w w:val="105"/>
                            <w:sz w:val="16"/>
                          </w:rPr>
                          <w:t xml:space="preserve"> </w:t>
                        </w:r>
                        <w:r>
                          <w:rPr>
                            <w:w w:val="105"/>
                            <w:sz w:val="16"/>
                          </w:rPr>
                          <w:t>creencias:</w:t>
                        </w:r>
                        <w:r>
                          <w:rPr>
                            <w:spacing w:val="-8"/>
                            <w:w w:val="105"/>
                            <w:sz w:val="16"/>
                          </w:rPr>
                          <w:t xml:space="preserve"> </w:t>
                        </w:r>
                        <w:r>
                          <w:rPr>
                            <w:w w:val="105"/>
                            <w:sz w:val="16"/>
                          </w:rPr>
                          <w:t>“Esta</w:t>
                        </w:r>
                        <w:r>
                          <w:rPr>
                            <w:spacing w:val="-9"/>
                            <w:w w:val="105"/>
                            <w:sz w:val="16"/>
                          </w:rPr>
                          <w:t xml:space="preserve"> </w:t>
                        </w:r>
                        <w:r>
                          <w:rPr>
                            <w:w w:val="105"/>
                            <w:sz w:val="16"/>
                          </w:rPr>
                          <w:t>categoría</w:t>
                        </w:r>
                        <w:r>
                          <w:rPr>
                            <w:spacing w:val="-9"/>
                            <w:w w:val="105"/>
                            <w:sz w:val="16"/>
                          </w:rPr>
                          <w:t xml:space="preserve"> </w:t>
                        </w:r>
                        <w:r>
                          <w:rPr>
                            <w:w w:val="105"/>
                            <w:sz w:val="16"/>
                          </w:rPr>
                          <w:t>incluye una</w:t>
                        </w:r>
                        <w:r>
                          <w:rPr>
                            <w:spacing w:val="-3"/>
                            <w:w w:val="105"/>
                            <w:sz w:val="16"/>
                          </w:rPr>
                          <w:t xml:space="preserve"> </w:t>
                        </w:r>
                        <w:r>
                          <w:rPr>
                            <w:w w:val="105"/>
                            <w:sz w:val="16"/>
                          </w:rPr>
                          <w:t>amplia</w:t>
                        </w:r>
                        <w:r>
                          <w:rPr>
                            <w:spacing w:val="-3"/>
                            <w:w w:val="105"/>
                            <w:sz w:val="16"/>
                          </w:rPr>
                          <w:t xml:space="preserve"> </w:t>
                        </w:r>
                        <w:r>
                          <w:rPr>
                            <w:w w:val="105"/>
                            <w:sz w:val="16"/>
                          </w:rPr>
                          <w:t>gama</w:t>
                        </w:r>
                        <w:r>
                          <w:rPr>
                            <w:spacing w:val="-3"/>
                            <w:w w:val="105"/>
                            <w:sz w:val="16"/>
                          </w:rPr>
                          <w:t xml:space="preserve"> </w:t>
                        </w:r>
                        <w:r>
                          <w:rPr>
                            <w:w w:val="105"/>
                            <w:sz w:val="16"/>
                          </w:rPr>
                          <w:t>de</w:t>
                        </w:r>
                        <w:r>
                          <w:rPr>
                            <w:spacing w:val="-3"/>
                            <w:w w:val="105"/>
                            <w:sz w:val="16"/>
                          </w:rPr>
                          <w:t xml:space="preserve"> </w:t>
                        </w:r>
                        <w:r>
                          <w:rPr>
                            <w:w w:val="105"/>
                            <w:sz w:val="16"/>
                          </w:rPr>
                          <w:t>personas</w:t>
                        </w:r>
                        <w:r>
                          <w:rPr>
                            <w:spacing w:val="-3"/>
                            <w:w w:val="105"/>
                            <w:sz w:val="16"/>
                          </w:rPr>
                          <w:t xml:space="preserve"> </w:t>
                        </w:r>
                        <w:r>
                          <w:rPr>
                            <w:w w:val="105"/>
                            <w:sz w:val="16"/>
                          </w:rPr>
                          <w:t>religiosas,</w:t>
                        </w:r>
                        <w:r>
                          <w:rPr>
                            <w:spacing w:val="-2"/>
                            <w:w w:val="105"/>
                            <w:sz w:val="16"/>
                          </w:rPr>
                          <w:t xml:space="preserve"> </w:t>
                        </w:r>
                        <w:r>
                          <w:rPr>
                            <w:w w:val="105"/>
                            <w:sz w:val="16"/>
                          </w:rPr>
                          <w:t>no</w:t>
                        </w:r>
                        <w:r>
                          <w:rPr>
                            <w:spacing w:val="-3"/>
                            <w:w w:val="105"/>
                            <w:sz w:val="16"/>
                          </w:rPr>
                          <w:t xml:space="preserve"> </w:t>
                        </w:r>
                        <w:r>
                          <w:rPr>
                            <w:w w:val="105"/>
                            <w:sz w:val="16"/>
                          </w:rPr>
                          <w:t>-creencias</w:t>
                        </w:r>
                        <w:r>
                          <w:rPr>
                            <w:spacing w:val="-3"/>
                            <w:w w:val="105"/>
                            <w:sz w:val="16"/>
                          </w:rPr>
                          <w:t xml:space="preserve"> </w:t>
                        </w:r>
                        <w:r>
                          <w:rPr>
                            <w:w w:val="105"/>
                            <w:sz w:val="16"/>
                          </w:rPr>
                          <w:t>religiosas,</w:t>
                        </w:r>
                        <w:r>
                          <w:rPr>
                            <w:spacing w:val="-2"/>
                            <w:w w:val="105"/>
                            <w:sz w:val="16"/>
                          </w:rPr>
                          <w:t xml:space="preserve"> </w:t>
                        </w:r>
                        <w:r>
                          <w:rPr>
                            <w:w w:val="105"/>
                            <w:sz w:val="16"/>
                          </w:rPr>
                          <w:t>no</w:t>
                        </w:r>
                        <w:r>
                          <w:rPr>
                            <w:spacing w:val="-3"/>
                            <w:w w:val="105"/>
                            <w:sz w:val="16"/>
                          </w:rPr>
                          <w:t xml:space="preserve"> </w:t>
                        </w:r>
                        <w:r>
                          <w:rPr>
                            <w:w w:val="105"/>
                            <w:sz w:val="16"/>
                          </w:rPr>
                          <w:t>teístas</w:t>
                        </w:r>
                        <w:r>
                          <w:rPr>
                            <w:spacing w:val="-4"/>
                            <w:w w:val="105"/>
                            <w:sz w:val="16"/>
                          </w:rPr>
                          <w:t xml:space="preserve"> </w:t>
                        </w:r>
                        <w:r>
                          <w:rPr>
                            <w:w w:val="105"/>
                            <w:sz w:val="16"/>
                          </w:rPr>
                          <w:t>y</w:t>
                        </w:r>
                        <w:r>
                          <w:rPr>
                            <w:spacing w:val="-3"/>
                            <w:w w:val="105"/>
                            <w:sz w:val="16"/>
                          </w:rPr>
                          <w:t xml:space="preserve"> </w:t>
                        </w:r>
                        <w:r>
                          <w:rPr>
                            <w:w w:val="105"/>
                            <w:sz w:val="16"/>
                          </w:rPr>
                          <w:t>de</w:t>
                        </w:r>
                        <w:r>
                          <w:rPr>
                            <w:spacing w:val="-3"/>
                            <w:w w:val="105"/>
                            <w:sz w:val="16"/>
                          </w:rPr>
                          <w:t xml:space="preserve"> </w:t>
                        </w:r>
                        <w:r>
                          <w:rPr>
                            <w:w w:val="105"/>
                            <w:sz w:val="16"/>
                          </w:rPr>
                          <w:t>otro</w:t>
                        </w:r>
                        <w:r>
                          <w:rPr>
                            <w:spacing w:val="-3"/>
                            <w:w w:val="105"/>
                            <w:sz w:val="16"/>
                          </w:rPr>
                          <w:t xml:space="preserve"> </w:t>
                        </w:r>
                        <w:r>
                          <w:rPr>
                            <w:w w:val="105"/>
                            <w:sz w:val="16"/>
                          </w:rPr>
                          <w:t>tipo,</w:t>
                        </w:r>
                        <w:r>
                          <w:rPr>
                            <w:spacing w:val="-3"/>
                            <w:w w:val="105"/>
                            <w:sz w:val="16"/>
                          </w:rPr>
                          <w:t xml:space="preserve"> </w:t>
                        </w:r>
                        <w:r>
                          <w:rPr>
                            <w:w w:val="105"/>
                            <w:sz w:val="16"/>
                          </w:rPr>
                          <w:t>como</w:t>
                        </w:r>
                        <w:r>
                          <w:rPr>
                            <w:spacing w:val="-3"/>
                            <w:w w:val="105"/>
                            <w:sz w:val="16"/>
                          </w:rPr>
                          <w:t xml:space="preserve"> </w:t>
                        </w:r>
                        <w:r>
                          <w:rPr>
                            <w:w w:val="105"/>
                            <w:sz w:val="16"/>
                          </w:rPr>
                          <w:t>religiones</w:t>
                        </w:r>
                        <w:r>
                          <w:rPr>
                            <w:spacing w:val="-3"/>
                            <w:w w:val="105"/>
                            <w:sz w:val="16"/>
                          </w:rPr>
                          <w:t xml:space="preserve"> </w:t>
                        </w:r>
                        <w:r>
                          <w:rPr>
                            <w:w w:val="105"/>
                            <w:sz w:val="16"/>
                          </w:rPr>
                          <w:t>o</w:t>
                        </w:r>
                        <w:r>
                          <w:rPr>
                            <w:spacing w:val="-3"/>
                            <w:w w:val="105"/>
                            <w:sz w:val="16"/>
                          </w:rPr>
                          <w:t xml:space="preserve"> </w:t>
                        </w:r>
                        <w:r>
                          <w:rPr>
                            <w:w w:val="105"/>
                            <w:sz w:val="16"/>
                          </w:rPr>
                          <w:t>creencias</w:t>
                        </w:r>
                        <w:r>
                          <w:rPr>
                            <w:spacing w:val="-3"/>
                            <w:w w:val="105"/>
                            <w:sz w:val="16"/>
                          </w:rPr>
                          <w:t xml:space="preserve"> </w:t>
                        </w:r>
                        <w:r>
                          <w:rPr>
                            <w:w w:val="105"/>
                            <w:sz w:val="16"/>
                          </w:rPr>
                          <w:t>no reconocidas</w:t>
                        </w:r>
                        <w:r>
                          <w:rPr>
                            <w:spacing w:val="-6"/>
                            <w:w w:val="105"/>
                            <w:sz w:val="16"/>
                          </w:rPr>
                          <w:t xml:space="preserve"> </w:t>
                        </w:r>
                        <w:r>
                          <w:rPr>
                            <w:w w:val="105"/>
                            <w:sz w:val="16"/>
                          </w:rPr>
                          <w:t>y</w:t>
                        </w:r>
                        <w:r>
                          <w:rPr>
                            <w:spacing w:val="-6"/>
                            <w:w w:val="105"/>
                            <w:sz w:val="16"/>
                          </w:rPr>
                          <w:t xml:space="preserve"> </w:t>
                        </w:r>
                        <w:r>
                          <w:rPr>
                            <w:w w:val="105"/>
                            <w:sz w:val="16"/>
                          </w:rPr>
                          <w:t>no</w:t>
                        </w:r>
                        <w:r>
                          <w:rPr>
                            <w:spacing w:val="-6"/>
                            <w:w w:val="105"/>
                            <w:sz w:val="16"/>
                          </w:rPr>
                          <w:t xml:space="preserve"> </w:t>
                        </w:r>
                        <w:r>
                          <w:rPr>
                            <w:w w:val="105"/>
                            <w:sz w:val="16"/>
                          </w:rPr>
                          <w:t>tradicionales,</w:t>
                        </w:r>
                        <w:r>
                          <w:rPr>
                            <w:spacing w:val="-5"/>
                            <w:w w:val="105"/>
                            <w:sz w:val="16"/>
                          </w:rPr>
                          <w:t xml:space="preserve"> </w:t>
                        </w:r>
                        <w:r>
                          <w:rPr>
                            <w:w w:val="105"/>
                            <w:sz w:val="16"/>
                          </w:rPr>
                          <w:t>incluidos</w:t>
                        </w:r>
                        <w:r>
                          <w:rPr>
                            <w:spacing w:val="-6"/>
                            <w:w w:val="105"/>
                            <w:sz w:val="16"/>
                          </w:rPr>
                          <w:t xml:space="preserve"> </w:t>
                        </w:r>
                        <w:r>
                          <w:rPr>
                            <w:w w:val="105"/>
                            <w:sz w:val="16"/>
                          </w:rPr>
                          <w:t>animistas,</w:t>
                        </w:r>
                        <w:r>
                          <w:rPr>
                            <w:spacing w:val="-5"/>
                            <w:w w:val="105"/>
                            <w:sz w:val="16"/>
                          </w:rPr>
                          <w:t xml:space="preserve"> </w:t>
                        </w:r>
                        <w:r>
                          <w:rPr>
                            <w:w w:val="105"/>
                            <w:sz w:val="16"/>
                          </w:rPr>
                          <w:t>ateos,</w:t>
                        </w:r>
                        <w:r>
                          <w:rPr>
                            <w:spacing w:val="-6"/>
                            <w:w w:val="105"/>
                            <w:sz w:val="16"/>
                          </w:rPr>
                          <w:t xml:space="preserve"> </w:t>
                        </w:r>
                        <w:r>
                          <w:rPr>
                            <w:w w:val="105"/>
                            <w:sz w:val="16"/>
                          </w:rPr>
                          <w:t>agnósticos,</w:t>
                        </w:r>
                        <w:r>
                          <w:rPr>
                            <w:spacing w:val="-5"/>
                            <w:w w:val="105"/>
                            <w:sz w:val="16"/>
                          </w:rPr>
                          <w:t xml:space="preserve"> </w:t>
                        </w:r>
                        <w:r>
                          <w:rPr>
                            <w:w w:val="105"/>
                            <w:sz w:val="16"/>
                          </w:rPr>
                          <w:t>humanistas,</w:t>
                        </w:r>
                        <w:r>
                          <w:rPr>
                            <w:spacing w:val="-5"/>
                            <w:w w:val="105"/>
                            <w:sz w:val="16"/>
                          </w:rPr>
                          <w:t xml:space="preserve"> </w:t>
                        </w:r>
                        <w:r>
                          <w:rPr>
                            <w:w w:val="105"/>
                            <w:sz w:val="16"/>
                          </w:rPr>
                          <w:t>'nuevas</w:t>
                        </w:r>
                        <w:r>
                          <w:rPr>
                            <w:spacing w:val="-6"/>
                            <w:w w:val="105"/>
                            <w:sz w:val="16"/>
                          </w:rPr>
                          <w:t xml:space="preserve"> </w:t>
                        </w:r>
                        <w:r>
                          <w:rPr>
                            <w:w w:val="105"/>
                            <w:sz w:val="16"/>
                          </w:rPr>
                          <w:t>religiones',</w:t>
                        </w:r>
                        <w:r>
                          <w:rPr>
                            <w:spacing w:val="-5"/>
                            <w:w w:val="105"/>
                            <w:sz w:val="16"/>
                          </w:rPr>
                          <w:t xml:space="preserve"> </w:t>
                        </w:r>
                        <w:r>
                          <w:rPr>
                            <w:w w:val="105"/>
                            <w:sz w:val="16"/>
                          </w:rPr>
                          <w:t>etc.”883</w:t>
                        </w:r>
                        <w:r>
                          <w:rPr>
                            <w:spacing w:val="-6"/>
                            <w:w w:val="105"/>
                            <w:sz w:val="16"/>
                          </w:rPr>
                          <w:t xml:space="preserve"> </w:t>
                        </w:r>
                        <w:r>
                          <w:rPr>
                            <w:w w:val="105"/>
                            <w:sz w:val="16"/>
                          </w:rPr>
                          <w:t>Reflexión sobre</w:t>
                        </w:r>
                        <w:r>
                          <w:rPr>
                            <w:spacing w:val="-5"/>
                            <w:w w:val="105"/>
                            <w:sz w:val="16"/>
                          </w:rPr>
                          <w:t xml:space="preserve"> </w:t>
                        </w:r>
                        <w:r>
                          <w:rPr>
                            <w:w w:val="105"/>
                            <w:sz w:val="16"/>
                          </w:rPr>
                          <w:t>la</w:t>
                        </w:r>
                        <w:r>
                          <w:rPr>
                            <w:spacing w:val="-5"/>
                            <w:w w:val="105"/>
                            <w:sz w:val="16"/>
                          </w:rPr>
                          <w:t xml:space="preserve"> </w:t>
                        </w:r>
                        <w:r>
                          <w:rPr>
                            <w:w w:val="105"/>
                            <w:sz w:val="16"/>
                          </w:rPr>
                          <w:t>interpretación</w:t>
                        </w:r>
                        <w:r>
                          <w:rPr>
                            <w:spacing w:val="-5"/>
                            <w:w w:val="105"/>
                            <w:sz w:val="16"/>
                          </w:rPr>
                          <w:t xml:space="preserve"> </w:t>
                        </w:r>
                        <w:r>
                          <w:rPr>
                            <w:w w:val="105"/>
                            <w:sz w:val="16"/>
                          </w:rPr>
                          <w:t>de</w:t>
                        </w:r>
                        <w:r>
                          <w:rPr>
                            <w:spacing w:val="-5"/>
                            <w:w w:val="105"/>
                            <w:sz w:val="16"/>
                          </w:rPr>
                          <w:t xml:space="preserve"> </w:t>
                        </w:r>
                        <w:r>
                          <w:rPr>
                            <w:w w:val="105"/>
                            <w:sz w:val="16"/>
                          </w:rPr>
                          <w:t>la</w:t>
                        </w:r>
                        <w:r>
                          <w:rPr>
                            <w:spacing w:val="-5"/>
                            <w:w w:val="105"/>
                            <w:sz w:val="16"/>
                          </w:rPr>
                          <w:t xml:space="preserve"> </w:t>
                        </w:r>
                        <w:r>
                          <w:rPr>
                            <w:w w:val="105"/>
                            <w:sz w:val="16"/>
                          </w:rPr>
                          <w:t>definición</w:t>
                        </w:r>
                        <w:r>
                          <w:rPr>
                            <w:spacing w:val="-5"/>
                            <w:w w:val="105"/>
                            <w:sz w:val="16"/>
                          </w:rPr>
                          <w:t xml:space="preserve"> </w:t>
                        </w:r>
                        <w:r>
                          <w:rPr>
                            <w:w w:val="105"/>
                            <w:sz w:val="16"/>
                          </w:rPr>
                          <w:t>de</w:t>
                        </w:r>
                        <w:r>
                          <w:rPr>
                            <w:spacing w:val="-5"/>
                            <w:w w:val="105"/>
                            <w:sz w:val="16"/>
                          </w:rPr>
                          <w:t xml:space="preserve"> </w:t>
                        </w:r>
                        <w:r>
                          <w:rPr>
                            <w:w w:val="105"/>
                            <w:sz w:val="16"/>
                          </w:rPr>
                          <w:t>concepto</w:t>
                        </w:r>
                        <w:r>
                          <w:rPr>
                            <w:spacing w:val="-5"/>
                            <w:w w:val="105"/>
                            <w:sz w:val="16"/>
                          </w:rPr>
                          <w:t xml:space="preserve"> </w:t>
                        </w:r>
                        <w:r>
                          <w:rPr>
                            <w:w w:val="105"/>
                            <w:sz w:val="16"/>
                          </w:rPr>
                          <w:t>basada</w:t>
                        </w:r>
                        <w:r>
                          <w:rPr>
                            <w:spacing w:val="-5"/>
                            <w:w w:val="105"/>
                            <w:sz w:val="16"/>
                          </w:rPr>
                          <w:t xml:space="preserve"> </w:t>
                        </w:r>
                        <w:r>
                          <w:rPr>
                            <w:w w:val="105"/>
                            <w:sz w:val="16"/>
                          </w:rPr>
                          <w:t>en</w:t>
                        </w:r>
                        <w:r>
                          <w:rPr>
                            <w:spacing w:val="-5"/>
                            <w:w w:val="105"/>
                            <w:sz w:val="16"/>
                          </w:rPr>
                          <w:t xml:space="preserve"> </w:t>
                        </w:r>
                        <w:r>
                          <w:rPr>
                            <w:w w:val="105"/>
                            <w:sz w:val="16"/>
                          </w:rPr>
                          <w:t>los</w:t>
                        </w:r>
                        <w:r>
                          <w:rPr>
                            <w:spacing w:val="-5"/>
                            <w:w w:val="105"/>
                            <w:sz w:val="16"/>
                          </w:rPr>
                          <w:t xml:space="preserve"> </w:t>
                        </w:r>
                        <w:r>
                          <w:rPr>
                            <w:w w:val="105"/>
                            <w:sz w:val="16"/>
                          </w:rPr>
                          <w:t>derechos</w:t>
                        </w:r>
                        <w:r>
                          <w:rPr>
                            <w:spacing w:val="-5"/>
                            <w:w w:val="105"/>
                            <w:sz w:val="16"/>
                          </w:rPr>
                          <w:t xml:space="preserve"> </w:t>
                        </w:r>
                        <w:r>
                          <w:rPr>
                            <w:w w:val="105"/>
                            <w:sz w:val="16"/>
                          </w:rPr>
                          <w:t>humanos</w:t>
                        </w:r>
                        <w:r>
                          <w:rPr>
                            <w:spacing w:val="-5"/>
                            <w:w w:val="105"/>
                            <w:sz w:val="16"/>
                          </w:rPr>
                          <w:t xml:space="preserve"> </w:t>
                        </w:r>
                        <w:r>
                          <w:rPr>
                            <w:w w:val="105"/>
                            <w:sz w:val="16"/>
                          </w:rPr>
                          <w:t>minorías</w:t>
                        </w:r>
                        <w:r>
                          <w:rPr>
                            <w:spacing w:val="-5"/>
                            <w:w w:val="105"/>
                            <w:sz w:val="16"/>
                          </w:rPr>
                          <w:t xml:space="preserve"> </w:t>
                        </w:r>
                        <w:r>
                          <w:rPr>
                            <w:w w:val="105"/>
                            <w:sz w:val="16"/>
                          </w:rPr>
                          <w:t>es</w:t>
                        </w:r>
                        <w:r>
                          <w:rPr>
                            <w:spacing w:val="-5"/>
                            <w:w w:val="105"/>
                            <w:sz w:val="16"/>
                          </w:rPr>
                          <w:t xml:space="preserve"> </w:t>
                        </w:r>
                        <w:r>
                          <w:rPr>
                            <w:w w:val="105"/>
                            <w:sz w:val="16"/>
                          </w:rPr>
                          <w:t>particularmente</w:t>
                        </w:r>
                        <w:r>
                          <w:rPr>
                            <w:spacing w:val="-5"/>
                            <w:w w:val="105"/>
                            <w:sz w:val="16"/>
                          </w:rPr>
                          <w:t xml:space="preserve"> </w:t>
                        </w:r>
                        <w:r>
                          <w:rPr>
                            <w:w w:val="105"/>
                            <w:sz w:val="16"/>
                          </w:rPr>
                          <w:t>apropiado en el contexto de no dejar a nadie atrás.884</w:t>
                        </w:r>
                      </w:p>
                    </w:txbxContent>
                  </v:textbox>
                </v:shape>
                <w10:wrap anchorx="page"/>
              </v:group>
            </w:pict>
          </mc:Fallback>
        </mc:AlternateContent>
      </w:r>
      <w:r>
        <w:rPr>
          <w:sz w:val="10"/>
        </w:rPr>
        <w:t>878 “Uno de los principales criterios objetivos</w:t>
      </w:r>
      <w:r>
        <w:rPr>
          <w:spacing w:val="-1"/>
          <w:sz w:val="10"/>
        </w:rPr>
        <w:t xml:space="preserve"> </w:t>
      </w:r>
      <w:r>
        <w:rPr>
          <w:sz w:val="10"/>
        </w:rPr>
        <w:t>para determinar</w:t>
      </w:r>
      <w:r>
        <w:rPr>
          <w:spacing w:val="-1"/>
          <w:sz w:val="10"/>
        </w:rPr>
        <w:t xml:space="preserve"> </w:t>
      </w:r>
      <w:r>
        <w:rPr>
          <w:sz w:val="10"/>
        </w:rPr>
        <w:t>si un grupo es minoritario en un Estado es numérico. Una minoría en el territorio de un Estado significa que no es la mayoría. Objetivamente,</w:t>
      </w:r>
      <w:r>
        <w:rPr>
          <w:spacing w:val="40"/>
          <w:sz w:val="10"/>
        </w:rPr>
        <w:t xml:space="preserve"> </w:t>
      </w:r>
      <w:r>
        <w:rPr>
          <w:sz w:val="10"/>
        </w:rPr>
        <w:t>eso significa que un grupo étnico, religioso o lingüístico constituye menos de la mitad de la población de un país”. Véase Relator Especial sobre cuestiones de las minorías, “Concepto de</w:t>
      </w:r>
    </w:p>
    <w:p w14:paraId="23A32460" w14:textId="77777777" w:rsidR="0014798C" w:rsidRDefault="004E1F0B">
      <w:pPr>
        <w:spacing w:before="1" w:line="374" w:lineRule="auto"/>
        <w:ind w:left="1367" w:right="1272" w:hanging="2"/>
        <w:rPr>
          <w:sz w:val="10"/>
        </w:rPr>
      </w:pPr>
      <w:r>
        <w:rPr>
          <w:sz w:val="10"/>
        </w:rPr>
        <w:t>minoría: definición de mandato”. El Relator Especial ha explicado que este retorno a cuestiones de definición se basa en el fortalecimiento de la protección de los derechos humanos de las minorías: “La</w:t>
      </w:r>
      <w:r>
        <w:rPr>
          <w:spacing w:val="40"/>
          <w:sz w:val="10"/>
        </w:rPr>
        <w:t xml:space="preserve"> </w:t>
      </w:r>
      <w:r>
        <w:rPr>
          <w:sz w:val="10"/>
        </w:rPr>
        <w:t>falta de coherencia en la comprensión de quién es una minoría es un obstáculo recurrente para la realización plena y efectiva de los derechos de las minorías.</w:t>
      </w:r>
    </w:p>
    <w:p w14:paraId="44B73DD5" w14:textId="77777777" w:rsidR="0014798C" w:rsidRDefault="0014798C">
      <w:pPr>
        <w:pStyle w:val="Textoindependiente"/>
        <w:spacing w:before="7"/>
        <w:rPr>
          <w:sz w:val="11"/>
        </w:rPr>
      </w:pPr>
    </w:p>
    <w:p w14:paraId="44CBEEBE" w14:textId="77777777" w:rsidR="0014798C" w:rsidRDefault="004E1F0B">
      <w:pPr>
        <w:spacing w:line="340" w:lineRule="auto"/>
        <w:ind w:left="1366" w:right="1591" w:firstLine="1"/>
        <w:rPr>
          <w:sz w:val="11"/>
        </w:rPr>
      </w:pPr>
      <w:r>
        <w:rPr>
          <w:w w:val="105"/>
          <w:sz w:val="11"/>
        </w:rPr>
        <w:t>Las</w:t>
      </w:r>
      <w:r>
        <w:rPr>
          <w:spacing w:val="-4"/>
          <w:w w:val="105"/>
          <w:sz w:val="11"/>
        </w:rPr>
        <w:t xml:space="preserve"> </w:t>
      </w:r>
      <w:r>
        <w:rPr>
          <w:w w:val="105"/>
          <w:sz w:val="11"/>
        </w:rPr>
        <w:t>distintas</w:t>
      </w:r>
      <w:r>
        <w:rPr>
          <w:spacing w:val="-5"/>
          <w:w w:val="105"/>
          <w:sz w:val="11"/>
        </w:rPr>
        <w:t xml:space="preserve"> </w:t>
      </w:r>
      <w:r>
        <w:rPr>
          <w:w w:val="105"/>
          <w:sz w:val="11"/>
        </w:rPr>
        <w:t>entidades</w:t>
      </w:r>
      <w:r>
        <w:rPr>
          <w:spacing w:val="-5"/>
          <w:w w:val="105"/>
          <w:sz w:val="11"/>
        </w:rPr>
        <w:t xml:space="preserve"> </w:t>
      </w:r>
      <w:r>
        <w:rPr>
          <w:w w:val="105"/>
          <w:sz w:val="11"/>
        </w:rPr>
        <w:t>de</w:t>
      </w:r>
      <w:r>
        <w:rPr>
          <w:spacing w:val="-4"/>
          <w:w w:val="105"/>
          <w:sz w:val="11"/>
        </w:rPr>
        <w:t xml:space="preserve"> </w:t>
      </w:r>
      <w:r>
        <w:rPr>
          <w:w w:val="105"/>
          <w:sz w:val="11"/>
        </w:rPr>
        <w:t>las</w:t>
      </w:r>
      <w:r>
        <w:rPr>
          <w:spacing w:val="-4"/>
          <w:w w:val="105"/>
          <w:sz w:val="11"/>
        </w:rPr>
        <w:t xml:space="preserve"> </w:t>
      </w:r>
      <w:r>
        <w:rPr>
          <w:w w:val="105"/>
          <w:sz w:val="11"/>
        </w:rPr>
        <w:t>Naciones</w:t>
      </w:r>
      <w:r>
        <w:rPr>
          <w:spacing w:val="-4"/>
          <w:w w:val="105"/>
          <w:sz w:val="11"/>
        </w:rPr>
        <w:t xml:space="preserve"> </w:t>
      </w:r>
      <w:r>
        <w:rPr>
          <w:w w:val="105"/>
          <w:sz w:val="11"/>
        </w:rPr>
        <w:t>Unidas</w:t>
      </w:r>
      <w:r>
        <w:rPr>
          <w:spacing w:val="-4"/>
          <w:w w:val="105"/>
          <w:sz w:val="11"/>
        </w:rPr>
        <w:t xml:space="preserve"> </w:t>
      </w:r>
      <w:r>
        <w:rPr>
          <w:w w:val="105"/>
          <w:sz w:val="11"/>
        </w:rPr>
        <w:t>pueden</w:t>
      </w:r>
      <w:r>
        <w:rPr>
          <w:spacing w:val="-4"/>
          <w:w w:val="105"/>
          <w:sz w:val="11"/>
        </w:rPr>
        <w:t xml:space="preserve"> </w:t>
      </w:r>
      <w:r>
        <w:rPr>
          <w:w w:val="105"/>
          <w:sz w:val="11"/>
        </w:rPr>
        <w:t>contradecirse</w:t>
      </w:r>
      <w:r>
        <w:rPr>
          <w:spacing w:val="-4"/>
          <w:w w:val="105"/>
          <w:sz w:val="11"/>
        </w:rPr>
        <w:t xml:space="preserve"> </w:t>
      </w:r>
      <w:r>
        <w:rPr>
          <w:w w:val="105"/>
          <w:sz w:val="11"/>
        </w:rPr>
        <w:t>entre</w:t>
      </w:r>
      <w:r>
        <w:rPr>
          <w:spacing w:val="-4"/>
          <w:w w:val="105"/>
          <w:sz w:val="11"/>
        </w:rPr>
        <w:t xml:space="preserve"> </w:t>
      </w:r>
      <w:r>
        <w:rPr>
          <w:w w:val="105"/>
          <w:sz w:val="11"/>
        </w:rPr>
        <w:t>sí</w:t>
      </w:r>
      <w:r>
        <w:rPr>
          <w:spacing w:val="-4"/>
          <w:w w:val="105"/>
          <w:sz w:val="11"/>
        </w:rPr>
        <w:t xml:space="preserve"> </w:t>
      </w:r>
      <w:r>
        <w:rPr>
          <w:w w:val="105"/>
          <w:sz w:val="11"/>
        </w:rPr>
        <w:t>porque</w:t>
      </w:r>
      <w:r>
        <w:rPr>
          <w:spacing w:val="-4"/>
          <w:w w:val="105"/>
          <w:sz w:val="11"/>
        </w:rPr>
        <w:t xml:space="preserve"> </w:t>
      </w:r>
      <w:r>
        <w:rPr>
          <w:w w:val="105"/>
          <w:sz w:val="11"/>
        </w:rPr>
        <w:t>consideran</w:t>
      </w:r>
      <w:r>
        <w:rPr>
          <w:spacing w:val="-4"/>
          <w:w w:val="105"/>
          <w:sz w:val="11"/>
        </w:rPr>
        <w:t xml:space="preserve"> </w:t>
      </w:r>
      <w:r>
        <w:rPr>
          <w:w w:val="105"/>
          <w:sz w:val="11"/>
        </w:rPr>
        <w:t>que</w:t>
      </w:r>
      <w:r>
        <w:rPr>
          <w:spacing w:val="-4"/>
          <w:w w:val="105"/>
          <w:sz w:val="11"/>
        </w:rPr>
        <w:t xml:space="preserve"> </w:t>
      </w:r>
      <w:r>
        <w:rPr>
          <w:w w:val="105"/>
          <w:sz w:val="11"/>
        </w:rPr>
        <w:t>distintos</w:t>
      </w:r>
      <w:r>
        <w:rPr>
          <w:spacing w:val="-5"/>
          <w:w w:val="105"/>
          <w:sz w:val="11"/>
        </w:rPr>
        <w:t xml:space="preserve"> </w:t>
      </w:r>
      <w:r>
        <w:rPr>
          <w:w w:val="105"/>
          <w:sz w:val="11"/>
        </w:rPr>
        <w:t>grupos</w:t>
      </w:r>
      <w:r>
        <w:rPr>
          <w:spacing w:val="-4"/>
          <w:w w:val="105"/>
          <w:sz w:val="11"/>
        </w:rPr>
        <w:t xml:space="preserve"> </w:t>
      </w:r>
      <w:r>
        <w:rPr>
          <w:w w:val="105"/>
          <w:sz w:val="11"/>
        </w:rPr>
        <w:t>de</w:t>
      </w:r>
      <w:r>
        <w:rPr>
          <w:spacing w:val="-4"/>
          <w:w w:val="105"/>
          <w:sz w:val="11"/>
        </w:rPr>
        <w:t xml:space="preserve"> </w:t>
      </w:r>
      <w:r>
        <w:rPr>
          <w:w w:val="105"/>
          <w:sz w:val="11"/>
        </w:rPr>
        <w:t>personas</w:t>
      </w:r>
      <w:r>
        <w:rPr>
          <w:spacing w:val="-4"/>
          <w:w w:val="105"/>
          <w:sz w:val="11"/>
        </w:rPr>
        <w:t xml:space="preserve"> </w:t>
      </w:r>
      <w:r>
        <w:rPr>
          <w:w w:val="105"/>
          <w:sz w:val="11"/>
        </w:rPr>
        <w:t>constituyen</w:t>
      </w:r>
      <w:r>
        <w:rPr>
          <w:spacing w:val="-4"/>
          <w:w w:val="105"/>
          <w:sz w:val="11"/>
        </w:rPr>
        <w:t xml:space="preserve"> </w:t>
      </w:r>
      <w:r>
        <w:rPr>
          <w:w w:val="105"/>
          <w:sz w:val="11"/>
        </w:rPr>
        <w:t>una</w:t>
      </w:r>
      <w:r>
        <w:rPr>
          <w:spacing w:val="-4"/>
          <w:w w:val="105"/>
          <w:sz w:val="11"/>
        </w:rPr>
        <w:t xml:space="preserve"> </w:t>
      </w:r>
      <w:r>
        <w:rPr>
          <w:w w:val="105"/>
          <w:sz w:val="11"/>
        </w:rPr>
        <w:t>minoría</w:t>
      </w:r>
      <w:r>
        <w:rPr>
          <w:spacing w:val="-4"/>
          <w:w w:val="105"/>
          <w:sz w:val="11"/>
        </w:rPr>
        <w:t xml:space="preserve"> </w:t>
      </w:r>
      <w:r>
        <w:rPr>
          <w:w w:val="105"/>
          <w:sz w:val="11"/>
        </w:rPr>
        <w:t>y</w:t>
      </w:r>
      <w:r>
        <w:rPr>
          <w:spacing w:val="-4"/>
          <w:w w:val="105"/>
          <w:sz w:val="11"/>
        </w:rPr>
        <w:t xml:space="preserve"> </w:t>
      </w:r>
      <w:r>
        <w:rPr>
          <w:w w:val="105"/>
          <w:sz w:val="11"/>
        </w:rPr>
        <w:t>difieren</w:t>
      </w:r>
      <w:r>
        <w:rPr>
          <w:spacing w:val="-4"/>
          <w:w w:val="105"/>
          <w:sz w:val="11"/>
        </w:rPr>
        <w:t xml:space="preserve"> </w:t>
      </w:r>
      <w:r>
        <w:rPr>
          <w:w w:val="105"/>
          <w:sz w:val="11"/>
        </w:rPr>
        <w:t>de</w:t>
      </w:r>
      <w:r>
        <w:rPr>
          <w:spacing w:val="-4"/>
          <w:w w:val="105"/>
          <w:sz w:val="11"/>
        </w:rPr>
        <w:t xml:space="preserve"> </w:t>
      </w:r>
      <w:r>
        <w:rPr>
          <w:w w:val="105"/>
          <w:sz w:val="11"/>
        </w:rPr>
        <w:t>las</w:t>
      </w:r>
      <w:r>
        <w:rPr>
          <w:spacing w:val="40"/>
          <w:w w:val="105"/>
          <w:sz w:val="11"/>
        </w:rPr>
        <w:t xml:space="preserve"> </w:t>
      </w:r>
      <w:r>
        <w:rPr>
          <w:w w:val="105"/>
          <w:sz w:val="11"/>
        </w:rPr>
        <w:t>prácticas</w:t>
      </w:r>
      <w:r>
        <w:rPr>
          <w:spacing w:val="-1"/>
          <w:w w:val="105"/>
          <w:sz w:val="11"/>
        </w:rPr>
        <w:t xml:space="preserve"> </w:t>
      </w:r>
      <w:r>
        <w:rPr>
          <w:w w:val="105"/>
          <w:sz w:val="11"/>
        </w:rPr>
        <w:t>de</w:t>
      </w:r>
      <w:r>
        <w:rPr>
          <w:spacing w:val="-1"/>
          <w:w w:val="105"/>
          <w:sz w:val="11"/>
        </w:rPr>
        <w:t xml:space="preserve"> </w:t>
      </w:r>
      <w:r>
        <w:rPr>
          <w:w w:val="105"/>
          <w:sz w:val="11"/>
        </w:rPr>
        <w:t>sus</w:t>
      </w:r>
      <w:r>
        <w:rPr>
          <w:spacing w:val="-1"/>
          <w:w w:val="105"/>
          <w:sz w:val="11"/>
        </w:rPr>
        <w:t xml:space="preserve"> </w:t>
      </w:r>
      <w:r>
        <w:rPr>
          <w:w w:val="105"/>
          <w:sz w:val="11"/>
        </w:rPr>
        <w:t>colegas</w:t>
      </w:r>
      <w:r>
        <w:rPr>
          <w:spacing w:val="-1"/>
          <w:w w:val="105"/>
          <w:sz w:val="11"/>
        </w:rPr>
        <w:t xml:space="preserve"> </w:t>
      </w:r>
      <w:r>
        <w:rPr>
          <w:w w:val="105"/>
          <w:sz w:val="11"/>
        </w:rPr>
        <w:t>de</w:t>
      </w:r>
      <w:r>
        <w:rPr>
          <w:spacing w:val="-1"/>
          <w:w w:val="105"/>
          <w:sz w:val="11"/>
        </w:rPr>
        <w:t xml:space="preserve"> </w:t>
      </w:r>
      <w:r>
        <w:rPr>
          <w:w w:val="105"/>
          <w:sz w:val="11"/>
        </w:rPr>
        <w:t>otras</w:t>
      </w:r>
      <w:r>
        <w:rPr>
          <w:spacing w:val="-1"/>
          <w:w w:val="105"/>
          <w:sz w:val="11"/>
        </w:rPr>
        <w:t xml:space="preserve"> </w:t>
      </w:r>
      <w:r>
        <w:rPr>
          <w:w w:val="105"/>
          <w:sz w:val="11"/>
        </w:rPr>
        <w:t>entidades.</w:t>
      </w:r>
      <w:r>
        <w:rPr>
          <w:spacing w:val="-1"/>
          <w:w w:val="105"/>
          <w:sz w:val="11"/>
        </w:rPr>
        <w:t xml:space="preserve"> </w:t>
      </w:r>
      <w:r>
        <w:rPr>
          <w:w w:val="105"/>
          <w:sz w:val="11"/>
        </w:rPr>
        <w:t>Los</w:t>
      </w:r>
      <w:r>
        <w:rPr>
          <w:spacing w:val="-1"/>
          <w:w w:val="105"/>
          <w:sz w:val="11"/>
        </w:rPr>
        <w:t xml:space="preserve"> </w:t>
      </w:r>
      <w:r>
        <w:rPr>
          <w:w w:val="105"/>
          <w:sz w:val="11"/>
        </w:rPr>
        <w:t>Estados</w:t>
      </w:r>
      <w:r>
        <w:rPr>
          <w:spacing w:val="-2"/>
          <w:w w:val="105"/>
          <w:sz w:val="11"/>
        </w:rPr>
        <w:t xml:space="preserve"> </w:t>
      </w:r>
      <w:r>
        <w:rPr>
          <w:w w:val="105"/>
          <w:sz w:val="11"/>
        </w:rPr>
        <w:t>Miembros</w:t>
      </w:r>
      <w:r>
        <w:rPr>
          <w:spacing w:val="-1"/>
          <w:w w:val="105"/>
          <w:sz w:val="11"/>
        </w:rPr>
        <w:t xml:space="preserve"> </w:t>
      </w:r>
      <w:r>
        <w:rPr>
          <w:w w:val="105"/>
          <w:sz w:val="11"/>
        </w:rPr>
        <w:t>de</w:t>
      </w:r>
      <w:r>
        <w:rPr>
          <w:spacing w:val="-1"/>
          <w:w w:val="105"/>
          <w:sz w:val="11"/>
        </w:rPr>
        <w:t xml:space="preserve"> </w:t>
      </w:r>
      <w:r>
        <w:rPr>
          <w:w w:val="105"/>
          <w:sz w:val="11"/>
        </w:rPr>
        <w:t>las</w:t>
      </w:r>
      <w:r>
        <w:rPr>
          <w:spacing w:val="-1"/>
          <w:w w:val="105"/>
          <w:sz w:val="11"/>
        </w:rPr>
        <w:t xml:space="preserve"> </w:t>
      </w:r>
      <w:r>
        <w:rPr>
          <w:w w:val="105"/>
          <w:sz w:val="11"/>
        </w:rPr>
        <w:t>Naciones</w:t>
      </w:r>
      <w:r>
        <w:rPr>
          <w:spacing w:val="-1"/>
          <w:w w:val="105"/>
          <w:sz w:val="11"/>
        </w:rPr>
        <w:t xml:space="preserve"> </w:t>
      </w:r>
      <w:r>
        <w:rPr>
          <w:w w:val="105"/>
          <w:sz w:val="11"/>
        </w:rPr>
        <w:t>Unidas</w:t>
      </w:r>
      <w:r>
        <w:rPr>
          <w:spacing w:val="-1"/>
          <w:w w:val="105"/>
          <w:sz w:val="11"/>
        </w:rPr>
        <w:t xml:space="preserve"> </w:t>
      </w:r>
      <w:r>
        <w:rPr>
          <w:w w:val="105"/>
          <w:sz w:val="11"/>
        </w:rPr>
        <w:t>dudan</w:t>
      </w:r>
      <w:r>
        <w:rPr>
          <w:spacing w:val="-1"/>
          <w:w w:val="105"/>
          <w:sz w:val="11"/>
        </w:rPr>
        <w:t xml:space="preserve"> </w:t>
      </w:r>
      <w:r>
        <w:rPr>
          <w:w w:val="105"/>
          <w:sz w:val="11"/>
        </w:rPr>
        <w:t>en</w:t>
      </w:r>
      <w:r>
        <w:rPr>
          <w:spacing w:val="-1"/>
          <w:w w:val="105"/>
          <w:sz w:val="11"/>
        </w:rPr>
        <w:t xml:space="preserve"> </w:t>
      </w:r>
      <w:r>
        <w:rPr>
          <w:w w:val="105"/>
          <w:sz w:val="11"/>
        </w:rPr>
        <w:t>abordar</w:t>
      </w:r>
      <w:r>
        <w:rPr>
          <w:spacing w:val="-1"/>
          <w:w w:val="105"/>
          <w:sz w:val="11"/>
        </w:rPr>
        <w:t xml:space="preserve"> </w:t>
      </w:r>
      <w:r>
        <w:rPr>
          <w:w w:val="105"/>
          <w:sz w:val="11"/>
        </w:rPr>
        <w:t>cuestiones</w:t>
      </w:r>
      <w:r>
        <w:rPr>
          <w:spacing w:val="-1"/>
          <w:w w:val="105"/>
          <w:sz w:val="11"/>
        </w:rPr>
        <w:t xml:space="preserve"> </w:t>
      </w:r>
      <w:r>
        <w:rPr>
          <w:w w:val="105"/>
          <w:sz w:val="11"/>
        </w:rPr>
        <w:t>relacionadas</w:t>
      </w:r>
      <w:r>
        <w:rPr>
          <w:spacing w:val="-1"/>
          <w:w w:val="105"/>
          <w:sz w:val="11"/>
        </w:rPr>
        <w:t xml:space="preserve"> </w:t>
      </w:r>
      <w:r>
        <w:rPr>
          <w:w w:val="105"/>
          <w:sz w:val="11"/>
        </w:rPr>
        <w:t>con</w:t>
      </w:r>
      <w:r>
        <w:rPr>
          <w:spacing w:val="-1"/>
          <w:w w:val="105"/>
          <w:sz w:val="11"/>
        </w:rPr>
        <w:t xml:space="preserve"> </w:t>
      </w:r>
      <w:r>
        <w:rPr>
          <w:w w:val="105"/>
          <w:sz w:val="11"/>
        </w:rPr>
        <w:t>las</w:t>
      </w:r>
      <w:r>
        <w:rPr>
          <w:spacing w:val="-1"/>
          <w:w w:val="105"/>
          <w:sz w:val="11"/>
        </w:rPr>
        <w:t xml:space="preserve"> </w:t>
      </w:r>
      <w:r>
        <w:rPr>
          <w:w w:val="105"/>
          <w:sz w:val="11"/>
        </w:rPr>
        <w:t>minorías</w:t>
      </w:r>
      <w:r>
        <w:rPr>
          <w:spacing w:val="-1"/>
          <w:w w:val="105"/>
          <w:sz w:val="11"/>
        </w:rPr>
        <w:t xml:space="preserve"> </w:t>
      </w:r>
      <w:r>
        <w:rPr>
          <w:w w:val="105"/>
          <w:sz w:val="11"/>
        </w:rPr>
        <w:t>porque</w:t>
      </w:r>
      <w:r>
        <w:rPr>
          <w:spacing w:val="-1"/>
          <w:w w:val="105"/>
          <w:sz w:val="11"/>
        </w:rPr>
        <w:t xml:space="preserve"> </w:t>
      </w:r>
      <w:r>
        <w:rPr>
          <w:w w:val="105"/>
          <w:sz w:val="11"/>
        </w:rPr>
        <w:t>no</w:t>
      </w:r>
      <w:r>
        <w:rPr>
          <w:spacing w:val="-1"/>
          <w:w w:val="105"/>
          <w:sz w:val="11"/>
        </w:rPr>
        <w:t xml:space="preserve"> </w:t>
      </w:r>
      <w:r>
        <w:rPr>
          <w:w w:val="105"/>
          <w:sz w:val="11"/>
        </w:rPr>
        <w:t>saben</w:t>
      </w:r>
      <w:r>
        <w:rPr>
          <w:spacing w:val="40"/>
          <w:w w:val="105"/>
          <w:sz w:val="11"/>
        </w:rPr>
        <w:t xml:space="preserve"> </w:t>
      </w:r>
      <w:r>
        <w:rPr>
          <w:w w:val="105"/>
          <w:sz w:val="11"/>
        </w:rPr>
        <w:t>quién</w:t>
      </w:r>
      <w:r>
        <w:rPr>
          <w:spacing w:val="-4"/>
          <w:w w:val="105"/>
          <w:sz w:val="11"/>
        </w:rPr>
        <w:t xml:space="preserve"> </w:t>
      </w:r>
      <w:r>
        <w:rPr>
          <w:w w:val="105"/>
          <w:sz w:val="11"/>
        </w:rPr>
        <w:t>es</w:t>
      </w:r>
      <w:r>
        <w:rPr>
          <w:spacing w:val="-4"/>
          <w:w w:val="105"/>
          <w:sz w:val="11"/>
        </w:rPr>
        <w:t xml:space="preserve"> </w:t>
      </w:r>
      <w:r>
        <w:rPr>
          <w:w w:val="105"/>
          <w:sz w:val="11"/>
        </w:rPr>
        <w:t>una</w:t>
      </w:r>
      <w:r>
        <w:rPr>
          <w:spacing w:val="-4"/>
          <w:w w:val="105"/>
          <w:sz w:val="11"/>
        </w:rPr>
        <w:t xml:space="preserve"> </w:t>
      </w:r>
      <w:r>
        <w:rPr>
          <w:w w:val="105"/>
          <w:sz w:val="11"/>
        </w:rPr>
        <w:t>minoría</w:t>
      </w:r>
      <w:r>
        <w:rPr>
          <w:spacing w:val="-4"/>
          <w:w w:val="105"/>
          <w:sz w:val="11"/>
        </w:rPr>
        <w:t xml:space="preserve"> </w:t>
      </w:r>
      <w:r>
        <w:rPr>
          <w:w w:val="105"/>
          <w:sz w:val="11"/>
        </w:rPr>
        <w:t>y</w:t>
      </w:r>
      <w:r>
        <w:rPr>
          <w:spacing w:val="-4"/>
          <w:w w:val="105"/>
          <w:sz w:val="11"/>
        </w:rPr>
        <w:t xml:space="preserve"> </w:t>
      </w:r>
      <w:r>
        <w:rPr>
          <w:w w:val="105"/>
          <w:sz w:val="11"/>
        </w:rPr>
        <w:t>qué</w:t>
      </w:r>
      <w:r>
        <w:rPr>
          <w:spacing w:val="-4"/>
          <w:w w:val="105"/>
          <w:sz w:val="11"/>
        </w:rPr>
        <w:t xml:space="preserve"> </w:t>
      </w:r>
      <w:r>
        <w:rPr>
          <w:w w:val="105"/>
          <w:sz w:val="11"/>
        </w:rPr>
        <w:t>implica.</w:t>
      </w:r>
      <w:r>
        <w:rPr>
          <w:spacing w:val="-4"/>
          <w:w w:val="105"/>
          <w:sz w:val="11"/>
        </w:rPr>
        <w:t xml:space="preserve"> </w:t>
      </w:r>
      <w:r>
        <w:rPr>
          <w:w w:val="105"/>
          <w:sz w:val="11"/>
        </w:rPr>
        <w:t>En</w:t>
      </w:r>
      <w:r>
        <w:rPr>
          <w:spacing w:val="-4"/>
          <w:w w:val="105"/>
          <w:sz w:val="11"/>
        </w:rPr>
        <w:t xml:space="preserve"> </w:t>
      </w:r>
      <w:r>
        <w:rPr>
          <w:w w:val="105"/>
          <w:sz w:val="11"/>
        </w:rPr>
        <w:t>algunos</w:t>
      </w:r>
      <w:r>
        <w:rPr>
          <w:spacing w:val="-4"/>
          <w:w w:val="105"/>
          <w:sz w:val="11"/>
        </w:rPr>
        <w:t xml:space="preserve"> </w:t>
      </w:r>
      <w:r>
        <w:rPr>
          <w:w w:val="105"/>
          <w:sz w:val="11"/>
        </w:rPr>
        <w:t>países,</w:t>
      </w:r>
      <w:r>
        <w:rPr>
          <w:spacing w:val="-4"/>
          <w:w w:val="105"/>
          <w:sz w:val="11"/>
        </w:rPr>
        <w:t xml:space="preserve"> </w:t>
      </w:r>
      <w:r>
        <w:rPr>
          <w:w w:val="105"/>
          <w:sz w:val="11"/>
        </w:rPr>
        <w:t>incluso</w:t>
      </w:r>
      <w:r>
        <w:rPr>
          <w:spacing w:val="-4"/>
          <w:w w:val="105"/>
          <w:sz w:val="11"/>
        </w:rPr>
        <w:t xml:space="preserve"> </w:t>
      </w:r>
      <w:r>
        <w:rPr>
          <w:w w:val="105"/>
          <w:sz w:val="11"/>
        </w:rPr>
        <w:t>puede</w:t>
      </w:r>
      <w:r>
        <w:rPr>
          <w:spacing w:val="-4"/>
          <w:w w:val="105"/>
          <w:sz w:val="11"/>
        </w:rPr>
        <w:t xml:space="preserve"> </w:t>
      </w:r>
      <w:r>
        <w:rPr>
          <w:w w:val="105"/>
          <w:sz w:val="11"/>
        </w:rPr>
        <w:t>darse</w:t>
      </w:r>
      <w:r>
        <w:rPr>
          <w:spacing w:val="-4"/>
          <w:w w:val="105"/>
          <w:sz w:val="11"/>
        </w:rPr>
        <w:t xml:space="preserve"> </w:t>
      </w:r>
      <w:r>
        <w:rPr>
          <w:w w:val="105"/>
          <w:sz w:val="11"/>
        </w:rPr>
        <w:t>el</w:t>
      </w:r>
      <w:r>
        <w:rPr>
          <w:spacing w:val="-4"/>
          <w:w w:val="105"/>
          <w:sz w:val="11"/>
        </w:rPr>
        <w:t xml:space="preserve"> </w:t>
      </w:r>
      <w:r>
        <w:rPr>
          <w:w w:val="105"/>
          <w:sz w:val="11"/>
        </w:rPr>
        <w:t>supuesto</w:t>
      </w:r>
      <w:r>
        <w:rPr>
          <w:spacing w:val="-4"/>
          <w:w w:val="105"/>
          <w:sz w:val="11"/>
        </w:rPr>
        <w:t xml:space="preserve"> </w:t>
      </w:r>
      <w:r>
        <w:rPr>
          <w:w w:val="105"/>
          <w:sz w:val="11"/>
        </w:rPr>
        <w:t>de</w:t>
      </w:r>
      <w:r>
        <w:rPr>
          <w:spacing w:val="-4"/>
          <w:w w:val="105"/>
          <w:sz w:val="11"/>
        </w:rPr>
        <w:t xml:space="preserve"> </w:t>
      </w:r>
      <w:r>
        <w:rPr>
          <w:w w:val="105"/>
          <w:sz w:val="11"/>
        </w:rPr>
        <w:t>que</w:t>
      </w:r>
      <w:r>
        <w:rPr>
          <w:spacing w:val="-4"/>
          <w:w w:val="105"/>
          <w:sz w:val="11"/>
        </w:rPr>
        <w:t xml:space="preserve"> </w:t>
      </w:r>
      <w:r>
        <w:rPr>
          <w:w w:val="105"/>
          <w:sz w:val="11"/>
        </w:rPr>
        <w:t>la</w:t>
      </w:r>
      <w:r>
        <w:rPr>
          <w:spacing w:val="-4"/>
          <w:w w:val="105"/>
          <w:sz w:val="11"/>
        </w:rPr>
        <w:t xml:space="preserve"> </w:t>
      </w:r>
      <w:r>
        <w:rPr>
          <w:w w:val="105"/>
          <w:sz w:val="11"/>
        </w:rPr>
        <w:t>ausencia</w:t>
      </w:r>
      <w:r>
        <w:rPr>
          <w:spacing w:val="-4"/>
          <w:w w:val="105"/>
          <w:sz w:val="11"/>
        </w:rPr>
        <w:t xml:space="preserve"> </w:t>
      </w:r>
      <w:r>
        <w:rPr>
          <w:w w:val="105"/>
          <w:sz w:val="11"/>
        </w:rPr>
        <w:t>de</w:t>
      </w:r>
      <w:r>
        <w:rPr>
          <w:spacing w:val="-4"/>
          <w:w w:val="105"/>
          <w:sz w:val="11"/>
        </w:rPr>
        <w:t xml:space="preserve"> </w:t>
      </w:r>
      <w:r>
        <w:rPr>
          <w:w w:val="105"/>
          <w:sz w:val="11"/>
        </w:rPr>
        <w:t>una</w:t>
      </w:r>
      <w:r>
        <w:rPr>
          <w:spacing w:val="-4"/>
          <w:w w:val="105"/>
          <w:sz w:val="11"/>
        </w:rPr>
        <w:t xml:space="preserve"> </w:t>
      </w:r>
      <w:r>
        <w:rPr>
          <w:w w:val="105"/>
          <w:sz w:val="11"/>
        </w:rPr>
        <w:t>"definición"</w:t>
      </w:r>
      <w:r>
        <w:rPr>
          <w:spacing w:val="-4"/>
          <w:w w:val="105"/>
          <w:sz w:val="11"/>
        </w:rPr>
        <w:t xml:space="preserve"> </w:t>
      </w:r>
      <w:r>
        <w:rPr>
          <w:w w:val="105"/>
          <w:sz w:val="11"/>
        </w:rPr>
        <w:t>significa</w:t>
      </w:r>
      <w:r>
        <w:rPr>
          <w:spacing w:val="-4"/>
          <w:w w:val="105"/>
          <w:sz w:val="11"/>
        </w:rPr>
        <w:t xml:space="preserve"> </w:t>
      </w:r>
      <w:r>
        <w:rPr>
          <w:w w:val="105"/>
          <w:sz w:val="11"/>
        </w:rPr>
        <w:t>que</w:t>
      </w:r>
      <w:r>
        <w:rPr>
          <w:spacing w:val="-4"/>
          <w:w w:val="105"/>
          <w:sz w:val="11"/>
        </w:rPr>
        <w:t xml:space="preserve"> </w:t>
      </w:r>
      <w:r>
        <w:rPr>
          <w:w w:val="105"/>
          <w:sz w:val="11"/>
        </w:rPr>
        <w:t>corresponde</w:t>
      </w:r>
      <w:r>
        <w:rPr>
          <w:spacing w:val="-4"/>
          <w:w w:val="105"/>
          <w:sz w:val="11"/>
        </w:rPr>
        <w:t xml:space="preserve"> </w:t>
      </w:r>
      <w:r>
        <w:rPr>
          <w:w w:val="105"/>
          <w:sz w:val="11"/>
        </w:rPr>
        <w:t>a</w:t>
      </w:r>
      <w:r>
        <w:rPr>
          <w:spacing w:val="-4"/>
          <w:w w:val="105"/>
          <w:sz w:val="11"/>
        </w:rPr>
        <w:t xml:space="preserve"> </w:t>
      </w:r>
      <w:r>
        <w:rPr>
          <w:w w:val="105"/>
          <w:sz w:val="11"/>
        </w:rPr>
        <w:t>cada</w:t>
      </w:r>
      <w:r>
        <w:rPr>
          <w:spacing w:val="-4"/>
          <w:w w:val="105"/>
          <w:sz w:val="11"/>
        </w:rPr>
        <w:t xml:space="preserve"> </w:t>
      </w:r>
      <w:r>
        <w:rPr>
          <w:w w:val="105"/>
          <w:sz w:val="11"/>
        </w:rPr>
        <w:t>Estado</w:t>
      </w:r>
      <w:r>
        <w:rPr>
          <w:spacing w:val="40"/>
          <w:w w:val="105"/>
          <w:sz w:val="11"/>
        </w:rPr>
        <w:t xml:space="preserve"> </w:t>
      </w:r>
      <w:r>
        <w:rPr>
          <w:w w:val="105"/>
          <w:sz w:val="11"/>
        </w:rPr>
        <w:t>determinar</w:t>
      </w:r>
      <w:r>
        <w:rPr>
          <w:spacing w:val="-4"/>
          <w:w w:val="105"/>
          <w:sz w:val="11"/>
        </w:rPr>
        <w:t xml:space="preserve"> </w:t>
      </w:r>
      <w:r>
        <w:rPr>
          <w:w w:val="105"/>
          <w:sz w:val="11"/>
        </w:rPr>
        <w:t>libremente</w:t>
      </w:r>
      <w:r>
        <w:rPr>
          <w:spacing w:val="-4"/>
          <w:w w:val="105"/>
          <w:sz w:val="11"/>
        </w:rPr>
        <w:t xml:space="preserve"> </w:t>
      </w:r>
      <w:r>
        <w:rPr>
          <w:w w:val="105"/>
          <w:sz w:val="11"/>
        </w:rPr>
        <w:t>quién</w:t>
      </w:r>
      <w:r>
        <w:rPr>
          <w:spacing w:val="-4"/>
          <w:w w:val="105"/>
          <w:sz w:val="11"/>
        </w:rPr>
        <w:t xml:space="preserve"> </w:t>
      </w:r>
      <w:r>
        <w:rPr>
          <w:w w:val="105"/>
          <w:sz w:val="11"/>
        </w:rPr>
        <w:t>es</w:t>
      </w:r>
      <w:r>
        <w:rPr>
          <w:spacing w:val="-4"/>
          <w:w w:val="105"/>
          <w:sz w:val="11"/>
        </w:rPr>
        <w:t xml:space="preserve"> </w:t>
      </w:r>
      <w:r>
        <w:rPr>
          <w:w w:val="105"/>
          <w:sz w:val="11"/>
        </w:rPr>
        <w:t>o</w:t>
      </w:r>
      <w:r>
        <w:rPr>
          <w:spacing w:val="-4"/>
          <w:w w:val="105"/>
          <w:sz w:val="11"/>
        </w:rPr>
        <w:t xml:space="preserve"> </w:t>
      </w:r>
      <w:r>
        <w:rPr>
          <w:w w:val="105"/>
          <w:sz w:val="11"/>
        </w:rPr>
        <w:t>no</w:t>
      </w:r>
      <w:r>
        <w:rPr>
          <w:spacing w:val="-4"/>
          <w:w w:val="105"/>
          <w:sz w:val="11"/>
        </w:rPr>
        <w:t xml:space="preserve"> </w:t>
      </w:r>
      <w:r>
        <w:rPr>
          <w:w w:val="105"/>
          <w:sz w:val="11"/>
        </w:rPr>
        <w:t>una</w:t>
      </w:r>
      <w:r>
        <w:rPr>
          <w:spacing w:val="-4"/>
          <w:w w:val="105"/>
          <w:sz w:val="11"/>
        </w:rPr>
        <w:t xml:space="preserve"> </w:t>
      </w:r>
      <w:r>
        <w:rPr>
          <w:w w:val="105"/>
          <w:sz w:val="11"/>
        </w:rPr>
        <w:t>minoría.</w:t>
      </w:r>
      <w:r>
        <w:rPr>
          <w:spacing w:val="-4"/>
          <w:w w:val="105"/>
          <w:sz w:val="11"/>
        </w:rPr>
        <w:t xml:space="preserve"> </w:t>
      </w:r>
      <w:r>
        <w:rPr>
          <w:w w:val="105"/>
          <w:sz w:val="11"/>
        </w:rPr>
        <w:t>En</w:t>
      </w:r>
      <w:r>
        <w:rPr>
          <w:spacing w:val="-4"/>
          <w:w w:val="105"/>
          <w:sz w:val="11"/>
        </w:rPr>
        <w:t xml:space="preserve"> </w:t>
      </w:r>
      <w:r>
        <w:rPr>
          <w:w w:val="105"/>
          <w:sz w:val="11"/>
        </w:rPr>
        <w:t>la</w:t>
      </w:r>
      <w:r>
        <w:rPr>
          <w:spacing w:val="-4"/>
          <w:w w:val="105"/>
          <w:sz w:val="11"/>
        </w:rPr>
        <w:t xml:space="preserve"> </w:t>
      </w:r>
      <w:r>
        <w:rPr>
          <w:w w:val="105"/>
          <w:sz w:val="11"/>
        </w:rPr>
        <w:t>mayoría</w:t>
      </w:r>
      <w:r>
        <w:rPr>
          <w:spacing w:val="-4"/>
          <w:w w:val="105"/>
          <w:sz w:val="11"/>
        </w:rPr>
        <w:t xml:space="preserve"> </w:t>
      </w:r>
      <w:r>
        <w:rPr>
          <w:w w:val="105"/>
          <w:sz w:val="11"/>
        </w:rPr>
        <w:t>de</w:t>
      </w:r>
      <w:r>
        <w:rPr>
          <w:spacing w:val="-4"/>
          <w:w w:val="105"/>
          <w:sz w:val="11"/>
        </w:rPr>
        <w:t xml:space="preserve"> </w:t>
      </w:r>
      <w:r>
        <w:rPr>
          <w:w w:val="105"/>
          <w:sz w:val="11"/>
        </w:rPr>
        <w:t>estas</w:t>
      </w:r>
      <w:r>
        <w:rPr>
          <w:spacing w:val="-4"/>
          <w:w w:val="105"/>
          <w:sz w:val="11"/>
        </w:rPr>
        <w:t xml:space="preserve"> </w:t>
      </w:r>
      <w:r>
        <w:rPr>
          <w:w w:val="105"/>
          <w:sz w:val="11"/>
        </w:rPr>
        <w:t>situaciones,</w:t>
      </w:r>
      <w:r>
        <w:rPr>
          <w:spacing w:val="-4"/>
          <w:w w:val="105"/>
          <w:sz w:val="11"/>
        </w:rPr>
        <w:t xml:space="preserve"> </w:t>
      </w:r>
      <w:r>
        <w:rPr>
          <w:w w:val="105"/>
          <w:sz w:val="11"/>
        </w:rPr>
        <w:t>la</w:t>
      </w:r>
      <w:r>
        <w:rPr>
          <w:spacing w:val="-4"/>
          <w:w w:val="105"/>
          <w:sz w:val="11"/>
        </w:rPr>
        <w:t xml:space="preserve"> </w:t>
      </w:r>
      <w:r>
        <w:rPr>
          <w:w w:val="105"/>
          <w:sz w:val="11"/>
        </w:rPr>
        <w:t>incertidumbre</w:t>
      </w:r>
      <w:r>
        <w:rPr>
          <w:spacing w:val="-4"/>
          <w:w w:val="105"/>
          <w:sz w:val="11"/>
        </w:rPr>
        <w:t xml:space="preserve"> </w:t>
      </w:r>
      <w:r>
        <w:rPr>
          <w:w w:val="105"/>
          <w:sz w:val="11"/>
        </w:rPr>
        <w:t>conduce</w:t>
      </w:r>
      <w:r>
        <w:rPr>
          <w:spacing w:val="-4"/>
          <w:w w:val="105"/>
          <w:sz w:val="11"/>
        </w:rPr>
        <w:t xml:space="preserve"> </w:t>
      </w:r>
      <w:r>
        <w:rPr>
          <w:w w:val="105"/>
          <w:sz w:val="11"/>
        </w:rPr>
        <w:t>a</w:t>
      </w:r>
      <w:r>
        <w:rPr>
          <w:spacing w:val="-4"/>
          <w:w w:val="105"/>
          <w:sz w:val="11"/>
        </w:rPr>
        <w:t xml:space="preserve"> </w:t>
      </w:r>
      <w:r>
        <w:rPr>
          <w:w w:val="105"/>
          <w:sz w:val="11"/>
        </w:rPr>
        <w:t>enfoques</w:t>
      </w:r>
      <w:r>
        <w:rPr>
          <w:spacing w:val="-4"/>
          <w:w w:val="105"/>
          <w:sz w:val="11"/>
        </w:rPr>
        <w:t xml:space="preserve"> </w:t>
      </w:r>
      <w:r>
        <w:rPr>
          <w:w w:val="105"/>
          <w:sz w:val="11"/>
        </w:rPr>
        <w:t>restrictivos:</w:t>
      </w:r>
      <w:r>
        <w:rPr>
          <w:spacing w:val="-4"/>
          <w:w w:val="105"/>
          <w:sz w:val="11"/>
        </w:rPr>
        <w:t xml:space="preserve"> </w:t>
      </w:r>
      <w:r>
        <w:rPr>
          <w:w w:val="105"/>
          <w:sz w:val="11"/>
        </w:rPr>
        <w:t>en</w:t>
      </w:r>
      <w:r>
        <w:rPr>
          <w:spacing w:val="-4"/>
          <w:w w:val="105"/>
          <w:sz w:val="11"/>
        </w:rPr>
        <w:t xml:space="preserve"> </w:t>
      </w:r>
      <w:r>
        <w:rPr>
          <w:w w:val="105"/>
          <w:sz w:val="11"/>
        </w:rPr>
        <w:t>muchas</w:t>
      </w:r>
      <w:r>
        <w:rPr>
          <w:spacing w:val="-4"/>
          <w:w w:val="105"/>
          <w:sz w:val="11"/>
        </w:rPr>
        <w:t xml:space="preserve"> </w:t>
      </w:r>
      <w:r>
        <w:rPr>
          <w:w w:val="105"/>
          <w:sz w:val="11"/>
        </w:rPr>
        <w:t>situaciones,</w:t>
      </w:r>
      <w:r>
        <w:rPr>
          <w:spacing w:val="-4"/>
          <w:w w:val="105"/>
          <w:sz w:val="11"/>
        </w:rPr>
        <w:t xml:space="preserve"> </w:t>
      </w:r>
      <w:r>
        <w:rPr>
          <w:w w:val="105"/>
          <w:sz w:val="11"/>
        </w:rPr>
        <w:t>se</w:t>
      </w:r>
      <w:r>
        <w:rPr>
          <w:spacing w:val="40"/>
          <w:w w:val="105"/>
          <w:sz w:val="11"/>
        </w:rPr>
        <w:t xml:space="preserve"> </w:t>
      </w:r>
      <w:r>
        <w:rPr>
          <w:w w:val="105"/>
          <w:sz w:val="11"/>
        </w:rPr>
        <w:t>considera</w:t>
      </w:r>
      <w:r>
        <w:rPr>
          <w:spacing w:val="-4"/>
          <w:w w:val="105"/>
          <w:sz w:val="11"/>
        </w:rPr>
        <w:t xml:space="preserve"> </w:t>
      </w:r>
      <w:r>
        <w:rPr>
          <w:w w:val="105"/>
          <w:sz w:val="11"/>
        </w:rPr>
        <w:t>que</w:t>
      </w:r>
      <w:r>
        <w:rPr>
          <w:spacing w:val="-4"/>
          <w:w w:val="105"/>
          <w:sz w:val="11"/>
        </w:rPr>
        <w:t xml:space="preserve"> </w:t>
      </w:r>
      <w:r>
        <w:rPr>
          <w:w w:val="105"/>
          <w:sz w:val="11"/>
        </w:rPr>
        <w:t>las</w:t>
      </w:r>
      <w:r>
        <w:rPr>
          <w:spacing w:val="-4"/>
          <w:w w:val="105"/>
          <w:sz w:val="11"/>
        </w:rPr>
        <w:t xml:space="preserve"> </w:t>
      </w:r>
      <w:r>
        <w:rPr>
          <w:w w:val="105"/>
          <w:sz w:val="11"/>
        </w:rPr>
        <w:t>personas</w:t>
      </w:r>
      <w:r>
        <w:rPr>
          <w:spacing w:val="-4"/>
          <w:w w:val="105"/>
          <w:sz w:val="11"/>
        </w:rPr>
        <w:t xml:space="preserve"> </w:t>
      </w:r>
      <w:r>
        <w:rPr>
          <w:w w:val="105"/>
          <w:sz w:val="11"/>
        </w:rPr>
        <w:t>son</w:t>
      </w:r>
      <w:r>
        <w:rPr>
          <w:spacing w:val="-4"/>
          <w:w w:val="105"/>
          <w:sz w:val="11"/>
        </w:rPr>
        <w:t xml:space="preserve"> </w:t>
      </w:r>
      <w:r>
        <w:rPr>
          <w:w w:val="105"/>
          <w:sz w:val="11"/>
        </w:rPr>
        <w:t>"</w:t>
      </w:r>
      <w:proofErr w:type="spellStart"/>
      <w:r>
        <w:rPr>
          <w:w w:val="105"/>
          <w:sz w:val="11"/>
        </w:rPr>
        <w:t>inmerecedoras</w:t>
      </w:r>
      <w:proofErr w:type="spellEnd"/>
      <w:r>
        <w:rPr>
          <w:w w:val="105"/>
          <w:sz w:val="11"/>
        </w:rPr>
        <w:t>"</w:t>
      </w:r>
      <w:r>
        <w:rPr>
          <w:spacing w:val="-3"/>
          <w:w w:val="105"/>
          <w:sz w:val="11"/>
        </w:rPr>
        <w:t xml:space="preserve"> </w:t>
      </w:r>
      <w:r>
        <w:rPr>
          <w:w w:val="105"/>
          <w:sz w:val="11"/>
        </w:rPr>
        <w:t>porque</w:t>
      </w:r>
      <w:r>
        <w:rPr>
          <w:spacing w:val="-4"/>
          <w:w w:val="105"/>
          <w:sz w:val="11"/>
        </w:rPr>
        <w:t xml:space="preserve"> </w:t>
      </w:r>
      <w:r>
        <w:rPr>
          <w:w w:val="105"/>
          <w:sz w:val="11"/>
        </w:rPr>
        <w:t>no</w:t>
      </w:r>
      <w:r>
        <w:rPr>
          <w:spacing w:val="-4"/>
          <w:w w:val="105"/>
          <w:sz w:val="11"/>
        </w:rPr>
        <w:t xml:space="preserve"> </w:t>
      </w:r>
      <w:r>
        <w:rPr>
          <w:w w:val="105"/>
          <w:sz w:val="11"/>
        </w:rPr>
        <w:t>son</w:t>
      </w:r>
      <w:r>
        <w:rPr>
          <w:spacing w:val="-4"/>
          <w:w w:val="105"/>
          <w:sz w:val="11"/>
        </w:rPr>
        <w:t xml:space="preserve"> </w:t>
      </w:r>
      <w:r>
        <w:rPr>
          <w:w w:val="105"/>
          <w:sz w:val="11"/>
        </w:rPr>
        <w:t>minorías</w:t>
      </w:r>
      <w:r>
        <w:rPr>
          <w:spacing w:val="-4"/>
          <w:w w:val="105"/>
          <w:sz w:val="11"/>
        </w:rPr>
        <w:t xml:space="preserve"> </w:t>
      </w:r>
      <w:r>
        <w:rPr>
          <w:w w:val="105"/>
          <w:sz w:val="11"/>
        </w:rPr>
        <w:t>"tradicionales",</w:t>
      </w:r>
      <w:r>
        <w:rPr>
          <w:spacing w:val="-3"/>
          <w:w w:val="105"/>
          <w:sz w:val="11"/>
        </w:rPr>
        <w:t xml:space="preserve"> </w:t>
      </w:r>
      <w:r>
        <w:rPr>
          <w:w w:val="105"/>
          <w:sz w:val="11"/>
        </w:rPr>
        <w:t>no</w:t>
      </w:r>
      <w:r>
        <w:rPr>
          <w:spacing w:val="-4"/>
          <w:w w:val="105"/>
          <w:sz w:val="11"/>
        </w:rPr>
        <w:t xml:space="preserve"> </w:t>
      </w:r>
      <w:r>
        <w:rPr>
          <w:w w:val="105"/>
          <w:sz w:val="11"/>
        </w:rPr>
        <w:t>son</w:t>
      </w:r>
      <w:r>
        <w:rPr>
          <w:spacing w:val="-4"/>
          <w:w w:val="105"/>
          <w:sz w:val="11"/>
        </w:rPr>
        <w:t xml:space="preserve"> </w:t>
      </w:r>
      <w:r>
        <w:rPr>
          <w:w w:val="105"/>
          <w:sz w:val="11"/>
        </w:rPr>
        <w:t>ciudadanos</w:t>
      </w:r>
      <w:r>
        <w:rPr>
          <w:spacing w:val="-4"/>
          <w:w w:val="105"/>
          <w:sz w:val="11"/>
        </w:rPr>
        <w:t xml:space="preserve"> </w:t>
      </w:r>
      <w:r>
        <w:rPr>
          <w:w w:val="105"/>
          <w:sz w:val="11"/>
        </w:rPr>
        <w:t>o</w:t>
      </w:r>
      <w:r>
        <w:rPr>
          <w:spacing w:val="-4"/>
          <w:w w:val="105"/>
          <w:sz w:val="11"/>
        </w:rPr>
        <w:t xml:space="preserve"> </w:t>
      </w:r>
      <w:r>
        <w:rPr>
          <w:w w:val="105"/>
          <w:sz w:val="11"/>
        </w:rPr>
        <w:t>no</w:t>
      </w:r>
      <w:r>
        <w:rPr>
          <w:spacing w:val="-4"/>
          <w:w w:val="105"/>
          <w:sz w:val="11"/>
        </w:rPr>
        <w:t xml:space="preserve"> </w:t>
      </w:r>
      <w:r>
        <w:rPr>
          <w:w w:val="105"/>
          <w:sz w:val="11"/>
        </w:rPr>
        <w:t>están</w:t>
      </w:r>
      <w:r>
        <w:rPr>
          <w:spacing w:val="-4"/>
          <w:w w:val="105"/>
          <w:sz w:val="11"/>
        </w:rPr>
        <w:t xml:space="preserve"> </w:t>
      </w:r>
      <w:r>
        <w:rPr>
          <w:w w:val="105"/>
          <w:sz w:val="11"/>
        </w:rPr>
        <w:t>suficientemente</w:t>
      </w:r>
      <w:r>
        <w:rPr>
          <w:spacing w:val="-4"/>
          <w:w w:val="105"/>
          <w:sz w:val="11"/>
        </w:rPr>
        <w:t xml:space="preserve"> </w:t>
      </w:r>
      <w:r>
        <w:rPr>
          <w:w w:val="105"/>
          <w:sz w:val="11"/>
        </w:rPr>
        <w:t>"dominadas".</w:t>
      </w:r>
      <w:r>
        <w:rPr>
          <w:spacing w:val="-4"/>
          <w:w w:val="105"/>
          <w:sz w:val="11"/>
        </w:rPr>
        <w:t xml:space="preserve"> </w:t>
      </w:r>
      <w:r>
        <w:rPr>
          <w:w w:val="105"/>
          <w:sz w:val="11"/>
        </w:rPr>
        <w:t>El</w:t>
      </w:r>
      <w:r>
        <w:rPr>
          <w:spacing w:val="-4"/>
          <w:w w:val="105"/>
          <w:sz w:val="11"/>
        </w:rPr>
        <w:t xml:space="preserve"> </w:t>
      </w:r>
      <w:r>
        <w:rPr>
          <w:w w:val="105"/>
          <w:sz w:val="11"/>
        </w:rPr>
        <w:t>resultado</w:t>
      </w:r>
      <w:r>
        <w:rPr>
          <w:spacing w:val="-4"/>
          <w:w w:val="105"/>
          <w:sz w:val="11"/>
        </w:rPr>
        <w:t xml:space="preserve"> </w:t>
      </w:r>
      <w:r>
        <w:rPr>
          <w:w w:val="105"/>
          <w:sz w:val="11"/>
        </w:rPr>
        <w:t>final</w:t>
      </w:r>
      <w:r>
        <w:rPr>
          <w:spacing w:val="-4"/>
          <w:w w:val="105"/>
          <w:sz w:val="11"/>
        </w:rPr>
        <w:t xml:space="preserve"> </w:t>
      </w:r>
      <w:r>
        <w:rPr>
          <w:w w:val="105"/>
          <w:sz w:val="11"/>
        </w:rPr>
        <w:t>es</w:t>
      </w:r>
      <w:r>
        <w:rPr>
          <w:spacing w:val="40"/>
          <w:w w:val="105"/>
          <w:sz w:val="11"/>
        </w:rPr>
        <w:t xml:space="preserve"> </w:t>
      </w:r>
      <w:r>
        <w:rPr>
          <w:w w:val="105"/>
          <w:sz w:val="11"/>
        </w:rPr>
        <w:t>que</w:t>
      </w:r>
      <w:r>
        <w:rPr>
          <w:spacing w:val="-5"/>
          <w:w w:val="105"/>
          <w:sz w:val="11"/>
        </w:rPr>
        <w:t xml:space="preserve"> </w:t>
      </w:r>
      <w:r>
        <w:rPr>
          <w:w w:val="105"/>
          <w:sz w:val="11"/>
        </w:rPr>
        <w:t>algunas</w:t>
      </w:r>
      <w:r>
        <w:rPr>
          <w:spacing w:val="-5"/>
          <w:w w:val="105"/>
          <w:sz w:val="11"/>
        </w:rPr>
        <w:t xml:space="preserve"> </w:t>
      </w:r>
      <w:r>
        <w:rPr>
          <w:w w:val="105"/>
          <w:sz w:val="11"/>
        </w:rPr>
        <w:t>minorías</w:t>
      </w:r>
      <w:r>
        <w:rPr>
          <w:spacing w:val="-5"/>
          <w:w w:val="105"/>
          <w:sz w:val="11"/>
        </w:rPr>
        <w:t xml:space="preserve"> </w:t>
      </w:r>
      <w:r>
        <w:rPr>
          <w:w w:val="105"/>
          <w:sz w:val="11"/>
        </w:rPr>
        <w:t>quedan</w:t>
      </w:r>
      <w:r>
        <w:rPr>
          <w:spacing w:val="-5"/>
          <w:w w:val="105"/>
          <w:sz w:val="11"/>
        </w:rPr>
        <w:t xml:space="preserve"> </w:t>
      </w:r>
      <w:r>
        <w:rPr>
          <w:w w:val="105"/>
          <w:sz w:val="11"/>
        </w:rPr>
        <w:t>excluidas</w:t>
      </w:r>
      <w:r>
        <w:rPr>
          <w:spacing w:val="-5"/>
          <w:w w:val="105"/>
          <w:sz w:val="11"/>
        </w:rPr>
        <w:t xml:space="preserve"> </w:t>
      </w:r>
      <w:r>
        <w:rPr>
          <w:w w:val="105"/>
          <w:sz w:val="11"/>
        </w:rPr>
        <w:t>porque</w:t>
      </w:r>
      <w:r>
        <w:rPr>
          <w:spacing w:val="-5"/>
          <w:w w:val="105"/>
          <w:sz w:val="11"/>
        </w:rPr>
        <w:t xml:space="preserve"> </w:t>
      </w:r>
      <w:r>
        <w:rPr>
          <w:w w:val="105"/>
          <w:sz w:val="11"/>
        </w:rPr>
        <w:t>no</w:t>
      </w:r>
      <w:r>
        <w:rPr>
          <w:spacing w:val="-5"/>
          <w:w w:val="105"/>
          <w:sz w:val="11"/>
        </w:rPr>
        <w:t xml:space="preserve"> </w:t>
      </w:r>
      <w:r>
        <w:rPr>
          <w:w w:val="105"/>
          <w:sz w:val="11"/>
        </w:rPr>
        <w:t>son</w:t>
      </w:r>
      <w:r>
        <w:rPr>
          <w:spacing w:val="-5"/>
          <w:w w:val="105"/>
          <w:sz w:val="11"/>
        </w:rPr>
        <w:t xml:space="preserve"> </w:t>
      </w:r>
      <w:r>
        <w:rPr>
          <w:w w:val="105"/>
          <w:sz w:val="11"/>
        </w:rPr>
        <w:t>el</w:t>
      </w:r>
      <w:r>
        <w:rPr>
          <w:spacing w:val="-5"/>
          <w:w w:val="105"/>
          <w:sz w:val="11"/>
        </w:rPr>
        <w:t xml:space="preserve"> </w:t>
      </w:r>
      <w:r>
        <w:rPr>
          <w:w w:val="105"/>
          <w:sz w:val="11"/>
        </w:rPr>
        <w:t>"tipo</w:t>
      </w:r>
      <w:r>
        <w:rPr>
          <w:spacing w:val="-5"/>
          <w:w w:val="105"/>
          <w:sz w:val="11"/>
        </w:rPr>
        <w:t xml:space="preserve"> </w:t>
      </w:r>
      <w:r>
        <w:rPr>
          <w:w w:val="105"/>
          <w:sz w:val="11"/>
        </w:rPr>
        <w:t>correcto"</w:t>
      </w:r>
      <w:r>
        <w:rPr>
          <w:spacing w:val="-5"/>
          <w:w w:val="105"/>
          <w:sz w:val="11"/>
        </w:rPr>
        <w:t xml:space="preserve"> </w:t>
      </w:r>
      <w:r>
        <w:rPr>
          <w:w w:val="105"/>
          <w:sz w:val="11"/>
        </w:rPr>
        <w:t>de</w:t>
      </w:r>
      <w:r>
        <w:rPr>
          <w:spacing w:val="-5"/>
          <w:w w:val="105"/>
          <w:sz w:val="11"/>
        </w:rPr>
        <w:t xml:space="preserve"> </w:t>
      </w:r>
      <w:r>
        <w:rPr>
          <w:w w:val="105"/>
          <w:sz w:val="11"/>
        </w:rPr>
        <w:t>minoría</w:t>
      </w:r>
      <w:r>
        <w:rPr>
          <w:spacing w:val="-5"/>
          <w:w w:val="105"/>
          <w:sz w:val="11"/>
        </w:rPr>
        <w:t xml:space="preserve"> </w:t>
      </w:r>
      <w:r>
        <w:rPr>
          <w:w w:val="105"/>
          <w:sz w:val="11"/>
        </w:rPr>
        <w:t>según</w:t>
      </w:r>
      <w:r>
        <w:rPr>
          <w:spacing w:val="-5"/>
          <w:w w:val="105"/>
          <w:sz w:val="11"/>
        </w:rPr>
        <w:t xml:space="preserve"> </w:t>
      </w:r>
      <w:r>
        <w:rPr>
          <w:w w:val="105"/>
          <w:sz w:val="11"/>
        </w:rPr>
        <w:t>los</w:t>
      </w:r>
      <w:r>
        <w:rPr>
          <w:spacing w:val="-5"/>
          <w:w w:val="105"/>
          <w:sz w:val="11"/>
        </w:rPr>
        <w:t xml:space="preserve"> </w:t>
      </w:r>
      <w:r>
        <w:rPr>
          <w:w w:val="105"/>
          <w:sz w:val="11"/>
        </w:rPr>
        <w:t>diferentes</w:t>
      </w:r>
      <w:r>
        <w:rPr>
          <w:spacing w:val="-6"/>
          <w:w w:val="105"/>
          <w:sz w:val="11"/>
        </w:rPr>
        <w:t xml:space="preserve"> </w:t>
      </w:r>
      <w:r>
        <w:rPr>
          <w:w w:val="105"/>
          <w:sz w:val="11"/>
        </w:rPr>
        <w:t>partidos.</w:t>
      </w:r>
      <w:r>
        <w:rPr>
          <w:spacing w:val="-5"/>
          <w:w w:val="105"/>
          <w:sz w:val="11"/>
        </w:rPr>
        <w:t xml:space="preserve"> </w:t>
      </w:r>
      <w:r>
        <w:rPr>
          <w:w w:val="105"/>
          <w:sz w:val="11"/>
        </w:rPr>
        <w:t>…</w:t>
      </w:r>
      <w:r>
        <w:rPr>
          <w:spacing w:val="-5"/>
          <w:w w:val="105"/>
          <w:sz w:val="11"/>
        </w:rPr>
        <w:t xml:space="preserve"> </w:t>
      </w:r>
      <w:r>
        <w:rPr>
          <w:w w:val="105"/>
          <w:sz w:val="11"/>
        </w:rPr>
        <w:t>En</w:t>
      </w:r>
      <w:r>
        <w:rPr>
          <w:spacing w:val="-5"/>
          <w:w w:val="105"/>
          <w:sz w:val="11"/>
        </w:rPr>
        <w:t xml:space="preserve"> </w:t>
      </w:r>
      <w:r>
        <w:rPr>
          <w:w w:val="105"/>
          <w:sz w:val="11"/>
        </w:rPr>
        <w:t>lugar</w:t>
      </w:r>
      <w:r>
        <w:rPr>
          <w:spacing w:val="-5"/>
          <w:w w:val="105"/>
          <w:sz w:val="11"/>
        </w:rPr>
        <w:t xml:space="preserve"> </w:t>
      </w:r>
      <w:r>
        <w:rPr>
          <w:w w:val="105"/>
          <w:sz w:val="11"/>
        </w:rPr>
        <w:t>de</w:t>
      </w:r>
      <w:r>
        <w:rPr>
          <w:spacing w:val="-5"/>
          <w:w w:val="105"/>
          <w:sz w:val="11"/>
        </w:rPr>
        <w:t xml:space="preserve"> </w:t>
      </w:r>
      <w:r>
        <w:rPr>
          <w:w w:val="105"/>
          <w:sz w:val="11"/>
        </w:rPr>
        <w:t>brindar</w:t>
      </w:r>
      <w:r>
        <w:rPr>
          <w:spacing w:val="-5"/>
          <w:w w:val="105"/>
          <w:sz w:val="11"/>
        </w:rPr>
        <w:t xml:space="preserve"> </w:t>
      </w:r>
      <w:r>
        <w:rPr>
          <w:w w:val="105"/>
          <w:sz w:val="11"/>
        </w:rPr>
        <w:t>flexibilidad,</w:t>
      </w:r>
      <w:r>
        <w:rPr>
          <w:spacing w:val="-5"/>
          <w:w w:val="105"/>
          <w:sz w:val="11"/>
        </w:rPr>
        <w:t xml:space="preserve"> </w:t>
      </w:r>
      <w:r>
        <w:rPr>
          <w:w w:val="105"/>
          <w:sz w:val="11"/>
        </w:rPr>
        <w:t>apertura</w:t>
      </w:r>
      <w:r>
        <w:rPr>
          <w:spacing w:val="-5"/>
          <w:w w:val="105"/>
          <w:sz w:val="11"/>
        </w:rPr>
        <w:t xml:space="preserve"> </w:t>
      </w:r>
      <w:r>
        <w:rPr>
          <w:w w:val="105"/>
          <w:sz w:val="11"/>
        </w:rPr>
        <w:t>y</w:t>
      </w:r>
      <w:r>
        <w:rPr>
          <w:spacing w:val="-5"/>
          <w:w w:val="105"/>
          <w:sz w:val="11"/>
        </w:rPr>
        <w:t xml:space="preserve"> </w:t>
      </w:r>
      <w:r>
        <w:rPr>
          <w:w w:val="105"/>
          <w:sz w:val="11"/>
        </w:rPr>
        <w:t>la</w:t>
      </w:r>
      <w:r>
        <w:rPr>
          <w:spacing w:val="-5"/>
          <w:w w:val="105"/>
          <w:sz w:val="11"/>
        </w:rPr>
        <w:t xml:space="preserve"> </w:t>
      </w:r>
      <w:r>
        <w:rPr>
          <w:w w:val="105"/>
          <w:sz w:val="11"/>
        </w:rPr>
        <w:t>posibilidad</w:t>
      </w:r>
      <w:r>
        <w:rPr>
          <w:spacing w:val="40"/>
          <w:w w:val="105"/>
          <w:sz w:val="11"/>
        </w:rPr>
        <w:t xml:space="preserve"> </w:t>
      </w:r>
      <w:r>
        <w:rPr>
          <w:w w:val="105"/>
          <w:sz w:val="11"/>
        </w:rPr>
        <w:t>de</w:t>
      </w:r>
      <w:r>
        <w:rPr>
          <w:spacing w:val="-3"/>
          <w:w w:val="105"/>
          <w:sz w:val="11"/>
        </w:rPr>
        <w:t xml:space="preserve"> </w:t>
      </w:r>
      <w:r>
        <w:rPr>
          <w:w w:val="105"/>
          <w:sz w:val="11"/>
        </w:rPr>
        <w:t>progreso,</w:t>
      </w:r>
      <w:r>
        <w:rPr>
          <w:spacing w:val="-3"/>
          <w:w w:val="105"/>
          <w:sz w:val="11"/>
        </w:rPr>
        <w:t xml:space="preserve"> </w:t>
      </w:r>
      <w:r>
        <w:rPr>
          <w:w w:val="105"/>
          <w:sz w:val="11"/>
        </w:rPr>
        <w:t>la</w:t>
      </w:r>
      <w:r>
        <w:rPr>
          <w:spacing w:val="-3"/>
          <w:w w:val="105"/>
          <w:sz w:val="11"/>
        </w:rPr>
        <w:t xml:space="preserve"> </w:t>
      </w:r>
      <w:r>
        <w:rPr>
          <w:w w:val="105"/>
          <w:sz w:val="11"/>
        </w:rPr>
        <w:t>ausencia</w:t>
      </w:r>
      <w:r>
        <w:rPr>
          <w:spacing w:val="-3"/>
          <w:w w:val="105"/>
          <w:sz w:val="11"/>
        </w:rPr>
        <w:t xml:space="preserve"> </w:t>
      </w:r>
      <w:r>
        <w:rPr>
          <w:w w:val="105"/>
          <w:sz w:val="11"/>
        </w:rPr>
        <w:t>de</w:t>
      </w:r>
      <w:r>
        <w:rPr>
          <w:spacing w:val="-3"/>
          <w:w w:val="105"/>
          <w:sz w:val="11"/>
        </w:rPr>
        <w:t xml:space="preserve"> </w:t>
      </w:r>
      <w:r>
        <w:rPr>
          <w:w w:val="105"/>
          <w:sz w:val="11"/>
        </w:rPr>
        <w:t>puntos</w:t>
      </w:r>
      <w:r>
        <w:rPr>
          <w:spacing w:val="-3"/>
          <w:w w:val="105"/>
          <w:sz w:val="11"/>
        </w:rPr>
        <w:t xml:space="preserve"> </w:t>
      </w:r>
      <w:r>
        <w:rPr>
          <w:w w:val="105"/>
          <w:sz w:val="11"/>
        </w:rPr>
        <w:t>de</w:t>
      </w:r>
      <w:r>
        <w:rPr>
          <w:spacing w:val="-3"/>
          <w:w w:val="105"/>
          <w:sz w:val="11"/>
        </w:rPr>
        <w:t xml:space="preserve"> </w:t>
      </w:r>
      <w:r>
        <w:rPr>
          <w:w w:val="105"/>
          <w:sz w:val="11"/>
        </w:rPr>
        <w:t>referencia</w:t>
      </w:r>
      <w:r>
        <w:rPr>
          <w:spacing w:val="-3"/>
          <w:w w:val="105"/>
          <w:sz w:val="11"/>
        </w:rPr>
        <w:t xml:space="preserve"> </w:t>
      </w:r>
      <w:r>
        <w:rPr>
          <w:w w:val="105"/>
          <w:sz w:val="11"/>
        </w:rPr>
        <w:t>comunes</w:t>
      </w:r>
      <w:r>
        <w:rPr>
          <w:spacing w:val="-3"/>
          <w:w w:val="105"/>
          <w:sz w:val="11"/>
        </w:rPr>
        <w:t xml:space="preserve"> </w:t>
      </w:r>
      <w:r>
        <w:rPr>
          <w:w w:val="105"/>
          <w:sz w:val="11"/>
        </w:rPr>
        <w:t>sobre</w:t>
      </w:r>
      <w:r>
        <w:rPr>
          <w:spacing w:val="-3"/>
          <w:w w:val="105"/>
          <w:sz w:val="11"/>
        </w:rPr>
        <w:t xml:space="preserve"> </w:t>
      </w:r>
      <w:r>
        <w:rPr>
          <w:w w:val="105"/>
          <w:sz w:val="11"/>
        </w:rPr>
        <w:t>lo</w:t>
      </w:r>
      <w:r>
        <w:rPr>
          <w:spacing w:val="-3"/>
          <w:w w:val="105"/>
          <w:sz w:val="11"/>
        </w:rPr>
        <w:t xml:space="preserve"> </w:t>
      </w:r>
      <w:r>
        <w:rPr>
          <w:w w:val="105"/>
          <w:sz w:val="11"/>
        </w:rPr>
        <w:t>que</w:t>
      </w:r>
      <w:r>
        <w:rPr>
          <w:spacing w:val="-3"/>
          <w:w w:val="105"/>
          <w:sz w:val="11"/>
        </w:rPr>
        <w:t xml:space="preserve"> </w:t>
      </w:r>
      <w:r>
        <w:rPr>
          <w:w w:val="105"/>
          <w:sz w:val="11"/>
        </w:rPr>
        <w:t>constituye</w:t>
      </w:r>
      <w:r>
        <w:rPr>
          <w:spacing w:val="-3"/>
          <w:w w:val="105"/>
          <w:sz w:val="11"/>
        </w:rPr>
        <w:t xml:space="preserve"> </w:t>
      </w:r>
      <w:r>
        <w:rPr>
          <w:w w:val="105"/>
          <w:sz w:val="11"/>
        </w:rPr>
        <w:t>una</w:t>
      </w:r>
      <w:r>
        <w:rPr>
          <w:spacing w:val="-3"/>
          <w:w w:val="105"/>
          <w:sz w:val="11"/>
        </w:rPr>
        <w:t xml:space="preserve"> </w:t>
      </w:r>
      <w:r>
        <w:rPr>
          <w:w w:val="105"/>
          <w:sz w:val="11"/>
        </w:rPr>
        <w:t>minoría</w:t>
      </w:r>
      <w:r>
        <w:rPr>
          <w:spacing w:val="-3"/>
          <w:w w:val="105"/>
          <w:sz w:val="11"/>
        </w:rPr>
        <w:t xml:space="preserve"> </w:t>
      </w:r>
      <w:r>
        <w:rPr>
          <w:w w:val="105"/>
          <w:sz w:val="11"/>
        </w:rPr>
        <w:t>ha</w:t>
      </w:r>
      <w:r>
        <w:rPr>
          <w:spacing w:val="-3"/>
          <w:w w:val="105"/>
          <w:sz w:val="11"/>
        </w:rPr>
        <w:t xml:space="preserve"> </w:t>
      </w:r>
      <w:r>
        <w:rPr>
          <w:w w:val="105"/>
          <w:sz w:val="11"/>
        </w:rPr>
        <w:t>llevado</w:t>
      </w:r>
      <w:r>
        <w:rPr>
          <w:spacing w:val="-3"/>
          <w:w w:val="105"/>
          <w:sz w:val="11"/>
        </w:rPr>
        <w:t xml:space="preserve"> </w:t>
      </w:r>
      <w:r>
        <w:rPr>
          <w:w w:val="105"/>
          <w:sz w:val="11"/>
        </w:rPr>
        <w:t>a</w:t>
      </w:r>
      <w:r>
        <w:rPr>
          <w:spacing w:val="-3"/>
          <w:w w:val="105"/>
          <w:sz w:val="11"/>
        </w:rPr>
        <w:t xml:space="preserve"> </w:t>
      </w:r>
      <w:r>
        <w:rPr>
          <w:w w:val="105"/>
          <w:sz w:val="11"/>
        </w:rPr>
        <w:t>una</w:t>
      </w:r>
      <w:r>
        <w:rPr>
          <w:spacing w:val="-3"/>
          <w:w w:val="105"/>
          <w:sz w:val="11"/>
        </w:rPr>
        <w:t xml:space="preserve"> </w:t>
      </w:r>
      <w:r>
        <w:rPr>
          <w:w w:val="105"/>
          <w:sz w:val="11"/>
        </w:rPr>
        <w:t>restricción</w:t>
      </w:r>
      <w:r>
        <w:rPr>
          <w:spacing w:val="-3"/>
          <w:w w:val="105"/>
          <w:sz w:val="11"/>
        </w:rPr>
        <w:t xml:space="preserve"> </w:t>
      </w:r>
      <w:r>
        <w:rPr>
          <w:w w:val="105"/>
          <w:sz w:val="11"/>
        </w:rPr>
        <w:t>de</w:t>
      </w:r>
      <w:r>
        <w:rPr>
          <w:spacing w:val="-3"/>
          <w:w w:val="105"/>
          <w:sz w:val="11"/>
        </w:rPr>
        <w:t xml:space="preserve"> </w:t>
      </w:r>
      <w:r>
        <w:rPr>
          <w:w w:val="105"/>
          <w:sz w:val="11"/>
        </w:rPr>
        <w:t>quién</w:t>
      </w:r>
      <w:r>
        <w:rPr>
          <w:spacing w:val="-3"/>
          <w:w w:val="105"/>
          <w:sz w:val="11"/>
        </w:rPr>
        <w:t xml:space="preserve"> </w:t>
      </w:r>
      <w:r>
        <w:rPr>
          <w:w w:val="105"/>
          <w:sz w:val="11"/>
        </w:rPr>
        <w:t>puede</w:t>
      </w:r>
      <w:r>
        <w:rPr>
          <w:spacing w:val="-3"/>
          <w:w w:val="105"/>
          <w:sz w:val="11"/>
        </w:rPr>
        <w:t xml:space="preserve"> </w:t>
      </w:r>
      <w:r>
        <w:rPr>
          <w:w w:val="105"/>
          <w:sz w:val="11"/>
        </w:rPr>
        <w:t>reclamar</w:t>
      </w:r>
      <w:r>
        <w:rPr>
          <w:spacing w:val="-3"/>
          <w:w w:val="105"/>
          <w:sz w:val="11"/>
        </w:rPr>
        <w:t xml:space="preserve"> </w:t>
      </w:r>
      <w:r>
        <w:rPr>
          <w:w w:val="105"/>
          <w:sz w:val="11"/>
        </w:rPr>
        <w:t>la</w:t>
      </w:r>
      <w:r>
        <w:rPr>
          <w:spacing w:val="-3"/>
          <w:w w:val="105"/>
          <w:sz w:val="11"/>
        </w:rPr>
        <w:t xml:space="preserve"> </w:t>
      </w:r>
      <w:r>
        <w:rPr>
          <w:w w:val="105"/>
          <w:sz w:val="11"/>
        </w:rPr>
        <w:t>protección</w:t>
      </w:r>
      <w:r>
        <w:rPr>
          <w:spacing w:val="-3"/>
          <w:w w:val="105"/>
          <w:sz w:val="11"/>
        </w:rPr>
        <w:t xml:space="preserve"> </w:t>
      </w:r>
      <w:r>
        <w:rPr>
          <w:w w:val="105"/>
          <w:sz w:val="11"/>
        </w:rPr>
        <w:t>de</w:t>
      </w:r>
      <w:r>
        <w:rPr>
          <w:spacing w:val="-3"/>
          <w:w w:val="105"/>
          <w:sz w:val="11"/>
        </w:rPr>
        <w:t xml:space="preserve"> </w:t>
      </w:r>
      <w:r>
        <w:rPr>
          <w:w w:val="105"/>
          <w:sz w:val="11"/>
        </w:rPr>
        <w:t>las</w:t>
      </w:r>
      <w:r>
        <w:rPr>
          <w:spacing w:val="40"/>
          <w:w w:val="105"/>
          <w:sz w:val="11"/>
        </w:rPr>
        <w:t xml:space="preserve"> </w:t>
      </w:r>
      <w:r>
        <w:rPr>
          <w:spacing w:val="-2"/>
          <w:w w:val="105"/>
          <w:sz w:val="11"/>
        </w:rPr>
        <w:t>minorías”.</w:t>
      </w:r>
    </w:p>
    <w:p w14:paraId="5E92CB1C" w14:textId="77777777" w:rsidR="0014798C" w:rsidRDefault="004E1F0B">
      <w:pPr>
        <w:spacing w:before="1"/>
        <w:ind w:left="1370"/>
        <w:rPr>
          <w:sz w:val="11"/>
        </w:rPr>
      </w:pPr>
      <w:r>
        <w:rPr>
          <w:spacing w:val="-2"/>
          <w:w w:val="105"/>
          <w:sz w:val="11"/>
        </w:rPr>
        <w:t>Véase</w:t>
      </w:r>
      <w:r>
        <w:rPr>
          <w:spacing w:val="3"/>
          <w:w w:val="105"/>
          <w:sz w:val="11"/>
        </w:rPr>
        <w:t xml:space="preserve"> </w:t>
      </w:r>
      <w:r>
        <w:rPr>
          <w:spacing w:val="-2"/>
          <w:w w:val="105"/>
          <w:sz w:val="11"/>
        </w:rPr>
        <w:t>A/74/160,</w:t>
      </w:r>
      <w:r>
        <w:rPr>
          <w:spacing w:val="4"/>
          <w:w w:val="105"/>
          <w:sz w:val="11"/>
        </w:rPr>
        <w:t xml:space="preserve"> </w:t>
      </w:r>
      <w:proofErr w:type="spellStart"/>
      <w:r>
        <w:rPr>
          <w:spacing w:val="-2"/>
          <w:w w:val="105"/>
          <w:sz w:val="11"/>
        </w:rPr>
        <w:t>párrs</w:t>
      </w:r>
      <w:proofErr w:type="spellEnd"/>
      <w:r>
        <w:rPr>
          <w:spacing w:val="-2"/>
          <w:w w:val="105"/>
          <w:sz w:val="11"/>
        </w:rPr>
        <w:t>.</w:t>
      </w:r>
      <w:r>
        <w:rPr>
          <w:spacing w:val="4"/>
          <w:w w:val="105"/>
          <w:sz w:val="11"/>
        </w:rPr>
        <w:t xml:space="preserve"> </w:t>
      </w:r>
      <w:r>
        <w:rPr>
          <w:spacing w:val="-2"/>
          <w:w w:val="105"/>
          <w:sz w:val="11"/>
        </w:rPr>
        <w:t>21–22.</w:t>
      </w:r>
    </w:p>
    <w:p w14:paraId="4086D414" w14:textId="77777777" w:rsidR="0014798C" w:rsidRDefault="004E1F0B">
      <w:pPr>
        <w:spacing w:before="110" w:line="340" w:lineRule="auto"/>
        <w:ind w:left="1366" w:right="2765" w:hanging="256"/>
        <w:rPr>
          <w:sz w:val="11"/>
        </w:rPr>
      </w:pPr>
      <w:r>
        <w:rPr>
          <w:w w:val="105"/>
          <w:sz w:val="11"/>
        </w:rPr>
        <w:t>879</w:t>
      </w:r>
      <w:r>
        <w:rPr>
          <w:spacing w:val="-6"/>
          <w:w w:val="105"/>
          <w:sz w:val="11"/>
        </w:rPr>
        <w:t xml:space="preserve"> </w:t>
      </w:r>
      <w:r>
        <w:rPr>
          <w:w w:val="105"/>
          <w:sz w:val="11"/>
        </w:rPr>
        <w:t>Comisión</w:t>
      </w:r>
      <w:r>
        <w:rPr>
          <w:spacing w:val="-6"/>
          <w:w w:val="105"/>
          <w:sz w:val="11"/>
        </w:rPr>
        <w:t xml:space="preserve"> </w:t>
      </w:r>
      <w:r>
        <w:rPr>
          <w:w w:val="105"/>
          <w:sz w:val="11"/>
        </w:rPr>
        <w:t>Económica</w:t>
      </w:r>
      <w:r>
        <w:rPr>
          <w:spacing w:val="-6"/>
          <w:w w:val="105"/>
          <w:sz w:val="11"/>
        </w:rPr>
        <w:t xml:space="preserve"> </w:t>
      </w:r>
      <w:r>
        <w:rPr>
          <w:w w:val="105"/>
          <w:sz w:val="11"/>
        </w:rPr>
        <w:t>para</w:t>
      </w:r>
      <w:r>
        <w:rPr>
          <w:spacing w:val="-6"/>
          <w:w w:val="105"/>
          <w:sz w:val="11"/>
        </w:rPr>
        <w:t xml:space="preserve"> </w:t>
      </w:r>
      <w:r>
        <w:rPr>
          <w:w w:val="105"/>
          <w:sz w:val="11"/>
        </w:rPr>
        <w:t>Europa,</w:t>
      </w:r>
      <w:r>
        <w:rPr>
          <w:spacing w:val="-6"/>
          <w:w w:val="105"/>
          <w:sz w:val="11"/>
        </w:rPr>
        <w:t xml:space="preserve"> </w:t>
      </w:r>
      <w:r>
        <w:rPr>
          <w:w w:val="105"/>
          <w:sz w:val="11"/>
        </w:rPr>
        <w:t>Conferencia</w:t>
      </w:r>
      <w:r>
        <w:rPr>
          <w:spacing w:val="-6"/>
          <w:w w:val="105"/>
          <w:sz w:val="11"/>
        </w:rPr>
        <w:t xml:space="preserve"> </w:t>
      </w:r>
      <w:r>
        <w:rPr>
          <w:w w:val="105"/>
          <w:sz w:val="11"/>
        </w:rPr>
        <w:t>de</w:t>
      </w:r>
      <w:r>
        <w:rPr>
          <w:spacing w:val="-6"/>
          <w:w w:val="105"/>
          <w:sz w:val="11"/>
        </w:rPr>
        <w:t xml:space="preserve"> </w:t>
      </w:r>
      <w:r>
        <w:rPr>
          <w:w w:val="105"/>
          <w:sz w:val="11"/>
        </w:rPr>
        <w:t>Estadísticos</w:t>
      </w:r>
      <w:r>
        <w:rPr>
          <w:spacing w:val="-7"/>
          <w:w w:val="105"/>
          <w:sz w:val="11"/>
        </w:rPr>
        <w:t xml:space="preserve"> </w:t>
      </w:r>
      <w:r>
        <w:rPr>
          <w:w w:val="105"/>
          <w:sz w:val="11"/>
        </w:rPr>
        <w:t>Europeos:</w:t>
      </w:r>
      <w:r>
        <w:rPr>
          <w:spacing w:val="-6"/>
          <w:w w:val="105"/>
          <w:sz w:val="11"/>
        </w:rPr>
        <w:t xml:space="preserve"> </w:t>
      </w:r>
      <w:r>
        <w:rPr>
          <w:w w:val="105"/>
          <w:sz w:val="11"/>
        </w:rPr>
        <w:t>Recomendaciones</w:t>
      </w:r>
      <w:r>
        <w:rPr>
          <w:spacing w:val="-6"/>
          <w:w w:val="105"/>
          <w:sz w:val="11"/>
        </w:rPr>
        <w:t xml:space="preserve"> </w:t>
      </w:r>
      <w:r>
        <w:rPr>
          <w:w w:val="105"/>
          <w:sz w:val="11"/>
        </w:rPr>
        <w:t>para</w:t>
      </w:r>
      <w:r>
        <w:rPr>
          <w:spacing w:val="-6"/>
          <w:w w:val="105"/>
          <w:sz w:val="11"/>
        </w:rPr>
        <w:t xml:space="preserve"> </w:t>
      </w:r>
      <w:r>
        <w:rPr>
          <w:w w:val="105"/>
          <w:sz w:val="11"/>
        </w:rPr>
        <w:t>los</w:t>
      </w:r>
      <w:r>
        <w:rPr>
          <w:spacing w:val="-6"/>
          <w:w w:val="105"/>
          <w:sz w:val="11"/>
        </w:rPr>
        <w:t xml:space="preserve"> </w:t>
      </w:r>
      <w:r>
        <w:rPr>
          <w:w w:val="105"/>
          <w:sz w:val="11"/>
        </w:rPr>
        <w:t>censos</w:t>
      </w:r>
      <w:r>
        <w:rPr>
          <w:spacing w:val="-6"/>
          <w:w w:val="105"/>
          <w:sz w:val="11"/>
        </w:rPr>
        <w:t xml:space="preserve"> </w:t>
      </w:r>
      <w:r>
        <w:rPr>
          <w:w w:val="105"/>
          <w:sz w:val="11"/>
        </w:rPr>
        <w:t>de</w:t>
      </w:r>
      <w:r>
        <w:rPr>
          <w:spacing w:val="-6"/>
          <w:w w:val="105"/>
          <w:sz w:val="11"/>
        </w:rPr>
        <w:t xml:space="preserve"> </w:t>
      </w:r>
      <w:r>
        <w:rPr>
          <w:w w:val="105"/>
          <w:sz w:val="11"/>
        </w:rPr>
        <w:t>población</w:t>
      </w:r>
      <w:r>
        <w:rPr>
          <w:spacing w:val="-6"/>
          <w:w w:val="105"/>
          <w:sz w:val="11"/>
        </w:rPr>
        <w:t xml:space="preserve"> </w:t>
      </w:r>
      <w:r>
        <w:rPr>
          <w:w w:val="105"/>
          <w:sz w:val="11"/>
        </w:rPr>
        <w:t>y</w:t>
      </w:r>
      <w:r>
        <w:rPr>
          <w:spacing w:val="-6"/>
          <w:w w:val="105"/>
          <w:sz w:val="11"/>
        </w:rPr>
        <w:t xml:space="preserve"> </w:t>
      </w:r>
      <w:r>
        <w:rPr>
          <w:w w:val="105"/>
          <w:sz w:val="11"/>
        </w:rPr>
        <w:t>población</w:t>
      </w:r>
      <w:r>
        <w:rPr>
          <w:spacing w:val="-6"/>
          <w:w w:val="105"/>
          <w:sz w:val="11"/>
        </w:rPr>
        <w:t xml:space="preserve"> </w:t>
      </w:r>
      <w:r>
        <w:rPr>
          <w:w w:val="105"/>
          <w:sz w:val="11"/>
        </w:rPr>
        <w:t>de</w:t>
      </w:r>
      <w:r>
        <w:rPr>
          <w:spacing w:val="-6"/>
          <w:w w:val="105"/>
          <w:sz w:val="11"/>
        </w:rPr>
        <w:t xml:space="preserve"> </w:t>
      </w:r>
      <w:r>
        <w:rPr>
          <w:w w:val="105"/>
          <w:sz w:val="11"/>
        </w:rPr>
        <w:t>2010</w:t>
      </w:r>
      <w:r>
        <w:rPr>
          <w:spacing w:val="40"/>
          <w:w w:val="105"/>
          <w:sz w:val="11"/>
        </w:rPr>
        <w:t xml:space="preserve"> </w:t>
      </w:r>
      <w:r>
        <w:rPr>
          <w:w w:val="105"/>
          <w:sz w:val="11"/>
        </w:rPr>
        <w:t xml:space="preserve">Vivienda (Nueva York y Ginebra, 2006), </w:t>
      </w:r>
      <w:proofErr w:type="spellStart"/>
      <w:r>
        <w:rPr>
          <w:w w:val="105"/>
          <w:sz w:val="11"/>
        </w:rPr>
        <w:t>párrs</w:t>
      </w:r>
      <w:proofErr w:type="spellEnd"/>
      <w:r>
        <w:rPr>
          <w:w w:val="105"/>
          <w:sz w:val="11"/>
        </w:rPr>
        <w:t>. 425–426.</w:t>
      </w:r>
    </w:p>
    <w:p w14:paraId="0F82D41E" w14:textId="77777777" w:rsidR="0014798C" w:rsidRDefault="004E1F0B">
      <w:pPr>
        <w:spacing w:before="57"/>
        <w:ind w:left="1110"/>
        <w:rPr>
          <w:sz w:val="11"/>
        </w:rPr>
      </w:pPr>
      <w:r>
        <w:rPr>
          <w:w w:val="105"/>
          <w:sz w:val="11"/>
        </w:rPr>
        <w:t>880</w:t>
      </w:r>
      <w:r>
        <w:rPr>
          <w:spacing w:val="-7"/>
          <w:w w:val="105"/>
          <w:sz w:val="11"/>
        </w:rPr>
        <w:t xml:space="preserve"> </w:t>
      </w:r>
      <w:r>
        <w:rPr>
          <w:w w:val="105"/>
          <w:sz w:val="11"/>
        </w:rPr>
        <w:t>En</w:t>
      </w:r>
      <w:r>
        <w:rPr>
          <w:spacing w:val="-7"/>
          <w:w w:val="105"/>
          <w:sz w:val="11"/>
        </w:rPr>
        <w:t xml:space="preserve"> </w:t>
      </w:r>
      <w:r>
        <w:rPr>
          <w:w w:val="105"/>
          <w:sz w:val="11"/>
        </w:rPr>
        <w:t>el</w:t>
      </w:r>
      <w:r>
        <w:rPr>
          <w:spacing w:val="-7"/>
          <w:w w:val="105"/>
          <w:sz w:val="11"/>
        </w:rPr>
        <w:t xml:space="preserve"> </w:t>
      </w:r>
      <w:r>
        <w:rPr>
          <w:w w:val="105"/>
          <w:sz w:val="11"/>
        </w:rPr>
        <w:t>caso</w:t>
      </w:r>
      <w:r>
        <w:rPr>
          <w:spacing w:val="-7"/>
          <w:w w:val="105"/>
          <w:sz w:val="11"/>
        </w:rPr>
        <w:t xml:space="preserve"> </w:t>
      </w:r>
      <w:proofErr w:type="spellStart"/>
      <w:r>
        <w:rPr>
          <w:w w:val="105"/>
          <w:sz w:val="11"/>
        </w:rPr>
        <w:t>Ciubotaru</w:t>
      </w:r>
      <w:proofErr w:type="spellEnd"/>
      <w:r>
        <w:rPr>
          <w:spacing w:val="-7"/>
          <w:w w:val="105"/>
          <w:sz w:val="11"/>
        </w:rPr>
        <w:t xml:space="preserve"> </w:t>
      </w:r>
      <w:r>
        <w:rPr>
          <w:w w:val="105"/>
          <w:sz w:val="11"/>
        </w:rPr>
        <w:t>v.</w:t>
      </w:r>
      <w:r>
        <w:rPr>
          <w:spacing w:val="-7"/>
          <w:w w:val="105"/>
          <w:sz w:val="11"/>
        </w:rPr>
        <w:t xml:space="preserve"> </w:t>
      </w:r>
      <w:r>
        <w:rPr>
          <w:w w:val="105"/>
          <w:sz w:val="11"/>
        </w:rPr>
        <w:t>Moldova,</w:t>
      </w:r>
      <w:r>
        <w:rPr>
          <w:spacing w:val="-7"/>
          <w:w w:val="105"/>
          <w:sz w:val="11"/>
        </w:rPr>
        <w:t xml:space="preserve"> </w:t>
      </w:r>
      <w:r>
        <w:rPr>
          <w:w w:val="105"/>
          <w:sz w:val="11"/>
        </w:rPr>
        <w:t>solicitud</w:t>
      </w:r>
      <w:r>
        <w:rPr>
          <w:spacing w:val="-7"/>
          <w:w w:val="105"/>
          <w:sz w:val="11"/>
        </w:rPr>
        <w:t xml:space="preserve"> </w:t>
      </w:r>
      <w:proofErr w:type="spellStart"/>
      <w:r>
        <w:rPr>
          <w:w w:val="105"/>
          <w:sz w:val="11"/>
        </w:rPr>
        <w:t>n.°</w:t>
      </w:r>
      <w:proofErr w:type="spellEnd"/>
      <w:r>
        <w:rPr>
          <w:spacing w:val="-7"/>
          <w:w w:val="105"/>
          <w:sz w:val="11"/>
        </w:rPr>
        <w:t xml:space="preserve"> </w:t>
      </w:r>
      <w:r>
        <w:rPr>
          <w:w w:val="105"/>
          <w:sz w:val="11"/>
        </w:rPr>
        <w:t>27138/04,</w:t>
      </w:r>
      <w:r>
        <w:rPr>
          <w:spacing w:val="-7"/>
          <w:w w:val="105"/>
          <w:sz w:val="11"/>
        </w:rPr>
        <w:t xml:space="preserve"> </w:t>
      </w:r>
      <w:r>
        <w:rPr>
          <w:w w:val="105"/>
          <w:sz w:val="11"/>
        </w:rPr>
        <w:t>sentencia</w:t>
      </w:r>
      <w:r>
        <w:rPr>
          <w:spacing w:val="-7"/>
          <w:w w:val="105"/>
          <w:sz w:val="11"/>
        </w:rPr>
        <w:t xml:space="preserve"> </w:t>
      </w:r>
      <w:r>
        <w:rPr>
          <w:w w:val="105"/>
          <w:sz w:val="11"/>
        </w:rPr>
        <w:t>de</w:t>
      </w:r>
      <w:r>
        <w:rPr>
          <w:spacing w:val="-7"/>
          <w:w w:val="105"/>
          <w:sz w:val="11"/>
        </w:rPr>
        <w:t xml:space="preserve"> </w:t>
      </w:r>
      <w:r>
        <w:rPr>
          <w:w w:val="105"/>
          <w:sz w:val="11"/>
        </w:rPr>
        <w:t>27</w:t>
      </w:r>
      <w:r>
        <w:rPr>
          <w:spacing w:val="-7"/>
          <w:w w:val="105"/>
          <w:sz w:val="11"/>
        </w:rPr>
        <w:t xml:space="preserve"> </w:t>
      </w:r>
      <w:r>
        <w:rPr>
          <w:w w:val="105"/>
          <w:sz w:val="11"/>
        </w:rPr>
        <w:t>de</w:t>
      </w:r>
      <w:r>
        <w:rPr>
          <w:spacing w:val="-7"/>
          <w:w w:val="105"/>
          <w:sz w:val="11"/>
        </w:rPr>
        <w:t xml:space="preserve"> </w:t>
      </w:r>
      <w:r>
        <w:rPr>
          <w:w w:val="105"/>
          <w:sz w:val="11"/>
        </w:rPr>
        <w:t>abril</w:t>
      </w:r>
      <w:r>
        <w:rPr>
          <w:spacing w:val="-7"/>
          <w:w w:val="105"/>
          <w:sz w:val="11"/>
        </w:rPr>
        <w:t xml:space="preserve"> </w:t>
      </w:r>
      <w:r>
        <w:rPr>
          <w:w w:val="105"/>
          <w:sz w:val="11"/>
        </w:rPr>
        <w:t>de</w:t>
      </w:r>
      <w:r>
        <w:rPr>
          <w:spacing w:val="-7"/>
          <w:w w:val="105"/>
          <w:sz w:val="11"/>
        </w:rPr>
        <w:t xml:space="preserve"> </w:t>
      </w:r>
      <w:r>
        <w:rPr>
          <w:w w:val="105"/>
          <w:sz w:val="11"/>
        </w:rPr>
        <w:t>2010,</w:t>
      </w:r>
      <w:r>
        <w:rPr>
          <w:spacing w:val="-6"/>
          <w:w w:val="105"/>
          <w:sz w:val="11"/>
        </w:rPr>
        <w:t xml:space="preserve"> </w:t>
      </w:r>
      <w:r>
        <w:rPr>
          <w:w w:val="105"/>
          <w:sz w:val="11"/>
        </w:rPr>
        <w:t>el</w:t>
      </w:r>
      <w:r>
        <w:rPr>
          <w:spacing w:val="-7"/>
          <w:w w:val="105"/>
          <w:sz w:val="11"/>
        </w:rPr>
        <w:t xml:space="preserve"> </w:t>
      </w:r>
      <w:r>
        <w:rPr>
          <w:w w:val="105"/>
          <w:sz w:val="11"/>
        </w:rPr>
        <w:t>Tribunal</w:t>
      </w:r>
      <w:r>
        <w:rPr>
          <w:spacing w:val="-7"/>
          <w:w w:val="105"/>
          <w:sz w:val="11"/>
        </w:rPr>
        <w:t xml:space="preserve"> </w:t>
      </w:r>
      <w:r>
        <w:rPr>
          <w:w w:val="105"/>
          <w:sz w:val="11"/>
        </w:rPr>
        <w:t>Europeo</w:t>
      </w:r>
      <w:r>
        <w:rPr>
          <w:spacing w:val="-7"/>
          <w:w w:val="105"/>
          <w:sz w:val="11"/>
        </w:rPr>
        <w:t xml:space="preserve"> </w:t>
      </w:r>
      <w:r>
        <w:rPr>
          <w:w w:val="105"/>
          <w:sz w:val="11"/>
        </w:rPr>
        <w:t>de</w:t>
      </w:r>
      <w:r>
        <w:rPr>
          <w:spacing w:val="-7"/>
          <w:w w:val="105"/>
          <w:sz w:val="11"/>
        </w:rPr>
        <w:t xml:space="preserve"> </w:t>
      </w:r>
      <w:r>
        <w:rPr>
          <w:w w:val="105"/>
          <w:sz w:val="11"/>
        </w:rPr>
        <w:t>Derechos</w:t>
      </w:r>
      <w:r>
        <w:rPr>
          <w:spacing w:val="-7"/>
          <w:w w:val="105"/>
          <w:sz w:val="11"/>
        </w:rPr>
        <w:t xml:space="preserve"> </w:t>
      </w:r>
      <w:r>
        <w:rPr>
          <w:spacing w:val="-2"/>
          <w:w w:val="105"/>
          <w:sz w:val="11"/>
        </w:rPr>
        <w:t>Humanos</w:t>
      </w:r>
    </w:p>
    <w:p w14:paraId="29103600" w14:textId="77777777" w:rsidR="0014798C" w:rsidRDefault="004E1F0B">
      <w:pPr>
        <w:spacing w:before="54" w:line="340" w:lineRule="auto"/>
        <w:ind w:left="1365" w:right="1335" w:firstLine="3"/>
        <w:rPr>
          <w:sz w:val="11"/>
        </w:rPr>
      </w:pPr>
      <w:r>
        <w:rPr>
          <w:w w:val="105"/>
          <w:sz w:val="11"/>
        </w:rPr>
        <w:t>examinó</w:t>
      </w:r>
      <w:r>
        <w:rPr>
          <w:spacing w:val="-5"/>
          <w:w w:val="105"/>
          <w:sz w:val="11"/>
        </w:rPr>
        <w:t xml:space="preserve"> </w:t>
      </w:r>
      <w:r>
        <w:rPr>
          <w:w w:val="105"/>
          <w:sz w:val="11"/>
        </w:rPr>
        <w:t>la</w:t>
      </w:r>
      <w:r>
        <w:rPr>
          <w:spacing w:val="-5"/>
          <w:w w:val="105"/>
          <w:sz w:val="11"/>
        </w:rPr>
        <w:t xml:space="preserve"> </w:t>
      </w:r>
      <w:r>
        <w:rPr>
          <w:w w:val="105"/>
          <w:sz w:val="11"/>
        </w:rPr>
        <w:t>negativa</w:t>
      </w:r>
      <w:r>
        <w:rPr>
          <w:spacing w:val="-5"/>
          <w:w w:val="105"/>
          <w:sz w:val="11"/>
        </w:rPr>
        <w:t xml:space="preserve"> </w:t>
      </w:r>
      <w:r>
        <w:rPr>
          <w:w w:val="105"/>
          <w:sz w:val="11"/>
        </w:rPr>
        <w:t>de</w:t>
      </w:r>
      <w:r>
        <w:rPr>
          <w:spacing w:val="-5"/>
          <w:w w:val="105"/>
          <w:sz w:val="11"/>
        </w:rPr>
        <w:t xml:space="preserve"> </w:t>
      </w:r>
      <w:r>
        <w:rPr>
          <w:w w:val="105"/>
          <w:sz w:val="11"/>
        </w:rPr>
        <w:t>las</w:t>
      </w:r>
      <w:r>
        <w:rPr>
          <w:spacing w:val="-5"/>
          <w:w w:val="105"/>
          <w:sz w:val="11"/>
        </w:rPr>
        <w:t xml:space="preserve"> </w:t>
      </w:r>
      <w:r>
        <w:rPr>
          <w:w w:val="105"/>
          <w:sz w:val="11"/>
        </w:rPr>
        <w:t>autoridades</w:t>
      </w:r>
      <w:r>
        <w:rPr>
          <w:spacing w:val="-6"/>
          <w:w w:val="105"/>
          <w:sz w:val="11"/>
        </w:rPr>
        <w:t xml:space="preserve"> </w:t>
      </w:r>
      <w:r>
        <w:rPr>
          <w:w w:val="105"/>
          <w:sz w:val="11"/>
        </w:rPr>
        <w:t>de</w:t>
      </w:r>
      <w:r>
        <w:rPr>
          <w:spacing w:val="-5"/>
          <w:w w:val="105"/>
          <w:sz w:val="11"/>
        </w:rPr>
        <w:t xml:space="preserve"> </w:t>
      </w:r>
      <w:r>
        <w:rPr>
          <w:w w:val="105"/>
          <w:sz w:val="11"/>
        </w:rPr>
        <w:t>la</w:t>
      </w:r>
      <w:r>
        <w:rPr>
          <w:spacing w:val="-5"/>
          <w:w w:val="105"/>
          <w:sz w:val="11"/>
        </w:rPr>
        <w:t xml:space="preserve"> </w:t>
      </w:r>
      <w:r>
        <w:rPr>
          <w:w w:val="105"/>
          <w:sz w:val="11"/>
        </w:rPr>
        <w:t>República</w:t>
      </w:r>
      <w:r>
        <w:rPr>
          <w:spacing w:val="-5"/>
          <w:w w:val="105"/>
          <w:sz w:val="11"/>
        </w:rPr>
        <w:t xml:space="preserve"> </w:t>
      </w:r>
      <w:r>
        <w:rPr>
          <w:w w:val="105"/>
          <w:sz w:val="11"/>
        </w:rPr>
        <w:t>de</w:t>
      </w:r>
      <w:r>
        <w:rPr>
          <w:spacing w:val="-5"/>
          <w:w w:val="105"/>
          <w:sz w:val="11"/>
        </w:rPr>
        <w:t xml:space="preserve"> </w:t>
      </w:r>
      <w:r>
        <w:rPr>
          <w:w w:val="105"/>
          <w:sz w:val="11"/>
        </w:rPr>
        <w:t>Moldavia</w:t>
      </w:r>
      <w:r>
        <w:rPr>
          <w:spacing w:val="-5"/>
          <w:w w:val="105"/>
          <w:sz w:val="11"/>
        </w:rPr>
        <w:t xml:space="preserve"> </w:t>
      </w:r>
      <w:r>
        <w:rPr>
          <w:w w:val="105"/>
          <w:sz w:val="11"/>
        </w:rPr>
        <w:t>a</w:t>
      </w:r>
      <w:r>
        <w:rPr>
          <w:spacing w:val="-5"/>
          <w:w w:val="105"/>
          <w:sz w:val="11"/>
        </w:rPr>
        <w:t xml:space="preserve"> </w:t>
      </w:r>
      <w:r>
        <w:rPr>
          <w:w w:val="105"/>
          <w:sz w:val="11"/>
        </w:rPr>
        <w:t>registrar</w:t>
      </w:r>
      <w:r>
        <w:rPr>
          <w:spacing w:val="-5"/>
          <w:w w:val="105"/>
          <w:sz w:val="11"/>
        </w:rPr>
        <w:t xml:space="preserve"> </w:t>
      </w:r>
      <w:r>
        <w:rPr>
          <w:w w:val="105"/>
          <w:sz w:val="11"/>
        </w:rPr>
        <w:t>la</w:t>
      </w:r>
      <w:r>
        <w:rPr>
          <w:spacing w:val="-5"/>
          <w:w w:val="105"/>
          <w:sz w:val="11"/>
        </w:rPr>
        <w:t xml:space="preserve"> </w:t>
      </w:r>
      <w:r>
        <w:rPr>
          <w:w w:val="105"/>
          <w:sz w:val="11"/>
        </w:rPr>
        <w:t>identidad</w:t>
      </w:r>
      <w:r>
        <w:rPr>
          <w:spacing w:val="-5"/>
          <w:w w:val="105"/>
          <w:sz w:val="11"/>
        </w:rPr>
        <w:t xml:space="preserve"> </w:t>
      </w:r>
      <w:r>
        <w:rPr>
          <w:w w:val="105"/>
          <w:sz w:val="11"/>
        </w:rPr>
        <w:t>étnica</w:t>
      </w:r>
      <w:r>
        <w:rPr>
          <w:spacing w:val="-5"/>
          <w:w w:val="105"/>
          <w:sz w:val="11"/>
        </w:rPr>
        <w:t xml:space="preserve"> </w:t>
      </w:r>
      <w:r>
        <w:rPr>
          <w:w w:val="105"/>
          <w:sz w:val="11"/>
        </w:rPr>
        <w:t>(“rumana”)</w:t>
      </w:r>
      <w:r>
        <w:rPr>
          <w:spacing w:val="-5"/>
          <w:w w:val="105"/>
          <w:sz w:val="11"/>
        </w:rPr>
        <w:t xml:space="preserve"> </w:t>
      </w:r>
      <w:r>
        <w:rPr>
          <w:w w:val="105"/>
          <w:sz w:val="11"/>
        </w:rPr>
        <w:t>declarada</w:t>
      </w:r>
      <w:r>
        <w:rPr>
          <w:spacing w:val="-5"/>
          <w:w w:val="105"/>
          <w:sz w:val="11"/>
        </w:rPr>
        <w:t xml:space="preserve"> </w:t>
      </w:r>
      <w:r>
        <w:rPr>
          <w:w w:val="105"/>
          <w:sz w:val="11"/>
        </w:rPr>
        <w:t>por</w:t>
      </w:r>
      <w:r>
        <w:rPr>
          <w:spacing w:val="-5"/>
          <w:w w:val="105"/>
          <w:sz w:val="11"/>
        </w:rPr>
        <w:t xml:space="preserve"> </w:t>
      </w:r>
      <w:r>
        <w:rPr>
          <w:w w:val="105"/>
          <w:sz w:val="11"/>
        </w:rPr>
        <w:t>el</w:t>
      </w:r>
      <w:r>
        <w:rPr>
          <w:spacing w:val="-5"/>
          <w:w w:val="105"/>
          <w:sz w:val="11"/>
        </w:rPr>
        <w:t xml:space="preserve"> </w:t>
      </w:r>
      <w:r>
        <w:rPr>
          <w:w w:val="105"/>
          <w:sz w:val="11"/>
        </w:rPr>
        <w:t>demandante,</w:t>
      </w:r>
      <w:r>
        <w:rPr>
          <w:spacing w:val="-5"/>
          <w:w w:val="105"/>
          <w:sz w:val="11"/>
        </w:rPr>
        <w:t xml:space="preserve"> </w:t>
      </w:r>
      <w:r>
        <w:rPr>
          <w:w w:val="105"/>
          <w:sz w:val="11"/>
        </w:rPr>
        <w:t>al</w:t>
      </w:r>
      <w:r>
        <w:rPr>
          <w:spacing w:val="-5"/>
          <w:w w:val="105"/>
          <w:sz w:val="11"/>
        </w:rPr>
        <w:t xml:space="preserve"> </w:t>
      </w:r>
      <w:r>
        <w:rPr>
          <w:w w:val="105"/>
          <w:sz w:val="11"/>
        </w:rPr>
        <w:t>tramitar</w:t>
      </w:r>
      <w:r>
        <w:rPr>
          <w:spacing w:val="-6"/>
          <w:w w:val="105"/>
          <w:sz w:val="11"/>
        </w:rPr>
        <w:t xml:space="preserve"> </w:t>
      </w:r>
      <w:r>
        <w:rPr>
          <w:w w:val="105"/>
          <w:sz w:val="11"/>
        </w:rPr>
        <w:t>su</w:t>
      </w:r>
      <w:r>
        <w:rPr>
          <w:spacing w:val="-5"/>
          <w:w w:val="105"/>
          <w:sz w:val="11"/>
        </w:rPr>
        <w:t xml:space="preserve"> </w:t>
      </w:r>
      <w:r>
        <w:rPr>
          <w:w w:val="105"/>
          <w:sz w:val="11"/>
        </w:rPr>
        <w:t>solicitud</w:t>
      </w:r>
      <w:r>
        <w:rPr>
          <w:spacing w:val="-5"/>
          <w:w w:val="105"/>
          <w:sz w:val="11"/>
        </w:rPr>
        <w:t xml:space="preserve"> </w:t>
      </w:r>
      <w:r>
        <w:rPr>
          <w:w w:val="105"/>
          <w:sz w:val="11"/>
        </w:rPr>
        <w:t>de</w:t>
      </w:r>
      <w:r>
        <w:rPr>
          <w:spacing w:val="-5"/>
          <w:w w:val="105"/>
          <w:sz w:val="11"/>
        </w:rPr>
        <w:t xml:space="preserve"> </w:t>
      </w:r>
      <w:r>
        <w:rPr>
          <w:w w:val="105"/>
          <w:sz w:val="11"/>
        </w:rPr>
        <w:t>sustitución</w:t>
      </w:r>
      <w:r>
        <w:rPr>
          <w:spacing w:val="40"/>
          <w:w w:val="105"/>
          <w:sz w:val="11"/>
        </w:rPr>
        <w:t xml:space="preserve"> </w:t>
      </w:r>
      <w:r>
        <w:rPr>
          <w:w w:val="105"/>
          <w:sz w:val="11"/>
        </w:rPr>
        <w:t>de</w:t>
      </w:r>
      <w:r>
        <w:rPr>
          <w:spacing w:val="-3"/>
          <w:w w:val="105"/>
          <w:sz w:val="11"/>
        </w:rPr>
        <w:t xml:space="preserve"> </w:t>
      </w:r>
      <w:r>
        <w:rPr>
          <w:w w:val="105"/>
          <w:sz w:val="11"/>
        </w:rPr>
        <w:t>su</w:t>
      </w:r>
      <w:r>
        <w:rPr>
          <w:spacing w:val="-3"/>
          <w:w w:val="105"/>
          <w:sz w:val="11"/>
        </w:rPr>
        <w:t xml:space="preserve"> </w:t>
      </w:r>
      <w:r>
        <w:rPr>
          <w:w w:val="105"/>
          <w:sz w:val="11"/>
        </w:rPr>
        <w:t>documento</w:t>
      </w:r>
      <w:r>
        <w:rPr>
          <w:spacing w:val="-3"/>
          <w:w w:val="105"/>
          <w:sz w:val="11"/>
        </w:rPr>
        <w:t xml:space="preserve"> </w:t>
      </w:r>
      <w:r>
        <w:rPr>
          <w:w w:val="105"/>
          <w:sz w:val="11"/>
        </w:rPr>
        <w:t>de</w:t>
      </w:r>
      <w:r>
        <w:rPr>
          <w:spacing w:val="-3"/>
          <w:w w:val="105"/>
          <w:sz w:val="11"/>
        </w:rPr>
        <w:t xml:space="preserve"> </w:t>
      </w:r>
      <w:r>
        <w:rPr>
          <w:w w:val="105"/>
          <w:sz w:val="11"/>
        </w:rPr>
        <w:t>identidad</w:t>
      </w:r>
      <w:r>
        <w:rPr>
          <w:spacing w:val="-3"/>
          <w:w w:val="105"/>
          <w:sz w:val="11"/>
        </w:rPr>
        <w:t xml:space="preserve"> </w:t>
      </w:r>
      <w:r>
        <w:rPr>
          <w:w w:val="105"/>
          <w:sz w:val="11"/>
        </w:rPr>
        <w:t>soviético</w:t>
      </w:r>
      <w:r>
        <w:rPr>
          <w:spacing w:val="-3"/>
          <w:w w:val="105"/>
          <w:sz w:val="11"/>
        </w:rPr>
        <w:t xml:space="preserve"> </w:t>
      </w:r>
      <w:r>
        <w:rPr>
          <w:w w:val="105"/>
          <w:sz w:val="11"/>
        </w:rPr>
        <w:t>por</w:t>
      </w:r>
      <w:r>
        <w:rPr>
          <w:spacing w:val="-3"/>
          <w:w w:val="105"/>
          <w:sz w:val="11"/>
        </w:rPr>
        <w:t xml:space="preserve"> </w:t>
      </w:r>
      <w:r>
        <w:rPr>
          <w:w w:val="105"/>
          <w:sz w:val="11"/>
        </w:rPr>
        <w:t>un</w:t>
      </w:r>
      <w:r>
        <w:rPr>
          <w:spacing w:val="-3"/>
          <w:w w:val="105"/>
          <w:sz w:val="11"/>
        </w:rPr>
        <w:t xml:space="preserve"> </w:t>
      </w:r>
      <w:r>
        <w:rPr>
          <w:w w:val="105"/>
          <w:sz w:val="11"/>
        </w:rPr>
        <w:t>documento</w:t>
      </w:r>
      <w:r>
        <w:rPr>
          <w:spacing w:val="-3"/>
          <w:w w:val="105"/>
          <w:sz w:val="11"/>
        </w:rPr>
        <w:t xml:space="preserve"> </w:t>
      </w:r>
      <w:r>
        <w:rPr>
          <w:w w:val="105"/>
          <w:sz w:val="11"/>
        </w:rPr>
        <w:t>de</w:t>
      </w:r>
      <w:r>
        <w:rPr>
          <w:spacing w:val="-3"/>
          <w:w w:val="105"/>
          <w:sz w:val="11"/>
        </w:rPr>
        <w:t xml:space="preserve"> </w:t>
      </w:r>
      <w:r>
        <w:rPr>
          <w:w w:val="105"/>
          <w:sz w:val="11"/>
        </w:rPr>
        <w:t>identidad</w:t>
      </w:r>
      <w:r>
        <w:rPr>
          <w:spacing w:val="-3"/>
          <w:w w:val="105"/>
          <w:sz w:val="11"/>
        </w:rPr>
        <w:t xml:space="preserve"> </w:t>
      </w:r>
      <w:r>
        <w:rPr>
          <w:w w:val="105"/>
          <w:sz w:val="11"/>
        </w:rPr>
        <w:t>moldavo,</w:t>
      </w:r>
      <w:r>
        <w:rPr>
          <w:spacing w:val="-3"/>
          <w:w w:val="105"/>
          <w:sz w:val="11"/>
        </w:rPr>
        <w:t xml:space="preserve"> </w:t>
      </w:r>
      <w:r>
        <w:rPr>
          <w:w w:val="105"/>
          <w:sz w:val="11"/>
        </w:rPr>
        <w:t>basándose</w:t>
      </w:r>
      <w:r>
        <w:rPr>
          <w:spacing w:val="-3"/>
          <w:w w:val="105"/>
          <w:sz w:val="11"/>
        </w:rPr>
        <w:t xml:space="preserve"> </w:t>
      </w:r>
      <w:r>
        <w:rPr>
          <w:w w:val="105"/>
          <w:sz w:val="11"/>
        </w:rPr>
        <w:t>en</w:t>
      </w:r>
      <w:r>
        <w:rPr>
          <w:spacing w:val="-3"/>
          <w:w w:val="105"/>
          <w:sz w:val="11"/>
        </w:rPr>
        <w:t xml:space="preserve"> </w:t>
      </w:r>
      <w:r>
        <w:rPr>
          <w:w w:val="105"/>
          <w:sz w:val="11"/>
        </w:rPr>
        <w:t>que</w:t>
      </w:r>
      <w:r>
        <w:rPr>
          <w:spacing w:val="-3"/>
          <w:w w:val="105"/>
          <w:sz w:val="11"/>
        </w:rPr>
        <w:t xml:space="preserve"> </w:t>
      </w:r>
      <w:r>
        <w:rPr>
          <w:w w:val="105"/>
          <w:sz w:val="11"/>
        </w:rPr>
        <w:t>sus</w:t>
      </w:r>
      <w:r>
        <w:rPr>
          <w:spacing w:val="-3"/>
          <w:w w:val="105"/>
          <w:sz w:val="11"/>
        </w:rPr>
        <w:t xml:space="preserve"> </w:t>
      </w:r>
      <w:r>
        <w:rPr>
          <w:w w:val="105"/>
          <w:sz w:val="11"/>
        </w:rPr>
        <w:t>padres</w:t>
      </w:r>
      <w:r>
        <w:rPr>
          <w:spacing w:val="-3"/>
          <w:w w:val="105"/>
          <w:sz w:val="11"/>
        </w:rPr>
        <w:t xml:space="preserve"> </w:t>
      </w:r>
      <w:r>
        <w:rPr>
          <w:w w:val="105"/>
          <w:sz w:val="11"/>
        </w:rPr>
        <w:t>eran</w:t>
      </w:r>
      <w:r>
        <w:rPr>
          <w:spacing w:val="-3"/>
          <w:w w:val="105"/>
          <w:sz w:val="11"/>
        </w:rPr>
        <w:t xml:space="preserve"> </w:t>
      </w:r>
      <w:r>
        <w:rPr>
          <w:w w:val="105"/>
          <w:sz w:val="11"/>
        </w:rPr>
        <w:t>no</w:t>
      </w:r>
      <w:r>
        <w:rPr>
          <w:spacing w:val="-3"/>
          <w:w w:val="105"/>
          <w:sz w:val="11"/>
        </w:rPr>
        <w:t xml:space="preserve"> </w:t>
      </w:r>
      <w:r>
        <w:rPr>
          <w:w w:val="105"/>
          <w:sz w:val="11"/>
        </w:rPr>
        <w:t>están</w:t>
      </w:r>
      <w:r>
        <w:rPr>
          <w:spacing w:val="-3"/>
          <w:w w:val="105"/>
          <w:sz w:val="11"/>
        </w:rPr>
        <w:t xml:space="preserve"> </w:t>
      </w:r>
      <w:r>
        <w:rPr>
          <w:w w:val="105"/>
          <w:sz w:val="11"/>
        </w:rPr>
        <w:t>registrados</w:t>
      </w:r>
      <w:r>
        <w:rPr>
          <w:spacing w:val="-3"/>
          <w:w w:val="105"/>
          <w:sz w:val="11"/>
        </w:rPr>
        <w:t xml:space="preserve"> </w:t>
      </w:r>
      <w:r>
        <w:rPr>
          <w:w w:val="105"/>
          <w:sz w:val="11"/>
        </w:rPr>
        <w:t>como</w:t>
      </w:r>
      <w:r>
        <w:rPr>
          <w:spacing w:val="-3"/>
          <w:w w:val="105"/>
          <w:sz w:val="11"/>
        </w:rPr>
        <w:t xml:space="preserve"> </w:t>
      </w:r>
      <w:r>
        <w:rPr>
          <w:w w:val="105"/>
          <w:sz w:val="11"/>
        </w:rPr>
        <w:t>“rumanos</w:t>
      </w:r>
      <w:r>
        <w:rPr>
          <w:spacing w:val="-3"/>
          <w:w w:val="105"/>
          <w:sz w:val="11"/>
        </w:rPr>
        <w:t xml:space="preserve"> </w:t>
      </w:r>
      <w:r>
        <w:rPr>
          <w:w w:val="105"/>
          <w:sz w:val="11"/>
        </w:rPr>
        <w:t>étnicos”</w:t>
      </w:r>
      <w:r>
        <w:rPr>
          <w:spacing w:val="-3"/>
          <w:w w:val="105"/>
          <w:sz w:val="11"/>
        </w:rPr>
        <w:t xml:space="preserve"> </w:t>
      </w:r>
      <w:r>
        <w:rPr>
          <w:w w:val="105"/>
          <w:sz w:val="11"/>
        </w:rPr>
        <w:t>en</w:t>
      </w:r>
      <w:r>
        <w:rPr>
          <w:spacing w:val="-3"/>
          <w:w w:val="105"/>
          <w:sz w:val="11"/>
        </w:rPr>
        <w:t xml:space="preserve"> </w:t>
      </w:r>
      <w:r>
        <w:rPr>
          <w:w w:val="105"/>
          <w:sz w:val="11"/>
        </w:rPr>
        <w:t>sus</w:t>
      </w:r>
      <w:r>
        <w:rPr>
          <w:spacing w:val="40"/>
          <w:w w:val="105"/>
          <w:sz w:val="11"/>
        </w:rPr>
        <w:t xml:space="preserve"> </w:t>
      </w:r>
      <w:r>
        <w:rPr>
          <w:w w:val="105"/>
          <w:sz w:val="11"/>
        </w:rPr>
        <w:t>certificados</w:t>
      </w:r>
      <w:r>
        <w:rPr>
          <w:spacing w:val="-5"/>
          <w:w w:val="105"/>
          <w:sz w:val="11"/>
        </w:rPr>
        <w:t xml:space="preserve"> </w:t>
      </w:r>
      <w:r>
        <w:rPr>
          <w:w w:val="105"/>
          <w:sz w:val="11"/>
        </w:rPr>
        <w:t>de</w:t>
      </w:r>
      <w:r>
        <w:rPr>
          <w:spacing w:val="-4"/>
          <w:w w:val="105"/>
          <w:sz w:val="11"/>
        </w:rPr>
        <w:t xml:space="preserve"> </w:t>
      </w:r>
      <w:r>
        <w:rPr>
          <w:w w:val="105"/>
          <w:sz w:val="11"/>
        </w:rPr>
        <w:t>nacimiento</w:t>
      </w:r>
      <w:r>
        <w:rPr>
          <w:spacing w:val="-4"/>
          <w:w w:val="105"/>
          <w:sz w:val="11"/>
        </w:rPr>
        <w:t xml:space="preserve"> </w:t>
      </w:r>
      <w:r>
        <w:rPr>
          <w:w w:val="105"/>
          <w:sz w:val="11"/>
        </w:rPr>
        <w:t>y</w:t>
      </w:r>
      <w:r>
        <w:rPr>
          <w:spacing w:val="-4"/>
          <w:w w:val="105"/>
          <w:sz w:val="11"/>
        </w:rPr>
        <w:t xml:space="preserve"> </w:t>
      </w:r>
      <w:r>
        <w:rPr>
          <w:w w:val="105"/>
          <w:sz w:val="11"/>
        </w:rPr>
        <w:t>matrimonio.</w:t>
      </w:r>
      <w:r>
        <w:rPr>
          <w:spacing w:val="-4"/>
          <w:w w:val="105"/>
          <w:sz w:val="11"/>
        </w:rPr>
        <w:t xml:space="preserve"> </w:t>
      </w:r>
      <w:r>
        <w:rPr>
          <w:w w:val="105"/>
          <w:sz w:val="11"/>
        </w:rPr>
        <w:t>El</w:t>
      </w:r>
      <w:r>
        <w:rPr>
          <w:spacing w:val="-4"/>
          <w:w w:val="105"/>
          <w:sz w:val="11"/>
        </w:rPr>
        <w:t xml:space="preserve"> </w:t>
      </w:r>
      <w:r>
        <w:rPr>
          <w:w w:val="105"/>
          <w:sz w:val="11"/>
        </w:rPr>
        <w:t>Tribunal</w:t>
      </w:r>
      <w:r>
        <w:rPr>
          <w:spacing w:val="-4"/>
          <w:w w:val="105"/>
          <w:sz w:val="11"/>
        </w:rPr>
        <w:t xml:space="preserve"> </w:t>
      </w:r>
      <w:r>
        <w:rPr>
          <w:w w:val="105"/>
          <w:sz w:val="11"/>
        </w:rPr>
        <w:t>consideró</w:t>
      </w:r>
      <w:r>
        <w:rPr>
          <w:spacing w:val="-4"/>
          <w:w w:val="105"/>
          <w:sz w:val="11"/>
        </w:rPr>
        <w:t xml:space="preserve"> </w:t>
      </w:r>
      <w:r>
        <w:rPr>
          <w:w w:val="105"/>
          <w:sz w:val="11"/>
        </w:rPr>
        <w:t>que</w:t>
      </w:r>
      <w:r>
        <w:rPr>
          <w:spacing w:val="-4"/>
          <w:w w:val="105"/>
          <w:sz w:val="11"/>
        </w:rPr>
        <w:t xml:space="preserve"> </w:t>
      </w:r>
      <w:r>
        <w:rPr>
          <w:w w:val="105"/>
          <w:sz w:val="11"/>
        </w:rPr>
        <w:t>la</w:t>
      </w:r>
      <w:r>
        <w:rPr>
          <w:spacing w:val="-4"/>
          <w:w w:val="105"/>
          <w:sz w:val="11"/>
        </w:rPr>
        <w:t xml:space="preserve"> </w:t>
      </w:r>
      <w:r>
        <w:rPr>
          <w:w w:val="105"/>
          <w:sz w:val="11"/>
        </w:rPr>
        <w:t>República</w:t>
      </w:r>
      <w:r>
        <w:rPr>
          <w:spacing w:val="-4"/>
          <w:w w:val="105"/>
          <w:sz w:val="11"/>
        </w:rPr>
        <w:t xml:space="preserve"> </w:t>
      </w:r>
      <w:r>
        <w:rPr>
          <w:w w:val="105"/>
          <w:sz w:val="11"/>
        </w:rPr>
        <w:t>de</w:t>
      </w:r>
      <w:r>
        <w:rPr>
          <w:spacing w:val="-4"/>
          <w:w w:val="105"/>
          <w:sz w:val="11"/>
        </w:rPr>
        <w:t xml:space="preserve"> </w:t>
      </w:r>
      <w:r>
        <w:rPr>
          <w:w w:val="105"/>
          <w:sz w:val="11"/>
        </w:rPr>
        <w:t>Moldavia</w:t>
      </w:r>
      <w:r>
        <w:rPr>
          <w:spacing w:val="-4"/>
          <w:w w:val="105"/>
          <w:sz w:val="11"/>
        </w:rPr>
        <w:t xml:space="preserve"> </w:t>
      </w:r>
      <w:r>
        <w:rPr>
          <w:w w:val="105"/>
          <w:sz w:val="11"/>
        </w:rPr>
        <w:t>había</w:t>
      </w:r>
      <w:r>
        <w:rPr>
          <w:spacing w:val="-4"/>
          <w:w w:val="105"/>
          <w:sz w:val="11"/>
        </w:rPr>
        <w:t xml:space="preserve"> </w:t>
      </w:r>
      <w:r>
        <w:rPr>
          <w:w w:val="105"/>
          <w:sz w:val="11"/>
        </w:rPr>
        <w:t>violado</w:t>
      </w:r>
      <w:r>
        <w:rPr>
          <w:spacing w:val="-4"/>
          <w:w w:val="105"/>
          <w:sz w:val="11"/>
        </w:rPr>
        <w:t xml:space="preserve"> </w:t>
      </w:r>
      <w:r>
        <w:rPr>
          <w:w w:val="105"/>
          <w:sz w:val="11"/>
        </w:rPr>
        <w:t>el</w:t>
      </w:r>
      <w:r>
        <w:rPr>
          <w:spacing w:val="-4"/>
          <w:w w:val="105"/>
          <w:sz w:val="11"/>
        </w:rPr>
        <w:t xml:space="preserve"> </w:t>
      </w:r>
      <w:r>
        <w:rPr>
          <w:w w:val="105"/>
          <w:sz w:val="11"/>
        </w:rPr>
        <w:t>artículo</w:t>
      </w:r>
      <w:r>
        <w:rPr>
          <w:spacing w:val="-4"/>
          <w:w w:val="105"/>
          <w:sz w:val="11"/>
        </w:rPr>
        <w:t xml:space="preserve"> </w:t>
      </w:r>
      <w:r>
        <w:rPr>
          <w:w w:val="105"/>
          <w:sz w:val="11"/>
        </w:rPr>
        <w:t>8</w:t>
      </w:r>
      <w:r>
        <w:rPr>
          <w:spacing w:val="-4"/>
          <w:w w:val="105"/>
          <w:sz w:val="11"/>
        </w:rPr>
        <w:t xml:space="preserve"> </w:t>
      </w:r>
      <w:r>
        <w:rPr>
          <w:w w:val="105"/>
          <w:sz w:val="11"/>
        </w:rPr>
        <w:t>(derecho</w:t>
      </w:r>
      <w:r>
        <w:rPr>
          <w:spacing w:val="-4"/>
          <w:w w:val="105"/>
          <w:sz w:val="11"/>
        </w:rPr>
        <w:t xml:space="preserve"> </w:t>
      </w:r>
      <w:r>
        <w:rPr>
          <w:w w:val="105"/>
          <w:sz w:val="11"/>
        </w:rPr>
        <w:t>al</w:t>
      </w:r>
      <w:r>
        <w:rPr>
          <w:spacing w:val="-4"/>
          <w:w w:val="105"/>
          <w:sz w:val="11"/>
        </w:rPr>
        <w:t xml:space="preserve"> </w:t>
      </w:r>
      <w:r>
        <w:rPr>
          <w:w w:val="105"/>
          <w:sz w:val="11"/>
        </w:rPr>
        <w:t>respeto</w:t>
      </w:r>
      <w:r>
        <w:rPr>
          <w:spacing w:val="-4"/>
          <w:w w:val="105"/>
          <w:sz w:val="11"/>
        </w:rPr>
        <w:t xml:space="preserve"> </w:t>
      </w:r>
      <w:r>
        <w:rPr>
          <w:w w:val="105"/>
          <w:sz w:val="11"/>
        </w:rPr>
        <w:t>de</w:t>
      </w:r>
      <w:r>
        <w:rPr>
          <w:spacing w:val="-4"/>
          <w:w w:val="105"/>
          <w:sz w:val="11"/>
        </w:rPr>
        <w:t xml:space="preserve"> </w:t>
      </w:r>
      <w:r>
        <w:rPr>
          <w:w w:val="105"/>
          <w:sz w:val="11"/>
        </w:rPr>
        <w:t>la</w:t>
      </w:r>
      <w:r>
        <w:rPr>
          <w:spacing w:val="-4"/>
          <w:w w:val="105"/>
          <w:sz w:val="11"/>
        </w:rPr>
        <w:t xml:space="preserve"> </w:t>
      </w:r>
      <w:r>
        <w:rPr>
          <w:w w:val="105"/>
          <w:sz w:val="11"/>
        </w:rPr>
        <w:t>vida</w:t>
      </w:r>
      <w:r>
        <w:rPr>
          <w:spacing w:val="-4"/>
          <w:w w:val="105"/>
          <w:sz w:val="11"/>
        </w:rPr>
        <w:t xml:space="preserve"> </w:t>
      </w:r>
      <w:r>
        <w:rPr>
          <w:w w:val="105"/>
          <w:sz w:val="11"/>
        </w:rPr>
        <w:t>privada</w:t>
      </w:r>
      <w:r>
        <w:rPr>
          <w:spacing w:val="-4"/>
          <w:w w:val="105"/>
          <w:sz w:val="11"/>
        </w:rPr>
        <w:t xml:space="preserve"> </w:t>
      </w:r>
      <w:r>
        <w:rPr>
          <w:w w:val="105"/>
          <w:sz w:val="11"/>
        </w:rPr>
        <w:t>y</w:t>
      </w:r>
      <w:r>
        <w:rPr>
          <w:spacing w:val="-4"/>
          <w:w w:val="105"/>
          <w:sz w:val="11"/>
        </w:rPr>
        <w:t xml:space="preserve"> </w:t>
      </w:r>
      <w:r>
        <w:rPr>
          <w:w w:val="105"/>
          <w:sz w:val="11"/>
        </w:rPr>
        <w:t>familiar)</w:t>
      </w:r>
      <w:r>
        <w:rPr>
          <w:spacing w:val="-4"/>
          <w:w w:val="105"/>
          <w:sz w:val="11"/>
        </w:rPr>
        <w:t xml:space="preserve"> </w:t>
      </w:r>
      <w:r>
        <w:rPr>
          <w:w w:val="105"/>
          <w:sz w:val="11"/>
        </w:rPr>
        <w:t>del</w:t>
      </w:r>
      <w:r>
        <w:rPr>
          <w:spacing w:val="40"/>
          <w:w w:val="105"/>
          <w:sz w:val="11"/>
        </w:rPr>
        <w:t xml:space="preserve"> </w:t>
      </w:r>
      <w:r>
        <w:rPr>
          <w:w w:val="105"/>
          <w:sz w:val="11"/>
        </w:rPr>
        <w:t>Convenio</w:t>
      </w:r>
      <w:r>
        <w:rPr>
          <w:spacing w:val="-2"/>
          <w:w w:val="105"/>
          <w:sz w:val="11"/>
        </w:rPr>
        <w:t xml:space="preserve"> </w:t>
      </w:r>
      <w:r>
        <w:rPr>
          <w:w w:val="105"/>
          <w:sz w:val="11"/>
        </w:rPr>
        <w:t>Europeo</w:t>
      </w:r>
      <w:r>
        <w:rPr>
          <w:spacing w:val="-2"/>
          <w:w w:val="105"/>
          <w:sz w:val="11"/>
        </w:rPr>
        <w:t xml:space="preserve"> </w:t>
      </w:r>
      <w:r>
        <w:rPr>
          <w:w w:val="105"/>
          <w:sz w:val="11"/>
        </w:rPr>
        <w:t>de</w:t>
      </w:r>
      <w:r>
        <w:rPr>
          <w:spacing w:val="-2"/>
          <w:w w:val="105"/>
          <w:sz w:val="11"/>
        </w:rPr>
        <w:t xml:space="preserve"> </w:t>
      </w:r>
      <w:r>
        <w:rPr>
          <w:w w:val="105"/>
          <w:sz w:val="11"/>
        </w:rPr>
        <w:t>Derechos</w:t>
      </w:r>
      <w:r>
        <w:rPr>
          <w:spacing w:val="-2"/>
          <w:w w:val="105"/>
          <w:sz w:val="11"/>
        </w:rPr>
        <w:t xml:space="preserve"> </w:t>
      </w:r>
      <w:r>
        <w:rPr>
          <w:w w:val="105"/>
          <w:sz w:val="11"/>
        </w:rPr>
        <w:t>Humanos,</w:t>
      </w:r>
      <w:r>
        <w:rPr>
          <w:spacing w:val="-2"/>
          <w:w w:val="105"/>
          <w:sz w:val="11"/>
        </w:rPr>
        <w:t xml:space="preserve"> </w:t>
      </w:r>
      <w:r>
        <w:rPr>
          <w:w w:val="105"/>
          <w:sz w:val="11"/>
        </w:rPr>
        <w:t>porque</w:t>
      </w:r>
      <w:r>
        <w:rPr>
          <w:spacing w:val="-2"/>
          <w:w w:val="105"/>
          <w:sz w:val="11"/>
        </w:rPr>
        <w:t xml:space="preserve"> </w:t>
      </w:r>
      <w:r>
        <w:rPr>
          <w:w w:val="105"/>
          <w:sz w:val="11"/>
        </w:rPr>
        <w:t>el</w:t>
      </w:r>
      <w:r>
        <w:rPr>
          <w:spacing w:val="-2"/>
          <w:w w:val="105"/>
          <w:sz w:val="11"/>
        </w:rPr>
        <w:t xml:space="preserve"> </w:t>
      </w:r>
      <w:r>
        <w:rPr>
          <w:w w:val="105"/>
          <w:sz w:val="11"/>
        </w:rPr>
        <w:t>solicitante</w:t>
      </w:r>
      <w:r>
        <w:rPr>
          <w:spacing w:val="-2"/>
          <w:w w:val="105"/>
          <w:sz w:val="11"/>
        </w:rPr>
        <w:t xml:space="preserve"> </w:t>
      </w:r>
      <w:r>
        <w:rPr>
          <w:w w:val="105"/>
          <w:sz w:val="11"/>
        </w:rPr>
        <w:t>no</w:t>
      </w:r>
      <w:r>
        <w:rPr>
          <w:spacing w:val="-2"/>
          <w:w w:val="105"/>
          <w:sz w:val="11"/>
        </w:rPr>
        <w:t xml:space="preserve"> </w:t>
      </w:r>
      <w:r>
        <w:rPr>
          <w:w w:val="105"/>
          <w:sz w:val="11"/>
        </w:rPr>
        <w:t>pudo</w:t>
      </w:r>
      <w:r>
        <w:rPr>
          <w:spacing w:val="-2"/>
          <w:w w:val="105"/>
          <w:sz w:val="11"/>
        </w:rPr>
        <w:t xml:space="preserve"> </w:t>
      </w:r>
      <w:r>
        <w:rPr>
          <w:w w:val="105"/>
          <w:sz w:val="11"/>
        </w:rPr>
        <w:t>obtener</w:t>
      </w:r>
      <w:r>
        <w:rPr>
          <w:spacing w:val="-2"/>
          <w:w w:val="105"/>
          <w:sz w:val="11"/>
        </w:rPr>
        <w:t xml:space="preserve"> </w:t>
      </w:r>
      <w:r>
        <w:rPr>
          <w:w w:val="105"/>
          <w:sz w:val="11"/>
        </w:rPr>
        <w:t>acceso</w:t>
      </w:r>
      <w:r>
        <w:rPr>
          <w:spacing w:val="-2"/>
          <w:w w:val="105"/>
          <w:sz w:val="11"/>
        </w:rPr>
        <w:t xml:space="preserve"> </w:t>
      </w:r>
      <w:r>
        <w:rPr>
          <w:w w:val="105"/>
          <w:sz w:val="11"/>
        </w:rPr>
        <w:t>efectivo</w:t>
      </w:r>
      <w:r>
        <w:rPr>
          <w:spacing w:val="-2"/>
          <w:w w:val="105"/>
          <w:sz w:val="11"/>
        </w:rPr>
        <w:t xml:space="preserve"> </w:t>
      </w:r>
      <w:r>
        <w:rPr>
          <w:w w:val="105"/>
          <w:sz w:val="11"/>
        </w:rPr>
        <w:t>a</w:t>
      </w:r>
      <w:r>
        <w:rPr>
          <w:spacing w:val="-2"/>
          <w:w w:val="105"/>
          <w:sz w:val="11"/>
        </w:rPr>
        <w:t xml:space="preserve"> </w:t>
      </w:r>
      <w:r>
        <w:rPr>
          <w:w w:val="105"/>
          <w:sz w:val="11"/>
        </w:rPr>
        <w:t>sus</w:t>
      </w:r>
      <w:r>
        <w:rPr>
          <w:spacing w:val="-2"/>
          <w:w w:val="105"/>
          <w:sz w:val="11"/>
        </w:rPr>
        <w:t xml:space="preserve"> </w:t>
      </w:r>
      <w:r>
        <w:rPr>
          <w:w w:val="105"/>
          <w:sz w:val="11"/>
        </w:rPr>
        <w:t>documentos</w:t>
      </w:r>
      <w:r>
        <w:rPr>
          <w:spacing w:val="-2"/>
          <w:w w:val="105"/>
          <w:sz w:val="11"/>
        </w:rPr>
        <w:t xml:space="preserve"> </w:t>
      </w:r>
      <w:r>
        <w:rPr>
          <w:w w:val="105"/>
          <w:sz w:val="11"/>
        </w:rPr>
        <w:t>personales</w:t>
      </w:r>
      <w:r>
        <w:rPr>
          <w:spacing w:val="-2"/>
          <w:w w:val="105"/>
          <w:sz w:val="11"/>
        </w:rPr>
        <w:t xml:space="preserve"> </w:t>
      </w:r>
      <w:r>
        <w:rPr>
          <w:w w:val="105"/>
          <w:sz w:val="11"/>
        </w:rPr>
        <w:t>y</w:t>
      </w:r>
      <w:r>
        <w:rPr>
          <w:spacing w:val="-2"/>
          <w:w w:val="105"/>
          <w:sz w:val="11"/>
        </w:rPr>
        <w:t xml:space="preserve"> </w:t>
      </w:r>
      <w:r>
        <w:rPr>
          <w:w w:val="105"/>
          <w:sz w:val="11"/>
        </w:rPr>
        <w:t>modificarlos</w:t>
      </w:r>
      <w:r>
        <w:rPr>
          <w:spacing w:val="-3"/>
          <w:w w:val="105"/>
          <w:sz w:val="11"/>
        </w:rPr>
        <w:t xml:space="preserve"> </w:t>
      </w:r>
      <w:r>
        <w:rPr>
          <w:w w:val="105"/>
          <w:sz w:val="11"/>
        </w:rPr>
        <w:t>para</w:t>
      </w:r>
      <w:r>
        <w:rPr>
          <w:spacing w:val="-2"/>
          <w:w w:val="105"/>
          <w:sz w:val="11"/>
        </w:rPr>
        <w:t xml:space="preserve"> </w:t>
      </w:r>
      <w:r>
        <w:rPr>
          <w:w w:val="105"/>
          <w:sz w:val="11"/>
        </w:rPr>
        <w:t>reflejar</w:t>
      </w:r>
      <w:r>
        <w:rPr>
          <w:spacing w:val="-2"/>
          <w:w w:val="105"/>
          <w:sz w:val="11"/>
        </w:rPr>
        <w:t xml:space="preserve"> </w:t>
      </w:r>
      <w:r>
        <w:rPr>
          <w:w w:val="105"/>
          <w:sz w:val="11"/>
        </w:rPr>
        <w:t>su</w:t>
      </w:r>
    </w:p>
    <w:p w14:paraId="6DF47331" w14:textId="77777777" w:rsidR="0014798C" w:rsidRDefault="004E1F0B">
      <w:pPr>
        <w:ind w:left="1366"/>
        <w:rPr>
          <w:sz w:val="11"/>
        </w:rPr>
      </w:pPr>
      <w:r>
        <w:rPr>
          <w:sz w:val="11"/>
        </w:rPr>
        <w:t>autoidentificación</w:t>
      </w:r>
      <w:r>
        <w:rPr>
          <w:spacing w:val="17"/>
          <w:sz w:val="11"/>
        </w:rPr>
        <w:t xml:space="preserve"> </w:t>
      </w:r>
      <w:r>
        <w:rPr>
          <w:spacing w:val="-2"/>
          <w:sz w:val="11"/>
        </w:rPr>
        <w:t>individual.</w:t>
      </w:r>
    </w:p>
    <w:p w14:paraId="55F40CCB" w14:textId="77777777" w:rsidR="0014798C" w:rsidRDefault="004E1F0B">
      <w:pPr>
        <w:spacing w:before="110"/>
        <w:ind w:left="1110"/>
        <w:rPr>
          <w:sz w:val="11"/>
        </w:rPr>
      </w:pPr>
      <w:r>
        <w:rPr>
          <w:spacing w:val="-2"/>
          <w:w w:val="105"/>
          <w:sz w:val="11"/>
        </w:rPr>
        <w:t>881</w:t>
      </w:r>
      <w:r>
        <w:rPr>
          <w:w w:val="105"/>
          <w:sz w:val="11"/>
        </w:rPr>
        <w:t xml:space="preserve"> </w:t>
      </w:r>
      <w:r>
        <w:rPr>
          <w:spacing w:val="-2"/>
          <w:w w:val="105"/>
          <w:sz w:val="11"/>
        </w:rPr>
        <w:t>Sobre</w:t>
      </w:r>
      <w:r>
        <w:rPr>
          <w:w w:val="105"/>
          <w:sz w:val="11"/>
        </w:rPr>
        <w:t xml:space="preserve"> </w:t>
      </w:r>
      <w:r>
        <w:rPr>
          <w:spacing w:val="-2"/>
          <w:w w:val="105"/>
          <w:sz w:val="11"/>
        </w:rPr>
        <w:t>la</w:t>
      </w:r>
      <w:r>
        <w:rPr>
          <w:w w:val="105"/>
          <w:sz w:val="11"/>
        </w:rPr>
        <w:t xml:space="preserve"> </w:t>
      </w:r>
      <w:r>
        <w:rPr>
          <w:spacing w:val="-2"/>
          <w:w w:val="105"/>
          <w:sz w:val="11"/>
        </w:rPr>
        <w:t>autodeterminación</w:t>
      </w:r>
      <w:r>
        <w:rPr>
          <w:w w:val="105"/>
          <w:sz w:val="11"/>
        </w:rPr>
        <w:t xml:space="preserve"> </w:t>
      </w:r>
      <w:r>
        <w:rPr>
          <w:spacing w:val="-2"/>
          <w:w w:val="105"/>
          <w:sz w:val="11"/>
        </w:rPr>
        <w:t>individual</w:t>
      </w:r>
      <w:r>
        <w:rPr>
          <w:spacing w:val="1"/>
          <w:w w:val="105"/>
          <w:sz w:val="11"/>
        </w:rPr>
        <w:t xml:space="preserve"> </w:t>
      </w:r>
      <w:r>
        <w:rPr>
          <w:spacing w:val="-2"/>
          <w:w w:val="105"/>
          <w:sz w:val="11"/>
        </w:rPr>
        <w:t>en</w:t>
      </w:r>
      <w:r>
        <w:rPr>
          <w:w w:val="105"/>
          <w:sz w:val="11"/>
        </w:rPr>
        <w:t xml:space="preserve"> </w:t>
      </w:r>
      <w:r>
        <w:rPr>
          <w:spacing w:val="-2"/>
          <w:w w:val="105"/>
          <w:sz w:val="11"/>
        </w:rPr>
        <w:t>un</w:t>
      </w:r>
      <w:r>
        <w:rPr>
          <w:w w:val="105"/>
          <w:sz w:val="11"/>
        </w:rPr>
        <w:t xml:space="preserve"> </w:t>
      </w:r>
      <w:r>
        <w:rPr>
          <w:spacing w:val="-2"/>
          <w:w w:val="105"/>
          <w:sz w:val="11"/>
        </w:rPr>
        <w:t>contexto</w:t>
      </w:r>
      <w:r>
        <w:rPr>
          <w:w w:val="105"/>
          <w:sz w:val="11"/>
        </w:rPr>
        <w:t xml:space="preserve"> </w:t>
      </w:r>
      <w:r>
        <w:rPr>
          <w:spacing w:val="-2"/>
          <w:w w:val="105"/>
          <w:sz w:val="11"/>
        </w:rPr>
        <w:t>de</w:t>
      </w:r>
      <w:r>
        <w:rPr>
          <w:w w:val="105"/>
          <w:sz w:val="11"/>
        </w:rPr>
        <w:t xml:space="preserve"> </w:t>
      </w:r>
      <w:r>
        <w:rPr>
          <w:spacing w:val="-2"/>
          <w:w w:val="105"/>
          <w:sz w:val="11"/>
        </w:rPr>
        <w:t>derechos</w:t>
      </w:r>
      <w:r>
        <w:rPr>
          <w:spacing w:val="1"/>
          <w:w w:val="105"/>
          <w:sz w:val="11"/>
        </w:rPr>
        <w:t xml:space="preserve"> </w:t>
      </w:r>
      <w:r>
        <w:rPr>
          <w:spacing w:val="-2"/>
          <w:w w:val="105"/>
          <w:sz w:val="11"/>
        </w:rPr>
        <w:t>humanos,</w:t>
      </w:r>
      <w:r>
        <w:rPr>
          <w:w w:val="105"/>
          <w:sz w:val="11"/>
        </w:rPr>
        <w:t xml:space="preserve"> </w:t>
      </w:r>
      <w:r>
        <w:rPr>
          <w:spacing w:val="-2"/>
          <w:w w:val="105"/>
          <w:sz w:val="11"/>
        </w:rPr>
        <w:t>ver,</w:t>
      </w:r>
      <w:r>
        <w:rPr>
          <w:w w:val="105"/>
          <w:sz w:val="11"/>
        </w:rPr>
        <w:t xml:space="preserve"> </w:t>
      </w:r>
      <w:r>
        <w:rPr>
          <w:spacing w:val="-2"/>
          <w:w w:val="105"/>
          <w:sz w:val="11"/>
        </w:rPr>
        <w:t>por</w:t>
      </w:r>
      <w:r>
        <w:rPr>
          <w:w w:val="105"/>
          <w:sz w:val="11"/>
        </w:rPr>
        <w:t xml:space="preserve"> </w:t>
      </w:r>
      <w:r>
        <w:rPr>
          <w:spacing w:val="-2"/>
          <w:w w:val="105"/>
          <w:sz w:val="11"/>
        </w:rPr>
        <w:t>ejemplo,</w:t>
      </w:r>
      <w:r>
        <w:rPr>
          <w:w w:val="105"/>
          <w:sz w:val="11"/>
        </w:rPr>
        <w:t xml:space="preserve"> </w:t>
      </w:r>
      <w:r>
        <w:rPr>
          <w:spacing w:val="-2"/>
          <w:w w:val="105"/>
          <w:sz w:val="11"/>
        </w:rPr>
        <w:t>A/HRC/22/53;</w:t>
      </w:r>
      <w:r>
        <w:rPr>
          <w:spacing w:val="1"/>
          <w:w w:val="105"/>
          <w:sz w:val="11"/>
        </w:rPr>
        <w:t xml:space="preserve"> </w:t>
      </w:r>
      <w:r>
        <w:rPr>
          <w:spacing w:val="-2"/>
          <w:w w:val="105"/>
          <w:sz w:val="11"/>
        </w:rPr>
        <w:t>ACNUDH,</w:t>
      </w:r>
      <w:r>
        <w:rPr>
          <w:w w:val="105"/>
          <w:sz w:val="11"/>
        </w:rPr>
        <w:t xml:space="preserve"> </w:t>
      </w:r>
      <w:r>
        <w:rPr>
          <w:spacing w:val="-2"/>
          <w:w w:val="105"/>
          <w:sz w:val="11"/>
        </w:rPr>
        <w:t>Vivir</w:t>
      </w:r>
      <w:r>
        <w:rPr>
          <w:w w:val="105"/>
          <w:sz w:val="11"/>
        </w:rPr>
        <w:t xml:space="preserve"> </w:t>
      </w:r>
      <w:r>
        <w:rPr>
          <w:spacing w:val="-2"/>
          <w:w w:val="105"/>
          <w:sz w:val="11"/>
        </w:rPr>
        <w:t>libres</w:t>
      </w:r>
      <w:r>
        <w:rPr>
          <w:w w:val="105"/>
          <w:sz w:val="11"/>
        </w:rPr>
        <w:t xml:space="preserve"> </w:t>
      </w:r>
      <w:r>
        <w:rPr>
          <w:spacing w:val="-2"/>
          <w:w w:val="105"/>
          <w:sz w:val="11"/>
        </w:rPr>
        <w:t>e</w:t>
      </w:r>
      <w:r>
        <w:rPr>
          <w:spacing w:val="1"/>
          <w:w w:val="105"/>
          <w:sz w:val="11"/>
        </w:rPr>
        <w:t xml:space="preserve"> </w:t>
      </w:r>
      <w:r>
        <w:rPr>
          <w:spacing w:val="-2"/>
          <w:w w:val="105"/>
          <w:sz w:val="11"/>
        </w:rPr>
        <w:t>iguales,</w:t>
      </w:r>
      <w:r>
        <w:rPr>
          <w:w w:val="105"/>
          <w:sz w:val="11"/>
        </w:rPr>
        <w:t xml:space="preserve"> </w:t>
      </w:r>
      <w:r>
        <w:rPr>
          <w:spacing w:val="-2"/>
          <w:w w:val="105"/>
          <w:sz w:val="11"/>
        </w:rPr>
        <w:t>págs.</w:t>
      </w:r>
      <w:r>
        <w:rPr>
          <w:w w:val="105"/>
          <w:sz w:val="11"/>
        </w:rPr>
        <w:t xml:space="preserve"> </w:t>
      </w:r>
      <w:r>
        <w:rPr>
          <w:spacing w:val="-2"/>
          <w:w w:val="105"/>
          <w:sz w:val="11"/>
        </w:rPr>
        <w:t>47</w:t>
      </w:r>
      <w:r>
        <w:rPr>
          <w:w w:val="105"/>
          <w:sz w:val="11"/>
        </w:rPr>
        <w:t xml:space="preserve"> </w:t>
      </w:r>
      <w:r>
        <w:rPr>
          <w:spacing w:val="-2"/>
          <w:w w:val="105"/>
          <w:sz w:val="11"/>
        </w:rPr>
        <w:t>y</w:t>
      </w:r>
      <w:r>
        <w:rPr>
          <w:w w:val="105"/>
          <w:sz w:val="11"/>
        </w:rPr>
        <w:t xml:space="preserve"> </w:t>
      </w:r>
      <w:r>
        <w:rPr>
          <w:spacing w:val="-5"/>
          <w:sz w:val="11"/>
        </w:rPr>
        <w:t>48;</w:t>
      </w:r>
    </w:p>
    <w:p w14:paraId="0E9BBA77" w14:textId="77777777" w:rsidR="0014798C" w:rsidRDefault="004E1F0B">
      <w:pPr>
        <w:spacing w:before="54" w:line="340" w:lineRule="auto"/>
        <w:ind w:left="1366" w:right="1272" w:firstLine="2"/>
        <w:rPr>
          <w:sz w:val="11"/>
        </w:rPr>
      </w:pPr>
      <w:r>
        <w:rPr>
          <w:w w:val="105"/>
          <w:sz w:val="11"/>
        </w:rPr>
        <w:t>y</w:t>
      </w:r>
      <w:r>
        <w:rPr>
          <w:spacing w:val="-5"/>
          <w:w w:val="105"/>
          <w:sz w:val="11"/>
        </w:rPr>
        <w:t xml:space="preserve"> </w:t>
      </w:r>
      <w:r>
        <w:rPr>
          <w:w w:val="105"/>
          <w:sz w:val="11"/>
        </w:rPr>
        <w:t>ACNUDH</w:t>
      </w:r>
      <w:r>
        <w:rPr>
          <w:spacing w:val="-5"/>
          <w:w w:val="105"/>
          <w:sz w:val="11"/>
        </w:rPr>
        <w:t xml:space="preserve"> </w:t>
      </w:r>
      <w:r>
        <w:rPr>
          <w:w w:val="105"/>
          <w:sz w:val="11"/>
        </w:rPr>
        <w:t>y</w:t>
      </w:r>
      <w:r>
        <w:rPr>
          <w:spacing w:val="-5"/>
          <w:w w:val="105"/>
          <w:sz w:val="11"/>
        </w:rPr>
        <w:t xml:space="preserve"> </w:t>
      </w:r>
      <w:r>
        <w:rPr>
          <w:w w:val="105"/>
          <w:sz w:val="11"/>
        </w:rPr>
        <w:t>otros,</w:t>
      </w:r>
      <w:r>
        <w:rPr>
          <w:spacing w:val="-5"/>
          <w:w w:val="105"/>
          <w:sz w:val="11"/>
        </w:rPr>
        <w:t xml:space="preserve"> </w:t>
      </w:r>
      <w:r>
        <w:rPr>
          <w:w w:val="105"/>
          <w:sz w:val="11"/>
        </w:rPr>
        <w:t>“Eliminación</w:t>
      </w:r>
      <w:r>
        <w:rPr>
          <w:spacing w:val="-5"/>
          <w:w w:val="105"/>
          <w:sz w:val="11"/>
        </w:rPr>
        <w:t xml:space="preserve"> </w:t>
      </w:r>
      <w:r>
        <w:rPr>
          <w:w w:val="105"/>
          <w:sz w:val="11"/>
        </w:rPr>
        <w:t>de</w:t>
      </w:r>
      <w:r>
        <w:rPr>
          <w:spacing w:val="-5"/>
          <w:w w:val="105"/>
          <w:sz w:val="11"/>
        </w:rPr>
        <w:t xml:space="preserve"> </w:t>
      </w:r>
      <w:r>
        <w:rPr>
          <w:w w:val="105"/>
          <w:sz w:val="11"/>
        </w:rPr>
        <w:t>la</w:t>
      </w:r>
      <w:r>
        <w:rPr>
          <w:spacing w:val="-5"/>
          <w:w w:val="105"/>
          <w:sz w:val="11"/>
        </w:rPr>
        <w:t xml:space="preserve"> </w:t>
      </w:r>
      <w:r>
        <w:rPr>
          <w:w w:val="105"/>
          <w:sz w:val="11"/>
        </w:rPr>
        <w:t>esterilización</w:t>
      </w:r>
      <w:r>
        <w:rPr>
          <w:spacing w:val="-5"/>
          <w:w w:val="105"/>
          <w:sz w:val="11"/>
        </w:rPr>
        <w:t xml:space="preserve"> </w:t>
      </w:r>
      <w:r>
        <w:rPr>
          <w:w w:val="105"/>
          <w:sz w:val="11"/>
        </w:rPr>
        <w:t>forzada,</w:t>
      </w:r>
      <w:r>
        <w:rPr>
          <w:spacing w:val="-5"/>
          <w:w w:val="105"/>
          <w:sz w:val="11"/>
        </w:rPr>
        <w:t xml:space="preserve"> </w:t>
      </w:r>
      <w:r>
        <w:rPr>
          <w:w w:val="105"/>
          <w:sz w:val="11"/>
        </w:rPr>
        <w:t>coercitiva</w:t>
      </w:r>
      <w:r>
        <w:rPr>
          <w:spacing w:val="-5"/>
          <w:w w:val="105"/>
          <w:sz w:val="11"/>
        </w:rPr>
        <w:t xml:space="preserve"> </w:t>
      </w:r>
      <w:r>
        <w:rPr>
          <w:w w:val="105"/>
          <w:sz w:val="11"/>
        </w:rPr>
        <w:t>y</w:t>
      </w:r>
      <w:r>
        <w:rPr>
          <w:spacing w:val="-5"/>
          <w:w w:val="105"/>
          <w:sz w:val="11"/>
        </w:rPr>
        <w:t xml:space="preserve"> </w:t>
      </w:r>
      <w:r>
        <w:rPr>
          <w:w w:val="105"/>
          <w:sz w:val="11"/>
        </w:rPr>
        <w:t>de</w:t>
      </w:r>
      <w:r>
        <w:rPr>
          <w:spacing w:val="-5"/>
          <w:w w:val="105"/>
          <w:sz w:val="11"/>
        </w:rPr>
        <w:t xml:space="preserve"> </w:t>
      </w:r>
      <w:r>
        <w:rPr>
          <w:w w:val="105"/>
          <w:sz w:val="11"/>
        </w:rPr>
        <w:t>otro</w:t>
      </w:r>
      <w:r>
        <w:rPr>
          <w:spacing w:val="-5"/>
          <w:w w:val="105"/>
          <w:sz w:val="11"/>
        </w:rPr>
        <w:t xml:space="preserve"> </w:t>
      </w:r>
      <w:r>
        <w:rPr>
          <w:w w:val="105"/>
          <w:sz w:val="11"/>
        </w:rPr>
        <w:t>modo</w:t>
      </w:r>
      <w:r>
        <w:rPr>
          <w:spacing w:val="-5"/>
          <w:w w:val="105"/>
          <w:sz w:val="11"/>
        </w:rPr>
        <w:t xml:space="preserve"> </w:t>
      </w:r>
      <w:r>
        <w:rPr>
          <w:w w:val="105"/>
          <w:sz w:val="11"/>
        </w:rPr>
        <w:t>involuntaria:</w:t>
      </w:r>
      <w:r>
        <w:rPr>
          <w:spacing w:val="-5"/>
          <w:w w:val="105"/>
          <w:sz w:val="11"/>
        </w:rPr>
        <w:t xml:space="preserve"> </w:t>
      </w:r>
      <w:r>
        <w:rPr>
          <w:w w:val="105"/>
          <w:sz w:val="11"/>
        </w:rPr>
        <w:t>una</w:t>
      </w:r>
      <w:r>
        <w:rPr>
          <w:spacing w:val="-5"/>
          <w:w w:val="105"/>
          <w:sz w:val="11"/>
        </w:rPr>
        <w:t xml:space="preserve"> </w:t>
      </w:r>
      <w:r>
        <w:rPr>
          <w:w w:val="105"/>
          <w:sz w:val="11"/>
        </w:rPr>
        <w:t>declaración</w:t>
      </w:r>
      <w:r>
        <w:rPr>
          <w:spacing w:val="-5"/>
          <w:w w:val="105"/>
          <w:sz w:val="11"/>
        </w:rPr>
        <w:t xml:space="preserve"> </w:t>
      </w:r>
      <w:r>
        <w:rPr>
          <w:w w:val="105"/>
          <w:sz w:val="11"/>
        </w:rPr>
        <w:t>interinstitucional”</w:t>
      </w:r>
      <w:r>
        <w:rPr>
          <w:spacing w:val="-5"/>
          <w:w w:val="105"/>
          <w:sz w:val="11"/>
        </w:rPr>
        <w:t xml:space="preserve"> </w:t>
      </w:r>
      <w:r>
        <w:rPr>
          <w:w w:val="105"/>
          <w:sz w:val="11"/>
        </w:rPr>
        <w:t>(Ginebra,</w:t>
      </w:r>
      <w:r>
        <w:rPr>
          <w:spacing w:val="-5"/>
          <w:w w:val="105"/>
          <w:sz w:val="11"/>
        </w:rPr>
        <w:t xml:space="preserve"> </w:t>
      </w:r>
      <w:r>
        <w:rPr>
          <w:w w:val="105"/>
          <w:sz w:val="11"/>
        </w:rPr>
        <w:t>OMS,</w:t>
      </w:r>
      <w:r>
        <w:rPr>
          <w:spacing w:val="-5"/>
          <w:w w:val="105"/>
          <w:sz w:val="11"/>
        </w:rPr>
        <w:t xml:space="preserve"> </w:t>
      </w:r>
      <w:r>
        <w:rPr>
          <w:w w:val="105"/>
          <w:sz w:val="11"/>
        </w:rPr>
        <w:t>2014),</w:t>
      </w:r>
      <w:r>
        <w:rPr>
          <w:spacing w:val="-5"/>
          <w:w w:val="105"/>
          <w:sz w:val="11"/>
        </w:rPr>
        <w:t xml:space="preserve"> </w:t>
      </w:r>
      <w:r>
        <w:rPr>
          <w:w w:val="105"/>
          <w:sz w:val="11"/>
        </w:rPr>
        <w:t>pág.</w:t>
      </w:r>
      <w:r>
        <w:rPr>
          <w:spacing w:val="-5"/>
          <w:w w:val="105"/>
          <w:sz w:val="11"/>
        </w:rPr>
        <w:t xml:space="preserve"> </w:t>
      </w:r>
      <w:r>
        <w:rPr>
          <w:w w:val="105"/>
          <w:sz w:val="11"/>
        </w:rPr>
        <w:t>7.</w:t>
      </w:r>
      <w:r>
        <w:rPr>
          <w:spacing w:val="-5"/>
          <w:w w:val="105"/>
          <w:sz w:val="11"/>
        </w:rPr>
        <w:t xml:space="preserve"> </w:t>
      </w:r>
      <w:r>
        <w:rPr>
          <w:w w:val="105"/>
          <w:sz w:val="11"/>
        </w:rPr>
        <w:t>El</w:t>
      </w:r>
      <w:r>
        <w:rPr>
          <w:spacing w:val="-5"/>
          <w:w w:val="105"/>
          <w:sz w:val="11"/>
        </w:rPr>
        <w:t xml:space="preserve"> </w:t>
      </w:r>
      <w:r>
        <w:rPr>
          <w:w w:val="105"/>
          <w:sz w:val="11"/>
        </w:rPr>
        <w:t>término</w:t>
      </w:r>
      <w:r>
        <w:rPr>
          <w:spacing w:val="40"/>
          <w:w w:val="105"/>
          <w:sz w:val="11"/>
        </w:rPr>
        <w:t xml:space="preserve"> </w:t>
      </w:r>
      <w:r>
        <w:rPr>
          <w:w w:val="105"/>
          <w:sz w:val="11"/>
        </w:rPr>
        <w:t>“autodeterminación</w:t>
      </w:r>
      <w:r>
        <w:rPr>
          <w:spacing w:val="-5"/>
          <w:w w:val="105"/>
          <w:sz w:val="11"/>
        </w:rPr>
        <w:t xml:space="preserve"> </w:t>
      </w:r>
      <w:r>
        <w:rPr>
          <w:w w:val="105"/>
          <w:sz w:val="11"/>
        </w:rPr>
        <w:t>individual”</w:t>
      </w:r>
      <w:r>
        <w:rPr>
          <w:spacing w:val="-5"/>
          <w:w w:val="105"/>
          <w:sz w:val="11"/>
        </w:rPr>
        <w:t xml:space="preserve"> </w:t>
      </w:r>
      <w:r>
        <w:rPr>
          <w:w w:val="105"/>
          <w:sz w:val="11"/>
        </w:rPr>
        <w:t>no</w:t>
      </w:r>
      <w:r>
        <w:rPr>
          <w:spacing w:val="-5"/>
          <w:w w:val="105"/>
          <w:sz w:val="11"/>
        </w:rPr>
        <w:t xml:space="preserve"> </w:t>
      </w:r>
      <w:r>
        <w:rPr>
          <w:w w:val="105"/>
          <w:sz w:val="11"/>
        </w:rPr>
        <w:t>debe</w:t>
      </w:r>
      <w:r>
        <w:rPr>
          <w:spacing w:val="-5"/>
          <w:w w:val="105"/>
          <w:sz w:val="11"/>
        </w:rPr>
        <w:t xml:space="preserve"> </w:t>
      </w:r>
      <w:r>
        <w:rPr>
          <w:w w:val="105"/>
          <w:sz w:val="11"/>
        </w:rPr>
        <w:t>confundirse</w:t>
      </w:r>
      <w:r>
        <w:rPr>
          <w:spacing w:val="-5"/>
          <w:w w:val="105"/>
          <w:sz w:val="11"/>
        </w:rPr>
        <w:t xml:space="preserve"> </w:t>
      </w:r>
      <w:r>
        <w:rPr>
          <w:w w:val="105"/>
          <w:sz w:val="11"/>
        </w:rPr>
        <w:t>con</w:t>
      </w:r>
      <w:r>
        <w:rPr>
          <w:spacing w:val="-5"/>
          <w:w w:val="105"/>
          <w:sz w:val="11"/>
        </w:rPr>
        <w:t xml:space="preserve"> </w:t>
      </w:r>
      <w:r>
        <w:rPr>
          <w:w w:val="105"/>
          <w:sz w:val="11"/>
        </w:rPr>
        <w:t>el</w:t>
      </w:r>
      <w:r>
        <w:rPr>
          <w:spacing w:val="-5"/>
          <w:w w:val="105"/>
          <w:sz w:val="11"/>
        </w:rPr>
        <w:t xml:space="preserve"> </w:t>
      </w:r>
      <w:r>
        <w:rPr>
          <w:w w:val="105"/>
          <w:sz w:val="11"/>
        </w:rPr>
        <w:t>derecho</w:t>
      </w:r>
      <w:r>
        <w:rPr>
          <w:spacing w:val="-5"/>
          <w:w w:val="105"/>
          <w:sz w:val="11"/>
        </w:rPr>
        <w:t xml:space="preserve"> </w:t>
      </w:r>
      <w:r>
        <w:rPr>
          <w:w w:val="105"/>
          <w:sz w:val="11"/>
        </w:rPr>
        <w:t>a</w:t>
      </w:r>
      <w:r>
        <w:rPr>
          <w:spacing w:val="-5"/>
          <w:w w:val="105"/>
          <w:sz w:val="11"/>
        </w:rPr>
        <w:t xml:space="preserve"> </w:t>
      </w:r>
      <w:r>
        <w:rPr>
          <w:w w:val="105"/>
          <w:sz w:val="11"/>
        </w:rPr>
        <w:t>la</w:t>
      </w:r>
      <w:r>
        <w:rPr>
          <w:spacing w:val="-5"/>
          <w:w w:val="105"/>
          <w:sz w:val="11"/>
        </w:rPr>
        <w:t xml:space="preserve"> </w:t>
      </w:r>
      <w:r>
        <w:rPr>
          <w:w w:val="105"/>
          <w:sz w:val="11"/>
        </w:rPr>
        <w:t>libre</w:t>
      </w:r>
      <w:r>
        <w:rPr>
          <w:spacing w:val="-5"/>
          <w:w w:val="105"/>
          <w:sz w:val="11"/>
        </w:rPr>
        <w:t xml:space="preserve"> </w:t>
      </w:r>
      <w:r>
        <w:rPr>
          <w:w w:val="105"/>
          <w:sz w:val="11"/>
        </w:rPr>
        <w:t>determinación</w:t>
      </w:r>
      <w:r>
        <w:rPr>
          <w:spacing w:val="-5"/>
          <w:w w:val="105"/>
          <w:sz w:val="11"/>
        </w:rPr>
        <w:t xml:space="preserve"> </w:t>
      </w:r>
      <w:r>
        <w:rPr>
          <w:w w:val="105"/>
          <w:sz w:val="11"/>
        </w:rPr>
        <w:t>que</w:t>
      </w:r>
      <w:r>
        <w:rPr>
          <w:spacing w:val="-5"/>
          <w:w w:val="105"/>
          <w:sz w:val="11"/>
        </w:rPr>
        <w:t xml:space="preserve"> </w:t>
      </w:r>
      <w:r>
        <w:rPr>
          <w:w w:val="105"/>
          <w:sz w:val="11"/>
        </w:rPr>
        <w:t>disfrutan</w:t>
      </w:r>
      <w:r>
        <w:rPr>
          <w:spacing w:val="-5"/>
          <w:w w:val="105"/>
          <w:sz w:val="11"/>
        </w:rPr>
        <w:t xml:space="preserve"> </w:t>
      </w:r>
      <w:r>
        <w:rPr>
          <w:w w:val="105"/>
          <w:sz w:val="11"/>
        </w:rPr>
        <w:t>los</w:t>
      </w:r>
      <w:r>
        <w:rPr>
          <w:spacing w:val="-5"/>
          <w:w w:val="105"/>
          <w:sz w:val="11"/>
        </w:rPr>
        <w:t xml:space="preserve"> </w:t>
      </w:r>
      <w:r>
        <w:rPr>
          <w:w w:val="105"/>
          <w:sz w:val="11"/>
        </w:rPr>
        <w:t>pueblos</w:t>
      </w:r>
      <w:r>
        <w:rPr>
          <w:spacing w:val="-5"/>
          <w:w w:val="105"/>
          <w:sz w:val="11"/>
        </w:rPr>
        <w:t xml:space="preserve"> </w:t>
      </w:r>
      <w:r>
        <w:rPr>
          <w:w w:val="105"/>
          <w:sz w:val="11"/>
        </w:rPr>
        <w:t>tal</w:t>
      </w:r>
      <w:r>
        <w:rPr>
          <w:spacing w:val="-5"/>
          <w:w w:val="105"/>
          <w:sz w:val="11"/>
        </w:rPr>
        <w:t xml:space="preserve"> </w:t>
      </w:r>
      <w:r>
        <w:rPr>
          <w:w w:val="105"/>
          <w:sz w:val="11"/>
        </w:rPr>
        <w:t>como</w:t>
      </w:r>
      <w:r>
        <w:rPr>
          <w:spacing w:val="-5"/>
          <w:w w:val="105"/>
          <w:sz w:val="11"/>
        </w:rPr>
        <w:t xml:space="preserve"> </w:t>
      </w:r>
      <w:r>
        <w:rPr>
          <w:w w:val="105"/>
          <w:sz w:val="11"/>
        </w:rPr>
        <w:t>se</w:t>
      </w:r>
      <w:r>
        <w:rPr>
          <w:spacing w:val="-5"/>
          <w:w w:val="105"/>
          <w:sz w:val="11"/>
        </w:rPr>
        <w:t xml:space="preserve"> </w:t>
      </w:r>
      <w:r>
        <w:rPr>
          <w:w w:val="105"/>
          <w:sz w:val="11"/>
        </w:rPr>
        <w:t>establece</w:t>
      </w:r>
      <w:r>
        <w:rPr>
          <w:spacing w:val="-5"/>
          <w:w w:val="105"/>
          <w:sz w:val="11"/>
        </w:rPr>
        <w:t xml:space="preserve"> </w:t>
      </w:r>
      <w:r>
        <w:rPr>
          <w:w w:val="105"/>
          <w:sz w:val="11"/>
        </w:rPr>
        <w:t>en</w:t>
      </w:r>
      <w:r>
        <w:rPr>
          <w:spacing w:val="-5"/>
          <w:w w:val="105"/>
          <w:sz w:val="11"/>
        </w:rPr>
        <w:t xml:space="preserve"> </w:t>
      </w:r>
      <w:r>
        <w:rPr>
          <w:w w:val="105"/>
          <w:sz w:val="11"/>
        </w:rPr>
        <w:t>el</w:t>
      </w:r>
      <w:r>
        <w:rPr>
          <w:spacing w:val="-5"/>
          <w:w w:val="105"/>
          <w:sz w:val="11"/>
        </w:rPr>
        <w:t xml:space="preserve"> </w:t>
      </w:r>
      <w:r>
        <w:rPr>
          <w:w w:val="105"/>
          <w:sz w:val="11"/>
        </w:rPr>
        <w:t>Pacto</w:t>
      </w:r>
      <w:r>
        <w:rPr>
          <w:spacing w:val="-5"/>
          <w:w w:val="105"/>
          <w:sz w:val="11"/>
        </w:rPr>
        <w:t xml:space="preserve"> </w:t>
      </w:r>
      <w:r>
        <w:rPr>
          <w:w w:val="105"/>
          <w:sz w:val="11"/>
        </w:rPr>
        <w:t>Internacional</w:t>
      </w:r>
      <w:r>
        <w:rPr>
          <w:spacing w:val="-5"/>
          <w:w w:val="105"/>
          <w:sz w:val="11"/>
        </w:rPr>
        <w:t xml:space="preserve"> </w:t>
      </w:r>
      <w:r>
        <w:rPr>
          <w:w w:val="105"/>
          <w:sz w:val="11"/>
        </w:rPr>
        <w:t>de</w:t>
      </w:r>
      <w:r>
        <w:rPr>
          <w:spacing w:val="-5"/>
          <w:w w:val="105"/>
          <w:sz w:val="11"/>
        </w:rPr>
        <w:t xml:space="preserve"> </w:t>
      </w:r>
      <w:r>
        <w:rPr>
          <w:w w:val="105"/>
          <w:sz w:val="11"/>
        </w:rPr>
        <w:t>Derechos</w:t>
      </w:r>
      <w:r>
        <w:rPr>
          <w:spacing w:val="40"/>
          <w:w w:val="105"/>
          <w:sz w:val="11"/>
        </w:rPr>
        <w:t xml:space="preserve"> </w:t>
      </w:r>
      <w:r>
        <w:rPr>
          <w:w w:val="105"/>
          <w:sz w:val="11"/>
        </w:rPr>
        <w:t>Civiles y Políticos</w:t>
      </w:r>
      <w:r>
        <w:rPr>
          <w:spacing w:val="-1"/>
          <w:w w:val="105"/>
          <w:sz w:val="11"/>
        </w:rPr>
        <w:t xml:space="preserve"> </w:t>
      </w:r>
      <w:r>
        <w:rPr>
          <w:w w:val="105"/>
          <w:sz w:val="11"/>
        </w:rPr>
        <w:t>y el Pacto Internacional de Derechos Económicos, Sociales y Culturales.</w:t>
      </w:r>
    </w:p>
    <w:p w14:paraId="074D1E3B" w14:textId="77777777" w:rsidR="0014798C" w:rsidRDefault="0014798C">
      <w:pPr>
        <w:spacing w:line="340" w:lineRule="auto"/>
        <w:rPr>
          <w:sz w:val="11"/>
        </w:rPr>
        <w:sectPr w:rsidR="0014798C" w:rsidSect="00F265E4">
          <w:pgSz w:w="11900" w:h="16820"/>
          <w:pgMar w:top="340" w:right="0" w:bottom="280" w:left="200" w:header="121" w:footer="0" w:gutter="0"/>
          <w:cols w:space="720"/>
        </w:sectPr>
      </w:pPr>
    </w:p>
    <w:p w14:paraId="348D7D59" w14:textId="77777777" w:rsidR="0014798C" w:rsidRDefault="004E1F0B">
      <w:pPr>
        <w:spacing w:before="40"/>
        <w:jc w:val="right"/>
        <w:rPr>
          <w:sz w:val="8"/>
        </w:rPr>
      </w:pPr>
      <w:r>
        <w:rPr>
          <w:spacing w:val="-5"/>
          <w:w w:val="105"/>
          <w:sz w:val="8"/>
        </w:rPr>
        <w:t>882</w:t>
      </w:r>
    </w:p>
    <w:p w14:paraId="330E96D9" w14:textId="77777777" w:rsidR="0014798C" w:rsidRDefault="0014798C">
      <w:pPr>
        <w:pStyle w:val="Textoindependiente"/>
        <w:rPr>
          <w:sz w:val="8"/>
        </w:rPr>
      </w:pPr>
    </w:p>
    <w:p w14:paraId="51BDE2AA" w14:textId="77777777" w:rsidR="0014798C" w:rsidRDefault="0014798C">
      <w:pPr>
        <w:pStyle w:val="Textoindependiente"/>
        <w:rPr>
          <w:sz w:val="8"/>
        </w:rPr>
      </w:pPr>
    </w:p>
    <w:p w14:paraId="7CAD79CF" w14:textId="77777777" w:rsidR="0014798C" w:rsidRDefault="0014798C">
      <w:pPr>
        <w:pStyle w:val="Textoindependiente"/>
        <w:spacing w:before="48"/>
        <w:rPr>
          <w:sz w:val="8"/>
        </w:rPr>
      </w:pPr>
    </w:p>
    <w:p w14:paraId="2626E32D" w14:textId="77777777" w:rsidR="0014798C" w:rsidRDefault="004E1F0B">
      <w:pPr>
        <w:jc w:val="right"/>
        <w:rPr>
          <w:sz w:val="8"/>
        </w:rPr>
      </w:pPr>
      <w:r>
        <w:rPr>
          <w:spacing w:val="-5"/>
          <w:w w:val="105"/>
          <w:sz w:val="8"/>
        </w:rPr>
        <w:t>883</w:t>
      </w:r>
    </w:p>
    <w:p w14:paraId="3CE5FB42" w14:textId="77777777" w:rsidR="0014798C" w:rsidRDefault="004E1F0B">
      <w:pPr>
        <w:spacing w:before="57" w:line="340" w:lineRule="auto"/>
        <w:ind w:left="77" w:right="1494" w:firstLine="2"/>
        <w:rPr>
          <w:sz w:val="11"/>
        </w:rPr>
      </w:pPr>
      <w:r>
        <w:br w:type="column"/>
      </w:r>
      <w:r>
        <w:rPr>
          <w:w w:val="105"/>
          <w:sz w:val="11"/>
        </w:rPr>
        <w:t>ACNUDH,</w:t>
      </w:r>
      <w:r>
        <w:rPr>
          <w:spacing w:val="-5"/>
          <w:w w:val="105"/>
          <w:sz w:val="11"/>
        </w:rPr>
        <w:t xml:space="preserve"> </w:t>
      </w:r>
      <w:r>
        <w:rPr>
          <w:w w:val="105"/>
          <w:sz w:val="11"/>
        </w:rPr>
        <w:t>“Experto</w:t>
      </w:r>
      <w:r>
        <w:rPr>
          <w:spacing w:val="-5"/>
          <w:w w:val="105"/>
          <w:sz w:val="11"/>
        </w:rPr>
        <w:t xml:space="preserve"> </w:t>
      </w:r>
      <w:r>
        <w:rPr>
          <w:w w:val="105"/>
          <w:sz w:val="11"/>
        </w:rPr>
        <w:t>en</w:t>
      </w:r>
      <w:r>
        <w:rPr>
          <w:spacing w:val="-5"/>
          <w:w w:val="105"/>
          <w:sz w:val="11"/>
        </w:rPr>
        <w:t xml:space="preserve"> </w:t>
      </w:r>
      <w:r>
        <w:rPr>
          <w:w w:val="105"/>
          <w:sz w:val="11"/>
        </w:rPr>
        <w:t>derechos</w:t>
      </w:r>
      <w:r>
        <w:rPr>
          <w:spacing w:val="-5"/>
          <w:w w:val="105"/>
          <w:sz w:val="11"/>
        </w:rPr>
        <w:t xml:space="preserve"> </w:t>
      </w:r>
      <w:r>
        <w:rPr>
          <w:w w:val="105"/>
          <w:sz w:val="11"/>
        </w:rPr>
        <w:t>humanos</w:t>
      </w:r>
      <w:r>
        <w:rPr>
          <w:spacing w:val="-5"/>
          <w:w w:val="105"/>
          <w:sz w:val="11"/>
        </w:rPr>
        <w:t xml:space="preserve"> </w:t>
      </w:r>
      <w:r>
        <w:rPr>
          <w:w w:val="105"/>
          <w:sz w:val="11"/>
        </w:rPr>
        <w:t>de</w:t>
      </w:r>
      <w:r>
        <w:rPr>
          <w:spacing w:val="-5"/>
          <w:w w:val="105"/>
          <w:sz w:val="11"/>
        </w:rPr>
        <w:t xml:space="preserve"> </w:t>
      </w:r>
      <w:r>
        <w:rPr>
          <w:w w:val="105"/>
          <w:sz w:val="11"/>
        </w:rPr>
        <w:t>la</w:t>
      </w:r>
      <w:r>
        <w:rPr>
          <w:spacing w:val="-5"/>
          <w:w w:val="105"/>
          <w:sz w:val="11"/>
        </w:rPr>
        <w:t xml:space="preserve"> </w:t>
      </w:r>
      <w:r>
        <w:rPr>
          <w:w w:val="105"/>
          <w:sz w:val="11"/>
        </w:rPr>
        <w:t>ONU</w:t>
      </w:r>
      <w:r>
        <w:rPr>
          <w:spacing w:val="-5"/>
          <w:w w:val="105"/>
          <w:sz w:val="11"/>
        </w:rPr>
        <w:t xml:space="preserve"> </w:t>
      </w:r>
      <w:r>
        <w:rPr>
          <w:w w:val="105"/>
          <w:sz w:val="11"/>
        </w:rPr>
        <w:t>llama</w:t>
      </w:r>
      <w:r>
        <w:rPr>
          <w:spacing w:val="-5"/>
          <w:w w:val="105"/>
          <w:sz w:val="11"/>
        </w:rPr>
        <w:t xml:space="preserve"> </w:t>
      </w:r>
      <w:r>
        <w:rPr>
          <w:w w:val="105"/>
          <w:sz w:val="11"/>
        </w:rPr>
        <w:t>a</w:t>
      </w:r>
      <w:r>
        <w:rPr>
          <w:spacing w:val="-5"/>
          <w:w w:val="105"/>
          <w:sz w:val="11"/>
        </w:rPr>
        <w:t xml:space="preserve"> </w:t>
      </w:r>
      <w:r>
        <w:rPr>
          <w:w w:val="105"/>
          <w:sz w:val="11"/>
        </w:rPr>
        <w:t>reconocer</w:t>
      </w:r>
      <w:r>
        <w:rPr>
          <w:spacing w:val="-5"/>
          <w:w w:val="105"/>
          <w:sz w:val="11"/>
        </w:rPr>
        <w:t xml:space="preserve"> </w:t>
      </w:r>
      <w:r>
        <w:rPr>
          <w:w w:val="105"/>
          <w:sz w:val="11"/>
        </w:rPr>
        <w:t>los</w:t>
      </w:r>
      <w:r>
        <w:rPr>
          <w:spacing w:val="-5"/>
          <w:w w:val="105"/>
          <w:sz w:val="11"/>
        </w:rPr>
        <w:t xml:space="preserve"> </w:t>
      </w:r>
      <w:r>
        <w:rPr>
          <w:w w:val="105"/>
          <w:sz w:val="11"/>
        </w:rPr>
        <w:t>derechos</w:t>
      </w:r>
      <w:r>
        <w:rPr>
          <w:spacing w:val="-5"/>
          <w:w w:val="105"/>
          <w:sz w:val="11"/>
        </w:rPr>
        <w:t xml:space="preserve"> </w:t>
      </w:r>
      <w:r>
        <w:rPr>
          <w:w w:val="105"/>
          <w:sz w:val="11"/>
        </w:rPr>
        <w:t>de</w:t>
      </w:r>
      <w:r>
        <w:rPr>
          <w:spacing w:val="-5"/>
          <w:w w:val="105"/>
          <w:sz w:val="11"/>
        </w:rPr>
        <w:t xml:space="preserve"> </w:t>
      </w:r>
      <w:r>
        <w:rPr>
          <w:w w:val="105"/>
          <w:sz w:val="11"/>
        </w:rPr>
        <w:t>los</w:t>
      </w:r>
      <w:r>
        <w:rPr>
          <w:spacing w:val="-5"/>
          <w:w w:val="105"/>
          <w:sz w:val="11"/>
        </w:rPr>
        <w:t xml:space="preserve"> </w:t>
      </w:r>
      <w:r>
        <w:rPr>
          <w:w w:val="105"/>
          <w:sz w:val="11"/>
        </w:rPr>
        <w:t>usuarios</w:t>
      </w:r>
      <w:r>
        <w:rPr>
          <w:spacing w:val="-5"/>
          <w:w w:val="105"/>
          <w:sz w:val="11"/>
        </w:rPr>
        <w:t xml:space="preserve"> </w:t>
      </w:r>
      <w:r>
        <w:rPr>
          <w:w w:val="105"/>
          <w:sz w:val="11"/>
        </w:rPr>
        <w:t>de</w:t>
      </w:r>
      <w:r>
        <w:rPr>
          <w:spacing w:val="-5"/>
          <w:w w:val="105"/>
          <w:sz w:val="11"/>
        </w:rPr>
        <w:t xml:space="preserve"> </w:t>
      </w:r>
      <w:r>
        <w:rPr>
          <w:w w:val="105"/>
          <w:sz w:val="11"/>
        </w:rPr>
        <w:t>lenguas</w:t>
      </w:r>
      <w:r>
        <w:rPr>
          <w:spacing w:val="-5"/>
          <w:w w:val="105"/>
          <w:sz w:val="11"/>
        </w:rPr>
        <w:t xml:space="preserve"> </w:t>
      </w:r>
      <w:r>
        <w:rPr>
          <w:w w:val="105"/>
          <w:sz w:val="11"/>
        </w:rPr>
        <w:t>de</w:t>
      </w:r>
      <w:r>
        <w:rPr>
          <w:spacing w:val="-5"/>
          <w:w w:val="105"/>
          <w:sz w:val="11"/>
        </w:rPr>
        <w:t xml:space="preserve"> </w:t>
      </w:r>
      <w:r>
        <w:rPr>
          <w:w w:val="105"/>
          <w:sz w:val="11"/>
        </w:rPr>
        <w:t>signos</w:t>
      </w:r>
      <w:r>
        <w:rPr>
          <w:spacing w:val="-5"/>
          <w:w w:val="105"/>
          <w:sz w:val="11"/>
        </w:rPr>
        <w:t xml:space="preserve"> </w:t>
      </w:r>
      <w:r>
        <w:rPr>
          <w:w w:val="105"/>
          <w:sz w:val="11"/>
        </w:rPr>
        <w:t>como</w:t>
      </w:r>
      <w:r>
        <w:rPr>
          <w:spacing w:val="-5"/>
          <w:w w:val="105"/>
          <w:sz w:val="11"/>
        </w:rPr>
        <w:t xml:space="preserve"> </w:t>
      </w:r>
      <w:r>
        <w:rPr>
          <w:w w:val="105"/>
          <w:sz w:val="11"/>
        </w:rPr>
        <w:t>minorías”,</w:t>
      </w:r>
      <w:r>
        <w:rPr>
          <w:spacing w:val="-5"/>
          <w:w w:val="105"/>
          <w:sz w:val="11"/>
        </w:rPr>
        <w:t xml:space="preserve"> </w:t>
      </w:r>
      <w:r>
        <w:rPr>
          <w:w w:val="105"/>
          <w:sz w:val="11"/>
        </w:rPr>
        <w:t>22</w:t>
      </w:r>
      <w:r>
        <w:rPr>
          <w:spacing w:val="-5"/>
          <w:w w:val="105"/>
          <w:sz w:val="11"/>
        </w:rPr>
        <w:t xml:space="preserve"> </w:t>
      </w:r>
      <w:r>
        <w:rPr>
          <w:w w:val="105"/>
          <w:sz w:val="11"/>
        </w:rPr>
        <w:t>de</w:t>
      </w:r>
      <w:r>
        <w:rPr>
          <w:spacing w:val="-5"/>
          <w:w w:val="105"/>
          <w:sz w:val="11"/>
        </w:rPr>
        <w:t xml:space="preserve"> </w:t>
      </w:r>
      <w:r>
        <w:rPr>
          <w:w w:val="105"/>
          <w:sz w:val="11"/>
        </w:rPr>
        <w:t>septiembre</w:t>
      </w:r>
      <w:r>
        <w:rPr>
          <w:spacing w:val="-5"/>
          <w:w w:val="105"/>
          <w:sz w:val="11"/>
        </w:rPr>
        <w:t xml:space="preserve"> </w:t>
      </w:r>
      <w:r>
        <w:rPr>
          <w:w w:val="105"/>
          <w:sz w:val="11"/>
        </w:rPr>
        <w:t>de</w:t>
      </w:r>
      <w:r>
        <w:rPr>
          <w:spacing w:val="-5"/>
          <w:w w:val="105"/>
          <w:sz w:val="11"/>
        </w:rPr>
        <w:t xml:space="preserve"> </w:t>
      </w:r>
      <w:r>
        <w:rPr>
          <w:w w:val="105"/>
          <w:sz w:val="11"/>
        </w:rPr>
        <w:t>2020.</w:t>
      </w:r>
      <w:r>
        <w:rPr>
          <w:spacing w:val="40"/>
          <w:w w:val="105"/>
          <w:sz w:val="11"/>
        </w:rPr>
        <w:t xml:space="preserve"> </w:t>
      </w:r>
      <w:r>
        <w:rPr>
          <w:w w:val="105"/>
          <w:sz w:val="11"/>
        </w:rPr>
        <w:t>Disponible</w:t>
      </w:r>
      <w:r>
        <w:rPr>
          <w:spacing w:val="-9"/>
          <w:w w:val="105"/>
          <w:sz w:val="11"/>
        </w:rPr>
        <w:t xml:space="preserve"> </w:t>
      </w:r>
      <w:r>
        <w:rPr>
          <w:w w:val="105"/>
          <w:sz w:val="11"/>
        </w:rPr>
        <w:t>en</w:t>
      </w:r>
      <w:r>
        <w:rPr>
          <w:spacing w:val="-8"/>
          <w:w w:val="105"/>
          <w:sz w:val="11"/>
        </w:rPr>
        <w:t xml:space="preserve"> </w:t>
      </w:r>
      <w:hyperlink r:id="rId246">
        <w:r>
          <w:rPr>
            <w:color w:val="0075BF"/>
            <w:w w:val="105"/>
            <w:sz w:val="11"/>
          </w:rPr>
          <w:t>www.ohchr.org/EN/NewsEvents/Pages/DisplayNews.aspx?NewsID=26278&amp;LangID=E.</w:t>
        </w:r>
      </w:hyperlink>
    </w:p>
    <w:p w14:paraId="5DE4D882" w14:textId="77777777" w:rsidR="0014798C" w:rsidRDefault="004E1F0B">
      <w:pPr>
        <w:spacing w:before="57" w:line="340" w:lineRule="auto"/>
        <w:ind w:left="74" w:right="1494" w:hanging="1"/>
        <w:rPr>
          <w:sz w:val="11"/>
        </w:rPr>
      </w:pPr>
      <w:r>
        <w:rPr>
          <w:w w:val="105"/>
          <w:sz w:val="11"/>
        </w:rPr>
        <w:t>A/75/211,</w:t>
      </w:r>
      <w:r>
        <w:rPr>
          <w:spacing w:val="-4"/>
          <w:w w:val="105"/>
          <w:sz w:val="11"/>
        </w:rPr>
        <w:t xml:space="preserve"> </w:t>
      </w:r>
      <w:r>
        <w:rPr>
          <w:w w:val="105"/>
          <w:sz w:val="11"/>
        </w:rPr>
        <w:t>párr.</w:t>
      </w:r>
      <w:r>
        <w:rPr>
          <w:spacing w:val="-4"/>
          <w:w w:val="105"/>
          <w:sz w:val="11"/>
        </w:rPr>
        <w:t xml:space="preserve"> </w:t>
      </w:r>
      <w:r>
        <w:rPr>
          <w:w w:val="105"/>
          <w:sz w:val="11"/>
        </w:rPr>
        <w:t>76</w:t>
      </w:r>
      <w:r>
        <w:rPr>
          <w:spacing w:val="-4"/>
          <w:w w:val="105"/>
          <w:sz w:val="11"/>
        </w:rPr>
        <w:t xml:space="preserve"> </w:t>
      </w:r>
      <w:r>
        <w:rPr>
          <w:w w:val="105"/>
          <w:sz w:val="11"/>
        </w:rPr>
        <w:t>b).</w:t>
      </w:r>
      <w:r>
        <w:rPr>
          <w:spacing w:val="-4"/>
          <w:w w:val="105"/>
          <w:sz w:val="11"/>
        </w:rPr>
        <w:t xml:space="preserve"> </w:t>
      </w:r>
      <w:r>
        <w:rPr>
          <w:w w:val="105"/>
          <w:sz w:val="11"/>
        </w:rPr>
        <w:t>Véase</w:t>
      </w:r>
      <w:r>
        <w:rPr>
          <w:spacing w:val="-4"/>
          <w:w w:val="105"/>
          <w:sz w:val="11"/>
        </w:rPr>
        <w:t xml:space="preserve"> </w:t>
      </w:r>
      <w:r>
        <w:rPr>
          <w:w w:val="105"/>
          <w:sz w:val="11"/>
        </w:rPr>
        <w:t>también</w:t>
      </w:r>
      <w:r>
        <w:rPr>
          <w:spacing w:val="-4"/>
          <w:w w:val="105"/>
          <w:sz w:val="11"/>
        </w:rPr>
        <w:t xml:space="preserve"> </w:t>
      </w:r>
      <w:r>
        <w:rPr>
          <w:w w:val="105"/>
          <w:sz w:val="11"/>
        </w:rPr>
        <w:t>la</w:t>
      </w:r>
      <w:r>
        <w:rPr>
          <w:spacing w:val="-4"/>
          <w:w w:val="105"/>
          <w:sz w:val="11"/>
        </w:rPr>
        <w:t xml:space="preserve"> </w:t>
      </w:r>
      <w:r>
        <w:rPr>
          <w:w w:val="105"/>
          <w:sz w:val="11"/>
        </w:rPr>
        <w:t>Declaración</w:t>
      </w:r>
      <w:r>
        <w:rPr>
          <w:spacing w:val="-4"/>
          <w:w w:val="105"/>
          <w:sz w:val="11"/>
        </w:rPr>
        <w:t xml:space="preserve"> </w:t>
      </w:r>
      <w:r>
        <w:rPr>
          <w:w w:val="105"/>
          <w:sz w:val="11"/>
        </w:rPr>
        <w:t>de</w:t>
      </w:r>
      <w:r>
        <w:rPr>
          <w:spacing w:val="-4"/>
          <w:w w:val="105"/>
          <w:sz w:val="11"/>
        </w:rPr>
        <w:t xml:space="preserve"> </w:t>
      </w:r>
      <w:r>
        <w:rPr>
          <w:w w:val="105"/>
          <w:sz w:val="11"/>
        </w:rPr>
        <w:t>Beirut</w:t>
      </w:r>
      <w:r>
        <w:rPr>
          <w:spacing w:val="-4"/>
          <w:w w:val="105"/>
          <w:sz w:val="11"/>
        </w:rPr>
        <w:t xml:space="preserve"> </w:t>
      </w:r>
      <w:r>
        <w:rPr>
          <w:w w:val="105"/>
          <w:sz w:val="11"/>
        </w:rPr>
        <w:t>y</w:t>
      </w:r>
      <w:r>
        <w:rPr>
          <w:spacing w:val="-4"/>
          <w:w w:val="105"/>
          <w:sz w:val="11"/>
        </w:rPr>
        <w:t xml:space="preserve"> </w:t>
      </w:r>
      <w:r>
        <w:rPr>
          <w:w w:val="105"/>
          <w:sz w:val="11"/>
        </w:rPr>
        <w:t>sus</w:t>
      </w:r>
      <w:r>
        <w:rPr>
          <w:spacing w:val="-4"/>
          <w:w w:val="105"/>
          <w:sz w:val="11"/>
        </w:rPr>
        <w:t xml:space="preserve"> </w:t>
      </w:r>
      <w:r>
        <w:rPr>
          <w:w w:val="105"/>
          <w:sz w:val="11"/>
        </w:rPr>
        <w:t>18</w:t>
      </w:r>
      <w:r>
        <w:rPr>
          <w:spacing w:val="-4"/>
          <w:w w:val="105"/>
          <w:sz w:val="11"/>
        </w:rPr>
        <w:t xml:space="preserve"> </w:t>
      </w:r>
      <w:r>
        <w:rPr>
          <w:w w:val="105"/>
          <w:sz w:val="11"/>
        </w:rPr>
        <w:t>Compromisos</w:t>
      </w:r>
      <w:r>
        <w:rPr>
          <w:spacing w:val="-4"/>
          <w:w w:val="105"/>
          <w:sz w:val="11"/>
        </w:rPr>
        <w:t xml:space="preserve"> </w:t>
      </w:r>
      <w:r>
        <w:rPr>
          <w:w w:val="105"/>
          <w:sz w:val="11"/>
        </w:rPr>
        <w:t>sobre</w:t>
      </w:r>
      <w:r>
        <w:rPr>
          <w:spacing w:val="-4"/>
          <w:w w:val="105"/>
          <w:sz w:val="11"/>
        </w:rPr>
        <w:t xml:space="preserve"> </w:t>
      </w:r>
      <w:r>
        <w:rPr>
          <w:w w:val="105"/>
          <w:sz w:val="11"/>
        </w:rPr>
        <w:t>la</w:t>
      </w:r>
      <w:r>
        <w:rPr>
          <w:spacing w:val="-4"/>
          <w:w w:val="105"/>
          <w:sz w:val="11"/>
        </w:rPr>
        <w:t xml:space="preserve"> </w:t>
      </w:r>
      <w:r>
        <w:rPr>
          <w:w w:val="105"/>
          <w:sz w:val="11"/>
        </w:rPr>
        <w:t>fe</w:t>
      </w:r>
      <w:r>
        <w:rPr>
          <w:spacing w:val="-4"/>
          <w:w w:val="105"/>
          <w:sz w:val="11"/>
        </w:rPr>
        <w:t xml:space="preserve"> </w:t>
      </w:r>
      <w:r>
        <w:rPr>
          <w:w w:val="105"/>
          <w:sz w:val="11"/>
        </w:rPr>
        <w:t>por</w:t>
      </w:r>
      <w:r>
        <w:rPr>
          <w:spacing w:val="-4"/>
          <w:w w:val="105"/>
          <w:sz w:val="11"/>
        </w:rPr>
        <w:t xml:space="preserve"> </w:t>
      </w:r>
      <w:r>
        <w:rPr>
          <w:w w:val="105"/>
          <w:sz w:val="11"/>
        </w:rPr>
        <w:t>los</w:t>
      </w:r>
      <w:r>
        <w:rPr>
          <w:spacing w:val="-4"/>
          <w:w w:val="105"/>
          <w:sz w:val="11"/>
        </w:rPr>
        <w:t xml:space="preserve"> </w:t>
      </w:r>
      <w:r>
        <w:rPr>
          <w:w w:val="105"/>
          <w:sz w:val="11"/>
        </w:rPr>
        <w:t>derechos</w:t>
      </w:r>
      <w:r>
        <w:rPr>
          <w:spacing w:val="-4"/>
          <w:w w:val="105"/>
          <w:sz w:val="11"/>
        </w:rPr>
        <w:t xml:space="preserve"> </w:t>
      </w:r>
      <w:r>
        <w:rPr>
          <w:w w:val="105"/>
          <w:sz w:val="11"/>
        </w:rPr>
        <w:t>(en</w:t>
      </w:r>
      <w:r>
        <w:rPr>
          <w:spacing w:val="-4"/>
          <w:w w:val="105"/>
          <w:sz w:val="11"/>
        </w:rPr>
        <w:t xml:space="preserve"> </w:t>
      </w:r>
      <w:r>
        <w:rPr>
          <w:w w:val="105"/>
          <w:sz w:val="11"/>
        </w:rPr>
        <w:t>particular,</w:t>
      </w:r>
      <w:r>
        <w:rPr>
          <w:spacing w:val="-4"/>
          <w:w w:val="105"/>
          <w:sz w:val="11"/>
        </w:rPr>
        <w:t xml:space="preserve"> </w:t>
      </w:r>
      <w:r>
        <w:rPr>
          <w:w w:val="105"/>
          <w:sz w:val="11"/>
        </w:rPr>
        <w:t>el</w:t>
      </w:r>
      <w:r>
        <w:rPr>
          <w:spacing w:val="-4"/>
          <w:w w:val="105"/>
          <w:sz w:val="11"/>
        </w:rPr>
        <w:t xml:space="preserve"> </w:t>
      </w:r>
      <w:r>
        <w:rPr>
          <w:w w:val="105"/>
          <w:sz w:val="11"/>
        </w:rPr>
        <w:t>compromiso</w:t>
      </w:r>
      <w:r>
        <w:rPr>
          <w:spacing w:val="-4"/>
          <w:w w:val="105"/>
          <w:sz w:val="11"/>
        </w:rPr>
        <w:t xml:space="preserve"> </w:t>
      </w:r>
      <w:r>
        <w:rPr>
          <w:w w:val="105"/>
          <w:sz w:val="11"/>
        </w:rPr>
        <w:t>II,</w:t>
      </w:r>
      <w:r>
        <w:rPr>
          <w:spacing w:val="-4"/>
          <w:w w:val="105"/>
          <w:sz w:val="11"/>
        </w:rPr>
        <w:t xml:space="preserve"> </w:t>
      </w:r>
      <w:r>
        <w:rPr>
          <w:w w:val="105"/>
          <w:sz w:val="11"/>
        </w:rPr>
        <w:t>que</w:t>
      </w:r>
      <w:r>
        <w:rPr>
          <w:spacing w:val="-4"/>
          <w:w w:val="105"/>
          <w:sz w:val="11"/>
        </w:rPr>
        <w:t xml:space="preserve"> </w:t>
      </w:r>
      <w:r>
        <w:rPr>
          <w:w w:val="105"/>
          <w:sz w:val="11"/>
        </w:rPr>
        <w:t>se</w:t>
      </w:r>
      <w:r>
        <w:rPr>
          <w:spacing w:val="-4"/>
          <w:w w:val="105"/>
          <w:sz w:val="11"/>
        </w:rPr>
        <w:t xml:space="preserve"> </w:t>
      </w:r>
      <w:r>
        <w:rPr>
          <w:w w:val="105"/>
          <w:sz w:val="11"/>
        </w:rPr>
        <w:t>refiere</w:t>
      </w:r>
      <w:r>
        <w:rPr>
          <w:spacing w:val="-4"/>
          <w:w w:val="105"/>
          <w:sz w:val="11"/>
        </w:rPr>
        <w:t xml:space="preserve"> </w:t>
      </w:r>
      <w:r>
        <w:rPr>
          <w:w w:val="105"/>
          <w:sz w:val="11"/>
        </w:rPr>
        <w:t>a</w:t>
      </w:r>
      <w:r>
        <w:rPr>
          <w:spacing w:val="-4"/>
          <w:w w:val="105"/>
          <w:sz w:val="11"/>
        </w:rPr>
        <w:t xml:space="preserve"> </w:t>
      </w:r>
      <w:r>
        <w:rPr>
          <w:w w:val="105"/>
          <w:sz w:val="11"/>
        </w:rPr>
        <w:t>los</w:t>
      </w:r>
      <w:r>
        <w:rPr>
          <w:spacing w:val="40"/>
          <w:w w:val="105"/>
          <w:sz w:val="11"/>
        </w:rPr>
        <w:t xml:space="preserve"> </w:t>
      </w:r>
      <w:r>
        <w:rPr>
          <w:w w:val="105"/>
          <w:sz w:val="11"/>
        </w:rPr>
        <w:t>creyentes</w:t>
      </w:r>
      <w:r>
        <w:rPr>
          <w:spacing w:val="-1"/>
          <w:w w:val="105"/>
          <w:sz w:val="11"/>
        </w:rPr>
        <w:t xml:space="preserve"> </w:t>
      </w:r>
      <w:r>
        <w:rPr>
          <w:w w:val="105"/>
          <w:sz w:val="11"/>
        </w:rPr>
        <w:t>teístas,</w:t>
      </w:r>
      <w:r>
        <w:rPr>
          <w:spacing w:val="-1"/>
          <w:w w:val="105"/>
          <w:sz w:val="11"/>
        </w:rPr>
        <w:t xml:space="preserve"> </w:t>
      </w:r>
      <w:r>
        <w:rPr>
          <w:w w:val="105"/>
          <w:sz w:val="11"/>
        </w:rPr>
        <w:t>no</w:t>
      </w:r>
      <w:r>
        <w:rPr>
          <w:spacing w:val="-1"/>
          <w:w w:val="105"/>
          <w:sz w:val="11"/>
        </w:rPr>
        <w:t xml:space="preserve"> </w:t>
      </w:r>
      <w:r>
        <w:rPr>
          <w:w w:val="105"/>
          <w:sz w:val="11"/>
        </w:rPr>
        <w:t>teístas,</w:t>
      </w:r>
      <w:r>
        <w:rPr>
          <w:spacing w:val="-1"/>
          <w:w w:val="105"/>
          <w:sz w:val="11"/>
        </w:rPr>
        <w:t xml:space="preserve"> </w:t>
      </w:r>
      <w:r>
        <w:rPr>
          <w:w w:val="105"/>
          <w:sz w:val="11"/>
        </w:rPr>
        <w:t>ateos</w:t>
      </w:r>
      <w:r>
        <w:rPr>
          <w:spacing w:val="-1"/>
          <w:w w:val="105"/>
          <w:sz w:val="11"/>
        </w:rPr>
        <w:t xml:space="preserve"> </w:t>
      </w:r>
      <w:r>
        <w:rPr>
          <w:w w:val="105"/>
          <w:sz w:val="11"/>
        </w:rPr>
        <w:t>u</w:t>
      </w:r>
      <w:r>
        <w:rPr>
          <w:spacing w:val="-1"/>
          <w:w w:val="105"/>
          <w:sz w:val="11"/>
        </w:rPr>
        <w:t xml:space="preserve"> </w:t>
      </w:r>
      <w:r>
        <w:rPr>
          <w:w w:val="105"/>
          <w:sz w:val="11"/>
        </w:rPr>
        <w:t>otros,</w:t>
      </w:r>
      <w:r>
        <w:rPr>
          <w:spacing w:val="-1"/>
          <w:w w:val="105"/>
          <w:sz w:val="11"/>
        </w:rPr>
        <w:t xml:space="preserve"> </w:t>
      </w:r>
      <w:r>
        <w:rPr>
          <w:w w:val="105"/>
          <w:sz w:val="11"/>
        </w:rPr>
        <w:t>y</w:t>
      </w:r>
      <w:r>
        <w:rPr>
          <w:spacing w:val="-1"/>
          <w:w w:val="105"/>
          <w:sz w:val="11"/>
        </w:rPr>
        <w:t xml:space="preserve"> </w:t>
      </w:r>
      <w:r>
        <w:rPr>
          <w:w w:val="105"/>
          <w:sz w:val="11"/>
        </w:rPr>
        <w:t>el</w:t>
      </w:r>
      <w:r>
        <w:rPr>
          <w:spacing w:val="-1"/>
          <w:w w:val="105"/>
          <w:sz w:val="11"/>
        </w:rPr>
        <w:t xml:space="preserve"> </w:t>
      </w:r>
      <w:r>
        <w:rPr>
          <w:w w:val="105"/>
          <w:sz w:val="11"/>
        </w:rPr>
        <w:t>compromiso</w:t>
      </w:r>
      <w:r>
        <w:rPr>
          <w:spacing w:val="-1"/>
          <w:w w:val="105"/>
          <w:sz w:val="11"/>
        </w:rPr>
        <w:t xml:space="preserve"> </w:t>
      </w:r>
      <w:r>
        <w:rPr>
          <w:w w:val="105"/>
          <w:sz w:val="11"/>
        </w:rPr>
        <w:t>VI</w:t>
      </w:r>
      <w:r>
        <w:rPr>
          <w:spacing w:val="-1"/>
          <w:w w:val="105"/>
          <w:sz w:val="11"/>
        </w:rPr>
        <w:t xml:space="preserve"> </w:t>
      </w:r>
      <w:r>
        <w:rPr>
          <w:w w:val="105"/>
          <w:sz w:val="11"/>
        </w:rPr>
        <w:t>sobre</w:t>
      </w:r>
      <w:r>
        <w:rPr>
          <w:spacing w:val="-1"/>
          <w:w w:val="105"/>
          <w:sz w:val="11"/>
        </w:rPr>
        <w:t xml:space="preserve"> </w:t>
      </w:r>
      <w:r>
        <w:rPr>
          <w:w w:val="105"/>
          <w:sz w:val="11"/>
        </w:rPr>
        <w:t>los</w:t>
      </w:r>
      <w:r>
        <w:rPr>
          <w:spacing w:val="-1"/>
          <w:w w:val="105"/>
          <w:sz w:val="11"/>
        </w:rPr>
        <w:t xml:space="preserve"> </w:t>
      </w:r>
      <w:r>
        <w:rPr>
          <w:w w:val="105"/>
          <w:sz w:val="11"/>
        </w:rPr>
        <w:t>derechos</w:t>
      </w:r>
      <w:r>
        <w:rPr>
          <w:spacing w:val="-1"/>
          <w:w w:val="105"/>
          <w:sz w:val="11"/>
        </w:rPr>
        <w:t xml:space="preserve"> </w:t>
      </w:r>
      <w:r>
        <w:rPr>
          <w:w w:val="105"/>
          <w:sz w:val="11"/>
        </w:rPr>
        <w:t>de</w:t>
      </w:r>
      <w:r>
        <w:rPr>
          <w:spacing w:val="-1"/>
          <w:w w:val="105"/>
          <w:sz w:val="11"/>
        </w:rPr>
        <w:t xml:space="preserve"> </w:t>
      </w:r>
      <w:r>
        <w:rPr>
          <w:w w:val="105"/>
          <w:sz w:val="11"/>
        </w:rPr>
        <w:t>todas</w:t>
      </w:r>
      <w:r>
        <w:rPr>
          <w:spacing w:val="-1"/>
          <w:w w:val="105"/>
          <w:sz w:val="11"/>
        </w:rPr>
        <w:t xml:space="preserve"> </w:t>
      </w:r>
      <w:r>
        <w:rPr>
          <w:w w:val="105"/>
          <w:sz w:val="11"/>
        </w:rPr>
        <w:t>las</w:t>
      </w:r>
      <w:r>
        <w:rPr>
          <w:spacing w:val="-1"/>
          <w:w w:val="105"/>
          <w:sz w:val="11"/>
        </w:rPr>
        <w:t xml:space="preserve"> </w:t>
      </w:r>
      <w:r>
        <w:rPr>
          <w:w w:val="105"/>
          <w:sz w:val="11"/>
        </w:rPr>
        <w:t>personas</w:t>
      </w:r>
      <w:r>
        <w:rPr>
          <w:spacing w:val="-1"/>
          <w:w w:val="105"/>
          <w:sz w:val="11"/>
        </w:rPr>
        <w:t xml:space="preserve"> </w:t>
      </w:r>
      <w:r>
        <w:rPr>
          <w:w w:val="105"/>
          <w:sz w:val="11"/>
        </w:rPr>
        <w:t>pertenecientes</w:t>
      </w:r>
      <w:r>
        <w:rPr>
          <w:spacing w:val="-2"/>
          <w:w w:val="105"/>
          <w:sz w:val="11"/>
        </w:rPr>
        <w:t xml:space="preserve"> </w:t>
      </w:r>
      <w:r>
        <w:rPr>
          <w:w w:val="105"/>
          <w:sz w:val="11"/>
        </w:rPr>
        <w:t>a</w:t>
      </w:r>
      <w:r>
        <w:rPr>
          <w:spacing w:val="-1"/>
          <w:w w:val="105"/>
          <w:sz w:val="11"/>
        </w:rPr>
        <w:t xml:space="preserve"> </w:t>
      </w:r>
      <w:r>
        <w:rPr>
          <w:w w:val="105"/>
          <w:sz w:val="11"/>
        </w:rPr>
        <w:t>minorías).</w:t>
      </w:r>
    </w:p>
    <w:p w14:paraId="2F52E2A5" w14:textId="77777777" w:rsidR="0014798C" w:rsidRDefault="0014798C">
      <w:pPr>
        <w:spacing w:line="340" w:lineRule="auto"/>
        <w:rPr>
          <w:sz w:val="11"/>
        </w:rPr>
        <w:sectPr w:rsidR="0014798C" w:rsidSect="00F265E4">
          <w:type w:val="continuous"/>
          <w:pgSz w:w="11900" w:h="16820"/>
          <w:pgMar w:top="40" w:right="0" w:bottom="280" w:left="200" w:header="121" w:footer="0" w:gutter="0"/>
          <w:cols w:num="2" w:space="720" w:equalWidth="0">
            <w:col w:w="1252" w:space="40"/>
            <w:col w:w="10408"/>
          </w:cols>
        </w:sectPr>
      </w:pPr>
    </w:p>
    <w:p w14:paraId="19CDB19B" w14:textId="77777777" w:rsidR="0014798C" w:rsidRDefault="004E1F0B">
      <w:pPr>
        <w:spacing w:before="57"/>
        <w:ind w:left="1110"/>
        <w:rPr>
          <w:sz w:val="11"/>
        </w:rPr>
      </w:pPr>
      <w:r>
        <w:rPr>
          <w:w w:val="105"/>
          <w:sz w:val="11"/>
        </w:rPr>
        <w:t>884</w:t>
      </w:r>
      <w:r>
        <w:rPr>
          <w:spacing w:val="-6"/>
          <w:w w:val="105"/>
          <w:sz w:val="11"/>
        </w:rPr>
        <w:t xml:space="preserve"> </w:t>
      </w:r>
      <w:r>
        <w:rPr>
          <w:w w:val="105"/>
          <w:sz w:val="11"/>
        </w:rPr>
        <w:t>Véase</w:t>
      </w:r>
      <w:r>
        <w:rPr>
          <w:spacing w:val="-6"/>
          <w:w w:val="105"/>
          <w:sz w:val="11"/>
        </w:rPr>
        <w:t xml:space="preserve"> </w:t>
      </w:r>
      <w:r>
        <w:rPr>
          <w:w w:val="105"/>
          <w:sz w:val="11"/>
        </w:rPr>
        <w:t>además</w:t>
      </w:r>
      <w:r>
        <w:rPr>
          <w:spacing w:val="-5"/>
          <w:w w:val="105"/>
          <w:sz w:val="11"/>
        </w:rPr>
        <w:t xml:space="preserve"> </w:t>
      </w:r>
      <w:r>
        <w:rPr>
          <w:w w:val="105"/>
          <w:sz w:val="11"/>
        </w:rPr>
        <w:t>Grupo</w:t>
      </w:r>
      <w:r>
        <w:rPr>
          <w:spacing w:val="-6"/>
          <w:w w:val="105"/>
          <w:sz w:val="11"/>
        </w:rPr>
        <w:t xml:space="preserve"> </w:t>
      </w:r>
      <w:r>
        <w:rPr>
          <w:w w:val="105"/>
          <w:sz w:val="11"/>
        </w:rPr>
        <w:t>de</w:t>
      </w:r>
      <w:r>
        <w:rPr>
          <w:spacing w:val="-5"/>
          <w:w w:val="105"/>
          <w:sz w:val="11"/>
        </w:rPr>
        <w:t xml:space="preserve"> </w:t>
      </w:r>
      <w:r>
        <w:rPr>
          <w:w w:val="105"/>
          <w:sz w:val="11"/>
        </w:rPr>
        <w:t>las</w:t>
      </w:r>
      <w:r>
        <w:rPr>
          <w:spacing w:val="-6"/>
          <w:w w:val="105"/>
          <w:sz w:val="11"/>
        </w:rPr>
        <w:t xml:space="preserve"> </w:t>
      </w:r>
      <w:r>
        <w:rPr>
          <w:w w:val="105"/>
          <w:sz w:val="11"/>
        </w:rPr>
        <w:t>Naciones</w:t>
      </w:r>
      <w:r>
        <w:rPr>
          <w:spacing w:val="-5"/>
          <w:w w:val="105"/>
          <w:sz w:val="11"/>
        </w:rPr>
        <w:t xml:space="preserve"> </w:t>
      </w:r>
      <w:r>
        <w:rPr>
          <w:w w:val="105"/>
          <w:sz w:val="11"/>
        </w:rPr>
        <w:t>Unidas</w:t>
      </w:r>
      <w:r>
        <w:rPr>
          <w:spacing w:val="-6"/>
          <w:w w:val="105"/>
          <w:sz w:val="11"/>
        </w:rPr>
        <w:t xml:space="preserve"> </w:t>
      </w:r>
      <w:r>
        <w:rPr>
          <w:w w:val="105"/>
          <w:sz w:val="11"/>
        </w:rPr>
        <w:t>para</w:t>
      </w:r>
      <w:r>
        <w:rPr>
          <w:spacing w:val="-6"/>
          <w:w w:val="105"/>
          <w:sz w:val="11"/>
        </w:rPr>
        <w:t xml:space="preserve"> </w:t>
      </w:r>
      <w:r>
        <w:rPr>
          <w:w w:val="105"/>
          <w:sz w:val="11"/>
        </w:rPr>
        <w:t>el</w:t>
      </w:r>
      <w:r>
        <w:rPr>
          <w:spacing w:val="-5"/>
          <w:w w:val="105"/>
          <w:sz w:val="11"/>
        </w:rPr>
        <w:t xml:space="preserve"> </w:t>
      </w:r>
      <w:r>
        <w:rPr>
          <w:w w:val="105"/>
          <w:sz w:val="11"/>
        </w:rPr>
        <w:t>Desarrollo</w:t>
      </w:r>
      <w:r>
        <w:rPr>
          <w:spacing w:val="-6"/>
          <w:w w:val="105"/>
          <w:sz w:val="11"/>
        </w:rPr>
        <w:t xml:space="preserve"> </w:t>
      </w:r>
      <w:r>
        <w:rPr>
          <w:w w:val="105"/>
          <w:sz w:val="11"/>
        </w:rPr>
        <w:t>Sostenible,</w:t>
      </w:r>
      <w:r>
        <w:rPr>
          <w:spacing w:val="-5"/>
          <w:w w:val="105"/>
          <w:sz w:val="11"/>
        </w:rPr>
        <w:t xml:space="preserve"> </w:t>
      </w:r>
      <w:r>
        <w:rPr>
          <w:w w:val="105"/>
          <w:sz w:val="11"/>
        </w:rPr>
        <w:t>No</w:t>
      </w:r>
      <w:r>
        <w:rPr>
          <w:spacing w:val="-6"/>
          <w:w w:val="105"/>
          <w:sz w:val="11"/>
        </w:rPr>
        <w:t xml:space="preserve"> </w:t>
      </w:r>
      <w:r>
        <w:rPr>
          <w:w w:val="105"/>
          <w:sz w:val="11"/>
        </w:rPr>
        <w:t>dejar</w:t>
      </w:r>
      <w:r>
        <w:rPr>
          <w:spacing w:val="-5"/>
          <w:w w:val="105"/>
          <w:sz w:val="11"/>
        </w:rPr>
        <w:t xml:space="preserve"> </w:t>
      </w:r>
      <w:r>
        <w:rPr>
          <w:w w:val="105"/>
          <w:sz w:val="11"/>
        </w:rPr>
        <w:t>a</w:t>
      </w:r>
      <w:r>
        <w:rPr>
          <w:spacing w:val="-6"/>
          <w:w w:val="105"/>
          <w:sz w:val="11"/>
        </w:rPr>
        <w:t xml:space="preserve"> </w:t>
      </w:r>
      <w:r>
        <w:rPr>
          <w:w w:val="105"/>
          <w:sz w:val="11"/>
        </w:rPr>
        <w:t>nadie</w:t>
      </w:r>
      <w:r>
        <w:rPr>
          <w:spacing w:val="-6"/>
          <w:w w:val="105"/>
          <w:sz w:val="11"/>
        </w:rPr>
        <w:t xml:space="preserve"> </w:t>
      </w:r>
      <w:r>
        <w:rPr>
          <w:w w:val="105"/>
          <w:sz w:val="11"/>
        </w:rPr>
        <w:t>atrás:</w:t>
      </w:r>
      <w:r>
        <w:rPr>
          <w:spacing w:val="-5"/>
          <w:w w:val="105"/>
          <w:sz w:val="11"/>
        </w:rPr>
        <w:t xml:space="preserve"> </w:t>
      </w:r>
      <w:r>
        <w:rPr>
          <w:w w:val="105"/>
          <w:sz w:val="11"/>
        </w:rPr>
        <w:t>una</w:t>
      </w:r>
      <w:r>
        <w:rPr>
          <w:spacing w:val="-6"/>
          <w:w w:val="105"/>
          <w:sz w:val="11"/>
        </w:rPr>
        <w:t xml:space="preserve"> </w:t>
      </w:r>
      <w:r>
        <w:rPr>
          <w:w w:val="105"/>
          <w:sz w:val="11"/>
        </w:rPr>
        <w:t>guía</w:t>
      </w:r>
      <w:r>
        <w:rPr>
          <w:spacing w:val="-5"/>
          <w:w w:val="105"/>
          <w:sz w:val="11"/>
        </w:rPr>
        <w:t xml:space="preserve"> </w:t>
      </w:r>
      <w:r>
        <w:rPr>
          <w:w w:val="105"/>
          <w:sz w:val="11"/>
        </w:rPr>
        <w:t>operativa</w:t>
      </w:r>
      <w:r>
        <w:rPr>
          <w:spacing w:val="-6"/>
          <w:w w:val="105"/>
          <w:sz w:val="11"/>
        </w:rPr>
        <w:t xml:space="preserve"> </w:t>
      </w:r>
      <w:r>
        <w:rPr>
          <w:w w:val="105"/>
          <w:sz w:val="11"/>
        </w:rPr>
        <w:t>del</w:t>
      </w:r>
      <w:r>
        <w:rPr>
          <w:spacing w:val="-5"/>
          <w:w w:val="105"/>
          <w:sz w:val="11"/>
        </w:rPr>
        <w:t xml:space="preserve"> </w:t>
      </w:r>
      <w:r>
        <w:rPr>
          <w:w w:val="105"/>
          <w:sz w:val="11"/>
        </w:rPr>
        <w:t>GNUDS</w:t>
      </w:r>
      <w:r>
        <w:rPr>
          <w:spacing w:val="-6"/>
          <w:w w:val="105"/>
          <w:sz w:val="11"/>
        </w:rPr>
        <w:t xml:space="preserve"> </w:t>
      </w:r>
      <w:r>
        <w:rPr>
          <w:w w:val="105"/>
          <w:sz w:val="11"/>
        </w:rPr>
        <w:t>para</w:t>
      </w:r>
      <w:r>
        <w:rPr>
          <w:spacing w:val="-5"/>
          <w:w w:val="105"/>
          <w:sz w:val="11"/>
        </w:rPr>
        <w:t xml:space="preserve"> </w:t>
      </w:r>
      <w:r>
        <w:rPr>
          <w:w w:val="105"/>
          <w:sz w:val="11"/>
        </w:rPr>
        <w:t>los</w:t>
      </w:r>
      <w:r>
        <w:rPr>
          <w:spacing w:val="-6"/>
          <w:w w:val="105"/>
          <w:sz w:val="11"/>
        </w:rPr>
        <w:t xml:space="preserve"> </w:t>
      </w:r>
      <w:r>
        <w:rPr>
          <w:w w:val="105"/>
          <w:sz w:val="11"/>
        </w:rPr>
        <w:t>países</w:t>
      </w:r>
      <w:r>
        <w:rPr>
          <w:spacing w:val="-6"/>
          <w:w w:val="105"/>
          <w:sz w:val="11"/>
        </w:rPr>
        <w:t xml:space="preserve"> </w:t>
      </w:r>
      <w:r>
        <w:rPr>
          <w:w w:val="105"/>
          <w:sz w:val="11"/>
        </w:rPr>
        <w:t>de</w:t>
      </w:r>
      <w:r>
        <w:rPr>
          <w:spacing w:val="-5"/>
          <w:w w:val="105"/>
          <w:sz w:val="11"/>
        </w:rPr>
        <w:t xml:space="preserve"> </w:t>
      </w:r>
      <w:r>
        <w:rPr>
          <w:w w:val="105"/>
          <w:sz w:val="11"/>
        </w:rPr>
        <w:t>las</w:t>
      </w:r>
      <w:r>
        <w:rPr>
          <w:spacing w:val="-6"/>
          <w:w w:val="105"/>
          <w:sz w:val="11"/>
        </w:rPr>
        <w:t xml:space="preserve"> </w:t>
      </w:r>
      <w:r>
        <w:rPr>
          <w:w w:val="105"/>
          <w:sz w:val="11"/>
        </w:rPr>
        <w:t>Naciones</w:t>
      </w:r>
      <w:r>
        <w:rPr>
          <w:spacing w:val="-5"/>
          <w:w w:val="105"/>
          <w:sz w:val="11"/>
        </w:rPr>
        <w:t xml:space="preserve"> </w:t>
      </w:r>
      <w:r>
        <w:rPr>
          <w:spacing w:val="-2"/>
          <w:w w:val="105"/>
          <w:sz w:val="11"/>
        </w:rPr>
        <w:t>Unidas.</w:t>
      </w:r>
    </w:p>
    <w:p w14:paraId="03233CBD" w14:textId="77777777" w:rsidR="0014798C" w:rsidRDefault="004E1F0B">
      <w:pPr>
        <w:spacing w:before="53" w:line="340" w:lineRule="auto"/>
        <w:ind w:left="1366" w:right="3211" w:firstLine="6"/>
        <w:rPr>
          <w:sz w:val="11"/>
        </w:rPr>
      </w:pPr>
      <w:r>
        <w:rPr>
          <w:spacing w:val="-2"/>
          <w:w w:val="105"/>
          <w:sz w:val="11"/>
        </w:rPr>
        <w:t xml:space="preserve">Equipos - Draft provisional (2019). Disponible en </w:t>
      </w:r>
      <w:r>
        <w:rPr>
          <w:color w:val="0075BF"/>
          <w:spacing w:val="-2"/>
          <w:w w:val="105"/>
          <w:sz w:val="11"/>
        </w:rPr>
        <w:t>https://unsdg.un.org/sites/default/files/Interim-Draft-Operational-Guide-on-LNOB-for-UNCTs.</w:t>
      </w:r>
      <w:r>
        <w:rPr>
          <w:color w:val="0075BF"/>
          <w:spacing w:val="40"/>
          <w:w w:val="105"/>
          <w:sz w:val="11"/>
        </w:rPr>
        <w:t xml:space="preserve"> </w:t>
      </w:r>
      <w:r>
        <w:rPr>
          <w:color w:val="0075BF"/>
          <w:spacing w:val="-4"/>
          <w:w w:val="105"/>
          <w:sz w:val="11"/>
        </w:rPr>
        <w:t>pdf.</w:t>
      </w:r>
    </w:p>
    <w:p w14:paraId="79DDBF53" w14:textId="77777777" w:rsidR="0014798C" w:rsidRDefault="0014798C">
      <w:pPr>
        <w:pStyle w:val="Textoindependiente"/>
        <w:rPr>
          <w:sz w:val="18"/>
        </w:rPr>
      </w:pPr>
    </w:p>
    <w:p w14:paraId="4B01DAD9" w14:textId="77777777" w:rsidR="0014798C" w:rsidRDefault="0014798C">
      <w:pPr>
        <w:pStyle w:val="Textoindependiente"/>
        <w:spacing w:before="186"/>
        <w:rPr>
          <w:sz w:val="18"/>
        </w:rPr>
      </w:pPr>
    </w:p>
    <w:p w14:paraId="2135A5CE" w14:textId="77777777" w:rsidR="0014798C" w:rsidRDefault="004E1F0B">
      <w:pPr>
        <w:ind w:right="702"/>
        <w:jc w:val="right"/>
        <w:rPr>
          <w:sz w:val="18"/>
        </w:rPr>
      </w:pPr>
      <w:r>
        <w:rPr>
          <w:spacing w:val="-5"/>
          <w:sz w:val="18"/>
        </w:rPr>
        <w:t>129</w:t>
      </w:r>
    </w:p>
    <w:p w14:paraId="222683B0" w14:textId="77777777" w:rsidR="0014798C" w:rsidRDefault="0014798C">
      <w:pPr>
        <w:jc w:val="right"/>
        <w:rPr>
          <w:sz w:val="18"/>
        </w:rPr>
        <w:sectPr w:rsidR="0014798C" w:rsidSect="00F265E4">
          <w:type w:val="continuous"/>
          <w:pgSz w:w="11900" w:h="16820"/>
          <w:pgMar w:top="40" w:right="0" w:bottom="280" w:left="200" w:header="121" w:footer="0" w:gutter="0"/>
          <w:cols w:space="720"/>
        </w:sectPr>
      </w:pPr>
    </w:p>
    <w:p w14:paraId="3A96C517" w14:textId="77777777" w:rsidR="0014798C" w:rsidRDefault="0014798C">
      <w:pPr>
        <w:pStyle w:val="Textoindependiente"/>
        <w:spacing w:before="85"/>
        <w:rPr>
          <w:sz w:val="12"/>
        </w:rPr>
      </w:pPr>
    </w:p>
    <w:p w14:paraId="4513C824" w14:textId="77777777" w:rsidR="0014798C" w:rsidRDefault="004E1F0B">
      <w:pPr>
        <w:ind w:left="1111"/>
        <w:rPr>
          <w:sz w:val="12"/>
        </w:rPr>
      </w:pPr>
      <w:r>
        <w:rPr>
          <w:color w:val="803108"/>
          <w:sz w:val="12"/>
        </w:rPr>
        <w:t>PROTECCIÓN</w:t>
      </w:r>
      <w:r>
        <w:rPr>
          <w:color w:val="803108"/>
          <w:spacing w:val="6"/>
          <w:sz w:val="12"/>
        </w:rPr>
        <w:t xml:space="preserve"> </w:t>
      </w:r>
      <w:r>
        <w:rPr>
          <w:color w:val="803108"/>
          <w:sz w:val="12"/>
        </w:rPr>
        <w:t>DE</w:t>
      </w:r>
      <w:r>
        <w:rPr>
          <w:color w:val="803108"/>
          <w:spacing w:val="7"/>
          <w:sz w:val="12"/>
        </w:rPr>
        <w:t xml:space="preserve"> </w:t>
      </w:r>
      <w:r>
        <w:rPr>
          <w:color w:val="803108"/>
          <w:sz w:val="12"/>
        </w:rPr>
        <w:t>LOS</w:t>
      </w:r>
      <w:r>
        <w:rPr>
          <w:color w:val="803108"/>
          <w:spacing w:val="8"/>
          <w:sz w:val="12"/>
        </w:rPr>
        <w:t xml:space="preserve"> </w:t>
      </w:r>
      <w:r>
        <w:rPr>
          <w:color w:val="803108"/>
          <w:sz w:val="12"/>
        </w:rPr>
        <w:t>DERECHOS</w:t>
      </w:r>
      <w:r>
        <w:rPr>
          <w:color w:val="803108"/>
          <w:spacing w:val="8"/>
          <w:sz w:val="12"/>
        </w:rPr>
        <w:t xml:space="preserve"> </w:t>
      </w:r>
      <w:r>
        <w:rPr>
          <w:color w:val="803108"/>
          <w:sz w:val="12"/>
        </w:rPr>
        <w:t>DE</w:t>
      </w:r>
      <w:r>
        <w:rPr>
          <w:color w:val="803108"/>
          <w:spacing w:val="6"/>
          <w:sz w:val="12"/>
        </w:rPr>
        <w:t xml:space="preserve"> </w:t>
      </w:r>
      <w:r>
        <w:rPr>
          <w:color w:val="803108"/>
          <w:sz w:val="12"/>
        </w:rPr>
        <w:t>LAS</w:t>
      </w:r>
      <w:r>
        <w:rPr>
          <w:color w:val="803108"/>
          <w:spacing w:val="7"/>
          <w:sz w:val="12"/>
        </w:rPr>
        <w:t xml:space="preserve"> </w:t>
      </w:r>
      <w:r>
        <w:rPr>
          <w:color w:val="803108"/>
          <w:sz w:val="12"/>
        </w:rPr>
        <w:t>MINORÍAS:</w:t>
      </w:r>
      <w:r>
        <w:rPr>
          <w:color w:val="803108"/>
          <w:spacing w:val="8"/>
          <w:sz w:val="12"/>
        </w:rPr>
        <w:t xml:space="preserve"> </w:t>
      </w:r>
      <w:r>
        <w:rPr>
          <w:color w:val="803108"/>
          <w:sz w:val="12"/>
        </w:rPr>
        <w:t>una</w:t>
      </w:r>
      <w:r>
        <w:rPr>
          <w:color w:val="803108"/>
          <w:spacing w:val="7"/>
          <w:sz w:val="12"/>
        </w:rPr>
        <w:t xml:space="preserve"> </w:t>
      </w:r>
      <w:r>
        <w:rPr>
          <w:color w:val="803108"/>
          <w:sz w:val="12"/>
        </w:rPr>
        <w:t>guía</w:t>
      </w:r>
      <w:r>
        <w:rPr>
          <w:color w:val="803108"/>
          <w:spacing w:val="6"/>
          <w:sz w:val="12"/>
        </w:rPr>
        <w:t xml:space="preserve"> </w:t>
      </w:r>
      <w:r>
        <w:rPr>
          <w:color w:val="803108"/>
          <w:sz w:val="12"/>
        </w:rPr>
        <w:t>práctica</w:t>
      </w:r>
      <w:r>
        <w:rPr>
          <w:color w:val="803108"/>
          <w:spacing w:val="7"/>
          <w:sz w:val="12"/>
        </w:rPr>
        <w:t xml:space="preserve"> </w:t>
      </w:r>
      <w:r>
        <w:rPr>
          <w:color w:val="803108"/>
          <w:sz w:val="12"/>
        </w:rPr>
        <w:t>para</w:t>
      </w:r>
      <w:r>
        <w:rPr>
          <w:color w:val="803108"/>
          <w:spacing w:val="8"/>
          <w:sz w:val="12"/>
        </w:rPr>
        <w:t xml:space="preserve"> </w:t>
      </w:r>
      <w:r>
        <w:rPr>
          <w:color w:val="803108"/>
          <w:sz w:val="12"/>
        </w:rPr>
        <w:t>desarrollar</w:t>
      </w:r>
      <w:r>
        <w:rPr>
          <w:color w:val="803108"/>
          <w:spacing w:val="6"/>
          <w:sz w:val="12"/>
        </w:rPr>
        <w:t xml:space="preserve"> </w:t>
      </w:r>
      <w:r>
        <w:rPr>
          <w:color w:val="803108"/>
          <w:sz w:val="12"/>
        </w:rPr>
        <w:t>una</w:t>
      </w:r>
      <w:r>
        <w:rPr>
          <w:color w:val="803108"/>
          <w:spacing w:val="7"/>
          <w:sz w:val="12"/>
        </w:rPr>
        <w:t xml:space="preserve"> </w:t>
      </w:r>
      <w:r>
        <w:rPr>
          <w:color w:val="803108"/>
          <w:sz w:val="12"/>
        </w:rPr>
        <w:t>legislación</w:t>
      </w:r>
      <w:r>
        <w:rPr>
          <w:color w:val="803108"/>
          <w:spacing w:val="8"/>
          <w:sz w:val="12"/>
        </w:rPr>
        <w:t xml:space="preserve"> </w:t>
      </w:r>
      <w:r>
        <w:rPr>
          <w:color w:val="803108"/>
          <w:sz w:val="12"/>
        </w:rPr>
        <w:t>integral</w:t>
      </w:r>
      <w:r>
        <w:rPr>
          <w:color w:val="803108"/>
          <w:spacing w:val="7"/>
          <w:sz w:val="12"/>
        </w:rPr>
        <w:t xml:space="preserve"> </w:t>
      </w:r>
      <w:r>
        <w:rPr>
          <w:color w:val="803108"/>
          <w:sz w:val="12"/>
        </w:rPr>
        <w:t>contra</w:t>
      </w:r>
      <w:r>
        <w:rPr>
          <w:color w:val="803108"/>
          <w:spacing w:val="6"/>
          <w:sz w:val="12"/>
        </w:rPr>
        <w:t xml:space="preserve"> </w:t>
      </w:r>
      <w:r>
        <w:rPr>
          <w:color w:val="803108"/>
          <w:sz w:val="12"/>
        </w:rPr>
        <w:t>la</w:t>
      </w:r>
      <w:r>
        <w:rPr>
          <w:color w:val="803108"/>
          <w:spacing w:val="7"/>
          <w:sz w:val="12"/>
        </w:rPr>
        <w:t xml:space="preserve"> </w:t>
      </w:r>
      <w:r>
        <w:rPr>
          <w:color w:val="803108"/>
          <w:spacing w:val="-2"/>
          <w:sz w:val="12"/>
        </w:rPr>
        <w:t>discriminación</w:t>
      </w:r>
    </w:p>
    <w:p w14:paraId="22F1DD2E" w14:textId="77777777" w:rsidR="0014798C" w:rsidRDefault="0014798C">
      <w:pPr>
        <w:pStyle w:val="Textoindependiente"/>
        <w:rPr>
          <w:sz w:val="28"/>
        </w:rPr>
      </w:pPr>
    </w:p>
    <w:p w14:paraId="33BEE7DB" w14:textId="77777777" w:rsidR="0014798C" w:rsidRDefault="0014798C">
      <w:pPr>
        <w:pStyle w:val="Textoindependiente"/>
        <w:rPr>
          <w:sz w:val="28"/>
        </w:rPr>
      </w:pPr>
    </w:p>
    <w:p w14:paraId="3DD1949A" w14:textId="77777777" w:rsidR="0014798C" w:rsidRDefault="0014798C">
      <w:pPr>
        <w:pStyle w:val="Textoindependiente"/>
        <w:spacing w:before="19"/>
        <w:rPr>
          <w:sz w:val="28"/>
        </w:rPr>
      </w:pPr>
    </w:p>
    <w:p w14:paraId="2C3E9BD5" w14:textId="77777777" w:rsidR="0014798C" w:rsidRDefault="004E1F0B">
      <w:pPr>
        <w:pStyle w:val="Ttulo9"/>
        <w:numPr>
          <w:ilvl w:val="0"/>
          <w:numId w:val="25"/>
        </w:numPr>
        <w:tabs>
          <w:tab w:val="left" w:pos="1430"/>
          <w:tab w:val="left" w:pos="1612"/>
        </w:tabs>
        <w:spacing w:line="297" w:lineRule="auto"/>
        <w:ind w:left="1612" w:right="2206" w:hanging="489"/>
      </w:pPr>
      <w:bookmarkStart w:id="21" w:name="_TOC_250003"/>
      <w:bookmarkStart w:id="22" w:name="grupos"/>
      <w:r>
        <w:rPr>
          <w:color w:val="803108"/>
        </w:rPr>
        <w:t>GRUPOS</w:t>
      </w:r>
      <w:r>
        <w:rPr>
          <w:color w:val="803108"/>
          <w:spacing w:val="-12"/>
        </w:rPr>
        <w:t xml:space="preserve"> </w:t>
      </w:r>
      <w:r>
        <w:rPr>
          <w:color w:val="803108"/>
        </w:rPr>
        <w:t>EXPUESTOS</w:t>
      </w:r>
      <w:r>
        <w:rPr>
          <w:color w:val="803108"/>
          <w:spacing w:val="-12"/>
        </w:rPr>
        <w:t xml:space="preserve"> </w:t>
      </w:r>
      <w:r>
        <w:rPr>
          <w:color w:val="803108"/>
        </w:rPr>
        <w:t>A</w:t>
      </w:r>
      <w:r>
        <w:rPr>
          <w:color w:val="803108"/>
          <w:spacing w:val="-12"/>
        </w:rPr>
        <w:t xml:space="preserve"> </w:t>
      </w:r>
      <w:r>
        <w:rPr>
          <w:color w:val="803108"/>
        </w:rPr>
        <w:t>LA</w:t>
      </w:r>
      <w:r>
        <w:rPr>
          <w:color w:val="803108"/>
          <w:spacing w:val="-12"/>
        </w:rPr>
        <w:t xml:space="preserve"> </w:t>
      </w:r>
      <w:r>
        <w:rPr>
          <w:color w:val="803108"/>
        </w:rPr>
        <w:t>DISCRIMINACIÓN</w:t>
      </w:r>
      <w:r>
        <w:rPr>
          <w:color w:val="803108"/>
          <w:spacing w:val="-13"/>
        </w:rPr>
        <w:t xml:space="preserve"> </w:t>
      </w:r>
      <w:r>
        <w:rPr>
          <w:color w:val="803108"/>
        </w:rPr>
        <w:t>RACIAL</w:t>
      </w:r>
      <w:r>
        <w:rPr>
          <w:color w:val="803108"/>
          <w:spacing w:val="-13"/>
        </w:rPr>
        <w:t xml:space="preserve"> </w:t>
      </w:r>
      <w:r>
        <w:rPr>
          <w:color w:val="803108"/>
        </w:rPr>
        <w:t>Y</w:t>
      </w:r>
      <w:r>
        <w:rPr>
          <w:color w:val="803108"/>
          <w:spacing w:val="-12"/>
        </w:rPr>
        <w:t xml:space="preserve"> </w:t>
      </w:r>
      <w:bookmarkEnd w:id="21"/>
      <w:r>
        <w:rPr>
          <w:color w:val="803108"/>
        </w:rPr>
        <w:t>LOS DAÑOS ASOCIADOS</w:t>
      </w:r>
    </w:p>
    <w:bookmarkEnd w:id="22"/>
    <w:p w14:paraId="78ED0395" w14:textId="77777777" w:rsidR="0014798C" w:rsidRDefault="004E1F0B">
      <w:pPr>
        <w:pStyle w:val="Textoindependiente"/>
        <w:spacing w:before="176" w:line="326" w:lineRule="auto"/>
        <w:ind w:left="1107" w:right="1256" w:hanging="1"/>
      </w:pPr>
      <w:r>
        <w:rPr>
          <w:w w:val="105"/>
        </w:rPr>
        <w:t>El sistema de las Naciones Unidas ha nombrado una serie de grupos particulares que enfrentan discriminación racial o formas conexas de intolerancia o exclusión a nivel mundial. Sin embargo, por diversas razones, cualquier lista de grupos reconocidos</w:t>
      </w:r>
      <w:r>
        <w:rPr>
          <w:spacing w:val="-12"/>
          <w:w w:val="105"/>
        </w:rPr>
        <w:t xml:space="preserve"> </w:t>
      </w:r>
      <w:r>
        <w:rPr>
          <w:w w:val="105"/>
        </w:rPr>
        <w:t>de</w:t>
      </w:r>
      <w:r>
        <w:rPr>
          <w:spacing w:val="-12"/>
          <w:w w:val="105"/>
        </w:rPr>
        <w:t xml:space="preserve"> </w:t>
      </w:r>
      <w:r>
        <w:rPr>
          <w:w w:val="105"/>
        </w:rPr>
        <w:t>esta</w:t>
      </w:r>
      <w:r>
        <w:rPr>
          <w:spacing w:val="-11"/>
          <w:w w:val="105"/>
        </w:rPr>
        <w:t xml:space="preserve"> </w:t>
      </w:r>
      <w:r>
        <w:rPr>
          <w:w w:val="105"/>
        </w:rPr>
        <w:t>manera</w:t>
      </w:r>
      <w:r>
        <w:rPr>
          <w:spacing w:val="-12"/>
          <w:w w:val="105"/>
        </w:rPr>
        <w:t xml:space="preserve"> </w:t>
      </w:r>
      <w:r>
        <w:rPr>
          <w:w w:val="105"/>
        </w:rPr>
        <w:t>será</w:t>
      </w:r>
      <w:r>
        <w:rPr>
          <w:spacing w:val="-12"/>
          <w:w w:val="105"/>
        </w:rPr>
        <w:t xml:space="preserve"> </w:t>
      </w:r>
      <w:r>
        <w:rPr>
          <w:w w:val="105"/>
        </w:rPr>
        <w:t>siempre</w:t>
      </w:r>
      <w:r>
        <w:rPr>
          <w:spacing w:val="-11"/>
          <w:w w:val="105"/>
        </w:rPr>
        <w:t xml:space="preserve"> </w:t>
      </w:r>
      <w:r>
        <w:rPr>
          <w:w w:val="105"/>
        </w:rPr>
        <w:t>parcial;</w:t>
      </w:r>
      <w:r>
        <w:rPr>
          <w:spacing w:val="-11"/>
          <w:w w:val="105"/>
        </w:rPr>
        <w:t xml:space="preserve"> </w:t>
      </w:r>
      <w:r>
        <w:rPr>
          <w:w w:val="105"/>
        </w:rPr>
        <w:t>de</w:t>
      </w:r>
      <w:r>
        <w:rPr>
          <w:spacing w:val="-12"/>
          <w:w w:val="105"/>
        </w:rPr>
        <w:t xml:space="preserve"> </w:t>
      </w:r>
      <w:r>
        <w:rPr>
          <w:w w:val="105"/>
        </w:rPr>
        <w:t>hecho,</w:t>
      </w:r>
      <w:r>
        <w:rPr>
          <w:spacing w:val="-11"/>
          <w:w w:val="105"/>
        </w:rPr>
        <w:t xml:space="preserve"> </w:t>
      </w:r>
      <w:r>
        <w:rPr>
          <w:w w:val="105"/>
        </w:rPr>
        <w:t>los</w:t>
      </w:r>
      <w:r>
        <w:rPr>
          <w:spacing w:val="-12"/>
          <w:w w:val="105"/>
        </w:rPr>
        <w:t xml:space="preserve"> </w:t>
      </w:r>
      <w:r>
        <w:rPr>
          <w:w w:val="105"/>
        </w:rPr>
        <w:t>problemas</w:t>
      </w:r>
      <w:r>
        <w:rPr>
          <w:spacing w:val="-11"/>
          <w:w w:val="105"/>
        </w:rPr>
        <w:t xml:space="preserve"> </w:t>
      </w:r>
      <w:r>
        <w:rPr>
          <w:w w:val="105"/>
        </w:rPr>
        <w:t>de</w:t>
      </w:r>
      <w:r>
        <w:rPr>
          <w:spacing w:val="-12"/>
          <w:w w:val="105"/>
        </w:rPr>
        <w:t xml:space="preserve"> </w:t>
      </w:r>
      <w:r>
        <w:rPr>
          <w:w w:val="105"/>
        </w:rPr>
        <w:t>negación,</w:t>
      </w:r>
      <w:r>
        <w:rPr>
          <w:spacing w:val="-11"/>
          <w:w w:val="105"/>
        </w:rPr>
        <w:t xml:space="preserve"> </w:t>
      </w:r>
      <w:r>
        <w:rPr>
          <w:w w:val="105"/>
        </w:rPr>
        <w:t>obstrucción</w:t>
      </w:r>
      <w:r>
        <w:rPr>
          <w:spacing w:val="-12"/>
          <w:w w:val="105"/>
        </w:rPr>
        <w:t xml:space="preserve"> </w:t>
      </w:r>
      <w:r>
        <w:rPr>
          <w:w w:val="105"/>
        </w:rPr>
        <w:t>y</w:t>
      </w:r>
      <w:r>
        <w:rPr>
          <w:spacing w:val="-11"/>
          <w:w w:val="105"/>
        </w:rPr>
        <w:t xml:space="preserve"> </w:t>
      </w:r>
      <w:r>
        <w:rPr>
          <w:w w:val="105"/>
        </w:rPr>
        <w:t>ausencia</w:t>
      </w:r>
      <w:r>
        <w:rPr>
          <w:spacing w:val="-12"/>
          <w:w w:val="105"/>
        </w:rPr>
        <w:t xml:space="preserve"> </w:t>
      </w:r>
      <w:r>
        <w:rPr>
          <w:w w:val="105"/>
        </w:rPr>
        <w:t>de</w:t>
      </w:r>
      <w:r>
        <w:rPr>
          <w:spacing w:val="-12"/>
          <w:w w:val="105"/>
        </w:rPr>
        <w:t xml:space="preserve"> </w:t>
      </w:r>
      <w:r>
        <w:rPr>
          <w:w w:val="105"/>
        </w:rPr>
        <w:t>consenso político significan que algunos de los que corren mayor riesgo de discriminación no son reconocidos a nivel internacional. Es indudable que la identificación (o no) de grupos particulares expuestos a abusos contra los derechos humanos o que necesitan protección está influenciada por la geopolítica. El problema del racismo, la discriminación racial y el trato dado a determinados grupos étnicos también se ha visto afectado por el problema de la negación, una cuestión que afecta las cuestiones de derechos humanos de manera más amplia.885</w:t>
      </w:r>
    </w:p>
    <w:p w14:paraId="37AF56BA" w14:textId="77777777" w:rsidR="0014798C" w:rsidRDefault="004E1F0B">
      <w:pPr>
        <w:pStyle w:val="Textoindependiente"/>
        <w:spacing w:before="167" w:line="326" w:lineRule="auto"/>
        <w:ind w:left="1107" w:right="1326" w:firstLine="1"/>
      </w:pPr>
      <w:r>
        <w:rPr>
          <w:w w:val="105"/>
        </w:rPr>
        <w:t>Además, ocurre con frecuencia que la denominación en el sistema internacional puede ir a la zaga de la autoidentificación de</w:t>
      </w:r>
      <w:r>
        <w:rPr>
          <w:spacing w:val="-4"/>
          <w:w w:val="105"/>
        </w:rPr>
        <w:t xml:space="preserve"> </w:t>
      </w:r>
      <w:r>
        <w:rPr>
          <w:w w:val="105"/>
        </w:rPr>
        <w:t>grupos</w:t>
      </w:r>
      <w:r>
        <w:rPr>
          <w:spacing w:val="-4"/>
          <w:w w:val="105"/>
        </w:rPr>
        <w:t xml:space="preserve"> </w:t>
      </w:r>
      <w:r>
        <w:rPr>
          <w:w w:val="105"/>
        </w:rPr>
        <w:t>particulares</w:t>
      </w:r>
      <w:r>
        <w:rPr>
          <w:spacing w:val="-4"/>
          <w:w w:val="105"/>
        </w:rPr>
        <w:t xml:space="preserve"> </w:t>
      </w:r>
      <w:r>
        <w:rPr>
          <w:w w:val="105"/>
        </w:rPr>
        <w:t>o</w:t>
      </w:r>
      <w:r>
        <w:rPr>
          <w:spacing w:val="-4"/>
          <w:w w:val="105"/>
        </w:rPr>
        <w:t xml:space="preserve"> </w:t>
      </w:r>
      <w:r>
        <w:rPr>
          <w:w w:val="105"/>
        </w:rPr>
        <w:t>puede</w:t>
      </w:r>
      <w:r>
        <w:rPr>
          <w:spacing w:val="-4"/>
          <w:w w:val="105"/>
        </w:rPr>
        <w:t xml:space="preserve"> </w:t>
      </w:r>
      <w:r>
        <w:rPr>
          <w:w w:val="105"/>
        </w:rPr>
        <w:t>no</w:t>
      </w:r>
      <w:r>
        <w:rPr>
          <w:spacing w:val="-4"/>
          <w:w w:val="105"/>
        </w:rPr>
        <w:t xml:space="preserve"> </w:t>
      </w:r>
      <w:r>
        <w:rPr>
          <w:w w:val="105"/>
        </w:rPr>
        <w:t>reflejar</w:t>
      </w:r>
      <w:r>
        <w:rPr>
          <w:spacing w:val="-4"/>
          <w:w w:val="105"/>
        </w:rPr>
        <w:t xml:space="preserve"> </w:t>
      </w:r>
      <w:r>
        <w:rPr>
          <w:w w:val="105"/>
        </w:rPr>
        <w:t>plenamente</w:t>
      </w:r>
      <w:r>
        <w:rPr>
          <w:spacing w:val="-4"/>
          <w:w w:val="105"/>
        </w:rPr>
        <w:t xml:space="preserve"> </w:t>
      </w:r>
      <w:r>
        <w:rPr>
          <w:w w:val="105"/>
        </w:rPr>
        <w:t>la</w:t>
      </w:r>
      <w:r>
        <w:rPr>
          <w:spacing w:val="-4"/>
          <w:w w:val="105"/>
        </w:rPr>
        <w:t xml:space="preserve"> </w:t>
      </w:r>
      <w:r>
        <w:rPr>
          <w:w w:val="105"/>
        </w:rPr>
        <w:t>riqueza</w:t>
      </w:r>
      <w:r>
        <w:rPr>
          <w:spacing w:val="-4"/>
          <w:w w:val="105"/>
        </w:rPr>
        <w:t xml:space="preserve"> </w:t>
      </w:r>
      <w:r>
        <w:rPr>
          <w:w w:val="105"/>
        </w:rPr>
        <w:t>y</w:t>
      </w:r>
      <w:r>
        <w:rPr>
          <w:spacing w:val="-4"/>
          <w:w w:val="105"/>
        </w:rPr>
        <w:t xml:space="preserve"> </w:t>
      </w:r>
      <w:r>
        <w:rPr>
          <w:w w:val="105"/>
        </w:rPr>
        <w:t>el</w:t>
      </w:r>
      <w:r>
        <w:rPr>
          <w:spacing w:val="-4"/>
          <w:w w:val="105"/>
        </w:rPr>
        <w:t xml:space="preserve"> </w:t>
      </w:r>
      <w:proofErr w:type="spellStart"/>
      <w:r>
        <w:rPr>
          <w:w w:val="105"/>
        </w:rPr>
        <w:t>autoempoderamiento</w:t>
      </w:r>
      <w:proofErr w:type="spellEnd"/>
      <w:r>
        <w:rPr>
          <w:spacing w:val="-4"/>
          <w:w w:val="105"/>
        </w:rPr>
        <w:t xml:space="preserve"> </w:t>
      </w:r>
      <w:r>
        <w:rPr>
          <w:w w:val="105"/>
        </w:rPr>
        <w:t>de</w:t>
      </w:r>
      <w:r>
        <w:rPr>
          <w:spacing w:val="-4"/>
          <w:w w:val="105"/>
        </w:rPr>
        <w:t xml:space="preserve"> </w:t>
      </w:r>
      <w:r>
        <w:rPr>
          <w:w w:val="105"/>
        </w:rPr>
        <w:t>los</w:t>
      </w:r>
      <w:r>
        <w:rPr>
          <w:spacing w:val="-4"/>
          <w:w w:val="105"/>
        </w:rPr>
        <w:t xml:space="preserve"> </w:t>
      </w:r>
      <w:r>
        <w:rPr>
          <w:w w:val="105"/>
        </w:rPr>
        <w:t>grupos</w:t>
      </w:r>
      <w:r>
        <w:rPr>
          <w:spacing w:val="-4"/>
          <w:w w:val="105"/>
        </w:rPr>
        <w:t xml:space="preserve"> </w:t>
      </w:r>
      <w:r>
        <w:rPr>
          <w:w w:val="105"/>
        </w:rPr>
        <w:t>que</w:t>
      </w:r>
      <w:r>
        <w:rPr>
          <w:spacing w:val="-4"/>
          <w:w w:val="105"/>
        </w:rPr>
        <w:t xml:space="preserve"> </w:t>
      </w:r>
      <w:r>
        <w:rPr>
          <w:w w:val="105"/>
        </w:rPr>
        <w:t>se</w:t>
      </w:r>
      <w:r>
        <w:rPr>
          <w:spacing w:val="-4"/>
          <w:w w:val="105"/>
        </w:rPr>
        <w:t xml:space="preserve"> </w:t>
      </w:r>
      <w:r>
        <w:rPr>
          <w:w w:val="105"/>
        </w:rPr>
        <w:t>apropian</w:t>
      </w:r>
      <w:r>
        <w:rPr>
          <w:spacing w:val="-4"/>
          <w:w w:val="105"/>
        </w:rPr>
        <w:t xml:space="preserve"> </w:t>
      </w:r>
      <w:r>
        <w:rPr>
          <w:w w:val="105"/>
        </w:rPr>
        <w:t>de su</w:t>
      </w:r>
      <w:r>
        <w:rPr>
          <w:spacing w:val="-4"/>
          <w:w w:val="105"/>
        </w:rPr>
        <w:t xml:space="preserve"> </w:t>
      </w:r>
      <w:r>
        <w:rPr>
          <w:w w:val="105"/>
        </w:rPr>
        <w:t>personalidad</w:t>
      </w:r>
      <w:r>
        <w:rPr>
          <w:spacing w:val="-4"/>
          <w:w w:val="105"/>
        </w:rPr>
        <w:t xml:space="preserve"> </w:t>
      </w:r>
      <w:r>
        <w:rPr>
          <w:w w:val="105"/>
        </w:rPr>
        <w:t>grupal</w:t>
      </w:r>
      <w:r>
        <w:rPr>
          <w:spacing w:val="-4"/>
          <w:w w:val="105"/>
        </w:rPr>
        <w:t xml:space="preserve"> </w:t>
      </w:r>
      <w:r>
        <w:rPr>
          <w:w w:val="105"/>
        </w:rPr>
        <w:t>e</w:t>
      </w:r>
      <w:r>
        <w:rPr>
          <w:spacing w:val="-4"/>
          <w:w w:val="105"/>
        </w:rPr>
        <w:t xml:space="preserve"> </w:t>
      </w:r>
      <w:r>
        <w:rPr>
          <w:w w:val="105"/>
        </w:rPr>
        <w:t>historia</w:t>
      </w:r>
      <w:r>
        <w:rPr>
          <w:spacing w:val="-4"/>
          <w:w w:val="105"/>
        </w:rPr>
        <w:t xml:space="preserve"> </w:t>
      </w:r>
      <w:r>
        <w:rPr>
          <w:w w:val="105"/>
        </w:rPr>
        <w:t>común,</w:t>
      </w:r>
      <w:r>
        <w:rPr>
          <w:spacing w:val="-3"/>
          <w:w w:val="105"/>
        </w:rPr>
        <w:t xml:space="preserve"> </w:t>
      </w:r>
      <w:r>
        <w:rPr>
          <w:w w:val="105"/>
        </w:rPr>
        <w:t>a</w:t>
      </w:r>
      <w:r>
        <w:rPr>
          <w:spacing w:val="-4"/>
          <w:w w:val="105"/>
        </w:rPr>
        <w:t xml:space="preserve"> </w:t>
      </w:r>
      <w:r>
        <w:rPr>
          <w:w w:val="105"/>
        </w:rPr>
        <w:t>menudo</w:t>
      </w:r>
      <w:r>
        <w:rPr>
          <w:spacing w:val="-4"/>
          <w:w w:val="105"/>
        </w:rPr>
        <w:t xml:space="preserve"> </w:t>
      </w:r>
      <w:r>
        <w:rPr>
          <w:w w:val="105"/>
        </w:rPr>
        <w:t>en</w:t>
      </w:r>
      <w:r>
        <w:rPr>
          <w:spacing w:val="-4"/>
          <w:w w:val="105"/>
        </w:rPr>
        <w:t xml:space="preserve"> </w:t>
      </w:r>
      <w:r>
        <w:rPr>
          <w:w w:val="105"/>
        </w:rPr>
        <w:t>el</w:t>
      </w:r>
      <w:r>
        <w:rPr>
          <w:spacing w:val="-4"/>
          <w:w w:val="105"/>
        </w:rPr>
        <w:t xml:space="preserve"> </w:t>
      </w:r>
      <w:r>
        <w:rPr>
          <w:w w:val="105"/>
        </w:rPr>
        <w:t>curso</w:t>
      </w:r>
      <w:r>
        <w:rPr>
          <w:spacing w:val="-4"/>
          <w:w w:val="105"/>
        </w:rPr>
        <w:t xml:space="preserve"> </w:t>
      </w:r>
      <w:r>
        <w:rPr>
          <w:w w:val="105"/>
        </w:rPr>
        <w:t>de</w:t>
      </w:r>
      <w:r>
        <w:rPr>
          <w:spacing w:val="-4"/>
          <w:w w:val="105"/>
        </w:rPr>
        <w:t xml:space="preserve"> </w:t>
      </w:r>
      <w:r>
        <w:rPr>
          <w:w w:val="105"/>
        </w:rPr>
        <w:t>los</w:t>
      </w:r>
      <w:r>
        <w:rPr>
          <w:spacing w:val="-4"/>
          <w:w w:val="105"/>
        </w:rPr>
        <w:t xml:space="preserve"> </w:t>
      </w:r>
      <w:r>
        <w:rPr>
          <w:w w:val="105"/>
        </w:rPr>
        <w:t>movimientos</w:t>
      </w:r>
      <w:r>
        <w:rPr>
          <w:spacing w:val="-4"/>
          <w:w w:val="105"/>
        </w:rPr>
        <w:t xml:space="preserve"> </w:t>
      </w:r>
      <w:r>
        <w:rPr>
          <w:w w:val="105"/>
        </w:rPr>
        <w:t>de</w:t>
      </w:r>
      <w:r>
        <w:rPr>
          <w:spacing w:val="-4"/>
          <w:w w:val="105"/>
        </w:rPr>
        <w:t xml:space="preserve"> </w:t>
      </w:r>
      <w:r>
        <w:rPr>
          <w:w w:val="105"/>
        </w:rPr>
        <w:t>liberación.</w:t>
      </w:r>
      <w:r>
        <w:rPr>
          <w:spacing w:val="-3"/>
          <w:w w:val="105"/>
        </w:rPr>
        <w:t xml:space="preserve"> </w:t>
      </w:r>
      <w:r>
        <w:rPr>
          <w:w w:val="105"/>
        </w:rPr>
        <w:t>Sin</w:t>
      </w:r>
      <w:r>
        <w:rPr>
          <w:spacing w:val="-4"/>
          <w:w w:val="105"/>
        </w:rPr>
        <w:t xml:space="preserve"> </w:t>
      </w:r>
      <w:r>
        <w:rPr>
          <w:w w:val="105"/>
        </w:rPr>
        <w:t>embargo,</w:t>
      </w:r>
      <w:r>
        <w:rPr>
          <w:spacing w:val="-3"/>
          <w:w w:val="105"/>
        </w:rPr>
        <w:t xml:space="preserve"> </w:t>
      </w:r>
      <w:r>
        <w:rPr>
          <w:w w:val="105"/>
        </w:rPr>
        <w:t>el</w:t>
      </w:r>
      <w:r>
        <w:rPr>
          <w:spacing w:val="-4"/>
          <w:w w:val="105"/>
        </w:rPr>
        <w:t xml:space="preserve"> </w:t>
      </w:r>
      <w:r>
        <w:rPr>
          <w:w w:val="105"/>
        </w:rPr>
        <w:t>sistema</w:t>
      </w:r>
      <w:r>
        <w:rPr>
          <w:spacing w:val="-4"/>
          <w:w w:val="105"/>
        </w:rPr>
        <w:t xml:space="preserve"> </w:t>
      </w:r>
      <w:r>
        <w:rPr>
          <w:w w:val="105"/>
        </w:rPr>
        <w:t>de las Naciones Unidas ha nombrado una serie de grupos particulares expuestos a discriminación por motivos de raza o etnia,</w:t>
      </w:r>
    </w:p>
    <w:p w14:paraId="5C9EF11D" w14:textId="77777777" w:rsidR="0014798C" w:rsidRDefault="004E1F0B">
      <w:pPr>
        <w:pStyle w:val="Textoindependiente"/>
        <w:spacing w:line="326" w:lineRule="auto"/>
        <w:ind w:left="1111" w:right="1210"/>
      </w:pPr>
      <w:r>
        <w:rPr>
          <w:w w:val="105"/>
        </w:rPr>
        <w:t>a</w:t>
      </w:r>
      <w:r>
        <w:rPr>
          <w:spacing w:val="-5"/>
          <w:w w:val="105"/>
        </w:rPr>
        <w:t xml:space="preserve"> </w:t>
      </w:r>
      <w:r>
        <w:rPr>
          <w:w w:val="105"/>
        </w:rPr>
        <w:t>menudo</w:t>
      </w:r>
      <w:r>
        <w:rPr>
          <w:spacing w:val="-5"/>
          <w:w w:val="105"/>
        </w:rPr>
        <w:t xml:space="preserve"> </w:t>
      </w:r>
      <w:r>
        <w:rPr>
          <w:w w:val="105"/>
        </w:rPr>
        <w:t>al</w:t>
      </w:r>
      <w:r>
        <w:rPr>
          <w:spacing w:val="-5"/>
          <w:w w:val="105"/>
        </w:rPr>
        <w:t xml:space="preserve"> </w:t>
      </w:r>
      <w:r>
        <w:rPr>
          <w:w w:val="105"/>
        </w:rPr>
        <w:t>expresar</w:t>
      </w:r>
      <w:r>
        <w:rPr>
          <w:spacing w:val="-5"/>
          <w:w w:val="105"/>
        </w:rPr>
        <w:t xml:space="preserve"> </w:t>
      </w:r>
      <w:r>
        <w:rPr>
          <w:w w:val="105"/>
        </w:rPr>
        <w:t>preocupaciones</w:t>
      </w:r>
      <w:r>
        <w:rPr>
          <w:spacing w:val="-5"/>
          <w:w w:val="105"/>
        </w:rPr>
        <w:t xml:space="preserve"> </w:t>
      </w:r>
      <w:r>
        <w:rPr>
          <w:w w:val="105"/>
        </w:rPr>
        <w:t>graves</w:t>
      </w:r>
      <w:r>
        <w:rPr>
          <w:spacing w:val="-5"/>
          <w:w w:val="105"/>
        </w:rPr>
        <w:t xml:space="preserve"> </w:t>
      </w:r>
      <w:r>
        <w:rPr>
          <w:w w:val="105"/>
        </w:rPr>
        <w:t>en</w:t>
      </w:r>
      <w:r>
        <w:rPr>
          <w:spacing w:val="-5"/>
          <w:w w:val="105"/>
        </w:rPr>
        <w:t xml:space="preserve"> </w:t>
      </w:r>
      <w:r>
        <w:rPr>
          <w:w w:val="105"/>
        </w:rPr>
        <w:t>materia</w:t>
      </w:r>
      <w:r>
        <w:rPr>
          <w:spacing w:val="-5"/>
          <w:w w:val="105"/>
        </w:rPr>
        <w:t xml:space="preserve"> </w:t>
      </w:r>
      <w:r>
        <w:rPr>
          <w:w w:val="105"/>
        </w:rPr>
        <w:t>de</w:t>
      </w:r>
      <w:r>
        <w:rPr>
          <w:spacing w:val="-5"/>
          <w:w w:val="105"/>
        </w:rPr>
        <w:t xml:space="preserve"> </w:t>
      </w:r>
      <w:r>
        <w:rPr>
          <w:w w:val="105"/>
        </w:rPr>
        <w:t>derechos</w:t>
      </w:r>
      <w:r>
        <w:rPr>
          <w:spacing w:val="-5"/>
          <w:w w:val="105"/>
        </w:rPr>
        <w:t xml:space="preserve"> </w:t>
      </w:r>
      <w:r>
        <w:rPr>
          <w:w w:val="105"/>
        </w:rPr>
        <w:t>humanos</w:t>
      </w:r>
      <w:r>
        <w:rPr>
          <w:spacing w:val="-5"/>
          <w:w w:val="105"/>
        </w:rPr>
        <w:t xml:space="preserve"> </w:t>
      </w:r>
      <w:r>
        <w:rPr>
          <w:w w:val="105"/>
        </w:rPr>
        <w:t>o</w:t>
      </w:r>
      <w:r>
        <w:rPr>
          <w:spacing w:val="-5"/>
          <w:w w:val="105"/>
        </w:rPr>
        <w:t xml:space="preserve"> </w:t>
      </w:r>
      <w:r>
        <w:rPr>
          <w:w w:val="105"/>
        </w:rPr>
        <w:t>para</w:t>
      </w:r>
      <w:r>
        <w:rPr>
          <w:spacing w:val="-5"/>
          <w:w w:val="105"/>
        </w:rPr>
        <w:t xml:space="preserve"> </w:t>
      </w:r>
      <w:r>
        <w:rPr>
          <w:w w:val="105"/>
        </w:rPr>
        <w:t>señalar</w:t>
      </w:r>
      <w:r>
        <w:rPr>
          <w:spacing w:val="-5"/>
          <w:w w:val="105"/>
        </w:rPr>
        <w:t xml:space="preserve"> </w:t>
      </w:r>
      <w:r>
        <w:rPr>
          <w:w w:val="105"/>
        </w:rPr>
        <w:t>un</w:t>
      </w:r>
      <w:r>
        <w:rPr>
          <w:spacing w:val="-5"/>
          <w:w w:val="105"/>
        </w:rPr>
        <w:t xml:space="preserve"> </w:t>
      </w:r>
      <w:r>
        <w:rPr>
          <w:w w:val="105"/>
        </w:rPr>
        <w:t>requisito</w:t>
      </w:r>
      <w:r>
        <w:rPr>
          <w:spacing w:val="-5"/>
          <w:w w:val="105"/>
        </w:rPr>
        <w:t xml:space="preserve"> </w:t>
      </w:r>
      <w:r>
        <w:rPr>
          <w:w w:val="105"/>
        </w:rPr>
        <w:t>de</w:t>
      </w:r>
      <w:r>
        <w:rPr>
          <w:spacing w:val="-5"/>
          <w:w w:val="105"/>
        </w:rPr>
        <w:t xml:space="preserve"> </w:t>
      </w:r>
      <w:r>
        <w:rPr>
          <w:w w:val="105"/>
        </w:rPr>
        <w:t>reconocimiento o protección.</w:t>
      </w:r>
    </w:p>
    <w:p w14:paraId="5894D3AE" w14:textId="77777777" w:rsidR="0014798C" w:rsidRDefault="004E1F0B">
      <w:pPr>
        <w:pStyle w:val="Textoindependiente"/>
        <w:spacing w:before="166" w:line="326" w:lineRule="auto"/>
        <w:ind w:left="1108" w:right="1290" w:hanging="2"/>
      </w:pPr>
      <w:r>
        <w:rPr>
          <w:w w:val="105"/>
        </w:rPr>
        <w:t>Una</w:t>
      </w:r>
      <w:r>
        <w:rPr>
          <w:spacing w:val="-4"/>
          <w:w w:val="105"/>
        </w:rPr>
        <w:t xml:space="preserve"> </w:t>
      </w:r>
      <w:r>
        <w:rPr>
          <w:w w:val="105"/>
        </w:rPr>
        <w:t>primera</w:t>
      </w:r>
      <w:r>
        <w:rPr>
          <w:spacing w:val="-4"/>
          <w:w w:val="105"/>
        </w:rPr>
        <w:t xml:space="preserve"> </w:t>
      </w:r>
      <w:r>
        <w:rPr>
          <w:w w:val="105"/>
        </w:rPr>
        <w:t>y</w:t>
      </w:r>
      <w:r>
        <w:rPr>
          <w:spacing w:val="-4"/>
          <w:w w:val="105"/>
        </w:rPr>
        <w:t xml:space="preserve"> </w:t>
      </w:r>
      <w:r>
        <w:rPr>
          <w:w w:val="105"/>
        </w:rPr>
        <w:t>más</w:t>
      </w:r>
      <w:r>
        <w:rPr>
          <w:spacing w:val="-4"/>
          <w:w w:val="105"/>
        </w:rPr>
        <w:t xml:space="preserve"> </w:t>
      </w:r>
      <w:r>
        <w:rPr>
          <w:w w:val="105"/>
        </w:rPr>
        <w:t>obvia</w:t>
      </w:r>
      <w:r>
        <w:rPr>
          <w:spacing w:val="-4"/>
          <w:w w:val="105"/>
        </w:rPr>
        <w:t xml:space="preserve"> </w:t>
      </w:r>
      <w:r>
        <w:rPr>
          <w:w w:val="105"/>
        </w:rPr>
        <w:t>categoría</w:t>
      </w:r>
      <w:r>
        <w:rPr>
          <w:spacing w:val="-4"/>
          <w:w w:val="105"/>
        </w:rPr>
        <w:t xml:space="preserve"> </w:t>
      </w:r>
      <w:r>
        <w:rPr>
          <w:w w:val="105"/>
        </w:rPr>
        <w:t>de</w:t>
      </w:r>
      <w:r>
        <w:rPr>
          <w:spacing w:val="-4"/>
          <w:w w:val="105"/>
        </w:rPr>
        <w:t xml:space="preserve"> </w:t>
      </w:r>
      <w:r>
        <w:rPr>
          <w:w w:val="105"/>
        </w:rPr>
        <w:t>personas</w:t>
      </w:r>
      <w:r>
        <w:rPr>
          <w:spacing w:val="-4"/>
          <w:w w:val="105"/>
        </w:rPr>
        <w:t xml:space="preserve"> </w:t>
      </w:r>
      <w:r>
        <w:rPr>
          <w:w w:val="105"/>
        </w:rPr>
        <w:t>afectadas</w:t>
      </w:r>
      <w:r>
        <w:rPr>
          <w:spacing w:val="-4"/>
          <w:w w:val="105"/>
        </w:rPr>
        <w:t xml:space="preserve"> </w:t>
      </w:r>
      <w:r>
        <w:rPr>
          <w:w w:val="105"/>
        </w:rPr>
        <w:t>por</w:t>
      </w:r>
      <w:r>
        <w:rPr>
          <w:spacing w:val="-4"/>
          <w:w w:val="105"/>
        </w:rPr>
        <w:t xml:space="preserve"> </w:t>
      </w:r>
      <w:r>
        <w:rPr>
          <w:w w:val="105"/>
        </w:rPr>
        <w:t>la</w:t>
      </w:r>
      <w:r>
        <w:rPr>
          <w:spacing w:val="-4"/>
          <w:w w:val="105"/>
        </w:rPr>
        <w:t xml:space="preserve"> </w:t>
      </w:r>
      <w:r>
        <w:rPr>
          <w:w w:val="105"/>
        </w:rPr>
        <w:t>discriminación</w:t>
      </w:r>
      <w:r>
        <w:rPr>
          <w:spacing w:val="-3"/>
          <w:w w:val="105"/>
        </w:rPr>
        <w:t xml:space="preserve"> </w:t>
      </w:r>
      <w:r>
        <w:rPr>
          <w:w w:val="105"/>
        </w:rPr>
        <w:t>racial</w:t>
      </w:r>
      <w:r>
        <w:rPr>
          <w:spacing w:val="-4"/>
          <w:w w:val="105"/>
        </w:rPr>
        <w:t xml:space="preserve"> </w:t>
      </w:r>
      <w:r>
        <w:rPr>
          <w:w w:val="105"/>
        </w:rPr>
        <w:t>–como</w:t>
      </w:r>
      <w:r>
        <w:rPr>
          <w:spacing w:val="-4"/>
          <w:w w:val="105"/>
        </w:rPr>
        <w:t xml:space="preserve"> </w:t>
      </w:r>
      <w:r>
        <w:rPr>
          <w:w w:val="105"/>
        </w:rPr>
        <w:t>los</w:t>
      </w:r>
      <w:r>
        <w:rPr>
          <w:spacing w:val="-4"/>
          <w:w w:val="105"/>
        </w:rPr>
        <w:t xml:space="preserve"> </w:t>
      </w:r>
      <w:proofErr w:type="spellStart"/>
      <w:r>
        <w:rPr>
          <w:w w:val="105"/>
        </w:rPr>
        <w:t>dalits</w:t>
      </w:r>
      <w:proofErr w:type="spellEnd"/>
      <w:r>
        <w:rPr>
          <w:w w:val="105"/>
        </w:rPr>
        <w:t>–</w:t>
      </w:r>
      <w:r>
        <w:rPr>
          <w:spacing w:val="-4"/>
          <w:w w:val="105"/>
        </w:rPr>
        <w:t xml:space="preserve"> </w:t>
      </w:r>
      <w:r>
        <w:rPr>
          <w:w w:val="105"/>
        </w:rPr>
        <w:t>son</w:t>
      </w:r>
      <w:r>
        <w:rPr>
          <w:spacing w:val="-4"/>
          <w:w w:val="105"/>
        </w:rPr>
        <w:t xml:space="preserve"> </w:t>
      </w:r>
      <w:r>
        <w:rPr>
          <w:w w:val="105"/>
        </w:rPr>
        <w:t>las</w:t>
      </w:r>
      <w:r>
        <w:rPr>
          <w:spacing w:val="-4"/>
          <w:w w:val="105"/>
        </w:rPr>
        <w:t xml:space="preserve"> </w:t>
      </w:r>
      <w:r>
        <w:rPr>
          <w:w w:val="105"/>
        </w:rPr>
        <w:t>minorías étnicas, es decir, una de las cuatro categorías nombradas explícitamente en la Declaración sobre los derechos de las personas pertenecientes a minorías nacionales o étnicas, religiosas y lingüísticas.</w:t>
      </w:r>
    </w:p>
    <w:p w14:paraId="6089947F" w14:textId="77777777" w:rsidR="0014798C" w:rsidRDefault="004E1F0B">
      <w:pPr>
        <w:pStyle w:val="Textoindependiente"/>
        <w:spacing w:before="169" w:line="326" w:lineRule="auto"/>
        <w:ind w:left="1108" w:right="1166" w:hanging="2"/>
      </w:pPr>
      <w:r>
        <w:rPr>
          <w:w w:val="105"/>
        </w:rPr>
        <w:t xml:space="preserve">El Decenio Internacional para los Afrodescendientes está actualmente en curso y las Naciones Unidas han establecido un Grupo de Trabajo de Expertos sobre los Afrodescendientes.886 El asesinato de George Floyd, el movimiento Black </w:t>
      </w:r>
      <w:proofErr w:type="spellStart"/>
      <w:r>
        <w:rPr>
          <w:w w:val="105"/>
        </w:rPr>
        <w:t>Lives</w:t>
      </w:r>
      <w:proofErr w:type="spellEnd"/>
      <w:r>
        <w:rPr>
          <w:w w:val="105"/>
        </w:rPr>
        <w:t xml:space="preserve"> </w:t>
      </w:r>
      <w:proofErr w:type="spellStart"/>
      <w:r>
        <w:rPr>
          <w:w w:val="105"/>
        </w:rPr>
        <w:t>Matter</w:t>
      </w:r>
      <w:proofErr w:type="spellEnd"/>
      <w:r>
        <w:rPr>
          <w:w w:val="105"/>
        </w:rPr>
        <w:t xml:space="preserve"> y los movimientos de solidaridad global que surgieron de estos eventos han conducido a una atención renovada y mayor</w:t>
      </w:r>
      <w:r>
        <w:rPr>
          <w:spacing w:val="-2"/>
          <w:w w:val="105"/>
        </w:rPr>
        <w:t xml:space="preserve"> </w:t>
      </w:r>
      <w:r>
        <w:rPr>
          <w:w w:val="105"/>
        </w:rPr>
        <w:t>a</w:t>
      </w:r>
      <w:r>
        <w:rPr>
          <w:spacing w:val="-2"/>
          <w:w w:val="105"/>
        </w:rPr>
        <w:t xml:space="preserve"> </w:t>
      </w:r>
      <w:r>
        <w:rPr>
          <w:w w:val="105"/>
        </w:rPr>
        <w:t>los</w:t>
      </w:r>
      <w:r>
        <w:rPr>
          <w:spacing w:val="-2"/>
          <w:w w:val="105"/>
        </w:rPr>
        <w:t xml:space="preserve"> </w:t>
      </w:r>
      <w:r>
        <w:rPr>
          <w:w w:val="105"/>
        </w:rPr>
        <w:t>problemas</w:t>
      </w:r>
      <w:r>
        <w:rPr>
          <w:spacing w:val="-2"/>
          <w:w w:val="105"/>
        </w:rPr>
        <w:t xml:space="preserve"> </w:t>
      </w:r>
      <w:r>
        <w:rPr>
          <w:w w:val="105"/>
        </w:rPr>
        <w:t>de</w:t>
      </w:r>
      <w:r>
        <w:rPr>
          <w:spacing w:val="-2"/>
          <w:w w:val="105"/>
        </w:rPr>
        <w:t xml:space="preserve"> </w:t>
      </w:r>
      <w:r>
        <w:rPr>
          <w:w w:val="105"/>
        </w:rPr>
        <w:t>injusticia</w:t>
      </w:r>
      <w:r>
        <w:rPr>
          <w:spacing w:val="-2"/>
          <w:w w:val="105"/>
        </w:rPr>
        <w:t xml:space="preserve"> </w:t>
      </w:r>
      <w:r>
        <w:rPr>
          <w:w w:val="105"/>
        </w:rPr>
        <w:t>racial</w:t>
      </w:r>
      <w:r>
        <w:rPr>
          <w:spacing w:val="-2"/>
          <w:w w:val="105"/>
        </w:rPr>
        <w:t xml:space="preserve"> </w:t>
      </w:r>
      <w:r>
        <w:rPr>
          <w:w w:val="105"/>
        </w:rPr>
        <w:t>contra</w:t>
      </w:r>
      <w:r>
        <w:rPr>
          <w:spacing w:val="-2"/>
          <w:w w:val="105"/>
        </w:rPr>
        <w:t xml:space="preserve"> </w:t>
      </w:r>
      <w:r>
        <w:rPr>
          <w:w w:val="105"/>
        </w:rPr>
        <w:t>los</w:t>
      </w:r>
      <w:r>
        <w:rPr>
          <w:spacing w:val="-2"/>
          <w:w w:val="105"/>
        </w:rPr>
        <w:t xml:space="preserve"> </w:t>
      </w:r>
      <w:r>
        <w:rPr>
          <w:w w:val="105"/>
        </w:rPr>
        <w:t>afrodescendientes. Esto</w:t>
      </w:r>
      <w:r>
        <w:rPr>
          <w:spacing w:val="-2"/>
          <w:w w:val="105"/>
        </w:rPr>
        <w:t xml:space="preserve"> </w:t>
      </w:r>
      <w:r>
        <w:rPr>
          <w:w w:val="105"/>
        </w:rPr>
        <w:t>dio</w:t>
      </w:r>
      <w:r>
        <w:rPr>
          <w:spacing w:val="-2"/>
          <w:w w:val="105"/>
        </w:rPr>
        <w:t xml:space="preserve"> </w:t>
      </w:r>
      <w:r>
        <w:rPr>
          <w:w w:val="105"/>
        </w:rPr>
        <w:t>lugar,</w:t>
      </w:r>
      <w:r>
        <w:rPr>
          <w:spacing w:val="-1"/>
          <w:w w:val="105"/>
        </w:rPr>
        <w:t xml:space="preserve"> </w:t>
      </w:r>
      <w:r>
        <w:rPr>
          <w:w w:val="105"/>
        </w:rPr>
        <w:t>entre</w:t>
      </w:r>
      <w:r>
        <w:rPr>
          <w:spacing w:val="-2"/>
          <w:w w:val="105"/>
        </w:rPr>
        <w:t xml:space="preserve"> </w:t>
      </w:r>
      <w:r>
        <w:rPr>
          <w:w w:val="105"/>
        </w:rPr>
        <w:t>otras</w:t>
      </w:r>
      <w:r>
        <w:rPr>
          <w:spacing w:val="-2"/>
          <w:w w:val="105"/>
        </w:rPr>
        <w:t xml:space="preserve"> </w:t>
      </w:r>
      <w:r>
        <w:rPr>
          <w:w w:val="105"/>
        </w:rPr>
        <w:t>cosas,</w:t>
      </w:r>
      <w:r>
        <w:rPr>
          <w:spacing w:val="-1"/>
          <w:w w:val="105"/>
        </w:rPr>
        <w:t xml:space="preserve"> </w:t>
      </w:r>
      <w:r>
        <w:rPr>
          <w:w w:val="105"/>
        </w:rPr>
        <w:t>a</w:t>
      </w:r>
      <w:r>
        <w:rPr>
          <w:spacing w:val="-2"/>
          <w:w w:val="105"/>
        </w:rPr>
        <w:t xml:space="preserve"> </w:t>
      </w:r>
      <w:r>
        <w:rPr>
          <w:w w:val="105"/>
        </w:rPr>
        <w:t>la</w:t>
      </w:r>
      <w:r>
        <w:rPr>
          <w:spacing w:val="-2"/>
          <w:w w:val="105"/>
        </w:rPr>
        <w:t xml:space="preserve"> </w:t>
      </w:r>
      <w:r>
        <w:rPr>
          <w:w w:val="105"/>
        </w:rPr>
        <w:t>resolución</w:t>
      </w:r>
      <w:r>
        <w:rPr>
          <w:spacing w:val="-2"/>
          <w:w w:val="105"/>
        </w:rPr>
        <w:t xml:space="preserve"> </w:t>
      </w:r>
      <w:r>
        <w:rPr>
          <w:w w:val="105"/>
        </w:rPr>
        <w:t>43/1 del</w:t>
      </w:r>
      <w:r>
        <w:rPr>
          <w:spacing w:val="-5"/>
          <w:w w:val="105"/>
        </w:rPr>
        <w:t xml:space="preserve"> </w:t>
      </w:r>
      <w:r>
        <w:rPr>
          <w:w w:val="105"/>
        </w:rPr>
        <w:t>Consejo</w:t>
      </w:r>
      <w:r>
        <w:rPr>
          <w:spacing w:val="-5"/>
          <w:w w:val="105"/>
        </w:rPr>
        <w:t xml:space="preserve"> </w:t>
      </w:r>
      <w:r>
        <w:rPr>
          <w:w w:val="105"/>
        </w:rPr>
        <w:t>de</w:t>
      </w:r>
      <w:r>
        <w:rPr>
          <w:spacing w:val="-5"/>
          <w:w w:val="105"/>
        </w:rPr>
        <w:t xml:space="preserve"> </w:t>
      </w:r>
      <w:r>
        <w:rPr>
          <w:w w:val="105"/>
        </w:rPr>
        <w:t>Derechos</w:t>
      </w:r>
      <w:r>
        <w:rPr>
          <w:spacing w:val="-5"/>
          <w:w w:val="105"/>
        </w:rPr>
        <w:t xml:space="preserve"> </w:t>
      </w:r>
      <w:r>
        <w:rPr>
          <w:w w:val="105"/>
        </w:rPr>
        <w:t>Humanos</w:t>
      </w:r>
      <w:r>
        <w:rPr>
          <w:spacing w:val="-5"/>
          <w:w w:val="105"/>
        </w:rPr>
        <w:t xml:space="preserve"> </w:t>
      </w:r>
      <w:r>
        <w:rPr>
          <w:w w:val="105"/>
        </w:rPr>
        <w:t>sobre</w:t>
      </w:r>
      <w:r>
        <w:rPr>
          <w:spacing w:val="-5"/>
          <w:w w:val="105"/>
        </w:rPr>
        <w:t xml:space="preserve"> </w:t>
      </w:r>
      <w:r>
        <w:rPr>
          <w:w w:val="105"/>
        </w:rPr>
        <w:t>la</w:t>
      </w:r>
      <w:r>
        <w:rPr>
          <w:spacing w:val="-5"/>
          <w:w w:val="105"/>
        </w:rPr>
        <w:t xml:space="preserve"> </w:t>
      </w:r>
      <w:r>
        <w:rPr>
          <w:w w:val="105"/>
        </w:rPr>
        <w:t>promoción</w:t>
      </w:r>
      <w:r>
        <w:rPr>
          <w:spacing w:val="-5"/>
          <w:w w:val="105"/>
        </w:rPr>
        <w:t xml:space="preserve"> </w:t>
      </w:r>
      <w:r>
        <w:rPr>
          <w:w w:val="105"/>
        </w:rPr>
        <w:t>y</w:t>
      </w:r>
      <w:r>
        <w:rPr>
          <w:spacing w:val="-5"/>
          <w:w w:val="105"/>
        </w:rPr>
        <w:t xml:space="preserve"> </w:t>
      </w:r>
      <w:r>
        <w:rPr>
          <w:w w:val="105"/>
        </w:rPr>
        <w:t>protección</w:t>
      </w:r>
      <w:r>
        <w:rPr>
          <w:spacing w:val="-5"/>
          <w:w w:val="105"/>
        </w:rPr>
        <w:t xml:space="preserve"> </w:t>
      </w:r>
      <w:r>
        <w:rPr>
          <w:w w:val="105"/>
        </w:rPr>
        <w:t>de</w:t>
      </w:r>
      <w:r>
        <w:rPr>
          <w:spacing w:val="-5"/>
          <w:w w:val="105"/>
        </w:rPr>
        <w:t xml:space="preserve"> </w:t>
      </w:r>
      <w:r>
        <w:rPr>
          <w:w w:val="105"/>
        </w:rPr>
        <w:t>los</w:t>
      </w:r>
      <w:r>
        <w:rPr>
          <w:spacing w:val="-5"/>
          <w:w w:val="105"/>
        </w:rPr>
        <w:t xml:space="preserve"> </w:t>
      </w:r>
      <w:r>
        <w:rPr>
          <w:w w:val="105"/>
        </w:rPr>
        <w:t>derechos</w:t>
      </w:r>
      <w:r>
        <w:rPr>
          <w:spacing w:val="-5"/>
          <w:w w:val="105"/>
        </w:rPr>
        <w:t xml:space="preserve"> </w:t>
      </w:r>
      <w:r>
        <w:rPr>
          <w:w w:val="105"/>
        </w:rPr>
        <w:t>humanos</w:t>
      </w:r>
      <w:r>
        <w:rPr>
          <w:spacing w:val="-5"/>
          <w:w w:val="105"/>
        </w:rPr>
        <w:t xml:space="preserve"> </w:t>
      </w:r>
      <w:r>
        <w:rPr>
          <w:w w:val="105"/>
        </w:rPr>
        <w:t>y</w:t>
      </w:r>
      <w:r>
        <w:rPr>
          <w:spacing w:val="-5"/>
          <w:w w:val="105"/>
        </w:rPr>
        <w:t xml:space="preserve"> </w:t>
      </w:r>
      <w:r>
        <w:rPr>
          <w:w w:val="105"/>
        </w:rPr>
        <w:t>las</w:t>
      </w:r>
      <w:r>
        <w:rPr>
          <w:spacing w:val="-5"/>
          <w:w w:val="105"/>
        </w:rPr>
        <w:t xml:space="preserve"> </w:t>
      </w:r>
      <w:r>
        <w:rPr>
          <w:w w:val="105"/>
        </w:rPr>
        <w:t>libertades</w:t>
      </w:r>
      <w:r>
        <w:rPr>
          <w:spacing w:val="-5"/>
          <w:w w:val="105"/>
        </w:rPr>
        <w:t xml:space="preserve"> </w:t>
      </w:r>
      <w:r>
        <w:rPr>
          <w:w w:val="105"/>
        </w:rPr>
        <w:t>fundamentales de los africanos y de los afrodescendientes contra el uso excesivo de la fuerza y otras violaciones de los derechos humanos por parte de agentes encargados de hacer cumplir la ley. , en el que el Consejo solicitó, entre otras cosas, un informe al respecto al Alto Comisionado de las Naciones Unidas para los Derechos Humanos.</w:t>
      </w:r>
    </w:p>
    <w:p w14:paraId="1912C79F" w14:textId="77777777" w:rsidR="0014798C" w:rsidRDefault="004E1F0B">
      <w:pPr>
        <w:pStyle w:val="Textoindependiente"/>
        <w:spacing w:before="166" w:line="326" w:lineRule="auto"/>
        <w:ind w:left="1106" w:right="1272" w:firstLine="2"/>
      </w:pPr>
      <w:r>
        <w:rPr>
          <w:w w:val="105"/>
        </w:rPr>
        <w:t>En el informe, publicado en junio de 2021,887 el Alto Comisionado establece una Agenda de cuatro puntos hacia un cambio transformador</w:t>
      </w:r>
      <w:r>
        <w:rPr>
          <w:spacing w:val="-1"/>
          <w:w w:val="105"/>
        </w:rPr>
        <w:t xml:space="preserve"> </w:t>
      </w:r>
      <w:r>
        <w:rPr>
          <w:w w:val="105"/>
        </w:rPr>
        <w:t>para</w:t>
      </w:r>
      <w:r>
        <w:rPr>
          <w:spacing w:val="-1"/>
          <w:w w:val="105"/>
        </w:rPr>
        <w:t xml:space="preserve"> </w:t>
      </w:r>
      <w:r>
        <w:rPr>
          <w:w w:val="105"/>
        </w:rPr>
        <w:t>la</w:t>
      </w:r>
      <w:r>
        <w:rPr>
          <w:spacing w:val="-1"/>
          <w:w w:val="105"/>
        </w:rPr>
        <w:t xml:space="preserve"> </w:t>
      </w:r>
      <w:r>
        <w:rPr>
          <w:w w:val="105"/>
        </w:rPr>
        <w:t>justicia</w:t>
      </w:r>
      <w:r>
        <w:rPr>
          <w:spacing w:val="-1"/>
          <w:w w:val="105"/>
        </w:rPr>
        <w:t xml:space="preserve"> </w:t>
      </w:r>
      <w:r>
        <w:rPr>
          <w:w w:val="105"/>
        </w:rPr>
        <w:t>y</w:t>
      </w:r>
      <w:r>
        <w:rPr>
          <w:spacing w:val="-1"/>
          <w:w w:val="105"/>
        </w:rPr>
        <w:t xml:space="preserve"> </w:t>
      </w:r>
      <w:r>
        <w:rPr>
          <w:w w:val="105"/>
        </w:rPr>
        <w:t>la</w:t>
      </w:r>
      <w:r>
        <w:rPr>
          <w:spacing w:val="-1"/>
          <w:w w:val="105"/>
        </w:rPr>
        <w:t xml:space="preserve"> </w:t>
      </w:r>
      <w:r>
        <w:rPr>
          <w:w w:val="105"/>
        </w:rPr>
        <w:t>igualdad</w:t>
      </w:r>
      <w:r>
        <w:rPr>
          <w:spacing w:val="-1"/>
          <w:w w:val="105"/>
        </w:rPr>
        <w:t xml:space="preserve"> </w:t>
      </w:r>
      <w:r>
        <w:rPr>
          <w:w w:val="105"/>
        </w:rPr>
        <w:t>racial, con</w:t>
      </w:r>
      <w:r>
        <w:rPr>
          <w:spacing w:val="-1"/>
          <w:w w:val="105"/>
        </w:rPr>
        <w:t xml:space="preserve"> </w:t>
      </w:r>
      <w:r>
        <w:rPr>
          <w:w w:val="105"/>
        </w:rPr>
        <w:t>una</w:t>
      </w:r>
      <w:r>
        <w:rPr>
          <w:spacing w:val="-1"/>
          <w:w w:val="105"/>
        </w:rPr>
        <w:t xml:space="preserve"> </w:t>
      </w:r>
      <w:r>
        <w:rPr>
          <w:w w:val="105"/>
        </w:rPr>
        <w:t>visión</w:t>
      </w:r>
      <w:r>
        <w:rPr>
          <w:spacing w:val="-1"/>
          <w:w w:val="105"/>
        </w:rPr>
        <w:t xml:space="preserve"> </w:t>
      </w:r>
      <w:r>
        <w:rPr>
          <w:w w:val="105"/>
        </w:rPr>
        <w:t>global</w:t>
      </w:r>
      <w:r>
        <w:rPr>
          <w:spacing w:val="-1"/>
          <w:w w:val="105"/>
        </w:rPr>
        <w:t xml:space="preserve"> </w:t>
      </w:r>
      <w:r>
        <w:rPr>
          <w:w w:val="105"/>
        </w:rPr>
        <w:t>para</w:t>
      </w:r>
      <w:r>
        <w:rPr>
          <w:spacing w:val="-1"/>
          <w:w w:val="105"/>
        </w:rPr>
        <w:t xml:space="preserve"> </w:t>
      </w:r>
      <w:r>
        <w:rPr>
          <w:w w:val="105"/>
        </w:rPr>
        <w:t>(a)</w:t>
      </w:r>
      <w:r>
        <w:rPr>
          <w:spacing w:val="-1"/>
          <w:w w:val="105"/>
        </w:rPr>
        <w:t xml:space="preserve"> </w:t>
      </w:r>
      <w:r>
        <w:rPr>
          <w:w w:val="105"/>
        </w:rPr>
        <w:t>desmantelar</w:t>
      </w:r>
      <w:r>
        <w:rPr>
          <w:spacing w:val="-1"/>
          <w:w w:val="105"/>
        </w:rPr>
        <w:t xml:space="preserve"> </w:t>
      </w:r>
      <w:r>
        <w:rPr>
          <w:w w:val="105"/>
        </w:rPr>
        <w:t>el</w:t>
      </w:r>
      <w:r>
        <w:rPr>
          <w:spacing w:val="-1"/>
          <w:w w:val="105"/>
        </w:rPr>
        <w:t xml:space="preserve"> </w:t>
      </w:r>
      <w:r>
        <w:rPr>
          <w:w w:val="105"/>
        </w:rPr>
        <w:t>racismo sistémico, (b)</w:t>
      </w:r>
      <w:r>
        <w:rPr>
          <w:spacing w:val="-1"/>
          <w:w w:val="105"/>
        </w:rPr>
        <w:t xml:space="preserve"> </w:t>
      </w:r>
      <w:r>
        <w:rPr>
          <w:w w:val="105"/>
        </w:rPr>
        <w:t>buscar la justicia, poner fin a la impunidad y generar confianza, (c) escuchar a los afrodescendientes y actuar en función de sus preocupaciones, y (d) brindar reparación confrontando los legados del pasado, tomando medidas especiales y brindando justicia reparadora. De conformidad con el informe, el Consejo de Derechos Humanos adoptó por consenso la resolución 47/21, estableciendo un nuevo mecanismo internacional de expertos independientes para promover la justicia y la igualdad racial en el contexto de la aplicación de la ley. En julio de 2021, la Asamblea General estableció el Foro Permanente de Afrodescendientes</w:t>
      </w:r>
      <w:r>
        <w:rPr>
          <w:spacing w:val="-5"/>
          <w:w w:val="105"/>
        </w:rPr>
        <w:t xml:space="preserve"> </w:t>
      </w:r>
      <w:r>
        <w:rPr>
          <w:w w:val="105"/>
        </w:rPr>
        <w:t>para</w:t>
      </w:r>
      <w:r>
        <w:rPr>
          <w:spacing w:val="-5"/>
          <w:w w:val="105"/>
        </w:rPr>
        <w:t xml:space="preserve"> </w:t>
      </w:r>
      <w:r>
        <w:rPr>
          <w:w w:val="105"/>
        </w:rPr>
        <w:t>que</w:t>
      </w:r>
      <w:r>
        <w:rPr>
          <w:spacing w:val="-5"/>
          <w:w w:val="105"/>
        </w:rPr>
        <w:t xml:space="preserve"> </w:t>
      </w:r>
      <w:r>
        <w:rPr>
          <w:w w:val="105"/>
        </w:rPr>
        <w:t>sirva</w:t>
      </w:r>
      <w:r>
        <w:rPr>
          <w:spacing w:val="-5"/>
          <w:w w:val="105"/>
        </w:rPr>
        <w:t xml:space="preserve"> </w:t>
      </w:r>
      <w:r>
        <w:rPr>
          <w:w w:val="105"/>
        </w:rPr>
        <w:t>como</w:t>
      </w:r>
      <w:r>
        <w:rPr>
          <w:spacing w:val="-5"/>
          <w:w w:val="105"/>
        </w:rPr>
        <w:t xml:space="preserve"> </w:t>
      </w:r>
      <w:r>
        <w:rPr>
          <w:w w:val="105"/>
        </w:rPr>
        <w:t>mecanismo</w:t>
      </w:r>
      <w:r>
        <w:rPr>
          <w:spacing w:val="-4"/>
          <w:w w:val="105"/>
        </w:rPr>
        <w:t xml:space="preserve"> </w:t>
      </w:r>
      <w:r>
        <w:rPr>
          <w:w w:val="105"/>
        </w:rPr>
        <w:t>consultivo</w:t>
      </w:r>
      <w:r>
        <w:rPr>
          <w:spacing w:val="-5"/>
          <w:w w:val="105"/>
        </w:rPr>
        <w:t xml:space="preserve"> </w:t>
      </w:r>
      <w:r>
        <w:rPr>
          <w:w w:val="105"/>
        </w:rPr>
        <w:t>para</w:t>
      </w:r>
      <w:r>
        <w:rPr>
          <w:spacing w:val="-5"/>
          <w:w w:val="105"/>
        </w:rPr>
        <w:t xml:space="preserve"> </w:t>
      </w:r>
      <w:r>
        <w:rPr>
          <w:w w:val="105"/>
        </w:rPr>
        <w:t>los</w:t>
      </w:r>
      <w:r>
        <w:rPr>
          <w:spacing w:val="-5"/>
          <w:w w:val="105"/>
        </w:rPr>
        <w:t xml:space="preserve"> </w:t>
      </w:r>
      <w:r>
        <w:rPr>
          <w:w w:val="105"/>
        </w:rPr>
        <w:t>afrodescendientes</w:t>
      </w:r>
      <w:r>
        <w:rPr>
          <w:spacing w:val="-5"/>
          <w:w w:val="105"/>
        </w:rPr>
        <w:t xml:space="preserve"> </w:t>
      </w:r>
      <w:r>
        <w:rPr>
          <w:w w:val="105"/>
        </w:rPr>
        <w:t>y</w:t>
      </w:r>
      <w:r>
        <w:rPr>
          <w:spacing w:val="-5"/>
          <w:w w:val="105"/>
        </w:rPr>
        <w:t xml:space="preserve"> </w:t>
      </w:r>
      <w:r>
        <w:rPr>
          <w:w w:val="105"/>
        </w:rPr>
        <w:t>otras</w:t>
      </w:r>
      <w:r>
        <w:rPr>
          <w:spacing w:val="-5"/>
          <w:w w:val="105"/>
        </w:rPr>
        <w:t xml:space="preserve"> </w:t>
      </w:r>
      <w:r>
        <w:rPr>
          <w:w w:val="105"/>
        </w:rPr>
        <w:t>partes</w:t>
      </w:r>
      <w:r>
        <w:rPr>
          <w:spacing w:val="-5"/>
          <w:w w:val="105"/>
        </w:rPr>
        <w:t xml:space="preserve"> </w:t>
      </w:r>
      <w:r>
        <w:rPr>
          <w:w w:val="105"/>
        </w:rPr>
        <w:t>interesadas,</w:t>
      </w:r>
      <w:r>
        <w:rPr>
          <w:spacing w:val="-3"/>
          <w:w w:val="105"/>
        </w:rPr>
        <w:t xml:space="preserve"> </w:t>
      </w:r>
      <w:r>
        <w:rPr>
          <w:w w:val="105"/>
        </w:rPr>
        <w:t>y</w:t>
      </w:r>
      <w:r>
        <w:rPr>
          <w:spacing w:val="-5"/>
          <w:w w:val="105"/>
        </w:rPr>
        <w:t xml:space="preserve"> </w:t>
      </w:r>
      <w:r>
        <w:rPr>
          <w:w w:val="105"/>
        </w:rPr>
        <w:t>como órgano asesor del Consejo de Derechos Humanos. Estos dos nuevos mecanismos fortalecen aún más la arquitectura existente de las Naciones Unidas establecida para contrarrestar el racismo, combatir la discriminación racial y fortalecer los derechos y la protección de las minorías.</w:t>
      </w:r>
    </w:p>
    <w:p w14:paraId="0080DF6E" w14:textId="77777777" w:rsidR="0014798C" w:rsidRDefault="004E1F0B">
      <w:pPr>
        <w:pStyle w:val="Textoindependiente"/>
        <w:spacing w:before="165" w:line="326" w:lineRule="auto"/>
        <w:ind w:left="1103" w:right="1272" w:firstLine="6"/>
      </w:pPr>
      <w:r>
        <w:rPr>
          <w:w w:val="105"/>
        </w:rPr>
        <w:t xml:space="preserve">Los romaníes, los </w:t>
      </w:r>
      <w:proofErr w:type="spellStart"/>
      <w:r>
        <w:rPr>
          <w:w w:val="105"/>
        </w:rPr>
        <w:t>sinti</w:t>
      </w:r>
      <w:proofErr w:type="spellEnd"/>
      <w:r>
        <w:rPr>
          <w:w w:val="105"/>
        </w:rPr>
        <w:t>, los nómadas y las personas que se autoidentifican o estigmatizan como “gitanos” o grupos afines fueron</w:t>
      </w:r>
      <w:r>
        <w:rPr>
          <w:spacing w:val="-5"/>
          <w:w w:val="105"/>
        </w:rPr>
        <w:t xml:space="preserve"> </w:t>
      </w:r>
      <w:r>
        <w:rPr>
          <w:w w:val="105"/>
        </w:rPr>
        <w:t>nombrados</w:t>
      </w:r>
      <w:r>
        <w:rPr>
          <w:spacing w:val="-5"/>
          <w:w w:val="105"/>
        </w:rPr>
        <w:t xml:space="preserve"> </w:t>
      </w:r>
      <w:r>
        <w:rPr>
          <w:w w:val="105"/>
        </w:rPr>
        <w:t>explícitamente</w:t>
      </w:r>
      <w:r>
        <w:rPr>
          <w:spacing w:val="-5"/>
          <w:w w:val="105"/>
        </w:rPr>
        <w:t xml:space="preserve"> </w:t>
      </w:r>
      <w:r>
        <w:rPr>
          <w:w w:val="105"/>
        </w:rPr>
        <w:t>en</w:t>
      </w:r>
      <w:r>
        <w:rPr>
          <w:spacing w:val="-5"/>
          <w:w w:val="105"/>
        </w:rPr>
        <w:t xml:space="preserve"> </w:t>
      </w:r>
      <w:r>
        <w:rPr>
          <w:w w:val="105"/>
        </w:rPr>
        <w:t>la</w:t>
      </w:r>
      <w:r>
        <w:rPr>
          <w:spacing w:val="-5"/>
          <w:w w:val="105"/>
        </w:rPr>
        <w:t xml:space="preserve"> </w:t>
      </w:r>
      <w:r>
        <w:rPr>
          <w:w w:val="105"/>
        </w:rPr>
        <w:t>Declaración</w:t>
      </w:r>
      <w:r>
        <w:rPr>
          <w:spacing w:val="-5"/>
          <w:w w:val="105"/>
        </w:rPr>
        <w:t xml:space="preserve"> </w:t>
      </w:r>
      <w:r>
        <w:rPr>
          <w:w w:val="105"/>
        </w:rPr>
        <w:t>y</w:t>
      </w:r>
      <w:r>
        <w:rPr>
          <w:spacing w:val="-5"/>
          <w:w w:val="105"/>
        </w:rPr>
        <w:t xml:space="preserve"> </w:t>
      </w:r>
      <w:r>
        <w:rPr>
          <w:w w:val="105"/>
        </w:rPr>
        <w:t>el</w:t>
      </w:r>
      <w:r>
        <w:rPr>
          <w:spacing w:val="-5"/>
          <w:w w:val="105"/>
        </w:rPr>
        <w:t xml:space="preserve"> </w:t>
      </w:r>
      <w:r>
        <w:rPr>
          <w:w w:val="105"/>
        </w:rPr>
        <w:t>Programa</w:t>
      </w:r>
      <w:r>
        <w:rPr>
          <w:spacing w:val="-5"/>
          <w:w w:val="105"/>
        </w:rPr>
        <w:t xml:space="preserve"> </w:t>
      </w:r>
      <w:r>
        <w:rPr>
          <w:w w:val="105"/>
        </w:rPr>
        <w:t>de</w:t>
      </w:r>
      <w:r>
        <w:rPr>
          <w:spacing w:val="-5"/>
          <w:w w:val="105"/>
        </w:rPr>
        <w:t xml:space="preserve"> </w:t>
      </w:r>
      <w:r>
        <w:rPr>
          <w:w w:val="105"/>
        </w:rPr>
        <w:t>Acción</w:t>
      </w:r>
      <w:r>
        <w:rPr>
          <w:spacing w:val="-5"/>
          <w:w w:val="105"/>
        </w:rPr>
        <w:t xml:space="preserve"> </w:t>
      </w:r>
      <w:r>
        <w:rPr>
          <w:w w:val="105"/>
        </w:rPr>
        <w:t>de</w:t>
      </w:r>
      <w:r>
        <w:rPr>
          <w:spacing w:val="-5"/>
          <w:w w:val="105"/>
        </w:rPr>
        <w:t xml:space="preserve"> </w:t>
      </w:r>
      <w:r>
        <w:rPr>
          <w:w w:val="105"/>
        </w:rPr>
        <w:t>Durban</w:t>
      </w:r>
      <w:r>
        <w:rPr>
          <w:spacing w:val="-5"/>
          <w:w w:val="105"/>
        </w:rPr>
        <w:t xml:space="preserve"> </w:t>
      </w:r>
      <w:r>
        <w:rPr>
          <w:w w:val="105"/>
        </w:rPr>
        <w:t>adoptados</w:t>
      </w:r>
      <w:r>
        <w:rPr>
          <w:spacing w:val="-5"/>
          <w:w w:val="105"/>
        </w:rPr>
        <w:t xml:space="preserve"> </w:t>
      </w:r>
      <w:r>
        <w:rPr>
          <w:w w:val="105"/>
        </w:rPr>
        <w:t>al</w:t>
      </w:r>
      <w:r>
        <w:rPr>
          <w:spacing w:val="-5"/>
          <w:w w:val="105"/>
        </w:rPr>
        <w:t xml:space="preserve"> </w:t>
      </w:r>
      <w:r>
        <w:rPr>
          <w:w w:val="105"/>
        </w:rPr>
        <w:t>concluir</w:t>
      </w:r>
      <w:r>
        <w:rPr>
          <w:spacing w:val="-5"/>
          <w:w w:val="105"/>
        </w:rPr>
        <w:t xml:space="preserve"> </w:t>
      </w:r>
      <w:r>
        <w:rPr>
          <w:w w:val="105"/>
        </w:rPr>
        <w:t>la</w:t>
      </w:r>
      <w:r>
        <w:rPr>
          <w:spacing w:val="-5"/>
          <w:w w:val="105"/>
        </w:rPr>
        <w:t xml:space="preserve"> </w:t>
      </w:r>
      <w:r>
        <w:rPr>
          <w:w w:val="105"/>
        </w:rPr>
        <w:t>Conferencia Mundial contra el Racismo, la Discriminación Racial, la Xenofobia y las Formas Conexas de Intolerancia en 2001.888</w:t>
      </w:r>
    </w:p>
    <w:p w14:paraId="6B082911" w14:textId="77777777" w:rsidR="0014798C" w:rsidRDefault="004E1F0B">
      <w:pPr>
        <w:pStyle w:val="Textoindependiente"/>
        <w:spacing w:line="183" w:lineRule="exact"/>
        <w:ind w:left="1109"/>
      </w:pPr>
      <w:r>
        <w:rPr>
          <w:w w:val="105"/>
        </w:rPr>
        <w:t>La</w:t>
      </w:r>
      <w:r>
        <w:rPr>
          <w:spacing w:val="-11"/>
          <w:w w:val="105"/>
        </w:rPr>
        <w:t xml:space="preserve"> </w:t>
      </w:r>
      <w:r>
        <w:rPr>
          <w:w w:val="105"/>
        </w:rPr>
        <w:t>discriminación</w:t>
      </w:r>
      <w:r>
        <w:rPr>
          <w:spacing w:val="-9"/>
          <w:w w:val="105"/>
        </w:rPr>
        <w:t xml:space="preserve"> </w:t>
      </w:r>
      <w:r>
        <w:rPr>
          <w:w w:val="105"/>
        </w:rPr>
        <w:t>contra</w:t>
      </w:r>
      <w:r>
        <w:rPr>
          <w:spacing w:val="-10"/>
          <w:w w:val="105"/>
        </w:rPr>
        <w:t xml:space="preserve"> </w:t>
      </w:r>
      <w:r>
        <w:rPr>
          <w:w w:val="105"/>
        </w:rPr>
        <w:t>los</w:t>
      </w:r>
      <w:r>
        <w:rPr>
          <w:spacing w:val="-10"/>
          <w:w w:val="105"/>
        </w:rPr>
        <w:t xml:space="preserve"> </w:t>
      </w:r>
      <w:r>
        <w:rPr>
          <w:w w:val="105"/>
        </w:rPr>
        <w:t>romaníes</w:t>
      </w:r>
      <w:r>
        <w:rPr>
          <w:spacing w:val="-10"/>
          <w:w w:val="105"/>
        </w:rPr>
        <w:t xml:space="preserve"> </w:t>
      </w:r>
      <w:r>
        <w:rPr>
          <w:w w:val="105"/>
        </w:rPr>
        <w:t>fue</w:t>
      </w:r>
      <w:r>
        <w:rPr>
          <w:spacing w:val="-10"/>
          <w:w w:val="105"/>
        </w:rPr>
        <w:t xml:space="preserve"> </w:t>
      </w:r>
      <w:r>
        <w:rPr>
          <w:w w:val="105"/>
        </w:rPr>
        <w:t>objeto</w:t>
      </w:r>
      <w:r>
        <w:rPr>
          <w:spacing w:val="-10"/>
          <w:w w:val="105"/>
        </w:rPr>
        <w:t xml:space="preserve"> </w:t>
      </w:r>
      <w:r>
        <w:rPr>
          <w:w w:val="105"/>
        </w:rPr>
        <w:t>de</w:t>
      </w:r>
      <w:r>
        <w:rPr>
          <w:spacing w:val="-10"/>
          <w:w w:val="105"/>
        </w:rPr>
        <w:t xml:space="preserve"> </w:t>
      </w:r>
      <w:r>
        <w:rPr>
          <w:w w:val="105"/>
        </w:rPr>
        <w:t>una</w:t>
      </w:r>
      <w:r>
        <w:rPr>
          <w:spacing w:val="-10"/>
          <w:w w:val="105"/>
        </w:rPr>
        <w:t xml:space="preserve"> </w:t>
      </w:r>
      <w:r>
        <w:rPr>
          <w:w w:val="105"/>
        </w:rPr>
        <w:t>recomendación</w:t>
      </w:r>
      <w:r>
        <w:rPr>
          <w:spacing w:val="-9"/>
          <w:w w:val="105"/>
        </w:rPr>
        <w:t xml:space="preserve"> </w:t>
      </w:r>
      <w:r>
        <w:rPr>
          <w:w w:val="105"/>
        </w:rPr>
        <w:t>general</w:t>
      </w:r>
      <w:r>
        <w:rPr>
          <w:spacing w:val="-10"/>
          <w:w w:val="105"/>
        </w:rPr>
        <w:t xml:space="preserve"> </w:t>
      </w:r>
      <w:r>
        <w:rPr>
          <w:w w:val="105"/>
        </w:rPr>
        <w:t>específica</w:t>
      </w:r>
      <w:r>
        <w:rPr>
          <w:spacing w:val="-10"/>
          <w:w w:val="105"/>
        </w:rPr>
        <w:t xml:space="preserve"> </w:t>
      </w:r>
      <w:r>
        <w:rPr>
          <w:w w:val="105"/>
        </w:rPr>
        <w:t>del</w:t>
      </w:r>
      <w:r>
        <w:rPr>
          <w:spacing w:val="-10"/>
          <w:w w:val="105"/>
        </w:rPr>
        <w:t xml:space="preserve"> </w:t>
      </w:r>
      <w:r>
        <w:rPr>
          <w:w w:val="105"/>
        </w:rPr>
        <w:t>Comité</w:t>
      </w:r>
      <w:r>
        <w:rPr>
          <w:spacing w:val="-10"/>
          <w:w w:val="105"/>
        </w:rPr>
        <w:t xml:space="preserve"> </w:t>
      </w:r>
      <w:r>
        <w:rPr>
          <w:w w:val="105"/>
        </w:rPr>
        <w:t>de</w:t>
      </w:r>
      <w:r>
        <w:rPr>
          <w:spacing w:val="-10"/>
          <w:w w:val="105"/>
        </w:rPr>
        <w:t xml:space="preserve"> </w:t>
      </w:r>
      <w:r>
        <w:rPr>
          <w:spacing w:val="-5"/>
          <w:w w:val="105"/>
        </w:rPr>
        <w:t>la</w:t>
      </w:r>
    </w:p>
    <w:p w14:paraId="331C7487" w14:textId="77777777" w:rsidR="0014798C" w:rsidRDefault="0014798C">
      <w:pPr>
        <w:pStyle w:val="Textoindependiente"/>
        <w:rPr>
          <w:sz w:val="20"/>
        </w:rPr>
      </w:pPr>
    </w:p>
    <w:p w14:paraId="65AF2E17" w14:textId="77777777" w:rsidR="0014798C" w:rsidRDefault="0014798C">
      <w:pPr>
        <w:pStyle w:val="Textoindependiente"/>
        <w:rPr>
          <w:sz w:val="20"/>
        </w:rPr>
      </w:pPr>
    </w:p>
    <w:p w14:paraId="0C881A66" w14:textId="77777777" w:rsidR="0014798C" w:rsidRDefault="004E1F0B">
      <w:pPr>
        <w:pStyle w:val="Textoindependiente"/>
        <w:spacing w:before="42"/>
        <w:rPr>
          <w:sz w:val="20"/>
        </w:rPr>
      </w:pPr>
      <w:r>
        <w:rPr>
          <w:noProof/>
        </w:rPr>
        <w:drawing>
          <wp:anchor distT="0" distB="0" distL="0" distR="0" simplePos="0" relativeHeight="251658546" behindDoc="1" locked="0" layoutInCell="1" allowOverlap="1" wp14:anchorId="5CDA7145" wp14:editId="43384A7E">
            <wp:simplePos x="0" y="0"/>
            <wp:positionH relativeFrom="page">
              <wp:posOffset>826632</wp:posOffset>
            </wp:positionH>
            <wp:positionV relativeFrom="paragraph">
              <wp:posOffset>188241</wp:posOffset>
            </wp:positionV>
            <wp:extent cx="931001" cy="35813"/>
            <wp:effectExtent l="0" t="0" r="0" b="0"/>
            <wp:wrapTopAndBottom/>
            <wp:docPr id="273" name="Image 27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73" name="Image 273"/>
                    <pic:cNvPicPr/>
                  </pic:nvPicPr>
                  <pic:blipFill>
                    <a:blip r:embed="rId247" cstate="print"/>
                    <a:stretch>
                      <a:fillRect/>
                    </a:stretch>
                  </pic:blipFill>
                  <pic:spPr>
                    <a:xfrm>
                      <a:off x="0" y="0"/>
                      <a:ext cx="931001" cy="35813"/>
                    </a:xfrm>
                    <a:prstGeom prst="rect">
                      <a:avLst/>
                    </a:prstGeom>
                  </pic:spPr>
                </pic:pic>
              </a:graphicData>
            </a:graphic>
          </wp:anchor>
        </w:drawing>
      </w:r>
    </w:p>
    <w:p w14:paraId="5C698010" w14:textId="77777777" w:rsidR="0014798C" w:rsidRPr="00537489" w:rsidRDefault="004E1F0B">
      <w:pPr>
        <w:spacing w:before="123"/>
        <w:ind w:left="1110"/>
        <w:rPr>
          <w:sz w:val="13"/>
          <w:lang w:val="en-US"/>
        </w:rPr>
      </w:pPr>
      <w:r w:rsidRPr="00537489">
        <w:rPr>
          <w:spacing w:val="-2"/>
          <w:w w:val="105"/>
          <w:sz w:val="13"/>
          <w:lang w:val="en-US"/>
        </w:rPr>
        <w:t>885</w:t>
      </w:r>
      <w:r w:rsidRPr="00537489">
        <w:rPr>
          <w:spacing w:val="-1"/>
          <w:w w:val="105"/>
          <w:sz w:val="13"/>
          <w:lang w:val="en-US"/>
        </w:rPr>
        <w:t xml:space="preserve"> </w:t>
      </w:r>
      <w:r w:rsidRPr="00537489">
        <w:rPr>
          <w:spacing w:val="-2"/>
          <w:w w:val="105"/>
          <w:sz w:val="13"/>
          <w:lang w:val="en-US"/>
        </w:rPr>
        <w:t>Sobre</w:t>
      </w:r>
      <w:r w:rsidRPr="00537489">
        <w:rPr>
          <w:w w:val="105"/>
          <w:sz w:val="13"/>
          <w:lang w:val="en-US"/>
        </w:rPr>
        <w:t xml:space="preserve"> </w:t>
      </w:r>
      <w:r w:rsidRPr="00537489">
        <w:rPr>
          <w:spacing w:val="-2"/>
          <w:w w:val="105"/>
          <w:sz w:val="13"/>
          <w:lang w:val="en-US"/>
        </w:rPr>
        <w:t>el</w:t>
      </w:r>
      <w:r w:rsidRPr="00537489">
        <w:rPr>
          <w:w w:val="105"/>
          <w:sz w:val="13"/>
          <w:lang w:val="en-US"/>
        </w:rPr>
        <w:t xml:space="preserve"> </w:t>
      </w:r>
      <w:proofErr w:type="spellStart"/>
      <w:r w:rsidRPr="00537489">
        <w:rPr>
          <w:spacing w:val="-2"/>
          <w:w w:val="105"/>
          <w:sz w:val="13"/>
          <w:lang w:val="en-US"/>
        </w:rPr>
        <w:t>problema</w:t>
      </w:r>
      <w:proofErr w:type="spellEnd"/>
      <w:r w:rsidRPr="00537489">
        <w:rPr>
          <w:w w:val="105"/>
          <w:sz w:val="13"/>
          <w:lang w:val="en-US"/>
        </w:rPr>
        <w:t xml:space="preserve"> </w:t>
      </w:r>
      <w:r w:rsidRPr="00537489">
        <w:rPr>
          <w:spacing w:val="-2"/>
          <w:w w:val="105"/>
          <w:sz w:val="13"/>
          <w:lang w:val="en-US"/>
        </w:rPr>
        <w:t>de</w:t>
      </w:r>
      <w:r w:rsidRPr="00537489">
        <w:rPr>
          <w:w w:val="105"/>
          <w:sz w:val="13"/>
          <w:lang w:val="en-US"/>
        </w:rPr>
        <w:t xml:space="preserve"> </w:t>
      </w:r>
      <w:r w:rsidRPr="00537489">
        <w:rPr>
          <w:spacing w:val="-2"/>
          <w:w w:val="105"/>
          <w:sz w:val="13"/>
          <w:lang w:val="en-US"/>
        </w:rPr>
        <w:t>la</w:t>
      </w:r>
      <w:r w:rsidRPr="00537489">
        <w:rPr>
          <w:w w:val="105"/>
          <w:sz w:val="13"/>
          <w:lang w:val="en-US"/>
        </w:rPr>
        <w:t xml:space="preserve"> </w:t>
      </w:r>
      <w:proofErr w:type="spellStart"/>
      <w:r w:rsidRPr="00537489">
        <w:rPr>
          <w:spacing w:val="-2"/>
          <w:w w:val="105"/>
          <w:sz w:val="13"/>
          <w:lang w:val="en-US"/>
        </w:rPr>
        <w:t>negación</w:t>
      </w:r>
      <w:proofErr w:type="spellEnd"/>
      <w:r w:rsidRPr="00537489">
        <w:rPr>
          <w:spacing w:val="-2"/>
          <w:w w:val="105"/>
          <w:sz w:val="13"/>
          <w:lang w:val="en-US"/>
        </w:rPr>
        <w:t>,</w:t>
      </w:r>
      <w:r w:rsidRPr="00537489">
        <w:rPr>
          <w:w w:val="105"/>
          <w:sz w:val="13"/>
          <w:lang w:val="en-US"/>
        </w:rPr>
        <w:t xml:space="preserve"> </w:t>
      </w:r>
      <w:proofErr w:type="spellStart"/>
      <w:r w:rsidRPr="00537489">
        <w:rPr>
          <w:spacing w:val="-2"/>
          <w:w w:val="105"/>
          <w:sz w:val="13"/>
          <w:lang w:val="en-US"/>
        </w:rPr>
        <w:t>véase</w:t>
      </w:r>
      <w:proofErr w:type="spellEnd"/>
      <w:r w:rsidRPr="00537489">
        <w:rPr>
          <w:w w:val="105"/>
          <w:sz w:val="13"/>
          <w:lang w:val="en-US"/>
        </w:rPr>
        <w:t xml:space="preserve"> </w:t>
      </w:r>
      <w:r w:rsidRPr="00537489">
        <w:rPr>
          <w:spacing w:val="-2"/>
          <w:w w:val="105"/>
          <w:sz w:val="13"/>
          <w:lang w:val="en-US"/>
        </w:rPr>
        <w:t>Stanley</w:t>
      </w:r>
      <w:r w:rsidRPr="00537489">
        <w:rPr>
          <w:spacing w:val="-1"/>
          <w:w w:val="105"/>
          <w:sz w:val="13"/>
          <w:lang w:val="en-US"/>
        </w:rPr>
        <w:t xml:space="preserve"> </w:t>
      </w:r>
      <w:r w:rsidRPr="00537489">
        <w:rPr>
          <w:spacing w:val="-2"/>
          <w:w w:val="105"/>
          <w:sz w:val="13"/>
          <w:lang w:val="en-US"/>
        </w:rPr>
        <w:t>Cohen,</w:t>
      </w:r>
      <w:r w:rsidRPr="00537489">
        <w:rPr>
          <w:w w:val="105"/>
          <w:sz w:val="13"/>
          <w:lang w:val="en-US"/>
        </w:rPr>
        <w:t xml:space="preserve"> </w:t>
      </w:r>
      <w:r w:rsidRPr="00537489">
        <w:rPr>
          <w:spacing w:val="-2"/>
          <w:w w:val="105"/>
          <w:sz w:val="13"/>
          <w:lang w:val="en-US"/>
        </w:rPr>
        <w:t>States</w:t>
      </w:r>
      <w:r w:rsidRPr="00537489">
        <w:rPr>
          <w:spacing w:val="-1"/>
          <w:w w:val="105"/>
          <w:sz w:val="13"/>
          <w:lang w:val="en-US"/>
        </w:rPr>
        <w:t xml:space="preserve"> </w:t>
      </w:r>
      <w:r w:rsidRPr="00537489">
        <w:rPr>
          <w:spacing w:val="-2"/>
          <w:w w:val="105"/>
          <w:sz w:val="13"/>
          <w:lang w:val="en-US"/>
        </w:rPr>
        <w:t>of</w:t>
      </w:r>
      <w:r w:rsidRPr="00537489">
        <w:rPr>
          <w:w w:val="105"/>
          <w:sz w:val="13"/>
          <w:lang w:val="en-US"/>
        </w:rPr>
        <w:t xml:space="preserve"> </w:t>
      </w:r>
      <w:r w:rsidRPr="00537489">
        <w:rPr>
          <w:spacing w:val="-2"/>
          <w:w w:val="105"/>
          <w:sz w:val="13"/>
          <w:lang w:val="en-US"/>
        </w:rPr>
        <w:t>Denial:</w:t>
      </w:r>
      <w:r w:rsidRPr="00537489">
        <w:rPr>
          <w:w w:val="105"/>
          <w:sz w:val="13"/>
          <w:lang w:val="en-US"/>
        </w:rPr>
        <w:t xml:space="preserve"> </w:t>
      </w:r>
      <w:r w:rsidRPr="00537489">
        <w:rPr>
          <w:spacing w:val="-2"/>
          <w:w w:val="105"/>
          <w:sz w:val="13"/>
          <w:lang w:val="en-US"/>
        </w:rPr>
        <w:t>Knowing</w:t>
      </w:r>
      <w:r w:rsidRPr="00537489">
        <w:rPr>
          <w:w w:val="105"/>
          <w:sz w:val="13"/>
          <w:lang w:val="en-US"/>
        </w:rPr>
        <w:t xml:space="preserve"> </w:t>
      </w:r>
      <w:r w:rsidRPr="00537489">
        <w:rPr>
          <w:spacing w:val="-2"/>
          <w:w w:val="105"/>
          <w:sz w:val="13"/>
          <w:lang w:val="en-US"/>
        </w:rPr>
        <w:t>about</w:t>
      </w:r>
      <w:r w:rsidRPr="00537489">
        <w:rPr>
          <w:w w:val="105"/>
          <w:sz w:val="13"/>
          <w:lang w:val="en-US"/>
        </w:rPr>
        <w:t xml:space="preserve"> </w:t>
      </w:r>
      <w:r w:rsidRPr="00537489">
        <w:rPr>
          <w:spacing w:val="-2"/>
          <w:w w:val="105"/>
          <w:sz w:val="13"/>
          <w:lang w:val="en-US"/>
        </w:rPr>
        <w:t>Atrocities</w:t>
      </w:r>
      <w:r w:rsidRPr="00537489">
        <w:rPr>
          <w:spacing w:val="-1"/>
          <w:w w:val="105"/>
          <w:sz w:val="13"/>
          <w:lang w:val="en-US"/>
        </w:rPr>
        <w:t xml:space="preserve"> </w:t>
      </w:r>
      <w:r w:rsidRPr="00537489">
        <w:rPr>
          <w:spacing w:val="-2"/>
          <w:w w:val="105"/>
          <w:sz w:val="13"/>
          <w:lang w:val="en-US"/>
        </w:rPr>
        <w:t>and</w:t>
      </w:r>
      <w:r w:rsidRPr="00537489">
        <w:rPr>
          <w:w w:val="105"/>
          <w:sz w:val="13"/>
          <w:lang w:val="en-US"/>
        </w:rPr>
        <w:t xml:space="preserve"> </w:t>
      </w:r>
      <w:r w:rsidRPr="00537489">
        <w:rPr>
          <w:spacing w:val="-2"/>
          <w:w w:val="105"/>
          <w:sz w:val="13"/>
          <w:lang w:val="en-US"/>
        </w:rPr>
        <w:t>Suffering</w:t>
      </w:r>
      <w:r w:rsidRPr="00537489">
        <w:rPr>
          <w:spacing w:val="-1"/>
          <w:w w:val="105"/>
          <w:sz w:val="13"/>
          <w:lang w:val="en-US"/>
        </w:rPr>
        <w:t xml:space="preserve"> </w:t>
      </w:r>
      <w:r w:rsidRPr="00537489">
        <w:rPr>
          <w:spacing w:val="-2"/>
          <w:w w:val="105"/>
          <w:sz w:val="13"/>
          <w:lang w:val="en-US"/>
        </w:rPr>
        <w:t>(Londres,</w:t>
      </w:r>
      <w:r w:rsidRPr="00537489">
        <w:rPr>
          <w:w w:val="105"/>
          <w:sz w:val="13"/>
          <w:lang w:val="en-US"/>
        </w:rPr>
        <w:t xml:space="preserve"> </w:t>
      </w:r>
      <w:r w:rsidRPr="00537489">
        <w:rPr>
          <w:spacing w:val="-2"/>
          <w:w w:val="105"/>
          <w:sz w:val="13"/>
          <w:lang w:val="en-US"/>
        </w:rPr>
        <w:t>Polity</w:t>
      </w:r>
      <w:r w:rsidRPr="00537489">
        <w:rPr>
          <w:spacing w:val="-1"/>
          <w:w w:val="105"/>
          <w:sz w:val="13"/>
          <w:lang w:val="en-US"/>
        </w:rPr>
        <w:t xml:space="preserve"> </w:t>
      </w:r>
      <w:r w:rsidRPr="00537489">
        <w:rPr>
          <w:spacing w:val="-2"/>
          <w:w w:val="105"/>
          <w:sz w:val="13"/>
          <w:lang w:val="en-US"/>
        </w:rPr>
        <w:t>Press,</w:t>
      </w:r>
      <w:r w:rsidRPr="00537489">
        <w:rPr>
          <w:w w:val="105"/>
          <w:sz w:val="13"/>
          <w:lang w:val="en-US"/>
        </w:rPr>
        <w:t xml:space="preserve"> </w:t>
      </w:r>
      <w:r w:rsidRPr="00537489">
        <w:rPr>
          <w:spacing w:val="-2"/>
          <w:w w:val="105"/>
          <w:sz w:val="13"/>
          <w:lang w:val="en-US"/>
        </w:rPr>
        <w:t>2000).</w:t>
      </w:r>
    </w:p>
    <w:p w14:paraId="5662CAD1" w14:textId="77777777" w:rsidR="0014798C" w:rsidRDefault="004E1F0B">
      <w:pPr>
        <w:spacing w:before="87" w:line="288" w:lineRule="auto"/>
        <w:ind w:left="1365" w:right="2004" w:hanging="256"/>
        <w:rPr>
          <w:sz w:val="13"/>
        </w:rPr>
      </w:pPr>
      <w:r>
        <w:rPr>
          <w:spacing w:val="-2"/>
          <w:w w:val="105"/>
          <w:sz w:val="13"/>
        </w:rPr>
        <w:t xml:space="preserve">886 La página web del Grupo de Trabajo es </w:t>
      </w:r>
      <w:hyperlink r:id="rId248">
        <w:r>
          <w:rPr>
            <w:color w:val="0075BF"/>
            <w:spacing w:val="-2"/>
            <w:w w:val="105"/>
            <w:sz w:val="13"/>
          </w:rPr>
          <w:t>www.ohchr.org/EN/Issues/Racism/WGAfricanDescent/Pages/WGEPADIndex.aspx.</w:t>
        </w:r>
      </w:hyperlink>
      <w:r>
        <w:rPr>
          <w:color w:val="0075BF"/>
          <w:spacing w:val="-2"/>
          <w:w w:val="105"/>
          <w:sz w:val="13"/>
        </w:rPr>
        <w:t xml:space="preserve"> </w:t>
      </w:r>
      <w:r>
        <w:rPr>
          <w:spacing w:val="-2"/>
          <w:w w:val="105"/>
          <w:sz w:val="13"/>
        </w:rPr>
        <w:t>Véase también</w:t>
      </w:r>
      <w:r>
        <w:rPr>
          <w:spacing w:val="40"/>
          <w:w w:val="105"/>
          <w:sz w:val="13"/>
        </w:rPr>
        <w:t xml:space="preserve"> </w:t>
      </w:r>
      <w:r>
        <w:rPr>
          <w:w w:val="105"/>
          <w:sz w:val="13"/>
        </w:rPr>
        <w:t>Comisión</w:t>
      </w:r>
      <w:r>
        <w:rPr>
          <w:spacing w:val="-3"/>
          <w:w w:val="105"/>
          <w:sz w:val="13"/>
        </w:rPr>
        <w:t xml:space="preserve"> </w:t>
      </w:r>
      <w:r>
        <w:rPr>
          <w:w w:val="105"/>
          <w:sz w:val="13"/>
        </w:rPr>
        <w:t>Interamericana</w:t>
      </w:r>
      <w:r>
        <w:rPr>
          <w:spacing w:val="-3"/>
          <w:w w:val="105"/>
          <w:sz w:val="13"/>
        </w:rPr>
        <w:t xml:space="preserve"> </w:t>
      </w:r>
      <w:r>
        <w:rPr>
          <w:w w:val="105"/>
          <w:sz w:val="13"/>
        </w:rPr>
        <w:t>de</w:t>
      </w:r>
      <w:r>
        <w:rPr>
          <w:spacing w:val="-3"/>
          <w:w w:val="105"/>
          <w:sz w:val="13"/>
        </w:rPr>
        <w:t xml:space="preserve"> </w:t>
      </w:r>
      <w:r>
        <w:rPr>
          <w:w w:val="105"/>
          <w:sz w:val="13"/>
        </w:rPr>
        <w:t>Derechos</w:t>
      </w:r>
      <w:r>
        <w:rPr>
          <w:spacing w:val="-3"/>
          <w:w w:val="105"/>
          <w:sz w:val="13"/>
        </w:rPr>
        <w:t xml:space="preserve"> </w:t>
      </w:r>
      <w:r>
        <w:rPr>
          <w:w w:val="105"/>
          <w:sz w:val="13"/>
        </w:rPr>
        <w:t>Humanos,</w:t>
      </w:r>
      <w:r>
        <w:rPr>
          <w:spacing w:val="-3"/>
          <w:w w:val="105"/>
          <w:sz w:val="13"/>
        </w:rPr>
        <w:t xml:space="preserve"> </w:t>
      </w:r>
      <w:r>
        <w:rPr>
          <w:w w:val="105"/>
          <w:sz w:val="13"/>
        </w:rPr>
        <w:t>La</w:t>
      </w:r>
      <w:r>
        <w:rPr>
          <w:spacing w:val="-3"/>
          <w:w w:val="105"/>
          <w:sz w:val="13"/>
        </w:rPr>
        <w:t xml:space="preserve"> </w:t>
      </w:r>
      <w:r>
        <w:rPr>
          <w:w w:val="105"/>
          <w:sz w:val="13"/>
        </w:rPr>
        <w:t>situación</w:t>
      </w:r>
      <w:r>
        <w:rPr>
          <w:spacing w:val="-3"/>
          <w:w w:val="105"/>
          <w:sz w:val="13"/>
        </w:rPr>
        <w:t xml:space="preserve"> </w:t>
      </w:r>
      <w:r>
        <w:rPr>
          <w:w w:val="105"/>
          <w:sz w:val="13"/>
        </w:rPr>
        <w:t>de</w:t>
      </w:r>
      <w:r>
        <w:rPr>
          <w:spacing w:val="-3"/>
          <w:w w:val="105"/>
          <w:sz w:val="13"/>
        </w:rPr>
        <w:t xml:space="preserve"> </w:t>
      </w:r>
      <w:r>
        <w:rPr>
          <w:w w:val="105"/>
          <w:sz w:val="13"/>
        </w:rPr>
        <w:t>los</w:t>
      </w:r>
      <w:r>
        <w:rPr>
          <w:spacing w:val="-3"/>
          <w:w w:val="105"/>
          <w:sz w:val="13"/>
        </w:rPr>
        <w:t xml:space="preserve"> </w:t>
      </w:r>
      <w:r>
        <w:rPr>
          <w:w w:val="105"/>
          <w:sz w:val="13"/>
        </w:rPr>
        <w:t>afrodescendientes</w:t>
      </w:r>
      <w:r>
        <w:rPr>
          <w:spacing w:val="-4"/>
          <w:w w:val="105"/>
          <w:sz w:val="13"/>
        </w:rPr>
        <w:t xml:space="preserve"> </w:t>
      </w:r>
      <w:r>
        <w:rPr>
          <w:w w:val="105"/>
          <w:sz w:val="13"/>
        </w:rPr>
        <w:t>en</w:t>
      </w:r>
      <w:r>
        <w:rPr>
          <w:spacing w:val="-3"/>
          <w:w w:val="105"/>
          <w:sz w:val="13"/>
        </w:rPr>
        <w:t xml:space="preserve"> </w:t>
      </w:r>
      <w:r>
        <w:rPr>
          <w:w w:val="105"/>
          <w:sz w:val="13"/>
        </w:rPr>
        <w:t>las</w:t>
      </w:r>
      <w:r>
        <w:rPr>
          <w:spacing w:val="-3"/>
          <w:w w:val="105"/>
          <w:sz w:val="13"/>
        </w:rPr>
        <w:t xml:space="preserve"> </w:t>
      </w:r>
      <w:r>
        <w:rPr>
          <w:w w:val="105"/>
          <w:sz w:val="13"/>
        </w:rPr>
        <w:t>Américas.</w:t>
      </w:r>
    </w:p>
    <w:p w14:paraId="270B8812" w14:textId="77777777" w:rsidR="0014798C" w:rsidRDefault="004E1F0B">
      <w:pPr>
        <w:spacing w:before="56"/>
        <w:ind w:left="1110"/>
        <w:rPr>
          <w:sz w:val="13"/>
        </w:rPr>
      </w:pPr>
      <w:r>
        <w:rPr>
          <w:w w:val="105"/>
          <w:sz w:val="13"/>
        </w:rPr>
        <w:t>887A</w:t>
      </w:r>
      <w:r>
        <w:rPr>
          <w:spacing w:val="-7"/>
          <w:w w:val="105"/>
          <w:sz w:val="13"/>
        </w:rPr>
        <w:t xml:space="preserve"> </w:t>
      </w:r>
      <w:r>
        <w:rPr>
          <w:spacing w:val="-2"/>
          <w:w w:val="105"/>
          <w:sz w:val="13"/>
        </w:rPr>
        <w:t>/HRC/47/53.</w:t>
      </w:r>
    </w:p>
    <w:p w14:paraId="006FF3B5" w14:textId="77777777" w:rsidR="0014798C" w:rsidRDefault="004E1F0B">
      <w:pPr>
        <w:spacing w:before="119"/>
        <w:ind w:left="1110"/>
        <w:rPr>
          <w:sz w:val="13"/>
        </w:rPr>
      </w:pPr>
      <w:r>
        <w:rPr>
          <w:w w:val="105"/>
          <w:sz w:val="13"/>
        </w:rPr>
        <w:t>888</w:t>
      </w:r>
      <w:r>
        <w:rPr>
          <w:spacing w:val="-9"/>
          <w:w w:val="105"/>
          <w:sz w:val="13"/>
        </w:rPr>
        <w:t xml:space="preserve"> </w:t>
      </w:r>
      <w:r>
        <w:rPr>
          <w:w w:val="105"/>
          <w:sz w:val="13"/>
        </w:rPr>
        <w:t>Declaración</w:t>
      </w:r>
      <w:r>
        <w:rPr>
          <w:spacing w:val="-9"/>
          <w:w w:val="105"/>
          <w:sz w:val="13"/>
        </w:rPr>
        <w:t xml:space="preserve"> </w:t>
      </w:r>
      <w:r>
        <w:rPr>
          <w:w w:val="105"/>
          <w:sz w:val="13"/>
        </w:rPr>
        <w:t>de</w:t>
      </w:r>
      <w:r>
        <w:rPr>
          <w:spacing w:val="-9"/>
          <w:w w:val="105"/>
          <w:sz w:val="13"/>
        </w:rPr>
        <w:t xml:space="preserve"> </w:t>
      </w:r>
      <w:r>
        <w:rPr>
          <w:w w:val="105"/>
          <w:sz w:val="13"/>
        </w:rPr>
        <w:t>Durban,</w:t>
      </w:r>
      <w:r>
        <w:rPr>
          <w:spacing w:val="-9"/>
          <w:w w:val="105"/>
          <w:sz w:val="13"/>
        </w:rPr>
        <w:t xml:space="preserve"> </w:t>
      </w:r>
      <w:r>
        <w:rPr>
          <w:w w:val="105"/>
          <w:sz w:val="13"/>
        </w:rPr>
        <w:t>párr.</w:t>
      </w:r>
      <w:r>
        <w:rPr>
          <w:spacing w:val="-9"/>
          <w:w w:val="105"/>
          <w:sz w:val="13"/>
        </w:rPr>
        <w:t xml:space="preserve"> </w:t>
      </w:r>
      <w:r>
        <w:rPr>
          <w:spacing w:val="-5"/>
          <w:w w:val="105"/>
          <w:sz w:val="13"/>
        </w:rPr>
        <w:t>68.</w:t>
      </w:r>
    </w:p>
    <w:p w14:paraId="61E52013" w14:textId="77777777" w:rsidR="0014798C" w:rsidRDefault="0014798C">
      <w:pPr>
        <w:pStyle w:val="Textoindependiente"/>
        <w:rPr>
          <w:sz w:val="18"/>
        </w:rPr>
      </w:pPr>
    </w:p>
    <w:p w14:paraId="2E0C5105" w14:textId="77777777" w:rsidR="0014798C" w:rsidRDefault="0014798C">
      <w:pPr>
        <w:pStyle w:val="Textoindependiente"/>
        <w:spacing w:before="201"/>
        <w:rPr>
          <w:sz w:val="18"/>
        </w:rPr>
      </w:pPr>
    </w:p>
    <w:p w14:paraId="298D0323" w14:textId="77777777" w:rsidR="0014798C" w:rsidRDefault="004E1F0B">
      <w:pPr>
        <w:spacing w:before="1"/>
        <w:ind w:left="476"/>
        <w:rPr>
          <w:sz w:val="18"/>
        </w:rPr>
      </w:pPr>
      <w:r>
        <w:rPr>
          <w:spacing w:val="-5"/>
          <w:w w:val="105"/>
          <w:sz w:val="18"/>
        </w:rPr>
        <w:t>130</w:t>
      </w:r>
    </w:p>
    <w:p w14:paraId="21BE12C9" w14:textId="77777777" w:rsidR="0014798C" w:rsidRDefault="0014798C">
      <w:pPr>
        <w:rPr>
          <w:sz w:val="18"/>
        </w:rPr>
        <w:sectPr w:rsidR="0014798C" w:rsidSect="00F265E4">
          <w:pgSz w:w="11900" w:h="16820"/>
          <w:pgMar w:top="340" w:right="0" w:bottom="280" w:left="200" w:header="121" w:footer="0" w:gutter="0"/>
          <w:cols w:space="720"/>
        </w:sectPr>
      </w:pPr>
    </w:p>
    <w:p w14:paraId="13E35DEC" w14:textId="77777777" w:rsidR="0014798C" w:rsidRDefault="0014798C">
      <w:pPr>
        <w:pStyle w:val="Textoindependiente"/>
        <w:rPr>
          <w:sz w:val="9"/>
        </w:rPr>
      </w:pPr>
    </w:p>
    <w:p w14:paraId="1496E35B" w14:textId="77777777" w:rsidR="0014798C" w:rsidRDefault="0014798C">
      <w:pPr>
        <w:pStyle w:val="Textoindependiente"/>
        <w:spacing w:before="31"/>
        <w:rPr>
          <w:sz w:val="9"/>
        </w:rPr>
      </w:pPr>
    </w:p>
    <w:p w14:paraId="7B9CCB82" w14:textId="77777777" w:rsidR="0014798C" w:rsidRDefault="004E1F0B">
      <w:pPr>
        <w:ind w:left="1111"/>
        <w:rPr>
          <w:sz w:val="9"/>
        </w:rPr>
      </w:pPr>
      <w:r>
        <w:rPr>
          <w:color w:val="803108"/>
          <w:w w:val="105"/>
          <w:sz w:val="9"/>
        </w:rPr>
        <w:t>PARTE</w:t>
      </w:r>
      <w:r>
        <w:rPr>
          <w:color w:val="803108"/>
          <w:spacing w:val="1"/>
          <w:w w:val="105"/>
          <w:sz w:val="9"/>
        </w:rPr>
        <w:t xml:space="preserve"> </w:t>
      </w:r>
      <w:r>
        <w:rPr>
          <w:color w:val="803108"/>
          <w:w w:val="105"/>
          <w:sz w:val="9"/>
        </w:rPr>
        <w:t>TRES:</w:t>
      </w:r>
      <w:r>
        <w:rPr>
          <w:color w:val="803108"/>
          <w:spacing w:val="2"/>
          <w:w w:val="105"/>
          <w:sz w:val="9"/>
        </w:rPr>
        <w:t xml:space="preserve"> </w:t>
      </w:r>
      <w:r>
        <w:rPr>
          <w:color w:val="803108"/>
          <w:w w:val="105"/>
          <w:sz w:val="9"/>
        </w:rPr>
        <w:t>PROTECCIÓN</w:t>
      </w:r>
      <w:r>
        <w:rPr>
          <w:color w:val="803108"/>
          <w:spacing w:val="2"/>
          <w:w w:val="105"/>
          <w:sz w:val="9"/>
        </w:rPr>
        <w:t xml:space="preserve"> </w:t>
      </w:r>
      <w:r>
        <w:rPr>
          <w:color w:val="803108"/>
          <w:w w:val="105"/>
          <w:sz w:val="9"/>
        </w:rPr>
        <w:t>DE</w:t>
      </w:r>
      <w:r>
        <w:rPr>
          <w:color w:val="803108"/>
          <w:spacing w:val="1"/>
          <w:w w:val="105"/>
          <w:sz w:val="9"/>
        </w:rPr>
        <w:t xml:space="preserve"> </w:t>
      </w:r>
      <w:r>
        <w:rPr>
          <w:color w:val="803108"/>
          <w:w w:val="105"/>
          <w:sz w:val="9"/>
        </w:rPr>
        <w:t>LOS</w:t>
      </w:r>
      <w:r>
        <w:rPr>
          <w:color w:val="803108"/>
          <w:spacing w:val="2"/>
          <w:w w:val="105"/>
          <w:sz w:val="9"/>
        </w:rPr>
        <w:t xml:space="preserve"> </w:t>
      </w:r>
      <w:r>
        <w:rPr>
          <w:color w:val="803108"/>
          <w:w w:val="105"/>
          <w:sz w:val="9"/>
        </w:rPr>
        <w:t>DERECHOS</w:t>
      </w:r>
      <w:r>
        <w:rPr>
          <w:color w:val="803108"/>
          <w:spacing w:val="3"/>
          <w:w w:val="105"/>
          <w:sz w:val="9"/>
        </w:rPr>
        <w:t xml:space="preserve"> </w:t>
      </w:r>
      <w:r>
        <w:rPr>
          <w:color w:val="803108"/>
          <w:w w:val="105"/>
          <w:sz w:val="9"/>
        </w:rPr>
        <w:t>DE</w:t>
      </w:r>
      <w:r>
        <w:rPr>
          <w:color w:val="803108"/>
          <w:spacing w:val="1"/>
          <w:w w:val="105"/>
          <w:sz w:val="9"/>
        </w:rPr>
        <w:t xml:space="preserve"> </w:t>
      </w:r>
      <w:r>
        <w:rPr>
          <w:color w:val="803108"/>
          <w:w w:val="105"/>
          <w:sz w:val="9"/>
        </w:rPr>
        <w:t>LAS</w:t>
      </w:r>
      <w:r>
        <w:rPr>
          <w:color w:val="803108"/>
          <w:spacing w:val="2"/>
          <w:w w:val="105"/>
          <w:sz w:val="9"/>
        </w:rPr>
        <w:t xml:space="preserve"> </w:t>
      </w:r>
      <w:r>
        <w:rPr>
          <w:color w:val="803108"/>
          <w:spacing w:val="-2"/>
          <w:w w:val="105"/>
          <w:sz w:val="9"/>
        </w:rPr>
        <w:t>MINORÍAS</w:t>
      </w:r>
    </w:p>
    <w:p w14:paraId="493835EF" w14:textId="77777777" w:rsidR="0014798C" w:rsidRDefault="0014798C">
      <w:pPr>
        <w:pStyle w:val="Textoindependiente"/>
      </w:pPr>
    </w:p>
    <w:p w14:paraId="0C79E779" w14:textId="77777777" w:rsidR="0014798C" w:rsidRDefault="0014798C">
      <w:pPr>
        <w:pStyle w:val="Textoindependiente"/>
      </w:pPr>
    </w:p>
    <w:p w14:paraId="3BB1B1AC" w14:textId="77777777" w:rsidR="0014798C" w:rsidRDefault="0014798C">
      <w:pPr>
        <w:pStyle w:val="Textoindependiente"/>
      </w:pPr>
    </w:p>
    <w:p w14:paraId="2AF9ED7A" w14:textId="77777777" w:rsidR="0014798C" w:rsidRDefault="0014798C">
      <w:pPr>
        <w:pStyle w:val="Textoindependiente"/>
      </w:pPr>
    </w:p>
    <w:p w14:paraId="51181A91" w14:textId="77777777" w:rsidR="0014798C" w:rsidRDefault="0014798C">
      <w:pPr>
        <w:pStyle w:val="Textoindependiente"/>
        <w:spacing w:before="94"/>
      </w:pPr>
    </w:p>
    <w:p w14:paraId="24BFFDD3" w14:textId="77777777" w:rsidR="0014798C" w:rsidRDefault="004E1F0B">
      <w:pPr>
        <w:pStyle w:val="Textoindependiente"/>
        <w:spacing w:line="326" w:lineRule="auto"/>
        <w:ind w:left="1107" w:right="1335" w:firstLine="2"/>
      </w:pPr>
      <w:r>
        <w:t>Eliminación de la Discriminación Racial en 2000889, así como la resolución 26/4 del Consejo de Derechos Humanos, en la que el Consejo reconoció que los romaníes habían enfrentado, durante siglos, violaciones generalizadas y duraderas de los derechos humanos,</w:t>
      </w:r>
      <w:r>
        <w:rPr>
          <w:spacing w:val="-4"/>
        </w:rPr>
        <w:t xml:space="preserve"> </w:t>
      </w:r>
      <w:r>
        <w:t>discriminación,</w:t>
      </w:r>
      <w:r>
        <w:rPr>
          <w:spacing w:val="-3"/>
        </w:rPr>
        <w:t xml:space="preserve"> </w:t>
      </w:r>
      <w:r>
        <w:t>rechazo,</w:t>
      </w:r>
      <w:r>
        <w:rPr>
          <w:spacing w:val="-4"/>
        </w:rPr>
        <w:t xml:space="preserve"> </w:t>
      </w:r>
      <w:r>
        <w:t>exclusión</w:t>
      </w:r>
      <w:r>
        <w:rPr>
          <w:spacing w:val="-5"/>
        </w:rPr>
        <w:t xml:space="preserve"> </w:t>
      </w:r>
      <w:r>
        <w:t>social</w:t>
      </w:r>
      <w:r>
        <w:rPr>
          <w:spacing w:val="-5"/>
        </w:rPr>
        <w:t xml:space="preserve"> </w:t>
      </w:r>
      <w:r>
        <w:t>y</w:t>
      </w:r>
      <w:r>
        <w:rPr>
          <w:spacing w:val="-5"/>
        </w:rPr>
        <w:t xml:space="preserve"> </w:t>
      </w:r>
      <w:r>
        <w:t>marginación</w:t>
      </w:r>
      <w:r>
        <w:rPr>
          <w:spacing w:val="-5"/>
        </w:rPr>
        <w:t xml:space="preserve"> </w:t>
      </w:r>
      <w:r>
        <w:t>en</w:t>
      </w:r>
      <w:r>
        <w:rPr>
          <w:spacing w:val="-5"/>
        </w:rPr>
        <w:t xml:space="preserve"> </w:t>
      </w:r>
      <w:r>
        <w:t>todo</w:t>
      </w:r>
      <w:r>
        <w:rPr>
          <w:spacing w:val="-5"/>
        </w:rPr>
        <w:t xml:space="preserve"> </w:t>
      </w:r>
      <w:r>
        <w:t>el</w:t>
      </w:r>
      <w:r>
        <w:rPr>
          <w:spacing w:val="-5"/>
        </w:rPr>
        <w:t xml:space="preserve"> </w:t>
      </w:r>
      <w:r>
        <w:t>mundo.</w:t>
      </w:r>
      <w:r>
        <w:rPr>
          <w:spacing w:val="-4"/>
        </w:rPr>
        <w:t xml:space="preserve"> </w:t>
      </w:r>
      <w:r>
        <w:t>mundo</w:t>
      </w:r>
      <w:r>
        <w:rPr>
          <w:spacing w:val="-5"/>
        </w:rPr>
        <w:t xml:space="preserve"> </w:t>
      </w:r>
      <w:r>
        <w:t>y</w:t>
      </w:r>
      <w:r>
        <w:rPr>
          <w:spacing w:val="-5"/>
        </w:rPr>
        <w:t xml:space="preserve"> </w:t>
      </w:r>
      <w:r>
        <w:t>en</w:t>
      </w:r>
      <w:r>
        <w:rPr>
          <w:spacing w:val="-5"/>
        </w:rPr>
        <w:t xml:space="preserve"> </w:t>
      </w:r>
      <w:r>
        <w:t>todos</w:t>
      </w:r>
      <w:r>
        <w:rPr>
          <w:spacing w:val="-5"/>
        </w:rPr>
        <w:t xml:space="preserve"> </w:t>
      </w:r>
      <w:r>
        <w:t>los</w:t>
      </w:r>
      <w:r>
        <w:rPr>
          <w:spacing w:val="-5"/>
        </w:rPr>
        <w:t xml:space="preserve"> </w:t>
      </w:r>
      <w:r>
        <w:t>ámbitos</w:t>
      </w:r>
      <w:r>
        <w:rPr>
          <w:spacing w:val="-5"/>
        </w:rPr>
        <w:t xml:space="preserve"> </w:t>
      </w:r>
      <w:r>
        <w:t>de</w:t>
      </w:r>
      <w:r>
        <w:rPr>
          <w:spacing w:val="-5"/>
        </w:rPr>
        <w:t xml:space="preserve"> </w:t>
      </w:r>
      <w:r>
        <w:t>la</w:t>
      </w:r>
      <w:r>
        <w:rPr>
          <w:spacing w:val="-5"/>
        </w:rPr>
        <w:t xml:space="preserve"> </w:t>
      </w:r>
      <w:r>
        <w:t>vida,</w:t>
      </w:r>
      <w:r>
        <w:rPr>
          <w:spacing w:val="-5"/>
        </w:rPr>
        <w:t xml:space="preserve"> </w:t>
      </w:r>
      <w:r>
        <w:t>y</w:t>
      </w:r>
      <w:r>
        <w:rPr>
          <w:spacing w:val="-5"/>
        </w:rPr>
        <w:t xml:space="preserve"> </w:t>
      </w:r>
      <w:r>
        <w:t>en el que nombraba una forma específica de racismo que enfrentan los romaníes: el antigitanismo.890</w:t>
      </w:r>
    </w:p>
    <w:p w14:paraId="747956A0" w14:textId="77777777" w:rsidR="0014798C" w:rsidRDefault="004E1F0B">
      <w:pPr>
        <w:pStyle w:val="Textoindependiente"/>
        <w:spacing w:before="168" w:line="326" w:lineRule="auto"/>
        <w:ind w:left="1109" w:right="1272" w:hanging="2"/>
      </w:pPr>
      <w:r>
        <w:t>En</w:t>
      </w:r>
      <w:r>
        <w:rPr>
          <w:spacing w:val="-5"/>
        </w:rPr>
        <w:t xml:space="preserve"> </w:t>
      </w:r>
      <w:r>
        <w:t>las</w:t>
      </w:r>
      <w:r>
        <w:rPr>
          <w:spacing w:val="-5"/>
        </w:rPr>
        <w:t xml:space="preserve"> </w:t>
      </w:r>
      <w:r>
        <w:t>décadas</w:t>
      </w:r>
      <w:r>
        <w:rPr>
          <w:spacing w:val="-5"/>
        </w:rPr>
        <w:t xml:space="preserve"> </w:t>
      </w:r>
      <w:r>
        <w:t>de</w:t>
      </w:r>
      <w:r>
        <w:rPr>
          <w:spacing w:val="-5"/>
        </w:rPr>
        <w:t xml:space="preserve"> </w:t>
      </w:r>
      <w:r>
        <w:t>2010</w:t>
      </w:r>
      <w:r>
        <w:rPr>
          <w:spacing w:val="-5"/>
        </w:rPr>
        <w:t xml:space="preserve"> </w:t>
      </w:r>
      <w:r>
        <w:t>y</w:t>
      </w:r>
      <w:r>
        <w:rPr>
          <w:spacing w:val="-5"/>
        </w:rPr>
        <w:t xml:space="preserve"> </w:t>
      </w:r>
      <w:r>
        <w:t>2020,</w:t>
      </w:r>
      <w:r>
        <w:rPr>
          <w:spacing w:val="-5"/>
        </w:rPr>
        <w:t xml:space="preserve"> </w:t>
      </w:r>
      <w:r>
        <w:t>y</w:t>
      </w:r>
      <w:r>
        <w:rPr>
          <w:spacing w:val="-5"/>
        </w:rPr>
        <w:t xml:space="preserve"> </w:t>
      </w:r>
      <w:r>
        <w:t>particularmente</w:t>
      </w:r>
      <w:r>
        <w:rPr>
          <w:spacing w:val="-5"/>
        </w:rPr>
        <w:t xml:space="preserve"> </w:t>
      </w:r>
      <w:r>
        <w:t>en</w:t>
      </w:r>
      <w:r>
        <w:rPr>
          <w:spacing w:val="-5"/>
        </w:rPr>
        <w:t xml:space="preserve"> </w:t>
      </w:r>
      <w:r>
        <w:t>el</w:t>
      </w:r>
      <w:r>
        <w:rPr>
          <w:spacing w:val="-5"/>
        </w:rPr>
        <w:t xml:space="preserve"> </w:t>
      </w:r>
      <w:r>
        <w:t>contexto</w:t>
      </w:r>
      <w:r>
        <w:rPr>
          <w:spacing w:val="-5"/>
        </w:rPr>
        <w:t xml:space="preserve"> </w:t>
      </w:r>
      <w:r>
        <w:t>de</w:t>
      </w:r>
      <w:r>
        <w:rPr>
          <w:spacing w:val="-5"/>
        </w:rPr>
        <w:t xml:space="preserve"> </w:t>
      </w:r>
      <w:r>
        <w:t>la</w:t>
      </w:r>
      <w:r>
        <w:rPr>
          <w:spacing w:val="-5"/>
        </w:rPr>
        <w:t xml:space="preserve"> </w:t>
      </w:r>
      <w:r>
        <w:t>pandemia</w:t>
      </w:r>
      <w:r>
        <w:rPr>
          <w:spacing w:val="-5"/>
        </w:rPr>
        <w:t xml:space="preserve"> </w:t>
      </w:r>
      <w:r>
        <w:t>de</w:t>
      </w:r>
      <w:r>
        <w:rPr>
          <w:spacing w:val="-5"/>
        </w:rPr>
        <w:t xml:space="preserve"> </w:t>
      </w:r>
      <w:r>
        <w:t>COVID-19,</w:t>
      </w:r>
      <w:r>
        <w:rPr>
          <w:spacing w:val="-4"/>
        </w:rPr>
        <w:t xml:space="preserve"> </w:t>
      </w:r>
      <w:r>
        <w:t>entidades</w:t>
      </w:r>
      <w:r>
        <w:rPr>
          <w:spacing w:val="-5"/>
        </w:rPr>
        <w:t xml:space="preserve"> </w:t>
      </w:r>
      <w:r>
        <w:t>de</w:t>
      </w:r>
      <w:r>
        <w:rPr>
          <w:spacing w:val="-5"/>
        </w:rPr>
        <w:t xml:space="preserve"> </w:t>
      </w:r>
      <w:r>
        <w:t>las</w:t>
      </w:r>
      <w:r>
        <w:rPr>
          <w:spacing w:val="-5"/>
        </w:rPr>
        <w:t xml:space="preserve"> </w:t>
      </w:r>
      <w:r>
        <w:t>Naciones</w:t>
      </w:r>
      <w:r>
        <w:rPr>
          <w:spacing w:val="-5"/>
        </w:rPr>
        <w:t xml:space="preserve"> </w:t>
      </w:r>
      <w:r>
        <w:t>Unidas, incluido el Secretario General, han expresado preocupación por la discriminación contra las personas de ascendencia asiática y</w:t>
      </w:r>
    </w:p>
    <w:p w14:paraId="6DFD2332" w14:textId="77777777" w:rsidR="0014798C" w:rsidRDefault="004E1F0B">
      <w:pPr>
        <w:pStyle w:val="Textoindependiente"/>
        <w:spacing w:line="183" w:lineRule="exact"/>
        <w:ind w:left="1111"/>
      </w:pPr>
      <w:r>
        <w:t>por</w:t>
      </w:r>
      <w:r>
        <w:rPr>
          <w:spacing w:val="-7"/>
        </w:rPr>
        <w:t xml:space="preserve"> </w:t>
      </w:r>
      <w:r>
        <w:t>los</w:t>
      </w:r>
      <w:r>
        <w:rPr>
          <w:spacing w:val="-6"/>
        </w:rPr>
        <w:t xml:space="preserve"> </w:t>
      </w:r>
      <w:r>
        <w:t>ataques</w:t>
      </w:r>
      <w:r>
        <w:rPr>
          <w:spacing w:val="-6"/>
        </w:rPr>
        <w:t xml:space="preserve"> </w:t>
      </w:r>
      <w:r>
        <w:t>motivados</w:t>
      </w:r>
      <w:r>
        <w:rPr>
          <w:spacing w:val="-6"/>
        </w:rPr>
        <w:t xml:space="preserve"> </w:t>
      </w:r>
      <w:r>
        <w:t>por</w:t>
      </w:r>
      <w:r>
        <w:rPr>
          <w:spacing w:val="-6"/>
        </w:rPr>
        <w:t xml:space="preserve"> </w:t>
      </w:r>
      <w:r>
        <w:t>prejuicios</w:t>
      </w:r>
      <w:r>
        <w:rPr>
          <w:spacing w:val="-6"/>
        </w:rPr>
        <w:t xml:space="preserve"> </w:t>
      </w:r>
      <w:r>
        <w:t>y</w:t>
      </w:r>
      <w:r>
        <w:rPr>
          <w:spacing w:val="-6"/>
        </w:rPr>
        <w:t xml:space="preserve"> </w:t>
      </w:r>
      <w:r>
        <w:t>otras</w:t>
      </w:r>
      <w:r>
        <w:rPr>
          <w:spacing w:val="-6"/>
        </w:rPr>
        <w:t xml:space="preserve"> </w:t>
      </w:r>
      <w:r>
        <w:t>formas</w:t>
      </w:r>
      <w:r>
        <w:rPr>
          <w:spacing w:val="-6"/>
        </w:rPr>
        <w:t xml:space="preserve"> </w:t>
      </w:r>
      <w:r>
        <w:t>de</w:t>
      </w:r>
      <w:r>
        <w:rPr>
          <w:spacing w:val="-6"/>
        </w:rPr>
        <w:t xml:space="preserve"> </w:t>
      </w:r>
      <w:r>
        <w:t>exclusión.</w:t>
      </w:r>
      <w:r>
        <w:rPr>
          <w:spacing w:val="-5"/>
        </w:rPr>
        <w:t xml:space="preserve"> </w:t>
      </w:r>
      <w:r>
        <w:t>contra</w:t>
      </w:r>
      <w:r>
        <w:rPr>
          <w:spacing w:val="-6"/>
        </w:rPr>
        <w:t xml:space="preserve"> </w:t>
      </w:r>
      <w:r>
        <w:t>estas</w:t>
      </w:r>
      <w:r>
        <w:rPr>
          <w:spacing w:val="-7"/>
        </w:rPr>
        <w:t xml:space="preserve"> </w:t>
      </w:r>
      <w:r>
        <w:t>diversas</w:t>
      </w:r>
      <w:r>
        <w:rPr>
          <w:spacing w:val="-6"/>
        </w:rPr>
        <w:t xml:space="preserve"> </w:t>
      </w:r>
      <w:r>
        <w:t>categorías</w:t>
      </w:r>
      <w:r>
        <w:rPr>
          <w:spacing w:val="-6"/>
        </w:rPr>
        <w:t xml:space="preserve"> </w:t>
      </w:r>
      <w:r>
        <w:t>de</w:t>
      </w:r>
      <w:r>
        <w:rPr>
          <w:spacing w:val="-6"/>
        </w:rPr>
        <w:t xml:space="preserve"> </w:t>
      </w:r>
      <w:r>
        <w:t>personas</w:t>
      </w:r>
      <w:r>
        <w:rPr>
          <w:spacing w:val="-6"/>
        </w:rPr>
        <w:t xml:space="preserve"> </w:t>
      </w:r>
      <w:r>
        <w:t>y</w:t>
      </w:r>
      <w:r>
        <w:rPr>
          <w:spacing w:val="-6"/>
        </w:rPr>
        <w:t xml:space="preserve"> </w:t>
      </w:r>
      <w:r>
        <w:rPr>
          <w:spacing w:val="-2"/>
        </w:rPr>
        <w:t>comunidades.891</w:t>
      </w:r>
    </w:p>
    <w:p w14:paraId="233C24BC" w14:textId="77777777" w:rsidR="0014798C" w:rsidRDefault="0014798C">
      <w:pPr>
        <w:pStyle w:val="Textoindependiente"/>
      </w:pPr>
    </w:p>
    <w:p w14:paraId="555A059B" w14:textId="77777777" w:rsidR="0014798C" w:rsidRDefault="0014798C">
      <w:pPr>
        <w:pStyle w:val="Textoindependiente"/>
        <w:spacing w:before="117"/>
      </w:pPr>
    </w:p>
    <w:p w14:paraId="7995E5D2" w14:textId="77777777" w:rsidR="0014798C" w:rsidRDefault="004E1F0B">
      <w:pPr>
        <w:pStyle w:val="Textoindependiente"/>
        <w:ind w:left="1108"/>
      </w:pPr>
      <w:r>
        <w:t>Las</w:t>
      </w:r>
      <w:r>
        <w:rPr>
          <w:spacing w:val="-9"/>
        </w:rPr>
        <w:t xml:space="preserve"> </w:t>
      </w:r>
      <w:r>
        <w:t>personas</w:t>
      </w:r>
      <w:r>
        <w:rPr>
          <w:spacing w:val="-8"/>
        </w:rPr>
        <w:t xml:space="preserve"> </w:t>
      </w:r>
      <w:r>
        <w:t>afectadas</w:t>
      </w:r>
      <w:r>
        <w:rPr>
          <w:spacing w:val="-9"/>
        </w:rPr>
        <w:t xml:space="preserve"> </w:t>
      </w:r>
      <w:r>
        <w:t>por</w:t>
      </w:r>
      <w:r>
        <w:rPr>
          <w:spacing w:val="-8"/>
        </w:rPr>
        <w:t xml:space="preserve"> </w:t>
      </w:r>
      <w:r>
        <w:t>la</w:t>
      </w:r>
      <w:r>
        <w:rPr>
          <w:spacing w:val="-9"/>
        </w:rPr>
        <w:t xml:space="preserve"> </w:t>
      </w:r>
      <w:r>
        <w:t>discriminación</w:t>
      </w:r>
      <w:r>
        <w:rPr>
          <w:spacing w:val="-8"/>
        </w:rPr>
        <w:t xml:space="preserve"> </w:t>
      </w:r>
      <w:r>
        <w:t>basada</w:t>
      </w:r>
      <w:r>
        <w:rPr>
          <w:spacing w:val="-9"/>
        </w:rPr>
        <w:t xml:space="preserve"> </w:t>
      </w:r>
      <w:r>
        <w:t>en</w:t>
      </w:r>
      <w:r>
        <w:rPr>
          <w:spacing w:val="-8"/>
        </w:rPr>
        <w:t xml:space="preserve"> </w:t>
      </w:r>
      <w:r>
        <w:t>casta</w:t>
      </w:r>
      <w:r>
        <w:rPr>
          <w:spacing w:val="-9"/>
        </w:rPr>
        <w:t xml:space="preserve"> </w:t>
      </w:r>
      <w:r>
        <w:t>o</w:t>
      </w:r>
      <w:r>
        <w:rPr>
          <w:spacing w:val="-8"/>
        </w:rPr>
        <w:t xml:space="preserve"> </w:t>
      </w:r>
      <w:r>
        <w:t>ascendencia</w:t>
      </w:r>
      <w:r>
        <w:rPr>
          <w:spacing w:val="-9"/>
        </w:rPr>
        <w:t xml:space="preserve"> </w:t>
      </w:r>
      <w:r>
        <w:t>–como</w:t>
      </w:r>
      <w:r>
        <w:rPr>
          <w:spacing w:val="-8"/>
        </w:rPr>
        <w:t xml:space="preserve"> </w:t>
      </w:r>
      <w:r>
        <w:t>los</w:t>
      </w:r>
      <w:r>
        <w:rPr>
          <w:spacing w:val="-9"/>
        </w:rPr>
        <w:t xml:space="preserve"> </w:t>
      </w:r>
      <w:proofErr w:type="spellStart"/>
      <w:r>
        <w:t>dalits</w:t>
      </w:r>
      <w:proofErr w:type="spellEnd"/>
      <w:r>
        <w:t>–</w:t>
      </w:r>
      <w:r>
        <w:rPr>
          <w:spacing w:val="-8"/>
        </w:rPr>
        <w:t xml:space="preserve"> </w:t>
      </w:r>
      <w:r>
        <w:t>también</w:t>
      </w:r>
      <w:r>
        <w:rPr>
          <w:spacing w:val="-8"/>
        </w:rPr>
        <w:t xml:space="preserve"> </w:t>
      </w:r>
      <w:r>
        <w:t>son</w:t>
      </w:r>
      <w:r>
        <w:rPr>
          <w:spacing w:val="-9"/>
        </w:rPr>
        <w:t xml:space="preserve"> </w:t>
      </w:r>
      <w:r>
        <w:t>objeto</w:t>
      </w:r>
      <w:r>
        <w:rPr>
          <w:spacing w:val="-8"/>
        </w:rPr>
        <w:t xml:space="preserve"> </w:t>
      </w:r>
      <w:r>
        <w:t>de</w:t>
      </w:r>
      <w:r>
        <w:rPr>
          <w:spacing w:val="-9"/>
        </w:rPr>
        <w:t xml:space="preserve"> </w:t>
      </w:r>
      <w:r>
        <w:rPr>
          <w:spacing w:val="-2"/>
        </w:rPr>
        <w:t>especial</w:t>
      </w:r>
    </w:p>
    <w:p w14:paraId="069E9351" w14:textId="77777777" w:rsidR="0014798C" w:rsidRDefault="004E1F0B">
      <w:pPr>
        <w:pStyle w:val="Textoindependiente"/>
        <w:spacing w:before="66" w:line="271" w:lineRule="auto"/>
        <w:ind w:left="1107" w:right="1272" w:firstLine="1"/>
      </w:pPr>
      <w:r>
        <w:t>preocupación.</w:t>
      </w:r>
      <w:r>
        <w:rPr>
          <w:spacing w:val="-5"/>
        </w:rPr>
        <w:t xml:space="preserve"> </w:t>
      </w:r>
      <w:r>
        <w:t>La</w:t>
      </w:r>
      <w:r>
        <w:rPr>
          <w:spacing w:val="-6"/>
        </w:rPr>
        <w:t xml:space="preserve"> </w:t>
      </w:r>
      <w:r>
        <w:t>discriminación</w:t>
      </w:r>
      <w:r>
        <w:rPr>
          <w:spacing w:val="-6"/>
        </w:rPr>
        <w:t xml:space="preserve"> </w:t>
      </w:r>
      <w:r>
        <w:t>basada</w:t>
      </w:r>
      <w:r>
        <w:rPr>
          <w:spacing w:val="-6"/>
        </w:rPr>
        <w:t xml:space="preserve"> </w:t>
      </w:r>
      <w:r>
        <w:t>en</w:t>
      </w:r>
      <w:r>
        <w:rPr>
          <w:spacing w:val="-6"/>
        </w:rPr>
        <w:t xml:space="preserve"> </w:t>
      </w:r>
      <w:r>
        <w:t>castas</w:t>
      </w:r>
      <w:r>
        <w:rPr>
          <w:spacing w:val="-6"/>
        </w:rPr>
        <w:t xml:space="preserve"> </w:t>
      </w:r>
      <w:r>
        <w:t>es</w:t>
      </w:r>
      <w:r>
        <w:rPr>
          <w:spacing w:val="-6"/>
        </w:rPr>
        <w:t xml:space="preserve"> </w:t>
      </w:r>
      <w:r>
        <w:t>objeto</w:t>
      </w:r>
      <w:r>
        <w:rPr>
          <w:spacing w:val="-6"/>
        </w:rPr>
        <w:t xml:space="preserve"> </w:t>
      </w:r>
      <w:r>
        <w:t>de</w:t>
      </w:r>
      <w:r>
        <w:rPr>
          <w:spacing w:val="-6"/>
        </w:rPr>
        <w:t xml:space="preserve"> </w:t>
      </w:r>
      <w:r>
        <w:t>una</w:t>
      </w:r>
      <w:r>
        <w:rPr>
          <w:spacing w:val="-6"/>
        </w:rPr>
        <w:t xml:space="preserve"> </w:t>
      </w:r>
      <w:r>
        <w:t>recomendación</w:t>
      </w:r>
      <w:r>
        <w:rPr>
          <w:spacing w:val="-6"/>
        </w:rPr>
        <w:t xml:space="preserve"> </w:t>
      </w:r>
      <w:r>
        <w:t>general</w:t>
      </w:r>
      <w:r>
        <w:rPr>
          <w:spacing w:val="-6"/>
        </w:rPr>
        <w:t xml:space="preserve"> </w:t>
      </w:r>
      <w:r>
        <w:t>específica</w:t>
      </w:r>
      <w:r>
        <w:rPr>
          <w:spacing w:val="-6"/>
        </w:rPr>
        <w:t xml:space="preserve"> </w:t>
      </w:r>
      <w:r>
        <w:t>del</w:t>
      </w:r>
      <w:r>
        <w:rPr>
          <w:spacing w:val="-6"/>
        </w:rPr>
        <w:t xml:space="preserve"> </w:t>
      </w:r>
      <w:r>
        <w:t>Comité</w:t>
      </w:r>
      <w:r>
        <w:rPr>
          <w:spacing w:val="-6"/>
        </w:rPr>
        <w:t xml:space="preserve"> </w:t>
      </w:r>
      <w:r>
        <w:t>para</w:t>
      </w:r>
      <w:r>
        <w:rPr>
          <w:spacing w:val="-6"/>
        </w:rPr>
        <w:t xml:space="preserve"> </w:t>
      </w:r>
      <w:r>
        <w:t>la Eliminación de la Discriminación Racial.892</w:t>
      </w:r>
    </w:p>
    <w:p w14:paraId="0C863ECE" w14:textId="77777777" w:rsidR="0014798C" w:rsidRDefault="0014798C">
      <w:pPr>
        <w:pStyle w:val="Textoindependiente"/>
        <w:spacing w:before="69"/>
      </w:pPr>
    </w:p>
    <w:p w14:paraId="1524170A" w14:textId="77777777" w:rsidR="0014798C" w:rsidRDefault="004E1F0B">
      <w:pPr>
        <w:pStyle w:val="Textoindependiente"/>
        <w:ind w:left="1106"/>
      </w:pPr>
      <w:r>
        <w:rPr>
          <w:noProof/>
        </w:rPr>
        <w:drawing>
          <wp:anchor distT="0" distB="0" distL="0" distR="0" simplePos="0" relativeHeight="251658456" behindDoc="1" locked="0" layoutInCell="1" allowOverlap="1" wp14:anchorId="618EA93A" wp14:editId="38FEEDAA">
            <wp:simplePos x="0" y="0"/>
            <wp:positionH relativeFrom="page">
              <wp:posOffset>804169</wp:posOffset>
            </wp:positionH>
            <wp:positionV relativeFrom="paragraph">
              <wp:posOffset>75080</wp:posOffset>
            </wp:positionV>
            <wp:extent cx="6752330" cy="5037048"/>
            <wp:effectExtent l="0" t="0" r="0" b="0"/>
            <wp:wrapNone/>
            <wp:docPr id="274" name="Image 27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74" name="Image 274"/>
                    <pic:cNvPicPr/>
                  </pic:nvPicPr>
                  <pic:blipFill>
                    <a:blip r:embed="rId249" cstate="print"/>
                    <a:stretch>
                      <a:fillRect/>
                    </a:stretch>
                  </pic:blipFill>
                  <pic:spPr>
                    <a:xfrm>
                      <a:off x="0" y="0"/>
                      <a:ext cx="6752330" cy="5037048"/>
                    </a:xfrm>
                    <a:prstGeom prst="rect">
                      <a:avLst/>
                    </a:prstGeom>
                  </pic:spPr>
                </pic:pic>
              </a:graphicData>
            </a:graphic>
          </wp:anchor>
        </w:drawing>
      </w:r>
      <w:r>
        <w:t>El</w:t>
      </w:r>
      <w:r>
        <w:rPr>
          <w:spacing w:val="-8"/>
        </w:rPr>
        <w:t xml:space="preserve"> </w:t>
      </w:r>
      <w:r>
        <w:t>sistema</w:t>
      </w:r>
      <w:r>
        <w:rPr>
          <w:spacing w:val="-7"/>
        </w:rPr>
        <w:t xml:space="preserve"> </w:t>
      </w:r>
      <w:r>
        <w:t>de</w:t>
      </w:r>
      <w:r>
        <w:rPr>
          <w:spacing w:val="-8"/>
        </w:rPr>
        <w:t xml:space="preserve"> </w:t>
      </w:r>
      <w:r>
        <w:t>las</w:t>
      </w:r>
      <w:r>
        <w:rPr>
          <w:spacing w:val="-7"/>
        </w:rPr>
        <w:t xml:space="preserve"> </w:t>
      </w:r>
      <w:r>
        <w:t>Naciones</w:t>
      </w:r>
      <w:r>
        <w:rPr>
          <w:spacing w:val="-7"/>
        </w:rPr>
        <w:t xml:space="preserve"> </w:t>
      </w:r>
      <w:r>
        <w:t>Unidas</w:t>
      </w:r>
      <w:r>
        <w:rPr>
          <w:spacing w:val="-8"/>
        </w:rPr>
        <w:t xml:space="preserve"> </w:t>
      </w:r>
      <w:r>
        <w:t>también</w:t>
      </w:r>
      <w:r>
        <w:rPr>
          <w:spacing w:val="-7"/>
        </w:rPr>
        <w:t xml:space="preserve"> </w:t>
      </w:r>
      <w:r>
        <w:t>ha</w:t>
      </w:r>
      <w:r>
        <w:rPr>
          <w:spacing w:val="-7"/>
        </w:rPr>
        <w:t xml:space="preserve"> </w:t>
      </w:r>
      <w:r>
        <w:t>reconocido</w:t>
      </w:r>
      <w:r>
        <w:rPr>
          <w:spacing w:val="-8"/>
        </w:rPr>
        <w:t xml:space="preserve"> </w:t>
      </w:r>
      <w:r>
        <w:t>a</w:t>
      </w:r>
      <w:r>
        <w:rPr>
          <w:spacing w:val="-7"/>
        </w:rPr>
        <w:t xml:space="preserve"> </w:t>
      </w:r>
      <w:r>
        <w:t>las</w:t>
      </w:r>
      <w:r>
        <w:rPr>
          <w:spacing w:val="-7"/>
        </w:rPr>
        <w:t xml:space="preserve"> </w:t>
      </w:r>
      <w:r>
        <w:t>personas</w:t>
      </w:r>
      <w:r>
        <w:rPr>
          <w:spacing w:val="-8"/>
        </w:rPr>
        <w:t xml:space="preserve"> </w:t>
      </w:r>
      <w:r>
        <w:t>con</w:t>
      </w:r>
      <w:r>
        <w:rPr>
          <w:spacing w:val="-7"/>
        </w:rPr>
        <w:t xml:space="preserve"> </w:t>
      </w:r>
      <w:r>
        <w:t>albinismo</w:t>
      </w:r>
      <w:r>
        <w:rPr>
          <w:spacing w:val="-7"/>
        </w:rPr>
        <w:t xml:space="preserve"> </w:t>
      </w:r>
      <w:r>
        <w:t>como</w:t>
      </w:r>
      <w:r>
        <w:rPr>
          <w:spacing w:val="-8"/>
        </w:rPr>
        <w:t xml:space="preserve"> </w:t>
      </w:r>
      <w:r>
        <w:t>un</w:t>
      </w:r>
      <w:r>
        <w:rPr>
          <w:spacing w:val="-7"/>
        </w:rPr>
        <w:t xml:space="preserve"> </w:t>
      </w:r>
      <w:r>
        <w:t>grupo</w:t>
      </w:r>
      <w:r>
        <w:rPr>
          <w:spacing w:val="-7"/>
        </w:rPr>
        <w:t xml:space="preserve"> </w:t>
      </w:r>
      <w:r>
        <w:t>que</w:t>
      </w:r>
      <w:r>
        <w:rPr>
          <w:spacing w:val="-8"/>
        </w:rPr>
        <w:t xml:space="preserve"> </w:t>
      </w:r>
      <w:r>
        <w:t>sufre</w:t>
      </w:r>
      <w:r>
        <w:rPr>
          <w:spacing w:val="-7"/>
        </w:rPr>
        <w:t xml:space="preserve"> </w:t>
      </w:r>
      <w:r>
        <w:rPr>
          <w:spacing w:val="-2"/>
        </w:rPr>
        <w:t>discriminación</w:t>
      </w:r>
    </w:p>
    <w:p w14:paraId="2494A8EF" w14:textId="77777777" w:rsidR="0014798C" w:rsidRDefault="004E1F0B">
      <w:pPr>
        <w:pStyle w:val="Textoindependiente"/>
        <w:spacing w:before="66" w:line="271" w:lineRule="auto"/>
        <w:ind w:left="1109" w:right="1272" w:firstLine="1"/>
      </w:pPr>
      <w:r>
        <w:t>racial,</w:t>
      </w:r>
      <w:r>
        <w:rPr>
          <w:spacing w:val="-4"/>
        </w:rPr>
        <w:t xml:space="preserve"> </w:t>
      </w:r>
      <w:r>
        <w:t>entre</w:t>
      </w:r>
      <w:r>
        <w:rPr>
          <w:spacing w:val="-5"/>
        </w:rPr>
        <w:t xml:space="preserve"> </w:t>
      </w:r>
      <w:r>
        <w:t>otros</w:t>
      </w:r>
      <w:r>
        <w:rPr>
          <w:spacing w:val="-5"/>
        </w:rPr>
        <w:t xml:space="preserve"> </w:t>
      </w:r>
      <w:r>
        <w:t>factores</w:t>
      </w:r>
      <w:r>
        <w:rPr>
          <w:spacing w:val="-5"/>
        </w:rPr>
        <w:t xml:space="preserve"> </w:t>
      </w:r>
      <w:r>
        <w:t>interrelacionados,</w:t>
      </w:r>
      <w:r>
        <w:rPr>
          <w:spacing w:val="-3"/>
        </w:rPr>
        <w:t xml:space="preserve"> </w:t>
      </w:r>
      <w:r>
        <w:t>lo</w:t>
      </w:r>
      <w:r>
        <w:rPr>
          <w:spacing w:val="-5"/>
        </w:rPr>
        <w:t xml:space="preserve"> </w:t>
      </w:r>
      <w:r>
        <w:t>cual</w:t>
      </w:r>
      <w:r>
        <w:rPr>
          <w:spacing w:val="-5"/>
        </w:rPr>
        <w:t xml:space="preserve"> </w:t>
      </w:r>
      <w:r>
        <w:t>es</w:t>
      </w:r>
      <w:r>
        <w:rPr>
          <w:spacing w:val="-5"/>
        </w:rPr>
        <w:t xml:space="preserve"> </w:t>
      </w:r>
      <w:r>
        <w:t>relevante,</w:t>
      </w:r>
      <w:r>
        <w:rPr>
          <w:spacing w:val="-4"/>
        </w:rPr>
        <w:t xml:space="preserve"> </w:t>
      </w:r>
      <w:r>
        <w:t>entre</w:t>
      </w:r>
      <w:r>
        <w:rPr>
          <w:spacing w:val="-5"/>
        </w:rPr>
        <w:t xml:space="preserve"> </w:t>
      </w:r>
      <w:r>
        <w:t>otras</w:t>
      </w:r>
      <w:r>
        <w:rPr>
          <w:spacing w:val="-5"/>
        </w:rPr>
        <w:t xml:space="preserve"> </w:t>
      </w:r>
      <w:r>
        <w:t>cosas,</w:t>
      </w:r>
      <w:r>
        <w:rPr>
          <w:spacing w:val="-4"/>
        </w:rPr>
        <w:t xml:space="preserve"> </w:t>
      </w:r>
      <w:r>
        <w:t>en</w:t>
      </w:r>
      <w:r>
        <w:rPr>
          <w:spacing w:val="-5"/>
        </w:rPr>
        <w:t xml:space="preserve"> </w:t>
      </w:r>
      <w:r>
        <w:t>lo</w:t>
      </w:r>
      <w:r>
        <w:rPr>
          <w:spacing w:val="-5"/>
        </w:rPr>
        <w:t xml:space="preserve"> </w:t>
      </w:r>
      <w:r>
        <w:t>que</w:t>
      </w:r>
      <w:r>
        <w:rPr>
          <w:spacing w:val="-5"/>
        </w:rPr>
        <w:t xml:space="preserve"> </w:t>
      </w:r>
      <w:r>
        <w:t>respecta</w:t>
      </w:r>
      <w:r>
        <w:rPr>
          <w:spacing w:val="-5"/>
        </w:rPr>
        <w:t xml:space="preserve"> </w:t>
      </w:r>
      <w:r>
        <w:t>a</w:t>
      </w:r>
      <w:r>
        <w:rPr>
          <w:spacing w:val="-5"/>
        </w:rPr>
        <w:t xml:space="preserve"> </w:t>
      </w:r>
      <w:r>
        <w:t>la</w:t>
      </w:r>
      <w:r>
        <w:rPr>
          <w:spacing w:val="-5"/>
        </w:rPr>
        <w:t xml:space="preserve"> </w:t>
      </w:r>
      <w:r>
        <w:t>protección</w:t>
      </w:r>
      <w:r>
        <w:rPr>
          <w:spacing w:val="-5"/>
        </w:rPr>
        <w:t xml:space="preserve"> </w:t>
      </w:r>
      <w:r>
        <w:t>bajo</w:t>
      </w:r>
      <w:r>
        <w:rPr>
          <w:spacing w:val="-5"/>
        </w:rPr>
        <w:t xml:space="preserve"> </w:t>
      </w:r>
      <w:r>
        <w:t>la Convención Internacional sobre la Eliminación de todas las Formas de Discriminación Racial.893</w:t>
      </w:r>
    </w:p>
    <w:p w14:paraId="7621AB8B" w14:textId="77777777" w:rsidR="0014798C" w:rsidRDefault="0014798C">
      <w:pPr>
        <w:pStyle w:val="Textoindependiente"/>
      </w:pPr>
    </w:p>
    <w:p w14:paraId="04BEE1B8" w14:textId="77777777" w:rsidR="0014798C" w:rsidRDefault="0014798C">
      <w:pPr>
        <w:pStyle w:val="Textoindependiente"/>
      </w:pPr>
    </w:p>
    <w:p w14:paraId="29E60AD0" w14:textId="77777777" w:rsidR="0014798C" w:rsidRDefault="0014798C">
      <w:pPr>
        <w:pStyle w:val="Textoindependiente"/>
        <w:spacing w:before="24"/>
      </w:pPr>
    </w:p>
    <w:p w14:paraId="7939A586" w14:textId="77777777" w:rsidR="0014798C" w:rsidRDefault="004E1F0B">
      <w:pPr>
        <w:pStyle w:val="Textoindependiente"/>
        <w:ind w:left="1342"/>
      </w:pPr>
      <w:r>
        <w:rPr>
          <w:noProof/>
        </w:rPr>
        <mc:AlternateContent>
          <mc:Choice Requires="wps">
            <w:drawing>
              <wp:anchor distT="0" distB="0" distL="0" distR="0" simplePos="0" relativeHeight="251658306" behindDoc="0" locked="0" layoutInCell="1" allowOverlap="1" wp14:anchorId="26F05333" wp14:editId="6CB48718">
                <wp:simplePos x="0" y="0"/>
                <wp:positionH relativeFrom="page">
                  <wp:posOffset>7293418</wp:posOffset>
                </wp:positionH>
                <wp:positionV relativeFrom="paragraph">
                  <wp:posOffset>-102959</wp:posOffset>
                </wp:positionV>
                <wp:extent cx="104775" cy="260985"/>
                <wp:effectExtent l="0" t="0" r="0" b="0"/>
                <wp:wrapNone/>
                <wp:docPr id="275" name="Textbox 27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04775" cy="260985"/>
                        </a:xfrm>
                        <a:prstGeom prst="rect">
                          <a:avLst/>
                        </a:prstGeom>
                      </wps:spPr>
                      <wps:txbx>
                        <w:txbxContent>
                          <w:p w14:paraId="352A0E9B" w14:textId="77777777" w:rsidR="0014798C" w:rsidRDefault="004E1F0B">
                            <w:pPr>
                              <w:spacing w:before="17"/>
                              <w:ind w:left="20"/>
                              <w:rPr>
                                <w:sz w:val="11"/>
                              </w:rPr>
                            </w:pPr>
                            <w:r>
                              <w:rPr>
                                <w:color w:val="FFFFFF"/>
                                <w:spacing w:val="-33"/>
                                <w:sz w:val="11"/>
                              </w:rPr>
                              <w:t>TPRAERSTE</w:t>
                            </w:r>
                          </w:p>
                        </w:txbxContent>
                      </wps:txbx>
                      <wps:bodyPr vert="vert270" wrap="square" lIns="0" tIns="0" rIns="0" bIns="0" rtlCol="0">
                        <a:noAutofit/>
                      </wps:bodyPr>
                    </wps:wsp>
                  </a:graphicData>
                </a:graphic>
              </wp:anchor>
            </w:drawing>
          </mc:Choice>
          <mc:Fallback>
            <w:pict>
              <v:shape w14:anchorId="26F05333" id="Textbox 275" o:spid="_x0000_s1135" type="#_x0000_t202" style="position:absolute;left:0;text-align:left;margin-left:574.3pt;margin-top:-8.1pt;width:8.25pt;height:20.55pt;z-index:251658306;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" filled="f" stroked="f">
                <v:textbox style="layout-flow:vertical;mso-layout-flow-alt:bottom-to-top" inset="0,0,0,0">
                  <w:txbxContent>
                    <w:p w14:paraId="352A0E9B" w14:textId="77777777" w:rsidR="0014798C" w:rsidRDefault="004E1F0B">
                      <w:pPr>
                        <w:spacing w:before="17"/>
                        <w:ind w:left="20"/>
                        <w:rPr>
                          <w:sz w:val="11"/>
                        </w:rPr>
                      </w:pPr>
                      <w:r>
                        <w:rPr>
                          <w:color w:val="FFFFFF"/>
                          <w:spacing w:val="-33"/>
                          <w:sz w:val="11"/>
                        </w:rPr>
                        <w:t>TPRAERSTE</w:t>
                      </w:r>
                    </w:p>
                  </w:txbxContent>
                </v:textbox>
                <w10:wrap anchorx="page"/>
              </v:shape>
            </w:pict>
          </mc:Fallback>
        </mc:AlternateContent>
      </w:r>
      <w:r>
        <w:rPr>
          <w:spacing w:val="-2"/>
        </w:rPr>
        <w:t>REFUGIADOS,</w:t>
      </w:r>
      <w:r>
        <w:rPr>
          <w:spacing w:val="-1"/>
        </w:rPr>
        <w:t xml:space="preserve"> </w:t>
      </w:r>
      <w:r>
        <w:rPr>
          <w:spacing w:val="-2"/>
        </w:rPr>
        <w:t>APÁTRIDAS</w:t>
      </w:r>
      <w:r>
        <w:t xml:space="preserve"> </w:t>
      </w:r>
      <w:r>
        <w:rPr>
          <w:spacing w:val="-2"/>
        </w:rPr>
        <w:t>Y</w:t>
      </w:r>
      <w:r>
        <w:t xml:space="preserve"> </w:t>
      </w:r>
      <w:r>
        <w:rPr>
          <w:spacing w:val="-2"/>
        </w:rPr>
        <w:t>MIGRANTES</w:t>
      </w:r>
    </w:p>
    <w:p w14:paraId="33900F53" w14:textId="77777777" w:rsidR="0014798C" w:rsidRDefault="0014798C">
      <w:pPr>
        <w:pStyle w:val="Textoindependiente"/>
        <w:spacing w:before="12"/>
      </w:pPr>
    </w:p>
    <w:p w14:paraId="38A8B08E" w14:textId="77777777" w:rsidR="0014798C" w:rsidRDefault="004E1F0B">
      <w:pPr>
        <w:pStyle w:val="Textoindependiente"/>
        <w:spacing w:before="1" w:line="326" w:lineRule="auto"/>
        <w:ind w:left="1334" w:right="1272"/>
      </w:pPr>
      <w:r>
        <w:t>Los</w:t>
      </w:r>
      <w:r>
        <w:rPr>
          <w:spacing w:val="-6"/>
        </w:rPr>
        <w:t xml:space="preserve"> </w:t>
      </w:r>
      <w:r>
        <w:t>refugiados</w:t>
      </w:r>
      <w:r>
        <w:rPr>
          <w:spacing w:val="-6"/>
        </w:rPr>
        <w:t xml:space="preserve"> </w:t>
      </w:r>
      <w:r>
        <w:t>y</w:t>
      </w:r>
      <w:r>
        <w:rPr>
          <w:spacing w:val="-6"/>
        </w:rPr>
        <w:t xml:space="preserve"> </w:t>
      </w:r>
      <w:r>
        <w:t>los</w:t>
      </w:r>
      <w:r>
        <w:rPr>
          <w:spacing w:val="-6"/>
        </w:rPr>
        <w:t xml:space="preserve"> </w:t>
      </w:r>
      <w:r>
        <w:t>apátridas</w:t>
      </w:r>
      <w:r>
        <w:rPr>
          <w:spacing w:val="-6"/>
        </w:rPr>
        <w:t xml:space="preserve"> </w:t>
      </w:r>
      <w:r>
        <w:t>no</w:t>
      </w:r>
      <w:r>
        <w:rPr>
          <w:spacing w:val="-6"/>
        </w:rPr>
        <w:t xml:space="preserve"> </w:t>
      </w:r>
      <w:r>
        <w:t>son</w:t>
      </w:r>
      <w:r>
        <w:rPr>
          <w:spacing w:val="-6"/>
        </w:rPr>
        <w:t xml:space="preserve"> </w:t>
      </w:r>
      <w:r>
        <w:t>necesariamente</w:t>
      </w:r>
      <w:r>
        <w:rPr>
          <w:spacing w:val="-6"/>
        </w:rPr>
        <w:t xml:space="preserve"> </w:t>
      </w:r>
      <w:r>
        <w:t>minorías</w:t>
      </w:r>
      <w:r>
        <w:rPr>
          <w:spacing w:val="-6"/>
        </w:rPr>
        <w:t xml:space="preserve"> </w:t>
      </w:r>
      <w:r>
        <w:t>étnicas,</w:t>
      </w:r>
      <w:r>
        <w:rPr>
          <w:spacing w:val="-5"/>
        </w:rPr>
        <w:t xml:space="preserve"> </w:t>
      </w:r>
      <w:r>
        <w:t>religiosas</w:t>
      </w:r>
      <w:r>
        <w:rPr>
          <w:spacing w:val="-6"/>
        </w:rPr>
        <w:t xml:space="preserve"> </w:t>
      </w:r>
      <w:r>
        <w:t>o</w:t>
      </w:r>
      <w:r>
        <w:rPr>
          <w:spacing w:val="-6"/>
        </w:rPr>
        <w:t xml:space="preserve"> </w:t>
      </w:r>
      <w:r>
        <w:t>lingüísticas.</w:t>
      </w:r>
      <w:r>
        <w:rPr>
          <w:spacing w:val="-5"/>
        </w:rPr>
        <w:t xml:space="preserve"> </w:t>
      </w:r>
      <w:r>
        <w:t>Sin</w:t>
      </w:r>
      <w:r>
        <w:rPr>
          <w:spacing w:val="-6"/>
        </w:rPr>
        <w:t xml:space="preserve"> </w:t>
      </w:r>
      <w:r>
        <w:t>embargo,</w:t>
      </w:r>
      <w:r>
        <w:rPr>
          <w:spacing w:val="-5"/>
        </w:rPr>
        <w:t xml:space="preserve"> </w:t>
      </w:r>
      <w:r>
        <w:t>pueden</w:t>
      </w:r>
      <w:r>
        <w:rPr>
          <w:spacing w:val="-6"/>
        </w:rPr>
        <w:t xml:space="preserve"> </w:t>
      </w:r>
      <w:r>
        <w:t>ser minorías ya sea dentro de las comunidades de las que provienen y/o en su país de exilio.</w:t>
      </w:r>
    </w:p>
    <w:p w14:paraId="3A8A036A" w14:textId="77777777" w:rsidR="0014798C" w:rsidRDefault="0014798C">
      <w:pPr>
        <w:pStyle w:val="Textoindependiente"/>
        <w:spacing w:before="178"/>
      </w:pPr>
    </w:p>
    <w:p w14:paraId="5BB1CC74" w14:textId="77777777" w:rsidR="0014798C" w:rsidRDefault="004E1F0B">
      <w:pPr>
        <w:pStyle w:val="Textoindependiente"/>
        <w:spacing w:line="326" w:lineRule="auto"/>
        <w:ind w:left="1337" w:right="1463" w:hanging="5"/>
      </w:pPr>
      <w:r>
        <w:t>Las personas pueden huir de su país de origen por diversos motivos, incluidos motivos de discriminación por diversos motivos.</w:t>
      </w:r>
      <w:r>
        <w:rPr>
          <w:spacing w:val="-4"/>
        </w:rPr>
        <w:t xml:space="preserve"> </w:t>
      </w:r>
      <w:r>
        <w:t>En</w:t>
      </w:r>
      <w:r>
        <w:rPr>
          <w:spacing w:val="-5"/>
        </w:rPr>
        <w:t xml:space="preserve"> </w:t>
      </w:r>
      <w:r>
        <w:t>muchos</w:t>
      </w:r>
      <w:r>
        <w:rPr>
          <w:spacing w:val="-5"/>
        </w:rPr>
        <w:t xml:space="preserve"> </w:t>
      </w:r>
      <w:r>
        <w:t>casos,</w:t>
      </w:r>
      <w:r>
        <w:rPr>
          <w:spacing w:val="-4"/>
        </w:rPr>
        <w:t xml:space="preserve"> </w:t>
      </w:r>
      <w:r>
        <w:t>las</w:t>
      </w:r>
      <w:r>
        <w:rPr>
          <w:spacing w:val="-5"/>
        </w:rPr>
        <w:t xml:space="preserve"> </w:t>
      </w:r>
      <w:r>
        <w:t>comunidades</w:t>
      </w:r>
      <w:r>
        <w:rPr>
          <w:spacing w:val="-5"/>
        </w:rPr>
        <w:t xml:space="preserve"> </w:t>
      </w:r>
      <w:r>
        <w:t>de</w:t>
      </w:r>
      <w:r>
        <w:rPr>
          <w:spacing w:val="-5"/>
        </w:rPr>
        <w:t xml:space="preserve"> </w:t>
      </w:r>
      <w:r>
        <w:t>refugiados</w:t>
      </w:r>
      <w:r>
        <w:rPr>
          <w:spacing w:val="-5"/>
        </w:rPr>
        <w:t xml:space="preserve"> </w:t>
      </w:r>
      <w:r>
        <w:t>y</w:t>
      </w:r>
      <w:r>
        <w:rPr>
          <w:spacing w:val="-5"/>
        </w:rPr>
        <w:t xml:space="preserve"> </w:t>
      </w:r>
      <w:r>
        <w:t>apátridas</w:t>
      </w:r>
      <w:r>
        <w:rPr>
          <w:spacing w:val="-5"/>
        </w:rPr>
        <w:t xml:space="preserve"> </w:t>
      </w:r>
      <w:r>
        <w:t>también</w:t>
      </w:r>
      <w:r>
        <w:rPr>
          <w:spacing w:val="-5"/>
        </w:rPr>
        <w:t xml:space="preserve"> </w:t>
      </w:r>
      <w:r>
        <w:t>son</w:t>
      </w:r>
      <w:r>
        <w:rPr>
          <w:spacing w:val="-5"/>
        </w:rPr>
        <w:t xml:space="preserve"> </w:t>
      </w:r>
      <w:r>
        <w:t>grupos</w:t>
      </w:r>
      <w:r>
        <w:rPr>
          <w:spacing w:val="-5"/>
        </w:rPr>
        <w:t xml:space="preserve"> </w:t>
      </w:r>
      <w:r>
        <w:t>minoritarios</w:t>
      </w:r>
      <w:r>
        <w:rPr>
          <w:spacing w:val="-5"/>
        </w:rPr>
        <w:t xml:space="preserve"> </w:t>
      </w:r>
      <w:r>
        <w:t>en</w:t>
      </w:r>
      <w:r>
        <w:rPr>
          <w:spacing w:val="-5"/>
        </w:rPr>
        <w:t xml:space="preserve"> </w:t>
      </w:r>
      <w:r>
        <w:t>los</w:t>
      </w:r>
      <w:r>
        <w:rPr>
          <w:spacing w:val="-5"/>
        </w:rPr>
        <w:t xml:space="preserve"> </w:t>
      </w:r>
      <w:r>
        <w:t>países</w:t>
      </w:r>
      <w:r>
        <w:rPr>
          <w:spacing w:val="-5"/>
        </w:rPr>
        <w:t xml:space="preserve"> </w:t>
      </w:r>
      <w:r>
        <w:t>en</w:t>
      </w:r>
      <w:r>
        <w:rPr>
          <w:spacing w:val="-5"/>
        </w:rPr>
        <w:t xml:space="preserve"> </w:t>
      </w:r>
      <w:r>
        <w:t>los que se asientan. De manera similar, los migrantes pueden ser miembros del grupo étnico mayoritario en el país al que migran, aunque los migrantes y sus descendientes frecuentemente constituyen comunidades étnicas minoritarias.</w:t>
      </w:r>
    </w:p>
    <w:p w14:paraId="4EFD5AE7" w14:textId="77777777" w:rsidR="0014798C" w:rsidRDefault="0014798C">
      <w:pPr>
        <w:pStyle w:val="Textoindependiente"/>
        <w:spacing w:before="177"/>
      </w:pPr>
    </w:p>
    <w:p w14:paraId="689524CF" w14:textId="77777777" w:rsidR="0014798C" w:rsidRDefault="004E1F0B">
      <w:pPr>
        <w:pStyle w:val="Textoindependiente"/>
        <w:spacing w:line="326" w:lineRule="auto"/>
        <w:ind w:left="1330" w:right="1443" w:firstLine="2"/>
      </w:pPr>
      <w:r>
        <w:t>Como se señaló anteriormente, los Estados tienen la obligación de garantizar el disfrute de los derechos humanos por todas las</w:t>
      </w:r>
      <w:r>
        <w:rPr>
          <w:spacing w:val="-5"/>
        </w:rPr>
        <w:t xml:space="preserve"> </w:t>
      </w:r>
      <w:r>
        <w:t>personas</w:t>
      </w:r>
      <w:r>
        <w:rPr>
          <w:spacing w:val="-5"/>
        </w:rPr>
        <w:t xml:space="preserve"> </w:t>
      </w:r>
      <w:r>
        <w:t>en</w:t>
      </w:r>
      <w:r>
        <w:rPr>
          <w:spacing w:val="-5"/>
        </w:rPr>
        <w:t xml:space="preserve"> </w:t>
      </w:r>
      <w:r>
        <w:t>su</w:t>
      </w:r>
      <w:r>
        <w:rPr>
          <w:spacing w:val="-5"/>
        </w:rPr>
        <w:t xml:space="preserve"> </w:t>
      </w:r>
      <w:r>
        <w:t>territorio,</w:t>
      </w:r>
      <w:r>
        <w:rPr>
          <w:spacing w:val="-5"/>
        </w:rPr>
        <w:t xml:space="preserve"> </w:t>
      </w:r>
      <w:r>
        <w:t>independientemente</w:t>
      </w:r>
      <w:r>
        <w:rPr>
          <w:spacing w:val="-5"/>
        </w:rPr>
        <w:t xml:space="preserve"> </w:t>
      </w:r>
      <w:r>
        <w:t>de</w:t>
      </w:r>
      <w:r>
        <w:rPr>
          <w:spacing w:val="-5"/>
        </w:rPr>
        <w:t xml:space="preserve"> </w:t>
      </w:r>
      <w:r>
        <w:t>su</w:t>
      </w:r>
      <w:r>
        <w:rPr>
          <w:spacing w:val="-5"/>
        </w:rPr>
        <w:t xml:space="preserve"> </w:t>
      </w:r>
      <w:r>
        <w:t>ciudadanía;</w:t>
      </w:r>
      <w:r>
        <w:rPr>
          <w:spacing w:val="-5"/>
        </w:rPr>
        <w:t xml:space="preserve"> </w:t>
      </w:r>
      <w:r>
        <w:t>como</w:t>
      </w:r>
      <w:r>
        <w:rPr>
          <w:spacing w:val="-5"/>
        </w:rPr>
        <w:t xml:space="preserve"> </w:t>
      </w:r>
      <w:r>
        <w:t>tales,</w:t>
      </w:r>
      <w:r>
        <w:rPr>
          <w:spacing w:val="-5"/>
        </w:rPr>
        <w:t xml:space="preserve"> </w:t>
      </w:r>
      <w:r>
        <w:t>los</w:t>
      </w:r>
      <w:r>
        <w:rPr>
          <w:spacing w:val="-5"/>
        </w:rPr>
        <w:t xml:space="preserve"> </w:t>
      </w:r>
      <w:r>
        <w:t>no</w:t>
      </w:r>
      <w:r>
        <w:rPr>
          <w:spacing w:val="-5"/>
        </w:rPr>
        <w:t xml:space="preserve"> </w:t>
      </w:r>
      <w:r>
        <w:t>ciudadanos</w:t>
      </w:r>
      <w:r>
        <w:rPr>
          <w:spacing w:val="-5"/>
        </w:rPr>
        <w:t xml:space="preserve"> </w:t>
      </w:r>
      <w:r>
        <w:t>tienen</w:t>
      </w:r>
      <w:r>
        <w:rPr>
          <w:spacing w:val="-5"/>
        </w:rPr>
        <w:t xml:space="preserve"> </w:t>
      </w:r>
      <w:r>
        <w:t>derecho</w:t>
      </w:r>
      <w:r>
        <w:rPr>
          <w:spacing w:val="-5"/>
        </w:rPr>
        <w:t xml:space="preserve"> </w:t>
      </w:r>
      <w:r>
        <w:t>a</w:t>
      </w:r>
      <w:r>
        <w:rPr>
          <w:spacing w:val="-5"/>
        </w:rPr>
        <w:t xml:space="preserve"> </w:t>
      </w:r>
      <w:r>
        <w:t>la</w:t>
      </w:r>
      <w:r>
        <w:rPr>
          <w:spacing w:val="-5"/>
        </w:rPr>
        <w:t xml:space="preserve"> </w:t>
      </w:r>
      <w:r>
        <w:t>no discriminación</w:t>
      </w:r>
      <w:r>
        <w:rPr>
          <w:spacing w:val="-1"/>
        </w:rPr>
        <w:t xml:space="preserve"> </w:t>
      </w:r>
      <w:r>
        <w:t>por</w:t>
      </w:r>
      <w:r>
        <w:rPr>
          <w:spacing w:val="-1"/>
        </w:rPr>
        <w:t xml:space="preserve"> </w:t>
      </w:r>
      <w:r>
        <w:t>motivos</w:t>
      </w:r>
      <w:r>
        <w:rPr>
          <w:spacing w:val="-1"/>
        </w:rPr>
        <w:t xml:space="preserve"> </w:t>
      </w:r>
      <w:r>
        <w:t>de</w:t>
      </w:r>
      <w:r>
        <w:rPr>
          <w:spacing w:val="-1"/>
        </w:rPr>
        <w:t xml:space="preserve"> </w:t>
      </w:r>
      <w:r>
        <w:t>raza</w:t>
      </w:r>
      <w:r>
        <w:rPr>
          <w:spacing w:val="-1"/>
        </w:rPr>
        <w:t xml:space="preserve"> </w:t>
      </w:r>
      <w:r>
        <w:t>o</w:t>
      </w:r>
      <w:r>
        <w:rPr>
          <w:spacing w:val="-1"/>
        </w:rPr>
        <w:t xml:space="preserve"> </w:t>
      </w:r>
      <w:r>
        <w:t>etnia</w:t>
      </w:r>
      <w:r>
        <w:rPr>
          <w:spacing w:val="-1"/>
        </w:rPr>
        <w:t xml:space="preserve"> </w:t>
      </w:r>
      <w:r>
        <w:t>(y</w:t>
      </w:r>
      <w:r>
        <w:rPr>
          <w:spacing w:val="-1"/>
        </w:rPr>
        <w:t xml:space="preserve"> </w:t>
      </w:r>
      <w:r>
        <w:t>de</w:t>
      </w:r>
      <w:r>
        <w:rPr>
          <w:spacing w:val="-1"/>
        </w:rPr>
        <w:t xml:space="preserve"> </w:t>
      </w:r>
      <w:r>
        <w:t>hecho</w:t>
      </w:r>
      <w:r>
        <w:rPr>
          <w:spacing w:val="-1"/>
        </w:rPr>
        <w:t xml:space="preserve"> </w:t>
      </w:r>
      <w:r>
        <w:t>por</w:t>
      </w:r>
      <w:r>
        <w:rPr>
          <w:spacing w:val="-1"/>
        </w:rPr>
        <w:t xml:space="preserve"> </w:t>
      </w:r>
      <w:r>
        <w:t>cualquier</w:t>
      </w:r>
      <w:r>
        <w:rPr>
          <w:spacing w:val="-1"/>
        </w:rPr>
        <w:t xml:space="preserve"> </w:t>
      </w:r>
      <w:r>
        <w:t>otro</w:t>
      </w:r>
      <w:r>
        <w:rPr>
          <w:spacing w:val="-1"/>
        </w:rPr>
        <w:t xml:space="preserve"> </w:t>
      </w:r>
      <w:r>
        <w:t>motivo), al</w:t>
      </w:r>
      <w:r>
        <w:rPr>
          <w:spacing w:val="-1"/>
        </w:rPr>
        <w:t xml:space="preserve"> </w:t>
      </w:r>
      <w:r>
        <w:t>igual</w:t>
      </w:r>
      <w:r>
        <w:rPr>
          <w:spacing w:val="-1"/>
        </w:rPr>
        <w:t xml:space="preserve"> </w:t>
      </w:r>
      <w:r>
        <w:t>que</w:t>
      </w:r>
      <w:r>
        <w:rPr>
          <w:spacing w:val="-1"/>
        </w:rPr>
        <w:t xml:space="preserve"> </w:t>
      </w:r>
      <w:r>
        <w:t>los</w:t>
      </w:r>
      <w:r>
        <w:rPr>
          <w:spacing w:val="-1"/>
        </w:rPr>
        <w:t xml:space="preserve"> </w:t>
      </w:r>
      <w:r>
        <w:t>ciudadanos.894</w:t>
      </w:r>
      <w:r>
        <w:rPr>
          <w:spacing w:val="-1"/>
        </w:rPr>
        <w:t xml:space="preserve"> </w:t>
      </w:r>
      <w:r>
        <w:t>De</w:t>
      </w:r>
      <w:r>
        <w:rPr>
          <w:spacing w:val="-1"/>
        </w:rPr>
        <w:t xml:space="preserve"> </w:t>
      </w:r>
      <w:r>
        <w:t>manera similar, en situaciones en las que los refugiados, los apátridas, los trabajadores migrantes y sus descendientes constituyen una comunidad minoritaria, se les deben conceder los derechos garantizados por el artículo 27 del Pacto Internacional de Derechos Civiles y Políticos y la Declaración sobre los derechos de las personas pertenecientes a minorías nacionales o étnicas,</w:t>
      </w:r>
      <w:r>
        <w:rPr>
          <w:spacing w:val="-5"/>
        </w:rPr>
        <w:t xml:space="preserve"> </w:t>
      </w:r>
      <w:r>
        <w:t>religiosas</w:t>
      </w:r>
      <w:r>
        <w:rPr>
          <w:spacing w:val="-6"/>
        </w:rPr>
        <w:t xml:space="preserve"> </w:t>
      </w:r>
      <w:r>
        <w:t>y</w:t>
      </w:r>
      <w:r>
        <w:rPr>
          <w:spacing w:val="-6"/>
        </w:rPr>
        <w:t xml:space="preserve"> </w:t>
      </w:r>
      <w:r>
        <w:t>lingüísticas.</w:t>
      </w:r>
      <w:r>
        <w:rPr>
          <w:spacing w:val="-5"/>
        </w:rPr>
        <w:t xml:space="preserve"> </w:t>
      </w:r>
      <w:r>
        <w:t>De</w:t>
      </w:r>
      <w:r>
        <w:rPr>
          <w:spacing w:val="-6"/>
        </w:rPr>
        <w:t xml:space="preserve"> </w:t>
      </w:r>
      <w:r>
        <w:t>hecho,</w:t>
      </w:r>
      <w:r>
        <w:rPr>
          <w:spacing w:val="-5"/>
        </w:rPr>
        <w:t xml:space="preserve"> </w:t>
      </w:r>
      <w:r>
        <w:t>como</w:t>
      </w:r>
      <w:r>
        <w:rPr>
          <w:spacing w:val="-6"/>
        </w:rPr>
        <w:t xml:space="preserve"> </w:t>
      </w:r>
      <w:r>
        <w:t>ha</w:t>
      </w:r>
      <w:r>
        <w:rPr>
          <w:spacing w:val="-6"/>
        </w:rPr>
        <w:t xml:space="preserve"> </w:t>
      </w:r>
      <w:r>
        <w:t>declarado</w:t>
      </w:r>
      <w:r>
        <w:rPr>
          <w:spacing w:val="-6"/>
        </w:rPr>
        <w:t xml:space="preserve"> </w:t>
      </w:r>
      <w:r>
        <w:t>el</w:t>
      </w:r>
      <w:r>
        <w:rPr>
          <w:spacing w:val="-6"/>
        </w:rPr>
        <w:t xml:space="preserve"> </w:t>
      </w:r>
      <w:r>
        <w:t>Comité</w:t>
      </w:r>
      <w:r>
        <w:rPr>
          <w:spacing w:val="-6"/>
        </w:rPr>
        <w:t xml:space="preserve"> </w:t>
      </w:r>
      <w:r>
        <w:t>de</w:t>
      </w:r>
      <w:r>
        <w:rPr>
          <w:spacing w:val="-6"/>
        </w:rPr>
        <w:t xml:space="preserve"> </w:t>
      </w:r>
      <w:r>
        <w:t>Derechos</w:t>
      </w:r>
      <w:r>
        <w:rPr>
          <w:spacing w:val="-6"/>
        </w:rPr>
        <w:t xml:space="preserve"> </w:t>
      </w:r>
      <w:r>
        <w:t>Humanos:</w:t>
      </w:r>
      <w:r>
        <w:rPr>
          <w:spacing w:val="-5"/>
        </w:rPr>
        <w:t xml:space="preserve"> </w:t>
      </w:r>
      <w:r>
        <w:t>“los</w:t>
      </w:r>
      <w:r>
        <w:rPr>
          <w:spacing w:val="-6"/>
        </w:rPr>
        <w:t xml:space="preserve"> </w:t>
      </w:r>
      <w:r>
        <w:t>trabajadores</w:t>
      </w:r>
      <w:r>
        <w:rPr>
          <w:spacing w:val="-6"/>
        </w:rPr>
        <w:t xml:space="preserve"> </w:t>
      </w:r>
      <w:r>
        <w:t>migratorios o incluso los visitantes en un Estado parte que constituyan dichas minorías tienen derecho a que no se les niegue el ejercicio de los derechos [de las minorías]”.895</w:t>
      </w:r>
    </w:p>
    <w:p w14:paraId="3CB211AF" w14:textId="77777777" w:rsidR="0014798C" w:rsidRDefault="004E1F0B">
      <w:pPr>
        <w:pStyle w:val="Textoindependiente"/>
        <w:spacing w:before="109" w:line="326" w:lineRule="auto"/>
        <w:ind w:left="1330" w:right="1479" w:firstLine="2"/>
      </w:pPr>
      <w:r>
        <w:t>Sin</w:t>
      </w:r>
      <w:r>
        <w:rPr>
          <w:spacing w:val="-5"/>
        </w:rPr>
        <w:t xml:space="preserve"> </w:t>
      </w:r>
      <w:r>
        <w:t>embargo,</w:t>
      </w:r>
      <w:r>
        <w:rPr>
          <w:spacing w:val="-4"/>
        </w:rPr>
        <w:t xml:space="preserve"> </w:t>
      </w:r>
      <w:r>
        <w:t>además</w:t>
      </w:r>
      <w:r>
        <w:rPr>
          <w:spacing w:val="-5"/>
        </w:rPr>
        <w:t xml:space="preserve"> </w:t>
      </w:r>
      <w:r>
        <w:t>de</w:t>
      </w:r>
      <w:r>
        <w:rPr>
          <w:spacing w:val="-5"/>
        </w:rPr>
        <w:t xml:space="preserve"> </w:t>
      </w:r>
      <w:r>
        <w:t>estos</w:t>
      </w:r>
      <w:r>
        <w:rPr>
          <w:spacing w:val="-5"/>
        </w:rPr>
        <w:t xml:space="preserve"> </w:t>
      </w:r>
      <w:r>
        <w:t>derechos,</w:t>
      </w:r>
      <w:r>
        <w:rPr>
          <w:spacing w:val="-4"/>
        </w:rPr>
        <w:t xml:space="preserve"> </w:t>
      </w:r>
      <w:r>
        <w:t>cada</w:t>
      </w:r>
      <w:r>
        <w:rPr>
          <w:spacing w:val="-5"/>
        </w:rPr>
        <w:t xml:space="preserve"> </w:t>
      </w:r>
      <w:r>
        <w:t>uno</w:t>
      </w:r>
      <w:r>
        <w:rPr>
          <w:spacing w:val="-5"/>
        </w:rPr>
        <w:t xml:space="preserve"> </w:t>
      </w:r>
      <w:r>
        <w:t>de</w:t>
      </w:r>
      <w:r>
        <w:rPr>
          <w:spacing w:val="-5"/>
        </w:rPr>
        <w:t xml:space="preserve"> </w:t>
      </w:r>
      <w:r>
        <w:t>estos</w:t>
      </w:r>
      <w:r>
        <w:rPr>
          <w:spacing w:val="-5"/>
        </w:rPr>
        <w:t xml:space="preserve"> </w:t>
      </w:r>
      <w:r>
        <w:t>grupos</w:t>
      </w:r>
      <w:r>
        <w:rPr>
          <w:spacing w:val="-5"/>
        </w:rPr>
        <w:t xml:space="preserve"> </w:t>
      </w:r>
      <w:r>
        <w:t>de</w:t>
      </w:r>
      <w:r>
        <w:rPr>
          <w:spacing w:val="-5"/>
        </w:rPr>
        <w:t xml:space="preserve"> </w:t>
      </w:r>
      <w:r>
        <w:t>no</w:t>
      </w:r>
      <w:r>
        <w:rPr>
          <w:spacing w:val="-5"/>
        </w:rPr>
        <w:t xml:space="preserve"> </w:t>
      </w:r>
      <w:r>
        <w:t>ciudadanos</w:t>
      </w:r>
      <w:r>
        <w:rPr>
          <w:spacing w:val="-5"/>
        </w:rPr>
        <w:t xml:space="preserve"> </w:t>
      </w:r>
      <w:r>
        <w:t>es</w:t>
      </w:r>
      <w:r>
        <w:rPr>
          <w:spacing w:val="-5"/>
        </w:rPr>
        <w:t xml:space="preserve"> </w:t>
      </w:r>
      <w:r>
        <w:t>objeto</w:t>
      </w:r>
      <w:r>
        <w:rPr>
          <w:spacing w:val="-5"/>
        </w:rPr>
        <w:t xml:space="preserve"> </w:t>
      </w:r>
      <w:r>
        <w:t>de</w:t>
      </w:r>
      <w:r>
        <w:rPr>
          <w:spacing w:val="-5"/>
        </w:rPr>
        <w:t xml:space="preserve"> </w:t>
      </w:r>
      <w:r>
        <w:t>un</w:t>
      </w:r>
      <w:r>
        <w:rPr>
          <w:spacing w:val="-5"/>
        </w:rPr>
        <w:t xml:space="preserve"> </w:t>
      </w:r>
      <w:r>
        <w:t>régimen</w:t>
      </w:r>
      <w:r>
        <w:rPr>
          <w:spacing w:val="-5"/>
        </w:rPr>
        <w:t xml:space="preserve"> </w:t>
      </w:r>
      <w:r>
        <w:t>de</w:t>
      </w:r>
      <w:r>
        <w:rPr>
          <w:spacing w:val="-5"/>
        </w:rPr>
        <w:t xml:space="preserve"> </w:t>
      </w:r>
      <w:r>
        <w:t>protección específico y basado en la igualdad a nivel internacional, que reconoce derechos específicos que existen junto con los derechos humanos garantizados a todos y cualquier derecho que pueda ser disfrutamos como minorías. La Convención sobre</w:t>
      </w:r>
      <w:r>
        <w:rPr>
          <w:spacing w:val="-3"/>
        </w:rPr>
        <w:t xml:space="preserve"> </w:t>
      </w:r>
      <w:r>
        <w:t>el</w:t>
      </w:r>
      <w:r>
        <w:rPr>
          <w:spacing w:val="-3"/>
        </w:rPr>
        <w:t xml:space="preserve"> </w:t>
      </w:r>
      <w:r>
        <w:t>Estatuto</w:t>
      </w:r>
      <w:r>
        <w:rPr>
          <w:spacing w:val="-3"/>
        </w:rPr>
        <w:t xml:space="preserve"> </w:t>
      </w:r>
      <w:r>
        <w:t>de</w:t>
      </w:r>
      <w:r>
        <w:rPr>
          <w:spacing w:val="-3"/>
        </w:rPr>
        <w:t xml:space="preserve"> </w:t>
      </w:r>
      <w:r>
        <w:t>los</w:t>
      </w:r>
      <w:r>
        <w:rPr>
          <w:spacing w:val="-3"/>
        </w:rPr>
        <w:t xml:space="preserve"> </w:t>
      </w:r>
      <w:r>
        <w:t>Refugiados,</w:t>
      </w:r>
      <w:r>
        <w:rPr>
          <w:spacing w:val="-2"/>
        </w:rPr>
        <w:t xml:space="preserve"> </w:t>
      </w:r>
      <w:r>
        <w:t>adoptada</w:t>
      </w:r>
      <w:r>
        <w:rPr>
          <w:spacing w:val="-3"/>
        </w:rPr>
        <w:t xml:space="preserve"> </w:t>
      </w:r>
      <w:r>
        <w:t>en</w:t>
      </w:r>
      <w:r>
        <w:rPr>
          <w:spacing w:val="-3"/>
        </w:rPr>
        <w:t xml:space="preserve"> </w:t>
      </w:r>
      <w:r>
        <w:t>1951,</w:t>
      </w:r>
      <w:r>
        <w:rPr>
          <w:spacing w:val="-3"/>
        </w:rPr>
        <w:t xml:space="preserve"> </w:t>
      </w:r>
      <w:r>
        <w:t>define</w:t>
      </w:r>
      <w:r>
        <w:rPr>
          <w:spacing w:val="-3"/>
        </w:rPr>
        <w:t xml:space="preserve"> </w:t>
      </w:r>
      <w:r>
        <w:t>lo</w:t>
      </w:r>
      <w:r>
        <w:rPr>
          <w:spacing w:val="-3"/>
        </w:rPr>
        <w:t xml:space="preserve"> </w:t>
      </w:r>
      <w:r>
        <w:t>que</w:t>
      </w:r>
      <w:r>
        <w:rPr>
          <w:spacing w:val="-3"/>
        </w:rPr>
        <w:t xml:space="preserve"> </w:t>
      </w:r>
      <w:r>
        <w:t>constituye</w:t>
      </w:r>
      <w:r>
        <w:rPr>
          <w:spacing w:val="-3"/>
        </w:rPr>
        <w:t xml:space="preserve"> </w:t>
      </w:r>
      <w:r>
        <w:t>un</w:t>
      </w:r>
      <w:r>
        <w:rPr>
          <w:spacing w:val="-3"/>
        </w:rPr>
        <w:t xml:space="preserve"> </w:t>
      </w:r>
      <w:r>
        <w:t>refugiado</w:t>
      </w:r>
      <w:r>
        <w:rPr>
          <w:spacing w:val="-3"/>
        </w:rPr>
        <w:t xml:space="preserve"> </w:t>
      </w:r>
      <w:r>
        <w:t>y</w:t>
      </w:r>
      <w:r>
        <w:rPr>
          <w:spacing w:val="-3"/>
        </w:rPr>
        <w:t xml:space="preserve"> </w:t>
      </w:r>
      <w:r>
        <w:t>establece</w:t>
      </w:r>
      <w:r>
        <w:rPr>
          <w:spacing w:val="-3"/>
        </w:rPr>
        <w:t xml:space="preserve"> </w:t>
      </w:r>
      <w:r>
        <w:t>los</w:t>
      </w:r>
      <w:r>
        <w:rPr>
          <w:spacing w:val="-3"/>
        </w:rPr>
        <w:t xml:space="preserve"> </w:t>
      </w:r>
      <w:r>
        <w:t>derechos</w:t>
      </w:r>
      <w:r>
        <w:rPr>
          <w:spacing w:val="-3"/>
        </w:rPr>
        <w:t xml:space="preserve"> </w:t>
      </w:r>
      <w:r>
        <w:t>de</w:t>
      </w:r>
      <w:r>
        <w:rPr>
          <w:spacing w:val="-3"/>
        </w:rPr>
        <w:t xml:space="preserve"> </w:t>
      </w:r>
      <w:r>
        <w:t>los refugiados. La Oficina del Alto Comisionado de las Naciones Unidas para los Refugiados trabaja para proteger y hacer</w:t>
      </w:r>
    </w:p>
    <w:p w14:paraId="165D436A" w14:textId="77777777" w:rsidR="0014798C" w:rsidRDefault="004E1F0B">
      <w:pPr>
        <w:pStyle w:val="Textoindependiente"/>
        <w:spacing w:line="182" w:lineRule="exact"/>
        <w:ind w:left="1334"/>
      </w:pPr>
      <w:r>
        <w:t>realidad</w:t>
      </w:r>
      <w:r>
        <w:rPr>
          <w:spacing w:val="-7"/>
        </w:rPr>
        <w:t xml:space="preserve"> </w:t>
      </w:r>
      <w:r>
        <w:t>estos</w:t>
      </w:r>
      <w:r>
        <w:rPr>
          <w:spacing w:val="-7"/>
        </w:rPr>
        <w:t xml:space="preserve"> </w:t>
      </w:r>
      <w:r>
        <w:t>derechos</w:t>
      </w:r>
      <w:r>
        <w:rPr>
          <w:spacing w:val="-7"/>
        </w:rPr>
        <w:t xml:space="preserve"> </w:t>
      </w:r>
      <w:r>
        <w:t>y</w:t>
      </w:r>
      <w:r>
        <w:rPr>
          <w:spacing w:val="-7"/>
        </w:rPr>
        <w:t xml:space="preserve"> </w:t>
      </w:r>
      <w:r>
        <w:t>para</w:t>
      </w:r>
      <w:r>
        <w:rPr>
          <w:spacing w:val="-7"/>
        </w:rPr>
        <w:t xml:space="preserve"> </w:t>
      </w:r>
      <w:r>
        <w:t>salvaguardar</w:t>
      </w:r>
      <w:r>
        <w:rPr>
          <w:spacing w:val="-7"/>
        </w:rPr>
        <w:t xml:space="preserve"> </w:t>
      </w:r>
      <w:r>
        <w:t>a</w:t>
      </w:r>
      <w:r>
        <w:rPr>
          <w:spacing w:val="-6"/>
        </w:rPr>
        <w:t xml:space="preserve"> </w:t>
      </w:r>
      <w:r>
        <w:t>los</w:t>
      </w:r>
      <w:r>
        <w:rPr>
          <w:spacing w:val="-7"/>
        </w:rPr>
        <w:t xml:space="preserve"> </w:t>
      </w:r>
      <w:r>
        <w:t>refugiados</w:t>
      </w:r>
      <w:r>
        <w:rPr>
          <w:spacing w:val="-7"/>
        </w:rPr>
        <w:t xml:space="preserve"> </w:t>
      </w:r>
      <w:r>
        <w:t>de</w:t>
      </w:r>
      <w:r>
        <w:rPr>
          <w:spacing w:val="-7"/>
        </w:rPr>
        <w:t xml:space="preserve"> </w:t>
      </w:r>
      <w:r>
        <w:t>manera</w:t>
      </w:r>
      <w:r>
        <w:rPr>
          <w:spacing w:val="-7"/>
        </w:rPr>
        <w:t xml:space="preserve"> </w:t>
      </w:r>
      <w:r>
        <w:t>más</w:t>
      </w:r>
      <w:r>
        <w:rPr>
          <w:spacing w:val="-7"/>
        </w:rPr>
        <w:t xml:space="preserve"> </w:t>
      </w:r>
      <w:r>
        <w:t>amplia.</w:t>
      </w:r>
      <w:r>
        <w:rPr>
          <w:spacing w:val="-6"/>
        </w:rPr>
        <w:t xml:space="preserve"> </w:t>
      </w:r>
      <w:r>
        <w:t>Además,</w:t>
      </w:r>
      <w:r>
        <w:rPr>
          <w:spacing w:val="-6"/>
        </w:rPr>
        <w:t xml:space="preserve"> </w:t>
      </w:r>
      <w:r>
        <w:t>tiene</w:t>
      </w:r>
      <w:r>
        <w:rPr>
          <w:spacing w:val="-6"/>
        </w:rPr>
        <w:t xml:space="preserve"> </w:t>
      </w:r>
      <w:r>
        <w:t>el</w:t>
      </w:r>
      <w:r>
        <w:rPr>
          <w:spacing w:val="-7"/>
        </w:rPr>
        <w:t xml:space="preserve"> </w:t>
      </w:r>
      <w:r>
        <w:t>mandato</w:t>
      </w:r>
      <w:r>
        <w:rPr>
          <w:spacing w:val="-7"/>
        </w:rPr>
        <w:t xml:space="preserve"> </w:t>
      </w:r>
      <w:r>
        <w:t>de</w:t>
      </w:r>
      <w:r>
        <w:rPr>
          <w:spacing w:val="-7"/>
        </w:rPr>
        <w:t xml:space="preserve"> </w:t>
      </w:r>
      <w:r>
        <w:t>proteger</w:t>
      </w:r>
      <w:r>
        <w:rPr>
          <w:spacing w:val="-7"/>
        </w:rPr>
        <w:t xml:space="preserve"> </w:t>
      </w:r>
      <w:r>
        <w:t>a</w:t>
      </w:r>
      <w:r>
        <w:rPr>
          <w:spacing w:val="-7"/>
        </w:rPr>
        <w:t xml:space="preserve"> </w:t>
      </w:r>
      <w:r>
        <w:t>los</w:t>
      </w:r>
      <w:r>
        <w:rPr>
          <w:spacing w:val="-7"/>
        </w:rPr>
        <w:t xml:space="preserve"> </w:t>
      </w:r>
      <w:r>
        <w:rPr>
          <w:spacing w:val="-2"/>
        </w:rPr>
        <w:t>apátridas.</w:t>
      </w:r>
    </w:p>
    <w:p w14:paraId="12EFEF02" w14:textId="77777777" w:rsidR="0014798C" w:rsidRDefault="0014798C">
      <w:pPr>
        <w:pStyle w:val="Textoindependiente"/>
        <w:rPr>
          <w:sz w:val="11"/>
        </w:rPr>
      </w:pPr>
    </w:p>
    <w:p w14:paraId="19B0EDBB" w14:textId="77777777" w:rsidR="0014798C" w:rsidRDefault="0014798C">
      <w:pPr>
        <w:pStyle w:val="Textoindependiente"/>
        <w:rPr>
          <w:sz w:val="11"/>
        </w:rPr>
      </w:pPr>
    </w:p>
    <w:p w14:paraId="339CD5C8" w14:textId="77777777" w:rsidR="0014798C" w:rsidRDefault="0014798C">
      <w:pPr>
        <w:pStyle w:val="Textoindependiente"/>
        <w:rPr>
          <w:sz w:val="11"/>
        </w:rPr>
      </w:pPr>
    </w:p>
    <w:p w14:paraId="22C23200" w14:textId="77777777" w:rsidR="0014798C" w:rsidRDefault="0014798C">
      <w:pPr>
        <w:pStyle w:val="Textoindependiente"/>
        <w:spacing w:before="74"/>
        <w:rPr>
          <w:sz w:val="11"/>
        </w:rPr>
      </w:pPr>
    </w:p>
    <w:p w14:paraId="0F04E366" w14:textId="77777777" w:rsidR="0014798C" w:rsidRDefault="004E1F0B">
      <w:pPr>
        <w:ind w:left="1110"/>
        <w:rPr>
          <w:sz w:val="11"/>
        </w:rPr>
      </w:pPr>
      <w:r>
        <w:rPr>
          <w:sz w:val="11"/>
        </w:rPr>
        <w:t>889</w:t>
      </w:r>
      <w:r>
        <w:rPr>
          <w:spacing w:val="1"/>
          <w:sz w:val="11"/>
        </w:rPr>
        <w:t xml:space="preserve"> </w:t>
      </w:r>
      <w:r>
        <w:rPr>
          <w:sz w:val="11"/>
        </w:rPr>
        <w:t>Comité</w:t>
      </w:r>
      <w:r>
        <w:rPr>
          <w:spacing w:val="1"/>
          <w:sz w:val="11"/>
        </w:rPr>
        <w:t xml:space="preserve"> </w:t>
      </w:r>
      <w:r>
        <w:rPr>
          <w:sz w:val="11"/>
        </w:rPr>
        <w:t>para</w:t>
      </w:r>
      <w:r>
        <w:rPr>
          <w:spacing w:val="2"/>
          <w:sz w:val="11"/>
        </w:rPr>
        <w:t xml:space="preserve"> </w:t>
      </w:r>
      <w:r>
        <w:rPr>
          <w:sz w:val="11"/>
        </w:rPr>
        <w:t>la</w:t>
      </w:r>
      <w:r>
        <w:rPr>
          <w:spacing w:val="1"/>
          <w:sz w:val="11"/>
        </w:rPr>
        <w:t xml:space="preserve"> </w:t>
      </w:r>
      <w:r>
        <w:rPr>
          <w:sz w:val="11"/>
        </w:rPr>
        <w:t>Eliminación</w:t>
      </w:r>
      <w:r>
        <w:rPr>
          <w:spacing w:val="2"/>
          <w:sz w:val="11"/>
        </w:rPr>
        <w:t xml:space="preserve"> </w:t>
      </w:r>
      <w:r>
        <w:rPr>
          <w:sz w:val="11"/>
        </w:rPr>
        <w:t>de</w:t>
      </w:r>
      <w:r>
        <w:rPr>
          <w:spacing w:val="1"/>
          <w:sz w:val="11"/>
        </w:rPr>
        <w:t xml:space="preserve"> </w:t>
      </w:r>
      <w:r>
        <w:rPr>
          <w:sz w:val="11"/>
        </w:rPr>
        <w:t>la</w:t>
      </w:r>
      <w:r>
        <w:rPr>
          <w:spacing w:val="2"/>
          <w:sz w:val="11"/>
        </w:rPr>
        <w:t xml:space="preserve"> </w:t>
      </w:r>
      <w:r>
        <w:rPr>
          <w:sz w:val="11"/>
        </w:rPr>
        <w:t>Discriminación</w:t>
      </w:r>
      <w:r>
        <w:rPr>
          <w:spacing w:val="1"/>
          <w:sz w:val="11"/>
        </w:rPr>
        <w:t xml:space="preserve"> </w:t>
      </w:r>
      <w:r>
        <w:rPr>
          <w:sz w:val="11"/>
        </w:rPr>
        <w:t>Racial,</w:t>
      </w:r>
      <w:r>
        <w:rPr>
          <w:spacing w:val="3"/>
          <w:sz w:val="11"/>
        </w:rPr>
        <w:t xml:space="preserve"> </w:t>
      </w:r>
      <w:r>
        <w:rPr>
          <w:sz w:val="11"/>
        </w:rPr>
        <w:t>recomendación</w:t>
      </w:r>
      <w:r>
        <w:rPr>
          <w:spacing w:val="1"/>
          <w:sz w:val="11"/>
        </w:rPr>
        <w:t xml:space="preserve"> </w:t>
      </w:r>
      <w:r>
        <w:rPr>
          <w:sz w:val="11"/>
        </w:rPr>
        <w:t>general</w:t>
      </w:r>
      <w:r>
        <w:rPr>
          <w:spacing w:val="2"/>
          <w:sz w:val="11"/>
        </w:rPr>
        <w:t xml:space="preserve"> </w:t>
      </w:r>
      <w:r>
        <w:rPr>
          <w:sz w:val="11"/>
        </w:rPr>
        <w:t>núm.</w:t>
      </w:r>
      <w:r>
        <w:rPr>
          <w:spacing w:val="1"/>
          <w:sz w:val="11"/>
        </w:rPr>
        <w:t xml:space="preserve"> </w:t>
      </w:r>
      <w:r>
        <w:rPr>
          <w:sz w:val="11"/>
        </w:rPr>
        <w:t>27</w:t>
      </w:r>
      <w:r>
        <w:rPr>
          <w:spacing w:val="1"/>
          <w:sz w:val="11"/>
        </w:rPr>
        <w:t xml:space="preserve"> </w:t>
      </w:r>
      <w:r>
        <w:rPr>
          <w:spacing w:val="-2"/>
          <w:sz w:val="11"/>
        </w:rPr>
        <w:t>(2000).</w:t>
      </w:r>
    </w:p>
    <w:p w14:paraId="499478C6" w14:textId="77777777" w:rsidR="0014798C" w:rsidRDefault="004E1F0B">
      <w:pPr>
        <w:spacing w:before="78"/>
        <w:ind w:left="1110"/>
        <w:rPr>
          <w:sz w:val="11"/>
        </w:rPr>
      </w:pPr>
      <w:r>
        <w:rPr>
          <w:sz w:val="11"/>
        </w:rPr>
        <w:t>890</w:t>
      </w:r>
      <w:r>
        <w:rPr>
          <w:spacing w:val="1"/>
          <w:sz w:val="11"/>
        </w:rPr>
        <w:t xml:space="preserve"> </w:t>
      </w:r>
      <w:r>
        <w:rPr>
          <w:sz w:val="11"/>
        </w:rPr>
        <w:t>Véase</w:t>
      </w:r>
      <w:r>
        <w:rPr>
          <w:spacing w:val="2"/>
          <w:sz w:val="11"/>
        </w:rPr>
        <w:t xml:space="preserve"> </w:t>
      </w:r>
      <w:r>
        <w:rPr>
          <w:sz w:val="11"/>
        </w:rPr>
        <w:t>también</w:t>
      </w:r>
      <w:r>
        <w:rPr>
          <w:spacing w:val="2"/>
          <w:sz w:val="11"/>
        </w:rPr>
        <w:t xml:space="preserve"> </w:t>
      </w:r>
      <w:r>
        <w:rPr>
          <w:spacing w:val="-2"/>
          <w:sz w:val="11"/>
        </w:rPr>
        <w:t>A/HRC/29/24.</w:t>
      </w:r>
    </w:p>
    <w:p w14:paraId="5FEA3106" w14:textId="77777777" w:rsidR="0014798C" w:rsidRDefault="0014798C">
      <w:pPr>
        <w:pStyle w:val="Textoindependiente"/>
        <w:spacing w:before="42"/>
        <w:rPr>
          <w:sz w:val="9"/>
        </w:rPr>
      </w:pPr>
    </w:p>
    <w:p w14:paraId="36679F01" w14:textId="77777777" w:rsidR="0014798C" w:rsidRDefault="004E1F0B">
      <w:pPr>
        <w:ind w:left="1110"/>
        <w:rPr>
          <w:sz w:val="9"/>
        </w:rPr>
      </w:pPr>
      <w:r>
        <w:rPr>
          <w:w w:val="105"/>
          <w:sz w:val="9"/>
        </w:rPr>
        <w:t>891 Noticias</w:t>
      </w:r>
      <w:r>
        <w:rPr>
          <w:spacing w:val="1"/>
          <w:w w:val="105"/>
          <w:sz w:val="9"/>
        </w:rPr>
        <w:t xml:space="preserve"> </w:t>
      </w:r>
      <w:r>
        <w:rPr>
          <w:w w:val="105"/>
          <w:sz w:val="9"/>
        </w:rPr>
        <w:t>ONU, “El</w:t>
      </w:r>
      <w:r>
        <w:rPr>
          <w:spacing w:val="1"/>
          <w:w w:val="105"/>
          <w:sz w:val="9"/>
        </w:rPr>
        <w:t xml:space="preserve"> </w:t>
      </w:r>
      <w:r>
        <w:rPr>
          <w:w w:val="105"/>
          <w:sz w:val="9"/>
        </w:rPr>
        <w:t>jefe de</w:t>
      </w:r>
      <w:r>
        <w:rPr>
          <w:spacing w:val="1"/>
          <w:w w:val="105"/>
          <w:sz w:val="9"/>
        </w:rPr>
        <w:t xml:space="preserve"> </w:t>
      </w:r>
      <w:r>
        <w:rPr>
          <w:w w:val="105"/>
          <w:sz w:val="9"/>
        </w:rPr>
        <w:t>la</w:t>
      </w:r>
      <w:r>
        <w:rPr>
          <w:spacing w:val="1"/>
          <w:w w:val="105"/>
          <w:sz w:val="9"/>
        </w:rPr>
        <w:t xml:space="preserve"> </w:t>
      </w:r>
      <w:r>
        <w:rPr>
          <w:w w:val="105"/>
          <w:sz w:val="9"/>
        </w:rPr>
        <w:t>ONU 'profundamente</w:t>
      </w:r>
      <w:r>
        <w:rPr>
          <w:spacing w:val="1"/>
          <w:w w:val="105"/>
          <w:sz w:val="9"/>
        </w:rPr>
        <w:t xml:space="preserve"> </w:t>
      </w:r>
      <w:r>
        <w:rPr>
          <w:w w:val="105"/>
          <w:sz w:val="9"/>
        </w:rPr>
        <w:t>preocupado'</w:t>
      </w:r>
      <w:r>
        <w:rPr>
          <w:spacing w:val="2"/>
          <w:w w:val="105"/>
          <w:sz w:val="9"/>
        </w:rPr>
        <w:t xml:space="preserve"> </w:t>
      </w:r>
      <w:r>
        <w:rPr>
          <w:w w:val="105"/>
          <w:sz w:val="9"/>
        </w:rPr>
        <w:t>por el</w:t>
      </w:r>
      <w:r>
        <w:rPr>
          <w:spacing w:val="1"/>
          <w:w w:val="105"/>
          <w:sz w:val="9"/>
        </w:rPr>
        <w:t xml:space="preserve"> </w:t>
      </w:r>
      <w:r>
        <w:rPr>
          <w:w w:val="105"/>
          <w:sz w:val="9"/>
        </w:rPr>
        <w:t>aumento de</w:t>
      </w:r>
      <w:r>
        <w:rPr>
          <w:spacing w:val="1"/>
          <w:w w:val="105"/>
          <w:sz w:val="9"/>
        </w:rPr>
        <w:t xml:space="preserve"> </w:t>
      </w:r>
      <w:r>
        <w:rPr>
          <w:w w:val="105"/>
          <w:sz w:val="9"/>
        </w:rPr>
        <w:t>la violencia</w:t>
      </w:r>
      <w:r>
        <w:rPr>
          <w:spacing w:val="1"/>
          <w:w w:val="105"/>
          <w:sz w:val="9"/>
        </w:rPr>
        <w:t xml:space="preserve"> </w:t>
      </w:r>
      <w:r>
        <w:rPr>
          <w:w w:val="105"/>
          <w:sz w:val="9"/>
        </w:rPr>
        <w:t>contra</w:t>
      </w:r>
      <w:r>
        <w:rPr>
          <w:spacing w:val="1"/>
          <w:w w:val="105"/>
          <w:sz w:val="9"/>
        </w:rPr>
        <w:t xml:space="preserve"> </w:t>
      </w:r>
      <w:r>
        <w:rPr>
          <w:w w:val="105"/>
          <w:sz w:val="9"/>
        </w:rPr>
        <w:t>los asiáticos”,</w:t>
      </w:r>
      <w:r>
        <w:rPr>
          <w:spacing w:val="2"/>
          <w:w w:val="105"/>
          <w:sz w:val="9"/>
        </w:rPr>
        <w:t xml:space="preserve"> </w:t>
      </w:r>
      <w:r>
        <w:rPr>
          <w:w w:val="105"/>
          <w:sz w:val="9"/>
        </w:rPr>
        <w:t>22</w:t>
      </w:r>
      <w:r>
        <w:rPr>
          <w:spacing w:val="1"/>
          <w:w w:val="105"/>
          <w:sz w:val="9"/>
        </w:rPr>
        <w:t xml:space="preserve"> </w:t>
      </w:r>
      <w:r>
        <w:rPr>
          <w:w w:val="105"/>
          <w:sz w:val="9"/>
        </w:rPr>
        <w:t>de marzo</w:t>
      </w:r>
      <w:r>
        <w:rPr>
          <w:spacing w:val="1"/>
          <w:w w:val="105"/>
          <w:sz w:val="9"/>
        </w:rPr>
        <w:t xml:space="preserve"> </w:t>
      </w:r>
      <w:r>
        <w:rPr>
          <w:w w:val="105"/>
          <w:sz w:val="9"/>
        </w:rPr>
        <w:t>de 2021.</w:t>
      </w:r>
      <w:r>
        <w:rPr>
          <w:spacing w:val="2"/>
          <w:w w:val="105"/>
          <w:sz w:val="9"/>
        </w:rPr>
        <w:t xml:space="preserve"> </w:t>
      </w:r>
      <w:r>
        <w:rPr>
          <w:w w:val="105"/>
          <w:sz w:val="9"/>
        </w:rPr>
        <w:t>Disponible</w:t>
      </w:r>
      <w:r>
        <w:rPr>
          <w:spacing w:val="1"/>
          <w:w w:val="105"/>
          <w:sz w:val="9"/>
        </w:rPr>
        <w:t xml:space="preserve"> </w:t>
      </w:r>
      <w:r>
        <w:rPr>
          <w:w w:val="105"/>
          <w:sz w:val="9"/>
        </w:rPr>
        <w:t xml:space="preserve">en </w:t>
      </w:r>
      <w:hyperlink r:id="rId250">
        <w:r>
          <w:rPr>
            <w:color w:val="0075BF"/>
            <w:spacing w:val="-2"/>
            <w:w w:val="105"/>
            <w:sz w:val="9"/>
          </w:rPr>
          <w:t>https://news.un.org/en/</w:t>
        </w:r>
      </w:hyperlink>
    </w:p>
    <w:p w14:paraId="404BAB73" w14:textId="77777777" w:rsidR="0014798C" w:rsidRDefault="004E1F0B">
      <w:pPr>
        <w:spacing w:before="57"/>
        <w:ind w:left="1369"/>
        <w:rPr>
          <w:sz w:val="12"/>
        </w:rPr>
      </w:pPr>
      <w:r>
        <w:rPr>
          <w:color w:val="0075BF"/>
          <w:spacing w:val="-2"/>
          <w:w w:val="105"/>
          <w:sz w:val="12"/>
        </w:rPr>
        <w:t>historia/2021/03/1088002.</w:t>
      </w:r>
    </w:p>
    <w:p w14:paraId="31FD3C8F" w14:textId="77777777" w:rsidR="0014798C" w:rsidRDefault="004E1F0B">
      <w:pPr>
        <w:spacing w:before="98" w:line="312" w:lineRule="auto"/>
        <w:ind w:left="1369" w:right="1463" w:hanging="259"/>
        <w:rPr>
          <w:sz w:val="12"/>
        </w:rPr>
      </w:pPr>
      <w:r>
        <w:rPr>
          <w:w w:val="105"/>
          <w:sz w:val="12"/>
        </w:rPr>
        <w:t>892</w:t>
      </w:r>
      <w:r>
        <w:rPr>
          <w:spacing w:val="-2"/>
          <w:w w:val="105"/>
          <w:sz w:val="12"/>
        </w:rPr>
        <w:t xml:space="preserve"> </w:t>
      </w:r>
      <w:r>
        <w:rPr>
          <w:w w:val="105"/>
          <w:sz w:val="12"/>
        </w:rPr>
        <w:t>Comité</w:t>
      </w:r>
      <w:r>
        <w:rPr>
          <w:spacing w:val="-2"/>
          <w:w w:val="105"/>
          <w:sz w:val="12"/>
        </w:rPr>
        <w:t xml:space="preserve"> </w:t>
      </w:r>
      <w:r>
        <w:rPr>
          <w:w w:val="105"/>
          <w:sz w:val="12"/>
        </w:rPr>
        <w:t>para</w:t>
      </w:r>
      <w:r>
        <w:rPr>
          <w:spacing w:val="-2"/>
          <w:w w:val="105"/>
          <w:sz w:val="12"/>
        </w:rPr>
        <w:t xml:space="preserve"> </w:t>
      </w:r>
      <w:r>
        <w:rPr>
          <w:w w:val="105"/>
          <w:sz w:val="12"/>
        </w:rPr>
        <w:t>la</w:t>
      </w:r>
      <w:r>
        <w:rPr>
          <w:spacing w:val="-2"/>
          <w:w w:val="105"/>
          <w:sz w:val="12"/>
        </w:rPr>
        <w:t xml:space="preserve"> </w:t>
      </w:r>
      <w:r>
        <w:rPr>
          <w:w w:val="105"/>
          <w:sz w:val="12"/>
        </w:rPr>
        <w:t>Eliminación</w:t>
      </w:r>
      <w:r>
        <w:rPr>
          <w:spacing w:val="-2"/>
          <w:w w:val="105"/>
          <w:sz w:val="12"/>
        </w:rPr>
        <w:t xml:space="preserve"> </w:t>
      </w:r>
      <w:r>
        <w:rPr>
          <w:w w:val="105"/>
          <w:sz w:val="12"/>
        </w:rPr>
        <w:t>de</w:t>
      </w:r>
      <w:r>
        <w:rPr>
          <w:spacing w:val="-2"/>
          <w:w w:val="105"/>
          <w:sz w:val="12"/>
        </w:rPr>
        <w:t xml:space="preserve"> </w:t>
      </w:r>
      <w:r>
        <w:rPr>
          <w:w w:val="105"/>
          <w:sz w:val="12"/>
        </w:rPr>
        <w:t>la</w:t>
      </w:r>
      <w:r>
        <w:rPr>
          <w:spacing w:val="-2"/>
          <w:w w:val="105"/>
          <w:sz w:val="12"/>
        </w:rPr>
        <w:t xml:space="preserve"> </w:t>
      </w:r>
      <w:r>
        <w:rPr>
          <w:w w:val="105"/>
          <w:sz w:val="12"/>
        </w:rPr>
        <w:t>Discriminación</w:t>
      </w:r>
      <w:r>
        <w:rPr>
          <w:spacing w:val="-2"/>
          <w:w w:val="105"/>
          <w:sz w:val="12"/>
        </w:rPr>
        <w:t xml:space="preserve"> </w:t>
      </w:r>
      <w:r>
        <w:rPr>
          <w:w w:val="105"/>
          <w:sz w:val="12"/>
        </w:rPr>
        <w:t>Racial,</w:t>
      </w:r>
      <w:r>
        <w:rPr>
          <w:spacing w:val="-2"/>
          <w:w w:val="105"/>
          <w:sz w:val="12"/>
        </w:rPr>
        <w:t xml:space="preserve"> </w:t>
      </w:r>
      <w:r>
        <w:rPr>
          <w:w w:val="105"/>
          <w:sz w:val="12"/>
        </w:rPr>
        <w:t>observación</w:t>
      </w:r>
      <w:r>
        <w:rPr>
          <w:spacing w:val="-2"/>
          <w:w w:val="105"/>
          <w:sz w:val="12"/>
        </w:rPr>
        <w:t xml:space="preserve"> </w:t>
      </w:r>
      <w:r>
        <w:rPr>
          <w:w w:val="105"/>
          <w:sz w:val="12"/>
        </w:rPr>
        <w:t>general</w:t>
      </w:r>
      <w:r>
        <w:rPr>
          <w:spacing w:val="-2"/>
          <w:w w:val="105"/>
          <w:sz w:val="12"/>
        </w:rPr>
        <w:t xml:space="preserve"> </w:t>
      </w:r>
      <w:r>
        <w:rPr>
          <w:w w:val="105"/>
          <w:sz w:val="12"/>
        </w:rPr>
        <w:t>núm.</w:t>
      </w:r>
      <w:r>
        <w:rPr>
          <w:spacing w:val="-2"/>
          <w:w w:val="105"/>
          <w:sz w:val="12"/>
        </w:rPr>
        <w:t xml:space="preserve"> </w:t>
      </w:r>
      <w:r>
        <w:rPr>
          <w:w w:val="105"/>
          <w:sz w:val="12"/>
        </w:rPr>
        <w:t>29</w:t>
      </w:r>
      <w:r>
        <w:rPr>
          <w:spacing w:val="-2"/>
          <w:w w:val="105"/>
          <w:sz w:val="12"/>
        </w:rPr>
        <w:t xml:space="preserve"> </w:t>
      </w:r>
      <w:r>
        <w:rPr>
          <w:w w:val="105"/>
          <w:sz w:val="12"/>
        </w:rPr>
        <w:t>(2002).</w:t>
      </w:r>
      <w:r>
        <w:rPr>
          <w:spacing w:val="-2"/>
          <w:w w:val="105"/>
          <w:sz w:val="12"/>
        </w:rPr>
        <w:t xml:space="preserve"> </w:t>
      </w:r>
      <w:r>
        <w:rPr>
          <w:w w:val="105"/>
          <w:sz w:val="12"/>
        </w:rPr>
        <w:t>El</w:t>
      </w:r>
      <w:r>
        <w:rPr>
          <w:spacing w:val="-2"/>
          <w:w w:val="105"/>
          <w:sz w:val="12"/>
        </w:rPr>
        <w:t xml:space="preserve"> </w:t>
      </w:r>
      <w:r>
        <w:rPr>
          <w:w w:val="105"/>
          <w:sz w:val="12"/>
        </w:rPr>
        <w:t>ACNUDH</w:t>
      </w:r>
      <w:r>
        <w:rPr>
          <w:spacing w:val="-2"/>
          <w:w w:val="105"/>
          <w:sz w:val="12"/>
        </w:rPr>
        <w:t xml:space="preserve"> </w:t>
      </w:r>
      <w:r>
        <w:rPr>
          <w:w w:val="105"/>
          <w:sz w:val="12"/>
        </w:rPr>
        <w:t>ha</w:t>
      </w:r>
      <w:r>
        <w:rPr>
          <w:spacing w:val="-2"/>
          <w:w w:val="105"/>
          <w:sz w:val="12"/>
        </w:rPr>
        <w:t xml:space="preserve"> </w:t>
      </w:r>
      <w:r>
        <w:rPr>
          <w:w w:val="105"/>
          <w:sz w:val="12"/>
        </w:rPr>
        <w:t>publicado</w:t>
      </w:r>
      <w:r>
        <w:rPr>
          <w:spacing w:val="-2"/>
          <w:w w:val="105"/>
          <w:sz w:val="12"/>
        </w:rPr>
        <w:t xml:space="preserve"> </w:t>
      </w:r>
      <w:r>
        <w:rPr>
          <w:w w:val="105"/>
          <w:sz w:val="12"/>
        </w:rPr>
        <w:t>un</w:t>
      </w:r>
      <w:r>
        <w:rPr>
          <w:spacing w:val="-2"/>
          <w:w w:val="105"/>
          <w:sz w:val="12"/>
        </w:rPr>
        <w:t xml:space="preserve"> </w:t>
      </w:r>
      <w:r>
        <w:rPr>
          <w:w w:val="105"/>
          <w:sz w:val="12"/>
        </w:rPr>
        <w:t>conjunto</w:t>
      </w:r>
      <w:r>
        <w:rPr>
          <w:spacing w:val="-2"/>
          <w:w w:val="105"/>
          <w:sz w:val="12"/>
        </w:rPr>
        <w:t xml:space="preserve"> </w:t>
      </w:r>
      <w:r>
        <w:rPr>
          <w:w w:val="105"/>
          <w:sz w:val="12"/>
        </w:rPr>
        <w:t>de</w:t>
      </w:r>
      <w:r>
        <w:rPr>
          <w:spacing w:val="-2"/>
          <w:w w:val="105"/>
          <w:sz w:val="12"/>
        </w:rPr>
        <w:t xml:space="preserve"> </w:t>
      </w:r>
      <w:r>
        <w:rPr>
          <w:w w:val="105"/>
          <w:sz w:val="12"/>
        </w:rPr>
        <w:t>herramientas</w:t>
      </w:r>
      <w:r>
        <w:rPr>
          <w:spacing w:val="-2"/>
          <w:w w:val="105"/>
          <w:sz w:val="12"/>
        </w:rPr>
        <w:t xml:space="preserve"> </w:t>
      </w:r>
      <w:r>
        <w:rPr>
          <w:w w:val="105"/>
          <w:sz w:val="12"/>
        </w:rPr>
        <w:t>para</w:t>
      </w:r>
      <w:r>
        <w:rPr>
          <w:spacing w:val="40"/>
          <w:w w:val="105"/>
          <w:sz w:val="12"/>
        </w:rPr>
        <w:t xml:space="preserve"> </w:t>
      </w:r>
      <w:r>
        <w:rPr>
          <w:w w:val="105"/>
          <w:sz w:val="12"/>
        </w:rPr>
        <w:t>abordar</w:t>
      </w:r>
      <w:r>
        <w:rPr>
          <w:spacing w:val="-7"/>
          <w:w w:val="105"/>
          <w:sz w:val="12"/>
        </w:rPr>
        <w:t xml:space="preserve"> </w:t>
      </w:r>
      <w:r>
        <w:rPr>
          <w:w w:val="105"/>
          <w:sz w:val="12"/>
        </w:rPr>
        <w:t>la</w:t>
      </w:r>
      <w:r>
        <w:rPr>
          <w:spacing w:val="-7"/>
          <w:w w:val="105"/>
          <w:sz w:val="12"/>
        </w:rPr>
        <w:t xml:space="preserve"> </w:t>
      </w:r>
      <w:r>
        <w:rPr>
          <w:w w:val="105"/>
          <w:sz w:val="12"/>
        </w:rPr>
        <w:t>discriminación</w:t>
      </w:r>
      <w:r>
        <w:rPr>
          <w:spacing w:val="-7"/>
          <w:w w:val="105"/>
          <w:sz w:val="12"/>
        </w:rPr>
        <w:t xml:space="preserve"> </w:t>
      </w:r>
      <w:r>
        <w:rPr>
          <w:w w:val="105"/>
          <w:sz w:val="12"/>
        </w:rPr>
        <w:t>basada</w:t>
      </w:r>
      <w:r>
        <w:rPr>
          <w:spacing w:val="-7"/>
          <w:w w:val="105"/>
          <w:sz w:val="12"/>
        </w:rPr>
        <w:t xml:space="preserve"> </w:t>
      </w:r>
      <w:r>
        <w:rPr>
          <w:w w:val="105"/>
          <w:sz w:val="12"/>
        </w:rPr>
        <w:t>en</w:t>
      </w:r>
      <w:r>
        <w:rPr>
          <w:spacing w:val="-7"/>
          <w:w w:val="105"/>
          <w:sz w:val="12"/>
        </w:rPr>
        <w:t xml:space="preserve"> </w:t>
      </w:r>
      <w:r>
        <w:rPr>
          <w:w w:val="105"/>
          <w:sz w:val="12"/>
        </w:rPr>
        <w:t>la</w:t>
      </w:r>
      <w:r>
        <w:rPr>
          <w:spacing w:val="-7"/>
          <w:w w:val="105"/>
          <w:sz w:val="12"/>
        </w:rPr>
        <w:t xml:space="preserve"> </w:t>
      </w:r>
      <w:r>
        <w:rPr>
          <w:w w:val="105"/>
          <w:sz w:val="12"/>
        </w:rPr>
        <w:t>ascendencia,</w:t>
      </w:r>
      <w:r>
        <w:rPr>
          <w:spacing w:val="-6"/>
          <w:w w:val="105"/>
          <w:sz w:val="12"/>
        </w:rPr>
        <w:t xml:space="preserve"> </w:t>
      </w:r>
      <w:r>
        <w:rPr>
          <w:w w:val="105"/>
          <w:sz w:val="12"/>
        </w:rPr>
        <w:t>que</w:t>
      </w:r>
      <w:r>
        <w:rPr>
          <w:spacing w:val="-7"/>
          <w:w w:val="105"/>
          <w:sz w:val="12"/>
        </w:rPr>
        <w:t xml:space="preserve"> </w:t>
      </w:r>
      <w:r>
        <w:rPr>
          <w:w w:val="105"/>
          <w:sz w:val="12"/>
        </w:rPr>
        <w:t>está</w:t>
      </w:r>
      <w:r>
        <w:rPr>
          <w:spacing w:val="-7"/>
          <w:w w:val="105"/>
          <w:sz w:val="12"/>
        </w:rPr>
        <w:t xml:space="preserve"> </w:t>
      </w:r>
      <w:r>
        <w:rPr>
          <w:w w:val="105"/>
          <w:sz w:val="12"/>
        </w:rPr>
        <w:t>disponible</w:t>
      </w:r>
      <w:r>
        <w:rPr>
          <w:spacing w:val="-7"/>
          <w:w w:val="105"/>
          <w:sz w:val="12"/>
        </w:rPr>
        <w:t xml:space="preserve"> </w:t>
      </w:r>
      <w:r>
        <w:rPr>
          <w:w w:val="105"/>
          <w:sz w:val="12"/>
        </w:rPr>
        <w:t>en</w:t>
      </w:r>
      <w:r>
        <w:rPr>
          <w:spacing w:val="-7"/>
          <w:w w:val="105"/>
          <w:sz w:val="12"/>
        </w:rPr>
        <w:t xml:space="preserve"> </w:t>
      </w:r>
      <w:hyperlink r:id="rId251">
        <w:r>
          <w:rPr>
            <w:color w:val="0075BF"/>
            <w:w w:val="105"/>
            <w:sz w:val="12"/>
          </w:rPr>
          <w:t>www.ohchr.org/Documents/Issues/Minorities/GuidanceToolDiscrimination.pdf.</w:t>
        </w:r>
      </w:hyperlink>
    </w:p>
    <w:p w14:paraId="5B09155C" w14:textId="77777777" w:rsidR="0014798C" w:rsidRDefault="0014798C">
      <w:pPr>
        <w:spacing w:line="312" w:lineRule="auto"/>
        <w:rPr>
          <w:sz w:val="12"/>
        </w:rPr>
        <w:sectPr w:rsidR="0014798C" w:rsidSect="00F265E4">
          <w:pgSz w:w="11900" w:h="16820"/>
          <w:pgMar w:top="340" w:right="0" w:bottom="280" w:left="200" w:header="121" w:footer="0" w:gutter="0"/>
          <w:cols w:space="720"/>
        </w:sectPr>
      </w:pPr>
    </w:p>
    <w:p w14:paraId="06855B58" w14:textId="77777777" w:rsidR="0014798C" w:rsidRDefault="004E1F0B">
      <w:pPr>
        <w:spacing w:before="19"/>
        <w:jc w:val="right"/>
        <w:rPr>
          <w:sz w:val="8"/>
        </w:rPr>
      </w:pPr>
      <w:r>
        <w:rPr>
          <w:spacing w:val="-5"/>
          <w:w w:val="105"/>
          <w:sz w:val="8"/>
        </w:rPr>
        <w:t>893</w:t>
      </w:r>
    </w:p>
    <w:p w14:paraId="450DE82E" w14:textId="77777777" w:rsidR="0014798C" w:rsidRDefault="0014798C">
      <w:pPr>
        <w:pStyle w:val="Textoindependiente"/>
        <w:rPr>
          <w:sz w:val="8"/>
        </w:rPr>
      </w:pPr>
    </w:p>
    <w:p w14:paraId="419102CE" w14:textId="77777777" w:rsidR="0014798C" w:rsidRDefault="0014798C">
      <w:pPr>
        <w:pStyle w:val="Textoindependiente"/>
        <w:rPr>
          <w:sz w:val="8"/>
        </w:rPr>
      </w:pPr>
    </w:p>
    <w:p w14:paraId="7325675C" w14:textId="77777777" w:rsidR="0014798C" w:rsidRDefault="0014798C">
      <w:pPr>
        <w:pStyle w:val="Textoindependiente"/>
        <w:spacing w:before="48"/>
        <w:rPr>
          <w:sz w:val="8"/>
        </w:rPr>
      </w:pPr>
    </w:p>
    <w:p w14:paraId="7CFB1C0B" w14:textId="77777777" w:rsidR="0014798C" w:rsidRDefault="004E1F0B">
      <w:pPr>
        <w:jc w:val="right"/>
        <w:rPr>
          <w:sz w:val="8"/>
        </w:rPr>
      </w:pPr>
      <w:r>
        <w:rPr>
          <w:spacing w:val="-5"/>
          <w:w w:val="105"/>
          <w:sz w:val="8"/>
        </w:rPr>
        <w:t>894</w:t>
      </w:r>
    </w:p>
    <w:p w14:paraId="486FDA4A" w14:textId="77777777" w:rsidR="0014798C" w:rsidRDefault="004E1F0B">
      <w:pPr>
        <w:spacing w:before="58" w:line="312" w:lineRule="auto"/>
        <w:ind w:left="77" w:right="1494"/>
        <w:rPr>
          <w:sz w:val="12"/>
        </w:rPr>
      </w:pPr>
      <w:r>
        <w:br w:type="column"/>
      </w:r>
      <w:r>
        <w:rPr>
          <w:w w:val="105"/>
          <w:sz w:val="12"/>
        </w:rPr>
        <w:t>Véase,</w:t>
      </w:r>
      <w:r>
        <w:rPr>
          <w:spacing w:val="-3"/>
          <w:w w:val="105"/>
          <w:sz w:val="12"/>
        </w:rPr>
        <w:t xml:space="preserve"> </w:t>
      </w:r>
      <w:r>
        <w:rPr>
          <w:w w:val="105"/>
          <w:sz w:val="12"/>
        </w:rPr>
        <w:t>por</w:t>
      </w:r>
      <w:r>
        <w:rPr>
          <w:spacing w:val="-3"/>
          <w:w w:val="105"/>
          <w:sz w:val="12"/>
        </w:rPr>
        <w:t xml:space="preserve"> </w:t>
      </w:r>
      <w:r>
        <w:rPr>
          <w:w w:val="105"/>
          <w:sz w:val="12"/>
        </w:rPr>
        <w:t>ejemplo,</w:t>
      </w:r>
      <w:r>
        <w:rPr>
          <w:spacing w:val="-3"/>
          <w:w w:val="105"/>
          <w:sz w:val="12"/>
        </w:rPr>
        <w:t xml:space="preserve"> </w:t>
      </w:r>
      <w:r>
        <w:rPr>
          <w:w w:val="105"/>
          <w:sz w:val="12"/>
        </w:rPr>
        <w:t>A/74/190</w:t>
      </w:r>
      <w:r>
        <w:rPr>
          <w:spacing w:val="-3"/>
          <w:w w:val="105"/>
          <w:sz w:val="12"/>
        </w:rPr>
        <w:t xml:space="preserve"> </w:t>
      </w:r>
      <w:r>
        <w:rPr>
          <w:w w:val="105"/>
          <w:sz w:val="12"/>
        </w:rPr>
        <w:t>y</w:t>
      </w:r>
      <w:r>
        <w:rPr>
          <w:spacing w:val="-3"/>
          <w:w w:val="105"/>
          <w:sz w:val="12"/>
        </w:rPr>
        <w:t xml:space="preserve"> </w:t>
      </w:r>
      <w:r>
        <w:rPr>
          <w:w w:val="105"/>
          <w:sz w:val="12"/>
        </w:rPr>
        <w:t>Corr.1,</w:t>
      </w:r>
      <w:r>
        <w:rPr>
          <w:spacing w:val="-3"/>
          <w:w w:val="105"/>
          <w:sz w:val="12"/>
        </w:rPr>
        <w:t xml:space="preserve"> </w:t>
      </w:r>
      <w:r>
        <w:rPr>
          <w:w w:val="105"/>
          <w:sz w:val="12"/>
        </w:rPr>
        <w:t>párr.</w:t>
      </w:r>
      <w:r>
        <w:rPr>
          <w:spacing w:val="-3"/>
          <w:w w:val="105"/>
          <w:sz w:val="12"/>
        </w:rPr>
        <w:t xml:space="preserve"> </w:t>
      </w:r>
      <w:r>
        <w:rPr>
          <w:w w:val="105"/>
          <w:sz w:val="12"/>
        </w:rPr>
        <w:t>5.</w:t>
      </w:r>
      <w:r>
        <w:rPr>
          <w:spacing w:val="-3"/>
          <w:w w:val="105"/>
          <w:sz w:val="12"/>
        </w:rPr>
        <w:t xml:space="preserve"> </w:t>
      </w:r>
      <w:r>
        <w:rPr>
          <w:w w:val="105"/>
          <w:sz w:val="12"/>
        </w:rPr>
        <w:t>La</w:t>
      </w:r>
      <w:r>
        <w:rPr>
          <w:spacing w:val="-3"/>
          <w:w w:val="105"/>
          <w:sz w:val="12"/>
        </w:rPr>
        <w:t xml:space="preserve"> </w:t>
      </w:r>
      <w:r>
        <w:rPr>
          <w:w w:val="105"/>
          <w:sz w:val="12"/>
        </w:rPr>
        <w:t>página</w:t>
      </w:r>
      <w:r>
        <w:rPr>
          <w:spacing w:val="-3"/>
          <w:w w:val="105"/>
          <w:sz w:val="12"/>
        </w:rPr>
        <w:t xml:space="preserve"> </w:t>
      </w:r>
      <w:r>
        <w:rPr>
          <w:w w:val="105"/>
          <w:sz w:val="12"/>
        </w:rPr>
        <w:t>web</w:t>
      </w:r>
      <w:r>
        <w:rPr>
          <w:spacing w:val="-3"/>
          <w:w w:val="105"/>
          <w:sz w:val="12"/>
        </w:rPr>
        <w:t xml:space="preserve"> </w:t>
      </w:r>
      <w:r>
        <w:rPr>
          <w:w w:val="105"/>
          <w:sz w:val="12"/>
        </w:rPr>
        <w:t>del</w:t>
      </w:r>
      <w:r>
        <w:rPr>
          <w:spacing w:val="-3"/>
          <w:w w:val="105"/>
          <w:sz w:val="12"/>
        </w:rPr>
        <w:t xml:space="preserve"> </w:t>
      </w:r>
      <w:r>
        <w:rPr>
          <w:w w:val="105"/>
          <w:sz w:val="12"/>
        </w:rPr>
        <w:t>Experto</w:t>
      </w:r>
      <w:r>
        <w:rPr>
          <w:spacing w:val="-3"/>
          <w:w w:val="105"/>
          <w:sz w:val="12"/>
        </w:rPr>
        <w:t xml:space="preserve"> </w:t>
      </w:r>
      <w:r>
        <w:rPr>
          <w:w w:val="105"/>
          <w:sz w:val="12"/>
        </w:rPr>
        <w:t>Independiente</w:t>
      </w:r>
      <w:r>
        <w:rPr>
          <w:spacing w:val="-3"/>
          <w:w w:val="105"/>
          <w:sz w:val="12"/>
        </w:rPr>
        <w:t xml:space="preserve"> </w:t>
      </w:r>
      <w:r>
        <w:rPr>
          <w:w w:val="105"/>
          <w:sz w:val="12"/>
        </w:rPr>
        <w:t>sobre</w:t>
      </w:r>
      <w:r>
        <w:rPr>
          <w:spacing w:val="-3"/>
          <w:w w:val="105"/>
          <w:sz w:val="12"/>
        </w:rPr>
        <w:t xml:space="preserve"> </w:t>
      </w:r>
      <w:r>
        <w:rPr>
          <w:w w:val="105"/>
          <w:sz w:val="12"/>
        </w:rPr>
        <w:t>los</w:t>
      </w:r>
      <w:r>
        <w:rPr>
          <w:spacing w:val="-3"/>
          <w:w w:val="105"/>
          <w:sz w:val="12"/>
        </w:rPr>
        <w:t xml:space="preserve"> </w:t>
      </w:r>
      <w:r>
        <w:rPr>
          <w:w w:val="105"/>
          <w:sz w:val="12"/>
        </w:rPr>
        <w:t>derechos</w:t>
      </w:r>
      <w:r>
        <w:rPr>
          <w:spacing w:val="-3"/>
          <w:w w:val="105"/>
          <w:sz w:val="12"/>
        </w:rPr>
        <w:t xml:space="preserve"> </w:t>
      </w:r>
      <w:r>
        <w:rPr>
          <w:w w:val="105"/>
          <w:sz w:val="12"/>
        </w:rPr>
        <w:t>de</w:t>
      </w:r>
      <w:r>
        <w:rPr>
          <w:spacing w:val="-3"/>
          <w:w w:val="105"/>
          <w:sz w:val="12"/>
        </w:rPr>
        <w:t xml:space="preserve"> </w:t>
      </w:r>
      <w:r>
        <w:rPr>
          <w:w w:val="105"/>
          <w:sz w:val="12"/>
        </w:rPr>
        <w:t>las</w:t>
      </w:r>
      <w:r>
        <w:rPr>
          <w:spacing w:val="-3"/>
          <w:w w:val="105"/>
          <w:sz w:val="12"/>
        </w:rPr>
        <w:t xml:space="preserve"> </w:t>
      </w:r>
      <w:r>
        <w:rPr>
          <w:w w:val="105"/>
          <w:sz w:val="12"/>
        </w:rPr>
        <w:t>personas</w:t>
      </w:r>
      <w:r>
        <w:rPr>
          <w:spacing w:val="-3"/>
          <w:w w:val="105"/>
          <w:sz w:val="12"/>
        </w:rPr>
        <w:t xml:space="preserve"> </w:t>
      </w:r>
      <w:r>
        <w:rPr>
          <w:w w:val="105"/>
          <w:sz w:val="12"/>
        </w:rPr>
        <w:t>con</w:t>
      </w:r>
      <w:r>
        <w:rPr>
          <w:spacing w:val="-3"/>
          <w:w w:val="105"/>
          <w:sz w:val="12"/>
        </w:rPr>
        <w:t xml:space="preserve"> </w:t>
      </w:r>
      <w:r>
        <w:rPr>
          <w:w w:val="105"/>
          <w:sz w:val="12"/>
        </w:rPr>
        <w:t>albinismo</w:t>
      </w:r>
      <w:r>
        <w:rPr>
          <w:spacing w:val="-3"/>
          <w:w w:val="105"/>
          <w:sz w:val="12"/>
        </w:rPr>
        <w:t xml:space="preserve"> </w:t>
      </w:r>
      <w:r>
        <w:rPr>
          <w:w w:val="105"/>
          <w:sz w:val="12"/>
        </w:rPr>
        <w:t>está</w:t>
      </w:r>
      <w:r>
        <w:rPr>
          <w:spacing w:val="-3"/>
          <w:w w:val="105"/>
          <w:sz w:val="12"/>
        </w:rPr>
        <w:t xml:space="preserve"> </w:t>
      </w:r>
      <w:r>
        <w:rPr>
          <w:w w:val="105"/>
          <w:sz w:val="12"/>
        </w:rPr>
        <w:t>disponible</w:t>
      </w:r>
      <w:r>
        <w:rPr>
          <w:spacing w:val="-3"/>
          <w:w w:val="105"/>
          <w:sz w:val="12"/>
        </w:rPr>
        <w:t xml:space="preserve"> </w:t>
      </w:r>
      <w:r>
        <w:rPr>
          <w:w w:val="105"/>
          <w:sz w:val="12"/>
        </w:rPr>
        <w:t>en</w:t>
      </w:r>
      <w:r>
        <w:rPr>
          <w:spacing w:val="40"/>
          <w:w w:val="105"/>
          <w:sz w:val="12"/>
        </w:rPr>
        <w:t xml:space="preserve"> </w:t>
      </w:r>
      <w:hyperlink r:id="rId252">
        <w:r>
          <w:rPr>
            <w:color w:val="0075BF"/>
            <w:spacing w:val="-2"/>
            <w:w w:val="105"/>
            <w:sz w:val="12"/>
          </w:rPr>
          <w:t>www.ohchr.org/EN/Issues/Albinism/Pages/IEAlbinism.aspx.</w:t>
        </w:r>
      </w:hyperlink>
    </w:p>
    <w:p w14:paraId="06163250" w14:textId="77777777" w:rsidR="0014798C" w:rsidRDefault="004E1F0B">
      <w:pPr>
        <w:spacing w:before="57" w:line="312" w:lineRule="auto"/>
        <w:ind w:left="75" w:right="1704" w:firstLine="2"/>
        <w:rPr>
          <w:sz w:val="12"/>
        </w:rPr>
      </w:pPr>
      <w:r>
        <w:rPr>
          <w:w w:val="105"/>
          <w:sz w:val="12"/>
        </w:rPr>
        <w:t>Véase,</w:t>
      </w:r>
      <w:r>
        <w:rPr>
          <w:spacing w:val="-3"/>
          <w:w w:val="105"/>
          <w:sz w:val="12"/>
        </w:rPr>
        <w:t xml:space="preserve"> </w:t>
      </w:r>
      <w:r>
        <w:rPr>
          <w:w w:val="105"/>
          <w:sz w:val="12"/>
        </w:rPr>
        <w:t>por</w:t>
      </w:r>
      <w:r>
        <w:rPr>
          <w:spacing w:val="-3"/>
          <w:w w:val="105"/>
          <w:sz w:val="12"/>
        </w:rPr>
        <w:t xml:space="preserve"> </w:t>
      </w:r>
      <w:r>
        <w:rPr>
          <w:w w:val="105"/>
          <w:sz w:val="12"/>
        </w:rPr>
        <w:t>ejemplo,</w:t>
      </w:r>
      <w:r>
        <w:rPr>
          <w:spacing w:val="-3"/>
          <w:w w:val="105"/>
          <w:sz w:val="12"/>
        </w:rPr>
        <w:t xml:space="preserve"> </w:t>
      </w:r>
      <w:r>
        <w:rPr>
          <w:w w:val="105"/>
          <w:sz w:val="12"/>
        </w:rPr>
        <w:t>Comité</w:t>
      </w:r>
      <w:r>
        <w:rPr>
          <w:spacing w:val="-3"/>
          <w:w w:val="105"/>
          <w:sz w:val="12"/>
        </w:rPr>
        <w:t xml:space="preserve"> </w:t>
      </w:r>
      <w:r>
        <w:rPr>
          <w:w w:val="105"/>
          <w:sz w:val="12"/>
        </w:rPr>
        <w:t>de</w:t>
      </w:r>
      <w:r>
        <w:rPr>
          <w:spacing w:val="-3"/>
          <w:w w:val="105"/>
          <w:sz w:val="12"/>
        </w:rPr>
        <w:t xml:space="preserve"> </w:t>
      </w:r>
      <w:r>
        <w:rPr>
          <w:w w:val="105"/>
          <w:sz w:val="12"/>
        </w:rPr>
        <w:t>Derechos</w:t>
      </w:r>
      <w:r>
        <w:rPr>
          <w:spacing w:val="-3"/>
          <w:w w:val="105"/>
          <w:sz w:val="12"/>
        </w:rPr>
        <w:t xml:space="preserve"> </w:t>
      </w:r>
      <w:r>
        <w:rPr>
          <w:w w:val="105"/>
          <w:sz w:val="12"/>
        </w:rPr>
        <w:t>Humanos,</w:t>
      </w:r>
      <w:r>
        <w:rPr>
          <w:spacing w:val="-3"/>
          <w:w w:val="105"/>
          <w:sz w:val="12"/>
        </w:rPr>
        <w:t xml:space="preserve"> </w:t>
      </w:r>
      <w:r>
        <w:rPr>
          <w:w w:val="105"/>
          <w:sz w:val="12"/>
        </w:rPr>
        <w:t>observación</w:t>
      </w:r>
      <w:r>
        <w:rPr>
          <w:spacing w:val="-3"/>
          <w:w w:val="105"/>
          <w:sz w:val="12"/>
        </w:rPr>
        <w:t xml:space="preserve"> </w:t>
      </w:r>
      <w:r>
        <w:rPr>
          <w:w w:val="105"/>
          <w:sz w:val="12"/>
        </w:rPr>
        <w:t>general</w:t>
      </w:r>
      <w:r>
        <w:rPr>
          <w:spacing w:val="-3"/>
          <w:w w:val="105"/>
          <w:sz w:val="12"/>
        </w:rPr>
        <w:t xml:space="preserve"> </w:t>
      </w:r>
      <w:r>
        <w:rPr>
          <w:w w:val="105"/>
          <w:sz w:val="12"/>
        </w:rPr>
        <w:t>núm.</w:t>
      </w:r>
      <w:r>
        <w:rPr>
          <w:spacing w:val="-3"/>
          <w:w w:val="105"/>
          <w:sz w:val="12"/>
        </w:rPr>
        <w:t xml:space="preserve"> </w:t>
      </w:r>
      <w:r>
        <w:rPr>
          <w:w w:val="105"/>
          <w:sz w:val="12"/>
        </w:rPr>
        <w:t>15</w:t>
      </w:r>
      <w:r>
        <w:rPr>
          <w:spacing w:val="-3"/>
          <w:w w:val="105"/>
          <w:sz w:val="12"/>
        </w:rPr>
        <w:t xml:space="preserve"> </w:t>
      </w:r>
      <w:r>
        <w:rPr>
          <w:w w:val="105"/>
          <w:sz w:val="12"/>
        </w:rPr>
        <w:t>(1986),</w:t>
      </w:r>
      <w:r>
        <w:rPr>
          <w:spacing w:val="-3"/>
          <w:w w:val="105"/>
          <w:sz w:val="12"/>
        </w:rPr>
        <w:t xml:space="preserve"> </w:t>
      </w:r>
      <w:r>
        <w:rPr>
          <w:w w:val="105"/>
          <w:sz w:val="12"/>
        </w:rPr>
        <w:t>párr.</w:t>
      </w:r>
      <w:r>
        <w:rPr>
          <w:spacing w:val="-3"/>
          <w:w w:val="105"/>
          <w:sz w:val="12"/>
        </w:rPr>
        <w:t xml:space="preserve"> </w:t>
      </w:r>
      <w:r>
        <w:rPr>
          <w:w w:val="105"/>
          <w:sz w:val="12"/>
        </w:rPr>
        <w:t>2.</w:t>
      </w:r>
      <w:r>
        <w:rPr>
          <w:spacing w:val="-3"/>
          <w:w w:val="105"/>
          <w:sz w:val="12"/>
        </w:rPr>
        <w:t xml:space="preserve"> </w:t>
      </w:r>
      <w:r>
        <w:rPr>
          <w:w w:val="105"/>
          <w:sz w:val="12"/>
        </w:rPr>
        <w:t>Véase</w:t>
      </w:r>
      <w:r>
        <w:rPr>
          <w:spacing w:val="-3"/>
          <w:w w:val="105"/>
          <w:sz w:val="12"/>
        </w:rPr>
        <w:t xml:space="preserve"> </w:t>
      </w:r>
      <w:r>
        <w:rPr>
          <w:w w:val="105"/>
          <w:sz w:val="12"/>
        </w:rPr>
        <w:t>también</w:t>
      </w:r>
      <w:r>
        <w:rPr>
          <w:spacing w:val="-3"/>
          <w:w w:val="105"/>
          <w:sz w:val="12"/>
        </w:rPr>
        <w:t xml:space="preserve"> </w:t>
      </w:r>
      <w:r>
        <w:rPr>
          <w:w w:val="105"/>
          <w:sz w:val="12"/>
        </w:rPr>
        <w:t>el</w:t>
      </w:r>
      <w:r>
        <w:rPr>
          <w:spacing w:val="-3"/>
          <w:w w:val="105"/>
          <w:sz w:val="12"/>
        </w:rPr>
        <w:t xml:space="preserve"> </w:t>
      </w:r>
      <w:r>
        <w:rPr>
          <w:w w:val="105"/>
          <w:sz w:val="12"/>
        </w:rPr>
        <w:t>análisis</w:t>
      </w:r>
      <w:r>
        <w:rPr>
          <w:spacing w:val="-3"/>
          <w:w w:val="105"/>
          <w:sz w:val="12"/>
        </w:rPr>
        <w:t xml:space="preserve"> </w:t>
      </w:r>
      <w:r>
        <w:rPr>
          <w:w w:val="105"/>
          <w:sz w:val="12"/>
        </w:rPr>
        <w:t>de</w:t>
      </w:r>
      <w:r>
        <w:rPr>
          <w:spacing w:val="-3"/>
          <w:w w:val="105"/>
          <w:sz w:val="12"/>
        </w:rPr>
        <w:t xml:space="preserve"> </w:t>
      </w:r>
      <w:r>
        <w:rPr>
          <w:w w:val="105"/>
          <w:sz w:val="12"/>
        </w:rPr>
        <w:t>la</w:t>
      </w:r>
      <w:r>
        <w:rPr>
          <w:spacing w:val="-3"/>
          <w:w w:val="105"/>
          <w:sz w:val="12"/>
        </w:rPr>
        <w:t xml:space="preserve"> </w:t>
      </w:r>
      <w:r>
        <w:rPr>
          <w:w w:val="105"/>
          <w:sz w:val="12"/>
        </w:rPr>
        <w:t>discriminación</w:t>
      </w:r>
      <w:r>
        <w:rPr>
          <w:spacing w:val="-3"/>
          <w:w w:val="105"/>
          <w:sz w:val="12"/>
        </w:rPr>
        <w:t xml:space="preserve"> </w:t>
      </w:r>
      <w:r>
        <w:rPr>
          <w:w w:val="105"/>
          <w:sz w:val="12"/>
        </w:rPr>
        <w:t>contra</w:t>
      </w:r>
      <w:r>
        <w:rPr>
          <w:spacing w:val="-3"/>
          <w:w w:val="105"/>
          <w:sz w:val="12"/>
        </w:rPr>
        <w:t xml:space="preserve"> </w:t>
      </w:r>
      <w:r>
        <w:rPr>
          <w:w w:val="105"/>
          <w:sz w:val="12"/>
        </w:rPr>
        <w:t>los</w:t>
      </w:r>
      <w:r>
        <w:rPr>
          <w:spacing w:val="40"/>
          <w:w w:val="105"/>
          <w:sz w:val="12"/>
        </w:rPr>
        <w:t xml:space="preserve"> </w:t>
      </w:r>
      <w:r>
        <w:rPr>
          <w:w w:val="105"/>
          <w:sz w:val="12"/>
        </w:rPr>
        <w:t>no ciudadanos supra, en la sección IA1(a) de la segunda parte de la presente guía.</w:t>
      </w:r>
    </w:p>
    <w:p w14:paraId="1C94C9FB" w14:textId="77777777" w:rsidR="0014798C" w:rsidRDefault="0014798C">
      <w:pPr>
        <w:spacing w:line="312" w:lineRule="auto"/>
        <w:rPr>
          <w:sz w:val="12"/>
        </w:rPr>
        <w:sectPr w:rsidR="0014798C" w:rsidSect="00F265E4">
          <w:type w:val="continuous"/>
          <w:pgSz w:w="11900" w:h="16820"/>
          <w:pgMar w:top="40" w:right="0" w:bottom="280" w:left="200" w:header="121" w:footer="0" w:gutter="0"/>
          <w:cols w:num="2" w:space="720" w:equalWidth="0">
            <w:col w:w="1252" w:space="40"/>
            <w:col w:w="10408"/>
          </w:cols>
        </w:sectPr>
      </w:pPr>
    </w:p>
    <w:p w14:paraId="13156E64" w14:textId="77777777" w:rsidR="0014798C" w:rsidRDefault="004E1F0B">
      <w:pPr>
        <w:spacing w:before="74"/>
        <w:ind w:left="1110"/>
        <w:rPr>
          <w:sz w:val="11"/>
        </w:rPr>
      </w:pPr>
      <w:r>
        <w:rPr>
          <w:sz w:val="11"/>
        </w:rPr>
        <w:t>895</w:t>
      </w:r>
      <w:r>
        <w:rPr>
          <w:spacing w:val="2"/>
          <w:sz w:val="11"/>
        </w:rPr>
        <w:t xml:space="preserve"> </w:t>
      </w:r>
      <w:r>
        <w:rPr>
          <w:sz w:val="11"/>
        </w:rPr>
        <w:t>Comité</w:t>
      </w:r>
      <w:r>
        <w:rPr>
          <w:spacing w:val="2"/>
          <w:sz w:val="11"/>
        </w:rPr>
        <w:t xml:space="preserve"> </w:t>
      </w:r>
      <w:r>
        <w:rPr>
          <w:sz w:val="11"/>
        </w:rPr>
        <w:t>de</w:t>
      </w:r>
      <w:r>
        <w:rPr>
          <w:spacing w:val="2"/>
          <w:sz w:val="11"/>
        </w:rPr>
        <w:t xml:space="preserve"> </w:t>
      </w:r>
      <w:r>
        <w:rPr>
          <w:sz w:val="11"/>
        </w:rPr>
        <w:t>Derechos</w:t>
      </w:r>
      <w:r>
        <w:rPr>
          <w:spacing w:val="3"/>
          <w:sz w:val="11"/>
        </w:rPr>
        <w:t xml:space="preserve"> </w:t>
      </w:r>
      <w:r>
        <w:rPr>
          <w:sz w:val="11"/>
        </w:rPr>
        <w:t>Humanos,</w:t>
      </w:r>
      <w:r>
        <w:rPr>
          <w:spacing w:val="3"/>
          <w:sz w:val="11"/>
        </w:rPr>
        <w:t xml:space="preserve"> </w:t>
      </w:r>
      <w:r>
        <w:rPr>
          <w:sz w:val="11"/>
        </w:rPr>
        <w:t>observación</w:t>
      </w:r>
      <w:r>
        <w:rPr>
          <w:spacing w:val="2"/>
          <w:sz w:val="11"/>
        </w:rPr>
        <w:t xml:space="preserve"> </w:t>
      </w:r>
      <w:r>
        <w:rPr>
          <w:sz w:val="11"/>
        </w:rPr>
        <w:t>general</w:t>
      </w:r>
      <w:r>
        <w:rPr>
          <w:spacing w:val="3"/>
          <w:sz w:val="11"/>
        </w:rPr>
        <w:t xml:space="preserve"> </w:t>
      </w:r>
      <w:r>
        <w:rPr>
          <w:sz w:val="11"/>
        </w:rPr>
        <w:t>núm.</w:t>
      </w:r>
      <w:r>
        <w:rPr>
          <w:spacing w:val="2"/>
          <w:sz w:val="11"/>
        </w:rPr>
        <w:t xml:space="preserve"> </w:t>
      </w:r>
      <w:r>
        <w:rPr>
          <w:sz w:val="11"/>
        </w:rPr>
        <w:t>23</w:t>
      </w:r>
      <w:r>
        <w:rPr>
          <w:spacing w:val="2"/>
          <w:sz w:val="11"/>
        </w:rPr>
        <w:t xml:space="preserve"> </w:t>
      </w:r>
      <w:r>
        <w:rPr>
          <w:sz w:val="11"/>
        </w:rPr>
        <w:t>(1994),</w:t>
      </w:r>
      <w:r>
        <w:rPr>
          <w:spacing w:val="4"/>
          <w:sz w:val="11"/>
        </w:rPr>
        <w:t xml:space="preserve"> </w:t>
      </w:r>
      <w:r>
        <w:rPr>
          <w:sz w:val="11"/>
        </w:rPr>
        <w:t>párr.</w:t>
      </w:r>
      <w:r>
        <w:rPr>
          <w:spacing w:val="2"/>
          <w:sz w:val="11"/>
        </w:rPr>
        <w:t xml:space="preserve"> </w:t>
      </w:r>
      <w:r>
        <w:rPr>
          <w:spacing w:val="-4"/>
          <w:sz w:val="11"/>
        </w:rPr>
        <w:t>5.2.</w:t>
      </w:r>
    </w:p>
    <w:p w14:paraId="38389B64" w14:textId="77777777" w:rsidR="0014798C" w:rsidRDefault="0014798C">
      <w:pPr>
        <w:pStyle w:val="Textoindependiente"/>
      </w:pPr>
    </w:p>
    <w:p w14:paraId="6EAE137B" w14:textId="77777777" w:rsidR="0014798C" w:rsidRDefault="0014798C">
      <w:pPr>
        <w:pStyle w:val="Textoindependiente"/>
      </w:pPr>
    </w:p>
    <w:p w14:paraId="272E52D1" w14:textId="77777777" w:rsidR="0014798C" w:rsidRDefault="0014798C">
      <w:pPr>
        <w:pStyle w:val="Textoindependiente"/>
        <w:spacing w:before="77"/>
      </w:pPr>
    </w:p>
    <w:p w14:paraId="372BDC97" w14:textId="77777777" w:rsidR="0014798C" w:rsidRDefault="004E1F0B">
      <w:pPr>
        <w:pStyle w:val="Textoindependiente"/>
        <w:spacing w:before="1"/>
        <w:ind w:right="719"/>
        <w:jc w:val="right"/>
      </w:pPr>
      <w:r>
        <w:rPr>
          <w:spacing w:val="-5"/>
          <w:w w:val="105"/>
        </w:rPr>
        <w:t>131</w:t>
      </w:r>
    </w:p>
    <w:p w14:paraId="28BA5D55" w14:textId="77777777" w:rsidR="0014798C" w:rsidRDefault="0014798C">
      <w:pPr>
        <w:jc w:val="right"/>
        <w:sectPr w:rsidR="0014798C" w:rsidSect="00F265E4">
          <w:type w:val="continuous"/>
          <w:pgSz w:w="11900" w:h="16820"/>
          <w:pgMar w:top="40" w:right="0" w:bottom="280" w:left="200" w:header="121" w:footer="0" w:gutter="0"/>
          <w:cols w:space="720"/>
        </w:sectPr>
      </w:pPr>
    </w:p>
    <w:p w14:paraId="109B3C81" w14:textId="77777777" w:rsidR="0014798C" w:rsidRDefault="0014798C">
      <w:pPr>
        <w:pStyle w:val="Textoindependiente"/>
        <w:spacing w:before="90"/>
        <w:rPr>
          <w:sz w:val="12"/>
        </w:rPr>
      </w:pPr>
    </w:p>
    <w:p w14:paraId="2E6CE44D" w14:textId="77777777" w:rsidR="0014798C" w:rsidRDefault="004E1F0B">
      <w:pPr>
        <w:ind w:left="1111"/>
        <w:rPr>
          <w:sz w:val="12"/>
        </w:rPr>
      </w:pPr>
      <w:r>
        <w:rPr>
          <w:color w:val="803108"/>
          <w:sz w:val="12"/>
        </w:rPr>
        <w:t>PROTECCIÓN</w:t>
      </w:r>
      <w:r>
        <w:rPr>
          <w:color w:val="803108"/>
          <w:spacing w:val="3"/>
          <w:sz w:val="12"/>
        </w:rPr>
        <w:t xml:space="preserve"> </w:t>
      </w:r>
      <w:r>
        <w:rPr>
          <w:color w:val="803108"/>
          <w:sz w:val="12"/>
        </w:rPr>
        <w:t>DE</w:t>
      </w:r>
      <w:r>
        <w:rPr>
          <w:color w:val="803108"/>
          <w:spacing w:val="3"/>
          <w:sz w:val="12"/>
        </w:rPr>
        <w:t xml:space="preserve"> </w:t>
      </w:r>
      <w:r>
        <w:rPr>
          <w:color w:val="803108"/>
          <w:sz w:val="12"/>
        </w:rPr>
        <w:t>LOS</w:t>
      </w:r>
      <w:r>
        <w:rPr>
          <w:color w:val="803108"/>
          <w:spacing w:val="3"/>
          <w:sz w:val="12"/>
        </w:rPr>
        <w:t xml:space="preserve"> </w:t>
      </w:r>
      <w:r>
        <w:rPr>
          <w:color w:val="803108"/>
          <w:sz w:val="12"/>
        </w:rPr>
        <w:t>DERECHOS</w:t>
      </w:r>
      <w:r>
        <w:rPr>
          <w:color w:val="803108"/>
          <w:spacing w:val="4"/>
          <w:sz w:val="12"/>
        </w:rPr>
        <w:t xml:space="preserve"> </w:t>
      </w:r>
      <w:r>
        <w:rPr>
          <w:color w:val="803108"/>
          <w:sz w:val="12"/>
        </w:rPr>
        <w:t>DE</w:t>
      </w:r>
      <w:r>
        <w:rPr>
          <w:color w:val="803108"/>
          <w:spacing w:val="3"/>
          <w:sz w:val="12"/>
        </w:rPr>
        <w:t xml:space="preserve"> </w:t>
      </w:r>
      <w:r>
        <w:rPr>
          <w:color w:val="803108"/>
          <w:sz w:val="12"/>
        </w:rPr>
        <w:t>LAS</w:t>
      </w:r>
      <w:r>
        <w:rPr>
          <w:color w:val="803108"/>
          <w:spacing w:val="3"/>
          <w:sz w:val="12"/>
        </w:rPr>
        <w:t xml:space="preserve"> </w:t>
      </w:r>
      <w:r>
        <w:rPr>
          <w:color w:val="803108"/>
          <w:sz w:val="12"/>
        </w:rPr>
        <w:t>MINORÍAS:</w:t>
      </w:r>
      <w:r>
        <w:rPr>
          <w:color w:val="803108"/>
          <w:spacing w:val="3"/>
          <w:sz w:val="12"/>
        </w:rPr>
        <w:t xml:space="preserve"> </w:t>
      </w:r>
      <w:r>
        <w:rPr>
          <w:color w:val="803108"/>
          <w:sz w:val="12"/>
        </w:rPr>
        <w:t>una</w:t>
      </w:r>
      <w:r>
        <w:rPr>
          <w:color w:val="803108"/>
          <w:spacing w:val="3"/>
          <w:sz w:val="12"/>
        </w:rPr>
        <w:t xml:space="preserve"> </w:t>
      </w:r>
      <w:r>
        <w:rPr>
          <w:color w:val="803108"/>
          <w:sz w:val="12"/>
        </w:rPr>
        <w:t>guía</w:t>
      </w:r>
      <w:r>
        <w:rPr>
          <w:color w:val="803108"/>
          <w:spacing w:val="4"/>
          <w:sz w:val="12"/>
        </w:rPr>
        <w:t xml:space="preserve"> </w:t>
      </w:r>
      <w:r>
        <w:rPr>
          <w:color w:val="803108"/>
          <w:sz w:val="12"/>
        </w:rPr>
        <w:t>práctica</w:t>
      </w:r>
      <w:r>
        <w:rPr>
          <w:color w:val="803108"/>
          <w:spacing w:val="3"/>
          <w:sz w:val="12"/>
        </w:rPr>
        <w:t xml:space="preserve"> </w:t>
      </w:r>
      <w:r>
        <w:rPr>
          <w:color w:val="803108"/>
          <w:sz w:val="12"/>
        </w:rPr>
        <w:t>para</w:t>
      </w:r>
      <w:r>
        <w:rPr>
          <w:color w:val="803108"/>
          <w:spacing w:val="3"/>
          <w:sz w:val="12"/>
        </w:rPr>
        <w:t xml:space="preserve"> </w:t>
      </w:r>
      <w:r>
        <w:rPr>
          <w:color w:val="803108"/>
          <w:sz w:val="12"/>
        </w:rPr>
        <w:t>desarrollar</w:t>
      </w:r>
      <w:r>
        <w:rPr>
          <w:color w:val="803108"/>
          <w:spacing w:val="3"/>
          <w:sz w:val="12"/>
        </w:rPr>
        <w:t xml:space="preserve"> </w:t>
      </w:r>
      <w:r>
        <w:rPr>
          <w:color w:val="803108"/>
          <w:sz w:val="12"/>
        </w:rPr>
        <w:t>una</w:t>
      </w:r>
      <w:r>
        <w:rPr>
          <w:color w:val="803108"/>
          <w:spacing w:val="3"/>
          <w:sz w:val="12"/>
        </w:rPr>
        <w:t xml:space="preserve"> </w:t>
      </w:r>
      <w:r>
        <w:rPr>
          <w:color w:val="803108"/>
          <w:sz w:val="12"/>
        </w:rPr>
        <w:t>legislación</w:t>
      </w:r>
      <w:r>
        <w:rPr>
          <w:color w:val="803108"/>
          <w:spacing w:val="3"/>
          <w:sz w:val="12"/>
        </w:rPr>
        <w:t xml:space="preserve"> </w:t>
      </w:r>
      <w:r>
        <w:rPr>
          <w:color w:val="803108"/>
          <w:sz w:val="12"/>
        </w:rPr>
        <w:t>integral</w:t>
      </w:r>
      <w:r>
        <w:rPr>
          <w:color w:val="803108"/>
          <w:spacing w:val="3"/>
          <w:sz w:val="12"/>
        </w:rPr>
        <w:t xml:space="preserve"> </w:t>
      </w:r>
      <w:r>
        <w:rPr>
          <w:color w:val="803108"/>
          <w:sz w:val="12"/>
        </w:rPr>
        <w:t>contra</w:t>
      </w:r>
      <w:r>
        <w:rPr>
          <w:color w:val="803108"/>
          <w:spacing w:val="3"/>
          <w:sz w:val="12"/>
        </w:rPr>
        <w:t xml:space="preserve"> </w:t>
      </w:r>
      <w:r>
        <w:rPr>
          <w:color w:val="803108"/>
          <w:sz w:val="12"/>
        </w:rPr>
        <w:t>la</w:t>
      </w:r>
      <w:r>
        <w:rPr>
          <w:color w:val="803108"/>
          <w:spacing w:val="3"/>
          <w:sz w:val="12"/>
        </w:rPr>
        <w:t xml:space="preserve"> </w:t>
      </w:r>
      <w:r>
        <w:rPr>
          <w:color w:val="803108"/>
          <w:spacing w:val="-2"/>
          <w:sz w:val="12"/>
        </w:rPr>
        <w:t>discriminación</w:t>
      </w:r>
    </w:p>
    <w:p w14:paraId="227F23BC" w14:textId="77777777" w:rsidR="0014798C" w:rsidRDefault="0014798C">
      <w:pPr>
        <w:pStyle w:val="Textoindependiente"/>
      </w:pPr>
    </w:p>
    <w:p w14:paraId="028A9AE6" w14:textId="77777777" w:rsidR="0014798C" w:rsidRDefault="0014798C">
      <w:pPr>
        <w:pStyle w:val="Textoindependiente"/>
      </w:pPr>
    </w:p>
    <w:p w14:paraId="1A65147E" w14:textId="77777777" w:rsidR="0014798C" w:rsidRDefault="0014798C">
      <w:pPr>
        <w:pStyle w:val="Textoindependiente"/>
      </w:pPr>
    </w:p>
    <w:p w14:paraId="32CFDC53" w14:textId="77777777" w:rsidR="0014798C" w:rsidRDefault="0014798C">
      <w:pPr>
        <w:pStyle w:val="Textoindependiente"/>
      </w:pPr>
    </w:p>
    <w:p w14:paraId="6B442F9F" w14:textId="77777777" w:rsidR="0014798C" w:rsidRDefault="0014798C">
      <w:pPr>
        <w:pStyle w:val="Textoindependiente"/>
        <w:spacing w:before="68"/>
      </w:pPr>
    </w:p>
    <w:p w14:paraId="31E3CDF0" w14:textId="77777777" w:rsidR="0014798C" w:rsidRDefault="004E1F0B">
      <w:pPr>
        <w:pStyle w:val="Textoindependiente"/>
        <w:spacing w:line="271" w:lineRule="auto"/>
        <w:ind w:left="1334" w:right="1768" w:hanging="2"/>
      </w:pPr>
      <w:r>
        <w:rPr>
          <w:noProof/>
        </w:rPr>
        <w:drawing>
          <wp:anchor distT="0" distB="0" distL="0" distR="0" simplePos="0" relativeHeight="251658457" behindDoc="1" locked="0" layoutInCell="1" allowOverlap="1" wp14:anchorId="64AF8D11" wp14:editId="3DC3AE00">
            <wp:simplePos x="0" y="0"/>
            <wp:positionH relativeFrom="page">
              <wp:posOffset>813154</wp:posOffset>
            </wp:positionH>
            <wp:positionV relativeFrom="paragraph">
              <wp:posOffset>-156958</wp:posOffset>
            </wp:positionV>
            <wp:extent cx="5943667" cy="6690602"/>
            <wp:effectExtent l="0" t="0" r="0" b="0"/>
            <wp:wrapNone/>
            <wp:docPr id="276" name="Image 27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76" name="Image 276"/>
                    <pic:cNvPicPr/>
                  </pic:nvPicPr>
                  <pic:blipFill>
                    <a:blip r:embed="rId253" cstate="print"/>
                    <a:stretch>
                      <a:fillRect/>
                    </a:stretch>
                  </pic:blipFill>
                  <pic:spPr>
                    <a:xfrm>
                      <a:off x="0" y="0"/>
                      <a:ext cx="5943667" cy="6690602"/>
                    </a:xfrm>
                    <a:prstGeom prst="rect">
                      <a:avLst/>
                    </a:prstGeom>
                  </pic:spPr>
                </pic:pic>
              </a:graphicData>
            </a:graphic>
          </wp:anchor>
        </w:drawing>
      </w:r>
      <w:r>
        <w:t>personas, que también son objeto de dos instrumentos internacionales: la Convención sobre el Estatuto de los Apátridas de 1954 y la Convención para Reducir los Casos de Apatridia de 1961. También tiene el mandato de proteger a los</w:t>
      </w:r>
    </w:p>
    <w:p w14:paraId="0B604EAD" w14:textId="77777777" w:rsidR="0014798C" w:rsidRDefault="004E1F0B">
      <w:pPr>
        <w:pStyle w:val="Textoindependiente"/>
        <w:spacing w:before="84" w:line="326" w:lineRule="auto"/>
        <w:ind w:left="1329" w:right="1272" w:firstLine="9"/>
      </w:pPr>
      <w:r>
        <w:t xml:space="preserve">desplazados internos, ya que “existe para proteger y ayudar a todos los que han sido afectados por el desplazamiento </w:t>
      </w:r>
      <w:r>
        <w:rPr>
          <w:spacing w:val="-2"/>
        </w:rPr>
        <w:t>forzado”.896</w:t>
      </w:r>
    </w:p>
    <w:p w14:paraId="08B6F833" w14:textId="77777777" w:rsidR="0014798C" w:rsidRDefault="004E1F0B">
      <w:pPr>
        <w:pStyle w:val="Textoindependiente"/>
        <w:spacing w:before="112" w:line="326" w:lineRule="auto"/>
        <w:ind w:left="1333" w:right="1840" w:hanging="1"/>
      </w:pPr>
      <w:r>
        <w:t>La Organización Internacional para las Migraciones, que originalmente no formaba parte del sistema de las Naciones Unidas, ha sido incluida recientemente en la familia de las Naciones Unidas.897 La Convención Internacional sobre la protección de los derechos de todos los trabajadores migratorios y de sus familiares, adoptada en 1990, garantiza una serie de derechos, incluido el derecho a la no discriminación.</w:t>
      </w:r>
    </w:p>
    <w:p w14:paraId="6E5C7C97" w14:textId="77777777" w:rsidR="0014798C" w:rsidRDefault="004E1F0B">
      <w:pPr>
        <w:pStyle w:val="Textoindependiente"/>
        <w:spacing w:before="111" w:line="326" w:lineRule="auto"/>
        <w:ind w:left="1332" w:right="1463" w:firstLine="5"/>
      </w:pPr>
      <w:r>
        <w:t>El 13 de septiembre de 2016, en el contexto de profunda preocupación mundial, la Asamblea General adoptó la Declaración de Nueva York para los Refugiados y los Migrantes. En la Declaración, la Asamblea General condena enérgicamente “los actos y manifestaciones de racismo, discriminación racial, xenofobia y formas conexas de intolerancia contra refugiados y migrantes, y los estereotipos que a menudo se les aplican, incluso sobre la base de su religión o creencias”. Recuerda</w:t>
      </w:r>
    </w:p>
    <w:p w14:paraId="6D24924E" w14:textId="77777777" w:rsidR="0014798C" w:rsidRDefault="004E1F0B">
      <w:pPr>
        <w:pStyle w:val="Textoindependiente"/>
        <w:spacing w:line="182" w:lineRule="exact"/>
        <w:ind w:left="1333"/>
      </w:pPr>
      <w:r>
        <w:t>que:</w:t>
      </w:r>
      <w:r>
        <w:rPr>
          <w:spacing w:val="-1"/>
        </w:rPr>
        <w:t xml:space="preserve"> </w:t>
      </w:r>
      <w:r>
        <w:t>“La diversidad enriquece</w:t>
      </w:r>
      <w:r>
        <w:rPr>
          <w:spacing w:val="-1"/>
        </w:rPr>
        <w:t xml:space="preserve"> </w:t>
      </w:r>
      <w:r>
        <w:t>toda sociedad y contribuye</w:t>
      </w:r>
      <w:r>
        <w:rPr>
          <w:spacing w:val="-1"/>
        </w:rPr>
        <w:t xml:space="preserve"> </w:t>
      </w:r>
      <w:r>
        <w:t>a la cohesión</w:t>
      </w:r>
      <w:r>
        <w:rPr>
          <w:spacing w:val="-1"/>
        </w:rPr>
        <w:t xml:space="preserve"> </w:t>
      </w:r>
      <w:r>
        <w:rPr>
          <w:spacing w:val="-2"/>
        </w:rPr>
        <w:t>social.</w:t>
      </w:r>
    </w:p>
    <w:p w14:paraId="2F0DB871" w14:textId="77777777" w:rsidR="0014798C" w:rsidRDefault="004E1F0B">
      <w:pPr>
        <w:pStyle w:val="Textoindependiente"/>
        <w:spacing w:before="66" w:line="326" w:lineRule="auto"/>
        <w:ind w:left="1333" w:right="1463"/>
      </w:pPr>
      <w:r>
        <w:t>Demonizar</w:t>
      </w:r>
      <w:r>
        <w:rPr>
          <w:spacing w:val="12"/>
        </w:rPr>
        <w:t xml:space="preserve"> </w:t>
      </w:r>
      <w:r>
        <w:t>a</w:t>
      </w:r>
      <w:r>
        <w:rPr>
          <w:spacing w:val="12"/>
        </w:rPr>
        <w:t xml:space="preserve"> </w:t>
      </w:r>
      <w:r>
        <w:t>los</w:t>
      </w:r>
      <w:r>
        <w:rPr>
          <w:spacing w:val="12"/>
        </w:rPr>
        <w:t xml:space="preserve"> </w:t>
      </w:r>
      <w:r>
        <w:t>refugiados</w:t>
      </w:r>
      <w:r>
        <w:rPr>
          <w:spacing w:val="12"/>
        </w:rPr>
        <w:t xml:space="preserve"> </w:t>
      </w:r>
      <w:r>
        <w:t>o</w:t>
      </w:r>
      <w:r>
        <w:rPr>
          <w:spacing w:val="12"/>
        </w:rPr>
        <w:t xml:space="preserve"> </w:t>
      </w:r>
      <w:r>
        <w:t>migrantes</w:t>
      </w:r>
      <w:r>
        <w:rPr>
          <w:spacing w:val="12"/>
        </w:rPr>
        <w:t xml:space="preserve"> </w:t>
      </w:r>
      <w:r>
        <w:t>ofende</w:t>
      </w:r>
      <w:r>
        <w:rPr>
          <w:spacing w:val="12"/>
        </w:rPr>
        <w:t xml:space="preserve"> </w:t>
      </w:r>
      <w:r>
        <w:t>profundamente</w:t>
      </w:r>
      <w:r>
        <w:rPr>
          <w:spacing w:val="12"/>
        </w:rPr>
        <w:t xml:space="preserve"> </w:t>
      </w:r>
      <w:r>
        <w:t>los</w:t>
      </w:r>
      <w:r>
        <w:rPr>
          <w:spacing w:val="12"/>
        </w:rPr>
        <w:t xml:space="preserve"> </w:t>
      </w:r>
      <w:r>
        <w:t>valores</w:t>
      </w:r>
      <w:r>
        <w:rPr>
          <w:spacing w:val="12"/>
        </w:rPr>
        <w:t xml:space="preserve"> </w:t>
      </w:r>
      <w:r>
        <w:t>de</w:t>
      </w:r>
      <w:r>
        <w:rPr>
          <w:spacing w:val="12"/>
        </w:rPr>
        <w:t xml:space="preserve"> </w:t>
      </w:r>
      <w:r>
        <w:t>dignidad</w:t>
      </w:r>
      <w:r>
        <w:rPr>
          <w:spacing w:val="12"/>
        </w:rPr>
        <w:t xml:space="preserve"> </w:t>
      </w:r>
      <w:r>
        <w:t>e</w:t>
      </w:r>
      <w:r>
        <w:rPr>
          <w:spacing w:val="12"/>
        </w:rPr>
        <w:t xml:space="preserve"> </w:t>
      </w:r>
      <w:r>
        <w:t>igualdad</w:t>
      </w:r>
      <w:r>
        <w:rPr>
          <w:spacing w:val="12"/>
        </w:rPr>
        <w:t xml:space="preserve"> </w:t>
      </w:r>
      <w:r>
        <w:t>de</w:t>
      </w:r>
      <w:r>
        <w:rPr>
          <w:spacing w:val="12"/>
        </w:rPr>
        <w:t xml:space="preserve"> </w:t>
      </w:r>
      <w:r>
        <w:t>cada</w:t>
      </w:r>
      <w:r>
        <w:rPr>
          <w:spacing w:val="12"/>
        </w:rPr>
        <w:t xml:space="preserve"> </w:t>
      </w:r>
      <w:r>
        <w:t>ser</w:t>
      </w:r>
      <w:r>
        <w:rPr>
          <w:spacing w:val="12"/>
        </w:rPr>
        <w:t xml:space="preserve"> </w:t>
      </w:r>
      <w:r>
        <w:t>humano, con los que nos hemos comprometido”. 898 Al asumir “compromisos que se aplican tanto a los refugiados como a los migrantes”, la Asamblea General se compromete a abordar las necesidades de “todos personas en situaciones vulnerables que viajan dentro de grandes movimientos de refugiados y migrantes, incluidas mujeres en situación de riesgo, niños, especialmente</w:t>
      </w:r>
      <w:r>
        <w:rPr>
          <w:spacing w:val="13"/>
        </w:rPr>
        <w:t xml:space="preserve"> </w:t>
      </w:r>
      <w:r>
        <w:t>aquellos</w:t>
      </w:r>
      <w:r>
        <w:rPr>
          <w:spacing w:val="13"/>
        </w:rPr>
        <w:t xml:space="preserve"> </w:t>
      </w:r>
      <w:r>
        <w:t>que</w:t>
      </w:r>
      <w:r>
        <w:rPr>
          <w:spacing w:val="13"/>
        </w:rPr>
        <w:t xml:space="preserve"> </w:t>
      </w:r>
      <w:r>
        <w:t>están</w:t>
      </w:r>
      <w:r>
        <w:rPr>
          <w:spacing w:val="13"/>
        </w:rPr>
        <w:t xml:space="preserve"> </w:t>
      </w:r>
      <w:r>
        <w:t>solos</w:t>
      </w:r>
      <w:r>
        <w:rPr>
          <w:spacing w:val="13"/>
        </w:rPr>
        <w:t xml:space="preserve"> </w:t>
      </w:r>
      <w:r>
        <w:t>o</w:t>
      </w:r>
      <w:r>
        <w:rPr>
          <w:spacing w:val="13"/>
        </w:rPr>
        <w:t xml:space="preserve"> </w:t>
      </w:r>
      <w:r>
        <w:t>separados</w:t>
      </w:r>
      <w:r>
        <w:rPr>
          <w:spacing w:val="13"/>
        </w:rPr>
        <w:t xml:space="preserve"> </w:t>
      </w:r>
      <w:r>
        <w:t>de</w:t>
      </w:r>
      <w:r>
        <w:rPr>
          <w:spacing w:val="13"/>
        </w:rPr>
        <w:t xml:space="preserve"> </w:t>
      </w:r>
      <w:r>
        <w:t>sus</w:t>
      </w:r>
      <w:r>
        <w:rPr>
          <w:spacing w:val="13"/>
        </w:rPr>
        <w:t xml:space="preserve"> </w:t>
      </w:r>
      <w:r>
        <w:t>familias,</w:t>
      </w:r>
      <w:r>
        <w:rPr>
          <w:spacing w:val="15"/>
        </w:rPr>
        <w:t xml:space="preserve"> </w:t>
      </w:r>
      <w:r>
        <w:t>miembros</w:t>
      </w:r>
      <w:r>
        <w:rPr>
          <w:spacing w:val="13"/>
        </w:rPr>
        <w:t xml:space="preserve"> </w:t>
      </w:r>
      <w:r>
        <w:t>de</w:t>
      </w:r>
      <w:r>
        <w:rPr>
          <w:spacing w:val="13"/>
        </w:rPr>
        <w:t xml:space="preserve"> </w:t>
      </w:r>
      <w:r>
        <w:t>minorías</w:t>
      </w:r>
      <w:r>
        <w:rPr>
          <w:spacing w:val="13"/>
        </w:rPr>
        <w:t xml:space="preserve"> </w:t>
      </w:r>
      <w:r>
        <w:t>étnicas</w:t>
      </w:r>
      <w:r>
        <w:rPr>
          <w:spacing w:val="13"/>
        </w:rPr>
        <w:t xml:space="preserve"> </w:t>
      </w:r>
      <w:r>
        <w:t>y</w:t>
      </w:r>
      <w:r>
        <w:rPr>
          <w:spacing w:val="13"/>
        </w:rPr>
        <w:t xml:space="preserve"> </w:t>
      </w:r>
      <w:r>
        <w:t>religiosas,</w:t>
      </w:r>
      <w:r>
        <w:rPr>
          <w:spacing w:val="15"/>
        </w:rPr>
        <w:t xml:space="preserve"> </w:t>
      </w:r>
      <w:r>
        <w:t>víctimas de</w:t>
      </w:r>
      <w:r>
        <w:rPr>
          <w:spacing w:val="15"/>
        </w:rPr>
        <w:t xml:space="preserve"> </w:t>
      </w:r>
      <w:r>
        <w:t>violencia,</w:t>
      </w:r>
      <w:r>
        <w:rPr>
          <w:spacing w:val="16"/>
        </w:rPr>
        <w:t xml:space="preserve"> </w:t>
      </w:r>
      <w:r>
        <w:t>personas</w:t>
      </w:r>
      <w:r>
        <w:rPr>
          <w:spacing w:val="15"/>
        </w:rPr>
        <w:t xml:space="preserve"> </w:t>
      </w:r>
      <w:r>
        <w:t>mayores,</w:t>
      </w:r>
      <w:r>
        <w:rPr>
          <w:spacing w:val="16"/>
        </w:rPr>
        <w:t xml:space="preserve"> </w:t>
      </w:r>
      <w:r>
        <w:t>personas</w:t>
      </w:r>
      <w:r>
        <w:rPr>
          <w:spacing w:val="15"/>
        </w:rPr>
        <w:t xml:space="preserve"> </w:t>
      </w:r>
      <w:r>
        <w:t>con</w:t>
      </w:r>
      <w:r>
        <w:rPr>
          <w:spacing w:val="15"/>
        </w:rPr>
        <w:t xml:space="preserve"> </w:t>
      </w:r>
      <w:r>
        <w:t>discapacidad</w:t>
      </w:r>
      <w:r>
        <w:rPr>
          <w:spacing w:val="15"/>
        </w:rPr>
        <w:t xml:space="preserve"> </w:t>
      </w:r>
      <w:r>
        <w:t>,</w:t>
      </w:r>
      <w:r>
        <w:rPr>
          <w:spacing w:val="15"/>
        </w:rPr>
        <w:t xml:space="preserve"> </w:t>
      </w:r>
      <w:r>
        <w:t>personas</w:t>
      </w:r>
      <w:r>
        <w:rPr>
          <w:spacing w:val="15"/>
        </w:rPr>
        <w:t xml:space="preserve"> </w:t>
      </w:r>
      <w:r>
        <w:t>que</w:t>
      </w:r>
      <w:r>
        <w:rPr>
          <w:spacing w:val="15"/>
        </w:rPr>
        <w:t xml:space="preserve"> </w:t>
      </w:r>
      <w:r>
        <w:t>son</w:t>
      </w:r>
      <w:r>
        <w:rPr>
          <w:spacing w:val="15"/>
        </w:rPr>
        <w:t xml:space="preserve"> </w:t>
      </w:r>
      <w:r>
        <w:t>discriminadas</w:t>
      </w:r>
      <w:r>
        <w:rPr>
          <w:spacing w:val="15"/>
        </w:rPr>
        <w:t xml:space="preserve"> </w:t>
      </w:r>
      <w:r>
        <w:t>por</w:t>
      </w:r>
      <w:r>
        <w:rPr>
          <w:spacing w:val="15"/>
        </w:rPr>
        <w:t xml:space="preserve"> </w:t>
      </w:r>
      <w:r>
        <w:t>cualquier</w:t>
      </w:r>
      <w:r>
        <w:rPr>
          <w:spacing w:val="15"/>
        </w:rPr>
        <w:t xml:space="preserve"> </w:t>
      </w:r>
      <w:r>
        <w:t>motivo, pueblos indígenas, víctimas de la trata de personas y víctimas de explotación y abuso en el contexto del tráfico ilícito de migrantes”.899 Además, se compromete a abordar las formas múltiples e interseccionales de discriminación contra los</w:t>
      </w:r>
    </w:p>
    <w:p w14:paraId="3C699580" w14:textId="77777777" w:rsidR="0014798C" w:rsidRDefault="004E1F0B">
      <w:pPr>
        <w:pStyle w:val="Textoindependiente"/>
        <w:spacing w:line="326" w:lineRule="auto"/>
        <w:ind w:left="1332" w:right="1463" w:firstLine="2"/>
      </w:pPr>
      <w:r>
        <w:t>refugiados y mujeres y niñas migrantes.900 Sobre la base de la Declaración de Nueva York y cumpliendo sus compromisos, en diciembre de 2018, la Asamblea General adoptó el pacto mundial sobre refugiados901 y el Pacto Mundial para una Migración Segura, Ordenada y Regular.902</w:t>
      </w:r>
    </w:p>
    <w:p w14:paraId="39993029" w14:textId="77777777" w:rsidR="0014798C" w:rsidRDefault="0014798C">
      <w:pPr>
        <w:pStyle w:val="Textoindependiente"/>
      </w:pPr>
    </w:p>
    <w:p w14:paraId="44D95482" w14:textId="77777777" w:rsidR="0014798C" w:rsidRDefault="0014798C">
      <w:pPr>
        <w:pStyle w:val="Textoindependiente"/>
      </w:pPr>
    </w:p>
    <w:p w14:paraId="608BE13B" w14:textId="77777777" w:rsidR="0014798C" w:rsidRDefault="0014798C">
      <w:pPr>
        <w:pStyle w:val="Textoindependiente"/>
        <w:spacing w:before="145"/>
      </w:pPr>
    </w:p>
    <w:p w14:paraId="714C84C0" w14:textId="77777777" w:rsidR="0014798C" w:rsidRDefault="004E1F0B">
      <w:pPr>
        <w:pStyle w:val="Textoindependiente"/>
        <w:spacing w:before="1" w:line="326" w:lineRule="auto"/>
        <w:ind w:left="1107" w:right="1378" w:firstLine="5"/>
      </w:pPr>
      <w:r>
        <w:t xml:space="preserve">Algunos grupos religiosos también pueden ser considerados objeto de discriminación étnica o racial o formas conexas de intolerancia. Los ejemplos más reconocidos de este fenómeno son los judíos y los musulmanes, a través del antisemitismo y la islamofobia o el odio </w:t>
      </w:r>
      <w:proofErr w:type="spellStart"/>
      <w:r>
        <w:t>antimusulmán</w:t>
      </w:r>
      <w:proofErr w:type="spellEnd"/>
      <w:r>
        <w:t>.</w:t>
      </w:r>
      <w:r>
        <w:rPr>
          <w:spacing w:val="11"/>
        </w:rPr>
        <w:t xml:space="preserve"> </w:t>
      </w:r>
      <w:r>
        <w:t>La historia del antisemitismo,</w:t>
      </w:r>
      <w:r>
        <w:rPr>
          <w:spacing w:val="11"/>
        </w:rPr>
        <w:t xml:space="preserve"> </w:t>
      </w:r>
      <w:r>
        <w:t>por ejemplo,</w:t>
      </w:r>
      <w:r>
        <w:rPr>
          <w:spacing w:val="11"/>
        </w:rPr>
        <w:t xml:space="preserve"> </w:t>
      </w:r>
      <w:r>
        <w:t>está fuertemente afiliada con la historia del</w:t>
      </w:r>
      <w:r>
        <w:rPr>
          <w:spacing w:val="40"/>
        </w:rPr>
        <w:t xml:space="preserve"> </w:t>
      </w:r>
      <w:r>
        <w:t>racismo en general.</w:t>
      </w:r>
      <w:r>
        <w:rPr>
          <w:spacing w:val="12"/>
        </w:rPr>
        <w:t xml:space="preserve"> </w:t>
      </w:r>
      <w:r>
        <w:t>Algunas identidades particulares pueden caer en la línea entre religión y etnicidad.</w:t>
      </w:r>
      <w:r>
        <w:rPr>
          <w:spacing w:val="12"/>
        </w:rPr>
        <w:t xml:space="preserve"> </w:t>
      </w:r>
      <w:r>
        <w:t>El sistema de las</w:t>
      </w:r>
      <w:r>
        <w:rPr>
          <w:spacing w:val="80"/>
        </w:rPr>
        <w:t xml:space="preserve"> </w:t>
      </w:r>
      <w:r>
        <w:t>Naciones Unidas ha dedicado atención específica tanto al antisemitismo903 como a la islamofobia y el odio antimusulmán.904</w:t>
      </w:r>
      <w:r>
        <w:rPr>
          <w:spacing w:val="40"/>
        </w:rPr>
        <w:t xml:space="preserve"> </w:t>
      </w:r>
      <w:r>
        <w:t>Más recientemente, el Relator Especial sobre las formas contemporáneas de racismo, discriminación racial, xenofobia y formas conexas de intolerancia ha hablado ampliamente sobre la elaboración de perfiles étnicos basados en sospechas de creencias religiosas. afiliación, en particular en lo que respecta a los musulmanes.905 En algunos contextos, los cristianos, budistas y otros también pueden enfrentar discriminación, persecución o ataque.906</w:t>
      </w:r>
    </w:p>
    <w:p w14:paraId="1F8D9E4E" w14:textId="77777777" w:rsidR="0014798C" w:rsidRDefault="004E1F0B">
      <w:pPr>
        <w:pStyle w:val="Textoindependiente"/>
        <w:spacing w:before="165" w:line="326" w:lineRule="auto"/>
        <w:ind w:left="1107" w:right="1166" w:hanging="1"/>
      </w:pPr>
      <w:r>
        <w:t>Al</w:t>
      </w:r>
      <w:r>
        <w:rPr>
          <w:spacing w:val="11"/>
        </w:rPr>
        <w:t xml:space="preserve"> </w:t>
      </w:r>
      <w:r>
        <w:t>igual</w:t>
      </w:r>
      <w:r>
        <w:rPr>
          <w:spacing w:val="11"/>
        </w:rPr>
        <w:t xml:space="preserve"> </w:t>
      </w:r>
      <w:r>
        <w:t>que</w:t>
      </w:r>
      <w:r>
        <w:rPr>
          <w:spacing w:val="11"/>
        </w:rPr>
        <w:t xml:space="preserve"> </w:t>
      </w:r>
      <w:r>
        <w:t>los</w:t>
      </w:r>
      <w:r>
        <w:rPr>
          <w:spacing w:val="11"/>
        </w:rPr>
        <w:t xml:space="preserve"> </w:t>
      </w:r>
      <w:r>
        <w:t>demás</w:t>
      </w:r>
      <w:r>
        <w:rPr>
          <w:spacing w:val="11"/>
        </w:rPr>
        <w:t xml:space="preserve"> </w:t>
      </w:r>
      <w:r>
        <w:t>grupos</w:t>
      </w:r>
      <w:r>
        <w:rPr>
          <w:spacing w:val="11"/>
        </w:rPr>
        <w:t xml:space="preserve"> </w:t>
      </w:r>
      <w:r>
        <w:t>enumerados</w:t>
      </w:r>
      <w:r>
        <w:rPr>
          <w:spacing w:val="11"/>
        </w:rPr>
        <w:t xml:space="preserve"> </w:t>
      </w:r>
      <w:r>
        <w:t>aquí,</w:t>
      </w:r>
      <w:r>
        <w:rPr>
          <w:spacing w:val="11"/>
        </w:rPr>
        <w:t xml:space="preserve"> </w:t>
      </w:r>
      <w:r>
        <w:t>los</w:t>
      </w:r>
      <w:r>
        <w:rPr>
          <w:spacing w:val="11"/>
        </w:rPr>
        <w:t xml:space="preserve"> </w:t>
      </w:r>
      <w:r>
        <w:t>pueblos</w:t>
      </w:r>
      <w:r>
        <w:rPr>
          <w:spacing w:val="11"/>
        </w:rPr>
        <w:t xml:space="preserve"> </w:t>
      </w:r>
      <w:r>
        <w:t>indígenas</w:t>
      </w:r>
      <w:r>
        <w:rPr>
          <w:spacing w:val="11"/>
        </w:rPr>
        <w:t xml:space="preserve"> </w:t>
      </w:r>
      <w:r>
        <w:t>disfrutan</w:t>
      </w:r>
      <w:r>
        <w:rPr>
          <w:spacing w:val="11"/>
        </w:rPr>
        <w:t xml:space="preserve"> </w:t>
      </w:r>
      <w:r>
        <w:t>de</w:t>
      </w:r>
      <w:r>
        <w:rPr>
          <w:spacing w:val="11"/>
        </w:rPr>
        <w:t xml:space="preserve"> </w:t>
      </w:r>
      <w:r>
        <w:t>protección</w:t>
      </w:r>
      <w:r>
        <w:rPr>
          <w:spacing w:val="11"/>
        </w:rPr>
        <w:t xml:space="preserve"> </w:t>
      </w:r>
      <w:r>
        <w:t>en</w:t>
      </w:r>
      <w:r>
        <w:rPr>
          <w:spacing w:val="11"/>
        </w:rPr>
        <w:t xml:space="preserve"> </w:t>
      </w:r>
      <w:r>
        <w:t>el</w:t>
      </w:r>
      <w:r>
        <w:rPr>
          <w:spacing w:val="11"/>
        </w:rPr>
        <w:t xml:space="preserve"> </w:t>
      </w:r>
      <w:r>
        <w:t>derecho</w:t>
      </w:r>
      <w:r>
        <w:rPr>
          <w:spacing w:val="11"/>
        </w:rPr>
        <w:t xml:space="preserve"> </w:t>
      </w:r>
      <w:r>
        <w:t>internacional</w:t>
      </w:r>
      <w:r>
        <w:rPr>
          <w:spacing w:val="11"/>
        </w:rPr>
        <w:t xml:space="preserve"> </w:t>
      </w:r>
      <w:r>
        <w:t>en virtud del derecho a la no discriminación por motivos de raza y/o etnia,907 además de beneficiarse de los derechos de las minorías.</w:t>
      </w:r>
    </w:p>
    <w:p w14:paraId="16FEE730" w14:textId="77777777" w:rsidR="0014798C" w:rsidRDefault="0014798C">
      <w:pPr>
        <w:pStyle w:val="Textoindependiente"/>
        <w:rPr>
          <w:sz w:val="12"/>
        </w:rPr>
      </w:pPr>
    </w:p>
    <w:p w14:paraId="4BF7CF8A" w14:textId="77777777" w:rsidR="0014798C" w:rsidRDefault="0014798C">
      <w:pPr>
        <w:pStyle w:val="Textoindependiente"/>
        <w:rPr>
          <w:sz w:val="12"/>
        </w:rPr>
      </w:pPr>
    </w:p>
    <w:p w14:paraId="7CE1B653" w14:textId="77777777" w:rsidR="0014798C" w:rsidRDefault="0014798C">
      <w:pPr>
        <w:pStyle w:val="Textoindependiente"/>
        <w:rPr>
          <w:sz w:val="12"/>
        </w:rPr>
      </w:pPr>
    </w:p>
    <w:p w14:paraId="7A1C7C25" w14:textId="77777777" w:rsidR="0014798C" w:rsidRDefault="0014798C">
      <w:pPr>
        <w:pStyle w:val="Textoindependiente"/>
        <w:spacing w:before="39"/>
        <w:rPr>
          <w:sz w:val="12"/>
        </w:rPr>
      </w:pPr>
    </w:p>
    <w:p w14:paraId="31D38A28" w14:textId="77777777" w:rsidR="0014798C" w:rsidRDefault="004E1F0B">
      <w:pPr>
        <w:ind w:left="1110"/>
        <w:rPr>
          <w:sz w:val="12"/>
        </w:rPr>
      </w:pPr>
      <w:r>
        <w:rPr>
          <w:sz w:val="12"/>
        </w:rPr>
        <w:t>896</w:t>
      </w:r>
      <w:r>
        <w:rPr>
          <w:spacing w:val="9"/>
          <w:sz w:val="12"/>
        </w:rPr>
        <w:t xml:space="preserve"> </w:t>
      </w:r>
      <w:r>
        <w:rPr>
          <w:sz w:val="12"/>
        </w:rPr>
        <w:t>Alto</w:t>
      </w:r>
      <w:r>
        <w:rPr>
          <w:spacing w:val="10"/>
          <w:sz w:val="12"/>
        </w:rPr>
        <w:t xml:space="preserve"> </w:t>
      </w:r>
      <w:r>
        <w:rPr>
          <w:sz w:val="12"/>
        </w:rPr>
        <w:t>Comisionado</w:t>
      </w:r>
      <w:r>
        <w:rPr>
          <w:spacing w:val="9"/>
          <w:sz w:val="12"/>
        </w:rPr>
        <w:t xml:space="preserve"> </w:t>
      </w:r>
      <w:r>
        <w:rPr>
          <w:sz w:val="12"/>
        </w:rPr>
        <w:t>de</w:t>
      </w:r>
      <w:r>
        <w:rPr>
          <w:spacing w:val="10"/>
          <w:sz w:val="12"/>
        </w:rPr>
        <w:t xml:space="preserve"> </w:t>
      </w:r>
      <w:r>
        <w:rPr>
          <w:sz w:val="12"/>
        </w:rPr>
        <w:t>las</w:t>
      </w:r>
      <w:r>
        <w:rPr>
          <w:spacing w:val="9"/>
          <w:sz w:val="12"/>
        </w:rPr>
        <w:t xml:space="preserve"> </w:t>
      </w:r>
      <w:r>
        <w:rPr>
          <w:sz w:val="12"/>
        </w:rPr>
        <w:t>Naciones</w:t>
      </w:r>
      <w:r>
        <w:rPr>
          <w:spacing w:val="10"/>
          <w:sz w:val="12"/>
        </w:rPr>
        <w:t xml:space="preserve"> </w:t>
      </w:r>
      <w:r>
        <w:rPr>
          <w:sz w:val="12"/>
        </w:rPr>
        <w:t>Unidas</w:t>
      </w:r>
      <w:r>
        <w:rPr>
          <w:spacing w:val="10"/>
          <w:sz w:val="12"/>
        </w:rPr>
        <w:t xml:space="preserve"> </w:t>
      </w:r>
      <w:r>
        <w:rPr>
          <w:sz w:val="12"/>
        </w:rPr>
        <w:t>para</w:t>
      </w:r>
      <w:r>
        <w:rPr>
          <w:spacing w:val="9"/>
          <w:sz w:val="12"/>
        </w:rPr>
        <w:t xml:space="preserve"> </w:t>
      </w:r>
      <w:r>
        <w:rPr>
          <w:sz w:val="12"/>
        </w:rPr>
        <w:t>los</w:t>
      </w:r>
      <w:r>
        <w:rPr>
          <w:spacing w:val="10"/>
          <w:sz w:val="12"/>
        </w:rPr>
        <w:t xml:space="preserve"> </w:t>
      </w:r>
      <w:r>
        <w:rPr>
          <w:sz w:val="12"/>
        </w:rPr>
        <w:t>Refugiados,</w:t>
      </w:r>
      <w:r>
        <w:rPr>
          <w:spacing w:val="10"/>
          <w:sz w:val="12"/>
        </w:rPr>
        <w:t xml:space="preserve"> </w:t>
      </w:r>
      <w:r>
        <w:rPr>
          <w:sz w:val="12"/>
        </w:rPr>
        <w:t>“Personas</w:t>
      </w:r>
      <w:r>
        <w:rPr>
          <w:spacing w:val="10"/>
          <w:sz w:val="12"/>
        </w:rPr>
        <w:t xml:space="preserve"> </w:t>
      </w:r>
      <w:r>
        <w:rPr>
          <w:sz w:val="12"/>
        </w:rPr>
        <w:t>internamente</w:t>
      </w:r>
      <w:r>
        <w:rPr>
          <w:spacing w:val="10"/>
          <w:sz w:val="12"/>
        </w:rPr>
        <w:t xml:space="preserve"> </w:t>
      </w:r>
      <w:r>
        <w:rPr>
          <w:sz w:val="12"/>
        </w:rPr>
        <w:t>desplazadas”.</w:t>
      </w:r>
      <w:r>
        <w:rPr>
          <w:spacing w:val="10"/>
          <w:sz w:val="12"/>
        </w:rPr>
        <w:t xml:space="preserve"> </w:t>
      </w:r>
      <w:r>
        <w:rPr>
          <w:sz w:val="12"/>
        </w:rPr>
        <w:t>Disponible</w:t>
      </w:r>
      <w:r>
        <w:rPr>
          <w:spacing w:val="10"/>
          <w:sz w:val="12"/>
        </w:rPr>
        <w:t xml:space="preserve"> </w:t>
      </w:r>
      <w:r>
        <w:rPr>
          <w:sz w:val="12"/>
        </w:rPr>
        <w:t>en</w:t>
      </w:r>
      <w:r>
        <w:rPr>
          <w:spacing w:val="10"/>
          <w:sz w:val="12"/>
        </w:rPr>
        <w:t xml:space="preserve"> </w:t>
      </w:r>
      <w:hyperlink r:id="rId254">
        <w:r>
          <w:rPr>
            <w:color w:val="0075BF"/>
            <w:sz w:val="12"/>
          </w:rPr>
          <w:t>www.unhcr.org/uk/internally-</w:t>
        </w:r>
        <w:r>
          <w:rPr>
            <w:color w:val="0075BF"/>
            <w:spacing w:val="-2"/>
            <w:sz w:val="12"/>
          </w:rPr>
          <w:t>displaced-</w:t>
        </w:r>
      </w:hyperlink>
    </w:p>
    <w:p w14:paraId="1B67FDF8" w14:textId="77777777" w:rsidR="0014798C" w:rsidRDefault="004E1F0B">
      <w:pPr>
        <w:spacing w:before="42"/>
        <w:ind w:left="1366"/>
        <w:rPr>
          <w:sz w:val="12"/>
        </w:rPr>
      </w:pPr>
      <w:hyperlink r:id="rId255">
        <w:r>
          <w:rPr>
            <w:color w:val="0075BF"/>
            <w:spacing w:val="-2"/>
            <w:sz w:val="12"/>
          </w:rPr>
          <w:t>personas.html.</w:t>
        </w:r>
      </w:hyperlink>
    </w:p>
    <w:p w14:paraId="7F86D9F9" w14:textId="77777777" w:rsidR="0014798C" w:rsidRDefault="004E1F0B">
      <w:pPr>
        <w:spacing w:before="98"/>
        <w:ind w:left="1110"/>
        <w:rPr>
          <w:sz w:val="12"/>
        </w:rPr>
      </w:pPr>
      <w:r>
        <w:rPr>
          <w:sz w:val="12"/>
        </w:rPr>
        <w:t>897</w:t>
      </w:r>
      <w:r>
        <w:rPr>
          <w:spacing w:val="2"/>
          <w:sz w:val="12"/>
        </w:rPr>
        <w:t xml:space="preserve"> </w:t>
      </w:r>
      <w:r>
        <w:rPr>
          <w:sz w:val="12"/>
        </w:rPr>
        <w:t>Para</w:t>
      </w:r>
      <w:r>
        <w:rPr>
          <w:spacing w:val="3"/>
          <w:sz w:val="12"/>
        </w:rPr>
        <w:t xml:space="preserve"> </w:t>
      </w:r>
      <w:r>
        <w:rPr>
          <w:sz w:val="12"/>
        </w:rPr>
        <w:t>obtener</w:t>
      </w:r>
      <w:r>
        <w:rPr>
          <w:spacing w:val="3"/>
          <w:sz w:val="12"/>
        </w:rPr>
        <w:t xml:space="preserve"> </w:t>
      </w:r>
      <w:r>
        <w:rPr>
          <w:sz w:val="12"/>
        </w:rPr>
        <w:t>más</w:t>
      </w:r>
      <w:r>
        <w:rPr>
          <w:spacing w:val="2"/>
          <w:sz w:val="12"/>
        </w:rPr>
        <w:t xml:space="preserve"> </w:t>
      </w:r>
      <w:r>
        <w:rPr>
          <w:sz w:val="12"/>
        </w:rPr>
        <w:t>información,</w:t>
      </w:r>
      <w:r>
        <w:rPr>
          <w:spacing w:val="4"/>
          <w:sz w:val="12"/>
        </w:rPr>
        <w:t xml:space="preserve"> </w:t>
      </w:r>
      <w:r>
        <w:rPr>
          <w:sz w:val="12"/>
        </w:rPr>
        <w:t>consulte</w:t>
      </w:r>
      <w:r>
        <w:rPr>
          <w:spacing w:val="3"/>
          <w:sz w:val="12"/>
        </w:rPr>
        <w:t xml:space="preserve"> </w:t>
      </w:r>
      <w:r>
        <w:rPr>
          <w:sz w:val="12"/>
        </w:rPr>
        <w:t>Organización</w:t>
      </w:r>
      <w:r>
        <w:rPr>
          <w:spacing w:val="2"/>
          <w:sz w:val="12"/>
        </w:rPr>
        <w:t xml:space="preserve"> </w:t>
      </w:r>
      <w:r>
        <w:rPr>
          <w:sz w:val="12"/>
        </w:rPr>
        <w:t>Internacional</w:t>
      </w:r>
      <w:r>
        <w:rPr>
          <w:spacing w:val="3"/>
          <w:sz w:val="12"/>
        </w:rPr>
        <w:t xml:space="preserve"> </w:t>
      </w:r>
      <w:r>
        <w:rPr>
          <w:sz w:val="12"/>
        </w:rPr>
        <w:t>para</w:t>
      </w:r>
      <w:r>
        <w:rPr>
          <w:spacing w:val="3"/>
          <w:sz w:val="12"/>
        </w:rPr>
        <w:t xml:space="preserve"> </w:t>
      </w:r>
      <w:r>
        <w:rPr>
          <w:sz w:val="12"/>
        </w:rPr>
        <w:t>las</w:t>
      </w:r>
      <w:r>
        <w:rPr>
          <w:spacing w:val="2"/>
          <w:sz w:val="12"/>
        </w:rPr>
        <w:t xml:space="preserve"> </w:t>
      </w:r>
      <w:r>
        <w:rPr>
          <w:sz w:val="12"/>
        </w:rPr>
        <w:t>Migraciones,</w:t>
      </w:r>
      <w:r>
        <w:rPr>
          <w:spacing w:val="4"/>
          <w:sz w:val="12"/>
        </w:rPr>
        <w:t xml:space="preserve"> </w:t>
      </w:r>
      <w:r>
        <w:rPr>
          <w:sz w:val="12"/>
        </w:rPr>
        <w:t>“Historia</w:t>
      </w:r>
      <w:r>
        <w:rPr>
          <w:spacing w:val="3"/>
          <w:sz w:val="12"/>
        </w:rPr>
        <w:t xml:space="preserve"> </w:t>
      </w:r>
      <w:r>
        <w:rPr>
          <w:sz w:val="12"/>
        </w:rPr>
        <w:t>de</w:t>
      </w:r>
      <w:r>
        <w:rPr>
          <w:spacing w:val="3"/>
          <w:sz w:val="12"/>
        </w:rPr>
        <w:t xml:space="preserve"> </w:t>
      </w:r>
      <w:r>
        <w:rPr>
          <w:sz w:val="12"/>
        </w:rPr>
        <w:t>la</w:t>
      </w:r>
      <w:r>
        <w:rPr>
          <w:spacing w:val="2"/>
          <w:sz w:val="12"/>
        </w:rPr>
        <w:t xml:space="preserve"> </w:t>
      </w:r>
      <w:r>
        <w:rPr>
          <w:sz w:val="12"/>
        </w:rPr>
        <w:t>OIM”.</w:t>
      </w:r>
      <w:r>
        <w:rPr>
          <w:spacing w:val="3"/>
          <w:sz w:val="12"/>
        </w:rPr>
        <w:t xml:space="preserve"> </w:t>
      </w:r>
      <w:r>
        <w:rPr>
          <w:sz w:val="12"/>
        </w:rPr>
        <w:t>Disponible</w:t>
      </w:r>
      <w:r>
        <w:rPr>
          <w:spacing w:val="3"/>
          <w:sz w:val="12"/>
        </w:rPr>
        <w:t xml:space="preserve"> </w:t>
      </w:r>
      <w:r>
        <w:rPr>
          <w:sz w:val="12"/>
        </w:rPr>
        <w:t>en</w:t>
      </w:r>
      <w:r>
        <w:rPr>
          <w:spacing w:val="2"/>
          <w:sz w:val="12"/>
        </w:rPr>
        <w:t xml:space="preserve"> </w:t>
      </w:r>
      <w:hyperlink r:id="rId256">
        <w:r>
          <w:rPr>
            <w:color w:val="0075BF"/>
            <w:sz w:val="12"/>
          </w:rPr>
          <w:t>www.iom.int/iom-</w:t>
        </w:r>
        <w:r>
          <w:rPr>
            <w:color w:val="0075BF"/>
            <w:spacing w:val="-2"/>
            <w:sz w:val="12"/>
          </w:rPr>
          <w:t>history.</w:t>
        </w:r>
      </w:hyperlink>
    </w:p>
    <w:p w14:paraId="73651F36" w14:textId="77777777" w:rsidR="0014798C" w:rsidRDefault="004E1F0B">
      <w:pPr>
        <w:spacing w:before="135"/>
        <w:ind w:left="1110"/>
        <w:rPr>
          <w:sz w:val="12"/>
        </w:rPr>
      </w:pPr>
      <w:r>
        <w:rPr>
          <w:sz w:val="12"/>
        </w:rPr>
        <w:t>898</w:t>
      </w:r>
      <w:r>
        <w:rPr>
          <w:spacing w:val="-2"/>
          <w:sz w:val="12"/>
        </w:rPr>
        <w:t xml:space="preserve"> </w:t>
      </w:r>
      <w:r>
        <w:rPr>
          <w:sz w:val="12"/>
        </w:rPr>
        <w:t>Asamblea</w:t>
      </w:r>
      <w:r>
        <w:rPr>
          <w:spacing w:val="-1"/>
          <w:sz w:val="12"/>
        </w:rPr>
        <w:t xml:space="preserve"> </w:t>
      </w:r>
      <w:r>
        <w:rPr>
          <w:sz w:val="12"/>
        </w:rPr>
        <w:t>General</w:t>
      </w:r>
      <w:r>
        <w:rPr>
          <w:spacing w:val="-1"/>
          <w:sz w:val="12"/>
        </w:rPr>
        <w:t xml:space="preserve"> </w:t>
      </w:r>
      <w:r>
        <w:rPr>
          <w:sz w:val="12"/>
        </w:rPr>
        <w:t>71/1,</w:t>
      </w:r>
      <w:r>
        <w:rPr>
          <w:spacing w:val="-1"/>
          <w:sz w:val="12"/>
        </w:rPr>
        <w:t xml:space="preserve"> </w:t>
      </w:r>
      <w:r>
        <w:rPr>
          <w:sz w:val="12"/>
        </w:rPr>
        <w:t>párr.</w:t>
      </w:r>
      <w:r>
        <w:rPr>
          <w:spacing w:val="-2"/>
          <w:sz w:val="12"/>
        </w:rPr>
        <w:t xml:space="preserve"> </w:t>
      </w:r>
      <w:r>
        <w:rPr>
          <w:spacing w:val="-5"/>
          <w:sz w:val="12"/>
        </w:rPr>
        <w:t>14.</w:t>
      </w:r>
    </w:p>
    <w:p w14:paraId="096B6144" w14:textId="77777777" w:rsidR="0014798C" w:rsidRDefault="004E1F0B">
      <w:pPr>
        <w:spacing w:before="98"/>
        <w:ind w:left="1110"/>
        <w:rPr>
          <w:sz w:val="12"/>
        </w:rPr>
      </w:pPr>
      <w:r>
        <w:rPr>
          <w:sz w:val="12"/>
        </w:rPr>
        <w:t>899</w:t>
      </w:r>
      <w:r>
        <w:rPr>
          <w:spacing w:val="-1"/>
          <w:sz w:val="12"/>
        </w:rPr>
        <w:t xml:space="preserve"> </w:t>
      </w:r>
      <w:proofErr w:type="spellStart"/>
      <w:r>
        <w:rPr>
          <w:sz w:val="12"/>
        </w:rPr>
        <w:t>Ibíd</w:t>
      </w:r>
      <w:proofErr w:type="spellEnd"/>
      <w:r>
        <w:rPr>
          <w:sz w:val="12"/>
        </w:rPr>
        <w:t>.,</w:t>
      </w:r>
      <w:r>
        <w:rPr>
          <w:spacing w:val="-1"/>
          <w:sz w:val="12"/>
        </w:rPr>
        <w:t xml:space="preserve"> </w:t>
      </w:r>
      <w:proofErr w:type="spellStart"/>
      <w:r>
        <w:rPr>
          <w:sz w:val="12"/>
        </w:rPr>
        <w:t>párrs</w:t>
      </w:r>
      <w:proofErr w:type="spellEnd"/>
      <w:r>
        <w:rPr>
          <w:sz w:val="12"/>
        </w:rPr>
        <w:t>. 21</w:t>
      </w:r>
      <w:r>
        <w:rPr>
          <w:spacing w:val="-1"/>
          <w:sz w:val="12"/>
        </w:rPr>
        <w:t xml:space="preserve"> </w:t>
      </w:r>
      <w:r>
        <w:rPr>
          <w:sz w:val="12"/>
        </w:rPr>
        <w:t>y</w:t>
      </w:r>
      <w:r>
        <w:rPr>
          <w:spacing w:val="-1"/>
          <w:sz w:val="12"/>
        </w:rPr>
        <w:t xml:space="preserve"> </w:t>
      </w:r>
      <w:r>
        <w:rPr>
          <w:spacing w:val="-5"/>
          <w:sz w:val="12"/>
        </w:rPr>
        <w:t>23.</w:t>
      </w:r>
    </w:p>
    <w:p w14:paraId="777F30E9" w14:textId="77777777" w:rsidR="0014798C" w:rsidRDefault="004E1F0B">
      <w:pPr>
        <w:spacing w:before="99"/>
        <w:ind w:left="1107"/>
        <w:rPr>
          <w:sz w:val="12"/>
        </w:rPr>
      </w:pPr>
      <w:r>
        <w:rPr>
          <w:sz w:val="12"/>
        </w:rPr>
        <w:t>900</w:t>
      </w:r>
      <w:r>
        <w:rPr>
          <w:spacing w:val="-2"/>
          <w:sz w:val="12"/>
        </w:rPr>
        <w:t xml:space="preserve"> </w:t>
      </w:r>
      <w:proofErr w:type="spellStart"/>
      <w:r>
        <w:rPr>
          <w:sz w:val="12"/>
        </w:rPr>
        <w:t>Ibíd</w:t>
      </w:r>
      <w:proofErr w:type="spellEnd"/>
      <w:r>
        <w:rPr>
          <w:sz w:val="12"/>
        </w:rPr>
        <w:t>.,</w:t>
      </w:r>
      <w:r>
        <w:rPr>
          <w:spacing w:val="-1"/>
          <w:sz w:val="12"/>
        </w:rPr>
        <w:t xml:space="preserve"> </w:t>
      </w:r>
      <w:r>
        <w:rPr>
          <w:sz w:val="12"/>
        </w:rPr>
        <w:t>párr.</w:t>
      </w:r>
      <w:r>
        <w:rPr>
          <w:spacing w:val="-1"/>
          <w:sz w:val="12"/>
        </w:rPr>
        <w:t xml:space="preserve"> </w:t>
      </w:r>
      <w:r>
        <w:rPr>
          <w:spacing w:val="-5"/>
          <w:sz w:val="12"/>
        </w:rPr>
        <w:t>31.</w:t>
      </w:r>
    </w:p>
    <w:p w14:paraId="65845839" w14:textId="77777777" w:rsidR="0014798C" w:rsidRDefault="004E1F0B">
      <w:pPr>
        <w:spacing w:before="93"/>
        <w:ind w:left="1107"/>
        <w:rPr>
          <w:sz w:val="12"/>
        </w:rPr>
      </w:pPr>
      <w:r>
        <w:rPr>
          <w:sz w:val="12"/>
        </w:rPr>
        <w:t>901</w:t>
      </w:r>
      <w:r>
        <w:rPr>
          <w:spacing w:val="-1"/>
          <w:sz w:val="12"/>
        </w:rPr>
        <w:t xml:space="preserve"> </w:t>
      </w:r>
      <w:r>
        <w:rPr>
          <w:sz w:val="12"/>
        </w:rPr>
        <w:t>A/73/12</w:t>
      </w:r>
      <w:r>
        <w:rPr>
          <w:spacing w:val="-1"/>
          <w:sz w:val="12"/>
        </w:rPr>
        <w:t xml:space="preserve"> </w:t>
      </w:r>
      <w:r>
        <w:rPr>
          <w:sz w:val="12"/>
        </w:rPr>
        <w:t>(Parte</w:t>
      </w:r>
      <w:r>
        <w:rPr>
          <w:spacing w:val="-1"/>
          <w:sz w:val="12"/>
        </w:rPr>
        <w:t xml:space="preserve"> </w:t>
      </w:r>
      <w:r>
        <w:rPr>
          <w:spacing w:val="-4"/>
          <w:sz w:val="12"/>
        </w:rPr>
        <w:t>II).</w:t>
      </w:r>
    </w:p>
    <w:p w14:paraId="21396D08" w14:textId="77777777" w:rsidR="0014798C" w:rsidRDefault="004E1F0B">
      <w:pPr>
        <w:spacing w:before="104"/>
        <w:ind w:left="1107"/>
        <w:rPr>
          <w:sz w:val="12"/>
        </w:rPr>
      </w:pPr>
      <w:r>
        <w:rPr>
          <w:sz w:val="12"/>
        </w:rPr>
        <w:t>902</w:t>
      </w:r>
      <w:r>
        <w:rPr>
          <w:spacing w:val="-1"/>
          <w:sz w:val="12"/>
        </w:rPr>
        <w:t xml:space="preserve"> </w:t>
      </w:r>
      <w:r>
        <w:rPr>
          <w:sz w:val="12"/>
        </w:rPr>
        <w:t>Resolución</w:t>
      </w:r>
      <w:r>
        <w:rPr>
          <w:spacing w:val="-1"/>
          <w:sz w:val="12"/>
        </w:rPr>
        <w:t xml:space="preserve"> </w:t>
      </w:r>
      <w:r>
        <w:rPr>
          <w:sz w:val="12"/>
        </w:rPr>
        <w:t>73/195</w:t>
      </w:r>
      <w:r>
        <w:rPr>
          <w:spacing w:val="-1"/>
          <w:sz w:val="12"/>
        </w:rPr>
        <w:t xml:space="preserve"> </w:t>
      </w:r>
      <w:r>
        <w:rPr>
          <w:sz w:val="12"/>
        </w:rPr>
        <w:t>de</w:t>
      </w:r>
      <w:r>
        <w:rPr>
          <w:spacing w:val="-1"/>
          <w:sz w:val="12"/>
        </w:rPr>
        <w:t xml:space="preserve"> </w:t>
      </w:r>
      <w:r>
        <w:rPr>
          <w:sz w:val="12"/>
        </w:rPr>
        <w:t>la</w:t>
      </w:r>
      <w:r>
        <w:rPr>
          <w:spacing w:val="-1"/>
          <w:sz w:val="12"/>
        </w:rPr>
        <w:t xml:space="preserve"> </w:t>
      </w:r>
      <w:r>
        <w:rPr>
          <w:sz w:val="12"/>
        </w:rPr>
        <w:t>Asamblea</w:t>
      </w:r>
      <w:r>
        <w:rPr>
          <w:spacing w:val="-1"/>
          <w:sz w:val="12"/>
        </w:rPr>
        <w:t xml:space="preserve"> </w:t>
      </w:r>
      <w:r>
        <w:rPr>
          <w:spacing w:val="-2"/>
          <w:sz w:val="12"/>
        </w:rPr>
        <w:t>General.</w:t>
      </w:r>
    </w:p>
    <w:p w14:paraId="33189C15" w14:textId="77777777" w:rsidR="0014798C" w:rsidRDefault="0014798C">
      <w:pPr>
        <w:rPr>
          <w:sz w:val="12"/>
        </w:rPr>
        <w:sectPr w:rsidR="0014798C" w:rsidSect="00F265E4">
          <w:pgSz w:w="11900" w:h="16820"/>
          <w:pgMar w:top="340" w:right="0" w:bottom="280" w:left="200" w:header="121" w:footer="0" w:gutter="0"/>
          <w:cols w:space="720"/>
        </w:sectPr>
      </w:pPr>
    </w:p>
    <w:p w14:paraId="522892BE" w14:textId="77777777" w:rsidR="0014798C" w:rsidRDefault="004E1F0B">
      <w:pPr>
        <w:spacing w:before="53"/>
        <w:jc w:val="right"/>
        <w:rPr>
          <w:sz w:val="8"/>
        </w:rPr>
      </w:pPr>
      <w:r>
        <w:rPr>
          <w:spacing w:val="-5"/>
          <w:w w:val="105"/>
          <w:sz w:val="8"/>
        </w:rPr>
        <w:t>903</w:t>
      </w:r>
    </w:p>
    <w:p w14:paraId="799256F1" w14:textId="77777777" w:rsidR="0014798C" w:rsidRDefault="0014798C">
      <w:pPr>
        <w:pStyle w:val="Textoindependiente"/>
        <w:spacing w:before="52"/>
        <w:rPr>
          <w:sz w:val="8"/>
        </w:rPr>
      </w:pPr>
    </w:p>
    <w:p w14:paraId="7E1E462C" w14:textId="77777777" w:rsidR="0014798C" w:rsidRDefault="004E1F0B">
      <w:pPr>
        <w:spacing w:before="1"/>
        <w:jc w:val="right"/>
        <w:rPr>
          <w:sz w:val="8"/>
        </w:rPr>
      </w:pPr>
      <w:r>
        <w:rPr>
          <w:spacing w:val="-5"/>
          <w:w w:val="105"/>
          <w:sz w:val="8"/>
        </w:rPr>
        <w:t>904</w:t>
      </w:r>
    </w:p>
    <w:p w14:paraId="6A76F21B" w14:textId="77777777" w:rsidR="0014798C" w:rsidRDefault="0014798C">
      <w:pPr>
        <w:pStyle w:val="Textoindependiente"/>
        <w:spacing w:before="52"/>
        <w:rPr>
          <w:sz w:val="8"/>
        </w:rPr>
      </w:pPr>
    </w:p>
    <w:p w14:paraId="7032D3D7" w14:textId="77777777" w:rsidR="0014798C" w:rsidRDefault="004E1F0B">
      <w:pPr>
        <w:jc w:val="right"/>
        <w:rPr>
          <w:sz w:val="8"/>
        </w:rPr>
      </w:pPr>
      <w:r>
        <w:rPr>
          <w:spacing w:val="-5"/>
          <w:w w:val="105"/>
          <w:sz w:val="8"/>
        </w:rPr>
        <w:t>905</w:t>
      </w:r>
    </w:p>
    <w:p w14:paraId="68F5DDBB" w14:textId="77777777" w:rsidR="0014798C" w:rsidRDefault="0014798C">
      <w:pPr>
        <w:pStyle w:val="Textoindependiente"/>
        <w:spacing w:before="52"/>
        <w:rPr>
          <w:sz w:val="8"/>
        </w:rPr>
      </w:pPr>
    </w:p>
    <w:p w14:paraId="3B484E3D" w14:textId="77777777" w:rsidR="0014798C" w:rsidRDefault="004E1F0B">
      <w:pPr>
        <w:spacing w:before="1"/>
        <w:jc w:val="right"/>
        <w:rPr>
          <w:sz w:val="8"/>
        </w:rPr>
      </w:pPr>
      <w:r>
        <w:rPr>
          <w:spacing w:val="-5"/>
          <w:w w:val="105"/>
          <w:sz w:val="8"/>
        </w:rPr>
        <w:t>906</w:t>
      </w:r>
    </w:p>
    <w:p w14:paraId="5FEE44F0" w14:textId="77777777" w:rsidR="0014798C" w:rsidRDefault="004E1F0B">
      <w:pPr>
        <w:spacing w:before="62"/>
        <w:ind w:left="81"/>
        <w:rPr>
          <w:sz w:val="12"/>
        </w:rPr>
      </w:pPr>
      <w:r>
        <w:br w:type="column"/>
      </w:r>
      <w:r>
        <w:rPr>
          <w:spacing w:val="-2"/>
          <w:w w:val="105"/>
          <w:sz w:val="12"/>
        </w:rPr>
        <w:t>Véase,</w:t>
      </w:r>
      <w:r>
        <w:rPr>
          <w:w w:val="105"/>
          <w:sz w:val="12"/>
        </w:rPr>
        <w:t xml:space="preserve"> </w:t>
      </w:r>
      <w:r>
        <w:rPr>
          <w:spacing w:val="-2"/>
          <w:w w:val="105"/>
          <w:sz w:val="12"/>
        </w:rPr>
        <w:t>por ejemplo,</w:t>
      </w:r>
      <w:r>
        <w:rPr>
          <w:w w:val="105"/>
          <w:sz w:val="12"/>
        </w:rPr>
        <w:t xml:space="preserve"> </w:t>
      </w:r>
      <w:r>
        <w:rPr>
          <w:spacing w:val="-2"/>
          <w:w w:val="105"/>
          <w:sz w:val="12"/>
        </w:rPr>
        <w:t>A/74/358.</w:t>
      </w:r>
    </w:p>
    <w:p w14:paraId="52D78FAA" w14:textId="77777777" w:rsidR="0014798C" w:rsidRDefault="004E1F0B">
      <w:pPr>
        <w:spacing w:before="98" w:line="410" w:lineRule="auto"/>
        <w:ind w:left="81" w:right="6014"/>
        <w:rPr>
          <w:sz w:val="12"/>
        </w:rPr>
      </w:pPr>
      <w:r>
        <w:rPr>
          <w:spacing w:val="-2"/>
          <w:sz w:val="12"/>
        </w:rPr>
        <w:t>Véanse,</w:t>
      </w:r>
      <w:r>
        <w:rPr>
          <w:spacing w:val="-7"/>
          <w:sz w:val="12"/>
        </w:rPr>
        <w:t xml:space="preserve"> </w:t>
      </w:r>
      <w:r>
        <w:rPr>
          <w:spacing w:val="-2"/>
          <w:sz w:val="12"/>
        </w:rPr>
        <w:t>por</w:t>
      </w:r>
      <w:r>
        <w:rPr>
          <w:spacing w:val="-6"/>
          <w:sz w:val="12"/>
        </w:rPr>
        <w:t xml:space="preserve"> </w:t>
      </w:r>
      <w:r>
        <w:rPr>
          <w:spacing w:val="-2"/>
          <w:sz w:val="12"/>
        </w:rPr>
        <w:t>ejemplo,</w:t>
      </w:r>
      <w:r>
        <w:rPr>
          <w:spacing w:val="-6"/>
          <w:sz w:val="12"/>
        </w:rPr>
        <w:t xml:space="preserve"> </w:t>
      </w:r>
      <w:r>
        <w:rPr>
          <w:spacing w:val="-2"/>
          <w:sz w:val="12"/>
        </w:rPr>
        <w:t>A/74/195;</w:t>
      </w:r>
      <w:r>
        <w:rPr>
          <w:spacing w:val="-7"/>
          <w:sz w:val="12"/>
        </w:rPr>
        <w:t xml:space="preserve"> </w:t>
      </w:r>
      <w:r>
        <w:rPr>
          <w:spacing w:val="-2"/>
          <w:sz w:val="12"/>
        </w:rPr>
        <w:t>A/74/215;</w:t>
      </w:r>
      <w:r>
        <w:rPr>
          <w:spacing w:val="-6"/>
          <w:sz w:val="12"/>
        </w:rPr>
        <w:t xml:space="preserve"> </w:t>
      </w:r>
      <w:r>
        <w:rPr>
          <w:spacing w:val="-2"/>
          <w:sz w:val="12"/>
        </w:rPr>
        <w:t>A/HRC/43/28;</w:t>
      </w:r>
      <w:r>
        <w:rPr>
          <w:spacing w:val="-6"/>
          <w:sz w:val="12"/>
        </w:rPr>
        <w:t xml:space="preserve"> </w:t>
      </w:r>
      <w:r>
        <w:rPr>
          <w:spacing w:val="-2"/>
          <w:sz w:val="12"/>
        </w:rPr>
        <w:t>y</w:t>
      </w:r>
      <w:r>
        <w:rPr>
          <w:spacing w:val="-7"/>
          <w:sz w:val="12"/>
        </w:rPr>
        <w:t xml:space="preserve"> </w:t>
      </w:r>
      <w:r>
        <w:rPr>
          <w:spacing w:val="-2"/>
          <w:sz w:val="12"/>
        </w:rPr>
        <w:t>A/HRC/46/30.</w:t>
      </w:r>
      <w:r>
        <w:rPr>
          <w:spacing w:val="40"/>
          <w:sz w:val="12"/>
        </w:rPr>
        <w:t xml:space="preserve"> </w:t>
      </w:r>
      <w:r>
        <w:rPr>
          <w:sz w:val="12"/>
        </w:rPr>
        <w:t>Véase, por ejemplo, A/HRC/29/46.</w:t>
      </w:r>
    </w:p>
    <w:p w14:paraId="32AF5CDA" w14:textId="77777777" w:rsidR="0014798C" w:rsidRPr="00537489" w:rsidRDefault="004E1F0B">
      <w:pPr>
        <w:spacing w:before="1" w:line="312" w:lineRule="auto"/>
        <w:ind w:left="77" w:right="1421" w:firstLine="4"/>
        <w:rPr>
          <w:sz w:val="12"/>
          <w:lang w:val="en-US"/>
        </w:rPr>
      </w:pPr>
      <w:r>
        <w:rPr>
          <w:sz w:val="12"/>
        </w:rPr>
        <w:t>Véanse,</w:t>
      </w:r>
      <w:r>
        <w:rPr>
          <w:spacing w:val="-5"/>
          <w:sz w:val="12"/>
        </w:rPr>
        <w:t xml:space="preserve"> </w:t>
      </w:r>
      <w:r>
        <w:rPr>
          <w:sz w:val="12"/>
        </w:rPr>
        <w:t>por</w:t>
      </w:r>
      <w:r>
        <w:rPr>
          <w:spacing w:val="-6"/>
          <w:sz w:val="12"/>
        </w:rPr>
        <w:t xml:space="preserve"> </w:t>
      </w:r>
      <w:r>
        <w:rPr>
          <w:sz w:val="12"/>
        </w:rPr>
        <w:t>ejemplo,</w:t>
      </w:r>
      <w:r>
        <w:rPr>
          <w:spacing w:val="-5"/>
          <w:sz w:val="12"/>
        </w:rPr>
        <w:t xml:space="preserve"> </w:t>
      </w:r>
      <w:r>
        <w:rPr>
          <w:sz w:val="12"/>
        </w:rPr>
        <w:t>A/74/195;</w:t>
      </w:r>
      <w:r>
        <w:rPr>
          <w:spacing w:val="-5"/>
          <w:sz w:val="12"/>
        </w:rPr>
        <w:t xml:space="preserve"> </w:t>
      </w:r>
      <w:r>
        <w:rPr>
          <w:sz w:val="12"/>
        </w:rPr>
        <w:t>A/74/215;</w:t>
      </w:r>
      <w:r>
        <w:rPr>
          <w:spacing w:val="-5"/>
          <w:sz w:val="12"/>
        </w:rPr>
        <w:t xml:space="preserve"> </w:t>
      </w:r>
      <w:r>
        <w:rPr>
          <w:sz w:val="12"/>
        </w:rPr>
        <w:t>A/HRC/43/28;</w:t>
      </w:r>
      <w:r>
        <w:rPr>
          <w:spacing w:val="-5"/>
          <w:sz w:val="12"/>
        </w:rPr>
        <w:t xml:space="preserve"> </w:t>
      </w:r>
      <w:hyperlink r:id="rId257">
        <w:r>
          <w:rPr>
            <w:color w:val="0075BF"/>
            <w:sz w:val="12"/>
          </w:rPr>
          <w:t>www.un.org/en/genocideprevention/documents/advising-and-mobilizing/Action_</w:t>
        </w:r>
      </w:hyperlink>
      <w:r>
        <w:rPr>
          <w:color w:val="0075BF"/>
          <w:spacing w:val="40"/>
          <w:w w:val="105"/>
          <w:sz w:val="12"/>
        </w:rPr>
        <w:t xml:space="preserve"> </w:t>
      </w:r>
      <w:r>
        <w:rPr>
          <w:color w:val="0075BF"/>
          <w:spacing w:val="-2"/>
          <w:w w:val="105"/>
          <w:sz w:val="12"/>
        </w:rPr>
        <w:t xml:space="preserve">plan_on_hate_speech_EN.pdf; </w:t>
      </w:r>
      <w:r>
        <w:rPr>
          <w:spacing w:val="-2"/>
          <w:w w:val="105"/>
          <w:sz w:val="12"/>
        </w:rPr>
        <w:t xml:space="preserve">y Noticias ONU, “La ONU condena enérgicamente el ataque terrorista en Egipto”, 26 de mayo de 2017. </w:t>
      </w:r>
      <w:r w:rsidRPr="00537489">
        <w:rPr>
          <w:spacing w:val="-2"/>
          <w:w w:val="105"/>
          <w:sz w:val="12"/>
          <w:lang w:val="en-US"/>
        </w:rPr>
        <w:t xml:space="preserve">Disponible en </w:t>
      </w:r>
      <w:r w:rsidRPr="00537489">
        <w:rPr>
          <w:color w:val="0075BF"/>
          <w:spacing w:val="-2"/>
          <w:w w:val="105"/>
          <w:sz w:val="12"/>
          <w:lang w:val="en-US"/>
        </w:rPr>
        <w:t>https://news.</w:t>
      </w:r>
      <w:r w:rsidRPr="00537489">
        <w:rPr>
          <w:color w:val="0075BF"/>
          <w:spacing w:val="40"/>
          <w:w w:val="105"/>
          <w:sz w:val="12"/>
          <w:lang w:val="en-US"/>
        </w:rPr>
        <w:t xml:space="preserve"> </w:t>
      </w:r>
      <w:r w:rsidRPr="00537489">
        <w:rPr>
          <w:color w:val="0075BF"/>
          <w:spacing w:val="-2"/>
          <w:w w:val="105"/>
          <w:sz w:val="12"/>
          <w:lang w:val="en-US"/>
        </w:rPr>
        <w:t>un.org/en/story/2017/05/558232-un-strongly-condemns-terrorist-attack-egypt.</w:t>
      </w:r>
    </w:p>
    <w:p w14:paraId="0C89E6D9" w14:textId="77777777" w:rsidR="0014798C" w:rsidRPr="00537489" w:rsidRDefault="0014798C">
      <w:pPr>
        <w:spacing w:line="312" w:lineRule="auto"/>
        <w:rPr>
          <w:sz w:val="12"/>
          <w:lang w:val="en-US"/>
        </w:rPr>
        <w:sectPr w:rsidR="0014798C" w:rsidRPr="00537489" w:rsidSect="00F265E4">
          <w:type w:val="continuous"/>
          <w:pgSz w:w="11900" w:h="16820"/>
          <w:pgMar w:top="40" w:right="0" w:bottom="280" w:left="200" w:header="121" w:footer="0" w:gutter="0"/>
          <w:cols w:num="2" w:space="720" w:equalWidth="0">
            <w:col w:w="1249" w:space="40"/>
            <w:col w:w="10411"/>
          </w:cols>
        </w:sectPr>
      </w:pPr>
    </w:p>
    <w:p w14:paraId="2169C988" w14:textId="77777777" w:rsidR="0014798C" w:rsidRDefault="004E1F0B">
      <w:pPr>
        <w:spacing w:before="95"/>
        <w:ind w:left="1107"/>
        <w:rPr>
          <w:sz w:val="12"/>
        </w:rPr>
      </w:pPr>
      <w:r>
        <w:rPr>
          <w:sz w:val="12"/>
        </w:rPr>
        <w:t>907</w:t>
      </w:r>
      <w:r>
        <w:rPr>
          <w:spacing w:val="-2"/>
          <w:sz w:val="12"/>
        </w:rPr>
        <w:t xml:space="preserve"> </w:t>
      </w:r>
      <w:r>
        <w:rPr>
          <w:sz w:val="12"/>
        </w:rPr>
        <w:t>Comité</w:t>
      </w:r>
      <w:r>
        <w:rPr>
          <w:spacing w:val="-1"/>
          <w:sz w:val="12"/>
        </w:rPr>
        <w:t xml:space="preserve"> </w:t>
      </w:r>
      <w:r>
        <w:rPr>
          <w:sz w:val="12"/>
        </w:rPr>
        <w:t>para</w:t>
      </w:r>
      <w:r>
        <w:rPr>
          <w:spacing w:val="-2"/>
          <w:sz w:val="12"/>
        </w:rPr>
        <w:t xml:space="preserve"> </w:t>
      </w:r>
      <w:r>
        <w:rPr>
          <w:sz w:val="12"/>
        </w:rPr>
        <w:t>la</w:t>
      </w:r>
      <w:r>
        <w:rPr>
          <w:spacing w:val="-1"/>
          <w:sz w:val="12"/>
        </w:rPr>
        <w:t xml:space="preserve"> </w:t>
      </w:r>
      <w:r>
        <w:rPr>
          <w:sz w:val="12"/>
        </w:rPr>
        <w:t>Eliminación</w:t>
      </w:r>
      <w:r>
        <w:rPr>
          <w:spacing w:val="-2"/>
          <w:sz w:val="12"/>
        </w:rPr>
        <w:t xml:space="preserve"> </w:t>
      </w:r>
      <w:r>
        <w:rPr>
          <w:sz w:val="12"/>
        </w:rPr>
        <w:t>de</w:t>
      </w:r>
      <w:r>
        <w:rPr>
          <w:spacing w:val="-1"/>
          <w:sz w:val="12"/>
        </w:rPr>
        <w:t xml:space="preserve"> </w:t>
      </w:r>
      <w:r>
        <w:rPr>
          <w:sz w:val="12"/>
        </w:rPr>
        <w:t>la</w:t>
      </w:r>
      <w:r>
        <w:rPr>
          <w:spacing w:val="-2"/>
          <w:sz w:val="12"/>
        </w:rPr>
        <w:t xml:space="preserve"> </w:t>
      </w:r>
      <w:r>
        <w:rPr>
          <w:sz w:val="12"/>
        </w:rPr>
        <w:t>Discriminación</w:t>
      </w:r>
      <w:r>
        <w:rPr>
          <w:spacing w:val="-1"/>
          <w:sz w:val="12"/>
        </w:rPr>
        <w:t xml:space="preserve"> </w:t>
      </w:r>
      <w:r>
        <w:rPr>
          <w:sz w:val="12"/>
        </w:rPr>
        <w:t>Racial,</w:t>
      </w:r>
      <w:r>
        <w:rPr>
          <w:spacing w:val="-1"/>
          <w:sz w:val="12"/>
        </w:rPr>
        <w:t xml:space="preserve"> </w:t>
      </w:r>
      <w:r>
        <w:rPr>
          <w:sz w:val="12"/>
        </w:rPr>
        <w:t>recomendación</w:t>
      </w:r>
      <w:r>
        <w:rPr>
          <w:spacing w:val="-2"/>
          <w:sz w:val="12"/>
        </w:rPr>
        <w:t xml:space="preserve"> </w:t>
      </w:r>
      <w:r>
        <w:rPr>
          <w:sz w:val="12"/>
        </w:rPr>
        <w:t>general</w:t>
      </w:r>
      <w:r>
        <w:rPr>
          <w:spacing w:val="-1"/>
          <w:sz w:val="12"/>
        </w:rPr>
        <w:t xml:space="preserve"> </w:t>
      </w:r>
      <w:r>
        <w:rPr>
          <w:sz w:val="12"/>
        </w:rPr>
        <w:t>núm.</w:t>
      </w:r>
      <w:r>
        <w:rPr>
          <w:spacing w:val="-2"/>
          <w:sz w:val="12"/>
        </w:rPr>
        <w:t xml:space="preserve"> </w:t>
      </w:r>
      <w:r>
        <w:rPr>
          <w:sz w:val="12"/>
        </w:rPr>
        <w:t>23</w:t>
      </w:r>
      <w:r>
        <w:rPr>
          <w:spacing w:val="-1"/>
          <w:sz w:val="12"/>
        </w:rPr>
        <w:t xml:space="preserve"> </w:t>
      </w:r>
      <w:r>
        <w:rPr>
          <w:spacing w:val="-2"/>
          <w:sz w:val="12"/>
        </w:rPr>
        <w:t>(1997).</w:t>
      </w:r>
    </w:p>
    <w:p w14:paraId="726530CF" w14:textId="77777777" w:rsidR="0014798C" w:rsidRDefault="0014798C">
      <w:pPr>
        <w:pStyle w:val="Textoindependiente"/>
        <w:rPr>
          <w:sz w:val="17"/>
        </w:rPr>
      </w:pPr>
    </w:p>
    <w:p w14:paraId="2F0E5D33" w14:textId="77777777" w:rsidR="0014798C" w:rsidRDefault="0014798C">
      <w:pPr>
        <w:pStyle w:val="Textoindependiente"/>
        <w:rPr>
          <w:sz w:val="17"/>
        </w:rPr>
      </w:pPr>
    </w:p>
    <w:p w14:paraId="551A4BDC" w14:textId="77777777" w:rsidR="0014798C" w:rsidRDefault="0014798C">
      <w:pPr>
        <w:pStyle w:val="Textoindependiente"/>
        <w:spacing w:before="34"/>
        <w:rPr>
          <w:sz w:val="17"/>
        </w:rPr>
      </w:pPr>
    </w:p>
    <w:p w14:paraId="6CDD2B0F" w14:textId="77777777" w:rsidR="0014798C" w:rsidRDefault="004E1F0B">
      <w:pPr>
        <w:ind w:left="480"/>
        <w:rPr>
          <w:sz w:val="17"/>
        </w:rPr>
      </w:pPr>
      <w:r>
        <w:rPr>
          <w:spacing w:val="-5"/>
          <w:w w:val="105"/>
          <w:sz w:val="17"/>
        </w:rPr>
        <w:t>132</w:t>
      </w:r>
    </w:p>
    <w:p w14:paraId="7BC9CD1D" w14:textId="77777777" w:rsidR="0014798C" w:rsidRDefault="0014798C">
      <w:pPr>
        <w:rPr>
          <w:sz w:val="17"/>
        </w:rPr>
        <w:sectPr w:rsidR="0014798C" w:rsidSect="00F265E4">
          <w:type w:val="continuous"/>
          <w:pgSz w:w="11900" w:h="16820"/>
          <w:pgMar w:top="40" w:right="0" w:bottom="280" w:left="200" w:header="121" w:footer="0" w:gutter="0"/>
          <w:cols w:space="720"/>
        </w:sectPr>
      </w:pPr>
    </w:p>
    <w:p w14:paraId="07CEDCAE" w14:textId="77777777" w:rsidR="0014798C" w:rsidRDefault="0014798C">
      <w:pPr>
        <w:pStyle w:val="Textoindependiente"/>
        <w:rPr>
          <w:sz w:val="9"/>
        </w:rPr>
      </w:pPr>
    </w:p>
    <w:p w14:paraId="25F4BE87" w14:textId="77777777" w:rsidR="0014798C" w:rsidRDefault="0014798C">
      <w:pPr>
        <w:pStyle w:val="Textoindependiente"/>
        <w:spacing w:before="11"/>
        <w:rPr>
          <w:sz w:val="9"/>
        </w:rPr>
      </w:pPr>
    </w:p>
    <w:p w14:paraId="393E072D" w14:textId="77777777" w:rsidR="0014798C" w:rsidRDefault="004E1F0B">
      <w:pPr>
        <w:spacing w:before="1"/>
        <w:ind w:left="1111"/>
        <w:rPr>
          <w:sz w:val="9"/>
        </w:rPr>
      </w:pPr>
      <w:r>
        <w:rPr>
          <w:color w:val="803108"/>
          <w:w w:val="105"/>
          <w:sz w:val="9"/>
        </w:rPr>
        <w:t>PARTE</w:t>
      </w:r>
      <w:r>
        <w:rPr>
          <w:color w:val="803108"/>
          <w:spacing w:val="1"/>
          <w:w w:val="105"/>
          <w:sz w:val="9"/>
        </w:rPr>
        <w:t xml:space="preserve"> </w:t>
      </w:r>
      <w:r>
        <w:rPr>
          <w:color w:val="803108"/>
          <w:w w:val="105"/>
          <w:sz w:val="9"/>
        </w:rPr>
        <w:t>TRES:</w:t>
      </w:r>
      <w:r>
        <w:rPr>
          <w:color w:val="803108"/>
          <w:spacing w:val="2"/>
          <w:w w:val="105"/>
          <w:sz w:val="9"/>
        </w:rPr>
        <w:t xml:space="preserve"> </w:t>
      </w:r>
      <w:r>
        <w:rPr>
          <w:color w:val="803108"/>
          <w:w w:val="105"/>
          <w:sz w:val="9"/>
        </w:rPr>
        <w:t>PROTECCIÓN</w:t>
      </w:r>
      <w:r>
        <w:rPr>
          <w:color w:val="803108"/>
          <w:spacing w:val="2"/>
          <w:w w:val="105"/>
          <w:sz w:val="9"/>
        </w:rPr>
        <w:t xml:space="preserve"> </w:t>
      </w:r>
      <w:r>
        <w:rPr>
          <w:color w:val="803108"/>
          <w:w w:val="105"/>
          <w:sz w:val="9"/>
        </w:rPr>
        <w:t>DE</w:t>
      </w:r>
      <w:r>
        <w:rPr>
          <w:color w:val="803108"/>
          <w:spacing w:val="1"/>
          <w:w w:val="105"/>
          <w:sz w:val="9"/>
        </w:rPr>
        <w:t xml:space="preserve"> </w:t>
      </w:r>
      <w:r>
        <w:rPr>
          <w:color w:val="803108"/>
          <w:w w:val="105"/>
          <w:sz w:val="9"/>
        </w:rPr>
        <w:t>LOS</w:t>
      </w:r>
      <w:r>
        <w:rPr>
          <w:color w:val="803108"/>
          <w:spacing w:val="2"/>
          <w:w w:val="105"/>
          <w:sz w:val="9"/>
        </w:rPr>
        <w:t xml:space="preserve"> </w:t>
      </w:r>
      <w:r>
        <w:rPr>
          <w:color w:val="803108"/>
          <w:w w:val="105"/>
          <w:sz w:val="9"/>
        </w:rPr>
        <w:t>DERECHOS</w:t>
      </w:r>
      <w:r>
        <w:rPr>
          <w:color w:val="803108"/>
          <w:spacing w:val="3"/>
          <w:w w:val="105"/>
          <w:sz w:val="9"/>
        </w:rPr>
        <w:t xml:space="preserve"> </w:t>
      </w:r>
      <w:r>
        <w:rPr>
          <w:color w:val="803108"/>
          <w:w w:val="105"/>
          <w:sz w:val="9"/>
        </w:rPr>
        <w:t>DE</w:t>
      </w:r>
      <w:r>
        <w:rPr>
          <w:color w:val="803108"/>
          <w:spacing w:val="1"/>
          <w:w w:val="105"/>
          <w:sz w:val="9"/>
        </w:rPr>
        <w:t xml:space="preserve"> </w:t>
      </w:r>
      <w:r>
        <w:rPr>
          <w:color w:val="803108"/>
          <w:w w:val="105"/>
          <w:sz w:val="9"/>
        </w:rPr>
        <w:t>LAS</w:t>
      </w:r>
      <w:r>
        <w:rPr>
          <w:color w:val="803108"/>
          <w:spacing w:val="2"/>
          <w:w w:val="105"/>
          <w:sz w:val="9"/>
        </w:rPr>
        <w:t xml:space="preserve"> </w:t>
      </w:r>
      <w:r>
        <w:rPr>
          <w:color w:val="803108"/>
          <w:spacing w:val="-2"/>
          <w:w w:val="105"/>
          <w:sz w:val="9"/>
        </w:rPr>
        <w:t>MINORÍAS</w:t>
      </w:r>
    </w:p>
    <w:p w14:paraId="1BA623CA" w14:textId="77777777" w:rsidR="0014798C" w:rsidRDefault="0014798C">
      <w:pPr>
        <w:pStyle w:val="Textoindependiente"/>
        <w:rPr>
          <w:sz w:val="15"/>
        </w:rPr>
      </w:pPr>
    </w:p>
    <w:p w14:paraId="4FB7B913" w14:textId="77777777" w:rsidR="0014798C" w:rsidRDefault="0014798C">
      <w:pPr>
        <w:pStyle w:val="Textoindependiente"/>
        <w:rPr>
          <w:sz w:val="15"/>
        </w:rPr>
      </w:pPr>
    </w:p>
    <w:p w14:paraId="5643ECB0" w14:textId="77777777" w:rsidR="0014798C" w:rsidRDefault="0014798C">
      <w:pPr>
        <w:pStyle w:val="Textoindependiente"/>
        <w:rPr>
          <w:sz w:val="15"/>
        </w:rPr>
      </w:pPr>
    </w:p>
    <w:p w14:paraId="06DBED2A" w14:textId="77777777" w:rsidR="0014798C" w:rsidRDefault="0014798C">
      <w:pPr>
        <w:pStyle w:val="Textoindependiente"/>
        <w:rPr>
          <w:sz w:val="15"/>
        </w:rPr>
      </w:pPr>
    </w:p>
    <w:p w14:paraId="3E2613D6" w14:textId="77777777" w:rsidR="0014798C" w:rsidRDefault="0014798C">
      <w:pPr>
        <w:pStyle w:val="Textoindependiente"/>
        <w:rPr>
          <w:sz w:val="15"/>
        </w:rPr>
      </w:pPr>
    </w:p>
    <w:p w14:paraId="55D3DFB1" w14:textId="77777777" w:rsidR="0014798C" w:rsidRDefault="0014798C">
      <w:pPr>
        <w:pStyle w:val="Textoindependiente"/>
        <w:spacing w:before="3"/>
        <w:rPr>
          <w:sz w:val="15"/>
        </w:rPr>
      </w:pPr>
    </w:p>
    <w:p w14:paraId="3C39792B" w14:textId="77777777" w:rsidR="0014798C" w:rsidRDefault="004E1F0B">
      <w:pPr>
        <w:spacing w:line="348" w:lineRule="auto"/>
        <w:ind w:left="1107" w:right="1309"/>
        <w:rPr>
          <w:sz w:val="15"/>
        </w:rPr>
      </w:pPr>
      <w:r>
        <w:rPr>
          <w:sz w:val="15"/>
        </w:rPr>
        <w:t>protecciones otorgadas por el artículo 27 del Pacto Internacional de Derechos Civiles y Políticos.908 Los pueblos indígenas también son objeto</w:t>
      </w:r>
      <w:r>
        <w:rPr>
          <w:spacing w:val="13"/>
          <w:sz w:val="15"/>
        </w:rPr>
        <w:t xml:space="preserve"> </w:t>
      </w:r>
      <w:r>
        <w:rPr>
          <w:sz w:val="15"/>
        </w:rPr>
        <w:t>de</w:t>
      </w:r>
      <w:r>
        <w:rPr>
          <w:spacing w:val="13"/>
          <w:sz w:val="15"/>
        </w:rPr>
        <w:t xml:space="preserve"> </w:t>
      </w:r>
      <w:r>
        <w:rPr>
          <w:sz w:val="15"/>
        </w:rPr>
        <w:t>un</w:t>
      </w:r>
      <w:r>
        <w:rPr>
          <w:spacing w:val="13"/>
          <w:sz w:val="15"/>
        </w:rPr>
        <w:t xml:space="preserve"> </w:t>
      </w:r>
      <w:r>
        <w:rPr>
          <w:sz w:val="15"/>
        </w:rPr>
        <w:t>instrumento</w:t>
      </w:r>
      <w:r>
        <w:rPr>
          <w:spacing w:val="13"/>
          <w:sz w:val="15"/>
        </w:rPr>
        <w:t xml:space="preserve"> </w:t>
      </w:r>
      <w:r>
        <w:rPr>
          <w:sz w:val="15"/>
        </w:rPr>
        <w:t>internacional</w:t>
      </w:r>
      <w:r>
        <w:rPr>
          <w:spacing w:val="13"/>
          <w:sz w:val="15"/>
        </w:rPr>
        <w:t xml:space="preserve"> </w:t>
      </w:r>
      <w:r>
        <w:rPr>
          <w:sz w:val="15"/>
        </w:rPr>
        <w:t>específico</w:t>
      </w:r>
      <w:r>
        <w:rPr>
          <w:spacing w:val="13"/>
          <w:sz w:val="15"/>
        </w:rPr>
        <w:t xml:space="preserve"> </w:t>
      </w:r>
      <w:r>
        <w:rPr>
          <w:sz w:val="15"/>
        </w:rPr>
        <w:t>de</w:t>
      </w:r>
      <w:r>
        <w:rPr>
          <w:spacing w:val="13"/>
          <w:sz w:val="15"/>
        </w:rPr>
        <w:t xml:space="preserve"> </w:t>
      </w:r>
      <w:r>
        <w:rPr>
          <w:sz w:val="15"/>
        </w:rPr>
        <w:t>derechos</w:t>
      </w:r>
      <w:r>
        <w:rPr>
          <w:spacing w:val="13"/>
          <w:sz w:val="15"/>
        </w:rPr>
        <w:t xml:space="preserve"> </w:t>
      </w:r>
      <w:r>
        <w:rPr>
          <w:sz w:val="15"/>
        </w:rPr>
        <w:t>humanos,</w:t>
      </w:r>
      <w:r>
        <w:rPr>
          <w:spacing w:val="15"/>
          <w:sz w:val="15"/>
        </w:rPr>
        <w:t xml:space="preserve"> </w:t>
      </w:r>
      <w:r>
        <w:rPr>
          <w:sz w:val="15"/>
        </w:rPr>
        <w:t>la</w:t>
      </w:r>
      <w:r>
        <w:rPr>
          <w:spacing w:val="13"/>
          <w:sz w:val="15"/>
        </w:rPr>
        <w:t xml:space="preserve"> </w:t>
      </w:r>
      <w:r>
        <w:rPr>
          <w:sz w:val="15"/>
        </w:rPr>
        <w:t>Declaración</w:t>
      </w:r>
      <w:r>
        <w:rPr>
          <w:spacing w:val="13"/>
          <w:sz w:val="15"/>
        </w:rPr>
        <w:t xml:space="preserve"> </w:t>
      </w:r>
      <w:r>
        <w:rPr>
          <w:sz w:val="15"/>
        </w:rPr>
        <w:t>de</w:t>
      </w:r>
      <w:r>
        <w:rPr>
          <w:spacing w:val="13"/>
          <w:sz w:val="15"/>
        </w:rPr>
        <w:t xml:space="preserve"> </w:t>
      </w:r>
      <w:r>
        <w:rPr>
          <w:sz w:val="15"/>
        </w:rPr>
        <w:t>las</w:t>
      </w:r>
      <w:r>
        <w:rPr>
          <w:spacing w:val="13"/>
          <w:sz w:val="15"/>
        </w:rPr>
        <w:t xml:space="preserve"> </w:t>
      </w:r>
      <w:r>
        <w:rPr>
          <w:sz w:val="15"/>
        </w:rPr>
        <w:t>Naciones</w:t>
      </w:r>
      <w:r>
        <w:rPr>
          <w:spacing w:val="13"/>
          <w:sz w:val="15"/>
        </w:rPr>
        <w:t xml:space="preserve"> </w:t>
      </w:r>
      <w:r>
        <w:rPr>
          <w:sz w:val="15"/>
        </w:rPr>
        <w:t>Unidas</w:t>
      </w:r>
      <w:r>
        <w:rPr>
          <w:spacing w:val="13"/>
          <w:sz w:val="15"/>
        </w:rPr>
        <w:t xml:space="preserve"> </w:t>
      </w:r>
      <w:r>
        <w:rPr>
          <w:sz w:val="15"/>
        </w:rPr>
        <w:t>sobre</w:t>
      </w:r>
      <w:r>
        <w:rPr>
          <w:spacing w:val="13"/>
          <w:sz w:val="15"/>
        </w:rPr>
        <w:t xml:space="preserve"> </w:t>
      </w:r>
      <w:r>
        <w:rPr>
          <w:sz w:val="15"/>
        </w:rPr>
        <w:t>los</w:t>
      </w:r>
      <w:r>
        <w:rPr>
          <w:spacing w:val="13"/>
          <w:sz w:val="15"/>
        </w:rPr>
        <w:t xml:space="preserve"> </w:t>
      </w:r>
      <w:r>
        <w:rPr>
          <w:sz w:val="15"/>
        </w:rPr>
        <w:t>Derechos</w:t>
      </w:r>
      <w:r>
        <w:rPr>
          <w:spacing w:val="13"/>
          <w:sz w:val="15"/>
        </w:rPr>
        <w:t xml:space="preserve"> </w:t>
      </w:r>
      <w:r>
        <w:rPr>
          <w:sz w:val="15"/>
        </w:rPr>
        <w:t>de los</w:t>
      </w:r>
      <w:r>
        <w:rPr>
          <w:spacing w:val="10"/>
          <w:sz w:val="15"/>
        </w:rPr>
        <w:t xml:space="preserve"> </w:t>
      </w:r>
      <w:r>
        <w:rPr>
          <w:sz w:val="15"/>
        </w:rPr>
        <w:t>Pueblos</w:t>
      </w:r>
      <w:r>
        <w:rPr>
          <w:spacing w:val="10"/>
          <w:sz w:val="15"/>
        </w:rPr>
        <w:t xml:space="preserve"> </w:t>
      </w:r>
      <w:r>
        <w:rPr>
          <w:sz w:val="15"/>
        </w:rPr>
        <w:t>Indígenas,</w:t>
      </w:r>
      <w:r>
        <w:rPr>
          <w:spacing w:val="11"/>
          <w:sz w:val="15"/>
        </w:rPr>
        <w:t xml:space="preserve"> </w:t>
      </w:r>
      <w:r>
        <w:rPr>
          <w:sz w:val="15"/>
        </w:rPr>
        <w:t>adoptada</w:t>
      </w:r>
      <w:r>
        <w:rPr>
          <w:spacing w:val="10"/>
          <w:sz w:val="15"/>
        </w:rPr>
        <w:t xml:space="preserve"> </w:t>
      </w:r>
      <w:r>
        <w:rPr>
          <w:sz w:val="15"/>
        </w:rPr>
        <w:t>por</w:t>
      </w:r>
      <w:r>
        <w:rPr>
          <w:spacing w:val="10"/>
          <w:sz w:val="15"/>
        </w:rPr>
        <w:t xml:space="preserve"> </w:t>
      </w:r>
      <w:r>
        <w:rPr>
          <w:sz w:val="15"/>
        </w:rPr>
        <w:t>la</w:t>
      </w:r>
      <w:r>
        <w:rPr>
          <w:spacing w:val="10"/>
          <w:sz w:val="15"/>
        </w:rPr>
        <w:t xml:space="preserve"> </w:t>
      </w:r>
      <w:r>
        <w:rPr>
          <w:sz w:val="15"/>
        </w:rPr>
        <w:t>Asamblea</w:t>
      </w:r>
      <w:r>
        <w:rPr>
          <w:spacing w:val="10"/>
          <w:sz w:val="15"/>
        </w:rPr>
        <w:t xml:space="preserve"> </w:t>
      </w:r>
      <w:r>
        <w:rPr>
          <w:sz w:val="15"/>
        </w:rPr>
        <w:t>General</w:t>
      </w:r>
      <w:r>
        <w:rPr>
          <w:spacing w:val="10"/>
          <w:sz w:val="15"/>
        </w:rPr>
        <w:t xml:space="preserve"> </w:t>
      </w:r>
      <w:r>
        <w:rPr>
          <w:sz w:val="15"/>
        </w:rPr>
        <w:t>en</w:t>
      </w:r>
      <w:r>
        <w:rPr>
          <w:spacing w:val="10"/>
          <w:sz w:val="15"/>
        </w:rPr>
        <w:t xml:space="preserve"> </w:t>
      </w:r>
      <w:r>
        <w:rPr>
          <w:sz w:val="15"/>
        </w:rPr>
        <w:t>2007,</w:t>
      </w:r>
      <w:r>
        <w:rPr>
          <w:spacing w:val="11"/>
          <w:sz w:val="15"/>
        </w:rPr>
        <w:t xml:space="preserve"> </w:t>
      </w:r>
      <w:r>
        <w:rPr>
          <w:sz w:val="15"/>
        </w:rPr>
        <w:t>que</w:t>
      </w:r>
      <w:r>
        <w:rPr>
          <w:spacing w:val="10"/>
          <w:sz w:val="15"/>
        </w:rPr>
        <w:t xml:space="preserve"> </w:t>
      </w:r>
      <w:r>
        <w:rPr>
          <w:sz w:val="15"/>
        </w:rPr>
        <w:t>reconoce,</w:t>
      </w:r>
      <w:r>
        <w:rPr>
          <w:spacing w:val="11"/>
          <w:sz w:val="15"/>
        </w:rPr>
        <w:t xml:space="preserve"> </w:t>
      </w:r>
      <w:r>
        <w:rPr>
          <w:sz w:val="15"/>
        </w:rPr>
        <w:t>entre</w:t>
      </w:r>
      <w:r>
        <w:rPr>
          <w:spacing w:val="10"/>
          <w:sz w:val="15"/>
        </w:rPr>
        <w:t xml:space="preserve"> </w:t>
      </w:r>
      <w:r>
        <w:rPr>
          <w:sz w:val="15"/>
        </w:rPr>
        <w:t>otras</w:t>
      </w:r>
      <w:r>
        <w:rPr>
          <w:spacing w:val="10"/>
          <w:sz w:val="15"/>
        </w:rPr>
        <w:t xml:space="preserve"> </w:t>
      </w:r>
      <w:r>
        <w:rPr>
          <w:sz w:val="15"/>
        </w:rPr>
        <w:t>cosas,</w:t>
      </w:r>
      <w:r>
        <w:rPr>
          <w:spacing w:val="11"/>
          <w:sz w:val="15"/>
        </w:rPr>
        <w:t xml:space="preserve"> </w:t>
      </w:r>
      <w:r>
        <w:rPr>
          <w:sz w:val="15"/>
        </w:rPr>
        <w:t>el</w:t>
      </w:r>
      <w:r>
        <w:rPr>
          <w:spacing w:val="10"/>
          <w:sz w:val="15"/>
        </w:rPr>
        <w:t xml:space="preserve"> </w:t>
      </w:r>
      <w:r>
        <w:rPr>
          <w:sz w:val="15"/>
        </w:rPr>
        <w:t>derecho</w:t>
      </w:r>
      <w:r>
        <w:rPr>
          <w:spacing w:val="10"/>
          <w:sz w:val="15"/>
        </w:rPr>
        <w:t xml:space="preserve"> </w:t>
      </w:r>
      <w:r>
        <w:rPr>
          <w:sz w:val="15"/>
        </w:rPr>
        <w:t>a</w:t>
      </w:r>
      <w:r>
        <w:rPr>
          <w:spacing w:val="10"/>
          <w:sz w:val="15"/>
        </w:rPr>
        <w:t xml:space="preserve"> </w:t>
      </w:r>
      <w:r>
        <w:rPr>
          <w:sz w:val="15"/>
        </w:rPr>
        <w:t>la</w:t>
      </w:r>
      <w:r>
        <w:rPr>
          <w:spacing w:val="10"/>
          <w:sz w:val="15"/>
        </w:rPr>
        <w:t xml:space="preserve"> </w:t>
      </w:r>
      <w:r>
        <w:rPr>
          <w:sz w:val="15"/>
        </w:rPr>
        <w:t>autodeterminación y la autoidentificación.909 Múltiples mecanismos de las Naciones Unidas emiten orientaciones y recomendaciones en relación con los derechos de los pueblos indígenas, incluido el Mecanismo de Expertos de las Naciones Unidas sobre los Derechos de los Pueblos Indígenas,910 el Comité Permanente Foro sobre Cuestiones Indígenas y el Relator Especial sobre los derechos de los pueblos</w:t>
      </w:r>
    </w:p>
    <w:p w14:paraId="03EA47BB" w14:textId="77777777" w:rsidR="0014798C" w:rsidRDefault="004E1F0B">
      <w:pPr>
        <w:spacing w:line="348" w:lineRule="auto"/>
        <w:ind w:left="1109" w:right="1192" w:firstLine="2"/>
        <w:jc w:val="both"/>
        <w:rPr>
          <w:sz w:val="15"/>
        </w:rPr>
      </w:pPr>
      <w:r>
        <w:rPr>
          <w:sz w:val="15"/>
        </w:rPr>
        <w:t>indígenas.911 Es importante señalar que muchas personas que se autoidentifican como pueblos indígenas se oponen a la categorización como minoría por razones que incluyen tanto su identidad única como primeros y originales ocupantes de la tierra y el marco internacional</w:t>
      </w:r>
      <w:r>
        <w:rPr>
          <w:spacing w:val="40"/>
          <w:sz w:val="15"/>
        </w:rPr>
        <w:t xml:space="preserve"> </w:t>
      </w:r>
      <w:r>
        <w:rPr>
          <w:sz w:val="15"/>
        </w:rPr>
        <w:t>de derechos de las minorías, comparativamente más débil.912 A continuación se analizan los derechos de los pueblos indígenas.</w:t>
      </w:r>
    </w:p>
    <w:p w14:paraId="4DCE93FE" w14:textId="77777777" w:rsidR="0014798C" w:rsidRDefault="0014798C">
      <w:pPr>
        <w:pStyle w:val="Textoindependiente"/>
        <w:spacing w:before="168"/>
        <w:rPr>
          <w:sz w:val="18"/>
        </w:rPr>
      </w:pPr>
    </w:p>
    <w:p w14:paraId="091066EC" w14:textId="77777777" w:rsidR="0014798C" w:rsidRDefault="004E1F0B">
      <w:pPr>
        <w:spacing w:before="1" w:line="290" w:lineRule="auto"/>
        <w:ind w:left="1109" w:right="992"/>
        <w:rPr>
          <w:sz w:val="18"/>
        </w:rPr>
      </w:pPr>
      <w:r>
        <w:rPr>
          <w:noProof/>
        </w:rPr>
        <mc:AlternateContent>
          <mc:Choice Requires="wpg">
            <w:drawing>
              <wp:anchor distT="0" distB="0" distL="0" distR="0" simplePos="0" relativeHeight="251658307" behindDoc="0" locked="0" layoutInCell="1" allowOverlap="1" wp14:anchorId="16F71443" wp14:editId="1FD11526">
                <wp:simplePos x="0" y="0"/>
                <wp:positionH relativeFrom="page">
                  <wp:posOffset>826632</wp:posOffset>
                </wp:positionH>
                <wp:positionV relativeFrom="paragraph">
                  <wp:posOffset>472061</wp:posOffset>
                </wp:positionV>
                <wp:extent cx="6730365" cy="2808605"/>
                <wp:effectExtent l="0" t="0" r="0" b="0"/>
                <wp:wrapNone/>
                <wp:docPr id="277" name="Group 27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730365" cy="2808605"/>
                          <a:chOff x="0" y="0"/>
                          <a:chExt cx="6730365" cy="2808605"/>
                        </a:xfrm>
                      </wpg:grpSpPr>
                      <pic:pic xmlns:pic="http://schemas.openxmlformats.org/drawingml/2006/picture">
                        <pic:nvPicPr>
                          <pic:cNvPr id="278" name="Image 278"/>
                          <pic:cNvPicPr/>
                        </pic:nvPicPr>
                        <pic:blipFill>
                          <a:blip r:embed="rId258" cstate="print"/>
                          <a:stretch>
                            <a:fillRect/>
                          </a:stretch>
                        </pic:blipFill>
                        <pic:spPr>
                          <a:xfrm>
                            <a:off x="0" y="0"/>
                            <a:ext cx="6729867" cy="2808345"/>
                          </a:xfrm>
                          <a:prstGeom prst="rect">
                            <a:avLst/>
                          </a:prstGeom>
                        </pic:spPr>
                      </pic:pic>
                      <wps:wsp>
                        <wps:cNvPr id="279" name="Textbox 279"/>
                        <wps:cNvSpPr txBox="1"/>
                        <wps:spPr>
                          <a:xfrm>
                            <a:off x="0" y="0"/>
                            <a:ext cx="6730365" cy="2808605"/>
                          </a:xfrm>
                          <a:prstGeom prst="rect">
                            <a:avLst/>
                          </a:prstGeom>
                        </wps:spPr>
                        <wps:txbx>
                          <w:txbxContent>
                            <w:p w14:paraId="0F66BB22" w14:textId="77777777" w:rsidR="0014798C" w:rsidRDefault="004E1F0B">
                              <w:pPr>
                                <w:spacing w:before="48"/>
                                <w:ind w:left="8"/>
                                <w:rPr>
                                  <w:sz w:val="15"/>
                                </w:rPr>
                              </w:pPr>
                              <w:r>
                                <w:rPr>
                                  <w:sz w:val="15"/>
                                </w:rPr>
                                <w:t>Los</w:t>
                              </w:r>
                              <w:r>
                                <w:rPr>
                                  <w:spacing w:val="5"/>
                                  <w:sz w:val="15"/>
                                </w:rPr>
                                <w:t xml:space="preserve"> </w:t>
                              </w:r>
                              <w:r>
                                <w:rPr>
                                  <w:sz w:val="15"/>
                                </w:rPr>
                                <w:t>bahá'ís</w:t>
                              </w:r>
                              <w:r>
                                <w:rPr>
                                  <w:spacing w:val="6"/>
                                  <w:sz w:val="15"/>
                                </w:rPr>
                                <w:t xml:space="preserve"> </w:t>
                              </w:r>
                              <w:r>
                                <w:rPr>
                                  <w:sz w:val="15"/>
                                </w:rPr>
                                <w:t>y</w:t>
                              </w:r>
                              <w:r>
                                <w:rPr>
                                  <w:spacing w:val="5"/>
                                  <w:sz w:val="15"/>
                                </w:rPr>
                                <w:t xml:space="preserve"> </w:t>
                              </w:r>
                              <w:r>
                                <w:rPr>
                                  <w:sz w:val="15"/>
                                </w:rPr>
                                <w:t>otras</w:t>
                              </w:r>
                              <w:r>
                                <w:rPr>
                                  <w:spacing w:val="6"/>
                                  <w:sz w:val="15"/>
                                </w:rPr>
                                <w:t xml:space="preserve"> </w:t>
                              </w:r>
                              <w:r>
                                <w:rPr>
                                  <w:sz w:val="15"/>
                                </w:rPr>
                                <w:t>minorías</w:t>
                              </w:r>
                              <w:r>
                                <w:rPr>
                                  <w:spacing w:val="5"/>
                                  <w:sz w:val="15"/>
                                </w:rPr>
                                <w:t xml:space="preserve"> </w:t>
                              </w:r>
                              <w:r>
                                <w:rPr>
                                  <w:sz w:val="15"/>
                                </w:rPr>
                                <w:t>nombradas</w:t>
                              </w:r>
                              <w:r>
                                <w:rPr>
                                  <w:spacing w:val="6"/>
                                  <w:sz w:val="15"/>
                                </w:rPr>
                                <w:t xml:space="preserve"> </w:t>
                              </w:r>
                              <w:r>
                                <w:rPr>
                                  <w:sz w:val="15"/>
                                </w:rPr>
                                <w:t>en</w:t>
                              </w:r>
                              <w:r>
                                <w:rPr>
                                  <w:spacing w:val="6"/>
                                  <w:sz w:val="15"/>
                                </w:rPr>
                                <w:t xml:space="preserve"> </w:t>
                              </w:r>
                              <w:r>
                                <w:rPr>
                                  <w:sz w:val="15"/>
                                </w:rPr>
                                <w:t>la</w:t>
                              </w:r>
                              <w:r>
                                <w:rPr>
                                  <w:spacing w:val="5"/>
                                  <w:sz w:val="15"/>
                                </w:rPr>
                                <w:t xml:space="preserve"> </w:t>
                              </w:r>
                              <w:r>
                                <w:rPr>
                                  <w:sz w:val="15"/>
                                </w:rPr>
                                <w:t>República</w:t>
                              </w:r>
                              <w:r>
                                <w:rPr>
                                  <w:spacing w:val="6"/>
                                  <w:sz w:val="15"/>
                                </w:rPr>
                                <w:t xml:space="preserve"> </w:t>
                              </w:r>
                              <w:r>
                                <w:rPr>
                                  <w:sz w:val="15"/>
                                </w:rPr>
                                <w:t>Islámica</w:t>
                              </w:r>
                              <w:r>
                                <w:rPr>
                                  <w:spacing w:val="5"/>
                                  <w:sz w:val="15"/>
                                </w:rPr>
                                <w:t xml:space="preserve"> </w:t>
                              </w:r>
                              <w:r>
                                <w:rPr>
                                  <w:sz w:val="15"/>
                                </w:rPr>
                                <w:t>del</w:t>
                              </w:r>
                              <w:r>
                                <w:rPr>
                                  <w:spacing w:val="6"/>
                                  <w:sz w:val="15"/>
                                </w:rPr>
                                <w:t xml:space="preserve"> </w:t>
                              </w:r>
                              <w:r>
                                <w:rPr>
                                  <w:sz w:val="15"/>
                                </w:rPr>
                                <w:t>Irán917,</w:t>
                              </w:r>
                              <w:r>
                                <w:rPr>
                                  <w:spacing w:val="7"/>
                                  <w:sz w:val="15"/>
                                </w:rPr>
                                <w:t xml:space="preserve"> </w:t>
                              </w:r>
                              <w:r>
                                <w:rPr>
                                  <w:sz w:val="15"/>
                                </w:rPr>
                                <w:t>los</w:t>
                              </w:r>
                              <w:r>
                                <w:rPr>
                                  <w:spacing w:val="5"/>
                                  <w:sz w:val="15"/>
                                </w:rPr>
                                <w:t xml:space="preserve"> </w:t>
                              </w:r>
                              <w:r>
                                <w:rPr>
                                  <w:sz w:val="15"/>
                                </w:rPr>
                                <w:t>áhmadis</w:t>
                              </w:r>
                              <w:r>
                                <w:rPr>
                                  <w:spacing w:val="6"/>
                                  <w:sz w:val="15"/>
                                </w:rPr>
                                <w:t xml:space="preserve"> </w:t>
                              </w:r>
                              <w:r>
                                <w:rPr>
                                  <w:sz w:val="15"/>
                                </w:rPr>
                                <w:t>en</w:t>
                              </w:r>
                              <w:r>
                                <w:rPr>
                                  <w:spacing w:val="5"/>
                                  <w:sz w:val="15"/>
                                </w:rPr>
                                <w:t xml:space="preserve"> </w:t>
                              </w:r>
                              <w:r>
                                <w:rPr>
                                  <w:sz w:val="15"/>
                                </w:rPr>
                                <w:t>Pakistán918</w:t>
                              </w:r>
                              <w:r>
                                <w:rPr>
                                  <w:spacing w:val="6"/>
                                  <w:sz w:val="15"/>
                                </w:rPr>
                                <w:t xml:space="preserve"> </w:t>
                              </w:r>
                              <w:r>
                                <w:rPr>
                                  <w:sz w:val="15"/>
                                </w:rPr>
                                <w:t>y</w:t>
                              </w:r>
                              <w:r>
                                <w:rPr>
                                  <w:spacing w:val="5"/>
                                  <w:sz w:val="15"/>
                                </w:rPr>
                                <w:t xml:space="preserve"> </w:t>
                              </w:r>
                              <w:r>
                                <w:rPr>
                                  <w:sz w:val="15"/>
                                </w:rPr>
                                <w:t>los</w:t>
                              </w:r>
                              <w:r>
                                <w:rPr>
                                  <w:spacing w:val="6"/>
                                  <w:sz w:val="15"/>
                                </w:rPr>
                                <w:t xml:space="preserve"> </w:t>
                              </w:r>
                              <w:r>
                                <w:rPr>
                                  <w:sz w:val="15"/>
                                </w:rPr>
                                <w:t>darfuríes</w:t>
                              </w:r>
                              <w:r>
                                <w:rPr>
                                  <w:spacing w:val="6"/>
                                  <w:sz w:val="15"/>
                                </w:rPr>
                                <w:t xml:space="preserve"> </w:t>
                              </w:r>
                              <w:r>
                                <w:rPr>
                                  <w:sz w:val="15"/>
                                </w:rPr>
                                <w:t>en</w:t>
                              </w:r>
                              <w:r>
                                <w:rPr>
                                  <w:spacing w:val="5"/>
                                  <w:sz w:val="15"/>
                                </w:rPr>
                                <w:t xml:space="preserve"> </w:t>
                              </w:r>
                              <w:r>
                                <w:rPr>
                                  <w:spacing w:val="-2"/>
                                  <w:sz w:val="15"/>
                                </w:rPr>
                                <w:t>Sudán919,</w:t>
                              </w:r>
                            </w:p>
                            <w:p w14:paraId="7325C9F6" w14:textId="77777777" w:rsidR="0014798C" w:rsidRDefault="004E1F0B">
                              <w:pPr>
                                <w:spacing w:before="77" w:line="288" w:lineRule="auto"/>
                                <w:ind w:left="6" w:right="1337" w:firstLine="4"/>
                                <w:rPr>
                                  <w:sz w:val="15"/>
                                </w:rPr>
                              </w:pPr>
                              <w:r>
                                <w:rPr>
                                  <w:sz w:val="15"/>
                                </w:rPr>
                                <w:t>por ejemplo, han sido objeto de gran preocupación internacional. La situación de las minorías de habla rusa en los Estados bálticos</w:t>
                              </w:r>
                              <w:r>
                                <w:rPr>
                                  <w:spacing w:val="40"/>
                                  <w:sz w:val="15"/>
                                </w:rPr>
                                <w:t xml:space="preserve"> </w:t>
                              </w:r>
                              <w:r>
                                <w:rPr>
                                  <w:sz w:val="15"/>
                                </w:rPr>
                                <w:t>también ha sido mencionada como motivo de preocupación.920 Las Naciones Unidas establecieron en 1949 una agencia dedicada a los</w:t>
                              </w:r>
                            </w:p>
                            <w:p w14:paraId="0BC1CE91" w14:textId="77777777" w:rsidR="0014798C" w:rsidRDefault="004E1F0B">
                              <w:pPr>
                                <w:spacing w:before="85" w:line="348" w:lineRule="auto"/>
                                <w:ind w:left="7" w:right="1337" w:firstLine="2"/>
                                <w:rPr>
                                  <w:sz w:val="15"/>
                                </w:rPr>
                              </w:pPr>
                              <w:r>
                                <w:rPr>
                                  <w:sz w:val="15"/>
                                </w:rPr>
                                <w:t>derechos de los palestinos, un grupo que ha sido objeto de graves violaciones internacionales de derechos humanos. preocupación durante décadas.921</w:t>
                              </w:r>
                            </w:p>
                            <w:p w14:paraId="251E4F3E" w14:textId="77777777" w:rsidR="0014798C" w:rsidRDefault="004E1F0B">
                              <w:pPr>
                                <w:spacing w:before="170" w:line="348" w:lineRule="auto"/>
                                <w:ind w:left="6" w:right="1309"/>
                                <w:rPr>
                                  <w:sz w:val="15"/>
                                </w:rPr>
                              </w:pPr>
                              <w:r>
                                <w:rPr>
                                  <w:sz w:val="15"/>
                                </w:rPr>
                                <w:t>En</w:t>
                              </w:r>
                              <w:r>
                                <w:rPr>
                                  <w:spacing w:val="9"/>
                                  <w:sz w:val="15"/>
                                </w:rPr>
                                <w:t xml:space="preserve"> </w:t>
                              </w:r>
                              <w:r>
                                <w:rPr>
                                  <w:sz w:val="15"/>
                                </w:rPr>
                                <w:t>su</w:t>
                              </w:r>
                              <w:r>
                                <w:rPr>
                                  <w:spacing w:val="9"/>
                                  <w:sz w:val="15"/>
                                </w:rPr>
                                <w:t xml:space="preserve"> </w:t>
                              </w:r>
                              <w:r>
                                <w:rPr>
                                  <w:sz w:val="15"/>
                                </w:rPr>
                                <w:t>examen</w:t>
                              </w:r>
                              <w:r>
                                <w:rPr>
                                  <w:spacing w:val="9"/>
                                  <w:sz w:val="15"/>
                                </w:rPr>
                                <w:t xml:space="preserve"> </w:t>
                              </w:r>
                              <w:r>
                                <w:rPr>
                                  <w:sz w:val="15"/>
                                </w:rPr>
                                <w:t>del</w:t>
                              </w:r>
                              <w:r>
                                <w:rPr>
                                  <w:spacing w:val="9"/>
                                  <w:sz w:val="15"/>
                                </w:rPr>
                                <w:t xml:space="preserve"> </w:t>
                              </w:r>
                              <w:r>
                                <w:rPr>
                                  <w:sz w:val="15"/>
                                </w:rPr>
                                <w:t>cumplimiento</w:t>
                              </w:r>
                              <w:r>
                                <w:rPr>
                                  <w:spacing w:val="9"/>
                                  <w:sz w:val="15"/>
                                </w:rPr>
                                <w:t xml:space="preserve"> </w:t>
                              </w:r>
                              <w:r>
                                <w:rPr>
                                  <w:sz w:val="15"/>
                                </w:rPr>
                                <w:t>y</w:t>
                              </w:r>
                              <w:r>
                                <w:rPr>
                                  <w:spacing w:val="9"/>
                                  <w:sz w:val="15"/>
                                </w:rPr>
                                <w:t xml:space="preserve"> </w:t>
                              </w:r>
                              <w:r>
                                <w:rPr>
                                  <w:sz w:val="15"/>
                                </w:rPr>
                                <w:t>la</w:t>
                              </w:r>
                              <w:r>
                                <w:rPr>
                                  <w:spacing w:val="9"/>
                                  <w:sz w:val="15"/>
                                </w:rPr>
                                <w:t xml:space="preserve"> </w:t>
                              </w:r>
                              <w:r>
                                <w:rPr>
                                  <w:sz w:val="15"/>
                                </w:rPr>
                                <w:t>aplicación</w:t>
                              </w:r>
                              <w:r>
                                <w:rPr>
                                  <w:spacing w:val="9"/>
                                  <w:sz w:val="15"/>
                                </w:rPr>
                                <w:t xml:space="preserve"> </w:t>
                              </w:r>
                              <w:r>
                                <w:rPr>
                                  <w:sz w:val="15"/>
                                </w:rPr>
                                <w:t>por</w:t>
                              </w:r>
                              <w:r>
                                <w:rPr>
                                  <w:spacing w:val="9"/>
                                  <w:sz w:val="15"/>
                                </w:rPr>
                                <w:t xml:space="preserve"> </w:t>
                              </w:r>
                              <w:r>
                                <w:rPr>
                                  <w:sz w:val="15"/>
                                </w:rPr>
                                <w:t>los</w:t>
                              </w:r>
                              <w:r>
                                <w:rPr>
                                  <w:spacing w:val="9"/>
                                  <w:sz w:val="15"/>
                                </w:rPr>
                                <w:t xml:space="preserve"> </w:t>
                              </w:r>
                              <w:r>
                                <w:rPr>
                                  <w:sz w:val="15"/>
                                </w:rPr>
                                <w:t>Estados</w:t>
                              </w:r>
                              <w:r>
                                <w:rPr>
                                  <w:spacing w:val="9"/>
                                  <w:sz w:val="15"/>
                                </w:rPr>
                                <w:t xml:space="preserve"> </w:t>
                              </w:r>
                              <w:r>
                                <w:rPr>
                                  <w:sz w:val="15"/>
                                </w:rPr>
                                <w:t>de</w:t>
                              </w:r>
                              <w:r>
                                <w:rPr>
                                  <w:spacing w:val="9"/>
                                  <w:sz w:val="15"/>
                                </w:rPr>
                                <w:t xml:space="preserve"> </w:t>
                              </w:r>
                              <w:r>
                                <w:rPr>
                                  <w:sz w:val="15"/>
                                </w:rPr>
                                <w:t>la</w:t>
                              </w:r>
                              <w:r>
                                <w:rPr>
                                  <w:spacing w:val="9"/>
                                  <w:sz w:val="15"/>
                                </w:rPr>
                                <w:t xml:space="preserve"> </w:t>
                              </w:r>
                              <w:r>
                                <w:rPr>
                                  <w:sz w:val="15"/>
                                </w:rPr>
                                <w:t>Convención</w:t>
                              </w:r>
                              <w:r>
                                <w:rPr>
                                  <w:spacing w:val="9"/>
                                  <w:sz w:val="15"/>
                                </w:rPr>
                                <w:t xml:space="preserve"> </w:t>
                              </w:r>
                              <w:r>
                                <w:rPr>
                                  <w:sz w:val="15"/>
                                </w:rPr>
                                <w:t>Internacional</w:t>
                              </w:r>
                              <w:r>
                                <w:rPr>
                                  <w:spacing w:val="9"/>
                                  <w:sz w:val="15"/>
                                </w:rPr>
                                <w:t xml:space="preserve"> </w:t>
                              </w:r>
                              <w:r>
                                <w:rPr>
                                  <w:sz w:val="15"/>
                                </w:rPr>
                                <w:t>sobre</w:t>
                              </w:r>
                              <w:r>
                                <w:rPr>
                                  <w:spacing w:val="9"/>
                                  <w:sz w:val="15"/>
                                </w:rPr>
                                <w:t xml:space="preserve"> </w:t>
                              </w:r>
                              <w:r>
                                <w:rPr>
                                  <w:sz w:val="15"/>
                                </w:rPr>
                                <w:t>la</w:t>
                              </w:r>
                              <w:r>
                                <w:rPr>
                                  <w:spacing w:val="9"/>
                                  <w:sz w:val="15"/>
                                </w:rPr>
                                <w:t xml:space="preserve"> </w:t>
                              </w:r>
                              <w:r>
                                <w:rPr>
                                  <w:sz w:val="15"/>
                                </w:rPr>
                                <w:t>Eliminación</w:t>
                              </w:r>
                              <w:r>
                                <w:rPr>
                                  <w:spacing w:val="9"/>
                                  <w:sz w:val="15"/>
                                </w:rPr>
                                <w:t xml:space="preserve"> </w:t>
                              </w:r>
                              <w:r>
                                <w:rPr>
                                  <w:sz w:val="15"/>
                                </w:rPr>
                                <w:t>de</w:t>
                              </w:r>
                              <w:r>
                                <w:rPr>
                                  <w:spacing w:val="9"/>
                                  <w:sz w:val="15"/>
                                </w:rPr>
                                <w:t xml:space="preserve"> </w:t>
                              </w:r>
                              <w:r>
                                <w:rPr>
                                  <w:sz w:val="15"/>
                                </w:rPr>
                                <w:t>todas</w:t>
                              </w:r>
                              <w:r>
                                <w:rPr>
                                  <w:spacing w:val="9"/>
                                  <w:sz w:val="15"/>
                                </w:rPr>
                                <w:t xml:space="preserve"> </w:t>
                              </w:r>
                              <w:r>
                                <w:rPr>
                                  <w:sz w:val="15"/>
                                </w:rPr>
                                <w:t>las</w:t>
                              </w:r>
                              <w:r>
                                <w:rPr>
                                  <w:spacing w:val="9"/>
                                  <w:sz w:val="15"/>
                                </w:rPr>
                                <w:t xml:space="preserve"> </w:t>
                              </w:r>
                              <w:r>
                                <w:rPr>
                                  <w:sz w:val="15"/>
                                </w:rPr>
                                <w:t>Formas de Discriminación Racial, el Comité para la Eliminación de la Discriminación Racial identificó grupos que consideraba en particular riesgo</w:t>
                              </w:r>
                              <w:r>
                                <w:rPr>
                                  <w:spacing w:val="40"/>
                                  <w:sz w:val="15"/>
                                </w:rPr>
                                <w:t xml:space="preserve"> </w:t>
                              </w:r>
                              <w:r>
                                <w:rPr>
                                  <w:sz w:val="15"/>
                                </w:rPr>
                                <w:t xml:space="preserve">de sufrir discriminación racial en un Estado o contexto determinado. 922 </w:t>
                              </w:r>
                              <w:r>
                                <w:rPr>
                                  <w:sz w:val="15"/>
                                </w:rPr>
                                <w:t>Otros órganos creados en virtud de tratados de derechos</w:t>
                              </w:r>
                              <w:r>
                                <w:rPr>
                                  <w:spacing w:val="80"/>
                                  <w:sz w:val="15"/>
                                </w:rPr>
                                <w:t xml:space="preserve"> </w:t>
                              </w:r>
                              <w:r>
                                <w:rPr>
                                  <w:sz w:val="15"/>
                                </w:rPr>
                                <w:t>humanos y mecanismos de las Naciones Unidas también pueden nombrar grupos particulares que requieren atención en contextos nacionales.</w:t>
                              </w:r>
                              <w:r>
                                <w:rPr>
                                  <w:spacing w:val="13"/>
                                  <w:sz w:val="15"/>
                                </w:rPr>
                                <w:t xml:space="preserve"> </w:t>
                              </w:r>
                              <w:r>
                                <w:rPr>
                                  <w:sz w:val="15"/>
                                </w:rPr>
                                <w:t>Sin</w:t>
                              </w:r>
                              <w:r>
                                <w:rPr>
                                  <w:spacing w:val="12"/>
                                  <w:sz w:val="15"/>
                                </w:rPr>
                                <w:t xml:space="preserve"> </w:t>
                              </w:r>
                              <w:r>
                                <w:rPr>
                                  <w:sz w:val="15"/>
                                </w:rPr>
                                <w:t>embargo,</w:t>
                              </w:r>
                              <w:r>
                                <w:rPr>
                                  <w:spacing w:val="13"/>
                                  <w:sz w:val="15"/>
                                </w:rPr>
                                <w:t xml:space="preserve"> </w:t>
                              </w:r>
                              <w:r>
                                <w:rPr>
                                  <w:sz w:val="15"/>
                                </w:rPr>
                                <w:t>dichas</w:t>
                              </w:r>
                              <w:r>
                                <w:rPr>
                                  <w:spacing w:val="12"/>
                                  <w:sz w:val="15"/>
                                </w:rPr>
                                <w:t xml:space="preserve"> </w:t>
                              </w:r>
                              <w:r>
                                <w:rPr>
                                  <w:sz w:val="15"/>
                                </w:rPr>
                                <w:t>listas</w:t>
                              </w:r>
                              <w:r>
                                <w:rPr>
                                  <w:spacing w:val="12"/>
                                  <w:sz w:val="15"/>
                                </w:rPr>
                                <w:t xml:space="preserve"> </w:t>
                              </w:r>
                              <w:r>
                                <w:rPr>
                                  <w:sz w:val="15"/>
                                </w:rPr>
                                <w:t>no</w:t>
                              </w:r>
                              <w:r>
                                <w:rPr>
                                  <w:spacing w:val="12"/>
                                  <w:sz w:val="15"/>
                                </w:rPr>
                                <w:t xml:space="preserve"> </w:t>
                              </w:r>
                              <w:r>
                                <w:rPr>
                                  <w:sz w:val="15"/>
                                </w:rPr>
                                <w:t>son</w:t>
                              </w:r>
                              <w:r>
                                <w:rPr>
                                  <w:spacing w:val="12"/>
                                  <w:sz w:val="15"/>
                                </w:rPr>
                                <w:t xml:space="preserve"> </w:t>
                              </w:r>
                              <w:r>
                                <w:rPr>
                                  <w:sz w:val="15"/>
                                </w:rPr>
                                <w:t>exhaustivas,</w:t>
                              </w:r>
                              <w:r>
                                <w:rPr>
                                  <w:spacing w:val="13"/>
                                  <w:sz w:val="15"/>
                                </w:rPr>
                                <w:t xml:space="preserve"> </w:t>
                              </w:r>
                              <w:r>
                                <w:rPr>
                                  <w:sz w:val="15"/>
                                </w:rPr>
                                <w:t>por</w:t>
                              </w:r>
                              <w:r>
                                <w:rPr>
                                  <w:spacing w:val="12"/>
                                  <w:sz w:val="15"/>
                                </w:rPr>
                                <w:t xml:space="preserve"> </w:t>
                              </w:r>
                              <w:r>
                                <w:rPr>
                                  <w:sz w:val="15"/>
                                </w:rPr>
                                <w:t>varias</w:t>
                              </w:r>
                              <w:r>
                                <w:rPr>
                                  <w:spacing w:val="12"/>
                                  <w:sz w:val="15"/>
                                </w:rPr>
                                <w:t xml:space="preserve"> </w:t>
                              </w:r>
                              <w:r>
                                <w:rPr>
                                  <w:sz w:val="15"/>
                                </w:rPr>
                                <w:t>razones,</w:t>
                              </w:r>
                              <w:r>
                                <w:rPr>
                                  <w:spacing w:val="13"/>
                                  <w:sz w:val="15"/>
                                </w:rPr>
                                <w:t xml:space="preserve"> </w:t>
                              </w:r>
                              <w:r>
                                <w:rPr>
                                  <w:sz w:val="15"/>
                                </w:rPr>
                                <w:t>y</w:t>
                              </w:r>
                              <w:r>
                                <w:rPr>
                                  <w:spacing w:val="12"/>
                                  <w:sz w:val="15"/>
                                </w:rPr>
                                <w:t xml:space="preserve"> </w:t>
                              </w:r>
                              <w:r>
                                <w:rPr>
                                  <w:sz w:val="15"/>
                                </w:rPr>
                                <w:t>es</w:t>
                              </w:r>
                              <w:r>
                                <w:rPr>
                                  <w:spacing w:val="12"/>
                                  <w:sz w:val="15"/>
                                </w:rPr>
                                <w:t xml:space="preserve"> </w:t>
                              </w:r>
                              <w:r>
                                <w:rPr>
                                  <w:sz w:val="15"/>
                                </w:rPr>
                                <w:t>importante</w:t>
                              </w:r>
                              <w:r>
                                <w:rPr>
                                  <w:spacing w:val="12"/>
                                  <w:sz w:val="15"/>
                                </w:rPr>
                                <w:t xml:space="preserve"> </w:t>
                              </w:r>
                              <w:r>
                                <w:rPr>
                                  <w:sz w:val="15"/>
                                </w:rPr>
                                <w:t>reconocer</w:t>
                              </w:r>
                              <w:r>
                                <w:rPr>
                                  <w:spacing w:val="12"/>
                                  <w:sz w:val="15"/>
                                </w:rPr>
                                <w:t xml:space="preserve"> </w:t>
                              </w:r>
                              <w:r>
                                <w:rPr>
                                  <w:sz w:val="15"/>
                                </w:rPr>
                                <w:t>que</w:t>
                              </w:r>
                              <w:r>
                                <w:rPr>
                                  <w:spacing w:val="12"/>
                                  <w:sz w:val="15"/>
                                </w:rPr>
                                <w:t xml:space="preserve"> </w:t>
                              </w:r>
                              <w:r>
                                <w:rPr>
                                  <w:sz w:val="15"/>
                                </w:rPr>
                                <w:t>la</w:t>
                              </w:r>
                              <w:r>
                                <w:rPr>
                                  <w:spacing w:val="12"/>
                                  <w:sz w:val="15"/>
                                </w:rPr>
                                <w:t xml:space="preserve"> </w:t>
                              </w:r>
                              <w:r>
                                <w:rPr>
                                  <w:sz w:val="15"/>
                                </w:rPr>
                                <w:t>no</w:t>
                              </w:r>
                              <w:r>
                                <w:rPr>
                                  <w:spacing w:val="12"/>
                                  <w:sz w:val="15"/>
                                </w:rPr>
                                <w:t xml:space="preserve"> </w:t>
                              </w:r>
                              <w:r>
                                <w:rPr>
                                  <w:sz w:val="15"/>
                                </w:rPr>
                                <w:t>inclusión</w:t>
                              </w:r>
                              <w:r>
                                <w:rPr>
                                  <w:spacing w:val="12"/>
                                  <w:sz w:val="15"/>
                                </w:rPr>
                                <w:t xml:space="preserve"> </w:t>
                              </w:r>
                              <w:r>
                                <w:rPr>
                                  <w:sz w:val="15"/>
                                </w:rPr>
                                <w:t>de</w:t>
                              </w:r>
                              <w:r>
                                <w:rPr>
                                  <w:spacing w:val="12"/>
                                  <w:sz w:val="15"/>
                                </w:rPr>
                                <w:t xml:space="preserve"> </w:t>
                              </w:r>
                              <w:r>
                                <w:rPr>
                                  <w:sz w:val="15"/>
                                </w:rPr>
                                <w:t>un grupo puede ser consecuencia de la negación, el estigma o el riesgo tan generalizado que las comunidades no pueden o no quieren ser nombradas. .</w:t>
                              </w:r>
                            </w:p>
                          </w:txbxContent>
                        </wps:txbx>
                        <wps:bodyPr wrap="square" lIns="0" tIns="0" rIns="0" bIns="0" rtlCol="0">
                          <a:noAutofit/>
                        </wps:bodyPr>
                      </wps:wsp>
                    </wpg:wgp>
                  </a:graphicData>
                </a:graphic>
              </wp:anchor>
            </w:drawing>
          </mc:Choice>
          <mc:Fallback>
            <w:pict>
              <v:group w14:anchorId="16F71443" id="Group 277" o:spid="_x0000_s1136" style="position:absolute;left:0;text-align:left;margin-left:65.1pt;margin-top:37.15pt;width:529.95pt;height:221.15pt;z-index:251658307;mso-wrap-distance-left:0;mso-wrap-distance-right:0;mso-position-horizontal-relative:page" coordsize="67303,28086"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">
                <v:shape id="Image 278" o:spid="_x0000_s1137" type="#_x0000_t75" style="position:absolute;width:67298;height:2808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">
                  <v:imagedata r:id="rId259" o:title=""/>
                </v:shape>
                <v:shape id="Textbox 279" o:spid="_x0000_s1138" type="#_x0000_t202" style="position:absolute;width:67303;height:2808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" filled="f" stroked="f">
                  <v:textbox inset="0,0,0,0">
                    <w:txbxContent>
                      <w:p w14:paraId="0F66BB22" w14:textId="77777777" w:rsidR="0014798C" w:rsidRDefault="004E1F0B">
                        <w:pPr>
                          <w:spacing w:before="48"/>
                          <w:ind w:left="8"/>
                          <w:rPr>
                            <w:sz w:val="15"/>
                          </w:rPr>
                        </w:pPr>
                        <w:r>
                          <w:rPr>
                            <w:sz w:val="15"/>
                          </w:rPr>
                          <w:t>Los</w:t>
                        </w:r>
                        <w:r>
                          <w:rPr>
                            <w:spacing w:val="5"/>
                            <w:sz w:val="15"/>
                          </w:rPr>
                          <w:t xml:space="preserve"> </w:t>
                        </w:r>
                        <w:proofErr w:type="spellStart"/>
                        <w:r>
                          <w:rPr>
                            <w:sz w:val="15"/>
                          </w:rPr>
                          <w:t>bahá'ís</w:t>
                        </w:r>
                        <w:proofErr w:type="spellEnd"/>
                        <w:r>
                          <w:rPr>
                            <w:spacing w:val="6"/>
                            <w:sz w:val="15"/>
                          </w:rPr>
                          <w:t xml:space="preserve"> </w:t>
                        </w:r>
                        <w:r>
                          <w:rPr>
                            <w:sz w:val="15"/>
                          </w:rPr>
                          <w:t>y</w:t>
                        </w:r>
                        <w:r>
                          <w:rPr>
                            <w:spacing w:val="5"/>
                            <w:sz w:val="15"/>
                          </w:rPr>
                          <w:t xml:space="preserve"> </w:t>
                        </w:r>
                        <w:r>
                          <w:rPr>
                            <w:sz w:val="15"/>
                          </w:rPr>
                          <w:t>otras</w:t>
                        </w:r>
                        <w:r>
                          <w:rPr>
                            <w:spacing w:val="6"/>
                            <w:sz w:val="15"/>
                          </w:rPr>
                          <w:t xml:space="preserve"> </w:t>
                        </w:r>
                        <w:r>
                          <w:rPr>
                            <w:sz w:val="15"/>
                          </w:rPr>
                          <w:t>minorías</w:t>
                        </w:r>
                        <w:r>
                          <w:rPr>
                            <w:spacing w:val="5"/>
                            <w:sz w:val="15"/>
                          </w:rPr>
                          <w:t xml:space="preserve"> </w:t>
                        </w:r>
                        <w:r>
                          <w:rPr>
                            <w:sz w:val="15"/>
                          </w:rPr>
                          <w:t>nombradas</w:t>
                        </w:r>
                        <w:r>
                          <w:rPr>
                            <w:spacing w:val="6"/>
                            <w:sz w:val="15"/>
                          </w:rPr>
                          <w:t xml:space="preserve"> </w:t>
                        </w:r>
                        <w:r>
                          <w:rPr>
                            <w:sz w:val="15"/>
                          </w:rPr>
                          <w:t>en</w:t>
                        </w:r>
                        <w:r>
                          <w:rPr>
                            <w:spacing w:val="6"/>
                            <w:sz w:val="15"/>
                          </w:rPr>
                          <w:t xml:space="preserve"> </w:t>
                        </w:r>
                        <w:r>
                          <w:rPr>
                            <w:sz w:val="15"/>
                          </w:rPr>
                          <w:t>la</w:t>
                        </w:r>
                        <w:r>
                          <w:rPr>
                            <w:spacing w:val="5"/>
                            <w:sz w:val="15"/>
                          </w:rPr>
                          <w:t xml:space="preserve"> </w:t>
                        </w:r>
                        <w:r>
                          <w:rPr>
                            <w:sz w:val="15"/>
                          </w:rPr>
                          <w:t>República</w:t>
                        </w:r>
                        <w:r>
                          <w:rPr>
                            <w:spacing w:val="6"/>
                            <w:sz w:val="15"/>
                          </w:rPr>
                          <w:t xml:space="preserve"> </w:t>
                        </w:r>
                        <w:r>
                          <w:rPr>
                            <w:sz w:val="15"/>
                          </w:rPr>
                          <w:t>Islámica</w:t>
                        </w:r>
                        <w:r>
                          <w:rPr>
                            <w:spacing w:val="5"/>
                            <w:sz w:val="15"/>
                          </w:rPr>
                          <w:t xml:space="preserve"> </w:t>
                        </w:r>
                        <w:r>
                          <w:rPr>
                            <w:sz w:val="15"/>
                          </w:rPr>
                          <w:t>del</w:t>
                        </w:r>
                        <w:r>
                          <w:rPr>
                            <w:spacing w:val="6"/>
                            <w:sz w:val="15"/>
                          </w:rPr>
                          <w:t xml:space="preserve"> </w:t>
                        </w:r>
                        <w:r>
                          <w:rPr>
                            <w:sz w:val="15"/>
                          </w:rPr>
                          <w:t>Irán917,</w:t>
                        </w:r>
                        <w:r>
                          <w:rPr>
                            <w:spacing w:val="7"/>
                            <w:sz w:val="15"/>
                          </w:rPr>
                          <w:t xml:space="preserve"> </w:t>
                        </w:r>
                        <w:r>
                          <w:rPr>
                            <w:sz w:val="15"/>
                          </w:rPr>
                          <w:t>los</w:t>
                        </w:r>
                        <w:r>
                          <w:rPr>
                            <w:spacing w:val="5"/>
                            <w:sz w:val="15"/>
                          </w:rPr>
                          <w:t xml:space="preserve"> </w:t>
                        </w:r>
                        <w:proofErr w:type="spellStart"/>
                        <w:r>
                          <w:rPr>
                            <w:sz w:val="15"/>
                          </w:rPr>
                          <w:t>áhmadis</w:t>
                        </w:r>
                        <w:proofErr w:type="spellEnd"/>
                        <w:r>
                          <w:rPr>
                            <w:spacing w:val="6"/>
                            <w:sz w:val="15"/>
                          </w:rPr>
                          <w:t xml:space="preserve"> </w:t>
                        </w:r>
                        <w:r>
                          <w:rPr>
                            <w:sz w:val="15"/>
                          </w:rPr>
                          <w:t>en</w:t>
                        </w:r>
                        <w:r>
                          <w:rPr>
                            <w:spacing w:val="5"/>
                            <w:sz w:val="15"/>
                          </w:rPr>
                          <w:t xml:space="preserve"> </w:t>
                        </w:r>
                        <w:r>
                          <w:rPr>
                            <w:sz w:val="15"/>
                          </w:rPr>
                          <w:t>Pakistán918</w:t>
                        </w:r>
                        <w:r>
                          <w:rPr>
                            <w:spacing w:val="6"/>
                            <w:sz w:val="15"/>
                          </w:rPr>
                          <w:t xml:space="preserve"> </w:t>
                        </w:r>
                        <w:r>
                          <w:rPr>
                            <w:sz w:val="15"/>
                          </w:rPr>
                          <w:t>y</w:t>
                        </w:r>
                        <w:r>
                          <w:rPr>
                            <w:spacing w:val="5"/>
                            <w:sz w:val="15"/>
                          </w:rPr>
                          <w:t xml:space="preserve"> </w:t>
                        </w:r>
                        <w:r>
                          <w:rPr>
                            <w:sz w:val="15"/>
                          </w:rPr>
                          <w:t>los</w:t>
                        </w:r>
                        <w:r>
                          <w:rPr>
                            <w:spacing w:val="6"/>
                            <w:sz w:val="15"/>
                          </w:rPr>
                          <w:t xml:space="preserve"> </w:t>
                        </w:r>
                        <w:proofErr w:type="spellStart"/>
                        <w:r>
                          <w:rPr>
                            <w:sz w:val="15"/>
                          </w:rPr>
                          <w:t>darfuríes</w:t>
                        </w:r>
                        <w:proofErr w:type="spellEnd"/>
                        <w:r>
                          <w:rPr>
                            <w:spacing w:val="6"/>
                            <w:sz w:val="15"/>
                          </w:rPr>
                          <w:t xml:space="preserve"> </w:t>
                        </w:r>
                        <w:r>
                          <w:rPr>
                            <w:sz w:val="15"/>
                          </w:rPr>
                          <w:t>en</w:t>
                        </w:r>
                        <w:r>
                          <w:rPr>
                            <w:spacing w:val="5"/>
                            <w:sz w:val="15"/>
                          </w:rPr>
                          <w:t xml:space="preserve"> </w:t>
                        </w:r>
                        <w:r>
                          <w:rPr>
                            <w:spacing w:val="-2"/>
                            <w:sz w:val="15"/>
                          </w:rPr>
                          <w:t>Sudán919,</w:t>
                        </w:r>
                      </w:p>
                      <w:p w14:paraId="7325C9F6" w14:textId="77777777" w:rsidR="0014798C" w:rsidRDefault="004E1F0B">
                        <w:pPr>
                          <w:spacing w:before="77" w:line="288" w:lineRule="auto"/>
                          <w:ind w:left="6" w:right="1337" w:firstLine="4"/>
                          <w:rPr>
                            <w:sz w:val="15"/>
                          </w:rPr>
                        </w:pPr>
                        <w:r>
                          <w:rPr>
                            <w:sz w:val="15"/>
                          </w:rPr>
                          <w:t>por ejemplo, han sido objeto de gran preocupación internacional. La situación de las minorías de habla rusa en los Estados bálticos</w:t>
                        </w:r>
                        <w:r>
                          <w:rPr>
                            <w:spacing w:val="40"/>
                            <w:sz w:val="15"/>
                          </w:rPr>
                          <w:t xml:space="preserve"> </w:t>
                        </w:r>
                        <w:r>
                          <w:rPr>
                            <w:sz w:val="15"/>
                          </w:rPr>
                          <w:t>también ha sido mencionada como motivo de preocupación.920 Las Naciones Unidas establecieron en 1949 una agencia dedicada a los</w:t>
                        </w:r>
                      </w:p>
                      <w:p w14:paraId="0BC1CE91" w14:textId="77777777" w:rsidR="0014798C" w:rsidRDefault="004E1F0B">
                        <w:pPr>
                          <w:spacing w:before="85" w:line="348" w:lineRule="auto"/>
                          <w:ind w:left="7" w:right="1337" w:firstLine="2"/>
                          <w:rPr>
                            <w:sz w:val="15"/>
                          </w:rPr>
                        </w:pPr>
                        <w:r>
                          <w:rPr>
                            <w:sz w:val="15"/>
                          </w:rPr>
                          <w:t>derechos de los palestinos, un grupo que ha sido objeto de graves violaciones internacionales de derechos humanos. preocupación durante décadas.921</w:t>
                        </w:r>
                      </w:p>
                      <w:p w14:paraId="251E4F3E" w14:textId="77777777" w:rsidR="0014798C" w:rsidRDefault="004E1F0B">
                        <w:pPr>
                          <w:spacing w:before="170" w:line="348" w:lineRule="auto"/>
                          <w:ind w:left="6" w:right="1309"/>
                          <w:rPr>
                            <w:sz w:val="15"/>
                          </w:rPr>
                        </w:pPr>
                        <w:r>
                          <w:rPr>
                            <w:sz w:val="15"/>
                          </w:rPr>
                          <w:t>En</w:t>
                        </w:r>
                        <w:r>
                          <w:rPr>
                            <w:spacing w:val="9"/>
                            <w:sz w:val="15"/>
                          </w:rPr>
                          <w:t xml:space="preserve"> </w:t>
                        </w:r>
                        <w:r>
                          <w:rPr>
                            <w:sz w:val="15"/>
                          </w:rPr>
                          <w:t>su</w:t>
                        </w:r>
                        <w:r>
                          <w:rPr>
                            <w:spacing w:val="9"/>
                            <w:sz w:val="15"/>
                          </w:rPr>
                          <w:t xml:space="preserve"> </w:t>
                        </w:r>
                        <w:r>
                          <w:rPr>
                            <w:sz w:val="15"/>
                          </w:rPr>
                          <w:t>examen</w:t>
                        </w:r>
                        <w:r>
                          <w:rPr>
                            <w:spacing w:val="9"/>
                            <w:sz w:val="15"/>
                          </w:rPr>
                          <w:t xml:space="preserve"> </w:t>
                        </w:r>
                        <w:r>
                          <w:rPr>
                            <w:sz w:val="15"/>
                          </w:rPr>
                          <w:t>del</w:t>
                        </w:r>
                        <w:r>
                          <w:rPr>
                            <w:spacing w:val="9"/>
                            <w:sz w:val="15"/>
                          </w:rPr>
                          <w:t xml:space="preserve"> </w:t>
                        </w:r>
                        <w:r>
                          <w:rPr>
                            <w:sz w:val="15"/>
                          </w:rPr>
                          <w:t>cumplimiento</w:t>
                        </w:r>
                        <w:r>
                          <w:rPr>
                            <w:spacing w:val="9"/>
                            <w:sz w:val="15"/>
                          </w:rPr>
                          <w:t xml:space="preserve"> </w:t>
                        </w:r>
                        <w:r>
                          <w:rPr>
                            <w:sz w:val="15"/>
                          </w:rPr>
                          <w:t>y</w:t>
                        </w:r>
                        <w:r>
                          <w:rPr>
                            <w:spacing w:val="9"/>
                            <w:sz w:val="15"/>
                          </w:rPr>
                          <w:t xml:space="preserve"> </w:t>
                        </w:r>
                        <w:r>
                          <w:rPr>
                            <w:sz w:val="15"/>
                          </w:rPr>
                          <w:t>la</w:t>
                        </w:r>
                        <w:r>
                          <w:rPr>
                            <w:spacing w:val="9"/>
                            <w:sz w:val="15"/>
                          </w:rPr>
                          <w:t xml:space="preserve"> </w:t>
                        </w:r>
                        <w:r>
                          <w:rPr>
                            <w:sz w:val="15"/>
                          </w:rPr>
                          <w:t>aplicación</w:t>
                        </w:r>
                        <w:r>
                          <w:rPr>
                            <w:spacing w:val="9"/>
                            <w:sz w:val="15"/>
                          </w:rPr>
                          <w:t xml:space="preserve"> </w:t>
                        </w:r>
                        <w:r>
                          <w:rPr>
                            <w:sz w:val="15"/>
                          </w:rPr>
                          <w:t>por</w:t>
                        </w:r>
                        <w:r>
                          <w:rPr>
                            <w:spacing w:val="9"/>
                            <w:sz w:val="15"/>
                          </w:rPr>
                          <w:t xml:space="preserve"> </w:t>
                        </w:r>
                        <w:r>
                          <w:rPr>
                            <w:sz w:val="15"/>
                          </w:rPr>
                          <w:t>los</w:t>
                        </w:r>
                        <w:r>
                          <w:rPr>
                            <w:spacing w:val="9"/>
                            <w:sz w:val="15"/>
                          </w:rPr>
                          <w:t xml:space="preserve"> </w:t>
                        </w:r>
                        <w:r>
                          <w:rPr>
                            <w:sz w:val="15"/>
                          </w:rPr>
                          <w:t>Estados</w:t>
                        </w:r>
                        <w:r>
                          <w:rPr>
                            <w:spacing w:val="9"/>
                            <w:sz w:val="15"/>
                          </w:rPr>
                          <w:t xml:space="preserve"> </w:t>
                        </w:r>
                        <w:r>
                          <w:rPr>
                            <w:sz w:val="15"/>
                          </w:rPr>
                          <w:t>de</w:t>
                        </w:r>
                        <w:r>
                          <w:rPr>
                            <w:spacing w:val="9"/>
                            <w:sz w:val="15"/>
                          </w:rPr>
                          <w:t xml:space="preserve"> </w:t>
                        </w:r>
                        <w:r>
                          <w:rPr>
                            <w:sz w:val="15"/>
                          </w:rPr>
                          <w:t>la</w:t>
                        </w:r>
                        <w:r>
                          <w:rPr>
                            <w:spacing w:val="9"/>
                            <w:sz w:val="15"/>
                          </w:rPr>
                          <w:t xml:space="preserve"> </w:t>
                        </w:r>
                        <w:r>
                          <w:rPr>
                            <w:sz w:val="15"/>
                          </w:rPr>
                          <w:t>Convención</w:t>
                        </w:r>
                        <w:r>
                          <w:rPr>
                            <w:spacing w:val="9"/>
                            <w:sz w:val="15"/>
                          </w:rPr>
                          <w:t xml:space="preserve"> </w:t>
                        </w:r>
                        <w:r>
                          <w:rPr>
                            <w:sz w:val="15"/>
                          </w:rPr>
                          <w:t>Internacional</w:t>
                        </w:r>
                        <w:r>
                          <w:rPr>
                            <w:spacing w:val="9"/>
                            <w:sz w:val="15"/>
                          </w:rPr>
                          <w:t xml:space="preserve"> </w:t>
                        </w:r>
                        <w:r>
                          <w:rPr>
                            <w:sz w:val="15"/>
                          </w:rPr>
                          <w:t>sobre</w:t>
                        </w:r>
                        <w:r>
                          <w:rPr>
                            <w:spacing w:val="9"/>
                            <w:sz w:val="15"/>
                          </w:rPr>
                          <w:t xml:space="preserve"> </w:t>
                        </w:r>
                        <w:r>
                          <w:rPr>
                            <w:sz w:val="15"/>
                          </w:rPr>
                          <w:t>la</w:t>
                        </w:r>
                        <w:r>
                          <w:rPr>
                            <w:spacing w:val="9"/>
                            <w:sz w:val="15"/>
                          </w:rPr>
                          <w:t xml:space="preserve"> </w:t>
                        </w:r>
                        <w:r>
                          <w:rPr>
                            <w:sz w:val="15"/>
                          </w:rPr>
                          <w:t>Eliminación</w:t>
                        </w:r>
                        <w:r>
                          <w:rPr>
                            <w:spacing w:val="9"/>
                            <w:sz w:val="15"/>
                          </w:rPr>
                          <w:t xml:space="preserve"> </w:t>
                        </w:r>
                        <w:r>
                          <w:rPr>
                            <w:sz w:val="15"/>
                          </w:rPr>
                          <w:t>de</w:t>
                        </w:r>
                        <w:r>
                          <w:rPr>
                            <w:spacing w:val="9"/>
                            <w:sz w:val="15"/>
                          </w:rPr>
                          <w:t xml:space="preserve"> </w:t>
                        </w:r>
                        <w:r>
                          <w:rPr>
                            <w:sz w:val="15"/>
                          </w:rPr>
                          <w:t>todas</w:t>
                        </w:r>
                        <w:r>
                          <w:rPr>
                            <w:spacing w:val="9"/>
                            <w:sz w:val="15"/>
                          </w:rPr>
                          <w:t xml:space="preserve"> </w:t>
                        </w:r>
                        <w:r>
                          <w:rPr>
                            <w:sz w:val="15"/>
                          </w:rPr>
                          <w:t>las</w:t>
                        </w:r>
                        <w:r>
                          <w:rPr>
                            <w:spacing w:val="9"/>
                            <w:sz w:val="15"/>
                          </w:rPr>
                          <w:t xml:space="preserve"> </w:t>
                        </w:r>
                        <w:r>
                          <w:rPr>
                            <w:sz w:val="15"/>
                          </w:rPr>
                          <w:t>Formas de Discriminación Racial, el Comité para la Eliminación de la Discriminación Racial identificó grupos que consideraba en particular riesgo</w:t>
                        </w:r>
                        <w:r>
                          <w:rPr>
                            <w:spacing w:val="40"/>
                            <w:sz w:val="15"/>
                          </w:rPr>
                          <w:t xml:space="preserve"> </w:t>
                        </w:r>
                        <w:r>
                          <w:rPr>
                            <w:sz w:val="15"/>
                          </w:rPr>
                          <w:t xml:space="preserve">de sufrir discriminación racial en un Estado o contexto determinado. 922 </w:t>
                        </w:r>
                        <w:proofErr w:type="gramStart"/>
                        <w:r>
                          <w:rPr>
                            <w:sz w:val="15"/>
                          </w:rPr>
                          <w:t>Otros</w:t>
                        </w:r>
                        <w:proofErr w:type="gramEnd"/>
                        <w:r>
                          <w:rPr>
                            <w:sz w:val="15"/>
                          </w:rPr>
                          <w:t xml:space="preserve"> órganos creados en virtud de tratados de derechos</w:t>
                        </w:r>
                        <w:r>
                          <w:rPr>
                            <w:spacing w:val="80"/>
                            <w:sz w:val="15"/>
                          </w:rPr>
                          <w:t xml:space="preserve"> </w:t>
                        </w:r>
                        <w:r>
                          <w:rPr>
                            <w:sz w:val="15"/>
                          </w:rPr>
                          <w:t>humanos y mecanismos de las Naciones Unidas también pueden nombrar grupos particulares que requieren atención en contextos nacionales.</w:t>
                        </w:r>
                        <w:r>
                          <w:rPr>
                            <w:spacing w:val="13"/>
                            <w:sz w:val="15"/>
                          </w:rPr>
                          <w:t xml:space="preserve"> </w:t>
                        </w:r>
                        <w:r>
                          <w:rPr>
                            <w:sz w:val="15"/>
                          </w:rPr>
                          <w:t>Sin</w:t>
                        </w:r>
                        <w:r>
                          <w:rPr>
                            <w:spacing w:val="12"/>
                            <w:sz w:val="15"/>
                          </w:rPr>
                          <w:t xml:space="preserve"> </w:t>
                        </w:r>
                        <w:r>
                          <w:rPr>
                            <w:sz w:val="15"/>
                          </w:rPr>
                          <w:t>embargo,</w:t>
                        </w:r>
                        <w:r>
                          <w:rPr>
                            <w:spacing w:val="13"/>
                            <w:sz w:val="15"/>
                          </w:rPr>
                          <w:t xml:space="preserve"> </w:t>
                        </w:r>
                        <w:r>
                          <w:rPr>
                            <w:sz w:val="15"/>
                          </w:rPr>
                          <w:t>dichas</w:t>
                        </w:r>
                        <w:r>
                          <w:rPr>
                            <w:spacing w:val="12"/>
                            <w:sz w:val="15"/>
                          </w:rPr>
                          <w:t xml:space="preserve"> </w:t>
                        </w:r>
                        <w:r>
                          <w:rPr>
                            <w:sz w:val="15"/>
                          </w:rPr>
                          <w:t>listas</w:t>
                        </w:r>
                        <w:r>
                          <w:rPr>
                            <w:spacing w:val="12"/>
                            <w:sz w:val="15"/>
                          </w:rPr>
                          <w:t xml:space="preserve"> </w:t>
                        </w:r>
                        <w:r>
                          <w:rPr>
                            <w:sz w:val="15"/>
                          </w:rPr>
                          <w:t>no</w:t>
                        </w:r>
                        <w:r>
                          <w:rPr>
                            <w:spacing w:val="12"/>
                            <w:sz w:val="15"/>
                          </w:rPr>
                          <w:t xml:space="preserve"> </w:t>
                        </w:r>
                        <w:r>
                          <w:rPr>
                            <w:sz w:val="15"/>
                          </w:rPr>
                          <w:t>son</w:t>
                        </w:r>
                        <w:r>
                          <w:rPr>
                            <w:spacing w:val="12"/>
                            <w:sz w:val="15"/>
                          </w:rPr>
                          <w:t xml:space="preserve"> </w:t>
                        </w:r>
                        <w:r>
                          <w:rPr>
                            <w:sz w:val="15"/>
                          </w:rPr>
                          <w:t>exhaustivas,</w:t>
                        </w:r>
                        <w:r>
                          <w:rPr>
                            <w:spacing w:val="13"/>
                            <w:sz w:val="15"/>
                          </w:rPr>
                          <w:t xml:space="preserve"> </w:t>
                        </w:r>
                        <w:r>
                          <w:rPr>
                            <w:sz w:val="15"/>
                          </w:rPr>
                          <w:t>por</w:t>
                        </w:r>
                        <w:r>
                          <w:rPr>
                            <w:spacing w:val="12"/>
                            <w:sz w:val="15"/>
                          </w:rPr>
                          <w:t xml:space="preserve"> </w:t>
                        </w:r>
                        <w:r>
                          <w:rPr>
                            <w:sz w:val="15"/>
                          </w:rPr>
                          <w:t>varias</w:t>
                        </w:r>
                        <w:r>
                          <w:rPr>
                            <w:spacing w:val="12"/>
                            <w:sz w:val="15"/>
                          </w:rPr>
                          <w:t xml:space="preserve"> </w:t>
                        </w:r>
                        <w:r>
                          <w:rPr>
                            <w:sz w:val="15"/>
                          </w:rPr>
                          <w:t>razones,</w:t>
                        </w:r>
                        <w:r>
                          <w:rPr>
                            <w:spacing w:val="13"/>
                            <w:sz w:val="15"/>
                          </w:rPr>
                          <w:t xml:space="preserve"> </w:t>
                        </w:r>
                        <w:r>
                          <w:rPr>
                            <w:sz w:val="15"/>
                          </w:rPr>
                          <w:t>y</w:t>
                        </w:r>
                        <w:r>
                          <w:rPr>
                            <w:spacing w:val="12"/>
                            <w:sz w:val="15"/>
                          </w:rPr>
                          <w:t xml:space="preserve"> </w:t>
                        </w:r>
                        <w:r>
                          <w:rPr>
                            <w:sz w:val="15"/>
                          </w:rPr>
                          <w:t>es</w:t>
                        </w:r>
                        <w:r>
                          <w:rPr>
                            <w:spacing w:val="12"/>
                            <w:sz w:val="15"/>
                          </w:rPr>
                          <w:t xml:space="preserve"> </w:t>
                        </w:r>
                        <w:r>
                          <w:rPr>
                            <w:sz w:val="15"/>
                          </w:rPr>
                          <w:t>importante</w:t>
                        </w:r>
                        <w:r>
                          <w:rPr>
                            <w:spacing w:val="12"/>
                            <w:sz w:val="15"/>
                          </w:rPr>
                          <w:t xml:space="preserve"> </w:t>
                        </w:r>
                        <w:r>
                          <w:rPr>
                            <w:sz w:val="15"/>
                          </w:rPr>
                          <w:t>reconocer</w:t>
                        </w:r>
                        <w:r>
                          <w:rPr>
                            <w:spacing w:val="12"/>
                            <w:sz w:val="15"/>
                          </w:rPr>
                          <w:t xml:space="preserve"> </w:t>
                        </w:r>
                        <w:r>
                          <w:rPr>
                            <w:sz w:val="15"/>
                          </w:rPr>
                          <w:t>que</w:t>
                        </w:r>
                        <w:r>
                          <w:rPr>
                            <w:spacing w:val="12"/>
                            <w:sz w:val="15"/>
                          </w:rPr>
                          <w:t xml:space="preserve"> </w:t>
                        </w:r>
                        <w:r>
                          <w:rPr>
                            <w:sz w:val="15"/>
                          </w:rPr>
                          <w:t>la</w:t>
                        </w:r>
                        <w:r>
                          <w:rPr>
                            <w:spacing w:val="12"/>
                            <w:sz w:val="15"/>
                          </w:rPr>
                          <w:t xml:space="preserve"> </w:t>
                        </w:r>
                        <w:r>
                          <w:rPr>
                            <w:sz w:val="15"/>
                          </w:rPr>
                          <w:t>no</w:t>
                        </w:r>
                        <w:r>
                          <w:rPr>
                            <w:spacing w:val="12"/>
                            <w:sz w:val="15"/>
                          </w:rPr>
                          <w:t xml:space="preserve"> </w:t>
                        </w:r>
                        <w:r>
                          <w:rPr>
                            <w:sz w:val="15"/>
                          </w:rPr>
                          <w:t>inclusión</w:t>
                        </w:r>
                        <w:r>
                          <w:rPr>
                            <w:spacing w:val="12"/>
                            <w:sz w:val="15"/>
                          </w:rPr>
                          <w:t xml:space="preserve"> </w:t>
                        </w:r>
                        <w:r>
                          <w:rPr>
                            <w:sz w:val="15"/>
                          </w:rPr>
                          <w:t>de</w:t>
                        </w:r>
                        <w:r>
                          <w:rPr>
                            <w:spacing w:val="12"/>
                            <w:sz w:val="15"/>
                          </w:rPr>
                          <w:t xml:space="preserve"> </w:t>
                        </w:r>
                        <w:r>
                          <w:rPr>
                            <w:sz w:val="15"/>
                          </w:rPr>
                          <w:t>un grupo puede ser consecuencia de la negación, el estigma o el riesgo tan generalizado que las comunidades no pueden o no quieren ser nombradas</w:t>
                        </w:r>
                        <w:proofErr w:type="gramStart"/>
                        <w:r>
                          <w:rPr>
                            <w:sz w:val="15"/>
                          </w:rPr>
                          <w:t>. .</w:t>
                        </w:r>
                        <w:proofErr w:type="gramEnd"/>
                      </w:p>
                    </w:txbxContent>
                  </v:textbox>
                </v:shape>
                <w10:wrap anchorx="page"/>
              </v:group>
            </w:pict>
          </mc:Fallback>
        </mc:AlternateContent>
      </w:r>
      <w:r>
        <w:rPr>
          <w:noProof/>
        </w:rPr>
        <mc:AlternateContent>
          <mc:Choice Requires="wps">
            <w:drawing>
              <wp:anchor distT="0" distB="0" distL="0" distR="0" simplePos="0" relativeHeight="251658308" behindDoc="0" locked="0" layoutInCell="1" allowOverlap="1" wp14:anchorId="33251F3C" wp14:editId="322BFEC4">
                <wp:simplePos x="0" y="0"/>
                <wp:positionH relativeFrom="page">
                  <wp:posOffset>7293418</wp:posOffset>
                </wp:positionH>
                <wp:positionV relativeFrom="paragraph">
                  <wp:posOffset>1082527</wp:posOffset>
                </wp:positionV>
                <wp:extent cx="104775" cy="260985"/>
                <wp:effectExtent l="0" t="0" r="0" b="0"/>
                <wp:wrapNone/>
                <wp:docPr id="280" name="Textbox 28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04775" cy="260985"/>
                        </a:xfrm>
                        <a:prstGeom prst="rect">
                          <a:avLst/>
                        </a:prstGeom>
                      </wps:spPr>
                      <wps:txbx>
                        <w:txbxContent>
                          <w:p w14:paraId="2FB71250" w14:textId="77777777" w:rsidR="0014798C" w:rsidRDefault="004E1F0B">
                            <w:pPr>
                              <w:spacing w:before="17"/>
                              <w:ind w:left="20"/>
                              <w:rPr>
                                <w:sz w:val="11"/>
                              </w:rPr>
                            </w:pPr>
                            <w:r>
                              <w:rPr>
                                <w:color w:val="FFFFFF"/>
                                <w:spacing w:val="-33"/>
                                <w:sz w:val="11"/>
                              </w:rPr>
                              <w:t>TPRAERSTE</w:t>
                            </w:r>
                          </w:p>
                        </w:txbxContent>
                      </wps:txbx>
                      <wps:bodyPr vert="vert270" wrap="square" lIns="0" tIns="0" rIns="0" bIns="0" rtlCol="0">
                        <a:noAutofit/>
                      </wps:bodyPr>
                    </wps:wsp>
                  </a:graphicData>
                </a:graphic>
              </wp:anchor>
            </w:drawing>
          </mc:Choice>
          <mc:Fallback>
            <w:pict>
              <v:shape w14:anchorId="33251F3C" id="Textbox 280" o:spid="_x0000_s1139" type="#_x0000_t202" style="position:absolute;left:0;text-align:left;margin-left:574.3pt;margin-top:85.25pt;width:8.25pt;height:20.55pt;z-index:251658308;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" filled="f" stroked="f">
                <v:textbox style="layout-flow:vertical;mso-layout-flow-alt:bottom-to-top" inset="0,0,0,0">
                  <w:txbxContent>
                    <w:p w14:paraId="2FB71250" w14:textId="77777777" w:rsidR="0014798C" w:rsidRDefault="004E1F0B">
                      <w:pPr>
                        <w:spacing w:before="17"/>
                        <w:ind w:left="20"/>
                        <w:rPr>
                          <w:sz w:val="11"/>
                        </w:rPr>
                      </w:pPr>
                      <w:r>
                        <w:rPr>
                          <w:color w:val="FFFFFF"/>
                          <w:spacing w:val="-33"/>
                          <w:sz w:val="11"/>
                        </w:rPr>
                        <w:t>TPRAERSTE</w:t>
                      </w:r>
                    </w:p>
                  </w:txbxContent>
                </v:textbox>
                <w10:wrap anchorx="page"/>
              </v:shape>
            </w:pict>
          </mc:Fallback>
        </mc:AlternateContent>
      </w:r>
      <w:r>
        <w:rPr>
          <w:sz w:val="18"/>
        </w:rPr>
        <w:t>Más allá de la identificación de grupos en riesgo a nivel global y regional,</w:t>
      </w:r>
      <w:r>
        <w:rPr>
          <w:spacing w:val="17"/>
          <w:sz w:val="18"/>
        </w:rPr>
        <w:t xml:space="preserve"> </w:t>
      </w:r>
      <w:r>
        <w:rPr>
          <w:sz w:val="18"/>
        </w:rPr>
        <w:t>el sistema de las Naciones Unidas ha</w:t>
      </w:r>
      <w:r>
        <w:rPr>
          <w:spacing w:val="80"/>
          <w:sz w:val="18"/>
        </w:rPr>
        <w:t xml:space="preserve"> </w:t>
      </w:r>
      <w:r>
        <w:rPr>
          <w:sz w:val="18"/>
        </w:rPr>
        <w:t xml:space="preserve">nombrado en varios contextos grupos de interés en países o contextos particulares. Los pueblos maya ixil de Guatemala,913 los </w:t>
      </w:r>
      <w:proofErr w:type="spellStart"/>
      <w:r>
        <w:rPr>
          <w:sz w:val="18"/>
        </w:rPr>
        <w:t>rohingya</w:t>
      </w:r>
      <w:proofErr w:type="spellEnd"/>
      <w:r>
        <w:rPr>
          <w:sz w:val="18"/>
        </w:rPr>
        <w:t xml:space="preserve"> y otras minorías en Myanmar,914 los </w:t>
      </w:r>
      <w:proofErr w:type="spellStart"/>
      <w:r>
        <w:rPr>
          <w:sz w:val="18"/>
        </w:rPr>
        <w:t>yazidíes</w:t>
      </w:r>
      <w:proofErr w:type="spellEnd"/>
      <w:r>
        <w:rPr>
          <w:sz w:val="18"/>
        </w:rPr>
        <w:t xml:space="preserve"> en Irak y Siria,915 los uigures en China,916</w:t>
      </w:r>
    </w:p>
    <w:p w14:paraId="55491192" w14:textId="77777777" w:rsidR="0014798C" w:rsidRDefault="0014798C">
      <w:pPr>
        <w:pStyle w:val="Textoindependiente"/>
        <w:rPr>
          <w:sz w:val="10"/>
        </w:rPr>
      </w:pPr>
    </w:p>
    <w:p w14:paraId="6F3403D3" w14:textId="77777777" w:rsidR="0014798C" w:rsidRDefault="0014798C">
      <w:pPr>
        <w:pStyle w:val="Textoindependiente"/>
        <w:rPr>
          <w:sz w:val="10"/>
        </w:rPr>
      </w:pPr>
    </w:p>
    <w:p w14:paraId="3983A42C" w14:textId="77777777" w:rsidR="0014798C" w:rsidRDefault="0014798C">
      <w:pPr>
        <w:pStyle w:val="Textoindependiente"/>
        <w:rPr>
          <w:sz w:val="10"/>
        </w:rPr>
      </w:pPr>
    </w:p>
    <w:p w14:paraId="0A3E02D4" w14:textId="77777777" w:rsidR="0014798C" w:rsidRDefault="0014798C">
      <w:pPr>
        <w:pStyle w:val="Textoindependiente"/>
        <w:rPr>
          <w:sz w:val="10"/>
        </w:rPr>
      </w:pPr>
    </w:p>
    <w:p w14:paraId="07FF4680" w14:textId="77777777" w:rsidR="0014798C" w:rsidRDefault="0014798C">
      <w:pPr>
        <w:pStyle w:val="Textoindependiente"/>
        <w:rPr>
          <w:sz w:val="10"/>
        </w:rPr>
      </w:pPr>
    </w:p>
    <w:p w14:paraId="67405AEA" w14:textId="77777777" w:rsidR="0014798C" w:rsidRDefault="0014798C">
      <w:pPr>
        <w:pStyle w:val="Textoindependiente"/>
        <w:rPr>
          <w:sz w:val="10"/>
        </w:rPr>
      </w:pPr>
    </w:p>
    <w:p w14:paraId="2AECA89D" w14:textId="77777777" w:rsidR="0014798C" w:rsidRDefault="0014798C">
      <w:pPr>
        <w:pStyle w:val="Textoindependiente"/>
        <w:rPr>
          <w:sz w:val="10"/>
        </w:rPr>
      </w:pPr>
    </w:p>
    <w:p w14:paraId="540D4E33" w14:textId="77777777" w:rsidR="0014798C" w:rsidRDefault="0014798C">
      <w:pPr>
        <w:pStyle w:val="Textoindependiente"/>
        <w:rPr>
          <w:sz w:val="10"/>
        </w:rPr>
      </w:pPr>
    </w:p>
    <w:p w14:paraId="1D7DD917" w14:textId="77777777" w:rsidR="0014798C" w:rsidRDefault="0014798C">
      <w:pPr>
        <w:pStyle w:val="Textoindependiente"/>
        <w:rPr>
          <w:sz w:val="10"/>
        </w:rPr>
      </w:pPr>
    </w:p>
    <w:p w14:paraId="7FFE03AB" w14:textId="77777777" w:rsidR="0014798C" w:rsidRDefault="0014798C">
      <w:pPr>
        <w:pStyle w:val="Textoindependiente"/>
        <w:rPr>
          <w:sz w:val="10"/>
        </w:rPr>
      </w:pPr>
    </w:p>
    <w:p w14:paraId="4EDFBFCA" w14:textId="77777777" w:rsidR="0014798C" w:rsidRDefault="0014798C">
      <w:pPr>
        <w:pStyle w:val="Textoindependiente"/>
        <w:rPr>
          <w:sz w:val="10"/>
        </w:rPr>
      </w:pPr>
    </w:p>
    <w:p w14:paraId="78CD8E35" w14:textId="77777777" w:rsidR="0014798C" w:rsidRDefault="0014798C">
      <w:pPr>
        <w:pStyle w:val="Textoindependiente"/>
        <w:rPr>
          <w:sz w:val="10"/>
        </w:rPr>
      </w:pPr>
    </w:p>
    <w:p w14:paraId="00D581B1" w14:textId="77777777" w:rsidR="0014798C" w:rsidRDefault="0014798C">
      <w:pPr>
        <w:pStyle w:val="Textoindependiente"/>
        <w:rPr>
          <w:sz w:val="10"/>
        </w:rPr>
      </w:pPr>
    </w:p>
    <w:p w14:paraId="19DD0F49" w14:textId="77777777" w:rsidR="0014798C" w:rsidRDefault="0014798C">
      <w:pPr>
        <w:pStyle w:val="Textoindependiente"/>
        <w:rPr>
          <w:sz w:val="10"/>
        </w:rPr>
      </w:pPr>
    </w:p>
    <w:p w14:paraId="50A02EE6" w14:textId="77777777" w:rsidR="0014798C" w:rsidRDefault="0014798C">
      <w:pPr>
        <w:pStyle w:val="Textoindependiente"/>
        <w:rPr>
          <w:sz w:val="10"/>
        </w:rPr>
      </w:pPr>
    </w:p>
    <w:p w14:paraId="2C34088E" w14:textId="77777777" w:rsidR="0014798C" w:rsidRDefault="0014798C">
      <w:pPr>
        <w:pStyle w:val="Textoindependiente"/>
        <w:rPr>
          <w:sz w:val="10"/>
        </w:rPr>
      </w:pPr>
    </w:p>
    <w:p w14:paraId="63390D65" w14:textId="77777777" w:rsidR="0014798C" w:rsidRDefault="0014798C">
      <w:pPr>
        <w:pStyle w:val="Textoindependiente"/>
        <w:rPr>
          <w:sz w:val="10"/>
        </w:rPr>
      </w:pPr>
    </w:p>
    <w:p w14:paraId="1EC3C56B" w14:textId="77777777" w:rsidR="0014798C" w:rsidRDefault="0014798C">
      <w:pPr>
        <w:pStyle w:val="Textoindependiente"/>
        <w:rPr>
          <w:sz w:val="10"/>
        </w:rPr>
      </w:pPr>
    </w:p>
    <w:p w14:paraId="577958A9" w14:textId="77777777" w:rsidR="0014798C" w:rsidRDefault="0014798C">
      <w:pPr>
        <w:pStyle w:val="Textoindependiente"/>
        <w:rPr>
          <w:sz w:val="10"/>
        </w:rPr>
      </w:pPr>
    </w:p>
    <w:p w14:paraId="654B2D79" w14:textId="77777777" w:rsidR="0014798C" w:rsidRDefault="0014798C">
      <w:pPr>
        <w:pStyle w:val="Textoindependiente"/>
        <w:rPr>
          <w:sz w:val="10"/>
        </w:rPr>
      </w:pPr>
    </w:p>
    <w:p w14:paraId="101C723F" w14:textId="77777777" w:rsidR="0014798C" w:rsidRDefault="0014798C">
      <w:pPr>
        <w:pStyle w:val="Textoindependiente"/>
        <w:rPr>
          <w:sz w:val="10"/>
        </w:rPr>
      </w:pPr>
    </w:p>
    <w:p w14:paraId="2E5794F5" w14:textId="77777777" w:rsidR="0014798C" w:rsidRDefault="0014798C">
      <w:pPr>
        <w:pStyle w:val="Textoindependiente"/>
        <w:rPr>
          <w:sz w:val="10"/>
        </w:rPr>
      </w:pPr>
    </w:p>
    <w:p w14:paraId="70FA4C13" w14:textId="77777777" w:rsidR="0014798C" w:rsidRDefault="0014798C">
      <w:pPr>
        <w:pStyle w:val="Textoindependiente"/>
        <w:rPr>
          <w:sz w:val="10"/>
        </w:rPr>
      </w:pPr>
    </w:p>
    <w:p w14:paraId="4D456345" w14:textId="77777777" w:rsidR="0014798C" w:rsidRDefault="0014798C">
      <w:pPr>
        <w:pStyle w:val="Textoindependiente"/>
        <w:rPr>
          <w:sz w:val="10"/>
        </w:rPr>
      </w:pPr>
    </w:p>
    <w:p w14:paraId="79FE3D55" w14:textId="77777777" w:rsidR="0014798C" w:rsidRDefault="0014798C">
      <w:pPr>
        <w:pStyle w:val="Textoindependiente"/>
        <w:rPr>
          <w:sz w:val="10"/>
        </w:rPr>
      </w:pPr>
    </w:p>
    <w:p w14:paraId="2983DBF8" w14:textId="77777777" w:rsidR="0014798C" w:rsidRDefault="0014798C">
      <w:pPr>
        <w:pStyle w:val="Textoindependiente"/>
        <w:rPr>
          <w:sz w:val="10"/>
        </w:rPr>
      </w:pPr>
    </w:p>
    <w:p w14:paraId="429A76C3" w14:textId="77777777" w:rsidR="0014798C" w:rsidRDefault="0014798C">
      <w:pPr>
        <w:pStyle w:val="Textoindependiente"/>
        <w:rPr>
          <w:sz w:val="10"/>
        </w:rPr>
      </w:pPr>
    </w:p>
    <w:p w14:paraId="3ACADD20" w14:textId="77777777" w:rsidR="0014798C" w:rsidRDefault="0014798C">
      <w:pPr>
        <w:pStyle w:val="Textoindependiente"/>
        <w:rPr>
          <w:sz w:val="10"/>
        </w:rPr>
      </w:pPr>
    </w:p>
    <w:p w14:paraId="1391D6A4" w14:textId="77777777" w:rsidR="0014798C" w:rsidRDefault="0014798C">
      <w:pPr>
        <w:pStyle w:val="Textoindependiente"/>
        <w:rPr>
          <w:sz w:val="10"/>
        </w:rPr>
      </w:pPr>
    </w:p>
    <w:p w14:paraId="5CE40607" w14:textId="77777777" w:rsidR="0014798C" w:rsidRDefault="0014798C">
      <w:pPr>
        <w:pStyle w:val="Textoindependiente"/>
        <w:rPr>
          <w:sz w:val="10"/>
        </w:rPr>
      </w:pPr>
    </w:p>
    <w:p w14:paraId="32C81A14" w14:textId="77777777" w:rsidR="0014798C" w:rsidRDefault="0014798C">
      <w:pPr>
        <w:pStyle w:val="Textoindependiente"/>
        <w:rPr>
          <w:sz w:val="10"/>
        </w:rPr>
      </w:pPr>
    </w:p>
    <w:p w14:paraId="419D3B72" w14:textId="77777777" w:rsidR="0014798C" w:rsidRDefault="0014798C">
      <w:pPr>
        <w:pStyle w:val="Textoindependiente"/>
        <w:rPr>
          <w:sz w:val="10"/>
        </w:rPr>
      </w:pPr>
    </w:p>
    <w:p w14:paraId="47FE5782" w14:textId="77777777" w:rsidR="0014798C" w:rsidRDefault="0014798C">
      <w:pPr>
        <w:pStyle w:val="Textoindependiente"/>
        <w:rPr>
          <w:sz w:val="10"/>
        </w:rPr>
      </w:pPr>
    </w:p>
    <w:p w14:paraId="037000EE" w14:textId="77777777" w:rsidR="0014798C" w:rsidRDefault="0014798C">
      <w:pPr>
        <w:pStyle w:val="Textoindependiente"/>
        <w:rPr>
          <w:sz w:val="10"/>
        </w:rPr>
      </w:pPr>
    </w:p>
    <w:p w14:paraId="7AE050BF" w14:textId="77777777" w:rsidR="0014798C" w:rsidRDefault="0014798C">
      <w:pPr>
        <w:pStyle w:val="Textoindependiente"/>
        <w:rPr>
          <w:sz w:val="10"/>
        </w:rPr>
      </w:pPr>
    </w:p>
    <w:p w14:paraId="0A86A8A0" w14:textId="77777777" w:rsidR="0014798C" w:rsidRDefault="0014798C">
      <w:pPr>
        <w:pStyle w:val="Textoindependiente"/>
        <w:rPr>
          <w:sz w:val="10"/>
        </w:rPr>
      </w:pPr>
    </w:p>
    <w:p w14:paraId="6AFFB1B4" w14:textId="77777777" w:rsidR="0014798C" w:rsidRDefault="0014798C">
      <w:pPr>
        <w:pStyle w:val="Textoindependiente"/>
        <w:rPr>
          <w:sz w:val="10"/>
        </w:rPr>
      </w:pPr>
    </w:p>
    <w:p w14:paraId="6E512D57" w14:textId="77777777" w:rsidR="0014798C" w:rsidRDefault="0014798C">
      <w:pPr>
        <w:pStyle w:val="Textoindependiente"/>
        <w:rPr>
          <w:sz w:val="10"/>
        </w:rPr>
      </w:pPr>
    </w:p>
    <w:p w14:paraId="3B4552A0" w14:textId="77777777" w:rsidR="0014798C" w:rsidRDefault="0014798C">
      <w:pPr>
        <w:pStyle w:val="Textoindependiente"/>
        <w:spacing w:before="91"/>
        <w:rPr>
          <w:sz w:val="10"/>
        </w:rPr>
      </w:pPr>
    </w:p>
    <w:p w14:paraId="6D7F8CE1" w14:textId="77777777" w:rsidR="0014798C" w:rsidRDefault="004E1F0B">
      <w:pPr>
        <w:ind w:left="1107"/>
        <w:rPr>
          <w:sz w:val="10"/>
        </w:rPr>
      </w:pPr>
      <w:r>
        <w:rPr>
          <w:sz w:val="10"/>
        </w:rPr>
        <w:t>908</w:t>
      </w:r>
      <w:r>
        <w:rPr>
          <w:spacing w:val="-2"/>
          <w:sz w:val="10"/>
        </w:rPr>
        <w:t xml:space="preserve"> </w:t>
      </w:r>
      <w:r>
        <w:rPr>
          <w:sz w:val="10"/>
        </w:rPr>
        <w:t>Comité</w:t>
      </w:r>
      <w:r>
        <w:rPr>
          <w:spacing w:val="-1"/>
          <w:sz w:val="10"/>
        </w:rPr>
        <w:t xml:space="preserve"> </w:t>
      </w:r>
      <w:r>
        <w:rPr>
          <w:sz w:val="10"/>
        </w:rPr>
        <w:t>de</w:t>
      </w:r>
      <w:r>
        <w:rPr>
          <w:spacing w:val="-1"/>
          <w:sz w:val="10"/>
        </w:rPr>
        <w:t xml:space="preserve"> </w:t>
      </w:r>
      <w:r>
        <w:rPr>
          <w:sz w:val="10"/>
        </w:rPr>
        <w:t>Derechos</w:t>
      </w:r>
      <w:r>
        <w:rPr>
          <w:spacing w:val="-1"/>
          <w:sz w:val="10"/>
        </w:rPr>
        <w:t xml:space="preserve"> </w:t>
      </w:r>
      <w:r>
        <w:rPr>
          <w:sz w:val="10"/>
        </w:rPr>
        <w:t>Humanos,</w:t>
      </w:r>
      <w:r>
        <w:rPr>
          <w:spacing w:val="-1"/>
          <w:sz w:val="10"/>
        </w:rPr>
        <w:t xml:space="preserve"> </w:t>
      </w:r>
      <w:r>
        <w:rPr>
          <w:sz w:val="10"/>
        </w:rPr>
        <w:t>observación</w:t>
      </w:r>
      <w:r>
        <w:rPr>
          <w:spacing w:val="-1"/>
          <w:sz w:val="10"/>
        </w:rPr>
        <w:t xml:space="preserve"> </w:t>
      </w:r>
      <w:r>
        <w:rPr>
          <w:sz w:val="10"/>
        </w:rPr>
        <w:t>general</w:t>
      </w:r>
      <w:r>
        <w:rPr>
          <w:spacing w:val="-1"/>
          <w:sz w:val="10"/>
        </w:rPr>
        <w:t xml:space="preserve"> </w:t>
      </w:r>
      <w:r>
        <w:rPr>
          <w:sz w:val="10"/>
        </w:rPr>
        <w:t>núm.</w:t>
      </w:r>
      <w:r>
        <w:rPr>
          <w:spacing w:val="-1"/>
          <w:sz w:val="10"/>
        </w:rPr>
        <w:t xml:space="preserve"> </w:t>
      </w:r>
      <w:r>
        <w:rPr>
          <w:sz w:val="10"/>
        </w:rPr>
        <w:t>23</w:t>
      </w:r>
      <w:r>
        <w:rPr>
          <w:spacing w:val="-1"/>
          <w:sz w:val="10"/>
        </w:rPr>
        <w:t xml:space="preserve"> </w:t>
      </w:r>
      <w:r>
        <w:rPr>
          <w:sz w:val="10"/>
        </w:rPr>
        <w:t>(1994),</w:t>
      </w:r>
      <w:r>
        <w:rPr>
          <w:spacing w:val="-1"/>
          <w:sz w:val="10"/>
        </w:rPr>
        <w:t xml:space="preserve"> </w:t>
      </w:r>
      <w:proofErr w:type="spellStart"/>
      <w:r>
        <w:rPr>
          <w:sz w:val="10"/>
        </w:rPr>
        <w:t>párrs</w:t>
      </w:r>
      <w:proofErr w:type="spellEnd"/>
      <w:r>
        <w:rPr>
          <w:sz w:val="10"/>
        </w:rPr>
        <w:t>.</w:t>
      </w:r>
      <w:r>
        <w:rPr>
          <w:spacing w:val="-1"/>
          <w:sz w:val="10"/>
        </w:rPr>
        <w:t xml:space="preserve"> </w:t>
      </w:r>
      <w:r>
        <w:rPr>
          <w:sz w:val="10"/>
        </w:rPr>
        <w:t>3.2</w:t>
      </w:r>
      <w:r>
        <w:rPr>
          <w:spacing w:val="-1"/>
          <w:sz w:val="10"/>
        </w:rPr>
        <w:t xml:space="preserve"> </w:t>
      </w:r>
      <w:r>
        <w:rPr>
          <w:sz w:val="10"/>
        </w:rPr>
        <w:t>y</w:t>
      </w:r>
      <w:r>
        <w:rPr>
          <w:spacing w:val="-1"/>
          <w:sz w:val="10"/>
        </w:rPr>
        <w:t xml:space="preserve"> </w:t>
      </w:r>
      <w:r>
        <w:rPr>
          <w:spacing w:val="-5"/>
          <w:sz w:val="10"/>
        </w:rPr>
        <w:t>7.</w:t>
      </w:r>
    </w:p>
    <w:p w14:paraId="514C7BE3" w14:textId="77777777" w:rsidR="0014798C" w:rsidRDefault="004E1F0B">
      <w:pPr>
        <w:spacing w:before="88" w:line="312" w:lineRule="auto"/>
        <w:ind w:left="1365" w:right="1917" w:hanging="259"/>
        <w:rPr>
          <w:sz w:val="12"/>
        </w:rPr>
      </w:pPr>
      <w:r>
        <w:rPr>
          <w:sz w:val="12"/>
        </w:rPr>
        <w:t>909 Véase</w:t>
      </w:r>
      <w:r>
        <w:rPr>
          <w:spacing w:val="-1"/>
          <w:sz w:val="12"/>
        </w:rPr>
        <w:t xml:space="preserve"> </w:t>
      </w:r>
      <w:r>
        <w:rPr>
          <w:sz w:val="12"/>
        </w:rPr>
        <w:t>también Corte Africana</w:t>
      </w:r>
      <w:r>
        <w:rPr>
          <w:spacing w:val="-1"/>
          <w:sz w:val="12"/>
        </w:rPr>
        <w:t xml:space="preserve"> </w:t>
      </w:r>
      <w:r>
        <w:rPr>
          <w:sz w:val="12"/>
        </w:rPr>
        <w:t>de Derechos Humanos y de los Pueblos, Comisión Africana</w:t>
      </w:r>
      <w:r>
        <w:rPr>
          <w:spacing w:val="-1"/>
          <w:sz w:val="12"/>
        </w:rPr>
        <w:t xml:space="preserve"> </w:t>
      </w:r>
      <w:r>
        <w:rPr>
          <w:sz w:val="12"/>
        </w:rPr>
        <w:t>de Derechos Humanos y de los Pueblos</w:t>
      </w:r>
      <w:r>
        <w:rPr>
          <w:spacing w:val="-1"/>
          <w:sz w:val="12"/>
        </w:rPr>
        <w:t xml:space="preserve"> </w:t>
      </w:r>
      <w:r>
        <w:rPr>
          <w:sz w:val="12"/>
        </w:rPr>
        <w:t>c. Kenia, Solicitud</w:t>
      </w:r>
      <w:r>
        <w:rPr>
          <w:spacing w:val="-1"/>
          <w:sz w:val="12"/>
        </w:rPr>
        <w:t xml:space="preserve"> </w:t>
      </w:r>
      <w:r>
        <w:rPr>
          <w:sz w:val="12"/>
        </w:rPr>
        <w:t>n.º</w:t>
      </w:r>
      <w:r>
        <w:rPr>
          <w:spacing w:val="40"/>
          <w:sz w:val="12"/>
        </w:rPr>
        <w:t xml:space="preserve"> </w:t>
      </w:r>
      <w:r>
        <w:rPr>
          <w:sz w:val="12"/>
        </w:rPr>
        <w:t>006/2012,</w:t>
      </w:r>
      <w:r>
        <w:rPr>
          <w:spacing w:val="-2"/>
          <w:sz w:val="12"/>
        </w:rPr>
        <w:t xml:space="preserve"> </w:t>
      </w:r>
      <w:r>
        <w:rPr>
          <w:sz w:val="12"/>
        </w:rPr>
        <w:t>Sentencia,</w:t>
      </w:r>
      <w:r>
        <w:rPr>
          <w:spacing w:val="-2"/>
          <w:sz w:val="12"/>
        </w:rPr>
        <w:t xml:space="preserve"> </w:t>
      </w:r>
      <w:r>
        <w:rPr>
          <w:sz w:val="12"/>
        </w:rPr>
        <w:t>26</w:t>
      </w:r>
      <w:r>
        <w:rPr>
          <w:spacing w:val="-2"/>
          <w:sz w:val="12"/>
        </w:rPr>
        <w:t xml:space="preserve"> </w:t>
      </w:r>
      <w:r>
        <w:rPr>
          <w:sz w:val="12"/>
        </w:rPr>
        <w:t>de</w:t>
      </w:r>
      <w:r>
        <w:rPr>
          <w:spacing w:val="-2"/>
          <w:sz w:val="12"/>
        </w:rPr>
        <w:t xml:space="preserve"> </w:t>
      </w:r>
      <w:r>
        <w:rPr>
          <w:sz w:val="12"/>
        </w:rPr>
        <w:t>mayo</w:t>
      </w:r>
      <w:r>
        <w:rPr>
          <w:spacing w:val="-2"/>
          <w:sz w:val="12"/>
        </w:rPr>
        <w:t xml:space="preserve"> </w:t>
      </w:r>
      <w:r>
        <w:rPr>
          <w:sz w:val="12"/>
        </w:rPr>
        <w:t>de</w:t>
      </w:r>
      <w:r>
        <w:rPr>
          <w:spacing w:val="-2"/>
          <w:sz w:val="12"/>
        </w:rPr>
        <w:t xml:space="preserve"> </w:t>
      </w:r>
      <w:r>
        <w:rPr>
          <w:sz w:val="12"/>
        </w:rPr>
        <w:t>2017,</w:t>
      </w:r>
      <w:r>
        <w:rPr>
          <w:spacing w:val="-2"/>
          <w:sz w:val="12"/>
        </w:rPr>
        <w:t xml:space="preserve"> </w:t>
      </w:r>
      <w:proofErr w:type="spellStart"/>
      <w:r>
        <w:rPr>
          <w:sz w:val="12"/>
        </w:rPr>
        <w:t>párrs</w:t>
      </w:r>
      <w:proofErr w:type="spellEnd"/>
      <w:r>
        <w:rPr>
          <w:sz w:val="12"/>
        </w:rPr>
        <w:t>.</w:t>
      </w:r>
      <w:r>
        <w:rPr>
          <w:spacing w:val="-2"/>
          <w:sz w:val="12"/>
        </w:rPr>
        <w:t xml:space="preserve"> </w:t>
      </w:r>
      <w:r>
        <w:rPr>
          <w:sz w:val="12"/>
        </w:rPr>
        <w:t>107–108;</w:t>
      </w:r>
      <w:r>
        <w:rPr>
          <w:spacing w:val="-2"/>
          <w:sz w:val="12"/>
        </w:rPr>
        <w:t xml:space="preserve"> </w:t>
      </w:r>
      <w:r>
        <w:rPr>
          <w:sz w:val="12"/>
        </w:rPr>
        <w:t>y</w:t>
      </w:r>
      <w:r>
        <w:rPr>
          <w:spacing w:val="-2"/>
          <w:sz w:val="12"/>
        </w:rPr>
        <w:t xml:space="preserve"> </w:t>
      </w:r>
      <w:r>
        <w:rPr>
          <w:sz w:val="12"/>
        </w:rPr>
        <w:t>Comisión</w:t>
      </w:r>
      <w:r>
        <w:rPr>
          <w:spacing w:val="-2"/>
          <w:sz w:val="12"/>
        </w:rPr>
        <w:t xml:space="preserve"> </w:t>
      </w:r>
      <w:r>
        <w:rPr>
          <w:sz w:val="12"/>
        </w:rPr>
        <w:t>Interamericana</w:t>
      </w:r>
      <w:r>
        <w:rPr>
          <w:spacing w:val="-3"/>
          <w:sz w:val="12"/>
        </w:rPr>
        <w:t xml:space="preserve"> </w:t>
      </w:r>
      <w:r>
        <w:rPr>
          <w:sz w:val="12"/>
        </w:rPr>
        <w:t>de</w:t>
      </w:r>
      <w:r>
        <w:rPr>
          <w:spacing w:val="-2"/>
          <w:sz w:val="12"/>
        </w:rPr>
        <w:t xml:space="preserve"> </w:t>
      </w:r>
      <w:r>
        <w:rPr>
          <w:sz w:val="12"/>
        </w:rPr>
        <w:t>Derechos</w:t>
      </w:r>
      <w:r>
        <w:rPr>
          <w:spacing w:val="-2"/>
          <w:sz w:val="12"/>
        </w:rPr>
        <w:t xml:space="preserve"> </w:t>
      </w:r>
      <w:r>
        <w:rPr>
          <w:sz w:val="12"/>
        </w:rPr>
        <w:t>Humanos,</w:t>
      </w:r>
      <w:r>
        <w:rPr>
          <w:spacing w:val="-2"/>
          <w:sz w:val="12"/>
        </w:rPr>
        <w:t xml:space="preserve"> </w:t>
      </w:r>
      <w:r>
        <w:rPr>
          <w:sz w:val="12"/>
        </w:rPr>
        <w:t>Pueblos</w:t>
      </w:r>
      <w:r>
        <w:rPr>
          <w:spacing w:val="-3"/>
          <w:sz w:val="12"/>
        </w:rPr>
        <w:t xml:space="preserve"> </w:t>
      </w:r>
      <w:r>
        <w:rPr>
          <w:sz w:val="12"/>
        </w:rPr>
        <w:t>Indígenas,</w:t>
      </w:r>
      <w:r>
        <w:rPr>
          <w:spacing w:val="-2"/>
          <w:sz w:val="12"/>
        </w:rPr>
        <w:t xml:space="preserve"> </w:t>
      </w:r>
      <w:r>
        <w:rPr>
          <w:sz w:val="12"/>
        </w:rPr>
        <w:t>Comunidades</w:t>
      </w:r>
      <w:r>
        <w:rPr>
          <w:spacing w:val="40"/>
          <w:sz w:val="12"/>
        </w:rPr>
        <w:t xml:space="preserve"> </w:t>
      </w:r>
      <w:r>
        <w:rPr>
          <w:sz w:val="12"/>
        </w:rPr>
        <w:t>Afrodescendientes, Industrias Extractivas (OEA/</w:t>
      </w:r>
      <w:proofErr w:type="spellStart"/>
      <w:r>
        <w:rPr>
          <w:sz w:val="12"/>
        </w:rPr>
        <w:t>Ser.L</w:t>
      </w:r>
      <w:proofErr w:type="spellEnd"/>
      <w:r>
        <w:rPr>
          <w:sz w:val="12"/>
        </w:rPr>
        <w:t>/V/II, Doc. 47/15) (2015).</w:t>
      </w:r>
    </w:p>
    <w:p w14:paraId="7E399FE2" w14:textId="77777777" w:rsidR="0014798C" w:rsidRDefault="004E1F0B">
      <w:pPr>
        <w:spacing w:before="83"/>
        <w:ind w:left="1107"/>
        <w:rPr>
          <w:sz w:val="9"/>
        </w:rPr>
      </w:pPr>
      <w:r>
        <w:rPr>
          <w:w w:val="105"/>
          <w:sz w:val="9"/>
        </w:rPr>
        <w:t>910</w:t>
      </w:r>
      <w:r>
        <w:rPr>
          <w:spacing w:val="4"/>
          <w:w w:val="105"/>
          <w:sz w:val="9"/>
        </w:rPr>
        <w:t xml:space="preserve"> </w:t>
      </w:r>
      <w:r>
        <w:rPr>
          <w:w w:val="105"/>
          <w:sz w:val="9"/>
        </w:rPr>
        <w:t>La</w:t>
      </w:r>
      <w:r>
        <w:rPr>
          <w:spacing w:val="4"/>
          <w:w w:val="105"/>
          <w:sz w:val="9"/>
        </w:rPr>
        <w:t xml:space="preserve"> </w:t>
      </w:r>
      <w:r>
        <w:rPr>
          <w:w w:val="105"/>
          <w:sz w:val="9"/>
        </w:rPr>
        <w:t>página</w:t>
      </w:r>
      <w:r>
        <w:rPr>
          <w:spacing w:val="5"/>
          <w:w w:val="105"/>
          <w:sz w:val="9"/>
        </w:rPr>
        <w:t xml:space="preserve"> </w:t>
      </w:r>
      <w:r>
        <w:rPr>
          <w:w w:val="105"/>
          <w:sz w:val="9"/>
        </w:rPr>
        <w:t>web</w:t>
      </w:r>
      <w:r>
        <w:rPr>
          <w:spacing w:val="4"/>
          <w:w w:val="105"/>
          <w:sz w:val="9"/>
        </w:rPr>
        <w:t xml:space="preserve"> </w:t>
      </w:r>
      <w:r>
        <w:rPr>
          <w:w w:val="105"/>
          <w:sz w:val="9"/>
        </w:rPr>
        <w:t>del</w:t>
      </w:r>
      <w:r>
        <w:rPr>
          <w:spacing w:val="4"/>
          <w:w w:val="105"/>
          <w:sz w:val="9"/>
        </w:rPr>
        <w:t xml:space="preserve"> </w:t>
      </w:r>
      <w:r>
        <w:rPr>
          <w:w w:val="105"/>
          <w:sz w:val="9"/>
        </w:rPr>
        <w:t>Mecanismo</w:t>
      </w:r>
      <w:r>
        <w:rPr>
          <w:spacing w:val="5"/>
          <w:w w:val="105"/>
          <w:sz w:val="9"/>
        </w:rPr>
        <w:t xml:space="preserve"> </w:t>
      </w:r>
      <w:r>
        <w:rPr>
          <w:w w:val="105"/>
          <w:sz w:val="9"/>
        </w:rPr>
        <w:t>de</w:t>
      </w:r>
      <w:r>
        <w:rPr>
          <w:spacing w:val="4"/>
          <w:w w:val="105"/>
          <w:sz w:val="9"/>
        </w:rPr>
        <w:t xml:space="preserve"> </w:t>
      </w:r>
      <w:r>
        <w:rPr>
          <w:w w:val="105"/>
          <w:sz w:val="9"/>
        </w:rPr>
        <w:t>Expertos</w:t>
      </w:r>
      <w:r>
        <w:rPr>
          <w:spacing w:val="4"/>
          <w:w w:val="105"/>
          <w:sz w:val="9"/>
        </w:rPr>
        <w:t xml:space="preserve"> </w:t>
      </w:r>
      <w:r>
        <w:rPr>
          <w:w w:val="105"/>
          <w:sz w:val="9"/>
        </w:rPr>
        <w:t>sobre</w:t>
      </w:r>
      <w:r>
        <w:rPr>
          <w:spacing w:val="5"/>
          <w:w w:val="105"/>
          <w:sz w:val="9"/>
        </w:rPr>
        <w:t xml:space="preserve"> </w:t>
      </w:r>
      <w:r>
        <w:rPr>
          <w:w w:val="105"/>
          <w:sz w:val="9"/>
        </w:rPr>
        <w:t>los</w:t>
      </w:r>
      <w:r>
        <w:rPr>
          <w:spacing w:val="4"/>
          <w:w w:val="105"/>
          <w:sz w:val="9"/>
        </w:rPr>
        <w:t xml:space="preserve"> </w:t>
      </w:r>
      <w:r>
        <w:rPr>
          <w:w w:val="105"/>
          <w:sz w:val="9"/>
        </w:rPr>
        <w:t>Derechos</w:t>
      </w:r>
      <w:r>
        <w:rPr>
          <w:spacing w:val="4"/>
          <w:w w:val="105"/>
          <w:sz w:val="9"/>
        </w:rPr>
        <w:t xml:space="preserve"> </w:t>
      </w:r>
      <w:r>
        <w:rPr>
          <w:w w:val="105"/>
          <w:sz w:val="9"/>
        </w:rPr>
        <w:t>de</w:t>
      </w:r>
      <w:r>
        <w:rPr>
          <w:spacing w:val="5"/>
          <w:w w:val="105"/>
          <w:sz w:val="9"/>
        </w:rPr>
        <w:t xml:space="preserve"> </w:t>
      </w:r>
      <w:r>
        <w:rPr>
          <w:w w:val="105"/>
          <w:sz w:val="9"/>
        </w:rPr>
        <w:t>los</w:t>
      </w:r>
      <w:r>
        <w:rPr>
          <w:spacing w:val="4"/>
          <w:w w:val="105"/>
          <w:sz w:val="9"/>
        </w:rPr>
        <w:t xml:space="preserve"> </w:t>
      </w:r>
      <w:r>
        <w:rPr>
          <w:w w:val="105"/>
          <w:sz w:val="9"/>
        </w:rPr>
        <w:t>Pueblos</w:t>
      </w:r>
      <w:r>
        <w:rPr>
          <w:spacing w:val="5"/>
          <w:w w:val="105"/>
          <w:sz w:val="9"/>
        </w:rPr>
        <w:t xml:space="preserve"> </w:t>
      </w:r>
      <w:r>
        <w:rPr>
          <w:w w:val="105"/>
          <w:sz w:val="9"/>
        </w:rPr>
        <w:t>Indígenas</w:t>
      </w:r>
      <w:r>
        <w:rPr>
          <w:spacing w:val="4"/>
          <w:w w:val="105"/>
          <w:sz w:val="9"/>
        </w:rPr>
        <w:t xml:space="preserve"> </w:t>
      </w:r>
      <w:r>
        <w:rPr>
          <w:w w:val="105"/>
          <w:sz w:val="9"/>
        </w:rPr>
        <w:t>está</w:t>
      </w:r>
      <w:r>
        <w:rPr>
          <w:spacing w:val="4"/>
          <w:w w:val="105"/>
          <w:sz w:val="9"/>
        </w:rPr>
        <w:t xml:space="preserve"> </w:t>
      </w:r>
      <w:r>
        <w:rPr>
          <w:w w:val="105"/>
          <w:sz w:val="9"/>
        </w:rPr>
        <w:t>disponible</w:t>
      </w:r>
      <w:r>
        <w:rPr>
          <w:spacing w:val="5"/>
          <w:w w:val="105"/>
          <w:sz w:val="9"/>
        </w:rPr>
        <w:t xml:space="preserve"> </w:t>
      </w:r>
      <w:r>
        <w:rPr>
          <w:w w:val="105"/>
          <w:sz w:val="9"/>
        </w:rPr>
        <w:t>en</w:t>
      </w:r>
      <w:r>
        <w:rPr>
          <w:spacing w:val="4"/>
          <w:w w:val="105"/>
          <w:sz w:val="9"/>
        </w:rPr>
        <w:t xml:space="preserve"> </w:t>
      </w:r>
      <w:hyperlink r:id="rId260">
        <w:r>
          <w:rPr>
            <w:color w:val="0075BF"/>
            <w:spacing w:val="-2"/>
            <w:w w:val="105"/>
            <w:sz w:val="9"/>
          </w:rPr>
          <w:t>www.ohchr.org/en/issues/ipeoples/emrip/pages/</w:t>
        </w:r>
      </w:hyperlink>
    </w:p>
    <w:p w14:paraId="03B79AF0" w14:textId="77777777" w:rsidR="0014798C" w:rsidRDefault="004E1F0B">
      <w:pPr>
        <w:spacing w:before="51"/>
        <w:ind w:left="1368"/>
        <w:rPr>
          <w:sz w:val="12"/>
        </w:rPr>
      </w:pPr>
      <w:r>
        <w:rPr>
          <w:color w:val="0075BF"/>
          <w:spacing w:val="-2"/>
          <w:sz w:val="12"/>
        </w:rPr>
        <w:t>emripindex.aspx.</w:t>
      </w:r>
    </w:p>
    <w:p w14:paraId="35BFAA27" w14:textId="77777777" w:rsidR="0014798C" w:rsidRDefault="0014798C">
      <w:pPr>
        <w:pStyle w:val="Textoindependiente"/>
        <w:spacing w:before="20"/>
        <w:rPr>
          <w:sz w:val="9"/>
        </w:rPr>
      </w:pPr>
    </w:p>
    <w:p w14:paraId="14EF6027" w14:textId="77777777" w:rsidR="0014798C" w:rsidRDefault="004E1F0B">
      <w:pPr>
        <w:ind w:left="1107"/>
        <w:rPr>
          <w:sz w:val="9"/>
        </w:rPr>
      </w:pPr>
      <w:r>
        <w:rPr>
          <w:w w:val="105"/>
          <w:sz w:val="9"/>
        </w:rPr>
        <w:t>911</w:t>
      </w:r>
      <w:r>
        <w:rPr>
          <w:spacing w:val="2"/>
          <w:w w:val="105"/>
          <w:sz w:val="9"/>
        </w:rPr>
        <w:t xml:space="preserve"> </w:t>
      </w:r>
      <w:r>
        <w:rPr>
          <w:w w:val="105"/>
          <w:sz w:val="9"/>
        </w:rPr>
        <w:t>La</w:t>
      </w:r>
      <w:r>
        <w:rPr>
          <w:spacing w:val="3"/>
          <w:w w:val="105"/>
          <w:sz w:val="9"/>
        </w:rPr>
        <w:t xml:space="preserve"> </w:t>
      </w:r>
      <w:r>
        <w:rPr>
          <w:w w:val="105"/>
          <w:sz w:val="9"/>
        </w:rPr>
        <w:t>página</w:t>
      </w:r>
      <w:r>
        <w:rPr>
          <w:spacing w:val="2"/>
          <w:w w:val="105"/>
          <w:sz w:val="9"/>
        </w:rPr>
        <w:t xml:space="preserve"> </w:t>
      </w:r>
      <w:r>
        <w:rPr>
          <w:w w:val="105"/>
          <w:sz w:val="9"/>
        </w:rPr>
        <w:t>web</w:t>
      </w:r>
      <w:r>
        <w:rPr>
          <w:spacing w:val="3"/>
          <w:w w:val="105"/>
          <w:sz w:val="9"/>
        </w:rPr>
        <w:t xml:space="preserve"> </w:t>
      </w:r>
      <w:r>
        <w:rPr>
          <w:w w:val="105"/>
          <w:sz w:val="9"/>
        </w:rPr>
        <w:t>del</w:t>
      </w:r>
      <w:r>
        <w:rPr>
          <w:spacing w:val="2"/>
          <w:w w:val="105"/>
          <w:sz w:val="9"/>
        </w:rPr>
        <w:t xml:space="preserve"> </w:t>
      </w:r>
      <w:r>
        <w:rPr>
          <w:w w:val="105"/>
          <w:sz w:val="9"/>
        </w:rPr>
        <w:t>Relator</w:t>
      </w:r>
      <w:r>
        <w:rPr>
          <w:spacing w:val="3"/>
          <w:w w:val="105"/>
          <w:sz w:val="9"/>
        </w:rPr>
        <w:t xml:space="preserve"> </w:t>
      </w:r>
      <w:r>
        <w:rPr>
          <w:w w:val="105"/>
          <w:sz w:val="9"/>
        </w:rPr>
        <w:t>Especial</w:t>
      </w:r>
      <w:r>
        <w:rPr>
          <w:spacing w:val="2"/>
          <w:w w:val="105"/>
          <w:sz w:val="9"/>
        </w:rPr>
        <w:t xml:space="preserve"> </w:t>
      </w:r>
      <w:r>
        <w:rPr>
          <w:w w:val="105"/>
          <w:sz w:val="9"/>
        </w:rPr>
        <w:t>sobre</w:t>
      </w:r>
      <w:r>
        <w:rPr>
          <w:spacing w:val="3"/>
          <w:w w:val="105"/>
          <w:sz w:val="9"/>
        </w:rPr>
        <w:t xml:space="preserve"> </w:t>
      </w:r>
      <w:r>
        <w:rPr>
          <w:w w:val="105"/>
          <w:sz w:val="9"/>
        </w:rPr>
        <w:t>los</w:t>
      </w:r>
      <w:r>
        <w:rPr>
          <w:spacing w:val="3"/>
          <w:w w:val="105"/>
          <w:sz w:val="9"/>
        </w:rPr>
        <w:t xml:space="preserve"> </w:t>
      </w:r>
      <w:r>
        <w:rPr>
          <w:w w:val="105"/>
          <w:sz w:val="9"/>
        </w:rPr>
        <w:t>derechos</w:t>
      </w:r>
      <w:r>
        <w:rPr>
          <w:spacing w:val="2"/>
          <w:w w:val="105"/>
          <w:sz w:val="9"/>
        </w:rPr>
        <w:t xml:space="preserve"> </w:t>
      </w:r>
      <w:r>
        <w:rPr>
          <w:w w:val="105"/>
          <w:sz w:val="9"/>
        </w:rPr>
        <w:t>de</w:t>
      </w:r>
      <w:r>
        <w:rPr>
          <w:spacing w:val="3"/>
          <w:w w:val="105"/>
          <w:sz w:val="9"/>
        </w:rPr>
        <w:t xml:space="preserve"> </w:t>
      </w:r>
      <w:r>
        <w:rPr>
          <w:w w:val="105"/>
          <w:sz w:val="9"/>
        </w:rPr>
        <w:t>los</w:t>
      </w:r>
      <w:r>
        <w:rPr>
          <w:spacing w:val="2"/>
          <w:w w:val="105"/>
          <w:sz w:val="9"/>
        </w:rPr>
        <w:t xml:space="preserve"> </w:t>
      </w:r>
      <w:r>
        <w:rPr>
          <w:w w:val="105"/>
          <w:sz w:val="9"/>
        </w:rPr>
        <w:t>pueblos</w:t>
      </w:r>
      <w:r>
        <w:rPr>
          <w:spacing w:val="3"/>
          <w:w w:val="105"/>
          <w:sz w:val="9"/>
        </w:rPr>
        <w:t xml:space="preserve"> </w:t>
      </w:r>
      <w:r>
        <w:rPr>
          <w:w w:val="105"/>
          <w:sz w:val="9"/>
        </w:rPr>
        <w:t>indígenas</w:t>
      </w:r>
      <w:r>
        <w:rPr>
          <w:spacing w:val="2"/>
          <w:w w:val="105"/>
          <w:sz w:val="9"/>
        </w:rPr>
        <w:t xml:space="preserve"> </w:t>
      </w:r>
      <w:r>
        <w:rPr>
          <w:w w:val="105"/>
          <w:sz w:val="9"/>
        </w:rPr>
        <w:t>está</w:t>
      </w:r>
      <w:r>
        <w:rPr>
          <w:spacing w:val="3"/>
          <w:w w:val="105"/>
          <w:sz w:val="9"/>
        </w:rPr>
        <w:t xml:space="preserve"> </w:t>
      </w:r>
      <w:r>
        <w:rPr>
          <w:w w:val="105"/>
          <w:sz w:val="9"/>
        </w:rPr>
        <w:t>disponible</w:t>
      </w:r>
      <w:r>
        <w:rPr>
          <w:spacing w:val="2"/>
          <w:w w:val="105"/>
          <w:sz w:val="9"/>
        </w:rPr>
        <w:t xml:space="preserve"> </w:t>
      </w:r>
      <w:r>
        <w:rPr>
          <w:w w:val="105"/>
          <w:sz w:val="9"/>
        </w:rPr>
        <w:t>en</w:t>
      </w:r>
      <w:r>
        <w:rPr>
          <w:spacing w:val="3"/>
          <w:w w:val="105"/>
          <w:sz w:val="9"/>
        </w:rPr>
        <w:t xml:space="preserve"> </w:t>
      </w:r>
      <w:hyperlink r:id="rId261">
        <w:r>
          <w:rPr>
            <w:color w:val="0075BF"/>
            <w:spacing w:val="-2"/>
            <w:w w:val="105"/>
            <w:sz w:val="9"/>
          </w:rPr>
          <w:t>www.ohchr.org/EN/Issues/IPeoples/</w:t>
        </w:r>
      </w:hyperlink>
    </w:p>
    <w:p w14:paraId="3E4884AC" w14:textId="77777777" w:rsidR="0014798C" w:rsidRDefault="004E1F0B">
      <w:pPr>
        <w:spacing w:before="51"/>
        <w:ind w:left="1370"/>
        <w:rPr>
          <w:sz w:val="12"/>
        </w:rPr>
      </w:pPr>
      <w:proofErr w:type="spellStart"/>
      <w:r>
        <w:rPr>
          <w:color w:val="0075BF"/>
          <w:spacing w:val="-2"/>
          <w:sz w:val="12"/>
        </w:rPr>
        <w:t>PueblosIndígenas</w:t>
      </w:r>
      <w:proofErr w:type="spellEnd"/>
      <w:r>
        <w:rPr>
          <w:color w:val="0075BF"/>
          <w:spacing w:val="-2"/>
          <w:sz w:val="12"/>
        </w:rPr>
        <w:t>/Pages/SRIPeoplesIndex.aspx.</w:t>
      </w:r>
    </w:p>
    <w:p w14:paraId="7F167F6A" w14:textId="77777777" w:rsidR="0014798C" w:rsidRDefault="0014798C">
      <w:pPr>
        <w:pStyle w:val="Textoindependiente"/>
        <w:spacing w:before="18"/>
        <w:rPr>
          <w:sz w:val="10"/>
        </w:rPr>
      </w:pPr>
    </w:p>
    <w:p w14:paraId="1D2309E9" w14:textId="77777777" w:rsidR="0014798C" w:rsidRDefault="004E1F0B">
      <w:pPr>
        <w:ind w:left="1107"/>
        <w:rPr>
          <w:sz w:val="10"/>
        </w:rPr>
      </w:pPr>
      <w:r>
        <w:rPr>
          <w:sz w:val="10"/>
        </w:rPr>
        <w:t>912 Por ejemplo, la Declaración</w:t>
      </w:r>
      <w:r>
        <w:rPr>
          <w:spacing w:val="1"/>
          <w:sz w:val="10"/>
        </w:rPr>
        <w:t xml:space="preserve"> </w:t>
      </w:r>
      <w:r>
        <w:rPr>
          <w:sz w:val="10"/>
        </w:rPr>
        <w:t>de las Naciones Unidas sobre</w:t>
      </w:r>
      <w:r>
        <w:rPr>
          <w:spacing w:val="1"/>
          <w:sz w:val="10"/>
        </w:rPr>
        <w:t xml:space="preserve"> </w:t>
      </w:r>
      <w:r>
        <w:rPr>
          <w:sz w:val="10"/>
        </w:rPr>
        <w:t>los Derechos de los</w:t>
      </w:r>
      <w:r>
        <w:rPr>
          <w:spacing w:val="1"/>
          <w:sz w:val="10"/>
        </w:rPr>
        <w:t xml:space="preserve"> </w:t>
      </w:r>
      <w:r>
        <w:rPr>
          <w:sz w:val="10"/>
        </w:rPr>
        <w:t>Pueblos Indígenas establece los derechos</w:t>
      </w:r>
      <w:r>
        <w:rPr>
          <w:spacing w:val="1"/>
          <w:sz w:val="10"/>
        </w:rPr>
        <w:t xml:space="preserve"> </w:t>
      </w:r>
      <w:r>
        <w:rPr>
          <w:sz w:val="10"/>
        </w:rPr>
        <w:t>a la autodeterminación,</w:t>
      </w:r>
      <w:r>
        <w:rPr>
          <w:spacing w:val="1"/>
          <w:sz w:val="10"/>
        </w:rPr>
        <w:t xml:space="preserve"> </w:t>
      </w:r>
      <w:r>
        <w:rPr>
          <w:sz w:val="10"/>
        </w:rPr>
        <w:t>la</w:t>
      </w:r>
      <w:r>
        <w:rPr>
          <w:spacing w:val="1"/>
          <w:sz w:val="10"/>
        </w:rPr>
        <w:t xml:space="preserve"> </w:t>
      </w:r>
      <w:r>
        <w:rPr>
          <w:sz w:val="10"/>
        </w:rPr>
        <w:t xml:space="preserve">autonomía </w:t>
      </w:r>
      <w:r>
        <w:rPr>
          <w:spacing w:val="-10"/>
          <w:sz w:val="10"/>
        </w:rPr>
        <w:t>o</w:t>
      </w:r>
    </w:p>
    <w:p w14:paraId="643FE19F" w14:textId="77777777" w:rsidR="0014798C" w:rsidRDefault="004E1F0B">
      <w:pPr>
        <w:spacing w:before="30" w:line="312" w:lineRule="auto"/>
        <w:ind w:left="1375" w:right="1626" w:hanging="6"/>
        <w:rPr>
          <w:sz w:val="12"/>
        </w:rPr>
      </w:pPr>
      <w:r>
        <w:rPr>
          <w:sz w:val="12"/>
        </w:rPr>
        <w:t>autogobierno en asuntos</w:t>
      </w:r>
      <w:r>
        <w:rPr>
          <w:spacing w:val="-1"/>
          <w:sz w:val="12"/>
        </w:rPr>
        <w:t xml:space="preserve"> </w:t>
      </w:r>
      <w:r>
        <w:rPr>
          <w:sz w:val="12"/>
        </w:rPr>
        <w:t>relativos</w:t>
      </w:r>
      <w:r>
        <w:rPr>
          <w:spacing w:val="-1"/>
          <w:sz w:val="12"/>
        </w:rPr>
        <w:t xml:space="preserve"> </w:t>
      </w:r>
      <w:r>
        <w:rPr>
          <w:sz w:val="12"/>
        </w:rPr>
        <w:t>a sus asuntos</w:t>
      </w:r>
      <w:r>
        <w:rPr>
          <w:spacing w:val="-1"/>
          <w:sz w:val="12"/>
        </w:rPr>
        <w:t xml:space="preserve"> </w:t>
      </w:r>
      <w:r>
        <w:rPr>
          <w:sz w:val="12"/>
        </w:rPr>
        <w:t>internos</w:t>
      </w:r>
      <w:r>
        <w:rPr>
          <w:spacing w:val="-1"/>
          <w:sz w:val="12"/>
        </w:rPr>
        <w:t xml:space="preserve"> </w:t>
      </w:r>
      <w:r>
        <w:rPr>
          <w:sz w:val="12"/>
        </w:rPr>
        <w:t>y locales, así como formas</w:t>
      </w:r>
      <w:r>
        <w:rPr>
          <w:spacing w:val="-1"/>
          <w:sz w:val="12"/>
        </w:rPr>
        <w:t xml:space="preserve"> </w:t>
      </w:r>
      <w:r>
        <w:rPr>
          <w:sz w:val="12"/>
        </w:rPr>
        <w:t>y medios para financiar</w:t>
      </w:r>
      <w:r>
        <w:rPr>
          <w:spacing w:val="-1"/>
          <w:sz w:val="12"/>
        </w:rPr>
        <w:t xml:space="preserve"> </w:t>
      </w:r>
      <w:r>
        <w:rPr>
          <w:sz w:val="12"/>
        </w:rPr>
        <w:t>sus funciones</w:t>
      </w:r>
      <w:r>
        <w:rPr>
          <w:spacing w:val="-1"/>
          <w:sz w:val="12"/>
        </w:rPr>
        <w:t xml:space="preserve"> </w:t>
      </w:r>
      <w:r>
        <w:rPr>
          <w:sz w:val="12"/>
        </w:rPr>
        <w:t>autónomas</w:t>
      </w:r>
      <w:r>
        <w:rPr>
          <w:spacing w:val="-1"/>
          <w:sz w:val="12"/>
        </w:rPr>
        <w:t xml:space="preserve"> </w:t>
      </w:r>
      <w:r>
        <w:rPr>
          <w:sz w:val="12"/>
        </w:rPr>
        <w:t>(art. 4) y establece que</w:t>
      </w:r>
      <w:r>
        <w:rPr>
          <w:spacing w:val="40"/>
          <w:sz w:val="12"/>
        </w:rPr>
        <w:t xml:space="preserve"> </w:t>
      </w:r>
      <w:r>
        <w:rPr>
          <w:sz w:val="12"/>
        </w:rPr>
        <w:t>“ninguna reubicación tendrá lugar sin el consentimiento libre, previo e informado de los pueblos indígenas”. afectado y previo acuerdo sobre una</w:t>
      </w:r>
    </w:p>
    <w:p w14:paraId="01BF7086" w14:textId="77777777" w:rsidR="0014798C" w:rsidRDefault="004E1F0B">
      <w:pPr>
        <w:spacing w:before="1" w:line="312" w:lineRule="auto"/>
        <w:ind w:left="1371" w:right="1272" w:hanging="5"/>
        <w:rPr>
          <w:sz w:val="12"/>
        </w:rPr>
      </w:pPr>
      <w:r>
        <w:rPr>
          <w:sz w:val="12"/>
        </w:rPr>
        <w:t>compensación justa y equitativa</w:t>
      </w:r>
      <w:r>
        <w:rPr>
          <w:spacing w:val="-1"/>
          <w:sz w:val="12"/>
        </w:rPr>
        <w:t xml:space="preserve"> </w:t>
      </w:r>
      <w:r>
        <w:rPr>
          <w:sz w:val="12"/>
        </w:rPr>
        <w:t>y, cuando sea posible, con la opción de retorno”</w:t>
      </w:r>
      <w:r>
        <w:rPr>
          <w:spacing w:val="-1"/>
          <w:sz w:val="12"/>
        </w:rPr>
        <w:t xml:space="preserve"> </w:t>
      </w:r>
      <w:r>
        <w:rPr>
          <w:sz w:val="12"/>
        </w:rPr>
        <w:t>(art. 10). Véase</w:t>
      </w:r>
      <w:r>
        <w:rPr>
          <w:spacing w:val="-1"/>
          <w:sz w:val="12"/>
        </w:rPr>
        <w:t xml:space="preserve"> </w:t>
      </w:r>
      <w:r>
        <w:rPr>
          <w:sz w:val="12"/>
        </w:rPr>
        <w:t>además Comisión Africana</w:t>
      </w:r>
      <w:r>
        <w:rPr>
          <w:spacing w:val="-1"/>
          <w:sz w:val="12"/>
        </w:rPr>
        <w:t xml:space="preserve"> </w:t>
      </w:r>
      <w:r>
        <w:rPr>
          <w:sz w:val="12"/>
        </w:rPr>
        <w:t>de Derechos Humanos y de los Pueblos,</w:t>
      </w:r>
      <w:r>
        <w:rPr>
          <w:spacing w:val="40"/>
          <w:sz w:val="12"/>
        </w:rPr>
        <w:t xml:space="preserve"> </w:t>
      </w:r>
      <w:r>
        <w:rPr>
          <w:sz w:val="12"/>
        </w:rPr>
        <w:t>“Opinión consultiva de la Comisión Africana de Derechos Humanos y de los Pueblos sobre las Naciones Unidas</w:t>
      </w:r>
    </w:p>
    <w:p w14:paraId="284C7D67" w14:textId="77777777" w:rsidR="0014798C" w:rsidRDefault="004E1F0B">
      <w:pPr>
        <w:spacing w:before="20"/>
        <w:ind w:left="1365"/>
        <w:rPr>
          <w:sz w:val="10"/>
        </w:rPr>
      </w:pPr>
      <w:r>
        <w:rPr>
          <w:w w:val="105"/>
          <w:sz w:val="10"/>
        </w:rPr>
        <w:t>Declaración</w:t>
      </w:r>
      <w:r>
        <w:rPr>
          <w:spacing w:val="1"/>
          <w:w w:val="105"/>
          <w:sz w:val="10"/>
        </w:rPr>
        <w:t xml:space="preserve"> </w:t>
      </w:r>
      <w:r>
        <w:rPr>
          <w:w w:val="105"/>
          <w:sz w:val="10"/>
        </w:rPr>
        <w:t>de</w:t>
      </w:r>
      <w:r>
        <w:rPr>
          <w:spacing w:val="1"/>
          <w:w w:val="105"/>
          <w:sz w:val="10"/>
        </w:rPr>
        <w:t xml:space="preserve"> </w:t>
      </w:r>
      <w:r>
        <w:rPr>
          <w:w w:val="105"/>
          <w:sz w:val="10"/>
        </w:rPr>
        <w:t>las</w:t>
      </w:r>
      <w:r>
        <w:rPr>
          <w:spacing w:val="1"/>
          <w:w w:val="105"/>
          <w:sz w:val="10"/>
        </w:rPr>
        <w:t xml:space="preserve"> </w:t>
      </w:r>
      <w:r>
        <w:rPr>
          <w:w w:val="105"/>
          <w:sz w:val="10"/>
        </w:rPr>
        <w:t>Naciones</w:t>
      </w:r>
      <w:r>
        <w:rPr>
          <w:spacing w:val="1"/>
          <w:w w:val="105"/>
          <w:sz w:val="10"/>
        </w:rPr>
        <w:t xml:space="preserve"> </w:t>
      </w:r>
      <w:r>
        <w:rPr>
          <w:w w:val="105"/>
          <w:sz w:val="10"/>
        </w:rPr>
        <w:t>Unidas</w:t>
      </w:r>
      <w:r>
        <w:rPr>
          <w:spacing w:val="1"/>
          <w:w w:val="105"/>
          <w:sz w:val="10"/>
        </w:rPr>
        <w:t xml:space="preserve"> </w:t>
      </w:r>
      <w:r>
        <w:rPr>
          <w:w w:val="105"/>
          <w:sz w:val="10"/>
        </w:rPr>
        <w:t>sobre</w:t>
      </w:r>
      <w:r>
        <w:rPr>
          <w:spacing w:val="1"/>
          <w:w w:val="105"/>
          <w:sz w:val="10"/>
        </w:rPr>
        <w:t xml:space="preserve"> </w:t>
      </w:r>
      <w:r>
        <w:rPr>
          <w:w w:val="105"/>
          <w:sz w:val="10"/>
        </w:rPr>
        <w:t>los</w:t>
      </w:r>
      <w:r>
        <w:rPr>
          <w:spacing w:val="1"/>
          <w:w w:val="105"/>
          <w:sz w:val="10"/>
        </w:rPr>
        <w:t xml:space="preserve"> </w:t>
      </w:r>
      <w:r>
        <w:rPr>
          <w:w w:val="105"/>
          <w:sz w:val="10"/>
        </w:rPr>
        <w:t>Derechos</w:t>
      </w:r>
      <w:r>
        <w:rPr>
          <w:spacing w:val="1"/>
          <w:w w:val="105"/>
          <w:sz w:val="10"/>
        </w:rPr>
        <w:t xml:space="preserve"> </w:t>
      </w:r>
      <w:r>
        <w:rPr>
          <w:w w:val="105"/>
          <w:sz w:val="10"/>
        </w:rPr>
        <w:t>de</w:t>
      </w:r>
      <w:r>
        <w:rPr>
          <w:spacing w:val="1"/>
          <w:w w:val="105"/>
          <w:sz w:val="10"/>
        </w:rPr>
        <w:t xml:space="preserve"> </w:t>
      </w:r>
      <w:r>
        <w:rPr>
          <w:w w:val="105"/>
          <w:sz w:val="10"/>
        </w:rPr>
        <w:t>los</w:t>
      </w:r>
      <w:r>
        <w:rPr>
          <w:spacing w:val="1"/>
          <w:w w:val="105"/>
          <w:sz w:val="10"/>
        </w:rPr>
        <w:t xml:space="preserve"> </w:t>
      </w:r>
      <w:r>
        <w:rPr>
          <w:w w:val="105"/>
          <w:sz w:val="10"/>
        </w:rPr>
        <w:t>Pueblos</w:t>
      </w:r>
      <w:r>
        <w:rPr>
          <w:spacing w:val="1"/>
          <w:w w:val="105"/>
          <w:sz w:val="10"/>
        </w:rPr>
        <w:t xml:space="preserve"> </w:t>
      </w:r>
      <w:r>
        <w:rPr>
          <w:w w:val="105"/>
          <w:sz w:val="10"/>
        </w:rPr>
        <w:t>Indígenas”</w:t>
      </w:r>
      <w:r>
        <w:rPr>
          <w:spacing w:val="2"/>
          <w:w w:val="105"/>
          <w:sz w:val="10"/>
        </w:rPr>
        <w:t xml:space="preserve"> </w:t>
      </w:r>
      <w:r>
        <w:rPr>
          <w:spacing w:val="-2"/>
          <w:w w:val="105"/>
          <w:sz w:val="10"/>
        </w:rPr>
        <w:t>(2007).</w:t>
      </w:r>
    </w:p>
    <w:p w14:paraId="19739F28" w14:textId="77777777" w:rsidR="0014798C" w:rsidRDefault="004E1F0B">
      <w:pPr>
        <w:spacing w:before="102"/>
        <w:ind w:left="1107"/>
        <w:rPr>
          <w:sz w:val="12"/>
        </w:rPr>
      </w:pPr>
      <w:r>
        <w:rPr>
          <w:sz w:val="12"/>
        </w:rPr>
        <w:t>913</w:t>
      </w:r>
      <w:r>
        <w:rPr>
          <w:spacing w:val="-5"/>
          <w:sz w:val="12"/>
        </w:rPr>
        <w:t xml:space="preserve"> </w:t>
      </w:r>
      <w:r>
        <w:rPr>
          <w:sz w:val="12"/>
        </w:rPr>
        <w:t>Noticias</w:t>
      </w:r>
      <w:r>
        <w:rPr>
          <w:spacing w:val="-4"/>
          <w:sz w:val="12"/>
        </w:rPr>
        <w:t xml:space="preserve"> </w:t>
      </w:r>
      <w:r>
        <w:rPr>
          <w:sz w:val="12"/>
        </w:rPr>
        <w:t>ONU,</w:t>
      </w:r>
      <w:r>
        <w:rPr>
          <w:spacing w:val="-2"/>
          <w:sz w:val="12"/>
        </w:rPr>
        <w:t xml:space="preserve"> </w:t>
      </w:r>
      <w:r>
        <w:rPr>
          <w:sz w:val="12"/>
        </w:rPr>
        <w:t>“Guatemala:</w:t>
      </w:r>
      <w:r>
        <w:rPr>
          <w:spacing w:val="-3"/>
          <w:sz w:val="12"/>
        </w:rPr>
        <w:t xml:space="preserve"> </w:t>
      </w:r>
      <w:r>
        <w:rPr>
          <w:sz w:val="12"/>
        </w:rPr>
        <w:t>Jefe</w:t>
      </w:r>
      <w:r>
        <w:rPr>
          <w:spacing w:val="-3"/>
          <w:sz w:val="12"/>
        </w:rPr>
        <w:t xml:space="preserve"> </w:t>
      </w:r>
      <w:r>
        <w:rPr>
          <w:sz w:val="12"/>
        </w:rPr>
        <w:t>de</w:t>
      </w:r>
      <w:r>
        <w:rPr>
          <w:spacing w:val="-3"/>
          <w:sz w:val="12"/>
        </w:rPr>
        <w:t xml:space="preserve"> </w:t>
      </w:r>
      <w:r>
        <w:rPr>
          <w:sz w:val="12"/>
        </w:rPr>
        <w:t>derechos</w:t>
      </w:r>
      <w:r>
        <w:rPr>
          <w:spacing w:val="-2"/>
          <w:sz w:val="12"/>
        </w:rPr>
        <w:t xml:space="preserve"> </w:t>
      </w:r>
      <w:r>
        <w:rPr>
          <w:sz w:val="12"/>
        </w:rPr>
        <w:t>humanos</w:t>
      </w:r>
      <w:r>
        <w:rPr>
          <w:spacing w:val="-3"/>
          <w:sz w:val="12"/>
        </w:rPr>
        <w:t xml:space="preserve"> </w:t>
      </w:r>
      <w:r>
        <w:rPr>
          <w:sz w:val="12"/>
        </w:rPr>
        <w:t>de</w:t>
      </w:r>
      <w:r>
        <w:rPr>
          <w:spacing w:val="-3"/>
          <w:sz w:val="12"/>
        </w:rPr>
        <w:t xml:space="preserve"> </w:t>
      </w:r>
      <w:r>
        <w:rPr>
          <w:sz w:val="12"/>
        </w:rPr>
        <w:t>la</w:t>
      </w:r>
      <w:r>
        <w:rPr>
          <w:spacing w:val="-2"/>
          <w:sz w:val="12"/>
        </w:rPr>
        <w:t xml:space="preserve"> </w:t>
      </w:r>
      <w:r>
        <w:rPr>
          <w:sz w:val="12"/>
        </w:rPr>
        <w:t>ONU</w:t>
      </w:r>
      <w:r>
        <w:rPr>
          <w:spacing w:val="-4"/>
          <w:sz w:val="12"/>
        </w:rPr>
        <w:t xml:space="preserve"> </w:t>
      </w:r>
      <w:r>
        <w:rPr>
          <w:sz w:val="12"/>
        </w:rPr>
        <w:t>da</w:t>
      </w:r>
      <w:r>
        <w:rPr>
          <w:spacing w:val="-3"/>
          <w:sz w:val="12"/>
        </w:rPr>
        <w:t xml:space="preserve"> </w:t>
      </w:r>
      <w:r>
        <w:rPr>
          <w:sz w:val="12"/>
        </w:rPr>
        <w:t>la</w:t>
      </w:r>
      <w:r>
        <w:rPr>
          <w:spacing w:val="-2"/>
          <w:sz w:val="12"/>
        </w:rPr>
        <w:t xml:space="preserve"> </w:t>
      </w:r>
      <w:r>
        <w:rPr>
          <w:sz w:val="12"/>
        </w:rPr>
        <w:t>bienvenida</w:t>
      </w:r>
      <w:r>
        <w:rPr>
          <w:spacing w:val="-3"/>
          <w:sz w:val="12"/>
        </w:rPr>
        <w:t xml:space="preserve"> </w:t>
      </w:r>
      <w:r>
        <w:rPr>
          <w:sz w:val="12"/>
        </w:rPr>
        <w:t>a</w:t>
      </w:r>
      <w:r>
        <w:rPr>
          <w:spacing w:val="-3"/>
          <w:sz w:val="12"/>
        </w:rPr>
        <w:t xml:space="preserve"> </w:t>
      </w:r>
      <w:r>
        <w:rPr>
          <w:sz w:val="12"/>
        </w:rPr>
        <w:t>la</w:t>
      </w:r>
      <w:r>
        <w:rPr>
          <w:spacing w:val="-2"/>
          <w:sz w:val="12"/>
        </w:rPr>
        <w:t xml:space="preserve"> </w:t>
      </w:r>
      <w:r>
        <w:rPr>
          <w:sz w:val="12"/>
        </w:rPr>
        <w:t>condena</w:t>
      </w:r>
      <w:r>
        <w:rPr>
          <w:spacing w:val="-3"/>
          <w:sz w:val="12"/>
        </w:rPr>
        <w:t xml:space="preserve"> </w:t>
      </w:r>
      <w:r>
        <w:rPr>
          <w:sz w:val="12"/>
        </w:rPr>
        <w:t>por</w:t>
      </w:r>
      <w:r>
        <w:rPr>
          <w:spacing w:val="-3"/>
          <w:sz w:val="12"/>
        </w:rPr>
        <w:t xml:space="preserve"> </w:t>
      </w:r>
      <w:r>
        <w:rPr>
          <w:sz w:val="12"/>
        </w:rPr>
        <w:t>genocidio</w:t>
      </w:r>
      <w:r>
        <w:rPr>
          <w:spacing w:val="-2"/>
          <w:sz w:val="12"/>
        </w:rPr>
        <w:t xml:space="preserve"> </w:t>
      </w:r>
      <w:r>
        <w:rPr>
          <w:sz w:val="12"/>
        </w:rPr>
        <w:t>'histórico'</w:t>
      </w:r>
      <w:r>
        <w:rPr>
          <w:spacing w:val="-3"/>
          <w:sz w:val="12"/>
        </w:rPr>
        <w:t xml:space="preserve"> </w:t>
      </w:r>
      <w:r>
        <w:rPr>
          <w:sz w:val="12"/>
        </w:rPr>
        <w:t>del</w:t>
      </w:r>
      <w:r>
        <w:rPr>
          <w:spacing w:val="-3"/>
          <w:sz w:val="12"/>
        </w:rPr>
        <w:t xml:space="preserve"> </w:t>
      </w:r>
      <w:proofErr w:type="gramStart"/>
      <w:r>
        <w:rPr>
          <w:sz w:val="12"/>
        </w:rPr>
        <w:t>ex</w:t>
      </w:r>
      <w:r>
        <w:rPr>
          <w:spacing w:val="-2"/>
          <w:sz w:val="12"/>
        </w:rPr>
        <w:t xml:space="preserve"> </w:t>
      </w:r>
      <w:r>
        <w:rPr>
          <w:sz w:val="12"/>
        </w:rPr>
        <w:t>líder</w:t>
      </w:r>
      <w:proofErr w:type="gramEnd"/>
      <w:r>
        <w:rPr>
          <w:spacing w:val="-4"/>
          <w:sz w:val="12"/>
        </w:rPr>
        <w:t xml:space="preserve"> </w:t>
      </w:r>
      <w:r>
        <w:rPr>
          <w:sz w:val="12"/>
        </w:rPr>
        <w:t>militar”,</w:t>
      </w:r>
      <w:r>
        <w:rPr>
          <w:spacing w:val="-3"/>
          <w:sz w:val="12"/>
        </w:rPr>
        <w:t xml:space="preserve"> </w:t>
      </w:r>
      <w:r>
        <w:rPr>
          <w:sz w:val="12"/>
        </w:rPr>
        <w:t>13</w:t>
      </w:r>
      <w:r>
        <w:rPr>
          <w:spacing w:val="-2"/>
          <w:sz w:val="12"/>
        </w:rPr>
        <w:t xml:space="preserve"> </w:t>
      </w:r>
      <w:r>
        <w:rPr>
          <w:sz w:val="12"/>
        </w:rPr>
        <w:t>de</w:t>
      </w:r>
      <w:r>
        <w:rPr>
          <w:spacing w:val="-3"/>
          <w:sz w:val="12"/>
        </w:rPr>
        <w:t xml:space="preserve"> </w:t>
      </w:r>
      <w:r>
        <w:rPr>
          <w:sz w:val="12"/>
        </w:rPr>
        <w:t>mayo</w:t>
      </w:r>
      <w:r>
        <w:rPr>
          <w:spacing w:val="-3"/>
          <w:sz w:val="12"/>
        </w:rPr>
        <w:t xml:space="preserve"> </w:t>
      </w:r>
      <w:r>
        <w:rPr>
          <w:sz w:val="12"/>
        </w:rPr>
        <w:t>de</w:t>
      </w:r>
      <w:r>
        <w:rPr>
          <w:spacing w:val="-2"/>
          <w:sz w:val="12"/>
        </w:rPr>
        <w:t xml:space="preserve"> 2013.</w:t>
      </w:r>
    </w:p>
    <w:p w14:paraId="03AD77A2" w14:textId="77777777" w:rsidR="0014798C" w:rsidRDefault="004E1F0B">
      <w:pPr>
        <w:spacing w:before="42"/>
        <w:ind w:left="1367"/>
        <w:rPr>
          <w:sz w:val="12"/>
        </w:rPr>
      </w:pPr>
      <w:r>
        <w:rPr>
          <w:spacing w:val="-2"/>
          <w:sz w:val="12"/>
        </w:rPr>
        <w:t>Disponible</w:t>
      </w:r>
      <w:r>
        <w:rPr>
          <w:spacing w:val="38"/>
          <w:sz w:val="12"/>
        </w:rPr>
        <w:t xml:space="preserve"> </w:t>
      </w:r>
      <w:r>
        <w:rPr>
          <w:spacing w:val="-2"/>
          <w:sz w:val="12"/>
        </w:rPr>
        <w:t>en</w:t>
      </w:r>
      <w:r>
        <w:rPr>
          <w:spacing w:val="39"/>
          <w:sz w:val="12"/>
        </w:rPr>
        <w:t xml:space="preserve"> </w:t>
      </w:r>
      <w:r>
        <w:rPr>
          <w:color w:val="0075BF"/>
          <w:spacing w:val="-2"/>
          <w:sz w:val="12"/>
        </w:rPr>
        <w:t>https://news.un.org/en/story/2013/05/439412-guatemala-</w:t>
      </w:r>
      <w:r>
        <w:rPr>
          <w:color w:val="0075BF"/>
          <w:spacing w:val="36"/>
          <w:sz w:val="12"/>
        </w:rPr>
        <w:t xml:space="preserve"> </w:t>
      </w:r>
      <w:r>
        <w:rPr>
          <w:color w:val="0075BF"/>
          <w:spacing w:val="-2"/>
          <w:sz w:val="12"/>
        </w:rPr>
        <w:t>jefe-de-derechos-</w:t>
      </w:r>
      <w:proofErr w:type="spellStart"/>
      <w:r>
        <w:rPr>
          <w:color w:val="0075BF"/>
          <w:spacing w:val="-2"/>
          <w:sz w:val="12"/>
        </w:rPr>
        <w:t>onu</w:t>
      </w:r>
      <w:proofErr w:type="spellEnd"/>
      <w:r>
        <w:rPr>
          <w:color w:val="0075BF"/>
          <w:spacing w:val="-2"/>
          <w:sz w:val="12"/>
        </w:rPr>
        <w:t>-da</w:t>
      </w:r>
      <w:r>
        <w:rPr>
          <w:color w:val="0075BF"/>
          <w:spacing w:val="39"/>
          <w:sz w:val="12"/>
        </w:rPr>
        <w:t xml:space="preserve"> </w:t>
      </w:r>
      <w:r>
        <w:rPr>
          <w:color w:val="0075BF"/>
          <w:spacing w:val="-2"/>
          <w:sz w:val="12"/>
        </w:rPr>
        <w:t>la</w:t>
      </w:r>
      <w:r>
        <w:rPr>
          <w:color w:val="0075BF"/>
          <w:spacing w:val="39"/>
          <w:sz w:val="12"/>
        </w:rPr>
        <w:t xml:space="preserve"> </w:t>
      </w:r>
      <w:r>
        <w:rPr>
          <w:color w:val="0075BF"/>
          <w:spacing w:val="-2"/>
          <w:sz w:val="12"/>
        </w:rPr>
        <w:t>bienvenida-condena-por-genocidio-histórico-ex-militar.</w:t>
      </w:r>
    </w:p>
    <w:p w14:paraId="30D33AE0" w14:textId="77777777" w:rsidR="0014798C" w:rsidRDefault="0014798C">
      <w:pPr>
        <w:rPr>
          <w:sz w:val="12"/>
        </w:rPr>
        <w:sectPr w:rsidR="0014798C" w:rsidSect="00F265E4">
          <w:pgSz w:w="11900" w:h="16820"/>
          <w:pgMar w:top="340" w:right="0" w:bottom="280" w:left="200" w:header="121" w:footer="0" w:gutter="0"/>
          <w:cols w:space="720"/>
        </w:sectPr>
      </w:pPr>
    </w:p>
    <w:p w14:paraId="32865F9E" w14:textId="77777777" w:rsidR="0014798C" w:rsidRDefault="004E1F0B">
      <w:pPr>
        <w:spacing w:before="69"/>
        <w:jc w:val="right"/>
        <w:rPr>
          <w:sz w:val="8"/>
        </w:rPr>
      </w:pPr>
      <w:r>
        <w:rPr>
          <w:spacing w:val="-5"/>
          <w:w w:val="105"/>
          <w:sz w:val="8"/>
        </w:rPr>
        <w:t>914</w:t>
      </w:r>
    </w:p>
    <w:p w14:paraId="680F0BBC" w14:textId="77777777" w:rsidR="0014798C" w:rsidRDefault="0014798C">
      <w:pPr>
        <w:pStyle w:val="Textoindependiente"/>
        <w:spacing w:before="52"/>
        <w:rPr>
          <w:sz w:val="8"/>
        </w:rPr>
      </w:pPr>
    </w:p>
    <w:p w14:paraId="2442153F" w14:textId="77777777" w:rsidR="0014798C" w:rsidRDefault="004E1F0B">
      <w:pPr>
        <w:spacing w:before="1"/>
        <w:jc w:val="right"/>
        <w:rPr>
          <w:sz w:val="8"/>
        </w:rPr>
      </w:pPr>
      <w:r>
        <w:rPr>
          <w:spacing w:val="-5"/>
          <w:w w:val="105"/>
          <w:sz w:val="8"/>
        </w:rPr>
        <w:t>915</w:t>
      </w:r>
    </w:p>
    <w:p w14:paraId="1635E596" w14:textId="77777777" w:rsidR="0014798C" w:rsidRDefault="0014798C">
      <w:pPr>
        <w:pStyle w:val="Textoindependiente"/>
        <w:spacing w:before="52"/>
        <w:rPr>
          <w:sz w:val="8"/>
        </w:rPr>
      </w:pPr>
    </w:p>
    <w:p w14:paraId="2CB55AD9" w14:textId="77777777" w:rsidR="0014798C" w:rsidRDefault="004E1F0B">
      <w:pPr>
        <w:jc w:val="right"/>
        <w:rPr>
          <w:sz w:val="8"/>
        </w:rPr>
      </w:pPr>
      <w:r>
        <w:rPr>
          <w:spacing w:val="-5"/>
          <w:w w:val="105"/>
          <w:sz w:val="8"/>
        </w:rPr>
        <w:t>916</w:t>
      </w:r>
    </w:p>
    <w:p w14:paraId="446B08E1" w14:textId="77777777" w:rsidR="0014798C" w:rsidRDefault="0014798C">
      <w:pPr>
        <w:pStyle w:val="Textoindependiente"/>
        <w:spacing w:before="52"/>
        <w:rPr>
          <w:sz w:val="8"/>
        </w:rPr>
      </w:pPr>
    </w:p>
    <w:p w14:paraId="5940759B" w14:textId="77777777" w:rsidR="0014798C" w:rsidRDefault="004E1F0B">
      <w:pPr>
        <w:spacing w:before="1"/>
        <w:jc w:val="right"/>
        <w:rPr>
          <w:sz w:val="8"/>
        </w:rPr>
      </w:pPr>
      <w:r>
        <w:rPr>
          <w:spacing w:val="-5"/>
          <w:w w:val="105"/>
          <w:sz w:val="8"/>
        </w:rPr>
        <w:t>917</w:t>
      </w:r>
    </w:p>
    <w:p w14:paraId="18EC9B4B" w14:textId="77777777" w:rsidR="0014798C" w:rsidRDefault="0014798C">
      <w:pPr>
        <w:pStyle w:val="Textoindependiente"/>
        <w:spacing w:before="52"/>
        <w:rPr>
          <w:sz w:val="8"/>
        </w:rPr>
      </w:pPr>
    </w:p>
    <w:p w14:paraId="480E59DF" w14:textId="77777777" w:rsidR="0014798C" w:rsidRDefault="004E1F0B">
      <w:pPr>
        <w:jc w:val="right"/>
        <w:rPr>
          <w:sz w:val="8"/>
        </w:rPr>
      </w:pPr>
      <w:r>
        <w:rPr>
          <w:spacing w:val="-5"/>
          <w:w w:val="105"/>
          <w:sz w:val="8"/>
        </w:rPr>
        <w:t>918</w:t>
      </w:r>
    </w:p>
    <w:p w14:paraId="699AA0BE" w14:textId="77777777" w:rsidR="0014798C" w:rsidRDefault="0014798C">
      <w:pPr>
        <w:pStyle w:val="Textoindependiente"/>
        <w:spacing w:before="52"/>
        <w:rPr>
          <w:sz w:val="8"/>
        </w:rPr>
      </w:pPr>
    </w:p>
    <w:p w14:paraId="6C1585F8" w14:textId="77777777" w:rsidR="0014798C" w:rsidRDefault="004E1F0B">
      <w:pPr>
        <w:jc w:val="right"/>
        <w:rPr>
          <w:sz w:val="8"/>
        </w:rPr>
      </w:pPr>
      <w:r>
        <w:rPr>
          <w:spacing w:val="-5"/>
          <w:w w:val="105"/>
          <w:sz w:val="8"/>
        </w:rPr>
        <w:t>919</w:t>
      </w:r>
    </w:p>
    <w:p w14:paraId="10C158FB" w14:textId="77777777" w:rsidR="0014798C" w:rsidRDefault="0014798C">
      <w:pPr>
        <w:pStyle w:val="Textoindependiente"/>
        <w:spacing w:before="53"/>
        <w:rPr>
          <w:sz w:val="8"/>
        </w:rPr>
      </w:pPr>
    </w:p>
    <w:p w14:paraId="647F5F96" w14:textId="77777777" w:rsidR="0014798C" w:rsidRDefault="004E1F0B">
      <w:pPr>
        <w:jc w:val="right"/>
        <w:rPr>
          <w:sz w:val="8"/>
        </w:rPr>
      </w:pPr>
      <w:r>
        <w:rPr>
          <w:spacing w:val="-5"/>
          <w:w w:val="105"/>
          <w:sz w:val="8"/>
        </w:rPr>
        <w:t>920</w:t>
      </w:r>
    </w:p>
    <w:p w14:paraId="0582E57F" w14:textId="77777777" w:rsidR="0014798C" w:rsidRPr="00537489" w:rsidRDefault="004E1F0B">
      <w:pPr>
        <w:spacing w:before="99" w:line="410" w:lineRule="auto"/>
        <w:ind w:left="83" w:right="6533" w:hanging="2"/>
        <w:rPr>
          <w:sz w:val="12"/>
          <w:lang w:val="en-US"/>
        </w:rPr>
      </w:pPr>
      <w:r>
        <w:br w:type="column"/>
      </w:r>
      <w:r>
        <w:rPr>
          <w:sz w:val="12"/>
        </w:rPr>
        <w:t xml:space="preserve">Véase, por ejemplo, CRPD/C/MMR/CO/1, </w:t>
      </w:r>
      <w:proofErr w:type="spellStart"/>
      <w:r>
        <w:rPr>
          <w:sz w:val="12"/>
        </w:rPr>
        <w:t>párrs</w:t>
      </w:r>
      <w:proofErr w:type="spellEnd"/>
      <w:r>
        <w:rPr>
          <w:sz w:val="12"/>
        </w:rPr>
        <w:t xml:space="preserve">. </w:t>
      </w:r>
      <w:r w:rsidRPr="00537489">
        <w:rPr>
          <w:sz w:val="12"/>
          <w:lang w:val="en-US"/>
        </w:rPr>
        <w:t>31–32.</w:t>
      </w:r>
      <w:r w:rsidRPr="00537489">
        <w:rPr>
          <w:spacing w:val="40"/>
          <w:sz w:val="12"/>
          <w:lang w:val="en-US"/>
        </w:rPr>
        <w:t xml:space="preserve"> </w:t>
      </w:r>
      <w:r w:rsidRPr="00537489">
        <w:rPr>
          <w:spacing w:val="-2"/>
          <w:sz w:val="12"/>
          <w:lang w:val="en-US"/>
        </w:rPr>
        <w:t xml:space="preserve">CEDAW/C/IRQ/CO/7, </w:t>
      </w:r>
      <w:proofErr w:type="spellStart"/>
      <w:r w:rsidRPr="00537489">
        <w:rPr>
          <w:spacing w:val="-2"/>
          <w:sz w:val="12"/>
          <w:lang w:val="en-US"/>
        </w:rPr>
        <w:t>párrs</w:t>
      </w:r>
      <w:proofErr w:type="spellEnd"/>
      <w:r w:rsidRPr="00537489">
        <w:rPr>
          <w:spacing w:val="-2"/>
          <w:sz w:val="12"/>
          <w:lang w:val="en-US"/>
        </w:rPr>
        <w:t>. 19–21</w:t>
      </w:r>
      <w:r>
        <w:rPr>
          <w:spacing w:val="-2"/>
          <w:sz w:val="12"/>
        </w:rPr>
        <w:t>;</w:t>
      </w:r>
      <w:r w:rsidRPr="00537489">
        <w:rPr>
          <w:spacing w:val="-2"/>
          <w:sz w:val="12"/>
          <w:lang w:val="en-US"/>
        </w:rPr>
        <w:t xml:space="preserve"> y CRC/C/SYR/CO/5, </w:t>
      </w:r>
      <w:proofErr w:type="spellStart"/>
      <w:r w:rsidRPr="00537489">
        <w:rPr>
          <w:spacing w:val="-2"/>
          <w:sz w:val="12"/>
          <w:lang w:val="en-US"/>
        </w:rPr>
        <w:t>párrs</w:t>
      </w:r>
      <w:proofErr w:type="spellEnd"/>
      <w:r w:rsidRPr="00537489">
        <w:rPr>
          <w:spacing w:val="-2"/>
          <w:sz w:val="12"/>
          <w:lang w:val="en-US"/>
        </w:rPr>
        <w:t>. 19–20.</w:t>
      </w:r>
      <w:r w:rsidRPr="00537489">
        <w:rPr>
          <w:spacing w:val="40"/>
          <w:sz w:val="12"/>
          <w:lang w:val="en-US"/>
        </w:rPr>
        <w:t xml:space="preserve"> </w:t>
      </w:r>
      <w:r w:rsidRPr="00537489">
        <w:rPr>
          <w:sz w:val="12"/>
          <w:lang w:val="en-US"/>
        </w:rPr>
        <w:t xml:space="preserve">CERD/C/CHN/CO/14-17, </w:t>
      </w:r>
      <w:proofErr w:type="spellStart"/>
      <w:r w:rsidRPr="00537489">
        <w:rPr>
          <w:sz w:val="12"/>
          <w:lang w:val="en-US"/>
        </w:rPr>
        <w:t>párrs</w:t>
      </w:r>
      <w:proofErr w:type="spellEnd"/>
      <w:r w:rsidRPr="00537489">
        <w:rPr>
          <w:sz w:val="12"/>
          <w:lang w:val="en-US"/>
        </w:rPr>
        <w:t>. 36–42.</w:t>
      </w:r>
    </w:p>
    <w:p w14:paraId="09AAF11D" w14:textId="77777777" w:rsidR="0014798C" w:rsidRPr="00537489" w:rsidRDefault="004E1F0B">
      <w:pPr>
        <w:spacing w:before="1"/>
        <w:ind w:left="83"/>
        <w:rPr>
          <w:sz w:val="12"/>
          <w:lang w:val="en-US"/>
        </w:rPr>
      </w:pPr>
      <w:r w:rsidRPr="00537489">
        <w:rPr>
          <w:sz w:val="12"/>
          <w:lang w:val="en-US"/>
        </w:rPr>
        <w:t>CCPR/C/IRN/CO/3,</w:t>
      </w:r>
      <w:r w:rsidRPr="00537489">
        <w:rPr>
          <w:spacing w:val="-8"/>
          <w:sz w:val="12"/>
          <w:lang w:val="en-US"/>
        </w:rPr>
        <w:t xml:space="preserve"> </w:t>
      </w:r>
      <w:proofErr w:type="spellStart"/>
      <w:r w:rsidRPr="00537489">
        <w:rPr>
          <w:sz w:val="12"/>
          <w:lang w:val="en-US"/>
        </w:rPr>
        <w:t>párr</w:t>
      </w:r>
      <w:proofErr w:type="spellEnd"/>
      <w:r w:rsidRPr="00537489">
        <w:rPr>
          <w:sz w:val="12"/>
          <w:lang w:val="en-US"/>
        </w:rPr>
        <w:t>.</w:t>
      </w:r>
      <w:r w:rsidRPr="00537489">
        <w:rPr>
          <w:spacing w:val="-7"/>
          <w:sz w:val="12"/>
          <w:lang w:val="en-US"/>
        </w:rPr>
        <w:t xml:space="preserve"> </w:t>
      </w:r>
      <w:r w:rsidRPr="00537489">
        <w:rPr>
          <w:spacing w:val="-5"/>
          <w:sz w:val="12"/>
          <w:lang w:val="en-US"/>
        </w:rPr>
        <w:t>24.</w:t>
      </w:r>
    </w:p>
    <w:p w14:paraId="7DF08CF2" w14:textId="77777777" w:rsidR="0014798C" w:rsidRDefault="004E1F0B">
      <w:pPr>
        <w:spacing w:before="99"/>
        <w:ind w:left="83"/>
        <w:rPr>
          <w:sz w:val="12"/>
        </w:rPr>
      </w:pPr>
      <w:r w:rsidRPr="00537489">
        <w:rPr>
          <w:sz w:val="12"/>
          <w:lang w:val="en-US"/>
        </w:rPr>
        <w:t>CCPR/C/PAK/CO/1,</w:t>
      </w:r>
      <w:r w:rsidRPr="00537489">
        <w:rPr>
          <w:spacing w:val="-8"/>
          <w:sz w:val="12"/>
          <w:lang w:val="en-US"/>
        </w:rPr>
        <w:t xml:space="preserve"> </w:t>
      </w:r>
      <w:proofErr w:type="spellStart"/>
      <w:r w:rsidRPr="00537489">
        <w:rPr>
          <w:sz w:val="12"/>
          <w:lang w:val="en-US"/>
        </w:rPr>
        <w:t>párr</w:t>
      </w:r>
      <w:proofErr w:type="spellEnd"/>
      <w:r w:rsidRPr="00537489">
        <w:rPr>
          <w:sz w:val="12"/>
          <w:lang w:val="en-US"/>
        </w:rPr>
        <w:t>.</w:t>
      </w:r>
      <w:r w:rsidRPr="00537489">
        <w:rPr>
          <w:spacing w:val="-8"/>
          <w:sz w:val="12"/>
          <w:lang w:val="en-US"/>
        </w:rPr>
        <w:t xml:space="preserve"> </w:t>
      </w:r>
      <w:r>
        <w:rPr>
          <w:spacing w:val="-5"/>
          <w:sz w:val="12"/>
        </w:rPr>
        <w:t>33.</w:t>
      </w:r>
    </w:p>
    <w:p w14:paraId="105C0E96" w14:textId="77777777" w:rsidR="0014798C" w:rsidRDefault="004E1F0B">
      <w:pPr>
        <w:spacing w:before="98" w:line="410" w:lineRule="auto"/>
        <w:ind w:left="81" w:right="2557" w:firstLine="1"/>
        <w:rPr>
          <w:sz w:val="12"/>
        </w:rPr>
      </w:pPr>
      <w:r>
        <w:rPr>
          <w:sz w:val="12"/>
        </w:rPr>
        <w:t>Dando</w:t>
      </w:r>
      <w:r>
        <w:rPr>
          <w:spacing w:val="-1"/>
          <w:sz w:val="12"/>
        </w:rPr>
        <w:t xml:space="preserve"> </w:t>
      </w:r>
      <w:r>
        <w:rPr>
          <w:sz w:val="12"/>
        </w:rPr>
        <w:t>origen</w:t>
      </w:r>
      <w:r>
        <w:rPr>
          <w:spacing w:val="-1"/>
          <w:sz w:val="12"/>
        </w:rPr>
        <w:t xml:space="preserve"> </w:t>
      </w:r>
      <w:r>
        <w:rPr>
          <w:sz w:val="12"/>
        </w:rPr>
        <w:t>a</w:t>
      </w:r>
      <w:r>
        <w:rPr>
          <w:spacing w:val="-1"/>
          <w:sz w:val="12"/>
        </w:rPr>
        <w:t xml:space="preserve"> </w:t>
      </w:r>
      <w:r>
        <w:rPr>
          <w:sz w:val="12"/>
        </w:rPr>
        <w:t>la</w:t>
      </w:r>
      <w:r>
        <w:rPr>
          <w:spacing w:val="-1"/>
          <w:sz w:val="12"/>
        </w:rPr>
        <w:t xml:space="preserve"> </w:t>
      </w:r>
      <w:r>
        <w:rPr>
          <w:sz w:val="12"/>
        </w:rPr>
        <w:t>Operación</w:t>
      </w:r>
      <w:r>
        <w:rPr>
          <w:spacing w:val="-1"/>
          <w:sz w:val="12"/>
        </w:rPr>
        <w:t xml:space="preserve"> </w:t>
      </w:r>
      <w:r>
        <w:rPr>
          <w:sz w:val="12"/>
        </w:rPr>
        <w:t>Híbrida</w:t>
      </w:r>
      <w:r>
        <w:rPr>
          <w:spacing w:val="-1"/>
          <w:sz w:val="12"/>
        </w:rPr>
        <w:t xml:space="preserve"> </w:t>
      </w:r>
      <w:r>
        <w:rPr>
          <w:sz w:val="12"/>
        </w:rPr>
        <w:t>de</w:t>
      </w:r>
      <w:r>
        <w:rPr>
          <w:spacing w:val="-1"/>
          <w:sz w:val="12"/>
        </w:rPr>
        <w:t xml:space="preserve"> </w:t>
      </w:r>
      <w:r>
        <w:rPr>
          <w:sz w:val="12"/>
        </w:rPr>
        <w:t>la</w:t>
      </w:r>
      <w:r>
        <w:rPr>
          <w:spacing w:val="-1"/>
          <w:sz w:val="12"/>
        </w:rPr>
        <w:t xml:space="preserve"> </w:t>
      </w:r>
      <w:r>
        <w:rPr>
          <w:sz w:val="12"/>
        </w:rPr>
        <w:t>Unión</w:t>
      </w:r>
      <w:r>
        <w:rPr>
          <w:spacing w:val="-1"/>
          <w:sz w:val="12"/>
        </w:rPr>
        <w:t xml:space="preserve"> </w:t>
      </w:r>
      <w:r>
        <w:rPr>
          <w:sz w:val="12"/>
        </w:rPr>
        <w:t>Africana</w:t>
      </w:r>
      <w:r>
        <w:rPr>
          <w:spacing w:val="-2"/>
          <w:sz w:val="12"/>
        </w:rPr>
        <w:t xml:space="preserve"> </w:t>
      </w:r>
      <w:r>
        <w:rPr>
          <w:sz w:val="12"/>
        </w:rPr>
        <w:t>y</w:t>
      </w:r>
      <w:r>
        <w:rPr>
          <w:spacing w:val="-1"/>
          <w:sz w:val="12"/>
        </w:rPr>
        <w:t xml:space="preserve"> </w:t>
      </w:r>
      <w:r>
        <w:rPr>
          <w:sz w:val="12"/>
        </w:rPr>
        <w:t>las</w:t>
      </w:r>
      <w:r>
        <w:rPr>
          <w:spacing w:val="-1"/>
          <w:sz w:val="12"/>
        </w:rPr>
        <w:t xml:space="preserve"> </w:t>
      </w:r>
      <w:r>
        <w:rPr>
          <w:sz w:val="12"/>
        </w:rPr>
        <w:t>Naciones</w:t>
      </w:r>
      <w:r>
        <w:rPr>
          <w:spacing w:val="-2"/>
          <w:sz w:val="12"/>
        </w:rPr>
        <w:t xml:space="preserve"> </w:t>
      </w:r>
      <w:r>
        <w:rPr>
          <w:sz w:val="12"/>
        </w:rPr>
        <w:t>Unidas</w:t>
      </w:r>
      <w:r>
        <w:rPr>
          <w:spacing w:val="-1"/>
          <w:sz w:val="12"/>
        </w:rPr>
        <w:t xml:space="preserve"> </w:t>
      </w:r>
      <w:r>
        <w:rPr>
          <w:sz w:val="12"/>
        </w:rPr>
        <w:t>en</w:t>
      </w:r>
      <w:r>
        <w:rPr>
          <w:spacing w:val="-1"/>
          <w:sz w:val="12"/>
        </w:rPr>
        <w:t xml:space="preserve"> </w:t>
      </w:r>
      <w:r>
        <w:rPr>
          <w:sz w:val="12"/>
        </w:rPr>
        <w:t>Darfur</w:t>
      </w:r>
      <w:r>
        <w:rPr>
          <w:spacing w:val="-2"/>
          <w:sz w:val="12"/>
        </w:rPr>
        <w:t xml:space="preserve"> </w:t>
      </w:r>
      <w:r>
        <w:rPr>
          <w:color w:val="0075BF"/>
          <w:sz w:val="12"/>
        </w:rPr>
        <w:t>(https://unamid.unmissions.org/about-unamid-0).</w:t>
      </w:r>
      <w:r>
        <w:rPr>
          <w:color w:val="0075BF"/>
          <w:spacing w:val="40"/>
          <w:sz w:val="12"/>
        </w:rPr>
        <w:t xml:space="preserve"> </w:t>
      </w:r>
      <w:r>
        <w:rPr>
          <w:sz w:val="12"/>
        </w:rPr>
        <w:t>Véase, por ejemplo, A/HRC/7/23, párr. 66.</w:t>
      </w:r>
    </w:p>
    <w:p w14:paraId="36A84EE9" w14:textId="77777777" w:rsidR="0014798C" w:rsidRDefault="0014798C">
      <w:pPr>
        <w:spacing w:line="410" w:lineRule="auto"/>
        <w:rPr>
          <w:sz w:val="12"/>
        </w:rPr>
        <w:sectPr w:rsidR="0014798C" w:rsidSect="00F265E4">
          <w:type w:val="continuous"/>
          <w:pgSz w:w="11900" w:h="16820"/>
          <w:pgMar w:top="40" w:right="0" w:bottom="280" w:left="200" w:header="121" w:footer="0" w:gutter="0"/>
          <w:cols w:num="2" w:space="720" w:equalWidth="0">
            <w:col w:w="1249" w:space="40"/>
            <w:col w:w="10411"/>
          </w:cols>
        </w:sectPr>
      </w:pPr>
    </w:p>
    <w:p w14:paraId="71E7FFE2" w14:textId="77777777" w:rsidR="0014798C" w:rsidRDefault="004E1F0B">
      <w:pPr>
        <w:spacing w:before="22"/>
        <w:ind w:left="1107"/>
        <w:rPr>
          <w:sz w:val="10"/>
        </w:rPr>
      </w:pPr>
      <w:r>
        <w:rPr>
          <w:w w:val="105"/>
          <w:sz w:val="10"/>
        </w:rPr>
        <w:t>921</w:t>
      </w:r>
      <w:r>
        <w:rPr>
          <w:spacing w:val="2"/>
          <w:w w:val="105"/>
          <w:sz w:val="10"/>
        </w:rPr>
        <w:t xml:space="preserve"> </w:t>
      </w:r>
      <w:r>
        <w:rPr>
          <w:w w:val="105"/>
          <w:sz w:val="10"/>
        </w:rPr>
        <w:t>Agencia</w:t>
      </w:r>
      <w:r>
        <w:rPr>
          <w:spacing w:val="2"/>
          <w:w w:val="105"/>
          <w:sz w:val="10"/>
        </w:rPr>
        <w:t xml:space="preserve"> </w:t>
      </w:r>
      <w:r>
        <w:rPr>
          <w:w w:val="105"/>
          <w:sz w:val="10"/>
        </w:rPr>
        <w:t>de</w:t>
      </w:r>
      <w:r>
        <w:rPr>
          <w:spacing w:val="3"/>
          <w:w w:val="105"/>
          <w:sz w:val="10"/>
        </w:rPr>
        <w:t xml:space="preserve"> </w:t>
      </w:r>
      <w:r>
        <w:rPr>
          <w:w w:val="105"/>
          <w:sz w:val="10"/>
        </w:rPr>
        <w:t>Obras</w:t>
      </w:r>
      <w:r>
        <w:rPr>
          <w:spacing w:val="2"/>
          <w:w w:val="105"/>
          <w:sz w:val="10"/>
        </w:rPr>
        <w:t xml:space="preserve"> </w:t>
      </w:r>
      <w:r>
        <w:rPr>
          <w:w w:val="105"/>
          <w:sz w:val="10"/>
        </w:rPr>
        <w:t>Públicas</w:t>
      </w:r>
      <w:r>
        <w:rPr>
          <w:spacing w:val="3"/>
          <w:w w:val="105"/>
          <w:sz w:val="10"/>
        </w:rPr>
        <w:t xml:space="preserve"> </w:t>
      </w:r>
      <w:r>
        <w:rPr>
          <w:w w:val="105"/>
          <w:sz w:val="10"/>
        </w:rPr>
        <w:t>y</w:t>
      </w:r>
      <w:r>
        <w:rPr>
          <w:spacing w:val="3"/>
          <w:w w:val="105"/>
          <w:sz w:val="10"/>
        </w:rPr>
        <w:t xml:space="preserve"> </w:t>
      </w:r>
      <w:r>
        <w:rPr>
          <w:w w:val="105"/>
          <w:sz w:val="10"/>
        </w:rPr>
        <w:t>Socorro</w:t>
      </w:r>
      <w:r>
        <w:rPr>
          <w:spacing w:val="2"/>
          <w:w w:val="105"/>
          <w:sz w:val="10"/>
        </w:rPr>
        <w:t xml:space="preserve"> </w:t>
      </w:r>
      <w:r>
        <w:rPr>
          <w:w w:val="105"/>
          <w:sz w:val="10"/>
        </w:rPr>
        <w:t>de</w:t>
      </w:r>
      <w:r>
        <w:rPr>
          <w:spacing w:val="3"/>
          <w:w w:val="105"/>
          <w:sz w:val="10"/>
        </w:rPr>
        <w:t xml:space="preserve"> </w:t>
      </w:r>
      <w:r>
        <w:rPr>
          <w:w w:val="105"/>
          <w:sz w:val="10"/>
        </w:rPr>
        <w:t>las</w:t>
      </w:r>
      <w:r>
        <w:rPr>
          <w:spacing w:val="2"/>
          <w:w w:val="105"/>
          <w:sz w:val="10"/>
        </w:rPr>
        <w:t xml:space="preserve"> </w:t>
      </w:r>
      <w:r>
        <w:rPr>
          <w:w w:val="105"/>
          <w:sz w:val="10"/>
        </w:rPr>
        <w:t>Naciones</w:t>
      </w:r>
      <w:r>
        <w:rPr>
          <w:spacing w:val="3"/>
          <w:w w:val="105"/>
          <w:sz w:val="10"/>
        </w:rPr>
        <w:t xml:space="preserve"> </w:t>
      </w:r>
      <w:r>
        <w:rPr>
          <w:w w:val="105"/>
          <w:sz w:val="10"/>
        </w:rPr>
        <w:t>Unidas</w:t>
      </w:r>
      <w:r>
        <w:rPr>
          <w:spacing w:val="2"/>
          <w:w w:val="105"/>
          <w:sz w:val="10"/>
        </w:rPr>
        <w:t xml:space="preserve"> </w:t>
      </w:r>
      <w:r>
        <w:rPr>
          <w:w w:val="105"/>
          <w:sz w:val="10"/>
        </w:rPr>
        <w:t>para</w:t>
      </w:r>
      <w:r>
        <w:rPr>
          <w:spacing w:val="4"/>
          <w:w w:val="105"/>
          <w:sz w:val="10"/>
        </w:rPr>
        <w:t xml:space="preserve"> </w:t>
      </w:r>
      <w:r>
        <w:rPr>
          <w:w w:val="105"/>
          <w:sz w:val="10"/>
        </w:rPr>
        <w:t>los</w:t>
      </w:r>
      <w:r>
        <w:rPr>
          <w:spacing w:val="2"/>
          <w:w w:val="105"/>
          <w:sz w:val="10"/>
        </w:rPr>
        <w:t xml:space="preserve"> </w:t>
      </w:r>
      <w:r>
        <w:rPr>
          <w:w w:val="105"/>
          <w:sz w:val="10"/>
        </w:rPr>
        <w:t>Refugiados</w:t>
      </w:r>
      <w:r>
        <w:rPr>
          <w:spacing w:val="2"/>
          <w:w w:val="105"/>
          <w:sz w:val="10"/>
        </w:rPr>
        <w:t xml:space="preserve"> </w:t>
      </w:r>
      <w:r>
        <w:rPr>
          <w:w w:val="105"/>
          <w:sz w:val="10"/>
        </w:rPr>
        <w:t>de</w:t>
      </w:r>
      <w:r>
        <w:rPr>
          <w:spacing w:val="3"/>
          <w:w w:val="105"/>
          <w:sz w:val="10"/>
        </w:rPr>
        <w:t xml:space="preserve"> </w:t>
      </w:r>
      <w:r>
        <w:rPr>
          <w:w w:val="105"/>
          <w:sz w:val="10"/>
        </w:rPr>
        <w:t>Palestina</w:t>
      </w:r>
      <w:r>
        <w:rPr>
          <w:spacing w:val="2"/>
          <w:w w:val="105"/>
          <w:sz w:val="10"/>
        </w:rPr>
        <w:t xml:space="preserve"> </w:t>
      </w:r>
      <w:r>
        <w:rPr>
          <w:w w:val="105"/>
          <w:sz w:val="10"/>
        </w:rPr>
        <w:t>en</w:t>
      </w:r>
      <w:r>
        <w:rPr>
          <w:spacing w:val="3"/>
          <w:w w:val="105"/>
          <w:sz w:val="10"/>
        </w:rPr>
        <w:t xml:space="preserve"> </w:t>
      </w:r>
      <w:r>
        <w:rPr>
          <w:w w:val="105"/>
          <w:sz w:val="10"/>
        </w:rPr>
        <w:t>el</w:t>
      </w:r>
      <w:r>
        <w:rPr>
          <w:spacing w:val="2"/>
          <w:w w:val="105"/>
          <w:sz w:val="10"/>
        </w:rPr>
        <w:t xml:space="preserve"> </w:t>
      </w:r>
      <w:r>
        <w:rPr>
          <w:w w:val="105"/>
          <w:sz w:val="10"/>
        </w:rPr>
        <w:t>Cercano</w:t>
      </w:r>
      <w:r>
        <w:rPr>
          <w:spacing w:val="3"/>
          <w:w w:val="105"/>
          <w:sz w:val="10"/>
        </w:rPr>
        <w:t xml:space="preserve"> </w:t>
      </w:r>
      <w:r>
        <w:rPr>
          <w:w w:val="105"/>
          <w:sz w:val="10"/>
        </w:rPr>
        <w:t>Oriente</w:t>
      </w:r>
      <w:r>
        <w:rPr>
          <w:spacing w:val="3"/>
          <w:w w:val="105"/>
          <w:sz w:val="10"/>
        </w:rPr>
        <w:t xml:space="preserve"> </w:t>
      </w:r>
      <w:hyperlink r:id="rId262">
        <w:r>
          <w:rPr>
            <w:color w:val="0075BF"/>
            <w:spacing w:val="-2"/>
            <w:w w:val="105"/>
            <w:sz w:val="10"/>
          </w:rPr>
          <w:t>(www.unrwa.org).</w:t>
        </w:r>
      </w:hyperlink>
    </w:p>
    <w:p w14:paraId="6C5066A1" w14:textId="77777777" w:rsidR="0014798C" w:rsidRDefault="0014798C">
      <w:pPr>
        <w:pStyle w:val="Textoindependiente"/>
        <w:spacing w:before="20"/>
        <w:rPr>
          <w:sz w:val="10"/>
        </w:rPr>
      </w:pPr>
    </w:p>
    <w:p w14:paraId="637E0D1F" w14:textId="77777777" w:rsidR="0014798C" w:rsidRDefault="004E1F0B">
      <w:pPr>
        <w:ind w:left="1107"/>
        <w:rPr>
          <w:sz w:val="10"/>
        </w:rPr>
      </w:pPr>
      <w:r>
        <w:rPr>
          <w:sz w:val="10"/>
        </w:rPr>
        <w:t>922</w:t>
      </w:r>
      <w:r>
        <w:rPr>
          <w:spacing w:val="-2"/>
          <w:sz w:val="10"/>
        </w:rPr>
        <w:t xml:space="preserve"> </w:t>
      </w:r>
      <w:r>
        <w:rPr>
          <w:sz w:val="10"/>
        </w:rPr>
        <w:t>Así,</w:t>
      </w:r>
      <w:r>
        <w:rPr>
          <w:spacing w:val="-1"/>
          <w:sz w:val="10"/>
        </w:rPr>
        <w:t xml:space="preserve"> </w:t>
      </w:r>
      <w:r>
        <w:rPr>
          <w:sz w:val="10"/>
        </w:rPr>
        <w:t>por</w:t>
      </w:r>
      <w:r>
        <w:rPr>
          <w:spacing w:val="-2"/>
          <w:sz w:val="10"/>
        </w:rPr>
        <w:t xml:space="preserve"> </w:t>
      </w:r>
      <w:r>
        <w:rPr>
          <w:sz w:val="10"/>
        </w:rPr>
        <w:t>ejemplo,</w:t>
      </w:r>
      <w:r>
        <w:rPr>
          <w:spacing w:val="-1"/>
          <w:sz w:val="10"/>
        </w:rPr>
        <w:t xml:space="preserve"> </w:t>
      </w:r>
      <w:r>
        <w:rPr>
          <w:sz w:val="10"/>
        </w:rPr>
        <w:t>en</w:t>
      </w:r>
      <w:r>
        <w:rPr>
          <w:spacing w:val="-1"/>
          <w:sz w:val="10"/>
        </w:rPr>
        <w:t xml:space="preserve"> </w:t>
      </w:r>
      <w:r>
        <w:rPr>
          <w:sz w:val="10"/>
        </w:rPr>
        <w:t>su</w:t>
      </w:r>
      <w:r>
        <w:rPr>
          <w:spacing w:val="-2"/>
          <w:sz w:val="10"/>
        </w:rPr>
        <w:t xml:space="preserve"> </w:t>
      </w:r>
      <w:r>
        <w:rPr>
          <w:sz w:val="10"/>
        </w:rPr>
        <w:t>examen</w:t>
      </w:r>
      <w:r>
        <w:rPr>
          <w:spacing w:val="-1"/>
          <w:sz w:val="10"/>
        </w:rPr>
        <w:t xml:space="preserve"> </w:t>
      </w:r>
      <w:r>
        <w:rPr>
          <w:sz w:val="10"/>
        </w:rPr>
        <w:t>más</w:t>
      </w:r>
      <w:r>
        <w:rPr>
          <w:spacing w:val="-1"/>
          <w:sz w:val="10"/>
        </w:rPr>
        <w:t xml:space="preserve"> </w:t>
      </w:r>
      <w:r>
        <w:rPr>
          <w:sz w:val="10"/>
        </w:rPr>
        <w:t>reciente</w:t>
      </w:r>
      <w:r>
        <w:rPr>
          <w:spacing w:val="-2"/>
          <w:sz w:val="10"/>
        </w:rPr>
        <w:t xml:space="preserve"> </w:t>
      </w:r>
      <w:r>
        <w:rPr>
          <w:sz w:val="10"/>
        </w:rPr>
        <w:t>del</w:t>
      </w:r>
      <w:r>
        <w:rPr>
          <w:spacing w:val="-1"/>
          <w:sz w:val="10"/>
        </w:rPr>
        <w:t xml:space="preserve"> </w:t>
      </w:r>
      <w:r>
        <w:rPr>
          <w:sz w:val="10"/>
        </w:rPr>
        <w:t>Japón,</w:t>
      </w:r>
      <w:r>
        <w:rPr>
          <w:spacing w:val="-1"/>
          <w:sz w:val="10"/>
        </w:rPr>
        <w:t xml:space="preserve"> </w:t>
      </w:r>
      <w:r>
        <w:rPr>
          <w:sz w:val="10"/>
        </w:rPr>
        <w:t>el</w:t>
      </w:r>
      <w:r>
        <w:rPr>
          <w:spacing w:val="-2"/>
          <w:sz w:val="10"/>
        </w:rPr>
        <w:t xml:space="preserve"> </w:t>
      </w:r>
      <w:r>
        <w:rPr>
          <w:sz w:val="10"/>
        </w:rPr>
        <w:t>Comité</w:t>
      </w:r>
      <w:r>
        <w:rPr>
          <w:spacing w:val="-1"/>
          <w:sz w:val="10"/>
        </w:rPr>
        <w:t xml:space="preserve"> </w:t>
      </w:r>
      <w:r>
        <w:rPr>
          <w:sz w:val="10"/>
        </w:rPr>
        <w:t>para</w:t>
      </w:r>
      <w:r>
        <w:rPr>
          <w:spacing w:val="-1"/>
          <w:sz w:val="10"/>
        </w:rPr>
        <w:t xml:space="preserve"> </w:t>
      </w:r>
      <w:r>
        <w:rPr>
          <w:sz w:val="10"/>
        </w:rPr>
        <w:t>la</w:t>
      </w:r>
      <w:r>
        <w:rPr>
          <w:spacing w:val="-2"/>
          <w:sz w:val="10"/>
        </w:rPr>
        <w:t xml:space="preserve"> </w:t>
      </w:r>
      <w:r>
        <w:rPr>
          <w:sz w:val="10"/>
        </w:rPr>
        <w:t>Eliminación</w:t>
      </w:r>
      <w:r>
        <w:rPr>
          <w:spacing w:val="-1"/>
          <w:sz w:val="10"/>
        </w:rPr>
        <w:t xml:space="preserve"> </w:t>
      </w:r>
      <w:r>
        <w:rPr>
          <w:sz w:val="10"/>
        </w:rPr>
        <w:t>de</w:t>
      </w:r>
      <w:r>
        <w:rPr>
          <w:spacing w:val="-1"/>
          <w:sz w:val="10"/>
        </w:rPr>
        <w:t xml:space="preserve"> </w:t>
      </w:r>
      <w:r>
        <w:rPr>
          <w:sz w:val="10"/>
        </w:rPr>
        <w:t>la</w:t>
      </w:r>
      <w:r>
        <w:rPr>
          <w:spacing w:val="-2"/>
          <w:sz w:val="10"/>
        </w:rPr>
        <w:t xml:space="preserve"> </w:t>
      </w:r>
      <w:r>
        <w:rPr>
          <w:sz w:val="10"/>
        </w:rPr>
        <w:t>Discriminación</w:t>
      </w:r>
      <w:r>
        <w:rPr>
          <w:spacing w:val="-1"/>
          <w:sz w:val="10"/>
        </w:rPr>
        <w:t xml:space="preserve"> </w:t>
      </w:r>
      <w:r>
        <w:rPr>
          <w:sz w:val="10"/>
        </w:rPr>
        <w:t>Racial</w:t>
      </w:r>
      <w:r>
        <w:rPr>
          <w:spacing w:val="-1"/>
          <w:sz w:val="10"/>
        </w:rPr>
        <w:t xml:space="preserve"> </w:t>
      </w:r>
      <w:r>
        <w:rPr>
          <w:sz w:val="10"/>
        </w:rPr>
        <w:t>expresó</w:t>
      </w:r>
      <w:r>
        <w:rPr>
          <w:spacing w:val="-2"/>
          <w:sz w:val="10"/>
        </w:rPr>
        <w:t xml:space="preserve"> particular</w:t>
      </w:r>
    </w:p>
    <w:p w14:paraId="75CA47FC" w14:textId="77777777" w:rsidR="0014798C" w:rsidRDefault="004E1F0B">
      <w:pPr>
        <w:spacing w:before="30" w:line="312" w:lineRule="auto"/>
        <w:ind w:left="1366" w:right="1479"/>
        <w:rPr>
          <w:sz w:val="12"/>
        </w:rPr>
      </w:pPr>
      <w:r>
        <w:rPr>
          <w:sz w:val="12"/>
        </w:rPr>
        <w:t>preocupación por la situación del pueblo ainu, los pueblos</w:t>
      </w:r>
      <w:r>
        <w:rPr>
          <w:spacing w:val="-1"/>
          <w:sz w:val="12"/>
        </w:rPr>
        <w:t xml:space="preserve"> </w:t>
      </w:r>
      <w:proofErr w:type="spellStart"/>
      <w:r>
        <w:rPr>
          <w:sz w:val="12"/>
        </w:rPr>
        <w:t>ryukyu</w:t>
      </w:r>
      <w:proofErr w:type="spellEnd"/>
      <w:r>
        <w:rPr>
          <w:sz w:val="12"/>
        </w:rPr>
        <w:t>/</w:t>
      </w:r>
      <w:proofErr w:type="spellStart"/>
      <w:r>
        <w:rPr>
          <w:sz w:val="12"/>
        </w:rPr>
        <w:t>okinawa</w:t>
      </w:r>
      <w:proofErr w:type="spellEnd"/>
      <w:r>
        <w:rPr>
          <w:sz w:val="12"/>
        </w:rPr>
        <w:t xml:space="preserve">, los </w:t>
      </w:r>
      <w:proofErr w:type="spellStart"/>
      <w:r>
        <w:rPr>
          <w:sz w:val="12"/>
        </w:rPr>
        <w:t>burakumin</w:t>
      </w:r>
      <w:proofErr w:type="spellEnd"/>
      <w:r>
        <w:rPr>
          <w:sz w:val="12"/>
        </w:rPr>
        <w:t>, los coreanos, las mujeres de solaz, los musulmanes</w:t>
      </w:r>
      <w:r>
        <w:rPr>
          <w:spacing w:val="-1"/>
          <w:sz w:val="12"/>
        </w:rPr>
        <w:t xml:space="preserve"> </w:t>
      </w:r>
      <w:r>
        <w:rPr>
          <w:sz w:val="12"/>
        </w:rPr>
        <w:t>de origen extranjero,</w:t>
      </w:r>
      <w:r>
        <w:rPr>
          <w:spacing w:val="40"/>
          <w:sz w:val="12"/>
        </w:rPr>
        <w:t xml:space="preserve"> </w:t>
      </w:r>
      <w:r>
        <w:rPr>
          <w:sz w:val="12"/>
        </w:rPr>
        <w:t>los inmigrantes, los extranjeros y los no ciudadanos, así como por las “formas interseccionales de discriminación y violencia contra las mujeres”.</w:t>
      </w:r>
    </w:p>
    <w:p w14:paraId="6C3873B3" w14:textId="77777777" w:rsidR="0014798C" w:rsidRPr="00537489" w:rsidRDefault="004E1F0B">
      <w:pPr>
        <w:spacing w:line="137" w:lineRule="exact"/>
        <w:ind w:left="1370"/>
        <w:rPr>
          <w:sz w:val="12"/>
          <w:lang w:val="en-US"/>
        </w:rPr>
      </w:pPr>
      <w:proofErr w:type="spellStart"/>
      <w:r w:rsidRPr="00537489">
        <w:rPr>
          <w:spacing w:val="-2"/>
          <w:sz w:val="12"/>
          <w:lang w:val="en-US"/>
        </w:rPr>
        <w:t>Véase</w:t>
      </w:r>
      <w:proofErr w:type="spellEnd"/>
      <w:r w:rsidRPr="00537489">
        <w:rPr>
          <w:spacing w:val="26"/>
          <w:sz w:val="12"/>
          <w:lang w:val="en-US"/>
        </w:rPr>
        <w:t xml:space="preserve"> </w:t>
      </w:r>
      <w:r w:rsidRPr="00537489">
        <w:rPr>
          <w:spacing w:val="-2"/>
          <w:sz w:val="12"/>
          <w:lang w:val="en-US"/>
        </w:rPr>
        <w:t>CERD/C/JPN/CO/10-</w:t>
      </w:r>
      <w:r w:rsidRPr="00537489">
        <w:rPr>
          <w:spacing w:val="-5"/>
          <w:sz w:val="12"/>
          <w:lang w:val="en-US"/>
        </w:rPr>
        <w:t>11.</w:t>
      </w:r>
    </w:p>
    <w:p w14:paraId="4CBB7C42" w14:textId="77777777" w:rsidR="0014798C" w:rsidRPr="00537489" w:rsidRDefault="0014798C">
      <w:pPr>
        <w:pStyle w:val="Textoindependiente"/>
        <w:rPr>
          <w:sz w:val="17"/>
          <w:lang w:val="en-US"/>
        </w:rPr>
      </w:pPr>
    </w:p>
    <w:p w14:paraId="4F9ACEE9" w14:textId="77777777" w:rsidR="0014798C" w:rsidRPr="00537489" w:rsidRDefault="0014798C">
      <w:pPr>
        <w:pStyle w:val="Textoindependiente"/>
        <w:rPr>
          <w:sz w:val="17"/>
          <w:lang w:val="en-US"/>
        </w:rPr>
      </w:pPr>
    </w:p>
    <w:p w14:paraId="01009FCF" w14:textId="77777777" w:rsidR="0014798C" w:rsidRPr="00537489" w:rsidRDefault="0014798C">
      <w:pPr>
        <w:pStyle w:val="Textoindependiente"/>
        <w:spacing w:before="71"/>
        <w:rPr>
          <w:sz w:val="17"/>
          <w:lang w:val="en-US"/>
        </w:rPr>
      </w:pPr>
    </w:p>
    <w:p w14:paraId="0FFF6F8A" w14:textId="77777777" w:rsidR="0014798C" w:rsidRDefault="004E1F0B">
      <w:pPr>
        <w:ind w:right="712"/>
        <w:jc w:val="right"/>
        <w:rPr>
          <w:sz w:val="17"/>
        </w:rPr>
      </w:pPr>
      <w:r>
        <w:rPr>
          <w:spacing w:val="-5"/>
          <w:w w:val="105"/>
          <w:sz w:val="17"/>
        </w:rPr>
        <w:t>133</w:t>
      </w:r>
    </w:p>
    <w:p w14:paraId="5566C278" w14:textId="77777777" w:rsidR="0014798C" w:rsidRDefault="0014798C">
      <w:pPr>
        <w:jc w:val="right"/>
        <w:rPr>
          <w:sz w:val="17"/>
        </w:rPr>
        <w:sectPr w:rsidR="0014798C" w:rsidSect="00F265E4">
          <w:type w:val="continuous"/>
          <w:pgSz w:w="11900" w:h="16820"/>
          <w:pgMar w:top="40" w:right="0" w:bottom="280" w:left="200" w:header="121" w:footer="0" w:gutter="0"/>
          <w:cols w:space="720"/>
        </w:sectPr>
      </w:pPr>
    </w:p>
    <w:p w14:paraId="623F69EB" w14:textId="77777777" w:rsidR="0014798C" w:rsidRDefault="0014798C">
      <w:pPr>
        <w:pStyle w:val="Textoindependiente"/>
        <w:spacing w:before="85"/>
        <w:rPr>
          <w:sz w:val="12"/>
        </w:rPr>
      </w:pPr>
    </w:p>
    <w:p w14:paraId="35CF4951" w14:textId="77777777" w:rsidR="0014798C" w:rsidRDefault="004E1F0B">
      <w:pPr>
        <w:ind w:left="1111"/>
        <w:rPr>
          <w:sz w:val="12"/>
        </w:rPr>
      </w:pPr>
      <w:r>
        <w:rPr>
          <w:color w:val="803108"/>
          <w:sz w:val="12"/>
        </w:rPr>
        <w:t>PROTECCIÓN</w:t>
      </w:r>
      <w:r>
        <w:rPr>
          <w:color w:val="803108"/>
          <w:spacing w:val="6"/>
          <w:sz w:val="12"/>
        </w:rPr>
        <w:t xml:space="preserve"> </w:t>
      </w:r>
      <w:r>
        <w:rPr>
          <w:color w:val="803108"/>
          <w:sz w:val="12"/>
        </w:rPr>
        <w:t>DE</w:t>
      </w:r>
      <w:r>
        <w:rPr>
          <w:color w:val="803108"/>
          <w:spacing w:val="7"/>
          <w:sz w:val="12"/>
        </w:rPr>
        <w:t xml:space="preserve"> </w:t>
      </w:r>
      <w:r>
        <w:rPr>
          <w:color w:val="803108"/>
          <w:sz w:val="12"/>
        </w:rPr>
        <w:t>LOS</w:t>
      </w:r>
      <w:r>
        <w:rPr>
          <w:color w:val="803108"/>
          <w:spacing w:val="8"/>
          <w:sz w:val="12"/>
        </w:rPr>
        <w:t xml:space="preserve"> </w:t>
      </w:r>
      <w:r>
        <w:rPr>
          <w:color w:val="803108"/>
          <w:sz w:val="12"/>
        </w:rPr>
        <w:t>DERECHOS</w:t>
      </w:r>
      <w:r>
        <w:rPr>
          <w:color w:val="803108"/>
          <w:spacing w:val="8"/>
          <w:sz w:val="12"/>
        </w:rPr>
        <w:t xml:space="preserve"> </w:t>
      </w:r>
      <w:r>
        <w:rPr>
          <w:color w:val="803108"/>
          <w:sz w:val="12"/>
        </w:rPr>
        <w:t>DE</w:t>
      </w:r>
      <w:r>
        <w:rPr>
          <w:color w:val="803108"/>
          <w:spacing w:val="6"/>
          <w:sz w:val="12"/>
        </w:rPr>
        <w:t xml:space="preserve"> </w:t>
      </w:r>
      <w:r>
        <w:rPr>
          <w:color w:val="803108"/>
          <w:sz w:val="12"/>
        </w:rPr>
        <w:t>LAS</w:t>
      </w:r>
      <w:r>
        <w:rPr>
          <w:color w:val="803108"/>
          <w:spacing w:val="7"/>
          <w:sz w:val="12"/>
        </w:rPr>
        <w:t xml:space="preserve"> </w:t>
      </w:r>
      <w:r>
        <w:rPr>
          <w:color w:val="803108"/>
          <w:sz w:val="12"/>
        </w:rPr>
        <w:t>MINORÍAS:</w:t>
      </w:r>
      <w:r>
        <w:rPr>
          <w:color w:val="803108"/>
          <w:spacing w:val="8"/>
          <w:sz w:val="12"/>
        </w:rPr>
        <w:t xml:space="preserve"> </w:t>
      </w:r>
      <w:r>
        <w:rPr>
          <w:color w:val="803108"/>
          <w:sz w:val="12"/>
        </w:rPr>
        <w:t>una</w:t>
      </w:r>
      <w:r>
        <w:rPr>
          <w:color w:val="803108"/>
          <w:spacing w:val="7"/>
          <w:sz w:val="12"/>
        </w:rPr>
        <w:t xml:space="preserve"> </w:t>
      </w:r>
      <w:r>
        <w:rPr>
          <w:color w:val="803108"/>
          <w:sz w:val="12"/>
        </w:rPr>
        <w:t>guía</w:t>
      </w:r>
      <w:r>
        <w:rPr>
          <w:color w:val="803108"/>
          <w:spacing w:val="6"/>
          <w:sz w:val="12"/>
        </w:rPr>
        <w:t xml:space="preserve"> </w:t>
      </w:r>
      <w:r>
        <w:rPr>
          <w:color w:val="803108"/>
          <w:sz w:val="12"/>
        </w:rPr>
        <w:t>práctica</w:t>
      </w:r>
      <w:r>
        <w:rPr>
          <w:color w:val="803108"/>
          <w:spacing w:val="7"/>
          <w:sz w:val="12"/>
        </w:rPr>
        <w:t xml:space="preserve"> </w:t>
      </w:r>
      <w:r>
        <w:rPr>
          <w:color w:val="803108"/>
          <w:sz w:val="12"/>
        </w:rPr>
        <w:t>para</w:t>
      </w:r>
      <w:r>
        <w:rPr>
          <w:color w:val="803108"/>
          <w:spacing w:val="8"/>
          <w:sz w:val="12"/>
        </w:rPr>
        <w:t xml:space="preserve"> </w:t>
      </w:r>
      <w:r>
        <w:rPr>
          <w:color w:val="803108"/>
          <w:sz w:val="12"/>
        </w:rPr>
        <w:t>desarrollar</w:t>
      </w:r>
      <w:r>
        <w:rPr>
          <w:color w:val="803108"/>
          <w:spacing w:val="6"/>
          <w:sz w:val="12"/>
        </w:rPr>
        <w:t xml:space="preserve"> </w:t>
      </w:r>
      <w:r>
        <w:rPr>
          <w:color w:val="803108"/>
          <w:sz w:val="12"/>
        </w:rPr>
        <w:t>una</w:t>
      </w:r>
      <w:r>
        <w:rPr>
          <w:color w:val="803108"/>
          <w:spacing w:val="7"/>
          <w:sz w:val="12"/>
        </w:rPr>
        <w:t xml:space="preserve"> </w:t>
      </w:r>
      <w:r>
        <w:rPr>
          <w:color w:val="803108"/>
          <w:sz w:val="12"/>
        </w:rPr>
        <w:t>legislación</w:t>
      </w:r>
      <w:r>
        <w:rPr>
          <w:color w:val="803108"/>
          <w:spacing w:val="8"/>
          <w:sz w:val="12"/>
        </w:rPr>
        <w:t xml:space="preserve"> </w:t>
      </w:r>
      <w:r>
        <w:rPr>
          <w:color w:val="803108"/>
          <w:sz w:val="12"/>
        </w:rPr>
        <w:t>integral</w:t>
      </w:r>
      <w:r>
        <w:rPr>
          <w:color w:val="803108"/>
          <w:spacing w:val="7"/>
          <w:sz w:val="12"/>
        </w:rPr>
        <w:t xml:space="preserve"> </w:t>
      </w:r>
      <w:r>
        <w:rPr>
          <w:color w:val="803108"/>
          <w:sz w:val="12"/>
        </w:rPr>
        <w:t>contra</w:t>
      </w:r>
      <w:r>
        <w:rPr>
          <w:color w:val="803108"/>
          <w:spacing w:val="6"/>
          <w:sz w:val="12"/>
        </w:rPr>
        <w:t xml:space="preserve"> </w:t>
      </w:r>
      <w:r>
        <w:rPr>
          <w:color w:val="803108"/>
          <w:sz w:val="12"/>
        </w:rPr>
        <w:t>la</w:t>
      </w:r>
      <w:r>
        <w:rPr>
          <w:color w:val="803108"/>
          <w:spacing w:val="7"/>
          <w:sz w:val="12"/>
        </w:rPr>
        <w:t xml:space="preserve"> </w:t>
      </w:r>
      <w:r>
        <w:rPr>
          <w:color w:val="803108"/>
          <w:spacing w:val="-2"/>
          <w:sz w:val="12"/>
        </w:rPr>
        <w:t>discriminación</w:t>
      </w:r>
    </w:p>
    <w:p w14:paraId="6C3C864F" w14:textId="77777777" w:rsidR="0014798C" w:rsidRDefault="0014798C">
      <w:pPr>
        <w:pStyle w:val="Textoindependiente"/>
        <w:rPr>
          <w:sz w:val="29"/>
        </w:rPr>
      </w:pPr>
    </w:p>
    <w:p w14:paraId="68F97564" w14:textId="77777777" w:rsidR="0014798C" w:rsidRDefault="0014798C">
      <w:pPr>
        <w:pStyle w:val="Textoindependiente"/>
        <w:spacing w:before="286"/>
        <w:rPr>
          <w:sz w:val="29"/>
        </w:rPr>
      </w:pPr>
    </w:p>
    <w:p w14:paraId="45195E5C" w14:textId="77777777" w:rsidR="0014798C" w:rsidRDefault="004E1F0B">
      <w:pPr>
        <w:pStyle w:val="Ttulo8"/>
        <w:numPr>
          <w:ilvl w:val="1"/>
          <w:numId w:val="25"/>
        </w:numPr>
        <w:tabs>
          <w:tab w:val="left" w:pos="1453"/>
          <w:tab w:val="left" w:pos="1504"/>
        </w:tabs>
        <w:spacing w:line="288" w:lineRule="auto"/>
        <w:ind w:left="1504" w:right="1927" w:hanging="404"/>
        <w:rPr>
          <w:color w:val="803108"/>
        </w:rPr>
      </w:pPr>
      <w:r>
        <w:rPr>
          <w:color w:val="803108"/>
        </w:rPr>
        <w:t>Discriminación</w:t>
      </w:r>
      <w:r>
        <w:rPr>
          <w:color w:val="803108"/>
          <w:spacing w:val="-4"/>
        </w:rPr>
        <w:t xml:space="preserve"> </w:t>
      </w:r>
      <w:r>
        <w:rPr>
          <w:color w:val="803108"/>
        </w:rPr>
        <w:t>racial:</w:t>
      </w:r>
      <w:r>
        <w:rPr>
          <w:color w:val="803108"/>
          <w:spacing w:val="-4"/>
        </w:rPr>
        <w:t xml:space="preserve"> </w:t>
      </w:r>
      <w:proofErr w:type="spellStart"/>
      <w:r>
        <w:rPr>
          <w:color w:val="803108"/>
        </w:rPr>
        <w:t>jus</w:t>
      </w:r>
      <w:proofErr w:type="spellEnd"/>
      <w:r>
        <w:rPr>
          <w:color w:val="803108"/>
          <w:spacing w:val="-4"/>
        </w:rPr>
        <w:t xml:space="preserve"> </w:t>
      </w:r>
      <w:r>
        <w:rPr>
          <w:color w:val="803108"/>
        </w:rPr>
        <w:t>cogens,</w:t>
      </w:r>
      <w:r>
        <w:rPr>
          <w:color w:val="803108"/>
          <w:spacing w:val="-4"/>
        </w:rPr>
        <w:t xml:space="preserve"> </w:t>
      </w:r>
      <w:r>
        <w:rPr>
          <w:color w:val="803108"/>
        </w:rPr>
        <w:t>daños</w:t>
      </w:r>
      <w:r>
        <w:rPr>
          <w:color w:val="803108"/>
          <w:spacing w:val="-4"/>
        </w:rPr>
        <w:t xml:space="preserve"> </w:t>
      </w:r>
      <w:r>
        <w:rPr>
          <w:color w:val="803108"/>
        </w:rPr>
        <w:t>particularmente</w:t>
      </w:r>
      <w:r>
        <w:rPr>
          <w:color w:val="803108"/>
          <w:spacing w:val="-5"/>
        </w:rPr>
        <w:t xml:space="preserve"> </w:t>
      </w:r>
      <w:r>
        <w:rPr>
          <w:color w:val="803108"/>
        </w:rPr>
        <w:t>injustos y el problema de la negación</w:t>
      </w:r>
    </w:p>
    <w:p w14:paraId="7945D1E0" w14:textId="77777777" w:rsidR="0014798C" w:rsidRDefault="004E1F0B">
      <w:pPr>
        <w:pStyle w:val="Textoindependiente"/>
        <w:spacing w:before="170" w:line="326" w:lineRule="auto"/>
        <w:ind w:left="1111" w:right="1165" w:hanging="4"/>
      </w:pPr>
      <w:r>
        <w:t>Además de su prohibición en virtud de diversos tratados internacionales de derechos humanos, la prohibición de la discriminación racial</w:t>
      </w:r>
      <w:r>
        <w:rPr>
          <w:spacing w:val="13"/>
        </w:rPr>
        <w:t xml:space="preserve"> </w:t>
      </w:r>
      <w:r>
        <w:t>constituye</w:t>
      </w:r>
      <w:r>
        <w:rPr>
          <w:spacing w:val="13"/>
        </w:rPr>
        <w:t xml:space="preserve"> </w:t>
      </w:r>
      <w:r>
        <w:t>una</w:t>
      </w:r>
      <w:r>
        <w:rPr>
          <w:spacing w:val="13"/>
        </w:rPr>
        <w:t xml:space="preserve"> </w:t>
      </w:r>
      <w:r>
        <w:t>obligación</w:t>
      </w:r>
      <w:r>
        <w:rPr>
          <w:spacing w:val="13"/>
        </w:rPr>
        <w:t xml:space="preserve"> </w:t>
      </w:r>
      <w:r>
        <w:t>erga</w:t>
      </w:r>
      <w:r>
        <w:rPr>
          <w:spacing w:val="13"/>
        </w:rPr>
        <w:t xml:space="preserve"> </w:t>
      </w:r>
      <w:r>
        <w:t>omnes</w:t>
      </w:r>
      <w:r>
        <w:rPr>
          <w:spacing w:val="13"/>
        </w:rPr>
        <w:t xml:space="preserve"> </w:t>
      </w:r>
      <w:r>
        <w:t>en</w:t>
      </w:r>
      <w:r>
        <w:rPr>
          <w:spacing w:val="13"/>
        </w:rPr>
        <w:t xml:space="preserve"> </w:t>
      </w:r>
      <w:r>
        <w:t>virtud</w:t>
      </w:r>
      <w:r>
        <w:rPr>
          <w:spacing w:val="13"/>
        </w:rPr>
        <w:t xml:space="preserve"> </w:t>
      </w:r>
      <w:r>
        <w:t>del</w:t>
      </w:r>
      <w:r>
        <w:rPr>
          <w:spacing w:val="13"/>
        </w:rPr>
        <w:t xml:space="preserve"> </w:t>
      </w:r>
      <w:r>
        <w:t>derecho</w:t>
      </w:r>
      <w:r>
        <w:rPr>
          <w:spacing w:val="13"/>
        </w:rPr>
        <w:t xml:space="preserve"> </w:t>
      </w:r>
      <w:r>
        <w:t>internacional,</w:t>
      </w:r>
      <w:r>
        <w:rPr>
          <w:spacing w:val="16"/>
        </w:rPr>
        <w:t xml:space="preserve"> </w:t>
      </w:r>
      <w:r>
        <w:t>como</w:t>
      </w:r>
      <w:r>
        <w:rPr>
          <w:spacing w:val="13"/>
        </w:rPr>
        <w:t xml:space="preserve"> </w:t>
      </w:r>
      <w:r>
        <w:t>lo</w:t>
      </w:r>
      <w:r>
        <w:rPr>
          <w:spacing w:val="13"/>
        </w:rPr>
        <w:t xml:space="preserve"> </w:t>
      </w:r>
      <w:r>
        <w:t>dejó</w:t>
      </w:r>
      <w:r>
        <w:rPr>
          <w:spacing w:val="13"/>
        </w:rPr>
        <w:t xml:space="preserve"> </w:t>
      </w:r>
      <w:r>
        <w:t>claro</w:t>
      </w:r>
      <w:r>
        <w:rPr>
          <w:spacing w:val="13"/>
        </w:rPr>
        <w:t xml:space="preserve"> </w:t>
      </w:r>
      <w:r>
        <w:t>la</w:t>
      </w:r>
      <w:r>
        <w:rPr>
          <w:spacing w:val="13"/>
        </w:rPr>
        <w:t xml:space="preserve"> </w:t>
      </w:r>
      <w:r>
        <w:t>Corte</w:t>
      </w:r>
      <w:r>
        <w:rPr>
          <w:spacing w:val="13"/>
        </w:rPr>
        <w:t xml:space="preserve"> </w:t>
      </w:r>
      <w:r>
        <w:t>Internacional</w:t>
      </w:r>
      <w:r>
        <w:rPr>
          <w:spacing w:val="13"/>
        </w:rPr>
        <w:t xml:space="preserve"> </w:t>
      </w:r>
      <w:r>
        <w:t>de Justicia</w:t>
      </w:r>
      <w:r>
        <w:rPr>
          <w:spacing w:val="13"/>
        </w:rPr>
        <w:t xml:space="preserve"> </w:t>
      </w:r>
      <w:r>
        <w:t>ya</w:t>
      </w:r>
      <w:r>
        <w:rPr>
          <w:spacing w:val="13"/>
        </w:rPr>
        <w:t xml:space="preserve"> </w:t>
      </w:r>
      <w:r>
        <w:t>en</w:t>
      </w:r>
      <w:r>
        <w:rPr>
          <w:spacing w:val="13"/>
        </w:rPr>
        <w:t xml:space="preserve"> </w:t>
      </w:r>
      <w:r>
        <w:t>1970.923</w:t>
      </w:r>
      <w:r>
        <w:rPr>
          <w:spacing w:val="13"/>
        </w:rPr>
        <w:t xml:space="preserve"> </w:t>
      </w:r>
      <w:r>
        <w:t>De</w:t>
      </w:r>
      <w:r>
        <w:rPr>
          <w:spacing w:val="13"/>
        </w:rPr>
        <w:t xml:space="preserve"> </w:t>
      </w:r>
      <w:r>
        <w:t>hecho,</w:t>
      </w:r>
      <w:r>
        <w:rPr>
          <w:spacing w:val="14"/>
        </w:rPr>
        <w:t xml:space="preserve"> </w:t>
      </w:r>
      <w:r>
        <w:t>se</w:t>
      </w:r>
      <w:r>
        <w:rPr>
          <w:spacing w:val="13"/>
        </w:rPr>
        <w:t xml:space="preserve"> </w:t>
      </w:r>
      <w:r>
        <w:t>considera</w:t>
      </w:r>
      <w:r>
        <w:rPr>
          <w:spacing w:val="13"/>
        </w:rPr>
        <w:t xml:space="preserve"> </w:t>
      </w:r>
      <w:r>
        <w:t>que</w:t>
      </w:r>
      <w:r>
        <w:rPr>
          <w:spacing w:val="13"/>
        </w:rPr>
        <w:t xml:space="preserve"> </w:t>
      </w:r>
      <w:r>
        <w:t>la</w:t>
      </w:r>
      <w:r>
        <w:rPr>
          <w:spacing w:val="13"/>
        </w:rPr>
        <w:t xml:space="preserve"> </w:t>
      </w:r>
      <w:r>
        <w:t>prohibición</w:t>
      </w:r>
      <w:r>
        <w:rPr>
          <w:spacing w:val="13"/>
        </w:rPr>
        <w:t xml:space="preserve"> </w:t>
      </w:r>
      <w:r>
        <w:t>de</w:t>
      </w:r>
      <w:r>
        <w:rPr>
          <w:spacing w:val="13"/>
        </w:rPr>
        <w:t xml:space="preserve"> </w:t>
      </w:r>
      <w:r>
        <w:t>la</w:t>
      </w:r>
      <w:r>
        <w:rPr>
          <w:spacing w:val="13"/>
        </w:rPr>
        <w:t xml:space="preserve"> </w:t>
      </w:r>
      <w:r>
        <w:t>discriminación</w:t>
      </w:r>
      <w:r>
        <w:rPr>
          <w:spacing w:val="13"/>
        </w:rPr>
        <w:t xml:space="preserve"> </w:t>
      </w:r>
      <w:r>
        <w:t>racial</w:t>
      </w:r>
      <w:r>
        <w:rPr>
          <w:spacing w:val="13"/>
        </w:rPr>
        <w:t xml:space="preserve"> </w:t>
      </w:r>
      <w:r>
        <w:t>potencialmente</w:t>
      </w:r>
      <w:r>
        <w:rPr>
          <w:spacing w:val="13"/>
        </w:rPr>
        <w:t xml:space="preserve"> </w:t>
      </w:r>
      <w:r>
        <w:t>ser</w:t>
      </w:r>
      <w:r>
        <w:rPr>
          <w:spacing w:val="13"/>
        </w:rPr>
        <w:t xml:space="preserve"> </w:t>
      </w:r>
      <w:proofErr w:type="spellStart"/>
      <w:r>
        <w:t>jus</w:t>
      </w:r>
      <w:proofErr w:type="spellEnd"/>
      <w:r>
        <w:rPr>
          <w:spacing w:val="13"/>
        </w:rPr>
        <w:t xml:space="preserve"> </w:t>
      </w:r>
      <w:r>
        <w:t>cogens</w:t>
      </w:r>
      <w:r>
        <w:rPr>
          <w:spacing w:val="13"/>
        </w:rPr>
        <w:t xml:space="preserve"> </w:t>
      </w:r>
      <w:r>
        <w:t>o una</w:t>
      </w:r>
      <w:r>
        <w:rPr>
          <w:spacing w:val="13"/>
        </w:rPr>
        <w:t xml:space="preserve"> </w:t>
      </w:r>
      <w:r>
        <w:t>norma</w:t>
      </w:r>
      <w:r>
        <w:rPr>
          <w:spacing w:val="13"/>
        </w:rPr>
        <w:t xml:space="preserve"> </w:t>
      </w:r>
      <w:r>
        <w:t>imperativa</w:t>
      </w:r>
      <w:r>
        <w:rPr>
          <w:spacing w:val="13"/>
        </w:rPr>
        <w:t xml:space="preserve"> </w:t>
      </w:r>
      <w:r>
        <w:t>de</w:t>
      </w:r>
      <w:r>
        <w:rPr>
          <w:spacing w:val="13"/>
        </w:rPr>
        <w:t xml:space="preserve"> </w:t>
      </w:r>
      <w:r>
        <w:t>derecho</w:t>
      </w:r>
      <w:r>
        <w:rPr>
          <w:spacing w:val="13"/>
        </w:rPr>
        <w:t xml:space="preserve"> </w:t>
      </w:r>
      <w:r>
        <w:t>internacional.924</w:t>
      </w:r>
      <w:r>
        <w:rPr>
          <w:spacing w:val="13"/>
        </w:rPr>
        <w:t xml:space="preserve"> </w:t>
      </w:r>
      <w:r>
        <w:t>En</w:t>
      </w:r>
      <w:r>
        <w:rPr>
          <w:spacing w:val="13"/>
        </w:rPr>
        <w:t xml:space="preserve"> </w:t>
      </w:r>
      <w:r>
        <w:t>el</w:t>
      </w:r>
      <w:r>
        <w:rPr>
          <w:spacing w:val="13"/>
        </w:rPr>
        <w:t xml:space="preserve"> </w:t>
      </w:r>
      <w:r>
        <w:t>caso</w:t>
      </w:r>
      <w:r>
        <w:rPr>
          <w:spacing w:val="13"/>
        </w:rPr>
        <w:t xml:space="preserve"> </w:t>
      </w:r>
      <w:r>
        <w:t>Barcelona</w:t>
      </w:r>
      <w:r>
        <w:rPr>
          <w:spacing w:val="13"/>
        </w:rPr>
        <w:t xml:space="preserve"> </w:t>
      </w:r>
      <w:proofErr w:type="spellStart"/>
      <w:r>
        <w:t>Traction</w:t>
      </w:r>
      <w:proofErr w:type="spellEnd"/>
      <w:r>
        <w:rPr>
          <w:spacing w:val="13"/>
        </w:rPr>
        <w:t xml:space="preserve"> </w:t>
      </w:r>
      <w:r>
        <w:t>,</w:t>
      </w:r>
      <w:r>
        <w:rPr>
          <w:spacing w:val="13"/>
        </w:rPr>
        <w:t xml:space="preserve"> </w:t>
      </w:r>
      <w:r>
        <w:t>la</w:t>
      </w:r>
      <w:r>
        <w:rPr>
          <w:spacing w:val="13"/>
        </w:rPr>
        <w:t xml:space="preserve"> </w:t>
      </w:r>
      <w:r>
        <w:t>Corte</w:t>
      </w:r>
      <w:r>
        <w:rPr>
          <w:spacing w:val="13"/>
        </w:rPr>
        <w:t xml:space="preserve"> </w:t>
      </w:r>
      <w:r>
        <w:t>Internacional</w:t>
      </w:r>
      <w:r>
        <w:rPr>
          <w:spacing w:val="13"/>
        </w:rPr>
        <w:t xml:space="preserve"> </w:t>
      </w:r>
      <w:r>
        <w:t>de</w:t>
      </w:r>
      <w:r>
        <w:rPr>
          <w:spacing w:val="13"/>
        </w:rPr>
        <w:t xml:space="preserve"> </w:t>
      </w:r>
      <w:r>
        <w:t>Justicia</w:t>
      </w:r>
      <w:r>
        <w:rPr>
          <w:spacing w:val="13"/>
        </w:rPr>
        <w:t xml:space="preserve"> </w:t>
      </w:r>
      <w:r>
        <w:t>afirmó</w:t>
      </w:r>
      <w:r>
        <w:rPr>
          <w:spacing w:val="13"/>
        </w:rPr>
        <w:t xml:space="preserve"> </w:t>
      </w:r>
      <w:r>
        <w:t>que las obligaciones erga omnes “se derivan, por ejemplo, en el derecho internacional contemporáneo, de la ilegalización de actos</w:t>
      </w:r>
    </w:p>
    <w:p w14:paraId="06917225" w14:textId="77777777" w:rsidR="0014798C" w:rsidRDefault="004E1F0B">
      <w:pPr>
        <w:pStyle w:val="Textoindependiente"/>
        <w:spacing w:line="182" w:lineRule="exact"/>
        <w:ind w:left="1109"/>
      </w:pPr>
      <w:r>
        <w:t>de</w:t>
      </w:r>
      <w:r>
        <w:rPr>
          <w:spacing w:val="5"/>
        </w:rPr>
        <w:t xml:space="preserve"> </w:t>
      </w:r>
      <w:r>
        <w:t>agresión</w:t>
      </w:r>
      <w:r>
        <w:rPr>
          <w:spacing w:val="5"/>
        </w:rPr>
        <w:t xml:space="preserve"> </w:t>
      </w:r>
      <w:r>
        <w:t>y</w:t>
      </w:r>
      <w:r>
        <w:rPr>
          <w:spacing w:val="5"/>
        </w:rPr>
        <w:t xml:space="preserve"> </w:t>
      </w:r>
      <w:r>
        <w:t>de</w:t>
      </w:r>
      <w:r>
        <w:rPr>
          <w:spacing w:val="5"/>
        </w:rPr>
        <w:t xml:space="preserve"> </w:t>
      </w:r>
      <w:r>
        <w:t>genocidio”</w:t>
      </w:r>
      <w:proofErr w:type="gramStart"/>
      <w:r>
        <w:t>.</w:t>
      </w:r>
      <w:r>
        <w:rPr>
          <w:spacing w:val="5"/>
        </w:rPr>
        <w:t xml:space="preserve"> </w:t>
      </w:r>
      <w:r>
        <w:t>,</w:t>
      </w:r>
      <w:proofErr w:type="gramEnd"/>
      <w:r>
        <w:rPr>
          <w:spacing w:val="7"/>
        </w:rPr>
        <w:t xml:space="preserve"> </w:t>
      </w:r>
      <w:r>
        <w:t>así</w:t>
      </w:r>
      <w:r>
        <w:rPr>
          <w:spacing w:val="6"/>
        </w:rPr>
        <w:t xml:space="preserve"> </w:t>
      </w:r>
      <w:r>
        <w:t>como</w:t>
      </w:r>
      <w:r>
        <w:rPr>
          <w:spacing w:val="5"/>
        </w:rPr>
        <w:t xml:space="preserve"> </w:t>
      </w:r>
      <w:r>
        <w:t>también</w:t>
      </w:r>
      <w:r>
        <w:rPr>
          <w:spacing w:val="5"/>
        </w:rPr>
        <w:t xml:space="preserve"> </w:t>
      </w:r>
      <w:r>
        <w:t>de</w:t>
      </w:r>
      <w:r>
        <w:rPr>
          <w:spacing w:val="6"/>
        </w:rPr>
        <w:t xml:space="preserve"> </w:t>
      </w:r>
      <w:r>
        <w:t>los</w:t>
      </w:r>
      <w:r>
        <w:rPr>
          <w:spacing w:val="5"/>
        </w:rPr>
        <w:t xml:space="preserve"> </w:t>
      </w:r>
      <w:r>
        <w:t>principios</w:t>
      </w:r>
      <w:r>
        <w:rPr>
          <w:spacing w:val="5"/>
        </w:rPr>
        <w:t xml:space="preserve"> </w:t>
      </w:r>
      <w:r>
        <w:t>y</w:t>
      </w:r>
      <w:r>
        <w:rPr>
          <w:spacing w:val="5"/>
        </w:rPr>
        <w:t xml:space="preserve"> </w:t>
      </w:r>
      <w:r>
        <w:t>normas</w:t>
      </w:r>
      <w:r>
        <w:rPr>
          <w:spacing w:val="5"/>
        </w:rPr>
        <w:t xml:space="preserve"> </w:t>
      </w:r>
      <w:r>
        <w:t>relativos</w:t>
      </w:r>
      <w:r>
        <w:rPr>
          <w:spacing w:val="6"/>
        </w:rPr>
        <w:t xml:space="preserve"> </w:t>
      </w:r>
      <w:r>
        <w:t>a</w:t>
      </w:r>
      <w:r>
        <w:rPr>
          <w:spacing w:val="5"/>
        </w:rPr>
        <w:t xml:space="preserve"> </w:t>
      </w:r>
      <w:r>
        <w:t>los</w:t>
      </w:r>
      <w:r>
        <w:rPr>
          <w:spacing w:val="5"/>
        </w:rPr>
        <w:t xml:space="preserve"> </w:t>
      </w:r>
      <w:r>
        <w:t>derechos</w:t>
      </w:r>
      <w:r>
        <w:rPr>
          <w:spacing w:val="5"/>
        </w:rPr>
        <w:t xml:space="preserve"> </w:t>
      </w:r>
      <w:r>
        <w:t>básicos</w:t>
      </w:r>
      <w:r>
        <w:rPr>
          <w:spacing w:val="5"/>
        </w:rPr>
        <w:t xml:space="preserve"> </w:t>
      </w:r>
      <w:r>
        <w:t>de</w:t>
      </w:r>
      <w:r>
        <w:rPr>
          <w:spacing w:val="6"/>
        </w:rPr>
        <w:t xml:space="preserve"> </w:t>
      </w:r>
      <w:r>
        <w:t>la</w:t>
      </w:r>
      <w:r>
        <w:rPr>
          <w:spacing w:val="5"/>
        </w:rPr>
        <w:t xml:space="preserve"> </w:t>
      </w:r>
      <w:r>
        <w:rPr>
          <w:spacing w:val="-2"/>
        </w:rPr>
        <w:t>persona</w:t>
      </w:r>
    </w:p>
    <w:p w14:paraId="14D49AFC" w14:textId="77777777" w:rsidR="0014798C" w:rsidRDefault="004E1F0B">
      <w:pPr>
        <w:pStyle w:val="Textoindependiente"/>
        <w:spacing w:before="66"/>
        <w:ind w:left="1108" w:firstLine="4"/>
      </w:pPr>
      <w:r>
        <w:t>humana,</w:t>
      </w:r>
      <w:r>
        <w:rPr>
          <w:spacing w:val="5"/>
        </w:rPr>
        <w:t xml:space="preserve"> </w:t>
      </w:r>
      <w:r>
        <w:t>incluida</w:t>
      </w:r>
      <w:r>
        <w:rPr>
          <w:spacing w:val="3"/>
        </w:rPr>
        <w:t xml:space="preserve"> </w:t>
      </w:r>
      <w:r>
        <w:t>la</w:t>
      </w:r>
      <w:r>
        <w:rPr>
          <w:spacing w:val="4"/>
        </w:rPr>
        <w:t xml:space="preserve"> </w:t>
      </w:r>
      <w:r>
        <w:t>protección</w:t>
      </w:r>
      <w:r>
        <w:rPr>
          <w:spacing w:val="4"/>
        </w:rPr>
        <w:t xml:space="preserve"> </w:t>
      </w:r>
      <w:r>
        <w:t>contra</w:t>
      </w:r>
      <w:r>
        <w:rPr>
          <w:spacing w:val="4"/>
        </w:rPr>
        <w:t xml:space="preserve"> </w:t>
      </w:r>
      <w:r>
        <w:t>la</w:t>
      </w:r>
      <w:r>
        <w:rPr>
          <w:spacing w:val="4"/>
        </w:rPr>
        <w:t xml:space="preserve"> </w:t>
      </w:r>
      <w:r>
        <w:t>esclavitud</w:t>
      </w:r>
      <w:r>
        <w:rPr>
          <w:spacing w:val="4"/>
        </w:rPr>
        <w:t xml:space="preserve"> </w:t>
      </w:r>
      <w:r>
        <w:t>y</w:t>
      </w:r>
      <w:r>
        <w:rPr>
          <w:spacing w:val="4"/>
        </w:rPr>
        <w:t xml:space="preserve"> </w:t>
      </w:r>
      <w:r>
        <w:t>la</w:t>
      </w:r>
      <w:r>
        <w:rPr>
          <w:spacing w:val="4"/>
        </w:rPr>
        <w:t xml:space="preserve"> </w:t>
      </w:r>
      <w:r>
        <w:t>discriminación</w:t>
      </w:r>
      <w:r>
        <w:rPr>
          <w:spacing w:val="4"/>
        </w:rPr>
        <w:t xml:space="preserve"> </w:t>
      </w:r>
      <w:r>
        <w:t>racial”.925</w:t>
      </w:r>
      <w:r>
        <w:rPr>
          <w:spacing w:val="4"/>
        </w:rPr>
        <w:t xml:space="preserve"> </w:t>
      </w:r>
      <w:r>
        <w:t>Además,</w:t>
      </w:r>
      <w:r>
        <w:rPr>
          <w:spacing w:val="5"/>
        </w:rPr>
        <w:t xml:space="preserve"> </w:t>
      </w:r>
      <w:r>
        <w:t>el</w:t>
      </w:r>
      <w:r>
        <w:rPr>
          <w:spacing w:val="4"/>
        </w:rPr>
        <w:t xml:space="preserve"> </w:t>
      </w:r>
      <w:r>
        <w:t>racismo</w:t>
      </w:r>
      <w:r>
        <w:rPr>
          <w:spacing w:val="4"/>
        </w:rPr>
        <w:t xml:space="preserve"> </w:t>
      </w:r>
      <w:r>
        <w:t>y</w:t>
      </w:r>
      <w:r>
        <w:rPr>
          <w:spacing w:val="4"/>
        </w:rPr>
        <w:t xml:space="preserve"> </w:t>
      </w:r>
      <w:r>
        <w:t>la</w:t>
      </w:r>
      <w:r>
        <w:rPr>
          <w:spacing w:val="4"/>
        </w:rPr>
        <w:t xml:space="preserve"> </w:t>
      </w:r>
      <w:r>
        <w:t>discriminación</w:t>
      </w:r>
      <w:r>
        <w:rPr>
          <w:spacing w:val="4"/>
        </w:rPr>
        <w:t xml:space="preserve"> </w:t>
      </w:r>
      <w:r>
        <w:rPr>
          <w:spacing w:val="-2"/>
        </w:rPr>
        <w:t>racial</w:t>
      </w:r>
    </w:p>
    <w:p w14:paraId="3B4A6919" w14:textId="77777777" w:rsidR="0014798C" w:rsidRDefault="004E1F0B">
      <w:pPr>
        <w:pStyle w:val="Textoindependiente"/>
        <w:spacing w:before="66" w:line="271" w:lineRule="auto"/>
        <w:ind w:left="1108" w:right="1463"/>
      </w:pPr>
      <w:r>
        <w:t>se reconocen no sólo como cuestiones que preocupan a los derechos humanos, sino también como posibles causas profundas</w:t>
      </w:r>
      <w:r>
        <w:rPr>
          <w:spacing w:val="40"/>
        </w:rPr>
        <w:t xml:space="preserve"> </w:t>
      </w:r>
      <w:r>
        <w:t>de conflictos interestatales e intraestatales.926</w:t>
      </w:r>
    </w:p>
    <w:p w14:paraId="30AEBCB9" w14:textId="77777777" w:rsidR="0014798C" w:rsidRDefault="0014798C">
      <w:pPr>
        <w:pStyle w:val="Textoindependiente"/>
        <w:spacing w:before="69"/>
      </w:pPr>
    </w:p>
    <w:p w14:paraId="3A8ADA7A" w14:textId="77777777" w:rsidR="0014798C" w:rsidRDefault="004E1F0B">
      <w:pPr>
        <w:pStyle w:val="Textoindependiente"/>
        <w:spacing w:line="326" w:lineRule="auto"/>
        <w:ind w:left="1108" w:right="1272"/>
      </w:pPr>
      <w:r>
        <w:t>En la jurisprudencia regional, la Comisión Africana de Derechos Humanos y Derechos de los Pueblos ha reconocido que la discriminación racial es una violación del “espíritu mismo de la Carta Africana y de la letra de su artículo 2”.927</w:t>
      </w:r>
    </w:p>
    <w:p w14:paraId="7BEC48EB" w14:textId="77777777" w:rsidR="0014798C" w:rsidRDefault="004E1F0B">
      <w:pPr>
        <w:spacing w:line="183" w:lineRule="exact"/>
        <w:ind w:left="1106"/>
        <w:rPr>
          <w:sz w:val="17"/>
        </w:rPr>
      </w:pPr>
      <w:r>
        <w:rPr>
          <w:w w:val="105"/>
          <w:sz w:val="17"/>
        </w:rPr>
        <w:t>La</w:t>
      </w:r>
      <w:r>
        <w:rPr>
          <w:spacing w:val="-11"/>
          <w:w w:val="105"/>
          <w:sz w:val="17"/>
        </w:rPr>
        <w:t xml:space="preserve"> </w:t>
      </w:r>
      <w:r>
        <w:rPr>
          <w:w w:val="105"/>
          <w:sz w:val="17"/>
        </w:rPr>
        <w:t>Comisión</w:t>
      </w:r>
      <w:r>
        <w:rPr>
          <w:spacing w:val="-10"/>
          <w:w w:val="105"/>
          <w:sz w:val="17"/>
        </w:rPr>
        <w:t xml:space="preserve"> </w:t>
      </w:r>
      <w:r>
        <w:rPr>
          <w:w w:val="105"/>
          <w:sz w:val="17"/>
        </w:rPr>
        <w:t>afirmó</w:t>
      </w:r>
      <w:r>
        <w:rPr>
          <w:spacing w:val="-10"/>
          <w:w w:val="105"/>
          <w:sz w:val="17"/>
        </w:rPr>
        <w:t xml:space="preserve"> </w:t>
      </w:r>
      <w:r>
        <w:rPr>
          <w:w w:val="105"/>
          <w:sz w:val="17"/>
        </w:rPr>
        <w:t>que</w:t>
      </w:r>
      <w:r>
        <w:rPr>
          <w:spacing w:val="-10"/>
          <w:w w:val="105"/>
          <w:sz w:val="17"/>
        </w:rPr>
        <w:t xml:space="preserve"> </w:t>
      </w:r>
      <w:r>
        <w:rPr>
          <w:w w:val="105"/>
          <w:sz w:val="17"/>
        </w:rPr>
        <w:t>el</w:t>
      </w:r>
      <w:r>
        <w:rPr>
          <w:spacing w:val="-10"/>
          <w:w w:val="105"/>
          <w:sz w:val="17"/>
        </w:rPr>
        <w:t xml:space="preserve"> </w:t>
      </w:r>
      <w:r>
        <w:rPr>
          <w:w w:val="105"/>
          <w:sz w:val="17"/>
        </w:rPr>
        <w:t>“tono</w:t>
      </w:r>
      <w:r>
        <w:rPr>
          <w:spacing w:val="-10"/>
          <w:w w:val="105"/>
          <w:sz w:val="17"/>
        </w:rPr>
        <w:t xml:space="preserve"> </w:t>
      </w:r>
      <w:r>
        <w:rPr>
          <w:w w:val="105"/>
          <w:sz w:val="17"/>
        </w:rPr>
        <w:t>general</w:t>
      </w:r>
      <w:r>
        <w:rPr>
          <w:spacing w:val="-10"/>
          <w:w w:val="105"/>
          <w:sz w:val="17"/>
        </w:rPr>
        <w:t xml:space="preserve"> </w:t>
      </w:r>
      <w:r>
        <w:rPr>
          <w:w w:val="105"/>
          <w:sz w:val="17"/>
        </w:rPr>
        <w:t>de</w:t>
      </w:r>
      <w:r>
        <w:rPr>
          <w:spacing w:val="-10"/>
          <w:w w:val="105"/>
          <w:sz w:val="17"/>
        </w:rPr>
        <w:t xml:space="preserve"> </w:t>
      </w:r>
      <w:r>
        <w:rPr>
          <w:w w:val="105"/>
          <w:sz w:val="17"/>
        </w:rPr>
        <w:t>la</w:t>
      </w:r>
      <w:r>
        <w:rPr>
          <w:spacing w:val="-10"/>
          <w:w w:val="105"/>
          <w:sz w:val="17"/>
        </w:rPr>
        <w:t xml:space="preserve"> </w:t>
      </w:r>
      <w:r>
        <w:rPr>
          <w:w w:val="105"/>
          <w:sz w:val="17"/>
        </w:rPr>
        <w:t>Carta</w:t>
      </w:r>
      <w:r>
        <w:rPr>
          <w:spacing w:val="-10"/>
          <w:w w:val="105"/>
          <w:sz w:val="17"/>
        </w:rPr>
        <w:t xml:space="preserve"> </w:t>
      </w:r>
      <w:r>
        <w:rPr>
          <w:w w:val="105"/>
          <w:sz w:val="17"/>
        </w:rPr>
        <w:t>aborrece</w:t>
      </w:r>
      <w:r>
        <w:rPr>
          <w:spacing w:val="-10"/>
          <w:w w:val="105"/>
          <w:sz w:val="17"/>
        </w:rPr>
        <w:t xml:space="preserve"> </w:t>
      </w:r>
      <w:r>
        <w:rPr>
          <w:w w:val="105"/>
          <w:sz w:val="17"/>
        </w:rPr>
        <w:t>la</w:t>
      </w:r>
      <w:r>
        <w:rPr>
          <w:spacing w:val="-10"/>
          <w:w w:val="105"/>
          <w:sz w:val="17"/>
        </w:rPr>
        <w:t xml:space="preserve"> </w:t>
      </w:r>
      <w:r>
        <w:rPr>
          <w:w w:val="105"/>
          <w:sz w:val="17"/>
        </w:rPr>
        <w:t>discriminación</w:t>
      </w:r>
      <w:r>
        <w:rPr>
          <w:spacing w:val="-10"/>
          <w:w w:val="105"/>
          <w:sz w:val="17"/>
        </w:rPr>
        <w:t xml:space="preserve"> </w:t>
      </w:r>
      <w:r>
        <w:rPr>
          <w:w w:val="105"/>
          <w:sz w:val="17"/>
        </w:rPr>
        <w:t>racial”.928</w:t>
      </w:r>
      <w:r>
        <w:rPr>
          <w:spacing w:val="-10"/>
          <w:w w:val="105"/>
          <w:sz w:val="17"/>
        </w:rPr>
        <w:t xml:space="preserve"> </w:t>
      </w:r>
      <w:r>
        <w:rPr>
          <w:w w:val="105"/>
          <w:sz w:val="17"/>
        </w:rPr>
        <w:t>Además,</w:t>
      </w:r>
      <w:r>
        <w:rPr>
          <w:spacing w:val="-10"/>
          <w:w w:val="105"/>
          <w:sz w:val="17"/>
        </w:rPr>
        <w:t xml:space="preserve"> </w:t>
      </w:r>
      <w:r>
        <w:rPr>
          <w:w w:val="105"/>
          <w:sz w:val="17"/>
        </w:rPr>
        <w:t>la</w:t>
      </w:r>
      <w:r>
        <w:rPr>
          <w:spacing w:val="-10"/>
          <w:w w:val="105"/>
          <w:sz w:val="17"/>
        </w:rPr>
        <w:t xml:space="preserve"> </w:t>
      </w:r>
      <w:r>
        <w:rPr>
          <w:spacing w:val="-2"/>
          <w:w w:val="105"/>
          <w:sz w:val="17"/>
        </w:rPr>
        <w:t>Comisión</w:t>
      </w:r>
    </w:p>
    <w:p w14:paraId="32B64DF7" w14:textId="77777777" w:rsidR="0014798C" w:rsidRDefault="004E1F0B">
      <w:pPr>
        <w:spacing w:before="55" w:line="307" w:lineRule="auto"/>
        <w:ind w:left="1111" w:right="1272" w:hanging="5"/>
        <w:rPr>
          <w:sz w:val="17"/>
        </w:rPr>
      </w:pPr>
      <w:r>
        <w:rPr>
          <w:w w:val="105"/>
          <w:sz w:val="17"/>
        </w:rPr>
        <w:t>destaca</w:t>
      </w:r>
      <w:r>
        <w:rPr>
          <w:spacing w:val="-8"/>
          <w:w w:val="105"/>
          <w:sz w:val="17"/>
        </w:rPr>
        <w:t xml:space="preserve"> </w:t>
      </w:r>
      <w:r>
        <w:rPr>
          <w:w w:val="105"/>
          <w:sz w:val="17"/>
        </w:rPr>
        <w:t>que</w:t>
      </w:r>
      <w:r>
        <w:rPr>
          <w:spacing w:val="-8"/>
          <w:w w:val="105"/>
          <w:sz w:val="17"/>
        </w:rPr>
        <w:t xml:space="preserve"> </w:t>
      </w:r>
      <w:r>
        <w:rPr>
          <w:w w:val="105"/>
          <w:sz w:val="17"/>
        </w:rPr>
        <w:t>la</w:t>
      </w:r>
      <w:r>
        <w:rPr>
          <w:spacing w:val="-8"/>
          <w:w w:val="105"/>
          <w:sz w:val="17"/>
        </w:rPr>
        <w:t xml:space="preserve"> </w:t>
      </w:r>
      <w:r>
        <w:rPr>
          <w:w w:val="105"/>
          <w:sz w:val="17"/>
        </w:rPr>
        <w:t>larga</w:t>
      </w:r>
      <w:r>
        <w:rPr>
          <w:spacing w:val="-8"/>
          <w:w w:val="105"/>
          <w:sz w:val="17"/>
        </w:rPr>
        <w:t xml:space="preserve"> </w:t>
      </w:r>
      <w:r>
        <w:rPr>
          <w:w w:val="105"/>
          <w:sz w:val="17"/>
        </w:rPr>
        <w:t>historia</w:t>
      </w:r>
      <w:r>
        <w:rPr>
          <w:spacing w:val="-8"/>
          <w:w w:val="105"/>
          <w:sz w:val="17"/>
        </w:rPr>
        <w:t xml:space="preserve"> </w:t>
      </w:r>
      <w:r>
        <w:rPr>
          <w:w w:val="105"/>
          <w:sz w:val="17"/>
        </w:rPr>
        <w:t>de</w:t>
      </w:r>
      <w:r>
        <w:rPr>
          <w:spacing w:val="-8"/>
          <w:w w:val="105"/>
          <w:sz w:val="17"/>
        </w:rPr>
        <w:t xml:space="preserve"> </w:t>
      </w:r>
      <w:r>
        <w:rPr>
          <w:w w:val="105"/>
          <w:sz w:val="17"/>
        </w:rPr>
        <w:t>África</w:t>
      </w:r>
      <w:r>
        <w:rPr>
          <w:spacing w:val="-8"/>
          <w:w w:val="105"/>
          <w:sz w:val="17"/>
        </w:rPr>
        <w:t xml:space="preserve"> </w:t>
      </w:r>
      <w:r>
        <w:rPr>
          <w:w w:val="105"/>
          <w:sz w:val="17"/>
        </w:rPr>
        <w:t>sometida</w:t>
      </w:r>
      <w:r>
        <w:rPr>
          <w:spacing w:val="-8"/>
          <w:w w:val="105"/>
          <w:sz w:val="17"/>
        </w:rPr>
        <w:t xml:space="preserve"> </w:t>
      </w:r>
      <w:r>
        <w:rPr>
          <w:w w:val="105"/>
          <w:sz w:val="17"/>
        </w:rPr>
        <w:t>a</w:t>
      </w:r>
      <w:r>
        <w:rPr>
          <w:spacing w:val="-8"/>
          <w:w w:val="105"/>
          <w:sz w:val="17"/>
        </w:rPr>
        <w:t xml:space="preserve"> </w:t>
      </w:r>
      <w:r>
        <w:rPr>
          <w:w w:val="105"/>
          <w:sz w:val="17"/>
        </w:rPr>
        <w:t>discriminación</w:t>
      </w:r>
      <w:r>
        <w:rPr>
          <w:spacing w:val="-8"/>
          <w:w w:val="105"/>
          <w:sz w:val="17"/>
        </w:rPr>
        <w:t xml:space="preserve"> </w:t>
      </w:r>
      <w:r>
        <w:rPr>
          <w:w w:val="105"/>
          <w:sz w:val="17"/>
        </w:rPr>
        <w:t>racial</w:t>
      </w:r>
      <w:r>
        <w:rPr>
          <w:spacing w:val="-8"/>
          <w:w w:val="105"/>
          <w:sz w:val="17"/>
        </w:rPr>
        <w:t xml:space="preserve"> </w:t>
      </w:r>
      <w:r>
        <w:rPr>
          <w:w w:val="105"/>
          <w:sz w:val="17"/>
        </w:rPr>
        <w:t>sugeriría</w:t>
      </w:r>
      <w:r>
        <w:rPr>
          <w:spacing w:val="-8"/>
          <w:w w:val="105"/>
          <w:sz w:val="17"/>
        </w:rPr>
        <w:t xml:space="preserve"> </w:t>
      </w:r>
      <w:r>
        <w:rPr>
          <w:w w:val="105"/>
          <w:sz w:val="17"/>
        </w:rPr>
        <w:t>firmemente</w:t>
      </w:r>
      <w:r>
        <w:rPr>
          <w:spacing w:val="-8"/>
          <w:w w:val="105"/>
          <w:sz w:val="17"/>
        </w:rPr>
        <w:t xml:space="preserve"> </w:t>
      </w:r>
      <w:r>
        <w:rPr>
          <w:w w:val="105"/>
          <w:sz w:val="17"/>
        </w:rPr>
        <w:t>que</w:t>
      </w:r>
      <w:r>
        <w:rPr>
          <w:spacing w:val="-8"/>
          <w:w w:val="105"/>
          <w:sz w:val="17"/>
        </w:rPr>
        <w:t xml:space="preserve"> </w:t>
      </w:r>
      <w:r>
        <w:rPr>
          <w:w w:val="105"/>
          <w:sz w:val="17"/>
        </w:rPr>
        <w:t>los</w:t>
      </w:r>
      <w:r>
        <w:rPr>
          <w:spacing w:val="-8"/>
          <w:w w:val="105"/>
          <w:sz w:val="17"/>
        </w:rPr>
        <w:t xml:space="preserve"> </w:t>
      </w:r>
      <w:proofErr w:type="gramStart"/>
      <w:r>
        <w:rPr>
          <w:w w:val="105"/>
          <w:sz w:val="17"/>
        </w:rPr>
        <w:t>Estados</w:t>
      </w:r>
      <w:r>
        <w:rPr>
          <w:spacing w:val="-8"/>
          <w:w w:val="105"/>
          <w:sz w:val="17"/>
        </w:rPr>
        <w:t xml:space="preserve"> </w:t>
      </w:r>
      <w:r>
        <w:rPr>
          <w:w w:val="105"/>
          <w:sz w:val="17"/>
        </w:rPr>
        <w:t>partes</w:t>
      </w:r>
      <w:proofErr w:type="gramEnd"/>
      <w:r>
        <w:rPr>
          <w:spacing w:val="-8"/>
          <w:w w:val="105"/>
          <w:sz w:val="17"/>
        </w:rPr>
        <w:t xml:space="preserve"> </w:t>
      </w:r>
      <w:r>
        <w:rPr>
          <w:w w:val="105"/>
          <w:sz w:val="17"/>
        </w:rPr>
        <w:t>en la Carta trabajarían para eliminar todas las formas de discriminación racial. discriminación.929</w:t>
      </w:r>
    </w:p>
    <w:p w14:paraId="16D9DA78" w14:textId="77777777" w:rsidR="0014798C" w:rsidRDefault="004E1F0B">
      <w:pPr>
        <w:pStyle w:val="Textoindependiente"/>
        <w:spacing w:before="180" w:line="326" w:lineRule="auto"/>
        <w:ind w:left="1107" w:right="1239" w:hanging="1"/>
      </w:pPr>
      <w:r>
        <w:t>El Tribunal Europeo de Derechos Humanos afirma periódicamente que “la discriminación racial es un tipo de discriminación particularmente</w:t>
      </w:r>
      <w:r>
        <w:rPr>
          <w:spacing w:val="10"/>
        </w:rPr>
        <w:t xml:space="preserve"> </w:t>
      </w:r>
      <w:r>
        <w:t>odioso</w:t>
      </w:r>
      <w:r>
        <w:rPr>
          <w:spacing w:val="10"/>
        </w:rPr>
        <w:t xml:space="preserve"> </w:t>
      </w:r>
      <w:r>
        <w:t>y,</w:t>
      </w:r>
      <w:r>
        <w:rPr>
          <w:spacing w:val="10"/>
        </w:rPr>
        <w:t xml:space="preserve"> </w:t>
      </w:r>
      <w:r>
        <w:t>en</w:t>
      </w:r>
      <w:r>
        <w:rPr>
          <w:spacing w:val="10"/>
        </w:rPr>
        <w:t xml:space="preserve"> </w:t>
      </w:r>
      <w:r>
        <w:t>vista</w:t>
      </w:r>
      <w:r>
        <w:rPr>
          <w:spacing w:val="10"/>
        </w:rPr>
        <w:t xml:space="preserve"> </w:t>
      </w:r>
      <w:r>
        <w:t>de</w:t>
      </w:r>
      <w:r>
        <w:rPr>
          <w:spacing w:val="10"/>
        </w:rPr>
        <w:t xml:space="preserve"> </w:t>
      </w:r>
      <w:r>
        <w:t>sus</w:t>
      </w:r>
      <w:r>
        <w:rPr>
          <w:spacing w:val="10"/>
        </w:rPr>
        <w:t xml:space="preserve"> </w:t>
      </w:r>
      <w:r>
        <w:t>peligrosas</w:t>
      </w:r>
      <w:r>
        <w:rPr>
          <w:spacing w:val="10"/>
        </w:rPr>
        <w:t xml:space="preserve"> </w:t>
      </w:r>
      <w:r>
        <w:t>consecuencias,</w:t>
      </w:r>
      <w:r>
        <w:rPr>
          <w:spacing w:val="12"/>
        </w:rPr>
        <w:t xml:space="preserve"> </w:t>
      </w:r>
      <w:r>
        <w:t>requiere</w:t>
      </w:r>
      <w:r>
        <w:rPr>
          <w:spacing w:val="10"/>
        </w:rPr>
        <w:t xml:space="preserve"> </w:t>
      </w:r>
      <w:r>
        <w:t>por</w:t>
      </w:r>
      <w:r>
        <w:rPr>
          <w:spacing w:val="10"/>
        </w:rPr>
        <w:t xml:space="preserve"> </w:t>
      </w:r>
      <w:r>
        <w:t>parte</w:t>
      </w:r>
      <w:r>
        <w:rPr>
          <w:spacing w:val="10"/>
        </w:rPr>
        <w:t xml:space="preserve"> </w:t>
      </w:r>
      <w:r>
        <w:t>de</w:t>
      </w:r>
      <w:r>
        <w:rPr>
          <w:spacing w:val="10"/>
        </w:rPr>
        <w:t xml:space="preserve"> </w:t>
      </w:r>
      <w:r>
        <w:t>las</w:t>
      </w:r>
      <w:r>
        <w:rPr>
          <w:spacing w:val="10"/>
        </w:rPr>
        <w:t xml:space="preserve"> </w:t>
      </w:r>
      <w:r>
        <w:t>autoridades</w:t>
      </w:r>
      <w:r>
        <w:rPr>
          <w:spacing w:val="10"/>
        </w:rPr>
        <w:t xml:space="preserve"> </w:t>
      </w:r>
      <w:r>
        <w:t>una</w:t>
      </w:r>
      <w:r>
        <w:rPr>
          <w:spacing w:val="10"/>
        </w:rPr>
        <w:t xml:space="preserve"> </w:t>
      </w:r>
      <w:r>
        <w:t>vigilancia</w:t>
      </w:r>
      <w:r>
        <w:rPr>
          <w:spacing w:val="10"/>
        </w:rPr>
        <w:t xml:space="preserve"> </w:t>
      </w:r>
      <w:r>
        <w:t>especial y una reacción enérgica. Es por esta razón que las autoridades deben utilizar todos los medios disponibles para combatir el</w:t>
      </w:r>
    </w:p>
    <w:p w14:paraId="3E9EE9FD" w14:textId="77777777" w:rsidR="0014798C" w:rsidRDefault="004E1F0B">
      <w:pPr>
        <w:pStyle w:val="Textoindependiente"/>
        <w:spacing w:line="271" w:lineRule="auto"/>
        <w:ind w:left="1111" w:right="1463" w:hanging="4"/>
      </w:pPr>
      <w:r>
        <w:t>racismo, reforzando así la visión democrática de una sociedad en la que la diversidad no se percibe como una amenaza sino como una fuente de enriquecimiento.”930 La Corte también se ha pronunciado sobre una serie de En muchas ocasiones la</w:t>
      </w:r>
    </w:p>
    <w:p w14:paraId="718351D2" w14:textId="77777777" w:rsidR="0014798C" w:rsidRDefault="004E1F0B">
      <w:pPr>
        <w:pStyle w:val="Textoindependiente"/>
        <w:spacing w:before="83"/>
        <w:ind w:left="1109"/>
      </w:pPr>
      <w:r>
        <w:t>discriminación</w:t>
      </w:r>
      <w:r>
        <w:rPr>
          <w:spacing w:val="4"/>
        </w:rPr>
        <w:t xml:space="preserve"> </w:t>
      </w:r>
      <w:r>
        <w:t>racial</w:t>
      </w:r>
      <w:r>
        <w:rPr>
          <w:spacing w:val="4"/>
        </w:rPr>
        <w:t xml:space="preserve"> </w:t>
      </w:r>
      <w:r>
        <w:t>es</w:t>
      </w:r>
      <w:r>
        <w:rPr>
          <w:spacing w:val="4"/>
        </w:rPr>
        <w:t xml:space="preserve"> </w:t>
      </w:r>
      <w:r>
        <w:t>una</w:t>
      </w:r>
      <w:r>
        <w:rPr>
          <w:spacing w:val="5"/>
        </w:rPr>
        <w:t xml:space="preserve"> </w:t>
      </w:r>
      <w:r>
        <w:t>forma</w:t>
      </w:r>
      <w:r>
        <w:rPr>
          <w:spacing w:val="4"/>
        </w:rPr>
        <w:t xml:space="preserve"> </w:t>
      </w:r>
      <w:r>
        <w:t>de</w:t>
      </w:r>
      <w:r>
        <w:rPr>
          <w:spacing w:val="4"/>
        </w:rPr>
        <w:t xml:space="preserve"> </w:t>
      </w:r>
      <w:r>
        <w:t>daño</w:t>
      </w:r>
      <w:r>
        <w:rPr>
          <w:spacing w:val="5"/>
        </w:rPr>
        <w:t xml:space="preserve"> </w:t>
      </w:r>
      <w:r>
        <w:t>suficientemente</w:t>
      </w:r>
      <w:r>
        <w:rPr>
          <w:spacing w:val="4"/>
        </w:rPr>
        <w:t xml:space="preserve"> </w:t>
      </w:r>
      <w:r>
        <w:t>grave</w:t>
      </w:r>
      <w:r>
        <w:rPr>
          <w:spacing w:val="4"/>
        </w:rPr>
        <w:t xml:space="preserve"> </w:t>
      </w:r>
      <w:r>
        <w:t>como</w:t>
      </w:r>
      <w:r>
        <w:rPr>
          <w:spacing w:val="5"/>
        </w:rPr>
        <w:t xml:space="preserve"> </w:t>
      </w:r>
      <w:r>
        <w:t>para</w:t>
      </w:r>
      <w:r>
        <w:rPr>
          <w:spacing w:val="4"/>
        </w:rPr>
        <w:t xml:space="preserve"> </w:t>
      </w:r>
      <w:r>
        <w:t>alcanzar</w:t>
      </w:r>
      <w:r>
        <w:rPr>
          <w:spacing w:val="4"/>
        </w:rPr>
        <w:t xml:space="preserve"> </w:t>
      </w:r>
      <w:r>
        <w:t>el</w:t>
      </w:r>
      <w:r>
        <w:rPr>
          <w:spacing w:val="5"/>
        </w:rPr>
        <w:t xml:space="preserve"> </w:t>
      </w:r>
      <w:r>
        <w:t>nivel</w:t>
      </w:r>
      <w:r>
        <w:rPr>
          <w:spacing w:val="4"/>
        </w:rPr>
        <w:t xml:space="preserve"> </w:t>
      </w:r>
      <w:r>
        <w:t>de</w:t>
      </w:r>
      <w:r>
        <w:rPr>
          <w:spacing w:val="4"/>
        </w:rPr>
        <w:t xml:space="preserve"> </w:t>
      </w:r>
      <w:r>
        <w:t>trato</w:t>
      </w:r>
      <w:r>
        <w:rPr>
          <w:spacing w:val="5"/>
        </w:rPr>
        <w:t xml:space="preserve"> </w:t>
      </w:r>
      <w:r>
        <w:rPr>
          <w:spacing w:val="-2"/>
        </w:rPr>
        <w:t>degradante.931</w:t>
      </w:r>
    </w:p>
    <w:p w14:paraId="55E6C6FF" w14:textId="77777777" w:rsidR="0014798C" w:rsidRDefault="0014798C">
      <w:pPr>
        <w:pStyle w:val="Textoindependiente"/>
        <w:spacing w:before="51"/>
      </w:pPr>
    </w:p>
    <w:p w14:paraId="116CF916" w14:textId="77777777" w:rsidR="0014798C" w:rsidRDefault="004E1F0B">
      <w:pPr>
        <w:pStyle w:val="Textoindependiente"/>
        <w:spacing w:line="326" w:lineRule="auto"/>
        <w:ind w:left="1108" w:right="1335" w:hanging="2"/>
      </w:pPr>
      <w:r>
        <w:t>El</w:t>
      </w:r>
      <w:r>
        <w:rPr>
          <w:spacing w:val="17"/>
        </w:rPr>
        <w:t xml:space="preserve"> </w:t>
      </w:r>
      <w:r>
        <w:t>Comité</w:t>
      </w:r>
      <w:r>
        <w:rPr>
          <w:spacing w:val="17"/>
        </w:rPr>
        <w:t xml:space="preserve"> </w:t>
      </w:r>
      <w:r>
        <w:t>Europeo</w:t>
      </w:r>
      <w:r>
        <w:rPr>
          <w:spacing w:val="17"/>
        </w:rPr>
        <w:t xml:space="preserve"> </w:t>
      </w:r>
      <w:r>
        <w:t>de</w:t>
      </w:r>
      <w:r>
        <w:rPr>
          <w:spacing w:val="17"/>
        </w:rPr>
        <w:t xml:space="preserve"> </w:t>
      </w:r>
      <w:r>
        <w:t>Derechos</w:t>
      </w:r>
      <w:r>
        <w:rPr>
          <w:spacing w:val="17"/>
        </w:rPr>
        <w:t xml:space="preserve"> </w:t>
      </w:r>
      <w:r>
        <w:t>Sociales</w:t>
      </w:r>
      <w:r>
        <w:rPr>
          <w:spacing w:val="17"/>
        </w:rPr>
        <w:t xml:space="preserve"> </w:t>
      </w:r>
      <w:r>
        <w:t>ha</w:t>
      </w:r>
      <w:r>
        <w:rPr>
          <w:spacing w:val="17"/>
        </w:rPr>
        <w:t xml:space="preserve"> </w:t>
      </w:r>
      <w:r>
        <w:t>importado</w:t>
      </w:r>
      <w:r>
        <w:rPr>
          <w:spacing w:val="17"/>
        </w:rPr>
        <w:t xml:space="preserve"> </w:t>
      </w:r>
      <w:r>
        <w:t>el</w:t>
      </w:r>
      <w:r>
        <w:rPr>
          <w:spacing w:val="17"/>
        </w:rPr>
        <w:t xml:space="preserve"> </w:t>
      </w:r>
      <w:r>
        <w:t>concepto</w:t>
      </w:r>
      <w:r>
        <w:rPr>
          <w:spacing w:val="17"/>
        </w:rPr>
        <w:t xml:space="preserve"> </w:t>
      </w:r>
      <w:r>
        <w:t>de</w:t>
      </w:r>
      <w:r>
        <w:rPr>
          <w:spacing w:val="17"/>
        </w:rPr>
        <w:t xml:space="preserve"> </w:t>
      </w:r>
      <w:r>
        <w:t>“responsabilidad</w:t>
      </w:r>
      <w:r>
        <w:rPr>
          <w:spacing w:val="17"/>
        </w:rPr>
        <w:t xml:space="preserve"> </w:t>
      </w:r>
      <w:r>
        <w:t>agravada”</w:t>
      </w:r>
      <w:r>
        <w:rPr>
          <w:spacing w:val="17"/>
        </w:rPr>
        <w:t xml:space="preserve"> </w:t>
      </w:r>
      <w:r>
        <w:t>del</w:t>
      </w:r>
      <w:r>
        <w:rPr>
          <w:spacing w:val="17"/>
        </w:rPr>
        <w:t xml:space="preserve"> </w:t>
      </w:r>
      <w:r>
        <w:t>sistema</w:t>
      </w:r>
      <w:r>
        <w:rPr>
          <w:spacing w:val="17"/>
        </w:rPr>
        <w:t xml:space="preserve"> </w:t>
      </w:r>
      <w:r>
        <w:t>interamericano a la jurisprudencia de la Carta Social Europea, en lo que respecta a la discriminación racial, en situaciones en las que implica la participación activa y vigorosa de las autoridades. : “El Comité considera que declaraciones de actores públicos como los denunciados en la denuncia crean una atmósfera discriminatoria que es expresión de una formulación de políticas basada en la disparidad étnica en lugar de en la estabilidad étnica.</w:t>
      </w:r>
    </w:p>
    <w:p w14:paraId="1C9C694E" w14:textId="77777777" w:rsidR="0014798C" w:rsidRDefault="004E1F0B">
      <w:pPr>
        <w:pStyle w:val="Textoindependiente"/>
        <w:spacing w:line="326" w:lineRule="auto"/>
        <w:ind w:left="1111" w:right="1626" w:hanging="6"/>
      </w:pPr>
      <w:r>
        <w:t xml:space="preserve">Por lo tanto, sostiene que la propaganda racista engañosa contra los inmigrantes romaníes y </w:t>
      </w:r>
      <w:proofErr w:type="spellStart"/>
      <w:r>
        <w:t>sinti</w:t>
      </w:r>
      <w:proofErr w:type="spellEnd"/>
      <w:r>
        <w:t xml:space="preserve"> permitida indirectamente o que emana directamente de las autoridades italianas constituye una violación agravada de la Carta Revisada”932.</w:t>
      </w:r>
    </w:p>
    <w:p w14:paraId="3780A489" w14:textId="77777777" w:rsidR="0014798C" w:rsidRDefault="004E1F0B">
      <w:pPr>
        <w:pStyle w:val="Textoindependiente"/>
        <w:spacing w:before="167" w:line="326" w:lineRule="auto"/>
        <w:ind w:left="1111" w:right="1272" w:hanging="6"/>
      </w:pPr>
      <w:r>
        <w:t>La Corte Interamericana de Derechos Humanos ha reconocido que la discriminación racial “vulnera la igualdad y la dignidad inherentes a todos los seres humanos, y ha sido condenada unánimemente por la comunidad internacional</w:t>
      </w:r>
    </w:p>
    <w:p w14:paraId="5D34F562" w14:textId="77777777" w:rsidR="0014798C" w:rsidRDefault="0014798C">
      <w:pPr>
        <w:pStyle w:val="Textoindependiente"/>
        <w:rPr>
          <w:sz w:val="20"/>
        </w:rPr>
      </w:pPr>
    </w:p>
    <w:p w14:paraId="53B693BB" w14:textId="77777777" w:rsidR="0014798C" w:rsidRDefault="0014798C">
      <w:pPr>
        <w:pStyle w:val="Textoindependiente"/>
        <w:rPr>
          <w:sz w:val="20"/>
        </w:rPr>
      </w:pPr>
    </w:p>
    <w:p w14:paraId="1E4E52B0" w14:textId="77777777" w:rsidR="0014798C" w:rsidRDefault="004E1F0B">
      <w:pPr>
        <w:pStyle w:val="Textoindependiente"/>
        <w:spacing w:before="42"/>
        <w:rPr>
          <w:sz w:val="20"/>
        </w:rPr>
      </w:pPr>
      <w:r>
        <w:rPr>
          <w:noProof/>
        </w:rPr>
        <w:drawing>
          <wp:anchor distT="0" distB="0" distL="0" distR="0" simplePos="0" relativeHeight="251658547" behindDoc="1" locked="0" layoutInCell="1" allowOverlap="1" wp14:anchorId="5CD960FF" wp14:editId="1A6AEE88">
            <wp:simplePos x="0" y="0"/>
            <wp:positionH relativeFrom="page">
              <wp:posOffset>826632</wp:posOffset>
            </wp:positionH>
            <wp:positionV relativeFrom="paragraph">
              <wp:posOffset>188151</wp:posOffset>
            </wp:positionV>
            <wp:extent cx="931001" cy="35813"/>
            <wp:effectExtent l="0" t="0" r="0" b="0"/>
            <wp:wrapTopAndBottom/>
            <wp:docPr id="281" name="Image 28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81" name="Image 281"/>
                    <pic:cNvPicPr/>
                  </pic:nvPicPr>
                  <pic:blipFill>
                    <a:blip r:embed="rId263" cstate="print"/>
                    <a:stretch>
                      <a:fillRect/>
                    </a:stretch>
                  </pic:blipFill>
                  <pic:spPr>
                    <a:xfrm>
                      <a:off x="0" y="0"/>
                      <a:ext cx="931001" cy="35813"/>
                    </a:xfrm>
                    <a:prstGeom prst="rect">
                      <a:avLst/>
                    </a:prstGeom>
                  </pic:spPr>
                </pic:pic>
              </a:graphicData>
            </a:graphic>
          </wp:anchor>
        </w:drawing>
      </w:r>
    </w:p>
    <w:p w14:paraId="3DC6F70A" w14:textId="77777777" w:rsidR="0014798C" w:rsidRDefault="0014798C">
      <w:pPr>
        <w:pStyle w:val="Textoindependiente"/>
        <w:spacing w:before="45"/>
        <w:rPr>
          <w:sz w:val="11"/>
        </w:rPr>
      </w:pPr>
    </w:p>
    <w:p w14:paraId="150010F4" w14:textId="77777777" w:rsidR="0014798C" w:rsidRDefault="004E1F0B">
      <w:pPr>
        <w:spacing w:line="340" w:lineRule="auto"/>
        <w:ind w:left="1366" w:right="3114" w:hanging="259"/>
        <w:rPr>
          <w:sz w:val="11"/>
        </w:rPr>
      </w:pPr>
      <w:r>
        <w:rPr>
          <w:w w:val="105"/>
          <w:sz w:val="11"/>
        </w:rPr>
        <w:t xml:space="preserve">923 Corte Internacional de Justicia, Barcelona </w:t>
      </w:r>
      <w:proofErr w:type="spellStart"/>
      <w:r>
        <w:rPr>
          <w:w w:val="105"/>
          <w:sz w:val="11"/>
        </w:rPr>
        <w:t>Traction</w:t>
      </w:r>
      <w:proofErr w:type="spellEnd"/>
      <w:r>
        <w:rPr>
          <w:w w:val="105"/>
          <w:sz w:val="11"/>
        </w:rPr>
        <w:t xml:space="preserve">, Light and </w:t>
      </w:r>
      <w:proofErr w:type="spellStart"/>
      <w:r>
        <w:rPr>
          <w:w w:val="105"/>
          <w:sz w:val="11"/>
        </w:rPr>
        <w:t>Power</w:t>
      </w:r>
      <w:proofErr w:type="spellEnd"/>
      <w:r>
        <w:rPr>
          <w:w w:val="105"/>
          <w:sz w:val="11"/>
        </w:rPr>
        <w:t xml:space="preserve"> Company, </w:t>
      </w:r>
      <w:proofErr w:type="spellStart"/>
      <w:r>
        <w:rPr>
          <w:w w:val="105"/>
          <w:sz w:val="11"/>
        </w:rPr>
        <w:t>Limited</w:t>
      </w:r>
      <w:proofErr w:type="spellEnd"/>
      <w:r>
        <w:rPr>
          <w:w w:val="105"/>
          <w:sz w:val="11"/>
        </w:rPr>
        <w:t xml:space="preserve">, Sentencia, ICJ </w:t>
      </w:r>
      <w:proofErr w:type="spellStart"/>
      <w:r>
        <w:rPr>
          <w:w w:val="105"/>
          <w:sz w:val="11"/>
        </w:rPr>
        <w:t>Reports</w:t>
      </w:r>
      <w:proofErr w:type="spellEnd"/>
      <w:r>
        <w:rPr>
          <w:w w:val="105"/>
          <w:sz w:val="11"/>
        </w:rPr>
        <w:t xml:space="preserve"> 1970, pág. 3, en pág. 32,</w:t>
      </w:r>
      <w:r>
        <w:rPr>
          <w:spacing w:val="40"/>
          <w:w w:val="105"/>
          <w:sz w:val="11"/>
        </w:rPr>
        <w:t xml:space="preserve"> </w:t>
      </w:r>
      <w:proofErr w:type="spellStart"/>
      <w:r>
        <w:rPr>
          <w:w w:val="105"/>
          <w:sz w:val="11"/>
        </w:rPr>
        <w:t>párrs</w:t>
      </w:r>
      <w:proofErr w:type="spellEnd"/>
      <w:r>
        <w:rPr>
          <w:w w:val="105"/>
          <w:sz w:val="11"/>
        </w:rPr>
        <w:t>.</w:t>
      </w:r>
      <w:r>
        <w:rPr>
          <w:spacing w:val="-8"/>
          <w:w w:val="105"/>
          <w:sz w:val="11"/>
        </w:rPr>
        <w:t xml:space="preserve"> </w:t>
      </w:r>
      <w:r>
        <w:rPr>
          <w:w w:val="105"/>
          <w:sz w:val="11"/>
        </w:rPr>
        <w:t>33–34.</w:t>
      </w:r>
    </w:p>
    <w:p w14:paraId="3E971DB5" w14:textId="77777777" w:rsidR="0014798C" w:rsidRDefault="0014798C">
      <w:pPr>
        <w:spacing w:line="340" w:lineRule="auto"/>
        <w:rPr>
          <w:sz w:val="11"/>
        </w:rPr>
        <w:sectPr w:rsidR="0014798C" w:rsidSect="00F265E4">
          <w:pgSz w:w="11900" w:h="16820"/>
          <w:pgMar w:top="340" w:right="0" w:bottom="280" w:left="200" w:header="121" w:footer="0" w:gutter="0"/>
          <w:cols w:space="720"/>
        </w:sectPr>
      </w:pPr>
    </w:p>
    <w:p w14:paraId="465B8404" w14:textId="77777777" w:rsidR="0014798C" w:rsidRDefault="004E1F0B">
      <w:pPr>
        <w:spacing w:before="37"/>
        <w:jc w:val="right"/>
        <w:rPr>
          <w:sz w:val="8"/>
        </w:rPr>
      </w:pPr>
      <w:r>
        <w:rPr>
          <w:spacing w:val="-5"/>
          <w:w w:val="105"/>
          <w:sz w:val="8"/>
        </w:rPr>
        <w:t>924</w:t>
      </w:r>
    </w:p>
    <w:p w14:paraId="3FE4706F" w14:textId="77777777" w:rsidR="0014798C" w:rsidRDefault="004E1F0B">
      <w:pPr>
        <w:spacing w:before="57"/>
        <w:ind w:left="77"/>
        <w:rPr>
          <w:sz w:val="11"/>
        </w:rPr>
      </w:pPr>
      <w:r>
        <w:br w:type="column"/>
      </w:r>
      <w:r>
        <w:rPr>
          <w:w w:val="105"/>
          <w:sz w:val="11"/>
        </w:rPr>
        <w:t>A/CN.4/727,</w:t>
      </w:r>
      <w:r>
        <w:rPr>
          <w:spacing w:val="-3"/>
          <w:w w:val="105"/>
          <w:sz w:val="11"/>
        </w:rPr>
        <w:t xml:space="preserve"> </w:t>
      </w:r>
      <w:proofErr w:type="spellStart"/>
      <w:r>
        <w:rPr>
          <w:w w:val="105"/>
          <w:sz w:val="11"/>
        </w:rPr>
        <w:t>párrs</w:t>
      </w:r>
      <w:proofErr w:type="spellEnd"/>
      <w:r>
        <w:rPr>
          <w:w w:val="105"/>
          <w:sz w:val="11"/>
        </w:rPr>
        <w:t>.</w:t>
      </w:r>
      <w:r>
        <w:rPr>
          <w:spacing w:val="-2"/>
          <w:w w:val="105"/>
          <w:sz w:val="11"/>
        </w:rPr>
        <w:t xml:space="preserve"> 91–101.</w:t>
      </w:r>
    </w:p>
    <w:p w14:paraId="39BA2A24" w14:textId="77777777" w:rsidR="0014798C" w:rsidRDefault="0014798C">
      <w:pPr>
        <w:rPr>
          <w:sz w:val="11"/>
        </w:rPr>
        <w:sectPr w:rsidR="0014798C" w:rsidSect="00F265E4">
          <w:type w:val="continuous"/>
          <w:pgSz w:w="11900" w:h="16820"/>
          <w:pgMar w:top="40" w:right="0" w:bottom="280" w:left="200" w:header="121" w:footer="0" w:gutter="0"/>
          <w:cols w:num="2" w:space="720" w:equalWidth="0">
            <w:col w:w="1249" w:space="40"/>
            <w:col w:w="10411"/>
          </w:cols>
        </w:sectPr>
      </w:pPr>
    </w:p>
    <w:p w14:paraId="35EF7C6C" w14:textId="77777777" w:rsidR="0014798C" w:rsidRDefault="004E1F0B">
      <w:pPr>
        <w:spacing w:before="110" w:line="340" w:lineRule="auto"/>
        <w:ind w:left="1366" w:right="3114" w:hanging="259"/>
        <w:rPr>
          <w:sz w:val="11"/>
        </w:rPr>
      </w:pPr>
      <w:r>
        <w:rPr>
          <w:w w:val="105"/>
          <w:sz w:val="11"/>
        </w:rPr>
        <w:t xml:space="preserve">925 Corte Internacional de Justicia, Barcelona </w:t>
      </w:r>
      <w:proofErr w:type="spellStart"/>
      <w:r>
        <w:rPr>
          <w:w w:val="105"/>
          <w:sz w:val="11"/>
        </w:rPr>
        <w:t>Traction</w:t>
      </w:r>
      <w:proofErr w:type="spellEnd"/>
      <w:r>
        <w:rPr>
          <w:w w:val="105"/>
          <w:sz w:val="11"/>
        </w:rPr>
        <w:t xml:space="preserve">, Light and </w:t>
      </w:r>
      <w:proofErr w:type="spellStart"/>
      <w:r>
        <w:rPr>
          <w:w w:val="105"/>
          <w:sz w:val="11"/>
        </w:rPr>
        <w:t>Power</w:t>
      </w:r>
      <w:proofErr w:type="spellEnd"/>
      <w:r>
        <w:rPr>
          <w:w w:val="105"/>
          <w:sz w:val="11"/>
        </w:rPr>
        <w:t xml:space="preserve"> Company, </w:t>
      </w:r>
      <w:proofErr w:type="spellStart"/>
      <w:r>
        <w:rPr>
          <w:w w:val="105"/>
          <w:sz w:val="11"/>
        </w:rPr>
        <w:t>Limited</w:t>
      </w:r>
      <w:proofErr w:type="spellEnd"/>
      <w:r>
        <w:rPr>
          <w:w w:val="105"/>
          <w:sz w:val="11"/>
        </w:rPr>
        <w:t xml:space="preserve">, Sentencia, ICJ </w:t>
      </w:r>
      <w:proofErr w:type="spellStart"/>
      <w:r>
        <w:rPr>
          <w:w w:val="105"/>
          <w:sz w:val="11"/>
        </w:rPr>
        <w:t>Reports</w:t>
      </w:r>
      <w:proofErr w:type="spellEnd"/>
      <w:r>
        <w:rPr>
          <w:w w:val="105"/>
          <w:sz w:val="11"/>
        </w:rPr>
        <w:t xml:space="preserve"> 1970, p. 3, en pág. 32,</w:t>
      </w:r>
      <w:r>
        <w:rPr>
          <w:spacing w:val="40"/>
          <w:w w:val="105"/>
          <w:sz w:val="11"/>
        </w:rPr>
        <w:t xml:space="preserve"> </w:t>
      </w:r>
      <w:r>
        <w:rPr>
          <w:w w:val="105"/>
          <w:sz w:val="11"/>
        </w:rPr>
        <w:t>paraca.</w:t>
      </w:r>
      <w:r>
        <w:rPr>
          <w:spacing w:val="-8"/>
          <w:w w:val="105"/>
          <w:sz w:val="11"/>
        </w:rPr>
        <w:t xml:space="preserve"> </w:t>
      </w:r>
      <w:r>
        <w:rPr>
          <w:w w:val="105"/>
          <w:sz w:val="11"/>
        </w:rPr>
        <w:t>34.</w:t>
      </w:r>
    </w:p>
    <w:p w14:paraId="3F8510CE" w14:textId="77777777" w:rsidR="0014798C" w:rsidRDefault="004E1F0B">
      <w:pPr>
        <w:spacing w:before="92"/>
        <w:ind w:left="1107"/>
        <w:rPr>
          <w:sz w:val="11"/>
        </w:rPr>
      </w:pPr>
      <w:r>
        <w:rPr>
          <w:spacing w:val="-2"/>
          <w:sz w:val="11"/>
        </w:rPr>
        <w:t>926</w:t>
      </w:r>
      <w:r>
        <w:rPr>
          <w:spacing w:val="-1"/>
          <w:sz w:val="11"/>
        </w:rPr>
        <w:t xml:space="preserve"> </w:t>
      </w:r>
      <w:r>
        <w:rPr>
          <w:spacing w:val="-2"/>
          <w:sz w:val="11"/>
        </w:rPr>
        <w:t>Declaración</w:t>
      </w:r>
      <w:r>
        <w:rPr>
          <w:sz w:val="11"/>
        </w:rPr>
        <w:t xml:space="preserve"> </w:t>
      </w:r>
      <w:r>
        <w:rPr>
          <w:spacing w:val="-2"/>
          <w:sz w:val="11"/>
        </w:rPr>
        <w:t>de</w:t>
      </w:r>
      <w:r>
        <w:rPr>
          <w:spacing w:val="-1"/>
          <w:sz w:val="11"/>
        </w:rPr>
        <w:t xml:space="preserve"> </w:t>
      </w:r>
      <w:r>
        <w:rPr>
          <w:spacing w:val="-2"/>
          <w:sz w:val="11"/>
        </w:rPr>
        <w:t>Durban,</w:t>
      </w:r>
      <w:r>
        <w:rPr>
          <w:sz w:val="11"/>
        </w:rPr>
        <w:t xml:space="preserve"> </w:t>
      </w:r>
      <w:r>
        <w:rPr>
          <w:spacing w:val="-2"/>
          <w:sz w:val="11"/>
        </w:rPr>
        <w:t>párr.</w:t>
      </w:r>
      <w:r>
        <w:rPr>
          <w:spacing w:val="-1"/>
          <w:sz w:val="11"/>
        </w:rPr>
        <w:t xml:space="preserve"> </w:t>
      </w:r>
      <w:r>
        <w:rPr>
          <w:spacing w:val="-5"/>
          <w:sz w:val="11"/>
        </w:rPr>
        <w:t>20.</w:t>
      </w:r>
    </w:p>
    <w:p w14:paraId="6EE272F1" w14:textId="77777777" w:rsidR="0014798C" w:rsidRDefault="004E1F0B">
      <w:pPr>
        <w:spacing w:before="75" w:line="340" w:lineRule="auto"/>
        <w:ind w:left="1369" w:right="1463" w:hanging="263"/>
        <w:rPr>
          <w:sz w:val="11"/>
        </w:rPr>
      </w:pPr>
      <w:r>
        <w:rPr>
          <w:w w:val="105"/>
          <w:sz w:val="11"/>
        </w:rPr>
        <w:t>927 Comisión Africana de Derechos Humanos y de los Pueblos, Asociación Africana de Malawi y otros c. Mauritania, comunicación No. 54/91 y otros, Decisión, 11 de mayo de</w:t>
      </w:r>
      <w:r>
        <w:rPr>
          <w:spacing w:val="40"/>
          <w:w w:val="105"/>
          <w:sz w:val="11"/>
        </w:rPr>
        <w:t xml:space="preserve"> </w:t>
      </w:r>
      <w:r>
        <w:rPr>
          <w:w w:val="105"/>
          <w:sz w:val="11"/>
        </w:rPr>
        <w:t>2000, párr. 131.</w:t>
      </w:r>
    </w:p>
    <w:p w14:paraId="00608C07" w14:textId="77777777" w:rsidR="0014798C" w:rsidRDefault="004E1F0B">
      <w:pPr>
        <w:spacing w:before="92"/>
        <w:ind w:left="1107"/>
        <w:rPr>
          <w:sz w:val="11"/>
        </w:rPr>
      </w:pPr>
      <w:r>
        <w:rPr>
          <w:spacing w:val="-2"/>
          <w:sz w:val="11"/>
        </w:rPr>
        <w:t>928</w:t>
      </w:r>
      <w:r>
        <w:rPr>
          <w:spacing w:val="2"/>
          <w:sz w:val="11"/>
        </w:rPr>
        <w:t xml:space="preserve"> </w:t>
      </w:r>
      <w:r>
        <w:rPr>
          <w:spacing w:val="-2"/>
          <w:sz w:val="11"/>
        </w:rPr>
        <w:t>Comisión</w:t>
      </w:r>
      <w:r>
        <w:rPr>
          <w:spacing w:val="3"/>
          <w:sz w:val="11"/>
        </w:rPr>
        <w:t xml:space="preserve"> </w:t>
      </w:r>
      <w:r>
        <w:rPr>
          <w:spacing w:val="-2"/>
          <w:sz w:val="11"/>
        </w:rPr>
        <w:t>Africana</w:t>
      </w:r>
      <w:r>
        <w:rPr>
          <w:spacing w:val="2"/>
          <w:sz w:val="11"/>
        </w:rPr>
        <w:t xml:space="preserve"> </w:t>
      </w:r>
      <w:r>
        <w:rPr>
          <w:spacing w:val="-2"/>
          <w:sz w:val="11"/>
        </w:rPr>
        <w:t>de</w:t>
      </w:r>
      <w:r>
        <w:rPr>
          <w:spacing w:val="3"/>
          <w:sz w:val="11"/>
        </w:rPr>
        <w:t xml:space="preserve"> </w:t>
      </w:r>
      <w:r>
        <w:rPr>
          <w:spacing w:val="-2"/>
          <w:sz w:val="11"/>
        </w:rPr>
        <w:t>Derechos</w:t>
      </w:r>
      <w:r>
        <w:rPr>
          <w:spacing w:val="3"/>
          <w:sz w:val="11"/>
        </w:rPr>
        <w:t xml:space="preserve"> </w:t>
      </w:r>
      <w:r>
        <w:rPr>
          <w:spacing w:val="-2"/>
          <w:sz w:val="11"/>
        </w:rPr>
        <w:t>Humanos</w:t>
      </w:r>
      <w:r>
        <w:rPr>
          <w:spacing w:val="2"/>
          <w:sz w:val="11"/>
        </w:rPr>
        <w:t xml:space="preserve"> </w:t>
      </w:r>
      <w:r>
        <w:rPr>
          <w:spacing w:val="-2"/>
          <w:sz w:val="11"/>
        </w:rPr>
        <w:t>y</w:t>
      </w:r>
      <w:r>
        <w:rPr>
          <w:spacing w:val="3"/>
          <w:sz w:val="11"/>
        </w:rPr>
        <w:t xml:space="preserve"> </w:t>
      </w:r>
      <w:r>
        <w:rPr>
          <w:spacing w:val="-2"/>
          <w:sz w:val="11"/>
        </w:rPr>
        <w:t>de</w:t>
      </w:r>
      <w:r>
        <w:rPr>
          <w:spacing w:val="2"/>
          <w:sz w:val="11"/>
        </w:rPr>
        <w:t xml:space="preserve"> </w:t>
      </w:r>
      <w:r>
        <w:rPr>
          <w:spacing w:val="-2"/>
          <w:sz w:val="11"/>
        </w:rPr>
        <w:t>los</w:t>
      </w:r>
      <w:r>
        <w:rPr>
          <w:spacing w:val="3"/>
          <w:sz w:val="11"/>
        </w:rPr>
        <w:t xml:space="preserve"> </w:t>
      </w:r>
      <w:r>
        <w:rPr>
          <w:spacing w:val="-2"/>
          <w:sz w:val="11"/>
        </w:rPr>
        <w:t>Pueblos,</w:t>
      </w:r>
      <w:r>
        <w:rPr>
          <w:spacing w:val="3"/>
          <w:sz w:val="11"/>
        </w:rPr>
        <w:t xml:space="preserve"> </w:t>
      </w:r>
      <w:r>
        <w:rPr>
          <w:spacing w:val="-2"/>
          <w:sz w:val="11"/>
        </w:rPr>
        <w:t>“Directrices</w:t>
      </w:r>
      <w:r>
        <w:rPr>
          <w:spacing w:val="2"/>
          <w:sz w:val="11"/>
        </w:rPr>
        <w:t xml:space="preserve"> </w:t>
      </w:r>
      <w:r>
        <w:rPr>
          <w:spacing w:val="-2"/>
          <w:sz w:val="11"/>
        </w:rPr>
        <w:t>para</w:t>
      </w:r>
      <w:r>
        <w:rPr>
          <w:spacing w:val="3"/>
          <w:sz w:val="11"/>
        </w:rPr>
        <w:t xml:space="preserve"> </w:t>
      </w:r>
      <w:r>
        <w:rPr>
          <w:spacing w:val="-2"/>
          <w:sz w:val="11"/>
        </w:rPr>
        <w:t>los</w:t>
      </w:r>
      <w:r>
        <w:rPr>
          <w:spacing w:val="2"/>
          <w:sz w:val="11"/>
        </w:rPr>
        <w:t xml:space="preserve"> </w:t>
      </w:r>
      <w:r>
        <w:rPr>
          <w:spacing w:val="-2"/>
          <w:sz w:val="11"/>
        </w:rPr>
        <w:t>informes</w:t>
      </w:r>
      <w:r>
        <w:rPr>
          <w:spacing w:val="3"/>
          <w:sz w:val="11"/>
        </w:rPr>
        <w:t xml:space="preserve"> </w:t>
      </w:r>
      <w:r>
        <w:rPr>
          <w:spacing w:val="-2"/>
          <w:sz w:val="11"/>
        </w:rPr>
        <w:t>periódicos</w:t>
      </w:r>
      <w:r>
        <w:rPr>
          <w:spacing w:val="3"/>
          <w:sz w:val="11"/>
        </w:rPr>
        <w:t xml:space="preserve"> </w:t>
      </w:r>
      <w:r>
        <w:rPr>
          <w:spacing w:val="-2"/>
          <w:sz w:val="11"/>
        </w:rPr>
        <w:t>nacionales”</w:t>
      </w:r>
      <w:r>
        <w:rPr>
          <w:spacing w:val="2"/>
          <w:sz w:val="11"/>
        </w:rPr>
        <w:t xml:space="preserve"> </w:t>
      </w:r>
      <w:r>
        <w:rPr>
          <w:spacing w:val="-2"/>
          <w:sz w:val="11"/>
        </w:rPr>
        <w:t>(1989),</w:t>
      </w:r>
      <w:r>
        <w:rPr>
          <w:spacing w:val="3"/>
          <w:sz w:val="11"/>
        </w:rPr>
        <w:t xml:space="preserve"> </w:t>
      </w:r>
      <w:r>
        <w:rPr>
          <w:spacing w:val="-2"/>
          <w:sz w:val="11"/>
        </w:rPr>
        <w:t>parte</w:t>
      </w:r>
      <w:r>
        <w:rPr>
          <w:spacing w:val="2"/>
          <w:sz w:val="11"/>
        </w:rPr>
        <w:t xml:space="preserve"> </w:t>
      </w:r>
      <w:r>
        <w:rPr>
          <w:spacing w:val="-5"/>
          <w:sz w:val="11"/>
        </w:rPr>
        <w:t>V.</w:t>
      </w:r>
    </w:p>
    <w:p w14:paraId="12E8A16B" w14:textId="77777777" w:rsidR="0014798C" w:rsidRDefault="004E1F0B">
      <w:pPr>
        <w:spacing w:before="78"/>
        <w:ind w:left="1107"/>
        <w:rPr>
          <w:sz w:val="11"/>
        </w:rPr>
      </w:pPr>
      <w:r>
        <w:rPr>
          <w:sz w:val="11"/>
        </w:rPr>
        <w:t>929</w:t>
      </w:r>
      <w:r>
        <w:rPr>
          <w:spacing w:val="-7"/>
          <w:sz w:val="11"/>
        </w:rPr>
        <w:t xml:space="preserve"> </w:t>
      </w:r>
      <w:proofErr w:type="spellStart"/>
      <w:r>
        <w:rPr>
          <w:spacing w:val="-4"/>
          <w:sz w:val="11"/>
        </w:rPr>
        <w:t>Ibíd</w:t>
      </w:r>
      <w:proofErr w:type="spellEnd"/>
      <w:r>
        <w:rPr>
          <w:spacing w:val="-4"/>
          <w:sz w:val="11"/>
        </w:rPr>
        <w:t>.</w:t>
      </w:r>
    </w:p>
    <w:p w14:paraId="0185342F" w14:textId="77777777" w:rsidR="0014798C" w:rsidRDefault="0014798C">
      <w:pPr>
        <w:rPr>
          <w:sz w:val="11"/>
        </w:rPr>
        <w:sectPr w:rsidR="0014798C" w:rsidSect="00F265E4">
          <w:type w:val="continuous"/>
          <w:pgSz w:w="11900" w:h="16820"/>
          <w:pgMar w:top="40" w:right="0" w:bottom="280" w:left="200" w:header="121" w:footer="0" w:gutter="0"/>
          <w:cols w:space="720"/>
        </w:sectPr>
      </w:pPr>
    </w:p>
    <w:p w14:paraId="6E2F944B" w14:textId="77777777" w:rsidR="0014798C" w:rsidRDefault="004E1F0B">
      <w:pPr>
        <w:spacing w:before="87"/>
        <w:jc w:val="right"/>
        <w:rPr>
          <w:sz w:val="8"/>
        </w:rPr>
      </w:pPr>
      <w:r>
        <w:rPr>
          <w:spacing w:val="-5"/>
          <w:w w:val="105"/>
          <w:sz w:val="8"/>
        </w:rPr>
        <w:t>930</w:t>
      </w:r>
    </w:p>
    <w:p w14:paraId="3258ED80" w14:textId="77777777" w:rsidR="0014798C" w:rsidRDefault="004E1F0B">
      <w:pPr>
        <w:spacing w:before="107"/>
        <w:ind w:left="79"/>
        <w:rPr>
          <w:sz w:val="11"/>
        </w:rPr>
      </w:pPr>
      <w:r>
        <w:br w:type="column"/>
      </w:r>
      <w:r>
        <w:rPr>
          <w:w w:val="105"/>
          <w:sz w:val="11"/>
        </w:rPr>
        <w:t>Tribunal</w:t>
      </w:r>
      <w:r>
        <w:rPr>
          <w:spacing w:val="-1"/>
          <w:w w:val="105"/>
          <w:sz w:val="11"/>
        </w:rPr>
        <w:t xml:space="preserve"> </w:t>
      </w:r>
      <w:r>
        <w:rPr>
          <w:w w:val="105"/>
          <w:sz w:val="11"/>
        </w:rPr>
        <w:t>Europeo</w:t>
      </w:r>
      <w:r>
        <w:rPr>
          <w:spacing w:val="-1"/>
          <w:w w:val="105"/>
          <w:sz w:val="11"/>
        </w:rPr>
        <w:t xml:space="preserve"> </w:t>
      </w:r>
      <w:r>
        <w:rPr>
          <w:w w:val="105"/>
          <w:sz w:val="11"/>
        </w:rPr>
        <w:t>de</w:t>
      </w:r>
      <w:r>
        <w:rPr>
          <w:spacing w:val="-1"/>
          <w:w w:val="105"/>
          <w:sz w:val="11"/>
        </w:rPr>
        <w:t xml:space="preserve"> </w:t>
      </w:r>
      <w:r>
        <w:rPr>
          <w:w w:val="105"/>
          <w:sz w:val="11"/>
        </w:rPr>
        <w:t>Derechos</w:t>
      </w:r>
      <w:r>
        <w:rPr>
          <w:spacing w:val="-1"/>
          <w:w w:val="105"/>
          <w:sz w:val="11"/>
        </w:rPr>
        <w:t xml:space="preserve"> </w:t>
      </w:r>
      <w:r>
        <w:rPr>
          <w:w w:val="105"/>
          <w:sz w:val="11"/>
        </w:rPr>
        <w:t xml:space="preserve">Humanos, </w:t>
      </w:r>
      <w:proofErr w:type="spellStart"/>
      <w:r>
        <w:rPr>
          <w:w w:val="105"/>
          <w:sz w:val="11"/>
        </w:rPr>
        <w:t>Timishev</w:t>
      </w:r>
      <w:proofErr w:type="spellEnd"/>
      <w:r>
        <w:rPr>
          <w:spacing w:val="-1"/>
          <w:w w:val="105"/>
          <w:sz w:val="11"/>
        </w:rPr>
        <w:t xml:space="preserve"> </w:t>
      </w:r>
      <w:r>
        <w:rPr>
          <w:w w:val="105"/>
          <w:sz w:val="11"/>
        </w:rPr>
        <w:t>c.</w:t>
      </w:r>
      <w:r>
        <w:rPr>
          <w:spacing w:val="-1"/>
          <w:w w:val="105"/>
          <w:sz w:val="11"/>
        </w:rPr>
        <w:t xml:space="preserve"> </w:t>
      </w:r>
      <w:r>
        <w:rPr>
          <w:w w:val="105"/>
          <w:sz w:val="11"/>
        </w:rPr>
        <w:t>Rusia, solicitudes</w:t>
      </w:r>
      <w:r>
        <w:rPr>
          <w:spacing w:val="-1"/>
          <w:w w:val="105"/>
          <w:sz w:val="11"/>
        </w:rPr>
        <w:t xml:space="preserve"> </w:t>
      </w:r>
      <w:proofErr w:type="spellStart"/>
      <w:r>
        <w:rPr>
          <w:w w:val="105"/>
          <w:sz w:val="11"/>
        </w:rPr>
        <w:t>núms</w:t>
      </w:r>
      <w:proofErr w:type="spellEnd"/>
      <w:r>
        <w:rPr>
          <w:w w:val="105"/>
          <w:sz w:val="11"/>
        </w:rPr>
        <w:t>. 55762/00</w:t>
      </w:r>
      <w:r>
        <w:rPr>
          <w:spacing w:val="-1"/>
          <w:w w:val="105"/>
          <w:sz w:val="11"/>
        </w:rPr>
        <w:t xml:space="preserve"> </w:t>
      </w:r>
      <w:r>
        <w:rPr>
          <w:w w:val="105"/>
          <w:sz w:val="11"/>
        </w:rPr>
        <w:t>y</w:t>
      </w:r>
      <w:r>
        <w:rPr>
          <w:spacing w:val="-1"/>
          <w:w w:val="105"/>
          <w:sz w:val="11"/>
        </w:rPr>
        <w:t xml:space="preserve"> </w:t>
      </w:r>
      <w:r>
        <w:rPr>
          <w:w w:val="105"/>
          <w:sz w:val="11"/>
        </w:rPr>
        <w:t>55974/00, sentencia</w:t>
      </w:r>
      <w:r>
        <w:rPr>
          <w:spacing w:val="-1"/>
          <w:w w:val="105"/>
          <w:sz w:val="11"/>
        </w:rPr>
        <w:t xml:space="preserve"> </w:t>
      </w:r>
      <w:r>
        <w:rPr>
          <w:w w:val="105"/>
          <w:sz w:val="11"/>
        </w:rPr>
        <w:t>de</w:t>
      </w:r>
      <w:r>
        <w:rPr>
          <w:spacing w:val="-1"/>
          <w:w w:val="105"/>
          <w:sz w:val="11"/>
        </w:rPr>
        <w:t xml:space="preserve"> </w:t>
      </w:r>
      <w:r>
        <w:rPr>
          <w:w w:val="105"/>
          <w:sz w:val="11"/>
        </w:rPr>
        <w:t>13</w:t>
      </w:r>
      <w:r>
        <w:rPr>
          <w:spacing w:val="-1"/>
          <w:w w:val="105"/>
          <w:sz w:val="11"/>
        </w:rPr>
        <w:t xml:space="preserve"> </w:t>
      </w:r>
      <w:r>
        <w:rPr>
          <w:w w:val="105"/>
          <w:sz w:val="11"/>
        </w:rPr>
        <w:t>de</w:t>
      </w:r>
      <w:r>
        <w:rPr>
          <w:spacing w:val="-1"/>
          <w:w w:val="105"/>
          <w:sz w:val="11"/>
        </w:rPr>
        <w:t xml:space="preserve"> </w:t>
      </w:r>
      <w:r>
        <w:rPr>
          <w:w w:val="105"/>
          <w:sz w:val="11"/>
        </w:rPr>
        <w:t>diciembre de</w:t>
      </w:r>
      <w:r>
        <w:rPr>
          <w:spacing w:val="-1"/>
          <w:w w:val="105"/>
          <w:sz w:val="11"/>
        </w:rPr>
        <w:t xml:space="preserve"> </w:t>
      </w:r>
      <w:r>
        <w:rPr>
          <w:w w:val="105"/>
          <w:sz w:val="11"/>
        </w:rPr>
        <w:t xml:space="preserve">2005, párr. </w:t>
      </w:r>
      <w:r>
        <w:rPr>
          <w:spacing w:val="-5"/>
          <w:w w:val="105"/>
          <w:sz w:val="11"/>
        </w:rPr>
        <w:t>56.</w:t>
      </w:r>
    </w:p>
    <w:p w14:paraId="189C2071" w14:textId="77777777" w:rsidR="0014798C" w:rsidRDefault="0014798C">
      <w:pPr>
        <w:rPr>
          <w:sz w:val="11"/>
        </w:rPr>
        <w:sectPr w:rsidR="0014798C" w:rsidSect="00F265E4">
          <w:type w:val="continuous"/>
          <w:pgSz w:w="11900" w:h="16820"/>
          <w:pgMar w:top="40" w:right="0" w:bottom="280" w:left="200" w:header="121" w:footer="0" w:gutter="0"/>
          <w:cols w:num="2" w:space="720" w:equalWidth="0">
            <w:col w:w="1249" w:space="40"/>
            <w:col w:w="10411"/>
          </w:cols>
        </w:sectPr>
      </w:pPr>
    </w:p>
    <w:p w14:paraId="389559D4" w14:textId="77777777" w:rsidR="0014798C" w:rsidRDefault="0014798C">
      <w:pPr>
        <w:pStyle w:val="Textoindependiente"/>
        <w:spacing w:before="7"/>
        <w:rPr>
          <w:sz w:val="14"/>
        </w:rPr>
      </w:pPr>
    </w:p>
    <w:p w14:paraId="54A3FE7E" w14:textId="77777777" w:rsidR="0014798C" w:rsidRDefault="0014798C">
      <w:pPr>
        <w:rPr>
          <w:sz w:val="14"/>
        </w:rPr>
        <w:sectPr w:rsidR="0014798C" w:rsidSect="00F265E4">
          <w:type w:val="continuous"/>
          <w:pgSz w:w="11900" w:h="16820"/>
          <w:pgMar w:top="40" w:right="0" w:bottom="280" w:left="200" w:header="121" w:footer="0" w:gutter="0"/>
          <w:cols w:space="720"/>
        </w:sectPr>
      </w:pPr>
    </w:p>
    <w:p w14:paraId="326717DE" w14:textId="77777777" w:rsidR="0014798C" w:rsidRDefault="0014798C">
      <w:pPr>
        <w:pStyle w:val="Textoindependiente"/>
        <w:spacing w:before="10"/>
        <w:rPr>
          <w:sz w:val="8"/>
        </w:rPr>
      </w:pPr>
    </w:p>
    <w:p w14:paraId="380B6F4C" w14:textId="77777777" w:rsidR="0014798C" w:rsidRDefault="004E1F0B">
      <w:pPr>
        <w:jc w:val="right"/>
        <w:rPr>
          <w:sz w:val="8"/>
        </w:rPr>
      </w:pPr>
      <w:r>
        <w:rPr>
          <w:spacing w:val="-5"/>
          <w:w w:val="105"/>
          <w:sz w:val="8"/>
        </w:rPr>
        <w:t>931</w:t>
      </w:r>
    </w:p>
    <w:p w14:paraId="29B993AC" w14:textId="77777777" w:rsidR="0014798C" w:rsidRDefault="004E1F0B">
      <w:pPr>
        <w:spacing w:before="122" w:line="340" w:lineRule="auto"/>
        <w:ind w:left="79" w:right="1301" w:firstLine="2"/>
        <w:rPr>
          <w:sz w:val="11"/>
        </w:rPr>
      </w:pPr>
      <w:r>
        <w:br w:type="column"/>
      </w:r>
      <w:r>
        <w:rPr>
          <w:w w:val="105"/>
          <w:sz w:val="11"/>
        </w:rPr>
        <w:t>Véase,</w:t>
      </w:r>
      <w:r>
        <w:rPr>
          <w:spacing w:val="5"/>
          <w:w w:val="105"/>
          <w:sz w:val="11"/>
        </w:rPr>
        <w:t xml:space="preserve"> </w:t>
      </w:r>
      <w:r>
        <w:rPr>
          <w:w w:val="105"/>
          <w:sz w:val="11"/>
        </w:rPr>
        <w:t>por ejemplo,</w:t>
      </w:r>
      <w:r>
        <w:rPr>
          <w:spacing w:val="5"/>
          <w:w w:val="105"/>
          <w:sz w:val="11"/>
        </w:rPr>
        <w:t xml:space="preserve"> </w:t>
      </w:r>
      <w:r>
        <w:rPr>
          <w:w w:val="105"/>
          <w:sz w:val="11"/>
        </w:rPr>
        <w:t>Tribunal Europeo de Derechos Humanos,</w:t>
      </w:r>
      <w:r>
        <w:rPr>
          <w:spacing w:val="5"/>
          <w:w w:val="105"/>
          <w:sz w:val="11"/>
        </w:rPr>
        <w:t xml:space="preserve"> </w:t>
      </w:r>
      <w:r>
        <w:rPr>
          <w:w w:val="105"/>
          <w:sz w:val="11"/>
        </w:rPr>
        <w:t>Chipre contra Turquía,</w:t>
      </w:r>
      <w:r>
        <w:rPr>
          <w:spacing w:val="5"/>
          <w:w w:val="105"/>
          <w:sz w:val="11"/>
        </w:rPr>
        <w:t xml:space="preserve"> </w:t>
      </w:r>
      <w:r>
        <w:rPr>
          <w:w w:val="105"/>
          <w:sz w:val="11"/>
        </w:rPr>
        <w:t>solicitud núm.</w:t>
      </w:r>
      <w:r>
        <w:rPr>
          <w:spacing w:val="5"/>
          <w:w w:val="105"/>
          <w:sz w:val="11"/>
        </w:rPr>
        <w:t xml:space="preserve"> </w:t>
      </w:r>
      <w:r>
        <w:rPr>
          <w:w w:val="105"/>
          <w:sz w:val="11"/>
        </w:rPr>
        <w:t>25781/94,</w:t>
      </w:r>
      <w:r>
        <w:rPr>
          <w:spacing w:val="5"/>
          <w:w w:val="105"/>
          <w:sz w:val="11"/>
        </w:rPr>
        <w:t xml:space="preserve"> </w:t>
      </w:r>
      <w:r>
        <w:rPr>
          <w:w w:val="105"/>
          <w:sz w:val="11"/>
        </w:rPr>
        <w:t>sentencia de 10 de mayo</w:t>
      </w:r>
      <w:r>
        <w:rPr>
          <w:spacing w:val="5"/>
          <w:w w:val="105"/>
          <w:sz w:val="11"/>
        </w:rPr>
        <w:t xml:space="preserve"> </w:t>
      </w:r>
      <w:r>
        <w:rPr>
          <w:w w:val="105"/>
          <w:sz w:val="11"/>
        </w:rPr>
        <w:t>de 2001,</w:t>
      </w:r>
      <w:r>
        <w:rPr>
          <w:spacing w:val="5"/>
          <w:w w:val="105"/>
          <w:sz w:val="11"/>
        </w:rPr>
        <w:t xml:space="preserve"> </w:t>
      </w:r>
      <w:r>
        <w:rPr>
          <w:w w:val="105"/>
          <w:sz w:val="11"/>
        </w:rPr>
        <w:t>con referencia en particular</w:t>
      </w:r>
      <w:r>
        <w:rPr>
          <w:spacing w:val="40"/>
          <w:w w:val="105"/>
          <w:sz w:val="11"/>
        </w:rPr>
        <w:t xml:space="preserve"> </w:t>
      </w:r>
      <w:r>
        <w:rPr>
          <w:w w:val="105"/>
          <w:sz w:val="11"/>
        </w:rPr>
        <w:t xml:space="preserve">al enfoque adoptado por la anteriormente existente Comisión Europea de Derechos Humanos, a saber, que </w:t>
      </w:r>
      <w:proofErr w:type="gramStart"/>
      <w:r>
        <w:rPr>
          <w:w w:val="105"/>
          <w:sz w:val="11"/>
        </w:rPr>
        <w:t>“ Por</w:t>
      </w:r>
      <w:proofErr w:type="gramEnd"/>
      <w:r>
        <w:rPr>
          <w:w w:val="105"/>
          <w:sz w:val="11"/>
        </w:rPr>
        <w:t xml:space="preserve"> lo tanto, el trato diferenciado de un grupo de personas por</w:t>
      </w:r>
      <w:r>
        <w:rPr>
          <w:spacing w:val="40"/>
          <w:w w:val="105"/>
          <w:sz w:val="11"/>
        </w:rPr>
        <w:t xml:space="preserve"> </w:t>
      </w:r>
      <w:r>
        <w:rPr>
          <w:w w:val="105"/>
          <w:sz w:val="11"/>
        </w:rPr>
        <w:t>motivos de raza podría constituir un trato degradante cuando un trato diferente por algún otro motivo no plantearía tal cuestión” (Comisión Europea de Derechos</w:t>
      </w:r>
    </w:p>
    <w:p w14:paraId="4F62F7E3" w14:textId="77777777" w:rsidR="0014798C" w:rsidRDefault="004E1F0B">
      <w:pPr>
        <w:ind w:left="81"/>
        <w:rPr>
          <w:sz w:val="11"/>
        </w:rPr>
      </w:pPr>
      <w:r>
        <w:rPr>
          <w:w w:val="105"/>
          <w:sz w:val="11"/>
        </w:rPr>
        <w:t>Humanos,</w:t>
      </w:r>
      <w:r>
        <w:rPr>
          <w:spacing w:val="-1"/>
          <w:w w:val="105"/>
          <w:sz w:val="11"/>
        </w:rPr>
        <w:t xml:space="preserve"> </w:t>
      </w:r>
      <w:r>
        <w:rPr>
          <w:w w:val="105"/>
          <w:sz w:val="11"/>
        </w:rPr>
        <w:t xml:space="preserve">East </w:t>
      </w:r>
      <w:proofErr w:type="spellStart"/>
      <w:r>
        <w:rPr>
          <w:w w:val="105"/>
          <w:sz w:val="11"/>
        </w:rPr>
        <w:t>African</w:t>
      </w:r>
      <w:proofErr w:type="spellEnd"/>
      <w:r>
        <w:rPr>
          <w:spacing w:val="-2"/>
          <w:w w:val="105"/>
          <w:sz w:val="11"/>
        </w:rPr>
        <w:t xml:space="preserve"> </w:t>
      </w:r>
      <w:proofErr w:type="spellStart"/>
      <w:r>
        <w:rPr>
          <w:w w:val="105"/>
          <w:sz w:val="11"/>
        </w:rPr>
        <w:t>Asians</w:t>
      </w:r>
      <w:proofErr w:type="spellEnd"/>
      <w:r>
        <w:rPr>
          <w:spacing w:val="-1"/>
          <w:w w:val="105"/>
          <w:sz w:val="11"/>
        </w:rPr>
        <w:t xml:space="preserve"> </w:t>
      </w:r>
      <w:r>
        <w:rPr>
          <w:w w:val="105"/>
          <w:sz w:val="11"/>
        </w:rPr>
        <w:t>v.</w:t>
      </w:r>
      <w:r>
        <w:rPr>
          <w:spacing w:val="-1"/>
          <w:w w:val="105"/>
          <w:sz w:val="11"/>
        </w:rPr>
        <w:t xml:space="preserve"> </w:t>
      </w:r>
      <w:proofErr w:type="spellStart"/>
      <w:r>
        <w:rPr>
          <w:w w:val="105"/>
          <w:sz w:val="11"/>
        </w:rPr>
        <w:t>the</w:t>
      </w:r>
      <w:proofErr w:type="spellEnd"/>
      <w:r>
        <w:rPr>
          <w:spacing w:val="-2"/>
          <w:w w:val="105"/>
          <w:sz w:val="11"/>
        </w:rPr>
        <w:t xml:space="preserve"> </w:t>
      </w:r>
      <w:proofErr w:type="spellStart"/>
      <w:r>
        <w:rPr>
          <w:w w:val="105"/>
          <w:sz w:val="11"/>
        </w:rPr>
        <w:t>United</w:t>
      </w:r>
      <w:proofErr w:type="spellEnd"/>
      <w:r>
        <w:rPr>
          <w:spacing w:val="-1"/>
          <w:w w:val="105"/>
          <w:sz w:val="11"/>
        </w:rPr>
        <w:t xml:space="preserve"> </w:t>
      </w:r>
      <w:proofErr w:type="spellStart"/>
      <w:r>
        <w:rPr>
          <w:w w:val="105"/>
          <w:sz w:val="11"/>
        </w:rPr>
        <w:t>Kingdom</w:t>
      </w:r>
      <w:proofErr w:type="spellEnd"/>
      <w:r>
        <w:rPr>
          <w:w w:val="105"/>
          <w:sz w:val="11"/>
        </w:rPr>
        <w:t>, Aplicaciones</w:t>
      </w:r>
      <w:r>
        <w:rPr>
          <w:spacing w:val="-2"/>
          <w:w w:val="105"/>
          <w:sz w:val="11"/>
        </w:rPr>
        <w:t xml:space="preserve"> </w:t>
      </w:r>
      <w:r>
        <w:rPr>
          <w:w w:val="105"/>
          <w:sz w:val="11"/>
        </w:rPr>
        <w:t>Nos. 4403/70–4419/70</w:t>
      </w:r>
      <w:r>
        <w:rPr>
          <w:spacing w:val="-1"/>
          <w:w w:val="105"/>
          <w:sz w:val="11"/>
        </w:rPr>
        <w:t xml:space="preserve"> </w:t>
      </w:r>
      <w:r>
        <w:rPr>
          <w:w w:val="105"/>
          <w:sz w:val="11"/>
        </w:rPr>
        <w:t>y</w:t>
      </w:r>
      <w:r>
        <w:rPr>
          <w:spacing w:val="-2"/>
          <w:w w:val="105"/>
          <w:sz w:val="11"/>
        </w:rPr>
        <w:t xml:space="preserve"> </w:t>
      </w:r>
      <w:r>
        <w:rPr>
          <w:w w:val="105"/>
          <w:sz w:val="11"/>
        </w:rPr>
        <w:t>otros, Decisión,</w:t>
      </w:r>
      <w:r>
        <w:rPr>
          <w:spacing w:val="-1"/>
          <w:w w:val="105"/>
          <w:sz w:val="11"/>
        </w:rPr>
        <w:t xml:space="preserve"> </w:t>
      </w:r>
      <w:r>
        <w:rPr>
          <w:w w:val="105"/>
          <w:sz w:val="11"/>
        </w:rPr>
        <w:t>14</w:t>
      </w:r>
      <w:r>
        <w:rPr>
          <w:spacing w:val="-1"/>
          <w:w w:val="105"/>
          <w:sz w:val="11"/>
        </w:rPr>
        <w:t xml:space="preserve"> </w:t>
      </w:r>
      <w:r>
        <w:rPr>
          <w:w w:val="105"/>
          <w:sz w:val="11"/>
        </w:rPr>
        <w:t>de</w:t>
      </w:r>
      <w:r>
        <w:rPr>
          <w:spacing w:val="-1"/>
          <w:w w:val="105"/>
          <w:sz w:val="11"/>
        </w:rPr>
        <w:t xml:space="preserve"> </w:t>
      </w:r>
      <w:r>
        <w:rPr>
          <w:w w:val="105"/>
          <w:sz w:val="11"/>
        </w:rPr>
        <w:t>diciembre</w:t>
      </w:r>
      <w:r>
        <w:rPr>
          <w:spacing w:val="-1"/>
          <w:w w:val="105"/>
          <w:sz w:val="11"/>
        </w:rPr>
        <w:t xml:space="preserve"> </w:t>
      </w:r>
      <w:r>
        <w:rPr>
          <w:w w:val="105"/>
          <w:sz w:val="11"/>
        </w:rPr>
        <w:t>de</w:t>
      </w:r>
      <w:r>
        <w:rPr>
          <w:spacing w:val="-1"/>
          <w:w w:val="105"/>
          <w:sz w:val="11"/>
        </w:rPr>
        <w:t xml:space="preserve"> </w:t>
      </w:r>
      <w:r>
        <w:rPr>
          <w:w w:val="105"/>
          <w:sz w:val="11"/>
        </w:rPr>
        <w:t xml:space="preserve">1973, </w:t>
      </w:r>
      <w:r>
        <w:rPr>
          <w:spacing w:val="-2"/>
          <w:w w:val="105"/>
          <w:sz w:val="11"/>
        </w:rPr>
        <w:t>párr.</w:t>
      </w:r>
    </w:p>
    <w:p w14:paraId="22CCA778" w14:textId="77777777" w:rsidR="0014798C" w:rsidRDefault="0014798C">
      <w:pPr>
        <w:rPr>
          <w:sz w:val="11"/>
        </w:rPr>
        <w:sectPr w:rsidR="0014798C" w:rsidSect="00F265E4">
          <w:type w:val="continuous"/>
          <w:pgSz w:w="11900" w:h="16820"/>
          <w:pgMar w:top="40" w:right="0" w:bottom="280" w:left="200" w:header="121" w:footer="0" w:gutter="0"/>
          <w:cols w:num="2" w:space="720" w:equalWidth="0">
            <w:col w:w="1249" w:space="40"/>
            <w:col w:w="10411"/>
          </w:cols>
        </w:sectPr>
      </w:pPr>
    </w:p>
    <w:p w14:paraId="20415E91" w14:textId="77777777" w:rsidR="0014798C" w:rsidRDefault="0014798C">
      <w:pPr>
        <w:pStyle w:val="Textoindependiente"/>
        <w:spacing w:before="7"/>
        <w:rPr>
          <w:sz w:val="14"/>
        </w:rPr>
      </w:pPr>
    </w:p>
    <w:p w14:paraId="06D5AE75" w14:textId="77777777" w:rsidR="0014798C" w:rsidRDefault="0014798C">
      <w:pPr>
        <w:rPr>
          <w:sz w:val="14"/>
        </w:rPr>
        <w:sectPr w:rsidR="0014798C" w:rsidSect="00F265E4">
          <w:type w:val="continuous"/>
          <w:pgSz w:w="11900" w:h="16820"/>
          <w:pgMar w:top="40" w:right="0" w:bottom="280" w:left="200" w:header="121" w:footer="0" w:gutter="0"/>
          <w:cols w:space="720"/>
        </w:sectPr>
      </w:pPr>
    </w:p>
    <w:p w14:paraId="4E926072" w14:textId="77777777" w:rsidR="0014798C" w:rsidRDefault="0014798C">
      <w:pPr>
        <w:pStyle w:val="Textoindependiente"/>
        <w:spacing w:before="10"/>
        <w:rPr>
          <w:sz w:val="8"/>
        </w:rPr>
      </w:pPr>
    </w:p>
    <w:p w14:paraId="608ADA1E" w14:textId="77777777" w:rsidR="0014798C" w:rsidRDefault="004E1F0B">
      <w:pPr>
        <w:jc w:val="right"/>
        <w:rPr>
          <w:sz w:val="8"/>
        </w:rPr>
      </w:pPr>
      <w:r>
        <w:rPr>
          <w:spacing w:val="-5"/>
          <w:w w:val="105"/>
          <w:sz w:val="8"/>
        </w:rPr>
        <w:t>932</w:t>
      </w:r>
    </w:p>
    <w:p w14:paraId="49DE8F88" w14:textId="77777777" w:rsidR="0014798C" w:rsidRDefault="004E1F0B">
      <w:pPr>
        <w:spacing w:before="122" w:line="340" w:lineRule="auto"/>
        <w:ind w:left="77" w:right="1556" w:firstLine="1"/>
        <w:rPr>
          <w:sz w:val="11"/>
        </w:rPr>
      </w:pPr>
      <w:r>
        <w:br w:type="column"/>
      </w:r>
      <w:r>
        <w:rPr>
          <w:w w:val="105"/>
          <w:sz w:val="11"/>
        </w:rPr>
        <w:t>Comité Europeo de Derechos Sociales, Centro sobre el Derecho a la Vivienda y los Desalojos (COHRE) c. Italia, Demanda No. 58/2009, Decisión sobre el Fondo, 25 de</w:t>
      </w:r>
      <w:r>
        <w:rPr>
          <w:spacing w:val="40"/>
          <w:w w:val="105"/>
          <w:sz w:val="11"/>
        </w:rPr>
        <w:t xml:space="preserve"> </w:t>
      </w:r>
      <w:r>
        <w:rPr>
          <w:w w:val="105"/>
          <w:sz w:val="11"/>
        </w:rPr>
        <w:t>junio de 2010, párr. 139.</w:t>
      </w:r>
    </w:p>
    <w:p w14:paraId="7A353E0D" w14:textId="77777777" w:rsidR="0014798C" w:rsidRDefault="0014798C">
      <w:pPr>
        <w:spacing w:line="340" w:lineRule="auto"/>
        <w:rPr>
          <w:sz w:val="11"/>
        </w:rPr>
        <w:sectPr w:rsidR="0014798C" w:rsidSect="00F265E4">
          <w:type w:val="continuous"/>
          <w:pgSz w:w="11900" w:h="16820"/>
          <w:pgMar w:top="40" w:right="0" w:bottom="280" w:left="200" w:header="121" w:footer="0" w:gutter="0"/>
          <w:cols w:num="2" w:space="720" w:equalWidth="0">
            <w:col w:w="1249" w:space="40"/>
            <w:col w:w="10411"/>
          </w:cols>
        </w:sectPr>
      </w:pPr>
    </w:p>
    <w:p w14:paraId="679A7D45" w14:textId="77777777" w:rsidR="0014798C" w:rsidRDefault="0014798C">
      <w:pPr>
        <w:pStyle w:val="Textoindependiente"/>
        <w:rPr>
          <w:sz w:val="18"/>
        </w:rPr>
      </w:pPr>
    </w:p>
    <w:p w14:paraId="2CC4A658" w14:textId="77777777" w:rsidR="0014798C" w:rsidRDefault="0014798C">
      <w:pPr>
        <w:pStyle w:val="Textoindependiente"/>
        <w:spacing w:before="180"/>
        <w:rPr>
          <w:sz w:val="18"/>
        </w:rPr>
      </w:pPr>
    </w:p>
    <w:p w14:paraId="7F9255E0" w14:textId="77777777" w:rsidR="0014798C" w:rsidRDefault="0014798C">
      <w:pPr>
        <w:rPr>
          <w:sz w:val="18"/>
        </w:rPr>
        <w:sectPr w:rsidR="0014798C" w:rsidSect="00F265E4">
          <w:type w:val="continuous"/>
          <w:pgSz w:w="11900" w:h="16820"/>
          <w:pgMar w:top="40" w:right="0" w:bottom="280" w:left="200" w:header="121" w:footer="0" w:gutter="0"/>
          <w:cols w:space="720"/>
        </w:sectPr>
      </w:pPr>
    </w:p>
    <w:p w14:paraId="2BF57ECB" w14:textId="77777777" w:rsidR="0014798C" w:rsidRDefault="0014798C">
      <w:pPr>
        <w:pStyle w:val="Textoindependiente"/>
        <w:rPr>
          <w:sz w:val="9"/>
        </w:rPr>
      </w:pPr>
    </w:p>
    <w:p w14:paraId="040DF483" w14:textId="77777777" w:rsidR="0014798C" w:rsidRDefault="0014798C">
      <w:pPr>
        <w:pStyle w:val="Textoindependiente"/>
        <w:spacing w:before="31"/>
        <w:rPr>
          <w:sz w:val="9"/>
        </w:rPr>
      </w:pPr>
    </w:p>
    <w:p w14:paraId="2669F300" w14:textId="77777777" w:rsidR="0014798C" w:rsidRDefault="004E1F0B">
      <w:pPr>
        <w:ind w:left="1111"/>
        <w:rPr>
          <w:sz w:val="9"/>
        </w:rPr>
      </w:pPr>
      <w:r>
        <w:rPr>
          <w:color w:val="803108"/>
          <w:w w:val="105"/>
          <w:sz w:val="9"/>
        </w:rPr>
        <w:t>PARTE</w:t>
      </w:r>
      <w:r>
        <w:rPr>
          <w:color w:val="803108"/>
          <w:spacing w:val="1"/>
          <w:w w:val="105"/>
          <w:sz w:val="9"/>
        </w:rPr>
        <w:t xml:space="preserve"> </w:t>
      </w:r>
      <w:r>
        <w:rPr>
          <w:color w:val="803108"/>
          <w:w w:val="105"/>
          <w:sz w:val="9"/>
        </w:rPr>
        <w:t>TRES:</w:t>
      </w:r>
      <w:r>
        <w:rPr>
          <w:color w:val="803108"/>
          <w:spacing w:val="2"/>
          <w:w w:val="105"/>
          <w:sz w:val="9"/>
        </w:rPr>
        <w:t xml:space="preserve"> </w:t>
      </w:r>
      <w:r>
        <w:rPr>
          <w:color w:val="803108"/>
          <w:w w:val="105"/>
          <w:sz w:val="9"/>
        </w:rPr>
        <w:t>PROTECCIÓN</w:t>
      </w:r>
      <w:r>
        <w:rPr>
          <w:color w:val="803108"/>
          <w:spacing w:val="2"/>
          <w:w w:val="105"/>
          <w:sz w:val="9"/>
        </w:rPr>
        <w:t xml:space="preserve"> </w:t>
      </w:r>
      <w:r>
        <w:rPr>
          <w:color w:val="803108"/>
          <w:w w:val="105"/>
          <w:sz w:val="9"/>
        </w:rPr>
        <w:t>DE</w:t>
      </w:r>
      <w:r>
        <w:rPr>
          <w:color w:val="803108"/>
          <w:spacing w:val="1"/>
          <w:w w:val="105"/>
          <w:sz w:val="9"/>
        </w:rPr>
        <w:t xml:space="preserve"> </w:t>
      </w:r>
      <w:r>
        <w:rPr>
          <w:color w:val="803108"/>
          <w:w w:val="105"/>
          <w:sz w:val="9"/>
        </w:rPr>
        <w:t>LOS</w:t>
      </w:r>
      <w:r>
        <w:rPr>
          <w:color w:val="803108"/>
          <w:spacing w:val="2"/>
          <w:w w:val="105"/>
          <w:sz w:val="9"/>
        </w:rPr>
        <w:t xml:space="preserve"> </w:t>
      </w:r>
      <w:r>
        <w:rPr>
          <w:color w:val="803108"/>
          <w:w w:val="105"/>
          <w:sz w:val="9"/>
        </w:rPr>
        <w:t>DERECHOS</w:t>
      </w:r>
      <w:r>
        <w:rPr>
          <w:color w:val="803108"/>
          <w:spacing w:val="3"/>
          <w:w w:val="105"/>
          <w:sz w:val="9"/>
        </w:rPr>
        <w:t xml:space="preserve"> </w:t>
      </w:r>
      <w:r>
        <w:rPr>
          <w:color w:val="803108"/>
          <w:w w:val="105"/>
          <w:sz w:val="9"/>
        </w:rPr>
        <w:t>DE</w:t>
      </w:r>
      <w:r>
        <w:rPr>
          <w:color w:val="803108"/>
          <w:spacing w:val="1"/>
          <w:w w:val="105"/>
          <w:sz w:val="9"/>
        </w:rPr>
        <w:t xml:space="preserve"> </w:t>
      </w:r>
      <w:r>
        <w:rPr>
          <w:color w:val="803108"/>
          <w:w w:val="105"/>
          <w:sz w:val="9"/>
        </w:rPr>
        <w:t>LAS</w:t>
      </w:r>
      <w:r>
        <w:rPr>
          <w:color w:val="803108"/>
          <w:spacing w:val="2"/>
          <w:w w:val="105"/>
          <w:sz w:val="9"/>
        </w:rPr>
        <w:t xml:space="preserve"> </w:t>
      </w:r>
      <w:r>
        <w:rPr>
          <w:color w:val="803108"/>
          <w:spacing w:val="-2"/>
          <w:w w:val="105"/>
          <w:sz w:val="9"/>
        </w:rPr>
        <w:t>MINORÍAS</w:t>
      </w:r>
    </w:p>
    <w:p w14:paraId="499BFD53" w14:textId="77777777" w:rsidR="0014798C" w:rsidRDefault="0014798C">
      <w:pPr>
        <w:pStyle w:val="Textoindependiente"/>
      </w:pPr>
    </w:p>
    <w:p w14:paraId="00522715" w14:textId="77777777" w:rsidR="0014798C" w:rsidRDefault="0014798C">
      <w:pPr>
        <w:pStyle w:val="Textoindependiente"/>
      </w:pPr>
    </w:p>
    <w:p w14:paraId="6AB20081" w14:textId="77777777" w:rsidR="0014798C" w:rsidRDefault="0014798C">
      <w:pPr>
        <w:pStyle w:val="Textoindependiente"/>
      </w:pPr>
    </w:p>
    <w:p w14:paraId="49CA57B0" w14:textId="77777777" w:rsidR="0014798C" w:rsidRDefault="0014798C">
      <w:pPr>
        <w:pStyle w:val="Textoindependiente"/>
      </w:pPr>
    </w:p>
    <w:p w14:paraId="7292E8B4" w14:textId="77777777" w:rsidR="0014798C" w:rsidRDefault="0014798C">
      <w:pPr>
        <w:pStyle w:val="Textoindependiente"/>
        <w:spacing w:before="71"/>
      </w:pPr>
    </w:p>
    <w:p w14:paraId="08F64591" w14:textId="77777777" w:rsidR="0014798C" w:rsidRDefault="004E1F0B">
      <w:pPr>
        <w:pStyle w:val="Textoindependiente"/>
        <w:spacing w:line="326" w:lineRule="auto"/>
        <w:ind w:left="1108" w:right="1272" w:firstLine="3"/>
      </w:pPr>
      <w:r>
        <w:t>y está expresamente prohibida en virtud del artículo</w:t>
      </w:r>
      <w:r>
        <w:rPr>
          <w:spacing w:val="-1"/>
        </w:rPr>
        <w:t xml:space="preserve"> </w:t>
      </w:r>
      <w:r>
        <w:t>1(1) de la Convención Americana”.933</w:t>
      </w:r>
      <w:r>
        <w:rPr>
          <w:spacing w:val="-1"/>
        </w:rPr>
        <w:t xml:space="preserve"> </w:t>
      </w:r>
      <w:r>
        <w:t>La Comisión Interamericana</w:t>
      </w:r>
      <w:r>
        <w:rPr>
          <w:spacing w:val="-1"/>
        </w:rPr>
        <w:t xml:space="preserve"> </w:t>
      </w:r>
      <w:r>
        <w:t>de Derechos Humanos también ha sostenido que la discriminación racial se manifiesta repetidamente “en las relaciones interpersonales cotidianas”, permeando todo comportamiento social, tanto personal como social. institucional.934</w:t>
      </w:r>
    </w:p>
    <w:p w14:paraId="6AD78F09" w14:textId="77777777" w:rsidR="0014798C" w:rsidRDefault="004E1F0B">
      <w:pPr>
        <w:spacing w:before="161" w:line="307" w:lineRule="auto"/>
        <w:ind w:left="1108" w:right="1272" w:hanging="2"/>
        <w:rPr>
          <w:sz w:val="17"/>
        </w:rPr>
      </w:pPr>
      <w:r>
        <w:rPr>
          <w:sz w:val="17"/>
        </w:rPr>
        <w:t>Hay</w:t>
      </w:r>
      <w:r>
        <w:rPr>
          <w:spacing w:val="-11"/>
          <w:sz w:val="17"/>
        </w:rPr>
        <w:t xml:space="preserve"> </w:t>
      </w:r>
      <w:r>
        <w:rPr>
          <w:sz w:val="17"/>
        </w:rPr>
        <w:t>otro</w:t>
      </w:r>
      <w:r>
        <w:rPr>
          <w:spacing w:val="-11"/>
          <w:sz w:val="17"/>
        </w:rPr>
        <w:t xml:space="preserve"> </w:t>
      </w:r>
      <w:r>
        <w:rPr>
          <w:sz w:val="17"/>
        </w:rPr>
        <w:t>aspecto</w:t>
      </w:r>
      <w:r>
        <w:rPr>
          <w:spacing w:val="-11"/>
          <w:sz w:val="17"/>
        </w:rPr>
        <w:t xml:space="preserve"> </w:t>
      </w:r>
      <w:r>
        <w:rPr>
          <w:sz w:val="17"/>
        </w:rPr>
        <w:t>de</w:t>
      </w:r>
      <w:r>
        <w:rPr>
          <w:spacing w:val="-11"/>
          <w:sz w:val="17"/>
        </w:rPr>
        <w:t xml:space="preserve"> </w:t>
      </w:r>
      <w:r>
        <w:rPr>
          <w:sz w:val="17"/>
        </w:rPr>
        <w:t>la</w:t>
      </w:r>
      <w:r>
        <w:rPr>
          <w:spacing w:val="-11"/>
          <w:sz w:val="17"/>
        </w:rPr>
        <w:t xml:space="preserve"> </w:t>
      </w:r>
      <w:r>
        <w:rPr>
          <w:sz w:val="17"/>
        </w:rPr>
        <w:t>prohibición</w:t>
      </w:r>
      <w:r>
        <w:rPr>
          <w:spacing w:val="-11"/>
          <w:sz w:val="17"/>
        </w:rPr>
        <w:t xml:space="preserve"> </w:t>
      </w:r>
      <w:r>
        <w:rPr>
          <w:sz w:val="17"/>
        </w:rPr>
        <w:t>de</w:t>
      </w:r>
      <w:r>
        <w:rPr>
          <w:spacing w:val="-11"/>
          <w:sz w:val="17"/>
        </w:rPr>
        <w:t xml:space="preserve"> </w:t>
      </w:r>
      <w:r>
        <w:rPr>
          <w:sz w:val="17"/>
        </w:rPr>
        <w:t>la</w:t>
      </w:r>
      <w:r>
        <w:rPr>
          <w:spacing w:val="-11"/>
          <w:sz w:val="17"/>
        </w:rPr>
        <w:t xml:space="preserve"> </w:t>
      </w:r>
      <w:r>
        <w:rPr>
          <w:sz w:val="17"/>
        </w:rPr>
        <w:t>discriminación</w:t>
      </w:r>
      <w:r>
        <w:rPr>
          <w:spacing w:val="-11"/>
          <w:sz w:val="17"/>
        </w:rPr>
        <w:t xml:space="preserve"> </w:t>
      </w:r>
      <w:r>
        <w:rPr>
          <w:sz w:val="17"/>
        </w:rPr>
        <w:t>racial</w:t>
      </w:r>
      <w:r>
        <w:rPr>
          <w:spacing w:val="-11"/>
          <w:sz w:val="17"/>
        </w:rPr>
        <w:t xml:space="preserve"> </w:t>
      </w:r>
      <w:r>
        <w:rPr>
          <w:sz w:val="17"/>
        </w:rPr>
        <w:t>que</w:t>
      </w:r>
      <w:r>
        <w:rPr>
          <w:spacing w:val="-11"/>
          <w:sz w:val="17"/>
        </w:rPr>
        <w:t xml:space="preserve"> </w:t>
      </w:r>
      <w:r>
        <w:rPr>
          <w:sz w:val="17"/>
        </w:rPr>
        <w:t>merece</w:t>
      </w:r>
      <w:r>
        <w:rPr>
          <w:spacing w:val="-11"/>
          <w:sz w:val="17"/>
        </w:rPr>
        <w:t xml:space="preserve"> </w:t>
      </w:r>
      <w:r>
        <w:rPr>
          <w:sz w:val="17"/>
        </w:rPr>
        <w:t>comentarse</w:t>
      </w:r>
      <w:r>
        <w:rPr>
          <w:spacing w:val="-11"/>
          <w:sz w:val="17"/>
        </w:rPr>
        <w:t xml:space="preserve"> </w:t>
      </w:r>
      <w:r>
        <w:rPr>
          <w:sz w:val="17"/>
        </w:rPr>
        <w:t>aquí;</w:t>
      </w:r>
      <w:r>
        <w:rPr>
          <w:spacing w:val="-11"/>
          <w:sz w:val="17"/>
        </w:rPr>
        <w:t xml:space="preserve"> </w:t>
      </w:r>
      <w:r>
        <w:rPr>
          <w:sz w:val="17"/>
        </w:rPr>
        <w:t>La</w:t>
      </w:r>
      <w:r>
        <w:rPr>
          <w:spacing w:val="-11"/>
          <w:sz w:val="17"/>
        </w:rPr>
        <w:t xml:space="preserve"> </w:t>
      </w:r>
      <w:r>
        <w:rPr>
          <w:sz w:val="17"/>
        </w:rPr>
        <w:t>negación</w:t>
      </w:r>
      <w:r>
        <w:rPr>
          <w:spacing w:val="-11"/>
          <w:sz w:val="17"/>
        </w:rPr>
        <w:t xml:space="preserve"> </w:t>
      </w:r>
      <w:r>
        <w:rPr>
          <w:sz w:val="17"/>
        </w:rPr>
        <w:t>de</w:t>
      </w:r>
      <w:r>
        <w:rPr>
          <w:spacing w:val="-11"/>
          <w:sz w:val="17"/>
        </w:rPr>
        <w:t xml:space="preserve"> </w:t>
      </w:r>
      <w:r>
        <w:rPr>
          <w:sz w:val="17"/>
        </w:rPr>
        <w:t>los</w:t>
      </w:r>
      <w:r>
        <w:rPr>
          <w:spacing w:val="-11"/>
          <w:sz w:val="17"/>
        </w:rPr>
        <w:t xml:space="preserve"> </w:t>
      </w:r>
      <w:r>
        <w:rPr>
          <w:sz w:val="17"/>
        </w:rPr>
        <w:t>Estados</w:t>
      </w:r>
      <w:r>
        <w:rPr>
          <w:spacing w:val="-11"/>
          <w:sz w:val="17"/>
        </w:rPr>
        <w:t xml:space="preserve"> </w:t>
      </w:r>
      <w:r>
        <w:rPr>
          <w:sz w:val="17"/>
        </w:rPr>
        <w:t>de que existe discriminación racial –particularmente discriminación sistémica– incluso en casos relativamente abiertos y evidentes</w:t>
      </w:r>
      <w:r>
        <w:rPr>
          <w:spacing w:val="-1"/>
          <w:sz w:val="17"/>
        </w:rPr>
        <w:t xml:space="preserve"> </w:t>
      </w:r>
      <w:r>
        <w:rPr>
          <w:sz w:val="17"/>
        </w:rPr>
        <w:t>de</w:t>
      </w:r>
      <w:r>
        <w:rPr>
          <w:spacing w:val="-1"/>
          <w:sz w:val="17"/>
        </w:rPr>
        <w:t xml:space="preserve"> </w:t>
      </w:r>
      <w:r>
        <w:rPr>
          <w:sz w:val="17"/>
        </w:rPr>
        <w:t>tal</w:t>
      </w:r>
      <w:r>
        <w:rPr>
          <w:spacing w:val="-1"/>
          <w:sz w:val="17"/>
        </w:rPr>
        <w:t xml:space="preserve"> </w:t>
      </w:r>
      <w:r>
        <w:rPr>
          <w:sz w:val="17"/>
        </w:rPr>
        <w:t>discriminación. La</w:t>
      </w:r>
      <w:r>
        <w:rPr>
          <w:spacing w:val="-1"/>
          <w:sz w:val="17"/>
        </w:rPr>
        <w:t xml:space="preserve"> </w:t>
      </w:r>
      <w:r>
        <w:rPr>
          <w:sz w:val="17"/>
        </w:rPr>
        <w:t>red</w:t>
      </w:r>
      <w:r>
        <w:rPr>
          <w:spacing w:val="-1"/>
          <w:sz w:val="17"/>
        </w:rPr>
        <w:t xml:space="preserve"> </w:t>
      </w:r>
      <w:r>
        <w:rPr>
          <w:sz w:val="17"/>
        </w:rPr>
        <w:t>de</w:t>
      </w:r>
      <w:r>
        <w:rPr>
          <w:spacing w:val="-1"/>
          <w:sz w:val="17"/>
        </w:rPr>
        <w:t xml:space="preserve"> </w:t>
      </w:r>
      <w:r>
        <w:rPr>
          <w:sz w:val="17"/>
        </w:rPr>
        <w:t>las</w:t>
      </w:r>
      <w:r>
        <w:rPr>
          <w:spacing w:val="-1"/>
          <w:sz w:val="17"/>
        </w:rPr>
        <w:t xml:space="preserve"> </w:t>
      </w:r>
      <w:r>
        <w:rPr>
          <w:sz w:val="17"/>
        </w:rPr>
        <w:t>Naciones</w:t>
      </w:r>
      <w:r>
        <w:rPr>
          <w:spacing w:val="-1"/>
          <w:sz w:val="17"/>
        </w:rPr>
        <w:t xml:space="preserve"> </w:t>
      </w:r>
      <w:r>
        <w:rPr>
          <w:sz w:val="17"/>
        </w:rPr>
        <w:t>Unidas</w:t>
      </w:r>
      <w:r>
        <w:rPr>
          <w:spacing w:val="-1"/>
          <w:sz w:val="17"/>
        </w:rPr>
        <w:t xml:space="preserve"> </w:t>
      </w:r>
      <w:r>
        <w:rPr>
          <w:sz w:val="17"/>
        </w:rPr>
        <w:t>sobre</w:t>
      </w:r>
      <w:r>
        <w:rPr>
          <w:spacing w:val="-1"/>
          <w:sz w:val="17"/>
        </w:rPr>
        <w:t xml:space="preserve"> </w:t>
      </w:r>
      <w:r>
        <w:rPr>
          <w:sz w:val="17"/>
        </w:rPr>
        <w:t>discriminación</w:t>
      </w:r>
      <w:r>
        <w:rPr>
          <w:spacing w:val="-1"/>
          <w:sz w:val="17"/>
        </w:rPr>
        <w:t xml:space="preserve"> </w:t>
      </w:r>
      <w:r>
        <w:rPr>
          <w:sz w:val="17"/>
        </w:rPr>
        <w:t>racial</w:t>
      </w:r>
      <w:r>
        <w:rPr>
          <w:spacing w:val="-1"/>
          <w:sz w:val="17"/>
        </w:rPr>
        <w:t xml:space="preserve"> </w:t>
      </w:r>
      <w:r>
        <w:rPr>
          <w:sz w:val="17"/>
        </w:rPr>
        <w:t>y</w:t>
      </w:r>
      <w:r>
        <w:rPr>
          <w:spacing w:val="-1"/>
          <w:sz w:val="17"/>
        </w:rPr>
        <w:t xml:space="preserve"> </w:t>
      </w:r>
      <w:r>
        <w:rPr>
          <w:sz w:val="17"/>
        </w:rPr>
        <w:t>protección</w:t>
      </w:r>
      <w:r>
        <w:rPr>
          <w:spacing w:val="-1"/>
          <w:sz w:val="17"/>
        </w:rPr>
        <w:t xml:space="preserve"> </w:t>
      </w:r>
      <w:r>
        <w:rPr>
          <w:sz w:val="17"/>
        </w:rPr>
        <w:t>de</w:t>
      </w:r>
      <w:r>
        <w:rPr>
          <w:spacing w:val="-1"/>
          <w:sz w:val="17"/>
        </w:rPr>
        <w:t xml:space="preserve"> </w:t>
      </w:r>
      <w:r>
        <w:rPr>
          <w:sz w:val="17"/>
        </w:rPr>
        <w:t>las</w:t>
      </w:r>
      <w:r>
        <w:rPr>
          <w:spacing w:val="-1"/>
          <w:sz w:val="17"/>
        </w:rPr>
        <w:t xml:space="preserve"> </w:t>
      </w:r>
      <w:r>
        <w:rPr>
          <w:sz w:val="17"/>
        </w:rPr>
        <w:t>minorías</w:t>
      </w:r>
      <w:r>
        <w:rPr>
          <w:spacing w:val="-1"/>
          <w:sz w:val="17"/>
        </w:rPr>
        <w:t xml:space="preserve"> </w:t>
      </w:r>
      <w:r>
        <w:rPr>
          <w:sz w:val="17"/>
        </w:rPr>
        <w:t>ha descrito este problema de la siguiente manera:</w:t>
      </w:r>
    </w:p>
    <w:p w14:paraId="6A97316C" w14:textId="77777777" w:rsidR="0014798C" w:rsidRDefault="004E1F0B">
      <w:pPr>
        <w:spacing w:before="112" w:line="307" w:lineRule="auto"/>
        <w:ind w:left="1670" w:right="1590"/>
        <w:rPr>
          <w:sz w:val="17"/>
        </w:rPr>
      </w:pPr>
      <w:r>
        <w:rPr>
          <w:noProof/>
        </w:rPr>
        <w:drawing>
          <wp:anchor distT="0" distB="0" distL="0" distR="0" simplePos="0" relativeHeight="251658458" behindDoc="1" locked="0" layoutInCell="1" allowOverlap="1" wp14:anchorId="134D8D5C" wp14:editId="2134AD82">
            <wp:simplePos x="0" y="0"/>
            <wp:positionH relativeFrom="page">
              <wp:posOffset>826632</wp:posOffset>
            </wp:positionH>
            <wp:positionV relativeFrom="paragraph">
              <wp:posOffset>942834</wp:posOffset>
            </wp:positionV>
            <wp:extent cx="6729867" cy="4497846"/>
            <wp:effectExtent l="0" t="0" r="0" b="0"/>
            <wp:wrapNone/>
            <wp:docPr id="282" name="Image 28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82" name="Image 282"/>
                    <pic:cNvPicPr/>
                  </pic:nvPicPr>
                  <pic:blipFill>
                    <a:blip r:embed="rId264" cstate="print"/>
                    <a:stretch>
                      <a:fillRect/>
                    </a:stretch>
                  </pic:blipFill>
                  <pic:spPr>
                    <a:xfrm>
                      <a:off x="0" y="0"/>
                      <a:ext cx="6729867" cy="4497846"/>
                    </a:xfrm>
                    <a:prstGeom prst="rect">
                      <a:avLst/>
                    </a:prstGeom>
                  </pic:spPr>
                </pic:pic>
              </a:graphicData>
            </a:graphic>
          </wp:anchor>
        </w:drawing>
      </w:r>
      <w:r>
        <w:rPr>
          <w:color w:val="803108"/>
          <w:sz w:val="17"/>
        </w:rPr>
        <w:t>Mientras que en la primera mitad del siglo XX la exclusión de las minorías y otros grupos afectados por la discriminación racial se hacía más o menos abiertamente, hoy en día hay pocos gobiernos en el mundo, si es que hay alguno, que apliquen políticas que celebren la exclusión y la discriminación de tales grupos. En el escenario más común, los gobiernos niegan que exista discriminación racial. Este es el caso incluso en escenarios</w:t>
      </w:r>
      <w:r>
        <w:rPr>
          <w:color w:val="803108"/>
          <w:spacing w:val="-5"/>
          <w:sz w:val="17"/>
        </w:rPr>
        <w:t xml:space="preserve"> </w:t>
      </w:r>
      <w:r>
        <w:rPr>
          <w:color w:val="803108"/>
          <w:sz w:val="17"/>
        </w:rPr>
        <w:t>de</w:t>
      </w:r>
      <w:r>
        <w:rPr>
          <w:color w:val="803108"/>
          <w:spacing w:val="-5"/>
          <w:sz w:val="17"/>
        </w:rPr>
        <w:t xml:space="preserve"> </w:t>
      </w:r>
      <w:r>
        <w:rPr>
          <w:color w:val="803108"/>
          <w:sz w:val="17"/>
        </w:rPr>
        <w:t>abuso</w:t>
      </w:r>
      <w:r>
        <w:rPr>
          <w:color w:val="803108"/>
          <w:spacing w:val="-5"/>
          <w:sz w:val="17"/>
        </w:rPr>
        <w:t xml:space="preserve"> </w:t>
      </w:r>
      <w:r>
        <w:rPr>
          <w:color w:val="803108"/>
          <w:sz w:val="17"/>
        </w:rPr>
        <w:t>sistemático</w:t>
      </w:r>
      <w:r>
        <w:rPr>
          <w:color w:val="803108"/>
          <w:spacing w:val="-5"/>
          <w:sz w:val="17"/>
        </w:rPr>
        <w:t xml:space="preserve"> </w:t>
      </w:r>
      <w:r>
        <w:rPr>
          <w:color w:val="803108"/>
          <w:sz w:val="17"/>
        </w:rPr>
        <w:t>flagrante.</w:t>
      </w:r>
      <w:r>
        <w:rPr>
          <w:color w:val="803108"/>
          <w:spacing w:val="-4"/>
          <w:sz w:val="17"/>
        </w:rPr>
        <w:t xml:space="preserve"> </w:t>
      </w:r>
      <w:r>
        <w:rPr>
          <w:color w:val="803108"/>
          <w:sz w:val="17"/>
        </w:rPr>
        <w:t>En</w:t>
      </w:r>
      <w:r>
        <w:rPr>
          <w:color w:val="803108"/>
          <w:spacing w:val="-5"/>
          <w:sz w:val="17"/>
        </w:rPr>
        <w:t xml:space="preserve"> </w:t>
      </w:r>
      <w:r>
        <w:rPr>
          <w:color w:val="803108"/>
          <w:sz w:val="17"/>
        </w:rPr>
        <w:t>muchos</w:t>
      </w:r>
      <w:r>
        <w:rPr>
          <w:color w:val="803108"/>
          <w:spacing w:val="-5"/>
          <w:sz w:val="17"/>
        </w:rPr>
        <w:t xml:space="preserve"> </w:t>
      </w:r>
      <w:r>
        <w:rPr>
          <w:color w:val="803108"/>
          <w:sz w:val="17"/>
        </w:rPr>
        <w:t>contextos,</w:t>
      </w:r>
      <w:r>
        <w:rPr>
          <w:color w:val="803108"/>
          <w:spacing w:val="-4"/>
          <w:sz w:val="17"/>
        </w:rPr>
        <w:t xml:space="preserve"> </w:t>
      </w:r>
      <w:r>
        <w:rPr>
          <w:color w:val="803108"/>
          <w:sz w:val="17"/>
        </w:rPr>
        <w:t>los</w:t>
      </w:r>
      <w:r>
        <w:rPr>
          <w:color w:val="803108"/>
          <w:spacing w:val="-5"/>
          <w:sz w:val="17"/>
        </w:rPr>
        <w:t xml:space="preserve"> </w:t>
      </w:r>
      <w:r>
        <w:rPr>
          <w:color w:val="803108"/>
          <w:sz w:val="17"/>
        </w:rPr>
        <w:t>gobiernos</w:t>
      </w:r>
      <w:r>
        <w:rPr>
          <w:color w:val="803108"/>
          <w:spacing w:val="-5"/>
          <w:sz w:val="17"/>
        </w:rPr>
        <w:t xml:space="preserve"> </w:t>
      </w:r>
      <w:r>
        <w:rPr>
          <w:color w:val="803108"/>
          <w:sz w:val="17"/>
        </w:rPr>
        <w:t>culpan</w:t>
      </w:r>
      <w:r>
        <w:rPr>
          <w:color w:val="803108"/>
          <w:spacing w:val="-5"/>
          <w:sz w:val="17"/>
        </w:rPr>
        <w:t xml:space="preserve"> </w:t>
      </w:r>
      <w:r>
        <w:rPr>
          <w:color w:val="803108"/>
          <w:sz w:val="17"/>
        </w:rPr>
        <w:t>a</w:t>
      </w:r>
      <w:r>
        <w:rPr>
          <w:color w:val="803108"/>
          <w:spacing w:val="-5"/>
          <w:sz w:val="17"/>
        </w:rPr>
        <w:t xml:space="preserve"> </w:t>
      </w:r>
      <w:r>
        <w:rPr>
          <w:color w:val="803108"/>
          <w:sz w:val="17"/>
        </w:rPr>
        <w:t>los</w:t>
      </w:r>
      <w:r>
        <w:rPr>
          <w:color w:val="803108"/>
          <w:spacing w:val="-5"/>
          <w:sz w:val="17"/>
        </w:rPr>
        <w:t xml:space="preserve"> </w:t>
      </w:r>
      <w:r>
        <w:rPr>
          <w:color w:val="803108"/>
          <w:sz w:val="17"/>
        </w:rPr>
        <w:t>grupos</w:t>
      </w:r>
      <w:r>
        <w:rPr>
          <w:color w:val="803108"/>
          <w:spacing w:val="-5"/>
          <w:sz w:val="17"/>
        </w:rPr>
        <w:t xml:space="preserve"> </w:t>
      </w:r>
      <w:r>
        <w:rPr>
          <w:color w:val="803108"/>
          <w:sz w:val="17"/>
        </w:rPr>
        <w:t>marginados de su propia exclusión. Este problema se extiende al nivel más granular, en el que incluso en casos flagrantes de discriminación, las partes niegan la discriminación o proporcionan justificaciones elaboradas para un trato desigual evidente.935</w:t>
      </w:r>
    </w:p>
    <w:p w14:paraId="454FDE77" w14:textId="77777777" w:rsidR="0014798C" w:rsidRDefault="004E1F0B">
      <w:pPr>
        <w:spacing w:before="109" w:line="307" w:lineRule="auto"/>
        <w:ind w:left="1111" w:right="1272" w:hanging="6"/>
        <w:rPr>
          <w:sz w:val="17"/>
        </w:rPr>
      </w:pPr>
      <w:r>
        <w:rPr>
          <w:noProof/>
        </w:rPr>
        <mc:AlternateContent>
          <mc:Choice Requires="wps">
            <w:drawing>
              <wp:anchor distT="0" distB="0" distL="0" distR="0" simplePos="0" relativeHeight="251658309" behindDoc="0" locked="0" layoutInCell="1" allowOverlap="1" wp14:anchorId="7CF118B5" wp14:editId="484DD8B5">
                <wp:simplePos x="0" y="0"/>
                <wp:positionH relativeFrom="page">
                  <wp:posOffset>7293418</wp:posOffset>
                </wp:positionH>
                <wp:positionV relativeFrom="paragraph">
                  <wp:posOffset>211069</wp:posOffset>
                </wp:positionV>
                <wp:extent cx="104775" cy="260985"/>
                <wp:effectExtent l="0" t="0" r="0" b="0"/>
                <wp:wrapNone/>
                <wp:docPr id="283" name="Textbox 28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04775" cy="260985"/>
                        </a:xfrm>
                        <a:prstGeom prst="rect">
                          <a:avLst/>
                        </a:prstGeom>
                      </wps:spPr>
                      <wps:txbx>
                        <w:txbxContent>
                          <w:p w14:paraId="30D22626" w14:textId="77777777" w:rsidR="0014798C" w:rsidRDefault="004E1F0B">
                            <w:pPr>
                              <w:spacing w:before="17"/>
                              <w:ind w:left="20"/>
                              <w:rPr>
                                <w:sz w:val="11"/>
                              </w:rPr>
                            </w:pPr>
                            <w:r>
                              <w:rPr>
                                <w:color w:val="FFFFFF"/>
                                <w:spacing w:val="-33"/>
                                <w:sz w:val="11"/>
                              </w:rPr>
                              <w:t>TPRAERSTE</w:t>
                            </w:r>
                          </w:p>
                        </w:txbxContent>
                      </wps:txbx>
                      <wps:bodyPr vert="vert270" wrap="square" lIns="0" tIns="0" rIns="0" bIns="0" rtlCol="0">
                        <a:noAutofit/>
                      </wps:bodyPr>
                    </wps:wsp>
                  </a:graphicData>
                </a:graphic>
              </wp:anchor>
            </w:drawing>
          </mc:Choice>
          <mc:Fallback>
            <w:pict>
              <v:shape w14:anchorId="7CF118B5" id="Textbox 283" o:spid="_x0000_s1140" type="#_x0000_t202" style="position:absolute;left:0;text-align:left;margin-left:574.3pt;margin-top:16.6pt;width:8.25pt;height:20.55pt;z-index:251658309;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" filled="f" stroked="f">
                <v:textbox style="layout-flow:vertical;mso-layout-flow-alt:bottom-to-top" inset="0,0,0,0">
                  <w:txbxContent>
                    <w:p w14:paraId="30D22626" w14:textId="77777777" w:rsidR="0014798C" w:rsidRDefault="004E1F0B">
                      <w:pPr>
                        <w:spacing w:before="17"/>
                        <w:ind w:left="20"/>
                        <w:rPr>
                          <w:sz w:val="11"/>
                        </w:rPr>
                      </w:pPr>
                      <w:r>
                        <w:rPr>
                          <w:color w:val="FFFFFF"/>
                          <w:spacing w:val="-33"/>
                          <w:sz w:val="11"/>
                        </w:rPr>
                        <w:t>TPRAERSTE</w:t>
                      </w:r>
                    </w:p>
                  </w:txbxContent>
                </v:textbox>
                <w10:wrap anchorx="page"/>
              </v:shape>
            </w:pict>
          </mc:Fallback>
        </mc:AlternateContent>
      </w:r>
      <w:r>
        <w:rPr>
          <w:sz w:val="17"/>
        </w:rPr>
        <w:t>El</w:t>
      </w:r>
      <w:r>
        <w:rPr>
          <w:spacing w:val="-5"/>
          <w:sz w:val="17"/>
        </w:rPr>
        <w:t xml:space="preserve"> </w:t>
      </w:r>
      <w:r>
        <w:rPr>
          <w:sz w:val="17"/>
        </w:rPr>
        <w:t>problema</w:t>
      </w:r>
      <w:r>
        <w:rPr>
          <w:spacing w:val="-5"/>
          <w:sz w:val="17"/>
        </w:rPr>
        <w:t xml:space="preserve"> </w:t>
      </w:r>
      <w:r>
        <w:rPr>
          <w:sz w:val="17"/>
        </w:rPr>
        <w:t>de</w:t>
      </w:r>
      <w:r>
        <w:rPr>
          <w:spacing w:val="-5"/>
          <w:sz w:val="17"/>
        </w:rPr>
        <w:t xml:space="preserve"> </w:t>
      </w:r>
      <w:r>
        <w:rPr>
          <w:sz w:val="17"/>
        </w:rPr>
        <w:t>la</w:t>
      </w:r>
      <w:r>
        <w:rPr>
          <w:spacing w:val="-5"/>
          <w:sz w:val="17"/>
        </w:rPr>
        <w:t xml:space="preserve"> </w:t>
      </w:r>
      <w:r>
        <w:rPr>
          <w:sz w:val="17"/>
        </w:rPr>
        <w:t>negación</w:t>
      </w:r>
      <w:r>
        <w:rPr>
          <w:spacing w:val="-5"/>
          <w:sz w:val="17"/>
        </w:rPr>
        <w:t xml:space="preserve"> </w:t>
      </w:r>
      <w:r>
        <w:rPr>
          <w:sz w:val="17"/>
        </w:rPr>
        <w:t>de</w:t>
      </w:r>
      <w:r>
        <w:rPr>
          <w:spacing w:val="-5"/>
          <w:sz w:val="17"/>
        </w:rPr>
        <w:t xml:space="preserve"> </w:t>
      </w:r>
      <w:r>
        <w:rPr>
          <w:sz w:val="17"/>
        </w:rPr>
        <w:t>la</w:t>
      </w:r>
      <w:r>
        <w:rPr>
          <w:spacing w:val="-5"/>
          <w:sz w:val="17"/>
        </w:rPr>
        <w:t xml:space="preserve"> </w:t>
      </w:r>
      <w:r>
        <w:rPr>
          <w:sz w:val="17"/>
        </w:rPr>
        <w:t>discriminación</w:t>
      </w:r>
      <w:r>
        <w:rPr>
          <w:spacing w:val="-5"/>
          <w:sz w:val="17"/>
        </w:rPr>
        <w:t xml:space="preserve"> </w:t>
      </w:r>
      <w:r>
        <w:rPr>
          <w:sz w:val="17"/>
        </w:rPr>
        <w:t>racial</w:t>
      </w:r>
      <w:r>
        <w:rPr>
          <w:spacing w:val="-5"/>
          <w:sz w:val="17"/>
        </w:rPr>
        <w:t xml:space="preserve"> </w:t>
      </w:r>
      <w:r>
        <w:rPr>
          <w:sz w:val="17"/>
        </w:rPr>
        <w:t>ha</w:t>
      </w:r>
      <w:r>
        <w:rPr>
          <w:spacing w:val="-5"/>
          <w:sz w:val="17"/>
        </w:rPr>
        <w:t xml:space="preserve"> </w:t>
      </w:r>
      <w:r>
        <w:rPr>
          <w:sz w:val="17"/>
        </w:rPr>
        <w:t>planteado</w:t>
      </w:r>
      <w:r>
        <w:rPr>
          <w:spacing w:val="-5"/>
          <w:sz w:val="17"/>
        </w:rPr>
        <w:t xml:space="preserve"> </w:t>
      </w:r>
      <w:r>
        <w:rPr>
          <w:sz w:val="17"/>
        </w:rPr>
        <w:t>–y</w:t>
      </w:r>
      <w:r>
        <w:rPr>
          <w:spacing w:val="-5"/>
          <w:sz w:val="17"/>
        </w:rPr>
        <w:t xml:space="preserve"> </w:t>
      </w:r>
      <w:r>
        <w:rPr>
          <w:sz w:val="17"/>
        </w:rPr>
        <w:t>sigue</w:t>
      </w:r>
      <w:r>
        <w:rPr>
          <w:spacing w:val="-5"/>
          <w:sz w:val="17"/>
        </w:rPr>
        <w:t xml:space="preserve"> </w:t>
      </w:r>
      <w:r>
        <w:rPr>
          <w:sz w:val="17"/>
        </w:rPr>
        <w:t>planteando–</w:t>
      </w:r>
      <w:r>
        <w:rPr>
          <w:spacing w:val="-5"/>
          <w:sz w:val="17"/>
        </w:rPr>
        <w:t xml:space="preserve"> </w:t>
      </w:r>
      <w:r>
        <w:rPr>
          <w:sz w:val="17"/>
        </w:rPr>
        <w:t>obstáculos</w:t>
      </w:r>
      <w:r>
        <w:rPr>
          <w:spacing w:val="-5"/>
          <w:sz w:val="17"/>
        </w:rPr>
        <w:t xml:space="preserve"> </w:t>
      </w:r>
      <w:r>
        <w:rPr>
          <w:sz w:val="17"/>
        </w:rPr>
        <w:t>particulares</w:t>
      </w:r>
      <w:r>
        <w:rPr>
          <w:spacing w:val="-5"/>
          <w:sz w:val="17"/>
        </w:rPr>
        <w:t xml:space="preserve"> </w:t>
      </w:r>
      <w:r>
        <w:rPr>
          <w:sz w:val="17"/>
        </w:rPr>
        <w:t xml:space="preserve">para </w:t>
      </w:r>
      <w:r>
        <w:rPr>
          <w:spacing w:val="-2"/>
          <w:sz w:val="17"/>
        </w:rPr>
        <w:t>abordarla.936</w:t>
      </w:r>
    </w:p>
    <w:p w14:paraId="24165A17" w14:textId="77777777" w:rsidR="0014798C" w:rsidRDefault="0014798C">
      <w:pPr>
        <w:pStyle w:val="Textoindependiente"/>
        <w:spacing w:before="88"/>
        <w:rPr>
          <w:sz w:val="17"/>
        </w:rPr>
      </w:pPr>
    </w:p>
    <w:p w14:paraId="088AFC8D" w14:textId="77777777" w:rsidR="0014798C" w:rsidRDefault="004E1F0B">
      <w:pPr>
        <w:pStyle w:val="Ttulo5"/>
        <w:numPr>
          <w:ilvl w:val="1"/>
          <w:numId w:val="25"/>
        </w:numPr>
        <w:tabs>
          <w:tab w:val="left" w:pos="1515"/>
          <w:tab w:val="left" w:pos="1520"/>
        </w:tabs>
        <w:spacing w:line="252" w:lineRule="auto"/>
        <w:ind w:right="2172" w:hanging="396"/>
        <w:rPr>
          <w:color w:val="803108"/>
        </w:rPr>
      </w:pPr>
      <w:r>
        <w:rPr>
          <w:color w:val="803108"/>
        </w:rPr>
        <w:tab/>
        <w:t>Comunidad,</w:t>
      </w:r>
      <w:r>
        <w:rPr>
          <w:color w:val="803108"/>
          <w:spacing w:val="-7"/>
        </w:rPr>
        <w:t xml:space="preserve"> </w:t>
      </w:r>
      <w:r>
        <w:rPr>
          <w:color w:val="803108"/>
        </w:rPr>
        <w:t>autonomía,</w:t>
      </w:r>
      <w:r>
        <w:rPr>
          <w:color w:val="803108"/>
          <w:spacing w:val="-8"/>
        </w:rPr>
        <w:t xml:space="preserve"> </w:t>
      </w:r>
      <w:r>
        <w:rPr>
          <w:color w:val="803108"/>
        </w:rPr>
        <w:t>igualdad</w:t>
      </w:r>
      <w:r>
        <w:rPr>
          <w:color w:val="803108"/>
          <w:spacing w:val="-9"/>
        </w:rPr>
        <w:t xml:space="preserve"> </w:t>
      </w:r>
      <w:r>
        <w:rPr>
          <w:color w:val="803108"/>
        </w:rPr>
        <w:t>y</w:t>
      </w:r>
      <w:r>
        <w:rPr>
          <w:color w:val="803108"/>
          <w:spacing w:val="-9"/>
        </w:rPr>
        <w:t xml:space="preserve"> </w:t>
      </w:r>
      <w:r>
        <w:rPr>
          <w:color w:val="803108"/>
        </w:rPr>
        <w:t>no</w:t>
      </w:r>
      <w:r>
        <w:rPr>
          <w:color w:val="803108"/>
          <w:spacing w:val="-9"/>
        </w:rPr>
        <w:t xml:space="preserve"> </w:t>
      </w:r>
      <w:r>
        <w:rPr>
          <w:color w:val="803108"/>
        </w:rPr>
        <w:t>discriminación</w:t>
      </w:r>
      <w:r>
        <w:rPr>
          <w:color w:val="803108"/>
          <w:spacing w:val="-9"/>
        </w:rPr>
        <w:t xml:space="preserve"> </w:t>
      </w:r>
      <w:r>
        <w:rPr>
          <w:color w:val="803108"/>
        </w:rPr>
        <w:t>y prácticas nocivas</w:t>
      </w:r>
    </w:p>
    <w:p w14:paraId="570758AE" w14:textId="77777777" w:rsidR="0014798C" w:rsidRDefault="004E1F0B">
      <w:pPr>
        <w:spacing w:before="170" w:line="307" w:lineRule="auto"/>
        <w:ind w:left="1106" w:right="1272"/>
        <w:rPr>
          <w:sz w:val="17"/>
        </w:rPr>
      </w:pPr>
      <w:r>
        <w:rPr>
          <w:sz w:val="17"/>
        </w:rPr>
        <w:t>El</w:t>
      </w:r>
      <w:r>
        <w:rPr>
          <w:spacing w:val="-1"/>
          <w:sz w:val="17"/>
        </w:rPr>
        <w:t xml:space="preserve"> </w:t>
      </w:r>
      <w:r>
        <w:rPr>
          <w:sz w:val="17"/>
        </w:rPr>
        <w:t>artículo</w:t>
      </w:r>
      <w:r>
        <w:rPr>
          <w:spacing w:val="-1"/>
          <w:sz w:val="17"/>
        </w:rPr>
        <w:t xml:space="preserve"> </w:t>
      </w:r>
      <w:r>
        <w:rPr>
          <w:sz w:val="17"/>
        </w:rPr>
        <w:t>27</w:t>
      </w:r>
      <w:r>
        <w:rPr>
          <w:spacing w:val="-1"/>
          <w:sz w:val="17"/>
        </w:rPr>
        <w:t xml:space="preserve"> </w:t>
      </w:r>
      <w:r>
        <w:rPr>
          <w:sz w:val="17"/>
        </w:rPr>
        <w:t>del</w:t>
      </w:r>
      <w:r>
        <w:rPr>
          <w:spacing w:val="-1"/>
          <w:sz w:val="17"/>
        </w:rPr>
        <w:t xml:space="preserve"> </w:t>
      </w:r>
      <w:r>
        <w:rPr>
          <w:sz w:val="17"/>
        </w:rPr>
        <w:t>Pacto</w:t>
      </w:r>
      <w:r>
        <w:rPr>
          <w:spacing w:val="-1"/>
          <w:sz w:val="17"/>
        </w:rPr>
        <w:t xml:space="preserve"> </w:t>
      </w:r>
      <w:r>
        <w:rPr>
          <w:sz w:val="17"/>
        </w:rPr>
        <w:t>Internacional</w:t>
      </w:r>
      <w:r>
        <w:rPr>
          <w:spacing w:val="-1"/>
          <w:sz w:val="17"/>
        </w:rPr>
        <w:t xml:space="preserve"> </w:t>
      </w:r>
      <w:r>
        <w:rPr>
          <w:sz w:val="17"/>
        </w:rPr>
        <w:t>de</w:t>
      </w:r>
      <w:r>
        <w:rPr>
          <w:spacing w:val="-1"/>
          <w:sz w:val="17"/>
        </w:rPr>
        <w:t xml:space="preserve"> </w:t>
      </w:r>
      <w:r>
        <w:rPr>
          <w:sz w:val="17"/>
        </w:rPr>
        <w:t>Derechos</w:t>
      </w:r>
      <w:r>
        <w:rPr>
          <w:spacing w:val="-1"/>
          <w:sz w:val="17"/>
        </w:rPr>
        <w:t xml:space="preserve"> </w:t>
      </w:r>
      <w:r>
        <w:rPr>
          <w:sz w:val="17"/>
        </w:rPr>
        <w:t>Civiles</w:t>
      </w:r>
      <w:r>
        <w:rPr>
          <w:spacing w:val="-1"/>
          <w:sz w:val="17"/>
        </w:rPr>
        <w:t xml:space="preserve"> </w:t>
      </w:r>
      <w:r>
        <w:rPr>
          <w:sz w:val="17"/>
        </w:rPr>
        <w:t>y</w:t>
      </w:r>
      <w:r>
        <w:rPr>
          <w:spacing w:val="-1"/>
          <w:sz w:val="17"/>
        </w:rPr>
        <w:t xml:space="preserve"> </w:t>
      </w:r>
      <w:r>
        <w:rPr>
          <w:sz w:val="17"/>
        </w:rPr>
        <w:t>Políticos</w:t>
      </w:r>
      <w:r>
        <w:rPr>
          <w:spacing w:val="-1"/>
          <w:sz w:val="17"/>
        </w:rPr>
        <w:t xml:space="preserve"> </w:t>
      </w:r>
      <w:r>
        <w:rPr>
          <w:sz w:val="17"/>
        </w:rPr>
        <w:t>establece</w:t>
      </w:r>
      <w:r>
        <w:rPr>
          <w:spacing w:val="-1"/>
          <w:sz w:val="17"/>
        </w:rPr>
        <w:t xml:space="preserve"> </w:t>
      </w:r>
      <w:r>
        <w:rPr>
          <w:sz w:val="17"/>
        </w:rPr>
        <w:t>que</w:t>
      </w:r>
      <w:r>
        <w:rPr>
          <w:spacing w:val="-1"/>
          <w:sz w:val="17"/>
        </w:rPr>
        <w:t xml:space="preserve"> </w:t>
      </w:r>
      <w:r>
        <w:rPr>
          <w:sz w:val="17"/>
        </w:rPr>
        <w:t>las</w:t>
      </w:r>
      <w:r>
        <w:rPr>
          <w:spacing w:val="-1"/>
          <w:sz w:val="17"/>
        </w:rPr>
        <w:t xml:space="preserve"> </w:t>
      </w:r>
      <w:r>
        <w:rPr>
          <w:sz w:val="17"/>
        </w:rPr>
        <w:t>minorías</w:t>
      </w:r>
      <w:r>
        <w:rPr>
          <w:spacing w:val="-1"/>
          <w:sz w:val="17"/>
        </w:rPr>
        <w:t xml:space="preserve"> </w:t>
      </w:r>
      <w:r>
        <w:rPr>
          <w:sz w:val="17"/>
        </w:rPr>
        <w:t>étnicas</w:t>
      </w:r>
      <w:r>
        <w:rPr>
          <w:spacing w:val="-1"/>
          <w:sz w:val="17"/>
        </w:rPr>
        <w:t xml:space="preserve"> </w:t>
      </w:r>
      <w:r>
        <w:rPr>
          <w:sz w:val="17"/>
        </w:rPr>
        <w:t>tienen</w:t>
      </w:r>
      <w:r>
        <w:rPr>
          <w:spacing w:val="-1"/>
          <w:sz w:val="17"/>
        </w:rPr>
        <w:t xml:space="preserve"> </w:t>
      </w:r>
      <w:r>
        <w:rPr>
          <w:sz w:val="17"/>
        </w:rPr>
        <w:t>derecho</w:t>
      </w:r>
      <w:r>
        <w:rPr>
          <w:spacing w:val="-1"/>
          <w:sz w:val="17"/>
        </w:rPr>
        <w:t xml:space="preserve"> </w:t>
      </w:r>
      <w:r>
        <w:rPr>
          <w:sz w:val="17"/>
        </w:rPr>
        <w:t>“en comunidad con los demás miembros de su grupo, a disfrutar de su propia cultura”. La legislación y la jurisprudencia a nivel regional</w:t>
      </w:r>
      <w:r>
        <w:rPr>
          <w:spacing w:val="-4"/>
          <w:sz w:val="17"/>
        </w:rPr>
        <w:t xml:space="preserve"> </w:t>
      </w:r>
      <w:r>
        <w:rPr>
          <w:sz w:val="17"/>
        </w:rPr>
        <w:t>y</w:t>
      </w:r>
      <w:r>
        <w:rPr>
          <w:spacing w:val="-4"/>
          <w:sz w:val="17"/>
        </w:rPr>
        <w:t xml:space="preserve"> </w:t>
      </w:r>
      <w:r>
        <w:rPr>
          <w:sz w:val="17"/>
        </w:rPr>
        <w:t>nacional</w:t>
      </w:r>
      <w:r>
        <w:rPr>
          <w:spacing w:val="-4"/>
          <w:sz w:val="17"/>
        </w:rPr>
        <w:t xml:space="preserve"> </w:t>
      </w:r>
      <w:r>
        <w:rPr>
          <w:sz w:val="17"/>
        </w:rPr>
        <w:t>han</w:t>
      </w:r>
      <w:r>
        <w:rPr>
          <w:spacing w:val="-4"/>
          <w:sz w:val="17"/>
        </w:rPr>
        <w:t xml:space="preserve"> </w:t>
      </w:r>
      <w:r>
        <w:rPr>
          <w:sz w:val="17"/>
        </w:rPr>
        <w:t>desarrollado</w:t>
      </w:r>
      <w:r>
        <w:rPr>
          <w:spacing w:val="-4"/>
          <w:sz w:val="17"/>
        </w:rPr>
        <w:t xml:space="preserve"> </w:t>
      </w:r>
      <w:r>
        <w:rPr>
          <w:sz w:val="17"/>
        </w:rPr>
        <w:t>el</w:t>
      </w:r>
      <w:r>
        <w:rPr>
          <w:spacing w:val="-4"/>
          <w:sz w:val="17"/>
        </w:rPr>
        <w:t xml:space="preserve"> </w:t>
      </w:r>
      <w:r>
        <w:rPr>
          <w:sz w:val="17"/>
        </w:rPr>
        <w:t>contenido</w:t>
      </w:r>
      <w:r>
        <w:rPr>
          <w:spacing w:val="-4"/>
          <w:sz w:val="17"/>
        </w:rPr>
        <w:t xml:space="preserve"> </w:t>
      </w:r>
      <w:r>
        <w:rPr>
          <w:sz w:val="17"/>
        </w:rPr>
        <w:t>de</w:t>
      </w:r>
      <w:r>
        <w:rPr>
          <w:spacing w:val="-4"/>
          <w:sz w:val="17"/>
        </w:rPr>
        <w:t xml:space="preserve"> </w:t>
      </w:r>
      <w:r>
        <w:rPr>
          <w:sz w:val="17"/>
        </w:rPr>
        <w:t>este</w:t>
      </w:r>
      <w:r>
        <w:rPr>
          <w:spacing w:val="-4"/>
          <w:sz w:val="17"/>
        </w:rPr>
        <w:t xml:space="preserve"> </w:t>
      </w:r>
      <w:r>
        <w:rPr>
          <w:sz w:val="17"/>
        </w:rPr>
        <w:t>aspecto</w:t>
      </w:r>
      <w:r>
        <w:rPr>
          <w:spacing w:val="-4"/>
          <w:sz w:val="17"/>
        </w:rPr>
        <w:t xml:space="preserve"> </w:t>
      </w:r>
      <w:r>
        <w:rPr>
          <w:sz w:val="17"/>
        </w:rPr>
        <w:t>colectivo</w:t>
      </w:r>
      <w:r>
        <w:rPr>
          <w:spacing w:val="-4"/>
          <w:sz w:val="17"/>
        </w:rPr>
        <w:t xml:space="preserve"> </w:t>
      </w:r>
      <w:r>
        <w:rPr>
          <w:sz w:val="17"/>
        </w:rPr>
        <w:t>de</w:t>
      </w:r>
      <w:r>
        <w:rPr>
          <w:spacing w:val="-4"/>
          <w:sz w:val="17"/>
        </w:rPr>
        <w:t xml:space="preserve"> </w:t>
      </w:r>
      <w:r>
        <w:rPr>
          <w:sz w:val="17"/>
        </w:rPr>
        <w:t>los</w:t>
      </w:r>
      <w:r>
        <w:rPr>
          <w:spacing w:val="-4"/>
          <w:sz w:val="17"/>
        </w:rPr>
        <w:t xml:space="preserve"> </w:t>
      </w:r>
      <w:r>
        <w:rPr>
          <w:sz w:val="17"/>
        </w:rPr>
        <w:t>derechos</w:t>
      </w:r>
      <w:r>
        <w:rPr>
          <w:spacing w:val="-4"/>
          <w:sz w:val="17"/>
        </w:rPr>
        <w:t xml:space="preserve"> </w:t>
      </w:r>
      <w:r>
        <w:rPr>
          <w:sz w:val="17"/>
        </w:rPr>
        <w:t>de</w:t>
      </w:r>
      <w:r>
        <w:rPr>
          <w:spacing w:val="-4"/>
          <w:sz w:val="17"/>
        </w:rPr>
        <w:t xml:space="preserve"> </w:t>
      </w:r>
      <w:r>
        <w:rPr>
          <w:sz w:val="17"/>
        </w:rPr>
        <w:t>las</w:t>
      </w:r>
      <w:r>
        <w:rPr>
          <w:spacing w:val="-4"/>
          <w:sz w:val="17"/>
        </w:rPr>
        <w:t xml:space="preserve"> </w:t>
      </w:r>
      <w:r>
        <w:rPr>
          <w:sz w:val="17"/>
        </w:rPr>
        <w:t>minorías</w:t>
      </w:r>
      <w:r>
        <w:rPr>
          <w:spacing w:val="-4"/>
          <w:sz w:val="17"/>
        </w:rPr>
        <w:t xml:space="preserve"> </w:t>
      </w:r>
      <w:r>
        <w:rPr>
          <w:sz w:val="17"/>
        </w:rPr>
        <w:t>y</w:t>
      </w:r>
      <w:r>
        <w:rPr>
          <w:spacing w:val="-4"/>
          <w:sz w:val="17"/>
        </w:rPr>
        <w:t xml:space="preserve"> </w:t>
      </w:r>
      <w:r>
        <w:rPr>
          <w:sz w:val="17"/>
        </w:rPr>
        <w:t>su</w:t>
      </w:r>
      <w:r>
        <w:rPr>
          <w:spacing w:val="-4"/>
          <w:sz w:val="17"/>
        </w:rPr>
        <w:t xml:space="preserve"> </w:t>
      </w:r>
      <w:r>
        <w:rPr>
          <w:sz w:val="17"/>
        </w:rPr>
        <w:t>interacción con el derecho a la no discriminación.</w:t>
      </w:r>
    </w:p>
    <w:p w14:paraId="4FE1F289" w14:textId="77777777" w:rsidR="0014798C" w:rsidRDefault="004E1F0B">
      <w:pPr>
        <w:spacing w:before="168" w:line="307" w:lineRule="auto"/>
        <w:ind w:left="1107" w:right="1272" w:firstLine="2"/>
        <w:rPr>
          <w:sz w:val="17"/>
        </w:rPr>
      </w:pPr>
      <w:r>
        <w:rPr>
          <w:sz w:val="17"/>
        </w:rPr>
        <w:t>Por ejemplo, la Corte Interamericana de Derechos Humanos ha elaborado la protección de los derechos de propiedad colectiva</w:t>
      </w:r>
      <w:r>
        <w:rPr>
          <w:spacing w:val="-5"/>
          <w:sz w:val="17"/>
        </w:rPr>
        <w:t xml:space="preserve"> </w:t>
      </w:r>
      <w:r>
        <w:rPr>
          <w:sz w:val="17"/>
        </w:rPr>
        <w:t>que</w:t>
      </w:r>
      <w:r>
        <w:rPr>
          <w:spacing w:val="-5"/>
          <w:sz w:val="17"/>
        </w:rPr>
        <w:t xml:space="preserve"> </w:t>
      </w:r>
      <w:r>
        <w:rPr>
          <w:sz w:val="17"/>
        </w:rPr>
        <w:t>se</w:t>
      </w:r>
      <w:r>
        <w:rPr>
          <w:spacing w:val="-5"/>
          <w:sz w:val="17"/>
        </w:rPr>
        <w:t xml:space="preserve"> </w:t>
      </w:r>
      <w:r>
        <w:rPr>
          <w:sz w:val="17"/>
        </w:rPr>
        <w:t>extienden</w:t>
      </w:r>
      <w:r>
        <w:rPr>
          <w:spacing w:val="-5"/>
          <w:sz w:val="17"/>
        </w:rPr>
        <w:t xml:space="preserve"> </w:t>
      </w:r>
      <w:r>
        <w:rPr>
          <w:sz w:val="17"/>
        </w:rPr>
        <w:t>a</w:t>
      </w:r>
      <w:r>
        <w:rPr>
          <w:spacing w:val="-5"/>
          <w:sz w:val="17"/>
        </w:rPr>
        <w:t xml:space="preserve"> </w:t>
      </w:r>
      <w:r>
        <w:rPr>
          <w:sz w:val="17"/>
        </w:rPr>
        <w:t>las</w:t>
      </w:r>
      <w:r>
        <w:rPr>
          <w:spacing w:val="-5"/>
          <w:sz w:val="17"/>
        </w:rPr>
        <w:t xml:space="preserve"> </w:t>
      </w:r>
      <w:r>
        <w:rPr>
          <w:sz w:val="17"/>
        </w:rPr>
        <w:t>poblaciones</w:t>
      </w:r>
      <w:r>
        <w:rPr>
          <w:spacing w:val="-5"/>
          <w:sz w:val="17"/>
        </w:rPr>
        <w:t xml:space="preserve"> </w:t>
      </w:r>
      <w:r>
        <w:rPr>
          <w:sz w:val="17"/>
        </w:rPr>
        <w:t>afrodescendientes,</w:t>
      </w:r>
      <w:r>
        <w:rPr>
          <w:spacing w:val="-3"/>
          <w:sz w:val="17"/>
        </w:rPr>
        <w:t xml:space="preserve"> </w:t>
      </w:r>
      <w:r>
        <w:rPr>
          <w:sz w:val="17"/>
        </w:rPr>
        <w:t>como</w:t>
      </w:r>
      <w:r>
        <w:rPr>
          <w:spacing w:val="-5"/>
          <w:sz w:val="17"/>
        </w:rPr>
        <w:t xml:space="preserve"> </w:t>
      </w:r>
      <w:r>
        <w:rPr>
          <w:sz w:val="17"/>
        </w:rPr>
        <w:t>lo</w:t>
      </w:r>
      <w:r>
        <w:rPr>
          <w:spacing w:val="-5"/>
          <w:sz w:val="17"/>
        </w:rPr>
        <w:t xml:space="preserve"> </w:t>
      </w:r>
      <w:r>
        <w:rPr>
          <w:sz w:val="17"/>
        </w:rPr>
        <w:t>indica</w:t>
      </w:r>
      <w:r>
        <w:rPr>
          <w:spacing w:val="-5"/>
          <w:sz w:val="17"/>
        </w:rPr>
        <w:t xml:space="preserve"> </w:t>
      </w:r>
      <w:r>
        <w:rPr>
          <w:sz w:val="17"/>
        </w:rPr>
        <w:t>su</w:t>
      </w:r>
      <w:r>
        <w:rPr>
          <w:spacing w:val="-5"/>
          <w:sz w:val="17"/>
        </w:rPr>
        <w:t xml:space="preserve"> </w:t>
      </w:r>
      <w:r>
        <w:rPr>
          <w:sz w:val="17"/>
        </w:rPr>
        <w:t>jurisprudencia</w:t>
      </w:r>
      <w:r>
        <w:rPr>
          <w:spacing w:val="-5"/>
          <w:sz w:val="17"/>
        </w:rPr>
        <w:t xml:space="preserve"> </w:t>
      </w:r>
      <w:r>
        <w:rPr>
          <w:sz w:val="17"/>
        </w:rPr>
        <w:t>en</w:t>
      </w:r>
      <w:r>
        <w:rPr>
          <w:spacing w:val="-5"/>
          <w:sz w:val="17"/>
        </w:rPr>
        <w:t xml:space="preserve"> </w:t>
      </w:r>
      <w:r>
        <w:rPr>
          <w:sz w:val="17"/>
        </w:rPr>
        <w:t>el</w:t>
      </w:r>
      <w:r>
        <w:rPr>
          <w:spacing w:val="-5"/>
          <w:sz w:val="17"/>
        </w:rPr>
        <w:t xml:space="preserve"> </w:t>
      </w:r>
      <w:r>
        <w:rPr>
          <w:sz w:val="17"/>
        </w:rPr>
        <w:t>caso</w:t>
      </w:r>
      <w:r>
        <w:rPr>
          <w:spacing w:val="-5"/>
          <w:sz w:val="17"/>
        </w:rPr>
        <w:t xml:space="preserve"> </w:t>
      </w:r>
      <w:r>
        <w:rPr>
          <w:sz w:val="17"/>
        </w:rPr>
        <w:t xml:space="preserve">Comunidad </w:t>
      </w:r>
      <w:proofErr w:type="spellStart"/>
      <w:r>
        <w:rPr>
          <w:sz w:val="17"/>
        </w:rPr>
        <w:t>Moiwana</w:t>
      </w:r>
      <w:proofErr w:type="spellEnd"/>
      <w:r>
        <w:rPr>
          <w:sz w:val="17"/>
        </w:rPr>
        <w:t xml:space="preserve"> v. Surinam.937 De hecho, esto refleja el hecho de que la Corte ha elaborado progresivamente más sobre la protección de las comunidades afrodescendientes y su condición de pueblos tribales.938</w:t>
      </w:r>
    </w:p>
    <w:p w14:paraId="2A225E1E" w14:textId="77777777" w:rsidR="0014798C" w:rsidRDefault="004E1F0B">
      <w:pPr>
        <w:spacing w:before="168" w:line="307" w:lineRule="auto"/>
        <w:ind w:left="1107" w:right="1272" w:hanging="1"/>
        <w:rPr>
          <w:sz w:val="17"/>
        </w:rPr>
      </w:pPr>
      <w:r>
        <w:rPr>
          <w:sz w:val="17"/>
        </w:rPr>
        <w:t>El Tribunal Europeo de Derechos Humanos ha sostenido que existe “una obligación positiva impuesta a los Estados contratantes...</w:t>
      </w:r>
      <w:r>
        <w:rPr>
          <w:spacing w:val="-3"/>
          <w:sz w:val="17"/>
        </w:rPr>
        <w:t xml:space="preserve"> </w:t>
      </w:r>
      <w:r>
        <w:rPr>
          <w:sz w:val="17"/>
        </w:rPr>
        <w:t>de</w:t>
      </w:r>
      <w:r>
        <w:rPr>
          <w:spacing w:val="-4"/>
          <w:sz w:val="17"/>
        </w:rPr>
        <w:t xml:space="preserve"> </w:t>
      </w:r>
      <w:r>
        <w:rPr>
          <w:sz w:val="17"/>
        </w:rPr>
        <w:t>facilitar</w:t>
      </w:r>
      <w:r>
        <w:rPr>
          <w:spacing w:val="-4"/>
          <w:sz w:val="17"/>
        </w:rPr>
        <w:t xml:space="preserve"> </w:t>
      </w:r>
      <w:r>
        <w:rPr>
          <w:sz w:val="17"/>
        </w:rPr>
        <w:t>el</w:t>
      </w:r>
      <w:r>
        <w:rPr>
          <w:spacing w:val="-4"/>
          <w:sz w:val="17"/>
        </w:rPr>
        <w:t xml:space="preserve"> </w:t>
      </w:r>
      <w:r>
        <w:rPr>
          <w:sz w:val="17"/>
        </w:rPr>
        <w:t>modo</w:t>
      </w:r>
      <w:r>
        <w:rPr>
          <w:spacing w:val="-4"/>
          <w:sz w:val="17"/>
        </w:rPr>
        <w:t xml:space="preserve"> </w:t>
      </w:r>
      <w:r>
        <w:rPr>
          <w:sz w:val="17"/>
        </w:rPr>
        <w:t>de</w:t>
      </w:r>
      <w:r>
        <w:rPr>
          <w:spacing w:val="-4"/>
          <w:sz w:val="17"/>
        </w:rPr>
        <w:t xml:space="preserve"> </w:t>
      </w:r>
      <w:r>
        <w:rPr>
          <w:sz w:val="17"/>
        </w:rPr>
        <w:t>vida</w:t>
      </w:r>
      <w:r>
        <w:rPr>
          <w:spacing w:val="-4"/>
          <w:sz w:val="17"/>
        </w:rPr>
        <w:t xml:space="preserve"> </w:t>
      </w:r>
      <w:r>
        <w:rPr>
          <w:sz w:val="17"/>
        </w:rPr>
        <w:t>de</w:t>
      </w:r>
      <w:r>
        <w:rPr>
          <w:spacing w:val="-4"/>
          <w:sz w:val="17"/>
        </w:rPr>
        <w:t xml:space="preserve"> </w:t>
      </w:r>
      <w:r>
        <w:rPr>
          <w:sz w:val="17"/>
        </w:rPr>
        <w:t>los</w:t>
      </w:r>
      <w:r>
        <w:rPr>
          <w:spacing w:val="-4"/>
          <w:sz w:val="17"/>
        </w:rPr>
        <w:t xml:space="preserve"> </w:t>
      </w:r>
      <w:r>
        <w:rPr>
          <w:sz w:val="17"/>
        </w:rPr>
        <w:t>gitanos”939</w:t>
      </w:r>
      <w:r>
        <w:rPr>
          <w:spacing w:val="-4"/>
          <w:sz w:val="17"/>
        </w:rPr>
        <w:t xml:space="preserve"> </w:t>
      </w:r>
      <w:r>
        <w:rPr>
          <w:sz w:val="17"/>
        </w:rPr>
        <w:t>y</w:t>
      </w:r>
      <w:r>
        <w:rPr>
          <w:spacing w:val="-4"/>
          <w:sz w:val="17"/>
        </w:rPr>
        <w:t xml:space="preserve"> </w:t>
      </w:r>
      <w:r>
        <w:rPr>
          <w:sz w:val="17"/>
        </w:rPr>
        <w:t>que</w:t>
      </w:r>
      <w:r>
        <w:rPr>
          <w:spacing w:val="-4"/>
          <w:sz w:val="17"/>
        </w:rPr>
        <w:t xml:space="preserve"> </w:t>
      </w:r>
      <w:r>
        <w:rPr>
          <w:sz w:val="17"/>
        </w:rPr>
        <w:t>“la</w:t>
      </w:r>
      <w:r>
        <w:rPr>
          <w:spacing w:val="-4"/>
          <w:sz w:val="17"/>
        </w:rPr>
        <w:t xml:space="preserve"> </w:t>
      </w:r>
      <w:r>
        <w:rPr>
          <w:sz w:val="17"/>
        </w:rPr>
        <w:t>posición</w:t>
      </w:r>
      <w:r>
        <w:rPr>
          <w:spacing w:val="-4"/>
          <w:sz w:val="17"/>
        </w:rPr>
        <w:t xml:space="preserve"> </w:t>
      </w:r>
      <w:r>
        <w:rPr>
          <w:sz w:val="17"/>
        </w:rPr>
        <w:t>vulnerable</w:t>
      </w:r>
      <w:r>
        <w:rPr>
          <w:spacing w:val="-4"/>
          <w:sz w:val="17"/>
        </w:rPr>
        <w:t xml:space="preserve"> </w:t>
      </w:r>
      <w:r>
        <w:rPr>
          <w:sz w:val="17"/>
        </w:rPr>
        <w:t>de</w:t>
      </w:r>
      <w:r>
        <w:rPr>
          <w:spacing w:val="-4"/>
          <w:sz w:val="17"/>
        </w:rPr>
        <w:t xml:space="preserve"> </w:t>
      </w:r>
      <w:r>
        <w:rPr>
          <w:sz w:val="17"/>
        </w:rPr>
        <w:t>los</w:t>
      </w:r>
      <w:r>
        <w:rPr>
          <w:spacing w:val="-4"/>
          <w:sz w:val="17"/>
        </w:rPr>
        <w:t xml:space="preserve"> </w:t>
      </w:r>
      <w:r>
        <w:rPr>
          <w:sz w:val="17"/>
        </w:rPr>
        <w:t>romaníes/gitanos</w:t>
      </w:r>
      <w:r>
        <w:rPr>
          <w:spacing w:val="-4"/>
          <w:sz w:val="17"/>
        </w:rPr>
        <w:t xml:space="preserve"> </w:t>
      </w:r>
      <w:r>
        <w:rPr>
          <w:sz w:val="17"/>
        </w:rPr>
        <w:t>significa que se debe prestar especial atención a sus necesidades”. ”.940 En el caso Muñoz Díaz c. España, la Corte sostuvo que España había violado el derecho a la no discriminación cuando a una mujer gitana se le había negado una pensión de viudedad</w:t>
      </w:r>
      <w:r>
        <w:rPr>
          <w:spacing w:val="-2"/>
          <w:sz w:val="17"/>
        </w:rPr>
        <w:t xml:space="preserve"> </w:t>
      </w:r>
      <w:r>
        <w:rPr>
          <w:sz w:val="17"/>
        </w:rPr>
        <w:t>porque</w:t>
      </w:r>
      <w:r>
        <w:rPr>
          <w:spacing w:val="-2"/>
          <w:sz w:val="17"/>
        </w:rPr>
        <w:t xml:space="preserve"> </w:t>
      </w:r>
      <w:r>
        <w:rPr>
          <w:sz w:val="17"/>
        </w:rPr>
        <w:t>nunca</w:t>
      </w:r>
      <w:r>
        <w:rPr>
          <w:spacing w:val="-2"/>
          <w:sz w:val="17"/>
        </w:rPr>
        <w:t xml:space="preserve"> </w:t>
      </w:r>
      <w:r>
        <w:rPr>
          <w:sz w:val="17"/>
        </w:rPr>
        <w:t>había</w:t>
      </w:r>
      <w:r>
        <w:rPr>
          <w:spacing w:val="-2"/>
          <w:sz w:val="17"/>
        </w:rPr>
        <w:t xml:space="preserve"> </w:t>
      </w:r>
      <w:r>
        <w:rPr>
          <w:sz w:val="17"/>
        </w:rPr>
        <w:t>sido</w:t>
      </w:r>
      <w:r>
        <w:rPr>
          <w:spacing w:val="-2"/>
          <w:sz w:val="17"/>
        </w:rPr>
        <w:t xml:space="preserve"> </w:t>
      </w:r>
      <w:r>
        <w:rPr>
          <w:sz w:val="17"/>
        </w:rPr>
        <w:t>reconocida</w:t>
      </w:r>
      <w:r>
        <w:rPr>
          <w:spacing w:val="-2"/>
          <w:sz w:val="17"/>
        </w:rPr>
        <w:t xml:space="preserve"> </w:t>
      </w:r>
      <w:r>
        <w:rPr>
          <w:sz w:val="17"/>
        </w:rPr>
        <w:t>formalmente</w:t>
      </w:r>
      <w:r>
        <w:rPr>
          <w:spacing w:val="-2"/>
          <w:sz w:val="17"/>
        </w:rPr>
        <w:t xml:space="preserve"> </w:t>
      </w:r>
      <w:r>
        <w:rPr>
          <w:sz w:val="17"/>
        </w:rPr>
        <w:t>como</w:t>
      </w:r>
      <w:r>
        <w:rPr>
          <w:spacing w:val="-2"/>
          <w:sz w:val="17"/>
        </w:rPr>
        <w:t xml:space="preserve"> </w:t>
      </w:r>
      <w:r>
        <w:rPr>
          <w:sz w:val="17"/>
        </w:rPr>
        <w:t>casada</w:t>
      </w:r>
      <w:r>
        <w:rPr>
          <w:spacing w:val="-2"/>
          <w:sz w:val="17"/>
        </w:rPr>
        <w:t xml:space="preserve"> </w:t>
      </w:r>
      <w:r>
        <w:rPr>
          <w:sz w:val="17"/>
        </w:rPr>
        <w:t>ante</w:t>
      </w:r>
      <w:r>
        <w:rPr>
          <w:spacing w:val="-2"/>
          <w:sz w:val="17"/>
        </w:rPr>
        <w:t xml:space="preserve"> </w:t>
      </w:r>
      <w:r>
        <w:rPr>
          <w:sz w:val="17"/>
        </w:rPr>
        <w:t>las</w:t>
      </w:r>
      <w:r>
        <w:rPr>
          <w:spacing w:val="-2"/>
          <w:sz w:val="17"/>
        </w:rPr>
        <w:t xml:space="preserve"> </w:t>
      </w:r>
      <w:r>
        <w:rPr>
          <w:sz w:val="17"/>
        </w:rPr>
        <w:t>autoridades</w:t>
      </w:r>
      <w:r>
        <w:rPr>
          <w:spacing w:val="-2"/>
          <w:sz w:val="17"/>
        </w:rPr>
        <w:t xml:space="preserve"> </w:t>
      </w:r>
      <w:r>
        <w:rPr>
          <w:sz w:val="17"/>
        </w:rPr>
        <w:t>civiles</w:t>
      </w:r>
      <w:r>
        <w:rPr>
          <w:spacing w:val="-2"/>
          <w:sz w:val="17"/>
        </w:rPr>
        <w:t xml:space="preserve"> </w:t>
      </w:r>
      <w:r>
        <w:rPr>
          <w:sz w:val="17"/>
        </w:rPr>
        <w:t>españolas</w:t>
      </w:r>
      <w:proofErr w:type="gramStart"/>
      <w:r>
        <w:rPr>
          <w:sz w:val="17"/>
        </w:rPr>
        <w:t>.</w:t>
      </w:r>
      <w:r>
        <w:rPr>
          <w:spacing w:val="-2"/>
          <w:sz w:val="17"/>
        </w:rPr>
        <w:t xml:space="preserve"> </w:t>
      </w:r>
      <w:r>
        <w:rPr>
          <w:sz w:val="17"/>
        </w:rPr>
        <w:t>.</w:t>
      </w:r>
      <w:proofErr w:type="gramEnd"/>
      <w:r>
        <w:rPr>
          <w:spacing w:val="-1"/>
          <w:sz w:val="17"/>
        </w:rPr>
        <w:t xml:space="preserve"> </w:t>
      </w:r>
      <w:r>
        <w:rPr>
          <w:sz w:val="17"/>
        </w:rPr>
        <w:t xml:space="preserve">Sostuvo que su matrimonio bajo las tradiciones romaníes con su ahora fallecido esposo había sido tratado por las autoridades españolas como “una relación más </w:t>
      </w:r>
      <w:proofErr w:type="spellStart"/>
      <w:proofErr w:type="gramStart"/>
      <w:r>
        <w:rPr>
          <w:sz w:val="17"/>
        </w:rPr>
        <w:t>uxorio</w:t>
      </w:r>
      <w:proofErr w:type="spellEnd"/>
      <w:r>
        <w:rPr>
          <w:sz w:val="17"/>
        </w:rPr>
        <w:t xml:space="preserve"> ,</w:t>
      </w:r>
      <w:proofErr w:type="gramEnd"/>
      <w:r>
        <w:rPr>
          <w:sz w:val="17"/>
        </w:rPr>
        <w:t xml:space="preserve"> una mera relación matrimonial de </w:t>
      </w:r>
      <w:proofErr w:type="gramStart"/>
      <w:r>
        <w:rPr>
          <w:sz w:val="17"/>
        </w:rPr>
        <w:t>facto ”</w:t>
      </w:r>
      <w:proofErr w:type="gramEnd"/>
      <w:r>
        <w:rPr>
          <w:sz w:val="17"/>
        </w:rPr>
        <w:t>.941 El Tribunal falló</w:t>
      </w:r>
    </w:p>
    <w:p w14:paraId="03817167" w14:textId="77777777" w:rsidR="0014798C" w:rsidRDefault="0014798C">
      <w:pPr>
        <w:pStyle w:val="Textoindependiente"/>
        <w:rPr>
          <w:sz w:val="11"/>
        </w:rPr>
      </w:pPr>
    </w:p>
    <w:p w14:paraId="17E8415B" w14:textId="77777777" w:rsidR="0014798C" w:rsidRDefault="0014798C">
      <w:pPr>
        <w:pStyle w:val="Textoindependiente"/>
        <w:rPr>
          <w:sz w:val="11"/>
        </w:rPr>
      </w:pPr>
    </w:p>
    <w:p w14:paraId="441FF7BB" w14:textId="77777777" w:rsidR="0014798C" w:rsidRDefault="0014798C">
      <w:pPr>
        <w:pStyle w:val="Textoindependiente"/>
        <w:rPr>
          <w:sz w:val="11"/>
        </w:rPr>
      </w:pPr>
    </w:p>
    <w:p w14:paraId="196F9934" w14:textId="77777777" w:rsidR="0014798C" w:rsidRDefault="0014798C">
      <w:pPr>
        <w:pStyle w:val="Textoindependiente"/>
        <w:rPr>
          <w:sz w:val="11"/>
        </w:rPr>
      </w:pPr>
    </w:p>
    <w:p w14:paraId="69551251" w14:textId="77777777" w:rsidR="0014798C" w:rsidRDefault="0014798C">
      <w:pPr>
        <w:pStyle w:val="Textoindependiente"/>
        <w:spacing w:before="26"/>
        <w:rPr>
          <w:sz w:val="11"/>
        </w:rPr>
      </w:pPr>
    </w:p>
    <w:p w14:paraId="7FAC90A1" w14:textId="77777777" w:rsidR="0014798C" w:rsidRDefault="004E1F0B">
      <w:pPr>
        <w:spacing w:line="340" w:lineRule="auto"/>
        <w:ind w:left="1366" w:right="1626" w:hanging="259"/>
        <w:rPr>
          <w:sz w:val="11"/>
        </w:rPr>
      </w:pPr>
      <w:r>
        <w:rPr>
          <w:sz w:val="11"/>
        </w:rPr>
        <w:t>933 Corte Interamericana de Derechos Humanos, Masacres de Río Negro vs. Guatemala, Caso No. 12.649, Informe No. 87/10, 30 de noviembre de 2010, párr. 357. Véase también</w:t>
      </w:r>
      <w:r>
        <w:rPr>
          <w:spacing w:val="40"/>
          <w:sz w:val="11"/>
        </w:rPr>
        <w:t xml:space="preserve"> </w:t>
      </w:r>
      <w:r>
        <w:rPr>
          <w:sz w:val="11"/>
        </w:rPr>
        <w:t xml:space="preserve">Comisión Interamericana de Derechos Humanos, Pueblo Indígena Kuna de </w:t>
      </w:r>
      <w:proofErr w:type="spellStart"/>
      <w:r>
        <w:rPr>
          <w:sz w:val="11"/>
        </w:rPr>
        <w:t>Madungandi</w:t>
      </w:r>
      <w:proofErr w:type="spellEnd"/>
      <w:r>
        <w:rPr>
          <w:sz w:val="11"/>
        </w:rPr>
        <w:t xml:space="preserve"> y Pueblo Indígena </w:t>
      </w:r>
      <w:proofErr w:type="spellStart"/>
      <w:r>
        <w:rPr>
          <w:sz w:val="11"/>
        </w:rPr>
        <w:t>Embera</w:t>
      </w:r>
      <w:proofErr w:type="spellEnd"/>
      <w:r>
        <w:rPr>
          <w:sz w:val="11"/>
        </w:rPr>
        <w:t xml:space="preserve"> de Bayano y sus miembros vs. Panamá, Caso 12.354,</w:t>
      </w:r>
      <w:r>
        <w:rPr>
          <w:spacing w:val="40"/>
          <w:sz w:val="11"/>
        </w:rPr>
        <w:t xml:space="preserve"> </w:t>
      </w:r>
      <w:r>
        <w:rPr>
          <w:sz w:val="11"/>
        </w:rPr>
        <w:t xml:space="preserve">Informe No. 125/12, 13 de noviembre de 2012, </w:t>
      </w:r>
      <w:proofErr w:type="spellStart"/>
      <w:r>
        <w:rPr>
          <w:sz w:val="11"/>
        </w:rPr>
        <w:t>párrs</w:t>
      </w:r>
      <w:proofErr w:type="spellEnd"/>
      <w:r>
        <w:rPr>
          <w:sz w:val="11"/>
        </w:rPr>
        <w:t>. 286–288.</w:t>
      </w:r>
    </w:p>
    <w:p w14:paraId="1A355D36" w14:textId="77777777" w:rsidR="0014798C" w:rsidRDefault="004E1F0B">
      <w:pPr>
        <w:spacing w:before="57" w:line="340" w:lineRule="auto"/>
        <w:ind w:left="1375" w:right="2880" w:hanging="269"/>
        <w:rPr>
          <w:sz w:val="11"/>
        </w:rPr>
      </w:pPr>
      <w:r>
        <w:rPr>
          <w:sz w:val="11"/>
        </w:rPr>
        <w:t>934 Comisión Interamericana de Derechos Humanos, Acceso a la justicia para mujeres víctimas de violencia en las Américas (OEA/</w:t>
      </w:r>
      <w:proofErr w:type="spellStart"/>
      <w:r>
        <w:rPr>
          <w:sz w:val="11"/>
        </w:rPr>
        <w:t>Ser.L</w:t>
      </w:r>
      <w:proofErr w:type="spellEnd"/>
      <w:r>
        <w:rPr>
          <w:sz w:val="11"/>
        </w:rPr>
        <w:t>/V/II, Doc. 68)</w:t>
      </w:r>
      <w:r>
        <w:rPr>
          <w:spacing w:val="40"/>
          <w:sz w:val="11"/>
        </w:rPr>
        <w:t xml:space="preserve"> </w:t>
      </w:r>
      <w:r>
        <w:rPr>
          <w:sz w:val="11"/>
        </w:rPr>
        <w:t>(2007), párr. 196.</w:t>
      </w:r>
    </w:p>
    <w:p w14:paraId="0C45A9AD" w14:textId="77777777" w:rsidR="0014798C" w:rsidRDefault="004E1F0B">
      <w:pPr>
        <w:spacing w:before="57" w:line="340" w:lineRule="auto"/>
        <w:ind w:left="1369" w:right="1463" w:hanging="263"/>
        <w:rPr>
          <w:sz w:val="11"/>
        </w:rPr>
      </w:pPr>
      <w:r>
        <w:rPr>
          <w:sz w:val="11"/>
        </w:rPr>
        <w:t>935 Red de las Naciones Unidas sobre discriminación racial y protección de las minorías, “Aportes al seguimiento del llamado a la acción del Secretario General: agenda para la</w:t>
      </w:r>
      <w:r>
        <w:rPr>
          <w:spacing w:val="40"/>
          <w:sz w:val="11"/>
        </w:rPr>
        <w:t xml:space="preserve"> </w:t>
      </w:r>
      <w:r>
        <w:rPr>
          <w:sz w:val="11"/>
        </w:rPr>
        <w:t xml:space="preserve">protección” (2021), págs. Disponible en </w:t>
      </w:r>
      <w:hyperlink r:id="rId265">
        <w:r>
          <w:rPr>
            <w:color w:val="0075BF"/>
            <w:sz w:val="11"/>
          </w:rPr>
          <w:t>www.ohchr.org/Documents/Issues/Minorities/UN_Network_Racial_Discrimination_</w:t>
        </w:r>
      </w:hyperlink>
    </w:p>
    <w:p w14:paraId="678B0925" w14:textId="77777777" w:rsidR="0014798C" w:rsidRDefault="004E1F0B">
      <w:pPr>
        <w:ind w:left="1366"/>
        <w:rPr>
          <w:sz w:val="11"/>
        </w:rPr>
      </w:pPr>
      <w:r>
        <w:rPr>
          <w:color w:val="0075BF"/>
          <w:spacing w:val="-2"/>
          <w:sz w:val="11"/>
        </w:rPr>
        <w:t>Derechos_de_minorías.pdf.</w:t>
      </w:r>
    </w:p>
    <w:p w14:paraId="5BEAAC3A" w14:textId="77777777" w:rsidR="0014798C" w:rsidRDefault="004E1F0B">
      <w:pPr>
        <w:spacing w:before="110"/>
        <w:ind w:left="1107"/>
        <w:rPr>
          <w:sz w:val="11"/>
        </w:rPr>
      </w:pPr>
      <w:r>
        <w:rPr>
          <w:sz w:val="11"/>
        </w:rPr>
        <w:t>936</w:t>
      </w:r>
      <w:r>
        <w:rPr>
          <w:spacing w:val="2"/>
          <w:sz w:val="11"/>
        </w:rPr>
        <w:t xml:space="preserve"> </w:t>
      </w:r>
      <w:r>
        <w:rPr>
          <w:sz w:val="11"/>
        </w:rPr>
        <w:t>El</w:t>
      </w:r>
      <w:r>
        <w:rPr>
          <w:spacing w:val="3"/>
          <w:sz w:val="11"/>
        </w:rPr>
        <w:t xml:space="preserve"> </w:t>
      </w:r>
      <w:r>
        <w:rPr>
          <w:sz w:val="11"/>
        </w:rPr>
        <w:t>problema</w:t>
      </w:r>
      <w:r>
        <w:rPr>
          <w:spacing w:val="2"/>
          <w:sz w:val="11"/>
        </w:rPr>
        <w:t xml:space="preserve"> </w:t>
      </w:r>
      <w:r>
        <w:rPr>
          <w:sz w:val="11"/>
        </w:rPr>
        <w:t>de</w:t>
      </w:r>
      <w:r>
        <w:rPr>
          <w:spacing w:val="3"/>
          <w:sz w:val="11"/>
        </w:rPr>
        <w:t xml:space="preserve"> </w:t>
      </w:r>
      <w:r>
        <w:rPr>
          <w:sz w:val="11"/>
        </w:rPr>
        <w:t>la</w:t>
      </w:r>
      <w:r>
        <w:rPr>
          <w:spacing w:val="2"/>
          <w:sz w:val="11"/>
        </w:rPr>
        <w:t xml:space="preserve"> </w:t>
      </w:r>
      <w:r>
        <w:rPr>
          <w:sz w:val="11"/>
        </w:rPr>
        <w:t>negación</w:t>
      </w:r>
      <w:r>
        <w:rPr>
          <w:spacing w:val="3"/>
          <w:sz w:val="11"/>
        </w:rPr>
        <w:t xml:space="preserve"> </w:t>
      </w:r>
      <w:r>
        <w:rPr>
          <w:sz w:val="11"/>
        </w:rPr>
        <w:t>en</w:t>
      </w:r>
      <w:r>
        <w:rPr>
          <w:spacing w:val="2"/>
          <w:sz w:val="11"/>
        </w:rPr>
        <w:t xml:space="preserve"> </w:t>
      </w:r>
      <w:r>
        <w:rPr>
          <w:sz w:val="11"/>
        </w:rPr>
        <w:t>un</w:t>
      </w:r>
      <w:r>
        <w:rPr>
          <w:spacing w:val="3"/>
          <w:sz w:val="11"/>
        </w:rPr>
        <w:t xml:space="preserve"> </w:t>
      </w:r>
      <w:r>
        <w:rPr>
          <w:sz w:val="11"/>
        </w:rPr>
        <w:t>contexto</w:t>
      </w:r>
      <w:r>
        <w:rPr>
          <w:spacing w:val="2"/>
          <w:sz w:val="11"/>
        </w:rPr>
        <w:t xml:space="preserve"> </w:t>
      </w:r>
      <w:r>
        <w:rPr>
          <w:sz w:val="11"/>
        </w:rPr>
        <w:t>de</w:t>
      </w:r>
      <w:r>
        <w:rPr>
          <w:spacing w:val="3"/>
          <w:sz w:val="11"/>
        </w:rPr>
        <w:t xml:space="preserve"> </w:t>
      </w:r>
      <w:r>
        <w:rPr>
          <w:sz w:val="11"/>
        </w:rPr>
        <w:t>derechos</w:t>
      </w:r>
      <w:r>
        <w:rPr>
          <w:spacing w:val="2"/>
          <w:sz w:val="11"/>
        </w:rPr>
        <w:t xml:space="preserve"> </w:t>
      </w:r>
      <w:r>
        <w:rPr>
          <w:sz w:val="11"/>
        </w:rPr>
        <w:t>humanos</w:t>
      </w:r>
      <w:r>
        <w:rPr>
          <w:spacing w:val="3"/>
          <w:sz w:val="11"/>
        </w:rPr>
        <w:t xml:space="preserve"> </w:t>
      </w:r>
      <w:r>
        <w:rPr>
          <w:sz w:val="11"/>
        </w:rPr>
        <w:t>se</w:t>
      </w:r>
      <w:r>
        <w:rPr>
          <w:spacing w:val="3"/>
          <w:sz w:val="11"/>
        </w:rPr>
        <w:t xml:space="preserve"> </w:t>
      </w:r>
      <w:r>
        <w:rPr>
          <w:sz w:val="11"/>
        </w:rPr>
        <w:t>explora</w:t>
      </w:r>
      <w:r>
        <w:rPr>
          <w:spacing w:val="2"/>
          <w:sz w:val="11"/>
        </w:rPr>
        <w:t xml:space="preserve"> </w:t>
      </w:r>
      <w:r>
        <w:rPr>
          <w:sz w:val="11"/>
        </w:rPr>
        <w:t>en</w:t>
      </w:r>
      <w:r>
        <w:rPr>
          <w:spacing w:val="3"/>
          <w:sz w:val="11"/>
        </w:rPr>
        <w:t xml:space="preserve"> </w:t>
      </w:r>
      <w:r>
        <w:rPr>
          <w:sz w:val="11"/>
        </w:rPr>
        <w:t>detalle</w:t>
      </w:r>
      <w:r>
        <w:rPr>
          <w:spacing w:val="2"/>
          <w:sz w:val="11"/>
        </w:rPr>
        <w:t xml:space="preserve"> </w:t>
      </w:r>
      <w:r>
        <w:rPr>
          <w:sz w:val="11"/>
        </w:rPr>
        <w:t>en</w:t>
      </w:r>
      <w:r>
        <w:rPr>
          <w:spacing w:val="3"/>
          <w:sz w:val="11"/>
        </w:rPr>
        <w:t xml:space="preserve"> </w:t>
      </w:r>
      <w:r>
        <w:rPr>
          <w:sz w:val="11"/>
        </w:rPr>
        <w:t>Cohen,</w:t>
      </w:r>
      <w:r>
        <w:rPr>
          <w:spacing w:val="2"/>
          <w:sz w:val="11"/>
        </w:rPr>
        <w:t xml:space="preserve"> </w:t>
      </w:r>
      <w:proofErr w:type="spellStart"/>
      <w:r>
        <w:rPr>
          <w:sz w:val="11"/>
        </w:rPr>
        <w:t>States</w:t>
      </w:r>
      <w:proofErr w:type="spellEnd"/>
      <w:r>
        <w:rPr>
          <w:spacing w:val="3"/>
          <w:sz w:val="11"/>
        </w:rPr>
        <w:t xml:space="preserve"> </w:t>
      </w:r>
      <w:r>
        <w:rPr>
          <w:sz w:val="11"/>
        </w:rPr>
        <w:t>of</w:t>
      </w:r>
      <w:r>
        <w:rPr>
          <w:spacing w:val="2"/>
          <w:sz w:val="11"/>
        </w:rPr>
        <w:t xml:space="preserve"> </w:t>
      </w:r>
      <w:proofErr w:type="spellStart"/>
      <w:r>
        <w:rPr>
          <w:sz w:val="11"/>
        </w:rPr>
        <w:t>Denial</w:t>
      </w:r>
      <w:proofErr w:type="spellEnd"/>
      <w:r>
        <w:rPr>
          <w:sz w:val="11"/>
        </w:rPr>
        <w:t>:</w:t>
      </w:r>
      <w:r>
        <w:rPr>
          <w:spacing w:val="3"/>
          <w:sz w:val="11"/>
        </w:rPr>
        <w:t xml:space="preserve"> </w:t>
      </w:r>
      <w:proofErr w:type="spellStart"/>
      <w:r>
        <w:rPr>
          <w:sz w:val="11"/>
        </w:rPr>
        <w:t>Knowing</w:t>
      </w:r>
      <w:proofErr w:type="spellEnd"/>
      <w:r>
        <w:rPr>
          <w:spacing w:val="2"/>
          <w:sz w:val="11"/>
        </w:rPr>
        <w:t xml:space="preserve"> </w:t>
      </w:r>
      <w:proofErr w:type="spellStart"/>
      <w:r>
        <w:rPr>
          <w:sz w:val="11"/>
        </w:rPr>
        <w:t>About</w:t>
      </w:r>
      <w:proofErr w:type="spellEnd"/>
      <w:r>
        <w:rPr>
          <w:spacing w:val="3"/>
          <w:sz w:val="11"/>
        </w:rPr>
        <w:t xml:space="preserve"> </w:t>
      </w:r>
      <w:proofErr w:type="spellStart"/>
      <w:r>
        <w:rPr>
          <w:sz w:val="11"/>
        </w:rPr>
        <w:t>Atrocities</w:t>
      </w:r>
      <w:proofErr w:type="spellEnd"/>
      <w:r>
        <w:rPr>
          <w:spacing w:val="2"/>
          <w:sz w:val="11"/>
        </w:rPr>
        <w:t xml:space="preserve"> </w:t>
      </w:r>
      <w:r>
        <w:rPr>
          <w:sz w:val="11"/>
        </w:rPr>
        <w:t>and</w:t>
      </w:r>
      <w:r>
        <w:rPr>
          <w:spacing w:val="3"/>
          <w:sz w:val="11"/>
        </w:rPr>
        <w:t xml:space="preserve"> </w:t>
      </w:r>
      <w:proofErr w:type="spellStart"/>
      <w:r>
        <w:rPr>
          <w:spacing w:val="-2"/>
          <w:sz w:val="11"/>
        </w:rPr>
        <w:t>Suffering</w:t>
      </w:r>
      <w:proofErr w:type="spellEnd"/>
      <w:r>
        <w:rPr>
          <w:spacing w:val="-2"/>
          <w:sz w:val="11"/>
        </w:rPr>
        <w:t>.</w:t>
      </w:r>
    </w:p>
    <w:p w14:paraId="54DE1A77" w14:textId="77777777" w:rsidR="0014798C" w:rsidRDefault="004E1F0B">
      <w:pPr>
        <w:spacing w:before="110"/>
        <w:ind w:left="1107"/>
        <w:rPr>
          <w:sz w:val="11"/>
        </w:rPr>
      </w:pPr>
      <w:r>
        <w:rPr>
          <w:sz w:val="11"/>
        </w:rPr>
        <w:t>937</w:t>
      </w:r>
      <w:r>
        <w:rPr>
          <w:spacing w:val="1"/>
          <w:sz w:val="11"/>
        </w:rPr>
        <w:t xml:space="preserve"> </w:t>
      </w:r>
      <w:r>
        <w:rPr>
          <w:sz w:val="11"/>
        </w:rPr>
        <w:t>Corte</w:t>
      </w:r>
      <w:r>
        <w:rPr>
          <w:spacing w:val="2"/>
          <w:sz w:val="11"/>
        </w:rPr>
        <w:t xml:space="preserve"> </w:t>
      </w:r>
      <w:r>
        <w:rPr>
          <w:sz w:val="11"/>
        </w:rPr>
        <w:t>Interamericana</w:t>
      </w:r>
      <w:r>
        <w:rPr>
          <w:spacing w:val="2"/>
          <w:sz w:val="11"/>
        </w:rPr>
        <w:t xml:space="preserve"> </w:t>
      </w:r>
      <w:r>
        <w:rPr>
          <w:sz w:val="11"/>
        </w:rPr>
        <w:t>de</w:t>
      </w:r>
      <w:r>
        <w:rPr>
          <w:spacing w:val="2"/>
          <w:sz w:val="11"/>
        </w:rPr>
        <w:t xml:space="preserve"> </w:t>
      </w:r>
      <w:r>
        <w:rPr>
          <w:sz w:val="11"/>
        </w:rPr>
        <w:t>Derechos</w:t>
      </w:r>
      <w:r>
        <w:rPr>
          <w:spacing w:val="2"/>
          <w:sz w:val="11"/>
        </w:rPr>
        <w:t xml:space="preserve"> </w:t>
      </w:r>
      <w:r>
        <w:rPr>
          <w:sz w:val="11"/>
        </w:rPr>
        <w:t>Humanos,</w:t>
      </w:r>
      <w:r>
        <w:rPr>
          <w:spacing w:val="3"/>
          <w:sz w:val="11"/>
        </w:rPr>
        <w:t xml:space="preserve"> </w:t>
      </w:r>
      <w:r>
        <w:rPr>
          <w:sz w:val="11"/>
        </w:rPr>
        <w:t>Comunidad</w:t>
      </w:r>
      <w:r>
        <w:rPr>
          <w:spacing w:val="2"/>
          <w:sz w:val="11"/>
        </w:rPr>
        <w:t xml:space="preserve"> </w:t>
      </w:r>
      <w:proofErr w:type="spellStart"/>
      <w:r>
        <w:rPr>
          <w:sz w:val="11"/>
        </w:rPr>
        <w:t>Moiwana</w:t>
      </w:r>
      <w:proofErr w:type="spellEnd"/>
      <w:r>
        <w:rPr>
          <w:spacing w:val="2"/>
          <w:sz w:val="11"/>
        </w:rPr>
        <w:t xml:space="preserve"> </w:t>
      </w:r>
      <w:r>
        <w:rPr>
          <w:sz w:val="11"/>
        </w:rPr>
        <w:t>v.</w:t>
      </w:r>
      <w:r>
        <w:rPr>
          <w:spacing w:val="2"/>
          <w:sz w:val="11"/>
        </w:rPr>
        <w:t xml:space="preserve"> </w:t>
      </w:r>
      <w:r>
        <w:rPr>
          <w:sz w:val="11"/>
        </w:rPr>
        <w:t>Surinam,</w:t>
      </w:r>
      <w:r>
        <w:rPr>
          <w:spacing w:val="2"/>
          <w:sz w:val="11"/>
        </w:rPr>
        <w:t xml:space="preserve"> </w:t>
      </w:r>
      <w:r>
        <w:rPr>
          <w:sz w:val="11"/>
        </w:rPr>
        <w:t>sentencia</w:t>
      </w:r>
      <w:r>
        <w:rPr>
          <w:spacing w:val="2"/>
          <w:sz w:val="11"/>
        </w:rPr>
        <w:t xml:space="preserve"> </w:t>
      </w:r>
      <w:r>
        <w:rPr>
          <w:sz w:val="11"/>
        </w:rPr>
        <w:t>de</w:t>
      </w:r>
      <w:r>
        <w:rPr>
          <w:spacing w:val="2"/>
          <w:sz w:val="11"/>
        </w:rPr>
        <w:t xml:space="preserve"> </w:t>
      </w:r>
      <w:r>
        <w:rPr>
          <w:sz w:val="11"/>
        </w:rPr>
        <w:t>15</w:t>
      </w:r>
      <w:r>
        <w:rPr>
          <w:spacing w:val="2"/>
          <w:sz w:val="11"/>
        </w:rPr>
        <w:t xml:space="preserve"> </w:t>
      </w:r>
      <w:r>
        <w:rPr>
          <w:sz w:val="11"/>
        </w:rPr>
        <w:t>de</w:t>
      </w:r>
      <w:r>
        <w:rPr>
          <w:spacing w:val="2"/>
          <w:sz w:val="11"/>
        </w:rPr>
        <w:t xml:space="preserve"> </w:t>
      </w:r>
      <w:r>
        <w:rPr>
          <w:sz w:val="11"/>
        </w:rPr>
        <w:t>junio</w:t>
      </w:r>
      <w:r>
        <w:rPr>
          <w:spacing w:val="2"/>
          <w:sz w:val="11"/>
        </w:rPr>
        <w:t xml:space="preserve"> </w:t>
      </w:r>
      <w:r>
        <w:rPr>
          <w:sz w:val="11"/>
        </w:rPr>
        <w:t>de</w:t>
      </w:r>
      <w:r>
        <w:rPr>
          <w:spacing w:val="2"/>
          <w:sz w:val="11"/>
        </w:rPr>
        <w:t xml:space="preserve"> </w:t>
      </w:r>
      <w:r>
        <w:rPr>
          <w:sz w:val="11"/>
        </w:rPr>
        <w:t>2005,</w:t>
      </w:r>
      <w:r>
        <w:rPr>
          <w:spacing w:val="2"/>
          <w:sz w:val="11"/>
        </w:rPr>
        <w:t xml:space="preserve"> </w:t>
      </w:r>
      <w:proofErr w:type="spellStart"/>
      <w:r>
        <w:rPr>
          <w:sz w:val="11"/>
        </w:rPr>
        <w:t>párrs</w:t>
      </w:r>
      <w:proofErr w:type="spellEnd"/>
      <w:r>
        <w:rPr>
          <w:sz w:val="11"/>
        </w:rPr>
        <w:t>.</w:t>
      </w:r>
      <w:r>
        <w:rPr>
          <w:spacing w:val="2"/>
          <w:sz w:val="11"/>
        </w:rPr>
        <w:t xml:space="preserve"> </w:t>
      </w:r>
      <w:r>
        <w:rPr>
          <w:sz w:val="11"/>
        </w:rPr>
        <w:t>86</w:t>
      </w:r>
      <w:r>
        <w:rPr>
          <w:spacing w:val="2"/>
          <w:sz w:val="11"/>
        </w:rPr>
        <w:t xml:space="preserve"> </w:t>
      </w:r>
      <w:r>
        <w:rPr>
          <w:sz w:val="11"/>
        </w:rPr>
        <w:t>y</w:t>
      </w:r>
      <w:r>
        <w:rPr>
          <w:spacing w:val="2"/>
          <w:sz w:val="11"/>
        </w:rPr>
        <w:t xml:space="preserve"> </w:t>
      </w:r>
      <w:r>
        <w:rPr>
          <w:spacing w:val="-4"/>
          <w:sz w:val="11"/>
        </w:rPr>
        <w:t>133.</w:t>
      </w:r>
    </w:p>
    <w:p w14:paraId="67AA288F" w14:textId="77777777" w:rsidR="0014798C" w:rsidRDefault="004E1F0B">
      <w:pPr>
        <w:spacing w:before="110"/>
        <w:ind w:left="1107"/>
        <w:rPr>
          <w:sz w:val="11"/>
        </w:rPr>
      </w:pPr>
      <w:r>
        <w:rPr>
          <w:sz w:val="11"/>
        </w:rPr>
        <w:t>938</w:t>
      </w:r>
      <w:r>
        <w:rPr>
          <w:spacing w:val="2"/>
          <w:sz w:val="11"/>
        </w:rPr>
        <w:t xml:space="preserve"> </w:t>
      </w:r>
      <w:r>
        <w:rPr>
          <w:sz w:val="11"/>
        </w:rPr>
        <w:t>Corte</w:t>
      </w:r>
      <w:r>
        <w:rPr>
          <w:spacing w:val="2"/>
          <w:sz w:val="11"/>
        </w:rPr>
        <w:t xml:space="preserve"> </w:t>
      </w:r>
      <w:r>
        <w:rPr>
          <w:sz w:val="11"/>
        </w:rPr>
        <w:t>Interamericana</w:t>
      </w:r>
      <w:r>
        <w:rPr>
          <w:spacing w:val="2"/>
          <w:sz w:val="11"/>
        </w:rPr>
        <w:t xml:space="preserve"> </w:t>
      </w:r>
      <w:r>
        <w:rPr>
          <w:sz w:val="11"/>
        </w:rPr>
        <w:t>de</w:t>
      </w:r>
      <w:r>
        <w:rPr>
          <w:spacing w:val="2"/>
          <w:sz w:val="11"/>
        </w:rPr>
        <w:t xml:space="preserve"> </w:t>
      </w:r>
      <w:r>
        <w:rPr>
          <w:sz w:val="11"/>
        </w:rPr>
        <w:t>Derechos</w:t>
      </w:r>
      <w:r>
        <w:rPr>
          <w:spacing w:val="2"/>
          <w:sz w:val="11"/>
        </w:rPr>
        <w:t xml:space="preserve"> </w:t>
      </w:r>
      <w:r>
        <w:rPr>
          <w:sz w:val="11"/>
        </w:rPr>
        <w:t>Humanos,</w:t>
      </w:r>
      <w:r>
        <w:rPr>
          <w:spacing w:val="3"/>
          <w:sz w:val="11"/>
        </w:rPr>
        <w:t xml:space="preserve"> </w:t>
      </w:r>
      <w:r>
        <w:rPr>
          <w:sz w:val="11"/>
        </w:rPr>
        <w:t>Pueblo</w:t>
      </w:r>
      <w:r>
        <w:rPr>
          <w:spacing w:val="2"/>
          <w:sz w:val="11"/>
        </w:rPr>
        <w:t xml:space="preserve"> </w:t>
      </w:r>
      <w:proofErr w:type="spellStart"/>
      <w:r>
        <w:rPr>
          <w:sz w:val="11"/>
        </w:rPr>
        <w:t>Saramaka</w:t>
      </w:r>
      <w:proofErr w:type="spellEnd"/>
      <w:r>
        <w:rPr>
          <w:spacing w:val="2"/>
          <w:sz w:val="11"/>
        </w:rPr>
        <w:t xml:space="preserve"> </w:t>
      </w:r>
      <w:r>
        <w:rPr>
          <w:sz w:val="11"/>
        </w:rPr>
        <w:t>v.</w:t>
      </w:r>
      <w:r>
        <w:rPr>
          <w:spacing w:val="2"/>
          <w:sz w:val="11"/>
        </w:rPr>
        <w:t xml:space="preserve"> </w:t>
      </w:r>
      <w:r>
        <w:rPr>
          <w:sz w:val="11"/>
        </w:rPr>
        <w:t>Surinam,</w:t>
      </w:r>
      <w:r>
        <w:rPr>
          <w:spacing w:val="2"/>
          <w:sz w:val="11"/>
        </w:rPr>
        <w:t xml:space="preserve"> </w:t>
      </w:r>
      <w:r>
        <w:rPr>
          <w:sz w:val="11"/>
        </w:rPr>
        <w:t>sentencia</w:t>
      </w:r>
      <w:r>
        <w:rPr>
          <w:spacing w:val="3"/>
          <w:sz w:val="11"/>
        </w:rPr>
        <w:t xml:space="preserve"> </w:t>
      </w:r>
      <w:r>
        <w:rPr>
          <w:sz w:val="11"/>
        </w:rPr>
        <w:t>de</w:t>
      </w:r>
      <w:r>
        <w:rPr>
          <w:spacing w:val="2"/>
          <w:sz w:val="11"/>
        </w:rPr>
        <w:t xml:space="preserve"> </w:t>
      </w:r>
      <w:r>
        <w:rPr>
          <w:sz w:val="11"/>
        </w:rPr>
        <w:t>28</w:t>
      </w:r>
      <w:r>
        <w:rPr>
          <w:spacing w:val="2"/>
          <w:sz w:val="11"/>
        </w:rPr>
        <w:t xml:space="preserve"> </w:t>
      </w:r>
      <w:r>
        <w:rPr>
          <w:sz w:val="11"/>
        </w:rPr>
        <w:t>de</w:t>
      </w:r>
      <w:r>
        <w:rPr>
          <w:spacing w:val="2"/>
          <w:sz w:val="11"/>
        </w:rPr>
        <w:t xml:space="preserve"> </w:t>
      </w:r>
      <w:r>
        <w:rPr>
          <w:sz w:val="11"/>
        </w:rPr>
        <w:t>noviembre</w:t>
      </w:r>
      <w:r>
        <w:rPr>
          <w:spacing w:val="2"/>
          <w:sz w:val="11"/>
        </w:rPr>
        <w:t xml:space="preserve"> </w:t>
      </w:r>
      <w:r>
        <w:rPr>
          <w:sz w:val="11"/>
        </w:rPr>
        <w:t>de</w:t>
      </w:r>
      <w:r>
        <w:rPr>
          <w:spacing w:val="2"/>
          <w:sz w:val="11"/>
        </w:rPr>
        <w:t xml:space="preserve"> </w:t>
      </w:r>
      <w:r>
        <w:rPr>
          <w:sz w:val="11"/>
        </w:rPr>
        <w:t>2007,</w:t>
      </w:r>
      <w:r>
        <w:rPr>
          <w:spacing w:val="2"/>
          <w:sz w:val="11"/>
        </w:rPr>
        <w:t xml:space="preserve"> </w:t>
      </w:r>
      <w:proofErr w:type="spellStart"/>
      <w:r>
        <w:rPr>
          <w:sz w:val="11"/>
        </w:rPr>
        <w:t>párrs</w:t>
      </w:r>
      <w:proofErr w:type="spellEnd"/>
      <w:r>
        <w:rPr>
          <w:sz w:val="11"/>
        </w:rPr>
        <w:t>.</w:t>
      </w:r>
      <w:r>
        <w:rPr>
          <w:spacing w:val="2"/>
          <w:sz w:val="11"/>
        </w:rPr>
        <w:t xml:space="preserve"> </w:t>
      </w:r>
      <w:r>
        <w:rPr>
          <w:spacing w:val="-2"/>
          <w:sz w:val="11"/>
        </w:rPr>
        <w:t>84–86.</w:t>
      </w:r>
    </w:p>
    <w:p w14:paraId="05E2F448" w14:textId="77777777" w:rsidR="0014798C" w:rsidRDefault="0014798C">
      <w:pPr>
        <w:rPr>
          <w:sz w:val="11"/>
        </w:rPr>
        <w:sectPr w:rsidR="0014798C" w:rsidSect="00F265E4">
          <w:pgSz w:w="11900" w:h="16820"/>
          <w:pgMar w:top="340" w:right="0" w:bottom="280" w:left="200" w:header="121" w:footer="0" w:gutter="0"/>
          <w:cols w:space="720"/>
        </w:sectPr>
      </w:pPr>
    </w:p>
    <w:p w14:paraId="6EC22B12" w14:textId="77777777" w:rsidR="0014798C" w:rsidRDefault="0014798C">
      <w:pPr>
        <w:pStyle w:val="Textoindependiente"/>
        <w:spacing w:before="2"/>
        <w:rPr>
          <w:sz w:val="8"/>
        </w:rPr>
      </w:pPr>
    </w:p>
    <w:p w14:paraId="29FB453B" w14:textId="77777777" w:rsidR="0014798C" w:rsidRDefault="004E1F0B">
      <w:pPr>
        <w:jc w:val="right"/>
        <w:rPr>
          <w:sz w:val="8"/>
        </w:rPr>
      </w:pPr>
      <w:r>
        <w:rPr>
          <w:spacing w:val="-5"/>
          <w:w w:val="105"/>
          <w:sz w:val="8"/>
        </w:rPr>
        <w:t>939</w:t>
      </w:r>
    </w:p>
    <w:p w14:paraId="279BAD4B" w14:textId="77777777" w:rsidR="0014798C" w:rsidRDefault="004E1F0B">
      <w:pPr>
        <w:spacing w:before="110"/>
        <w:ind w:left="79"/>
        <w:rPr>
          <w:sz w:val="11"/>
        </w:rPr>
      </w:pPr>
      <w:r>
        <w:br w:type="column"/>
      </w:r>
      <w:r>
        <w:rPr>
          <w:sz w:val="11"/>
        </w:rPr>
        <w:t>Tribunal</w:t>
      </w:r>
      <w:r>
        <w:rPr>
          <w:spacing w:val="1"/>
          <w:sz w:val="11"/>
        </w:rPr>
        <w:t xml:space="preserve"> </w:t>
      </w:r>
      <w:r>
        <w:rPr>
          <w:sz w:val="11"/>
        </w:rPr>
        <w:t>Europeo</w:t>
      </w:r>
      <w:r>
        <w:rPr>
          <w:spacing w:val="1"/>
          <w:sz w:val="11"/>
        </w:rPr>
        <w:t xml:space="preserve"> </w:t>
      </w:r>
      <w:r>
        <w:rPr>
          <w:sz w:val="11"/>
        </w:rPr>
        <w:t>de</w:t>
      </w:r>
      <w:r>
        <w:rPr>
          <w:spacing w:val="2"/>
          <w:sz w:val="11"/>
        </w:rPr>
        <w:t xml:space="preserve"> </w:t>
      </w:r>
      <w:r>
        <w:rPr>
          <w:sz w:val="11"/>
        </w:rPr>
        <w:t>Derechos</w:t>
      </w:r>
      <w:r>
        <w:rPr>
          <w:spacing w:val="1"/>
          <w:sz w:val="11"/>
        </w:rPr>
        <w:t xml:space="preserve"> </w:t>
      </w:r>
      <w:r>
        <w:rPr>
          <w:sz w:val="11"/>
        </w:rPr>
        <w:t>Humanos,</w:t>
      </w:r>
      <w:r>
        <w:rPr>
          <w:spacing w:val="3"/>
          <w:sz w:val="11"/>
        </w:rPr>
        <w:t xml:space="preserve"> </w:t>
      </w:r>
      <w:r>
        <w:rPr>
          <w:sz w:val="11"/>
        </w:rPr>
        <w:t>Chapman</w:t>
      </w:r>
      <w:r>
        <w:rPr>
          <w:spacing w:val="1"/>
          <w:sz w:val="11"/>
        </w:rPr>
        <w:t xml:space="preserve"> </w:t>
      </w:r>
      <w:r>
        <w:rPr>
          <w:sz w:val="11"/>
        </w:rPr>
        <w:t>c.</w:t>
      </w:r>
      <w:r>
        <w:rPr>
          <w:spacing w:val="2"/>
          <w:sz w:val="11"/>
        </w:rPr>
        <w:t xml:space="preserve"> </w:t>
      </w:r>
      <w:r>
        <w:rPr>
          <w:sz w:val="11"/>
        </w:rPr>
        <w:t>Reino</w:t>
      </w:r>
      <w:r>
        <w:rPr>
          <w:spacing w:val="1"/>
          <w:sz w:val="11"/>
        </w:rPr>
        <w:t xml:space="preserve"> </w:t>
      </w:r>
      <w:r>
        <w:rPr>
          <w:sz w:val="11"/>
        </w:rPr>
        <w:t>Unido,</w:t>
      </w:r>
      <w:r>
        <w:rPr>
          <w:spacing w:val="2"/>
          <w:sz w:val="11"/>
        </w:rPr>
        <w:t xml:space="preserve"> </w:t>
      </w:r>
      <w:r>
        <w:rPr>
          <w:sz w:val="11"/>
        </w:rPr>
        <w:t>solicitud</w:t>
      </w:r>
      <w:r>
        <w:rPr>
          <w:spacing w:val="1"/>
          <w:sz w:val="11"/>
        </w:rPr>
        <w:t xml:space="preserve"> </w:t>
      </w:r>
      <w:proofErr w:type="spellStart"/>
      <w:r>
        <w:rPr>
          <w:sz w:val="11"/>
        </w:rPr>
        <w:t>n.°</w:t>
      </w:r>
      <w:proofErr w:type="spellEnd"/>
      <w:r>
        <w:rPr>
          <w:spacing w:val="1"/>
          <w:sz w:val="11"/>
        </w:rPr>
        <w:t xml:space="preserve"> </w:t>
      </w:r>
      <w:r>
        <w:rPr>
          <w:sz w:val="11"/>
        </w:rPr>
        <w:t>27238/95,</w:t>
      </w:r>
      <w:r>
        <w:rPr>
          <w:spacing w:val="2"/>
          <w:sz w:val="11"/>
        </w:rPr>
        <w:t xml:space="preserve"> </w:t>
      </w:r>
      <w:r>
        <w:rPr>
          <w:sz w:val="11"/>
        </w:rPr>
        <w:t>sentencia</w:t>
      </w:r>
      <w:r>
        <w:rPr>
          <w:spacing w:val="1"/>
          <w:sz w:val="11"/>
        </w:rPr>
        <w:t xml:space="preserve"> </w:t>
      </w:r>
      <w:r>
        <w:rPr>
          <w:sz w:val="11"/>
        </w:rPr>
        <w:t>de</w:t>
      </w:r>
      <w:r>
        <w:rPr>
          <w:spacing w:val="2"/>
          <w:sz w:val="11"/>
        </w:rPr>
        <w:t xml:space="preserve"> </w:t>
      </w:r>
      <w:r>
        <w:rPr>
          <w:sz w:val="11"/>
        </w:rPr>
        <w:t>18</w:t>
      </w:r>
      <w:r>
        <w:rPr>
          <w:spacing w:val="1"/>
          <w:sz w:val="11"/>
        </w:rPr>
        <w:t xml:space="preserve"> </w:t>
      </w:r>
      <w:r>
        <w:rPr>
          <w:sz w:val="11"/>
        </w:rPr>
        <w:t>de</w:t>
      </w:r>
      <w:r>
        <w:rPr>
          <w:spacing w:val="2"/>
          <w:sz w:val="11"/>
        </w:rPr>
        <w:t xml:space="preserve"> </w:t>
      </w:r>
      <w:r>
        <w:rPr>
          <w:sz w:val="11"/>
        </w:rPr>
        <w:t>enero</w:t>
      </w:r>
      <w:r>
        <w:rPr>
          <w:spacing w:val="1"/>
          <w:sz w:val="11"/>
        </w:rPr>
        <w:t xml:space="preserve"> </w:t>
      </w:r>
      <w:r>
        <w:rPr>
          <w:sz w:val="11"/>
        </w:rPr>
        <w:t>de</w:t>
      </w:r>
      <w:r>
        <w:rPr>
          <w:spacing w:val="1"/>
          <w:sz w:val="11"/>
        </w:rPr>
        <w:t xml:space="preserve"> </w:t>
      </w:r>
      <w:r>
        <w:rPr>
          <w:sz w:val="11"/>
        </w:rPr>
        <w:t>2001,</w:t>
      </w:r>
      <w:r>
        <w:rPr>
          <w:spacing w:val="2"/>
          <w:sz w:val="11"/>
        </w:rPr>
        <w:t xml:space="preserve"> </w:t>
      </w:r>
      <w:r>
        <w:rPr>
          <w:sz w:val="11"/>
        </w:rPr>
        <w:t>párr.</w:t>
      </w:r>
      <w:r>
        <w:rPr>
          <w:spacing w:val="1"/>
          <w:sz w:val="11"/>
        </w:rPr>
        <w:t xml:space="preserve"> </w:t>
      </w:r>
      <w:r>
        <w:rPr>
          <w:spacing w:val="-5"/>
          <w:sz w:val="11"/>
        </w:rPr>
        <w:t>96.</w:t>
      </w:r>
    </w:p>
    <w:p w14:paraId="1A53ED51" w14:textId="77777777" w:rsidR="0014798C" w:rsidRDefault="0014798C">
      <w:pPr>
        <w:rPr>
          <w:sz w:val="11"/>
        </w:rPr>
        <w:sectPr w:rsidR="0014798C" w:rsidSect="00F265E4">
          <w:type w:val="continuous"/>
          <w:pgSz w:w="11900" w:h="16820"/>
          <w:pgMar w:top="40" w:right="0" w:bottom="280" w:left="200" w:header="121" w:footer="0" w:gutter="0"/>
          <w:cols w:num="2" w:space="720" w:equalWidth="0">
            <w:col w:w="1249" w:space="40"/>
            <w:col w:w="10411"/>
          </w:cols>
        </w:sectPr>
      </w:pPr>
    </w:p>
    <w:p w14:paraId="20C3F274" w14:textId="77777777" w:rsidR="0014798C" w:rsidRDefault="004E1F0B">
      <w:pPr>
        <w:spacing w:before="110" w:line="340" w:lineRule="auto"/>
        <w:ind w:left="1365" w:right="2182" w:hanging="259"/>
        <w:rPr>
          <w:sz w:val="11"/>
        </w:rPr>
      </w:pPr>
      <w:r>
        <w:rPr>
          <w:sz w:val="11"/>
        </w:rPr>
        <w:t>940 Texto particular en este caso del Tribunal Europeo de Derechos Humanos,</w:t>
      </w:r>
      <w:r>
        <w:rPr>
          <w:spacing w:val="6"/>
          <w:sz w:val="11"/>
        </w:rPr>
        <w:t xml:space="preserve"> </w:t>
      </w:r>
      <w:r>
        <w:rPr>
          <w:sz w:val="11"/>
        </w:rPr>
        <w:t>DH y otros contra la República Checa, Solicitud No. 57325/00, Sentencia, 13 de noviembre</w:t>
      </w:r>
      <w:r>
        <w:rPr>
          <w:spacing w:val="80"/>
          <w:sz w:val="11"/>
        </w:rPr>
        <w:t xml:space="preserve"> </w:t>
      </w:r>
      <w:r>
        <w:rPr>
          <w:sz w:val="11"/>
        </w:rPr>
        <w:t>de 2007, párr. 181.</w:t>
      </w:r>
    </w:p>
    <w:p w14:paraId="1838FE32" w14:textId="77777777" w:rsidR="0014798C" w:rsidRDefault="0014798C">
      <w:pPr>
        <w:spacing w:line="340" w:lineRule="auto"/>
        <w:rPr>
          <w:sz w:val="11"/>
        </w:rPr>
        <w:sectPr w:rsidR="0014798C" w:rsidSect="00F265E4">
          <w:type w:val="continuous"/>
          <w:pgSz w:w="11900" w:h="16820"/>
          <w:pgMar w:top="40" w:right="0" w:bottom="280" w:left="200" w:header="121" w:footer="0" w:gutter="0"/>
          <w:cols w:space="720"/>
        </w:sectPr>
      </w:pPr>
    </w:p>
    <w:p w14:paraId="5D7C8487" w14:textId="77777777" w:rsidR="0014798C" w:rsidRDefault="004E1F0B">
      <w:pPr>
        <w:spacing w:before="41"/>
        <w:jc w:val="right"/>
        <w:rPr>
          <w:sz w:val="8"/>
        </w:rPr>
      </w:pPr>
      <w:r>
        <w:rPr>
          <w:spacing w:val="-5"/>
          <w:w w:val="105"/>
          <w:sz w:val="8"/>
        </w:rPr>
        <w:t>941</w:t>
      </w:r>
    </w:p>
    <w:p w14:paraId="31434B8E" w14:textId="3583BA84" w:rsidR="00437A69" w:rsidRDefault="004E1F0B">
      <w:pPr>
        <w:spacing w:before="57"/>
        <w:ind w:left="79"/>
        <w:rPr>
          <w:spacing w:val="-5"/>
          <w:sz w:val="11"/>
        </w:rPr>
      </w:pPr>
      <w:r>
        <w:br w:type="column"/>
      </w:r>
      <w:r>
        <w:rPr>
          <w:sz w:val="11"/>
        </w:rPr>
        <w:t>Tribunal</w:t>
      </w:r>
      <w:r>
        <w:rPr>
          <w:spacing w:val="2"/>
          <w:sz w:val="11"/>
        </w:rPr>
        <w:t xml:space="preserve"> </w:t>
      </w:r>
      <w:r>
        <w:rPr>
          <w:sz w:val="11"/>
        </w:rPr>
        <w:t>Europeo</w:t>
      </w:r>
      <w:r>
        <w:rPr>
          <w:spacing w:val="2"/>
          <w:sz w:val="11"/>
        </w:rPr>
        <w:t xml:space="preserve"> </w:t>
      </w:r>
      <w:r>
        <w:rPr>
          <w:sz w:val="11"/>
        </w:rPr>
        <w:t>de</w:t>
      </w:r>
      <w:r>
        <w:rPr>
          <w:spacing w:val="2"/>
          <w:sz w:val="11"/>
        </w:rPr>
        <w:t xml:space="preserve"> </w:t>
      </w:r>
      <w:r>
        <w:rPr>
          <w:sz w:val="11"/>
        </w:rPr>
        <w:t>Derechos</w:t>
      </w:r>
      <w:r>
        <w:rPr>
          <w:spacing w:val="3"/>
          <w:sz w:val="11"/>
        </w:rPr>
        <w:t xml:space="preserve"> </w:t>
      </w:r>
      <w:r>
        <w:rPr>
          <w:sz w:val="11"/>
        </w:rPr>
        <w:t>Humanos,</w:t>
      </w:r>
      <w:r>
        <w:rPr>
          <w:spacing w:val="3"/>
          <w:sz w:val="11"/>
        </w:rPr>
        <w:t xml:space="preserve"> </w:t>
      </w:r>
      <w:r>
        <w:rPr>
          <w:sz w:val="11"/>
        </w:rPr>
        <w:t>Muñoz</w:t>
      </w:r>
      <w:r>
        <w:rPr>
          <w:spacing w:val="2"/>
          <w:sz w:val="11"/>
        </w:rPr>
        <w:t xml:space="preserve"> </w:t>
      </w:r>
      <w:r>
        <w:rPr>
          <w:sz w:val="11"/>
        </w:rPr>
        <w:t>Díaz</w:t>
      </w:r>
      <w:r>
        <w:rPr>
          <w:spacing w:val="3"/>
          <w:sz w:val="11"/>
        </w:rPr>
        <w:t xml:space="preserve"> </w:t>
      </w:r>
      <w:r>
        <w:rPr>
          <w:sz w:val="11"/>
        </w:rPr>
        <w:t>c.</w:t>
      </w:r>
      <w:r>
        <w:rPr>
          <w:spacing w:val="2"/>
          <w:sz w:val="11"/>
        </w:rPr>
        <w:t xml:space="preserve"> </w:t>
      </w:r>
      <w:r>
        <w:rPr>
          <w:sz w:val="11"/>
        </w:rPr>
        <w:t>España,</w:t>
      </w:r>
      <w:r>
        <w:rPr>
          <w:spacing w:val="2"/>
          <w:sz w:val="11"/>
        </w:rPr>
        <w:t xml:space="preserve"> </w:t>
      </w:r>
      <w:r>
        <w:rPr>
          <w:sz w:val="11"/>
        </w:rPr>
        <w:t>Solicitud</w:t>
      </w:r>
      <w:r>
        <w:rPr>
          <w:spacing w:val="3"/>
          <w:sz w:val="11"/>
        </w:rPr>
        <w:t xml:space="preserve"> </w:t>
      </w:r>
      <w:r>
        <w:rPr>
          <w:sz w:val="11"/>
        </w:rPr>
        <w:t>No.</w:t>
      </w:r>
      <w:r>
        <w:rPr>
          <w:spacing w:val="2"/>
          <w:sz w:val="11"/>
        </w:rPr>
        <w:t xml:space="preserve"> </w:t>
      </w:r>
      <w:r>
        <w:rPr>
          <w:sz w:val="11"/>
        </w:rPr>
        <w:t>49151/07,</w:t>
      </w:r>
      <w:r>
        <w:rPr>
          <w:spacing w:val="2"/>
          <w:sz w:val="11"/>
        </w:rPr>
        <w:t xml:space="preserve"> </w:t>
      </w:r>
      <w:r>
        <w:rPr>
          <w:sz w:val="11"/>
        </w:rPr>
        <w:t>Sentencia,</w:t>
      </w:r>
      <w:r>
        <w:rPr>
          <w:spacing w:val="2"/>
          <w:sz w:val="11"/>
        </w:rPr>
        <w:t xml:space="preserve"> </w:t>
      </w:r>
      <w:r>
        <w:rPr>
          <w:sz w:val="11"/>
        </w:rPr>
        <w:t>8</w:t>
      </w:r>
      <w:r>
        <w:rPr>
          <w:spacing w:val="3"/>
          <w:sz w:val="11"/>
        </w:rPr>
        <w:t xml:space="preserve"> </w:t>
      </w:r>
      <w:r>
        <w:rPr>
          <w:sz w:val="11"/>
        </w:rPr>
        <w:t>de</w:t>
      </w:r>
      <w:r>
        <w:rPr>
          <w:spacing w:val="2"/>
          <w:sz w:val="11"/>
        </w:rPr>
        <w:t xml:space="preserve"> </w:t>
      </w:r>
      <w:r>
        <w:rPr>
          <w:sz w:val="11"/>
        </w:rPr>
        <w:t>diciembre</w:t>
      </w:r>
      <w:r>
        <w:rPr>
          <w:spacing w:val="2"/>
          <w:sz w:val="11"/>
        </w:rPr>
        <w:t xml:space="preserve"> </w:t>
      </w:r>
      <w:r>
        <w:rPr>
          <w:sz w:val="11"/>
        </w:rPr>
        <w:t>de</w:t>
      </w:r>
      <w:r>
        <w:rPr>
          <w:spacing w:val="3"/>
          <w:sz w:val="11"/>
        </w:rPr>
        <w:t xml:space="preserve"> </w:t>
      </w:r>
      <w:r>
        <w:rPr>
          <w:sz w:val="11"/>
        </w:rPr>
        <w:t>2009,</w:t>
      </w:r>
      <w:r>
        <w:rPr>
          <w:spacing w:val="2"/>
          <w:sz w:val="11"/>
        </w:rPr>
        <w:t xml:space="preserve"> </w:t>
      </w:r>
      <w:r>
        <w:rPr>
          <w:sz w:val="11"/>
        </w:rPr>
        <w:t>párr.</w:t>
      </w:r>
      <w:r>
        <w:rPr>
          <w:spacing w:val="2"/>
          <w:sz w:val="11"/>
        </w:rPr>
        <w:t xml:space="preserve"> </w:t>
      </w:r>
      <w:r>
        <w:rPr>
          <w:spacing w:val="-5"/>
          <w:sz w:val="11"/>
        </w:rPr>
        <w:t>51.</w:t>
      </w:r>
    </w:p>
    <w:p w14:paraId="54A2D2D8" w14:textId="77777777" w:rsidR="00437A69" w:rsidRDefault="00437A69">
      <w:pPr>
        <w:spacing w:before="57"/>
        <w:ind w:left="79"/>
        <w:rPr>
          <w:spacing w:val="-5"/>
          <w:sz w:val="11"/>
        </w:rPr>
      </w:pPr>
    </w:p>
    <w:p w14:paraId="0AE45DC7" w14:textId="77777777" w:rsidR="00437A69" w:rsidRDefault="00437A69">
      <w:pPr>
        <w:spacing w:before="57"/>
        <w:ind w:left="79"/>
        <w:rPr>
          <w:spacing w:val="-5"/>
          <w:sz w:val="11"/>
        </w:rPr>
      </w:pPr>
    </w:p>
    <w:p w14:paraId="2F8DB5D6" w14:textId="77777777" w:rsidR="00CA47B3" w:rsidRDefault="00CA47B3">
      <w:pPr>
        <w:rPr>
          <w:sz w:val="11"/>
        </w:rPr>
        <w:sectPr w:rsidR="00CA47B3" w:rsidSect="00F265E4">
          <w:type w:val="continuous"/>
          <w:pgSz w:w="11900" w:h="16820"/>
          <w:pgMar w:top="40" w:right="0" w:bottom="280" w:left="200" w:header="121" w:footer="0" w:gutter="0"/>
          <w:cols w:num="2" w:space="720" w:equalWidth="0">
            <w:col w:w="1249" w:space="40"/>
            <w:col w:w="10411"/>
          </w:cols>
        </w:sectPr>
      </w:pPr>
    </w:p>
    <w:p w14:paraId="6A8594AD" w14:textId="77777777" w:rsidR="0014798C" w:rsidRDefault="0014798C">
      <w:pPr>
        <w:pStyle w:val="Textoindependiente"/>
        <w:rPr>
          <w:sz w:val="17"/>
        </w:rPr>
      </w:pPr>
    </w:p>
    <w:p w14:paraId="21A5AB0F" w14:textId="77777777" w:rsidR="0014798C" w:rsidRDefault="0014798C">
      <w:pPr>
        <w:pStyle w:val="Textoindependiente"/>
        <w:rPr>
          <w:sz w:val="17"/>
        </w:rPr>
      </w:pPr>
    </w:p>
    <w:p w14:paraId="10B5A7BE" w14:textId="77777777" w:rsidR="0014798C" w:rsidRDefault="0014798C">
      <w:pPr>
        <w:pStyle w:val="Textoindependiente"/>
        <w:spacing w:before="85"/>
        <w:rPr>
          <w:sz w:val="12"/>
        </w:rPr>
      </w:pPr>
    </w:p>
    <w:p w14:paraId="23F0CB5D" w14:textId="77777777" w:rsidR="0014798C" w:rsidRDefault="004E1F0B">
      <w:pPr>
        <w:ind w:left="1111"/>
        <w:rPr>
          <w:sz w:val="12"/>
        </w:rPr>
      </w:pPr>
      <w:r>
        <w:rPr>
          <w:color w:val="803108"/>
          <w:sz w:val="12"/>
        </w:rPr>
        <w:t>PROTECCIÓN</w:t>
      </w:r>
      <w:r>
        <w:rPr>
          <w:color w:val="803108"/>
          <w:spacing w:val="6"/>
          <w:sz w:val="12"/>
        </w:rPr>
        <w:t xml:space="preserve"> </w:t>
      </w:r>
      <w:r>
        <w:rPr>
          <w:color w:val="803108"/>
          <w:sz w:val="12"/>
        </w:rPr>
        <w:t>DE</w:t>
      </w:r>
      <w:r>
        <w:rPr>
          <w:color w:val="803108"/>
          <w:spacing w:val="7"/>
          <w:sz w:val="12"/>
        </w:rPr>
        <w:t xml:space="preserve"> </w:t>
      </w:r>
      <w:r>
        <w:rPr>
          <w:color w:val="803108"/>
          <w:sz w:val="12"/>
        </w:rPr>
        <w:t>LOS</w:t>
      </w:r>
      <w:r>
        <w:rPr>
          <w:color w:val="803108"/>
          <w:spacing w:val="8"/>
          <w:sz w:val="12"/>
        </w:rPr>
        <w:t xml:space="preserve"> </w:t>
      </w:r>
      <w:r>
        <w:rPr>
          <w:color w:val="803108"/>
          <w:sz w:val="12"/>
        </w:rPr>
        <w:t>DERECHOS</w:t>
      </w:r>
      <w:r>
        <w:rPr>
          <w:color w:val="803108"/>
          <w:spacing w:val="8"/>
          <w:sz w:val="12"/>
        </w:rPr>
        <w:t xml:space="preserve"> </w:t>
      </w:r>
      <w:r>
        <w:rPr>
          <w:color w:val="803108"/>
          <w:sz w:val="12"/>
        </w:rPr>
        <w:t>DE</w:t>
      </w:r>
      <w:r>
        <w:rPr>
          <w:color w:val="803108"/>
          <w:spacing w:val="6"/>
          <w:sz w:val="12"/>
        </w:rPr>
        <w:t xml:space="preserve"> </w:t>
      </w:r>
      <w:r>
        <w:rPr>
          <w:color w:val="803108"/>
          <w:sz w:val="12"/>
        </w:rPr>
        <w:t>LAS</w:t>
      </w:r>
      <w:r>
        <w:rPr>
          <w:color w:val="803108"/>
          <w:spacing w:val="7"/>
          <w:sz w:val="12"/>
        </w:rPr>
        <w:t xml:space="preserve"> </w:t>
      </w:r>
      <w:r>
        <w:rPr>
          <w:color w:val="803108"/>
          <w:sz w:val="12"/>
        </w:rPr>
        <w:t>MINORÍAS:</w:t>
      </w:r>
      <w:r>
        <w:rPr>
          <w:color w:val="803108"/>
          <w:spacing w:val="8"/>
          <w:sz w:val="12"/>
        </w:rPr>
        <w:t xml:space="preserve"> </w:t>
      </w:r>
      <w:r>
        <w:rPr>
          <w:color w:val="803108"/>
          <w:sz w:val="12"/>
        </w:rPr>
        <w:t>una</w:t>
      </w:r>
      <w:r>
        <w:rPr>
          <w:color w:val="803108"/>
          <w:spacing w:val="7"/>
          <w:sz w:val="12"/>
        </w:rPr>
        <w:t xml:space="preserve"> </w:t>
      </w:r>
      <w:r>
        <w:rPr>
          <w:color w:val="803108"/>
          <w:sz w:val="12"/>
        </w:rPr>
        <w:t>guía</w:t>
      </w:r>
      <w:r>
        <w:rPr>
          <w:color w:val="803108"/>
          <w:spacing w:val="6"/>
          <w:sz w:val="12"/>
        </w:rPr>
        <w:t xml:space="preserve"> </w:t>
      </w:r>
      <w:r>
        <w:rPr>
          <w:color w:val="803108"/>
          <w:sz w:val="12"/>
        </w:rPr>
        <w:t>práctica</w:t>
      </w:r>
      <w:r>
        <w:rPr>
          <w:color w:val="803108"/>
          <w:spacing w:val="7"/>
          <w:sz w:val="12"/>
        </w:rPr>
        <w:t xml:space="preserve"> </w:t>
      </w:r>
      <w:r>
        <w:rPr>
          <w:color w:val="803108"/>
          <w:sz w:val="12"/>
        </w:rPr>
        <w:t>para</w:t>
      </w:r>
      <w:r>
        <w:rPr>
          <w:color w:val="803108"/>
          <w:spacing w:val="8"/>
          <w:sz w:val="12"/>
        </w:rPr>
        <w:t xml:space="preserve"> </w:t>
      </w:r>
      <w:r>
        <w:rPr>
          <w:color w:val="803108"/>
          <w:sz w:val="12"/>
        </w:rPr>
        <w:t>desarrollar</w:t>
      </w:r>
      <w:r>
        <w:rPr>
          <w:color w:val="803108"/>
          <w:spacing w:val="6"/>
          <w:sz w:val="12"/>
        </w:rPr>
        <w:t xml:space="preserve"> </w:t>
      </w:r>
      <w:r>
        <w:rPr>
          <w:color w:val="803108"/>
          <w:sz w:val="12"/>
        </w:rPr>
        <w:t>una</w:t>
      </w:r>
      <w:r>
        <w:rPr>
          <w:color w:val="803108"/>
          <w:spacing w:val="7"/>
          <w:sz w:val="12"/>
        </w:rPr>
        <w:t xml:space="preserve"> </w:t>
      </w:r>
      <w:r>
        <w:rPr>
          <w:color w:val="803108"/>
          <w:sz w:val="12"/>
        </w:rPr>
        <w:t>legislación</w:t>
      </w:r>
      <w:r>
        <w:rPr>
          <w:color w:val="803108"/>
          <w:spacing w:val="8"/>
          <w:sz w:val="12"/>
        </w:rPr>
        <w:t xml:space="preserve"> </w:t>
      </w:r>
      <w:r>
        <w:rPr>
          <w:color w:val="803108"/>
          <w:sz w:val="12"/>
        </w:rPr>
        <w:t>integral</w:t>
      </w:r>
      <w:r>
        <w:rPr>
          <w:color w:val="803108"/>
          <w:spacing w:val="7"/>
          <w:sz w:val="12"/>
        </w:rPr>
        <w:t xml:space="preserve"> </w:t>
      </w:r>
      <w:r>
        <w:rPr>
          <w:color w:val="803108"/>
          <w:sz w:val="12"/>
        </w:rPr>
        <w:t>contra</w:t>
      </w:r>
      <w:r>
        <w:rPr>
          <w:color w:val="803108"/>
          <w:spacing w:val="6"/>
          <w:sz w:val="12"/>
        </w:rPr>
        <w:t xml:space="preserve"> </w:t>
      </w:r>
      <w:r>
        <w:rPr>
          <w:color w:val="803108"/>
          <w:sz w:val="12"/>
        </w:rPr>
        <w:t>la</w:t>
      </w:r>
      <w:r>
        <w:rPr>
          <w:color w:val="803108"/>
          <w:spacing w:val="7"/>
          <w:sz w:val="12"/>
        </w:rPr>
        <w:t xml:space="preserve"> </w:t>
      </w:r>
      <w:r>
        <w:rPr>
          <w:color w:val="803108"/>
          <w:spacing w:val="-2"/>
          <w:sz w:val="12"/>
        </w:rPr>
        <w:t>discriminación</w:t>
      </w:r>
    </w:p>
    <w:p w14:paraId="67B6701F" w14:textId="77777777" w:rsidR="0014798C" w:rsidRDefault="0014798C">
      <w:pPr>
        <w:pStyle w:val="Textoindependiente"/>
        <w:rPr>
          <w:sz w:val="17"/>
        </w:rPr>
      </w:pPr>
    </w:p>
    <w:p w14:paraId="5CF83E16" w14:textId="77777777" w:rsidR="0014798C" w:rsidRDefault="0014798C">
      <w:pPr>
        <w:pStyle w:val="Textoindependiente"/>
        <w:rPr>
          <w:sz w:val="17"/>
        </w:rPr>
      </w:pPr>
    </w:p>
    <w:p w14:paraId="3A72B041" w14:textId="77777777" w:rsidR="0014798C" w:rsidRDefault="0014798C">
      <w:pPr>
        <w:pStyle w:val="Textoindependiente"/>
        <w:rPr>
          <w:sz w:val="17"/>
        </w:rPr>
      </w:pPr>
    </w:p>
    <w:p w14:paraId="5CE0746B" w14:textId="77777777" w:rsidR="0014798C" w:rsidRDefault="0014798C">
      <w:pPr>
        <w:pStyle w:val="Textoindependiente"/>
        <w:spacing w:before="183"/>
        <w:rPr>
          <w:sz w:val="17"/>
        </w:rPr>
      </w:pPr>
    </w:p>
    <w:p w14:paraId="29DF1FAA" w14:textId="77777777" w:rsidR="0014798C" w:rsidRDefault="004E1F0B">
      <w:pPr>
        <w:spacing w:line="307" w:lineRule="auto"/>
        <w:ind w:left="1107" w:right="1272"/>
        <w:rPr>
          <w:sz w:val="17"/>
        </w:rPr>
      </w:pPr>
      <w:r>
        <w:rPr>
          <w:sz w:val="17"/>
        </w:rPr>
        <w:t>que el demandante “estaba casado… según los ritos y tradiciones de la comunidad gitana”, señalando que tuvieron seis hijos juntos y vivieron juntos hasta el fallecimiento del señor Muñoz Díaz.942 El Tribunal resolvió que, por tanto, la</w:t>
      </w:r>
    </w:p>
    <w:p w14:paraId="6FCE7AB9" w14:textId="77777777" w:rsidR="0014798C" w:rsidRDefault="004E1F0B">
      <w:pPr>
        <w:spacing w:line="195" w:lineRule="exact"/>
        <w:ind w:left="1111"/>
        <w:rPr>
          <w:sz w:val="17"/>
        </w:rPr>
      </w:pPr>
      <w:r>
        <w:rPr>
          <w:sz w:val="17"/>
        </w:rPr>
        <w:t>denegación</w:t>
      </w:r>
      <w:r>
        <w:rPr>
          <w:spacing w:val="1"/>
          <w:sz w:val="17"/>
        </w:rPr>
        <w:t xml:space="preserve"> </w:t>
      </w:r>
      <w:r>
        <w:rPr>
          <w:sz w:val="17"/>
        </w:rPr>
        <w:t>por</w:t>
      </w:r>
      <w:r>
        <w:rPr>
          <w:spacing w:val="2"/>
          <w:sz w:val="17"/>
        </w:rPr>
        <w:t xml:space="preserve"> </w:t>
      </w:r>
      <w:r>
        <w:rPr>
          <w:sz w:val="17"/>
        </w:rPr>
        <w:t>parte</w:t>
      </w:r>
      <w:r>
        <w:rPr>
          <w:spacing w:val="2"/>
          <w:sz w:val="17"/>
        </w:rPr>
        <w:t xml:space="preserve"> </w:t>
      </w:r>
      <w:r>
        <w:rPr>
          <w:sz w:val="17"/>
        </w:rPr>
        <w:t>del</w:t>
      </w:r>
      <w:r>
        <w:rPr>
          <w:spacing w:val="2"/>
          <w:sz w:val="17"/>
        </w:rPr>
        <w:t xml:space="preserve"> </w:t>
      </w:r>
      <w:r>
        <w:rPr>
          <w:sz w:val="17"/>
        </w:rPr>
        <w:t>autoridades</w:t>
      </w:r>
      <w:r>
        <w:rPr>
          <w:spacing w:val="1"/>
          <w:sz w:val="17"/>
        </w:rPr>
        <w:t xml:space="preserve"> </w:t>
      </w:r>
      <w:r>
        <w:rPr>
          <w:sz w:val="17"/>
        </w:rPr>
        <w:t>españolas</w:t>
      </w:r>
      <w:r>
        <w:rPr>
          <w:spacing w:val="2"/>
          <w:sz w:val="17"/>
        </w:rPr>
        <w:t xml:space="preserve"> </w:t>
      </w:r>
      <w:r>
        <w:rPr>
          <w:sz w:val="17"/>
        </w:rPr>
        <w:t>de</w:t>
      </w:r>
      <w:r>
        <w:rPr>
          <w:spacing w:val="2"/>
          <w:sz w:val="17"/>
        </w:rPr>
        <w:t xml:space="preserve"> </w:t>
      </w:r>
      <w:r>
        <w:rPr>
          <w:sz w:val="17"/>
        </w:rPr>
        <w:t>una</w:t>
      </w:r>
      <w:r>
        <w:rPr>
          <w:spacing w:val="2"/>
          <w:sz w:val="17"/>
        </w:rPr>
        <w:t xml:space="preserve"> </w:t>
      </w:r>
      <w:r>
        <w:rPr>
          <w:sz w:val="17"/>
        </w:rPr>
        <w:t>pensión</w:t>
      </w:r>
      <w:r>
        <w:rPr>
          <w:spacing w:val="2"/>
          <w:sz w:val="17"/>
        </w:rPr>
        <w:t xml:space="preserve"> </w:t>
      </w:r>
      <w:r>
        <w:rPr>
          <w:sz w:val="17"/>
        </w:rPr>
        <w:t>de</w:t>
      </w:r>
      <w:r>
        <w:rPr>
          <w:spacing w:val="1"/>
          <w:sz w:val="17"/>
        </w:rPr>
        <w:t xml:space="preserve"> </w:t>
      </w:r>
      <w:r>
        <w:rPr>
          <w:sz w:val="17"/>
        </w:rPr>
        <w:t>viudedad</w:t>
      </w:r>
      <w:r>
        <w:rPr>
          <w:spacing w:val="2"/>
          <w:sz w:val="17"/>
        </w:rPr>
        <w:t xml:space="preserve"> </w:t>
      </w:r>
      <w:r>
        <w:rPr>
          <w:sz w:val="17"/>
        </w:rPr>
        <w:t>a</w:t>
      </w:r>
      <w:r>
        <w:rPr>
          <w:spacing w:val="2"/>
          <w:sz w:val="17"/>
        </w:rPr>
        <w:t xml:space="preserve"> </w:t>
      </w:r>
      <w:r>
        <w:rPr>
          <w:sz w:val="17"/>
        </w:rPr>
        <w:t>la</w:t>
      </w:r>
      <w:r>
        <w:rPr>
          <w:spacing w:val="2"/>
          <w:sz w:val="17"/>
        </w:rPr>
        <w:t xml:space="preserve"> </w:t>
      </w:r>
      <w:r>
        <w:rPr>
          <w:sz w:val="17"/>
        </w:rPr>
        <w:t>señora</w:t>
      </w:r>
      <w:r>
        <w:rPr>
          <w:spacing w:val="1"/>
          <w:sz w:val="17"/>
        </w:rPr>
        <w:t xml:space="preserve"> </w:t>
      </w:r>
      <w:r>
        <w:rPr>
          <w:sz w:val="17"/>
        </w:rPr>
        <w:t>Muñoz</w:t>
      </w:r>
      <w:r>
        <w:rPr>
          <w:spacing w:val="2"/>
          <w:sz w:val="17"/>
        </w:rPr>
        <w:t xml:space="preserve"> </w:t>
      </w:r>
      <w:r>
        <w:rPr>
          <w:sz w:val="17"/>
        </w:rPr>
        <w:t>Díaz</w:t>
      </w:r>
      <w:r>
        <w:rPr>
          <w:spacing w:val="2"/>
          <w:sz w:val="17"/>
        </w:rPr>
        <w:t xml:space="preserve"> </w:t>
      </w:r>
      <w:r>
        <w:rPr>
          <w:sz w:val="17"/>
        </w:rPr>
        <w:t>constituyó</w:t>
      </w:r>
      <w:r>
        <w:rPr>
          <w:spacing w:val="2"/>
          <w:sz w:val="17"/>
        </w:rPr>
        <w:t xml:space="preserve"> </w:t>
      </w:r>
      <w:r>
        <w:rPr>
          <w:spacing w:val="-2"/>
          <w:sz w:val="17"/>
        </w:rPr>
        <w:t>discriminación:</w:t>
      </w:r>
    </w:p>
    <w:p w14:paraId="5F46ED5D" w14:textId="77777777" w:rsidR="0014798C" w:rsidRDefault="0014798C">
      <w:pPr>
        <w:pStyle w:val="Textoindependiente"/>
        <w:spacing w:before="12"/>
      </w:pPr>
    </w:p>
    <w:p w14:paraId="3F0CE0D4" w14:textId="77777777" w:rsidR="0014798C" w:rsidRDefault="004E1F0B">
      <w:pPr>
        <w:pStyle w:val="Textoindependiente"/>
        <w:spacing w:line="326" w:lineRule="auto"/>
        <w:ind w:left="1672" w:right="1840"/>
      </w:pPr>
      <w:r>
        <w:rPr>
          <w:color w:val="803108"/>
        </w:rPr>
        <w:t>La prohibición de discriminación consagrada en el artículo 14 del Convenio sólo tiene sentido si, en cada caso particular, se tiene en cuenta exactamente la situación personal del solicitante en relación con los criterios enumerados en esa disposición. Proceder de otro modo al desestimar las reclamaciones de la víctima basándose</w:t>
      </w:r>
      <w:r>
        <w:rPr>
          <w:color w:val="803108"/>
          <w:spacing w:val="40"/>
        </w:rPr>
        <w:t xml:space="preserve"> </w:t>
      </w:r>
      <w:r>
        <w:rPr>
          <w:color w:val="803108"/>
        </w:rPr>
        <w:t>en que ella podría haber evitado la discriminación alterando uno de los factores en cuestión –por ejemplo, contrayendo matrimonio civil– privaría de sustancia al artículo 14.943</w:t>
      </w:r>
    </w:p>
    <w:p w14:paraId="6C19E8E6" w14:textId="77777777" w:rsidR="0014798C" w:rsidRDefault="0014798C">
      <w:pPr>
        <w:pStyle w:val="Textoindependiente"/>
        <w:spacing w:before="154"/>
      </w:pPr>
    </w:p>
    <w:p w14:paraId="3908AF20" w14:textId="77777777" w:rsidR="0014798C" w:rsidRDefault="004E1F0B">
      <w:pPr>
        <w:pStyle w:val="Textoindependiente"/>
        <w:spacing w:line="326" w:lineRule="auto"/>
        <w:ind w:left="1108" w:right="1335" w:hanging="1"/>
      </w:pPr>
      <w:r>
        <w:t>En</w:t>
      </w:r>
      <w:r>
        <w:rPr>
          <w:spacing w:val="-4"/>
        </w:rPr>
        <w:t xml:space="preserve"> </w:t>
      </w:r>
      <w:r>
        <w:t>casos</w:t>
      </w:r>
      <w:r>
        <w:rPr>
          <w:spacing w:val="-4"/>
        </w:rPr>
        <w:t xml:space="preserve"> </w:t>
      </w:r>
      <w:r>
        <w:t>relacionados</w:t>
      </w:r>
      <w:r>
        <w:rPr>
          <w:spacing w:val="-4"/>
        </w:rPr>
        <w:t xml:space="preserve"> </w:t>
      </w:r>
      <w:r>
        <w:t>con</w:t>
      </w:r>
      <w:r>
        <w:rPr>
          <w:spacing w:val="-4"/>
        </w:rPr>
        <w:t xml:space="preserve"> </w:t>
      </w:r>
      <w:r>
        <w:t>romaníes/gitanos,</w:t>
      </w:r>
      <w:r>
        <w:rPr>
          <w:spacing w:val="-3"/>
        </w:rPr>
        <w:t xml:space="preserve"> </w:t>
      </w:r>
      <w:r>
        <w:t>el</w:t>
      </w:r>
      <w:r>
        <w:rPr>
          <w:spacing w:val="-4"/>
        </w:rPr>
        <w:t xml:space="preserve"> </w:t>
      </w:r>
      <w:r>
        <w:t>Tribunal</w:t>
      </w:r>
      <w:r>
        <w:rPr>
          <w:spacing w:val="-4"/>
        </w:rPr>
        <w:t xml:space="preserve"> </w:t>
      </w:r>
      <w:r>
        <w:t>Europeo</w:t>
      </w:r>
      <w:r>
        <w:rPr>
          <w:spacing w:val="-4"/>
        </w:rPr>
        <w:t xml:space="preserve"> </w:t>
      </w:r>
      <w:r>
        <w:t>de</w:t>
      </w:r>
      <w:r>
        <w:rPr>
          <w:spacing w:val="-4"/>
        </w:rPr>
        <w:t xml:space="preserve"> </w:t>
      </w:r>
      <w:r>
        <w:t>Derechos</w:t>
      </w:r>
      <w:r>
        <w:rPr>
          <w:spacing w:val="-4"/>
        </w:rPr>
        <w:t xml:space="preserve"> </w:t>
      </w:r>
      <w:r>
        <w:t>Humanos</w:t>
      </w:r>
      <w:r>
        <w:rPr>
          <w:spacing w:val="-4"/>
        </w:rPr>
        <w:t xml:space="preserve"> </w:t>
      </w:r>
      <w:r>
        <w:t>también</w:t>
      </w:r>
      <w:r>
        <w:rPr>
          <w:spacing w:val="-4"/>
        </w:rPr>
        <w:t xml:space="preserve"> </w:t>
      </w:r>
      <w:r>
        <w:t>ha</w:t>
      </w:r>
      <w:r>
        <w:rPr>
          <w:spacing w:val="-4"/>
        </w:rPr>
        <w:t xml:space="preserve"> </w:t>
      </w:r>
      <w:r>
        <w:t>afirmado</w:t>
      </w:r>
      <w:r>
        <w:rPr>
          <w:spacing w:val="-4"/>
        </w:rPr>
        <w:t xml:space="preserve"> </w:t>
      </w:r>
      <w:r>
        <w:t>ampliamente</w:t>
      </w:r>
      <w:r>
        <w:rPr>
          <w:spacing w:val="-4"/>
        </w:rPr>
        <w:t xml:space="preserve"> </w:t>
      </w:r>
      <w:r>
        <w:t>que, en situaciones en las que los gobiernos establecen en la legislación nacional regímenes de protección de los derechos de las minorías, las protecciones incluidas allí (como la protección contra el desalojo) no pueden ser menores que las previstas. otras formas de vivienda.944</w:t>
      </w:r>
    </w:p>
    <w:p w14:paraId="1D3323F0" w14:textId="77777777" w:rsidR="0014798C" w:rsidRDefault="0014798C">
      <w:pPr>
        <w:pStyle w:val="Textoindependiente"/>
      </w:pPr>
    </w:p>
    <w:p w14:paraId="4DF66256" w14:textId="77777777" w:rsidR="0014798C" w:rsidRDefault="0014798C">
      <w:pPr>
        <w:pStyle w:val="Textoindependiente"/>
        <w:spacing w:before="99"/>
      </w:pPr>
    </w:p>
    <w:p w14:paraId="00276745" w14:textId="77777777" w:rsidR="0014798C" w:rsidRDefault="004E1F0B">
      <w:pPr>
        <w:pStyle w:val="Textoindependiente"/>
        <w:ind w:left="1342"/>
      </w:pPr>
      <w:r>
        <w:rPr>
          <w:noProof/>
        </w:rPr>
        <w:drawing>
          <wp:anchor distT="0" distB="0" distL="0" distR="0" simplePos="0" relativeHeight="251658459" behindDoc="1" locked="0" layoutInCell="1" allowOverlap="1" wp14:anchorId="6D7F6274" wp14:editId="4AF10004">
            <wp:simplePos x="0" y="0"/>
            <wp:positionH relativeFrom="page">
              <wp:posOffset>813154</wp:posOffset>
            </wp:positionH>
            <wp:positionV relativeFrom="paragraph">
              <wp:posOffset>-129801</wp:posOffset>
            </wp:positionV>
            <wp:extent cx="5943667" cy="5576251"/>
            <wp:effectExtent l="0" t="0" r="0" b="0"/>
            <wp:wrapNone/>
            <wp:docPr id="284" name="Image 28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84" name="Image 284"/>
                    <pic:cNvPicPr/>
                  </pic:nvPicPr>
                  <pic:blipFill>
                    <a:blip r:embed="rId266" cstate="print"/>
                    <a:stretch>
                      <a:fillRect/>
                    </a:stretch>
                  </pic:blipFill>
                  <pic:spPr>
                    <a:xfrm>
                      <a:off x="0" y="0"/>
                      <a:ext cx="5943667" cy="5576251"/>
                    </a:xfrm>
                    <a:prstGeom prst="rect">
                      <a:avLst/>
                    </a:prstGeom>
                  </pic:spPr>
                </pic:pic>
              </a:graphicData>
            </a:graphic>
          </wp:anchor>
        </w:drawing>
      </w:r>
      <w:r>
        <w:t>RECONOCIMIENTO</w:t>
      </w:r>
      <w:r>
        <w:rPr>
          <w:spacing w:val="-10"/>
        </w:rPr>
        <w:t xml:space="preserve"> </w:t>
      </w:r>
      <w:r>
        <w:t>DE</w:t>
      </w:r>
      <w:r>
        <w:rPr>
          <w:spacing w:val="-10"/>
        </w:rPr>
        <w:t xml:space="preserve"> </w:t>
      </w:r>
      <w:r>
        <w:t>LA</w:t>
      </w:r>
      <w:r>
        <w:rPr>
          <w:spacing w:val="-10"/>
        </w:rPr>
        <w:t xml:space="preserve"> </w:t>
      </w:r>
      <w:r>
        <w:t>KRISS</w:t>
      </w:r>
      <w:r>
        <w:rPr>
          <w:spacing w:val="-9"/>
        </w:rPr>
        <w:t xml:space="preserve"> </w:t>
      </w:r>
      <w:r>
        <w:t>ROMA</w:t>
      </w:r>
      <w:r>
        <w:rPr>
          <w:spacing w:val="-10"/>
        </w:rPr>
        <w:t xml:space="preserve"> </w:t>
      </w:r>
      <w:r>
        <w:t>EN</w:t>
      </w:r>
      <w:r>
        <w:rPr>
          <w:spacing w:val="-10"/>
        </w:rPr>
        <w:t xml:space="preserve"> </w:t>
      </w:r>
      <w:r>
        <w:rPr>
          <w:spacing w:val="-2"/>
        </w:rPr>
        <w:t>COLOMBIA</w:t>
      </w:r>
    </w:p>
    <w:p w14:paraId="02B1765F" w14:textId="77777777" w:rsidR="0014798C" w:rsidRDefault="0014798C">
      <w:pPr>
        <w:pStyle w:val="Textoindependiente"/>
        <w:spacing w:before="36"/>
      </w:pPr>
    </w:p>
    <w:p w14:paraId="6D16C5BF" w14:textId="77777777" w:rsidR="0014798C" w:rsidRDefault="004E1F0B">
      <w:pPr>
        <w:pStyle w:val="Textoindependiente"/>
        <w:spacing w:line="326" w:lineRule="auto"/>
        <w:ind w:left="1333" w:right="1408" w:hanging="1"/>
      </w:pPr>
      <w:r>
        <w:t xml:space="preserve">En 2018, los Ministerios del Interior y de Justicia y del Derecho de Colombia culminaron, junto con representantes de las comunidades gitanas del país, el proceso de creación de un protocolo para el reconocimiento de las </w:t>
      </w:r>
      <w:proofErr w:type="spellStart"/>
      <w:r>
        <w:t>Kriss</w:t>
      </w:r>
      <w:proofErr w:type="spellEnd"/>
      <w:r>
        <w:t xml:space="preserve"> Gitanas y recomendaciones para el acceso a la justicia (en el marco del Decreto 2957 de 2010). En 2019 se inició la difusión y sensibilización sobre el contenido del protocolo, en particular entre los funcionarios de justicia en los que </w:t>
      </w:r>
      <w:proofErr w:type="spellStart"/>
      <w:r>
        <w:t>Kumpañy</w:t>
      </w:r>
      <w:proofErr w:type="spellEnd"/>
      <w:r>
        <w:t xml:space="preserve"> Roma tiene</w:t>
      </w:r>
      <w:r>
        <w:rPr>
          <w:spacing w:val="-4"/>
        </w:rPr>
        <w:t xml:space="preserve"> </w:t>
      </w:r>
      <w:r>
        <w:t>presencia.</w:t>
      </w:r>
      <w:r>
        <w:rPr>
          <w:spacing w:val="-4"/>
        </w:rPr>
        <w:t xml:space="preserve"> </w:t>
      </w:r>
      <w:r>
        <w:t>Estas</w:t>
      </w:r>
      <w:r>
        <w:rPr>
          <w:spacing w:val="-4"/>
        </w:rPr>
        <w:t xml:space="preserve"> </w:t>
      </w:r>
      <w:r>
        <w:t>medidas</w:t>
      </w:r>
      <w:r>
        <w:rPr>
          <w:spacing w:val="-4"/>
        </w:rPr>
        <w:t xml:space="preserve"> </w:t>
      </w:r>
      <w:r>
        <w:t>fueron</w:t>
      </w:r>
      <w:r>
        <w:rPr>
          <w:spacing w:val="-4"/>
        </w:rPr>
        <w:t xml:space="preserve"> </w:t>
      </w:r>
      <w:r>
        <w:t>acompañadas</w:t>
      </w:r>
      <w:r>
        <w:rPr>
          <w:spacing w:val="-4"/>
        </w:rPr>
        <w:t xml:space="preserve"> </w:t>
      </w:r>
      <w:r>
        <w:t>de</w:t>
      </w:r>
      <w:r>
        <w:rPr>
          <w:spacing w:val="-4"/>
        </w:rPr>
        <w:t xml:space="preserve"> </w:t>
      </w:r>
      <w:r>
        <w:t>esfuerzos</w:t>
      </w:r>
      <w:r>
        <w:rPr>
          <w:spacing w:val="-4"/>
        </w:rPr>
        <w:t xml:space="preserve"> </w:t>
      </w:r>
      <w:r>
        <w:t>para</w:t>
      </w:r>
      <w:r>
        <w:rPr>
          <w:spacing w:val="-4"/>
        </w:rPr>
        <w:t xml:space="preserve"> </w:t>
      </w:r>
      <w:r>
        <w:t>asegurar</w:t>
      </w:r>
      <w:r>
        <w:rPr>
          <w:spacing w:val="-4"/>
        </w:rPr>
        <w:t xml:space="preserve"> </w:t>
      </w:r>
      <w:r>
        <w:t>la</w:t>
      </w:r>
      <w:r>
        <w:rPr>
          <w:spacing w:val="-4"/>
        </w:rPr>
        <w:t xml:space="preserve"> </w:t>
      </w:r>
      <w:r>
        <w:t>implementación</w:t>
      </w:r>
      <w:r>
        <w:rPr>
          <w:spacing w:val="-4"/>
        </w:rPr>
        <w:t xml:space="preserve"> </w:t>
      </w:r>
      <w:r>
        <w:t>de</w:t>
      </w:r>
      <w:r>
        <w:rPr>
          <w:spacing w:val="-4"/>
        </w:rPr>
        <w:t xml:space="preserve"> </w:t>
      </w:r>
      <w:r>
        <w:t>sus</w:t>
      </w:r>
      <w:r>
        <w:rPr>
          <w:spacing w:val="-4"/>
        </w:rPr>
        <w:t xml:space="preserve"> </w:t>
      </w:r>
      <w:r>
        <w:t>recomendaciones, realizados con el apoyo de la Misión de Apoyo al Proceso de Paz de la Organización de los Estados Americanos945.</w:t>
      </w:r>
    </w:p>
    <w:p w14:paraId="1DAD112F" w14:textId="77777777" w:rsidR="0014798C" w:rsidRDefault="0014798C">
      <w:pPr>
        <w:pStyle w:val="Textoindependiente"/>
      </w:pPr>
    </w:p>
    <w:p w14:paraId="137905C7" w14:textId="77777777" w:rsidR="0014798C" w:rsidRDefault="0014798C">
      <w:pPr>
        <w:pStyle w:val="Textoindependiente"/>
      </w:pPr>
    </w:p>
    <w:p w14:paraId="24DF64A2" w14:textId="77777777" w:rsidR="0014798C" w:rsidRDefault="0014798C">
      <w:pPr>
        <w:pStyle w:val="Textoindependiente"/>
        <w:spacing w:before="148"/>
      </w:pPr>
    </w:p>
    <w:p w14:paraId="29245D51" w14:textId="77777777" w:rsidR="0014798C" w:rsidRDefault="004E1F0B">
      <w:pPr>
        <w:pStyle w:val="Textoindependiente"/>
        <w:spacing w:line="326" w:lineRule="auto"/>
        <w:ind w:left="1105" w:right="1378" w:firstLine="1"/>
      </w:pPr>
      <w:r>
        <w:t>Un</w:t>
      </w:r>
      <w:r>
        <w:rPr>
          <w:spacing w:val="-3"/>
        </w:rPr>
        <w:t xml:space="preserve"> </w:t>
      </w:r>
      <w:r>
        <w:t>momento</w:t>
      </w:r>
      <w:r>
        <w:rPr>
          <w:spacing w:val="-3"/>
        </w:rPr>
        <w:t xml:space="preserve"> </w:t>
      </w:r>
      <w:r>
        <w:t>decisivo</w:t>
      </w:r>
      <w:r>
        <w:rPr>
          <w:spacing w:val="-3"/>
        </w:rPr>
        <w:t xml:space="preserve"> </w:t>
      </w:r>
      <w:r>
        <w:t>en</w:t>
      </w:r>
      <w:r>
        <w:rPr>
          <w:spacing w:val="-3"/>
        </w:rPr>
        <w:t xml:space="preserve"> </w:t>
      </w:r>
      <w:r>
        <w:t>la</w:t>
      </w:r>
      <w:r>
        <w:rPr>
          <w:spacing w:val="-3"/>
        </w:rPr>
        <w:t xml:space="preserve"> </w:t>
      </w:r>
      <w:r>
        <w:t>comprensión</w:t>
      </w:r>
      <w:r>
        <w:rPr>
          <w:spacing w:val="-3"/>
        </w:rPr>
        <w:t xml:space="preserve"> </w:t>
      </w:r>
      <w:r>
        <w:t>de</w:t>
      </w:r>
      <w:r>
        <w:rPr>
          <w:spacing w:val="-3"/>
        </w:rPr>
        <w:t xml:space="preserve"> </w:t>
      </w:r>
      <w:r>
        <w:t>los</w:t>
      </w:r>
      <w:r>
        <w:rPr>
          <w:spacing w:val="-3"/>
        </w:rPr>
        <w:t xml:space="preserve"> </w:t>
      </w:r>
      <w:r>
        <w:t>requisitos</w:t>
      </w:r>
      <w:r>
        <w:rPr>
          <w:spacing w:val="-3"/>
        </w:rPr>
        <w:t xml:space="preserve"> </w:t>
      </w:r>
      <w:r>
        <w:t>de</w:t>
      </w:r>
      <w:r>
        <w:rPr>
          <w:spacing w:val="-3"/>
        </w:rPr>
        <w:t xml:space="preserve"> </w:t>
      </w:r>
      <w:r>
        <w:t>los</w:t>
      </w:r>
      <w:r>
        <w:rPr>
          <w:spacing w:val="-3"/>
        </w:rPr>
        <w:t xml:space="preserve"> </w:t>
      </w:r>
      <w:r>
        <w:t>derechos</w:t>
      </w:r>
      <w:r>
        <w:rPr>
          <w:spacing w:val="-3"/>
        </w:rPr>
        <w:t xml:space="preserve"> </w:t>
      </w:r>
      <w:r>
        <w:t>de</w:t>
      </w:r>
      <w:r>
        <w:rPr>
          <w:spacing w:val="-3"/>
        </w:rPr>
        <w:t xml:space="preserve"> </w:t>
      </w:r>
      <w:r>
        <w:t>las</w:t>
      </w:r>
      <w:r>
        <w:rPr>
          <w:spacing w:val="-3"/>
        </w:rPr>
        <w:t xml:space="preserve"> </w:t>
      </w:r>
      <w:r>
        <w:t>minorías</w:t>
      </w:r>
      <w:r>
        <w:rPr>
          <w:spacing w:val="-3"/>
        </w:rPr>
        <w:t xml:space="preserve"> </w:t>
      </w:r>
      <w:r>
        <w:t>se</w:t>
      </w:r>
      <w:r>
        <w:rPr>
          <w:spacing w:val="-3"/>
        </w:rPr>
        <w:t xml:space="preserve"> </w:t>
      </w:r>
      <w:r>
        <w:t>produjo</w:t>
      </w:r>
      <w:r>
        <w:rPr>
          <w:spacing w:val="-3"/>
        </w:rPr>
        <w:t xml:space="preserve"> </w:t>
      </w:r>
      <w:r>
        <w:t>a</w:t>
      </w:r>
      <w:r>
        <w:rPr>
          <w:spacing w:val="-3"/>
        </w:rPr>
        <w:t xml:space="preserve"> </w:t>
      </w:r>
      <w:r>
        <w:t>principios</w:t>
      </w:r>
      <w:r>
        <w:rPr>
          <w:spacing w:val="-3"/>
        </w:rPr>
        <w:t xml:space="preserve"> </w:t>
      </w:r>
      <w:r>
        <w:t>de</w:t>
      </w:r>
      <w:r>
        <w:rPr>
          <w:spacing w:val="-3"/>
        </w:rPr>
        <w:t xml:space="preserve"> </w:t>
      </w:r>
      <w:r>
        <w:t>la</w:t>
      </w:r>
      <w:r>
        <w:rPr>
          <w:spacing w:val="-3"/>
        </w:rPr>
        <w:t xml:space="preserve"> </w:t>
      </w:r>
      <w:r>
        <w:t>década</w:t>
      </w:r>
      <w:r>
        <w:rPr>
          <w:spacing w:val="-3"/>
        </w:rPr>
        <w:t xml:space="preserve"> </w:t>
      </w:r>
      <w:r>
        <w:t>de 1980, cuando el Comité de Derechos Humanos sostuvo que las obligaciones de igualdad eran inherentes a los derechos de las minorías y los indígenas y, por tanto, que las disposiciones para el autogobierno de las comunidades indígenas o minoritarias debían</w:t>
      </w:r>
      <w:r>
        <w:rPr>
          <w:spacing w:val="-3"/>
        </w:rPr>
        <w:t xml:space="preserve"> </w:t>
      </w:r>
      <w:r>
        <w:t>implementarse</w:t>
      </w:r>
      <w:r>
        <w:rPr>
          <w:spacing w:val="-3"/>
        </w:rPr>
        <w:t xml:space="preserve"> </w:t>
      </w:r>
      <w:r>
        <w:t>de</w:t>
      </w:r>
      <w:r>
        <w:rPr>
          <w:spacing w:val="-3"/>
        </w:rPr>
        <w:t xml:space="preserve"> </w:t>
      </w:r>
      <w:r>
        <w:t>conformidad</w:t>
      </w:r>
      <w:r>
        <w:rPr>
          <w:spacing w:val="-3"/>
        </w:rPr>
        <w:t xml:space="preserve"> </w:t>
      </w:r>
      <w:r>
        <w:t>con</w:t>
      </w:r>
      <w:r>
        <w:rPr>
          <w:spacing w:val="-3"/>
        </w:rPr>
        <w:t xml:space="preserve"> </w:t>
      </w:r>
      <w:r>
        <w:t>Obligaciones</w:t>
      </w:r>
      <w:r>
        <w:rPr>
          <w:spacing w:val="-3"/>
        </w:rPr>
        <w:t xml:space="preserve"> </w:t>
      </w:r>
      <w:r>
        <w:t>de</w:t>
      </w:r>
      <w:r>
        <w:rPr>
          <w:spacing w:val="-3"/>
        </w:rPr>
        <w:t xml:space="preserve"> </w:t>
      </w:r>
      <w:r>
        <w:t>los</w:t>
      </w:r>
      <w:r>
        <w:rPr>
          <w:spacing w:val="-3"/>
        </w:rPr>
        <w:t xml:space="preserve"> </w:t>
      </w:r>
      <w:r>
        <w:t>Estados</w:t>
      </w:r>
      <w:r>
        <w:rPr>
          <w:spacing w:val="-3"/>
        </w:rPr>
        <w:t xml:space="preserve"> </w:t>
      </w:r>
      <w:r>
        <w:t>de</w:t>
      </w:r>
      <w:r>
        <w:rPr>
          <w:spacing w:val="-3"/>
        </w:rPr>
        <w:t xml:space="preserve"> </w:t>
      </w:r>
      <w:r>
        <w:t>garantizar</w:t>
      </w:r>
      <w:r>
        <w:rPr>
          <w:spacing w:val="-3"/>
        </w:rPr>
        <w:t xml:space="preserve"> </w:t>
      </w:r>
      <w:r>
        <w:t>la</w:t>
      </w:r>
      <w:r>
        <w:rPr>
          <w:spacing w:val="-3"/>
        </w:rPr>
        <w:t xml:space="preserve"> </w:t>
      </w:r>
      <w:r>
        <w:t>no</w:t>
      </w:r>
      <w:r>
        <w:rPr>
          <w:spacing w:val="-3"/>
        </w:rPr>
        <w:t xml:space="preserve"> </w:t>
      </w:r>
      <w:r>
        <w:t>discriminación.</w:t>
      </w:r>
      <w:r>
        <w:rPr>
          <w:spacing w:val="-1"/>
        </w:rPr>
        <w:t xml:space="preserve"> </w:t>
      </w:r>
      <w:r>
        <w:t>En</w:t>
      </w:r>
      <w:r>
        <w:rPr>
          <w:spacing w:val="-3"/>
        </w:rPr>
        <w:t xml:space="preserve"> </w:t>
      </w:r>
      <w:r>
        <w:t>el</w:t>
      </w:r>
      <w:r>
        <w:rPr>
          <w:spacing w:val="-3"/>
        </w:rPr>
        <w:t xml:space="preserve"> </w:t>
      </w:r>
      <w:r>
        <w:t>caso</w:t>
      </w:r>
      <w:r>
        <w:rPr>
          <w:spacing w:val="-3"/>
        </w:rPr>
        <w:t xml:space="preserve"> </w:t>
      </w:r>
      <w:r>
        <w:t>histórico</w:t>
      </w:r>
      <w:r>
        <w:rPr>
          <w:spacing w:val="-3"/>
        </w:rPr>
        <w:t xml:space="preserve"> </w:t>
      </w:r>
      <w:r>
        <w:t xml:space="preserve">de Lovelace contra Canadá, el Comité de Derechos Humanos dictaminó, en efecto, que los requisitos de igualdad de género eran inherentes al artículo 27 del Pacto Internacional de Derechos Civiles y Políticos sobre garantías de los derechos de las minorías. El caso se refería a una mujer de las Primeras Naciones llamada Sandra Lovelace, quien descubrió que, después de su divorcio de un hombre no aborigen y su esfuerzo por regresar a la Reserva de </w:t>
      </w:r>
      <w:proofErr w:type="spellStart"/>
      <w:r>
        <w:t>Tobique</w:t>
      </w:r>
      <w:proofErr w:type="spellEnd"/>
      <w:r>
        <w:t>, ella y sus hijos habían perdido su condición de pueblos de las Primeras Naciones, privándolos de acceso a vivienda, educación y atención médica. Un hombre de las Primeras Naciones en una situación similar no habría sido privado de su estatus o derechos. El Gobierno de Canadá se esforzó por</w:t>
      </w:r>
    </w:p>
    <w:p w14:paraId="731CA452" w14:textId="77777777" w:rsidR="0014798C" w:rsidRDefault="004E1F0B">
      <w:pPr>
        <w:pStyle w:val="Textoindependiente"/>
        <w:spacing w:line="326" w:lineRule="auto"/>
        <w:ind w:left="1107" w:right="1272"/>
      </w:pPr>
      <w:r>
        <w:t>argumentar</w:t>
      </w:r>
      <w:r>
        <w:rPr>
          <w:spacing w:val="-2"/>
        </w:rPr>
        <w:t xml:space="preserve"> </w:t>
      </w:r>
      <w:r>
        <w:t>que</w:t>
      </w:r>
      <w:r>
        <w:rPr>
          <w:spacing w:val="-2"/>
        </w:rPr>
        <w:t xml:space="preserve"> </w:t>
      </w:r>
      <w:r>
        <w:t>las</w:t>
      </w:r>
      <w:r>
        <w:rPr>
          <w:spacing w:val="-2"/>
        </w:rPr>
        <w:t xml:space="preserve"> </w:t>
      </w:r>
      <w:r>
        <w:t>comunidades</w:t>
      </w:r>
      <w:r>
        <w:rPr>
          <w:spacing w:val="-2"/>
        </w:rPr>
        <w:t xml:space="preserve"> </w:t>
      </w:r>
      <w:r>
        <w:t>de</w:t>
      </w:r>
      <w:r>
        <w:rPr>
          <w:spacing w:val="-2"/>
        </w:rPr>
        <w:t xml:space="preserve"> </w:t>
      </w:r>
      <w:r>
        <w:t>las</w:t>
      </w:r>
      <w:r>
        <w:rPr>
          <w:spacing w:val="-2"/>
        </w:rPr>
        <w:t xml:space="preserve"> </w:t>
      </w:r>
      <w:r>
        <w:t>Primeras</w:t>
      </w:r>
      <w:r>
        <w:rPr>
          <w:spacing w:val="-2"/>
        </w:rPr>
        <w:t xml:space="preserve"> </w:t>
      </w:r>
      <w:r>
        <w:t>Naciones,</w:t>
      </w:r>
      <w:r>
        <w:rPr>
          <w:spacing w:val="-1"/>
        </w:rPr>
        <w:t xml:space="preserve"> </w:t>
      </w:r>
      <w:r>
        <w:t>incluida</w:t>
      </w:r>
      <w:r>
        <w:rPr>
          <w:spacing w:val="-2"/>
        </w:rPr>
        <w:t xml:space="preserve"> </w:t>
      </w:r>
      <w:proofErr w:type="spellStart"/>
      <w:r>
        <w:t>la</w:t>
      </w:r>
      <w:r>
        <w:rPr>
          <w:spacing w:val="-2"/>
        </w:rPr>
        <w:t xml:space="preserve"> </w:t>
      </w:r>
      <w:r>
        <w:t>en</w:t>
      </w:r>
      <w:proofErr w:type="spellEnd"/>
      <w:r>
        <w:rPr>
          <w:spacing w:val="-2"/>
        </w:rPr>
        <w:t xml:space="preserve"> </w:t>
      </w:r>
      <w:r>
        <w:t>cuestión,</w:t>
      </w:r>
      <w:r>
        <w:rPr>
          <w:spacing w:val="-1"/>
        </w:rPr>
        <w:t xml:space="preserve"> </w:t>
      </w:r>
      <w:r>
        <w:t>disfrutaban</w:t>
      </w:r>
      <w:r>
        <w:rPr>
          <w:spacing w:val="-2"/>
        </w:rPr>
        <w:t xml:space="preserve"> </w:t>
      </w:r>
      <w:r>
        <w:t>de</w:t>
      </w:r>
      <w:r>
        <w:rPr>
          <w:spacing w:val="-2"/>
        </w:rPr>
        <w:t xml:space="preserve"> </w:t>
      </w:r>
      <w:r>
        <w:t>un</w:t>
      </w:r>
      <w:r>
        <w:rPr>
          <w:spacing w:val="-2"/>
        </w:rPr>
        <w:t xml:space="preserve"> </w:t>
      </w:r>
      <w:r>
        <w:t>estatus</w:t>
      </w:r>
      <w:r>
        <w:rPr>
          <w:spacing w:val="-2"/>
        </w:rPr>
        <w:t xml:space="preserve"> </w:t>
      </w:r>
      <w:r>
        <w:t>autónomo</w:t>
      </w:r>
      <w:r>
        <w:rPr>
          <w:spacing w:val="-2"/>
        </w:rPr>
        <w:t xml:space="preserve"> </w:t>
      </w:r>
      <w:r>
        <w:t>regido</w:t>
      </w:r>
      <w:r>
        <w:rPr>
          <w:spacing w:val="-2"/>
        </w:rPr>
        <w:t xml:space="preserve"> </w:t>
      </w:r>
      <w:r>
        <w:t>por un</w:t>
      </w:r>
      <w:r>
        <w:rPr>
          <w:spacing w:val="-3"/>
        </w:rPr>
        <w:t xml:space="preserve"> </w:t>
      </w:r>
      <w:r>
        <w:t>tratado,</w:t>
      </w:r>
      <w:r>
        <w:rPr>
          <w:spacing w:val="-2"/>
        </w:rPr>
        <w:t xml:space="preserve"> </w:t>
      </w:r>
      <w:r>
        <w:t>lo</w:t>
      </w:r>
      <w:r>
        <w:rPr>
          <w:spacing w:val="-3"/>
        </w:rPr>
        <w:t xml:space="preserve"> </w:t>
      </w:r>
      <w:r>
        <w:t>que</w:t>
      </w:r>
      <w:r>
        <w:rPr>
          <w:spacing w:val="-3"/>
        </w:rPr>
        <w:t xml:space="preserve"> </w:t>
      </w:r>
      <w:r>
        <w:t>excluye</w:t>
      </w:r>
      <w:r>
        <w:rPr>
          <w:spacing w:val="-3"/>
        </w:rPr>
        <w:t xml:space="preserve"> </w:t>
      </w:r>
      <w:r>
        <w:t>la</w:t>
      </w:r>
      <w:r>
        <w:rPr>
          <w:spacing w:val="-3"/>
        </w:rPr>
        <w:t xml:space="preserve"> </w:t>
      </w:r>
      <w:r>
        <w:t>posibilidad</w:t>
      </w:r>
      <w:r>
        <w:rPr>
          <w:spacing w:val="-3"/>
        </w:rPr>
        <w:t xml:space="preserve"> </w:t>
      </w:r>
      <w:r>
        <w:t>de</w:t>
      </w:r>
      <w:r>
        <w:rPr>
          <w:spacing w:val="-3"/>
        </w:rPr>
        <w:t xml:space="preserve"> </w:t>
      </w:r>
      <w:r>
        <w:t>anulación</w:t>
      </w:r>
      <w:r>
        <w:rPr>
          <w:spacing w:val="-3"/>
        </w:rPr>
        <w:t xml:space="preserve"> </w:t>
      </w:r>
      <w:r>
        <w:t>desde</w:t>
      </w:r>
      <w:r>
        <w:rPr>
          <w:spacing w:val="-3"/>
        </w:rPr>
        <w:t xml:space="preserve"> </w:t>
      </w:r>
      <w:r>
        <w:t>el</w:t>
      </w:r>
      <w:r>
        <w:rPr>
          <w:spacing w:val="-3"/>
        </w:rPr>
        <w:t xml:space="preserve"> </w:t>
      </w:r>
      <w:r>
        <w:t>nivel</w:t>
      </w:r>
      <w:r>
        <w:rPr>
          <w:spacing w:val="-3"/>
        </w:rPr>
        <w:t xml:space="preserve"> </w:t>
      </w:r>
      <w:r>
        <w:t>federal.</w:t>
      </w:r>
      <w:r>
        <w:rPr>
          <w:spacing w:val="-2"/>
        </w:rPr>
        <w:t xml:space="preserve"> </w:t>
      </w:r>
      <w:r>
        <w:t>El</w:t>
      </w:r>
      <w:r>
        <w:rPr>
          <w:spacing w:val="-3"/>
        </w:rPr>
        <w:t xml:space="preserve"> </w:t>
      </w:r>
      <w:r>
        <w:t>Comité</w:t>
      </w:r>
      <w:r>
        <w:rPr>
          <w:spacing w:val="-3"/>
        </w:rPr>
        <w:t xml:space="preserve"> </w:t>
      </w:r>
      <w:r>
        <w:t>de</w:t>
      </w:r>
      <w:r>
        <w:rPr>
          <w:spacing w:val="-3"/>
        </w:rPr>
        <w:t xml:space="preserve"> </w:t>
      </w:r>
      <w:r>
        <w:t>Derechos</w:t>
      </w:r>
      <w:r>
        <w:rPr>
          <w:spacing w:val="-3"/>
        </w:rPr>
        <w:t xml:space="preserve"> </w:t>
      </w:r>
      <w:r>
        <w:t>Humanos</w:t>
      </w:r>
      <w:r>
        <w:rPr>
          <w:spacing w:val="-3"/>
        </w:rPr>
        <w:t xml:space="preserve"> </w:t>
      </w:r>
      <w:r>
        <w:t>sostuvo</w:t>
      </w:r>
      <w:r>
        <w:rPr>
          <w:spacing w:val="-3"/>
        </w:rPr>
        <w:t xml:space="preserve"> </w:t>
      </w:r>
      <w:r>
        <w:t>que</w:t>
      </w:r>
      <w:r>
        <w:rPr>
          <w:spacing w:val="-3"/>
        </w:rPr>
        <w:t xml:space="preserve"> </w:t>
      </w:r>
      <w:r>
        <w:t>se</w:t>
      </w:r>
      <w:r>
        <w:rPr>
          <w:spacing w:val="-3"/>
        </w:rPr>
        <w:t xml:space="preserve"> </w:t>
      </w:r>
      <w:r>
        <w:t>había violado el artículo 27 del Pacto Internacional de Derechos Civiles y Políticos.946 En sus orientaciones posteriores contenidas en la Observación general núm. 28 (2000), el Comité explicó lo siguiente:</w:t>
      </w:r>
    </w:p>
    <w:p w14:paraId="2CD8CAF6" w14:textId="77777777" w:rsidR="0014798C" w:rsidRDefault="004E1F0B">
      <w:pPr>
        <w:pStyle w:val="Textoindependiente"/>
        <w:spacing w:before="107"/>
        <w:ind w:left="1672"/>
      </w:pPr>
      <w:r>
        <w:rPr>
          <w:color w:val="803108"/>
        </w:rPr>
        <w:t>Los</w:t>
      </w:r>
      <w:r>
        <w:rPr>
          <w:color w:val="803108"/>
          <w:spacing w:val="-8"/>
        </w:rPr>
        <w:t xml:space="preserve"> </w:t>
      </w:r>
      <w:r>
        <w:rPr>
          <w:color w:val="803108"/>
        </w:rPr>
        <w:t>derechos</w:t>
      </w:r>
      <w:r>
        <w:rPr>
          <w:color w:val="803108"/>
          <w:spacing w:val="-7"/>
        </w:rPr>
        <w:t xml:space="preserve"> </w:t>
      </w:r>
      <w:r>
        <w:rPr>
          <w:color w:val="803108"/>
        </w:rPr>
        <w:t>de</w:t>
      </w:r>
      <w:r>
        <w:rPr>
          <w:color w:val="803108"/>
          <w:spacing w:val="-7"/>
        </w:rPr>
        <w:t xml:space="preserve"> </w:t>
      </w:r>
      <w:r>
        <w:rPr>
          <w:color w:val="803108"/>
        </w:rPr>
        <w:t>que</w:t>
      </w:r>
      <w:r>
        <w:rPr>
          <w:color w:val="803108"/>
          <w:spacing w:val="-8"/>
        </w:rPr>
        <w:t xml:space="preserve"> </w:t>
      </w:r>
      <w:r>
        <w:rPr>
          <w:color w:val="803108"/>
        </w:rPr>
        <w:t>disfrutan</w:t>
      </w:r>
      <w:r>
        <w:rPr>
          <w:color w:val="803108"/>
          <w:spacing w:val="-7"/>
        </w:rPr>
        <w:t xml:space="preserve"> </w:t>
      </w:r>
      <w:r>
        <w:rPr>
          <w:color w:val="803108"/>
        </w:rPr>
        <w:t>las</w:t>
      </w:r>
      <w:r>
        <w:rPr>
          <w:color w:val="803108"/>
          <w:spacing w:val="-7"/>
        </w:rPr>
        <w:t xml:space="preserve"> </w:t>
      </w:r>
      <w:r>
        <w:rPr>
          <w:color w:val="803108"/>
        </w:rPr>
        <w:t>personas</w:t>
      </w:r>
      <w:r>
        <w:rPr>
          <w:color w:val="803108"/>
          <w:spacing w:val="-7"/>
        </w:rPr>
        <w:t xml:space="preserve"> </w:t>
      </w:r>
      <w:r>
        <w:rPr>
          <w:color w:val="803108"/>
        </w:rPr>
        <w:t>pertenecientes</w:t>
      </w:r>
      <w:r>
        <w:rPr>
          <w:color w:val="803108"/>
          <w:spacing w:val="-8"/>
        </w:rPr>
        <w:t xml:space="preserve"> </w:t>
      </w:r>
      <w:r>
        <w:rPr>
          <w:color w:val="803108"/>
        </w:rPr>
        <w:t>a</w:t>
      </w:r>
      <w:r>
        <w:rPr>
          <w:color w:val="803108"/>
          <w:spacing w:val="-7"/>
        </w:rPr>
        <w:t xml:space="preserve"> </w:t>
      </w:r>
      <w:r>
        <w:rPr>
          <w:color w:val="803108"/>
        </w:rPr>
        <w:t>minorías</w:t>
      </w:r>
      <w:r>
        <w:rPr>
          <w:color w:val="803108"/>
          <w:spacing w:val="-7"/>
        </w:rPr>
        <w:t xml:space="preserve"> </w:t>
      </w:r>
      <w:r>
        <w:rPr>
          <w:color w:val="803108"/>
        </w:rPr>
        <w:t>en</w:t>
      </w:r>
      <w:r>
        <w:rPr>
          <w:color w:val="803108"/>
          <w:spacing w:val="-8"/>
        </w:rPr>
        <w:t xml:space="preserve"> </w:t>
      </w:r>
      <w:r>
        <w:rPr>
          <w:color w:val="803108"/>
        </w:rPr>
        <w:t>virtud</w:t>
      </w:r>
      <w:r>
        <w:rPr>
          <w:color w:val="803108"/>
          <w:spacing w:val="-7"/>
        </w:rPr>
        <w:t xml:space="preserve"> </w:t>
      </w:r>
      <w:r>
        <w:rPr>
          <w:color w:val="803108"/>
        </w:rPr>
        <w:t>del</w:t>
      </w:r>
      <w:r>
        <w:rPr>
          <w:color w:val="803108"/>
          <w:spacing w:val="-7"/>
        </w:rPr>
        <w:t xml:space="preserve"> </w:t>
      </w:r>
      <w:r>
        <w:rPr>
          <w:color w:val="803108"/>
        </w:rPr>
        <w:t>artículo</w:t>
      </w:r>
      <w:r>
        <w:rPr>
          <w:color w:val="803108"/>
          <w:spacing w:val="-7"/>
        </w:rPr>
        <w:t xml:space="preserve"> </w:t>
      </w:r>
      <w:r>
        <w:rPr>
          <w:color w:val="803108"/>
        </w:rPr>
        <w:t>27</w:t>
      </w:r>
      <w:r>
        <w:rPr>
          <w:color w:val="803108"/>
          <w:spacing w:val="-8"/>
        </w:rPr>
        <w:t xml:space="preserve"> </w:t>
      </w:r>
      <w:r>
        <w:rPr>
          <w:color w:val="803108"/>
        </w:rPr>
        <w:t>del</w:t>
      </w:r>
      <w:r>
        <w:rPr>
          <w:color w:val="803108"/>
          <w:spacing w:val="-7"/>
        </w:rPr>
        <w:t xml:space="preserve"> </w:t>
      </w:r>
      <w:r>
        <w:rPr>
          <w:color w:val="803108"/>
        </w:rPr>
        <w:t>Pacto</w:t>
      </w:r>
      <w:r>
        <w:rPr>
          <w:color w:val="803108"/>
          <w:spacing w:val="-7"/>
        </w:rPr>
        <w:t xml:space="preserve"> </w:t>
      </w:r>
      <w:r>
        <w:rPr>
          <w:color w:val="803108"/>
        </w:rPr>
        <w:t>respecto</w:t>
      </w:r>
      <w:r>
        <w:rPr>
          <w:color w:val="803108"/>
          <w:spacing w:val="-8"/>
        </w:rPr>
        <w:t xml:space="preserve"> </w:t>
      </w:r>
      <w:r>
        <w:rPr>
          <w:color w:val="803108"/>
          <w:spacing w:val="-5"/>
        </w:rPr>
        <w:t>de</w:t>
      </w:r>
    </w:p>
    <w:p w14:paraId="13EF0BDF" w14:textId="77777777" w:rsidR="0014798C" w:rsidRDefault="004E1F0B">
      <w:pPr>
        <w:pStyle w:val="Textoindependiente"/>
        <w:spacing w:before="65" w:line="326" w:lineRule="auto"/>
        <w:ind w:left="1672" w:right="1463" w:firstLine="1"/>
      </w:pPr>
      <w:r>
        <w:rPr>
          <w:color w:val="803108"/>
        </w:rPr>
        <w:t>su</w:t>
      </w:r>
      <w:r>
        <w:rPr>
          <w:color w:val="803108"/>
          <w:spacing w:val="-1"/>
        </w:rPr>
        <w:t xml:space="preserve"> </w:t>
      </w:r>
      <w:r>
        <w:rPr>
          <w:color w:val="803108"/>
        </w:rPr>
        <w:t>idioma, cultura</w:t>
      </w:r>
      <w:r>
        <w:rPr>
          <w:color w:val="803108"/>
          <w:spacing w:val="-1"/>
        </w:rPr>
        <w:t xml:space="preserve"> </w:t>
      </w:r>
      <w:r>
        <w:rPr>
          <w:color w:val="803108"/>
        </w:rPr>
        <w:t>y</w:t>
      </w:r>
      <w:r>
        <w:rPr>
          <w:color w:val="803108"/>
          <w:spacing w:val="-1"/>
        </w:rPr>
        <w:t xml:space="preserve"> </w:t>
      </w:r>
      <w:r>
        <w:rPr>
          <w:color w:val="803108"/>
        </w:rPr>
        <w:t>religión</w:t>
      </w:r>
      <w:r>
        <w:rPr>
          <w:color w:val="803108"/>
          <w:spacing w:val="-1"/>
        </w:rPr>
        <w:t xml:space="preserve"> </w:t>
      </w:r>
      <w:r>
        <w:rPr>
          <w:color w:val="803108"/>
        </w:rPr>
        <w:t>no</w:t>
      </w:r>
      <w:r>
        <w:rPr>
          <w:color w:val="803108"/>
          <w:spacing w:val="-1"/>
        </w:rPr>
        <w:t xml:space="preserve"> </w:t>
      </w:r>
      <w:r>
        <w:rPr>
          <w:color w:val="803108"/>
        </w:rPr>
        <w:t>autorizan</w:t>
      </w:r>
      <w:r>
        <w:rPr>
          <w:color w:val="803108"/>
          <w:spacing w:val="-1"/>
        </w:rPr>
        <w:t xml:space="preserve"> </w:t>
      </w:r>
      <w:r>
        <w:rPr>
          <w:color w:val="803108"/>
        </w:rPr>
        <w:t>a</w:t>
      </w:r>
      <w:r>
        <w:rPr>
          <w:color w:val="803108"/>
          <w:spacing w:val="-1"/>
        </w:rPr>
        <w:t xml:space="preserve"> </w:t>
      </w:r>
      <w:r>
        <w:rPr>
          <w:color w:val="803108"/>
        </w:rPr>
        <w:t>ningún</w:t>
      </w:r>
      <w:r>
        <w:rPr>
          <w:color w:val="803108"/>
          <w:spacing w:val="-1"/>
        </w:rPr>
        <w:t xml:space="preserve"> </w:t>
      </w:r>
      <w:r>
        <w:rPr>
          <w:color w:val="803108"/>
        </w:rPr>
        <w:t>Estado, grupo</w:t>
      </w:r>
      <w:r>
        <w:rPr>
          <w:color w:val="803108"/>
          <w:spacing w:val="-1"/>
        </w:rPr>
        <w:t xml:space="preserve"> </w:t>
      </w:r>
      <w:r>
        <w:rPr>
          <w:color w:val="803108"/>
        </w:rPr>
        <w:t>o</w:t>
      </w:r>
      <w:r>
        <w:rPr>
          <w:color w:val="803108"/>
          <w:spacing w:val="-1"/>
        </w:rPr>
        <w:t xml:space="preserve"> </w:t>
      </w:r>
      <w:r>
        <w:rPr>
          <w:color w:val="803108"/>
        </w:rPr>
        <w:t>persona</w:t>
      </w:r>
      <w:r>
        <w:rPr>
          <w:color w:val="803108"/>
          <w:spacing w:val="-1"/>
        </w:rPr>
        <w:t xml:space="preserve"> </w:t>
      </w:r>
      <w:r>
        <w:rPr>
          <w:color w:val="803108"/>
        </w:rPr>
        <w:t>a</w:t>
      </w:r>
      <w:r>
        <w:rPr>
          <w:color w:val="803108"/>
          <w:spacing w:val="-1"/>
        </w:rPr>
        <w:t xml:space="preserve"> </w:t>
      </w:r>
      <w:r>
        <w:rPr>
          <w:color w:val="803108"/>
        </w:rPr>
        <w:t>violar</w:t>
      </w:r>
      <w:r>
        <w:rPr>
          <w:color w:val="803108"/>
          <w:spacing w:val="-1"/>
        </w:rPr>
        <w:t xml:space="preserve"> </w:t>
      </w:r>
      <w:r>
        <w:rPr>
          <w:color w:val="803108"/>
        </w:rPr>
        <w:t>el</w:t>
      </w:r>
      <w:r>
        <w:rPr>
          <w:color w:val="803108"/>
          <w:spacing w:val="-1"/>
        </w:rPr>
        <w:t xml:space="preserve"> </w:t>
      </w:r>
      <w:r>
        <w:rPr>
          <w:color w:val="803108"/>
        </w:rPr>
        <w:t>derecho</w:t>
      </w:r>
      <w:r>
        <w:rPr>
          <w:color w:val="803108"/>
          <w:spacing w:val="-1"/>
        </w:rPr>
        <w:t xml:space="preserve"> </w:t>
      </w:r>
      <w:r>
        <w:rPr>
          <w:color w:val="803108"/>
        </w:rPr>
        <w:t>al</w:t>
      </w:r>
      <w:r>
        <w:rPr>
          <w:color w:val="803108"/>
          <w:spacing w:val="-1"/>
        </w:rPr>
        <w:t xml:space="preserve"> </w:t>
      </w:r>
      <w:r>
        <w:rPr>
          <w:color w:val="803108"/>
        </w:rPr>
        <w:t>disfrute</w:t>
      </w:r>
      <w:r>
        <w:rPr>
          <w:color w:val="803108"/>
          <w:spacing w:val="-1"/>
        </w:rPr>
        <w:t xml:space="preserve"> </w:t>
      </w:r>
      <w:r>
        <w:rPr>
          <w:color w:val="803108"/>
        </w:rPr>
        <w:t>en</w:t>
      </w:r>
      <w:r>
        <w:rPr>
          <w:color w:val="803108"/>
          <w:spacing w:val="-1"/>
        </w:rPr>
        <w:t xml:space="preserve"> </w:t>
      </w:r>
      <w:r>
        <w:rPr>
          <w:color w:val="803108"/>
        </w:rPr>
        <w:t>condiciones de igualdad por las mujeres de cualquiera de los derechos del Pacto, incluido el derecho a la igualdad ante la ley. Los Estados</w:t>
      </w:r>
      <w:r>
        <w:rPr>
          <w:color w:val="803108"/>
          <w:spacing w:val="-4"/>
        </w:rPr>
        <w:t xml:space="preserve"> </w:t>
      </w:r>
      <w:r>
        <w:rPr>
          <w:color w:val="803108"/>
        </w:rPr>
        <w:t>deben</w:t>
      </w:r>
      <w:r>
        <w:rPr>
          <w:color w:val="803108"/>
          <w:spacing w:val="-4"/>
        </w:rPr>
        <w:t xml:space="preserve"> </w:t>
      </w:r>
      <w:r>
        <w:rPr>
          <w:color w:val="803108"/>
        </w:rPr>
        <w:t>informar</w:t>
      </w:r>
      <w:r>
        <w:rPr>
          <w:color w:val="803108"/>
          <w:spacing w:val="-4"/>
        </w:rPr>
        <w:t xml:space="preserve"> </w:t>
      </w:r>
      <w:r>
        <w:rPr>
          <w:color w:val="803108"/>
        </w:rPr>
        <w:t>sobre</w:t>
      </w:r>
      <w:r>
        <w:rPr>
          <w:color w:val="803108"/>
          <w:spacing w:val="-4"/>
        </w:rPr>
        <w:t xml:space="preserve"> </w:t>
      </w:r>
      <w:r>
        <w:rPr>
          <w:color w:val="803108"/>
        </w:rPr>
        <w:t>toda</w:t>
      </w:r>
      <w:r>
        <w:rPr>
          <w:color w:val="803108"/>
          <w:spacing w:val="-4"/>
        </w:rPr>
        <w:t xml:space="preserve"> </w:t>
      </w:r>
      <w:r>
        <w:rPr>
          <w:color w:val="803108"/>
        </w:rPr>
        <w:t>legislación</w:t>
      </w:r>
      <w:r>
        <w:rPr>
          <w:color w:val="803108"/>
          <w:spacing w:val="-4"/>
        </w:rPr>
        <w:t xml:space="preserve"> </w:t>
      </w:r>
      <w:r>
        <w:rPr>
          <w:color w:val="803108"/>
        </w:rPr>
        <w:t>o</w:t>
      </w:r>
      <w:r>
        <w:rPr>
          <w:color w:val="803108"/>
          <w:spacing w:val="-4"/>
        </w:rPr>
        <w:t xml:space="preserve"> </w:t>
      </w:r>
      <w:r>
        <w:rPr>
          <w:color w:val="803108"/>
        </w:rPr>
        <w:t>práctica</w:t>
      </w:r>
      <w:r>
        <w:rPr>
          <w:color w:val="803108"/>
          <w:spacing w:val="-4"/>
        </w:rPr>
        <w:t xml:space="preserve"> </w:t>
      </w:r>
      <w:r>
        <w:rPr>
          <w:color w:val="803108"/>
        </w:rPr>
        <w:t>administrativa</w:t>
      </w:r>
      <w:r>
        <w:rPr>
          <w:color w:val="803108"/>
          <w:spacing w:val="-4"/>
        </w:rPr>
        <w:t xml:space="preserve"> </w:t>
      </w:r>
      <w:r>
        <w:rPr>
          <w:color w:val="803108"/>
        </w:rPr>
        <w:t>relacionada</w:t>
      </w:r>
      <w:r>
        <w:rPr>
          <w:color w:val="803108"/>
          <w:spacing w:val="-4"/>
        </w:rPr>
        <w:t xml:space="preserve"> </w:t>
      </w:r>
      <w:r>
        <w:rPr>
          <w:color w:val="803108"/>
        </w:rPr>
        <w:t>con</w:t>
      </w:r>
      <w:r>
        <w:rPr>
          <w:color w:val="803108"/>
          <w:spacing w:val="-4"/>
        </w:rPr>
        <w:t xml:space="preserve"> </w:t>
      </w:r>
      <w:r>
        <w:rPr>
          <w:color w:val="803108"/>
        </w:rPr>
        <w:t>la</w:t>
      </w:r>
      <w:r>
        <w:rPr>
          <w:color w:val="803108"/>
          <w:spacing w:val="-4"/>
        </w:rPr>
        <w:t xml:space="preserve"> </w:t>
      </w:r>
      <w:r>
        <w:rPr>
          <w:color w:val="803108"/>
        </w:rPr>
        <w:t>pertenencia</w:t>
      </w:r>
      <w:r>
        <w:rPr>
          <w:color w:val="803108"/>
          <w:spacing w:val="-4"/>
        </w:rPr>
        <w:t xml:space="preserve"> </w:t>
      </w:r>
      <w:r>
        <w:rPr>
          <w:color w:val="803108"/>
        </w:rPr>
        <w:t>a</w:t>
      </w:r>
      <w:r>
        <w:rPr>
          <w:color w:val="803108"/>
          <w:spacing w:val="-4"/>
        </w:rPr>
        <w:t xml:space="preserve"> </w:t>
      </w:r>
      <w:r>
        <w:rPr>
          <w:color w:val="803108"/>
        </w:rPr>
        <w:t>una</w:t>
      </w:r>
      <w:r>
        <w:rPr>
          <w:color w:val="803108"/>
          <w:spacing w:val="-4"/>
        </w:rPr>
        <w:t xml:space="preserve"> </w:t>
      </w:r>
      <w:r>
        <w:rPr>
          <w:color w:val="803108"/>
        </w:rPr>
        <w:t>comunidad minoritaria</w:t>
      </w:r>
      <w:r>
        <w:rPr>
          <w:color w:val="803108"/>
          <w:spacing w:val="-1"/>
        </w:rPr>
        <w:t xml:space="preserve"> </w:t>
      </w:r>
      <w:r>
        <w:rPr>
          <w:color w:val="803108"/>
        </w:rPr>
        <w:t>que</w:t>
      </w:r>
      <w:r>
        <w:rPr>
          <w:color w:val="803108"/>
          <w:spacing w:val="-1"/>
        </w:rPr>
        <w:t xml:space="preserve"> </w:t>
      </w:r>
      <w:r>
        <w:rPr>
          <w:color w:val="803108"/>
        </w:rPr>
        <w:t>pueda</w:t>
      </w:r>
      <w:r>
        <w:rPr>
          <w:color w:val="803108"/>
          <w:spacing w:val="-1"/>
        </w:rPr>
        <w:t xml:space="preserve"> </w:t>
      </w:r>
      <w:r>
        <w:rPr>
          <w:color w:val="803108"/>
        </w:rPr>
        <w:t>constituir</w:t>
      </w:r>
      <w:r>
        <w:rPr>
          <w:color w:val="803108"/>
          <w:spacing w:val="-1"/>
        </w:rPr>
        <w:t xml:space="preserve"> </w:t>
      </w:r>
      <w:r>
        <w:rPr>
          <w:color w:val="803108"/>
        </w:rPr>
        <w:t>una</w:t>
      </w:r>
      <w:r>
        <w:rPr>
          <w:color w:val="803108"/>
          <w:spacing w:val="-1"/>
        </w:rPr>
        <w:t xml:space="preserve"> </w:t>
      </w:r>
      <w:r>
        <w:rPr>
          <w:color w:val="803108"/>
        </w:rPr>
        <w:t>infracción</w:t>
      </w:r>
      <w:r>
        <w:rPr>
          <w:color w:val="803108"/>
          <w:spacing w:val="-1"/>
        </w:rPr>
        <w:t xml:space="preserve"> </w:t>
      </w:r>
      <w:r>
        <w:rPr>
          <w:color w:val="803108"/>
        </w:rPr>
        <w:t>de</w:t>
      </w:r>
      <w:r>
        <w:rPr>
          <w:color w:val="803108"/>
          <w:spacing w:val="-1"/>
        </w:rPr>
        <w:t xml:space="preserve"> </w:t>
      </w:r>
      <w:r>
        <w:rPr>
          <w:color w:val="803108"/>
        </w:rPr>
        <w:t>la</w:t>
      </w:r>
      <w:r>
        <w:rPr>
          <w:color w:val="803108"/>
          <w:spacing w:val="-1"/>
        </w:rPr>
        <w:t xml:space="preserve"> </w:t>
      </w:r>
      <w:r>
        <w:rPr>
          <w:color w:val="803108"/>
        </w:rPr>
        <w:t>igualdad</w:t>
      </w:r>
      <w:r>
        <w:rPr>
          <w:color w:val="803108"/>
          <w:spacing w:val="-1"/>
        </w:rPr>
        <w:t xml:space="preserve"> </w:t>
      </w:r>
      <w:r>
        <w:rPr>
          <w:color w:val="803108"/>
        </w:rPr>
        <w:t>de</w:t>
      </w:r>
      <w:r>
        <w:rPr>
          <w:color w:val="803108"/>
          <w:spacing w:val="-1"/>
        </w:rPr>
        <w:t xml:space="preserve"> </w:t>
      </w:r>
      <w:r>
        <w:rPr>
          <w:color w:val="803108"/>
        </w:rPr>
        <w:t>derechos</w:t>
      </w:r>
      <w:r>
        <w:rPr>
          <w:color w:val="803108"/>
          <w:spacing w:val="-1"/>
        </w:rPr>
        <w:t xml:space="preserve"> </w:t>
      </w:r>
      <w:r>
        <w:rPr>
          <w:color w:val="803108"/>
        </w:rPr>
        <w:t>de</w:t>
      </w:r>
      <w:r>
        <w:rPr>
          <w:color w:val="803108"/>
          <w:spacing w:val="-1"/>
        </w:rPr>
        <w:t xml:space="preserve"> </w:t>
      </w:r>
      <w:r>
        <w:rPr>
          <w:color w:val="803108"/>
        </w:rPr>
        <w:t>la</w:t>
      </w:r>
      <w:r>
        <w:rPr>
          <w:color w:val="803108"/>
          <w:spacing w:val="-1"/>
        </w:rPr>
        <w:t xml:space="preserve"> </w:t>
      </w:r>
      <w:r>
        <w:rPr>
          <w:color w:val="803108"/>
        </w:rPr>
        <w:t>mujer</w:t>
      </w:r>
      <w:r>
        <w:rPr>
          <w:color w:val="803108"/>
          <w:spacing w:val="-1"/>
        </w:rPr>
        <w:t xml:space="preserve"> </w:t>
      </w:r>
      <w:r>
        <w:rPr>
          <w:color w:val="803108"/>
        </w:rPr>
        <w:t>en</w:t>
      </w:r>
      <w:r>
        <w:rPr>
          <w:color w:val="803108"/>
          <w:spacing w:val="-1"/>
        </w:rPr>
        <w:t xml:space="preserve"> </w:t>
      </w:r>
      <w:r>
        <w:rPr>
          <w:color w:val="803108"/>
        </w:rPr>
        <w:t>virtud</w:t>
      </w:r>
      <w:r>
        <w:rPr>
          <w:color w:val="803108"/>
          <w:spacing w:val="-1"/>
        </w:rPr>
        <w:t xml:space="preserve"> </w:t>
      </w:r>
      <w:r>
        <w:rPr>
          <w:color w:val="803108"/>
        </w:rPr>
        <w:t>del</w:t>
      </w:r>
      <w:r>
        <w:rPr>
          <w:color w:val="803108"/>
          <w:spacing w:val="-1"/>
        </w:rPr>
        <w:t xml:space="preserve"> </w:t>
      </w:r>
      <w:r>
        <w:rPr>
          <w:color w:val="803108"/>
        </w:rPr>
        <w:t>Pacto</w:t>
      </w:r>
      <w:r>
        <w:rPr>
          <w:color w:val="803108"/>
          <w:spacing w:val="-1"/>
        </w:rPr>
        <w:t xml:space="preserve"> </w:t>
      </w:r>
      <w:r>
        <w:rPr>
          <w:color w:val="803108"/>
        </w:rPr>
        <w:t xml:space="preserve">(comunicación </w:t>
      </w:r>
      <w:proofErr w:type="spellStart"/>
      <w:r>
        <w:rPr>
          <w:color w:val="803108"/>
        </w:rPr>
        <w:t>Nº</w:t>
      </w:r>
      <w:proofErr w:type="spellEnd"/>
      <w:r>
        <w:rPr>
          <w:color w:val="803108"/>
        </w:rPr>
        <w:t xml:space="preserve"> 24/1977, Lovelace c. Canadá, dictamen adoptado en julio de 1981) y sobre medidas adoptadas o previstas para garantizar</w:t>
      </w:r>
      <w:r>
        <w:rPr>
          <w:color w:val="803108"/>
          <w:spacing w:val="-3"/>
        </w:rPr>
        <w:t xml:space="preserve"> </w:t>
      </w:r>
      <w:r>
        <w:rPr>
          <w:color w:val="803108"/>
        </w:rPr>
        <w:t>la</w:t>
      </w:r>
      <w:r>
        <w:rPr>
          <w:color w:val="803108"/>
          <w:spacing w:val="-3"/>
        </w:rPr>
        <w:t xml:space="preserve"> </w:t>
      </w:r>
      <w:r>
        <w:rPr>
          <w:color w:val="803108"/>
        </w:rPr>
        <w:t>igualdad</w:t>
      </w:r>
      <w:r>
        <w:rPr>
          <w:color w:val="803108"/>
          <w:spacing w:val="-3"/>
        </w:rPr>
        <w:t xml:space="preserve"> </w:t>
      </w:r>
      <w:r>
        <w:rPr>
          <w:color w:val="803108"/>
        </w:rPr>
        <w:t>de</w:t>
      </w:r>
      <w:r>
        <w:rPr>
          <w:color w:val="803108"/>
          <w:spacing w:val="-3"/>
        </w:rPr>
        <w:t xml:space="preserve"> </w:t>
      </w:r>
      <w:r>
        <w:rPr>
          <w:color w:val="803108"/>
        </w:rPr>
        <w:t>derechos</w:t>
      </w:r>
      <w:r>
        <w:rPr>
          <w:color w:val="803108"/>
          <w:spacing w:val="-3"/>
        </w:rPr>
        <w:t xml:space="preserve"> </w:t>
      </w:r>
      <w:r>
        <w:rPr>
          <w:color w:val="803108"/>
        </w:rPr>
        <w:t>de</w:t>
      </w:r>
      <w:r>
        <w:rPr>
          <w:color w:val="803108"/>
          <w:spacing w:val="-3"/>
        </w:rPr>
        <w:t xml:space="preserve"> </w:t>
      </w:r>
      <w:r>
        <w:rPr>
          <w:color w:val="803108"/>
        </w:rPr>
        <w:t>hombres</w:t>
      </w:r>
      <w:r>
        <w:rPr>
          <w:color w:val="803108"/>
          <w:spacing w:val="-3"/>
        </w:rPr>
        <w:t xml:space="preserve"> </w:t>
      </w:r>
      <w:r>
        <w:rPr>
          <w:color w:val="803108"/>
        </w:rPr>
        <w:t>y</w:t>
      </w:r>
      <w:r>
        <w:rPr>
          <w:color w:val="803108"/>
          <w:spacing w:val="-3"/>
        </w:rPr>
        <w:t xml:space="preserve"> </w:t>
      </w:r>
      <w:r>
        <w:rPr>
          <w:color w:val="803108"/>
        </w:rPr>
        <w:t>mujeres</w:t>
      </w:r>
      <w:r>
        <w:rPr>
          <w:color w:val="803108"/>
          <w:spacing w:val="-3"/>
        </w:rPr>
        <w:t xml:space="preserve"> </w:t>
      </w:r>
      <w:r>
        <w:rPr>
          <w:color w:val="803108"/>
        </w:rPr>
        <w:t>a</w:t>
      </w:r>
      <w:r>
        <w:rPr>
          <w:color w:val="803108"/>
          <w:spacing w:val="-3"/>
        </w:rPr>
        <w:t xml:space="preserve"> </w:t>
      </w:r>
      <w:r>
        <w:rPr>
          <w:color w:val="803108"/>
        </w:rPr>
        <w:t>disfrutar</w:t>
      </w:r>
      <w:r>
        <w:rPr>
          <w:color w:val="803108"/>
          <w:spacing w:val="-3"/>
        </w:rPr>
        <w:t xml:space="preserve"> </w:t>
      </w:r>
      <w:r>
        <w:rPr>
          <w:color w:val="803108"/>
        </w:rPr>
        <w:t>de</w:t>
      </w:r>
      <w:r>
        <w:rPr>
          <w:color w:val="803108"/>
          <w:spacing w:val="-3"/>
        </w:rPr>
        <w:t xml:space="preserve"> </w:t>
      </w:r>
      <w:r>
        <w:rPr>
          <w:color w:val="803108"/>
        </w:rPr>
        <w:t>todos</w:t>
      </w:r>
      <w:r>
        <w:rPr>
          <w:color w:val="803108"/>
          <w:spacing w:val="-3"/>
        </w:rPr>
        <w:t xml:space="preserve"> </w:t>
      </w:r>
      <w:r>
        <w:rPr>
          <w:color w:val="803108"/>
        </w:rPr>
        <w:t>los</w:t>
      </w:r>
      <w:r>
        <w:rPr>
          <w:color w:val="803108"/>
          <w:spacing w:val="-3"/>
        </w:rPr>
        <w:t xml:space="preserve"> </w:t>
      </w:r>
      <w:r>
        <w:rPr>
          <w:color w:val="803108"/>
        </w:rPr>
        <w:t>derechos</w:t>
      </w:r>
      <w:r>
        <w:rPr>
          <w:color w:val="803108"/>
          <w:spacing w:val="-3"/>
        </w:rPr>
        <w:t xml:space="preserve"> </w:t>
      </w:r>
      <w:r>
        <w:rPr>
          <w:color w:val="803108"/>
        </w:rPr>
        <w:t>civiles</w:t>
      </w:r>
      <w:r>
        <w:rPr>
          <w:color w:val="803108"/>
          <w:spacing w:val="-3"/>
        </w:rPr>
        <w:t xml:space="preserve"> </w:t>
      </w:r>
      <w:r>
        <w:rPr>
          <w:color w:val="803108"/>
        </w:rPr>
        <w:t>y</w:t>
      </w:r>
      <w:r>
        <w:rPr>
          <w:color w:val="803108"/>
          <w:spacing w:val="-3"/>
        </w:rPr>
        <w:t xml:space="preserve"> </w:t>
      </w:r>
      <w:r>
        <w:rPr>
          <w:color w:val="803108"/>
        </w:rPr>
        <w:t>políticos</w:t>
      </w:r>
      <w:r>
        <w:rPr>
          <w:color w:val="803108"/>
          <w:spacing w:val="-3"/>
        </w:rPr>
        <w:t xml:space="preserve"> </w:t>
      </w:r>
      <w:r>
        <w:rPr>
          <w:color w:val="803108"/>
        </w:rPr>
        <w:t>enunciados en el Pacto. Asimismo, los Estados deberían informar sobre las medidas adoptadas para cumplir con sus</w:t>
      </w:r>
    </w:p>
    <w:p w14:paraId="54A72EF2" w14:textId="77777777" w:rsidR="0014798C" w:rsidRDefault="0014798C">
      <w:pPr>
        <w:pStyle w:val="Textoindependiente"/>
        <w:rPr>
          <w:sz w:val="13"/>
        </w:rPr>
      </w:pPr>
    </w:p>
    <w:p w14:paraId="2CC0D7F3" w14:textId="77777777" w:rsidR="0014798C" w:rsidRDefault="0014798C">
      <w:pPr>
        <w:pStyle w:val="Textoindependiente"/>
        <w:rPr>
          <w:sz w:val="13"/>
        </w:rPr>
      </w:pPr>
    </w:p>
    <w:p w14:paraId="7D295D8A" w14:textId="77777777" w:rsidR="0014798C" w:rsidRDefault="0014798C">
      <w:pPr>
        <w:pStyle w:val="Textoindependiente"/>
        <w:spacing w:before="44"/>
        <w:rPr>
          <w:sz w:val="13"/>
        </w:rPr>
      </w:pPr>
    </w:p>
    <w:p w14:paraId="36F67649" w14:textId="77777777" w:rsidR="0014798C" w:rsidRDefault="004E1F0B">
      <w:pPr>
        <w:ind w:left="1107"/>
        <w:rPr>
          <w:sz w:val="13"/>
        </w:rPr>
      </w:pPr>
      <w:r>
        <w:rPr>
          <w:sz w:val="13"/>
        </w:rPr>
        <w:t>942</w:t>
      </w:r>
      <w:r>
        <w:rPr>
          <w:spacing w:val="-4"/>
          <w:sz w:val="13"/>
        </w:rPr>
        <w:t xml:space="preserve"> </w:t>
      </w:r>
      <w:proofErr w:type="spellStart"/>
      <w:r>
        <w:rPr>
          <w:sz w:val="13"/>
        </w:rPr>
        <w:t>Ibíd</w:t>
      </w:r>
      <w:proofErr w:type="spellEnd"/>
      <w:r>
        <w:rPr>
          <w:sz w:val="13"/>
        </w:rPr>
        <w:t>.,</w:t>
      </w:r>
      <w:r>
        <w:rPr>
          <w:spacing w:val="-4"/>
          <w:sz w:val="13"/>
        </w:rPr>
        <w:t xml:space="preserve"> </w:t>
      </w:r>
      <w:r>
        <w:rPr>
          <w:sz w:val="13"/>
        </w:rPr>
        <w:t>párr.</w:t>
      </w:r>
      <w:r>
        <w:rPr>
          <w:spacing w:val="-3"/>
          <w:sz w:val="13"/>
        </w:rPr>
        <w:t xml:space="preserve"> </w:t>
      </w:r>
      <w:r>
        <w:rPr>
          <w:spacing w:val="-5"/>
          <w:sz w:val="13"/>
        </w:rPr>
        <w:t>52.</w:t>
      </w:r>
    </w:p>
    <w:p w14:paraId="2824B1CD" w14:textId="77777777" w:rsidR="0014798C" w:rsidRDefault="004E1F0B">
      <w:pPr>
        <w:spacing w:before="87"/>
        <w:ind w:left="1107"/>
        <w:rPr>
          <w:sz w:val="13"/>
        </w:rPr>
      </w:pPr>
      <w:r>
        <w:rPr>
          <w:sz w:val="13"/>
        </w:rPr>
        <w:t>943</w:t>
      </w:r>
      <w:r>
        <w:rPr>
          <w:spacing w:val="-4"/>
          <w:sz w:val="13"/>
        </w:rPr>
        <w:t xml:space="preserve"> </w:t>
      </w:r>
      <w:proofErr w:type="spellStart"/>
      <w:r>
        <w:rPr>
          <w:sz w:val="13"/>
        </w:rPr>
        <w:t>Ibíd</w:t>
      </w:r>
      <w:proofErr w:type="spellEnd"/>
      <w:r>
        <w:rPr>
          <w:sz w:val="13"/>
        </w:rPr>
        <w:t>.,</w:t>
      </w:r>
      <w:r>
        <w:rPr>
          <w:spacing w:val="-4"/>
          <w:sz w:val="13"/>
        </w:rPr>
        <w:t xml:space="preserve"> </w:t>
      </w:r>
      <w:r>
        <w:rPr>
          <w:sz w:val="13"/>
        </w:rPr>
        <w:t>párr.</w:t>
      </w:r>
      <w:r>
        <w:rPr>
          <w:spacing w:val="-3"/>
          <w:sz w:val="13"/>
        </w:rPr>
        <w:t xml:space="preserve"> </w:t>
      </w:r>
      <w:r>
        <w:rPr>
          <w:spacing w:val="-5"/>
          <w:sz w:val="13"/>
        </w:rPr>
        <w:t>70.</w:t>
      </w:r>
    </w:p>
    <w:p w14:paraId="22C5D2CD" w14:textId="77777777" w:rsidR="0014798C" w:rsidRDefault="0014798C">
      <w:pPr>
        <w:rPr>
          <w:sz w:val="13"/>
        </w:rPr>
        <w:sectPr w:rsidR="0014798C" w:rsidSect="00F265E4">
          <w:pgSz w:w="11900" w:h="16820"/>
          <w:pgMar w:top="340" w:right="0" w:bottom="280" w:left="200" w:header="121" w:footer="0" w:gutter="0"/>
          <w:cols w:space="720"/>
        </w:sectPr>
      </w:pPr>
    </w:p>
    <w:p w14:paraId="1A34C756" w14:textId="77777777" w:rsidR="0014798C" w:rsidRDefault="004E1F0B">
      <w:pPr>
        <w:spacing w:before="51"/>
        <w:jc w:val="right"/>
        <w:rPr>
          <w:sz w:val="8"/>
        </w:rPr>
      </w:pPr>
      <w:r>
        <w:rPr>
          <w:spacing w:val="-5"/>
          <w:w w:val="105"/>
          <w:sz w:val="8"/>
        </w:rPr>
        <w:t>944</w:t>
      </w:r>
    </w:p>
    <w:p w14:paraId="75CFDEF1" w14:textId="77777777" w:rsidR="0014798C" w:rsidRDefault="004E1F0B">
      <w:pPr>
        <w:spacing w:before="88"/>
        <w:ind w:left="79"/>
        <w:rPr>
          <w:sz w:val="13"/>
        </w:rPr>
      </w:pPr>
      <w:r>
        <w:br w:type="column"/>
      </w:r>
      <w:r>
        <w:rPr>
          <w:spacing w:val="-2"/>
          <w:w w:val="105"/>
          <w:sz w:val="13"/>
        </w:rPr>
        <w:t>Tribunal Europeo</w:t>
      </w:r>
      <w:r>
        <w:rPr>
          <w:spacing w:val="-1"/>
          <w:w w:val="105"/>
          <w:sz w:val="13"/>
        </w:rPr>
        <w:t xml:space="preserve"> </w:t>
      </w:r>
      <w:r>
        <w:rPr>
          <w:spacing w:val="-2"/>
          <w:w w:val="105"/>
          <w:sz w:val="13"/>
        </w:rPr>
        <w:t>de</w:t>
      </w:r>
      <w:r>
        <w:rPr>
          <w:spacing w:val="-1"/>
          <w:w w:val="105"/>
          <w:sz w:val="13"/>
        </w:rPr>
        <w:t xml:space="preserve"> </w:t>
      </w:r>
      <w:r>
        <w:rPr>
          <w:spacing w:val="-2"/>
          <w:w w:val="105"/>
          <w:sz w:val="13"/>
        </w:rPr>
        <w:t>Derechos Humanos,</w:t>
      </w:r>
      <w:r>
        <w:rPr>
          <w:spacing w:val="-1"/>
          <w:w w:val="105"/>
          <w:sz w:val="13"/>
        </w:rPr>
        <w:t xml:space="preserve"> </w:t>
      </w:r>
      <w:r>
        <w:rPr>
          <w:spacing w:val="-2"/>
          <w:w w:val="105"/>
          <w:sz w:val="13"/>
        </w:rPr>
        <w:t>Connors</w:t>
      </w:r>
      <w:r>
        <w:rPr>
          <w:spacing w:val="-1"/>
          <w:w w:val="105"/>
          <w:sz w:val="13"/>
        </w:rPr>
        <w:t xml:space="preserve"> </w:t>
      </w:r>
      <w:r>
        <w:rPr>
          <w:spacing w:val="-2"/>
          <w:w w:val="105"/>
          <w:sz w:val="13"/>
        </w:rPr>
        <w:t>contra el</w:t>
      </w:r>
      <w:r>
        <w:rPr>
          <w:spacing w:val="-1"/>
          <w:w w:val="105"/>
          <w:sz w:val="13"/>
        </w:rPr>
        <w:t xml:space="preserve"> </w:t>
      </w:r>
      <w:r>
        <w:rPr>
          <w:spacing w:val="-2"/>
          <w:w w:val="105"/>
          <w:sz w:val="13"/>
        </w:rPr>
        <w:t>Reino</w:t>
      </w:r>
      <w:r>
        <w:rPr>
          <w:spacing w:val="-1"/>
          <w:w w:val="105"/>
          <w:sz w:val="13"/>
        </w:rPr>
        <w:t xml:space="preserve"> </w:t>
      </w:r>
      <w:r>
        <w:rPr>
          <w:spacing w:val="-2"/>
          <w:w w:val="105"/>
          <w:sz w:val="13"/>
        </w:rPr>
        <w:t>Unido, solicitud</w:t>
      </w:r>
      <w:r>
        <w:rPr>
          <w:spacing w:val="-1"/>
          <w:w w:val="105"/>
          <w:sz w:val="13"/>
        </w:rPr>
        <w:t xml:space="preserve"> </w:t>
      </w:r>
      <w:proofErr w:type="spellStart"/>
      <w:r>
        <w:rPr>
          <w:spacing w:val="-2"/>
          <w:w w:val="105"/>
          <w:sz w:val="13"/>
        </w:rPr>
        <w:t>n.°</w:t>
      </w:r>
      <w:proofErr w:type="spellEnd"/>
      <w:r>
        <w:rPr>
          <w:spacing w:val="-1"/>
          <w:w w:val="105"/>
          <w:sz w:val="13"/>
        </w:rPr>
        <w:t xml:space="preserve"> </w:t>
      </w:r>
      <w:r>
        <w:rPr>
          <w:spacing w:val="-2"/>
          <w:w w:val="105"/>
          <w:sz w:val="13"/>
        </w:rPr>
        <w:t>66746/01, sentencia</w:t>
      </w:r>
      <w:r>
        <w:rPr>
          <w:spacing w:val="-1"/>
          <w:w w:val="105"/>
          <w:sz w:val="13"/>
        </w:rPr>
        <w:t xml:space="preserve"> </w:t>
      </w:r>
      <w:r>
        <w:rPr>
          <w:spacing w:val="-2"/>
          <w:w w:val="105"/>
          <w:sz w:val="13"/>
        </w:rPr>
        <w:t>de</w:t>
      </w:r>
      <w:r>
        <w:rPr>
          <w:spacing w:val="-1"/>
          <w:w w:val="105"/>
          <w:sz w:val="13"/>
        </w:rPr>
        <w:t xml:space="preserve"> </w:t>
      </w:r>
      <w:r>
        <w:rPr>
          <w:spacing w:val="-2"/>
          <w:w w:val="105"/>
          <w:sz w:val="13"/>
        </w:rPr>
        <w:t>27 de</w:t>
      </w:r>
      <w:r>
        <w:rPr>
          <w:spacing w:val="-1"/>
          <w:w w:val="105"/>
          <w:sz w:val="13"/>
        </w:rPr>
        <w:t xml:space="preserve"> </w:t>
      </w:r>
      <w:r>
        <w:rPr>
          <w:spacing w:val="-2"/>
          <w:w w:val="105"/>
          <w:sz w:val="13"/>
        </w:rPr>
        <w:t>mayo</w:t>
      </w:r>
      <w:r>
        <w:rPr>
          <w:spacing w:val="-1"/>
          <w:w w:val="105"/>
          <w:sz w:val="13"/>
        </w:rPr>
        <w:t xml:space="preserve"> </w:t>
      </w:r>
      <w:r>
        <w:rPr>
          <w:spacing w:val="-2"/>
          <w:w w:val="105"/>
          <w:sz w:val="13"/>
        </w:rPr>
        <w:t>de 2004.</w:t>
      </w:r>
    </w:p>
    <w:p w14:paraId="42A8C64D" w14:textId="77777777" w:rsidR="0014798C" w:rsidRDefault="0014798C">
      <w:pPr>
        <w:rPr>
          <w:sz w:val="13"/>
        </w:rPr>
        <w:sectPr w:rsidR="0014798C" w:rsidSect="00F265E4">
          <w:type w:val="continuous"/>
          <w:pgSz w:w="11900" w:h="16820"/>
          <w:pgMar w:top="40" w:right="0" w:bottom="280" w:left="200" w:header="121" w:footer="0" w:gutter="0"/>
          <w:cols w:num="2" w:space="720" w:equalWidth="0">
            <w:col w:w="1249" w:space="40"/>
            <w:col w:w="10411"/>
          </w:cols>
        </w:sectPr>
      </w:pPr>
    </w:p>
    <w:p w14:paraId="5FCC5076" w14:textId="77777777" w:rsidR="0014798C" w:rsidRDefault="004E1F0B">
      <w:pPr>
        <w:spacing w:before="86"/>
        <w:ind w:left="1107"/>
        <w:rPr>
          <w:sz w:val="13"/>
        </w:rPr>
      </w:pPr>
      <w:r>
        <w:rPr>
          <w:sz w:val="13"/>
        </w:rPr>
        <w:t>945</w:t>
      </w:r>
      <w:r>
        <w:rPr>
          <w:spacing w:val="-7"/>
          <w:sz w:val="13"/>
        </w:rPr>
        <w:t xml:space="preserve"> </w:t>
      </w:r>
      <w:r>
        <w:rPr>
          <w:sz w:val="13"/>
        </w:rPr>
        <w:t>Ejemplo</w:t>
      </w:r>
      <w:r>
        <w:rPr>
          <w:spacing w:val="-4"/>
          <w:sz w:val="13"/>
        </w:rPr>
        <w:t xml:space="preserve"> </w:t>
      </w:r>
      <w:r>
        <w:rPr>
          <w:sz w:val="13"/>
        </w:rPr>
        <w:t>proporcionado</w:t>
      </w:r>
      <w:r>
        <w:rPr>
          <w:spacing w:val="-4"/>
          <w:sz w:val="13"/>
        </w:rPr>
        <w:t xml:space="preserve"> </w:t>
      </w:r>
      <w:r>
        <w:rPr>
          <w:sz w:val="13"/>
        </w:rPr>
        <w:t>por</w:t>
      </w:r>
      <w:r>
        <w:rPr>
          <w:spacing w:val="-4"/>
          <w:sz w:val="13"/>
        </w:rPr>
        <w:t xml:space="preserve"> </w:t>
      </w:r>
      <w:r>
        <w:rPr>
          <w:sz w:val="13"/>
        </w:rPr>
        <w:t>el</w:t>
      </w:r>
      <w:r>
        <w:rPr>
          <w:spacing w:val="-5"/>
          <w:sz w:val="13"/>
        </w:rPr>
        <w:t xml:space="preserve"> </w:t>
      </w:r>
      <w:r>
        <w:rPr>
          <w:sz w:val="13"/>
        </w:rPr>
        <w:t>Gobierno</w:t>
      </w:r>
      <w:r>
        <w:rPr>
          <w:spacing w:val="-4"/>
          <w:sz w:val="13"/>
        </w:rPr>
        <w:t xml:space="preserve"> </w:t>
      </w:r>
      <w:r>
        <w:rPr>
          <w:sz w:val="13"/>
        </w:rPr>
        <w:t>de</w:t>
      </w:r>
      <w:r>
        <w:rPr>
          <w:spacing w:val="-4"/>
          <w:sz w:val="13"/>
        </w:rPr>
        <w:t xml:space="preserve"> </w:t>
      </w:r>
      <w:r>
        <w:rPr>
          <w:sz w:val="13"/>
        </w:rPr>
        <w:t>Colombia,</w:t>
      </w:r>
      <w:r>
        <w:rPr>
          <w:spacing w:val="-4"/>
          <w:sz w:val="13"/>
        </w:rPr>
        <w:t xml:space="preserve"> </w:t>
      </w:r>
      <w:r>
        <w:rPr>
          <w:sz w:val="13"/>
        </w:rPr>
        <w:t>en</w:t>
      </w:r>
      <w:r>
        <w:rPr>
          <w:spacing w:val="-5"/>
          <w:sz w:val="13"/>
        </w:rPr>
        <w:t xml:space="preserve"> </w:t>
      </w:r>
      <w:r>
        <w:rPr>
          <w:sz w:val="13"/>
        </w:rPr>
        <w:t>respuesta</w:t>
      </w:r>
      <w:r>
        <w:rPr>
          <w:spacing w:val="-4"/>
          <w:sz w:val="13"/>
        </w:rPr>
        <w:t xml:space="preserve"> </w:t>
      </w:r>
      <w:r>
        <w:rPr>
          <w:sz w:val="13"/>
        </w:rPr>
        <w:t>a</w:t>
      </w:r>
      <w:r>
        <w:rPr>
          <w:spacing w:val="-4"/>
          <w:sz w:val="13"/>
        </w:rPr>
        <w:t xml:space="preserve"> </w:t>
      </w:r>
      <w:r>
        <w:rPr>
          <w:sz w:val="13"/>
        </w:rPr>
        <w:t>una</w:t>
      </w:r>
      <w:r>
        <w:rPr>
          <w:spacing w:val="-4"/>
          <w:sz w:val="13"/>
        </w:rPr>
        <w:t xml:space="preserve"> </w:t>
      </w:r>
      <w:r>
        <w:rPr>
          <w:sz w:val="13"/>
        </w:rPr>
        <w:t>nota</w:t>
      </w:r>
      <w:r>
        <w:rPr>
          <w:spacing w:val="-5"/>
          <w:sz w:val="13"/>
        </w:rPr>
        <w:t xml:space="preserve"> </w:t>
      </w:r>
      <w:r>
        <w:rPr>
          <w:sz w:val="13"/>
        </w:rPr>
        <w:t>verbal</w:t>
      </w:r>
      <w:r>
        <w:rPr>
          <w:spacing w:val="-4"/>
          <w:sz w:val="13"/>
        </w:rPr>
        <w:t xml:space="preserve"> </w:t>
      </w:r>
      <w:r>
        <w:rPr>
          <w:sz w:val="13"/>
        </w:rPr>
        <w:t>del</w:t>
      </w:r>
      <w:r>
        <w:rPr>
          <w:spacing w:val="-4"/>
          <w:sz w:val="13"/>
        </w:rPr>
        <w:t xml:space="preserve"> </w:t>
      </w:r>
      <w:r>
        <w:rPr>
          <w:sz w:val="13"/>
        </w:rPr>
        <w:t>ACNUDH</w:t>
      </w:r>
      <w:r>
        <w:rPr>
          <w:spacing w:val="-4"/>
          <w:sz w:val="13"/>
        </w:rPr>
        <w:t xml:space="preserve"> </w:t>
      </w:r>
      <w:r>
        <w:rPr>
          <w:sz w:val="13"/>
        </w:rPr>
        <w:t>solicitando</w:t>
      </w:r>
      <w:r>
        <w:rPr>
          <w:spacing w:val="-4"/>
          <w:sz w:val="13"/>
        </w:rPr>
        <w:t xml:space="preserve"> </w:t>
      </w:r>
      <w:r>
        <w:rPr>
          <w:sz w:val="13"/>
        </w:rPr>
        <w:t>aportes</w:t>
      </w:r>
      <w:r>
        <w:rPr>
          <w:spacing w:val="-5"/>
          <w:sz w:val="13"/>
        </w:rPr>
        <w:t xml:space="preserve"> </w:t>
      </w:r>
      <w:r>
        <w:rPr>
          <w:sz w:val="13"/>
        </w:rPr>
        <w:t>para</w:t>
      </w:r>
      <w:r>
        <w:rPr>
          <w:spacing w:val="-4"/>
          <w:sz w:val="13"/>
        </w:rPr>
        <w:t xml:space="preserve"> </w:t>
      </w:r>
      <w:r>
        <w:rPr>
          <w:sz w:val="13"/>
        </w:rPr>
        <w:t>la</w:t>
      </w:r>
      <w:r>
        <w:rPr>
          <w:spacing w:val="-4"/>
          <w:sz w:val="13"/>
        </w:rPr>
        <w:t xml:space="preserve"> </w:t>
      </w:r>
      <w:r>
        <w:rPr>
          <w:sz w:val="13"/>
        </w:rPr>
        <w:t>presente</w:t>
      </w:r>
      <w:r>
        <w:rPr>
          <w:spacing w:val="-4"/>
          <w:sz w:val="13"/>
        </w:rPr>
        <w:t xml:space="preserve"> </w:t>
      </w:r>
      <w:r>
        <w:rPr>
          <w:spacing w:val="-2"/>
          <w:sz w:val="13"/>
        </w:rPr>
        <w:t>guía.</w:t>
      </w:r>
    </w:p>
    <w:p w14:paraId="3C37AC90" w14:textId="77777777" w:rsidR="0014798C" w:rsidRDefault="004E1F0B">
      <w:pPr>
        <w:spacing w:before="88"/>
        <w:ind w:left="1107"/>
        <w:rPr>
          <w:sz w:val="13"/>
        </w:rPr>
      </w:pPr>
      <w:r>
        <w:rPr>
          <w:sz w:val="13"/>
        </w:rPr>
        <w:t>946</w:t>
      </w:r>
      <w:r>
        <w:rPr>
          <w:spacing w:val="9"/>
          <w:sz w:val="13"/>
        </w:rPr>
        <w:t xml:space="preserve"> </w:t>
      </w:r>
      <w:r>
        <w:rPr>
          <w:sz w:val="13"/>
        </w:rPr>
        <w:t>Comité</w:t>
      </w:r>
      <w:r>
        <w:rPr>
          <w:spacing w:val="9"/>
          <w:sz w:val="13"/>
        </w:rPr>
        <w:t xml:space="preserve"> </w:t>
      </w:r>
      <w:r>
        <w:rPr>
          <w:sz w:val="13"/>
        </w:rPr>
        <w:t>de</w:t>
      </w:r>
      <w:r>
        <w:rPr>
          <w:spacing w:val="9"/>
          <w:sz w:val="13"/>
        </w:rPr>
        <w:t xml:space="preserve"> </w:t>
      </w:r>
      <w:r>
        <w:rPr>
          <w:sz w:val="13"/>
        </w:rPr>
        <w:t>Derechos</w:t>
      </w:r>
      <w:r>
        <w:rPr>
          <w:spacing w:val="9"/>
          <w:sz w:val="13"/>
        </w:rPr>
        <w:t xml:space="preserve"> </w:t>
      </w:r>
      <w:r>
        <w:rPr>
          <w:sz w:val="13"/>
        </w:rPr>
        <w:t>Humanos,</w:t>
      </w:r>
      <w:r>
        <w:rPr>
          <w:spacing w:val="9"/>
          <w:sz w:val="13"/>
        </w:rPr>
        <w:t xml:space="preserve"> </w:t>
      </w:r>
      <w:r>
        <w:rPr>
          <w:sz w:val="13"/>
        </w:rPr>
        <w:t>Lovelace</w:t>
      </w:r>
      <w:r>
        <w:rPr>
          <w:spacing w:val="9"/>
          <w:sz w:val="13"/>
        </w:rPr>
        <w:t xml:space="preserve"> </w:t>
      </w:r>
      <w:r>
        <w:rPr>
          <w:sz w:val="13"/>
        </w:rPr>
        <w:t>c.</w:t>
      </w:r>
      <w:r>
        <w:rPr>
          <w:spacing w:val="9"/>
          <w:sz w:val="13"/>
        </w:rPr>
        <w:t xml:space="preserve"> </w:t>
      </w:r>
      <w:r>
        <w:rPr>
          <w:sz w:val="13"/>
        </w:rPr>
        <w:t>Canadá,</w:t>
      </w:r>
      <w:r>
        <w:rPr>
          <w:spacing w:val="9"/>
          <w:sz w:val="13"/>
        </w:rPr>
        <w:t xml:space="preserve"> </w:t>
      </w:r>
      <w:r>
        <w:rPr>
          <w:sz w:val="13"/>
        </w:rPr>
        <w:t>comunicación</w:t>
      </w:r>
      <w:r>
        <w:rPr>
          <w:spacing w:val="9"/>
          <w:sz w:val="13"/>
        </w:rPr>
        <w:t xml:space="preserve"> </w:t>
      </w:r>
      <w:r>
        <w:rPr>
          <w:sz w:val="13"/>
        </w:rPr>
        <w:t>núm.</w:t>
      </w:r>
      <w:r>
        <w:rPr>
          <w:spacing w:val="9"/>
          <w:sz w:val="13"/>
        </w:rPr>
        <w:t xml:space="preserve"> </w:t>
      </w:r>
      <w:r>
        <w:rPr>
          <w:spacing w:val="-2"/>
          <w:sz w:val="13"/>
        </w:rPr>
        <w:t>24/1977.</w:t>
      </w:r>
    </w:p>
    <w:p w14:paraId="3EE3E728" w14:textId="77777777" w:rsidR="0014798C" w:rsidRDefault="0014798C">
      <w:pPr>
        <w:pStyle w:val="Textoindependiente"/>
        <w:rPr>
          <w:sz w:val="18"/>
        </w:rPr>
      </w:pPr>
    </w:p>
    <w:p w14:paraId="4827B103" w14:textId="77777777" w:rsidR="0014798C" w:rsidRDefault="0014798C">
      <w:pPr>
        <w:pStyle w:val="Textoindependiente"/>
        <w:rPr>
          <w:sz w:val="18"/>
        </w:rPr>
      </w:pPr>
    </w:p>
    <w:p w14:paraId="22DA82C8" w14:textId="77777777" w:rsidR="0014798C" w:rsidRDefault="0014798C">
      <w:pPr>
        <w:rPr>
          <w:sz w:val="18"/>
        </w:rPr>
        <w:sectPr w:rsidR="0014798C" w:rsidSect="00F265E4">
          <w:type w:val="continuous"/>
          <w:pgSz w:w="11900" w:h="16820"/>
          <w:pgMar w:top="40" w:right="0" w:bottom="280" w:left="200" w:header="121" w:footer="0" w:gutter="0"/>
          <w:cols w:space="720"/>
        </w:sectPr>
      </w:pPr>
    </w:p>
    <w:p w14:paraId="33D7EAEE" w14:textId="77777777" w:rsidR="0014798C" w:rsidRDefault="0014798C">
      <w:pPr>
        <w:pStyle w:val="Textoindependiente"/>
        <w:rPr>
          <w:sz w:val="9"/>
        </w:rPr>
      </w:pPr>
    </w:p>
    <w:p w14:paraId="7D5C6FBE" w14:textId="77777777" w:rsidR="0014798C" w:rsidRDefault="0014798C">
      <w:pPr>
        <w:pStyle w:val="Textoindependiente"/>
        <w:spacing w:before="31"/>
        <w:rPr>
          <w:sz w:val="9"/>
        </w:rPr>
      </w:pPr>
    </w:p>
    <w:p w14:paraId="5E37D092" w14:textId="77777777" w:rsidR="0014798C" w:rsidRDefault="004E1F0B">
      <w:pPr>
        <w:ind w:left="1111"/>
        <w:rPr>
          <w:sz w:val="9"/>
        </w:rPr>
      </w:pPr>
      <w:r>
        <w:rPr>
          <w:color w:val="803108"/>
          <w:w w:val="105"/>
          <w:sz w:val="9"/>
        </w:rPr>
        <w:t>PARTE</w:t>
      </w:r>
      <w:r>
        <w:rPr>
          <w:color w:val="803108"/>
          <w:spacing w:val="1"/>
          <w:w w:val="105"/>
          <w:sz w:val="9"/>
        </w:rPr>
        <w:t xml:space="preserve"> </w:t>
      </w:r>
      <w:r>
        <w:rPr>
          <w:color w:val="803108"/>
          <w:w w:val="105"/>
          <w:sz w:val="9"/>
        </w:rPr>
        <w:t>TRES:</w:t>
      </w:r>
      <w:r>
        <w:rPr>
          <w:color w:val="803108"/>
          <w:spacing w:val="2"/>
          <w:w w:val="105"/>
          <w:sz w:val="9"/>
        </w:rPr>
        <w:t xml:space="preserve"> </w:t>
      </w:r>
      <w:r>
        <w:rPr>
          <w:color w:val="803108"/>
          <w:w w:val="105"/>
          <w:sz w:val="9"/>
        </w:rPr>
        <w:t>PROTECCIÓN</w:t>
      </w:r>
      <w:r>
        <w:rPr>
          <w:color w:val="803108"/>
          <w:spacing w:val="2"/>
          <w:w w:val="105"/>
          <w:sz w:val="9"/>
        </w:rPr>
        <w:t xml:space="preserve"> </w:t>
      </w:r>
      <w:r>
        <w:rPr>
          <w:color w:val="803108"/>
          <w:w w:val="105"/>
          <w:sz w:val="9"/>
        </w:rPr>
        <w:t>DE</w:t>
      </w:r>
      <w:r>
        <w:rPr>
          <w:color w:val="803108"/>
          <w:spacing w:val="1"/>
          <w:w w:val="105"/>
          <w:sz w:val="9"/>
        </w:rPr>
        <w:t xml:space="preserve"> </w:t>
      </w:r>
      <w:r>
        <w:rPr>
          <w:color w:val="803108"/>
          <w:w w:val="105"/>
          <w:sz w:val="9"/>
        </w:rPr>
        <w:t>LOS</w:t>
      </w:r>
      <w:r>
        <w:rPr>
          <w:color w:val="803108"/>
          <w:spacing w:val="2"/>
          <w:w w:val="105"/>
          <w:sz w:val="9"/>
        </w:rPr>
        <w:t xml:space="preserve"> </w:t>
      </w:r>
      <w:r>
        <w:rPr>
          <w:color w:val="803108"/>
          <w:w w:val="105"/>
          <w:sz w:val="9"/>
        </w:rPr>
        <w:t>DERECHOS</w:t>
      </w:r>
      <w:r>
        <w:rPr>
          <w:color w:val="803108"/>
          <w:spacing w:val="3"/>
          <w:w w:val="105"/>
          <w:sz w:val="9"/>
        </w:rPr>
        <w:t xml:space="preserve"> </w:t>
      </w:r>
      <w:r>
        <w:rPr>
          <w:color w:val="803108"/>
          <w:w w:val="105"/>
          <w:sz w:val="9"/>
        </w:rPr>
        <w:t>DE</w:t>
      </w:r>
      <w:r>
        <w:rPr>
          <w:color w:val="803108"/>
          <w:spacing w:val="1"/>
          <w:w w:val="105"/>
          <w:sz w:val="9"/>
        </w:rPr>
        <w:t xml:space="preserve"> </w:t>
      </w:r>
      <w:r>
        <w:rPr>
          <w:color w:val="803108"/>
          <w:w w:val="105"/>
          <w:sz w:val="9"/>
        </w:rPr>
        <w:t>LAS</w:t>
      </w:r>
      <w:r>
        <w:rPr>
          <w:color w:val="803108"/>
          <w:spacing w:val="2"/>
          <w:w w:val="105"/>
          <w:sz w:val="9"/>
        </w:rPr>
        <w:t xml:space="preserve"> </w:t>
      </w:r>
      <w:r>
        <w:rPr>
          <w:color w:val="803108"/>
          <w:spacing w:val="-2"/>
          <w:w w:val="105"/>
          <w:sz w:val="9"/>
        </w:rPr>
        <w:t>MINORÍAS</w:t>
      </w:r>
    </w:p>
    <w:p w14:paraId="1E495752" w14:textId="77777777" w:rsidR="0014798C" w:rsidRDefault="0014798C">
      <w:pPr>
        <w:pStyle w:val="Textoindependiente"/>
      </w:pPr>
    </w:p>
    <w:p w14:paraId="7EA795F0" w14:textId="77777777" w:rsidR="0014798C" w:rsidRDefault="0014798C">
      <w:pPr>
        <w:pStyle w:val="Textoindependiente"/>
      </w:pPr>
    </w:p>
    <w:p w14:paraId="7E301E61" w14:textId="77777777" w:rsidR="0014798C" w:rsidRDefault="0014798C">
      <w:pPr>
        <w:pStyle w:val="Textoindependiente"/>
      </w:pPr>
    </w:p>
    <w:p w14:paraId="170A7BBB" w14:textId="77777777" w:rsidR="0014798C" w:rsidRDefault="0014798C">
      <w:pPr>
        <w:pStyle w:val="Textoindependiente"/>
      </w:pPr>
    </w:p>
    <w:p w14:paraId="08397E98" w14:textId="77777777" w:rsidR="0014798C" w:rsidRDefault="0014798C">
      <w:pPr>
        <w:pStyle w:val="Textoindependiente"/>
        <w:spacing w:before="91"/>
      </w:pPr>
    </w:p>
    <w:p w14:paraId="20BA2F8A" w14:textId="77777777" w:rsidR="0014798C" w:rsidRDefault="004E1F0B">
      <w:pPr>
        <w:pStyle w:val="Textoindependiente"/>
        <w:spacing w:line="326" w:lineRule="auto"/>
        <w:ind w:left="1669" w:right="1725" w:firstLine="3"/>
      </w:pPr>
      <w:r>
        <w:rPr>
          <w:color w:val="803108"/>
        </w:rPr>
        <w:t>responsabilidades en relación con las prácticas culturales o religiosas dentro de las comunidades minoritarias que afectan</w:t>
      </w:r>
      <w:r>
        <w:rPr>
          <w:color w:val="803108"/>
          <w:spacing w:val="-6"/>
        </w:rPr>
        <w:t xml:space="preserve"> </w:t>
      </w:r>
      <w:r>
        <w:rPr>
          <w:color w:val="803108"/>
        </w:rPr>
        <w:t>los</w:t>
      </w:r>
      <w:r>
        <w:rPr>
          <w:color w:val="803108"/>
          <w:spacing w:val="-6"/>
        </w:rPr>
        <w:t xml:space="preserve"> </w:t>
      </w:r>
      <w:r>
        <w:rPr>
          <w:color w:val="803108"/>
        </w:rPr>
        <w:t>derechos</w:t>
      </w:r>
      <w:r>
        <w:rPr>
          <w:color w:val="803108"/>
          <w:spacing w:val="-6"/>
        </w:rPr>
        <w:t xml:space="preserve"> </w:t>
      </w:r>
      <w:r>
        <w:rPr>
          <w:color w:val="803108"/>
        </w:rPr>
        <w:t>de</w:t>
      </w:r>
      <w:r>
        <w:rPr>
          <w:color w:val="803108"/>
          <w:spacing w:val="-6"/>
        </w:rPr>
        <w:t xml:space="preserve"> </w:t>
      </w:r>
      <w:r>
        <w:rPr>
          <w:color w:val="803108"/>
        </w:rPr>
        <w:t>las</w:t>
      </w:r>
      <w:r>
        <w:rPr>
          <w:color w:val="803108"/>
          <w:spacing w:val="-6"/>
        </w:rPr>
        <w:t xml:space="preserve"> </w:t>
      </w:r>
      <w:r>
        <w:rPr>
          <w:color w:val="803108"/>
        </w:rPr>
        <w:t>mujeres.</w:t>
      </w:r>
      <w:r>
        <w:rPr>
          <w:color w:val="803108"/>
          <w:spacing w:val="-5"/>
        </w:rPr>
        <w:t xml:space="preserve"> </w:t>
      </w:r>
      <w:r>
        <w:rPr>
          <w:color w:val="803108"/>
        </w:rPr>
        <w:t>En</w:t>
      </w:r>
      <w:r>
        <w:rPr>
          <w:color w:val="803108"/>
          <w:spacing w:val="-6"/>
        </w:rPr>
        <w:t xml:space="preserve"> </w:t>
      </w:r>
      <w:r>
        <w:rPr>
          <w:color w:val="803108"/>
        </w:rPr>
        <w:t>sus</w:t>
      </w:r>
      <w:r>
        <w:rPr>
          <w:color w:val="803108"/>
          <w:spacing w:val="-6"/>
        </w:rPr>
        <w:t xml:space="preserve"> </w:t>
      </w:r>
      <w:r>
        <w:rPr>
          <w:color w:val="803108"/>
        </w:rPr>
        <w:t>informes,</w:t>
      </w:r>
      <w:r>
        <w:rPr>
          <w:color w:val="803108"/>
          <w:spacing w:val="-5"/>
        </w:rPr>
        <w:t xml:space="preserve"> </w:t>
      </w:r>
      <w:r>
        <w:rPr>
          <w:color w:val="803108"/>
        </w:rPr>
        <w:t>los</w:t>
      </w:r>
      <w:r>
        <w:rPr>
          <w:color w:val="803108"/>
          <w:spacing w:val="-6"/>
        </w:rPr>
        <w:t xml:space="preserve"> </w:t>
      </w:r>
      <w:proofErr w:type="gramStart"/>
      <w:r>
        <w:rPr>
          <w:color w:val="803108"/>
        </w:rPr>
        <w:t>Estados</w:t>
      </w:r>
      <w:r>
        <w:rPr>
          <w:color w:val="803108"/>
          <w:spacing w:val="-6"/>
        </w:rPr>
        <w:t xml:space="preserve"> </w:t>
      </w:r>
      <w:r>
        <w:rPr>
          <w:color w:val="803108"/>
        </w:rPr>
        <w:t>partes</w:t>
      </w:r>
      <w:proofErr w:type="gramEnd"/>
      <w:r>
        <w:rPr>
          <w:color w:val="803108"/>
          <w:spacing w:val="-6"/>
        </w:rPr>
        <w:t xml:space="preserve"> </w:t>
      </w:r>
      <w:r>
        <w:rPr>
          <w:color w:val="803108"/>
        </w:rPr>
        <w:t>deben</w:t>
      </w:r>
      <w:r>
        <w:rPr>
          <w:color w:val="803108"/>
          <w:spacing w:val="-6"/>
        </w:rPr>
        <w:t xml:space="preserve"> </w:t>
      </w:r>
      <w:r>
        <w:rPr>
          <w:color w:val="803108"/>
        </w:rPr>
        <w:t>prestar</w:t>
      </w:r>
      <w:r>
        <w:rPr>
          <w:color w:val="803108"/>
          <w:spacing w:val="-6"/>
        </w:rPr>
        <w:t xml:space="preserve"> </w:t>
      </w:r>
      <w:r>
        <w:rPr>
          <w:color w:val="803108"/>
        </w:rPr>
        <w:t>atención</w:t>
      </w:r>
      <w:r>
        <w:rPr>
          <w:color w:val="803108"/>
          <w:spacing w:val="-6"/>
        </w:rPr>
        <w:t xml:space="preserve"> </w:t>
      </w:r>
      <w:r>
        <w:rPr>
          <w:color w:val="803108"/>
        </w:rPr>
        <w:t>a</w:t>
      </w:r>
      <w:r>
        <w:rPr>
          <w:color w:val="803108"/>
          <w:spacing w:val="-6"/>
        </w:rPr>
        <w:t xml:space="preserve"> </w:t>
      </w:r>
      <w:r>
        <w:rPr>
          <w:color w:val="803108"/>
        </w:rPr>
        <w:t>la</w:t>
      </w:r>
      <w:r>
        <w:rPr>
          <w:color w:val="803108"/>
          <w:spacing w:val="-6"/>
        </w:rPr>
        <w:t xml:space="preserve"> </w:t>
      </w:r>
      <w:r>
        <w:rPr>
          <w:color w:val="803108"/>
        </w:rPr>
        <w:t>contribución</w:t>
      </w:r>
      <w:r>
        <w:rPr>
          <w:color w:val="803108"/>
          <w:spacing w:val="-6"/>
        </w:rPr>
        <w:t xml:space="preserve"> </w:t>
      </w:r>
      <w:r>
        <w:rPr>
          <w:color w:val="803108"/>
        </w:rPr>
        <w:t>de las mujeres a la vida cultural de sus comunidades.947</w:t>
      </w:r>
    </w:p>
    <w:p w14:paraId="21BE7BF4" w14:textId="77777777" w:rsidR="0014798C" w:rsidRDefault="0014798C">
      <w:pPr>
        <w:pStyle w:val="Textoindependiente"/>
      </w:pPr>
    </w:p>
    <w:p w14:paraId="23A609AC" w14:textId="77777777" w:rsidR="0014798C" w:rsidRDefault="0014798C">
      <w:pPr>
        <w:pStyle w:val="Textoindependiente"/>
        <w:spacing w:before="43"/>
      </w:pPr>
    </w:p>
    <w:p w14:paraId="33CDD0A5" w14:textId="77777777" w:rsidR="0014798C" w:rsidRDefault="004E1F0B">
      <w:pPr>
        <w:pStyle w:val="Textoindependiente"/>
        <w:spacing w:line="324" w:lineRule="auto"/>
        <w:ind w:left="1335" w:right="3645" w:firstLine="7"/>
      </w:pPr>
      <w:r>
        <w:rPr>
          <w:noProof/>
        </w:rPr>
        <w:drawing>
          <wp:anchor distT="0" distB="0" distL="0" distR="0" simplePos="0" relativeHeight="251658460" behindDoc="1" locked="0" layoutInCell="1" allowOverlap="1" wp14:anchorId="1A9A674E" wp14:editId="3079EA9D">
            <wp:simplePos x="0" y="0"/>
            <wp:positionH relativeFrom="page">
              <wp:posOffset>813154</wp:posOffset>
            </wp:positionH>
            <wp:positionV relativeFrom="paragraph">
              <wp:posOffset>-170206</wp:posOffset>
            </wp:positionV>
            <wp:extent cx="6743345" cy="6793949"/>
            <wp:effectExtent l="0" t="0" r="0" b="0"/>
            <wp:wrapNone/>
            <wp:docPr id="285" name="Image 28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85" name="Image 285"/>
                    <pic:cNvPicPr/>
                  </pic:nvPicPr>
                  <pic:blipFill>
                    <a:blip r:embed="rId267" cstate="print"/>
                    <a:stretch>
                      <a:fillRect/>
                    </a:stretch>
                  </pic:blipFill>
                  <pic:spPr>
                    <a:xfrm>
                      <a:off x="0" y="0"/>
                      <a:ext cx="6743345" cy="6793949"/>
                    </a:xfrm>
                    <a:prstGeom prst="rect">
                      <a:avLst/>
                    </a:prstGeom>
                  </pic:spPr>
                </pic:pic>
              </a:graphicData>
            </a:graphic>
          </wp:anchor>
        </w:drawing>
      </w:r>
      <w:r>
        <w:t>RECONOCIMIENTO</w:t>
      </w:r>
      <w:r>
        <w:rPr>
          <w:spacing w:val="-12"/>
        </w:rPr>
        <w:t xml:space="preserve"> </w:t>
      </w:r>
      <w:r>
        <w:t>E</w:t>
      </w:r>
      <w:r>
        <w:rPr>
          <w:spacing w:val="-11"/>
        </w:rPr>
        <w:t xml:space="preserve"> </w:t>
      </w:r>
      <w:r>
        <w:t>IMPLEMENTACIÓN</w:t>
      </w:r>
      <w:r>
        <w:rPr>
          <w:spacing w:val="-11"/>
        </w:rPr>
        <w:t xml:space="preserve"> </w:t>
      </w:r>
      <w:r>
        <w:t>DEL</w:t>
      </w:r>
      <w:r>
        <w:rPr>
          <w:spacing w:val="-11"/>
        </w:rPr>
        <w:t xml:space="preserve"> </w:t>
      </w:r>
      <w:r>
        <w:t>MARCO</w:t>
      </w:r>
      <w:r>
        <w:rPr>
          <w:spacing w:val="-11"/>
        </w:rPr>
        <w:t xml:space="preserve"> </w:t>
      </w:r>
      <w:r>
        <w:t>DE</w:t>
      </w:r>
      <w:r>
        <w:rPr>
          <w:spacing w:val="-11"/>
        </w:rPr>
        <w:t xml:space="preserve"> </w:t>
      </w:r>
      <w:r>
        <w:t>DERECHOS</w:t>
      </w:r>
      <w:r>
        <w:rPr>
          <w:spacing w:val="-11"/>
        </w:rPr>
        <w:t xml:space="preserve"> </w:t>
      </w:r>
      <w:r>
        <w:t>INDÍGENAS</w:t>
      </w:r>
      <w:r>
        <w:rPr>
          <w:spacing w:val="-11"/>
        </w:rPr>
        <w:t xml:space="preserve"> </w:t>
      </w:r>
      <w:r>
        <w:t xml:space="preserve">EN </w:t>
      </w:r>
      <w:r>
        <w:rPr>
          <w:spacing w:val="-2"/>
        </w:rPr>
        <w:t>CANADÁ</w:t>
      </w:r>
    </w:p>
    <w:p w14:paraId="79CA1684" w14:textId="77777777" w:rsidR="0014798C" w:rsidRDefault="004E1F0B">
      <w:pPr>
        <w:pStyle w:val="Textoindependiente"/>
        <w:spacing w:before="156" w:line="326" w:lineRule="auto"/>
        <w:ind w:left="1332" w:right="1530"/>
      </w:pPr>
      <w:r>
        <w:t>En</w:t>
      </w:r>
      <w:r>
        <w:rPr>
          <w:spacing w:val="-1"/>
        </w:rPr>
        <w:t xml:space="preserve"> </w:t>
      </w:r>
      <w:r>
        <w:t>febrero</w:t>
      </w:r>
      <w:r>
        <w:rPr>
          <w:spacing w:val="-1"/>
        </w:rPr>
        <w:t xml:space="preserve"> </w:t>
      </w:r>
      <w:r>
        <w:t>de</w:t>
      </w:r>
      <w:r>
        <w:rPr>
          <w:spacing w:val="-1"/>
        </w:rPr>
        <w:t xml:space="preserve"> </w:t>
      </w:r>
      <w:r>
        <w:t>2018,</w:t>
      </w:r>
      <w:r>
        <w:rPr>
          <w:spacing w:val="-1"/>
        </w:rPr>
        <w:t xml:space="preserve"> </w:t>
      </w:r>
      <w:r>
        <w:t>el</w:t>
      </w:r>
      <w:r>
        <w:rPr>
          <w:spacing w:val="-1"/>
        </w:rPr>
        <w:t xml:space="preserve"> </w:t>
      </w:r>
      <w:r>
        <w:t>Primer</w:t>
      </w:r>
      <w:r>
        <w:rPr>
          <w:spacing w:val="-1"/>
        </w:rPr>
        <w:t xml:space="preserve"> </w:t>
      </w:r>
      <w:r>
        <w:t>Ministro</w:t>
      </w:r>
      <w:r>
        <w:rPr>
          <w:spacing w:val="-1"/>
        </w:rPr>
        <w:t xml:space="preserve"> </w:t>
      </w:r>
      <w:r>
        <w:t>de</w:t>
      </w:r>
      <w:r>
        <w:rPr>
          <w:spacing w:val="-1"/>
        </w:rPr>
        <w:t xml:space="preserve"> </w:t>
      </w:r>
      <w:r>
        <w:t>Canadá</w:t>
      </w:r>
      <w:r>
        <w:rPr>
          <w:spacing w:val="-1"/>
        </w:rPr>
        <w:t xml:space="preserve"> </w:t>
      </w:r>
      <w:r>
        <w:t>anunció</w:t>
      </w:r>
      <w:r>
        <w:rPr>
          <w:spacing w:val="-1"/>
        </w:rPr>
        <w:t xml:space="preserve"> </w:t>
      </w:r>
      <w:r>
        <w:t>que</w:t>
      </w:r>
      <w:r>
        <w:rPr>
          <w:spacing w:val="-1"/>
        </w:rPr>
        <w:t xml:space="preserve"> </w:t>
      </w:r>
      <w:r>
        <w:t>el</w:t>
      </w:r>
      <w:r>
        <w:rPr>
          <w:spacing w:val="-1"/>
        </w:rPr>
        <w:t xml:space="preserve"> </w:t>
      </w:r>
      <w:r>
        <w:t>Gobierno</w:t>
      </w:r>
      <w:r>
        <w:rPr>
          <w:spacing w:val="-1"/>
        </w:rPr>
        <w:t xml:space="preserve"> </w:t>
      </w:r>
      <w:r>
        <w:t>desarrollaría</w:t>
      </w:r>
      <w:r>
        <w:rPr>
          <w:spacing w:val="-1"/>
        </w:rPr>
        <w:t xml:space="preserve"> </w:t>
      </w:r>
      <w:r>
        <w:t>un</w:t>
      </w:r>
      <w:r>
        <w:rPr>
          <w:spacing w:val="-1"/>
        </w:rPr>
        <w:t xml:space="preserve"> </w:t>
      </w:r>
      <w:r>
        <w:t>marco</w:t>
      </w:r>
      <w:r>
        <w:rPr>
          <w:spacing w:val="-1"/>
        </w:rPr>
        <w:t xml:space="preserve"> </w:t>
      </w:r>
      <w:r>
        <w:t>para</w:t>
      </w:r>
      <w:r>
        <w:rPr>
          <w:spacing w:val="-1"/>
        </w:rPr>
        <w:t xml:space="preserve"> </w:t>
      </w:r>
      <w:r>
        <w:t>el</w:t>
      </w:r>
      <w:r>
        <w:rPr>
          <w:spacing w:val="-1"/>
        </w:rPr>
        <w:t xml:space="preserve"> </w:t>
      </w:r>
      <w:r>
        <w:t>reconocimiento</w:t>
      </w:r>
      <w:r>
        <w:rPr>
          <w:spacing w:val="-1"/>
        </w:rPr>
        <w:t xml:space="preserve"> </w:t>
      </w:r>
      <w:r>
        <w:t>y la</w:t>
      </w:r>
      <w:r>
        <w:rPr>
          <w:spacing w:val="-1"/>
        </w:rPr>
        <w:t xml:space="preserve"> </w:t>
      </w:r>
      <w:r>
        <w:t>implementación</w:t>
      </w:r>
      <w:r>
        <w:rPr>
          <w:spacing w:val="-1"/>
        </w:rPr>
        <w:t xml:space="preserve"> </w:t>
      </w:r>
      <w:r>
        <w:t>de</w:t>
      </w:r>
      <w:r>
        <w:rPr>
          <w:spacing w:val="-1"/>
        </w:rPr>
        <w:t xml:space="preserve"> </w:t>
      </w:r>
      <w:r>
        <w:t>los</w:t>
      </w:r>
      <w:r>
        <w:rPr>
          <w:spacing w:val="-1"/>
        </w:rPr>
        <w:t xml:space="preserve"> </w:t>
      </w:r>
      <w:r>
        <w:t>derechos</w:t>
      </w:r>
      <w:r>
        <w:rPr>
          <w:spacing w:val="-1"/>
        </w:rPr>
        <w:t xml:space="preserve"> </w:t>
      </w:r>
      <w:r>
        <w:t>indígenas, que</w:t>
      </w:r>
      <w:r>
        <w:rPr>
          <w:spacing w:val="-1"/>
        </w:rPr>
        <w:t xml:space="preserve"> </w:t>
      </w:r>
      <w:r>
        <w:t>constaría</w:t>
      </w:r>
      <w:r>
        <w:rPr>
          <w:spacing w:val="-1"/>
        </w:rPr>
        <w:t xml:space="preserve"> </w:t>
      </w:r>
      <w:r>
        <w:t>tanto</w:t>
      </w:r>
      <w:r>
        <w:rPr>
          <w:spacing w:val="-1"/>
        </w:rPr>
        <w:t xml:space="preserve"> </w:t>
      </w:r>
      <w:r>
        <w:t>de</w:t>
      </w:r>
      <w:r>
        <w:rPr>
          <w:spacing w:val="-1"/>
        </w:rPr>
        <w:t xml:space="preserve"> </w:t>
      </w:r>
      <w:r>
        <w:t>legislación</w:t>
      </w:r>
      <w:r>
        <w:rPr>
          <w:spacing w:val="-1"/>
        </w:rPr>
        <w:t xml:space="preserve"> </w:t>
      </w:r>
      <w:r>
        <w:t>como</w:t>
      </w:r>
      <w:r>
        <w:rPr>
          <w:spacing w:val="-1"/>
        </w:rPr>
        <w:t xml:space="preserve"> </w:t>
      </w:r>
      <w:r>
        <w:t>de</w:t>
      </w:r>
      <w:r>
        <w:rPr>
          <w:spacing w:val="-1"/>
        </w:rPr>
        <w:t xml:space="preserve"> </w:t>
      </w:r>
      <w:r>
        <w:t>políticas. El</w:t>
      </w:r>
      <w:r>
        <w:rPr>
          <w:spacing w:val="-1"/>
        </w:rPr>
        <w:t xml:space="preserve"> </w:t>
      </w:r>
      <w:r>
        <w:t>marco</w:t>
      </w:r>
      <w:r>
        <w:rPr>
          <w:spacing w:val="-1"/>
        </w:rPr>
        <w:t xml:space="preserve"> </w:t>
      </w:r>
      <w:r>
        <w:t>fue</w:t>
      </w:r>
      <w:r>
        <w:rPr>
          <w:spacing w:val="-1"/>
        </w:rPr>
        <w:t xml:space="preserve"> </w:t>
      </w:r>
      <w:r>
        <w:t>diseñado para apoyar los derechos de los pueblos indígenas reconocidos y afirmados en el artículo 35 de la Ley Constitucional de 1982,</w:t>
      </w:r>
      <w:r>
        <w:rPr>
          <w:spacing w:val="-5"/>
        </w:rPr>
        <w:t xml:space="preserve"> </w:t>
      </w:r>
      <w:r>
        <w:t>al</w:t>
      </w:r>
      <w:r>
        <w:rPr>
          <w:spacing w:val="-5"/>
        </w:rPr>
        <w:t xml:space="preserve"> </w:t>
      </w:r>
      <w:r>
        <w:t>mismo</w:t>
      </w:r>
      <w:r>
        <w:rPr>
          <w:spacing w:val="-5"/>
        </w:rPr>
        <w:t xml:space="preserve"> </w:t>
      </w:r>
      <w:r>
        <w:t>tiempo</w:t>
      </w:r>
      <w:r>
        <w:rPr>
          <w:spacing w:val="-5"/>
        </w:rPr>
        <w:t xml:space="preserve"> </w:t>
      </w:r>
      <w:r>
        <w:t>que</w:t>
      </w:r>
      <w:r>
        <w:rPr>
          <w:spacing w:val="-5"/>
        </w:rPr>
        <w:t xml:space="preserve"> </w:t>
      </w:r>
      <w:r>
        <w:t>se</w:t>
      </w:r>
      <w:r>
        <w:rPr>
          <w:spacing w:val="-5"/>
        </w:rPr>
        <w:t xml:space="preserve"> </w:t>
      </w:r>
      <w:r>
        <w:t>alineaba</w:t>
      </w:r>
      <w:r>
        <w:rPr>
          <w:spacing w:val="-5"/>
        </w:rPr>
        <w:t xml:space="preserve"> </w:t>
      </w:r>
      <w:r>
        <w:t>con</w:t>
      </w:r>
      <w:r>
        <w:rPr>
          <w:spacing w:val="-5"/>
        </w:rPr>
        <w:t xml:space="preserve"> </w:t>
      </w:r>
      <w:r>
        <w:t>los</w:t>
      </w:r>
      <w:r>
        <w:rPr>
          <w:spacing w:val="-5"/>
        </w:rPr>
        <w:t xml:space="preserve"> </w:t>
      </w:r>
      <w:r>
        <w:t>artículos</w:t>
      </w:r>
      <w:r>
        <w:rPr>
          <w:spacing w:val="-5"/>
        </w:rPr>
        <w:t xml:space="preserve"> </w:t>
      </w:r>
      <w:r>
        <w:t>de</w:t>
      </w:r>
      <w:r>
        <w:rPr>
          <w:spacing w:val="-5"/>
        </w:rPr>
        <w:t xml:space="preserve"> </w:t>
      </w:r>
      <w:r>
        <w:t>la</w:t>
      </w:r>
      <w:r>
        <w:rPr>
          <w:spacing w:val="-5"/>
        </w:rPr>
        <w:t xml:space="preserve"> </w:t>
      </w:r>
      <w:r>
        <w:t>Declaración</w:t>
      </w:r>
      <w:r>
        <w:rPr>
          <w:spacing w:val="-5"/>
        </w:rPr>
        <w:t xml:space="preserve"> </w:t>
      </w:r>
      <w:r>
        <w:t>de</w:t>
      </w:r>
      <w:r>
        <w:rPr>
          <w:spacing w:val="-5"/>
        </w:rPr>
        <w:t xml:space="preserve"> </w:t>
      </w:r>
      <w:r>
        <w:t>las</w:t>
      </w:r>
      <w:r>
        <w:rPr>
          <w:spacing w:val="-5"/>
        </w:rPr>
        <w:t xml:space="preserve"> </w:t>
      </w:r>
      <w:r>
        <w:t>Naciones</w:t>
      </w:r>
      <w:r>
        <w:rPr>
          <w:spacing w:val="-5"/>
        </w:rPr>
        <w:t xml:space="preserve"> </w:t>
      </w:r>
      <w:r>
        <w:t>Unidas</w:t>
      </w:r>
      <w:r>
        <w:rPr>
          <w:spacing w:val="-5"/>
        </w:rPr>
        <w:t xml:space="preserve"> </w:t>
      </w:r>
      <w:r>
        <w:t>sobre</w:t>
      </w:r>
      <w:r>
        <w:rPr>
          <w:spacing w:val="-5"/>
        </w:rPr>
        <w:t xml:space="preserve"> </w:t>
      </w:r>
      <w:r>
        <w:t>los</w:t>
      </w:r>
      <w:r>
        <w:rPr>
          <w:spacing w:val="-5"/>
        </w:rPr>
        <w:t xml:space="preserve"> </w:t>
      </w:r>
      <w:r>
        <w:t>Derechos</w:t>
      </w:r>
      <w:r>
        <w:rPr>
          <w:spacing w:val="-5"/>
        </w:rPr>
        <w:t xml:space="preserve"> </w:t>
      </w:r>
      <w:r>
        <w:t>de</w:t>
      </w:r>
      <w:r>
        <w:rPr>
          <w:spacing w:val="-5"/>
        </w:rPr>
        <w:t xml:space="preserve"> </w:t>
      </w:r>
      <w:r>
        <w:t>los Pueblos Indígenas. El enfoque del Gobierno proclamó el compromiso de efectuar un “paso de un enfoque basado en los derechos</w:t>
      </w:r>
      <w:r>
        <w:rPr>
          <w:spacing w:val="-6"/>
        </w:rPr>
        <w:t xml:space="preserve"> </w:t>
      </w:r>
      <w:r>
        <w:t>de</w:t>
      </w:r>
      <w:r>
        <w:rPr>
          <w:spacing w:val="-6"/>
        </w:rPr>
        <w:t xml:space="preserve"> </w:t>
      </w:r>
      <w:r>
        <w:t>la</w:t>
      </w:r>
      <w:r>
        <w:rPr>
          <w:spacing w:val="-6"/>
        </w:rPr>
        <w:t xml:space="preserve"> </w:t>
      </w:r>
      <w:r>
        <w:t>soberanía</w:t>
      </w:r>
      <w:r>
        <w:rPr>
          <w:spacing w:val="-6"/>
        </w:rPr>
        <w:t xml:space="preserve"> </w:t>
      </w:r>
      <w:r>
        <w:t>a</w:t>
      </w:r>
      <w:r>
        <w:rPr>
          <w:spacing w:val="-6"/>
        </w:rPr>
        <w:t xml:space="preserve"> </w:t>
      </w:r>
      <w:r>
        <w:t>los</w:t>
      </w:r>
      <w:r>
        <w:rPr>
          <w:spacing w:val="-6"/>
        </w:rPr>
        <w:t xml:space="preserve"> </w:t>
      </w:r>
      <w:r>
        <w:t>súbditos</w:t>
      </w:r>
      <w:r>
        <w:rPr>
          <w:spacing w:val="-6"/>
        </w:rPr>
        <w:t xml:space="preserve"> </w:t>
      </w:r>
      <w:r>
        <w:t>a</w:t>
      </w:r>
      <w:r>
        <w:rPr>
          <w:spacing w:val="-6"/>
        </w:rPr>
        <w:t xml:space="preserve"> </w:t>
      </w:r>
      <w:r>
        <w:t>un</w:t>
      </w:r>
      <w:r>
        <w:rPr>
          <w:spacing w:val="-6"/>
        </w:rPr>
        <w:t xml:space="preserve"> </w:t>
      </w:r>
      <w:r>
        <w:t>enfoque</w:t>
      </w:r>
      <w:r>
        <w:rPr>
          <w:spacing w:val="-6"/>
        </w:rPr>
        <w:t xml:space="preserve"> </w:t>
      </w:r>
      <w:r>
        <w:t>jurisdiccional</w:t>
      </w:r>
      <w:r>
        <w:rPr>
          <w:spacing w:val="-6"/>
        </w:rPr>
        <w:t xml:space="preserve"> </w:t>
      </w:r>
      <w:r>
        <w:t>inherente</w:t>
      </w:r>
      <w:r>
        <w:rPr>
          <w:spacing w:val="-6"/>
        </w:rPr>
        <w:t xml:space="preserve"> </w:t>
      </w:r>
      <w:r>
        <w:t>de</w:t>
      </w:r>
      <w:r>
        <w:rPr>
          <w:spacing w:val="-6"/>
        </w:rPr>
        <w:t xml:space="preserve"> </w:t>
      </w:r>
      <w:r>
        <w:t>nación</w:t>
      </w:r>
      <w:r>
        <w:rPr>
          <w:spacing w:val="-6"/>
        </w:rPr>
        <w:t xml:space="preserve"> </w:t>
      </w:r>
      <w:r>
        <w:t>a</w:t>
      </w:r>
      <w:r>
        <w:rPr>
          <w:spacing w:val="-6"/>
        </w:rPr>
        <w:t xml:space="preserve"> </w:t>
      </w:r>
      <w:proofErr w:type="gramStart"/>
      <w:r>
        <w:t>nación</w:t>
      </w:r>
      <w:r>
        <w:rPr>
          <w:spacing w:val="-6"/>
        </w:rPr>
        <w:t xml:space="preserve"> </w:t>
      </w:r>
      <w:r>
        <w:t>”</w:t>
      </w:r>
      <w:proofErr w:type="gramEnd"/>
      <w:r>
        <w:t>.948</w:t>
      </w:r>
      <w:r>
        <w:rPr>
          <w:spacing w:val="-6"/>
        </w:rPr>
        <w:t xml:space="preserve"> </w:t>
      </w:r>
      <w:r>
        <w:t>El</w:t>
      </w:r>
      <w:r>
        <w:rPr>
          <w:spacing w:val="-6"/>
        </w:rPr>
        <w:t xml:space="preserve"> </w:t>
      </w:r>
      <w:r>
        <w:t>Gobierno</w:t>
      </w:r>
      <w:r>
        <w:rPr>
          <w:spacing w:val="-6"/>
        </w:rPr>
        <w:t xml:space="preserve"> </w:t>
      </w:r>
      <w:r>
        <w:t>reconoció el</w:t>
      </w:r>
      <w:r>
        <w:rPr>
          <w:spacing w:val="-1"/>
        </w:rPr>
        <w:t xml:space="preserve"> </w:t>
      </w:r>
      <w:r>
        <w:t>autogobierno</w:t>
      </w:r>
      <w:r>
        <w:rPr>
          <w:spacing w:val="-1"/>
        </w:rPr>
        <w:t xml:space="preserve"> </w:t>
      </w:r>
      <w:r>
        <w:t>indígena</w:t>
      </w:r>
      <w:r>
        <w:rPr>
          <w:spacing w:val="-1"/>
        </w:rPr>
        <w:t xml:space="preserve"> </w:t>
      </w:r>
      <w:r>
        <w:t>como</w:t>
      </w:r>
      <w:r>
        <w:rPr>
          <w:spacing w:val="-1"/>
        </w:rPr>
        <w:t xml:space="preserve"> </w:t>
      </w:r>
      <w:r>
        <w:t>parte</w:t>
      </w:r>
      <w:r>
        <w:rPr>
          <w:spacing w:val="-1"/>
        </w:rPr>
        <w:t xml:space="preserve"> </w:t>
      </w:r>
      <w:r>
        <w:t>del</w:t>
      </w:r>
      <w:r>
        <w:rPr>
          <w:spacing w:val="-1"/>
        </w:rPr>
        <w:t xml:space="preserve"> </w:t>
      </w:r>
      <w:r>
        <w:t>sistema</w:t>
      </w:r>
      <w:r>
        <w:rPr>
          <w:spacing w:val="-1"/>
        </w:rPr>
        <w:t xml:space="preserve"> </w:t>
      </w:r>
      <w:r>
        <w:t>emergente</w:t>
      </w:r>
      <w:r>
        <w:rPr>
          <w:spacing w:val="-1"/>
        </w:rPr>
        <w:t xml:space="preserve"> </w:t>
      </w:r>
      <w:r>
        <w:t>de</w:t>
      </w:r>
      <w:r>
        <w:rPr>
          <w:spacing w:val="-1"/>
        </w:rPr>
        <w:t xml:space="preserve"> </w:t>
      </w:r>
      <w:r>
        <w:t>gobierno</w:t>
      </w:r>
      <w:r>
        <w:rPr>
          <w:spacing w:val="-1"/>
        </w:rPr>
        <w:t xml:space="preserve"> </w:t>
      </w:r>
      <w:r>
        <w:t>del</w:t>
      </w:r>
      <w:r>
        <w:rPr>
          <w:spacing w:val="-1"/>
        </w:rPr>
        <w:t xml:space="preserve"> </w:t>
      </w:r>
      <w:r>
        <w:t>país.</w:t>
      </w:r>
      <w:r>
        <w:rPr>
          <w:spacing w:val="-1"/>
        </w:rPr>
        <w:t xml:space="preserve"> </w:t>
      </w:r>
      <w:r>
        <w:t>federalismo</w:t>
      </w:r>
      <w:r>
        <w:rPr>
          <w:spacing w:val="-1"/>
        </w:rPr>
        <w:t xml:space="preserve"> </w:t>
      </w:r>
      <w:r>
        <w:t>cooperativo. Por</w:t>
      </w:r>
      <w:r>
        <w:rPr>
          <w:spacing w:val="-1"/>
        </w:rPr>
        <w:t xml:space="preserve"> </w:t>
      </w:r>
      <w:r>
        <w:t>lo</w:t>
      </w:r>
      <w:r>
        <w:rPr>
          <w:spacing w:val="-1"/>
        </w:rPr>
        <w:t xml:space="preserve"> </w:t>
      </w:r>
      <w:r>
        <w:t>tanto,</w:t>
      </w:r>
      <w:r>
        <w:rPr>
          <w:spacing w:val="-1"/>
        </w:rPr>
        <w:t xml:space="preserve"> </w:t>
      </w:r>
      <w:r>
        <w:t>las relaciones (nación a nación, gobierno a gobierno y corona inuit), incluidas las relaciones mediante tratados, incluyen:</w:t>
      </w:r>
    </w:p>
    <w:p w14:paraId="58CEB838" w14:textId="77777777" w:rsidR="0014798C" w:rsidRDefault="0014798C">
      <w:pPr>
        <w:pStyle w:val="Textoindependiente"/>
        <w:spacing w:before="175"/>
      </w:pPr>
    </w:p>
    <w:p w14:paraId="0D7E1656" w14:textId="77777777" w:rsidR="0014798C" w:rsidRDefault="004E1F0B">
      <w:pPr>
        <w:pStyle w:val="Prrafodelista"/>
        <w:numPr>
          <w:ilvl w:val="0"/>
          <w:numId w:val="21"/>
        </w:numPr>
        <w:tabs>
          <w:tab w:val="left" w:pos="1796"/>
          <w:tab w:val="left" w:pos="1902"/>
        </w:tabs>
        <w:spacing w:before="1" w:line="312" w:lineRule="auto"/>
        <w:ind w:right="3476" w:hanging="205"/>
        <w:rPr>
          <w:sz w:val="16"/>
        </w:rPr>
      </w:pPr>
      <w:r>
        <w:rPr>
          <w:noProof/>
        </w:rPr>
        <mc:AlternateContent>
          <mc:Choice Requires="wps">
            <w:drawing>
              <wp:anchor distT="0" distB="0" distL="0" distR="0" simplePos="0" relativeHeight="251658310" behindDoc="0" locked="0" layoutInCell="1" allowOverlap="1" wp14:anchorId="502A4341" wp14:editId="0062F3A0">
                <wp:simplePos x="0" y="0"/>
                <wp:positionH relativeFrom="page">
                  <wp:posOffset>7293418</wp:posOffset>
                </wp:positionH>
                <wp:positionV relativeFrom="paragraph">
                  <wp:posOffset>103858</wp:posOffset>
                </wp:positionV>
                <wp:extent cx="104775" cy="260985"/>
                <wp:effectExtent l="0" t="0" r="0" b="0"/>
                <wp:wrapNone/>
                <wp:docPr id="286" name="Textbox 28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04775" cy="260985"/>
                        </a:xfrm>
                        <a:prstGeom prst="rect">
                          <a:avLst/>
                        </a:prstGeom>
                      </wps:spPr>
                      <wps:txbx>
                        <w:txbxContent>
                          <w:p w14:paraId="076976EB" w14:textId="77777777" w:rsidR="0014798C" w:rsidRDefault="004E1F0B">
                            <w:pPr>
                              <w:spacing w:before="17"/>
                              <w:ind w:left="20"/>
                              <w:rPr>
                                <w:sz w:val="11"/>
                              </w:rPr>
                            </w:pPr>
                            <w:r>
                              <w:rPr>
                                <w:color w:val="FFFFFF"/>
                                <w:spacing w:val="-33"/>
                                <w:sz w:val="11"/>
                              </w:rPr>
                              <w:t>TPRAERSTE</w:t>
                            </w:r>
                          </w:p>
                        </w:txbxContent>
                      </wps:txbx>
                      <wps:bodyPr vert="vert270" wrap="square" lIns="0" tIns="0" rIns="0" bIns="0" rtlCol="0">
                        <a:noAutofit/>
                      </wps:bodyPr>
                    </wps:wsp>
                  </a:graphicData>
                </a:graphic>
              </wp:anchor>
            </w:drawing>
          </mc:Choice>
          <mc:Fallback>
            <w:pict>
              <v:shape w14:anchorId="502A4341" id="Textbox 286" o:spid="_x0000_s1141" type="#_x0000_t202" style="position:absolute;left:0;text-align:left;margin-left:574.3pt;margin-top:8.2pt;width:8.25pt;height:20.55pt;z-index:251658310;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" filled="f" stroked="f">
                <v:textbox style="layout-flow:vertical;mso-layout-flow-alt:bottom-to-top" inset="0,0,0,0">
                  <w:txbxContent>
                    <w:p w14:paraId="076976EB" w14:textId="77777777" w:rsidR="0014798C" w:rsidRDefault="004E1F0B">
                      <w:pPr>
                        <w:spacing w:before="17"/>
                        <w:ind w:left="20"/>
                        <w:rPr>
                          <w:sz w:val="11"/>
                        </w:rPr>
                      </w:pPr>
                      <w:r>
                        <w:rPr>
                          <w:color w:val="FFFFFF"/>
                          <w:spacing w:val="-33"/>
                          <w:sz w:val="11"/>
                        </w:rPr>
                        <w:t>TPRAERSTE</w:t>
                      </w:r>
                    </w:p>
                  </w:txbxContent>
                </v:textbox>
                <w10:wrap anchorx="page"/>
              </v:shape>
            </w:pict>
          </mc:Fallback>
        </mc:AlternateContent>
      </w:r>
      <w:r>
        <w:rPr>
          <w:sz w:val="16"/>
        </w:rPr>
        <w:t>desarrollar</w:t>
      </w:r>
      <w:r>
        <w:rPr>
          <w:spacing w:val="-8"/>
          <w:sz w:val="16"/>
        </w:rPr>
        <w:t xml:space="preserve"> </w:t>
      </w:r>
      <w:r>
        <w:rPr>
          <w:sz w:val="16"/>
        </w:rPr>
        <w:t>mecanismos</w:t>
      </w:r>
      <w:r>
        <w:rPr>
          <w:spacing w:val="-8"/>
          <w:sz w:val="16"/>
        </w:rPr>
        <w:t xml:space="preserve"> </w:t>
      </w:r>
      <w:r>
        <w:rPr>
          <w:sz w:val="16"/>
        </w:rPr>
        <w:t>y</w:t>
      </w:r>
      <w:r>
        <w:rPr>
          <w:spacing w:val="-8"/>
          <w:sz w:val="16"/>
        </w:rPr>
        <w:t xml:space="preserve"> </w:t>
      </w:r>
      <w:r>
        <w:rPr>
          <w:sz w:val="16"/>
        </w:rPr>
        <w:t>diseñar</w:t>
      </w:r>
      <w:r>
        <w:rPr>
          <w:spacing w:val="-8"/>
          <w:sz w:val="16"/>
        </w:rPr>
        <w:t xml:space="preserve"> </w:t>
      </w:r>
      <w:r>
        <w:rPr>
          <w:sz w:val="16"/>
        </w:rPr>
        <w:t>procesos</w:t>
      </w:r>
      <w:r>
        <w:rPr>
          <w:spacing w:val="-8"/>
          <w:sz w:val="16"/>
        </w:rPr>
        <w:t xml:space="preserve"> </w:t>
      </w:r>
      <w:r>
        <w:rPr>
          <w:sz w:val="16"/>
        </w:rPr>
        <w:t>que</w:t>
      </w:r>
      <w:r>
        <w:rPr>
          <w:spacing w:val="-8"/>
          <w:sz w:val="16"/>
        </w:rPr>
        <w:t xml:space="preserve"> </w:t>
      </w:r>
      <w:r>
        <w:rPr>
          <w:sz w:val="16"/>
        </w:rPr>
        <w:t>reconozcan</w:t>
      </w:r>
      <w:r>
        <w:rPr>
          <w:spacing w:val="-8"/>
          <w:sz w:val="16"/>
        </w:rPr>
        <w:t xml:space="preserve"> </w:t>
      </w:r>
      <w:r>
        <w:rPr>
          <w:sz w:val="16"/>
        </w:rPr>
        <w:t>que</w:t>
      </w:r>
      <w:r>
        <w:rPr>
          <w:spacing w:val="-8"/>
          <w:sz w:val="16"/>
        </w:rPr>
        <w:t xml:space="preserve"> </w:t>
      </w:r>
      <w:r>
        <w:rPr>
          <w:sz w:val="16"/>
        </w:rPr>
        <w:t>los</w:t>
      </w:r>
      <w:r>
        <w:rPr>
          <w:spacing w:val="-8"/>
          <w:sz w:val="16"/>
        </w:rPr>
        <w:t xml:space="preserve"> </w:t>
      </w:r>
      <w:r>
        <w:rPr>
          <w:sz w:val="16"/>
        </w:rPr>
        <w:t>pueblos</w:t>
      </w:r>
      <w:r>
        <w:rPr>
          <w:spacing w:val="-8"/>
          <w:sz w:val="16"/>
        </w:rPr>
        <w:t xml:space="preserve"> </w:t>
      </w:r>
      <w:r>
        <w:rPr>
          <w:sz w:val="16"/>
        </w:rPr>
        <w:t>indígenas</w:t>
      </w:r>
      <w:r>
        <w:rPr>
          <w:spacing w:val="-8"/>
          <w:sz w:val="16"/>
        </w:rPr>
        <w:t xml:space="preserve"> </w:t>
      </w:r>
      <w:r>
        <w:rPr>
          <w:sz w:val="16"/>
        </w:rPr>
        <w:t>son fundamental</w:t>
      </w:r>
      <w:r>
        <w:rPr>
          <w:spacing w:val="-8"/>
          <w:sz w:val="16"/>
        </w:rPr>
        <w:t xml:space="preserve"> </w:t>
      </w:r>
      <w:r>
        <w:rPr>
          <w:sz w:val="16"/>
        </w:rPr>
        <w:t>para</w:t>
      </w:r>
      <w:r>
        <w:rPr>
          <w:spacing w:val="-8"/>
          <w:sz w:val="16"/>
        </w:rPr>
        <w:t xml:space="preserve"> </w:t>
      </w:r>
      <w:r>
        <w:rPr>
          <w:sz w:val="16"/>
        </w:rPr>
        <w:t>el</w:t>
      </w:r>
      <w:r>
        <w:rPr>
          <w:spacing w:val="-8"/>
          <w:sz w:val="16"/>
        </w:rPr>
        <w:t xml:space="preserve"> </w:t>
      </w:r>
      <w:r>
        <w:rPr>
          <w:sz w:val="16"/>
        </w:rPr>
        <w:t>marco</w:t>
      </w:r>
      <w:r>
        <w:rPr>
          <w:spacing w:val="-8"/>
          <w:sz w:val="16"/>
        </w:rPr>
        <w:t xml:space="preserve"> </w:t>
      </w:r>
      <w:r>
        <w:rPr>
          <w:sz w:val="16"/>
        </w:rPr>
        <w:t>constitucional</w:t>
      </w:r>
      <w:r>
        <w:rPr>
          <w:spacing w:val="-8"/>
          <w:sz w:val="16"/>
        </w:rPr>
        <w:t xml:space="preserve"> </w:t>
      </w:r>
      <w:r>
        <w:rPr>
          <w:sz w:val="16"/>
        </w:rPr>
        <w:t>de</w:t>
      </w:r>
      <w:r>
        <w:rPr>
          <w:spacing w:val="-8"/>
          <w:sz w:val="16"/>
        </w:rPr>
        <w:t xml:space="preserve"> </w:t>
      </w:r>
      <w:r>
        <w:rPr>
          <w:sz w:val="16"/>
        </w:rPr>
        <w:t>Canadá;</w:t>
      </w:r>
    </w:p>
    <w:p w14:paraId="392B9A7D" w14:textId="77777777" w:rsidR="0014798C" w:rsidRDefault="004E1F0B">
      <w:pPr>
        <w:pStyle w:val="Prrafodelista"/>
        <w:numPr>
          <w:ilvl w:val="0"/>
          <w:numId w:val="21"/>
        </w:numPr>
        <w:tabs>
          <w:tab w:val="left" w:pos="1799"/>
        </w:tabs>
        <w:spacing w:before="134"/>
        <w:ind w:left="1799" w:hanging="99"/>
        <w:rPr>
          <w:sz w:val="16"/>
        </w:rPr>
      </w:pPr>
      <w:r>
        <w:rPr>
          <w:sz w:val="16"/>
        </w:rPr>
        <w:t>involucrar</w:t>
      </w:r>
      <w:r>
        <w:rPr>
          <w:spacing w:val="-7"/>
          <w:sz w:val="16"/>
        </w:rPr>
        <w:t xml:space="preserve"> </w:t>
      </w:r>
      <w:r>
        <w:rPr>
          <w:sz w:val="16"/>
        </w:rPr>
        <w:t>a</w:t>
      </w:r>
      <w:r>
        <w:rPr>
          <w:spacing w:val="-7"/>
          <w:sz w:val="16"/>
        </w:rPr>
        <w:t xml:space="preserve"> </w:t>
      </w:r>
      <w:r>
        <w:rPr>
          <w:sz w:val="16"/>
        </w:rPr>
        <w:t>los</w:t>
      </w:r>
      <w:r>
        <w:rPr>
          <w:spacing w:val="-6"/>
          <w:sz w:val="16"/>
        </w:rPr>
        <w:t xml:space="preserve"> </w:t>
      </w:r>
      <w:r>
        <w:rPr>
          <w:sz w:val="16"/>
        </w:rPr>
        <w:t>pueblos</w:t>
      </w:r>
      <w:r>
        <w:rPr>
          <w:spacing w:val="-7"/>
          <w:sz w:val="16"/>
        </w:rPr>
        <w:t xml:space="preserve"> </w:t>
      </w:r>
      <w:r>
        <w:rPr>
          <w:sz w:val="16"/>
        </w:rPr>
        <w:t>indígenas</w:t>
      </w:r>
      <w:r>
        <w:rPr>
          <w:spacing w:val="-7"/>
          <w:sz w:val="16"/>
        </w:rPr>
        <w:t xml:space="preserve"> </w:t>
      </w:r>
      <w:r>
        <w:rPr>
          <w:sz w:val="16"/>
        </w:rPr>
        <w:t>en</w:t>
      </w:r>
      <w:r>
        <w:rPr>
          <w:spacing w:val="-6"/>
          <w:sz w:val="16"/>
        </w:rPr>
        <w:t xml:space="preserve"> </w:t>
      </w:r>
      <w:r>
        <w:rPr>
          <w:sz w:val="16"/>
        </w:rPr>
        <w:t>la</w:t>
      </w:r>
      <w:r>
        <w:rPr>
          <w:spacing w:val="-7"/>
          <w:sz w:val="16"/>
        </w:rPr>
        <w:t xml:space="preserve"> </w:t>
      </w:r>
      <w:r>
        <w:rPr>
          <w:sz w:val="16"/>
        </w:rPr>
        <w:t>toma</w:t>
      </w:r>
      <w:r>
        <w:rPr>
          <w:spacing w:val="-6"/>
          <w:sz w:val="16"/>
        </w:rPr>
        <w:t xml:space="preserve"> </w:t>
      </w:r>
      <w:r>
        <w:rPr>
          <w:sz w:val="16"/>
        </w:rPr>
        <w:t>de</w:t>
      </w:r>
      <w:r>
        <w:rPr>
          <w:spacing w:val="-7"/>
          <w:sz w:val="16"/>
        </w:rPr>
        <w:t xml:space="preserve"> </w:t>
      </w:r>
      <w:r>
        <w:rPr>
          <w:sz w:val="16"/>
        </w:rPr>
        <w:t>decisiones</w:t>
      </w:r>
      <w:r>
        <w:rPr>
          <w:spacing w:val="-7"/>
          <w:sz w:val="16"/>
        </w:rPr>
        <w:t xml:space="preserve"> </w:t>
      </w:r>
      <w:r>
        <w:rPr>
          <w:sz w:val="16"/>
        </w:rPr>
        <w:t>y</w:t>
      </w:r>
      <w:r>
        <w:rPr>
          <w:spacing w:val="-6"/>
          <w:sz w:val="16"/>
        </w:rPr>
        <w:t xml:space="preserve"> </w:t>
      </w:r>
      <w:r>
        <w:rPr>
          <w:sz w:val="16"/>
        </w:rPr>
        <w:t>la</w:t>
      </w:r>
      <w:r>
        <w:rPr>
          <w:spacing w:val="-7"/>
          <w:sz w:val="16"/>
        </w:rPr>
        <w:t xml:space="preserve"> </w:t>
      </w:r>
      <w:r>
        <w:rPr>
          <w:sz w:val="16"/>
        </w:rPr>
        <w:t>gobernanza</w:t>
      </w:r>
      <w:r>
        <w:rPr>
          <w:spacing w:val="-7"/>
          <w:sz w:val="16"/>
        </w:rPr>
        <w:t xml:space="preserve"> </w:t>
      </w:r>
      <w:r>
        <w:rPr>
          <w:sz w:val="16"/>
        </w:rPr>
        <w:t>efectiva</w:t>
      </w:r>
      <w:r>
        <w:rPr>
          <w:spacing w:val="-6"/>
          <w:sz w:val="16"/>
        </w:rPr>
        <w:t xml:space="preserve"> </w:t>
      </w:r>
      <w:r>
        <w:rPr>
          <w:sz w:val="16"/>
        </w:rPr>
        <w:t>de</w:t>
      </w:r>
      <w:r>
        <w:rPr>
          <w:spacing w:val="-7"/>
          <w:sz w:val="16"/>
        </w:rPr>
        <w:t xml:space="preserve"> </w:t>
      </w:r>
      <w:r>
        <w:rPr>
          <w:sz w:val="16"/>
        </w:rPr>
        <w:t>nuestro</w:t>
      </w:r>
      <w:r>
        <w:rPr>
          <w:spacing w:val="-6"/>
          <w:sz w:val="16"/>
        </w:rPr>
        <w:t xml:space="preserve"> </w:t>
      </w:r>
      <w:r>
        <w:rPr>
          <w:sz w:val="16"/>
        </w:rPr>
        <w:t>hogar</w:t>
      </w:r>
      <w:r>
        <w:rPr>
          <w:spacing w:val="-7"/>
          <w:sz w:val="16"/>
        </w:rPr>
        <w:t xml:space="preserve"> </w:t>
      </w:r>
      <w:r>
        <w:rPr>
          <w:spacing w:val="-2"/>
          <w:sz w:val="16"/>
        </w:rPr>
        <w:t>compartido;</w:t>
      </w:r>
    </w:p>
    <w:p w14:paraId="58D27E8E" w14:textId="77777777" w:rsidR="0014798C" w:rsidRDefault="004E1F0B">
      <w:pPr>
        <w:pStyle w:val="Prrafodelista"/>
        <w:numPr>
          <w:ilvl w:val="0"/>
          <w:numId w:val="21"/>
        </w:numPr>
        <w:tabs>
          <w:tab w:val="left" w:pos="1797"/>
          <w:tab w:val="left" w:pos="1904"/>
        </w:tabs>
        <w:spacing w:before="179" w:line="319" w:lineRule="auto"/>
        <w:ind w:left="1904" w:right="1678" w:hanging="206"/>
        <w:rPr>
          <w:sz w:val="16"/>
        </w:rPr>
      </w:pPr>
      <w:r>
        <w:rPr>
          <w:sz w:val="16"/>
        </w:rPr>
        <w:t xml:space="preserve">establecer mecanismos eficaces para apoyar la transición desde los sistemas coloniales de administración y </w:t>
      </w:r>
      <w:r>
        <w:rPr>
          <w:spacing w:val="-2"/>
          <w:sz w:val="16"/>
        </w:rPr>
        <w:t xml:space="preserve">gobernanza, incluida, cuando se aplica actualmente, la gobernanza y la administración conforme a la Ley Indígena; </w:t>
      </w:r>
      <w:r>
        <w:rPr>
          <w:spacing w:val="-10"/>
          <w:sz w:val="16"/>
        </w:rPr>
        <w:t>y</w:t>
      </w:r>
    </w:p>
    <w:p w14:paraId="1E4E02ED" w14:textId="77777777" w:rsidR="0014798C" w:rsidRDefault="004E1F0B">
      <w:pPr>
        <w:pStyle w:val="Prrafodelista"/>
        <w:numPr>
          <w:ilvl w:val="0"/>
          <w:numId w:val="21"/>
        </w:numPr>
        <w:tabs>
          <w:tab w:val="left" w:pos="1796"/>
          <w:tab w:val="left" w:pos="1905"/>
        </w:tabs>
        <w:spacing w:before="128" w:line="271" w:lineRule="auto"/>
        <w:ind w:left="1905" w:right="1748" w:hanging="208"/>
        <w:rPr>
          <w:sz w:val="16"/>
        </w:rPr>
      </w:pPr>
      <w:r>
        <w:rPr>
          <w:sz w:val="16"/>
        </w:rPr>
        <w:t>asegurar,</w:t>
      </w:r>
      <w:r>
        <w:rPr>
          <w:spacing w:val="-7"/>
          <w:sz w:val="16"/>
        </w:rPr>
        <w:t xml:space="preserve"> </w:t>
      </w:r>
      <w:r>
        <w:rPr>
          <w:sz w:val="16"/>
        </w:rPr>
        <w:t>a</w:t>
      </w:r>
      <w:r>
        <w:rPr>
          <w:spacing w:val="-7"/>
          <w:sz w:val="16"/>
        </w:rPr>
        <w:t xml:space="preserve"> </w:t>
      </w:r>
      <w:r>
        <w:rPr>
          <w:sz w:val="16"/>
        </w:rPr>
        <w:t>partir</w:t>
      </w:r>
      <w:r>
        <w:rPr>
          <w:spacing w:val="-7"/>
          <w:sz w:val="16"/>
        </w:rPr>
        <w:t xml:space="preserve"> </w:t>
      </w:r>
      <w:r>
        <w:rPr>
          <w:sz w:val="16"/>
        </w:rPr>
        <w:t>del</w:t>
      </w:r>
      <w:r>
        <w:rPr>
          <w:spacing w:val="-7"/>
          <w:sz w:val="16"/>
        </w:rPr>
        <w:t xml:space="preserve"> </w:t>
      </w:r>
      <w:r>
        <w:rPr>
          <w:sz w:val="16"/>
        </w:rPr>
        <w:t>reconocimiento</w:t>
      </w:r>
      <w:r>
        <w:rPr>
          <w:spacing w:val="-7"/>
          <w:sz w:val="16"/>
        </w:rPr>
        <w:t xml:space="preserve"> </w:t>
      </w:r>
      <w:r>
        <w:rPr>
          <w:sz w:val="16"/>
        </w:rPr>
        <w:t>de</w:t>
      </w:r>
      <w:r>
        <w:rPr>
          <w:spacing w:val="-7"/>
          <w:sz w:val="16"/>
        </w:rPr>
        <w:t xml:space="preserve"> </w:t>
      </w:r>
      <w:r>
        <w:rPr>
          <w:sz w:val="16"/>
        </w:rPr>
        <w:t>derechos,</w:t>
      </w:r>
      <w:r>
        <w:rPr>
          <w:spacing w:val="-7"/>
          <w:sz w:val="16"/>
        </w:rPr>
        <w:t xml:space="preserve"> </w:t>
      </w:r>
      <w:r>
        <w:rPr>
          <w:sz w:val="16"/>
        </w:rPr>
        <w:t>el</w:t>
      </w:r>
      <w:r>
        <w:rPr>
          <w:spacing w:val="-7"/>
          <w:sz w:val="16"/>
        </w:rPr>
        <w:t xml:space="preserve"> </w:t>
      </w:r>
      <w:r>
        <w:rPr>
          <w:sz w:val="16"/>
        </w:rPr>
        <w:t>espacio</w:t>
      </w:r>
      <w:r>
        <w:rPr>
          <w:spacing w:val="-7"/>
          <w:sz w:val="16"/>
        </w:rPr>
        <w:t xml:space="preserve"> </w:t>
      </w:r>
      <w:r>
        <w:rPr>
          <w:sz w:val="16"/>
        </w:rPr>
        <w:t>para</w:t>
      </w:r>
      <w:r>
        <w:rPr>
          <w:spacing w:val="-7"/>
          <w:sz w:val="16"/>
        </w:rPr>
        <w:t xml:space="preserve"> </w:t>
      </w:r>
      <w:r>
        <w:rPr>
          <w:sz w:val="16"/>
        </w:rPr>
        <w:t>el</w:t>
      </w:r>
      <w:r>
        <w:rPr>
          <w:spacing w:val="-7"/>
          <w:sz w:val="16"/>
        </w:rPr>
        <w:t xml:space="preserve"> </w:t>
      </w:r>
      <w:r>
        <w:rPr>
          <w:sz w:val="16"/>
        </w:rPr>
        <w:t>funcionamiento</w:t>
      </w:r>
      <w:r>
        <w:rPr>
          <w:spacing w:val="-7"/>
          <w:sz w:val="16"/>
        </w:rPr>
        <w:t xml:space="preserve"> </w:t>
      </w:r>
      <w:r>
        <w:rPr>
          <w:sz w:val="16"/>
        </w:rPr>
        <w:t>de</w:t>
      </w:r>
      <w:r>
        <w:rPr>
          <w:spacing w:val="-7"/>
          <w:sz w:val="16"/>
        </w:rPr>
        <w:t xml:space="preserve"> </w:t>
      </w:r>
      <w:r>
        <w:rPr>
          <w:sz w:val="16"/>
        </w:rPr>
        <w:t>las</w:t>
      </w:r>
      <w:r>
        <w:rPr>
          <w:spacing w:val="-7"/>
          <w:sz w:val="16"/>
        </w:rPr>
        <w:t xml:space="preserve"> </w:t>
      </w:r>
      <w:r>
        <w:rPr>
          <w:sz w:val="16"/>
        </w:rPr>
        <w:t>jurisdicciones</w:t>
      </w:r>
      <w:r>
        <w:rPr>
          <w:spacing w:val="-7"/>
          <w:sz w:val="16"/>
        </w:rPr>
        <w:t xml:space="preserve"> </w:t>
      </w:r>
      <w:r>
        <w:rPr>
          <w:sz w:val="16"/>
        </w:rPr>
        <w:t>indígenas y leyes.949</w:t>
      </w:r>
    </w:p>
    <w:p w14:paraId="31D302CF" w14:textId="77777777" w:rsidR="0014798C" w:rsidRDefault="0014798C">
      <w:pPr>
        <w:pStyle w:val="Textoindependiente"/>
        <w:spacing w:before="13"/>
      </w:pPr>
    </w:p>
    <w:p w14:paraId="071F8855" w14:textId="77777777" w:rsidR="0014798C" w:rsidRDefault="004E1F0B">
      <w:pPr>
        <w:pStyle w:val="Textoindependiente"/>
        <w:spacing w:line="326" w:lineRule="auto"/>
        <w:ind w:left="1335" w:right="1626" w:hanging="4"/>
      </w:pPr>
      <w:r>
        <w:t>Algunos aspectos de los esfuerzos anteriores del país en este sentido han sido objeto de críticas, en particular, por no salvaguardar</w:t>
      </w:r>
      <w:r>
        <w:rPr>
          <w:spacing w:val="-7"/>
        </w:rPr>
        <w:t xml:space="preserve"> </w:t>
      </w:r>
      <w:r>
        <w:t>suficientemente</w:t>
      </w:r>
      <w:r>
        <w:rPr>
          <w:spacing w:val="-7"/>
        </w:rPr>
        <w:t xml:space="preserve"> </w:t>
      </w:r>
      <w:r>
        <w:t>la</w:t>
      </w:r>
      <w:r>
        <w:rPr>
          <w:spacing w:val="-7"/>
        </w:rPr>
        <w:t xml:space="preserve"> </w:t>
      </w:r>
      <w:r>
        <w:t>igualdad</w:t>
      </w:r>
      <w:r>
        <w:rPr>
          <w:spacing w:val="-7"/>
        </w:rPr>
        <w:t xml:space="preserve"> </w:t>
      </w:r>
      <w:r>
        <w:t>de</w:t>
      </w:r>
      <w:r>
        <w:rPr>
          <w:spacing w:val="-7"/>
        </w:rPr>
        <w:t xml:space="preserve"> </w:t>
      </w:r>
      <w:r>
        <w:t>género,</w:t>
      </w:r>
      <w:r>
        <w:rPr>
          <w:spacing w:val="-6"/>
        </w:rPr>
        <w:t xml:space="preserve"> </w:t>
      </w:r>
      <w:r>
        <w:t>incluidos</w:t>
      </w:r>
      <w:r>
        <w:rPr>
          <w:spacing w:val="-7"/>
        </w:rPr>
        <w:t xml:space="preserve"> </w:t>
      </w:r>
      <w:r>
        <w:t>los</w:t>
      </w:r>
      <w:r>
        <w:rPr>
          <w:spacing w:val="-7"/>
        </w:rPr>
        <w:t xml:space="preserve"> </w:t>
      </w:r>
      <w:r>
        <w:t>derechos</w:t>
      </w:r>
      <w:r>
        <w:rPr>
          <w:spacing w:val="-7"/>
        </w:rPr>
        <w:t xml:space="preserve"> </w:t>
      </w:r>
      <w:r>
        <w:t>de</w:t>
      </w:r>
      <w:r>
        <w:rPr>
          <w:spacing w:val="-7"/>
        </w:rPr>
        <w:t xml:space="preserve"> </w:t>
      </w:r>
      <w:r>
        <w:t>las</w:t>
      </w:r>
      <w:r>
        <w:rPr>
          <w:spacing w:val="-7"/>
        </w:rPr>
        <w:t xml:space="preserve"> </w:t>
      </w:r>
      <w:r>
        <w:t>mujeres</w:t>
      </w:r>
      <w:r>
        <w:rPr>
          <w:spacing w:val="-7"/>
        </w:rPr>
        <w:t xml:space="preserve"> </w:t>
      </w:r>
      <w:r>
        <w:t>y</w:t>
      </w:r>
      <w:r>
        <w:rPr>
          <w:spacing w:val="-7"/>
        </w:rPr>
        <w:t xml:space="preserve"> </w:t>
      </w:r>
      <w:r>
        <w:t>las</w:t>
      </w:r>
      <w:r>
        <w:rPr>
          <w:spacing w:val="-7"/>
        </w:rPr>
        <w:t xml:space="preserve"> </w:t>
      </w:r>
      <w:r>
        <w:t>niñas,</w:t>
      </w:r>
      <w:r>
        <w:rPr>
          <w:spacing w:val="-7"/>
        </w:rPr>
        <w:t xml:space="preserve"> </w:t>
      </w:r>
      <w:r>
        <w:t>especialmente</w:t>
      </w:r>
      <w:r>
        <w:rPr>
          <w:spacing w:val="-7"/>
        </w:rPr>
        <w:t xml:space="preserve"> </w:t>
      </w:r>
      <w:r>
        <w:t>en</w:t>
      </w:r>
      <w:r>
        <w:rPr>
          <w:spacing w:val="-7"/>
        </w:rPr>
        <w:t xml:space="preserve"> </w:t>
      </w:r>
      <w:r>
        <w:t>lo que respecta a la violencia de género.950</w:t>
      </w:r>
    </w:p>
    <w:p w14:paraId="5FBDE325" w14:textId="77777777" w:rsidR="0014798C" w:rsidRDefault="0014798C">
      <w:pPr>
        <w:pStyle w:val="Textoindependiente"/>
      </w:pPr>
    </w:p>
    <w:p w14:paraId="12BFDA1C" w14:textId="77777777" w:rsidR="0014798C" w:rsidRDefault="0014798C">
      <w:pPr>
        <w:pStyle w:val="Textoindependiente"/>
        <w:spacing w:before="84"/>
      </w:pPr>
    </w:p>
    <w:p w14:paraId="651F2B94" w14:textId="77777777" w:rsidR="0014798C" w:rsidRDefault="004E1F0B">
      <w:pPr>
        <w:pStyle w:val="Textoindependiente"/>
        <w:spacing w:line="326" w:lineRule="auto"/>
        <w:ind w:left="1105" w:right="1272" w:firstLine="1"/>
      </w:pPr>
      <w:r>
        <w:t>Como deja claro la declaración del Comité de Derechos Humanos, es ilegítimo que los Estados se nieguen a asumir sus responsabilidades de proteger en casos de prácticas nocivas dentro de comunidades minoritarias o indígenas, basándose en la lógica de que dichas comunidades –y su derecho a la autonomía comunitaria– las convierte en jurisdicciones separadas y herméticamente cerradas, exentas de la aplicación de otros derechos humanos. De hecho, los gobiernos de todo el mundo han tenido que lidiar prácticamente con la forma de garantizar la igualdad de género, los derechos del niño y los derechos de las minorías</w:t>
      </w:r>
      <w:r>
        <w:rPr>
          <w:spacing w:val="-6"/>
        </w:rPr>
        <w:t xml:space="preserve"> </w:t>
      </w:r>
      <w:r>
        <w:t>dentro</w:t>
      </w:r>
      <w:r>
        <w:rPr>
          <w:spacing w:val="-6"/>
        </w:rPr>
        <w:t xml:space="preserve"> </w:t>
      </w:r>
      <w:r>
        <w:t>de</w:t>
      </w:r>
      <w:r>
        <w:rPr>
          <w:spacing w:val="-6"/>
        </w:rPr>
        <w:t xml:space="preserve"> </w:t>
      </w:r>
      <w:r>
        <w:t>las</w:t>
      </w:r>
      <w:r>
        <w:rPr>
          <w:spacing w:val="-6"/>
        </w:rPr>
        <w:t xml:space="preserve"> </w:t>
      </w:r>
      <w:r>
        <w:t>minorías</w:t>
      </w:r>
      <w:r>
        <w:rPr>
          <w:spacing w:val="-6"/>
        </w:rPr>
        <w:t xml:space="preserve"> </w:t>
      </w:r>
      <w:r>
        <w:t>y</w:t>
      </w:r>
      <w:r>
        <w:rPr>
          <w:spacing w:val="-6"/>
        </w:rPr>
        <w:t xml:space="preserve"> </w:t>
      </w:r>
      <w:r>
        <w:t>otros</w:t>
      </w:r>
      <w:r>
        <w:rPr>
          <w:spacing w:val="-6"/>
        </w:rPr>
        <w:t xml:space="preserve"> </w:t>
      </w:r>
      <w:r>
        <w:t>aspectos,</w:t>
      </w:r>
      <w:r>
        <w:rPr>
          <w:spacing w:val="-5"/>
        </w:rPr>
        <w:t xml:space="preserve"> </w:t>
      </w:r>
      <w:r>
        <w:t>respetando</w:t>
      </w:r>
      <w:r>
        <w:rPr>
          <w:spacing w:val="-6"/>
        </w:rPr>
        <w:t xml:space="preserve"> </w:t>
      </w:r>
      <w:r>
        <w:t>al</w:t>
      </w:r>
      <w:r>
        <w:rPr>
          <w:spacing w:val="-6"/>
        </w:rPr>
        <w:t xml:space="preserve"> </w:t>
      </w:r>
      <w:r>
        <w:t>mismo</w:t>
      </w:r>
      <w:r>
        <w:rPr>
          <w:spacing w:val="-6"/>
        </w:rPr>
        <w:t xml:space="preserve"> </w:t>
      </w:r>
      <w:r>
        <w:t>tiempo</w:t>
      </w:r>
      <w:r>
        <w:rPr>
          <w:spacing w:val="-6"/>
        </w:rPr>
        <w:t xml:space="preserve"> </w:t>
      </w:r>
      <w:r>
        <w:t>los</w:t>
      </w:r>
      <w:r>
        <w:rPr>
          <w:spacing w:val="-6"/>
        </w:rPr>
        <w:t xml:space="preserve"> </w:t>
      </w:r>
      <w:r>
        <w:t>requisitos</w:t>
      </w:r>
      <w:r>
        <w:rPr>
          <w:spacing w:val="-6"/>
        </w:rPr>
        <w:t xml:space="preserve"> </w:t>
      </w:r>
      <w:r>
        <w:t>de</w:t>
      </w:r>
      <w:r>
        <w:rPr>
          <w:spacing w:val="-6"/>
        </w:rPr>
        <w:t xml:space="preserve"> </w:t>
      </w:r>
      <w:r>
        <w:t>los</w:t>
      </w:r>
      <w:r>
        <w:rPr>
          <w:spacing w:val="-6"/>
        </w:rPr>
        <w:t xml:space="preserve"> </w:t>
      </w:r>
      <w:r>
        <w:t>derechos</w:t>
      </w:r>
      <w:r>
        <w:rPr>
          <w:spacing w:val="-6"/>
        </w:rPr>
        <w:t xml:space="preserve"> </w:t>
      </w:r>
      <w:r>
        <w:t>de</w:t>
      </w:r>
      <w:r>
        <w:rPr>
          <w:spacing w:val="-6"/>
        </w:rPr>
        <w:t xml:space="preserve"> </w:t>
      </w:r>
      <w:r>
        <w:t>las</w:t>
      </w:r>
      <w:r>
        <w:rPr>
          <w:spacing w:val="-6"/>
        </w:rPr>
        <w:t xml:space="preserve"> </w:t>
      </w:r>
      <w:r>
        <w:t>minorías</w:t>
      </w:r>
      <w:r>
        <w:rPr>
          <w:spacing w:val="-6"/>
        </w:rPr>
        <w:t xml:space="preserve"> </w:t>
      </w:r>
      <w:r>
        <w:t>y</w:t>
      </w:r>
      <w:r>
        <w:rPr>
          <w:spacing w:val="-6"/>
        </w:rPr>
        <w:t xml:space="preserve"> </w:t>
      </w:r>
      <w:r>
        <w:t xml:space="preserve">los </w:t>
      </w:r>
      <w:r>
        <w:rPr>
          <w:spacing w:val="-2"/>
        </w:rPr>
        <w:t>indígenas.951</w:t>
      </w:r>
    </w:p>
    <w:p w14:paraId="77D7AA93" w14:textId="77777777" w:rsidR="0014798C" w:rsidRDefault="004E1F0B">
      <w:pPr>
        <w:pStyle w:val="Textoindependiente"/>
        <w:spacing w:before="166" w:line="326" w:lineRule="auto"/>
        <w:ind w:left="1107" w:right="1166" w:firstLine="7"/>
      </w:pPr>
      <w:r>
        <w:t>Otros órganos creados en virtud de tratados se han ocupado de cuestiones similares, adoptando en gran medida posiciones armonizadas con la posición del Comité de Derechos Humanos articulada en la observación general núm. 28 (2000). Estas cuestiones implican tanto el papel de las autoridades públicas frente a las comunidades minoritarias e indígenas, como también lo que</w:t>
      </w:r>
      <w:r>
        <w:rPr>
          <w:spacing w:val="-8"/>
        </w:rPr>
        <w:t xml:space="preserve"> </w:t>
      </w:r>
      <w:r>
        <w:t>se</w:t>
      </w:r>
      <w:r>
        <w:rPr>
          <w:spacing w:val="-8"/>
        </w:rPr>
        <w:t xml:space="preserve"> </w:t>
      </w:r>
      <w:r>
        <w:t>refiere</w:t>
      </w:r>
      <w:r>
        <w:rPr>
          <w:spacing w:val="-8"/>
        </w:rPr>
        <w:t xml:space="preserve"> </w:t>
      </w:r>
      <w:r>
        <w:t>a</w:t>
      </w:r>
      <w:r>
        <w:rPr>
          <w:spacing w:val="-8"/>
        </w:rPr>
        <w:t xml:space="preserve"> </w:t>
      </w:r>
      <w:r>
        <w:t>sistemas</w:t>
      </w:r>
      <w:r>
        <w:rPr>
          <w:spacing w:val="-8"/>
        </w:rPr>
        <w:t xml:space="preserve"> </w:t>
      </w:r>
      <w:r>
        <w:t>jurídicos</w:t>
      </w:r>
      <w:r>
        <w:rPr>
          <w:spacing w:val="-8"/>
        </w:rPr>
        <w:t xml:space="preserve"> </w:t>
      </w:r>
      <w:r>
        <w:t>“consuetudinarios”</w:t>
      </w:r>
      <w:r>
        <w:rPr>
          <w:spacing w:val="-8"/>
        </w:rPr>
        <w:t xml:space="preserve"> </w:t>
      </w:r>
      <w:r>
        <w:t>paralelos</w:t>
      </w:r>
      <w:r>
        <w:rPr>
          <w:spacing w:val="-8"/>
        </w:rPr>
        <w:t xml:space="preserve"> </w:t>
      </w:r>
      <w:r>
        <w:t>que</w:t>
      </w:r>
      <w:r>
        <w:rPr>
          <w:spacing w:val="-8"/>
        </w:rPr>
        <w:t xml:space="preserve"> </w:t>
      </w:r>
      <w:r>
        <w:t>operan</w:t>
      </w:r>
      <w:r>
        <w:rPr>
          <w:spacing w:val="-8"/>
        </w:rPr>
        <w:t xml:space="preserve"> </w:t>
      </w:r>
      <w:r>
        <w:t>en</w:t>
      </w:r>
      <w:r>
        <w:rPr>
          <w:spacing w:val="-8"/>
        </w:rPr>
        <w:t xml:space="preserve"> </w:t>
      </w:r>
      <w:r>
        <w:t>contextos</w:t>
      </w:r>
      <w:r>
        <w:rPr>
          <w:spacing w:val="-8"/>
        </w:rPr>
        <w:t xml:space="preserve"> </w:t>
      </w:r>
      <w:r>
        <w:t>mayoritariamente</w:t>
      </w:r>
      <w:r>
        <w:rPr>
          <w:spacing w:val="-8"/>
        </w:rPr>
        <w:t xml:space="preserve"> </w:t>
      </w:r>
      <w:r>
        <w:t>religiosos</w:t>
      </w:r>
      <w:r>
        <w:rPr>
          <w:spacing w:val="-8"/>
        </w:rPr>
        <w:t xml:space="preserve"> </w:t>
      </w:r>
      <w:r>
        <w:t>o</w:t>
      </w:r>
      <w:r>
        <w:rPr>
          <w:spacing w:val="-8"/>
        </w:rPr>
        <w:t xml:space="preserve"> </w:t>
      </w:r>
      <w:r>
        <w:t>tradicionales. En</w:t>
      </w:r>
      <w:r>
        <w:rPr>
          <w:spacing w:val="-1"/>
        </w:rPr>
        <w:t xml:space="preserve"> </w:t>
      </w:r>
      <w:r>
        <w:t>una</w:t>
      </w:r>
      <w:r>
        <w:rPr>
          <w:spacing w:val="-1"/>
        </w:rPr>
        <w:t xml:space="preserve"> </w:t>
      </w:r>
      <w:r>
        <w:t>declaración</w:t>
      </w:r>
      <w:r>
        <w:rPr>
          <w:spacing w:val="-1"/>
        </w:rPr>
        <w:t xml:space="preserve"> </w:t>
      </w:r>
      <w:r>
        <w:t>para</w:t>
      </w:r>
      <w:r>
        <w:rPr>
          <w:spacing w:val="-1"/>
        </w:rPr>
        <w:t xml:space="preserve"> </w:t>
      </w:r>
      <w:r>
        <w:t>conmemorar</w:t>
      </w:r>
      <w:r>
        <w:rPr>
          <w:spacing w:val="-1"/>
        </w:rPr>
        <w:t xml:space="preserve"> </w:t>
      </w:r>
      <w:r>
        <w:t>el</w:t>
      </w:r>
      <w:r>
        <w:rPr>
          <w:spacing w:val="-1"/>
        </w:rPr>
        <w:t xml:space="preserve"> </w:t>
      </w:r>
      <w:r>
        <w:t>vigésimo</w:t>
      </w:r>
      <w:r>
        <w:rPr>
          <w:spacing w:val="-1"/>
        </w:rPr>
        <w:t xml:space="preserve"> </w:t>
      </w:r>
      <w:r>
        <w:t>quinto</w:t>
      </w:r>
      <w:r>
        <w:rPr>
          <w:spacing w:val="-1"/>
        </w:rPr>
        <w:t xml:space="preserve"> </w:t>
      </w:r>
      <w:r>
        <w:t>aniversario</w:t>
      </w:r>
      <w:r>
        <w:rPr>
          <w:spacing w:val="-1"/>
        </w:rPr>
        <w:t xml:space="preserve"> </w:t>
      </w:r>
      <w:r>
        <w:t>de</w:t>
      </w:r>
      <w:r>
        <w:rPr>
          <w:spacing w:val="-1"/>
        </w:rPr>
        <w:t xml:space="preserve"> </w:t>
      </w:r>
      <w:r>
        <w:t>la</w:t>
      </w:r>
      <w:r>
        <w:rPr>
          <w:spacing w:val="-1"/>
        </w:rPr>
        <w:t xml:space="preserve"> </w:t>
      </w:r>
      <w:r>
        <w:t>adopción</w:t>
      </w:r>
      <w:r>
        <w:rPr>
          <w:spacing w:val="-1"/>
        </w:rPr>
        <w:t xml:space="preserve"> </w:t>
      </w:r>
      <w:r>
        <w:t>de</w:t>
      </w:r>
      <w:r>
        <w:rPr>
          <w:spacing w:val="-1"/>
        </w:rPr>
        <w:t xml:space="preserve"> </w:t>
      </w:r>
      <w:r>
        <w:t>la</w:t>
      </w:r>
      <w:r>
        <w:rPr>
          <w:spacing w:val="-1"/>
        </w:rPr>
        <w:t xml:space="preserve"> </w:t>
      </w:r>
      <w:r>
        <w:t>Convención</w:t>
      </w:r>
      <w:r>
        <w:rPr>
          <w:spacing w:val="-1"/>
        </w:rPr>
        <w:t xml:space="preserve"> </w:t>
      </w:r>
      <w:r>
        <w:t>sobre</w:t>
      </w:r>
      <w:r>
        <w:rPr>
          <w:spacing w:val="-1"/>
        </w:rPr>
        <w:t xml:space="preserve"> </w:t>
      </w:r>
      <w:r>
        <w:t>la</w:t>
      </w:r>
      <w:r>
        <w:rPr>
          <w:spacing w:val="-1"/>
        </w:rPr>
        <w:t xml:space="preserve"> </w:t>
      </w:r>
      <w:r>
        <w:t>eliminación</w:t>
      </w:r>
      <w:r>
        <w:rPr>
          <w:spacing w:val="-1"/>
        </w:rPr>
        <w:t xml:space="preserve"> </w:t>
      </w:r>
      <w:r>
        <w:t>de</w:t>
      </w:r>
      <w:r>
        <w:rPr>
          <w:spacing w:val="-1"/>
        </w:rPr>
        <w:t xml:space="preserve"> </w:t>
      </w:r>
      <w:r>
        <w:t>todas las formas de discriminación contra la mujer, el Comité para la Eliminación de la Discriminación contra la Mujer</w:t>
      </w:r>
    </w:p>
    <w:p w14:paraId="27B7B321" w14:textId="77777777" w:rsidR="0014798C" w:rsidRDefault="0014798C">
      <w:pPr>
        <w:pStyle w:val="Textoindependiente"/>
        <w:rPr>
          <w:sz w:val="13"/>
        </w:rPr>
      </w:pPr>
    </w:p>
    <w:p w14:paraId="4D5FB7DA" w14:textId="77777777" w:rsidR="0014798C" w:rsidRDefault="0014798C">
      <w:pPr>
        <w:pStyle w:val="Textoindependiente"/>
        <w:rPr>
          <w:sz w:val="13"/>
        </w:rPr>
      </w:pPr>
    </w:p>
    <w:p w14:paraId="6C1D0F3E" w14:textId="77777777" w:rsidR="0014798C" w:rsidRDefault="0014798C">
      <w:pPr>
        <w:pStyle w:val="Textoindependiente"/>
        <w:spacing w:before="25"/>
        <w:rPr>
          <w:sz w:val="13"/>
        </w:rPr>
      </w:pPr>
    </w:p>
    <w:p w14:paraId="31DEB0B0" w14:textId="77777777" w:rsidR="0014798C" w:rsidRDefault="004E1F0B">
      <w:pPr>
        <w:ind w:left="1107"/>
        <w:rPr>
          <w:sz w:val="13"/>
        </w:rPr>
      </w:pPr>
      <w:r>
        <w:rPr>
          <w:sz w:val="13"/>
        </w:rPr>
        <w:t>947</w:t>
      </w:r>
      <w:r>
        <w:rPr>
          <w:spacing w:val="-1"/>
          <w:sz w:val="13"/>
        </w:rPr>
        <w:t xml:space="preserve"> </w:t>
      </w:r>
      <w:r>
        <w:rPr>
          <w:sz w:val="13"/>
        </w:rPr>
        <w:t>Comité de Derechos</w:t>
      </w:r>
      <w:r>
        <w:rPr>
          <w:spacing w:val="-1"/>
          <w:sz w:val="13"/>
        </w:rPr>
        <w:t xml:space="preserve"> </w:t>
      </w:r>
      <w:r>
        <w:rPr>
          <w:sz w:val="13"/>
        </w:rPr>
        <w:t>Humanos, observación general</w:t>
      </w:r>
      <w:r>
        <w:rPr>
          <w:spacing w:val="-1"/>
          <w:sz w:val="13"/>
        </w:rPr>
        <w:t xml:space="preserve"> </w:t>
      </w:r>
      <w:r>
        <w:rPr>
          <w:sz w:val="13"/>
        </w:rPr>
        <w:t>núm. 28 (2000), párr.</w:t>
      </w:r>
      <w:r>
        <w:rPr>
          <w:spacing w:val="-1"/>
          <w:sz w:val="13"/>
        </w:rPr>
        <w:t xml:space="preserve"> </w:t>
      </w:r>
      <w:r>
        <w:rPr>
          <w:spacing w:val="-5"/>
          <w:sz w:val="13"/>
        </w:rPr>
        <w:t>32.</w:t>
      </w:r>
    </w:p>
    <w:p w14:paraId="472D30D2" w14:textId="77777777" w:rsidR="0014798C" w:rsidRDefault="004E1F0B">
      <w:pPr>
        <w:spacing w:before="95" w:line="312" w:lineRule="auto"/>
        <w:ind w:left="1365" w:right="1352" w:hanging="258"/>
        <w:rPr>
          <w:sz w:val="12"/>
        </w:rPr>
      </w:pPr>
      <w:r>
        <w:rPr>
          <w:w w:val="105"/>
          <w:sz w:val="12"/>
        </w:rPr>
        <w:t>948</w:t>
      </w:r>
      <w:r>
        <w:rPr>
          <w:spacing w:val="-5"/>
          <w:w w:val="105"/>
          <w:sz w:val="12"/>
        </w:rPr>
        <w:t xml:space="preserve"> </w:t>
      </w:r>
      <w:r>
        <w:rPr>
          <w:w w:val="105"/>
          <w:sz w:val="12"/>
        </w:rPr>
        <w:t>Centro</w:t>
      </w:r>
      <w:r>
        <w:rPr>
          <w:spacing w:val="-5"/>
          <w:w w:val="105"/>
          <w:sz w:val="12"/>
        </w:rPr>
        <w:t xml:space="preserve"> </w:t>
      </w:r>
      <w:r>
        <w:rPr>
          <w:w w:val="105"/>
          <w:sz w:val="12"/>
        </w:rPr>
        <w:t>para</w:t>
      </w:r>
      <w:r>
        <w:rPr>
          <w:spacing w:val="-5"/>
          <w:w w:val="105"/>
          <w:sz w:val="12"/>
        </w:rPr>
        <w:t xml:space="preserve"> </w:t>
      </w:r>
      <w:r>
        <w:rPr>
          <w:w w:val="105"/>
          <w:sz w:val="12"/>
        </w:rPr>
        <w:t>la</w:t>
      </w:r>
      <w:r>
        <w:rPr>
          <w:spacing w:val="-5"/>
          <w:w w:val="105"/>
          <w:sz w:val="12"/>
        </w:rPr>
        <w:t xml:space="preserve"> </w:t>
      </w:r>
      <w:r>
        <w:rPr>
          <w:w w:val="105"/>
          <w:sz w:val="12"/>
        </w:rPr>
        <w:t>Innovación</w:t>
      </w:r>
      <w:r>
        <w:rPr>
          <w:spacing w:val="-5"/>
          <w:w w:val="105"/>
          <w:sz w:val="12"/>
        </w:rPr>
        <w:t xml:space="preserve"> </w:t>
      </w:r>
      <w:r>
        <w:rPr>
          <w:w w:val="105"/>
          <w:sz w:val="12"/>
        </w:rPr>
        <w:t>en</w:t>
      </w:r>
      <w:r>
        <w:rPr>
          <w:spacing w:val="-5"/>
          <w:w w:val="105"/>
          <w:sz w:val="12"/>
        </w:rPr>
        <w:t xml:space="preserve"> </w:t>
      </w:r>
      <w:r>
        <w:rPr>
          <w:w w:val="105"/>
          <w:sz w:val="12"/>
        </w:rPr>
        <w:t>la</w:t>
      </w:r>
      <w:r>
        <w:rPr>
          <w:spacing w:val="-5"/>
          <w:w w:val="105"/>
          <w:sz w:val="12"/>
        </w:rPr>
        <w:t xml:space="preserve"> </w:t>
      </w:r>
      <w:r>
        <w:rPr>
          <w:w w:val="105"/>
          <w:sz w:val="12"/>
        </w:rPr>
        <w:t>Gobernanza</w:t>
      </w:r>
      <w:r>
        <w:rPr>
          <w:spacing w:val="-5"/>
          <w:w w:val="105"/>
          <w:sz w:val="12"/>
        </w:rPr>
        <w:t xml:space="preserve"> </w:t>
      </w:r>
      <w:r>
        <w:rPr>
          <w:w w:val="105"/>
          <w:sz w:val="12"/>
        </w:rPr>
        <w:t>Internacional,</w:t>
      </w:r>
      <w:r>
        <w:rPr>
          <w:spacing w:val="-4"/>
          <w:w w:val="105"/>
          <w:sz w:val="12"/>
        </w:rPr>
        <w:t xml:space="preserve"> </w:t>
      </w:r>
      <w:r>
        <w:rPr>
          <w:w w:val="105"/>
          <w:sz w:val="12"/>
        </w:rPr>
        <w:t>Implementación</w:t>
      </w:r>
      <w:r>
        <w:rPr>
          <w:spacing w:val="-5"/>
          <w:w w:val="105"/>
          <w:sz w:val="12"/>
        </w:rPr>
        <w:t xml:space="preserve"> </w:t>
      </w:r>
      <w:r>
        <w:rPr>
          <w:w w:val="105"/>
          <w:sz w:val="12"/>
        </w:rPr>
        <w:t>de</w:t>
      </w:r>
      <w:r>
        <w:rPr>
          <w:spacing w:val="-5"/>
          <w:w w:val="105"/>
          <w:sz w:val="12"/>
        </w:rPr>
        <w:t xml:space="preserve"> </w:t>
      </w:r>
      <w:r>
        <w:rPr>
          <w:w w:val="105"/>
          <w:sz w:val="12"/>
        </w:rPr>
        <w:t>la</w:t>
      </w:r>
      <w:r>
        <w:rPr>
          <w:spacing w:val="-5"/>
          <w:w w:val="105"/>
          <w:sz w:val="12"/>
        </w:rPr>
        <w:t xml:space="preserve"> </w:t>
      </w:r>
      <w:r>
        <w:rPr>
          <w:w w:val="105"/>
          <w:sz w:val="12"/>
        </w:rPr>
        <w:t>DNUDPI:</w:t>
      </w:r>
      <w:r>
        <w:rPr>
          <w:spacing w:val="-5"/>
          <w:w w:val="105"/>
          <w:sz w:val="12"/>
        </w:rPr>
        <w:t xml:space="preserve"> </w:t>
      </w:r>
      <w:r>
        <w:rPr>
          <w:w w:val="105"/>
          <w:sz w:val="12"/>
        </w:rPr>
        <w:t>Más</w:t>
      </w:r>
      <w:r>
        <w:rPr>
          <w:spacing w:val="-5"/>
          <w:w w:val="105"/>
          <w:sz w:val="12"/>
        </w:rPr>
        <w:t xml:space="preserve"> </w:t>
      </w:r>
      <w:r>
        <w:rPr>
          <w:w w:val="105"/>
          <w:sz w:val="12"/>
        </w:rPr>
        <w:t>reflexiones</w:t>
      </w:r>
      <w:r>
        <w:rPr>
          <w:spacing w:val="-5"/>
          <w:w w:val="105"/>
          <w:sz w:val="12"/>
        </w:rPr>
        <w:t xml:space="preserve"> </w:t>
      </w:r>
      <w:r>
        <w:rPr>
          <w:w w:val="105"/>
          <w:sz w:val="12"/>
        </w:rPr>
        <w:t>sobre</w:t>
      </w:r>
      <w:r>
        <w:rPr>
          <w:spacing w:val="-5"/>
          <w:w w:val="105"/>
          <w:sz w:val="12"/>
        </w:rPr>
        <w:t xml:space="preserve"> </w:t>
      </w:r>
      <w:r>
        <w:rPr>
          <w:w w:val="105"/>
          <w:sz w:val="12"/>
        </w:rPr>
        <w:t>el</w:t>
      </w:r>
      <w:r>
        <w:rPr>
          <w:spacing w:val="-5"/>
          <w:w w:val="105"/>
          <w:sz w:val="12"/>
        </w:rPr>
        <w:t xml:space="preserve"> </w:t>
      </w:r>
      <w:r>
        <w:rPr>
          <w:w w:val="105"/>
          <w:sz w:val="12"/>
        </w:rPr>
        <w:t>trenzado</w:t>
      </w:r>
      <w:r>
        <w:rPr>
          <w:spacing w:val="-5"/>
          <w:w w:val="105"/>
          <w:sz w:val="12"/>
        </w:rPr>
        <w:t xml:space="preserve"> </w:t>
      </w:r>
      <w:r>
        <w:rPr>
          <w:w w:val="105"/>
          <w:sz w:val="12"/>
        </w:rPr>
        <w:t>de</w:t>
      </w:r>
      <w:r>
        <w:rPr>
          <w:spacing w:val="-5"/>
          <w:w w:val="105"/>
          <w:sz w:val="12"/>
        </w:rPr>
        <w:t xml:space="preserve"> </w:t>
      </w:r>
      <w:r>
        <w:rPr>
          <w:w w:val="105"/>
          <w:sz w:val="12"/>
        </w:rPr>
        <w:t>leyes</w:t>
      </w:r>
      <w:r>
        <w:rPr>
          <w:spacing w:val="-5"/>
          <w:w w:val="105"/>
          <w:sz w:val="12"/>
        </w:rPr>
        <w:t xml:space="preserve"> </w:t>
      </w:r>
      <w:r>
        <w:rPr>
          <w:w w:val="105"/>
          <w:sz w:val="12"/>
        </w:rPr>
        <w:t>internacionales,</w:t>
      </w:r>
      <w:r>
        <w:rPr>
          <w:spacing w:val="-4"/>
          <w:w w:val="105"/>
          <w:sz w:val="12"/>
        </w:rPr>
        <w:t xml:space="preserve"> </w:t>
      </w:r>
      <w:r>
        <w:rPr>
          <w:w w:val="105"/>
          <w:sz w:val="12"/>
        </w:rPr>
        <w:t>nacionales</w:t>
      </w:r>
      <w:r>
        <w:rPr>
          <w:spacing w:val="40"/>
          <w:w w:val="105"/>
          <w:sz w:val="12"/>
        </w:rPr>
        <w:t xml:space="preserve"> </w:t>
      </w:r>
      <w:r>
        <w:rPr>
          <w:w w:val="105"/>
          <w:sz w:val="12"/>
        </w:rPr>
        <w:t>e</w:t>
      </w:r>
      <w:r>
        <w:rPr>
          <w:spacing w:val="-4"/>
          <w:w w:val="105"/>
          <w:sz w:val="12"/>
        </w:rPr>
        <w:t xml:space="preserve"> </w:t>
      </w:r>
      <w:r>
        <w:rPr>
          <w:w w:val="105"/>
          <w:sz w:val="12"/>
        </w:rPr>
        <w:t>indígenas:</w:t>
      </w:r>
      <w:r>
        <w:rPr>
          <w:spacing w:val="-4"/>
          <w:w w:val="105"/>
          <w:sz w:val="12"/>
        </w:rPr>
        <w:t xml:space="preserve"> </w:t>
      </w:r>
      <w:r>
        <w:rPr>
          <w:w w:val="105"/>
          <w:sz w:val="12"/>
        </w:rPr>
        <w:t>Informe</w:t>
      </w:r>
      <w:r>
        <w:rPr>
          <w:spacing w:val="-4"/>
          <w:w w:val="105"/>
          <w:sz w:val="12"/>
        </w:rPr>
        <w:t xml:space="preserve"> </w:t>
      </w:r>
      <w:r>
        <w:rPr>
          <w:w w:val="105"/>
          <w:sz w:val="12"/>
        </w:rPr>
        <w:t>especial</w:t>
      </w:r>
      <w:r>
        <w:rPr>
          <w:spacing w:val="-4"/>
          <w:w w:val="105"/>
          <w:sz w:val="12"/>
        </w:rPr>
        <w:t xml:space="preserve"> </w:t>
      </w:r>
      <w:r>
        <w:rPr>
          <w:w w:val="105"/>
          <w:sz w:val="12"/>
        </w:rPr>
        <w:t>(Ontario,</w:t>
      </w:r>
      <w:r>
        <w:rPr>
          <w:spacing w:val="-4"/>
          <w:w w:val="105"/>
          <w:sz w:val="12"/>
        </w:rPr>
        <w:t xml:space="preserve"> </w:t>
      </w:r>
      <w:r>
        <w:rPr>
          <w:w w:val="105"/>
          <w:sz w:val="12"/>
        </w:rPr>
        <w:t>2018),</w:t>
      </w:r>
      <w:r>
        <w:rPr>
          <w:spacing w:val="-4"/>
          <w:w w:val="105"/>
          <w:sz w:val="12"/>
        </w:rPr>
        <w:t xml:space="preserve"> </w:t>
      </w:r>
      <w:r>
        <w:rPr>
          <w:w w:val="105"/>
          <w:sz w:val="12"/>
        </w:rPr>
        <w:t>pág.</w:t>
      </w:r>
      <w:r>
        <w:rPr>
          <w:spacing w:val="-4"/>
          <w:w w:val="105"/>
          <w:sz w:val="12"/>
        </w:rPr>
        <w:t xml:space="preserve"> </w:t>
      </w:r>
      <w:r>
        <w:rPr>
          <w:w w:val="105"/>
          <w:sz w:val="12"/>
        </w:rPr>
        <w:t>100.</w:t>
      </w:r>
      <w:r>
        <w:rPr>
          <w:spacing w:val="-4"/>
          <w:w w:val="105"/>
          <w:sz w:val="12"/>
        </w:rPr>
        <w:t xml:space="preserve"> </w:t>
      </w:r>
      <w:r>
        <w:rPr>
          <w:w w:val="105"/>
          <w:sz w:val="12"/>
        </w:rPr>
        <w:t>Disponible</w:t>
      </w:r>
      <w:r>
        <w:rPr>
          <w:spacing w:val="-4"/>
          <w:w w:val="105"/>
          <w:sz w:val="12"/>
        </w:rPr>
        <w:t xml:space="preserve"> </w:t>
      </w:r>
      <w:r>
        <w:rPr>
          <w:w w:val="105"/>
          <w:sz w:val="12"/>
        </w:rPr>
        <w:t>en</w:t>
      </w:r>
      <w:r>
        <w:rPr>
          <w:spacing w:val="-4"/>
          <w:w w:val="105"/>
          <w:sz w:val="12"/>
        </w:rPr>
        <w:t xml:space="preserve"> </w:t>
      </w:r>
      <w:hyperlink r:id="rId268">
        <w:r>
          <w:rPr>
            <w:color w:val="0075BF"/>
            <w:w w:val="105"/>
            <w:sz w:val="12"/>
          </w:rPr>
          <w:t>www.cigionline.org/static/documents/documents/UNDRIP%20</w:t>
        </w:r>
      </w:hyperlink>
      <w:r>
        <w:rPr>
          <w:color w:val="0075BF"/>
          <w:spacing w:val="40"/>
          <w:w w:val="105"/>
          <w:sz w:val="12"/>
        </w:rPr>
        <w:t xml:space="preserve"> </w:t>
      </w:r>
      <w:r>
        <w:rPr>
          <w:color w:val="0075BF"/>
          <w:spacing w:val="-2"/>
          <w:w w:val="105"/>
          <w:sz w:val="12"/>
        </w:rPr>
        <w:t>Otoño%202018%20lowres.pdf.</w:t>
      </w:r>
    </w:p>
    <w:p w14:paraId="2BB6BCCF" w14:textId="77777777" w:rsidR="0014798C" w:rsidRDefault="004E1F0B">
      <w:pPr>
        <w:spacing w:before="50"/>
        <w:ind w:left="1107"/>
        <w:rPr>
          <w:sz w:val="13"/>
        </w:rPr>
      </w:pPr>
      <w:r>
        <w:rPr>
          <w:sz w:val="13"/>
        </w:rPr>
        <w:t>949 Gobierno</w:t>
      </w:r>
      <w:r>
        <w:rPr>
          <w:spacing w:val="1"/>
          <w:sz w:val="13"/>
        </w:rPr>
        <w:t xml:space="preserve"> </w:t>
      </w:r>
      <w:r>
        <w:rPr>
          <w:sz w:val="13"/>
        </w:rPr>
        <w:t>de</w:t>
      </w:r>
      <w:r>
        <w:rPr>
          <w:spacing w:val="1"/>
          <w:sz w:val="13"/>
        </w:rPr>
        <w:t xml:space="preserve"> </w:t>
      </w:r>
      <w:r>
        <w:rPr>
          <w:sz w:val="13"/>
        </w:rPr>
        <w:t>Canadá, “Principios</w:t>
      </w:r>
      <w:r>
        <w:rPr>
          <w:spacing w:val="1"/>
          <w:sz w:val="13"/>
        </w:rPr>
        <w:t xml:space="preserve"> </w:t>
      </w:r>
      <w:r>
        <w:rPr>
          <w:sz w:val="13"/>
        </w:rPr>
        <w:t>relativos</w:t>
      </w:r>
      <w:r>
        <w:rPr>
          <w:spacing w:val="1"/>
          <w:sz w:val="13"/>
        </w:rPr>
        <w:t xml:space="preserve"> </w:t>
      </w:r>
      <w:r>
        <w:rPr>
          <w:sz w:val="13"/>
        </w:rPr>
        <w:t>a la</w:t>
      </w:r>
      <w:r>
        <w:rPr>
          <w:spacing w:val="1"/>
          <w:sz w:val="13"/>
        </w:rPr>
        <w:t xml:space="preserve"> </w:t>
      </w:r>
      <w:r>
        <w:rPr>
          <w:sz w:val="13"/>
        </w:rPr>
        <w:t>relación</w:t>
      </w:r>
      <w:r>
        <w:rPr>
          <w:spacing w:val="1"/>
          <w:sz w:val="13"/>
        </w:rPr>
        <w:t xml:space="preserve"> </w:t>
      </w:r>
      <w:r>
        <w:rPr>
          <w:sz w:val="13"/>
        </w:rPr>
        <w:t>del Gobierno</w:t>
      </w:r>
      <w:r>
        <w:rPr>
          <w:spacing w:val="1"/>
          <w:sz w:val="13"/>
        </w:rPr>
        <w:t xml:space="preserve"> </w:t>
      </w:r>
      <w:r>
        <w:rPr>
          <w:sz w:val="13"/>
        </w:rPr>
        <w:t>de</w:t>
      </w:r>
      <w:r>
        <w:rPr>
          <w:spacing w:val="1"/>
          <w:sz w:val="13"/>
        </w:rPr>
        <w:t xml:space="preserve"> </w:t>
      </w:r>
      <w:r>
        <w:rPr>
          <w:sz w:val="13"/>
        </w:rPr>
        <w:t>Canadá con</w:t>
      </w:r>
      <w:r>
        <w:rPr>
          <w:spacing w:val="1"/>
          <w:sz w:val="13"/>
        </w:rPr>
        <w:t xml:space="preserve"> </w:t>
      </w:r>
      <w:r>
        <w:rPr>
          <w:sz w:val="13"/>
        </w:rPr>
        <w:t>los</w:t>
      </w:r>
      <w:r>
        <w:rPr>
          <w:spacing w:val="1"/>
          <w:sz w:val="13"/>
        </w:rPr>
        <w:t xml:space="preserve"> </w:t>
      </w:r>
      <w:r>
        <w:rPr>
          <w:sz w:val="13"/>
        </w:rPr>
        <w:t>pueblos indígenas”</w:t>
      </w:r>
      <w:r>
        <w:rPr>
          <w:spacing w:val="1"/>
          <w:sz w:val="13"/>
        </w:rPr>
        <w:t xml:space="preserve"> </w:t>
      </w:r>
      <w:r>
        <w:rPr>
          <w:sz w:val="13"/>
        </w:rPr>
        <w:t>(Ottawa,</w:t>
      </w:r>
      <w:r>
        <w:rPr>
          <w:spacing w:val="1"/>
          <w:sz w:val="13"/>
        </w:rPr>
        <w:t xml:space="preserve"> </w:t>
      </w:r>
      <w:r>
        <w:rPr>
          <w:sz w:val="13"/>
        </w:rPr>
        <w:t>2018), pág.</w:t>
      </w:r>
      <w:r>
        <w:rPr>
          <w:spacing w:val="1"/>
          <w:sz w:val="13"/>
        </w:rPr>
        <w:t xml:space="preserve"> </w:t>
      </w:r>
      <w:r>
        <w:rPr>
          <w:spacing w:val="-5"/>
          <w:sz w:val="13"/>
        </w:rPr>
        <w:t>9.</w:t>
      </w:r>
    </w:p>
    <w:p w14:paraId="1C7626D8" w14:textId="77777777" w:rsidR="0014798C" w:rsidRDefault="004E1F0B">
      <w:pPr>
        <w:spacing w:before="38"/>
        <w:ind w:left="1365"/>
        <w:rPr>
          <w:sz w:val="12"/>
        </w:rPr>
      </w:pPr>
      <w:r>
        <w:rPr>
          <w:sz w:val="12"/>
        </w:rPr>
        <w:t>Disponible</w:t>
      </w:r>
      <w:r>
        <w:rPr>
          <w:spacing w:val="37"/>
          <w:sz w:val="12"/>
        </w:rPr>
        <w:t xml:space="preserve"> </w:t>
      </w:r>
      <w:r>
        <w:rPr>
          <w:sz w:val="12"/>
        </w:rPr>
        <w:t>en</w:t>
      </w:r>
      <w:r>
        <w:rPr>
          <w:spacing w:val="37"/>
          <w:sz w:val="12"/>
        </w:rPr>
        <w:t xml:space="preserve"> </w:t>
      </w:r>
      <w:hyperlink r:id="rId269">
        <w:r>
          <w:rPr>
            <w:color w:val="0075BF"/>
            <w:sz w:val="12"/>
          </w:rPr>
          <w:t>www.justice.gc.ca/eng/csj-sjc/principles-</w:t>
        </w:r>
        <w:r>
          <w:rPr>
            <w:color w:val="0075BF"/>
            <w:spacing w:val="-2"/>
            <w:sz w:val="12"/>
          </w:rPr>
          <w:t>principes.html.</w:t>
        </w:r>
      </w:hyperlink>
    </w:p>
    <w:p w14:paraId="7BBCF78B" w14:textId="77777777" w:rsidR="0014798C" w:rsidRDefault="004E1F0B">
      <w:pPr>
        <w:spacing w:before="99" w:line="312" w:lineRule="auto"/>
        <w:ind w:left="1368" w:right="1272" w:hanging="261"/>
        <w:rPr>
          <w:sz w:val="12"/>
        </w:rPr>
      </w:pPr>
      <w:r>
        <w:rPr>
          <w:w w:val="105"/>
          <w:sz w:val="12"/>
        </w:rPr>
        <w:t>950</w:t>
      </w:r>
      <w:r>
        <w:rPr>
          <w:spacing w:val="-5"/>
          <w:w w:val="105"/>
          <w:sz w:val="12"/>
        </w:rPr>
        <w:t xml:space="preserve"> </w:t>
      </w:r>
      <w:r>
        <w:rPr>
          <w:w w:val="105"/>
          <w:sz w:val="12"/>
        </w:rPr>
        <w:t>Emma</w:t>
      </w:r>
      <w:r>
        <w:rPr>
          <w:spacing w:val="-5"/>
          <w:w w:val="105"/>
          <w:sz w:val="12"/>
        </w:rPr>
        <w:t xml:space="preserve"> </w:t>
      </w:r>
      <w:proofErr w:type="spellStart"/>
      <w:r>
        <w:rPr>
          <w:w w:val="105"/>
          <w:sz w:val="12"/>
        </w:rPr>
        <w:t>LaRocque</w:t>
      </w:r>
      <w:proofErr w:type="spellEnd"/>
      <w:r>
        <w:rPr>
          <w:w w:val="105"/>
          <w:sz w:val="12"/>
        </w:rPr>
        <w:t>,</w:t>
      </w:r>
      <w:r>
        <w:rPr>
          <w:spacing w:val="-4"/>
          <w:w w:val="105"/>
          <w:sz w:val="12"/>
        </w:rPr>
        <w:t xml:space="preserve"> </w:t>
      </w:r>
      <w:r>
        <w:rPr>
          <w:w w:val="105"/>
          <w:sz w:val="12"/>
        </w:rPr>
        <w:t>“Reexaminar</w:t>
      </w:r>
      <w:r>
        <w:rPr>
          <w:spacing w:val="-5"/>
          <w:w w:val="105"/>
          <w:sz w:val="12"/>
        </w:rPr>
        <w:t xml:space="preserve"> </w:t>
      </w:r>
      <w:r>
        <w:rPr>
          <w:w w:val="105"/>
          <w:sz w:val="12"/>
        </w:rPr>
        <w:t>modelos</w:t>
      </w:r>
      <w:r>
        <w:rPr>
          <w:spacing w:val="-5"/>
          <w:w w:val="105"/>
          <w:sz w:val="12"/>
        </w:rPr>
        <w:t xml:space="preserve"> </w:t>
      </w:r>
      <w:r>
        <w:rPr>
          <w:w w:val="105"/>
          <w:sz w:val="12"/>
        </w:rPr>
        <w:t>culturalmente</w:t>
      </w:r>
      <w:r>
        <w:rPr>
          <w:spacing w:val="-5"/>
          <w:w w:val="105"/>
          <w:sz w:val="12"/>
        </w:rPr>
        <w:t xml:space="preserve"> </w:t>
      </w:r>
      <w:r>
        <w:rPr>
          <w:w w:val="105"/>
          <w:sz w:val="12"/>
        </w:rPr>
        <w:t>apropiados</w:t>
      </w:r>
      <w:r>
        <w:rPr>
          <w:spacing w:val="-5"/>
          <w:w w:val="105"/>
          <w:sz w:val="12"/>
        </w:rPr>
        <w:t xml:space="preserve"> </w:t>
      </w:r>
      <w:r>
        <w:rPr>
          <w:w w:val="105"/>
          <w:sz w:val="12"/>
        </w:rPr>
        <w:t>en</w:t>
      </w:r>
      <w:r>
        <w:rPr>
          <w:spacing w:val="-5"/>
          <w:w w:val="105"/>
          <w:sz w:val="12"/>
        </w:rPr>
        <w:t xml:space="preserve"> </w:t>
      </w:r>
      <w:r>
        <w:rPr>
          <w:w w:val="105"/>
          <w:sz w:val="12"/>
        </w:rPr>
        <w:t>justicia</w:t>
      </w:r>
      <w:r>
        <w:rPr>
          <w:spacing w:val="-5"/>
          <w:w w:val="105"/>
          <w:sz w:val="12"/>
        </w:rPr>
        <w:t xml:space="preserve"> </w:t>
      </w:r>
      <w:r>
        <w:rPr>
          <w:w w:val="105"/>
          <w:sz w:val="12"/>
        </w:rPr>
        <w:t>penal”,</w:t>
      </w:r>
      <w:r>
        <w:rPr>
          <w:spacing w:val="-5"/>
          <w:w w:val="105"/>
          <w:sz w:val="12"/>
        </w:rPr>
        <w:t xml:space="preserve"> </w:t>
      </w:r>
      <w:r>
        <w:rPr>
          <w:w w:val="105"/>
          <w:sz w:val="12"/>
        </w:rPr>
        <w:t>en</w:t>
      </w:r>
      <w:r>
        <w:rPr>
          <w:spacing w:val="-5"/>
          <w:w w:val="105"/>
          <w:sz w:val="12"/>
        </w:rPr>
        <w:t xml:space="preserve"> </w:t>
      </w:r>
      <w:r>
        <w:rPr>
          <w:w w:val="105"/>
          <w:sz w:val="12"/>
        </w:rPr>
        <w:t>Derechos</w:t>
      </w:r>
      <w:r>
        <w:rPr>
          <w:spacing w:val="-5"/>
          <w:w w:val="105"/>
          <w:sz w:val="12"/>
        </w:rPr>
        <w:t xml:space="preserve"> </w:t>
      </w:r>
      <w:r>
        <w:rPr>
          <w:w w:val="105"/>
          <w:sz w:val="12"/>
        </w:rPr>
        <w:t>aborígenes</w:t>
      </w:r>
      <w:r>
        <w:rPr>
          <w:spacing w:val="-5"/>
          <w:w w:val="105"/>
          <w:sz w:val="12"/>
        </w:rPr>
        <w:t xml:space="preserve"> </w:t>
      </w:r>
      <w:r>
        <w:rPr>
          <w:w w:val="105"/>
          <w:sz w:val="12"/>
        </w:rPr>
        <w:t>y</w:t>
      </w:r>
      <w:r>
        <w:rPr>
          <w:spacing w:val="-5"/>
          <w:w w:val="105"/>
          <w:sz w:val="12"/>
        </w:rPr>
        <w:t xml:space="preserve"> </w:t>
      </w:r>
      <w:r>
        <w:rPr>
          <w:w w:val="105"/>
          <w:sz w:val="12"/>
        </w:rPr>
        <w:t>tratados</w:t>
      </w:r>
      <w:r>
        <w:rPr>
          <w:spacing w:val="-5"/>
          <w:w w:val="105"/>
          <w:sz w:val="12"/>
        </w:rPr>
        <w:t xml:space="preserve"> </w:t>
      </w:r>
      <w:r>
        <w:rPr>
          <w:w w:val="105"/>
          <w:sz w:val="12"/>
        </w:rPr>
        <w:t>en</w:t>
      </w:r>
      <w:r>
        <w:rPr>
          <w:spacing w:val="-5"/>
          <w:w w:val="105"/>
          <w:sz w:val="12"/>
        </w:rPr>
        <w:t xml:space="preserve"> </w:t>
      </w:r>
      <w:r>
        <w:rPr>
          <w:w w:val="105"/>
          <w:sz w:val="12"/>
        </w:rPr>
        <w:t>Canadá:</w:t>
      </w:r>
      <w:r>
        <w:rPr>
          <w:spacing w:val="-5"/>
          <w:w w:val="105"/>
          <w:sz w:val="12"/>
        </w:rPr>
        <w:t xml:space="preserve"> </w:t>
      </w:r>
      <w:r>
        <w:rPr>
          <w:w w:val="105"/>
          <w:sz w:val="12"/>
        </w:rPr>
        <w:t>ensayos</w:t>
      </w:r>
      <w:r>
        <w:rPr>
          <w:spacing w:val="-5"/>
          <w:w w:val="105"/>
          <w:sz w:val="12"/>
        </w:rPr>
        <w:t xml:space="preserve"> </w:t>
      </w:r>
      <w:r>
        <w:rPr>
          <w:w w:val="105"/>
          <w:sz w:val="12"/>
        </w:rPr>
        <w:t>sobre</w:t>
      </w:r>
      <w:r>
        <w:rPr>
          <w:spacing w:val="-5"/>
          <w:w w:val="105"/>
          <w:sz w:val="12"/>
        </w:rPr>
        <w:t xml:space="preserve"> </w:t>
      </w:r>
      <w:r>
        <w:rPr>
          <w:w w:val="105"/>
          <w:sz w:val="12"/>
        </w:rPr>
        <w:t>derecho,</w:t>
      </w:r>
      <w:r>
        <w:rPr>
          <w:spacing w:val="40"/>
          <w:w w:val="105"/>
          <w:sz w:val="12"/>
        </w:rPr>
        <w:t xml:space="preserve"> </w:t>
      </w:r>
      <w:r>
        <w:rPr>
          <w:w w:val="105"/>
          <w:sz w:val="12"/>
        </w:rPr>
        <w:t>igualdad y respeto por la diferencia, Michael Asch, ed. (Vancouver, Prensa de la UBC, 1997).</w:t>
      </w:r>
    </w:p>
    <w:p w14:paraId="1B718FDA" w14:textId="77777777" w:rsidR="0014798C" w:rsidRDefault="004E1F0B">
      <w:pPr>
        <w:spacing w:before="57" w:line="312" w:lineRule="auto"/>
        <w:ind w:left="1368" w:right="1272" w:hanging="261"/>
        <w:rPr>
          <w:sz w:val="12"/>
        </w:rPr>
      </w:pPr>
      <w:r>
        <w:rPr>
          <w:w w:val="105"/>
          <w:sz w:val="12"/>
        </w:rPr>
        <w:t>951</w:t>
      </w:r>
      <w:r>
        <w:rPr>
          <w:spacing w:val="-5"/>
          <w:w w:val="105"/>
          <w:sz w:val="12"/>
        </w:rPr>
        <w:t xml:space="preserve"> </w:t>
      </w:r>
      <w:r>
        <w:rPr>
          <w:w w:val="105"/>
          <w:sz w:val="12"/>
        </w:rPr>
        <w:t>Para</w:t>
      </w:r>
      <w:r>
        <w:rPr>
          <w:spacing w:val="-5"/>
          <w:w w:val="105"/>
          <w:sz w:val="12"/>
        </w:rPr>
        <w:t xml:space="preserve"> </w:t>
      </w:r>
      <w:r>
        <w:rPr>
          <w:w w:val="105"/>
          <w:sz w:val="12"/>
        </w:rPr>
        <w:t>una</w:t>
      </w:r>
      <w:r>
        <w:rPr>
          <w:spacing w:val="-5"/>
          <w:w w:val="105"/>
          <w:sz w:val="12"/>
        </w:rPr>
        <w:t xml:space="preserve"> </w:t>
      </w:r>
      <w:r>
        <w:rPr>
          <w:w w:val="105"/>
          <w:sz w:val="12"/>
        </w:rPr>
        <w:t>exploración</w:t>
      </w:r>
      <w:r>
        <w:rPr>
          <w:spacing w:val="-5"/>
          <w:w w:val="105"/>
          <w:sz w:val="12"/>
        </w:rPr>
        <w:t xml:space="preserve"> </w:t>
      </w:r>
      <w:r>
        <w:rPr>
          <w:w w:val="105"/>
          <w:sz w:val="12"/>
        </w:rPr>
        <w:t>exhaustiva</w:t>
      </w:r>
      <w:r>
        <w:rPr>
          <w:spacing w:val="-5"/>
          <w:w w:val="105"/>
          <w:sz w:val="12"/>
        </w:rPr>
        <w:t xml:space="preserve"> </w:t>
      </w:r>
      <w:r>
        <w:rPr>
          <w:w w:val="105"/>
          <w:sz w:val="12"/>
        </w:rPr>
        <w:t>de</w:t>
      </w:r>
      <w:r>
        <w:rPr>
          <w:spacing w:val="-5"/>
          <w:w w:val="105"/>
          <w:sz w:val="12"/>
        </w:rPr>
        <w:t xml:space="preserve"> </w:t>
      </w:r>
      <w:r>
        <w:rPr>
          <w:w w:val="105"/>
          <w:sz w:val="12"/>
        </w:rPr>
        <w:t>estas</w:t>
      </w:r>
      <w:r>
        <w:rPr>
          <w:spacing w:val="-5"/>
          <w:w w:val="105"/>
          <w:sz w:val="12"/>
        </w:rPr>
        <w:t xml:space="preserve"> </w:t>
      </w:r>
      <w:r>
        <w:rPr>
          <w:w w:val="105"/>
          <w:sz w:val="12"/>
        </w:rPr>
        <w:t>cuestiones,</w:t>
      </w:r>
      <w:r>
        <w:rPr>
          <w:spacing w:val="-4"/>
          <w:w w:val="105"/>
          <w:sz w:val="12"/>
        </w:rPr>
        <w:t xml:space="preserve"> </w:t>
      </w:r>
      <w:r>
        <w:rPr>
          <w:w w:val="105"/>
          <w:sz w:val="12"/>
        </w:rPr>
        <w:t>véase</w:t>
      </w:r>
      <w:r>
        <w:rPr>
          <w:spacing w:val="-5"/>
          <w:w w:val="105"/>
          <w:sz w:val="12"/>
        </w:rPr>
        <w:t xml:space="preserve"> </w:t>
      </w:r>
      <w:r>
        <w:rPr>
          <w:w w:val="105"/>
          <w:sz w:val="12"/>
        </w:rPr>
        <w:t>Consejo</w:t>
      </w:r>
      <w:r>
        <w:rPr>
          <w:spacing w:val="-5"/>
          <w:w w:val="105"/>
          <w:sz w:val="12"/>
        </w:rPr>
        <w:t xml:space="preserve"> </w:t>
      </w:r>
      <w:r>
        <w:rPr>
          <w:w w:val="105"/>
          <w:sz w:val="12"/>
        </w:rPr>
        <w:t>Internacional</w:t>
      </w:r>
      <w:r>
        <w:rPr>
          <w:spacing w:val="-5"/>
          <w:w w:val="105"/>
          <w:sz w:val="12"/>
        </w:rPr>
        <w:t xml:space="preserve"> </w:t>
      </w:r>
      <w:r>
        <w:rPr>
          <w:w w:val="105"/>
          <w:sz w:val="12"/>
        </w:rPr>
        <w:t>de</w:t>
      </w:r>
      <w:r>
        <w:rPr>
          <w:spacing w:val="-5"/>
          <w:w w:val="105"/>
          <w:sz w:val="12"/>
        </w:rPr>
        <w:t xml:space="preserve"> </w:t>
      </w:r>
      <w:r>
        <w:rPr>
          <w:w w:val="105"/>
          <w:sz w:val="12"/>
        </w:rPr>
        <w:t>Políticas</w:t>
      </w:r>
      <w:r>
        <w:rPr>
          <w:spacing w:val="-5"/>
          <w:w w:val="105"/>
          <w:sz w:val="12"/>
        </w:rPr>
        <w:t xml:space="preserve"> </w:t>
      </w:r>
      <w:r>
        <w:rPr>
          <w:w w:val="105"/>
          <w:sz w:val="12"/>
        </w:rPr>
        <w:t>de</w:t>
      </w:r>
      <w:r>
        <w:rPr>
          <w:spacing w:val="-5"/>
          <w:w w:val="105"/>
          <w:sz w:val="12"/>
        </w:rPr>
        <w:t xml:space="preserve"> </w:t>
      </w:r>
      <w:r>
        <w:rPr>
          <w:w w:val="105"/>
          <w:sz w:val="12"/>
        </w:rPr>
        <w:t>Derechos</w:t>
      </w:r>
      <w:r>
        <w:rPr>
          <w:spacing w:val="-5"/>
          <w:w w:val="105"/>
          <w:sz w:val="12"/>
        </w:rPr>
        <w:t xml:space="preserve"> </w:t>
      </w:r>
      <w:r>
        <w:rPr>
          <w:w w:val="105"/>
          <w:sz w:val="12"/>
        </w:rPr>
        <w:t>Humanos,</w:t>
      </w:r>
      <w:r>
        <w:rPr>
          <w:spacing w:val="-5"/>
          <w:w w:val="105"/>
          <w:sz w:val="12"/>
        </w:rPr>
        <w:t xml:space="preserve"> </w:t>
      </w:r>
      <w:proofErr w:type="spellStart"/>
      <w:r>
        <w:rPr>
          <w:w w:val="105"/>
          <w:sz w:val="12"/>
        </w:rPr>
        <w:t>When</w:t>
      </w:r>
      <w:proofErr w:type="spellEnd"/>
      <w:r>
        <w:rPr>
          <w:spacing w:val="-5"/>
          <w:w w:val="105"/>
          <w:sz w:val="12"/>
        </w:rPr>
        <w:t xml:space="preserve"> </w:t>
      </w:r>
      <w:r>
        <w:rPr>
          <w:w w:val="105"/>
          <w:sz w:val="12"/>
        </w:rPr>
        <w:t>Legal</w:t>
      </w:r>
      <w:r>
        <w:rPr>
          <w:spacing w:val="-5"/>
          <w:w w:val="105"/>
          <w:sz w:val="12"/>
        </w:rPr>
        <w:t xml:space="preserve"> </w:t>
      </w:r>
      <w:proofErr w:type="spellStart"/>
      <w:r>
        <w:rPr>
          <w:w w:val="105"/>
          <w:sz w:val="12"/>
        </w:rPr>
        <w:t>Worlds</w:t>
      </w:r>
      <w:proofErr w:type="spellEnd"/>
      <w:r>
        <w:rPr>
          <w:spacing w:val="-5"/>
          <w:w w:val="105"/>
          <w:sz w:val="12"/>
        </w:rPr>
        <w:t xml:space="preserve"> </w:t>
      </w:r>
      <w:proofErr w:type="spellStart"/>
      <w:r>
        <w:rPr>
          <w:w w:val="105"/>
          <w:sz w:val="12"/>
        </w:rPr>
        <w:t>Overlap</w:t>
      </w:r>
      <w:proofErr w:type="spellEnd"/>
      <w:r>
        <w:rPr>
          <w:w w:val="105"/>
          <w:sz w:val="12"/>
        </w:rPr>
        <w:t>:</w:t>
      </w:r>
      <w:r>
        <w:rPr>
          <w:spacing w:val="-5"/>
          <w:w w:val="105"/>
          <w:sz w:val="12"/>
        </w:rPr>
        <w:t xml:space="preserve"> </w:t>
      </w:r>
      <w:r>
        <w:rPr>
          <w:w w:val="105"/>
          <w:sz w:val="12"/>
        </w:rPr>
        <w:t>Human</w:t>
      </w:r>
      <w:r>
        <w:rPr>
          <w:spacing w:val="40"/>
          <w:w w:val="105"/>
          <w:sz w:val="12"/>
        </w:rPr>
        <w:t xml:space="preserve"> </w:t>
      </w:r>
      <w:r>
        <w:rPr>
          <w:w w:val="105"/>
          <w:sz w:val="12"/>
        </w:rPr>
        <w:t>Derechos, Derecho estatal y no estatal (</w:t>
      </w:r>
      <w:proofErr w:type="spellStart"/>
      <w:r>
        <w:rPr>
          <w:w w:val="105"/>
          <w:sz w:val="12"/>
        </w:rPr>
        <w:t>Versoix</w:t>
      </w:r>
      <w:proofErr w:type="spellEnd"/>
      <w:r>
        <w:rPr>
          <w:w w:val="105"/>
          <w:sz w:val="12"/>
        </w:rPr>
        <w:t>, 2009).</w:t>
      </w:r>
    </w:p>
    <w:p w14:paraId="6EA85783" w14:textId="77777777" w:rsidR="0014798C" w:rsidRDefault="0014798C">
      <w:pPr>
        <w:pStyle w:val="Textoindependiente"/>
        <w:rPr>
          <w:sz w:val="18"/>
        </w:rPr>
      </w:pPr>
    </w:p>
    <w:p w14:paraId="4B323B12" w14:textId="77777777" w:rsidR="0014798C" w:rsidRDefault="0014798C">
      <w:pPr>
        <w:pStyle w:val="Textoindependiente"/>
        <w:spacing w:before="195"/>
        <w:rPr>
          <w:sz w:val="18"/>
        </w:rPr>
      </w:pPr>
    </w:p>
    <w:p w14:paraId="6110EC64" w14:textId="77777777" w:rsidR="0014798C" w:rsidRDefault="004E1F0B">
      <w:pPr>
        <w:ind w:right="694"/>
        <w:jc w:val="right"/>
        <w:rPr>
          <w:sz w:val="18"/>
        </w:rPr>
      </w:pPr>
      <w:r>
        <w:rPr>
          <w:spacing w:val="-5"/>
          <w:sz w:val="18"/>
        </w:rPr>
        <w:t>137</w:t>
      </w:r>
    </w:p>
    <w:p w14:paraId="6149A3C6" w14:textId="77777777" w:rsidR="0014798C" w:rsidRDefault="0014798C">
      <w:pPr>
        <w:jc w:val="right"/>
        <w:rPr>
          <w:sz w:val="18"/>
        </w:rPr>
        <w:sectPr w:rsidR="0014798C" w:rsidSect="00F265E4">
          <w:pgSz w:w="11900" w:h="16820"/>
          <w:pgMar w:top="340" w:right="0" w:bottom="280" w:left="200" w:header="121" w:footer="0" w:gutter="0"/>
          <w:cols w:space="720"/>
        </w:sectPr>
      </w:pPr>
    </w:p>
    <w:p w14:paraId="611CCEE6" w14:textId="77777777" w:rsidR="0014798C" w:rsidRDefault="0014798C">
      <w:pPr>
        <w:pStyle w:val="Textoindependiente"/>
        <w:spacing w:before="88"/>
        <w:rPr>
          <w:sz w:val="12"/>
        </w:rPr>
      </w:pPr>
    </w:p>
    <w:p w14:paraId="293A43F1" w14:textId="77777777" w:rsidR="0014798C" w:rsidRDefault="004E1F0B">
      <w:pPr>
        <w:ind w:left="1111"/>
        <w:rPr>
          <w:sz w:val="12"/>
        </w:rPr>
      </w:pPr>
      <w:r>
        <w:rPr>
          <w:color w:val="803108"/>
          <w:sz w:val="12"/>
        </w:rPr>
        <w:t>PROTECCIÓN</w:t>
      </w:r>
      <w:r>
        <w:rPr>
          <w:color w:val="803108"/>
          <w:spacing w:val="6"/>
          <w:sz w:val="12"/>
        </w:rPr>
        <w:t xml:space="preserve"> </w:t>
      </w:r>
      <w:r>
        <w:rPr>
          <w:color w:val="803108"/>
          <w:sz w:val="12"/>
        </w:rPr>
        <w:t>DE</w:t>
      </w:r>
      <w:r>
        <w:rPr>
          <w:color w:val="803108"/>
          <w:spacing w:val="7"/>
          <w:sz w:val="12"/>
        </w:rPr>
        <w:t xml:space="preserve"> </w:t>
      </w:r>
      <w:r>
        <w:rPr>
          <w:color w:val="803108"/>
          <w:sz w:val="12"/>
        </w:rPr>
        <w:t>LOS</w:t>
      </w:r>
      <w:r>
        <w:rPr>
          <w:color w:val="803108"/>
          <w:spacing w:val="8"/>
          <w:sz w:val="12"/>
        </w:rPr>
        <w:t xml:space="preserve"> </w:t>
      </w:r>
      <w:r>
        <w:rPr>
          <w:color w:val="803108"/>
          <w:sz w:val="12"/>
        </w:rPr>
        <w:t>DERECHOS</w:t>
      </w:r>
      <w:r>
        <w:rPr>
          <w:color w:val="803108"/>
          <w:spacing w:val="8"/>
          <w:sz w:val="12"/>
        </w:rPr>
        <w:t xml:space="preserve"> </w:t>
      </w:r>
      <w:r>
        <w:rPr>
          <w:color w:val="803108"/>
          <w:sz w:val="12"/>
        </w:rPr>
        <w:t>DE</w:t>
      </w:r>
      <w:r>
        <w:rPr>
          <w:color w:val="803108"/>
          <w:spacing w:val="6"/>
          <w:sz w:val="12"/>
        </w:rPr>
        <w:t xml:space="preserve"> </w:t>
      </w:r>
      <w:r>
        <w:rPr>
          <w:color w:val="803108"/>
          <w:sz w:val="12"/>
        </w:rPr>
        <w:t>LAS</w:t>
      </w:r>
      <w:r>
        <w:rPr>
          <w:color w:val="803108"/>
          <w:spacing w:val="7"/>
          <w:sz w:val="12"/>
        </w:rPr>
        <w:t xml:space="preserve"> </w:t>
      </w:r>
      <w:r>
        <w:rPr>
          <w:color w:val="803108"/>
          <w:sz w:val="12"/>
        </w:rPr>
        <w:t>MINORÍAS:</w:t>
      </w:r>
      <w:r>
        <w:rPr>
          <w:color w:val="803108"/>
          <w:spacing w:val="8"/>
          <w:sz w:val="12"/>
        </w:rPr>
        <w:t xml:space="preserve"> </w:t>
      </w:r>
      <w:r>
        <w:rPr>
          <w:color w:val="803108"/>
          <w:sz w:val="12"/>
        </w:rPr>
        <w:t>una</w:t>
      </w:r>
      <w:r>
        <w:rPr>
          <w:color w:val="803108"/>
          <w:spacing w:val="7"/>
          <w:sz w:val="12"/>
        </w:rPr>
        <w:t xml:space="preserve"> </w:t>
      </w:r>
      <w:r>
        <w:rPr>
          <w:color w:val="803108"/>
          <w:sz w:val="12"/>
        </w:rPr>
        <w:t>guía</w:t>
      </w:r>
      <w:r>
        <w:rPr>
          <w:color w:val="803108"/>
          <w:spacing w:val="6"/>
          <w:sz w:val="12"/>
        </w:rPr>
        <w:t xml:space="preserve"> </w:t>
      </w:r>
      <w:r>
        <w:rPr>
          <w:color w:val="803108"/>
          <w:sz w:val="12"/>
        </w:rPr>
        <w:t>práctica</w:t>
      </w:r>
      <w:r>
        <w:rPr>
          <w:color w:val="803108"/>
          <w:spacing w:val="7"/>
          <w:sz w:val="12"/>
        </w:rPr>
        <w:t xml:space="preserve"> </w:t>
      </w:r>
      <w:r>
        <w:rPr>
          <w:color w:val="803108"/>
          <w:sz w:val="12"/>
        </w:rPr>
        <w:t>para</w:t>
      </w:r>
      <w:r>
        <w:rPr>
          <w:color w:val="803108"/>
          <w:spacing w:val="8"/>
          <w:sz w:val="12"/>
        </w:rPr>
        <w:t xml:space="preserve"> </w:t>
      </w:r>
      <w:r>
        <w:rPr>
          <w:color w:val="803108"/>
          <w:sz w:val="12"/>
        </w:rPr>
        <w:t>desarrollar</w:t>
      </w:r>
      <w:r>
        <w:rPr>
          <w:color w:val="803108"/>
          <w:spacing w:val="6"/>
          <w:sz w:val="12"/>
        </w:rPr>
        <w:t xml:space="preserve"> </w:t>
      </w:r>
      <w:r>
        <w:rPr>
          <w:color w:val="803108"/>
          <w:sz w:val="12"/>
        </w:rPr>
        <w:t>una</w:t>
      </w:r>
      <w:r>
        <w:rPr>
          <w:color w:val="803108"/>
          <w:spacing w:val="7"/>
          <w:sz w:val="12"/>
        </w:rPr>
        <w:t xml:space="preserve"> </w:t>
      </w:r>
      <w:r>
        <w:rPr>
          <w:color w:val="803108"/>
          <w:sz w:val="12"/>
        </w:rPr>
        <w:t>legislación</w:t>
      </w:r>
      <w:r>
        <w:rPr>
          <w:color w:val="803108"/>
          <w:spacing w:val="8"/>
          <w:sz w:val="12"/>
        </w:rPr>
        <w:t xml:space="preserve"> </w:t>
      </w:r>
      <w:r>
        <w:rPr>
          <w:color w:val="803108"/>
          <w:sz w:val="12"/>
        </w:rPr>
        <w:t>integral</w:t>
      </w:r>
      <w:r>
        <w:rPr>
          <w:color w:val="803108"/>
          <w:spacing w:val="7"/>
          <w:sz w:val="12"/>
        </w:rPr>
        <w:t xml:space="preserve"> </w:t>
      </w:r>
      <w:r>
        <w:rPr>
          <w:color w:val="803108"/>
          <w:sz w:val="12"/>
        </w:rPr>
        <w:t>contra</w:t>
      </w:r>
      <w:r>
        <w:rPr>
          <w:color w:val="803108"/>
          <w:spacing w:val="6"/>
          <w:sz w:val="12"/>
        </w:rPr>
        <w:t xml:space="preserve"> </w:t>
      </w:r>
      <w:r>
        <w:rPr>
          <w:color w:val="803108"/>
          <w:sz w:val="12"/>
        </w:rPr>
        <w:t>la</w:t>
      </w:r>
      <w:r>
        <w:rPr>
          <w:color w:val="803108"/>
          <w:spacing w:val="7"/>
          <w:sz w:val="12"/>
        </w:rPr>
        <w:t xml:space="preserve"> </w:t>
      </w:r>
      <w:r>
        <w:rPr>
          <w:color w:val="803108"/>
          <w:spacing w:val="-2"/>
          <w:sz w:val="12"/>
        </w:rPr>
        <w:t>discriminación</w:t>
      </w:r>
    </w:p>
    <w:p w14:paraId="3B4D4E17" w14:textId="77777777" w:rsidR="0014798C" w:rsidRDefault="0014798C">
      <w:pPr>
        <w:pStyle w:val="Textoindependiente"/>
        <w:rPr>
          <w:sz w:val="17"/>
        </w:rPr>
      </w:pPr>
    </w:p>
    <w:p w14:paraId="1FB9A485" w14:textId="77777777" w:rsidR="0014798C" w:rsidRDefault="0014798C">
      <w:pPr>
        <w:pStyle w:val="Textoindependiente"/>
        <w:rPr>
          <w:sz w:val="17"/>
        </w:rPr>
      </w:pPr>
    </w:p>
    <w:p w14:paraId="2FE945D4" w14:textId="77777777" w:rsidR="0014798C" w:rsidRDefault="0014798C">
      <w:pPr>
        <w:pStyle w:val="Textoindependiente"/>
        <w:rPr>
          <w:sz w:val="17"/>
        </w:rPr>
      </w:pPr>
    </w:p>
    <w:p w14:paraId="2328A2BF" w14:textId="77777777" w:rsidR="0014798C" w:rsidRDefault="0014798C">
      <w:pPr>
        <w:pStyle w:val="Textoindependiente"/>
        <w:spacing w:before="183"/>
        <w:rPr>
          <w:sz w:val="17"/>
        </w:rPr>
      </w:pPr>
    </w:p>
    <w:p w14:paraId="68F82CDC" w14:textId="77777777" w:rsidR="0014798C" w:rsidRDefault="004E1F0B">
      <w:pPr>
        <w:spacing w:line="307" w:lineRule="auto"/>
        <w:ind w:left="1107" w:right="1369" w:firstLine="4"/>
        <w:rPr>
          <w:sz w:val="17"/>
        </w:rPr>
      </w:pPr>
      <w:r>
        <w:rPr>
          <w:sz w:val="17"/>
        </w:rPr>
        <w:t xml:space="preserve">observó que: “La coexistencia de múltiples sistemas jurídicos, con leyes consuetudinarias y religiosas que rigen el estatus personal y la vida privada y prevalecen sobre el derecho positivo e incluso las disposiciones constitucionales de igualdad, sigue siendo una fuente de gran preocupación”. 952 Por ejemplo, en su En su examen de </w:t>
      </w:r>
      <w:proofErr w:type="spellStart"/>
      <w:r>
        <w:rPr>
          <w:sz w:val="17"/>
        </w:rPr>
        <w:t>Fiji</w:t>
      </w:r>
      <w:proofErr w:type="spellEnd"/>
      <w:r>
        <w:rPr>
          <w:sz w:val="17"/>
        </w:rPr>
        <w:t xml:space="preserve"> de 2010, el Comité para la Eliminación de la Discriminación contra la Mujer expresó su preocupación “por la práctica cultural de ceremonias de reconciliación y perdón como el </w:t>
      </w:r>
      <w:proofErr w:type="spellStart"/>
      <w:r>
        <w:rPr>
          <w:sz w:val="17"/>
        </w:rPr>
        <w:t>bulubulu</w:t>
      </w:r>
      <w:proofErr w:type="spellEnd"/>
      <w:r>
        <w:rPr>
          <w:sz w:val="17"/>
        </w:rPr>
        <w:t>, impuestas a las víctimas de la violencia para que permanezcan en relaciones abusivas y violentas”953. Exhorta al Estado a implementar una “estrategia integral, que incluya la revisión y formulación</w:t>
      </w:r>
      <w:r>
        <w:rPr>
          <w:spacing w:val="40"/>
          <w:sz w:val="17"/>
        </w:rPr>
        <w:t xml:space="preserve"> </w:t>
      </w:r>
      <w:r>
        <w:rPr>
          <w:sz w:val="17"/>
        </w:rPr>
        <w:t>de legislación y el establecimiento de metas y cronogramas, para modificar o eliminar estereotipos, actitudes patriarcales</w:t>
      </w:r>
      <w:r>
        <w:rPr>
          <w:spacing w:val="80"/>
          <w:sz w:val="17"/>
        </w:rPr>
        <w:t xml:space="preserve"> </w:t>
      </w:r>
      <w:r>
        <w:rPr>
          <w:sz w:val="17"/>
        </w:rPr>
        <w:t>y prácticas culturales que discriminan a las mujeres, de conformidad con los artículos 2(f) y 5(a) de la Convención”.954</w:t>
      </w:r>
    </w:p>
    <w:p w14:paraId="13DDEBF6" w14:textId="77777777" w:rsidR="0014798C" w:rsidRDefault="0014798C">
      <w:pPr>
        <w:pStyle w:val="Textoindependiente"/>
        <w:rPr>
          <w:sz w:val="17"/>
        </w:rPr>
      </w:pPr>
    </w:p>
    <w:p w14:paraId="43B1EF65" w14:textId="77777777" w:rsidR="0014798C" w:rsidRDefault="0014798C">
      <w:pPr>
        <w:pStyle w:val="Textoindependiente"/>
        <w:spacing w:before="25"/>
        <w:rPr>
          <w:sz w:val="17"/>
        </w:rPr>
      </w:pPr>
    </w:p>
    <w:p w14:paraId="1C39C3EB" w14:textId="77777777" w:rsidR="0014798C" w:rsidRDefault="004E1F0B">
      <w:pPr>
        <w:ind w:left="1106"/>
        <w:rPr>
          <w:sz w:val="17"/>
        </w:rPr>
      </w:pPr>
      <w:r>
        <w:rPr>
          <w:sz w:val="17"/>
        </w:rPr>
        <w:t>El</w:t>
      </w:r>
      <w:r>
        <w:rPr>
          <w:spacing w:val="-6"/>
          <w:sz w:val="17"/>
        </w:rPr>
        <w:t xml:space="preserve"> </w:t>
      </w:r>
      <w:r>
        <w:rPr>
          <w:sz w:val="17"/>
        </w:rPr>
        <w:t>Comité</w:t>
      </w:r>
      <w:r>
        <w:rPr>
          <w:spacing w:val="-3"/>
          <w:sz w:val="17"/>
        </w:rPr>
        <w:t xml:space="preserve"> </w:t>
      </w:r>
      <w:r>
        <w:rPr>
          <w:sz w:val="17"/>
        </w:rPr>
        <w:t>para</w:t>
      </w:r>
      <w:r>
        <w:rPr>
          <w:spacing w:val="-4"/>
          <w:sz w:val="17"/>
        </w:rPr>
        <w:t xml:space="preserve"> </w:t>
      </w:r>
      <w:r>
        <w:rPr>
          <w:sz w:val="17"/>
        </w:rPr>
        <w:t>la</w:t>
      </w:r>
      <w:r>
        <w:rPr>
          <w:spacing w:val="-3"/>
          <w:sz w:val="17"/>
        </w:rPr>
        <w:t xml:space="preserve"> </w:t>
      </w:r>
      <w:r>
        <w:rPr>
          <w:sz w:val="17"/>
        </w:rPr>
        <w:t>Eliminación</w:t>
      </w:r>
      <w:r>
        <w:rPr>
          <w:spacing w:val="-4"/>
          <w:sz w:val="17"/>
        </w:rPr>
        <w:t xml:space="preserve"> </w:t>
      </w:r>
      <w:r>
        <w:rPr>
          <w:sz w:val="17"/>
        </w:rPr>
        <w:t>de</w:t>
      </w:r>
      <w:r>
        <w:rPr>
          <w:spacing w:val="-3"/>
          <w:sz w:val="17"/>
        </w:rPr>
        <w:t xml:space="preserve"> </w:t>
      </w:r>
      <w:r>
        <w:rPr>
          <w:sz w:val="17"/>
        </w:rPr>
        <w:t>la</w:t>
      </w:r>
      <w:r>
        <w:rPr>
          <w:spacing w:val="-4"/>
          <w:sz w:val="17"/>
        </w:rPr>
        <w:t xml:space="preserve"> </w:t>
      </w:r>
      <w:r>
        <w:rPr>
          <w:sz w:val="17"/>
        </w:rPr>
        <w:t>Discriminación</w:t>
      </w:r>
      <w:r>
        <w:rPr>
          <w:spacing w:val="-3"/>
          <w:sz w:val="17"/>
        </w:rPr>
        <w:t xml:space="preserve"> </w:t>
      </w:r>
      <w:r>
        <w:rPr>
          <w:sz w:val="17"/>
        </w:rPr>
        <w:t>contra</w:t>
      </w:r>
      <w:r>
        <w:rPr>
          <w:spacing w:val="-3"/>
          <w:sz w:val="17"/>
        </w:rPr>
        <w:t xml:space="preserve"> </w:t>
      </w:r>
      <w:r>
        <w:rPr>
          <w:sz w:val="17"/>
        </w:rPr>
        <w:t>la</w:t>
      </w:r>
      <w:r>
        <w:rPr>
          <w:spacing w:val="-4"/>
          <w:sz w:val="17"/>
        </w:rPr>
        <w:t xml:space="preserve"> </w:t>
      </w:r>
      <w:r>
        <w:rPr>
          <w:sz w:val="17"/>
        </w:rPr>
        <w:t>Mujer</w:t>
      </w:r>
      <w:r>
        <w:rPr>
          <w:spacing w:val="-3"/>
          <w:sz w:val="17"/>
        </w:rPr>
        <w:t xml:space="preserve"> </w:t>
      </w:r>
      <w:r>
        <w:rPr>
          <w:sz w:val="17"/>
        </w:rPr>
        <w:t>ha</w:t>
      </w:r>
      <w:r>
        <w:rPr>
          <w:spacing w:val="-4"/>
          <w:sz w:val="17"/>
        </w:rPr>
        <w:t xml:space="preserve"> </w:t>
      </w:r>
      <w:r>
        <w:rPr>
          <w:sz w:val="17"/>
        </w:rPr>
        <w:t>emitido,</w:t>
      </w:r>
      <w:r>
        <w:rPr>
          <w:spacing w:val="-3"/>
          <w:sz w:val="17"/>
        </w:rPr>
        <w:t xml:space="preserve"> </w:t>
      </w:r>
      <w:r>
        <w:rPr>
          <w:sz w:val="17"/>
        </w:rPr>
        <w:t>junto</w:t>
      </w:r>
      <w:r>
        <w:rPr>
          <w:spacing w:val="-4"/>
          <w:sz w:val="17"/>
        </w:rPr>
        <w:t xml:space="preserve"> </w:t>
      </w:r>
      <w:r>
        <w:rPr>
          <w:sz w:val="17"/>
        </w:rPr>
        <w:t>con</w:t>
      </w:r>
      <w:r>
        <w:rPr>
          <w:spacing w:val="-3"/>
          <w:sz w:val="17"/>
        </w:rPr>
        <w:t xml:space="preserve"> </w:t>
      </w:r>
      <w:r>
        <w:rPr>
          <w:sz w:val="17"/>
        </w:rPr>
        <w:t>el</w:t>
      </w:r>
      <w:r>
        <w:rPr>
          <w:spacing w:val="-4"/>
          <w:sz w:val="17"/>
        </w:rPr>
        <w:t xml:space="preserve"> </w:t>
      </w:r>
      <w:r>
        <w:rPr>
          <w:sz w:val="17"/>
        </w:rPr>
        <w:t>Comité</w:t>
      </w:r>
      <w:r>
        <w:rPr>
          <w:spacing w:val="-3"/>
          <w:sz w:val="17"/>
        </w:rPr>
        <w:t xml:space="preserve"> </w:t>
      </w:r>
      <w:r>
        <w:rPr>
          <w:sz w:val="17"/>
        </w:rPr>
        <w:t>de</w:t>
      </w:r>
      <w:r>
        <w:rPr>
          <w:spacing w:val="-3"/>
          <w:sz w:val="17"/>
        </w:rPr>
        <w:t xml:space="preserve"> </w:t>
      </w:r>
      <w:r>
        <w:rPr>
          <w:spacing w:val="-5"/>
          <w:sz w:val="17"/>
        </w:rPr>
        <w:t>la</w:t>
      </w:r>
    </w:p>
    <w:p w14:paraId="6F1DDA1F" w14:textId="77777777" w:rsidR="0014798C" w:rsidRDefault="004E1F0B">
      <w:pPr>
        <w:spacing w:before="54" w:line="307" w:lineRule="auto"/>
        <w:ind w:left="1107" w:right="1463" w:firstLine="3"/>
        <w:rPr>
          <w:sz w:val="17"/>
        </w:rPr>
      </w:pPr>
      <w:r>
        <w:rPr>
          <w:sz w:val="17"/>
        </w:rPr>
        <w:t>Derechos del Niño, una recomendación/comentario general conjunto sobre prácticas nocivas, en el que promovieron la idea rectora central de que:</w:t>
      </w:r>
    </w:p>
    <w:p w14:paraId="6745C99A" w14:textId="77777777" w:rsidR="0014798C" w:rsidRDefault="004E1F0B">
      <w:pPr>
        <w:spacing w:before="113" w:line="307" w:lineRule="auto"/>
        <w:ind w:left="1669" w:right="1840" w:firstLine="4"/>
        <w:rPr>
          <w:sz w:val="17"/>
        </w:rPr>
      </w:pPr>
      <w:r>
        <w:rPr>
          <w:color w:val="803108"/>
          <w:sz w:val="17"/>
        </w:rPr>
        <w:t>La prevención y eliminación efectiva de prácticas nocivas requiere el establecimiento de una estrategia holística bien definida, basada en los derechos y pertinente a nivel local, que incluya medidas jurídicas y políticas de apoyo, incluidas medidas sociales que se combinen con un compromiso político y una rendición de cuentas proporcionales en todos los niveles. … Una estrategia holística de este tipo debe incorporarse y coordinarse tanto vertical como horizontalmente e integrarse en los esfuerzos nacionales para prevenir y</w:t>
      </w:r>
    </w:p>
    <w:p w14:paraId="7B53F9F9" w14:textId="77777777" w:rsidR="0014798C" w:rsidRDefault="004E1F0B">
      <w:pPr>
        <w:spacing w:line="307" w:lineRule="auto"/>
        <w:ind w:left="1674" w:right="1585"/>
        <w:rPr>
          <w:sz w:val="17"/>
        </w:rPr>
      </w:pPr>
      <w:r>
        <w:rPr>
          <w:color w:val="803108"/>
          <w:sz w:val="17"/>
        </w:rPr>
        <w:t>abordar todas las formas de prácticas nocivas. La coordinación horizontal requiere organización entre sectores, incluidos la educación, la salud, la justicia, el bienestar social, la aplicación de la ley, la inmigración y el asilo, y las comunicaciones y los medios. De manera similar, la coordinación vertical requiere organización entre los actores a nivel local, regional y nacional y con las autoridades tradicionales y religiosas. Para facilitar el</w:t>
      </w:r>
      <w:r>
        <w:rPr>
          <w:color w:val="803108"/>
          <w:spacing w:val="40"/>
          <w:sz w:val="17"/>
        </w:rPr>
        <w:t xml:space="preserve"> </w:t>
      </w:r>
      <w:r>
        <w:rPr>
          <w:color w:val="803108"/>
          <w:sz w:val="17"/>
        </w:rPr>
        <w:t>proceso, se debe considerar la posibilidad de delegar la responsabilidad del trabajo a una entidad de alto nivel existente o específicamente establecida, en cooperación con todas las partes interesadas relevantes.955</w:t>
      </w:r>
    </w:p>
    <w:p w14:paraId="5FA9CE46" w14:textId="77777777" w:rsidR="0014798C" w:rsidRDefault="004E1F0B">
      <w:pPr>
        <w:spacing w:before="108" w:line="307" w:lineRule="auto"/>
        <w:ind w:left="1107" w:right="1272" w:firstLine="1"/>
        <w:rPr>
          <w:sz w:val="17"/>
        </w:rPr>
      </w:pPr>
      <w:r>
        <w:rPr>
          <w:sz w:val="17"/>
        </w:rPr>
        <w:t>Las prácticas nocivas no son asuntos exclusivos de las comunidades minoritarias. Sin embargo, es esencial que al dar cumplimiento a sus obligaciones de garantizar que las minorías tengan derecho a disfrutar de su propia cultura en comunidad, incluso mediante medidas que puedan otorgar autonomía, los Estados garanticen que existan salvaguardias para garantizar que todos los aspectos del derecho de todos a la igualdad y la no discriminación son eficaces.</w:t>
      </w:r>
    </w:p>
    <w:p w14:paraId="105B4759" w14:textId="77777777" w:rsidR="0014798C" w:rsidRDefault="004E1F0B">
      <w:pPr>
        <w:spacing w:before="167" w:line="307" w:lineRule="auto"/>
        <w:ind w:left="1106" w:right="1272" w:hanging="3"/>
        <w:rPr>
          <w:sz w:val="17"/>
        </w:rPr>
      </w:pPr>
      <w:r>
        <w:rPr>
          <w:sz w:val="17"/>
        </w:rPr>
        <w:t>Al</w:t>
      </w:r>
      <w:r>
        <w:rPr>
          <w:spacing w:val="13"/>
          <w:sz w:val="17"/>
        </w:rPr>
        <w:t xml:space="preserve"> </w:t>
      </w:r>
      <w:r>
        <w:rPr>
          <w:sz w:val="17"/>
        </w:rPr>
        <w:t>implementar</w:t>
      </w:r>
      <w:r>
        <w:rPr>
          <w:spacing w:val="11"/>
          <w:sz w:val="17"/>
        </w:rPr>
        <w:t xml:space="preserve"> </w:t>
      </w:r>
      <w:r>
        <w:rPr>
          <w:sz w:val="17"/>
        </w:rPr>
        <w:t>tales</w:t>
      </w:r>
      <w:r>
        <w:rPr>
          <w:spacing w:val="13"/>
          <w:sz w:val="17"/>
        </w:rPr>
        <w:t xml:space="preserve"> </w:t>
      </w:r>
      <w:r>
        <w:rPr>
          <w:sz w:val="17"/>
        </w:rPr>
        <w:t>medidas,</w:t>
      </w:r>
      <w:r>
        <w:rPr>
          <w:spacing w:val="14"/>
          <w:sz w:val="17"/>
        </w:rPr>
        <w:t xml:space="preserve"> </w:t>
      </w:r>
      <w:r>
        <w:rPr>
          <w:sz w:val="17"/>
        </w:rPr>
        <w:t>las</w:t>
      </w:r>
      <w:r>
        <w:rPr>
          <w:spacing w:val="13"/>
          <w:sz w:val="17"/>
        </w:rPr>
        <w:t xml:space="preserve"> </w:t>
      </w:r>
      <w:r>
        <w:rPr>
          <w:sz w:val="17"/>
        </w:rPr>
        <w:t>autoridades</w:t>
      </w:r>
      <w:r>
        <w:rPr>
          <w:spacing w:val="11"/>
          <w:sz w:val="17"/>
        </w:rPr>
        <w:t xml:space="preserve"> </w:t>
      </w:r>
      <w:r>
        <w:rPr>
          <w:sz w:val="17"/>
        </w:rPr>
        <w:t>estatales</w:t>
      </w:r>
      <w:r>
        <w:rPr>
          <w:spacing w:val="11"/>
          <w:sz w:val="17"/>
        </w:rPr>
        <w:t xml:space="preserve"> </w:t>
      </w:r>
      <w:r>
        <w:rPr>
          <w:sz w:val="17"/>
        </w:rPr>
        <w:t>deben</w:t>
      </w:r>
      <w:r>
        <w:rPr>
          <w:spacing w:val="13"/>
          <w:sz w:val="17"/>
        </w:rPr>
        <w:t xml:space="preserve"> </w:t>
      </w:r>
      <w:r>
        <w:rPr>
          <w:sz w:val="17"/>
        </w:rPr>
        <w:t>“tomar</w:t>
      </w:r>
      <w:r>
        <w:rPr>
          <w:spacing w:val="13"/>
          <w:sz w:val="17"/>
        </w:rPr>
        <w:t xml:space="preserve"> </w:t>
      </w:r>
      <w:r>
        <w:rPr>
          <w:sz w:val="17"/>
        </w:rPr>
        <w:t>todas</w:t>
      </w:r>
      <w:r>
        <w:rPr>
          <w:spacing w:val="13"/>
          <w:sz w:val="17"/>
        </w:rPr>
        <w:t xml:space="preserve"> </w:t>
      </w:r>
      <w:r>
        <w:rPr>
          <w:sz w:val="17"/>
        </w:rPr>
        <w:t>las</w:t>
      </w:r>
      <w:r>
        <w:rPr>
          <w:spacing w:val="13"/>
          <w:sz w:val="17"/>
        </w:rPr>
        <w:t xml:space="preserve"> </w:t>
      </w:r>
      <w:r>
        <w:rPr>
          <w:sz w:val="17"/>
        </w:rPr>
        <w:t>medidas</w:t>
      </w:r>
      <w:r>
        <w:rPr>
          <w:spacing w:val="13"/>
          <w:sz w:val="17"/>
        </w:rPr>
        <w:t xml:space="preserve"> </w:t>
      </w:r>
      <w:r>
        <w:rPr>
          <w:sz w:val="17"/>
        </w:rPr>
        <w:t>apropiadas</w:t>
      </w:r>
      <w:r>
        <w:rPr>
          <w:spacing w:val="13"/>
          <w:sz w:val="17"/>
        </w:rPr>
        <w:t xml:space="preserve"> </w:t>
      </w:r>
      <w:r>
        <w:rPr>
          <w:sz w:val="17"/>
        </w:rPr>
        <w:t>para</w:t>
      </w:r>
      <w:r>
        <w:rPr>
          <w:spacing w:val="13"/>
          <w:sz w:val="17"/>
        </w:rPr>
        <w:t xml:space="preserve"> </w:t>
      </w:r>
      <w:r>
        <w:rPr>
          <w:sz w:val="17"/>
        </w:rPr>
        <w:t>garantizar</w:t>
      </w:r>
      <w:r>
        <w:rPr>
          <w:spacing w:val="11"/>
          <w:sz w:val="17"/>
        </w:rPr>
        <w:t xml:space="preserve"> </w:t>
      </w:r>
      <w:r>
        <w:rPr>
          <w:sz w:val="17"/>
        </w:rPr>
        <w:t xml:space="preserve">que el estigma y la discriminación no se perpetúen contra las víctimas y/o las comunidades inmigrantes o minoritarias que las practican”.956 La Relatora Especial sobre la violencia contra la mujer, sus causas y consecuencias ha señalado que: “Los derechos humanos, como la igual dignidad de los seres humanos, resuenan en todas las tradiciones culturales del mundo. En ese sentido, existe base suficiente en cada tradición cultural para fomentar y promover el valor de los derechos </w:t>
      </w:r>
      <w:r>
        <w:rPr>
          <w:spacing w:val="-2"/>
          <w:sz w:val="17"/>
        </w:rPr>
        <w:t>humanos.”957</w:t>
      </w:r>
    </w:p>
    <w:p w14:paraId="18CCD4BC" w14:textId="77777777" w:rsidR="0014798C" w:rsidRDefault="0014798C">
      <w:pPr>
        <w:pStyle w:val="Textoindependiente"/>
        <w:rPr>
          <w:sz w:val="20"/>
        </w:rPr>
      </w:pPr>
    </w:p>
    <w:p w14:paraId="0509FB01" w14:textId="77777777" w:rsidR="0014798C" w:rsidRDefault="0014798C">
      <w:pPr>
        <w:pStyle w:val="Textoindependiente"/>
        <w:rPr>
          <w:sz w:val="20"/>
        </w:rPr>
      </w:pPr>
    </w:p>
    <w:p w14:paraId="6AEF0C82" w14:textId="77777777" w:rsidR="0014798C" w:rsidRDefault="0014798C">
      <w:pPr>
        <w:pStyle w:val="Textoindependiente"/>
        <w:rPr>
          <w:sz w:val="20"/>
        </w:rPr>
      </w:pPr>
    </w:p>
    <w:p w14:paraId="6FBFCB70" w14:textId="77777777" w:rsidR="0014798C" w:rsidRDefault="0014798C">
      <w:pPr>
        <w:pStyle w:val="Textoindependiente"/>
        <w:rPr>
          <w:sz w:val="20"/>
        </w:rPr>
      </w:pPr>
    </w:p>
    <w:p w14:paraId="2BEC7D67" w14:textId="77777777" w:rsidR="0014798C" w:rsidRDefault="0014798C">
      <w:pPr>
        <w:pStyle w:val="Textoindependiente"/>
        <w:rPr>
          <w:sz w:val="20"/>
        </w:rPr>
      </w:pPr>
    </w:p>
    <w:p w14:paraId="2A9399AF" w14:textId="77777777" w:rsidR="0014798C" w:rsidRDefault="0014798C">
      <w:pPr>
        <w:pStyle w:val="Textoindependiente"/>
        <w:rPr>
          <w:sz w:val="20"/>
        </w:rPr>
      </w:pPr>
    </w:p>
    <w:p w14:paraId="7B7B8A10" w14:textId="77777777" w:rsidR="0014798C" w:rsidRDefault="0014798C">
      <w:pPr>
        <w:pStyle w:val="Textoindependiente"/>
        <w:rPr>
          <w:sz w:val="20"/>
        </w:rPr>
      </w:pPr>
    </w:p>
    <w:p w14:paraId="4D6C908E" w14:textId="77777777" w:rsidR="0014798C" w:rsidRDefault="0014798C">
      <w:pPr>
        <w:pStyle w:val="Textoindependiente"/>
        <w:rPr>
          <w:sz w:val="20"/>
        </w:rPr>
      </w:pPr>
    </w:p>
    <w:p w14:paraId="58F28475" w14:textId="77777777" w:rsidR="0014798C" w:rsidRDefault="0014798C">
      <w:pPr>
        <w:pStyle w:val="Textoindependiente"/>
        <w:rPr>
          <w:sz w:val="20"/>
        </w:rPr>
      </w:pPr>
    </w:p>
    <w:p w14:paraId="6AD0536B" w14:textId="77777777" w:rsidR="0014798C" w:rsidRDefault="0014798C">
      <w:pPr>
        <w:pStyle w:val="Textoindependiente"/>
        <w:rPr>
          <w:sz w:val="20"/>
        </w:rPr>
      </w:pPr>
    </w:p>
    <w:p w14:paraId="551D24AF" w14:textId="77777777" w:rsidR="0014798C" w:rsidRDefault="004E1F0B">
      <w:pPr>
        <w:pStyle w:val="Textoindependiente"/>
        <w:spacing w:before="138"/>
        <w:rPr>
          <w:sz w:val="20"/>
        </w:rPr>
      </w:pPr>
      <w:r>
        <w:rPr>
          <w:noProof/>
        </w:rPr>
        <w:drawing>
          <wp:anchor distT="0" distB="0" distL="0" distR="0" simplePos="0" relativeHeight="251658548" behindDoc="1" locked="0" layoutInCell="1" allowOverlap="1" wp14:anchorId="6F2900E3" wp14:editId="1313F46A">
            <wp:simplePos x="0" y="0"/>
            <wp:positionH relativeFrom="page">
              <wp:posOffset>826632</wp:posOffset>
            </wp:positionH>
            <wp:positionV relativeFrom="paragraph">
              <wp:posOffset>249521</wp:posOffset>
            </wp:positionV>
            <wp:extent cx="931001" cy="35813"/>
            <wp:effectExtent l="0" t="0" r="0" b="0"/>
            <wp:wrapTopAndBottom/>
            <wp:docPr id="287" name="Image 28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87" name="Image 287"/>
                    <pic:cNvPicPr/>
                  </pic:nvPicPr>
                  <pic:blipFill>
                    <a:blip r:embed="rId270" cstate="print"/>
                    <a:stretch>
                      <a:fillRect/>
                    </a:stretch>
                  </pic:blipFill>
                  <pic:spPr>
                    <a:xfrm>
                      <a:off x="0" y="0"/>
                      <a:ext cx="931001" cy="35813"/>
                    </a:xfrm>
                    <a:prstGeom prst="rect">
                      <a:avLst/>
                    </a:prstGeom>
                  </pic:spPr>
                </pic:pic>
              </a:graphicData>
            </a:graphic>
          </wp:anchor>
        </w:drawing>
      </w:r>
    </w:p>
    <w:p w14:paraId="5A152E4E" w14:textId="77777777" w:rsidR="0014798C" w:rsidRPr="00537489" w:rsidRDefault="004E1F0B">
      <w:pPr>
        <w:spacing w:before="124" w:line="276" w:lineRule="auto"/>
        <w:ind w:left="1365" w:right="1352" w:hanging="258"/>
        <w:rPr>
          <w:sz w:val="12"/>
          <w:lang w:val="en-US"/>
        </w:rPr>
      </w:pPr>
      <w:r>
        <w:rPr>
          <w:sz w:val="14"/>
        </w:rPr>
        <w:t>952</w:t>
      </w:r>
      <w:r>
        <w:rPr>
          <w:spacing w:val="-8"/>
          <w:sz w:val="14"/>
        </w:rPr>
        <w:t xml:space="preserve"> </w:t>
      </w:r>
      <w:r>
        <w:rPr>
          <w:sz w:val="14"/>
        </w:rPr>
        <w:t>Comité</w:t>
      </w:r>
      <w:r>
        <w:rPr>
          <w:spacing w:val="-8"/>
          <w:sz w:val="14"/>
        </w:rPr>
        <w:t xml:space="preserve"> </w:t>
      </w:r>
      <w:r>
        <w:rPr>
          <w:sz w:val="14"/>
        </w:rPr>
        <w:t>para</w:t>
      </w:r>
      <w:r>
        <w:rPr>
          <w:spacing w:val="-8"/>
          <w:sz w:val="14"/>
        </w:rPr>
        <w:t xml:space="preserve"> </w:t>
      </w:r>
      <w:r>
        <w:rPr>
          <w:sz w:val="14"/>
        </w:rPr>
        <w:t>la</w:t>
      </w:r>
      <w:r>
        <w:rPr>
          <w:spacing w:val="-8"/>
          <w:sz w:val="14"/>
        </w:rPr>
        <w:t xml:space="preserve"> </w:t>
      </w:r>
      <w:r>
        <w:rPr>
          <w:sz w:val="14"/>
        </w:rPr>
        <w:t>Eliminación</w:t>
      </w:r>
      <w:r>
        <w:rPr>
          <w:spacing w:val="-8"/>
          <w:sz w:val="14"/>
        </w:rPr>
        <w:t xml:space="preserve"> </w:t>
      </w:r>
      <w:r>
        <w:rPr>
          <w:sz w:val="14"/>
        </w:rPr>
        <w:t>de</w:t>
      </w:r>
      <w:r>
        <w:rPr>
          <w:spacing w:val="-8"/>
          <w:sz w:val="14"/>
        </w:rPr>
        <w:t xml:space="preserve"> </w:t>
      </w:r>
      <w:r>
        <w:rPr>
          <w:sz w:val="14"/>
        </w:rPr>
        <w:t>la</w:t>
      </w:r>
      <w:r>
        <w:rPr>
          <w:spacing w:val="-8"/>
          <w:sz w:val="14"/>
        </w:rPr>
        <w:t xml:space="preserve"> </w:t>
      </w:r>
      <w:r>
        <w:rPr>
          <w:sz w:val="14"/>
        </w:rPr>
        <w:t>Discriminación</w:t>
      </w:r>
      <w:r>
        <w:rPr>
          <w:spacing w:val="-8"/>
          <w:sz w:val="14"/>
        </w:rPr>
        <w:t xml:space="preserve"> </w:t>
      </w:r>
      <w:r>
        <w:rPr>
          <w:sz w:val="14"/>
        </w:rPr>
        <w:t>contra</w:t>
      </w:r>
      <w:r>
        <w:rPr>
          <w:spacing w:val="-8"/>
          <w:sz w:val="14"/>
        </w:rPr>
        <w:t xml:space="preserve"> </w:t>
      </w:r>
      <w:r>
        <w:rPr>
          <w:sz w:val="14"/>
        </w:rPr>
        <w:t>la</w:t>
      </w:r>
      <w:r>
        <w:rPr>
          <w:spacing w:val="-8"/>
          <w:sz w:val="14"/>
        </w:rPr>
        <w:t xml:space="preserve"> </w:t>
      </w:r>
      <w:r>
        <w:rPr>
          <w:sz w:val="14"/>
        </w:rPr>
        <w:t>Mujer,</w:t>
      </w:r>
      <w:r>
        <w:rPr>
          <w:spacing w:val="-8"/>
          <w:sz w:val="14"/>
        </w:rPr>
        <w:t xml:space="preserve"> </w:t>
      </w:r>
      <w:r>
        <w:rPr>
          <w:sz w:val="14"/>
        </w:rPr>
        <w:t>“Declaración</w:t>
      </w:r>
      <w:r>
        <w:rPr>
          <w:spacing w:val="-8"/>
          <w:sz w:val="14"/>
        </w:rPr>
        <w:t xml:space="preserve"> </w:t>
      </w:r>
      <w:r>
        <w:rPr>
          <w:sz w:val="14"/>
        </w:rPr>
        <w:t>para</w:t>
      </w:r>
      <w:r>
        <w:rPr>
          <w:spacing w:val="-8"/>
          <w:sz w:val="14"/>
        </w:rPr>
        <w:t xml:space="preserve"> </w:t>
      </w:r>
      <w:r>
        <w:rPr>
          <w:sz w:val="14"/>
        </w:rPr>
        <w:t>conmemorar</w:t>
      </w:r>
      <w:r>
        <w:rPr>
          <w:spacing w:val="-8"/>
          <w:sz w:val="14"/>
        </w:rPr>
        <w:t xml:space="preserve"> </w:t>
      </w:r>
      <w:r>
        <w:rPr>
          <w:sz w:val="14"/>
        </w:rPr>
        <w:t>el</w:t>
      </w:r>
      <w:r>
        <w:rPr>
          <w:spacing w:val="-8"/>
          <w:sz w:val="14"/>
        </w:rPr>
        <w:t xml:space="preserve"> </w:t>
      </w:r>
      <w:r>
        <w:rPr>
          <w:sz w:val="14"/>
        </w:rPr>
        <w:t>vigésimo</w:t>
      </w:r>
      <w:r>
        <w:rPr>
          <w:spacing w:val="-8"/>
          <w:sz w:val="14"/>
        </w:rPr>
        <w:t xml:space="preserve"> </w:t>
      </w:r>
      <w:r>
        <w:rPr>
          <w:sz w:val="14"/>
        </w:rPr>
        <w:t>quinto</w:t>
      </w:r>
      <w:r>
        <w:rPr>
          <w:spacing w:val="-8"/>
          <w:sz w:val="14"/>
        </w:rPr>
        <w:t xml:space="preserve"> </w:t>
      </w:r>
      <w:r>
        <w:rPr>
          <w:sz w:val="14"/>
        </w:rPr>
        <w:t>aniversario</w:t>
      </w:r>
      <w:r>
        <w:rPr>
          <w:spacing w:val="-8"/>
          <w:sz w:val="14"/>
        </w:rPr>
        <w:t xml:space="preserve"> </w:t>
      </w:r>
      <w:r>
        <w:rPr>
          <w:sz w:val="14"/>
        </w:rPr>
        <w:t>de</w:t>
      </w:r>
      <w:r>
        <w:rPr>
          <w:spacing w:val="-8"/>
          <w:sz w:val="14"/>
        </w:rPr>
        <w:t xml:space="preserve"> </w:t>
      </w:r>
      <w:r>
        <w:rPr>
          <w:sz w:val="14"/>
        </w:rPr>
        <w:t>la</w:t>
      </w:r>
      <w:r>
        <w:rPr>
          <w:spacing w:val="-8"/>
          <w:sz w:val="14"/>
        </w:rPr>
        <w:t xml:space="preserve"> </w:t>
      </w:r>
      <w:r>
        <w:rPr>
          <w:sz w:val="14"/>
        </w:rPr>
        <w:t>adopción</w:t>
      </w:r>
      <w:r>
        <w:rPr>
          <w:spacing w:val="-8"/>
          <w:sz w:val="14"/>
        </w:rPr>
        <w:t xml:space="preserve"> </w:t>
      </w:r>
      <w:r>
        <w:rPr>
          <w:sz w:val="14"/>
        </w:rPr>
        <w:t>de</w:t>
      </w:r>
      <w:r>
        <w:rPr>
          <w:spacing w:val="-8"/>
          <w:sz w:val="14"/>
        </w:rPr>
        <w:t xml:space="preserve"> </w:t>
      </w:r>
      <w:r>
        <w:rPr>
          <w:sz w:val="14"/>
        </w:rPr>
        <w:t>la</w:t>
      </w:r>
      <w:r>
        <w:rPr>
          <w:spacing w:val="40"/>
          <w:sz w:val="14"/>
        </w:rPr>
        <w:t xml:space="preserve"> </w:t>
      </w:r>
      <w:r>
        <w:rPr>
          <w:sz w:val="14"/>
        </w:rPr>
        <w:t>Convención</w:t>
      </w:r>
      <w:r>
        <w:rPr>
          <w:spacing w:val="-5"/>
          <w:sz w:val="14"/>
        </w:rPr>
        <w:t xml:space="preserve"> </w:t>
      </w:r>
      <w:r>
        <w:rPr>
          <w:sz w:val="14"/>
        </w:rPr>
        <w:t>sobre</w:t>
      </w:r>
      <w:r>
        <w:rPr>
          <w:spacing w:val="-5"/>
          <w:sz w:val="14"/>
        </w:rPr>
        <w:t xml:space="preserve"> </w:t>
      </w:r>
      <w:r>
        <w:rPr>
          <w:sz w:val="14"/>
        </w:rPr>
        <w:t>la</w:t>
      </w:r>
      <w:r>
        <w:rPr>
          <w:spacing w:val="-5"/>
          <w:sz w:val="14"/>
        </w:rPr>
        <w:t xml:space="preserve"> </w:t>
      </w:r>
      <w:r>
        <w:rPr>
          <w:sz w:val="14"/>
        </w:rPr>
        <w:t>eliminación</w:t>
      </w:r>
      <w:r>
        <w:rPr>
          <w:spacing w:val="-5"/>
          <w:sz w:val="14"/>
        </w:rPr>
        <w:t xml:space="preserve"> </w:t>
      </w:r>
      <w:r>
        <w:rPr>
          <w:sz w:val="14"/>
        </w:rPr>
        <w:t>de</w:t>
      </w:r>
      <w:r>
        <w:rPr>
          <w:spacing w:val="-5"/>
          <w:sz w:val="14"/>
        </w:rPr>
        <w:t xml:space="preserve"> </w:t>
      </w:r>
      <w:r>
        <w:rPr>
          <w:sz w:val="14"/>
        </w:rPr>
        <w:t>todas</w:t>
      </w:r>
      <w:r>
        <w:rPr>
          <w:spacing w:val="-5"/>
          <w:sz w:val="14"/>
        </w:rPr>
        <w:t xml:space="preserve"> </w:t>
      </w:r>
      <w:r>
        <w:rPr>
          <w:sz w:val="14"/>
        </w:rPr>
        <w:t>las</w:t>
      </w:r>
      <w:r>
        <w:rPr>
          <w:spacing w:val="-5"/>
          <w:sz w:val="14"/>
        </w:rPr>
        <w:t xml:space="preserve"> </w:t>
      </w:r>
      <w:r>
        <w:rPr>
          <w:sz w:val="14"/>
        </w:rPr>
        <w:t>formas</w:t>
      </w:r>
      <w:r>
        <w:rPr>
          <w:spacing w:val="-5"/>
          <w:sz w:val="14"/>
        </w:rPr>
        <w:t xml:space="preserve"> </w:t>
      </w:r>
      <w:r>
        <w:rPr>
          <w:sz w:val="14"/>
        </w:rPr>
        <w:t>de</w:t>
      </w:r>
      <w:r>
        <w:rPr>
          <w:spacing w:val="-5"/>
          <w:sz w:val="14"/>
        </w:rPr>
        <w:t xml:space="preserve"> </w:t>
      </w:r>
      <w:r>
        <w:rPr>
          <w:sz w:val="14"/>
        </w:rPr>
        <w:t>discriminación</w:t>
      </w:r>
      <w:r>
        <w:rPr>
          <w:spacing w:val="-5"/>
          <w:sz w:val="14"/>
        </w:rPr>
        <w:t xml:space="preserve"> </w:t>
      </w:r>
      <w:r>
        <w:rPr>
          <w:sz w:val="14"/>
        </w:rPr>
        <w:t>contra</w:t>
      </w:r>
      <w:r>
        <w:rPr>
          <w:spacing w:val="-5"/>
          <w:sz w:val="14"/>
        </w:rPr>
        <w:t xml:space="preserve"> </w:t>
      </w:r>
      <w:r>
        <w:rPr>
          <w:sz w:val="14"/>
        </w:rPr>
        <w:t>la</w:t>
      </w:r>
      <w:r>
        <w:rPr>
          <w:spacing w:val="-5"/>
          <w:sz w:val="14"/>
        </w:rPr>
        <w:t xml:space="preserve"> </w:t>
      </w:r>
      <w:r>
        <w:rPr>
          <w:sz w:val="14"/>
        </w:rPr>
        <w:t>mujer”,</w:t>
      </w:r>
      <w:r>
        <w:rPr>
          <w:spacing w:val="-5"/>
          <w:sz w:val="14"/>
        </w:rPr>
        <w:t xml:space="preserve"> </w:t>
      </w:r>
      <w:r>
        <w:rPr>
          <w:sz w:val="14"/>
        </w:rPr>
        <w:t>13</w:t>
      </w:r>
      <w:r>
        <w:rPr>
          <w:spacing w:val="-5"/>
          <w:sz w:val="14"/>
        </w:rPr>
        <w:t xml:space="preserve"> </w:t>
      </w:r>
      <w:r>
        <w:rPr>
          <w:sz w:val="14"/>
        </w:rPr>
        <w:t>de</w:t>
      </w:r>
      <w:r>
        <w:rPr>
          <w:spacing w:val="-5"/>
          <w:sz w:val="14"/>
        </w:rPr>
        <w:t xml:space="preserve"> </w:t>
      </w:r>
      <w:r>
        <w:rPr>
          <w:sz w:val="14"/>
        </w:rPr>
        <w:t>octubre</w:t>
      </w:r>
      <w:r>
        <w:rPr>
          <w:spacing w:val="-5"/>
          <w:sz w:val="14"/>
        </w:rPr>
        <w:t xml:space="preserve"> </w:t>
      </w:r>
      <w:r>
        <w:rPr>
          <w:sz w:val="14"/>
        </w:rPr>
        <w:t>de</w:t>
      </w:r>
      <w:r>
        <w:rPr>
          <w:spacing w:val="-5"/>
          <w:sz w:val="14"/>
        </w:rPr>
        <w:t xml:space="preserve"> </w:t>
      </w:r>
      <w:r>
        <w:rPr>
          <w:sz w:val="14"/>
        </w:rPr>
        <w:t>2004.</w:t>
      </w:r>
      <w:r>
        <w:rPr>
          <w:spacing w:val="-5"/>
          <w:sz w:val="14"/>
        </w:rPr>
        <w:t xml:space="preserve"> </w:t>
      </w:r>
      <w:r w:rsidRPr="00537489">
        <w:rPr>
          <w:sz w:val="14"/>
          <w:lang w:val="en-US"/>
        </w:rPr>
        <w:t>Disponible</w:t>
      </w:r>
      <w:r w:rsidRPr="00537489">
        <w:rPr>
          <w:spacing w:val="-5"/>
          <w:sz w:val="14"/>
          <w:lang w:val="en-US"/>
        </w:rPr>
        <w:t xml:space="preserve"> </w:t>
      </w:r>
      <w:r w:rsidRPr="00537489">
        <w:rPr>
          <w:sz w:val="14"/>
          <w:lang w:val="en-US"/>
        </w:rPr>
        <w:t>en</w:t>
      </w:r>
      <w:r w:rsidRPr="00537489">
        <w:rPr>
          <w:spacing w:val="-5"/>
          <w:sz w:val="14"/>
          <w:lang w:val="en-US"/>
        </w:rPr>
        <w:t xml:space="preserve"> </w:t>
      </w:r>
      <w:r>
        <w:fldChar w:fldCharType="begin"/>
      </w:r>
      <w:r w:rsidRPr="00C666B0">
        <w:rPr>
          <w:lang w:val="en-US"/>
        </w:rPr>
        <w:instrText>HYPERLINK "http://www.un.org/" \h</w:instrText>
      </w:r>
      <w:r>
        <w:fldChar w:fldCharType="separate"/>
      </w:r>
      <w:r w:rsidRPr="00537489">
        <w:rPr>
          <w:color w:val="0075BF"/>
          <w:sz w:val="14"/>
          <w:lang w:val="en-US"/>
        </w:rPr>
        <w:t>www.un.org/</w:t>
      </w:r>
      <w:r>
        <w:fldChar w:fldCharType="end"/>
      </w:r>
      <w:r w:rsidRPr="00537489">
        <w:rPr>
          <w:color w:val="0075BF"/>
          <w:spacing w:val="40"/>
          <w:sz w:val="14"/>
          <w:lang w:val="en-US"/>
        </w:rPr>
        <w:t xml:space="preserve"> </w:t>
      </w:r>
      <w:r>
        <w:fldChar w:fldCharType="begin"/>
      </w:r>
      <w:r w:rsidRPr="00C666B0">
        <w:rPr>
          <w:lang w:val="en-US"/>
        </w:rPr>
        <w:instrText>HYPERLINK "http://www.un.org/womenwatch/daw/cedaw/cedaw25anniversary/cedaw25-CEDAW.pdf" \h</w:instrText>
      </w:r>
      <w:r>
        <w:fldChar w:fldCharType="separate"/>
      </w:r>
      <w:proofErr w:type="spellStart"/>
      <w:r w:rsidRPr="00537489">
        <w:rPr>
          <w:color w:val="0075BF"/>
          <w:spacing w:val="-2"/>
          <w:sz w:val="12"/>
          <w:lang w:val="en-US"/>
        </w:rPr>
        <w:t>womenwatch</w:t>
      </w:r>
      <w:proofErr w:type="spellEnd"/>
      <w:r w:rsidRPr="00537489">
        <w:rPr>
          <w:color w:val="0075BF"/>
          <w:spacing w:val="-2"/>
          <w:sz w:val="12"/>
          <w:lang w:val="en-US"/>
        </w:rPr>
        <w:t>/</w:t>
      </w:r>
      <w:proofErr w:type="spellStart"/>
      <w:r w:rsidRPr="00537489">
        <w:rPr>
          <w:color w:val="0075BF"/>
          <w:spacing w:val="-2"/>
          <w:sz w:val="12"/>
          <w:lang w:val="en-US"/>
        </w:rPr>
        <w:t>daw</w:t>
      </w:r>
      <w:proofErr w:type="spellEnd"/>
      <w:r w:rsidRPr="00537489">
        <w:rPr>
          <w:color w:val="0075BF"/>
          <w:spacing w:val="-2"/>
          <w:sz w:val="12"/>
          <w:lang w:val="en-US"/>
        </w:rPr>
        <w:t>/</w:t>
      </w:r>
      <w:proofErr w:type="spellStart"/>
      <w:r w:rsidRPr="00537489">
        <w:rPr>
          <w:color w:val="0075BF"/>
          <w:spacing w:val="-2"/>
          <w:sz w:val="12"/>
          <w:lang w:val="en-US"/>
        </w:rPr>
        <w:t>cedaw</w:t>
      </w:r>
      <w:proofErr w:type="spellEnd"/>
      <w:r w:rsidRPr="00537489">
        <w:rPr>
          <w:color w:val="0075BF"/>
          <w:spacing w:val="-2"/>
          <w:sz w:val="12"/>
          <w:lang w:val="en-US"/>
        </w:rPr>
        <w:t>/cedaw25anniversary/cedaw25-CEDAW.pdf.</w:t>
      </w:r>
      <w:r>
        <w:fldChar w:fldCharType="end"/>
      </w:r>
    </w:p>
    <w:p w14:paraId="799E5347" w14:textId="77777777" w:rsidR="0014798C" w:rsidRDefault="004E1F0B">
      <w:pPr>
        <w:spacing w:before="67"/>
        <w:ind w:left="1107"/>
        <w:rPr>
          <w:sz w:val="14"/>
        </w:rPr>
      </w:pPr>
      <w:r w:rsidRPr="00537489">
        <w:rPr>
          <w:sz w:val="14"/>
          <w:vertAlign w:val="superscript"/>
          <w:lang w:val="en-US"/>
        </w:rPr>
        <w:t>953</w:t>
      </w:r>
      <w:r w:rsidRPr="00537489">
        <w:rPr>
          <w:spacing w:val="49"/>
          <w:sz w:val="14"/>
          <w:lang w:val="en-US"/>
        </w:rPr>
        <w:t xml:space="preserve"> </w:t>
      </w:r>
      <w:r w:rsidRPr="00537489">
        <w:rPr>
          <w:sz w:val="14"/>
          <w:lang w:val="en-US"/>
        </w:rPr>
        <w:t>CEDAW/C/FJI/CO/4,</w:t>
      </w:r>
      <w:r w:rsidRPr="00537489">
        <w:rPr>
          <w:spacing w:val="-10"/>
          <w:sz w:val="14"/>
          <w:lang w:val="en-US"/>
        </w:rPr>
        <w:t xml:space="preserve"> </w:t>
      </w:r>
      <w:proofErr w:type="spellStart"/>
      <w:r w:rsidRPr="00537489">
        <w:rPr>
          <w:sz w:val="14"/>
          <w:lang w:val="en-US"/>
        </w:rPr>
        <w:t>párr</w:t>
      </w:r>
      <w:proofErr w:type="spellEnd"/>
      <w:r w:rsidRPr="00537489">
        <w:rPr>
          <w:sz w:val="14"/>
          <w:lang w:val="en-US"/>
        </w:rPr>
        <w:t>.</w:t>
      </w:r>
      <w:r w:rsidRPr="00537489">
        <w:rPr>
          <w:spacing w:val="-10"/>
          <w:sz w:val="14"/>
          <w:lang w:val="en-US"/>
        </w:rPr>
        <w:t xml:space="preserve"> </w:t>
      </w:r>
      <w:r>
        <w:rPr>
          <w:spacing w:val="-5"/>
          <w:sz w:val="14"/>
        </w:rPr>
        <w:t>20.</w:t>
      </w:r>
    </w:p>
    <w:p w14:paraId="49EDCF0B" w14:textId="77777777" w:rsidR="0014798C" w:rsidRDefault="0014798C">
      <w:pPr>
        <w:pStyle w:val="Textoindependiente"/>
        <w:spacing w:before="10"/>
        <w:rPr>
          <w:sz w:val="11"/>
        </w:rPr>
      </w:pPr>
    </w:p>
    <w:p w14:paraId="432CA366" w14:textId="77777777" w:rsidR="0014798C" w:rsidRDefault="004E1F0B">
      <w:pPr>
        <w:spacing w:line="123" w:lineRule="exact"/>
        <w:ind w:left="100" w:right="2264"/>
        <w:jc w:val="center"/>
        <w:rPr>
          <w:sz w:val="11"/>
        </w:rPr>
      </w:pPr>
      <w:r>
        <w:rPr>
          <w:sz w:val="11"/>
        </w:rPr>
        <w:t>954</w:t>
      </w:r>
      <w:r>
        <w:rPr>
          <w:spacing w:val="-1"/>
          <w:sz w:val="11"/>
        </w:rPr>
        <w:t xml:space="preserve"> </w:t>
      </w:r>
      <w:proofErr w:type="spellStart"/>
      <w:r>
        <w:rPr>
          <w:sz w:val="11"/>
        </w:rPr>
        <w:t>Ibíd</w:t>
      </w:r>
      <w:proofErr w:type="spellEnd"/>
      <w:r>
        <w:rPr>
          <w:sz w:val="11"/>
        </w:rPr>
        <w:t>., párr. 21.</w:t>
      </w:r>
      <w:r>
        <w:rPr>
          <w:spacing w:val="-1"/>
          <w:sz w:val="11"/>
        </w:rPr>
        <w:t xml:space="preserve"> </w:t>
      </w:r>
      <w:r>
        <w:rPr>
          <w:sz w:val="11"/>
        </w:rPr>
        <w:t>Además, “al Comité</w:t>
      </w:r>
      <w:r>
        <w:rPr>
          <w:spacing w:val="-1"/>
          <w:sz w:val="11"/>
        </w:rPr>
        <w:t xml:space="preserve"> </w:t>
      </w:r>
      <w:r>
        <w:rPr>
          <w:sz w:val="11"/>
        </w:rPr>
        <w:t>le preocupa que, hasta</w:t>
      </w:r>
      <w:r>
        <w:rPr>
          <w:spacing w:val="-1"/>
          <w:sz w:val="11"/>
        </w:rPr>
        <w:t xml:space="preserve"> </w:t>
      </w:r>
      <w:r>
        <w:rPr>
          <w:sz w:val="11"/>
        </w:rPr>
        <w:t>el momento, el</w:t>
      </w:r>
      <w:r>
        <w:rPr>
          <w:spacing w:val="-1"/>
          <w:sz w:val="11"/>
        </w:rPr>
        <w:t xml:space="preserve"> </w:t>
      </w:r>
      <w:r>
        <w:rPr>
          <w:sz w:val="11"/>
        </w:rPr>
        <w:t>Estado parte no</w:t>
      </w:r>
      <w:r>
        <w:rPr>
          <w:spacing w:val="-1"/>
          <w:sz w:val="11"/>
        </w:rPr>
        <w:t xml:space="preserve"> </w:t>
      </w:r>
      <w:r>
        <w:rPr>
          <w:sz w:val="11"/>
        </w:rPr>
        <w:t>haya adoptado medidas efectivas</w:t>
      </w:r>
      <w:r>
        <w:rPr>
          <w:spacing w:val="-2"/>
          <w:sz w:val="11"/>
        </w:rPr>
        <w:t xml:space="preserve"> </w:t>
      </w:r>
      <w:r>
        <w:rPr>
          <w:sz w:val="11"/>
        </w:rPr>
        <w:t>y sistemáticas</w:t>
      </w:r>
      <w:r>
        <w:rPr>
          <w:spacing w:val="-1"/>
          <w:sz w:val="11"/>
        </w:rPr>
        <w:t xml:space="preserve"> </w:t>
      </w:r>
      <w:r>
        <w:rPr>
          <w:spacing w:val="-4"/>
          <w:sz w:val="11"/>
        </w:rPr>
        <w:t>para</w:t>
      </w:r>
    </w:p>
    <w:p w14:paraId="2285680F" w14:textId="77777777" w:rsidR="0014798C" w:rsidRDefault="004E1F0B">
      <w:pPr>
        <w:spacing w:line="157" w:lineRule="exact"/>
        <w:ind w:left="100" w:right="2180"/>
        <w:jc w:val="center"/>
        <w:rPr>
          <w:sz w:val="14"/>
        </w:rPr>
      </w:pPr>
      <w:r>
        <w:rPr>
          <w:spacing w:val="-2"/>
          <w:sz w:val="14"/>
        </w:rPr>
        <w:t>modificar</w:t>
      </w:r>
      <w:r>
        <w:rPr>
          <w:spacing w:val="2"/>
          <w:sz w:val="14"/>
        </w:rPr>
        <w:t xml:space="preserve"> </w:t>
      </w:r>
      <w:r>
        <w:rPr>
          <w:spacing w:val="-2"/>
          <w:sz w:val="14"/>
        </w:rPr>
        <w:t>o</w:t>
      </w:r>
      <w:r>
        <w:rPr>
          <w:spacing w:val="2"/>
          <w:sz w:val="14"/>
        </w:rPr>
        <w:t xml:space="preserve"> </w:t>
      </w:r>
      <w:r>
        <w:rPr>
          <w:spacing w:val="-2"/>
          <w:sz w:val="14"/>
        </w:rPr>
        <w:t>eliminar</w:t>
      </w:r>
      <w:r>
        <w:rPr>
          <w:spacing w:val="3"/>
          <w:sz w:val="14"/>
        </w:rPr>
        <w:t xml:space="preserve"> </w:t>
      </w:r>
      <w:r>
        <w:rPr>
          <w:spacing w:val="-2"/>
          <w:sz w:val="14"/>
        </w:rPr>
        <w:t>estereotipos</w:t>
      </w:r>
      <w:r>
        <w:rPr>
          <w:spacing w:val="1"/>
          <w:sz w:val="14"/>
        </w:rPr>
        <w:t xml:space="preserve"> </w:t>
      </w:r>
      <w:r>
        <w:rPr>
          <w:spacing w:val="-2"/>
          <w:sz w:val="14"/>
        </w:rPr>
        <w:t>y</w:t>
      </w:r>
      <w:r>
        <w:rPr>
          <w:spacing w:val="2"/>
          <w:sz w:val="14"/>
        </w:rPr>
        <w:t xml:space="preserve"> </w:t>
      </w:r>
      <w:r>
        <w:rPr>
          <w:spacing w:val="-2"/>
          <w:sz w:val="14"/>
        </w:rPr>
        <w:t>prácticas</w:t>
      </w:r>
      <w:r>
        <w:rPr>
          <w:spacing w:val="3"/>
          <w:sz w:val="14"/>
        </w:rPr>
        <w:t xml:space="preserve"> </w:t>
      </w:r>
      <w:r>
        <w:rPr>
          <w:spacing w:val="-2"/>
          <w:sz w:val="14"/>
        </w:rPr>
        <w:t>culturales</w:t>
      </w:r>
      <w:r>
        <w:rPr>
          <w:spacing w:val="2"/>
          <w:sz w:val="14"/>
        </w:rPr>
        <w:t xml:space="preserve"> </w:t>
      </w:r>
      <w:r>
        <w:rPr>
          <w:spacing w:val="-2"/>
          <w:sz w:val="14"/>
        </w:rPr>
        <w:t>nocivas</w:t>
      </w:r>
      <w:r>
        <w:rPr>
          <w:spacing w:val="3"/>
          <w:sz w:val="14"/>
        </w:rPr>
        <w:t xml:space="preserve"> </w:t>
      </w:r>
      <w:r>
        <w:rPr>
          <w:spacing w:val="-2"/>
          <w:sz w:val="14"/>
        </w:rPr>
        <w:t>y/o</w:t>
      </w:r>
      <w:r>
        <w:rPr>
          <w:spacing w:val="2"/>
          <w:sz w:val="14"/>
        </w:rPr>
        <w:t xml:space="preserve"> </w:t>
      </w:r>
      <w:r>
        <w:rPr>
          <w:spacing w:val="-2"/>
          <w:sz w:val="14"/>
        </w:rPr>
        <w:t>degradantes</w:t>
      </w:r>
      <w:r>
        <w:rPr>
          <w:spacing w:val="2"/>
          <w:sz w:val="14"/>
        </w:rPr>
        <w:t xml:space="preserve"> </w:t>
      </w:r>
      <w:r>
        <w:rPr>
          <w:spacing w:val="-2"/>
          <w:sz w:val="14"/>
        </w:rPr>
        <w:t>para</w:t>
      </w:r>
      <w:r>
        <w:rPr>
          <w:spacing w:val="3"/>
          <w:sz w:val="14"/>
        </w:rPr>
        <w:t xml:space="preserve"> </w:t>
      </w:r>
      <w:r>
        <w:rPr>
          <w:spacing w:val="-2"/>
          <w:sz w:val="14"/>
        </w:rPr>
        <w:t>las</w:t>
      </w:r>
      <w:r>
        <w:rPr>
          <w:spacing w:val="2"/>
          <w:sz w:val="14"/>
        </w:rPr>
        <w:t xml:space="preserve"> </w:t>
      </w:r>
      <w:r>
        <w:rPr>
          <w:spacing w:val="-2"/>
          <w:sz w:val="14"/>
        </w:rPr>
        <w:t>mujeres”.</w:t>
      </w:r>
      <w:r>
        <w:rPr>
          <w:spacing w:val="4"/>
          <w:sz w:val="14"/>
        </w:rPr>
        <w:t xml:space="preserve"> </w:t>
      </w:r>
      <w:proofErr w:type="spellStart"/>
      <w:r>
        <w:rPr>
          <w:spacing w:val="-2"/>
          <w:sz w:val="14"/>
        </w:rPr>
        <w:t>Ibíd</w:t>
      </w:r>
      <w:proofErr w:type="spellEnd"/>
      <w:r>
        <w:rPr>
          <w:spacing w:val="-2"/>
          <w:sz w:val="14"/>
        </w:rPr>
        <w:t>.,</w:t>
      </w:r>
      <w:r>
        <w:rPr>
          <w:spacing w:val="2"/>
          <w:sz w:val="14"/>
        </w:rPr>
        <w:t xml:space="preserve"> </w:t>
      </w:r>
      <w:r>
        <w:rPr>
          <w:spacing w:val="-2"/>
          <w:sz w:val="14"/>
        </w:rPr>
        <w:t>párr.</w:t>
      </w:r>
      <w:r>
        <w:rPr>
          <w:spacing w:val="2"/>
          <w:sz w:val="14"/>
        </w:rPr>
        <w:t xml:space="preserve"> </w:t>
      </w:r>
      <w:r>
        <w:rPr>
          <w:spacing w:val="-5"/>
          <w:sz w:val="14"/>
        </w:rPr>
        <w:t>20.</w:t>
      </w:r>
    </w:p>
    <w:p w14:paraId="72F5BF6B" w14:textId="77777777" w:rsidR="0014798C" w:rsidRDefault="004E1F0B">
      <w:pPr>
        <w:spacing w:before="75" w:line="268" w:lineRule="auto"/>
        <w:ind w:left="1371" w:right="1272" w:hanging="265"/>
        <w:rPr>
          <w:sz w:val="14"/>
        </w:rPr>
      </w:pPr>
      <w:r>
        <w:rPr>
          <w:sz w:val="14"/>
          <w:vertAlign w:val="superscript"/>
        </w:rPr>
        <w:t>955</w:t>
      </w:r>
      <w:r>
        <w:rPr>
          <w:spacing w:val="49"/>
          <w:sz w:val="14"/>
        </w:rPr>
        <w:t xml:space="preserve"> </w:t>
      </w:r>
      <w:r>
        <w:rPr>
          <w:sz w:val="14"/>
        </w:rPr>
        <w:t>Recomendación</w:t>
      </w:r>
      <w:r>
        <w:rPr>
          <w:spacing w:val="-9"/>
          <w:sz w:val="14"/>
        </w:rPr>
        <w:t xml:space="preserve"> </w:t>
      </w:r>
      <w:r>
        <w:rPr>
          <w:sz w:val="14"/>
        </w:rPr>
        <w:t>general</w:t>
      </w:r>
      <w:r>
        <w:rPr>
          <w:spacing w:val="-9"/>
          <w:sz w:val="14"/>
        </w:rPr>
        <w:t xml:space="preserve"> </w:t>
      </w:r>
      <w:r>
        <w:rPr>
          <w:sz w:val="14"/>
        </w:rPr>
        <w:t>conjunta</w:t>
      </w:r>
      <w:r>
        <w:rPr>
          <w:spacing w:val="-9"/>
          <w:sz w:val="14"/>
        </w:rPr>
        <w:t xml:space="preserve"> </w:t>
      </w:r>
      <w:r>
        <w:rPr>
          <w:sz w:val="14"/>
        </w:rPr>
        <w:t>núm.</w:t>
      </w:r>
      <w:r>
        <w:rPr>
          <w:spacing w:val="-9"/>
          <w:sz w:val="14"/>
        </w:rPr>
        <w:t xml:space="preserve"> </w:t>
      </w:r>
      <w:r>
        <w:rPr>
          <w:sz w:val="14"/>
        </w:rPr>
        <w:t>31</w:t>
      </w:r>
      <w:r>
        <w:rPr>
          <w:spacing w:val="-9"/>
          <w:sz w:val="14"/>
        </w:rPr>
        <w:t xml:space="preserve"> </w:t>
      </w:r>
      <w:r>
        <w:rPr>
          <w:sz w:val="14"/>
        </w:rPr>
        <w:t>del</w:t>
      </w:r>
      <w:r>
        <w:rPr>
          <w:spacing w:val="-9"/>
          <w:sz w:val="14"/>
        </w:rPr>
        <w:t xml:space="preserve"> </w:t>
      </w:r>
      <w:r>
        <w:rPr>
          <w:sz w:val="14"/>
        </w:rPr>
        <w:t>Comité</w:t>
      </w:r>
      <w:r>
        <w:rPr>
          <w:spacing w:val="-9"/>
          <w:sz w:val="14"/>
        </w:rPr>
        <w:t xml:space="preserve"> </w:t>
      </w:r>
      <w:r>
        <w:rPr>
          <w:sz w:val="14"/>
        </w:rPr>
        <w:t>para</w:t>
      </w:r>
      <w:r>
        <w:rPr>
          <w:spacing w:val="-9"/>
          <w:sz w:val="14"/>
        </w:rPr>
        <w:t xml:space="preserve"> </w:t>
      </w:r>
      <w:r>
        <w:rPr>
          <w:sz w:val="14"/>
        </w:rPr>
        <w:t>la</w:t>
      </w:r>
      <w:r>
        <w:rPr>
          <w:spacing w:val="-9"/>
          <w:sz w:val="14"/>
        </w:rPr>
        <w:t xml:space="preserve"> </w:t>
      </w:r>
      <w:r>
        <w:rPr>
          <w:sz w:val="14"/>
        </w:rPr>
        <w:t>Eliminación</w:t>
      </w:r>
      <w:r>
        <w:rPr>
          <w:spacing w:val="-9"/>
          <w:sz w:val="14"/>
        </w:rPr>
        <w:t xml:space="preserve"> </w:t>
      </w:r>
      <w:r>
        <w:rPr>
          <w:sz w:val="14"/>
        </w:rPr>
        <w:t>de</w:t>
      </w:r>
      <w:r>
        <w:rPr>
          <w:spacing w:val="-9"/>
          <w:sz w:val="14"/>
        </w:rPr>
        <w:t xml:space="preserve"> </w:t>
      </w:r>
      <w:r>
        <w:rPr>
          <w:sz w:val="14"/>
        </w:rPr>
        <w:t>la</w:t>
      </w:r>
      <w:r>
        <w:rPr>
          <w:spacing w:val="-9"/>
          <w:sz w:val="14"/>
        </w:rPr>
        <w:t xml:space="preserve"> </w:t>
      </w:r>
      <w:r>
        <w:rPr>
          <w:sz w:val="14"/>
        </w:rPr>
        <w:t>Discriminación</w:t>
      </w:r>
      <w:r>
        <w:rPr>
          <w:spacing w:val="-9"/>
          <w:sz w:val="14"/>
        </w:rPr>
        <w:t xml:space="preserve"> </w:t>
      </w:r>
      <w:r>
        <w:rPr>
          <w:sz w:val="14"/>
        </w:rPr>
        <w:t>contra</w:t>
      </w:r>
      <w:r>
        <w:rPr>
          <w:spacing w:val="-9"/>
          <w:sz w:val="14"/>
        </w:rPr>
        <w:t xml:space="preserve"> </w:t>
      </w:r>
      <w:r>
        <w:rPr>
          <w:sz w:val="14"/>
        </w:rPr>
        <w:t>la</w:t>
      </w:r>
      <w:r>
        <w:rPr>
          <w:spacing w:val="-9"/>
          <w:sz w:val="14"/>
        </w:rPr>
        <w:t xml:space="preserve"> </w:t>
      </w:r>
      <w:r>
        <w:rPr>
          <w:sz w:val="14"/>
        </w:rPr>
        <w:t>Mujer/observación</w:t>
      </w:r>
      <w:r>
        <w:rPr>
          <w:spacing w:val="-9"/>
          <w:sz w:val="14"/>
        </w:rPr>
        <w:t xml:space="preserve"> </w:t>
      </w:r>
      <w:r>
        <w:rPr>
          <w:sz w:val="14"/>
        </w:rPr>
        <w:t>general</w:t>
      </w:r>
      <w:r>
        <w:rPr>
          <w:spacing w:val="-9"/>
          <w:sz w:val="14"/>
        </w:rPr>
        <w:t xml:space="preserve"> </w:t>
      </w:r>
      <w:r>
        <w:rPr>
          <w:sz w:val="14"/>
        </w:rPr>
        <w:t>núm.</w:t>
      </w:r>
      <w:r>
        <w:rPr>
          <w:spacing w:val="-9"/>
          <w:sz w:val="14"/>
        </w:rPr>
        <w:t xml:space="preserve"> </w:t>
      </w:r>
      <w:r>
        <w:rPr>
          <w:sz w:val="14"/>
        </w:rPr>
        <w:t>18</w:t>
      </w:r>
      <w:r>
        <w:rPr>
          <w:spacing w:val="-9"/>
          <w:sz w:val="14"/>
        </w:rPr>
        <w:t xml:space="preserve"> </w:t>
      </w:r>
      <w:r>
        <w:rPr>
          <w:sz w:val="14"/>
        </w:rPr>
        <w:t>del</w:t>
      </w:r>
      <w:r>
        <w:rPr>
          <w:spacing w:val="40"/>
          <w:sz w:val="14"/>
        </w:rPr>
        <w:t xml:space="preserve"> </w:t>
      </w:r>
      <w:r>
        <w:rPr>
          <w:sz w:val="14"/>
        </w:rPr>
        <w:t xml:space="preserve">Comité de los Derechos del Niño (2019), </w:t>
      </w:r>
      <w:proofErr w:type="spellStart"/>
      <w:r>
        <w:rPr>
          <w:sz w:val="14"/>
        </w:rPr>
        <w:t>párrs</w:t>
      </w:r>
      <w:proofErr w:type="spellEnd"/>
      <w:r>
        <w:rPr>
          <w:sz w:val="14"/>
        </w:rPr>
        <w:t>. 33–34.</w:t>
      </w:r>
    </w:p>
    <w:p w14:paraId="58BD6002" w14:textId="77777777" w:rsidR="0014798C" w:rsidRDefault="004E1F0B">
      <w:pPr>
        <w:spacing w:before="117"/>
        <w:ind w:left="1107"/>
        <w:rPr>
          <w:sz w:val="11"/>
        </w:rPr>
      </w:pPr>
      <w:r>
        <w:rPr>
          <w:sz w:val="11"/>
        </w:rPr>
        <w:t>956</w:t>
      </w:r>
      <w:r>
        <w:rPr>
          <w:spacing w:val="-2"/>
          <w:sz w:val="11"/>
        </w:rPr>
        <w:t xml:space="preserve"> </w:t>
      </w:r>
      <w:proofErr w:type="spellStart"/>
      <w:r>
        <w:rPr>
          <w:sz w:val="11"/>
        </w:rPr>
        <w:t>Ibíd</w:t>
      </w:r>
      <w:proofErr w:type="spellEnd"/>
      <w:r>
        <w:rPr>
          <w:sz w:val="11"/>
        </w:rPr>
        <w:t>.,</w:t>
      </w:r>
      <w:r>
        <w:rPr>
          <w:spacing w:val="-1"/>
          <w:sz w:val="11"/>
        </w:rPr>
        <w:t xml:space="preserve"> </w:t>
      </w:r>
      <w:r>
        <w:rPr>
          <w:sz w:val="11"/>
        </w:rPr>
        <w:t>párr.</w:t>
      </w:r>
      <w:r>
        <w:rPr>
          <w:spacing w:val="-2"/>
          <w:sz w:val="11"/>
        </w:rPr>
        <w:t xml:space="preserve"> 81c).</w:t>
      </w:r>
    </w:p>
    <w:p w14:paraId="74191B8B" w14:textId="77777777" w:rsidR="0014798C" w:rsidRDefault="004E1F0B">
      <w:pPr>
        <w:spacing w:before="49"/>
        <w:ind w:left="1107"/>
        <w:rPr>
          <w:sz w:val="14"/>
        </w:rPr>
      </w:pPr>
      <w:r>
        <w:rPr>
          <w:sz w:val="14"/>
          <w:vertAlign w:val="superscript"/>
        </w:rPr>
        <w:t>957</w:t>
      </w:r>
      <w:r>
        <w:rPr>
          <w:spacing w:val="50"/>
          <w:sz w:val="14"/>
        </w:rPr>
        <w:t xml:space="preserve"> </w:t>
      </w:r>
      <w:r>
        <w:rPr>
          <w:sz w:val="14"/>
        </w:rPr>
        <w:t>E/CN.4/2003/75,</w:t>
      </w:r>
      <w:r>
        <w:rPr>
          <w:spacing w:val="-10"/>
          <w:sz w:val="14"/>
        </w:rPr>
        <w:t xml:space="preserve"> </w:t>
      </w:r>
      <w:r>
        <w:rPr>
          <w:sz w:val="14"/>
        </w:rPr>
        <w:t>párr.</w:t>
      </w:r>
      <w:r>
        <w:rPr>
          <w:spacing w:val="-9"/>
          <w:sz w:val="14"/>
        </w:rPr>
        <w:t xml:space="preserve"> </w:t>
      </w:r>
      <w:r>
        <w:rPr>
          <w:spacing w:val="-5"/>
          <w:sz w:val="14"/>
        </w:rPr>
        <w:t>62.</w:t>
      </w:r>
    </w:p>
    <w:p w14:paraId="02429624" w14:textId="77777777" w:rsidR="0014798C" w:rsidRDefault="0014798C">
      <w:pPr>
        <w:pStyle w:val="Textoindependiente"/>
        <w:rPr>
          <w:sz w:val="18"/>
        </w:rPr>
      </w:pPr>
    </w:p>
    <w:p w14:paraId="4F869342" w14:textId="77777777" w:rsidR="0014798C" w:rsidRDefault="0014798C">
      <w:pPr>
        <w:pStyle w:val="Textoindependiente"/>
        <w:rPr>
          <w:sz w:val="18"/>
        </w:rPr>
      </w:pPr>
    </w:p>
    <w:p w14:paraId="78CC1CF3" w14:textId="77777777" w:rsidR="0014798C" w:rsidRDefault="0014798C">
      <w:pPr>
        <w:pStyle w:val="Textoindependiente"/>
        <w:spacing w:before="16"/>
        <w:rPr>
          <w:sz w:val="18"/>
        </w:rPr>
      </w:pPr>
    </w:p>
    <w:p w14:paraId="497F7C2E" w14:textId="77777777" w:rsidR="0014798C" w:rsidRDefault="004E1F0B">
      <w:pPr>
        <w:spacing w:before="1"/>
        <w:ind w:left="478"/>
        <w:rPr>
          <w:sz w:val="18"/>
        </w:rPr>
      </w:pPr>
      <w:r>
        <w:rPr>
          <w:spacing w:val="-5"/>
          <w:sz w:val="18"/>
        </w:rPr>
        <w:t>138</w:t>
      </w:r>
    </w:p>
    <w:p w14:paraId="3ACBCBC0" w14:textId="77777777" w:rsidR="0014798C" w:rsidRDefault="0014798C">
      <w:pPr>
        <w:rPr>
          <w:sz w:val="18"/>
        </w:rPr>
        <w:sectPr w:rsidR="0014798C" w:rsidSect="00F265E4">
          <w:pgSz w:w="11900" w:h="16820"/>
          <w:pgMar w:top="340" w:right="0" w:bottom="280" w:left="200" w:header="121" w:footer="0" w:gutter="0"/>
          <w:cols w:space="720"/>
        </w:sectPr>
      </w:pPr>
    </w:p>
    <w:p w14:paraId="375452D3" w14:textId="77777777" w:rsidR="0014798C" w:rsidRDefault="0014798C">
      <w:pPr>
        <w:pStyle w:val="Textoindependiente"/>
        <w:rPr>
          <w:sz w:val="9"/>
        </w:rPr>
      </w:pPr>
    </w:p>
    <w:p w14:paraId="38FA4CD5" w14:textId="77777777" w:rsidR="0014798C" w:rsidRDefault="0014798C">
      <w:pPr>
        <w:pStyle w:val="Textoindependiente"/>
        <w:spacing w:before="14"/>
        <w:rPr>
          <w:sz w:val="9"/>
        </w:rPr>
      </w:pPr>
    </w:p>
    <w:p w14:paraId="75625B98" w14:textId="77777777" w:rsidR="0014798C" w:rsidRDefault="004E1F0B">
      <w:pPr>
        <w:spacing w:before="1"/>
        <w:ind w:left="1111"/>
        <w:rPr>
          <w:sz w:val="9"/>
        </w:rPr>
      </w:pPr>
      <w:r>
        <w:rPr>
          <w:color w:val="803108"/>
          <w:w w:val="105"/>
          <w:sz w:val="9"/>
        </w:rPr>
        <w:t>PARTE</w:t>
      </w:r>
      <w:r>
        <w:rPr>
          <w:color w:val="803108"/>
          <w:spacing w:val="1"/>
          <w:w w:val="105"/>
          <w:sz w:val="9"/>
        </w:rPr>
        <w:t xml:space="preserve"> </w:t>
      </w:r>
      <w:r>
        <w:rPr>
          <w:color w:val="803108"/>
          <w:w w:val="105"/>
          <w:sz w:val="9"/>
        </w:rPr>
        <w:t>TRES:</w:t>
      </w:r>
      <w:r>
        <w:rPr>
          <w:color w:val="803108"/>
          <w:spacing w:val="2"/>
          <w:w w:val="105"/>
          <w:sz w:val="9"/>
        </w:rPr>
        <w:t xml:space="preserve"> </w:t>
      </w:r>
      <w:r>
        <w:rPr>
          <w:color w:val="803108"/>
          <w:w w:val="105"/>
          <w:sz w:val="9"/>
        </w:rPr>
        <w:t>PROTECCIÓN</w:t>
      </w:r>
      <w:r>
        <w:rPr>
          <w:color w:val="803108"/>
          <w:spacing w:val="2"/>
          <w:w w:val="105"/>
          <w:sz w:val="9"/>
        </w:rPr>
        <w:t xml:space="preserve"> </w:t>
      </w:r>
      <w:r>
        <w:rPr>
          <w:color w:val="803108"/>
          <w:w w:val="105"/>
          <w:sz w:val="9"/>
        </w:rPr>
        <w:t>DE</w:t>
      </w:r>
      <w:r>
        <w:rPr>
          <w:color w:val="803108"/>
          <w:spacing w:val="1"/>
          <w:w w:val="105"/>
          <w:sz w:val="9"/>
        </w:rPr>
        <w:t xml:space="preserve"> </w:t>
      </w:r>
      <w:r>
        <w:rPr>
          <w:color w:val="803108"/>
          <w:w w:val="105"/>
          <w:sz w:val="9"/>
        </w:rPr>
        <w:t>LOS</w:t>
      </w:r>
      <w:r>
        <w:rPr>
          <w:color w:val="803108"/>
          <w:spacing w:val="2"/>
          <w:w w:val="105"/>
          <w:sz w:val="9"/>
        </w:rPr>
        <w:t xml:space="preserve"> </w:t>
      </w:r>
      <w:r>
        <w:rPr>
          <w:color w:val="803108"/>
          <w:w w:val="105"/>
          <w:sz w:val="9"/>
        </w:rPr>
        <w:t>DERECHOS</w:t>
      </w:r>
      <w:r>
        <w:rPr>
          <w:color w:val="803108"/>
          <w:spacing w:val="3"/>
          <w:w w:val="105"/>
          <w:sz w:val="9"/>
        </w:rPr>
        <w:t xml:space="preserve"> </w:t>
      </w:r>
      <w:r>
        <w:rPr>
          <w:color w:val="803108"/>
          <w:w w:val="105"/>
          <w:sz w:val="9"/>
        </w:rPr>
        <w:t>DE</w:t>
      </w:r>
      <w:r>
        <w:rPr>
          <w:color w:val="803108"/>
          <w:spacing w:val="1"/>
          <w:w w:val="105"/>
          <w:sz w:val="9"/>
        </w:rPr>
        <w:t xml:space="preserve"> </w:t>
      </w:r>
      <w:r>
        <w:rPr>
          <w:color w:val="803108"/>
          <w:w w:val="105"/>
          <w:sz w:val="9"/>
        </w:rPr>
        <w:t>LAS</w:t>
      </w:r>
      <w:r>
        <w:rPr>
          <w:color w:val="803108"/>
          <w:spacing w:val="2"/>
          <w:w w:val="105"/>
          <w:sz w:val="9"/>
        </w:rPr>
        <w:t xml:space="preserve"> </w:t>
      </w:r>
      <w:r>
        <w:rPr>
          <w:color w:val="803108"/>
          <w:spacing w:val="-2"/>
          <w:w w:val="105"/>
          <w:sz w:val="9"/>
        </w:rPr>
        <w:t>MINORÍAS</w:t>
      </w:r>
    </w:p>
    <w:p w14:paraId="5960DCB7" w14:textId="77777777" w:rsidR="0014798C" w:rsidRDefault="0014798C">
      <w:pPr>
        <w:pStyle w:val="Textoindependiente"/>
        <w:rPr>
          <w:sz w:val="28"/>
        </w:rPr>
      </w:pPr>
    </w:p>
    <w:p w14:paraId="7400341D" w14:textId="77777777" w:rsidR="0014798C" w:rsidRDefault="0014798C">
      <w:pPr>
        <w:pStyle w:val="Textoindependiente"/>
        <w:rPr>
          <w:sz w:val="28"/>
        </w:rPr>
      </w:pPr>
    </w:p>
    <w:p w14:paraId="46DC425B" w14:textId="77777777" w:rsidR="0014798C" w:rsidRDefault="0014798C">
      <w:pPr>
        <w:pStyle w:val="Textoindependiente"/>
        <w:spacing w:before="55"/>
        <w:rPr>
          <w:sz w:val="28"/>
        </w:rPr>
      </w:pPr>
    </w:p>
    <w:p w14:paraId="0AEA86C9" w14:textId="77777777" w:rsidR="0014798C" w:rsidRDefault="004E1F0B" w:rsidP="00806787">
      <w:pPr>
        <w:pStyle w:val="Ttulo9"/>
        <w:numPr>
          <w:ilvl w:val="0"/>
          <w:numId w:val="25"/>
        </w:numPr>
        <w:tabs>
          <w:tab w:val="left" w:pos="1506"/>
          <w:tab w:val="left" w:pos="1633"/>
        </w:tabs>
        <w:spacing w:line="297" w:lineRule="auto"/>
        <w:ind w:right="927" w:hanging="510"/>
      </w:pPr>
      <w:bookmarkStart w:id="23" w:name="_TOC_250002"/>
      <w:bookmarkStart w:id="24" w:name="religiosas"/>
      <w:r>
        <w:rPr>
          <w:color w:val="803108"/>
        </w:rPr>
        <w:t>MINORÍAS</w:t>
      </w:r>
      <w:r>
        <w:rPr>
          <w:color w:val="803108"/>
          <w:spacing w:val="-14"/>
        </w:rPr>
        <w:t xml:space="preserve"> </w:t>
      </w:r>
      <w:r>
        <w:rPr>
          <w:color w:val="803108"/>
        </w:rPr>
        <w:t>RELIGIOSAS</w:t>
      </w:r>
      <w:r>
        <w:rPr>
          <w:color w:val="803108"/>
          <w:spacing w:val="-14"/>
        </w:rPr>
        <w:t xml:space="preserve"> </w:t>
      </w:r>
      <w:r>
        <w:rPr>
          <w:color w:val="803108"/>
        </w:rPr>
        <w:t>O</w:t>
      </w:r>
      <w:r>
        <w:rPr>
          <w:color w:val="803108"/>
          <w:spacing w:val="-14"/>
        </w:rPr>
        <w:t xml:space="preserve"> </w:t>
      </w:r>
      <w:r>
        <w:rPr>
          <w:color w:val="803108"/>
        </w:rPr>
        <w:t>DE</w:t>
      </w:r>
      <w:r>
        <w:rPr>
          <w:color w:val="803108"/>
          <w:spacing w:val="-14"/>
        </w:rPr>
        <w:t xml:space="preserve"> </w:t>
      </w:r>
      <w:r>
        <w:rPr>
          <w:color w:val="803108"/>
        </w:rPr>
        <w:t>CREENCIAS</w:t>
      </w:r>
      <w:r>
        <w:rPr>
          <w:color w:val="803108"/>
          <w:spacing w:val="-14"/>
        </w:rPr>
        <w:t xml:space="preserve"> </w:t>
      </w:r>
      <w:r>
        <w:rPr>
          <w:color w:val="803108"/>
        </w:rPr>
        <w:t xml:space="preserve">Y </w:t>
      </w:r>
      <w:bookmarkEnd w:id="23"/>
      <w:r>
        <w:rPr>
          <w:color w:val="803108"/>
          <w:spacing w:val="-2"/>
        </w:rPr>
        <w:t>DISCRIMINACIÓN</w:t>
      </w:r>
    </w:p>
    <w:bookmarkEnd w:id="24"/>
    <w:p w14:paraId="62418BCF" w14:textId="77777777" w:rsidR="0014798C" w:rsidRDefault="0014798C">
      <w:pPr>
        <w:pStyle w:val="Textoindependiente"/>
        <w:spacing w:before="2"/>
      </w:pPr>
    </w:p>
    <w:p w14:paraId="079D6649" w14:textId="77777777" w:rsidR="0014798C" w:rsidRDefault="004E1F0B">
      <w:pPr>
        <w:pStyle w:val="Textoindependiente"/>
        <w:spacing w:line="326" w:lineRule="auto"/>
        <w:ind w:left="1108" w:right="1335" w:firstLine="2"/>
      </w:pPr>
      <w:r>
        <w:t>Las</w:t>
      </w:r>
      <w:r>
        <w:rPr>
          <w:spacing w:val="14"/>
        </w:rPr>
        <w:t xml:space="preserve"> </w:t>
      </w:r>
      <w:r>
        <w:t>minorías</w:t>
      </w:r>
      <w:r>
        <w:rPr>
          <w:spacing w:val="14"/>
        </w:rPr>
        <w:t xml:space="preserve"> </w:t>
      </w:r>
      <w:r>
        <w:t>religiosas</w:t>
      </w:r>
      <w:r>
        <w:rPr>
          <w:spacing w:val="14"/>
        </w:rPr>
        <w:t xml:space="preserve"> </w:t>
      </w:r>
      <w:r>
        <w:t>o</w:t>
      </w:r>
      <w:r>
        <w:rPr>
          <w:spacing w:val="14"/>
        </w:rPr>
        <w:t xml:space="preserve"> </w:t>
      </w:r>
      <w:r>
        <w:t>de</w:t>
      </w:r>
      <w:r>
        <w:rPr>
          <w:spacing w:val="14"/>
        </w:rPr>
        <w:t xml:space="preserve"> </w:t>
      </w:r>
      <w:r>
        <w:t>creencias</w:t>
      </w:r>
      <w:r>
        <w:rPr>
          <w:spacing w:val="14"/>
        </w:rPr>
        <w:t xml:space="preserve"> </w:t>
      </w:r>
      <w:r>
        <w:t>incluyen</w:t>
      </w:r>
      <w:r>
        <w:rPr>
          <w:spacing w:val="14"/>
        </w:rPr>
        <w:t xml:space="preserve"> </w:t>
      </w:r>
      <w:r>
        <w:t>“una</w:t>
      </w:r>
      <w:r>
        <w:rPr>
          <w:spacing w:val="14"/>
        </w:rPr>
        <w:t xml:space="preserve"> </w:t>
      </w:r>
      <w:r>
        <w:t>amplia</w:t>
      </w:r>
      <w:r>
        <w:rPr>
          <w:spacing w:val="14"/>
        </w:rPr>
        <w:t xml:space="preserve"> </w:t>
      </w:r>
      <w:r>
        <w:t>gama</w:t>
      </w:r>
      <w:r>
        <w:rPr>
          <w:spacing w:val="14"/>
        </w:rPr>
        <w:t xml:space="preserve"> </w:t>
      </w:r>
      <w:r>
        <w:t>de</w:t>
      </w:r>
      <w:r>
        <w:rPr>
          <w:spacing w:val="14"/>
        </w:rPr>
        <w:t xml:space="preserve"> </w:t>
      </w:r>
      <w:r>
        <w:t>creencias</w:t>
      </w:r>
      <w:r>
        <w:rPr>
          <w:spacing w:val="14"/>
        </w:rPr>
        <w:t xml:space="preserve"> </w:t>
      </w:r>
      <w:r>
        <w:t>religiosas,</w:t>
      </w:r>
      <w:r>
        <w:rPr>
          <w:spacing w:val="16"/>
        </w:rPr>
        <w:t xml:space="preserve"> </w:t>
      </w:r>
      <w:r>
        <w:t>no</w:t>
      </w:r>
      <w:r>
        <w:rPr>
          <w:spacing w:val="14"/>
        </w:rPr>
        <w:t xml:space="preserve"> </w:t>
      </w:r>
      <w:r>
        <w:t>religiosas,</w:t>
      </w:r>
      <w:r>
        <w:rPr>
          <w:spacing w:val="16"/>
        </w:rPr>
        <w:t xml:space="preserve"> </w:t>
      </w:r>
      <w:r>
        <w:t>no</w:t>
      </w:r>
      <w:r>
        <w:rPr>
          <w:spacing w:val="14"/>
        </w:rPr>
        <w:t xml:space="preserve"> </w:t>
      </w:r>
      <w:r>
        <w:t>teístas</w:t>
      </w:r>
      <w:r>
        <w:rPr>
          <w:spacing w:val="14"/>
        </w:rPr>
        <w:t xml:space="preserve"> </w:t>
      </w:r>
      <w:r>
        <w:t>y</w:t>
      </w:r>
      <w:r>
        <w:rPr>
          <w:spacing w:val="14"/>
        </w:rPr>
        <w:t xml:space="preserve"> </w:t>
      </w:r>
      <w:r>
        <w:t>de</w:t>
      </w:r>
      <w:r>
        <w:rPr>
          <w:spacing w:val="14"/>
        </w:rPr>
        <w:t xml:space="preserve"> </w:t>
      </w:r>
      <w:r>
        <w:t>otro tipo, como religiones o creencias no reconocidas y no tradicionales, incluidos animistas, ateos, agnósticos, humanistas, 'nuevas religiones',</w:t>
      </w:r>
      <w:r>
        <w:rPr>
          <w:spacing w:val="15"/>
        </w:rPr>
        <w:t xml:space="preserve"> </w:t>
      </w:r>
      <w:r>
        <w:t>etc.</w:t>
      </w:r>
      <w:r>
        <w:rPr>
          <w:spacing w:val="15"/>
        </w:rPr>
        <w:t xml:space="preserve"> </w:t>
      </w:r>
      <w:r>
        <w:t>”958</w:t>
      </w:r>
      <w:r>
        <w:rPr>
          <w:spacing w:val="13"/>
        </w:rPr>
        <w:t xml:space="preserve"> </w:t>
      </w:r>
      <w:r>
        <w:t>Las</w:t>
      </w:r>
      <w:r>
        <w:rPr>
          <w:spacing w:val="13"/>
        </w:rPr>
        <w:t xml:space="preserve"> </w:t>
      </w:r>
      <w:r>
        <w:t>minorías</w:t>
      </w:r>
      <w:r>
        <w:rPr>
          <w:spacing w:val="13"/>
        </w:rPr>
        <w:t xml:space="preserve"> </w:t>
      </w:r>
      <w:r>
        <w:t>religiosas</w:t>
      </w:r>
      <w:r>
        <w:rPr>
          <w:spacing w:val="13"/>
        </w:rPr>
        <w:t xml:space="preserve"> </w:t>
      </w:r>
      <w:r>
        <w:t>o</w:t>
      </w:r>
      <w:r>
        <w:rPr>
          <w:spacing w:val="13"/>
        </w:rPr>
        <w:t xml:space="preserve"> </w:t>
      </w:r>
      <w:r>
        <w:t>de</w:t>
      </w:r>
      <w:r>
        <w:rPr>
          <w:spacing w:val="13"/>
        </w:rPr>
        <w:t xml:space="preserve"> </w:t>
      </w:r>
      <w:r>
        <w:t>creencias</w:t>
      </w:r>
      <w:r>
        <w:rPr>
          <w:spacing w:val="13"/>
        </w:rPr>
        <w:t xml:space="preserve"> </w:t>
      </w:r>
      <w:r>
        <w:t>incluyen</w:t>
      </w:r>
      <w:r>
        <w:rPr>
          <w:spacing w:val="13"/>
        </w:rPr>
        <w:t xml:space="preserve"> </w:t>
      </w:r>
      <w:r>
        <w:t>a</w:t>
      </w:r>
      <w:r>
        <w:rPr>
          <w:spacing w:val="13"/>
        </w:rPr>
        <w:t xml:space="preserve"> </w:t>
      </w:r>
      <w:r>
        <w:t>los</w:t>
      </w:r>
      <w:r>
        <w:rPr>
          <w:spacing w:val="13"/>
        </w:rPr>
        <w:t xml:space="preserve"> </w:t>
      </w:r>
      <w:r>
        <w:t>no</w:t>
      </w:r>
      <w:r>
        <w:rPr>
          <w:spacing w:val="13"/>
        </w:rPr>
        <w:t xml:space="preserve"> </w:t>
      </w:r>
      <w:r>
        <w:t>creyentes,</w:t>
      </w:r>
      <w:r>
        <w:rPr>
          <w:spacing w:val="15"/>
        </w:rPr>
        <w:t xml:space="preserve"> </w:t>
      </w:r>
      <w:r>
        <w:t>de</w:t>
      </w:r>
      <w:r>
        <w:rPr>
          <w:spacing w:val="13"/>
        </w:rPr>
        <w:t xml:space="preserve"> </w:t>
      </w:r>
      <w:r>
        <w:t>conformidad</w:t>
      </w:r>
      <w:r>
        <w:rPr>
          <w:spacing w:val="13"/>
        </w:rPr>
        <w:t xml:space="preserve"> </w:t>
      </w:r>
      <w:r>
        <w:t>con</w:t>
      </w:r>
      <w:r>
        <w:rPr>
          <w:spacing w:val="13"/>
        </w:rPr>
        <w:t xml:space="preserve"> </w:t>
      </w:r>
      <w:r>
        <w:t>el</w:t>
      </w:r>
      <w:r>
        <w:rPr>
          <w:spacing w:val="13"/>
        </w:rPr>
        <w:t xml:space="preserve"> </w:t>
      </w:r>
      <w:r>
        <w:t>rechazo</w:t>
      </w:r>
      <w:r>
        <w:rPr>
          <w:spacing w:val="13"/>
        </w:rPr>
        <w:t xml:space="preserve"> </w:t>
      </w:r>
      <w:r>
        <w:t>del Pacto Internacional de Derechos Civiles y Políticos de toda forma de coerción en el contexto del pensamiento, la conciencia, la religión o las creencias.959 Los derechos de estos grupos están cubiertos por el mandato del Relator Especial sobre cuestiones</w:t>
      </w:r>
      <w:r>
        <w:rPr>
          <w:spacing w:val="40"/>
        </w:rPr>
        <w:t xml:space="preserve"> </w:t>
      </w:r>
      <w:r>
        <w:t>de las minorías,960 mientras que las cuestiones relativas a la libertad de religión o de creencias están incluidas dentro del</w:t>
      </w:r>
      <w:r>
        <w:rPr>
          <w:spacing w:val="40"/>
        </w:rPr>
        <w:t xml:space="preserve"> </w:t>
      </w:r>
      <w:r>
        <w:t>mandato del Relator Especial sobre la libertad de religión o de creencias.961</w:t>
      </w:r>
    </w:p>
    <w:p w14:paraId="3C69A914" w14:textId="77777777" w:rsidR="0014798C" w:rsidRDefault="004E1F0B">
      <w:pPr>
        <w:pStyle w:val="Textoindependiente"/>
        <w:spacing w:before="167" w:line="326" w:lineRule="auto"/>
        <w:ind w:left="1108" w:right="1463" w:hanging="2"/>
      </w:pPr>
      <w:r>
        <w:rPr>
          <w:noProof/>
        </w:rPr>
        <w:drawing>
          <wp:anchor distT="0" distB="0" distL="0" distR="0" simplePos="0" relativeHeight="251658461" behindDoc="1" locked="0" layoutInCell="1" allowOverlap="1" wp14:anchorId="7F94303D" wp14:editId="730B9B07">
            <wp:simplePos x="0" y="0"/>
            <wp:positionH relativeFrom="page">
              <wp:posOffset>826632</wp:posOffset>
            </wp:positionH>
            <wp:positionV relativeFrom="paragraph">
              <wp:posOffset>411039</wp:posOffset>
            </wp:positionV>
            <wp:extent cx="6729867" cy="4605686"/>
            <wp:effectExtent l="0" t="0" r="0" b="0"/>
            <wp:wrapNone/>
            <wp:docPr id="288" name="Image 28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88" name="Image 288"/>
                    <pic:cNvPicPr/>
                  </pic:nvPicPr>
                  <pic:blipFill>
                    <a:blip r:embed="rId271" cstate="print"/>
                    <a:stretch>
                      <a:fillRect/>
                    </a:stretch>
                  </pic:blipFill>
                  <pic:spPr>
                    <a:xfrm>
                      <a:off x="0" y="0"/>
                      <a:ext cx="6729867" cy="4605686"/>
                    </a:xfrm>
                    <a:prstGeom prst="rect">
                      <a:avLst/>
                    </a:prstGeom>
                  </pic:spPr>
                </pic:pic>
              </a:graphicData>
            </a:graphic>
          </wp:anchor>
        </w:drawing>
      </w:r>
      <w:r>
        <w:t>Al igual que con las minorías étnicas y lingüísticas, la mayoría de la discriminación que enfrentan las minorías religiosas no será diferente a la que se refiere a cualquier otro motivo.962 Por ejemplo,</w:t>
      </w:r>
      <w:r>
        <w:rPr>
          <w:spacing w:val="14"/>
        </w:rPr>
        <w:t xml:space="preserve"> </w:t>
      </w:r>
      <w:r>
        <w:t>en casos de discriminación directa en los que los</w:t>
      </w:r>
      <w:r>
        <w:rPr>
          <w:spacing w:val="80"/>
        </w:rPr>
        <w:t xml:space="preserve"> </w:t>
      </w:r>
      <w:r>
        <w:t xml:space="preserve">propietarios se niegan a alquilar propiedades a personas por motivos de su </w:t>
      </w:r>
      <w:proofErr w:type="gramStart"/>
      <w:r>
        <w:t>religión ,</w:t>
      </w:r>
      <w:proofErr w:type="gramEnd"/>
      <w:r>
        <w:t xml:space="preserve"> los trámites, consideraciones o cuestiones jurídicas en esos casos no serán diferentes de los de los casos de discriminación por motivos de orientación sexual.</w:t>
      </w:r>
    </w:p>
    <w:p w14:paraId="3C8844B3" w14:textId="77777777" w:rsidR="0014798C" w:rsidRDefault="004E1F0B">
      <w:pPr>
        <w:pStyle w:val="Textoindependiente"/>
        <w:spacing w:line="182" w:lineRule="exact"/>
        <w:ind w:left="1111"/>
      </w:pPr>
      <w:r>
        <w:t>o</w:t>
      </w:r>
      <w:r>
        <w:rPr>
          <w:spacing w:val="1"/>
        </w:rPr>
        <w:t xml:space="preserve"> </w:t>
      </w:r>
      <w:r>
        <w:rPr>
          <w:spacing w:val="-2"/>
        </w:rPr>
        <w:t>edad.</w:t>
      </w:r>
    </w:p>
    <w:p w14:paraId="52C05819" w14:textId="77777777" w:rsidR="0014798C" w:rsidRDefault="0014798C">
      <w:pPr>
        <w:pStyle w:val="Textoindependiente"/>
        <w:spacing w:before="51"/>
      </w:pPr>
    </w:p>
    <w:p w14:paraId="3800A574" w14:textId="77777777" w:rsidR="0014798C" w:rsidRDefault="004E1F0B">
      <w:pPr>
        <w:pStyle w:val="Textoindependiente"/>
        <w:spacing w:line="326" w:lineRule="auto"/>
        <w:ind w:left="1108" w:right="1306" w:hanging="2"/>
      </w:pPr>
      <w:r>
        <w:rPr>
          <w:noProof/>
        </w:rPr>
        <mc:AlternateContent>
          <mc:Choice Requires="wps">
            <w:drawing>
              <wp:anchor distT="0" distB="0" distL="0" distR="0" simplePos="0" relativeHeight="251658311" behindDoc="0" locked="0" layoutInCell="1" allowOverlap="1" wp14:anchorId="1F4759F3" wp14:editId="0F52833E">
                <wp:simplePos x="0" y="0"/>
                <wp:positionH relativeFrom="page">
                  <wp:posOffset>7293418</wp:posOffset>
                </wp:positionH>
                <wp:positionV relativeFrom="paragraph">
                  <wp:posOffset>15035</wp:posOffset>
                </wp:positionV>
                <wp:extent cx="104775" cy="260985"/>
                <wp:effectExtent l="0" t="0" r="0" b="0"/>
                <wp:wrapNone/>
                <wp:docPr id="289" name="Textbox 28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04775" cy="260985"/>
                        </a:xfrm>
                        <a:prstGeom prst="rect">
                          <a:avLst/>
                        </a:prstGeom>
                      </wps:spPr>
                      <wps:txbx>
                        <w:txbxContent>
                          <w:p w14:paraId="4FD86308" w14:textId="77777777" w:rsidR="0014798C" w:rsidRDefault="004E1F0B">
                            <w:pPr>
                              <w:spacing w:before="17"/>
                              <w:ind w:left="20"/>
                              <w:rPr>
                                <w:sz w:val="11"/>
                              </w:rPr>
                            </w:pPr>
                            <w:r>
                              <w:rPr>
                                <w:color w:val="FFFFFF"/>
                                <w:spacing w:val="-33"/>
                                <w:sz w:val="11"/>
                              </w:rPr>
                              <w:t>TPRAERSTE</w:t>
                            </w:r>
                          </w:p>
                        </w:txbxContent>
                      </wps:txbx>
                      <wps:bodyPr vert="vert270" wrap="square" lIns="0" tIns="0" rIns="0" bIns="0" rtlCol="0">
                        <a:noAutofit/>
                      </wps:bodyPr>
                    </wps:wsp>
                  </a:graphicData>
                </a:graphic>
              </wp:anchor>
            </w:drawing>
          </mc:Choice>
          <mc:Fallback>
            <w:pict>
              <v:shape w14:anchorId="1F4759F3" id="Textbox 289" o:spid="_x0000_s1142" type="#_x0000_t202" style="position:absolute;left:0;text-align:left;margin-left:574.3pt;margin-top:1.2pt;width:8.25pt;height:20.55pt;z-index:251658311;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" filled="f" stroked="f">
                <v:textbox style="layout-flow:vertical;mso-layout-flow-alt:bottom-to-top" inset="0,0,0,0">
                  <w:txbxContent>
                    <w:p w14:paraId="4FD86308" w14:textId="77777777" w:rsidR="0014798C" w:rsidRDefault="004E1F0B">
                      <w:pPr>
                        <w:spacing w:before="17"/>
                        <w:ind w:left="20"/>
                        <w:rPr>
                          <w:sz w:val="11"/>
                        </w:rPr>
                      </w:pPr>
                      <w:r>
                        <w:rPr>
                          <w:color w:val="FFFFFF"/>
                          <w:spacing w:val="-33"/>
                          <w:sz w:val="11"/>
                        </w:rPr>
                        <w:t>TPRAERSTE</w:t>
                      </w:r>
                    </w:p>
                  </w:txbxContent>
                </v:textbox>
                <w10:wrap anchorx="page"/>
              </v:shape>
            </w:pict>
          </mc:Fallback>
        </mc:AlternateContent>
      </w:r>
      <w:r>
        <w:t>Dicho</w:t>
      </w:r>
      <w:r>
        <w:rPr>
          <w:spacing w:val="16"/>
        </w:rPr>
        <w:t xml:space="preserve"> </w:t>
      </w:r>
      <w:r>
        <w:t>esto,</w:t>
      </w:r>
      <w:r>
        <w:rPr>
          <w:spacing w:val="18"/>
        </w:rPr>
        <w:t xml:space="preserve"> </w:t>
      </w:r>
      <w:r>
        <w:t>las</w:t>
      </w:r>
      <w:r>
        <w:rPr>
          <w:spacing w:val="16"/>
        </w:rPr>
        <w:t xml:space="preserve"> </w:t>
      </w:r>
      <w:r>
        <w:t>cuestiones</w:t>
      </w:r>
      <w:r>
        <w:rPr>
          <w:spacing w:val="16"/>
        </w:rPr>
        <w:t xml:space="preserve"> </w:t>
      </w:r>
      <w:r>
        <w:t>de</w:t>
      </w:r>
      <w:r>
        <w:rPr>
          <w:spacing w:val="16"/>
        </w:rPr>
        <w:t xml:space="preserve"> </w:t>
      </w:r>
      <w:r>
        <w:t>discriminación</w:t>
      </w:r>
      <w:r>
        <w:rPr>
          <w:spacing w:val="16"/>
        </w:rPr>
        <w:t xml:space="preserve"> </w:t>
      </w:r>
      <w:r>
        <w:t>contra</w:t>
      </w:r>
      <w:r>
        <w:rPr>
          <w:spacing w:val="16"/>
        </w:rPr>
        <w:t xml:space="preserve"> </w:t>
      </w:r>
      <w:r>
        <w:t>las</w:t>
      </w:r>
      <w:r>
        <w:rPr>
          <w:spacing w:val="16"/>
        </w:rPr>
        <w:t xml:space="preserve"> </w:t>
      </w:r>
      <w:r>
        <w:t>minorías</w:t>
      </w:r>
      <w:r>
        <w:rPr>
          <w:spacing w:val="16"/>
        </w:rPr>
        <w:t xml:space="preserve"> </w:t>
      </w:r>
      <w:r>
        <w:t>religiosas</w:t>
      </w:r>
      <w:r>
        <w:rPr>
          <w:spacing w:val="16"/>
        </w:rPr>
        <w:t xml:space="preserve"> </w:t>
      </w:r>
      <w:r>
        <w:t>(y</w:t>
      </w:r>
      <w:r>
        <w:rPr>
          <w:spacing w:val="16"/>
        </w:rPr>
        <w:t xml:space="preserve"> </w:t>
      </w:r>
      <w:r>
        <w:t>por</w:t>
      </w:r>
      <w:r>
        <w:rPr>
          <w:spacing w:val="16"/>
        </w:rPr>
        <w:t xml:space="preserve"> </w:t>
      </w:r>
      <w:r>
        <w:t>parte</w:t>
      </w:r>
      <w:r>
        <w:rPr>
          <w:spacing w:val="16"/>
        </w:rPr>
        <w:t xml:space="preserve"> </w:t>
      </w:r>
      <w:r>
        <w:t>de</w:t>
      </w:r>
      <w:r>
        <w:rPr>
          <w:spacing w:val="16"/>
        </w:rPr>
        <w:t xml:space="preserve"> </w:t>
      </w:r>
      <w:r>
        <w:t>las</w:t>
      </w:r>
      <w:r>
        <w:rPr>
          <w:spacing w:val="16"/>
        </w:rPr>
        <w:t xml:space="preserve"> </w:t>
      </w:r>
      <w:r>
        <w:t>minorías</w:t>
      </w:r>
      <w:r>
        <w:rPr>
          <w:spacing w:val="16"/>
        </w:rPr>
        <w:t xml:space="preserve"> </w:t>
      </w:r>
      <w:r>
        <w:t>religiosas)</w:t>
      </w:r>
      <w:r>
        <w:rPr>
          <w:spacing w:val="16"/>
        </w:rPr>
        <w:t xml:space="preserve"> </w:t>
      </w:r>
      <w:r>
        <w:t>pueden implicar</w:t>
      </w:r>
      <w:r>
        <w:rPr>
          <w:spacing w:val="17"/>
        </w:rPr>
        <w:t xml:space="preserve"> </w:t>
      </w:r>
      <w:r>
        <w:t>cuestiones</w:t>
      </w:r>
      <w:r>
        <w:rPr>
          <w:spacing w:val="17"/>
        </w:rPr>
        <w:t xml:space="preserve"> </w:t>
      </w:r>
      <w:r>
        <w:t>relacionadas</w:t>
      </w:r>
      <w:r>
        <w:rPr>
          <w:spacing w:val="17"/>
        </w:rPr>
        <w:t xml:space="preserve"> </w:t>
      </w:r>
      <w:r>
        <w:t>con</w:t>
      </w:r>
      <w:r>
        <w:rPr>
          <w:spacing w:val="17"/>
        </w:rPr>
        <w:t xml:space="preserve"> </w:t>
      </w:r>
      <w:r>
        <w:t>cómo</w:t>
      </w:r>
      <w:r>
        <w:rPr>
          <w:spacing w:val="17"/>
        </w:rPr>
        <w:t xml:space="preserve"> </w:t>
      </w:r>
      <w:r>
        <w:t>equilibrar</w:t>
      </w:r>
      <w:r>
        <w:rPr>
          <w:spacing w:val="17"/>
        </w:rPr>
        <w:t xml:space="preserve"> </w:t>
      </w:r>
      <w:r>
        <w:t>el</w:t>
      </w:r>
      <w:r>
        <w:rPr>
          <w:spacing w:val="17"/>
        </w:rPr>
        <w:t xml:space="preserve"> </w:t>
      </w:r>
      <w:r>
        <w:t>ejercicio</w:t>
      </w:r>
      <w:r>
        <w:rPr>
          <w:spacing w:val="17"/>
        </w:rPr>
        <w:t xml:space="preserve"> </w:t>
      </w:r>
      <w:r>
        <w:t>efectivo</w:t>
      </w:r>
      <w:r>
        <w:rPr>
          <w:spacing w:val="17"/>
        </w:rPr>
        <w:t xml:space="preserve"> </w:t>
      </w:r>
      <w:r>
        <w:t>de</w:t>
      </w:r>
      <w:r>
        <w:rPr>
          <w:spacing w:val="17"/>
        </w:rPr>
        <w:t xml:space="preserve"> </w:t>
      </w:r>
      <w:r>
        <w:t>los</w:t>
      </w:r>
      <w:r>
        <w:rPr>
          <w:spacing w:val="17"/>
        </w:rPr>
        <w:t xml:space="preserve"> </w:t>
      </w:r>
      <w:r>
        <w:t>derechos</w:t>
      </w:r>
      <w:r>
        <w:rPr>
          <w:spacing w:val="17"/>
        </w:rPr>
        <w:t xml:space="preserve"> </w:t>
      </w:r>
      <w:r>
        <w:t>establecidos</w:t>
      </w:r>
      <w:r>
        <w:rPr>
          <w:spacing w:val="17"/>
        </w:rPr>
        <w:t xml:space="preserve"> </w:t>
      </w:r>
      <w:r>
        <w:t>en</w:t>
      </w:r>
      <w:r>
        <w:rPr>
          <w:spacing w:val="17"/>
        </w:rPr>
        <w:t xml:space="preserve"> </w:t>
      </w:r>
      <w:r>
        <w:t>el</w:t>
      </w:r>
      <w:r>
        <w:rPr>
          <w:spacing w:val="17"/>
        </w:rPr>
        <w:t xml:space="preserve"> </w:t>
      </w:r>
      <w:r>
        <w:t>artículo</w:t>
      </w:r>
      <w:r>
        <w:rPr>
          <w:spacing w:val="17"/>
        </w:rPr>
        <w:t xml:space="preserve"> </w:t>
      </w:r>
      <w:r>
        <w:t>18</w:t>
      </w:r>
      <w:r>
        <w:rPr>
          <w:spacing w:val="17"/>
        </w:rPr>
        <w:t xml:space="preserve"> </w:t>
      </w:r>
      <w:r>
        <w:t>del Pacto</w:t>
      </w:r>
      <w:r>
        <w:rPr>
          <w:spacing w:val="8"/>
        </w:rPr>
        <w:t xml:space="preserve"> </w:t>
      </w:r>
      <w:r>
        <w:t>Internacional</w:t>
      </w:r>
      <w:r>
        <w:rPr>
          <w:spacing w:val="8"/>
        </w:rPr>
        <w:t xml:space="preserve"> </w:t>
      </w:r>
      <w:r>
        <w:t>de</w:t>
      </w:r>
      <w:r>
        <w:rPr>
          <w:spacing w:val="8"/>
        </w:rPr>
        <w:t xml:space="preserve"> </w:t>
      </w:r>
      <w:r>
        <w:t>Derechos</w:t>
      </w:r>
      <w:r>
        <w:rPr>
          <w:spacing w:val="8"/>
        </w:rPr>
        <w:t xml:space="preserve"> </w:t>
      </w:r>
      <w:r>
        <w:t>Civiles</w:t>
      </w:r>
      <w:r>
        <w:rPr>
          <w:spacing w:val="8"/>
        </w:rPr>
        <w:t xml:space="preserve"> </w:t>
      </w:r>
      <w:r>
        <w:t>y</w:t>
      </w:r>
      <w:r>
        <w:rPr>
          <w:spacing w:val="8"/>
        </w:rPr>
        <w:t xml:space="preserve"> </w:t>
      </w:r>
      <w:r>
        <w:t>Políticos:</w:t>
      </w:r>
      <w:r>
        <w:rPr>
          <w:spacing w:val="10"/>
        </w:rPr>
        <w:t xml:space="preserve"> </w:t>
      </w:r>
      <w:r>
        <w:t>el</w:t>
      </w:r>
      <w:r>
        <w:rPr>
          <w:spacing w:val="8"/>
        </w:rPr>
        <w:t xml:space="preserve"> </w:t>
      </w:r>
      <w:r>
        <w:t>derecho</w:t>
      </w:r>
      <w:r>
        <w:rPr>
          <w:spacing w:val="8"/>
        </w:rPr>
        <w:t xml:space="preserve"> </w:t>
      </w:r>
      <w:r>
        <w:t>a</w:t>
      </w:r>
      <w:r>
        <w:rPr>
          <w:spacing w:val="8"/>
        </w:rPr>
        <w:t xml:space="preserve"> </w:t>
      </w:r>
      <w:r>
        <w:t>la</w:t>
      </w:r>
      <w:r>
        <w:rPr>
          <w:spacing w:val="8"/>
        </w:rPr>
        <w:t xml:space="preserve"> </w:t>
      </w:r>
      <w:r>
        <w:t>libertad</w:t>
      </w:r>
      <w:r>
        <w:rPr>
          <w:spacing w:val="8"/>
        </w:rPr>
        <w:t xml:space="preserve"> </w:t>
      </w:r>
      <w:r>
        <w:t>de</w:t>
      </w:r>
      <w:r>
        <w:rPr>
          <w:spacing w:val="8"/>
        </w:rPr>
        <w:t xml:space="preserve"> </w:t>
      </w:r>
      <w:r>
        <w:t>pensamiento,</w:t>
      </w:r>
      <w:r>
        <w:rPr>
          <w:spacing w:val="10"/>
        </w:rPr>
        <w:t xml:space="preserve"> </w:t>
      </w:r>
      <w:r>
        <w:t>conciencia</w:t>
      </w:r>
      <w:r>
        <w:rPr>
          <w:spacing w:val="8"/>
        </w:rPr>
        <w:t xml:space="preserve"> </w:t>
      </w:r>
      <w:r>
        <w:t>y</w:t>
      </w:r>
      <w:r>
        <w:rPr>
          <w:spacing w:val="8"/>
        </w:rPr>
        <w:t xml:space="preserve"> </w:t>
      </w:r>
      <w:r>
        <w:t>religión</w:t>
      </w:r>
      <w:r>
        <w:rPr>
          <w:spacing w:val="8"/>
        </w:rPr>
        <w:t xml:space="preserve"> </w:t>
      </w:r>
      <w:r>
        <w:t>–</w:t>
      </w:r>
      <w:r>
        <w:rPr>
          <w:spacing w:val="8"/>
        </w:rPr>
        <w:t xml:space="preserve"> </w:t>
      </w:r>
      <w:r>
        <w:t>con</w:t>
      </w:r>
      <w:r>
        <w:rPr>
          <w:spacing w:val="8"/>
        </w:rPr>
        <w:t xml:space="preserve"> </w:t>
      </w:r>
      <w:r>
        <w:t>derecho a la no discriminación. Con frecuencia se entiende que los derechos garantizados en el artículo 18 se disfrutan “en comunidad</w:t>
      </w:r>
      <w:r>
        <w:rPr>
          <w:spacing w:val="40"/>
        </w:rPr>
        <w:t xml:space="preserve"> </w:t>
      </w:r>
      <w:r>
        <w:t>con” otros.</w:t>
      </w:r>
    </w:p>
    <w:p w14:paraId="0BD81BF9" w14:textId="77777777" w:rsidR="0014798C" w:rsidRDefault="004E1F0B">
      <w:pPr>
        <w:pStyle w:val="Textoindependiente"/>
        <w:spacing w:before="168" w:line="326" w:lineRule="auto"/>
        <w:ind w:left="1107" w:right="1479" w:firstLine="1"/>
      </w:pPr>
      <w:r>
        <w:t>En la práctica, la adjudicación ha aclarado una serie de aspectos de estas áreas del derecho, mientras que otros siguen sin</w:t>
      </w:r>
      <w:r>
        <w:rPr>
          <w:spacing w:val="80"/>
        </w:rPr>
        <w:t xml:space="preserve"> </w:t>
      </w:r>
      <w:r>
        <w:t>estar claros o difieren de una jurisdicción a otra. La presente subsección contiene un examen de algunos aspectos de estas cuestiones. Sin embargo, no contiene un resumen exhaustivo del derecho internacional relativo al derecho a la libertad de religión o de creencias.963 El único objetivo es abarcar cuestiones relativas al equilibrio entre la libertad de religión o de creencias, por un lado, y la igualdad y la no discriminación. discriminación, por el otro, con especial atención a las minorías religiosas. Se presta atención, en primer lugar, a la igualdad y la no discriminación en el ejercicio de la libertad de religión o de creencias; en segundo lugar, la discriminación por motivos de religión o creencias en otros ámbitos de la vida; y, tercero, la discriminación basada en otras características en situaciones en las que la religión es un pretexto.</w:t>
      </w:r>
    </w:p>
    <w:p w14:paraId="7CB5E836" w14:textId="77777777" w:rsidR="0014798C" w:rsidRDefault="0014798C">
      <w:pPr>
        <w:pStyle w:val="Textoindependiente"/>
        <w:spacing w:before="74"/>
        <w:rPr>
          <w:sz w:val="28"/>
        </w:rPr>
      </w:pPr>
    </w:p>
    <w:p w14:paraId="699A47C4" w14:textId="77777777" w:rsidR="0014798C" w:rsidRDefault="004E1F0B">
      <w:pPr>
        <w:numPr>
          <w:ilvl w:val="1"/>
          <w:numId w:val="25"/>
        </w:numPr>
        <w:tabs>
          <w:tab w:val="left" w:pos="1438"/>
          <w:tab w:val="left" w:pos="1515"/>
        </w:tabs>
        <w:spacing w:line="297" w:lineRule="auto"/>
        <w:ind w:right="1927" w:hanging="416"/>
        <w:rPr>
          <w:color w:val="803108"/>
          <w:sz w:val="28"/>
        </w:rPr>
      </w:pPr>
      <w:r>
        <w:rPr>
          <w:color w:val="803108"/>
          <w:sz w:val="28"/>
        </w:rPr>
        <w:t>Igualdad</w:t>
      </w:r>
      <w:r>
        <w:rPr>
          <w:color w:val="803108"/>
          <w:spacing w:val="-8"/>
          <w:sz w:val="28"/>
        </w:rPr>
        <w:t xml:space="preserve"> </w:t>
      </w:r>
      <w:r>
        <w:rPr>
          <w:color w:val="803108"/>
          <w:sz w:val="28"/>
        </w:rPr>
        <w:t>y</w:t>
      </w:r>
      <w:r>
        <w:rPr>
          <w:color w:val="803108"/>
          <w:spacing w:val="-8"/>
          <w:sz w:val="28"/>
        </w:rPr>
        <w:t xml:space="preserve"> </w:t>
      </w:r>
      <w:r>
        <w:rPr>
          <w:color w:val="803108"/>
          <w:sz w:val="28"/>
        </w:rPr>
        <w:t>no</w:t>
      </w:r>
      <w:r>
        <w:rPr>
          <w:color w:val="803108"/>
          <w:spacing w:val="-8"/>
          <w:sz w:val="28"/>
        </w:rPr>
        <w:t xml:space="preserve"> </w:t>
      </w:r>
      <w:r>
        <w:rPr>
          <w:color w:val="803108"/>
          <w:sz w:val="28"/>
        </w:rPr>
        <w:t>discriminación</w:t>
      </w:r>
      <w:r>
        <w:rPr>
          <w:color w:val="803108"/>
          <w:spacing w:val="-8"/>
          <w:sz w:val="28"/>
        </w:rPr>
        <w:t xml:space="preserve"> </w:t>
      </w:r>
      <w:r>
        <w:rPr>
          <w:color w:val="803108"/>
          <w:sz w:val="28"/>
        </w:rPr>
        <w:t>en</w:t>
      </w:r>
      <w:r>
        <w:rPr>
          <w:color w:val="803108"/>
          <w:spacing w:val="-8"/>
          <w:sz w:val="28"/>
        </w:rPr>
        <w:t xml:space="preserve"> </w:t>
      </w:r>
      <w:r>
        <w:rPr>
          <w:color w:val="803108"/>
          <w:sz w:val="28"/>
        </w:rPr>
        <w:t>el</w:t>
      </w:r>
      <w:r>
        <w:rPr>
          <w:color w:val="803108"/>
          <w:spacing w:val="-8"/>
          <w:sz w:val="28"/>
        </w:rPr>
        <w:t xml:space="preserve"> </w:t>
      </w:r>
      <w:r>
        <w:rPr>
          <w:color w:val="803108"/>
          <w:sz w:val="28"/>
        </w:rPr>
        <w:t>ejercicio</w:t>
      </w:r>
      <w:r>
        <w:rPr>
          <w:color w:val="803108"/>
          <w:spacing w:val="-8"/>
          <w:sz w:val="28"/>
        </w:rPr>
        <w:t xml:space="preserve"> </w:t>
      </w:r>
      <w:r>
        <w:rPr>
          <w:color w:val="803108"/>
          <w:sz w:val="28"/>
        </w:rPr>
        <w:t>de</w:t>
      </w:r>
      <w:r>
        <w:rPr>
          <w:color w:val="803108"/>
          <w:spacing w:val="-8"/>
          <w:sz w:val="28"/>
        </w:rPr>
        <w:t xml:space="preserve"> </w:t>
      </w:r>
      <w:r>
        <w:rPr>
          <w:color w:val="803108"/>
          <w:sz w:val="28"/>
        </w:rPr>
        <w:t>la</w:t>
      </w:r>
      <w:r>
        <w:rPr>
          <w:color w:val="803108"/>
          <w:spacing w:val="-8"/>
          <w:sz w:val="28"/>
        </w:rPr>
        <w:t xml:space="preserve"> </w:t>
      </w:r>
      <w:r>
        <w:rPr>
          <w:color w:val="803108"/>
          <w:sz w:val="28"/>
        </w:rPr>
        <w:t>libertad</w:t>
      </w:r>
      <w:r>
        <w:rPr>
          <w:color w:val="803108"/>
          <w:spacing w:val="-8"/>
          <w:sz w:val="28"/>
        </w:rPr>
        <w:t xml:space="preserve"> </w:t>
      </w:r>
      <w:r>
        <w:rPr>
          <w:color w:val="803108"/>
          <w:sz w:val="28"/>
        </w:rPr>
        <w:t>de</w:t>
      </w:r>
      <w:r>
        <w:rPr>
          <w:color w:val="803108"/>
          <w:spacing w:val="-8"/>
          <w:sz w:val="28"/>
        </w:rPr>
        <w:t xml:space="preserve"> </w:t>
      </w:r>
      <w:r>
        <w:rPr>
          <w:color w:val="803108"/>
          <w:sz w:val="28"/>
        </w:rPr>
        <w:t>religión o de creencias</w:t>
      </w:r>
    </w:p>
    <w:p w14:paraId="5EC0169F" w14:textId="77777777" w:rsidR="0014798C" w:rsidRDefault="004E1F0B">
      <w:pPr>
        <w:pStyle w:val="Textoindependiente"/>
        <w:spacing w:before="54" w:line="326" w:lineRule="auto"/>
        <w:ind w:left="1108" w:right="1463" w:firstLine="6"/>
      </w:pPr>
      <w:r>
        <w:t>Citando la práctica del Comité de Derechos Humanos, el Relator Especial sobre la libertad de religión y de creencias ha señalado que el deber vinculante de un Estado en lo que respecta al derecho a la libertad de religión o de creencias implica:</w:t>
      </w:r>
    </w:p>
    <w:p w14:paraId="0A30CB99" w14:textId="77777777" w:rsidR="0014798C" w:rsidRDefault="004E1F0B">
      <w:pPr>
        <w:pStyle w:val="Textoindependiente"/>
        <w:spacing w:before="112" w:line="326" w:lineRule="auto"/>
        <w:ind w:left="1674" w:right="1553" w:hanging="5"/>
      </w:pPr>
      <w:r>
        <w:rPr>
          <w:color w:val="803108"/>
        </w:rPr>
        <w:t>tanto</w:t>
      </w:r>
      <w:r>
        <w:rPr>
          <w:color w:val="803108"/>
          <w:spacing w:val="21"/>
        </w:rPr>
        <w:t xml:space="preserve"> </w:t>
      </w:r>
      <w:r>
        <w:rPr>
          <w:color w:val="803108"/>
        </w:rPr>
        <w:t>obligaciones</w:t>
      </w:r>
      <w:r>
        <w:rPr>
          <w:color w:val="803108"/>
          <w:spacing w:val="21"/>
        </w:rPr>
        <w:t xml:space="preserve"> </w:t>
      </w:r>
      <w:r>
        <w:rPr>
          <w:color w:val="803108"/>
        </w:rPr>
        <w:t>negativas,</w:t>
      </w:r>
      <w:r>
        <w:rPr>
          <w:color w:val="803108"/>
          <w:spacing w:val="23"/>
        </w:rPr>
        <w:t xml:space="preserve"> </w:t>
      </w:r>
      <w:r>
        <w:rPr>
          <w:color w:val="803108"/>
        </w:rPr>
        <w:t>como</w:t>
      </w:r>
      <w:r>
        <w:rPr>
          <w:color w:val="803108"/>
          <w:spacing w:val="21"/>
        </w:rPr>
        <w:t xml:space="preserve"> </w:t>
      </w:r>
      <w:r>
        <w:rPr>
          <w:color w:val="803108"/>
        </w:rPr>
        <w:t>abstenerse</w:t>
      </w:r>
      <w:r>
        <w:rPr>
          <w:color w:val="803108"/>
          <w:spacing w:val="21"/>
        </w:rPr>
        <w:t xml:space="preserve"> </w:t>
      </w:r>
      <w:r>
        <w:rPr>
          <w:color w:val="803108"/>
        </w:rPr>
        <w:t>de</w:t>
      </w:r>
      <w:r>
        <w:rPr>
          <w:color w:val="803108"/>
          <w:spacing w:val="21"/>
        </w:rPr>
        <w:t xml:space="preserve"> </w:t>
      </w:r>
      <w:r>
        <w:rPr>
          <w:color w:val="803108"/>
        </w:rPr>
        <w:t>perpetuar</w:t>
      </w:r>
      <w:r>
        <w:rPr>
          <w:color w:val="803108"/>
          <w:spacing w:val="21"/>
        </w:rPr>
        <w:t xml:space="preserve"> </w:t>
      </w:r>
      <w:r>
        <w:rPr>
          <w:color w:val="803108"/>
        </w:rPr>
        <w:t>actos</w:t>
      </w:r>
      <w:r>
        <w:rPr>
          <w:color w:val="803108"/>
          <w:spacing w:val="21"/>
        </w:rPr>
        <w:t xml:space="preserve"> </w:t>
      </w:r>
      <w:r>
        <w:rPr>
          <w:color w:val="803108"/>
        </w:rPr>
        <w:t>discriminatorios,</w:t>
      </w:r>
      <w:r>
        <w:rPr>
          <w:color w:val="803108"/>
          <w:spacing w:val="24"/>
        </w:rPr>
        <w:t xml:space="preserve"> </w:t>
      </w:r>
      <w:r>
        <w:rPr>
          <w:color w:val="803108"/>
        </w:rPr>
        <w:t>como</w:t>
      </w:r>
      <w:r>
        <w:rPr>
          <w:color w:val="803108"/>
          <w:spacing w:val="21"/>
        </w:rPr>
        <w:t xml:space="preserve"> </w:t>
      </w:r>
      <w:r>
        <w:rPr>
          <w:color w:val="803108"/>
        </w:rPr>
        <w:t>deberes</w:t>
      </w:r>
      <w:r>
        <w:rPr>
          <w:color w:val="803108"/>
          <w:spacing w:val="21"/>
        </w:rPr>
        <w:t xml:space="preserve"> </w:t>
      </w:r>
      <w:r>
        <w:rPr>
          <w:color w:val="803108"/>
        </w:rPr>
        <w:t>positivos,</w:t>
      </w:r>
      <w:r>
        <w:rPr>
          <w:color w:val="803108"/>
          <w:spacing w:val="23"/>
        </w:rPr>
        <w:t xml:space="preserve"> </w:t>
      </w:r>
      <w:r>
        <w:rPr>
          <w:color w:val="803108"/>
        </w:rPr>
        <w:t>como la obligación de proteger contra infracciones de terceros, incluida la incitación al odio religioso. Los Estados también están obligados a garantizar que las personas pertenecientes a minorías puedan practicar</w:t>
      </w:r>
    </w:p>
    <w:p w14:paraId="0CFF6D66" w14:textId="77777777" w:rsidR="0014798C" w:rsidRDefault="0014798C">
      <w:pPr>
        <w:pStyle w:val="Textoindependiente"/>
        <w:spacing w:before="83"/>
        <w:rPr>
          <w:sz w:val="20"/>
        </w:rPr>
      </w:pPr>
    </w:p>
    <w:p w14:paraId="3E149A1A" w14:textId="77777777" w:rsidR="0014798C" w:rsidRDefault="0014798C">
      <w:pPr>
        <w:rPr>
          <w:sz w:val="20"/>
        </w:rPr>
        <w:sectPr w:rsidR="0014798C" w:rsidSect="00F265E4">
          <w:pgSz w:w="11900" w:h="16820"/>
          <w:pgMar w:top="340" w:right="0" w:bottom="280" w:left="200" w:header="121" w:footer="0" w:gutter="0"/>
          <w:cols w:space="720"/>
        </w:sectPr>
      </w:pPr>
    </w:p>
    <w:p w14:paraId="3768AC31" w14:textId="77777777" w:rsidR="0014798C" w:rsidRDefault="0014798C">
      <w:pPr>
        <w:pStyle w:val="Textoindependiente"/>
        <w:spacing w:before="10"/>
        <w:rPr>
          <w:sz w:val="8"/>
        </w:rPr>
      </w:pPr>
    </w:p>
    <w:p w14:paraId="45A297FC" w14:textId="77777777" w:rsidR="0014798C" w:rsidRDefault="004E1F0B">
      <w:pPr>
        <w:jc w:val="right"/>
        <w:rPr>
          <w:sz w:val="8"/>
        </w:rPr>
      </w:pPr>
      <w:r>
        <w:rPr>
          <w:spacing w:val="-5"/>
          <w:w w:val="105"/>
          <w:sz w:val="8"/>
        </w:rPr>
        <w:t>958</w:t>
      </w:r>
    </w:p>
    <w:p w14:paraId="09AD83A1" w14:textId="77777777" w:rsidR="0014798C" w:rsidRDefault="004E1F0B">
      <w:pPr>
        <w:spacing w:before="118"/>
        <w:ind w:left="77"/>
        <w:rPr>
          <w:sz w:val="12"/>
        </w:rPr>
      </w:pPr>
      <w:r>
        <w:br w:type="column"/>
      </w:r>
      <w:r>
        <w:rPr>
          <w:w w:val="105"/>
          <w:sz w:val="12"/>
        </w:rPr>
        <w:t>A/75/211,</w:t>
      </w:r>
      <w:r>
        <w:rPr>
          <w:spacing w:val="-7"/>
          <w:w w:val="105"/>
          <w:sz w:val="12"/>
        </w:rPr>
        <w:t xml:space="preserve"> </w:t>
      </w:r>
      <w:r>
        <w:rPr>
          <w:w w:val="105"/>
          <w:sz w:val="12"/>
        </w:rPr>
        <w:t>párr.</w:t>
      </w:r>
      <w:r>
        <w:rPr>
          <w:spacing w:val="-6"/>
          <w:w w:val="105"/>
          <w:sz w:val="12"/>
        </w:rPr>
        <w:t xml:space="preserve"> </w:t>
      </w:r>
      <w:r>
        <w:rPr>
          <w:w w:val="105"/>
          <w:sz w:val="12"/>
        </w:rPr>
        <w:t>76</w:t>
      </w:r>
      <w:r>
        <w:rPr>
          <w:spacing w:val="-6"/>
          <w:w w:val="105"/>
          <w:sz w:val="12"/>
        </w:rPr>
        <w:t xml:space="preserve"> </w:t>
      </w:r>
      <w:r>
        <w:rPr>
          <w:w w:val="105"/>
          <w:sz w:val="12"/>
        </w:rPr>
        <w:t>b).</w:t>
      </w:r>
      <w:r>
        <w:rPr>
          <w:spacing w:val="-6"/>
          <w:w w:val="105"/>
          <w:sz w:val="12"/>
        </w:rPr>
        <w:t xml:space="preserve"> </w:t>
      </w:r>
      <w:r>
        <w:rPr>
          <w:w w:val="105"/>
          <w:sz w:val="12"/>
        </w:rPr>
        <w:t>Véanse</w:t>
      </w:r>
      <w:r>
        <w:rPr>
          <w:spacing w:val="-7"/>
          <w:w w:val="105"/>
          <w:sz w:val="12"/>
        </w:rPr>
        <w:t xml:space="preserve"> </w:t>
      </w:r>
      <w:r>
        <w:rPr>
          <w:w w:val="105"/>
          <w:sz w:val="12"/>
        </w:rPr>
        <w:t>los</w:t>
      </w:r>
      <w:r>
        <w:rPr>
          <w:spacing w:val="-6"/>
          <w:w w:val="105"/>
          <w:sz w:val="12"/>
        </w:rPr>
        <w:t xml:space="preserve"> </w:t>
      </w:r>
      <w:proofErr w:type="spellStart"/>
      <w:r>
        <w:rPr>
          <w:w w:val="105"/>
          <w:sz w:val="12"/>
        </w:rPr>
        <w:t>párrs</w:t>
      </w:r>
      <w:proofErr w:type="spellEnd"/>
      <w:r>
        <w:rPr>
          <w:w w:val="105"/>
          <w:sz w:val="12"/>
        </w:rPr>
        <w:t>.</w:t>
      </w:r>
      <w:r>
        <w:rPr>
          <w:spacing w:val="-6"/>
          <w:w w:val="105"/>
          <w:sz w:val="12"/>
        </w:rPr>
        <w:t xml:space="preserve"> </w:t>
      </w:r>
      <w:r>
        <w:rPr>
          <w:w w:val="105"/>
          <w:sz w:val="12"/>
        </w:rPr>
        <w:t>51–59</w:t>
      </w:r>
      <w:r>
        <w:rPr>
          <w:spacing w:val="-6"/>
          <w:w w:val="105"/>
          <w:sz w:val="12"/>
        </w:rPr>
        <w:t xml:space="preserve"> </w:t>
      </w:r>
      <w:r>
        <w:rPr>
          <w:w w:val="105"/>
          <w:sz w:val="12"/>
        </w:rPr>
        <w:t>y</w:t>
      </w:r>
      <w:r>
        <w:rPr>
          <w:spacing w:val="-6"/>
          <w:w w:val="105"/>
          <w:sz w:val="12"/>
        </w:rPr>
        <w:t xml:space="preserve"> </w:t>
      </w:r>
      <w:r>
        <w:rPr>
          <w:w w:val="105"/>
          <w:sz w:val="12"/>
        </w:rPr>
        <w:t>76</w:t>
      </w:r>
      <w:r>
        <w:rPr>
          <w:spacing w:val="-7"/>
          <w:w w:val="105"/>
          <w:sz w:val="12"/>
        </w:rPr>
        <w:t xml:space="preserve"> </w:t>
      </w:r>
      <w:r>
        <w:rPr>
          <w:w w:val="105"/>
          <w:sz w:val="12"/>
        </w:rPr>
        <w:t>del</w:t>
      </w:r>
      <w:r>
        <w:rPr>
          <w:spacing w:val="-6"/>
          <w:w w:val="105"/>
          <w:sz w:val="12"/>
        </w:rPr>
        <w:t xml:space="preserve"> </w:t>
      </w:r>
      <w:r>
        <w:rPr>
          <w:w w:val="105"/>
          <w:sz w:val="12"/>
        </w:rPr>
        <w:t>mismo</w:t>
      </w:r>
      <w:r>
        <w:rPr>
          <w:spacing w:val="-6"/>
          <w:w w:val="105"/>
          <w:sz w:val="12"/>
        </w:rPr>
        <w:t xml:space="preserve"> </w:t>
      </w:r>
      <w:r>
        <w:rPr>
          <w:w w:val="105"/>
          <w:sz w:val="12"/>
        </w:rPr>
        <w:t>para</w:t>
      </w:r>
      <w:r>
        <w:rPr>
          <w:spacing w:val="-6"/>
          <w:w w:val="105"/>
          <w:sz w:val="12"/>
        </w:rPr>
        <w:t xml:space="preserve"> </w:t>
      </w:r>
      <w:r>
        <w:rPr>
          <w:w w:val="105"/>
          <w:sz w:val="12"/>
        </w:rPr>
        <w:t>una</w:t>
      </w:r>
      <w:r>
        <w:rPr>
          <w:spacing w:val="-7"/>
          <w:w w:val="105"/>
          <w:sz w:val="12"/>
        </w:rPr>
        <w:t xml:space="preserve"> </w:t>
      </w:r>
      <w:r>
        <w:rPr>
          <w:w w:val="105"/>
          <w:sz w:val="12"/>
        </w:rPr>
        <w:t>discusión</w:t>
      </w:r>
      <w:r>
        <w:rPr>
          <w:spacing w:val="-6"/>
          <w:w w:val="105"/>
          <w:sz w:val="12"/>
        </w:rPr>
        <w:t xml:space="preserve"> </w:t>
      </w:r>
      <w:r>
        <w:rPr>
          <w:w w:val="105"/>
          <w:sz w:val="12"/>
        </w:rPr>
        <w:t>de</w:t>
      </w:r>
      <w:r>
        <w:rPr>
          <w:spacing w:val="-6"/>
          <w:w w:val="105"/>
          <w:sz w:val="12"/>
        </w:rPr>
        <w:t xml:space="preserve"> </w:t>
      </w:r>
      <w:r>
        <w:rPr>
          <w:w w:val="105"/>
          <w:sz w:val="12"/>
        </w:rPr>
        <w:t>este</w:t>
      </w:r>
      <w:r>
        <w:rPr>
          <w:spacing w:val="-6"/>
          <w:w w:val="105"/>
          <w:sz w:val="12"/>
        </w:rPr>
        <w:t xml:space="preserve"> </w:t>
      </w:r>
      <w:r>
        <w:rPr>
          <w:spacing w:val="-2"/>
          <w:w w:val="105"/>
          <w:sz w:val="12"/>
        </w:rPr>
        <w:t>término.</w:t>
      </w:r>
    </w:p>
    <w:p w14:paraId="609F6C3C" w14:textId="77777777" w:rsidR="0014798C" w:rsidRDefault="0014798C">
      <w:pPr>
        <w:rPr>
          <w:sz w:val="12"/>
        </w:rPr>
        <w:sectPr w:rsidR="0014798C" w:rsidSect="00F265E4">
          <w:type w:val="continuous"/>
          <w:pgSz w:w="11900" w:h="16820"/>
          <w:pgMar w:top="40" w:right="0" w:bottom="280" w:left="200" w:header="121" w:footer="0" w:gutter="0"/>
          <w:cols w:num="2" w:space="720" w:equalWidth="0">
            <w:col w:w="1249" w:space="40"/>
            <w:col w:w="10411"/>
          </w:cols>
        </w:sectPr>
      </w:pPr>
    </w:p>
    <w:p w14:paraId="5F083534" w14:textId="77777777" w:rsidR="0014798C" w:rsidRDefault="004E1F0B">
      <w:pPr>
        <w:spacing w:before="98" w:line="312" w:lineRule="auto"/>
        <w:ind w:left="1368" w:right="1443" w:hanging="261"/>
        <w:rPr>
          <w:sz w:val="12"/>
        </w:rPr>
      </w:pPr>
      <w:r>
        <w:rPr>
          <w:w w:val="105"/>
          <w:sz w:val="12"/>
        </w:rPr>
        <w:t>959</w:t>
      </w:r>
      <w:r>
        <w:rPr>
          <w:spacing w:val="-1"/>
          <w:w w:val="105"/>
          <w:sz w:val="12"/>
        </w:rPr>
        <w:t xml:space="preserve"> </w:t>
      </w:r>
      <w:r>
        <w:rPr>
          <w:w w:val="105"/>
          <w:sz w:val="12"/>
        </w:rPr>
        <w:t>El</w:t>
      </w:r>
      <w:r>
        <w:rPr>
          <w:spacing w:val="-1"/>
          <w:w w:val="105"/>
          <w:sz w:val="12"/>
        </w:rPr>
        <w:t xml:space="preserve"> </w:t>
      </w:r>
      <w:r>
        <w:rPr>
          <w:w w:val="105"/>
          <w:sz w:val="12"/>
        </w:rPr>
        <w:t>artículo</w:t>
      </w:r>
      <w:r>
        <w:rPr>
          <w:spacing w:val="-1"/>
          <w:w w:val="105"/>
          <w:sz w:val="12"/>
        </w:rPr>
        <w:t xml:space="preserve"> </w:t>
      </w:r>
      <w:r>
        <w:rPr>
          <w:w w:val="105"/>
          <w:sz w:val="12"/>
        </w:rPr>
        <w:t>18</w:t>
      </w:r>
      <w:r>
        <w:rPr>
          <w:spacing w:val="-1"/>
          <w:w w:val="105"/>
          <w:sz w:val="12"/>
        </w:rPr>
        <w:t xml:space="preserve"> </w:t>
      </w:r>
      <w:r>
        <w:rPr>
          <w:w w:val="105"/>
          <w:sz w:val="12"/>
        </w:rPr>
        <w:t>(2)</w:t>
      </w:r>
      <w:r>
        <w:rPr>
          <w:spacing w:val="-1"/>
          <w:w w:val="105"/>
          <w:sz w:val="12"/>
        </w:rPr>
        <w:t xml:space="preserve"> </w:t>
      </w:r>
      <w:r>
        <w:rPr>
          <w:w w:val="105"/>
          <w:sz w:val="12"/>
        </w:rPr>
        <w:t>del</w:t>
      </w:r>
      <w:r>
        <w:rPr>
          <w:spacing w:val="-1"/>
          <w:w w:val="105"/>
          <w:sz w:val="12"/>
        </w:rPr>
        <w:t xml:space="preserve"> </w:t>
      </w:r>
      <w:r>
        <w:rPr>
          <w:w w:val="105"/>
          <w:sz w:val="12"/>
        </w:rPr>
        <w:t>Pacto</w:t>
      </w:r>
      <w:r>
        <w:rPr>
          <w:spacing w:val="-1"/>
          <w:w w:val="105"/>
          <w:sz w:val="12"/>
        </w:rPr>
        <w:t xml:space="preserve"> </w:t>
      </w:r>
      <w:r>
        <w:rPr>
          <w:w w:val="105"/>
          <w:sz w:val="12"/>
        </w:rPr>
        <w:t>Internacional</w:t>
      </w:r>
      <w:r>
        <w:rPr>
          <w:spacing w:val="-1"/>
          <w:w w:val="105"/>
          <w:sz w:val="12"/>
        </w:rPr>
        <w:t xml:space="preserve"> </w:t>
      </w:r>
      <w:r>
        <w:rPr>
          <w:w w:val="105"/>
          <w:sz w:val="12"/>
        </w:rPr>
        <w:t>de</w:t>
      </w:r>
      <w:r>
        <w:rPr>
          <w:spacing w:val="-1"/>
          <w:w w:val="105"/>
          <w:sz w:val="12"/>
        </w:rPr>
        <w:t xml:space="preserve"> </w:t>
      </w:r>
      <w:r>
        <w:rPr>
          <w:w w:val="105"/>
          <w:sz w:val="12"/>
        </w:rPr>
        <w:t>Derechos</w:t>
      </w:r>
      <w:r>
        <w:rPr>
          <w:spacing w:val="-1"/>
          <w:w w:val="105"/>
          <w:sz w:val="12"/>
        </w:rPr>
        <w:t xml:space="preserve"> </w:t>
      </w:r>
      <w:r>
        <w:rPr>
          <w:w w:val="105"/>
          <w:sz w:val="12"/>
        </w:rPr>
        <w:t>Civiles</w:t>
      </w:r>
      <w:r>
        <w:rPr>
          <w:spacing w:val="-1"/>
          <w:w w:val="105"/>
          <w:sz w:val="12"/>
        </w:rPr>
        <w:t xml:space="preserve"> </w:t>
      </w:r>
      <w:r>
        <w:rPr>
          <w:w w:val="105"/>
          <w:sz w:val="12"/>
        </w:rPr>
        <w:t>y</w:t>
      </w:r>
      <w:r>
        <w:rPr>
          <w:spacing w:val="-1"/>
          <w:w w:val="105"/>
          <w:sz w:val="12"/>
        </w:rPr>
        <w:t xml:space="preserve"> </w:t>
      </w:r>
      <w:r>
        <w:rPr>
          <w:w w:val="105"/>
          <w:sz w:val="12"/>
        </w:rPr>
        <w:t>Políticos</w:t>
      </w:r>
      <w:r>
        <w:rPr>
          <w:spacing w:val="-1"/>
          <w:w w:val="105"/>
          <w:sz w:val="12"/>
        </w:rPr>
        <w:t xml:space="preserve"> </w:t>
      </w:r>
      <w:r>
        <w:rPr>
          <w:w w:val="105"/>
          <w:sz w:val="12"/>
        </w:rPr>
        <w:t>establece</w:t>
      </w:r>
      <w:r>
        <w:rPr>
          <w:spacing w:val="-1"/>
          <w:w w:val="105"/>
          <w:sz w:val="12"/>
        </w:rPr>
        <w:t xml:space="preserve"> </w:t>
      </w:r>
      <w:r>
        <w:rPr>
          <w:w w:val="105"/>
          <w:sz w:val="12"/>
        </w:rPr>
        <w:t>que:</w:t>
      </w:r>
      <w:r>
        <w:rPr>
          <w:spacing w:val="-1"/>
          <w:w w:val="105"/>
          <w:sz w:val="12"/>
        </w:rPr>
        <w:t xml:space="preserve"> </w:t>
      </w:r>
      <w:r>
        <w:rPr>
          <w:w w:val="105"/>
          <w:sz w:val="12"/>
        </w:rPr>
        <w:t>“Nadie</w:t>
      </w:r>
      <w:r>
        <w:rPr>
          <w:spacing w:val="-1"/>
          <w:w w:val="105"/>
          <w:sz w:val="12"/>
        </w:rPr>
        <w:t xml:space="preserve"> </w:t>
      </w:r>
      <w:r>
        <w:rPr>
          <w:w w:val="105"/>
          <w:sz w:val="12"/>
        </w:rPr>
        <w:t>será</w:t>
      </w:r>
      <w:r>
        <w:rPr>
          <w:spacing w:val="-1"/>
          <w:w w:val="105"/>
          <w:sz w:val="12"/>
        </w:rPr>
        <w:t xml:space="preserve"> </w:t>
      </w:r>
      <w:r>
        <w:rPr>
          <w:w w:val="105"/>
          <w:sz w:val="12"/>
        </w:rPr>
        <w:t>sometido</w:t>
      </w:r>
      <w:r>
        <w:rPr>
          <w:spacing w:val="-1"/>
          <w:w w:val="105"/>
          <w:sz w:val="12"/>
        </w:rPr>
        <w:t xml:space="preserve"> </w:t>
      </w:r>
      <w:r>
        <w:rPr>
          <w:w w:val="105"/>
          <w:sz w:val="12"/>
        </w:rPr>
        <w:t>a</w:t>
      </w:r>
      <w:r>
        <w:rPr>
          <w:spacing w:val="-1"/>
          <w:w w:val="105"/>
          <w:sz w:val="12"/>
        </w:rPr>
        <w:t xml:space="preserve"> </w:t>
      </w:r>
      <w:r>
        <w:rPr>
          <w:w w:val="105"/>
          <w:sz w:val="12"/>
        </w:rPr>
        <w:t>coerción</w:t>
      </w:r>
      <w:r>
        <w:rPr>
          <w:spacing w:val="-1"/>
          <w:w w:val="105"/>
          <w:sz w:val="12"/>
        </w:rPr>
        <w:t xml:space="preserve"> </w:t>
      </w:r>
      <w:r>
        <w:rPr>
          <w:w w:val="105"/>
          <w:sz w:val="12"/>
        </w:rPr>
        <w:t>que</w:t>
      </w:r>
      <w:r>
        <w:rPr>
          <w:spacing w:val="-1"/>
          <w:w w:val="105"/>
          <w:sz w:val="12"/>
        </w:rPr>
        <w:t xml:space="preserve"> </w:t>
      </w:r>
      <w:r>
        <w:rPr>
          <w:w w:val="105"/>
          <w:sz w:val="12"/>
        </w:rPr>
        <w:t>menoscabe</w:t>
      </w:r>
      <w:r>
        <w:rPr>
          <w:spacing w:val="-1"/>
          <w:w w:val="105"/>
          <w:sz w:val="12"/>
        </w:rPr>
        <w:t xml:space="preserve"> </w:t>
      </w:r>
      <w:r>
        <w:rPr>
          <w:w w:val="105"/>
          <w:sz w:val="12"/>
        </w:rPr>
        <w:t>su</w:t>
      </w:r>
      <w:r>
        <w:rPr>
          <w:spacing w:val="-1"/>
          <w:w w:val="105"/>
          <w:sz w:val="12"/>
        </w:rPr>
        <w:t xml:space="preserve"> </w:t>
      </w:r>
      <w:r>
        <w:rPr>
          <w:w w:val="105"/>
          <w:sz w:val="12"/>
        </w:rPr>
        <w:t>libertad</w:t>
      </w:r>
      <w:r>
        <w:rPr>
          <w:spacing w:val="-1"/>
          <w:w w:val="105"/>
          <w:sz w:val="12"/>
        </w:rPr>
        <w:t xml:space="preserve"> </w:t>
      </w:r>
      <w:r>
        <w:rPr>
          <w:w w:val="105"/>
          <w:sz w:val="12"/>
        </w:rPr>
        <w:t>de</w:t>
      </w:r>
      <w:r>
        <w:rPr>
          <w:spacing w:val="-1"/>
          <w:w w:val="105"/>
          <w:sz w:val="12"/>
        </w:rPr>
        <w:t xml:space="preserve"> </w:t>
      </w:r>
      <w:r>
        <w:rPr>
          <w:w w:val="105"/>
          <w:sz w:val="12"/>
        </w:rPr>
        <w:t>tener</w:t>
      </w:r>
      <w:r>
        <w:rPr>
          <w:spacing w:val="-1"/>
          <w:w w:val="105"/>
          <w:sz w:val="12"/>
        </w:rPr>
        <w:t xml:space="preserve"> </w:t>
      </w:r>
      <w:r>
        <w:rPr>
          <w:w w:val="105"/>
          <w:sz w:val="12"/>
        </w:rPr>
        <w:t>o</w:t>
      </w:r>
      <w:r>
        <w:rPr>
          <w:spacing w:val="40"/>
          <w:w w:val="105"/>
          <w:sz w:val="12"/>
        </w:rPr>
        <w:t xml:space="preserve"> </w:t>
      </w:r>
      <w:r>
        <w:rPr>
          <w:w w:val="105"/>
          <w:sz w:val="12"/>
        </w:rPr>
        <w:t>adoptar</w:t>
      </w:r>
      <w:r>
        <w:rPr>
          <w:spacing w:val="-2"/>
          <w:w w:val="105"/>
          <w:sz w:val="12"/>
        </w:rPr>
        <w:t xml:space="preserve"> </w:t>
      </w:r>
      <w:r>
        <w:rPr>
          <w:w w:val="105"/>
          <w:sz w:val="12"/>
        </w:rPr>
        <w:t>una</w:t>
      </w:r>
      <w:r>
        <w:rPr>
          <w:spacing w:val="-2"/>
          <w:w w:val="105"/>
          <w:sz w:val="12"/>
        </w:rPr>
        <w:t xml:space="preserve"> </w:t>
      </w:r>
      <w:r>
        <w:rPr>
          <w:w w:val="105"/>
          <w:sz w:val="12"/>
        </w:rPr>
        <w:t>religión</w:t>
      </w:r>
      <w:r>
        <w:rPr>
          <w:spacing w:val="-2"/>
          <w:w w:val="105"/>
          <w:sz w:val="12"/>
        </w:rPr>
        <w:t xml:space="preserve"> </w:t>
      </w:r>
      <w:r>
        <w:rPr>
          <w:w w:val="105"/>
          <w:sz w:val="12"/>
        </w:rPr>
        <w:t>o</w:t>
      </w:r>
      <w:r>
        <w:rPr>
          <w:spacing w:val="-2"/>
          <w:w w:val="105"/>
          <w:sz w:val="12"/>
        </w:rPr>
        <w:t xml:space="preserve"> </w:t>
      </w:r>
      <w:r>
        <w:rPr>
          <w:w w:val="105"/>
          <w:sz w:val="12"/>
        </w:rPr>
        <w:t>creencia</w:t>
      </w:r>
      <w:r>
        <w:rPr>
          <w:spacing w:val="-2"/>
          <w:w w:val="105"/>
          <w:sz w:val="12"/>
        </w:rPr>
        <w:t xml:space="preserve"> </w:t>
      </w:r>
      <w:r>
        <w:rPr>
          <w:w w:val="105"/>
          <w:sz w:val="12"/>
        </w:rPr>
        <w:t>de</w:t>
      </w:r>
      <w:r>
        <w:rPr>
          <w:spacing w:val="-2"/>
          <w:w w:val="105"/>
          <w:sz w:val="12"/>
        </w:rPr>
        <w:t xml:space="preserve"> </w:t>
      </w:r>
      <w:r>
        <w:rPr>
          <w:w w:val="105"/>
          <w:sz w:val="12"/>
        </w:rPr>
        <w:t>su</w:t>
      </w:r>
      <w:r>
        <w:rPr>
          <w:spacing w:val="-2"/>
          <w:w w:val="105"/>
          <w:sz w:val="12"/>
        </w:rPr>
        <w:t xml:space="preserve"> </w:t>
      </w:r>
      <w:r>
        <w:rPr>
          <w:w w:val="105"/>
          <w:sz w:val="12"/>
        </w:rPr>
        <w:t>elección”.</w:t>
      </w:r>
      <w:r>
        <w:rPr>
          <w:spacing w:val="-1"/>
          <w:w w:val="105"/>
          <w:sz w:val="12"/>
        </w:rPr>
        <w:t xml:space="preserve"> </w:t>
      </w:r>
      <w:r>
        <w:rPr>
          <w:w w:val="105"/>
          <w:sz w:val="12"/>
        </w:rPr>
        <w:t>Aunque</w:t>
      </w:r>
      <w:r>
        <w:rPr>
          <w:spacing w:val="-2"/>
          <w:w w:val="105"/>
          <w:sz w:val="12"/>
        </w:rPr>
        <w:t xml:space="preserve"> </w:t>
      </w:r>
      <w:r>
        <w:rPr>
          <w:w w:val="105"/>
          <w:sz w:val="12"/>
        </w:rPr>
        <w:t>el</w:t>
      </w:r>
      <w:r>
        <w:rPr>
          <w:spacing w:val="-2"/>
          <w:w w:val="105"/>
          <w:sz w:val="12"/>
        </w:rPr>
        <w:t xml:space="preserve"> </w:t>
      </w:r>
      <w:r>
        <w:rPr>
          <w:w w:val="105"/>
          <w:sz w:val="12"/>
        </w:rPr>
        <w:t>término</w:t>
      </w:r>
      <w:r>
        <w:rPr>
          <w:spacing w:val="-2"/>
          <w:w w:val="105"/>
          <w:sz w:val="12"/>
        </w:rPr>
        <w:t xml:space="preserve"> </w:t>
      </w:r>
      <w:r>
        <w:rPr>
          <w:w w:val="105"/>
          <w:sz w:val="12"/>
        </w:rPr>
        <w:t>conciencia</w:t>
      </w:r>
      <w:r>
        <w:rPr>
          <w:spacing w:val="-2"/>
          <w:w w:val="105"/>
          <w:sz w:val="12"/>
        </w:rPr>
        <w:t xml:space="preserve"> </w:t>
      </w:r>
      <w:r>
        <w:rPr>
          <w:w w:val="105"/>
          <w:sz w:val="12"/>
        </w:rPr>
        <w:t>no</w:t>
      </w:r>
      <w:r>
        <w:rPr>
          <w:spacing w:val="-2"/>
          <w:w w:val="105"/>
          <w:sz w:val="12"/>
        </w:rPr>
        <w:t xml:space="preserve"> </w:t>
      </w:r>
      <w:r>
        <w:rPr>
          <w:w w:val="105"/>
          <w:sz w:val="12"/>
        </w:rPr>
        <w:t>aparece</w:t>
      </w:r>
      <w:r>
        <w:rPr>
          <w:spacing w:val="-2"/>
          <w:w w:val="105"/>
          <w:sz w:val="12"/>
        </w:rPr>
        <w:t xml:space="preserve"> </w:t>
      </w:r>
      <w:r>
        <w:rPr>
          <w:w w:val="105"/>
          <w:sz w:val="12"/>
        </w:rPr>
        <w:t>en</w:t>
      </w:r>
      <w:r>
        <w:rPr>
          <w:spacing w:val="-2"/>
          <w:w w:val="105"/>
          <w:sz w:val="12"/>
        </w:rPr>
        <w:t xml:space="preserve"> </w:t>
      </w:r>
      <w:r>
        <w:rPr>
          <w:w w:val="105"/>
          <w:sz w:val="12"/>
        </w:rPr>
        <w:t>esta</w:t>
      </w:r>
      <w:r>
        <w:rPr>
          <w:spacing w:val="-2"/>
          <w:w w:val="105"/>
          <w:sz w:val="12"/>
        </w:rPr>
        <w:t xml:space="preserve"> </w:t>
      </w:r>
      <w:r>
        <w:rPr>
          <w:w w:val="105"/>
          <w:sz w:val="12"/>
        </w:rPr>
        <w:t>oración,</w:t>
      </w:r>
      <w:r>
        <w:rPr>
          <w:spacing w:val="-1"/>
          <w:w w:val="105"/>
          <w:sz w:val="12"/>
        </w:rPr>
        <w:t xml:space="preserve"> </w:t>
      </w:r>
      <w:r>
        <w:rPr>
          <w:w w:val="105"/>
          <w:sz w:val="12"/>
        </w:rPr>
        <w:t>está</w:t>
      </w:r>
      <w:r>
        <w:rPr>
          <w:spacing w:val="-2"/>
          <w:w w:val="105"/>
          <w:sz w:val="12"/>
        </w:rPr>
        <w:t xml:space="preserve"> </w:t>
      </w:r>
      <w:r>
        <w:rPr>
          <w:w w:val="105"/>
          <w:sz w:val="12"/>
        </w:rPr>
        <w:t>claramente</w:t>
      </w:r>
      <w:r>
        <w:rPr>
          <w:spacing w:val="-2"/>
          <w:w w:val="105"/>
          <w:sz w:val="12"/>
        </w:rPr>
        <w:t xml:space="preserve"> </w:t>
      </w:r>
      <w:r>
        <w:rPr>
          <w:w w:val="105"/>
          <w:sz w:val="12"/>
        </w:rPr>
        <w:t>incluido</w:t>
      </w:r>
      <w:r>
        <w:rPr>
          <w:spacing w:val="-2"/>
          <w:w w:val="105"/>
          <w:sz w:val="12"/>
        </w:rPr>
        <w:t xml:space="preserve"> </w:t>
      </w:r>
      <w:r>
        <w:rPr>
          <w:w w:val="105"/>
          <w:sz w:val="12"/>
        </w:rPr>
        <w:t>como</w:t>
      </w:r>
      <w:r>
        <w:rPr>
          <w:spacing w:val="-2"/>
          <w:w w:val="105"/>
          <w:sz w:val="12"/>
        </w:rPr>
        <w:t xml:space="preserve"> </w:t>
      </w:r>
      <w:r>
        <w:rPr>
          <w:w w:val="105"/>
          <w:sz w:val="12"/>
        </w:rPr>
        <w:t>corolario</w:t>
      </w:r>
      <w:r>
        <w:rPr>
          <w:spacing w:val="-2"/>
          <w:w w:val="105"/>
          <w:sz w:val="12"/>
        </w:rPr>
        <w:t xml:space="preserve"> </w:t>
      </w:r>
      <w:r>
        <w:rPr>
          <w:w w:val="105"/>
          <w:sz w:val="12"/>
        </w:rPr>
        <w:t>moral</w:t>
      </w:r>
      <w:r>
        <w:rPr>
          <w:spacing w:val="-2"/>
          <w:w w:val="105"/>
          <w:sz w:val="12"/>
        </w:rPr>
        <w:t xml:space="preserve"> </w:t>
      </w:r>
      <w:r>
        <w:rPr>
          <w:w w:val="105"/>
          <w:sz w:val="12"/>
        </w:rPr>
        <w:t>de</w:t>
      </w:r>
      <w:r>
        <w:rPr>
          <w:spacing w:val="-2"/>
          <w:w w:val="105"/>
          <w:sz w:val="12"/>
        </w:rPr>
        <w:t xml:space="preserve"> </w:t>
      </w:r>
      <w:r>
        <w:rPr>
          <w:w w:val="105"/>
          <w:sz w:val="12"/>
        </w:rPr>
        <w:t>la</w:t>
      </w:r>
      <w:r>
        <w:rPr>
          <w:spacing w:val="40"/>
          <w:w w:val="105"/>
          <w:sz w:val="12"/>
        </w:rPr>
        <w:t xml:space="preserve"> </w:t>
      </w:r>
      <w:r>
        <w:rPr>
          <w:w w:val="105"/>
          <w:sz w:val="12"/>
        </w:rPr>
        <w:t>religión</w:t>
      </w:r>
      <w:r>
        <w:rPr>
          <w:spacing w:val="-3"/>
          <w:w w:val="105"/>
          <w:sz w:val="12"/>
        </w:rPr>
        <w:t xml:space="preserve"> </w:t>
      </w:r>
      <w:r>
        <w:rPr>
          <w:w w:val="105"/>
          <w:sz w:val="12"/>
        </w:rPr>
        <w:t>o</w:t>
      </w:r>
      <w:r>
        <w:rPr>
          <w:spacing w:val="-3"/>
          <w:w w:val="105"/>
          <w:sz w:val="12"/>
        </w:rPr>
        <w:t xml:space="preserve"> </w:t>
      </w:r>
      <w:r>
        <w:rPr>
          <w:w w:val="105"/>
          <w:sz w:val="12"/>
        </w:rPr>
        <w:t>creencia</w:t>
      </w:r>
      <w:r>
        <w:rPr>
          <w:spacing w:val="-3"/>
          <w:w w:val="105"/>
          <w:sz w:val="12"/>
        </w:rPr>
        <w:t xml:space="preserve"> </w:t>
      </w:r>
      <w:r>
        <w:rPr>
          <w:w w:val="105"/>
          <w:sz w:val="12"/>
        </w:rPr>
        <w:t>de</w:t>
      </w:r>
      <w:r>
        <w:rPr>
          <w:spacing w:val="-3"/>
          <w:w w:val="105"/>
          <w:sz w:val="12"/>
        </w:rPr>
        <w:t xml:space="preserve"> </w:t>
      </w:r>
      <w:r>
        <w:rPr>
          <w:w w:val="105"/>
          <w:sz w:val="12"/>
        </w:rPr>
        <w:t>una</w:t>
      </w:r>
      <w:r>
        <w:rPr>
          <w:spacing w:val="-3"/>
          <w:w w:val="105"/>
          <w:sz w:val="12"/>
        </w:rPr>
        <w:t xml:space="preserve"> </w:t>
      </w:r>
      <w:r>
        <w:rPr>
          <w:w w:val="105"/>
          <w:sz w:val="12"/>
        </w:rPr>
        <w:t>persona.</w:t>
      </w:r>
      <w:r>
        <w:rPr>
          <w:spacing w:val="-2"/>
          <w:w w:val="105"/>
          <w:sz w:val="12"/>
        </w:rPr>
        <w:t xml:space="preserve"> </w:t>
      </w:r>
      <w:r>
        <w:rPr>
          <w:w w:val="105"/>
          <w:sz w:val="12"/>
        </w:rPr>
        <w:t>El</w:t>
      </w:r>
      <w:r>
        <w:rPr>
          <w:spacing w:val="-3"/>
          <w:w w:val="105"/>
          <w:sz w:val="12"/>
        </w:rPr>
        <w:t xml:space="preserve"> </w:t>
      </w:r>
      <w:r>
        <w:rPr>
          <w:w w:val="105"/>
          <w:sz w:val="12"/>
        </w:rPr>
        <w:t>rechazo</w:t>
      </w:r>
      <w:r>
        <w:rPr>
          <w:spacing w:val="-3"/>
          <w:w w:val="105"/>
          <w:sz w:val="12"/>
        </w:rPr>
        <w:t xml:space="preserve"> </w:t>
      </w:r>
      <w:r>
        <w:rPr>
          <w:w w:val="105"/>
          <w:sz w:val="12"/>
        </w:rPr>
        <w:t>estricto</w:t>
      </w:r>
      <w:r>
        <w:rPr>
          <w:spacing w:val="-3"/>
          <w:w w:val="105"/>
          <w:sz w:val="12"/>
        </w:rPr>
        <w:t xml:space="preserve"> </w:t>
      </w:r>
      <w:r>
        <w:rPr>
          <w:w w:val="105"/>
          <w:sz w:val="12"/>
        </w:rPr>
        <w:t>de</w:t>
      </w:r>
      <w:r>
        <w:rPr>
          <w:spacing w:val="-3"/>
          <w:w w:val="105"/>
          <w:sz w:val="12"/>
        </w:rPr>
        <w:t xml:space="preserve"> </w:t>
      </w:r>
      <w:r>
        <w:rPr>
          <w:w w:val="105"/>
          <w:sz w:val="12"/>
        </w:rPr>
        <w:t>la</w:t>
      </w:r>
      <w:r>
        <w:rPr>
          <w:spacing w:val="-3"/>
          <w:w w:val="105"/>
          <w:sz w:val="12"/>
        </w:rPr>
        <w:t xml:space="preserve"> </w:t>
      </w:r>
      <w:r>
        <w:rPr>
          <w:w w:val="105"/>
          <w:sz w:val="12"/>
        </w:rPr>
        <w:t>coerción</w:t>
      </w:r>
      <w:r>
        <w:rPr>
          <w:spacing w:val="-3"/>
          <w:w w:val="105"/>
          <w:sz w:val="12"/>
        </w:rPr>
        <w:t xml:space="preserve"> </w:t>
      </w:r>
      <w:r>
        <w:rPr>
          <w:w w:val="105"/>
          <w:sz w:val="12"/>
        </w:rPr>
        <w:t>exige</w:t>
      </w:r>
      <w:r>
        <w:rPr>
          <w:spacing w:val="-3"/>
          <w:w w:val="105"/>
          <w:sz w:val="12"/>
        </w:rPr>
        <w:t xml:space="preserve"> </w:t>
      </w:r>
      <w:r>
        <w:rPr>
          <w:w w:val="105"/>
          <w:sz w:val="12"/>
        </w:rPr>
        <w:t>el</w:t>
      </w:r>
      <w:r>
        <w:rPr>
          <w:spacing w:val="-3"/>
          <w:w w:val="105"/>
          <w:sz w:val="12"/>
        </w:rPr>
        <w:t xml:space="preserve"> </w:t>
      </w:r>
      <w:r>
        <w:rPr>
          <w:w w:val="105"/>
          <w:sz w:val="12"/>
        </w:rPr>
        <w:t>respeto</w:t>
      </w:r>
      <w:r>
        <w:rPr>
          <w:spacing w:val="-3"/>
          <w:w w:val="105"/>
          <w:sz w:val="12"/>
        </w:rPr>
        <w:t xml:space="preserve"> </w:t>
      </w:r>
      <w:r>
        <w:rPr>
          <w:w w:val="105"/>
          <w:sz w:val="12"/>
        </w:rPr>
        <w:t>de</w:t>
      </w:r>
      <w:r>
        <w:rPr>
          <w:spacing w:val="-3"/>
          <w:w w:val="105"/>
          <w:sz w:val="12"/>
        </w:rPr>
        <w:t xml:space="preserve"> </w:t>
      </w:r>
      <w:r>
        <w:rPr>
          <w:w w:val="105"/>
          <w:sz w:val="12"/>
        </w:rPr>
        <w:t>una</w:t>
      </w:r>
      <w:r>
        <w:rPr>
          <w:spacing w:val="-3"/>
          <w:w w:val="105"/>
          <w:sz w:val="12"/>
        </w:rPr>
        <w:t xml:space="preserve"> </w:t>
      </w:r>
      <w:r>
        <w:rPr>
          <w:w w:val="105"/>
          <w:sz w:val="12"/>
        </w:rPr>
        <w:t>esfera</w:t>
      </w:r>
      <w:r>
        <w:rPr>
          <w:spacing w:val="-3"/>
          <w:w w:val="105"/>
          <w:sz w:val="12"/>
        </w:rPr>
        <w:t xml:space="preserve"> </w:t>
      </w:r>
      <w:r>
        <w:rPr>
          <w:w w:val="105"/>
          <w:sz w:val="12"/>
        </w:rPr>
        <w:t>interna</w:t>
      </w:r>
      <w:r>
        <w:rPr>
          <w:spacing w:val="-3"/>
          <w:w w:val="105"/>
          <w:sz w:val="12"/>
        </w:rPr>
        <w:t xml:space="preserve"> </w:t>
      </w:r>
      <w:r>
        <w:rPr>
          <w:w w:val="105"/>
          <w:sz w:val="12"/>
        </w:rPr>
        <w:t>de</w:t>
      </w:r>
      <w:r>
        <w:rPr>
          <w:spacing w:val="-3"/>
          <w:w w:val="105"/>
          <w:sz w:val="12"/>
        </w:rPr>
        <w:t xml:space="preserve"> </w:t>
      </w:r>
      <w:r>
        <w:rPr>
          <w:w w:val="105"/>
          <w:sz w:val="12"/>
        </w:rPr>
        <w:t>libertad</w:t>
      </w:r>
      <w:r>
        <w:rPr>
          <w:spacing w:val="-3"/>
          <w:w w:val="105"/>
          <w:sz w:val="12"/>
        </w:rPr>
        <w:t xml:space="preserve"> </w:t>
      </w:r>
      <w:r>
        <w:rPr>
          <w:w w:val="105"/>
          <w:sz w:val="12"/>
        </w:rPr>
        <w:t>personal</w:t>
      </w:r>
      <w:r>
        <w:rPr>
          <w:spacing w:val="-3"/>
          <w:w w:val="105"/>
          <w:sz w:val="12"/>
        </w:rPr>
        <w:t xml:space="preserve"> </w:t>
      </w:r>
      <w:r>
        <w:rPr>
          <w:w w:val="105"/>
          <w:sz w:val="12"/>
        </w:rPr>
        <w:t>en</w:t>
      </w:r>
      <w:r>
        <w:rPr>
          <w:spacing w:val="-3"/>
          <w:w w:val="105"/>
          <w:sz w:val="12"/>
        </w:rPr>
        <w:t xml:space="preserve"> </w:t>
      </w:r>
      <w:r>
        <w:rPr>
          <w:w w:val="105"/>
          <w:sz w:val="12"/>
        </w:rPr>
        <w:t>cuestiones</w:t>
      </w:r>
      <w:r>
        <w:rPr>
          <w:spacing w:val="-3"/>
          <w:w w:val="105"/>
          <w:sz w:val="12"/>
        </w:rPr>
        <w:t xml:space="preserve"> </w:t>
      </w:r>
      <w:r>
        <w:rPr>
          <w:w w:val="105"/>
          <w:sz w:val="12"/>
        </w:rPr>
        <w:t>de</w:t>
      </w:r>
      <w:r>
        <w:rPr>
          <w:spacing w:val="-3"/>
          <w:w w:val="105"/>
          <w:sz w:val="12"/>
        </w:rPr>
        <w:t xml:space="preserve"> </w:t>
      </w:r>
      <w:r>
        <w:rPr>
          <w:w w:val="105"/>
          <w:sz w:val="12"/>
        </w:rPr>
        <w:t>pensamiento,</w:t>
      </w:r>
      <w:r>
        <w:rPr>
          <w:spacing w:val="40"/>
          <w:w w:val="105"/>
          <w:sz w:val="12"/>
        </w:rPr>
        <w:t xml:space="preserve"> </w:t>
      </w:r>
      <w:r>
        <w:rPr>
          <w:w w:val="105"/>
          <w:sz w:val="12"/>
        </w:rPr>
        <w:t>conciencia,</w:t>
      </w:r>
      <w:r>
        <w:rPr>
          <w:spacing w:val="-1"/>
          <w:w w:val="105"/>
          <w:sz w:val="12"/>
        </w:rPr>
        <w:t xml:space="preserve"> </w:t>
      </w:r>
      <w:r>
        <w:rPr>
          <w:w w:val="105"/>
          <w:sz w:val="12"/>
        </w:rPr>
        <w:t>religión</w:t>
      </w:r>
      <w:r>
        <w:rPr>
          <w:spacing w:val="-2"/>
          <w:w w:val="105"/>
          <w:sz w:val="12"/>
        </w:rPr>
        <w:t xml:space="preserve"> </w:t>
      </w:r>
      <w:r>
        <w:rPr>
          <w:w w:val="105"/>
          <w:sz w:val="12"/>
        </w:rPr>
        <w:t>o</w:t>
      </w:r>
      <w:r>
        <w:rPr>
          <w:spacing w:val="-2"/>
          <w:w w:val="105"/>
          <w:sz w:val="12"/>
        </w:rPr>
        <w:t xml:space="preserve"> </w:t>
      </w:r>
      <w:r>
        <w:rPr>
          <w:w w:val="105"/>
          <w:sz w:val="12"/>
        </w:rPr>
        <w:t>creencias,</w:t>
      </w:r>
      <w:r>
        <w:rPr>
          <w:spacing w:val="-1"/>
          <w:w w:val="105"/>
          <w:sz w:val="12"/>
        </w:rPr>
        <w:t xml:space="preserve"> </w:t>
      </w:r>
      <w:r>
        <w:rPr>
          <w:w w:val="105"/>
          <w:sz w:val="12"/>
        </w:rPr>
        <w:t>que</w:t>
      </w:r>
      <w:r>
        <w:rPr>
          <w:spacing w:val="-2"/>
          <w:w w:val="105"/>
          <w:sz w:val="12"/>
        </w:rPr>
        <w:t xml:space="preserve"> </w:t>
      </w:r>
      <w:r>
        <w:rPr>
          <w:w w:val="105"/>
          <w:sz w:val="12"/>
        </w:rPr>
        <w:t>debe</w:t>
      </w:r>
      <w:r>
        <w:rPr>
          <w:spacing w:val="-2"/>
          <w:w w:val="105"/>
          <w:sz w:val="12"/>
        </w:rPr>
        <w:t xml:space="preserve"> </w:t>
      </w:r>
      <w:r>
        <w:rPr>
          <w:w w:val="105"/>
          <w:sz w:val="12"/>
        </w:rPr>
        <w:t>recibir</w:t>
      </w:r>
      <w:r>
        <w:rPr>
          <w:spacing w:val="-2"/>
          <w:w w:val="105"/>
          <w:sz w:val="12"/>
        </w:rPr>
        <w:t xml:space="preserve"> </w:t>
      </w:r>
      <w:r>
        <w:rPr>
          <w:w w:val="105"/>
          <w:sz w:val="12"/>
        </w:rPr>
        <w:t>protección</w:t>
      </w:r>
      <w:r>
        <w:rPr>
          <w:spacing w:val="-2"/>
          <w:w w:val="105"/>
          <w:sz w:val="12"/>
        </w:rPr>
        <w:t xml:space="preserve"> </w:t>
      </w:r>
      <w:r>
        <w:rPr>
          <w:w w:val="105"/>
          <w:sz w:val="12"/>
        </w:rPr>
        <w:t>jurídica</w:t>
      </w:r>
      <w:r>
        <w:rPr>
          <w:spacing w:val="-2"/>
          <w:w w:val="105"/>
          <w:sz w:val="12"/>
        </w:rPr>
        <w:t xml:space="preserve"> </w:t>
      </w:r>
      <w:r>
        <w:rPr>
          <w:w w:val="105"/>
          <w:sz w:val="12"/>
        </w:rPr>
        <w:t>incondicional:</w:t>
      </w:r>
      <w:r>
        <w:rPr>
          <w:spacing w:val="-1"/>
          <w:w w:val="105"/>
          <w:sz w:val="12"/>
        </w:rPr>
        <w:t xml:space="preserve"> </w:t>
      </w:r>
      <w:r>
        <w:rPr>
          <w:w w:val="105"/>
          <w:sz w:val="12"/>
        </w:rPr>
        <w:t>“dentro</w:t>
      </w:r>
      <w:r>
        <w:rPr>
          <w:spacing w:val="-2"/>
          <w:w w:val="105"/>
          <w:sz w:val="12"/>
        </w:rPr>
        <w:t xml:space="preserve"> </w:t>
      </w:r>
      <w:r>
        <w:rPr>
          <w:w w:val="105"/>
          <w:sz w:val="12"/>
        </w:rPr>
        <w:t>del</w:t>
      </w:r>
      <w:r>
        <w:rPr>
          <w:spacing w:val="-2"/>
          <w:w w:val="105"/>
          <w:sz w:val="12"/>
        </w:rPr>
        <w:t xml:space="preserve"> </w:t>
      </w:r>
      <w:r>
        <w:rPr>
          <w:w w:val="105"/>
          <w:sz w:val="12"/>
        </w:rPr>
        <w:t>ámbito</w:t>
      </w:r>
      <w:r>
        <w:rPr>
          <w:spacing w:val="-2"/>
          <w:w w:val="105"/>
          <w:sz w:val="12"/>
        </w:rPr>
        <w:t xml:space="preserve"> </w:t>
      </w:r>
      <w:r>
        <w:rPr>
          <w:w w:val="105"/>
          <w:sz w:val="12"/>
        </w:rPr>
        <w:t>de</w:t>
      </w:r>
      <w:r>
        <w:rPr>
          <w:spacing w:val="-2"/>
          <w:w w:val="105"/>
          <w:sz w:val="12"/>
        </w:rPr>
        <w:t xml:space="preserve"> </w:t>
      </w:r>
      <w:r>
        <w:rPr>
          <w:w w:val="105"/>
          <w:sz w:val="12"/>
        </w:rPr>
        <w:t>la</w:t>
      </w:r>
      <w:r>
        <w:rPr>
          <w:spacing w:val="-2"/>
          <w:w w:val="105"/>
          <w:sz w:val="12"/>
        </w:rPr>
        <w:t xml:space="preserve"> </w:t>
      </w:r>
      <w:r>
        <w:rPr>
          <w:w w:val="105"/>
          <w:sz w:val="12"/>
        </w:rPr>
        <w:t>libertad</w:t>
      </w:r>
      <w:r>
        <w:rPr>
          <w:spacing w:val="-2"/>
          <w:w w:val="105"/>
          <w:sz w:val="12"/>
        </w:rPr>
        <w:t xml:space="preserve"> </w:t>
      </w:r>
      <w:r>
        <w:rPr>
          <w:w w:val="105"/>
          <w:sz w:val="12"/>
        </w:rPr>
        <w:t>de</w:t>
      </w:r>
      <w:r>
        <w:rPr>
          <w:spacing w:val="-2"/>
          <w:w w:val="105"/>
          <w:sz w:val="12"/>
        </w:rPr>
        <w:t xml:space="preserve"> </w:t>
      </w:r>
      <w:r>
        <w:rPr>
          <w:w w:val="105"/>
          <w:sz w:val="12"/>
        </w:rPr>
        <w:t>religión</w:t>
      </w:r>
      <w:r>
        <w:rPr>
          <w:spacing w:val="-2"/>
          <w:w w:val="105"/>
          <w:sz w:val="12"/>
        </w:rPr>
        <w:t xml:space="preserve"> </w:t>
      </w:r>
      <w:r>
        <w:rPr>
          <w:w w:val="105"/>
          <w:sz w:val="12"/>
        </w:rPr>
        <w:t>o</w:t>
      </w:r>
      <w:r>
        <w:rPr>
          <w:spacing w:val="-2"/>
          <w:w w:val="105"/>
          <w:sz w:val="12"/>
        </w:rPr>
        <w:t xml:space="preserve"> </w:t>
      </w:r>
      <w:r>
        <w:rPr>
          <w:w w:val="105"/>
          <w:sz w:val="12"/>
        </w:rPr>
        <w:t>de</w:t>
      </w:r>
      <w:r>
        <w:rPr>
          <w:spacing w:val="-2"/>
          <w:w w:val="105"/>
          <w:sz w:val="12"/>
        </w:rPr>
        <w:t xml:space="preserve"> </w:t>
      </w:r>
      <w:r>
        <w:rPr>
          <w:w w:val="105"/>
          <w:sz w:val="12"/>
        </w:rPr>
        <w:t>creencias,</w:t>
      </w:r>
      <w:r>
        <w:rPr>
          <w:spacing w:val="-1"/>
          <w:w w:val="105"/>
          <w:sz w:val="12"/>
        </w:rPr>
        <w:t xml:space="preserve"> </w:t>
      </w:r>
      <w:r>
        <w:rPr>
          <w:w w:val="105"/>
          <w:sz w:val="12"/>
        </w:rPr>
        <w:t>el</w:t>
      </w:r>
      <w:r>
        <w:rPr>
          <w:spacing w:val="-2"/>
          <w:w w:val="105"/>
          <w:sz w:val="12"/>
        </w:rPr>
        <w:t xml:space="preserve"> </w:t>
      </w:r>
      <w:proofErr w:type="spellStart"/>
      <w:r>
        <w:rPr>
          <w:w w:val="105"/>
          <w:sz w:val="12"/>
        </w:rPr>
        <w:t>forum</w:t>
      </w:r>
      <w:proofErr w:type="spellEnd"/>
      <w:r>
        <w:rPr>
          <w:spacing w:val="80"/>
          <w:w w:val="105"/>
          <w:sz w:val="12"/>
        </w:rPr>
        <w:t xml:space="preserve"> </w:t>
      </w:r>
      <w:proofErr w:type="spellStart"/>
      <w:r>
        <w:rPr>
          <w:w w:val="105"/>
          <w:sz w:val="12"/>
        </w:rPr>
        <w:t>internum</w:t>
      </w:r>
      <w:proofErr w:type="spellEnd"/>
      <w:r>
        <w:rPr>
          <w:w w:val="105"/>
          <w:sz w:val="12"/>
        </w:rPr>
        <w:t>, es decir, el dimensión interna de las convicciones religiosas o de creencias de una persona, goza de protección absoluta. … Como señaló el</w:t>
      </w:r>
    </w:p>
    <w:p w14:paraId="58EDEBF3" w14:textId="77777777" w:rsidR="0014798C" w:rsidRDefault="004E1F0B">
      <w:pPr>
        <w:spacing w:before="2" w:line="312" w:lineRule="auto"/>
        <w:ind w:left="1368" w:right="1840" w:hanging="2"/>
        <w:rPr>
          <w:sz w:val="12"/>
        </w:rPr>
      </w:pPr>
      <w:r>
        <w:rPr>
          <w:w w:val="105"/>
          <w:sz w:val="12"/>
        </w:rPr>
        <w:t>Comité</w:t>
      </w:r>
      <w:r>
        <w:rPr>
          <w:spacing w:val="-3"/>
          <w:w w:val="105"/>
          <w:sz w:val="12"/>
        </w:rPr>
        <w:t xml:space="preserve"> </w:t>
      </w:r>
      <w:r>
        <w:rPr>
          <w:w w:val="105"/>
          <w:sz w:val="12"/>
        </w:rPr>
        <w:t>de</w:t>
      </w:r>
      <w:r>
        <w:rPr>
          <w:spacing w:val="-3"/>
          <w:w w:val="105"/>
          <w:sz w:val="12"/>
        </w:rPr>
        <w:t xml:space="preserve"> </w:t>
      </w:r>
      <w:r>
        <w:rPr>
          <w:w w:val="105"/>
          <w:sz w:val="12"/>
        </w:rPr>
        <w:t>Derechos</w:t>
      </w:r>
      <w:r>
        <w:rPr>
          <w:spacing w:val="-3"/>
          <w:w w:val="105"/>
          <w:sz w:val="12"/>
        </w:rPr>
        <w:t xml:space="preserve"> </w:t>
      </w:r>
      <w:r>
        <w:rPr>
          <w:w w:val="105"/>
          <w:sz w:val="12"/>
        </w:rPr>
        <w:t>Humanos,</w:t>
      </w:r>
      <w:r>
        <w:rPr>
          <w:spacing w:val="-2"/>
          <w:w w:val="105"/>
          <w:sz w:val="12"/>
        </w:rPr>
        <w:t xml:space="preserve"> </w:t>
      </w:r>
      <w:r>
        <w:rPr>
          <w:w w:val="105"/>
          <w:sz w:val="12"/>
        </w:rPr>
        <w:t>el</w:t>
      </w:r>
      <w:r>
        <w:rPr>
          <w:spacing w:val="-3"/>
          <w:w w:val="105"/>
          <w:sz w:val="12"/>
        </w:rPr>
        <w:t xml:space="preserve"> </w:t>
      </w:r>
      <w:proofErr w:type="spellStart"/>
      <w:r>
        <w:rPr>
          <w:w w:val="105"/>
          <w:sz w:val="12"/>
        </w:rPr>
        <w:t>forum</w:t>
      </w:r>
      <w:proofErr w:type="spellEnd"/>
      <w:r>
        <w:rPr>
          <w:spacing w:val="-3"/>
          <w:w w:val="105"/>
          <w:sz w:val="12"/>
        </w:rPr>
        <w:t xml:space="preserve"> </w:t>
      </w:r>
      <w:proofErr w:type="spellStart"/>
      <w:r>
        <w:rPr>
          <w:w w:val="105"/>
          <w:sz w:val="12"/>
        </w:rPr>
        <w:t>internum</w:t>
      </w:r>
      <w:proofErr w:type="spellEnd"/>
      <w:r>
        <w:rPr>
          <w:spacing w:val="-3"/>
          <w:w w:val="105"/>
          <w:sz w:val="12"/>
        </w:rPr>
        <w:t xml:space="preserve"> </w:t>
      </w:r>
      <w:r>
        <w:rPr>
          <w:w w:val="105"/>
          <w:sz w:val="12"/>
        </w:rPr>
        <w:t>también</w:t>
      </w:r>
      <w:r>
        <w:rPr>
          <w:spacing w:val="-3"/>
          <w:w w:val="105"/>
          <w:sz w:val="12"/>
        </w:rPr>
        <w:t xml:space="preserve"> </w:t>
      </w:r>
      <w:r>
        <w:rPr>
          <w:w w:val="105"/>
          <w:sz w:val="12"/>
        </w:rPr>
        <w:t>cubre</w:t>
      </w:r>
      <w:r>
        <w:rPr>
          <w:spacing w:val="-3"/>
          <w:w w:val="105"/>
          <w:sz w:val="12"/>
        </w:rPr>
        <w:t xml:space="preserve"> </w:t>
      </w:r>
      <w:r>
        <w:rPr>
          <w:w w:val="105"/>
          <w:sz w:val="12"/>
        </w:rPr>
        <w:t>la</w:t>
      </w:r>
      <w:r>
        <w:rPr>
          <w:spacing w:val="-3"/>
          <w:w w:val="105"/>
          <w:sz w:val="12"/>
        </w:rPr>
        <w:t xml:space="preserve"> </w:t>
      </w:r>
      <w:r>
        <w:rPr>
          <w:w w:val="105"/>
          <w:sz w:val="12"/>
        </w:rPr>
        <w:t>libertad</w:t>
      </w:r>
      <w:r>
        <w:rPr>
          <w:spacing w:val="-3"/>
          <w:w w:val="105"/>
          <w:sz w:val="12"/>
        </w:rPr>
        <w:t xml:space="preserve"> </w:t>
      </w:r>
      <w:r>
        <w:rPr>
          <w:w w:val="105"/>
          <w:sz w:val="12"/>
        </w:rPr>
        <w:t>de</w:t>
      </w:r>
      <w:r>
        <w:rPr>
          <w:spacing w:val="-3"/>
          <w:w w:val="105"/>
          <w:sz w:val="12"/>
        </w:rPr>
        <w:t xml:space="preserve"> </w:t>
      </w:r>
      <w:r>
        <w:rPr>
          <w:w w:val="105"/>
          <w:sz w:val="12"/>
        </w:rPr>
        <w:t>toda</w:t>
      </w:r>
      <w:r>
        <w:rPr>
          <w:spacing w:val="-3"/>
          <w:w w:val="105"/>
          <w:sz w:val="12"/>
        </w:rPr>
        <w:t xml:space="preserve"> </w:t>
      </w:r>
      <w:r>
        <w:rPr>
          <w:w w:val="105"/>
          <w:sz w:val="12"/>
        </w:rPr>
        <w:t>persona</w:t>
      </w:r>
      <w:r>
        <w:rPr>
          <w:spacing w:val="-3"/>
          <w:w w:val="105"/>
          <w:sz w:val="12"/>
        </w:rPr>
        <w:t xml:space="preserve"> </w:t>
      </w:r>
      <w:r>
        <w:rPr>
          <w:w w:val="105"/>
          <w:sz w:val="12"/>
        </w:rPr>
        <w:t>de</w:t>
      </w:r>
      <w:r>
        <w:rPr>
          <w:spacing w:val="-3"/>
          <w:w w:val="105"/>
          <w:sz w:val="12"/>
        </w:rPr>
        <w:t xml:space="preserve"> </w:t>
      </w:r>
      <w:r>
        <w:rPr>
          <w:w w:val="105"/>
          <w:sz w:val="12"/>
        </w:rPr>
        <w:t>tener</w:t>
      </w:r>
      <w:r>
        <w:rPr>
          <w:spacing w:val="-3"/>
          <w:w w:val="105"/>
          <w:sz w:val="12"/>
        </w:rPr>
        <w:t xml:space="preserve"> </w:t>
      </w:r>
      <w:r>
        <w:rPr>
          <w:w w:val="105"/>
          <w:sz w:val="12"/>
        </w:rPr>
        <w:t>o</w:t>
      </w:r>
      <w:r>
        <w:rPr>
          <w:spacing w:val="-3"/>
          <w:w w:val="105"/>
          <w:sz w:val="12"/>
        </w:rPr>
        <w:t xml:space="preserve"> </w:t>
      </w:r>
      <w:r>
        <w:rPr>
          <w:w w:val="105"/>
          <w:sz w:val="12"/>
        </w:rPr>
        <w:t>adoptar</w:t>
      </w:r>
      <w:r>
        <w:rPr>
          <w:spacing w:val="-3"/>
          <w:w w:val="105"/>
          <w:sz w:val="12"/>
        </w:rPr>
        <w:t xml:space="preserve"> </w:t>
      </w:r>
      <w:r>
        <w:rPr>
          <w:w w:val="105"/>
          <w:sz w:val="12"/>
        </w:rPr>
        <w:t>una</w:t>
      </w:r>
      <w:r>
        <w:rPr>
          <w:spacing w:val="-3"/>
          <w:w w:val="105"/>
          <w:sz w:val="12"/>
        </w:rPr>
        <w:t xml:space="preserve"> </w:t>
      </w:r>
      <w:r>
        <w:rPr>
          <w:w w:val="105"/>
          <w:sz w:val="12"/>
        </w:rPr>
        <w:t>religión</w:t>
      </w:r>
      <w:r>
        <w:rPr>
          <w:spacing w:val="-3"/>
          <w:w w:val="105"/>
          <w:sz w:val="12"/>
        </w:rPr>
        <w:t xml:space="preserve"> </w:t>
      </w:r>
      <w:r>
        <w:rPr>
          <w:w w:val="105"/>
          <w:sz w:val="12"/>
        </w:rPr>
        <w:t>o</w:t>
      </w:r>
      <w:r>
        <w:rPr>
          <w:spacing w:val="-3"/>
          <w:w w:val="105"/>
          <w:sz w:val="12"/>
        </w:rPr>
        <w:t xml:space="preserve"> </w:t>
      </w:r>
      <w:r>
        <w:rPr>
          <w:w w:val="105"/>
          <w:sz w:val="12"/>
        </w:rPr>
        <w:t>creencia</w:t>
      </w:r>
      <w:r>
        <w:rPr>
          <w:spacing w:val="-3"/>
          <w:w w:val="105"/>
          <w:sz w:val="12"/>
        </w:rPr>
        <w:t xml:space="preserve"> </w:t>
      </w:r>
      <w:r>
        <w:rPr>
          <w:w w:val="105"/>
          <w:sz w:val="12"/>
        </w:rPr>
        <w:t>de</w:t>
      </w:r>
      <w:r>
        <w:rPr>
          <w:spacing w:val="-3"/>
          <w:w w:val="105"/>
          <w:sz w:val="12"/>
        </w:rPr>
        <w:t xml:space="preserve"> </w:t>
      </w:r>
      <w:r>
        <w:rPr>
          <w:w w:val="105"/>
          <w:sz w:val="12"/>
        </w:rPr>
        <w:t>su</w:t>
      </w:r>
      <w:r>
        <w:rPr>
          <w:spacing w:val="-3"/>
          <w:w w:val="105"/>
          <w:sz w:val="12"/>
        </w:rPr>
        <w:t xml:space="preserve"> </w:t>
      </w:r>
      <w:r>
        <w:rPr>
          <w:w w:val="105"/>
          <w:sz w:val="12"/>
        </w:rPr>
        <w:t>elección</w:t>
      </w:r>
      <w:r>
        <w:rPr>
          <w:spacing w:val="-3"/>
          <w:w w:val="105"/>
          <w:sz w:val="12"/>
        </w:rPr>
        <w:t xml:space="preserve"> </w:t>
      </w:r>
      <w:r>
        <w:rPr>
          <w:w w:val="105"/>
          <w:sz w:val="12"/>
        </w:rPr>
        <w:t>y</w:t>
      </w:r>
      <w:r>
        <w:rPr>
          <w:spacing w:val="40"/>
          <w:w w:val="105"/>
          <w:sz w:val="12"/>
        </w:rPr>
        <w:t xml:space="preserve"> </w:t>
      </w:r>
      <w:r>
        <w:rPr>
          <w:w w:val="105"/>
          <w:sz w:val="12"/>
        </w:rPr>
        <w:t>esta libertad está protegida incondicionalmente”. Véase A/67/303, párr. 19.</w:t>
      </w:r>
    </w:p>
    <w:p w14:paraId="3A819DDF" w14:textId="77777777" w:rsidR="0014798C" w:rsidRDefault="0014798C">
      <w:pPr>
        <w:pStyle w:val="Textoindependiente"/>
        <w:spacing w:before="97"/>
        <w:rPr>
          <w:sz w:val="12"/>
        </w:rPr>
      </w:pPr>
    </w:p>
    <w:p w14:paraId="199250A0" w14:textId="77777777" w:rsidR="0014798C" w:rsidRDefault="004E1F0B">
      <w:pPr>
        <w:ind w:left="1107"/>
        <w:rPr>
          <w:sz w:val="12"/>
        </w:rPr>
      </w:pPr>
      <w:r>
        <w:rPr>
          <w:w w:val="105"/>
          <w:sz w:val="12"/>
        </w:rPr>
        <w:t>960</w:t>
      </w:r>
      <w:r>
        <w:rPr>
          <w:spacing w:val="-7"/>
          <w:w w:val="105"/>
          <w:sz w:val="12"/>
        </w:rPr>
        <w:t xml:space="preserve"> </w:t>
      </w:r>
      <w:r>
        <w:rPr>
          <w:w w:val="105"/>
          <w:sz w:val="12"/>
        </w:rPr>
        <w:t>Véase</w:t>
      </w:r>
      <w:r>
        <w:rPr>
          <w:spacing w:val="-6"/>
          <w:w w:val="105"/>
          <w:sz w:val="12"/>
        </w:rPr>
        <w:t xml:space="preserve"> </w:t>
      </w:r>
      <w:hyperlink r:id="rId272">
        <w:r>
          <w:rPr>
            <w:color w:val="0075BF"/>
            <w:spacing w:val="-2"/>
            <w:w w:val="105"/>
            <w:sz w:val="12"/>
          </w:rPr>
          <w:t>www.ohchr.org/en/issues/minorities/srminorities/pages/srminorityissuesindex.aspx.</w:t>
        </w:r>
      </w:hyperlink>
    </w:p>
    <w:p w14:paraId="1D2BD116" w14:textId="77777777" w:rsidR="0014798C" w:rsidRDefault="004E1F0B">
      <w:pPr>
        <w:spacing w:before="99"/>
        <w:ind w:left="1107"/>
        <w:rPr>
          <w:sz w:val="12"/>
        </w:rPr>
      </w:pPr>
      <w:r>
        <w:rPr>
          <w:w w:val="105"/>
          <w:sz w:val="12"/>
        </w:rPr>
        <w:t>961</w:t>
      </w:r>
      <w:r>
        <w:rPr>
          <w:spacing w:val="-7"/>
          <w:w w:val="105"/>
          <w:sz w:val="12"/>
        </w:rPr>
        <w:t xml:space="preserve"> </w:t>
      </w:r>
      <w:r>
        <w:rPr>
          <w:w w:val="105"/>
          <w:sz w:val="12"/>
        </w:rPr>
        <w:t>Véase</w:t>
      </w:r>
      <w:r>
        <w:rPr>
          <w:spacing w:val="-6"/>
          <w:w w:val="105"/>
          <w:sz w:val="12"/>
        </w:rPr>
        <w:t xml:space="preserve"> </w:t>
      </w:r>
      <w:hyperlink r:id="rId273">
        <w:r>
          <w:rPr>
            <w:color w:val="0075BF"/>
            <w:spacing w:val="-2"/>
            <w:w w:val="105"/>
            <w:sz w:val="12"/>
          </w:rPr>
          <w:t>www.ohchr.org/en/issues/freedomreligion/pages/freedomreligionindex.aspx.</w:t>
        </w:r>
      </w:hyperlink>
    </w:p>
    <w:p w14:paraId="3500ECFE" w14:textId="77777777" w:rsidR="0014798C" w:rsidRDefault="004E1F0B">
      <w:pPr>
        <w:spacing w:before="100" w:line="312" w:lineRule="auto"/>
        <w:ind w:left="1369" w:right="1272" w:hanging="263"/>
        <w:rPr>
          <w:sz w:val="12"/>
        </w:rPr>
      </w:pPr>
      <w:r>
        <w:rPr>
          <w:w w:val="105"/>
          <w:sz w:val="12"/>
        </w:rPr>
        <w:t>962</w:t>
      </w:r>
      <w:r>
        <w:rPr>
          <w:spacing w:val="-3"/>
          <w:w w:val="105"/>
          <w:sz w:val="12"/>
        </w:rPr>
        <w:t xml:space="preserve"> </w:t>
      </w:r>
      <w:proofErr w:type="spellStart"/>
      <w:r>
        <w:rPr>
          <w:w w:val="105"/>
          <w:sz w:val="12"/>
        </w:rPr>
        <w:t>Nazila</w:t>
      </w:r>
      <w:proofErr w:type="spellEnd"/>
      <w:r>
        <w:rPr>
          <w:spacing w:val="-3"/>
          <w:w w:val="105"/>
          <w:sz w:val="12"/>
        </w:rPr>
        <w:t xml:space="preserve"> </w:t>
      </w:r>
      <w:proofErr w:type="spellStart"/>
      <w:r>
        <w:rPr>
          <w:w w:val="105"/>
          <w:sz w:val="12"/>
        </w:rPr>
        <w:t>Ghanea</w:t>
      </w:r>
      <w:proofErr w:type="spellEnd"/>
      <w:r>
        <w:rPr>
          <w:w w:val="105"/>
          <w:sz w:val="12"/>
        </w:rPr>
        <w:t>,</w:t>
      </w:r>
      <w:r>
        <w:rPr>
          <w:spacing w:val="-3"/>
          <w:w w:val="105"/>
          <w:sz w:val="12"/>
        </w:rPr>
        <w:t xml:space="preserve"> </w:t>
      </w:r>
      <w:r>
        <w:rPr>
          <w:w w:val="105"/>
          <w:sz w:val="12"/>
        </w:rPr>
        <w:t>“¿Son</w:t>
      </w:r>
      <w:r>
        <w:rPr>
          <w:spacing w:val="-3"/>
          <w:w w:val="105"/>
          <w:sz w:val="12"/>
        </w:rPr>
        <w:t xml:space="preserve"> </w:t>
      </w:r>
      <w:r>
        <w:rPr>
          <w:w w:val="105"/>
          <w:sz w:val="12"/>
        </w:rPr>
        <w:t>las</w:t>
      </w:r>
      <w:r>
        <w:rPr>
          <w:spacing w:val="-3"/>
          <w:w w:val="105"/>
          <w:sz w:val="12"/>
        </w:rPr>
        <w:t xml:space="preserve"> </w:t>
      </w:r>
      <w:r>
        <w:rPr>
          <w:w w:val="105"/>
          <w:sz w:val="12"/>
        </w:rPr>
        <w:t>minorías</w:t>
      </w:r>
      <w:r>
        <w:rPr>
          <w:spacing w:val="-3"/>
          <w:w w:val="105"/>
          <w:sz w:val="12"/>
        </w:rPr>
        <w:t xml:space="preserve"> </w:t>
      </w:r>
      <w:r>
        <w:rPr>
          <w:w w:val="105"/>
          <w:sz w:val="12"/>
        </w:rPr>
        <w:t>religiosas</w:t>
      </w:r>
      <w:r>
        <w:rPr>
          <w:spacing w:val="-3"/>
          <w:w w:val="105"/>
          <w:sz w:val="12"/>
        </w:rPr>
        <w:t xml:space="preserve"> </w:t>
      </w:r>
      <w:r>
        <w:rPr>
          <w:w w:val="105"/>
          <w:sz w:val="12"/>
        </w:rPr>
        <w:t>realmente</w:t>
      </w:r>
      <w:r>
        <w:rPr>
          <w:spacing w:val="-3"/>
          <w:w w:val="105"/>
          <w:sz w:val="12"/>
        </w:rPr>
        <w:t xml:space="preserve"> </w:t>
      </w:r>
      <w:r>
        <w:rPr>
          <w:w w:val="105"/>
          <w:sz w:val="12"/>
        </w:rPr>
        <w:t>minorías?”,</w:t>
      </w:r>
      <w:r>
        <w:rPr>
          <w:spacing w:val="-2"/>
          <w:w w:val="105"/>
          <w:sz w:val="12"/>
        </w:rPr>
        <w:t xml:space="preserve"> </w:t>
      </w:r>
      <w:r>
        <w:rPr>
          <w:w w:val="105"/>
          <w:sz w:val="12"/>
        </w:rPr>
        <w:t>Oxford</w:t>
      </w:r>
      <w:r>
        <w:rPr>
          <w:spacing w:val="-3"/>
          <w:w w:val="105"/>
          <w:sz w:val="12"/>
        </w:rPr>
        <w:t xml:space="preserve"> </w:t>
      </w:r>
      <w:proofErr w:type="spellStart"/>
      <w:r>
        <w:rPr>
          <w:w w:val="105"/>
          <w:sz w:val="12"/>
        </w:rPr>
        <w:t>Journal</w:t>
      </w:r>
      <w:proofErr w:type="spellEnd"/>
      <w:r>
        <w:rPr>
          <w:spacing w:val="-3"/>
          <w:w w:val="105"/>
          <w:sz w:val="12"/>
        </w:rPr>
        <w:t xml:space="preserve"> </w:t>
      </w:r>
      <w:r>
        <w:rPr>
          <w:w w:val="105"/>
          <w:sz w:val="12"/>
        </w:rPr>
        <w:t>of</w:t>
      </w:r>
      <w:r>
        <w:rPr>
          <w:spacing w:val="-3"/>
          <w:w w:val="105"/>
          <w:sz w:val="12"/>
        </w:rPr>
        <w:t xml:space="preserve"> </w:t>
      </w:r>
      <w:proofErr w:type="spellStart"/>
      <w:r>
        <w:rPr>
          <w:w w:val="105"/>
          <w:sz w:val="12"/>
        </w:rPr>
        <w:t>Law</w:t>
      </w:r>
      <w:proofErr w:type="spellEnd"/>
      <w:r>
        <w:rPr>
          <w:spacing w:val="-3"/>
          <w:w w:val="105"/>
          <w:sz w:val="12"/>
        </w:rPr>
        <w:t xml:space="preserve"> </w:t>
      </w:r>
      <w:r>
        <w:rPr>
          <w:w w:val="105"/>
          <w:sz w:val="12"/>
        </w:rPr>
        <w:t>and</w:t>
      </w:r>
      <w:r>
        <w:rPr>
          <w:spacing w:val="-3"/>
          <w:w w:val="105"/>
          <w:sz w:val="12"/>
        </w:rPr>
        <w:t xml:space="preserve"> </w:t>
      </w:r>
      <w:proofErr w:type="spellStart"/>
      <w:r>
        <w:rPr>
          <w:w w:val="105"/>
          <w:sz w:val="12"/>
        </w:rPr>
        <w:t>Religion</w:t>
      </w:r>
      <w:proofErr w:type="spellEnd"/>
      <w:r>
        <w:rPr>
          <w:w w:val="105"/>
          <w:sz w:val="12"/>
        </w:rPr>
        <w:t>,</w:t>
      </w:r>
      <w:r>
        <w:rPr>
          <w:spacing w:val="-2"/>
          <w:w w:val="105"/>
          <w:sz w:val="12"/>
        </w:rPr>
        <w:t xml:space="preserve"> </w:t>
      </w:r>
      <w:r>
        <w:rPr>
          <w:w w:val="105"/>
          <w:sz w:val="12"/>
        </w:rPr>
        <w:t>vol.</w:t>
      </w:r>
      <w:r>
        <w:rPr>
          <w:spacing w:val="-3"/>
          <w:w w:val="105"/>
          <w:sz w:val="12"/>
        </w:rPr>
        <w:t xml:space="preserve"> </w:t>
      </w:r>
      <w:r>
        <w:rPr>
          <w:w w:val="105"/>
          <w:sz w:val="12"/>
        </w:rPr>
        <w:t>1,</w:t>
      </w:r>
      <w:r>
        <w:rPr>
          <w:spacing w:val="-3"/>
          <w:w w:val="105"/>
          <w:sz w:val="12"/>
        </w:rPr>
        <w:t xml:space="preserve"> </w:t>
      </w:r>
      <w:r>
        <w:rPr>
          <w:w w:val="105"/>
          <w:sz w:val="12"/>
        </w:rPr>
        <w:t>núm.</w:t>
      </w:r>
      <w:r>
        <w:rPr>
          <w:spacing w:val="-3"/>
          <w:w w:val="105"/>
          <w:sz w:val="12"/>
        </w:rPr>
        <w:t xml:space="preserve"> </w:t>
      </w:r>
      <w:r>
        <w:rPr>
          <w:w w:val="105"/>
          <w:sz w:val="12"/>
        </w:rPr>
        <w:t>1</w:t>
      </w:r>
      <w:r>
        <w:rPr>
          <w:spacing w:val="-3"/>
          <w:w w:val="105"/>
          <w:sz w:val="12"/>
        </w:rPr>
        <w:t xml:space="preserve"> </w:t>
      </w:r>
      <w:r>
        <w:rPr>
          <w:w w:val="105"/>
          <w:sz w:val="12"/>
        </w:rPr>
        <w:t>(2012).</w:t>
      </w:r>
      <w:r>
        <w:rPr>
          <w:spacing w:val="-3"/>
          <w:w w:val="105"/>
          <w:sz w:val="12"/>
        </w:rPr>
        <w:t xml:space="preserve"> </w:t>
      </w:r>
      <w:r>
        <w:rPr>
          <w:w w:val="105"/>
          <w:sz w:val="12"/>
        </w:rPr>
        <w:t>Disponible</w:t>
      </w:r>
      <w:r>
        <w:rPr>
          <w:spacing w:val="-3"/>
          <w:w w:val="105"/>
          <w:sz w:val="12"/>
        </w:rPr>
        <w:t xml:space="preserve"> </w:t>
      </w:r>
      <w:r>
        <w:rPr>
          <w:color w:val="0075BF"/>
          <w:w w:val="105"/>
          <w:sz w:val="12"/>
        </w:rPr>
        <w:t>en</w:t>
      </w:r>
      <w:r>
        <w:rPr>
          <w:color w:val="0075BF"/>
          <w:spacing w:val="-3"/>
          <w:w w:val="105"/>
          <w:sz w:val="12"/>
        </w:rPr>
        <w:t xml:space="preserve"> </w:t>
      </w:r>
      <w:r>
        <w:rPr>
          <w:color w:val="0075BF"/>
          <w:w w:val="105"/>
          <w:sz w:val="12"/>
        </w:rPr>
        <w:t>https://</w:t>
      </w:r>
      <w:r>
        <w:rPr>
          <w:color w:val="0075BF"/>
          <w:spacing w:val="40"/>
          <w:w w:val="105"/>
          <w:sz w:val="12"/>
        </w:rPr>
        <w:t xml:space="preserve"> </w:t>
      </w:r>
      <w:r>
        <w:rPr>
          <w:color w:val="0075BF"/>
          <w:spacing w:val="-2"/>
          <w:w w:val="105"/>
          <w:sz w:val="12"/>
        </w:rPr>
        <w:t>doi.org/10.1093/</w:t>
      </w:r>
      <w:proofErr w:type="spellStart"/>
      <w:r>
        <w:rPr>
          <w:color w:val="0075BF"/>
          <w:spacing w:val="-2"/>
          <w:w w:val="105"/>
          <w:sz w:val="12"/>
        </w:rPr>
        <w:t>ojlr</w:t>
      </w:r>
      <w:proofErr w:type="spellEnd"/>
      <w:r>
        <w:rPr>
          <w:color w:val="0075BF"/>
          <w:spacing w:val="-2"/>
          <w:w w:val="105"/>
          <w:sz w:val="12"/>
        </w:rPr>
        <w:t>/rwr029.</w:t>
      </w:r>
    </w:p>
    <w:p w14:paraId="7F90A85B" w14:textId="77777777" w:rsidR="0014798C" w:rsidRDefault="004E1F0B">
      <w:pPr>
        <w:spacing w:before="107"/>
        <w:ind w:left="1107"/>
        <w:rPr>
          <w:sz w:val="10"/>
        </w:rPr>
      </w:pPr>
      <w:r>
        <w:rPr>
          <w:w w:val="105"/>
          <w:sz w:val="10"/>
        </w:rPr>
        <w:t>963</w:t>
      </w:r>
      <w:r>
        <w:rPr>
          <w:spacing w:val="-3"/>
          <w:w w:val="105"/>
          <w:sz w:val="10"/>
        </w:rPr>
        <w:t xml:space="preserve"> </w:t>
      </w:r>
      <w:r>
        <w:rPr>
          <w:w w:val="105"/>
          <w:sz w:val="10"/>
        </w:rPr>
        <w:t>Para</w:t>
      </w:r>
      <w:r>
        <w:rPr>
          <w:spacing w:val="-2"/>
          <w:w w:val="105"/>
          <w:sz w:val="10"/>
        </w:rPr>
        <w:t xml:space="preserve"> </w:t>
      </w:r>
      <w:r>
        <w:rPr>
          <w:w w:val="105"/>
          <w:sz w:val="10"/>
        </w:rPr>
        <w:t>un</w:t>
      </w:r>
      <w:r>
        <w:rPr>
          <w:spacing w:val="-2"/>
          <w:w w:val="105"/>
          <w:sz w:val="10"/>
        </w:rPr>
        <w:t xml:space="preserve"> </w:t>
      </w:r>
      <w:r>
        <w:rPr>
          <w:w w:val="105"/>
          <w:sz w:val="10"/>
        </w:rPr>
        <w:t>resumen</w:t>
      </w:r>
      <w:r>
        <w:rPr>
          <w:spacing w:val="-2"/>
          <w:w w:val="105"/>
          <w:sz w:val="10"/>
        </w:rPr>
        <w:t xml:space="preserve"> </w:t>
      </w:r>
      <w:r>
        <w:rPr>
          <w:w w:val="105"/>
          <w:sz w:val="10"/>
        </w:rPr>
        <w:t>detallado</w:t>
      </w:r>
      <w:r>
        <w:rPr>
          <w:spacing w:val="-2"/>
          <w:w w:val="105"/>
          <w:sz w:val="10"/>
        </w:rPr>
        <w:t xml:space="preserve"> </w:t>
      </w:r>
      <w:r>
        <w:rPr>
          <w:w w:val="105"/>
          <w:sz w:val="10"/>
        </w:rPr>
        <w:t>del</w:t>
      </w:r>
      <w:r>
        <w:rPr>
          <w:spacing w:val="-2"/>
          <w:w w:val="105"/>
          <w:sz w:val="10"/>
        </w:rPr>
        <w:t xml:space="preserve"> </w:t>
      </w:r>
      <w:r>
        <w:rPr>
          <w:w w:val="105"/>
          <w:sz w:val="10"/>
        </w:rPr>
        <w:t>derecho</w:t>
      </w:r>
      <w:r>
        <w:rPr>
          <w:spacing w:val="-2"/>
          <w:w w:val="105"/>
          <w:sz w:val="10"/>
        </w:rPr>
        <w:t xml:space="preserve"> </w:t>
      </w:r>
      <w:r>
        <w:rPr>
          <w:w w:val="105"/>
          <w:sz w:val="10"/>
        </w:rPr>
        <w:t>internacional</w:t>
      </w:r>
      <w:r>
        <w:rPr>
          <w:spacing w:val="-2"/>
          <w:w w:val="105"/>
          <w:sz w:val="10"/>
        </w:rPr>
        <w:t xml:space="preserve"> </w:t>
      </w:r>
      <w:r>
        <w:rPr>
          <w:w w:val="105"/>
          <w:sz w:val="10"/>
        </w:rPr>
        <w:t>sobre</w:t>
      </w:r>
      <w:r>
        <w:rPr>
          <w:spacing w:val="-2"/>
          <w:w w:val="105"/>
          <w:sz w:val="10"/>
        </w:rPr>
        <w:t xml:space="preserve"> </w:t>
      </w:r>
      <w:r>
        <w:rPr>
          <w:w w:val="105"/>
          <w:sz w:val="10"/>
        </w:rPr>
        <w:t>la</w:t>
      </w:r>
      <w:r>
        <w:rPr>
          <w:spacing w:val="-2"/>
          <w:w w:val="105"/>
          <w:sz w:val="10"/>
        </w:rPr>
        <w:t xml:space="preserve"> </w:t>
      </w:r>
      <w:r>
        <w:rPr>
          <w:w w:val="105"/>
          <w:sz w:val="10"/>
        </w:rPr>
        <w:t>libertad</w:t>
      </w:r>
      <w:r>
        <w:rPr>
          <w:spacing w:val="-2"/>
          <w:w w:val="105"/>
          <w:sz w:val="10"/>
        </w:rPr>
        <w:t xml:space="preserve"> </w:t>
      </w:r>
      <w:r>
        <w:rPr>
          <w:w w:val="105"/>
          <w:sz w:val="10"/>
        </w:rPr>
        <w:t>de</w:t>
      </w:r>
      <w:r>
        <w:rPr>
          <w:spacing w:val="-3"/>
          <w:w w:val="105"/>
          <w:sz w:val="10"/>
        </w:rPr>
        <w:t xml:space="preserve"> </w:t>
      </w:r>
      <w:r>
        <w:rPr>
          <w:w w:val="105"/>
          <w:sz w:val="10"/>
        </w:rPr>
        <w:t>religión</w:t>
      </w:r>
      <w:r>
        <w:rPr>
          <w:spacing w:val="-2"/>
          <w:w w:val="105"/>
          <w:sz w:val="10"/>
        </w:rPr>
        <w:t xml:space="preserve"> </w:t>
      </w:r>
      <w:r>
        <w:rPr>
          <w:w w:val="105"/>
          <w:sz w:val="10"/>
        </w:rPr>
        <w:t>o</w:t>
      </w:r>
      <w:r>
        <w:rPr>
          <w:spacing w:val="-2"/>
          <w:w w:val="105"/>
          <w:sz w:val="10"/>
        </w:rPr>
        <w:t xml:space="preserve"> </w:t>
      </w:r>
      <w:r>
        <w:rPr>
          <w:w w:val="105"/>
          <w:sz w:val="10"/>
        </w:rPr>
        <w:t>de</w:t>
      </w:r>
      <w:r>
        <w:rPr>
          <w:spacing w:val="-2"/>
          <w:w w:val="105"/>
          <w:sz w:val="10"/>
        </w:rPr>
        <w:t xml:space="preserve"> </w:t>
      </w:r>
      <w:r>
        <w:rPr>
          <w:w w:val="105"/>
          <w:sz w:val="10"/>
        </w:rPr>
        <w:t>creencias,</w:t>
      </w:r>
      <w:r>
        <w:rPr>
          <w:spacing w:val="-1"/>
          <w:w w:val="105"/>
          <w:sz w:val="10"/>
        </w:rPr>
        <w:t xml:space="preserve"> </w:t>
      </w:r>
      <w:r>
        <w:rPr>
          <w:w w:val="105"/>
          <w:sz w:val="10"/>
        </w:rPr>
        <w:t>véase</w:t>
      </w:r>
      <w:r>
        <w:rPr>
          <w:spacing w:val="-2"/>
          <w:w w:val="105"/>
          <w:sz w:val="10"/>
        </w:rPr>
        <w:t xml:space="preserve"> </w:t>
      </w:r>
      <w:r>
        <w:rPr>
          <w:w w:val="105"/>
          <w:sz w:val="10"/>
        </w:rPr>
        <w:t>Heiner</w:t>
      </w:r>
      <w:r>
        <w:rPr>
          <w:spacing w:val="-2"/>
          <w:w w:val="105"/>
          <w:sz w:val="10"/>
        </w:rPr>
        <w:t xml:space="preserve"> </w:t>
      </w:r>
      <w:proofErr w:type="spellStart"/>
      <w:r>
        <w:rPr>
          <w:w w:val="105"/>
          <w:sz w:val="10"/>
        </w:rPr>
        <w:t>Bielefeldt</w:t>
      </w:r>
      <w:proofErr w:type="spellEnd"/>
      <w:r>
        <w:rPr>
          <w:w w:val="105"/>
          <w:sz w:val="10"/>
        </w:rPr>
        <w:t>,</w:t>
      </w:r>
      <w:r>
        <w:rPr>
          <w:spacing w:val="-1"/>
          <w:w w:val="105"/>
          <w:sz w:val="10"/>
        </w:rPr>
        <w:t xml:space="preserve"> </w:t>
      </w:r>
      <w:proofErr w:type="spellStart"/>
      <w:r>
        <w:rPr>
          <w:w w:val="105"/>
          <w:sz w:val="10"/>
        </w:rPr>
        <w:t>Nazila</w:t>
      </w:r>
      <w:proofErr w:type="spellEnd"/>
      <w:r>
        <w:rPr>
          <w:spacing w:val="-2"/>
          <w:w w:val="105"/>
          <w:sz w:val="10"/>
        </w:rPr>
        <w:t xml:space="preserve"> </w:t>
      </w:r>
      <w:proofErr w:type="spellStart"/>
      <w:r>
        <w:rPr>
          <w:w w:val="105"/>
          <w:sz w:val="10"/>
        </w:rPr>
        <w:t>Ghanea</w:t>
      </w:r>
      <w:proofErr w:type="spellEnd"/>
      <w:r>
        <w:rPr>
          <w:spacing w:val="-2"/>
          <w:w w:val="105"/>
          <w:sz w:val="10"/>
        </w:rPr>
        <w:t xml:space="preserve"> </w:t>
      </w:r>
      <w:r>
        <w:rPr>
          <w:w w:val="105"/>
          <w:sz w:val="10"/>
        </w:rPr>
        <w:t>y</w:t>
      </w:r>
      <w:r>
        <w:rPr>
          <w:spacing w:val="-2"/>
          <w:w w:val="105"/>
          <w:sz w:val="10"/>
        </w:rPr>
        <w:t xml:space="preserve"> </w:t>
      </w:r>
      <w:r>
        <w:rPr>
          <w:w w:val="105"/>
          <w:sz w:val="10"/>
        </w:rPr>
        <w:t>Michael</w:t>
      </w:r>
      <w:r>
        <w:rPr>
          <w:spacing w:val="-3"/>
          <w:w w:val="105"/>
          <w:sz w:val="10"/>
        </w:rPr>
        <w:t xml:space="preserve"> </w:t>
      </w:r>
      <w:r>
        <w:rPr>
          <w:spacing w:val="-2"/>
          <w:w w:val="105"/>
          <w:sz w:val="10"/>
        </w:rPr>
        <w:t>Wiener,</w:t>
      </w:r>
    </w:p>
    <w:p w14:paraId="6B97B453" w14:textId="77777777" w:rsidR="0014798C" w:rsidRDefault="004E1F0B">
      <w:pPr>
        <w:spacing w:before="16"/>
        <w:ind w:left="1366"/>
        <w:rPr>
          <w:sz w:val="12"/>
        </w:rPr>
      </w:pPr>
      <w:r>
        <w:rPr>
          <w:spacing w:val="-2"/>
          <w:w w:val="105"/>
          <w:sz w:val="12"/>
        </w:rPr>
        <w:t>Libertad</w:t>
      </w:r>
      <w:r>
        <w:rPr>
          <w:spacing w:val="3"/>
          <w:w w:val="105"/>
          <w:sz w:val="12"/>
        </w:rPr>
        <w:t xml:space="preserve"> </w:t>
      </w:r>
      <w:r>
        <w:rPr>
          <w:spacing w:val="-2"/>
          <w:w w:val="105"/>
          <w:sz w:val="12"/>
        </w:rPr>
        <w:t>de</w:t>
      </w:r>
      <w:r>
        <w:rPr>
          <w:spacing w:val="4"/>
          <w:w w:val="105"/>
          <w:sz w:val="12"/>
        </w:rPr>
        <w:t xml:space="preserve"> </w:t>
      </w:r>
      <w:r>
        <w:rPr>
          <w:spacing w:val="-2"/>
          <w:w w:val="105"/>
          <w:sz w:val="12"/>
        </w:rPr>
        <w:t>religión</w:t>
      </w:r>
      <w:r>
        <w:rPr>
          <w:spacing w:val="4"/>
          <w:w w:val="105"/>
          <w:sz w:val="12"/>
        </w:rPr>
        <w:t xml:space="preserve"> </w:t>
      </w:r>
      <w:r>
        <w:rPr>
          <w:spacing w:val="-2"/>
          <w:w w:val="105"/>
          <w:sz w:val="12"/>
        </w:rPr>
        <w:t>o</w:t>
      </w:r>
      <w:r>
        <w:rPr>
          <w:spacing w:val="3"/>
          <w:w w:val="105"/>
          <w:sz w:val="12"/>
        </w:rPr>
        <w:t xml:space="preserve"> </w:t>
      </w:r>
      <w:r>
        <w:rPr>
          <w:spacing w:val="-2"/>
          <w:w w:val="105"/>
          <w:sz w:val="12"/>
        </w:rPr>
        <w:t>de</w:t>
      </w:r>
      <w:r>
        <w:rPr>
          <w:spacing w:val="4"/>
          <w:w w:val="105"/>
          <w:sz w:val="12"/>
        </w:rPr>
        <w:t xml:space="preserve"> </w:t>
      </w:r>
      <w:r>
        <w:rPr>
          <w:spacing w:val="-2"/>
          <w:w w:val="105"/>
          <w:sz w:val="12"/>
        </w:rPr>
        <w:t>creencias:</w:t>
      </w:r>
      <w:r>
        <w:rPr>
          <w:spacing w:val="5"/>
          <w:w w:val="105"/>
          <w:sz w:val="12"/>
        </w:rPr>
        <w:t xml:space="preserve"> </w:t>
      </w:r>
      <w:r>
        <w:rPr>
          <w:spacing w:val="-2"/>
          <w:w w:val="105"/>
          <w:sz w:val="12"/>
        </w:rPr>
        <w:t>un</w:t>
      </w:r>
      <w:r>
        <w:rPr>
          <w:spacing w:val="4"/>
          <w:w w:val="105"/>
          <w:sz w:val="12"/>
        </w:rPr>
        <w:t xml:space="preserve"> </w:t>
      </w:r>
      <w:r>
        <w:rPr>
          <w:spacing w:val="-2"/>
          <w:w w:val="105"/>
          <w:sz w:val="12"/>
        </w:rPr>
        <w:t>comentario</w:t>
      </w:r>
      <w:r>
        <w:rPr>
          <w:spacing w:val="3"/>
          <w:w w:val="105"/>
          <w:sz w:val="12"/>
        </w:rPr>
        <w:t xml:space="preserve"> </w:t>
      </w:r>
      <w:r>
        <w:rPr>
          <w:spacing w:val="-2"/>
          <w:w w:val="105"/>
          <w:sz w:val="12"/>
        </w:rPr>
        <w:t>de</w:t>
      </w:r>
      <w:r>
        <w:rPr>
          <w:spacing w:val="4"/>
          <w:w w:val="105"/>
          <w:sz w:val="12"/>
        </w:rPr>
        <w:t xml:space="preserve"> </w:t>
      </w:r>
      <w:r>
        <w:rPr>
          <w:spacing w:val="-2"/>
          <w:w w:val="105"/>
          <w:sz w:val="12"/>
        </w:rPr>
        <w:t>derecho</w:t>
      </w:r>
      <w:r>
        <w:rPr>
          <w:spacing w:val="4"/>
          <w:w w:val="105"/>
          <w:sz w:val="12"/>
        </w:rPr>
        <w:t xml:space="preserve"> </w:t>
      </w:r>
      <w:r>
        <w:rPr>
          <w:spacing w:val="-2"/>
          <w:w w:val="105"/>
          <w:sz w:val="12"/>
        </w:rPr>
        <w:t>internacional</w:t>
      </w:r>
      <w:r>
        <w:rPr>
          <w:spacing w:val="3"/>
          <w:w w:val="105"/>
          <w:sz w:val="12"/>
        </w:rPr>
        <w:t xml:space="preserve"> </w:t>
      </w:r>
      <w:r>
        <w:rPr>
          <w:spacing w:val="-2"/>
          <w:w w:val="105"/>
          <w:sz w:val="12"/>
        </w:rPr>
        <w:t>(Oxford,</w:t>
      </w:r>
      <w:r>
        <w:rPr>
          <w:spacing w:val="4"/>
          <w:w w:val="105"/>
          <w:sz w:val="12"/>
        </w:rPr>
        <w:t xml:space="preserve"> </w:t>
      </w:r>
      <w:r>
        <w:rPr>
          <w:spacing w:val="-2"/>
          <w:w w:val="105"/>
          <w:sz w:val="12"/>
        </w:rPr>
        <w:t>Oxford</w:t>
      </w:r>
      <w:r>
        <w:rPr>
          <w:spacing w:val="4"/>
          <w:w w:val="105"/>
          <w:sz w:val="12"/>
        </w:rPr>
        <w:t xml:space="preserve"> </w:t>
      </w:r>
      <w:proofErr w:type="spellStart"/>
      <w:r>
        <w:rPr>
          <w:spacing w:val="-2"/>
          <w:w w:val="105"/>
          <w:sz w:val="12"/>
        </w:rPr>
        <w:t>University</w:t>
      </w:r>
      <w:proofErr w:type="spellEnd"/>
      <w:r>
        <w:rPr>
          <w:spacing w:val="3"/>
          <w:w w:val="105"/>
          <w:sz w:val="12"/>
        </w:rPr>
        <w:t xml:space="preserve"> </w:t>
      </w:r>
      <w:proofErr w:type="spellStart"/>
      <w:r>
        <w:rPr>
          <w:spacing w:val="-2"/>
          <w:w w:val="105"/>
          <w:sz w:val="12"/>
        </w:rPr>
        <w:t>Press</w:t>
      </w:r>
      <w:proofErr w:type="spellEnd"/>
      <w:r>
        <w:rPr>
          <w:spacing w:val="-2"/>
          <w:w w:val="105"/>
          <w:sz w:val="12"/>
        </w:rPr>
        <w:t>,</w:t>
      </w:r>
      <w:r>
        <w:rPr>
          <w:spacing w:val="4"/>
          <w:w w:val="105"/>
          <w:sz w:val="12"/>
        </w:rPr>
        <w:t xml:space="preserve"> </w:t>
      </w:r>
      <w:r>
        <w:rPr>
          <w:spacing w:val="-2"/>
          <w:w w:val="105"/>
          <w:sz w:val="12"/>
        </w:rPr>
        <w:t>2016).</w:t>
      </w:r>
    </w:p>
    <w:p w14:paraId="35EDCB5D" w14:textId="77777777" w:rsidR="0014798C" w:rsidRDefault="0014798C">
      <w:pPr>
        <w:pStyle w:val="Textoindependiente"/>
        <w:rPr>
          <w:sz w:val="18"/>
        </w:rPr>
      </w:pPr>
    </w:p>
    <w:p w14:paraId="7E9F8852" w14:textId="77777777" w:rsidR="0014798C" w:rsidRDefault="0014798C">
      <w:pPr>
        <w:pStyle w:val="Textoindependiente"/>
        <w:rPr>
          <w:sz w:val="18"/>
        </w:rPr>
      </w:pPr>
    </w:p>
    <w:p w14:paraId="493DB450" w14:textId="77777777" w:rsidR="0014798C" w:rsidRDefault="0014798C">
      <w:pPr>
        <w:pStyle w:val="Textoindependiente"/>
        <w:spacing w:before="23"/>
        <w:rPr>
          <w:sz w:val="18"/>
        </w:rPr>
      </w:pPr>
    </w:p>
    <w:p w14:paraId="5F3B4B16" w14:textId="77777777" w:rsidR="0014798C" w:rsidRDefault="004E1F0B">
      <w:pPr>
        <w:ind w:right="702"/>
        <w:jc w:val="right"/>
        <w:rPr>
          <w:sz w:val="18"/>
        </w:rPr>
      </w:pPr>
      <w:r>
        <w:rPr>
          <w:spacing w:val="-5"/>
          <w:sz w:val="18"/>
        </w:rPr>
        <w:t>139</w:t>
      </w:r>
    </w:p>
    <w:p w14:paraId="00BC65A9" w14:textId="77777777" w:rsidR="0014798C" w:rsidRDefault="0014798C">
      <w:pPr>
        <w:jc w:val="right"/>
        <w:rPr>
          <w:sz w:val="18"/>
        </w:rPr>
        <w:sectPr w:rsidR="0014798C" w:rsidSect="00F265E4">
          <w:type w:val="continuous"/>
          <w:pgSz w:w="11900" w:h="16820"/>
          <w:pgMar w:top="40" w:right="0" w:bottom="280" w:left="200" w:header="121" w:footer="0" w:gutter="0"/>
          <w:cols w:space="720"/>
        </w:sectPr>
      </w:pPr>
    </w:p>
    <w:p w14:paraId="5694AFA1" w14:textId="77777777" w:rsidR="0014798C" w:rsidRDefault="0014798C">
      <w:pPr>
        <w:pStyle w:val="Textoindependiente"/>
        <w:spacing w:before="85"/>
        <w:rPr>
          <w:sz w:val="12"/>
        </w:rPr>
      </w:pPr>
    </w:p>
    <w:p w14:paraId="212285EA" w14:textId="77777777" w:rsidR="0014798C" w:rsidRDefault="004E1F0B">
      <w:pPr>
        <w:ind w:left="1111"/>
        <w:rPr>
          <w:sz w:val="12"/>
        </w:rPr>
      </w:pPr>
      <w:r>
        <w:rPr>
          <w:color w:val="803108"/>
          <w:sz w:val="12"/>
        </w:rPr>
        <w:t>PROTECCIÓN</w:t>
      </w:r>
      <w:r>
        <w:rPr>
          <w:color w:val="803108"/>
          <w:spacing w:val="6"/>
          <w:sz w:val="12"/>
        </w:rPr>
        <w:t xml:space="preserve"> </w:t>
      </w:r>
      <w:r>
        <w:rPr>
          <w:color w:val="803108"/>
          <w:sz w:val="12"/>
        </w:rPr>
        <w:t>DE</w:t>
      </w:r>
      <w:r>
        <w:rPr>
          <w:color w:val="803108"/>
          <w:spacing w:val="7"/>
          <w:sz w:val="12"/>
        </w:rPr>
        <w:t xml:space="preserve"> </w:t>
      </w:r>
      <w:r>
        <w:rPr>
          <w:color w:val="803108"/>
          <w:sz w:val="12"/>
        </w:rPr>
        <w:t>LOS</w:t>
      </w:r>
      <w:r>
        <w:rPr>
          <w:color w:val="803108"/>
          <w:spacing w:val="8"/>
          <w:sz w:val="12"/>
        </w:rPr>
        <w:t xml:space="preserve"> </w:t>
      </w:r>
      <w:r>
        <w:rPr>
          <w:color w:val="803108"/>
          <w:sz w:val="12"/>
        </w:rPr>
        <w:t>DERECHOS</w:t>
      </w:r>
      <w:r>
        <w:rPr>
          <w:color w:val="803108"/>
          <w:spacing w:val="8"/>
          <w:sz w:val="12"/>
        </w:rPr>
        <w:t xml:space="preserve"> </w:t>
      </w:r>
      <w:r>
        <w:rPr>
          <w:color w:val="803108"/>
          <w:sz w:val="12"/>
        </w:rPr>
        <w:t>DE</w:t>
      </w:r>
      <w:r>
        <w:rPr>
          <w:color w:val="803108"/>
          <w:spacing w:val="6"/>
          <w:sz w:val="12"/>
        </w:rPr>
        <w:t xml:space="preserve"> </w:t>
      </w:r>
      <w:r>
        <w:rPr>
          <w:color w:val="803108"/>
          <w:sz w:val="12"/>
        </w:rPr>
        <w:t>LAS</w:t>
      </w:r>
      <w:r>
        <w:rPr>
          <w:color w:val="803108"/>
          <w:spacing w:val="7"/>
          <w:sz w:val="12"/>
        </w:rPr>
        <w:t xml:space="preserve"> </w:t>
      </w:r>
      <w:r>
        <w:rPr>
          <w:color w:val="803108"/>
          <w:sz w:val="12"/>
        </w:rPr>
        <w:t>MINORÍAS:</w:t>
      </w:r>
      <w:r>
        <w:rPr>
          <w:color w:val="803108"/>
          <w:spacing w:val="8"/>
          <w:sz w:val="12"/>
        </w:rPr>
        <w:t xml:space="preserve"> </w:t>
      </w:r>
      <w:r>
        <w:rPr>
          <w:color w:val="803108"/>
          <w:sz w:val="12"/>
        </w:rPr>
        <w:t>una</w:t>
      </w:r>
      <w:r>
        <w:rPr>
          <w:color w:val="803108"/>
          <w:spacing w:val="7"/>
          <w:sz w:val="12"/>
        </w:rPr>
        <w:t xml:space="preserve"> </w:t>
      </w:r>
      <w:r>
        <w:rPr>
          <w:color w:val="803108"/>
          <w:sz w:val="12"/>
        </w:rPr>
        <w:t>guía</w:t>
      </w:r>
      <w:r>
        <w:rPr>
          <w:color w:val="803108"/>
          <w:spacing w:val="6"/>
          <w:sz w:val="12"/>
        </w:rPr>
        <w:t xml:space="preserve"> </w:t>
      </w:r>
      <w:r>
        <w:rPr>
          <w:color w:val="803108"/>
          <w:sz w:val="12"/>
        </w:rPr>
        <w:t>práctica</w:t>
      </w:r>
      <w:r>
        <w:rPr>
          <w:color w:val="803108"/>
          <w:spacing w:val="7"/>
          <w:sz w:val="12"/>
        </w:rPr>
        <w:t xml:space="preserve"> </w:t>
      </w:r>
      <w:r>
        <w:rPr>
          <w:color w:val="803108"/>
          <w:sz w:val="12"/>
        </w:rPr>
        <w:t>para</w:t>
      </w:r>
      <w:r>
        <w:rPr>
          <w:color w:val="803108"/>
          <w:spacing w:val="8"/>
          <w:sz w:val="12"/>
        </w:rPr>
        <w:t xml:space="preserve"> </w:t>
      </w:r>
      <w:r>
        <w:rPr>
          <w:color w:val="803108"/>
          <w:sz w:val="12"/>
        </w:rPr>
        <w:t>desarrollar</w:t>
      </w:r>
      <w:r>
        <w:rPr>
          <w:color w:val="803108"/>
          <w:spacing w:val="6"/>
          <w:sz w:val="12"/>
        </w:rPr>
        <w:t xml:space="preserve"> </w:t>
      </w:r>
      <w:r>
        <w:rPr>
          <w:color w:val="803108"/>
          <w:sz w:val="12"/>
        </w:rPr>
        <w:t>una</w:t>
      </w:r>
      <w:r>
        <w:rPr>
          <w:color w:val="803108"/>
          <w:spacing w:val="7"/>
          <w:sz w:val="12"/>
        </w:rPr>
        <w:t xml:space="preserve"> </w:t>
      </w:r>
      <w:r>
        <w:rPr>
          <w:color w:val="803108"/>
          <w:sz w:val="12"/>
        </w:rPr>
        <w:t>legislación</w:t>
      </w:r>
      <w:r>
        <w:rPr>
          <w:color w:val="803108"/>
          <w:spacing w:val="8"/>
          <w:sz w:val="12"/>
        </w:rPr>
        <w:t xml:space="preserve"> </w:t>
      </w:r>
      <w:r>
        <w:rPr>
          <w:color w:val="803108"/>
          <w:sz w:val="12"/>
        </w:rPr>
        <w:t>integral</w:t>
      </w:r>
      <w:r>
        <w:rPr>
          <w:color w:val="803108"/>
          <w:spacing w:val="7"/>
          <w:sz w:val="12"/>
        </w:rPr>
        <w:t xml:space="preserve"> </w:t>
      </w:r>
      <w:r>
        <w:rPr>
          <w:color w:val="803108"/>
          <w:sz w:val="12"/>
        </w:rPr>
        <w:t>contra</w:t>
      </w:r>
      <w:r>
        <w:rPr>
          <w:color w:val="803108"/>
          <w:spacing w:val="6"/>
          <w:sz w:val="12"/>
        </w:rPr>
        <w:t xml:space="preserve"> </w:t>
      </w:r>
      <w:r>
        <w:rPr>
          <w:color w:val="803108"/>
          <w:sz w:val="12"/>
        </w:rPr>
        <w:t>la</w:t>
      </w:r>
      <w:r>
        <w:rPr>
          <w:color w:val="803108"/>
          <w:spacing w:val="7"/>
          <w:sz w:val="12"/>
        </w:rPr>
        <w:t xml:space="preserve"> </w:t>
      </w:r>
      <w:r>
        <w:rPr>
          <w:color w:val="803108"/>
          <w:spacing w:val="-2"/>
          <w:sz w:val="12"/>
        </w:rPr>
        <w:t>discriminación</w:t>
      </w:r>
    </w:p>
    <w:p w14:paraId="44781974" w14:textId="77777777" w:rsidR="0014798C" w:rsidRDefault="0014798C">
      <w:pPr>
        <w:pStyle w:val="Textoindependiente"/>
        <w:rPr>
          <w:sz w:val="17"/>
        </w:rPr>
      </w:pPr>
    </w:p>
    <w:p w14:paraId="4E7560DD" w14:textId="77777777" w:rsidR="0014798C" w:rsidRDefault="0014798C">
      <w:pPr>
        <w:pStyle w:val="Textoindependiente"/>
        <w:rPr>
          <w:sz w:val="17"/>
        </w:rPr>
      </w:pPr>
    </w:p>
    <w:p w14:paraId="0811E371" w14:textId="77777777" w:rsidR="0014798C" w:rsidRDefault="0014798C">
      <w:pPr>
        <w:pStyle w:val="Textoindependiente"/>
        <w:rPr>
          <w:sz w:val="17"/>
        </w:rPr>
      </w:pPr>
    </w:p>
    <w:p w14:paraId="314F21C5" w14:textId="77777777" w:rsidR="0014798C" w:rsidRDefault="0014798C">
      <w:pPr>
        <w:pStyle w:val="Textoindependiente"/>
        <w:spacing w:before="183"/>
        <w:rPr>
          <w:sz w:val="17"/>
        </w:rPr>
      </w:pPr>
    </w:p>
    <w:p w14:paraId="43CF537D" w14:textId="77777777" w:rsidR="0014798C" w:rsidRDefault="004E1F0B">
      <w:pPr>
        <w:spacing w:line="307" w:lineRule="auto"/>
        <w:ind w:left="1673" w:right="1272" w:firstLine="1"/>
        <w:rPr>
          <w:sz w:val="17"/>
        </w:rPr>
      </w:pPr>
      <w:r>
        <w:rPr>
          <w:color w:val="803108"/>
          <w:sz w:val="17"/>
        </w:rPr>
        <w:t xml:space="preserve">sus religiones o creencias o recibir apoyo público de la misma manera que los seguidores de una religión </w:t>
      </w:r>
      <w:r>
        <w:rPr>
          <w:sz w:val="17"/>
        </w:rPr>
        <w:t xml:space="preserve">del </w:t>
      </w:r>
      <w:r>
        <w:rPr>
          <w:spacing w:val="-2"/>
          <w:sz w:val="17"/>
        </w:rPr>
        <w:t>Estado.964</w:t>
      </w:r>
    </w:p>
    <w:p w14:paraId="03C2C2D9" w14:textId="77777777" w:rsidR="0014798C" w:rsidRDefault="004E1F0B">
      <w:pPr>
        <w:pStyle w:val="Textoindependiente"/>
        <w:spacing w:before="119" w:line="326" w:lineRule="auto"/>
        <w:ind w:left="1105" w:right="1463" w:firstLine="9"/>
      </w:pPr>
      <w:r>
        <w:t>Otros deberes positivos incluyen el cumplimiento de todas las obligaciones estipuladas en el artículo 27 del Pacto y en la Declaración sobre los derechos de las personas pertenecientes a minorías nacionales o étnicas, religiosas y lingüísticas, que exige a los Estados "adoptar medidas para crear condiciones favorables" que permitan a las personas pertenecientes a las minorías para “expresar sus características”.965</w:t>
      </w:r>
    </w:p>
    <w:p w14:paraId="61B9A98A" w14:textId="77777777" w:rsidR="0014798C" w:rsidRDefault="004E1F0B">
      <w:pPr>
        <w:pStyle w:val="Textoindependiente"/>
        <w:spacing w:before="168" w:line="326" w:lineRule="auto"/>
        <w:ind w:left="1107" w:right="1335" w:hanging="1"/>
      </w:pPr>
      <w:r>
        <w:t>Los pasajes que siguen se refieren a la obligación de los Estados de garantizar el disfrute igualitario del derecho a la libertad de religión o de creencias, y a cuestiones de infracción o denegación discriminatoria de la libertad de religión o de creencias. Esto incluye</w:t>
      </w:r>
      <w:r>
        <w:rPr>
          <w:spacing w:val="12"/>
        </w:rPr>
        <w:t xml:space="preserve"> </w:t>
      </w:r>
      <w:r>
        <w:t>la</w:t>
      </w:r>
      <w:r>
        <w:rPr>
          <w:spacing w:val="12"/>
        </w:rPr>
        <w:t xml:space="preserve"> </w:t>
      </w:r>
      <w:r>
        <w:t>cuestión</w:t>
      </w:r>
      <w:r>
        <w:rPr>
          <w:spacing w:val="12"/>
        </w:rPr>
        <w:t xml:space="preserve"> </w:t>
      </w:r>
      <w:r>
        <w:t>de</w:t>
      </w:r>
      <w:r>
        <w:rPr>
          <w:spacing w:val="12"/>
        </w:rPr>
        <w:t xml:space="preserve"> </w:t>
      </w:r>
      <w:r>
        <w:t>si</w:t>
      </w:r>
      <w:r>
        <w:rPr>
          <w:spacing w:val="12"/>
        </w:rPr>
        <w:t xml:space="preserve"> </w:t>
      </w:r>
      <w:r>
        <w:t>el</w:t>
      </w:r>
      <w:r>
        <w:rPr>
          <w:spacing w:val="12"/>
        </w:rPr>
        <w:t xml:space="preserve"> </w:t>
      </w:r>
      <w:r>
        <w:t>establecimiento</w:t>
      </w:r>
      <w:r>
        <w:rPr>
          <w:spacing w:val="12"/>
        </w:rPr>
        <w:t xml:space="preserve"> </w:t>
      </w:r>
      <w:r>
        <w:t>de</w:t>
      </w:r>
      <w:r>
        <w:rPr>
          <w:spacing w:val="12"/>
        </w:rPr>
        <w:t xml:space="preserve"> </w:t>
      </w:r>
      <w:r>
        <w:t>una</w:t>
      </w:r>
      <w:r>
        <w:rPr>
          <w:spacing w:val="12"/>
        </w:rPr>
        <w:t xml:space="preserve"> </w:t>
      </w:r>
      <w:r>
        <w:t>religión</w:t>
      </w:r>
      <w:r>
        <w:rPr>
          <w:spacing w:val="12"/>
        </w:rPr>
        <w:t xml:space="preserve"> </w:t>
      </w:r>
      <w:r>
        <w:t>estatal</w:t>
      </w:r>
      <w:r>
        <w:rPr>
          <w:spacing w:val="12"/>
        </w:rPr>
        <w:t xml:space="preserve"> </w:t>
      </w:r>
      <w:r>
        <w:t>da</w:t>
      </w:r>
      <w:r>
        <w:rPr>
          <w:spacing w:val="12"/>
        </w:rPr>
        <w:t xml:space="preserve"> </w:t>
      </w:r>
      <w:r>
        <w:t>lugar</w:t>
      </w:r>
      <w:r>
        <w:rPr>
          <w:spacing w:val="12"/>
        </w:rPr>
        <w:t xml:space="preserve"> </w:t>
      </w:r>
      <w:r>
        <w:t>a</w:t>
      </w:r>
      <w:r>
        <w:rPr>
          <w:spacing w:val="12"/>
        </w:rPr>
        <w:t xml:space="preserve"> </w:t>
      </w:r>
      <w:r>
        <w:t>preocupaciones</w:t>
      </w:r>
      <w:r>
        <w:rPr>
          <w:spacing w:val="12"/>
        </w:rPr>
        <w:t xml:space="preserve"> </w:t>
      </w:r>
      <w:r>
        <w:t>de</w:t>
      </w:r>
      <w:r>
        <w:rPr>
          <w:spacing w:val="12"/>
        </w:rPr>
        <w:t xml:space="preserve"> </w:t>
      </w:r>
      <w:r>
        <w:t>discriminación</w:t>
      </w:r>
      <w:r>
        <w:rPr>
          <w:spacing w:val="12"/>
        </w:rPr>
        <w:t xml:space="preserve"> </w:t>
      </w:r>
      <w:r>
        <w:t>en</w:t>
      </w:r>
      <w:r>
        <w:rPr>
          <w:spacing w:val="12"/>
        </w:rPr>
        <w:t xml:space="preserve"> </w:t>
      </w:r>
      <w:r>
        <w:t>relación</w:t>
      </w:r>
      <w:r>
        <w:rPr>
          <w:spacing w:val="12"/>
        </w:rPr>
        <w:t xml:space="preserve"> </w:t>
      </w:r>
      <w:r>
        <w:t>con las minorías religiosas o de creencias, así como la igualdad y la no discriminación en el ámbito del establecimiento de comunidades</w:t>
      </w:r>
      <w:r>
        <w:rPr>
          <w:spacing w:val="15"/>
        </w:rPr>
        <w:t xml:space="preserve"> </w:t>
      </w:r>
      <w:r>
        <w:t>religiosas</w:t>
      </w:r>
      <w:r>
        <w:rPr>
          <w:spacing w:val="15"/>
        </w:rPr>
        <w:t xml:space="preserve"> </w:t>
      </w:r>
      <w:r>
        <w:t>o</w:t>
      </w:r>
      <w:r>
        <w:rPr>
          <w:spacing w:val="15"/>
        </w:rPr>
        <w:t xml:space="preserve"> </w:t>
      </w:r>
      <w:r>
        <w:t>de</w:t>
      </w:r>
      <w:r>
        <w:rPr>
          <w:spacing w:val="15"/>
        </w:rPr>
        <w:t xml:space="preserve"> </w:t>
      </w:r>
      <w:r>
        <w:t>creencias,</w:t>
      </w:r>
      <w:r>
        <w:rPr>
          <w:spacing w:val="16"/>
        </w:rPr>
        <w:t xml:space="preserve"> </w:t>
      </w:r>
      <w:r>
        <w:t>y</w:t>
      </w:r>
      <w:r>
        <w:rPr>
          <w:spacing w:val="15"/>
        </w:rPr>
        <w:t xml:space="preserve"> </w:t>
      </w:r>
      <w:r>
        <w:t>la</w:t>
      </w:r>
      <w:r>
        <w:rPr>
          <w:spacing w:val="15"/>
        </w:rPr>
        <w:t xml:space="preserve"> </w:t>
      </w:r>
      <w:r>
        <w:t>garantía</w:t>
      </w:r>
      <w:r>
        <w:rPr>
          <w:spacing w:val="15"/>
        </w:rPr>
        <w:t xml:space="preserve"> </w:t>
      </w:r>
      <w:r>
        <w:t>de</w:t>
      </w:r>
      <w:r>
        <w:rPr>
          <w:spacing w:val="15"/>
        </w:rPr>
        <w:t xml:space="preserve"> </w:t>
      </w:r>
      <w:r>
        <w:t>igualdad</w:t>
      </w:r>
      <w:r>
        <w:rPr>
          <w:spacing w:val="15"/>
        </w:rPr>
        <w:t xml:space="preserve"> </w:t>
      </w:r>
      <w:r>
        <w:t>de</w:t>
      </w:r>
      <w:r>
        <w:rPr>
          <w:spacing w:val="15"/>
        </w:rPr>
        <w:t xml:space="preserve"> </w:t>
      </w:r>
      <w:r>
        <w:t>capacidades</w:t>
      </w:r>
      <w:r>
        <w:rPr>
          <w:spacing w:val="15"/>
        </w:rPr>
        <w:t xml:space="preserve"> </w:t>
      </w:r>
      <w:r>
        <w:t>para</w:t>
      </w:r>
      <w:r>
        <w:rPr>
          <w:spacing w:val="15"/>
        </w:rPr>
        <w:t xml:space="preserve"> </w:t>
      </w:r>
      <w:r>
        <w:t>practicar</w:t>
      </w:r>
      <w:r>
        <w:rPr>
          <w:spacing w:val="15"/>
        </w:rPr>
        <w:t xml:space="preserve"> </w:t>
      </w:r>
      <w:r>
        <w:t>libremente.</w:t>
      </w:r>
      <w:r>
        <w:rPr>
          <w:spacing w:val="16"/>
        </w:rPr>
        <w:t xml:space="preserve"> </w:t>
      </w:r>
      <w:r>
        <w:t>Dado</w:t>
      </w:r>
      <w:r>
        <w:rPr>
          <w:spacing w:val="15"/>
        </w:rPr>
        <w:t xml:space="preserve"> </w:t>
      </w:r>
      <w:r>
        <w:t>que</w:t>
      </w:r>
      <w:r>
        <w:rPr>
          <w:spacing w:val="15"/>
        </w:rPr>
        <w:t xml:space="preserve"> </w:t>
      </w:r>
      <w:r>
        <w:t>la presente guía se centra en la igualdad y la no discriminación, la presente sección no trata en detalle todos los aspectos del derecho a la libertad de religión o de creencias.</w:t>
      </w:r>
    </w:p>
    <w:p w14:paraId="2AAA0181" w14:textId="77777777" w:rsidR="0014798C" w:rsidRDefault="0014798C">
      <w:pPr>
        <w:pStyle w:val="Textoindependiente"/>
        <w:spacing w:before="28"/>
        <w:rPr>
          <w:sz w:val="21"/>
        </w:rPr>
      </w:pPr>
    </w:p>
    <w:p w14:paraId="57087AB1" w14:textId="77777777" w:rsidR="0014798C" w:rsidRDefault="004E1F0B">
      <w:pPr>
        <w:numPr>
          <w:ilvl w:val="0"/>
          <w:numId w:val="20"/>
        </w:numPr>
        <w:tabs>
          <w:tab w:val="left" w:pos="1373"/>
        </w:tabs>
        <w:spacing w:before="1"/>
        <w:ind w:left="1373" w:hanging="238"/>
        <w:rPr>
          <w:color w:val="803108"/>
          <w:sz w:val="21"/>
        </w:rPr>
      </w:pPr>
      <w:r>
        <w:rPr>
          <w:color w:val="803108"/>
          <w:sz w:val="21"/>
        </w:rPr>
        <w:t>Religión</w:t>
      </w:r>
      <w:r>
        <w:rPr>
          <w:color w:val="803108"/>
          <w:spacing w:val="8"/>
          <w:sz w:val="21"/>
        </w:rPr>
        <w:t xml:space="preserve"> </w:t>
      </w:r>
      <w:r>
        <w:rPr>
          <w:color w:val="803108"/>
          <w:sz w:val="21"/>
        </w:rPr>
        <w:t>del</w:t>
      </w:r>
      <w:r>
        <w:rPr>
          <w:color w:val="803108"/>
          <w:spacing w:val="9"/>
          <w:sz w:val="21"/>
        </w:rPr>
        <w:t xml:space="preserve"> </w:t>
      </w:r>
      <w:r>
        <w:rPr>
          <w:color w:val="803108"/>
          <w:sz w:val="21"/>
        </w:rPr>
        <w:t>Estado</w:t>
      </w:r>
      <w:r>
        <w:rPr>
          <w:color w:val="803108"/>
          <w:spacing w:val="9"/>
          <w:sz w:val="21"/>
        </w:rPr>
        <w:t xml:space="preserve"> </w:t>
      </w:r>
      <w:r>
        <w:rPr>
          <w:color w:val="803108"/>
          <w:sz w:val="21"/>
        </w:rPr>
        <w:t>y</w:t>
      </w:r>
      <w:r>
        <w:rPr>
          <w:color w:val="803108"/>
          <w:spacing w:val="8"/>
          <w:sz w:val="21"/>
        </w:rPr>
        <w:t xml:space="preserve"> </w:t>
      </w:r>
      <w:r>
        <w:rPr>
          <w:color w:val="803108"/>
          <w:sz w:val="21"/>
        </w:rPr>
        <w:t>minorías</w:t>
      </w:r>
      <w:r>
        <w:rPr>
          <w:color w:val="803108"/>
          <w:spacing w:val="9"/>
          <w:sz w:val="21"/>
        </w:rPr>
        <w:t xml:space="preserve"> </w:t>
      </w:r>
      <w:r>
        <w:rPr>
          <w:color w:val="803108"/>
          <w:sz w:val="21"/>
        </w:rPr>
        <w:t>religiosas</w:t>
      </w:r>
      <w:r>
        <w:rPr>
          <w:color w:val="803108"/>
          <w:spacing w:val="9"/>
          <w:sz w:val="21"/>
        </w:rPr>
        <w:t xml:space="preserve"> </w:t>
      </w:r>
      <w:r>
        <w:rPr>
          <w:color w:val="803108"/>
          <w:sz w:val="21"/>
        </w:rPr>
        <w:t>y</w:t>
      </w:r>
      <w:r>
        <w:rPr>
          <w:color w:val="803108"/>
          <w:spacing w:val="8"/>
          <w:sz w:val="21"/>
        </w:rPr>
        <w:t xml:space="preserve"> </w:t>
      </w:r>
      <w:r>
        <w:rPr>
          <w:color w:val="803108"/>
          <w:sz w:val="21"/>
        </w:rPr>
        <w:t>de</w:t>
      </w:r>
      <w:r>
        <w:rPr>
          <w:color w:val="803108"/>
          <w:spacing w:val="9"/>
          <w:sz w:val="21"/>
        </w:rPr>
        <w:t xml:space="preserve"> </w:t>
      </w:r>
      <w:r>
        <w:rPr>
          <w:color w:val="803108"/>
          <w:spacing w:val="-2"/>
          <w:sz w:val="21"/>
        </w:rPr>
        <w:t>creencias</w:t>
      </w:r>
    </w:p>
    <w:p w14:paraId="7B57C76B" w14:textId="77777777" w:rsidR="0014798C" w:rsidRDefault="0014798C">
      <w:pPr>
        <w:pStyle w:val="Textoindependiente"/>
        <w:spacing w:before="54"/>
      </w:pPr>
    </w:p>
    <w:p w14:paraId="718A3C05" w14:textId="77777777" w:rsidR="0014798C" w:rsidRDefault="004E1F0B">
      <w:pPr>
        <w:pStyle w:val="Textoindependiente"/>
        <w:spacing w:line="326" w:lineRule="auto"/>
        <w:ind w:left="1110" w:right="1476" w:firstLine="4"/>
        <w:jc w:val="both"/>
      </w:pPr>
      <w:r>
        <w:t>Surgen cuestiones complejas con respecto a los derechos de las minorías religiosas o de creencias en situaciones en las que</w:t>
      </w:r>
      <w:r>
        <w:rPr>
          <w:spacing w:val="40"/>
        </w:rPr>
        <w:t xml:space="preserve"> </w:t>
      </w:r>
      <w:r>
        <w:t xml:space="preserve">un Estado establece una religión oficial </w:t>
      </w:r>
      <w:proofErr w:type="spellStart"/>
      <w:r>
        <w:t>o</w:t>
      </w:r>
      <w:proofErr w:type="spellEnd"/>
      <w:r>
        <w:t xml:space="preserve"> otorga primacía jurídica o política a una religión mayoritaria. El Comité de Derechos Humanos, en su observación general No. 22 (1993), ha establecido que:</w:t>
      </w:r>
    </w:p>
    <w:p w14:paraId="5F2D783C" w14:textId="77777777" w:rsidR="0014798C" w:rsidRDefault="004E1F0B">
      <w:pPr>
        <w:pStyle w:val="Textoindependiente"/>
        <w:spacing w:before="112" w:line="326" w:lineRule="auto"/>
        <w:ind w:left="1674" w:right="1807" w:hanging="2"/>
      </w:pPr>
      <w:r>
        <w:rPr>
          <w:color w:val="803108"/>
        </w:rPr>
        <w:t>El hecho de que una religión sea reconocida como religión del Estado o de que se establezca como oficial o tradicional o de que sus seguidores constituyan la mayoría de la población no menoscabará el disfrute de ninguno</w:t>
      </w:r>
      <w:r>
        <w:rPr>
          <w:color w:val="803108"/>
          <w:spacing w:val="40"/>
        </w:rPr>
        <w:t xml:space="preserve"> </w:t>
      </w:r>
      <w:r>
        <w:rPr>
          <w:color w:val="803108"/>
        </w:rPr>
        <w:t>de los derechos consagrados en el Pacto, incluidos artículos 18 y 27, ni darán lugar a discriminación alguna contra los seguidores de otras religiones o los no creyentes.966</w:t>
      </w:r>
    </w:p>
    <w:p w14:paraId="6E6A8FB4" w14:textId="77777777" w:rsidR="0014798C" w:rsidRDefault="004E1F0B">
      <w:pPr>
        <w:pStyle w:val="Textoindependiente"/>
        <w:spacing w:before="111" w:line="326" w:lineRule="auto"/>
        <w:ind w:left="1107" w:right="1272" w:firstLine="7"/>
      </w:pPr>
      <w:r>
        <w:t>Anteriormente se han señalado otros deberes positivos, incluido el requisito de tomar medidas para crear condiciones favorables para que las minorías expresen sus características.</w:t>
      </w:r>
    </w:p>
    <w:p w14:paraId="0917DA8A" w14:textId="77777777" w:rsidR="0014798C" w:rsidRDefault="004E1F0B">
      <w:pPr>
        <w:pStyle w:val="Textoindependiente"/>
        <w:spacing w:before="169" w:line="326" w:lineRule="auto"/>
        <w:ind w:left="1107" w:right="1272" w:hanging="1"/>
      </w:pPr>
      <w:r>
        <w:t>La Declaración de Beirut y sus 18 Compromisos sobre la fe por los derechos se refieren explícitamente a impedir el uso de la noción de “religión de Estado” o “secularismo doctrinal” para discriminar a individuos o grupos o reducir “el espacio para el pluralismo religioso o de creencias en la práctica”. 967</w:t>
      </w:r>
    </w:p>
    <w:p w14:paraId="73279435" w14:textId="77777777" w:rsidR="0014798C" w:rsidRDefault="004E1F0B">
      <w:pPr>
        <w:pStyle w:val="Textoindependiente"/>
        <w:spacing w:before="168" w:line="326" w:lineRule="auto"/>
        <w:ind w:left="1107" w:right="1309" w:hanging="1"/>
      </w:pPr>
      <w:r>
        <w:t>La Comisión Africana de Derechos Humanos y de los Pueblos sostuvo, en Amnistía Internacional y otros contra Sudán, que el pleno</w:t>
      </w:r>
      <w:r>
        <w:rPr>
          <w:spacing w:val="10"/>
        </w:rPr>
        <w:t xml:space="preserve"> </w:t>
      </w:r>
      <w:r>
        <w:t>respeto</w:t>
      </w:r>
      <w:r>
        <w:rPr>
          <w:spacing w:val="10"/>
        </w:rPr>
        <w:t xml:space="preserve"> </w:t>
      </w:r>
      <w:r>
        <w:t>de</w:t>
      </w:r>
      <w:r>
        <w:rPr>
          <w:spacing w:val="10"/>
        </w:rPr>
        <w:t xml:space="preserve"> </w:t>
      </w:r>
      <w:r>
        <w:t>la</w:t>
      </w:r>
      <w:r>
        <w:rPr>
          <w:spacing w:val="10"/>
        </w:rPr>
        <w:t xml:space="preserve"> </w:t>
      </w:r>
      <w:r>
        <w:t>libertad</w:t>
      </w:r>
      <w:r>
        <w:rPr>
          <w:spacing w:val="10"/>
        </w:rPr>
        <w:t xml:space="preserve"> </w:t>
      </w:r>
      <w:r>
        <w:t>de</w:t>
      </w:r>
      <w:r>
        <w:rPr>
          <w:spacing w:val="10"/>
        </w:rPr>
        <w:t xml:space="preserve"> </w:t>
      </w:r>
      <w:r>
        <w:t>religión</w:t>
      </w:r>
      <w:r>
        <w:rPr>
          <w:spacing w:val="10"/>
        </w:rPr>
        <w:t xml:space="preserve"> </w:t>
      </w:r>
      <w:r>
        <w:t>en</w:t>
      </w:r>
      <w:r>
        <w:rPr>
          <w:spacing w:val="10"/>
        </w:rPr>
        <w:t xml:space="preserve"> </w:t>
      </w:r>
      <w:r>
        <w:t>un</w:t>
      </w:r>
      <w:r>
        <w:rPr>
          <w:spacing w:val="10"/>
        </w:rPr>
        <w:t xml:space="preserve"> </w:t>
      </w:r>
      <w:r>
        <w:t>Estado</w:t>
      </w:r>
      <w:r>
        <w:rPr>
          <w:spacing w:val="10"/>
        </w:rPr>
        <w:t xml:space="preserve"> </w:t>
      </w:r>
      <w:r>
        <w:t>en</w:t>
      </w:r>
      <w:r>
        <w:rPr>
          <w:spacing w:val="10"/>
        </w:rPr>
        <w:t xml:space="preserve"> </w:t>
      </w:r>
      <w:r>
        <w:t>particular</w:t>
      </w:r>
      <w:r>
        <w:rPr>
          <w:spacing w:val="10"/>
        </w:rPr>
        <w:t xml:space="preserve"> </w:t>
      </w:r>
      <w:r>
        <w:t>no</w:t>
      </w:r>
      <w:r>
        <w:rPr>
          <w:spacing w:val="10"/>
        </w:rPr>
        <w:t xml:space="preserve"> </w:t>
      </w:r>
      <w:r>
        <w:t>podía</w:t>
      </w:r>
      <w:r>
        <w:rPr>
          <w:spacing w:val="10"/>
        </w:rPr>
        <w:t xml:space="preserve"> </w:t>
      </w:r>
      <w:r>
        <w:t>aplicarse</w:t>
      </w:r>
      <w:r>
        <w:rPr>
          <w:spacing w:val="10"/>
        </w:rPr>
        <w:t xml:space="preserve"> </w:t>
      </w:r>
      <w:r>
        <w:t>“de</w:t>
      </w:r>
      <w:r>
        <w:rPr>
          <w:spacing w:val="10"/>
        </w:rPr>
        <w:t xml:space="preserve"> </w:t>
      </w:r>
      <w:r>
        <w:t>tal</w:t>
      </w:r>
      <w:r>
        <w:rPr>
          <w:spacing w:val="10"/>
        </w:rPr>
        <w:t xml:space="preserve"> </w:t>
      </w:r>
      <w:r>
        <w:t>manera</w:t>
      </w:r>
      <w:r>
        <w:rPr>
          <w:spacing w:val="10"/>
        </w:rPr>
        <w:t xml:space="preserve"> </w:t>
      </w:r>
      <w:r>
        <w:t>que</w:t>
      </w:r>
      <w:r>
        <w:rPr>
          <w:spacing w:val="10"/>
        </w:rPr>
        <w:t xml:space="preserve"> </w:t>
      </w:r>
      <w:r>
        <w:t>causara</w:t>
      </w:r>
      <w:r>
        <w:rPr>
          <w:spacing w:val="10"/>
        </w:rPr>
        <w:t xml:space="preserve"> </w:t>
      </w:r>
      <w:r>
        <w:t>discriminación y</w:t>
      </w:r>
      <w:r>
        <w:rPr>
          <w:spacing w:val="14"/>
        </w:rPr>
        <w:t xml:space="preserve"> </w:t>
      </w:r>
      <w:r>
        <w:t>angustia</w:t>
      </w:r>
      <w:r>
        <w:rPr>
          <w:spacing w:val="14"/>
        </w:rPr>
        <w:t xml:space="preserve"> </w:t>
      </w:r>
      <w:r>
        <w:t>a</w:t>
      </w:r>
      <w:r>
        <w:rPr>
          <w:spacing w:val="14"/>
        </w:rPr>
        <w:t xml:space="preserve"> </w:t>
      </w:r>
      <w:r>
        <w:t>otros”.</w:t>
      </w:r>
      <w:r>
        <w:rPr>
          <w:spacing w:val="15"/>
        </w:rPr>
        <w:t xml:space="preserve"> </w:t>
      </w:r>
      <w:r>
        <w:t>968</w:t>
      </w:r>
      <w:r>
        <w:rPr>
          <w:spacing w:val="14"/>
        </w:rPr>
        <w:t xml:space="preserve"> </w:t>
      </w:r>
      <w:r>
        <w:t>La</w:t>
      </w:r>
      <w:r>
        <w:rPr>
          <w:spacing w:val="14"/>
        </w:rPr>
        <w:t xml:space="preserve"> </w:t>
      </w:r>
      <w:r>
        <w:t>Comisión</w:t>
      </w:r>
      <w:r>
        <w:rPr>
          <w:spacing w:val="14"/>
        </w:rPr>
        <w:t xml:space="preserve"> </w:t>
      </w:r>
      <w:r>
        <w:t>también</w:t>
      </w:r>
      <w:r>
        <w:rPr>
          <w:spacing w:val="14"/>
        </w:rPr>
        <w:t xml:space="preserve"> </w:t>
      </w:r>
      <w:r>
        <w:t>sostuvo</w:t>
      </w:r>
      <w:r>
        <w:rPr>
          <w:spacing w:val="14"/>
        </w:rPr>
        <w:t xml:space="preserve"> </w:t>
      </w:r>
      <w:r>
        <w:t>que</w:t>
      </w:r>
      <w:r>
        <w:rPr>
          <w:spacing w:val="14"/>
        </w:rPr>
        <w:t xml:space="preserve"> </w:t>
      </w:r>
      <w:r>
        <w:t>era</w:t>
      </w:r>
      <w:r>
        <w:rPr>
          <w:spacing w:val="14"/>
        </w:rPr>
        <w:t xml:space="preserve"> </w:t>
      </w:r>
      <w:r>
        <w:t>“fundamentalmente</w:t>
      </w:r>
      <w:r>
        <w:rPr>
          <w:spacing w:val="14"/>
        </w:rPr>
        <w:t xml:space="preserve"> </w:t>
      </w:r>
      <w:r>
        <w:t>injusto</w:t>
      </w:r>
      <w:r>
        <w:rPr>
          <w:spacing w:val="14"/>
        </w:rPr>
        <w:t xml:space="preserve"> </w:t>
      </w:r>
      <w:r>
        <w:t>que</w:t>
      </w:r>
      <w:r>
        <w:rPr>
          <w:spacing w:val="14"/>
        </w:rPr>
        <w:t xml:space="preserve"> </w:t>
      </w:r>
      <w:r>
        <w:t>se</w:t>
      </w:r>
      <w:r>
        <w:rPr>
          <w:spacing w:val="14"/>
        </w:rPr>
        <w:t xml:space="preserve"> </w:t>
      </w:r>
      <w:r>
        <w:t>aplicaran</w:t>
      </w:r>
      <w:r>
        <w:rPr>
          <w:spacing w:val="14"/>
        </w:rPr>
        <w:t xml:space="preserve"> </w:t>
      </w:r>
      <w:r>
        <w:t>leyes</w:t>
      </w:r>
      <w:r>
        <w:rPr>
          <w:spacing w:val="14"/>
        </w:rPr>
        <w:t xml:space="preserve"> </w:t>
      </w:r>
      <w:r>
        <w:t>religiosas contra</w:t>
      </w:r>
      <w:r>
        <w:rPr>
          <w:spacing w:val="12"/>
        </w:rPr>
        <w:t xml:space="preserve"> </w:t>
      </w:r>
      <w:r>
        <w:t>los</w:t>
      </w:r>
      <w:r>
        <w:rPr>
          <w:spacing w:val="12"/>
        </w:rPr>
        <w:t xml:space="preserve"> </w:t>
      </w:r>
      <w:r>
        <w:t>no</w:t>
      </w:r>
      <w:r>
        <w:rPr>
          <w:spacing w:val="12"/>
        </w:rPr>
        <w:t xml:space="preserve"> </w:t>
      </w:r>
      <w:r>
        <w:t>seguidores</w:t>
      </w:r>
      <w:r>
        <w:rPr>
          <w:spacing w:val="12"/>
        </w:rPr>
        <w:t xml:space="preserve"> </w:t>
      </w:r>
      <w:r>
        <w:t>de</w:t>
      </w:r>
      <w:r>
        <w:rPr>
          <w:spacing w:val="12"/>
        </w:rPr>
        <w:t xml:space="preserve"> </w:t>
      </w:r>
      <w:r>
        <w:t>la</w:t>
      </w:r>
      <w:r>
        <w:rPr>
          <w:spacing w:val="12"/>
        </w:rPr>
        <w:t xml:space="preserve"> </w:t>
      </w:r>
      <w:r>
        <w:t>religión”.</w:t>
      </w:r>
      <w:r>
        <w:rPr>
          <w:spacing w:val="13"/>
        </w:rPr>
        <w:t xml:space="preserve"> </w:t>
      </w:r>
      <w:r>
        <w:t>En</w:t>
      </w:r>
      <w:r>
        <w:rPr>
          <w:spacing w:val="12"/>
        </w:rPr>
        <w:t xml:space="preserve"> </w:t>
      </w:r>
      <w:r>
        <w:t>el</w:t>
      </w:r>
      <w:r>
        <w:rPr>
          <w:spacing w:val="12"/>
        </w:rPr>
        <w:t xml:space="preserve"> </w:t>
      </w:r>
      <w:r>
        <w:t>mismo</w:t>
      </w:r>
      <w:r>
        <w:rPr>
          <w:spacing w:val="12"/>
        </w:rPr>
        <w:t xml:space="preserve"> </w:t>
      </w:r>
      <w:r>
        <w:t>caso,</w:t>
      </w:r>
      <w:r>
        <w:rPr>
          <w:spacing w:val="13"/>
        </w:rPr>
        <w:t xml:space="preserve"> </w:t>
      </w:r>
      <w:r>
        <w:t>el</w:t>
      </w:r>
      <w:r>
        <w:rPr>
          <w:spacing w:val="12"/>
        </w:rPr>
        <w:t xml:space="preserve"> </w:t>
      </w:r>
      <w:r>
        <w:t>Comité</w:t>
      </w:r>
      <w:r>
        <w:rPr>
          <w:spacing w:val="12"/>
        </w:rPr>
        <w:t xml:space="preserve"> </w:t>
      </w:r>
      <w:r>
        <w:t>señaló</w:t>
      </w:r>
      <w:r>
        <w:rPr>
          <w:spacing w:val="12"/>
        </w:rPr>
        <w:t xml:space="preserve"> </w:t>
      </w:r>
      <w:r>
        <w:t>que:</w:t>
      </w:r>
      <w:r>
        <w:rPr>
          <w:spacing w:val="13"/>
        </w:rPr>
        <w:t xml:space="preserve"> </w:t>
      </w:r>
      <w:r>
        <w:t>“Los</w:t>
      </w:r>
      <w:r>
        <w:rPr>
          <w:spacing w:val="12"/>
        </w:rPr>
        <w:t xml:space="preserve"> </w:t>
      </w:r>
      <w:r>
        <w:t>tribunales</w:t>
      </w:r>
      <w:r>
        <w:rPr>
          <w:spacing w:val="12"/>
        </w:rPr>
        <w:t xml:space="preserve"> </w:t>
      </w:r>
      <w:r>
        <w:t>que</w:t>
      </w:r>
      <w:r>
        <w:rPr>
          <w:spacing w:val="12"/>
        </w:rPr>
        <w:t xml:space="preserve"> </w:t>
      </w:r>
      <w:r>
        <w:t>aplican</w:t>
      </w:r>
      <w:r>
        <w:rPr>
          <w:spacing w:val="12"/>
        </w:rPr>
        <w:t xml:space="preserve"> </w:t>
      </w:r>
      <w:r>
        <w:t>únicamente</w:t>
      </w:r>
      <w:r>
        <w:rPr>
          <w:spacing w:val="12"/>
        </w:rPr>
        <w:t xml:space="preserve"> </w:t>
      </w:r>
      <w:r>
        <w:t xml:space="preserve">la </w:t>
      </w:r>
      <w:proofErr w:type="spellStart"/>
      <w:r>
        <w:t>Sharia</w:t>
      </w:r>
      <w:proofErr w:type="spellEnd"/>
      <w:r>
        <w:t xml:space="preserve"> no son, por lo tanto, competentes para juzgar a los no musulmanes, y toda persona debería tener derecho a ser juzgada</w:t>
      </w:r>
      <w:r>
        <w:rPr>
          <w:spacing w:val="40"/>
        </w:rPr>
        <w:t xml:space="preserve"> </w:t>
      </w:r>
      <w:r>
        <w:t xml:space="preserve">por un tribunal secular si así lo desea”. 969 Además, La Comisión identificó otros comportamientos discriminatorios contra los cristianos, incluida la coerción para convertirse al Islam, la expulsión de misioneros y la distribución desigual de alimentos en las </w:t>
      </w:r>
      <w:r>
        <w:rPr>
          <w:spacing w:val="-2"/>
        </w:rPr>
        <w:t>cárceles.970</w:t>
      </w:r>
    </w:p>
    <w:p w14:paraId="506D984F" w14:textId="77777777" w:rsidR="0014798C" w:rsidRDefault="0014798C">
      <w:pPr>
        <w:pStyle w:val="Textoindependiente"/>
        <w:rPr>
          <w:sz w:val="20"/>
        </w:rPr>
      </w:pPr>
    </w:p>
    <w:p w14:paraId="1778EDA3" w14:textId="77777777" w:rsidR="0014798C" w:rsidRDefault="004E1F0B">
      <w:pPr>
        <w:pStyle w:val="Textoindependiente"/>
        <w:spacing w:before="205"/>
        <w:rPr>
          <w:sz w:val="20"/>
        </w:rPr>
      </w:pPr>
      <w:r>
        <w:rPr>
          <w:noProof/>
        </w:rPr>
        <w:drawing>
          <wp:anchor distT="0" distB="0" distL="0" distR="0" simplePos="0" relativeHeight="251658549" behindDoc="1" locked="0" layoutInCell="1" allowOverlap="1" wp14:anchorId="6B818B55" wp14:editId="63CB235A">
            <wp:simplePos x="0" y="0"/>
            <wp:positionH relativeFrom="page">
              <wp:posOffset>826632</wp:posOffset>
            </wp:positionH>
            <wp:positionV relativeFrom="paragraph">
              <wp:posOffset>291772</wp:posOffset>
            </wp:positionV>
            <wp:extent cx="931001" cy="35813"/>
            <wp:effectExtent l="0" t="0" r="0" b="0"/>
            <wp:wrapTopAndBottom/>
            <wp:docPr id="290" name="Image 29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90" name="Image 290"/>
                    <pic:cNvPicPr/>
                  </pic:nvPicPr>
                  <pic:blipFill>
                    <a:blip r:embed="rId274" cstate="print"/>
                    <a:stretch>
                      <a:fillRect/>
                    </a:stretch>
                  </pic:blipFill>
                  <pic:spPr>
                    <a:xfrm>
                      <a:off x="0" y="0"/>
                      <a:ext cx="931001" cy="35813"/>
                    </a:xfrm>
                    <a:prstGeom prst="rect">
                      <a:avLst/>
                    </a:prstGeom>
                  </pic:spPr>
                </pic:pic>
              </a:graphicData>
            </a:graphic>
          </wp:anchor>
        </w:drawing>
      </w:r>
    </w:p>
    <w:p w14:paraId="15413F03" w14:textId="77777777" w:rsidR="0014798C" w:rsidRDefault="0014798C">
      <w:pPr>
        <w:pStyle w:val="Textoindependiente"/>
        <w:spacing w:before="20"/>
        <w:rPr>
          <w:sz w:val="12"/>
        </w:rPr>
      </w:pPr>
    </w:p>
    <w:p w14:paraId="031B23CB" w14:textId="77777777" w:rsidR="0014798C" w:rsidRDefault="004E1F0B">
      <w:pPr>
        <w:spacing w:before="1" w:line="312" w:lineRule="auto"/>
        <w:ind w:left="1366" w:right="1917" w:hanging="259"/>
        <w:rPr>
          <w:sz w:val="12"/>
        </w:rPr>
      </w:pPr>
      <w:r>
        <w:rPr>
          <w:sz w:val="12"/>
        </w:rPr>
        <w:t>964</w:t>
      </w:r>
      <w:r>
        <w:rPr>
          <w:spacing w:val="9"/>
          <w:sz w:val="12"/>
        </w:rPr>
        <w:t xml:space="preserve"> </w:t>
      </w:r>
      <w:r>
        <w:rPr>
          <w:sz w:val="12"/>
        </w:rPr>
        <w:t>Véase</w:t>
      </w:r>
      <w:r>
        <w:rPr>
          <w:spacing w:val="9"/>
          <w:sz w:val="12"/>
        </w:rPr>
        <w:t xml:space="preserve"> </w:t>
      </w:r>
      <w:r>
        <w:rPr>
          <w:sz w:val="12"/>
        </w:rPr>
        <w:t>A/HRC/37/49,</w:t>
      </w:r>
      <w:r>
        <w:rPr>
          <w:spacing w:val="9"/>
          <w:sz w:val="12"/>
        </w:rPr>
        <w:t xml:space="preserve"> </w:t>
      </w:r>
      <w:r>
        <w:rPr>
          <w:sz w:val="12"/>
        </w:rPr>
        <w:t>párr.</w:t>
      </w:r>
      <w:r>
        <w:rPr>
          <w:spacing w:val="10"/>
          <w:sz w:val="12"/>
        </w:rPr>
        <w:t xml:space="preserve"> </w:t>
      </w:r>
      <w:r>
        <w:rPr>
          <w:sz w:val="12"/>
        </w:rPr>
        <w:t>29.</w:t>
      </w:r>
      <w:r>
        <w:rPr>
          <w:spacing w:val="9"/>
          <w:sz w:val="12"/>
        </w:rPr>
        <w:t xml:space="preserve"> </w:t>
      </w:r>
      <w:r>
        <w:rPr>
          <w:sz w:val="12"/>
        </w:rPr>
        <w:t>En</w:t>
      </w:r>
      <w:r>
        <w:rPr>
          <w:spacing w:val="9"/>
          <w:sz w:val="12"/>
        </w:rPr>
        <w:t xml:space="preserve"> </w:t>
      </w:r>
      <w:r>
        <w:rPr>
          <w:sz w:val="12"/>
        </w:rPr>
        <w:t>el</w:t>
      </w:r>
      <w:r>
        <w:rPr>
          <w:spacing w:val="9"/>
          <w:sz w:val="12"/>
        </w:rPr>
        <w:t xml:space="preserve"> </w:t>
      </w:r>
      <w:r>
        <w:rPr>
          <w:sz w:val="12"/>
        </w:rPr>
        <w:t>caso</w:t>
      </w:r>
      <w:r>
        <w:rPr>
          <w:spacing w:val="9"/>
          <w:sz w:val="12"/>
        </w:rPr>
        <w:t xml:space="preserve"> </w:t>
      </w:r>
      <w:r>
        <w:rPr>
          <w:sz w:val="12"/>
        </w:rPr>
        <w:t>Waldman</w:t>
      </w:r>
      <w:r>
        <w:rPr>
          <w:spacing w:val="9"/>
          <w:sz w:val="12"/>
        </w:rPr>
        <w:t xml:space="preserve"> </w:t>
      </w:r>
      <w:r>
        <w:rPr>
          <w:sz w:val="12"/>
        </w:rPr>
        <w:t>c.</w:t>
      </w:r>
      <w:r>
        <w:rPr>
          <w:spacing w:val="9"/>
          <w:sz w:val="12"/>
        </w:rPr>
        <w:t xml:space="preserve"> </w:t>
      </w:r>
      <w:r>
        <w:rPr>
          <w:sz w:val="12"/>
        </w:rPr>
        <w:t>Canadá,</w:t>
      </w:r>
      <w:r>
        <w:rPr>
          <w:spacing w:val="10"/>
          <w:sz w:val="12"/>
        </w:rPr>
        <w:t xml:space="preserve"> </w:t>
      </w:r>
      <w:r>
        <w:rPr>
          <w:sz w:val="12"/>
        </w:rPr>
        <w:t>el</w:t>
      </w:r>
      <w:r>
        <w:rPr>
          <w:spacing w:val="9"/>
          <w:sz w:val="12"/>
        </w:rPr>
        <w:t xml:space="preserve"> </w:t>
      </w:r>
      <w:r>
        <w:rPr>
          <w:sz w:val="12"/>
        </w:rPr>
        <w:t>Comité</w:t>
      </w:r>
      <w:r>
        <w:rPr>
          <w:spacing w:val="9"/>
          <w:sz w:val="12"/>
        </w:rPr>
        <w:t xml:space="preserve"> </w:t>
      </w:r>
      <w:r>
        <w:rPr>
          <w:sz w:val="12"/>
        </w:rPr>
        <w:t>de</w:t>
      </w:r>
      <w:r>
        <w:rPr>
          <w:spacing w:val="9"/>
          <w:sz w:val="12"/>
        </w:rPr>
        <w:t xml:space="preserve"> </w:t>
      </w:r>
      <w:r>
        <w:rPr>
          <w:sz w:val="12"/>
        </w:rPr>
        <w:t>Derechos</w:t>
      </w:r>
      <w:r>
        <w:rPr>
          <w:spacing w:val="9"/>
          <w:sz w:val="12"/>
        </w:rPr>
        <w:t xml:space="preserve"> </w:t>
      </w:r>
      <w:r>
        <w:rPr>
          <w:sz w:val="12"/>
        </w:rPr>
        <w:t>Humanos</w:t>
      </w:r>
      <w:r>
        <w:rPr>
          <w:spacing w:val="9"/>
          <w:sz w:val="12"/>
        </w:rPr>
        <w:t xml:space="preserve"> </w:t>
      </w:r>
      <w:r>
        <w:rPr>
          <w:sz w:val="12"/>
        </w:rPr>
        <w:t>sostuvo</w:t>
      </w:r>
      <w:r>
        <w:rPr>
          <w:spacing w:val="9"/>
          <w:sz w:val="12"/>
        </w:rPr>
        <w:t xml:space="preserve"> </w:t>
      </w:r>
      <w:r>
        <w:rPr>
          <w:sz w:val="12"/>
        </w:rPr>
        <w:t>que</w:t>
      </w:r>
      <w:r>
        <w:rPr>
          <w:spacing w:val="9"/>
          <w:sz w:val="12"/>
        </w:rPr>
        <w:t xml:space="preserve"> </w:t>
      </w:r>
      <w:r>
        <w:rPr>
          <w:sz w:val="12"/>
        </w:rPr>
        <w:t>“si</w:t>
      </w:r>
      <w:r>
        <w:rPr>
          <w:spacing w:val="9"/>
          <w:sz w:val="12"/>
        </w:rPr>
        <w:t xml:space="preserve"> </w:t>
      </w:r>
      <w:r>
        <w:rPr>
          <w:sz w:val="12"/>
        </w:rPr>
        <w:t>un</w:t>
      </w:r>
      <w:r>
        <w:rPr>
          <w:spacing w:val="9"/>
          <w:sz w:val="12"/>
        </w:rPr>
        <w:t xml:space="preserve"> </w:t>
      </w:r>
      <w:r>
        <w:rPr>
          <w:sz w:val="12"/>
        </w:rPr>
        <w:t>Estado</w:t>
      </w:r>
      <w:r>
        <w:rPr>
          <w:spacing w:val="9"/>
          <w:sz w:val="12"/>
        </w:rPr>
        <w:t xml:space="preserve"> </w:t>
      </w:r>
      <w:r>
        <w:rPr>
          <w:sz w:val="12"/>
        </w:rPr>
        <w:t>parte</w:t>
      </w:r>
      <w:r>
        <w:rPr>
          <w:spacing w:val="9"/>
          <w:sz w:val="12"/>
        </w:rPr>
        <w:t xml:space="preserve"> </w:t>
      </w:r>
      <w:r>
        <w:rPr>
          <w:sz w:val="12"/>
        </w:rPr>
        <w:t>decide</w:t>
      </w:r>
      <w:r>
        <w:rPr>
          <w:spacing w:val="9"/>
          <w:sz w:val="12"/>
        </w:rPr>
        <w:t xml:space="preserve"> </w:t>
      </w:r>
      <w:r>
        <w:rPr>
          <w:sz w:val="12"/>
        </w:rPr>
        <w:t>proporcionar</w:t>
      </w:r>
      <w:r>
        <w:rPr>
          <w:spacing w:val="40"/>
          <w:sz w:val="12"/>
        </w:rPr>
        <w:t xml:space="preserve"> </w:t>
      </w:r>
      <w:r>
        <w:rPr>
          <w:sz w:val="12"/>
        </w:rPr>
        <w:t>financiación pública a las escuelas religiosas, debe ponerla a disposición sin discriminación. Esto significa que la financiación de las escuelas de un grupo</w:t>
      </w:r>
    </w:p>
    <w:p w14:paraId="4338E415" w14:textId="77777777" w:rsidR="0014798C" w:rsidRDefault="004E1F0B">
      <w:pPr>
        <w:spacing w:line="256" w:lineRule="auto"/>
        <w:ind w:left="1366" w:right="1840" w:firstLine="1"/>
        <w:rPr>
          <w:sz w:val="12"/>
        </w:rPr>
      </w:pPr>
      <w:r>
        <w:rPr>
          <w:sz w:val="12"/>
        </w:rPr>
        <w:t>religioso y no de otro debe basarse en criterios razonables y objetivos. En el presente caso, el Comité concluye que el material que tiene ante sí no demuestra</w:t>
      </w:r>
      <w:r>
        <w:rPr>
          <w:spacing w:val="40"/>
          <w:sz w:val="12"/>
        </w:rPr>
        <w:t xml:space="preserve"> </w:t>
      </w:r>
      <w:r>
        <w:rPr>
          <w:sz w:val="12"/>
        </w:rPr>
        <w:t>que el trato diferenciado entre la fe católica romana y la denominación religiosa del autor se base en esos criterios. En consecuencia, se ha producido una</w:t>
      </w:r>
    </w:p>
    <w:p w14:paraId="7892E274" w14:textId="77777777" w:rsidR="0014798C" w:rsidRDefault="004E1F0B">
      <w:pPr>
        <w:spacing w:before="65" w:line="312" w:lineRule="auto"/>
        <w:ind w:left="1369" w:right="1626"/>
        <w:rPr>
          <w:sz w:val="12"/>
        </w:rPr>
      </w:pPr>
      <w:r>
        <w:rPr>
          <w:sz w:val="12"/>
        </w:rPr>
        <w:t>violación del derecho del autor consagrado en el artículo 26 del Pacto a una protección igual y efectiva contra la discriminación”. Véase Comité de Derechos</w:t>
      </w:r>
      <w:r>
        <w:rPr>
          <w:spacing w:val="40"/>
          <w:sz w:val="12"/>
        </w:rPr>
        <w:t xml:space="preserve"> </w:t>
      </w:r>
      <w:r>
        <w:rPr>
          <w:sz w:val="12"/>
        </w:rPr>
        <w:t>Humanos, Waldman v. Canadá.</w:t>
      </w:r>
    </w:p>
    <w:p w14:paraId="36067168" w14:textId="77777777" w:rsidR="0014798C" w:rsidRDefault="004E1F0B">
      <w:pPr>
        <w:spacing w:before="1"/>
        <w:ind w:left="1375"/>
        <w:rPr>
          <w:sz w:val="12"/>
        </w:rPr>
      </w:pPr>
      <w:r>
        <w:rPr>
          <w:sz w:val="12"/>
        </w:rPr>
        <w:t>(CCPR/C/67/D/694/1996),</w:t>
      </w:r>
      <w:r>
        <w:rPr>
          <w:spacing w:val="6"/>
          <w:sz w:val="12"/>
        </w:rPr>
        <w:t xml:space="preserve"> </w:t>
      </w:r>
      <w:r>
        <w:rPr>
          <w:sz w:val="12"/>
        </w:rPr>
        <w:t>párr.</w:t>
      </w:r>
      <w:r>
        <w:rPr>
          <w:spacing w:val="6"/>
          <w:sz w:val="12"/>
        </w:rPr>
        <w:t xml:space="preserve"> </w:t>
      </w:r>
      <w:r>
        <w:rPr>
          <w:spacing w:val="-2"/>
          <w:sz w:val="12"/>
        </w:rPr>
        <w:t>10.6.</w:t>
      </w:r>
    </w:p>
    <w:p w14:paraId="30396099" w14:textId="77777777" w:rsidR="0014798C" w:rsidRDefault="004E1F0B">
      <w:pPr>
        <w:spacing w:before="82"/>
        <w:ind w:left="1107"/>
        <w:rPr>
          <w:sz w:val="13"/>
        </w:rPr>
      </w:pPr>
      <w:r>
        <w:rPr>
          <w:sz w:val="13"/>
        </w:rPr>
        <w:t>965</w:t>
      </w:r>
      <w:r>
        <w:rPr>
          <w:spacing w:val="-6"/>
          <w:sz w:val="13"/>
        </w:rPr>
        <w:t xml:space="preserve"> </w:t>
      </w:r>
      <w:r>
        <w:rPr>
          <w:sz w:val="13"/>
        </w:rPr>
        <w:t>Declaración</w:t>
      </w:r>
      <w:r>
        <w:rPr>
          <w:spacing w:val="-3"/>
          <w:sz w:val="13"/>
        </w:rPr>
        <w:t xml:space="preserve"> </w:t>
      </w:r>
      <w:r>
        <w:rPr>
          <w:sz w:val="13"/>
        </w:rPr>
        <w:t>sobre</w:t>
      </w:r>
      <w:r>
        <w:rPr>
          <w:spacing w:val="-3"/>
          <w:sz w:val="13"/>
        </w:rPr>
        <w:t xml:space="preserve"> </w:t>
      </w:r>
      <w:r>
        <w:rPr>
          <w:sz w:val="13"/>
        </w:rPr>
        <w:t>los</w:t>
      </w:r>
      <w:r>
        <w:rPr>
          <w:spacing w:val="-3"/>
          <w:sz w:val="13"/>
        </w:rPr>
        <w:t xml:space="preserve"> </w:t>
      </w:r>
      <w:r>
        <w:rPr>
          <w:sz w:val="13"/>
        </w:rPr>
        <w:t>derechos</w:t>
      </w:r>
      <w:r>
        <w:rPr>
          <w:spacing w:val="-3"/>
          <w:sz w:val="13"/>
        </w:rPr>
        <w:t xml:space="preserve"> </w:t>
      </w:r>
      <w:r>
        <w:rPr>
          <w:sz w:val="13"/>
        </w:rPr>
        <w:t>de</w:t>
      </w:r>
      <w:r>
        <w:rPr>
          <w:spacing w:val="-3"/>
          <w:sz w:val="13"/>
        </w:rPr>
        <w:t xml:space="preserve"> </w:t>
      </w:r>
      <w:r>
        <w:rPr>
          <w:sz w:val="13"/>
        </w:rPr>
        <w:t>las</w:t>
      </w:r>
      <w:r>
        <w:rPr>
          <w:spacing w:val="-3"/>
          <w:sz w:val="13"/>
        </w:rPr>
        <w:t xml:space="preserve"> </w:t>
      </w:r>
      <w:r>
        <w:rPr>
          <w:sz w:val="13"/>
        </w:rPr>
        <w:t>personas</w:t>
      </w:r>
      <w:r>
        <w:rPr>
          <w:spacing w:val="-3"/>
          <w:sz w:val="13"/>
        </w:rPr>
        <w:t xml:space="preserve"> </w:t>
      </w:r>
      <w:r>
        <w:rPr>
          <w:sz w:val="13"/>
        </w:rPr>
        <w:t>pertenecientes</w:t>
      </w:r>
      <w:r>
        <w:rPr>
          <w:spacing w:val="-3"/>
          <w:sz w:val="13"/>
        </w:rPr>
        <w:t xml:space="preserve"> </w:t>
      </w:r>
      <w:r>
        <w:rPr>
          <w:sz w:val="13"/>
        </w:rPr>
        <w:t>a</w:t>
      </w:r>
      <w:r>
        <w:rPr>
          <w:spacing w:val="-3"/>
          <w:sz w:val="13"/>
        </w:rPr>
        <w:t xml:space="preserve"> </w:t>
      </w:r>
      <w:r>
        <w:rPr>
          <w:sz w:val="13"/>
        </w:rPr>
        <w:t>minorías</w:t>
      </w:r>
      <w:r>
        <w:rPr>
          <w:spacing w:val="-3"/>
          <w:sz w:val="13"/>
        </w:rPr>
        <w:t xml:space="preserve"> </w:t>
      </w:r>
      <w:r>
        <w:rPr>
          <w:sz w:val="13"/>
        </w:rPr>
        <w:t>nacionales</w:t>
      </w:r>
      <w:r>
        <w:rPr>
          <w:spacing w:val="-3"/>
          <w:sz w:val="13"/>
        </w:rPr>
        <w:t xml:space="preserve"> </w:t>
      </w:r>
      <w:r>
        <w:rPr>
          <w:sz w:val="13"/>
        </w:rPr>
        <w:t>o</w:t>
      </w:r>
      <w:r>
        <w:rPr>
          <w:spacing w:val="-3"/>
          <w:sz w:val="13"/>
        </w:rPr>
        <w:t xml:space="preserve"> </w:t>
      </w:r>
      <w:r>
        <w:rPr>
          <w:sz w:val="13"/>
        </w:rPr>
        <w:t>étnicas,</w:t>
      </w:r>
      <w:r>
        <w:rPr>
          <w:spacing w:val="-2"/>
          <w:sz w:val="13"/>
        </w:rPr>
        <w:t xml:space="preserve"> </w:t>
      </w:r>
      <w:r>
        <w:rPr>
          <w:sz w:val="13"/>
        </w:rPr>
        <w:t>religiosas</w:t>
      </w:r>
      <w:r>
        <w:rPr>
          <w:spacing w:val="-3"/>
          <w:sz w:val="13"/>
        </w:rPr>
        <w:t xml:space="preserve"> </w:t>
      </w:r>
      <w:r>
        <w:rPr>
          <w:sz w:val="13"/>
        </w:rPr>
        <w:t>y</w:t>
      </w:r>
      <w:r>
        <w:rPr>
          <w:spacing w:val="-3"/>
          <w:sz w:val="13"/>
        </w:rPr>
        <w:t xml:space="preserve"> </w:t>
      </w:r>
      <w:r>
        <w:rPr>
          <w:sz w:val="13"/>
        </w:rPr>
        <w:t>lingüísticas,</w:t>
      </w:r>
      <w:r>
        <w:rPr>
          <w:spacing w:val="-2"/>
          <w:sz w:val="13"/>
        </w:rPr>
        <w:t xml:space="preserve"> </w:t>
      </w:r>
      <w:r>
        <w:rPr>
          <w:sz w:val="13"/>
        </w:rPr>
        <w:t>art.</w:t>
      </w:r>
      <w:r>
        <w:rPr>
          <w:spacing w:val="-3"/>
          <w:sz w:val="13"/>
        </w:rPr>
        <w:t xml:space="preserve"> </w:t>
      </w:r>
      <w:r>
        <w:rPr>
          <w:sz w:val="13"/>
        </w:rPr>
        <w:t>4</w:t>
      </w:r>
      <w:r>
        <w:rPr>
          <w:spacing w:val="-3"/>
          <w:sz w:val="13"/>
        </w:rPr>
        <w:t xml:space="preserve"> </w:t>
      </w:r>
      <w:r>
        <w:rPr>
          <w:spacing w:val="-4"/>
          <w:sz w:val="13"/>
        </w:rPr>
        <w:t>(2).</w:t>
      </w:r>
    </w:p>
    <w:p w14:paraId="243BA1CE" w14:textId="77777777" w:rsidR="0014798C" w:rsidRDefault="004E1F0B">
      <w:pPr>
        <w:spacing w:before="87"/>
        <w:ind w:left="1107"/>
        <w:rPr>
          <w:sz w:val="13"/>
        </w:rPr>
      </w:pPr>
      <w:r>
        <w:rPr>
          <w:sz w:val="13"/>
        </w:rPr>
        <w:t>966</w:t>
      </w:r>
      <w:r>
        <w:rPr>
          <w:spacing w:val="-8"/>
          <w:sz w:val="13"/>
        </w:rPr>
        <w:t xml:space="preserve"> </w:t>
      </w:r>
      <w:r>
        <w:rPr>
          <w:sz w:val="13"/>
        </w:rPr>
        <w:t>Comité</w:t>
      </w:r>
      <w:r>
        <w:rPr>
          <w:spacing w:val="-5"/>
          <w:sz w:val="13"/>
        </w:rPr>
        <w:t xml:space="preserve"> </w:t>
      </w:r>
      <w:r>
        <w:rPr>
          <w:sz w:val="13"/>
        </w:rPr>
        <w:t>de</w:t>
      </w:r>
      <w:r>
        <w:rPr>
          <w:spacing w:val="-5"/>
          <w:sz w:val="13"/>
        </w:rPr>
        <w:t xml:space="preserve"> </w:t>
      </w:r>
      <w:r>
        <w:rPr>
          <w:sz w:val="13"/>
        </w:rPr>
        <w:t>Derechos</w:t>
      </w:r>
      <w:r>
        <w:rPr>
          <w:spacing w:val="-5"/>
          <w:sz w:val="13"/>
        </w:rPr>
        <w:t xml:space="preserve"> </w:t>
      </w:r>
      <w:r>
        <w:rPr>
          <w:sz w:val="13"/>
        </w:rPr>
        <w:t>Humanos,</w:t>
      </w:r>
      <w:r>
        <w:rPr>
          <w:spacing w:val="-4"/>
          <w:sz w:val="13"/>
        </w:rPr>
        <w:t xml:space="preserve"> </w:t>
      </w:r>
      <w:r>
        <w:rPr>
          <w:sz w:val="13"/>
        </w:rPr>
        <w:t>observación</w:t>
      </w:r>
      <w:r>
        <w:rPr>
          <w:spacing w:val="-5"/>
          <w:sz w:val="13"/>
        </w:rPr>
        <w:t xml:space="preserve"> </w:t>
      </w:r>
      <w:r>
        <w:rPr>
          <w:sz w:val="13"/>
        </w:rPr>
        <w:t>general</w:t>
      </w:r>
      <w:r>
        <w:rPr>
          <w:spacing w:val="-5"/>
          <w:sz w:val="13"/>
        </w:rPr>
        <w:t xml:space="preserve"> </w:t>
      </w:r>
      <w:r>
        <w:rPr>
          <w:sz w:val="13"/>
        </w:rPr>
        <w:t>núm.</w:t>
      </w:r>
      <w:r>
        <w:rPr>
          <w:spacing w:val="-4"/>
          <w:sz w:val="13"/>
        </w:rPr>
        <w:t xml:space="preserve"> </w:t>
      </w:r>
      <w:r>
        <w:rPr>
          <w:sz w:val="13"/>
        </w:rPr>
        <w:t>22</w:t>
      </w:r>
      <w:r>
        <w:rPr>
          <w:spacing w:val="-5"/>
          <w:sz w:val="13"/>
        </w:rPr>
        <w:t xml:space="preserve"> </w:t>
      </w:r>
      <w:r>
        <w:rPr>
          <w:sz w:val="13"/>
        </w:rPr>
        <w:t>(1993),</w:t>
      </w:r>
      <w:r>
        <w:rPr>
          <w:spacing w:val="-4"/>
          <w:sz w:val="13"/>
        </w:rPr>
        <w:t xml:space="preserve"> </w:t>
      </w:r>
      <w:r>
        <w:rPr>
          <w:sz w:val="13"/>
        </w:rPr>
        <w:t>párr.</w:t>
      </w:r>
      <w:r>
        <w:rPr>
          <w:spacing w:val="-4"/>
          <w:sz w:val="13"/>
        </w:rPr>
        <w:t xml:space="preserve"> </w:t>
      </w:r>
      <w:r>
        <w:rPr>
          <w:spacing w:val="-5"/>
          <w:sz w:val="13"/>
        </w:rPr>
        <w:t>9.</w:t>
      </w:r>
    </w:p>
    <w:p w14:paraId="1EBB159C" w14:textId="77777777" w:rsidR="0014798C" w:rsidRDefault="0014798C">
      <w:pPr>
        <w:rPr>
          <w:sz w:val="13"/>
        </w:rPr>
        <w:sectPr w:rsidR="0014798C" w:rsidSect="00F265E4">
          <w:pgSz w:w="11900" w:h="16820"/>
          <w:pgMar w:top="340" w:right="0" w:bottom="280" w:left="200" w:header="121" w:footer="0" w:gutter="0"/>
          <w:cols w:space="720"/>
        </w:sectPr>
      </w:pPr>
    </w:p>
    <w:p w14:paraId="0A38B6E0" w14:textId="77777777" w:rsidR="0014798C" w:rsidRDefault="004E1F0B">
      <w:pPr>
        <w:spacing w:before="51"/>
        <w:jc w:val="right"/>
        <w:rPr>
          <w:sz w:val="8"/>
        </w:rPr>
      </w:pPr>
      <w:r>
        <w:rPr>
          <w:spacing w:val="-5"/>
          <w:w w:val="105"/>
          <w:sz w:val="8"/>
        </w:rPr>
        <w:t>967</w:t>
      </w:r>
    </w:p>
    <w:p w14:paraId="3CCC6181" w14:textId="77777777" w:rsidR="0014798C" w:rsidRDefault="004E1F0B">
      <w:pPr>
        <w:spacing w:before="103" w:line="312" w:lineRule="auto"/>
        <w:ind w:left="77" w:right="2557"/>
        <w:rPr>
          <w:sz w:val="12"/>
        </w:rPr>
      </w:pPr>
      <w:r>
        <w:br w:type="column"/>
      </w:r>
      <w:r>
        <w:rPr>
          <w:sz w:val="12"/>
        </w:rPr>
        <w:t xml:space="preserve">A/HRC/40/58, anexo II, compromiso IV. Véase también A/HRC/37/49, </w:t>
      </w:r>
      <w:proofErr w:type="spellStart"/>
      <w:r>
        <w:rPr>
          <w:sz w:val="12"/>
        </w:rPr>
        <w:t>párrs</w:t>
      </w:r>
      <w:proofErr w:type="spellEnd"/>
      <w:r>
        <w:rPr>
          <w:sz w:val="12"/>
        </w:rPr>
        <w:t xml:space="preserve">. 28–29; y ACNUDH, #Faith4Rights </w:t>
      </w:r>
      <w:proofErr w:type="spellStart"/>
      <w:r>
        <w:rPr>
          <w:sz w:val="12"/>
        </w:rPr>
        <w:t>Toolkit</w:t>
      </w:r>
      <w:proofErr w:type="spellEnd"/>
      <w:r>
        <w:rPr>
          <w:sz w:val="12"/>
        </w:rPr>
        <w:t xml:space="preserve"> (2021), módulo 4.</w:t>
      </w:r>
      <w:r>
        <w:rPr>
          <w:spacing w:val="40"/>
          <w:sz w:val="12"/>
        </w:rPr>
        <w:t xml:space="preserve"> </w:t>
      </w:r>
      <w:r>
        <w:rPr>
          <w:sz w:val="12"/>
        </w:rPr>
        <w:t xml:space="preserve">Disponible en </w:t>
      </w:r>
      <w:hyperlink r:id="rId275">
        <w:r>
          <w:rPr>
            <w:color w:val="0075BF"/>
            <w:sz w:val="12"/>
          </w:rPr>
          <w:t>www.ohchr.org/Documents/Press/faith4rights-toolkit.pdf.</w:t>
        </w:r>
      </w:hyperlink>
    </w:p>
    <w:p w14:paraId="07C55933" w14:textId="77777777" w:rsidR="0014798C" w:rsidRDefault="0014798C">
      <w:pPr>
        <w:spacing w:line="312" w:lineRule="auto"/>
        <w:rPr>
          <w:sz w:val="12"/>
        </w:rPr>
        <w:sectPr w:rsidR="0014798C" w:rsidSect="00F265E4">
          <w:type w:val="continuous"/>
          <w:pgSz w:w="11900" w:h="16820"/>
          <w:pgMar w:top="40" w:right="0" w:bottom="280" w:left="200" w:header="121" w:footer="0" w:gutter="0"/>
          <w:cols w:num="2" w:space="720" w:equalWidth="0">
            <w:col w:w="1249" w:space="40"/>
            <w:col w:w="10411"/>
          </w:cols>
        </w:sectPr>
      </w:pPr>
    </w:p>
    <w:p w14:paraId="38FBAA02" w14:textId="77777777" w:rsidR="0014798C" w:rsidRDefault="004E1F0B">
      <w:pPr>
        <w:spacing w:before="57" w:line="312" w:lineRule="auto"/>
        <w:ind w:left="1370" w:right="2004" w:hanging="263"/>
        <w:rPr>
          <w:sz w:val="12"/>
        </w:rPr>
      </w:pPr>
      <w:r>
        <w:rPr>
          <w:sz w:val="12"/>
        </w:rPr>
        <w:t>968 Comisión Africana de Derechos Humanos y de los Pueblos, Amnistía Internacional y otros c. Sudán, comunicaciones Nos. 48/90, 50/91, 52/91 y 89/93,</w:t>
      </w:r>
      <w:r>
        <w:rPr>
          <w:spacing w:val="40"/>
          <w:sz w:val="12"/>
        </w:rPr>
        <w:t xml:space="preserve"> </w:t>
      </w:r>
      <w:r>
        <w:rPr>
          <w:sz w:val="12"/>
        </w:rPr>
        <w:t>Decisión, 15 de noviembre de 1999, párr. 72.</w:t>
      </w:r>
    </w:p>
    <w:p w14:paraId="29B5D636" w14:textId="77777777" w:rsidR="0014798C" w:rsidRDefault="004E1F0B">
      <w:pPr>
        <w:spacing w:before="42"/>
        <w:ind w:left="1107"/>
        <w:rPr>
          <w:sz w:val="13"/>
        </w:rPr>
      </w:pPr>
      <w:r>
        <w:rPr>
          <w:sz w:val="13"/>
        </w:rPr>
        <w:t>969</w:t>
      </w:r>
      <w:r>
        <w:rPr>
          <w:spacing w:val="-5"/>
          <w:sz w:val="13"/>
        </w:rPr>
        <w:t xml:space="preserve"> </w:t>
      </w:r>
      <w:proofErr w:type="spellStart"/>
      <w:r>
        <w:rPr>
          <w:sz w:val="13"/>
        </w:rPr>
        <w:t>Ibíd</w:t>
      </w:r>
      <w:proofErr w:type="spellEnd"/>
      <w:r>
        <w:rPr>
          <w:sz w:val="13"/>
        </w:rPr>
        <w:t>.,</w:t>
      </w:r>
      <w:r>
        <w:rPr>
          <w:spacing w:val="-5"/>
          <w:sz w:val="13"/>
        </w:rPr>
        <w:t xml:space="preserve"> </w:t>
      </w:r>
      <w:r>
        <w:rPr>
          <w:sz w:val="13"/>
        </w:rPr>
        <w:t>párr.</w:t>
      </w:r>
      <w:r>
        <w:rPr>
          <w:spacing w:val="-3"/>
          <w:sz w:val="13"/>
        </w:rPr>
        <w:t xml:space="preserve"> </w:t>
      </w:r>
      <w:r>
        <w:rPr>
          <w:spacing w:val="-5"/>
          <w:sz w:val="13"/>
        </w:rPr>
        <w:t>73.</w:t>
      </w:r>
    </w:p>
    <w:p w14:paraId="3FE79408" w14:textId="77777777" w:rsidR="0014798C" w:rsidRDefault="004E1F0B">
      <w:pPr>
        <w:spacing w:before="87"/>
        <w:ind w:left="1107"/>
        <w:rPr>
          <w:sz w:val="13"/>
        </w:rPr>
      </w:pPr>
      <w:r>
        <w:rPr>
          <w:sz w:val="13"/>
        </w:rPr>
        <w:t>970</w:t>
      </w:r>
      <w:r>
        <w:rPr>
          <w:spacing w:val="-5"/>
          <w:sz w:val="13"/>
        </w:rPr>
        <w:t xml:space="preserve"> </w:t>
      </w:r>
      <w:proofErr w:type="spellStart"/>
      <w:r>
        <w:rPr>
          <w:sz w:val="13"/>
        </w:rPr>
        <w:t>Ibíd</w:t>
      </w:r>
      <w:proofErr w:type="spellEnd"/>
      <w:r>
        <w:rPr>
          <w:sz w:val="13"/>
        </w:rPr>
        <w:t>.,</w:t>
      </w:r>
      <w:r>
        <w:rPr>
          <w:spacing w:val="-5"/>
          <w:sz w:val="13"/>
        </w:rPr>
        <w:t xml:space="preserve"> </w:t>
      </w:r>
      <w:proofErr w:type="spellStart"/>
      <w:r>
        <w:rPr>
          <w:sz w:val="13"/>
        </w:rPr>
        <w:t>párrs</w:t>
      </w:r>
      <w:proofErr w:type="spellEnd"/>
      <w:r>
        <w:rPr>
          <w:sz w:val="13"/>
        </w:rPr>
        <w:t>.</w:t>
      </w:r>
      <w:r>
        <w:rPr>
          <w:spacing w:val="-4"/>
          <w:sz w:val="13"/>
        </w:rPr>
        <w:t xml:space="preserve"> </w:t>
      </w:r>
      <w:r>
        <w:rPr>
          <w:spacing w:val="-2"/>
          <w:sz w:val="13"/>
        </w:rPr>
        <w:t>74–76.</w:t>
      </w:r>
    </w:p>
    <w:p w14:paraId="3226DC83" w14:textId="77777777" w:rsidR="0014798C" w:rsidRDefault="0014798C">
      <w:pPr>
        <w:pStyle w:val="Textoindependiente"/>
        <w:rPr>
          <w:sz w:val="18"/>
        </w:rPr>
      </w:pPr>
    </w:p>
    <w:p w14:paraId="17E64CC2" w14:textId="77777777" w:rsidR="0014798C" w:rsidRDefault="0014798C">
      <w:pPr>
        <w:pStyle w:val="Textoindependiente"/>
        <w:rPr>
          <w:sz w:val="18"/>
        </w:rPr>
      </w:pPr>
    </w:p>
    <w:p w14:paraId="791B66AB" w14:textId="77777777" w:rsidR="0014798C" w:rsidRDefault="0014798C">
      <w:pPr>
        <w:pStyle w:val="Textoindependiente"/>
        <w:spacing w:before="17"/>
        <w:rPr>
          <w:sz w:val="18"/>
        </w:rPr>
      </w:pPr>
    </w:p>
    <w:p w14:paraId="2B3EB72B" w14:textId="77777777" w:rsidR="0014798C" w:rsidRDefault="004E1F0B">
      <w:pPr>
        <w:ind w:left="472"/>
        <w:rPr>
          <w:sz w:val="18"/>
        </w:rPr>
      </w:pPr>
      <w:r>
        <w:rPr>
          <w:spacing w:val="-5"/>
          <w:w w:val="105"/>
          <w:sz w:val="18"/>
        </w:rPr>
        <w:t>140</w:t>
      </w:r>
    </w:p>
    <w:p w14:paraId="2005A8A4" w14:textId="77777777" w:rsidR="0014798C" w:rsidRDefault="0014798C">
      <w:pPr>
        <w:rPr>
          <w:sz w:val="18"/>
        </w:rPr>
        <w:sectPr w:rsidR="0014798C" w:rsidSect="00F265E4">
          <w:type w:val="continuous"/>
          <w:pgSz w:w="11900" w:h="16820"/>
          <w:pgMar w:top="40" w:right="0" w:bottom="280" w:left="200" w:header="121" w:footer="0" w:gutter="0"/>
          <w:cols w:space="720"/>
        </w:sectPr>
      </w:pPr>
    </w:p>
    <w:p w14:paraId="14236204" w14:textId="77777777" w:rsidR="0014798C" w:rsidRDefault="0014798C">
      <w:pPr>
        <w:pStyle w:val="Textoindependiente"/>
        <w:rPr>
          <w:sz w:val="9"/>
        </w:rPr>
      </w:pPr>
    </w:p>
    <w:p w14:paraId="2C73DD0A" w14:textId="77777777" w:rsidR="0014798C" w:rsidRDefault="0014798C">
      <w:pPr>
        <w:pStyle w:val="Textoindependiente"/>
        <w:spacing w:before="31"/>
        <w:rPr>
          <w:sz w:val="9"/>
        </w:rPr>
      </w:pPr>
    </w:p>
    <w:p w14:paraId="73F39B33" w14:textId="77777777" w:rsidR="0014798C" w:rsidRDefault="004E1F0B">
      <w:pPr>
        <w:ind w:left="1111"/>
        <w:rPr>
          <w:sz w:val="9"/>
        </w:rPr>
      </w:pPr>
      <w:r>
        <w:rPr>
          <w:color w:val="803108"/>
          <w:w w:val="105"/>
          <w:sz w:val="9"/>
        </w:rPr>
        <w:t>PARTE</w:t>
      </w:r>
      <w:r>
        <w:rPr>
          <w:color w:val="803108"/>
          <w:spacing w:val="1"/>
          <w:w w:val="105"/>
          <w:sz w:val="9"/>
        </w:rPr>
        <w:t xml:space="preserve"> </w:t>
      </w:r>
      <w:r>
        <w:rPr>
          <w:color w:val="803108"/>
          <w:w w:val="105"/>
          <w:sz w:val="9"/>
        </w:rPr>
        <w:t>TRES:</w:t>
      </w:r>
      <w:r>
        <w:rPr>
          <w:color w:val="803108"/>
          <w:spacing w:val="2"/>
          <w:w w:val="105"/>
          <w:sz w:val="9"/>
        </w:rPr>
        <w:t xml:space="preserve"> </w:t>
      </w:r>
      <w:r>
        <w:rPr>
          <w:color w:val="803108"/>
          <w:w w:val="105"/>
          <w:sz w:val="9"/>
        </w:rPr>
        <w:t>PROTECCIÓN</w:t>
      </w:r>
      <w:r>
        <w:rPr>
          <w:color w:val="803108"/>
          <w:spacing w:val="2"/>
          <w:w w:val="105"/>
          <w:sz w:val="9"/>
        </w:rPr>
        <w:t xml:space="preserve"> </w:t>
      </w:r>
      <w:r>
        <w:rPr>
          <w:color w:val="803108"/>
          <w:w w:val="105"/>
          <w:sz w:val="9"/>
        </w:rPr>
        <w:t>DE</w:t>
      </w:r>
      <w:r>
        <w:rPr>
          <w:color w:val="803108"/>
          <w:spacing w:val="1"/>
          <w:w w:val="105"/>
          <w:sz w:val="9"/>
        </w:rPr>
        <w:t xml:space="preserve"> </w:t>
      </w:r>
      <w:r>
        <w:rPr>
          <w:color w:val="803108"/>
          <w:w w:val="105"/>
          <w:sz w:val="9"/>
        </w:rPr>
        <w:t>LOS</w:t>
      </w:r>
      <w:r>
        <w:rPr>
          <w:color w:val="803108"/>
          <w:spacing w:val="2"/>
          <w:w w:val="105"/>
          <w:sz w:val="9"/>
        </w:rPr>
        <w:t xml:space="preserve"> </w:t>
      </w:r>
      <w:r>
        <w:rPr>
          <w:color w:val="803108"/>
          <w:w w:val="105"/>
          <w:sz w:val="9"/>
        </w:rPr>
        <w:t>DERECHOS</w:t>
      </w:r>
      <w:r>
        <w:rPr>
          <w:color w:val="803108"/>
          <w:spacing w:val="3"/>
          <w:w w:val="105"/>
          <w:sz w:val="9"/>
        </w:rPr>
        <w:t xml:space="preserve"> </w:t>
      </w:r>
      <w:r>
        <w:rPr>
          <w:color w:val="803108"/>
          <w:w w:val="105"/>
          <w:sz w:val="9"/>
        </w:rPr>
        <w:t>DE</w:t>
      </w:r>
      <w:r>
        <w:rPr>
          <w:color w:val="803108"/>
          <w:spacing w:val="1"/>
          <w:w w:val="105"/>
          <w:sz w:val="9"/>
        </w:rPr>
        <w:t xml:space="preserve"> </w:t>
      </w:r>
      <w:r>
        <w:rPr>
          <w:color w:val="803108"/>
          <w:w w:val="105"/>
          <w:sz w:val="9"/>
        </w:rPr>
        <w:t>LAS</w:t>
      </w:r>
      <w:r>
        <w:rPr>
          <w:color w:val="803108"/>
          <w:spacing w:val="2"/>
          <w:w w:val="105"/>
          <w:sz w:val="9"/>
        </w:rPr>
        <w:t xml:space="preserve"> </w:t>
      </w:r>
      <w:r>
        <w:rPr>
          <w:color w:val="803108"/>
          <w:spacing w:val="-2"/>
          <w:w w:val="105"/>
          <w:sz w:val="9"/>
        </w:rPr>
        <w:t>MINORÍAS</w:t>
      </w:r>
    </w:p>
    <w:p w14:paraId="6395FA2C" w14:textId="77777777" w:rsidR="0014798C" w:rsidRDefault="0014798C">
      <w:pPr>
        <w:pStyle w:val="Textoindependiente"/>
        <w:rPr>
          <w:sz w:val="19"/>
        </w:rPr>
      </w:pPr>
    </w:p>
    <w:p w14:paraId="0BAB5390" w14:textId="77777777" w:rsidR="0014798C" w:rsidRDefault="0014798C">
      <w:pPr>
        <w:pStyle w:val="Textoindependiente"/>
        <w:rPr>
          <w:sz w:val="19"/>
        </w:rPr>
      </w:pPr>
    </w:p>
    <w:p w14:paraId="46B16C2A" w14:textId="77777777" w:rsidR="0014798C" w:rsidRDefault="0014798C">
      <w:pPr>
        <w:pStyle w:val="Textoindependiente"/>
        <w:rPr>
          <w:sz w:val="19"/>
        </w:rPr>
      </w:pPr>
    </w:p>
    <w:p w14:paraId="1F8F7195" w14:textId="77777777" w:rsidR="0014798C" w:rsidRDefault="0014798C">
      <w:pPr>
        <w:pStyle w:val="Textoindependiente"/>
        <w:spacing w:before="131"/>
        <w:rPr>
          <w:sz w:val="19"/>
        </w:rPr>
      </w:pPr>
    </w:p>
    <w:p w14:paraId="5D05314D" w14:textId="77777777" w:rsidR="0014798C" w:rsidRDefault="004E1F0B">
      <w:pPr>
        <w:numPr>
          <w:ilvl w:val="0"/>
          <w:numId w:val="20"/>
        </w:numPr>
        <w:tabs>
          <w:tab w:val="left" w:pos="1324"/>
        </w:tabs>
        <w:ind w:left="1324" w:hanging="209"/>
        <w:rPr>
          <w:color w:val="803108"/>
          <w:sz w:val="19"/>
        </w:rPr>
      </w:pPr>
      <w:r>
        <w:rPr>
          <w:color w:val="803108"/>
          <w:sz w:val="19"/>
        </w:rPr>
        <w:t>Reconocimiento</w:t>
      </w:r>
      <w:r>
        <w:rPr>
          <w:color w:val="803108"/>
          <w:spacing w:val="-5"/>
          <w:sz w:val="19"/>
        </w:rPr>
        <w:t xml:space="preserve"> </w:t>
      </w:r>
      <w:r>
        <w:rPr>
          <w:color w:val="803108"/>
          <w:sz w:val="19"/>
        </w:rPr>
        <w:t>igualitario</w:t>
      </w:r>
      <w:r>
        <w:rPr>
          <w:color w:val="803108"/>
          <w:spacing w:val="-3"/>
          <w:sz w:val="19"/>
        </w:rPr>
        <w:t xml:space="preserve"> </w:t>
      </w:r>
      <w:r>
        <w:rPr>
          <w:color w:val="803108"/>
          <w:sz w:val="19"/>
        </w:rPr>
        <w:t>de</w:t>
      </w:r>
      <w:r>
        <w:rPr>
          <w:color w:val="803108"/>
          <w:spacing w:val="-3"/>
          <w:sz w:val="19"/>
        </w:rPr>
        <w:t xml:space="preserve"> </w:t>
      </w:r>
      <w:r>
        <w:rPr>
          <w:color w:val="803108"/>
          <w:sz w:val="19"/>
        </w:rPr>
        <w:t>las</w:t>
      </w:r>
      <w:r>
        <w:rPr>
          <w:color w:val="803108"/>
          <w:spacing w:val="-3"/>
          <w:sz w:val="19"/>
        </w:rPr>
        <w:t xml:space="preserve"> </w:t>
      </w:r>
      <w:r>
        <w:rPr>
          <w:color w:val="803108"/>
          <w:sz w:val="19"/>
        </w:rPr>
        <w:t>comunidades</w:t>
      </w:r>
      <w:r>
        <w:rPr>
          <w:color w:val="803108"/>
          <w:spacing w:val="-3"/>
          <w:sz w:val="19"/>
        </w:rPr>
        <w:t xml:space="preserve"> </w:t>
      </w:r>
      <w:r>
        <w:rPr>
          <w:color w:val="803108"/>
          <w:sz w:val="19"/>
        </w:rPr>
        <w:t>religiosas</w:t>
      </w:r>
      <w:r>
        <w:rPr>
          <w:color w:val="803108"/>
          <w:spacing w:val="-3"/>
          <w:sz w:val="19"/>
        </w:rPr>
        <w:t xml:space="preserve"> </w:t>
      </w:r>
      <w:r>
        <w:rPr>
          <w:color w:val="803108"/>
          <w:sz w:val="19"/>
        </w:rPr>
        <w:t>o</w:t>
      </w:r>
      <w:r>
        <w:rPr>
          <w:color w:val="803108"/>
          <w:spacing w:val="-3"/>
          <w:sz w:val="19"/>
        </w:rPr>
        <w:t xml:space="preserve"> </w:t>
      </w:r>
      <w:r>
        <w:rPr>
          <w:color w:val="803108"/>
          <w:sz w:val="19"/>
        </w:rPr>
        <w:t>de</w:t>
      </w:r>
      <w:r>
        <w:rPr>
          <w:color w:val="803108"/>
          <w:spacing w:val="-3"/>
          <w:sz w:val="19"/>
        </w:rPr>
        <w:t xml:space="preserve"> </w:t>
      </w:r>
      <w:r>
        <w:rPr>
          <w:color w:val="803108"/>
          <w:sz w:val="19"/>
        </w:rPr>
        <w:t>creencias</w:t>
      </w:r>
      <w:r>
        <w:rPr>
          <w:color w:val="803108"/>
          <w:spacing w:val="-3"/>
          <w:sz w:val="19"/>
        </w:rPr>
        <w:t xml:space="preserve"> </w:t>
      </w:r>
      <w:r>
        <w:rPr>
          <w:color w:val="803108"/>
          <w:sz w:val="19"/>
        </w:rPr>
        <w:t>minoritarias</w:t>
      </w:r>
      <w:r>
        <w:rPr>
          <w:color w:val="803108"/>
          <w:spacing w:val="-3"/>
          <w:sz w:val="19"/>
        </w:rPr>
        <w:t xml:space="preserve"> </w:t>
      </w:r>
      <w:r>
        <w:rPr>
          <w:color w:val="803108"/>
          <w:sz w:val="19"/>
        </w:rPr>
        <w:t>y</w:t>
      </w:r>
      <w:r>
        <w:rPr>
          <w:color w:val="803108"/>
          <w:spacing w:val="-3"/>
          <w:sz w:val="19"/>
        </w:rPr>
        <w:t xml:space="preserve"> </w:t>
      </w:r>
      <w:r>
        <w:rPr>
          <w:color w:val="803108"/>
          <w:sz w:val="19"/>
        </w:rPr>
        <w:t>de</w:t>
      </w:r>
      <w:r>
        <w:rPr>
          <w:color w:val="803108"/>
          <w:spacing w:val="-3"/>
          <w:sz w:val="19"/>
        </w:rPr>
        <w:t xml:space="preserve"> </w:t>
      </w:r>
      <w:r>
        <w:rPr>
          <w:color w:val="803108"/>
          <w:sz w:val="19"/>
        </w:rPr>
        <w:t>sus</w:t>
      </w:r>
      <w:r>
        <w:rPr>
          <w:color w:val="803108"/>
          <w:spacing w:val="-3"/>
          <w:sz w:val="19"/>
        </w:rPr>
        <w:t xml:space="preserve"> </w:t>
      </w:r>
      <w:r>
        <w:rPr>
          <w:color w:val="803108"/>
          <w:spacing w:val="-2"/>
          <w:sz w:val="19"/>
        </w:rPr>
        <w:t>miembros</w:t>
      </w:r>
    </w:p>
    <w:p w14:paraId="2B413E73" w14:textId="77777777" w:rsidR="0014798C" w:rsidRDefault="0014798C">
      <w:pPr>
        <w:pStyle w:val="Textoindependiente"/>
        <w:spacing w:before="118"/>
        <w:rPr>
          <w:sz w:val="14"/>
        </w:rPr>
      </w:pPr>
    </w:p>
    <w:p w14:paraId="010595B4" w14:textId="77777777" w:rsidR="0014798C" w:rsidRDefault="004E1F0B">
      <w:pPr>
        <w:spacing w:line="372" w:lineRule="auto"/>
        <w:ind w:left="1108" w:right="1463"/>
        <w:rPr>
          <w:sz w:val="14"/>
        </w:rPr>
      </w:pPr>
      <w:r>
        <w:rPr>
          <w:sz w:val="14"/>
        </w:rPr>
        <w:t>En muchos Estados, los requisitos relacionados con la adquisición de estatus legal o el registro de comunidades religiosas o de creencias</w:t>
      </w:r>
      <w:r>
        <w:rPr>
          <w:spacing w:val="80"/>
          <w:sz w:val="14"/>
        </w:rPr>
        <w:t xml:space="preserve"> </w:t>
      </w:r>
      <w:r>
        <w:rPr>
          <w:sz w:val="14"/>
        </w:rPr>
        <w:t>discriminan directa o indirectamente a grupos más pequeños. En algunos casos, la negación de la legitimidad de comunidades religiosas o de</w:t>
      </w:r>
      <w:r>
        <w:rPr>
          <w:spacing w:val="40"/>
          <w:sz w:val="14"/>
        </w:rPr>
        <w:t xml:space="preserve"> </w:t>
      </w:r>
      <w:r>
        <w:rPr>
          <w:sz w:val="14"/>
        </w:rPr>
        <w:t>creencias minoritarias tiene consecuencias extremas, incluida la pena de muerte.971</w:t>
      </w:r>
    </w:p>
    <w:p w14:paraId="4E4CB849" w14:textId="77777777" w:rsidR="0014798C" w:rsidRDefault="0014798C">
      <w:pPr>
        <w:pStyle w:val="Textoindependiente"/>
        <w:spacing w:before="10"/>
        <w:rPr>
          <w:sz w:val="14"/>
        </w:rPr>
      </w:pPr>
    </w:p>
    <w:p w14:paraId="7046B491" w14:textId="77777777" w:rsidR="0014798C" w:rsidRDefault="004E1F0B">
      <w:pPr>
        <w:ind w:left="1106"/>
        <w:rPr>
          <w:sz w:val="14"/>
        </w:rPr>
      </w:pPr>
      <w:r>
        <w:rPr>
          <w:sz w:val="14"/>
        </w:rPr>
        <w:t>El</w:t>
      </w:r>
      <w:r>
        <w:rPr>
          <w:spacing w:val="3"/>
          <w:sz w:val="14"/>
        </w:rPr>
        <w:t xml:space="preserve"> </w:t>
      </w:r>
      <w:r>
        <w:rPr>
          <w:sz w:val="14"/>
        </w:rPr>
        <w:t>Relator</w:t>
      </w:r>
      <w:r>
        <w:rPr>
          <w:spacing w:val="4"/>
          <w:sz w:val="14"/>
        </w:rPr>
        <w:t xml:space="preserve"> </w:t>
      </w:r>
      <w:r>
        <w:rPr>
          <w:sz w:val="14"/>
        </w:rPr>
        <w:t>Especial</w:t>
      </w:r>
      <w:r>
        <w:rPr>
          <w:spacing w:val="3"/>
          <w:sz w:val="14"/>
        </w:rPr>
        <w:t xml:space="preserve"> </w:t>
      </w:r>
      <w:r>
        <w:rPr>
          <w:sz w:val="14"/>
        </w:rPr>
        <w:t>sobre</w:t>
      </w:r>
      <w:r>
        <w:rPr>
          <w:spacing w:val="5"/>
          <w:sz w:val="14"/>
        </w:rPr>
        <w:t xml:space="preserve"> </w:t>
      </w:r>
      <w:r>
        <w:rPr>
          <w:sz w:val="14"/>
        </w:rPr>
        <w:t>la</w:t>
      </w:r>
      <w:r>
        <w:rPr>
          <w:spacing w:val="4"/>
          <w:sz w:val="14"/>
        </w:rPr>
        <w:t xml:space="preserve"> </w:t>
      </w:r>
      <w:r>
        <w:rPr>
          <w:sz w:val="14"/>
        </w:rPr>
        <w:t>libertad</w:t>
      </w:r>
      <w:r>
        <w:rPr>
          <w:spacing w:val="4"/>
          <w:sz w:val="14"/>
        </w:rPr>
        <w:t xml:space="preserve"> </w:t>
      </w:r>
      <w:r>
        <w:rPr>
          <w:sz w:val="14"/>
        </w:rPr>
        <w:t>de</w:t>
      </w:r>
      <w:r>
        <w:rPr>
          <w:spacing w:val="5"/>
          <w:sz w:val="14"/>
        </w:rPr>
        <w:t xml:space="preserve"> </w:t>
      </w:r>
      <w:r>
        <w:rPr>
          <w:sz w:val="14"/>
        </w:rPr>
        <w:t>religión</w:t>
      </w:r>
      <w:r>
        <w:rPr>
          <w:spacing w:val="4"/>
          <w:sz w:val="14"/>
        </w:rPr>
        <w:t xml:space="preserve"> </w:t>
      </w:r>
      <w:r>
        <w:rPr>
          <w:sz w:val="14"/>
        </w:rPr>
        <w:t>o</w:t>
      </w:r>
      <w:r>
        <w:rPr>
          <w:spacing w:val="5"/>
          <w:sz w:val="14"/>
        </w:rPr>
        <w:t xml:space="preserve"> </w:t>
      </w:r>
      <w:r>
        <w:rPr>
          <w:sz w:val="14"/>
        </w:rPr>
        <w:t>de</w:t>
      </w:r>
      <w:r>
        <w:rPr>
          <w:spacing w:val="4"/>
          <w:sz w:val="14"/>
        </w:rPr>
        <w:t xml:space="preserve"> </w:t>
      </w:r>
      <w:r>
        <w:rPr>
          <w:sz w:val="14"/>
        </w:rPr>
        <w:t>creencias</w:t>
      </w:r>
      <w:r>
        <w:rPr>
          <w:spacing w:val="4"/>
          <w:sz w:val="14"/>
        </w:rPr>
        <w:t xml:space="preserve"> </w:t>
      </w:r>
      <w:r>
        <w:rPr>
          <w:sz w:val="14"/>
        </w:rPr>
        <w:t>ha</w:t>
      </w:r>
      <w:r>
        <w:rPr>
          <w:spacing w:val="5"/>
          <w:sz w:val="14"/>
        </w:rPr>
        <w:t xml:space="preserve"> </w:t>
      </w:r>
      <w:r>
        <w:rPr>
          <w:sz w:val="14"/>
        </w:rPr>
        <w:t>establecido</w:t>
      </w:r>
      <w:r>
        <w:rPr>
          <w:spacing w:val="3"/>
          <w:sz w:val="14"/>
        </w:rPr>
        <w:t xml:space="preserve"> </w:t>
      </w:r>
      <w:r>
        <w:rPr>
          <w:spacing w:val="-4"/>
          <w:sz w:val="14"/>
        </w:rPr>
        <w:t>que:</w:t>
      </w:r>
    </w:p>
    <w:p w14:paraId="638A0121" w14:textId="77777777" w:rsidR="0014798C" w:rsidRDefault="0014798C">
      <w:pPr>
        <w:pStyle w:val="Textoindependiente"/>
        <w:spacing w:before="41"/>
        <w:rPr>
          <w:sz w:val="14"/>
        </w:rPr>
      </w:pPr>
    </w:p>
    <w:p w14:paraId="405A42E7" w14:textId="77777777" w:rsidR="0014798C" w:rsidRDefault="004E1F0B">
      <w:pPr>
        <w:spacing w:line="372" w:lineRule="auto"/>
        <w:ind w:left="1673" w:right="1463" w:firstLine="1"/>
        <w:rPr>
          <w:sz w:val="14"/>
        </w:rPr>
      </w:pPr>
      <w:r>
        <w:rPr>
          <w:color w:val="803108"/>
          <w:sz w:val="14"/>
        </w:rPr>
        <w:t>El registro de comunidades religiosas o de creencias por parte del Estado debe promulgarse con el espíritu y la manera de servir el</w:t>
      </w:r>
      <w:r>
        <w:rPr>
          <w:color w:val="803108"/>
          <w:spacing w:val="40"/>
          <w:sz w:val="14"/>
        </w:rPr>
        <w:t xml:space="preserve"> </w:t>
      </w:r>
      <w:r>
        <w:rPr>
          <w:color w:val="803108"/>
          <w:sz w:val="14"/>
        </w:rPr>
        <w:t>derecho humano a la libertad de religión o de creencias. Por tanto, el proceso de registro debe ser rápido, transparente y no</w:t>
      </w:r>
      <w:r>
        <w:rPr>
          <w:color w:val="803108"/>
          <w:spacing w:val="40"/>
          <w:sz w:val="14"/>
        </w:rPr>
        <w:t xml:space="preserve"> </w:t>
      </w:r>
      <w:r>
        <w:rPr>
          <w:color w:val="803108"/>
          <w:sz w:val="14"/>
        </w:rPr>
        <w:t>discriminatorio. No debería depender de requisitos formales extensos en términos del número o el tiempo que ha existido un grupo</w:t>
      </w:r>
      <w:r>
        <w:rPr>
          <w:color w:val="803108"/>
          <w:spacing w:val="40"/>
          <w:sz w:val="14"/>
        </w:rPr>
        <w:t xml:space="preserve"> </w:t>
      </w:r>
      <w:r>
        <w:rPr>
          <w:color w:val="803108"/>
          <w:sz w:val="14"/>
        </w:rPr>
        <w:t>religioso en particular, ni debería imponer una carga indebida a las comunidades que solicitan el estatus de registro.972</w:t>
      </w:r>
    </w:p>
    <w:p w14:paraId="61C571AE" w14:textId="77777777" w:rsidR="0014798C" w:rsidRDefault="0014798C">
      <w:pPr>
        <w:pStyle w:val="Textoindependiente"/>
        <w:rPr>
          <w:sz w:val="14"/>
        </w:rPr>
      </w:pPr>
    </w:p>
    <w:p w14:paraId="6EA71146" w14:textId="77777777" w:rsidR="0014798C" w:rsidRDefault="0014798C">
      <w:pPr>
        <w:pStyle w:val="Textoindependiente"/>
        <w:spacing w:before="42"/>
        <w:rPr>
          <w:sz w:val="14"/>
        </w:rPr>
      </w:pPr>
    </w:p>
    <w:p w14:paraId="1A4EAE4E" w14:textId="77777777" w:rsidR="0014798C" w:rsidRDefault="004E1F0B">
      <w:pPr>
        <w:spacing w:line="372" w:lineRule="auto"/>
        <w:ind w:left="1107" w:right="1463" w:firstLine="3"/>
        <w:rPr>
          <w:sz w:val="14"/>
        </w:rPr>
      </w:pPr>
      <w:r>
        <w:rPr>
          <w:noProof/>
        </w:rPr>
        <w:drawing>
          <wp:anchor distT="0" distB="0" distL="0" distR="0" simplePos="0" relativeHeight="251658462" behindDoc="1" locked="0" layoutInCell="1" allowOverlap="1" wp14:anchorId="03182E0F" wp14:editId="51AB9A50">
            <wp:simplePos x="0" y="0"/>
            <wp:positionH relativeFrom="page">
              <wp:posOffset>817647</wp:posOffset>
            </wp:positionH>
            <wp:positionV relativeFrom="paragraph">
              <wp:posOffset>153165</wp:posOffset>
            </wp:positionV>
            <wp:extent cx="6738852" cy="5468410"/>
            <wp:effectExtent l="0" t="0" r="0" b="0"/>
            <wp:wrapNone/>
            <wp:docPr id="291" name="Image 29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91" name="Image 291"/>
                    <pic:cNvPicPr/>
                  </pic:nvPicPr>
                  <pic:blipFill>
                    <a:blip r:embed="rId276" cstate="print"/>
                    <a:stretch>
                      <a:fillRect/>
                    </a:stretch>
                  </pic:blipFill>
                  <pic:spPr>
                    <a:xfrm>
                      <a:off x="0" y="0"/>
                      <a:ext cx="6738852" cy="5468410"/>
                    </a:xfrm>
                    <a:prstGeom prst="rect">
                      <a:avLst/>
                    </a:prstGeom>
                  </pic:spPr>
                </pic:pic>
              </a:graphicData>
            </a:graphic>
          </wp:anchor>
        </w:drawing>
      </w:r>
      <w:r>
        <w:rPr>
          <w:sz w:val="14"/>
        </w:rPr>
        <w:t>Los</w:t>
      </w:r>
      <w:r>
        <w:rPr>
          <w:spacing w:val="15"/>
          <w:sz w:val="14"/>
        </w:rPr>
        <w:t xml:space="preserve"> </w:t>
      </w:r>
      <w:r>
        <w:rPr>
          <w:sz w:val="14"/>
        </w:rPr>
        <w:t>procesos</w:t>
      </w:r>
      <w:r>
        <w:rPr>
          <w:spacing w:val="15"/>
          <w:sz w:val="14"/>
        </w:rPr>
        <w:t xml:space="preserve"> </w:t>
      </w:r>
      <w:r>
        <w:rPr>
          <w:sz w:val="14"/>
        </w:rPr>
        <w:t>de</w:t>
      </w:r>
      <w:r>
        <w:rPr>
          <w:spacing w:val="16"/>
          <w:sz w:val="14"/>
        </w:rPr>
        <w:t xml:space="preserve"> </w:t>
      </w:r>
      <w:r>
        <w:rPr>
          <w:sz w:val="14"/>
        </w:rPr>
        <w:t>registro</w:t>
      </w:r>
      <w:r>
        <w:rPr>
          <w:spacing w:val="15"/>
          <w:sz w:val="14"/>
        </w:rPr>
        <w:t xml:space="preserve"> </w:t>
      </w:r>
      <w:r>
        <w:rPr>
          <w:sz w:val="14"/>
        </w:rPr>
        <w:t>de</w:t>
      </w:r>
      <w:r>
        <w:rPr>
          <w:spacing w:val="16"/>
          <w:sz w:val="14"/>
        </w:rPr>
        <w:t xml:space="preserve"> </w:t>
      </w:r>
      <w:r>
        <w:rPr>
          <w:sz w:val="14"/>
        </w:rPr>
        <w:t>comunidades</w:t>
      </w:r>
      <w:r>
        <w:rPr>
          <w:spacing w:val="15"/>
          <w:sz w:val="14"/>
        </w:rPr>
        <w:t xml:space="preserve"> </w:t>
      </w:r>
      <w:r>
        <w:rPr>
          <w:sz w:val="14"/>
        </w:rPr>
        <w:t>religiosas</w:t>
      </w:r>
      <w:r>
        <w:rPr>
          <w:spacing w:val="15"/>
          <w:sz w:val="14"/>
        </w:rPr>
        <w:t xml:space="preserve"> </w:t>
      </w:r>
      <w:r>
        <w:rPr>
          <w:sz w:val="14"/>
        </w:rPr>
        <w:t>deben</w:t>
      </w:r>
      <w:r>
        <w:rPr>
          <w:spacing w:val="16"/>
          <w:sz w:val="14"/>
        </w:rPr>
        <w:t xml:space="preserve"> </w:t>
      </w:r>
      <w:r>
        <w:rPr>
          <w:sz w:val="14"/>
        </w:rPr>
        <w:t>“garantizar</w:t>
      </w:r>
      <w:r>
        <w:rPr>
          <w:spacing w:val="15"/>
          <w:sz w:val="14"/>
        </w:rPr>
        <w:t xml:space="preserve"> </w:t>
      </w:r>
      <w:r>
        <w:rPr>
          <w:sz w:val="14"/>
        </w:rPr>
        <w:t>igualdad</w:t>
      </w:r>
      <w:r>
        <w:rPr>
          <w:spacing w:val="16"/>
          <w:sz w:val="14"/>
        </w:rPr>
        <w:t xml:space="preserve"> </w:t>
      </w:r>
      <w:r>
        <w:rPr>
          <w:sz w:val="14"/>
        </w:rPr>
        <w:t>de</w:t>
      </w:r>
      <w:r>
        <w:rPr>
          <w:spacing w:val="16"/>
          <w:sz w:val="14"/>
        </w:rPr>
        <w:t xml:space="preserve"> </w:t>
      </w:r>
      <w:r>
        <w:rPr>
          <w:sz w:val="14"/>
        </w:rPr>
        <w:t>acceso</w:t>
      </w:r>
      <w:r>
        <w:rPr>
          <w:spacing w:val="16"/>
          <w:sz w:val="14"/>
        </w:rPr>
        <w:t xml:space="preserve"> </w:t>
      </w:r>
      <w:r>
        <w:rPr>
          <w:sz w:val="14"/>
        </w:rPr>
        <w:t>y</w:t>
      </w:r>
      <w:r>
        <w:rPr>
          <w:spacing w:val="16"/>
          <w:sz w:val="14"/>
        </w:rPr>
        <w:t xml:space="preserve"> </w:t>
      </w:r>
      <w:r>
        <w:rPr>
          <w:sz w:val="14"/>
        </w:rPr>
        <w:t>trato</w:t>
      </w:r>
      <w:r>
        <w:rPr>
          <w:spacing w:val="15"/>
          <w:sz w:val="14"/>
        </w:rPr>
        <w:t xml:space="preserve"> </w:t>
      </w:r>
      <w:r>
        <w:rPr>
          <w:sz w:val="14"/>
        </w:rPr>
        <w:t>no</w:t>
      </w:r>
      <w:r>
        <w:rPr>
          <w:spacing w:val="16"/>
          <w:sz w:val="14"/>
        </w:rPr>
        <w:t xml:space="preserve"> </w:t>
      </w:r>
      <w:r>
        <w:rPr>
          <w:sz w:val="14"/>
        </w:rPr>
        <w:t>discriminatorio</w:t>
      </w:r>
      <w:r>
        <w:rPr>
          <w:spacing w:val="16"/>
          <w:sz w:val="14"/>
        </w:rPr>
        <w:t xml:space="preserve"> </w:t>
      </w:r>
      <w:r>
        <w:rPr>
          <w:sz w:val="14"/>
        </w:rPr>
        <w:t>en</w:t>
      </w:r>
      <w:r>
        <w:rPr>
          <w:spacing w:val="16"/>
          <w:sz w:val="14"/>
        </w:rPr>
        <w:t xml:space="preserve"> </w:t>
      </w:r>
      <w:r>
        <w:rPr>
          <w:sz w:val="14"/>
        </w:rPr>
        <w:t>el</w:t>
      </w:r>
      <w:r>
        <w:rPr>
          <w:spacing w:val="16"/>
          <w:sz w:val="14"/>
        </w:rPr>
        <w:t xml:space="preserve"> </w:t>
      </w:r>
      <w:r>
        <w:rPr>
          <w:sz w:val="14"/>
        </w:rPr>
        <w:t>procedimiento</w:t>
      </w:r>
      <w:r>
        <w:rPr>
          <w:spacing w:val="15"/>
          <w:sz w:val="14"/>
        </w:rPr>
        <w:t xml:space="preserve"> </w:t>
      </w:r>
      <w:r>
        <w:rPr>
          <w:sz w:val="14"/>
        </w:rPr>
        <w:t>de</w:t>
      </w:r>
      <w:r>
        <w:rPr>
          <w:spacing w:val="40"/>
          <w:sz w:val="14"/>
        </w:rPr>
        <w:t xml:space="preserve"> </w:t>
      </w:r>
      <w:r>
        <w:rPr>
          <w:sz w:val="14"/>
        </w:rPr>
        <w:t>solicitud</w:t>
      </w:r>
      <w:r>
        <w:rPr>
          <w:spacing w:val="13"/>
          <w:sz w:val="14"/>
        </w:rPr>
        <w:t xml:space="preserve"> </w:t>
      </w:r>
      <w:r>
        <w:rPr>
          <w:sz w:val="14"/>
        </w:rPr>
        <w:t>para</w:t>
      </w:r>
      <w:r>
        <w:rPr>
          <w:spacing w:val="15"/>
          <w:sz w:val="14"/>
        </w:rPr>
        <w:t xml:space="preserve"> </w:t>
      </w:r>
      <w:r>
        <w:rPr>
          <w:sz w:val="14"/>
        </w:rPr>
        <w:t>todas</w:t>
      </w:r>
      <w:r>
        <w:rPr>
          <w:spacing w:val="13"/>
          <w:sz w:val="14"/>
        </w:rPr>
        <w:t xml:space="preserve"> </w:t>
      </w:r>
      <w:r>
        <w:rPr>
          <w:sz w:val="14"/>
        </w:rPr>
        <w:t>las</w:t>
      </w:r>
      <w:r>
        <w:rPr>
          <w:spacing w:val="13"/>
          <w:sz w:val="14"/>
        </w:rPr>
        <w:t xml:space="preserve"> </w:t>
      </w:r>
      <w:r>
        <w:rPr>
          <w:sz w:val="14"/>
        </w:rPr>
        <w:t>comunidades</w:t>
      </w:r>
      <w:r>
        <w:rPr>
          <w:spacing w:val="13"/>
          <w:sz w:val="14"/>
        </w:rPr>
        <w:t xml:space="preserve"> </w:t>
      </w:r>
      <w:r>
        <w:rPr>
          <w:sz w:val="14"/>
        </w:rPr>
        <w:t>religiosas</w:t>
      </w:r>
      <w:r>
        <w:rPr>
          <w:spacing w:val="13"/>
          <w:sz w:val="14"/>
        </w:rPr>
        <w:t xml:space="preserve"> </w:t>
      </w:r>
      <w:r>
        <w:rPr>
          <w:sz w:val="14"/>
        </w:rPr>
        <w:t>que</w:t>
      </w:r>
      <w:r>
        <w:rPr>
          <w:spacing w:val="15"/>
          <w:sz w:val="14"/>
        </w:rPr>
        <w:t xml:space="preserve"> </w:t>
      </w:r>
      <w:r>
        <w:rPr>
          <w:sz w:val="14"/>
        </w:rPr>
        <w:t>deseen</w:t>
      </w:r>
      <w:r>
        <w:rPr>
          <w:spacing w:val="15"/>
          <w:sz w:val="14"/>
        </w:rPr>
        <w:t xml:space="preserve"> </w:t>
      </w:r>
      <w:r>
        <w:rPr>
          <w:sz w:val="14"/>
        </w:rPr>
        <w:t>registrarse”.973</w:t>
      </w:r>
      <w:r>
        <w:rPr>
          <w:spacing w:val="13"/>
          <w:sz w:val="14"/>
        </w:rPr>
        <w:t xml:space="preserve"> </w:t>
      </w:r>
      <w:r>
        <w:rPr>
          <w:sz w:val="14"/>
        </w:rPr>
        <w:t>El</w:t>
      </w:r>
      <w:r>
        <w:rPr>
          <w:spacing w:val="13"/>
          <w:sz w:val="14"/>
        </w:rPr>
        <w:t xml:space="preserve"> </w:t>
      </w:r>
      <w:r>
        <w:rPr>
          <w:sz w:val="14"/>
        </w:rPr>
        <w:t>registro</w:t>
      </w:r>
      <w:r>
        <w:rPr>
          <w:spacing w:val="13"/>
          <w:sz w:val="14"/>
        </w:rPr>
        <w:t xml:space="preserve"> </w:t>
      </w:r>
      <w:r>
        <w:rPr>
          <w:sz w:val="14"/>
        </w:rPr>
        <w:t>no</w:t>
      </w:r>
      <w:r>
        <w:rPr>
          <w:spacing w:val="15"/>
          <w:sz w:val="14"/>
        </w:rPr>
        <w:t xml:space="preserve"> </w:t>
      </w:r>
      <w:r>
        <w:rPr>
          <w:sz w:val="14"/>
        </w:rPr>
        <w:t>debe</w:t>
      </w:r>
      <w:r>
        <w:rPr>
          <w:spacing w:val="15"/>
          <w:sz w:val="14"/>
        </w:rPr>
        <w:t xml:space="preserve"> </w:t>
      </w:r>
      <w:r>
        <w:rPr>
          <w:sz w:val="14"/>
        </w:rPr>
        <w:t>ser</w:t>
      </w:r>
      <w:r>
        <w:rPr>
          <w:spacing w:val="15"/>
          <w:sz w:val="14"/>
        </w:rPr>
        <w:t xml:space="preserve"> </w:t>
      </w:r>
      <w:r>
        <w:rPr>
          <w:sz w:val="14"/>
        </w:rPr>
        <w:t>obligatorio,</w:t>
      </w:r>
      <w:r>
        <w:rPr>
          <w:spacing w:val="15"/>
          <w:sz w:val="14"/>
        </w:rPr>
        <w:t xml:space="preserve"> </w:t>
      </w:r>
      <w:r>
        <w:rPr>
          <w:sz w:val="14"/>
        </w:rPr>
        <w:t>es</w:t>
      </w:r>
      <w:r>
        <w:rPr>
          <w:spacing w:val="15"/>
          <w:sz w:val="14"/>
        </w:rPr>
        <w:t xml:space="preserve"> </w:t>
      </w:r>
      <w:r>
        <w:rPr>
          <w:sz w:val="14"/>
        </w:rPr>
        <w:t>decir,</w:t>
      </w:r>
      <w:r>
        <w:rPr>
          <w:spacing w:val="15"/>
          <w:sz w:val="14"/>
        </w:rPr>
        <w:t xml:space="preserve"> </w:t>
      </w:r>
      <w:r>
        <w:rPr>
          <w:sz w:val="14"/>
        </w:rPr>
        <w:t>no</w:t>
      </w:r>
      <w:r>
        <w:rPr>
          <w:spacing w:val="15"/>
          <w:sz w:val="14"/>
        </w:rPr>
        <w:t xml:space="preserve"> </w:t>
      </w:r>
      <w:r>
        <w:rPr>
          <w:sz w:val="14"/>
        </w:rPr>
        <w:t>debe</w:t>
      </w:r>
      <w:r>
        <w:rPr>
          <w:spacing w:val="15"/>
          <w:sz w:val="14"/>
        </w:rPr>
        <w:t xml:space="preserve"> </w:t>
      </w:r>
      <w:r>
        <w:rPr>
          <w:sz w:val="14"/>
        </w:rPr>
        <w:t>ser</w:t>
      </w:r>
      <w:r>
        <w:rPr>
          <w:spacing w:val="15"/>
          <w:sz w:val="14"/>
        </w:rPr>
        <w:t xml:space="preserve"> </w:t>
      </w:r>
      <w:r>
        <w:rPr>
          <w:sz w:val="14"/>
        </w:rPr>
        <w:t>una</w:t>
      </w:r>
      <w:r>
        <w:rPr>
          <w:spacing w:val="40"/>
          <w:sz w:val="14"/>
        </w:rPr>
        <w:t xml:space="preserve"> </w:t>
      </w:r>
      <w:r>
        <w:rPr>
          <w:sz w:val="14"/>
        </w:rPr>
        <w:t>condición previa para practicar la propia religión, sino sólo para la adquisición de personalidad jurídica y beneficios relacionados. Además, “no se</w:t>
      </w:r>
      <w:r>
        <w:rPr>
          <w:spacing w:val="40"/>
          <w:sz w:val="14"/>
        </w:rPr>
        <w:t xml:space="preserve"> </w:t>
      </w:r>
      <w:r>
        <w:rPr>
          <w:sz w:val="14"/>
        </w:rPr>
        <w:t>debe permitir que ningún grupo religioso o de creencias decida sobre el registro de otro grupo religioso o de creencias”974.</w:t>
      </w:r>
    </w:p>
    <w:p w14:paraId="5781B42F" w14:textId="77777777" w:rsidR="0014798C" w:rsidRDefault="0014798C">
      <w:pPr>
        <w:pStyle w:val="Textoindependiente"/>
        <w:rPr>
          <w:sz w:val="14"/>
        </w:rPr>
      </w:pPr>
    </w:p>
    <w:p w14:paraId="25EA64B7" w14:textId="77777777" w:rsidR="0014798C" w:rsidRDefault="0014798C">
      <w:pPr>
        <w:pStyle w:val="Textoindependiente"/>
        <w:rPr>
          <w:sz w:val="14"/>
        </w:rPr>
      </w:pPr>
    </w:p>
    <w:p w14:paraId="2C267AB4" w14:textId="77777777" w:rsidR="0014798C" w:rsidRDefault="0014798C">
      <w:pPr>
        <w:pStyle w:val="Textoindependiente"/>
        <w:rPr>
          <w:sz w:val="14"/>
        </w:rPr>
      </w:pPr>
    </w:p>
    <w:p w14:paraId="5B3E0409" w14:textId="77777777" w:rsidR="0014798C" w:rsidRDefault="0014798C">
      <w:pPr>
        <w:pStyle w:val="Textoindependiente"/>
        <w:spacing w:before="75"/>
        <w:rPr>
          <w:sz w:val="14"/>
        </w:rPr>
      </w:pPr>
    </w:p>
    <w:p w14:paraId="752DB365" w14:textId="77777777" w:rsidR="0014798C" w:rsidRDefault="004E1F0B">
      <w:pPr>
        <w:ind w:left="1335"/>
        <w:rPr>
          <w:sz w:val="14"/>
        </w:rPr>
      </w:pPr>
      <w:r>
        <w:rPr>
          <w:noProof/>
        </w:rPr>
        <mc:AlternateContent>
          <mc:Choice Requires="wps">
            <w:drawing>
              <wp:anchor distT="0" distB="0" distL="0" distR="0" simplePos="0" relativeHeight="251658312" behindDoc="0" locked="0" layoutInCell="1" allowOverlap="1" wp14:anchorId="3F4BD6FE" wp14:editId="5B839647">
                <wp:simplePos x="0" y="0"/>
                <wp:positionH relativeFrom="page">
                  <wp:posOffset>7293418</wp:posOffset>
                </wp:positionH>
                <wp:positionV relativeFrom="paragraph">
                  <wp:posOffset>-326702</wp:posOffset>
                </wp:positionV>
                <wp:extent cx="104775" cy="260985"/>
                <wp:effectExtent l="0" t="0" r="0" b="0"/>
                <wp:wrapNone/>
                <wp:docPr id="292" name="Textbox 29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04775" cy="260985"/>
                        </a:xfrm>
                        <a:prstGeom prst="rect">
                          <a:avLst/>
                        </a:prstGeom>
                      </wps:spPr>
                      <wps:txbx>
                        <w:txbxContent>
                          <w:p w14:paraId="5298989D" w14:textId="77777777" w:rsidR="0014798C" w:rsidRDefault="004E1F0B">
                            <w:pPr>
                              <w:spacing w:before="17"/>
                              <w:ind w:left="20"/>
                              <w:rPr>
                                <w:sz w:val="11"/>
                              </w:rPr>
                            </w:pPr>
                            <w:r>
                              <w:rPr>
                                <w:color w:val="FFFFFF"/>
                                <w:spacing w:val="-33"/>
                                <w:sz w:val="11"/>
                              </w:rPr>
                              <w:t>TPRAERSTE</w:t>
                            </w:r>
                          </w:p>
                        </w:txbxContent>
                      </wps:txbx>
                      <wps:bodyPr vert="vert270" wrap="square" lIns="0" tIns="0" rIns="0" bIns="0" rtlCol="0">
                        <a:noAutofit/>
                      </wps:bodyPr>
                    </wps:wsp>
                  </a:graphicData>
                </a:graphic>
              </wp:anchor>
            </w:drawing>
          </mc:Choice>
          <mc:Fallback>
            <w:pict>
              <v:shape w14:anchorId="3F4BD6FE" id="Textbox 292" o:spid="_x0000_s1143" type="#_x0000_t202" style="position:absolute;left:0;text-align:left;margin-left:574.3pt;margin-top:-25.7pt;width:8.25pt;height:20.55pt;z-index:251658312;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" filled="f" stroked="f">
                <v:textbox style="layout-flow:vertical;mso-layout-flow-alt:bottom-to-top" inset="0,0,0,0">
                  <w:txbxContent>
                    <w:p w14:paraId="5298989D" w14:textId="77777777" w:rsidR="0014798C" w:rsidRDefault="004E1F0B">
                      <w:pPr>
                        <w:spacing w:before="17"/>
                        <w:ind w:left="20"/>
                        <w:rPr>
                          <w:sz w:val="11"/>
                        </w:rPr>
                      </w:pPr>
                      <w:r>
                        <w:rPr>
                          <w:color w:val="FFFFFF"/>
                          <w:spacing w:val="-33"/>
                          <w:sz w:val="11"/>
                        </w:rPr>
                        <w:t>TPRAERSTE</w:t>
                      </w:r>
                    </w:p>
                  </w:txbxContent>
                </v:textbox>
                <w10:wrap anchorx="page"/>
              </v:shape>
            </w:pict>
          </mc:Fallback>
        </mc:AlternateContent>
      </w:r>
      <w:r>
        <w:rPr>
          <w:sz w:val="14"/>
        </w:rPr>
        <w:t>ORIENTACIÓN</w:t>
      </w:r>
      <w:r>
        <w:rPr>
          <w:spacing w:val="5"/>
          <w:sz w:val="14"/>
        </w:rPr>
        <w:t xml:space="preserve"> </w:t>
      </w:r>
      <w:r>
        <w:rPr>
          <w:sz w:val="14"/>
        </w:rPr>
        <w:t>DEL</w:t>
      </w:r>
      <w:r>
        <w:rPr>
          <w:spacing w:val="5"/>
          <w:sz w:val="14"/>
        </w:rPr>
        <w:t xml:space="preserve"> </w:t>
      </w:r>
      <w:r>
        <w:rPr>
          <w:sz w:val="14"/>
        </w:rPr>
        <w:t>RELATOR</w:t>
      </w:r>
      <w:r>
        <w:rPr>
          <w:spacing w:val="5"/>
          <w:sz w:val="14"/>
        </w:rPr>
        <w:t xml:space="preserve"> </w:t>
      </w:r>
      <w:r>
        <w:rPr>
          <w:sz w:val="14"/>
        </w:rPr>
        <w:t>ESPECIAL</w:t>
      </w:r>
      <w:r>
        <w:rPr>
          <w:spacing w:val="6"/>
          <w:sz w:val="14"/>
        </w:rPr>
        <w:t xml:space="preserve"> </w:t>
      </w:r>
      <w:r>
        <w:rPr>
          <w:sz w:val="14"/>
        </w:rPr>
        <w:t>SOBRE</w:t>
      </w:r>
      <w:r>
        <w:rPr>
          <w:spacing w:val="6"/>
          <w:sz w:val="14"/>
        </w:rPr>
        <w:t xml:space="preserve"> </w:t>
      </w:r>
      <w:r>
        <w:rPr>
          <w:sz w:val="14"/>
        </w:rPr>
        <w:t>LA</w:t>
      </w:r>
      <w:r>
        <w:rPr>
          <w:spacing w:val="6"/>
          <w:sz w:val="14"/>
        </w:rPr>
        <w:t xml:space="preserve"> </w:t>
      </w:r>
      <w:r>
        <w:rPr>
          <w:sz w:val="14"/>
        </w:rPr>
        <w:t>LIBERTAD</w:t>
      </w:r>
      <w:r>
        <w:rPr>
          <w:spacing w:val="6"/>
          <w:sz w:val="14"/>
        </w:rPr>
        <w:t xml:space="preserve"> </w:t>
      </w:r>
      <w:r>
        <w:rPr>
          <w:sz w:val="14"/>
        </w:rPr>
        <w:t>DE</w:t>
      </w:r>
      <w:r>
        <w:rPr>
          <w:spacing w:val="6"/>
          <w:sz w:val="14"/>
        </w:rPr>
        <w:t xml:space="preserve"> </w:t>
      </w:r>
      <w:r>
        <w:rPr>
          <w:sz w:val="14"/>
        </w:rPr>
        <w:t>RELIGIÓN</w:t>
      </w:r>
      <w:r>
        <w:rPr>
          <w:spacing w:val="5"/>
          <w:sz w:val="14"/>
        </w:rPr>
        <w:t xml:space="preserve"> </w:t>
      </w:r>
      <w:r>
        <w:rPr>
          <w:sz w:val="14"/>
        </w:rPr>
        <w:t>O</w:t>
      </w:r>
      <w:r>
        <w:rPr>
          <w:spacing w:val="6"/>
          <w:sz w:val="14"/>
        </w:rPr>
        <w:t xml:space="preserve"> </w:t>
      </w:r>
      <w:r>
        <w:rPr>
          <w:spacing w:val="-2"/>
          <w:sz w:val="14"/>
        </w:rPr>
        <w:t>CREENCIA</w:t>
      </w:r>
    </w:p>
    <w:p w14:paraId="754819A2" w14:textId="77777777" w:rsidR="0014798C" w:rsidRDefault="0014798C">
      <w:pPr>
        <w:pStyle w:val="Textoindependiente"/>
        <w:spacing w:before="82"/>
        <w:rPr>
          <w:sz w:val="14"/>
        </w:rPr>
      </w:pPr>
    </w:p>
    <w:p w14:paraId="6A0C4413" w14:textId="77777777" w:rsidR="0014798C" w:rsidRDefault="004E1F0B">
      <w:pPr>
        <w:spacing w:line="372" w:lineRule="auto"/>
        <w:ind w:left="1334" w:right="1917" w:hanging="2"/>
        <w:rPr>
          <w:sz w:val="14"/>
        </w:rPr>
      </w:pPr>
      <w:r>
        <w:rPr>
          <w:sz w:val="14"/>
        </w:rPr>
        <w:t>El Relator Especial sobre la libertad de religión o de creencias ha declarado que el cumplimiento de las obligaciones de los Estados de</w:t>
      </w:r>
      <w:r>
        <w:rPr>
          <w:spacing w:val="40"/>
          <w:sz w:val="14"/>
        </w:rPr>
        <w:t xml:space="preserve"> </w:t>
      </w:r>
      <w:r>
        <w:rPr>
          <w:sz w:val="14"/>
        </w:rPr>
        <w:t>garantizar la libertad de religión o de creencias y la no discriminación requiere que:</w:t>
      </w:r>
    </w:p>
    <w:p w14:paraId="739C8037" w14:textId="77777777" w:rsidR="0014798C" w:rsidRDefault="004E1F0B">
      <w:pPr>
        <w:pStyle w:val="Prrafodelista"/>
        <w:numPr>
          <w:ilvl w:val="1"/>
          <w:numId w:val="20"/>
        </w:numPr>
        <w:tabs>
          <w:tab w:val="left" w:pos="1738"/>
          <w:tab w:val="left" w:pos="1900"/>
        </w:tabs>
        <w:spacing w:before="114" w:line="372" w:lineRule="auto"/>
        <w:ind w:right="1735" w:hanging="330"/>
        <w:jc w:val="both"/>
        <w:rPr>
          <w:sz w:val="14"/>
        </w:rPr>
      </w:pPr>
      <w:r>
        <w:rPr>
          <w:sz w:val="14"/>
        </w:rPr>
        <w:t>Los Estados deberían basar sistemáticamente cualquier actividad en el ámbito de la religión o las creencias en una comprensión</w:t>
      </w:r>
      <w:r>
        <w:rPr>
          <w:spacing w:val="40"/>
          <w:sz w:val="14"/>
        </w:rPr>
        <w:t xml:space="preserve"> </w:t>
      </w:r>
      <w:r>
        <w:rPr>
          <w:sz w:val="14"/>
        </w:rPr>
        <w:t>clara</w:t>
      </w:r>
      <w:r>
        <w:rPr>
          <w:spacing w:val="10"/>
          <w:sz w:val="14"/>
        </w:rPr>
        <w:t xml:space="preserve"> </w:t>
      </w:r>
      <w:r>
        <w:rPr>
          <w:sz w:val="14"/>
        </w:rPr>
        <w:t>del</w:t>
      </w:r>
      <w:r>
        <w:rPr>
          <w:spacing w:val="10"/>
          <w:sz w:val="14"/>
        </w:rPr>
        <w:t xml:space="preserve"> </w:t>
      </w:r>
      <w:r>
        <w:rPr>
          <w:sz w:val="14"/>
        </w:rPr>
        <w:t>debido</w:t>
      </w:r>
      <w:r>
        <w:rPr>
          <w:spacing w:val="10"/>
          <w:sz w:val="14"/>
        </w:rPr>
        <w:t xml:space="preserve"> </w:t>
      </w:r>
      <w:r>
        <w:rPr>
          <w:sz w:val="14"/>
        </w:rPr>
        <w:t>respeto</w:t>
      </w:r>
      <w:r>
        <w:rPr>
          <w:spacing w:val="9"/>
          <w:sz w:val="14"/>
        </w:rPr>
        <w:t xml:space="preserve"> </w:t>
      </w:r>
      <w:r>
        <w:rPr>
          <w:sz w:val="14"/>
        </w:rPr>
        <w:t>de</w:t>
      </w:r>
      <w:r>
        <w:rPr>
          <w:spacing w:val="10"/>
          <w:sz w:val="14"/>
        </w:rPr>
        <w:t xml:space="preserve"> </w:t>
      </w:r>
      <w:r>
        <w:rPr>
          <w:sz w:val="14"/>
        </w:rPr>
        <w:t>la</w:t>
      </w:r>
      <w:r>
        <w:rPr>
          <w:spacing w:val="10"/>
          <w:sz w:val="14"/>
        </w:rPr>
        <w:t xml:space="preserve"> </w:t>
      </w:r>
      <w:r>
        <w:rPr>
          <w:sz w:val="14"/>
        </w:rPr>
        <w:t>libertad</w:t>
      </w:r>
      <w:r>
        <w:rPr>
          <w:spacing w:val="9"/>
          <w:sz w:val="14"/>
        </w:rPr>
        <w:t xml:space="preserve"> </w:t>
      </w:r>
      <w:r>
        <w:rPr>
          <w:sz w:val="14"/>
        </w:rPr>
        <w:t>de</w:t>
      </w:r>
      <w:r>
        <w:rPr>
          <w:spacing w:val="10"/>
          <w:sz w:val="14"/>
        </w:rPr>
        <w:t xml:space="preserve"> </w:t>
      </w:r>
      <w:r>
        <w:rPr>
          <w:sz w:val="14"/>
        </w:rPr>
        <w:t>religión</w:t>
      </w:r>
      <w:r>
        <w:rPr>
          <w:spacing w:val="10"/>
          <w:sz w:val="14"/>
        </w:rPr>
        <w:t xml:space="preserve"> </w:t>
      </w:r>
      <w:r>
        <w:rPr>
          <w:sz w:val="14"/>
        </w:rPr>
        <w:t>o</w:t>
      </w:r>
      <w:r>
        <w:rPr>
          <w:spacing w:val="10"/>
          <w:sz w:val="14"/>
        </w:rPr>
        <w:t xml:space="preserve"> </w:t>
      </w:r>
      <w:r>
        <w:rPr>
          <w:sz w:val="14"/>
        </w:rPr>
        <w:t>de</w:t>
      </w:r>
      <w:r>
        <w:rPr>
          <w:spacing w:val="10"/>
          <w:sz w:val="14"/>
        </w:rPr>
        <w:t xml:space="preserve"> </w:t>
      </w:r>
      <w:r>
        <w:rPr>
          <w:sz w:val="14"/>
        </w:rPr>
        <w:t>creencias</w:t>
      </w:r>
      <w:r>
        <w:rPr>
          <w:spacing w:val="9"/>
          <w:sz w:val="14"/>
        </w:rPr>
        <w:t xml:space="preserve"> </w:t>
      </w:r>
      <w:r>
        <w:rPr>
          <w:sz w:val="14"/>
        </w:rPr>
        <w:t>de</w:t>
      </w:r>
      <w:r>
        <w:rPr>
          <w:spacing w:val="10"/>
          <w:sz w:val="14"/>
        </w:rPr>
        <w:t xml:space="preserve"> </w:t>
      </w:r>
      <w:r>
        <w:rPr>
          <w:sz w:val="14"/>
        </w:rPr>
        <w:t>cada</w:t>
      </w:r>
      <w:r>
        <w:rPr>
          <w:spacing w:val="10"/>
          <w:sz w:val="14"/>
        </w:rPr>
        <w:t xml:space="preserve"> </w:t>
      </w:r>
      <w:r>
        <w:rPr>
          <w:sz w:val="14"/>
        </w:rPr>
        <w:t>persona</w:t>
      </w:r>
      <w:r>
        <w:rPr>
          <w:spacing w:val="10"/>
          <w:sz w:val="14"/>
        </w:rPr>
        <w:t xml:space="preserve"> </w:t>
      </w:r>
      <w:r>
        <w:rPr>
          <w:sz w:val="14"/>
        </w:rPr>
        <w:t>como</w:t>
      </w:r>
      <w:r>
        <w:rPr>
          <w:spacing w:val="10"/>
          <w:sz w:val="14"/>
        </w:rPr>
        <w:t xml:space="preserve"> </w:t>
      </w:r>
      <w:r>
        <w:rPr>
          <w:sz w:val="14"/>
        </w:rPr>
        <w:t>un</w:t>
      </w:r>
      <w:r>
        <w:rPr>
          <w:spacing w:val="10"/>
          <w:sz w:val="14"/>
        </w:rPr>
        <w:t xml:space="preserve"> </w:t>
      </w:r>
      <w:r>
        <w:rPr>
          <w:sz w:val="14"/>
        </w:rPr>
        <w:t>derecho</w:t>
      </w:r>
      <w:r>
        <w:rPr>
          <w:spacing w:val="10"/>
          <w:sz w:val="14"/>
        </w:rPr>
        <w:t xml:space="preserve"> </w:t>
      </w:r>
      <w:r>
        <w:rPr>
          <w:sz w:val="14"/>
        </w:rPr>
        <w:t>humano</w:t>
      </w:r>
      <w:r>
        <w:rPr>
          <w:spacing w:val="10"/>
          <w:sz w:val="14"/>
        </w:rPr>
        <w:t xml:space="preserve"> </w:t>
      </w:r>
      <w:r>
        <w:rPr>
          <w:sz w:val="14"/>
        </w:rPr>
        <w:t>universal</w:t>
      </w:r>
      <w:r>
        <w:rPr>
          <w:spacing w:val="10"/>
          <w:sz w:val="14"/>
        </w:rPr>
        <w:t xml:space="preserve"> </w:t>
      </w:r>
      <w:r>
        <w:rPr>
          <w:sz w:val="14"/>
        </w:rPr>
        <w:t>basado</w:t>
      </w:r>
      <w:r>
        <w:rPr>
          <w:spacing w:val="40"/>
          <w:sz w:val="14"/>
        </w:rPr>
        <w:t xml:space="preserve"> </w:t>
      </w:r>
      <w:r>
        <w:rPr>
          <w:sz w:val="14"/>
        </w:rPr>
        <w:t>en la dignidad inherente de todos los miembros de la familia humana;</w:t>
      </w:r>
    </w:p>
    <w:p w14:paraId="55EFACB9" w14:textId="77777777" w:rsidR="0014798C" w:rsidRDefault="004E1F0B">
      <w:pPr>
        <w:pStyle w:val="Prrafodelista"/>
        <w:numPr>
          <w:ilvl w:val="1"/>
          <w:numId w:val="20"/>
        </w:numPr>
        <w:tabs>
          <w:tab w:val="left" w:pos="1738"/>
          <w:tab w:val="left" w:pos="1899"/>
        </w:tabs>
        <w:spacing w:before="114" w:line="372" w:lineRule="auto"/>
        <w:ind w:left="1899" w:right="3015" w:hanging="329"/>
        <w:jc w:val="both"/>
        <w:rPr>
          <w:sz w:val="14"/>
        </w:rPr>
      </w:pPr>
      <w:r>
        <w:rPr>
          <w:sz w:val="14"/>
        </w:rPr>
        <w:t>Los Estados deberían abstenerse de ejercer presión sobre grupos religiosos o de creencias cuyos miembros</w:t>
      </w:r>
      <w:r>
        <w:rPr>
          <w:spacing w:val="40"/>
          <w:sz w:val="14"/>
        </w:rPr>
        <w:t xml:space="preserve"> </w:t>
      </w:r>
      <w:r>
        <w:rPr>
          <w:sz w:val="14"/>
        </w:rPr>
        <w:t>prefieren no estar registrados como personas jurídicas según la legislación nacional;</w:t>
      </w:r>
    </w:p>
    <w:p w14:paraId="66C22107" w14:textId="77777777" w:rsidR="0014798C" w:rsidRDefault="004E1F0B">
      <w:pPr>
        <w:pStyle w:val="Prrafodelista"/>
        <w:numPr>
          <w:ilvl w:val="1"/>
          <w:numId w:val="20"/>
        </w:numPr>
        <w:tabs>
          <w:tab w:val="left" w:pos="1729"/>
          <w:tab w:val="left" w:pos="1902"/>
        </w:tabs>
        <w:spacing w:before="113" w:line="372" w:lineRule="auto"/>
        <w:ind w:left="1902" w:right="1776" w:hanging="332"/>
        <w:rPr>
          <w:sz w:val="14"/>
        </w:rPr>
      </w:pPr>
      <w:r>
        <w:rPr>
          <w:sz w:val="14"/>
        </w:rPr>
        <w:t>Los Estados deberían instruir a los miembros de las fuerzas del orden y otros organismos estatales de que las actividades</w:t>
      </w:r>
      <w:r>
        <w:rPr>
          <w:spacing w:val="40"/>
          <w:sz w:val="14"/>
        </w:rPr>
        <w:t xml:space="preserve"> </w:t>
      </w:r>
      <w:r>
        <w:rPr>
          <w:sz w:val="14"/>
        </w:rPr>
        <w:t>religiosas</w:t>
      </w:r>
      <w:r>
        <w:rPr>
          <w:spacing w:val="9"/>
          <w:sz w:val="14"/>
        </w:rPr>
        <w:t xml:space="preserve"> </w:t>
      </w:r>
      <w:r>
        <w:rPr>
          <w:sz w:val="14"/>
        </w:rPr>
        <w:t>de</w:t>
      </w:r>
      <w:r>
        <w:rPr>
          <w:spacing w:val="10"/>
          <w:sz w:val="14"/>
        </w:rPr>
        <w:t xml:space="preserve"> </w:t>
      </w:r>
      <w:r>
        <w:rPr>
          <w:sz w:val="14"/>
        </w:rPr>
        <w:t>comunidades</w:t>
      </w:r>
      <w:r>
        <w:rPr>
          <w:spacing w:val="9"/>
          <w:sz w:val="14"/>
        </w:rPr>
        <w:t xml:space="preserve"> </w:t>
      </w:r>
      <w:r>
        <w:rPr>
          <w:sz w:val="14"/>
        </w:rPr>
        <w:t>religiosas</w:t>
      </w:r>
      <w:r>
        <w:rPr>
          <w:spacing w:val="9"/>
          <w:sz w:val="14"/>
        </w:rPr>
        <w:t xml:space="preserve"> </w:t>
      </w:r>
      <w:r>
        <w:rPr>
          <w:sz w:val="14"/>
        </w:rPr>
        <w:t>o</w:t>
      </w:r>
      <w:r>
        <w:rPr>
          <w:spacing w:val="10"/>
          <w:sz w:val="14"/>
        </w:rPr>
        <w:t xml:space="preserve"> </w:t>
      </w:r>
      <w:r>
        <w:rPr>
          <w:sz w:val="14"/>
        </w:rPr>
        <w:t>de</w:t>
      </w:r>
      <w:r>
        <w:rPr>
          <w:spacing w:val="10"/>
          <w:sz w:val="14"/>
        </w:rPr>
        <w:t xml:space="preserve"> </w:t>
      </w:r>
      <w:r>
        <w:rPr>
          <w:sz w:val="14"/>
        </w:rPr>
        <w:t>creencias</w:t>
      </w:r>
      <w:r>
        <w:rPr>
          <w:spacing w:val="9"/>
          <w:sz w:val="14"/>
        </w:rPr>
        <w:t xml:space="preserve"> </w:t>
      </w:r>
      <w:r>
        <w:rPr>
          <w:sz w:val="14"/>
        </w:rPr>
        <w:t>no</w:t>
      </w:r>
      <w:r>
        <w:rPr>
          <w:spacing w:val="10"/>
          <w:sz w:val="14"/>
        </w:rPr>
        <w:t xml:space="preserve"> </w:t>
      </w:r>
      <w:r>
        <w:rPr>
          <w:sz w:val="14"/>
        </w:rPr>
        <w:t>registradas</w:t>
      </w:r>
      <w:r>
        <w:rPr>
          <w:spacing w:val="9"/>
          <w:sz w:val="14"/>
        </w:rPr>
        <w:t xml:space="preserve"> </w:t>
      </w:r>
      <w:r>
        <w:rPr>
          <w:sz w:val="14"/>
        </w:rPr>
        <w:t>no</w:t>
      </w:r>
      <w:r>
        <w:rPr>
          <w:spacing w:val="10"/>
          <w:sz w:val="14"/>
        </w:rPr>
        <w:t xml:space="preserve"> </w:t>
      </w:r>
      <w:r>
        <w:rPr>
          <w:sz w:val="14"/>
        </w:rPr>
        <w:t>son</w:t>
      </w:r>
      <w:r>
        <w:rPr>
          <w:spacing w:val="10"/>
          <w:sz w:val="14"/>
        </w:rPr>
        <w:t xml:space="preserve"> </w:t>
      </w:r>
      <w:r>
        <w:rPr>
          <w:sz w:val="14"/>
        </w:rPr>
        <w:t>ilegales,</w:t>
      </w:r>
      <w:r>
        <w:rPr>
          <w:spacing w:val="10"/>
          <w:sz w:val="14"/>
        </w:rPr>
        <w:t xml:space="preserve"> </w:t>
      </w:r>
      <w:r>
        <w:rPr>
          <w:sz w:val="14"/>
        </w:rPr>
        <w:t>ya</w:t>
      </w:r>
      <w:r>
        <w:rPr>
          <w:spacing w:val="10"/>
          <w:sz w:val="14"/>
        </w:rPr>
        <w:t xml:space="preserve"> </w:t>
      </w:r>
      <w:r>
        <w:rPr>
          <w:sz w:val="14"/>
        </w:rPr>
        <w:t>que</w:t>
      </w:r>
      <w:r>
        <w:rPr>
          <w:spacing w:val="10"/>
          <w:sz w:val="14"/>
        </w:rPr>
        <w:t xml:space="preserve"> </w:t>
      </w:r>
      <w:r>
        <w:rPr>
          <w:sz w:val="14"/>
        </w:rPr>
        <w:t>la</w:t>
      </w:r>
      <w:r>
        <w:rPr>
          <w:spacing w:val="10"/>
          <w:sz w:val="14"/>
        </w:rPr>
        <w:t xml:space="preserve"> </w:t>
      </w:r>
      <w:r>
        <w:rPr>
          <w:sz w:val="14"/>
        </w:rPr>
        <w:t>condición</w:t>
      </w:r>
      <w:r>
        <w:rPr>
          <w:spacing w:val="10"/>
          <w:sz w:val="14"/>
        </w:rPr>
        <w:t xml:space="preserve"> </w:t>
      </w:r>
      <w:r>
        <w:rPr>
          <w:sz w:val="14"/>
        </w:rPr>
        <w:t>de</w:t>
      </w:r>
      <w:r>
        <w:rPr>
          <w:spacing w:val="10"/>
          <w:sz w:val="14"/>
        </w:rPr>
        <w:t xml:space="preserve"> </w:t>
      </w:r>
      <w:r>
        <w:rPr>
          <w:sz w:val="14"/>
        </w:rPr>
        <w:t>libertad</w:t>
      </w:r>
      <w:r>
        <w:rPr>
          <w:spacing w:val="9"/>
          <w:sz w:val="14"/>
        </w:rPr>
        <w:t xml:space="preserve"> </w:t>
      </w:r>
      <w:r>
        <w:rPr>
          <w:sz w:val="14"/>
        </w:rPr>
        <w:t>de</w:t>
      </w:r>
      <w:r>
        <w:rPr>
          <w:spacing w:val="10"/>
          <w:sz w:val="14"/>
        </w:rPr>
        <w:t xml:space="preserve"> </w:t>
      </w:r>
      <w:r>
        <w:rPr>
          <w:sz w:val="14"/>
        </w:rPr>
        <w:t>religión</w:t>
      </w:r>
      <w:r>
        <w:rPr>
          <w:spacing w:val="40"/>
          <w:sz w:val="14"/>
        </w:rPr>
        <w:t xml:space="preserve"> </w:t>
      </w:r>
      <w:r>
        <w:rPr>
          <w:sz w:val="14"/>
        </w:rPr>
        <w:t>o de creencias prevalece sobre cualquier acto de registro estatal;</w:t>
      </w:r>
    </w:p>
    <w:p w14:paraId="4079F1FE" w14:textId="77777777" w:rsidR="0014798C" w:rsidRDefault="004E1F0B">
      <w:pPr>
        <w:pStyle w:val="Prrafodelista"/>
        <w:numPr>
          <w:ilvl w:val="1"/>
          <w:numId w:val="20"/>
        </w:numPr>
        <w:tabs>
          <w:tab w:val="left" w:pos="1738"/>
          <w:tab w:val="left" w:pos="1896"/>
        </w:tabs>
        <w:spacing w:before="114" w:line="372" w:lineRule="auto"/>
        <w:ind w:left="1896" w:right="1888" w:hanging="326"/>
        <w:rPr>
          <w:sz w:val="14"/>
        </w:rPr>
      </w:pPr>
      <w:r>
        <w:rPr>
          <w:sz w:val="14"/>
        </w:rPr>
        <w:t>Los Estados deberían ofrecer opciones y procedimientos apropiados para que las comunidades religiosas o de creencias</w:t>
      </w:r>
      <w:r>
        <w:rPr>
          <w:spacing w:val="40"/>
          <w:sz w:val="14"/>
        </w:rPr>
        <w:t xml:space="preserve"> </w:t>
      </w:r>
      <w:r>
        <w:rPr>
          <w:sz w:val="14"/>
        </w:rPr>
        <w:t>alcancen un estatus de personalidad jurídica si así lo desean. Los procedimientos administrativos para obtener ese estatuto</w:t>
      </w:r>
      <w:r>
        <w:rPr>
          <w:spacing w:val="40"/>
          <w:sz w:val="14"/>
        </w:rPr>
        <w:t xml:space="preserve"> </w:t>
      </w:r>
      <w:r>
        <w:rPr>
          <w:sz w:val="14"/>
        </w:rPr>
        <w:t>deberían promulgarse con el espíritu de contribuir al pleno disfrute de la libertad de religión o de creencias para todos y, por</w:t>
      </w:r>
      <w:r>
        <w:rPr>
          <w:spacing w:val="40"/>
          <w:sz w:val="14"/>
        </w:rPr>
        <w:t xml:space="preserve"> </w:t>
      </w:r>
      <w:r>
        <w:rPr>
          <w:sz w:val="14"/>
        </w:rPr>
        <w:t>tanto, deberían ser rápidos, transparentes, justos, inclusivos y no discriminatorios;</w:t>
      </w:r>
    </w:p>
    <w:p w14:paraId="21457F0F" w14:textId="77777777" w:rsidR="0014798C" w:rsidRDefault="004E1F0B">
      <w:pPr>
        <w:pStyle w:val="Prrafodelista"/>
        <w:numPr>
          <w:ilvl w:val="1"/>
          <w:numId w:val="20"/>
        </w:numPr>
        <w:tabs>
          <w:tab w:val="left" w:pos="1738"/>
          <w:tab w:val="left" w:pos="1904"/>
        </w:tabs>
        <w:spacing w:before="114" w:line="372" w:lineRule="auto"/>
        <w:ind w:left="1904" w:right="1783" w:hanging="334"/>
        <w:rPr>
          <w:sz w:val="14"/>
        </w:rPr>
      </w:pPr>
      <w:r>
        <w:rPr>
          <w:sz w:val="14"/>
        </w:rPr>
        <w:t>Todas las decisiones de registro deben basarse en elementos formales de derecho claramente definidos y ser conformes con el</w:t>
      </w:r>
      <w:r>
        <w:rPr>
          <w:spacing w:val="40"/>
          <w:sz w:val="14"/>
        </w:rPr>
        <w:t xml:space="preserve"> </w:t>
      </w:r>
      <w:r>
        <w:rPr>
          <w:sz w:val="14"/>
        </w:rPr>
        <w:t>derecho</w:t>
      </w:r>
      <w:r>
        <w:rPr>
          <w:spacing w:val="16"/>
          <w:sz w:val="14"/>
        </w:rPr>
        <w:t xml:space="preserve"> </w:t>
      </w:r>
      <w:r>
        <w:rPr>
          <w:sz w:val="14"/>
        </w:rPr>
        <w:t>internacional.</w:t>
      </w:r>
      <w:r>
        <w:rPr>
          <w:spacing w:val="18"/>
          <w:sz w:val="14"/>
        </w:rPr>
        <w:t xml:space="preserve"> </w:t>
      </w:r>
      <w:r>
        <w:rPr>
          <w:sz w:val="14"/>
        </w:rPr>
        <w:t>El</w:t>
      </w:r>
      <w:r>
        <w:rPr>
          <w:spacing w:val="15"/>
          <w:sz w:val="14"/>
        </w:rPr>
        <w:t xml:space="preserve"> </w:t>
      </w:r>
      <w:r>
        <w:rPr>
          <w:sz w:val="14"/>
        </w:rPr>
        <w:t>registro</w:t>
      </w:r>
      <w:r>
        <w:rPr>
          <w:spacing w:val="15"/>
          <w:sz w:val="14"/>
        </w:rPr>
        <w:t xml:space="preserve"> </w:t>
      </w:r>
      <w:r>
        <w:rPr>
          <w:sz w:val="14"/>
        </w:rPr>
        <w:t>no</w:t>
      </w:r>
      <w:r>
        <w:rPr>
          <w:spacing w:val="16"/>
          <w:sz w:val="14"/>
        </w:rPr>
        <w:t xml:space="preserve"> </w:t>
      </w:r>
      <w:r>
        <w:rPr>
          <w:sz w:val="14"/>
        </w:rPr>
        <w:t>debe</w:t>
      </w:r>
      <w:r>
        <w:rPr>
          <w:spacing w:val="16"/>
          <w:sz w:val="14"/>
        </w:rPr>
        <w:t xml:space="preserve"> </w:t>
      </w:r>
      <w:r>
        <w:rPr>
          <w:sz w:val="14"/>
        </w:rPr>
        <w:t>depender</w:t>
      </w:r>
      <w:r>
        <w:rPr>
          <w:spacing w:val="15"/>
          <w:sz w:val="14"/>
        </w:rPr>
        <w:t xml:space="preserve"> </w:t>
      </w:r>
      <w:r>
        <w:rPr>
          <w:sz w:val="14"/>
        </w:rPr>
        <w:t>de</w:t>
      </w:r>
      <w:r>
        <w:rPr>
          <w:spacing w:val="16"/>
          <w:sz w:val="14"/>
        </w:rPr>
        <w:t xml:space="preserve"> </w:t>
      </w:r>
      <w:r>
        <w:rPr>
          <w:sz w:val="14"/>
        </w:rPr>
        <w:t>requisitos</w:t>
      </w:r>
      <w:r>
        <w:rPr>
          <w:spacing w:val="15"/>
          <w:sz w:val="14"/>
        </w:rPr>
        <w:t xml:space="preserve"> </w:t>
      </w:r>
      <w:r>
        <w:rPr>
          <w:sz w:val="14"/>
        </w:rPr>
        <w:t>formales</w:t>
      </w:r>
      <w:r>
        <w:rPr>
          <w:spacing w:val="15"/>
          <w:sz w:val="14"/>
        </w:rPr>
        <w:t xml:space="preserve"> </w:t>
      </w:r>
      <w:r>
        <w:rPr>
          <w:sz w:val="14"/>
        </w:rPr>
        <w:t>extensos</w:t>
      </w:r>
      <w:r>
        <w:rPr>
          <w:spacing w:val="15"/>
          <w:sz w:val="14"/>
        </w:rPr>
        <w:t xml:space="preserve"> </w:t>
      </w:r>
      <w:r>
        <w:rPr>
          <w:sz w:val="14"/>
        </w:rPr>
        <w:t>en</w:t>
      </w:r>
      <w:r>
        <w:rPr>
          <w:spacing w:val="16"/>
          <w:sz w:val="14"/>
        </w:rPr>
        <w:t xml:space="preserve"> </w:t>
      </w:r>
      <w:r>
        <w:rPr>
          <w:sz w:val="14"/>
        </w:rPr>
        <w:t>términos</w:t>
      </w:r>
      <w:r>
        <w:rPr>
          <w:spacing w:val="15"/>
          <w:sz w:val="14"/>
        </w:rPr>
        <w:t xml:space="preserve"> </w:t>
      </w:r>
      <w:r>
        <w:rPr>
          <w:sz w:val="14"/>
        </w:rPr>
        <w:t>del</w:t>
      </w:r>
      <w:r>
        <w:rPr>
          <w:spacing w:val="16"/>
          <w:sz w:val="14"/>
        </w:rPr>
        <w:t xml:space="preserve"> </w:t>
      </w:r>
      <w:r>
        <w:rPr>
          <w:sz w:val="14"/>
        </w:rPr>
        <w:t>número</w:t>
      </w:r>
      <w:r>
        <w:rPr>
          <w:spacing w:val="16"/>
          <w:sz w:val="14"/>
        </w:rPr>
        <w:t xml:space="preserve"> </w:t>
      </w:r>
      <w:r>
        <w:rPr>
          <w:sz w:val="14"/>
        </w:rPr>
        <w:t>de</w:t>
      </w:r>
      <w:r>
        <w:rPr>
          <w:spacing w:val="16"/>
          <w:sz w:val="14"/>
        </w:rPr>
        <w:t xml:space="preserve"> </w:t>
      </w:r>
      <w:r>
        <w:rPr>
          <w:sz w:val="14"/>
        </w:rPr>
        <w:t>miembros</w:t>
      </w:r>
      <w:r>
        <w:rPr>
          <w:spacing w:val="15"/>
          <w:sz w:val="14"/>
        </w:rPr>
        <w:t xml:space="preserve"> </w:t>
      </w:r>
      <w:r>
        <w:rPr>
          <w:sz w:val="14"/>
        </w:rPr>
        <w:t>y</w:t>
      </w:r>
    </w:p>
    <w:p w14:paraId="02281781" w14:textId="77777777" w:rsidR="0014798C" w:rsidRDefault="004E1F0B">
      <w:pPr>
        <w:spacing w:before="1" w:line="372" w:lineRule="auto"/>
        <w:ind w:left="1904" w:right="1668" w:hanging="5"/>
        <w:rPr>
          <w:sz w:val="14"/>
        </w:rPr>
      </w:pPr>
      <w:r>
        <w:rPr>
          <w:sz w:val="14"/>
        </w:rPr>
        <w:t>el</w:t>
      </w:r>
      <w:r>
        <w:rPr>
          <w:spacing w:val="9"/>
          <w:sz w:val="14"/>
        </w:rPr>
        <w:t xml:space="preserve"> </w:t>
      </w:r>
      <w:r>
        <w:rPr>
          <w:sz w:val="14"/>
        </w:rPr>
        <w:t>tiempo</w:t>
      </w:r>
      <w:r>
        <w:rPr>
          <w:spacing w:val="8"/>
          <w:sz w:val="14"/>
        </w:rPr>
        <w:t xml:space="preserve"> </w:t>
      </w:r>
      <w:r>
        <w:rPr>
          <w:sz w:val="14"/>
        </w:rPr>
        <w:t>que</w:t>
      </w:r>
      <w:r>
        <w:rPr>
          <w:spacing w:val="9"/>
          <w:sz w:val="14"/>
        </w:rPr>
        <w:t xml:space="preserve"> </w:t>
      </w:r>
      <w:r>
        <w:rPr>
          <w:sz w:val="14"/>
        </w:rPr>
        <w:t>ha</w:t>
      </w:r>
      <w:r>
        <w:rPr>
          <w:spacing w:val="9"/>
          <w:sz w:val="14"/>
        </w:rPr>
        <w:t xml:space="preserve"> </w:t>
      </w:r>
      <w:r>
        <w:rPr>
          <w:sz w:val="14"/>
        </w:rPr>
        <w:t>existido</w:t>
      </w:r>
      <w:r>
        <w:rPr>
          <w:spacing w:val="8"/>
          <w:sz w:val="14"/>
        </w:rPr>
        <w:t xml:space="preserve"> </w:t>
      </w:r>
      <w:r>
        <w:rPr>
          <w:sz w:val="14"/>
        </w:rPr>
        <w:t>una</w:t>
      </w:r>
      <w:r>
        <w:rPr>
          <w:spacing w:val="9"/>
          <w:sz w:val="14"/>
        </w:rPr>
        <w:t xml:space="preserve"> </w:t>
      </w:r>
      <w:r>
        <w:rPr>
          <w:sz w:val="14"/>
        </w:rPr>
        <w:t>comunidad</w:t>
      </w:r>
      <w:r>
        <w:rPr>
          <w:spacing w:val="9"/>
          <w:sz w:val="14"/>
        </w:rPr>
        <w:t xml:space="preserve"> </w:t>
      </w:r>
      <w:r>
        <w:rPr>
          <w:sz w:val="14"/>
        </w:rPr>
        <w:t>en</w:t>
      </w:r>
      <w:r>
        <w:rPr>
          <w:spacing w:val="9"/>
          <w:sz w:val="14"/>
        </w:rPr>
        <w:t xml:space="preserve"> </w:t>
      </w:r>
      <w:r>
        <w:rPr>
          <w:sz w:val="14"/>
        </w:rPr>
        <w:t>particular,</w:t>
      </w:r>
      <w:r>
        <w:rPr>
          <w:spacing w:val="9"/>
          <w:sz w:val="14"/>
        </w:rPr>
        <w:t xml:space="preserve"> </w:t>
      </w:r>
      <w:r>
        <w:rPr>
          <w:sz w:val="14"/>
        </w:rPr>
        <w:t>ni</w:t>
      </w:r>
      <w:r>
        <w:rPr>
          <w:spacing w:val="9"/>
          <w:sz w:val="14"/>
        </w:rPr>
        <w:t xml:space="preserve"> </w:t>
      </w:r>
      <w:r>
        <w:rPr>
          <w:sz w:val="14"/>
        </w:rPr>
        <w:t>debe</w:t>
      </w:r>
      <w:r>
        <w:rPr>
          <w:spacing w:val="9"/>
          <w:sz w:val="14"/>
        </w:rPr>
        <w:t xml:space="preserve"> </w:t>
      </w:r>
      <w:r>
        <w:rPr>
          <w:sz w:val="14"/>
        </w:rPr>
        <w:t>depender</w:t>
      </w:r>
      <w:r>
        <w:rPr>
          <w:spacing w:val="8"/>
          <w:sz w:val="14"/>
        </w:rPr>
        <w:t xml:space="preserve"> </w:t>
      </w:r>
      <w:r>
        <w:rPr>
          <w:sz w:val="14"/>
        </w:rPr>
        <w:t>de</w:t>
      </w:r>
      <w:r>
        <w:rPr>
          <w:spacing w:val="9"/>
          <w:sz w:val="14"/>
        </w:rPr>
        <w:t xml:space="preserve"> </w:t>
      </w:r>
      <w:r>
        <w:rPr>
          <w:sz w:val="14"/>
        </w:rPr>
        <w:t>la</w:t>
      </w:r>
      <w:r>
        <w:rPr>
          <w:spacing w:val="9"/>
          <w:sz w:val="14"/>
        </w:rPr>
        <w:t xml:space="preserve"> </w:t>
      </w:r>
      <w:r>
        <w:rPr>
          <w:sz w:val="14"/>
        </w:rPr>
        <w:t>revisión</w:t>
      </w:r>
      <w:r>
        <w:rPr>
          <w:spacing w:val="9"/>
          <w:sz w:val="14"/>
        </w:rPr>
        <w:t xml:space="preserve"> </w:t>
      </w:r>
      <w:r>
        <w:rPr>
          <w:sz w:val="14"/>
        </w:rPr>
        <w:t>del</w:t>
      </w:r>
      <w:r>
        <w:rPr>
          <w:spacing w:val="9"/>
          <w:sz w:val="14"/>
        </w:rPr>
        <w:t xml:space="preserve"> </w:t>
      </w:r>
      <w:r>
        <w:rPr>
          <w:sz w:val="14"/>
        </w:rPr>
        <w:t>contenido</w:t>
      </w:r>
      <w:r>
        <w:rPr>
          <w:spacing w:val="8"/>
          <w:sz w:val="14"/>
        </w:rPr>
        <w:t xml:space="preserve"> </w:t>
      </w:r>
      <w:r>
        <w:rPr>
          <w:sz w:val="14"/>
        </w:rPr>
        <w:t>sustantivo</w:t>
      </w:r>
      <w:r>
        <w:rPr>
          <w:spacing w:val="8"/>
          <w:sz w:val="14"/>
        </w:rPr>
        <w:t xml:space="preserve"> </w:t>
      </w:r>
      <w:r>
        <w:rPr>
          <w:sz w:val="14"/>
        </w:rPr>
        <w:t>de</w:t>
      </w:r>
      <w:r>
        <w:rPr>
          <w:spacing w:val="9"/>
          <w:sz w:val="14"/>
        </w:rPr>
        <w:t xml:space="preserve"> </w:t>
      </w:r>
      <w:r>
        <w:rPr>
          <w:sz w:val="14"/>
        </w:rPr>
        <w:t>la</w:t>
      </w:r>
      <w:r>
        <w:rPr>
          <w:spacing w:val="9"/>
          <w:sz w:val="14"/>
        </w:rPr>
        <w:t xml:space="preserve"> </w:t>
      </w:r>
      <w:r>
        <w:rPr>
          <w:sz w:val="14"/>
        </w:rPr>
        <w:t>creencia,</w:t>
      </w:r>
      <w:r>
        <w:rPr>
          <w:spacing w:val="40"/>
          <w:sz w:val="14"/>
        </w:rPr>
        <w:t xml:space="preserve"> </w:t>
      </w:r>
      <w:r>
        <w:rPr>
          <w:sz w:val="14"/>
        </w:rPr>
        <w:t>la estructura de la comunidad y los métodos de nombramiento de los miembros. clero;</w:t>
      </w:r>
    </w:p>
    <w:p w14:paraId="571A540D" w14:textId="77777777" w:rsidR="0014798C" w:rsidRDefault="0014798C">
      <w:pPr>
        <w:pStyle w:val="Textoindependiente"/>
        <w:rPr>
          <w:sz w:val="14"/>
        </w:rPr>
      </w:pPr>
    </w:p>
    <w:p w14:paraId="28176CAA" w14:textId="77777777" w:rsidR="0014798C" w:rsidRDefault="0014798C">
      <w:pPr>
        <w:pStyle w:val="Textoindependiente"/>
        <w:spacing w:before="41"/>
        <w:rPr>
          <w:sz w:val="14"/>
        </w:rPr>
      </w:pPr>
    </w:p>
    <w:p w14:paraId="25B07C7E" w14:textId="77777777" w:rsidR="0014798C" w:rsidRDefault="004E1F0B">
      <w:pPr>
        <w:pStyle w:val="Prrafodelista"/>
        <w:numPr>
          <w:ilvl w:val="1"/>
          <w:numId w:val="20"/>
        </w:numPr>
        <w:tabs>
          <w:tab w:val="left" w:pos="1696"/>
          <w:tab w:val="left" w:pos="1904"/>
        </w:tabs>
        <w:spacing w:line="372" w:lineRule="auto"/>
        <w:ind w:left="1904" w:right="1847" w:hanging="334"/>
        <w:rPr>
          <w:sz w:val="14"/>
        </w:rPr>
      </w:pPr>
      <w:r>
        <w:rPr>
          <w:sz w:val="14"/>
        </w:rPr>
        <w:t>Los Estados deberían garantizar que ninguna comunidad religiosa tenga, de jure o de facto, la posibilidad de ejercer un “veto” o</w:t>
      </w:r>
      <w:r>
        <w:rPr>
          <w:spacing w:val="40"/>
          <w:sz w:val="14"/>
        </w:rPr>
        <w:t xml:space="preserve"> </w:t>
      </w:r>
      <w:r>
        <w:rPr>
          <w:sz w:val="14"/>
        </w:rPr>
        <w:t>influir de otro modo en la decisión de registrar o no registrar a otro grupo religioso o de creencias;</w:t>
      </w:r>
    </w:p>
    <w:p w14:paraId="7EA4B33A" w14:textId="77777777" w:rsidR="0014798C" w:rsidRDefault="0014798C">
      <w:pPr>
        <w:pStyle w:val="Textoindependiente"/>
        <w:rPr>
          <w:sz w:val="12"/>
        </w:rPr>
      </w:pPr>
    </w:p>
    <w:p w14:paraId="0F7CC6E3" w14:textId="77777777" w:rsidR="0014798C" w:rsidRDefault="0014798C">
      <w:pPr>
        <w:pStyle w:val="Textoindependiente"/>
        <w:rPr>
          <w:sz w:val="12"/>
        </w:rPr>
      </w:pPr>
    </w:p>
    <w:p w14:paraId="40E6AE08" w14:textId="77777777" w:rsidR="0014798C" w:rsidRDefault="0014798C">
      <w:pPr>
        <w:pStyle w:val="Textoindependiente"/>
        <w:rPr>
          <w:sz w:val="12"/>
        </w:rPr>
      </w:pPr>
    </w:p>
    <w:p w14:paraId="6CAF5241" w14:textId="77777777" w:rsidR="0014798C" w:rsidRDefault="0014798C">
      <w:pPr>
        <w:pStyle w:val="Textoindependiente"/>
        <w:rPr>
          <w:sz w:val="12"/>
        </w:rPr>
      </w:pPr>
    </w:p>
    <w:p w14:paraId="1CF3704A" w14:textId="77777777" w:rsidR="0014798C" w:rsidRDefault="0014798C">
      <w:pPr>
        <w:pStyle w:val="Textoindependiente"/>
        <w:rPr>
          <w:sz w:val="12"/>
        </w:rPr>
      </w:pPr>
    </w:p>
    <w:p w14:paraId="42279748" w14:textId="77777777" w:rsidR="0014798C" w:rsidRDefault="0014798C">
      <w:pPr>
        <w:pStyle w:val="Textoindependiente"/>
        <w:spacing w:before="137"/>
        <w:rPr>
          <w:sz w:val="12"/>
        </w:rPr>
      </w:pPr>
    </w:p>
    <w:p w14:paraId="03E37B2E" w14:textId="77777777" w:rsidR="0014798C" w:rsidRPr="00537489" w:rsidRDefault="004E1F0B">
      <w:pPr>
        <w:spacing w:line="312" w:lineRule="auto"/>
        <w:ind w:left="1366" w:right="1520" w:hanging="260"/>
        <w:rPr>
          <w:sz w:val="12"/>
          <w:lang w:val="en-US"/>
        </w:rPr>
      </w:pPr>
      <w:r>
        <w:rPr>
          <w:w w:val="105"/>
          <w:sz w:val="12"/>
        </w:rPr>
        <w:t>971 Así, por ejemplo, en su examen de Pakistán de 2017, el Comité de Derechos Humanos expresó su preocupación por los crímenes de odio contra minorías</w:t>
      </w:r>
      <w:r>
        <w:rPr>
          <w:spacing w:val="40"/>
          <w:w w:val="105"/>
          <w:sz w:val="12"/>
        </w:rPr>
        <w:t xml:space="preserve"> </w:t>
      </w:r>
      <w:r>
        <w:rPr>
          <w:w w:val="105"/>
          <w:sz w:val="12"/>
        </w:rPr>
        <w:t>religiosas y por las “leyes sobre blasfemia… que conllevan penas severas, incluida la pena de muerte obligatoria”, que “supuestamente tienen un efecto</w:t>
      </w:r>
      <w:r>
        <w:rPr>
          <w:spacing w:val="40"/>
          <w:w w:val="105"/>
          <w:sz w:val="12"/>
        </w:rPr>
        <w:t xml:space="preserve"> </w:t>
      </w:r>
      <w:r>
        <w:rPr>
          <w:w w:val="105"/>
          <w:sz w:val="12"/>
        </w:rPr>
        <w:t>discriminatorio”</w:t>
      </w:r>
      <w:proofErr w:type="gramStart"/>
      <w:r>
        <w:rPr>
          <w:w w:val="105"/>
          <w:sz w:val="12"/>
        </w:rPr>
        <w:t>. ,</w:t>
      </w:r>
      <w:proofErr w:type="gramEnd"/>
      <w:r>
        <w:rPr>
          <w:w w:val="105"/>
          <w:sz w:val="12"/>
        </w:rPr>
        <w:t xml:space="preserve"> particularmente sobre las personas </w:t>
      </w:r>
      <w:proofErr w:type="spellStart"/>
      <w:r>
        <w:rPr>
          <w:w w:val="105"/>
          <w:sz w:val="12"/>
        </w:rPr>
        <w:t>áhmadi</w:t>
      </w:r>
      <w:proofErr w:type="spellEnd"/>
      <w:r>
        <w:rPr>
          <w:w w:val="105"/>
          <w:sz w:val="12"/>
        </w:rPr>
        <w:t xml:space="preserve">”. De manera similar, el Comité ha expresado preocupación por el trato dado a </w:t>
      </w:r>
      <w:proofErr w:type="spellStart"/>
      <w:r>
        <w:rPr>
          <w:w w:val="105"/>
          <w:sz w:val="12"/>
        </w:rPr>
        <w:t>bahá'ís</w:t>
      </w:r>
      <w:proofErr w:type="spellEnd"/>
      <w:r>
        <w:rPr>
          <w:w w:val="105"/>
          <w:sz w:val="12"/>
        </w:rPr>
        <w:t>,</w:t>
      </w:r>
      <w:r>
        <w:rPr>
          <w:spacing w:val="40"/>
          <w:w w:val="105"/>
          <w:sz w:val="12"/>
        </w:rPr>
        <w:t xml:space="preserve"> </w:t>
      </w:r>
      <w:r>
        <w:rPr>
          <w:w w:val="105"/>
          <w:sz w:val="12"/>
        </w:rPr>
        <w:t>cristianos</w:t>
      </w:r>
      <w:r>
        <w:rPr>
          <w:spacing w:val="-1"/>
          <w:w w:val="105"/>
          <w:sz w:val="12"/>
        </w:rPr>
        <w:t xml:space="preserve"> </w:t>
      </w:r>
      <w:r>
        <w:rPr>
          <w:w w:val="105"/>
          <w:sz w:val="12"/>
        </w:rPr>
        <w:t>y</w:t>
      </w:r>
      <w:r>
        <w:rPr>
          <w:spacing w:val="-1"/>
          <w:w w:val="105"/>
          <w:sz w:val="12"/>
        </w:rPr>
        <w:t xml:space="preserve"> </w:t>
      </w:r>
      <w:r>
        <w:rPr>
          <w:w w:val="105"/>
          <w:sz w:val="12"/>
        </w:rPr>
        <w:t>musulmanes</w:t>
      </w:r>
      <w:r>
        <w:rPr>
          <w:spacing w:val="-1"/>
          <w:w w:val="105"/>
          <w:sz w:val="12"/>
        </w:rPr>
        <w:t xml:space="preserve"> </w:t>
      </w:r>
      <w:r>
        <w:rPr>
          <w:w w:val="105"/>
          <w:sz w:val="12"/>
        </w:rPr>
        <w:t>suníes</w:t>
      </w:r>
      <w:r>
        <w:rPr>
          <w:spacing w:val="-1"/>
          <w:w w:val="105"/>
          <w:sz w:val="12"/>
        </w:rPr>
        <w:t xml:space="preserve"> </w:t>
      </w:r>
      <w:r>
        <w:rPr>
          <w:w w:val="105"/>
          <w:sz w:val="12"/>
        </w:rPr>
        <w:t>en</w:t>
      </w:r>
      <w:r>
        <w:rPr>
          <w:spacing w:val="-1"/>
          <w:w w:val="105"/>
          <w:sz w:val="12"/>
        </w:rPr>
        <w:t xml:space="preserve"> </w:t>
      </w:r>
      <w:r>
        <w:rPr>
          <w:w w:val="105"/>
          <w:sz w:val="12"/>
        </w:rPr>
        <w:t>la</w:t>
      </w:r>
      <w:r>
        <w:rPr>
          <w:spacing w:val="-1"/>
          <w:w w:val="105"/>
          <w:sz w:val="12"/>
        </w:rPr>
        <w:t xml:space="preserve"> </w:t>
      </w:r>
      <w:r>
        <w:rPr>
          <w:w w:val="105"/>
          <w:sz w:val="12"/>
        </w:rPr>
        <w:t>República</w:t>
      </w:r>
      <w:r>
        <w:rPr>
          <w:spacing w:val="-1"/>
          <w:w w:val="105"/>
          <w:sz w:val="12"/>
        </w:rPr>
        <w:t xml:space="preserve"> </w:t>
      </w:r>
      <w:r>
        <w:rPr>
          <w:w w:val="105"/>
          <w:sz w:val="12"/>
        </w:rPr>
        <w:t>Islámica</w:t>
      </w:r>
      <w:r>
        <w:rPr>
          <w:spacing w:val="-1"/>
          <w:w w:val="105"/>
          <w:sz w:val="12"/>
        </w:rPr>
        <w:t xml:space="preserve"> </w:t>
      </w:r>
      <w:proofErr w:type="spellStart"/>
      <w:r>
        <w:rPr>
          <w:w w:val="105"/>
          <w:sz w:val="12"/>
        </w:rPr>
        <w:t>del</w:t>
      </w:r>
      <w:proofErr w:type="spellEnd"/>
      <w:r>
        <w:rPr>
          <w:spacing w:val="-1"/>
          <w:w w:val="105"/>
          <w:sz w:val="12"/>
        </w:rPr>
        <w:t xml:space="preserve"> </w:t>
      </w:r>
      <w:r>
        <w:rPr>
          <w:w w:val="105"/>
          <w:sz w:val="12"/>
        </w:rPr>
        <w:t>Irán,</w:t>
      </w:r>
      <w:r>
        <w:rPr>
          <w:spacing w:val="-1"/>
          <w:w w:val="105"/>
          <w:sz w:val="12"/>
        </w:rPr>
        <w:t xml:space="preserve"> </w:t>
      </w:r>
      <w:r>
        <w:rPr>
          <w:w w:val="105"/>
          <w:sz w:val="12"/>
        </w:rPr>
        <w:t>incluido</w:t>
      </w:r>
      <w:r>
        <w:rPr>
          <w:spacing w:val="-1"/>
          <w:w w:val="105"/>
          <w:sz w:val="12"/>
        </w:rPr>
        <w:t xml:space="preserve"> </w:t>
      </w:r>
      <w:r>
        <w:rPr>
          <w:w w:val="105"/>
          <w:sz w:val="12"/>
        </w:rPr>
        <w:t>el</w:t>
      </w:r>
      <w:r>
        <w:rPr>
          <w:spacing w:val="-1"/>
          <w:w w:val="105"/>
          <w:sz w:val="12"/>
        </w:rPr>
        <w:t xml:space="preserve"> </w:t>
      </w:r>
      <w:r>
        <w:rPr>
          <w:w w:val="105"/>
          <w:sz w:val="12"/>
        </w:rPr>
        <w:t>hecho</w:t>
      </w:r>
      <w:r>
        <w:rPr>
          <w:spacing w:val="-1"/>
          <w:w w:val="105"/>
          <w:sz w:val="12"/>
        </w:rPr>
        <w:t xml:space="preserve"> </w:t>
      </w:r>
      <w:r>
        <w:rPr>
          <w:w w:val="105"/>
          <w:sz w:val="12"/>
        </w:rPr>
        <w:t>de</w:t>
      </w:r>
      <w:r>
        <w:rPr>
          <w:spacing w:val="-1"/>
          <w:w w:val="105"/>
          <w:sz w:val="12"/>
        </w:rPr>
        <w:t xml:space="preserve"> </w:t>
      </w:r>
      <w:r>
        <w:rPr>
          <w:w w:val="105"/>
          <w:sz w:val="12"/>
        </w:rPr>
        <w:t>que</w:t>
      </w:r>
      <w:r>
        <w:rPr>
          <w:spacing w:val="-1"/>
          <w:w w:val="105"/>
          <w:sz w:val="12"/>
        </w:rPr>
        <w:t xml:space="preserve"> </w:t>
      </w:r>
      <w:r>
        <w:rPr>
          <w:w w:val="105"/>
          <w:sz w:val="12"/>
        </w:rPr>
        <w:t>los</w:t>
      </w:r>
      <w:r>
        <w:rPr>
          <w:spacing w:val="-1"/>
          <w:w w:val="105"/>
          <w:sz w:val="12"/>
        </w:rPr>
        <w:t xml:space="preserve"> </w:t>
      </w:r>
      <w:r>
        <w:rPr>
          <w:w w:val="105"/>
          <w:sz w:val="12"/>
        </w:rPr>
        <w:t>varones</w:t>
      </w:r>
      <w:r>
        <w:rPr>
          <w:spacing w:val="-1"/>
          <w:w w:val="105"/>
          <w:sz w:val="12"/>
        </w:rPr>
        <w:t xml:space="preserve"> </w:t>
      </w:r>
      <w:r>
        <w:rPr>
          <w:w w:val="105"/>
          <w:sz w:val="12"/>
        </w:rPr>
        <w:t>apóstatas</w:t>
      </w:r>
      <w:r>
        <w:rPr>
          <w:spacing w:val="-1"/>
          <w:w w:val="105"/>
          <w:sz w:val="12"/>
        </w:rPr>
        <w:t xml:space="preserve"> </w:t>
      </w:r>
      <w:r>
        <w:rPr>
          <w:w w:val="105"/>
          <w:sz w:val="12"/>
        </w:rPr>
        <w:t>condenados</w:t>
      </w:r>
      <w:r>
        <w:rPr>
          <w:spacing w:val="-1"/>
          <w:w w:val="105"/>
          <w:sz w:val="12"/>
        </w:rPr>
        <w:t xml:space="preserve"> </w:t>
      </w:r>
      <w:r>
        <w:rPr>
          <w:w w:val="105"/>
          <w:sz w:val="12"/>
        </w:rPr>
        <w:t>(es</w:t>
      </w:r>
      <w:r>
        <w:rPr>
          <w:spacing w:val="-1"/>
          <w:w w:val="105"/>
          <w:sz w:val="12"/>
        </w:rPr>
        <w:t xml:space="preserve"> </w:t>
      </w:r>
      <w:r>
        <w:rPr>
          <w:w w:val="105"/>
          <w:sz w:val="12"/>
        </w:rPr>
        <w:t>decir,</w:t>
      </w:r>
      <w:r>
        <w:rPr>
          <w:spacing w:val="-1"/>
          <w:w w:val="105"/>
          <w:sz w:val="12"/>
        </w:rPr>
        <w:t xml:space="preserve"> </w:t>
      </w:r>
      <w:r>
        <w:rPr>
          <w:w w:val="105"/>
          <w:sz w:val="12"/>
        </w:rPr>
        <w:t>conversos</w:t>
      </w:r>
      <w:r>
        <w:rPr>
          <w:spacing w:val="-1"/>
          <w:w w:val="105"/>
          <w:sz w:val="12"/>
        </w:rPr>
        <w:t xml:space="preserve"> </w:t>
      </w:r>
      <w:r>
        <w:rPr>
          <w:w w:val="105"/>
          <w:sz w:val="12"/>
        </w:rPr>
        <w:t>del</w:t>
      </w:r>
      <w:r>
        <w:rPr>
          <w:spacing w:val="-1"/>
          <w:w w:val="105"/>
          <w:sz w:val="12"/>
        </w:rPr>
        <w:t xml:space="preserve"> </w:t>
      </w:r>
      <w:r>
        <w:rPr>
          <w:w w:val="105"/>
          <w:sz w:val="12"/>
        </w:rPr>
        <w:t>Islam)</w:t>
      </w:r>
      <w:r>
        <w:rPr>
          <w:spacing w:val="40"/>
          <w:w w:val="105"/>
          <w:sz w:val="12"/>
        </w:rPr>
        <w:t xml:space="preserve"> </w:t>
      </w:r>
      <w:r>
        <w:rPr>
          <w:w w:val="105"/>
          <w:sz w:val="12"/>
        </w:rPr>
        <w:t>se</w:t>
      </w:r>
      <w:r>
        <w:rPr>
          <w:spacing w:val="-6"/>
          <w:w w:val="105"/>
          <w:sz w:val="12"/>
        </w:rPr>
        <w:t xml:space="preserve"> </w:t>
      </w:r>
      <w:r>
        <w:rPr>
          <w:w w:val="105"/>
          <w:sz w:val="12"/>
        </w:rPr>
        <w:t>enfrenten</w:t>
      </w:r>
      <w:r>
        <w:rPr>
          <w:spacing w:val="-6"/>
          <w:w w:val="105"/>
          <w:sz w:val="12"/>
        </w:rPr>
        <w:t xml:space="preserve"> </w:t>
      </w:r>
      <w:r>
        <w:rPr>
          <w:w w:val="105"/>
          <w:sz w:val="12"/>
        </w:rPr>
        <w:t>a</w:t>
      </w:r>
      <w:r>
        <w:rPr>
          <w:spacing w:val="-6"/>
          <w:w w:val="105"/>
          <w:sz w:val="12"/>
        </w:rPr>
        <w:t xml:space="preserve"> </w:t>
      </w:r>
      <w:r>
        <w:rPr>
          <w:w w:val="105"/>
          <w:sz w:val="12"/>
        </w:rPr>
        <w:t>la</w:t>
      </w:r>
      <w:r>
        <w:rPr>
          <w:spacing w:val="-6"/>
          <w:w w:val="105"/>
          <w:sz w:val="12"/>
        </w:rPr>
        <w:t xml:space="preserve"> </w:t>
      </w:r>
      <w:r>
        <w:rPr>
          <w:w w:val="105"/>
          <w:sz w:val="12"/>
        </w:rPr>
        <w:t>pena</w:t>
      </w:r>
      <w:r>
        <w:rPr>
          <w:spacing w:val="-6"/>
          <w:w w:val="105"/>
          <w:sz w:val="12"/>
        </w:rPr>
        <w:t xml:space="preserve"> </w:t>
      </w:r>
      <w:r>
        <w:rPr>
          <w:w w:val="105"/>
          <w:sz w:val="12"/>
        </w:rPr>
        <w:t>de</w:t>
      </w:r>
      <w:r>
        <w:rPr>
          <w:spacing w:val="-6"/>
          <w:w w:val="105"/>
          <w:sz w:val="12"/>
        </w:rPr>
        <w:t xml:space="preserve"> </w:t>
      </w:r>
      <w:r>
        <w:rPr>
          <w:w w:val="105"/>
          <w:sz w:val="12"/>
        </w:rPr>
        <w:t>muerte.</w:t>
      </w:r>
      <w:r>
        <w:rPr>
          <w:spacing w:val="-6"/>
          <w:w w:val="105"/>
          <w:sz w:val="12"/>
        </w:rPr>
        <w:t xml:space="preserve"> </w:t>
      </w:r>
      <w:r>
        <w:rPr>
          <w:w w:val="105"/>
          <w:sz w:val="12"/>
        </w:rPr>
        <w:t>Véanse,</w:t>
      </w:r>
      <w:r>
        <w:rPr>
          <w:spacing w:val="-6"/>
          <w:w w:val="105"/>
          <w:sz w:val="12"/>
        </w:rPr>
        <w:t xml:space="preserve"> </w:t>
      </w:r>
      <w:r>
        <w:rPr>
          <w:w w:val="105"/>
          <w:sz w:val="12"/>
        </w:rPr>
        <w:t>respectivamente,</w:t>
      </w:r>
      <w:r>
        <w:rPr>
          <w:spacing w:val="-5"/>
          <w:w w:val="105"/>
          <w:sz w:val="12"/>
        </w:rPr>
        <w:t xml:space="preserve"> </w:t>
      </w:r>
      <w:r>
        <w:rPr>
          <w:w w:val="105"/>
          <w:sz w:val="12"/>
        </w:rPr>
        <w:t>CCPR/C/PAK/CO/1,</w:t>
      </w:r>
      <w:r>
        <w:rPr>
          <w:spacing w:val="-6"/>
          <w:w w:val="105"/>
          <w:sz w:val="12"/>
        </w:rPr>
        <w:t xml:space="preserve"> </w:t>
      </w:r>
      <w:proofErr w:type="spellStart"/>
      <w:r>
        <w:rPr>
          <w:w w:val="105"/>
          <w:sz w:val="12"/>
        </w:rPr>
        <w:t>párrs</w:t>
      </w:r>
      <w:proofErr w:type="spellEnd"/>
      <w:r>
        <w:rPr>
          <w:w w:val="105"/>
          <w:sz w:val="12"/>
        </w:rPr>
        <w:t>.</w:t>
      </w:r>
      <w:r>
        <w:rPr>
          <w:spacing w:val="-5"/>
          <w:w w:val="105"/>
          <w:sz w:val="12"/>
        </w:rPr>
        <w:t xml:space="preserve"> </w:t>
      </w:r>
      <w:r>
        <w:rPr>
          <w:w w:val="105"/>
          <w:sz w:val="12"/>
        </w:rPr>
        <w:t>33–34;</w:t>
      </w:r>
      <w:r>
        <w:rPr>
          <w:spacing w:val="-6"/>
          <w:w w:val="105"/>
          <w:sz w:val="12"/>
        </w:rPr>
        <w:t xml:space="preserve"> </w:t>
      </w:r>
      <w:r>
        <w:rPr>
          <w:w w:val="105"/>
          <w:sz w:val="12"/>
        </w:rPr>
        <w:t>y</w:t>
      </w:r>
      <w:r>
        <w:rPr>
          <w:spacing w:val="-6"/>
          <w:w w:val="105"/>
          <w:sz w:val="12"/>
        </w:rPr>
        <w:t xml:space="preserve"> </w:t>
      </w:r>
      <w:r>
        <w:rPr>
          <w:w w:val="105"/>
          <w:sz w:val="12"/>
        </w:rPr>
        <w:t>CCPR/C/IRN/CO/3,</w:t>
      </w:r>
      <w:r>
        <w:rPr>
          <w:spacing w:val="-6"/>
          <w:w w:val="105"/>
          <w:sz w:val="12"/>
        </w:rPr>
        <w:t xml:space="preserve"> </w:t>
      </w:r>
      <w:proofErr w:type="spellStart"/>
      <w:r>
        <w:rPr>
          <w:w w:val="105"/>
          <w:sz w:val="12"/>
        </w:rPr>
        <w:t>párrs</w:t>
      </w:r>
      <w:proofErr w:type="spellEnd"/>
      <w:r>
        <w:rPr>
          <w:w w:val="105"/>
          <w:sz w:val="12"/>
        </w:rPr>
        <w:t>.</w:t>
      </w:r>
      <w:r>
        <w:rPr>
          <w:spacing w:val="-5"/>
          <w:w w:val="105"/>
          <w:sz w:val="12"/>
        </w:rPr>
        <w:t xml:space="preserve"> </w:t>
      </w:r>
      <w:r w:rsidRPr="00537489">
        <w:rPr>
          <w:w w:val="105"/>
          <w:sz w:val="12"/>
          <w:lang w:val="en-US"/>
        </w:rPr>
        <w:t>23–26.</w:t>
      </w:r>
    </w:p>
    <w:p w14:paraId="48F934E7" w14:textId="77777777" w:rsidR="0014798C" w:rsidRPr="00537489" w:rsidRDefault="004E1F0B">
      <w:pPr>
        <w:spacing w:before="59"/>
        <w:ind w:left="1107"/>
        <w:rPr>
          <w:sz w:val="12"/>
          <w:lang w:val="en-US"/>
        </w:rPr>
      </w:pPr>
      <w:r w:rsidRPr="00537489">
        <w:rPr>
          <w:w w:val="105"/>
          <w:sz w:val="12"/>
          <w:lang w:val="en-US"/>
        </w:rPr>
        <w:t>972</w:t>
      </w:r>
      <w:r w:rsidRPr="00537489">
        <w:rPr>
          <w:spacing w:val="-10"/>
          <w:w w:val="105"/>
          <w:sz w:val="12"/>
          <w:lang w:val="en-US"/>
        </w:rPr>
        <w:t xml:space="preserve"> </w:t>
      </w:r>
      <w:r w:rsidRPr="00537489">
        <w:rPr>
          <w:w w:val="105"/>
          <w:sz w:val="12"/>
          <w:lang w:val="en-US"/>
        </w:rPr>
        <w:t>A/HRC/19/60/Add.2,</w:t>
      </w:r>
      <w:r w:rsidRPr="00537489">
        <w:rPr>
          <w:spacing w:val="-7"/>
          <w:w w:val="105"/>
          <w:sz w:val="12"/>
          <w:lang w:val="en-US"/>
        </w:rPr>
        <w:t xml:space="preserve"> </w:t>
      </w:r>
      <w:proofErr w:type="spellStart"/>
      <w:r w:rsidRPr="00537489">
        <w:rPr>
          <w:w w:val="105"/>
          <w:sz w:val="12"/>
          <w:lang w:val="en-US"/>
        </w:rPr>
        <w:t>párr</w:t>
      </w:r>
      <w:proofErr w:type="spellEnd"/>
      <w:r w:rsidRPr="00537489">
        <w:rPr>
          <w:w w:val="105"/>
          <w:sz w:val="12"/>
          <w:lang w:val="en-US"/>
        </w:rPr>
        <w:t>.</w:t>
      </w:r>
      <w:r w:rsidRPr="00537489">
        <w:rPr>
          <w:spacing w:val="-7"/>
          <w:w w:val="105"/>
          <w:sz w:val="12"/>
          <w:lang w:val="en-US"/>
        </w:rPr>
        <w:t xml:space="preserve"> </w:t>
      </w:r>
      <w:r w:rsidRPr="00537489">
        <w:rPr>
          <w:spacing w:val="-5"/>
          <w:w w:val="105"/>
          <w:sz w:val="12"/>
          <w:lang w:val="en-US"/>
        </w:rPr>
        <w:t>82.</w:t>
      </w:r>
    </w:p>
    <w:p w14:paraId="1B6F6DAB" w14:textId="77777777" w:rsidR="0014798C" w:rsidRPr="00537489" w:rsidRDefault="004E1F0B">
      <w:pPr>
        <w:spacing w:before="98"/>
        <w:ind w:left="1107"/>
        <w:rPr>
          <w:sz w:val="12"/>
          <w:lang w:val="en-US"/>
        </w:rPr>
      </w:pPr>
      <w:r w:rsidRPr="00537489">
        <w:rPr>
          <w:w w:val="105"/>
          <w:sz w:val="12"/>
          <w:lang w:val="en-US"/>
        </w:rPr>
        <w:t>973</w:t>
      </w:r>
      <w:r w:rsidRPr="00537489">
        <w:rPr>
          <w:spacing w:val="-10"/>
          <w:w w:val="105"/>
          <w:sz w:val="12"/>
          <w:lang w:val="en-US"/>
        </w:rPr>
        <w:t xml:space="preserve"> </w:t>
      </w:r>
      <w:r w:rsidRPr="00537489">
        <w:rPr>
          <w:w w:val="105"/>
          <w:sz w:val="12"/>
          <w:lang w:val="en-US"/>
        </w:rPr>
        <w:t>A/HRC/13/40/Add.3,</w:t>
      </w:r>
      <w:r w:rsidRPr="00537489">
        <w:rPr>
          <w:spacing w:val="-7"/>
          <w:w w:val="105"/>
          <w:sz w:val="12"/>
          <w:lang w:val="en-US"/>
        </w:rPr>
        <w:t xml:space="preserve"> </w:t>
      </w:r>
      <w:proofErr w:type="spellStart"/>
      <w:r w:rsidRPr="00537489">
        <w:rPr>
          <w:w w:val="105"/>
          <w:sz w:val="12"/>
          <w:lang w:val="en-US"/>
        </w:rPr>
        <w:t>párr</w:t>
      </w:r>
      <w:proofErr w:type="spellEnd"/>
      <w:r w:rsidRPr="00537489">
        <w:rPr>
          <w:w w:val="105"/>
          <w:sz w:val="12"/>
          <w:lang w:val="en-US"/>
        </w:rPr>
        <w:t>.</w:t>
      </w:r>
      <w:r w:rsidRPr="00537489">
        <w:rPr>
          <w:spacing w:val="-7"/>
          <w:w w:val="105"/>
          <w:sz w:val="12"/>
          <w:lang w:val="en-US"/>
        </w:rPr>
        <w:t xml:space="preserve"> </w:t>
      </w:r>
      <w:r w:rsidRPr="00537489">
        <w:rPr>
          <w:spacing w:val="-5"/>
          <w:w w:val="105"/>
          <w:sz w:val="12"/>
          <w:lang w:val="en-US"/>
        </w:rPr>
        <w:t>21.</w:t>
      </w:r>
    </w:p>
    <w:p w14:paraId="1CCEF43E" w14:textId="77777777" w:rsidR="0014798C" w:rsidRDefault="004E1F0B">
      <w:pPr>
        <w:spacing w:before="99"/>
        <w:ind w:left="1107"/>
        <w:rPr>
          <w:sz w:val="12"/>
        </w:rPr>
      </w:pPr>
      <w:r w:rsidRPr="00537489">
        <w:rPr>
          <w:w w:val="105"/>
          <w:sz w:val="12"/>
          <w:lang w:val="en-US"/>
        </w:rPr>
        <w:t>974</w:t>
      </w:r>
      <w:r w:rsidRPr="00537489">
        <w:rPr>
          <w:spacing w:val="-10"/>
          <w:w w:val="105"/>
          <w:sz w:val="12"/>
          <w:lang w:val="en-US"/>
        </w:rPr>
        <w:t xml:space="preserve"> </w:t>
      </w:r>
      <w:r w:rsidRPr="00537489">
        <w:rPr>
          <w:w w:val="105"/>
          <w:sz w:val="12"/>
          <w:lang w:val="en-US"/>
        </w:rPr>
        <w:t>A/HRC/19/60/Add.2,</w:t>
      </w:r>
      <w:r w:rsidRPr="00537489">
        <w:rPr>
          <w:spacing w:val="-7"/>
          <w:w w:val="105"/>
          <w:sz w:val="12"/>
          <w:lang w:val="en-US"/>
        </w:rPr>
        <w:t xml:space="preserve"> </w:t>
      </w:r>
      <w:proofErr w:type="spellStart"/>
      <w:r w:rsidRPr="00537489">
        <w:rPr>
          <w:w w:val="105"/>
          <w:sz w:val="12"/>
          <w:lang w:val="en-US"/>
        </w:rPr>
        <w:t>párr</w:t>
      </w:r>
      <w:proofErr w:type="spellEnd"/>
      <w:r w:rsidRPr="00537489">
        <w:rPr>
          <w:w w:val="105"/>
          <w:sz w:val="12"/>
          <w:lang w:val="en-US"/>
        </w:rPr>
        <w:t>.</w:t>
      </w:r>
      <w:r w:rsidRPr="00537489">
        <w:rPr>
          <w:spacing w:val="-7"/>
          <w:w w:val="105"/>
          <w:sz w:val="12"/>
          <w:lang w:val="en-US"/>
        </w:rPr>
        <w:t xml:space="preserve"> </w:t>
      </w:r>
      <w:r>
        <w:rPr>
          <w:spacing w:val="-5"/>
          <w:w w:val="105"/>
          <w:sz w:val="12"/>
        </w:rPr>
        <w:t>82.</w:t>
      </w:r>
    </w:p>
    <w:p w14:paraId="4A7CAE10" w14:textId="77777777" w:rsidR="0014798C" w:rsidRDefault="0014798C">
      <w:pPr>
        <w:pStyle w:val="Textoindependiente"/>
      </w:pPr>
    </w:p>
    <w:p w14:paraId="2C2E76DA" w14:textId="77777777" w:rsidR="0014798C" w:rsidRDefault="0014798C">
      <w:pPr>
        <w:pStyle w:val="Textoindependiente"/>
      </w:pPr>
    </w:p>
    <w:p w14:paraId="0D925746" w14:textId="77777777" w:rsidR="0014798C" w:rsidRDefault="0014798C">
      <w:pPr>
        <w:pStyle w:val="Textoindependiente"/>
        <w:spacing w:before="107"/>
      </w:pPr>
    </w:p>
    <w:p w14:paraId="422AD63F" w14:textId="77777777" w:rsidR="0014798C" w:rsidRDefault="004E1F0B">
      <w:pPr>
        <w:pStyle w:val="Textoindependiente"/>
        <w:ind w:right="717"/>
        <w:jc w:val="right"/>
      </w:pPr>
      <w:r>
        <w:rPr>
          <w:spacing w:val="-5"/>
          <w:w w:val="105"/>
        </w:rPr>
        <w:t>141</w:t>
      </w:r>
    </w:p>
    <w:p w14:paraId="006A031C" w14:textId="77777777" w:rsidR="0014798C" w:rsidRDefault="0014798C">
      <w:pPr>
        <w:jc w:val="right"/>
        <w:sectPr w:rsidR="0014798C" w:rsidSect="00F265E4">
          <w:pgSz w:w="11900" w:h="16820"/>
          <w:pgMar w:top="340" w:right="0" w:bottom="280" w:left="200" w:header="121" w:footer="0" w:gutter="0"/>
          <w:cols w:space="720"/>
        </w:sectPr>
      </w:pPr>
    </w:p>
    <w:p w14:paraId="7E0602F0" w14:textId="77777777" w:rsidR="0014798C" w:rsidRDefault="0014798C">
      <w:pPr>
        <w:pStyle w:val="Textoindependiente"/>
        <w:spacing w:before="85"/>
        <w:rPr>
          <w:sz w:val="12"/>
        </w:rPr>
      </w:pPr>
    </w:p>
    <w:p w14:paraId="47ABB31D" w14:textId="77777777" w:rsidR="0014798C" w:rsidRDefault="004E1F0B">
      <w:pPr>
        <w:ind w:left="1111"/>
        <w:rPr>
          <w:sz w:val="12"/>
        </w:rPr>
      </w:pPr>
      <w:r>
        <w:rPr>
          <w:color w:val="803108"/>
          <w:sz w:val="12"/>
        </w:rPr>
        <w:t>PROTECCIÓN</w:t>
      </w:r>
      <w:r>
        <w:rPr>
          <w:color w:val="803108"/>
          <w:spacing w:val="6"/>
          <w:sz w:val="12"/>
        </w:rPr>
        <w:t xml:space="preserve"> </w:t>
      </w:r>
      <w:r>
        <w:rPr>
          <w:color w:val="803108"/>
          <w:sz w:val="12"/>
        </w:rPr>
        <w:t>DE</w:t>
      </w:r>
      <w:r>
        <w:rPr>
          <w:color w:val="803108"/>
          <w:spacing w:val="7"/>
          <w:sz w:val="12"/>
        </w:rPr>
        <w:t xml:space="preserve"> </w:t>
      </w:r>
      <w:r>
        <w:rPr>
          <w:color w:val="803108"/>
          <w:sz w:val="12"/>
        </w:rPr>
        <w:t>LOS</w:t>
      </w:r>
      <w:r>
        <w:rPr>
          <w:color w:val="803108"/>
          <w:spacing w:val="8"/>
          <w:sz w:val="12"/>
        </w:rPr>
        <w:t xml:space="preserve"> </w:t>
      </w:r>
      <w:r>
        <w:rPr>
          <w:color w:val="803108"/>
          <w:sz w:val="12"/>
        </w:rPr>
        <w:t>DERECHOS</w:t>
      </w:r>
      <w:r>
        <w:rPr>
          <w:color w:val="803108"/>
          <w:spacing w:val="8"/>
          <w:sz w:val="12"/>
        </w:rPr>
        <w:t xml:space="preserve"> </w:t>
      </w:r>
      <w:r>
        <w:rPr>
          <w:color w:val="803108"/>
          <w:sz w:val="12"/>
        </w:rPr>
        <w:t>DE</w:t>
      </w:r>
      <w:r>
        <w:rPr>
          <w:color w:val="803108"/>
          <w:spacing w:val="6"/>
          <w:sz w:val="12"/>
        </w:rPr>
        <w:t xml:space="preserve"> </w:t>
      </w:r>
      <w:r>
        <w:rPr>
          <w:color w:val="803108"/>
          <w:sz w:val="12"/>
        </w:rPr>
        <w:t>LAS</w:t>
      </w:r>
      <w:r>
        <w:rPr>
          <w:color w:val="803108"/>
          <w:spacing w:val="7"/>
          <w:sz w:val="12"/>
        </w:rPr>
        <w:t xml:space="preserve"> </w:t>
      </w:r>
      <w:r>
        <w:rPr>
          <w:color w:val="803108"/>
          <w:sz w:val="12"/>
        </w:rPr>
        <w:t>MINORÍAS:</w:t>
      </w:r>
      <w:r>
        <w:rPr>
          <w:color w:val="803108"/>
          <w:spacing w:val="8"/>
          <w:sz w:val="12"/>
        </w:rPr>
        <w:t xml:space="preserve"> </w:t>
      </w:r>
      <w:r>
        <w:rPr>
          <w:color w:val="803108"/>
          <w:sz w:val="12"/>
        </w:rPr>
        <w:t>una</w:t>
      </w:r>
      <w:r>
        <w:rPr>
          <w:color w:val="803108"/>
          <w:spacing w:val="7"/>
          <w:sz w:val="12"/>
        </w:rPr>
        <w:t xml:space="preserve"> </w:t>
      </w:r>
      <w:r>
        <w:rPr>
          <w:color w:val="803108"/>
          <w:sz w:val="12"/>
        </w:rPr>
        <w:t>guía</w:t>
      </w:r>
      <w:r>
        <w:rPr>
          <w:color w:val="803108"/>
          <w:spacing w:val="6"/>
          <w:sz w:val="12"/>
        </w:rPr>
        <w:t xml:space="preserve"> </w:t>
      </w:r>
      <w:r>
        <w:rPr>
          <w:color w:val="803108"/>
          <w:sz w:val="12"/>
        </w:rPr>
        <w:t>práctica</w:t>
      </w:r>
      <w:r>
        <w:rPr>
          <w:color w:val="803108"/>
          <w:spacing w:val="7"/>
          <w:sz w:val="12"/>
        </w:rPr>
        <w:t xml:space="preserve"> </w:t>
      </w:r>
      <w:r>
        <w:rPr>
          <w:color w:val="803108"/>
          <w:sz w:val="12"/>
        </w:rPr>
        <w:t>para</w:t>
      </w:r>
      <w:r>
        <w:rPr>
          <w:color w:val="803108"/>
          <w:spacing w:val="8"/>
          <w:sz w:val="12"/>
        </w:rPr>
        <w:t xml:space="preserve"> </w:t>
      </w:r>
      <w:r>
        <w:rPr>
          <w:color w:val="803108"/>
          <w:sz w:val="12"/>
        </w:rPr>
        <w:t>desarrollar</w:t>
      </w:r>
      <w:r>
        <w:rPr>
          <w:color w:val="803108"/>
          <w:spacing w:val="6"/>
          <w:sz w:val="12"/>
        </w:rPr>
        <w:t xml:space="preserve"> </w:t>
      </w:r>
      <w:r>
        <w:rPr>
          <w:color w:val="803108"/>
          <w:sz w:val="12"/>
        </w:rPr>
        <w:t>una</w:t>
      </w:r>
      <w:r>
        <w:rPr>
          <w:color w:val="803108"/>
          <w:spacing w:val="7"/>
          <w:sz w:val="12"/>
        </w:rPr>
        <w:t xml:space="preserve"> </w:t>
      </w:r>
      <w:r>
        <w:rPr>
          <w:color w:val="803108"/>
          <w:sz w:val="12"/>
        </w:rPr>
        <w:t>legislación</w:t>
      </w:r>
      <w:r>
        <w:rPr>
          <w:color w:val="803108"/>
          <w:spacing w:val="8"/>
          <w:sz w:val="12"/>
        </w:rPr>
        <w:t xml:space="preserve"> </w:t>
      </w:r>
      <w:r>
        <w:rPr>
          <w:color w:val="803108"/>
          <w:sz w:val="12"/>
        </w:rPr>
        <w:t>integral</w:t>
      </w:r>
      <w:r>
        <w:rPr>
          <w:color w:val="803108"/>
          <w:spacing w:val="7"/>
          <w:sz w:val="12"/>
        </w:rPr>
        <w:t xml:space="preserve"> </w:t>
      </w:r>
      <w:r>
        <w:rPr>
          <w:color w:val="803108"/>
          <w:sz w:val="12"/>
        </w:rPr>
        <w:t>contra</w:t>
      </w:r>
      <w:r>
        <w:rPr>
          <w:color w:val="803108"/>
          <w:spacing w:val="6"/>
          <w:sz w:val="12"/>
        </w:rPr>
        <w:t xml:space="preserve"> </w:t>
      </w:r>
      <w:r>
        <w:rPr>
          <w:color w:val="803108"/>
          <w:sz w:val="12"/>
        </w:rPr>
        <w:t>la</w:t>
      </w:r>
      <w:r>
        <w:rPr>
          <w:color w:val="803108"/>
          <w:spacing w:val="7"/>
          <w:sz w:val="12"/>
        </w:rPr>
        <w:t xml:space="preserve"> </w:t>
      </w:r>
      <w:r>
        <w:rPr>
          <w:color w:val="803108"/>
          <w:spacing w:val="-2"/>
          <w:sz w:val="12"/>
        </w:rPr>
        <w:t>discriminación</w:t>
      </w:r>
    </w:p>
    <w:p w14:paraId="2103466A" w14:textId="77777777" w:rsidR="0014798C" w:rsidRDefault="0014798C">
      <w:pPr>
        <w:pStyle w:val="Textoindependiente"/>
      </w:pPr>
    </w:p>
    <w:p w14:paraId="15B1130C" w14:textId="77777777" w:rsidR="0014798C" w:rsidRDefault="0014798C">
      <w:pPr>
        <w:pStyle w:val="Textoindependiente"/>
      </w:pPr>
    </w:p>
    <w:p w14:paraId="45347239" w14:textId="77777777" w:rsidR="0014798C" w:rsidRDefault="0014798C">
      <w:pPr>
        <w:pStyle w:val="Textoindependiente"/>
      </w:pPr>
    </w:p>
    <w:p w14:paraId="080EDDC3" w14:textId="77777777" w:rsidR="0014798C" w:rsidRDefault="0014798C">
      <w:pPr>
        <w:pStyle w:val="Textoindependiente"/>
      </w:pPr>
    </w:p>
    <w:p w14:paraId="3D5E2847" w14:textId="77777777" w:rsidR="0014798C" w:rsidRDefault="0014798C">
      <w:pPr>
        <w:pStyle w:val="Textoindependiente"/>
        <w:spacing w:before="51"/>
      </w:pPr>
    </w:p>
    <w:p w14:paraId="603C0C99" w14:textId="77777777" w:rsidR="0014798C" w:rsidRDefault="004E1F0B">
      <w:pPr>
        <w:pStyle w:val="Prrafodelista"/>
        <w:numPr>
          <w:ilvl w:val="1"/>
          <w:numId w:val="20"/>
        </w:numPr>
        <w:tabs>
          <w:tab w:val="left" w:pos="1758"/>
          <w:tab w:val="left" w:pos="1904"/>
        </w:tabs>
        <w:spacing w:line="326" w:lineRule="auto"/>
        <w:ind w:left="1904" w:right="2388" w:hanging="334"/>
        <w:rPr>
          <w:sz w:val="16"/>
        </w:rPr>
      </w:pPr>
      <w:r>
        <w:rPr>
          <w:noProof/>
        </w:rPr>
        <w:drawing>
          <wp:anchor distT="0" distB="0" distL="0" distR="0" simplePos="0" relativeHeight="251658463" behindDoc="1" locked="0" layoutInCell="1" allowOverlap="1" wp14:anchorId="622910FC" wp14:editId="5C7D82AA">
            <wp:simplePos x="0" y="0"/>
            <wp:positionH relativeFrom="page">
              <wp:posOffset>795184</wp:posOffset>
            </wp:positionH>
            <wp:positionV relativeFrom="paragraph">
              <wp:posOffset>-142988</wp:posOffset>
            </wp:positionV>
            <wp:extent cx="5961638" cy="6618708"/>
            <wp:effectExtent l="0" t="0" r="0" b="0"/>
            <wp:wrapNone/>
            <wp:docPr id="293" name="Image 29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93" name="Image 293"/>
                    <pic:cNvPicPr/>
                  </pic:nvPicPr>
                  <pic:blipFill>
                    <a:blip r:embed="rId277" cstate="print"/>
                    <a:stretch>
                      <a:fillRect/>
                    </a:stretch>
                  </pic:blipFill>
                  <pic:spPr>
                    <a:xfrm>
                      <a:off x="0" y="0"/>
                      <a:ext cx="5961638" cy="6618708"/>
                    </a:xfrm>
                    <a:prstGeom prst="rect">
                      <a:avLst/>
                    </a:prstGeom>
                  </pic:spPr>
                </pic:pic>
              </a:graphicData>
            </a:graphic>
          </wp:anchor>
        </w:drawing>
      </w:r>
      <w:r>
        <w:rPr>
          <w:sz w:val="16"/>
        </w:rPr>
        <w:t>Los Estados deben proporcionar recursos jurídicos efectivos a las personas o grupos que se quejen de la denegación o el retraso arbitrario del registro como personalidad jurídica;</w:t>
      </w:r>
    </w:p>
    <w:p w14:paraId="7ABC3D7E" w14:textId="77777777" w:rsidR="0014798C" w:rsidRDefault="004E1F0B">
      <w:pPr>
        <w:pStyle w:val="Prrafodelista"/>
        <w:numPr>
          <w:ilvl w:val="1"/>
          <w:numId w:val="20"/>
        </w:numPr>
        <w:tabs>
          <w:tab w:val="left" w:pos="1758"/>
          <w:tab w:val="left" w:pos="1901"/>
        </w:tabs>
        <w:spacing w:before="113" w:line="326" w:lineRule="auto"/>
        <w:ind w:left="1901" w:right="1892" w:hanging="331"/>
        <w:rPr>
          <w:sz w:val="16"/>
        </w:rPr>
      </w:pPr>
      <w:r>
        <w:rPr>
          <w:sz w:val="16"/>
        </w:rPr>
        <w:t>Los Estados deberían abstenerse de despojar arbitrariamente a determinadas comunidades religiosas o de creencias de las posiciones jurídicas que habían poseído anteriormente como instrumento para ejercer control o marginar a grupos que se considera que no encajan en la estructura cultural del país;</w:t>
      </w:r>
    </w:p>
    <w:p w14:paraId="22900AE7" w14:textId="77777777" w:rsidR="0014798C" w:rsidRDefault="004E1F0B">
      <w:pPr>
        <w:pStyle w:val="Prrafodelista"/>
        <w:numPr>
          <w:ilvl w:val="1"/>
          <w:numId w:val="20"/>
        </w:numPr>
        <w:tabs>
          <w:tab w:val="left" w:pos="1704"/>
          <w:tab w:val="left" w:pos="1901"/>
        </w:tabs>
        <w:spacing w:before="112" w:line="326" w:lineRule="auto"/>
        <w:ind w:left="1901" w:right="1992" w:hanging="331"/>
        <w:rPr>
          <w:sz w:val="16"/>
        </w:rPr>
      </w:pPr>
      <w:r>
        <w:rPr>
          <w:sz w:val="16"/>
        </w:rPr>
        <w:t>Cuando se ofrezca una situación jurídica privilegiada a determinadas comunidades religiosas o de creencias u otros grupos, esa condición específica debería concederse en estricta conformidad con el principio de no discriminación y debería respetar plenamente el derecho a la libertad de religión o de creencias de Todos los seres humanos;</w:t>
      </w:r>
    </w:p>
    <w:p w14:paraId="0AFF0AC6" w14:textId="77777777" w:rsidR="0014798C" w:rsidRDefault="004E1F0B">
      <w:pPr>
        <w:pStyle w:val="Prrafodelista"/>
        <w:numPr>
          <w:ilvl w:val="1"/>
          <w:numId w:val="20"/>
        </w:numPr>
        <w:tabs>
          <w:tab w:val="left" w:pos="1704"/>
          <w:tab w:val="left" w:pos="1901"/>
        </w:tabs>
        <w:spacing w:before="111" w:line="326" w:lineRule="auto"/>
        <w:ind w:left="1901" w:right="1823" w:hanging="331"/>
        <w:rPr>
          <w:sz w:val="16"/>
        </w:rPr>
      </w:pPr>
      <w:r>
        <w:rPr>
          <w:sz w:val="16"/>
        </w:rPr>
        <w:t>Cualquier posición específica otorgada por el Estado a determinadas comunidades religiosas o de creencias u otros grupos nunca debe ser instrumentalizada para fines de políticas de identidad nacional, ya que esto puede tener efectos perjudiciales en la situación de las personas de comunidades minoritarias.975</w:t>
      </w:r>
    </w:p>
    <w:p w14:paraId="754D1303" w14:textId="77777777" w:rsidR="0014798C" w:rsidRDefault="0014798C">
      <w:pPr>
        <w:pStyle w:val="Textoindependiente"/>
      </w:pPr>
    </w:p>
    <w:p w14:paraId="28DF4610" w14:textId="77777777" w:rsidR="0014798C" w:rsidRDefault="0014798C">
      <w:pPr>
        <w:pStyle w:val="Textoindependiente"/>
        <w:spacing w:before="83"/>
      </w:pPr>
    </w:p>
    <w:p w14:paraId="188FA3EA" w14:textId="77777777" w:rsidR="0014798C" w:rsidRDefault="004E1F0B">
      <w:pPr>
        <w:pStyle w:val="Textoindependiente"/>
        <w:spacing w:before="1" w:line="326" w:lineRule="auto"/>
        <w:ind w:left="1108" w:right="1339" w:hanging="2"/>
      </w:pPr>
      <w:r>
        <w:t>El Comité de Derechos Humanos ha considerado discriminatoria la denegación del registro de determinadas comunidades religiosas , en particular en situaciones en las que existe un patrón y una práctica que permite el registro de otros tipos de comunidades religiosas976 y ha determinado que los Estados partes violan el Convenio Internacional Pacto Internacional de Derechos Civiles y Políticos como resultado de la negativa arbitraria o discriminatoria a reconocer o registrar comunidades religiosas.977 También ha considerado ilegal la denegación del establecimiento de entidades de una determinada religión y ha declarado</w:t>
      </w:r>
      <w:r>
        <w:rPr>
          <w:spacing w:val="10"/>
        </w:rPr>
        <w:t xml:space="preserve"> </w:t>
      </w:r>
      <w:r>
        <w:t>que</w:t>
      </w:r>
      <w:r>
        <w:rPr>
          <w:spacing w:val="10"/>
        </w:rPr>
        <w:t xml:space="preserve"> </w:t>
      </w:r>
      <w:r>
        <w:t>los</w:t>
      </w:r>
      <w:r>
        <w:rPr>
          <w:spacing w:val="10"/>
        </w:rPr>
        <w:t xml:space="preserve"> </w:t>
      </w:r>
      <w:r>
        <w:t>Estados</w:t>
      </w:r>
      <w:r>
        <w:rPr>
          <w:spacing w:val="9"/>
        </w:rPr>
        <w:t xml:space="preserve"> </w:t>
      </w:r>
      <w:r>
        <w:t>partes</w:t>
      </w:r>
      <w:r>
        <w:rPr>
          <w:spacing w:val="10"/>
        </w:rPr>
        <w:t xml:space="preserve"> </w:t>
      </w:r>
      <w:r>
        <w:t>violan</w:t>
      </w:r>
      <w:r>
        <w:rPr>
          <w:spacing w:val="10"/>
        </w:rPr>
        <w:t xml:space="preserve"> </w:t>
      </w:r>
      <w:r>
        <w:t>el</w:t>
      </w:r>
      <w:r>
        <w:rPr>
          <w:spacing w:val="10"/>
        </w:rPr>
        <w:t xml:space="preserve"> </w:t>
      </w:r>
      <w:r>
        <w:t>Pacto</w:t>
      </w:r>
      <w:r>
        <w:rPr>
          <w:spacing w:val="10"/>
        </w:rPr>
        <w:t xml:space="preserve"> </w:t>
      </w:r>
      <w:r>
        <w:t>por</w:t>
      </w:r>
      <w:r>
        <w:rPr>
          <w:spacing w:val="10"/>
        </w:rPr>
        <w:t xml:space="preserve"> </w:t>
      </w:r>
      <w:r>
        <w:t>mantener</w:t>
      </w:r>
      <w:r>
        <w:rPr>
          <w:spacing w:val="10"/>
        </w:rPr>
        <w:t xml:space="preserve"> </w:t>
      </w:r>
      <w:r>
        <w:t>sistemas</w:t>
      </w:r>
      <w:r>
        <w:rPr>
          <w:spacing w:val="10"/>
        </w:rPr>
        <w:t xml:space="preserve"> </w:t>
      </w:r>
      <w:r>
        <w:t>que</w:t>
      </w:r>
      <w:r>
        <w:rPr>
          <w:spacing w:val="10"/>
        </w:rPr>
        <w:t xml:space="preserve"> </w:t>
      </w:r>
      <w:r>
        <w:t>excluyen</w:t>
      </w:r>
      <w:r>
        <w:rPr>
          <w:spacing w:val="10"/>
        </w:rPr>
        <w:t xml:space="preserve"> </w:t>
      </w:r>
      <w:r>
        <w:t>la</w:t>
      </w:r>
      <w:r>
        <w:rPr>
          <w:spacing w:val="10"/>
        </w:rPr>
        <w:t xml:space="preserve"> </w:t>
      </w:r>
      <w:r>
        <w:t>oportunidad</w:t>
      </w:r>
      <w:r>
        <w:rPr>
          <w:spacing w:val="10"/>
        </w:rPr>
        <w:t xml:space="preserve"> </w:t>
      </w:r>
      <w:r>
        <w:t>de</w:t>
      </w:r>
      <w:r>
        <w:rPr>
          <w:spacing w:val="10"/>
        </w:rPr>
        <w:t xml:space="preserve"> </w:t>
      </w:r>
      <w:r>
        <w:t>impugnar</w:t>
      </w:r>
      <w:r>
        <w:rPr>
          <w:spacing w:val="10"/>
        </w:rPr>
        <w:t xml:space="preserve"> </w:t>
      </w:r>
      <w:r>
        <w:t>decisiones que niegan el registro comunitario.978 El Relator Especial sobre la libertad de religión o de creencias ha señalado que, además</w:t>
      </w:r>
      <w:r>
        <w:rPr>
          <w:spacing w:val="80"/>
        </w:rPr>
        <w:t xml:space="preserve"> </w:t>
      </w:r>
      <w:r>
        <w:t>de las negativas explícitas a reconocer a ciertas comunidades religiosas, también puede haber criterios discriminatorios indirectos que obstruyan el establecimiento y el reconocimiento de la comunidad, como requisitos relacionados con la ciudadanía o tener</w:t>
      </w:r>
    </w:p>
    <w:p w14:paraId="59900227" w14:textId="77777777" w:rsidR="0014798C" w:rsidRDefault="004E1F0B">
      <w:pPr>
        <w:pStyle w:val="Textoindependiente"/>
        <w:spacing w:line="326" w:lineRule="auto"/>
        <w:ind w:left="1109" w:hanging="2"/>
      </w:pPr>
      <w:r>
        <w:t>un cierto número de miembros, largos períodos de espera o criterios que requieren clero a tiempo completo,979 que afectarán desproporcionadamente a los grupos minoritarios.</w:t>
      </w:r>
    </w:p>
    <w:p w14:paraId="04AF6A36" w14:textId="77777777" w:rsidR="0014798C" w:rsidRDefault="004E1F0B">
      <w:pPr>
        <w:pStyle w:val="Textoindependiente"/>
        <w:spacing w:before="164" w:line="326" w:lineRule="auto"/>
        <w:ind w:left="1106" w:right="1463" w:hanging="1"/>
      </w:pPr>
      <w:r>
        <w:t>La Comisión Interamericana de Derechos Humanos ha reconocido que la prohibición de ciertos grupos religiosos infringe el derecho a la libertad de religión, como lo ilustra la prohibición introducida por el Gobierno de Argentina contra los testigos de Jehová</w:t>
      </w:r>
      <w:r>
        <w:rPr>
          <w:spacing w:val="-5"/>
        </w:rPr>
        <w:t xml:space="preserve"> </w:t>
      </w:r>
      <w:r>
        <w:t>en</w:t>
      </w:r>
      <w:r>
        <w:rPr>
          <w:spacing w:val="-3"/>
        </w:rPr>
        <w:t xml:space="preserve"> </w:t>
      </w:r>
      <w:r>
        <w:t>1976.980</w:t>
      </w:r>
      <w:r>
        <w:rPr>
          <w:spacing w:val="-3"/>
        </w:rPr>
        <w:t xml:space="preserve"> </w:t>
      </w:r>
      <w:r>
        <w:t>La</w:t>
      </w:r>
      <w:r>
        <w:rPr>
          <w:spacing w:val="-3"/>
        </w:rPr>
        <w:t xml:space="preserve"> </w:t>
      </w:r>
      <w:r>
        <w:t>Comisión</w:t>
      </w:r>
      <w:r>
        <w:rPr>
          <w:spacing w:val="-3"/>
        </w:rPr>
        <w:t xml:space="preserve"> </w:t>
      </w:r>
      <w:r>
        <w:t>ha</w:t>
      </w:r>
      <w:r>
        <w:rPr>
          <w:spacing w:val="-3"/>
        </w:rPr>
        <w:t xml:space="preserve"> </w:t>
      </w:r>
      <w:r>
        <w:t>identificado</w:t>
      </w:r>
      <w:r>
        <w:rPr>
          <w:spacing w:val="-3"/>
        </w:rPr>
        <w:t xml:space="preserve"> </w:t>
      </w:r>
      <w:r>
        <w:t>prácticas</w:t>
      </w:r>
      <w:r>
        <w:rPr>
          <w:spacing w:val="-3"/>
        </w:rPr>
        <w:t xml:space="preserve"> </w:t>
      </w:r>
      <w:r>
        <w:t>discriminatorias</w:t>
      </w:r>
      <w:r>
        <w:rPr>
          <w:spacing w:val="-3"/>
        </w:rPr>
        <w:t xml:space="preserve"> </w:t>
      </w:r>
      <w:r>
        <w:t>contra</w:t>
      </w:r>
      <w:r>
        <w:rPr>
          <w:spacing w:val="-3"/>
        </w:rPr>
        <w:t xml:space="preserve"> </w:t>
      </w:r>
      <w:r>
        <w:t>los</w:t>
      </w:r>
      <w:r>
        <w:rPr>
          <w:spacing w:val="-3"/>
        </w:rPr>
        <w:t xml:space="preserve"> </w:t>
      </w:r>
      <w:r>
        <w:t>testigos</w:t>
      </w:r>
      <w:r>
        <w:rPr>
          <w:spacing w:val="-4"/>
        </w:rPr>
        <w:t xml:space="preserve"> </w:t>
      </w:r>
      <w:r>
        <w:t>de</w:t>
      </w:r>
      <w:r>
        <w:rPr>
          <w:spacing w:val="-3"/>
        </w:rPr>
        <w:t xml:space="preserve"> </w:t>
      </w:r>
      <w:r>
        <w:t>Jehová.</w:t>
      </w:r>
      <w:r>
        <w:rPr>
          <w:spacing w:val="-3"/>
        </w:rPr>
        <w:t xml:space="preserve"> </w:t>
      </w:r>
      <w:r>
        <w:t>en</w:t>
      </w:r>
      <w:r>
        <w:rPr>
          <w:spacing w:val="-3"/>
        </w:rPr>
        <w:t xml:space="preserve"> </w:t>
      </w:r>
      <w:r>
        <w:t>varios</w:t>
      </w:r>
      <w:r>
        <w:rPr>
          <w:spacing w:val="-2"/>
        </w:rPr>
        <w:t xml:space="preserve"> Estados,</w:t>
      </w:r>
    </w:p>
    <w:p w14:paraId="588A5D80" w14:textId="77777777" w:rsidR="0014798C" w:rsidRDefault="004E1F0B">
      <w:pPr>
        <w:pStyle w:val="Textoindependiente"/>
        <w:spacing w:line="326" w:lineRule="auto"/>
        <w:ind w:left="1107" w:right="1166" w:firstLine="4"/>
      </w:pPr>
      <w:r>
        <w:t>como Paraguay, donde el Gobierno disolvió por la fuerza su personalidad jurídica en 1979.981 La Comisión también ha observado que los Estados tienen la obligación de aplicar políticas diseñadas para controlar a los grupos que cometen actos discriminatorios, promueven el odio religioso y llevan a cabo actos de persecución religiosa. u obstaculizar el ejercicio de los derechos religiosos.982</w:t>
      </w:r>
    </w:p>
    <w:p w14:paraId="4F31E711" w14:textId="77777777" w:rsidR="0014798C" w:rsidRDefault="0014798C">
      <w:pPr>
        <w:pStyle w:val="Textoindependiente"/>
      </w:pPr>
    </w:p>
    <w:p w14:paraId="487A62C6" w14:textId="77777777" w:rsidR="0014798C" w:rsidRDefault="0014798C">
      <w:pPr>
        <w:pStyle w:val="Textoindependiente"/>
        <w:spacing w:before="49"/>
      </w:pPr>
    </w:p>
    <w:p w14:paraId="1A2C197A" w14:textId="77777777" w:rsidR="0014798C" w:rsidRDefault="004E1F0B">
      <w:pPr>
        <w:pStyle w:val="Textoindependiente"/>
        <w:spacing w:line="326" w:lineRule="auto"/>
        <w:ind w:left="1108" w:right="1335" w:hanging="2"/>
      </w:pPr>
      <w:r>
        <w:t>El Tribunal Europeo de Derechos Humanos ha considerado que el trato desigual de diferentes comunidades religiosas o de fe</w:t>
      </w:r>
      <w:r>
        <w:rPr>
          <w:spacing w:val="40"/>
        </w:rPr>
        <w:t xml:space="preserve"> </w:t>
      </w:r>
      <w:r>
        <w:t>viola el Convenio Europeo de Derechos Humanos.983 En la jurisprudencia del Tribunal, “los Estados tienen la responsabilidad de garantizar, de manera neutral e imparcial, el ejercicio de diversas religiones , creencias y creencias”,984 siendo el papel del</w:t>
      </w:r>
      <w:r>
        <w:rPr>
          <w:spacing w:val="40"/>
        </w:rPr>
        <w:t xml:space="preserve"> </w:t>
      </w:r>
      <w:r>
        <w:t>Estado</w:t>
      </w:r>
      <w:r>
        <w:rPr>
          <w:spacing w:val="10"/>
        </w:rPr>
        <w:t xml:space="preserve"> </w:t>
      </w:r>
      <w:r>
        <w:t>“salvaguardar</w:t>
      </w:r>
      <w:r>
        <w:rPr>
          <w:spacing w:val="10"/>
        </w:rPr>
        <w:t xml:space="preserve"> </w:t>
      </w:r>
      <w:r>
        <w:t>la</w:t>
      </w:r>
      <w:r>
        <w:rPr>
          <w:spacing w:val="10"/>
        </w:rPr>
        <w:t xml:space="preserve"> </w:t>
      </w:r>
      <w:r>
        <w:t>posibilidad</w:t>
      </w:r>
      <w:r>
        <w:rPr>
          <w:spacing w:val="10"/>
        </w:rPr>
        <w:t xml:space="preserve"> </w:t>
      </w:r>
      <w:r>
        <w:t>del</w:t>
      </w:r>
      <w:r>
        <w:rPr>
          <w:spacing w:val="10"/>
        </w:rPr>
        <w:t xml:space="preserve"> </w:t>
      </w:r>
      <w:r>
        <w:t>pluralismo”.985</w:t>
      </w:r>
      <w:r>
        <w:rPr>
          <w:spacing w:val="10"/>
        </w:rPr>
        <w:t xml:space="preserve"> </w:t>
      </w:r>
      <w:r>
        <w:t>La</w:t>
      </w:r>
      <w:r>
        <w:rPr>
          <w:spacing w:val="10"/>
        </w:rPr>
        <w:t xml:space="preserve"> </w:t>
      </w:r>
      <w:r>
        <w:t>Corte</w:t>
      </w:r>
      <w:r>
        <w:rPr>
          <w:spacing w:val="10"/>
        </w:rPr>
        <w:t xml:space="preserve"> </w:t>
      </w:r>
      <w:r>
        <w:t>ha</w:t>
      </w:r>
      <w:r>
        <w:rPr>
          <w:spacing w:val="10"/>
        </w:rPr>
        <w:t xml:space="preserve"> </w:t>
      </w:r>
      <w:r>
        <w:t>encontrado</w:t>
      </w:r>
      <w:r>
        <w:rPr>
          <w:spacing w:val="10"/>
        </w:rPr>
        <w:t xml:space="preserve"> </w:t>
      </w:r>
      <w:r>
        <w:t>que</w:t>
      </w:r>
      <w:r>
        <w:rPr>
          <w:spacing w:val="10"/>
        </w:rPr>
        <w:t xml:space="preserve"> </w:t>
      </w:r>
      <w:r>
        <w:t>los</w:t>
      </w:r>
      <w:r>
        <w:rPr>
          <w:spacing w:val="10"/>
        </w:rPr>
        <w:t xml:space="preserve"> </w:t>
      </w:r>
      <w:r>
        <w:t>Estados</w:t>
      </w:r>
      <w:r>
        <w:rPr>
          <w:spacing w:val="9"/>
        </w:rPr>
        <w:t xml:space="preserve"> </w:t>
      </w:r>
      <w:r>
        <w:t>partes</w:t>
      </w:r>
      <w:r>
        <w:rPr>
          <w:spacing w:val="10"/>
        </w:rPr>
        <w:t xml:space="preserve"> </w:t>
      </w:r>
      <w:r>
        <w:t>violan</w:t>
      </w:r>
      <w:r>
        <w:rPr>
          <w:spacing w:val="10"/>
        </w:rPr>
        <w:t xml:space="preserve"> </w:t>
      </w:r>
      <w:r>
        <w:t>las</w:t>
      </w:r>
      <w:r>
        <w:rPr>
          <w:spacing w:val="10"/>
        </w:rPr>
        <w:t xml:space="preserve"> </w:t>
      </w:r>
      <w:r>
        <w:t>disposiciones de la Convención en casos de negativa arbitraria o discriminatoria</w:t>
      </w:r>
    </w:p>
    <w:p w14:paraId="28DA251A" w14:textId="77777777" w:rsidR="0014798C" w:rsidRDefault="0014798C">
      <w:pPr>
        <w:pStyle w:val="Textoindependiente"/>
        <w:rPr>
          <w:sz w:val="13"/>
        </w:rPr>
      </w:pPr>
    </w:p>
    <w:p w14:paraId="53CE30BC" w14:textId="77777777" w:rsidR="0014798C" w:rsidRDefault="0014798C">
      <w:pPr>
        <w:pStyle w:val="Textoindependiente"/>
        <w:rPr>
          <w:sz w:val="13"/>
        </w:rPr>
      </w:pPr>
    </w:p>
    <w:p w14:paraId="2830716B" w14:textId="77777777" w:rsidR="0014798C" w:rsidRDefault="0014798C">
      <w:pPr>
        <w:pStyle w:val="Textoindependiente"/>
        <w:rPr>
          <w:sz w:val="13"/>
        </w:rPr>
      </w:pPr>
    </w:p>
    <w:p w14:paraId="657BD688" w14:textId="77777777" w:rsidR="0014798C" w:rsidRDefault="004E1F0B">
      <w:pPr>
        <w:ind w:left="1107"/>
        <w:rPr>
          <w:sz w:val="13"/>
        </w:rPr>
      </w:pPr>
      <w:r>
        <w:rPr>
          <w:sz w:val="13"/>
          <w:vertAlign w:val="superscript"/>
        </w:rPr>
        <w:t>975</w:t>
      </w:r>
      <w:r>
        <w:rPr>
          <w:spacing w:val="62"/>
          <w:w w:val="150"/>
          <w:sz w:val="13"/>
        </w:rPr>
        <w:t xml:space="preserve"> </w:t>
      </w:r>
      <w:r>
        <w:rPr>
          <w:sz w:val="13"/>
        </w:rPr>
        <w:t xml:space="preserve">A/HRC/19/60, párr. </w:t>
      </w:r>
      <w:r>
        <w:rPr>
          <w:spacing w:val="-5"/>
          <w:sz w:val="13"/>
        </w:rPr>
        <w:t>73.</w:t>
      </w:r>
    </w:p>
    <w:p w14:paraId="5AE2163E" w14:textId="77777777" w:rsidR="0014798C" w:rsidRDefault="004E1F0B">
      <w:pPr>
        <w:spacing w:before="87" w:line="288" w:lineRule="auto"/>
        <w:ind w:left="1366" w:right="1463" w:hanging="260"/>
        <w:rPr>
          <w:sz w:val="13"/>
        </w:rPr>
      </w:pPr>
      <w:r>
        <w:rPr>
          <w:sz w:val="13"/>
          <w:vertAlign w:val="superscript"/>
        </w:rPr>
        <w:t>976</w:t>
      </w:r>
      <w:r>
        <w:rPr>
          <w:spacing w:val="80"/>
          <w:sz w:val="13"/>
        </w:rPr>
        <w:t xml:space="preserve"> </w:t>
      </w:r>
      <w:r>
        <w:rPr>
          <w:sz w:val="13"/>
        </w:rPr>
        <w:t>Véase, por</w:t>
      </w:r>
      <w:r>
        <w:rPr>
          <w:spacing w:val="-1"/>
          <w:sz w:val="13"/>
        </w:rPr>
        <w:t xml:space="preserve"> </w:t>
      </w:r>
      <w:r>
        <w:rPr>
          <w:sz w:val="13"/>
        </w:rPr>
        <w:t>ejemplo, Comité</w:t>
      </w:r>
      <w:r>
        <w:rPr>
          <w:spacing w:val="-1"/>
          <w:sz w:val="13"/>
        </w:rPr>
        <w:t xml:space="preserve"> </w:t>
      </w:r>
      <w:r>
        <w:rPr>
          <w:sz w:val="13"/>
        </w:rPr>
        <w:t>de Derechos</w:t>
      </w:r>
      <w:r>
        <w:rPr>
          <w:spacing w:val="-1"/>
          <w:sz w:val="13"/>
        </w:rPr>
        <w:t xml:space="preserve"> </w:t>
      </w:r>
      <w:r>
        <w:rPr>
          <w:sz w:val="13"/>
        </w:rPr>
        <w:t>Humanos, Sor</w:t>
      </w:r>
      <w:r>
        <w:rPr>
          <w:spacing w:val="-1"/>
          <w:sz w:val="13"/>
        </w:rPr>
        <w:t xml:space="preserve"> </w:t>
      </w:r>
      <w:r>
        <w:rPr>
          <w:sz w:val="13"/>
        </w:rPr>
        <w:t>Inmaculada</w:t>
      </w:r>
      <w:r>
        <w:rPr>
          <w:spacing w:val="-1"/>
          <w:sz w:val="13"/>
        </w:rPr>
        <w:t xml:space="preserve"> </w:t>
      </w:r>
      <w:r>
        <w:rPr>
          <w:sz w:val="13"/>
        </w:rPr>
        <w:t>José y 80 Hermanas</w:t>
      </w:r>
      <w:r>
        <w:rPr>
          <w:spacing w:val="-1"/>
          <w:sz w:val="13"/>
        </w:rPr>
        <w:t xml:space="preserve"> </w:t>
      </w:r>
      <w:r>
        <w:rPr>
          <w:sz w:val="13"/>
        </w:rPr>
        <w:t>Docentes</w:t>
      </w:r>
      <w:r>
        <w:rPr>
          <w:spacing w:val="-1"/>
          <w:sz w:val="13"/>
        </w:rPr>
        <w:t xml:space="preserve"> </w:t>
      </w:r>
      <w:r>
        <w:rPr>
          <w:sz w:val="13"/>
        </w:rPr>
        <w:t>de la Santa</w:t>
      </w:r>
      <w:r>
        <w:rPr>
          <w:spacing w:val="-1"/>
          <w:sz w:val="13"/>
        </w:rPr>
        <w:t xml:space="preserve"> </w:t>
      </w:r>
      <w:r>
        <w:rPr>
          <w:sz w:val="13"/>
        </w:rPr>
        <w:t>Cruz</w:t>
      </w:r>
      <w:r>
        <w:rPr>
          <w:spacing w:val="-1"/>
          <w:sz w:val="13"/>
        </w:rPr>
        <w:t xml:space="preserve"> </w:t>
      </w:r>
      <w:r>
        <w:rPr>
          <w:sz w:val="13"/>
        </w:rPr>
        <w:t>de la Tercera</w:t>
      </w:r>
      <w:r>
        <w:rPr>
          <w:spacing w:val="-1"/>
          <w:sz w:val="13"/>
        </w:rPr>
        <w:t xml:space="preserve"> </w:t>
      </w:r>
      <w:r>
        <w:rPr>
          <w:sz w:val="13"/>
        </w:rPr>
        <w:t>Orden</w:t>
      </w:r>
      <w:r>
        <w:rPr>
          <w:spacing w:val="-1"/>
          <w:sz w:val="13"/>
        </w:rPr>
        <w:t xml:space="preserve"> </w:t>
      </w:r>
      <w:r>
        <w:rPr>
          <w:sz w:val="13"/>
        </w:rPr>
        <w:t>de San</w:t>
      </w:r>
      <w:r>
        <w:rPr>
          <w:spacing w:val="40"/>
          <w:sz w:val="13"/>
        </w:rPr>
        <w:t xml:space="preserve"> </w:t>
      </w:r>
      <w:r>
        <w:rPr>
          <w:sz w:val="13"/>
        </w:rPr>
        <w:t xml:space="preserve">Francisco en </w:t>
      </w:r>
      <w:proofErr w:type="spellStart"/>
      <w:r>
        <w:rPr>
          <w:sz w:val="13"/>
        </w:rPr>
        <w:t>Menzingen</w:t>
      </w:r>
      <w:proofErr w:type="spellEnd"/>
      <w:r>
        <w:rPr>
          <w:sz w:val="13"/>
        </w:rPr>
        <w:t xml:space="preserve"> de Sri Lanka c. Sri Lanka (CCPR/C/85/D/1249/2004), paraca. 7.4.</w:t>
      </w:r>
    </w:p>
    <w:p w14:paraId="2E7C2583" w14:textId="77777777" w:rsidR="0014798C" w:rsidRDefault="004E1F0B">
      <w:pPr>
        <w:spacing w:before="57"/>
        <w:ind w:left="1107"/>
        <w:rPr>
          <w:sz w:val="13"/>
        </w:rPr>
      </w:pPr>
      <w:r>
        <w:rPr>
          <w:sz w:val="13"/>
          <w:vertAlign w:val="superscript"/>
        </w:rPr>
        <w:t>977</w:t>
      </w:r>
      <w:r>
        <w:rPr>
          <w:spacing w:val="78"/>
          <w:sz w:val="13"/>
        </w:rPr>
        <w:t xml:space="preserve"> </w:t>
      </w:r>
      <w:r>
        <w:rPr>
          <w:sz w:val="13"/>
        </w:rPr>
        <w:t>Véase,</w:t>
      </w:r>
      <w:r>
        <w:rPr>
          <w:spacing w:val="-1"/>
          <w:sz w:val="13"/>
        </w:rPr>
        <w:t xml:space="preserve"> </w:t>
      </w:r>
      <w:r>
        <w:rPr>
          <w:sz w:val="13"/>
        </w:rPr>
        <w:t>por</w:t>
      </w:r>
      <w:r>
        <w:rPr>
          <w:spacing w:val="-3"/>
          <w:sz w:val="13"/>
        </w:rPr>
        <w:t xml:space="preserve"> </w:t>
      </w:r>
      <w:r>
        <w:rPr>
          <w:sz w:val="13"/>
        </w:rPr>
        <w:t>ejemplo,</w:t>
      </w:r>
      <w:r>
        <w:rPr>
          <w:spacing w:val="-2"/>
          <w:sz w:val="13"/>
        </w:rPr>
        <w:t xml:space="preserve"> </w:t>
      </w:r>
      <w:r>
        <w:rPr>
          <w:sz w:val="13"/>
        </w:rPr>
        <w:t>Comité</w:t>
      </w:r>
      <w:r>
        <w:rPr>
          <w:spacing w:val="-3"/>
          <w:sz w:val="13"/>
        </w:rPr>
        <w:t xml:space="preserve"> </w:t>
      </w:r>
      <w:r>
        <w:rPr>
          <w:sz w:val="13"/>
        </w:rPr>
        <w:t>de</w:t>
      </w:r>
      <w:r>
        <w:rPr>
          <w:spacing w:val="-1"/>
          <w:sz w:val="13"/>
        </w:rPr>
        <w:t xml:space="preserve"> </w:t>
      </w:r>
      <w:r>
        <w:rPr>
          <w:sz w:val="13"/>
        </w:rPr>
        <w:t>Derechos</w:t>
      </w:r>
      <w:r>
        <w:rPr>
          <w:spacing w:val="-3"/>
          <w:sz w:val="13"/>
        </w:rPr>
        <w:t xml:space="preserve"> </w:t>
      </w:r>
      <w:r>
        <w:rPr>
          <w:sz w:val="13"/>
        </w:rPr>
        <w:t>Humanos,</w:t>
      </w:r>
      <w:r>
        <w:rPr>
          <w:spacing w:val="-2"/>
          <w:sz w:val="13"/>
        </w:rPr>
        <w:t xml:space="preserve"> </w:t>
      </w:r>
      <w:proofErr w:type="spellStart"/>
      <w:r>
        <w:rPr>
          <w:sz w:val="13"/>
        </w:rPr>
        <w:t>Malakhovsky</w:t>
      </w:r>
      <w:proofErr w:type="spellEnd"/>
      <w:r>
        <w:rPr>
          <w:spacing w:val="-3"/>
          <w:sz w:val="13"/>
        </w:rPr>
        <w:t xml:space="preserve"> </w:t>
      </w:r>
      <w:r>
        <w:rPr>
          <w:sz w:val="13"/>
        </w:rPr>
        <w:t>y</w:t>
      </w:r>
      <w:r>
        <w:rPr>
          <w:spacing w:val="-2"/>
          <w:sz w:val="13"/>
        </w:rPr>
        <w:t xml:space="preserve"> </w:t>
      </w:r>
      <w:proofErr w:type="spellStart"/>
      <w:r>
        <w:rPr>
          <w:sz w:val="13"/>
        </w:rPr>
        <w:t>Pikul</w:t>
      </w:r>
      <w:proofErr w:type="spellEnd"/>
      <w:r>
        <w:rPr>
          <w:spacing w:val="-2"/>
          <w:sz w:val="13"/>
        </w:rPr>
        <w:t xml:space="preserve"> </w:t>
      </w:r>
      <w:r>
        <w:rPr>
          <w:sz w:val="13"/>
        </w:rPr>
        <w:t>c.</w:t>
      </w:r>
      <w:r>
        <w:rPr>
          <w:spacing w:val="-2"/>
          <w:sz w:val="13"/>
        </w:rPr>
        <w:t xml:space="preserve"> </w:t>
      </w:r>
      <w:r>
        <w:rPr>
          <w:sz w:val="13"/>
        </w:rPr>
        <w:t>Bielorrusia</w:t>
      </w:r>
      <w:r>
        <w:rPr>
          <w:spacing w:val="-3"/>
          <w:sz w:val="13"/>
        </w:rPr>
        <w:t xml:space="preserve"> </w:t>
      </w:r>
      <w:r>
        <w:rPr>
          <w:spacing w:val="-2"/>
          <w:sz w:val="13"/>
        </w:rPr>
        <w:t>(CCPR/C/84/D/1207/2003).</w:t>
      </w:r>
    </w:p>
    <w:p w14:paraId="6BB7D606" w14:textId="77777777" w:rsidR="0014798C" w:rsidRDefault="004E1F0B">
      <w:pPr>
        <w:spacing w:before="87" w:line="288" w:lineRule="auto"/>
        <w:ind w:left="1365" w:right="1917" w:hanging="259"/>
        <w:rPr>
          <w:sz w:val="13"/>
        </w:rPr>
      </w:pPr>
      <w:r>
        <w:rPr>
          <w:sz w:val="13"/>
        </w:rPr>
        <w:t>978 Comité</w:t>
      </w:r>
      <w:r>
        <w:rPr>
          <w:spacing w:val="-1"/>
          <w:sz w:val="13"/>
        </w:rPr>
        <w:t xml:space="preserve"> </w:t>
      </w:r>
      <w:r>
        <w:rPr>
          <w:sz w:val="13"/>
        </w:rPr>
        <w:t>de Derechos</w:t>
      </w:r>
      <w:r>
        <w:rPr>
          <w:spacing w:val="-1"/>
          <w:sz w:val="13"/>
        </w:rPr>
        <w:t xml:space="preserve"> </w:t>
      </w:r>
      <w:r>
        <w:rPr>
          <w:sz w:val="13"/>
        </w:rPr>
        <w:t>Humanos, Hermana José Inmaculada</w:t>
      </w:r>
      <w:r>
        <w:rPr>
          <w:spacing w:val="-1"/>
          <w:sz w:val="13"/>
        </w:rPr>
        <w:t xml:space="preserve"> </w:t>
      </w:r>
      <w:r>
        <w:rPr>
          <w:sz w:val="13"/>
        </w:rPr>
        <w:t>y 80 Hermanas</w:t>
      </w:r>
      <w:r>
        <w:rPr>
          <w:spacing w:val="-1"/>
          <w:sz w:val="13"/>
        </w:rPr>
        <w:t xml:space="preserve"> </w:t>
      </w:r>
      <w:r>
        <w:rPr>
          <w:sz w:val="13"/>
        </w:rPr>
        <w:t>Docentes</w:t>
      </w:r>
      <w:r>
        <w:rPr>
          <w:spacing w:val="-1"/>
          <w:sz w:val="13"/>
        </w:rPr>
        <w:t xml:space="preserve"> </w:t>
      </w:r>
      <w:r>
        <w:rPr>
          <w:sz w:val="13"/>
        </w:rPr>
        <w:t>de la Santa</w:t>
      </w:r>
      <w:r>
        <w:rPr>
          <w:spacing w:val="-1"/>
          <w:sz w:val="13"/>
        </w:rPr>
        <w:t xml:space="preserve"> </w:t>
      </w:r>
      <w:r>
        <w:rPr>
          <w:sz w:val="13"/>
        </w:rPr>
        <w:t>Cruz</w:t>
      </w:r>
      <w:r>
        <w:rPr>
          <w:spacing w:val="-1"/>
          <w:sz w:val="13"/>
        </w:rPr>
        <w:t xml:space="preserve"> </w:t>
      </w:r>
      <w:r>
        <w:rPr>
          <w:sz w:val="13"/>
        </w:rPr>
        <w:t>de la Tercera</w:t>
      </w:r>
      <w:r>
        <w:rPr>
          <w:spacing w:val="-1"/>
          <w:sz w:val="13"/>
        </w:rPr>
        <w:t xml:space="preserve"> </w:t>
      </w:r>
      <w:r>
        <w:rPr>
          <w:sz w:val="13"/>
        </w:rPr>
        <w:t>Orden</w:t>
      </w:r>
      <w:r>
        <w:rPr>
          <w:spacing w:val="-1"/>
          <w:sz w:val="13"/>
        </w:rPr>
        <w:t xml:space="preserve"> </w:t>
      </w:r>
      <w:r>
        <w:rPr>
          <w:sz w:val="13"/>
        </w:rPr>
        <w:t>de San</w:t>
      </w:r>
      <w:r>
        <w:rPr>
          <w:spacing w:val="-1"/>
          <w:sz w:val="13"/>
        </w:rPr>
        <w:t xml:space="preserve"> </w:t>
      </w:r>
      <w:r>
        <w:rPr>
          <w:sz w:val="13"/>
        </w:rPr>
        <w:t>Francisco en</w:t>
      </w:r>
      <w:r>
        <w:rPr>
          <w:spacing w:val="40"/>
          <w:sz w:val="13"/>
        </w:rPr>
        <w:t xml:space="preserve"> </w:t>
      </w:r>
      <w:proofErr w:type="spellStart"/>
      <w:r>
        <w:rPr>
          <w:sz w:val="13"/>
        </w:rPr>
        <w:t>Menzingen</w:t>
      </w:r>
      <w:proofErr w:type="spellEnd"/>
      <w:r>
        <w:rPr>
          <w:sz w:val="13"/>
        </w:rPr>
        <w:t xml:space="preserve"> de Sri Lanka contra Sri Lanka (CCPR/C/85/D/1249/2004).</w:t>
      </w:r>
    </w:p>
    <w:p w14:paraId="069A904E" w14:textId="77777777" w:rsidR="0014798C" w:rsidRDefault="004E1F0B">
      <w:pPr>
        <w:spacing w:before="58"/>
        <w:ind w:left="1107"/>
        <w:rPr>
          <w:sz w:val="13"/>
        </w:rPr>
      </w:pPr>
      <w:r>
        <w:rPr>
          <w:sz w:val="13"/>
          <w:vertAlign w:val="superscript"/>
        </w:rPr>
        <w:t>979</w:t>
      </w:r>
      <w:r>
        <w:rPr>
          <w:spacing w:val="67"/>
          <w:w w:val="150"/>
          <w:sz w:val="13"/>
        </w:rPr>
        <w:t xml:space="preserve"> </w:t>
      </w:r>
      <w:r>
        <w:rPr>
          <w:sz w:val="13"/>
        </w:rPr>
        <w:t>Véase, por</w:t>
      </w:r>
      <w:r>
        <w:rPr>
          <w:spacing w:val="-1"/>
          <w:sz w:val="13"/>
        </w:rPr>
        <w:t xml:space="preserve"> </w:t>
      </w:r>
      <w:r>
        <w:rPr>
          <w:sz w:val="13"/>
        </w:rPr>
        <w:t xml:space="preserve">ejemplo, </w:t>
      </w:r>
      <w:r>
        <w:rPr>
          <w:spacing w:val="-2"/>
          <w:sz w:val="13"/>
        </w:rPr>
        <w:t>A/HRC/19/60/Add.2.</w:t>
      </w:r>
    </w:p>
    <w:p w14:paraId="729EB801" w14:textId="77777777" w:rsidR="0014798C" w:rsidRDefault="004E1F0B">
      <w:pPr>
        <w:spacing w:before="87"/>
        <w:ind w:left="1107"/>
        <w:rPr>
          <w:sz w:val="13"/>
        </w:rPr>
      </w:pPr>
      <w:r>
        <w:rPr>
          <w:sz w:val="13"/>
        </w:rPr>
        <w:t>980</w:t>
      </w:r>
      <w:r>
        <w:rPr>
          <w:spacing w:val="-7"/>
          <w:sz w:val="13"/>
        </w:rPr>
        <w:t xml:space="preserve"> </w:t>
      </w:r>
      <w:r>
        <w:rPr>
          <w:sz w:val="13"/>
        </w:rPr>
        <w:t>Comisión</w:t>
      </w:r>
      <w:r>
        <w:rPr>
          <w:spacing w:val="-4"/>
          <w:sz w:val="13"/>
        </w:rPr>
        <w:t xml:space="preserve"> </w:t>
      </w:r>
      <w:r>
        <w:rPr>
          <w:sz w:val="13"/>
        </w:rPr>
        <w:t>Interamericana</w:t>
      </w:r>
      <w:r>
        <w:rPr>
          <w:spacing w:val="-5"/>
          <w:sz w:val="13"/>
        </w:rPr>
        <w:t xml:space="preserve"> </w:t>
      </w:r>
      <w:r>
        <w:rPr>
          <w:sz w:val="13"/>
        </w:rPr>
        <w:t>de</w:t>
      </w:r>
      <w:r>
        <w:rPr>
          <w:spacing w:val="-4"/>
          <w:sz w:val="13"/>
        </w:rPr>
        <w:t xml:space="preserve"> </w:t>
      </w:r>
      <w:r>
        <w:rPr>
          <w:sz w:val="13"/>
        </w:rPr>
        <w:t>Derechos</w:t>
      </w:r>
      <w:r>
        <w:rPr>
          <w:spacing w:val="-5"/>
          <w:sz w:val="13"/>
        </w:rPr>
        <w:t xml:space="preserve"> </w:t>
      </w:r>
      <w:r>
        <w:rPr>
          <w:sz w:val="13"/>
        </w:rPr>
        <w:t>Humanos,</w:t>
      </w:r>
      <w:r>
        <w:rPr>
          <w:spacing w:val="-4"/>
          <w:sz w:val="13"/>
        </w:rPr>
        <w:t xml:space="preserve"> </w:t>
      </w:r>
      <w:r>
        <w:rPr>
          <w:sz w:val="13"/>
        </w:rPr>
        <w:t>Testigos</w:t>
      </w:r>
      <w:r>
        <w:rPr>
          <w:spacing w:val="-5"/>
          <w:sz w:val="13"/>
        </w:rPr>
        <w:t xml:space="preserve"> </w:t>
      </w:r>
      <w:r>
        <w:rPr>
          <w:sz w:val="13"/>
        </w:rPr>
        <w:t>de</w:t>
      </w:r>
      <w:r>
        <w:rPr>
          <w:spacing w:val="-5"/>
          <w:sz w:val="13"/>
        </w:rPr>
        <w:t xml:space="preserve"> </w:t>
      </w:r>
      <w:r>
        <w:rPr>
          <w:sz w:val="13"/>
        </w:rPr>
        <w:t>Jehová</w:t>
      </w:r>
      <w:r>
        <w:rPr>
          <w:spacing w:val="-4"/>
          <w:sz w:val="13"/>
        </w:rPr>
        <w:t xml:space="preserve"> </w:t>
      </w:r>
      <w:r>
        <w:rPr>
          <w:sz w:val="13"/>
        </w:rPr>
        <w:t>vs.</w:t>
      </w:r>
      <w:r>
        <w:rPr>
          <w:spacing w:val="-4"/>
          <w:sz w:val="13"/>
        </w:rPr>
        <w:t xml:space="preserve"> </w:t>
      </w:r>
      <w:r>
        <w:rPr>
          <w:sz w:val="13"/>
        </w:rPr>
        <w:t>Argentina,</w:t>
      </w:r>
      <w:r>
        <w:rPr>
          <w:spacing w:val="-4"/>
          <w:sz w:val="13"/>
        </w:rPr>
        <w:t xml:space="preserve"> </w:t>
      </w:r>
      <w:r>
        <w:rPr>
          <w:sz w:val="13"/>
        </w:rPr>
        <w:t>Caso</w:t>
      </w:r>
      <w:r>
        <w:rPr>
          <w:spacing w:val="-4"/>
          <w:sz w:val="13"/>
        </w:rPr>
        <w:t xml:space="preserve"> </w:t>
      </w:r>
      <w:r>
        <w:rPr>
          <w:sz w:val="13"/>
        </w:rPr>
        <w:t>2137,</w:t>
      </w:r>
      <w:r>
        <w:rPr>
          <w:spacing w:val="-5"/>
          <w:sz w:val="13"/>
        </w:rPr>
        <w:t xml:space="preserve"> </w:t>
      </w:r>
      <w:r>
        <w:rPr>
          <w:sz w:val="13"/>
        </w:rPr>
        <w:t>Resolución,</w:t>
      </w:r>
      <w:r>
        <w:rPr>
          <w:spacing w:val="-4"/>
          <w:sz w:val="13"/>
        </w:rPr>
        <w:t xml:space="preserve"> </w:t>
      </w:r>
      <w:r>
        <w:rPr>
          <w:sz w:val="13"/>
        </w:rPr>
        <w:t>18</w:t>
      </w:r>
      <w:r>
        <w:rPr>
          <w:spacing w:val="-4"/>
          <w:sz w:val="13"/>
        </w:rPr>
        <w:t xml:space="preserve"> </w:t>
      </w:r>
      <w:r>
        <w:rPr>
          <w:sz w:val="13"/>
        </w:rPr>
        <w:t>de</w:t>
      </w:r>
      <w:r>
        <w:rPr>
          <w:spacing w:val="-4"/>
          <w:sz w:val="13"/>
        </w:rPr>
        <w:t xml:space="preserve"> </w:t>
      </w:r>
      <w:r>
        <w:rPr>
          <w:sz w:val="13"/>
        </w:rPr>
        <w:t>noviembre</w:t>
      </w:r>
      <w:r>
        <w:rPr>
          <w:spacing w:val="-4"/>
          <w:sz w:val="13"/>
        </w:rPr>
        <w:t xml:space="preserve"> </w:t>
      </w:r>
      <w:r>
        <w:rPr>
          <w:sz w:val="13"/>
        </w:rPr>
        <w:t>de</w:t>
      </w:r>
      <w:r>
        <w:rPr>
          <w:spacing w:val="-4"/>
          <w:sz w:val="13"/>
        </w:rPr>
        <w:t xml:space="preserve"> </w:t>
      </w:r>
      <w:r>
        <w:rPr>
          <w:spacing w:val="-2"/>
          <w:sz w:val="13"/>
        </w:rPr>
        <w:t>1978.</w:t>
      </w:r>
    </w:p>
    <w:p w14:paraId="4E05FCFE" w14:textId="77777777" w:rsidR="0014798C" w:rsidRDefault="004E1F0B">
      <w:pPr>
        <w:spacing w:before="87" w:line="288" w:lineRule="auto"/>
        <w:ind w:left="1366" w:right="2182" w:hanging="260"/>
        <w:rPr>
          <w:sz w:val="13"/>
        </w:rPr>
      </w:pPr>
      <w:r>
        <w:rPr>
          <w:sz w:val="13"/>
        </w:rPr>
        <w:t>981</w:t>
      </w:r>
      <w:r>
        <w:rPr>
          <w:spacing w:val="-1"/>
          <w:sz w:val="13"/>
        </w:rPr>
        <w:t xml:space="preserve"> </w:t>
      </w:r>
      <w:r>
        <w:rPr>
          <w:sz w:val="13"/>
        </w:rPr>
        <w:t>Comisión</w:t>
      </w:r>
      <w:r>
        <w:rPr>
          <w:spacing w:val="-1"/>
          <w:sz w:val="13"/>
        </w:rPr>
        <w:t xml:space="preserve"> </w:t>
      </w:r>
      <w:r>
        <w:rPr>
          <w:sz w:val="13"/>
        </w:rPr>
        <w:t>Interamericana</w:t>
      </w:r>
      <w:r>
        <w:rPr>
          <w:spacing w:val="-2"/>
          <w:sz w:val="13"/>
        </w:rPr>
        <w:t xml:space="preserve"> </w:t>
      </w:r>
      <w:r>
        <w:rPr>
          <w:sz w:val="13"/>
        </w:rPr>
        <w:t>de</w:t>
      </w:r>
      <w:r>
        <w:rPr>
          <w:spacing w:val="-1"/>
          <w:sz w:val="13"/>
        </w:rPr>
        <w:t xml:space="preserve"> </w:t>
      </w:r>
      <w:r>
        <w:rPr>
          <w:sz w:val="13"/>
        </w:rPr>
        <w:t>Derechos</w:t>
      </w:r>
      <w:r>
        <w:rPr>
          <w:spacing w:val="-2"/>
          <w:sz w:val="13"/>
        </w:rPr>
        <w:t xml:space="preserve"> </w:t>
      </w:r>
      <w:r>
        <w:rPr>
          <w:sz w:val="13"/>
        </w:rPr>
        <w:t>Humanos,</w:t>
      </w:r>
      <w:r>
        <w:rPr>
          <w:spacing w:val="-1"/>
          <w:sz w:val="13"/>
        </w:rPr>
        <w:t xml:space="preserve"> </w:t>
      </w:r>
      <w:r>
        <w:rPr>
          <w:sz w:val="13"/>
        </w:rPr>
        <w:t>Informe</w:t>
      </w:r>
      <w:r>
        <w:rPr>
          <w:spacing w:val="-2"/>
          <w:sz w:val="13"/>
        </w:rPr>
        <w:t xml:space="preserve"> </w:t>
      </w:r>
      <w:r>
        <w:rPr>
          <w:sz w:val="13"/>
        </w:rPr>
        <w:t>Anual</w:t>
      </w:r>
      <w:r>
        <w:rPr>
          <w:spacing w:val="-2"/>
          <w:sz w:val="13"/>
        </w:rPr>
        <w:t xml:space="preserve"> </w:t>
      </w:r>
      <w:r>
        <w:rPr>
          <w:sz w:val="13"/>
        </w:rPr>
        <w:t>de</w:t>
      </w:r>
      <w:r>
        <w:rPr>
          <w:spacing w:val="-1"/>
          <w:sz w:val="13"/>
        </w:rPr>
        <w:t xml:space="preserve"> </w:t>
      </w:r>
      <w:r>
        <w:rPr>
          <w:sz w:val="13"/>
        </w:rPr>
        <w:t>la</w:t>
      </w:r>
      <w:r>
        <w:rPr>
          <w:spacing w:val="-1"/>
          <w:sz w:val="13"/>
        </w:rPr>
        <w:t xml:space="preserve"> </w:t>
      </w:r>
      <w:r>
        <w:rPr>
          <w:sz w:val="13"/>
        </w:rPr>
        <w:t>Comisión</w:t>
      </w:r>
      <w:r>
        <w:rPr>
          <w:spacing w:val="-1"/>
          <w:sz w:val="13"/>
        </w:rPr>
        <w:t xml:space="preserve"> </w:t>
      </w:r>
      <w:r>
        <w:rPr>
          <w:sz w:val="13"/>
        </w:rPr>
        <w:t>Interamericana</w:t>
      </w:r>
      <w:r>
        <w:rPr>
          <w:spacing w:val="-2"/>
          <w:sz w:val="13"/>
        </w:rPr>
        <w:t xml:space="preserve"> </w:t>
      </w:r>
      <w:r>
        <w:rPr>
          <w:sz w:val="13"/>
        </w:rPr>
        <w:t>de</w:t>
      </w:r>
      <w:r>
        <w:rPr>
          <w:spacing w:val="-1"/>
          <w:sz w:val="13"/>
        </w:rPr>
        <w:t xml:space="preserve"> </w:t>
      </w:r>
      <w:r>
        <w:rPr>
          <w:sz w:val="13"/>
        </w:rPr>
        <w:t>Derechos</w:t>
      </w:r>
      <w:r>
        <w:rPr>
          <w:spacing w:val="-2"/>
          <w:sz w:val="13"/>
        </w:rPr>
        <w:t xml:space="preserve"> </w:t>
      </w:r>
      <w:r>
        <w:rPr>
          <w:sz w:val="13"/>
        </w:rPr>
        <w:t>Humanos:</w:t>
      </w:r>
      <w:r>
        <w:rPr>
          <w:spacing w:val="-1"/>
          <w:sz w:val="13"/>
        </w:rPr>
        <w:t xml:space="preserve"> </w:t>
      </w:r>
      <w:r>
        <w:rPr>
          <w:sz w:val="13"/>
        </w:rPr>
        <w:t>1979–1980</w:t>
      </w:r>
      <w:r>
        <w:rPr>
          <w:spacing w:val="-1"/>
          <w:sz w:val="13"/>
        </w:rPr>
        <w:t xml:space="preserve"> </w:t>
      </w:r>
      <w:r>
        <w:rPr>
          <w:sz w:val="13"/>
        </w:rPr>
        <w:t>(1980),</w:t>
      </w:r>
      <w:r>
        <w:rPr>
          <w:spacing w:val="40"/>
          <w:sz w:val="13"/>
        </w:rPr>
        <w:t xml:space="preserve"> </w:t>
      </w:r>
      <w:r>
        <w:rPr>
          <w:sz w:val="13"/>
        </w:rPr>
        <w:t>cap. V, sección. B, párr. 10.</w:t>
      </w:r>
    </w:p>
    <w:p w14:paraId="56C77536" w14:textId="77777777" w:rsidR="0014798C" w:rsidRDefault="004E1F0B">
      <w:pPr>
        <w:spacing w:before="57" w:line="288" w:lineRule="auto"/>
        <w:ind w:left="1366" w:right="1290" w:hanging="259"/>
        <w:rPr>
          <w:sz w:val="13"/>
        </w:rPr>
      </w:pPr>
      <w:r>
        <w:rPr>
          <w:sz w:val="13"/>
        </w:rPr>
        <w:t>982</w:t>
      </w:r>
      <w:r>
        <w:rPr>
          <w:spacing w:val="-4"/>
          <w:sz w:val="13"/>
        </w:rPr>
        <w:t xml:space="preserve"> </w:t>
      </w:r>
      <w:proofErr w:type="spellStart"/>
      <w:r>
        <w:rPr>
          <w:sz w:val="13"/>
        </w:rPr>
        <w:t>Ibíd</w:t>
      </w:r>
      <w:proofErr w:type="spellEnd"/>
      <w:r>
        <w:rPr>
          <w:sz w:val="13"/>
        </w:rPr>
        <w:t>.,</w:t>
      </w:r>
      <w:r>
        <w:rPr>
          <w:spacing w:val="-4"/>
          <w:sz w:val="13"/>
        </w:rPr>
        <w:t xml:space="preserve"> </w:t>
      </w:r>
      <w:r>
        <w:rPr>
          <w:sz w:val="13"/>
        </w:rPr>
        <w:t>cap.</w:t>
      </w:r>
      <w:r>
        <w:rPr>
          <w:spacing w:val="-4"/>
          <w:sz w:val="13"/>
        </w:rPr>
        <w:t xml:space="preserve"> </w:t>
      </w:r>
      <w:r>
        <w:rPr>
          <w:sz w:val="13"/>
        </w:rPr>
        <w:t>V,</w:t>
      </w:r>
      <w:r>
        <w:rPr>
          <w:spacing w:val="-5"/>
          <w:sz w:val="13"/>
        </w:rPr>
        <w:t xml:space="preserve"> </w:t>
      </w:r>
      <w:r>
        <w:rPr>
          <w:sz w:val="13"/>
        </w:rPr>
        <w:t>sección.</w:t>
      </w:r>
      <w:r>
        <w:rPr>
          <w:spacing w:val="-4"/>
          <w:sz w:val="13"/>
        </w:rPr>
        <w:t xml:space="preserve"> </w:t>
      </w:r>
      <w:r>
        <w:rPr>
          <w:sz w:val="13"/>
        </w:rPr>
        <w:t>D,</w:t>
      </w:r>
      <w:r>
        <w:rPr>
          <w:spacing w:val="-4"/>
          <w:sz w:val="13"/>
        </w:rPr>
        <w:t xml:space="preserve"> </w:t>
      </w:r>
      <w:r>
        <w:rPr>
          <w:sz w:val="13"/>
        </w:rPr>
        <w:t>párr.</w:t>
      </w:r>
      <w:r>
        <w:rPr>
          <w:spacing w:val="-4"/>
          <w:sz w:val="13"/>
        </w:rPr>
        <w:t xml:space="preserve"> </w:t>
      </w:r>
      <w:r>
        <w:rPr>
          <w:w w:val="90"/>
          <w:sz w:val="13"/>
        </w:rPr>
        <w:t xml:space="preserve">4; </w:t>
      </w:r>
      <w:r>
        <w:rPr>
          <w:sz w:val="13"/>
        </w:rPr>
        <w:t>y</w:t>
      </w:r>
      <w:r>
        <w:rPr>
          <w:spacing w:val="-4"/>
          <w:sz w:val="13"/>
        </w:rPr>
        <w:t xml:space="preserve"> </w:t>
      </w:r>
      <w:r>
        <w:rPr>
          <w:sz w:val="13"/>
        </w:rPr>
        <w:t>Comisión</w:t>
      </w:r>
      <w:r>
        <w:rPr>
          <w:spacing w:val="-4"/>
          <w:sz w:val="13"/>
        </w:rPr>
        <w:t xml:space="preserve"> </w:t>
      </w:r>
      <w:r>
        <w:rPr>
          <w:sz w:val="13"/>
        </w:rPr>
        <w:t>Interamericana</w:t>
      </w:r>
      <w:r>
        <w:rPr>
          <w:spacing w:val="-5"/>
          <w:sz w:val="13"/>
        </w:rPr>
        <w:t xml:space="preserve"> </w:t>
      </w:r>
      <w:r>
        <w:rPr>
          <w:sz w:val="13"/>
        </w:rPr>
        <w:t>de</w:t>
      </w:r>
      <w:r>
        <w:rPr>
          <w:spacing w:val="-4"/>
          <w:sz w:val="13"/>
        </w:rPr>
        <w:t xml:space="preserve"> </w:t>
      </w:r>
      <w:r>
        <w:rPr>
          <w:sz w:val="13"/>
        </w:rPr>
        <w:t>Derechos</w:t>
      </w:r>
      <w:r>
        <w:rPr>
          <w:spacing w:val="-5"/>
          <w:sz w:val="13"/>
        </w:rPr>
        <w:t xml:space="preserve"> </w:t>
      </w:r>
      <w:r>
        <w:rPr>
          <w:sz w:val="13"/>
        </w:rPr>
        <w:t>Humanos,</w:t>
      </w:r>
      <w:r>
        <w:rPr>
          <w:spacing w:val="-4"/>
          <w:sz w:val="13"/>
        </w:rPr>
        <w:t xml:space="preserve"> </w:t>
      </w:r>
      <w:r>
        <w:rPr>
          <w:sz w:val="13"/>
        </w:rPr>
        <w:t>Informe</w:t>
      </w:r>
      <w:r>
        <w:rPr>
          <w:spacing w:val="-5"/>
          <w:sz w:val="13"/>
        </w:rPr>
        <w:t xml:space="preserve"> </w:t>
      </w:r>
      <w:r>
        <w:rPr>
          <w:sz w:val="13"/>
        </w:rPr>
        <w:t>Anual</w:t>
      </w:r>
      <w:r>
        <w:rPr>
          <w:spacing w:val="-5"/>
          <w:sz w:val="13"/>
        </w:rPr>
        <w:t xml:space="preserve"> </w:t>
      </w:r>
      <w:r>
        <w:rPr>
          <w:sz w:val="13"/>
        </w:rPr>
        <w:t>de</w:t>
      </w:r>
      <w:r>
        <w:rPr>
          <w:spacing w:val="-4"/>
          <w:sz w:val="13"/>
        </w:rPr>
        <w:t xml:space="preserve"> </w:t>
      </w:r>
      <w:r>
        <w:rPr>
          <w:sz w:val="13"/>
        </w:rPr>
        <w:t>la</w:t>
      </w:r>
      <w:r>
        <w:rPr>
          <w:spacing w:val="-4"/>
          <w:sz w:val="13"/>
        </w:rPr>
        <w:t xml:space="preserve"> </w:t>
      </w:r>
      <w:r>
        <w:rPr>
          <w:sz w:val="13"/>
        </w:rPr>
        <w:t>Comisión</w:t>
      </w:r>
      <w:r>
        <w:rPr>
          <w:spacing w:val="-4"/>
          <w:sz w:val="13"/>
        </w:rPr>
        <w:t xml:space="preserve"> </w:t>
      </w:r>
      <w:r>
        <w:rPr>
          <w:sz w:val="13"/>
        </w:rPr>
        <w:t>Interamericana</w:t>
      </w:r>
      <w:r>
        <w:rPr>
          <w:spacing w:val="-5"/>
          <w:sz w:val="13"/>
        </w:rPr>
        <w:t xml:space="preserve"> </w:t>
      </w:r>
      <w:r>
        <w:rPr>
          <w:sz w:val="13"/>
        </w:rPr>
        <w:t>de</w:t>
      </w:r>
      <w:r>
        <w:rPr>
          <w:spacing w:val="-4"/>
          <w:sz w:val="13"/>
        </w:rPr>
        <w:t xml:space="preserve"> </w:t>
      </w:r>
      <w:r>
        <w:rPr>
          <w:sz w:val="13"/>
        </w:rPr>
        <w:t>Derechos</w:t>
      </w:r>
      <w:r>
        <w:rPr>
          <w:spacing w:val="-5"/>
          <w:sz w:val="13"/>
        </w:rPr>
        <w:t xml:space="preserve"> </w:t>
      </w:r>
      <w:r>
        <w:rPr>
          <w:sz w:val="13"/>
        </w:rPr>
        <w:t>Humanos</w:t>
      </w:r>
      <w:r>
        <w:rPr>
          <w:spacing w:val="40"/>
          <w:sz w:val="13"/>
        </w:rPr>
        <w:t xml:space="preserve"> </w:t>
      </w:r>
      <w:r>
        <w:rPr>
          <w:sz w:val="13"/>
        </w:rPr>
        <w:t xml:space="preserve">Derechos Humanos 2008 (2009), cap. VI, </w:t>
      </w:r>
      <w:proofErr w:type="spellStart"/>
      <w:r>
        <w:rPr>
          <w:sz w:val="13"/>
        </w:rPr>
        <w:t>párrs</w:t>
      </w:r>
      <w:proofErr w:type="spellEnd"/>
      <w:r>
        <w:rPr>
          <w:sz w:val="13"/>
        </w:rPr>
        <w:t>. 364–367.</w:t>
      </w:r>
    </w:p>
    <w:p w14:paraId="3CE889C2" w14:textId="77777777" w:rsidR="0014798C" w:rsidRDefault="004E1F0B">
      <w:pPr>
        <w:spacing w:before="58" w:line="288" w:lineRule="auto"/>
        <w:ind w:left="1371" w:right="1335" w:hanging="264"/>
        <w:rPr>
          <w:sz w:val="13"/>
        </w:rPr>
      </w:pPr>
      <w:r>
        <w:rPr>
          <w:sz w:val="13"/>
          <w:vertAlign w:val="superscript"/>
        </w:rPr>
        <w:t>983</w:t>
      </w:r>
      <w:r>
        <w:rPr>
          <w:spacing w:val="80"/>
          <w:sz w:val="13"/>
        </w:rPr>
        <w:t xml:space="preserve"> </w:t>
      </w:r>
      <w:r>
        <w:rPr>
          <w:sz w:val="13"/>
        </w:rPr>
        <w:t>Tribunal</w:t>
      </w:r>
      <w:r>
        <w:rPr>
          <w:spacing w:val="-2"/>
          <w:sz w:val="13"/>
        </w:rPr>
        <w:t xml:space="preserve"> </w:t>
      </w:r>
      <w:r>
        <w:rPr>
          <w:sz w:val="13"/>
        </w:rPr>
        <w:t>Europeo</w:t>
      </w:r>
      <w:r>
        <w:rPr>
          <w:spacing w:val="-2"/>
          <w:sz w:val="13"/>
        </w:rPr>
        <w:t xml:space="preserve"> </w:t>
      </w:r>
      <w:r>
        <w:rPr>
          <w:sz w:val="13"/>
        </w:rPr>
        <w:t>de</w:t>
      </w:r>
      <w:r>
        <w:rPr>
          <w:spacing w:val="-1"/>
          <w:sz w:val="13"/>
        </w:rPr>
        <w:t xml:space="preserve"> </w:t>
      </w:r>
      <w:r>
        <w:rPr>
          <w:sz w:val="13"/>
        </w:rPr>
        <w:t>Derechos</w:t>
      </w:r>
      <w:r>
        <w:rPr>
          <w:spacing w:val="-2"/>
          <w:sz w:val="13"/>
        </w:rPr>
        <w:t xml:space="preserve"> </w:t>
      </w:r>
      <w:r>
        <w:rPr>
          <w:sz w:val="13"/>
        </w:rPr>
        <w:t>Humanos,</w:t>
      </w:r>
      <w:r>
        <w:rPr>
          <w:spacing w:val="-1"/>
          <w:sz w:val="13"/>
        </w:rPr>
        <w:t xml:space="preserve"> </w:t>
      </w:r>
      <w:proofErr w:type="spellStart"/>
      <w:r>
        <w:rPr>
          <w:sz w:val="13"/>
        </w:rPr>
        <w:t>Religionsgemeinschaft</w:t>
      </w:r>
      <w:proofErr w:type="spellEnd"/>
      <w:r>
        <w:rPr>
          <w:sz w:val="13"/>
        </w:rPr>
        <w:t xml:space="preserve"> </w:t>
      </w:r>
      <w:proofErr w:type="spellStart"/>
      <w:r>
        <w:rPr>
          <w:sz w:val="13"/>
        </w:rPr>
        <w:t>der</w:t>
      </w:r>
      <w:proofErr w:type="spellEnd"/>
      <w:r>
        <w:rPr>
          <w:spacing w:val="-2"/>
          <w:sz w:val="13"/>
        </w:rPr>
        <w:t xml:space="preserve"> </w:t>
      </w:r>
      <w:proofErr w:type="spellStart"/>
      <w:r>
        <w:rPr>
          <w:sz w:val="13"/>
        </w:rPr>
        <w:t>Zeugen</w:t>
      </w:r>
      <w:proofErr w:type="spellEnd"/>
      <w:r>
        <w:rPr>
          <w:spacing w:val="-2"/>
          <w:sz w:val="13"/>
        </w:rPr>
        <w:t xml:space="preserve"> </w:t>
      </w:r>
      <w:proofErr w:type="spellStart"/>
      <w:r>
        <w:rPr>
          <w:sz w:val="13"/>
        </w:rPr>
        <w:t>Jehovas</w:t>
      </w:r>
      <w:proofErr w:type="spellEnd"/>
      <w:r>
        <w:rPr>
          <w:spacing w:val="-2"/>
          <w:sz w:val="13"/>
        </w:rPr>
        <w:t xml:space="preserve"> </w:t>
      </w:r>
      <w:r>
        <w:rPr>
          <w:sz w:val="13"/>
        </w:rPr>
        <w:t>and</w:t>
      </w:r>
      <w:r>
        <w:rPr>
          <w:spacing w:val="-1"/>
          <w:sz w:val="13"/>
        </w:rPr>
        <w:t xml:space="preserve"> </w:t>
      </w:r>
      <w:proofErr w:type="spellStart"/>
      <w:r>
        <w:rPr>
          <w:sz w:val="13"/>
        </w:rPr>
        <w:t>others</w:t>
      </w:r>
      <w:proofErr w:type="spellEnd"/>
      <w:r>
        <w:rPr>
          <w:spacing w:val="-2"/>
          <w:sz w:val="13"/>
        </w:rPr>
        <w:t xml:space="preserve"> </w:t>
      </w:r>
      <w:r>
        <w:rPr>
          <w:sz w:val="13"/>
        </w:rPr>
        <w:t>v.</w:t>
      </w:r>
      <w:r>
        <w:rPr>
          <w:spacing w:val="-1"/>
          <w:sz w:val="13"/>
        </w:rPr>
        <w:t xml:space="preserve"> </w:t>
      </w:r>
      <w:r>
        <w:rPr>
          <w:sz w:val="13"/>
        </w:rPr>
        <w:t>Austria,</w:t>
      </w:r>
      <w:r>
        <w:rPr>
          <w:spacing w:val="-1"/>
          <w:sz w:val="13"/>
        </w:rPr>
        <w:t xml:space="preserve"> </w:t>
      </w:r>
      <w:r>
        <w:rPr>
          <w:sz w:val="13"/>
        </w:rPr>
        <w:t>solicitud</w:t>
      </w:r>
      <w:r>
        <w:rPr>
          <w:spacing w:val="-2"/>
          <w:sz w:val="13"/>
        </w:rPr>
        <w:t xml:space="preserve"> </w:t>
      </w:r>
      <w:proofErr w:type="spellStart"/>
      <w:r>
        <w:rPr>
          <w:sz w:val="13"/>
        </w:rPr>
        <w:t>n.°</w:t>
      </w:r>
      <w:proofErr w:type="spellEnd"/>
      <w:r>
        <w:rPr>
          <w:spacing w:val="-2"/>
          <w:sz w:val="13"/>
        </w:rPr>
        <w:t xml:space="preserve"> </w:t>
      </w:r>
      <w:r>
        <w:rPr>
          <w:sz w:val="13"/>
        </w:rPr>
        <w:t>40825/98,</w:t>
      </w:r>
      <w:r>
        <w:rPr>
          <w:spacing w:val="-1"/>
          <w:sz w:val="13"/>
        </w:rPr>
        <w:t xml:space="preserve"> </w:t>
      </w:r>
      <w:r>
        <w:rPr>
          <w:sz w:val="13"/>
        </w:rPr>
        <w:t>sentencia</w:t>
      </w:r>
      <w:r>
        <w:rPr>
          <w:spacing w:val="-2"/>
          <w:sz w:val="13"/>
        </w:rPr>
        <w:t xml:space="preserve"> </w:t>
      </w:r>
      <w:r>
        <w:rPr>
          <w:sz w:val="13"/>
        </w:rPr>
        <w:t>de</w:t>
      </w:r>
      <w:r>
        <w:rPr>
          <w:spacing w:val="-1"/>
          <w:sz w:val="13"/>
        </w:rPr>
        <w:t xml:space="preserve"> </w:t>
      </w:r>
      <w:r>
        <w:rPr>
          <w:sz w:val="13"/>
        </w:rPr>
        <w:t>31</w:t>
      </w:r>
      <w:r>
        <w:rPr>
          <w:spacing w:val="-1"/>
          <w:sz w:val="13"/>
        </w:rPr>
        <w:t xml:space="preserve"> </w:t>
      </w:r>
      <w:r>
        <w:rPr>
          <w:sz w:val="13"/>
        </w:rPr>
        <w:t>de</w:t>
      </w:r>
      <w:r>
        <w:rPr>
          <w:spacing w:val="-1"/>
          <w:sz w:val="13"/>
        </w:rPr>
        <w:t xml:space="preserve"> </w:t>
      </w:r>
      <w:r>
        <w:rPr>
          <w:sz w:val="13"/>
        </w:rPr>
        <w:t>julio</w:t>
      </w:r>
      <w:r>
        <w:rPr>
          <w:spacing w:val="40"/>
          <w:sz w:val="13"/>
        </w:rPr>
        <w:t xml:space="preserve"> </w:t>
      </w:r>
      <w:r>
        <w:rPr>
          <w:sz w:val="13"/>
        </w:rPr>
        <w:t>de</w:t>
      </w:r>
      <w:r>
        <w:rPr>
          <w:spacing w:val="-5"/>
          <w:sz w:val="13"/>
        </w:rPr>
        <w:t xml:space="preserve"> </w:t>
      </w:r>
      <w:r>
        <w:rPr>
          <w:sz w:val="13"/>
        </w:rPr>
        <w:t>2008.</w:t>
      </w:r>
    </w:p>
    <w:p w14:paraId="3FF9BBF5" w14:textId="77777777" w:rsidR="0014798C" w:rsidRDefault="004E1F0B">
      <w:pPr>
        <w:spacing w:before="57"/>
        <w:ind w:left="1107"/>
        <w:rPr>
          <w:sz w:val="13"/>
        </w:rPr>
      </w:pPr>
      <w:r>
        <w:rPr>
          <w:sz w:val="13"/>
          <w:vertAlign w:val="superscript"/>
        </w:rPr>
        <w:t>984</w:t>
      </w:r>
      <w:r>
        <w:rPr>
          <w:spacing w:val="72"/>
          <w:sz w:val="13"/>
        </w:rPr>
        <w:t xml:space="preserve"> </w:t>
      </w:r>
      <w:r>
        <w:rPr>
          <w:sz w:val="13"/>
        </w:rPr>
        <w:t>Tribunal</w:t>
      </w:r>
      <w:r>
        <w:rPr>
          <w:spacing w:val="-3"/>
          <w:sz w:val="13"/>
        </w:rPr>
        <w:t xml:space="preserve"> </w:t>
      </w:r>
      <w:r>
        <w:rPr>
          <w:sz w:val="13"/>
        </w:rPr>
        <w:t>Europeo</w:t>
      </w:r>
      <w:r>
        <w:rPr>
          <w:spacing w:val="-4"/>
          <w:sz w:val="13"/>
        </w:rPr>
        <w:t xml:space="preserve"> </w:t>
      </w:r>
      <w:r>
        <w:rPr>
          <w:sz w:val="13"/>
        </w:rPr>
        <w:t>de</w:t>
      </w:r>
      <w:r>
        <w:rPr>
          <w:spacing w:val="-4"/>
          <w:sz w:val="13"/>
        </w:rPr>
        <w:t xml:space="preserve"> </w:t>
      </w:r>
      <w:r>
        <w:rPr>
          <w:sz w:val="13"/>
        </w:rPr>
        <w:t>Derechos</w:t>
      </w:r>
      <w:r>
        <w:rPr>
          <w:spacing w:val="-3"/>
          <w:sz w:val="13"/>
        </w:rPr>
        <w:t xml:space="preserve"> </w:t>
      </w:r>
      <w:r>
        <w:rPr>
          <w:sz w:val="13"/>
        </w:rPr>
        <w:t>Humanos,</w:t>
      </w:r>
      <w:r>
        <w:rPr>
          <w:spacing w:val="-4"/>
          <w:sz w:val="13"/>
        </w:rPr>
        <w:t xml:space="preserve"> </w:t>
      </w:r>
      <w:proofErr w:type="spellStart"/>
      <w:r>
        <w:rPr>
          <w:sz w:val="13"/>
        </w:rPr>
        <w:t>Lautsi</w:t>
      </w:r>
      <w:proofErr w:type="spellEnd"/>
      <w:r>
        <w:rPr>
          <w:spacing w:val="-3"/>
          <w:sz w:val="13"/>
        </w:rPr>
        <w:t xml:space="preserve"> </w:t>
      </w:r>
      <w:r>
        <w:rPr>
          <w:sz w:val="13"/>
        </w:rPr>
        <w:t>y</w:t>
      </w:r>
      <w:r>
        <w:rPr>
          <w:spacing w:val="-4"/>
          <w:sz w:val="13"/>
        </w:rPr>
        <w:t xml:space="preserve"> </w:t>
      </w:r>
      <w:r>
        <w:rPr>
          <w:sz w:val="13"/>
        </w:rPr>
        <w:t>otros</w:t>
      </w:r>
      <w:r>
        <w:rPr>
          <w:spacing w:val="-3"/>
          <w:sz w:val="13"/>
        </w:rPr>
        <w:t xml:space="preserve"> </w:t>
      </w:r>
      <w:r>
        <w:rPr>
          <w:sz w:val="13"/>
        </w:rPr>
        <w:t>c.</w:t>
      </w:r>
      <w:r>
        <w:rPr>
          <w:spacing w:val="-4"/>
          <w:sz w:val="13"/>
        </w:rPr>
        <w:t xml:space="preserve"> </w:t>
      </w:r>
      <w:r>
        <w:rPr>
          <w:sz w:val="13"/>
        </w:rPr>
        <w:t>Italia,</w:t>
      </w:r>
      <w:r>
        <w:rPr>
          <w:spacing w:val="-3"/>
          <w:sz w:val="13"/>
        </w:rPr>
        <w:t xml:space="preserve"> </w:t>
      </w:r>
      <w:r>
        <w:rPr>
          <w:sz w:val="13"/>
        </w:rPr>
        <w:t>solicitud</w:t>
      </w:r>
      <w:r>
        <w:rPr>
          <w:spacing w:val="-4"/>
          <w:sz w:val="13"/>
        </w:rPr>
        <w:t xml:space="preserve"> </w:t>
      </w:r>
      <w:proofErr w:type="spellStart"/>
      <w:r>
        <w:rPr>
          <w:sz w:val="13"/>
        </w:rPr>
        <w:t>n.°</w:t>
      </w:r>
      <w:proofErr w:type="spellEnd"/>
      <w:r>
        <w:rPr>
          <w:spacing w:val="-3"/>
          <w:sz w:val="13"/>
        </w:rPr>
        <w:t xml:space="preserve"> </w:t>
      </w:r>
      <w:r>
        <w:rPr>
          <w:sz w:val="13"/>
        </w:rPr>
        <w:t>30814/06,</w:t>
      </w:r>
      <w:r>
        <w:rPr>
          <w:spacing w:val="-4"/>
          <w:sz w:val="13"/>
        </w:rPr>
        <w:t xml:space="preserve"> </w:t>
      </w:r>
      <w:r>
        <w:rPr>
          <w:sz w:val="13"/>
        </w:rPr>
        <w:t>sentencia</w:t>
      </w:r>
      <w:r>
        <w:rPr>
          <w:spacing w:val="-3"/>
          <w:sz w:val="13"/>
        </w:rPr>
        <w:t xml:space="preserve"> </w:t>
      </w:r>
      <w:r>
        <w:rPr>
          <w:sz w:val="13"/>
        </w:rPr>
        <w:t>de</w:t>
      </w:r>
      <w:r>
        <w:rPr>
          <w:spacing w:val="-4"/>
          <w:sz w:val="13"/>
        </w:rPr>
        <w:t xml:space="preserve"> </w:t>
      </w:r>
      <w:r>
        <w:rPr>
          <w:sz w:val="13"/>
        </w:rPr>
        <w:t>18</w:t>
      </w:r>
      <w:r>
        <w:rPr>
          <w:spacing w:val="-3"/>
          <w:sz w:val="13"/>
        </w:rPr>
        <w:t xml:space="preserve"> </w:t>
      </w:r>
      <w:r>
        <w:rPr>
          <w:sz w:val="13"/>
        </w:rPr>
        <w:t>de</w:t>
      </w:r>
      <w:r>
        <w:rPr>
          <w:spacing w:val="-3"/>
          <w:sz w:val="13"/>
        </w:rPr>
        <w:t xml:space="preserve"> </w:t>
      </w:r>
      <w:r>
        <w:rPr>
          <w:sz w:val="13"/>
        </w:rPr>
        <w:t>marzo</w:t>
      </w:r>
      <w:r>
        <w:rPr>
          <w:spacing w:val="-3"/>
          <w:sz w:val="13"/>
        </w:rPr>
        <w:t xml:space="preserve"> </w:t>
      </w:r>
      <w:r>
        <w:rPr>
          <w:sz w:val="13"/>
        </w:rPr>
        <w:t>de</w:t>
      </w:r>
      <w:r>
        <w:rPr>
          <w:spacing w:val="-3"/>
          <w:sz w:val="13"/>
        </w:rPr>
        <w:t xml:space="preserve"> </w:t>
      </w:r>
      <w:r>
        <w:rPr>
          <w:sz w:val="13"/>
        </w:rPr>
        <w:t>2011,</w:t>
      </w:r>
      <w:r>
        <w:rPr>
          <w:spacing w:val="-3"/>
          <w:sz w:val="13"/>
        </w:rPr>
        <w:t xml:space="preserve"> </w:t>
      </w:r>
      <w:r>
        <w:rPr>
          <w:sz w:val="13"/>
        </w:rPr>
        <w:t>párr.</w:t>
      </w:r>
      <w:r>
        <w:rPr>
          <w:spacing w:val="-3"/>
          <w:sz w:val="13"/>
        </w:rPr>
        <w:t xml:space="preserve"> </w:t>
      </w:r>
      <w:r>
        <w:rPr>
          <w:spacing w:val="-5"/>
          <w:sz w:val="13"/>
        </w:rPr>
        <w:t>60.</w:t>
      </w:r>
    </w:p>
    <w:p w14:paraId="6AAC6FBB" w14:textId="77777777" w:rsidR="0014798C" w:rsidRDefault="0014798C">
      <w:pPr>
        <w:pStyle w:val="Textoindependiente"/>
        <w:spacing w:before="79"/>
        <w:rPr>
          <w:sz w:val="8"/>
        </w:rPr>
      </w:pPr>
    </w:p>
    <w:p w14:paraId="74474EF1" w14:textId="77777777" w:rsidR="0014798C" w:rsidRDefault="004E1F0B">
      <w:pPr>
        <w:ind w:left="1107"/>
        <w:rPr>
          <w:sz w:val="8"/>
        </w:rPr>
      </w:pPr>
      <w:r>
        <w:rPr>
          <w:w w:val="105"/>
          <w:sz w:val="8"/>
        </w:rPr>
        <w:t>985</w:t>
      </w:r>
      <w:r>
        <w:rPr>
          <w:spacing w:val="-4"/>
          <w:w w:val="105"/>
          <w:sz w:val="8"/>
        </w:rPr>
        <w:t xml:space="preserve"> </w:t>
      </w:r>
      <w:proofErr w:type="spellStart"/>
      <w:r>
        <w:rPr>
          <w:w w:val="105"/>
          <w:sz w:val="8"/>
        </w:rPr>
        <w:t>Ibíd</w:t>
      </w:r>
      <w:proofErr w:type="spellEnd"/>
      <w:r>
        <w:rPr>
          <w:w w:val="105"/>
          <w:sz w:val="8"/>
        </w:rPr>
        <w:t>.,</w:t>
      </w:r>
      <w:r>
        <w:rPr>
          <w:spacing w:val="-4"/>
          <w:w w:val="105"/>
          <w:sz w:val="8"/>
        </w:rPr>
        <w:t xml:space="preserve"> </w:t>
      </w:r>
      <w:r>
        <w:rPr>
          <w:w w:val="105"/>
          <w:sz w:val="8"/>
        </w:rPr>
        <w:t>párr.</w:t>
      </w:r>
      <w:r>
        <w:rPr>
          <w:spacing w:val="-4"/>
          <w:w w:val="105"/>
          <w:sz w:val="8"/>
        </w:rPr>
        <w:t xml:space="preserve"> </w:t>
      </w:r>
      <w:r>
        <w:rPr>
          <w:spacing w:val="-5"/>
          <w:w w:val="105"/>
          <w:sz w:val="8"/>
        </w:rPr>
        <w:t>62.</w:t>
      </w:r>
    </w:p>
    <w:p w14:paraId="6EAC76F9" w14:textId="77777777" w:rsidR="0014798C" w:rsidRDefault="0014798C">
      <w:pPr>
        <w:pStyle w:val="Textoindependiente"/>
        <w:rPr>
          <w:sz w:val="18"/>
        </w:rPr>
      </w:pPr>
    </w:p>
    <w:p w14:paraId="695D1F5F" w14:textId="77777777" w:rsidR="0014798C" w:rsidRDefault="0014798C">
      <w:pPr>
        <w:pStyle w:val="Textoindependiente"/>
        <w:spacing w:before="200"/>
        <w:rPr>
          <w:sz w:val="18"/>
        </w:rPr>
      </w:pPr>
    </w:p>
    <w:p w14:paraId="34897586" w14:textId="77777777" w:rsidR="0014798C" w:rsidRDefault="004E1F0B">
      <w:pPr>
        <w:ind w:left="478"/>
        <w:rPr>
          <w:sz w:val="18"/>
        </w:rPr>
      </w:pPr>
      <w:r>
        <w:rPr>
          <w:spacing w:val="-5"/>
          <w:sz w:val="18"/>
        </w:rPr>
        <w:t>142</w:t>
      </w:r>
    </w:p>
    <w:p w14:paraId="186E72BE" w14:textId="77777777" w:rsidR="0014798C" w:rsidRDefault="0014798C">
      <w:pPr>
        <w:rPr>
          <w:sz w:val="18"/>
        </w:rPr>
        <w:sectPr w:rsidR="0014798C" w:rsidSect="00F265E4">
          <w:pgSz w:w="11900" w:h="16820"/>
          <w:pgMar w:top="340" w:right="0" w:bottom="280" w:left="200" w:header="121" w:footer="0" w:gutter="0"/>
          <w:cols w:space="720"/>
        </w:sectPr>
      </w:pPr>
    </w:p>
    <w:p w14:paraId="6034AD6D" w14:textId="77777777" w:rsidR="0014798C" w:rsidRDefault="0014798C">
      <w:pPr>
        <w:pStyle w:val="Textoindependiente"/>
        <w:rPr>
          <w:sz w:val="9"/>
        </w:rPr>
      </w:pPr>
    </w:p>
    <w:p w14:paraId="5FEE1699" w14:textId="77777777" w:rsidR="0014798C" w:rsidRDefault="0014798C">
      <w:pPr>
        <w:pStyle w:val="Textoindependiente"/>
        <w:spacing w:before="31"/>
        <w:rPr>
          <w:sz w:val="9"/>
        </w:rPr>
      </w:pPr>
    </w:p>
    <w:p w14:paraId="4BE5C9EB" w14:textId="77777777" w:rsidR="0014798C" w:rsidRDefault="004E1F0B">
      <w:pPr>
        <w:ind w:left="1111"/>
        <w:rPr>
          <w:sz w:val="9"/>
        </w:rPr>
      </w:pPr>
      <w:r>
        <w:rPr>
          <w:color w:val="803108"/>
          <w:w w:val="105"/>
          <w:sz w:val="9"/>
        </w:rPr>
        <w:t>PARTE</w:t>
      </w:r>
      <w:r>
        <w:rPr>
          <w:color w:val="803108"/>
          <w:spacing w:val="1"/>
          <w:w w:val="105"/>
          <w:sz w:val="9"/>
        </w:rPr>
        <w:t xml:space="preserve"> </w:t>
      </w:r>
      <w:r>
        <w:rPr>
          <w:color w:val="803108"/>
          <w:w w:val="105"/>
          <w:sz w:val="9"/>
        </w:rPr>
        <w:t>TRES:</w:t>
      </w:r>
      <w:r>
        <w:rPr>
          <w:color w:val="803108"/>
          <w:spacing w:val="2"/>
          <w:w w:val="105"/>
          <w:sz w:val="9"/>
        </w:rPr>
        <w:t xml:space="preserve"> </w:t>
      </w:r>
      <w:r>
        <w:rPr>
          <w:color w:val="803108"/>
          <w:w w:val="105"/>
          <w:sz w:val="9"/>
        </w:rPr>
        <w:t>PROTECCIÓN</w:t>
      </w:r>
      <w:r>
        <w:rPr>
          <w:color w:val="803108"/>
          <w:spacing w:val="2"/>
          <w:w w:val="105"/>
          <w:sz w:val="9"/>
        </w:rPr>
        <w:t xml:space="preserve"> </w:t>
      </w:r>
      <w:r>
        <w:rPr>
          <w:color w:val="803108"/>
          <w:w w:val="105"/>
          <w:sz w:val="9"/>
        </w:rPr>
        <w:t>DE</w:t>
      </w:r>
      <w:r>
        <w:rPr>
          <w:color w:val="803108"/>
          <w:spacing w:val="1"/>
          <w:w w:val="105"/>
          <w:sz w:val="9"/>
        </w:rPr>
        <w:t xml:space="preserve"> </w:t>
      </w:r>
      <w:r>
        <w:rPr>
          <w:color w:val="803108"/>
          <w:w w:val="105"/>
          <w:sz w:val="9"/>
        </w:rPr>
        <w:t>LOS</w:t>
      </w:r>
      <w:r>
        <w:rPr>
          <w:color w:val="803108"/>
          <w:spacing w:val="2"/>
          <w:w w:val="105"/>
          <w:sz w:val="9"/>
        </w:rPr>
        <w:t xml:space="preserve"> </w:t>
      </w:r>
      <w:r>
        <w:rPr>
          <w:color w:val="803108"/>
          <w:w w:val="105"/>
          <w:sz w:val="9"/>
        </w:rPr>
        <w:t>DERECHOS</w:t>
      </w:r>
      <w:r>
        <w:rPr>
          <w:color w:val="803108"/>
          <w:spacing w:val="3"/>
          <w:w w:val="105"/>
          <w:sz w:val="9"/>
        </w:rPr>
        <w:t xml:space="preserve"> </w:t>
      </w:r>
      <w:r>
        <w:rPr>
          <w:color w:val="803108"/>
          <w:w w:val="105"/>
          <w:sz w:val="9"/>
        </w:rPr>
        <w:t>DE</w:t>
      </w:r>
      <w:r>
        <w:rPr>
          <w:color w:val="803108"/>
          <w:spacing w:val="1"/>
          <w:w w:val="105"/>
          <w:sz w:val="9"/>
        </w:rPr>
        <w:t xml:space="preserve"> </w:t>
      </w:r>
      <w:r>
        <w:rPr>
          <w:color w:val="803108"/>
          <w:w w:val="105"/>
          <w:sz w:val="9"/>
        </w:rPr>
        <w:t>LAS</w:t>
      </w:r>
      <w:r>
        <w:rPr>
          <w:color w:val="803108"/>
          <w:spacing w:val="2"/>
          <w:w w:val="105"/>
          <w:sz w:val="9"/>
        </w:rPr>
        <w:t xml:space="preserve"> </w:t>
      </w:r>
      <w:r>
        <w:rPr>
          <w:color w:val="803108"/>
          <w:spacing w:val="-2"/>
          <w:w w:val="105"/>
          <w:sz w:val="9"/>
        </w:rPr>
        <w:t>MINORÍAS</w:t>
      </w:r>
    </w:p>
    <w:p w14:paraId="49800A25" w14:textId="77777777" w:rsidR="0014798C" w:rsidRDefault="0014798C">
      <w:pPr>
        <w:pStyle w:val="Textoindependiente"/>
      </w:pPr>
    </w:p>
    <w:p w14:paraId="50121C1C" w14:textId="77777777" w:rsidR="0014798C" w:rsidRDefault="0014798C">
      <w:pPr>
        <w:pStyle w:val="Textoindependiente"/>
      </w:pPr>
    </w:p>
    <w:p w14:paraId="61CD42E0" w14:textId="77777777" w:rsidR="0014798C" w:rsidRDefault="0014798C">
      <w:pPr>
        <w:pStyle w:val="Textoindependiente"/>
      </w:pPr>
    </w:p>
    <w:p w14:paraId="1A8B6A03" w14:textId="77777777" w:rsidR="0014798C" w:rsidRDefault="0014798C">
      <w:pPr>
        <w:pStyle w:val="Textoindependiente"/>
      </w:pPr>
    </w:p>
    <w:p w14:paraId="716EB85F" w14:textId="77777777" w:rsidR="0014798C" w:rsidRDefault="0014798C">
      <w:pPr>
        <w:pStyle w:val="Textoindependiente"/>
        <w:spacing w:before="71"/>
      </w:pPr>
    </w:p>
    <w:p w14:paraId="3FA4190F" w14:textId="77777777" w:rsidR="0014798C" w:rsidRDefault="004E1F0B">
      <w:pPr>
        <w:pStyle w:val="Textoindependiente"/>
        <w:spacing w:line="326" w:lineRule="auto"/>
        <w:ind w:left="1109" w:right="1463" w:hanging="3"/>
      </w:pPr>
      <w:r>
        <w:t>registrar</w:t>
      </w:r>
      <w:r>
        <w:rPr>
          <w:spacing w:val="-1"/>
        </w:rPr>
        <w:t xml:space="preserve"> </w:t>
      </w:r>
      <w:r>
        <w:t>o reconocer</w:t>
      </w:r>
      <w:r>
        <w:rPr>
          <w:spacing w:val="-1"/>
        </w:rPr>
        <w:t xml:space="preserve"> </w:t>
      </w:r>
      <w:r>
        <w:t>de otro</w:t>
      </w:r>
      <w:r>
        <w:rPr>
          <w:spacing w:val="-1"/>
        </w:rPr>
        <w:t xml:space="preserve"> </w:t>
      </w:r>
      <w:r>
        <w:t>modo a las comunidades</w:t>
      </w:r>
      <w:r>
        <w:rPr>
          <w:spacing w:val="-1"/>
        </w:rPr>
        <w:t xml:space="preserve"> </w:t>
      </w:r>
      <w:r>
        <w:t>religiosas.986</w:t>
      </w:r>
      <w:r>
        <w:rPr>
          <w:spacing w:val="-1"/>
        </w:rPr>
        <w:t xml:space="preserve"> </w:t>
      </w:r>
      <w:r>
        <w:t>También</w:t>
      </w:r>
      <w:r>
        <w:rPr>
          <w:spacing w:val="-1"/>
        </w:rPr>
        <w:t xml:space="preserve"> </w:t>
      </w:r>
      <w:r>
        <w:t>ha considerado ilegales</w:t>
      </w:r>
      <w:r>
        <w:rPr>
          <w:spacing w:val="-1"/>
        </w:rPr>
        <w:t xml:space="preserve"> </w:t>
      </w:r>
      <w:r>
        <w:t>los cambios</w:t>
      </w:r>
      <w:r>
        <w:rPr>
          <w:spacing w:val="-1"/>
        </w:rPr>
        <w:t xml:space="preserve"> </w:t>
      </w:r>
      <w:r>
        <w:t>legislativos que conducen a la no inscripción o cancelación efectiva del registro de comunidades religiosas.987</w:t>
      </w:r>
    </w:p>
    <w:p w14:paraId="15623ABB" w14:textId="77777777" w:rsidR="0014798C" w:rsidRDefault="004E1F0B">
      <w:pPr>
        <w:pStyle w:val="Textoindependiente"/>
        <w:spacing w:before="169" w:line="326" w:lineRule="auto"/>
        <w:ind w:left="1107" w:right="1272" w:firstLine="1"/>
      </w:pPr>
      <w:r>
        <w:rPr>
          <w:noProof/>
        </w:rPr>
        <w:drawing>
          <wp:anchor distT="0" distB="0" distL="0" distR="0" simplePos="0" relativeHeight="251658464" behindDoc="1" locked="0" layoutInCell="1" allowOverlap="1" wp14:anchorId="560A9BE8" wp14:editId="700BFF8D">
            <wp:simplePos x="0" y="0"/>
            <wp:positionH relativeFrom="page">
              <wp:posOffset>826632</wp:posOffset>
            </wp:positionH>
            <wp:positionV relativeFrom="paragraph">
              <wp:posOffset>1839514</wp:posOffset>
            </wp:positionV>
            <wp:extent cx="6729867" cy="3850803"/>
            <wp:effectExtent l="0" t="0" r="0" b="0"/>
            <wp:wrapNone/>
            <wp:docPr id="294" name="Image 29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94" name="Image 294"/>
                    <pic:cNvPicPr/>
                  </pic:nvPicPr>
                  <pic:blipFill>
                    <a:blip r:embed="rId278" cstate="print"/>
                    <a:stretch>
                      <a:fillRect/>
                    </a:stretch>
                  </pic:blipFill>
                  <pic:spPr>
                    <a:xfrm>
                      <a:off x="0" y="0"/>
                      <a:ext cx="6729867" cy="3850803"/>
                    </a:xfrm>
                    <a:prstGeom prst="rect">
                      <a:avLst/>
                    </a:prstGeom>
                  </pic:spPr>
                </pic:pic>
              </a:graphicData>
            </a:graphic>
          </wp:anchor>
        </w:drawing>
      </w:r>
      <w:r>
        <w:rPr>
          <w:noProof/>
        </w:rPr>
        <mc:AlternateContent>
          <mc:Choice Requires="wps">
            <w:drawing>
              <wp:anchor distT="0" distB="0" distL="0" distR="0" simplePos="0" relativeHeight="251658313" behindDoc="0" locked="0" layoutInCell="1" allowOverlap="1" wp14:anchorId="1757B01F" wp14:editId="1A0C5E52">
                <wp:simplePos x="0" y="0"/>
                <wp:positionH relativeFrom="page">
                  <wp:posOffset>7293418</wp:posOffset>
                </wp:positionH>
                <wp:positionV relativeFrom="paragraph">
                  <wp:posOffset>2449979</wp:posOffset>
                </wp:positionV>
                <wp:extent cx="104775" cy="260985"/>
                <wp:effectExtent l="0" t="0" r="0" b="0"/>
                <wp:wrapNone/>
                <wp:docPr id="295" name="Textbox 29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04775" cy="260985"/>
                        </a:xfrm>
                        <a:prstGeom prst="rect">
                          <a:avLst/>
                        </a:prstGeom>
                      </wps:spPr>
                      <wps:txbx>
                        <w:txbxContent>
                          <w:p w14:paraId="462B6C60" w14:textId="77777777" w:rsidR="0014798C" w:rsidRDefault="004E1F0B">
                            <w:pPr>
                              <w:spacing w:before="17"/>
                              <w:ind w:left="20"/>
                              <w:rPr>
                                <w:sz w:val="11"/>
                              </w:rPr>
                            </w:pPr>
                            <w:r>
                              <w:rPr>
                                <w:color w:val="FFFFFF"/>
                                <w:spacing w:val="-33"/>
                                <w:sz w:val="11"/>
                              </w:rPr>
                              <w:t>TPRAERSTE</w:t>
                            </w:r>
                          </w:p>
                        </w:txbxContent>
                      </wps:txbx>
                      <wps:bodyPr vert="vert270" wrap="square" lIns="0" tIns="0" rIns="0" bIns="0" rtlCol="0">
                        <a:noAutofit/>
                      </wps:bodyPr>
                    </wps:wsp>
                  </a:graphicData>
                </a:graphic>
              </wp:anchor>
            </w:drawing>
          </mc:Choice>
          <mc:Fallback>
            <w:pict>
              <v:shape w14:anchorId="1757B01F" id="Textbox 295" o:spid="_x0000_s1144" type="#_x0000_t202" style="position:absolute;left:0;text-align:left;margin-left:574.3pt;margin-top:192.9pt;width:8.25pt;height:20.55pt;z-index:251658313;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" filled="f" stroked="f">
                <v:textbox style="layout-flow:vertical;mso-layout-flow-alt:bottom-to-top" inset="0,0,0,0">
                  <w:txbxContent>
                    <w:p w14:paraId="462B6C60" w14:textId="77777777" w:rsidR="0014798C" w:rsidRDefault="004E1F0B">
                      <w:pPr>
                        <w:spacing w:before="17"/>
                        <w:ind w:left="20"/>
                        <w:rPr>
                          <w:sz w:val="11"/>
                        </w:rPr>
                      </w:pPr>
                      <w:r>
                        <w:rPr>
                          <w:color w:val="FFFFFF"/>
                          <w:spacing w:val="-33"/>
                          <w:sz w:val="11"/>
                        </w:rPr>
                        <w:t>TPRAERSTE</w:t>
                      </w:r>
                    </w:p>
                  </w:txbxContent>
                </v:textbox>
                <w10:wrap anchorx="page"/>
              </v:shape>
            </w:pict>
          </mc:Fallback>
        </mc:AlternateContent>
      </w:r>
      <w:r>
        <w:t>En su guía sobre el artículo 9 del Convenio Europeo de Derechos Humanos, el Consejo de Europa resume la jurisprudencia del Tribunal Europeo de Derechos Humanos en este ámbito, señalando que “la negativa a reconocer la personalidad jurídica de una comunidad religiosa o a concederle tal personalidad constituye una injerencia en el ejercicio de los derechos garantizados por el artículo 9, en su dimensión externa y colectiva, respecto de la propia comunidad pero también de sus miembros”.988 Además, “la negativa de las autoridades a registrar un grupo afecta directamente tanto el grupo en sí como sus presidentes, fundadores o miembros</w:t>
      </w:r>
      <w:r>
        <w:rPr>
          <w:spacing w:val="-1"/>
        </w:rPr>
        <w:t xml:space="preserve"> </w:t>
      </w:r>
      <w:r>
        <w:t>individuales”.989</w:t>
      </w:r>
      <w:r>
        <w:rPr>
          <w:spacing w:val="-1"/>
        </w:rPr>
        <w:t xml:space="preserve"> </w:t>
      </w:r>
      <w:r>
        <w:t>En</w:t>
      </w:r>
      <w:r>
        <w:rPr>
          <w:spacing w:val="-1"/>
        </w:rPr>
        <w:t xml:space="preserve"> </w:t>
      </w:r>
      <w:r>
        <w:t>su jurisprudencia, la Corte</w:t>
      </w:r>
      <w:r>
        <w:rPr>
          <w:spacing w:val="-1"/>
        </w:rPr>
        <w:t xml:space="preserve"> </w:t>
      </w:r>
      <w:r>
        <w:t>ha interpretado</w:t>
      </w:r>
      <w:r>
        <w:rPr>
          <w:spacing w:val="-1"/>
        </w:rPr>
        <w:t xml:space="preserve"> </w:t>
      </w:r>
      <w:r>
        <w:t>además</w:t>
      </w:r>
      <w:r>
        <w:rPr>
          <w:spacing w:val="-1"/>
        </w:rPr>
        <w:t xml:space="preserve"> </w:t>
      </w:r>
      <w:r>
        <w:t>el artículo</w:t>
      </w:r>
      <w:r>
        <w:rPr>
          <w:spacing w:val="-1"/>
        </w:rPr>
        <w:t xml:space="preserve"> </w:t>
      </w:r>
      <w:r>
        <w:t>9 a la luz del artículo</w:t>
      </w:r>
      <w:r>
        <w:rPr>
          <w:spacing w:val="-1"/>
        </w:rPr>
        <w:t xml:space="preserve"> </w:t>
      </w:r>
      <w:r>
        <w:t>11, concluyendo que “la negativa de las autoridades nacionales a otorgar personalidad jurídica a una asociación de individuos equivale a una interferencia con el ejercicio de los demandantes de su derecho a la libertad de asociación”.990 En varios casos, el Tribunal ha considerado que la mera tolerancia por parte del Estado de las actividades de una organización religiosa no reconocida no es “un sustituto” de reconocimiento, que es el único capaz de conferir derechos a los interesados”.991 La Corte ha dictaminado que la autorización expresa de las actividades de grupos religiosos no reconocidos por la legislación pertinente es “insuficiente si el derecho interno reserva toda una serie de derechos esenciales para realización de actividades religiosas para organizaciones registradas con personalidad jurídica”.992 En cuanto al tiempo de espera para que las autoridades consideren una solicitud de un grupo u organización religiosa para el otorgamiento de personalidad jurídica, la Corte considera que los Estados tienen la obligación de mantener este proceso “razonablemente breve” a los efectos del artículo 9 de la Convención.993</w:t>
      </w:r>
    </w:p>
    <w:p w14:paraId="7473C915" w14:textId="77777777" w:rsidR="0014798C" w:rsidRDefault="0014798C">
      <w:pPr>
        <w:pStyle w:val="Textoindependiente"/>
      </w:pPr>
    </w:p>
    <w:p w14:paraId="18F630D4" w14:textId="77777777" w:rsidR="0014798C" w:rsidRDefault="0014798C">
      <w:pPr>
        <w:pStyle w:val="Textoindependiente"/>
        <w:spacing w:before="44"/>
      </w:pPr>
    </w:p>
    <w:p w14:paraId="37BBF4C8" w14:textId="77777777" w:rsidR="0014798C" w:rsidRDefault="004E1F0B">
      <w:pPr>
        <w:pStyle w:val="Textoindependiente"/>
        <w:spacing w:line="326" w:lineRule="auto"/>
        <w:ind w:left="1107" w:right="1272"/>
      </w:pPr>
      <w:r>
        <w:t>En</w:t>
      </w:r>
      <w:r>
        <w:rPr>
          <w:spacing w:val="-1"/>
        </w:rPr>
        <w:t xml:space="preserve"> </w:t>
      </w:r>
      <w:r>
        <w:t>este</w:t>
      </w:r>
      <w:r>
        <w:rPr>
          <w:spacing w:val="-1"/>
        </w:rPr>
        <w:t xml:space="preserve"> </w:t>
      </w:r>
      <w:r>
        <w:t>sentido, la adjudicación ha tratado</w:t>
      </w:r>
      <w:r>
        <w:rPr>
          <w:spacing w:val="-1"/>
        </w:rPr>
        <w:t xml:space="preserve"> </w:t>
      </w:r>
      <w:r>
        <w:t>a los grupos</w:t>
      </w:r>
      <w:r>
        <w:rPr>
          <w:spacing w:val="-1"/>
        </w:rPr>
        <w:t xml:space="preserve"> </w:t>
      </w:r>
      <w:r>
        <w:t>religiosos</w:t>
      </w:r>
      <w:r>
        <w:rPr>
          <w:spacing w:val="-1"/>
        </w:rPr>
        <w:t xml:space="preserve"> </w:t>
      </w:r>
      <w:r>
        <w:t>hasta</w:t>
      </w:r>
      <w:r>
        <w:rPr>
          <w:spacing w:val="-1"/>
        </w:rPr>
        <w:t xml:space="preserve"> </w:t>
      </w:r>
      <w:r>
        <w:t>cierto</w:t>
      </w:r>
      <w:r>
        <w:rPr>
          <w:spacing w:val="-1"/>
        </w:rPr>
        <w:t xml:space="preserve"> </w:t>
      </w:r>
      <w:r>
        <w:t>punto</w:t>
      </w:r>
      <w:r>
        <w:rPr>
          <w:spacing w:val="-1"/>
        </w:rPr>
        <w:t xml:space="preserve"> </w:t>
      </w:r>
      <w:r>
        <w:t>de manera diferente</w:t>
      </w:r>
      <w:r>
        <w:rPr>
          <w:spacing w:val="-1"/>
        </w:rPr>
        <w:t xml:space="preserve"> </w:t>
      </w:r>
      <w:r>
        <w:t>que a los grupos</w:t>
      </w:r>
      <w:r>
        <w:rPr>
          <w:spacing w:val="-1"/>
        </w:rPr>
        <w:t xml:space="preserve"> </w:t>
      </w:r>
      <w:r>
        <w:t>étnicos. En los casos relacionados con comunidades religiosas, la víctima puede ser tanto un miembro individual de la comunidad como la comunidad per se. En los casos relacionados con la discriminación contra minorías étnicas, es poco probable que el grupo per se sea considerado víctima, a menos que el caso se refiera a daños muy extremos, como el genocidio.</w:t>
      </w:r>
    </w:p>
    <w:p w14:paraId="40AA663C" w14:textId="77777777" w:rsidR="0014798C" w:rsidRDefault="0014798C">
      <w:pPr>
        <w:pStyle w:val="Textoindependiente"/>
        <w:spacing w:before="96"/>
        <w:rPr>
          <w:sz w:val="22"/>
        </w:rPr>
      </w:pPr>
    </w:p>
    <w:p w14:paraId="6420F3DF" w14:textId="77777777" w:rsidR="0014798C" w:rsidRDefault="004E1F0B">
      <w:pPr>
        <w:numPr>
          <w:ilvl w:val="1"/>
          <w:numId w:val="25"/>
        </w:numPr>
        <w:tabs>
          <w:tab w:val="left" w:pos="1387"/>
          <w:tab w:val="left" w:pos="1515"/>
        </w:tabs>
        <w:spacing w:line="304" w:lineRule="auto"/>
        <w:ind w:right="2684" w:hanging="396"/>
        <w:rPr>
          <w:color w:val="803108"/>
        </w:rPr>
      </w:pPr>
      <w:r>
        <w:rPr>
          <w:color w:val="803108"/>
        </w:rPr>
        <w:t>Discriminación por motivos</w:t>
      </w:r>
      <w:r>
        <w:rPr>
          <w:color w:val="803108"/>
          <w:spacing w:val="-1"/>
        </w:rPr>
        <w:t xml:space="preserve"> </w:t>
      </w:r>
      <w:r>
        <w:rPr>
          <w:color w:val="803108"/>
        </w:rPr>
        <w:t>de religión o creencias en otros</w:t>
      </w:r>
      <w:r>
        <w:rPr>
          <w:color w:val="803108"/>
          <w:spacing w:val="-1"/>
        </w:rPr>
        <w:t xml:space="preserve"> </w:t>
      </w:r>
      <w:r>
        <w:rPr>
          <w:color w:val="803108"/>
        </w:rPr>
        <w:t>ámbitos</w:t>
      </w:r>
      <w:r>
        <w:rPr>
          <w:color w:val="803108"/>
          <w:spacing w:val="-1"/>
        </w:rPr>
        <w:t xml:space="preserve"> </w:t>
      </w:r>
      <w:r>
        <w:rPr>
          <w:color w:val="803108"/>
        </w:rPr>
        <w:t xml:space="preserve">de la vida </w:t>
      </w:r>
      <w:proofErr w:type="spellStart"/>
      <w:r>
        <w:rPr>
          <w:color w:val="803108"/>
          <w:spacing w:val="-4"/>
        </w:rPr>
        <w:t>vida</w:t>
      </w:r>
      <w:proofErr w:type="spellEnd"/>
    </w:p>
    <w:p w14:paraId="5F389750" w14:textId="77777777" w:rsidR="0014798C" w:rsidRDefault="0014798C">
      <w:pPr>
        <w:pStyle w:val="Textoindependiente"/>
        <w:spacing w:before="75"/>
      </w:pPr>
    </w:p>
    <w:p w14:paraId="1911C815" w14:textId="77777777" w:rsidR="0014798C" w:rsidRDefault="004E1F0B">
      <w:pPr>
        <w:pStyle w:val="Textoindependiente"/>
        <w:spacing w:line="326" w:lineRule="auto"/>
        <w:ind w:left="1109" w:right="1201" w:hanging="3"/>
      </w:pPr>
      <w:r>
        <w:t>Todas las formas de discriminación (incluida la discriminación directa e indirecta) por motivos de religión o creencias en ámbitos como la educación, el empleo, la vivienda, la atención</w:t>
      </w:r>
      <w:r>
        <w:rPr>
          <w:spacing w:val="-1"/>
        </w:rPr>
        <w:t xml:space="preserve"> </w:t>
      </w:r>
      <w:r>
        <w:t>sanitaria</w:t>
      </w:r>
      <w:r>
        <w:rPr>
          <w:spacing w:val="-1"/>
        </w:rPr>
        <w:t xml:space="preserve"> </w:t>
      </w:r>
      <w:r>
        <w:t>o en la realización de otros</w:t>
      </w:r>
      <w:r>
        <w:rPr>
          <w:spacing w:val="-1"/>
        </w:rPr>
        <w:t xml:space="preserve"> </w:t>
      </w:r>
      <w:r>
        <w:t>derechos</w:t>
      </w:r>
      <w:r>
        <w:rPr>
          <w:spacing w:val="-1"/>
        </w:rPr>
        <w:t xml:space="preserve"> </w:t>
      </w:r>
      <w:r>
        <w:t>civiles, culturales, económicos, políticos o sociales están prohibidas en virtud de la ley. ley internacional. Muchos casos de discriminación directa por motivos de religión o creencias no plantean cuestiones jurídicas particulares fuera de las normas estándar que prohíben la discriminación detalladas anteriormente y, por lo tanto, no se analizan aquí. Más bien, en la subsección actual se centra la atención en determinadas cuestiones que surgen específicamente al considerar la discriminación por motivos de religión o creencias, entre</w:t>
      </w:r>
      <w:r>
        <w:rPr>
          <w:spacing w:val="80"/>
        </w:rPr>
        <w:t xml:space="preserve"> </w:t>
      </w:r>
      <w:r>
        <w:t>ellas: (a) la medida en que la ropa y otras expresiones físicas de la religión o las creencias pueden constituir motivos legítimos</w:t>
      </w:r>
    </w:p>
    <w:p w14:paraId="5A35964F" w14:textId="77777777" w:rsidR="0014798C" w:rsidRDefault="004E1F0B">
      <w:pPr>
        <w:pStyle w:val="Textoindependiente"/>
        <w:spacing w:line="181" w:lineRule="exact"/>
        <w:ind w:left="1109"/>
      </w:pPr>
      <w:r>
        <w:t>para</w:t>
      </w:r>
      <w:r>
        <w:rPr>
          <w:spacing w:val="-10"/>
        </w:rPr>
        <w:t xml:space="preserve"> </w:t>
      </w:r>
      <w:r>
        <w:t>trato</w:t>
      </w:r>
      <w:r>
        <w:rPr>
          <w:spacing w:val="-11"/>
        </w:rPr>
        <w:t xml:space="preserve"> </w:t>
      </w:r>
      <w:r>
        <w:t>diferente;</w:t>
      </w:r>
      <w:r>
        <w:rPr>
          <w:spacing w:val="-9"/>
        </w:rPr>
        <w:t xml:space="preserve"> </w:t>
      </w:r>
      <w:r>
        <w:t>(b)</w:t>
      </w:r>
      <w:r>
        <w:rPr>
          <w:spacing w:val="-10"/>
        </w:rPr>
        <w:t xml:space="preserve"> </w:t>
      </w:r>
      <w:r>
        <w:t>los</w:t>
      </w:r>
      <w:r>
        <w:rPr>
          <w:spacing w:val="-10"/>
        </w:rPr>
        <w:t xml:space="preserve"> </w:t>
      </w:r>
      <w:r>
        <w:t>límites</w:t>
      </w:r>
      <w:r>
        <w:rPr>
          <w:spacing w:val="-10"/>
        </w:rPr>
        <w:t xml:space="preserve"> </w:t>
      </w:r>
      <w:r>
        <w:t>a</w:t>
      </w:r>
      <w:r>
        <w:rPr>
          <w:spacing w:val="-10"/>
        </w:rPr>
        <w:t xml:space="preserve"> </w:t>
      </w:r>
      <w:r>
        <w:t>los</w:t>
      </w:r>
      <w:r>
        <w:rPr>
          <w:spacing w:val="-10"/>
        </w:rPr>
        <w:t xml:space="preserve"> </w:t>
      </w:r>
      <w:r>
        <w:t>que</w:t>
      </w:r>
      <w:r>
        <w:rPr>
          <w:spacing w:val="-9"/>
        </w:rPr>
        <w:t xml:space="preserve"> </w:t>
      </w:r>
      <w:r>
        <w:t>se</w:t>
      </w:r>
      <w:r>
        <w:rPr>
          <w:spacing w:val="-10"/>
        </w:rPr>
        <w:t xml:space="preserve"> </w:t>
      </w:r>
      <w:r>
        <w:t>permiten</w:t>
      </w:r>
      <w:r>
        <w:rPr>
          <w:spacing w:val="-11"/>
        </w:rPr>
        <w:t xml:space="preserve"> </w:t>
      </w:r>
      <w:r>
        <w:t>comunidades</w:t>
      </w:r>
      <w:r>
        <w:rPr>
          <w:spacing w:val="-10"/>
        </w:rPr>
        <w:t xml:space="preserve"> </w:t>
      </w:r>
      <w:r>
        <w:t>religiosas</w:t>
      </w:r>
      <w:r>
        <w:rPr>
          <w:spacing w:val="-10"/>
        </w:rPr>
        <w:t xml:space="preserve"> </w:t>
      </w:r>
      <w:r>
        <w:t>o</w:t>
      </w:r>
      <w:r>
        <w:rPr>
          <w:spacing w:val="-10"/>
        </w:rPr>
        <w:t xml:space="preserve"> </w:t>
      </w:r>
      <w:r>
        <w:t>de</w:t>
      </w:r>
      <w:r>
        <w:rPr>
          <w:spacing w:val="-10"/>
        </w:rPr>
        <w:t xml:space="preserve"> </w:t>
      </w:r>
      <w:r>
        <w:rPr>
          <w:spacing w:val="-2"/>
        </w:rPr>
        <w:t>creencias</w:t>
      </w:r>
    </w:p>
    <w:p w14:paraId="54D435E1" w14:textId="77777777" w:rsidR="0014798C" w:rsidRDefault="0014798C">
      <w:pPr>
        <w:pStyle w:val="Textoindependiente"/>
        <w:rPr>
          <w:sz w:val="20"/>
        </w:rPr>
      </w:pPr>
    </w:p>
    <w:p w14:paraId="6C23E921" w14:textId="77777777" w:rsidR="0014798C" w:rsidRDefault="0014798C">
      <w:pPr>
        <w:pStyle w:val="Textoindependiente"/>
        <w:spacing w:before="16"/>
        <w:rPr>
          <w:sz w:val="20"/>
        </w:rPr>
      </w:pPr>
    </w:p>
    <w:p w14:paraId="38B38283" w14:textId="77777777" w:rsidR="0014798C" w:rsidRDefault="0014798C">
      <w:pPr>
        <w:rPr>
          <w:sz w:val="20"/>
        </w:rPr>
        <w:sectPr w:rsidR="0014798C" w:rsidSect="00F265E4">
          <w:pgSz w:w="11900" w:h="16820"/>
          <w:pgMar w:top="340" w:right="0" w:bottom="280" w:left="200" w:header="121" w:footer="0" w:gutter="0"/>
          <w:cols w:space="720"/>
        </w:sectPr>
      </w:pPr>
    </w:p>
    <w:p w14:paraId="59A2A83E" w14:textId="77777777" w:rsidR="0014798C" w:rsidRDefault="0014798C">
      <w:pPr>
        <w:pStyle w:val="Textoindependiente"/>
        <w:spacing w:before="10"/>
        <w:rPr>
          <w:sz w:val="8"/>
        </w:rPr>
      </w:pPr>
    </w:p>
    <w:p w14:paraId="501D2565" w14:textId="77777777" w:rsidR="0014798C" w:rsidRDefault="004E1F0B">
      <w:pPr>
        <w:jc w:val="right"/>
        <w:rPr>
          <w:sz w:val="8"/>
        </w:rPr>
      </w:pPr>
      <w:r>
        <w:rPr>
          <w:spacing w:val="-5"/>
          <w:w w:val="105"/>
          <w:sz w:val="8"/>
        </w:rPr>
        <w:t>986</w:t>
      </w:r>
    </w:p>
    <w:p w14:paraId="0930697D" w14:textId="77777777" w:rsidR="0014798C" w:rsidRDefault="0014798C">
      <w:pPr>
        <w:pStyle w:val="Textoindependiente"/>
        <w:rPr>
          <w:sz w:val="8"/>
        </w:rPr>
      </w:pPr>
    </w:p>
    <w:p w14:paraId="214B9310" w14:textId="77777777" w:rsidR="0014798C" w:rsidRDefault="0014798C">
      <w:pPr>
        <w:pStyle w:val="Textoindependiente"/>
        <w:rPr>
          <w:sz w:val="8"/>
        </w:rPr>
      </w:pPr>
    </w:p>
    <w:p w14:paraId="6B559E8F" w14:textId="77777777" w:rsidR="0014798C" w:rsidRDefault="0014798C">
      <w:pPr>
        <w:pStyle w:val="Textoindependiente"/>
        <w:spacing w:before="48"/>
        <w:rPr>
          <w:sz w:val="8"/>
        </w:rPr>
      </w:pPr>
    </w:p>
    <w:p w14:paraId="4EB0B44E" w14:textId="77777777" w:rsidR="0014798C" w:rsidRDefault="004E1F0B">
      <w:pPr>
        <w:jc w:val="right"/>
        <w:rPr>
          <w:sz w:val="8"/>
        </w:rPr>
      </w:pPr>
      <w:r>
        <w:rPr>
          <w:spacing w:val="-5"/>
          <w:w w:val="105"/>
          <w:sz w:val="8"/>
        </w:rPr>
        <w:t>987</w:t>
      </w:r>
    </w:p>
    <w:p w14:paraId="6C0204F3" w14:textId="77777777" w:rsidR="0014798C" w:rsidRDefault="0014798C">
      <w:pPr>
        <w:pStyle w:val="Textoindependiente"/>
        <w:rPr>
          <w:sz w:val="8"/>
        </w:rPr>
      </w:pPr>
    </w:p>
    <w:p w14:paraId="2484DEB5" w14:textId="77777777" w:rsidR="0014798C" w:rsidRDefault="0014798C">
      <w:pPr>
        <w:pStyle w:val="Textoindependiente"/>
        <w:rPr>
          <w:sz w:val="8"/>
        </w:rPr>
      </w:pPr>
    </w:p>
    <w:p w14:paraId="1860861F" w14:textId="77777777" w:rsidR="0014798C" w:rsidRDefault="0014798C">
      <w:pPr>
        <w:pStyle w:val="Textoindependiente"/>
        <w:spacing w:before="48"/>
        <w:rPr>
          <w:sz w:val="8"/>
        </w:rPr>
      </w:pPr>
    </w:p>
    <w:p w14:paraId="4A0607DC" w14:textId="77777777" w:rsidR="0014798C" w:rsidRDefault="004E1F0B">
      <w:pPr>
        <w:jc w:val="right"/>
        <w:rPr>
          <w:sz w:val="8"/>
        </w:rPr>
      </w:pPr>
      <w:r>
        <w:rPr>
          <w:spacing w:val="-5"/>
          <w:w w:val="105"/>
          <w:sz w:val="8"/>
        </w:rPr>
        <w:t>988</w:t>
      </w:r>
    </w:p>
    <w:p w14:paraId="64687064" w14:textId="77777777" w:rsidR="0014798C" w:rsidRDefault="0014798C">
      <w:pPr>
        <w:pStyle w:val="Textoindependiente"/>
        <w:rPr>
          <w:sz w:val="8"/>
        </w:rPr>
      </w:pPr>
    </w:p>
    <w:p w14:paraId="15AC94A2" w14:textId="77777777" w:rsidR="0014798C" w:rsidRDefault="0014798C">
      <w:pPr>
        <w:pStyle w:val="Textoindependiente"/>
        <w:rPr>
          <w:sz w:val="8"/>
        </w:rPr>
      </w:pPr>
    </w:p>
    <w:p w14:paraId="18CEB856" w14:textId="77777777" w:rsidR="0014798C" w:rsidRDefault="0014798C">
      <w:pPr>
        <w:pStyle w:val="Textoindependiente"/>
        <w:rPr>
          <w:sz w:val="8"/>
        </w:rPr>
      </w:pPr>
    </w:p>
    <w:p w14:paraId="4D827888" w14:textId="77777777" w:rsidR="0014798C" w:rsidRDefault="0014798C">
      <w:pPr>
        <w:pStyle w:val="Textoindependiente"/>
        <w:rPr>
          <w:sz w:val="8"/>
        </w:rPr>
      </w:pPr>
    </w:p>
    <w:p w14:paraId="2156E993" w14:textId="77777777" w:rsidR="0014798C" w:rsidRDefault="0014798C">
      <w:pPr>
        <w:pStyle w:val="Textoindependiente"/>
        <w:rPr>
          <w:sz w:val="8"/>
        </w:rPr>
      </w:pPr>
    </w:p>
    <w:p w14:paraId="1E4B8306" w14:textId="77777777" w:rsidR="0014798C" w:rsidRDefault="0014798C">
      <w:pPr>
        <w:pStyle w:val="Textoindependiente"/>
        <w:rPr>
          <w:sz w:val="8"/>
        </w:rPr>
      </w:pPr>
    </w:p>
    <w:p w14:paraId="51EE2FC1" w14:textId="77777777" w:rsidR="0014798C" w:rsidRDefault="0014798C">
      <w:pPr>
        <w:pStyle w:val="Textoindependiente"/>
        <w:spacing w:before="40"/>
        <w:rPr>
          <w:sz w:val="8"/>
        </w:rPr>
      </w:pPr>
    </w:p>
    <w:p w14:paraId="39AAF041" w14:textId="77777777" w:rsidR="0014798C" w:rsidRDefault="004E1F0B">
      <w:pPr>
        <w:jc w:val="right"/>
        <w:rPr>
          <w:sz w:val="8"/>
        </w:rPr>
      </w:pPr>
      <w:r>
        <w:rPr>
          <w:spacing w:val="-5"/>
          <w:w w:val="105"/>
          <w:sz w:val="8"/>
        </w:rPr>
        <w:t>989</w:t>
      </w:r>
    </w:p>
    <w:p w14:paraId="6DCFD217" w14:textId="77777777" w:rsidR="0014798C" w:rsidRDefault="0014798C">
      <w:pPr>
        <w:pStyle w:val="Textoindependiente"/>
        <w:rPr>
          <w:sz w:val="8"/>
        </w:rPr>
      </w:pPr>
    </w:p>
    <w:p w14:paraId="58BBAC72" w14:textId="77777777" w:rsidR="0014798C" w:rsidRDefault="0014798C">
      <w:pPr>
        <w:pStyle w:val="Textoindependiente"/>
        <w:rPr>
          <w:sz w:val="8"/>
        </w:rPr>
      </w:pPr>
    </w:p>
    <w:p w14:paraId="32D3876D" w14:textId="77777777" w:rsidR="0014798C" w:rsidRDefault="0014798C">
      <w:pPr>
        <w:pStyle w:val="Textoindependiente"/>
        <w:spacing w:before="48"/>
        <w:rPr>
          <w:sz w:val="8"/>
        </w:rPr>
      </w:pPr>
    </w:p>
    <w:p w14:paraId="77FF3DA8" w14:textId="77777777" w:rsidR="0014798C" w:rsidRDefault="004E1F0B">
      <w:pPr>
        <w:spacing w:before="1"/>
        <w:jc w:val="right"/>
        <w:rPr>
          <w:sz w:val="8"/>
        </w:rPr>
      </w:pPr>
      <w:r>
        <w:rPr>
          <w:spacing w:val="-5"/>
          <w:w w:val="105"/>
          <w:sz w:val="8"/>
        </w:rPr>
        <w:t>990</w:t>
      </w:r>
    </w:p>
    <w:p w14:paraId="15ED46CD" w14:textId="77777777" w:rsidR="0014798C" w:rsidRDefault="0014798C">
      <w:pPr>
        <w:pStyle w:val="Textoindependiente"/>
        <w:rPr>
          <w:sz w:val="8"/>
        </w:rPr>
      </w:pPr>
    </w:p>
    <w:p w14:paraId="4AC1E82F" w14:textId="77777777" w:rsidR="0014798C" w:rsidRDefault="0014798C">
      <w:pPr>
        <w:pStyle w:val="Textoindependiente"/>
        <w:rPr>
          <w:sz w:val="8"/>
        </w:rPr>
      </w:pPr>
    </w:p>
    <w:p w14:paraId="0BF53861" w14:textId="77777777" w:rsidR="0014798C" w:rsidRDefault="0014798C">
      <w:pPr>
        <w:pStyle w:val="Textoindependiente"/>
        <w:rPr>
          <w:sz w:val="8"/>
        </w:rPr>
      </w:pPr>
    </w:p>
    <w:p w14:paraId="5980AAE4" w14:textId="77777777" w:rsidR="0014798C" w:rsidRDefault="0014798C">
      <w:pPr>
        <w:pStyle w:val="Textoindependiente"/>
        <w:rPr>
          <w:sz w:val="8"/>
        </w:rPr>
      </w:pPr>
    </w:p>
    <w:p w14:paraId="3828DBDF" w14:textId="77777777" w:rsidR="0014798C" w:rsidRDefault="0014798C">
      <w:pPr>
        <w:pStyle w:val="Textoindependiente"/>
        <w:spacing w:before="44"/>
        <w:rPr>
          <w:sz w:val="8"/>
        </w:rPr>
      </w:pPr>
    </w:p>
    <w:p w14:paraId="1287DB32" w14:textId="77777777" w:rsidR="0014798C" w:rsidRDefault="004E1F0B">
      <w:pPr>
        <w:jc w:val="right"/>
        <w:rPr>
          <w:sz w:val="8"/>
        </w:rPr>
      </w:pPr>
      <w:r>
        <w:rPr>
          <w:spacing w:val="-5"/>
          <w:w w:val="105"/>
          <w:sz w:val="8"/>
        </w:rPr>
        <w:t>991</w:t>
      </w:r>
    </w:p>
    <w:p w14:paraId="00F0D733" w14:textId="77777777" w:rsidR="0014798C" w:rsidRDefault="0014798C">
      <w:pPr>
        <w:pStyle w:val="Textoindependiente"/>
        <w:rPr>
          <w:sz w:val="8"/>
        </w:rPr>
      </w:pPr>
    </w:p>
    <w:p w14:paraId="327C5E53" w14:textId="77777777" w:rsidR="0014798C" w:rsidRDefault="0014798C">
      <w:pPr>
        <w:pStyle w:val="Textoindependiente"/>
        <w:rPr>
          <w:sz w:val="8"/>
        </w:rPr>
      </w:pPr>
    </w:p>
    <w:p w14:paraId="683B62BA" w14:textId="77777777" w:rsidR="0014798C" w:rsidRDefault="0014798C">
      <w:pPr>
        <w:pStyle w:val="Textoindependiente"/>
        <w:rPr>
          <w:sz w:val="8"/>
        </w:rPr>
      </w:pPr>
    </w:p>
    <w:p w14:paraId="49477756" w14:textId="77777777" w:rsidR="0014798C" w:rsidRDefault="0014798C">
      <w:pPr>
        <w:pStyle w:val="Textoindependiente"/>
        <w:rPr>
          <w:sz w:val="8"/>
        </w:rPr>
      </w:pPr>
    </w:p>
    <w:p w14:paraId="55BA06D7" w14:textId="77777777" w:rsidR="0014798C" w:rsidRDefault="0014798C">
      <w:pPr>
        <w:pStyle w:val="Textoindependiente"/>
        <w:spacing w:before="44"/>
        <w:rPr>
          <w:sz w:val="8"/>
        </w:rPr>
      </w:pPr>
    </w:p>
    <w:p w14:paraId="5CA555D2" w14:textId="77777777" w:rsidR="0014798C" w:rsidRDefault="004E1F0B">
      <w:pPr>
        <w:jc w:val="right"/>
        <w:rPr>
          <w:sz w:val="8"/>
        </w:rPr>
      </w:pPr>
      <w:r>
        <w:rPr>
          <w:spacing w:val="-5"/>
          <w:w w:val="105"/>
          <w:sz w:val="8"/>
        </w:rPr>
        <w:t>992</w:t>
      </w:r>
    </w:p>
    <w:p w14:paraId="4DDA52D2" w14:textId="77777777" w:rsidR="0014798C" w:rsidRDefault="0014798C">
      <w:pPr>
        <w:pStyle w:val="Textoindependiente"/>
        <w:rPr>
          <w:sz w:val="8"/>
        </w:rPr>
      </w:pPr>
    </w:p>
    <w:p w14:paraId="4BA833F4" w14:textId="77777777" w:rsidR="0014798C" w:rsidRDefault="0014798C">
      <w:pPr>
        <w:pStyle w:val="Textoindependiente"/>
        <w:rPr>
          <w:sz w:val="8"/>
        </w:rPr>
      </w:pPr>
    </w:p>
    <w:p w14:paraId="0EDE068A" w14:textId="77777777" w:rsidR="0014798C" w:rsidRDefault="0014798C">
      <w:pPr>
        <w:pStyle w:val="Textoindependiente"/>
        <w:spacing w:before="48"/>
        <w:rPr>
          <w:sz w:val="8"/>
        </w:rPr>
      </w:pPr>
    </w:p>
    <w:p w14:paraId="76AD8903" w14:textId="77777777" w:rsidR="0014798C" w:rsidRDefault="004E1F0B">
      <w:pPr>
        <w:jc w:val="right"/>
        <w:rPr>
          <w:sz w:val="8"/>
        </w:rPr>
      </w:pPr>
      <w:r>
        <w:rPr>
          <w:spacing w:val="-5"/>
          <w:w w:val="105"/>
          <w:sz w:val="8"/>
        </w:rPr>
        <w:t>993</w:t>
      </w:r>
    </w:p>
    <w:p w14:paraId="7A6E30B9" w14:textId="77777777" w:rsidR="0014798C" w:rsidRDefault="004E1F0B">
      <w:pPr>
        <w:spacing w:before="109" w:line="288" w:lineRule="auto"/>
        <w:ind w:left="70" w:right="1896" w:firstLine="11"/>
        <w:rPr>
          <w:sz w:val="13"/>
        </w:rPr>
      </w:pPr>
      <w:r>
        <w:br w:type="column"/>
      </w:r>
      <w:r>
        <w:rPr>
          <w:sz w:val="13"/>
        </w:rPr>
        <w:t>Véase, por ejemplo, Tribunal Europeo de Derechos Humanos, Testigos de Jehová de Moscú y otros c. Rusia, demanda núm. 302/02, sentencia</w:t>
      </w:r>
      <w:r>
        <w:rPr>
          <w:spacing w:val="80"/>
          <w:sz w:val="13"/>
        </w:rPr>
        <w:t xml:space="preserve"> </w:t>
      </w:r>
      <w:r>
        <w:rPr>
          <w:sz w:val="13"/>
        </w:rPr>
        <w:t>de 10 de junio de 2010.</w:t>
      </w:r>
    </w:p>
    <w:p w14:paraId="70501421" w14:textId="77777777" w:rsidR="0014798C" w:rsidRDefault="004E1F0B">
      <w:pPr>
        <w:spacing w:before="58" w:line="288" w:lineRule="auto"/>
        <w:ind w:left="70" w:right="1623" w:firstLine="9"/>
        <w:rPr>
          <w:sz w:val="13"/>
        </w:rPr>
      </w:pPr>
      <w:r>
        <w:rPr>
          <w:sz w:val="13"/>
        </w:rPr>
        <w:t xml:space="preserve">Tribunal Europeo de Derechos Humanos, Magyar </w:t>
      </w:r>
      <w:proofErr w:type="spellStart"/>
      <w:r>
        <w:rPr>
          <w:sz w:val="13"/>
        </w:rPr>
        <w:t>Keresztény</w:t>
      </w:r>
      <w:proofErr w:type="spellEnd"/>
      <w:r>
        <w:rPr>
          <w:sz w:val="13"/>
        </w:rPr>
        <w:t xml:space="preserve"> </w:t>
      </w:r>
      <w:proofErr w:type="spellStart"/>
      <w:r>
        <w:rPr>
          <w:sz w:val="13"/>
        </w:rPr>
        <w:t>Mennonita</w:t>
      </w:r>
      <w:proofErr w:type="spellEnd"/>
      <w:r>
        <w:rPr>
          <w:sz w:val="13"/>
        </w:rPr>
        <w:t xml:space="preserve"> </w:t>
      </w:r>
      <w:proofErr w:type="spellStart"/>
      <w:r>
        <w:rPr>
          <w:sz w:val="13"/>
        </w:rPr>
        <w:t>Egyház</w:t>
      </w:r>
      <w:proofErr w:type="spellEnd"/>
      <w:r>
        <w:rPr>
          <w:sz w:val="13"/>
        </w:rPr>
        <w:t xml:space="preserve"> y otros c. Hungría, demanda </w:t>
      </w:r>
      <w:proofErr w:type="spellStart"/>
      <w:r>
        <w:rPr>
          <w:sz w:val="13"/>
        </w:rPr>
        <w:t>n.°</w:t>
      </w:r>
      <w:proofErr w:type="spellEnd"/>
      <w:r>
        <w:rPr>
          <w:sz w:val="13"/>
        </w:rPr>
        <w:t xml:space="preserve"> 70945/11 y otros, sentencia de 8 de</w:t>
      </w:r>
      <w:r>
        <w:rPr>
          <w:spacing w:val="40"/>
          <w:sz w:val="13"/>
        </w:rPr>
        <w:t xml:space="preserve"> </w:t>
      </w:r>
      <w:r>
        <w:rPr>
          <w:sz w:val="13"/>
        </w:rPr>
        <w:t>abril de 2014.</w:t>
      </w:r>
    </w:p>
    <w:p w14:paraId="4B21179F" w14:textId="77777777" w:rsidR="0014798C" w:rsidRDefault="004E1F0B">
      <w:pPr>
        <w:spacing w:before="57" w:line="288" w:lineRule="auto"/>
        <w:ind w:left="76" w:right="1467" w:firstLine="2"/>
        <w:rPr>
          <w:sz w:val="13"/>
        </w:rPr>
      </w:pPr>
      <w:r>
        <w:rPr>
          <w:sz w:val="13"/>
        </w:rPr>
        <w:t>Tribunal</w:t>
      </w:r>
      <w:r>
        <w:rPr>
          <w:spacing w:val="8"/>
          <w:sz w:val="13"/>
        </w:rPr>
        <w:t xml:space="preserve"> </w:t>
      </w:r>
      <w:r>
        <w:rPr>
          <w:sz w:val="13"/>
        </w:rPr>
        <w:t>Europeo</w:t>
      </w:r>
      <w:r>
        <w:rPr>
          <w:spacing w:val="8"/>
          <w:sz w:val="13"/>
        </w:rPr>
        <w:t xml:space="preserve"> </w:t>
      </w:r>
      <w:r>
        <w:rPr>
          <w:sz w:val="13"/>
        </w:rPr>
        <w:t>de</w:t>
      </w:r>
      <w:r>
        <w:rPr>
          <w:spacing w:val="8"/>
          <w:sz w:val="13"/>
        </w:rPr>
        <w:t xml:space="preserve"> </w:t>
      </w:r>
      <w:r>
        <w:rPr>
          <w:sz w:val="13"/>
        </w:rPr>
        <w:t>Derechos</w:t>
      </w:r>
      <w:r>
        <w:rPr>
          <w:spacing w:val="8"/>
          <w:sz w:val="13"/>
        </w:rPr>
        <w:t xml:space="preserve"> </w:t>
      </w:r>
      <w:r>
        <w:rPr>
          <w:sz w:val="13"/>
        </w:rPr>
        <w:t>Humanos,</w:t>
      </w:r>
      <w:r>
        <w:rPr>
          <w:spacing w:val="9"/>
          <w:sz w:val="13"/>
        </w:rPr>
        <w:t xml:space="preserve"> </w:t>
      </w:r>
      <w:r>
        <w:rPr>
          <w:sz w:val="13"/>
        </w:rPr>
        <w:t>Guía</w:t>
      </w:r>
      <w:r>
        <w:rPr>
          <w:spacing w:val="8"/>
          <w:sz w:val="13"/>
        </w:rPr>
        <w:t xml:space="preserve"> </w:t>
      </w:r>
      <w:r>
        <w:rPr>
          <w:sz w:val="13"/>
        </w:rPr>
        <w:t>sobre</w:t>
      </w:r>
      <w:r>
        <w:rPr>
          <w:spacing w:val="8"/>
          <w:sz w:val="13"/>
        </w:rPr>
        <w:t xml:space="preserve"> </w:t>
      </w:r>
      <w:r>
        <w:rPr>
          <w:sz w:val="13"/>
        </w:rPr>
        <w:t>el</w:t>
      </w:r>
      <w:r>
        <w:rPr>
          <w:spacing w:val="8"/>
          <w:sz w:val="13"/>
        </w:rPr>
        <w:t xml:space="preserve"> </w:t>
      </w:r>
      <w:r>
        <w:rPr>
          <w:sz w:val="13"/>
        </w:rPr>
        <w:t>artículo</w:t>
      </w:r>
      <w:r>
        <w:rPr>
          <w:spacing w:val="8"/>
          <w:sz w:val="13"/>
        </w:rPr>
        <w:t xml:space="preserve"> </w:t>
      </w:r>
      <w:r>
        <w:rPr>
          <w:sz w:val="13"/>
        </w:rPr>
        <w:t>9</w:t>
      </w:r>
      <w:r>
        <w:rPr>
          <w:spacing w:val="8"/>
          <w:sz w:val="13"/>
        </w:rPr>
        <w:t xml:space="preserve"> </w:t>
      </w:r>
      <w:r>
        <w:rPr>
          <w:sz w:val="13"/>
        </w:rPr>
        <w:t>del</w:t>
      </w:r>
      <w:r>
        <w:rPr>
          <w:spacing w:val="8"/>
          <w:sz w:val="13"/>
        </w:rPr>
        <w:t xml:space="preserve"> </w:t>
      </w:r>
      <w:r>
        <w:rPr>
          <w:sz w:val="13"/>
        </w:rPr>
        <w:t>Convenio</w:t>
      </w:r>
      <w:r>
        <w:rPr>
          <w:spacing w:val="8"/>
          <w:sz w:val="13"/>
        </w:rPr>
        <w:t xml:space="preserve"> </w:t>
      </w:r>
      <w:r>
        <w:rPr>
          <w:sz w:val="13"/>
        </w:rPr>
        <w:t>Europeo</w:t>
      </w:r>
      <w:r>
        <w:rPr>
          <w:spacing w:val="8"/>
          <w:sz w:val="13"/>
        </w:rPr>
        <w:t xml:space="preserve"> </w:t>
      </w:r>
      <w:r>
        <w:rPr>
          <w:sz w:val="13"/>
        </w:rPr>
        <w:t>de</w:t>
      </w:r>
      <w:r>
        <w:rPr>
          <w:spacing w:val="8"/>
          <w:sz w:val="13"/>
        </w:rPr>
        <w:t xml:space="preserve"> </w:t>
      </w:r>
      <w:r>
        <w:rPr>
          <w:sz w:val="13"/>
        </w:rPr>
        <w:t>Derechos</w:t>
      </w:r>
      <w:r>
        <w:rPr>
          <w:spacing w:val="8"/>
          <w:sz w:val="13"/>
        </w:rPr>
        <w:t xml:space="preserve"> </w:t>
      </w:r>
      <w:r>
        <w:rPr>
          <w:sz w:val="13"/>
        </w:rPr>
        <w:t>Humanos:</w:t>
      </w:r>
      <w:r>
        <w:rPr>
          <w:spacing w:val="9"/>
          <w:sz w:val="13"/>
        </w:rPr>
        <w:t xml:space="preserve"> </w:t>
      </w:r>
      <w:r>
        <w:rPr>
          <w:sz w:val="13"/>
        </w:rPr>
        <w:t>Libertad</w:t>
      </w:r>
      <w:r>
        <w:rPr>
          <w:spacing w:val="8"/>
          <w:sz w:val="13"/>
        </w:rPr>
        <w:t xml:space="preserve"> </w:t>
      </w:r>
      <w:r>
        <w:rPr>
          <w:sz w:val="13"/>
        </w:rPr>
        <w:t>de</w:t>
      </w:r>
      <w:r>
        <w:rPr>
          <w:spacing w:val="8"/>
          <w:sz w:val="13"/>
        </w:rPr>
        <w:t xml:space="preserve"> </w:t>
      </w:r>
      <w:r>
        <w:rPr>
          <w:sz w:val="13"/>
        </w:rPr>
        <w:t>pensamiento,</w:t>
      </w:r>
      <w:r>
        <w:rPr>
          <w:spacing w:val="9"/>
          <w:sz w:val="13"/>
        </w:rPr>
        <w:t xml:space="preserve"> </w:t>
      </w:r>
      <w:r>
        <w:rPr>
          <w:sz w:val="13"/>
        </w:rPr>
        <w:t>conciencia</w:t>
      </w:r>
      <w:r>
        <w:rPr>
          <w:spacing w:val="40"/>
          <w:sz w:val="13"/>
        </w:rPr>
        <w:t xml:space="preserve"> </w:t>
      </w:r>
      <w:r>
        <w:rPr>
          <w:sz w:val="13"/>
        </w:rPr>
        <w:t>y religión (Estrasburgo, 2021), párr. 163. Este principio está bien establecido en la jurisprudencia del Tribunal Europeo de Derechos Humanos;</w:t>
      </w:r>
    </w:p>
    <w:p w14:paraId="4F93FC50" w14:textId="77777777" w:rsidR="0014798C" w:rsidRDefault="004E1F0B">
      <w:pPr>
        <w:spacing w:before="1" w:line="288" w:lineRule="auto"/>
        <w:ind w:left="77" w:right="1354" w:firstLine="3"/>
        <w:rPr>
          <w:sz w:val="13"/>
        </w:rPr>
      </w:pPr>
      <w:r>
        <w:rPr>
          <w:sz w:val="13"/>
        </w:rPr>
        <w:t>véase, por ejemplo, Tribunal Europeo de Derechos Humanos, Iglesia Metropolitana de Besarabia y otros contra Moldova, solicitud núm. 45701/99,</w:t>
      </w:r>
      <w:r>
        <w:rPr>
          <w:spacing w:val="40"/>
          <w:sz w:val="13"/>
        </w:rPr>
        <w:t xml:space="preserve"> </w:t>
      </w:r>
      <w:r>
        <w:rPr>
          <w:sz w:val="13"/>
        </w:rPr>
        <w:t>sentencia de 13 de diciembre. 2001, párr. 105.</w:t>
      </w:r>
    </w:p>
    <w:p w14:paraId="7B4362D3" w14:textId="77777777" w:rsidR="0014798C" w:rsidRDefault="004E1F0B">
      <w:pPr>
        <w:spacing w:before="58" w:line="288" w:lineRule="auto"/>
        <w:ind w:left="76" w:right="1467" w:firstLine="2"/>
        <w:rPr>
          <w:sz w:val="13"/>
        </w:rPr>
      </w:pPr>
      <w:r>
        <w:rPr>
          <w:sz w:val="13"/>
        </w:rPr>
        <w:t>Tribunal</w:t>
      </w:r>
      <w:r>
        <w:rPr>
          <w:spacing w:val="8"/>
          <w:sz w:val="13"/>
        </w:rPr>
        <w:t xml:space="preserve"> </w:t>
      </w:r>
      <w:r>
        <w:rPr>
          <w:sz w:val="13"/>
        </w:rPr>
        <w:t>Europeo</w:t>
      </w:r>
      <w:r>
        <w:rPr>
          <w:spacing w:val="8"/>
          <w:sz w:val="13"/>
        </w:rPr>
        <w:t xml:space="preserve"> </w:t>
      </w:r>
      <w:r>
        <w:rPr>
          <w:sz w:val="13"/>
        </w:rPr>
        <w:t>de</w:t>
      </w:r>
      <w:r>
        <w:rPr>
          <w:spacing w:val="8"/>
          <w:sz w:val="13"/>
        </w:rPr>
        <w:t xml:space="preserve"> </w:t>
      </w:r>
      <w:r>
        <w:rPr>
          <w:sz w:val="13"/>
        </w:rPr>
        <w:t>Derechos</w:t>
      </w:r>
      <w:r>
        <w:rPr>
          <w:spacing w:val="8"/>
          <w:sz w:val="13"/>
        </w:rPr>
        <w:t xml:space="preserve"> </w:t>
      </w:r>
      <w:r>
        <w:rPr>
          <w:sz w:val="13"/>
        </w:rPr>
        <w:t>Humanos,</w:t>
      </w:r>
      <w:r>
        <w:rPr>
          <w:spacing w:val="9"/>
          <w:sz w:val="13"/>
        </w:rPr>
        <w:t xml:space="preserve"> </w:t>
      </w:r>
      <w:r>
        <w:rPr>
          <w:sz w:val="13"/>
        </w:rPr>
        <w:t>Guía</w:t>
      </w:r>
      <w:r>
        <w:rPr>
          <w:spacing w:val="8"/>
          <w:sz w:val="13"/>
        </w:rPr>
        <w:t xml:space="preserve"> </w:t>
      </w:r>
      <w:r>
        <w:rPr>
          <w:sz w:val="13"/>
        </w:rPr>
        <w:t>sobre</w:t>
      </w:r>
      <w:r>
        <w:rPr>
          <w:spacing w:val="8"/>
          <w:sz w:val="13"/>
        </w:rPr>
        <w:t xml:space="preserve"> </w:t>
      </w:r>
      <w:r>
        <w:rPr>
          <w:sz w:val="13"/>
        </w:rPr>
        <w:t>el</w:t>
      </w:r>
      <w:r>
        <w:rPr>
          <w:spacing w:val="8"/>
          <w:sz w:val="13"/>
        </w:rPr>
        <w:t xml:space="preserve"> </w:t>
      </w:r>
      <w:r>
        <w:rPr>
          <w:sz w:val="13"/>
        </w:rPr>
        <w:t>artículo</w:t>
      </w:r>
      <w:r>
        <w:rPr>
          <w:spacing w:val="8"/>
          <w:sz w:val="13"/>
        </w:rPr>
        <w:t xml:space="preserve"> </w:t>
      </w:r>
      <w:r>
        <w:rPr>
          <w:sz w:val="13"/>
        </w:rPr>
        <w:t>9</w:t>
      </w:r>
      <w:r>
        <w:rPr>
          <w:spacing w:val="8"/>
          <w:sz w:val="13"/>
        </w:rPr>
        <w:t xml:space="preserve"> </w:t>
      </w:r>
      <w:r>
        <w:rPr>
          <w:sz w:val="13"/>
        </w:rPr>
        <w:t>del</w:t>
      </w:r>
      <w:r>
        <w:rPr>
          <w:spacing w:val="8"/>
          <w:sz w:val="13"/>
        </w:rPr>
        <w:t xml:space="preserve"> </w:t>
      </w:r>
      <w:r>
        <w:rPr>
          <w:sz w:val="13"/>
        </w:rPr>
        <w:t>Convenio</w:t>
      </w:r>
      <w:r>
        <w:rPr>
          <w:spacing w:val="8"/>
          <w:sz w:val="13"/>
        </w:rPr>
        <w:t xml:space="preserve"> </w:t>
      </w:r>
      <w:r>
        <w:rPr>
          <w:sz w:val="13"/>
        </w:rPr>
        <w:t>Europeo</w:t>
      </w:r>
      <w:r>
        <w:rPr>
          <w:spacing w:val="8"/>
          <w:sz w:val="13"/>
        </w:rPr>
        <w:t xml:space="preserve"> </w:t>
      </w:r>
      <w:r>
        <w:rPr>
          <w:sz w:val="13"/>
        </w:rPr>
        <w:t>de</w:t>
      </w:r>
      <w:r>
        <w:rPr>
          <w:spacing w:val="8"/>
          <w:sz w:val="13"/>
        </w:rPr>
        <w:t xml:space="preserve"> </w:t>
      </w:r>
      <w:r>
        <w:rPr>
          <w:sz w:val="13"/>
        </w:rPr>
        <w:t>Derechos</w:t>
      </w:r>
      <w:r>
        <w:rPr>
          <w:spacing w:val="8"/>
          <w:sz w:val="13"/>
        </w:rPr>
        <w:t xml:space="preserve"> </w:t>
      </w:r>
      <w:r>
        <w:rPr>
          <w:sz w:val="13"/>
        </w:rPr>
        <w:t>Humanos:</w:t>
      </w:r>
      <w:r>
        <w:rPr>
          <w:spacing w:val="9"/>
          <w:sz w:val="13"/>
        </w:rPr>
        <w:t xml:space="preserve"> </w:t>
      </w:r>
      <w:r>
        <w:rPr>
          <w:sz w:val="13"/>
        </w:rPr>
        <w:t>Libertad</w:t>
      </w:r>
      <w:r>
        <w:rPr>
          <w:spacing w:val="8"/>
          <w:sz w:val="13"/>
        </w:rPr>
        <w:t xml:space="preserve"> </w:t>
      </w:r>
      <w:r>
        <w:rPr>
          <w:sz w:val="13"/>
        </w:rPr>
        <w:t>de</w:t>
      </w:r>
      <w:r>
        <w:rPr>
          <w:spacing w:val="8"/>
          <w:sz w:val="13"/>
        </w:rPr>
        <w:t xml:space="preserve"> </w:t>
      </w:r>
      <w:r>
        <w:rPr>
          <w:sz w:val="13"/>
        </w:rPr>
        <w:t>pensamiento,</w:t>
      </w:r>
      <w:r>
        <w:rPr>
          <w:spacing w:val="9"/>
          <w:sz w:val="13"/>
        </w:rPr>
        <w:t xml:space="preserve"> </w:t>
      </w:r>
      <w:r>
        <w:rPr>
          <w:sz w:val="13"/>
        </w:rPr>
        <w:t>conciencia</w:t>
      </w:r>
      <w:r>
        <w:rPr>
          <w:spacing w:val="40"/>
          <w:sz w:val="13"/>
        </w:rPr>
        <w:t xml:space="preserve"> </w:t>
      </w:r>
      <w:r>
        <w:rPr>
          <w:sz w:val="13"/>
        </w:rPr>
        <w:t>y religión, párr. 163.</w:t>
      </w:r>
    </w:p>
    <w:p w14:paraId="633329B8" w14:textId="77777777" w:rsidR="0014798C" w:rsidRDefault="004E1F0B">
      <w:pPr>
        <w:spacing w:before="57"/>
        <w:ind w:left="79"/>
        <w:rPr>
          <w:sz w:val="13"/>
        </w:rPr>
      </w:pPr>
      <w:r>
        <w:rPr>
          <w:sz w:val="13"/>
        </w:rPr>
        <w:t>Tribunal</w:t>
      </w:r>
      <w:r>
        <w:rPr>
          <w:spacing w:val="3"/>
          <w:sz w:val="13"/>
        </w:rPr>
        <w:t xml:space="preserve"> </w:t>
      </w:r>
      <w:r>
        <w:rPr>
          <w:sz w:val="13"/>
        </w:rPr>
        <w:t>Europeo</w:t>
      </w:r>
      <w:r>
        <w:rPr>
          <w:spacing w:val="3"/>
          <w:sz w:val="13"/>
        </w:rPr>
        <w:t xml:space="preserve"> </w:t>
      </w:r>
      <w:r>
        <w:rPr>
          <w:sz w:val="13"/>
        </w:rPr>
        <w:t>de</w:t>
      </w:r>
      <w:r>
        <w:rPr>
          <w:spacing w:val="4"/>
          <w:sz w:val="13"/>
        </w:rPr>
        <w:t xml:space="preserve"> </w:t>
      </w:r>
      <w:r>
        <w:rPr>
          <w:sz w:val="13"/>
        </w:rPr>
        <w:t>Derechos</w:t>
      </w:r>
      <w:r>
        <w:rPr>
          <w:spacing w:val="3"/>
          <w:sz w:val="13"/>
        </w:rPr>
        <w:t xml:space="preserve"> </w:t>
      </w:r>
      <w:r>
        <w:rPr>
          <w:sz w:val="13"/>
        </w:rPr>
        <w:t>Humanos,</w:t>
      </w:r>
      <w:r>
        <w:rPr>
          <w:spacing w:val="5"/>
          <w:sz w:val="13"/>
        </w:rPr>
        <w:t xml:space="preserve"> </w:t>
      </w:r>
      <w:proofErr w:type="spellStart"/>
      <w:r>
        <w:rPr>
          <w:sz w:val="13"/>
        </w:rPr>
        <w:t>Religionsgemeinschaft</w:t>
      </w:r>
      <w:proofErr w:type="spellEnd"/>
      <w:r>
        <w:rPr>
          <w:spacing w:val="5"/>
          <w:sz w:val="13"/>
        </w:rPr>
        <w:t xml:space="preserve"> </w:t>
      </w:r>
      <w:proofErr w:type="spellStart"/>
      <w:r>
        <w:rPr>
          <w:sz w:val="13"/>
        </w:rPr>
        <w:t>der</w:t>
      </w:r>
      <w:proofErr w:type="spellEnd"/>
      <w:r>
        <w:rPr>
          <w:spacing w:val="4"/>
          <w:sz w:val="13"/>
        </w:rPr>
        <w:t xml:space="preserve"> </w:t>
      </w:r>
      <w:proofErr w:type="spellStart"/>
      <w:r>
        <w:rPr>
          <w:sz w:val="13"/>
        </w:rPr>
        <w:t>Zeugen</w:t>
      </w:r>
      <w:proofErr w:type="spellEnd"/>
      <w:r>
        <w:rPr>
          <w:spacing w:val="3"/>
          <w:sz w:val="13"/>
        </w:rPr>
        <w:t xml:space="preserve"> </w:t>
      </w:r>
      <w:proofErr w:type="spellStart"/>
      <w:r>
        <w:rPr>
          <w:sz w:val="13"/>
        </w:rPr>
        <w:t>Jehovas</w:t>
      </w:r>
      <w:proofErr w:type="spellEnd"/>
      <w:r>
        <w:rPr>
          <w:spacing w:val="4"/>
          <w:sz w:val="13"/>
        </w:rPr>
        <w:t xml:space="preserve"> </w:t>
      </w:r>
      <w:r>
        <w:rPr>
          <w:sz w:val="13"/>
        </w:rPr>
        <w:t>and</w:t>
      </w:r>
      <w:r>
        <w:rPr>
          <w:spacing w:val="3"/>
          <w:sz w:val="13"/>
        </w:rPr>
        <w:t xml:space="preserve"> </w:t>
      </w:r>
      <w:proofErr w:type="spellStart"/>
      <w:r>
        <w:rPr>
          <w:sz w:val="13"/>
        </w:rPr>
        <w:t>others</w:t>
      </w:r>
      <w:proofErr w:type="spellEnd"/>
      <w:r>
        <w:rPr>
          <w:spacing w:val="3"/>
          <w:sz w:val="13"/>
        </w:rPr>
        <w:t xml:space="preserve"> </w:t>
      </w:r>
      <w:r>
        <w:rPr>
          <w:sz w:val="13"/>
        </w:rPr>
        <w:t>v.</w:t>
      </w:r>
      <w:r>
        <w:rPr>
          <w:spacing w:val="4"/>
          <w:sz w:val="13"/>
        </w:rPr>
        <w:t xml:space="preserve"> </w:t>
      </w:r>
      <w:r>
        <w:rPr>
          <w:sz w:val="13"/>
        </w:rPr>
        <w:t>Austria,</w:t>
      </w:r>
      <w:r>
        <w:rPr>
          <w:spacing w:val="4"/>
          <w:sz w:val="13"/>
        </w:rPr>
        <w:t xml:space="preserve"> </w:t>
      </w:r>
      <w:r>
        <w:rPr>
          <w:sz w:val="13"/>
        </w:rPr>
        <w:t>solicitud</w:t>
      </w:r>
      <w:r>
        <w:rPr>
          <w:spacing w:val="4"/>
          <w:sz w:val="13"/>
        </w:rPr>
        <w:t xml:space="preserve"> </w:t>
      </w:r>
      <w:proofErr w:type="spellStart"/>
      <w:r>
        <w:rPr>
          <w:sz w:val="13"/>
        </w:rPr>
        <w:t>n.°</w:t>
      </w:r>
      <w:proofErr w:type="spellEnd"/>
      <w:r>
        <w:rPr>
          <w:spacing w:val="3"/>
          <w:sz w:val="13"/>
        </w:rPr>
        <w:t xml:space="preserve"> </w:t>
      </w:r>
      <w:r>
        <w:rPr>
          <w:sz w:val="13"/>
        </w:rPr>
        <w:t>40825/98,</w:t>
      </w:r>
      <w:r>
        <w:rPr>
          <w:spacing w:val="5"/>
          <w:sz w:val="13"/>
        </w:rPr>
        <w:t xml:space="preserve"> </w:t>
      </w:r>
      <w:r>
        <w:rPr>
          <w:spacing w:val="-2"/>
          <w:sz w:val="13"/>
        </w:rPr>
        <w:t>sentencia</w:t>
      </w:r>
    </w:p>
    <w:p w14:paraId="3CD4556E" w14:textId="77777777" w:rsidR="0014798C" w:rsidRDefault="004E1F0B">
      <w:pPr>
        <w:spacing w:before="31" w:line="288" w:lineRule="auto"/>
        <w:ind w:left="78" w:right="1623" w:hanging="9"/>
        <w:rPr>
          <w:sz w:val="13"/>
        </w:rPr>
      </w:pPr>
      <w:r>
        <w:rPr>
          <w:sz w:val="13"/>
        </w:rPr>
        <w:t>de 31 de julio de 2008, párr.</w:t>
      </w:r>
      <w:r>
        <w:rPr>
          <w:spacing w:val="7"/>
          <w:sz w:val="13"/>
        </w:rPr>
        <w:t xml:space="preserve"> </w:t>
      </w:r>
      <w:r>
        <w:rPr>
          <w:sz w:val="13"/>
        </w:rPr>
        <w:t>62. Véase también Tribunal Europeo de Derechos Humanos,</w:t>
      </w:r>
      <w:r>
        <w:rPr>
          <w:spacing w:val="7"/>
          <w:sz w:val="13"/>
        </w:rPr>
        <w:t xml:space="preserve"> </w:t>
      </w:r>
      <w:proofErr w:type="spellStart"/>
      <w:r>
        <w:rPr>
          <w:sz w:val="13"/>
        </w:rPr>
        <w:t>Genov</w:t>
      </w:r>
      <w:proofErr w:type="spellEnd"/>
      <w:r>
        <w:rPr>
          <w:sz w:val="13"/>
        </w:rPr>
        <w:t xml:space="preserve"> v. Bulgaria,</w:t>
      </w:r>
      <w:r>
        <w:rPr>
          <w:spacing w:val="7"/>
          <w:sz w:val="13"/>
        </w:rPr>
        <w:t xml:space="preserve"> </w:t>
      </w:r>
      <w:r>
        <w:rPr>
          <w:sz w:val="13"/>
        </w:rPr>
        <w:t>solicitud n.º 40524/08,</w:t>
      </w:r>
      <w:r>
        <w:rPr>
          <w:spacing w:val="7"/>
          <w:sz w:val="13"/>
        </w:rPr>
        <w:t xml:space="preserve"> </w:t>
      </w:r>
      <w:r>
        <w:rPr>
          <w:sz w:val="13"/>
        </w:rPr>
        <w:t>sentencia de 23</w:t>
      </w:r>
      <w:r>
        <w:rPr>
          <w:spacing w:val="40"/>
          <w:sz w:val="13"/>
        </w:rPr>
        <w:t xml:space="preserve"> </w:t>
      </w:r>
      <w:r>
        <w:rPr>
          <w:sz w:val="13"/>
        </w:rPr>
        <w:t>de marzo de 2017, párr. 35.</w:t>
      </w:r>
    </w:p>
    <w:p w14:paraId="38DE31C8" w14:textId="77777777" w:rsidR="0014798C" w:rsidRDefault="004E1F0B">
      <w:pPr>
        <w:spacing w:before="57" w:line="288" w:lineRule="auto"/>
        <w:ind w:left="81" w:right="1721" w:hanging="2"/>
        <w:rPr>
          <w:sz w:val="13"/>
        </w:rPr>
      </w:pPr>
      <w:r>
        <w:rPr>
          <w:sz w:val="13"/>
        </w:rPr>
        <w:t>Tribunal</w:t>
      </w:r>
      <w:r>
        <w:rPr>
          <w:spacing w:val="-5"/>
          <w:sz w:val="13"/>
        </w:rPr>
        <w:t xml:space="preserve"> </w:t>
      </w:r>
      <w:r>
        <w:rPr>
          <w:sz w:val="13"/>
        </w:rPr>
        <w:t>Europeo</w:t>
      </w:r>
      <w:r>
        <w:rPr>
          <w:spacing w:val="-5"/>
          <w:sz w:val="13"/>
        </w:rPr>
        <w:t xml:space="preserve"> </w:t>
      </w:r>
      <w:r>
        <w:rPr>
          <w:sz w:val="13"/>
        </w:rPr>
        <w:t>de</w:t>
      </w:r>
      <w:r>
        <w:rPr>
          <w:spacing w:val="-5"/>
          <w:sz w:val="13"/>
        </w:rPr>
        <w:t xml:space="preserve"> </w:t>
      </w:r>
      <w:r>
        <w:rPr>
          <w:sz w:val="13"/>
        </w:rPr>
        <w:t>Derechos</w:t>
      </w:r>
      <w:r>
        <w:rPr>
          <w:spacing w:val="-5"/>
          <w:sz w:val="13"/>
        </w:rPr>
        <w:t xml:space="preserve"> </w:t>
      </w:r>
      <w:r>
        <w:rPr>
          <w:sz w:val="13"/>
        </w:rPr>
        <w:t>Humanos,</w:t>
      </w:r>
      <w:r>
        <w:rPr>
          <w:spacing w:val="-4"/>
          <w:sz w:val="13"/>
        </w:rPr>
        <w:t xml:space="preserve"> </w:t>
      </w:r>
      <w:proofErr w:type="spellStart"/>
      <w:r>
        <w:rPr>
          <w:sz w:val="13"/>
        </w:rPr>
        <w:t>İzzettin</w:t>
      </w:r>
      <w:proofErr w:type="spellEnd"/>
      <w:r>
        <w:rPr>
          <w:spacing w:val="-5"/>
          <w:sz w:val="13"/>
        </w:rPr>
        <w:t xml:space="preserve"> </w:t>
      </w:r>
      <w:proofErr w:type="spellStart"/>
      <w:r>
        <w:rPr>
          <w:sz w:val="13"/>
        </w:rPr>
        <w:t>Doğan</w:t>
      </w:r>
      <w:proofErr w:type="spellEnd"/>
      <w:r>
        <w:rPr>
          <w:spacing w:val="-5"/>
          <w:sz w:val="13"/>
        </w:rPr>
        <w:t xml:space="preserve"> </w:t>
      </w:r>
      <w:r>
        <w:rPr>
          <w:sz w:val="13"/>
        </w:rPr>
        <w:t>y</w:t>
      </w:r>
      <w:r>
        <w:rPr>
          <w:spacing w:val="-5"/>
          <w:sz w:val="13"/>
        </w:rPr>
        <w:t xml:space="preserve"> </w:t>
      </w:r>
      <w:r>
        <w:rPr>
          <w:sz w:val="13"/>
        </w:rPr>
        <w:t>otros</w:t>
      </w:r>
      <w:r>
        <w:rPr>
          <w:spacing w:val="-5"/>
          <w:sz w:val="13"/>
        </w:rPr>
        <w:t xml:space="preserve"> </w:t>
      </w:r>
      <w:r>
        <w:rPr>
          <w:sz w:val="13"/>
        </w:rPr>
        <w:t>c.</w:t>
      </w:r>
      <w:r>
        <w:rPr>
          <w:spacing w:val="-5"/>
          <w:sz w:val="13"/>
        </w:rPr>
        <w:t xml:space="preserve"> </w:t>
      </w:r>
      <w:r>
        <w:rPr>
          <w:sz w:val="13"/>
        </w:rPr>
        <w:t>Turquía,</w:t>
      </w:r>
      <w:r>
        <w:rPr>
          <w:spacing w:val="-4"/>
          <w:sz w:val="13"/>
        </w:rPr>
        <w:t xml:space="preserve"> </w:t>
      </w:r>
      <w:r>
        <w:rPr>
          <w:sz w:val="13"/>
        </w:rPr>
        <w:t>solicitud</w:t>
      </w:r>
      <w:r>
        <w:rPr>
          <w:spacing w:val="-5"/>
          <w:sz w:val="13"/>
        </w:rPr>
        <w:t xml:space="preserve"> </w:t>
      </w:r>
      <w:r>
        <w:rPr>
          <w:sz w:val="13"/>
        </w:rPr>
        <w:t>n.º</w:t>
      </w:r>
      <w:r>
        <w:rPr>
          <w:spacing w:val="-5"/>
          <w:sz w:val="13"/>
        </w:rPr>
        <w:t xml:space="preserve"> </w:t>
      </w:r>
      <w:r>
        <w:rPr>
          <w:sz w:val="13"/>
        </w:rPr>
        <w:t>62649/10,</w:t>
      </w:r>
      <w:r>
        <w:rPr>
          <w:spacing w:val="-4"/>
          <w:sz w:val="13"/>
        </w:rPr>
        <w:t xml:space="preserve"> </w:t>
      </w:r>
      <w:r>
        <w:rPr>
          <w:sz w:val="13"/>
        </w:rPr>
        <w:t>sentencia</w:t>
      </w:r>
      <w:r>
        <w:rPr>
          <w:spacing w:val="-5"/>
          <w:sz w:val="13"/>
        </w:rPr>
        <w:t xml:space="preserve"> </w:t>
      </w:r>
      <w:r>
        <w:rPr>
          <w:sz w:val="13"/>
        </w:rPr>
        <w:t>de</w:t>
      </w:r>
      <w:r>
        <w:rPr>
          <w:spacing w:val="-5"/>
          <w:sz w:val="13"/>
        </w:rPr>
        <w:t xml:space="preserve"> </w:t>
      </w:r>
      <w:r>
        <w:rPr>
          <w:sz w:val="13"/>
        </w:rPr>
        <w:t>26</w:t>
      </w:r>
      <w:r>
        <w:rPr>
          <w:spacing w:val="-5"/>
          <w:sz w:val="13"/>
        </w:rPr>
        <w:t xml:space="preserve"> </w:t>
      </w:r>
      <w:r>
        <w:rPr>
          <w:sz w:val="13"/>
        </w:rPr>
        <w:t>de</w:t>
      </w:r>
      <w:r>
        <w:rPr>
          <w:spacing w:val="-5"/>
          <w:sz w:val="13"/>
        </w:rPr>
        <w:t xml:space="preserve"> </w:t>
      </w:r>
      <w:r>
        <w:rPr>
          <w:sz w:val="13"/>
        </w:rPr>
        <w:t>abril</w:t>
      </w:r>
      <w:r>
        <w:rPr>
          <w:spacing w:val="-5"/>
          <w:sz w:val="13"/>
        </w:rPr>
        <w:t xml:space="preserve"> </w:t>
      </w:r>
      <w:r>
        <w:rPr>
          <w:sz w:val="13"/>
        </w:rPr>
        <w:t>de</w:t>
      </w:r>
      <w:r>
        <w:rPr>
          <w:spacing w:val="-5"/>
          <w:sz w:val="13"/>
        </w:rPr>
        <w:t xml:space="preserve"> </w:t>
      </w:r>
      <w:r>
        <w:rPr>
          <w:sz w:val="13"/>
        </w:rPr>
        <w:t>2016,</w:t>
      </w:r>
      <w:r>
        <w:rPr>
          <w:spacing w:val="-5"/>
          <w:sz w:val="13"/>
        </w:rPr>
        <w:t xml:space="preserve"> </w:t>
      </w:r>
      <w:r>
        <w:rPr>
          <w:sz w:val="13"/>
        </w:rPr>
        <w:t>párr.</w:t>
      </w:r>
      <w:r>
        <w:rPr>
          <w:spacing w:val="-4"/>
          <w:sz w:val="13"/>
        </w:rPr>
        <w:t xml:space="preserve"> </w:t>
      </w:r>
      <w:r>
        <w:rPr>
          <w:sz w:val="13"/>
        </w:rPr>
        <w:t>127;</w:t>
      </w:r>
      <w:r>
        <w:rPr>
          <w:spacing w:val="-5"/>
          <w:sz w:val="13"/>
        </w:rPr>
        <w:t xml:space="preserve"> </w:t>
      </w:r>
      <w:r>
        <w:rPr>
          <w:sz w:val="13"/>
        </w:rPr>
        <w:t>y</w:t>
      </w:r>
      <w:r>
        <w:rPr>
          <w:spacing w:val="40"/>
          <w:sz w:val="13"/>
        </w:rPr>
        <w:t xml:space="preserve"> </w:t>
      </w:r>
      <w:r>
        <w:rPr>
          <w:sz w:val="13"/>
        </w:rPr>
        <w:t>Tribunal Europeo de Derechos Humanos, Guía sobre el artículo 9 del Convenio Europeo de Derechos Humanos: Libertad de pensamiento,</w:t>
      </w:r>
      <w:r>
        <w:rPr>
          <w:spacing w:val="40"/>
          <w:sz w:val="13"/>
        </w:rPr>
        <w:t xml:space="preserve"> </w:t>
      </w:r>
      <w:r>
        <w:rPr>
          <w:sz w:val="13"/>
        </w:rPr>
        <w:t>conciencia y religión, párr. 165.</w:t>
      </w:r>
    </w:p>
    <w:p w14:paraId="3F2890CF" w14:textId="77777777" w:rsidR="0014798C" w:rsidRDefault="004E1F0B">
      <w:pPr>
        <w:spacing w:before="58" w:line="288" w:lineRule="auto"/>
        <w:ind w:left="76" w:right="1467" w:firstLine="2"/>
        <w:rPr>
          <w:sz w:val="13"/>
        </w:rPr>
      </w:pPr>
      <w:r>
        <w:rPr>
          <w:sz w:val="13"/>
        </w:rPr>
        <w:t>Tribunal</w:t>
      </w:r>
      <w:r>
        <w:rPr>
          <w:spacing w:val="8"/>
          <w:sz w:val="13"/>
        </w:rPr>
        <w:t xml:space="preserve"> </w:t>
      </w:r>
      <w:r>
        <w:rPr>
          <w:sz w:val="13"/>
        </w:rPr>
        <w:t>Europeo</w:t>
      </w:r>
      <w:r>
        <w:rPr>
          <w:spacing w:val="8"/>
          <w:sz w:val="13"/>
        </w:rPr>
        <w:t xml:space="preserve"> </w:t>
      </w:r>
      <w:r>
        <w:rPr>
          <w:sz w:val="13"/>
        </w:rPr>
        <w:t>de</w:t>
      </w:r>
      <w:r>
        <w:rPr>
          <w:spacing w:val="8"/>
          <w:sz w:val="13"/>
        </w:rPr>
        <w:t xml:space="preserve"> </w:t>
      </w:r>
      <w:r>
        <w:rPr>
          <w:sz w:val="13"/>
        </w:rPr>
        <w:t>Derechos</w:t>
      </w:r>
      <w:r>
        <w:rPr>
          <w:spacing w:val="8"/>
          <w:sz w:val="13"/>
        </w:rPr>
        <w:t xml:space="preserve"> </w:t>
      </w:r>
      <w:r>
        <w:rPr>
          <w:sz w:val="13"/>
        </w:rPr>
        <w:t>Humanos,</w:t>
      </w:r>
      <w:r>
        <w:rPr>
          <w:spacing w:val="9"/>
          <w:sz w:val="13"/>
        </w:rPr>
        <w:t xml:space="preserve"> </w:t>
      </w:r>
      <w:r>
        <w:rPr>
          <w:sz w:val="13"/>
        </w:rPr>
        <w:t>Guía</w:t>
      </w:r>
      <w:r>
        <w:rPr>
          <w:spacing w:val="8"/>
          <w:sz w:val="13"/>
        </w:rPr>
        <w:t xml:space="preserve"> </w:t>
      </w:r>
      <w:r>
        <w:rPr>
          <w:sz w:val="13"/>
        </w:rPr>
        <w:t>sobre</w:t>
      </w:r>
      <w:r>
        <w:rPr>
          <w:spacing w:val="8"/>
          <w:sz w:val="13"/>
        </w:rPr>
        <w:t xml:space="preserve"> </w:t>
      </w:r>
      <w:r>
        <w:rPr>
          <w:sz w:val="13"/>
        </w:rPr>
        <w:t>el</w:t>
      </w:r>
      <w:r>
        <w:rPr>
          <w:spacing w:val="8"/>
          <w:sz w:val="13"/>
        </w:rPr>
        <w:t xml:space="preserve"> </w:t>
      </w:r>
      <w:r>
        <w:rPr>
          <w:sz w:val="13"/>
        </w:rPr>
        <w:t>artículo</w:t>
      </w:r>
      <w:r>
        <w:rPr>
          <w:spacing w:val="8"/>
          <w:sz w:val="13"/>
        </w:rPr>
        <w:t xml:space="preserve"> </w:t>
      </w:r>
      <w:r>
        <w:rPr>
          <w:sz w:val="13"/>
        </w:rPr>
        <w:t>9</w:t>
      </w:r>
      <w:r>
        <w:rPr>
          <w:spacing w:val="8"/>
          <w:sz w:val="13"/>
        </w:rPr>
        <w:t xml:space="preserve"> </w:t>
      </w:r>
      <w:r>
        <w:rPr>
          <w:sz w:val="13"/>
        </w:rPr>
        <w:t>del</w:t>
      </w:r>
      <w:r>
        <w:rPr>
          <w:spacing w:val="8"/>
          <w:sz w:val="13"/>
        </w:rPr>
        <w:t xml:space="preserve"> </w:t>
      </w:r>
      <w:r>
        <w:rPr>
          <w:sz w:val="13"/>
        </w:rPr>
        <w:t>Convenio</w:t>
      </w:r>
      <w:r>
        <w:rPr>
          <w:spacing w:val="8"/>
          <w:sz w:val="13"/>
        </w:rPr>
        <w:t xml:space="preserve"> </w:t>
      </w:r>
      <w:r>
        <w:rPr>
          <w:sz w:val="13"/>
        </w:rPr>
        <w:t>Europeo</w:t>
      </w:r>
      <w:r>
        <w:rPr>
          <w:spacing w:val="8"/>
          <w:sz w:val="13"/>
        </w:rPr>
        <w:t xml:space="preserve"> </w:t>
      </w:r>
      <w:r>
        <w:rPr>
          <w:sz w:val="13"/>
        </w:rPr>
        <w:t>de</w:t>
      </w:r>
      <w:r>
        <w:rPr>
          <w:spacing w:val="8"/>
          <w:sz w:val="13"/>
        </w:rPr>
        <w:t xml:space="preserve"> </w:t>
      </w:r>
      <w:r>
        <w:rPr>
          <w:sz w:val="13"/>
        </w:rPr>
        <w:t>Derechos</w:t>
      </w:r>
      <w:r>
        <w:rPr>
          <w:spacing w:val="8"/>
          <w:sz w:val="13"/>
        </w:rPr>
        <w:t xml:space="preserve"> </w:t>
      </w:r>
      <w:r>
        <w:rPr>
          <w:sz w:val="13"/>
        </w:rPr>
        <w:t>Humanos:</w:t>
      </w:r>
      <w:r>
        <w:rPr>
          <w:spacing w:val="9"/>
          <w:sz w:val="13"/>
        </w:rPr>
        <w:t xml:space="preserve"> </w:t>
      </w:r>
      <w:r>
        <w:rPr>
          <w:sz w:val="13"/>
        </w:rPr>
        <w:t>Libertad</w:t>
      </w:r>
      <w:r>
        <w:rPr>
          <w:spacing w:val="8"/>
          <w:sz w:val="13"/>
        </w:rPr>
        <w:t xml:space="preserve"> </w:t>
      </w:r>
      <w:r>
        <w:rPr>
          <w:sz w:val="13"/>
        </w:rPr>
        <w:t>de</w:t>
      </w:r>
      <w:r>
        <w:rPr>
          <w:spacing w:val="8"/>
          <w:sz w:val="13"/>
        </w:rPr>
        <w:t xml:space="preserve"> </w:t>
      </w:r>
      <w:r>
        <w:rPr>
          <w:sz w:val="13"/>
        </w:rPr>
        <w:t>pensamiento,</w:t>
      </w:r>
      <w:r>
        <w:rPr>
          <w:spacing w:val="9"/>
          <w:sz w:val="13"/>
        </w:rPr>
        <w:t xml:space="preserve"> </w:t>
      </w:r>
      <w:r>
        <w:rPr>
          <w:sz w:val="13"/>
        </w:rPr>
        <w:t>conciencia</w:t>
      </w:r>
      <w:r>
        <w:rPr>
          <w:spacing w:val="40"/>
          <w:sz w:val="13"/>
        </w:rPr>
        <w:t xml:space="preserve"> </w:t>
      </w:r>
      <w:r>
        <w:rPr>
          <w:sz w:val="13"/>
        </w:rPr>
        <w:t>y religión, párr. 165.</w:t>
      </w:r>
    </w:p>
    <w:p w14:paraId="12483629" w14:textId="77777777" w:rsidR="0014798C" w:rsidRDefault="004E1F0B">
      <w:pPr>
        <w:spacing w:before="57" w:line="288" w:lineRule="auto"/>
        <w:ind w:left="82" w:right="1556" w:hanging="3"/>
        <w:rPr>
          <w:sz w:val="13"/>
        </w:rPr>
      </w:pPr>
      <w:r>
        <w:rPr>
          <w:sz w:val="13"/>
        </w:rPr>
        <w:t xml:space="preserve">Tribunal Europeo de Derechos Humanos, </w:t>
      </w:r>
      <w:proofErr w:type="spellStart"/>
      <w:r>
        <w:rPr>
          <w:sz w:val="13"/>
        </w:rPr>
        <w:t>Religionsgemeinschaft</w:t>
      </w:r>
      <w:proofErr w:type="spellEnd"/>
      <w:r>
        <w:rPr>
          <w:sz w:val="13"/>
        </w:rPr>
        <w:t xml:space="preserve"> </w:t>
      </w:r>
      <w:proofErr w:type="spellStart"/>
      <w:r>
        <w:rPr>
          <w:sz w:val="13"/>
        </w:rPr>
        <w:t>der</w:t>
      </w:r>
      <w:proofErr w:type="spellEnd"/>
      <w:r>
        <w:rPr>
          <w:sz w:val="13"/>
        </w:rPr>
        <w:t xml:space="preserve"> </w:t>
      </w:r>
      <w:proofErr w:type="spellStart"/>
      <w:r>
        <w:rPr>
          <w:sz w:val="13"/>
        </w:rPr>
        <w:t>Zeugen</w:t>
      </w:r>
      <w:proofErr w:type="spellEnd"/>
      <w:r>
        <w:rPr>
          <w:sz w:val="13"/>
        </w:rPr>
        <w:t xml:space="preserve"> </w:t>
      </w:r>
      <w:proofErr w:type="spellStart"/>
      <w:r>
        <w:rPr>
          <w:sz w:val="13"/>
        </w:rPr>
        <w:t>Jehovas</w:t>
      </w:r>
      <w:proofErr w:type="spellEnd"/>
      <w:r>
        <w:rPr>
          <w:sz w:val="13"/>
        </w:rPr>
        <w:t xml:space="preserve"> and </w:t>
      </w:r>
      <w:proofErr w:type="spellStart"/>
      <w:r>
        <w:rPr>
          <w:sz w:val="13"/>
        </w:rPr>
        <w:t>others</w:t>
      </w:r>
      <w:proofErr w:type="spellEnd"/>
      <w:r>
        <w:rPr>
          <w:sz w:val="13"/>
        </w:rPr>
        <w:t xml:space="preserve"> v. Austria, solicitud </w:t>
      </w:r>
      <w:proofErr w:type="spellStart"/>
      <w:r>
        <w:rPr>
          <w:sz w:val="13"/>
        </w:rPr>
        <w:t>n.°</w:t>
      </w:r>
      <w:proofErr w:type="spellEnd"/>
      <w:r>
        <w:rPr>
          <w:sz w:val="13"/>
        </w:rPr>
        <w:t xml:space="preserve"> 40825/98, sentencia de 31 de</w:t>
      </w:r>
      <w:r>
        <w:rPr>
          <w:spacing w:val="40"/>
          <w:sz w:val="13"/>
        </w:rPr>
        <w:t xml:space="preserve"> </w:t>
      </w:r>
      <w:r>
        <w:rPr>
          <w:sz w:val="13"/>
        </w:rPr>
        <w:t>julio de 2008, párr. 79; Tribunal Europeo de Derechos Humanos, Guía sobre el artículo 9 del Convenio Europeo de Derechos Humanos: Libertad de</w:t>
      </w:r>
      <w:r>
        <w:rPr>
          <w:spacing w:val="40"/>
          <w:sz w:val="13"/>
        </w:rPr>
        <w:t xml:space="preserve"> </w:t>
      </w:r>
      <w:r>
        <w:rPr>
          <w:sz w:val="13"/>
        </w:rPr>
        <w:t>pensamiento, conciencia y religión, párr. 168.</w:t>
      </w:r>
    </w:p>
    <w:p w14:paraId="77527804" w14:textId="77777777" w:rsidR="0014798C" w:rsidRDefault="0014798C">
      <w:pPr>
        <w:spacing w:line="288" w:lineRule="auto"/>
        <w:rPr>
          <w:sz w:val="13"/>
        </w:rPr>
        <w:sectPr w:rsidR="0014798C" w:rsidSect="00F265E4">
          <w:type w:val="continuous"/>
          <w:pgSz w:w="11900" w:h="16820"/>
          <w:pgMar w:top="40" w:right="0" w:bottom="280" w:left="200" w:header="121" w:footer="0" w:gutter="0"/>
          <w:cols w:num="2" w:space="720" w:equalWidth="0">
            <w:col w:w="1249" w:space="40"/>
            <w:col w:w="10411"/>
          </w:cols>
        </w:sectPr>
      </w:pPr>
    </w:p>
    <w:p w14:paraId="31D32957" w14:textId="77777777" w:rsidR="0014798C" w:rsidRDefault="0014798C">
      <w:pPr>
        <w:pStyle w:val="Textoindependiente"/>
        <w:rPr>
          <w:sz w:val="18"/>
        </w:rPr>
      </w:pPr>
    </w:p>
    <w:p w14:paraId="0CE5BA10" w14:textId="77777777" w:rsidR="0014798C" w:rsidRDefault="0014798C">
      <w:pPr>
        <w:pStyle w:val="Textoindependiente"/>
        <w:spacing w:before="189"/>
        <w:rPr>
          <w:sz w:val="18"/>
        </w:rPr>
      </w:pPr>
    </w:p>
    <w:p w14:paraId="641FA7EA" w14:textId="77777777" w:rsidR="0014798C" w:rsidRDefault="004E1F0B">
      <w:pPr>
        <w:spacing w:before="1"/>
        <w:ind w:right="711"/>
        <w:jc w:val="right"/>
        <w:rPr>
          <w:sz w:val="18"/>
        </w:rPr>
      </w:pPr>
      <w:r>
        <w:rPr>
          <w:spacing w:val="-5"/>
          <w:sz w:val="18"/>
        </w:rPr>
        <w:t>143</w:t>
      </w:r>
    </w:p>
    <w:p w14:paraId="2D79AD60" w14:textId="77777777" w:rsidR="0014798C" w:rsidRDefault="0014798C">
      <w:pPr>
        <w:jc w:val="right"/>
        <w:rPr>
          <w:sz w:val="18"/>
        </w:rPr>
        <w:sectPr w:rsidR="0014798C" w:rsidSect="00F265E4">
          <w:type w:val="continuous"/>
          <w:pgSz w:w="11900" w:h="16820"/>
          <w:pgMar w:top="40" w:right="0" w:bottom="280" w:left="200" w:header="121" w:footer="0" w:gutter="0"/>
          <w:cols w:space="720"/>
        </w:sectPr>
      </w:pPr>
    </w:p>
    <w:p w14:paraId="2FFD0EE6" w14:textId="77777777" w:rsidR="0014798C" w:rsidRDefault="0014798C">
      <w:pPr>
        <w:pStyle w:val="Textoindependiente"/>
        <w:spacing w:before="85"/>
        <w:rPr>
          <w:sz w:val="12"/>
        </w:rPr>
      </w:pPr>
    </w:p>
    <w:p w14:paraId="1A314AEC" w14:textId="77777777" w:rsidR="0014798C" w:rsidRDefault="004E1F0B">
      <w:pPr>
        <w:ind w:left="1111"/>
        <w:rPr>
          <w:sz w:val="12"/>
        </w:rPr>
      </w:pPr>
      <w:r>
        <w:rPr>
          <w:color w:val="803108"/>
          <w:sz w:val="12"/>
        </w:rPr>
        <w:t>PROTECCIÓN</w:t>
      </w:r>
      <w:r>
        <w:rPr>
          <w:color w:val="803108"/>
          <w:spacing w:val="6"/>
          <w:sz w:val="12"/>
        </w:rPr>
        <w:t xml:space="preserve"> </w:t>
      </w:r>
      <w:r>
        <w:rPr>
          <w:color w:val="803108"/>
          <w:sz w:val="12"/>
        </w:rPr>
        <w:t>DE</w:t>
      </w:r>
      <w:r>
        <w:rPr>
          <w:color w:val="803108"/>
          <w:spacing w:val="7"/>
          <w:sz w:val="12"/>
        </w:rPr>
        <w:t xml:space="preserve"> </w:t>
      </w:r>
      <w:r>
        <w:rPr>
          <w:color w:val="803108"/>
          <w:sz w:val="12"/>
        </w:rPr>
        <w:t>LOS</w:t>
      </w:r>
      <w:r>
        <w:rPr>
          <w:color w:val="803108"/>
          <w:spacing w:val="8"/>
          <w:sz w:val="12"/>
        </w:rPr>
        <w:t xml:space="preserve"> </w:t>
      </w:r>
      <w:r>
        <w:rPr>
          <w:color w:val="803108"/>
          <w:sz w:val="12"/>
        </w:rPr>
        <w:t>DERECHOS</w:t>
      </w:r>
      <w:r>
        <w:rPr>
          <w:color w:val="803108"/>
          <w:spacing w:val="8"/>
          <w:sz w:val="12"/>
        </w:rPr>
        <w:t xml:space="preserve"> </w:t>
      </w:r>
      <w:r>
        <w:rPr>
          <w:color w:val="803108"/>
          <w:sz w:val="12"/>
        </w:rPr>
        <w:t>DE</w:t>
      </w:r>
      <w:r>
        <w:rPr>
          <w:color w:val="803108"/>
          <w:spacing w:val="6"/>
          <w:sz w:val="12"/>
        </w:rPr>
        <w:t xml:space="preserve"> </w:t>
      </w:r>
      <w:r>
        <w:rPr>
          <w:color w:val="803108"/>
          <w:sz w:val="12"/>
        </w:rPr>
        <w:t>LAS</w:t>
      </w:r>
      <w:r>
        <w:rPr>
          <w:color w:val="803108"/>
          <w:spacing w:val="7"/>
          <w:sz w:val="12"/>
        </w:rPr>
        <w:t xml:space="preserve"> </w:t>
      </w:r>
      <w:r>
        <w:rPr>
          <w:color w:val="803108"/>
          <w:sz w:val="12"/>
        </w:rPr>
        <w:t>MINORÍAS:</w:t>
      </w:r>
      <w:r>
        <w:rPr>
          <w:color w:val="803108"/>
          <w:spacing w:val="8"/>
          <w:sz w:val="12"/>
        </w:rPr>
        <w:t xml:space="preserve"> </w:t>
      </w:r>
      <w:r>
        <w:rPr>
          <w:color w:val="803108"/>
          <w:sz w:val="12"/>
        </w:rPr>
        <w:t>una</w:t>
      </w:r>
      <w:r>
        <w:rPr>
          <w:color w:val="803108"/>
          <w:spacing w:val="7"/>
          <w:sz w:val="12"/>
        </w:rPr>
        <w:t xml:space="preserve"> </w:t>
      </w:r>
      <w:r>
        <w:rPr>
          <w:color w:val="803108"/>
          <w:sz w:val="12"/>
        </w:rPr>
        <w:t>guía</w:t>
      </w:r>
      <w:r>
        <w:rPr>
          <w:color w:val="803108"/>
          <w:spacing w:val="6"/>
          <w:sz w:val="12"/>
        </w:rPr>
        <w:t xml:space="preserve"> </w:t>
      </w:r>
      <w:r>
        <w:rPr>
          <w:color w:val="803108"/>
          <w:sz w:val="12"/>
        </w:rPr>
        <w:t>práctica</w:t>
      </w:r>
      <w:r>
        <w:rPr>
          <w:color w:val="803108"/>
          <w:spacing w:val="7"/>
          <w:sz w:val="12"/>
        </w:rPr>
        <w:t xml:space="preserve"> </w:t>
      </w:r>
      <w:r>
        <w:rPr>
          <w:color w:val="803108"/>
          <w:sz w:val="12"/>
        </w:rPr>
        <w:t>para</w:t>
      </w:r>
      <w:r>
        <w:rPr>
          <w:color w:val="803108"/>
          <w:spacing w:val="8"/>
          <w:sz w:val="12"/>
        </w:rPr>
        <w:t xml:space="preserve"> </w:t>
      </w:r>
      <w:r>
        <w:rPr>
          <w:color w:val="803108"/>
          <w:sz w:val="12"/>
        </w:rPr>
        <w:t>desarrollar</w:t>
      </w:r>
      <w:r>
        <w:rPr>
          <w:color w:val="803108"/>
          <w:spacing w:val="6"/>
          <w:sz w:val="12"/>
        </w:rPr>
        <w:t xml:space="preserve"> </w:t>
      </w:r>
      <w:r>
        <w:rPr>
          <w:color w:val="803108"/>
          <w:sz w:val="12"/>
        </w:rPr>
        <w:t>una</w:t>
      </w:r>
      <w:r>
        <w:rPr>
          <w:color w:val="803108"/>
          <w:spacing w:val="7"/>
          <w:sz w:val="12"/>
        </w:rPr>
        <w:t xml:space="preserve"> </w:t>
      </w:r>
      <w:r>
        <w:rPr>
          <w:color w:val="803108"/>
          <w:sz w:val="12"/>
        </w:rPr>
        <w:t>legislación</w:t>
      </w:r>
      <w:r>
        <w:rPr>
          <w:color w:val="803108"/>
          <w:spacing w:val="8"/>
          <w:sz w:val="12"/>
        </w:rPr>
        <w:t xml:space="preserve"> </w:t>
      </w:r>
      <w:r>
        <w:rPr>
          <w:color w:val="803108"/>
          <w:sz w:val="12"/>
        </w:rPr>
        <w:t>integral</w:t>
      </w:r>
      <w:r>
        <w:rPr>
          <w:color w:val="803108"/>
          <w:spacing w:val="7"/>
          <w:sz w:val="12"/>
        </w:rPr>
        <w:t xml:space="preserve"> </w:t>
      </w:r>
      <w:r>
        <w:rPr>
          <w:color w:val="803108"/>
          <w:sz w:val="12"/>
        </w:rPr>
        <w:t>contra</w:t>
      </w:r>
      <w:r>
        <w:rPr>
          <w:color w:val="803108"/>
          <w:spacing w:val="6"/>
          <w:sz w:val="12"/>
        </w:rPr>
        <w:t xml:space="preserve"> </w:t>
      </w:r>
      <w:r>
        <w:rPr>
          <w:color w:val="803108"/>
          <w:sz w:val="12"/>
        </w:rPr>
        <w:t>la</w:t>
      </w:r>
      <w:r>
        <w:rPr>
          <w:color w:val="803108"/>
          <w:spacing w:val="7"/>
          <w:sz w:val="12"/>
        </w:rPr>
        <w:t xml:space="preserve"> </w:t>
      </w:r>
      <w:r>
        <w:rPr>
          <w:color w:val="803108"/>
          <w:spacing w:val="-2"/>
          <w:sz w:val="12"/>
        </w:rPr>
        <w:t>discriminación</w:t>
      </w:r>
    </w:p>
    <w:p w14:paraId="70141081" w14:textId="77777777" w:rsidR="0014798C" w:rsidRDefault="0014798C">
      <w:pPr>
        <w:pStyle w:val="Textoindependiente"/>
        <w:rPr>
          <w:sz w:val="18"/>
        </w:rPr>
      </w:pPr>
    </w:p>
    <w:p w14:paraId="4CCA1DB9" w14:textId="77777777" w:rsidR="0014798C" w:rsidRDefault="0014798C">
      <w:pPr>
        <w:pStyle w:val="Textoindependiente"/>
        <w:rPr>
          <w:sz w:val="18"/>
        </w:rPr>
      </w:pPr>
    </w:p>
    <w:p w14:paraId="00E31B9A" w14:textId="77777777" w:rsidR="0014798C" w:rsidRDefault="0014798C">
      <w:pPr>
        <w:pStyle w:val="Textoindependiente"/>
        <w:rPr>
          <w:sz w:val="18"/>
        </w:rPr>
      </w:pPr>
    </w:p>
    <w:p w14:paraId="23A68ACF" w14:textId="77777777" w:rsidR="0014798C" w:rsidRDefault="0014798C">
      <w:pPr>
        <w:pStyle w:val="Textoindependiente"/>
        <w:spacing w:before="131"/>
        <w:rPr>
          <w:sz w:val="18"/>
        </w:rPr>
      </w:pPr>
    </w:p>
    <w:p w14:paraId="4727F2F4" w14:textId="77777777" w:rsidR="0014798C" w:rsidRDefault="004E1F0B">
      <w:pPr>
        <w:spacing w:line="290" w:lineRule="auto"/>
        <w:ind w:left="1111" w:right="1463" w:hanging="5"/>
        <w:rPr>
          <w:sz w:val="18"/>
        </w:rPr>
      </w:pPr>
      <w:r>
        <w:rPr>
          <w:sz w:val="18"/>
        </w:rPr>
        <w:t>aplicar preferencias para correligionarios en áreas como el empleo o la vivienda; (c) ajustes razonables por motivos de religión o creencias; y (d) optar por no recibir atención médica por motivos doctrinales.</w:t>
      </w:r>
    </w:p>
    <w:p w14:paraId="62A0521E" w14:textId="77777777" w:rsidR="0014798C" w:rsidRDefault="004E1F0B">
      <w:pPr>
        <w:numPr>
          <w:ilvl w:val="0"/>
          <w:numId w:val="19"/>
        </w:numPr>
        <w:tabs>
          <w:tab w:val="left" w:pos="1411"/>
        </w:tabs>
        <w:spacing w:before="259"/>
        <w:ind w:left="1411" w:hanging="276"/>
        <w:rPr>
          <w:color w:val="803108"/>
          <w:sz w:val="25"/>
        </w:rPr>
      </w:pPr>
      <w:r>
        <w:rPr>
          <w:color w:val="803108"/>
          <w:sz w:val="25"/>
        </w:rPr>
        <w:t>Indumentaria</w:t>
      </w:r>
      <w:r>
        <w:rPr>
          <w:color w:val="803108"/>
          <w:spacing w:val="-6"/>
          <w:sz w:val="25"/>
        </w:rPr>
        <w:t xml:space="preserve"> </w:t>
      </w:r>
      <w:r>
        <w:rPr>
          <w:color w:val="803108"/>
          <w:sz w:val="25"/>
        </w:rPr>
        <w:t>religiosa,</w:t>
      </w:r>
      <w:r>
        <w:rPr>
          <w:color w:val="803108"/>
          <w:spacing w:val="-5"/>
          <w:sz w:val="25"/>
        </w:rPr>
        <w:t xml:space="preserve"> </w:t>
      </w:r>
      <w:r>
        <w:rPr>
          <w:color w:val="803108"/>
          <w:sz w:val="25"/>
        </w:rPr>
        <w:t>símbolos</w:t>
      </w:r>
      <w:r>
        <w:rPr>
          <w:color w:val="803108"/>
          <w:spacing w:val="-6"/>
          <w:sz w:val="25"/>
        </w:rPr>
        <w:t xml:space="preserve"> </w:t>
      </w:r>
      <w:r>
        <w:rPr>
          <w:color w:val="803108"/>
          <w:sz w:val="25"/>
        </w:rPr>
        <w:t>y</w:t>
      </w:r>
      <w:r>
        <w:rPr>
          <w:color w:val="803108"/>
          <w:spacing w:val="-6"/>
          <w:sz w:val="25"/>
        </w:rPr>
        <w:t xml:space="preserve"> </w:t>
      </w:r>
      <w:r>
        <w:rPr>
          <w:color w:val="803108"/>
          <w:sz w:val="25"/>
        </w:rPr>
        <w:t>esfera</w:t>
      </w:r>
      <w:r>
        <w:rPr>
          <w:color w:val="803108"/>
          <w:spacing w:val="-5"/>
          <w:sz w:val="25"/>
        </w:rPr>
        <w:t xml:space="preserve"> </w:t>
      </w:r>
      <w:r>
        <w:rPr>
          <w:color w:val="803108"/>
          <w:spacing w:val="-2"/>
          <w:sz w:val="25"/>
        </w:rPr>
        <w:t>pública</w:t>
      </w:r>
    </w:p>
    <w:p w14:paraId="3B7B3864" w14:textId="77777777" w:rsidR="0014798C" w:rsidRDefault="0014798C">
      <w:pPr>
        <w:pStyle w:val="Textoindependiente"/>
        <w:spacing w:before="54"/>
      </w:pPr>
    </w:p>
    <w:p w14:paraId="012F38F6" w14:textId="77777777" w:rsidR="0014798C" w:rsidRDefault="004E1F0B">
      <w:pPr>
        <w:pStyle w:val="Textoindependiente"/>
        <w:spacing w:line="326" w:lineRule="auto"/>
        <w:ind w:left="1107" w:right="1166" w:hanging="1"/>
      </w:pPr>
      <w:r>
        <w:t>Tanto</w:t>
      </w:r>
      <w:r>
        <w:rPr>
          <w:spacing w:val="-1"/>
        </w:rPr>
        <w:t xml:space="preserve"> </w:t>
      </w:r>
      <w:r>
        <w:t>a</w:t>
      </w:r>
      <w:r>
        <w:rPr>
          <w:spacing w:val="-1"/>
        </w:rPr>
        <w:t xml:space="preserve"> </w:t>
      </w:r>
      <w:r>
        <w:t>nivel</w:t>
      </w:r>
      <w:r>
        <w:rPr>
          <w:spacing w:val="-1"/>
        </w:rPr>
        <w:t xml:space="preserve"> </w:t>
      </w:r>
      <w:r>
        <w:t>internacional</w:t>
      </w:r>
      <w:r>
        <w:rPr>
          <w:spacing w:val="-1"/>
        </w:rPr>
        <w:t xml:space="preserve"> </w:t>
      </w:r>
      <w:r>
        <w:t>como</w:t>
      </w:r>
      <w:r>
        <w:rPr>
          <w:spacing w:val="-1"/>
        </w:rPr>
        <w:t xml:space="preserve"> </w:t>
      </w:r>
      <w:r>
        <w:t>regional, han</w:t>
      </w:r>
      <w:r>
        <w:rPr>
          <w:spacing w:val="-1"/>
        </w:rPr>
        <w:t xml:space="preserve"> </w:t>
      </w:r>
      <w:r>
        <w:t>surgido</w:t>
      </w:r>
      <w:r>
        <w:rPr>
          <w:spacing w:val="-1"/>
        </w:rPr>
        <w:t xml:space="preserve"> </w:t>
      </w:r>
      <w:r>
        <w:t>casos</w:t>
      </w:r>
      <w:r>
        <w:rPr>
          <w:spacing w:val="-1"/>
        </w:rPr>
        <w:t xml:space="preserve"> </w:t>
      </w:r>
      <w:r>
        <w:t>relacionados</w:t>
      </w:r>
      <w:r>
        <w:rPr>
          <w:spacing w:val="-1"/>
        </w:rPr>
        <w:t xml:space="preserve"> </w:t>
      </w:r>
      <w:r>
        <w:t>con</w:t>
      </w:r>
      <w:r>
        <w:rPr>
          <w:spacing w:val="-1"/>
        </w:rPr>
        <w:t xml:space="preserve"> </w:t>
      </w:r>
      <w:r>
        <w:t>prendas</w:t>
      </w:r>
      <w:r>
        <w:rPr>
          <w:spacing w:val="-1"/>
        </w:rPr>
        <w:t xml:space="preserve"> </w:t>
      </w:r>
      <w:r>
        <w:t>de</w:t>
      </w:r>
      <w:r>
        <w:rPr>
          <w:spacing w:val="-1"/>
        </w:rPr>
        <w:t xml:space="preserve"> </w:t>
      </w:r>
      <w:r>
        <w:t>vestir</w:t>
      </w:r>
      <w:r>
        <w:rPr>
          <w:spacing w:val="-1"/>
        </w:rPr>
        <w:t xml:space="preserve"> </w:t>
      </w:r>
      <w:r>
        <w:t>religiosas</w:t>
      </w:r>
      <w:r>
        <w:rPr>
          <w:spacing w:val="-1"/>
        </w:rPr>
        <w:t xml:space="preserve"> </w:t>
      </w:r>
      <w:r>
        <w:t>u</w:t>
      </w:r>
      <w:r>
        <w:rPr>
          <w:spacing w:val="-1"/>
        </w:rPr>
        <w:t xml:space="preserve"> </w:t>
      </w:r>
      <w:r>
        <w:t>otras</w:t>
      </w:r>
      <w:r>
        <w:rPr>
          <w:spacing w:val="-1"/>
        </w:rPr>
        <w:t xml:space="preserve"> </w:t>
      </w:r>
      <w:r>
        <w:t>expresiones religiosas</w:t>
      </w:r>
      <w:r>
        <w:rPr>
          <w:spacing w:val="-5"/>
        </w:rPr>
        <w:t xml:space="preserve"> </w:t>
      </w:r>
      <w:r>
        <w:t>personales</w:t>
      </w:r>
      <w:r>
        <w:rPr>
          <w:spacing w:val="-5"/>
        </w:rPr>
        <w:t xml:space="preserve"> </w:t>
      </w:r>
      <w:r>
        <w:t>manifiestas</w:t>
      </w:r>
      <w:r>
        <w:rPr>
          <w:spacing w:val="-6"/>
        </w:rPr>
        <w:t xml:space="preserve"> </w:t>
      </w:r>
      <w:r>
        <w:t>(joyas,</w:t>
      </w:r>
      <w:r>
        <w:rPr>
          <w:spacing w:val="-5"/>
        </w:rPr>
        <w:t xml:space="preserve"> </w:t>
      </w:r>
      <w:r>
        <w:t>artículos</w:t>
      </w:r>
      <w:r>
        <w:rPr>
          <w:spacing w:val="-6"/>
        </w:rPr>
        <w:t xml:space="preserve"> </w:t>
      </w:r>
      <w:r>
        <w:t>para</w:t>
      </w:r>
      <w:r>
        <w:rPr>
          <w:spacing w:val="-5"/>
        </w:rPr>
        <w:t xml:space="preserve"> </w:t>
      </w:r>
      <w:r>
        <w:t>cubrirse</w:t>
      </w:r>
      <w:r>
        <w:rPr>
          <w:spacing w:val="-5"/>
        </w:rPr>
        <w:t xml:space="preserve"> </w:t>
      </w:r>
      <w:r>
        <w:t>la</w:t>
      </w:r>
      <w:r>
        <w:rPr>
          <w:spacing w:val="-5"/>
        </w:rPr>
        <w:t xml:space="preserve"> </w:t>
      </w:r>
      <w:r>
        <w:t>cabeza</w:t>
      </w:r>
      <w:r>
        <w:rPr>
          <w:spacing w:val="-5"/>
        </w:rPr>
        <w:t xml:space="preserve"> </w:t>
      </w:r>
      <w:r>
        <w:t>o</w:t>
      </w:r>
      <w:r>
        <w:rPr>
          <w:spacing w:val="-5"/>
        </w:rPr>
        <w:t xml:space="preserve"> </w:t>
      </w:r>
      <w:r>
        <w:t>el</w:t>
      </w:r>
      <w:r>
        <w:rPr>
          <w:spacing w:val="-5"/>
        </w:rPr>
        <w:t xml:space="preserve"> </w:t>
      </w:r>
      <w:r>
        <w:t>cabello,</w:t>
      </w:r>
      <w:r>
        <w:rPr>
          <w:spacing w:val="-4"/>
        </w:rPr>
        <w:t xml:space="preserve"> </w:t>
      </w:r>
      <w:r>
        <w:t>etc.)</w:t>
      </w:r>
      <w:r>
        <w:rPr>
          <w:spacing w:val="-5"/>
        </w:rPr>
        <w:t xml:space="preserve"> </w:t>
      </w:r>
      <w:r>
        <w:t>de</w:t>
      </w:r>
      <w:r>
        <w:rPr>
          <w:spacing w:val="-5"/>
        </w:rPr>
        <w:t xml:space="preserve"> </w:t>
      </w:r>
      <w:r>
        <w:t>una</w:t>
      </w:r>
      <w:r>
        <w:rPr>
          <w:spacing w:val="-5"/>
        </w:rPr>
        <w:t xml:space="preserve"> </w:t>
      </w:r>
      <w:r>
        <w:t>amplia</w:t>
      </w:r>
      <w:r>
        <w:rPr>
          <w:spacing w:val="-5"/>
        </w:rPr>
        <w:t xml:space="preserve"> </w:t>
      </w:r>
      <w:r>
        <w:t>gama</w:t>
      </w:r>
      <w:r>
        <w:rPr>
          <w:spacing w:val="-5"/>
        </w:rPr>
        <w:t xml:space="preserve"> </w:t>
      </w:r>
      <w:r>
        <w:t>de</w:t>
      </w:r>
      <w:r>
        <w:rPr>
          <w:spacing w:val="-5"/>
        </w:rPr>
        <w:t xml:space="preserve"> </w:t>
      </w:r>
      <w:r>
        <w:t>grupos,</w:t>
      </w:r>
      <w:r>
        <w:rPr>
          <w:spacing w:val="-5"/>
        </w:rPr>
        <w:t xml:space="preserve"> </w:t>
      </w:r>
      <w:r>
        <w:t>incluidos cristianos, judíos,</w:t>
      </w:r>
      <w:r>
        <w:rPr>
          <w:spacing w:val="-1"/>
        </w:rPr>
        <w:t xml:space="preserve"> </w:t>
      </w:r>
      <w:r>
        <w:t>musulmanes</w:t>
      </w:r>
      <w:r>
        <w:rPr>
          <w:spacing w:val="-1"/>
        </w:rPr>
        <w:t xml:space="preserve"> </w:t>
      </w:r>
      <w:r>
        <w:t>y</w:t>
      </w:r>
      <w:r>
        <w:rPr>
          <w:spacing w:val="-1"/>
        </w:rPr>
        <w:t xml:space="preserve"> </w:t>
      </w:r>
      <w:r>
        <w:t>sijs,</w:t>
      </w:r>
      <w:r>
        <w:rPr>
          <w:spacing w:val="-1"/>
        </w:rPr>
        <w:t xml:space="preserve"> </w:t>
      </w:r>
      <w:r>
        <w:t>por</w:t>
      </w:r>
      <w:r>
        <w:rPr>
          <w:spacing w:val="-1"/>
        </w:rPr>
        <w:t xml:space="preserve"> </w:t>
      </w:r>
      <w:r>
        <w:t>nombrar</w:t>
      </w:r>
      <w:r>
        <w:rPr>
          <w:spacing w:val="-1"/>
        </w:rPr>
        <w:t xml:space="preserve"> </w:t>
      </w:r>
      <w:r>
        <w:t>sólo</w:t>
      </w:r>
      <w:r>
        <w:rPr>
          <w:spacing w:val="-1"/>
        </w:rPr>
        <w:t xml:space="preserve"> </w:t>
      </w:r>
      <w:r>
        <w:t>algunos</w:t>
      </w:r>
      <w:proofErr w:type="gramStart"/>
      <w:r>
        <w:t>.</w:t>
      </w:r>
      <w:r>
        <w:rPr>
          <w:spacing w:val="-1"/>
        </w:rPr>
        <w:t xml:space="preserve"> </w:t>
      </w:r>
      <w:r>
        <w:t>.</w:t>
      </w:r>
      <w:proofErr w:type="gramEnd"/>
      <w:r>
        <w:t xml:space="preserve"> En</w:t>
      </w:r>
      <w:r>
        <w:rPr>
          <w:spacing w:val="-1"/>
        </w:rPr>
        <w:t xml:space="preserve"> </w:t>
      </w:r>
      <w:r>
        <w:t>general, los</w:t>
      </w:r>
      <w:r>
        <w:rPr>
          <w:spacing w:val="-1"/>
        </w:rPr>
        <w:t xml:space="preserve"> </w:t>
      </w:r>
      <w:r>
        <w:t>órganos</w:t>
      </w:r>
      <w:r>
        <w:rPr>
          <w:spacing w:val="-1"/>
        </w:rPr>
        <w:t xml:space="preserve"> </w:t>
      </w:r>
      <w:r>
        <w:t>y</w:t>
      </w:r>
      <w:r>
        <w:rPr>
          <w:spacing w:val="-1"/>
        </w:rPr>
        <w:t xml:space="preserve"> </w:t>
      </w:r>
      <w:r>
        <w:t>mecanismos</w:t>
      </w:r>
      <w:r>
        <w:rPr>
          <w:spacing w:val="-1"/>
        </w:rPr>
        <w:t xml:space="preserve"> </w:t>
      </w:r>
      <w:r>
        <w:t>de</w:t>
      </w:r>
      <w:r>
        <w:rPr>
          <w:spacing w:val="-1"/>
        </w:rPr>
        <w:t xml:space="preserve"> </w:t>
      </w:r>
      <w:r>
        <w:t>derechos</w:t>
      </w:r>
      <w:r>
        <w:rPr>
          <w:spacing w:val="-1"/>
        </w:rPr>
        <w:t xml:space="preserve"> </w:t>
      </w:r>
      <w:r>
        <w:t>humanos</w:t>
      </w:r>
      <w:r>
        <w:rPr>
          <w:spacing w:val="-1"/>
        </w:rPr>
        <w:t xml:space="preserve"> </w:t>
      </w:r>
      <w:r>
        <w:t>de las</w:t>
      </w:r>
      <w:r>
        <w:rPr>
          <w:spacing w:val="-9"/>
        </w:rPr>
        <w:t xml:space="preserve"> </w:t>
      </w:r>
      <w:r>
        <w:t>Naciones</w:t>
      </w:r>
      <w:r>
        <w:rPr>
          <w:spacing w:val="-9"/>
        </w:rPr>
        <w:t xml:space="preserve"> </w:t>
      </w:r>
      <w:r>
        <w:t>Unidas</w:t>
      </w:r>
      <w:r>
        <w:rPr>
          <w:spacing w:val="-9"/>
        </w:rPr>
        <w:t xml:space="preserve"> </w:t>
      </w:r>
      <w:r>
        <w:t>han</w:t>
      </w:r>
      <w:r>
        <w:rPr>
          <w:spacing w:val="-9"/>
        </w:rPr>
        <w:t xml:space="preserve"> </w:t>
      </w:r>
      <w:r>
        <w:t>tendido</w:t>
      </w:r>
      <w:r>
        <w:rPr>
          <w:spacing w:val="-9"/>
        </w:rPr>
        <w:t xml:space="preserve"> </w:t>
      </w:r>
      <w:r>
        <w:t>a</w:t>
      </w:r>
      <w:r>
        <w:rPr>
          <w:spacing w:val="-9"/>
        </w:rPr>
        <w:t xml:space="preserve"> </w:t>
      </w:r>
      <w:r>
        <w:t>considerar</w:t>
      </w:r>
      <w:r>
        <w:rPr>
          <w:spacing w:val="-9"/>
        </w:rPr>
        <w:t xml:space="preserve"> </w:t>
      </w:r>
      <w:r>
        <w:t>las</w:t>
      </w:r>
      <w:r>
        <w:rPr>
          <w:spacing w:val="-9"/>
        </w:rPr>
        <w:t xml:space="preserve"> </w:t>
      </w:r>
      <w:r>
        <w:t>restricciones</w:t>
      </w:r>
      <w:r>
        <w:rPr>
          <w:spacing w:val="-9"/>
        </w:rPr>
        <w:t xml:space="preserve"> </w:t>
      </w:r>
      <w:r>
        <w:t>a</w:t>
      </w:r>
      <w:r>
        <w:rPr>
          <w:spacing w:val="-9"/>
        </w:rPr>
        <w:t xml:space="preserve"> </w:t>
      </w:r>
      <w:r>
        <w:t>la</w:t>
      </w:r>
      <w:r>
        <w:rPr>
          <w:spacing w:val="-9"/>
        </w:rPr>
        <w:t xml:space="preserve"> </w:t>
      </w:r>
      <w:r>
        <w:t>exhibición</w:t>
      </w:r>
      <w:r>
        <w:rPr>
          <w:spacing w:val="-9"/>
        </w:rPr>
        <w:t xml:space="preserve"> </w:t>
      </w:r>
      <w:r>
        <w:t>pública</w:t>
      </w:r>
      <w:r>
        <w:rPr>
          <w:spacing w:val="-9"/>
        </w:rPr>
        <w:t xml:space="preserve"> </w:t>
      </w:r>
      <w:r>
        <w:t>de</w:t>
      </w:r>
      <w:r>
        <w:rPr>
          <w:spacing w:val="-9"/>
        </w:rPr>
        <w:t xml:space="preserve"> </w:t>
      </w:r>
      <w:r>
        <w:t>símbolos</w:t>
      </w:r>
      <w:r>
        <w:rPr>
          <w:spacing w:val="-9"/>
        </w:rPr>
        <w:t xml:space="preserve"> </w:t>
      </w:r>
      <w:r>
        <w:t>religiosos</w:t>
      </w:r>
      <w:r>
        <w:rPr>
          <w:spacing w:val="-9"/>
        </w:rPr>
        <w:t xml:space="preserve"> </w:t>
      </w:r>
      <w:r>
        <w:t>como</w:t>
      </w:r>
      <w:r>
        <w:rPr>
          <w:spacing w:val="-9"/>
        </w:rPr>
        <w:t xml:space="preserve"> </w:t>
      </w:r>
      <w:r>
        <w:t>más</w:t>
      </w:r>
      <w:r>
        <w:rPr>
          <w:spacing w:val="-9"/>
        </w:rPr>
        <w:t xml:space="preserve"> </w:t>
      </w:r>
      <w:r>
        <w:t>problemáticas que</w:t>
      </w:r>
      <w:r>
        <w:rPr>
          <w:spacing w:val="-2"/>
        </w:rPr>
        <w:t xml:space="preserve"> </w:t>
      </w:r>
      <w:r>
        <w:t>una</w:t>
      </w:r>
      <w:r>
        <w:rPr>
          <w:spacing w:val="-2"/>
        </w:rPr>
        <w:t xml:space="preserve"> </w:t>
      </w:r>
      <w:r>
        <w:t>serie</w:t>
      </w:r>
      <w:r>
        <w:rPr>
          <w:spacing w:val="-2"/>
        </w:rPr>
        <w:t xml:space="preserve"> </w:t>
      </w:r>
      <w:r>
        <w:t>de</w:t>
      </w:r>
      <w:r>
        <w:rPr>
          <w:spacing w:val="-2"/>
        </w:rPr>
        <w:t xml:space="preserve"> </w:t>
      </w:r>
      <w:r>
        <w:t>jueces</w:t>
      </w:r>
      <w:r>
        <w:rPr>
          <w:spacing w:val="-2"/>
        </w:rPr>
        <w:t xml:space="preserve"> </w:t>
      </w:r>
      <w:r>
        <w:t>a</w:t>
      </w:r>
      <w:r>
        <w:rPr>
          <w:spacing w:val="-2"/>
        </w:rPr>
        <w:t xml:space="preserve"> </w:t>
      </w:r>
      <w:r>
        <w:t>nivel</w:t>
      </w:r>
      <w:r>
        <w:rPr>
          <w:spacing w:val="-2"/>
        </w:rPr>
        <w:t xml:space="preserve"> </w:t>
      </w:r>
      <w:r>
        <w:t>nacional.</w:t>
      </w:r>
      <w:r>
        <w:rPr>
          <w:spacing w:val="-1"/>
        </w:rPr>
        <w:t xml:space="preserve"> </w:t>
      </w:r>
      <w:r>
        <w:t>De</w:t>
      </w:r>
      <w:r>
        <w:rPr>
          <w:spacing w:val="-2"/>
        </w:rPr>
        <w:t xml:space="preserve"> </w:t>
      </w:r>
      <w:r>
        <w:t>manera</w:t>
      </w:r>
      <w:r>
        <w:rPr>
          <w:spacing w:val="-2"/>
        </w:rPr>
        <w:t xml:space="preserve"> </w:t>
      </w:r>
      <w:r>
        <w:t>similar,</w:t>
      </w:r>
      <w:r>
        <w:rPr>
          <w:spacing w:val="-1"/>
        </w:rPr>
        <w:t xml:space="preserve"> </w:t>
      </w:r>
      <w:r>
        <w:t>el</w:t>
      </w:r>
      <w:r>
        <w:rPr>
          <w:spacing w:val="-2"/>
        </w:rPr>
        <w:t xml:space="preserve"> </w:t>
      </w:r>
      <w:r>
        <w:t>Tribunal</w:t>
      </w:r>
      <w:r>
        <w:rPr>
          <w:spacing w:val="-2"/>
        </w:rPr>
        <w:t xml:space="preserve"> </w:t>
      </w:r>
      <w:r>
        <w:t>Europeo</w:t>
      </w:r>
      <w:r>
        <w:rPr>
          <w:spacing w:val="-2"/>
        </w:rPr>
        <w:t xml:space="preserve"> </w:t>
      </w:r>
      <w:r>
        <w:t>de</w:t>
      </w:r>
      <w:r>
        <w:rPr>
          <w:spacing w:val="-2"/>
        </w:rPr>
        <w:t xml:space="preserve"> </w:t>
      </w:r>
      <w:r>
        <w:t>Derechos</w:t>
      </w:r>
      <w:r>
        <w:rPr>
          <w:spacing w:val="-2"/>
        </w:rPr>
        <w:t xml:space="preserve"> </w:t>
      </w:r>
      <w:r>
        <w:t>Humanos</w:t>
      </w:r>
      <w:r>
        <w:rPr>
          <w:spacing w:val="-2"/>
        </w:rPr>
        <w:t xml:space="preserve"> </w:t>
      </w:r>
      <w:r>
        <w:t>ha</w:t>
      </w:r>
      <w:r>
        <w:rPr>
          <w:spacing w:val="-2"/>
        </w:rPr>
        <w:t xml:space="preserve"> </w:t>
      </w:r>
      <w:r>
        <w:t>aceptado</w:t>
      </w:r>
      <w:r>
        <w:rPr>
          <w:spacing w:val="-2"/>
        </w:rPr>
        <w:t xml:space="preserve"> </w:t>
      </w:r>
      <w:r>
        <w:t>restricciones</w:t>
      </w:r>
    </w:p>
    <w:p w14:paraId="0BA8E6AC" w14:textId="77777777" w:rsidR="0014798C" w:rsidRDefault="004E1F0B">
      <w:pPr>
        <w:pStyle w:val="Textoindependiente"/>
        <w:spacing w:line="321" w:lineRule="auto"/>
        <w:ind w:left="1107" w:right="1272" w:firstLine="1"/>
      </w:pPr>
      <w:r>
        <w:t>a</w:t>
      </w:r>
      <w:r>
        <w:rPr>
          <w:spacing w:val="-1"/>
        </w:rPr>
        <w:t xml:space="preserve"> </w:t>
      </w:r>
      <w:r>
        <w:t>la</w:t>
      </w:r>
      <w:r>
        <w:rPr>
          <w:spacing w:val="-1"/>
        </w:rPr>
        <w:t xml:space="preserve"> </w:t>
      </w:r>
      <w:r>
        <w:t>vestimenta</w:t>
      </w:r>
      <w:r>
        <w:rPr>
          <w:spacing w:val="-1"/>
        </w:rPr>
        <w:t xml:space="preserve"> </w:t>
      </w:r>
      <w:r>
        <w:t>–o</w:t>
      </w:r>
      <w:r>
        <w:rPr>
          <w:spacing w:val="-1"/>
        </w:rPr>
        <w:t xml:space="preserve"> </w:t>
      </w:r>
      <w:r>
        <w:t>se</w:t>
      </w:r>
      <w:r>
        <w:rPr>
          <w:spacing w:val="-1"/>
        </w:rPr>
        <w:t xml:space="preserve"> </w:t>
      </w:r>
      <w:r>
        <w:t>ha</w:t>
      </w:r>
      <w:r>
        <w:rPr>
          <w:spacing w:val="-1"/>
        </w:rPr>
        <w:t xml:space="preserve"> </w:t>
      </w:r>
      <w:r>
        <w:t>negado</w:t>
      </w:r>
      <w:r>
        <w:rPr>
          <w:spacing w:val="-1"/>
        </w:rPr>
        <w:t xml:space="preserve"> </w:t>
      </w:r>
      <w:r>
        <w:t>a</w:t>
      </w:r>
      <w:r>
        <w:rPr>
          <w:spacing w:val="-1"/>
        </w:rPr>
        <w:t xml:space="preserve"> </w:t>
      </w:r>
      <w:r>
        <w:t>escuchar</w:t>
      </w:r>
      <w:r>
        <w:rPr>
          <w:spacing w:val="-1"/>
        </w:rPr>
        <w:t xml:space="preserve"> </w:t>
      </w:r>
      <w:r>
        <w:t>casos–</w:t>
      </w:r>
      <w:r>
        <w:rPr>
          <w:spacing w:val="-1"/>
        </w:rPr>
        <w:t xml:space="preserve"> </w:t>
      </w:r>
      <w:r>
        <w:t>en</w:t>
      </w:r>
      <w:r>
        <w:rPr>
          <w:spacing w:val="-1"/>
        </w:rPr>
        <w:t xml:space="preserve"> </w:t>
      </w:r>
      <w:r>
        <w:t>escenarios</w:t>
      </w:r>
      <w:r>
        <w:rPr>
          <w:spacing w:val="-1"/>
        </w:rPr>
        <w:t xml:space="preserve"> </w:t>
      </w:r>
      <w:r>
        <w:t>en</w:t>
      </w:r>
      <w:r>
        <w:rPr>
          <w:spacing w:val="-1"/>
        </w:rPr>
        <w:t xml:space="preserve"> </w:t>
      </w:r>
      <w:r>
        <w:t>los</w:t>
      </w:r>
      <w:r>
        <w:rPr>
          <w:spacing w:val="-1"/>
        </w:rPr>
        <w:t xml:space="preserve"> </w:t>
      </w:r>
      <w:r>
        <w:t>que</w:t>
      </w:r>
      <w:r>
        <w:rPr>
          <w:spacing w:val="-1"/>
        </w:rPr>
        <w:t xml:space="preserve"> </w:t>
      </w:r>
      <w:r>
        <w:t>órganos</w:t>
      </w:r>
      <w:r>
        <w:rPr>
          <w:spacing w:val="-1"/>
        </w:rPr>
        <w:t xml:space="preserve"> </w:t>
      </w:r>
      <w:r>
        <w:t>de</w:t>
      </w:r>
      <w:r>
        <w:rPr>
          <w:spacing w:val="-1"/>
        </w:rPr>
        <w:t xml:space="preserve"> </w:t>
      </w:r>
      <w:r>
        <w:t>las</w:t>
      </w:r>
      <w:r>
        <w:rPr>
          <w:spacing w:val="-1"/>
        </w:rPr>
        <w:t xml:space="preserve"> </w:t>
      </w:r>
      <w:r>
        <w:t>Naciones</w:t>
      </w:r>
      <w:r>
        <w:rPr>
          <w:spacing w:val="-1"/>
        </w:rPr>
        <w:t xml:space="preserve"> </w:t>
      </w:r>
      <w:r>
        <w:t>Unidas</w:t>
      </w:r>
      <w:r>
        <w:rPr>
          <w:spacing w:val="-1"/>
        </w:rPr>
        <w:t xml:space="preserve"> </w:t>
      </w:r>
      <w:r>
        <w:t>han</w:t>
      </w:r>
      <w:r>
        <w:rPr>
          <w:spacing w:val="-1"/>
        </w:rPr>
        <w:t xml:space="preserve"> </w:t>
      </w:r>
      <w:r>
        <w:t>escuchado casos</w:t>
      </w:r>
      <w:r>
        <w:rPr>
          <w:spacing w:val="-8"/>
        </w:rPr>
        <w:t xml:space="preserve"> </w:t>
      </w:r>
      <w:r>
        <w:t>y,</w:t>
      </w:r>
      <w:r>
        <w:rPr>
          <w:spacing w:val="-8"/>
        </w:rPr>
        <w:t xml:space="preserve"> </w:t>
      </w:r>
      <w:r>
        <w:t>de</w:t>
      </w:r>
      <w:r>
        <w:rPr>
          <w:spacing w:val="-8"/>
        </w:rPr>
        <w:t xml:space="preserve"> </w:t>
      </w:r>
      <w:r>
        <w:t>hecho,</w:t>
      </w:r>
      <w:r>
        <w:rPr>
          <w:spacing w:val="-8"/>
        </w:rPr>
        <w:t xml:space="preserve"> </w:t>
      </w:r>
      <w:r>
        <w:t>han</w:t>
      </w:r>
      <w:r>
        <w:rPr>
          <w:spacing w:val="-8"/>
        </w:rPr>
        <w:t xml:space="preserve"> </w:t>
      </w:r>
      <w:r>
        <w:t>considerado</w:t>
      </w:r>
      <w:r>
        <w:rPr>
          <w:spacing w:val="-8"/>
        </w:rPr>
        <w:t xml:space="preserve"> </w:t>
      </w:r>
      <w:r>
        <w:t>que</w:t>
      </w:r>
      <w:r>
        <w:rPr>
          <w:spacing w:val="-8"/>
        </w:rPr>
        <w:t xml:space="preserve"> </w:t>
      </w:r>
      <w:r>
        <w:t>las</w:t>
      </w:r>
      <w:r>
        <w:rPr>
          <w:spacing w:val="-8"/>
        </w:rPr>
        <w:t xml:space="preserve"> </w:t>
      </w:r>
      <w:r>
        <w:t>prácticas</w:t>
      </w:r>
      <w:r>
        <w:rPr>
          <w:spacing w:val="-8"/>
        </w:rPr>
        <w:t xml:space="preserve"> </w:t>
      </w:r>
      <w:r>
        <w:t>de</w:t>
      </w:r>
      <w:r>
        <w:rPr>
          <w:spacing w:val="-8"/>
        </w:rPr>
        <w:t xml:space="preserve"> </w:t>
      </w:r>
      <w:r>
        <w:t>los</w:t>
      </w:r>
      <w:r>
        <w:rPr>
          <w:spacing w:val="-8"/>
        </w:rPr>
        <w:t xml:space="preserve"> </w:t>
      </w:r>
      <w:r>
        <w:t>Estados</w:t>
      </w:r>
      <w:r>
        <w:rPr>
          <w:spacing w:val="-8"/>
        </w:rPr>
        <w:t xml:space="preserve"> </w:t>
      </w:r>
      <w:r>
        <w:t>son</w:t>
      </w:r>
      <w:r>
        <w:rPr>
          <w:spacing w:val="-8"/>
        </w:rPr>
        <w:t xml:space="preserve"> </w:t>
      </w:r>
      <w:r>
        <w:t>discriminatorias.</w:t>
      </w:r>
      <w:r>
        <w:rPr>
          <w:spacing w:val="-7"/>
        </w:rPr>
        <w:t xml:space="preserve"> </w:t>
      </w:r>
      <w:r>
        <w:t>También</w:t>
      </w:r>
      <w:r>
        <w:rPr>
          <w:spacing w:val="-8"/>
        </w:rPr>
        <w:t xml:space="preserve"> </w:t>
      </w:r>
      <w:r>
        <w:t>es</w:t>
      </w:r>
      <w:r>
        <w:rPr>
          <w:spacing w:val="-8"/>
        </w:rPr>
        <w:t xml:space="preserve"> </w:t>
      </w:r>
      <w:r>
        <w:t>una</w:t>
      </w:r>
      <w:r>
        <w:rPr>
          <w:spacing w:val="-8"/>
        </w:rPr>
        <w:t xml:space="preserve"> </w:t>
      </w:r>
      <w:r>
        <w:t>característica</w:t>
      </w:r>
      <w:r>
        <w:rPr>
          <w:spacing w:val="-8"/>
        </w:rPr>
        <w:t xml:space="preserve"> </w:t>
      </w:r>
      <w:r>
        <w:t>de</w:t>
      </w:r>
      <w:r>
        <w:rPr>
          <w:spacing w:val="-8"/>
        </w:rPr>
        <w:t xml:space="preserve"> </w:t>
      </w:r>
      <w:r>
        <w:t>esta jurisprudencia</w:t>
      </w:r>
      <w:r>
        <w:rPr>
          <w:spacing w:val="-2"/>
        </w:rPr>
        <w:t xml:space="preserve"> </w:t>
      </w:r>
      <w:r>
        <w:t>que</w:t>
      </w:r>
      <w:r>
        <w:rPr>
          <w:spacing w:val="-2"/>
        </w:rPr>
        <w:t xml:space="preserve"> </w:t>
      </w:r>
      <w:r>
        <w:t>los</w:t>
      </w:r>
      <w:r>
        <w:rPr>
          <w:spacing w:val="-2"/>
        </w:rPr>
        <w:t xml:space="preserve"> </w:t>
      </w:r>
      <w:r>
        <w:t>tribunales</w:t>
      </w:r>
      <w:r>
        <w:rPr>
          <w:spacing w:val="-2"/>
        </w:rPr>
        <w:t xml:space="preserve"> </w:t>
      </w:r>
      <w:r>
        <w:t>hayan</w:t>
      </w:r>
      <w:r>
        <w:rPr>
          <w:spacing w:val="-2"/>
        </w:rPr>
        <w:t xml:space="preserve"> </w:t>
      </w:r>
      <w:r>
        <w:t>sopesado</w:t>
      </w:r>
      <w:r>
        <w:rPr>
          <w:spacing w:val="-2"/>
        </w:rPr>
        <w:t xml:space="preserve"> </w:t>
      </w:r>
      <w:r>
        <w:t>diferentes</w:t>
      </w:r>
      <w:r>
        <w:rPr>
          <w:spacing w:val="-3"/>
        </w:rPr>
        <w:t xml:space="preserve"> </w:t>
      </w:r>
      <w:r>
        <w:t>consideraciones</w:t>
      </w:r>
      <w:r>
        <w:rPr>
          <w:spacing w:val="-2"/>
        </w:rPr>
        <w:t xml:space="preserve"> </w:t>
      </w:r>
      <w:r>
        <w:t>dependiendo</w:t>
      </w:r>
      <w:r>
        <w:rPr>
          <w:spacing w:val="-2"/>
        </w:rPr>
        <w:t xml:space="preserve"> </w:t>
      </w:r>
      <w:r>
        <w:t>del</w:t>
      </w:r>
      <w:r>
        <w:rPr>
          <w:spacing w:val="-2"/>
        </w:rPr>
        <w:t xml:space="preserve"> </w:t>
      </w:r>
      <w:r>
        <w:t>ámbito</w:t>
      </w:r>
      <w:r>
        <w:rPr>
          <w:spacing w:val="-2"/>
        </w:rPr>
        <w:t xml:space="preserve"> </w:t>
      </w:r>
      <w:r>
        <w:t>en</w:t>
      </w:r>
      <w:r>
        <w:rPr>
          <w:spacing w:val="-2"/>
        </w:rPr>
        <w:t xml:space="preserve"> </w:t>
      </w:r>
      <w:r>
        <w:t>cuestión</w:t>
      </w:r>
      <w:r>
        <w:rPr>
          <w:spacing w:val="-2"/>
        </w:rPr>
        <w:t xml:space="preserve"> </w:t>
      </w:r>
      <w:r>
        <w:t>(empleo, educación, atención sanitaria, etc.).</w:t>
      </w:r>
    </w:p>
    <w:p w14:paraId="69A61BE4" w14:textId="77777777" w:rsidR="0014798C" w:rsidRDefault="004E1F0B">
      <w:pPr>
        <w:pStyle w:val="Textoindependiente"/>
        <w:spacing w:before="180" w:line="326" w:lineRule="auto"/>
        <w:ind w:left="1105" w:right="1239" w:firstLine="60"/>
      </w:pPr>
      <w:r>
        <w:t>En</w:t>
      </w:r>
      <w:r>
        <w:rPr>
          <w:spacing w:val="-1"/>
        </w:rPr>
        <w:t xml:space="preserve"> </w:t>
      </w:r>
      <w:r>
        <w:t>situaciones</w:t>
      </w:r>
      <w:r>
        <w:rPr>
          <w:spacing w:val="-1"/>
        </w:rPr>
        <w:t xml:space="preserve"> </w:t>
      </w:r>
      <w:r>
        <w:t>en</w:t>
      </w:r>
      <w:r>
        <w:rPr>
          <w:spacing w:val="-1"/>
        </w:rPr>
        <w:t xml:space="preserve"> </w:t>
      </w:r>
      <w:r>
        <w:t>las</w:t>
      </w:r>
      <w:r>
        <w:rPr>
          <w:spacing w:val="-1"/>
        </w:rPr>
        <w:t xml:space="preserve"> </w:t>
      </w:r>
      <w:r>
        <w:t>que</w:t>
      </w:r>
      <w:r>
        <w:rPr>
          <w:spacing w:val="-1"/>
        </w:rPr>
        <w:t xml:space="preserve"> </w:t>
      </w:r>
      <w:r>
        <w:t>los</w:t>
      </w:r>
      <w:r>
        <w:rPr>
          <w:spacing w:val="-1"/>
        </w:rPr>
        <w:t xml:space="preserve"> </w:t>
      </w:r>
      <w:r>
        <w:t>códigos</w:t>
      </w:r>
      <w:r>
        <w:rPr>
          <w:spacing w:val="-1"/>
        </w:rPr>
        <w:t xml:space="preserve"> </w:t>
      </w:r>
      <w:r>
        <w:t>de</w:t>
      </w:r>
      <w:r>
        <w:rPr>
          <w:spacing w:val="-1"/>
        </w:rPr>
        <w:t xml:space="preserve"> </w:t>
      </w:r>
      <w:r>
        <w:t>vestimenta, las</w:t>
      </w:r>
      <w:r>
        <w:rPr>
          <w:spacing w:val="-1"/>
        </w:rPr>
        <w:t xml:space="preserve"> </w:t>
      </w:r>
      <w:r>
        <w:t>reglas</w:t>
      </w:r>
      <w:r>
        <w:rPr>
          <w:spacing w:val="-1"/>
        </w:rPr>
        <w:t xml:space="preserve"> </w:t>
      </w:r>
      <w:r>
        <w:t>uniformes</w:t>
      </w:r>
      <w:r>
        <w:rPr>
          <w:spacing w:val="-1"/>
        </w:rPr>
        <w:t xml:space="preserve"> </w:t>
      </w:r>
      <w:r>
        <w:t>u</w:t>
      </w:r>
      <w:r>
        <w:rPr>
          <w:spacing w:val="-1"/>
        </w:rPr>
        <w:t xml:space="preserve"> </w:t>
      </w:r>
      <w:r>
        <w:t>otras</w:t>
      </w:r>
      <w:r>
        <w:rPr>
          <w:spacing w:val="-1"/>
        </w:rPr>
        <w:t xml:space="preserve"> </w:t>
      </w:r>
      <w:r>
        <w:t>normas</w:t>
      </w:r>
      <w:r>
        <w:rPr>
          <w:spacing w:val="-1"/>
        </w:rPr>
        <w:t xml:space="preserve"> </w:t>
      </w:r>
      <w:r>
        <w:t>relacionadas</w:t>
      </w:r>
      <w:r>
        <w:rPr>
          <w:spacing w:val="-1"/>
        </w:rPr>
        <w:t xml:space="preserve"> </w:t>
      </w:r>
      <w:r>
        <w:t>con</w:t>
      </w:r>
      <w:r>
        <w:rPr>
          <w:spacing w:val="-1"/>
        </w:rPr>
        <w:t xml:space="preserve"> </w:t>
      </w:r>
      <w:r>
        <w:t>la</w:t>
      </w:r>
      <w:r>
        <w:rPr>
          <w:spacing w:val="-1"/>
        </w:rPr>
        <w:t xml:space="preserve"> </w:t>
      </w:r>
      <w:r>
        <w:t>apariencia</w:t>
      </w:r>
      <w:r>
        <w:rPr>
          <w:spacing w:val="-1"/>
        </w:rPr>
        <w:t xml:space="preserve"> </w:t>
      </w:r>
      <w:r>
        <w:t>personal entran</w:t>
      </w:r>
      <w:r>
        <w:rPr>
          <w:spacing w:val="-3"/>
        </w:rPr>
        <w:t xml:space="preserve"> </w:t>
      </w:r>
      <w:r>
        <w:t>en</w:t>
      </w:r>
      <w:r>
        <w:rPr>
          <w:spacing w:val="-3"/>
        </w:rPr>
        <w:t xml:space="preserve"> </w:t>
      </w:r>
      <w:r>
        <w:t>conflicto</w:t>
      </w:r>
      <w:r>
        <w:rPr>
          <w:spacing w:val="-3"/>
        </w:rPr>
        <w:t xml:space="preserve"> </w:t>
      </w:r>
      <w:r>
        <w:t>con</w:t>
      </w:r>
      <w:r>
        <w:rPr>
          <w:spacing w:val="-3"/>
        </w:rPr>
        <w:t xml:space="preserve"> </w:t>
      </w:r>
      <w:r>
        <w:t>la</w:t>
      </w:r>
      <w:r>
        <w:rPr>
          <w:spacing w:val="-3"/>
        </w:rPr>
        <w:t xml:space="preserve"> </w:t>
      </w:r>
      <w:r>
        <w:t>práctica</w:t>
      </w:r>
      <w:r>
        <w:rPr>
          <w:spacing w:val="-3"/>
        </w:rPr>
        <w:t xml:space="preserve"> </w:t>
      </w:r>
      <w:r>
        <w:t>religiosa</w:t>
      </w:r>
      <w:r>
        <w:rPr>
          <w:spacing w:val="-3"/>
        </w:rPr>
        <w:t xml:space="preserve"> </w:t>
      </w:r>
      <w:r>
        <w:t>u</w:t>
      </w:r>
      <w:r>
        <w:rPr>
          <w:spacing w:val="-3"/>
        </w:rPr>
        <w:t xml:space="preserve"> </w:t>
      </w:r>
      <w:r>
        <w:t>otras</w:t>
      </w:r>
      <w:r>
        <w:rPr>
          <w:spacing w:val="-3"/>
        </w:rPr>
        <w:t xml:space="preserve"> </w:t>
      </w:r>
      <w:r>
        <w:t>manifestaciones</w:t>
      </w:r>
      <w:r>
        <w:rPr>
          <w:spacing w:val="-4"/>
        </w:rPr>
        <w:t xml:space="preserve"> </w:t>
      </w:r>
      <w:r>
        <w:t>físicas</w:t>
      </w:r>
      <w:r>
        <w:rPr>
          <w:spacing w:val="-3"/>
        </w:rPr>
        <w:t xml:space="preserve"> </w:t>
      </w:r>
      <w:r>
        <w:t>de</w:t>
      </w:r>
      <w:r>
        <w:rPr>
          <w:spacing w:val="-3"/>
        </w:rPr>
        <w:t xml:space="preserve"> </w:t>
      </w:r>
      <w:r>
        <w:t>creencias</w:t>
      </w:r>
      <w:r>
        <w:rPr>
          <w:spacing w:val="-3"/>
        </w:rPr>
        <w:t xml:space="preserve"> </w:t>
      </w:r>
      <w:r>
        <w:t>religiosas,</w:t>
      </w:r>
      <w:r>
        <w:rPr>
          <w:spacing w:val="-2"/>
        </w:rPr>
        <w:t xml:space="preserve"> </w:t>
      </w:r>
      <w:r>
        <w:t>son</w:t>
      </w:r>
      <w:r>
        <w:rPr>
          <w:spacing w:val="-3"/>
        </w:rPr>
        <w:t xml:space="preserve"> </w:t>
      </w:r>
      <w:r>
        <w:t>prima</w:t>
      </w:r>
      <w:r>
        <w:rPr>
          <w:spacing w:val="-3"/>
        </w:rPr>
        <w:t xml:space="preserve"> </w:t>
      </w:r>
      <w:r>
        <w:t>facie</w:t>
      </w:r>
      <w:r>
        <w:rPr>
          <w:spacing w:val="-3"/>
        </w:rPr>
        <w:t xml:space="preserve"> </w:t>
      </w:r>
      <w:r>
        <w:t>indirectamente discriminatorias.</w:t>
      </w:r>
      <w:r>
        <w:rPr>
          <w:spacing w:val="-2"/>
        </w:rPr>
        <w:t xml:space="preserve"> </w:t>
      </w:r>
      <w:r>
        <w:t>Como</w:t>
      </w:r>
      <w:r>
        <w:rPr>
          <w:spacing w:val="-3"/>
        </w:rPr>
        <w:t xml:space="preserve"> </w:t>
      </w:r>
      <w:r>
        <w:t>resultado,</w:t>
      </w:r>
      <w:r>
        <w:rPr>
          <w:spacing w:val="-2"/>
        </w:rPr>
        <w:t xml:space="preserve"> </w:t>
      </w:r>
      <w:r>
        <w:t>si</w:t>
      </w:r>
      <w:r>
        <w:rPr>
          <w:spacing w:val="-3"/>
        </w:rPr>
        <w:t xml:space="preserve"> </w:t>
      </w:r>
      <w:r>
        <w:t>la</w:t>
      </w:r>
      <w:r>
        <w:rPr>
          <w:spacing w:val="-3"/>
        </w:rPr>
        <w:t xml:space="preserve"> </w:t>
      </w:r>
      <w:r>
        <w:t>aplicación</w:t>
      </w:r>
      <w:r>
        <w:rPr>
          <w:spacing w:val="-3"/>
        </w:rPr>
        <w:t xml:space="preserve"> </w:t>
      </w:r>
      <w:r>
        <w:t>de</w:t>
      </w:r>
      <w:r>
        <w:rPr>
          <w:spacing w:val="-3"/>
        </w:rPr>
        <w:t xml:space="preserve"> </w:t>
      </w:r>
      <w:r>
        <w:t>tales</w:t>
      </w:r>
      <w:r>
        <w:rPr>
          <w:spacing w:val="-3"/>
        </w:rPr>
        <w:t xml:space="preserve"> </w:t>
      </w:r>
      <w:r>
        <w:t>reglas</w:t>
      </w:r>
      <w:r>
        <w:rPr>
          <w:spacing w:val="-3"/>
        </w:rPr>
        <w:t xml:space="preserve"> </w:t>
      </w:r>
      <w:r>
        <w:t>puede</w:t>
      </w:r>
      <w:r>
        <w:rPr>
          <w:spacing w:val="-3"/>
        </w:rPr>
        <w:t xml:space="preserve"> </w:t>
      </w:r>
      <w:r>
        <w:t>justificarse</w:t>
      </w:r>
      <w:r>
        <w:rPr>
          <w:spacing w:val="-3"/>
        </w:rPr>
        <w:t xml:space="preserve"> </w:t>
      </w:r>
      <w:r>
        <w:t>está</w:t>
      </w:r>
      <w:r>
        <w:rPr>
          <w:spacing w:val="-3"/>
        </w:rPr>
        <w:t xml:space="preserve"> </w:t>
      </w:r>
      <w:r>
        <w:t>sujeta</w:t>
      </w:r>
      <w:r>
        <w:rPr>
          <w:spacing w:val="-3"/>
        </w:rPr>
        <w:t xml:space="preserve"> </w:t>
      </w:r>
      <w:r>
        <w:t>a</w:t>
      </w:r>
      <w:r>
        <w:rPr>
          <w:spacing w:val="-3"/>
        </w:rPr>
        <w:t xml:space="preserve"> </w:t>
      </w:r>
      <w:r>
        <w:t>una</w:t>
      </w:r>
      <w:r>
        <w:rPr>
          <w:spacing w:val="-3"/>
        </w:rPr>
        <w:t xml:space="preserve"> </w:t>
      </w:r>
      <w:r>
        <w:t>prueba</w:t>
      </w:r>
      <w:r>
        <w:rPr>
          <w:spacing w:val="-3"/>
        </w:rPr>
        <w:t xml:space="preserve"> </w:t>
      </w:r>
      <w:r>
        <w:t>de</w:t>
      </w:r>
      <w:r>
        <w:rPr>
          <w:spacing w:val="-3"/>
        </w:rPr>
        <w:t xml:space="preserve"> </w:t>
      </w:r>
      <w:r>
        <w:t>objetividad</w:t>
      </w:r>
      <w:r>
        <w:rPr>
          <w:spacing w:val="-3"/>
        </w:rPr>
        <w:t xml:space="preserve"> </w:t>
      </w:r>
      <w:r>
        <w:t>y razonabilidad.994</w:t>
      </w:r>
      <w:r>
        <w:rPr>
          <w:spacing w:val="-10"/>
        </w:rPr>
        <w:t xml:space="preserve"> </w:t>
      </w:r>
      <w:r>
        <w:t>Por</w:t>
      </w:r>
      <w:r>
        <w:rPr>
          <w:spacing w:val="-10"/>
        </w:rPr>
        <w:t xml:space="preserve"> </w:t>
      </w:r>
      <w:r>
        <w:t>ejemplo,</w:t>
      </w:r>
      <w:r>
        <w:rPr>
          <w:spacing w:val="-9"/>
        </w:rPr>
        <w:t xml:space="preserve"> </w:t>
      </w:r>
      <w:r>
        <w:t>en</w:t>
      </w:r>
      <w:r>
        <w:rPr>
          <w:spacing w:val="-10"/>
        </w:rPr>
        <w:t xml:space="preserve"> </w:t>
      </w:r>
      <w:r>
        <w:t>casos</w:t>
      </w:r>
      <w:r>
        <w:rPr>
          <w:spacing w:val="-10"/>
        </w:rPr>
        <w:t xml:space="preserve"> </w:t>
      </w:r>
      <w:r>
        <w:t>acumulados</w:t>
      </w:r>
      <w:r>
        <w:rPr>
          <w:spacing w:val="-10"/>
        </w:rPr>
        <w:t xml:space="preserve"> </w:t>
      </w:r>
      <w:r>
        <w:t>relacionados</w:t>
      </w:r>
      <w:r>
        <w:rPr>
          <w:spacing w:val="-10"/>
        </w:rPr>
        <w:t xml:space="preserve"> </w:t>
      </w:r>
      <w:r>
        <w:t>con</w:t>
      </w:r>
      <w:r>
        <w:rPr>
          <w:spacing w:val="-10"/>
        </w:rPr>
        <w:t xml:space="preserve"> </w:t>
      </w:r>
      <w:r>
        <w:t>cristianos</w:t>
      </w:r>
      <w:r>
        <w:rPr>
          <w:spacing w:val="-10"/>
        </w:rPr>
        <w:t xml:space="preserve"> </w:t>
      </w:r>
      <w:r>
        <w:t>practicantes</w:t>
      </w:r>
      <w:r>
        <w:rPr>
          <w:spacing w:val="-10"/>
        </w:rPr>
        <w:t xml:space="preserve"> </w:t>
      </w:r>
      <w:r>
        <w:t>a</w:t>
      </w:r>
      <w:r>
        <w:rPr>
          <w:spacing w:val="-10"/>
        </w:rPr>
        <w:t xml:space="preserve"> </w:t>
      </w:r>
      <w:r>
        <w:t>quienes</w:t>
      </w:r>
      <w:r>
        <w:rPr>
          <w:spacing w:val="-10"/>
        </w:rPr>
        <w:t xml:space="preserve"> </w:t>
      </w:r>
      <w:r>
        <w:t>se</w:t>
      </w:r>
      <w:r>
        <w:rPr>
          <w:spacing w:val="-10"/>
        </w:rPr>
        <w:t xml:space="preserve"> </w:t>
      </w:r>
      <w:r>
        <w:t>les</w:t>
      </w:r>
      <w:r>
        <w:rPr>
          <w:spacing w:val="-10"/>
        </w:rPr>
        <w:t xml:space="preserve"> </w:t>
      </w:r>
      <w:r>
        <w:t>impidió</w:t>
      </w:r>
      <w:r>
        <w:rPr>
          <w:spacing w:val="-10"/>
        </w:rPr>
        <w:t xml:space="preserve"> </w:t>
      </w:r>
      <w:r>
        <w:t>usar</w:t>
      </w:r>
      <w:r>
        <w:rPr>
          <w:spacing w:val="-10"/>
        </w:rPr>
        <w:t xml:space="preserve"> </w:t>
      </w:r>
      <w:r>
        <w:t>símbolos religiosos</w:t>
      </w:r>
      <w:r>
        <w:rPr>
          <w:spacing w:val="-2"/>
        </w:rPr>
        <w:t xml:space="preserve"> </w:t>
      </w:r>
      <w:r>
        <w:t>en</w:t>
      </w:r>
      <w:r>
        <w:rPr>
          <w:spacing w:val="-2"/>
        </w:rPr>
        <w:t xml:space="preserve"> </w:t>
      </w:r>
      <w:r>
        <w:t>el</w:t>
      </w:r>
      <w:r>
        <w:rPr>
          <w:spacing w:val="-2"/>
        </w:rPr>
        <w:t xml:space="preserve"> </w:t>
      </w:r>
      <w:r>
        <w:t>trabajo,</w:t>
      </w:r>
      <w:r>
        <w:rPr>
          <w:spacing w:val="-2"/>
        </w:rPr>
        <w:t xml:space="preserve"> </w:t>
      </w:r>
      <w:r>
        <w:t>el</w:t>
      </w:r>
      <w:r>
        <w:rPr>
          <w:spacing w:val="-2"/>
        </w:rPr>
        <w:t xml:space="preserve"> </w:t>
      </w:r>
      <w:r>
        <w:t>Tribunal</w:t>
      </w:r>
      <w:r>
        <w:rPr>
          <w:spacing w:val="-2"/>
        </w:rPr>
        <w:t xml:space="preserve"> </w:t>
      </w:r>
      <w:r>
        <w:t>Europeo</w:t>
      </w:r>
      <w:r>
        <w:rPr>
          <w:spacing w:val="-2"/>
        </w:rPr>
        <w:t xml:space="preserve"> </w:t>
      </w:r>
      <w:r>
        <w:t>de</w:t>
      </w:r>
      <w:r>
        <w:rPr>
          <w:spacing w:val="-2"/>
        </w:rPr>
        <w:t xml:space="preserve"> </w:t>
      </w:r>
      <w:r>
        <w:t>Derechos</w:t>
      </w:r>
      <w:r>
        <w:rPr>
          <w:spacing w:val="-2"/>
        </w:rPr>
        <w:t xml:space="preserve"> </w:t>
      </w:r>
      <w:r>
        <w:t>Humanos</w:t>
      </w:r>
      <w:r>
        <w:rPr>
          <w:spacing w:val="-2"/>
        </w:rPr>
        <w:t xml:space="preserve"> </w:t>
      </w:r>
      <w:r>
        <w:t>dictaminó</w:t>
      </w:r>
      <w:r>
        <w:rPr>
          <w:spacing w:val="-2"/>
        </w:rPr>
        <w:t xml:space="preserve"> </w:t>
      </w:r>
      <w:r>
        <w:t>que</w:t>
      </w:r>
      <w:r>
        <w:rPr>
          <w:spacing w:val="-2"/>
        </w:rPr>
        <w:t xml:space="preserve"> </w:t>
      </w:r>
      <w:r>
        <w:t>una</w:t>
      </w:r>
      <w:r>
        <w:rPr>
          <w:spacing w:val="-2"/>
        </w:rPr>
        <w:t xml:space="preserve"> </w:t>
      </w:r>
      <w:r>
        <w:t>prohibición</w:t>
      </w:r>
      <w:r>
        <w:rPr>
          <w:spacing w:val="-2"/>
        </w:rPr>
        <w:t xml:space="preserve"> </w:t>
      </w:r>
      <w:r>
        <w:t>por</w:t>
      </w:r>
      <w:r>
        <w:rPr>
          <w:spacing w:val="-2"/>
        </w:rPr>
        <w:t xml:space="preserve"> </w:t>
      </w:r>
      <w:r>
        <w:t>parte</w:t>
      </w:r>
      <w:r>
        <w:rPr>
          <w:spacing w:val="-2"/>
        </w:rPr>
        <w:t xml:space="preserve"> </w:t>
      </w:r>
      <w:r>
        <w:t>de</w:t>
      </w:r>
      <w:r>
        <w:rPr>
          <w:spacing w:val="-2"/>
        </w:rPr>
        <w:t xml:space="preserve"> </w:t>
      </w:r>
      <w:r>
        <w:t>British</w:t>
      </w:r>
      <w:r>
        <w:rPr>
          <w:spacing w:val="-2"/>
        </w:rPr>
        <w:t xml:space="preserve"> </w:t>
      </w:r>
      <w:r>
        <w:t>Airways basándose</w:t>
      </w:r>
      <w:r>
        <w:rPr>
          <w:spacing w:val="-4"/>
        </w:rPr>
        <w:t xml:space="preserve"> </w:t>
      </w:r>
      <w:r>
        <w:t>aparentemente</w:t>
      </w:r>
      <w:r>
        <w:rPr>
          <w:spacing w:val="-4"/>
        </w:rPr>
        <w:t xml:space="preserve"> </w:t>
      </w:r>
      <w:r>
        <w:t>en</w:t>
      </w:r>
      <w:r>
        <w:rPr>
          <w:spacing w:val="-4"/>
        </w:rPr>
        <w:t xml:space="preserve"> </w:t>
      </w:r>
      <w:r>
        <w:t>la</w:t>
      </w:r>
      <w:r>
        <w:rPr>
          <w:spacing w:val="-4"/>
        </w:rPr>
        <w:t xml:space="preserve"> </w:t>
      </w:r>
      <w:r>
        <w:t>necesidad</w:t>
      </w:r>
      <w:r>
        <w:rPr>
          <w:spacing w:val="-4"/>
        </w:rPr>
        <w:t xml:space="preserve"> </w:t>
      </w:r>
      <w:r>
        <w:t>de</w:t>
      </w:r>
      <w:r>
        <w:rPr>
          <w:spacing w:val="-4"/>
        </w:rPr>
        <w:t xml:space="preserve"> </w:t>
      </w:r>
      <w:r>
        <w:t>garantizar</w:t>
      </w:r>
      <w:r>
        <w:rPr>
          <w:spacing w:val="-4"/>
        </w:rPr>
        <w:t xml:space="preserve"> </w:t>
      </w:r>
      <w:r>
        <w:t>una</w:t>
      </w:r>
      <w:r>
        <w:rPr>
          <w:spacing w:val="-4"/>
        </w:rPr>
        <w:t xml:space="preserve"> </w:t>
      </w:r>
      <w:r>
        <w:t>imagen</w:t>
      </w:r>
      <w:r>
        <w:rPr>
          <w:spacing w:val="-4"/>
        </w:rPr>
        <w:t xml:space="preserve"> </w:t>
      </w:r>
      <w:r>
        <w:t>corporativa</w:t>
      </w:r>
      <w:r>
        <w:rPr>
          <w:spacing w:val="-4"/>
        </w:rPr>
        <w:t xml:space="preserve"> </w:t>
      </w:r>
      <w:r>
        <w:t>uniforme</w:t>
      </w:r>
      <w:r>
        <w:rPr>
          <w:spacing w:val="-4"/>
        </w:rPr>
        <w:t xml:space="preserve"> </w:t>
      </w:r>
      <w:r>
        <w:t>no</w:t>
      </w:r>
      <w:r>
        <w:rPr>
          <w:spacing w:val="-4"/>
        </w:rPr>
        <w:t xml:space="preserve"> </w:t>
      </w:r>
      <w:r>
        <w:t>estaba</w:t>
      </w:r>
      <w:r>
        <w:rPr>
          <w:spacing w:val="-4"/>
        </w:rPr>
        <w:t xml:space="preserve"> </w:t>
      </w:r>
      <w:r>
        <w:t>justificada,</w:t>
      </w:r>
      <w:r>
        <w:rPr>
          <w:spacing w:val="-3"/>
        </w:rPr>
        <w:t xml:space="preserve"> </w:t>
      </w:r>
      <w:r>
        <w:t>mientras</w:t>
      </w:r>
      <w:r>
        <w:rPr>
          <w:spacing w:val="-4"/>
        </w:rPr>
        <w:t xml:space="preserve"> </w:t>
      </w:r>
      <w:r>
        <w:t>que</w:t>
      </w:r>
      <w:r>
        <w:rPr>
          <w:spacing w:val="-4"/>
        </w:rPr>
        <w:t xml:space="preserve"> </w:t>
      </w:r>
      <w:r>
        <w:t>una prohibición</w:t>
      </w:r>
      <w:r>
        <w:rPr>
          <w:spacing w:val="-3"/>
        </w:rPr>
        <w:t xml:space="preserve"> </w:t>
      </w:r>
      <w:r>
        <w:t>similar</w:t>
      </w:r>
      <w:r>
        <w:rPr>
          <w:spacing w:val="-3"/>
        </w:rPr>
        <w:t xml:space="preserve"> </w:t>
      </w:r>
      <w:r>
        <w:t>por</w:t>
      </w:r>
      <w:r>
        <w:rPr>
          <w:spacing w:val="-3"/>
        </w:rPr>
        <w:t xml:space="preserve"> </w:t>
      </w:r>
      <w:r>
        <w:t>parte</w:t>
      </w:r>
      <w:r>
        <w:rPr>
          <w:spacing w:val="-3"/>
        </w:rPr>
        <w:t xml:space="preserve"> </w:t>
      </w:r>
      <w:r>
        <w:t>de</w:t>
      </w:r>
      <w:r>
        <w:rPr>
          <w:spacing w:val="-3"/>
        </w:rPr>
        <w:t xml:space="preserve"> </w:t>
      </w:r>
      <w:r>
        <w:t>un</w:t>
      </w:r>
      <w:r>
        <w:rPr>
          <w:spacing w:val="-3"/>
        </w:rPr>
        <w:t xml:space="preserve"> </w:t>
      </w:r>
      <w:r>
        <w:t>hospital,</w:t>
      </w:r>
      <w:r>
        <w:rPr>
          <w:spacing w:val="-2"/>
        </w:rPr>
        <w:t xml:space="preserve"> </w:t>
      </w:r>
      <w:r>
        <w:t>basada</w:t>
      </w:r>
      <w:r>
        <w:rPr>
          <w:spacing w:val="-3"/>
        </w:rPr>
        <w:t xml:space="preserve"> </w:t>
      </w:r>
      <w:r>
        <w:t>en</w:t>
      </w:r>
      <w:r>
        <w:rPr>
          <w:spacing w:val="-3"/>
        </w:rPr>
        <w:t xml:space="preserve"> </w:t>
      </w:r>
      <w:r>
        <w:t>consideraciones</w:t>
      </w:r>
      <w:r>
        <w:rPr>
          <w:spacing w:val="-3"/>
        </w:rPr>
        <w:t xml:space="preserve"> </w:t>
      </w:r>
      <w:r>
        <w:t>de</w:t>
      </w:r>
      <w:r>
        <w:rPr>
          <w:spacing w:val="-3"/>
        </w:rPr>
        <w:t xml:space="preserve"> </w:t>
      </w:r>
      <w:r>
        <w:t>salud</w:t>
      </w:r>
      <w:r>
        <w:rPr>
          <w:spacing w:val="-3"/>
        </w:rPr>
        <w:t xml:space="preserve"> </w:t>
      </w:r>
      <w:r>
        <w:t>pública,</w:t>
      </w:r>
      <w:r>
        <w:rPr>
          <w:spacing w:val="-2"/>
        </w:rPr>
        <w:t xml:space="preserve"> </w:t>
      </w:r>
      <w:r>
        <w:t>era</w:t>
      </w:r>
      <w:r>
        <w:rPr>
          <w:spacing w:val="-3"/>
        </w:rPr>
        <w:t xml:space="preserve"> </w:t>
      </w:r>
      <w:r>
        <w:t>una</w:t>
      </w:r>
      <w:r>
        <w:rPr>
          <w:spacing w:val="-3"/>
        </w:rPr>
        <w:t xml:space="preserve"> </w:t>
      </w:r>
      <w:r>
        <w:t>intrusión</w:t>
      </w:r>
      <w:r>
        <w:rPr>
          <w:spacing w:val="-3"/>
        </w:rPr>
        <w:t xml:space="preserve"> </w:t>
      </w:r>
      <w:r>
        <w:t>legítima</w:t>
      </w:r>
      <w:r>
        <w:rPr>
          <w:spacing w:val="-3"/>
        </w:rPr>
        <w:t xml:space="preserve"> </w:t>
      </w:r>
      <w:r>
        <w:t>y</w:t>
      </w:r>
      <w:r>
        <w:rPr>
          <w:spacing w:val="-3"/>
        </w:rPr>
        <w:t xml:space="preserve"> </w:t>
      </w:r>
      <w:r>
        <w:t>justificada</w:t>
      </w:r>
      <w:r>
        <w:rPr>
          <w:spacing w:val="-3"/>
        </w:rPr>
        <w:t xml:space="preserve"> </w:t>
      </w:r>
      <w:r>
        <w:t>en los derechos de la persona en cuestión.995</w:t>
      </w:r>
    </w:p>
    <w:p w14:paraId="2488E324" w14:textId="77777777" w:rsidR="0014798C" w:rsidRDefault="004E1F0B">
      <w:pPr>
        <w:pStyle w:val="Textoindependiente"/>
        <w:spacing w:before="166" w:line="326" w:lineRule="auto"/>
        <w:ind w:left="1105" w:right="1166" w:firstLine="2"/>
      </w:pPr>
      <w:r>
        <w:t>En</w:t>
      </w:r>
      <w:r>
        <w:rPr>
          <w:spacing w:val="-8"/>
        </w:rPr>
        <w:t xml:space="preserve"> </w:t>
      </w:r>
      <w:r>
        <w:t>el</w:t>
      </w:r>
      <w:r>
        <w:rPr>
          <w:spacing w:val="-8"/>
        </w:rPr>
        <w:t xml:space="preserve"> </w:t>
      </w:r>
      <w:r>
        <w:t>campo</w:t>
      </w:r>
      <w:r>
        <w:rPr>
          <w:spacing w:val="-8"/>
        </w:rPr>
        <w:t xml:space="preserve"> </w:t>
      </w:r>
      <w:r>
        <w:t>de</w:t>
      </w:r>
      <w:r>
        <w:rPr>
          <w:spacing w:val="-8"/>
        </w:rPr>
        <w:t xml:space="preserve"> </w:t>
      </w:r>
      <w:r>
        <w:t>la</w:t>
      </w:r>
      <w:r>
        <w:rPr>
          <w:spacing w:val="-8"/>
        </w:rPr>
        <w:t xml:space="preserve"> </w:t>
      </w:r>
      <w:r>
        <w:t>educación,</w:t>
      </w:r>
      <w:r>
        <w:rPr>
          <w:spacing w:val="-8"/>
        </w:rPr>
        <w:t xml:space="preserve"> </w:t>
      </w:r>
      <w:r>
        <w:t>el</w:t>
      </w:r>
      <w:r>
        <w:rPr>
          <w:spacing w:val="-8"/>
        </w:rPr>
        <w:t xml:space="preserve"> </w:t>
      </w:r>
      <w:r>
        <w:t>Comité</w:t>
      </w:r>
      <w:r>
        <w:rPr>
          <w:spacing w:val="-8"/>
        </w:rPr>
        <w:t xml:space="preserve"> </w:t>
      </w:r>
      <w:r>
        <w:t>de</w:t>
      </w:r>
      <w:r>
        <w:rPr>
          <w:spacing w:val="-8"/>
        </w:rPr>
        <w:t xml:space="preserve"> </w:t>
      </w:r>
      <w:r>
        <w:t>Derechos</w:t>
      </w:r>
      <w:r>
        <w:rPr>
          <w:spacing w:val="-8"/>
        </w:rPr>
        <w:t xml:space="preserve"> </w:t>
      </w:r>
      <w:r>
        <w:t>Humanos</w:t>
      </w:r>
      <w:r>
        <w:rPr>
          <w:spacing w:val="-8"/>
        </w:rPr>
        <w:t xml:space="preserve"> </w:t>
      </w:r>
      <w:r>
        <w:t>ha</w:t>
      </w:r>
      <w:r>
        <w:rPr>
          <w:spacing w:val="-8"/>
        </w:rPr>
        <w:t xml:space="preserve"> </w:t>
      </w:r>
      <w:r>
        <w:t>considerado</w:t>
      </w:r>
      <w:r>
        <w:rPr>
          <w:spacing w:val="-8"/>
        </w:rPr>
        <w:t xml:space="preserve"> </w:t>
      </w:r>
      <w:r>
        <w:t>que</w:t>
      </w:r>
      <w:r>
        <w:rPr>
          <w:spacing w:val="-8"/>
        </w:rPr>
        <w:t xml:space="preserve"> </w:t>
      </w:r>
      <w:r>
        <w:t>las</w:t>
      </w:r>
      <w:r>
        <w:rPr>
          <w:spacing w:val="-8"/>
        </w:rPr>
        <w:t xml:space="preserve"> </w:t>
      </w:r>
      <w:r>
        <w:t>restricciones</w:t>
      </w:r>
      <w:r>
        <w:rPr>
          <w:spacing w:val="-8"/>
        </w:rPr>
        <w:t xml:space="preserve"> </w:t>
      </w:r>
      <w:r>
        <w:t>a</w:t>
      </w:r>
      <w:r>
        <w:rPr>
          <w:spacing w:val="-8"/>
        </w:rPr>
        <w:t xml:space="preserve"> </w:t>
      </w:r>
      <w:r>
        <w:t>símbolos</w:t>
      </w:r>
      <w:r>
        <w:rPr>
          <w:spacing w:val="-8"/>
        </w:rPr>
        <w:t xml:space="preserve"> </w:t>
      </w:r>
      <w:r>
        <w:t>igualmente</w:t>
      </w:r>
      <w:r>
        <w:rPr>
          <w:spacing w:val="-8"/>
        </w:rPr>
        <w:t xml:space="preserve"> </w:t>
      </w:r>
      <w:r>
        <w:t>discretos usados</w:t>
      </w:r>
      <w:r>
        <w:rPr>
          <w:spacing w:val="-3"/>
        </w:rPr>
        <w:t xml:space="preserve"> </w:t>
      </w:r>
      <w:r>
        <w:t>por</w:t>
      </w:r>
      <w:r>
        <w:rPr>
          <w:spacing w:val="-3"/>
        </w:rPr>
        <w:t xml:space="preserve"> </w:t>
      </w:r>
      <w:r>
        <w:t>los</w:t>
      </w:r>
      <w:r>
        <w:rPr>
          <w:spacing w:val="-3"/>
        </w:rPr>
        <w:t xml:space="preserve"> </w:t>
      </w:r>
      <w:r>
        <w:t>estudiantes996</w:t>
      </w:r>
      <w:r>
        <w:rPr>
          <w:spacing w:val="-3"/>
        </w:rPr>
        <w:t xml:space="preserve"> </w:t>
      </w:r>
      <w:r>
        <w:t>constituyen</w:t>
      </w:r>
      <w:r>
        <w:rPr>
          <w:spacing w:val="-3"/>
        </w:rPr>
        <w:t xml:space="preserve"> </w:t>
      </w:r>
      <w:r>
        <w:t>una</w:t>
      </w:r>
      <w:r>
        <w:rPr>
          <w:spacing w:val="-3"/>
        </w:rPr>
        <w:t xml:space="preserve"> </w:t>
      </w:r>
      <w:r>
        <w:t>violación</w:t>
      </w:r>
      <w:r>
        <w:rPr>
          <w:spacing w:val="-3"/>
        </w:rPr>
        <w:t xml:space="preserve"> </w:t>
      </w:r>
      <w:r>
        <w:t>del</w:t>
      </w:r>
      <w:r>
        <w:rPr>
          <w:spacing w:val="-3"/>
        </w:rPr>
        <w:t xml:space="preserve"> </w:t>
      </w:r>
      <w:r>
        <w:t>Pacto</w:t>
      </w:r>
      <w:r>
        <w:rPr>
          <w:spacing w:val="-3"/>
        </w:rPr>
        <w:t xml:space="preserve"> </w:t>
      </w:r>
      <w:r>
        <w:t>Internacional</w:t>
      </w:r>
      <w:r>
        <w:rPr>
          <w:spacing w:val="-3"/>
        </w:rPr>
        <w:t xml:space="preserve"> </w:t>
      </w:r>
      <w:r>
        <w:t>de</w:t>
      </w:r>
      <w:r>
        <w:rPr>
          <w:spacing w:val="-3"/>
        </w:rPr>
        <w:t xml:space="preserve"> </w:t>
      </w:r>
      <w:r>
        <w:t>Derechos</w:t>
      </w:r>
      <w:r>
        <w:rPr>
          <w:spacing w:val="-3"/>
        </w:rPr>
        <w:t xml:space="preserve"> </w:t>
      </w:r>
      <w:r>
        <w:t>Civiles</w:t>
      </w:r>
      <w:r>
        <w:rPr>
          <w:spacing w:val="-3"/>
        </w:rPr>
        <w:t xml:space="preserve"> </w:t>
      </w:r>
      <w:r>
        <w:t>y</w:t>
      </w:r>
      <w:r>
        <w:rPr>
          <w:spacing w:val="-3"/>
        </w:rPr>
        <w:t xml:space="preserve"> </w:t>
      </w:r>
      <w:r>
        <w:t>Políticos.</w:t>
      </w:r>
      <w:r>
        <w:rPr>
          <w:spacing w:val="-3"/>
        </w:rPr>
        <w:t xml:space="preserve"> </w:t>
      </w:r>
      <w:r>
        <w:t>Sin</w:t>
      </w:r>
      <w:r>
        <w:rPr>
          <w:spacing w:val="-3"/>
        </w:rPr>
        <w:t xml:space="preserve"> </w:t>
      </w:r>
      <w:r>
        <w:t>embargo,</w:t>
      </w:r>
      <w:r>
        <w:rPr>
          <w:spacing w:val="-2"/>
        </w:rPr>
        <w:t xml:space="preserve"> </w:t>
      </w:r>
      <w:r>
        <w:t>el Tribunal</w:t>
      </w:r>
      <w:r>
        <w:rPr>
          <w:spacing w:val="-4"/>
        </w:rPr>
        <w:t xml:space="preserve"> </w:t>
      </w:r>
      <w:r>
        <w:t>Europeo</w:t>
      </w:r>
      <w:r>
        <w:rPr>
          <w:spacing w:val="-4"/>
        </w:rPr>
        <w:t xml:space="preserve"> </w:t>
      </w:r>
      <w:r>
        <w:t>de</w:t>
      </w:r>
      <w:r>
        <w:rPr>
          <w:spacing w:val="-4"/>
        </w:rPr>
        <w:t xml:space="preserve"> </w:t>
      </w:r>
      <w:r>
        <w:t>Derechos</w:t>
      </w:r>
      <w:r>
        <w:rPr>
          <w:spacing w:val="-4"/>
        </w:rPr>
        <w:t xml:space="preserve"> </w:t>
      </w:r>
      <w:r>
        <w:t>Humanos</w:t>
      </w:r>
      <w:r>
        <w:rPr>
          <w:spacing w:val="-4"/>
        </w:rPr>
        <w:t xml:space="preserve"> </w:t>
      </w:r>
      <w:r>
        <w:t>ha</w:t>
      </w:r>
      <w:r>
        <w:rPr>
          <w:spacing w:val="-4"/>
        </w:rPr>
        <w:t xml:space="preserve"> </w:t>
      </w:r>
      <w:r>
        <w:t>adoptado</w:t>
      </w:r>
      <w:r>
        <w:rPr>
          <w:spacing w:val="-4"/>
        </w:rPr>
        <w:t xml:space="preserve"> </w:t>
      </w:r>
      <w:r>
        <w:t>un</w:t>
      </w:r>
      <w:r>
        <w:rPr>
          <w:spacing w:val="-4"/>
        </w:rPr>
        <w:t xml:space="preserve"> </w:t>
      </w:r>
      <w:r>
        <w:t>enfoque</w:t>
      </w:r>
      <w:r>
        <w:rPr>
          <w:spacing w:val="-4"/>
        </w:rPr>
        <w:t xml:space="preserve"> </w:t>
      </w:r>
      <w:r>
        <w:t>más</w:t>
      </w:r>
      <w:r>
        <w:rPr>
          <w:spacing w:val="-4"/>
        </w:rPr>
        <w:t xml:space="preserve"> </w:t>
      </w:r>
      <w:r>
        <w:t>restrictivo</w:t>
      </w:r>
      <w:r>
        <w:rPr>
          <w:spacing w:val="-4"/>
        </w:rPr>
        <w:t xml:space="preserve"> </w:t>
      </w:r>
      <w:r>
        <w:t>respecto</w:t>
      </w:r>
      <w:r>
        <w:rPr>
          <w:spacing w:val="-4"/>
        </w:rPr>
        <w:t xml:space="preserve"> </w:t>
      </w:r>
      <w:r>
        <w:t>del</w:t>
      </w:r>
      <w:r>
        <w:rPr>
          <w:spacing w:val="-4"/>
        </w:rPr>
        <w:t xml:space="preserve"> </w:t>
      </w:r>
      <w:r>
        <w:t>margen</w:t>
      </w:r>
      <w:r>
        <w:rPr>
          <w:spacing w:val="-4"/>
        </w:rPr>
        <w:t xml:space="preserve"> </w:t>
      </w:r>
      <w:r>
        <w:t>otorgado</w:t>
      </w:r>
      <w:r>
        <w:rPr>
          <w:spacing w:val="-4"/>
        </w:rPr>
        <w:t xml:space="preserve"> </w:t>
      </w:r>
      <w:r>
        <w:t>a</w:t>
      </w:r>
      <w:r>
        <w:rPr>
          <w:spacing w:val="-4"/>
        </w:rPr>
        <w:t xml:space="preserve"> </w:t>
      </w:r>
      <w:r>
        <w:t>los</w:t>
      </w:r>
      <w:r>
        <w:rPr>
          <w:spacing w:val="-4"/>
        </w:rPr>
        <w:t xml:space="preserve"> </w:t>
      </w:r>
      <w:r>
        <w:t>docentes</w:t>
      </w:r>
      <w:r>
        <w:rPr>
          <w:spacing w:val="-4"/>
        </w:rPr>
        <w:t xml:space="preserve"> </w:t>
      </w:r>
      <w:r>
        <w:t>para usar</w:t>
      </w:r>
      <w:r>
        <w:rPr>
          <w:spacing w:val="-3"/>
        </w:rPr>
        <w:t xml:space="preserve"> </w:t>
      </w:r>
      <w:r>
        <w:t>vestimenta</w:t>
      </w:r>
      <w:r>
        <w:rPr>
          <w:spacing w:val="-3"/>
        </w:rPr>
        <w:t xml:space="preserve"> </w:t>
      </w:r>
      <w:r>
        <w:t>religiosa.997</w:t>
      </w:r>
      <w:r>
        <w:rPr>
          <w:spacing w:val="-3"/>
        </w:rPr>
        <w:t xml:space="preserve"> </w:t>
      </w:r>
      <w:r>
        <w:t>Sin</w:t>
      </w:r>
      <w:r>
        <w:rPr>
          <w:spacing w:val="-3"/>
        </w:rPr>
        <w:t xml:space="preserve"> </w:t>
      </w:r>
      <w:r>
        <w:t>embargo,</w:t>
      </w:r>
      <w:r>
        <w:rPr>
          <w:spacing w:val="-2"/>
        </w:rPr>
        <w:t xml:space="preserve"> </w:t>
      </w:r>
      <w:r>
        <w:t>sigue</w:t>
      </w:r>
      <w:r>
        <w:rPr>
          <w:spacing w:val="-3"/>
        </w:rPr>
        <w:t xml:space="preserve"> </w:t>
      </w:r>
      <w:r>
        <w:t>siendo</w:t>
      </w:r>
      <w:r>
        <w:rPr>
          <w:spacing w:val="-3"/>
        </w:rPr>
        <w:t xml:space="preserve"> </w:t>
      </w:r>
      <w:r>
        <w:t>fundamental</w:t>
      </w:r>
      <w:r>
        <w:rPr>
          <w:spacing w:val="-3"/>
        </w:rPr>
        <w:t xml:space="preserve"> </w:t>
      </w:r>
      <w:r>
        <w:t>el</w:t>
      </w:r>
      <w:r>
        <w:rPr>
          <w:spacing w:val="-3"/>
        </w:rPr>
        <w:t xml:space="preserve"> </w:t>
      </w:r>
      <w:r>
        <w:t>principio</w:t>
      </w:r>
      <w:r>
        <w:rPr>
          <w:spacing w:val="-3"/>
        </w:rPr>
        <w:t xml:space="preserve"> </w:t>
      </w:r>
      <w:r>
        <w:t>de</w:t>
      </w:r>
      <w:r>
        <w:rPr>
          <w:spacing w:val="-3"/>
        </w:rPr>
        <w:t xml:space="preserve"> </w:t>
      </w:r>
      <w:r>
        <w:t>que</w:t>
      </w:r>
      <w:r>
        <w:rPr>
          <w:spacing w:val="-3"/>
        </w:rPr>
        <w:t xml:space="preserve"> </w:t>
      </w:r>
      <w:r>
        <w:t>no</w:t>
      </w:r>
      <w:r>
        <w:rPr>
          <w:spacing w:val="-3"/>
        </w:rPr>
        <w:t xml:space="preserve"> </w:t>
      </w:r>
      <w:r>
        <w:t>es</w:t>
      </w:r>
      <w:r>
        <w:rPr>
          <w:spacing w:val="-3"/>
        </w:rPr>
        <w:t xml:space="preserve"> </w:t>
      </w:r>
      <w:r>
        <w:t>legítimo</w:t>
      </w:r>
      <w:r>
        <w:rPr>
          <w:spacing w:val="-3"/>
        </w:rPr>
        <w:t xml:space="preserve"> </w:t>
      </w:r>
      <w:r>
        <w:t>permitir</w:t>
      </w:r>
      <w:r>
        <w:rPr>
          <w:spacing w:val="-3"/>
        </w:rPr>
        <w:t xml:space="preserve"> </w:t>
      </w:r>
      <w:r>
        <w:t>algunas</w:t>
      </w:r>
      <w:r>
        <w:rPr>
          <w:spacing w:val="-3"/>
        </w:rPr>
        <w:t xml:space="preserve"> </w:t>
      </w:r>
      <w:r>
        <w:t>formas</w:t>
      </w:r>
      <w:r>
        <w:rPr>
          <w:spacing w:val="-3"/>
        </w:rPr>
        <w:t xml:space="preserve"> </w:t>
      </w:r>
      <w:r>
        <w:t>de expresión</w:t>
      </w:r>
      <w:r>
        <w:rPr>
          <w:spacing w:val="-3"/>
        </w:rPr>
        <w:t xml:space="preserve"> </w:t>
      </w:r>
      <w:r>
        <w:t>religiosa</w:t>
      </w:r>
      <w:r>
        <w:rPr>
          <w:spacing w:val="-3"/>
        </w:rPr>
        <w:t xml:space="preserve"> </w:t>
      </w:r>
      <w:r>
        <w:t>(es</w:t>
      </w:r>
      <w:r>
        <w:rPr>
          <w:spacing w:val="-3"/>
        </w:rPr>
        <w:t xml:space="preserve"> </w:t>
      </w:r>
      <w:r>
        <w:t>decir,</w:t>
      </w:r>
      <w:r>
        <w:rPr>
          <w:spacing w:val="-3"/>
        </w:rPr>
        <w:t xml:space="preserve"> </w:t>
      </w:r>
      <w:r>
        <w:t>las</w:t>
      </w:r>
      <w:r>
        <w:rPr>
          <w:spacing w:val="-3"/>
        </w:rPr>
        <w:t xml:space="preserve"> </w:t>
      </w:r>
      <w:r>
        <w:t>de</w:t>
      </w:r>
      <w:r>
        <w:rPr>
          <w:spacing w:val="-3"/>
        </w:rPr>
        <w:t xml:space="preserve"> </w:t>
      </w:r>
      <w:r>
        <w:t>un</w:t>
      </w:r>
      <w:r>
        <w:rPr>
          <w:spacing w:val="-3"/>
        </w:rPr>
        <w:t xml:space="preserve"> </w:t>
      </w:r>
      <w:r>
        <w:t>religión</w:t>
      </w:r>
      <w:r>
        <w:rPr>
          <w:spacing w:val="-3"/>
        </w:rPr>
        <w:t xml:space="preserve"> </w:t>
      </w:r>
      <w:r>
        <w:t>mayoritaria),</w:t>
      </w:r>
      <w:r>
        <w:rPr>
          <w:spacing w:val="-2"/>
        </w:rPr>
        <w:t xml:space="preserve"> </w:t>
      </w:r>
      <w:r>
        <w:t>al</w:t>
      </w:r>
      <w:r>
        <w:rPr>
          <w:spacing w:val="-3"/>
        </w:rPr>
        <w:t xml:space="preserve"> </w:t>
      </w:r>
      <w:r>
        <w:t>tiempo</w:t>
      </w:r>
      <w:r>
        <w:rPr>
          <w:spacing w:val="-3"/>
        </w:rPr>
        <w:t xml:space="preserve"> </w:t>
      </w:r>
      <w:r>
        <w:t>que</w:t>
      </w:r>
      <w:r>
        <w:rPr>
          <w:spacing w:val="-3"/>
        </w:rPr>
        <w:t xml:space="preserve"> </w:t>
      </w:r>
      <w:r>
        <w:t>prohíbe</w:t>
      </w:r>
      <w:r>
        <w:rPr>
          <w:spacing w:val="-3"/>
        </w:rPr>
        <w:t xml:space="preserve"> </w:t>
      </w:r>
      <w:r>
        <w:t>las</w:t>
      </w:r>
      <w:r>
        <w:rPr>
          <w:spacing w:val="-3"/>
        </w:rPr>
        <w:t xml:space="preserve"> </w:t>
      </w:r>
      <w:r>
        <w:t>de</w:t>
      </w:r>
      <w:r>
        <w:rPr>
          <w:spacing w:val="-3"/>
        </w:rPr>
        <w:t xml:space="preserve"> </w:t>
      </w:r>
      <w:r>
        <w:t>una</w:t>
      </w:r>
      <w:r>
        <w:rPr>
          <w:spacing w:val="-3"/>
        </w:rPr>
        <w:t xml:space="preserve"> </w:t>
      </w:r>
      <w:r>
        <w:t>minoría</w:t>
      </w:r>
      <w:r>
        <w:rPr>
          <w:spacing w:val="-3"/>
        </w:rPr>
        <w:t xml:space="preserve"> </w:t>
      </w:r>
      <w:r>
        <w:t>religiosa.998</w:t>
      </w:r>
    </w:p>
    <w:p w14:paraId="327EAE0D" w14:textId="77777777" w:rsidR="0014798C" w:rsidRDefault="004E1F0B">
      <w:pPr>
        <w:pStyle w:val="Textoindependiente"/>
        <w:spacing w:line="326" w:lineRule="auto"/>
        <w:ind w:left="1109" w:right="1406" w:hanging="4"/>
      </w:pPr>
      <w:r>
        <w:t>El</w:t>
      </w:r>
      <w:r>
        <w:rPr>
          <w:spacing w:val="-1"/>
        </w:rPr>
        <w:t xml:space="preserve"> </w:t>
      </w:r>
      <w:r>
        <w:t>Relator</w:t>
      </w:r>
      <w:r>
        <w:rPr>
          <w:spacing w:val="-1"/>
        </w:rPr>
        <w:t xml:space="preserve"> </w:t>
      </w:r>
      <w:r>
        <w:t>Especial</w:t>
      </w:r>
      <w:r>
        <w:rPr>
          <w:spacing w:val="-1"/>
        </w:rPr>
        <w:t xml:space="preserve"> </w:t>
      </w:r>
      <w:r>
        <w:t>sobre</w:t>
      </w:r>
      <w:r>
        <w:rPr>
          <w:spacing w:val="-1"/>
        </w:rPr>
        <w:t xml:space="preserve"> </w:t>
      </w:r>
      <w:r>
        <w:t>la</w:t>
      </w:r>
      <w:r>
        <w:rPr>
          <w:spacing w:val="-1"/>
        </w:rPr>
        <w:t xml:space="preserve"> </w:t>
      </w:r>
      <w:r>
        <w:t>libertad</w:t>
      </w:r>
      <w:r>
        <w:rPr>
          <w:spacing w:val="-1"/>
        </w:rPr>
        <w:t xml:space="preserve"> </w:t>
      </w:r>
      <w:r>
        <w:t>de</w:t>
      </w:r>
      <w:r>
        <w:rPr>
          <w:spacing w:val="-1"/>
        </w:rPr>
        <w:t xml:space="preserve"> </w:t>
      </w:r>
      <w:r>
        <w:t>religión</w:t>
      </w:r>
      <w:r>
        <w:rPr>
          <w:spacing w:val="-1"/>
        </w:rPr>
        <w:t xml:space="preserve"> </w:t>
      </w:r>
      <w:r>
        <w:t>o</w:t>
      </w:r>
      <w:r>
        <w:rPr>
          <w:spacing w:val="-1"/>
        </w:rPr>
        <w:t xml:space="preserve"> </w:t>
      </w:r>
      <w:r>
        <w:t>de</w:t>
      </w:r>
      <w:r>
        <w:rPr>
          <w:spacing w:val="-1"/>
        </w:rPr>
        <w:t xml:space="preserve"> </w:t>
      </w:r>
      <w:r>
        <w:t>creencias</w:t>
      </w:r>
      <w:r>
        <w:rPr>
          <w:spacing w:val="-1"/>
        </w:rPr>
        <w:t xml:space="preserve"> </w:t>
      </w:r>
      <w:r>
        <w:t>ha</w:t>
      </w:r>
      <w:r>
        <w:rPr>
          <w:spacing w:val="-1"/>
        </w:rPr>
        <w:t xml:space="preserve"> </w:t>
      </w:r>
      <w:r>
        <w:t>elaborado</w:t>
      </w:r>
      <w:r>
        <w:rPr>
          <w:spacing w:val="-1"/>
        </w:rPr>
        <w:t xml:space="preserve"> </w:t>
      </w:r>
      <w:r>
        <w:t>un</w:t>
      </w:r>
      <w:r>
        <w:rPr>
          <w:spacing w:val="-1"/>
        </w:rPr>
        <w:t xml:space="preserve"> </w:t>
      </w:r>
      <w:r>
        <w:t>conjunto</w:t>
      </w:r>
      <w:r>
        <w:rPr>
          <w:spacing w:val="-1"/>
        </w:rPr>
        <w:t xml:space="preserve"> </w:t>
      </w:r>
      <w:r>
        <w:t>de</w:t>
      </w:r>
      <w:r>
        <w:rPr>
          <w:spacing w:val="-1"/>
        </w:rPr>
        <w:t xml:space="preserve"> </w:t>
      </w:r>
      <w:r>
        <w:t>indicadores</w:t>
      </w:r>
      <w:r>
        <w:rPr>
          <w:spacing w:val="-1"/>
        </w:rPr>
        <w:t xml:space="preserve"> </w:t>
      </w:r>
      <w:r>
        <w:t>“agravantes</w:t>
      </w:r>
      <w:r>
        <w:rPr>
          <w:spacing w:val="-1"/>
        </w:rPr>
        <w:t xml:space="preserve"> </w:t>
      </w:r>
      <w:r>
        <w:t>o</w:t>
      </w:r>
      <w:r>
        <w:rPr>
          <w:spacing w:val="-1"/>
        </w:rPr>
        <w:t xml:space="preserve"> </w:t>
      </w:r>
      <w:r>
        <w:t>neutrales” que</w:t>
      </w:r>
      <w:r>
        <w:rPr>
          <w:spacing w:val="-7"/>
        </w:rPr>
        <w:t xml:space="preserve"> </w:t>
      </w:r>
      <w:r>
        <w:t>pueden</w:t>
      </w:r>
      <w:r>
        <w:rPr>
          <w:spacing w:val="-7"/>
        </w:rPr>
        <w:t xml:space="preserve"> </w:t>
      </w:r>
      <w:r>
        <w:t>utilizarse</w:t>
      </w:r>
      <w:r>
        <w:rPr>
          <w:spacing w:val="-7"/>
        </w:rPr>
        <w:t xml:space="preserve"> </w:t>
      </w:r>
      <w:r>
        <w:t>para</w:t>
      </w:r>
      <w:r>
        <w:rPr>
          <w:spacing w:val="-7"/>
        </w:rPr>
        <w:t xml:space="preserve"> </w:t>
      </w:r>
      <w:r>
        <w:t>evaluar</w:t>
      </w:r>
      <w:r>
        <w:rPr>
          <w:spacing w:val="-7"/>
        </w:rPr>
        <w:t xml:space="preserve"> </w:t>
      </w:r>
      <w:r>
        <w:t>la</w:t>
      </w:r>
      <w:r>
        <w:rPr>
          <w:spacing w:val="-7"/>
        </w:rPr>
        <w:t xml:space="preserve"> </w:t>
      </w:r>
      <w:r>
        <w:t>legitimidad</w:t>
      </w:r>
      <w:r>
        <w:rPr>
          <w:spacing w:val="-7"/>
        </w:rPr>
        <w:t xml:space="preserve"> </w:t>
      </w:r>
      <w:r>
        <w:t>“desde</w:t>
      </w:r>
      <w:r>
        <w:rPr>
          <w:spacing w:val="-7"/>
        </w:rPr>
        <w:t xml:space="preserve"> </w:t>
      </w:r>
      <w:r>
        <w:t>la</w:t>
      </w:r>
      <w:r>
        <w:rPr>
          <w:spacing w:val="-7"/>
        </w:rPr>
        <w:t xml:space="preserve"> </w:t>
      </w:r>
      <w:r>
        <w:t>perspectiva</w:t>
      </w:r>
      <w:r>
        <w:rPr>
          <w:spacing w:val="-7"/>
        </w:rPr>
        <w:t xml:space="preserve"> </w:t>
      </w:r>
      <w:r>
        <w:t>del</w:t>
      </w:r>
      <w:r>
        <w:rPr>
          <w:spacing w:val="-7"/>
        </w:rPr>
        <w:t xml:space="preserve"> </w:t>
      </w:r>
      <w:r>
        <w:t>derecho</w:t>
      </w:r>
      <w:r>
        <w:rPr>
          <w:spacing w:val="-7"/>
        </w:rPr>
        <w:t xml:space="preserve"> </w:t>
      </w:r>
      <w:r>
        <w:t>de</w:t>
      </w:r>
      <w:r>
        <w:rPr>
          <w:spacing w:val="-7"/>
        </w:rPr>
        <w:t xml:space="preserve"> </w:t>
      </w:r>
      <w:r>
        <w:t>los</w:t>
      </w:r>
      <w:r>
        <w:rPr>
          <w:spacing w:val="-7"/>
        </w:rPr>
        <w:t xml:space="preserve"> </w:t>
      </w:r>
      <w:r>
        <w:t>derechos</w:t>
      </w:r>
      <w:r>
        <w:rPr>
          <w:spacing w:val="-7"/>
        </w:rPr>
        <w:t xml:space="preserve"> </w:t>
      </w:r>
      <w:r>
        <w:t>humanos</w:t>
      </w:r>
      <w:r>
        <w:rPr>
          <w:spacing w:val="-7"/>
        </w:rPr>
        <w:t xml:space="preserve"> </w:t>
      </w:r>
      <w:r>
        <w:t>[de]</w:t>
      </w:r>
      <w:r>
        <w:rPr>
          <w:spacing w:val="-7"/>
        </w:rPr>
        <w:t xml:space="preserve"> </w:t>
      </w:r>
      <w:r>
        <w:t>las</w:t>
      </w:r>
      <w:r>
        <w:rPr>
          <w:spacing w:val="-7"/>
        </w:rPr>
        <w:t xml:space="preserve"> </w:t>
      </w:r>
      <w:r>
        <w:t>restricciones y</w:t>
      </w:r>
      <w:r>
        <w:rPr>
          <w:spacing w:val="-1"/>
        </w:rPr>
        <w:t xml:space="preserve"> </w:t>
      </w:r>
      <w:r>
        <w:t>prohibiciones</w:t>
      </w:r>
      <w:r>
        <w:rPr>
          <w:spacing w:val="-1"/>
        </w:rPr>
        <w:t xml:space="preserve"> </w:t>
      </w:r>
      <w:r>
        <w:t>de</w:t>
      </w:r>
      <w:r>
        <w:rPr>
          <w:spacing w:val="-1"/>
        </w:rPr>
        <w:t xml:space="preserve"> </w:t>
      </w:r>
      <w:r>
        <w:t>llevar</w:t>
      </w:r>
      <w:r>
        <w:rPr>
          <w:spacing w:val="-1"/>
        </w:rPr>
        <w:t xml:space="preserve"> </w:t>
      </w:r>
      <w:r>
        <w:t>símbolos</w:t>
      </w:r>
      <w:r>
        <w:rPr>
          <w:spacing w:val="-1"/>
        </w:rPr>
        <w:t xml:space="preserve"> </w:t>
      </w:r>
      <w:r>
        <w:t>religiosos”. La</w:t>
      </w:r>
      <w:r>
        <w:rPr>
          <w:spacing w:val="-1"/>
        </w:rPr>
        <w:t xml:space="preserve"> </w:t>
      </w:r>
      <w:r>
        <w:t>aplicación</w:t>
      </w:r>
      <w:r>
        <w:rPr>
          <w:spacing w:val="-1"/>
        </w:rPr>
        <w:t xml:space="preserve"> </w:t>
      </w:r>
      <w:r>
        <w:t>de</w:t>
      </w:r>
      <w:r>
        <w:rPr>
          <w:spacing w:val="-1"/>
        </w:rPr>
        <w:t xml:space="preserve"> </w:t>
      </w:r>
      <w:r>
        <w:t>restricciones</w:t>
      </w:r>
      <w:r>
        <w:rPr>
          <w:spacing w:val="-1"/>
        </w:rPr>
        <w:t xml:space="preserve"> </w:t>
      </w:r>
      <w:r>
        <w:t>por</w:t>
      </w:r>
      <w:r>
        <w:rPr>
          <w:spacing w:val="-1"/>
        </w:rPr>
        <w:t xml:space="preserve"> </w:t>
      </w:r>
      <w:r>
        <w:t>parte</w:t>
      </w:r>
      <w:r>
        <w:rPr>
          <w:spacing w:val="-1"/>
        </w:rPr>
        <w:t xml:space="preserve"> </w:t>
      </w:r>
      <w:r>
        <w:t>de</w:t>
      </w:r>
      <w:r>
        <w:rPr>
          <w:spacing w:val="-1"/>
        </w:rPr>
        <w:t xml:space="preserve"> </w:t>
      </w:r>
      <w:r>
        <w:t>las</w:t>
      </w:r>
      <w:r>
        <w:rPr>
          <w:spacing w:val="-1"/>
        </w:rPr>
        <w:t xml:space="preserve"> </w:t>
      </w:r>
      <w:r>
        <w:t>autoridades</w:t>
      </w:r>
      <w:r>
        <w:rPr>
          <w:spacing w:val="-1"/>
        </w:rPr>
        <w:t xml:space="preserve"> </w:t>
      </w:r>
      <w:r>
        <w:t>estatales</w:t>
      </w:r>
      <w:r>
        <w:rPr>
          <w:spacing w:val="-2"/>
        </w:rPr>
        <w:t xml:space="preserve"> </w:t>
      </w:r>
      <w:r>
        <w:t>“de</w:t>
      </w:r>
      <w:r>
        <w:rPr>
          <w:spacing w:val="-1"/>
        </w:rPr>
        <w:t xml:space="preserve"> </w:t>
      </w:r>
      <w:r>
        <w:t>manera discriminatoria</w:t>
      </w:r>
      <w:r>
        <w:rPr>
          <w:spacing w:val="-11"/>
        </w:rPr>
        <w:t xml:space="preserve"> </w:t>
      </w:r>
      <w:r>
        <w:t>o</w:t>
      </w:r>
      <w:r>
        <w:rPr>
          <w:spacing w:val="-11"/>
        </w:rPr>
        <w:t xml:space="preserve"> </w:t>
      </w:r>
      <w:r>
        <w:t>con</w:t>
      </w:r>
      <w:r>
        <w:rPr>
          <w:spacing w:val="-11"/>
        </w:rPr>
        <w:t xml:space="preserve"> </w:t>
      </w:r>
      <w:r>
        <w:t>fines</w:t>
      </w:r>
      <w:r>
        <w:rPr>
          <w:spacing w:val="-11"/>
        </w:rPr>
        <w:t xml:space="preserve"> </w:t>
      </w:r>
      <w:r>
        <w:t>discriminatorios,</w:t>
      </w:r>
      <w:r>
        <w:rPr>
          <w:spacing w:val="-10"/>
        </w:rPr>
        <w:t xml:space="preserve"> </w:t>
      </w:r>
      <w:r>
        <w:t>por</w:t>
      </w:r>
      <w:r>
        <w:rPr>
          <w:spacing w:val="-11"/>
        </w:rPr>
        <w:t xml:space="preserve"> </w:t>
      </w:r>
      <w:r>
        <w:t>ejemplo,</w:t>
      </w:r>
      <w:r>
        <w:rPr>
          <w:spacing w:val="-10"/>
        </w:rPr>
        <w:t xml:space="preserve"> </w:t>
      </w:r>
      <w:r>
        <w:t>dirigiéndose</w:t>
      </w:r>
      <w:r>
        <w:rPr>
          <w:spacing w:val="-11"/>
        </w:rPr>
        <w:t xml:space="preserve"> </w:t>
      </w:r>
      <w:r>
        <w:t>arbitrariamente</w:t>
      </w:r>
      <w:r>
        <w:rPr>
          <w:spacing w:val="-11"/>
        </w:rPr>
        <w:t xml:space="preserve"> </w:t>
      </w:r>
      <w:r>
        <w:t>a</w:t>
      </w:r>
      <w:r>
        <w:rPr>
          <w:spacing w:val="-11"/>
        </w:rPr>
        <w:t xml:space="preserve"> </w:t>
      </w:r>
      <w:r>
        <w:t>determinadas</w:t>
      </w:r>
      <w:r>
        <w:rPr>
          <w:spacing w:val="-11"/>
        </w:rPr>
        <w:t xml:space="preserve"> </w:t>
      </w:r>
      <w:r>
        <w:t>comunidades</w:t>
      </w:r>
      <w:r>
        <w:rPr>
          <w:spacing w:val="-11"/>
        </w:rPr>
        <w:t xml:space="preserve"> </w:t>
      </w:r>
      <w:r>
        <w:t>o</w:t>
      </w:r>
      <w:r>
        <w:rPr>
          <w:spacing w:val="-11"/>
        </w:rPr>
        <w:t xml:space="preserve"> </w:t>
      </w:r>
      <w:r>
        <w:t>grupos,</w:t>
      </w:r>
      <w:r>
        <w:rPr>
          <w:spacing w:val="-11"/>
        </w:rPr>
        <w:t xml:space="preserve"> </w:t>
      </w:r>
      <w:r>
        <w:t>como las</w:t>
      </w:r>
      <w:r>
        <w:rPr>
          <w:spacing w:val="-2"/>
        </w:rPr>
        <w:t xml:space="preserve"> </w:t>
      </w:r>
      <w:r>
        <w:t>mujeres”,</w:t>
      </w:r>
      <w:r>
        <w:rPr>
          <w:spacing w:val="-1"/>
        </w:rPr>
        <w:t xml:space="preserve"> </w:t>
      </w:r>
      <w:r>
        <w:t>figura</w:t>
      </w:r>
      <w:r>
        <w:rPr>
          <w:spacing w:val="-2"/>
        </w:rPr>
        <w:t xml:space="preserve"> </w:t>
      </w:r>
      <w:r>
        <w:t>como</w:t>
      </w:r>
      <w:r>
        <w:rPr>
          <w:spacing w:val="-2"/>
        </w:rPr>
        <w:t xml:space="preserve"> </w:t>
      </w:r>
      <w:r>
        <w:t>un</w:t>
      </w:r>
      <w:r>
        <w:rPr>
          <w:spacing w:val="-2"/>
        </w:rPr>
        <w:t xml:space="preserve"> </w:t>
      </w:r>
      <w:r>
        <w:t>indicador</w:t>
      </w:r>
      <w:r>
        <w:rPr>
          <w:spacing w:val="-2"/>
        </w:rPr>
        <w:t xml:space="preserve"> </w:t>
      </w:r>
      <w:r>
        <w:t>agravante,</w:t>
      </w:r>
      <w:r>
        <w:rPr>
          <w:spacing w:val="-1"/>
        </w:rPr>
        <w:t xml:space="preserve"> </w:t>
      </w:r>
      <w:r>
        <w:t>que</w:t>
      </w:r>
      <w:r>
        <w:rPr>
          <w:spacing w:val="-2"/>
        </w:rPr>
        <w:t xml:space="preserve"> </w:t>
      </w:r>
      <w:r>
        <w:t>es</w:t>
      </w:r>
      <w:r>
        <w:rPr>
          <w:spacing w:val="-2"/>
        </w:rPr>
        <w:t xml:space="preserve"> </w:t>
      </w:r>
      <w:r>
        <w:t>incompatible</w:t>
      </w:r>
      <w:r>
        <w:rPr>
          <w:spacing w:val="-2"/>
        </w:rPr>
        <w:t xml:space="preserve"> </w:t>
      </w:r>
      <w:r>
        <w:t>con</w:t>
      </w:r>
      <w:r>
        <w:rPr>
          <w:spacing w:val="-2"/>
        </w:rPr>
        <w:t xml:space="preserve"> </w:t>
      </w:r>
      <w:r>
        <w:t>las</w:t>
      </w:r>
      <w:r>
        <w:rPr>
          <w:spacing w:val="-2"/>
        </w:rPr>
        <w:t xml:space="preserve"> </w:t>
      </w:r>
      <w:r>
        <w:t>normas</w:t>
      </w:r>
      <w:r>
        <w:rPr>
          <w:spacing w:val="-2"/>
        </w:rPr>
        <w:t xml:space="preserve"> </w:t>
      </w:r>
      <w:r>
        <w:t>internacionales</w:t>
      </w:r>
      <w:r>
        <w:rPr>
          <w:spacing w:val="-3"/>
        </w:rPr>
        <w:t xml:space="preserve"> </w:t>
      </w:r>
      <w:r>
        <w:t>de</w:t>
      </w:r>
      <w:r>
        <w:rPr>
          <w:spacing w:val="-2"/>
        </w:rPr>
        <w:t xml:space="preserve"> </w:t>
      </w:r>
      <w:r>
        <w:t>derechos</w:t>
      </w:r>
      <w:r>
        <w:rPr>
          <w:spacing w:val="-2"/>
        </w:rPr>
        <w:t xml:space="preserve"> </w:t>
      </w:r>
      <w:r>
        <w:t>humanos.999</w:t>
      </w:r>
    </w:p>
    <w:p w14:paraId="40E7F79F" w14:textId="77777777" w:rsidR="0014798C" w:rsidRDefault="0014798C">
      <w:pPr>
        <w:pStyle w:val="Textoindependiente"/>
      </w:pPr>
    </w:p>
    <w:p w14:paraId="1E1372DE" w14:textId="77777777" w:rsidR="0014798C" w:rsidRDefault="0014798C">
      <w:pPr>
        <w:pStyle w:val="Textoindependiente"/>
        <w:spacing w:before="47"/>
      </w:pPr>
    </w:p>
    <w:p w14:paraId="6B2A7BE6" w14:textId="77777777" w:rsidR="0014798C" w:rsidRDefault="004E1F0B">
      <w:pPr>
        <w:pStyle w:val="Textoindependiente"/>
        <w:spacing w:line="326" w:lineRule="auto"/>
        <w:ind w:left="1107" w:right="1210" w:hanging="1"/>
      </w:pPr>
      <w:r>
        <w:t>Otro</w:t>
      </w:r>
      <w:r>
        <w:rPr>
          <w:spacing w:val="-9"/>
        </w:rPr>
        <w:t xml:space="preserve"> </w:t>
      </w:r>
      <w:r>
        <w:t>conjunto</w:t>
      </w:r>
      <w:r>
        <w:rPr>
          <w:spacing w:val="-9"/>
        </w:rPr>
        <w:t xml:space="preserve"> </w:t>
      </w:r>
      <w:r>
        <w:t>de</w:t>
      </w:r>
      <w:r>
        <w:rPr>
          <w:spacing w:val="-9"/>
        </w:rPr>
        <w:t xml:space="preserve"> </w:t>
      </w:r>
      <w:r>
        <w:t>cuestiones</w:t>
      </w:r>
      <w:r>
        <w:rPr>
          <w:spacing w:val="-9"/>
        </w:rPr>
        <w:t xml:space="preserve"> </w:t>
      </w:r>
      <w:r>
        <w:t>examinadas</w:t>
      </w:r>
      <w:r>
        <w:rPr>
          <w:spacing w:val="-9"/>
        </w:rPr>
        <w:t xml:space="preserve"> </w:t>
      </w:r>
      <w:r>
        <w:t>por</w:t>
      </w:r>
      <w:r>
        <w:rPr>
          <w:spacing w:val="-9"/>
        </w:rPr>
        <w:t xml:space="preserve"> </w:t>
      </w:r>
      <w:r>
        <w:t>tribunales</w:t>
      </w:r>
      <w:r>
        <w:rPr>
          <w:spacing w:val="-9"/>
        </w:rPr>
        <w:t xml:space="preserve"> </w:t>
      </w:r>
      <w:r>
        <w:t>nacionales,</w:t>
      </w:r>
      <w:r>
        <w:rPr>
          <w:spacing w:val="-9"/>
        </w:rPr>
        <w:t xml:space="preserve"> </w:t>
      </w:r>
      <w:r>
        <w:t>regionales</w:t>
      </w:r>
      <w:r>
        <w:rPr>
          <w:spacing w:val="-9"/>
        </w:rPr>
        <w:t xml:space="preserve"> </w:t>
      </w:r>
      <w:r>
        <w:t>e</w:t>
      </w:r>
      <w:r>
        <w:rPr>
          <w:spacing w:val="-9"/>
        </w:rPr>
        <w:t xml:space="preserve"> </w:t>
      </w:r>
      <w:r>
        <w:t>internacionales</w:t>
      </w:r>
      <w:r>
        <w:rPr>
          <w:spacing w:val="-10"/>
        </w:rPr>
        <w:t xml:space="preserve"> </w:t>
      </w:r>
      <w:r>
        <w:t>se</w:t>
      </w:r>
      <w:r>
        <w:rPr>
          <w:spacing w:val="-9"/>
        </w:rPr>
        <w:t xml:space="preserve"> </w:t>
      </w:r>
      <w:r>
        <w:t>refiere</w:t>
      </w:r>
      <w:r>
        <w:rPr>
          <w:spacing w:val="-9"/>
        </w:rPr>
        <w:t xml:space="preserve"> </w:t>
      </w:r>
      <w:r>
        <w:t>al</w:t>
      </w:r>
      <w:r>
        <w:rPr>
          <w:spacing w:val="-9"/>
        </w:rPr>
        <w:t xml:space="preserve"> </w:t>
      </w:r>
      <w:r>
        <w:t>derecho</w:t>
      </w:r>
      <w:r>
        <w:rPr>
          <w:spacing w:val="-9"/>
        </w:rPr>
        <w:t xml:space="preserve"> </w:t>
      </w:r>
      <w:r>
        <w:t>de</w:t>
      </w:r>
      <w:r>
        <w:rPr>
          <w:spacing w:val="-9"/>
        </w:rPr>
        <w:t xml:space="preserve"> </w:t>
      </w:r>
      <w:r>
        <w:t>las</w:t>
      </w:r>
      <w:r>
        <w:rPr>
          <w:spacing w:val="-9"/>
        </w:rPr>
        <w:t xml:space="preserve"> </w:t>
      </w:r>
      <w:r>
        <w:t>personas a</w:t>
      </w:r>
      <w:r>
        <w:rPr>
          <w:spacing w:val="-2"/>
        </w:rPr>
        <w:t xml:space="preserve"> </w:t>
      </w:r>
      <w:r>
        <w:t>llevar</w:t>
      </w:r>
      <w:r>
        <w:rPr>
          <w:spacing w:val="-2"/>
        </w:rPr>
        <w:t xml:space="preserve"> </w:t>
      </w:r>
      <w:r>
        <w:t>velos</w:t>
      </w:r>
      <w:r>
        <w:rPr>
          <w:spacing w:val="-2"/>
        </w:rPr>
        <w:t xml:space="preserve"> </w:t>
      </w:r>
      <w:r>
        <w:t>religiosos</w:t>
      </w:r>
      <w:r>
        <w:rPr>
          <w:spacing w:val="-2"/>
        </w:rPr>
        <w:t xml:space="preserve"> </w:t>
      </w:r>
      <w:r>
        <w:t>en</w:t>
      </w:r>
      <w:r>
        <w:rPr>
          <w:spacing w:val="-2"/>
        </w:rPr>
        <w:t xml:space="preserve"> </w:t>
      </w:r>
      <w:r>
        <w:t>diferentes</w:t>
      </w:r>
      <w:r>
        <w:rPr>
          <w:spacing w:val="-3"/>
        </w:rPr>
        <w:t xml:space="preserve"> </w:t>
      </w:r>
      <w:r>
        <w:t>entornos.</w:t>
      </w:r>
      <w:r>
        <w:rPr>
          <w:spacing w:val="-1"/>
        </w:rPr>
        <w:t xml:space="preserve"> </w:t>
      </w:r>
      <w:r>
        <w:t>En</w:t>
      </w:r>
      <w:r>
        <w:rPr>
          <w:spacing w:val="-2"/>
        </w:rPr>
        <w:t xml:space="preserve"> </w:t>
      </w:r>
      <w:r>
        <w:t>un</w:t>
      </w:r>
      <w:r>
        <w:rPr>
          <w:spacing w:val="-2"/>
        </w:rPr>
        <w:t xml:space="preserve"> </w:t>
      </w:r>
      <w:r>
        <w:t>caso</w:t>
      </w:r>
      <w:r>
        <w:rPr>
          <w:spacing w:val="-2"/>
        </w:rPr>
        <w:t xml:space="preserve"> </w:t>
      </w:r>
      <w:r>
        <w:t>digno</w:t>
      </w:r>
      <w:r>
        <w:rPr>
          <w:spacing w:val="-2"/>
        </w:rPr>
        <w:t xml:space="preserve"> </w:t>
      </w:r>
      <w:r>
        <w:t>de</w:t>
      </w:r>
      <w:r>
        <w:rPr>
          <w:spacing w:val="-2"/>
        </w:rPr>
        <w:t xml:space="preserve"> </w:t>
      </w:r>
      <w:r>
        <w:t>mención</w:t>
      </w:r>
      <w:r>
        <w:rPr>
          <w:spacing w:val="-2"/>
        </w:rPr>
        <w:t xml:space="preserve"> </w:t>
      </w:r>
      <w:r>
        <w:t>presentado</w:t>
      </w:r>
      <w:r>
        <w:rPr>
          <w:spacing w:val="-2"/>
        </w:rPr>
        <w:t xml:space="preserve"> </w:t>
      </w:r>
      <w:r>
        <w:t>por</w:t>
      </w:r>
      <w:r>
        <w:rPr>
          <w:spacing w:val="-2"/>
        </w:rPr>
        <w:t xml:space="preserve"> </w:t>
      </w:r>
      <w:r>
        <w:t>un</w:t>
      </w:r>
      <w:r>
        <w:rPr>
          <w:spacing w:val="-2"/>
        </w:rPr>
        <w:t xml:space="preserve"> </w:t>
      </w:r>
      <w:r>
        <w:t>hombre</w:t>
      </w:r>
      <w:r>
        <w:rPr>
          <w:spacing w:val="-2"/>
        </w:rPr>
        <w:t xml:space="preserve"> </w:t>
      </w:r>
      <w:r>
        <w:t>sij</w:t>
      </w:r>
      <w:r>
        <w:rPr>
          <w:spacing w:val="-2"/>
        </w:rPr>
        <w:t xml:space="preserve"> </w:t>
      </w:r>
      <w:r>
        <w:t>de</w:t>
      </w:r>
      <w:r>
        <w:rPr>
          <w:spacing w:val="-2"/>
        </w:rPr>
        <w:t xml:space="preserve"> </w:t>
      </w:r>
      <w:r>
        <w:t>Francia,</w:t>
      </w:r>
      <w:r>
        <w:rPr>
          <w:spacing w:val="-2"/>
        </w:rPr>
        <w:t xml:space="preserve"> </w:t>
      </w:r>
      <w:r>
        <w:t>el</w:t>
      </w:r>
      <w:r>
        <w:rPr>
          <w:spacing w:val="-2"/>
        </w:rPr>
        <w:t xml:space="preserve"> </w:t>
      </w:r>
      <w:r>
        <w:t>Tribunal Europeo</w:t>
      </w:r>
      <w:r>
        <w:rPr>
          <w:spacing w:val="-3"/>
        </w:rPr>
        <w:t xml:space="preserve"> </w:t>
      </w:r>
      <w:r>
        <w:t>de</w:t>
      </w:r>
      <w:r>
        <w:rPr>
          <w:spacing w:val="-3"/>
        </w:rPr>
        <w:t xml:space="preserve"> </w:t>
      </w:r>
      <w:r>
        <w:t>Derechos</w:t>
      </w:r>
      <w:r>
        <w:rPr>
          <w:spacing w:val="-3"/>
        </w:rPr>
        <w:t xml:space="preserve"> </w:t>
      </w:r>
      <w:r>
        <w:t>Humanos</w:t>
      </w:r>
      <w:r>
        <w:rPr>
          <w:spacing w:val="-3"/>
        </w:rPr>
        <w:t xml:space="preserve"> </w:t>
      </w:r>
      <w:r>
        <w:t>dictaminó</w:t>
      </w:r>
      <w:r>
        <w:rPr>
          <w:spacing w:val="-3"/>
        </w:rPr>
        <w:t xml:space="preserve"> </w:t>
      </w:r>
      <w:r>
        <w:t>que</w:t>
      </w:r>
      <w:r>
        <w:rPr>
          <w:spacing w:val="-3"/>
        </w:rPr>
        <w:t xml:space="preserve"> </w:t>
      </w:r>
      <w:r>
        <w:t>no</w:t>
      </w:r>
      <w:r>
        <w:rPr>
          <w:spacing w:val="-3"/>
        </w:rPr>
        <w:t xml:space="preserve"> </w:t>
      </w:r>
      <w:r>
        <w:t>decidiría</w:t>
      </w:r>
      <w:r>
        <w:rPr>
          <w:spacing w:val="-3"/>
        </w:rPr>
        <w:t xml:space="preserve"> </w:t>
      </w:r>
      <w:r>
        <w:t>sobre</w:t>
      </w:r>
      <w:r>
        <w:rPr>
          <w:spacing w:val="-3"/>
        </w:rPr>
        <w:t xml:space="preserve"> </w:t>
      </w:r>
      <w:r>
        <w:t>el</w:t>
      </w:r>
      <w:r>
        <w:rPr>
          <w:spacing w:val="-3"/>
        </w:rPr>
        <w:t xml:space="preserve"> </w:t>
      </w:r>
      <w:r>
        <w:t>fondo</w:t>
      </w:r>
      <w:r>
        <w:rPr>
          <w:spacing w:val="-3"/>
        </w:rPr>
        <w:t xml:space="preserve"> </w:t>
      </w:r>
      <w:r>
        <w:t>de</w:t>
      </w:r>
      <w:r>
        <w:rPr>
          <w:spacing w:val="-3"/>
        </w:rPr>
        <w:t xml:space="preserve"> </w:t>
      </w:r>
      <w:r>
        <w:t>un</w:t>
      </w:r>
      <w:r>
        <w:rPr>
          <w:spacing w:val="-3"/>
        </w:rPr>
        <w:t xml:space="preserve"> </w:t>
      </w:r>
      <w:r>
        <w:t>caso</w:t>
      </w:r>
      <w:r>
        <w:rPr>
          <w:spacing w:val="-3"/>
        </w:rPr>
        <w:t xml:space="preserve"> </w:t>
      </w:r>
      <w:r>
        <w:t>relativo</w:t>
      </w:r>
      <w:r>
        <w:rPr>
          <w:spacing w:val="-3"/>
        </w:rPr>
        <w:t xml:space="preserve"> </w:t>
      </w:r>
      <w:r>
        <w:t>a</w:t>
      </w:r>
      <w:r>
        <w:rPr>
          <w:spacing w:val="-3"/>
        </w:rPr>
        <w:t xml:space="preserve"> </w:t>
      </w:r>
      <w:r>
        <w:t>la</w:t>
      </w:r>
      <w:r>
        <w:rPr>
          <w:spacing w:val="-3"/>
        </w:rPr>
        <w:t xml:space="preserve"> </w:t>
      </w:r>
      <w:r>
        <w:t>aplicación</w:t>
      </w:r>
      <w:r>
        <w:rPr>
          <w:spacing w:val="-3"/>
        </w:rPr>
        <w:t xml:space="preserve"> </w:t>
      </w:r>
      <w:r>
        <w:t>de</w:t>
      </w:r>
      <w:r>
        <w:rPr>
          <w:spacing w:val="-3"/>
        </w:rPr>
        <w:t xml:space="preserve"> </w:t>
      </w:r>
      <w:r>
        <w:t>una</w:t>
      </w:r>
      <w:r>
        <w:rPr>
          <w:spacing w:val="-3"/>
        </w:rPr>
        <w:t xml:space="preserve"> </w:t>
      </w:r>
      <w:r>
        <w:t>prohibición</w:t>
      </w:r>
      <w:r>
        <w:rPr>
          <w:spacing w:val="-3"/>
        </w:rPr>
        <w:t xml:space="preserve"> </w:t>
      </w:r>
      <w:r>
        <w:t>de cubrirse</w:t>
      </w:r>
      <w:r>
        <w:rPr>
          <w:spacing w:val="-3"/>
        </w:rPr>
        <w:t xml:space="preserve"> </w:t>
      </w:r>
      <w:r>
        <w:t>la</w:t>
      </w:r>
      <w:r>
        <w:rPr>
          <w:spacing w:val="-3"/>
        </w:rPr>
        <w:t xml:space="preserve"> </w:t>
      </w:r>
      <w:r>
        <w:t>cabeza</w:t>
      </w:r>
      <w:r>
        <w:rPr>
          <w:spacing w:val="-3"/>
        </w:rPr>
        <w:t xml:space="preserve"> </w:t>
      </w:r>
      <w:r>
        <w:t>en</w:t>
      </w:r>
      <w:r>
        <w:rPr>
          <w:spacing w:val="-3"/>
        </w:rPr>
        <w:t xml:space="preserve"> </w:t>
      </w:r>
      <w:r>
        <w:t>documentos</w:t>
      </w:r>
      <w:r>
        <w:rPr>
          <w:spacing w:val="-3"/>
        </w:rPr>
        <w:t xml:space="preserve"> </w:t>
      </w:r>
      <w:r>
        <w:t>de</w:t>
      </w:r>
      <w:r>
        <w:rPr>
          <w:spacing w:val="-3"/>
        </w:rPr>
        <w:t xml:space="preserve"> </w:t>
      </w:r>
      <w:r>
        <w:t>identidad</w:t>
      </w:r>
      <w:r>
        <w:rPr>
          <w:spacing w:val="-3"/>
        </w:rPr>
        <w:t xml:space="preserve"> </w:t>
      </w:r>
      <w:r>
        <w:t>con</w:t>
      </w:r>
      <w:r>
        <w:rPr>
          <w:spacing w:val="-3"/>
        </w:rPr>
        <w:t xml:space="preserve"> </w:t>
      </w:r>
      <w:r>
        <w:t>fotografía</w:t>
      </w:r>
      <w:r>
        <w:rPr>
          <w:spacing w:val="-4"/>
        </w:rPr>
        <w:t xml:space="preserve"> </w:t>
      </w:r>
      <w:r>
        <w:t>porque</w:t>
      </w:r>
      <w:r>
        <w:rPr>
          <w:spacing w:val="-3"/>
        </w:rPr>
        <w:t xml:space="preserve"> </w:t>
      </w:r>
      <w:r>
        <w:t>la</w:t>
      </w:r>
      <w:r>
        <w:rPr>
          <w:spacing w:val="-3"/>
        </w:rPr>
        <w:t xml:space="preserve"> </w:t>
      </w:r>
      <w:r>
        <w:t>cuestión</w:t>
      </w:r>
      <w:r>
        <w:rPr>
          <w:spacing w:val="-3"/>
        </w:rPr>
        <w:t xml:space="preserve"> </w:t>
      </w:r>
      <w:r>
        <w:t>entraba</w:t>
      </w:r>
      <w:r>
        <w:rPr>
          <w:spacing w:val="-3"/>
        </w:rPr>
        <w:t xml:space="preserve"> </w:t>
      </w:r>
      <w:r>
        <w:t>dentro</w:t>
      </w:r>
      <w:r>
        <w:rPr>
          <w:spacing w:val="-3"/>
        </w:rPr>
        <w:t xml:space="preserve"> </w:t>
      </w:r>
      <w:r>
        <w:t>de</w:t>
      </w:r>
      <w:r>
        <w:rPr>
          <w:spacing w:val="-3"/>
        </w:rPr>
        <w:t xml:space="preserve"> </w:t>
      </w:r>
      <w:r>
        <w:t>la</w:t>
      </w:r>
      <w:r>
        <w:rPr>
          <w:spacing w:val="-3"/>
        </w:rPr>
        <w:t xml:space="preserve"> </w:t>
      </w:r>
      <w:r>
        <w:t>competencia</w:t>
      </w:r>
      <w:r>
        <w:rPr>
          <w:spacing w:val="-3"/>
        </w:rPr>
        <w:t xml:space="preserve"> </w:t>
      </w:r>
      <w:r>
        <w:t>del</w:t>
      </w:r>
      <w:r>
        <w:rPr>
          <w:spacing w:val="-3"/>
        </w:rPr>
        <w:t xml:space="preserve"> </w:t>
      </w:r>
      <w:r>
        <w:t>Estado.</w:t>
      </w:r>
    </w:p>
    <w:p w14:paraId="57E00ACF" w14:textId="77777777" w:rsidR="0014798C" w:rsidRDefault="004E1F0B">
      <w:pPr>
        <w:pStyle w:val="Textoindependiente"/>
        <w:spacing w:line="271" w:lineRule="auto"/>
        <w:ind w:left="1112" w:right="1272" w:hanging="1"/>
      </w:pPr>
      <w:r>
        <w:t>margen</w:t>
      </w:r>
      <w:r>
        <w:rPr>
          <w:spacing w:val="-8"/>
        </w:rPr>
        <w:t xml:space="preserve"> </w:t>
      </w:r>
      <w:r>
        <w:t>de</w:t>
      </w:r>
      <w:r>
        <w:rPr>
          <w:spacing w:val="-8"/>
        </w:rPr>
        <w:t xml:space="preserve"> </w:t>
      </w:r>
      <w:r>
        <w:t>apreciación.1000</w:t>
      </w:r>
      <w:r>
        <w:rPr>
          <w:spacing w:val="-8"/>
        </w:rPr>
        <w:t xml:space="preserve"> </w:t>
      </w:r>
      <w:r>
        <w:t>Luego</w:t>
      </w:r>
      <w:r>
        <w:rPr>
          <w:spacing w:val="-8"/>
        </w:rPr>
        <w:t xml:space="preserve"> </w:t>
      </w:r>
      <w:r>
        <w:t>se</w:t>
      </w:r>
      <w:r>
        <w:rPr>
          <w:spacing w:val="-8"/>
        </w:rPr>
        <w:t xml:space="preserve"> </w:t>
      </w:r>
      <w:r>
        <w:t>presentó</w:t>
      </w:r>
      <w:r>
        <w:rPr>
          <w:spacing w:val="-8"/>
        </w:rPr>
        <w:t xml:space="preserve"> </w:t>
      </w:r>
      <w:r>
        <w:t>un</w:t>
      </w:r>
      <w:r>
        <w:rPr>
          <w:spacing w:val="-8"/>
        </w:rPr>
        <w:t xml:space="preserve"> </w:t>
      </w:r>
      <w:r>
        <w:t>caso</w:t>
      </w:r>
      <w:r>
        <w:rPr>
          <w:spacing w:val="-8"/>
        </w:rPr>
        <w:t xml:space="preserve"> </w:t>
      </w:r>
      <w:r>
        <w:t>similar</w:t>
      </w:r>
      <w:r>
        <w:rPr>
          <w:spacing w:val="-8"/>
        </w:rPr>
        <w:t xml:space="preserve"> </w:t>
      </w:r>
      <w:r>
        <w:t>al</w:t>
      </w:r>
      <w:r>
        <w:rPr>
          <w:spacing w:val="-8"/>
        </w:rPr>
        <w:t xml:space="preserve"> </w:t>
      </w:r>
      <w:r>
        <w:t>Comité</w:t>
      </w:r>
      <w:r>
        <w:rPr>
          <w:spacing w:val="-8"/>
        </w:rPr>
        <w:t xml:space="preserve"> </w:t>
      </w:r>
      <w:r>
        <w:t>de</w:t>
      </w:r>
      <w:r>
        <w:rPr>
          <w:spacing w:val="-8"/>
        </w:rPr>
        <w:t xml:space="preserve"> </w:t>
      </w:r>
      <w:r>
        <w:t>Derechos</w:t>
      </w:r>
      <w:r>
        <w:rPr>
          <w:spacing w:val="-8"/>
        </w:rPr>
        <w:t xml:space="preserve"> </w:t>
      </w:r>
      <w:r>
        <w:t>Humanos,</w:t>
      </w:r>
      <w:r>
        <w:rPr>
          <w:spacing w:val="-8"/>
        </w:rPr>
        <w:t xml:space="preserve"> </w:t>
      </w:r>
      <w:r>
        <w:t>que</w:t>
      </w:r>
      <w:r>
        <w:rPr>
          <w:spacing w:val="-8"/>
        </w:rPr>
        <w:t xml:space="preserve"> </w:t>
      </w:r>
      <w:r>
        <w:t>escuchó</w:t>
      </w:r>
      <w:r>
        <w:rPr>
          <w:spacing w:val="-8"/>
        </w:rPr>
        <w:t xml:space="preserve"> </w:t>
      </w:r>
      <w:r>
        <w:t>el</w:t>
      </w:r>
      <w:r>
        <w:rPr>
          <w:spacing w:val="-8"/>
        </w:rPr>
        <w:t xml:space="preserve"> </w:t>
      </w:r>
      <w:r>
        <w:t>caso</w:t>
      </w:r>
      <w:r>
        <w:rPr>
          <w:spacing w:val="-8"/>
        </w:rPr>
        <w:t xml:space="preserve"> </w:t>
      </w:r>
      <w:r>
        <w:t>y</w:t>
      </w:r>
      <w:r>
        <w:rPr>
          <w:spacing w:val="-8"/>
        </w:rPr>
        <w:t xml:space="preserve"> </w:t>
      </w:r>
      <w:r>
        <w:t>dictaminó que Francia había violado</w:t>
      </w:r>
      <w:r>
        <w:rPr>
          <w:spacing w:val="-1"/>
        </w:rPr>
        <w:t xml:space="preserve"> </w:t>
      </w:r>
      <w:r>
        <w:t>el Pacto Internacional de</w:t>
      </w:r>
      <w:r>
        <w:rPr>
          <w:spacing w:val="-1"/>
        </w:rPr>
        <w:t xml:space="preserve"> </w:t>
      </w:r>
      <w:r>
        <w:t>Derechos Civiles y Políticos</w:t>
      </w:r>
      <w:r>
        <w:rPr>
          <w:spacing w:val="-2"/>
        </w:rPr>
        <w:t xml:space="preserve"> </w:t>
      </w:r>
      <w:r>
        <w:t>al prohibir la medida.1001</w:t>
      </w:r>
    </w:p>
    <w:p w14:paraId="490B8289" w14:textId="77777777" w:rsidR="0014798C" w:rsidRDefault="0014798C">
      <w:pPr>
        <w:pStyle w:val="Textoindependiente"/>
        <w:rPr>
          <w:sz w:val="20"/>
        </w:rPr>
      </w:pPr>
    </w:p>
    <w:p w14:paraId="599BABB8" w14:textId="77777777" w:rsidR="0014798C" w:rsidRDefault="004E1F0B">
      <w:pPr>
        <w:pStyle w:val="Textoindependiente"/>
        <w:spacing w:before="144"/>
        <w:rPr>
          <w:sz w:val="20"/>
        </w:rPr>
      </w:pPr>
      <w:r>
        <w:rPr>
          <w:noProof/>
        </w:rPr>
        <w:drawing>
          <wp:anchor distT="0" distB="0" distL="0" distR="0" simplePos="0" relativeHeight="251658550" behindDoc="1" locked="0" layoutInCell="1" allowOverlap="1" wp14:anchorId="678B2716" wp14:editId="606752C7">
            <wp:simplePos x="0" y="0"/>
            <wp:positionH relativeFrom="page">
              <wp:posOffset>826632</wp:posOffset>
            </wp:positionH>
            <wp:positionV relativeFrom="paragraph">
              <wp:posOffset>253049</wp:posOffset>
            </wp:positionV>
            <wp:extent cx="931001" cy="35813"/>
            <wp:effectExtent l="0" t="0" r="0" b="0"/>
            <wp:wrapTopAndBottom/>
            <wp:docPr id="296" name="Image 29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96" name="Image 296"/>
                    <pic:cNvPicPr/>
                  </pic:nvPicPr>
                  <pic:blipFill>
                    <a:blip r:embed="rId279" cstate="print"/>
                    <a:stretch>
                      <a:fillRect/>
                    </a:stretch>
                  </pic:blipFill>
                  <pic:spPr>
                    <a:xfrm>
                      <a:off x="0" y="0"/>
                      <a:ext cx="931001" cy="35813"/>
                    </a:xfrm>
                    <a:prstGeom prst="rect">
                      <a:avLst/>
                    </a:prstGeom>
                  </pic:spPr>
                </pic:pic>
              </a:graphicData>
            </a:graphic>
          </wp:anchor>
        </w:drawing>
      </w:r>
    </w:p>
    <w:p w14:paraId="4417858A" w14:textId="77777777" w:rsidR="0014798C" w:rsidRDefault="0014798C">
      <w:pPr>
        <w:pStyle w:val="Textoindependiente"/>
        <w:rPr>
          <w:sz w:val="8"/>
        </w:rPr>
      </w:pPr>
    </w:p>
    <w:p w14:paraId="556AD4DA" w14:textId="77777777" w:rsidR="0014798C" w:rsidRDefault="0014798C">
      <w:pPr>
        <w:pStyle w:val="Textoindependiente"/>
        <w:spacing w:before="57"/>
        <w:rPr>
          <w:sz w:val="8"/>
        </w:rPr>
      </w:pPr>
    </w:p>
    <w:p w14:paraId="7E74813D" w14:textId="77777777" w:rsidR="0014798C" w:rsidRDefault="004E1F0B">
      <w:pPr>
        <w:ind w:left="1107"/>
        <w:rPr>
          <w:sz w:val="8"/>
        </w:rPr>
      </w:pPr>
      <w:r>
        <w:rPr>
          <w:w w:val="105"/>
          <w:sz w:val="8"/>
        </w:rPr>
        <w:t>994</w:t>
      </w:r>
      <w:r>
        <w:rPr>
          <w:spacing w:val="-4"/>
          <w:w w:val="105"/>
          <w:sz w:val="8"/>
        </w:rPr>
        <w:t xml:space="preserve"> </w:t>
      </w:r>
      <w:r>
        <w:rPr>
          <w:w w:val="105"/>
          <w:sz w:val="8"/>
        </w:rPr>
        <w:t>Sobre</w:t>
      </w:r>
      <w:r>
        <w:rPr>
          <w:spacing w:val="-3"/>
          <w:w w:val="105"/>
          <w:sz w:val="8"/>
        </w:rPr>
        <w:t xml:space="preserve"> </w:t>
      </w:r>
      <w:r>
        <w:rPr>
          <w:w w:val="105"/>
          <w:sz w:val="8"/>
        </w:rPr>
        <w:t>esta</w:t>
      </w:r>
      <w:r>
        <w:rPr>
          <w:spacing w:val="-3"/>
          <w:w w:val="105"/>
          <w:sz w:val="8"/>
        </w:rPr>
        <w:t xml:space="preserve"> </w:t>
      </w:r>
      <w:r>
        <w:rPr>
          <w:w w:val="105"/>
          <w:sz w:val="8"/>
        </w:rPr>
        <w:t>prueba</w:t>
      </w:r>
      <w:r>
        <w:rPr>
          <w:spacing w:val="-3"/>
          <w:w w:val="105"/>
          <w:sz w:val="8"/>
        </w:rPr>
        <w:t xml:space="preserve"> </w:t>
      </w:r>
      <w:r>
        <w:rPr>
          <w:w w:val="105"/>
          <w:sz w:val="8"/>
        </w:rPr>
        <w:t>en</w:t>
      </w:r>
      <w:r>
        <w:rPr>
          <w:spacing w:val="-3"/>
          <w:w w:val="105"/>
          <w:sz w:val="8"/>
        </w:rPr>
        <w:t xml:space="preserve"> </w:t>
      </w:r>
      <w:r>
        <w:rPr>
          <w:w w:val="105"/>
          <w:sz w:val="8"/>
        </w:rPr>
        <w:t>términos</w:t>
      </w:r>
      <w:r>
        <w:rPr>
          <w:spacing w:val="-3"/>
          <w:w w:val="105"/>
          <w:sz w:val="8"/>
        </w:rPr>
        <w:t xml:space="preserve"> </w:t>
      </w:r>
      <w:r>
        <w:rPr>
          <w:w w:val="105"/>
          <w:sz w:val="8"/>
        </w:rPr>
        <w:t>más</w:t>
      </w:r>
      <w:r>
        <w:rPr>
          <w:spacing w:val="-4"/>
          <w:w w:val="105"/>
          <w:sz w:val="8"/>
        </w:rPr>
        <w:t xml:space="preserve"> </w:t>
      </w:r>
      <w:r>
        <w:rPr>
          <w:w w:val="105"/>
          <w:sz w:val="8"/>
        </w:rPr>
        <w:t>generales,</w:t>
      </w:r>
      <w:r>
        <w:rPr>
          <w:spacing w:val="-3"/>
          <w:w w:val="105"/>
          <w:sz w:val="8"/>
        </w:rPr>
        <w:t xml:space="preserve"> </w:t>
      </w:r>
      <w:r>
        <w:rPr>
          <w:w w:val="105"/>
          <w:sz w:val="8"/>
        </w:rPr>
        <w:t>véase</w:t>
      </w:r>
      <w:r>
        <w:rPr>
          <w:spacing w:val="-3"/>
          <w:w w:val="105"/>
          <w:sz w:val="8"/>
        </w:rPr>
        <w:t xml:space="preserve"> </w:t>
      </w:r>
      <w:r>
        <w:rPr>
          <w:w w:val="105"/>
          <w:sz w:val="8"/>
        </w:rPr>
        <w:t>la</w:t>
      </w:r>
      <w:r>
        <w:rPr>
          <w:spacing w:val="-3"/>
          <w:w w:val="105"/>
          <w:sz w:val="8"/>
        </w:rPr>
        <w:t xml:space="preserve"> </w:t>
      </w:r>
      <w:r>
        <w:rPr>
          <w:w w:val="105"/>
          <w:sz w:val="8"/>
        </w:rPr>
        <w:t>sección</w:t>
      </w:r>
      <w:r>
        <w:rPr>
          <w:spacing w:val="-3"/>
          <w:w w:val="105"/>
          <w:sz w:val="8"/>
        </w:rPr>
        <w:t xml:space="preserve"> </w:t>
      </w:r>
      <w:r>
        <w:rPr>
          <w:w w:val="105"/>
          <w:sz w:val="8"/>
        </w:rPr>
        <w:t>IA4</w:t>
      </w:r>
      <w:r>
        <w:rPr>
          <w:spacing w:val="-3"/>
          <w:w w:val="105"/>
          <w:sz w:val="8"/>
        </w:rPr>
        <w:t xml:space="preserve"> </w:t>
      </w:r>
      <w:r>
        <w:rPr>
          <w:w w:val="105"/>
          <w:sz w:val="8"/>
        </w:rPr>
        <w:t>de</w:t>
      </w:r>
      <w:r>
        <w:rPr>
          <w:spacing w:val="-4"/>
          <w:w w:val="105"/>
          <w:sz w:val="8"/>
        </w:rPr>
        <w:t xml:space="preserve"> </w:t>
      </w:r>
      <w:r>
        <w:rPr>
          <w:w w:val="105"/>
          <w:sz w:val="8"/>
        </w:rPr>
        <w:t>la</w:t>
      </w:r>
      <w:r>
        <w:rPr>
          <w:spacing w:val="-3"/>
          <w:w w:val="105"/>
          <w:sz w:val="8"/>
        </w:rPr>
        <w:t xml:space="preserve"> </w:t>
      </w:r>
      <w:r>
        <w:rPr>
          <w:w w:val="105"/>
          <w:sz w:val="8"/>
        </w:rPr>
        <w:t>segunda</w:t>
      </w:r>
      <w:r>
        <w:rPr>
          <w:spacing w:val="-3"/>
          <w:w w:val="105"/>
          <w:sz w:val="8"/>
        </w:rPr>
        <w:t xml:space="preserve"> </w:t>
      </w:r>
      <w:r>
        <w:rPr>
          <w:w w:val="105"/>
          <w:sz w:val="8"/>
        </w:rPr>
        <w:t>parte</w:t>
      </w:r>
      <w:r>
        <w:rPr>
          <w:spacing w:val="-3"/>
          <w:w w:val="105"/>
          <w:sz w:val="8"/>
        </w:rPr>
        <w:t xml:space="preserve"> </w:t>
      </w:r>
      <w:r>
        <w:rPr>
          <w:w w:val="105"/>
          <w:sz w:val="8"/>
        </w:rPr>
        <w:t>de</w:t>
      </w:r>
      <w:r>
        <w:rPr>
          <w:spacing w:val="-3"/>
          <w:w w:val="105"/>
          <w:sz w:val="8"/>
        </w:rPr>
        <w:t xml:space="preserve"> </w:t>
      </w:r>
      <w:r>
        <w:rPr>
          <w:w w:val="105"/>
          <w:sz w:val="8"/>
        </w:rPr>
        <w:t>la</w:t>
      </w:r>
      <w:r>
        <w:rPr>
          <w:spacing w:val="-3"/>
          <w:w w:val="105"/>
          <w:sz w:val="8"/>
        </w:rPr>
        <w:t xml:space="preserve"> </w:t>
      </w:r>
      <w:r>
        <w:rPr>
          <w:w w:val="105"/>
          <w:sz w:val="8"/>
        </w:rPr>
        <w:t>presente</w:t>
      </w:r>
      <w:r>
        <w:rPr>
          <w:spacing w:val="-4"/>
          <w:w w:val="105"/>
          <w:sz w:val="8"/>
        </w:rPr>
        <w:t xml:space="preserve"> </w:t>
      </w:r>
      <w:r>
        <w:rPr>
          <w:spacing w:val="-2"/>
          <w:w w:val="105"/>
          <w:sz w:val="8"/>
        </w:rPr>
        <w:t>guía.</w:t>
      </w:r>
    </w:p>
    <w:p w14:paraId="568EFD64" w14:textId="77777777" w:rsidR="0014798C" w:rsidRDefault="004E1F0B">
      <w:pPr>
        <w:spacing w:before="62"/>
        <w:ind w:left="1107"/>
        <w:rPr>
          <w:sz w:val="13"/>
        </w:rPr>
      </w:pPr>
      <w:r>
        <w:rPr>
          <w:sz w:val="13"/>
          <w:vertAlign w:val="superscript"/>
        </w:rPr>
        <w:t>995</w:t>
      </w:r>
      <w:r>
        <w:rPr>
          <w:spacing w:val="79"/>
          <w:w w:val="150"/>
          <w:sz w:val="13"/>
        </w:rPr>
        <w:t xml:space="preserve"> </w:t>
      </w:r>
      <w:r>
        <w:rPr>
          <w:sz w:val="13"/>
        </w:rPr>
        <w:t>Tribunal</w:t>
      </w:r>
      <w:r>
        <w:rPr>
          <w:spacing w:val="4"/>
          <w:sz w:val="13"/>
        </w:rPr>
        <w:t xml:space="preserve"> </w:t>
      </w:r>
      <w:r>
        <w:rPr>
          <w:sz w:val="13"/>
        </w:rPr>
        <w:t>Europeo</w:t>
      </w:r>
      <w:r>
        <w:rPr>
          <w:spacing w:val="4"/>
          <w:sz w:val="13"/>
        </w:rPr>
        <w:t xml:space="preserve"> </w:t>
      </w:r>
      <w:r>
        <w:rPr>
          <w:sz w:val="13"/>
        </w:rPr>
        <w:t>de</w:t>
      </w:r>
      <w:r>
        <w:rPr>
          <w:spacing w:val="4"/>
          <w:sz w:val="13"/>
        </w:rPr>
        <w:t xml:space="preserve"> </w:t>
      </w:r>
      <w:r>
        <w:rPr>
          <w:sz w:val="13"/>
        </w:rPr>
        <w:t>Derechos</w:t>
      </w:r>
      <w:r>
        <w:rPr>
          <w:spacing w:val="5"/>
          <w:sz w:val="13"/>
        </w:rPr>
        <w:t xml:space="preserve"> </w:t>
      </w:r>
      <w:r>
        <w:rPr>
          <w:sz w:val="13"/>
        </w:rPr>
        <w:t>Humanos,</w:t>
      </w:r>
      <w:r>
        <w:rPr>
          <w:spacing w:val="5"/>
          <w:sz w:val="13"/>
        </w:rPr>
        <w:t xml:space="preserve"> </w:t>
      </w:r>
      <w:proofErr w:type="spellStart"/>
      <w:r>
        <w:rPr>
          <w:sz w:val="13"/>
        </w:rPr>
        <w:t>Eweida</w:t>
      </w:r>
      <w:proofErr w:type="spellEnd"/>
      <w:r>
        <w:rPr>
          <w:spacing w:val="4"/>
          <w:sz w:val="13"/>
        </w:rPr>
        <w:t xml:space="preserve"> </w:t>
      </w:r>
      <w:r>
        <w:rPr>
          <w:sz w:val="13"/>
        </w:rPr>
        <w:t>y</w:t>
      </w:r>
      <w:r>
        <w:rPr>
          <w:spacing w:val="5"/>
          <w:sz w:val="13"/>
        </w:rPr>
        <w:t xml:space="preserve"> </w:t>
      </w:r>
      <w:r>
        <w:rPr>
          <w:sz w:val="13"/>
        </w:rPr>
        <w:t>otros</w:t>
      </w:r>
      <w:r>
        <w:rPr>
          <w:spacing w:val="4"/>
          <w:sz w:val="13"/>
        </w:rPr>
        <w:t xml:space="preserve"> </w:t>
      </w:r>
      <w:r>
        <w:rPr>
          <w:sz w:val="13"/>
        </w:rPr>
        <w:t>contra</w:t>
      </w:r>
      <w:r>
        <w:rPr>
          <w:spacing w:val="4"/>
          <w:sz w:val="13"/>
        </w:rPr>
        <w:t xml:space="preserve"> </w:t>
      </w:r>
      <w:r>
        <w:rPr>
          <w:sz w:val="13"/>
        </w:rPr>
        <w:t>el</w:t>
      </w:r>
      <w:r>
        <w:rPr>
          <w:spacing w:val="4"/>
          <w:sz w:val="13"/>
        </w:rPr>
        <w:t xml:space="preserve"> </w:t>
      </w:r>
      <w:r>
        <w:rPr>
          <w:sz w:val="13"/>
        </w:rPr>
        <w:t>Reino</w:t>
      </w:r>
      <w:r>
        <w:rPr>
          <w:spacing w:val="5"/>
          <w:sz w:val="13"/>
        </w:rPr>
        <w:t xml:space="preserve"> </w:t>
      </w:r>
      <w:r>
        <w:rPr>
          <w:sz w:val="13"/>
        </w:rPr>
        <w:t>Unido,</w:t>
      </w:r>
      <w:r>
        <w:rPr>
          <w:spacing w:val="5"/>
          <w:sz w:val="13"/>
        </w:rPr>
        <w:t xml:space="preserve"> </w:t>
      </w:r>
      <w:r>
        <w:rPr>
          <w:sz w:val="13"/>
        </w:rPr>
        <w:t>Solicitudes</w:t>
      </w:r>
      <w:r>
        <w:rPr>
          <w:spacing w:val="4"/>
          <w:sz w:val="13"/>
        </w:rPr>
        <w:t xml:space="preserve"> </w:t>
      </w:r>
      <w:r>
        <w:rPr>
          <w:spacing w:val="-4"/>
          <w:sz w:val="13"/>
        </w:rPr>
        <w:t>Nos.</w:t>
      </w:r>
    </w:p>
    <w:p w14:paraId="469BC576" w14:textId="77777777" w:rsidR="0014798C" w:rsidRDefault="004E1F0B">
      <w:pPr>
        <w:spacing w:before="31" w:line="288" w:lineRule="auto"/>
        <w:ind w:left="1369" w:right="1553" w:hanging="5"/>
        <w:rPr>
          <w:sz w:val="13"/>
        </w:rPr>
      </w:pPr>
      <w:r>
        <w:rPr>
          <w:sz w:val="13"/>
        </w:rPr>
        <w:t>48420/10,</w:t>
      </w:r>
      <w:r>
        <w:rPr>
          <w:spacing w:val="11"/>
          <w:sz w:val="13"/>
        </w:rPr>
        <w:t xml:space="preserve"> </w:t>
      </w:r>
      <w:r>
        <w:rPr>
          <w:sz w:val="13"/>
        </w:rPr>
        <w:t>59842/10,</w:t>
      </w:r>
      <w:r>
        <w:rPr>
          <w:spacing w:val="11"/>
          <w:sz w:val="13"/>
        </w:rPr>
        <w:t xml:space="preserve"> </w:t>
      </w:r>
      <w:r>
        <w:rPr>
          <w:sz w:val="13"/>
        </w:rPr>
        <w:t>51671/10</w:t>
      </w:r>
      <w:r>
        <w:rPr>
          <w:spacing w:val="10"/>
          <w:sz w:val="13"/>
        </w:rPr>
        <w:t xml:space="preserve"> </w:t>
      </w:r>
      <w:r>
        <w:rPr>
          <w:sz w:val="13"/>
        </w:rPr>
        <w:t>y</w:t>
      </w:r>
      <w:r>
        <w:rPr>
          <w:spacing w:val="10"/>
          <w:sz w:val="13"/>
        </w:rPr>
        <w:t xml:space="preserve"> </w:t>
      </w:r>
      <w:r>
        <w:rPr>
          <w:sz w:val="13"/>
        </w:rPr>
        <w:t>36516/10,</w:t>
      </w:r>
      <w:r>
        <w:rPr>
          <w:spacing w:val="11"/>
          <w:sz w:val="13"/>
        </w:rPr>
        <w:t xml:space="preserve"> </w:t>
      </w:r>
      <w:r>
        <w:rPr>
          <w:sz w:val="13"/>
        </w:rPr>
        <w:t>Sentencia,</w:t>
      </w:r>
      <w:r>
        <w:rPr>
          <w:spacing w:val="11"/>
          <w:sz w:val="13"/>
        </w:rPr>
        <w:t xml:space="preserve"> </w:t>
      </w:r>
      <w:r>
        <w:rPr>
          <w:sz w:val="13"/>
        </w:rPr>
        <w:t>15</w:t>
      </w:r>
      <w:r>
        <w:rPr>
          <w:spacing w:val="10"/>
          <w:sz w:val="13"/>
        </w:rPr>
        <w:t xml:space="preserve"> </w:t>
      </w:r>
      <w:r>
        <w:rPr>
          <w:sz w:val="13"/>
        </w:rPr>
        <w:t>de</w:t>
      </w:r>
      <w:r>
        <w:rPr>
          <w:spacing w:val="10"/>
          <w:sz w:val="13"/>
        </w:rPr>
        <w:t xml:space="preserve"> </w:t>
      </w:r>
      <w:r>
        <w:rPr>
          <w:sz w:val="13"/>
        </w:rPr>
        <w:t>enero</w:t>
      </w:r>
      <w:r>
        <w:rPr>
          <w:spacing w:val="10"/>
          <w:sz w:val="13"/>
        </w:rPr>
        <w:t xml:space="preserve"> </w:t>
      </w:r>
      <w:r>
        <w:rPr>
          <w:sz w:val="13"/>
        </w:rPr>
        <w:t>de</w:t>
      </w:r>
      <w:r>
        <w:rPr>
          <w:spacing w:val="10"/>
          <w:sz w:val="13"/>
        </w:rPr>
        <w:t xml:space="preserve"> </w:t>
      </w:r>
      <w:r>
        <w:rPr>
          <w:sz w:val="13"/>
        </w:rPr>
        <w:t>2013.</w:t>
      </w:r>
      <w:r>
        <w:rPr>
          <w:spacing w:val="11"/>
          <w:sz w:val="13"/>
        </w:rPr>
        <w:t xml:space="preserve"> </w:t>
      </w:r>
      <w:r>
        <w:rPr>
          <w:sz w:val="13"/>
        </w:rPr>
        <w:t>La</w:t>
      </w:r>
      <w:r>
        <w:rPr>
          <w:spacing w:val="10"/>
          <w:sz w:val="13"/>
        </w:rPr>
        <w:t xml:space="preserve"> </w:t>
      </w:r>
      <w:r>
        <w:rPr>
          <w:sz w:val="13"/>
        </w:rPr>
        <w:t>Corte</w:t>
      </w:r>
      <w:r>
        <w:rPr>
          <w:spacing w:val="10"/>
          <w:sz w:val="13"/>
        </w:rPr>
        <w:t xml:space="preserve"> </w:t>
      </w:r>
      <w:r>
        <w:rPr>
          <w:sz w:val="13"/>
        </w:rPr>
        <w:t>Constitucional</w:t>
      </w:r>
      <w:r>
        <w:rPr>
          <w:spacing w:val="10"/>
          <w:sz w:val="13"/>
        </w:rPr>
        <w:t xml:space="preserve"> </w:t>
      </w:r>
      <w:r>
        <w:rPr>
          <w:sz w:val="13"/>
        </w:rPr>
        <w:t>de</w:t>
      </w:r>
      <w:r>
        <w:rPr>
          <w:spacing w:val="10"/>
          <w:sz w:val="13"/>
        </w:rPr>
        <w:t xml:space="preserve"> </w:t>
      </w:r>
      <w:r>
        <w:rPr>
          <w:sz w:val="13"/>
        </w:rPr>
        <w:t>Colombia</w:t>
      </w:r>
      <w:r>
        <w:rPr>
          <w:spacing w:val="10"/>
          <w:sz w:val="13"/>
        </w:rPr>
        <w:t xml:space="preserve"> </w:t>
      </w:r>
      <w:r>
        <w:rPr>
          <w:sz w:val="13"/>
        </w:rPr>
        <w:t>ha</w:t>
      </w:r>
      <w:r>
        <w:rPr>
          <w:spacing w:val="10"/>
          <w:sz w:val="13"/>
        </w:rPr>
        <w:t xml:space="preserve"> </w:t>
      </w:r>
      <w:r>
        <w:rPr>
          <w:sz w:val="13"/>
        </w:rPr>
        <w:t>sostenido</w:t>
      </w:r>
      <w:r>
        <w:rPr>
          <w:spacing w:val="10"/>
          <w:sz w:val="13"/>
        </w:rPr>
        <w:t xml:space="preserve"> </w:t>
      </w:r>
      <w:r>
        <w:rPr>
          <w:sz w:val="13"/>
        </w:rPr>
        <w:t>que</w:t>
      </w:r>
      <w:r>
        <w:rPr>
          <w:spacing w:val="10"/>
          <w:sz w:val="13"/>
        </w:rPr>
        <w:t xml:space="preserve"> </w:t>
      </w:r>
      <w:r>
        <w:rPr>
          <w:sz w:val="13"/>
        </w:rPr>
        <w:t>los</w:t>
      </w:r>
      <w:r>
        <w:rPr>
          <w:spacing w:val="10"/>
          <w:sz w:val="13"/>
        </w:rPr>
        <w:t xml:space="preserve"> </w:t>
      </w:r>
      <w:r>
        <w:rPr>
          <w:sz w:val="13"/>
        </w:rPr>
        <w:t>estudiantes</w:t>
      </w:r>
      <w:r>
        <w:rPr>
          <w:spacing w:val="40"/>
          <w:sz w:val="13"/>
        </w:rPr>
        <w:t xml:space="preserve"> </w:t>
      </w:r>
      <w:r>
        <w:rPr>
          <w:sz w:val="13"/>
        </w:rPr>
        <w:t>no ser obligados a usar pantalones debido a su religión.</w:t>
      </w:r>
      <w:r>
        <w:rPr>
          <w:spacing w:val="13"/>
          <w:sz w:val="13"/>
        </w:rPr>
        <w:t xml:space="preserve"> </w:t>
      </w:r>
      <w:r>
        <w:rPr>
          <w:sz w:val="13"/>
        </w:rPr>
        <w:t>Véase Corte Constitucional de Colombia,</w:t>
      </w:r>
      <w:r>
        <w:rPr>
          <w:spacing w:val="13"/>
          <w:sz w:val="13"/>
        </w:rPr>
        <w:t xml:space="preserve"> </w:t>
      </w:r>
      <w:r>
        <w:rPr>
          <w:sz w:val="13"/>
        </w:rPr>
        <w:t>Caso T-832/11,</w:t>
      </w:r>
      <w:r>
        <w:rPr>
          <w:spacing w:val="13"/>
          <w:sz w:val="13"/>
        </w:rPr>
        <w:t xml:space="preserve"> </w:t>
      </w:r>
      <w:r>
        <w:rPr>
          <w:sz w:val="13"/>
        </w:rPr>
        <w:t>Sentencia de 3 de noviembre</w:t>
      </w:r>
    </w:p>
    <w:p w14:paraId="60F31B6E" w14:textId="77777777" w:rsidR="0014798C" w:rsidRDefault="004E1F0B">
      <w:pPr>
        <w:spacing w:before="1"/>
        <w:ind w:left="1371"/>
        <w:rPr>
          <w:sz w:val="13"/>
        </w:rPr>
      </w:pPr>
      <w:r>
        <w:rPr>
          <w:sz w:val="13"/>
        </w:rPr>
        <w:t>de</w:t>
      </w:r>
      <w:r>
        <w:rPr>
          <w:spacing w:val="5"/>
          <w:sz w:val="13"/>
        </w:rPr>
        <w:t xml:space="preserve"> </w:t>
      </w:r>
      <w:r>
        <w:rPr>
          <w:sz w:val="13"/>
        </w:rPr>
        <w:t>2011.</w:t>
      </w:r>
      <w:r>
        <w:rPr>
          <w:spacing w:val="7"/>
          <w:sz w:val="13"/>
        </w:rPr>
        <w:t xml:space="preserve"> </w:t>
      </w:r>
      <w:r>
        <w:rPr>
          <w:sz w:val="13"/>
        </w:rPr>
        <w:t>Disponible</w:t>
      </w:r>
      <w:r>
        <w:rPr>
          <w:spacing w:val="6"/>
          <w:sz w:val="13"/>
        </w:rPr>
        <w:t xml:space="preserve"> </w:t>
      </w:r>
      <w:r>
        <w:rPr>
          <w:sz w:val="13"/>
        </w:rPr>
        <w:t>en</w:t>
      </w:r>
      <w:r>
        <w:rPr>
          <w:spacing w:val="6"/>
          <w:sz w:val="13"/>
        </w:rPr>
        <w:t xml:space="preserve"> </w:t>
      </w:r>
      <w:hyperlink r:id="rId280">
        <w:r>
          <w:rPr>
            <w:color w:val="0075BF"/>
            <w:sz w:val="13"/>
          </w:rPr>
          <w:t>www.corteconstitucional.gov.co/relatoria/2011/T-832-</w:t>
        </w:r>
        <w:r>
          <w:rPr>
            <w:color w:val="0075BF"/>
            <w:spacing w:val="-2"/>
            <w:sz w:val="13"/>
          </w:rPr>
          <w:t>11.htm.</w:t>
        </w:r>
      </w:hyperlink>
    </w:p>
    <w:p w14:paraId="69702373" w14:textId="77777777" w:rsidR="0014798C" w:rsidRDefault="004E1F0B">
      <w:pPr>
        <w:spacing w:before="87"/>
        <w:ind w:left="1107"/>
        <w:rPr>
          <w:sz w:val="13"/>
        </w:rPr>
      </w:pPr>
      <w:r>
        <w:rPr>
          <w:sz w:val="13"/>
          <w:vertAlign w:val="superscript"/>
        </w:rPr>
        <w:t>996</w:t>
      </w:r>
      <w:r>
        <w:rPr>
          <w:spacing w:val="79"/>
          <w:w w:val="150"/>
          <w:sz w:val="13"/>
        </w:rPr>
        <w:t xml:space="preserve"> </w:t>
      </w:r>
      <w:r>
        <w:rPr>
          <w:sz w:val="13"/>
        </w:rPr>
        <w:t>Véase,</w:t>
      </w:r>
      <w:r>
        <w:rPr>
          <w:spacing w:val="5"/>
          <w:sz w:val="13"/>
        </w:rPr>
        <w:t xml:space="preserve"> </w:t>
      </w:r>
      <w:r>
        <w:rPr>
          <w:sz w:val="13"/>
        </w:rPr>
        <w:t>por</w:t>
      </w:r>
      <w:r>
        <w:rPr>
          <w:spacing w:val="4"/>
          <w:sz w:val="13"/>
        </w:rPr>
        <w:t xml:space="preserve"> </w:t>
      </w:r>
      <w:r>
        <w:rPr>
          <w:sz w:val="13"/>
        </w:rPr>
        <w:t>ejemplo,</w:t>
      </w:r>
      <w:r>
        <w:rPr>
          <w:spacing w:val="5"/>
          <w:sz w:val="13"/>
        </w:rPr>
        <w:t xml:space="preserve"> </w:t>
      </w:r>
      <w:r>
        <w:rPr>
          <w:sz w:val="13"/>
        </w:rPr>
        <w:t>Comité</w:t>
      </w:r>
      <w:r>
        <w:rPr>
          <w:spacing w:val="4"/>
          <w:sz w:val="13"/>
        </w:rPr>
        <w:t xml:space="preserve"> </w:t>
      </w:r>
      <w:r>
        <w:rPr>
          <w:sz w:val="13"/>
        </w:rPr>
        <w:t>de</w:t>
      </w:r>
      <w:r>
        <w:rPr>
          <w:spacing w:val="4"/>
          <w:sz w:val="13"/>
        </w:rPr>
        <w:t xml:space="preserve"> </w:t>
      </w:r>
      <w:r>
        <w:rPr>
          <w:sz w:val="13"/>
        </w:rPr>
        <w:t>Derechos</w:t>
      </w:r>
      <w:r>
        <w:rPr>
          <w:spacing w:val="4"/>
          <w:sz w:val="13"/>
        </w:rPr>
        <w:t xml:space="preserve"> </w:t>
      </w:r>
      <w:r>
        <w:rPr>
          <w:sz w:val="13"/>
        </w:rPr>
        <w:t>Humanos,</w:t>
      </w:r>
      <w:r>
        <w:rPr>
          <w:spacing w:val="5"/>
          <w:sz w:val="13"/>
        </w:rPr>
        <w:t xml:space="preserve"> </w:t>
      </w:r>
      <w:proofErr w:type="spellStart"/>
      <w:r>
        <w:rPr>
          <w:sz w:val="13"/>
        </w:rPr>
        <w:t>Türkan</w:t>
      </w:r>
      <w:proofErr w:type="spellEnd"/>
      <w:r>
        <w:rPr>
          <w:spacing w:val="4"/>
          <w:sz w:val="13"/>
        </w:rPr>
        <w:t xml:space="preserve"> </w:t>
      </w:r>
      <w:r>
        <w:rPr>
          <w:sz w:val="13"/>
        </w:rPr>
        <w:t>c.</w:t>
      </w:r>
      <w:r>
        <w:rPr>
          <w:spacing w:val="3"/>
          <w:sz w:val="13"/>
        </w:rPr>
        <w:t xml:space="preserve"> </w:t>
      </w:r>
      <w:r>
        <w:rPr>
          <w:sz w:val="13"/>
        </w:rPr>
        <w:t>Turquía</w:t>
      </w:r>
      <w:r>
        <w:rPr>
          <w:spacing w:val="4"/>
          <w:sz w:val="13"/>
        </w:rPr>
        <w:t xml:space="preserve"> </w:t>
      </w:r>
      <w:r>
        <w:rPr>
          <w:spacing w:val="-2"/>
          <w:sz w:val="13"/>
        </w:rPr>
        <w:t>(CCPR/C/123/D/2274/2013).</w:t>
      </w:r>
    </w:p>
    <w:p w14:paraId="0E0CE07A" w14:textId="77777777" w:rsidR="0014798C" w:rsidRDefault="004E1F0B">
      <w:pPr>
        <w:spacing w:before="87" w:line="288" w:lineRule="auto"/>
        <w:ind w:left="1376" w:right="2004" w:hanging="270"/>
        <w:rPr>
          <w:sz w:val="13"/>
        </w:rPr>
      </w:pPr>
      <w:r>
        <w:rPr>
          <w:sz w:val="13"/>
          <w:vertAlign w:val="superscript"/>
        </w:rPr>
        <w:t>997</w:t>
      </w:r>
      <w:r>
        <w:rPr>
          <w:spacing w:val="80"/>
          <w:sz w:val="13"/>
        </w:rPr>
        <w:t xml:space="preserve"> </w:t>
      </w:r>
      <w:r>
        <w:rPr>
          <w:sz w:val="13"/>
        </w:rPr>
        <w:t xml:space="preserve">Véase, por ejemplo, Tribunal Europeo de Derechos Humanos, </w:t>
      </w:r>
      <w:proofErr w:type="spellStart"/>
      <w:r>
        <w:rPr>
          <w:sz w:val="13"/>
        </w:rPr>
        <w:t>Dahlab</w:t>
      </w:r>
      <w:proofErr w:type="spellEnd"/>
      <w:r>
        <w:rPr>
          <w:sz w:val="13"/>
        </w:rPr>
        <w:t xml:space="preserve"> c. Suiza, solicitud </w:t>
      </w:r>
      <w:proofErr w:type="spellStart"/>
      <w:r>
        <w:rPr>
          <w:sz w:val="13"/>
        </w:rPr>
        <w:t>n.°</w:t>
      </w:r>
      <w:proofErr w:type="spellEnd"/>
      <w:r>
        <w:rPr>
          <w:sz w:val="13"/>
        </w:rPr>
        <w:t xml:space="preserve"> 42393/98, decisión sobre admisibilidad, 15 de</w:t>
      </w:r>
      <w:r>
        <w:rPr>
          <w:spacing w:val="40"/>
          <w:sz w:val="13"/>
        </w:rPr>
        <w:t xml:space="preserve"> </w:t>
      </w:r>
      <w:r>
        <w:rPr>
          <w:sz w:val="13"/>
        </w:rPr>
        <w:t>febrero de 2001.</w:t>
      </w:r>
    </w:p>
    <w:p w14:paraId="1F0C58CD" w14:textId="77777777" w:rsidR="0014798C" w:rsidRDefault="004E1F0B">
      <w:pPr>
        <w:spacing w:before="57"/>
        <w:ind w:left="1107"/>
        <w:rPr>
          <w:sz w:val="13"/>
        </w:rPr>
      </w:pPr>
      <w:r>
        <w:rPr>
          <w:w w:val="105"/>
          <w:sz w:val="13"/>
          <w:vertAlign w:val="superscript"/>
        </w:rPr>
        <w:t>998</w:t>
      </w:r>
      <w:r>
        <w:rPr>
          <w:spacing w:val="54"/>
          <w:w w:val="105"/>
          <w:sz w:val="13"/>
        </w:rPr>
        <w:t xml:space="preserve"> </w:t>
      </w:r>
      <w:r>
        <w:rPr>
          <w:w w:val="105"/>
          <w:sz w:val="13"/>
        </w:rPr>
        <w:t>E/CN.4/2006/5,</w:t>
      </w:r>
      <w:r>
        <w:rPr>
          <w:spacing w:val="-9"/>
          <w:w w:val="105"/>
          <w:sz w:val="13"/>
        </w:rPr>
        <w:t xml:space="preserve"> </w:t>
      </w:r>
      <w:r>
        <w:rPr>
          <w:w w:val="105"/>
          <w:sz w:val="13"/>
        </w:rPr>
        <w:t>párr.</w:t>
      </w:r>
      <w:r>
        <w:rPr>
          <w:spacing w:val="-9"/>
          <w:w w:val="105"/>
          <w:sz w:val="13"/>
        </w:rPr>
        <w:t xml:space="preserve"> </w:t>
      </w:r>
      <w:r>
        <w:rPr>
          <w:spacing w:val="-5"/>
          <w:w w:val="105"/>
          <w:sz w:val="13"/>
        </w:rPr>
        <w:t>55.</w:t>
      </w:r>
    </w:p>
    <w:p w14:paraId="37B777F5" w14:textId="77777777" w:rsidR="0014798C" w:rsidRDefault="0014798C">
      <w:pPr>
        <w:pStyle w:val="Textoindependiente"/>
        <w:spacing w:before="77"/>
        <w:rPr>
          <w:sz w:val="8"/>
        </w:rPr>
      </w:pPr>
    </w:p>
    <w:p w14:paraId="1481B06C" w14:textId="77777777" w:rsidR="0014798C" w:rsidRDefault="004E1F0B">
      <w:pPr>
        <w:ind w:left="1107"/>
        <w:rPr>
          <w:sz w:val="8"/>
        </w:rPr>
      </w:pPr>
      <w:r>
        <w:rPr>
          <w:w w:val="105"/>
          <w:sz w:val="8"/>
        </w:rPr>
        <w:t>999</w:t>
      </w:r>
      <w:r>
        <w:rPr>
          <w:spacing w:val="-4"/>
          <w:w w:val="105"/>
          <w:sz w:val="8"/>
        </w:rPr>
        <w:t xml:space="preserve"> </w:t>
      </w:r>
      <w:proofErr w:type="spellStart"/>
      <w:r>
        <w:rPr>
          <w:w w:val="105"/>
          <w:sz w:val="8"/>
        </w:rPr>
        <w:t>Ibíd</w:t>
      </w:r>
      <w:proofErr w:type="spellEnd"/>
      <w:r>
        <w:rPr>
          <w:w w:val="105"/>
          <w:sz w:val="8"/>
        </w:rPr>
        <w:t>.,</w:t>
      </w:r>
      <w:r>
        <w:rPr>
          <w:spacing w:val="-4"/>
          <w:w w:val="105"/>
          <w:sz w:val="8"/>
        </w:rPr>
        <w:t xml:space="preserve"> </w:t>
      </w:r>
      <w:r>
        <w:rPr>
          <w:w w:val="105"/>
          <w:sz w:val="8"/>
        </w:rPr>
        <w:t>párr.</w:t>
      </w:r>
      <w:r>
        <w:rPr>
          <w:spacing w:val="-4"/>
          <w:w w:val="105"/>
          <w:sz w:val="8"/>
        </w:rPr>
        <w:t xml:space="preserve"> </w:t>
      </w:r>
      <w:r>
        <w:rPr>
          <w:spacing w:val="-2"/>
          <w:w w:val="105"/>
          <w:sz w:val="8"/>
        </w:rPr>
        <w:t>55(a).</w:t>
      </w:r>
    </w:p>
    <w:p w14:paraId="4E59DE79" w14:textId="77777777" w:rsidR="0014798C" w:rsidRDefault="004E1F0B">
      <w:pPr>
        <w:spacing w:before="62"/>
        <w:ind w:left="1111"/>
        <w:rPr>
          <w:sz w:val="13"/>
        </w:rPr>
      </w:pPr>
      <w:r>
        <w:rPr>
          <w:sz w:val="13"/>
          <w:vertAlign w:val="superscript"/>
        </w:rPr>
        <w:t>1000</w:t>
      </w:r>
      <w:r>
        <w:rPr>
          <w:spacing w:val="37"/>
          <w:sz w:val="13"/>
        </w:rPr>
        <w:t xml:space="preserve"> </w:t>
      </w:r>
      <w:r>
        <w:rPr>
          <w:sz w:val="13"/>
        </w:rPr>
        <w:t>Tribunal</w:t>
      </w:r>
      <w:r>
        <w:rPr>
          <w:spacing w:val="4"/>
          <w:sz w:val="13"/>
        </w:rPr>
        <w:t xml:space="preserve"> </w:t>
      </w:r>
      <w:r>
        <w:rPr>
          <w:sz w:val="13"/>
        </w:rPr>
        <w:t>Europeo</w:t>
      </w:r>
      <w:r>
        <w:rPr>
          <w:spacing w:val="3"/>
          <w:sz w:val="13"/>
        </w:rPr>
        <w:t xml:space="preserve"> </w:t>
      </w:r>
      <w:r>
        <w:rPr>
          <w:sz w:val="13"/>
        </w:rPr>
        <w:t>de</w:t>
      </w:r>
      <w:r>
        <w:rPr>
          <w:spacing w:val="4"/>
          <w:sz w:val="13"/>
        </w:rPr>
        <w:t xml:space="preserve"> </w:t>
      </w:r>
      <w:r>
        <w:rPr>
          <w:sz w:val="13"/>
        </w:rPr>
        <w:t>Derechos</w:t>
      </w:r>
      <w:r>
        <w:rPr>
          <w:spacing w:val="4"/>
          <w:sz w:val="13"/>
        </w:rPr>
        <w:t xml:space="preserve"> </w:t>
      </w:r>
      <w:r>
        <w:rPr>
          <w:sz w:val="13"/>
        </w:rPr>
        <w:t>Humanos,</w:t>
      </w:r>
      <w:r>
        <w:rPr>
          <w:spacing w:val="4"/>
          <w:sz w:val="13"/>
        </w:rPr>
        <w:t xml:space="preserve"> </w:t>
      </w:r>
      <w:r>
        <w:rPr>
          <w:sz w:val="13"/>
        </w:rPr>
        <w:t>Mann</w:t>
      </w:r>
      <w:r>
        <w:rPr>
          <w:spacing w:val="4"/>
          <w:sz w:val="13"/>
        </w:rPr>
        <w:t xml:space="preserve"> </w:t>
      </w:r>
      <w:r>
        <w:rPr>
          <w:sz w:val="13"/>
        </w:rPr>
        <w:t>Singh</w:t>
      </w:r>
      <w:r>
        <w:rPr>
          <w:spacing w:val="4"/>
          <w:sz w:val="13"/>
        </w:rPr>
        <w:t xml:space="preserve"> </w:t>
      </w:r>
      <w:r>
        <w:rPr>
          <w:sz w:val="13"/>
        </w:rPr>
        <w:t>c.</w:t>
      </w:r>
      <w:r>
        <w:rPr>
          <w:spacing w:val="3"/>
          <w:sz w:val="13"/>
        </w:rPr>
        <w:t xml:space="preserve"> </w:t>
      </w:r>
      <w:r>
        <w:rPr>
          <w:sz w:val="13"/>
        </w:rPr>
        <w:t>Francia,</w:t>
      </w:r>
      <w:r>
        <w:rPr>
          <w:spacing w:val="5"/>
          <w:sz w:val="13"/>
        </w:rPr>
        <w:t xml:space="preserve"> </w:t>
      </w:r>
      <w:r>
        <w:rPr>
          <w:sz w:val="13"/>
        </w:rPr>
        <w:t>solicitud</w:t>
      </w:r>
      <w:r>
        <w:rPr>
          <w:spacing w:val="4"/>
          <w:sz w:val="13"/>
        </w:rPr>
        <w:t xml:space="preserve"> </w:t>
      </w:r>
      <w:r>
        <w:rPr>
          <w:sz w:val="13"/>
        </w:rPr>
        <w:t>n.º</w:t>
      </w:r>
      <w:r>
        <w:rPr>
          <w:spacing w:val="3"/>
          <w:sz w:val="13"/>
        </w:rPr>
        <w:t xml:space="preserve"> </w:t>
      </w:r>
      <w:r>
        <w:rPr>
          <w:sz w:val="13"/>
        </w:rPr>
        <w:t>24479/07,</w:t>
      </w:r>
      <w:r>
        <w:rPr>
          <w:spacing w:val="5"/>
          <w:sz w:val="13"/>
        </w:rPr>
        <w:t xml:space="preserve"> </w:t>
      </w:r>
      <w:r>
        <w:rPr>
          <w:sz w:val="13"/>
        </w:rPr>
        <w:t>Decisión</w:t>
      </w:r>
      <w:r>
        <w:rPr>
          <w:spacing w:val="4"/>
          <w:sz w:val="13"/>
        </w:rPr>
        <w:t xml:space="preserve"> </w:t>
      </w:r>
      <w:r>
        <w:rPr>
          <w:sz w:val="13"/>
        </w:rPr>
        <w:t>sobre</w:t>
      </w:r>
      <w:r>
        <w:rPr>
          <w:spacing w:val="3"/>
          <w:sz w:val="13"/>
        </w:rPr>
        <w:t xml:space="preserve"> </w:t>
      </w:r>
      <w:r>
        <w:rPr>
          <w:sz w:val="13"/>
        </w:rPr>
        <w:t>admisibilidad,</w:t>
      </w:r>
      <w:r>
        <w:rPr>
          <w:spacing w:val="6"/>
          <w:sz w:val="13"/>
        </w:rPr>
        <w:t xml:space="preserve"> </w:t>
      </w:r>
      <w:r>
        <w:rPr>
          <w:sz w:val="13"/>
        </w:rPr>
        <w:t>13</w:t>
      </w:r>
      <w:r>
        <w:rPr>
          <w:spacing w:val="4"/>
          <w:sz w:val="13"/>
        </w:rPr>
        <w:t xml:space="preserve"> </w:t>
      </w:r>
      <w:r>
        <w:rPr>
          <w:sz w:val="13"/>
        </w:rPr>
        <w:t>de</w:t>
      </w:r>
      <w:r>
        <w:rPr>
          <w:spacing w:val="3"/>
          <w:sz w:val="13"/>
        </w:rPr>
        <w:t xml:space="preserve"> </w:t>
      </w:r>
      <w:r>
        <w:rPr>
          <w:sz w:val="13"/>
        </w:rPr>
        <w:t>noviembre</w:t>
      </w:r>
      <w:r>
        <w:rPr>
          <w:spacing w:val="5"/>
          <w:sz w:val="13"/>
        </w:rPr>
        <w:t xml:space="preserve"> </w:t>
      </w:r>
      <w:r>
        <w:rPr>
          <w:sz w:val="13"/>
        </w:rPr>
        <w:t>de</w:t>
      </w:r>
      <w:r>
        <w:rPr>
          <w:spacing w:val="4"/>
          <w:sz w:val="13"/>
        </w:rPr>
        <w:t xml:space="preserve"> </w:t>
      </w:r>
      <w:r>
        <w:rPr>
          <w:spacing w:val="-2"/>
          <w:sz w:val="13"/>
        </w:rPr>
        <w:t>2008.</w:t>
      </w:r>
    </w:p>
    <w:p w14:paraId="68B8AD7C" w14:textId="77777777" w:rsidR="0014798C" w:rsidRDefault="004E1F0B">
      <w:pPr>
        <w:spacing w:before="87" w:line="288" w:lineRule="auto"/>
        <w:ind w:left="1366" w:right="2004" w:hanging="256"/>
        <w:rPr>
          <w:sz w:val="13"/>
        </w:rPr>
      </w:pPr>
      <w:r>
        <w:rPr>
          <w:sz w:val="13"/>
        </w:rPr>
        <w:t xml:space="preserve">1001 Comité de Derechos Humanos, Mann Singh c. Francia (CCPR/C/108/D/1928/2010). Véase también el análisis del caso en Heiner </w:t>
      </w:r>
      <w:proofErr w:type="spellStart"/>
      <w:r>
        <w:rPr>
          <w:sz w:val="13"/>
        </w:rPr>
        <w:t>Bielefeldt</w:t>
      </w:r>
      <w:proofErr w:type="spellEnd"/>
      <w:r>
        <w:rPr>
          <w:sz w:val="13"/>
        </w:rPr>
        <w:t xml:space="preserve"> y</w:t>
      </w:r>
      <w:r>
        <w:rPr>
          <w:spacing w:val="40"/>
          <w:sz w:val="13"/>
        </w:rPr>
        <w:t xml:space="preserve"> </w:t>
      </w:r>
      <w:r>
        <w:rPr>
          <w:sz w:val="13"/>
        </w:rPr>
        <w:t xml:space="preserve">Michael Wiener, </w:t>
      </w:r>
      <w:proofErr w:type="spellStart"/>
      <w:r>
        <w:rPr>
          <w:sz w:val="13"/>
        </w:rPr>
        <w:t>Religion</w:t>
      </w:r>
      <w:proofErr w:type="spellEnd"/>
      <w:r>
        <w:rPr>
          <w:sz w:val="13"/>
        </w:rPr>
        <w:t xml:space="preserve"> </w:t>
      </w:r>
      <w:proofErr w:type="spellStart"/>
      <w:r>
        <w:rPr>
          <w:sz w:val="13"/>
        </w:rPr>
        <w:t>Freedom</w:t>
      </w:r>
      <w:proofErr w:type="spellEnd"/>
      <w:r>
        <w:rPr>
          <w:sz w:val="13"/>
        </w:rPr>
        <w:t xml:space="preserve"> </w:t>
      </w:r>
      <w:proofErr w:type="spellStart"/>
      <w:r>
        <w:rPr>
          <w:sz w:val="13"/>
        </w:rPr>
        <w:t>Under</w:t>
      </w:r>
      <w:proofErr w:type="spellEnd"/>
      <w:r>
        <w:rPr>
          <w:sz w:val="13"/>
        </w:rPr>
        <w:t xml:space="preserve"> </w:t>
      </w:r>
      <w:proofErr w:type="spellStart"/>
      <w:r>
        <w:rPr>
          <w:sz w:val="13"/>
        </w:rPr>
        <w:t>Scrutiny</w:t>
      </w:r>
      <w:proofErr w:type="spellEnd"/>
      <w:r>
        <w:rPr>
          <w:sz w:val="13"/>
        </w:rPr>
        <w:t xml:space="preserve"> (Filadelfia, </w:t>
      </w:r>
      <w:proofErr w:type="spellStart"/>
      <w:r>
        <w:rPr>
          <w:sz w:val="13"/>
        </w:rPr>
        <w:t>University</w:t>
      </w:r>
      <w:proofErr w:type="spellEnd"/>
      <w:r>
        <w:rPr>
          <w:sz w:val="13"/>
        </w:rPr>
        <w:t xml:space="preserve"> of Pennsylvania </w:t>
      </w:r>
      <w:proofErr w:type="spellStart"/>
      <w:r>
        <w:rPr>
          <w:sz w:val="13"/>
        </w:rPr>
        <w:t>Press</w:t>
      </w:r>
      <w:proofErr w:type="spellEnd"/>
      <w:r>
        <w:rPr>
          <w:sz w:val="13"/>
        </w:rPr>
        <w:t>, 2019), págs. 156 y siguientes.</w:t>
      </w:r>
    </w:p>
    <w:p w14:paraId="0FE44C9C" w14:textId="77777777" w:rsidR="0014798C" w:rsidRDefault="0014798C">
      <w:pPr>
        <w:pStyle w:val="Textoindependiente"/>
        <w:rPr>
          <w:sz w:val="19"/>
        </w:rPr>
      </w:pPr>
    </w:p>
    <w:p w14:paraId="445BB8FD" w14:textId="77777777" w:rsidR="0014798C" w:rsidRDefault="0014798C">
      <w:pPr>
        <w:pStyle w:val="Textoindependiente"/>
        <w:spacing w:before="167"/>
        <w:rPr>
          <w:sz w:val="19"/>
        </w:rPr>
      </w:pPr>
    </w:p>
    <w:p w14:paraId="0DD4A438" w14:textId="77777777" w:rsidR="0014798C" w:rsidRDefault="004E1F0B">
      <w:pPr>
        <w:ind w:left="468"/>
        <w:rPr>
          <w:sz w:val="19"/>
        </w:rPr>
      </w:pPr>
      <w:r>
        <w:rPr>
          <w:spacing w:val="-5"/>
          <w:sz w:val="19"/>
        </w:rPr>
        <w:t>144</w:t>
      </w:r>
    </w:p>
    <w:p w14:paraId="31ACB7CF" w14:textId="77777777" w:rsidR="0014798C" w:rsidRDefault="0014798C">
      <w:pPr>
        <w:rPr>
          <w:sz w:val="19"/>
        </w:rPr>
        <w:sectPr w:rsidR="0014798C" w:rsidSect="00F265E4">
          <w:pgSz w:w="11900" w:h="16820"/>
          <w:pgMar w:top="340" w:right="0" w:bottom="280" w:left="200" w:header="121" w:footer="0" w:gutter="0"/>
          <w:cols w:space="720"/>
        </w:sectPr>
      </w:pPr>
    </w:p>
    <w:p w14:paraId="4A145445" w14:textId="77777777" w:rsidR="0014798C" w:rsidRDefault="0014798C">
      <w:pPr>
        <w:pStyle w:val="Textoindependiente"/>
        <w:rPr>
          <w:sz w:val="9"/>
        </w:rPr>
      </w:pPr>
    </w:p>
    <w:p w14:paraId="08F1AD44" w14:textId="77777777" w:rsidR="0014798C" w:rsidRDefault="0014798C">
      <w:pPr>
        <w:pStyle w:val="Textoindependiente"/>
        <w:spacing w:before="31"/>
        <w:rPr>
          <w:sz w:val="9"/>
        </w:rPr>
      </w:pPr>
    </w:p>
    <w:p w14:paraId="3A90C725" w14:textId="77777777" w:rsidR="0014798C" w:rsidRDefault="004E1F0B">
      <w:pPr>
        <w:ind w:left="1111"/>
        <w:rPr>
          <w:sz w:val="9"/>
        </w:rPr>
      </w:pPr>
      <w:r>
        <w:rPr>
          <w:color w:val="803108"/>
          <w:w w:val="105"/>
          <w:sz w:val="9"/>
        </w:rPr>
        <w:t>PARTE</w:t>
      </w:r>
      <w:r>
        <w:rPr>
          <w:color w:val="803108"/>
          <w:spacing w:val="1"/>
          <w:w w:val="105"/>
          <w:sz w:val="9"/>
        </w:rPr>
        <w:t xml:space="preserve"> </w:t>
      </w:r>
      <w:r>
        <w:rPr>
          <w:color w:val="803108"/>
          <w:w w:val="105"/>
          <w:sz w:val="9"/>
        </w:rPr>
        <w:t>TRES:</w:t>
      </w:r>
      <w:r>
        <w:rPr>
          <w:color w:val="803108"/>
          <w:spacing w:val="2"/>
          <w:w w:val="105"/>
          <w:sz w:val="9"/>
        </w:rPr>
        <w:t xml:space="preserve"> </w:t>
      </w:r>
      <w:r>
        <w:rPr>
          <w:color w:val="803108"/>
          <w:w w:val="105"/>
          <w:sz w:val="9"/>
        </w:rPr>
        <w:t>PROTECCIÓN</w:t>
      </w:r>
      <w:r>
        <w:rPr>
          <w:color w:val="803108"/>
          <w:spacing w:val="2"/>
          <w:w w:val="105"/>
          <w:sz w:val="9"/>
        </w:rPr>
        <w:t xml:space="preserve"> </w:t>
      </w:r>
      <w:r>
        <w:rPr>
          <w:color w:val="803108"/>
          <w:w w:val="105"/>
          <w:sz w:val="9"/>
        </w:rPr>
        <w:t>DE</w:t>
      </w:r>
      <w:r>
        <w:rPr>
          <w:color w:val="803108"/>
          <w:spacing w:val="1"/>
          <w:w w:val="105"/>
          <w:sz w:val="9"/>
        </w:rPr>
        <w:t xml:space="preserve"> </w:t>
      </w:r>
      <w:r>
        <w:rPr>
          <w:color w:val="803108"/>
          <w:w w:val="105"/>
          <w:sz w:val="9"/>
        </w:rPr>
        <w:t>LOS</w:t>
      </w:r>
      <w:r>
        <w:rPr>
          <w:color w:val="803108"/>
          <w:spacing w:val="2"/>
          <w:w w:val="105"/>
          <w:sz w:val="9"/>
        </w:rPr>
        <w:t xml:space="preserve"> </w:t>
      </w:r>
      <w:r>
        <w:rPr>
          <w:color w:val="803108"/>
          <w:w w:val="105"/>
          <w:sz w:val="9"/>
        </w:rPr>
        <w:t>DERECHOS</w:t>
      </w:r>
      <w:r>
        <w:rPr>
          <w:color w:val="803108"/>
          <w:spacing w:val="3"/>
          <w:w w:val="105"/>
          <w:sz w:val="9"/>
        </w:rPr>
        <w:t xml:space="preserve"> </w:t>
      </w:r>
      <w:r>
        <w:rPr>
          <w:color w:val="803108"/>
          <w:w w:val="105"/>
          <w:sz w:val="9"/>
        </w:rPr>
        <w:t>DE</w:t>
      </w:r>
      <w:r>
        <w:rPr>
          <w:color w:val="803108"/>
          <w:spacing w:val="1"/>
          <w:w w:val="105"/>
          <w:sz w:val="9"/>
        </w:rPr>
        <w:t xml:space="preserve"> </w:t>
      </w:r>
      <w:r>
        <w:rPr>
          <w:color w:val="803108"/>
          <w:w w:val="105"/>
          <w:sz w:val="9"/>
        </w:rPr>
        <w:t>LAS</w:t>
      </w:r>
      <w:r>
        <w:rPr>
          <w:color w:val="803108"/>
          <w:spacing w:val="2"/>
          <w:w w:val="105"/>
          <w:sz w:val="9"/>
        </w:rPr>
        <w:t xml:space="preserve"> </w:t>
      </w:r>
      <w:r>
        <w:rPr>
          <w:color w:val="803108"/>
          <w:spacing w:val="-2"/>
          <w:w w:val="105"/>
          <w:sz w:val="9"/>
        </w:rPr>
        <w:t>MINORÍAS</w:t>
      </w:r>
    </w:p>
    <w:p w14:paraId="5F34AE2E" w14:textId="77777777" w:rsidR="0014798C" w:rsidRDefault="0014798C">
      <w:pPr>
        <w:pStyle w:val="Textoindependiente"/>
        <w:rPr>
          <w:sz w:val="15"/>
        </w:rPr>
      </w:pPr>
    </w:p>
    <w:p w14:paraId="030B0F74" w14:textId="77777777" w:rsidR="0014798C" w:rsidRDefault="0014798C">
      <w:pPr>
        <w:pStyle w:val="Textoindependiente"/>
        <w:rPr>
          <w:sz w:val="15"/>
        </w:rPr>
      </w:pPr>
    </w:p>
    <w:p w14:paraId="5A5C8877" w14:textId="77777777" w:rsidR="0014798C" w:rsidRDefault="0014798C">
      <w:pPr>
        <w:pStyle w:val="Textoindependiente"/>
        <w:rPr>
          <w:sz w:val="15"/>
        </w:rPr>
      </w:pPr>
    </w:p>
    <w:p w14:paraId="2AEC2755" w14:textId="77777777" w:rsidR="0014798C" w:rsidRDefault="0014798C">
      <w:pPr>
        <w:pStyle w:val="Textoindependiente"/>
        <w:rPr>
          <w:sz w:val="15"/>
        </w:rPr>
      </w:pPr>
    </w:p>
    <w:p w14:paraId="40ADBA27" w14:textId="77777777" w:rsidR="0014798C" w:rsidRDefault="0014798C">
      <w:pPr>
        <w:pStyle w:val="Textoindependiente"/>
        <w:spacing w:before="135"/>
        <w:rPr>
          <w:sz w:val="15"/>
        </w:rPr>
      </w:pPr>
    </w:p>
    <w:p w14:paraId="63CB2E93" w14:textId="77777777" w:rsidR="0014798C" w:rsidRDefault="004E1F0B">
      <w:pPr>
        <w:spacing w:line="348" w:lineRule="auto"/>
        <w:ind w:left="1107" w:right="1319"/>
        <w:rPr>
          <w:sz w:val="15"/>
        </w:rPr>
      </w:pPr>
      <w:r>
        <w:rPr>
          <w:noProof/>
        </w:rPr>
        <w:drawing>
          <wp:anchor distT="0" distB="0" distL="0" distR="0" simplePos="0" relativeHeight="251658465" behindDoc="1" locked="0" layoutInCell="1" allowOverlap="1" wp14:anchorId="76DF89AF" wp14:editId="78B20644">
            <wp:simplePos x="0" y="0"/>
            <wp:positionH relativeFrom="page">
              <wp:posOffset>826632</wp:posOffset>
            </wp:positionH>
            <wp:positionV relativeFrom="paragraph">
              <wp:posOffset>2153161</wp:posOffset>
            </wp:positionV>
            <wp:extent cx="6729867" cy="5037048"/>
            <wp:effectExtent l="0" t="0" r="0" b="0"/>
            <wp:wrapNone/>
            <wp:docPr id="297" name="Image 29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97" name="Image 297"/>
                    <pic:cNvPicPr/>
                  </pic:nvPicPr>
                  <pic:blipFill>
                    <a:blip r:embed="rId281" cstate="print"/>
                    <a:stretch>
                      <a:fillRect/>
                    </a:stretch>
                  </pic:blipFill>
                  <pic:spPr>
                    <a:xfrm>
                      <a:off x="0" y="0"/>
                      <a:ext cx="6729867" cy="5037048"/>
                    </a:xfrm>
                    <a:prstGeom prst="rect">
                      <a:avLst/>
                    </a:prstGeom>
                  </pic:spPr>
                </pic:pic>
              </a:graphicData>
            </a:graphic>
          </wp:anchor>
        </w:drawing>
      </w:r>
      <w:r>
        <w:rPr>
          <w:sz w:val="15"/>
        </w:rPr>
        <w:t>Las cuestiones relacionadas con la vestimenta religiosa han demostrado ser un tema desafiante para los tribunales de todo el mundo. En una sentencia</w:t>
      </w:r>
      <w:r>
        <w:rPr>
          <w:spacing w:val="-1"/>
          <w:sz w:val="15"/>
        </w:rPr>
        <w:t xml:space="preserve"> </w:t>
      </w:r>
      <w:r>
        <w:rPr>
          <w:sz w:val="15"/>
        </w:rPr>
        <w:t>ampliamente</w:t>
      </w:r>
      <w:r>
        <w:rPr>
          <w:spacing w:val="-1"/>
          <w:sz w:val="15"/>
        </w:rPr>
        <w:t xml:space="preserve"> </w:t>
      </w:r>
      <w:r>
        <w:rPr>
          <w:sz w:val="15"/>
        </w:rPr>
        <w:t>publicitada</w:t>
      </w:r>
      <w:r>
        <w:rPr>
          <w:spacing w:val="-1"/>
          <w:sz w:val="15"/>
        </w:rPr>
        <w:t xml:space="preserve"> </w:t>
      </w:r>
      <w:r>
        <w:rPr>
          <w:sz w:val="15"/>
        </w:rPr>
        <w:t>dictada</w:t>
      </w:r>
      <w:r>
        <w:rPr>
          <w:spacing w:val="-1"/>
          <w:sz w:val="15"/>
        </w:rPr>
        <w:t xml:space="preserve"> </w:t>
      </w:r>
      <w:r>
        <w:rPr>
          <w:sz w:val="15"/>
        </w:rPr>
        <w:t>en 2014, el Tribunal</w:t>
      </w:r>
      <w:r>
        <w:rPr>
          <w:spacing w:val="-1"/>
          <w:sz w:val="15"/>
        </w:rPr>
        <w:t xml:space="preserve"> </w:t>
      </w:r>
      <w:r>
        <w:rPr>
          <w:sz w:val="15"/>
        </w:rPr>
        <w:t>Europeo</w:t>
      </w:r>
      <w:r>
        <w:rPr>
          <w:spacing w:val="-1"/>
          <w:sz w:val="15"/>
        </w:rPr>
        <w:t xml:space="preserve"> </w:t>
      </w:r>
      <w:r>
        <w:rPr>
          <w:sz w:val="15"/>
        </w:rPr>
        <w:t>de Derechos</w:t>
      </w:r>
      <w:r>
        <w:rPr>
          <w:spacing w:val="-1"/>
          <w:sz w:val="15"/>
        </w:rPr>
        <w:t xml:space="preserve"> </w:t>
      </w:r>
      <w:r>
        <w:rPr>
          <w:sz w:val="15"/>
        </w:rPr>
        <w:t>Humanos</w:t>
      </w:r>
      <w:r>
        <w:rPr>
          <w:spacing w:val="-1"/>
          <w:sz w:val="15"/>
        </w:rPr>
        <w:t xml:space="preserve"> </w:t>
      </w:r>
      <w:r>
        <w:rPr>
          <w:sz w:val="15"/>
        </w:rPr>
        <w:t>examinó si la legislación francesa</w:t>
      </w:r>
      <w:r>
        <w:rPr>
          <w:spacing w:val="-1"/>
          <w:sz w:val="15"/>
        </w:rPr>
        <w:t xml:space="preserve"> </w:t>
      </w:r>
      <w:r>
        <w:rPr>
          <w:sz w:val="15"/>
        </w:rPr>
        <w:t xml:space="preserve">que introducía sanciones penales por ocultar el rostro en zonas públicas (la llamada prohibición del burka) era compatible con los artículos 9 y 14 de la Ley Europea. Convenio.1002 Si bien observó que la prohibición tenía el efecto de limitar el derecho a manifestar la religión, el Tribunal sostuvo que la prohibición era justificable. El objetivo de “vivir juntos” era legítimo según la Convención, y la prohibición era un medio necesario y proporcionado para lograr ese objetivo, dentro del margen de apreciación del Estado.1003 En 2018, se examinó nuevamente la legitimidad de la prohibición, esto vez por el Comité de Derechos Humanos en el caso </w:t>
      </w:r>
      <w:proofErr w:type="spellStart"/>
      <w:r>
        <w:rPr>
          <w:sz w:val="15"/>
        </w:rPr>
        <w:t>Yaker</w:t>
      </w:r>
      <w:proofErr w:type="spellEnd"/>
      <w:r>
        <w:rPr>
          <w:sz w:val="15"/>
        </w:rPr>
        <w:t xml:space="preserve"> v. Francia.1004 En contraste con la decisión del Tribunal Europeo de Derechos Humanos, el Comité encontró una violación de los artículos 18 (libertad de religión) y 26 (no discriminación e igualdad). ante la ley) del Pacto Internacional de Derechos Civiles y Políticos.1005 Según el Comité, el concepto de “vivir juntos” era una noción “muy vaga y abstracta”, y las autoridades francesas no habían demostrado un vínculo racional entre el concepto y la protección de los derechos y libertades de los demás.1006 Incluso si las autoridades lo hubieran hecho, el Estado no había demostrado que las sanciones penales fueran necesarias o proporcionadas.1007 Si bien la ley era aparentemente neutral, en el sentido</w:t>
      </w:r>
      <w:r>
        <w:rPr>
          <w:spacing w:val="80"/>
          <w:sz w:val="15"/>
        </w:rPr>
        <w:t xml:space="preserve"> </w:t>
      </w:r>
      <w:r>
        <w:rPr>
          <w:sz w:val="15"/>
        </w:rPr>
        <w:t>de que no apuntaba</w:t>
      </w:r>
      <w:r>
        <w:rPr>
          <w:spacing w:val="-1"/>
          <w:sz w:val="15"/>
        </w:rPr>
        <w:t xml:space="preserve"> </w:t>
      </w:r>
      <w:r>
        <w:rPr>
          <w:sz w:val="15"/>
        </w:rPr>
        <w:t>explícitamente</w:t>
      </w:r>
      <w:r>
        <w:rPr>
          <w:spacing w:val="-1"/>
          <w:sz w:val="15"/>
        </w:rPr>
        <w:t xml:space="preserve"> </w:t>
      </w:r>
      <w:r>
        <w:rPr>
          <w:sz w:val="15"/>
        </w:rPr>
        <w:t>a ningún particular</w:t>
      </w:r>
      <w:r>
        <w:rPr>
          <w:spacing w:val="-1"/>
          <w:sz w:val="15"/>
        </w:rPr>
        <w:t xml:space="preserve"> </w:t>
      </w:r>
      <w:r>
        <w:rPr>
          <w:sz w:val="15"/>
        </w:rPr>
        <w:t>grupo religioso, tuvo</w:t>
      </w:r>
      <w:r>
        <w:rPr>
          <w:spacing w:val="-1"/>
          <w:sz w:val="15"/>
        </w:rPr>
        <w:t xml:space="preserve"> </w:t>
      </w:r>
      <w:r>
        <w:rPr>
          <w:sz w:val="15"/>
        </w:rPr>
        <w:t>un impacto</w:t>
      </w:r>
      <w:r>
        <w:rPr>
          <w:spacing w:val="-1"/>
          <w:sz w:val="15"/>
        </w:rPr>
        <w:t xml:space="preserve"> </w:t>
      </w:r>
      <w:r>
        <w:rPr>
          <w:sz w:val="15"/>
        </w:rPr>
        <w:t>desproporcionado en el disfrute</w:t>
      </w:r>
      <w:r>
        <w:rPr>
          <w:spacing w:val="-1"/>
          <w:sz w:val="15"/>
        </w:rPr>
        <w:t xml:space="preserve"> </w:t>
      </w:r>
      <w:r>
        <w:rPr>
          <w:sz w:val="15"/>
        </w:rPr>
        <w:t>de los derechos</w:t>
      </w:r>
      <w:r>
        <w:rPr>
          <w:spacing w:val="-1"/>
          <w:sz w:val="15"/>
        </w:rPr>
        <w:t xml:space="preserve"> </w:t>
      </w:r>
      <w:r>
        <w:rPr>
          <w:sz w:val="15"/>
        </w:rPr>
        <w:t>de las mujeres musulmanas. Sobre esta base, el Comité sostuvo que las medidas eran indirectamente discriminatorias y ordenó a Francia revisar su legislación para eliminar el impacto discriminatorio y proporcionar reparación a la víctima.1008</w:t>
      </w:r>
    </w:p>
    <w:p w14:paraId="04C6B764" w14:textId="77777777" w:rsidR="0014798C" w:rsidRDefault="0014798C">
      <w:pPr>
        <w:pStyle w:val="Textoindependiente"/>
        <w:rPr>
          <w:sz w:val="15"/>
        </w:rPr>
      </w:pPr>
    </w:p>
    <w:p w14:paraId="56761FB7" w14:textId="77777777" w:rsidR="0014798C" w:rsidRDefault="0014798C">
      <w:pPr>
        <w:pStyle w:val="Textoindependiente"/>
        <w:rPr>
          <w:sz w:val="15"/>
        </w:rPr>
      </w:pPr>
    </w:p>
    <w:p w14:paraId="0CAB85A7" w14:textId="77777777" w:rsidR="0014798C" w:rsidRDefault="0014798C">
      <w:pPr>
        <w:pStyle w:val="Textoindependiente"/>
        <w:rPr>
          <w:sz w:val="15"/>
        </w:rPr>
      </w:pPr>
    </w:p>
    <w:p w14:paraId="2B3306CD" w14:textId="77777777" w:rsidR="0014798C" w:rsidRDefault="0014798C">
      <w:pPr>
        <w:pStyle w:val="Textoindependiente"/>
        <w:rPr>
          <w:sz w:val="15"/>
        </w:rPr>
      </w:pPr>
    </w:p>
    <w:p w14:paraId="5F98A39D" w14:textId="77777777" w:rsidR="0014798C" w:rsidRDefault="0014798C">
      <w:pPr>
        <w:pStyle w:val="Textoindependiente"/>
        <w:spacing w:before="51"/>
        <w:rPr>
          <w:sz w:val="15"/>
        </w:rPr>
      </w:pPr>
    </w:p>
    <w:p w14:paraId="7DC9A043" w14:textId="77777777" w:rsidR="0014798C" w:rsidRDefault="004E1F0B">
      <w:pPr>
        <w:spacing w:line="348" w:lineRule="auto"/>
        <w:ind w:left="1107" w:right="1359" w:firstLine="7"/>
        <w:rPr>
          <w:sz w:val="15"/>
        </w:rPr>
      </w:pPr>
      <w:r>
        <w:rPr>
          <w:noProof/>
        </w:rPr>
        <mc:AlternateContent>
          <mc:Choice Requires="wps">
            <w:drawing>
              <wp:anchor distT="0" distB="0" distL="0" distR="0" simplePos="0" relativeHeight="251658314" behindDoc="0" locked="0" layoutInCell="1" allowOverlap="1" wp14:anchorId="60A75D1B" wp14:editId="0FABBF23">
                <wp:simplePos x="0" y="0"/>
                <wp:positionH relativeFrom="page">
                  <wp:posOffset>7293418</wp:posOffset>
                </wp:positionH>
                <wp:positionV relativeFrom="paragraph">
                  <wp:posOffset>-198637</wp:posOffset>
                </wp:positionV>
                <wp:extent cx="104775" cy="260985"/>
                <wp:effectExtent l="0" t="0" r="0" b="0"/>
                <wp:wrapNone/>
                <wp:docPr id="298" name="Textbox 29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04775" cy="260985"/>
                        </a:xfrm>
                        <a:prstGeom prst="rect">
                          <a:avLst/>
                        </a:prstGeom>
                      </wps:spPr>
                      <wps:txbx>
                        <w:txbxContent>
                          <w:p w14:paraId="3BFC3CCE" w14:textId="77777777" w:rsidR="0014798C" w:rsidRDefault="004E1F0B">
                            <w:pPr>
                              <w:spacing w:before="17"/>
                              <w:ind w:left="20"/>
                              <w:rPr>
                                <w:sz w:val="11"/>
                              </w:rPr>
                            </w:pPr>
                            <w:r>
                              <w:rPr>
                                <w:color w:val="FFFFFF"/>
                                <w:spacing w:val="-33"/>
                                <w:sz w:val="11"/>
                              </w:rPr>
                              <w:t>TPRAERSTE</w:t>
                            </w:r>
                          </w:p>
                        </w:txbxContent>
                      </wps:txbx>
                      <wps:bodyPr vert="vert270" wrap="square" lIns="0" tIns="0" rIns="0" bIns="0" rtlCol="0">
                        <a:noAutofit/>
                      </wps:bodyPr>
                    </wps:wsp>
                  </a:graphicData>
                </a:graphic>
              </wp:anchor>
            </w:drawing>
          </mc:Choice>
          <mc:Fallback>
            <w:pict>
              <v:shape w14:anchorId="60A75D1B" id="Textbox 298" o:spid="_x0000_s1145" type="#_x0000_t202" style="position:absolute;left:0;text-align:left;margin-left:574.3pt;margin-top:-15.65pt;width:8.25pt;height:20.55pt;z-index:251658314;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" filled="f" stroked="f">
                <v:textbox style="layout-flow:vertical;mso-layout-flow-alt:bottom-to-top" inset="0,0,0,0">
                  <w:txbxContent>
                    <w:p w14:paraId="3BFC3CCE" w14:textId="77777777" w:rsidR="0014798C" w:rsidRDefault="004E1F0B">
                      <w:pPr>
                        <w:spacing w:before="17"/>
                        <w:ind w:left="20"/>
                        <w:rPr>
                          <w:sz w:val="11"/>
                        </w:rPr>
                      </w:pPr>
                      <w:r>
                        <w:rPr>
                          <w:color w:val="FFFFFF"/>
                          <w:spacing w:val="-33"/>
                          <w:sz w:val="11"/>
                        </w:rPr>
                        <w:t>TPRAERSTE</w:t>
                      </w:r>
                    </w:p>
                  </w:txbxContent>
                </v:textbox>
                <w10:wrap anchorx="page"/>
              </v:shape>
            </w:pict>
          </mc:Fallback>
        </mc:AlternateContent>
      </w:r>
      <w:r>
        <w:rPr>
          <w:sz w:val="15"/>
        </w:rPr>
        <w:t>Otros</w:t>
      </w:r>
      <w:r>
        <w:rPr>
          <w:spacing w:val="-1"/>
          <w:sz w:val="15"/>
        </w:rPr>
        <w:t xml:space="preserve"> </w:t>
      </w:r>
      <w:r>
        <w:rPr>
          <w:sz w:val="15"/>
        </w:rPr>
        <w:t>órganos</w:t>
      </w:r>
      <w:r>
        <w:rPr>
          <w:spacing w:val="-1"/>
          <w:sz w:val="15"/>
        </w:rPr>
        <w:t xml:space="preserve"> </w:t>
      </w:r>
      <w:r>
        <w:rPr>
          <w:sz w:val="15"/>
        </w:rPr>
        <w:t>creados</w:t>
      </w:r>
      <w:r>
        <w:rPr>
          <w:spacing w:val="-1"/>
          <w:sz w:val="15"/>
        </w:rPr>
        <w:t xml:space="preserve"> </w:t>
      </w:r>
      <w:r>
        <w:rPr>
          <w:sz w:val="15"/>
        </w:rPr>
        <w:t>en virtud</w:t>
      </w:r>
      <w:r>
        <w:rPr>
          <w:spacing w:val="-1"/>
          <w:sz w:val="15"/>
        </w:rPr>
        <w:t xml:space="preserve"> </w:t>
      </w:r>
      <w:r>
        <w:rPr>
          <w:sz w:val="15"/>
        </w:rPr>
        <w:t>de tratados</w:t>
      </w:r>
      <w:r>
        <w:rPr>
          <w:spacing w:val="-1"/>
          <w:sz w:val="15"/>
        </w:rPr>
        <w:t xml:space="preserve"> </w:t>
      </w:r>
      <w:r>
        <w:rPr>
          <w:sz w:val="15"/>
        </w:rPr>
        <w:t>han examinado la necesidad de considerar</w:t>
      </w:r>
      <w:r>
        <w:rPr>
          <w:spacing w:val="-1"/>
          <w:sz w:val="15"/>
        </w:rPr>
        <w:t xml:space="preserve"> </w:t>
      </w:r>
      <w:r>
        <w:rPr>
          <w:sz w:val="15"/>
        </w:rPr>
        <w:t>la prohibición del uso de cabello o cobertura</w:t>
      </w:r>
      <w:r>
        <w:rPr>
          <w:spacing w:val="-1"/>
          <w:sz w:val="15"/>
        </w:rPr>
        <w:t xml:space="preserve"> </w:t>
      </w:r>
      <w:r>
        <w:rPr>
          <w:sz w:val="15"/>
        </w:rPr>
        <w:t>facial religiosa desde la perspectiva del disfrute igualitario de derechos, como el derecho a la privacidad, a la libertad de expresión y a participar en la dirección de los asuntos públicos y los derechos de minorías. El Comité para la Eliminación de la Discriminación contra la Mujer ha expresado preocupación en sus observaciones finales por la falta de información sobre el impacto de la prohibición de usar velo en las mujeres y las niñas y exigió que los Estados supervisen y evalúen este impacto, en particular en relación con su acceso a la educación y</w:t>
      </w:r>
      <w:r>
        <w:rPr>
          <w:spacing w:val="40"/>
          <w:sz w:val="15"/>
        </w:rPr>
        <w:t xml:space="preserve"> </w:t>
      </w:r>
      <w:r>
        <w:rPr>
          <w:sz w:val="15"/>
        </w:rPr>
        <w:t>al empleo.1009 El Comité de los Derechos del Niño también ha expresado preocupación por las normas que prohíben el uso de velo por parte de mujeres y niñas en oficinas gubernamentales y en escuelas y universidades.1010</w:t>
      </w:r>
    </w:p>
    <w:p w14:paraId="3B162F90" w14:textId="77777777" w:rsidR="0014798C" w:rsidRDefault="0014798C">
      <w:pPr>
        <w:pStyle w:val="Textoindependiente"/>
        <w:rPr>
          <w:sz w:val="15"/>
        </w:rPr>
      </w:pPr>
    </w:p>
    <w:p w14:paraId="5D2B7FA7" w14:textId="77777777" w:rsidR="0014798C" w:rsidRDefault="0014798C">
      <w:pPr>
        <w:pStyle w:val="Textoindependiente"/>
        <w:spacing w:before="72"/>
        <w:rPr>
          <w:sz w:val="15"/>
        </w:rPr>
      </w:pPr>
    </w:p>
    <w:p w14:paraId="68CD096D" w14:textId="77777777" w:rsidR="0014798C" w:rsidRDefault="004E1F0B">
      <w:pPr>
        <w:ind w:left="1114"/>
        <w:rPr>
          <w:sz w:val="15"/>
        </w:rPr>
      </w:pPr>
      <w:r>
        <w:rPr>
          <w:sz w:val="15"/>
        </w:rPr>
        <w:t>El</w:t>
      </w:r>
      <w:r>
        <w:rPr>
          <w:spacing w:val="-7"/>
          <w:sz w:val="15"/>
        </w:rPr>
        <w:t xml:space="preserve"> </w:t>
      </w:r>
      <w:r>
        <w:rPr>
          <w:sz w:val="15"/>
        </w:rPr>
        <w:t>ACNUDH</w:t>
      </w:r>
      <w:r>
        <w:rPr>
          <w:spacing w:val="-4"/>
          <w:sz w:val="15"/>
        </w:rPr>
        <w:t xml:space="preserve"> </w:t>
      </w:r>
      <w:r>
        <w:rPr>
          <w:sz w:val="15"/>
        </w:rPr>
        <w:t>ha</w:t>
      </w:r>
      <w:r>
        <w:rPr>
          <w:spacing w:val="-3"/>
          <w:sz w:val="15"/>
        </w:rPr>
        <w:t xml:space="preserve"> </w:t>
      </w:r>
      <w:r>
        <w:rPr>
          <w:sz w:val="15"/>
        </w:rPr>
        <w:t>publicado</w:t>
      </w:r>
      <w:r>
        <w:rPr>
          <w:spacing w:val="-3"/>
          <w:sz w:val="15"/>
        </w:rPr>
        <w:t xml:space="preserve"> </w:t>
      </w:r>
      <w:r>
        <w:rPr>
          <w:sz w:val="15"/>
        </w:rPr>
        <w:t>orientaciones</w:t>
      </w:r>
      <w:r>
        <w:rPr>
          <w:spacing w:val="-4"/>
          <w:sz w:val="15"/>
        </w:rPr>
        <w:t xml:space="preserve"> </w:t>
      </w:r>
      <w:r>
        <w:rPr>
          <w:sz w:val="15"/>
        </w:rPr>
        <w:t>en</w:t>
      </w:r>
      <w:r>
        <w:rPr>
          <w:spacing w:val="-3"/>
          <w:sz w:val="15"/>
        </w:rPr>
        <w:t xml:space="preserve"> </w:t>
      </w:r>
      <w:r>
        <w:rPr>
          <w:sz w:val="15"/>
        </w:rPr>
        <w:t>este</w:t>
      </w:r>
      <w:r>
        <w:rPr>
          <w:spacing w:val="-4"/>
          <w:sz w:val="15"/>
        </w:rPr>
        <w:t xml:space="preserve"> </w:t>
      </w:r>
      <w:r>
        <w:rPr>
          <w:sz w:val="15"/>
        </w:rPr>
        <w:t>ámbito,</w:t>
      </w:r>
      <w:r>
        <w:rPr>
          <w:spacing w:val="-3"/>
          <w:sz w:val="15"/>
        </w:rPr>
        <w:t xml:space="preserve"> </w:t>
      </w:r>
      <w:r>
        <w:rPr>
          <w:sz w:val="15"/>
        </w:rPr>
        <w:t>como</w:t>
      </w:r>
      <w:r>
        <w:rPr>
          <w:spacing w:val="-3"/>
          <w:sz w:val="15"/>
        </w:rPr>
        <w:t xml:space="preserve"> </w:t>
      </w:r>
      <w:r>
        <w:rPr>
          <w:spacing w:val="-2"/>
          <w:sz w:val="15"/>
        </w:rPr>
        <w:t>sigue:</w:t>
      </w:r>
    </w:p>
    <w:p w14:paraId="1CEF79AF" w14:textId="77777777" w:rsidR="0014798C" w:rsidRDefault="0014798C">
      <w:pPr>
        <w:pStyle w:val="Textoindependiente"/>
        <w:spacing w:before="18"/>
        <w:rPr>
          <w:sz w:val="15"/>
        </w:rPr>
      </w:pPr>
    </w:p>
    <w:p w14:paraId="2A1BF54F" w14:textId="77777777" w:rsidR="0014798C" w:rsidRDefault="004E1F0B">
      <w:pPr>
        <w:spacing w:line="348" w:lineRule="auto"/>
        <w:ind w:left="1669" w:right="1626"/>
        <w:rPr>
          <w:sz w:val="15"/>
        </w:rPr>
      </w:pPr>
      <w:r>
        <w:rPr>
          <w:color w:val="803108"/>
          <w:sz w:val="15"/>
        </w:rPr>
        <w:t>Si</w:t>
      </w:r>
      <w:r>
        <w:rPr>
          <w:color w:val="803108"/>
          <w:spacing w:val="-2"/>
          <w:sz w:val="15"/>
        </w:rPr>
        <w:t xml:space="preserve"> </w:t>
      </w:r>
      <w:r>
        <w:rPr>
          <w:color w:val="803108"/>
          <w:sz w:val="15"/>
        </w:rPr>
        <w:t>bien,</w:t>
      </w:r>
      <w:r>
        <w:rPr>
          <w:color w:val="803108"/>
          <w:spacing w:val="-1"/>
          <w:sz w:val="15"/>
        </w:rPr>
        <w:t xml:space="preserve"> </w:t>
      </w:r>
      <w:r>
        <w:rPr>
          <w:color w:val="803108"/>
          <w:sz w:val="15"/>
        </w:rPr>
        <w:t>como</w:t>
      </w:r>
      <w:r>
        <w:rPr>
          <w:color w:val="803108"/>
          <w:spacing w:val="-1"/>
          <w:sz w:val="15"/>
        </w:rPr>
        <w:t xml:space="preserve"> </w:t>
      </w:r>
      <w:r>
        <w:rPr>
          <w:color w:val="803108"/>
          <w:sz w:val="15"/>
        </w:rPr>
        <w:t>se</w:t>
      </w:r>
      <w:r>
        <w:rPr>
          <w:color w:val="803108"/>
          <w:spacing w:val="-1"/>
          <w:sz w:val="15"/>
        </w:rPr>
        <w:t xml:space="preserve"> </w:t>
      </w:r>
      <w:r>
        <w:rPr>
          <w:color w:val="803108"/>
          <w:sz w:val="15"/>
        </w:rPr>
        <w:t>ha</w:t>
      </w:r>
      <w:r>
        <w:rPr>
          <w:color w:val="803108"/>
          <w:spacing w:val="-1"/>
          <w:sz w:val="15"/>
        </w:rPr>
        <w:t xml:space="preserve"> </w:t>
      </w:r>
      <w:r>
        <w:rPr>
          <w:color w:val="803108"/>
          <w:sz w:val="15"/>
        </w:rPr>
        <w:t>dicho</w:t>
      </w:r>
      <w:r>
        <w:rPr>
          <w:color w:val="803108"/>
          <w:spacing w:val="-1"/>
          <w:sz w:val="15"/>
        </w:rPr>
        <w:t xml:space="preserve"> </w:t>
      </w:r>
      <w:r>
        <w:rPr>
          <w:color w:val="803108"/>
          <w:sz w:val="15"/>
        </w:rPr>
        <w:t>repetidamente, nadie</w:t>
      </w:r>
      <w:r>
        <w:rPr>
          <w:color w:val="803108"/>
          <w:spacing w:val="-1"/>
          <w:sz w:val="15"/>
        </w:rPr>
        <w:t xml:space="preserve"> </w:t>
      </w:r>
      <w:r>
        <w:rPr>
          <w:color w:val="803108"/>
          <w:sz w:val="15"/>
        </w:rPr>
        <w:t>debería</w:t>
      </w:r>
      <w:r>
        <w:rPr>
          <w:color w:val="803108"/>
          <w:spacing w:val="-2"/>
          <w:sz w:val="15"/>
        </w:rPr>
        <w:t xml:space="preserve"> </w:t>
      </w:r>
      <w:r>
        <w:rPr>
          <w:color w:val="803108"/>
          <w:sz w:val="15"/>
        </w:rPr>
        <w:t>ser</w:t>
      </w:r>
      <w:r>
        <w:rPr>
          <w:color w:val="803108"/>
          <w:spacing w:val="-1"/>
          <w:sz w:val="15"/>
        </w:rPr>
        <w:t xml:space="preserve"> </w:t>
      </w:r>
      <w:r>
        <w:rPr>
          <w:color w:val="803108"/>
          <w:sz w:val="15"/>
        </w:rPr>
        <w:t>obligado</w:t>
      </w:r>
      <w:r>
        <w:rPr>
          <w:color w:val="803108"/>
          <w:spacing w:val="-1"/>
          <w:sz w:val="15"/>
        </w:rPr>
        <w:t xml:space="preserve"> </w:t>
      </w:r>
      <w:r>
        <w:rPr>
          <w:color w:val="803108"/>
          <w:sz w:val="15"/>
        </w:rPr>
        <w:t>a</w:t>
      </w:r>
      <w:r>
        <w:rPr>
          <w:color w:val="803108"/>
          <w:spacing w:val="-1"/>
          <w:sz w:val="15"/>
        </w:rPr>
        <w:t xml:space="preserve"> </w:t>
      </w:r>
      <w:r>
        <w:rPr>
          <w:color w:val="803108"/>
          <w:sz w:val="15"/>
        </w:rPr>
        <w:t>usar</w:t>
      </w:r>
      <w:r>
        <w:rPr>
          <w:color w:val="803108"/>
          <w:spacing w:val="-1"/>
          <w:sz w:val="15"/>
        </w:rPr>
        <w:t xml:space="preserve"> </w:t>
      </w:r>
      <w:r>
        <w:rPr>
          <w:color w:val="803108"/>
          <w:sz w:val="15"/>
        </w:rPr>
        <w:t>un</w:t>
      </w:r>
      <w:r>
        <w:rPr>
          <w:color w:val="803108"/>
          <w:spacing w:val="-1"/>
          <w:sz w:val="15"/>
        </w:rPr>
        <w:t xml:space="preserve"> </w:t>
      </w:r>
      <w:r>
        <w:rPr>
          <w:color w:val="803108"/>
          <w:sz w:val="15"/>
        </w:rPr>
        <w:t>símbolo</w:t>
      </w:r>
      <w:r>
        <w:rPr>
          <w:color w:val="803108"/>
          <w:spacing w:val="-2"/>
          <w:sz w:val="15"/>
        </w:rPr>
        <w:t xml:space="preserve"> </w:t>
      </w:r>
      <w:r>
        <w:rPr>
          <w:color w:val="803108"/>
          <w:sz w:val="15"/>
        </w:rPr>
        <w:t>religioso,</w:t>
      </w:r>
      <w:r>
        <w:rPr>
          <w:color w:val="803108"/>
          <w:spacing w:val="-1"/>
          <w:sz w:val="15"/>
        </w:rPr>
        <w:t xml:space="preserve"> </w:t>
      </w:r>
      <w:r>
        <w:rPr>
          <w:color w:val="803108"/>
          <w:sz w:val="15"/>
        </w:rPr>
        <w:t>algunos</w:t>
      </w:r>
      <w:r>
        <w:rPr>
          <w:color w:val="803108"/>
          <w:spacing w:val="-2"/>
          <w:sz w:val="15"/>
        </w:rPr>
        <w:t xml:space="preserve"> </w:t>
      </w:r>
      <w:r>
        <w:rPr>
          <w:color w:val="803108"/>
          <w:sz w:val="15"/>
        </w:rPr>
        <w:t>consideran</w:t>
      </w:r>
      <w:r>
        <w:rPr>
          <w:color w:val="803108"/>
          <w:spacing w:val="-1"/>
          <w:sz w:val="15"/>
        </w:rPr>
        <w:t xml:space="preserve"> </w:t>
      </w:r>
      <w:r>
        <w:rPr>
          <w:color w:val="803108"/>
          <w:sz w:val="15"/>
        </w:rPr>
        <w:t>que</w:t>
      </w:r>
      <w:r>
        <w:rPr>
          <w:color w:val="803108"/>
          <w:spacing w:val="-1"/>
          <w:sz w:val="15"/>
        </w:rPr>
        <w:t xml:space="preserve"> </w:t>
      </w:r>
      <w:r>
        <w:rPr>
          <w:color w:val="803108"/>
          <w:sz w:val="15"/>
        </w:rPr>
        <w:t>los argumentos</w:t>
      </w:r>
      <w:r>
        <w:rPr>
          <w:color w:val="803108"/>
          <w:spacing w:val="-1"/>
          <w:sz w:val="15"/>
        </w:rPr>
        <w:t xml:space="preserve"> </w:t>
      </w:r>
      <w:r>
        <w:rPr>
          <w:color w:val="803108"/>
          <w:sz w:val="15"/>
        </w:rPr>
        <w:t>que ignoran las voces de las mujeres</w:t>
      </w:r>
      <w:r>
        <w:rPr>
          <w:color w:val="803108"/>
          <w:spacing w:val="-1"/>
          <w:sz w:val="15"/>
        </w:rPr>
        <w:t xml:space="preserve"> </w:t>
      </w:r>
      <w:r>
        <w:rPr>
          <w:color w:val="803108"/>
          <w:sz w:val="15"/>
        </w:rPr>
        <w:t>sobre las decisiones</w:t>
      </w:r>
      <w:r>
        <w:rPr>
          <w:color w:val="803108"/>
          <w:spacing w:val="-1"/>
          <w:sz w:val="15"/>
        </w:rPr>
        <w:t xml:space="preserve"> </w:t>
      </w:r>
      <w:r>
        <w:rPr>
          <w:color w:val="803108"/>
          <w:sz w:val="15"/>
        </w:rPr>
        <w:t>de usar el velo, en particular</w:t>
      </w:r>
      <w:r>
        <w:rPr>
          <w:color w:val="803108"/>
          <w:spacing w:val="-1"/>
          <w:sz w:val="15"/>
        </w:rPr>
        <w:t xml:space="preserve"> </w:t>
      </w:r>
      <w:r>
        <w:rPr>
          <w:color w:val="803108"/>
          <w:sz w:val="15"/>
        </w:rPr>
        <w:t>el velo que cubre todo</w:t>
      </w:r>
      <w:r>
        <w:rPr>
          <w:color w:val="803108"/>
          <w:spacing w:val="-1"/>
          <w:sz w:val="15"/>
        </w:rPr>
        <w:t xml:space="preserve"> </w:t>
      </w:r>
      <w:r>
        <w:rPr>
          <w:color w:val="803108"/>
          <w:sz w:val="15"/>
        </w:rPr>
        <w:t xml:space="preserve">el </w:t>
      </w:r>
      <w:proofErr w:type="gramStart"/>
      <w:r>
        <w:rPr>
          <w:color w:val="803108"/>
          <w:sz w:val="15"/>
        </w:rPr>
        <w:t>rostro ,</w:t>
      </w:r>
      <w:proofErr w:type="gramEnd"/>
      <w:r>
        <w:rPr>
          <w:color w:val="803108"/>
          <w:sz w:val="15"/>
        </w:rPr>
        <w:t xml:space="preserve"> </w:t>
      </w:r>
      <w:proofErr w:type="gramStart"/>
      <w:r>
        <w:rPr>
          <w:color w:val="803108"/>
          <w:sz w:val="15"/>
        </w:rPr>
        <w:t>ignoran</w:t>
      </w:r>
      <w:proofErr w:type="gramEnd"/>
      <w:r>
        <w:rPr>
          <w:color w:val="803108"/>
          <w:sz w:val="15"/>
        </w:rPr>
        <w:t xml:space="preserve"> la capacidad de acción y consentimiento de las mujeres. Algunos sostienen que cuando lo dicta la presión social, la elección no es libre. Sin embargo, este argumento podría extenderse peligrosamente a vigilar los cuerpos de las mujeres y dictar por ley qué deben o no deben vestir las mujeres, entre otras cosas. Si bien es razonable afirmar que el sistema patriarcal existente puede llevar a las mujeres y las niñas a ajustarse a las expectativas sociales, incluso cuando limitan su libertad o perpetúan estereotipos dañinos, es cuestionable si prohibiciones o restricciones legales, castigando a la propia mujer, serían la solución. respuesta más adecuada o si, por el contrario, marginan y perpetúan aún más la </w:t>
      </w:r>
      <w:r>
        <w:rPr>
          <w:color w:val="803108"/>
          <w:spacing w:val="-2"/>
          <w:sz w:val="15"/>
        </w:rPr>
        <w:t>discriminación.1011</w:t>
      </w:r>
    </w:p>
    <w:p w14:paraId="0D9E9D29" w14:textId="77777777" w:rsidR="0014798C" w:rsidRDefault="0014798C">
      <w:pPr>
        <w:pStyle w:val="Textoindependiente"/>
        <w:rPr>
          <w:sz w:val="15"/>
        </w:rPr>
      </w:pPr>
    </w:p>
    <w:p w14:paraId="18FFEFFC" w14:textId="77777777" w:rsidR="0014798C" w:rsidRDefault="0014798C">
      <w:pPr>
        <w:pStyle w:val="Textoindependiente"/>
        <w:spacing w:before="15"/>
        <w:rPr>
          <w:sz w:val="15"/>
        </w:rPr>
      </w:pPr>
    </w:p>
    <w:p w14:paraId="2DA651F7" w14:textId="77777777" w:rsidR="0014798C" w:rsidRDefault="004E1F0B">
      <w:pPr>
        <w:ind w:left="1114"/>
        <w:rPr>
          <w:sz w:val="15"/>
        </w:rPr>
      </w:pPr>
      <w:r>
        <w:rPr>
          <w:sz w:val="15"/>
        </w:rPr>
        <w:t>Citando</w:t>
      </w:r>
      <w:r>
        <w:rPr>
          <w:spacing w:val="-7"/>
          <w:sz w:val="15"/>
        </w:rPr>
        <w:t xml:space="preserve"> </w:t>
      </w:r>
      <w:r>
        <w:rPr>
          <w:sz w:val="15"/>
        </w:rPr>
        <w:t>al</w:t>
      </w:r>
      <w:r>
        <w:rPr>
          <w:spacing w:val="-3"/>
          <w:sz w:val="15"/>
        </w:rPr>
        <w:t xml:space="preserve"> </w:t>
      </w:r>
      <w:r>
        <w:rPr>
          <w:sz w:val="15"/>
        </w:rPr>
        <w:t>Relator</w:t>
      </w:r>
      <w:r>
        <w:rPr>
          <w:spacing w:val="-5"/>
          <w:sz w:val="15"/>
        </w:rPr>
        <w:t xml:space="preserve"> </w:t>
      </w:r>
      <w:r>
        <w:rPr>
          <w:sz w:val="15"/>
        </w:rPr>
        <w:t>Especial</w:t>
      </w:r>
      <w:r>
        <w:rPr>
          <w:spacing w:val="-4"/>
          <w:sz w:val="15"/>
        </w:rPr>
        <w:t xml:space="preserve"> </w:t>
      </w:r>
      <w:r>
        <w:rPr>
          <w:sz w:val="15"/>
        </w:rPr>
        <w:t>sobre</w:t>
      </w:r>
      <w:r>
        <w:rPr>
          <w:spacing w:val="-3"/>
          <w:sz w:val="15"/>
        </w:rPr>
        <w:t xml:space="preserve"> </w:t>
      </w:r>
      <w:r>
        <w:rPr>
          <w:sz w:val="15"/>
        </w:rPr>
        <w:t>la</w:t>
      </w:r>
      <w:r>
        <w:rPr>
          <w:spacing w:val="-4"/>
          <w:sz w:val="15"/>
        </w:rPr>
        <w:t xml:space="preserve"> </w:t>
      </w:r>
      <w:r>
        <w:rPr>
          <w:sz w:val="15"/>
        </w:rPr>
        <w:t>libertad</w:t>
      </w:r>
      <w:r>
        <w:rPr>
          <w:spacing w:val="-4"/>
          <w:sz w:val="15"/>
        </w:rPr>
        <w:t xml:space="preserve"> </w:t>
      </w:r>
      <w:r>
        <w:rPr>
          <w:sz w:val="15"/>
        </w:rPr>
        <w:t>de</w:t>
      </w:r>
      <w:r>
        <w:rPr>
          <w:spacing w:val="-4"/>
          <w:sz w:val="15"/>
        </w:rPr>
        <w:t xml:space="preserve"> </w:t>
      </w:r>
      <w:r>
        <w:rPr>
          <w:sz w:val="15"/>
        </w:rPr>
        <w:t>religión</w:t>
      </w:r>
      <w:r>
        <w:rPr>
          <w:spacing w:val="-3"/>
          <w:sz w:val="15"/>
        </w:rPr>
        <w:t xml:space="preserve"> </w:t>
      </w:r>
      <w:r>
        <w:rPr>
          <w:sz w:val="15"/>
        </w:rPr>
        <w:t>o</w:t>
      </w:r>
      <w:r>
        <w:rPr>
          <w:spacing w:val="-4"/>
          <w:sz w:val="15"/>
        </w:rPr>
        <w:t xml:space="preserve"> </w:t>
      </w:r>
      <w:r>
        <w:rPr>
          <w:sz w:val="15"/>
        </w:rPr>
        <w:t>de</w:t>
      </w:r>
      <w:r>
        <w:rPr>
          <w:spacing w:val="-3"/>
          <w:sz w:val="15"/>
        </w:rPr>
        <w:t xml:space="preserve"> </w:t>
      </w:r>
      <w:r>
        <w:rPr>
          <w:sz w:val="15"/>
        </w:rPr>
        <w:t>creencias,</w:t>
      </w:r>
      <w:r>
        <w:rPr>
          <w:spacing w:val="-3"/>
          <w:sz w:val="15"/>
        </w:rPr>
        <w:t xml:space="preserve"> </w:t>
      </w:r>
      <w:r>
        <w:rPr>
          <w:sz w:val="15"/>
        </w:rPr>
        <w:t>el</w:t>
      </w:r>
      <w:r>
        <w:rPr>
          <w:spacing w:val="-4"/>
          <w:sz w:val="15"/>
        </w:rPr>
        <w:t xml:space="preserve"> </w:t>
      </w:r>
      <w:r>
        <w:rPr>
          <w:sz w:val="15"/>
        </w:rPr>
        <w:t>ACNUDH</w:t>
      </w:r>
      <w:r>
        <w:rPr>
          <w:spacing w:val="-4"/>
          <w:sz w:val="15"/>
        </w:rPr>
        <w:t xml:space="preserve"> </w:t>
      </w:r>
      <w:r>
        <w:rPr>
          <w:sz w:val="15"/>
        </w:rPr>
        <w:t>ha</w:t>
      </w:r>
      <w:r>
        <w:rPr>
          <w:spacing w:val="-4"/>
          <w:sz w:val="15"/>
        </w:rPr>
        <w:t xml:space="preserve"> </w:t>
      </w:r>
      <w:r>
        <w:rPr>
          <w:sz w:val="15"/>
        </w:rPr>
        <w:t>señalado</w:t>
      </w:r>
      <w:r>
        <w:rPr>
          <w:spacing w:val="-3"/>
          <w:sz w:val="15"/>
        </w:rPr>
        <w:t xml:space="preserve"> </w:t>
      </w:r>
      <w:r>
        <w:rPr>
          <w:sz w:val="15"/>
        </w:rPr>
        <w:t>además</w:t>
      </w:r>
      <w:r>
        <w:rPr>
          <w:spacing w:val="-4"/>
          <w:sz w:val="15"/>
        </w:rPr>
        <w:t xml:space="preserve"> que:</w:t>
      </w:r>
    </w:p>
    <w:p w14:paraId="60A34C24" w14:textId="77777777" w:rsidR="0014798C" w:rsidRDefault="0014798C">
      <w:pPr>
        <w:pStyle w:val="Textoindependiente"/>
        <w:spacing w:before="18"/>
        <w:rPr>
          <w:sz w:val="15"/>
        </w:rPr>
      </w:pPr>
    </w:p>
    <w:p w14:paraId="73ACF1FE" w14:textId="77777777" w:rsidR="0014798C" w:rsidRDefault="004E1F0B">
      <w:pPr>
        <w:spacing w:line="348" w:lineRule="auto"/>
        <w:ind w:left="1674" w:right="1463"/>
        <w:rPr>
          <w:sz w:val="15"/>
        </w:rPr>
      </w:pPr>
      <w:r>
        <w:rPr>
          <w:color w:val="803108"/>
          <w:sz w:val="15"/>
        </w:rPr>
        <w:t>Las</w:t>
      </w:r>
      <w:r>
        <w:rPr>
          <w:color w:val="803108"/>
          <w:spacing w:val="-1"/>
          <w:sz w:val="15"/>
        </w:rPr>
        <w:t xml:space="preserve"> </w:t>
      </w:r>
      <w:r>
        <w:rPr>
          <w:color w:val="803108"/>
          <w:sz w:val="15"/>
        </w:rPr>
        <w:t>limitaciones</w:t>
      </w:r>
      <w:r>
        <w:rPr>
          <w:color w:val="803108"/>
          <w:spacing w:val="-2"/>
          <w:sz w:val="15"/>
        </w:rPr>
        <w:t xml:space="preserve"> </w:t>
      </w:r>
      <w:r>
        <w:rPr>
          <w:color w:val="803108"/>
          <w:sz w:val="15"/>
        </w:rPr>
        <w:t>no</w:t>
      </w:r>
      <w:r>
        <w:rPr>
          <w:color w:val="803108"/>
          <w:spacing w:val="-1"/>
          <w:sz w:val="15"/>
        </w:rPr>
        <w:t xml:space="preserve"> </w:t>
      </w:r>
      <w:r>
        <w:rPr>
          <w:color w:val="803108"/>
          <w:sz w:val="15"/>
        </w:rPr>
        <w:t>deben</w:t>
      </w:r>
      <w:r>
        <w:rPr>
          <w:color w:val="803108"/>
          <w:spacing w:val="-1"/>
          <w:sz w:val="15"/>
        </w:rPr>
        <w:t xml:space="preserve"> </w:t>
      </w:r>
      <w:r>
        <w:rPr>
          <w:color w:val="803108"/>
          <w:sz w:val="15"/>
        </w:rPr>
        <w:t>tener</w:t>
      </w:r>
      <w:r>
        <w:rPr>
          <w:color w:val="803108"/>
          <w:spacing w:val="-2"/>
          <w:sz w:val="15"/>
        </w:rPr>
        <w:t xml:space="preserve"> </w:t>
      </w:r>
      <w:r>
        <w:rPr>
          <w:color w:val="803108"/>
          <w:sz w:val="15"/>
        </w:rPr>
        <w:t>por</w:t>
      </w:r>
      <w:r>
        <w:rPr>
          <w:color w:val="803108"/>
          <w:spacing w:val="-1"/>
          <w:sz w:val="15"/>
        </w:rPr>
        <w:t xml:space="preserve"> </w:t>
      </w:r>
      <w:r>
        <w:rPr>
          <w:color w:val="803108"/>
          <w:sz w:val="15"/>
        </w:rPr>
        <w:t>objeto</w:t>
      </w:r>
      <w:r>
        <w:rPr>
          <w:color w:val="803108"/>
          <w:spacing w:val="-2"/>
          <w:sz w:val="15"/>
        </w:rPr>
        <w:t xml:space="preserve"> </w:t>
      </w:r>
      <w:r>
        <w:rPr>
          <w:color w:val="803108"/>
          <w:sz w:val="15"/>
        </w:rPr>
        <w:t>ni</w:t>
      </w:r>
      <w:r>
        <w:rPr>
          <w:color w:val="803108"/>
          <w:spacing w:val="-1"/>
          <w:sz w:val="15"/>
        </w:rPr>
        <w:t xml:space="preserve"> </w:t>
      </w:r>
      <w:r>
        <w:rPr>
          <w:color w:val="803108"/>
          <w:sz w:val="15"/>
        </w:rPr>
        <w:t>conducir</w:t>
      </w:r>
      <w:r>
        <w:rPr>
          <w:color w:val="803108"/>
          <w:spacing w:val="-2"/>
          <w:sz w:val="15"/>
        </w:rPr>
        <w:t xml:space="preserve"> </w:t>
      </w:r>
      <w:r>
        <w:rPr>
          <w:color w:val="803108"/>
          <w:sz w:val="15"/>
        </w:rPr>
        <w:t>a</w:t>
      </w:r>
      <w:r>
        <w:rPr>
          <w:color w:val="803108"/>
          <w:spacing w:val="-1"/>
          <w:sz w:val="15"/>
        </w:rPr>
        <w:t xml:space="preserve"> </w:t>
      </w:r>
      <w:r>
        <w:rPr>
          <w:color w:val="803108"/>
          <w:sz w:val="15"/>
        </w:rPr>
        <w:t>una</w:t>
      </w:r>
      <w:r>
        <w:rPr>
          <w:color w:val="803108"/>
          <w:spacing w:val="-1"/>
          <w:sz w:val="15"/>
        </w:rPr>
        <w:t xml:space="preserve"> </w:t>
      </w:r>
      <w:r>
        <w:rPr>
          <w:color w:val="803108"/>
          <w:sz w:val="15"/>
        </w:rPr>
        <w:t>discriminación</w:t>
      </w:r>
      <w:r>
        <w:rPr>
          <w:color w:val="803108"/>
          <w:spacing w:val="-1"/>
          <w:sz w:val="15"/>
        </w:rPr>
        <w:t xml:space="preserve"> </w:t>
      </w:r>
      <w:r>
        <w:rPr>
          <w:color w:val="803108"/>
          <w:sz w:val="15"/>
        </w:rPr>
        <w:t>explícita</w:t>
      </w:r>
      <w:r>
        <w:rPr>
          <w:color w:val="803108"/>
          <w:spacing w:val="-2"/>
          <w:sz w:val="15"/>
        </w:rPr>
        <w:t xml:space="preserve"> </w:t>
      </w:r>
      <w:r>
        <w:rPr>
          <w:color w:val="803108"/>
          <w:sz w:val="15"/>
        </w:rPr>
        <w:t>o</w:t>
      </w:r>
      <w:r>
        <w:rPr>
          <w:color w:val="803108"/>
          <w:spacing w:val="-1"/>
          <w:sz w:val="15"/>
        </w:rPr>
        <w:t xml:space="preserve"> </w:t>
      </w:r>
      <w:r>
        <w:rPr>
          <w:color w:val="803108"/>
          <w:sz w:val="15"/>
        </w:rPr>
        <w:t>una</w:t>
      </w:r>
      <w:r>
        <w:rPr>
          <w:color w:val="803108"/>
          <w:spacing w:val="-1"/>
          <w:sz w:val="15"/>
        </w:rPr>
        <w:t xml:space="preserve"> </w:t>
      </w:r>
      <w:r>
        <w:rPr>
          <w:color w:val="803108"/>
          <w:sz w:val="15"/>
        </w:rPr>
        <w:t>diferenciación</w:t>
      </w:r>
      <w:r>
        <w:rPr>
          <w:color w:val="803108"/>
          <w:spacing w:val="-2"/>
          <w:sz w:val="15"/>
        </w:rPr>
        <w:t xml:space="preserve"> </w:t>
      </w:r>
      <w:r>
        <w:rPr>
          <w:color w:val="803108"/>
          <w:sz w:val="15"/>
        </w:rPr>
        <w:t>camuflada</w:t>
      </w:r>
      <w:r>
        <w:rPr>
          <w:color w:val="803108"/>
          <w:spacing w:val="-2"/>
          <w:sz w:val="15"/>
        </w:rPr>
        <w:t xml:space="preserve"> </w:t>
      </w:r>
      <w:r>
        <w:rPr>
          <w:color w:val="803108"/>
          <w:sz w:val="15"/>
        </w:rPr>
        <w:t>en</w:t>
      </w:r>
      <w:r>
        <w:rPr>
          <w:color w:val="803108"/>
          <w:spacing w:val="-1"/>
          <w:sz w:val="15"/>
        </w:rPr>
        <w:t xml:space="preserve"> </w:t>
      </w:r>
      <w:r>
        <w:rPr>
          <w:color w:val="803108"/>
          <w:sz w:val="15"/>
        </w:rPr>
        <w:t>función de la religión o creencia de que se trate. En los casos analizados, incluso cuando las restricciones parecen neutrales, en la práctica afectan desproporcionadamente a las mujeres musulmanas. Se necesitaría más investigación</w:t>
      </w:r>
    </w:p>
    <w:p w14:paraId="4CCC9336" w14:textId="77777777" w:rsidR="0014798C" w:rsidRDefault="0014798C">
      <w:pPr>
        <w:pStyle w:val="Textoindependiente"/>
        <w:rPr>
          <w:sz w:val="12"/>
        </w:rPr>
      </w:pPr>
    </w:p>
    <w:p w14:paraId="5F3854DC" w14:textId="77777777" w:rsidR="0014798C" w:rsidRDefault="0014798C">
      <w:pPr>
        <w:pStyle w:val="Textoindependiente"/>
        <w:rPr>
          <w:sz w:val="12"/>
        </w:rPr>
      </w:pPr>
    </w:p>
    <w:p w14:paraId="0F1C5863" w14:textId="77777777" w:rsidR="0014798C" w:rsidRDefault="0014798C">
      <w:pPr>
        <w:pStyle w:val="Textoindependiente"/>
        <w:spacing w:before="123"/>
        <w:rPr>
          <w:sz w:val="12"/>
        </w:rPr>
      </w:pPr>
    </w:p>
    <w:p w14:paraId="4D7786FC" w14:textId="77777777" w:rsidR="0014798C" w:rsidRDefault="004E1F0B">
      <w:pPr>
        <w:spacing w:line="410" w:lineRule="auto"/>
        <w:ind w:left="1111" w:right="3960"/>
        <w:rPr>
          <w:sz w:val="12"/>
        </w:rPr>
      </w:pPr>
      <w:r>
        <w:rPr>
          <w:w w:val="105"/>
          <w:position w:val="4"/>
          <w:sz w:val="8"/>
        </w:rPr>
        <w:t>1002</w:t>
      </w:r>
      <w:r>
        <w:rPr>
          <w:spacing w:val="40"/>
          <w:w w:val="105"/>
          <w:position w:val="4"/>
          <w:sz w:val="8"/>
        </w:rPr>
        <w:t xml:space="preserve"> </w:t>
      </w:r>
      <w:r>
        <w:rPr>
          <w:w w:val="105"/>
          <w:sz w:val="12"/>
        </w:rPr>
        <w:t>Tribunal</w:t>
      </w:r>
      <w:r>
        <w:rPr>
          <w:spacing w:val="-2"/>
          <w:w w:val="105"/>
          <w:sz w:val="12"/>
        </w:rPr>
        <w:t xml:space="preserve"> </w:t>
      </w:r>
      <w:r>
        <w:rPr>
          <w:w w:val="105"/>
          <w:sz w:val="12"/>
        </w:rPr>
        <w:t>Europeo</w:t>
      </w:r>
      <w:r>
        <w:rPr>
          <w:spacing w:val="-2"/>
          <w:w w:val="105"/>
          <w:sz w:val="12"/>
        </w:rPr>
        <w:t xml:space="preserve"> </w:t>
      </w:r>
      <w:r>
        <w:rPr>
          <w:w w:val="105"/>
          <w:sz w:val="12"/>
        </w:rPr>
        <w:t>de</w:t>
      </w:r>
      <w:r>
        <w:rPr>
          <w:spacing w:val="-2"/>
          <w:w w:val="105"/>
          <w:sz w:val="12"/>
        </w:rPr>
        <w:t xml:space="preserve"> </w:t>
      </w:r>
      <w:r>
        <w:rPr>
          <w:w w:val="105"/>
          <w:sz w:val="12"/>
        </w:rPr>
        <w:t>Derechos</w:t>
      </w:r>
      <w:r>
        <w:rPr>
          <w:spacing w:val="-2"/>
          <w:w w:val="105"/>
          <w:sz w:val="12"/>
        </w:rPr>
        <w:t xml:space="preserve"> </w:t>
      </w:r>
      <w:r>
        <w:rPr>
          <w:w w:val="105"/>
          <w:sz w:val="12"/>
        </w:rPr>
        <w:t>Humanos,</w:t>
      </w:r>
      <w:r>
        <w:rPr>
          <w:spacing w:val="-1"/>
          <w:w w:val="105"/>
          <w:sz w:val="12"/>
        </w:rPr>
        <w:t xml:space="preserve"> </w:t>
      </w:r>
      <w:r>
        <w:rPr>
          <w:w w:val="105"/>
          <w:sz w:val="12"/>
        </w:rPr>
        <w:t>SAS</w:t>
      </w:r>
      <w:r>
        <w:rPr>
          <w:spacing w:val="-2"/>
          <w:w w:val="105"/>
          <w:sz w:val="12"/>
        </w:rPr>
        <w:t xml:space="preserve"> </w:t>
      </w:r>
      <w:r>
        <w:rPr>
          <w:w w:val="105"/>
          <w:sz w:val="12"/>
        </w:rPr>
        <w:t>c.</w:t>
      </w:r>
      <w:r>
        <w:rPr>
          <w:spacing w:val="-2"/>
          <w:w w:val="105"/>
          <w:sz w:val="12"/>
        </w:rPr>
        <w:t xml:space="preserve"> </w:t>
      </w:r>
      <w:r>
        <w:rPr>
          <w:w w:val="105"/>
          <w:sz w:val="12"/>
        </w:rPr>
        <w:t>Francia,</w:t>
      </w:r>
      <w:r>
        <w:rPr>
          <w:spacing w:val="-1"/>
          <w:w w:val="105"/>
          <w:sz w:val="12"/>
        </w:rPr>
        <w:t xml:space="preserve"> </w:t>
      </w:r>
      <w:r>
        <w:rPr>
          <w:w w:val="105"/>
          <w:sz w:val="12"/>
        </w:rPr>
        <w:t>solicitud</w:t>
      </w:r>
      <w:r>
        <w:rPr>
          <w:spacing w:val="-2"/>
          <w:w w:val="105"/>
          <w:sz w:val="12"/>
        </w:rPr>
        <w:t xml:space="preserve"> </w:t>
      </w:r>
      <w:r>
        <w:rPr>
          <w:w w:val="105"/>
          <w:sz w:val="12"/>
        </w:rPr>
        <w:t>n.º</w:t>
      </w:r>
      <w:r>
        <w:rPr>
          <w:spacing w:val="-2"/>
          <w:w w:val="105"/>
          <w:sz w:val="12"/>
        </w:rPr>
        <w:t xml:space="preserve"> </w:t>
      </w:r>
      <w:r>
        <w:rPr>
          <w:w w:val="105"/>
          <w:sz w:val="12"/>
        </w:rPr>
        <w:t>43835/11,</w:t>
      </w:r>
      <w:r>
        <w:rPr>
          <w:spacing w:val="-1"/>
          <w:w w:val="105"/>
          <w:sz w:val="12"/>
        </w:rPr>
        <w:t xml:space="preserve"> </w:t>
      </w:r>
      <w:r>
        <w:rPr>
          <w:w w:val="105"/>
          <w:sz w:val="12"/>
        </w:rPr>
        <w:t>sentencia</w:t>
      </w:r>
      <w:r>
        <w:rPr>
          <w:spacing w:val="-2"/>
          <w:w w:val="105"/>
          <w:sz w:val="12"/>
        </w:rPr>
        <w:t xml:space="preserve"> </w:t>
      </w:r>
      <w:r>
        <w:rPr>
          <w:w w:val="105"/>
          <w:sz w:val="12"/>
        </w:rPr>
        <w:t>de</w:t>
      </w:r>
      <w:r>
        <w:rPr>
          <w:spacing w:val="-2"/>
          <w:w w:val="105"/>
          <w:sz w:val="12"/>
        </w:rPr>
        <w:t xml:space="preserve"> </w:t>
      </w:r>
      <w:r>
        <w:rPr>
          <w:w w:val="105"/>
          <w:sz w:val="12"/>
        </w:rPr>
        <w:t>1</w:t>
      </w:r>
      <w:r>
        <w:rPr>
          <w:spacing w:val="-2"/>
          <w:w w:val="105"/>
          <w:sz w:val="12"/>
        </w:rPr>
        <w:t xml:space="preserve"> </w:t>
      </w:r>
      <w:r>
        <w:rPr>
          <w:w w:val="105"/>
          <w:sz w:val="12"/>
        </w:rPr>
        <w:t>de</w:t>
      </w:r>
      <w:r>
        <w:rPr>
          <w:spacing w:val="-2"/>
          <w:w w:val="105"/>
          <w:sz w:val="12"/>
        </w:rPr>
        <w:t xml:space="preserve"> </w:t>
      </w:r>
      <w:r>
        <w:rPr>
          <w:w w:val="105"/>
          <w:sz w:val="12"/>
        </w:rPr>
        <w:t>julio</w:t>
      </w:r>
      <w:r>
        <w:rPr>
          <w:spacing w:val="-2"/>
          <w:w w:val="105"/>
          <w:sz w:val="12"/>
        </w:rPr>
        <w:t xml:space="preserve"> </w:t>
      </w:r>
      <w:r>
        <w:rPr>
          <w:w w:val="105"/>
          <w:sz w:val="12"/>
        </w:rPr>
        <w:t>de</w:t>
      </w:r>
      <w:r>
        <w:rPr>
          <w:spacing w:val="-2"/>
          <w:w w:val="105"/>
          <w:sz w:val="12"/>
        </w:rPr>
        <w:t xml:space="preserve"> </w:t>
      </w:r>
      <w:r>
        <w:rPr>
          <w:w w:val="105"/>
          <w:sz w:val="12"/>
        </w:rPr>
        <w:t>2014.</w:t>
      </w:r>
      <w:r>
        <w:rPr>
          <w:spacing w:val="40"/>
          <w:w w:val="105"/>
          <w:sz w:val="12"/>
        </w:rPr>
        <w:t xml:space="preserve"> </w:t>
      </w:r>
      <w:r>
        <w:rPr>
          <w:w w:val="105"/>
          <w:sz w:val="12"/>
        </w:rPr>
        <w:t xml:space="preserve">1003 </w:t>
      </w:r>
      <w:proofErr w:type="spellStart"/>
      <w:r>
        <w:rPr>
          <w:w w:val="105"/>
          <w:sz w:val="12"/>
        </w:rPr>
        <w:t>Ibíd</w:t>
      </w:r>
      <w:proofErr w:type="spellEnd"/>
      <w:r>
        <w:rPr>
          <w:w w:val="105"/>
          <w:sz w:val="12"/>
        </w:rPr>
        <w:t xml:space="preserve">., </w:t>
      </w:r>
      <w:proofErr w:type="spellStart"/>
      <w:r>
        <w:rPr>
          <w:w w:val="105"/>
          <w:sz w:val="12"/>
        </w:rPr>
        <w:t>párrs</w:t>
      </w:r>
      <w:proofErr w:type="spellEnd"/>
      <w:r>
        <w:rPr>
          <w:w w:val="105"/>
          <w:sz w:val="12"/>
        </w:rPr>
        <w:t>. 157–159.</w:t>
      </w:r>
    </w:p>
    <w:p w14:paraId="7D825426" w14:textId="77777777" w:rsidR="0014798C" w:rsidRDefault="004E1F0B">
      <w:pPr>
        <w:spacing w:before="1" w:line="410" w:lineRule="auto"/>
        <w:ind w:left="1111" w:right="5703"/>
        <w:rPr>
          <w:sz w:val="12"/>
        </w:rPr>
      </w:pPr>
      <w:r>
        <w:rPr>
          <w:w w:val="105"/>
          <w:sz w:val="12"/>
        </w:rPr>
        <w:t>1004</w:t>
      </w:r>
      <w:r>
        <w:rPr>
          <w:spacing w:val="-5"/>
          <w:w w:val="105"/>
          <w:sz w:val="12"/>
        </w:rPr>
        <w:t xml:space="preserve"> </w:t>
      </w:r>
      <w:r>
        <w:rPr>
          <w:w w:val="105"/>
          <w:sz w:val="12"/>
        </w:rPr>
        <w:t>Comité</w:t>
      </w:r>
      <w:r>
        <w:rPr>
          <w:spacing w:val="-5"/>
          <w:w w:val="105"/>
          <w:sz w:val="12"/>
        </w:rPr>
        <w:t xml:space="preserve"> </w:t>
      </w:r>
      <w:r>
        <w:rPr>
          <w:w w:val="105"/>
          <w:sz w:val="12"/>
        </w:rPr>
        <w:t>de</w:t>
      </w:r>
      <w:r>
        <w:rPr>
          <w:spacing w:val="-5"/>
          <w:w w:val="105"/>
          <w:sz w:val="12"/>
        </w:rPr>
        <w:t xml:space="preserve"> </w:t>
      </w:r>
      <w:r>
        <w:rPr>
          <w:w w:val="105"/>
          <w:sz w:val="12"/>
        </w:rPr>
        <w:t>Derechos</w:t>
      </w:r>
      <w:r>
        <w:rPr>
          <w:spacing w:val="-5"/>
          <w:w w:val="105"/>
          <w:sz w:val="12"/>
        </w:rPr>
        <w:t xml:space="preserve"> </w:t>
      </w:r>
      <w:r>
        <w:rPr>
          <w:w w:val="105"/>
          <w:sz w:val="12"/>
        </w:rPr>
        <w:t>Humanos,</w:t>
      </w:r>
      <w:r>
        <w:rPr>
          <w:spacing w:val="-4"/>
          <w:w w:val="105"/>
          <w:sz w:val="12"/>
        </w:rPr>
        <w:t xml:space="preserve"> </w:t>
      </w:r>
      <w:proofErr w:type="spellStart"/>
      <w:r>
        <w:rPr>
          <w:w w:val="105"/>
          <w:sz w:val="12"/>
        </w:rPr>
        <w:t>Yaker</w:t>
      </w:r>
      <w:proofErr w:type="spellEnd"/>
      <w:r>
        <w:rPr>
          <w:spacing w:val="-5"/>
          <w:w w:val="105"/>
          <w:sz w:val="12"/>
        </w:rPr>
        <w:t xml:space="preserve"> </w:t>
      </w:r>
      <w:r>
        <w:rPr>
          <w:w w:val="105"/>
          <w:sz w:val="12"/>
        </w:rPr>
        <w:t>c.</w:t>
      </w:r>
      <w:r>
        <w:rPr>
          <w:spacing w:val="-5"/>
          <w:w w:val="105"/>
          <w:sz w:val="12"/>
        </w:rPr>
        <w:t xml:space="preserve"> </w:t>
      </w:r>
      <w:r>
        <w:rPr>
          <w:w w:val="105"/>
          <w:sz w:val="12"/>
        </w:rPr>
        <w:t>Francia</w:t>
      </w:r>
      <w:r>
        <w:rPr>
          <w:spacing w:val="-5"/>
          <w:w w:val="105"/>
          <w:sz w:val="12"/>
        </w:rPr>
        <w:t xml:space="preserve"> </w:t>
      </w:r>
      <w:r>
        <w:rPr>
          <w:w w:val="105"/>
          <w:sz w:val="12"/>
        </w:rPr>
        <w:t>(CCPR/C/123/D/2747/2016).</w:t>
      </w:r>
      <w:r>
        <w:rPr>
          <w:spacing w:val="40"/>
          <w:w w:val="105"/>
          <w:sz w:val="12"/>
        </w:rPr>
        <w:t xml:space="preserve"> </w:t>
      </w:r>
      <w:r>
        <w:rPr>
          <w:w w:val="105"/>
          <w:sz w:val="12"/>
        </w:rPr>
        <w:t xml:space="preserve">1005 </w:t>
      </w:r>
      <w:proofErr w:type="spellStart"/>
      <w:r>
        <w:rPr>
          <w:w w:val="105"/>
          <w:sz w:val="12"/>
        </w:rPr>
        <w:t>Ibíd</w:t>
      </w:r>
      <w:proofErr w:type="spellEnd"/>
      <w:r>
        <w:rPr>
          <w:w w:val="105"/>
          <w:sz w:val="12"/>
        </w:rPr>
        <w:t>., párr. 9.</w:t>
      </w:r>
    </w:p>
    <w:p w14:paraId="0BE33782" w14:textId="77777777" w:rsidR="0014798C" w:rsidRDefault="004E1F0B">
      <w:pPr>
        <w:spacing w:before="1"/>
        <w:ind w:left="1111"/>
        <w:rPr>
          <w:sz w:val="12"/>
        </w:rPr>
      </w:pPr>
      <w:r>
        <w:rPr>
          <w:w w:val="105"/>
          <w:sz w:val="12"/>
        </w:rPr>
        <w:t>1006</w:t>
      </w:r>
      <w:r>
        <w:rPr>
          <w:spacing w:val="-7"/>
          <w:w w:val="105"/>
          <w:sz w:val="12"/>
        </w:rPr>
        <w:t xml:space="preserve"> </w:t>
      </w:r>
      <w:proofErr w:type="spellStart"/>
      <w:r>
        <w:rPr>
          <w:w w:val="105"/>
          <w:sz w:val="12"/>
        </w:rPr>
        <w:t>Ibíd</w:t>
      </w:r>
      <w:proofErr w:type="spellEnd"/>
      <w:r>
        <w:rPr>
          <w:w w:val="105"/>
          <w:sz w:val="12"/>
        </w:rPr>
        <w:t>.,</w:t>
      </w:r>
      <w:r>
        <w:rPr>
          <w:spacing w:val="-5"/>
          <w:w w:val="105"/>
          <w:sz w:val="12"/>
        </w:rPr>
        <w:t xml:space="preserve"> </w:t>
      </w:r>
      <w:r>
        <w:rPr>
          <w:w w:val="105"/>
          <w:sz w:val="12"/>
        </w:rPr>
        <w:t>párr.</w:t>
      </w:r>
      <w:r>
        <w:rPr>
          <w:spacing w:val="-4"/>
          <w:w w:val="105"/>
          <w:sz w:val="12"/>
        </w:rPr>
        <w:t xml:space="preserve"> </w:t>
      </w:r>
      <w:r>
        <w:rPr>
          <w:spacing w:val="-2"/>
          <w:w w:val="105"/>
          <w:sz w:val="12"/>
        </w:rPr>
        <w:t>8.10.</w:t>
      </w:r>
    </w:p>
    <w:p w14:paraId="26D539E4" w14:textId="77777777" w:rsidR="0014798C" w:rsidRDefault="004E1F0B">
      <w:pPr>
        <w:spacing w:before="99"/>
        <w:ind w:left="1111"/>
        <w:rPr>
          <w:sz w:val="12"/>
        </w:rPr>
      </w:pPr>
      <w:r>
        <w:rPr>
          <w:w w:val="105"/>
          <w:sz w:val="12"/>
        </w:rPr>
        <w:t>1007</w:t>
      </w:r>
      <w:r>
        <w:rPr>
          <w:spacing w:val="-7"/>
          <w:w w:val="105"/>
          <w:sz w:val="12"/>
        </w:rPr>
        <w:t xml:space="preserve"> </w:t>
      </w:r>
      <w:proofErr w:type="spellStart"/>
      <w:r>
        <w:rPr>
          <w:w w:val="105"/>
          <w:sz w:val="12"/>
        </w:rPr>
        <w:t>Ibíd</w:t>
      </w:r>
      <w:proofErr w:type="spellEnd"/>
      <w:r>
        <w:rPr>
          <w:w w:val="105"/>
          <w:sz w:val="12"/>
        </w:rPr>
        <w:t>.,</w:t>
      </w:r>
      <w:r>
        <w:rPr>
          <w:spacing w:val="-5"/>
          <w:w w:val="105"/>
          <w:sz w:val="12"/>
        </w:rPr>
        <w:t xml:space="preserve"> </w:t>
      </w:r>
      <w:r>
        <w:rPr>
          <w:w w:val="105"/>
          <w:sz w:val="12"/>
        </w:rPr>
        <w:t>párr.</w:t>
      </w:r>
      <w:r>
        <w:rPr>
          <w:spacing w:val="-4"/>
          <w:w w:val="105"/>
          <w:sz w:val="12"/>
        </w:rPr>
        <w:t xml:space="preserve"> </w:t>
      </w:r>
      <w:r>
        <w:rPr>
          <w:spacing w:val="-2"/>
          <w:w w:val="105"/>
          <w:sz w:val="12"/>
        </w:rPr>
        <w:t>8.11.</w:t>
      </w:r>
    </w:p>
    <w:p w14:paraId="5D1A9420" w14:textId="77777777" w:rsidR="0014798C" w:rsidRDefault="004E1F0B">
      <w:pPr>
        <w:spacing w:before="98"/>
        <w:ind w:left="1111"/>
        <w:rPr>
          <w:sz w:val="12"/>
        </w:rPr>
      </w:pPr>
      <w:r>
        <w:rPr>
          <w:w w:val="105"/>
          <w:sz w:val="12"/>
        </w:rPr>
        <w:t>1008</w:t>
      </w:r>
      <w:r>
        <w:rPr>
          <w:spacing w:val="-7"/>
          <w:w w:val="105"/>
          <w:sz w:val="12"/>
        </w:rPr>
        <w:t xml:space="preserve"> </w:t>
      </w:r>
      <w:proofErr w:type="spellStart"/>
      <w:r>
        <w:rPr>
          <w:w w:val="105"/>
          <w:sz w:val="12"/>
        </w:rPr>
        <w:t>Ibíd</w:t>
      </w:r>
      <w:proofErr w:type="spellEnd"/>
      <w:r>
        <w:rPr>
          <w:w w:val="105"/>
          <w:sz w:val="12"/>
        </w:rPr>
        <w:t>.,</w:t>
      </w:r>
      <w:r>
        <w:rPr>
          <w:spacing w:val="-5"/>
          <w:w w:val="105"/>
          <w:sz w:val="12"/>
        </w:rPr>
        <w:t xml:space="preserve"> </w:t>
      </w:r>
      <w:r>
        <w:rPr>
          <w:w w:val="105"/>
          <w:sz w:val="12"/>
        </w:rPr>
        <w:t>párr.</w:t>
      </w:r>
      <w:r>
        <w:rPr>
          <w:spacing w:val="-4"/>
          <w:w w:val="105"/>
          <w:sz w:val="12"/>
        </w:rPr>
        <w:t xml:space="preserve"> </w:t>
      </w:r>
      <w:r>
        <w:rPr>
          <w:spacing w:val="-5"/>
          <w:w w:val="105"/>
          <w:sz w:val="12"/>
        </w:rPr>
        <w:t>10.</w:t>
      </w:r>
    </w:p>
    <w:p w14:paraId="5FB18795" w14:textId="77777777" w:rsidR="0014798C" w:rsidRDefault="004E1F0B">
      <w:pPr>
        <w:spacing w:before="96"/>
        <w:ind w:left="1111"/>
        <w:rPr>
          <w:sz w:val="12"/>
        </w:rPr>
      </w:pPr>
      <w:r>
        <w:rPr>
          <w:spacing w:val="-2"/>
          <w:w w:val="105"/>
          <w:position w:val="4"/>
          <w:sz w:val="8"/>
        </w:rPr>
        <w:t>1009</w:t>
      </w:r>
      <w:r>
        <w:rPr>
          <w:spacing w:val="46"/>
          <w:w w:val="105"/>
          <w:position w:val="4"/>
          <w:sz w:val="8"/>
        </w:rPr>
        <w:t xml:space="preserve"> </w:t>
      </w:r>
      <w:r>
        <w:rPr>
          <w:spacing w:val="-2"/>
          <w:w w:val="105"/>
          <w:sz w:val="12"/>
        </w:rPr>
        <w:t>Véase,</w:t>
      </w:r>
      <w:r>
        <w:rPr>
          <w:spacing w:val="-1"/>
          <w:w w:val="105"/>
          <w:sz w:val="12"/>
        </w:rPr>
        <w:t xml:space="preserve"> </w:t>
      </w:r>
      <w:r>
        <w:rPr>
          <w:spacing w:val="-2"/>
          <w:w w:val="105"/>
          <w:sz w:val="12"/>
        </w:rPr>
        <w:t>por</w:t>
      </w:r>
      <w:r>
        <w:rPr>
          <w:w w:val="105"/>
          <w:sz w:val="12"/>
        </w:rPr>
        <w:t xml:space="preserve"> </w:t>
      </w:r>
      <w:r>
        <w:rPr>
          <w:spacing w:val="-2"/>
          <w:w w:val="105"/>
          <w:sz w:val="12"/>
        </w:rPr>
        <w:t>ejemplo,</w:t>
      </w:r>
      <w:r>
        <w:rPr>
          <w:spacing w:val="1"/>
          <w:w w:val="105"/>
          <w:sz w:val="12"/>
        </w:rPr>
        <w:t xml:space="preserve"> </w:t>
      </w:r>
      <w:r>
        <w:rPr>
          <w:spacing w:val="-2"/>
          <w:w w:val="105"/>
          <w:sz w:val="12"/>
        </w:rPr>
        <w:t>CEDAW/C/BEL/CO/7,</w:t>
      </w:r>
      <w:r>
        <w:rPr>
          <w:spacing w:val="-1"/>
          <w:w w:val="105"/>
          <w:sz w:val="12"/>
        </w:rPr>
        <w:t xml:space="preserve"> </w:t>
      </w:r>
      <w:proofErr w:type="spellStart"/>
      <w:r>
        <w:rPr>
          <w:spacing w:val="-2"/>
          <w:w w:val="105"/>
          <w:sz w:val="12"/>
        </w:rPr>
        <w:t>párrs</w:t>
      </w:r>
      <w:proofErr w:type="spellEnd"/>
      <w:r>
        <w:rPr>
          <w:spacing w:val="-2"/>
          <w:w w:val="105"/>
          <w:sz w:val="12"/>
        </w:rPr>
        <w:t>.</w:t>
      </w:r>
      <w:r>
        <w:rPr>
          <w:w w:val="105"/>
          <w:sz w:val="12"/>
        </w:rPr>
        <w:t xml:space="preserve"> </w:t>
      </w:r>
      <w:r>
        <w:rPr>
          <w:spacing w:val="-2"/>
          <w:w w:val="105"/>
          <w:sz w:val="12"/>
        </w:rPr>
        <w:t>18–19;</w:t>
      </w:r>
      <w:r>
        <w:rPr>
          <w:spacing w:val="-1"/>
          <w:w w:val="105"/>
          <w:sz w:val="12"/>
        </w:rPr>
        <w:t xml:space="preserve"> </w:t>
      </w:r>
      <w:r>
        <w:rPr>
          <w:spacing w:val="-2"/>
          <w:w w:val="105"/>
          <w:sz w:val="12"/>
        </w:rPr>
        <w:t>y</w:t>
      </w:r>
      <w:r>
        <w:rPr>
          <w:w w:val="105"/>
          <w:sz w:val="12"/>
        </w:rPr>
        <w:t xml:space="preserve"> </w:t>
      </w:r>
      <w:r>
        <w:rPr>
          <w:spacing w:val="-2"/>
          <w:w w:val="105"/>
          <w:sz w:val="12"/>
        </w:rPr>
        <w:t>CEDAW/C/TUR/CO/6,</w:t>
      </w:r>
      <w:r>
        <w:rPr>
          <w:w w:val="105"/>
          <w:sz w:val="12"/>
        </w:rPr>
        <w:t xml:space="preserve"> </w:t>
      </w:r>
      <w:proofErr w:type="spellStart"/>
      <w:r>
        <w:rPr>
          <w:spacing w:val="-2"/>
          <w:w w:val="105"/>
          <w:sz w:val="12"/>
        </w:rPr>
        <w:t>párrs</w:t>
      </w:r>
      <w:proofErr w:type="spellEnd"/>
      <w:r>
        <w:rPr>
          <w:spacing w:val="-2"/>
          <w:w w:val="105"/>
          <w:sz w:val="12"/>
        </w:rPr>
        <w:t>.</w:t>
      </w:r>
      <w:r>
        <w:rPr>
          <w:spacing w:val="-1"/>
          <w:w w:val="105"/>
          <w:sz w:val="12"/>
        </w:rPr>
        <w:t xml:space="preserve"> </w:t>
      </w:r>
      <w:r>
        <w:rPr>
          <w:spacing w:val="-2"/>
          <w:w w:val="105"/>
          <w:sz w:val="12"/>
        </w:rPr>
        <w:t>16–17.</w:t>
      </w:r>
    </w:p>
    <w:p w14:paraId="38AB57EA" w14:textId="77777777" w:rsidR="0014798C" w:rsidRDefault="004E1F0B">
      <w:pPr>
        <w:spacing w:before="96"/>
        <w:ind w:left="1111"/>
        <w:rPr>
          <w:sz w:val="12"/>
        </w:rPr>
      </w:pPr>
      <w:r>
        <w:rPr>
          <w:w w:val="105"/>
          <w:position w:val="4"/>
          <w:sz w:val="8"/>
        </w:rPr>
        <w:t>1010</w:t>
      </w:r>
      <w:r>
        <w:rPr>
          <w:spacing w:val="37"/>
          <w:w w:val="105"/>
          <w:position w:val="4"/>
          <w:sz w:val="8"/>
        </w:rPr>
        <w:t xml:space="preserve"> </w:t>
      </w:r>
      <w:r>
        <w:rPr>
          <w:w w:val="105"/>
          <w:sz w:val="12"/>
        </w:rPr>
        <w:t>Véase,</w:t>
      </w:r>
      <w:r>
        <w:rPr>
          <w:spacing w:val="-5"/>
          <w:w w:val="105"/>
          <w:sz w:val="12"/>
        </w:rPr>
        <w:t xml:space="preserve"> </w:t>
      </w:r>
      <w:r>
        <w:rPr>
          <w:w w:val="105"/>
          <w:sz w:val="12"/>
        </w:rPr>
        <w:t>por</w:t>
      </w:r>
      <w:r>
        <w:rPr>
          <w:spacing w:val="-5"/>
          <w:w w:val="105"/>
          <w:sz w:val="12"/>
        </w:rPr>
        <w:t xml:space="preserve"> </w:t>
      </w:r>
      <w:r>
        <w:rPr>
          <w:w w:val="105"/>
          <w:sz w:val="12"/>
        </w:rPr>
        <w:t>ejemplo,</w:t>
      </w:r>
      <w:r>
        <w:rPr>
          <w:spacing w:val="-4"/>
          <w:w w:val="105"/>
          <w:sz w:val="12"/>
        </w:rPr>
        <w:t xml:space="preserve"> </w:t>
      </w:r>
      <w:r>
        <w:rPr>
          <w:w w:val="105"/>
          <w:sz w:val="12"/>
        </w:rPr>
        <w:t>CRC/C/TUN/CO/3,</w:t>
      </w:r>
      <w:r>
        <w:rPr>
          <w:spacing w:val="-5"/>
          <w:w w:val="105"/>
          <w:sz w:val="12"/>
        </w:rPr>
        <w:t xml:space="preserve"> </w:t>
      </w:r>
      <w:proofErr w:type="spellStart"/>
      <w:r>
        <w:rPr>
          <w:w w:val="105"/>
          <w:sz w:val="12"/>
        </w:rPr>
        <w:t>párrs</w:t>
      </w:r>
      <w:proofErr w:type="spellEnd"/>
      <w:r>
        <w:rPr>
          <w:w w:val="105"/>
          <w:sz w:val="12"/>
        </w:rPr>
        <w:t>.</w:t>
      </w:r>
      <w:r>
        <w:rPr>
          <w:spacing w:val="-5"/>
          <w:w w:val="105"/>
          <w:sz w:val="12"/>
        </w:rPr>
        <w:t xml:space="preserve"> </w:t>
      </w:r>
      <w:r>
        <w:rPr>
          <w:spacing w:val="-2"/>
          <w:w w:val="105"/>
          <w:sz w:val="12"/>
        </w:rPr>
        <w:t>36–37.</w:t>
      </w:r>
    </w:p>
    <w:p w14:paraId="20587E5B" w14:textId="77777777" w:rsidR="0014798C" w:rsidRDefault="004E1F0B">
      <w:pPr>
        <w:spacing w:before="96"/>
        <w:ind w:left="1111"/>
        <w:rPr>
          <w:sz w:val="12"/>
        </w:rPr>
      </w:pPr>
      <w:r>
        <w:rPr>
          <w:w w:val="105"/>
          <w:position w:val="4"/>
          <w:sz w:val="8"/>
        </w:rPr>
        <w:t>1011</w:t>
      </w:r>
      <w:r>
        <w:rPr>
          <w:spacing w:val="43"/>
          <w:w w:val="105"/>
          <w:position w:val="4"/>
          <w:sz w:val="8"/>
        </w:rPr>
        <w:t xml:space="preserve"> </w:t>
      </w:r>
      <w:r>
        <w:rPr>
          <w:w w:val="105"/>
          <w:sz w:val="12"/>
        </w:rPr>
        <w:t>ACNUDH,</w:t>
      </w:r>
      <w:r>
        <w:rPr>
          <w:spacing w:val="-3"/>
          <w:w w:val="105"/>
          <w:sz w:val="12"/>
        </w:rPr>
        <w:t xml:space="preserve"> </w:t>
      </w:r>
      <w:r>
        <w:rPr>
          <w:w w:val="105"/>
          <w:sz w:val="12"/>
        </w:rPr>
        <w:t>“Derechos</w:t>
      </w:r>
      <w:r>
        <w:rPr>
          <w:spacing w:val="-3"/>
          <w:w w:val="105"/>
          <w:sz w:val="12"/>
        </w:rPr>
        <w:t xml:space="preserve"> </w:t>
      </w:r>
      <w:r>
        <w:rPr>
          <w:w w:val="105"/>
          <w:sz w:val="12"/>
        </w:rPr>
        <w:t>humanos</w:t>
      </w:r>
      <w:r>
        <w:rPr>
          <w:spacing w:val="-3"/>
          <w:w w:val="105"/>
          <w:sz w:val="12"/>
        </w:rPr>
        <w:t xml:space="preserve"> </w:t>
      </w:r>
      <w:r>
        <w:rPr>
          <w:w w:val="105"/>
          <w:sz w:val="12"/>
        </w:rPr>
        <w:t>de</w:t>
      </w:r>
      <w:r>
        <w:rPr>
          <w:spacing w:val="-2"/>
          <w:w w:val="105"/>
          <w:sz w:val="12"/>
        </w:rPr>
        <w:t xml:space="preserve"> </w:t>
      </w:r>
      <w:r>
        <w:rPr>
          <w:w w:val="105"/>
          <w:sz w:val="12"/>
        </w:rPr>
        <w:t>las</w:t>
      </w:r>
      <w:r>
        <w:rPr>
          <w:spacing w:val="-3"/>
          <w:w w:val="105"/>
          <w:sz w:val="12"/>
        </w:rPr>
        <w:t xml:space="preserve"> </w:t>
      </w:r>
      <w:r>
        <w:rPr>
          <w:w w:val="105"/>
          <w:sz w:val="12"/>
        </w:rPr>
        <w:t>mujeres</w:t>
      </w:r>
      <w:r>
        <w:rPr>
          <w:spacing w:val="-3"/>
          <w:w w:val="105"/>
          <w:sz w:val="12"/>
        </w:rPr>
        <w:t xml:space="preserve"> </w:t>
      </w:r>
      <w:r>
        <w:rPr>
          <w:w w:val="105"/>
          <w:sz w:val="12"/>
        </w:rPr>
        <w:t>que</w:t>
      </w:r>
      <w:r>
        <w:rPr>
          <w:spacing w:val="-3"/>
          <w:w w:val="105"/>
          <w:sz w:val="12"/>
        </w:rPr>
        <w:t xml:space="preserve"> </w:t>
      </w:r>
      <w:r>
        <w:rPr>
          <w:w w:val="105"/>
          <w:sz w:val="12"/>
        </w:rPr>
        <w:t>llevan</w:t>
      </w:r>
      <w:r>
        <w:rPr>
          <w:spacing w:val="-3"/>
          <w:w w:val="105"/>
          <w:sz w:val="12"/>
        </w:rPr>
        <w:t xml:space="preserve"> </w:t>
      </w:r>
      <w:r>
        <w:rPr>
          <w:w w:val="105"/>
          <w:sz w:val="12"/>
        </w:rPr>
        <w:t>velo</w:t>
      </w:r>
      <w:r>
        <w:rPr>
          <w:spacing w:val="-3"/>
          <w:w w:val="105"/>
          <w:sz w:val="12"/>
        </w:rPr>
        <w:t xml:space="preserve"> </w:t>
      </w:r>
      <w:r>
        <w:rPr>
          <w:w w:val="105"/>
          <w:sz w:val="12"/>
        </w:rPr>
        <w:t>en</w:t>
      </w:r>
      <w:r>
        <w:rPr>
          <w:spacing w:val="-3"/>
          <w:w w:val="105"/>
          <w:sz w:val="12"/>
        </w:rPr>
        <w:t xml:space="preserve"> </w:t>
      </w:r>
      <w:r>
        <w:rPr>
          <w:w w:val="105"/>
          <w:sz w:val="12"/>
        </w:rPr>
        <w:t>Europa</w:t>
      </w:r>
      <w:r>
        <w:rPr>
          <w:spacing w:val="-2"/>
          <w:w w:val="105"/>
          <w:sz w:val="12"/>
        </w:rPr>
        <w:t xml:space="preserve"> </w:t>
      </w:r>
      <w:r>
        <w:rPr>
          <w:w w:val="105"/>
          <w:sz w:val="12"/>
        </w:rPr>
        <w:t>occidental”</w:t>
      </w:r>
      <w:r>
        <w:rPr>
          <w:spacing w:val="-3"/>
          <w:w w:val="105"/>
          <w:sz w:val="12"/>
        </w:rPr>
        <w:t xml:space="preserve"> </w:t>
      </w:r>
      <w:r>
        <w:rPr>
          <w:w w:val="105"/>
          <w:sz w:val="12"/>
        </w:rPr>
        <w:t>(2019),</w:t>
      </w:r>
      <w:r>
        <w:rPr>
          <w:spacing w:val="-2"/>
          <w:w w:val="105"/>
          <w:sz w:val="12"/>
        </w:rPr>
        <w:t xml:space="preserve"> </w:t>
      </w:r>
      <w:r>
        <w:rPr>
          <w:w w:val="105"/>
          <w:sz w:val="12"/>
        </w:rPr>
        <w:t>pág.</w:t>
      </w:r>
      <w:r>
        <w:rPr>
          <w:spacing w:val="-3"/>
          <w:w w:val="105"/>
          <w:sz w:val="12"/>
        </w:rPr>
        <w:t xml:space="preserve"> </w:t>
      </w:r>
      <w:r>
        <w:rPr>
          <w:spacing w:val="-5"/>
          <w:w w:val="105"/>
          <w:sz w:val="12"/>
        </w:rPr>
        <w:t>29.</w:t>
      </w:r>
    </w:p>
    <w:p w14:paraId="7DF4346F" w14:textId="77777777" w:rsidR="0014798C" w:rsidRDefault="0014798C">
      <w:pPr>
        <w:pStyle w:val="Textoindependiente"/>
        <w:rPr>
          <w:sz w:val="18"/>
        </w:rPr>
      </w:pPr>
    </w:p>
    <w:p w14:paraId="1C8C7C30" w14:textId="77777777" w:rsidR="0014798C" w:rsidRDefault="0014798C">
      <w:pPr>
        <w:pStyle w:val="Textoindependiente"/>
        <w:rPr>
          <w:sz w:val="18"/>
        </w:rPr>
      </w:pPr>
    </w:p>
    <w:p w14:paraId="54850CA3" w14:textId="77777777" w:rsidR="0014798C" w:rsidRDefault="0014798C">
      <w:pPr>
        <w:pStyle w:val="Textoindependiente"/>
        <w:spacing w:before="26"/>
        <w:rPr>
          <w:sz w:val="18"/>
        </w:rPr>
      </w:pPr>
    </w:p>
    <w:p w14:paraId="0F42A2D5" w14:textId="77777777" w:rsidR="0014798C" w:rsidRDefault="004E1F0B">
      <w:pPr>
        <w:ind w:right="709"/>
        <w:jc w:val="right"/>
        <w:rPr>
          <w:sz w:val="18"/>
        </w:rPr>
      </w:pPr>
      <w:r>
        <w:rPr>
          <w:spacing w:val="-5"/>
          <w:sz w:val="18"/>
        </w:rPr>
        <w:t>145</w:t>
      </w:r>
    </w:p>
    <w:p w14:paraId="0A6D8226" w14:textId="77777777" w:rsidR="0014798C" w:rsidRDefault="0014798C">
      <w:pPr>
        <w:jc w:val="right"/>
        <w:rPr>
          <w:sz w:val="18"/>
        </w:rPr>
        <w:sectPr w:rsidR="0014798C" w:rsidSect="00F265E4">
          <w:pgSz w:w="11900" w:h="16820"/>
          <w:pgMar w:top="340" w:right="0" w:bottom="280" w:left="200" w:header="121" w:footer="0" w:gutter="0"/>
          <w:cols w:space="720"/>
        </w:sectPr>
      </w:pPr>
    </w:p>
    <w:p w14:paraId="2626AB32" w14:textId="77777777" w:rsidR="0014798C" w:rsidRDefault="0014798C">
      <w:pPr>
        <w:pStyle w:val="Textoindependiente"/>
        <w:spacing w:before="85"/>
        <w:rPr>
          <w:sz w:val="12"/>
        </w:rPr>
      </w:pPr>
    </w:p>
    <w:p w14:paraId="34826A44" w14:textId="77777777" w:rsidR="0014798C" w:rsidRDefault="004E1F0B">
      <w:pPr>
        <w:ind w:left="1111"/>
        <w:rPr>
          <w:sz w:val="12"/>
        </w:rPr>
      </w:pPr>
      <w:r>
        <w:rPr>
          <w:color w:val="803108"/>
          <w:sz w:val="12"/>
        </w:rPr>
        <w:t>PROTECCIÓN</w:t>
      </w:r>
      <w:r>
        <w:rPr>
          <w:color w:val="803108"/>
          <w:spacing w:val="6"/>
          <w:sz w:val="12"/>
        </w:rPr>
        <w:t xml:space="preserve"> </w:t>
      </w:r>
      <w:r>
        <w:rPr>
          <w:color w:val="803108"/>
          <w:sz w:val="12"/>
        </w:rPr>
        <w:t>DE</w:t>
      </w:r>
      <w:r>
        <w:rPr>
          <w:color w:val="803108"/>
          <w:spacing w:val="7"/>
          <w:sz w:val="12"/>
        </w:rPr>
        <w:t xml:space="preserve"> </w:t>
      </w:r>
      <w:r>
        <w:rPr>
          <w:color w:val="803108"/>
          <w:sz w:val="12"/>
        </w:rPr>
        <w:t>LOS</w:t>
      </w:r>
      <w:r>
        <w:rPr>
          <w:color w:val="803108"/>
          <w:spacing w:val="8"/>
          <w:sz w:val="12"/>
        </w:rPr>
        <w:t xml:space="preserve"> </w:t>
      </w:r>
      <w:r>
        <w:rPr>
          <w:color w:val="803108"/>
          <w:sz w:val="12"/>
        </w:rPr>
        <w:t>DERECHOS</w:t>
      </w:r>
      <w:r>
        <w:rPr>
          <w:color w:val="803108"/>
          <w:spacing w:val="8"/>
          <w:sz w:val="12"/>
        </w:rPr>
        <w:t xml:space="preserve"> </w:t>
      </w:r>
      <w:r>
        <w:rPr>
          <w:color w:val="803108"/>
          <w:sz w:val="12"/>
        </w:rPr>
        <w:t>DE</w:t>
      </w:r>
      <w:r>
        <w:rPr>
          <w:color w:val="803108"/>
          <w:spacing w:val="6"/>
          <w:sz w:val="12"/>
        </w:rPr>
        <w:t xml:space="preserve"> </w:t>
      </w:r>
      <w:r>
        <w:rPr>
          <w:color w:val="803108"/>
          <w:sz w:val="12"/>
        </w:rPr>
        <w:t>LAS</w:t>
      </w:r>
      <w:r>
        <w:rPr>
          <w:color w:val="803108"/>
          <w:spacing w:val="7"/>
          <w:sz w:val="12"/>
        </w:rPr>
        <w:t xml:space="preserve"> </w:t>
      </w:r>
      <w:r>
        <w:rPr>
          <w:color w:val="803108"/>
          <w:sz w:val="12"/>
        </w:rPr>
        <w:t>MINORÍAS:</w:t>
      </w:r>
      <w:r>
        <w:rPr>
          <w:color w:val="803108"/>
          <w:spacing w:val="8"/>
          <w:sz w:val="12"/>
        </w:rPr>
        <w:t xml:space="preserve"> </w:t>
      </w:r>
      <w:r>
        <w:rPr>
          <w:color w:val="803108"/>
          <w:sz w:val="12"/>
        </w:rPr>
        <w:t>una</w:t>
      </w:r>
      <w:r>
        <w:rPr>
          <w:color w:val="803108"/>
          <w:spacing w:val="7"/>
          <w:sz w:val="12"/>
        </w:rPr>
        <w:t xml:space="preserve"> </w:t>
      </w:r>
      <w:r>
        <w:rPr>
          <w:color w:val="803108"/>
          <w:sz w:val="12"/>
        </w:rPr>
        <w:t>guía</w:t>
      </w:r>
      <w:r>
        <w:rPr>
          <w:color w:val="803108"/>
          <w:spacing w:val="6"/>
          <w:sz w:val="12"/>
        </w:rPr>
        <w:t xml:space="preserve"> </w:t>
      </w:r>
      <w:r>
        <w:rPr>
          <w:color w:val="803108"/>
          <w:sz w:val="12"/>
        </w:rPr>
        <w:t>práctica</w:t>
      </w:r>
      <w:r>
        <w:rPr>
          <w:color w:val="803108"/>
          <w:spacing w:val="7"/>
          <w:sz w:val="12"/>
        </w:rPr>
        <w:t xml:space="preserve"> </w:t>
      </w:r>
      <w:r>
        <w:rPr>
          <w:color w:val="803108"/>
          <w:sz w:val="12"/>
        </w:rPr>
        <w:t>para</w:t>
      </w:r>
      <w:r>
        <w:rPr>
          <w:color w:val="803108"/>
          <w:spacing w:val="8"/>
          <w:sz w:val="12"/>
        </w:rPr>
        <w:t xml:space="preserve"> </w:t>
      </w:r>
      <w:r>
        <w:rPr>
          <w:color w:val="803108"/>
          <w:sz w:val="12"/>
        </w:rPr>
        <w:t>desarrollar</w:t>
      </w:r>
      <w:r>
        <w:rPr>
          <w:color w:val="803108"/>
          <w:spacing w:val="6"/>
          <w:sz w:val="12"/>
        </w:rPr>
        <w:t xml:space="preserve"> </w:t>
      </w:r>
      <w:r>
        <w:rPr>
          <w:color w:val="803108"/>
          <w:sz w:val="12"/>
        </w:rPr>
        <w:t>una</w:t>
      </w:r>
      <w:r>
        <w:rPr>
          <w:color w:val="803108"/>
          <w:spacing w:val="7"/>
          <w:sz w:val="12"/>
        </w:rPr>
        <w:t xml:space="preserve"> </w:t>
      </w:r>
      <w:r>
        <w:rPr>
          <w:color w:val="803108"/>
          <w:sz w:val="12"/>
        </w:rPr>
        <w:t>legislación</w:t>
      </w:r>
      <w:r>
        <w:rPr>
          <w:color w:val="803108"/>
          <w:spacing w:val="8"/>
          <w:sz w:val="12"/>
        </w:rPr>
        <w:t xml:space="preserve"> </w:t>
      </w:r>
      <w:r>
        <w:rPr>
          <w:color w:val="803108"/>
          <w:sz w:val="12"/>
        </w:rPr>
        <w:t>integral</w:t>
      </w:r>
      <w:r>
        <w:rPr>
          <w:color w:val="803108"/>
          <w:spacing w:val="7"/>
          <w:sz w:val="12"/>
        </w:rPr>
        <w:t xml:space="preserve"> </w:t>
      </w:r>
      <w:r>
        <w:rPr>
          <w:color w:val="803108"/>
          <w:sz w:val="12"/>
        </w:rPr>
        <w:t>contra</w:t>
      </w:r>
      <w:r>
        <w:rPr>
          <w:color w:val="803108"/>
          <w:spacing w:val="6"/>
          <w:sz w:val="12"/>
        </w:rPr>
        <w:t xml:space="preserve"> </w:t>
      </w:r>
      <w:r>
        <w:rPr>
          <w:color w:val="803108"/>
          <w:sz w:val="12"/>
        </w:rPr>
        <w:t>la</w:t>
      </w:r>
      <w:r>
        <w:rPr>
          <w:color w:val="803108"/>
          <w:spacing w:val="7"/>
          <w:sz w:val="12"/>
        </w:rPr>
        <w:t xml:space="preserve"> </w:t>
      </w:r>
      <w:r>
        <w:rPr>
          <w:color w:val="803108"/>
          <w:spacing w:val="-2"/>
          <w:sz w:val="12"/>
        </w:rPr>
        <w:t>discriminación</w:t>
      </w:r>
    </w:p>
    <w:p w14:paraId="0A338906" w14:textId="77777777" w:rsidR="0014798C" w:rsidRDefault="0014798C">
      <w:pPr>
        <w:pStyle w:val="Textoindependiente"/>
      </w:pPr>
    </w:p>
    <w:p w14:paraId="761C683E" w14:textId="77777777" w:rsidR="0014798C" w:rsidRDefault="0014798C">
      <w:pPr>
        <w:pStyle w:val="Textoindependiente"/>
      </w:pPr>
    </w:p>
    <w:p w14:paraId="3AD81426" w14:textId="77777777" w:rsidR="0014798C" w:rsidRDefault="0014798C">
      <w:pPr>
        <w:pStyle w:val="Textoindependiente"/>
      </w:pPr>
    </w:p>
    <w:p w14:paraId="0E89D8F0" w14:textId="77777777" w:rsidR="0014798C" w:rsidRDefault="0014798C">
      <w:pPr>
        <w:pStyle w:val="Textoindependiente"/>
      </w:pPr>
    </w:p>
    <w:p w14:paraId="59542E93" w14:textId="77777777" w:rsidR="0014798C" w:rsidRDefault="0014798C">
      <w:pPr>
        <w:pStyle w:val="Textoindependiente"/>
        <w:spacing w:before="45"/>
      </w:pPr>
    </w:p>
    <w:p w14:paraId="0D8BB0DF" w14:textId="77777777" w:rsidR="0014798C" w:rsidRDefault="004E1F0B">
      <w:pPr>
        <w:spacing w:line="328" w:lineRule="auto"/>
        <w:ind w:left="1672" w:right="1626" w:firstLine="5"/>
        <w:rPr>
          <w:sz w:val="16"/>
        </w:rPr>
      </w:pPr>
      <w:r>
        <w:rPr>
          <w:color w:val="803108"/>
          <w:sz w:val="17"/>
        </w:rPr>
        <w:t xml:space="preserve">sobre el alcance de las limitaciones existentes sobre otros símbolos y cómo estos impactan a otros individuos/ </w:t>
      </w:r>
      <w:r>
        <w:rPr>
          <w:color w:val="803108"/>
          <w:sz w:val="16"/>
        </w:rPr>
        <w:t>comunidades.</w:t>
      </w:r>
      <w:r>
        <w:rPr>
          <w:color w:val="803108"/>
          <w:spacing w:val="21"/>
          <w:sz w:val="16"/>
        </w:rPr>
        <w:t xml:space="preserve"> </w:t>
      </w:r>
      <w:r>
        <w:rPr>
          <w:color w:val="803108"/>
          <w:sz w:val="16"/>
        </w:rPr>
        <w:t>Las</w:t>
      </w:r>
      <w:r>
        <w:rPr>
          <w:color w:val="803108"/>
          <w:spacing w:val="18"/>
          <w:sz w:val="16"/>
        </w:rPr>
        <w:t xml:space="preserve"> </w:t>
      </w:r>
      <w:r>
        <w:rPr>
          <w:color w:val="803108"/>
          <w:sz w:val="16"/>
        </w:rPr>
        <w:t>experiencias</w:t>
      </w:r>
      <w:r>
        <w:rPr>
          <w:color w:val="803108"/>
          <w:spacing w:val="18"/>
          <w:sz w:val="16"/>
        </w:rPr>
        <w:t xml:space="preserve"> </w:t>
      </w:r>
      <w:r>
        <w:rPr>
          <w:color w:val="803108"/>
          <w:sz w:val="16"/>
        </w:rPr>
        <w:t>de</w:t>
      </w:r>
      <w:r>
        <w:rPr>
          <w:color w:val="803108"/>
          <w:spacing w:val="18"/>
          <w:sz w:val="16"/>
        </w:rPr>
        <w:t xml:space="preserve"> </w:t>
      </w:r>
      <w:r>
        <w:rPr>
          <w:color w:val="803108"/>
          <w:sz w:val="16"/>
        </w:rPr>
        <w:t>las</w:t>
      </w:r>
      <w:r>
        <w:rPr>
          <w:color w:val="803108"/>
          <w:spacing w:val="18"/>
          <w:sz w:val="16"/>
        </w:rPr>
        <w:t xml:space="preserve"> </w:t>
      </w:r>
      <w:r>
        <w:rPr>
          <w:color w:val="803108"/>
          <w:sz w:val="16"/>
        </w:rPr>
        <w:t>mujeres</w:t>
      </w:r>
      <w:r>
        <w:rPr>
          <w:color w:val="803108"/>
          <w:spacing w:val="18"/>
          <w:sz w:val="16"/>
        </w:rPr>
        <w:t xml:space="preserve"> </w:t>
      </w:r>
      <w:r>
        <w:rPr>
          <w:color w:val="803108"/>
          <w:sz w:val="16"/>
        </w:rPr>
        <w:t>musulmanas</w:t>
      </w:r>
      <w:r>
        <w:rPr>
          <w:color w:val="803108"/>
          <w:spacing w:val="18"/>
          <w:sz w:val="16"/>
        </w:rPr>
        <w:t xml:space="preserve"> </w:t>
      </w:r>
      <w:r>
        <w:rPr>
          <w:color w:val="803108"/>
          <w:sz w:val="16"/>
        </w:rPr>
        <w:t>que</w:t>
      </w:r>
      <w:r>
        <w:rPr>
          <w:color w:val="803108"/>
          <w:spacing w:val="18"/>
          <w:sz w:val="16"/>
        </w:rPr>
        <w:t xml:space="preserve"> </w:t>
      </w:r>
      <w:r>
        <w:rPr>
          <w:color w:val="803108"/>
          <w:sz w:val="16"/>
        </w:rPr>
        <w:t>llevan</w:t>
      </w:r>
      <w:r>
        <w:rPr>
          <w:color w:val="803108"/>
          <w:spacing w:val="18"/>
          <w:sz w:val="16"/>
        </w:rPr>
        <w:t xml:space="preserve"> </w:t>
      </w:r>
      <w:r>
        <w:rPr>
          <w:color w:val="803108"/>
          <w:sz w:val="16"/>
        </w:rPr>
        <w:t>el</w:t>
      </w:r>
      <w:r>
        <w:rPr>
          <w:color w:val="803108"/>
          <w:spacing w:val="18"/>
          <w:sz w:val="16"/>
        </w:rPr>
        <w:t xml:space="preserve"> </w:t>
      </w:r>
      <w:r>
        <w:rPr>
          <w:color w:val="803108"/>
          <w:sz w:val="16"/>
        </w:rPr>
        <w:t>velo,</w:t>
      </w:r>
      <w:r>
        <w:rPr>
          <w:color w:val="803108"/>
          <w:spacing w:val="20"/>
          <w:sz w:val="16"/>
        </w:rPr>
        <w:t xml:space="preserve"> </w:t>
      </w:r>
      <w:r>
        <w:rPr>
          <w:color w:val="803108"/>
          <w:sz w:val="16"/>
        </w:rPr>
        <w:t>más</w:t>
      </w:r>
      <w:r>
        <w:rPr>
          <w:color w:val="803108"/>
          <w:spacing w:val="18"/>
          <w:sz w:val="16"/>
        </w:rPr>
        <w:t xml:space="preserve"> </w:t>
      </w:r>
      <w:r>
        <w:rPr>
          <w:color w:val="803108"/>
          <w:sz w:val="16"/>
        </w:rPr>
        <w:t>allá</w:t>
      </w:r>
      <w:r>
        <w:rPr>
          <w:color w:val="803108"/>
          <w:spacing w:val="18"/>
          <w:sz w:val="16"/>
        </w:rPr>
        <w:t xml:space="preserve"> </w:t>
      </w:r>
      <w:r>
        <w:rPr>
          <w:color w:val="803108"/>
          <w:sz w:val="16"/>
        </w:rPr>
        <w:t>de</w:t>
      </w:r>
      <w:r>
        <w:rPr>
          <w:color w:val="803108"/>
          <w:spacing w:val="18"/>
          <w:sz w:val="16"/>
        </w:rPr>
        <w:t xml:space="preserve"> </w:t>
      </w:r>
      <w:r>
        <w:rPr>
          <w:color w:val="803108"/>
          <w:sz w:val="16"/>
        </w:rPr>
        <w:t>la</w:t>
      </w:r>
      <w:r>
        <w:rPr>
          <w:color w:val="803108"/>
          <w:spacing w:val="18"/>
          <w:sz w:val="16"/>
        </w:rPr>
        <w:t xml:space="preserve"> </w:t>
      </w:r>
      <w:r>
        <w:rPr>
          <w:color w:val="803108"/>
          <w:sz w:val="16"/>
        </w:rPr>
        <w:t>jurisprudencia, parecen</w:t>
      </w:r>
      <w:r>
        <w:rPr>
          <w:color w:val="803108"/>
          <w:spacing w:val="17"/>
          <w:sz w:val="16"/>
        </w:rPr>
        <w:t xml:space="preserve"> </w:t>
      </w:r>
      <w:r>
        <w:rPr>
          <w:color w:val="803108"/>
          <w:sz w:val="16"/>
        </w:rPr>
        <w:t>mostrar</w:t>
      </w:r>
      <w:r>
        <w:rPr>
          <w:color w:val="803108"/>
          <w:spacing w:val="17"/>
          <w:sz w:val="16"/>
        </w:rPr>
        <w:t xml:space="preserve"> </w:t>
      </w:r>
      <w:r>
        <w:rPr>
          <w:color w:val="803108"/>
          <w:sz w:val="16"/>
        </w:rPr>
        <w:t>casos</w:t>
      </w:r>
      <w:r>
        <w:rPr>
          <w:color w:val="803108"/>
          <w:spacing w:val="17"/>
          <w:sz w:val="16"/>
        </w:rPr>
        <w:t xml:space="preserve"> </w:t>
      </w:r>
      <w:r>
        <w:rPr>
          <w:color w:val="803108"/>
          <w:sz w:val="16"/>
        </w:rPr>
        <w:t>generalizados</w:t>
      </w:r>
      <w:r>
        <w:rPr>
          <w:color w:val="803108"/>
          <w:spacing w:val="17"/>
          <w:sz w:val="16"/>
        </w:rPr>
        <w:t xml:space="preserve"> </w:t>
      </w:r>
      <w:r>
        <w:rPr>
          <w:color w:val="803108"/>
          <w:sz w:val="16"/>
        </w:rPr>
        <w:t>de</w:t>
      </w:r>
      <w:r>
        <w:rPr>
          <w:color w:val="803108"/>
          <w:spacing w:val="17"/>
          <w:sz w:val="16"/>
        </w:rPr>
        <w:t xml:space="preserve"> </w:t>
      </w:r>
      <w:r>
        <w:rPr>
          <w:color w:val="803108"/>
          <w:sz w:val="16"/>
        </w:rPr>
        <w:t>discriminación,</w:t>
      </w:r>
      <w:r>
        <w:rPr>
          <w:color w:val="803108"/>
          <w:spacing w:val="20"/>
          <w:sz w:val="16"/>
        </w:rPr>
        <w:t xml:space="preserve"> </w:t>
      </w:r>
      <w:r>
        <w:rPr>
          <w:color w:val="803108"/>
          <w:sz w:val="16"/>
        </w:rPr>
        <w:t>así</w:t>
      </w:r>
      <w:r>
        <w:rPr>
          <w:color w:val="803108"/>
          <w:spacing w:val="19"/>
          <w:sz w:val="16"/>
        </w:rPr>
        <w:t xml:space="preserve"> </w:t>
      </w:r>
      <w:r>
        <w:rPr>
          <w:color w:val="803108"/>
          <w:sz w:val="16"/>
        </w:rPr>
        <w:t>como</w:t>
      </w:r>
      <w:r>
        <w:rPr>
          <w:color w:val="803108"/>
          <w:spacing w:val="17"/>
          <w:sz w:val="16"/>
        </w:rPr>
        <w:t xml:space="preserve"> </w:t>
      </w:r>
      <w:r>
        <w:rPr>
          <w:color w:val="803108"/>
          <w:sz w:val="16"/>
        </w:rPr>
        <w:t>de</w:t>
      </w:r>
      <w:r>
        <w:rPr>
          <w:color w:val="803108"/>
          <w:spacing w:val="17"/>
          <w:sz w:val="16"/>
        </w:rPr>
        <w:t xml:space="preserve"> </w:t>
      </w:r>
      <w:r>
        <w:rPr>
          <w:color w:val="803108"/>
          <w:sz w:val="16"/>
        </w:rPr>
        <w:t>exposición</w:t>
      </w:r>
      <w:r>
        <w:rPr>
          <w:color w:val="803108"/>
          <w:spacing w:val="19"/>
          <w:sz w:val="16"/>
        </w:rPr>
        <w:t xml:space="preserve"> </w:t>
      </w:r>
      <w:r>
        <w:rPr>
          <w:color w:val="803108"/>
          <w:sz w:val="16"/>
        </w:rPr>
        <w:t>a</w:t>
      </w:r>
      <w:r>
        <w:rPr>
          <w:color w:val="803108"/>
          <w:spacing w:val="17"/>
          <w:sz w:val="16"/>
        </w:rPr>
        <w:t xml:space="preserve"> </w:t>
      </w:r>
      <w:r>
        <w:rPr>
          <w:color w:val="803108"/>
          <w:sz w:val="16"/>
        </w:rPr>
        <w:t>la</w:t>
      </w:r>
      <w:r>
        <w:rPr>
          <w:color w:val="803108"/>
          <w:spacing w:val="17"/>
          <w:sz w:val="16"/>
        </w:rPr>
        <w:t xml:space="preserve"> </w:t>
      </w:r>
      <w:r>
        <w:rPr>
          <w:color w:val="803108"/>
          <w:sz w:val="16"/>
        </w:rPr>
        <w:t>violencia.</w:t>
      </w:r>
      <w:r>
        <w:rPr>
          <w:color w:val="803108"/>
          <w:spacing w:val="19"/>
          <w:sz w:val="16"/>
        </w:rPr>
        <w:t xml:space="preserve"> </w:t>
      </w:r>
      <w:r>
        <w:rPr>
          <w:color w:val="803108"/>
          <w:sz w:val="16"/>
        </w:rPr>
        <w:t>Dada</w:t>
      </w:r>
      <w:r>
        <w:rPr>
          <w:color w:val="803108"/>
          <w:spacing w:val="17"/>
          <w:sz w:val="16"/>
        </w:rPr>
        <w:t xml:space="preserve"> </w:t>
      </w:r>
      <w:r>
        <w:rPr>
          <w:color w:val="803108"/>
          <w:sz w:val="16"/>
        </w:rPr>
        <w:t>la</w:t>
      </w:r>
      <w:r>
        <w:rPr>
          <w:color w:val="803108"/>
          <w:spacing w:val="17"/>
          <w:sz w:val="16"/>
        </w:rPr>
        <w:t xml:space="preserve"> </w:t>
      </w:r>
      <w:r>
        <w:rPr>
          <w:color w:val="803108"/>
          <w:sz w:val="16"/>
        </w:rPr>
        <w:t>situación, los Estados deberían ser conscientes de cómo las restricciones al uso del velo pueden estigmatizar aún más a las mujeres musulmanas e impedirles buscar reparación. Además, algunas narrativas en torno a los debates sobre el</w:t>
      </w:r>
    </w:p>
    <w:p w14:paraId="430D0AF7" w14:textId="77777777" w:rsidR="0014798C" w:rsidRDefault="004E1F0B">
      <w:pPr>
        <w:pStyle w:val="Textoindependiente"/>
        <w:spacing w:before="1" w:line="271" w:lineRule="auto"/>
        <w:ind w:left="1675" w:right="2004" w:firstLine="1"/>
      </w:pPr>
      <w:r>
        <w:rPr>
          <w:color w:val="803108"/>
        </w:rPr>
        <w:t xml:space="preserve">uso del velo pueden perpetuar percepciones estereotipadas y sesgadas sobre la fe musulmana y el papel de la </w:t>
      </w:r>
      <w:r>
        <w:rPr>
          <w:color w:val="803108"/>
          <w:spacing w:val="-2"/>
        </w:rPr>
        <w:t>mujer.1012</w:t>
      </w:r>
    </w:p>
    <w:p w14:paraId="666A8929" w14:textId="77777777" w:rsidR="0014798C" w:rsidRDefault="0014798C">
      <w:pPr>
        <w:pStyle w:val="Textoindependiente"/>
        <w:spacing w:before="13"/>
      </w:pPr>
    </w:p>
    <w:p w14:paraId="201CC529" w14:textId="77777777" w:rsidR="0014798C" w:rsidRDefault="004E1F0B">
      <w:pPr>
        <w:pStyle w:val="Textoindependiente"/>
        <w:spacing w:line="326" w:lineRule="auto"/>
        <w:ind w:left="1107" w:right="1272" w:firstLine="7"/>
      </w:pPr>
      <w:r>
        <w:t>Surgen dudas sobre si la aceptación de cubrir todo el cuerpo es consistente con la obligación positiva de los Estados bajo la Convención sobre la Eliminación de Todas las Formas de Discriminación contra la Mujer de poner fin a las prácticas tradicionales que</w:t>
      </w:r>
      <w:r>
        <w:rPr>
          <w:spacing w:val="13"/>
        </w:rPr>
        <w:t xml:space="preserve"> </w:t>
      </w:r>
      <w:r>
        <w:t>conducen</w:t>
      </w:r>
      <w:r>
        <w:rPr>
          <w:spacing w:val="13"/>
        </w:rPr>
        <w:t xml:space="preserve"> </w:t>
      </w:r>
      <w:r>
        <w:t>a</w:t>
      </w:r>
      <w:r>
        <w:rPr>
          <w:spacing w:val="13"/>
        </w:rPr>
        <w:t xml:space="preserve"> </w:t>
      </w:r>
      <w:r>
        <w:t>la</w:t>
      </w:r>
      <w:r>
        <w:rPr>
          <w:spacing w:val="13"/>
        </w:rPr>
        <w:t xml:space="preserve"> </w:t>
      </w:r>
      <w:r>
        <w:t>subordinación</w:t>
      </w:r>
      <w:r>
        <w:rPr>
          <w:spacing w:val="15"/>
        </w:rPr>
        <w:t xml:space="preserve"> </w:t>
      </w:r>
      <w:r>
        <w:t>de</w:t>
      </w:r>
      <w:r>
        <w:rPr>
          <w:spacing w:val="13"/>
        </w:rPr>
        <w:t xml:space="preserve"> </w:t>
      </w:r>
      <w:r>
        <w:t>las</w:t>
      </w:r>
      <w:r>
        <w:rPr>
          <w:spacing w:val="13"/>
        </w:rPr>
        <w:t xml:space="preserve"> </w:t>
      </w:r>
      <w:r>
        <w:t>mujeres.1013</w:t>
      </w:r>
      <w:r>
        <w:rPr>
          <w:spacing w:val="13"/>
        </w:rPr>
        <w:t xml:space="preserve"> </w:t>
      </w:r>
      <w:r>
        <w:t>Así,</w:t>
      </w:r>
      <w:r>
        <w:rPr>
          <w:spacing w:val="13"/>
        </w:rPr>
        <w:t xml:space="preserve"> </w:t>
      </w:r>
      <w:r>
        <w:t>por</w:t>
      </w:r>
      <w:r>
        <w:rPr>
          <w:spacing w:val="13"/>
        </w:rPr>
        <w:t xml:space="preserve"> </w:t>
      </w:r>
      <w:r>
        <w:t>ejemplo,</w:t>
      </w:r>
      <w:r>
        <w:rPr>
          <w:spacing w:val="15"/>
        </w:rPr>
        <w:t xml:space="preserve"> </w:t>
      </w:r>
      <w:r>
        <w:t>el</w:t>
      </w:r>
      <w:r>
        <w:rPr>
          <w:spacing w:val="13"/>
        </w:rPr>
        <w:t xml:space="preserve"> </w:t>
      </w:r>
      <w:r>
        <w:t>Relator</w:t>
      </w:r>
      <w:r>
        <w:rPr>
          <w:spacing w:val="13"/>
        </w:rPr>
        <w:t xml:space="preserve"> </w:t>
      </w:r>
      <w:r>
        <w:t>Especial</w:t>
      </w:r>
      <w:r>
        <w:rPr>
          <w:spacing w:val="13"/>
        </w:rPr>
        <w:t xml:space="preserve"> </w:t>
      </w:r>
      <w:r>
        <w:t>sobre</w:t>
      </w:r>
      <w:r>
        <w:rPr>
          <w:spacing w:val="13"/>
        </w:rPr>
        <w:t xml:space="preserve"> </w:t>
      </w:r>
      <w:r>
        <w:t>libertad</w:t>
      </w:r>
      <w:r>
        <w:rPr>
          <w:spacing w:val="13"/>
        </w:rPr>
        <w:t xml:space="preserve"> </w:t>
      </w:r>
      <w:r>
        <w:t>de</w:t>
      </w:r>
      <w:r>
        <w:rPr>
          <w:spacing w:val="13"/>
        </w:rPr>
        <w:t xml:space="preserve"> </w:t>
      </w:r>
      <w:r>
        <w:t>religión</w:t>
      </w:r>
      <w:r>
        <w:rPr>
          <w:spacing w:val="13"/>
        </w:rPr>
        <w:t xml:space="preserve"> </w:t>
      </w:r>
      <w:r>
        <w:t>o</w:t>
      </w:r>
      <w:r>
        <w:rPr>
          <w:spacing w:val="13"/>
        </w:rPr>
        <w:t xml:space="preserve"> </w:t>
      </w:r>
      <w:r>
        <w:t>de creencias ha señalado que: “Se debe prestar especial atención a la protección de los derechos de las mujeres, en particular en</w:t>
      </w:r>
    </w:p>
    <w:p w14:paraId="0AC47284" w14:textId="77777777" w:rsidR="0014798C" w:rsidRDefault="004E1F0B">
      <w:pPr>
        <w:pStyle w:val="Textoindependiente"/>
        <w:spacing w:line="271" w:lineRule="auto"/>
        <w:ind w:left="1107" w:right="1463" w:firstLine="1"/>
      </w:pPr>
      <w:r>
        <w:t xml:space="preserve">el contexto del uso del velo completo de la cabeza a los pies”. 1014 Han surgido preguntas similares sobre el velo que cubre todo el </w:t>
      </w:r>
      <w:proofErr w:type="gramStart"/>
      <w:r>
        <w:t>rostro .</w:t>
      </w:r>
      <w:proofErr w:type="gramEnd"/>
      <w:r>
        <w:t xml:space="preserve"> .1015</w:t>
      </w:r>
    </w:p>
    <w:p w14:paraId="2D69E368" w14:textId="77777777" w:rsidR="0014798C" w:rsidRDefault="0014798C">
      <w:pPr>
        <w:pStyle w:val="Textoindependiente"/>
        <w:spacing w:before="67"/>
      </w:pPr>
    </w:p>
    <w:p w14:paraId="5245E220" w14:textId="77777777" w:rsidR="0014798C" w:rsidRDefault="004E1F0B">
      <w:pPr>
        <w:pStyle w:val="Textoindependiente"/>
        <w:spacing w:before="1" w:line="326" w:lineRule="auto"/>
        <w:ind w:left="1107" w:right="1463" w:firstLine="5"/>
      </w:pPr>
      <w:r>
        <w:t>Los sucesivos Relatores Especiales sobre la libertad de religión o de creencias han subrayado la importancia de salvaguardar tanto la libertad positiva de exhibir voluntariamente símbolos religiosos como la libertad negativa de ser obligado a exhibir símbolos religiosos. Así, por ejemplo, el Relator Especial señaló que un lado “negativo” de la libertad de religión o de creencias</w:t>
      </w:r>
      <w:r>
        <w:rPr>
          <w:spacing w:val="40"/>
        </w:rPr>
        <w:t xml:space="preserve"> </w:t>
      </w:r>
      <w:r>
        <w:t xml:space="preserve">–el derecho a no ser presionado, especialmente por el Estado o en las instituciones estatales, para participar en prácticas religiosas– “no significa un derecho estar libre de toda confrontación con símbolos religiosos u otras manifestaciones de fe o práctica religiosa en el dominio público”. Semejante enfoque </w:t>
      </w:r>
      <w:proofErr w:type="gramStart"/>
      <w:r>
        <w:t>“ claramente</w:t>
      </w:r>
      <w:proofErr w:type="gramEnd"/>
      <w:r>
        <w:t xml:space="preserve"> iría en contra del derecho humano a manifestar públicamente la propia religión o creencias, ya sea individualmente o en comunidad con otros”.1016 Más bien, “el propósito del lado 'negativo' de la libertad de religión o de creencias es hacer que asegurarse de que nadie esté expuesto a presión alguna, especialmente por parte del Estado, para confesar o practicar una religión o creencia contra las propias convicciones”.1017</w:t>
      </w:r>
    </w:p>
    <w:p w14:paraId="5E00BB31" w14:textId="77777777" w:rsidR="0014798C" w:rsidRDefault="0014798C">
      <w:pPr>
        <w:pStyle w:val="Textoindependiente"/>
        <w:rPr>
          <w:sz w:val="17"/>
        </w:rPr>
      </w:pPr>
    </w:p>
    <w:p w14:paraId="5D1A3146" w14:textId="77777777" w:rsidR="0014798C" w:rsidRDefault="0014798C">
      <w:pPr>
        <w:pStyle w:val="Textoindependiente"/>
        <w:spacing w:before="134"/>
        <w:rPr>
          <w:sz w:val="17"/>
        </w:rPr>
      </w:pPr>
    </w:p>
    <w:p w14:paraId="50E1288A" w14:textId="77777777" w:rsidR="0014798C" w:rsidRDefault="004E1F0B">
      <w:pPr>
        <w:pStyle w:val="Prrafodelista"/>
        <w:numPr>
          <w:ilvl w:val="0"/>
          <w:numId w:val="19"/>
        </w:numPr>
        <w:tabs>
          <w:tab w:val="left" w:pos="1310"/>
        </w:tabs>
        <w:ind w:left="1310" w:hanging="195"/>
        <w:rPr>
          <w:color w:val="803108"/>
          <w:sz w:val="17"/>
        </w:rPr>
      </w:pPr>
      <w:r>
        <w:rPr>
          <w:color w:val="803108"/>
          <w:w w:val="105"/>
          <w:sz w:val="17"/>
        </w:rPr>
        <w:t>Comunidades</w:t>
      </w:r>
      <w:r>
        <w:rPr>
          <w:color w:val="803108"/>
          <w:spacing w:val="-8"/>
          <w:w w:val="105"/>
          <w:sz w:val="17"/>
        </w:rPr>
        <w:t xml:space="preserve"> </w:t>
      </w:r>
      <w:r>
        <w:rPr>
          <w:color w:val="803108"/>
          <w:w w:val="105"/>
          <w:sz w:val="17"/>
        </w:rPr>
        <w:t>religiosas</w:t>
      </w:r>
      <w:r>
        <w:rPr>
          <w:color w:val="803108"/>
          <w:spacing w:val="-7"/>
          <w:w w:val="105"/>
          <w:sz w:val="17"/>
        </w:rPr>
        <w:t xml:space="preserve"> </w:t>
      </w:r>
      <w:r>
        <w:rPr>
          <w:color w:val="803108"/>
          <w:w w:val="105"/>
          <w:sz w:val="17"/>
        </w:rPr>
        <w:t>o</w:t>
      </w:r>
      <w:r>
        <w:rPr>
          <w:color w:val="803108"/>
          <w:spacing w:val="-7"/>
          <w:w w:val="105"/>
          <w:sz w:val="17"/>
        </w:rPr>
        <w:t xml:space="preserve"> </w:t>
      </w:r>
      <w:r>
        <w:rPr>
          <w:color w:val="803108"/>
          <w:w w:val="105"/>
          <w:sz w:val="17"/>
        </w:rPr>
        <w:t>de</w:t>
      </w:r>
      <w:r>
        <w:rPr>
          <w:color w:val="803108"/>
          <w:spacing w:val="-7"/>
          <w:w w:val="105"/>
          <w:sz w:val="17"/>
        </w:rPr>
        <w:t xml:space="preserve"> </w:t>
      </w:r>
      <w:r>
        <w:rPr>
          <w:color w:val="803108"/>
          <w:w w:val="105"/>
          <w:sz w:val="17"/>
        </w:rPr>
        <w:t>creencias</w:t>
      </w:r>
      <w:r>
        <w:rPr>
          <w:color w:val="803108"/>
          <w:spacing w:val="-7"/>
          <w:w w:val="105"/>
          <w:sz w:val="17"/>
        </w:rPr>
        <w:t xml:space="preserve"> </w:t>
      </w:r>
      <w:r>
        <w:rPr>
          <w:color w:val="803108"/>
          <w:w w:val="105"/>
          <w:sz w:val="17"/>
        </w:rPr>
        <w:t>como</w:t>
      </w:r>
      <w:r>
        <w:rPr>
          <w:color w:val="803108"/>
          <w:spacing w:val="-6"/>
          <w:w w:val="105"/>
          <w:sz w:val="17"/>
        </w:rPr>
        <w:t xml:space="preserve"> </w:t>
      </w:r>
      <w:r>
        <w:rPr>
          <w:color w:val="803108"/>
          <w:w w:val="105"/>
          <w:sz w:val="17"/>
        </w:rPr>
        <w:t>garantes</w:t>
      </w:r>
      <w:r>
        <w:rPr>
          <w:color w:val="803108"/>
          <w:spacing w:val="-7"/>
          <w:w w:val="105"/>
          <w:sz w:val="17"/>
        </w:rPr>
        <w:t xml:space="preserve"> </w:t>
      </w:r>
      <w:r>
        <w:rPr>
          <w:color w:val="803108"/>
          <w:w w:val="105"/>
          <w:sz w:val="17"/>
        </w:rPr>
        <w:t>de</w:t>
      </w:r>
      <w:r>
        <w:rPr>
          <w:color w:val="803108"/>
          <w:spacing w:val="-7"/>
          <w:w w:val="105"/>
          <w:sz w:val="17"/>
        </w:rPr>
        <w:t xml:space="preserve"> </w:t>
      </w:r>
      <w:r>
        <w:rPr>
          <w:color w:val="803108"/>
          <w:spacing w:val="-2"/>
          <w:w w:val="105"/>
          <w:sz w:val="17"/>
        </w:rPr>
        <w:t>deberes</w:t>
      </w:r>
    </w:p>
    <w:p w14:paraId="68DD155D" w14:textId="77777777" w:rsidR="0014798C" w:rsidRDefault="0014798C">
      <w:pPr>
        <w:pStyle w:val="Textoindependiente"/>
        <w:spacing w:before="93"/>
      </w:pPr>
    </w:p>
    <w:p w14:paraId="04898BD2" w14:textId="77777777" w:rsidR="0014798C" w:rsidRDefault="004E1F0B">
      <w:pPr>
        <w:pStyle w:val="Textoindependiente"/>
        <w:spacing w:line="326" w:lineRule="auto"/>
        <w:ind w:left="1108" w:right="1553" w:hanging="2"/>
      </w:pPr>
      <w:r>
        <w:t>Otro ámbito explorado en la jurisprudencia ha sido la cuestión de si las comunidades religiosas o de creencias pueden diferenciarse en función de la religión o las creencias cuando actúan en el papel de empleadores o proveedores de vivienda o atención médica. En el ámbito laboral, se establece que las comunidades religiosas o de creencias o instituciones afiliadas a ellas sólo podrán contratar preferentemente correligionarios para cargos con contenido doctrinal o dogmático explícito. No</w:t>
      </w:r>
      <w:r>
        <w:rPr>
          <w:spacing w:val="80"/>
        </w:rPr>
        <w:t xml:space="preserve"> </w:t>
      </w:r>
      <w:r>
        <w:t>puede haber discriminación por cargos que carezcan de contenido religioso o doctrinal.</w:t>
      </w:r>
    </w:p>
    <w:p w14:paraId="2BC5B482" w14:textId="77777777" w:rsidR="0014798C" w:rsidRDefault="0014798C">
      <w:pPr>
        <w:pStyle w:val="Textoindependiente"/>
      </w:pPr>
    </w:p>
    <w:p w14:paraId="5AAAA210" w14:textId="77777777" w:rsidR="0014798C" w:rsidRDefault="0014798C">
      <w:pPr>
        <w:pStyle w:val="Textoindependiente"/>
        <w:spacing w:before="99"/>
      </w:pPr>
    </w:p>
    <w:p w14:paraId="5F181A8D" w14:textId="77777777" w:rsidR="0014798C" w:rsidRDefault="004E1F0B">
      <w:pPr>
        <w:pStyle w:val="Textoindependiente"/>
        <w:spacing w:line="326" w:lineRule="auto"/>
        <w:ind w:left="1350" w:right="2004" w:hanging="16"/>
      </w:pPr>
      <w:r>
        <w:rPr>
          <w:noProof/>
        </w:rPr>
        <w:drawing>
          <wp:anchor distT="0" distB="0" distL="0" distR="0" simplePos="0" relativeHeight="251658466" behindDoc="1" locked="0" layoutInCell="1" allowOverlap="1" wp14:anchorId="4AD04B86" wp14:editId="33EE3B28">
            <wp:simplePos x="0" y="0"/>
            <wp:positionH relativeFrom="page">
              <wp:posOffset>817647</wp:posOffset>
            </wp:positionH>
            <wp:positionV relativeFrom="paragraph">
              <wp:posOffset>-161143</wp:posOffset>
            </wp:positionV>
            <wp:extent cx="5939175" cy="2197249"/>
            <wp:effectExtent l="0" t="0" r="0" b="0"/>
            <wp:wrapNone/>
            <wp:docPr id="299" name="Image 29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99" name="Image 299"/>
                    <pic:cNvPicPr/>
                  </pic:nvPicPr>
                  <pic:blipFill>
                    <a:blip r:embed="rId282" cstate="print"/>
                    <a:stretch>
                      <a:fillRect/>
                    </a:stretch>
                  </pic:blipFill>
                  <pic:spPr>
                    <a:xfrm>
                      <a:off x="0" y="0"/>
                      <a:ext cx="5939175" cy="2197249"/>
                    </a:xfrm>
                    <a:prstGeom prst="rect">
                      <a:avLst/>
                    </a:prstGeom>
                  </pic:spPr>
                </pic:pic>
              </a:graphicData>
            </a:graphic>
          </wp:anchor>
        </w:drawing>
      </w:r>
      <w:r>
        <w:t>ACLARANDO LOS LÍMITES DE LA AUTONOMÍA RELIGIOSA: EGENBERGER V. EVANGELISCHES WERK FÜR DIAKONIE UND ENTWICKLUNG EV</w:t>
      </w:r>
    </w:p>
    <w:p w14:paraId="3ABF6BCA" w14:textId="77777777" w:rsidR="0014798C" w:rsidRDefault="004E1F0B">
      <w:pPr>
        <w:pStyle w:val="Textoindependiente"/>
        <w:spacing w:before="153" w:line="326" w:lineRule="auto"/>
        <w:ind w:left="1334" w:right="1590" w:hanging="2"/>
      </w:pPr>
      <w:r>
        <w:t>La</w:t>
      </w:r>
      <w:r>
        <w:rPr>
          <w:spacing w:val="19"/>
        </w:rPr>
        <w:t xml:space="preserve"> </w:t>
      </w:r>
      <w:r>
        <w:t>cuestión</w:t>
      </w:r>
      <w:r>
        <w:rPr>
          <w:spacing w:val="19"/>
        </w:rPr>
        <w:t xml:space="preserve"> </w:t>
      </w:r>
      <w:r>
        <w:t>de</w:t>
      </w:r>
      <w:r>
        <w:rPr>
          <w:spacing w:val="19"/>
        </w:rPr>
        <w:t xml:space="preserve"> </w:t>
      </w:r>
      <w:r>
        <w:t>si</w:t>
      </w:r>
      <w:r>
        <w:rPr>
          <w:spacing w:val="19"/>
        </w:rPr>
        <w:t xml:space="preserve"> </w:t>
      </w:r>
      <w:r>
        <w:t>las</w:t>
      </w:r>
      <w:r>
        <w:rPr>
          <w:spacing w:val="19"/>
        </w:rPr>
        <w:t xml:space="preserve"> </w:t>
      </w:r>
      <w:r>
        <w:t>organizaciones</w:t>
      </w:r>
      <w:r>
        <w:rPr>
          <w:spacing w:val="19"/>
        </w:rPr>
        <w:t xml:space="preserve"> </w:t>
      </w:r>
      <w:r>
        <w:t>religiosas</w:t>
      </w:r>
      <w:r>
        <w:rPr>
          <w:spacing w:val="19"/>
        </w:rPr>
        <w:t xml:space="preserve"> </w:t>
      </w:r>
      <w:r>
        <w:t>pueden</w:t>
      </w:r>
      <w:r>
        <w:rPr>
          <w:spacing w:val="19"/>
        </w:rPr>
        <w:t xml:space="preserve"> </w:t>
      </w:r>
      <w:r>
        <w:t>contratar</w:t>
      </w:r>
      <w:r>
        <w:rPr>
          <w:spacing w:val="19"/>
        </w:rPr>
        <w:t xml:space="preserve"> </w:t>
      </w:r>
      <w:r>
        <w:t>únicamente</w:t>
      </w:r>
      <w:r>
        <w:rPr>
          <w:spacing w:val="19"/>
        </w:rPr>
        <w:t xml:space="preserve"> </w:t>
      </w:r>
      <w:r>
        <w:t>a</w:t>
      </w:r>
      <w:r>
        <w:rPr>
          <w:spacing w:val="19"/>
        </w:rPr>
        <w:t xml:space="preserve"> </w:t>
      </w:r>
      <w:r>
        <w:t>correligionarios</w:t>
      </w:r>
      <w:r>
        <w:rPr>
          <w:spacing w:val="19"/>
        </w:rPr>
        <w:t xml:space="preserve"> </w:t>
      </w:r>
      <w:r>
        <w:t>ha</w:t>
      </w:r>
      <w:r>
        <w:rPr>
          <w:spacing w:val="19"/>
        </w:rPr>
        <w:t xml:space="preserve"> </w:t>
      </w:r>
      <w:r>
        <w:t>sido</w:t>
      </w:r>
      <w:r>
        <w:rPr>
          <w:spacing w:val="19"/>
        </w:rPr>
        <w:t xml:space="preserve"> </w:t>
      </w:r>
      <w:r>
        <w:t>objeto</w:t>
      </w:r>
      <w:r>
        <w:rPr>
          <w:spacing w:val="19"/>
        </w:rPr>
        <w:t xml:space="preserve"> </w:t>
      </w:r>
      <w:r>
        <w:t>de numerosos litigios en Alemania. Alemania cuenta con una serie de grandes organizaciones benéficas que constituyen un segmento importante de la fuerza laboral, muchas de las cuales disfrutan de una importante financiación estatal. Los trabajos en estas organizaciones suelen tener un contenido religioso mínimo o nulo. En 2018, llegó al Tribunal de Justicia</w:t>
      </w:r>
      <w:r>
        <w:rPr>
          <w:spacing w:val="40"/>
        </w:rPr>
        <w:t xml:space="preserve"> </w:t>
      </w:r>
      <w:r>
        <w:t>de</w:t>
      </w:r>
      <w:r>
        <w:rPr>
          <w:spacing w:val="16"/>
        </w:rPr>
        <w:t xml:space="preserve"> </w:t>
      </w:r>
      <w:r>
        <w:t>la</w:t>
      </w:r>
      <w:r>
        <w:rPr>
          <w:spacing w:val="16"/>
        </w:rPr>
        <w:t xml:space="preserve"> </w:t>
      </w:r>
      <w:r>
        <w:t>Unión</w:t>
      </w:r>
      <w:r>
        <w:rPr>
          <w:spacing w:val="16"/>
        </w:rPr>
        <w:t xml:space="preserve"> </w:t>
      </w:r>
      <w:r>
        <w:t>Europea</w:t>
      </w:r>
      <w:r>
        <w:rPr>
          <w:spacing w:val="16"/>
        </w:rPr>
        <w:t xml:space="preserve"> </w:t>
      </w:r>
      <w:r>
        <w:t>una</w:t>
      </w:r>
      <w:r>
        <w:rPr>
          <w:spacing w:val="16"/>
        </w:rPr>
        <w:t xml:space="preserve"> </w:t>
      </w:r>
      <w:r>
        <w:t>impugnación</w:t>
      </w:r>
      <w:r>
        <w:rPr>
          <w:spacing w:val="16"/>
        </w:rPr>
        <w:t xml:space="preserve"> </w:t>
      </w:r>
      <w:r>
        <w:t>judicial</w:t>
      </w:r>
      <w:r>
        <w:rPr>
          <w:spacing w:val="16"/>
        </w:rPr>
        <w:t xml:space="preserve"> </w:t>
      </w:r>
      <w:r>
        <w:t>contra</w:t>
      </w:r>
      <w:r>
        <w:rPr>
          <w:spacing w:val="16"/>
        </w:rPr>
        <w:t xml:space="preserve"> </w:t>
      </w:r>
      <w:r>
        <w:t>la</w:t>
      </w:r>
      <w:r>
        <w:rPr>
          <w:spacing w:val="16"/>
        </w:rPr>
        <w:t xml:space="preserve"> </w:t>
      </w:r>
      <w:r>
        <w:t>práctica</w:t>
      </w:r>
      <w:r>
        <w:rPr>
          <w:spacing w:val="16"/>
        </w:rPr>
        <w:t xml:space="preserve"> </w:t>
      </w:r>
      <w:r>
        <w:t>de</w:t>
      </w:r>
      <w:r>
        <w:rPr>
          <w:spacing w:val="16"/>
        </w:rPr>
        <w:t xml:space="preserve"> </w:t>
      </w:r>
      <w:r>
        <w:t>estas</w:t>
      </w:r>
      <w:r>
        <w:rPr>
          <w:spacing w:val="16"/>
        </w:rPr>
        <w:t xml:space="preserve"> </w:t>
      </w:r>
      <w:r>
        <w:t>organizaciones</w:t>
      </w:r>
      <w:r>
        <w:rPr>
          <w:spacing w:val="16"/>
        </w:rPr>
        <w:t xml:space="preserve"> </w:t>
      </w:r>
      <w:r>
        <w:t>de</w:t>
      </w:r>
      <w:r>
        <w:rPr>
          <w:spacing w:val="16"/>
        </w:rPr>
        <w:t xml:space="preserve"> </w:t>
      </w:r>
      <w:r>
        <w:t>negarse</w:t>
      </w:r>
      <w:r>
        <w:rPr>
          <w:spacing w:val="16"/>
        </w:rPr>
        <w:t xml:space="preserve"> </w:t>
      </w:r>
      <w:r>
        <w:t>a</w:t>
      </w:r>
      <w:r>
        <w:rPr>
          <w:spacing w:val="16"/>
        </w:rPr>
        <w:t xml:space="preserve"> </w:t>
      </w:r>
      <w:r>
        <w:t>contratar</w:t>
      </w:r>
      <w:r>
        <w:rPr>
          <w:spacing w:val="16"/>
        </w:rPr>
        <w:t xml:space="preserve"> </w:t>
      </w:r>
      <w:r>
        <w:t xml:space="preserve">a personas que no sean </w:t>
      </w:r>
      <w:proofErr w:type="spellStart"/>
      <w:r>
        <w:t>co-creyentes</w:t>
      </w:r>
      <w:proofErr w:type="spellEnd"/>
      <w:r>
        <w:t>.</w:t>
      </w:r>
    </w:p>
    <w:p w14:paraId="5C96F2AE" w14:textId="77777777" w:rsidR="0014798C" w:rsidRDefault="004E1F0B">
      <w:pPr>
        <w:spacing w:before="77"/>
        <w:ind w:left="1332"/>
        <w:rPr>
          <w:sz w:val="18"/>
        </w:rPr>
      </w:pPr>
      <w:r>
        <w:rPr>
          <w:w w:val="105"/>
          <w:sz w:val="18"/>
        </w:rPr>
        <w:t>En</w:t>
      </w:r>
      <w:r>
        <w:rPr>
          <w:spacing w:val="-9"/>
          <w:w w:val="105"/>
          <w:sz w:val="18"/>
        </w:rPr>
        <w:t xml:space="preserve"> </w:t>
      </w:r>
      <w:r>
        <w:rPr>
          <w:w w:val="105"/>
          <w:sz w:val="18"/>
        </w:rPr>
        <w:t>2012,</w:t>
      </w:r>
      <w:r>
        <w:rPr>
          <w:spacing w:val="-8"/>
          <w:w w:val="105"/>
          <w:sz w:val="18"/>
        </w:rPr>
        <w:t xml:space="preserve"> </w:t>
      </w:r>
      <w:r>
        <w:rPr>
          <w:w w:val="105"/>
          <w:sz w:val="18"/>
        </w:rPr>
        <w:t>Vera</w:t>
      </w:r>
      <w:r>
        <w:rPr>
          <w:spacing w:val="-9"/>
          <w:w w:val="105"/>
          <w:sz w:val="18"/>
        </w:rPr>
        <w:t xml:space="preserve"> </w:t>
      </w:r>
      <w:proofErr w:type="spellStart"/>
      <w:r>
        <w:rPr>
          <w:w w:val="105"/>
          <w:sz w:val="18"/>
        </w:rPr>
        <w:t>Egenberger</w:t>
      </w:r>
      <w:proofErr w:type="spellEnd"/>
      <w:r>
        <w:rPr>
          <w:spacing w:val="-9"/>
          <w:w w:val="105"/>
          <w:sz w:val="18"/>
        </w:rPr>
        <w:t xml:space="preserve"> </w:t>
      </w:r>
      <w:r>
        <w:rPr>
          <w:w w:val="105"/>
          <w:sz w:val="18"/>
        </w:rPr>
        <w:t>solicitó</w:t>
      </w:r>
      <w:r>
        <w:rPr>
          <w:spacing w:val="-9"/>
          <w:w w:val="105"/>
          <w:sz w:val="18"/>
        </w:rPr>
        <w:t xml:space="preserve"> </w:t>
      </w:r>
      <w:r>
        <w:rPr>
          <w:w w:val="105"/>
          <w:sz w:val="18"/>
        </w:rPr>
        <w:t>un</w:t>
      </w:r>
      <w:r>
        <w:rPr>
          <w:spacing w:val="-8"/>
          <w:w w:val="105"/>
          <w:sz w:val="18"/>
        </w:rPr>
        <w:t xml:space="preserve"> </w:t>
      </w:r>
      <w:r>
        <w:rPr>
          <w:w w:val="105"/>
          <w:sz w:val="18"/>
        </w:rPr>
        <w:t>puesto</w:t>
      </w:r>
      <w:r>
        <w:rPr>
          <w:spacing w:val="-9"/>
          <w:w w:val="105"/>
          <w:sz w:val="18"/>
        </w:rPr>
        <w:t xml:space="preserve"> </w:t>
      </w:r>
      <w:r>
        <w:rPr>
          <w:w w:val="105"/>
          <w:sz w:val="18"/>
        </w:rPr>
        <w:t>de</w:t>
      </w:r>
      <w:r>
        <w:rPr>
          <w:spacing w:val="-8"/>
          <w:w w:val="105"/>
          <w:sz w:val="18"/>
        </w:rPr>
        <w:t xml:space="preserve"> </w:t>
      </w:r>
      <w:r>
        <w:rPr>
          <w:w w:val="105"/>
          <w:sz w:val="18"/>
        </w:rPr>
        <w:t>trabajo</w:t>
      </w:r>
      <w:r>
        <w:rPr>
          <w:spacing w:val="-8"/>
          <w:w w:val="105"/>
          <w:sz w:val="18"/>
        </w:rPr>
        <w:t xml:space="preserve"> </w:t>
      </w:r>
      <w:r>
        <w:rPr>
          <w:w w:val="105"/>
          <w:sz w:val="18"/>
        </w:rPr>
        <w:t>en</w:t>
      </w:r>
      <w:r>
        <w:rPr>
          <w:spacing w:val="-8"/>
          <w:w w:val="105"/>
          <w:sz w:val="18"/>
        </w:rPr>
        <w:t xml:space="preserve"> </w:t>
      </w:r>
      <w:proofErr w:type="spellStart"/>
      <w:r>
        <w:rPr>
          <w:w w:val="105"/>
          <w:sz w:val="18"/>
        </w:rPr>
        <w:t>Evangelisches</w:t>
      </w:r>
      <w:proofErr w:type="spellEnd"/>
      <w:r>
        <w:rPr>
          <w:spacing w:val="-9"/>
          <w:w w:val="105"/>
          <w:sz w:val="18"/>
        </w:rPr>
        <w:t xml:space="preserve"> </w:t>
      </w:r>
      <w:proofErr w:type="spellStart"/>
      <w:r>
        <w:rPr>
          <w:w w:val="105"/>
          <w:sz w:val="18"/>
        </w:rPr>
        <w:t>Werk</w:t>
      </w:r>
      <w:proofErr w:type="spellEnd"/>
      <w:r>
        <w:rPr>
          <w:spacing w:val="-9"/>
          <w:w w:val="105"/>
          <w:sz w:val="18"/>
        </w:rPr>
        <w:t xml:space="preserve"> </w:t>
      </w:r>
      <w:proofErr w:type="spellStart"/>
      <w:r>
        <w:rPr>
          <w:w w:val="105"/>
          <w:sz w:val="18"/>
        </w:rPr>
        <w:t>für</w:t>
      </w:r>
      <w:proofErr w:type="spellEnd"/>
      <w:r>
        <w:rPr>
          <w:spacing w:val="-9"/>
          <w:w w:val="105"/>
          <w:sz w:val="18"/>
        </w:rPr>
        <w:t xml:space="preserve"> </w:t>
      </w:r>
      <w:proofErr w:type="spellStart"/>
      <w:r>
        <w:rPr>
          <w:w w:val="105"/>
          <w:sz w:val="18"/>
        </w:rPr>
        <w:t>Diakonie</w:t>
      </w:r>
      <w:proofErr w:type="spellEnd"/>
      <w:r>
        <w:rPr>
          <w:spacing w:val="-8"/>
          <w:w w:val="105"/>
          <w:sz w:val="18"/>
        </w:rPr>
        <w:t xml:space="preserve"> </w:t>
      </w:r>
      <w:proofErr w:type="spellStart"/>
      <w:r>
        <w:rPr>
          <w:spacing w:val="-5"/>
          <w:w w:val="105"/>
          <w:sz w:val="18"/>
        </w:rPr>
        <w:t>und</w:t>
      </w:r>
      <w:proofErr w:type="spellEnd"/>
    </w:p>
    <w:p w14:paraId="25E8F64C" w14:textId="77777777" w:rsidR="0014798C" w:rsidRDefault="004E1F0B">
      <w:pPr>
        <w:spacing w:before="42"/>
        <w:ind w:left="1337"/>
        <w:rPr>
          <w:sz w:val="18"/>
        </w:rPr>
      </w:pPr>
      <w:proofErr w:type="spellStart"/>
      <w:r>
        <w:rPr>
          <w:w w:val="105"/>
          <w:sz w:val="18"/>
        </w:rPr>
        <w:t>Entwicklung</w:t>
      </w:r>
      <w:proofErr w:type="spellEnd"/>
      <w:r>
        <w:rPr>
          <w:w w:val="105"/>
          <w:sz w:val="18"/>
        </w:rPr>
        <w:t>,</w:t>
      </w:r>
      <w:r>
        <w:rPr>
          <w:spacing w:val="-14"/>
          <w:w w:val="105"/>
          <w:sz w:val="18"/>
        </w:rPr>
        <w:t xml:space="preserve"> </w:t>
      </w:r>
      <w:r>
        <w:rPr>
          <w:w w:val="105"/>
          <w:sz w:val="18"/>
        </w:rPr>
        <w:t>una</w:t>
      </w:r>
      <w:r>
        <w:rPr>
          <w:spacing w:val="-12"/>
          <w:w w:val="105"/>
          <w:sz w:val="18"/>
        </w:rPr>
        <w:t xml:space="preserve"> </w:t>
      </w:r>
      <w:r>
        <w:rPr>
          <w:w w:val="105"/>
          <w:sz w:val="18"/>
        </w:rPr>
        <w:t>organización</w:t>
      </w:r>
      <w:r>
        <w:rPr>
          <w:spacing w:val="-13"/>
          <w:w w:val="105"/>
          <w:sz w:val="18"/>
        </w:rPr>
        <w:t xml:space="preserve"> </w:t>
      </w:r>
      <w:r>
        <w:rPr>
          <w:w w:val="105"/>
          <w:sz w:val="18"/>
        </w:rPr>
        <w:t>benéfica</w:t>
      </w:r>
      <w:r>
        <w:rPr>
          <w:spacing w:val="-13"/>
          <w:w w:val="105"/>
          <w:sz w:val="18"/>
        </w:rPr>
        <w:t xml:space="preserve"> </w:t>
      </w:r>
      <w:r>
        <w:rPr>
          <w:w w:val="105"/>
          <w:sz w:val="18"/>
        </w:rPr>
        <w:t>de</w:t>
      </w:r>
      <w:r>
        <w:rPr>
          <w:spacing w:val="-13"/>
          <w:w w:val="105"/>
          <w:sz w:val="18"/>
        </w:rPr>
        <w:t xml:space="preserve"> </w:t>
      </w:r>
      <w:r>
        <w:rPr>
          <w:w w:val="105"/>
          <w:sz w:val="18"/>
        </w:rPr>
        <w:t>afiliación</w:t>
      </w:r>
      <w:r>
        <w:rPr>
          <w:spacing w:val="-13"/>
          <w:w w:val="105"/>
          <w:sz w:val="18"/>
        </w:rPr>
        <w:t xml:space="preserve"> </w:t>
      </w:r>
      <w:r>
        <w:rPr>
          <w:w w:val="105"/>
          <w:sz w:val="18"/>
        </w:rPr>
        <w:t>religiosa.</w:t>
      </w:r>
      <w:r>
        <w:rPr>
          <w:spacing w:val="-12"/>
          <w:w w:val="105"/>
          <w:sz w:val="18"/>
        </w:rPr>
        <w:t xml:space="preserve"> </w:t>
      </w:r>
      <w:r>
        <w:rPr>
          <w:w w:val="105"/>
          <w:sz w:val="18"/>
        </w:rPr>
        <w:t>El</w:t>
      </w:r>
      <w:r>
        <w:rPr>
          <w:spacing w:val="-13"/>
          <w:w w:val="105"/>
          <w:sz w:val="18"/>
        </w:rPr>
        <w:t xml:space="preserve"> </w:t>
      </w:r>
      <w:r>
        <w:rPr>
          <w:w w:val="105"/>
          <w:sz w:val="18"/>
        </w:rPr>
        <w:t>trabajo</w:t>
      </w:r>
      <w:r>
        <w:rPr>
          <w:spacing w:val="-13"/>
          <w:w w:val="105"/>
          <w:sz w:val="18"/>
        </w:rPr>
        <w:t xml:space="preserve"> </w:t>
      </w:r>
      <w:r>
        <w:rPr>
          <w:w w:val="105"/>
          <w:sz w:val="18"/>
        </w:rPr>
        <w:t>no</w:t>
      </w:r>
      <w:r>
        <w:rPr>
          <w:spacing w:val="-13"/>
          <w:w w:val="105"/>
          <w:sz w:val="18"/>
        </w:rPr>
        <w:t xml:space="preserve"> </w:t>
      </w:r>
      <w:r>
        <w:rPr>
          <w:w w:val="105"/>
          <w:sz w:val="18"/>
        </w:rPr>
        <w:t>tenía</w:t>
      </w:r>
      <w:r>
        <w:rPr>
          <w:spacing w:val="-13"/>
          <w:w w:val="105"/>
          <w:sz w:val="18"/>
        </w:rPr>
        <w:t xml:space="preserve"> </w:t>
      </w:r>
      <w:r>
        <w:rPr>
          <w:w w:val="105"/>
          <w:sz w:val="18"/>
        </w:rPr>
        <w:t>contenido</w:t>
      </w:r>
      <w:r>
        <w:rPr>
          <w:spacing w:val="-13"/>
          <w:w w:val="105"/>
          <w:sz w:val="18"/>
        </w:rPr>
        <w:t xml:space="preserve"> </w:t>
      </w:r>
      <w:r>
        <w:rPr>
          <w:w w:val="105"/>
          <w:sz w:val="18"/>
        </w:rPr>
        <w:t>doctrinal</w:t>
      </w:r>
      <w:r>
        <w:rPr>
          <w:spacing w:val="-13"/>
          <w:w w:val="105"/>
          <w:sz w:val="18"/>
        </w:rPr>
        <w:t xml:space="preserve"> </w:t>
      </w:r>
      <w:r>
        <w:rPr>
          <w:w w:val="105"/>
          <w:sz w:val="18"/>
        </w:rPr>
        <w:t>religioso,</w:t>
      </w:r>
      <w:r>
        <w:rPr>
          <w:spacing w:val="-12"/>
          <w:w w:val="105"/>
          <w:sz w:val="18"/>
        </w:rPr>
        <w:t xml:space="preserve"> </w:t>
      </w:r>
      <w:r>
        <w:rPr>
          <w:spacing w:val="-4"/>
          <w:w w:val="105"/>
          <w:sz w:val="18"/>
        </w:rPr>
        <w:t>pero</w:t>
      </w:r>
    </w:p>
    <w:p w14:paraId="753D8976" w14:textId="77777777" w:rsidR="0014798C" w:rsidRDefault="0014798C">
      <w:pPr>
        <w:pStyle w:val="Textoindependiente"/>
        <w:rPr>
          <w:sz w:val="11"/>
        </w:rPr>
      </w:pPr>
    </w:p>
    <w:p w14:paraId="54CF7B7D" w14:textId="77777777" w:rsidR="0014798C" w:rsidRDefault="0014798C">
      <w:pPr>
        <w:pStyle w:val="Textoindependiente"/>
        <w:rPr>
          <w:sz w:val="11"/>
        </w:rPr>
      </w:pPr>
    </w:p>
    <w:p w14:paraId="36C13B8F" w14:textId="77777777" w:rsidR="0014798C" w:rsidRDefault="0014798C">
      <w:pPr>
        <w:pStyle w:val="Textoindependiente"/>
        <w:rPr>
          <w:sz w:val="11"/>
        </w:rPr>
      </w:pPr>
    </w:p>
    <w:p w14:paraId="2E16ABED" w14:textId="77777777" w:rsidR="0014798C" w:rsidRDefault="0014798C">
      <w:pPr>
        <w:pStyle w:val="Textoindependiente"/>
        <w:rPr>
          <w:sz w:val="11"/>
        </w:rPr>
      </w:pPr>
    </w:p>
    <w:p w14:paraId="36CE67CF" w14:textId="77777777" w:rsidR="0014798C" w:rsidRDefault="0014798C">
      <w:pPr>
        <w:pStyle w:val="Textoindependiente"/>
        <w:spacing w:before="75"/>
        <w:rPr>
          <w:sz w:val="11"/>
        </w:rPr>
      </w:pPr>
    </w:p>
    <w:p w14:paraId="27713955" w14:textId="77777777" w:rsidR="0014798C" w:rsidRDefault="004E1F0B">
      <w:pPr>
        <w:ind w:left="1111"/>
        <w:rPr>
          <w:sz w:val="11"/>
        </w:rPr>
      </w:pPr>
      <w:r>
        <w:rPr>
          <w:spacing w:val="-2"/>
          <w:w w:val="105"/>
          <w:sz w:val="11"/>
        </w:rPr>
        <w:t>1012</w:t>
      </w:r>
      <w:r>
        <w:rPr>
          <w:spacing w:val="3"/>
          <w:w w:val="105"/>
          <w:sz w:val="11"/>
        </w:rPr>
        <w:t xml:space="preserve"> </w:t>
      </w:r>
      <w:proofErr w:type="spellStart"/>
      <w:r>
        <w:rPr>
          <w:spacing w:val="-2"/>
          <w:w w:val="105"/>
          <w:sz w:val="11"/>
        </w:rPr>
        <w:t>Ibíd</w:t>
      </w:r>
      <w:proofErr w:type="spellEnd"/>
      <w:r>
        <w:rPr>
          <w:spacing w:val="-2"/>
          <w:w w:val="105"/>
          <w:sz w:val="11"/>
        </w:rPr>
        <w:t>.,</w:t>
      </w:r>
      <w:r>
        <w:rPr>
          <w:spacing w:val="3"/>
          <w:w w:val="105"/>
          <w:sz w:val="11"/>
        </w:rPr>
        <w:t xml:space="preserve"> </w:t>
      </w:r>
      <w:r>
        <w:rPr>
          <w:spacing w:val="-2"/>
          <w:w w:val="105"/>
          <w:sz w:val="11"/>
        </w:rPr>
        <w:t>pág.</w:t>
      </w:r>
      <w:r>
        <w:rPr>
          <w:spacing w:val="4"/>
          <w:w w:val="105"/>
          <w:sz w:val="11"/>
        </w:rPr>
        <w:t xml:space="preserve"> </w:t>
      </w:r>
      <w:r>
        <w:rPr>
          <w:spacing w:val="-2"/>
          <w:w w:val="105"/>
          <w:sz w:val="11"/>
        </w:rPr>
        <w:t>30.</w:t>
      </w:r>
      <w:r>
        <w:rPr>
          <w:spacing w:val="3"/>
          <w:w w:val="105"/>
          <w:sz w:val="11"/>
        </w:rPr>
        <w:t xml:space="preserve"> </w:t>
      </w:r>
      <w:r>
        <w:rPr>
          <w:spacing w:val="-2"/>
          <w:w w:val="105"/>
          <w:sz w:val="11"/>
        </w:rPr>
        <w:t>Véase</w:t>
      </w:r>
      <w:r>
        <w:rPr>
          <w:spacing w:val="4"/>
          <w:w w:val="105"/>
          <w:sz w:val="11"/>
        </w:rPr>
        <w:t xml:space="preserve"> </w:t>
      </w:r>
      <w:r>
        <w:rPr>
          <w:spacing w:val="-2"/>
          <w:w w:val="105"/>
          <w:sz w:val="11"/>
        </w:rPr>
        <w:t>también</w:t>
      </w:r>
      <w:r>
        <w:rPr>
          <w:spacing w:val="3"/>
          <w:w w:val="105"/>
          <w:sz w:val="11"/>
        </w:rPr>
        <w:t xml:space="preserve"> </w:t>
      </w:r>
      <w:r>
        <w:rPr>
          <w:spacing w:val="-2"/>
          <w:w w:val="105"/>
          <w:sz w:val="11"/>
        </w:rPr>
        <w:t>E/CN.4/2006/5,</w:t>
      </w:r>
      <w:r>
        <w:rPr>
          <w:spacing w:val="3"/>
          <w:w w:val="105"/>
          <w:sz w:val="11"/>
        </w:rPr>
        <w:t xml:space="preserve"> </w:t>
      </w:r>
      <w:r>
        <w:rPr>
          <w:spacing w:val="-2"/>
          <w:w w:val="105"/>
          <w:sz w:val="11"/>
        </w:rPr>
        <w:t>párr.</w:t>
      </w:r>
      <w:r>
        <w:rPr>
          <w:spacing w:val="4"/>
          <w:w w:val="105"/>
          <w:sz w:val="11"/>
        </w:rPr>
        <w:t xml:space="preserve"> </w:t>
      </w:r>
      <w:r>
        <w:rPr>
          <w:spacing w:val="-5"/>
          <w:w w:val="105"/>
          <w:sz w:val="11"/>
        </w:rPr>
        <w:t>55.</w:t>
      </w:r>
    </w:p>
    <w:p w14:paraId="3DB13025" w14:textId="77777777" w:rsidR="0014798C" w:rsidRDefault="004E1F0B">
      <w:pPr>
        <w:spacing w:before="110"/>
        <w:ind w:left="1111"/>
        <w:rPr>
          <w:sz w:val="11"/>
        </w:rPr>
      </w:pPr>
      <w:r>
        <w:rPr>
          <w:w w:val="105"/>
          <w:sz w:val="11"/>
        </w:rPr>
        <w:t>1013</w:t>
      </w:r>
      <w:r>
        <w:rPr>
          <w:spacing w:val="-6"/>
          <w:w w:val="105"/>
          <w:sz w:val="11"/>
        </w:rPr>
        <w:t xml:space="preserve"> </w:t>
      </w:r>
      <w:r>
        <w:rPr>
          <w:w w:val="105"/>
          <w:sz w:val="11"/>
        </w:rPr>
        <w:t>El</w:t>
      </w:r>
      <w:r>
        <w:rPr>
          <w:spacing w:val="-6"/>
          <w:w w:val="105"/>
          <w:sz w:val="11"/>
        </w:rPr>
        <w:t xml:space="preserve"> </w:t>
      </w:r>
      <w:r>
        <w:rPr>
          <w:w w:val="105"/>
          <w:sz w:val="11"/>
        </w:rPr>
        <w:t>artículo</w:t>
      </w:r>
      <w:r>
        <w:rPr>
          <w:spacing w:val="-6"/>
          <w:w w:val="105"/>
          <w:sz w:val="11"/>
        </w:rPr>
        <w:t xml:space="preserve"> </w:t>
      </w:r>
      <w:r>
        <w:rPr>
          <w:w w:val="105"/>
          <w:sz w:val="11"/>
        </w:rPr>
        <w:t>5</w:t>
      </w:r>
      <w:r>
        <w:rPr>
          <w:spacing w:val="-6"/>
          <w:w w:val="105"/>
          <w:sz w:val="11"/>
        </w:rPr>
        <w:t xml:space="preserve"> </w:t>
      </w:r>
      <w:r>
        <w:rPr>
          <w:w w:val="105"/>
          <w:sz w:val="11"/>
        </w:rPr>
        <w:t>(a)</w:t>
      </w:r>
      <w:r>
        <w:rPr>
          <w:spacing w:val="-6"/>
          <w:w w:val="105"/>
          <w:sz w:val="11"/>
        </w:rPr>
        <w:t xml:space="preserve"> </w:t>
      </w:r>
      <w:r>
        <w:rPr>
          <w:w w:val="105"/>
          <w:sz w:val="11"/>
        </w:rPr>
        <w:t>de</w:t>
      </w:r>
      <w:r>
        <w:rPr>
          <w:spacing w:val="-6"/>
          <w:w w:val="105"/>
          <w:sz w:val="11"/>
        </w:rPr>
        <w:t xml:space="preserve"> </w:t>
      </w:r>
      <w:r>
        <w:rPr>
          <w:w w:val="105"/>
          <w:sz w:val="11"/>
        </w:rPr>
        <w:t>la</w:t>
      </w:r>
      <w:r>
        <w:rPr>
          <w:spacing w:val="-6"/>
          <w:w w:val="105"/>
          <w:sz w:val="11"/>
        </w:rPr>
        <w:t xml:space="preserve"> </w:t>
      </w:r>
      <w:r>
        <w:rPr>
          <w:w w:val="105"/>
          <w:sz w:val="11"/>
        </w:rPr>
        <w:t>Convención</w:t>
      </w:r>
      <w:r>
        <w:rPr>
          <w:spacing w:val="-6"/>
          <w:w w:val="105"/>
          <w:sz w:val="11"/>
        </w:rPr>
        <w:t xml:space="preserve"> </w:t>
      </w:r>
      <w:r>
        <w:rPr>
          <w:w w:val="105"/>
          <w:sz w:val="11"/>
        </w:rPr>
        <w:t>sobre</w:t>
      </w:r>
      <w:r>
        <w:rPr>
          <w:spacing w:val="-6"/>
          <w:w w:val="105"/>
          <w:sz w:val="11"/>
        </w:rPr>
        <w:t xml:space="preserve"> </w:t>
      </w:r>
      <w:r>
        <w:rPr>
          <w:w w:val="105"/>
          <w:sz w:val="11"/>
        </w:rPr>
        <w:t>la</w:t>
      </w:r>
      <w:r>
        <w:rPr>
          <w:spacing w:val="-6"/>
          <w:w w:val="105"/>
          <w:sz w:val="11"/>
        </w:rPr>
        <w:t xml:space="preserve"> </w:t>
      </w:r>
      <w:r>
        <w:rPr>
          <w:w w:val="105"/>
          <w:sz w:val="11"/>
        </w:rPr>
        <w:t>eliminación</w:t>
      </w:r>
      <w:r>
        <w:rPr>
          <w:spacing w:val="-5"/>
          <w:w w:val="105"/>
          <w:sz w:val="11"/>
        </w:rPr>
        <w:t xml:space="preserve"> </w:t>
      </w:r>
      <w:r>
        <w:rPr>
          <w:w w:val="105"/>
          <w:sz w:val="11"/>
        </w:rPr>
        <w:t>de</w:t>
      </w:r>
      <w:r>
        <w:rPr>
          <w:spacing w:val="-6"/>
          <w:w w:val="105"/>
          <w:sz w:val="11"/>
        </w:rPr>
        <w:t xml:space="preserve"> </w:t>
      </w:r>
      <w:r>
        <w:rPr>
          <w:w w:val="105"/>
          <w:sz w:val="11"/>
        </w:rPr>
        <w:t>todas</w:t>
      </w:r>
      <w:r>
        <w:rPr>
          <w:spacing w:val="-6"/>
          <w:w w:val="105"/>
          <w:sz w:val="11"/>
        </w:rPr>
        <w:t xml:space="preserve"> </w:t>
      </w:r>
      <w:r>
        <w:rPr>
          <w:w w:val="105"/>
          <w:sz w:val="11"/>
        </w:rPr>
        <w:t>las</w:t>
      </w:r>
      <w:r>
        <w:rPr>
          <w:spacing w:val="-6"/>
          <w:w w:val="105"/>
          <w:sz w:val="11"/>
        </w:rPr>
        <w:t xml:space="preserve"> </w:t>
      </w:r>
      <w:r>
        <w:rPr>
          <w:w w:val="105"/>
          <w:sz w:val="11"/>
        </w:rPr>
        <w:t>formas</w:t>
      </w:r>
      <w:r>
        <w:rPr>
          <w:spacing w:val="-6"/>
          <w:w w:val="105"/>
          <w:sz w:val="11"/>
        </w:rPr>
        <w:t xml:space="preserve"> </w:t>
      </w:r>
      <w:r>
        <w:rPr>
          <w:w w:val="105"/>
          <w:sz w:val="11"/>
        </w:rPr>
        <w:t>de</w:t>
      </w:r>
      <w:r>
        <w:rPr>
          <w:spacing w:val="-6"/>
          <w:w w:val="105"/>
          <w:sz w:val="11"/>
        </w:rPr>
        <w:t xml:space="preserve"> </w:t>
      </w:r>
      <w:r>
        <w:rPr>
          <w:w w:val="105"/>
          <w:sz w:val="11"/>
        </w:rPr>
        <w:t>discriminación</w:t>
      </w:r>
      <w:r>
        <w:rPr>
          <w:spacing w:val="-6"/>
          <w:w w:val="105"/>
          <w:sz w:val="11"/>
        </w:rPr>
        <w:t xml:space="preserve"> </w:t>
      </w:r>
      <w:r>
        <w:rPr>
          <w:w w:val="105"/>
          <w:sz w:val="11"/>
        </w:rPr>
        <w:t>contra</w:t>
      </w:r>
      <w:r>
        <w:rPr>
          <w:spacing w:val="-6"/>
          <w:w w:val="105"/>
          <w:sz w:val="11"/>
        </w:rPr>
        <w:t xml:space="preserve"> </w:t>
      </w:r>
      <w:r>
        <w:rPr>
          <w:w w:val="105"/>
          <w:sz w:val="11"/>
        </w:rPr>
        <w:t>la</w:t>
      </w:r>
      <w:r>
        <w:rPr>
          <w:spacing w:val="-6"/>
          <w:w w:val="105"/>
          <w:sz w:val="11"/>
        </w:rPr>
        <w:t xml:space="preserve"> </w:t>
      </w:r>
      <w:r>
        <w:rPr>
          <w:w w:val="105"/>
          <w:sz w:val="11"/>
        </w:rPr>
        <w:t>mujer</w:t>
      </w:r>
      <w:r>
        <w:rPr>
          <w:spacing w:val="-6"/>
          <w:w w:val="105"/>
          <w:sz w:val="11"/>
        </w:rPr>
        <w:t xml:space="preserve"> </w:t>
      </w:r>
      <w:r>
        <w:rPr>
          <w:w w:val="105"/>
          <w:sz w:val="11"/>
        </w:rPr>
        <w:t>establece:</w:t>
      </w:r>
      <w:r>
        <w:rPr>
          <w:spacing w:val="-6"/>
          <w:w w:val="105"/>
          <w:sz w:val="11"/>
        </w:rPr>
        <w:t xml:space="preserve"> </w:t>
      </w:r>
      <w:r>
        <w:rPr>
          <w:w w:val="105"/>
          <w:sz w:val="11"/>
        </w:rPr>
        <w:t>“Los</w:t>
      </w:r>
      <w:r>
        <w:rPr>
          <w:spacing w:val="-6"/>
          <w:w w:val="105"/>
          <w:sz w:val="11"/>
        </w:rPr>
        <w:t xml:space="preserve"> </w:t>
      </w:r>
      <w:proofErr w:type="gramStart"/>
      <w:r>
        <w:rPr>
          <w:w w:val="105"/>
          <w:sz w:val="11"/>
        </w:rPr>
        <w:t>Estados</w:t>
      </w:r>
      <w:r>
        <w:rPr>
          <w:spacing w:val="-6"/>
          <w:w w:val="105"/>
          <w:sz w:val="11"/>
        </w:rPr>
        <w:t xml:space="preserve"> </w:t>
      </w:r>
      <w:r>
        <w:rPr>
          <w:w w:val="105"/>
          <w:sz w:val="11"/>
        </w:rPr>
        <w:t>Partes</w:t>
      </w:r>
      <w:proofErr w:type="gramEnd"/>
      <w:r>
        <w:rPr>
          <w:spacing w:val="-7"/>
          <w:w w:val="105"/>
          <w:sz w:val="11"/>
        </w:rPr>
        <w:t xml:space="preserve"> </w:t>
      </w:r>
      <w:r>
        <w:rPr>
          <w:w w:val="105"/>
          <w:sz w:val="11"/>
        </w:rPr>
        <w:t>tomarán</w:t>
      </w:r>
      <w:r>
        <w:rPr>
          <w:spacing w:val="-6"/>
          <w:w w:val="105"/>
          <w:sz w:val="11"/>
        </w:rPr>
        <w:t xml:space="preserve"> </w:t>
      </w:r>
      <w:r>
        <w:rPr>
          <w:w w:val="105"/>
          <w:sz w:val="11"/>
        </w:rPr>
        <w:t>todas</w:t>
      </w:r>
      <w:r>
        <w:rPr>
          <w:spacing w:val="-6"/>
          <w:w w:val="105"/>
          <w:sz w:val="11"/>
        </w:rPr>
        <w:t xml:space="preserve"> </w:t>
      </w:r>
      <w:r>
        <w:rPr>
          <w:w w:val="105"/>
          <w:sz w:val="11"/>
        </w:rPr>
        <w:t>las</w:t>
      </w:r>
      <w:r>
        <w:rPr>
          <w:spacing w:val="-6"/>
          <w:w w:val="105"/>
          <w:sz w:val="11"/>
        </w:rPr>
        <w:t xml:space="preserve"> </w:t>
      </w:r>
      <w:r>
        <w:rPr>
          <w:spacing w:val="-2"/>
          <w:w w:val="105"/>
          <w:sz w:val="11"/>
        </w:rPr>
        <w:t>medidas</w:t>
      </w:r>
    </w:p>
    <w:p w14:paraId="5190D31B" w14:textId="77777777" w:rsidR="0014798C" w:rsidRDefault="004E1F0B">
      <w:pPr>
        <w:spacing w:before="11" w:line="312" w:lineRule="auto"/>
        <w:ind w:left="1369" w:right="1463"/>
        <w:rPr>
          <w:sz w:val="12"/>
        </w:rPr>
      </w:pPr>
      <w:r>
        <w:rPr>
          <w:sz w:val="12"/>
        </w:rPr>
        <w:t>medidas</w:t>
      </w:r>
      <w:r>
        <w:rPr>
          <w:spacing w:val="-2"/>
          <w:sz w:val="12"/>
        </w:rPr>
        <w:t xml:space="preserve"> </w:t>
      </w:r>
      <w:r>
        <w:rPr>
          <w:sz w:val="12"/>
        </w:rPr>
        <w:t>apropiadas...</w:t>
      </w:r>
      <w:r>
        <w:rPr>
          <w:spacing w:val="-1"/>
          <w:sz w:val="12"/>
        </w:rPr>
        <w:t xml:space="preserve"> </w:t>
      </w:r>
      <w:r>
        <w:rPr>
          <w:sz w:val="12"/>
        </w:rPr>
        <w:t>para</w:t>
      </w:r>
      <w:r>
        <w:rPr>
          <w:spacing w:val="-2"/>
          <w:sz w:val="12"/>
        </w:rPr>
        <w:t xml:space="preserve"> </w:t>
      </w:r>
      <w:r>
        <w:rPr>
          <w:sz w:val="12"/>
        </w:rPr>
        <w:t>modificar</w:t>
      </w:r>
      <w:r>
        <w:rPr>
          <w:spacing w:val="-2"/>
          <w:sz w:val="12"/>
        </w:rPr>
        <w:t xml:space="preserve"> </w:t>
      </w:r>
      <w:r>
        <w:rPr>
          <w:sz w:val="12"/>
        </w:rPr>
        <w:t>los</w:t>
      </w:r>
      <w:r>
        <w:rPr>
          <w:spacing w:val="-2"/>
          <w:sz w:val="12"/>
        </w:rPr>
        <w:t xml:space="preserve"> </w:t>
      </w:r>
      <w:r>
        <w:rPr>
          <w:sz w:val="12"/>
        </w:rPr>
        <w:t>patrones</w:t>
      </w:r>
      <w:r>
        <w:rPr>
          <w:spacing w:val="-2"/>
          <w:sz w:val="12"/>
        </w:rPr>
        <w:t xml:space="preserve"> </w:t>
      </w:r>
      <w:r>
        <w:rPr>
          <w:sz w:val="12"/>
        </w:rPr>
        <w:t>sociales</w:t>
      </w:r>
      <w:r>
        <w:rPr>
          <w:spacing w:val="-2"/>
          <w:sz w:val="12"/>
        </w:rPr>
        <w:t xml:space="preserve"> </w:t>
      </w:r>
      <w:r>
        <w:rPr>
          <w:sz w:val="12"/>
        </w:rPr>
        <w:t>y</w:t>
      </w:r>
      <w:r>
        <w:rPr>
          <w:spacing w:val="-2"/>
          <w:sz w:val="12"/>
        </w:rPr>
        <w:t xml:space="preserve"> </w:t>
      </w:r>
      <w:r>
        <w:rPr>
          <w:sz w:val="12"/>
        </w:rPr>
        <w:t>culturales</w:t>
      </w:r>
      <w:r>
        <w:rPr>
          <w:spacing w:val="-2"/>
          <w:sz w:val="12"/>
        </w:rPr>
        <w:t xml:space="preserve"> </w:t>
      </w:r>
      <w:r>
        <w:rPr>
          <w:sz w:val="12"/>
        </w:rPr>
        <w:t>de</w:t>
      </w:r>
      <w:r>
        <w:rPr>
          <w:spacing w:val="-2"/>
          <w:sz w:val="12"/>
        </w:rPr>
        <w:t xml:space="preserve"> </w:t>
      </w:r>
      <w:r>
        <w:rPr>
          <w:sz w:val="12"/>
        </w:rPr>
        <w:t>conducta</w:t>
      </w:r>
      <w:r>
        <w:rPr>
          <w:spacing w:val="-2"/>
          <w:sz w:val="12"/>
        </w:rPr>
        <w:t xml:space="preserve"> </w:t>
      </w:r>
      <w:r>
        <w:rPr>
          <w:sz w:val="12"/>
        </w:rPr>
        <w:t>de</w:t>
      </w:r>
      <w:r>
        <w:rPr>
          <w:spacing w:val="-2"/>
          <w:sz w:val="12"/>
        </w:rPr>
        <w:t xml:space="preserve"> </w:t>
      </w:r>
      <w:r>
        <w:rPr>
          <w:sz w:val="12"/>
        </w:rPr>
        <w:t>hombres</w:t>
      </w:r>
      <w:r>
        <w:rPr>
          <w:spacing w:val="-2"/>
          <w:sz w:val="12"/>
        </w:rPr>
        <w:t xml:space="preserve"> </w:t>
      </w:r>
      <w:r>
        <w:rPr>
          <w:sz w:val="12"/>
        </w:rPr>
        <w:t>y</w:t>
      </w:r>
      <w:r>
        <w:rPr>
          <w:spacing w:val="-2"/>
          <w:sz w:val="12"/>
        </w:rPr>
        <w:t xml:space="preserve"> </w:t>
      </w:r>
      <w:r>
        <w:rPr>
          <w:sz w:val="12"/>
        </w:rPr>
        <w:t>mujeres,</w:t>
      </w:r>
      <w:r>
        <w:rPr>
          <w:spacing w:val="-1"/>
          <w:sz w:val="12"/>
        </w:rPr>
        <w:t xml:space="preserve"> </w:t>
      </w:r>
      <w:r>
        <w:rPr>
          <w:sz w:val="12"/>
        </w:rPr>
        <w:t>con</w:t>
      </w:r>
      <w:r>
        <w:rPr>
          <w:spacing w:val="-2"/>
          <w:sz w:val="12"/>
        </w:rPr>
        <w:t xml:space="preserve"> </w:t>
      </w:r>
      <w:r>
        <w:rPr>
          <w:sz w:val="12"/>
        </w:rPr>
        <w:t>miras</w:t>
      </w:r>
      <w:r>
        <w:rPr>
          <w:spacing w:val="-2"/>
          <w:sz w:val="12"/>
        </w:rPr>
        <w:t xml:space="preserve"> </w:t>
      </w:r>
      <w:r>
        <w:rPr>
          <w:sz w:val="12"/>
        </w:rPr>
        <w:t>a</w:t>
      </w:r>
      <w:r>
        <w:rPr>
          <w:spacing w:val="-2"/>
          <w:sz w:val="12"/>
        </w:rPr>
        <w:t xml:space="preserve"> </w:t>
      </w:r>
      <w:r>
        <w:rPr>
          <w:sz w:val="12"/>
        </w:rPr>
        <w:t>lograr</w:t>
      </w:r>
      <w:r>
        <w:rPr>
          <w:spacing w:val="-2"/>
          <w:sz w:val="12"/>
        </w:rPr>
        <w:t xml:space="preserve"> </w:t>
      </w:r>
      <w:r>
        <w:rPr>
          <w:sz w:val="12"/>
        </w:rPr>
        <w:t>la</w:t>
      </w:r>
      <w:r>
        <w:rPr>
          <w:spacing w:val="-2"/>
          <w:sz w:val="12"/>
        </w:rPr>
        <w:t xml:space="preserve"> </w:t>
      </w:r>
      <w:r>
        <w:rPr>
          <w:sz w:val="12"/>
        </w:rPr>
        <w:t>eliminación</w:t>
      </w:r>
      <w:r>
        <w:rPr>
          <w:spacing w:val="-2"/>
          <w:sz w:val="12"/>
        </w:rPr>
        <w:t xml:space="preserve"> </w:t>
      </w:r>
      <w:r>
        <w:rPr>
          <w:sz w:val="12"/>
        </w:rPr>
        <w:t>de</w:t>
      </w:r>
      <w:r>
        <w:rPr>
          <w:spacing w:val="-2"/>
          <w:sz w:val="12"/>
        </w:rPr>
        <w:t xml:space="preserve"> </w:t>
      </w:r>
      <w:r>
        <w:rPr>
          <w:sz w:val="12"/>
        </w:rPr>
        <w:t>los</w:t>
      </w:r>
      <w:r>
        <w:rPr>
          <w:spacing w:val="-2"/>
          <w:sz w:val="12"/>
        </w:rPr>
        <w:t xml:space="preserve"> </w:t>
      </w:r>
      <w:r>
        <w:rPr>
          <w:sz w:val="12"/>
        </w:rPr>
        <w:t>prejuicios</w:t>
      </w:r>
      <w:r>
        <w:rPr>
          <w:spacing w:val="-2"/>
          <w:sz w:val="12"/>
        </w:rPr>
        <w:t xml:space="preserve"> </w:t>
      </w:r>
      <w:r>
        <w:rPr>
          <w:sz w:val="12"/>
        </w:rPr>
        <w:t>y</w:t>
      </w:r>
      <w:r>
        <w:rPr>
          <w:spacing w:val="-2"/>
          <w:sz w:val="12"/>
        </w:rPr>
        <w:t xml:space="preserve"> </w:t>
      </w:r>
      <w:r>
        <w:rPr>
          <w:sz w:val="12"/>
        </w:rPr>
        <w:t>las</w:t>
      </w:r>
      <w:r>
        <w:rPr>
          <w:spacing w:val="40"/>
          <w:sz w:val="12"/>
        </w:rPr>
        <w:t xml:space="preserve"> </w:t>
      </w:r>
      <w:r>
        <w:rPr>
          <w:sz w:val="12"/>
        </w:rPr>
        <w:t>prácticas</w:t>
      </w:r>
      <w:r>
        <w:rPr>
          <w:spacing w:val="-5"/>
          <w:sz w:val="12"/>
        </w:rPr>
        <w:t xml:space="preserve"> </w:t>
      </w:r>
      <w:r>
        <w:rPr>
          <w:sz w:val="12"/>
        </w:rPr>
        <w:t>consuetudinarias</w:t>
      </w:r>
      <w:r>
        <w:rPr>
          <w:spacing w:val="-5"/>
          <w:sz w:val="12"/>
        </w:rPr>
        <w:t xml:space="preserve"> </w:t>
      </w:r>
      <w:r>
        <w:rPr>
          <w:sz w:val="12"/>
        </w:rPr>
        <w:t>y</w:t>
      </w:r>
      <w:r>
        <w:rPr>
          <w:spacing w:val="-5"/>
          <w:sz w:val="12"/>
        </w:rPr>
        <w:t xml:space="preserve"> </w:t>
      </w:r>
      <w:r>
        <w:rPr>
          <w:sz w:val="12"/>
        </w:rPr>
        <w:t>de</w:t>
      </w:r>
      <w:r>
        <w:rPr>
          <w:spacing w:val="-5"/>
          <w:sz w:val="12"/>
        </w:rPr>
        <w:t xml:space="preserve"> </w:t>
      </w:r>
      <w:r>
        <w:rPr>
          <w:sz w:val="12"/>
        </w:rPr>
        <w:t>cualquier</w:t>
      </w:r>
      <w:r>
        <w:rPr>
          <w:spacing w:val="-5"/>
          <w:sz w:val="12"/>
        </w:rPr>
        <w:t xml:space="preserve"> </w:t>
      </w:r>
      <w:r>
        <w:rPr>
          <w:sz w:val="12"/>
        </w:rPr>
        <w:t>otra</w:t>
      </w:r>
      <w:r>
        <w:rPr>
          <w:spacing w:val="-5"/>
          <w:sz w:val="12"/>
        </w:rPr>
        <w:t xml:space="preserve"> </w:t>
      </w:r>
      <w:r>
        <w:rPr>
          <w:sz w:val="12"/>
        </w:rPr>
        <w:t>índole</w:t>
      </w:r>
      <w:r>
        <w:rPr>
          <w:spacing w:val="-5"/>
          <w:sz w:val="12"/>
        </w:rPr>
        <w:t xml:space="preserve"> </w:t>
      </w:r>
      <w:r>
        <w:rPr>
          <w:sz w:val="12"/>
        </w:rPr>
        <w:t>que</w:t>
      </w:r>
      <w:r>
        <w:rPr>
          <w:spacing w:val="-5"/>
          <w:sz w:val="12"/>
        </w:rPr>
        <w:t xml:space="preserve"> </w:t>
      </w:r>
      <w:r>
        <w:rPr>
          <w:sz w:val="12"/>
        </w:rPr>
        <w:t>se</w:t>
      </w:r>
      <w:r>
        <w:rPr>
          <w:spacing w:val="-5"/>
          <w:sz w:val="12"/>
        </w:rPr>
        <w:t xml:space="preserve"> </w:t>
      </w:r>
      <w:r>
        <w:rPr>
          <w:sz w:val="12"/>
        </w:rPr>
        <w:t>basen</w:t>
      </w:r>
      <w:r>
        <w:rPr>
          <w:spacing w:val="-5"/>
          <w:sz w:val="12"/>
        </w:rPr>
        <w:t xml:space="preserve"> </w:t>
      </w:r>
      <w:r>
        <w:rPr>
          <w:sz w:val="12"/>
        </w:rPr>
        <w:t>en</w:t>
      </w:r>
      <w:r>
        <w:rPr>
          <w:spacing w:val="-5"/>
          <w:sz w:val="12"/>
        </w:rPr>
        <w:t xml:space="preserve"> </w:t>
      </w:r>
      <w:r>
        <w:rPr>
          <w:sz w:val="12"/>
        </w:rPr>
        <w:t>la</w:t>
      </w:r>
      <w:r>
        <w:rPr>
          <w:spacing w:val="-5"/>
          <w:sz w:val="12"/>
        </w:rPr>
        <w:t xml:space="preserve"> </w:t>
      </w:r>
      <w:r>
        <w:rPr>
          <w:sz w:val="12"/>
        </w:rPr>
        <w:t>idea</w:t>
      </w:r>
      <w:r>
        <w:rPr>
          <w:spacing w:val="-5"/>
          <w:sz w:val="12"/>
        </w:rPr>
        <w:t xml:space="preserve"> </w:t>
      </w:r>
      <w:r>
        <w:rPr>
          <w:sz w:val="12"/>
        </w:rPr>
        <w:t>de</w:t>
      </w:r>
      <w:r>
        <w:rPr>
          <w:spacing w:val="-5"/>
          <w:sz w:val="12"/>
        </w:rPr>
        <w:t xml:space="preserve"> </w:t>
      </w:r>
      <w:r>
        <w:rPr>
          <w:sz w:val="12"/>
        </w:rPr>
        <w:t>la</w:t>
      </w:r>
      <w:r>
        <w:rPr>
          <w:spacing w:val="-5"/>
          <w:sz w:val="12"/>
        </w:rPr>
        <w:t xml:space="preserve"> </w:t>
      </w:r>
      <w:r>
        <w:rPr>
          <w:sz w:val="12"/>
        </w:rPr>
        <w:t>inferioridad</w:t>
      </w:r>
      <w:r>
        <w:rPr>
          <w:spacing w:val="-5"/>
          <w:sz w:val="12"/>
        </w:rPr>
        <w:t xml:space="preserve"> </w:t>
      </w:r>
      <w:r>
        <w:rPr>
          <w:sz w:val="12"/>
        </w:rPr>
        <w:t>o</w:t>
      </w:r>
      <w:r>
        <w:rPr>
          <w:spacing w:val="-5"/>
          <w:sz w:val="12"/>
        </w:rPr>
        <w:t xml:space="preserve"> </w:t>
      </w:r>
      <w:r>
        <w:rPr>
          <w:sz w:val="12"/>
        </w:rPr>
        <w:t>superioridad</w:t>
      </w:r>
      <w:r>
        <w:rPr>
          <w:spacing w:val="-5"/>
          <w:sz w:val="12"/>
        </w:rPr>
        <w:t xml:space="preserve"> </w:t>
      </w:r>
      <w:r>
        <w:rPr>
          <w:sz w:val="12"/>
        </w:rPr>
        <w:t>de</w:t>
      </w:r>
      <w:r>
        <w:rPr>
          <w:spacing w:val="-5"/>
          <w:sz w:val="12"/>
        </w:rPr>
        <w:t xml:space="preserve"> </w:t>
      </w:r>
      <w:r>
        <w:rPr>
          <w:sz w:val="12"/>
        </w:rPr>
        <w:t>cualquiera</w:t>
      </w:r>
      <w:r>
        <w:rPr>
          <w:spacing w:val="-5"/>
          <w:sz w:val="12"/>
        </w:rPr>
        <w:t xml:space="preserve"> </w:t>
      </w:r>
      <w:r>
        <w:rPr>
          <w:sz w:val="12"/>
        </w:rPr>
        <w:t>de</w:t>
      </w:r>
      <w:r>
        <w:rPr>
          <w:spacing w:val="-5"/>
          <w:sz w:val="12"/>
        </w:rPr>
        <w:t xml:space="preserve"> </w:t>
      </w:r>
      <w:r>
        <w:rPr>
          <w:sz w:val="12"/>
        </w:rPr>
        <w:t>los</w:t>
      </w:r>
      <w:r>
        <w:rPr>
          <w:spacing w:val="-5"/>
          <w:sz w:val="12"/>
        </w:rPr>
        <w:t xml:space="preserve"> </w:t>
      </w:r>
      <w:r>
        <w:rPr>
          <w:sz w:val="12"/>
        </w:rPr>
        <w:t>sexos</w:t>
      </w:r>
      <w:r>
        <w:rPr>
          <w:spacing w:val="-5"/>
          <w:sz w:val="12"/>
        </w:rPr>
        <w:t xml:space="preserve"> </w:t>
      </w:r>
      <w:r>
        <w:rPr>
          <w:sz w:val="12"/>
        </w:rPr>
        <w:t>o</w:t>
      </w:r>
      <w:r>
        <w:rPr>
          <w:spacing w:val="-5"/>
          <w:sz w:val="12"/>
        </w:rPr>
        <w:t xml:space="preserve"> </w:t>
      </w:r>
      <w:r>
        <w:rPr>
          <w:sz w:val="12"/>
        </w:rPr>
        <w:t>sobre</w:t>
      </w:r>
      <w:r>
        <w:rPr>
          <w:spacing w:val="-5"/>
          <w:sz w:val="12"/>
        </w:rPr>
        <w:t xml:space="preserve"> </w:t>
      </w:r>
      <w:r>
        <w:rPr>
          <w:sz w:val="12"/>
        </w:rPr>
        <w:t>roles</w:t>
      </w:r>
      <w:r>
        <w:rPr>
          <w:spacing w:val="-5"/>
          <w:sz w:val="12"/>
        </w:rPr>
        <w:t xml:space="preserve"> </w:t>
      </w:r>
      <w:r>
        <w:rPr>
          <w:sz w:val="12"/>
        </w:rPr>
        <w:t>estereotipados</w:t>
      </w:r>
      <w:r>
        <w:rPr>
          <w:spacing w:val="40"/>
          <w:sz w:val="12"/>
        </w:rPr>
        <w:t xml:space="preserve"> </w:t>
      </w:r>
      <w:r>
        <w:rPr>
          <w:sz w:val="12"/>
        </w:rPr>
        <w:t>para hombres y mujeres”.</w:t>
      </w:r>
    </w:p>
    <w:p w14:paraId="3BFFA094" w14:textId="77777777" w:rsidR="0014798C" w:rsidRDefault="004E1F0B">
      <w:pPr>
        <w:spacing w:before="58"/>
        <w:ind w:left="1111"/>
        <w:rPr>
          <w:sz w:val="12"/>
        </w:rPr>
      </w:pPr>
      <w:r>
        <w:rPr>
          <w:sz w:val="12"/>
          <w:vertAlign w:val="superscript"/>
        </w:rPr>
        <w:t>1014</w:t>
      </w:r>
      <w:r>
        <w:rPr>
          <w:spacing w:val="31"/>
          <w:sz w:val="12"/>
        </w:rPr>
        <w:t xml:space="preserve"> </w:t>
      </w:r>
      <w:r>
        <w:rPr>
          <w:sz w:val="12"/>
        </w:rPr>
        <w:t>A/65/207,</w:t>
      </w:r>
      <w:r>
        <w:rPr>
          <w:spacing w:val="-1"/>
          <w:sz w:val="12"/>
        </w:rPr>
        <w:t xml:space="preserve"> </w:t>
      </w:r>
      <w:r>
        <w:rPr>
          <w:sz w:val="12"/>
        </w:rPr>
        <w:t>párr.</w:t>
      </w:r>
      <w:r>
        <w:rPr>
          <w:spacing w:val="-1"/>
          <w:sz w:val="12"/>
        </w:rPr>
        <w:t xml:space="preserve"> </w:t>
      </w:r>
      <w:r>
        <w:rPr>
          <w:spacing w:val="-5"/>
          <w:sz w:val="12"/>
        </w:rPr>
        <w:t>34.</w:t>
      </w:r>
    </w:p>
    <w:p w14:paraId="58C02B93" w14:textId="77777777" w:rsidR="0014798C" w:rsidRDefault="004E1F0B">
      <w:pPr>
        <w:spacing w:before="99"/>
        <w:ind w:left="1111"/>
        <w:rPr>
          <w:sz w:val="12"/>
        </w:rPr>
      </w:pPr>
      <w:r>
        <w:rPr>
          <w:sz w:val="12"/>
          <w:vertAlign w:val="superscript"/>
        </w:rPr>
        <w:t>1015</w:t>
      </w:r>
      <w:r>
        <w:rPr>
          <w:spacing w:val="29"/>
          <w:sz w:val="12"/>
        </w:rPr>
        <w:t xml:space="preserve"> </w:t>
      </w:r>
      <w:r>
        <w:rPr>
          <w:sz w:val="12"/>
        </w:rPr>
        <w:t>ACNUDH,</w:t>
      </w:r>
      <w:r>
        <w:rPr>
          <w:spacing w:val="-5"/>
          <w:sz w:val="12"/>
        </w:rPr>
        <w:t xml:space="preserve"> </w:t>
      </w:r>
      <w:r>
        <w:rPr>
          <w:sz w:val="12"/>
        </w:rPr>
        <w:t>“Los</w:t>
      </w:r>
      <w:r>
        <w:rPr>
          <w:spacing w:val="-5"/>
          <w:sz w:val="12"/>
        </w:rPr>
        <w:t xml:space="preserve"> </w:t>
      </w:r>
      <w:r>
        <w:rPr>
          <w:sz w:val="12"/>
        </w:rPr>
        <w:t>derechos</w:t>
      </w:r>
      <w:r>
        <w:rPr>
          <w:spacing w:val="-5"/>
          <w:sz w:val="12"/>
        </w:rPr>
        <w:t xml:space="preserve"> </w:t>
      </w:r>
      <w:r>
        <w:rPr>
          <w:sz w:val="12"/>
        </w:rPr>
        <w:t>humanos</w:t>
      </w:r>
      <w:r>
        <w:rPr>
          <w:spacing w:val="-5"/>
          <w:sz w:val="12"/>
        </w:rPr>
        <w:t xml:space="preserve"> </w:t>
      </w:r>
      <w:r>
        <w:rPr>
          <w:sz w:val="12"/>
        </w:rPr>
        <w:t>de</w:t>
      </w:r>
      <w:r>
        <w:rPr>
          <w:spacing w:val="-5"/>
          <w:sz w:val="12"/>
        </w:rPr>
        <w:t xml:space="preserve"> </w:t>
      </w:r>
      <w:r>
        <w:rPr>
          <w:sz w:val="12"/>
        </w:rPr>
        <w:t>las</w:t>
      </w:r>
      <w:r>
        <w:rPr>
          <w:spacing w:val="-5"/>
          <w:sz w:val="12"/>
        </w:rPr>
        <w:t xml:space="preserve"> </w:t>
      </w:r>
      <w:r>
        <w:rPr>
          <w:sz w:val="12"/>
        </w:rPr>
        <w:t>mujeres</w:t>
      </w:r>
      <w:r>
        <w:rPr>
          <w:spacing w:val="-5"/>
          <w:sz w:val="12"/>
        </w:rPr>
        <w:t xml:space="preserve"> </w:t>
      </w:r>
      <w:r>
        <w:rPr>
          <w:sz w:val="12"/>
        </w:rPr>
        <w:t>que</w:t>
      </w:r>
      <w:r>
        <w:rPr>
          <w:spacing w:val="-5"/>
          <w:sz w:val="12"/>
        </w:rPr>
        <w:t xml:space="preserve"> </w:t>
      </w:r>
      <w:r>
        <w:rPr>
          <w:sz w:val="12"/>
        </w:rPr>
        <w:t>llevan</w:t>
      </w:r>
      <w:r>
        <w:rPr>
          <w:spacing w:val="-5"/>
          <w:sz w:val="12"/>
        </w:rPr>
        <w:t xml:space="preserve"> </w:t>
      </w:r>
      <w:r>
        <w:rPr>
          <w:sz w:val="12"/>
        </w:rPr>
        <w:t>velo</w:t>
      </w:r>
      <w:r>
        <w:rPr>
          <w:spacing w:val="-5"/>
          <w:sz w:val="12"/>
        </w:rPr>
        <w:t xml:space="preserve"> </w:t>
      </w:r>
      <w:r>
        <w:rPr>
          <w:sz w:val="12"/>
        </w:rPr>
        <w:t>en</w:t>
      </w:r>
      <w:r>
        <w:rPr>
          <w:spacing w:val="-5"/>
          <w:sz w:val="12"/>
        </w:rPr>
        <w:t xml:space="preserve"> </w:t>
      </w:r>
      <w:r>
        <w:rPr>
          <w:sz w:val="12"/>
        </w:rPr>
        <w:t>Europa</w:t>
      </w:r>
      <w:r>
        <w:rPr>
          <w:spacing w:val="-5"/>
          <w:sz w:val="12"/>
        </w:rPr>
        <w:t xml:space="preserve"> </w:t>
      </w:r>
      <w:r>
        <w:rPr>
          <w:sz w:val="12"/>
        </w:rPr>
        <w:t>occidental”,</w:t>
      </w:r>
      <w:r>
        <w:rPr>
          <w:spacing w:val="-4"/>
          <w:sz w:val="12"/>
        </w:rPr>
        <w:t xml:space="preserve"> </w:t>
      </w:r>
      <w:r>
        <w:rPr>
          <w:sz w:val="12"/>
        </w:rPr>
        <w:t>pág.</w:t>
      </w:r>
      <w:r>
        <w:rPr>
          <w:spacing w:val="-5"/>
          <w:sz w:val="12"/>
        </w:rPr>
        <w:t xml:space="preserve"> 8.</w:t>
      </w:r>
    </w:p>
    <w:p w14:paraId="5F549020" w14:textId="77777777" w:rsidR="0014798C" w:rsidRDefault="0014798C">
      <w:pPr>
        <w:pStyle w:val="Textoindependiente"/>
        <w:spacing w:before="13"/>
        <w:rPr>
          <w:sz w:val="11"/>
        </w:rPr>
      </w:pPr>
    </w:p>
    <w:p w14:paraId="4A2A00C7" w14:textId="77777777" w:rsidR="0014798C" w:rsidRDefault="004E1F0B">
      <w:pPr>
        <w:spacing w:before="1"/>
        <w:ind w:left="1111"/>
        <w:rPr>
          <w:sz w:val="11"/>
        </w:rPr>
      </w:pPr>
      <w:r>
        <w:rPr>
          <w:spacing w:val="-2"/>
          <w:w w:val="105"/>
          <w:sz w:val="11"/>
        </w:rPr>
        <w:t>1016</w:t>
      </w:r>
      <w:r>
        <w:rPr>
          <w:spacing w:val="5"/>
          <w:w w:val="105"/>
          <w:sz w:val="11"/>
        </w:rPr>
        <w:t xml:space="preserve"> </w:t>
      </w:r>
      <w:r>
        <w:rPr>
          <w:spacing w:val="-2"/>
          <w:w w:val="105"/>
          <w:sz w:val="11"/>
        </w:rPr>
        <w:t>A/HRC/19/60/Add.1,</w:t>
      </w:r>
      <w:r>
        <w:rPr>
          <w:spacing w:val="6"/>
          <w:w w:val="105"/>
          <w:sz w:val="11"/>
        </w:rPr>
        <w:t xml:space="preserve"> </w:t>
      </w:r>
      <w:r>
        <w:rPr>
          <w:spacing w:val="-2"/>
          <w:w w:val="105"/>
          <w:sz w:val="11"/>
        </w:rPr>
        <w:t>párr.</w:t>
      </w:r>
      <w:r>
        <w:rPr>
          <w:spacing w:val="5"/>
          <w:w w:val="105"/>
          <w:sz w:val="11"/>
        </w:rPr>
        <w:t xml:space="preserve"> </w:t>
      </w:r>
      <w:r>
        <w:rPr>
          <w:spacing w:val="-5"/>
          <w:w w:val="105"/>
          <w:sz w:val="11"/>
        </w:rPr>
        <w:t>31.</w:t>
      </w:r>
    </w:p>
    <w:p w14:paraId="486CB460" w14:textId="77777777" w:rsidR="0014798C" w:rsidRDefault="004E1F0B">
      <w:pPr>
        <w:spacing w:before="78"/>
        <w:ind w:left="1111"/>
        <w:rPr>
          <w:sz w:val="11"/>
        </w:rPr>
      </w:pPr>
      <w:r>
        <w:rPr>
          <w:w w:val="105"/>
          <w:sz w:val="11"/>
        </w:rPr>
        <w:t>1017</w:t>
      </w:r>
      <w:r>
        <w:rPr>
          <w:spacing w:val="-6"/>
          <w:w w:val="105"/>
          <w:sz w:val="11"/>
        </w:rPr>
        <w:t xml:space="preserve"> </w:t>
      </w:r>
      <w:proofErr w:type="spellStart"/>
      <w:r>
        <w:rPr>
          <w:spacing w:val="-2"/>
          <w:w w:val="105"/>
          <w:sz w:val="11"/>
        </w:rPr>
        <w:t>Ibíd</w:t>
      </w:r>
      <w:proofErr w:type="spellEnd"/>
      <w:r>
        <w:rPr>
          <w:spacing w:val="-2"/>
          <w:w w:val="105"/>
          <w:sz w:val="11"/>
        </w:rPr>
        <w:t>.</w:t>
      </w:r>
    </w:p>
    <w:p w14:paraId="0D5097CD" w14:textId="77777777" w:rsidR="0014798C" w:rsidRDefault="0014798C">
      <w:pPr>
        <w:pStyle w:val="Textoindependiente"/>
        <w:rPr>
          <w:sz w:val="18"/>
        </w:rPr>
      </w:pPr>
    </w:p>
    <w:p w14:paraId="67DC4D8A" w14:textId="77777777" w:rsidR="0014798C" w:rsidRDefault="0014798C">
      <w:pPr>
        <w:pStyle w:val="Textoindependiente"/>
        <w:rPr>
          <w:sz w:val="18"/>
        </w:rPr>
      </w:pPr>
    </w:p>
    <w:p w14:paraId="09979E92" w14:textId="77777777" w:rsidR="0014798C" w:rsidRDefault="0014798C">
      <w:pPr>
        <w:pStyle w:val="Textoindependiente"/>
        <w:spacing w:before="28"/>
        <w:rPr>
          <w:sz w:val="18"/>
        </w:rPr>
      </w:pPr>
    </w:p>
    <w:p w14:paraId="18AB0F0C" w14:textId="77777777" w:rsidR="0014798C" w:rsidRDefault="004E1F0B">
      <w:pPr>
        <w:ind w:left="471"/>
        <w:rPr>
          <w:sz w:val="18"/>
        </w:rPr>
      </w:pPr>
      <w:r>
        <w:rPr>
          <w:spacing w:val="-5"/>
          <w:w w:val="105"/>
          <w:sz w:val="18"/>
        </w:rPr>
        <w:t>146</w:t>
      </w:r>
    </w:p>
    <w:p w14:paraId="756D0830" w14:textId="77777777" w:rsidR="0014798C" w:rsidRDefault="0014798C">
      <w:pPr>
        <w:rPr>
          <w:sz w:val="18"/>
        </w:rPr>
        <w:sectPr w:rsidR="0014798C" w:rsidSect="00F265E4">
          <w:pgSz w:w="11900" w:h="16820"/>
          <w:pgMar w:top="340" w:right="0" w:bottom="280" w:left="200" w:header="121" w:footer="0" w:gutter="0"/>
          <w:cols w:space="720"/>
        </w:sectPr>
      </w:pPr>
    </w:p>
    <w:p w14:paraId="72E0088E" w14:textId="77777777" w:rsidR="0014798C" w:rsidRDefault="0014798C">
      <w:pPr>
        <w:pStyle w:val="Textoindependiente"/>
        <w:rPr>
          <w:sz w:val="9"/>
        </w:rPr>
      </w:pPr>
    </w:p>
    <w:p w14:paraId="17B517D0" w14:textId="77777777" w:rsidR="0014798C" w:rsidRDefault="0014798C">
      <w:pPr>
        <w:pStyle w:val="Textoindependiente"/>
        <w:spacing w:before="31"/>
        <w:rPr>
          <w:sz w:val="9"/>
        </w:rPr>
      </w:pPr>
    </w:p>
    <w:p w14:paraId="195F5384" w14:textId="77777777" w:rsidR="0014798C" w:rsidRDefault="004E1F0B">
      <w:pPr>
        <w:ind w:left="1111"/>
        <w:rPr>
          <w:sz w:val="9"/>
        </w:rPr>
      </w:pPr>
      <w:r>
        <w:rPr>
          <w:color w:val="803108"/>
          <w:w w:val="105"/>
          <w:sz w:val="9"/>
        </w:rPr>
        <w:t>PARTE</w:t>
      </w:r>
      <w:r>
        <w:rPr>
          <w:color w:val="803108"/>
          <w:spacing w:val="1"/>
          <w:w w:val="105"/>
          <w:sz w:val="9"/>
        </w:rPr>
        <w:t xml:space="preserve"> </w:t>
      </w:r>
      <w:r>
        <w:rPr>
          <w:color w:val="803108"/>
          <w:w w:val="105"/>
          <w:sz w:val="9"/>
        </w:rPr>
        <w:t>TRES:</w:t>
      </w:r>
      <w:r>
        <w:rPr>
          <w:color w:val="803108"/>
          <w:spacing w:val="2"/>
          <w:w w:val="105"/>
          <w:sz w:val="9"/>
        </w:rPr>
        <w:t xml:space="preserve"> </w:t>
      </w:r>
      <w:r>
        <w:rPr>
          <w:color w:val="803108"/>
          <w:w w:val="105"/>
          <w:sz w:val="9"/>
        </w:rPr>
        <w:t>PROTECCIÓN</w:t>
      </w:r>
      <w:r>
        <w:rPr>
          <w:color w:val="803108"/>
          <w:spacing w:val="2"/>
          <w:w w:val="105"/>
          <w:sz w:val="9"/>
        </w:rPr>
        <w:t xml:space="preserve"> </w:t>
      </w:r>
      <w:r>
        <w:rPr>
          <w:color w:val="803108"/>
          <w:w w:val="105"/>
          <w:sz w:val="9"/>
        </w:rPr>
        <w:t>DE</w:t>
      </w:r>
      <w:r>
        <w:rPr>
          <w:color w:val="803108"/>
          <w:spacing w:val="1"/>
          <w:w w:val="105"/>
          <w:sz w:val="9"/>
        </w:rPr>
        <w:t xml:space="preserve"> </w:t>
      </w:r>
      <w:r>
        <w:rPr>
          <w:color w:val="803108"/>
          <w:w w:val="105"/>
          <w:sz w:val="9"/>
        </w:rPr>
        <w:t>LOS</w:t>
      </w:r>
      <w:r>
        <w:rPr>
          <w:color w:val="803108"/>
          <w:spacing w:val="2"/>
          <w:w w:val="105"/>
          <w:sz w:val="9"/>
        </w:rPr>
        <w:t xml:space="preserve"> </w:t>
      </w:r>
      <w:r>
        <w:rPr>
          <w:color w:val="803108"/>
          <w:w w:val="105"/>
          <w:sz w:val="9"/>
        </w:rPr>
        <w:t>DERECHOS</w:t>
      </w:r>
      <w:r>
        <w:rPr>
          <w:color w:val="803108"/>
          <w:spacing w:val="3"/>
          <w:w w:val="105"/>
          <w:sz w:val="9"/>
        </w:rPr>
        <w:t xml:space="preserve"> </w:t>
      </w:r>
      <w:r>
        <w:rPr>
          <w:color w:val="803108"/>
          <w:w w:val="105"/>
          <w:sz w:val="9"/>
        </w:rPr>
        <w:t>DE</w:t>
      </w:r>
      <w:r>
        <w:rPr>
          <w:color w:val="803108"/>
          <w:spacing w:val="1"/>
          <w:w w:val="105"/>
          <w:sz w:val="9"/>
        </w:rPr>
        <w:t xml:space="preserve"> </w:t>
      </w:r>
      <w:r>
        <w:rPr>
          <w:color w:val="803108"/>
          <w:w w:val="105"/>
          <w:sz w:val="9"/>
        </w:rPr>
        <w:t>LAS</w:t>
      </w:r>
      <w:r>
        <w:rPr>
          <w:color w:val="803108"/>
          <w:spacing w:val="2"/>
          <w:w w:val="105"/>
          <w:sz w:val="9"/>
        </w:rPr>
        <w:t xml:space="preserve"> </w:t>
      </w:r>
      <w:r>
        <w:rPr>
          <w:color w:val="803108"/>
          <w:spacing w:val="-2"/>
          <w:w w:val="105"/>
          <w:sz w:val="9"/>
        </w:rPr>
        <w:t>MINORÍAS</w:t>
      </w:r>
    </w:p>
    <w:p w14:paraId="7913B755" w14:textId="77777777" w:rsidR="0014798C" w:rsidRDefault="0014798C">
      <w:pPr>
        <w:pStyle w:val="Textoindependiente"/>
      </w:pPr>
    </w:p>
    <w:p w14:paraId="046D238E" w14:textId="77777777" w:rsidR="0014798C" w:rsidRDefault="0014798C">
      <w:pPr>
        <w:pStyle w:val="Textoindependiente"/>
      </w:pPr>
    </w:p>
    <w:p w14:paraId="69F9B2CF" w14:textId="77777777" w:rsidR="0014798C" w:rsidRDefault="0014798C">
      <w:pPr>
        <w:pStyle w:val="Textoindependiente"/>
      </w:pPr>
    </w:p>
    <w:p w14:paraId="2B4DA031" w14:textId="77777777" w:rsidR="0014798C" w:rsidRDefault="0014798C">
      <w:pPr>
        <w:pStyle w:val="Textoindependiente"/>
      </w:pPr>
    </w:p>
    <w:p w14:paraId="5C074E57" w14:textId="77777777" w:rsidR="0014798C" w:rsidRDefault="0014798C">
      <w:pPr>
        <w:pStyle w:val="Textoindependiente"/>
        <w:spacing w:before="93"/>
      </w:pPr>
    </w:p>
    <w:p w14:paraId="1F5557F1" w14:textId="77777777" w:rsidR="0014798C" w:rsidRDefault="004E1F0B">
      <w:pPr>
        <w:pStyle w:val="Textoindependiente"/>
        <w:spacing w:line="326" w:lineRule="auto"/>
        <w:ind w:left="1330" w:right="1500" w:firstLine="2"/>
      </w:pPr>
      <w:r>
        <w:rPr>
          <w:noProof/>
        </w:rPr>
        <w:drawing>
          <wp:anchor distT="0" distB="0" distL="0" distR="0" simplePos="0" relativeHeight="251658467" behindDoc="1" locked="0" layoutInCell="1" allowOverlap="1" wp14:anchorId="55604173" wp14:editId="68BBC366">
            <wp:simplePos x="0" y="0"/>
            <wp:positionH relativeFrom="page">
              <wp:posOffset>795184</wp:posOffset>
            </wp:positionH>
            <wp:positionV relativeFrom="paragraph">
              <wp:posOffset>-157274</wp:posOffset>
            </wp:positionV>
            <wp:extent cx="6761315" cy="7804954"/>
            <wp:effectExtent l="0" t="0" r="0" b="0"/>
            <wp:wrapNone/>
            <wp:docPr id="300" name="Image 30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00" name="Image 300"/>
                    <pic:cNvPicPr/>
                  </pic:nvPicPr>
                  <pic:blipFill>
                    <a:blip r:embed="rId283" cstate="print"/>
                    <a:stretch>
                      <a:fillRect/>
                    </a:stretch>
                  </pic:blipFill>
                  <pic:spPr>
                    <a:xfrm>
                      <a:off x="0" y="0"/>
                      <a:ext cx="6761315" cy="7804954"/>
                    </a:xfrm>
                    <a:prstGeom prst="rect">
                      <a:avLst/>
                    </a:prstGeom>
                  </pic:spPr>
                </pic:pic>
              </a:graphicData>
            </a:graphic>
          </wp:anchor>
        </w:drawing>
      </w:r>
      <w:r>
        <w:t>más</w:t>
      </w:r>
      <w:r>
        <w:rPr>
          <w:spacing w:val="14"/>
        </w:rPr>
        <w:t xml:space="preserve"> </w:t>
      </w:r>
      <w:r>
        <w:t>bien</w:t>
      </w:r>
      <w:r>
        <w:rPr>
          <w:spacing w:val="14"/>
        </w:rPr>
        <w:t xml:space="preserve"> </w:t>
      </w:r>
      <w:r>
        <w:t>era</w:t>
      </w:r>
      <w:r>
        <w:rPr>
          <w:spacing w:val="14"/>
        </w:rPr>
        <w:t xml:space="preserve"> </w:t>
      </w:r>
      <w:r>
        <w:t>un</w:t>
      </w:r>
      <w:r>
        <w:rPr>
          <w:spacing w:val="14"/>
        </w:rPr>
        <w:t xml:space="preserve"> </w:t>
      </w:r>
      <w:r>
        <w:t>puesto</w:t>
      </w:r>
      <w:r>
        <w:rPr>
          <w:spacing w:val="14"/>
        </w:rPr>
        <w:t xml:space="preserve"> </w:t>
      </w:r>
      <w:r>
        <w:t>de</w:t>
      </w:r>
      <w:r>
        <w:rPr>
          <w:spacing w:val="14"/>
        </w:rPr>
        <w:t xml:space="preserve"> </w:t>
      </w:r>
      <w:r>
        <w:t>consultoría</w:t>
      </w:r>
      <w:r>
        <w:rPr>
          <w:spacing w:val="14"/>
        </w:rPr>
        <w:t xml:space="preserve"> </w:t>
      </w:r>
      <w:r>
        <w:t>para</w:t>
      </w:r>
      <w:r>
        <w:rPr>
          <w:spacing w:val="14"/>
        </w:rPr>
        <w:t xml:space="preserve"> </w:t>
      </w:r>
      <w:r>
        <w:t>redactar</w:t>
      </w:r>
      <w:r>
        <w:rPr>
          <w:spacing w:val="14"/>
        </w:rPr>
        <w:t xml:space="preserve"> </w:t>
      </w:r>
      <w:r>
        <w:t>un</w:t>
      </w:r>
      <w:r>
        <w:rPr>
          <w:spacing w:val="14"/>
        </w:rPr>
        <w:t xml:space="preserve"> </w:t>
      </w:r>
      <w:r>
        <w:t>informe</w:t>
      </w:r>
      <w:r>
        <w:rPr>
          <w:spacing w:val="14"/>
        </w:rPr>
        <w:t xml:space="preserve"> </w:t>
      </w:r>
      <w:r>
        <w:t>para</w:t>
      </w:r>
      <w:r>
        <w:rPr>
          <w:spacing w:val="14"/>
        </w:rPr>
        <w:t xml:space="preserve"> </w:t>
      </w:r>
      <w:r>
        <w:t>un</w:t>
      </w:r>
      <w:r>
        <w:rPr>
          <w:spacing w:val="14"/>
        </w:rPr>
        <w:t xml:space="preserve"> </w:t>
      </w:r>
      <w:r>
        <w:t>organismo</w:t>
      </w:r>
      <w:r>
        <w:rPr>
          <w:spacing w:val="15"/>
        </w:rPr>
        <w:t xml:space="preserve"> </w:t>
      </w:r>
      <w:r>
        <w:t>de</w:t>
      </w:r>
      <w:r>
        <w:rPr>
          <w:spacing w:val="14"/>
        </w:rPr>
        <w:t xml:space="preserve"> </w:t>
      </w:r>
      <w:r>
        <w:t>las</w:t>
      </w:r>
      <w:r>
        <w:rPr>
          <w:spacing w:val="14"/>
        </w:rPr>
        <w:t xml:space="preserve"> </w:t>
      </w:r>
      <w:r>
        <w:t>Naciones</w:t>
      </w:r>
      <w:r>
        <w:rPr>
          <w:spacing w:val="14"/>
        </w:rPr>
        <w:t xml:space="preserve"> </w:t>
      </w:r>
      <w:r>
        <w:t>Unidas,</w:t>
      </w:r>
      <w:r>
        <w:rPr>
          <w:spacing w:val="15"/>
        </w:rPr>
        <w:t xml:space="preserve"> </w:t>
      </w:r>
      <w:r>
        <w:t>puesto</w:t>
      </w:r>
      <w:r>
        <w:rPr>
          <w:spacing w:val="14"/>
        </w:rPr>
        <w:t xml:space="preserve"> </w:t>
      </w:r>
      <w:r>
        <w:t>para el que estaba cualificada.</w:t>
      </w:r>
      <w:r>
        <w:rPr>
          <w:spacing w:val="12"/>
        </w:rPr>
        <w:t xml:space="preserve"> </w:t>
      </w:r>
      <w:r>
        <w:t>El anuncio del puesto estipulaba que el candidato debía ser miembro</w:t>
      </w:r>
      <w:r>
        <w:rPr>
          <w:spacing w:val="12"/>
        </w:rPr>
        <w:t xml:space="preserve"> </w:t>
      </w:r>
      <w:r>
        <w:t>de una iglesia protestante.</w:t>
      </w:r>
      <w:r>
        <w:rPr>
          <w:spacing w:val="80"/>
        </w:rPr>
        <w:t xml:space="preserve"> </w:t>
      </w:r>
      <w:r>
        <w:t xml:space="preserve">La Sra. </w:t>
      </w:r>
      <w:proofErr w:type="spellStart"/>
      <w:r>
        <w:t>Egenberger</w:t>
      </w:r>
      <w:proofErr w:type="spellEnd"/>
      <w:r>
        <w:t xml:space="preserve"> fue preseleccionada pero no fue invitada a una entrevista de trabajo. </w:t>
      </w:r>
      <w:proofErr w:type="spellStart"/>
      <w:r>
        <w:t>Evangelisches</w:t>
      </w:r>
      <w:proofErr w:type="spellEnd"/>
      <w:r>
        <w:t xml:space="preserve"> </w:t>
      </w:r>
      <w:proofErr w:type="spellStart"/>
      <w:r>
        <w:t>Werk</w:t>
      </w:r>
      <w:proofErr w:type="spellEnd"/>
      <w:r>
        <w:t xml:space="preserve"> </w:t>
      </w:r>
      <w:proofErr w:type="spellStart"/>
      <w:r>
        <w:t>für</w:t>
      </w:r>
      <w:proofErr w:type="spellEnd"/>
      <w:r>
        <w:t xml:space="preserve"> </w:t>
      </w:r>
      <w:proofErr w:type="spellStart"/>
      <w:r>
        <w:t>Diakonie</w:t>
      </w:r>
      <w:proofErr w:type="spellEnd"/>
      <w:r>
        <w:t xml:space="preserve"> </w:t>
      </w:r>
      <w:proofErr w:type="spellStart"/>
      <w:r>
        <w:t>und</w:t>
      </w:r>
      <w:proofErr w:type="spellEnd"/>
      <w:r>
        <w:t xml:space="preserve"> </w:t>
      </w:r>
      <w:proofErr w:type="spellStart"/>
      <w:r>
        <w:t>Entwicklung</w:t>
      </w:r>
      <w:proofErr w:type="spellEnd"/>
      <w:r>
        <w:t xml:space="preserve"> finalmente rechazó la candidatura de la Sra. </w:t>
      </w:r>
      <w:proofErr w:type="spellStart"/>
      <w:r>
        <w:t>Egenberger</w:t>
      </w:r>
      <w:proofErr w:type="spellEnd"/>
      <w:r>
        <w:t xml:space="preserve"> para el puesto.</w:t>
      </w:r>
    </w:p>
    <w:p w14:paraId="281B8774" w14:textId="77777777" w:rsidR="0014798C" w:rsidRDefault="004E1F0B">
      <w:pPr>
        <w:pStyle w:val="Textoindependiente"/>
        <w:spacing w:before="111" w:line="326" w:lineRule="auto"/>
        <w:ind w:left="1329" w:right="1616" w:firstLine="3"/>
      </w:pPr>
      <w:r>
        <w:t xml:space="preserve">La Sra. </w:t>
      </w:r>
      <w:proofErr w:type="spellStart"/>
      <w:r>
        <w:t>Egenberger</w:t>
      </w:r>
      <w:proofErr w:type="spellEnd"/>
      <w:r>
        <w:t xml:space="preserve"> impugnó la denegación ante los tribunales alemanes, alegando que el proceso de selección y el tratamiento</w:t>
      </w:r>
      <w:r>
        <w:rPr>
          <w:spacing w:val="11"/>
        </w:rPr>
        <w:t xml:space="preserve"> </w:t>
      </w:r>
      <w:r>
        <w:t>correspondiente</w:t>
      </w:r>
      <w:r>
        <w:rPr>
          <w:spacing w:val="11"/>
        </w:rPr>
        <w:t xml:space="preserve"> </w:t>
      </w:r>
      <w:r>
        <w:t>no</w:t>
      </w:r>
      <w:r>
        <w:rPr>
          <w:spacing w:val="11"/>
        </w:rPr>
        <w:t xml:space="preserve"> </w:t>
      </w:r>
      <w:r>
        <w:t>eran</w:t>
      </w:r>
      <w:r>
        <w:rPr>
          <w:spacing w:val="11"/>
        </w:rPr>
        <w:t xml:space="preserve"> </w:t>
      </w:r>
      <w:r>
        <w:t>compatibles</w:t>
      </w:r>
      <w:r>
        <w:rPr>
          <w:spacing w:val="11"/>
        </w:rPr>
        <w:t xml:space="preserve"> </w:t>
      </w:r>
      <w:r>
        <w:t>con</w:t>
      </w:r>
      <w:r>
        <w:rPr>
          <w:spacing w:val="11"/>
        </w:rPr>
        <w:t xml:space="preserve"> </w:t>
      </w:r>
      <w:r>
        <w:t>la</w:t>
      </w:r>
      <w:r>
        <w:rPr>
          <w:spacing w:val="11"/>
        </w:rPr>
        <w:t xml:space="preserve"> </w:t>
      </w:r>
      <w:r>
        <w:t>prohibición</w:t>
      </w:r>
      <w:r>
        <w:rPr>
          <w:spacing w:val="11"/>
        </w:rPr>
        <w:t xml:space="preserve"> </w:t>
      </w:r>
      <w:r>
        <w:t>de</w:t>
      </w:r>
      <w:r>
        <w:rPr>
          <w:spacing w:val="11"/>
        </w:rPr>
        <w:t xml:space="preserve"> </w:t>
      </w:r>
      <w:r>
        <w:t>discriminación</w:t>
      </w:r>
      <w:r>
        <w:rPr>
          <w:spacing w:val="12"/>
        </w:rPr>
        <w:t xml:space="preserve"> </w:t>
      </w:r>
      <w:r>
        <w:t>por</w:t>
      </w:r>
      <w:r>
        <w:rPr>
          <w:spacing w:val="11"/>
        </w:rPr>
        <w:t xml:space="preserve"> </w:t>
      </w:r>
      <w:r>
        <w:t>motivos</w:t>
      </w:r>
      <w:r>
        <w:rPr>
          <w:spacing w:val="11"/>
        </w:rPr>
        <w:t xml:space="preserve"> </w:t>
      </w:r>
      <w:r>
        <w:t>de</w:t>
      </w:r>
      <w:r>
        <w:rPr>
          <w:spacing w:val="11"/>
        </w:rPr>
        <w:t xml:space="preserve"> </w:t>
      </w:r>
      <w:r>
        <w:t>religión</w:t>
      </w:r>
      <w:r>
        <w:rPr>
          <w:spacing w:val="11"/>
        </w:rPr>
        <w:t xml:space="preserve"> </w:t>
      </w:r>
      <w:r>
        <w:t>o</w:t>
      </w:r>
      <w:r>
        <w:rPr>
          <w:spacing w:val="11"/>
        </w:rPr>
        <w:t xml:space="preserve"> </w:t>
      </w:r>
      <w:r>
        <w:t xml:space="preserve">creencias y se refirió a la Ley general alemana sobre igualdad de trato y a la Directiva de la Unión Europea que prohíbe la discriminación. en el empleo por motivos de religión o creencias.1018 </w:t>
      </w:r>
      <w:proofErr w:type="spellStart"/>
      <w:r>
        <w:t>Evangelisches</w:t>
      </w:r>
      <w:proofErr w:type="spellEnd"/>
      <w:r>
        <w:t xml:space="preserve"> </w:t>
      </w:r>
      <w:proofErr w:type="spellStart"/>
      <w:r>
        <w:t>Werk</w:t>
      </w:r>
      <w:proofErr w:type="spellEnd"/>
      <w:r>
        <w:t xml:space="preserve"> </w:t>
      </w:r>
      <w:proofErr w:type="spellStart"/>
      <w:r>
        <w:t>für</w:t>
      </w:r>
      <w:proofErr w:type="spellEnd"/>
      <w:r>
        <w:t xml:space="preserve"> </w:t>
      </w:r>
      <w:proofErr w:type="spellStart"/>
      <w:r>
        <w:t>Diakonie</w:t>
      </w:r>
      <w:proofErr w:type="spellEnd"/>
      <w:r>
        <w:t xml:space="preserve"> </w:t>
      </w:r>
      <w:proofErr w:type="spellStart"/>
      <w:r>
        <w:t>und</w:t>
      </w:r>
      <w:proofErr w:type="spellEnd"/>
      <w:r>
        <w:t xml:space="preserve"> </w:t>
      </w:r>
      <w:proofErr w:type="spellStart"/>
      <w:r>
        <w:t>Entwicklung</w:t>
      </w:r>
      <w:proofErr w:type="spellEnd"/>
      <w:r>
        <w:t xml:space="preserve"> argumentó, entre otras cosas, que la religión era un requisito ocupacional legítimo, a pesar de la falta de contenido</w:t>
      </w:r>
      <w:r>
        <w:rPr>
          <w:spacing w:val="80"/>
        </w:rPr>
        <w:t xml:space="preserve"> </w:t>
      </w:r>
      <w:r>
        <w:t>religioso</w:t>
      </w:r>
      <w:r>
        <w:rPr>
          <w:spacing w:val="15"/>
        </w:rPr>
        <w:t xml:space="preserve"> </w:t>
      </w:r>
      <w:r>
        <w:t>relacionado</w:t>
      </w:r>
      <w:r>
        <w:rPr>
          <w:spacing w:val="15"/>
        </w:rPr>
        <w:t xml:space="preserve"> </w:t>
      </w:r>
      <w:r>
        <w:t>con</w:t>
      </w:r>
      <w:r>
        <w:rPr>
          <w:spacing w:val="15"/>
        </w:rPr>
        <w:t xml:space="preserve"> </w:t>
      </w:r>
      <w:r>
        <w:t>el</w:t>
      </w:r>
      <w:r>
        <w:rPr>
          <w:spacing w:val="15"/>
        </w:rPr>
        <w:t xml:space="preserve"> </w:t>
      </w:r>
      <w:r>
        <w:t>puesto</w:t>
      </w:r>
      <w:r>
        <w:rPr>
          <w:spacing w:val="15"/>
        </w:rPr>
        <w:t xml:space="preserve"> </w:t>
      </w:r>
      <w:r>
        <w:t>en</w:t>
      </w:r>
      <w:r>
        <w:rPr>
          <w:spacing w:val="15"/>
        </w:rPr>
        <w:t xml:space="preserve"> </w:t>
      </w:r>
      <w:r>
        <w:t>cuestión.</w:t>
      </w:r>
      <w:r>
        <w:rPr>
          <w:spacing w:val="16"/>
        </w:rPr>
        <w:t xml:space="preserve"> </w:t>
      </w:r>
      <w:r>
        <w:t>El</w:t>
      </w:r>
      <w:r>
        <w:rPr>
          <w:spacing w:val="15"/>
        </w:rPr>
        <w:t xml:space="preserve"> </w:t>
      </w:r>
      <w:r>
        <w:t>Tribunal</w:t>
      </w:r>
      <w:r>
        <w:rPr>
          <w:spacing w:val="15"/>
        </w:rPr>
        <w:t xml:space="preserve"> </w:t>
      </w:r>
      <w:r>
        <w:t>Laboral</w:t>
      </w:r>
      <w:r>
        <w:rPr>
          <w:spacing w:val="15"/>
        </w:rPr>
        <w:t xml:space="preserve"> </w:t>
      </w:r>
      <w:r>
        <w:t>de</w:t>
      </w:r>
      <w:r>
        <w:rPr>
          <w:spacing w:val="15"/>
        </w:rPr>
        <w:t xml:space="preserve"> </w:t>
      </w:r>
      <w:r>
        <w:t>Berlín</w:t>
      </w:r>
      <w:r>
        <w:rPr>
          <w:spacing w:val="15"/>
        </w:rPr>
        <w:t xml:space="preserve"> </w:t>
      </w:r>
      <w:r>
        <w:t>consideró</w:t>
      </w:r>
      <w:r>
        <w:rPr>
          <w:spacing w:val="16"/>
        </w:rPr>
        <w:t xml:space="preserve"> </w:t>
      </w:r>
      <w:r>
        <w:t>que</w:t>
      </w:r>
      <w:r>
        <w:rPr>
          <w:spacing w:val="15"/>
        </w:rPr>
        <w:t xml:space="preserve"> </w:t>
      </w:r>
      <w:r>
        <w:t>la</w:t>
      </w:r>
      <w:r>
        <w:rPr>
          <w:spacing w:val="15"/>
        </w:rPr>
        <w:t xml:space="preserve"> </w:t>
      </w:r>
      <w:r>
        <w:t>Sra.</w:t>
      </w:r>
      <w:r>
        <w:rPr>
          <w:spacing w:val="16"/>
        </w:rPr>
        <w:t xml:space="preserve"> </w:t>
      </w:r>
      <w:proofErr w:type="spellStart"/>
      <w:r>
        <w:t>Egenberger</w:t>
      </w:r>
      <w:proofErr w:type="spellEnd"/>
      <w:r>
        <w:rPr>
          <w:spacing w:val="15"/>
        </w:rPr>
        <w:t xml:space="preserve"> </w:t>
      </w:r>
      <w:r>
        <w:t>había sido objeto de discriminación, pero limitó la indemnización concedida en el caso. Posteriormente, el caso fue remitido al Tribunal de Justicia de la Unión Europea.</w:t>
      </w:r>
    </w:p>
    <w:p w14:paraId="43282AE2" w14:textId="77777777" w:rsidR="0014798C" w:rsidRDefault="004E1F0B">
      <w:pPr>
        <w:pStyle w:val="Textoindependiente"/>
        <w:spacing w:before="110" w:line="326" w:lineRule="auto"/>
        <w:ind w:left="1334" w:right="1499" w:hanging="2"/>
      </w:pPr>
      <w:r>
        <w:t xml:space="preserve">En abril de 2018, el Tribunal de Justicia de la Unión Europea falló a favor de la Sra. </w:t>
      </w:r>
      <w:proofErr w:type="spellStart"/>
      <w:r>
        <w:t>Egenberger</w:t>
      </w:r>
      <w:proofErr w:type="spellEnd"/>
      <w:r>
        <w:t>, sosteniendo, entre otras cosas,</w:t>
      </w:r>
      <w:r>
        <w:rPr>
          <w:spacing w:val="15"/>
        </w:rPr>
        <w:t xml:space="preserve"> </w:t>
      </w:r>
      <w:r>
        <w:t>que</w:t>
      </w:r>
      <w:r>
        <w:rPr>
          <w:spacing w:val="13"/>
        </w:rPr>
        <w:t xml:space="preserve"> </w:t>
      </w:r>
      <w:r>
        <w:t>cualquier</w:t>
      </w:r>
      <w:r>
        <w:rPr>
          <w:spacing w:val="13"/>
        </w:rPr>
        <w:t xml:space="preserve"> </w:t>
      </w:r>
      <w:r>
        <w:t>requisito</w:t>
      </w:r>
      <w:r>
        <w:rPr>
          <w:spacing w:val="13"/>
        </w:rPr>
        <w:t xml:space="preserve"> </w:t>
      </w:r>
      <w:r>
        <w:t>de</w:t>
      </w:r>
      <w:r>
        <w:rPr>
          <w:spacing w:val="13"/>
        </w:rPr>
        <w:t xml:space="preserve"> </w:t>
      </w:r>
      <w:r>
        <w:t>religión</w:t>
      </w:r>
      <w:r>
        <w:rPr>
          <w:spacing w:val="13"/>
        </w:rPr>
        <w:t xml:space="preserve"> </w:t>
      </w:r>
      <w:r>
        <w:t>o</w:t>
      </w:r>
      <w:r>
        <w:rPr>
          <w:spacing w:val="13"/>
        </w:rPr>
        <w:t xml:space="preserve"> </w:t>
      </w:r>
      <w:r>
        <w:t>creencia</w:t>
      </w:r>
      <w:r>
        <w:rPr>
          <w:spacing w:val="15"/>
        </w:rPr>
        <w:t xml:space="preserve"> </w:t>
      </w:r>
      <w:r>
        <w:t>debe</w:t>
      </w:r>
      <w:r>
        <w:rPr>
          <w:spacing w:val="13"/>
        </w:rPr>
        <w:t xml:space="preserve"> </w:t>
      </w:r>
      <w:r>
        <w:t>ser</w:t>
      </w:r>
      <w:r>
        <w:rPr>
          <w:spacing w:val="13"/>
        </w:rPr>
        <w:t xml:space="preserve"> </w:t>
      </w:r>
      <w:r>
        <w:t>proporcionado.</w:t>
      </w:r>
      <w:r>
        <w:rPr>
          <w:spacing w:val="16"/>
        </w:rPr>
        <w:t xml:space="preserve"> </w:t>
      </w:r>
      <w:r>
        <w:t>La</w:t>
      </w:r>
      <w:r>
        <w:rPr>
          <w:spacing w:val="13"/>
        </w:rPr>
        <w:t xml:space="preserve"> </w:t>
      </w:r>
      <w:r>
        <w:t>autopercepción</w:t>
      </w:r>
      <w:r>
        <w:rPr>
          <w:spacing w:val="13"/>
        </w:rPr>
        <w:t xml:space="preserve"> </w:t>
      </w:r>
      <w:r>
        <w:t>de</w:t>
      </w:r>
      <w:r>
        <w:rPr>
          <w:spacing w:val="13"/>
        </w:rPr>
        <w:t xml:space="preserve"> </w:t>
      </w:r>
      <w:r>
        <w:t>una</w:t>
      </w:r>
      <w:r>
        <w:rPr>
          <w:spacing w:val="13"/>
        </w:rPr>
        <w:t xml:space="preserve"> </w:t>
      </w:r>
      <w:r>
        <w:t>organización</w:t>
      </w:r>
      <w:r>
        <w:rPr>
          <w:spacing w:val="15"/>
        </w:rPr>
        <w:t xml:space="preserve"> </w:t>
      </w:r>
      <w:r>
        <w:t>no es suficiente a este respecto.1019</w:t>
      </w:r>
    </w:p>
    <w:p w14:paraId="7701ED59" w14:textId="77777777" w:rsidR="0014798C" w:rsidRDefault="004E1F0B">
      <w:pPr>
        <w:pStyle w:val="Prrafodelista"/>
        <w:numPr>
          <w:ilvl w:val="0"/>
          <w:numId w:val="20"/>
        </w:numPr>
        <w:tabs>
          <w:tab w:val="left" w:pos="1463"/>
        </w:tabs>
        <w:spacing w:before="353"/>
        <w:ind w:left="1463" w:hanging="346"/>
        <w:rPr>
          <w:color w:val="803108"/>
          <w:sz w:val="31"/>
        </w:rPr>
      </w:pPr>
      <w:r>
        <w:rPr>
          <w:noProof/>
        </w:rPr>
        <mc:AlternateContent>
          <mc:Choice Requires="wps">
            <w:drawing>
              <wp:anchor distT="0" distB="0" distL="0" distR="0" simplePos="0" relativeHeight="251658315" behindDoc="0" locked="0" layoutInCell="1" allowOverlap="1" wp14:anchorId="06440C1B" wp14:editId="7B91186F">
                <wp:simplePos x="0" y="0"/>
                <wp:positionH relativeFrom="page">
                  <wp:posOffset>7293418</wp:posOffset>
                </wp:positionH>
                <wp:positionV relativeFrom="paragraph">
                  <wp:posOffset>230119</wp:posOffset>
                </wp:positionV>
                <wp:extent cx="104775" cy="260985"/>
                <wp:effectExtent l="0" t="0" r="0" b="0"/>
                <wp:wrapNone/>
                <wp:docPr id="301" name="Textbox 30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04775" cy="260985"/>
                        </a:xfrm>
                        <a:prstGeom prst="rect">
                          <a:avLst/>
                        </a:prstGeom>
                      </wps:spPr>
                      <wps:txbx>
                        <w:txbxContent>
                          <w:p w14:paraId="0C4DF6EC" w14:textId="77777777" w:rsidR="0014798C" w:rsidRDefault="004E1F0B">
                            <w:pPr>
                              <w:spacing w:before="17"/>
                              <w:ind w:left="20"/>
                              <w:rPr>
                                <w:sz w:val="11"/>
                              </w:rPr>
                            </w:pPr>
                            <w:r>
                              <w:rPr>
                                <w:color w:val="FFFFFF"/>
                                <w:spacing w:val="-33"/>
                                <w:sz w:val="11"/>
                              </w:rPr>
                              <w:t>TPRAERSTE</w:t>
                            </w:r>
                          </w:p>
                        </w:txbxContent>
                      </wps:txbx>
                      <wps:bodyPr vert="vert270" wrap="square" lIns="0" tIns="0" rIns="0" bIns="0" rtlCol="0">
                        <a:noAutofit/>
                      </wps:bodyPr>
                    </wps:wsp>
                  </a:graphicData>
                </a:graphic>
              </wp:anchor>
            </w:drawing>
          </mc:Choice>
          <mc:Fallback>
            <w:pict>
              <v:shape w14:anchorId="06440C1B" id="Textbox 301" o:spid="_x0000_s1146" type="#_x0000_t202" style="position:absolute;left:0;text-align:left;margin-left:574.3pt;margin-top:18.1pt;width:8.25pt;height:20.55pt;z-index:251658315;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" filled="f" stroked="f">
                <v:textbox style="layout-flow:vertical;mso-layout-flow-alt:bottom-to-top" inset="0,0,0,0">
                  <w:txbxContent>
                    <w:p w14:paraId="0C4DF6EC" w14:textId="77777777" w:rsidR="0014798C" w:rsidRDefault="004E1F0B">
                      <w:pPr>
                        <w:spacing w:before="17"/>
                        <w:ind w:left="20"/>
                        <w:rPr>
                          <w:sz w:val="11"/>
                        </w:rPr>
                      </w:pPr>
                      <w:r>
                        <w:rPr>
                          <w:color w:val="FFFFFF"/>
                          <w:spacing w:val="-33"/>
                          <w:sz w:val="11"/>
                        </w:rPr>
                        <w:t>TPRAERSTE</w:t>
                      </w:r>
                    </w:p>
                  </w:txbxContent>
                </v:textbox>
                <w10:wrap anchorx="page"/>
              </v:shape>
            </w:pict>
          </mc:Fallback>
        </mc:AlternateContent>
      </w:r>
      <w:r>
        <w:rPr>
          <w:color w:val="803108"/>
          <w:sz w:val="31"/>
        </w:rPr>
        <w:t>Ajustes</w:t>
      </w:r>
      <w:r>
        <w:rPr>
          <w:color w:val="803108"/>
          <w:spacing w:val="7"/>
          <w:sz w:val="31"/>
        </w:rPr>
        <w:t xml:space="preserve"> </w:t>
      </w:r>
      <w:r>
        <w:rPr>
          <w:color w:val="803108"/>
          <w:sz w:val="31"/>
        </w:rPr>
        <w:t>razonables</w:t>
      </w:r>
      <w:r>
        <w:rPr>
          <w:color w:val="803108"/>
          <w:spacing w:val="8"/>
          <w:sz w:val="31"/>
        </w:rPr>
        <w:t xml:space="preserve"> </w:t>
      </w:r>
      <w:r>
        <w:rPr>
          <w:color w:val="803108"/>
          <w:sz w:val="31"/>
        </w:rPr>
        <w:t>y</w:t>
      </w:r>
      <w:r>
        <w:rPr>
          <w:color w:val="803108"/>
          <w:spacing w:val="8"/>
          <w:sz w:val="31"/>
        </w:rPr>
        <w:t xml:space="preserve"> </w:t>
      </w:r>
      <w:r>
        <w:rPr>
          <w:color w:val="803108"/>
          <w:sz w:val="31"/>
        </w:rPr>
        <w:t>práctica</w:t>
      </w:r>
      <w:r>
        <w:rPr>
          <w:color w:val="803108"/>
          <w:spacing w:val="7"/>
          <w:sz w:val="31"/>
        </w:rPr>
        <w:t xml:space="preserve"> </w:t>
      </w:r>
      <w:r>
        <w:rPr>
          <w:color w:val="803108"/>
          <w:spacing w:val="-2"/>
          <w:sz w:val="31"/>
        </w:rPr>
        <w:t>religiosa</w:t>
      </w:r>
    </w:p>
    <w:p w14:paraId="1FFB79F4" w14:textId="77777777" w:rsidR="0014798C" w:rsidRDefault="0014798C">
      <w:pPr>
        <w:pStyle w:val="Textoindependiente"/>
        <w:spacing w:before="27"/>
      </w:pPr>
    </w:p>
    <w:p w14:paraId="0D823A9E" w14:textId="77777777" w:rsidR="0014798C" w:rsidRDefault="004E1F0B">
      <w:pPr>
        <w:pStyle w:val="Textoindependiente"/>
        <w:spacing w:line="326" w:lineRule="auto"/>
        <w:ind w:left="1111" w:right="1272" w:hanging="3"/>
      </w:pPr>
      <w:r>
        <w:t>Dependiendo de la doctrina o práctica religiosa o de creencias determinada, así como de las creencias del creyente o practicante individual,</w:t>
      </w:r>
      <w:r>
        <w:rPr>
          <w:spacing w:val="21"/>
        </w:rPr>
        <w:t xml:space="preserve"> </w:t>
      </w:r>
      <w:r>
        <w:t>algunas</w:t>
      </w:r>
      <w:r>
        <w:rPr>
          <w:spacing w:val="20"/>
        </w:rPr>
        <w:t xml:space="preserve"> </w:t>
      </w:r>
      <w:r>
        <w:t>religiones</w:t>
      </w:r>
      <w:r>
        <w:rPr>
          <w:spacing w:val="20"/>
        </w:rPr>
        <w:t xml:space="preserve"> </w:t>
      </w:r>
      <w:r>
        <w:t>o</w:t>
      </w:r>
      <w:r>
        <w:rPr>
          <w:spacing w:val="20"/>
        </w:rPr>
        <w:t xml:space="preserve"> </w:t>
      </w:r>
      <w:r>
        <w:t>creencias</w:t>
      </w:r>
      <w:r>
        <w:rPr>
          <w:spacing w:val="20"/>
        </w:rPr>
        <w:t xml:space="preserve"> </w:t>
      </w:r>
      <w:r>
        <w:t>pueden</w:t>
      </w:r>
      <w:r>
        <w:rPr>
          <w:spacing w:val="20"/>
        </w:rPr>
        <w:t xml:space="preserve"> </w:t>
      </w:r>
      <w:r>
        <w:t>incluir</w:t>
      </w:r>
      <w:r>
        <w:rPr>
          <w:spacing w:val="20"/>
        </w:rPr>
        <w:t xml:space="preserve"> </w:t>
      </w:r>
      <w:r>
        <w:t>reglas</w:t>
      </w:r>
      <w:r>
        <w:rPr>
          <w:spacing w:val="20"/>
        </w:rPr>
        <w:t xml:space="preserve"> </w:t>
      </w:r>
      <w:r>
        <w:t>o</w:t>
      </w:r>
      <w:r>
        <w:rPr>
          <w:spacing w:val="20"/>
        </w:rPr>
        <w:t xml:space="preserve"> </w:t>
      </w:r>
      <w:r>
        <w:t>prácticas</w:t>
      </w:r>
      <w:r>
        <w:rPr>
          <w:spacing w:val="20"/>
        </w:rPr>
        <w:t xml:space="preserve"> </w:t>
      </w:r>
      <w:r>
        <w:t>que</w:t>
      </w:r>
      <w:r>
        <w:rPr>
          <w:spacing w:val="20"/>
        </w:rPr>
        <w:t xml:space="preserve"> </w:t>
      </w:r>
      <w:r>
        <w:t>requieren</w:t>
      </w:r>
      <w:r>
        <w:rPr>
          <w:spacing w:val="20"/>
        </w:rPr>
        <w:t xml:space="preserve"> </w:t>
      </w:r>
      <w:r>
        <w:t>ajustes</w:t>
      </w:r>
      <w:r>
        <w:rPr>
          <w:spacing w:val="20"/>
        </w:rPr>
        <w:t xml:space="preserve"> </w:t>
      </w:r>
      <w:r>
        <w:t>razonables,</w:t>
      </w:r>
      <w:r>
        <w:rPr>
          <w:spacing w:val="23"/>
        </w:rPr>
        <w:t xml:space="preserve"> </w:t>
      </w:r>
      <w:r>
        <w:t>en</w:t>
      </w:r>
      <w:r>
        <w:rPr>
          <w:spacing w:val="20"/>
        </w:rPr>
        <w:t xml:space="preserve"> </w:t>
      </w:r>
      <w:r>
        <w:t>particular (aunque no exclusivamente) en los sectores del empleo, la educación y la salud. campos.</w:t>
      </w:r>
    </w:p>
    <w:p w14:paraId="580F82FC" w14:textId="77777777" w:rsidR="0014798C" w:rsidRDefault="004E1F0B">
      <w:pPr>
        <w:pStyle w:val="Textoindependiente"/>
        <w:spacing w:line="326" w:lineRule="auto"/>
        <w:ind w:left="1107" w:right="1272" w:firstLine="5"/>
      </w:pPr>
      <w:r>
        <w:t>De manera similar, dependiendo nuevamente de la comunidad en cuestión, su doctrina y las creencias particulares del individuo, una persona puede tener derecho a “optar por no participar” en ciertas prácticas. Esas prácticas no deberían seguir ninguna discriminación. No atender solicitudes que no resulten en discriminación contra otros constituirá discriminación.</w:t>
      </w:r>
    </w:p>
    <w:p w14:paraId="6620D13D" w14:textId="77777777" w:rsidR="0014798C" w:rsidRDefault="0014798C">
      <w:pPr>
        <w:pStyle w:val="Textoindependiente"/>
      </w:pPr>
    </w:p>
    <w:p w14:paraId="14080D3F" w14:textId="77777777" w:rsidR="0014798C" w:rsidRDefault="0014798C">
      <w:pPr>
        <w:pStyle w:val="Textoindependiente"/>
        <w:spacing w:before="49"/>
      </w:pPr>
    </w:p>
    <w:p w14:paraId="13F0D593" w14:textId="77777777" w:rsidR="0014798C" w:rsidRDefault="004E1F0B">
      <w:pPr>
        <w:pStyle w:val="Textoindependiente"/>
        <w:spacing w:line="326" w:lineRule="auto"/>
        <w:ind w:left="1111" w:right="1400" w:hanging="4"/>
      </w:pPr>
      <w:r>
        <w:t>En un informe de 2014 al Consejo de Derechos Humanos, el Relator Especial sobre la libertad de religión o de creencias abogó por ampliar las disposiciones de ajustes razonables –desarrolladas principalmente dentro de la prohibición de la discriminación</w:t>
      </w:r>
      <w:r>
        <w:rPr>
          <w:spacing w:val="80"/>
        </w:rPr>
        <w:t xml:space="preserve"> </w:t>
      </w:r>
      <w:r>
        <w:t>por motivos de discapacidad– a las minorías religiosas o de creencias:</w:t>
      </w:r>
    </w:p>
    <w:p w14:paraId="193E17E9" w14:textId="77777777" w:rsidR="0014798C" w:rsidRDefault="004E1F0B">
      <w:pPr>
        <w:pStyle w:val="Textoindependiente"/>
        <w:spacing w:before="112" w:line="326" w:lineRule="auto"/>
        <w:ind w:left="1674" w:right="1499" w:hanging="2"/>
      </w:pPr>
      <w:r>
        <w:rPr>
          <w:color w:val="803108"/>
        </w:rPr>
        <w:t>A</w:t>
      </w:r>
      <w:r>
        <w:rPr>
          <w:color w:val="803108"/>
          <w:spacing w:val="17"/>
        </w:rPr>
        <w:t xml:space="preserve"> </w:t>
      </w:r>
      <w:r>
        <w:rPr>
          <w:color w:val="803108"/>
        </w:rPr>
        <w:t>nivel</w:t>
      </w:r>
      <w:r>
        <w:rPr>
          <w:color w:val="803108"/>
          <w:spacing w:val="17"/>
        </w:rPr>
        <w:t xml:space="preserve"> </w:t>
      </w:r>
      <w:r>
        <w:rPr>
          <w:color w:val="803108"/>
        </w:rPr>
        <w:t>de</w:t>
      </w:r>
      <w:r>
        <w:rPr>
          <w:color w:val="803108"/>
          <w:spacing w:val="17"/>
        </w:rPr>
        <w:t xml:space="preserve"> </w:t>
      </w:r>
      <w:r>
        <w:rPr>
          <w:color w:val="803108"/>
        </w:rPr>
        <w:t>instituciones</w:t>
      </w:r>
      <w:r>
        <w:rPr>
          <w:color w:val="803108"/>
          <w:spacing w:val="17"/>
        </w:rPr>
        <w:t xml:space="preserve"> </w:t>
      </w:r>
      <w:r>
        <w:rPr>
          <w:color w:val="803108"/>
        </w:rPr>
        <w:t>específicas,</w:t>
      </w:r>
      <w:r>
        <w:rPr>
          <w:color w:val="803108"/>
          <w:spacing w:val="19"/>
        </w:rPr>
        <w:t xml:space="preserve"> </w:t>
      </w:r>
      <w:r>
        <w:rPr>
          <w:color w:val="803108"/>
        </w:rPr>
        <w:t>se</w:t>
      </w:r>
      <w:r>
        <w:rPr>
          <w:color w:val="803108"/>
          <w:spacing w:val="17"/>
        </w:rPr>
        <w:t xml:space="preserve"> </w:t>
      </w:r>
      <w:r>
        <w:rPr>
          <w:color w:val="803108"/>
        </w:rPr>
        <w:t>necesita</w:t>
      </w:r>
      <w:r>
        <w:rPr>
          <w:color w:val="803108"/>
          <w:spacing w:val="17"/>
        </w:rPr>
        <w:t xml:space="preserve"> </w:t>
      </w:r>
      <w:r>
        <w:rPr>
          <w:color w:val="803108"/>
        </w:rPr>
        <w:t>una</w:t>
      </w:r>
      <w:r>
        <w:rPr>
          <w:color w:val="803108"/>
          <w:spacing w:val="17"/>
        </w:rPr>
        <w:t xml:space="preserve"> </w:t>
      </w:r>
      <w:r>
        <w:rPr>
          <w:color w:val="803108"/>
        </w:rPr>
        <w:t>cultura</w:t>
      </w:r>
      <w:r>
        <w:rPr>
          <w:color w:val="803108"/>
          <w:spacing w:val="17"/>
        </w:rPr>
        <w:t xml:space="preserve"> </w:t>
      </w:r>
      <w:r>
        <w:rPr>
          <w:color w:val="803108"/>
        </w:rPr>
        <w:t>de</w:t>
      </w:r>
      <w:r>
        <w:rPr>
          <w:color w:val="803108"/>
          <w:spacing w:val="17"/>
        </w:rPr>
        <w:t xml:space="preserve"> </w:t>
      </w:r>
      <w:r>
        <w:rPr>
          <w:color w:val="803108"/>
        </w:rPr>
        <w:t>comunicación</w:t>
      </w:r>
      <w:r>
        <w:rPr>
          <w:color w:val="803108"/>
          <w:spacing w:val="19"/>
        </w:rPr>
        <w:t xml:space="preserve"> </w:t>
      </w:r>
      <w:r>
        <w:rPr>
          <w:color w:val="803108"/>
        </w:rPr>
        <w:t>confiable</w:t>
      </w:r>
      <w:r>
        <w:rPr>
          <w:color w:val="803108"/>
          <w:spacing w:val="17"/>
        </w:rPr>
        <w:t xml:space="preserve"> </w:t>
      </w:r>
      <w:r>
        <w:rPr>
          <w:color w:val="803108"/>
        </w:rPr>
        <w:t>y</w:t>
      </w:r>
      <w:r>
        <w:rPr>
          <w:color w:val="803108"/>
          <w:spacing w:val="17"/>
        </w:rPr>
        <w:t xml:space="preserve"> </w:t>
      </w:r>
      <w:r>
        <w:rPr>
          <w:color w:val="803108"/>
        </w:rPr>
        <w:t>respetuosa</w:t>
      </w:r>
      <w:r>
        <w:rPr>
          <w:color w:val="803108"/>
          <w:spacing w:val="17"/>
        </w:rPr>
        <w:t xml:space="preserve"> </w:t>
      </w:r>
      <w:r>
        <w:rPr>
          <w:color w:val="803108"/>
        </w:rPr>
        <w:t>para</w:t>
      </w:r>
      <w:r>
        <w:rPr>
          <w:color w:val="803108"/>
          <w:spacing w:val="17"/>
        </w:rPr>
        <w:t xml:space="preserve"> </w:t>
      </w:r>
      <w:r>
        <w:rPr>
          <w:color w:val="803108"/>
        </w:rPr>
        <w:t>identificar las necesidades específicas de las personas pertenecientes a minorías religiosas o de creencias. … La consagración del principio de ajustes razonables en la Convención sobre los derechos de las personas con discapacidad debería servir como punto de partida para discutir el papel de medidas similares en otras áreas de la lucha contra la discriminación,</w:t>
      </w:r>
      <w:r>
        <w:rPr>
          <w:color w:val="803108"/>
          <w:spacing w:val="20"/>
        </w:rPr>
        <w:t xml:space="preserve"> </w:t>
      </w:r>
      <w:r>
        <w:rPr>
          <w:color w:val="803108"/>
        </w:rPr>
        <w:t>incluso</w:t>
      </w:r>
      <w:r>
        <w:rPr>
          <w:color w:val="803108"/>
          <w:spacing w:val="17"/>
        </w:rPr>
        <w:t xml:space="preserve"> </w:t>
      </w:r>
      <w:r>
        <w:rPr>
          <w:color w:val="803108"/>
        </w:rPr>
        <w:t>por</w:t>
      </w:r>
      <w:r>
        <w:rPr>
          <w:color w:val="803108"/>
          <w:spacing w:val="17"/>
        </w:rPr>
        <w:t xml:space="preserve"> </w:t>
      </w:r>
      <w:r>
        <w:rPr>
          <w:color w:val="803108"/>
        </w:rPr>
        <w:t>motivos</w:t>
      </w:r>
      <w:r>
        <w:rPr>
          <w:color w:val="803108"/>
          <w:spacing w:val="17"/>
        </w:rPr>
        <w:t xml:space="preserve"> </w:t>
      </w:r>
      <w:r>
        <w:rPr>
          <w:color w:val="803108"/>
        </w:rPr>
        <w:t>de</w:t>
      </w:r>
      <w:r>
        <w:rPr>
          <w:color w:val="803108"/>
          <w:spacing w:val="17"/>
        </w:rPr>
        <w:t xml:space="preserve"> </w:t>
      </w:r>
      <w:r>
        <w:rPr>
          <w:color w:val="803108"/>
        </w:rPr>
        <w:t>religión</w:t>
      </w:r>
      <w:r>
        <w:rPr>
          <w:color w:val="803108"/>
          <w:spacing w:val="17"/>
        </w:rPr>
        <w:t xml:space="preserve"> </w:t>
      </w:r>
      <w:r>
        <w:rPr>
          <w:color w:val="803108"/>
        </w:rPr>
        <w:t>o</w:t>
      </w:r>
      <w:r>
        <w:rPr>
          <w:color w:val="803108"/>
          <w:spacing w:val="17"/>
        </w:rPr>
        <w:t xml:space="preserve"> </w:t>
      </w:r>
      <w:r>
        <w:rPr>
          <w:color w:val="803108"/>
        </w:rPr>
        <w:t>creencias.</w:t>
      </w:r>
      <w:r>
        <w:rPr>
          <w:color w:val="803108"/>
          <w:spacing w:val="19"/>
        </w:rPr>
        <w:t xml:space="preserve"> </w:t>
      </w:r>
      <w:r>
        <w:rPr>
          <w:color w:val="803108"/>
        </w:rPr>
        <w:t>Las</w:t>
      </w:r>
      <w:r>
        <w:rPr>
          <w:color w:val="803108"/>
          <w:spacing w:val="17"/>
        </w:rPr>
        <w:t xml:space="preserve"> </w:t>
      </w:r>
      <w:r>
        <w:rPr>
          <w:color w:val="803108"/>
        </w:rPr>
        <w:t>políticas</w:t>
      </w:r>
      <w:r>
        <w:rPr>
          <w:color w:val="803108"/>
          <w:spacing w:val="17"/>
        </w:rPr>
        <w:t xml:space="preserve"> </w:t>
      </w:r>
      <w:r>
        <w:rPr>
          <w:color w:val="803108"/>
        </w:rPr>
        <w:t>para</w:t>
      </w:r>
      <w:r>
        <w:rPr>
          <w:color w:val="803108"/>
          <w:spacing w:val="17"/>
        </w:rPr>
        <w:t xml:space="preserve"> </w:t>
      </w:r>
      <w:r>
        <w:rPr>
          <w:color w:val="803108"/>
        </w:rPr>
        <w:t>eliminar</w:t>
      </w:r>
      <w:r>
        <w:rPr>
          <w:color w:val="803108"/>
          <w:spacing w:val="17"/>
        </w:rPr>
        <w:t xml:space="preserve"> </w:t>
      </w:r>
      <w:r>
        <w:rPr>
          <w:color w:val="803108"/>
        </w:rPr>
        <w:t>la</w:t>
      </w:r>
      <w:r>
        <w:rPr>
          <w:color w:val="803108"/>
          <w:spacing w:val="17"/>
        </w:rPr>
        <w:t xml:space="preserve"> </w:t>
      </w:r>
      <w:r>
        <w:rPr>
          <w:color w:val="803108"/>
        </w:rPr>
        <w:t>discriminación</w:t>
      </w:r>
      <w:r>
        <w:rPr>
          <w:color w:val="803108"/>
          <w:spacing w:val="19"/>
        </w:rPr>
        <w:t xml:space="preserve"> </w:t>
      </w:r>
      <w:r>
        <w:rPr>
          <w:color w:val="803108"/>
        </w:rPr>
        <w:t>no</w:t>
      </w:r>
      <w:r>
        <w:rPr>
          <w:color w:val="803108"/>
          <w:spacing w:val="17"/>
        </w:rPr>
        <w:t xml:space="preserve"> </w:t>
      </w:r>
      <w:r>
        <w:rPr>
          <w:color w:val="803108"/>
        </w:rPr>
        <w:t>pueden ser plenamente efectivas a menos que también contemplen medidas de ajustes razonables.1020</w:t>
      </w:r>
    </w:p>
    <w:p w14:paraId="7E27FF43" w14:textId="77777777" w:rsidR="0014798C" w:rsidRDefault="0014798C">
      <w:pPr>
        <w:pStyle w:val="Textoindependiente"/>
        <w:spacing w:before="176"/>
      </w:pPr>
    </w:p>
    <w:p w14:paraId="5F78A154" w14:textId="77777777" w:rsidR="0014798C" w:rsidRDefault="004E1F0B">
      <w:pPr>
        <w:pStyle w:val="Textoindependiente"/>
        <w:spacing w:line="326" w:lineRule="auto"/>
        <w:ind w:left="1109" w:right="1272" w:hanging="4"/>
      </w:pPr>
      <w:r>
        <w:t>El Relator Especial recomendó que los Estados “proporcionen capacitación sobre diversidad y servicios de asesoramiento a empleadores públicos y privados sobre la tolerancia religiosa y la no discriminación en el lugar de trabajo.</w:t>
      </w:r>
    </w:p>
    <w:p w14:paraId="31D1F440" w14:textId="77777777" w:rsidR="0014798C" w:rsidRDefault="004E1F0B">
      <w:pPr>
        <w:pStyle w:val="Textoindependiente"/>
        <w:spacing w:line="326" w:lineRule="auto"/>
        <w:ind w:left="1109" w:right="1393" w:hanging="4"/>
      </w:pPr>
      <w:r>
        <w:t>Esto</w:t>
      </w:r>
      <w:r>
        <w:rPr>
          <w:spacing w:val="12"/>
        </w:rPr>
        <w:t xml:space="preserve"> </w:t>
      </w:r>
      <w:r>
        <w:t>debería</w:t>
      </w:r>
      <w:r>
        <w:rPr>
          <w:spacing w:val="12"/>
        </w:rPr>
        <w:t xml:space="preserve"> </w:t>
      </w:r>
      <w:r>
        <w:t>incluir</w:t>
      </w:r>
      <w:r>
        <w:rPr>
          <w:spacing w:val="12"/>
        </w:rPr>
        <w:t xml:space="preserve"> </w:t>
      </w:r>
      <w:r>
        <w:t>asesoramiento</w:t>
      </w:r>
      <w:r>
        <w:rPr>
          <w:spacing w:val="12"/>
        </w:rPr>
        <w:t xml:space="preserve"> </w:t>
      </w:r>
      <w:r>
        <w:t>sobre</w:t>
      </w:r>
      <w:r>
        <w:rPr>
          <w:spacing w:val="12"/>
        </w:rPr>
        <w:t xml:space="preserve"> </w:t>
      </w:r>
      <w:r>
        <w:t>políticas</w:t>
      </w:r>
      <w:r>
        <w:rPr>
          <w:spacing w:val="12"/>
        </w:rPr>
        <w:t xml:space="preserve"> </w:t>
      </w:r>
      <w:r>
        <w:t>de</w:t>
      </w:r>
      <w:r>
        <w:rPr>
          <w:spacing w:val="12"/>
        </w:rPr>
        <w:t xml:space="preserve"> </w:t>
      </w:r>
      <w:r>
        <w:t>ajustes</w:t>
      </w:r>
      <w:r>
        <w:rPr>
          <w:spacing w:val="12"/>
        </w:rPr>
        <w:t xml:space="preserve"> </w:t>
      </w:r>
      <w:r>
        <w:t>razonables</w:t>
      </w:r>
      <w:r>
        <w:rPr>
          <w:spacing w:val="12"/>
        </w:rPr>
        <w:t xml:space="preserve"> </w:t>
      </w:r>
      <w:r>
        <w:t>para</w:t>
      </w:r>
      <w:r>
        <w:rPr>
          <w:spacing w:val="12"/>
        </w:rPr>
        <w:t xml:space="preserve"> </w:t>
      </w:r>
      <w:r>
        <w:t>la</w:t>
      </w:r>
      <w:r>
        <w:rPr>
          <w:spacing w:val="12"/>
        </w:rPr>
        <w:t xml:space="preserve"> </w:t>
      </w:r>
      <w:r>
        <w:t>diversidad</w:t>
      </w:r>
      <w:r>
        <w:rPr>
          <w:spacing w:val="14"/>
        </w:rPr>
        <w:t xml:space="preserve"> </w:t>
      </w:r>
      <w:r>
        <w:t>religiosa</w:t>
      </w:r>
      <w:r>
        <w:rPr>
          <w:spacing w:val="12"/>
        </w:rPr>
        <w:t xml:space="preserve"> </w:t>
      </w:r>
      <w:r>
        <w:t>y</w:t>
      </w:r>
      <w:r>
        <w:rPr>
          <w:spacing w:val="12"/>
        </w:rPr>
        <w:t xml:space="preserve"> </w:t>
      </w:r>
      <w:r>
        <w:t>de</w:t>
      </w:r>
      <w:r>
        <w:rPr>
          <w:spacing w:val="12"/>
        </w:rPr>
        <w:t xml:space="preserve"> </w:t>
      </w:r>
      <w:r>
        <w:t>creencias</w:t>
      </w:r>
      <w:r>
        <w:rPr>
          <w:spacing w:val="12"/>
        </w:rPr>
        <w:t xml:space="preserve"> </w:t>
      </w:r>
      <w:r>
        <w:t>en</w:t>
      </w:r>
      <w:r>
        <w:rPr>
          <w:spacing w:val="12"/>
        </w:rPr>
        <w:t xml:space="preserve"> </w:t>
      </w:r>
      <w:r>
        <w:t>el</w:t>
      </w:r>
      <w:r>
        <w:rPr>
          <w:spacing w:val="12"/>
        </w:rPr>
        <w:t xml:space="preserve"> </w:t>
      </w:r>
      <w:r>
        <w:t>lugar de trabajo.”1021 Además, los formuladores de políticas, legisladores y jueces deberían tratar las solicitudes de ajustes</w:t>
      </w:r>
      <w:r>
        <w:rPr>
          <w:spacing w:val="40"/>
        </w:rPr>
        <w:t xml:space="preserve"> </w:t>
      </w:r>
      <w:r>
        <w:t>razonables como una parte importante de la lucha contra la discriminación basada en la religión o las creencias. Se debería “alentar a los empleadores y a otros a desarrollar políticas de ajustes razonables de la diversidad religiosa o de creencias en el lugar de trabajo a fin de prevenir o rectificar situaciones de... discriminación y promover la diversidad y la inclusión”.1022</w:t>
      </w:r>
      <w:r>
        <w:rPr>
          <w:spacing w:val="80"/>
        </w:rPr>
        <w:t xml:space="preserve"> </w:t>
      </w:r>
      <w:r>
        <w:t>Además, “las instituciones nacionales de derechos humanos deberían desarrollar capacitación programas y una función de asesoramiento en este campo.”1023</w:t>
      </w:r>
    </w:p>
    <w:p w14:paraId="5E9401D5" w14:textId="77777777" w:rsidR="0014798C" w:rsidRDefault="0014798C">
      <w:pPr>
        <w:pStyle w:val="Textoindependiente"/>
        <w:rPr>
          <w:sz w:val="12"/>
        </w:rPr>
      </w:pPr>
    </w:p>
    <w:p w14:paraId="6F172643" w14:textId="77777777" w:rsidR="0014798C" w:rsidRDefault="0014798C">
      <w:pPr>
        <w:pStyle w:val="Textoindependiente"/>
        <w:rPr>
          <w:sz w:val="12"/>
        </w:rPr>
      </w:pPr>
    </w:p>
    <w:p w14:paraId="6623C908" w14:textId="77777777" w:rsidR="0014798C" w:rsidRDefault="0014798C">
      <w:pPr>
        <w:pStyle w:val="Textoindependiente"/>
        <w:spacing w:before="14"/>
        <w:rPr>
          <w:sz w:val="12"/>
        </w:rPr>
      </w:pPr>
    </w:p>
    <w:p w14:paraId="05E418F1" w14:textId="77777777" w:rsidR="0014798C" w:rsidRDefault="004E1F0B">
      <w:pPr>
        <w:spacing w:before="1"/>
        <w:ind w:left="1111"/>
        <w:rPr>
          <w:sz w:val="12"/>
        </w:rPr>
      </w:pPr>
      <w:r>
        <w:rPr>
          <w:w w:val="105"/>
          <w:sz w:val="12"/>
        </w:rPr>
        <w:t>1018</w:t>
      </w:r>
      <w:r>
        <w:rPr>
          <w:spacing w:val="-7"/>
          <w:w w:val="105"/>
          <w:sz w:val="12"/>
        </w:rPr>
        <w:t xml:space="preserve"> </w:t>
      </w:r>
      <w:r>
        <w:rPr>
          <w:w w:val="105"/>
          <w:sz w:val="12"/>
        </w:rPr>
        <w:t>Directiva</w:t>
      </w:r>
      <w:r>
        <w:rPr>
          <w:spacing w:val="-6"/>
          <w:w w:val="105"/>
          <w:sz w:val="12"/>
        </w:rPr>
        <w:t xml:space="preserve"> </w:t>
      </w:r>
      <w:r>
        <w:rPr>
          <w:w w:val="105"/>
          <w:sz w:val="12"/>
        </w:rPr>
        <w:t>2000/78/CE</w:t>
      </w:r>
      <w:r>
        <w:rPr>
          <w:spacing w:val="-6"/>
          <w:w w:val="105"/>
          <w:sz w:val="12"/>
        </w:rPr>
        <w:t xml:space="preserve"> </w:t>
      </w:r>
      <w:r>
        <w:rPr>
          <w:w w:val="105"/>
          <w:sz w:val="12"/>
        </w:rPr>
        <w:t>del</w:t>
      </w:r>
      <w:r>
        <w:rPr>
          <w:spacing w:val="-7"/>
          <w:w w:val="105"/>
          <w:sz w:val="12"/>
        </w:rPr>
        <w:t xml:space="preserve"> </w:t>
      </w:r>
      <w:r>
        <w:rPr>
          <w:w w:val="105"/>
          <w:sz w:val="12"/>
        </w:rPr>
        <w:t>Consejo,</w:t>
      </w:r>
      <w:r>
        <w:rPr>
          <w:spacing w:val="-5"/>
          <w:w w:val="105"/>
          <w:sz w:val="12"/>
        </w:rPr>
        <w:t xml:space="preserve"> </w:t>
      </w:r>
      <w:r>
        <w:rPr>
          <w:w w:val="105"/>
          <w:sz w:val="12"/>
        </w:rPr>
        <w:t>de</w:t>
      </w:r>
      <w:r>
        <w:rPr>
          <w:spacing w:val="-7"/>
          <w:w w:val="105"/>
          <w:sz w:val="12"/>
        </w:rPr>
        <w:t xml:space="preserve"> </w:t>
      </w:r>
      <w:r>
        <w:rPr>
          <w:w w:val="105"/>
          <w:sz w:val="12"/>
        </w:rPr>
        <w:t>27</w:t>
      </w:r>
      <w:r>
        <w:rPr>
          <w:spacing w:val="-6"/>
          <w:w w:val="105"/>
          <w:sz w:val="12"/>
        </w:rPr>
        <w:t xml:space="preserve"> </w:t>
      </w:r>
      <w:r>
        <w:rPr>
          <w:w w:val="105"/>
          <w:sz w:val="12"/>
        </w:rPr>
        <w:t>de</w:t>
      </w:r>
      <w:r>
        <w:rPr>
          <w:spacing w:val="-6"/>
          <w:w w:val="105"/>
          <w:sz w:val="12"/>
        </w:rPr>
        <w:t xml:space="preserve"> </w:t>
      </w:r>
      <w:r>
        <w:rPr>
          <w:w w:val="105"/>
          <w:sz w:val="12"/>
        </w:rPr>
        <w:t>noviembre</w:t>
      </w:r>
      <w:r>
        <w:rPr>
          <w:spacing w:val="-7"/>
          <w:w w:val="105"/>
          <w:sz w:val="12"/>
        </w:rPr>
        <w:t xml:space="preserve"> </w:t>
      </w:r>
      <w:r>
        <w:rPr>
          <w:w w:val="105"/>
          <w:sz w:val="12"/>
        </w:rPr>
        <w:t>de</w:t>
      </w:r>
      <w:r>
        <w:rPr>
          <w:spacing w:val="-6"/>
          <w:w w:val="105"/>
          <w:sz w:val="12"/>
        </w:rPr>
        <w:t xml:space="preserve"> </w:t>
      </w:r>
      <w:r>
        <w:rPr>
          <w:w w:val="105"/>
          <w:sz w:val="12"/>
        </w:rPr>
        <w:t>2000,</w:t>
      </w:r>
      <w:r>
        <w:rPr>
          <w:spacing w:val="-6"/>
          <w:w w:val="105"/>
          <w:sz w:val="12"/>
        </w:rPr>
        <w:t xml:space="preserve"> </w:t>
      </w:r>
      <w:r>
        <w:rPr>
          <w:w w:val="105"/>
          <w:sz w:val="12"/>
        </w:rPr>
        <w:t>por</w:t>
      </w:r>
      <w:r>
        <w:rPr>
          <w:spacing w:val="-6"/>
          <w:w w:val="105"/>
          <w:sz w:val="12"/>
        </w:rPr>
        <w:t xml:space="preserve"> </w:t>
      </w:r>
      <w:r>
        <w:rPr>
          <w:w w:val="105"/>
          <w:sz w:val="12"/>
        </w:rPr>
        <w:t>la</w:t>
      </w:r>
      <w:r>
        <w:rPr>
          <w:spacing w:val="-7"/>
          <w:w w:val="105"/>
          <w:sz w:val="12"/>
        </w:rPr>
        <w:t xml:space="preserve"> </w:t>
      </w:r>
      <w:r>
        <w:rPr>
          <w:w w:val="105"/>
          <w:sz w:val="12"/>
        </w:rPr>
        <w:t>que</w:t>
      </w:r>
      <w:r>
        <w:rPr>
          <w:spacing w:val="-6"/>
          <w:w w:val="105"/>
          <w:sz w:val="12"/>
        </w:rPr>
        <w:t xml:space="preserve"> </w:t>
      </w:r>
      <w:r>
        <w:rPr>
          <w:w w:val="105"/>
          <w:sz w:val="12"/>
        </w:rPr>
        <w:t>se</w:t>
      </w:r>
      <w:r>
        <w:rPr>
          <w:spacing w:val="-6"/>
          <w:w w:val="105"/>
          <w:sz w:val="12"/>
        </w:rPr>
        <w:t xml:space="preserve"> </w:t>
      </w:r>
      <w:r>
        <w:rPr>
          <w:w w:val="105"/>
          <w:sz w:val="12"/>
        </w:rPr>
        <w:t>establece</w:t>
      </w:r>
      <w:r>
        <w:rPr>
          <w:spacing w:val="-7"/>
          <w:w w:val="105"/>
          <w:sz w:val="12"/>
        </w:rPr>
        <w:t xml:space="preserve"> </w:t>
      </w:r>
      <w:r>
        <w:rPr>
          <w:w w:val="105"/>
          <w:sz w:val="12"/>
        </w:rPr>
        <w:t>un</w:t>
      </w:r>
      <w:r>
        <w:rPr>
          <w:spacing w:val="-6"/>
          <w:w w:val="105"/>
          <w:sz w:val="12"/>
        </w:rPr>
        <w:t xml:space="preserve"> </w:t>
      </w:r>
      <w:r>
        <w:rPr>
          <w:w w:val="105"/>
          <w:sz w:val="12"/>
        </w:rPr>
        <w:t>marco</w:t>
      </w:r>
      <w:r>
        <w:rPr>
          <w:spacing w:val="-6"/>
          <w:w w:val="105"/>
          <w:sz w:val="12"/>
        </w:rPr>
        <w:t xml:space="preserve"> </w:t>
      </w:r>
      <w:r>
        <w:rPr>
          <w:w w:val="105"/>
          <w:sz w:val="12"/>
        </w:rPr>
        <w:t>general</w:t>
      </w:r>
      <w:r>
        <w:rPr>
          <w:spacing w:val="-7"/>
          <w:w w:val="105"/>
          <w:sz w:val="12"/>
        </w:rPr>
        <w:t xml:space="preserve"> </w:t>
      </w:r>
      <w:r>
        <w:rPr>
          <w:w w:val="105"/>
          <w:sz w:val="12"/>
        </w:rPr>
        <w:t>para</w:t>
      </w:r>
      <w:r>
        <w:rPr>
          <w:spacing w:val="-6"/>
          <w:w w:val="105"/>
          <w:sz w:val="12"/>
        </w:rPr>
        <w:t xml:space="preserve"> </w:t>
      </w:r>
      <w:r>
        <w:rPr>
          <w:w w:val="105"/>
          <w:sz w:val="12"/>
        </w:rPr>
        <w:t>la</w:t>
      </w:r>
      <w:r>
        <w:rPr>
          <w:spacing w:val="-6"/>
          <w:w w:val="105"/>
          <w:sz w:val="12"/>
        </w:rPr>
        <w:t xml:space="preserve"> </w:t>
      </w:r>
      <w:r>
        <w:rPr>
          <w:w w:val="105"/>
          <w:sz w:val="12"/>
        </w:rPr>
        <w:t>igualdad</w:t>
      </w:r>
      <w:r>
        <w:rPr>
          <w:spacing w:val="-7"/>
          <w:w w:val="105"/>
          <w:sz w:val="12"/>
        </w:rPr>
        <w:t xml:space="preserve"> </w:t>
      </w:r>
      <w:r>
        <w:rPr>
          <w:w w:val="105"/>
          <w:sz w:val="12"/>
        </w:rPr>
        <w:t>de</w:t>
      </w:r>
      <w:r>
        <w:rPr>
          <w:spacing w:val="-6"/>
          <w:w w:val="105"/>
          <w:sz w:val="12"/>
        </w:rPr>
        <w:t xml:space="preserve"> </w:t>
      </w:r>
      <w:r>
        <w:rPr>
          <w:w w:val="105"/>
          <w:sz w:val="12"/>
        </w:rPr>
        <w:t>trato</w:t>
      </w:r>
      <w:r>
        <w:rPr>
          <w:spacing w:val="-6"/>
          <w:w w:val="105"/>
          <w:sz w:val="12"/>
        </w:rPr>
        <w:t xml:space="preserve"> </w:t>
      </w:r>
      <w:r>
        <w:rPr>
          <w:w w:val="105"/>
          <w:sz w:val="12"/>
        </w:rPr>
        <w:t>en</w:t>
      </w:r>
      <w:r>
        <w:rPr>
          <w:spacing w:val="-7"/>
          <w:w w:val="105"/>
          <w:sz w:val="12"/>
        </w:rPr>
        <w:t xml:space="preserve"> </w:t>
      </w:r>
      <w:r>
        <w:rPr>
          <w:w w:val="105"/>
          <w:sz w:val="12"/>
        </w:rPr>
        <w:t>el</w:t>
      </w:r>
      <w:r>
        <w:rPr>
          <w:spacing w:val="-6"/>
          <w:w w:val="105"/>
          <w:sz w:val="12"/>
        </w:rPr>
        <w:t xml:space="preserve"> </w:t>
      </w:r>
      <w:r>
        <w:rPr>
          <w:w w:val="105"/>
          <w:sz w:val="12"/>
        </w:rPr>
        <w:t>empleo</w:t>
      </w:r>
      <w:r>
        <w:rPr>
          <w:spacing w:val="-6"/>
          <w:w w:val="105"/>
          <w:sz w:val="12"/>
        </w:rPr>
        <w:t xml:space="preserve"> </w:t>
      </w:r>
      <w:r>
        <w:rPr>
          <w:w w:val="105"/>
          <w:sz w:val="12"/>
        </w:rPr>
        <w:t>y</w:t>
      </w:r>
      <w:r>
        <w:rPr>
          <w:spacing w:val="-7"/>
          <w:w w:val="105"/>
          <w:sz w:val="12"/>
        </w:rPr>
        <w:t xml:space="preserve"> </w:t>
      </w:r>
      <w:r>
        <w:rPr>
          <w:w w:val="105"/>
          <w:sz w:val="12"/>
        </w:rPr>
        <w:t>la</w:t>
      </w:r>
      <w:r>
        <w:rPr>
          <w:spacing w:val="-6"/>
          <w:w w:val="105"/>
          <w:sz w:val="12"/>
        </w:rPr>
        <w:t xml:space="preserve"> </w:t>
      </w:r>
      <w:r>
        <w:rPr>
          <w:spacing w:val="-2"/>
          <w:w w:val="105"/>
          <w:sz w:val="12"/>
        </w:rPr>
        <w:t>ocupación.</w:t>
      </w:r>
    </w:p>
    <w:p w14:paraId="1A9D91A5" w14:textId="77777777" w:rsidR="0014798C" w:rsidRDefault="004E1F0B">
      <w:pPr>
        <w:spacing w:before="108" w:line="340" w:lineRule="auto"/>
        <w:ind w:left="1376" w:right="3645" w:hanging="266"/>
        <w:rPr>
          <w:sz w:val="11"/>
        </w:rPr>
      </w:pPr>
      <w:r>
        <w:rPr>
          <w:sz w:val="11"/>
        </w:rPr>
        <w:t>1019</w:t>
      </w:r>
      <w:r>
        <w:rPr>
          <w:spacing w:val="-8"/>
          <w:sz w:val="11"/>
        </w:rPr>
        <w:t xml:space="preserve"> </w:t>
      </w:r>
      <w:r>
        <w:rPr>
          <w:sz w:val="11"/>
        </w:rPr>
        <w:t>Tribunal</w:t>
      </w:r>
      <w:r>
        <w:rPr>
          <w:spacing w:val="-8"/>
          <w:sz w:val="11"/>
        </w:rPr>
        <w:t xml:space="preserve"> </w:t>
      </w:r>
      <w:r>
        <w:rPr>
          <w:sz w:val="11"/>
        </w:rPr>
        <w:t>de</w:t>
      </w:r>
      <w:r>
        <w:rPr>
          <w:spacing w:val="-7"/>
          <w:sz w:val="11"/>
        </w:rPr>
        <w:t xml:space="preserve"> </w:t>
      </w:r>
      <w:r>
        <w:rPr>
          <w:sz w:val="11"/>
        </w:rPr>
        <w:t>Justicia</w:t>
      </w:r>
      <w:r>
        <w:rPr>
          <w:spacing w:val="-8"/>
          <w:sz w:val="11"/>
        </w:rPr>
        <w:t xml:space="preserve"> </w:t>
      </w:r>
      <w:r>
        <w:rPr>
          <w:sz w:val="11"/>
        </w:rPr>
        <w:t>de</w:t>
      </w:r>
      <w:r>
        <w:rPr>
          <w:spacing w:val="-8"/>
          <w:sz w:val="11"/>
        </w:rPr>
        <w:t xml:space="preserve"> </w:t>
      </w:r>
      <w:r>
        <w:rPr>
          <w:sz w:val="11"/>
        </w:rPr>
        <w:t>la</w:t>
      </w:r>
      <w:r>
        <w:rPr>
          <w:spacing w:val="-7"/>
          <w:sz w:val="11"/>
        </w:rPr>
        <w:t xml:space="preserve"> </w:t>
      </w:r>
      <w:r>
        <w:rPr>
          <w:sz w:val="11"/>
        </w:rPr>
        <w:t>Unión</w:t>
      </w:r>
      <w:r>
        <w:rPr>
          <w:spacing w:val="-8"/>
          <w:sz w:val="11"/>
        </w:rPr>
        <w:t xml:space="preserve"> </w:t>
      </w:r>
      <w:r>
        <w:rPr>
          <w:sz w:val="11"/>
        </w:rPr>
        <w:t>Europea,</w:t>
      </w:r>
      <w:r>
        <w:rPr>
          <w:spacing w:val="-8"/>
          <w:sz w:val="11"/>
        </w:rPr>
        <w:t xml:space="preserve"> </w:t>
      </w:r>
      <w:proofErr w:type="spellStart"/>
      <w:r>
        <w:rPr>
          <w:sz w:val="11"/>
        </w:rPr>
        <w:t>Egenberger</w:t>
      </w:r>
      <w:proofErr w:type="spellEnd"/>
      <w:r>
        <w:rPr>
          <w:spacing w:val="-7"/>
          <w:sz w:val="11"/>
        </w:rPr>
        <w:t xml:space="preserve"> </w:t>
      </w:r>
      <w:r>
        <w:rPr>
          <w:sz w:val="11"/>
        </w:rPr>
        <w:t>v.</w:t>
      </w:r>
      <w:r>
        <w:rPr>
          <w:spacing w:val="-8"/>
          <w:sz w:val="11"/>
        </w:rPr>
        <w:t xml:space="preserve"> </w:t>
      </w:r>
      <w:proofErr w:type="spellStart"/>
      <w:r>
        <w:rPr>
          <w:sz w:val="11"/>
        </w:rPr>
        <w:t>Evangelisches</w:t>
      </w:r>
      <w:proofErr w:type="spellEnd"/>
      <w:r>
        <w:rPr>
          <w:spacing w:val="-8"/>
          <w:sz w:val="11"/>
        </w:rPr>
        <w:t xml:space="preserve"> </w:t>
      </w:r>
      <w:proofErr w:type="spellStart"/>
      <w:r>
        <w:rPr>
          <w:sz w:val="11"/>
        </w:rPr>
        <w:t>Werk</w:t>
      </w:r>
      <w:proofErr w:type="spellEnd"/>
      <w:r>
        <w:rPr>
          <w:spacing w:val="-7"/>
          <w:sz w:val="11"/>
        </w:rPr>
        <w:t xml:space="preserve"> </w:t>
      </w:r>
      <w:proofErr w:type="spellStart"/>
      <w:r>
        <w:rPr>
          <w:sz w:val="11"/>
        </w:rPr>
        <w:t>für</w:t>
      </w:r>
      <w:proofErr w:type="spellEnd"/>
      <w:r>
        <w:rPr>
          <w:spacing w:val="-8"/>
          <w:sz w:val="11"/>
        </w:rPr>
        <w:t xml:space="preserve"> </w:t>
      </w:r>
      <w:proofErr w:type="spellStart"/>
      <w:r>
        <w:rPr>
          <w:sz w:val="11"/>
        </w:rPr>
        <w:t>Diakonie</w:t>
      </w:r>
      <w:proofErr w:type="spellEnd"/>
      <w:r>
        <w:rPr>
          <w:spacing w:val="-7"/>
          <w:sz w:val="11"/>
        </w:rPr>
        <w:t xml:space="preserve"> </w:t>
      </w:r>
      <w:proofErr w:type="spellStart"/>
      <w:r>
        <w:rPr>
          <w:sz w:val="11"/>
        </w:rPr>
        <w:t>und</w:t>
      </w:r>
      <w:proofErr w:type="spellEnd"/>
      <w:r>
        <w:rPr>
          <w:spacing w:val="-8"/>
          <w:sz w:val="11"/>
        </w:rPr>
        <w:t xml:space="preserve"> </w:t>
      </w:r>
      <w:proofErr w:type="spellStart"/>
      <w:r>
        <w:rPr>
          <w:sz w:val="11"/>
        </w:rPr>
        <w:t>Entwicklung</w:t>
      </w:r>
      <w:proofErr w:type="spellEnd"/>
      <w:r>
        <w:rPr>
          <w:spacing w:val="-8"/>
          <w:sz w:val="11"/>
        </w:rPr>
        <w:t xml:space="preserve"> </w:t>
      </w:r>
      <w:r>
        <w:rPr>
          <w:sz w:val="11"/>
        </w:rPr>
        <w:t>eV,</w:t>
      </w:r>
      <w:r>
        <w:rPr>
          <w:spacing w:val="-7"/>
          <w:sz w:val="11"/>
        </w:rPr>
        <w:t xml:space="preserve"> </w:t>
      </w:r>
      <w:r>
        <w:rPr>
          <w:sz w:val="11"/>
        </w:rPr>
        <w:t>Caso</w:t>
      </w:r>
      <w:r>
        <w:rPr>
          <w:spacing w:val="-8"/>
          <w:sz w:val="11"/>
        </w:rPr>
        <w:t xml:space="preserve"> </w:t>
      </w:r>
      <w:r>
        <w:rPr>
          <w:sz w:val="11"/>
        </w:rPr>
        <w:t>C-414/16,</w:t>
      </w:r>
      <w:r>
        <w:rPr>
          <w:spacing w:val="-8"/>
          <w:sz w:val="11"/>
        </w:rPr>
        <w:t xml:space="preserve"> </w:t>
      </w:r>
      <w:r>
        <w:rPr>
          <w:sz w:val="11"/>
        </w:rPr>
        <w:t>Sentencia,</w:t>
      </w:r>
      <w:r>
        <w:rPr>
          <w:spacing w:val="40"/>
          <w:sz w:val="11"/>
        </w:rPr>
        <w:t xml:space="preserve"> </w:t>
      </w:r>
      <w:r>
        <w:rPr>
          <w:sz w:val="11"/>
        </w:rPr>
        <w:t>17 de abril de 2018.</w:t>
      </w:r>
    </w:p>
    <w:p w14:paraId="29E93458" w14:textId="77777777" w:rsidR="0014798C" w:rsidRDefault="0014798C">
      <w:pPr>
        <w:spacing w:line="340" w:lineRule="auto"/>
        <w:rPr>
          <w:sz w:val="11"/>
        </w:rPr>
        <w:sectPr w:rsidR="0014798C" w:rsidSect="00F265E4">
          <w:pgSz w:w="11900" w:h="16820"/>
          <w:pgMar w:top="340" w:right="0" w:bottom="280" w:left="200" w:header="121" w:footer="0" w:gutter="0"/>
          <w:cols w:space="720"/>
        </w:sectPr>
      </w:pPr>
    </w:p>
    <w:p w14:paraId="7289DFCB" w14:textId="77777777" w:rsidR="0014798C" w:rsidRDefault="004E1F0B">
      <w:pPr>
        <w:spacing w:before="2"/>
        <w:jc w:val="right"/>
        <w:rPr>
          <w:sz w:val="8"/>
        </w:rPr>
      </w:pPr>
      <w:r>
        <w:rPr>
          <w:spacing w:val="-4"/>
          <w:w w:val="105"/>
          <w:sz w:val="8"/>
        </w:rPr>
        <w:t>1020</w:t>
      </w:r>
    </w:p>
    <w:p w14:paraId="2E5B680E" w14:textId="77777777" w:rsidR="0014798C" w:rsidRDefault="004E1F0B">
      <w:pPr>
        <w:spacing w:before="72"/>
        <w:ind w:left="26"/>
        <w:rPr>
          <w:sz w:val="11"/>
        </w:rPr>
      </w:pPr>
      <w:r>
        <w:br w:type="column"/>
      </w:r>
      <w:r>
        <w:rPr>
          <w:spacing w:val="-2"/>
          <w:sz w:val="11"/>
        </w:rPr>
        <w:t>A/69/261,</w:t>
      </w:r>
      <w:r>
        <w:rPr>
          <w:sz w:val="11"/>
        </w:rPr>
        <w:t xml:space="preserve"> </w:t>
      </w:r>
      <w:proofErr w:type="spellStart"/>
      <w:r>
        <w:rPr>
          <w:spacing w:val="-2"/>
          <w:sz w:val="11"/>
        </w:rPr>
        <w:t>párrs</w:t>
      </w:r>
      <w:proofErr w:type="spellEnd"/>
      <w:r>
        <w:rPr>
          <w:spacing w:val="-2"/>
          <w:sz w:val="11"/>
        </w:rPr>
        <w:t>.</w:t>
      </w:r>
      <w:r>
        <w:rPr>
          <w:sz w:val="11"/>
        </w:rPr>
        <w:t xml:space="preserve"> </w:t>
      </w:r>
      <w:r>
        <w:rPr>
          <w:spacing w:val="-2"/>
          <w:sz w:val="11"/>
        </w:rPr>
        <w:t>70–71.</w:t>
      </w:r>
    </w:p>
    <w:p w14:paraId="03B3BDED" w14:textId="77777777" w:rsidR="0014798C" w:rsidRDefault="0014798C">
      <w:pPr>
        <w:rPr>
          <w:sz w:val="11"/>
        </w:rPr>
        <w:sectPr w:rsidR="0014798C" w:rsidSect="00F265E4">
          <w:type w:val="continuous"/>
          <w:pgSz w:w="11900" w:h="16820"/>
          <w:pgMar w:top="40" w:right="0" w:bottom="280" w:left="200" w:header="121" w:footer="0" w:gutter="0"/>
          <w:cols w:num="2" w:space="720" w:equalWidth="0">
            <w:col w:w="1300" w:space="40"/>
            <w:col w:w="10360"/>
          </w:cols>
        </w:sectPr>
      </w:pPr>
    </w:p>
    <w:p w14:paraId="2189E299" w14:textId="77777777" w:rsidR="0014798C" w:rsidRDefault="004E1F0B">
      <w:pPr>
        <w:spacing w:before="85"/>
        <w:ind w:left="1111"/>
        <w:rPr>
          <w:sz w:val="12"/>
        </w:rPr>
      </w:pPr>
      <w:r>
        <w:rPr>
          <w:w w:val="105"/>
          <w:sz w:val="12"/>
        </w:rPr>
        <w:t>1021</w:t>
      </w:r>
      <w:r>
        <w:rPr>
          <w:spacing w:val="-8"/>
          <w:w w:val="105"/>
          <w:sz w:val="12"/>
        </w:rPr>
        <w:t xml:space="preserve"> </w:t>
      </w:r>
      <w:proofErr w:type="spellStart"/>
      <w:r>
        <w:rPr>
          <w:w w:val="105"/>
          <w:sz w:val="12"/>
        </w:rPr>
        <w:t>Ibíd</w:t>
      </w:r>
      <w:proofErr w:type="spellEnd"/>
      <w:r>
        <w:rPr>
          <w:w w:val="105"/>
          <w:sz w:val="12"/>
        </w:rPr>
        <w:t>.,</w:t>
      </w:r>
      <w:r>
        <w:rPr>
          <w:spacing w:val="-7"/>
          <w:w w:val="105"/>
          <w:sz w:val="12"/>
        </w:rPr>
        <w:t xml:space="preserve"> </w:t>
      </w:r>
      <w:r>
        <w:rPr>
          <w:w w:val="105"/>
          <w:sz w:val="12"/>
        </w:rPr>
        <w:t>párr.</w:t>
      </w:r>
      <w:r>
        <w:rPr>
          <w:spacing w:val="-7"/>
          <w:w w:val="105"/>
          <w:sz w:val="12"/>
        </w:rPr>
        <w:t xml:space="preserve"> </w:t>
      </w:r>
      <w:r>
        <w:rPr>
          <w:spacing w:val="-5"/>
          <w:w w:val="105"/>
          <w:sz w:val="12"/>
        </w:rPr>
        <w:t>77.</w:t>
      </w:r>
    </w:p>
    <w:p w14:paraId="41C6D595" w14:textId="77777777" w:rsidR="0014798C" w:rsidRDefault="004E1F0B">
      <w:pPr>
        <w:spacing w:before="98"/>
        <w:ind w:left="1111"/>
        <w:rPr>
          <w:sz w:val="12"/>
        </w:rPr>
      </w:pPr>
      <w:r>
        <w:rPr>
          <w:w w:val="105"/>
          <w:sz w:val="12"/>
        </w:rPr>
        <w:t>1022</w:t>
      </w:r>
      <w:r>
        <w:rPr>
          <w:spacing w:val="-8"/>
          <w:w w:val="105"/>
          <w:sz w:val="12"/>
        </w:rPr>
        <w:t xml:space="preserve"> </w:t>
      </w:r>
      <w:proofErr w:type="spellStart"/>
      <w:r>
        <w:rPr>
          <w:w w:val="105"/>
          <w:sz w:val="12"/>
        </w:rPr>
        <w:t>Ibíd</w:t>
      </w:r>
      <w:proofErr w:type="spellEnd"/>
      <w:r>
        <w:rPr>
          <w:w w:val="105"/>
          <w:sz w:val="12"/>
        </w:rPr>
        <w:t>.,</w:t>
      </w:r>
      <w:r>
        <w:rPr>
          <w:spacing w:val="-7"/>
          <w:w w:val="105"/>
          <w:sz w:val="12"/>
        </w:rPr>
        <w:t xml:space="preserve"> </w:t>
      </w:r>
      <w:r>
        <w:rPr>
          <w:w w:val="105"/>
          <w:sz w:val="12"/>
        </w:rPr>
        <w:t>párr.</w:t>
      </w:r>
      <w:r>
        <w:rPr>
          <w:spacing w:val="-7"/>
          <w:w w:val="105"/>
          <w:sz w:val="12"/>
        </w:rPr>
        <w:t xml:space="preserve"> </w:t>
      </w:r>
      <w:r>
        <w:rPr>
          <w:spacing w:val="-5"/>
          <w:w w:val="105"/>
          <w:sz w:val="12"/>
        </w:rPr>
        <w:t>81.</w:t>
      </w:r>
    </w:p>
    <w:p w14:paraId="03FC9258" w14:textId="77777777" w:rsidR="0014798C" w:rsidRDefault="004E1F0B">
      <w:pPr>
        <w:spacing w:before="99"/>
        <w:ind w:left="1111"/>
        <w:rPr>
          <w:sz w:val="12"/>
        </w:rPr>
      </w:pPr>
      <w:r>
        <w:rPr>
          <w:w w:val="105"/>
          <w:sz w:val="12"/>
        </w:rPr>
        <w:t>1023</w:t>
      </w:r>
      <w:r>
        <w:rPr>
          <w:spacing w:val="-8"/>
          <w:w w:val="105"/>
          <w:sz w:val="12"/>
        </w:rPr>
        <w:t xml:space="preserve"> </w:t>
      </w:r>
      <w:proofErr w:type="spellStart"/>
      <w:r>
        <w:rPr>
          <w:w w:val="105"/>
          <w:sz w:val="12"/>
        </w:rPr>
        <w:t>Ibíd</w:t>
      </w:r>
      <w:proofErr w:type="spellEnd"/>
      <w:r>
        <w:rPr>
          <w:w w:val="105"/>
          <w:sz w:val="12"/>
        </w:rPr>
        <w:t>.,</w:t>
      </w:r>
      <w:r>
        <w:rPr>
          <w:spacing w:val="-7"/>
          <w:w w:val="105"/>
          <w:sz w:val="12"/>
        </w:rPr>
        <w:t xml:space="preserve"> </w:t>
      </w:r>
      <w:r>
        <w:rPr>
          <w:w w:val="105"/>
          <w:sz w:val="12"/>
        </w:rPr>
        <w:t>párr.</w:t>
      </w:r>
      <w:r>
        <w:rPr>
          <w:spacing w:val="-7"/>
          <w:w w:val="105"/>
          <w:sz w:val="12"/>
        </w:rPr>
        <w:t xml:space="preserve"> </w:t>
      </w:r>
      <w:r>
        <w:rPr>
          <w:spacing w:val="-5"/>
          <w:w w:val="105"/>
          <w:sz w:val="12"/>
        </w:rPr>
        <w:t>86.</w:t>
      </w:r>
    </w:p>
    <w:p w14:paraId="0B86EBF3" w14:textId="77777777" w:rsidR="0014798C" w:rsidRDefault="0014798C">
      <w:pPr>
        <w:pStyle w:val="Textoindependiente"/>
        <w:rPr>
          <w:sz w:val="19"/>
        </w:rPr>
      </w:pPr>
    </w:p>
    <w:p w14:paraId="521682AC" w14:textId="77777777" w:rsidR="0014798C" w:rsidRDefault="0014798C">
      <w:pPr>
        <w:pStyle w:val="Textoindependiente"/>
        <w:spacing w:before="196"/>
        <w:rPr>
          <w:sz w:val="19"/>
        </w:rPr>
      </w:pPr>
    </w:p>
    <w:p w14:paraId="449FDF92" w14:textId="77777777" w:rsidR="0014798C" w:rsidRDefault="004E1F0B">
      <w:pPr>
        <w:ind w:right="693"/>
        <w:jc w:val="right"/>
        <w:rPr>
          <w:sz w:val="19"/>
        </w:rPr>
      </w:pPr>
      <w:r>
        <w:rPr>
          <w:spacing w:val="-5"/>
          <w:sz w:val="19"/>
        </w:rPr>
        <w:t>147</w:t>
      </w:r>
    </w:p>
    <w:p w14:paraId="4450AAC5" w14:textId="77777777" w:rsidR="0014798C" w:rsidRDefault="0014798C">
      <w:pPr>
        <w:jc w:val="right"/>
        <w:rPr>
          <w:sz w:val="19"/>
        </w:rPr>
        <w:sectPr w:rsidR="0014798C" w:rsidSect="00F265E4">
          <w:type w:val="continuous"/>
          <w:pgSz w:w="11900" w:h="16820"/>
          <w:pgMar w:top="40" w:right="0" w:bottom="280" w:left="200" w:header="121" w:footer="0" w:gutter="0"/>
          <w:cols w:space="720"/>
        </w:sectPr>
      </w:pPr>
    </w:p>
    <w:p w14:paraId="65B43363" w14:textId="77777777" w:rsidR="0014798C" w:rsidRDefault="0014798C">
      <w:pPr>
        <w:pStyle w:val="Textoindependiente"/>
        <w:spacing w:before="85"/>
        <w:rPr>
          <w:sz w:val="12"/>
        </w:rPr>
      </w:pPr>
    </w:p>
    <w:p w14:paraId="4D24456A" w14:textId="77777777" w:rsidR="0014798C" w:rsidRDefault="004E1F0B">
      <w:pPr>
        <w:ind w:left="1111"/>
        <w:rPr>
          <w:sz w:val="12"/>
        </w:rPr>
      </w:pPr>
      <w:r>
        <w:rPr>
          <w:color w:val="803108"/>
          <w:sz w:val="12"/>
        </w:rPr>
        <w:t>PROTECCIÓN</w:t>
      </w:r>
      <w:r>
        <w:rPr>
          <w:color w:val="803108"/>
          <w:spacing w:val="6"/>
          <w:sz w:val="12"/>
        </w:rPr>
        <w:t xml:space="preserve"> </w:t>
      </w:r>
      <w:r>
        <w:rPr>
          <w:color w:val="803108"/>
          <w:sz w:val="12"/>
        </w:rPr>
        <w:t>DE</w:t>
      </w:r>
      <w:r>
        <w:rPr>
          <w:color w:val="803108"/>
          <w:spacing w:val="7"/>
          <w:sz w:val="12"/>
        </w:rPr>
        <w:t xml:space="preserve"> </w:t>
      </w:r>
      <w:r>
        <w:rPr>
          <w:color w:val="803108"/>
          <w:sz w:val="12"/>
        </w:rPr>
        <w:t>LOS</w:t>
      </w:r>
      <w:r>
        <w:rPr>
          <w:color w:val="803108"/>
          <w:spacing w:val="8"/>
          <w:sz w:val="12"/>
        </w:rPr>
        <w:t xml:space="preserve"> </w:t>
      </w:r>
      <w:r>
        <w:rPr>
          <w:color w:val="803108"/>
          <w:sz w:val="12"/>
        </w:rPr>
        <w:t>DERECHOS</w:t>
      </w:r>
      <w:r>
        <w:rPr>
          <w:color w:val="803108"/>
          <w:spacing w:val="8"/>
          <w:sz w:val="12"/>
        </w:rPr>
        <w:t xml:space="preserve"> </w:t>
      </w:r>
      <w:r>
        <w:rPr>
          <w:color w:val="803108"/>
          <w:sz w:val="12"/>
        </w:rPr>
        <w:t>DE</w:t>
      </w:r>
      <w:r>
        <w:rPr>
          <w:color w:val="803108"/>
          <w:spacing w:val="6"/>
          <w:sz w:val="12"/>
        </w:rPr>
        <w:t xml:space="preserve"> </w:t>
      </w:r>
      <w:r>
        <w:rPr>
          <w:color w:val="803108"/>
          <w:sz w:val="12"/>
        </w:rPr>
        <w:t>LAS</w:t>
      </w:r>
      <w:r>
        <w:rPr>
          <w:color w:val="803108"/>
          <w:spacing w:val="7"/>
          <w:sz w:val="12"/>
        </w:rPr>
        <w:t xml:space="preserve"> </w:t>
      </w:r>
      <w:r>
        <w:rPr>
          <w:color w:val="803108"/>
          <w:sz w:val="12"/>
        </w:rPr>
        <w:t>MINORÍAS:</w:t>
      </w:r>
      <w:r>
        <w:rPr>
          <w:color w:val="803108"/>
          <w:spacing w:val="8"/>
          <w:sz w:val="12"/>
        </w:rPr>
        <w:t xml:space="preserve"> </w:t>
      </w:r>
      <w:r>
        <w:rPr>
          <w:color w:val="803108"/>
          <w:sz w:val="12"/>
        </w:rPr>
        <w:t>una</w:t>
      </w:r>
      <w:r>
        <w:rPr>
          <w:color w:val="803108"/>
          <w:spacing w:val="7"/>
          <w:sz w:val="12"/>
        </w:rPr>
        <w:t xml:space="preserve"> </w:t>
      </w:r>
      <w:r>
        <w:rPr>
          <w:color w:val="803108"/>
          <w:sz w:val="12"/>
        </w:rPr>
        <w:t>guía</w:t>
      </w:r>
      <w:r>
        <w:rPr>
          <w:color w:val="803108"/>
          <w:spacing w:val="6"/>
          <w:sz w:val="12"/>
        </w:rPr>
        <w:t xml:space="preserve"> </w:t>
      </w:r>
      <w:r>
        <w:rPr>
          <w:color w:val="803108"/>
          <w:sz w:val="12"/>
        </w:rPr>
        <w:t>práctica</w:t>
      </w:r>
      <w:r>
        <w:rPr>
          <w:color w:val="803108"/>
          <w:spacing w:val="7"/>
          <w:sz w:val="12"/>
        </w:rPr>
        <w:t xml:space="preserve"> </w:t>
      </w:r>
      <w:r>
        <w:rPr>
          <w:color w:val="803108"/>
          <w:sz w:val="12"/>
        </w:rPr>
        <w:t>para</w:t>
      </w:r>
      <w:r>
        <w:rPr>
          <w:color w:val="803108"/>
          <w:spacing w:val="8"/>
          <w:sz w:val="12"/>
        </w:rPr>
        <w:t xml:space="preserve"> </w:t>
      </w:r>
      <w:r>
        <w:rPr>
          <w:color w:val="803108"/>
          <w:sz w:val="12"/>
        </w:rPr>
        <w:t>desarrollar</w:t>
      </w:r>
      <w:r>
        <w:rPr>
          <w:color w:val="803108"/>
          <w:spacing w:val="6"/>
          <w:sz w:val="12"/>
        </w:rPr>
        <w:t xml:space="preserve"> </w:t>
      </w:r>
      <w:r>
        <w:rPr>
          <w:color w:val="803108"/>
          <w:sz w:val="12"/>
        </w:rPr>
        <w:t>una</w:t>
      </w:r>
      <w:r>
        <w:rPr>
          <w:color w:val="803108"/>
          <w:spacing w:val="7"/>
          <w:sz w:val="12"/>
        </w:rPr>
        <w:t xml:space="preserve"> </w:t>
      </w:r>
      <w:r>
        <w:rPr>
          <w:color w:val="803108"/>
          <w:sz w:val="12"/>
        </w:rPr>
        <w:t>legislación</w:t>
      </w:r>
      <w:r>
        <w:rPr>
          <w:color w:val="803108"/>
          <w:spacing w:val="8"/>
          <w:sz w:val="12"/>
        </w:rPr>
        <w:t xml:space="preserve"> </w:t>
      </w:r>
      <w:r>
        <w:rPr>
          <w:color w:val="803108"/>
          <w:sz w:val="12"/>
        </w:rPr>
        <w:t>integral</w:t>
      </w:r>
      <w:r>
        <w:rPr>
          <w:color w:val="803108"/>
          <w:spacing w:val="7"/>
          <w:sz w:val="12"/>
        </w:rPr>
        <w:t xml:space="preserve"> </w:t>
      </w:r>
      <w:r>
        <w:rPr>
          <w:color w:val="803108"/>
          <w:sz w:val="12"/>
        </w:rPr>
        <w:t>contra</w:t>
      </w:r>
      <w:r>
        <w:rPr>
          <w:color w:val="803108"/>
          <w:spacing w:val="6"/>
          <w:sz w:val="12"/>
        </w:rPr>
        <w:t xml:space="preserve"> </w:t>
      </w:r>
      <w:r>
        <w:rPr>
          <w:color w:val="803108"/>
          <w:sz w:val="12"/>
        </w:rPr>
        <w:t>la</w:t>
      </w:r>
      <w:r>
        <w:rPr>
          <w:color w:val="803108"/>
          <w:spacing w:val="7"/>
          <w:sz w:val="12"/>
        </w:rPr>
        <w:t xml:space="preserve"> </w:t>
      </w:r>
      <w:r>
        <w:rPr>
          <w:color w:val="803108"/>
          <w:spacing w:val="-2"/>
          <w:sz w:val="12"/>
        </w:rPr>
        <w:t>discriminación</w:t>
      </w:r>
    </w:p>
    <w:p w14:paraId="0387D54B" w14:textId="77777777" w:rsidR="0014798C" w:rsidRDefault="0014798C">
      <w:pPr>
        <w:pStyle w:val="Textoindependiente"/>
      </w:pPr>
    </w:p>
    <w:p w14:paraId="0D0E534C" w14:textId="77777777" w:rsidR="0014798C" w:rsidRDefault="0014798C">
      <w:pPr>
        <w:pStyle w:val="Textoindependiente"/>
      </w:pPr>
    </w:p>
    <w:p w14:paraId="799E5529" w14:textId="77777777" w:rsidR="0014798C" w:rsidRDefault="0014798C">
      <w:pPr>
        <w:pStyle w:val="Textoindependiente"/>
      </w:pPr>
    </w:p>
    <w:p w14:paraId="4A35FBD5" w14:textId="77777777" w:rsidR="0014798C" w:rsidRDefault="0014798C">
      <w:pPr>
        <w:pStyle w:val="Textoindependiente"/>
      </w:pPr>
    </w:p>
    <w:p w14:paraId="140AF0A0" w14:textId="77777777" w:rsidR="0014798C" w:rsidRDefault="0014798C">
      <w:pPr>
        <w:pStyle w:val="Textoindependiente"/>
        <w:spacing w:before="43"/>
      </w:pPr>
    </w:p>
    <w:p w14:paraId="02BDE03A" w14:textId="77777777" w:rsidR="0014798C" w:rsidRDefault="004E1F0B">
      <w:pPr>
        <w:pStyle w:val="Textoindependiente"/>
        <w:ind w:left="1342"/>
      </w:pPr>
      <w:r>
        <w:rPr>
          <w:noProof/>
        </w:rPr>
        <w:drawing>
          <wp:anchor distT="0" distB="0" distL="0" distR="0" simplePos="0" relativeHeight="251658468" behindDoc="1" locked="0" layoutInCell="1" allowOverlap="1" wp14:anchorId="0863561C" wp14:editId="65EB2658">
            <wp:simplePos x="0" y="0"/>
            <wp:positionH relativeFrom="page">
              <wp:posOffset>817647</wp:posOffset>
            </wp:positionH>
            <wp:positionV relativeFrom="paragraph">
              <wp:posOffset>-137908</wp:posOffset>
            </wp:positionV>
            <wp:extent cx="5939175" cy="8056581"/>
            <wp:effectExtent l="0" t="0" r="0" b="0"/>
            <wp:wrapNone/>
            <wp:docPr id="302" name="Image 30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02" name="Image 302"/>
                    <pic:cNvPicPr/>
                  </pic:nvPicPr>
                  <pic:blipFill>
                    <a:blip r:embed="rId284" cstate="print"/>
                    <a:stretch>
                      <a:fillRect/>
                    </a:stretch>
                  </pic:blipFill>
                  <pic:spPr>
                    <a:xfrm>
                      <a:off x="0" y="0"/>
                      <a:ext cx="5939175" cy="8056581"/>
                    </a:xfrm>
                    <a:prstGeom prst="rect">
                      <a:avLst/>
                    </a:prstGeom>
                  </pic:spPr>
                </pic:pic>
              </a:graphicData>
            </a:graphic>
          </wp:anchor>
        </w:drawing>
      </w:r>
      <w:r>
        <w:t>AJUSTES</w:t>
      </w:r>
      <w:r>
        <w:rPr>
          <w:spacing w:val="-7"/>
        </w:rPr>
        <w:t xml:space="preserve"> </w:t>
      </w:r>
      <w:r>
        <w:t>RAZONABLES</w:t>
      </w:r>
      <w:r>
        <w:rPr>
          <w:spacing w:val="-4"/>
        </w:rPr>
        <w:t xml:space="preserve"> </w:t>
      </w:r>
      <w:r>
        <w:t>PARA</w:t>
      </w:r>
      <w:r>
        <w:rPr>
          <w:spacing w:val="-5"/>
        </w:rPr>
        <w:t xml:space="preserve"> </w:t>
      </w:r>
      <w:r>
        <w:t>LA</w:t>
      </w:r>
      <w:r>
        <w:rPr>
          <w:spacing w:val="-6"/>
        </w:rPr>
        <w:t xml:space="preserve"> </w:t>
      </w:r>
      <w:r>
        <w:t>RELIGIÓN</w:t>
      </w:r>
      <w:r>
        <w:rPr>
          <w:spacing w:val="-5"/>
        </w:rPr>
        <w:t xml:space="preserve"> </w:t>
      </w:r>
      <w:r>
        <w:t>O</w:t>
      </w:r>
      <w:r>
        <w:rPr>
          <w:spacing w:val="-5"/>
        </w:rPr>
        <w:t xml:space="preserve"> </w:t>
      </w:r>
      <w:r>
        <w:t>CREENCIA</w:t>
      </w:r>
      <w:r>
        <w:rPr>
          <w:spacing w:val="-4"/>
        </w:rPr>
        <w:t xml:space="preserve"> </w:t>
      </w:r>
      <w:r>
        <w:t>EN</w:t>
      </w:r>
      <w:r>
        <w:rPr>
          <w:spacing w:val="-5"/>
        </w:rPr>
        <w:t xml:space="preserve"> </w:t>
      </w:r>
      <w:r>
        <w:rPr>
          <w:spacing w:val="-2"/>
        </w:rPr>
        <w:t>CANADÁ</w:t>
      </w:r>
    </w:p>
    <w:p w14:paraId="494FCA17" w14:textId="77777777" w:rsidR="0014798C" w:rsidRDefault="0014798C">
      <w:pPr>
        <w:pStyle w:val="Textoindependiente"/>
        <w:spacing w:before="4"/>
      </w:pPr>
    </w:p>
    <w:p w14:paraId="1508B6F7" w14:textId="77777777" w:rsidR="0014798C" w:rsidRDefault="004E1F0B">
      <w:pPr>
        <w:spacing w:line="288" w:lineRule="auto"/>
        <w:ind w:left="1334" w:right="1470" w:hanging="2"/>
        <w:rPr>
          <w:sz w:val="18"/>
        </w:rPr>
      </w:pPr>
      <w:r>
        <w:rPr>
          <w:sz w:val="18"/>
        </w:rPr>
        <w:t>En el llamado caso Simpson-</w:t>
      </w:r>
      <w:proofErr w:type="gramStart"/>
      <w:r>
        <w:rPr>
          <w:sz w:val="18"/>
        </w:rPr>
        <w:t>Sears ,</w:t>
      </w:r>
      <w:proofErr w:type="gramEnd"/>
      <w:r>
        <w:rPr>
          <w:sz w:val="18"/>
        </w:rPr>
        <w:t xml:space="preserve"> un empleado se convirtió en miembro de la Iglesia Adventista del Séptimo Día y comenzó a observar estrictamente el sábado desde la puesta del sol del viernes hasta la puesta del sol del sábado. Así, informó a su empleador que ya no podía trabajar los sábados, lo que dio lugar a un conflicto.</w:t>
      </w:r>
      <w:r>
        <w:rPr>
          <w:spacing w:val="40"/>
          <w:sz w:val="18"/>
        </w:rPr>
        <w:t xml:space="preserve"> </w:t>
      </w:r>
      <w:r>
        <w:rPr>
          <w:sz w:val="18"/>
        </w:rPr>
        <w:t>Al fallar en el caso, la Corte Suprema de Canadá se centró en la interpretación y aplicación de la legislación canadiense contra la discriminación. El Tribunal encontró discriminación indirecta y consideró que surgía el correspondiente deber de realizar ajustes razonables, realizados sin imponer “dificultades indebidas” al empleador u otra entidad acomodaticia.1024</w:t>
      </w:r>
    </w:p>
    <w:p w14:paraId="0A5FEDB6" w14:textId="77777777" w:rsidR="0014798C" w:rsidRDefault="004E1F0B">
      <w:pPr>
        <w:pStyle w:val="Textoindependiente"/>
        <w:spacing w:before="155"/>
        <w:ind w:left="1332"/>
      </w:pPr>
      <w:r>
        <w:t>Un</w:t>
      </w:r>
      <w:r>
        <w:rPr>
          <w:spacing w:val="-6"/>
        </w:rPr>
        <w:t xml:space="preserve"> </w:t>
      </w:r>
      <w:r>
        <w:t>informe</w:t>
      </w:r>
      <w:r>
        <w:rPr>
          <w:spacing w:val="-3"/>
        </w:rPr>
        <w:t xml:space="preserve"> </w:t>
      </w:r>
      <w:r>
        <w:t>de</w:t>
      </w:r>
      <w:r>
        <w:rPr>
          <w:spacing w:val="-3"/>
        </w:rPr>
        <w:t xml:space="preserve"> </w:t>
      </w:r>
      <w:r>
        <w:t>alto</w:t>
      </w:r>
      <w:r>
        <w:rPr>
          <w:spacing w:val="-3"/>
        </w:rPr>
        <w:t xml:space="preserve"> </w:t>
      </w:r>
      <w:r>
        <w:t>nivel</w:t>
      </w:r>
      <w:r>
        <w:rPr>
          <w:spacing w:val="-4"/>
        </w:rPr>
        <w:t xml:space="preserve"> </w:t>
      </w:r>
      <w:r>
        <w:t>de</w:t>
      </w:r>
      <w:r>
        <w:rPr>
          <w:spacing w:val="-3"/>
        </w:rPr>
        <w:t xml:space="preserve"> </w:t>
      </w:r>
      <w:r>
        <w:t>2008</w:t>
      </w:r>
      <w:r>
        <w:rPr>
          <w:spacing w:val="-3"/>
        </w:rPr>
        <w:t xml:space="preserve"> </w:t>
      </w:r>
      <w:r>
        <w:t>estableció</w:t>
      </w:r>
      <w:r>
        <w:rPr>
          <w:spacing w:val="-3"/>
        </w:rPr>
        <w:t xml:space="preserve"> </w:t>
      </w:r>
      <w:r>
        <w:t>las</w:t>
      </w:r>
      <w:r>
        <w:rPr>
          <w:spacing w:val="-3"/>
        </w:rPr>
        <w:t xml:space="preserve"> </w:t>
      </w:r>
      <w:r>
        <w:t>condiciones</w:t>
      </w:r>
      <w:r>
        <w:rPr>
          <w:spacing w:val="-4"/>
        </w:rPr>
        <w:t xml:space="preserve"> </w:t>
      </w:r>
      <w:r>
        <w:t>para</w:t>
      </w:r>
      <w:r>
        <w:rPr>
          <w:spacing w:val="-3"/>
        </w:rPr>
        <w:t xml:space="preserve"> </w:t>
      </w:r>
      <w:r>
        <w:t>entender</w:t>
      </w:r>
      <w:r>
        <w:rPr>
          <w:spacing w:val="-3"/>
        </w:rPr>
        <w:t xml:space="preserve"> </w:t>
      </w:r>
      <w:r>
        <w:t>la</w:t>
      </w:r>
      <w:r>
        <w:rPr>
          <w:spacing w:val="-3"/>
        </w:rPr>
        <w:t xml:space="preserve"> </w:t>
      </w:r>
      <w:r>
        <w:t>doctrina</w:t>
      </w:r>
      <w:r>
        <w:rPr>
          <w:spacing w:val="-4"/>
        </w:rPr>
        <w:t xml:space="preserve"> </w:t>
      </w:r>
      <w:r>
        <w:t>de</w:t>
      </w:r>
      <w:r>
        <w:rPr>
          <w:spacing w:val="-3"/>
        </w:rPr>
        <w:t xml:space="preserve"> </w:t>
      </w:r>
      <w:r>
        <w:t>las</w:t>
      </w:r>
      <w:r>
        <w:rPr>
          <w:spacing w:val="-3"/>
        </w:rPr>
        <w:t xml:space="preserve"> </w:t>
      </w:r>
      <w:r>
        <w:t>“dificultades</w:t>
      </w:r>
      <w:r>
        <w:rPr>
          <w:spacing w:val="-3"/>
        </w:rPr>
        <w:t xml:space="preserve"> </w:t>
      </w:r>
      <w:r>
        <w:t>indebidas”</w:t>
      </w:r>
      <w:r>
        <w:rPr>
          <w:spacing w:val="-3"/>
        </w:rPr>
        <w:t xml:space="preserve"> </w:t>
      </w:r>
      <w:r>
        <w:rPr>
          <w:spacing w:val="-4"/>
        </w:rPr>
        <w:t>bajo</w:t>
      </w:r>
    </w:p>
    <w:p w14:paraId="1D2F19A3" w14:textId="77777777" w:rsidR="0014798C" w:rsidRDefault="004E1F0B">
      <w:pPr>
        <w:pStyle w:val="Textoindependiente"/>
        <w:spacing w:before="46"/>
        <w:ind w:left="1338"/>
      </w:pPr>
      <w:r>
        <w:t>La</w:t>
      </w:r>
      <w:r>
        <w:rPr>
          <w:spacing w:val="3"/>
        </w:rPr>
        <w:t xml:space="preserve"> </w:t>
      </w:r>
      <w:r>
        <w:t>legislación</w:t>
      </w:r>
      <w:r>
        <w:rPr>
          <w:spacing w:val="3"/>
        </w:rPr>
        <w:t xml:space="preserve"> </w:t>
      </w:r>
      <w:r>
        <w:t>canadiense</w:t>
      </w:r>
      <w:r>
        <w:rPr>
          <w:spacing w:val="3"/>
        </w:rPr>
        <w:t xml:space="preserve"> </w:t>
      </w:r>
      <w:r>
        <w:t>en</w:t>
      </w:r>
      <w:r>
        <w:rPr>
          <w:spacing w:val="3"/>
        </w:rPr>
        <w:t xml:space="preserve"> </w:t>
      </w:r>
      <w:r>
        <w:t>casos</w:t>
      </w:r>
      <w:r>
        <w:rPr>
          <w:spacing w:val="3"/>
        </w:rPr>
        <w:t xml:space="preserve"> </w:t>
      </w:r>
      <w:r>
        <w:t>relativos</w:t>
      </w:r>
      <w:r>
        <w:rPr>
          <w:spacing w:val="3"/>
        </w:rPr>
        <w:t xml:space="preserve"> </w:t>
      </w:r>
      <w:r>
        <w:t>a</w:t>
      </w:r>
      <w:r>
        <w:rPr>
          <w:spacing w:val="3"/>
        </w:rPr>
        <w:t xml:space="preserve"> </w:t>
      </w:r>
      <w:r>
        <w:t>ajustes</w:t>
      </w:r>
      <w:r>
        <w:rPr>
          <w:spacing w:val="3"/>
        </w:rPr>
        <w:t xml:space="preserve"> </w:t>
      </w:r>
      <w:r>
        <w:t>razonables</w:t>
      </w:r>
      <w:r>
        <w:rPr>
          <w:spacing w:val="3"/>
        </w:rPr>
        <w:t xml:space="preserve"> </w:t>
      </w:r>
      <w:r>
        <w:t>(aquí</w:t>
      </w:r>
      <w:r>
        <w:rPr>
          <w:spacing w:val="3"/>
        </w:rPr>
        <w:t xml:space="preserve"> </w:t>
      </w:r>
      <w:r>
        <w:t>denominados</w:t>
      </w:r>
      <w:r>
        <w:rPr>
          <w:spacing w:val="3"/>
        </w:rPr>
        <w:t xml:space="preserve"> </w:t>
      </w:r>
      <w:r>
        <w:t>personalización)</w:t>
      </w:r>
      <w:r>
        <w:rPr>
          <w:spacing w:val="4"/>
        </w:rPr>
        <w:t xml:space="preserve"> </w:t>
      </w:r>
      <w:r>
        <w:t>en</w:t>
      </w:r>
      <w:r>
        <w:rPr>
          <w:spacing w:val="3"/>
        </w:rPr>
        <w:t xml:space="preserve"> </w:t>
      </w:r>
      <w:r>
        <w:t>materia</w:t>
      </w:r>
      <w:r>
        <w:rPr>
          <w:spacing w:val="3"/>
        </w:rPr>
        <w:t xml:space="preserve"> </w:t>
      </w:r>
      <w:r>
        <w:rPr>
          <w:spacing w:val="-2"/>
        </w:rPr>
        <w:t>médica.</w:t>
      </w:r>
    </w:p>
    <w:p w14:paraId="32F756BC" w14:textId="77777777" w:rsidR="0014798C" w:rsidRDefault="004E1F0B">
      <w:pPr>
        <w:pStyle w:val="Textoindependiente"/>
        <w:spacing w:before="43"/>
        <w:ind w:left="1337"/>
      </w:pPr>
      <w:r>
        <w:rPr>
          <w:spacing w:val="-2"/>
        </w:rPr>
        <w:t>contextos:</w:t>
      </w:r>
    </w:p>
    <w:p w14:paraId="55C73FF0" w14:textId="77777777" w:rsidR="0014798C" w:rsidRDefault="0014798C">
      <w:pPr>
        <w:pStyle w:val="Textoindependiente"/>
        <w:spacing w:before="37"/>
      </w:pPr>
    </w:p>
    <w:p w14:paraId="57ECCBA1" w14:textId="77777777" w:rsidR="0014798C" w:rsidRDefault="004E1F0B">
      <w:pPr>
        <w:pStyle w:val="Prrafodelista"/>
        <w:numPr>
          <w:ilvl w:val="0"/>
          <w:numId w:val="18"/>
        </w:numPr>
        <w:tabs>
          <w:tab w:val="left" w:pos="1747"/>
          <w:tab w:val="left" w:pos="1905"/>
        </w:tabs>
        <w:spacing w:line="326" w:lineRule="auto"/>
        <w:ind w:right="2089" w:hanging="333"/>
        <w:rPr>
          <w:sz w:val="16"/>
        </w:rPr>
      </w:pPr>
      <w:r>
        <w:rPr>
          <w:sz w:val="16"/>
        </w:rPr>
        <w:t>Una</w:t>
      </w:r>
      <w:r>
        <w:rPr>
          <w:spacing w:val="-2"/>
          <w:sz w:val="16"/>
        </w:rPr>
        <w:t xml:space="preserve"> </w:t>
      </w:r>
      <w:r>
        <w:rPr>
          <w:sz w:val="16"/>
        </w:rPr>
        <w:t>solicitud</w:t>
      </w:r>
      <w:r>
        <w:rPr>
          <w:spacing w:val="-2"/>
          <w:sz w:val="16"/>
        </w:rPr>
        <w:t xml:space="preserve"> </w:t>
      </w:r>
      <w:r>
        <w:rPr>
          <w:sz w:val="16"/>
        </w:rPr>
        <w:t>de</w:t>
      </w:r>
      <w:r>
        <w:rPr>
          <w:spacing w:val="-2"/>
          <w:sz w:val="16"/>
        </w:rPr>
        <w:t xml:space="preserve"> </w:t>
      </w:r>
      <w:r>
        <w:rPr>
          <w:sz w:val="16"/>
        </w:rPr>
        <w:t>personalización</w:t>
      </w:r>
      <w:r>
        <w:rPr>
          <w:spacing w:val="-2"/>
          <w:sz w:val="16"/>
        </w:rPr>
        <w:t xml:space="preserve"> </w:t>
      </w:r>
      <w:r>
        <w:rPr>
          <w:sz w:val="16"/>
        </w:rPr>
        <w:t>de</w:t>
      </w:r>
      <w:r>
        <w:rPr>
          <w:spacing w:val="-2"/>
          <w:sz w:val="16"/>
        </w:rPr>
        <w:t xml:space="preserve"> </w:t>
      </w:r>
      <w:r>
        <w:rPr>
          <w:sz w:val="16"/>
        </w:rPr>
        <w:t>la</w:t>
      </w:r>
      <w:r>
        <w:rPr>
          <w:spacing w:val="-2"/>
          <w:sz w:val="16"/>
        </w:rPr>
        <w:t xml:space="preserve"> </w:t>
      </w:r>
      <w:r>
        <w:rPr>
          <w:sz w:val="16"/>
        </w:rPr>
        <w:t>atención</w:t>
      </w:r>
      <w:r>
        <w:rPr>
          <w:spacing w:val="-2"/>
          <w:sz w:val="16"/>
        </w:rPr>
        <w:t xml:space="preserve"> </w:t>
      </w:r>
      <w:r>
        <w:rPr>
          <w:sz w:val="16"/>
        </w:rPr>
        <w:t>no</w:t>
      </w:r>
      <w:r>
        <w:rPr>
          <w:spacing w:val="-2"/>
          <w:sz w:val="16"/>
        </w:rPr>
        <w:t xml:space="preserve"> </w:t>
      </w:r>
      <w:r>
        <w:rPr>
          <w:sz w:val="16"/>
        </w:rPr>
        <w:t>debe</w:t>
      </w:r>
      <w:r>
        <w:rPr>
          <w:spacing w:val="-2"/>
          <w:sz w:val="16"/>
        </w:rPr>
        <w:t xml:space="preserve"> </w:t>
      </w:r>
      <w:r>
        <w:rPr>
          <w:sz w:val="16"/>
        </w:rPr>
        <w:t>ir</w:t>
      </w:r>
      <w:r>
        <w:rPr>
          <w:spacing w:val="-2"/>
          <w:sz w:val="16"/>
        </w:rPr>
        <w:t xml:space="preserve"> </w:t>
      </w:r>
      <w:r>
        <w:rPr>
          <w:sz w:val="16"/>
        </w:rPr>
        <w:t>en</w:t>
      </w:r>
      <w:r>
        <w:rPr>
          <w:spacing w:val="-2"/>
          <w:sz w:val="16"/>
        </w:rPr>
        <w:t xml:space="preserve"> </w:t>
      </w:r>
      <w:r>
        <w:rPr>
          <w:sz w:val="16"/>
        </w:rPr>
        <w:t>contra</w:t>
      </w:r>
      <w:r>
        <w:rPr>
          <w:spacing w:val="-2"/>
          <w:sz w:val="16"/>
        </w:rPr>
        <w:t xml:space="preserve"> </w:t>
      </w:r>
      <w:r>
        <w:rPr>
          <w:sz w:val="16"/>
        </w:rPr>
        <w:t>del</w:t>
      </w:r>
      <w:r>
        <w:rPr>
          <w:spacing w:val="-2"/>
          <w:sz w:val="16"/>
        </w:rPr>
        <w:t xml:space="preserve"> </w:t>
      </w:r>
      <w:r>
        <w:rPr>
          <w:sz w:val="16"/>
        </w:rPr>
        <w:t>juicio</w:t>
      </w:r>
      <w:r>
        <w:rPr>
          <w:spacing w:val="-2"/>
          <w:sz w:val="16"/>
        </w:rPr>
        <w:t xml:space="preserve"> </w:t>
      </w:r>
      <w:r>
        <w:rPr>
          <w:sz w:val="16"/>
        </w:rPr>
        <w:t>clínico,</w:t>
      </w:r>
      <w:r>
        <w:rPr>
          <w:spacing w:val="-1"/>
          <w:sz w:val="16"/>
        </w:rPr>
        <w:t xml:space="preserve"> </w:t>
      </w:r>
      <w:r>
        <w:rPr>
          <w:sz w:val="16"/>
        </w:rPr>
        <w:t>las</w:t>
      </w:r>
      <w:r>
        <w:rPr>
          <w:spacing w:val="-2"/>
          <w:sz w:val="16"/>
        </w:rPr>
        <w:t xml:space="preserve"> </w:t>
      </w:r>
      <w:r>
        <w:rPr>
          <w:sz w:val="16"/>
        </w:rPr>
        <w:t>mejores</w:t>
      </w:r>
      <w:r>
        <w:rPr>
          <w:spacing w:val="-2"/>
          <w:sz w:val="16"/>
        </w:rPr>
        <w:t xml:space="preserve"> </w:t>
      </w:r>
      <w:r>
        <w:rPr>
          <w:sz w:val="16"/>
        </w:rPr>
        <w:t>prácticas</w:t>
      </w:r>
      <w:r>
        <w:rPr>
          <w:spacing w:val="-2"/>
          <w:sz w:val="16"/>
        </w:rPr>
        <w:t xml:space="preserve"> </w:t>
      </w:r>
      <w:r>
        <w:rPr>
          <w:sz w:val="16"/>
        </w:rPr>
        <w:t>y</w:t>
      </w:r>
      <w:r>
        <w:rPr>
          <w:spacing w:val="-2"/>
          <w:sz w:val="16"/>
        </w:rPr>
        <w:t xml:space="preserve"> </w:t>
      </w:r>
      <w:r>
        <w:rPr>
          <w:sz w:val="16"/>
        </w:rPr>
        <w:t>el código de ética profesional y debe evaluarse a la luz de la urgencia clínica.</w:t>
      </w:r>
    </w:p>
    <w:p w14:paraId="324CB97A" w14:textId="77777777" w:rsidR="0014798C" w:rsidRDefault="004E1F0B">
      <w:pPr>
        <w:pStyle w:val="Prrafodelista"/>
        <w:numPr>
          <w:ilvl w:val="0"/>
          <w:numId w:val="18"/>
        </w:numPr>
        <w:tabs>
          <w:tab w:val="left" w:pos="1735"/>
          <w:tab w:val="left" w:pos="1901"/>
        </w:tabs>
        <w:spacing w:before="113" w:line="326" w:lineRule="auto"/>
        <w:ind w:left="1901" w:right="1985" w:hanging="341"/>
        <w:rPr>
          <w:sz w:val="16"/>
        </w:rPr>
      </w:pPr>
      <w:r>
        <w:rPr>
          <w:sz w:val="16"/>
        </w:rPr>
        <w:t>Una</w:t>
      </w:r>
      <w:r>
        <w:rPr>
          <w:spacing w:val="-2"/>
          <w:sz w:val="16"/>
        </w:rPr>
        <w:t xml:space="preserve"> </w:t>
      </w:r>
      <w:r>
        <w:rPr>
          <w:sz w:val="16"/>
        </w:rPr>
        <w:t>solicitud</w:t>
      </w:r>
      <w:r>
        <w:rPr>
          <w:spacing w:val="-2"/>
          <w:sz w:val="16"/>
        </w:rPr>
        <w:t xml:space="preserve"> </w:t>
      </w:r>
      <w:r>
        <w:rPr>
          <w:sz w:val="16"/>
        </w:rPr>
        <w:t>de</w:t>
      </w:r>
      <w:r>
        <w:rPr>
          <w:spacing w:val="-2"/>
          <w:sz w:val="16"/>
        </w:rPr>
        <w:t xml:space="preserve"> </w:t>
      </w:r>
      <w:r>
        <w:rPr>
          <w:sz w:val="16"/>
        </w:rPr>
        <w:t>personalización</w:t>
      </w:r>
      <w:r>
        <w:rPr>
          <w:spacing w:val="-2"/>
          <w:sz w:val="16"/>
        </w:rPr>
        <w:t xml:space="preserve"> </w:t>
      </w:r>
      <w:r>
        <w:rPr>
          <w:sz w:val="16"/>
        </w:rPr>
        <w:t>no</w:t>
      </w:r>
      <w:r>
        <w:rPr>
          <w:spacing w:val="-2"/>
          <w:sz w:val="16"/>
        </w:rPr>
        <w:t xml:space="preserve"> </w:t>
      </w:r>
      <w:r>
        <w:rPr>
          <w:sz w:val="16"/>
        </w:rPr>
        <w:t>debe</w:t>
      </w:r>
      <w:r>
        <w:rPr>
          <w:spacing w:val="-2"/>
          <w:sz w:val="16"/>
        </w:rPr>
        <w:t xml:space="preserve"> </w:t>
      </w:r>
      <w:r>
        <w:rPr>
          <w:sz w:val="16"/>
        </w:rPr>
        <w:t>ir</w:t>
      </w:r>
      <w:r>
        <w:rPr>
          <w:spacing w:val="-2"/>
          <w:sz w:val="16"/>
        </w:rPr>
        <w:t xml:space="preserve"> </w:t>
      </w:r>
      <w:r>
        <w:rPr>
          <w:sz w:val="16"/>
        </w:rPr>
        <w:t>en</w:t>
      </w:r>
      <w:r>
        <w:rPr>
          <w:spacing w:val="-2"/>
          <w:sz w:val="16"/>
        </w:rPr>
        <w:t xml:space="preserve"> </w:t>
      </w:r>
      <w:r>
        <w:rPr>
          <w:sz w:val="16"/>
        </w:rPr>
        <w:t>contra</w:t>
      </w:r>
      <w:r>
        <w:rPr>
          <w:spacing w:val="-2"/>
          <w:sz w:val="16"/>
        </w:rPr>
        <w:t xml:space="preserve"> </w:t>
      </w:r>
      <w:r>
        <w:rPr>
          <w:sz w:val="16"/>
        </w:rPr>
        <w:t>de</w:t>
      </w:r>
      <w:r>
        <w:rPr>
          <w:spacing w:val="-2"/>
          <w:sz w:val="16"/>
        </w:rPr>
        <w:t xml:space="preserve"> </w:t>
      </w:r>
      <w:r>
        <w:rPr>
          <w:sz w:val="16"/>
        </w:rPr>
        <w:t>las</w:t>
      </w:r>
      <w:r>
        <w:rPr>
          <w:spacing w:val="-2"/>
          <w:sz w:val="16"/>
        </w:rPr>
        <w:t xml:space="preserve"> </w:t>
      </w:r>
      <w:r>
        <w:rPr>
          <w:sz w:val="16"/>
        </w:rPr>
        <w:t>normas</w:t>
      </w:r>
      <w:r>
        <w:rPr>
          <w:spacing w:val="-2"/>
          <w:sz w:val="16"/>
        </w:rPr>
        <w:t xml:space="preserve"> </w:t>
      </w:r>
      <w:r>
        <w:rPr>
          <w:sz w:val="16"/>
        </w:rPr>
        <w:t>de</w:t>
      </w:r>
      <w:r>
        <w:rPr>
          <w:spacing w:val="-2"/>
          <w:sz w:val="16"/>
        </w:rPr>
        <w:t xml:space="preserve"> </w:t>
      </w:r>
      <w:r>
        <w:rPr>
          <w:sz w:val="16"/>
        </w:rPr>
        <w:t>seguridad,</w:t>
      </w:r>
      <w:r>
        <w:rPr>
          <w:spacing w:val="-1"/>
          <w:sz w:val="16"/>
        </w:rPr>
        <w:t xml:space="preserve"> </w:t>
      </w:r>
      <w:r>
        <w:rPr>
          <w:sz w:val="16"/>
        </w:rPr>
        <w:t>por</w:t>
      </w:r>
      <w:r>
        <w:rPr>
          <w:spacing w:val="-2"/>
          <w:sz w:val="16"/>
        </w:rPr>
        <w:t xml:space="preserve"> </w:t>
      </w:r>
      <w:r>
        <w:rPr>
          <w:sz w:val="16"/>
        </w:rPr>
        <w:t>ejemplo,</w:t>
      </w:r>
      <w:r>
        <w:rPr>
          <w:spacing w:val="-1"/>
          <w:sz w:val="16"/>
        </w:rPr>
        <w:t xml:space="preserve"> </w:t>
      </w:r>
      <w:r>
        <w:rPr>
          <w:sz w:val="16"/>
        </w:rPr>
        <w:t>la</w:t>
      </w:r>
      <w:r>
        <w:rPr>
          <w:spacing w:val="-2"/>
          <w:sz w:val="16"/>
        </w:rPr>
        <w:t xml:space="preserve"> </w:t>
      </w:r>
      <w:r>
        <w:rPr>
          <w:sz w:val="16"/>
        </w:rPr>
        <w:t>prevención</w:t>
      </w:r>
      <w:r>
        <w:rPr>
          <w:spacing w:val="-2"/>
          <w:sz w:val="16"/>
        </w:rPr>
        <w:t xml:space="preserve"> </w:t>
      </w:r>
      <w:r>
        <w:rPr>
          <w:sz w:val="16"/>
        </w:rPr>
        <w:t>de infecciones, la gestión de riesgos, etc.</w:t>
      </w:r>
    </w:p>
    <w:p w14:paraId="44745CEE" w14:textId="77777777" w:rsidR="0014798C" w:rsidRDefault="004E1F0B">
      <w:pPr>
        <w:pStyle w:val="Prrafodelista"/>
        <w:numPr>
          <w:ilvl w:val="0"/>
          <w:numId w:val="18"/>
        </w:numPr>
        <w:tabs>
          <w:tab w:val="left" w:pos="1748"/>
        </w:tabs>
        <w:spacing w:before="92"/>
        <w:ind w:left="1748" w:hanging="183"/>
        <w:rPr>
          <w:sz w:val="16"/>
        </w:rPr>
      </w:pPr>
      <w:r>
        <w:rPr>
          <w:w w:val="105"/>
          <w:sz w:val="16"/>
        </w:rPr>
        <w:t>Una</w:t>
      </w:r>
      <w:r>
        <w:rPr>
          <w:spacing w:val="-9"/>
          <w:w w:val="105"/>
          <w:sz w:val="16"/>
        </w:rPr>
        <w:t xml:space="preserve"> </w:t>
      </w:r>
      <w:r>
        <w:rPr>
          <w:w w:val="105"/>
          <w:sz w:val="16"/>
        </w:rPr>
        <w:t>solicitud</w:t>
      </w:r>
      <w:r>
        <w:rPr>
          <w:spacing w:val="-8"/>
          <w:w w:val="105"/>
          <w:sz w:val="16"/>
        </w:rPr>
        <w:t xml:space="preserve"> </w:t>
      </w:r>
      <w:r>
        <w:rPr>
          <w:w w:val="105"/>
          <w:sz w:val="16"/>
        </w:rPr>
        <w:t>de</w:t>
      </w:r>
      <w:r>
        <w:rPr>
          <w:spacing w:val="-8"/>
          <w:w w:val="105"/>
          <w:sz w:val="16"/>
        </w:rPr>
        <w:t xml:space="preserve"> </w:t>
      </w:r>
      <w:r>
        <w:rPr>
          <w:w w:val="105"/>
          <w:sz w:val="16"/>
        </w:rPr>
        <w:t>personalización</w:t>
      </w:r>
      <w:r>
        <w:rPr>
          <w:spacing w:val="-8"/>
          <w:w w:val="105"/>
          <w:sz w:val="16"/>
        </w:rPr>
        <w:t xml:space="preserve"> </w:t>
      </w:r>
      <w:r>
        <w:rPr>
          <w:w w:val="105"/>
          <w:sz w:val="16"/>
        </w:rPr>
        <w:t>no</w:t>
      </w:r>
      <w:r>
        <w:rPr>
          <w:spacing w:val="-8"/>
          <w:w w:val="105"/>
          <w:sz w:val="16"/>
        </w:rPr>
        <w:t xml:space="preserve"> </w:t>
      </w:r>
      <w:r>
        <w:rPr>
          <w:w w:val="105"/>
          <w:sz w:val="16"/>
        </w:rPr>
        <w:t>debe</w:t>
      </w:r>
      <w:r>
        <w:rPr>
          <w:spacing w:val="-8"/>
          <w:w w:val="105"/>
          <w:sz w:val="16"/>
        </w:rPr>
        <w:t xml:space="preserve"> </w:t>
      </w:r>
      <w:r>
        <w:rPr>
          <w:w w:val="105"/>
          <w:sz w:val="16"/>
        </w:rPr>
        <w:t>generar</w:t>
      </w:r>
      <w:r>
        <w:rPr>
          <w:spacing w:val="-9"/>
          <w:w w:val="105"/>
          <w:sz w:val="16"/>
        </w:rPr>
        <w:t xml:space="preserve"> </w:t>
      </w:r>
      <w:r>
        <w:rPr>
          <w:w w:val="105"/>
          <w:sz w:val="16"/>
        </w:rPr>
        <w:t>costos</w:t>
      </w:r>
      <w:r>
        <w:rPr>
          <w:spacing w:val="-8"/>
          <w:w w:val="105"/>
          <w:sz w:val="16"/>
        </w:rPr>
        <w:t xml:space="preserve"> </w:t>
      </w:r>
      <w:r>
        <w:rPr>
          <w:w w:val="105"/>
          <w:sz w:val="16"/>
        </w:rPr>
        <w:t>indebidos</w:t>
      </w:r>
      <w:r>
        <w:rPr>
          <w:spacing w:val="-8"/>
          <w:w w:val="105"/>
          <w:sz w:val="16"/>
        </w:rPr>
        <w:t xml:space="preserve"> </w:t>
      </w:r>
      <w:r>
        <w:rPr>
          <w:w w:val="105"/>
          <w:sz w:val="16"/>
        </w:rPr>
        <w:t>o</w:t>
      </w:r>
      <w:r>
        <w:rPr>
          <w:spacing w:val="-8"/>
          <w:w w:val="105"/>
          <w:sz w:val="16"/>
        </w:rPr>
        <w:t xml:space="preserve"> </w:t>
      </w:r>
      <w:r>
        <w:rPr>
          <w:w w:val="105"/>
          <w:sz w:val="16"/>
        </w:rPr>
        <w:t>que</w:t>
      </w:r>
      <w:r>
        <w:rPr>
          <w:spacing w:val="-8"/>
          <w:w w:val="105"/>
          <w:sz w:val="16"/>
        </w:rPr>
        <w:t xml:space="preserve"> </w:t>
      </w:r>
      <w:r>
        <w:rPr>
          <w:w w:val="105"/>
          <w:sz w:val="16"/>
        </w:rPr>
        <w:t>excedan</w:t>
      </w:r>
      <w:r>
        <w:rPr>
          <w:spacing w:val="-8"/>
          <w:w w:val="105"/>
          <w:sz w:val="16"/>
        </w:rPr>
        <w:t xml:space="preserve"> </w:t>
      </w:r>
      <w:r>
        <w:rPr>
          <w:w w:val="105"/>
          <w:sz w:val="16"/>
        </w:rPr>
        <w:t>los</w:t>
      </w:r>
      <w:r>
        <w:rPr>
          <w:spacing w:val="-9"/>
          <w:w w:val="105"/>
          <w:sz w:val="16"/>
        </w:rPr>
        <w:t xml:space="preserve"> </w:t>
      </w:r>
      <w:r>
        <w:rPr>
          <w:w w:val="105"/>
          <w:sz w:val="16"/>
        </w:rPr>
        <w:t>costos</w:t>
      </w:r>
      <w:r>
        <w:rPr>
          <w:spacing w:val="-8"/>
          <w:w w:val="105"/>
          <w:sz w:val="16"/>
        </w:rPr>
        <w:t xml:space="preserve"> </w:t>
      </w:r>
      <w:r>
        <w:rPr>
          <w:spacing w:val="-2"/>
          <w:w w:val="105"/>
          <w:sz w:val="16"/>
        </w:rPr>
        <w:t>organizacionales.</w:t>
      </w:r>
    </w:p>
    <w:p w14:paraId="3F1DE79C" w14:textId="77777777" w:rsidR="0014798C" w:rsidRDefault="004E1F0B">
      <w:pPr>
        <w:pStyle w:val="Textoindependiente"/>
        <w:spacing w:before="86"/>
        <w:ind w:left="1901"/>
      </w:pPr>
      <w:r>
        <w:t>límites</w:t>
      </w:r>
      <w:r>
        <w:rPr>
          <w:spacing w:val="-4"/>
        </w:rPr>
        <w:t xml:space="preserve"> </w:t>
      </w:r>
      <w:r>
        <w:t>desde</w:t>
      </w:r>
      <w:r>
        <w:rPr>
          <w:spacing w:val="-4"/>
        </w:rPr>
        <w:t xml:space="preserve"> </w:t>
      </w:r>
      <w:r>
        <w:t>el</w:t>
      </w:r>
      <w:r>
        <w:rPr>
          <w:spacing w:val="-4"/>
        </w:rPr>
        <w:t xml:space="preserve"> </w:t>
      </w:r>
      <w:r>
        <w:t>punto</w:t>
      </w:r>
      <w:r>
        <w:rPr>
          <w:spacing w:val="-4"/>
        </w:rPr>
        <w:t xml:space="preserve"> </w:t>
      </w:r>
      <w:r>
        <w:t>de</w:t>
      </w:r>
      <w:r>
        <w:rPr>
          <w:spacing w:val="-3"/>
        </w:rPr>
        <w:t xml:space="preserve"> </w:t>
      </w:r>
      <w:r>
        <w:t>vista</w:t>
      </w:r>
      <w:r>
        <w:rPr>
          <w:spacing w:val="-4"/>
        </w:rPr>
        <w:t xml:space="preserve"> </w:t>
      </w:r>
      <w:r>
        <w:t>humano,</w:t>
      </w:r>
      <w:r>
        <w:rPr>
          <w:spacing w:val="-3"/>
        </w:rPr>
        <w:t xml:space="preserve"> </w:t>
      </w:r>
      <w:r>
        <w:t>físico</w:t>
      </w:r>
      <w:r>
        <w:rPr>
          <w:spacing w:val="-4"/>
        </w:rPr>
        <w:t xml:space="preserve"> </w:t>
      </w:r>
      <w:r>
        <w:t>y</w:t>
      </w:r>
      <w:r>
        <w:rPr>
          <w:spacing w:val="-3"/>
        </w:rPr>
        <w:t xml:space="preserve"> </w:t>
      </w:r>
      <w:r>
        <w:rPr>
          <w:spacing w:val="-2"/>
        </w:rPr>
        <w:t>financiero.</w:t>
      </w:r>
    </w:p>
    <w:p w14:paraId="794B1AA5" w14:textId="77777777" w:rsidR="0014798C" w:rsidRDefault="004E1F0B">
      <w:pPr>
        <w:pStyle w:val="Prrafodelista"/>
        <w:numPr>
          <w:ilvl w:val="0"/>
          <w:numId w:val="18"/>
        </w:numPr>
        <w:tabs>
          <w:tab w:val="left" w:pos="1737"/>
        </w:tabs>
        <w:spacing w:before="179"/>
        <w:ind w:left="1737" w:hanging="175"/>
        <w:rPr>
          <w:sz w:val="16"/>
        </w:rPr>
      </w:pPr>
      <w:r>
        <w:rPr>
          <w:sz w:val="16"/>
        </w:rPr>
        <w:t>La</w:t>
      </w:r>
      <w:r>
        <w:rPr>
          <w:spacing w:val="-6"/>
          <w:sz w:val="16"/>
        </w:rPr>
        <w:t xml:space="preserve"> </w:t>
      </w:r>
      <w:r>
        <w:rPr>
          <w:sz w:val="16"/>
        </w:rPr>
        <w:t>solicitud</w:t>
      </w:r>
      <w:r>
        <w:rPr>
          <w:spacing w:val="-3"/>
          <w:sz w:val="16"/>
        </w:rPr>
        <w:t xml:space="preserve"> </w:t>
      </w:r>
      <w:r>
        <w:rPr>
          <w:sz w:val="16"/>
        </w:rPr>
        <w:t>de</w:t>
      </w:r>
      <w:r>
        <w:rPr>
          <w:spacing w:val="-3"/>
          <w:sz w:val="16"/>
        </w:rPr>
        <w:t xml:space="preserve"> </w:t>
      </w:r>
      <w:r>
        <w:rPr>
          <w:sz w:val="16"/>
        </w:rPr>
        <w:t>personalización</w:t>
      </w:r>
      <w:r>
        <w:rPr>
          <w:spacing w:val="-3"/>
          <w:sz w:val="16"/>
        </w:rPr>
        <w:t xml:space="preserve"> </w:t>
      </w:r>
      <w:r>
        <w:rPr>
          <w:sz w:val="16"/>
        </w:rPr>
        <w:t>no</w:t>
      </w:r>
      <w:r>
        <w:rPr>
          <w:spacing w:val="-3"/>
          <w:sz w:val="16"/>
        </w:rPr>
        <w:t xml:space="preserve"> </w:t>
      </w:r>
      <w:r>
        <w:rPr>
          <w:sz w:val="16"/>
        </w:rPr>
        <w:t>debe</w:t>
      </w:r>
      <w:r>
        <w:rPr>
          <w:spacing w:val="-3"/>
          <w:sz w:val="16"/>
        </w:rPr>
        <w:t xml:space="preserve"> </w:t>
      </w:r>
      <w:r>
        <w:rPr>
          <w:sz w:val="16"/>
        </w:rPr>
        <w:t>ser</w:t>
      </w:r>
      <w:r>
        <w:rPr>
          <w:spacing w:val="-3"/>
          <w:sz w:val="16"/>
        </w:rPr>
        <w:t xml:space="preserve"> </w:t>
      </w:r>
      <w:r>
        <w:rPr>
          <w:sz w:val="16"/>
        </w:rPr>
        <w:t>lesiva</w:t>
      </w:r>
      <w:r>
        <w:rPr>
          <w:spacing w:val="-3"/>
          <w:sz w:val="16"/>
        </w:rPr>
        <w:t xml:space="preserve"> </w:t>
      </w:r>
      <w:r>
        <w:rPr>
          <w:sz w:val="16"/>
        </w:rPr>
        <w:t>de</w:t>
      </w:r>
      <w:r>
        <w:rPr>
          <w:spacing w:val="-3"/>
          <w:sz w:val="16"/>
        </w:rPr>
        <w:t xml:space="preserve"> </w:t>
      </w:r>
      <w:r>
        <w:rPr>
          <w:sz w:val="16"/>
        </w:rPr>
        <w:t>los</w:t>
      </w:r>
      <w:r>
        <w:rPr>
          <w:spacing w:val="-3"/>
          <w:sz w:val="16"/>
        </w:rPr>
        <w:t xml:space="preserve"> </w:t>
      </w:r>
      <w:r>
        <w:rPr>
          <w:sz w:val="16"/>
        </w:rPr>
        <w:t>derechos</w:t>
      </w:r>
      <w:r>
        <w:rPr>
          <w:spacing w:val="-3"/>
          <w:sz w:val="16"/>
        </w:rPr>
        <w:t xml:space="preserve"> </w:t>
      </w:r>
      <w:r>
        <w:rPr>
          <w:sz w:val="16"/>
        </w:rPr>
        <w:t>y</w:t>
      </w:r>
      <w:r>
        <w:rPr>
          <w:spacing w:val="-3"/>
          <w:sz w:val="16"/>
        </w:rPr>
        <w:t xml:space="preserve"> </w:t>
      </w:r>
      <w:r>
        <w:rPr>
          <w:sz w:val="16"/>
        </w:rPr>
        <w:t>libertades</w:t>
      </w:r>
      <w:r>
        <w:rPr>
          <w:spacing w:val="-3"/>
          <w:sz w:val="16"/>
        </w:rPr>
        <w:t xml:space="preserve"> </w:t>
      </w:r>
      <w:r>
        <w:rPr>
          <w:sz w:val="16"/>
        </w:rPr>
        <w:t>de</w:t>
      </w:r>
      <w:r>
        <w:rPr>
          <w:spacing w:val="-3"/>
          <w:sz w:val="16"/>
        </w:rPr>
        <w:t xml:space="preserve"> </w:t>
      </w:r>
      <w:r>
        <w:rPr>
          <w:sz w:val="16"/>
        </w:rPr>
        <w:t>otros</w:t>
      </w:r>
      <w:r>
        <w:rPr>
          <w:spacing w:val="-3"/>
          <w:sz w:val="16"/>
        </w:rPr>
        <w:t xml:space="preserve"> </w:t>
      </w:r>
      <w:r>
        <w:rPr>
          <w:sz w:val="16"/>
        </w:rPr>
        <w:t>usuarios</w:t>
      </w:r>
      <w:r>
        <w:rPr>
          <w:spacing w:val="-3"/>
          <w:sz w:val="16"/>
        </w:rPr>
        <w:t xml:space="preserve"> </w:t>
      </w:r>
      <w:r>
        <w:rPr>
          <w:sz w:val="16"/>
        </w:rPr>
        <w:t>e</w:t>
      </w:r>
      <w:r>
        <w:rPr>
          <w:spacing w:val="-3"/>
          <w:sz w:val="16"/>
        </w:rPr>
        <w:t xml:space="preserve"> </w:t>
      </w:r>
      <w:r>
        <w:rPr>
          <w:spacing w:val="-2"/>
          <w:sz w:val="16"/>
        </w:rPr>
        <w:t>intervinientes.1025</w:t>
      </w:r>
    </w:p>
    <w:p w14:paraId="514A1703" w14:textId="77777777" w:rsidR="0014798C" w:rsidRDefault="0014798C">
      <w:pPr>
        <w:pStyle w:val="Textoindependiente"/>
        <w:rPr>
          <w:sz w:val="18"/>
        </w:rPr>
      </w:pPr>
    </w:p>
    <w:p w14:paraId="2261BDA9" w14:textId="77777777" w:rsidR="0014798C" w:rsidRDefault="0014798C">
      <w:pPr>
        <w:pStyle w:val="Textoindependiente"/>
        <w:rPr>
          <w:sz w:val="18"/>
        </w:rPr>
      </w:pPr>
    </w:p>
    <w:p w14:paraId="1AB5C1A2" w14:textId="77777777" w:rsidR="0014798C" w:rsidRDefault="0014798C">
      <w:pPr>
        <w:pStyle w:val="Textoindependiente"/>
        <w:spacing w:before="138"/>
        <w:rPr>
          <w:sz w:val="18"/>
        </w:rPr>
      </w:pPr>
    </w:p>
    <w:p w14:paraId="49D21108" w14:textId="77777777" w:rsidR="0014798C" w:rsidRDefault="004E1F0B">
      <w:pPr>
        <w:pStyle w:val="Prrafodelista"/>
        <w:numPr>
          <w:ilvl w:val="0"/>
          <w:numId w:val="20"/>
        </w:numPr>
        <w:tabs>
          <w:tab w:val="left" w:pos="1302"/>
        </w:tabs>
        <w:ind w:left="1302" w:hanging="197"/>
        <w:rPr>
          <w:color w:val="803108"/>
          <w:sz w:val="18"/>
        </w:rPr>
      </w:pPr>
      <w:r>
        <w:rPr>
          <w:color w:val="803108"/>
          <w:sz w:val="18"/>
        </w:rPr>
        <w:t>Opción</w:t>
      </w:r>
      <w:r>
        <w:rPr>
          <w:color w:val="803108"/>
          <w:spacing w:val="-8"/>
          <w:sz w:val="18"/>
        </w:rPr>
        <w:t xml:space="preserve"> </w:t>
      </w:r>
      <w:r>
        <w:rPr>
          <w:color w:val="803108"/>
          <w:sz w:val="18"/>
        </w:rPr>
        <w:t>de</w:t>
      </w:r>
      <w:r>
        <w:rPr>
          <w:color w:val="803108"/>
          <w:spacing w:val="-7"/>
          <w:sz w:val="18"/>
        </w:rPr>
        <w:t xml:space="preserve"> </w:t>
      </w:r>
      <w:r>
        <w:rPr>
          <w:color w:val="803108"/>
          <w:sz w:val="18"/>
        </w:rPr>
        <w:t>exclusión</w:t>
      </w:r>
      <w:r>
        <w:rPr>
          <w:color w:val="803108"/>
          <w:spacing w:val="-7"/>
          <w:sz w:val="18"/>
        </w:rPr>
        <w:t xml:space="preserve"> </w:t>
      </w:r>
      <w:r>
        <w:rPr>
          <w:color w:val="803108"/>
          <w:sz w:val="18"/>
        </w:rPr>
        <w:t>en</w:t>
      </w:r>
      <w:r>
        <w:rPr>
          <w:color w:val="803108"/>
          <w:spacing w:val="-8"/>
          <w:sz w:val="18"/>
        </w:rPr>
        <w:t xml:space="preserve"> </w:t>
      </w:r>
      <w:r>
        <w:rPr>
          <w:color w:val="803108"/>
          <w:sz w:val="18"/>
        </w:rPr>
        <w:t>el</w:t>
      </w:r>
      <w:r>
        <w:rPr>
          <w:color w:val="803108"/>
          <w:spacing w:val="-7"/>
          <w:sz w:val="18"/>
        </w:rPr>
        <w:t xml:space="preserve"> </w:t>
      </w:r>
      <w:r>
        <w:rPr>
          <w:color w:val="803108"/>
          <w:sz w:val="18"/>
        </w:rPr>
        <w:t>ámbito</w:t>
      </w:r>
      <w:r>
        <w:rPr>
          <w:color w:val="803108"/>
          <w:spacing w:val="-7"/>
          <w:sz w:val="18"/>
        </w:rPr>
        <w:t xml:space="preserve"> </w:t>
      </w:r>
      <w:r>
        <w:rPr>
          <w:color w:val="803108"/>
          <w:sz w:val="18"/>
        </w:rPr>
        <w:t>de</w:t>
      </w:r>
      <w:r>
        <w:rPr>
          <w:color w:val="803108"/>
          <w:spacing w:val="-8"/>
          <w:sz w:val="18"/>
        </w:rPr>
        <w:t xml:space="preserve"> </w:t>
      </w:r>
      <w:r>
        <w:rPr>
          <w:color w:val="803108"/>
          <w:sz w:val="18"/>
        </w:rPr>
        <w:t>la</w:t>
      </w:r>
      <w:r>
        <w:rPr>
          <w:color w:val="803108"/>
          <w:spacing w:val="-7"/>
          <w:sz w:val="18"/>
        </w:rPr>
        <w:t xml:space="preserve"> </w:t>
      </w:r>
      <w:r>
        <w:rPr>
          <w:color w:val="803108"/>
          <w:spacing w:val="-2"/>
          <w:sz w:val="18"/>
        </w:rPr>
        <w:t>salud</w:t>
      </w:r>
    </w:p>
    <w:p w14:paraId="1AE44E0E" w14:textId="77777777" w:rsidR="0014798C" w:rsidRDefault="0014798C">
      <w:pPr>
        <w:pStyle w:val="Textoindependiente"/>
        <w:spacing w:before="88"/>
      </w:pPr>
    </w:p>
    <w:p w14:paraId="43932303" w14:textId="77777777" w:rsidR="0014798C" w:rsidRDefault="004E1F0B">
      <w:pPr>
        <w:pStyle w:val="Textoindependiente"/>
        <w:spacing w:line="326" w:lineRule="auto"/>
        <w:ind w:left="1108" w:right="1463" w:hanging="2"/>
      </w:pPr>
      <w:r>
        <w:t>Un asunto relacionado se refiere a la exclusión voluntaria de los procedimientos de salud. Ciertas minorías religiosas tienen requisitos</w:t>
      </w:r>
      <w:r>
        <w:rPr>
          <w:spacing w:val="-3"/>
        </w:rPr>
        <w:t xml:space="preserve"> </w:t>
      </w:r>
      <w:r>
        <w:t>doctrinales</w:t>
      </w:r>
      <w:r>
        <w:rPr>
          <w:spacing w:val="-3"/>
        </w:rPr>
        <w:t xml:space="preserve"> </w:t>
      </w:r>
      <w:r>
        <w:t>para</w:t>
      </w:r>
      <w:r>
        <w:rPr>
          <w:spacing w:val="-3"/>
        </w:rPr>
        <w:t xml:space="preserve"> </w:t>
      </w:r>
      <w:r>
        <w:t>no</w:t>
      </w:r>
      <w:r>
        <w:rPr>
          <w:spacing w:val="-3"/>
        </w:rPr>
        <w:t xml:space="preserve"> </w:t>
      </w:r>
      <w:r>
        <w:t>participar</w:t>
      </w:r>
      <w:r>
        <w:rPr>
          <w:spacing w:val="-3"/>
        </w:rPr>
        <w:t xml:space="preserve"> </w:t>
      </w:r>
      <w:r>
        <w:t>en</w:t>
      </w:r>
      <w:r>
        <w:rPr>
          <w:spacing w:val="-3"/>
        </w:rPr>
        <w:t xml:space="preserve"> </w:t>
      </w:r>
      <w:r>
        <w:t>ciertos</w:t>
      </w:r>
      <w:r>
        <w:rPr>
          <w:spacing w:val="-3"/>
        </w:rPr>
        <w:t xml:space="preserve"> </w:t>
      </w:r>
      <w:r>
        <w:t>procedimientos</w:t>
      </w:r>
      <w:r>
        <w:rPr>
          <w:spacing w:val="-3"/>
        </w:rPr>
        <w:t xml:space="preserve"> </w:t>
      </w:r>
      <w:r>
        <w:t>de</w:t>
      </w:r>
      <w:r>
        <w:rPr>
          <w:spacing w:val="-3"/>
        </w:rPr>
        <w:t xml:space="preserve"> </w:t>
      </w:r>
      <w:r>
        <w:t>salud,</w:t>
      </w:r>
      <w:r>
        <w:rPr>
          <w:spacing w:val="-2"/>
        </w:rPr>
        <w:t xml:space="preserve"> </w:t>
      </w:r>
      <w:r>
        <w:t>incluidas</w:t>
      </w:r>
      <w:r>
        <w:rPr>
          <w:spacing w:val="-3"/>
        </w:rPr>
        <w:t xml:space="preserve"> </w:t>
      </w:r>
      <w:r>
        <w:t>las</w:t>
      </w:r>
      <w:r>
        <w:rPr>
          <w:spacing w:val="-3"/>
        </w:rPr>
        <w:t xml:space="preserve"> </w:t>
      </w:r>
      <w:r>
        <w:t>transfusiones</w:t>
      </w:r>
      <w:r>
        <w:rPr>
          <w:spacing w:val="-3"/>
        </w:rPr>
        <w:t xml:space="preserve"> </w:t>
      </w:r>
      <w:r>
        <w:t>de</w:t>
      </w:r>
      <w:r>
        <w:rPr>
          <w:spacing w:val="-3"/>
        </w:rPr>
        <w:t xml:space="preserve"> </w:t>
      </w:r>
      <w:r>
        <w:t>sangre,</w:t>
      </w:r>
      <w:r>
        <w:rPr>
          <w:spacing w:val="-2"/>
        </w:rPr>
        <w:t xml:space="preserve"> </w:t>
      </w:r>
      <w:r>
        <w:t>la</w:t>
      </w:r>
      <w:r>
        <w:rPr>
          <w:spacing w:val="-3"/>
        </w:rPr>
        <w:t xml:space="preserve"> </w:t>
      </w:r>
      <w:r>
        <w:t>vacunación, la cirugía y, en algunos casos, cualquier forma de medicina convencional.</w:t>
      </w:r>
    </w:p>
    <w:p w14:paraId="7EB2FF34" w14:textId="77777777" w:rsidR="0014798C" w:rsidRDefault="004E1F0B">
      <w:pPr>
        <w:pStyle w:val="Textoindependiente"/>
        <w:spacing w:before="168"/>
        <w:ind w:left="1108"/>
      </w:pPr>
      <w:r>
        <w:t>En</w:t>
      </w:r>
      <w:r>
        <w:rPr>
          <w:spacing w:val="-6"/>
        </w:rPr>
        <w:t xml:space="preserve"> </w:t>
      </w:r>
      <w:r>
        <w:t>un</w:t>
      </w:r>
      <w:r>
        <w:rPr>
          <w:spacing w:val="-4"/>
        </w:rPr>
        <w:t xml:space="preserve"> </w:t>
      </w:r>
      <w:r>
        <w:t>caso</w:t>
      </w:r>
      <w:r>
        <w:rPr>
          <w:spacing w:val="-4"/>
        </w:rPr>
        <w:t xml:space="preserve"> </w:t>
      </w:r>
      <w:r>
        <w:t>relativo</w:t>
      </w:r>
      <w:r>
        <w:rPr>
          <w:spacing w:val="-3"/>
        </w:rPr>
        <w:t xml:space="preserve"> </w:t>
      </w:r>
      <w:r>
        <w:t>a</w:t>
      </w:r>
      <w:r>
        <w:rPr>
          <w:spacing w:val="-4"/>
        </w:rPr>
        <w:t xml:space="preserve"> </w:t>
      </w:r>
      <w:r>
        <w:t>la</w:t>
      </w:r>
      <w:r>
        <w:rPr>
          <w:spacing w:val="-4"/>
        </w:rPr>
        <w:t xml:space="preserve"> </w:t>
      </w:r>
      <w:r>
        <w:t>negativa</w:t>
      </w:r>
      <w:r>
        <w:rPr>
          <w:spacing w:val="-3"/>
        </w:rPr>
        <w:t xml:space="preserve"> </w:t>
      </w:r>
      <w:r>
        <w:t>de</w:t>
      </w:r>
      <w:r>
        <w:rPr>
          <w:spacing w:val="-4"/>
        </w:rPr>
        <w:t xml:space="preserve"> </w:t>
      </w:r>
      <w:r>
        <w:t>la</w:t>
      </w:r>
      <w:r>
        <w:rPr>
          <w:spacing w:val="-4"/>
        </w:rPr>
        <w:t xml:space="preserve"> </w:t>
      </w:r>
      <w:r>
        <w:t>Federación</w:t>
      </w:r>
      <w:r>
        <w:rPr>
          <w:spacing w:val="-3"/>
        </w:rPr>
        <w:t xml:space="preserve"> </w:t>
      </w:r>
      <w:r>
        <w:t>de</w:t>
      </w:r>
      <w:r>
        <w:rPr>
          <w:spacing w:val="-4"/>
        </w:rPr>
        <w:t xml:space="preserve"> </w:t>
      </w:r>
      <w:r>
        <w:t>Rusia</w:t>
      </w:r>
      <w:r>
        <w:rPr>
          <w:spacing w:val="-4"/>
        </w:rPr>
        <w:t xml:space="preserve"> </w:t>
      </w:r>
      <w:r>
        <w:t>a</w:t>
      </w:r>
      <w:r>
        <w:rPr>
          <w:spacing w:val="-4"/>
        </w:rPr>
        <w:t xml:space="preserve"> </w:t>
      </w:r>
      <w:r>
        <w:t>registrar</w:t>
      </w:r>
      <w:r>
        <w:rPr>
          <w:spacing w:val="-3"/>
        </w:rPr>
        <w:t xml:space="preserve"> </w:t>
      </w:r>
      <w:r>
        <w:t>una</w:t>
      </w:r>
      <w:r>
        <w:rPr>
          <w:spacing w:val="-4"/>
        </w:rPr>
        <w:t xml:space="preserve"> </w:t>
      </w:r>
      <w:r>
        <w:t>comunidad</w:t>
      </w:r>
      <w:r>
        <w:rPr>
          <w:spacing w:val="-4"/>
        </w:rPr>
        <w:t xml:space="preserve"> </w:t>
      </w:r>
      <w:r>
        <w:t>de</w:t>
      </w:r>
      <w:r>
        <w:rPr>
          <w:spacing w:val="-3"/>
        </w:rPr>
        <w:t xml:space="preserve"> </w:t>
      </w:r>
      <w:r>
        <w:t>testigos</w:t>
      </w:r>
      <w:r>
        <w:rPr>
          <w:spacing w:val="-4"/>
        </w:rPr>
        <w:t xml:space="preserve"> </w:t>
      </w:r>
      <w:r>
        <w:t>de</w:t>
      </w:r>
      <w:r>
        <w:rPr>
          <w:spacing w:val="-4"/>
        </w:rPr>
        <w:t xml:space="preserve"> </w:t>
      </w:r>
      <w:r>
        <w:t>Jehová,</w:t>
      </w:r>
      <w:r>
        <w:rPr>
          <w:spacing w:val="-2"/>
        </w:rPr>
        <w:t xml:space="preserve"> </w:t>
      </w:r>
      <w:r>
        <w:rPr>
          <w:spacing w:val="-5"/>
        </w:rPr>
        <w:t>el</w:t>
      </w:r>
    </w:p>
    <w:p w14:paraId="33F57B48" w14:textId="77777777" w:rsidR="0014798C" w:rsidRDefault="004E1F0B">
      <w:pPr>
        <w:pStyle w:val="Textoindependiente"/>
        <w:spacing w:before="66"/>
        <w:ind w:left="1109"/>
      </w:pPr>
      <w:r>
        <w:t>El</w:t>
      </w:r>
      <w:r>
        <w:rPr>
          <w:spacing w:val="-7"/>
        </w:rPr>
        <w:t xml:space="preserve"> </w:t>
      </w:r>
      <w:r>
        <w:t>Tribunal</w:t>
      </w:r>
      <w:r>
        <w:rPr>
          <w:spacing w:val="-5"/>
        </w:rPr>
        <w:t xml:space="preserve"> </w:t>
      </w:r>
      <w:r>
        <w:t>Europeo</w:t>
      </w:r>
      <w:r>
        <w:rPr>
          <w:spacing w:val="-5"/>
        </w:rPr>
        <w:t xml:space="preserve"> </w:t>
      </w:r>
      <w:r>
        <w:t>de</w:t>
      </w:r>
      <w:r>
        <w:rPr>
          <w:spacing w:val="-4"/>
        </w:rPr>
        <w:t xml:space="preserve"> </w:t>
      </w:r>
      <w:r>
        <w:t>Derechos</w:t>
      </w:r>
      <w:r>
        <w:rPr>
          <w:spacing w:val="-5"/>
        </w:rPr>
        <w:t xml:space="preserve"> </w:t>
      </w:r>
      <w:r>
        <w:t>Humanos</w:t>
      </w:r>
      <w:r>
        <w:rPr>
          <w:spacing w:val="-5"/>
        </w:rPr>
        <w:t xml:space="preserve"> </w:t>
      </w:r>
      <w:r>
        <w:t>reconoció,</w:t>
      </w:r>
      <w:r>
        <w:rPr>
          <w:spacing w:val="-4"/>
        </w:rPr>
        <w:t xml:space="preserve"> </w:t>
      </w:r>
      <w:r>
        <w:t>al</w:t>
      </w:r>
      <w:r>
        <w:rPr>
          <w:spacing w:val="-4"/>
        </w:rPr>
        <w:t xml:space="preserve"> </w:t>
      </w:r>
      <w:r>
        <w:t>considerar</w:t>
      </w:r>
      <w:r>
        <w:rPr>
          <w:spacing w:val="-5"/>
        </w:rPr>
        <w:t xml:space="preserve"> </w:t>
      </w:r>
      <w:r>
        <w:t>la</w:t>
      </w:r>
      <w:r>
        <w:rPr>
          <w:spacing w:val="-5"/>
        </w:rPr>
        <w:t xml:space="preserve"> </w:t>
      </w:r>
      <w:r>
        <w:t>prohibición</w:t>
      </w:r>
      <w:r>
        <w:rPr>
          <w:spacing w:val="-5"/>
        </w:rPr>
        <w:t xml:space="preserve"> </w:t>
      </w:r>
      <w:r>
        <w:t>discriminatoria</w:t>
      </w:r>
      <w:r>
        <w:rPr>
          <w:spacing w:val="-4"/>
        </w:rPr>
        <w:t xml:space="preserve"> </w:t>
      </w:r>
      <w:r>
        <w:t>y</w:t>
      </w:r>
      <w:r>
        <w:rPr>
          <w:spacing w:val="-5"/>
        </w:rPr>
        <w:t xml:space="preserve"> </w:t>
      </w:r>
      <w:r>
        <w:t>por</w:t>
      </w:r>
      <w:r>
        <w:rPr>
          <w:spacing w:val="-5"/>
        </w:rPr>
        <w:t xml:space="preserve"> </w:t>
      </w:r>
      <w:r>
        <w:t>tanto</w:t>
      </w:r>
      <w:r>
        <w:rPr>
          <w:spacing w:val="-5"/>
        </w:rPr>
        <w:t xml:space="preserve"> </w:t>
      </w:r>
      <w:r>
        <w:t>ilegal,</w:t>
      </w:r>
      <w:r>
        <w:rPr>
          <w:spacing w:val="-3"/>
        </w:rPr>
        <w:t xml:space="preserve"> </w:t>
      </w:r>
      <w:r>
        <w:rPr>
          <w:spacing w:val="-4"/>
        </w:rPr>
        <w:t>que:</w:t>
      </w:r>
    </w:p>
    <w:p w14:paraId="6B8749B4" w14:textId="77777777" w:rsidR="0014798C" w:rsidRDefault="004E1F0B">
      <w:pPr>
        <w:pStyle w:val="Textoindependiente"/>
        <w:spacing w:before="179" w:line="326" w:lineRule="auto"/>
        <w:ind w:left="1674" w:right="1479"/>
      </w:pPr>
      <w:r>
        <w:rPr>
          <w:color w:val="803108"/>
        </w:rPr>
        <w:t>la denegación de un tratamiento médico que podría salvar vidas por motivos religiosos es un problema de considerable complejidad</w:t>
      </w:r>
      <w:r>
        <w:rPr>
          <w:color w:val="803108"/>
          <w:spacing w:val="-2"/>
        </w:rPr>
        <w:t xml:space="preserve"> </w:t>
      </w:r>
      <w:r>
        <w:rPr>
          <w:color w:val="803108"/>
        </w:rPr>
        <w:t>jurídica,</w:t>
      </w:r>
      <w:r>
        <w:rPr>
          <w:color w:val="803108"/>
          <w:spacing w:val="-1"/>
        </w:rPr>
        <w:t xml:space="preserve"> </w:t>
      </w:r>
      <w:r>
        <w:rPr>
          <w:color w:val="803108"/>
        </w:rPr>
        <w:t>que</w:t>
      </w:r>
      <w:r>
        <w:rPr>
          <w:color w:val="803108"/>
          <w:spacing w:val="-2"/>
        </w:rPr>
        <w:t xml:space="preserve"> </w:t>
      </w:r>
      <w:r>
        <w:rPr>
          <w:color w:val="803108"/>
        </w:rPr>
        <w:t>implica</w:t>
      </w:r>
      <w:r>
        <w:rPr>
          <w:color w:val="803108"/>
          <w:spacing w:val="-2"/>
        </w:rPr>
        <w:t xml:space="preserve"> </w:t>
      </w:r>
      <w:r>
        <w:rPr>
          <w:color w:val="803108"/>
        </w:rPr>
        <w:t>un</w:t>
      </w:r>
      <w:r>
        <w:rPr>
          <w:color w:val="803108"/>
          <w:spacing w:val="-2"/>
        </w:rPr>
        <w:t xml:space="preserve"> </w:t>
      </w:r>
      <w:r>
        <w:rPr>
          <w:color w:val="803108"/>
        </w:rPr>
        <w:t>conflicto</w:t>
      </w:r>
      <w:r>
        <w:rPr>
          <w:color w:val="803108"/>
          <w:spacing w:val="-2"/>
        </w:rPr>
        <w:t xml:space="preserve"> </w:t>
      </w:r>
      <w:r>
        <w:rPr>
          <w:color w:val="803108"/>
        </w:rPr>
        <w:t>entre</w:t>
      </w:r>
      <w:r>
        <w:rPr>
          <w:color w:val="803108"/>
          <w:spacing w:val="-2"/>
        </w:rPr>
        <w:t xml:space="preserve"> </w:t>
      </w:r>
      <w:r>
        <w:rPr>
          <w:color w:val="803108"/>
        </w:rPr>
        <w:t>el</w:t>
      </w:r>
      <w:r>
        <w:rPr>
          <w:color w:val="803108"/>
          <w:spacing w:val="-2"/>
        </w:rPr>
        <w:t xml:space="preserve"> </w:t>
      </w:r>
      <w:r>
        <w:rPr>
          <w:color w:val="803108"/>
        </w:rPr>
        <w:t>interés</w:t>
      </w:r>
      <w:r>
        <w:rPr>
          <w:color w:val="803108"/>
          <w:spacing w:val="-2"/>
        </w:rPr>
        <w:t xml:space="preserve"> </w:t>
      </w:r>
      <w:r>
        <w:rPr>
          <w:color w:val="803108"/>
        </w:rPr>
        <w:t>del</w:t>
      </w:r>
      <w:r>
        <w:rPr>
          <w:color w:val="803108"/>
          <w:spacing w:val="-2"/>
        </w:rPr>
        <w:t xml:space="preserve"> </w:t>
      </w:r>
      <w:r>
        <w:rPr>
          <w:color w:val="803108"/>
        </w:rPr>
        <w:t>Estado</w:t>
      </w:r>
      <w:r>
        <w:rPr>
          <w:color w:val="803108"/>
          <w:spacing w:val="-2"/>
        </w:rPr>
        <w:t xml:space="preserve"> </w:t>
      </w:r>
      <w:r>
        <w:rPr>
          <w:color w:val="803108"/>
        </w:rPr>
        <w:t>en</w:t>
      </w:r>
      <w:r>
        <w:rPr>
          <w:color w:val="803108"/>
          <w:spacing w:val="-2"/>
        </w:rPr>
        <w:t xml:space="preserve"> </w:t>
      </w:r>
      <w:r>
        <w:rPr>
          <w:color w:val="803108"/>
        </w:rPr>
        <w:t>proteger</w:t>
      </w:r>
      <w:r>
        <w:rPr>
          <w:color w:val="803108"/>
          <w:spacing w:val="-2"/>
        </w:rPr>
        <w:t xml:space="preserve"> </w:t>
      </w:r>
      <w:r>
        <w:rPr>
          <w:color w:val="803108"/>
        </w:rPr>
        <w:t>la</w:t>
      </w:r>
      <w:r>
        <w:rPr>
          <w:color w:val="803108"/>
          <w:spacing w:val="-2"/>
        </w:rPr>
        <w:t xml:space="preserve"> </w:t>
      </w:r>
      <w:r>
        <w:rPr>
          <w:color w:val="803108"/>
        </w:rPr>
        <w:t>vida</w:t>
      </w:r>
      <w:r>
        <w:rPr>
          <w:color w:val="803108"/>
          <w:spacing w:val="-2"/>
        </w:rPr>
        <w:t xml:space="preserve"> </w:t>
      </w:r>
      <w:r>
        <w:rPr>
          <w:color w:val="803108"/>
        </w:rPr>
        <w:t>y</w:t>
      </w:r>
      <w:r>
        <w:rPr>
          <w:color w:val="803108"/>
          <w:spacing w:val="-2"/>
        </w:rPr>
        <w:t xml:space="preserve"> </w:t>
      </w:r>
      <w:r>
        <w:rPr>
          <w:color w:val="803108"/>
        </w:rPr>
        <w:t>la</w:t>
      </w:r>
      <w:r>
        <w:rPr>
          <w:color w:val="803108"/>
          <w:spacing w:val="-2"/>
        </w:rPr>
        <w:t xml:space="preserve"> </w:t>
      </w:r>
      <w:r>
        <w:rPr>
          <w:color w:val="803108"/>
        </w:rPr>
        <w:t>salud</w:t>
      </w:r>
      <w:r>
        <w:rPr>
          <w:color w:val="803108"/>
          <w:spacing w:val="-2"/>
        </w:rPr>
        <w:t xml:space="preserve"> </w:t>
      </w:r>
      <w:r>
        <w:rPr>
          <w:color w:val="803108"/>
        </w:rPr>
        <w:t>de</w:t>
      </w:r>
      <w:r>
        <w:rPr>
          <w:color w:val="803108"/>
          <w:spacing w:val="-2"/>
        </w:rPr>
        <w:t xml:space="preserve"> </w:t>
      </w:r>
      <w:r>
        <w:rPr>
          <w:color w:val="803108"/>
        </w:rPr>
        <w:t>sus</w:t>
      </w:r>
      <w:r>
        <w:rPr>
          <w:color w:val="803108"/>
          <w:spacing w:val="-2"/>
        </w:rPr>
        <w:t xml:space="preserve"> </w:t>
      </w:r>
      <w:r>
        <w:rPr>
          <w:color w:val="803108"/>
        </w:rPr>
        <w:t>ciudadanos y el derecho del individuo a la autonomía personal en la esfera de integridad física y creencias religiosas.1026</w:t>
      </w:r>
    </w:p>
    <w:p w14:paraId="40236258" w14:textId="77777777" w:rsidR="0014798C" w:rsidRDefault="0014798C">
      <w:pPr>
        <w:pStyle w:val="Textoindependiente"/>
        <w:spacing w:before="177"/>
      </w:pPr>
    </w:p>
    <w:p w14:paraId="2880AFCC" w14:textId="77777777" w:rsidR="0014798C" w:rsidRDefault="004E1F0B">
      <w:pPr>
        <w:pStyle w:val="Textoindependiente"/>
        <w:spacing w:before="1"/>
        <w:ind w:left="1106"/>
      </w:pPr>
      <w:r>
        <w:t>Sin</w:t>
      </w:r>
      <w:r>
        <w:rPr>
          <w:spacing w:val="-7"/>
        </w:rPr>
        <w:t xml:space="preserve"> </w:t>
      </w:r>
      <w:r>
        <w:t>embargo,</w:t>
      </w:r>
      <w:r>
        <w:rPr>
          <w:spacing w:val="-3"/>
        </w:rPr>
        <w:t xml:space="preserve"> </w:t>
      </w:r>
      <w:r>
        <w:t>al</w:t>
      </w:r>
      <w:r>
        <w:rPr>
          <w:spacing w:val="-4"/>
        </w:rPr>
        <w:t xml:space="preserve"> </w:t>
      </w:r>
      <w:r>
        <w:t>revocar</w:t>
      </w:r>
      <w:r>
        <w:rPr>
          <w:spacing w:val="-4"/>
        </w:rPr>
        <w:t xml:space="preserve"> </w:t>
      </w:r>
      <w:r>
        <w:t>la</w:t>
      </w:r>
      <w:r>
        <w:rPr>
          <w:spacing w:val="-4"/>
        </w:rPr>
        <w:t xml:space="preserve"> </w:t>
      </w:r>
      <w:r>
        <w:t>prohibición</w:t>
      </w:r>
      <w:r>
        <w:rPr>
          <w:spacing w:val="-4"/>
        </w:rPr>
        <w:t xml:space="preserve"> </w:t>
      </w:r>
      <w:r>
        <w:t>impuesta</w:t>
      </w:r>
      <w:r>
        <w:rPr>
          <w:spacing w:val="-4"/>
        </w:rPr>
        <w:t xml:space="preserve"> </w:t>
      </w:r>
      <w:r>
        <w:t>a</w:t>
      </w:r>
      <w:r>
        <w:rPr>
          <w:spacing w:val="-4"/>
        </w:rPr>
        <w:t xml:space="preserve"> </w:t>
      </w:r>
      <w:r>
        <w:t>la</w:t>
      </w:r>
      <w:r>
        <w:rPr>
          <w:spacing w:val="-5"/>
        </w:rPr>
        <w:t xml:space="preserve"> </w:t>
      </w:r>
      <w:r>
        <w:t>comunidad</w:t>
      </w:r>
      <w:r>
        <w:rPr>
          <w:spacing w:val="-4"/>
        </w:rPr>
        <w:t xml:space="preserve"> </w:t>
      </w:r>
      <w:r>
        <w:t>de</w:t>
      </w:r>
      <w:r>
        <w:rPr>
          <w:spacing w:val="-4"/>
        </w:rPr>
        <w:t xml:space="preserve"> </w:t>
      </w:r>
      <w:r>
        <w:t>los</w:t>
      </w:r>
      <w:r>
        <w:rPr>
          <w:spacing w:val="-4"/>
        </w:rPr>
        <w:t xml:space="preserve"> </w:t>
      </w:r>
      <w:r>
        <w:t>Testigos</w:t>
      </w:r>
      <w:r>
        <w:rPr>
          <w:spacing w:val="-4"/>
        </w:rPr>
        <w:t xml:space="preserve"> </w:t>
      </w:r>
      <w:r>
        <w:t>de</w:t>
      </w:r>
      <w:r>
        <w:rPr>
          <w:spacing w:val="-4"/>
        </w:rPr>
        <w:t xml:space="preserve"> </w:t>
      </w:r>
      <w:r>
        <w:t>Jehová,</w:t>
      </w:r>
      <w:r>
        <w:rPr>
          <w:spacing w:val="-3"/>
        </w:rPr>
        <w:t xml:space="preserve"> </w:t>
      </w:r>
      <w:r>
        <w:t>el</w:t>
      </w:r>
      <w:r>
        <w:rPr>
          <w:spacing w:val="-4"/>
        </w:rPr>
        <w:t xml:space="preserve"> </w:t>
      </w:r>
      <w:r>
        <w:t>Tribunal</w:t>
      </w:r>
      <w:r>
        <w:rPr>
          <w:spacing w:val="-4"/>
        </w:rPr>
        <w:t xml:space="preserve"> </w:t>
      </w:r>
      <w:r>
        <w:rPr>
          <w:spacing w:val="-2"/>
        </w:rPr>
        <w:t>sostuvo:</w:t>
      </w:r>
    </w:p>
    <w:p w14:paraId="6BE4F92D" w14:textId="77777777" w:rsidR="0014798C" w:rsidRDefault="004E1F0B">
      <w:pPr>
        <w:pStyle w:val="Textoindependiente"/>
        <w:spacing w:before="179" w:line="326" w:lineRule="auto"/>
        <w:ind w:left="1678" w:right="1463" w:hanging="7"/>
      </w:pPr>
      <w:r>
        <w:rPr>
          <w:color w:val="803108"/>
        </w:rPr>
        <w:t>La</w:t>
      </w:r>
      <w:r>
        <w:rPr>
          <w:color w:val="803108"/>
          <w:spacing w:val="-2"/>
        </w:rPr>
        <w:t xml:space="preserve"> </w:t>
      </w:r>
      <w:r>
        <w:rPr>
          <w:color w:val="803108"/>
        </w:rPr>
        <w:t>capacidad</w:t>
      </w:r>
      <w:r>
        <w:rPr>
          <w:color w:val="803108"/>
          <w:spacing w:val="-2"/>
        </w:rPr>
        <w:t xml:space="preserve"> </w:t>
      </w:r>
      <w:r>
        <w:rPr>
          <w:color w:val="803108"/>
        </w:rPr>
        <w:t>de</w:t>
      </w:r>
      <w:r>
        <w:rPr>
          <w:color w:val="803108"/>
          <w:spacing w:val="-2"/>
        </w:rPr>
        <w:t xml:space="preserve"> </w:t>
      </w:r>
      <w:r>
        <w:rPr>
          <w:color w:val="803108"/>
        </w:rPr>
        <w:t>conducir</w:t>
      </w:r>
      <w:r>
        <w:rPr>
          <w:color w:val="803108"/>
          <w:spacing w:val="-2"/>
        </w:rPr>
        <w:t xml:space="preserve"> </w:t>
      </w:r>
      <w:r>
        <w:rPr>
          <w:color w:val="803108"/>
        </w:rPr>
        <w:t>la</w:t>
      </w:r>
      <w:r>
        <w:rPr>
          <w:color w:val="803108"/>
          <w:spacing w:val="-2"/>
        </w:rPr>
        <w:t xml:space="preserve"> </w:t>
      </w:r>
      <w:r>
        <w:rPr>
          <w:color w:val="803108"/>
        </w:rPr>
        <w:t>vida</w:t>
      </w:r>
      <w:r>
        <w:rPr>
          <w:color w:val="803108"/>
          <w:spacing w:val="-2"/>
        </w:rPr>
        <w:t xml:space="preserve"> </w:t>
      </w:r>
      <w:r>
        <w:rPr>
          <w:color w:val="803108"/>
        </w:rPr>
        <w:t>de</w:t>
      </w:r>
      <w:r>
        <w:rPr>
          <w:color w:val="803108"/>
          <w:spacing w:val="-2"/>
        </w:rPr>
        <w:t xml:space="preserve"> </w:t>
      </w:r>
      <w:r>
        <w:rPr>
          <w:color w:val="803108"/>
        </w:rPr>
        <w:t>la</w:t>
      </w:r>
      <w:r>
        <w:rPr>
          <w:color w:val="803108"/>
          <w:spacing w:val="-2"/>
        </w:rPr>
        <w:t xml:space="preserve"> </w:t>
      </w:r>
      <w:r>
        <w:rPr>
          <w:color w:val="803108"/>
        </w:rPr>
        <w:t>manera</w:t>
      </w:r>
      <w:r>
        <w:rPr>
          <w:color w:val="803108"/>
          <w:spacing w:val="-2"/>
        </w:rPr>
        <w:t xml:space="preserve"> </w:t>
      </w:r>
      <w:r>
        <w:rPr>
          <w:color w:val="803108"/>
        </w:rPr>
        <w:t>que</w:t>
      </w:r>
      <w:r>
        <w:rPr>
          <w:color w:val="803108"/>
          <w:spacing w:val="-2"/>
        </w:rPr>
        <w:t xml:space="preserve"> </w:t>
      </w:r>
      <w:r>
        <w:rPr>
          <w:color w:val="803108"/>
        </w:rPr>
        <w:t>uno</w:t>
      </w:r>
      <w:r>
        <w:rPr>
          <w:color w:val="803108"/>
          <w:spacing w:val="-2"/>
        </w:rPr>
        <w:t xml:space="preserve"> </w:t>
      </w:r>
      <w:r>
        <w:rPr>
          <w:color w:val="803108"/>
        </w:rPr>
        <w:t>elija</w:t>
      </w:r>
      <w:r>
        <w:rPr>
          <w:color w:val="803108"/>
          <w:spacing w:val="-2"/>
        </w:rPr>
        <w:t xml:space="preserve"> </w:t>
      </w:r>
      <w:r>
        <w:rPr>
          <w:color w:val="803108"/>
        </w:rPr>
        <w:t>incluye</w:t>
      </w:r>
      <w:r>
        <w:rPr>
          <w:color w:val="803108"/>
          <w:spacing w:val="-2"/>
        </w:rPr>
        <w:t xml:space="preserve"> </w:t>
      </w:r>
      <w:r>
        <w:rPr>
          <w:color w:val="803108"/>
        </w:rPr>
        <w:t>la</w:t>
      </w:r>
      <w:r>
        <w:rPr>
          <w:color w:val="803108"/>
          <w:spacing w:val="-2"/>
        </w:rPr>
        <w:t xml:space="preserve"> </w:t>
      </w:r>
      <w:r>
        <w:rPr>
          <w:color w:val="803108"/>
        </w:rPr>
        <w:t>oportunidad</w:t>
      </w:r>
      <w:r>
        <w:rPr>
          <w:color w:val="803108"/>
          <w:spacing w:val="-2"/>
        </w:rPr>
        <w:t xml:space="preserve"> </w:t>
      </w:r>
      <w:r>
        <w:rPr>
          <w:color w:val="803108"/>
        </w:rPr>
        <w:t>de</w:t>
      </w:r>
      <w:r>
        <w:rPr>
          <w:color w:val="803108"/>
          <w:spacing w:val="-2"/>
        </w:rPr>
        <w:t xml:space="preserve"> </w:t>
      </w:r>
      <w:r>
        <w:rPr>
          <w:color w:val="803108"/>
        </w:rPr>
        <w:t>realizar</w:t>
      </w:r>
      <w:r>
        <w:rPr>
          <w:color w:val="803108"/>
          <w:spacing w:val="-2"/>
        </w:rPr>
        <w:t xml:space="preserve"> </w:t>
      </w:r>
      <w:r>
        <w:rPr>
          <w:color w:val="803108"/>
        </w:rPr>
        <w:t>actividades</w:t>
      </w:r>
      <w:r>
        <w:rPr>
          <w:color w:val="803108"/>
          <w:spacing w:val="-2"/>
        </w:rPr>
        <w:t xml:space="preserve"> </w:t>
      </w:r>
      <w:r>
        <w:rPr>
          <w:color w:val="803108"/>
        </w:rPr>
        <w:t>que</w:t>
      </w:r>
      <w:r>
        <w:rPr>
          <w:color w:val="803108"/>
          <w:spacing w:val="-2"/>
        </w:rPr>
        <w:t xml:space="preserve"> </w:t>
      </w:r>
      <w:r>
        <w:rPr>
          <w:color w:val="803108"/>
        </w:rPr>
        <w:t>se consideren de naturaleza físicamente dañina o peligrosa para el individuo en cuestión.</w:t>
      </w:r>
    </w:p>
    <w:p w14:paraId="4A382BE8" w14:textId="77777777" w:rsidR="0014798C" w:rsidRDefault="004E1F0B">
      <w:pPr>
        <w:pStyle w:val="Textoindependiente"/>
        <w:spacing w:line="326" w:lineRule="auto"/>
        <w:ind w:left="1674" w:right="1520" w:hanging="2"/>
      </w:pPr>
      <w:r>
        <w:rPr>
          <w:color w:val="803108"/>
        </w:rPr>
        <w:t>En el ámbito de la asistencia médica, incluso cuando la negativa a aceptar un determinado tratamiento pueda tener un desenlace fatal, la imposición de tratamiento médico... interferiría con su derecho a la integridad física y afectaría los derechos</w:t>
      </w:r>
      <w:r>
        <w:rPr>
          <w:color w:val="803108"/>
          <w:spacing w:val="-2"/>
        </w:rPr>
        <w:t xml:space="preserve"> </w:t>
      </w:r>
      <w:r>
        <w:rPr>
          <w:color w:val="803108"/>
        </w:rPr>
        <w:t>protegidos</w:t>
      </w:r>
      <w:r>
        <w:rPr>
          <w:color w:val="803108"/>
          <w:spacing w:val="-2"/>
        </w:rPr>
        <w:t xml:space="preserve"> </w:t>
      </w:r>
      <w:r>
        <w:rPr>
          <w:color w:val="803108"/>
        </w:rPr>
        <w:t>en</w:t>
      </w:r>
      <w:r>
        <w:rPr>
          <w:color w:val="803108"/>
          <w:spacing w:val="-2"/>
        </w:rPr>
        <w:t xml:space="preserve"> </w:t>
      </w:r>
      <w:r>
        <w:rPr>
          <w:color w:val="803108"/>
        </w:rPr>
        <w:t>virtud</w:t>
      </w:r>
      <w:r>
        <w:rPr>
          <w:color w:val="803108"/>
          <w:spacing w:val="-2"/>
        </w:rPr>
        <w:t xml:space="preserve"> </w:t>
      </w:r>
      <w:r>
        <w:rPr>
          <w:color w:val="803108"/>
        </w:rPr>
        <w:t>del</w:t>
      </w:r>
      <w:r>
        <w:rPr>
          <w:color w:val="803108"/>
          <w:spacing w:val="-2"/>
        </w:rPr>
        <w:t xml:space="preserve"> </w:t>
      </w:r>
      <w:r>
        <w:rPr>
          <w:color w:val="803108"/>
        </w:rPr>
        <w:t>artículo</w:t>
      </w:r>
      <w:r>
        <w:rPr>
          <w:color w:val="803108"/>
          <w:spacing w:val="-2"/>
        </w:rPr>
        <w:t xml:space="preserve"> </w:t>
      </w:r>
      <w:r>
        <w:rPr>
          <w:color w:val="803108"/>
        </w:rPr>
        <w:t>8</w:t>
      </w:r>
      <w:r>
        <w:rPr>
          <w:color w:val="803108"/>
          <w:spacing w:val="-2"/>
        </w:rPr>
        <w:t xml:space="preserve"> </w:t>
      </w:r>
      <w:r>
        <w:rPr>
          <w:color w:val="803108"/>
        </w:rPr>
        <w:t>de</w:t>
      </w:r>
      <w:r>
        <w:rPr>
          <w:color w:val="803108"/>
          <w:spacing w:val="-2"/>
        </w:rPr>
        <w:t xml:space="preserve"> </w:t>
      </w:r>
      <w:r>
        <w:rPr>
          <w:color w:val="803108"/>
        </w:rPr>
        <w:t>la</w:t>
      </w:r>
      <w:r>
        <w:rPr>
          <w:color w:val="803108"/>
          <w:spacing w:val="-2"/>
        </w:rPr>
        <w:t xml:space="preserve"> </w:t>
      </w:r>
      <w:r>
        <w:rPr>
          <w:color w:val="803108"/>
        </w:rPr>
        <w:t>Convención...</w:t>
      </w:r>
      <w:r>
        <w:rPr>
          <w:color w:val="803108"/>
          <w:spacing w:val="-1"/>
        </w:rPr>
        <w:t xml:space="preserve"> </w:t>
      </w:r>
      <w:r>
        <w:rPr>
          <w:color w:val="803108"/>
        </w:rPr>
        <w:t>La</w:t>
      </w:r>
      <w:r>
        <w:rPr>
          <w:color w:val="803108"/>
          <w:spacing w:val="-2"/>
        </w:rPr>
        <w:t xml:space="preserve"> </w:t>
      </w:r>
      <w:r>
        <w:rPr>
          <w:color w:val="803108"/>
        </w:rPr>
        <w:t>libertad</w:t>
      </w:r>
      <w:r>
        <w:rPr>
          <w:color w:val="803108"/>
          <w:spacing w:val="-2"/>
        </w:rPr>
        <w:t xml:space="preserve"> </w:t>
      </w:r>
      <w:r>
        <w:rPr>
          <w:color w:val="803108"/>
        </w:rPr>
        <w:t>de</w:t>
      </w:r>
      <w:r>
        <w:rPr>
          <w:color w:val="803108"/>
          <w:spacing w:val="-2"/>
        </w:rPr>
        <w:t xml:space="preserve"> </w:t>
      </w:r>
      <w:r>
        <w:rPr>
          <w:color w:val="803108"/>
        </w:rPr>
        <w:t>aceptar</w:t>
      </w:r>
      <w:r>
        <w:rPr>
          <w:color w:val="803108"/>
          <w:spacing w:val="-2"/>
        </w:rPr>
        <w:t xml:space="preserve"> </w:t>
      </w:r>
      <w:r>
        <w:rPr>
          <w:color w:val="803108"/>
        </w:rPr>
        <w:t>o</w:t>
      </w:r>
      <w:r>
        <w:rPr>
          <w:color w:val="803108"/>
          <w:spacing w:val="-2"/>
        </w:rPr>
        <w:t xml:space="preserve"> </w:t>
      </w:r>
      <w:r>
        <w:rPr>
          <w:color w:val="803108"/>
        </w:rPr>
        <w:t>rechazar</w:t>
      </w:r>
      <w:r>
        <w:rPr>
          <w:color w:val="803108"/>
          <w:spacing w:val="-2"/>
        </w:rPr>
        <w:t xml:space="preserve"> </w:t>
      </w:r>
      <w:r>
        <w:rPr>
          <w:color w:val="803108"/>
        </w:rPr>
        <w:t>un</w:t>
      </w:r>
      <w:r>
        <w:rPr>
          <w:color w:val="803108"/>
          <w:spacing w:val="-2"/>
        </w:rPr>
        <w:t xml:space="preserve"> </w:t>
      </w:r>
      <w:r>
        <w:rPr>
          <w:color w:val="803108"/>
        </w:rPr>
        <w:t>tratamiento</w:t>
      </w:r>
      <w:r>
        <w:rPr>
          <w:color w:val="803108"/>
          <w:spacing w:val="-2"/>
        </w:rPr>
        <w:t xml:space="preserve"> </w:t>
      </w:r>
      <w:r>
        <w:rPr>
          <w:color w:val="803108"/>
        </w:rPr>
        <w:t>médico específico, o de seleccionar una forma alternativa de tratamiento, es vital para los principios de autodeterminación y autonomía personal. Un paciente adulto competente es libre de decidir, por ejemplo, si someterse o no a una cirugía o</w:t>
      </w:r>
      <w:r>
        <w:rPr>
          <w:color w:val="803108"/>
          <w:spacing w:val="40"/>
        </w:rPr>
        <w:t xml:space="preserve"> </w:t>
      </w:r>
      <w:r>
        <w:rPr>
          <w:color w:val="803108"/>
        </w:rPr>
        <w:t>a</w:t>
      </w:r>
      <w:r>
        <w:rPr>
          <w:color w:val="803108"/>
          <w:spacing w:val="-1"/>
        </w:rPr>
        <w:t xml:space="preserve"> </w:t>
      </w:r>
      <w:r>
        <w:rPr>
          <w:color w:val="803108"/>
        </w:rPr>
        <w:t>un</w:t>
      </w:r>
      <w:r>
        <w:rPr>
          <w:color w:val="803108"/>
          <w:spacing w:val="-1"/>
        </w:rPr>
        <w:t xml:space="preserve"> </w:t>
      </w:r>
      <w:r>
        <w:rPr>
          <w:color w:val="803108"/>
        </w:rPr>
        <w:t>tratamiento</w:t>
      </w:r>
      <w:r>
        <w:rPr>
          <w:color w:val="803108"/>
          <w:spacing w:val="-1"/>
        </w:rPr>
        <w:t xml:space="preserve"> </w:t>
      </w:r>
      <w:r>
        <w:rPr>
          <w:color w:val="803108"/>
        </w:rPr>
        <w:t>o,</w:t>
      </w:r>
      <w:r>
        <w:rPr>
          <w:color w:val="803108"/>
          <w:spacing w:val="-1"/>
        </w:rPr>
        <w:t xml:space="preserve"> </w:t>
      </w:r>
      <w:r>
        <w:rPr>
          <w:color w:val="803108"/>
        </w:rPr>
        <w:t>del</w:t>
      </w:r>
      <w:r>
        <w:rPr>
          <w:color w:val="803108"/>
          <w:spacing w:val="-1"/>
        </w:rPr>
        <w:t xml:space="preserve"> </w:t>
      </w:r>
      <w:r>
        <w:rPr>
          <w:color w:val="803108"/>
        </w:rPr>
        <w:t>mismo</w:t>
      </w:r>
      <w:r>
        <w:rPr>
          <w:color w:val="803108"/>
          <w:spacing w:val="-1"/>
        </w:rPr>
        <w:t xml:space="preserve"> </w:t>
      </w:r>
      <w:r>
        <w:rPr>
          <w:color w:val="803108"/>
        </w:rPr>
        <w:t>modo, a</w:t>
      </w:r>
      <w:r>
        <w:rPr>
          <w:color w:val="803108"/>
          <w:spacing w:val="-1"/>
        </w:rPr>
        <w:t xml:space="preserve"> </w:t>
      </w:r>
      <w:r>
        <w:rPr>
          <w:color w:val="803108"/>
        </w:rPr>
        <w:t>una</w:t>
      </w:r>
      <w:r>
        <w:rPr>
          <w:color w:val="803108"/>
          <w:spacing w:val="-1"/>
        </w:rPr>
        <w:t xml:space="preserve"> </w:t>
      </w:r>
      <w:r>
        <w:rPr>
          <w:color w:val="803108"/>
        </w:rPr>
        <w:t>transfusión</w:t>
      </w:r>
      <w:r>
        <w:rPr>
          <w:color w:val="803108"/>
          <w:spacing w:val="-1"/>
        </w:rPr>
        <w:t xml:space="preserve"> </w:t>
      </w:r>
      <w:r>
        <w:rPr>
          <w:color w:val="803108"/>
        </w:rPr>
        <w:t>de</w:t>
      </w:r>
      <w:r>
        <w:rPr>
          <w:color w:val="803108"/>
          <w:spacing w:val="-1"/>
        </w:rPr>
        <w:t xml:space="preserve"> </w:t>
      </w:r>
      <w:r>
        <w:rPr>
          <w:color w:val="803108"/>
        </w:rPr>
        <w:t>sangre. Sin</w:t>
      </w:r>
      <w:r>
        <w:rPr>
          <w:color w:val="803108"/>
          <w:spacing w:val="-1"/>
        </w:rPr>
        <w:t xml:space="preserve"> </w:t>
      </w:r>
      <w:r>
        <w:rPr>
          <w:color w:val="803108"/>
        </w:rPr>
        <w:t>embargo, para</w:t>
      </w:r>
      <w:r>
        <w:rPr>
          <w:color w:val="803108"/>
          <w:spacing w:val="-1"/>
        </w:rPr>
        <w:t xml:space="preserve"> </w:t>
      </w:r>
      <w:r>
        <w:rPr>
          <w:color w:val="803108"/>
        </w:rPr>
        <w:t>que</w:t>
      </w:r>
      <w:r>
        <w:rPr>
          <w:color w:val="803108"/>
          <w:spacing w:val="-1"/>
        </w:rPr>
        <w:t xml:space="preserve"> </w:t>
      </w:r>
      <w:r>
        <w:rPr>
          <w:color w:val="803108"/>
        </w:rPr>
        <w:t>esta</w:t>
      </w:r>
      <w:r>
        <w:rPr>
          <w:color w:val="803108"/>
          <w:spacing w:val="-1"/>
        </w:rPr>
        <w:t xml:space="preserve"> </w:t>
      </w:r>
      <w:r>
        <w:rPr>
          <w:color w:val="803108"/>
        </w:rPr>
        <w:t>libertad</w:t>
      </w:r>
      <w:r>
        <w:rPr>
          <w:color w:val="803108"/>
          <w:spacing w:val="-1"/>
        </w:rPr>
        <w:t xml:space="preserve"> </w:t>
      </w:r>
      <w:r>
        <w:rPr>
          <w:color w:val="803108"/>
        </w:rPr>
        <w:t>sea</w:t>
      </w:r>
      <w:r>
        <w:rPr>
          <w:color w:val="803108"/>
          <w:spacing w:val="-1"/>
        </w:rPr>
        <w:t xml:space="preserve"> </w:t>
      </w:r>
      <w:r>
        <w:rPr>
          <w:color w:val="803108"/>
        </w:rPr>
        <w:t>significativa, los pacientes deben tener derecho a tomar decisiones que estén de acuerdo con sus propios puntos de vista y valores, independientemente de cuán irracionales, imprudentes o imprudentes puedan parecerles a los demás. Muchas jurisdicciones establecidas han examinado la</w:t>
      </w:r>
    </w:p>
    <w:p w14:paraId="67F94729" w14:textId="77777777" w:rsidR="0014798C" w:rsidRDefault="0014798C">
      <w:pPr>
        <w:pStyle w:val="Textoindependiente"/>
        <w:rPr>
          <w:sz w:val="14"/>
        </w:rPr>
      </w:pPr>
    </w:p>
    <w:p w14:paraId="612BCE9A" w14:textId="77777777" w:rsidR="0014798C" w:rsidRDefault="0014798C">
      <w:pPr>
        <w:pStyle w:val="Textoindependiente"/>
        <w:spacing w:before="109"/>
        <w:rPr>
          <w:sz w:val="14"/>
        </w:rPr>
      </w:pPr>
    </w:p>
    <w:p w14:paraId="68A1DA8F" w14:textId="77777777" w:rsidR="0014798C" w:rsidRDefault="004E1F0B">
      <w:pPr>
        <w:spacing w:before="1"/>
        <w:ind w:left="1111"/>
        <w:rPr>
          <w:sz w:val="14"/>
        </w:rPr>
      </w:pPr>
      <w:r>
        <w:rPr>
          <w:sz w:val="14"/>
          <w:vertAlign w:val="superscript"/>
        </w:rPr>
        <w:t>1024</w:t>
      </w:r>
      <w:r>
        <w:rPr>
          <w:spacing w:val="18"/>
          <w:sz w:val="14"/>
        </w:rPr>
        <w:t xml:space="preserve"> </w:t>
      </w:r>
      <w:r>
        <w:rPr>
          <w:sz w:val="14"/>
        </w:rPr>
        <w:t>Corte</w:t>
      </w:r>
      <w:r>
        <w:rPr>
          <w:spacing w:val="-7"/>
          <w:sz w:val="14"/>
        </w:rPr>
        <w:t xml:space="preserve"> </w:t>
      </w:r>
      <w:r>
        <w:rPr>
          <w:sz w:val="14"/>
        </w:rPr>
        <w:t>Suprema</w:t>
      </w:r>
      <w:r>
        <w:rPr>
          <w:spacing w:val="-7"/>
          <w:sz w:val="14"/>
        </w:rPr>
        <w:t xml:space="preserve"> </w:t>
      </w:r>
      <w:r>
        <w:rPr>
          <w:sz w:val="14"/>
        </w:rPr>
        <w:t>de</w:t>
      </w:r>
      <w:r>
        <w:rPr>
          <w:spacing w:val="-7"/>
          <w:sz w:val="14"/>
        </w:rPr>
        <w:t xml:space="preserve"> </w:t>
      </w:r>
      <w:r>
        <w:rPr>
          <w:sz w:val="14"/>
        </w:rPr>
        <w:t>Canadá,</w:t>
      </w:r>
      <w:r>
        <w:rPr>
          <w:spacing w:val="-6"/>
          <w:sz w:val="14"/>
        </w:rPr>
        <w:t xml:space="preserve"> </w:t>
      </w:r>
      <w:r>
        <w:rPr>
          <w:sz w:val="14"/>
        </w:rPr>
        <w:t>Comisión</w:t>
      </w:r>
      <w:r>
        <w:rPr>
          <w:spacing w:val="-8"/>
          <w:sz w:val="14"/>
        </w:rPr>
        <w:t xml:space="preserve"> </w:t>
      </w:r>
      <w:r>
        <w:rPr>
          <w:sz w:val="14"/>
        </w:rPr>
        <w:t>de</w:t>
      </w:r>
      <w:r>
        <w:rPr>
          <w:spacing w:val="-7"/>
          <w:sz w:val="14"/>
        </w:rPr>
        <w:t xml:space="preserve"> </w:t>
      </w:r>
      <w:r>
        <w:rPr>
          <w:sz w:val="14"/>
        </w:rPr>
        <w:t>Derechos</w:t>
      </w:r>
      <w:r>
        <w:rPr>
          <w:spacing w:val="-7"/>
          <w:sz w:val="14"/>
        </w:rPr>
        <w:t xml:space="preserve"> </w:t>
      </w:r>
      <w:r>
        <w:rPr>
          <w:sz w:val="14"/>
        </w:rPr>
        <w:t>Humanos</w:t>
      </w:r>
      <w:r>
        <w:rPr>
          <w:spacing w:val="-7"/>
          <w:sz w:val="14"/>
        </w:rPr>
        <w:t xml:space="preserve"> </w:t>
      </w:r>
      <w:r>
        <w:rPr>
          <w:sz w:val="14"/>
        </w:rPr>
        <w:t>de</w:t>
      </w:r>
      <w:r>
        <w:rPr>
          <w:spacing w:val="-7"/>
          <w:sz w:val="14"/>
        </w:rPr>
        <w:t xml:space="preserve"> </w:t>
      </w:r>
      <w:r>
        <w:rPr>
          <w:sz w:val="14"/>
        </w:rPr>
        <w:t>Ontario</w:t>
      </w:r>
      <w:r>
        <w:rPr>
          <w:spacing w:val="-7"/>
          <w:sz w:val="14"/>
        </w:rPr>
        <w:t xml:space="preserve"> </w:t>
      </w:r>
      <w:r>
        <w:rPr>
          <w:sz w:val="14"/>
        </w:rPr>
        <w:t>y</w:t>
      </w:r>
      <w:r>
        <w:rPr>
          <w:spacing w:val="-7"/>
          <w:sz w:val="14"/>
        </w:rPr>
        <w:t xml:space="preserve"> </w:t>
      </w:r>
      <w:proofErr w:type="spellStart"/>
      <w:r>
        <w:rPr>
          <w:sz w:val="14"/>
        </w:rPr>
        <w:t>O'Malley</w:t>
      </w:r>
      <w:proofErr w:type="spellEnd"/>
      <w:r>
        <w:rPr>
          <w:spacing w:val="-8"/>
          <w:sz w:val="14"/>
        </w:rPr>
        <w:t xml:space="preserve"> </w:t>
      </w:r>
      <w:r>
        <w:rPr>
          <w:sz w:val="14"/>
        </w:rPr>
        <w:t>(Vincent)</w:t>
      </w:r>
      <w:r>
        <w:rPr>
          <w:spacing w:val="-7"/>
          <w:sz w:val="14"/>
        </w:rPr>
        <w:t xml:space="preserve"> </w:t>
      </w:r>
      <w:r>
        <w:rPr>
          <w:sz w:val="14"/>
        </w:rPr>
        <w:t>v.</w:t>
      </w:r>
      <w:r>
        <w:rPr>
          <w:spacing w:val="-7"/>
          <w:sz w:val="14"/>
        </w:rPr>
        <w:t xml:space="preserve"> </w:t>
      </w:r>
      <w:proofErr w:type="spellStart"/>
      <w:r>
        <w:rPr>
          <w:sz w:val="14"/>
        </w:rPr>
        <w:t>Simpsons</w:t>
      </w:r>
      <w:proofErr w:type="spellEnd"/>
      <w:r>
        <w:rPr>
          <w:sz w:val="14"/>
        </w:rPr>
        <w:t>-Sears</w:t>
      </w:r>
      <w:r>
        <w:rPr>
          <w:spacing w:val="-7"/>
          <w:sz w:val="14"/>
        </w:rPr>
        <w:t xml:space="preserve"> </w:t>
      </w:r>
      <w:r>
        <w:rPr>
          <w:sz w:val="14"/>
        </w:rPr>
        <w:t>[1985]</w:t>
      </w:r>
      <w:r>
        <w:rPr>
          <w:spacing w:val="-6"/>
          <w:sz w:val="14"/>
        </w:rPr>
        <w:t xml:space="preserve"> </w:t>
      </w:r>
      <w:r>
        <w:rPr>
          <w:sz w:val="14"/>
        </w:rPr>
        <w:t>2</w:t>
      </w:r>
      <w:r>
        <w:rPr>
          <w:spacing w:val="-8"/>
          <w:sz w:val="14"/>
        </w:rPr>
        <w:t xml:space="preserve"> </w:t>
      </w:r>
      <w:r>
        <w:rPr>
          <w:sz w:val="14"/>
        </w:rPr>
        <w:t>SCR</w:t>
      </w:r>
      <w:r>
        <w:rPr>
          <w:spacing w:val="-7"/>
          <w:sz w:val="14"/>
        </w:rPr>
        <w:t xml:space="preserve"> </w:t>
      </w:r>
      <w:r>
        <w:rPr>
          <w:spacing w:val="-4"/>
          <w:sz w:val="14"/>
        </w:rPr>
        <w:t>536.</w:t>
      </w:r>
    </w:p>
    <w:p w14:paraId="244AA061" w14:textId="77777777" w:rsidR="0014798C" w:rsidRDefault="004E1F0B">
      <w:pPr>
        <w:spacing w:before="75" w:line="268" w:lineRule="auto"/>
        <w:ind w:left="1366" w:right="1272" w:hanging="256"/>
        <w:rPr>
          <w:sz w:val="14"/>
        </w:rPr>
      </w:pPr>
      <w:r>
        <w:rPr>
          <w:sz w:val="14"/>
        </w:rPr>
        <w:t>1025</w:t>
      </w:r>
      <w:r>
        <w:rPr>
          <w:spacing w:val="-4"/>
          <w:sz w:val="14"/>
        </w:rPr>
        <w:t xml:space="preserve"> </w:t>
      </w:r>
      <w:r>
        <w:rPr>
          <w:sz w:val="14"/>
        </w:rPr>
        <w:t>Gérard</w:t>
      </w:r>
      <w:r>
        <w:rPr>
          <w:spacing w:val="-4"/>
          <w:sz w:val="14"/>
        </w:rPr>
        <w:t xml:space="preserve"> </w:t>
      </w:r>
      <w:r>
        <w:rPr>
          <w:sz w:val="14"/>
        </w:rPr>
        <w:t>Bouchard</w:t>
      </w:r>
      <w:r>
        <w:rPr>
          <w:spacing w:val="-4"/>
          <w:sz w:val="14"/>
        </w:rPr>
        <w:t xml:space="preserve"> </w:t>
      </w:r>
      <w:r>
        <w:rPr>
          <w:sz w:val="14"/>
        </w:rPr>
        <w:t>y</w:t>
      </w:r>
      <w:r>
        <w:rPr>
          <w:spacing w:val="-4"/>
          <w:sz w:val="14"/>
        </w:rPr>
        <w:t xml:space="preserve"> </w:t>
      </w:r>
      <w:r>
        <w:rPr>
          <w:sz w:val="14"/>
        </w:rPr>
        <w:t>Charles</w:t>
      </w:r>
      <w:r>
        <w:rPr>
          <w:spacing w:val="-4"/>
          <w:sz w:val="14"/>
        </w:rPr>
        <w:t xml:space="preserve"> </w:t>
      </w:r>
      <w:r>
        <w:rPr>
          <w:sz w:val="14"/>
        </w:rPr>
        <w:t>Taylor,</w:t>
      </w:r>
      <w:r>
        <w:rPr>
          <w:spacing w:val="-3"/>
          <w:sz w:val="14"/>
        </w:rPr>
        <w:t xml:space="preserve"> </w:t>
      </w:r>
      <w:r>
        <w:rPr>
          <w:sz w:val="14"/>
        </w:rPr>
        <w:t>Construyendo</w:t>
      </w:r>
      <w:r>
        <w:rPr>
          <w:spacing w:val="-4"/>
          <w:sz w:val="14"/>
        </w:rPr>
        <w:t xml:space="preserve"> </w:t>
      </w:r>
      <w:r>
        <w:rPr>
          <w:sz w:val="14"/>
        </w:rPr>
        <w:t>el</w:t>
      </w:r>
      <w:r>
        <w:rPr>
          <w:spacing w:val="-4"/>
          <w:sz w:val="14"/>
        </w:rPr>
        <w:t xml:space="preserve"> </w:t>
      </w:r>
      <w:r>
        <w:rPr>
          <w:sz w:val="14"/>
        </w:rPr>
        <w:t>futuro:</w:t>
      </w:r>
      <w:r>
        <w:rPr>
          <w:spacing w:val="-3"/>
          <w:sz w:val="14"/>
        </w:rPr>
        <w:t xml:space="preserve"> </w:t>
      </w:r>
      <w:r>
        <w:rPr>
          <w:sz w:val="14"/>
        </w:rPr>
        <w:t>un</w:t>
      </w:r>
      <w:r>
        <w:rPr>
          <w:spacing w:val="-4"/>
          <w:sz w:val="14"/>
        </w:rPr>
        <w:t xml:space="preserve"> </w:t>
      </w:r>
      <w:r>
        <w:rPr>
          <w:sz w:val="14"/>
        </w:rPr>
        <w:t>tiempo</w:t>
      </w:r>
      <w:r>
        <w:rPr>
          <w:spacing w:val="-4"/>
          <w:sz w:val="14"/>
        </w:rPr>
        <w:t xml:space="preserve"> </w:t>
      </w:r>
      <w:r>
        <w:rPr>
          <w:sz w:val="14"/>
        </w:rPr>
        <w:t>para</w:t>
      </w:r>
      <w:r>
        <w:rPr>
          <w:spacing w:val="-4"/>
          <w:sz w:val="14"/>
        </w:rPr>
        <w:t xml:space="preserve"> </w:t>
      </w:r>
      <w:r>
        <w:rPr>
          <w:sz w:val="14"/>
        </w:rPr>
        <w:t>la</w:t>
      </w:r>
      <w:r>
        <w:rPr>
          <w:spacing w:val="-4"/>
          <w:sz w:val="14"/>
        </w:rPr>
        <w:t xml:space="preserve"> </w:t>
      </w:r>
      <w:r>
        <w:rPr>
          <w:sz w:val="14"/>
        </w:rPr>
        <w:t>reconciliación</w:t>
      </w:r>
      <w:r>
        <w:rPr>
          <w:spacing w:val="-4"/>
          <w:sz w:val="14"/>
        </w:rPr>
        <w:t xml:space="preserve"> </w:t>
      </w:r>
      <w:r>
        <w:rPr>
          <w:sz w:val="14"/>
        </w:rPr>
        <w:t>–</w:t>
      </w:r>
      <w:r>
        <w:rPr>
          <w:spacing w:val="-4"/>
          <w:sz w:val="14"/>
        </w:rPr>
        <w:t xml:space="preserve"> </w:t>
      </w:r>
      <w:r>
        <w:rPr>
          <w:sz w:val="14"/>
        </w:rPr>
        <w:t>Informe</w:t>
      </w:r>
      <w:r>
        <w:rPr>
          <w:spacing w:val="-4"/>
          <w:sz w:val="14"/>
        </w:rPr>
        <w:t xml:space="preserve"> </w:t>
      </w:r>
      <w:r>
        <w:rPr>
          <w:sz w:val="14"/>
        </w:rPr>
        <w:t>abreviado</w:t>
      </w:r>
      <w:r>
        <w:rPr>
          <w:spacing w:val="-4"/>
          <w:sz w:val="14"/>
        </w:rPr>
        <w:t xml:space="preserve"> </w:t>
      </w:r>
      <w:r>
        <w:rPr>
          <w:sz w:val="14"/>
        </w:rPr>
        <w:t>(Quebec,</w:t>
      </w:r>
      <w:r>
        <w:rPr>
          <w:spacing w:val="-3"/>
          <w:sz w:val="14"/>
        </w:rPr>
        <w:t xml:space="preserve"> </w:t>
      </w:r>
      <w:r>
        <w:rPr>
          <w:sz w:val="14"/>
        </w:rPr>
        <w:t>Gobierno</w:t>
      </w:r>
      <w:r>
        <w:rPr>
          <w:spacing w:val="-4"/>
          <w:sz w:val="14"/>
        </w:rPr>
        <w:t xml:space="preserve"> </w:t>
      </w:r>
      <w:r>
        <w:rPr>
          <w:sz w:val="14"/>
        </w:rPr>
        <w:t>de</w:t>
      </w:r>
      <w:r>
        <w:rPr>
          <w:spacing w:val="-4"/>
          <w:sz w:val="14"/>
        </w:rPr>
        <w:t xml:space="preserve"> </w:t>
      </w:r>
      <w:r>
        <w:rPr>
          <w:sz w:val="14"/>
        </w:rPr>
        <w:t>Quebec,</w:t>
      </w:r>
      <w:r>
        <w:rPr>
          <w:spacing w:val="40"/>
          <w:sz w:val="14"/>
        </w:rPr>
        <w:t xml:space="preserve"> </w:t>
      </w:r>
      <w:r>
        <w:rPr>
          <w:sz w:val="14"/>
        </w:rPr>
        <w:t>2008),</w:t>
      </w:r>
      <w:r>
        <w:rPr>
          <w:spacing w:val="-4"/>
          <w:sz w:val="14"/>
        </w:rPr>
        <w:t xml:space="preserve"> </w:t>
      </w:r>
      <w:r>
        <w:rPr>
          <w:sz w:val="14"/>
        </w:rPr>
        <w:t>págs.</w:t>
      </w:r>
      <w:r>
        <w:rPr>
          <w:spacing w:val="-4"/>
          <w:sz w:val="14"/>
        </w:rPr>
        <w:t xml:space="preserve"> </w:t>
      </w:r>
      <w:r>
        <w:rPr>
          <w:sz w:val="14"/>
        </w:rPr>
        <w:t>Disponible</w:t>
      </w:r>
      <w:r>
        <w:rPr>
          <w:spacing w:val="-4"/>
          <w:sz w:val="14"/>
        </w:rPr>
        <w:t xml:space="preserve"> </w:t>
      </w:r>
      <w:r>
        <w:rPr>
          <w:sz w:val="14"/>
        </w:rPr>
        <w:t>en</w:t>
      </w:r>
      <w:r>
        <w:rPr>
          <w:spacing w:val="-4"/>
          <w:sz w:val="14"/>
        </w:rPr>
        <w:t xml:space="preserve"> </w:t>
      </w:r>
      <w:r>
        <w:rPr>
          <w:color w:val="0075BF"/>
          <w:sz w:val="14"/>
        </w:rPr>
        <w:t>https://red.pucp.edu.pe/ridei/wp-content/uploads/biblioteca/buildingthefutureGerardBouchardycharlestaylor.</w:t>
      </w:r>
    </w:p>
    <w:p w14:paraId="5DF76973" w14:textId="77777777" w:rsidR="0014798C" w:rsidRDefault="004E1F0B">
      <w:pPr>
        <w:spacing w:line="160" w:lineRule="exact"/>
        <w:ind w:left="1366"/>
        <w:rPr>
          <w:sz w:val="14"/>
        </w:rPr>
      </w:pPr>
      <w:r>
        <w:rPr>
          <w:color w:val="0075BF"/>
          <w:spacing w:val="-4"/>
          <w:sz w:val="14"/>
        </w:rPr>
        <w:t>pdf.</w:t>
      </w:r>
    </w:p>
    <w:p w14:paraId="7795542A" w14:textId="77777777" w:rsidR="0014798C" w:rsidRDefault="004E1F0B">
      <w:pPr>
        <w:spacing w:before="76" w:line="268" w:lineRule="auto"/>
        <w:ind w:left="1366" w:right="1272" w:hanging="255"/>
        <w:rPr>
          <w:sz w:val="14"/>
        </w:rPr>
      </w:pPr>
      <w:r>
        <w:rPr>
          <w:sz w:val="14"/>
          <w:vertAlign w:val="superscript"/>
        </w:rPr>
        <w:t>1026</w:t>
      </w:r>
      <w:r>
        <w:rPr>
          <w:spacing w:val="23"/>
          <w:sz w:val="14"/>
        </w:rPr>
        <w:t xml:space="preserve"> </w:t>
      </w:r>
      <w:r>
        <w:rPr>
          <w:sz w:val="14"/>
        </w:rPr>
        <w:t>Tribunal</w:t>
      </w:r>
      <w:r>
        <w:rPr>
          <w:spacing w:val="-4"/>
          <w:sz w:val="14"/>
        </w:rPr>
        <w:t xml:space="preserve"> </w:t>
      </w:r>
      <w:r>
        <w:rPr>
          <w:sz w:val="14"/>
        </w:rPr>
        <w:t>Europeo</w:t>
      </w:r>
      <w:r>
        <w:rPr>
          <w:spacing w:val="-4"/>
          <w:sz w:val="14"/>
        </w:rPr>
        <w:t xml:space="preserve"> </w:t>
      </w:r>
      <w:r>
        <w:rPr>
          <w:sz w:val="14"/>
        </w:rPr>
        <w:t>de</w:t>
      </w:r>
      <w:r>
        <w:rPr>
          <w:spacing w:val="-4"/>
          <w:sz w:val="14"/>
        </w:rPr>
        <w:t xml:space="preserve"> </w:t>
      </w:r>
      <w:r>
        <w:rPr>
          <w:sz w:val="14"/>
        </w:rPr>
        <w:t>Derechos</w:t>
      </w:r>
      <w:r>
        <w:rPr>
          <w:spacing w:val="-4"/>
          <w:sz w:val="14"/>
        </w:rPr>
        <w:t xml:space="preserve"> </w:t>
      </w:r>
      <w:r>
        <w:rPr>
          <w:sz w:val="14"/>
        </w:rPr>
        <w:t>Humanos,</w:t>
      </w:r>
      <w:r>
        <w:rPr>
          <w:spacing w:val="-3"/>
          <w:sz w:val="14"/>
        </w:rPr>
        <w:t xml:space="preserve"> </w:t>
      </w:r>
      <w:r>
        <w:rPr>
          <w:sz w:val="14"/>
        </w:rPr>
        <w:t>Testigos</w:t>
      </w:r>
      <w:r>
        <w:rPr>
          <w:spacing w:val="-4"/>
          <w:sz w:val="14"/>
        </w:rPr>
        <w:t xml:space="preserve"> </w:t>
      </w:r>
      <w:r>
        <w:rPr>
          <w:sz w:val="14"/>
        </w:rPr>
        <w:t>de</w:t>
      </w:r>
      <w:r>
        <w:rPr>
          <w:spacing w:val="-4"/>
          <w:sz w:val="14"/>
        </w:rPr>
        <w:t xml:space="preserve"> </w:t>
      </w:r>
      <w:r>
        <w:rPr>
          <w:sz w:val="14"/>
        </w:rPr>
        <w:t>Jehová</w:t>
      </w:r>
      <w:r>
        <w:rPr>
          <w:spacing w:val="-4"/>
          <w:sz w:val="14"/>
        </w:rPr>
        <w:t xml:space="preserve"> </w:t>
      </w:r>
      <w:r>
        <w:rPr>
          <w:sz w:val="14"/>
        </w:rPr>
        <w:t>de</w:t>
      </w:r>
      <w:r>
        <w:rPr>
          <w:spacing w:val="-4"/>
          <w:sz w:val="14"/>
        </w:rPr>
        <w:t xml:space="preserve"> </w:t>
      </w:r>
      <w:r>
        <w:rPr>
          <w:sz w:val="14"/>
        </w:rPr>
        <w:t>Moscú</w:t>
      </w:r>
      <w:r>
        <w:rPr>
          <w:spacing w:val="-4"/>
          <w:sz w:val="14"/>
        </w:rPr>
        <w:t xml:space="preserve"> </w:t>
      </w:r>
      <w:r>
        <w:rPr>
          <w:sz w:val="14"/>
        </w:rPr>
        <w:t>y</w:t>
      </w:r>
      <w:r>
        <w:rPr>
          <w:spacing w:val="-4"/>
          <w:sz w:val="14"/>
        </w:rPr>
        <w:t xml:space="preserve"> </w:t>
      </w:r>
      <w:r>
        <w:rPr>
          <w:sz w:val="14"/>
        </w:rPr>
        <w:t>otros</w:t>
      </w:r>
      <w:r>
        <w:rPr>
          <w:spacing w:val="-4"/>
          <w:sz w:val="14"/>
        </w:rPr>
        <w:t xml:space="preserve"> </w:t>
      </w:r>
      <w:r>
        <w:rPr>
          <w:sz w:val="14"/>
        </w:rPr>
        <w:t>c.</w:t>
      </w:r>
      <w:r>
        <w:rPr>
          <w:spacing w:val="-4"/>
          <w:sz w:val="14"/>
        </w:rPr>
        <w:t xml:space="preserve"> </w:t>
      </w:r>
      <w:r>
        <w:rPr>
          <w:sz w:val="14"/>
        </w:rPr>
        <w:t>Rusia,</w:t>
      </w:r>
      <w:r>
        <w:rPr>
          <w:spacing w:val="-3"/>
          <w:sz w:val="14"/>
        </w:rPr>
        <w:t xml:space="preserve"> </w:t>
      </w:r>
      <w:r>
        <w:rPr>
          <w:sz w:val="14"/>
        </w:rPr>
        <w:t>demanda</w:t>
      </w:r>
      <w:r>
        <w:rPr>
          <w:spacing w:val="-4"/>
          <w:sz w:val="14"/>
        </w:rPr>
        <w:t xml:space="preserve"> </w:t>
      </w:r>
      <w:proofErr w:type="spellStart"/>
      <w:r>
        <w:rPr>
          <w:sz w:val="14"/>
        </w:rPr>
        <w:t>n.°</w:t>
      </w:r>
      <w:proofErr w:type="spellEnd"/>
      <w:r>
        <w:rPr>
          <w:spacing w:val="-4"/>
          <w:sz w:val="14"/>
        </w:rPr>
        <w:t xml:space="preserve"> </w:t>
      </w:r>
      <w:r>
        <w:rPr>
          <w:sz w:val="14"/>
        </w:rPr>
        <w:t>302/02,</w:t>
      </w:r>
      <w:r>
        <w:rPr>
          <w:spacing w:val="-3"/>
          <w:sz w:val="14"/>
        </w:rPr>
        <w:t xml:space="preserve"> </w:t>
      </w:r>
      <w:r>
        <w:rPr>
          <w:sz w:val="14"/>
        </w:rPr>
        <w:t>sentencia</w:t>
      </w:r>
      <w:r>
        <w:rPr>
          <w:spacing w:val="-4"/>
          <w:sz w:val="14"/>
        </w:rPr>
        <w:t xml:space="preserve"> </w:t>
      </w:r>
      <w:r>
        <w:rPr>
          <w:sz w:val="14"/>
        </w:rPr>
        <w:t>de</w:t>
      </w:r>
      <w:r>
        <w:rPr>
          <w:spacing w:val="-4"/>
          <w:sz w:val="14"/>
        </w:rPr>
        <w:t xml:space="preserve"> </w:t>
      </w:r>
      <w:r>
        <w:rPr>
          <w:sz w:val="14"/>
        </w:rPr>
        <w:t>10</w:t>
      </w:r>
      <w:r>
        <w:rPr>
          <w:spacing w:val="-4"/>
          <w:sz w:val="14"/>
        </w:rPr>
        <w:t xml:space="preserve"> </w:t>
      </w:r>
      <w:r>
        <w:rPr>
          <w:sz w:val="14"/>
        </w:rPr>
        <w:t>de</w:t>
      </w:r>
      <w:r>
        <w:rPr>
          <w:spacing w:val="-4"/>
          <w:sz w:val="14"/>
        </w:rPr>
        <w:t xml:space="preserve"> </w:t>
      </w:r>
      <w:r>
        <w:rPr>
          <w:sz w:val="14"/>
        </w:rPr>
        <w:t>junio</w:t>
      </w:r>
      <w:r>
        <w:rPr>
          <w:spacing w:val="-4"/>
          <w:sz w:val="14"/>
        </w:rPr>
        <w:t xml:space="preserve"> </w:t>
      </w:r>
      <w:r>
        <w:rPr>
          <w:sz w:val="14"/>
        </w:rPr>
        <w:t>de</w:t>
      </w:r>
      <w:r>
        <w:rPr>
          <w:spacing w:val="-4"/>
          <w:sz w:val="14"/>
        </w:rPr>
        <w:t xml:space="preserve"> </w:t>
      </w:r>
      <w:r>
        <w:rPr>
          <w:sz w:val="14"/>
        </w:rPr>
        <w:t>2010,</w:t>
      </w:r>
      <w:r>
        <w:rPr>
          <w:spacing w:val="40"/>
          <w:sz w:val="14"/>
        </w:rPr>
        <w:t xml:space="preserve"> </w:t>
      </w:r>
      <w:r>
        <w:rPr>
          <w:sz w:val="14"/>
        </w:rPr>
        <w:t>párr.</w:t>
      </w:r>
      <w:r>
        <w:rPr>
          <w:spacing w:val="-2"/>
          <w:sz w:val="14"/>
        </w:rPr>
        <w:t xml:space="preserve"> </w:t>
      </w:r>
      <w:r>
        <w:rPr>
          <w:sz w:val="14"/>
        </w:rPr>
        <w:t>134.</w:t>
      </w:r>
    </w:p>
    <w:p w14:paraId="36CAC4F9" w14:textId="77777777" w:rsidR="0014798C" w:rsidRDefault="0014798C">
      <w:pPr>
        <w:pStyle w:val="Textoindependiente"/>
        <w:rPr>
          <w:sz w:val="18"/>
        </w:rPr>
      </w:pPr>
    </w:p>
    <w:p w14:paraId="1BF345B9" w14:textId="77777777" w:rsidR="0014798C" w:rsidRDefault="0014798C">
      <w:pPr>
        <w:pStyle w:val="Textoindependiente"/>
        <w:spacing w:before="200"/>
        <w:rPr>
          <w:sz w:val="18"/>
        </w:rPr>
      </w:pPr>
    </w:p>
    <w:p w14:paraId="5EC685B3" w14:textId="77777777" w:rsidR="0014798C" w:rsidRDefault="004E1F0B">
      <w:pPr>
        <w:ind w:left="474"/>
        <w:rPr>
          <w:sz w:val="18"/>
        </w:rPr>
      </w:pPr>
      <w:r>
        <w:rPr>
          <w:spacing w:val="-5"/>
          <w:sz w:val="18"/>
        </w:rPr>
        <w:t>148</w:t>
      </w:r>
    </w:p>
    <w:p w14:paraId="0104066A" w14:textId="77777777" w:rsidR="0014798C" w:rsidRDefault="0014798C">
      <w:pPr>
        <w:rPr>
          <w:sz w:val="18"/>
        </w:rPr>
        <w:sectPr w:rsidR="0014798C" w:rsidSect="00F265E4">
          <w:pgSz w:w="11900" w:h="16820"/>
          <w:pgMar w:top="340" w:right="0" w:bottom="280" w:left="200" w:header="121" w:footer="0" w:gutter="0"/>
          <w:cols w:space="720"/>
        </w:sectPr>
      </w:pPr>
    </w:p>
    <w:p w14:paraId="1276B095" w14:textId="77777777" w:rsidR="0014798C" w:rsidRDefault="0014798C">
      <w:pPr>
        <w:pStyle w:val="Textoindependiente"/>
        <w:rPr>
          <w:sz w:val="9"/>
        </w:rPr>
      </w:pPr>
    </w:p>
    <w:p w14:paraId="6E60EDB6" w14:textId="77777777" w:rsidR="0014798C" w:rsidRDefault="0014798C">
      <w:pPr>
        <w:pStyle w:val="Textoindependiente"/>
        <w:spacing w:before="31"/>
        <w:rPr>
          <w:sz w:val="9"/>
        </w:rPr>
      </w:pPr>
    </w:p>
    <w:p w14:paraId="178C638E" w14:textId="77777777" w:rsidR="0014798C" w:rsidRDefault="004E1F0B">
      <w:pPr>
        <w:ind w:left="1111"/>
        <w:rPr>
          <w:sz w:val="9"/>
        </w:rPr>
      </w:pPr>
      <w:r>
        <w:rPr>
          <w:color w:val="803108"/>
          <w:w w:val="105"/>
          <w:sz w:val="9"/>
        </w:rPr>
        <w:t>PARTE</w:t>
      </w:r>
      <w:r>
        <w:rPr>
          <w:color w:val="803108"/>
          <w:spacing w:val="1"/>
          <w:w w:val="105"/>
          <w:sz w:val="9"/>
        </w:rPr>
        <w:t xml:space="preserve"> </w:t>
      </w:r>
      <w:r>
        <w:rPr>
          <w:color w:val="803108"/>
          <w:w w:val="105"/>
          <w:sz w:val="9"/>
        </w:rPr>
        <w:t>TRES:</w:t>
      </w:r>
      <w:r>
        <w:rPr>
          <w:color w:val="803108"/>
          <w:spacing w:val="2"/>
          <w:w w:val="105"/>
          <w:sz w:val="9"/>
        </w:rPr>
        <w:t xml:space="preserve"> </w:t>
      </w:r>
      <w:r>
        <w:rPr>
          <w:color w:val="803108"/>
          <w:w w:val="105"/>
          <w:sz w:val="9"/>
        </w:rPr>
        <w:t>PROTECCIÓN</w:t>
      </w:r>
      <w:r>
        <w:rPr>
          <w:color w:val="803108"/>
          <w:spacing w:val="2"/>
          <w:w w:val="105"/>
          <w:sz w:val="9"/>
        </w:rPr>
        <w:t xml:space="preserve"> </w:t>
      </w:r>
      <w:r>
        <w:rPr>
          <w:color w:val="803108"/>
          <w:w w:val="105"/>
          <w:sz w:val="9"/>
        </w:rPr>
        <w:t>DE</w:t>
      </w:r>
      <w:r>
        <w:rPr>
          <w:color w:val="803108"/>
          <w:spacing w:val="1"/>
          <w:w w:val="105"/>
          <w:sz w:val="9"/>
        </w:rPr>
        <w:t xml:space="preserve"> </w:t>
      </w:r>
      <w:r>
        <w:rPr>
          <w:color w:val="803108"/>
          <w:w w:val="105"/>
          <w:sz w:val="9"/>
        </w:rPr>
        <w:t>LOS</w:t>
      </w:r>
      <w:r>
        <w:rPr>
          <w:color w:val="803108"/>
          <w:spacing w:val="2"/>
          <w:w w:val="105"/>
          <w:sz w:val="9"/>
        </w:rPr>
        <w:t xml:space="preserve"> </w:t>
      </w:r>
      <w:r>
        <w:rPr>
          <w:color w:val="803108"/>
          <w:w w:val="105"/>
          <w:sz w:val="9"/>
        </w:rPr>
        <w:t>DERECHOS</w:t>
      </w:r>
      <w:r>
        <w:rPr>
          <w:color w:val="803108"/>
          <w:spacing w:val="3"/>
          <w:w w:val="105"/>
          <w:sz w:val="9"/>
        </w:rPr>
        <w:t xml:space="preserve"> </w:t>
      </w:r>
      <w:r>
        <w:rPr>
          <w:color w:val="803108"/>
          <w:w w:val="105"/>
          <w:sz w:val="9"/>
        </w:rPr>
        <w:t>DE</w:t>
      </w:r>
      <w:r>
        <w:rPr>
          <w:color w:val="803108"/>
          <w:spacing w:val="1"/>
          <w:w w:val="105"/>
          <w:sz w:val="9"/>
        </w:rPr>
        <w:t xml:space="preserve"> </w:t>
      </w:r>
      <w:r>
        <w:rPr>
          <w:color w:val="803108"/>
          <w:w w:val="105"/>
          <w:sz w:val="9"/>
        </w:rPr>
        <w:t>LAS</w:t>
      </w:r>
      <w:r>
        <w:rPr>
          <w:color w:val="803108"/>
          <w:spacing w:val="2"/>
          <w:w w:val="105"/>
          <w:sz w:val="9"/>
        </w:rPr>
        <w:t xml:space="preserve"> </w:t>
      </w:r>
      <w:r>
        <w:rPr>
          <w:color w:val="803108"/>
          <w:spacing w:val="-2"/>
          <w:w w:val="105"/>
          <w:sz w:val="9"/>
        </w:rPr>
        <w:t>MINORÍAS</w:t>
      </w:r>
    </w:p>
    <w:p w14:paraId="7FD40730" w14:textId="77777777" w:rsidR="0014798C" w:rsidRDefault="0014798C">
      <w:pPr>
        <w:pStyle w:val="Textoindependiente"/>
      </w:pPr>
    </w:p>
    <w:p w14:paraId="0424BD05" w14:textId="77777777" w:rsidR="0014798C" w:rsidRDefault="0014798C">
      <w:pPr>
        <w:pStyle w:val="Textoindependiente"/>
      </w:pPr>
    </w:p>
    <w:p w14:paraId="1074109B" w14:textId="77777777" w:rsidR="0014798C" w:rsidRDefault="0014798C">
      <w:pPr>
        <w:pStyle w:val="Textoindependiente"/>
      </w:pPr>
    </w:p>
    <w:p w14:paraId="4FADCF18" w14:textId="77777777" w:rsidR="0014798C" w:rsidRDefault="0014798C">
      <w:pPr>
        <w:pStyle w:val="Textoindependiente"/>
      </w:pPr>
    </w:p>
    <w:p w14:paraId="59EE9BD1" w14:textId="77777777" w:rsidR="0014798C" w:rsidRDefault="0014798C">
      <w:pPr>
        <w:pStyle w:val="Textoindependiente"/>
        <w:spacing w:before="93"/>
      </w:pPr>
    </w:p>
    <w:p w14:paraId="31DC816F" w14:textId="77777777" w:rsidR="0014798C" w:rsidRDefault="004E1F0B">
      <w:pPr>
        <w:pStyle w:val="Textoindependiente"/>
        <w:spacing w:line="326" w:lineRule="auto"/>
        <w:ind w:left="1672" w:right="1626" w:firstLine="4"/>
      </w:pPr>
      <w:r>
        <w:rPr>
          <w:color w:val="803108"/>
        </w:rPr>
        <w:t>casos de testigos de Jehová que habían rechazado una transfusión de sangre y descubrieron que, aunque el interés público</w:t>
      </w:r>
      <w:r>
        <w:rPr>
          <w:color w:val="803108"/>
          <w:spacing w:val="13"/>
        </w:rPr>
        <w:t xml:space="preserve"> </w:t>
      </w:r>
      <w:r>
        <w:rPr>
          <w:color w:val="803108"/>
        </w:rPr>
        <w:t>en</w:t>
      </w:r>
      <w:r>
        <w:rPr>
          <w:color w:val="803108"/>
          <w:spacing w:val="13"/>
        </w:rPr>
        <w:t xml:space="preserve"> </w:t>
      </w:r>
      <w:r>
        <w:rPr>
          <w:color w:val="803108"/>
        </w:rPr>
        <w:t>preservar</w:t>
      </w:r>
      <w:r>
        <w:rPr>
          <w:color w:val="803108"/>
          <w:spacing w:val="13"/>
        </w:rPr>
        <w:t xml:space="preserve"> </w:t>
      </w:r>
      <w:r>
        <w:rPr>
          <w:color w:val="803108"/>
        </w:rPr>
        <w:t>la</w:t>
      </w:r>
      <w:r>
        <w:rPr>
          <w:color w:val="803108"/>
          <w:spacing w:val="13"/>
        </w:rPr>
        <w:t xml:space="preserve"> </w:t>
      </w:r>
      <w:r>
        <w:rPr>
          <w:color w:val="803108"/>
        </w:rPr>
        <w:t>vida</w:t>
      </w:r>
      <w:r>
        <w:rPr>
          <w:color w:val="803108"/>
          <w:spacing w:val="13"/>
        </w:rPr>
        <w:t xml:space="preserve"> </w:t>
      </w:r>
      <w:r>
        <w:rPr>
          <w:color w:val="803108"/>
        </w:rPr>
        <w:t>o</w:t>
      </w:r>
      <w:r>
        <w:rPr>
          <w:color w:val="803108"/>
          <w:spacing w:val="13"/>
        </w:rPr>
        <w:t xml:space="preserve"> </w:t>
      </w:r>
      <w:r>
        <w:rPr>
          <w:color w:val="803108"/>
        </w:rPr>
        <w:t>la</w:t>
      </w:r>
      <w:r>
        <w:rPr>
          <w:color w:val="803108"/>
          <w:spacing w:val="13"/>
        </w:rPr>
        <w:t xml:space="preserve"> </w:t>
      </w:r>
      <w:r>
        <w:rPr>
          <w:color w:val="803108"/>
        </w:rPr>
        <w:t>salud</w:t>
      </w:r>
      <w:r>
        <w:rPr>
          <w:color w:val="803108"/>
          <w:spacing w:val="13"/>
        </w:rPr>
        <w:t xml:space="preserve"> </w:t>
      </w:r>
      <w:r>
        <w:rPr>
          <w:color w:val="803108"/>
        </w:rPr>
        <w:t>de</w:t>
      </w:r>
      <w:r>
        <w:rPr>
          <w:color w:val="803108"/>
          <w:spacing w:val="13"/>
        </w:rPr>
        <w:t xml:space="preserve"> </w:t>
      </w:r>
      <w:r>
        <w:rPr>
          <w:color w:val="803108"/>
        </w:rPr>
        <w:t>un</w:t>
      </w:r>
      <w:r>
        <w:rPr>
          <w:color w:val="803108"/>
          <w:spacing w:val="13"/>
        </w:rPr>
        <w:t xml:space="preserve"> </w:t>
      </w:r>
      <w:r>
        <w:rPr>
          <w:color w:val="803108"/>
        </w:rPr>
        <w:t>paciente</w:t>
      </w:r>
      <w:r>
        <w:rPr>
          <w:color w:val="803108"/>
          <w:spacing w:val="13"/>
        </w:rPr>
        <w:t xml:space="preserve"> </w:t>
      </w:r>
      <w:r>
        <w:rPr>
          <w:color w:val="803108"/>
        </w:rPr>
        <w:t>era</w:t>
      </w:r>
      <w:r>
        <w:rPr>
          <w:color w:val="803108"/>
          <w:spacing w:val="13"/>
        </w:rPr>
        <w:t xml:space="preserve"> </w:t>
      </w:r>
      <w:r>
        <w:rPr>
          <w:color w:val="803108"/>
        </w:rPr>
        <w:t>indudablemente</w:t>
      </w:r>
      <w:r>
        <w:rPr>
          <w:color w:val="803108"/>
          <w:spacing w:val="13"/>
        </w:rPr>
        <w:t xml:space="preserve"> </w:t>
      </w:r>
      <w:r>
        <w:rPr>
          <w:color w:val="803108"/>
        </w:rPr>
        <w:t>legítimo</w:t>
      </w:r>
      <w:r>
        <w:rPr>
          <w:color w:val="803108"/>
          <w:spacing w:val="13"/>
        </w:rPr>
        <w:t xml:space="preserve"> </w:t>
      </w:r>
      <w:r>
        <w:rPr>
          <w:color w:val="803108"/>
        </w:rPr>
        <w:t>y</w:t>
      </w:r>
      <w:r>
        <w:rPr>
          <w:color w:val="803108"/>
          <w:spacing w:val="13"/>
        </w:rPr>
        <w:t xml:space="preserve"> </w:t>
      </w:r>
      <w:r>
        <w:rPr>
          <w:color w:val="803108"/>
        </w:rPr>
        <w:t>muy</w:t>
      </w:r>
      <w:r>
        <w:rPr>
          <w:color w:val="803108"/>
          <w:spacing w:val="13"/>
        </w:rPr>
        <w:t xml:space="preserve"> </w:t>
      </w:r>
      <w:r>
        <w:rPr>
          <w:color w:val="803108"/>
        </w:rPr>
        <w:t>fuerte,</w:t>
      </w:r>
      <w:r>
        <w:rPr>
          <w:color w:val="803108"/>
          <w:spacing w:val="15"/>
        </w:rPr>
        <w:t xml:space="preserve"> </w:t>
      </w:r>
      <w:r>
        <w:rPr>
          <w:color w:val="803108"/>
        </w:rPr>
        <w:t>tenía</w:t>
      </w:r>
      <w:r>
        <w:rPr>
          <w:color w:val="803108"/>
          <w:spacing w:val="13"/>
        </w:rPr>
        <w:t xml:space="preserve"> </w:t>
      </w:r>
      <w:r>
        <w:rPr>
          <w:color w:val="803108"/>
        </w:rPr>
        <w:t>que</w:t>
      </w:r>
      <w:r>
        <w:rPr>
          <w:color w:val="803108"/>
          <w:spacing w:val="13"/>
        </w:rPr>
        <w:t xml:space="preserve"> </w:t>
      </w:r>
      <w:r>
        <w:rPr>
          <w:color w:val="803108"/>
        </w:rPr>
        <w:t>ceder ante</w:t>
      </w:r>
      <w:r>
        <w:rPr>
          <w:color w:val="803108"/>
          <w:spacing w:val="11"/>
        </w:rPr>
        <w:t xml:space="preserve"> </w:t>
      </w:r>
      <w:r>
        <w:rPr>
          <w:color w:val="803108"/>
        </w:rPr>
        <w:t>el</w:t>
      </w:r>
      <w:r>
        <w:rPr>
          <w:color w:val="803108"/>
          <w:spacing w:val="11"/>
        </w:rPr>
        <w:t xml:space="preserve"> </w:t>
      </w:r>
      <w:r>
        <w:rPr>
          <w:color w:val="803108"/>
        </w:rPr>
        <w:t>interés</w:t>
      </w:r>
      <w:r>
        <w:rPr>
          <w:color w:val="803108"/>
          <w:spacing w:val="11"/>
        </w:rPr>
        <w:t xml:space="preserve"> </w:t>
      </w:r>
      <w:r>
        <w:rPr>
          <w:color w:val="803108"/>
        </w:rPr>
        <w:t>más</w:t>
      </w:r>
      <w:r>
        <w:rPr>
          <w:color w:val="803108"/>
          <w:spacing w:val="11"/>
        </w:rPr>
        <w:t xml:space="preserve"> </w:t>
      </w:r>
      <w:r>
        <w:rPr>
          <w:color w:val="803108"/>
        </w:rPr>
        <w:t>fuerte</w:t>
      </w:r>
      <w:r>
        <w:rPr>
          <w:color w:val="803108"/>
          <w:spacing w:val="11"/>
        </w:rPr>
        <w:t xml:space="preserve"> </w:t>
      </w:r>
      <w:r>
        <w:rPr>
          <w:color w:val="803108"/>
        </w:rPr>
        <w:t>del</w:t>
      </w:r>
      <w:r>
        <w:rPr>
          <w:color w:val="803108"/>
          <w:spacing w:val="11"/>
        </w:rPr>
        <w:t xml:space="preserve"> </w:t>
      </w:r>
      <w:r>
        <w:rPr>
          <w:color w:val="803108"/>
        </w:rPr>
        <w:t>paciente</w:t>
      </w:r>
      <w:r>
        <w:rPr>
          <w:color w:val="803108"/>
          <w:spacing w:val="11"/>
        </w:rPr>
        <w:t xml:space="preserve"> </w:t>
      </w:r>
      <w:r>
        <w:rPr>
          <w:color w:val="803108"/>
        </w:rPr>
        <w:t>en</w:t>
      </w:r>
      <w:r>
        <w:rPr>
          <w:color w:val="803108"/>
          <w:spacing w:val="11"/>
        </w:rPr>
        <w:t xml:space="preserve"> </w:t>
      </w:r>
      <w:r>
        <w:rPr>
          <w:color w:val="803108"/>
        </w:rPr>
        <w:t>dirigir</w:t>
      </w:r>
      <w:r>
        <w:rPr>
          <w:color w:val="803108"/>
          <w:spacing w:val="11"/>
        </w:rPr>
        <w:t xml:space="preserve"> </w:t>
      </w:r>
      <w:r>
        <w:rPr>
          <w:color w:val="803108"/>
        </w:rPr>
        <w:t>el</w:t>
      </w:r>
      <w:r>
        <w:rPr>
          <w:color w:val="803108"/>
          <w:spacing w:val="11"/>
        </w:rPr>
        <w:t xml:space="preserve"> </w:t>
      </w:r>
      <w:r>
        <w:rPr>
          <w:color w:val="803108"/>
        </w:rPr>
        <w:t>curso</w:t>
      </w:r>
      <w:r>
        <w:rPr>
          <w:color w:val="803108"/>
          <w:spacing w:val="12"/>
        </w:rPr>
        <w:t xml:space="preserve"> </w:t>
      </w:r>
      <w:r>
        <w:rPr>
          <w:color w:val="803108"/>
        </w:rPr>
        <w:t>de</w:t>
      </w:r>
      <w:r>
        <w:rPr>
          <w:color w:val="803108"/>
          <w:spacing w:val="11"/>
        </w:rPr>
        <w:t xml:space="preserve"> </w:t>
      </w:r>
      <w:r>
        <w:rPr>
          <w:color w:val="803108"/>
        </w:rPr>
        <w:t>su</w:t>
      </w:r>
      <w:r>
        <w:rPr>
          <w:color w:val="803108"/>
          <w:spacing w:val="11"/>
        </w:rPr>
        <w:t xml:space="preserve"> </w:t>
      </w:r>
      <w:r>
        <w:rPr>
          <w:color w:val="803108"/>
        </w:rPr>
        <w:t>vida</w:t>
      </w:r>
      <w:r>
        <w:rPr>
          <w:color w:val="803108"/>
          <w:spacing w:val="11"/>
        </w:rPr>
        <w:t xml:space="preserve"> </w:t>
      </w:r>
      <w:r>
        <w:rPr>
          <w:color w:val="803108"/>
        </w:rPr>
        <w:t>o</w:t>
      </w:r>
      <w:r>
        <w:rPr>
          <w:color w:val="803108"/>
          <w:spacing w:val="11"/>
        </w:rPr>
        <w:t xml:space="preserve"> </w:t>
      </w:r>
      <w:r>
        <w:rPr>
          <w:color w:val="803108"/>
        </w:rPr>
        <w:t>su</w:t>
      </w:r>
      <w:r>
        <w:rPr>
          <w:color w:val="803108"/>
          <w:spacing w:val="11"/>
        </w:rPr>
        <w:t xml:space="preserve"> </w:t>
      </w:r>
      <w:r>
        <w:rPr>
          <w:color w:val="803108"/>
        </w:rPr>
        <w:t>vida.</w:t>
      </w:r>
      <w:r>
        <w:rPr>
          <w:color w:val="803108"/>
          <w:spacing w:val="12"/>
        </w:rPr>
        <w:t xml:space="preserve"> </w:t>
      </w:r>
      <w:r>
        <w:rPr>
          <w:color w:val="803108"/>
        </w:rPr>
        <w:t>su</w:t>
      </w:r>
      <w:r>
        <w:rPr>
          <w:color w:val="803108"/>
          <w:spacing w:val="11"/>
        </w:rPr>
        <w:t xml:space="preserve"> </w:t>
      </w:r>
      <w:r>
        <w:rPr>
          <w:color w:val="803108"/>
        </w:rPr>
        <w:t>propia</w:t>
      </w:r>
      <w:r>
        <w:rPr>
          <w:color w:val="803108"/>
          <w:spacing w:val="11"/>
        </w:rPr>
        <w:t xml:space="preserve"> </w:t>
      </w:r>
      <w:r>
        <w:rPr>
          <w:color w:val="803108"/>
        </w:rPr>
        <w:t>vida...</w:t>
      </w:r>
      <w:r>
        <w:rPr>
          <w:color w:val="803108"/>
          <w:spacing w:val="12"/>
        </w:rPr>
        <w:t xml:space="preserve"> </w:t>
      </w:r>
      <w:r>
        <w:rPr>
          <w:color w:val="803108"/>
        </w:rPr>
        <w:t>Se</w:t>
      </w:r>
      <w:r>
        <w:rPr>
          <w:color w:val="803108"/>
          <w:spacing w:val="11"/>
        </w:rPr>
        <w:t xml:space="preserve"> </w:t>
      </w:r>
      <w:r>
        <w:rPr>
          <w:color w:val="803108"/>
        </w:rPr>
        <w:t>enfatizó</w:t>
      </w:r>
      <w:r>
        <w:rPr>
          <w:color w:val="803108"/>
          <w:spacing w:val="11"/>
        </w:rPr>
        <w:t xml:space="preserve"> </w:t>
      </w:r>
      <w:r>
        <w:rPr>
          <w:color w:val="803108"/>
        </w:rPr>
        <w:t>que</w:t>
      </w:r>
      <w:r>
        <w:rPr>
          <w:color w:val="803108"/>
          <w:spacing w:val="11"/>
        </w:rPr>
        <w:t xml:space="preserve"> </w:t>
      </w:r>
      <w:r>
        <w:rPr>
          <w:color w:val="803108"/>
        </w:rPr>
        <w:t>la libre elección y la autodeterminación eran en sí mismas constituyentes fundamentales de la vida y que, a falta de cualquier indicación de la necesidad de proteger a terceros (por ejemplo, la vacunación obligatoria durante una epidemia), el Estado debe abstenerse de interferir con la libertad individual de elección en la esfera de la atención médica, ya que tal interferencia sólo puede disminuir y no aumentar el valor de la vida.1027</w:t>
      </w:r>
    </w:p>
    <w:p w14:paraId="735E575D" w14:textId="77777777" w:rsidR="0014798C" w:rsidRDefault="0014798C">
      <w:pPr>
        <w:pStyle w:val="Textoindependiente"/>
        <w:spacing w:before="100"/>
        <w:rPr>
          <w:sz w:val="29"/>
        </w:rPr>
      </w:pPr>
    </w:p>
    <w:p w14:paraId="054A750A" w14:textId="77777777" w:rsidR="0014798C" w:rsidRDefault="004E1F0B">
      <w:pPr>
        <w:pStyle w:val="Ttulo8"/>
        <w:numPr>
          <w:ilvl w:val="1"/>
          <w:numId w:val="25"/>
        </w:numPr>
        <w:tabs>
          <w:tab w:val="left" w:pos="1485"/>
          <w:tab w:val="left" w:pos="1514"/>
        </w:tabs>
        <w:spacing w:line="343" w:lineRule="auto"/>
        <w:ind w:left="1514" w:right="1616" w:hanging="405"/>
        <w:rPr>
          <w:color w:val="803108"/>
        </w:rPr>
      </w:pPr>
      <w:r>
        <w:rPr>
          <w:color w:val="803108"/>
        </w:rPr>
        <w:t>Discriminación por otras características en situaciones en las que la religión es un pretexto</w:t>
      </w:r>
    </w:p>
    <w:p w14:paraId="1478A3A1" w14:textId="77777777" w:rsidR="0014798C" w:rsidRDefault="004E1F0B">
      <w:pPr>
        <w:pStyle w:val="Textoindependiente"/>
        <w:spacing w:before="55"/>
        <w:ind w:left="1108"/>
      </w:pPr>
      <w:r>
        <w:rPr>
          <w:noProof/>
        </w:rPr>
        <mc:AlternateContent>
          <mc:Choice Requires="wpg">
            <w:drawing>
              <wp:anchor distT="0" distB="0" distL="0" distR="0" simplePos="0" relativeHeight="251658316" behindDoc="0" locked="0" layoutInCell="1" allowOverlap="1" wp14:anchorId="092AE453" wp14:editId="4D85FC46">
                <wp:simplePos x="0" y="0"/>
                <wp:positionH relativeFrom="page">
                  <wp:posOffset>826632</wp:posOffset>
                </wp:positionH>
                <wp:positionV relativeFrom="paragraph">
                  <wp:posOffset>150227</wp:posOffset>
                </wp:positionV>
                <wp:extent cx="6730365" cy="3419475"/>
                <wp:effectExtent l="0" t="0" r="0" b="0"/>
                <wp:wrapNone/>
                <wp:docPr id="303" name="Group 30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730365" cy="3419475"/>
                          <a:chOff x="0" y="0"/>
                          <a:chExt cx="6730365" cy="3419475"/>
                        </a:xfrm>
                      </wpg:grpSpPr>
                      <pic:pic xmlns:pic="http://schemas.openxmlformats.org/drawingml/2006/picture">
                        <pic:nvPicPr>
                          <pic:cNvPr id="304" name="Image 304"/>
                          <pic:cNvPicPr/>
                        </pic:nvPicPr>
                        <pic:blipFill>
                          <a:blip r:embed="rId285" cstate="print"/>
                          <a:stretch>
                            <a:fillRect/>
                          </a:stretch>
                        </pic:blipFill>
                        <pic:spPr>
                          <a:xfrm>
                            <a:off x="0" y="0"/>
                            <a:ext cx="6729867" cy="3419441"/>
                          </a:xfrm>
                          <a:prstGeom prst="rect">
                            <a:avLst/>
                          </a:prstGeom>
                        </pic:spPr>
                      </pic:pic>
                      <wps:wsp>
                        <wps:cNvPr id="305" name="Textbox 305"/>
                        <wps:cNvSpPr txBox="1"/>
                        <wps:spPr>
                          <a:xfrm>
                            <a:off x="0" y="0"/>
                            <a:ext cx="6730365" cy="3419475"/>
                          </a:xfrm>
                          <a:prstGeom prst="rect">
                            <a:avLst/>
                          </a:prstGeom>
                        </wps:spPr>
                        <wps:txbx>
                          <w:txbxContent>
                            <w:p w14:paraId="5DD45415" w14:textId="77777777" w:rsidR="0014798C" w:rsidRDefault="004E1F0B">
                              <w:pPr>
                                <w:spacing w:before="68" w:line="326" w:lineRule="auto"/>
                                <w:ind w:left="4" w:right="1226" w:firstLine="2"/>
                                <w:rPr>
                                  <w:sz w:val="16"/>
                                </w:rPr>
                              </w:pPr>
                              <w:r>
                                <w:rPr>
                                  <w:sz w:val="16"/>
                                </w:rPr>
                                <w:t>o sensibilidades religiosas o culturales afiliadas que discriminen por motivos de sexo, orientación sexual, identidad de género u otras características.1028 Sucesivos Relatores Especiales sobre la libertad de religión o de creencias han establecido que el derecho de las mujeres a la no discriminación tiene prioridad sobre las “creencias intolerantes que se utilizan para justificar la discriminación de género”1029 y que la libertad de religión o de creencias nunca puede servir como justificación para violaciones</w:t>
                              </w:r>
                              <w:r>
                                <w:rPr>
                                  <w:spacing w:val="80"/>
                                  <w:sz w:val="16"/>
                                </w:rPr>
                                <w:t xml:space="preserve"> </w:t>
                              </w:r>
                              <w:r>
                                <w:rPr>
                                  <w:sz w:val="16"/>
                                </w:rPr>
                                <w:t>de los derechos humanos de las mujeres. y niñas.1030 El Relator Especial rechazó “cualquier afirmación de que las creencias religiosas puedan ser invocadas como una 'justificación' legítima para la violencia o la discriminación contra mujeres y niñas o</w:t>
                              </w:r>
                              <w:r>
                                <w:rPr>
                                  <w:spacing w:val="40"/>
                                  <w:sz w:val="16"/>
                                </w:rPr>
                                <w:t xml:space="preserve"> </w:t>
                              </w:r>
                              <w:r>
                                <w:rPr>
                                  <w:sz w:val="16"/>
                                </w:rPr>
                                <w:t>contra personas por su orientación sexual o identidad de género. El derecho internacional es claro en que los Estados pueden limitar</w:t>
                              </w:r>
                              <w:r>
                                <w:rPr>
                                  <w:spacing w:val="13"/>
                                  <w:sz w:val="16"/>
                                </w:rPr>
                                <w:t xml:space="preserve"> </w:t>
                              </w:r>
                              <w:r>
                                <w:rPr>
                                  <w:sz w:val="16"/>
                                </w:rPr>
                                <w:t>la</w:t>
                              </w:r>
                              <w:r>
                                <w:rPr>
                                  <w:spacing w:val="13"/>
                                  <w:sz w:val="16"/>
                                </w:rPr>
                                <w:t xml:space="preserve"> </w:t>
                              </w:r>
                              <w:r>
                                <w:rPr>
                                  <w:sz w:val="16"/>
                                </w:rPr>
                                <w:t>manifestación</w:t>
                              </w:r>
                              <w:r>
                                <w:rPr>
                                  <w:spacing w:val="13"/>
                                  <w:sz w:val="16"/>
                                </w:rPr>
                                <w:t xml:space="preserve"> </w:t>
                              </w:r>
                              <w:r>
                                <w:rPr>
                                  <w:sz w:val="16"/>
                                </w:rPr>
                                <w:t>de</w:t>
                              </w:r>
                              <w:r>
                                <w:rPr>
                                  <w:spacing w:val="13"/>
                                  <w:sz w:val="16"/>
                                </w:rPr>
                                <w:t xml:space="preserve"> </w:t>
                              </w:r>
                              <w:r>
                                <w:rPr>
                                  <w:sz w:val="16"/>
                                </w:rPr>
                                <w:t>una</w:t>
                              </w:r>
                              <w:r>
                                <w:rPr>
                                  <w:spacing w:val="13"/>
                                  <w:sz w:val="16"/>
                                </w:rPr>
                                <w:t xml:space="preserve"> </w:t>
                              </w:r>
                              <w:r>
                                <w:rPr>
                                  <w:sz w:val="16"/>
                                </w:rPr>
                                <w:t>religión</w:t>
                              </w:r>
                              <w:r>
                                <w:rPr>
                                  <w:spacing w:val="13"/>
                                  <w:sz w:val="16"/>
                                </w:rPr>
                                <w:t xml:space="preserve"> </w:t>
                              </w:r>
                              <w:r>
                                <w:rPr>
                                  <w:sz w:val="16"/>
                                </w:rPr>
                                <w:t>o</w:t>
                              </w:r>
                              <w:r>
                                <w:rPr>
                                  <w:spacing w:val="13"/>
                                  <w:sz w:val="16"/>
                                </w:rPr>
                                <w:t xml:space="preserve"> </w:t>
                              </w:r>
                              <w:r>
                                <w:rPr>
                                  <w:sz w:val="16"/>
                                </w:rPr>
                                <w:t>creencia,</w:t>
                              </w:r>
                              <w:r>
                                <w:rPr>
                                  <w:spacing w:val="15"/>
                                  <w:sz w:val="16"/>
                                </w:rPr>
                                <w:t xml:space="preserve"> </w:t>
                              </w:r>
                              <w:r>
                                <w:rPr>
                                  <w:sz w:val="16"/>
                                </w:rPr>
                                <w:t>de</w:t>
                              </w:r>
                              <w:r>
                                <w:rPr>
                                  <w:spacing w:val="13"/>
                                  <w:sz w:val="16"/>
                                </w:rPr>
                                <w:t xml:space="preserve"> </w:t>
                              </w:r>
                              <w:r>
                                <w:rPr>
                                  <w:sz w:val="16"/>
                                </w:rPr>
                                <w:t>plena</w:t>
                              </w:r>
                              <w:r>
                                <w:rPr>
                                  <w:spacing w:val="13"/>
                                  <w:sz w:val="16"/>
                                </w:rPr>
                                <w:t xml:space="preserve"> </w:t>
                              </w:r>
                              <w:r>
                                <w:rPr>
                                  <w:sz w:val="16"/>
                                </w:rPr>
                                <w:t>conformidad</w:t>
                              </w:r>
                              <w:r>
                                <w:rPr>
                                  <w:spacing w:val="13"/>
                                  <w:sz w:val="16"/>
                                </w:rPr>
                                <w:t xml:space="preserve"> </w:t>
                              </w:r>
                              <w:r>
                                <w:rPr>
                                  <w:sz w:val="16"/>
                                </w:rPr>
                                <w:t>con</w:t>
                              </w:r>
                              <w:r>
                                <w:rPr>
                                  <w:spacing w:val="13"/>
                                  <w:sz w:val="16"/>
                                </w:rPr>
                                <w:t xml:space="preserve"> </w:t>
                              </w:r>
                              <w:r>
                                <w:rPr>
                                  <w:sz w:val="16"/>
                                </w:rPr>
                                <w:t>los</w:t>
                              </w:r>
                              <w:r>
                                <w:rPr>
                                  <w:spacing w:val="13"/>
                                  <w:sz w:val="16"/>
                                </w:rPr>
                                <w:t xml:space="preserve"> </w:t>
                              </w:r>
                              <w:r>
                                <w:rPr>
                                  <w:sz w:val="16"/>
                                </w:rPr>
                                <w:t>criterios</w:t>
                              </w:r>
                              <w:r>
                                <w:rPr>
                                  <w:spacing w:val="13"/>
                                  <w:sz w:val="16"/>
                                </w:rPr>
                                <w:t xml:space="preserve"> </w:t>
                              </w:r>
                              <w:r>
                                <w:rPr>
                                  <w:sz w:val="16"/>
                                </w:rPr>
                                <w:t>enunciados</w:t>
                              </w:r>
                              <w:r>
                                <w:rPr>
                                  <w:spacing w:val="13"/>
                                  <w:sz w:val="16"/>
                                </w:rPr>
                                <w:t xml:space="preserve"> </w:t>
                              </w:r>
                              <w:r>
                                <w:rPr>
                                  <w:sz w:val="16"/>
                                </w:rPr>
                                <w:t>en</w:t>
                              </w:r>
                              <w:r>
                                <w:rPr>
                                  <w:spacing w:val="13"/>
                                  <w:sz w:val="16"/>
                                </w:rPr>
                                <w:t xml:space="preserve"> </w:t>
                              </w:r>
                              <w:r>
                                <w:rPr>
                                  <w:sz w:val="16"/>
                                </w:rPr>
                                <w:t>el</w:t>
                              </w:r>
                              <w:r>
                                <w:rPr>
                                  <w:spacing w:val="13"/>
                                  <w:sz w:val="16"/>
                                </w:rPr>
                                <w:t xml:space="preserve"> </w:t>
                              </w:r>
                              <w:r>
                                <w:rPr>
                                  <w:sz w:val="16"/>
                                </w:rPr>
                                <w:t>artículo</w:t>
                              </w:r>
                              <w:r>
                                <w:rPr>
                                  <w:spacing w:val="13"/>
                                  <w:sz w:val="16"/>
                                </w:rPr>
                                <w:t xml:space="preserve"> </w:t>
                              </w:r>
                              <w:r>
                                <w:rPr>
                                  <w:sz w:val="16"/>
                                </w:rPr>
                                <w:t>18</w:t>
                              </w:r>
                              <w:r>
                                <w:rPr>
                                  <w:spacing w:val="13"/>
                                  <w:sz w:val="16"/>
                                </w:rPr>
                                <w:t xml:space="preserve"> </w:t>
                              </w:r>
                              <w:r>
                                <w:rPr>
                                  <w:sz w:val="16"/>
                                </w:rPr>
                                <w:t>(3)</w:t>
                              </w:r>
                              <w:r>
                                <w:rPr>
                                  <w:spacing w:val="13"/>
                                  <w:sz w:val="16"/>
                                </w:rPr>
                                <w:t xml:space="preserve"> </w:t>
                              </w:r>
                              <w:r>
                                <w:rPr>
                                  <w:sz w:val="16"/>
                                </w:rPr>
                                <w:t>del Pacto</w:t>
                              </w:r>
                              <w:r>
                                <w:rPr>
                                  <w:spacing w:val="15"/>
                                  <w:sz w:val="16"/>
                                </w:rPr>
                                <w:t xml:space="preserve"> </w:t>
                              </w:r>
                              <w:r>
                                <w:rPr>
                                  <w:sz w:val="16"/>
                                </w:rPr>
                                <w:t>Internacional</w:t>
                              </w:r>
                              <w:r>
                                <w:rPr>
                                  <w:spacing w:val="15"/>
                                  <w:sz w:val="16"/>
                                </w:rPr>
                                <w:t xml:space="preserve"> </w:t>
                              </w:r>
                              <w:r>
                                <w:rPr>
                                  <w:sz w:val="16"/>
                                </w:rPr>
                                <w:t>de</w:t>
                              </w:r>
                              <w:r>
                                <w:rPr>
                                  <w:spacing w:val="15"/>
                                  <w:sz w:val="16"/>
                                </w:rPr>
                                <w:t xml:space="preserve"> </w:t>
                              </w:r>
                              <w:r>
                                <w:rPr>
                                  <w:sz w:val="16"/>
                                </w:rPr>
                                <w:t>Derechos</w:t>
                              </w:r>
                              <w:r>
                                <w:rPr>
                                  <w:spacing w:val="15"/>
                                  <w:sz w:val="16"/>
                                </w:rPr>
                                <w:t xml:space="preserve"> </w:t>
                              </w:r>
                              <w:r>
                                <w:rPr>
                                  <w:sz w:val="16"/>
                                </w:rPr>
                                <w:t>Civiles</w:t>
                              </w:r>
                              <w:r>
                                <w:rPr>
                                  <w:spacing w:val="15"/>
                                  <w:sz w:val="16"/>
                                </w:rPr>
                                <w:t xml:space="preserve"> </w:t>
                              </w:r>
                              <w:r>
                                <w:rPr>
                                  <w:sz w:val="16"/>
                                </w:rPr>
                                <w:t>y</w:t>
                              </w:r>
                              <w:r>
                                <w:rPr>
                                  <w:spacing w:val="15"/>
                                  <w:sz w:val="16"/>
                                </w:rPr>
                                <w:t xml:space="preserve"> </w:t>
                              </w:r>
                              <w:r>
                                <w:rPr>
                                  <w:sz w:val="16"/>
                                </w:rPr>
                                <w:t>Políticos,</w:t>
                              </w:r>
                              <w:r>
                                <w:rPr>
                                  <w:spacing w:val="16"/>
                                  <w:sz w:val="16"/>
                                </w:rPr>
                                <w:t xml:space="preserve"> </w:t>
                              </w:r>
                              <w:r>
                                <w:rPr>
                                  <w:sz w:val="16"/>
                                </w:rPr>
                                <w:t>para</w:t>
                              </w:r>
                              <w:r>
                                <w:rPr>
                                  <w:spacing w:val="15"/>
                                  <w:sz w:val="16"/>
                                </w:rPr>
                                <w:t xml:space="preserve"> </w:t>
                              </w:r>
                              <w:r>
                                <w:rPr>
                                  <w:sz w:val="16"/>
                                </w:rPr>
                                <w:t>proteger</w:t>
                              </w:r>
                              <w:r>
                                <w:rPr>
                                  <w:spacing w:val="15"/>
                                  <w:sz w:val="16"/>
                                </w:rPr>
                                <w:t xml:space="preserve"> </w:t>
                              </w:r>
                              <w:r>
                                <w:rPr>
                                  <w:sz w:val="16"/>
                                </w:rPr>
                                <w:t>los</w:t>
                              </w:r>
                              <w:r>
                                <w:rPr>
                                  <w:spacing w:val="15"/>
                                  <w:sz w:val="16"/>
                                </w:rPr>
                                <w:t xml:space="preserve"> </w:t>
                              </w:r>
                              <w:r>
                                <w:rPr>
                                  <w:sz w:val="16"/>
                                </w:rPr>
                                <w:t>derechos</w:t>
                              </w:r>
                              <w:r>
                                <w:rPr>
                                  <w:spacing w:val="15"/>
                                  <w:sz w:val="16"/>
                                </w:rPr>
                                <w:t xml:space="preserve"> </w:t>
                              </w:r>
                              <w:r>
                                <w:rPr>
                                  <w:sz w:val="16"/>
                                </w:rPr>
                                <w:t>fundamentales</w:t>
                              </w:r>
                              <w:r>
                                <w:rPr>
                                  <w:spacing w:val="15"/>
                                  <w:sz w:val="16"/>
                                </w:rPr>
                                <w:t xml:space="preserve"> </w:t>
                              </w:r>
                              <w:r>
                                <w:rPr>
                                  <w:sz w:val="16"/>
                                </w:rPr>
                                <w:t>de</w:t>
                              </w:r>
                              <w:r>
                                <w:rPr>
                                  <w:spacing w:val="15"/>
                                  <w:sz w:val="16"/>
                                </w:rPr>
                                <w:t xml:space="preserve"> </w:t>
                              </w:r>
                              <w:r>
                                <w:rPr>
                                  <w:sz w:val="16"/>
                                </w:rPr>
                                <w:t>otros,</w:t>
                              </w:r>
                              <w:r>
                                <w:rPr>
                                  <w:spacing w:val="16"/>
                                  <w:sz w:val="16"/>
                                </w:rPr>
                                <w:t xml:space="preserve"> </w:t>
                              </w:r>
                              <w:r>
                                <w:rPr>
                                  <w:sz w:val="16"/>
                                </w:rPr>
                                <w:t>incluido</w:t>
                              </w:r>
                              <w:r>
                                <w:rPr>
                                  <w:spacing w:val="15"/>
                                  <w:sz w:val="16"/>
                                </w:rPr>
                                <w:t xml:space="preserve"> </w:t>
                              </w:r>
                              <w:r>
                                <w:rPr>
                                  <w:sz w:val="16"/>
                                </w:rPr>
                                <w:t>el</w:t>
                              </w:r>
                              <w:r>
                                <w:rPr>
                                  <w:spacing w:val="15"/>
                                  <w:sz w:val="16"/>
                                </w:rPr>
                                <w:t xml:space="preserve"> </w:t>
                              </w:r>
                              <w:r>
                                <w:rPr>
                                  <w:sz w:val="16"/>
                                </w:rPr>
                                <w:t>derecho</w:t>
                              </w:r>
                              <w:r>
                                <w:rPr>
                                  <w:spacing w:val="15"/>
                                  <w:sz w:val="16"/>
                                </w:rPr>
                                <w:t xml:space="preserve"> </w:t>
                              </w:r>
                              <w:r>
                                <w:rPr>
                                  <w:sz w:val="16"/>
                                </w:rPr>
                                <w:t>a</w:t>
                              </w:r>
                              <w:r>
                                <w:rPr>
                                  <w:spacing w:val="15"/>
                                  <w:sz w:val="16"/>
                                </w:rPr>
                                <w:t xml:space="preserve"> </w:t>
                              </w:r>
                              <w:r>
                                <w:rPr>
                                  <w:sz w:val="16"/>
                                </w:rPr>
                                <w:t>la no discriminación y a la igualdad, principio del que dependen todos los derechos humanos, incluido el derecho a la libertad de religión o de creencias.”1031</w:t>
                              </w:r>
                            </w:p>
                            <w:p w14:paraId="35AAA064" w14:textId="77777777" w:rsidR="0014798C" w:rsidRDefault="0014798C">
                              <w:pPr>
                                <w:spacing w:before="50"/>
                                <w:rPr>
                                  <w:sz w:val="16"/>
                                </w:rPr>
                              </w:pPr>
                            </w:p>
                            <w:p w14:paraId="6DD7F258" w14:textId="77777777" w:rsidR="0014798C" w:rsidRDefault="004E1F0B">
                              <w:pPr>
                                <w:ind w:left="33"/>
                                <w:rPr>
                                  <w:sz w:val="23"/>
                                </w:rPr>
                              </w:pPr>
                              <w:r>
                                <w:rPr>
                                  <w:color w:val="803108"/>
                                  <w:sz w:val="23"/>
                                </w:rPr>
                                <w:t>1.</w:t>
                              </w:r>
                              <w:r>
                                <w:rPr>
                                  <w:color w:val="803108"/>
                                  <w:spacing w:val="7"/>
                                  <w:sz w:val="23"/>
                                </w:rPr>
                                <w:t xml:space="preserve"> </w:t>
                              </w:r>
                              <w:r>
                                <w:rPr>
                                  <w:color w:val="803108"/>
                                  <w:sz w:val="23"/>
                                </w:rPr>
                                <w:t>La</w:t>
                              </w:r>
                              <w:r>
                                <w:rPr>
                                  <w:color w:val="803108"/>
                                  <w:spacing w:val="7"/>
                                  <w:sz w:val="23"/>
                                </w:rPr>
                                <w:t xml:space="preserve"> </w:t>
                              </w:r>
                              <w:r>
                                <w:rPr>
                                  <w:color w:val="803108"/>
                                  <w:sz w:val="23"/>
                                </w:rPr>
                                <w:t>objeción</w:t>
                              </w:r>
                              <w:r>
                                <w:rPr>
                                  <w:color w:val="803108"/>
                                  <w:spacing w:val="7"/>
                                  <w:sz w:val="23"/>
                                </w:rPr>
                                <w:t xml:space="preserve"> </w:t>
                              </w:r>
                              <w:r>
                                <w:rPr>
                                  <w:color w:val="803108"/>
                                  <w:sz w:val="23"/>
                                </w:rPr>
                                <w:t>de</w:t>
                              </w:r>
                              <w:r>
                                <w:rPr>
                                  <w:color w:val="803108"/>
                                  <w:spacing w:val="7"/>
                                  <w:sz w:val="23"/>
                                </w:rPr>
                                <w:t xml:space="preserve"> </w:t>
                              </w:r>
                              <w:r>
                                <w:rPr>
                                  <w:color w:val="803108"/>
                                  <w:sz w:val="23"/>
                                </w:rPr>
                                <w:t>conciencia</w:t>
                              </w:r>
                              <w:r>
                                <w:rPr>
                                  <w:color w:val="803108"/>
                                  <w:spacing w:val="8"/>
                                  <w:sz w:val="23"/>
                                </w:rPr>
                                <w:t xml:space="preserve"> </w:t>
                              </w:r>
                              <w:r>
                                <w:rPr>
                                  <w:color w:val="803108"/>
                                  <w:sz w:val="23"/>
                                </w:rPr>
                                <w:t>y</w:t>
                              </w:r>
                              <w:r>
                                <w:rPr>
                                  <w:color w:val="803108"/>
                                  <w:spacing w:val="7"/>
                                  <w:sz w:val="23"/>
                                </w:rPr>
                                <w:t xml:space="preserve"> </w:t>
                              </w:r>
                              <w:r>
                                <w:rPr>
                                  <w:color w:val="803108"/>
                                  <w:sz w:val="23"/>
                                </w:rPr>
                                <w:t>sus</w:t>
                              </w:r>
                              <w:r>
                                <w:rPr>
                                  <w:color w:val="803108"/>
                                  <w:spacing w:val="7"/>
                                  <w:sz w:val="23"/>
                                </w:rPr>
                                <w:t xml:space="preserve"> </w:t>
                              </w:r>
                              <w:r>
                                <w:rPr>
                                  <w:color w:val="803108"/>
                                  <w:spacing w:val="-2"/>
                                  <w:sz w:val="23"/>
                                </w:rPr>
                                <w:t>límites</w:t>
                              </w:r>
                            </w:p>
                            <w:p w14:paraId="107907E4" w14:textId="77777777" w:rsidR="0014798C" w:rsidRDefault="004E1F0B">
                              <w:pPr>
                                <w:spacing w:before="249" w:line="326" w:lineRule="auto"/>
                                <w:ind w:left="5" w:right="1296" w:firstLine="7"/>
                                <w:rPr>
                                  <w:sz w:val="16"/>
                                </w:rPr>
                              </w:pPr>
                              <w:r>
                                <w:rPr>
                                  <w:sz w:val="16"/>
                                </w:rPr>
                                <w:t>Podría</w:t>
                              </w:r>
                              <w:r>
                                <w:rPr>
                                  <w:spacing w:val="14"/>
                                  <w:sz w:val="16"/>
                                </w:rPr>
                                <w:t xml:space="preserve"> </w:t>
                              </w:r>
                              <w:r>
                                <w:rPr>
                                  <w:sz w:val="16"/>
                                </w:rPr>
                                <w:t>decirse</w:t>
                              </w:r>
                              <w:r>
                                <w:rPr>
                                  <w:spacing w:val="15"/>
                                  <w:sz w:val="16"/>
                                </w:rPr>
                                <w:t xml:space="preserve"> </w:t>
                              </w:r>
                              <w:r>
                                <w:rPr>
                                  <w:sz w:val="16"/>
                                </w:rPr>
                                <w:t>que</w:t>
                              </w:r>
                              <w:r>
                                <w:rPr>
                                  <w:spacing w:val="14"/>
                                  <w:sz w:val="16"/>
                                </w:rPr>
                                <w:t xml:space="preserve"> </w:t>
                              </w:r>
                              <w:r>
                                <w:rPr>
                                  <w:sz w:val="16"/>
                                </w:rPr>
                                <w:t>la</w:t>
                              </w:r>
                              <w:r>
                                <w:rPr>
                                  <w:spacing w:val="14"/>
                                  <w:sz w:val="16"/>
                                </w:rPr>
                                <w:t xml:space="preserve"> </w:t>
                              </w:r>
                              <w:r>
                                <w:rPr>
                                  <w:sz w:val="16"/>
                                </w:rPr>
                                <w:t>objeción</w:t>
                              </w:r>
                              <w:r>
                                <w:rPr>
                                  <w:spacing w:val="14"/>
                                  <w:sz w:val="16"/>
                                </w:rPr>
                                <w:t xml:space="preserve"> </w:t>
                              </w:r>
                              <w:r>
                                <w:rPr>
                                  <w:sz w:val="16"/>
                                </w:rPr>
                                <w:t>de</w:t>
                              </w:r>
                              <w:r>
                                <w:rPr>
                                  <w:spacing w:val="14"/>
                                  <w:sz w:val="16"/>
                                </w:rPr>
                                <w:t xml:space="preserve"> </w:t>
                              </w:r>
                              <w:r>
                                <w:rPr>
                                  <w:sz w:val="16"/>
                                </w:rPr>
                                <w:t>conciencia</w:t>
                              </w:r>
                              <w:r>
                                <w:rPr>
                                  <w:spacing w:val="15"/>
                                  <w:sz w:val="16"/>
                                </w:rPr>
                                <w:t xml:space="preserve"> </w:t>
                              </w:r>
                              <w:r>
                                <w:rPr>
                                  <w:sz w:val="16"/>
                                </w:rPr>
                                <w:t>al</w:t>
                              </w:r>
                              <w:r>
                                <w:rPr>
                                  <w:spacing w:val="14"/>
                                  <w:sz w:val="16"/>
                                </w:rPr>
                                <w:t xml:space="preserve"> </w:t>
                              </w:r>
                              <w:r>
                                <w:rPr>
                                  <w:sz w:val="16"/>
                                </w:rPr>
                                <w:t>servicio</w:t>
                              </w:r>
                              <w:r>
                                <w:rPr>
                                  <w:spacing w:val="15"/>
                                  <w:sz w:val="16"/>
                                </w:rPr>
                                <w:t xml:space="preserve"> </w:t>
                              </w:r>
                              <w:r>
                                <w:rPr>
                                  <w:sz w:val="16"/>
                                </w:rPr>
                                <w:t>militar</w:t>
                              </w:r>
                              <w:r>
                                <w:rPr>
                                  <w:spacing w:val="14"/>
                                  <w:sz w:val="16"/>
                                </w:rPr>
                                <w:t xml:space="preserve"> </w:t>
                              </w:r>
                              <w:r>
                                <w:rPr>
                                  <w:sz w:val="16"/>
                                </w:rPr>
                                <w:t>–frecuentemente</w:t>
                              </w:r>
                              <w:r>
                                <w:rPr>
                                  <w:spacing w:val="14"/>
                                  <w:sz w:val="16"/>
                                </w:rPr>
                                <w:t xml:space="preserve"> </w:t>
                              </w:r>
                              <w:r>
                                <w:rPr>
                                  <w:sz w:val="16"/>
                                </w:rPr>
                                <w:t>por</w:t>
                              </w:r>
                              <w:r>
                                <w:rPr>
                                  <w:spacing w:val="14"/>
                                  <w:sz w:val="16"/>
                                </w:rPr>
                                <w:t xml:space="preserve"> </w:t>
                              </w:r>
                              <w:r>
                                <w:rPr>
                                  <w:sz w:val="16"/>
                                </w:rPr>
                                <w:t>motivos</w:t>
                              </w:r>
                              <w:r>
                                <w:rPr>
                                  <w:spacing w:val="14"/>
                                  <w:sz w:val="16"/>
                                </w:rPr>
                                <w:t xml:space="preserve"> </w:t>
                              </w:r>
                              <w:r>
                                <w:rPr>
                                  <w:sz w:val="16"/>
                                </w:rPr>
                                <w:t>de</w:t>
                              </w:r>
                              <w:r>
                                <w:rPr>
                                  <w:spacing w:val="14"/>
                                  <w:sz w:val="16"/>
                                </w:rPr>
                                <w:t xml:space="preserve"> </w:t>
                              </w:r>
                              <w:r>
                                <w:rPr>
                                  <w:sz w:val="16"/>
                                </w:rPr>
                                <w:t>religión</w:t>
                              </w:r>
                              <w:r>
                                <w:rPr>
                                  <w:spacing w:val="14"/>
                                  <w:sz w:val="16"/>
                                </w:rPr>
                                <w:t xml:space="preserve"> </w:t>
                              </w:r>
                              <w:r>
                                <w:rPr>
                                  <w:sz w:val="16"/>
                                </w:rPr>
                                <w:t>o</w:t>
                              </w:r>
                              <w:r>
                                <w:rPr>
                                  <w:spacing w:val="14"/>
                                  <w:sz w:val="16"/>
                                </w:rPr>
                                <w:t xml:space="preserve"> </w:t>
                              </w:r>
                              <w:r>
                                <w:rPr>
                                  <w:sz w:val="16"/>
                                </w:rPr>
                                <w:t>creencias–</w:t>
                              </w:r>
                              <w:r>
                                <w:rPr>
                                  <w:spacing w:val="15"/>
                                  <w:sz w:val="16"/>
                                </w:rPr>
                                <w:t xml:space="preserve"> </w:t>
                              </w:r>
                              <w:r>
                                <w:rPr>
                                  <w:sz w:val="16"/>
                                </w:rPr>
                                <w:t>es</w:t>
                              </w:r>
                              <w:r>
                                <w:rPr>
                                  <w:spacing w:val="14"/>
                                  <w:sz w:val="16"/>
                                </w:rPr>
                                <w:t xml:space="preserve"> </w:t>
                              </w:r>
                              <w:r>
                                <w:rPr>
                                  <w:sz w:val="16"/>
                                </w:rPr>
                                <w:t>una</w:t>
                              </w:r>
                              <w:r>
                                <w:rPr>
                                  <w:spacing w:val="14"/>
                                  <w:sz w:val="16"/>
                                </w:rPr>
                                <w:t xml:space="preserve"> </w:t>
                              </w:r>
                              <w:r>
                                <w:rPr>
                                  <w:sz w:val="16"/>
                                </w:rPr>
                                <w:t>de las primeras formas de disidencia. Aunque la afirmación del Comité de Derechos Humanos del derecho a la objeción de</w:t>
                              </w:r>
                              <w:r>
                                <w:rPr>
                                  <w:spacing w:val="80"/>
                                  <w:sz w:val="16"/>
                                </w:rPr>
                                <w:t xml:space="preserve"> </w:t>
                              </w:r>
                              <w:r>
                                <w:rPr>
                                  <w:sz w:val="16"/>
                                </w:rPr>
                                <w:t>conciencia al servicio militar como componente del artículo 18 del Pacto Internacional de Derechos Civiles y Políticos ha evolucionado con el tiempo,1032 el Comité ha afirmado inequívocamente que no debe haber discriminación contra los objetores</w:t>
                              </w:r>
                              <w:r>
                                <w:rPr>
                                  <w:spacing w:val="80"/>
                                  <w:sz w:val="16"/>
                                </w:rPr>
                                <w:t xml:space="preserve"> </w:t>
                              </w:r>
                              <w:r>
                                <w:rPr>
                                  <w:sz w:val="16"/>
                                </w:rPr>
                                <w:t>de conciencia.</w:t>
                              </w:r>
                              <w:r>
                                <w:rPr>
                                  <w:spacing w:val="20"/>
                                  <w:sz w:val="16"/>
                                </w:rPr>
                                <w:t xml:space="preserve"> </w:t>
                              </w:r>
                              <w:r>
                                <w:rPr>
                                  <w:sz w:val="16"/>
                                </w:rPr>
                                <w:t>.1033 Tanto los órganos creados en virtud de tratados como los órganos regionales de derechos humanos</w:t>
                              </w:r>
                            </w:p>
                          </w:txbxContent>
                        </wps:txbx>
                        <wps:bodyPr wrap="square" lIns="0" tIns="0" rIns="0" bIns="0" rtlCol="0">
                          <a:noAutofit/>
                        </wps:bodyPr>
                      </wps:wsp>
                    </wpg:wgp>
                  </a:graphicData>
                </a:graphic>
              </wp:anchor>
            </w:drawing>
          </mc:Choice>
          <mc:Fallback>
            <w:pict>
              <v:group w14:anchorId="092AE453" id="Group 303" o:spid="_x0000_s1147" style="position:absolute;left:0;text-align:left;margin-left:65.1pt;margin-top:11.85pt;width:529.95pt;height:269.25pt;z-index:251658316;mso-wrap-distance-left:0;mso-wrap-distance-right:0;mso-position-horizontal-relative:page" coordsize="67303,34194"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">
                <v:shape id="Image 304" o:spid="_x0000_s1148" type="#_x0000_t75" style="position:absolute;width:67298;height:3419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">
                  <v:imagedata r:id="rId286" o:title=""/>
                </v:shape>
                <v:shape id="Textbox 305" o:spid="_x0000_s1149" type="#_x0000_t202" style="position:absolute;width:67303;height:3419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" filled="f" stroked="f">
                  <v:textbox inset="0,0,0,0">
                    <w:txbxContent>
                      <w:p w14:paraId="5DD45415" w14:textId="77777777" w:rsidR="0014798C" w:rsidRDefault="004E1F0B">
                        <w:pPr>
                          <w:spacing w:before="68" w:line="326" w:lineRule="auto"/>
                          <w:ind w:left="4" w:right="1226" w:firstLine="2"/>
                          <w:rPr>
                            <w:sz w:val="16"/>
                          </w:rPr>
                        </w:pPr>
                        <w:r>
                          <w:rPr>
                            <w:sz w:val="16"/>
                          </w:rPr>
                          <w:t>o sensibilidades religiosas o culturales afiliadas que discriminen por motivos de sexo, orientación sexual, identidad de género u otras características.1028 Sucesivos Relatores Especiales sobre la libertad de religión o de creencias han establecido que el derecho de las mujeres a la no discriminación tiene prioridad sobre las “creencias intolerantes que se utilizan para justificar la discriminación de género”1029 y que la libertad de religión o de creencias nunca puede servir como justificación para violaciones</w:t>
                        </w:r>
                        <w:r>
                          <w:rPr>
                            <w:spacing w:val="80"/>
                            <w:sz w:val="16"/>
                          </w:rPr>
                          <w:t xml:space="preserve"> </w:t>
                        </w:r>
                        <w:r>
                          <w:rPr>
                            <w:sz w:val="16"/>
                          </w:rPr>
                          <w:t>de los derechos humanos de las mujeres. y niñas.1030 El Relator Especial rechazó “cualquier afirmación de que las creencias religiosas puedan ser invocadas como una 'justificación' legítima para la violencia o la discriminación contra mujeres y niñas o</w:t>
                        </w:r>
                        <w:r>
                          <w:rPr>
                            <w:spacing w:val="40"/>
                            <w:sz w:val="16"/>
                          </w:rPr>
                          <w:t xml:space="preserve"> </w:t>
                        </w:r>
                        <w:r>
                          <w:rPr>
                            <w:sz w:val="16"/>
                          </w:rPr>
                          <w:t>contra personas por su orientación sexual o identidad de género. El derecho internacional es claro en que los Estados pueden limitar</w:t>
                        </w:r>
                        <w:r>
                          <w:rPr>
                            <w:spacing w:val="13"/>
                            <w:sz w:val="16"/>
                          </w:rPr>
                          <w:t xml:space="preserve"> </w:t>
                        </w:r>
                        <w:r>
                          <w:rPr>
                            <w:sz w:val="16"/>
                          </w:rPr>
                          <w:t>la</w:t>
                        </w:r>
                        <w:r>
                          <w:rPr>
                            <w:spacing w:val="13"/>
                            <w:sz w:val="16"/>
                          </w:rPr>
                          <w:t xml:space="preserve"> </w:t>
                        </w:r>
                        <w:r>
                          <w:rPr>
                            <w:sz w:val="16"/>
                          </w:rPr>
                          <w:t>manifestación</w:t>
                        </w:r>
                        <w:r>
                          <w:rPr>
                            <w:spacing w:val="13"/>
                            <w:sz w:val="16"/>
                          </w:rPr>
                          <w:t xml:space="preserve"> </w:t>
                        </w:r>
                        <w:r>
                          <w:rPr>
                            <w:sz w:val="16"/>
                          </w:rPr>
                          <w:t>de</w:t>
                        </w:r>
                        <w:r>
                          <w:rPr>
                            <w:spacing w:val="13"/>
                            <w:sz w:val="16"/>
                          </w:rPr>
                          <w:t xml:space="preserve"> </w:t>
                        </w:r>
                        <w:r>
                          <w:rPr>
                            <w:sz w:val="16"/>
                          </w:rPr>
                          <w:t>una</w:t>
                        </w:r>
                        <w:r>
                          <w:rPr>
                            <w:spacing w:val="13"/>
                            <w:sz w:val="16"/>
                          </w:rPr>
                          <w:t xml:space="preserve"> </w:t>
                        </w:r>
                        <w:r>
                          <w:rPr>
                            <w:sz w:val="16"/>
                          </w:rPr>
                          <w:t>religión</w:t>
                        </w:r>
                        <w:r>
                          <w:rPr>
                            <w:spacing w:val="13"/>
                            <w:sz w:val="16"/>
                          </w:rPr>
                          <w:t xml:space="preserve"> </w:t>
                        </w:r>
                        <w:r>
                          <w:rPr>
                            <w:sz w:val="16"/>
                          </w:rPr>
                          <w:t>o</w:t>
                        </w:r>
                        <w:r>
                          <w:rPr>
                            <w:spacing w:val="13"/>
                            <w:sz w:val="16"/>
                          </w:rPr>
                          <w:t xml:space="preserve"> </w:t>
                        </w:r>
                        <w:r>
                          <w:rPr>
                            <w:sz w:val="16"/>
                          </w:rPr>
                          <w:t>creencia,</w:t>
                        </w:r>
                        <w:r>
                          <w:rPr>
                            <w:spacing w:val="15"/>
                            <w:sz w:val="16"/>
                          </w:rPr>
                          <w:t xml:space="preserve"> </w:t>
                        </w:r>
                        <w:r>
                          <w:rPr>
                            <w:sz w:val="16"/>
                          </w:rPr>
                          <w:t>de</w:t>
                        </w:r>
                        <w:r>
                          <w:rPr>
                            <w:spacing w:val="13"/>
                            <w:sz w:val="16"/>
                          </w:rPr>
                          <w:t xml:space="preserve"> </w:t>
                        </w:r>
                        <w:r>
                          <w:rPr>
                            <w:sz w:val="16"/>
                          </w:rPr>
                          <w:t>plena</w:t>
                        </w:r>
                        <w:r>
                          <w:rPr>
                            <w:spacing w:val="13"/>
                            <w:sz w:val="16"/>
                          </w:rPr>
                          <w:t xml:space="preserve"> </w:t>
                        </w:r>
                        <w:r>
                          <w:rPr>
                            <w:sz w:val="16"/>
                          </w:rPr>
                          <w:t>conformidad</w:t>
                        </w:r>
                        <w:r>
                          <w:rPr>
                            <w:spacing w:val="13"/>
                            <w:sz w:val="16"/>
                          </w:rPr>
                          <w:t xml:space="preserve"> </w:t>
                        </w:r>
                        <w:r>
                          <w:rPr>
                            <w:sz w:val="16"/>
                          </w:rPr>
                          <w:t>con</w:t>
                        </w:r>
                        <w:r>
                          <w:rPr>
                            <w:spacing w:val="13"/>
                            <w:sz w:val="16"/>
                          </w:rPr>
                          <w:t xml:space="preserve"> </w:t>
                        </w:r>
                        <w:r>
                          <w:rPr>
                            <w:sz w:val="16"/>
                          </w:rPr>
                          <w:t>los</w:t>
                        </w:r>
                        <w:r>
                          <w:rPr>
                            <w:spacing w:val="13"/>
                            <w:sz w:val="16"/>
                          </w:rPr>
                          <w:t xml:space="preserve"> </w:t>
                        </w:r>
                        <w:r>
                          <w:rPr>
                            <w:sz w:val="16"/>
                          </w:rPr>
                          <w:t>criterios</w:t>
                        </w:r>
                        <w:r>
                          <w:rPr>
                            <w:spacing w:val="13"/>
                            <w:sz w:val="16"/>
                          </w:rPr>
                          <w:t xml:space="preserve"> </w:t>
                        </w:r>
                        <w:r>
                          <w:rPr>
                            <w:sz w:val="16"/>
                          </w:rPr>
                          <w:t>enunciados</w:t>
                        </w:r>
                        <w:r>
                          <w:rPr>
                            <w:spacing w:val="13"/>
                            <w:sz w:val="16"/>
                          </w:rPr>
                          <w:t xml:space="preserve"> </w:t>
                        </w:r>
                        <w:r>
                          <w:rPr>
                            <w:sz w:val="16"/>
                          </w:rPr>
                          <w:t>en</w:t>
                        </w:r>
                        <w:r>
                          <w:rPr>
                            <w:spacing w:val="13"/>
                            <w:sz w:val="16"/>
                          </w:rPr>
                          <w:t xml:space="preserve"> </w:t>
                        </w:r>
                        <w:r>
                          <w:rPr>
                            <w:sz w:val="16"/>
                          </w:rPr>
                          <w:t>el</w:t>
                        </w:r>
                        <w:r>
                          <w:rPr>
                            <w:spacing w:val="13"/>
                            <w:sz w:val="16"/>
                          </w:rPr>
                          <w:t xml:space="preserve"> </w:t>
                        </w:r>
                        <w:r>
                          <w:rPr>
                            <w:sz w:val="16"/>
                          </w:rPr>
                          <w:t>artículo</w:t>
                        </w:r>
                        <w:r>
                          <w:rPr>
                            <w:spacing w:val="13"/>
                            <w:sz w:val="16"/>
                          </w:rPr>
                          <w:t xml:space="preserve"> </w:t>
                        </w:r>
                        <w:r>
                          <w:rPr>
                            <w:sz w:val="16"/>
                          </w:rPr>
                          <w:t>18</w:t>
                        </w:r>
                        <w:r>
                          <w:rPr>
                            <w:spacing w:val="13"/>
                            <w:sz w:val="16"/>
                          </w:rPr>
                          <w:t xml:space="preserve"> </w:t>
                        </w:r>
                        <w:r>
                          <w:rPr>
                            <w:sz w:val="16"/>
                          </w:rPr>
                          <w:t>(3)</w:t>
                        </w:r>
                        <w:r>
                          <w:rPr>
                            <w:spacing w:val="13"/>
                            <w:sz w:val="16"/>
                          </w:rPr>
                          <w:t xml:space="preserve"> </w:t>
                        </w:r>
                        <w:r>
                          <w:rPr>
                            <w:sz w:val="16"/>
                          </w:rPr>
                          <w:t>del Pacto</w:t>
                        </w:r>
                        <w:r>
                          <w:rPr>
                            <w:spacing w:val="15"/>
                            <w:sz w:val="16"/>
                          </w:rPr>
                          <w:t xml:space="preserve"> </w:t>
                        </w:r>
                        <w:r>
                          <w:rPr>
                            <w:sz w:val="16"/>
                          </w:rPr>
                          <w:t>Internacional</w:t>
                        </w:r>
                        <w:r>
                          <w:rPr>
                            <w:spacing w:val="15"/>
                            <w:sz w:val="16"/>
                          </w:rPr>
                          <w:t xml:space="preserve"> </w:t>
                        </w:r>
                        <w:r>
                          <w:rPr>
                            <w:sz w:val="16"/>
                          </w:rPr>
                          <w:t>de</w:t>
                        </w:r>
                        <w:r>
                          <w:rPr>
                            <w:spacing w:val="15"/>
                            <w:sz w:val="16"/>
                          </w:rPr>
                          <w:t xml:space="preserve"> </w:t>
                        </w:r>
                        <w:r>
                          <w:rPr>
                            <w:sz w:val="16"/>
                          </w:rPr>
                          <w:t>Derechos</w:t>
                        </w:r>
                        <w:r>
                          <w:rPr>
                            <w:spacing w:val="15"/>
                            <w:sz w:val="16"/>
                          </w:rPr>
                          <w:t xml:space="preserve"> </w:t>
                        </w:r>
                        <w:r>
                          <w:rPr>
                            <w:sz w:val="16"/>
                          </w:rPr>
                          <w:t>Civiles</w:t>
                        </w:r>
                        <w:r>
                          <w:rPr>
                            <w:spacing w:val="15"/>
                            <w:sz w:val="16"/>
                          </w:rPr>
                          <w:t xml:space="preserve"> </w:t>
                        </w:r>
                        <w:r>
                          <w:rPr>
                            <w:sz w:val="16"/>
                          </w:rPr>
                          <w:t>y</w:t>
                        </w:r>
                        <w:r>
                          <w:rPr>
                            <w:spacing w:val="15"/>
                            <w:sz w:val="16"/>
                          </w:rPr>
                          <w:t xml:space="preserve"> </w:t>
                        </w:r>
                        <w:r>
                          <w:rPr>
                            <w:sz w:val="16"/>
                          </w:rPr>
                          <w:t>Políticos,</w:t>
                        </w:r>
                        <w:r>
                          <w:rPr>
                            <w:spacing w:val="16"/>
                            <w:sz w:val="16"/>
                          </w:rPr>
                          <w:t xml:space="preserve"> </w:t>
                        </w:r>
                        <w:r>
                          <w:rPr>
                            <w:sz w:val="16"/>
                          </w:rPr>
                          <w:t>para</w:t>
                        </w:r>
                        <w:r>
                          <w:rPr>
                            <w:spacing w:val="15"/>
                            <w:sz w:val="16"/>
                          </w:rPr>
                          <w:t xml:space="preserve"> </w:t>
                        </w:r>
                        <w:r>
                          <w:rPr>
                            <w:sz w:val="16"/>
                          </w:rPr>
                          <w:t>proteger</w:t>
                        </w:r>
                        <w:r>
                          <w:rPr>
                            <w:spacing w:val="15"/>
                            <w:sz w:val="16"/>
                          </w:rPr>
                          <w:t xml:space="preserve"> </w:t>
                        </w:r>
                        <w:r>
                          <w:rPr>
                            <w:sz w:val="16"/>
                          </w:rPr>
                          <w:t>los</w:t>
                        </w:r>
                        <w:r>
                          <w:rPr>
                            <w:spacing w:val="15"/>
                            <w:sz w:val="16"/>
                          </w:rPr>
                          <w:t xml:space="preserve"> </w:t>
                        </w:r>
                        <w:r>
                          <w:rPr>
                            <w:sz w:val="16"/>
                          </w:rPr>
                          <w:t>derechos</w:t>
                        </w:r>
                        <w:r>
                          <w:rPr>
                            <w:spacing w:val="15"/>
                            <w:sz w:val="16"/>
                          </w:rPr>
                          <w:t xml:space="preserve"> </w:t>
                        </w:r>
                        <w:r>
                          <w:rPr>
                            <w:sz w:val="16"/>
                          </w:rPr>
                          <w:t>fundamentales</w:t>
                        </w:r>
                        <w:r>
                          <w:rPr>
                            <w:spacing w:val="15"/>
                            <w:sz w:val="16"/>
                          </w:rPr>
                          <w:t xml:space="preserve"> </w:t>
                        </w:r>
                        <w:r>
                          <w:rPr>
                            <w:sz w:val="16"/>
                          </w:rPr>
                          <w:t>de</w:t>
                        </w:r>
                        <w:r>
                          <w:rPr>
                            <w:spacing w:val="15"/>
                            <w:sz w:val="16"/>
                          </w:rPr>
                          <w:t xml:space="preserve"> </w:t>
                        </w:r>
                        <w:r>
                          <w:rPr>
                            <w:sz w:val="16"/>
                          </w:rPr>
                          <w:t>otros,</w:t>
                        </w:r>
                        <w:r>
                          <w:rPr>
                            <w:spacing w:val="16"/>
                            <w:sz w:val="16"/>
                          </w:rPr>
                          <w:t xml:space="preserve"> </w:t>
                        </w:r>
                        <w:r>
                          <w:rPr>
                            <w:sz w:val="16"/>
                          </w:rPr>
                          <w:t>incluido</w:t>
                        </w:r>
                        <w:r>
                          <w:rPr>
                            <w:spacing w:val="15"/>
                            <w:sz w:val="16"/>
                          </w:rPr>
                          <w:t xml:space="preserve"> </w:t>
                        </w:r>
                        <w:r>
                          <w:rPr>
                            <w:sz w:val="16"/>
                          </w:rPr>
                          <w:t>el</w:t>
                        </w:r>
                        <w:r>
                          <w:rPr>
                            <w:spacing w:val="15"/>
                            <w:sz w:val="16"/>
                          </w:rPr>
                          <w:t xml:space="preserve"> </w:t>
                        </w:r>
                        <w:r>
                          <w:rPr>
                            <w:sz w:val="16"/>
                          </w:rPr>
                          <w:t>derecho</w:t>
                        </w:r>
                        <w:r>
                          <w:rPr>
                            <w:spacing w:val="15"/>
                            <w:sz w:val="16"/>
                          </w:rPr>
                          <w:t xml:space="preserve"> </w:t>
                        </w:r>
                        <w:r>
                          <w:rPr>
                            <w:sz w:val="16"/>
                          </w:rPr>
                          <w:t>a</w:t>
                        </w:r>
                        <w:r>
                          <w:rPr>
                            <w:spacing w:val="15"/>
                            <w:sz w:val="16"/>
                          </w:rPr>
                          <w:t xml:space="preserve"> </w:t>
                        </w:r>
                        <w:r>
                          <w:rPr>
                            <w:sz w:val="16"/>
                          </w:rPr>
                          <w:t>la no discriminación y a la igualdad, principio del que dependen todos los derechos humanos, incluido el derecho a la libertad de religión o de creencias.”1031</w:t>
                        </w:r>
                      </w:p>
                      <w:p w14:paraId="35AAA064" w14:textId="77777777" w:rsidR="0014798C" w:rsidRDefault="0014798C">
                        <w:pPr>
                          <w:spacing w:before="50"/>
                          <w:rPr>
                            <w:sz w:val="16"/>
                          </w:rPr>
                        </w:pPr>
                      </w:p>
                      <w:p w14:paraId="6DD7F258" w14:textId="77777777" w:rsidR="0014798C" w:rsidRDefault="004E1F0B">
                        <w:pPr>
                          <w:ind w:left="33"/>
                          <w:rPr>
                            <w:sz w:val="23"/>
                          </w:rPr>
                        </w:pPr>
                        <w:r>
                          <w:rPr>
                            <w:color w:val="803108"/>
                            <w:sz w:val="23"/>
                          </w:rPr>
                          <w:t>1.</w:t>
                        </w:r>
                        <w:r>
                          <w:rPr>
                            <w:color w:val="803108"/>
                            <w:spacing w:val="7"/>
                            <w:sz w:val="23"/>
                          </w:rPr>
                          <w:t xml:space="preserve"> </w:t>
                        </w:r>
                        <w:r>
                          <w:rPr>
                            <w:color w:val="803108"/>
                            <w:sz w:val="23"/>
                          </w:rPr>
                          <w:t>La</w:t>
                        </w:r>
                        <w:r>
                          <w:rPr>
                            <w:color w:val="803108"/>
                            <w:spacing w:val="7"/>
                            <w:sz w:val="23"/>
                          </w:rPr>
                          <w:t xml:space="preserve"> </w:t>
                        </w:r>
                        <w:r>
                          <w:rPr>
                            <w:color w:val="803108"/>
                            <w:sz w:val="23"/>
                          </w:rPr>
                          <w:t>objeción</w:t>
                        </w:r>
                        <w:r>
                          <w:rPr>
                            <w:color w:val="803108"/>
                            <w:spacing w:val="7"/>
                            <w:sz w:val="23"/>
                          </w:rPr>
                          <w:t xml:space="preserve"> </w:t>
                        </w:r>
                        <w:r>
                          <w:rPr>
                            <w:color w:val="803108"/>
                            <w:sz w:val="23"/>
                          </w:rPr>
                          <w:t>de</w:t>
                        </w:r>
                        <w:r>
                          <w:rPr>
                            <w:color w:val="803108"/>
                            <w:spacing w:val="7"/>
                            <w:sz w:val="23"/>
                          </w:rPr>
                          <w:t xml:space="preserve"> </w:t>
                        </w:r>
                        <w:r>
                          <w:rPr>
                            <w:color w:val="803108"/>
                            <w:sz w:val="23"/>
                          </w:rPr>
                          <w:t>conciencia</w:t>
                        </w:r>
                        <w:r>
                          <w:rPr>
                            <w:color w:val="803108"/>
                            <w:spacing w:val="8"/>
                            <w:sz w:val="23"/>
                          </w:rPr>
                          <w:t xml:space="preserve"> </w:t>
                        </w:r>
                        <w:r>
                          <w:rPr>
                            <w:color w:val="803108"/>
                            <w:sz w:val="23"/>
                          </w:rPr>
                          <w:t>y</w:t>
                        </w:r>
                        <w:r>
                          <w:rPr>
                            <w:color w:val="803108"/>
                            <w:spacing w:val="7"/>
                            <w:sz w:val="23"/>
                          </w:rPr>
                          <w:t xml:space="preserve"> </w:t>
                        </w:r>
                        <w:r>
                          <w:rPr>
                            <w:color w:val="803108"/>
                            <w:sz w:val="23"/>
                          </w:rPr>
                          <w:t>sus</w:t>
                        </w:r>
                        <w:r>
                          <w:rPr>
                            <w:color w:val="803108"/>
                            <w:spacing w:val="7"/>
                            <w:sz w:val="23"/>
                          </w:rPr>
                          <w:t xml:space="preserve"> </w:t>
                        </w:r>
                        <w:r>
                          <w:rPr>
                            <w:color w:val="803108"/>
                            <w:spacing w:val="-2"/>
                            <w:sz w:val="23"/>
                          </w:rPr>
                          <w:t>límites</w:t>
                        </w:r>
                      </w:p>
                      <w:p w14:paraId="107907E4" w14:textId="77777777" w:rsidR="0014798C" w:rsidRDefault="004E1F0B">
                        <w:pPr>
                          <w:spacing w:before="249" w:line="326" w:lineRule="auto"/>
                          <w:ind w:left="5" w:right="1296" w:firstLine="7"/>
                          <w:rPr>
                            <w:sz w:val="16"/>
                          </w:rPr>
                        </w:pPr>
                        <w:r>
                          <w:rPr>
                            <w:sz w:val="16"/>
                          </w:rPr>
                          <w:t>Podría</w:t>
                        </w:r>
                        <w:r>
                          <w:rPr>
                            <w:spacing w:val="14"/>
                            <w:sz w:val="16"/>
                          </w:rPr>
                          <w:t xml:space="preserve"> </w:t>
                        </w:r>
                        <w:r>
                          <w:rPr>
                            <w:sz w:val="16"/>
                          </w:rPr>
                          <w:t>decirse</w:t>
                        </w:r>
                        <w:r>
                          <w:rPr>
                            <w:spacing w:val="15"/>
                            <w:sz w:val="16"/>
                          </w:rPr>
                          <w:t xml:space="preserve"> </w:t>
                        </w:r>
                        <w:r>
                          <w:rPr>
                            <w:sz w:val="16"/>
                          </w:rPr>
                          <w:t>que</w:t>
                        </w:r>
                        <w:r>
                          <w:rPr>
                            <w:spacing w:val="14"/>
                            <w:sz w:val="16"/>
                          </w:rPr>
                          <w:t xml:space="preserve"> </w:t>
                        </w:r>
                        <w:r>
                          <w:rPr>
                            <w:sz w:val="16"/>
                          </w:rPr>
                          <w:t>la</w:t>
                        </w:r>
                        <w:r>
                          <w:rPr>
                            <w:spacing w:val="14"/>
                            <w:sz w:val="16"/>
                          </w:rPr>
                          <w:t xml:space="preserve"> </w:t>
                        </w:r>
                        <w:r>
                          <w:rPr>
                            <w:sz w:val="16"/>
                          </w:rPr>
                          <w:t>objeción</w:t>
                        </w:r>
                        <w:r>
                          <w:rPr>
                            <w:spacing w:val="14"/>
                            <w:sz w:val="16"/>
                          </w:rPr>
                          <w:t xml:space="preserve"> </w:t>
                        </w:r>
                        <w:r>
                          <w:rPr>
                            <w:sz w:val="16"/>
                          </w:rPr>
                          <w:t>de</w:t>
                        </w:r>
                        <w:r>
                          <w:rPr>
                            <w:spacing w:val="14"/>
                            <w:sz w:val="16"/>
                          </w:rPr>
                          <w:t xml:space="preserve"> </w:t>
                        </w:r>
                        <w:r>
                          <w:rPr>
                            <w:sz w:val="16"/>
                          </w:rPr>
                          <w:t>conciencia</w:t>
                        </w:r>
                        <w:r>
                          <w:rPr>
                            <w:spacing w:val="15"/>
                            <w:sz w:val="16"/>
                          </w:rPr>
                          <w:t xml:space="preserve"> </w:t>
                        </w:r>
                        <w:r>
                          <w:rPr>
                            <w:sz w:val="16"/>
                          </w:rPr>
                          <w:t>al</w:t>
                        </w:r>
                        <w:r>
                          <w:rPr>
                            <w:spacing w:val="14"/>
                            <w:sz w:val="16"/>
                          </w:rPr>
                          <w:t xml:space="preserve"> </w:t>
                        </w:r>
                        <w:r>
                          <w:rPr>
                            <w:sz w:val="16"/>
                          </w:rPr>
                          <w:t>servicio</w:t>
                        </w:r>
                        <w:r>
                          <w:rPr>
                            <w:spacing w:val="15"/>
                            <w:sz w:val="16"/>
                          </w:rPr>
                          <w:t xml:space="preserve"> </w:t>
                        </w:r>
                        <w:r>
                          <w:rPr>
                            <w:sz w:val="16"/>
                          </w:rPr>
                          <w:t>militar</w:t>
                        </w:r>
                        <w:r>
                          <w:rPr>
                            <w:spacing w:val="14"/>
                            <w:sz w:val="16"/>
                          </w:rPr>
                          <w:t xml:space="preserve"> </w:t>
                        </w:r>
                        <w:r>
                          <w:rPr>
                            <w:sz w:val="16"/>
                          </w:rPr>
                          <w:t>–frecuentemente</w:t>
                        </w:r>
                        <w:r>
                          <w:rPr>
                            <w:spacing w:val="14"/>
                            <w:sz w:val="16"/>
                          </w:rPr>
                          <w:t xml:space="preserve"> </w:t>
                        </w:r>
                        <w:r>
                          <w:rPr>
                            <w:sz w:val="16"/>
                          </w:rPr>
                          <w:t>por</w:t>
                        </w:r>
                        <w:r>
                          <w:rPr>
                            <w:spacing w:val="14"/>
                            <w:sz w:val="16"/>
                          </w:rPr>
                          <w:t xml:space="preserve"> </w:t>
                        </w:r>
                        <w:r>
                          <w:rPr>
                            <w:sz w:val="16"/>
                          </w:rPr>
                          <w:t>motivos</w:t>
                        </w:r>
                        <w:r>
                          <w:rPr>
                            <w:spacing w:val="14"/>
                            <w:sz w:val="16"/>
                          </w:rPr>
                          <w:t xml:space="preserve"> </w:t>
                        </w:r>
                        <w:r>
                          <w:rPr>
                            <w:sz w:val="16"/>
                          </w:rPr>
                          <w:t>de</w:t>
                        </w:r>
                        <w:r>
                          <w:rPr>
                            <w:spacing w:val="14"/>
                            <w:sz w:val="16"/>
                          </w:rPr>
                          <w:t xml:space="preserve"> </w:t>
                        </w:r>
                        <w:r>
                          <w:rPr>
                            <w:sz w:val="16"/>
                          </w:rPr>
                          <w:t>religión</w:t>
                        </w:r>
                        <w:r>
                          <w:rPr>
                            <w:spacing w:val="14"/>
                            <w:sz w:val="16"/>
                          </w:rPr>
                          <w:t xml:space="preserve"> </w:t>
                        </w:r>
                        <w:r>
                          <w:rPr>
                            <w:sz w:val="16"/>
                          </w:rPr>
                          <w:t>o</w:t>
                        </w:r>
                        <w:r>
                          <w:rPr>
                            <w:spacing w:val="14"/>
                            <w:sz w:val="16"/>
                          </w:rPr>
                          <w:t xml:space="preserve"> </w:t>
                        </w:r>
                        <w:r>
                          <w:rPr>
                            <w:sz w:val="16"/>
                          </w:rPr>
                          <w:t>creencias–</w:t>
                        </w:r>
                        <w:r>
                          <w:rPr>
                            <w:spacing w:val="15"/>
                            <w:sz w:val="16"/>
                          </w:rPr>
                          <w:t xml:space="preserve"> </w:t>
                        </w:r>
                        <w:r>
                          <w:rPr>
                            <w:sz w:val="16"/>
                          </w:rPr>
                          <w:t>es</w:t>
                        </w:r>
                        <w:r>
                          <w:rPr>
                            <w:spacing w:val="14"/>
                            <w:sz w:val="16"/>
                          </w:rPr>
                          <w:t xml:space="preserve"> </w:t>
                        </w:r>
                        <w:r>
                          <w:rPr>
                            <w:sz w:val="16"/>
                          </w:rPr>
                          <w:t>una</w:t>
                        </w:r>
                        <w:r>
                          <w:rPr>
                            <w:spacing w:val="14"/>
                            <w:sz w:val="16"/>
                          </w:rPr>
                          <w:t xml:space="preserve"> </w:t>
                        </w:r>
                        <w:r>
                          <w:rPr>
                            <w:sz w:val="16"/>
                          </w:rPr>
                          <w:t>de las primeras formas de disidencia. Aunque la afirmación del Comité de Derechos Humanos del derecho a la objeción de</w:t>
                        </w:r>
                        <w:r>
                          <w:rPr>
                            <w:spacing w:val="80"/>
                            <w:sz w:val="16"/>
                          </w:rPr>
                          <w:t xml:space="preserve"> </w:t>
                        </w:r>
                        <w:r>
                          <w:rPr>
                            <w:sz w:val="16"/>
                          </w:rPr>
                          <w:t>conciencia al servicio militar como componente del artículo 18 del Pacto Internacional de Derechos Civiles y Políticos ha evolucionado con el tiempo,1032 el Comité ha afirmado inequívocamente que no debe haber discriminación contra los objetores</w:t>
                        </w:r>
                        <w:r>
                          <w:rPr>
                            <w:spacing w:val="80"/>
                            <w:sz w:val="16"/>
                          </w:rPr>
                          <w:t xml:space="preserve"> </w:t>
                        </w:r>
                        <w:r>
                          <w:rPr>
                            <w:sz w:val="16"/>
                          </w:rPr>
                          <w:t>de conciencia.</w:t>
                        </w:r>
                        <w:r>
                          <w:rPr>
                            <w:spacing w:val="20"/>
                            <w:sz w:val="16"/>
                          </w:rPr>
                          <w:t xml:space="preserve"> </w:t>
                        </w:r>
                        <w:r>
                          <w:rPr>
                            <w:sz w:val="16"/>
                          </w:rPr>
                          <w:t>.1033 Tanto los órganos creados en virtud de tratados como los órganos regionales de derechos humanos</w:t>
                        </w:r>
                      </w:p>
                    </w:txbxContent>
                  </v:textbox>
                </v:shape>
                <w10:wrap anchorx="page"/>
              </v:group>
            </w:pict>
          </mc:Fallback>
        </mc:AlternateContent>
      </w:r>
      <w:r>
        <w:rPr>
          <w:noProof/>
        </w:rPr>
        <mc:AlternateContent>
          <mc:Choice Requires="wps">
            <w:drawing>
              <wp:anchor distT="0" distB="0" distL="0" distR="0" simplePos="0" relativeHeight="251658317" behindDoc="0" locked="0" layoutInCell="1" allowOverlap="1" wp14:anchorId="282BE525" wp14:editId="37027C82">
                <wp:simplePos x="0" y="0"/>
                <wp:positionH relativeFrom="page">
                  <wp:posOffset>7293418</wp:posOffset>
                </wp:positionH>
                <wp:positionV relativeFrom="paragraph">
                  <wp:posOffset>760692</wp:posOffset>
                </wp:positionV>
                <wp:extent cx="104775" cy="260985"/>
                <wp:effectExtent l="0" t="0" r="0" b="0"/>
                <wp:wrapNone/>
                <wp:docPr id="306" name="Textbox 30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04775" cy="260985"/>
                        </a:xfrm>
                        <a:prstGeom prst="rect">
                          <a:avLst/>
                        </a:prstGeom>
                      </wps:spPr>
                      <wps:txbx>
                        <w:txbxContent>
                          <w:p w14:paraId="74F687F7" w14:textId="77777777" w:rsidR="0014798C" w:rsidRDefault="004E1F0B">
                            <w:pPr>
                              <w:spacing w:before="17"/>
                              <w:ind w:left="20"/>
                              <w:rPr>
                                <w:sz w:val="11"/>
                              </w:rPr>
                            </w:pPr>
                            <w:r>
                              <w:rPr>
                                <w:color w:val="FFFFFF"/>
                                <w:spacing w:val="-33"/>
                                <w:sz w:val="11"/>
                              </w:rPr>
                              <w:t>TPRAERSTE</w:t>
                            </w:r>
                          </w:p>
                        </w:txbxContent>
                      </wps:txbx>
                      <wps:bodyPr vert="vert270" wrap="square" lIns="0" tIns="0" rIns="0" bIns="0" rtlCol="0">
                        <a:noAutofit/>
                      </wps:bodyPr>
                    </wps:wsp>
                  </a:graphicData>
                </a:graphic>
              </wp:anchor>
            </w:drawing>
          </mc:Choice>
          <mc:Fallback>
            <w:pict>
              <v:shape w14:anchorId="282BE525" id="Textbox 306" o:spid="_x0000_s1150" type="#_x0000_t202" style="position:absolute;left:0;text-align:left;margin-left:574.3pt;margin-top:59.9pt;width:8.25pt;height:20.55pt;z-index:251658317;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" filled="f" stroked="f">
                <v:textbox style="layout-flow:vertical;mso-layout-flow-alt:bottom-to-top" inset="0,0,0,0">
                  <w:txbxContent>
                    <w:p w14:paraId="74F687F7" w14:textId="77777777" w:rsidR="0014798C" w:rsidRDefault="004E1F0B">
                      <w:pPr>
                        <w:spacing w:before="17"/>
                        <w:ind w:left="20"/>
                        <w:rPr>
                          <w:sz w:val="11"/>
                        </w:rPr>
                      </w:pPr>
                      <w:r>
                        <w:rPr>
                          <w:color w:val="FFFFFF"/>
                          <w:spacing w:val="-33"/>
                          <w:sz w:val="11"/>
                        </w:rPr>
                        <w:t>TPRAERSTE</w:t>
                      </w:r>
                    </w:p>
                  </w:txbxContent>
                </v:textbox>
                <w10:wrap anchorx="page"/>
              </v:shape>
            </w:pict>
          </mc:Fallback>
        </mc:AlternateContent>
      </w:r>
      <w:r>
        <w:t>Está</w:t>
      </w:r>
      <w:r>
        <w:rPr>
          <w:spacing w:val="6"/>
        </w:rPr>
        <w:t xml:space="preserve"> </w:t>
      </w:r>
      <w:r>
        <w:t>establecido</w:t>
      </w:r>
      <w:r>
        <w:rPr>
          <w:spacing w:val="6"/>
        </w:rPr>
        <w:t xml:space="preserve"> </w:t>
      </w:r>
      <w:r>
        <w:t>por</w:t>
      </w:r>
      <w:r>
        <w:rPr>
          <w:spacing w:val="6"/>
        </w:rPr>
        <w:t xml:space="preserve"> </w:t>
      </w:r>
      <w:r>
        <w:t>ley</w:t>
      </w:r>
      <w:r>
        <w:rPr>
          <w:spacing w:val="6"/>
        </w:rPr>
        <w:t xml:space="preserve"> </w:t>
      </w:r>
      <w:r>
        <w:t>que</w:t>
      </w:r>
      <w:r>
        <w:rPr>
          <w:spacing w:val="6"/>
        </w:rPr>
        <w:t xml:space="preserve"> </w:t>
      </w:r>
      <w:r>
        <w:t>no</w:t>
      </w:r>
      <w:r>
        <w:rPr>
          <w:spacing w:val="6"/>
        </w:rPr>
        <w:t xml:space="preserve"> </w:t>
      </w:r>
      <w:r>
        <w:t>hay</w:t>
      </w:r>
      <w:r>
        <w:rPr>
          <w:spacing w:val="6"/>
        </w:rPr>
        <w:t xml:space="preserve"> </w:t>
      </w:r>
      <w:r>
        <w:t>legitimidad</w:t>
      </w:r>
      <w:r>
        <w:rPr>
          <w:spacing w:val="6"/>
        </w:rPr>
        <w:t xml:space="preserve"> </w:t>
      </w:r>
      <w:r>
        <w:t>en</w:t>
      </w:r>
      <w:r>
        <w:rPr>
          <w:spacing w:val="6"/>
        </w:rPr>
        <w:t xml:space="preserve"> </w:t>
      </w:r>
      <w:r>
        <w:t>mantener</w:t>
      </w:r>
      <w:r>
        <w:rPr>
          <w:spacing w:val="6"/>
        </w:rPr>
        <w:t xml:space="preserve"> </w:t>
      </w:r>
      <w:r>
        <w:t>reglas,</w:t>
      </w:r>
      <w:r>
        <w:rPr>
          <w:spacing w:val="7"/>
        </w:rPr>
        <w:t xml:space="preserve"> </w:t>
      </w:r>
      <w:r>
        <w:t>políticas</w:t>
      </w:r>
      <w:r>
        <w:rPr>
          <w:spacing w:val="6"/>
        </w:rPr>
        <w:t xml:space="preserve"> </w:t>
      </w:r>
      <w:r>
        <w:t>o</w:t>
      </w:r>
      <w:r>
        <w:rPr>
          <w:spacing w:val="7"/>
        </w:rPr>
        <w:t xml:space="preserve"> </w:t>
      </w:r>
      <w:r>
        <w:t>prácticas</w:t>
      </w:r>
      <w:r>
        <w:rPr>
          <w:spacing w:val="6"/>
        </w:rPr>
        <w:t xml:space="preserve"> </w:t>
      </w:r>
      <w:r>
        <w:t>promulgadas</w:t>
      </w:r>
      <w:r>
        <w:rPr>
          <w:spacing w:val="6"/>
        </w:rPr>
        <w:t xml:space="preserve"> </w:t>
      </w:r>
      <w:r>
        <w:t>con</w:t>
      </w:r>
      <w:r>
        <w:rPr>
          <w:spacing w:val="6"/>
        </w:rPr>
        <w:t xml:space="preserve"> </w:t>
      </w:r>
      <w:r>
        <w:t>referencia</w:t>
      </w:r>
      <w:r>
        <w:rPr>
          <w:spacing w:val="6"/>
        </w:rPr>
        <w:t xml:space="preserve"> </w:t>
      </w:r>
      <w:r>
        <w:t>a</w:t>
      </w:r>
      <w:r>
        <w:rPr>
          <w:spacing w:val="6"/>
        </w:rPr>
        <w:t xml:space="preserve"> </w:t>
      </w:r>
      <w:r>
        <w:rPr>
          <w:spacing w:val="-2"/>
        </w:rPr>
        <w:t>doctrinas</w:t>
      </w:r>
    </w:p>
    <w:p w14:paraId="732A044B" w14:textId="77777777" w:rsidR="0014798C" w:rsidRDefault="0014798C">
      <w:pPr>
        <w:pStyle w:val="Textoindependiente"/>
        <w:rPr>
          <w:sz w:val="10"/>
        </w:rPr>
      </w:pPr>
    </w:p>
    <w:p w14:paraId="2DF3A2EA" w14:textId="77777777" w:rsidR="0014798C" w:rsidRDefault="0014798C">
      <w:pPr>
        <w:pStyle w:val="Textoindependiente"/>
        <w:rPr>
          <w:sz w:val="10"/>
        </w:rPr>
      </w:pPr>
    </w:p>
    <w:p w14:paraId="76BDB39C" w14:textId="77777777" w:rsidR="0014798C" w:rsidRDefault="0014798C">
      <w:pPr>
        <w:pStyle w:val="Textoindependiente"/>
        <w:rPr>
          <w:sz w:val="10"/>
        </w:rPr>
      </w:pPr>
    </w:p>
    <w:p w14:paraId="66A0683F" w14:textId="77777777" w:rsidR="0014798C" w:rsidRDefault="0014798C">
      <w:pPr>
        <w:pStyle w:val="Textoindependiente"/>
        <w:rPr>
          <w:sz w:val="10"/>
        </w:rPr>
      </w:pPr>
    </w:p>
    <w:p w14:paraId="32CC2D67" w14:textId="77777777" w:rsidR="0014798C" w:rsidRDefault="0014798C">
      <w:pPr>
        <w:pStyle w:val="Textoindependiente"/>
        <w:rPr>
          <w:sz w:val="10"/>
        </w:rPr>
      </w:pPr>
    </w:p>
    <w:p w14:paraId="5DF68D33" w14:textId="77777777" w:rsidR="0014798C" w:rsidRDefault="0014798C">
      <w:pPr>
        <w:pStyle w:val="Textoindependiente"/>
        <w:rPr>
          <w:sz w:val="10"/>
        </w:rPr>
      </w:pPr>
    </w:p>
    <w:p w14:paraId="5693D3FD" w14:textId="77777777" w:rsidR="0014798C" w:rsidRDefault="0014798C">
      <w:pPr>
        <w:pStyle w:val="Textoindependiente"/>
        <w:rPr>
          <w:sz w:val="10"/>
        </w:rPr>
      </w:pPr>
    </w:p>
    <w:p w14:paraId="0038716C" w14:textId="77777777" w:rsidR="0014798C" w:rsidRDefault="0014798C">
      <w:pPr>
        <w:pStyle w:val="Textoindependiente"/>
        <w:rPr>
          <w:sz w:val="10"/>
        </w:rPr>
      </w:pPr>
    </w:p>
    <w:p w14:paraId="1063EDEA" w14:textId="77777777" w:rsidR="0014798C" w:rsidRDefault="0014798C">
      <w:pPr>
        <w:pStyle w:val="Textoindependiente"/>
        <w:rPr>
          <w:sz w:val="10"/>
        </w:rPr>
      </w:pPr>
    </w:p>
    <w:p w14:paraId="64AAEDE4" w14:textId="77777777" w:rsidR="0014798C" w:rsidRDefault="0014798C">
      <w:pPr>
        <w:pStyle w:val="Textoindependiente"/>
        <w:rPr>
          <w:sz w:val="10"/>
        </w:rPr>
      </w:pPr>
    </w:p>
    <w:p w14:paraId="0C7541C4" w14:textId="77777777" w:rsidR="0014798C" w:rsidRDefault="0014798C">
      <w:pPr>
        <w:pStyle w:val="Textoindependiente"/>
        <w:rPr>
          <w:sz w:val="10"/>
        </w:rPr>
      </w:pPr>
    </w:p>
    <w:p w14:paraId="0968C483" w14:textId="77777777" w:rsidR="0014798C" w:rsidRDefault="0014798C">
      <w:pPr>
        <w:pStyle w:val="Textoindependiente"/>
        <w:rPr>
          <w:sz w:val="10"/>
        </w:rPr>
      </w:pPr>
    </w:p>
    <w:p w14:paraId="134793EF" w14:textId="77777777" w:rsidR="0014798C" w:rsidRDefault="0014798C">
      <w:pPr>
        <w:pStyle w:val="Textoindependiente"/>
        <w:rPr>
          <w:sz w:val="10"/>
        </w:rPr>
      </w:pPr>
    </w:p>
    <w:p w14:paraId="3C02F019" w14:textId="77777777" w:rsidR="0014798C" w:rsidRDefault="0014798C">
      <w:pPr>
        <w:pStyle w:val="Textoindependiente"/>
        <w:rPr>
          <w:sz w:val="10"/>
        </w:rPr>
      </w:pPr>
    </w:p>
    <w:p w14:paraId="57C1B25E" w14:textId="77777777" w:rsidR="0014798C" w:rsidRDefault="0014798C">
      <w:pPr>
        <w:pStyle w:val="Textoindependiente"/>
        <w:rPr>
          <w:sz w:val="10"/>
        </w:rPr>
      </w:pPr>
    </w:p>
    <w:p w14:paraId="3CE49E55" w14:textId="77777777" w:rsidR="0014798C" w:rsidRDefault="0014798C">
      <w:pPr>
        <w:pStyle w:val="Textoindependiente"/>
        <w:rPr>
          <w:sz w:val="10"/>
        </w:rPr>
      </w:pPr>
    </w:p>
    <w:p w14:paraId="299B0915" w14:textId="77777777" w:rsidR="0014798C" w:rsidRDefault="0014798C">
      <w:pPr>
        <w:pStyle w:val="Textoindependiente"/>
        <w:rPr>
          <w:sz w:val="10"/>
        </w:rPr>
      </w:pPr>
    </w:p>
    <w:p w14:paraId="3BB83B2D" w14:textId="77777777" w:rsidR="0014798C" w:rsidRDefault="0014798C">
      <w:pPr>
        <w:pStyle w:val="Textoindependiente"/>
        <w:rPr>
          <w:sz w:val="10"/>
        </w:rPr>
      </w:pPr>
    </w:p>
    <w:p w14:paraId="25C3114E" w14:textId="77777777" w:rsidR="0014798C" w:rsidRDefault="0014798C">
      <w:pPr>
        <w:pStyle w:val="Textoindependiente"/>
        <w:rPr>
          <w:sz w:val="10"/>
        </w:rPr>
      </w:pPr>
    </w:p>
    <w:p w14:paraId="477B9CA6" w14:textId="77777777" w:rsidR="0014798C" w:rsidRDefault="0014798C">
      <w:pPr>
        <w:pStyle w:val="Textoindependiente"/>
        <w:rPr>
          <w:sz w:val="10"/>
        </w:rPr>
      </w:pPr>
    </w:p>
    <w:p w14:paraId="6C3578CC" w14:textId="77777777" w:rsidR="0014798C" w:rsidRDefault="0014798C">
      <w:pPr>
        <w:pStyle w:val="Textoindependiente"/>
        <w:rPr>
          <w:sz w:val="10"/>
        </w:rPr>
      </w:pPr>
    </w:p>
    <w:p w14:paraId="5A682AE9" w14:textId="77777777" w:rsidR="0014798C" w:rsidRDefault="0014798C">
      <w:pPr>
        <w:pStyle w:val="Textoindependiente"/>
        <w:rPr>
          <w:sz w:val="10"/>
        </w:rPr>
      </w:pPr>
    </w:p>
    <w:p w14:paraId="69430FC6" w14:textId="77777777" w:rsidR="0014798C" w:rsidRDefault="0014798C">
      <w:pPr>
        <w:pStyle w:val="Textoindependiente"/>
        <w:rPr>
          <w:sz w:val="10"/>
        </w:rPr>
      </w:pPr>
    </w:p>
    <w:p w14:paraId="4CC104AF" w14:textId="77777777" w:rsidR="0014798C" w:rsidRDefault="0014798C">
      <w:pPr>
        <w:pStyle w:val="Textoindependiente"/>
        <w:rPr>
          <w:sz w:val="10"/>
        </w:rPr>
      </w:pPr>
    </w:p>
    <w:p w14:paraId="23DD7AAD" w14:textId="77777777" w:rsidR="0014798C" w:rsidRDefault="0014798C">
      <w:pPr>
        <w:pStyle w:val="Textoindependiente"/>
        <w:rPr>
          <w:sz w:val="10"/>
        </w:rPr>
      </w:pPr>
    </w:p>
    <w:p w14:paraId="02B8152B" w14:textId="77777777" w:rsidR="0014798C" w:rsidRDefault="0014798C">
      <w:pPr>
        <w:pStyle w:val="Textoindependiente"/>
        <w:rPr>
          <w:sz w:val="10"/>
        </w:rPr>
      </w:pPr>
    </w:p>
    <w:p w14:paraId="6B10CFAF" w14:textId="77777777" w:rsidR="0014798C" w:rsidRDefault="0014798C">
      <w:pPr>
        <w:pStyle w:val="Textoindependiente"/>
        <w:rPr>
          <w:sz w:val="10"/>
        </w:rPr>
      </w:pPr>
    </w:p>
    <w:p w14:paraId="7EFC6E33" w14:textId="77777777" w:rsidR="0014798C" w:rsidRDefault="0014798C">
      <w:pPr>
        <w:pStyle w:val="Textoindependiente"/>
        <w:rPr>
          <w:sz w:val="10"/>
        </w:rPr>
      </w:pPr>
    </w:p>
    <w:p w14:paraId="351C9496" w14:textId="77777777" w:rsidR="0014798C" w:rsidRDefault="0014798C">
      <w:pPr>
        <w:pStyle w:val="Textoindependiente"/>
        <w:rPr>
          <w:sz w:val="10"/>
        </w:rPr>
      </w:pPr>
    </w:p>
    <w:p w14:paraId="247D1449" w14:textId="77777777" w:rsidR="0014798C" w:rsidRDefault="0014798C">
      <w:pPr>
        <w:pStyle w:val="Textoindependiente"/>
        <w:rPr>
          <w:sz w:val="10"/>
        </w:rPr>
      </w:pPr>
    </w:p>
    <w:p w14:paraId="6D800D88" w14:textId="77777777" w:rsidR="0014798C" w:rsidRDefault="0014798C">
      <w:pPr>
        <w:pStyle w:val="Textoindependiente"/>
        <w:rPr>
          <w:sz w:val="10"/>
        </w:rPr>
      </w:pPr>
    </w:p>
    <w:p w14:paraId="64941284" w14:textId="77777777" w:rsidR="0014798C" w:rsidRDefault="0014798C">
      <w:pPr>
        <w:pStyle w:val="Textoindependiente"/>
        <w:rPr>
          <w:sz w:val="10"/>
        </w:rPr>
      </w:pPr>
    </w:p>
    <w:p w14:paraId="1F973263" w14:textId="77777777" w:rsidR="0014798C" w:rsidRDefault="0014798C">
      <w:pPr>
        <w:pStyle w:val="Textoindependiente"/>
        <w:rPr>
          <w:sz w:val="10"/>
        </w:rPr>
      </w:pPr>
    </w:p>
    <w:p w14:paraId="0674D10B" w14:textId="77777777" w:rsidR="0014798C" w:rsidRDefault="0014798C">
      <w:pPr>
        <w:pStyle w:val="Textoindependiente"/>
        <w:rPr>
          <w:sz w:val="10"/>
        </w:rPr>
      </w:pPr>
    </w:p>
    <w:p w14:paraId="4A8434A3" w14:textId="77777777" w:rsidR="0014798C" w:rsidRDefault="0014798C">
      <w:pPr>
        <w:pStyle w:val="Textoindependiente"/>
        <w:rPr>
          <w:sz w:val="10"/>
        </w:rPr>
      </w:pPr>
    </w:p>
    <w:p w14:paraId="4CE44068" w14:textId="77777777" w:rsidR="0014798C" w:rsidRDefault="0014798C">
      <w:pPr>
        <w:pStyle w:val="Textoindependiente"/>
        <w:rPr>
          <w:sz w:val="10"/>
        </w:rPr>
      </w:pPr>
    </w:p>
    <w:p w14:paraId="6B87C4E6" w14:textId="77777777" w:rsidR="0014798C" w:rsidRDefault="0014798C">
      <w:pPr>
        <w:pStyle w:val="Textoindependiente"/>
        <w:rPr>
          <w:sz w:val="10"/>
        </w:rPr>
      </w:pPr>
    </w:p>
    <w:p w14:paraId="529993B4" w14:textId="77777777" w:rsidR="0014798C" w:rsidRDefault="0014798C">
      <w:pPr>
        <w:pStyle w:val="Textoindependiente"/>
        <w:rPr>
          <w:sz w:val="10"/>
        </w:rPr>
      </w:pPr>
    </w:p>
    <w:p w14:paraId="68C44CCF" w14:textId="77777777" w:rsidR="0014798C" w:rsidRDefault="0014798C">
      <w:pPr>
        <w:pStyle w:val="Textoindependiente"/>
        <w:rPr>
          <w:sz w:val="10"/>
        </w:rPr>
      </w:pPr>
    </w:p>
    <w:p w14:paraId="4DC39B08" w14:textId="77777777" w:rsidR="0014798C" w:rsidRDefault="0014798C">
      <w:pPr>
        <w:pStyle w:val="Textoindependiente"/>
        <w:rPr>
          <w:sz w:val="10"/>
        </w:rPr>
      </w:pPr>
    </w:p>
    <w:p w14:paraId="641F6915" w14:textId="77777777" w:rsidR="0014798C" w:rsidRDefault="0014798C">
      <w:pPr>
        <w:pStyle w:val="Textoindependiente"/>
        <w:rPr>
          <w:sz w:val="10"/>
        </w:rPr>
      </w:pPr>
    </w:p>
    <w:p w14:paraId="240F290A" w14:textId="77777777" w:rsidR="0014798C" w:rsidRDefault="0014798C">
      <w:pPr>
        <w:pStyle w:val="Textoindependiente"/>
        <w:rPr>
          <w:sz w:val="10"/>
        </w:rPr>
      </w:pPr>
    </w:p>
    <w:p w14:paraId="74A63960" w14:textId="77777777" w:rsidR="0014798C" w:rsidRDefault="0014798C">
      <w:pPr>
        <w:pStyle w:val="Textoindependiente"/>
        <w:rPr>
          <w:sz w:val="10"/>
        </w:rPr>
      </w:pPr>
    </w:p>
    <w:p w14:paraId="27F4026D" w14:textId="77777777" w:rsidR="0014798C" w:rsidRDefault="0014798C">
      <w:pPr>
        <w:pStyle w:val="Textoindependiente"/>
        <w:rPr>
          <w:sz w:val="10"/>
        </w:rPr>
      </w:pPr>
    </w:p>
    <w:p w14:paraId="570DCE76" w14:textId="77777777" w:rsidR="0014798C" w:rsidRDefault="0014798C">
      <w:pPr>
        <w:pStyle w:val="Textoindependiente"/>
        <w:rPr>
          <w:sz w:val="10"/>
        </w:rPr>
      </w:pPr>
    </w:p>
    <w:p w14:paraId="47B66DEB" w14:textId="77777777" w:rsidR="0014798C" w:rsidRDefault="0014798C">
      <w:pPr>
        <w:pStyle w:val="Textoindependiente"/>
        <w:rPr>
          <w:sz w:val="10"/>
        </w:rPr>
      </w:pPr>
    </w:p>
    <w:p w14:paraId="3CA39D2C" w14:textId="77777777" w:rsidR="0014798C" w:rsidRDefault="0014798C">
      <w:pPr>
        <w:pStyle w:val="Textoindependiente"/>
        <w:rPr>
          <w:sz w:val="10"/>
        </w:rPr>
      </w:pPr>
    </w:p>
    <w:p w14:paraId="6BD181CA" w14:textId="77777777" w:rsidR="0014798C" w:rsidRDefault="0014798C">
      <w:pPr>
        <w:pStyle w:val="Textoindependiente"/>
        <w:spacing w:before="75"/>
        <w:rPr>
          <w:sz w:val="10"/>
        </w:rPr>
      </w:pPr>
    </w:p>
    <w:p w14:paraId="5F6D164C" w14:textId="77777777" w:rsidR="0014798C" w:rsidRDefault="004E1F0B">
      <w:pPr>
        <w:spacing w:line="374" w:lineRule="auto"/>
        <w:ind w:left="1366" w:right="1626" w:hanging="255"/>
        <w:rPr>
          <w:sz w:val="10"/>
        </w:rPr>
      </w:pPr>
      <w:r>
        <w:rPr>
          <w:sz w:val="10"/>
        </w:rPr>
        <w:t xml:space="preserve">1027 </w:t>
      </w:r>
      <w:proofErr w:type="spellStart"/>
      <w:r>
        <w:rPr>
          <w:sz w:val="10"/>
        </w:rPr>
        <w:t>Ibíd</w:t>
      </w:r>
      <w:proofErr w:type="spellEnd"/>
      <w:r>
        <w:rPr>
          <w:sz w:val="10"/>
        </w:rPr>
        <w:t xml:space="preserve">., </w:t>
      </w:r>
      <w:proofErr w:type="spellStart"/>
      <w:r>
        <w:rPr>
          <w:sz w:val="10"/>
        </w:rPr>
        <w:t>párrs</w:t>
      </w:r>
      <w:proofErr w:type="spellEnd"/>
      <w:r>
        <w:rPr>
          <w:sz w:val="10"/>
        </w:rPr>
        <w:t>. 135–136. En el presente caso, el Tribunal se negó a pronunciarse sobre la cuestión de la discriminación prevista en el artículo 14, sosteniendo que no se planteaban cuestiones</w:t>
      </w:r>
      <w:r>
        <w:rPr>
          <w:spacing w:val="40"/>
          <w:sz w:val="10"/>
        </w:rPr>
        <w:t xml:space="preserve"> </w:t>
      </w:r>
      <w:r>
        <w:rPr>
          <w:sz w:val="10"/>
        </w:rPr>
        <w:t>separadas en relación con la prohibición de la discriminación y los derechos a la libertad de pensamiento, conciencia y religión (art. 9) y a la reunión pública pacífica. (art. 11), donde el Tribunal</w:t>
      </w:r>
      <w:r>
        <w:rPr>
          <w:spacing w:val="40"/>
          <w:sz w:val="10"/>
        </w:rPr>
        <w:t xml:space="preserve"> </w:t>
      </w:r>
      <w:r>
        <w:rPr>
          <w:sz w:val="10"/>
        </w:rPr>
        <w:t>identificó</w:t>
      </w:r>
      <w:r>
        <w:rPr>
          <w:spacing w:val="-7"/>
          <w:sz w:val="10"/>
        </w:rPr>
        <w:t xml:space="preserve"> </w:t>
      </w:r>
      <w:r>
        <w:rPr>
          <w:sz w:val="10"/>
        </w:rPr>
        <w:t>violaciones.</w:t>
      </w:r>
    </w:p>
    <w:p w14:paraId="76FD3B72" w14:textId="77777777" w:rsidR="0014798C" w:rsidRDefault="004E1F0B">
      <w:pPr>
        <w:spacing w:before="58" w:line="374" w:lineRule="auto"/>
        <w:ind w:left="1366" w:right="1840" w:hanging="255"/>
        <w:rPr>
          <w:sz w:val="10"/>
        </w:rPr>
      </w:pPr>
      <w:r>
        <w:rPr>
          <w:sz w:val="10"/>
        </w:rPr>
        <w:t>1028 El Comité de Derechos Humanos ha señalado que “el concepto de moral deriva de muchas tradiciones sociales, filosóficas y religiosas; en consecuencia, las limitaciones… a los efectos de</w:t>
      </w:r>
      <w:r>
        <w:rPr>
          <w:spacing w:val="40"/>
          <w:sz w:val="10"/>
        </w:rPr>
        <w:t xml:space="preserve"> </w:t>
      </w:r>
      <w:r>
        <w:rPr>
          <w:sz w:val="10"/>
        </w:rPr>
        <w:t>proteger</w:t>
      </w:r>
      <w:r>
        <w:rPr>
          <w:spacing w:val="4"/>
          <w:sz w:val="10"/>
        </w:rPr>
        <w:t xml:space="preserve"> </w:t>
      </w:r>
      <w:r>
        <w:rPr>
          <w:sz w:val="10"/>
        </w:rPr>
        <w:t>la</w:t>
      </w:r>
      <w:r>
        <w:rPr>
          <w:spacing w:val="4"/>
          <w:sz w:val="10"/>
        </w:rPr>
        <w:t xml:space="preserve"> </w:t>
      </w:r>
      <w:r>
        <w:rPr>
          <w:sz w:val="10"/>
        </w:rPr>
        <w:t>moral</w:t>
      </w:r>
      <w:r>
        <w:rPr>
          <w:spacing w:val="4"/>
          <w:sz w:val="10"/>
        </w:rPr>
        <w:t xml:space="preserve"> </w:t>
      </w:r>
      <w:r>
        <w:rPr>
          <w:sz w:val="10"/>
        </w:rPr>
        <w:t>deben</w:t>
      </w:r>
      <w:r>
        <w:rPr>
          <w:spacing w:val="4"/>
          <w:sz w:val="10"/>
        </w:rPr>
        <w:t xml:space="preserve"> </w:t>
      </w:r>
      <w:r>
        <w:rPr>
          <w:sz w:val="10"/>
        </w:rPr>
        <w:t>basarse</w:t>
      </w:r>
      <w:r>
        <w:rPr>
          <w:spacing w:val="4"/>
          <w:sz w:val="10"/>
        </w:rPr>
        <w:t xml:space="preserve"> </w:t>
      </w:r>
      <w:r>
        <w:rPr>
          <w:sz w:val="10"/>
        </w:rPr>
        <w:t>en</w:t>
      </w:r>
      <w:r>
        <w:rPr>
          <w:spacing w:val="4"/>
          <w:sz w:val="10"/>
        </w:rPr>
        <w:t xml:space="preserve"> </w:t>
      </w:r>
      <w:r>
        <w:rPr>
          <w:sz w:val="10"/>
        </w:rPr>
        <w:t>principios</w:t>
      </w:r>
      <w:r>
        <w:rPr>
          <w:spacing w:val="4"/>
          <w:sz w:val="10"/>
        </w:rPr>
        <w:t xml:space="preserve"> </w:t>
      </w:r>
      <w:r>
        <w:rPr>
          <w:sz w:val="10"/>
        </w:rPr>
        <w:t>que</w:t>
      </w:r>
      <w:r>
        <w:rPr>
          <w:spacing w:val="4"/>
          <w:sz w:val="10"/>
        </w:rPr>
        <w:t xml:space="preserve"> </w:t>
      </w:r>
      <w:r>
        <w:rPr>
          <w:sz w:val="10"/>
        </w:rPr>
        <w:t>no</w:t>
      </w:r>
      <w:r>
        <w:rPr>
          <w:spacing w:val="4"/>
          <w:sz w:val="10"/>
        </w:rPr>
        <w:t xml:space="preserve"> </w:t>
      </w:r>
      <w:r>
        <w:rPr>
          <w:sz w:val="10"/>
        </w:rPr>
        <w:t>deriven</w:t>
      </w:r>
      <w:r>
        <w:rPr>
          <w:spacing w:val="4"/>
          <w:sz w:val="10"/>
        </w:rPr>
        <w:t xml:space="preserve"> </w:t>
      </w:r>
      <w:r>
        <w:rPr>
          <w:sz w:val="10"/>
        </w:rPr>
        <w:t>exclusivamente</w:t>
      </w:r>
      <w:r>
        <w:rPr>
          <w:spacing w:val="4"/>
          <w:sz w:val="10"/>
        </w:rPr>
        <w:t xml:space="preserve"> </w:t>
      </w:r>
      <w:r>
        <w:rPr>
          <w:sz w:val="10"/>
        </w:rPr>
        <w:t>de</w:t>
      </w:r>
      <w:r>
        <w:rPr>
          <w:spacing w:val="4"/>
          <w:sz w:val="10"/>
        </w:rPr>
        <w:t xml:space="preserve"> </w:t>
      </w:r>
      <w:r>
        <w:rPr>
          <w:sz w:val="10"/>
        </w:rPr>
        <w:t>una</w:t>
      </w:r>
      <w:r>
        <w:rPr>
          <w:spacing w:val="4"/>
          <w:sz w:val="10"/>
        </w:rPr>
        <w:t xml:space="preserve"> </w:t>
      </w:r>
      <w:r>
        <w:rPr>
          <w:sz w:val="10"/>
        </w:rPr>
        <w:t>sola</w:t>
      </w:r>
      <w:r>
        <w:rPr>
          <w:spacing w:val="4"/>
          <w:sz w:val="10"/>
        </w:rPr>
        <w:t xml:space="preserve"> </w:t>
      </w:r>
      <w:r>
        <w:rPr>
          <w:sz w:val="10"/>
        </w:rPr>
        <w:t>tradición”.</w:t>
      </w:r>
      <w:r>
        <w:rPr>
          <w:spacing w:val="6"/>
          <w:sz w:val="10"/>
        </w:rPr>
        <w:t xml:space="preserve"> </w:t>
      </w:r>
      <w:r>
        <w:rPr>
          <w:sz w:val="10"/>
        </w:rPr>
        <w:t>En</w:t>
      </w:r>
      <w:r>
        <w:rPr>
          <w:spacing w:val="4"/>
          <w:sz w:val="10"/>
        </w:rPr>
        <w:t xml:space="preserve"> </w:t>
      </w:r>
      <w:r>
        <w:rPr>
          <w:sz w:val="10"/>
        </w:rPr>
        <w:t>consecuencia,</w:t>
      </w:r>
      <w:r>
        <w:rPr>
          <w:spacing w:val="6"/>
          <w:sz w:val="10"/>
        </w:rPr>
        <w:t xml:space="preserve"> </w:t>
      </w:r>
      <w:r>
        <w:rPr>
          <w:sz w:val="10"/>
        </w:rPr>
        <w:t>“tales</w:t>
      </w:r>
      <w:r>
        <w:rPr>
          <w:spacing w:val="4"/>
          <w:sz w:val="10"/>
        </w:rPr>
        <w:t xml:space="preserve"> </w:t>
      </w:r>
      <w:r>
        <w:rPr>
          <w:sz w:val="10"/>
        </w:rPr>
        <w:t>limitaciones</w:t>
      </w:r>
      <w:r>
        <w:rPr>
          <w:spacing w:val="4"/>
          <w:sz w:val="10"/>
        </w:rPr>
        <w:t xml:space="preserve"> </w:t>
      </w:r>
      <w:r>
        <w:rPr>
          <w:sz w:val="10"/>
        </w:rPr>
        <w:t>deben</w:t>
      </w:r>
      <w:r>
        <w:rPr>
          <w:spacing w:val="4"/>
          <w:sz w:val="10"/>
        </w:rPr>
        <w:t xml:space="preserve"> </w:t>
      </w:r>
      <w:r>
        <w:rPr>
          <w:sz w:val="10"/>
        </w:rPr>
        <w:t>entenderse</w:t>
      </w:r>
      <w:r>
        <w:rPr>
          <w:spacing w:val="4"/>
          <w:sz w:val="10"/>
        </w:rPr>
        <w:t xml:space="preserve"> </w:t>
      </w:r>
      <w:r>
        <w:rPr>
          <w:sz w:val="10"/>
        </w:rPr>
        <w:t>a</w:t>
      </w:r>
      <w:r>
        <w:rPr>
          <w:spacing w:val="4"/>
          <w:sz w:val="10"/>
        </w:rPr>
        <w:t xml:space="preserve"> </w:t>
      </w:r>
      <w:r>
        <w:rPr>
          <w:sz w:val="10"/>
        </w:rPr>
        <w:t>la</w:t>
      </w:r>
      <w:r>
        <w:rPr>
          <w:spacing w:val="4"/>
          <w:sz w:val="10"/>
        </w:rPr>
        <w:t xml:space="preserve"> </w:t>
      </w:r>
      <w:r>
        <w:rPr>
          <w:sz w:val="10"/>
        </w:rPr>
        <w:t>luz</w:t>
      </w:r>
      <w:r>
        <w:rPr>
          <w:spacing w:val="4"/>
          <w:sz w:val="10"/>
        </w:rPr>
        <w:t xml:space="preserve"> </w:t>
      </w:r>
      <w:r>
        <w:rPr>
          <w:sz w:val="10"/>
        </w:rPr>
        <w:t>de</w:t>
      </w:r>
      <w:r>
        <w:rPr>
          <w:spacing w:val="4"/>
          <w:sz w:val="10"/>
        </w:rPr>
        <w:t xml:space="preserve"> </w:t>
      </w:r>
      <w:r>
        <w:rPr>
          <w:sz w:val="10"/>
        </w:rPr>
        <w:t>la</w:t>
      </w:r>
      <w:r>
        <w:rPr>
          <w:spacing w:val="4"/>
          <w:sz w:val="10"/>
        </w:rPr>
        <w:t xml:space="preserve"> </w:t>
      </w:r>
      <w:r>
        <w:rPr>
          <w:sz w:val="10"/>
        </w:rPr>
        <w:t>universalidad</w:t>
      </w:r>
      <w:r>
        <w:rPr>
          <w:spacing w:val="4"/>
          <w:sz w:val="10"/>
        </w:rPr>
        <w:t xml:space="preserve"> </w:t>
      </w:r>
      <w:r>
        <w:rPr>
          <w:sz w:val="10"/>
        </w:rPr>
        <w:t>de</w:t>
      </w:r>
      <w:r>
        <w:rPr>
          <w:spacing w:val="40"/>
          <w:sz w:val="10"/>
        </w:rPr>
        <w:t xml:space="preserve"> </w:t>
      </w:r>
      <w:r>
        <w:rPr>
          <w:sz w:val="10"/>
        </w:rPr>
        <w:t xml:space="preserve">los derechos humanos y el principio de no discriminación”. Véase Comité de Derechos Humanos, observación general núm. 22 (1993), párr. </w:t>
      </w:r>
      <w:r>
        <w:rPr>
          <w:w w:val="95"/>
          <w:sz w:val="10"/>
        </w:rPr>
        <w:t xml:space="preserve">8; </w:t>
      </w:r>
      <w:r>
        <w:rPr>
          <w:sz w:val="10"/>
        </w:rPr>
        <w:t>y observación general núm. 34 (2011),</w:t>
      </w:r>
    </w:p>
    <w:p w14:paraId="6BDE7C72" w14:textId="77777777" w:rsidR="0014798C" w:rsidRDefault="004E1F0B">
      <w:pPr>
        <w:spacing w:before="2"/>
        <w:ind w:left="1369"/>
        <w:rPr>
          <w:sz w:val="10"/>
        </w:rPr>
      </w:pPr>
      <w:r>
        <w:rPr>
          <w:sz w:val="10"/>
        </w:rPr>
        <w:t xml:space="preserve">párr. </w:t>
      </w:r>
      <w:r>
        <w:rPr>
          <w:spacing w:val="-5"/>
          <w:sz w:val="10"/>
        </w:rPr>
        <w:t>32.</w:t>
      </w:r>
    </w:p>
    <w:p w14:paraId="51592151" w14:textId="77777777" w:rsidR="0014798C" w:rsidRDefault="004E1F0B">
      <w:pPr>
        <w:spacing w:before="61"/>
        <w:ind w:left="1111"/>
        <w:rPr>
          <w:sz w:val="13"/>
        </w:rPr>
      </w:pPr>
      <w:r>
        <w:rPr>
          <w:sz w:val="13"/>
          <w:vertAlign w:val="superscript"/>
        </w:rPr>
        <w:t>1029</w:t>
      </w:r>
      <w:r>
        <w:rPr>
          <w:spacing w:val="23"/>
          <w:sz w:val="13"/>
        </w:rPr>
        <w:t xml:space="preserve"> </w:t>
      </w:r>
      <w:r>
        <w:rPr>
          <w:sz w:val="13"/>
        </w:rPr>
        <w:t>A/65/207,</w:t>
      </w:r>
      <w:r>
        <w:rPr>
          <w:spacing w:val="-3"/>
          <w:sz w:val="13"/>
        </w:rPr>
        <w:t xml:space="preserve"> </w:t>
      </w:r>
      <w:r>
        <w:rPr>
          <w:sz w:val="13"/>
        </w:rPr>
        <w:t>párr.</w:t>
      </w:r>
      <w:r>
        <w:rPr>
          <w:spacing w:val="-2"/>
          <w:sz w:val="13"/>
        </w:rPr>
        <w:t xml:space="preserve"> </w:t>
      </w:r>
      <w:r>
        <w:rPr>
          <w:sz w:val="13"/>
        </w:rPr>
        <w:t>69.</w:t>
      </w:r>
      <w:r>
        <w:rPr>
          <w:spacing w:val="-2"/>
          <w:sz w:val="13"/>
        </w:rPr>
        <w:t xml:space="preserve"> </w:t>
      </w:r>
      <w:r>
        <w:rPr>
          <w:sz w:val="13"/>
        </w:rPr>
        <w:t>Véanse</w:t>
      </w:r>
      <w:r>
        <w:rPr>
          <w:spacing w:val="-2"/>
          <w:sz w:val="13"/>
        </w:rPr>
        <w:t xml:space="preserve"> </w:t>
      </w:r>
      <w:r>
        <w:rPr>
          <w:sz w:val="13"/>
        </w:rPr>
        <w:t>también</w:t>
      </w:r>
      <w:r>
        <w:rPr>
          <w:spacing w:val="-3"/>
          <w:sz w:val="13"/>
        </w:rPr>
        <w:t xml:space="preserve"> </w:t>
      </w:r>
      <w:r>
        <w:rPr>
          <w:sz w:val="13"/>
        </w:rPr>
        <w:t>A/68/268;</w:t>
      </w:r>
      <w:r>
        <w:rPr>
          <w:spacing w:val="-2"/>
          <w:sz w:val="13"/>
        </w:rPr>
        <w:t xml:space="preserve"> </w:t>
      </w:r>
      <w:r>
        <w:rPr>
          <w:sz w:val="13"/>
        </w:rPr>
        <w:t>y</w:t>
      </w:r>
      <w:r>
        <w:rPr>
          <w:spacing w:val="-2"/>
          <w:sz w:val="13"/>
        </w:rPr>
        <w:t xml:space="preserve"> A/HRC/22/51.</w:t>
      </w:r>
    </w:p>
    <w:p w14:paraId="635FFCA9" w14:textId="77777777" w:rsidR="0014798C" w:rsidRDefault="004E1F0B">
      <w:pPr>
        <w:spacing w:before="87"/>
        <w:ind w:left="1111"/>
        <w:rPr>
          <w:sz w:val="13"/>
        </w:rPr>
      </w:pPr>
      <w:r>
        <w:rPr>
          <w:sz w:val="13"/>
          <w:vertAlign w:val="superscript"/>
        </w:rPr>
        <w:t>1030</w:t>
      </w:r>
      <w:r>
        <w:rPr>
          <w:spacing w:val="12"/>
          <w:sz w:val="13"/>
        </w:rPr>
        <w:t xml:space="preserve"> </w:t>
      </w:r>
      <w:r>
        <w:rPr>
          <w:sz w:val="13"/>
        </w:rPr>
        <w:t>A/68/290,</w:t>
      </w:r>
      <w:r>
        <w:rPr>
          <w:spacing w:val="-9"/>
          <w:sz w:val="13"/>
        </w:rPr>
        <w:t xml:space="preserve"> </w:t>
      </w:r>
      <w:r>
        <w:rPr>
          <w:sz w:val="13"/>
        </w:rPr>
        <w:t>párr.</w:t>
      </w:r>
      <w:r>
        <w:rPr>
          <w:spacing w:val="-9"/>
          <w:sz w:val="13"/>
        </w:rPr>
        <w:t xml:space="preserve"> </w:t>
      </w:r>
      <w:r>
        <w:rPr>
          <w:sz w:val="13"/>
        </w:rPr>
        <w:t>30;</w:t>
      </w:r>
      <w:r>
        <w:rPr>
          <w:spacing w:val="-9"/>
          <w:sz w:val="13"/>
        </w:rPr>
        <w:t xml:space="preserve"> </w:t>
      </w:r>
      <w:r>
        <w:rPr>
          <w:sz w:val="13"/>
        </w:rPr>
        <w:t>y</w:t>
      </w:r>
      <w:r>
        <w:rPr>
          <w:spacing w:val="-9"/>
          <w:sz w:val="13"/>
        </w:rPr>
        <w:t xml:space="preserve"> </w:t>
      </w:r>
      <w:r>
        <w:rPr>
          <w:spacing w:val="-2"/>
          <w:sz w:val="13"/>
        </w:rPr>
        <w:t>A/75/385.</w:t>
      </w:r>
    </w:p>
    <w:p w14:paraId="746CD03C" w14:textId="77777777" w:rsidR="0014798C" w:rsidRDefault="004E1F0B">
      <w:pPr>
        <w:spacing w:before="87"/>
        <w:ind w:left="1111"/>
        <w:rPr>
          <w:sz w:val="13"/>
        </w:rPr>
      </w:pPr>
      <w:r>
        <w:rPr>
          <w:w w:val="105"/>
          <w:sz w:val="13"/>
          <w:vertAlign w:val="superscript"/>
        </w:rPr>
        <w:t>1031</w:t>
      </w:r>
      <w:r>
        <w:rPr>
          <w:spacing w:val="15"/>
          <w:w w:val="105"/>
          <w:sz w:val="13"/>
        </w:rPr>
        <w:t xml:space="preserve"> </w:t>
      </w:r>
      <w:r>
        <w:rPr>
          <w:w w:val="105"/>
          <w:sz w:val="13"/>
        </w:rPr>
        <w:t>A/HRC/43/48,</w:t>
      </w:r>
      <w:r>
        <w:rPr>
          <w:spacing w:val="-8"/>
          <w:w w:val="105"/>
          <w:sz w:val="13"/>
        </w:rPr>
        <w:t xml:space="preserve"> </w:t>
      </w:r>
      <w:r>
        <w:rPr>
          <w:w w:val="105"/>
          <w:sz w:val="13"/>
        </w:rPr>
        <w:t>párr.</w:t>
      </w:r>
      <w:r>
        <w:rPr>
          <w:spacing w:val="-8"/>
          <w:w w:val="105"/>
          <w:sz w:val="13"/>
        </w:rPr>
        <w:t xml:space="preserve"> </w:t>
      </w:r>
      <w:r>
        <w:rPr>
          <w:spacing w:val="-5"/>
          <w:w w:val="105"/>
          <w:sz w:val="13"/>
        </w:rPr>
        <w:t>69.</w:t>
      </w:r>
    </w:p>
    <w:p w14:paraId="0D7D7CC5" w14:textId="77777777" w:rsidR="0014798C" w:rsidRDefault="004E1F0B">
      <w:pPr>
        <w:spacing w:before="87" w:line="288" w:lineRule="auto"/>
        <w:ind w:left="1366" w:right="2004" w:hanging="256"/>
        <w:rPr>
          <w:sz w:val="13"/>
        </w:rPr>
      </w:pPr>
      <w:r>
        <w:rPr>
          <w:w w:val="105"/>
          <w:sz w:val="13"/>
        </w:rPr>
        <w:t>1032</w:t>
      </w:r>
      <w:r>
        <w:rPr>
          <w:spacing w:val="-8"/>
          <w:w w:val="105"/>
          <w:sz w:val="13"/>
        </w:rPr>
        <w:t xml:space="preserve"> </w:t>
      </w:r>
      <w:proofErr w:type="spellStart"/>
      <w:r>
        <w:rPr>
          <w:w w:val="105"/>
          <w:sz w:val="13"/>
        </w:rPr>
        <w:t>Bielefeldt</w:t>
      </w:r>
      <w:proofErr w:type="spellEnd"/>
      <w:r>
        <w:rPr>
          <w:w w:val="105"/>
          <w:sz w:val="13"/>
        </w:rPr>
        <w:t>,</w:t>
      </w:r>
      <w:r>
        <w:rPr>
          <w:spacing w:val="-8"/>
          <w:w w:val="105"/>
          <w:sz w:val="13"/>
        </w:rPr>
        <w:t xml:space="preserve"> </w:t>
      </w:r>
      <w:proofErr w:type="spellStart"/>
      <w:r>
        <w:rPr>
          <w:w w:val="105"/>
          <w:sz w:val="13"/>
        </w:rPr>
        <w:t>Ghanea</w:t>
      </w:r>
      <w:proofErr w:type="spellEnd"/>
      <w:r>
        <w:rPr>
          <w:spacing w:val="-8"/>
          <w:w w:val="105"/>
          <w:sz w:val="13"/>
        </w:rPr>
        <w:t xml:space="preserve"> </w:t>
      </w:r>
      <w:r>
        <w:rPr>
          <w:w w:val="105"/>
          <w:sz w:val="13"/>
        </w:rPr>
        <w:t>y</w:t>
      </w:r>
      <w:r>
        <w:rPr>
          <w:spacing w:val="-8"/>
          <w:w w:val="105"/>
          <w:sz w:val="13"/>
        </w:rPr>
        <w:t xml:space="preserve"> </w:t>
      </w:r>
      <w:r>
        <w:rPr>
          <w:w w:val="105"/>
          <w:sz w:val="13"/>
        </w:rPr>
        <w:t>Wiener,</w:t>
      </w:r>
      <w:r>
        <w:rPr>
          <w:spacing w:val="-8"/>
          <w:w w:val="105"/>
          <w:sz w:val="13"/>
        </w:rPr>
        <w:t xml:space="preserve"> </w:t>
      </w:r>
      <w:proofErr w:type="spellStart"/>
      <w:r>
        <w:rPr>
          <w:w w:val="105"/>
          <w:sz w:val="13"/>
        </w:rPr>
        <w:t>Freedom</w:t>
      </w:r>
      <w:proofErr w:type="spellEnd"/>
      <w:r>
        <w:rPr>
          <w:spacing w:val="-8"/>
          <w:w w:val="105"/>
          <w:sz w:val="13"/>
        </w:rPr>
        <w:t xml:space="preserve"> </w:t>
      </w:r>
      <w:r>
        <w:rPr>
          <w:w w:val="105"/>
          <w:sz w:val="13"/>
        </w:rPr>
        <w:t>of</w:t>
      </w:r>
      <w:r>
        <w:rPr>
          <w:spacing w:val="-8"/>
          <w:w w:val="105"/>
          <w:sz w:val="13"/>
        </w:rPr>
        <w:t xml:space="preserve"> </w:t>
      </w:r>
      <w:proofErr w:type="spellStart"/>
      <w:r>
        <w:rPr>
          <w:w w:val="105"/>
          <w:sz w:val="13"/>
        </w:rPr>
        <w:t>Religion</w:t>
      </w:r>
      <w:proofErr w:type="spellEnd"/>
      <w:r>
        <w:rPr>
          <w:spacing w:val="-8"/>
          <w:w w:val="105"/>
          <w:sz w:val="13"/>
        </w:rPr>
        <w:t xml:space="preserve"> </w:t>
      </w:r>
      <w:proofErr w:type="spellStart"/>
      <w:r>
        <w:rPr>
          <w:w w:val="105"/>
          <w:sz w:val="13"/>
        </w:rPr>
        <w:t>or</w:t>
      </w:r>
      <w:proofErr w:type="spellEnd"/>
      <w:r>
        <w:rPr>
          <w:spacing w:val="-8"/>
          <w:w w:val="105"/>
          <w:sz w:val="13"/>
        </w:rPr>
        <w:t xml:space="preserve"> </w:t>
      </w:r>
      <w:proofErr w:type="spellStart"/>
      <w:r>
        <w:rPr>
          <w:w w:val="105"/>
          <w:sz w:val="13"/>
        </w:rPr>
        <w:t>Belief</w:t>
      </w:r>
      <w:proofErr w:type="spellEnd"/>
      <w:r>
        <w:rPr>
          <w:w w:val="105"/>
          <w:sz w:val="13"/>
        </w:rPr>
        <w:t>:</w:t>
      </w:r>
      <w:r>
        <w:rPr>
          <w:spacing w:val="-8"/>
          <w:w w:val="105"/>
          <w:sz w:val="13"/>
        </w:rPr>
        <w:t xml:space="preserve"> </w:t>
      </w:r>
      <w:r>
        <w:rPr>
          <w:w w:val="105"/>
          <w:sz w:val="13"/>
        </w:rPr>
        <w:t>An</w:t>
      </w:r>
      <w:r>
        <w:rPr>
          <w:spacing w:val="-8"/>
          <w:w w:val="105"/>
          <w:sz w:val="13"/>
        </w:rPr>
        <w:t xml:space="preserve"> </w:t>
      </w:r>
      <w:r>
        <w:rPr>
          <w:w w:val="105"/>
          <w:sz w:val="13"/>
        </w:rPr>
        <w:t>International</w:t>
      </w:r>
      <w:r>
        <w:rPr>
          <w:spacing w:val="-9"/>
          <w:w w:val="105"/>
          <w:sz w:val="13"/>
        </w:rPr>
        <w:t xml:space="preserve"> </w:t>
      </w:r>
      <w:proofErr w:type="spellStart"/>
      <w:r>
        <w:rPr>
          <w:w w:val="105"/>
          <w:sz w:val="13"/>
        </w:rPr>
        <w:t>Law</w:t>
      </w:r>
      <w:proofErr w:type="spellEnd"/>
      <w:r>
        <w:rPr>
          <w:spacing w:val="-8"/>
          <w:w w:val="105"/>
          <w:sz w:val="13"/>
        </w:rPr>
        <w:t xml:space="preserve"> </w:t>
      </w:r>
      <w:proofErr w:type="spellStart"/>
      <w:r>
        <w:rPr>
          <w:w w:val="105"/>
          <w:sz w:val="13"/>
        </w:rPr>
        <w:t>Commentary</w:t>
      </w:r>
      <w:proofErr w:type="spellEnd"/>
      <w:r>
        <w:rPr>
          <w:w w:val="105"/>
          <w:sz w:val="13"/>
        </w:rPr>
        <w:t>,</w:t>
      </w:r>
      <w:r>
        <w:rPr>
          <w:spacing w:val="-7"/>
          <w:w w:val="105"/>
          <w:sz w:val="13"/>
        </w:rPr>
        <w:t xml:space="preserve"> </w:t>
      </w:r>
      <w:r>
        <w:rPr>
          <w:w w:val="105"/>
          <w:sz w:val="13"/>
        </w:rPr>
        <w:t>en</w:t>
      </w:r>
      <w:r>
        <w:rPr>
          <w:spacing w:val="-8"/>
          <w:w w:val="105"/>
          <w:sz w:val="13"/>
        </w:rPr>
        <w:t xml:space="preserve"> </w:t>
      </w:r>
      <w:r>
        <w:rPr>
          <w:w w:val="105"/>
          <w:sz w:val="13"/>
        </w:rPr>
        <w:t>particular</w:t>
      </w:r>
      <w:r>
        <w:rPr>
          <w:spacing w:val="-8"/>
          <w:w w:val="105"/>
          <w:sz w:val="13"/>
        </w:rPr>
        <w:t xml:space="preserve"> </w:t>
      </w:r>
      <w:r>
        <w:rPr>
          <w:w w:val="105"/>
          <w:sz w:val="13"/>
        </w:rPr>
        <w:t>cap.</w:t>
      </w:r>
      <w:r>
        <w:rPr>
          <w:spacing w:val="-8"/>
          <w:w w:val="105"/>
          <w:sz w:val="13"/>
        </w:rPr>
        <w:t xml:space="preserve"> </w:t>
      </w:r>
      <w:r>
        <w:rPr>
          <w:w w:val="105"/>
          <w:sz w:val="13"/>
        </w:rPr>
        <w:t>1.3.11</w:t>
      </w:r>
      <w:r>
        <w:rPr>
          <w:spacing w:val="-8"/>
          <w:w w:val="105"/>
          <w:sz w:val="13"/>
        </w:rPr>
        <w:t xml:space="preserve"> </w:t>
      </w:r>
      <w:r>
        <w:rPr>
          <w:w w:val="105"/>
          <w:sz w:val="13"/>
        </w:rPr>
        <w:t>en</w:t>
      </w:r>
      <w:r>
        <w:rPr>
          <w:spacing w:val="-8"/>
          <w:w w:val="105"/>
          <w:sz w:val="13"/>
        </w:rPr>
        <w:t xml:space="preserve"> </w:t>
      </w:r>
      <w:r>
        <w:rPr>
          <w:w w:val="105"/>
          <w:sz w:val="13"/>
        </w:rPr>
        <w:t>adelante</w:t>
      </w:r>
      <w:r>
        <w:rPr>
          <w:spacing w:val="40"/>
          <w:w w:val="105"/>
          <w:sz w:val="13"/>
        </w:rPr>
        <w:t xml:space="preserve"> </w:t>
      </w:r>
      <w:r>
        <w:rPr>
          <w:w w:val="105"/>
          <w:sz w:val="13"/>
        </w:rPr>
        <w:t>objeción de conciencia.</w:t>
      </w:r>
    </w:p>
    <w:p w14:paraId="2228457E" w14:textId="77777777" w:rsidR="0014798C" w:rsidRDefault="004E1F0B">
      <w:pPr>
        <w:spacing w:before="57" w:line="288" w:lineRule="auto"/>
        <w:ind w:left="1366" w:right="1725" w:hanging="256"/>
        <w:rPr>
          <w:sz w:val="13"/>
        </w:rPr>
      </w:pPr>
      <w:r>
        <w:rPr>
          <w:w w:val="105"/>
          <w:sz w:val="13"/>
          <w:vertAlign w:val="superscript"/>
        </w:rPr>
        <w:t>1033</w:t>
      </w:r>
      <w:r>
        <w:rPr>
          <w:spacing w:val="29"/>
          <w:w w:val="105"/>
          <w:sz w:val="13"/>
        </w:rPr>
        <w:t xml:space="preserve"> </w:t>
      </w:r>
      <w:r>
        <w:rPr>
          <w:w w:val="105"/>
          <w:sz w:val="13"/>
        </w:rPr>
        <w:t>“Muchas</w:t>
      </w:r>
      <w:r>
        <w:rPr>
          <w:spacing w:val="-7"/>
          <w:w w:val="105"/>
          <w:sz w:val="13"/>
        </w:rPr>
        <w:t xml:space="preserve"> </w:t>
      </w:r>
      <w:r>
        <w:rPr>
          <w:w w:val="105"/>
          <w:sz w:val="13"/>
        </w:rPr>
        <w:t>personas</w:t>
      </w:r>
      <w:r>
        <w:rPr>
          <w:spacing w:val="-7"/>
          <w:w w:val="105"/>
          <w:sz w:val="13"/>
        </w:rPr>
        <w:t xml:space="preserve"> </w:t>
      </w:r>
      <w:r>
        <w:rPr>
          <w:w w:val="105"/>
          <w:sz w:val="13"/>
        </w:rPr>
        <w:t>han</w:t>
      </w:r>
      <w:r>
        <w:rPr>
          <w:spacing w:val="-7"/>
          <w:w w:val="105"/>
          <w:sz w:val="13"/>
        </w:rPr>
        <w:t xml:space="preserve"> </w:t>
      </w:r>
      <w:r>
        <w:rPr>
          <w:w w:val="105"/>
          <w:sz w:val="13"/>
        </w:rPr>
        <w:t>reclamado</w:t>
      </w:r>
      <w:r>
        <w:rPr>
          <w:spacing w:val="-7"/>
          <w:w w:val="105"/>
          <w:sz w:val="13"/>
        </w:rPr>
        <w:t xml:space="preserve"> </w:t>
      </w:r>
      <w:r>
        <w:rPr>
          <w:w w:val="105"/>
          <w:sz w:val="13"/>
        </w:rPr>
        <w:t>el</w:t>
      </w:r>
      <w:r>
        <w:rPr>
          <w:spacing w:val="-7"/>
          <w:w w:val="105"/>
          <w:sz w:val="13"/>
        </w:rPr>
        <w:t xml:space="preserve"> </w:t>
      </w:r>
      <w:r>
        <w:rPr>
          <w:w w:val="105"/>
          <w:sz w:val="13"/>
        </w:rPr>
        <w:t>derecho</w:t>
      </w:r>
      <w:r>
        <w:rPr>
          <w:spacing w:val="-7"/>
          <w:w w:val="105"/>
          <w:sz w:val="13"/>
        </w:rPr>
        <w:t xml:space="preserve"> </w:t>
      </w:r>
      <w:r>
        <w:rPr>
          <w:w w:val="105"/>
          <w:sz w:val="13"/>
        </w:rPr>
        <w:t>a</w:t>
      </w:r>
      <w:r>
        <w:rPr>
          <w:spacing w:val="-7"/>
          <w:w w:val="105"/>
          <w:sz w:val="13"/>
        </w:rPr>
        <w:t xml:space="preserve"> </w:t>
      </w:r>
      <w:r>
        <w:rPr>
          <w:w w:val="105"/>
          <w:sz w:val="13"/>
        </w:rPr>
        <w:t>negarse</w:t>
      </w:r>
      <w:r>
        <w:rPr>
          <w:spacing w:val="-7"/>
          <w:w w:val="105"/>
          <w:sz w:val="13"/>
        </w:rPr>
        <w:t xml:space="preserve"> </w:t>
      </w:r>
      <w:r>
        <w:rPr>
          <w:w w:val="105"/>
          <w:sz w:val="13"/>
        </w:rPr>
        <w:t>a</w:t>
      </w:r>
      <w:r>
        <w:rPr>
          <w:spacing w:val="-7"/>
          <w:w w:val="105"/>
          <w:sz w:val="13"/>
        </w:rPr>
        <w:t xml:space="preserve"> </w:t>
      </w:r>
      <w:r>
        <w:rPr>
          <w:w w:val="105"/>
          <w:sz w:val="13"/>
        </w:rPr>
        <w:t>realizar</w:t>
      </w:r>
      <w:r>
        <w:rPr>
          <w:spacing w:val="-7"/>
          <w:w w:val="105"/>
          <w:sz w:val="13"/>
        </w:rPr>
        <w:t xml:space="preserve"> </w:t>
      </w:r>
      <w:r>
        <w:rPr>
          <w:w w:val="105"/>
          <w:sz w:val="13"/>
        </w:rPr>
        <w:t>el</w:t>
      </w:r>
      <w:r>
        <w:rPr>
          <w:spacing w:val="-7"/>
          <w:w w:val="105"/>
          <w:sz w:val="13"/>
        </w:rPr>
        <w:t xml:space="preserve"> </w:t>
      </w:r>
      <w:r>
        <w:rPr>
          <w:w w:val="105"/>
          <w:sz w:val="13"/>
        </w:rPr>
        <w:t>servicio</w:t>
      </w:r>
      <w:r>
        <w:rPr>
          <w:spacing w:val="-7"/>
          <w:w w:val="105"/>
          <w:sz w:val="13"/>
        </w:rPr>
        <w:t xml:space="preserve"> </w:t>
      </w:r>
      <w:r>
        <w:rPr>
          <w:w w:val="105"/>
          <w:sz w:val="13"/>
        </w:rPr>
        <w:t>militar</w:t>
      </w:r>
      <w:r>
        <w:rPr>
          <w:spacing w:val="-7"/>
          <w:w w:val="105"/>
          <w:sz w:val="13"/>
        </w:rPr>
        <w:t xml:space="preserve"> </w:t>
      </w:r>
      <w:r>
        <w:rPr>
          <w:w w:val="105"/>
          <w:sz w:val="13"/>
        </w:rPr>
        <w:t>(objeción</w:t>
      </w:r>
      <w:r>
        <w:rPr>
          <w:spacing w:val="-7"/>
          <w:w w:val="105"/>
          <w:sz w:val="13"/>
        </w:rPr>
        <w:t xml:space="preserve"> </w:t>
      </w:r>
      <w:r>
        <w:rPr>
          <w:w w:val="105"/>
          <w:sz w:val="13"/>
        </w:rPr>
        <w:t>de</w:t>
      </w:r>
      <w:r>
        <w:rPr>
          <w:spacing w:val="-7"/>
          <w:w w:val="105"/>
          <w:sz w:val="13"/>
        </w:rPr>
        <w:t xml:space="preserve"> </w:t>
      </w:r>
      <w:r>
        <w:rPr>
          <w:w w:val="105"/>
          <w:sz w:val="13"/>
        </w:rPr>
        <w:t>conciencia)</w:t>
      </w:r>
      <w:r>
        <w:rPr>
          <w:spacing w:val="-7"/>
          <w:w w:val="105"/>
          <w:sz w:val="13"/>
        </w:rPr>
        <w:t xml:space="preserve"> </w:t>
      </w:r>
      <w:r>
        <w:rPr>
          <w:w w:val="105"/>
          <w:sz w:val="13"/>
        </w:rPr>
        <w:t>sobre</w:t>
      </w:r>
      <w:r>
        <w:rPr>
          <w:spacing w:val="-7"/>
          <w:w w:val="105"/>
          <w:sz w:val="13"/>
        </w:rPr>
        <w:t xml:space="preserve"> </w:t>
      </w:r>
      <w:r>
        <w:rPr>
          <w:w w:val="105"/>
          <w:sz w:val="13"/>
        </w:rPr>
        <w:t>la</w:t>
      </w:r>
      <w:r>
        <w:rPr>
          <w:spacing w:val="-7"/>
          <w:w w:val="105"/>
          <w:sz w:val="13"/>
        </w:rPr>
        <w:t xml:space="preserve"> </w:t>
      </w:r>
      <w:r>
        <w:rPr>
          <w:w w:val="105"/>
          <w:sz w:val="13"/>
        </w:rPr>
        <w:t>base</w:t>
      </w:r>
      <w:r>
        <w:rPr>
          <w:spacing w:val="-7"/>
          <w:w w:val="105"/>
          <w:sz w:val="13"/>
        </w:rPr>
        <w:t xml:space="preserve"> </w:t>
      </w:r>
      <w:r>
        <w:rPr>
          <w:w w:val="105"/>
          <w:sz w:val="13"/>
        </w:rPr>
        <w:t>de</w:t>
      </w:r>
      <w:r>
        <w:rPr>
          <w:spacing w:val="-7"/>
          <w:w w:val="105"/>
          <w:sz w:val="13"/>
        </w:rPr>
        <w:t xml:space="preserve"> </w:t>
      </w:r>
      <w:r>
        <w:rPr>
          <w:w w:val="105"/>
          <w:sz w:val="13"/>
        </w:rPr>
        <w:t>que</w:t>
      </w:r>
      <w:r>
        <w:rPr>
          <w:spacing w:val="-7"/>
          <w:w w:val="105"/>
          <w:sz w:val="13"/>
        </w:rPr>
        <w:t xml:space="preserve"> </w:t>
      </w:r>
      <w:r>
        <w:rPr>
          <w:w w:val="105"/>
          <w:sz w:val="13"/>
        </w:rPr>
        <w:t>ese</w:t>
      </w:r>
      <w:r>
        <w:rPr>
          <w:spacing w:val="-7"/>
          <w:w w:val="105"/>
          <w:sz w:val="13"/>
        </w:rPr>
        <w:t xml:space="preserve"> </w:t>
      </w:r>
      <w:r>
        <w:rPr>
          <w:w w:val="105"/>
          <w:sz w:val="13"/>
        </w:rPr>
        <w:t>derecho</w:t>
      </w:r>
      <w:r>
        <w:rPr>
          <w:spacing w:val="40"/>
          <w:w w:val="105"/>
          <w:sz w:val="13"/>
        </w:rPr>
        <w:t xml:space="preserve"> </w:t>
      </w:r>
      <w:r>
        <w:rPr>
          <w:w w:val="105"/>
          <w:sz w:val="13"/>
        </w:rPr>
        <w:t>se</w:t>
      </w:r>
      <w:r>
        <w:rPr>
          <w:spacing w:val="-4"/>
          <w:w w:val="105"/>
          <w:sz w:val="13"/>
        </w:rPr>
        <w:t xml:space="preserve"> </w:t>
      </w:r>
      <w:r>
        <w:rPr>
          <w:w w:val="105"/>
          <w:sz w:val="13"/>
        </w:rPr>
        <w:t>deriva</w:t>
      </w:r>
      <w:r>
        <w:rPr>
          <w:spacing w:val="-4"/>
          <w:w w:val="105"/>
          <w:sz w:val="13"/>
        </w:rPr>
        <w:t xml:space="preserve"> </w:t>
      </w:r>
      <w:r>
        <w:rPr>
          <w:w w:val="105"/>
          <w:sz w:val="13"/>
        </w:rPr>
        <w:t>de</w:t>
      </w:r>
      <w:r>
        <w:rPr>
          <w:spacing w:val="-4"/>
          <w:w w:val="105"/>
          <w:sz w:val="13"/>
        </w:rPr>
        <w:t xml:space="preserve"> </w:t>
      </w:r>
      <w:r>
        <w:rPr>
          <w:w w:val="105"/>
          <w:sz w:val="13"/>
        </w:rPr>
        <w:t>sus</w:t>
      </w:r>
      <w:r>
        <w:rPr>
          <w:spacing w:val="-4"/>
          <w:w w:val="105"/>
          <w:sz w:val="13"/>
        </w:rPr>
        <w:t xml:space="preserve"> </w:t>
      </w:r>
      <w:r>
        <w:rPr>
          <w:w w:val="105"/>
          <w:sz w:val="13"/>
        </w:rPr>
        <w:t>libertades</w:t>
      </w:r>
      <w:r>
        <w:rPr>
          <w:spacing w:val="-5"/>
          <w:w w:val="105"/>
          <w:sz w:val="13"/>
        </w:rPr>
        <w:t xml:space="preserve"> </w:t>
      </w:r>
      <w:r>
        <w:rPr>
          <w:w w:val="105"/>
          <w:sz w:val="13"/>
        </w:rPr>
        <w:t>en</w:t>
      </w:r>
      <w:r>
        <w:rPr>
          <w:spacing w:val="-4"/>
          <w:w w:val="105"/>
          <w:sz w:val="13"/>
        </w:rPr>
        <w:t xml:space="preserve"> </w:t>
      </w:r>
      <w:r>
        <w:rPr>
          <w:w w:val="105"/>
          <w:sz w:val="13"/>
        </w:rPr>
        <w:t>virtud</w:t>
      </w:r>
      <w:r>
        <w:rPr>
          <w:spacing w:val="-4"/>
          <w:w w:val="105"/>
          <w:sz w:val="13"/>
        </w:rPr>
        <w:t xml:space="preserve"> </w:t>
      </w:r>
      <w:r>
        <w:rPr>
          <w:w w:val="105"/>
          <w:sz w:val="13"/>
        </w:rPr>
        <w:t>del</w:t>
      </w:r>
      <w:r>
        <w:rPr>
          <w:spacing w:val="-4"/>
          <w:w w:val="105"/>
          <w:sz w:val="13"/>
        </w:rPr>
        <w:t xml:space="preserve"> </w:t>
      </w:r>
      <w:r>
        <w:rPr>
          <w:w w:val="105"/>
          <w:sz w:val="13"/>
        </w:rPr>
        <w:t>artículo</w:t>
      </w:r>
      <w:r>
        <w:rPr>
          <w:spacing w:val="-4"/>
          <w:w w:val="105"/>
          <w:sz w:val="13"/>
        </w:rPr>
        <w:t xml:space="preserve"> </w:t>
      </w:r>
      <w:r>
        <w:rPr>
          <w:w w:val="105"/>
          <w:sz w:val="13"/>
        </w:rPr>
        <w:t>18.</w:t>
      </w:r>
      <w:r>
        <w:rPr>
          <w:spacing w:val="-4"/>
          <w:w w:val="105"/>
          <w:sz w:val="13"/>
        </w:rPr>
        <w:t xml:space="preserve"> </w:t>
      </w:r>
      <w:r>
        <w:rPr>
          <w:w w:val="105"/>
          <w:sz w:val="13"/>
        </w:rPr>
        <w:t>En</w:t>
      </w:r>
      <w:r>
        <w:rPr>
          <w:spacing w:val="-4"/>
          <w:w w:val="105"/>
          <w:sz w:val="13"/>
        </w:rPr>
        <w:t xml:space="preserve"> </w:t>
      </w:r>
      <w:r>
        <w:rPr>
          <w:w w:val="105"/>
          <w:sz w:val="13"/>
        </w:rPr>
        <w:t>respuesta</w:t>
      </w:r>
      <w:r>
        <w:rPr>
          <w:spacing w:val="-4"/>
          <w:w w:val="105"/>
          <w:sz w:val="13"/>
        </w:rPr>
        <w:t xml:space="preserve"> </w:t>
      </w:r>
      <w:r>
        <w:rPr>
          <w:w w:val="105"/>
          <w:sz w:val="13"/>
        </w:rPr>
        <w:t>a</w:t>
      </w:r>
      <w:r>
        <w:rPr>
          <w:spacing w:val="-4"/>
          <w:w w:val="105"/>
          <w:sz w:val="13"/>
        </w:rPr>
        <w:t xml:space="preserve"> </w:t>
      </w:r>
      <w:r>
        <w:rPr>
          <w:w w:val="105"/>
          <w:sz w:val="13"/>
        </w:rPr>
        <w:t>tales</w:t>
      </w:r>
      <w:r>
        <w:rPr>
          <w:spacing w:val="-4"/>
          <w:w w:val="105"/>
          <w:sz w:val="13"/>
        </w:rPr>
        <w:t xml:space="preserve"> </w:t>
      </w:r>
      <w:r>
        <w:rPr>
          <w:w w:val="105"/>
          <w:sz w:val="13"/>
        </w:rPr>
        <w:t>reclamaciones,</w:t>
      </w:r>
      <w:r>
        <w:rPr>
          <w:spacing w:val="-3"/>
          <w:w w:val="105"/>
          <w:sz w:val="13"/>
        </w:rPr>
        <w:t xml:space="preserve"> </w:t>
      </w:r>
      <w:r>
        <w:rPr>
          <w:w w:val="105"/>
          <w:sz w:val="13"/>
        </w:rPr>
        <w:t>un</w:t>
      </w:r>
      <w:r>
        <w:rPr>
          <w:spacing w:val="-4"/>
          <w:w w:val="105"/>
          <w:sz w:val="13"/>
        </w:rPr>
        <w:t xml:space="preserve"> </w:t>
      </w:r>
      <w:r>
        <w:rPr>
          <w:w w:val="105"/>
          <w:sz w:val="13"/>
        </w:rPr>
        <w:t>número</w:t>
      </w:r>
      <w:r>
        <w:rPr>
          <w:spacing w:val="-4"/>
          <w:w w:val="105"/>
          <w:sz w:val="13"/>
        </w:rPr>
        <w:t xml:space="preserve"> </w:t>
      </w:r>
      <w:r>
        <w:rPr>
          <w:w w:val="105"/>
          <w:sz w:val="13"/>
        </w:rPr>
        <w:t>creciente</w:t>
      </w:r>
      <w:r>
        <w:rPr>
          <w:spacing w:val="-4"/>
          <w:w w:val="105"/>
          <w:sz w:val="13"/>
        </w:rPr>
        <w:t xml:space="preserve"> </w:t>
      </w:r>
      <w:r>
        <w:rPr>
          <w:w w:val="105"/>
          <w:sz w:val="13"/>
        </w:rPr>
        <w:t>de</w:t>
      </w:r>
      <w:r>
        <w:rPr>
          <w:spacing w:val="-4"/>
          <w:w w:val="105"/>
          <w:sz w:val="13"/>
        </w:rPr>
        <w:t xml:space="preserve"> </w:t>
      </w:r>
      <w:r>
        <w:rPr>
          <w:w w:val="105"/>
          <w:sz w:val="13"/>
        </w:rPr>
        <w:t>Estados</w:t>
      </w:r>
      <w:r>
        <w:rPr>
          <w:spacing w:val="-5"/>
          <w:w w:val="105"/>
          <w:sz w:val="13"/>
        </w:rPr>
        <w:t xml:space="preserve"> </w:t>
      </w:r>
      <w:r>
        <w:rPr>
          <w:w w:val="105"/>
          <w:sz w:val="13"/>
        </w:rPr>
        <w:t>han</w:t>
      </w:r>
      <w:r>
        <w:rPr>
          <w:spacing w:val="-4"/>
          <w:w w:val="105"/>
          <w:sz w:val="13"/>
        </w:rPr>
        <w:t xml:space="preserve"> </w:t>
      </w:r>
      <w:r>
        <w:rPr>
          <w:w w:val="105"/>
          <w:sz w:val="13"/>
        </w:rPr>
        <w:t>eximido</w:t>
      </w:r>
      <w:r>
        <w:rPr>
          <w:spacing w:val="-4"/>
          <w:w w:val="105"/>
          <w:sz w:val="13"/>
        </w:rPr>
        <w:t xml:space="preserve"> </w:t>
      </w:r>
      <w:r>
        <w:rPr>
          <w:w w:val="105"/>
          <w:sz w:val="13"/>
        </w:rPr>
        <w:t>en</w:t>
      </w:r>
      <w:r>
        <w:rPr>
          <w:spacing w:val="-4"/>
          <w:w w:val="105"/>
          <w:sz w:val="13"/>
        </w:rPr>
        <w:t xml:space="preserve"> </w:t>
      </w:r>
      <w:r>
        <w:rPr>
          <w:w w:val="105"/>
          <w:sz w:val="13"/>
        </w:rPr>
        <w:t>sus</w:t>
      </w:r>
      <w:r>
        <w:rPr>
          <w:spacing w:val="40"/>
          <w:w w:val="105"/>
          <w:sz w:val="13"/>
        </w:rPr>
        <w:t xml:space="preserve"> </w:t>
      </w:r>
      <w:r>
        <w:rPr>
          <w:w w:val="105"/>
          <w:sz w:val="13"/>
        </w:rPr>
        <w:t>leyes</w:t>
      </w:r>
      <w:r>
        <w:rPr>
          <w:spacing w:val="-4"/>
          <w:w w:val="105"/>
          <w:sz w:val="13"/>
        </w:rPr>
        <w:t xml:space="preserve"> </w:t>
      </w:r>
      <w:r>
        <w:rPr>
          <w:w w:val="105"/>
          <w:sz w:val="13"/>
        </w:rPr>
        <w:t>del</w:t>
      </w:r>
      <w:r>
        <w:rPr>
          <w:spacing w:val="-4"/>
          <w:w w:val="105"/>
          <w:sz w:val="13"/>
        </w:rPr>
        <w:t xml:space="preserve"> </w:t>
      </w:r>
      <w:r>
        <w:rPr>
          <w:w w:val="105"/>
          <w:sz w:val="13"/>
        </w:rPr>
        <w:t>servicio</w:t>
      </w:r>
      <w:r>
        <w:rPr>
          <w:spacing w:val="-4"/>
          <w:w w:val="105"/>
          <w:sz w:val="13"/>
        </w:rPr>
        <w:t xml:space="preserve"> </w:t>
      </w:r>
      <w:r>
        <w:rPr>
          <w:w w:val="105"/>
          <w:sz w:val="13"/>
        </w:rPr>
        <w:t>militar</w:t>
      </w:r>
      <w:r>
        <w:rPr>
          <w:spacing w:val="-4"/>
          <w:w w:val="105"/>
          <w:sz w:val="13"/>
        </w:rPr>
        <w:t xml:space="preserve"> </w:t>
      </w:r>
      <w:r>
        <w:rPr>
          <w:w w:val="105"/>
          <w:sz w:val="13"/>
        </w:rPr>
        <w:t>obligatorio.</w:t>
      </w:r>
      <w:r>
        <w:rPr>
          <w:spacing w:val="-3"/>
          <w:w w:val="105"/>
          <w:sz w:val="13"/>
        </w:rPr>
        <w:t xml:space="preserve"> </w:t>
      </w:r>
      <w:r>
        <w:rPr>
          <w:w w:val="105"/>
          <w:sz w:val="13"/>
        </w:rPr>
        <w:t>ciudadanos</w:t>
      </w:r>
      <w:r>
        <w:rPr>
          <w:spacing w:val="-4"/>
          <w:w w:val="105"/>
          <w:sz w:val="13"/>
        </w:rPr>
        <w:t xml:space="preserve"> </w:t>
      </w:r>
      <w:r>
        <w:rPr>
          <w:w w:val="105"/>
          <w:sz w:val="13"/>
        </w:rPr>
        <w:t>en</w:t>
      </w:r>
      <w:r>
        <w:rPr>
          <w:spacing w:val="-4"/>
          <w:w w:val="105"/>
          <w:sz w:val="13"/>
        </w:rPr>
        <w:t xml:space="preserve"> </w:t>
      </w:r>
      <w:r>
        <w:rPr>
          <w:w w:val="105"/>
          <w:sz w:val="13"/>
        </w:rPr>
        <w:t>servicio</w:t>
      </w:r>
      <w:r>
        <w:rPr>
          <w:spacing w:val="-4"/>
          <w:w w:val="105"/>
          <w:sz w:val="13"/>
        </w:rPr>
        <w:t xml:space="preserve"> </w:t>
      </w:r>
      <w:r>
        <w:rPr>
          <w:w w:val="105"/>
          <w:sz w:val="13"/>
        </w:rPr>
        <w:t>que</w:t>
      </w:r>
      <w:r>
        <w:rPr>
          <w:spacing w:val="-4"/>
          <w:w w:val="105"/>
          <w:sz w:val="13"/>
        </w:rPr>
        <w:t xml:space="preserve"> </w:t>
      </w:r>
      <w:r>
        <w:rPr>
          <w:w w:val="105"/>
          <w:sz w:val="13"/>
        </w:rPr>
        <w:t>genuinamente</w:t>
      </w:r>
      <w:r>
        <w:rPr>
          <w:spacing w:val="-4"/>
          <w:w w:val="105"/>
          <w:sz w:val="13"/>
        </w:rPr>
        <w:t xml:space="preserve"> </w:t>
      </w:r>
      <w:r>
        <w:rPr>
          <w:w w:val="105"/>
          <w:sz w:val="13"/>
        </w:rPr>
        <w:t>tienen</w:t>
      </w:r>
      <w:r>
        <w:rPr>
          <w:spacing w:val="-4"/>
          <w:w w:val="105"/>
          <w:sz w:val="13"/>
        </w:rPr>
        <w:t xml:space="preserve"> </w:t>
      </w:r>
      <w:r>
        <w:rPr>
          <w:w w:val="105"/>
          <w:sz w:val="13"/>
        </w:rPr>
        <w:t>creencias</w:t>
      </w:r>
      <w:r>
        <w:rPr>
          <w:spacing w:val="-4"/>
          <w:w w:val="105"/>
          <w:sz w:val="13"/>
        </w:rPr>
        <w:t xml:space="preserve"> </w:t>
      </w:r>
      <w:r>
        <w:rPr>
          <w:w w:val="105"/>
          <w:sz w:val="13"/>
        </w:rPr>
        <w:t>religiosas</w:t>
      </w:r>
      <w:r>
        <w:rPr>
          <w:spacing w:val="-4"/>
          <w:w w:val="105"/>
          <w:sz w:val="13"/>
        </w:rPr>
        <w:t xml:space="preserve"> </w:t>
      </w:r>
      <w:r>
        <w:rPr>
          <w:w w:val="105"/>
          <w:sz w:val="13"/>
        </w:rPr>
        <w:t>o</w:t>
      </w:r>
      <w:r>
        <w:rPr>
          <w:spacing w:val="-4"/>
          <w:w w:val="105"/>
          <w:sz w:val="13"/>
        </w:rPr>
        <w:t xml:space="preserve"> </w:t>
      </w:r>
      <w:r>
        <w:rPr>
          <w:w w:val="105"/>
          <w:sz w:val="13"/>
        </w:rPr>
        <w:t>de</w:t>
      </w:r>
      <w:r>
        <w:rPr>
          <w:spacing w:val="-4"/>
          <w:w w:val="105"/>
          <w:sz w:val="13"/>
        </w:rPr>
        <w:t xml:space="preserve"> </w:t>
      </w:r>
      <w:r>
        <w:rPr>
          <w:w w:val="105"/>
          <w:sz w:val="13"/>
        </w:rPr>
        <w:t>otro</w:t>
      </w:r>
      <w:r>
        <w:rPr>
          <w:spacing w:val="-4"/>
          <w:w w:val="105"/>
          <w:sz w:val="13"/>
        </w:rPr>
        <w:t xml:space="preserve"> </w:t>
      </w:r>
      <w:r>
        <w:rPr>
          <w:w w:val="105"/>
          <w:sz w:val="13"/>
        </w:rPr>
        <w:t>tipo</w:t>
      </w:r>
      <w:r>
        <w:rPr>
          <w:spacing w:val="-4"/>
          <w:w w:val="105"/>
          <w:sz w:val="13"/>
        </w:rPr>
        <w:t xml:space="preserve"> </w:t>
      </w:r>
      <w:r>
        <w:rPr>
          <w:w w:val="105"/>
          <w:sz w:val="13"/>
        </w:rPr>
        <w:t>que</w:t>
      </w:r>
      <w:r>
        <w:rPr>
          <w:spacing w:val="-4"/>
          <w:w w:val="105"/>
          <w:sz w:val="13"/>
        </w:rPr>
        <w:t xml:space="preserve"> </w:t>
      </w:r>
      <w:r>
        <w:rPr>
          <w:w w:val="105"/>
          <w:sz w:val="13"/>
        </w:rPr>
        <w:t>prohíben</w:t>
      </w:r>
      <w:r>
        <w:rPr>
          <w:spacing w:val="-4"/>
          <w:w w:val="105"/>
          <w:sz w:val="13"/>
        </w:rPr>
        <w:t xml:space="preserve"> </w:t>
      </w:r>
      <w:r>
        <w:rPr>
          <w:w w:val="105"/>
          <w:sz w:val="13"/>
        </w:rPr>
        <w:t>la</w:t>
      </w:r>
    </w:p>
    <w:p w14:paraId="7DFEC7E3" w14:textId="77777777" w:rsidR="0014798C" w:rsidRDefault="004E1F0B">
      <w:pPr>
        <w:spacing w:before="1" w:line="288" w:lineRule="auto"/>
        <w:ind w:left="1365" w:right="1418" w:firstLine="1"/>
        <w:rPr>
          <w:sz w:val="13"/>
        </w:rPr>
      </w:pPr>
      <w:r>
        <w:rPr>
          <w:w w:val="105"/>
          <w:sz w:val="13"/>
        </w:rPr>
        <w:t>realización</w:t>
      </w:r>
      <w:r>
        <w:rPr>
          <w:spacing w:val="-7"/>
          <w:w w:val="105"/>
          <w:sz w:val="13"/>
        </w:rPr>
        <w:t xml:space="preserve"> </w:t>
      </w:r>
      <w:r>
        <w:rPr>
          <w:w w:val="105"/>
          <w:sz w:val="13"/>
        </w:rPr>
        <w:t>del</w:t>
      </w:r>
      <w:r>
        <w:rPr>
          <w:spacing w:val="-7"/>
          <w:w w:val="105"/>
          <w:sz w:val="13"/>
        </w:rPr>
        <w:t xml:space="preserve"> </w:t>
      </w:r>
      <w:r>
        <w:rPr>
          <w:w w:val="105"/>
          <w:sz w:val="13"/>
        </w:rPr>
        <w:t>servicio</w:t>
      </w:r>
      <w:r>
        <w:rPr>
          <w:spacing w:val="-7"/>
          <w:w w:val="105"/>
          <w:sz w:val="13"/>
        </w:rPr>
        <w:t xml:space="preserve"> </w:t>
      </w:r>
      <w:r>
        <w:rPr>
          <w:w w:val="105"/>
          <w:sz w:val="13"/>
        </w:rPr>
        <w:t>militar</w:t>
      </w:r>
      <w:r>
        <w:rPr>
          <w:spacing w:val="-7"/>
          <w:w w:val="105"/>
          <w:sz w:val="13"/>
        </w:rPr>
        <w:t xml:space="preserve"> </w:t>
      </w:r>
      <w:r>
        <w:rPr>
          <w:w w:val="105"/>
          <w:sz w:val="13"/>
        </w:rPr>
        <w:t>y</w:t>
      </w:r>
      <w:r>
        <w:rPr>
          <w:spacing w:val="-7"/>
          <w:w w:val="105"/>
          <w:sz w:val="13"/>
        </w:rPr>
        <w:t xml:space="preserve"> </w:t>
      </w:r>
      <w:r>
        <w:rPr>
          <w:w w:val="105"/>
          <w:sz w:val="13"/>
        </w:rPr>
        <w:t>lo</w:t>
      </w:r>
      <w:r>
        <w:rPr>
          <w:spacing w:val="-7"/>
          <w:w w:val="105"/>
          <w:sz w:val="13"/>
        </w:rPr>
        <w:t xml:space="preserve"> </w:t>
      </w:r>
      <w:r>
        <w:rPr>
          <w:w w:val="105"/>
          <w:sz w:val="13"/>
        </w:rPr>
        <w:t>reemplazaron</w:t>
      </w:r>
      <w:r>
        <w:rPr>
          <w:spacing w:val="-7"/>
          <w:w w:val="105"/>
          <w:sz w:val="13"/>
        </w:rPr>
        <w:t xml:space="preserve"> </w:t>
      </w:r>
      <w:r>
        <w:rPr>
          <w:w w:val="105"/>
          <w:sz w:val="13"/>
        </w:rPr>
        <w:t>con</w:t>
      </w:r>
      <w:r>
        <w:rPr>
          <w:spacing w:val="-7"/>
          <w:w w:val="105"/>
          <w:sz w:val="13"/>
        </w:rPr>
        <w:t xml:space="preserve"> </w:t>
      </w:r>
      <w:r>
        <w:rPr>
          <w:w w:val="105"/>
          <w:sz w:val="13"/>
        </w:rPr>
        <w:t>un</w:t>
      </w:r>
      <w:r>
        <w:rPr>
          <w:spacing w:val="-7"/>
          <w:w w:val="105"/>
          <w:sz w:val="13"/>
        </w:rPr>
        <w:t xml:space="preserve"> </w:t>
      </w:r>
      <w:r>
        <w:rPr>
          <w:w w:val="105"/>
          <w:sz w:val="13"/>
        </w:rPr>
        <w:t>servicio</w:t>
      </w:r>
      <w:r>
        <w:rPr>
          <w:spacing w:val="-7"/>
          <w:w w:val="105"/>
          <w:sz w:val="13"/>
        </w:rPr>
        <w:t xml:space="preserve"> </w:t>
      </w:r>
      <w:r>
        <w:rPr>
          <w:w w:val="105"/>
          <w:sz w:val="13"/>
        </w:rPr>
        <w:t>nacional</w:t>
      </w:r>
      <w:r>
        <w:rPr>
          <w:spacing w:val="-7"/>
          <w:w w:val="105"/>
          <w:sz w:val="13"/>
        </w:rPr>
        <w:t xml:space="preserve"> </w:t>
      </w:r>
      <w:r>
        <w:rPr>
          <w:w w:val="105"/>
          <w:sz w:val="13"/>
        </w:rPr>
        <w:t>alternativo.</w:t>
      </w:r>
      <w:r>
        <w:rPr>
          <w:spacing w:val="-7"/>
          <w:w w:val="105"/>
          <w:sz w:val="13"/>
        </w:rPr>
        <w:t xml:space="preserve"> </w:t>
      </w:r>
      <w:r>
        <w:rPr>
          <w:w w:val="105"/>
          <w:sz w:val="13"/>
        </w:rPr>
        <w:t>El</w:t>
      </w:r>
      <w:r>
        <w:rPr>
          <w:spacing w:val="-7"/>
          <w:w w:val="105"/>
          <w:sz w:val="13"/>
        </w:rPr>
        <w:t xml:space="preserve"> </w:t>
      </w:r>
      <w:r>
        <w:rPr>
          <w:w w:val="105"/>
          <w:sz w:val="13"/>
        </w:rPr>
        <w:t>Pacto</w:t>
      </w:r>
      <w:r>
        <w:rPr>
          <w:spacing w:val="-7"/>
          <w:w w:val="105"/>
          <w:sz w:val="13"/>
        </w:rPr>
        <w:t xml:space="preserve"> </w:t>
      </w:r>
      <w:r>
        <w:rPr>
          <w:w w:val="105"/>
          <w:sz w:val="13"/>
        </w:rPr>
        <w:t>no</w:t>
      </w:r>
      <w:r>
        <w:rPr>
          <w:spacing w:val="-7"/>
          <w:w w:val="105"/>
          <w:sz w:val="13"/>
        </w:rPr>
        <w:t xml:space="preserve"> </w:t>
      </w:r>
      <w:r>
        <w:rPr>
          <w:w w:val="105"/>
          <w:sz w:val="13"/>
        </w:rPr>
        <w:t>se</w:t>
      </w:r>
      <w:r>
        <w:rPr>
          <w:spacing w:val="-7"/>
          <w:w w:val="105"/>
          <w:sz w:val="13"/>
        </w:rPr>
        <w:t xml:space="preserve"> </w:t>
      </w:r>
      <w:r>
        <w:rPr>
          <w:w w:val="105"/>
          <w:sz w:val="13"/>
        </w:rPr>
        <w:t>refiere</w:t>
      </w:r>
      <w:r>
        <w:rPr>
          <w:spacing w:val="-7"/>
          <w:w w:val="105"/>
          <w:sz w:val="13"/>
        </w:rPr>
        <w:t xml:space="preserve"> </w:t>
      </w:r>
      <w:r>
        <w:rPr>
          <w:w w:val="105"/>
          <w:sz w:val="13"/>
        </w:rPr>
        <w:t>explícitamente</w:t>
      </w:r>
      <w:r>
        <w:rPr>
          <w:spacing w:val="-8"/>
          <w:w w:val="105"/>
          <w:sz w:val="13"/>
        </w:rPr>
        <w:t xml:space="preserve"> </w:t>
      </w:r>
      <w:r>
        <w:rPr>
          <w:w w:val="105"/>
          <w:sz w:val="13"/>
        </w:rPr>
        <w:t>al</w:t>
      </w:r>
      <w:r>
        <w:rPr>
          <w:spacing w:val="-7"/>
          <w:w w:val="105"/>
          <w:sz w:val="13"/>
        </w:rPr>
        <w:t xml:space="preserve"> </w:t>
      </w:r>
      <w:r>
        <w:rPr>
          <w:w w:val="105"/>
          <w:sz w:val="13"/>
        </w:rPr>
        <w:t>derecho</w:t>
      </w:r>
      <w:r>
        <w:rPr>
          <w:spacing w:val="-7"/>
          <w:w w:val="105"/>
          <w:sz w:val="13"/>
        </w:rPr>
        <w:t xml:space="preserve"> </w:t>
      </w:r>
      <w:r>
        <w:rPr>
          <w:w w:val="105"/>
          <w:sz w:val="13"/>
        </w:rPr>
        <w:t>a</w:t>
      </w:r>
      <w:r>
        <w:rPr>
          <w:spacing w:val="-7"/>
          <w:w w:val="105"/>
          <w:sz w:val="13"/>
        </w:rPr>
        <w:t xml:space="preserve"> </w:t>
      </w:r>
      <w:r>
        <w:rPr>
          <w:w w:val="105"/>
          <w:sz w:val="13"/>
        </w:rPr>
        <w:t>la</w:t>
      </w:r>
      <w:r>
        <w:rPr>
          <w:spacing w:val="-7"/>
          <w:w w:val="105"/>
          <w:sz w:val="13"/>
        </w:rPr>
        <w:t xml:space="preserve"> </w:t>
      </w:r>
      <w:r>
        <w:rPr>
          <w:w w:val="105"/>
          <w:sz w:val="13"/>
        </w:rPr>
        <w:t>objeción</w:t>
      </w:r>
      <w:r>
        <w:rPr>
          <w:spacing w:val="-7"/>
          <w:w w:val="105"/>
          <w:sz w:val="13"/>
        </w:rPr>
        <w:t xml:space="preserve"> </w:t>
      </w:r>
      <w:r>
        <w:rPr>
          <w:w w:val="105"/>
          <w:sz w:val="13"/>
        </w:rPr>
        <w:t>de</w:t>
      </w:r>
      <w:r>
        <w:rPr>
          <w:spacing w:val="40"/>
          <w:w w:val="105"/>
          <w:sz w:val="13"/>
        </w:rPr>
        <w:t xml:space="preserve"> </w:t>
      </w:r>
      <w:r>
        <w:rPr>
          <w:w w:val="105"/>
          <w:sz w:val="13"/>
        </w:rPr>
        <w:t>conciencia,</w:t>
      </w:r>
      <w:r>
        <w:rPr>
          <w:spacing w:val="-4"/>
          <w:w w:val="105"/>
          <w:sz w:val="13"/>
        </w:rPr>
        <w:t xml:space="preserve"> </w:t>
      </w:r>
      <w:r>
        <w:rPr>
          <w:w w:val="105"/>
          <w:sz w:val="13"/>
        </w:rPr>
        <w:t>pero</w:t>
      </w:r>
      <w:r>
        <w:rPr>
          <w:spacing w:val="-4"/>
          <w:w w:val="105"/>
          <w:sz w:val="13"/>
        </w:rPr>
        <w:t xml:space="preserve"> </w:t>
      </w:r>
      <w:r>
        <w:rPr>
          <w:w w:val="105"/>
          <w:sz w:val="13"/>
        </w:rPr>
        <w:t>el</w:t>
      </w:r>
      <w:r>
        <w:rPr>
          <w:spacing w:val="-4"/>
          <w:w w:val="105"/>
          <w:sz w:val="13"/>
        </w:rPr>
        <w:t xml:space="preserve"> </w:t>
      </w:r>
      <w:r>
        <w:rPr>
          <w:w w:val="105"/>
          <w:sz w:val="13"/>
        </w:rPr>
        <w:t>Comité</w:t>
      </w:r>
      <w:r>
        <w:rPr>
          <w:spacing w:val="-4"/>
          <w:w w:val="105"/>
          <w:sz w:val="13"/>
        </w:rPr>
        <w:t xml:space="preserve"> </w:t>
      </w:r>
      <w:r>
        <w:rPr>
          <w:w w:val="105"/>
          <w:sz w:val="13"/>
        </w:rPr>
        <w:t>cree</w:t>
      </w:r>
      <w:r>
        <w:rPr>
          <w:spacing w:val="-4"/>
          <w:w w:val="105"/>
          <w:sz w:val="13"/>
        </w:rPr>
        <w:t xml:space="preserve"> </w:t>
      </w:r>
      <w:r>
        <w:rPr>
          <w:w w:val="105"/>
          <w:sz w:val="13"/>
        </w:rPr>
        <w:t>que</w:t>
      </w:r>
      <w:r>
        <w:rPr>
          <w:spacing w:val="-4"/>
          <w:w w:val="105"/>
          <w:sz w:val="13"/>
        </w:rPr>
        <w:t xml:space="preserve"> </w:t>
      </w:r>
      <w:r>
        <w:rPr>
          <w:w w:val="105"/>
          <w:sz w:val="13"/>
        </w:rPr>
        <w:t>ese</w:t>
      </w:r>
      <w:r>
        <w:rPr>
          <w:spacing w:val="-4"/>
          <w:w w:val="105"/>
          <w:sz w:val="13"/>
        </w:rPr>
        <w:t xml:space="preserve"> </w:t>
      </w:r>
      <w:r>
        <w:rPr>
          <w:w w:val="105"/>
          <w:sz w:val="13"/>
        </w:rPr>
        <w:t>derecho</w:t>
      </w:r>
      <w:r>
        <w:rPr>
          <w:spacing w:val="-4"/>
          <w:w w:val="105"/>
          <w:sz w:val="13"/>
        </w:rPr>
        <w:t xml:space="preserve"> </w:t>
      </w:r>
      <w:r>
        <w:rPr>
          <w:w w:val="105"/>
          <w:sz w:val="13"/>
        </w:rPr>
        <w:t>puede</w:t>
      </w:r>
      <w:r>
        <w:rPr>
          <w:spacing w:val="-4"/>
          <w:w w:val="105"/>
          <w:sz w:val="13"/>
        </w:rPr>
        <w:t xml:space="preserve"> </w:t>
      </w:r>
      <w:r>
        <w:rPr>
          <w:w w:val="105"/>
          <w:sz w:val="13"/>
        </w:rPr>
        <w:t>derivarse</w:t>
      </w:r>
      <w:r>
        <w:rPr>
          <w:spacing w:val="-4"/>
          <w:w w:val="105"/>
          <w:sz w:val="13"/>
        </w:rPr>
        <w:t xml:space="preserve"> </w:t>
      </w:r>
      <w:r>
        <w:rPr>
          <w:w w:val="105"/>
          <w:sz w:val="13"/>
        </w:rPr>
        <w:t>del</w:t>
      </w:r>
      <w:r>
        <w:rPr>
          <w:spacing w:val="-4"/>
          <w:w w:val="105"/>
          <w:sz w:val="13"/>
        </w:rPr>
        <w:t xml:space="preserve"> </w:t>
      </w:r>
      <w:r>
        <w:rPr>
          <w:w w:val="105"/>
          <w:sz w:val="13"/>
        </w:rPr>
        <w:t>artículo</w:t>
      </w:r>
      <w:r>
        <w:rPr>
          <w:spacing w:val="-4"/>
          <w:w w:val="105"/>
          <w:sz w:val="13"/>
        </w:rPr>
        <w:t xml:space="preserve"> </w:t>
      </w:r>
      <w:r>
        <w:rPr>
          <w:w w:val="105"/>
          <w:sz w:val="13"/>
        </w:rPr>
        <w:t>18,</w:t>
      </w:r>
      <w:r>
        <w:rPr>
          <w:spacing w:val="-4"/>
          <w:w w:val="105"/>
          <w:sz w:val="13"/>
        </w:rPr>
        <w:t xml:space="preserve"> </w:t>
      </w:r>
      <w:r>
        <w:rPr>
          <w:w w:val="105"/>
          <w:sz w:val="13"/>
        </w:rPr>
        <w:t>en</w:t>
      </w:r>
      <w:r>
        <w:rPr>
          <w:spacing w:val="-4"/>
          <w:w w:val="105"/>
          <w:sz w:val="13"/>
        </w:rPr>
        <w:t xml:space="preserve"> </w:t>
      </w:r>
      <w:r>
        <w:rPr>
          <w:w w:val="105"/>
          <w:sz w:val="13"/>
        </w:rPr>
        <w:t>la</w:t>
      </w:r>
      <w:r>
        <w:rPr>
          <w:spacing w:val="-4"/>
          <w:w w:val="105"/>
          <w:sz w:val="13"/>
        </w:rPr>
        <w:t xml:space="preserve"> </w:t>
      </w:r>
      <w:r>
        <w:rPr>
          <w:w w:val="105"/>
          <w:sz w:val="13"/>
        </w:rPr>
        <w:t>medida</w:t>
      </w:r>
      <w:r>
        <w:rPr>
          <w:spacing w:val="-4"/>
          <w:w w:val="105"/>
          <w:sz w:val="13"/>
        </w:rPr>
        <w:t xml:space="preserve"> </w:t>
      </w:r>
      <w:r>
        <w:rPr>
          <w:w w:val="105"/>
          <w:sz w:val="13"/>
        </w:rPr>
        <w:t>en</w:t>
      </w:r>
      <w:r>
        <w:rPr>
          <w:spacing w:val="-4"/>
          <w:w w:val="105"/>
          <w:sz w:val="13"/>
        </w:rPr>
        <w:t xml:space="preserve"> </w:t>
      </w:r>
      <w:r>
        <w:rPr>
          <w:w w:val="105"/>
          <w:sz w:val="13"/>
        </w:rPr>
        <w:t>que</w:t>
      </w:r>
      <w:r>
        <w:rPr>
          <w:spacing w:val="-4"/>
          <w:w w:val="105"/>
          <w:sz w:val="13"/>
        </w:rPr>
        <w:t xml:space="preserve"> </w:t>
      </w:r>
      <w:r>
        <w:rPr>
          <w:w w:val="105"/>
          <w:sz w:val="13"/>
        </w:rPr>
        <w:t>la</w:t>
      </w:r>
      <w:r>
        <w:rPr>
          <w:spacing w:val="-4"/>
          <w:w w:val="105"/>
          <w:sz w:val="13"/>
        </w:rPr>
        <w:t xml:space="preserve"> </w:t>
      </w:r>
      <w:r>
        <w:rPr>
          <w:w w:val="105"/>
          <w:sz w:val="13"/>
        </w:rPr>
        <w:t>obligación</w:t>
      </w:r>
      <w:r>
        <w:rPr>
          <w:spacing w:val="-4"/>
          <w:w w:val="105"/>
          <w:sz w:val="13"/>
        </w:rPr>
        <w:t xml:space="preserve"> </w:t>
      </w:r>
      <w:r>
        <w:rPr>
          <w:w w:val="105"/>
          <w:sz w:val="13"/>
        </w:rPr>
        <w:t>de</w:t>
      </w:r>
      <w:r>
        <w:rPr>
          <w:spacing w:val="-4"/>
          <w:w w:val="105"/>
          <w:sz w:val="13"/>
        </w:rPr>
        <w:t xml:space="preserve"> </w:t>
      </w:r>
      <w:r>
        <w:rPr>
          <w:w w:val="105"/>
          <w:sz w:val="13"/>
        </w:rPr>
        <w:t>utilizar</w:t>
      </w:r>
      <w:r>
        <w:rPr>
          <w:spacing w:val="-4"/>
          <w:w w:val="105"/>
          <w:sz w:val="13"/>
        </w:rPr>
        <w:t xml:space="preserve"> </w:t>
      </w:r>
      <w:r>
        <w:rPr>
          <w:w w:val="105"/>
          <w:sz w:val="13"/>
        </w:rPr>
        <w:t>fuerza</w:t>
      </w:r>
      <w:r>
        <w:rPr>
          <w:spacing w:val="-4"/>
          <w:w w:val="105"/>
          <w:sz w:val="13"/>
        </w:rPr>
        <w:t xml:space="preserve"> </w:t>
      </w:r>
      <w:r>
        <w:rPr>
          <w:w w:val="105"/>
          <w:sz w:val="13"/>
        </w:rPr>
        <w:t>letal</w:t>
      </w:r>
      <w:r>
        <w:rPr>
          <w:spacing w:val="-4"/>
          <w:w w:val="105"/>
          <w:sz w:val="13"/>
        </w:rPr>
        <w:t xml:space="preserve"> </w:t>
      </w:r>
      <w:r>
        <w:rPr>
          <w:w w:val="105"/>
          <w:sz w:val="13"/>
        </w:rPr>
        <w:t>puede</w:t>
      </w:r>
      <w:r>
        <w:rPr>
          <w:spacing w:val="40"/>
          <w:w w:val="105"/>
          <w:sz w:val="13"/>
        </w:rPr>
        <w:t xml:space="preserve"> </w:t>
      </w:r>
      <w:r>
        <w:rPr>
          <w:w w:val="105"/>
          <w:sz w:val="13"/>
        </w:rPr>
        <w:t>entrar</w:t>
      </w:r>
      <w:r>
        <w:rPr>
          <w:spacing w:val="-5"/>
          <w:w w:val="105"/>
          <w:sz w:val="13"/>
        </w:rPr>
        <w:t xml:space="preserve"> </w:t>
      </w:r>
      <w:r>
        <w:rPr>
          <w:w w:val="105"/>
          <w:sz w:val="13"/>
        </w:rPr>
        <w:t>en</w:t>
      </w:r>
      <w:r>
        <w:rPr>
          <w:spacing w:val="-5"/>
          <w:w w:val="105"/>
          <w:sz w:val="13"/>
        </w:rPr>
        <w:t xml:space="preserve"> </w:t>
      </w:r>
      <w:r>
        <w:rPr>
          <w:w w:val="105"/>
          <w:sz w:val="13"/>
        </w:rPr>
        <w:t>grave</w:t>
      </w:r>
      <w:r>
        <w:rPr>
          <w:spacing w:val="-5"/>
          <w:w w:val="105"/>
          <w:sz w:val="13"/>
        </w:rPr>
        <w:t xml:space="preserve"> </w:t>
      </w:r>
      <w:r>
        <w:rPr>
          <w:w w:val="105"/>
          <w:sz w:val="13"/>
        </w:rPr>
        <w:t>conflicto</w:t>
      </w:r>
      <w:r>
        <w:rPr>
          <w:spacing w:val="-5"/>
          <w:w w:val="105"/>
          <w:sz w:val="13"/>
        </w:rPr>
        <w:t xml:space="preserve"> </w:t>
      </w:r>
      <w:r>
        <w:rPr>
          <w:w w:val="105"/>
          <w:sz w:val="13"/>
        </w:rPr>
        <w:t>con</w:t>
      </w:r>
      <w:r>
        <w:rPr>
          <w:spacing w:val="-5"/>
          <w:w w:val="105"/>
          <w:sz w:val="13"/>
        </w:rPr>
        <w:t xml:space="preserve"> </w:t>
      </w:r>
      <w:r>
        <w:rPr>
          <w:w w:val="105"/>
          <w:sz w:val="13"/>
        </w:rPr>
        <w:t>la</w:t>
      </w:r>
      <w:r>
        <w:rPr>
          <w:spacing w:val="-5"/>
          <w:w w:val="105"/>
          <w:sz w:val="13"/>
        </w:rPr>
        <w:t xml:space="preserve"> </w:t>
      </w:r>
      <w:r>
        <w:rPr>
          <w:w w:val="105"/>
          <w:sz w:val="13"/>
        </w:rPr>
        <w:t>libertad</w:t>
      </w:r>
      <w:r>
        <w:rPr>
          <w:spacing w:val="-5"/>
          <w:w w:val="105"/>
          <w:sz w:val="13"/>
        </w:rPr>
        <w:t xml:space="preserve"> </w:t>
      </w:r>
      <w:r>
        <w:rPr>
          <w:w w:val="105"/>
          <w:sz w:val="13"/>
        </w:rPr>
        <w:t>de</w:t>
      </w:r>
      <w:r>
        <w:rPr>
          <w:spacing w:val="-5"/>
          <w:w w:val="105"/>
          <w:sz w:val="13"/>
        </w:rPr>
        <w:t xml:space="preserve"> </w:t>
      </w:r>
      <w:r>
        <w:rPr>
          <w:w w:val="105"/>
          <w:sz w:val="13"/>
        </w:rPr>
        <w:t>conciencia</w:t>
      </w:r>
      <w:r>
        <w:rPr>
          <w:spacing w:val="-5"/>
          <w:w w:val="105"/>
          <w:sz w:val="13"/>
        </w:rPr>
        <w:t xml:space="preserve"> </w:t>
      </w:r>
      <w:r>
        <w:rPr>
          <w:w w:val="105"/>
          <w:sz w:val="13"/>
        </w:rPr>
        <w:t>y</w:t>
      </w:r>
      <w:r>
        <w:rPr>
          <w:spacing w:val="-5"/>
          <w:w w:val="105"/>
          <w:sz w:val="13"/>
        </w:rPr>
        <w:t xml:space="preserve"> </w:t>
      </w:r>
      <w:r>
        <w:rPr>
          <w:w w:val="105"/>
          <w:sz w:val="13"/>
        </w:rPr>
        <w:t>el</w:t>
      </w:r>
      <w:r>
        <w:rPr>
          <w:spacing w:val="-5"/>
          <w:w w:val="105"/>
          <w:sz w:val="13"/>
        </w:rPr>
        <w:t xml:space="preserve"> </w:t>
      </w:r>
      <w:r>
        <w:rPr>
          <w:w w:val="105"/>
          <w:sz w:val="13"/>
        </w:rPr>
        <w:t>derecho</w:t>
      </w:r>
      <w:r>
        <w:rPr>
          <w:spacing w:val="-5"/>
          <w:w w:val="105"/>
          <w:sz w:val="13"/>
        </w:rPr>
        <w:t xml:space="preserve"> </w:t>
      </w:r>
      <w:r>
        <w:rPr>
          <w:w w:val="105"/>
          <w:sz w:val="13"/>
        </w:rPr>
        <w:t>a</w:t>
      </w:r>
      <w:r>
        <w:rPr>
          <w:spacing w:val="-5"/>
          <w:w w:val="105"/>
          <w:sz w:val="13"/>
        </w:rPr>
        <w:t xml:space="preserve"> </w:t>
      </w:r>
      <w:r>
        <w:rPr>
          <w:w w:val="105"/>
          <w:sz w:val="13"/>
        </w:rPr>
        <w:t>manifestar</w:t>
      </w:r>
      <w:r>
        <w:rPr>
          <w:spacing w:val="-5"/>
          <w:w w:val="105"/>
          <w:sz w:val="13"/>
        </w:rPr>
        <w:t xml:space="preserve"> </w:t>
      </w:r>
      <w:r>
        <w:rPr>
          <w:w w:val="105"/>
          <w:sz w:val="13"/>
        </w:rPr>
        <w:t>la</w:t>
      </w:r>
      <w:r>
        <w:rPr>
          <w:spacing w:val="-5"/>
          <w:w w:val="105"/>
          <w:sz w:val="13"/>
        </w:rPr>
        <w:t xml:space="preserve"> </w:t>
      </w:r>
      <w:r>
        <w:rPr>
          <w:w w:val="105"/>
          <w:sz w:val="13"/>
        </w:rPr>
        <w:t>propia</w:t>
      </w:r>
      <w:r>
        <w:rPr>
          <w:spacing w:val="-5"/>
          <w:w w:val="105"/>
          <w:sz w:val="13"/>
        </w:rPr>
        <w:t xml:space="preserve"> </w:t>
      </w:r>
      <w:r>
        <w:rPr>
          <w:w w:val="105"/>
          <w:sz w:val="13"/>
        </w:rPr>
        <w:t>religión</w:t>
      </w:r>
      <w:r>
        <w:rPr>
          <w:spacing w:val="-5"/>
          <w:w w:val="105"/>
          <w:sz w:val="13"/>
        </w:rPr>
        <w:t xml:space="preserve"> </w:t>
      </w:r>
      <w:r>
        <w:rPr>
          <w:w w:val="105"/>
          <w:sz w:val="13"/>
        </w:rPr>
        <w:t>o</w:t>
      </w:r>
      <w:r>
        <w:rPr>
          <w:spacing w:val="-5"/>
          <w:w w:val="105"/>
          <w:sz w:val="13"/>
        </w:rPr>
        <w:t xml:space="preserve"> </w:t>
      </w:r>
      <w:r>
        <w:rPr>
          <w:w w:val="105"/>
          <w:sz w:val="13"/>
        </w:rPr>
        <w:t>creencia.</w:t>
      </w:r>
      <w:r>
        <w:rPr>
          <w:spacing w:val="-5"/>
          <w:w w:val="105"/>
          <w:sz w:val="13"/>
        </w:rPr>
        <w:t xml:space="preserve"> </w:t>
      </w:r>
      <w:r>
        <w:rPr>
          <w:w w:val="105"/>
          <w:sz w:val="13"/>
        </w:rPr>
        <w:t>Cuando</w:t>
      </w:r>
      <w:r>
        <w:rPr>
          <w:spacing w:val="-5"/>
          <w:w w:val="105"/>
          <w:sz w:val="13"/>
        </w:rPr>
        <w:t xml:space="preserve"> </w:t>
      </w:r>
      <w:r>
        <w:rPr>
          <w:w w:val="105"/>
          <w:sz w:val="13"/>
        </w:rPr>
        <w:t>este</w:t>
      </w:r>
      <w:r>
        <w:rPr>
          <w:spacing w:val="-5"/>
          <w:w w:val="105"/>
          <w:sz w:val="13"/>
        </w:rPr>
        <w:t xml:space="preserve"> </w:t>
      </w:r>
      <w:r>
        <w:rPr>
          <w:w w:val="105"/>
          <w:sz w:val="13"/>
        </w:rPr>
        <w:t>derecho</w:t>
      </w:r>
      <w:r>
        <w:rPr>
          <w:spacing w:val="-5"/>
          <w:w w:val="105"/>
          <w:sz w:val="13"/>
        </w:rPr>
        <w:t xml:space="preserve"> </w:t>
      </w:r>
      <w:r>
        <w:rPr>
          <w:w w:val="105"/>
          <w:sz w:val="13"/>
        </w:rPr>
        <w:t>sea</w:t>
      </w:r>
      <w:r>
        <w:rPr>
          <w:spacing w:val="-5"/>
          <w:w w:val="105"/>
          <w:sz w:val="13"/>
        </w:rPr>
        <w:t xml:space="preserve"> </w:t>
      </w:r>
      <w:r>
        <w:rPr>
          <w:w w:val="105"/>
          <w:sz w:val="13"/>
        </w:rPr>
        <w:t>reconocido</w:t>
      </w:r>
      <w:r>
        <w:rPr>
          <w:spacing w:val="40"/>
          <w:w w:val="105"/>
          <w:sz w:val="13"/>
        </w:rPr>
        <w:t xml:space="preserve"> </w:t>
      </w:r>
      <w:r>
        <w:rPr>
          <w:w w:val="105"/>
          <w:sz w:val="13"/>
        </w:rPr>
        <w:t>por</w:t>
      </w:r>
      <w:r>
        <w:rPr>
          <w:spacing w:val="-8"/>
          <w:w w:val="105"/>
          <w:sz w:val="13"/>
        </w:rPr>
        <w:t xml:space="preserve"> </w:t>
      </w:r>
      <w:r>
        <w:rPr>
          <w:w w:val="105"/>
          <w:sz w:val="13"/>
        </w:rPr>
        <w:t>la</w:t>
      </w:r>
      <w:r>
        <w:rPr>
          <w:spacing w:val="-8"/>
          <w:w w:val="105"/>
          <w:sz w:val="13"/>
        </w:rPr>
        <w:t xml:space="preserve"> </w:t>
      </w:r>
      <w:r>
        <w:rPr>
          <w:w w:val="105"/>
          <w:sz w:val="13"/>
        </w:rPr>
        <w:t>ley</w:t>
      </w:r>
      <w:r>
        <w:rPr>
          <w:spacing w:val="-8"/>
          <w:w w:val="105"/>
          <w:sz w:val="13"/>
        </w:rPr>
        <w:t xml:space="preserve"> </w:t>
      </w:r>
      <w:r>
        <w:rPr>
          <w:w w:val="105"/>
          <w:sz w:val="13"/>
        </w:rPr>
        <w:t>o</w:t>
      </w:r>
      <w:r>
        <w:rPr>
          <w:spacing w:val="-8"/>
          <w:w w:val="105"/>
          <w:sz w:val="13"/>
        </w:rPr>
        <w:t xml:space="preserve"> </w:t>
      </w:r>
      <w:r>
        <w:rPr>
          <w:w w:val="105"/>
          <w:sz w:val="13"/>
        </w:rPr>
        <w:t>la</w:t>
      </w:r>
      <w:r>
        <w:rPr>
          <w:spacing w:val="-8"/>
          <w:w w:val="105"/>
          <w:sz w:val="13"/>
        </w:rPr>
        <w:t xml:space="preserve"> </w:t>
      </w:r>
      <w:r>
        <w:rPr>
          <w:w w:val="105"/>
          <w:sz w:val="13"/>
        </w:rPr>
        <w:t>práctica,</w:t>
      </w:r>
      <w:r>
        <w:rPr>
          <w:spacing w:val="-8"/>
          <w:w w:val="105"/>
          <w:sz w:val="13"/>
        </w:rPr>
        <w:t xml:space="preserve"> </w:t>
      </w:r>
      <w:r>
        <w:rPr>
          <w:w w:val="105"/>
          <w:sz w:val="13"/>
        </w:rPr>
        <w:t>no</w:t>
      </w:r>
      <w:r>
        <w:rPr>
          <w:spacing w:val="-8"/>
          <w:w w:val="105"/>
          <w:sz w:val="13"/>
        </w:rPr>
        <w:t xml:space="preserve"> </w:t>
      </w:r>
      <w:r>
        <w:rPr>
          <w:w w:val="105"/>
          <w:sz w:val="13"/>
        </w:rPr>
        <w:t>habrá</w:t>
      </w:r>
      <w:r>
        <w:rPr>
          <w:spacing w:val="-8"/>
          <w:w w:val="105"/>
          <w:sz w:val="13"/>
        </w:rPr>
        <w:t xml:space="preserve"> </w:t>
      </w:r>
      <w:r>
        <w:rPr>
          <w:w w:val="105"/>
          <w:sz w:val="13"/>
        </w:rPr>
        <w:t>diferenciación</w:t>
      </w:r>
      <w:r>
        <w:rPr>
          <w:spacing w:val="-8"/>
          <w:w w:val="105"/>
          <w:sz w:val="13"/>
        </w:rPr>
        <w:t xml:space="preserve"> </w:t>
      </w:r>
      <w:r>
        <w:rPr>
          <w:w w:val="105"/>
          <w:sz w:val="13"/>
        </w:rPr>
        <w:t>entre</w:t>
      </w:r>
      <w:r>
        <w:rPr>
          <w:spacing w:val="-8"/>
          <w:w w:val="105"/>
          <w:sz w:val="13"/>
        </w:rPr>
        <w:t xml:space="preserve"> </w:t>
      </w:r>
      <w:r>
        <w:rPr>
          <w:w w:val="105"/>
          <w:sz w:val="13"/>
        </w:rPr>
        <w:t>los</w:t>
      </w:r>
      <w:r>
        <w:rPr>
          <w:spacing w:val="-8"/>
          <w:w w:val="105"/>
          <w:sz w:val="13"/>
        </w:rPr>
        <w:t xml:space="preserve"> </w:t>
      </w:r>
      <w:r>
        <w:rPr>
          <w:w w:val="105"/>
          <w:sz w:val="13"/>
        </w:rPr>
        <w:t>objetores</w:t>
      </w:r>
      <w:r>
        <w:rPr>
          <w:spacing w:val="-9"/>
          <w:w w:val="105"/>
          <w:sz w:val="13"/>
        </w:rPr>
        <w:t xml:space="preserve"> </w:t>
      </w:r>
      <w:r>
        <w:rPr>
          <w:w w:val="105"/>
          <w:sz w:val="13"/>
        </w:rPr>
        <w:t>de</w:t>
      </w:r>
      <w:r>
        <w:rPr>
          <w:spacing w:val="-8"/>
          <w:w w:val="105"/>
          <w:sz w:val="13"/>
        </w:rPr>
        <w:t xml:space="preserve"> </w:t>
      </w:r>
      <w:r>
        <w:rPr>
          <w:w w:val="105"/>
          <w:sz w:val="13"/>
        </w:rPr>
        <w:t>conciencia</w:t>
      </w:r>
      <w:r>
        <w:rPr>
          <w:spacing w:val="-8"/>
          <w:w w:val="105"/>
          <w:sz w:val="13"/>
        </w:rPr>
        <w:t xml:space="preserve"> </w:t>
      </w:r>
      <w:r>
        <w:rPr>
          <w:w w:val="105"/>
          <w:sz w:val="13"/>
        </w:rPr>
        <w:t>sobre</w:t>
      </w:r>
      <w:r>
        <w:rPr>
          <w:spacing w:val="-8"/>
          <w:w w:val="105"/>
          <w:sz w:val="13"/>
        </w:rPr>
        <w:t xml:space="preserve"> </w:t>
      </w:r>
      <w:r>
        <w:rPr>
          <w:w w:val="105"/>
          <w:sz w:val="13"/>
        </w:rPr>
        <w:t>la</w:t>
      </w:r>
      <w:r>
        <w:rPr>
          <w:spacing w:val="-8"/>
          <w:w w:val="105"/>
          <w:sz w:val="13"/>
        </w:rPr>
        <w:t xml:space="preserve"> </w:t>
      </w:r>
      <w:r>
        <w:rPr>
          <w:w w:val="105"/>
          <w:sz w:val="13"/>
        </w:rPr>
        <w:t>base</w:t>
      </w:r>
      <w:r>
        <w:rPr>
          <w:spacing w:val="-8"/>
          <w:w w:val="105"/>
          <w:sz w:val="13"/>
        </w:rPr>
        <w:t xml:space="preserve"> </w:t>
      </w:r>
      <w:r>
        <w:rPr>
          <w:w w:val="105"/>
          <w:sz w:val="13"/>
        </w:rPr>
        <w:t>de</w:t>
      </w:r>
      <w:r>
        <w:rPr>
          <w:spacing w:val="-8"/>
          <w:w w:val="105"/>
          <w:sz w:val="13"/>
        </w:rPr>
        <w:t xml:space="preserve"> </w:t>
      </w:r>
      <w:r>
        <w:rPr>
          <w:w w:val="105"/>
          <w:sz w:val="13"/>
        </w:rPr>
        <w:t>la</w:t>
      </w:r>
      <w:r>
        <w:rPr>
          <w:spacing w:val="-8"/>
          <w:w w:val="105"/>
          <w:sz w:val="13"/>
        </w:rPr>
        <w:t xml:space="preserve"> </w:t>
      </w:r>
      <w:r>
        <w:rPr>
          <w:w w:val="105"/>
          <w:sz w:val="13"/>
        </w:rPr>
        <w:t>naturaleza</w:t>
      </w:r>
      <w:r>
        <w:rPr>
          <w:spacing w:val="-8"/>
          <w:w w:val="105"/>
          <w:sz w:val="13"/>
        </w:rPr>
        <w:t xml:space="preserve"> </w:t>
      </w:r>
      <w:r>
        <w:rPr>
          <w:w w:val="105"/>
          <w:sz w:val="13"/>
        </w:rPr>
        <w:t>de</w:t>
      </w:r>
      <w:r>
        <w:rPr>
          <w:spacing w:val="-8"/>
          <w:w w:val="105"/>
          <w:sz w:val="13"/>
        </w:rPr>
        <w:t xml:space="preserve"> </w:t>
      </w:r>
      <w:r>
        <w:rPr>
          <w:w w:val="105"/>
          <w:sz w:val="13"/>
        </w:rPr>
        <w:t>sus</w:t>
      </w:r>
      <w:r>
        <w:rPr>
          <w:spacing w:val="-8"/>
          <w:w w:val="105"/>
          <w:sz w:val="13"/>
        </w:rPr>
        <w:t xml:space="preserve"> </w:t>
      </w:r>
      <w:r>
        <w:rPr>
          <w:w w:val="105"/>
          <w:sz w:val="13"/>
        </w:rPr>
        <w:t>creencias</w:t>
      </w:r>
      <w:r>
        <w:rPr>
          <w:spacing w:val="-8"/>
          <w:w w:val="105"/>
          <w:sz w:val="13"/>
        </w:rPr>
        <w:t xml:space="preserve"> </w:t>
      </w:r>
      <w:r>
        <w:rPr>
          <w:w w:val="105"/>
          <w:sz w:val="13"/>
        </w:rPr>
        <w:t>particulares;</w:t>
      </w:r>
      <w:r>
        <w:rPr>
          <w:spacing w:val="40"/>
          <w:w w:val="105"/>
          <w:sz w:val="13"/>
        </w:rPr>
        <w:t xml:space="preserve"> </w:t>
      </w:r>
      <w:r>
        <w:rPr>
          <w:w w:val="105"/>
          <w:sz w:val="13"/>
        </w:rPr>
        <w:t>asimismo,</w:t>
      </w:r>
      <w:r>
        <w:rPr>
          <w:spacing w:val="-4"/>
          <w:w w:val="105"/>
          <w:sz w:val="13"/>
        </w:rPr>
        <w:t xml:space="preserve"> </w:t>
      </w:r>
      <w:r>
        <w:rPr>
          <w:w w:val="105"/>
          <w:sz w:val="13"/>
        </w:rPr>
        <w:t>no</w:t>
      </w:r>
      <w:r>
        <w:rPr>
          <w:spacing w:val="-4"/>
          <w:w w:val="105"/>
          <w:sz w:val="13"/>
        </w:rPr>
        <w:t xml:space="preserve"> </w:t>
      </w:r>
      <w:r>
        <w:rPr>
          <w:w w:val="105"/>
          <w:sz w:val="13"/>
        </w:rPr>
        <w:t>habrá</w:t>
      </w:r>
      <w:r>
        <w:rPr>
          <w:spacing w:val="-4"/>
          <w:w w:val="105"/>
          <w:sz w:val="13"/>
        </w:rPr>
        <w:t xml:space="preserve"> </w:t>
      </w:r>
      <w:r>
        <w:rPr>
          <w:w w:val="105"/>
          <w:sz w:val="13"/>
        </w:rPr>
        <w:t>discriminación</w:t>
      </w:r>
      <w:r>
        <w:rPr>
          <w:spacing w:val="-4"/>
          <w:w w:val="105"/>
          <w:sz w:val="13"/>
        </w:rPr>
        <w:t xml:space="preserve"> </w:t>
      </w:r>
      <w:r>
        <w:rPr>
          <w:w w:val="105"/>
          <w:sz w:val="13"/>
        </w:rPr>
        <w:t>contra</w:t>
      </w:r>
      <w:r>
        <w:rPr>
          <w:spacing w:val="-4"/>
          <w:w w:val="105"/>
          <w:sz w:val="13"/>
        </w:rPr>
        <w:t xml:space="preserve"> </w:t>
      </w:r>
      <w:r>
        <w:rPr>
          <w:w w:val="105"/>
          <w:sz w:val="13"/>
        </w:rPr>
        <w:t>los</w:t>
      </w:r>
      <w:r>
        <w:rPr>
          <w:spacing w:val="-4"/>
          <w:w w:val="105"/>
          <w:sz w:val="13"/>
        </w:rPr>
        <w:t xml:space="preserve"> </w:t>
      </w:r>
      <w:r>
        <w:rPr>
          <w:w w:val="105"/>
          <w:sz w:val="13"/>
        </w:rPr>
        <w:t>objetores</w:t>
      </w:r>
      <w:r>
        <w:rPr>
          <w:spacing w:val="-5"/>
          <w:w w:val="105"/>
          <w:sz w:val="13"/>
        </w:rPr>
        <w:t xml:space="preserve"> </w:t>
      </w:r>
      <w:r>
        <w:rPr>
          <w:w w:val="105"/>
          <w:sz w:val="13"/>
        </w:rPr>
        <w:t>de</w:t>
      </w:r>
      <w:r>
        <w:rPr>
          <w:spacing w:val="-4"/>
          <w:w w:val="105"/>
          <w:sz w:val="13"/>
        </w:rPr>
        <w:t xml:space="preserve"> </w:t>
      </w:r>
      <w:r>
        <w:rPr>
          <w:w w:val="105"/>
          <w:sz w:val="13"/>
        </w:rPr>
        <w:t>conciencia</w:t>
      </w:r>
      <w:r>
        <w:rPr>
          <w:spacing w:val="-4"/>
          <w:w w:val="105"/>
          <w:sz w:val="13"/>
        </w:rPr>
        <w:t xml:space="preserve"> </w:t>
      </w:r>
      <w:r>
        <w:rPr>
          <w:w w:val="105"/>
          <w:sz w:val="13"/>
        </w:rPr>
        <w:t>por</w:t>
      </w:r>
      <w:r>
        <w:rPr>
          <w:spacing w:val="-4"/>
          <w:w w:val="105"/>
          <w:sz w:val="13"/>
        </w:rPr>
        <w:t xml:space="preserve"> </w:t>
      </w:r>
      <w:r>
        <w:rPr>
          <w:w w:val="105"/>
          <w:sz w:val="13"/>
        </w:rPr>
        <w:t>no</w:t>
      </w:r>
      <w:r>
        <w:rPr>
          <w:spacing w:val="-4"/>
          <w:w w:val="105"/>
          <w:sz w:val="13"/>
        </w:rPr>
        <w:t xml:space="preserve"> </w:t>
      </w:r>
      <w:r>
        <w:rPr>
          <w:w w:val="105"/>
          <w:sz w:val="13"/>
        </w:rPr>
        <w:t>haber</w:t>
      </w:r>
      <w:r>
        <w:rPr>
          <w:spacing w:val="-4"/>
          <w:w w:val="105"/>
          <w:sz w:val="13"/>
        </w:rPr>
        <w:t xml:space="preserve"> </w:t>
      </w:r>
      <w:r>
        <w:rPr>
          <w:w w:val="105"/>
          <w:sz w:val="13"/>
        </w:rPr>
        <w:t>cumplido</w:t>
      </w:r>
      <w:r>
        <w:rPr>
          <w:spacing w:val="-4"/>
          <w:w w:val="105"/>
          <w:sz w:val="13"/>
        </w:rPr>
        <w:t xml:space="preserve"> </w:t>
      </w:r>
      <w:r>
        <w:rPr>
          <w:w w:val="105"/>
          <w:sz w:val="13"/>
        </w:rPr>
        <w:t>el</w:t>
      </w:r>
      <w:r>
        <w:rPr>
          <w:spacing w:val="-4"/>
          <w:w w:val="105"/>
          <w:sz w:val="13"/>
        </w:rPr>
        <w:t xml:space="preserve"> </w:t>
      </w:r>
      <w:r>
        <w:rPr>
          <w:w w:val="105"/>
          <w:sz w:val="13"/>
        </w:rPr>
        <w:t>servicio</w:t>
      </w:r>
      <w:r>
        <w:rPr>
          <w:spacing w:val="-4"/>
          <w:w w:val="105"/>
          <w:sz w:val="13"/>
        </w:rPr>
        <w:t xml:space="preserve"> </w:t>
      </w:r>
      <w:r>
        <w:rPr>
          <w:w w:val="105"/>
          <w:sz w:val="13"/>
        </w:rPr>
        <w:t>militar”.</w:t>
      </w:r>
      <w:r>
        <w:rPr>
          <w:spacing w:val="-4"/>
          <w:w w:val="105"/>
          <w:sz w:val="13"/>
        </w:rPr>
        <w:t xml:space="preserve"> </w:t>
      </w:r>
      <w:r>
        <w:rPr>
          <w:w w:val="105"/>
          <w:sz w:val="13"/>
        </w:rPr>
        <w:t>Véase</w:t>
      </w:r>
      <w:r>
        <w:rPr>
          <w:spacing w:val="-4"/>
          <w:w w:val="105"/>
          <w:sz w:val="13"/>
        </w:rPr>
        <w:t xml:space="preserve"> </w:t>
      </w:r>
      <w:r>
        <w:rPr>
          <w:w w:val="105"/>
          <w:sz w:val="13"/>
        </w:rPr>
        <w:t>Comité</w:t>
      </w:r>
      <w:r>
        <w:rPr>
          <w:spacing w:val="-4"/>
          <w:w w:val="105"/>
          <w:sz w:val="13"/>
        </w:rPr>
        <w:t xml:space="preserve"> </w:t>
      </w:r>
      <w:r>
        <w:rPr>
          <w:w w:val="105"/>
          <w:sz w:val="13"/>
        </w:rPr>
        <w:t>de</w:t>
      </w:r>
      <w:r>
        <w:rPr>
          <w:spacing w:val="-4"/>
          <w:w w:val="105"/>
          <w:sz w:val="13"/>
        </w:rPr>
        <w:t xml:space="preserve"> </w:t>
      </w:r>
      <w:r>
        <w:rPr>
          <w:w w:val="105"/>
          <w:sz w:val="13"/>
        </w:rPr>
        <w:t>Derechos</w:t>
      </w:r>
      <w:r>
        <w:rPr>
          <w:spacing w:val="40"/>
          <w:w w:val="105"/>
          <w:sz w:val="13"/>
        </w:rPr>
        <w:t xml:space="preserve"> </w:t>
      </w:r>
      <w:r>
        <w:rPr>
          <w:w w:val="105"/>
          <w:sz w:val="13"/>
        </w:rPr>
        <w:t>Humanos,</w:t>
      </w:r>
      <w:r>
        <w:rPr>
          <w:spacing w:val="-5"/>
          <w:w w:val="105"/>
          <w:sz w:val="13"/>
        </w:rPr>
        <w:t xml:space="preserve"> </w:t>
      </w:r>
      <w:r>
        <w:rPr>
          <w:w w:val="105"/>
          <w:sz w:val="13"/>
        </w:rPr>
        <w:t>observación</w:t>
      </w:r>
      <w:r>
        <w:rPr>
          <w:spacing w:val="-5"/>
          <w:w w:val="105"/>
          <w:sz w:val="13"/>
        </w:rPr>
        <w:t xml:space="preserve"> </w:t>
      </w:r>
      <w:r>
        <w:rPr>
          <w:w w:val="105"/>
          <w:sz w:val="13"/>
        </w:rPr>
        <w:t>general</w:t>
      </w:r>
      <w:r>
        <w:rPr>
          <w:spacing w:val="-5"/>
          <w:w w:val="105"/>
          <w:sz w:val="13"/>
        </w:rPr>
        <w:t xml:space="preserve"> </w:t>
      </w:r>
      <w:r>
        <w:rPr>
          <w:w w:val="105"/>
          <w:sz w:val="13"/>
        </w:rPr>
        <w:t>núm.</w:t>
      </w:r>
      <w:r>
        <w:rPr>
          <w:spacing w:val="-5"/>
          <w:w w:val="105"/>
          <w:sz w:val="13"/>
        </w:rPr>
        <w:t xml:space="preserve"> </w:t>
      </w:r>
      <w:r>
        <w:rPr>
          <w:w w:val="105"/>
          <w:sz w:val="13"/>
        </w:rPr>
        <w:t>22</w:t>
      </w:r>
      <w:r>
        <w:rPr>
          <w:spacing w:val="-5"/>
          <w:w w:val="105"/>
          <w:sz w:val="13"/>
        </w:rPr>
        <w:t xml:space="preserve"> </w:t>
      </w:r>
      <w:r>
        <w:rPr>
          <w:w w:val="105"/>
          <w:sz w:val="13"/>
        </w:rPr>
        <w:t>(1993),</w:t>
      </w:r>
      <w:r>
        <w:rPr>
          <w:spacing w:val="-5"/>
          <w:w w:val="105"/>
          <w:sz w:val="13"/>
        </w:rPr>
        <w:t xml:space="preserve"> </w:t>
      </w:r>
      <w:r>
        <w:rPr>
          <w:w w:val="105"/>
          <w:sz w:val="13"/>
        </w:rPr>
        <w:t>párr.</w:t>
      </w:r>
      <w:r>
        <w:rPr>
          <w:spacing w:val="-5"/>
          <w:w w:val="105"/>
          <w:sz w:val="13"/>
        </w:rPr>
        <w:t xml:space="preserve"> </w:t>
      </w:r>
      <w:r>
        <w:rPr>
          <w:w w:val="105"/>
          <w:sz w:val="13"/>
        </w:rPr>
        <w:t>11.</w:t>
      </w:r>
      <w:r>
        <w:rPr>
          <w:spacing w:val="-5"/>
          <w:w w:val="105"/>
          <w:sz w:val="13"/>
        </w:rPr>
        <w:t xml:space="preserve"> </w:t>
      </w:r>
      <w:r>
        <w:rPr>
          <w:w w:val="105"/>
          <w:sz w:val="13"/>
        </w:rPr>
        <w:t>En</w:t>
      </w:r>
      <w:r>
        <w:rPr>
          <w:spacing w:val="-5"/>
          <w:w w:val="105"/>
          <w:sz w:val="13"/>
        </w:rPr>
        <w:t xml:space="preserve"> </w:t>
      </w:r>
      <w:r>
        <w:rPr>
          <w:w w:val="105"/>
          <w:sz w:val="13"/>
        </w:rPr>
        <w:t>el</w:t>
      </w:r>
      <w:r>
        <w:rPr>
          <w:spacing w:val="-5"/>
          <w:w w:val="105"/>
          <w:sz w:val="13"/>
        </w:rPr>
        <w:t xml:space="preserve"> </w:t>
      </w:r>
      <w:r>
        <w:rPr>
          <w:w w:val="105"/>
          <w:sz w:val="13"/>
        </w:rPr>
        <w:t>sistema</w:t>
      </w:r>
      <w:r>
        <w:rPr>
          <w:spacing w:val="-5"/>
          <w:w w:val="105"/>
          <w:sz w:val="13"/>
        </w:rPr>
        <w:t xml:space="preserve"> </w:t>
      </w:r>
      <w:r>
        <w:rPr>
          <w:w w:val="105"/>
          <w:sz w:val="13"/>
        </w:rPr>
        <w:t>interamericano,</w:t>
      </w:r>
      <w:r>
        <w:rPr>
          <w:spacing w:val="-4"/>
          <w:w w:val="105"/>
          <w:sz w:val="13"/>
        </w:rPr>
        <w:t xml:space="preserve"> </w:t>
      </w:r>
      <w:r>
        <w:rPr>
          <w:w w:val="105"/>
          <w:sz w:val="13"/>
        </w:rPr>
        <w:t>la</w:t>
      </w:r>
      <w:r>
        <w:rPr>
          <w:spacing w:val="-5"/>
          <w:w w:val="105"/>
          <w:sz w:val="13"/>
        </w:rPr>
        <w:t xml:space="preserve"> </w:t>
      </w:r>
      <w:r>
        <w:rPr>
          <w:w w:val="105"/>
          <w:sz w:val="13"/>
        </w:rPr>
        <w:t>Comisión</w:t>
      </w:r>
      <w:r>
        <w:rPr>
          <w:spacing w:val="-5"/>
          <w:w w:val="105"/>
          <w:sz w:val="13"/>
        </w:rPr>
        <w:t xml:space="preserve"> </w:t>
      </w:r>
      <w:r>
        <w:rPr>
          <w:w w:val="105"/>
          <w:sz w:val="13"/>
        </w:rPr>
        <w:t>Interamericana</w:t>
      </w:r>
      <w:r>
        <w:rPr>
          <w:spacing w:val="-5"/>
          <w:w w:val="105"/>
          <w:sz w:val="13"/>
        </w:rPr>
        <w:t xml:space="preserve"> </w:t>
      </w:r>
      <w:r>
        <w:rPr>
          <w:w w:val="105"/>
          <w:sz w:val="13"/>
        </w:rPr>
        <w:t>de</w:t>
      </w:r>
      <w:r>
        <w:rPr>
          <w:spacing w:val="-5"/>
          <w:w w:val="105"/>
          <w:sz w:val="13"/>
        </w:rPr>
        <w:t xml:space="preserve"> </w:t>
      </w:r>
      <w:r>
        <w:rPr>
          <w:w w:val="105"/>
          <w:sz w:val="13"/>
        </w:rPr>
        <w:t>Derechos</w:t>
      </w:r>
      <w:r>
        <w:rPr>
          <w:spacing w:val="-5"/>
          <w:w w:val="105"/>
          <w:sz w:val="13"/>
        </w:rPr>
        <w:t xml:space="preserve"> </w:t>
      </w:r>
      <w:r>
        <w:rPr>
          <w:w w:val="105"/>
          <w:sz w:val="13"/>
        </w:rPr>
        <w:t>Humanos</w:t>
      </w:r>
      <w:r>
        <w:rPr>
          <w:spacing w:val="-5"/>
          <w:w w:val="105"/>
          <w:sz w:val="13"/>
        </w:rPr>
        <w:t xml:space="preserve"> </w:t>
      </w:r>
      <w:r>
        <w:rPr>
          <w:w w:val="105"/>
          <w:sz w:val="13"/>
        </w:rPr>
        <w:t>se</w:t>
      </w:r>
    </w:p>
    <w:p w14:paraId="32475CDB" w14:textId="77777777" w:rsidR="0014798C" w:rsidRDefault="004E1F0B">
      <w:pPr>
        <w:spacing w:before="3" w:line="285" w:lineRule="auto"/>
        <w:ind w:left="1366" w:right="1626"/>
        <w:rPr>
          <w:sz w:val="13"/>
        </w:rPr>
      </w:pPr>
      <w:r>
        <w:rPr>
          <w:w w:val="105"/>
          <w:sz w:val="13"/>
        </w:rPr>
        <w:t>ha</w:t>
      </w:r>
      <w:r>
        <w:rPr>
          <w:spacing w:val="-3"/>
          <w:w w:val="105"/>
          <w:sz w:val="13"/>
        </w:rPr>
        <w:t xml:space="preserve"> </w:t>
      </w:r>
      <w:r>
        <w:rPr>
          <w:w w:val="105"/>
          <w:sz w:val="13"/>
        </w:rPr>
        <w:t>pronunciado</w:t>
      </w:r>
      <w:r>
        <w:rPr>
          <w:spacing w:val="-3"/>
          <w:w w:val="105"/>
          <w:sz w:val="13"/>
        </w:rPr>
        <w:t xml:space="preserve"> </w:t>
      </w:r>
      <w:r>
        <w:rPr>
          <w:w w:val="105"/>
          <w:sz w:val="13"/>
        </w:rPr>
        <w:t>sobre</w:t>
      </w:r>
      <w:r>
        <w:rPr>
          <w:spacing w:val="-3"/>
          <w:w w:val="105"/>
          <w:sz w:val="13"/>
        </w:rPr>
        <w:t xml:space="preserve"> </w:t>
      </w:r>
      <w:r>
        <w:rPr>
          <w:w w:val="105"/>
          <w:sz w:val="13"/>
        </w:rPr>
        <w:t>una</w:t>
      </w:r>
      <w:r>
        <w:rPr>
          <w:spacing w:val="-3"/>
          <w:w w:val="105"/>
          <w:sz w:val="13"/>
        </w:rPr>
        <w:t xml:space="preserve"> </w:t>
      </w:r>
      <w:r>
        <w:rPr>
          <w:w w:val="105"/>
          <w:sz w:val="13"/>
        </w:rPr>
        <w:t>serie</w:t>
      </w:r>
      <w:r>
        <w:rPr>
          <w:spacing w:val="-3"/>
          <w:w w:val="105"/>
          <w:sz w:val="13"/>
        </w:rPr>
        <w:t xml:space="preserve"> </w:t>
      </w:r>
      <w:r>
        <w:rPr>
          <w:w w:val="105"/>
          <w:sz w:val="13"/>
        </w:rPr>
        <w:t>de</w:t>
      </w:r>
      <w:r>
        <w:rPr>
          <w:spacing w:val="-3"/>
          <w:w w:val="105"/>
          <w:sz w:val="13"/>
        </w:rPr>
        <w:t xml:space="preserve"> </w:t>
      </w:r>
      <w:r>
        <w:rPr>
          <w:w w:val="105"/>
          <w:sz w:val="13"/>
        </w:rPr>
        <w:t>casos</w:t>
      </w:r>
      <w:r>
        <w:rPr>
          <w:spacing w:val="-3"/>
          <w:w w:val="105"/>
          <w:sz w:val="13"/>
        </w:rPr>
        <w:t xml:space="preserve"> </w:t>
      </w:r>
      <w:r>
        <w:rPr>
          <w:w w:val="105"/>
          <w:sz w:val="13"/>
        </w:rPr>
        <w:t>relacionados</w:t>
      </w:r>
      <w:r>
        <w:rPr>
          <w:spacing w:val="-3"/>
          <w:w w:val="105"/>
          <w:sz w:val="13"/>
        </w:rPr>
        <w:t xml:space="preserve"> </w:t>
      </w:r>
      <w:r>
        <w:rPr>
          <w:w w:val="105"/>
          <w:sz w:val="13"/>
        </w:rPr>
        <w:t>con</w:t>
      </w:r>
      <w:r>
        <w:rPr>
          <w:spacing w:val="-3"/>
          <w:w w:val="105"/>
          <w:sz w:val="13"/>
        </w:rPr>
        <w:t xml:space="preserve"> </w:t>
      </w:r>
      <w:r>
        <w:rPr>
          <w:w w:val="105"/>
          <w:sz w:val="13"/>
        </w:rPr>
        <w:t>los</w:t>
      </w:r>
      <w:r>
        <w:rPr>
          <w:spacing w:val="-3"/>
          <w:w w:val="105"/>
          <w:sz w:val="13"/>
        </w:rPr>
        <w:t xml:space="preserve"> </w:t>
      </w:r>
      <w:r>
        <w:rPr>
          <w:w w:val="105"/>
          <w:sz w:val="13"/>
        </w:rPr>
        <w:t>testigos</w:t>
      </w:r>
      <w:r>
        <w:rPr>
          <w:spacing w:val="-4"/>
          <w:w w:val="105"/>
          <w:sz w:val="13"/>
        </w:rPr>
        <w:t xml:space="preserve"> </w:t>
      </w:r>
      <w:r>
        <w:rPr>
          <w:w w:val="105"/>
          <w:sz w:val="13"/>
        </w:rPr>
        <w:t>de</w:t>
      </w:r>
      <w:r>
        <w:rPr>
          <w:spacing w:val="-3"/>
          <w:w w:val="105"/>
          <w:sz w:val="13"/>
        </w:rPr>
        <w:t xml:space="preserve"> </w:t>
      </w:r>
      <w:r>
        <w:rPr>
          <w:w w:val="105"/>
          <w:sz w:val="13"/>
        </w:rPr>
        <w:t>Jehová</w:t>
      </w:r>
      <w:r>
        <w:rPr>
          <w:spacing w:val="-3"/>
          <w:w w:val="105"/>
          <w:sz w:val="13"/>
        </w:rPr>
        <w:t xml:space="preserve"> </w:t>
      </w:r>
      <w:r>
        <w:rPr>
          <w:w w:val="105"/>
          <w:sz w:val="13"/>
        </w:rPr>
        <w:t>y</w:t>
      </w:r>
      <w:r>
        <w:rPr>
          <w:spacing w:val="-3"/>
          <w:w w:val="105"/>
          <w:sz w:val="13"/>
        </w:rPr>
        <w:t xml:space="preserve"> </w:t>
      </w:r>
      <w:r>
        <w:rPr>
          <w:w w:val="105"/>
          <w:sz w:val="13"/>
        </w:rPr>
        <w:t>limitaciones</w:t>
      </w:r>
      <w:r>
        <w:rPr>
          <w:spacing w:val="-4"/>
          <w:w w:val="105"/>
          <w:sz w:val="13"/>
        </w:rPr>
        <w:t xml:space="preserve"> </w:t>
      </w:r>
      <w:r>
        <w:rPr>
          <w:w w:val="105"/>
          <w:sz w:val="13"/>
        </w:rPr>
        <w:t>legítimas</w:t>
      </w:r>
      <w:r>
        <w:rPr>
          <w:spacing w:val="-4"/>
          <w:w w:val="105"/>
          <w:sz w:val="13"/>
        </w:rPr>
        <w:t xml:space="preserve"> </w:t>
      </w:r>
      <w:r>
        <w:rPr>
          <w:w w:val="105"/>
          <w:sz w:val="13"/>
        </w:rPr>
        <w:t>del</w:t>
      </w:r>
      <w:r>
        <w:rPr>
          <w:spacing w:val="-3"/>
          <w:w w:val="105"/>
          <w:sz w:val="13"/>
        </w:rPr>
        <w:t xml:space="preserve"> </w:t>
      </w:r>
      <w:r>
        <w:rPr>
          <w:w w:val="105"/>
          <w:sz w:val="13"/>
        </w:rPr>
        <w:t>derecho.</w:t>
      </w:r>
      <w:r>
        <w:rPr>
          <w:spacing w:val="-3"/>
          <w:w w:val="105"/>
          <w:sz w:val="13"/>
        </w:rPr>
        <w:t xml:space="preserve"> </w:t>
      </w:r>
      <w:r>
        <w:rPr>
          <w:w w:val="105"/>
          <w:sz w:val="13"/>
        </w:rPr>
        <w:t>La</w:t>
      </w:r>
      <w:r>
        <w:rPr>
          <w:spacing w:val="-3"/>
          <w:w w:val="105"/>
          <w:sz w:val="13"/>
        </w:rPr>
        <w:t xml:space="preserve"> </w:t>
      </w:r>
      <w:r>
        <w:rPr>
          <w:w w:val="105"/>
          <w:sz w:val="13"/>
        </w:rPr>
        <w:t>Comisión</w:t>
      </w:r>
      <w:r>
        <w:rPr>
          <w:spacing w:val="-3"/>
          <w:w w:val="105"/>
          <w:sz w:val="13"/>
        </w:rPr>
        <w:t xml:space="preserve"> </w:t>
      </w:r>
      <w:r>
        <w:rPr>
          <w:w w:val="105"/>
          <w:sz w:val="13"/>
        </w:rPr>
        <w:t>ha</w:t>
      </w:r>
      <w:r>
        <w:rPr>
          <w:spacing w:val="40"/>
          <w:w w:val="105"/>
          <w:sz w:val="13"/>
        </w:rPr>
        <w:t xml:space="preserve"> </w:t>
      </w:r>
      <w:r>
        <w:rPr>
          <w:w w:val="105"/>
          <w:sz w:val="13"/>
        </w:rPr>
        <w:t>determinado</w:t>
      </w:r>
      <w:r>
        <w:rPr>
          <w:spacing w:val="-3"/>
          <w:w w:val="105"/>
          <w:sz w:val="13"/>
        </w:rPr>
        <w:t xml:space="preserve"> </w:t>
      </w:r>
      <w:r>
        <w:rPr>
          <w:w w:val="105"/>
          <w:sz w:val="13"/>
        </w:rPr>
        <w:t>que</w:t>
      </w:r>
      <w:r>
        <w:rPr>
          <w:spacing w:val="-3"/>
          <w:w w:val="105"/>
          <w:sz w:val="13"/>
        </w:rPr>
        <w:t xml:space="preserve"> </w:t>
      </w:r>
      <w:r>
        <w:rPr>
          <w:w w:val="105"/>
          <w:sz w:val="13"/>
        </w:rPr>
        <w:t>procesar</w:t>
      </w:r>
      <w:r>
        <w:rPr>
          <w:spacing w:val="-3"/>
          <w:w w:val="105"/>
          <w:sz w:val="13"/>
        </w:rPr>
        <w:t xml:space="preserve"> </w:t>
      </w:r>
      <w:r>
        <w:rPr>
          <w:w w:val="105"/>
          <w:sz w:val="13"/>
        </w:rPr>
        <w:t>a</w:t>
      </w:r>
      <w:r>
        <w:rPr>
          <w:spacing w:val="-3"/>
          <w:w w:val="105"/>
          <w:sz w:val="13"/>
        </w:rPr>
        <w:t xml:space="preserve"> </w:t>
      </w:r>
      <w:r>
        <w:rPr>
          <w:w w:val="105"/>
          <w:sz w:val="13"/>
        </w:rPr>
        <w:t>miembros</w:t>
      </w:r>
      <w:r>
        <w:rPr>
          <w:spacing w:val="-3"/>
          <w:w w:val="105"/>
          <w:sz w:val="13"/>
        </w:rPr>
        <w:t xml:space="preserve"> </w:t>
      </w:r>
      <w:r>
        <w:rPr>
          <w:w w:val="105"/>
          <w:sz w:val="13"/>
        </w:rPr>
        <w:t>de</w:t>
      </w:r>
      <w:r>
        <w:rPr>
          <w:spacing w:val="-3"/>
          <w:w w:val="105"/>
          <w:sz w:val="13"/>
        </w:rPr>
        <w:t xml:space="preserve"> </w:t>
      </w:r>
      <w:r>
        <w:rPr>
          <w:w w:val="105"/>
          <w:sz w:val="13"/>
        </w:rPr>
        <w:t>esa</w:t>
      </w:r>
      <w:r>
        <w:rPr>
          <w:spacing w:val="-3"/>
          <w:w w:val="105"/>
          <w:sz w:val="13"/>
        </w:rPr>
        <w:t xml:space="preserve"> </w:t>
      </w:r>
      <w:r>
        <w:rPr>
          <w:w w:val="105"/>
          <w:sz w:val="13"/>
        </w:rPr>
        <w:t>religión</w:t>
      </w:r>
      <w:r>
        <w:rPr>
          <w:spacing w:val="-3"/>
          <w:w w:val="105"/>
          <w:sz w:val="13"/>
        </w:rPr>
        <w:t xml:space="preserve"> </w:t>
      </w:r>
      <w:r>
        <w:rPr>
          <w:w w:val="105"/>
          <w:sz w:val="13"/>
        </w:rPr>
        <w:t>por</w:t>
      </w:r>
      <w:r>
        <w:rPr>
          <w:spacing w:val="-3"/>
          <w:w w:val="105"/>
          <w:sz w:val="13"/>
        </w:rPr>
        <w:t xml:space="preserve"> </w:t>
      </w:r>
      <w:r>
        <w:rPr>
          <w:w w:val="105"/>
          <w:sz w:val="13"/>
        </w:rPr>
        <w:t>negarse</w:t>
      </w:r>
      <w:r>
        <w:rPr>
          <w:spacing w:val="-3"/>
          <w:w w:val="105"/>
          <w:sz w:val="13"/>
        </w:rPr>
        <w:t xml:space="preserve"> </w:t>
      </w:r>
      <w:r>
        <w:rPr>
          <w:w w:val="105"/>
          <w:sz w:val="13"/>
        </w:rPr>
        <w:t>a</w:t>
      </w:r>
      <w:r>
        <w:rPr>
          <w:spacing w:val="-3"/>
          <w:w w:val="105"/>
          <w:sz w:val="13"/>
        </w:rPr>
        <w:t xml:space="preserve"> </w:t>
      </w:r>
      <w:r>
        <w:rPr>
          <w:w w:val="105"/>
          <w:sz w:val="13"/>
        </w:rPr>
        <w:t>prestar</w:t>
      </w:r>
      <w:r>
        <w:rPr>
          <w:spacing w:val="-3"/>
          <w:w w:val="105"/>
          <w:sz w:val="13"/>
        </w:rPr>
        <w:t xml:space="preserve"> </w:t>
      </w:r>
      <w:r>
        <w:rPr>
          <w:w w:val="105"/>
          <w:sz w:val="13"/>
        </w:rPr>
        <w:t>juramentos</w:t>
      </w:r>
      <w:r>
        <w:rPr>
          <w:spacing w:val="-4"/>
          <w:w w:val="105"/>
          <w:sz w:val="13"/>
        </w:rPr>
        <w:t xml:space="preserve"> </w:t>
      </w:r>
      <w:r>
        <w:rPr>
          <w:w w:val="105"/>
          <w:sz w:val="13"/>
        </w:rPr>
        <w:t>de</w:t>
      </w:r>
      <w:r>
        <w:rPr>
          <w:spacing w:val="-3"/>
          <w:w w:val="105"/>
          <w:sz w:val="13"/>
        </w:rPr>
        <w:t xml:space="preserve"> </w:t>
      </w:r>
      <w:r>
        <w:rPr>
          <w:w w:val="105"/>
          <w:sz w:val="13"/>
        </w:rPr>
        <w:t>lealtad,</w:t>
      </w:r>
      <w:r>
        <w:rPr>
          <w:spacing w:val="-3"/>
          <w:w w:val="105"/>
          <w:sz w:val="13"/>
        </w:rPr>
        <w:t xml:space="preserve"> </w:t>
      </w:r>
      <w:r>
        <w:rPr>
          <w:w w:val="105"/>
          <w:sz w:val="13"/>
        </w:rPr>
        <w:t>reconocer</w:t>
      </w:r>
      <w:r>
        <w:rPr>
          <w:spacing w:val="-3"/>
          <w:w w:val="105"/>
          <w:sz w:val="13"/>
        </w:rPr>
        <w:t xml:space="preserve"> </w:t>
      </w:r>
      <w:r>
        <w:rPr>
          <w:w w:val="105"/>
          <w:sz w:val="13"/>
        </w:rPr>
        <w:t>al</w:t>
      </w:r>
      <w:r>
        <w:rPr>
          <w:spacing w:val="-3"/>
          <w:w w:val="105"/>
          <w:sz w:val="13"/>
        </w:rPr>
        <w:t xml:space="preserve"> </w:t>
      </w:r>
      <w:r>
        <w:rPr>
          <w:w w:val="105"/>
          <w:sz w:val="13"/>
        </w:rPr>
        <w:t>Estado</w:t>
      </w:r>
      <w:r>
        <w:rPr>
          <w:spacing w:val="-3"/>
          <w:w w:val="105"/>
          <w:sz w:val="13"/>
        </w:rPr>
        <w:t xml:space="preserve"> </w:t>
      </w:r>
      <w:r>
        <w:rPr>
          <w:w w:val="105"/>
          <w:sz w:val="13"/>
        </w:rPr>
        <w:t>y</w:t>
      </w:r>
      <w:r>
        <w:rPr>
          <w:spacing w:val="-3"/>
          <w:w w:val="105"/>
          <w:sz w:val="13"/>
        </w:rPr>
        <w:t xml:space="preserve"> </w:t>
      </w:r>
      <w:r>
        <w:rPr>
          <w:w w:val="105"/>
          <w:sz w:val="13"/>
        </w:rPr>
        <w:t>sus</w:t>
      </w:r>
      <w:r>
        <w:rPr>
          <w:spacing w:val="-3"/>
          <w:w w:val="105"/>
          <w:sz w:val="13"/>
        </w:rPr>
        <w:t xml:space="preserve"> </w:t>
      </w:r>
      <w:r>
        <w:rPr>
          <w:w w:val="105"/>
          <w:sz w:val="13"/>
        </w:rPr>
        <w:t>símbolos</w:t>
      </w:r>
      <w:r>
        <w:rPr>
          <w:spacing w:val="-3"/>
          <w:w w:val="105"/>
          <w:sz w:val="13"/>
        </w:rPr>
        <w:t xml:space="preserve"> </w:t>
      </w:r>
      <w:r>
        <w:rPr>
          <w:w w:val="105"/>
          <w:sz w:val="13"/>
        </w:rPr>
        <w:t>y</w:t>
      </w:r>
      <w:r>
        <w:rPr>
          <w:spacing w:val="-3"/>
          <w:w w:val="105"/>
          <w:sz w:val="13"/>
        </w:rPr>
        <w:t xml:space="preserve"> </w:t>
      </w:r>
      <w:r>
        <w:rPr>
          <w:w w:val="105"/>
          <w:sz w:val="13"/>
        </w:rPr>
        <w:t>servir</w:t>
      </w:r>
      <w:r>
        <w:rPr>
          <w:spacing w:val="40"/>
          <w:w w:val="105"/>
          <w:sz w:val="13"/>
        </w:rPr>
        <w:t xml:space="preserve"> </w:t>
      </w:r>
      <w:r>
        <w:rPr>
          <w:w w:val="105"/>
          <w:sz w:val="13"/>
        </w:rPr>
        <w:t>en</w:t>
      </w:r>
      <w:r>
        <w:rPr>
          <w:spacing w:val="-8"/>
          <w:w w:val="105"/>
          <w:sz w:val="13"/>
        </w:rPr>
        <w:t xml:space="preserve"> </w:t>
      </w:r>
      <w:r>
        <w:rPr>
          <w:w w:val="105"/>
          <w:sz w:val="13"/>
        </w:rPr>
        <w:t>el</w:t>
      </w:r>
      <w:r>
        <w:rPr>
          <w:spacing w:val="-8"/>
          <w:w w:val="105"/>
          <w:sz w:val="13"/>
        </w:rPr>
        <w:t xml:space="preserve"> </w:t>
      </w:r>
      <w:r>
        <w:rPr>
          <w:w w:val="105"/>
          <w:sz w:val="13"/>
        </w:rPr>
        <w:t>ejército</w:t>
      </w:r>
      <w:r>
        <w:rPr>
          <w:spacing w:val="-8"/>
          <w:w w:val="105"/>
          <w:sz w:val="13"/>
        </w:rPr>
        <w:t xml:space="preserve"> </w:t>
      </w:r>
      <w:r>
        <w:rPr>
          <w:w w:val="105"/>
          <w:sz w:val="13"/>
        </w:rPr>
        <w:t>es</w:t>
      </w:r>
      <w:r>
        <w:rPr>
          <w:spacing w:val="-8"/>
          <w:w w:val="105"/>
          <w:sz w:val="13"/>
        </w:rPr>
        <w:t xml:space="preserve"> </w:t>
      </w:r>
      <w:r>
        <w:rPr>
          <w:w w:val="105"/>
          <w:sz w:val="13"/>
        </w:rPr>
        <w:t>una</w:t>
      </w:r>
      <w:r>
        <w:rPr>
          <w:spacing w:val="-8"/>
          <w:w w:val="105"/>
          <w:sz w:val="13"/>
        </w:rPr>
        <w:t xml:space="preserve"> </w:t>
      </w:r>
      <w:r>
        <w:rPr>
          <w:w w:val="105"/>
          <w:sz w:val="13"/>
        </w:rPr>
        <w:t>violación</w:t>
      </w:r>
      <w:r>
        <w:rPr>
          <w:spacing w:val="-8"/>
          <w:w w:val="105"/>
          <w:sz w:val="13"/>
        </w:rPr>
        <w:t xml:space="preserve"> </w:t>
      </w:r>
      <w:r>
        <w:rPr>
          <w:w w:val="105"/>
          <w:sz w:val="13"/>
        </w:rPr>
        <w:t>del</w:t>
      </w:r>
      <w:r>
        <w:rPr>
          <w:spacing w:val="-8"/>
          <w:w w:val="105"/>
          <w:sz w:val="13"/>
        </w:rPr>
        <w:t xml:space="preserve"> </w:t>
      </w:r>
      <w:r>
        <w:rPr>
          <w:w w:val="105"/>
          <w:sz w:val="13"/>
        </w:rPr>
        <w:t>derecho</w:t>
      </w:r>
      <w:r>
        <w:rPr>
          <w:spacing w:val="-8"/>
          <w:w w:val="105"/>
          <w:sz w:val="13"/>
        </w:rPr>
        <w:t xml:space="preserve"> </w:t>
      </w:r>
      <w:r>
        <w:rPr>
          <w:w w:val="105"/>
          <w:sz w:val="13"/>
        </w:rPr>
        <w:t>(ver,</w:t>
      </w:r>
      <w:r>
        <w:rPr>
          <w:spacing w:val="-8"/>
          <w:w w:val="105"/>
          <w:sz w:val="13"/>
        </w:rPr>
        <w:t xml:space="preserve"> </w:t>
      </w:r>
      <w:r>
        <w:rPr>
          <w:w w:val="105"/>
          <w:sz w:val="13"/>
        </w:rPr>
        <w:t>por</w:t>
      </w:r>
      <w:r>
        <w:rPr>
          <w:spacing w:val="-8"/>
          <w:w w:val="105"/>
          <w:sz w:val="13"/>
        </w:rPr>
        <w:t xml:space="preserve"> </w:t>
      </w:r>
      <w:r>
        <w:rPr>
          <w:w w:val="105"/>
          <w:sz w:val="13"/>
        </w:rPr>
        <w:t>ejemplo,</w:t>
      </w:r>
      <w:r>
        <w:rPr>
          <w:spacing w:val="-8"/>
          <w:w w:val="105"/>
          <w:sz w:val="13"/>
        </w:rPr>
        <w:t xml:space="preserve"> </w:t>
      </w:r>
      <w:r>
        <w:rPr>
          <w:w w:val="105"/>
          <w:sz w:val="13"/>
        </w:rPr>
        <w:t>Comisión</w:t>
      </w:r>
      <w:r>
        <w:rPr>
          <w:spacing w:val="-8"/>
          <w:w w:val="105"/>
          <w:sz w:val="13"/>
        </w:rPr>
        <w:t xml:space="preserve"> </w:t>
      </w:r>
      <w:r>
        <w:rPr>
          <w:w w:val="105"/>
          <w:sz w:val="13"/>
        </w:rPr>
        <w:t>Interamericana</w:t>
      </w:r>
      <w:r>
        <w:rPr>
          <w:spacing w:val="-8"/>
          <w:w w:val="105"/>
          <w:sz w:val="13"/>
        </w:rPr>
        <w:t xml:space="preserve"> </w:t>
      </w:r>
      <w:r>
        <w:rPr>
          <w:w w:val="105"/>
          <w:sz w:val="13"/>
        </w:rPr>
        <w:t>de</w:t>
      </w:r>
      <w:r>
        <w:rPr>
          <w:spacing w:val="-8"/>
          <w:w w:val="105"/>
          <w:sz w:val="13"/>
        </w:rPr>
        <w:t xml:space="preserve"> </w:t>
      </w:r>
      <w:r>
        <w:rPr>
          <w:w w:val="105"/>
          <w:sz w:val="13"/>
        </w:rPr>
        <w:t>Derechos</w:t>
      </w:r>
      <w:r>
        <w:rPr>
          <w:spacing w:val="-8"/>
          <w:w w:val="105"/>
          <w:sz w:val="13"/>
        </w:rPr>
        <w:t xml:space="preserve"> </w:t>
      </w:r>
      <w:r>
        <w:rPr>
          <w:w w:val="105"/>
          <w:sz w:val="13"/>
        </w:rPr>
        <w:t>Humanos,</w:t>
      </w:r>
      <w:r>
        <w:rPr>
          <w:spacing w:val="-8"/>
          <w:w w:val="105"/>
          <w:sz w:val="13"/>
        </w:rPr>
        <w:t xml:space="preserve"> </w:t>
      </w:r>
      <w:r>
        <w:rPr>
          <w:w w:val="105"/>
          <w:sz w:val="13"/>
        </w:rPr>
        <w:t>Testigos</w:t>
      </w:r>
      <w:r>
        <w:rPr>
          <w:spacing w:val="-9"/>
          <w:w w:val="105"/>
          <w:sz w:val="13"/>
        </w:rPr>
        <w:t xml:space="preserve"> </w:t>
      </w:r>
      <w:r>
        <w:rPr>
          <w:w w:val="105"/>
          <w:sz w:val="13"/>
        </w:rPr>
        <w:t>de</w:t>
      </w:r>
      <w:r>
        <w:rPr>
          <w:spacing w:val="-8"/>
          <w:w w:val="105"/>
          <w:sz w:val="13"/>
        </w:rPr>
        <w:t xml:space="preserve"> </w:t>
      </w:r>
      <w:r>
        <w:rPr>
          <w:w w:val="105"/>
          <w:sz w:val="13"/>
        </w:rPr>
        <w:t>Jehová</w:t>
      </w:r>
      <w:r>
        <w:rPr>
          <w:spacing w:val="-8"/>
          <w:w w:val="105"/>
          <w:sz w:val="13"/>
        </w:rPr>
        <w:t xml:space="preserve"> </w:t>
      </w:r>
      <w:r>
        <w:rPr>
          <w:w w:val="105"/>
          <w:sz w:val="13"/>
        </w:rPr>
        <w:t>vs.</w:t>
      </w:r>
      <w:r>
        <w:rPr>
          <w:spacing w:val="-8"/>
          <w:w w:val="105"/>
          <w:sz w:val="13"/>
        </w:rPr>
        <w:t xml:space="preserve"> </w:t>
      </w:r>
      <w:r>
        <w:rPr>
          <w:w w:val="105"/>
          <w:sz w:val="13"/>
        </w:rPr>
        <w:t>Argentina,</w:t>
      </w:r>
      <w:r>
        <w:rPr>
          <w:spacing w:val="40"/>
          <w:w w:val="105"/>
          <w:sz w:val="13"/>
        </w:rPr>
        <w:t xml:space="preserve"> </w:t>
      </w:r>
      <w:r>
        <w:rPr>
          <w:w w:val="105"/>
          <w:sz w:val="13"/>
        </w:rPr>
        <w:t>Caso 2.137, Resolución, 18 de noviembre de 1978).</w:t>
      </w:r>
    </w:p>
    <w:p w14:paraId="76C20E1A" w14:textId="77777777" w:rsidR="0014798C" w:rsidRDefault="0014798C">
      <w:pPr>
        <w:pStyle w:val="Textoindependiente"/>
        <w:rPr>
          <w:sz w:val="18"/>
        </w:rPr>
      </w:pPr>
    </w:p>
    <w:p w14:paraId="0DA405C4" w14:textId="77777777" w:rsidR="0014798C" w:rsidRDefault="0014798C">
      <w:pPr>
        <w:pStyle w:val="Textoindependiente"/>
        <w:spacing w:before="203"/>
        <w:rPr>
          <w:sz w:val="18"/>
        </w:rPr>
      </w:pPr>
    </w:p>
    <w:p w14:paraId="687DEFAA" w14:textId="77777777" w:rsidR="0014798C" w:rsidRDefault="004E1F0B">
      <w:pPr>
        <w:ind w:right="702"/>
        <w:jc w:val="right"/>
        <w:rPr>
          <w:sz w:val="18"/>
        </w:rPr>
      </w:pPr>
      <w:r>
        <w:rPr>
          <w:spacing w:val="-5"/>
          <w:sz w:val="18"/>
        </w:rPr>
        <w:t>149</w:t>
      </w:r>
    </w:p>
    <w:p w14:paraId="42604731" w14:textId="77777777" w:rsidR="0014798C" w:rsidRDefault="0014798C">
      <w:pPr>
        <w:jc w:val="right"/>
        <w:rPr>
          <w:sz w:val="18"/>
        </w:rPr>
        <w:sectPr w:rsidR="0014798C" w:rsidSect="00F265E4">
          <w:pgSz w:w="11900" w:h="16820"/>
          <w:pgMar w:top="340" w:right="0" w:bottom="280" w:left="200" w:header="121" w:footer="0" w:gutter="0"/>
          <w:cols w:space="720"/>
        </w:sectPr>
      </w:pPr>
    </w:p>
    <w:p w14:paraId="0297F500" w14:textId="77777777" w:rsidR="0014798C" w:rsidRDefault="0014798C">
      <w:pPr>
        <w:pStyle w:val="Textoindependiente"/>
        <w:spacing w:before="85"/>
        <w:rPr>
          <w:sz w:val="12"/>
        </w:rPr>
      </w:pPr>
    </w:p>
    <w:p w14:paraId="1A9EBE72" w14:textId="77777777" w:rsidR="0014798C" w:rsidRDefault="004E1F0B">
      <w:pPr>
        <w:ind w:left="1111"/>
        <w:rPr>
          <w:sz w:val="12"/>
        </w:rPr>
      </w:pPr>
      <w:r>
        <w:rPr>
          <w:color w:val="803108"/>
          <w:sz w:val="12"/>
        </w:rPr>
        <w:t>PROTECCIÓN</w:t>
      </w:r>
      <w:r>
        <w:rPr>
          <w:color w:val="803108"/>
          <w:spacing w:val="6"/>
          <w:sz w:val="12"/>
        </w:rPr>
        <w:t xml:space="preserve"> </w:t>
      </w:r>
      <w:r>
        <w:rPr>
          <w:color w:val="803108"/>
          <w:sz w:val="12"/>
        </w:rPr>
        <w:t>DE</w:t>
      </w:r>
      <w:r>
        <w:rPr>
          <w:color w:val="803108"/>
          <w:spacing w:val="7"/>
          <w:sz w:val="12"/>
        </w:rPr>
        <w:t xml:space="preserve"> </w:t>
      </w:r>
      <w:r>
        <w:rPr>
          <w:color w:val="803108"/>
          <w:sz w:val="12"/>
        </w:rPr>
        <w:t>LOS</w:t>
      </w:r>
      <w:r>
        <w:rPr>
          <w:color w:val="803108"/>
          <w:spacing w:val="8"/>
          <w:sz w:val="12"/>
        </w:rPr>
        <w:t xml:space="preserve"> </w:t>
      </w:r>
      <w:r>
        <w:rPr>
          <w:color w:val="803108"/>
          <w:sz w:val="12"/>
        </w:rPr>
        <w:t>DERECHOS</w:t>
      </w:r>
      <w:r>
        <w:rPr>
          <w:color w:val="803108"/>
          <w:spacing w:val="8"/>
          <w:sz w:val="12"/>
        </w:rPr>
        <w:t xml:space="preserve"> </w:t>
      </w:r>
      <w:r>
        <w:rPr>
          <w:color w:val="803108"/>
          <w:sz w:val="12"/>
        </w:rPr>
        <w:t>DE</w:t>
      </w:r>
      <w:r>
        <w:rPr>
          <w:color w:val="803108"/>
          <w:spacing w:val="6"/>
          <w:sz w:val="12"/>
        </w:rPr>
        <w:t xml:space="preserve"> </w:t>
      </w:r>
      <w:r>
        <w:rPr>
          <w:color w:val="803108"/>
          <w:sz w:val="12"/>
        </w:rPr>
        <w:t>LAS</w:t>
      </w:r>
      <w:r>
        <w:rPr>
          <w:color w:val="803108"/>
          <w:spacing w:val="7"/>
          <w:sz w:val="12"/>
        </w:rPr>
        <w:t xml:space="preserve"> </w:t>
      </w:r>
      <w:r>
        <w:rPr>
          <w:color w:val="803108"/>
          <w:sz w:val="12"/>
        </w:rPr>
        <w:t>MINORÍAS:</w:t>
      </w:r>
      <w:r>
        <w:rPr>
          <w:color w:val="803108"/>
          <w:spacing w:val="8"/>
          <w:sz w:val="12"/>
        </w:rPr>
        <w:t xml:space="preserve"> </w:t>
      </w:r>
      <w:r>
        <w:rPr>
          <w:color w:val="803108"/>
          <w:sz w:val="12"/>
        </w:rPr>
        <w:t>una</w:t>
      </w:r>
      <w:r>
        <w:rPr>
          <w:color w:val="803108"/>
          <w:spacing w:val="7"/>
          <w:sz w:val="12"/>
        </w:rPr>
        <w:t xml:space="preserve"> </w:t>
      </w:r>
      <w:r>
        <w:rPr>
          <w:color w:val="803108"/>
          <w:sz w:val="12"/>
        </w:rPr>
        <w:t>guía</w:t>
      </w:r>
      <w:r>
        <w:rPr>
          <w:color w:val="803108"/>
          <w:spacing w:val="6"/>
          <w:sz w:val="12"/>
        </w:rPr>
        <w:t xml:space="preserve"> </w:t>
      </w:r>
      <w:r>
        <w:rPr>
          <w:color w:val="803108"/>
          <w:sz w:val="12"/>
        </w:rPr>
        <w:t>práctica</w:t>
      </w:r>
      <w:r>
        <w:rPr>
          <w:color w:val="803108"/>
          <w:spacing w:val="7"/>
          <w:sz w:val="12"/>
        </w:rPr>
        <w:t xml:space="preserve"> </w:t>
      </w:r>
      <w:r>
        <w:rPr>
          <w:color w:val="803108"/>
          <w:sz w:val="12"/>
        </w:rPr>
        <w:t>para</w:t>
      </w:r>
      <w:r>
        <w:rPr>
          <w:color w:val="803108"/>
          <w:spacing w:val="8"/>
          <w:sz w:val="12"/>
        </w:rPr>
        <w:t xml:space="preserve"> </w:t>
      </w:r>
      <w:r>
        <w:rPr>
          <w:color w:val="803108"/>
          <w:sz w:val="12"/>
        </w:rPr>
        <w:t>desarrollar</w:t>
      </w:r>
      <w:r>
        <w:rPr>
          <w:color w:val="803108"/>
          <w:spacing w:val="6"/>
          <w:sz w:val="12"/>
        </w:rPr>
        <w:t xml:space="preserve"> </w:t>
      </w:r>
      <w:r>
        <w:rPr>
          <w:color w:val="803108"/>
          <w:sz w:val="12"/>
        </w:rPr>
        <w:t>una</w:t>
      </w:r>
      <w:r>
        <w:rPr>
          <w:color w:val="803108"/>
          <w:spacing w:val="7"/>
          <w:sz w:val="12"/>
        </w:rPr>
        <w:t xml:space="preserve"> </w:t>
      </w:r>
      <w:r>
        <w:rPr>
          <w:color w:val="803108"/>
          <w:sz w:val="12"/>
        </w:rPr>
        <w:t>legislación</w:t>
      </w:r>
      <w:r>
        <w:rPr>
          <w:color w:val="803108"/>
          <w:spacing w:val="8"/>
          <w:sz w:val="12"/>
        </w:rPr>
        <w:t xml:space="preserve"> </w:t>
      </w:r>
      <w:r>
        <w:rPr>
          <w:color w:val="803108"/>
          <w:sz w:val="12"/>
        </w:rPr>
        <w:t>integral</w:t>
      </w:r>
      <w:r>
        <w:rPr>
          <w:color w:val="803108"/>
          <w:spacing w:val="7"/>
          <w:sz w:val="12"/>
        </w:rPr>
        <w:t xml:space="preserve"> </w:t>
      </w:r>
      <w:r>
        <w:rPr>
          <w:color w:val="803108"/>
          <w:sz w:val="12"/>
        </w:rPr>
        <w:t>contra</w:t>
      </w:r>
      <w:r>
        <w:rPr>
          <w:color w:val="803108"/>
          <w:spacing w:val="6"/>
          <w:sz w:val="12"/>
        </w:rPr>
        <w:t xml:space="preserve"> </w:t>
      </w:r>
      <w:r>
        <w:rPr>
          <w:color w:val="803108"/>
          <w:sz w:val="12"/>
        </w:rPr>
        <w:t>la</w:t>
      </w:r>
      <w:r>
        <w:rPr>
          <w:color w:val="803108"/>
          <w:spacing w:val="7"/>
          <w:sz w:val="12"/>
        </w:rPr>
        <w:t xml:space="preserve"> </w:t>
      </w:r>
      <w:r>
        <w:rPr>
          <w:color w:val="803108"/>
          <w:spacing w:val="-2"/>
          <w:sz w:val="12"/>
        </w:rPr>
        <w:t>discriminación</w:t>
      </w:r>
    </w:p>
    <w:p w14:paraId="56FCCCCB" w14:textId="77777777" w:rsidR="0014798C" w:rsidRDefault="0014798C">
      <w:pPr>
        <w:pStyle w:val="Textoindependiente"/>
        <w:rPr>
          <w:sz w:val="17"/>
        </w:rPr>
      </w:pPr>
    </w:p>
    <w:p w14:paraId="3B496D20" w14:textId="77777777" w:rsidR="0014798C" w:rsidRDefault="0014798C">
      <w:pPr>
        <w:pStyle w:val="Textoindependiente"/>
        <w:rPr>
          <w:sz w:val="17"/>
        </w:rPr>
      </w:pPr>
    </w:p>
    <w:p w14:paraId="0AEC3540" w14:textId="77777777" w:rsidR="0014798C" w:rsidRDefault="0014798C">
      <w:pPr>
        <w:pStyle w:val="Textoindependiente"/>
        <w:rPr>
          <w:sz w:val="17"/>
        </w:rPr>
      </w:pPr>
    </w:p>
    <w:p w14:paraId="22C39CD0" w14:textId="77777777" w:rsidR="0014798C" w:rsidRDefault="0014798C">
      <w:pPr>
        <w:pStyle w:val="Textoindependiente"/>
        <w:spacing w:before="183"/>
        <w:rPr>
          <w:sz w:val="17"/>
        </w:rPr>
      </w:pPr>
    </w:p>
    <w:p w14:paraId="456392C1" w14:textId="77777777" w:rsidR="0014798C" w:rsidRDefault="004E1F0B">
      <w:pPr>
        <w:spacing w:line="307" w:lineRule="auto"/>
        <w:ind w:left="1108" w:right="1626" w:hanging="1"/>
        <w:rPr>
          <w:sz w:val="17"/>
        </w:rPr>
      </w:pPr>
      <w:r>
        <w:rPr>
          <w:sz w:val="17"/>
        </w:rPr>
        <w:t>reconocer el derecho a negarse, por motivos de conciencia, a realizar el servicio militar obligatorio y a realizar en su lugar un servicio alternativo genuinamente civil.1034</w:t>
      </w:r>
    </w:p>
    <w:p w14:paraId="1801E2FD" w14:textId="77777777" w:rsidR="0014798C" w:rsidRDefault="004E1F0B">
      <w:pPr>
        <w:spacing w:before="169" w:line="307" w:lineRule="auto"/>
        <w:ind w:left="1107" w:right="1397" w:firstLine="5"/>
        <w:rPr>
          <w:sz w:val="17"/>
        </w:rPr>
      </w:pPr>
      <w:r>
        <w:rPr>
          <w:sz w:val="17"/>
        </w:rPr>
        <w:t>Al menos desde la década de 1960,</w:t>
      </w:r>
      <w:r>
        <w:rPr>
          <w:spacing w:val="14"/>
          <w:sz w:val="17"/>
        </w:rPr>
        <w:t xml:space="preserve"> </w:t>
      </w:r>
      <w:r>
        <w:rPr>
          <w:sz w:val="17"/>
        </w:rPr>
        <w:t>se han hecho intentos de invocar y aplicar la objeción de conciencia más allá del</w:t>
      </w:r>
      <w:r>
        <w:rPr>
          <w:spacing w:val="80"/>
          <w:sz w:val="17"/>
        </w:rPr>
        <w:t xml:space="preserve"> </w:t>
      </w:r>
      <w:r>
        <w:rPr>
          <w:sz w:val="17"/>
        </w:rPr>
        <w:t>área del servicio militar, con esfuerzos para permitir el derecho de los médicos u otros funcionarios públicos a negarse a realizar deberes incompatibles con sus creencias personales, incluyendo realizar abortos, certificar divorcios y realizar procedimientos</w:t>
      </w:r>
      <w:r>
        <w:rPr>
          <w:spacing w:val="21"/>
          <w:sz w:val="17"/>
        </w:rPr>
        <w:t xml:space="preserve"> </w:t>
      </w:r>
      <w:r>
        <w:rPr>
          <w:sz w:val="17"/>
        </w:rPr>
        <w:t>de</w:t>
      </w:r>
      <w:r>
        <w:rPr>
          <w:spacing w:val="21"/>
          <w:sz w:val="17"/>
        </w:rPr>
        <w:t xml:space="preserve"> </w:t>
      </w:r>
      <w:r>
        <w:rPr>
          <w:sz w:val="17"/>
        </w:rPr>
        <w:t>registro</w:t>
      </w:r>
      <w:r>
        <w:rPr>
          <w:spacing w:val="21"/>
          <w:sz w:val="17"/>
        </w:rPr>
        <w:t xml:space="preserve"> </w:t>
      </w:r>
      <w:r>
        <w:rPr>
          <w:sz w:val="17"/>
        </w:rPr>
        <w:t>civil</w:t>
      </w:r>
      <w:r>
        <w:rPr>
          <w:spacing w:val="21"/>
          <w:sz w:val="17"/>
        </w:rPr>
        <w:t xml:space="preserve"> </w:t>
      </w:r>
      <w:r>
        <w:rPr>
          <w:sz w:val="17"/>
        </w:rPr>
        <w:t>o</w:t>
      </w:r>
      <w:r>
        <w:rPr>
          <w:spacing w:val="21"/>
          <w:sz w:val="17"/>
        </w:rPr>
        <w:t xml:space="preserve"> </w:t>
      </w:r>
      <w:r>
        <w:rPr>
          <w:sz w:val="17"/>
        </w:rPr>
        <w:t>matrimonial</w:t>
      </w:r>
      <w:r>
        <w:rPr>
          <w:spacing w:val="21"/>
          <w:sz w:val="17"/>
        </w:rPr>
        <w:t xml:space="preserve"> </w:t>
      </w:r>
      <w:r>
        <w:rPr>
          <w:sz w:val="17"/>
        </w:rPr>
        <w:t>para</w:t>
      </w:r>
      <w:r>
        <w:rPr>
          <w:spacing w:val="21"/>
          <w:sz w:val="17"/>
        </w:rPr>
        <w:t xml:space="preserve"> </w:t>
      </w:r>
      <w:r>
        <w:rPr>
          <w:sz w:val="17"/>
        </w:rPr>
        <w:t>parejas</w:t>
      </w:r>
      <w:r>
        <w:rPr>
          <w:spacing w:val="21"/>
          <w:sz w:val="17"/>
        </w:rPr>
        <w:t xml:space="preserve"> </w:t>
      </w:r>
      <w:r>
        <w:rPr>
          <w:sz w:val="17"/>
        </w:rPr>
        <w:t>homosexuales</w:t>
      </w:r>
      <w:r>
        <w:rPr>
          <w:spacing w:val="21"/>
          <w:sz w:val="17"/>
        </w:rPr>
        <w:t xml:space="preserve"> </w:t>
      </w:r>
      <w:r>
        <w:rPr>
          <w:sz w:val="17"/>
        </w:rPr>
        <w:t>o</w:t>
      </w:r>
      <w:r>
        <w:rPr>
          <w:spacing w:val="21"/>
          <w:sz w:val="17"/>
        </w:rPr>
        <w:t xml:space="preserve"> </w:t>
      </w:r>
      <w:r>
        <w:rPr>
          <w:sz w:val="17"/>
        </w:rPr>
        <w:t>lesbianas.1035</w:t>
      </w:r>
      <w:r>
        <w:rPr>
          <w:spacing w:val="21"/>
          <w:sz w:val="17"/>
        </w:rPr>
        <w:t xml:space="preserve"> </w:t>
      </w:r>
      <w:r>
        <w:rPr>
          <w:sz w:val="17"/>
        </w:rPr>
        <w:t>En</w:t>
      </w:r>
      <w:r>
        <w:rPr>
          <w:spacing w:val="21"/>
          <w:sz w:val="17"/>
        </w:rPr>
        <w:t xml:space="preserve"> </w:t>
      </w:r>
      <w:r>
        <w:rPr>
          <w:sz w:val="17"/>
        </w:rPr>
        <w:t>algunas</w:t>
      </w:r>
      <w:r>
        <w:rPr>
          <w:spacing w:val="21"/>
          <w:sz w:val="17"/>
        </w:rPr>
        <w:t xml:space="preserve"> </w:t>
      </w:r>
      <w:r>
        <w:rPr>
          <w:sz w:val="17"/>
        </w:rPr>
        <w:t>jurisdicciones, los litigios se han extendido a negar servicios tales como proporcionar pasteles de boda para bodas de homosexuales o</w:t>
      </w:r>
    </w:p>
    <w:p w14:paraId="1B6DB477" w14:textId="77777777" w:rsidR="0014798C" w:rsidRDefault="004E1F0B">
      <w:pPr>
        <w:spacing w:line="307" w:lineRule="auto"/>
        <w:ind w:left="1108" w:right="1272" w:firstLine="1"/>
        <w:rPr>
          <w:sz w:val="17"/>
        </w:rPr>
      </w:pPr>
      <w:r>
        <w:rPr>
          <w:sz w:val="17"/>
        </w:rPr>
        <w:t>lesbianas, así como impugnaciones legales a los requisitos que exigen que el empleador El seguro médico proporcionado incluye anticonceptivos. Estos desafíos legales han permitido examinar la interfaz entre el derecho a la libertad de</w:t>
      </w:r>
    </w:p>
    <w:p w14:paraId="5AB107AE" w14:textId="77777777" w:rsidR="0014798C" w:rsidRDefault="004E1F0B">
      <w:pPr>
        <w:spacing w:line="195" w:lineRule="exact"/>
        <w:ind w:left="1108"/>
        <w:rPr>
          <w:sz w:val="17"/>
        </w:rPr>
      </w:pPr>
      <w:r>
        <w:rPr>
          <w:sz w:val="17"/>
        </w:rPr>
        <w:t>religión</w:t>
      </w:r>
      <w:r>
        <w:rPr>
          <w:spacing w:val="3"/>
          <w:sz w:val="17"/>
        </w:rPr>
        <w:t xml:space="preserve"> </w:t>
      </w:r>
      <w:r>
        <w:rPr>
          <w:sz w:val="17"/>
        </w:rPr>
        <w:t>o</w:t>
      </w:r>
      <w:r>
        <w:rPr>
          <w:spacing w:val="4"/>
          <w:sz w:val="17"/>
        </w:rPr>
        <w:t xml:space="preserve"> </w:t>
      </w:r>
      <w:r>
        <w:rPr>
          <w:sz w:val="17"/>
        </w:rPr>
        <w:t>de</w:t>
      </w:r>
      <w:r>
        <w:rPr>
          <w:spacing w:val="3"/>
          <w:sz w:val="17"/>
        </w:rPr>
        <w:t xml:space="preserve"> </w:t>
      </w:r>
      <w:r>
        <w:rPr>
          <w:sz w:val="17"/>
        </w:rPr>
        <w:t>creencias,</w:t>
      </w:r>
      <w:r>
        <w:rPr>
          <w:spacing w:val="5"/>
          <w:sz w:val="17"/>
        </w:rPr>
        <w:t xml:space="preserve"> </w:t>
      </w:r>
      <w:r>
        <w:rPr>
          <w:sz w:val="17"/>
        </w:rPr>
        <w:t>por</w:t>
      </w:r>
      <w:r>
        <w:rPr>
          <w:spacing w:val="3"/>
          <w:sz w:val="17"/>
        </w:rPr>
        <w:t xml:space="preserve"> </w:t>
      </w:r>
      <w:r>
        <w:rPr>
          <w:sz w:val="17"/>
        </w:rPr>
        <w:t>un</w:t>
      </w:r>
      <w:r>
        <w:rPr>
          <w:spacing w:val="4"/>
          <w:sz w:val="17"/>
        </w:rPr>
        <w:t xml:space="preserve"> </w:t>
      </w:r>
      <w:r>
        <w:rPr>
          <w:sz w:val="17"/>
        </w:rPr>
        <w:t>lado,</w:t>
      </w:r>
      <w:r>
        <w:rPr>
          <w:spacing w:val="5"/>
          <w:sz w:val="17"/>
        </w:rPr>
        <w:t xml:space="preserve"> </w:t>
      </w:r>
      <w:r>
        <w:rPr>
          <w:sz w:val="17"/>
        </w:rPr>
        <w:t>y</w:t>
      </w:r>
      <w:r>
        <w:rPr>
          <w:spacing w:val="3"/>
          <w:sz w:val="17"/>
        </w:rPr>
        <w:t xml:space="preserve"> </w:t>
      </w:r>
      <w:r>
        <w:rPr>
          <w:sz w:val="17"/>
        </w:rPr>
        <w:t>el</w:t>
      </w:r>
      <w:r>
        <w:rPr>
          <w:spacing w:val="4"/>
          <w:sz w:val="17"/>
        </w:rPr>
        <w:t xml:space="preserve"> </w:t>
      </w:r>
      <w:r>
        <w:rPr>
          <w:sz w:val="17"/>
        </w:rPr>
        <w:t>derecho</w:t>
      </w:r>
      <w:r>
        <w:rPr>
          <w:spacing w:val="3"/>
          <w:sz w:val="17"/>
        </w:rPr>
        <w:t xml:space="preserve"> </w:t>
      </w:r>
      <w:r>
        <w:rPr>
          <w:sz w:val="17"/>
        </w:rPr>
        <w:t>a</w:t>
      </w:r>
      <w:r>
        <w:rPr>
          <w:spacing w:val="4"/>
          <w:sz w:val="17"/>
        </w:rPr>
        <w:t xml:space="preserve"> </w:t>
      </w:r>
      <w:r>
        <w:rPr>
          <w:sz w:val="17"/>
        </w:rPr>
        <w:t>la</w:t>
      </w:r>
      <w:r>
        <w:rPr>
          <w:spacing w:val="3"/>
          <w:sz w:val="17"/>
        </w:rPr>
        <w:t xml:space="preserve"> </w:t>
      </w:r>
      <w:r>
        <w:rPr>
          <w:sz w:val="17"/>
        </w:rPr>
        <w:t>no</w:t>
      </w:r>
      <w:r>
        <w:rPr>
          <w:spacing w:val="4"/>
          <w:sz w:val="17"/>
        </w:rPr>
        <w:t xml:space="preserve"> </w:t>
      </w:r>
      <w:r>
        <w:rPr>
          <w:sz w:val="17"/>
        </w:rPr>
        <w:t>discriminación,</w:t>
      </w:r>
      <w:r>
        <w:rPr>
          <w:spacing w:val="6"/>
          <w:sz w:val="17"/>
        </w:rPr>
        <w:t xml:space="preserve"> </w:t>
      </w:r>
      <w:r>
        <w:rPr>
          <w:sz w:val="17"/>
        </w:rPr>
        <w:t>por</w:t>
      </w:r>
      <w:r>
        <w:rPr>
          <w:spacing w:val="3"/>
          <w:sz w:val="17"/>
        </w:rPr>
        <w:t xml:space="preserve"> </w:t>
      </w:r>
      <w:r>
        <w:rPr>
          <w:sz w:val="17"/>
        </w:rPr>
        <w:t>el</w:t>
      </w:r>
      <w:r>
        <w:rPr>
          <w:spacing w:val="4"/>
          <w:sz w:val="17"/>
        </w:rPr>
        <w:t xml:space="preserve"> </w:t>
      </w:r>
      <w:r>
        <w:rPr>
          <w:spacing w:val="-2"/>
          <w:sz w:val="17"/>
        </w:rPr>
        <w:t>otro.1036</w:t>
      </w:r>
    </w:p>
    <w:p w14:paraId="54807EDE" w14:textId="77777777" w:rsidR="0014798C" w:rsidRDefault="0014798C">
      <w:pPr>
        <w:pStyle w:val="Textoindependiente"/>
        <w:spacing w:before="26"/>
        <w:rPr>
          <w:sz w:val="17"/>
        </w:rPr>
      </w:pPr>
    </w:p>
    <w:p w14:paraId="608FF0A0" w14:textId="77777777" w:rsidR="0014798C" w:rsidRDefault="004E1F0B">
      <w:pPr>
        <w:spacing w:before="1" w:line="307" w:lineRule="auto"/>
        <w:ind w:left="1107" w:right="1335" w:hanging="1"/>
        <w:rPr>
          <w:sz w:val="17"/>
        </w:rPr>
      </w:pPr>
      <w:r>
        <w:rPr>
          <w:sz w:val="17"/>
        </w:rPr>
        <w:t>Una</w:t>
      </w:r>
      <w:r>
        <w:rPr>
          <w:spacing w:val="15"/>
          <w:sz w:val="17"/>
        </w:rPr>
        <w:t xml:space="preserve"> </w:t>
      </w:r>
      <w:r>
        <w:rPr>
          <w:sz w:val="17"/>
        </w:rPr>
        <w:t>serie</w:t>
      </w:r>
      <w:r>
        <w:rPr>
          <w:spacing w:val="15"/>
          <w:sz w:val="17"/>
        </w:rPr>
        <w:t xml:space="preserve"> </w:t>
      </w:r>
      <w:r>
        <w:rPr>
          <w:sz w:val="17"/>
        </w:rPr>
        <w:t>de</w:t>
      </w:r>
      <w:r>
        <w:rPr>
          <w:spacing w:val="15"/>
          <w:sz w:val="17"/>
        </w:rPr>
        <w:t xml:space="preserve"> </w:t>
      </w:r>
      <w:r>
        <w:rPr>
          <w:sz w:val="17"/>
        </w:rPr>
        <w:t>casos</w:t>
      </w:r>
      <w:r>
        <w:rPr>
          <w:spacing w:val="15"/>
          <w:sz w:val="17"/>
        </w:rPr>
        <w:t xml:space="preserve"> </w:t>
      </w:r>
      <w:r>
        <w:rPr>
          <w:sz w:val="17"/>
        </w:rPr>
        <w:t>ante</w:t>
      </w:r>
      <w:r>
        <w:rPr>
          <w:spacing w:val="15"/>
          <w:sz w:val="17"/>
        </w:rPr>
        <w:t xml:space="preserve"> </w:t>
      </w:r>
      <w:r>
        <w:rPr>
          <w:sz w:val="17"/>
        </w:rPr>
        <w:t>la</w:t>
      </w:r>
      <w:r>
        <w:rPr>
          <w:spacing w:val="15"/>
          <w:sz w:val="17"/>
        </w:rPr>
        <w:t xml:space="preserve"> </w:t>
      </w:r>
      <w:r>
        <w:rPr>
          <w:sz w:val="17"/>
        </w:rPr>
        <w:t>Corte</w:t>
      </w:r>
      <w:r>
        <w:rPr>
          <w:spacing w:val="15"/>
          <w:sz w:val="17"/>
        </w:rPr>
        <w:t xml:space="preserve"> </w:t>
      </w:r>
      <w:r>
        <w:rPr>
          <w:sz w:val="17"/>
        </w:rPr>
        <w:t>Suprema</w:t>
      </w:r>
      <w:r>
        <w:rPr>
          <w:spacing w:val="15"/>
          <w:sz w:val="17"/>
        </w:rPr>
        <w:t xml:space="preserve"> </w:t>
      </w:r>
      <w:r>
        <w:rPr>
          <w:sz w:val="17"/>
        </w:rPr>
        <w:t>del</w:t>
      </w:r>
      <w:r>
        <w:rPr>
          <w:spacing w:val="15"/>
          <w:sz w:val="17"/>
        </w:rPr>
        <w:t xml:space="preserve"> </w:t>
      </w:r>
      <w:r>
        <w:rPr>
          <w:sz w:val="17"/>
        </w:rPr>
        <w:t>Reino</w:t>
      </w:r>
      <w:r>
        <w:rPr>
          <w:spacing w:val="15"/>
          <w:sz w:val="17"/>
        </w:rPr>
        <w:t xml:space="preserve"> </w:t>
      </w:r>
      <w:r>
        <w:rPr>
          <w:sz w:val="17"/>
        </w:rPr>
        <w:t>Unido</w:t>
      </w:r>
      <w:r>
        <w:rPr>
          <w:spacing w:val="15"/>
          <w:sz w:val="17"/>
        </w:rPr>
        <w:t xml:space="preserve"> </w:t>
      </w:r>
      <w:r>
        <w:rPr>
          <w:sz w:val="17"/>
        </w:rPr>
        <w:t>han</w:t>
      </w:r>
      <w:r>
        <w:rPr>
          <w:spacing w:val="15"/>
          <w:sz w:val="17"/>
        </w:rPr>
        <w:t xml:space="preserve"> </w:t>
      </w:r>
      <w:r>
        <w:rPr>
          <w:sz w:val="17"/>
        </w:rPr>
        <w:t>examinado</w:t>
      </w:r>
      <w:r>
        <w:rPr>
          <w:spacing w:val="15"/>
          <w:sz w:val="17"/>
        </w:rPr>
        <w:t xml:space="preserve"> </w:t>
      </w:r>
      <w:r>
        <w:rPr>
          <w:sz w:val="17"/>
        </w:rPr>
        <w:t>hasta</w:t>
      </w:r>
      <w:r>
        <w:rPr>
          <w:spacing w:val="15"/>
          <w:sz w:val="17"/>
        </w:rPr>
        <w:t xml:space="preserve"> </w:t>
      </w:r>
      <w:r>
        <w:rPr>
          <w:sz w:val="17"/>
        </w:rPr>
        <w:t>qué</w:t>
      </w:r>
      <w:r>
        <w:rPr>
          <w:spacing w:val="15"/>
          <w:sz w:val="17"/>
        </w:rPr>
        <w:t xml:space="preserve"> </w:t>
      </w:r>
      <w:r>
        <w:rPr>
          <w:sz w:val="17"/>
        </w:rPr>
        <w:t>punto</w:t>
      </w:r>
      <w:r>
        <w:rPr>
          <w:spacing w:val="15"/>
          <w:sz w:val="17"/>
        </w:rPr>
        <w:t xml:space="preserve"> </w:t>
      </w:r>
      <w:r>
        <w:rPr>
          <w:sz w:val="17"/>
        </w:rPr>
        <w:t>quienes</w:t>
      </w:r>
      <w:r>
        <w:rPr>
          <w:spacing w:val="15"/>
          <w:sz w:val="17"/>
        </w:rPr>
        <w:t xml:space="preserve"> </w:t>
      </w:r>
      <w:r>
        <w:rPr>
          <w:sz w:val="17"/>
        </w:rPr>
        <w:t>brindan</w:t>
      </w:r>
      <w:r>
        <w:rPr>
          <w:spacing w:val="15"/>
          <w:sz w:val="17"/>
        </w:rPr>
        <w:t xml:space="preserve"> </w:t>
      </w:r>
      <w:r>
        <w:rPr>
          <w:sz w:val="17"/>
        </w:rPr>
        <w:t>servicios al público pueden negarse a atender a personas LGBTIQ+ sobre la base de su religión o creencias, proporcionando una delimitación útil de las cuestiones que surgen en tales casos. casos. En Bull y otro contra Hall y otro, la Corte Suprema consideró una apelación presentada por los propietarios de un hotel de alojamiento y desayuno, quienes habían sido</w:t>
      </w:r>
    </w:p>
    <w:p w14:paraId="0D0F0C22" w14:textId="77777777" w:rsidR="0014798C" w:rsidRDefault="004E1F0B">
      <w:pPr>
        <w:spacing w:line="307" w:lineRule="auto"/>
        <w:ind w:left="1106" w:right="992"/>
        <w:rPr>
          <w:sz w:val="17"/>
        </w:rPr>
      </w:pPr>
      <w:r>
        <w:rPr>
          <w:sz w:val="17"/>
        </w:rPr>
        <w:t>declarados discriminatorios contra una pareja gay al negarse a proporcionarles la habitación doble que habían reservado.1037 Los</w:t>
      </w:r>
      <w:r>
        <w:rPr>
          <w:spacing w:val="17"/>
          <w:sz w:val="17"/>
        </w:rPr>
        <w:t xml:space="preserve"> </w:t>
      </w:r>
      <w:r>
        <w:rPr>
          <w:sz w:val="17"/>
        </w:rPr>
        <w:t>recurrentes</w:t>
      </w:r>
      <w:r>
        <w:rPr>
          <w:spacing w:val="17"/>
          <w:sz w:val="17"/>
        </w:rPr>
        <w:t xml:space="preserve"> </w:t>
      </w:r>
      <w:r>
        <w:rPr>
          <w:sz w:val="17"/>
        </w:rPr>
        <w:t>estipularon</w:t>
      </w:r>
      <w:r>
        <w:rPr>
          <w:spacing w:val="17"/>
          <w:sz w:val="17"/>
        </w:rPr>
        <w:t xml:space="preserve"> </w:t>
      </w:r>
      <w:r>
        <w:rPr>
          <w:sz w:val="17"/>
        </w:rPr>
        <w:t>que,</w:t>
      </w:r>
      <w:r>
        <w:rPr>
          <w:spacing w:val="18"/>
          <w:sz w:val="17"/>
        </w:rPr>
        <w:t xml:space="preserve"> </w:t>
      </w:r>
      <w:r>
        <w:rPr>
          <w:sz w:val="17"/>
        </w:rPr>
        <w:t>“por</w:t>
      </w:r>
      <w:r>
        <w:rPr>
          <w:spacing w:val="17"/>
          <w:sz w:val="17"/>
        </w:rPr>
        <w:t xml:space="preserve"> </w:t>
      </w:r>
      <w:r>
        <w:rPr>
          <w:sz w:val="17"/>
        </w:rPr>
        <w:t>un</w:t>
      </w:r>
      <w:r>
        <w:rPr>
          <w:spacing w:val="17"/>
          <w:sz w:val="17"/>
        </w:rPr>
        <w:t xml:space="preserve"> </w:t>
      </w:r>
      <w:r>
        <w:rPr>
          <w:sz w:val="17"/>
        </w:rPr>
        <w:t>profundo</w:t>
      </w:r>
      <w:r>
        <w:rPr>
          <w:spacing w:val="17"/>
          <w:sz w:val="17"/>
        </w:rPr>
        <w:t xml:space="preserve"> </w:t>
      </w:r>
      <w:r>
        <w:rPr>
          <w:sz w:val="17"/>
        </w:rPr>
        <w:t>respeto</w:t>
      </w:r>
      <w:r>
        <w:rPr>
          <w:spacing w:val="17"/>
          <w:sz w:val="17"/>
        </w:rPr>
        <w:t xml:space="preserve"> </w:t>
      </w:r>
      <w:r>
        <w:rPr>
          <w:sz w:val="17"/>
        </w:rPr>
        <w:t>al</w:t>
      </w:r>
      <w:r>
        <w:rPr>
          <w:spacing w:val="17"/>
          <w:sz w:val="17"/>
        </w:rPr>
        <w:t xml:space="preserve"> </w:t>
      </w:r>
      <w:r>
        <w:rPr>
          <w:sz w:val="17"/>
        </w:rPr>
        <w:t>matrimonio”,</w:t>
      </w:r>
      <w:r>
        <w:rPr>
          <w:spacing w:val="20"/>
          <w:sz w:val="17"/>
        </w:rPr>
        <w:t xml:space="preserve"> </w:t>
      </w:r>
      <w:r>
        <w:rPr>
          <w:sz w:val="17"/>
        </w:rPr>
        <w:t>las</w:t>
      </w:r>
      <w:r>
        <w:rPr>
          <w:spacing w:val="17"/>
          <w:sz w:val="17"/>
        </w:rPr>
        <w:t xml:space="preserve"> </w:t>
      </w:r>
      <w:r>
        <w:rPr>
          <w:sz w:val="17"/>
        </w:rPr>
        <w:t>habitaciones</w:t>
      </w:r>
      <w:r>
        <w:rPr>
          <w:spacing w:val="17"/>
          <w:sz w:val="17"/>
        </w:rPr>
        <w:t xml:space="preserve"> </w:t>
      </w:r>
      <w:r>
        <w:rPr>
          <w:sz w:val="17"/>
        </w:rPr>
        <w:t>dobles</w:t>
      </w:r>
      <w:r>
        <w:rPr>
          <w:spacing w:val="17"/>
          <w:sz w:val="17"/>
        </w:rPr>
        <w:t xml:space="preserve"> </w:t>
      </w:r>
      <w:r>
        <w:rPr>
          <w:sz w:val="17"/>
        </w:rPr>
        <w:t>sólo</w:t>
      </w:r>
      <w:r>
        <w:rPr>
          <w:spacing w:val="17"/>
          <w:sz w:val="17"/>
        </w:rPr>
        <w:t xml:space="preserve"> </w:t>
      </w:r>
      <w:r>
        <w:rPr>
          <w:sz w:val="17"/>
        </w:rPr>
        <w:t>se</w:t>
      </w:r>
      <w:r>
        <w:rPr>
          <w:spacing w:val="17"/>
          <w:sz w:val="17"/>
        </w:rPr>
        <w:t xml:space="preserve"> </w:t>
      </w:r>
      <w:r>
        <w:rPr>
          <w:sz w:val="17"/>
        </w:rPr>
        <w:t>alquilarían</w:t>
      </w:r>
      <w:r>
        <w:rPr>
          <w:spacing w:val="17"/>
          <w:sz w:val="17"/>
        </w:rPr>
        <w:t xml:space="preserve"> </w:t>
      </w:r>
      <w:r>
        <w:rPr>
          <w:sz w:val="17"/>
        </w:rPr>
        <w:t>a “parejas</w:t>
      </w:r>
      <w:r>
        <w:rPr>
          <w:spacing w:val="20"/>
          <w:sz w:val="17"/>
        </w:rPr>
        <w:t xml:space="preserve"> </w:t>
      </w:r>
      <w:r>
        <w:rPr>
          <w:sz w:val="17"/>
        </w:rPr>
        <w:t>casadas</w:t>
      </w:r>
      <w:r>
        <w:rPr>
          <w:spacing w:val="20"/>
          <w:sz w:val="17"/>
        </w:rPr>
        <w:t xml:space="preserve"> </w:t>
      </w:r>
      <w:r>
        <w:rPr>
          <w:sz w:val="17"/>
        </w:rPr>
        <w:t>heterosexuales”.</w:t>
      </w:r>
      <w:r>
        <w:rPr>
          <w:spacing w:val="23"/>
          <w:sz w:val="17"/>
        </w:rPr>
        <w:t xml:space="preserve"> </w:t>
      </w:r>
      <w:r>
        <w:rPr>
          <w:sz w:val="17"/>
        </w:rPr>
        <w:t>La</w:t>
      </w:r>
      <w:r>
        <w:rPr>
          <w:spacing w:val="20"/>
          <w:sz w:val="17"/>
        </w:rPr>
        <w:t xml:space="preserve"> </w:t>
      </w:r>
      <w:r>
        <w:rPr>
          <w:sz w:val="17"/>
        </w:rPr>
        <w:t>Corte</w:t>
      </w:r>
      <w:r>
        <w:rPr>
          <w:spacing w:val="20"/>
          <w:sz w:val="17"/>
        </w:rPr>
        <w:t xml:space="preserve"> </w:t>
      </w:r>
      <w:r>
        <w:rPr>
          <w:sz w:val="17"/>
        </w:rPr>
        <w:t>Suprema</w:t>
      </w:r>
      <w:r>
        <w:rPr>
          <w:spacing w:val="20"/>
          <w:sz w:val="17"/>
        </w:rPr>
        <w:t xml:space="preserve"> </w:t>
      </w:r>
      <w:r>
        <w:rPr>
          <w:sz w:val="17"/>
        </w:rPr>
        <w:t>acordó</w:t>
      </w:r>
      <w:r>
        <w:rPr>
          <w:spacing w:val="20"/>
          <w:sz w:val="17"/>
        </w:rPr>
        <w:t xml:space="preserve"> </w:t>
      </w:r>
      <w:r>
        <w:rPr>
          <w:sz w:val="17"/>
        </w:rPr>
        <w:t>por</w:t>
      </w:r>
      <w:r>
        <w:rPr>
          <w:spacing w:val="20"/>
          <w:sz w:val="17"/>
        </w:rPr>
        <w:t xml:space="preserve"> </w:t>
      </w:r>
      <w:r>
        <w:rPr>
          <w:sz w:val="17"/>
        </w:rPr>
        <w:t>unanimidad</w:t>
      </w:r>
      <w:r>
        <w:rPr>
          <w:spacing w:val="20"/>
          <w:sz w:val="17"/>
        </w:rPr>
        <w:t xml:space="preserve"> </w:t>
      </w:r>
      <w:r>
        <w:rPr>
          <w:sz w:val="17"/>
        </w:rPr>
        <w:t>que</w:t>
      </w:r>
      <w:r>
        <w:rPr>
          <w:spacing w:val="20"/>
          <w:sz w:val="17"/>
        </w:rPr>
        <w:t xml:space="preserve"> </w:t>
      </w:r>
      <w:r>
        <w:rPr>
          <w:sz w:val="17"/>
        </w:rPr>
        <w:t>los</w:t>
      </w:r>
      <w:r>
        <w:rPr>
          <w:spacing w:val="20"/>
          <w:sz w:val="17"/>
        </w:rPr>
        <w:t xml:space="preserve"> </w:t>
      </w:r>
      <w:r>
        <w:rPr>
          <w:sz w:val="17"/>
        </w:rPr>
        <w:t>apelantes</w:t>
      </w:r>
      <w:r>
        <w:rPr>
          <w:spacing w:val="20"/>
          <w:sz w:val="17"/>
        </w:rPr>
        <w:t xml:space="preserve"> </w:t>
      </w:r>
      <w:r>
        <w:rPr>
          <w:sz w:val="17"/>
        </w:rPr>
        <w:t>habían</w:t>
      </w:r>
      <w:r>
        <w:rPr>
          <w:spacing w:val="20"/>
          <w:sz w:val="17"/>
        </w:rPr>
        <w:t xml:space="preserve"> </w:t>
      </w:r>
      <w:r>
        <w:rPr>
          <w:sz w:val="17"/>
        </w:rPr>
        <w:t>discriminado ilegalmente a los demandados y desestimó la apelación, señalando, entre otras cosas, que la motivación del apelante</w:t>
      </w:r>
    </w:p>
    <w:p w14:paraId="15513E4F" w14:textId="77777777" w:rsidR="0014798C" w:rsidRDefault="004E1F0B">
      <w:pPr>
        <w:spacing w:line="307" w:lineRule="auto"/>
        <w:ind w:left="1107" w:right="1463" w:firstLine="2"/>
        <w:rPr>
          <w:sz w:val="17"/>
        </w:rPr>
      </w:pPr>
      <w:r>
        <w:rPr>
          <w:sz w:val="17"/>
        </w:rPr>
        <w:t>para discriminar no era relevante y que permitir que una clase de personas discrimine por motivos de orientación sexual sería</w:t>
      </w:r>
      <w:r>
        <w:rPr>
          <w:spacing w:val="14"/>
          <w:sz w:val="17"/>
        </w:rPr>
        <w:t xml:space="preserve"> </w:t>
      </w:r>
      <w:r>
        <w:rPr>
          <w:sz w:val="17"/>
        </w:rPr>
        <w:t>crear</w:t>
      </w:r>
      <w:r>
        <w:rPr>
          <w:spacing w:val="14"/>
          <w:sz w:val="17"/>
        </w:rPr>
        <w:t xml:space="preserve"> </w:t>
      </w:r>
      <w:r>
        <w:rPr>
          <w:sz w:val="17"/>
        </w:rPr>
        <w:t>una</w:t>
      </w:r>
      <w:r>
        <w:rPr>
          <w:spacing w:val="14"/>
          <w:sz w:val="17"/>
        </w:rPr>
        <w:t xml:space="preserve"> </w:t>
      </w:r>
      <w:r>
        <w:rPr>
          <w:sz w:val="17"/>
        </w:rPr>
        <w:t>clase</w:t>
      </w:r>
      <w:r>
        <w:rPr>
          <w:spacing w:val="14"/>
          <w:sz w:val="17"/>
        </w:rPr>
        <w:t xml:space="preserve"> </w:t>
      </w:r>
      <w:r>
        <w:rPr>
          <w:sz w:val="17"/>
        </w:rPr>
        <w:t>de</w:t>
      </w:r>
      <w:r>
        <w:rPr>
          <w:spacing w:val="14"/>
          <w:sz w:val="17"/>
        </w:rPr>
        <w:t xml:space="preserve"> </w:t>
      </w:r>
      <w:r>
        <w:rPr>
          <w:sz w:val="17"/>
        </w:rPr>
        <w:t>personas</w:t>
      </w:r>
      <w:r>
        <w:rPr>
          <w:spacing w:val="14"/>
          <w:sz w:val="17"/>
        </w:rPr>
        <w:t xml:space="preserve"> </w:t>
      </w:r>
      <w:r>
        <w:rPr>
          <w:sz w:val="17"/>
        </w:rPr>
        <w:t>que</w:t>
      </w:r>
      <w:r>
        <w:rPr>
          <w:spacing w:val="14"/>
          <w:sz w:val="17"/>
        </w:rPr>
        <w:t xml:space="preserve"> </w:t>
      </w:r>
      <w:r>
        <w:rPr>
          <w:sz w:val="17"/>
        </w:rPr>
        <w:t>estén</w:t>
      </w:r>
      <w:r>
        <w:rPr>
          <w:spacing w:val="14"/>
          <w:sz w:val="17"/>
        </w:rPr>
        <w:t xml:space="preserve"> </w:t>
      </w:r>
      <w:r>
        <w:rPr>
          <w:sz w:val="17"/>
        </w:rPr>
        <w:t>exentas</w:t>
      </w:r>
      <w:r>
        <w:rPr>
          <w:spacing w:val="14"/>
          <w:sz w:val="17"/>
        </w:rPr>
        <w:t xml:space="preserve"> </w:t>
      </w:r>
      <w:r>
        <w:rPr>
          <w:sz w:val="17"/>
        </w:rPr>
        <w:t>de</w:t>
      </w:r>
      <w:r>
        <w:rPr>
          <w:spacing w:val="14"/>
          <w:sz w:val="17"/>
        </w:rPr>
        <w:t xml:space="preserve"> </w:t>
      </w:r>
      <w:r>
        <w:rPr>
          <w:sz w:val="17"/>
        </w:rPr>
        <w:t>la</w:t>
      </w:r>
      <w:r>
        <w:rPr>
          <w:spacing w:val="14"/>
          <w:sz w:val="17"/>
        </w:rPr>
        <w:t xml:space="preserve"> </w:t>
      </w:r>
      <w:r>
        <w:rPr>
          <w:sz w:val="17"/>
        </w:rPr>
        <w:t>legislación</w:t>
      </w:r>
      <w:r>
        <w:rPr>
          <w:spacing w:val="14"/>
          <w:sz w:val="17"/>
        </w:rPr>
        <w:t xml:space="preserve"> </w:t>
      </w:r>
      <w:r>
        <w:rPr>
          <w:sz w:val="17"/>
        </w:rPr>
        <w:t>contra</w:t>
      </w:r>
      <w:r>
        <w:rPr>
          <w:spacing w:val="14"/>
          <w:sz w:val="17"/>
        </w:rPr>
        <w:t xml:space="preserve"> </w:t>
      </w:r>
      <w:r>
        <w:rPr>
          <w:sz w:val="17"/>
        </w:rPr>
        <w:t>la</w:t>
      </w:r>
      <w:r>
        <w:rPr>
          <w:spacing w:val="14"/>
          <w:sz w:val="17"/>
        </w:rPr>
        <w:t xml:space="preserve"> </w:t>
      </w:r>
      <w:r>
        <w:rPr>
          <w:sz w:val="17"/>
        </w:rPr>
        <w:t>discriminación.</w:t>
      </w:r>
      <w:r>
        <w:rPr>
          <w:spacing w:val="17"/>
          <w:sz w:val="17"/>
        </w:rPr>
        <w:t xml:space="preserve"> </w:t>
      </w:r>
      <w:r>
        <w:rPr>
          <w:sz w:val="17"/>
        </w:rPr>
        <w:t>En</w:t>
      </w:r>
      <w:r>
        <w:rPr>
          <w:spacing w:val="14"/>
          <w:sz w:val="17"/>
        </w:rPr>
        <w:t xml:space="preserve"> </w:t>
      </w:r>
      <w:proofErr w:type="spellStart"/>
      <w:r>
        <w:rPr>
          <w:sz w:val="17"/>
        </w:rPr>
        <w:t>Ladele</w:t>
      </w:r>
      <w:proofErr w:type="spellEnd"/>
      <w:r>
        <w:rPr>
          <w:spacing w:val="14"/>
          <w:sz w:val="17"/>
        </w:rPr>
        <w:t xml:space="preserve"> </w:t>
      </w:r>
      <w:r>
        <w:rPr>
          <w:sz w:val="17"/>
        </w:rPr>
        <w:t>contra</w:t>
      </w:r>
      <w:r>
        <w:rPr>
          <w:spacing w:val="14"/>
          <w:sz w:val="17"/>
        </w:rPr>
        <w:t xml:space="preserve"> </w:t>
      </w:r>
      <w:r>
        <w:rPr>
          <w:sz w:val="17"/>
        </w:rPr>
        <w:t xml:space="preserve">el distrito londinense de Islington, la demandante, Lillian </w:t>
      </w:r>
      <w:proofErr w:type="spellStart"/>
      <w:r>
        <w:rPr>
          <w:sz w:val="17"/>
        </w:rPr>
        <w:t>Ladele</w:t>
      </w:r>
      <w:proofErr w:type="spellEnd"/>
      <w:r>
        <w:rPr>
          <w:sz w:val="17"/>
        </w:rPr>
        <w:t>, argumentó que había sido discriminada por su empleador,</w:t>
      </w:r>
      <w:r>
        <w:rPr>
          <w:spacing w:val="80"/>
          <w:sz w:val="17"/>
        </w:rPr>
        <w:t xml:space="preserve"> </w:t>
      </w:r>
      <w:r>
        <w:rPr>
          <w:sz w:val="17"/>
        </w:rPr>
        <w:t>el distrito londinense de Islington, porque le había obligado a oficiar en ceremonias de unión civil entre personas del</w:t>
      </w:r>
      <w:r>
        <w:rPr>
          <w:spacing w:val="80"/>
          <w:sz w:val="17"/>
        </w:rPr>
        <w:t xml:space="preserve"> </w:t>
      </w:r>
      <w:r>
        <w:rPr>
          <w:sz w:val="17"/>
        </w:rPr>
        <w:t>mismo sexo, rechazando su solicitud. permitirle no hacerlo, en base a sus creencias cristianas1038.</w:t>
      </w:r>
    </w:p>
    <w:p w14:paraId="68D01AE3" w14:textId="77777777" w:rsidR="0014798C" w:rsidRDefault="004E1F0B">
      <w:pPr>
        <w:spacing w:line="307" w:lineRule="auto"/>
        <w:ind w:left="1105" w:right="1378"/>
        <w:rPr>
          <w:sz w:val="17"/>
        </w:rPr>
      </w:pPr>
      <w:r>
        <w:rPr>
          <w:sz w:val="17"/>
        </w:rPr>
        <w:t xml:space="preserve">El Tribunal Supremo falló en contra de la Sra. </w:t>
      </w:r>
      <w:proofErr w:type="spellStart"/>
      <w:r>
        <w:rPr>
          <w:sz w:val="17"/>
        </w:rPr>
        <w:t>Ladele</w:t>
      </w:r>
      <w:proofErr w:type="spellEnd"/>
      <w:r>
        <w:rPr>
          <w:sz w:val="17"/>
        </w:rPr>
        <w:t>, señalando que el distrito londinense de Islington había perseguido un</w:t>
      </w:r>
      <w:r>
        <w:rPr>
          <w:spacing w:val="15"/>
          <w:sz w:val="17"/>
        </w:rPr>
        <w:t xml:space="preserve"> </w:t>
      </w:r>
      <w:r>
        <w:rPr>
          <w:sz w:val="17"/>
        </w:rPr>
        <w:t>objetivo</w:t>
      </w:r>
      <w:r>
        <w:rPr>
          <w:spacing w:val="15"/>
          <w:sz w:val="17"/>
        </w:rPr>
        <w:t xml:space="preserve"> </w:t>
      </w:r>
      <w:r>
        <w:rPr>
          <w:sz w:val="17"/>
        </w:rPr>
        <w:t>legítimo,</w:t>
      </w:r>
      <w:r>
        <w:rPr>
          <w:spacing w:val="16"/>
          <w:sz w:val="17"/>
        </w:rPr>
        <w:t xml:space="preserve"> </w:t>
      </w:r>
      <w:r>
        <w:rPr>
          <w:sz w:val="17"/>
        </w:rPr>
        <w:t>que</w:t>
      </w:r>
      <w:r>
        <w:rPr>
          <w:spacing w:val="15"/>
          <w:sz w:val="17"/>
        </w:rPr>
        <w:t xml:space="preserve"> </w:t>
      </w:r>
      <w:r>
        <w:rPr>
          <w:sz w:val="17"/>
        </w:rPr>
        <w:t>realizar</w:t>
      </w:r>
      <w:r>
        <w:rPr>
          <w:spacing w:val="15"/>
          <w:sz w:val="17"/>
        </w:rPr>
        <w:t xml:space="preserve"> </w:t>
      </w:r>
      <w:r>
        <w:rPr>
          <w:sz w:val="17"/>
        </w:rPr>
        <w:t>ceremonias</w:t>
      </w:r>
      <w:r>
        <w:rPr>
          <w:spacing w:val="15"/>
          <w:sz w:val="17"/>
        </w:rPr>
        <w:t xml:space="preserve"> </w:t>
      </w:r>
      <w:r>
        <w:rPr>
          <w:sz w:val="17"/>
        </w:rPr>
        <w:t>de</w:t>
      </w:r>
      <w:r>
        <w:rPr>
          <w:spacing w:val="15"/>
          <w:sz w:val="17"/>
        </w:rPr>
        <w:t xml:space="preserve"> </w:t>
      </w:r>
      <w:r>
        <w:rPr>
          <w:sz w:val="17"/>
        </w:rPr>
        <w:t>unión</w:t>
      </w:r>
      <w:r>
        <w:rPr>
          <w:spacing w:val="15"/>
          <w:sz w:val="17"/>
        </w:rPr>
        <w:t xml:space="preserve"> </w:t>
      </w:r>
      <w:r>
        <w:rPr>
          <w:sz w:val="17"/>
        </w:rPr>
        <w:t>civil</w:t>
      </w:r>
      <w:r>
        <w:rPr>
          <w:spacing w:val="15"/>
          <w:sz w:val="17"/>
        </w:rPr>
        <w:t xml:space="preserve"> </w:t>
      </w:r>
      <w:r>
        <w:rPr>
          <w:sz w:val="17"/>
        </w:rPr>
        <w:t>es</w:t>
      </w:r>
      <w:r>
        <w:rPr>
          <w:spacing w:val="15"/>
          <w:sz w:val="17"/>
        </w:rPr>
        <w:t xml:space="preserve"> </w:t>
      </w:r>
      <w:r>
        <w:rPr>
          <w:sz w:val="17"/>
        </w:rPr>
        <w:t>una</w:t>
      </w:r>
      <w:r>
        <w:rPr>
          <w:spacing w:val="15"/>
          <w:sz w:val="17"/>
        </w:rPr>
        <w:t xml:space="preserve"> </w:t>
      </w:r>
      <w:r>
        <w:rPr>
          <w:sz w:val="17"/>
        </w:rPr>
        <w:t>tarea</w:t>
      </w:r>
      <w:r>
        <w:rPr>
          <w:spacing w:val="15"/>
          <w:sz w:val="17"/>
        </w:rPr>
        <w:t xml:space="preserve"> </w:t>
      </w:r>
      <w:r>
        <w:rPr>
          <w:sz w:val="17"/>
        </w:rPr>
        <w:t>secular</w:t>
      </w:r>
      <w:r>
        <w:rPr>
          <w:spacing w:val="15"/>
          <w:sz w:val="17"/>
        </w:rPr>
        <w:t xml:space="preserve"> </w:t>
      </w:r>
      <w:r>
        <w:rPr>
          <w:sz w:val="17"/>
        </w:rPr>
        <w:t>y</w:t>
      </w:r>
      <w:r>
        <w:rPr>
          <w:spacing w:val="15"/>
          <w:sz w:val="17"/>
        </w:rPr>
        <w:t xml:space="preserve"> </w:t>
      </w:r>
      <w:r>
        <w:rPr>
          <w:sz w:val="17"/>
        </w:rPr>
        <w:t>que</w:t>
      </w:r>
      <w:r>
        <w:rPr>
          <w:spacing w:val="15"/>
          <w:sz w:val="17"/>
        </w:rPr>
        <w:t xml:space="preserve"> </w:t>
      </w:r>
      <w:r>
        <w:rPr>
          <w:sz w:val="17"/>
        </w:rPr>
        <w:t>las</w:t>
      </w:r>
      <w:r>
        <w:rPr>
          <w:spacing w:val="15"/>
          <w:sz w:val="17"/>
        </w:rPr>
        <w:t xml:space="preserve"> </w:t>
      </w:r>
      <w:r>
        <w:rPr>
          <w:sz w:val="17"/>
        </w:rPr>
        <w:t>obligaciones</w:t>
      </w:r>
      <w:r>
        <w:rPr>
          <w:spacing w:val="15"/>
          <w:sz w:val="17"/>
        </w:rPr>
        <w:t xml:space="preserve"> </w:t>
      </w:r>
      <w:r>
        <w:rPr>
          <w:sz w:val="17"/>
        </w:rPr>
        <w:t>laborales</w:t>
      </w:r>
      <w:r>
        <w:rPr>
          <w:spacing w:val="15"/>
          <w:sz w:val="17"/>
        </w:rPr>
        <w:t xml:space="preserve"> </w:t>
      </w:r>
      <w:r>
        <w:rPr>
          <w:sz w:val="17"/>
        </w:rPr>
        <w:t>de</w:t>
      </w:r>
      <w:r>
        <w:rPr>
          <w:spacing w:val="15"/>
          <w:sz w:val="17"/>
        </w:rPr>
        <w:t xml:space="preserve"> </w:t>
      </w:r>
      <w:r>
        <w:rPr>
          <w:sz w:val="17"/>
        </w:rPr>
        <w:t xml:space="preserve">la Sra. </w:t>
      </w:r>
      <w:proofErr w:type="spellStart"/>
      <w:r>
        <w:rPr>
          <w:sz w:val="17"/>
        </w:rPr>
        <w:t>Ladele</w:t>
      </w:r>
      <w:proofErr w:type="spellEnd"/>
      <w:r>
        <w:rPr>
          <w:sz w:val="17"/>
        </w:rPr>
        <w:t xml:space="preserve"> no le impedían practicar su fe como deseaba.</w:t>
      </w:r>
      <w:r>
        <w:rPr>
          <w:spacing w:val="14"/>
          <w:sz w:val="17"/>
        </w:rPr>
        <w:t xml:space="preserve"> </w:t>
      </w:r>
      <w:r>
        <w:rPr>
          <w:sz w:val="17"/>
        </w:rPr>
        <w:t>En un caso más reciente de Irlanda del Norte,</w:t>
      </w:r>
      <w:r>
        <w:rPr>
          <w:spacing w:val="14"/>
          <w:sz w:val="17"/>
        </w:rPr>
        <w:t xml:space="preserve"> </w:t>
      </w:r>
      <w:r>
        <w:rPr>
          <w:sz w:val="17"/>
        </w:rPr>
        <w:t>la Corte</w:t>
      </w:r>
      <w:r>
        <w:rPr>
          <w:spacing w:val="80"/>
          <w:sz w:val="17"/>
        </w:rPr>
        <w:t xml:space="preserve"> </w:t>
      </w:r>
      <w:r>
        <w:rPr>
          <w:sz w:val="17"/>
        </w:rPr>
        <w:t xml:space="preserve">Suprema consideró si una panadería había discriminado ilegalmente al negarse a hornear un pastel con las palabras “Apoyar el matrimonio homosexual”. El Tribunal Supremo consideró que la panadería no había discriminado y consideró que se habría negado a hornear un pastel con ese lema para cualquier cliente, no sólo para la demandante o para otras personas lesbianas, </w:t>
      </w:r>
      <w:proofErr w:type="spellStart"/>
      <w:r>
        <w:rPr>
          <w:sz w:val="17"/>
        </w:rPr>
        <w:t>gays</w:t>
      </w:r>
      <w:proofErr w:type="spellEnd"/>
      <w:r>
        <w:rPr>
          <w:sz w:val="17"/>
        </w:rPr>
        <w:t xml:space="preserve"> y bisexuales. Por lo tanto, la Corte distinguió el caso de su jurisprudencia anterior.1039</w:t>
      </w:r>
    </w:p>
    <w:p w14:paraId="12A46D87" w14:textId="77777777" w:rsidR="0014798C" w:rsidRDefault="004E1F0B">
      <w:pPr>
        <w:spacing w:line="307" w:lineRule="auto"/>
        <w:ind w:left="1107" w:right="1479" w:hanging="4"/>
        <w:rPr>
          <w:sz w:val="17"/>
        </w:rPr>
      </w:pPr>
      <w:r>
        <w:rPr>
          <w:sz w:val="17"/>
        </w:rPr>
        <w:t>Lo que estos casos dejan claro es que, en situaciones en las que se brindan servicios al público, estos deben brindarse sin discriminación por motivos de orientación sexual (y otros motivos), independientemente de las creencias religiosas</w:t>
      </w:r>
      <w:r>
        <w:rPr>
          <w:spacing w:val="80"/>
          <w:sz w:val="17"/>
        </w:rPr>
        <w:t xml:space="preserve"> </w:t>
      </w:r>
      <w:r>
        <w:rPr>
          <w:sz w:val="17"/>
        </w:rPr>
        <w:t>del proveedor del servicio.</w:t>
      </w:r>
    </w:p>
    <w:p w14:paraId="490A9F92" w14:textId="77777777" w:rsidR="0014798C" w:rsidRDefault="0014798C">
      <w:pPr>
        <w:pStyle w:val="Textoindependiente"/>
        <w:rPr>
          <w:sz w:val="20"/>
        </w:rPr>
      </w:pPr>
    </w:p>
    <w:p w14:paraId="3798817A" w14:textId="77777777" w:rsidR="0014798C" w:rsidRDefault="0014798C">
      <w:pPr>
        <w:pStyle w:val="Textoindependiente"/>
        <w:rPr>
          <w:sz w:val="20"/>
        </w:rPr>
      </w:pPr>
    </w:p>
    <w:p w14:paraId="70ABEC33" w14:textId="77777777" w:rsidR="0014798C" w:rsidRDefault="0014798C">
      <w:pPr>
        <w:pStyle w:val="Textoindependiente"/>
        <w:rPr>
          <w:sz w:val="20"/>
        </w:rPr>
      </w:pPr>
    </w:p>
    <w:p w14:paraId="0E915A4A" w14:textId="77777777" w:rsidR="0014798C" w:rsidRDefault="004E1F0B">
      <w:pPr>
        <w:pStyle w:val="Textoindependiente"/>
        <w:spacing w:before="157"/>
        <w:rPr>
          <w:sz w:val="20"/>
        </w:rPr>
      </w:pPr>
      <w:r>
        <w:rPr>
          <w:noProof/>
        </w:rPr>
        <w:drawing>
          <wp:anchor distT="0" distB="0" distL="0" distR="0" simplePos="0" relativeHeight="251658551" behindDoc="1" locked="0" layoutInCell="1" allowOverlap="1" wp14:anchorId="756F4650" wp14:editId="48E96904">
            <wp:simplePos x="0" y="0"/>
            <wp:positionH relativeFrom="page">
              <wp:posOffset>826632</wp:posOffset>
            </wp:positionH>
            <wp:positionV relativeFrom="paragraph">
              <wp:posOffset>261332</wp:posOffset>
            </wp:positionV>
            <wp:extent cx="931001" cy="35813"/>
            <wp:effectExtent l="0" t="0" r="0" b="0"/>
            <wp:wrapTopAndBottom/>
            <wp:docPr id="307" name="Image 30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07" name="Image 307"/>
                    <pic:cNvPicPr/>
                  </pic:nvPicPr>
                  <pic:blipFill>
                    <a:blip r:embed="rId241" cstate="print"/>
                    <a:stretch>
                      <a:fillRect/>
                    </a:stretch>
                  </pic:blipFill>
                  <pic:spPr>
                    <a:xfrm>
                      <a:off x="0" y="0"/>
                      <a:ext cx="931001" cy="35813"/>
                    </a:xfrm>
                    <a:prstGeom prst="rect">
                      <a:avLst/>
                    </a:prstGeom>
                  </pic:spPr>
                </pic:pic>
              </a:graphicData>
            </a:graphic>
          </wp:anchor>
        </w:drawing>
      </w:r>
    </w:p>
    <w:p w14:paraId="794182CD" w14:textId="77777777" w:rsidR="0014798C" w:rsidRDefault="0014798C">
      <w:pPr>
        <w:pStyle w:val="Textoindependiente"/>
        <w:spacing w:before="11"/>
        <w:rPr>
          <w:sz w:val="12"/>
        </w:rPr>
      </w:pPr>
    </w:p>
    <w:p w14:paraId="6143DBF8" w14:textId="77777777" w:rsidR="0014798C" w:rsidRDefault="004E1F0B">
      <w:pPr>
        <w:spacing w:line="312" w:lineRule="auto"/>
        <w:ind w:left="1375" w:right="1272" w:hanging="264"/>
        <w:rPr>
          <w:sz w:val="12"/>
        </w:rPr>
      </w:pPr>
      <w:r>
        <w:rPr>
          <w:sz w:val="12"/>
        </w:rPr>
        <w:t xml:space="preserve">1034 Para obtener un resumen de las normas, véase Laurel </w:t>
      </w:r>
      <w:proofErr w:type="spellStart"/>
      <w:r>
        <w:rPr>
          <w:sz w:val="12"/>
        </w:rPr>
        <w:t>Townhead</w:t>
      </w:r>
      <w:proofErr w:type="spellEnd"/>
      <w:r>
        <w:rPr>
          <w:sz w:val="12"/>
        </w:rPr>
        <w:t>, “Estándares internacionales sobre la objeción de conciencia al servicio militar”, edición revisada</w:t>
      </w:r>
      <w:r>
        <w:rPr>
          <w:spacing w:val="40"/>
          <w:sz w:val="12"/>
        </w:rPr>
        <w:t xml:space="preserve"> </w:t>
      </w:r>
      <w:r>
        <w:rPr>
          <w:sz w:val="12"/>
        </w:rPr>
        <w:t xml:space="preserve">(Ginebra, Oficina Cuáquera ante las Naciones Unidas, 2021). Disponible en </w:t>
      </w:r>
      <w:hyperlink r:id="rId287">
        <w:r>
          <w:rPr>
            <w:color w:val="0075BF"/>
            <w:sz w:val="12"/>
          </w:rPr>
          <w:t>www.quno.org/sites/default/files/resources/QUNO%20Conscientious%20</w:t>
        </w:r>
      </w:hyperlink>
    </w:p>
    <w:p w14:paraId="035AAFB6" w14:textId="77777777" w:rsidR="0014798C" w:rsidRPr="00537489" w:rsidRDefault="004E1F0B">
      <w:pPr>
        <w:spacing w:before="1"/>
        <w:ind w:left="1371"/>
        <w:rPr>
          <w:sz w:val="12"/>
          <w:lang w:val="en-US"/>
        </w:rPr>
      </w:pPr>
      <w:r w:rsidRPr="00537489">
        <w:rPr>
          <w:color w:val="0075BF"/>
          <w:sz w:val="12"/>
          <w:lang w:val="en-US"/>
        </w:rPr>
        <w:t>Objeción%20-</w:t>
      </w:r>
      <w:r w:rsidRPr="00537489">
        <w:rPr>
          <w:color w:val="0075BF"/>
          <w:spacing w:val="-2"/>
          <w:sz w:val="12"/>
          <w:lang w:val="en-US"/>
        </w:rPr>
        <w:t>%20International%20Standards_Revised%202021_FINAL.pdf.</w:t>
      </w:r>
    </w:p>
    <w:p w14:paraId="49137AD6" w14:textId="77777777" w:rsidR="0014798C" w:rsidRDefault="004E1F0B">
      <w:pPr>
        <w:spacing w:before="96" w:line="312" w:lineRule="auto"/>
        <w:ind w:left="1365" w:right="2004" w:hanging="255"/>
        <w:rPr>
          <w:sz w:val="12"/>
        </w:rPr>
      </w:pPr>
      <w:r>
        <w:rPr>
          <w:position w:val="4"/>
          <w:sz w:val="8"/>
        </w:rPr>
        <w:t>1035</w:t>
      </w:r>
      <w:r>
        <w:rPr>
          <w:spacing w:val="40"/>
          <w:position w:val="4"/>
          <w:sz w:val="8"/>
        </w:rPr>
        <w:t xml:space="preserve"> </w:t>
      </w:r>
      <w:r>
        <w:rPr>
          <w:sz w:val="12"/>
        </w:rPr>
        <w:t>Véase, por ejemplo, Reino Unido, Ley sobre el aborto (1967). Véase también, en el contexto de la atención médica, la resolución 1763 (2010) de la</w:t>
      </w:r>
      <w:r>
        <w:rPr>
          <w:spacing w:val="40"/>
          <w:sz w:val="12"/>
        </w:rPr>
        <w:t xml:space="preserve"> </w:t>
      </w:r>
      <w:r>
        <w:rPr>
          <w:sz w:val="12"/>
        </w:rPr>
        <w:t>Asamblea Parlamentaria del Consejo de Europa sobre el derecho a la objeción de conciencia en la atención médica legal.</w:t>
      </w:r>
    </w:p>
    <w:p w14:paraId="0B5C338B" w14:textId="77777777" w:rsidR="0014798C" w:rsidRDefault="004E1F0B">
      <w:pPr>
        <w:spacing w:before="58" w:line="312" w:lineRule="auto"/>
        <w:ind w:left="1370" w:right="1840" w:hanging="259"/>
        <w:rPr>
          <w:sz w:val="12"/>
        </w:rPr>
      </w:pPr>
      <w:r>
        <w:rPr>
          <w:sz w:val="12"/>
        </w:rPr>
        <w:t>1036 El Relator Especial sobre la libertad de religión o de creencias ha declarado que: “la interpretación errónea, abstractamente antagónica, de la relación entre</w:t>
      </w:r>
      <w:r>
        <w:rPr>
          <w:spacing w:val="40"/>
          <w:sz w:val="12"/>
        </w:rPr>
        <w:t xml:space="preserve"> </w:t>
      </w:r>
      <w:r>
        <w:rPr>
          <w:sz w:val="12"/>
        </w:rPr>
        <w:t>libertad de religión o de creencias e igualdad entre hombres y mujeres no hace justicia a la situación de vida de muchos millones de personas cuyas</w:t>
      </w:r>
    </w:p>
    <w:p w14:paraId="6B322021" w14:textId="77777777" w:rsidR="0014798C" w:rsidRDefault="004E1F0B">
      <w:pPr>
        <w:spacing w:line="312" w:lineRule="auto"/>
        <w:ind w:left="1366" w:right="1378" w:firstLine="1"/>
        <w:rPr>
          <w:sz w:val="12"/>
        </w:rPr>
      </w:pPr>
      <w:r>
        <w:rPr>
          <w:sz w:val="12"/>
        </w:rPr>
        <w:t xml:space="preserve">necesidades </w:t>
      </w:r>
      <w:proofErr w:type="gramStart"/>
      <w:r>
        <w:rPr>
          <w:sz w:val="12"/>
        </w:rPr>
        <w:t>específicas ,</w:t>
      </w:r>
      <w:proofErr w:type="gramEnd"/>
      <w:r>
        <w:rPr>
          <w:sz w:val="12"/>
        </w:rPr>
        <w:t xml:space="preserve"> deseos, reivindicaciones, experiencias y vulnerabilidades caen en la intersección de ambos derechos humanos, un problema que afecta</w:t>
      </w:r>
      <w:r>
        <w:rPr>
          <w:spacing w:val="40"/>
          <w:sz w:val="12"/>
        </w:rPr>
        <w:t xml:space="preserve"> </w:t>
      </w:r>
      <w:r>
        <w:rPr>
          <w:sz w:val="12"/>
        </w:rPr>
        <w:t>desproporcionadamente a las mujeres de minorías religiosas. Por lo tanto, el Relator Especial destaca la importancia de defender una perspectiva holística de</w:t>
      </w:r>
      <w:r>
        <w:rPr>
          <w:spacing w:val="40"/>
          <w:sz w:val="12"/>
        </w:rPr>
        <w:t xml:space="preserve"> </w:t>
      </w:r>
      <w:r>
        <w:rPr>
          <w:sz w:val="12"/>
        </w:rPr>
        <w:t>conformidad con la fórmula acuñada en la Conferencia Mundial de Derechos Humanos de que "todos los derechos humanos son universales, indivisibles e</w:t>
      </w:r>
      <w:r>
        <w:rPr>
          <w:spacing w:val="40"/>
          <w:sz w:val="12"/>
        </w:rPr>
        <w:t xml:space="preserve"> </w:t>
      </w:r>
      <w:r>
        <w:rPr>
          <w:sz w:val="12"/>
        </w:rPr>
        <w:t>interdependientes e interrelacionados". Partiendo de esta perspectiva holística, que merece ser defendida incluso en situaciones complicadas y tensas, formula una</w:t>
      </w:r>
      <w:r>
        <w:rPr>
          <w:spacing w:val="40"/>
          <w:sz w:val="12"/>
        </w:rPr>
        <w:t xml:space="preserve"> </w:t>
      </w:r>
      <w:r>
        <w:rPr>
          <w:sz w:val="12"/>
        </w:rPr>
        <w:t>serie</w:t>
      </w:r>
      <w:r>
        <w:rPr>
          <w:spacing w:val="5"/>
          <w:sz w:val="12"/>
        </w:rPr>
        <w:t xml:space="preserve"> </w:t>
      </w:r>
      <w:r>
        <w:rPr>
          <w:sz w:val="12"/>
        </w:rPr>
        <w:t>de</w:t>
      </w:r>
      <w:r>
        <w:rPr>
          <w:spacing w:val="5"/>
          <w:sz w:val="12"/>
        </w:rPr>
        <w:t xml:space="preserve"> </w:t>
      </w:r>
      <w:r>
        <w:rPr>
          <w:sz w:val="12"/>
        </w:rPr>
        <w:t>recomendaciones</w:t>
      </w:r>
      <w:r>
        <w:rPr>
          <w:spacing w:val="5"/>
          <w:sz w:val="12"/>
        </w:rPr>
        <w:t xml:space="preserve"> </w:t>
      </w:r>
      <w:r>
        <w:rPr>
          <w:sz w:val="12"/>
        </w:rPr>
        <w:t>prácticas</w:t>
      </w:r>
      <w:r>
        <w:rPr>
          <w:spacing w:val="5"/>
          <w:sz w:val="12"/>
        </w:rPr>
        <w:t xml:space="preserve"> </w:t>
      </w:r>
      <w:r>
        <w:rPr>
          <w:sz w:val="12"/>
        </w:rPr>
        <w:t>dirigidas</w:t>
      </w:r>
      <w:r>
        <w:rPr>
          <w:spacing w:val="5"/>
          <w:sz w:val="12"/>
        </w:rPr>
        <w:t xml:space="preserve"> </w:t>
      </w:r>
      <w:r>
        <w:rPr>
          <w:sz w:val="12"/>
        </w:rPr>
        <w:t>a</w:t>
      </w:r>
      <w:r>
        <w:rPr>
          <w:spacing w:val="5"/>
          <w:sz w:val="12"/>
        </w:rPr>
        <w:t xml:space="preserve"> </w:t>
      </w:r>
      <w:r>
        <w:rPr>
          <w:sz w:val="12"/>
        </w:rPr>
        <w:t>los</w:t>
      </w:r>
      <w:r>
        <w:rPr>
          <w:spacing w:val="5"/>
          <w:sz w:val="12"/>
        </w:rPr>
        <w:t xml:space="preserve"> </w:t>
      </w:r>
      <w:r>
        <w:rPr>
          <w:sz w:val="12"/>
        </w:rPr>
        <w:t>Estados</w:t>
      </w:r>
      <w:r>
        <w:rPr>
          <w:spacing w:val="5"/>
          <w:sz w:val="12"/>
        </w:rPr>
        <w:t xml:space="preserve"> </w:t>
      </w:r>
      <w:r>
        <w:rPr>
          <w:sz w:val="12"/>
        </w:rPr>
        <w:t>y</w:t>
      </w:r>
      <w:r>
        <w:rPr>
          <w:spacing w:val="5"/>
          <w:sz w:val="12"/>
        </w:rPr>
        <w:t xml:space="preserve"> </w:t>
      </w:r>
      <w:r>
        <w:rPr>
          <w:sz w:val="12"/>
        </w:rPr>
        <w:t>otras</w:t>
      </w:r>
      <w:r>
        <w:rPr>
          <w:spacing w:val="5"/>
          <w:sz w:val="12"/>
        </w:rPr>
        <w:t xml:space="preserve"> </w:t>
      </w:r>
      <w:r>
        <w:rPr>
          <w:sz w:val="12"/>
        </w:rPr>
        <w:t>partes</w:t>
      </w:r>
      <w:r>
        <w:rPr>
          <w:spacing w:val="5"/>
          <w:sz w:val="12"/>
        </w:rPr>
        <w:t xml:space="preserve"> </w:t>
      </w:r>
      <w:r>
        <w:rPr>
          <w:sz w:val="12"/>
        </w:rPr>
        <w:t>interesadas”.</w:t>
      </w:r>
      <w:r>
        <w:rPr>
          <w:spacing w:val="7"/>
          <w:sz w:val="12"/>
        </w:rPr>
        <w:t xml:space="preserve"> </w:t>
      </w:r>
      <w:r>
        <w:rPr>
          <w:sz w:val="12"/>
        </w:rPr>
        <w:t>Véase</w:t>
      </w:r>
      <w:r>
        <w:rPr>
          <w:spacing w:val="5"/>
          <w:sz w:val="12"/>
        </w:rPr>
        <w:t xml:space="preserve"> </w:t>
      </w:r>
      <w:r>
        <w:rPr>
          <w:sz w:val="12"/>
        </w:rPr>
        <w:t>A/68/290,</w:t>
      </w:r>
      <w:r>
        <w:rPr>
          <w:spacing w:val="5"/>
          <w:sz w:val="12"/>
        </w:rPr>
        <w:t xml:space="preserve"> </w:t>
      </w:r>
      <w:r>
        <w:rPr>
          <w:sz w:val="12"/>
        </w:rPr>
        <w:t>pág.</w:t>
      </w:r>
      <w:r>
        <w:rPr>
          <w:spacing w:val="5"/>
          <w:sz w:val="12"/>
        </w:rPr>
        <w:t xml:space="preserve"> </w:t>
      </w:r>
      <w:r>
        <w:rPr>
          <w:sz w:val="12"/>
        </w:rPr>
        <w:t>2.</w:t>
      </w:r>
      <w:r>
        <w:rPr>
          <w:spacing w:val="5"/>
          <w:sz w:val="12"/>
        </w:rPr>
        <w:t xml:space="preserve"> </w:t>
      </w:r>
      <w:r>
        <w:rPr>
          <w:sz w:val="12"/>
        </w:rPr>
        <w:t>Véase</w:t>
      </w:r>
      <w:r>
        <w:rPr>
          <w:spacing w:val="5"/>
          <w:sz w:val="12"/>
        </w:rPr>
        <w:t xml:space="preserve"> </w:t>
      </w:r>
      <w:r>
        <w:rPr>
          <w:sz w:val="12"/>
        </w:rPr>
        <w:t>también</w:t>
      </w:r>
      <w:r>
        <w:rPr>
          <w:spacing w:val="5"/>
          <w:sz w:val="12"/>
        </w:rPr>
        <w:t xml:space="preserve"> </w:t>
      </w:r>
      <w:r>
        <w:rPr>
          <w:sz w:val="12"/>
        </w:rPr>
        <w:t>Michael</w:t>
      </w:r>
      <w:r>
        <w:rPr>
          <w:spacing w:val="5"/>
          <w:sz w:val="12"/>
        </w:rPr>
        <w:t xml:space="preserve"> </w:t>
      </w:r>
      <w:r>
        <w:rPr>
          <w:sz w:val="12"/>
        </w:rPr>
        <w:t>Wiener,</w:t>
      </w:r>
      <w:r>
        <w:rPr>
          <w:spacing w:val="5"/>
          <w:sz w:val="12"/>
        </w:rPr>
        <w:t xml:space="preserve"> </w:t>
      </w:r>
      <w:r>
        <w:rPr>
          <w:sz w:val="12"/>
        </w:rPr>
        <w:t>“Libertad</w:t>
      </w:r>
      <w:r>
        <w:rPr>
          <w:spacing w:val="5"/>
          <w:sz w:val="12"/>
        </w:rPr>
        <w:t xml:space="preserve"> </w:t>
      </w:r>
      <w:r>
        <w:rPr>
          <w:sz w:val="12"/>
        </w:rPr>
        <w:t>de</w:t>
      </w:r>
      <w:r>
        <w:rPr>
          <w:spacing w:val="5"/>
          <w:sz w:val="12"/>
        </w:rPr>
        <w:t xml:space="preserve"> </w:t>
      </w:r>
      <w:r>
        <w:rPr>
          <w:sz w:val="12"/>
        </w:rPr>
        <w:t>religión</w:t>
      </w:r>
      <w:r>
        <w:rPr>
          <w:spacing w:val="40"/>
          <w:sz w:val="12"/>
        </w:rPr>
        <w:t xml:space="preserve"> </w:t>
      </w:r>
      <w:r>
        <w:rPr>
          <w:sz w:val="12"/>
        </w:rPr>
        <w:t>o</w:t>
      </w:r>
      <w:r>
        <w:rPr>
          <w:spacing w:val="6"/>
          <w:sz w:val="12"/>
        </w:rPr>
        <w:t xml:space="preserve"> </w:t>
      </w:r>
      <w:r>
        <w:rPr>
          <w:sz w:val="12"/>
        </w:rPr>
        <w:t>creencia</w:t>
      </w:r>
      <w:r>
        <w:rPr>
          <w:spacing w:val="6"/>
          <w:sz w:val="12"/>
        </w:rPr>
        <w:t xml:space="preserve"> </w:t>
      </w:r>
      <w:r>
        <w:rPr>
          <w:sz w:val="12"/>
        </w:rPr>
        <w:t>y</w:t>
      </w:r>
      <w:r>
        <w:rPr>
          <w:spacing w:val="6"/>
          <w:sz w:val="12"/>
        </w:rPr>
        <w:t xml:space="preserve"> </w:t>
      </w:r>
      <w:r>
        <w:rPr>
          <w:sz w:val="12"/>
        </w:rPr>
        <w:t>sexualidad:</w:t>
      </w:r>
      <w:r>
        <w:rPr>
          <w:spacing w:val="7"/>
          <w:sz w:val="12"/>
        </w:rPr>
        <w:t xml:space="preserve"> </w:t>
      </w:r>
      <w:r>
        <w:rPr>
          <w:sz w:val="12"/>
        </w:rPr>
        <w:t>trazando</w:t>
      </w:r>
      <w:r>
        <w:rPr>
          <w:spacing w:val="6"/>
          <w:sz w:val="12"/>
        </w:rPr>
        <w:t xml:space="preserve"> </w:t>
      </w:r>
      <w:r>
        <w:rPr>
          <w:sz w:val="12"/>
        </w:rPr>
        <w:t>la</w:t>
      </w:r>
      <w:r>
        <w:rPr>
          <w:spacing w:val="6"/>
          <w:sz w:val="12"/>
        </w:rPr>
        <w:t xml:space="preserve"> </w:t>
      </w:r>
      <w:r>
        <w:rPr>
          <w:sz w:val="12"/>
        </w:rPr>
        <w:t>evolución</w:t>
      </w:r>
      <w:r>
        <w:rPr>
          <w:spacing w:val="6"/>
          <w:sz w:val="12"/>
        </w:rPr>
        <w:t xml:space="preserve"> </w:t>
      </w:r>
      <w:r>
        <w:rPr>
          <w:sz w:val="12"/>
        </w:rPr>
        <w:t>de</w:t>
      </w:r>
      <w:r>
        <w:rPr>
          <w:spacing w:val="6"/>
          <w:sz w:val="12"/>
        </w:rPr>
        <w:t xml:space="preserve"> </w:t>
      </w:r>
      <w:r>
        <w:rPr>
          <w:sz w:val="12"/>
        </w:rPr>
        <w:t>la</w:t>
      </w:r>
      <w:r>
        <w:rPr>
          <w:spacing w:val="6"/>
          <w:sz w:val="12"/>
        </w:rPr>
        <w:t xml:space="preserve"> </w:t>
      </w:r>
      <w:r>
        <w:rPr>
          <w:sz w:val="12"/>
        </w:rPr>
        <w:t>práctica</w:t>
      </w:r>
      <w:r>
        <w:rPr>
          <w:spacing w:val="6"/>
          <w:sz w:val="12"/>
        </w:rPr>
        <w:t xml:space="preserve"> </w:t>
      </w:r>
      <w:r>
        <w:rPr>
          <w:sz w:val="12"/>
        </w:rPr>
        <w:t>del</w:t>
      </w:r>
      <w:r>
        <w:rPr>
          <w:spacing w:val="6"/>
          <w:sz w:val="12"/>
        </w:rPr>
        <w:t xml:space="preserve"> </w:t>
      </w:r>
      <w:r>
        <w:rPr>
          <w:sz w:val="12"/>
        </w:rPr>
        <w:t>mandato</w:t>
      </w:r>
      <w:r>
        <w:rPr>
          <w:spacing w:val="6"/>
          <w:sz w:val="12"/>
        </w:rPr>
        <w:t xml:space="preserve"> </w:t>
      </w:r>
      <w:r>
        <w:rPr>
          <w:sz w:val="12"/>
        </w:rPr>
        <w:t>del</w:t>
      </w:r>
      <w:r>
        <w:rPr>
          <w:spacing w:val="6"/>
          <w:sz w:val="12"/>
        </w:rPr>
        <w:t xml:space="preserve"> </w:t>
      </w:r>
      <w:r>
        <w:rPr>
          <w:sz w:val="12"/>
        </w:rPr>
        <w:t>Relator</w:t>
      </w:r>
      <w:r>
        <w:rPr>
          <w:spacing w:val="6"/>
          <w:sz w:val="12"/>
        </w:rPr>
        <w:t xml:space="preserve"> </w:t>
      </w:r>
      <w:r>
        <w:rPr>
          <w:sz w:val="12"/>
        </w:rPr>
        <w:t>Especial</w:t>
      </w:r>
      <w:r>
        <w:rPr>
          <w:spacing w:val="6"/>
          <w:sz w:val="12"/>
        </w:rPr>
        <w:t xml:space="preserve"> </w:t>
      </w:r>
      <w:r>
        <w:rPr>
          <w:sz w:val="12"/>
        </w:rPr>
        <w:t>de</w:t>
      </w:r>
      <w:r>
        <w:rPr>
          <w:spacing w:val="6"/>
          <w:sz w:val="12"/>
        </w:rPr>
        <w:t xml:space="preserve"> </w:t>
      </w:r>
      <w:r>
        <w:rPr>
          <w:sz w:val="12"/>
        </w:rPr>
        <w:t>las</w:t>
      </w:r>
      <w:r>
        <w:rPr>
          <w:spacing w:val="6"/>
          <w:sz w:val="12"/>
        </w:rPr>
        <w:t xml:space="preserve"> </w:t>
      </w:r>
      <w:r>
        <w:rPr>
          <w:sz w:val="12"/>
        </w:rPr>
        <w:t>Naciones</w:t>
      </w:r>
      <w:r>
        <w:rPr>
          <w:spacing w:val="6"/>
          <w:sz w:val="12"/>
        </w:rPr>
        <w:t xml:space="preserve"> </w:t>
      </w:r>
      <w:r>
        <w:rPr>
          <w:sz w:val="12"/>
        </w:rPr>
        <w:t>Unidas</w:t>
      </w:r>
      <w:r>
        <w:rPr>
          <w:spacing w:val="6"/>
          <w:sz w:val="12"/>
        </w:rPr>
        <w:t xml:space="preserve"> </w:t>
      </w:r>
      <w:r>
        <w:rPr>
          <w:sz w:val="12"/>
        </w:rPr>
        <w:t>durante</w:t>
      </w:r>
      <w:r>
        <w:rPr>
          <w:spacing w:val="6"/>
          <w:sz w:val="12"/>
        </w:rPr>
        <w:t xml:space="preserve"> </w:t>
      </w:r>
      <w:r>
        <w:rPr>
          <w:sz w:val="12"/>
        </w:rPr>
        <w:t>treinta</w:t>
      </w:r>
      <w:r>
        <w:rPr>
          <w:spacing w:val="6"/>
          <w:sz w:val="12"/>
        </w:rPr>
        <w:t xml:space="preserve"> </w:t>
      </w:r>
      <w:r>
        <w:rPr>
          <w:sz w:val="12"/>
        </w:rPr>
        <w:t>años”,</w:t>
      </w:r>
      <w:r>
        <w:rPr>
          <w:spacing w:val="6"/>
          <w:sz w:val="12"/>
        </w:rPr>
        <w:t xml:space="preserve"> </w:t>
      </w:r>
      <w:r>
        <w:rPr>
          <w:sz w:val="12"/>
        </w:rPr>
        <w:t>Oxford</w:t>
      </w:r>
      <w:r>
        <w:rPr>
          <w:spacing w:val="6"/>
          <w:sz w:val="12"/>
        </w:rPr>
        <w:t xml:space="preserve"> </w:t>
      </w:r>
      <w:proofErr w:type="spellStart"/>
      <w:r>
        <w:rPr>
          <w:sz w:val="12"/>
        </w:rPr>
        <w:t>Journal</w:t>
      </w:r>
      <w:proofErr w:type="spellEnd"/>
      <w:r>
        <w:rPr>
          <w:spacing w:val="6"/>
          <w:sz w:val="12"/>
        </w:rPr>
        <w:t xml:space="preserve"> </w:t>
      </w:r>
      <w:r>
        <w:rPr>
          <w:sz w:val="12"/>
        </w:rPr>
        <w:t>of</w:t>
      </w:r>
      <w:r>
        <w:rPr>
          <w:spacing w:val="6"/>
          <w:sz w:val="12"/>
        </w:rPr>
        <w:t xml:space="preserve"> </w:t>
      </w:r>
      <w:proofErr w:type="spellStart"/>
      <w:r>
        <w:rPr>
          <w:sz w:val="12"/>
        </w:rPr>
        <w:t>Law</w:t>
      </w:r>
      <w:proofErr w:type="spellEnd"/>
      <w:r>
        <w:rPr>
          <w:spacing w:val="40"/>
          <w:sz w:val="12"/>
        </w:rPr>
        <w:t xml:space="preserve"> </w:t>
      </w:r>
      <w:r>
        <w:rPr>
          <w:sz w:val="12"/>
        </w:rPr>
        <w:t xml:space="preserve">and </w:t>
      </w:r>
      <w:proofErr w:type="spellStart"/>
      <w:r>
        <w:rPr>
          <w:sz w:val="12"/>
        </w:rPr>
        <w:t>Religion</w:t>
      </w:r>
      <w:proofErr w:type="spellEnd"/>
      <w:r>
        <w:rPr>
          <w:sz w:val="12"/>
        </w:rPr>
        <w:t>, vol. 6, núm. 2 (2017).</w:t>
      </w:r>
    </w:p>
    <w:p w14:paraId="7D077A83" w14:textId="77777777" w:rsidR="0014798C" w:rsidRDefault="004E1F0B">
      <w:pPr>
        <w:spacing w:before="58"/>
        <w:ind w:left="1111"/>
        <w:rPr>
          <w:sz w:val="12"/>
        </w:rPr>
      </w:pPr>
      <w:r>
        <w:rPr>
          <w:position w:val="4"/>
          <w:sz w:val="8"/>
        </w:rPr>
        <w:t>1037</w:t>
      </w:r>
      <w:r>
        <w:rPr>
          <w:spacing w:val="46"/>
          <w:position w:val="4"/>
          <w:sz w:val="8"/>
        </w:rPr>
        <w:t xml:space="preserve"> </w:t>
      </w:r>
      <w:r>
        <w:rPr>
          <w:sz w:val="12"/>
        </w:rPr>
        <w:t>Tribunal</w:t>
      </w:r>
      <w:r>
        <w:rPr>
          <w:spacing w:val="-1"/>
          <w:sz w:val="12"/>
        </w:rPr>
        <w:t xml:space="preserve"> </w:t>
      </w:r>
      <w:r>
        <w:rPr>
          <w:sz w:val="12"/>
        </w:rPr>
        <w:t>Supremo del Reino</w:t>
      </w:r>
      <w:r>
        <w:rPr>
          <w:spacing w:val="-1"/>
          <w:sz w:val="12"/>
        </w:rPr>
        <w:t xml:space="preserve"> </w:t>
      </w:r>
      <w:r>
        <w:rPr>
          <w:sz w:val="12"/>
        </w:rPr>
        <w:t>Unido, Bull</w:t>
      </w:r>
      <w:r>
        <w:rPr>
          <w:spacing w:val="-1"/>
          <w:sz w:val="12"/>
        </w:rPr>
        <w:t xml:space="preserve"> </w:t>
      </w:r>
      <w:r>
        <w:rPr>
          <w:sz w:val="12"/>
        </w:rPr>
        <w:t>y otro contra</w:t>
      </w:r>
      <w:r>
        <w:rPr>
          <w:spacing w:val="-1"/>
          <w:sz w:val="12"/>
        </w:rPr>
        <w:t xml:space="preserve"> </w:t>
      </w:r>
      <w:r>
        <w:rPr>
          <w:sz w:val="12"/>
        </w:rPr>
        <w:t>Hall y</w:t>
      </w:r>
      <w:r>
        <w:rPr>
          <w:spacing w:val="-1"/>
          <w:sz w:val="12"/>
        </w:rPr>
        <w:t xml:space="preserve"> </w:t>
      </w:r>
      <w:r>
        <w:rPr>
          <w:sz w:val="12"/>
        </w:rPr>
        <w:t>otro [2013] UKSC</w:t>
      </w:r>
      <w:r>
        <w:rPr>
          <w:spacing w:val="-1"/>
          <w:sz w:val="12"/>
        </w:rPr>
        <w:t xml:space="preserve"> </w:t>
      </w:r>
      <w:r>
        <w:rPr>
          <w:spacing w:val="-5"/>
          <w:sz w:val="12"/>
        </w:rPr>
        <w:t>73.</w:t>
      </w:r>
    </w:p>
    <w:p w14:paraId="22F3DC6B" w14:textId="77777777" w:rsidR="0014798C" w:rsidRDefault="004E1F0B">
      <w:pPr>
        <w:spacing w:before="98"/>
        <w:ind w:left="1111"/>
        <w:rPr>
          <w:sz w:val="12"/>
        </w:rPr>
      </w:pPr>
      <w:r>
        <w:rPr>
          <w:sz w:val="12"/>
        </w:rPr>
        <w:t>1038</w:t>
      </w:r>
      <w:r>
        <w:rPr>
          <w:spacing w:val="-1"/>
          <w:sz w:val="12"/>
        </w:rPr>
        <w:t xml:space="preserve"> </w:t>
      </w:r>
      <w:r>
        <w:rPr>
          <w:sz w:val="12"/>
        </w:rPr>
        <w:t>Tribunal</w:t>
      </w:r>
      <w:r>
        <w:rPr>
          <w:spacing w:val="-1"/>
          <w:sz w:val="12"/>
        </w:rPr>
        <w:t xml:space="preserve"> </w:t>
      </w:r>
      <w:r>
        <w:rPr>
          <w:sz w:val="12"/>
        </w:rPr>
        <w:t>de Apelaciones</w:t>
      </w:r>
      <w:r>
        <w:rPr>
          <w:spacing w:val="-1"/>
          <w:sz w:val="12"/>
        </w:rPr>
        <w:t xml:space="preserve"> </w:t>
      </w:r>
      <w:r>
        <w:rPr>
          <w:sz w:val="12"/>
        </w:rPr>
        <w:t>del</w:t>
      </w:r>
      <w:r>
        <w:rPr>
          <w:spacing w:val="-1"/>
          <w:sz w:val="12"/>
        </w:rPr>
        <w:t xml:space="preserve"> </w:t>
      </w:r>
      <w:r>
        <w:rPr>
          <w:sz w:val="12"/>
        </w:rPr>
        <w:t>Reino Unido,</w:t>
      </w:r>
      <w:r>
        <w:rPr>
          <w:spacing w:val="-1"/>
          <w:sz w:val="12"/>
        </w:rPr>
        <w:t xml:space="preserve"> </w:t>
      </w:r>
      <w:proofErr w:type="spellStart"/>
      <w:r>
        <w:rPr>
          <w:sz w:val="12"/>
        </w:rPr>
        <w:t>Ladele</w:t>
      </w:r>
      <w:proofErr w:type="spellEnd"/>
      <w:r>
        <w:rPr>
          <w:spacing w:val="-1"/>
          <w:sz w:val="12"/>
        </w:rPr>
        <w:t xml:space="preserve"> </w:t>
      </w:r>
      <w:r>
        <w:rPr>
          <w:sz w:val="12"/>
        </w:rPr>
        <w:t>contra el</w:t>
      </w:r>
      <w:r>
        <w:rPr>
          <w:spacing w:val="-1"/>
          <w:sz w:val="12"/>
        </w:rPr>
        <w:t xml:space="preserve"> </w:t>
      </w:r>
      <w:r>
        <w:rPr>
          <w:sz w:val="12"/>
        </w:rPr>
        <w:t>distrito</w:t>
      </w:r>
      <w:r>
        <w:rPr>
          <w:spacing w:val="-1"/>
          <w:sz w:val="12"/>
        </w:rPr>
        <w:t xml:space="preserve"> </w:t>
      </w:r>
      <w:r>
        <w:rPr>
          <w:sz w:val="12"/>
        </w:rPr>
        <w:t>londinense de</w:t>
      </w:r>
      <w:r>
        <w:rPr>
          <w:spacing w:val="-1"/>
          <w:sz w:val="12"/>
        </w:rPr>
        <w:t xml:space="preserve"> </w:t>
      </w:r>
      <w:r>
        <w:rPr>
          <w:sz w:val="12"/>
        </w:rPr>
        <w:t>Islington [2009]</w:t>
      </w:r>
      <w:r>
        <w:rPr>
          <w:spacing w:val="-1"/>
          <w:sz w:val="12"/>
        </w:rPr>
        <w:t xml:space="preserve"> </w:t>
      </w:r>
      <w:r>
        <w:rPr>
          <w:sz w:val="12"/>
        </w:rPr>
        <w:t>EWCA</w:t>
      </w:r>
      <w:r>
        <w:rPr>
          <w:spacing w:val="-1"/>
          <w:sz w:val="12"/>
        </w:rPr>
        <w:t xml:space="preserve"> </w:t>
      </w:r>
      <w:proofErr w:type="spellStart"/>
      <w:r>
        <w:rPr>
          <w:sz w:val="12"/>
        </w:rPr>
        <w:t>Civ</w:t>
      </w:r>
      <w:proofErr w:type="spellEnd"/>
      <w:r>
        <w:rPr>
          <w:sz w:val="12"/>
        </w:rPr>
        <w:t xml:space="preserve"> 1357</w:t>
      </w:r>
      <w:r>
        <w:rPr>
          <w:spacing w:val="-1"/>
          <w:sz w:val="12"/>
        </w:rPr>
        <w:t xml:space="preserve"> </w:t>
      </w:r>
      <w:r>
        <w:rPr>
          <w:spacing w:val="-5"/>
          <w:sz w:val="12"/>
        </w:rPr>
        <w:t>CA.</w:t>
      </w:r>
    </w:p>
    <w:p w14:paraId="005BACD9" w14:textId="77777777" w:rsidR="0014798C" w:rsidRDefault="004E1F0B">
      <w:pPr>
        <w:spacing w:before="96"/>
        <w:ind w:left="1111"/>
        <w:rPr>
          <w:sz w:val="12"/>
        </w:rPr>
      </w:pPr>
      <w:r>
        <w:rPr>
          <w:position w:val="4"/>
          <w:sz w:val="8"/>
        </w:rPr>
        <w:t>1039</w:t>
      </w:r>
      <w:r>
        <w:rPr>
          <w:spacing w:val="46"/>
          <w:position w:val="4"/>
          <w:sz w:val="8"/>
        </w:rPr>
        <w:t xml:space="preserve"> </w:t>
      </w:r>
      <w:r>
        <w:rPr>
          <w:sz w:val="12"/>
        </w:rPr>
        <w:t xml:space="preserve">Tribunal Supremo del Reino Unido, Lee v. </w:t>
      </w:r>
      <w:proofErr w:type="spellStart"/>
      <w:r>
        <w:rPr>
          <w:sz w:val="12"/>
        </w:rPr>
        <w:t>Ashers</w:t>
      </w:r>
      <w:proofErr w:type="spellEnd"/>
      <w:r>
        <w:rPr>
          <w:sz w:val="12"/>
        </w:rPr>
        <w:t xml:space="preserve"> </w:t>
      </w:r>
      <w:proofErr w:type="spellStart"/>
      <w:r>
        <w:rPr>
          <w:sz w:val="12"/>
        </w:rPr>
        <w:t>Baking</w:t>
      </w:r>
      <w:proofErr w:type="spellEnd"/>
      <w:r>
        <w:rPr>
          <w:sz w:val="12"/>
        </w:rPr>
        <w:t xml:space="preserve"> Company </w:t>
      </w:r>
      <w:proofErr w:type="spellStart"/>
      <w:r>
        <w:rPr>
          <w:sz w:val="12"/>
        </w:rPr>
        <w:t>Ltd</w:t>
      </w:r>
      <w:proofErr w:type="spellEnd"/>
      <w:r>
        <w:rPr>
          <w:sz w:val="12"/>
        </w:rPr>
        <w:t xml:space="preserve"> y otros [2018] UKSC 49. El</w:t>
      </w:r>
      <w:r>
        <w:rPr>
          <w:spacing w:val="-1"/>
          <w:sz w:val="12"/>
        </w:rPr>
        <w:t xml:space="preserve"> </w:t>
      </w:r>
      <w:r>
        <w:rPr>
          <w:sz w:val="12"/>
        </w:rPr>
        <w:t xml:space="preserve">Tribunal también consideró si la negativa de la </w:t>
      </w:r>
      <w:r>
        <w:rPr>
          <w:spacing w:val="-2"/>
          <w:sz w:val="12"/>
        </w:rPr>
        <w:t>panadería</w:t>
      </w:r>
    </w:p>
    <w:p w14:paraId="5802A83E" w14:textId="77777777" w:rsidR="0014798C" w:rsidRDefault="004E1F0B">
      <w:pPr>
        <w:spacing w:before="42" w:line="312" w:lineRule="auto"/>
        <w:ind w:left="1367" w:right="1272" w:hanging="3"/>
        <w:rPr>
          <w:sz w:val="12"/>
        </w:rPr>
      </w:pPr>
      <w:r>
        <w:rPr>
          <w:sz w:val="12"/>
        </w:rPr>
        <w:t>a proporcionar el pastel constituía discriminación por motivos de opinión política. El Tribunal decidió que no constituía discriminación y sostuvo que la ley no podía</w:t>
      </w:r>
      <w:r>
        <w:rPr>
          <w:spacing w:val="40"/>
          <w:sz w:val="12"/>
        </w:rPr>
        <w:t xml:space="preserve"> </w:t>
      </w:r>
      <w:r>
        <w:rPr>
          <w:sz w:val="12"/>
        </w:rPr>
        <w:t>“obligar[a] [a los propietarios] a suministrar un pastel helado con un mensaje con el que estaban profundamente en desacuerdo” (párr. 50).</w:t>
      </w:r>
    </w:p>
    <w:p w14:paraId="78FD4131" w14:textId="77777777" w:rsidR="0014798C" w:rsidRDefault="0014798C">
      <w:pPr>
        <w:pStyle w:val="Textoindependiente"/>
        <w:rPr>
          <w:sz w:val="18"/>
        </w:rPr>
      </w:pPr>
    </w:p>
    <w:p w14:paraId="26BAE7E4" w14:textId="77777777" w:rsidR="0014798C" w:rsidRDefault="0014798C">
      <w:pPr>
        <w:pStyle w:val="Textoindependiente"/>
        <w:rPr>
          <w:sz w:val="18"/>
        </w:rPr>
      </w:pPr>
    </w:p>
    <w:p w14:paraId="6B5EEFAA" w14:textId="77777777" w:rsidR="0014798C" w:rsidRDefault="0014798C">
      <w:pPr>
        <w:pStyle w:val="Textoindependiente"/>
        <w:spacing w:before="169"/>
        <w:rPr>
          <w:sz w:val="18"/>
        </w:rPr>
      </w:pPr>
    </w:p>
    <w:p w14:paraId="341D44CB" w14:textId="77777777" w:rsidR="0014798C" w:rsidRDefault="004E1F0B">
      <w:pPr>
        <w:ind w:left="476"/>
        <w:rPr>
          <w:sz w:val="18"/>
        </w:rPr>
      </w:pPr>
      <w:r>
        <w:rPr>
          <w:spacing w:val="-5"/>
          <w:sz w:val="18"/>
        </w:rPr>
        <w:t>150</w:t>
      </w:r>
    </w:p>
    <w:p w14:paraId="61E4F949" w14:textId="77777777" w:rsidR="0014798C" w:rsidRDefault="0014798C">
      <w:pPr>
        <w:rPr>
          <w:sz w:val="18"/>
        </w:rPr>
        <w:sectPr w:rsidR="0014798C" w:rsidSect="00F265E4">
          <w:pgSz w:w="11900" w:h="16820"/>
          <w:pgMar w:top="340" w:right="0" w:bottom="280" w:left="200" w:header="121" w:footer="0" w:gutter="0"/>
          <w:cols w:space="720"/>
        </w:sectPr>
      </w:pPr>
    </w:p>
    <w:p w14:paraId="283C41AF" w14:textId="77777777" w:rsidR="0014798C" w:rsidRDefault="0014798C">
      <w:pPr>
        <w:pStyle w:val="Textoindependiente"/>
        <w:rPr>
          <w:sz w:val="9"/>
        </w:rPr>
      </w:pPr>
    </w:p>
    <w:p w14:paraId="2AB09A16" w14:textId="77777777" w:rsidR="0014798C" w:rsidRDefault="0014798C">
      <w:pPr>
        <w:pStyle w:val="Textoindependiente"/>
        <w:spacing w:before="31"/>
        <w:rPr>
          <w:sz w:val="9"/>
        </w:rPr>
      </w:pPr>
    </w:p>
    <w:p w14:paraId="54140AB8" w14:textId="77777777" w:rsidR="0014798C" w:rsidRDefault="004E1F0B">
      <w:pPr>
        <w:ind w:left="1111"/>
        <w:rPr>
          <w:sz w:val="9"/>
        </w:rPr>
      </w:pPr>
      <w:r>
        <w:rPr>
          <w:color w:val="803108"/>
          <w:w w:val="105"/>
          <w:sz w:val="9"/>
        </w:rPr>
        <w:t>PARTE</w:t>
      </w:r>
      <w:r>
        <w:rPr>
          <w:color w:val="803108"/>
          <w:spacing w:val="1"/>
          <w:w w:val="105"/>
          <w:sz w:val="9"/>
        </w:rPr>
        <w:t xml:space="preserve"> </w:t>
      </w:r>
      <w:r>
        <w:rPr>
          <w:color w:val="803108"/>
          <w:w w:val="105"/>
          <w:sz w:val="9"/>
        </w:rPr>
        <w:t>TRES:</w:t>
      </w:r>
      <w:r>
        <w:rPr>
          <w:color w:val="803108"/>
          <w:spacing w:val="2"/>
          <w:w w:val="105"/>
          <w:sz w:val="9"/>
        </w:rPr>
        <w:t xml:space="preserve"> </w:t>
      </w:r>
      <w:r>
        <w:rPr>
          <w:color w:val="803108"/>
          <w:w w:val="105"/>
          <w:sz w:val="9"/>
        </w:rPr>
        <w:t>PROTECCIÓN</w:t>
      </w:r>
      <w:r>
        <w:rPr>
          <w:color w:val="803108"/>
          <w:spacing w:val="2"/>
          <w:w w:val="105"/>
          <w:sz w:val="9"/>
        </w:rPr>
        <w:t xml:space="preserve"> </w:t>
      </w:r>
      <w:r>
        <w:rPr>
          <w:color w:val="803108"/>
          <w:w w:val="105"/>
          <w:sz w:val="9"/>
        </w:rPr>
        <w:t>DE</w:t>
      </w:r>
      <w:r>
        <w:rPr>
          <w:color w:val="803108"/>
          <w:spacing w:val="1"/>
          <w:w w:val="105"/>
          <w:sz w:val="9"/>
        </w:rPr>
        <w:t xml:space="preserve"> </w:t>
      </w:r>
      <w:r>
        <w:rPr>
          <w:color w:val="803108"/>
          <w:w w:val="105"/>
          <w:sz w:val="9"/>
        </w:rPr>
        <w:t>LOS</w:t>
      </w:r>
      <w:r>
        <w:rPr>
          <w:color w:val="803108"/>
          <w:spacing w:val="2"/>
          <w:w w:val="105"/>
          <w:sz w:val="9"/>
        </w:rPr>
        <w:t xml:space="preserve"> </w:t>
      </w:r>
      <w:r>
        <w:rPr>
          <w:color w:val="803108"/>
          <w:w w:val="105"/>
          <w:sz w:val="9"/>
        </w:rPr>
        <w:t>DERECHOS</w:t>
      </w:r>
      <w:r>
        <w:rPr>
          <w:color w:val="803108"/>
          <w:spacing w:val="3"/>
          <w:w w:val="105"/>
          <w:sz w:val="9"/>
        </w:rPr>
        <w:t xml:space="preserve"> </w:t>
      </w:r>
      <w:r>
        <w:rPr>
          <w:color w:val="803108"/>
          <w:w w:val="105"/>
          <w:sz w:val="9"/>
        </w:rPr>
        <w:t>DE</w:t>
      </w:r>
      <w:r>
        <w:rPr>
          <w:color w:val="803108"/>
          <w:spacing w:val="1"/>
          <w:w w:val="105"/>
          <w:sz w:val="9"/>
        </w:rPr>
        <w:t xml:space="preserve"> </w:t>
      </w:r>
      <w:r>
        <w:rPr>
          <w:color w:val="803108"/>
          <w:w w:val="105"/>
          <w:sz w:val="9"/>
        </w:rPr>
        <w:t>LAS</w:t>
      </w:r>
      <w:r>
        <w:rPr>
          <w:color w:val="803108"/>
          <w:spacing w:val="2"/>
          <w:w w:val="105"/>
          <w:sz w:val="9"/>
        </w:rPr>
        <w:t xml:space="preserve"> </w:t>
      </w:r>
      <w:r>
        <w:rPr>
          <w:color w:val="803108"/>
          <w:spacing w:val="-2"/>
          <w:w w:val="105"/>
          <w:sz w:val="9"/>
        </w:rPr>
        <w:t>MINORÍAS</w:t>
      </w:r>
    </w:p>
    <w:p w14:paraId="1FEC0EAF" w14:textId="77777777" w:rsidR="0014798C" w:rsidRDefault="0014798C">
      <w:pPr>
        <w:pStyle w:val="Textoindependiente"/>
      </w:pPr>
    </w:p>
    <w:p w14:paraId="3DFC213F" w14:textId="77777777" w:rsidR="0014798C" w:rsidRDefault="0014798C">
      <w:pPr>
        <w:pStyle w:val="Textoindependiente"/>
      </w:pPr>
    </w:p>
    <w:p w14:paraId="0C944748" w14:textId="77777777" w:rsidR="0014798C" w:rsidRDefault="0014798C">
      <w:pPr>
        <w:pStyle w:val="Textoindependiente"/>
      </w:pPr>
    </w:p>
    <w:p w14:paraId="2F7F3D05" w14:textId="77777777" w:rsidR="0014798C" w:rsidRDefault="0014798C">
      <w:pPr>
        <w:pStyle w:val="Textoindependiente"/>
      </w:pPr>
    </w:p>
    <w:p w14:paraId="3F54B492" w14:textId="77777777" w:rsidR="0014798C" w:rsidRDefault="0014798C">
      <w:pPr>
        <w:pStyle w:val="Textoindependiente"/>
        <w:spacing w:before="70"/>
      </w:pPr>
    </w:p>
    <w:p w14:paraId="2FA01105" w14:textId="77777777" w:rsidR="0014798C" w:rsidRDefault="004E1F0B">
      <w:pPr>
        <w:pStyle w:val="Textoindependiente"/>
        <w:spacing w:line="326" w:lineRule="auto"/>
        <w:ind w:left="1112" w:right="1840" w:hanging="4"/>
      </w:pPr>
      <w:r>
        <w:t>En</w:t>
      </w:r>
      <w:r>
        <w:rPr>
          <w:spacing w:val="-4"/>
        </w:rPr>
        <w:t xml:space="preserve"> </w:t>
      </w:r>
      <w:r>
        <w:t>su</w:t>
      </w:r>
      <w:r>
        <w:rPr>
          <w:spacing w:val="-4"/>
        </w:rPr>
        <w:t xml:space="preserve"> </w:t>
      </w:r>
      <w:r>
        <w:t>informe</w:t>
      </w:r>
      <w:r>
        <w:rPr>
          <w:spacing w:val="-4"/>
        </w:rPr>
        <w:t xml:space="preserve"> </w:t>
      </w:r>
      <w:r>
        <w:t>temático</w:t>
      </w:r>
      <w:r>
        <w:rPr>
          <w:spacing w:val="-4"/>
        </w:rPr>
        <w:t xml:space="preserve"> </w:t>
      </w:r>
      <w:r>
        <w:t>de</w:t>
      </w:r>
      <w:r>
        <w:rPr>
          <w:spacing w:val="-4"/>
        </w:rPr>
        <w:t xml:space="preserve"> </w:t>
      </w:r>
      <w:r>
        <w:t>2020</w:t>
      </w:r>
      <w:r>
        <w:rPr>
          <w:spacing w:val="-4"/>
        </w:rPr>
        <w:t xml:space="preserve"> </w:t>
      </w:r>
      <w:r>
        <w:t>sobre</w:t>
      </w:r>
      <w:r>
        <w:rPr>
          <w:spacing w:val="-4"/>
        </w:rPr>
        <w:t xml:space="preserve"> </w:t>
      </w:r>
      <w:r>
        <w:t>la</w:t>
      </w:r>
      <w:r>
        <w:rPr>
          <w:spacing w:val="-4"/>
        </w:rPr>
        <w:t xml:space="preserve"> </w:t>
      </w:r>
      <w:r>
        <w:t>violencia</w:t>
      </w:r>
      <w:r>
        <w:rPr>
          <w:spacing w:val="-4"/>
        </w:rPr>
        <w:t xml:space="preserve"> </w:t>
      </w:r>
      <w:r>
        <w:t>de</w:t>
      </w:r>
      <w:r>
        <w:rPr>
          <w:spacing w:val="-4"/>
        </w:rPr>
        <w:t xml:space="preserve"> </w:t>
      </w:r>
      <w:r>
        <w:t>género</w:t>
      </w:r>
      <w:r>
        <w:rPr>
          <w:spacing w:val="-4"/>
        </w:rPr>
        <w:t xml:space="preserve"> </w:t>
      </w:r>
      <w:r>
        <w:t>y</w:t>
      </w:r>
      <w:r>
        <w:rPr>
          <w:spacing w:val="-4"/>
        </w:rPr>
        <w:t xml:space="preserve"> </w:t>
      </w:r>
      <w:r>
        <w:t>la</w:t>
      </w:r>
      <w:r>
        <w:rPr>
          <w:spacing w:val="-4"/>
        </w:rPr>
        <w:t xml:space="preserve"> </w:t>
      </w:r>
      <w:r>
        <w:t>discriminación</w:t>
      </w:r>
      <w:r>
        <w:rPr>
          <w:spacing w:val="-4"/>
        </w:rPr>
        <w:t xml:space="preserve"> </w:t>
      </w:r>
      <w:r>
        <w:t>en</w:t>
      </w:r>
      <w:r>
        <w:rPr>
          <w:spacing w:val="-4"/>
        </w:rPr>
        <w:t xml:space="preserve"> </w:t>
      </w:r>
      <w:r>
        <w:t>nombre</w:t>
      </w:r>
      <w:r>
        <w:rPr>
          <w:spacing w:val="-4"/>
        </w:rPr>
        <w:t xml:space="preserve"> </w:t>
      </w:r>
      <w:r>
        <w:t>de</w:t>
      </w:r>
      <w:r>
        <w:rPr>
          <w:spacing w:val="-4"/>
        </w:rPr>
        <w:t xml:space="preserve"> </w:t>
      </w:r>
      <w:r>
        <w:t>la</w:t>
      </w:r>
      <w:r>
        <w:rPr>
          <w:spacing w:val="-4"/>
        </w:rPr>
        <w:t xml:space="preserve"> </w:t>
      </w:r>
      <w:r>
        <w:t>religión</w:t>
      </w:r>
      <w:r>
        <w:rPr>
          <w:spacing w:val="-4"/>
        </w:rPr>
        <w:t xml:space="preserve"> </w:t>
      </w:r>
      <w:r>
        <w:t>o</w:t>
      </w:r>
      <w:r>
        <w:rPr>
          <w:spacing w:val="-4"/>
        </w:rPr>
        <w:t xml:space="preserve"> </w:t>
      </w:r>
      <w:r>
        <w:t>las</w:t>
      </w:r>
      <w:r>
        <w:rPr>
          <w:spacing w:val="-4"/>
        </w:rPr>
        <w:t xml:space="preserve"> </w:t>
      </w:r>
      <w:r>
        <w:t>creencias,</w:t>
      </w:r>
      <w:r>
        <w:rPr>
          <w:spacing w:val="-3"/>
        </w:rPr>
        <w:t xml:space="preserve"> </w:t>
      </w:r>
      <w:r>
        <w:t xml:space="preserve">el </w:t>
      </w:r>
      <w:proofErr w:type="spellStart"/>
      <w:r>
        <w:t>El</w:t>
      </w:r>
      <w:proofErr w:type="spellEnd"/>
      <w:r>
        <w:t xml:space="preserve"> Relator Especial sobre la libertad de religión o de creencias afirmó que:</w:t>
      </w:r>
    </w:p>
    <w:p w14:paraId="2AB9A756" w14:textId="77777777" w:rsidR="0014798C" w:rsidRDefault="004E1F0B">
      <w:pPr>
        <w:pStyle w:val="Textoindependiente"/>
        <w:spacing w:before="113" w:line="326" w:lineRule="auto"/>
        <w:ind w:left="1672" w:right="1530" w:firstLine="5"/>
      </w:pPr>
      <w:r>
        <w:rPr>
          <w:noProof/>
        </w:rPr>
        <w:drawing>
          <wp:anchor distT="0" distB="0" distL="0" distR="0" simplePos="0" relativeHeight="251658469" behindDoc="1" locked="0" layoutInCell="1" allowOverlap="1" wp14:anchorId="3D6EA555" wp14:editId="58C9706A">
            <wp:simplePos x="0" y="0"/>
            <wp:positionH relativeFrom="page">
              <wp:posOffset>826632</wp:posOffset>
            </wp:positionH>
            <wp:positionV relativeFrom="paragraph">
              <wp:posOffset>1840149</wp:posOffset>
            </wp:positionV>
            <wp:extent cx="6729867" cy="5360570"/>
            <wp:effectExtent l="0" t="0" r="0" b="0"/>
            <wp:wrapNone/>
            <wp:docPr id="308" name="Image 30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08" name="Image 308"/>
                    <pic:cNvPicPr/>
                  </pic:nvPicPr>
                  <pic:blipFill>
                    <a:blip r:embed="rId288" cstate="print"/>
                    <a:stretch>
                      <a:fillRect/>
                    </a:stretch>
                  </pic:blipFill>
                  <pic:spPr>
                    <a:xfrm>
                      <a:off x="0" y="0"/>
                      <a:ext cx="6729867" cy="5360570"/>
                    </a:xfrm>
                    <a:prstGeom prst="rect">
                      <a:avLst/>
                    </a:prstGeom>
                  </pic:spPr>
                </pic:pic>
              </a:graphicData>
            </a:graphic>
          </wp:anchor>
        </w:drawing>
      </w:r>
      <w:r>
        <w:rPr>
          <w:noProof/>
        </w:rPr>
        <mc:AlternateContent>
          <mc:Choice Requires="wps">
            <w:drawing>
              <wp:anchor distT="0" distB="0" distL="0" distR="0" simplePos="0" relativeHeight="251658318" behindDoc="0" locked="0" layoutInCell="1" allowOverlap="1" wp14:anchorId="42EA77BC" wp14:editId="38005059">
                <wp:simplePos x="0" y="0"/>
                <wp:positionH relativeFrom="page">
                  <wp:posOffset>7293418</wp:posOffset>
                </wp:positionH>
                <wp:positionV relativeFrom="paragraph">
                  <wp:posOffset>2450614</wp:posOffset>
                </wp:positionV>
                <wp:extent cx="104775" cy="260985"/>
                <wp:effectExtent l="0" t="0" r="0" b="0"/>
                <wp:wrapNone/>
                <wp:docPr id="309" name="Textbox 30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04775" cy="260985"/>
                        </a:xfrm>
                        <a:prstGeom prst="rect">
                          <a:avLst/>
                        </a:prstGeom>
                      </wps:spPr>
                      <wps:txbx>
                        <w:txbxContent>
                          <w:p w14:paraId="7A396ADC" w14:textId="77777777" w:rsidR="0014798C" w:rsidRDefault="004E1F0B">
                            <w:pPr>
                              <w:spacing w:before="17"/>
                              <w:ind w:left="20"/>
                              <w:rPr>
                                <w:sz w:val="11"/>
                              </w:rPr>
                            </w:pPr>
                            <w:r>
                              <w:rPr>
                                <w:color w:val="FFFFFF"/>
                                <w:spacing w:val="-33"/>
                                <w:sz w:val="11"/>
                              </w:rPr>
                              <w:t>TPRAERSTE</w:t>
                            </w:r>
                          </w:p>
                        </w:txbxContent>
                      </wps:txbx>
                      <wps:bodyPr vert="vert270" wrap="square" lIns="0" tIns="0" rIns="0" bIns="0" rtlCol="0">
                        <a:noAutofit/>
                      </wps:bodyPr>
                    </wps:wsp>
                  </a:graphicData>
                </a:graphic>
              </wp:anchor>
            </w:drawing>
          </mc:Choice>
          <mc:Fallback>
            <w:pict>
              <v:shape w14:anchorId="42EA77BC" id="Textbox 309" o:spid="_x0000_s1151" type="#_x0000_t202" style="position:absolute;left:0;text-align:left;margin-left:574.3pt;margin-top:192.95pt;width:8.25pt;height:20.55pt;z-index:251658318;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" filled="f" stroked="f">
                <v:textbox style="layout-flow:vertical;mso-layout-flow-alt:bottom-to-top" inset="0,0,0,0">
                  <w:txbxContent>
                    <w:p w14:paraId="7A396ADC" w14:textId="77777777" w:rsidR="0014798C" w:rsidRDefault="004E1F0B">
                      <w:pPr>
                        <w:spacing w:before="17"/>
                        <w:ind w:left="20"/>
                        <w:rPr>
                          <w:sz w:val="11"/>
                        </w:rPr>
                      </w:pPr>
                      <w:r>
                        <w:rPr>
                          <w:color w:val="FFFFFF"/>
                          <w:spacing w:val="-33"/>
                          <w:sz w:val="11"/>
                        </w:rPr>
                        <w:t>TPRAERSTE</w:t>
                      </w:r>
                    </w:p>
                  </w:txbxContent>
                </v:textbox>
                <w10:wrap anchorx="page"/>
              </v:shape>
            </w:pict>
          </mc:Fallback>
        </mc:AlternateContent>
      </w:r>
      <w:r>
        <w:rPr>
          <w:color w:val="803108"/>
        </w:rPr>
        <w:t>Un área de particular preocupación con respecto a las adaptaciones a la legislación nacional en materia de creencias religiosas es el uso de la objeción de conciencia por parte de proveedores de atención médica e instituciones que no están</w:t>
      </w:r>
      <w:r>
        <w:rPr>
          <w:color w:val="803108"/>
          <w:spacing w:val="-3"/>
        </w:rPr>
        <w:t xml:space="preserve"> </w:t>
      </w:r>
      <w:r>
        <w:rPr>
          <w:color w:val="803108"/>
        </w:rPr>
        <w:t>dispuestas</w:t>
      </w:r>
      <w:r>
        <w:rPr>
          <w:color w:val="803108"/>
          <w:spacing w:val="-3"/>
        </w:rPr>
        <w:t xml:space="preserve"> </w:t>
      </w:r>
      <w:r>
        <w:rPr>
          <w:color w:val="803108"/>
        </w:rPr>
        <w:t>a</w:t>
      </w:r>
      <w:r>
        <w:rPr>
          <w:color w:val="803108"/>
          <w:spacing w:val="-3"/>
        </w:rPr>
        <w:t xml:space="preserve"> </w:t>
      </w:r>
      <w:r>
        <w:rPr>
          <w:color w:val="803108"/>
        </w:rPr>
        <w:t>realizar</w:t>
      </w:r>
      <w:r>
        <w:rPr>
          <w:color w:val="803108"/>
          <w:spacing w:val="-3"/>
        </w:rPr>
        <w:t xml:space="preserve"> </w:t>
      </w:r>
      <w:r>
        <w:rPr>
          <w:color w:val="803108"/>
        </w:rPr>
        <w:t>abortos</w:t>
      </w:r>
      <w:r>
        <w:rPr>
          <w:color w:val="803108"/>
          <w:spacing w:val="-3"/>
        </w:rPr>
        <w:t xml:space="preserve"> </w:t>
      </w:r>
      <w:r>
        <w:rPr>
          <w:color w:val="803108"/>
        </w:rPr>
        <w:t>o</w:t>
      </w:r>
      <w:r>
        <w:rPr>
          <w:color w:val="803108"/>
          <w:spacing w:val="-3"/>
        </w:rPr>
        <w:t xml:space="preserve"> </w:t>
      </w:r>
      <w:r>
        <w:rPr>
          <w:color w:val="803108"/>
        </w:rPr>
        <w:t>brindar</w:t>
      </w:r>
      <w:r>
        <w:rPr>
          <w:color w:val="803108"/>
          <w:spacing w:val="-3"/>
        </w:rPr>
        <w:t xml:space="preserve"> </w:t>
      </w:r>
      <w:r>
        <w:rPr>
          <w:color w:val="803108"/>
        </w:rPr>
        <w:t>acceso</w:t>
      </w:r>
      <w:r>
        <w:rPr>
          <w:color w:val="803108"/>
          <w:spacing w:val="-3"/>
        </w:rPr>
        <w:t xml:space="preserve"> </w:t>
      </w:r>
      <w:r>
        <w:rPr>
          <w:color w:val="803108"/>
        </w:rPr>
        <w:t>a</w:t>
      </w:r>
      <w:r>
        <w:rPr>
          <w:color w:val="803108"/>
          <w:spacing w:val="-3"/>
        </w:rPr>
        <w:t xml:space="preserve"> </w:t>
      </w:r>
      <w:r>
        <w:rPr>
          <w:color w:val="803108"/>
        </w:rPr>
        <w:t>anticonceptivos</w:t>
      </w:r>
      <w:r>
        <w:rPr>
          <w:color w:val="803108"/>
          <w:spacing w:val="-3"/>
        </w:rPr>
        <w:t xml:space="preserve"> </w:t>
      </w:r>
      <w:r>
        <w:rPr>
          <w:color w:val="803108"/>
        </w:rPr>
        <w:t>por</w:t>
      </w:r>
      <w:r>
        <w:rPr>
          <w:color w:val="803108"/>
          <w:spacing w:val="-3"/>
        </w:rPr>
        <w:t xml:space="preserve"> </w:t>
      </w:r>
      <w:r>
        <w:rPr>
          <w:color w:val="803108"/>
        </w:rPr>
        <w:t>motivos</w:t>
      </w:r>
      <w:r>
        <w:rPr>
          <w:color w:val="803108"/>
          <w:spacing w:val="-3"/>
        </w:rPr>
        <w:t xml:space="preserve"> </w:t>
      </w:r>
      <w:r>
        <w:rPr>
          <w:color w:val="803108"/>
        </w:rPr>
        <w:t>religiosos.</w:t>
      </w:r>
      <w:r>
        <w:rPr>
          <w:color w:val="803108"/>
          <w:spacing w:val="-2"/>
        </w:rPr>
        <w:t xml:space="preserve"> </w:t>
      </w:r>
      <w:r>
        <w:rPr>
          <w:color w:val="803108"/>
        </w:rPr>
        <w:t>En</w:t>
      </w:r>
      <w:r>
        <w:rPr>
          <w:color w:val="803108"/>
          <w:spacing w:val="-3"/>
        </w:rPr>
        <w:t xml:space="preserve"> </w:t>
      </w:r>
      <w:r>
        <w:rPr>
          <w:color w:val="803108"/>
        </w:rPr>
        <w:t>Uruguay,</w:t>
      </w:r>
      <w:r>
        <w:rPr>
          <w:color w:val="803108"/>
          <w:spacing w:val="-2"/>
        </w:rPr>
        <w:t xml:space="preserve"> </w:t>
      </w:r>
      <w:r>
        <w:rPr>
          <w:color w:val="803108"/>
        </w:rPr>
        <w:t>por</w:t>
      </w:r>
      <w:r>
        <w:rPr>
          <w:color w:val="803108"/>
          <w:spacing w:val="-3"/>
        </w:rPr>
        <w:t xml:space="preserve"> </w:t>
      </w:r>
      <w:r>
        <w:rPr>
          <w:color w:val="803108"/>
        </w:rPr>
        <w:t>ejemplo, las mujeres pueden optar por abortar, pero en ciertas regiones hasta el 87 por ciento de los proveedores médicos se niegan a realizar abortos. Los participantes en las consultas del Relator Especial de países como Kenia, Polonia y Estados</w:t>
      </w:r>
      <w:r>
        <w:rPr>
          <w:color w:val="803108"/>
          <w:spacing w:val="-3"/>
        </w:rPr>
        <w:t xml:space="preserve"> </w:t>
      </w:r>
      <w:r>
        <w:rPr>
          <w:color w:val="803108"/>
        </w:rPr>
        <w:t>Unidos</w:t>
      </w:r>
      <w:r>
        <w:rPr>
          <w:color w:val="803108"/>
          <w:spacing w:val="-3"/>
        </w:rPr>
        <w:t xml:space="preserve"> </w:t>
      </w:r>
      <w:r>
        <w:rPr>
          <w:color w:val="803108"/>
        </w:rPr>
        <w:t>señalaron</w:t>
      </w:r>
      <w:r>
        <w:rPr>
          <w:color w:val="803108"/>
          <w:spacing w:val="-3"/>
        </w:rPr>
        <w:t xml:space="preserve"> </w:t>
      </w:r>
      <w:r>
        <w:rPr>
          <w:color w:val="803108"/>
        </w:rPr>
        <w:t>que</w:t>
      </w:r>
      <w:r>
        <w:rPr>
          <w:color w:val="803108"/>
          <w:spacing w:val="-3"/>
        </w:rPr>
        <w:t xml:space="preserve"> </w:t>
      </w:r>
      <w:r>
        <w:rPr>
          <w:color w:val="803108"/>
        </w:rPr>
        <w:t>la</w:t>
      </w:r>
      <w:r>
        <w:rPr>
          <w:color w:val="803108"/>
          <w:spacing w:val="-3"/>
        </w:rPr>
        <w:t xml:space="preserve"> </w:t>
      </w:r>
      <w:r>
        <w:rPr>
          <w:color w:val="803108"/>
        </w:rPr>
        <w:t>invocación</w:t>
      </w:r>
      <w:r>
        <w:rPr>
          <w:color w:val="803108"/>
          <w:spacing w:val="-3"/>
        </w:rPr>
        <w:t xml:space="preserve"> </w:t>
      </w:r>
      <w:r>
        <w:rPr>
          <w:color w:val="803108"/>
        </w:rPr>
        <w:t>de</w:t>
      </w:r>
      <w:r>
        <w:rPr>
          <w:color w:val="803108"/>
          <w:spacing w:val="-3"/>
        </w:rPr>
        <w:t xml:space="preserve"> </w:t>
      </w:r>
      <w:r>
        <w:rPr>
          <w:color w:val="803108"/>
        </w:rPr>
        <w:t>“cláusulas</w:t>
      </w:r>
      <w:r>
        <w:rPr>
          <w:color w:val="803108"/>
          <w:spacing w:val="-3"/>
        </w:rPr>
        <w:t xml:space="preserve"> </w:t>
      </w:r>
      <w:r>
        <w:rPr>
          <w:color w:val="803108"/>
        </w:rPr>
        <w:t>de</w:t>
      </w:r>
      <w:r>
        <w:rPr>
          <w:color w:val="803108"/>
          <w:spacing w:val="-3"/>
        </w:rPr>
        <w:t xml:space="preserve"> </w:t>
      </w:r>
      <w:r>
        <w:rPr>
          <w:color w:val="803108"/>
        </w:rPr>
        <w:t>conciencia”</w:t>
      </w:r>
      <w:r>
        <w:rPr>
          <w:color w:val="803108"/>
          <w:spacing w:val="-3"/>
        </w:rPr>
        <w:t xml:space="preserve"> </w:t>
      </w:r>
      <w:r>
        <w:rPr>
          <w:color w:val="803108"/>
        </w:rPr>
        <w:t>previstas</w:t>
      </w:r>
      <w:r>
        <w:rPr>
          <w:color w:val="803108"/>
          <w:spacing w:val="-3"/>
        </w:rPr>
        <w:t xml:space="preserve"> </w:t>
      </w:r>
      <w:r>
        <w:rPr>
          <w:color w:val="803108"/>
        </w:rPr>
        <w:t>en</w:t>
      </w:r>
      <w:r>
        <w:rPr>
          <w:color w:val="803108"/>
          <w:spacing w:val="-3"/>
        </w:rPr>
        <w:t xml:space="preserve"> </w:t>
      </w:r>
      <w:r>
        <w:rPr>
          <w:color w:val="803108"/>
        </w:rPr>
        <w:t>la</w:t>
      </w:r>
      <w:r>
        <w:rPr>
          <w:color w:val="803108"/>
          <w:spacing w:val="-3"/>
        </w:rPr>
        <w:t xml:space="preserve"> </w:t>
      </w:r>
      <w:r>
        <w:rPr>
          <w:color w:val="803108"/>
        </w:rPr>
        <w:t>ley</w:t>
      </w:r>
      <w:r>
        <w:rPr>
          <w:color w:val="803108"/>
          <w:spacing w:val="-3"/>
        </w:rPr>
        <w:t xml:space="preserve"> </w:t>
      </w:r>
      <w:r>
        <w:rPr>
          <w:color w:val="803108"/>
        </w:rPr>
        <w:t>había</w:t>
      </w:r>
      <w:r>
        <w:rPr>
          <w:color w:val="803108"/>
          <w:spacing w:val="-3"/>
        </w:rPr>
        <w:t xml:space="preserve"> </w:t>
      </w:r>
      <w:r>
        <w:rPr>
          <w:color w:val="803108"/>
        </w:rPr>
        <w:t>hecho</w:t>
      </w:r>
      <w:r>
        <w:rPr>
          <w:color w:val="803108"/>
          <w:spacing w:val="-3"/>
        </w:rPr>
        <w:t xml:space="preserve"> </w:t>
      </w:r>
      <w:r>
        <w:rPr>
          <w:color w:val="803108"/>
        </w:rPr>
        <w:t>que</w:t>
      </w:r>
      <w:r>
        <w:rPr>
          <w:color w:val="803108"/>
          <w:spacing w:val="-3"/>
        </w:rPr>
        <w:t xml:space="preserve"> </w:t>
      </w:r>
      <w:r>
        <w:rPr>
          <w:color w:val="803108"/>
        </w:rPr>
        <w:t>el</w:t>
      </w:r>
      <w:r>
        <w:rPr>
          <w:color w:val="803108"/>
          <w:spacing w:val="-3"/>
        </w:rPr>
        <w:t xml:space="preserve"> </w:t>
      </w:r>
      <w:r>
        <w:rPr>
          <w:color w:val="803108"/>
        </w:rPr>
        <w:t>acceso al aborto legal fuera efectivamente inaccesible para las mujeres en partes significativas del país. La Relatora Especial observa que el Comité de Derechos Humanos ha expresado preocupación por este fenómeno, además de la ausencia de mecanismos efectivos de derivación para acceder a servicios médicos de aborto legal como resultado del ejercicio de la objeción de conciencia.1040 La Relatora Especial recuerda que el Comité de Derechos Humanos El Comité ha pedido</w:t>
      </w:r>
      <w:r>
        <w:rPr>
          <w:color w:val="803108"/>
          <w:spacing w:val="-5"/>
        </w:rPr>
        <w:t xml:space="preserve"> </w:t>
      </w:r>
      <w:r>
        <w:rPr>
          <w:color w:val="803108"/>
        </w:rPr>
        <w:t>a</w:t>
      </w:r>
      <w:r>
        <w:rPr>
          <w:color w:val="803108"/>
          <w:spacing w:val="-5"/>
        </w:rPr>
        <w:t xml:space="preserve"> </w:t>
      </w:r>
      <w:r>
        <w:rPr>
          <w:color w:val="803108"/>
        </w:rPr>
        <w:t>los</w:t>
      </w:r>
      <w:r>
        <w:rPr>
          <w:color w:val="803108"/>
          <w:spacing w:val="-5"/>
        </w:rPr>
        <w:t xml:space="preserve"> </w:t>
      </w:r>
      <w:r>
        <w:rPr>
          <w:color w:val="803108"/>
        </w:rPr>
        <w:t>Estados</w:t>
      </w:r>
      <w:r>
        <w:rPr>
          <w:color w:val="803108"/>
          <w:spacing w:val="-5"/>
        </w:rPr>
        <w:t xml:space="preserve"> </w:t>
      </w:r>
      <w:r>
        <w:rPr>
          <w:color w:val="803108"/>
        </w:rPr>
        <w:t>que</w:t>
      </w:r>
      <w:r>
        <w:rPr>
          <w:color w:val="803108"/>
          <w:spacing w:val="-5"/>
        </w:rPr>
        <w:t xml:space="preserve"> </w:t>
      </w:r>
      <w:r>
        <w:rPr>
          <w:color w:val="803108"/>
        </w:rPr>
        <w:t>garanticen</w:t>
      </w:r>
      <w:r>
        <w:rPr>
          <w:color w:val="803108"/>
          <w:spacing w:val="-5"/>
        </w:rPr>
        <w:t xml:space="preserve"> </w:t>
      </w:r>
      <w:r>
        <w:rPr>
          <w:color w:val="803108"/>
        </w:rPr>
        <w:t>que</w:t>
      </w:r>
      <w:r>
        <w:rPr>
          <w:color w:val="803108"/>
          <w:spacing w:val="-5"/>
        </w:rPr>
        <w:t xml:space="preserve"> </w:t>
      </w:r>
      <w:r>
        <w:rPr>
          <w:color w:val="803108"/>
        </w:rPr>
        <w:t>las</w:t>
      </w:r>
      <w:r>
        <w:rPr>
          <w:color w:val="803108"/>
          <w:spacing w:val="-5"/>
        </w:rPr>
        <w:t xml:space="preserve"> </w:t>
      </w:r>
      <w:r>
        <w:rPr>
          <w:color w:val="803108"/>
        </w:rPr>
        <w:t>mujeres</w:t>
      </w:r>
      <w:r>
        <w:rPr>
          <w:color w:val="803108"/>
          <w:spacing w:val="-5"/>
        </w:rPr>
        <w:t xml:space="preserve"> </w:t>
      </w:r>
      <w:r>
        <w:rPr>
          <w:color w:val="803108"/>
        </w:rPr>
        <w:t>tengan</w:t>
      </w:r>
      <w:r>
        <w:rPr>
          <w:color w:val="803108"/>
          <w:spacing w:val="-5"/>
        </w:rPr>
        <w:t xml:space="preserve"> </w:t>
      </w:r>
      <w:r>
        <w:rPr>
          <w:color w:val="803108"/>
        </w:rPr>
        <w:t>acceso</w:t>
      </w:r>
      <w:r>
        <w:rPr>
          <w:color w:val="803108"/>
          <w:spacing w:val="-5"/>
        </w:rPr>
        <w:t xml:space="preserve"> </w:t>
      </w:r>
      <w:r>
        <w:rPr>
          <w:color w:val="803108"/>
        </w:rPr>
        <w:t>al</w:t>
      </w:r>
      <w:r>
        <w:rPr>
          <w:color w:val="803108"/>
          <w:spacing w:val="-5"/>
        </w:rPr>
        <w:t xml:space="preserve"> </w:t>
      </w:r>
      <w:r>
        <w:rPr>
          <w:color w:val="803108"/>
        </w:rPr>
        <w:t>aborto</w:t>
      </w:r>
      <w:r>
        <w:rPr>
          <w:color w:val="803108"/>
          <w:spacing w:val="-5"/>
        </w:rPr>
        <w:t xml:space="preserve"> </w:t>
      </w:r>
      <w:r>
        <w:rPr>
          <w:color w:val="803108"/>
        </w:rPr>
        <w:t>legal</w:t>
      </w:r>
      <w:r>
        <w:rPr>
          <w:color w:val="803108"/>
          <w:spacing w:val="-5"/>
        </w:rPr>
        <w:t xml:space="preserve"> </w:t>
      </w:r>
      <w:r>
        <w:rPr>
          <w:color w:val="803108"/>
        </w:rPr>
        <w:t>a</w:t>
      </w:r>
      <w:r>
        <w:rPr>
          <w:color w:val="803108"/>
          <w:spacing w:val="-5"/>
        </w:rPr>
        <w:t xml:space="preserve"> </w:t>
      </w:r>
      <w:r>
        <w:rPr>
          <w:color w:val="803108"/>
        </w:rPr>
        <w:t>pesar</w:t>
      </w:r>
      <w:r>
        <w:rPr>
          <w:color w:val="803108"/>
          <w:spacing w:val="-5"/>
        </w:rPr>
        <w:t xml:space="preserve"> </w:t>
      </w:r>
      <w:r>
        <w:rPr>
          <w:color w:val="803108"/>
        </w:rPr>
        <w:t>de</w:t>
      </w:r>
      <w:r>
        <w:rPr>
          <w:color w:val="803108"/>
          <w:spacing w:val="-5"/>
        </w:rPr>
        <w:t xml:space="preserve"> </w:t>
      </w:r>
      <w:r>
        <w:rPr>
          <w:color w:val="803108"/>
        </w:rPr>
        <w:t>la</w:t>
      </w:r>
      <w:r>
        <w:rPr>
          <w:color w:val="803108"/>
          <w:spacing w:val="-5"/>
        </w:rPr>
        <w:t xml:space="preserve"> </w:t>
      </w:r>
      <w:r>
        <w:rPr>
          <w:color w:val="803108"/>
        </w:rPr>
        <w:t>objeción</w:t>
      </w:r>
      <w:r>
        <w:rPr>
          <w:color w:val="803108"/>
          <w:spacing w:val="-5"/>
        </w:rPr>
        <w:t xml:space="preserve"> </w:t>
      </w:r>
      <w:r>
        <w:rPr>
          <w:color w:val="803108"/>
        </w:rPr>
        <w:t>de</w:t>
      </w:r>
      <w:r>
        <w:rPr>
          <w:color w:val="803108"/>
          <w:spacing w:val="-5"/>
        </w:rPr>
        <w:t xml:space="preserve"> </w:t>
      </w:r>
      <w:r>
        <w:rPr>
          <w:color w:val="803108"/>
        </w:rPr>
        <w:t>conciencia de</w:t>
      </w:r>
      <w:r>
        <w:rPr>
          <w:color w:val="803108"/>
          <w:spacing w:val="-5"/>
        </w:rPr>
        <w:t xml:space="preserve"> </w:t>
      </w:r>
      <w:r>
        <w:rPr>
          <w:color w:val="803108"/>
        </w:rPr>
        <w:t>los</w:t>
      </w:r>
      <w:r>
        <w:rPr>
          <w:color w:val="803108"/>
          <w:spacing w:val="-5"/>
        </w:rPr>
        <w:t xml:space="preserve"> </w:t>
      </w:r>
      <w:r>
        <w:rPr>
          <w:color w:val="803108"/>
        </w:rPr>
        <w:t>médicos,</w:t>
      </w:r>
      <w:r>
        <w:rPr>
          <w:color w:val="803108"/>
          <w:spacing w:val="-4"/>
        </w:rPr>
        <w:t xml:space="preserve"> </w:t>
      </w:r>
      <w:r>
        <w:rPr>
          <w:color w:val="803108"/>
        </w:rPr>
        <w:t>a</w:t>
      </w:r>
      <w:r>
        <w:rPr>
          <w:color w:val="803108"/>
          <w:spacing w:val="-5"/>
        </w:rPr>
        <w:t xml:space="preserve"> </w:t>
      </w:r>
      <w:r>
        <w:rPr>
          <w:color w:val="803108"/>
        </w:rPr>
        <w:t>lo</w:t>
      </w:r>
      <w:r>
        <w:rPr>
          <w:color w:val="803108"/>
          <w:spacing w:val="-5"/>
        </w:rPr>
        <w:t xml:space="preserve"> </w:t>
      </w:r>
      <w:r>
        <w:rPr>
          <w:color w:val="803108"/>
        </w:rPr>
        <w:t>que</w:t>
      </w:r>
      <w:r>
        <w:rPr>
          <w:color w:val="803108"/>
          <w:spacing w:val="-5"/>
        </w:rPr>
        <w:t xml:space="preserve"> </w:t>
      </w:r>
      <w:r>
        <w:rPr>
          <w:color w:val="803108"/>
        </w:rPr>
        <w:t>se</w:t>
      </w:r>
      <w:r>
        <w:rPr>
          <w:color w:val="803108"/>
          <w:spacing w:val="-5"/>
        </w:rPr>
        <w:t xml:space="preserve"> </w:t>
      </w:r>
      <w:r>
        <w:rPr>
          <w:color w:val="803108"/>
        </w:rPr>
        <w:t>ha</w:t>
      </w:r>
      <w:r>
        <w:rPr>
          <w:color w:val="803108"/>
          <w:spacing w:val="-5"/>
        </w:rPr>
        <w:t xml:space="preserve"> </w:t>
      </w:r>
      <w:r>
        <w:rPr>
          <w:color w:val="803108"/>
        </w:rPr>
        <w:t>referido</w:t>
      </w:r>
      <w:r>
        <w:rPr>
          <w:color w:val="803108"/>
          <w:spacing w:val="-5"/>
        </w:rPr>
        <w:t xml:space="preserve"> </w:t>
      </w:r>
      <w:r>
        <w:rPr>
          <w:color w:val="803108"/>
        </w:rPr>
        <w:t>como</w:t>
      </w:r>
      <w:r>
        <w:rPr>
          <w:color w:val="803108"/>
          <w:spacing w:val="-5"/>
        </w:rPr>
        <w:t xml:space="preserve"> </w:t>
      </w:r>
      <w:r>
        <w:rPr>
          <w:color w:val="803108"/>
        </w:rPr>
        <w:t>una</w:t>
      </w:r>
      <w:r>
        <w:rPr>
          <w:color w:val="803108"/>
          <w:spacing w:val="-5"/>
        </w:rPr>
        <w:t xml:space="preserve"> </w:t>
      </w:r>
      <w:r>
        <w:rPr>
          <w:color w:val="803108"/>
        </w:rPr>
        <w:t>“barrera”</w:t>
      </w:r>
      <w:r>
        <w:rPr>
          <w:color w:val="803108"/>
          <w:spacing w:val="-5"/>
        </w:rPr>
        <w:t xml:space="preserve"> </w:t>
      </w:r>
      <w:r>
        <w:rPr>
          <w:color w:val="803108"/>
        </w:rPr>
        <w:t>al</w:t>
      </w:r>
      <w:r>
        <w:rPr>
          <w:color w:val="803108"/>
          <w:spacing w:val="-5"/>
        </w:rPr>
        <w:t xml:space="preserve"> </w:t>
      </w:r>
      <w:r>
        <w:rPr>
          <w:color w:val="803108"/>
        </w:rPr>
        <w:t>acceso</w:t>
      </w:r>
      <w:r>
        <w:rPr>
          <w:color w:val="803108"/>
          <w:spacing w:val="-5"/>
        </w:rPr>
        <w:t xml:space="preserve"> </w:t>
      </w:r>
      <w:r>
        <w:rPr>
          <w:color w:val="803108"/>
        </w:rPr>
        <w:t>(CCPR/C/POL/CO/7,</w:t>
      </w:r>
      <w:r>
        <w:rPr>
          <w:color w:val="803108"/>
          <w:spacing w:val="-5"/>
        </w:rPr>
        <w:t xml:space="preserve"> </w:t>
      </w:r>
      <w:proofErr w:type="spellStart"/>
      <w:r>
        <w:rPr>
          <w:color w:val="803108"/>
        </w:rPr>
        <w:t>párrs</w:t>
      </w:r>
      <w:proofErr w:type="spellEnd"/>
      <w:r>
        <w:rPr>
          <w:color w:val="803108"/>
        </w:rPr>
        <w:t>.</w:t>
      </w:r>
      <w:r>
        <w:rPr>
          <w:color w:val="803108"/>
          <w:spacing w:val="-4"/>
        </w:rPr>
        <w:t xml:space="preserve"> </w:t>
      </w:r>
      <w:r>
        <w:rPr>
          <w:color w:val="803108"/>
        </w:rPr>
        <w:t>23</w:t>
      </w:r>
      <w:r>
        <w:rPr>
          <w:color w:val="803108"/>
          <w:spacing w:val="-5"/>
        </w:rPr>
        <w:t xml:space="preserve"> </w:t>
      </w:r>
      <w:r>
        <w:rPr>
          <w:color w:val="803108"/>
        </w:rPr>
        <w:t>y</w:t>
      </w:r>
      <w:r>
        <w:rPr>
          <w:color w:val="803108"/>
          <w:spacing w:val="-5"/>
        </w:rPr>
        <w:t xml:space="preserve"> </w:t>
      </w:r>
      <w:r>
        <w:rPr>
          <w:color w:val="803108"/>
        </w:rPr>
        <w:t>24;</w:t>
      </w:r>
      <w:r>
        <w:rPr>
          <w:color w:val="803108"/>
          <w:spacing w:val="-5"/>
        </w:rPr>
        <w:t xml:space="preserve"> </w:t>
      </w:r>
      <w:r>
        <w:rPr>
          <w:color w:val="803108"/>
        </w:rPr>
        <w:t>y</w:t>
      </w:r>
      <w:r>
        <w:rPr>
          <w:color w:val="803108"/>
          <w:spacing w:val="-5"/>
        </w:rPr>
        <w:t xml:space="preserve"> </w:t>
      </w:r>
      <w:r>
        <w:rPr>
          <w:color w:val="803108"/>
        </w:rPr>
        <w:t xml:space="preserve">CCPR/C/ COL/CO/7, </w:t>
      </w:r>
      <w:proofErr w:type="spellStart"/>
      <w:r>
        <w:rPr>
          <w:color w:val="803108"/>
        </w:rPr>
        <w:t>párrs</w:t>
      </w:r>
      <w:proofErr w:type="spellEnd"/>
      <w:r>
        <w:rPr>
          <w:color w:val="803108"/>
        </w:rPr>
        <w:t xml:space="preserve">. 20 y 21), y ha sugerido que la objeción de conciencia sólo debería permitirse, en todo caso, a proveedores </w:t>
      </w:r>
      <w:r>
        <w:t xml:space="preserve">médicos individuales.1041 </w:t>
      </w:r>
      <w:r>
        <w:rPr>
          <w:color w:val="803108"/>
        </w:rPr>
        <w:t xml:space="preserve">Se presentó a la Relatora Especial información adicional sobre las diferencias de género. </w:t>
      </w:r>
      <w:r>
        <w:t xml:space="preserve">discriminación </w:t>
      </w:r>
      <w:r>
        <w:rPr>
          <w:color w:val="803108"/>
        </w:rPr>
        <w:t>basada en personas privadas que se niegan a proporcionar servicios médicos o de otro tipo</w:t>
      </w:r>
    </w:p>
    <w:p w14:paraId="2F5562C3" w14:textId="77777777" w:rsidR="0014798C" w:rsidRDefault="004E1F0B">
      <w:pPr>
        <w:pStyle w:val="Textoindependiente"/>
        <w:spacing w:line="326" w:lineRule="auto"/>
        <w:ind w:left="1672" w:right="1626" w:firstLine="5"/>
      </w:pPr>
      <w:r>
        <w:rPr>
          <w:color w:val="803108"/>
        </w:rPr>
        <w:t>a mujeres, niñas y personas LGBT+ y que alegan objeciones religiosas para hacerlo. En las consultas celebradas en Estados Unidos, por ejemplo, se observó que personas se habían negado a prestar servicios a personas LGBT+, incluso en las áreas de planificación familiar y atención prenatal, tratamiento de infertilidad, adopción, vivienda,1042 hospedaje,</w:t>
      </w:r>
      <w:r>
        <w:rPr>
          <w:color w:val="803108"/>
          <w:spacing w:val="-5"/>
        </w:rPr>
        <w:t xml:space="preserve"> </w:t>
      </w:r>
      <w:r>
        <w:rPr>
          <w:color w:val="803108"/>
        </w:rPr>
        <w:t>empleo</w:t>
      </w:r>
      <w:r>
        <w:rPr>
          <w:color w:val="803108"/>
          <w:spacing w:val="-6"/>
        </w:rPr>
        <w:t xml:space="preserve"> </w:t>
      </w:r>
      <w:r>
        <w:rPr>
          <w:color w:val="803108"/>
        </w:rPr>
        <w:t>y</w:t>
      </w:r>
      <w:r>
        <w:rPr>
          <w:color w:val="803108"/>
          <w:spacing w:val="-6"/>
        </w:rPr>
        <w:t xml:space="preserve"> </w:t>
      </w:r>
      <w:r>
        <w:rPr>
          <w:color w:val="803108"/>
        </w:rPr>
        <w:t>servicios</w:t>
      </w:r>
      <w:r>
        <w:rPr>
          <w:color w:val="803108"/>
          <w:spacing w:val="-6"/>
        </w:rPr>
        <w:t xml:space="preserve"> </w:t>
      </w:r>
      <w:r>
        <w:rPr>
          <w:color w:val="803108"/>
        </w:rPr>
        <w:t>comerciales</w:t>
      </w:r>
      <w:proofErr w:type="gramStart"/>
      <w:r>
        <w:rPr>
          <w:color w:val="803108"/>
        </w:rPr>
        <w:t>.</w:t>
      </w:r>
      <w:r>
        <w:rPr>
          <w:color w:val="803108"/>
          <w:spacing w:val="-6"/>
        </w:rPr>
        <w:t xml:space="preserve"> </w:t>
      </w:r>
      <w:r>
        <w:rPr>
          <w:color w:val="803108"/>
        </w:rPr>
        <w:t>.</w:t>
      </w:r>
      <w:r>
        <w:rPr>
          <w:color w:val="803108"/>
          <w:spacing w:val="-6"/>
        </w:rPr>
        <w:t xml:space="preserve"> </w:t>
      </w:r>
      <w:r>
        <w:rPr>
          <w:color w:val="803108"/>
        </w:rPr>
        <w:t>...</w:t>
      </w:r>
      <w:proofErr w:type="gramEnd"/>
      <w:r>
        <w:rPr>
          <w:color w:val="803108"/>
          <w:spacing w:val="-5"/>
        </w:rPr>
        <w:t xml:space="preserve"> </w:t>
      </w:r>
      <w:r>
        <w:rPr>
          <w:color w:val="803108"/>
        </w:rPr>
        <w:t>Además,</w:t>
      </w:r>
      <w:r>
        <w:rPr>
          <w:color w:val="803108"/>
          <w:spacing w:val="-6"/>
        </w:rPr>
        <w:t xml:space="preserve"> </w:t>
      </w:r>
      <w:r>
        <w:rPr>
          <w:color w:val="803108"/>
        </w:rPr>
        <w:t>...</w:t>
      </w:r>
      <w:r>
        <w:rPr>
          <w:color w:val="803108"/>
          <w:spacing w:val="-5"/>
        </w:rPr>
        <w:t xml:space="preserve"> </w:t>
      </w:r>
      <w:r>
        <w:rPr>
          <w:color w:val="803108"/>
        </w:rPr>
        <w:t>se</w:t>
      </w:r>
      <w:r>
        <w:rPr>
          <w:color w:val="803108"/>
          <w:spacing w:val="-6"/>
        </w:rPr>
        <w:t xml:space="preserve"> </w:t>
      </w:r>
      <w:r>
        <w:rPr>
          <w:color w:val="803108"/>
        </w:rPr>
        <w:t>estaban</w:t>
      </w:r>
      <w:r>
        <w:rPr>
          <w:color w:val="803108"/>
          <w:spacing w:val="-6"/>
        </w:rPr>
        <w:t xml:space="preserve"> </w:t>
      </w:r>
      <w:r>
        <w:rPr>
          <w:color w:val="803108"/>
        </w:rPr>
        <w:t>aceptando</w:t>
      </w:r>
      <w:r>
        <w:rPr>
          <w:color w:val="803108"/>
          <w:spacing w:val="-6"/>
        </w:rPr>
        <w:t xml:space="preserve"> </w:t>
      </w:r>
      <w:r>
        <w:rPr>
          <w:color w:val="803108"/>
        </w:rPr>
        <w:t>cada</w:t>
      </w:r>
      <w:r>
        <w:rPr>
          <w:color w:val="803108"/>
          <w:spacing w:val="-6"/>
        </w:rPr>
        <w:t xml:space="preserve"> </w:t>
      </w:r>
      <w:r>
        <w:rPr>
          <w:color w:val="803108"/>
        </w:rPr>
        <w:t>vez</w:t>
      </w:r>
      <w:r>
        <w:rPr>
          <w:color w:val="803108"/>
          <w:spacing w:val="-6"/>
        </w:rPr>
        <w:t xml:space="preserve"> </w:t>
      </w:r>
      <w:r>
        <w:rPr>
          <w:color w:val="803108"/>
        </w:rPr>
        <w:t>más</w:t>
      </w:r>
      <w:r>
        <w:rPr>
          <w:color w:val="803108"/>
          <w:spacing w:val="-6"/>
        </w:rPr>
        <w:t xml:space="preserve"> </w:t>
      </w:r>
      <w:r>
        <w:rPr>
          <w:color w:val="803108"/>
        </w:rPr>
        <w:t>exenciones</w:t>
      </w:r>
      <w:r>
        <w:rPr>
          <w:color w:val="803108"/>
          <w:spacing w:val="-6"/>
        </w:rPr>
        <w:t xml:space="preserve"> </w:t>
      </w:r>
      <w:r>
        <w:rPr>
          <w:color w:val="803108"/>
        </w:rPr>
        <w:t>legales</w:t>
      </w:r>
      <w:r>
        <w:rPr>
          <w:color w:val="803108"/>
          <w:spacing w:val="-6"/>
        </w:rPr>
        <w:t xml:space="preserve"> </w:t>
      </w:r>
      <w:r>
        <w:rPr>
          <w:color w:val="803108"/>
        </w:rPr>
        <w:t>a las</w:t>
      </w:r>
      <w:r>
        <w:rPr>
          <w:color w:val="803108"/>
          <w:spacing w:val="-3"/>
        </w:rPr>
        <w:t xml:space="preserve"> </w:t>
      </w:r>
      <w:r>
        <w:rPr>
          <w:color w:val="803108"/>
        </w:rPr>
        <w:t>medidas</w:t>
      </w:r>
      <w:r>
        <w:rPr>
          <w:color w:val="803108"/>
          <w:spacing w:val="-3"/>
        </w:rPr>
        <w:t xml:space="preserve"> </w:t>
      </w:r>
      <w:r>
        <w:rPr>
          <w:color w:val="803108"/>
        </w:rPr>
        <w:t>contra</w:t>
      </w:r>
      <w:r>
        <w:rPr>
          <w:color w:val="803108"/>
          <w:spacing w:val="-3"/>
        </w:rPr>
        <w:t xml:space="preserve"> </w:t>
      </w:r>
      <w:r>
        <w:rPr>
          <w:color w:val="803108"/>
        </w:rPr>
        <w:t>la</w:t>
      </w:r>
      <w:r>
        <w:rPr>
          <w:color w:val="803108"/>
          <w:spacing w:val="-3"/>
        </w:rPr>
        <w:t xml:space="preserve"> </w:t>
      </w:r>
      <w:r>
        <w:rPr>
          <w:color w:val="803108"/>
        </w:rPr>
        <w:t>discriminación</w:t>
      </w:r>
      <w:r>
        <w:rPr>
          <w:color w:val="803108"/>
          <w:spacing w:val="-3"/>
        </w:rPr>
        <w:t xml:space="preserve"> </w:t>
      </w:r>
      <w:r>
        <w:rPr>
          <w:color w:val="803108"/>
        </w:rPr>
        <w:t>por</w:t>
      </w:r>
      <w:r>
        <w:rPr>
          <w:color w:val="803108"/>
          <w:spacing w:val="-3"/>
        </w:rPr>
        <w:t xml:space="preserve"> </w:t>
      </w:r>
      <w:r>
        <w:rPr>
          <w:color w:val="803108"/>
        </w:rPr>
        <w:t>motivos</w:t>
      </w:r>
      <w:r>
        <w:rPr>
          <w:color w:val="803108"/>
          <w:spacing w:val="-3"/>
        </w:rPr>
        <w:t xml:space="preserve"> </w:t>
      </w:r>
      <w:r>
        <w:rPr>
          <w:color w:val="803108"/>
        </w:rPr>
        <w:t>de</w:t>
      </w:r>
      <w:r>
        <w:rPr>
          <w:color w:val="803108"/>
          <w:spacing w:val="-3"/>
        </w:rPr>
        <w:t xml:space="preserve"> </w:t>
      </w:r>
      <w:r>
        <w:rPr>
          <w:color w:val="803108"/>
        </w:rPr>
        <w:t>compromisos</w:t>
      </w:r>
      <w:r>
        <w:rPr>
          <w:color w:val="803108"/>
          <w:spacing w:val="-3"/>
        </w:rPr>
        <w:t xml:space="preserve"> </w:t>
      </w:r>
      <w:proofErr w:type="gramStart"/>
      <w:r>
        <w:rPr>
          <w:color w:val="803108"/>
        </w:rPr>
        <w:t>religiosos</w:t>
      </w:r>
      <w:r>
        <w:rPr>
          <w:color w:val="803108"/>
          <w:spacing w:val="-3"/>
        </w:rPr>
        <w:t xml:space="preserve"> </w:t>
      </w:r>
      <w:r>
        <w:rPr>
          <w:color w:val="803108"/>
        </w:rPr>
        <w:t>.</w:t>
      </w:r>
      <w:proofErr w:type="gramEnd"/>
      <w:r>
        <w:rPr>
          <w:color w:val="803108"/>
          <w:spacing w:val="-3"/>
        </w:rPr>
        <w:t xml:space="preserve"> </w:t>
      </w:r>
      <w:r>
        <w:rPr>
          <w:color w:val="803108"/>
        </w:rPr>
        <w:t>Los</w:t>
      </w:r>
      <w:r>
        <w:rPr>
          <w:color w:val="803108"/>
          <w:spacing w:val="-3"/>
        </w:rPr>
        <w:t xml:space="preserve"> </w:t>
      </w:r>
      <w:r>
        <w:rPr>
          <w:color w:val="803108"/>
        </w:rPr>
        <w:t>participantes</w:t>
      </w:r>
      <w:r>
        <w:rPr>
          <w:color w:val="803108"/>
          <w:spacing w:val="-3"/>
        </w:rPr>
        <w:t xml:space="preserve"> </w:t>
      </w:r>
      <w:r>
        <w:rPr>
          <w:color w:val="803108"/>
        </w:rPr>
        <w:t>en</w:t>
      </w:r>
      <w:r>
        <w:rPr>
          <w:color w:val="803108"/>
          <w:spacing w:val="-3"/>
        </w:rPr>
        <w:t xml:space="preserve"> </w:t>
      </w:r>
      <w:r>
        <w:rPr>
          <w:color w:val="803108"/>
        </w:rPr>
        <w:t>las</w:t>
      </w:r>
      <w:r>
        <w:rPr>
          <w:color w:val="803108"/>
          <w:spacing w:val="-3"/>
        </w:rPr>
        <w:t xml:space="preserve"> </w:t>
      </w:r>
      <w:r>
        <w:rPr>
          <w:color w:val="803108"/>
        </w:rPr>
        <w:t>consultas</w:t>
      </w:r>
      <w:r>
        <w:rPr>
          <w:color w:val="803108"/>
          <w:spacing w:val="-3"/>
        </w:rPr>
        <w:t xml:space="preserve"> </w:t>
      </w:r>
      <w:r>
        <w:rPr>
          <w:color w:val="803108"/>
        </w:rPr>
        <w:t xml:space="preserve">sobre las Américas señalaron, por ejemplo, que esos resultados habían dado lugar al despido de empleadas embarazadas </w:t>
      </w:r>
      <w:r>
        <w:rPr>
          <w:color w:val="803108"/>
          <w:spacing w:val="-2"/>
        </w:rPr>
        <w:t>por</w:t>
      </w:r>
      <w:r>
        <w:rPr>
          <w:color w:val="803108"/>
          <w:spacing w:val="-4"/>
        </w:rPr>
        <w:t xml:space="preserve"> </w:t>
      </w:r>
      <w:r>
        <w:rPr>
          <w:color w:val="803108"/>
          <w:spacing w:val="-2"/>
        </w:rPr>
        <w:t>no</w:t>
      </w:r>
      <w:r>
        <w:rPr>
          <w:color w:val="803108"/>
          <w:spacing w:val="-4"/>
        </w:rPr>
        <w:t xml:space="preserve"> </w:t>
      </w:r>
      <w:r>
        <w:rPr>
          <w:color w:val="803108"/>
          <w:spacing w:val="-2"/>
        </w:rPr>
        <w:t>estar</w:t>
      </w:r>
      <w:r>
        <w:rPr>
          <w:color w:val="803108"/>
          <w:spacing w:val="-4"/>
        </w:rPr>
        <w:t xml:space="preserve"> </w:t>
      </w:r>
      <w:r>
        <w:rPr>
          <w:color w:val="803108"/>
          <w:spacing w:val="-2"/>
        </w:rPr>
        <w:t>casadas;</w:t>
      </w:r>
      <w:r>
        <w:rPr>
          <w:color w:val="803108"/>
          <w:spacing w:val="-3"/>
        </w:rPr>
        <w:t xml:space="preserve"> </w:t>
      </w:r>
      <w:r>
        <w:rPr>
          <w:color w:val="803108"/>
          <w:spacing w:val="-2"/>
        </w:rPr>
        <w:t>la</w:t>
      </w:r>
      <w:r>
        <w:rPr>
          <w:color w:val="803108"/>
          <w:spacing w:val="-4"/>
        </w:rPr>
        <w:t xml:space="preserve"> </w:t>
      </w:r>
      <w:r>
        <w:rPr>
          <w:color w:val="803108"/>
          <w:spacing w:val="-2"/>
        </w:rPr>
        <w:t>denegación</w:t>
      </w:r>
      <w:r>
        <w:rPr>
          <w:color w:val="803108"/>
          <w:spacing w:val="-4"/>
        </w:rPr>
        <w:t xml:space="preserve"> </w:t>
      </w:r>
      <w:r>
        <w:rPr>
          <w:color w:val="803108"/>
          <w:spacing w:val="-2"/>
        </w:rPr>
        <w:t>de</w:t>
      </w:r>
      <w:r>
        <w:rPr>
          <w:color w:val="803108"/>
          <w:spacing w:val="-4"/>
        </w:rPr>
        <w:t xml:space="preserve"> </w:t>
      </w:r>
      <w:r>
        <w:rPr>
          <w:color w:val="803108"/>
          <w:spacing w:val="-2"/>
        </w:rPr>
        <w:t>cobertura</w:t>
      </w:r>
      <w:r>
        <w:rPr>
          <w:color w:val="803108"/>
          <w:spacing w:val="-4"/>
        </w:rPr>
        <w:t xml:space="preserve"> </w:t>
      </w:r>
      <w:r>
        <w:rPr>
          <w:color w:val="803108"/>
          <w:spacing w:val="-2"/>
        </w:rPr>
        <w:t>de</w:t>
      </w:r>
      <w:r>
        <w:rPr>
          <w:color w:val="803108"/>
          <w:spacing w:val="-4"/>
        </w:rPr>
        <w:t xml:space="preserve"> </w:t>
      </w:r>
      <w:r>
        <w:rPr>
          <w:color w:val="803108"/>
          <w:spacing w:val="-2"/>
        </w:rPr>
        <w:t>seguro</w:t>
      </w:r>
      <w:r>
        <w:rPr>
          <w:color w:val="803108"/>
          <w:spacing w:val="-4"/>
        </w:rPr>
        <w:t xml:space="preserve"> </w:t>
      </w:r>
      <w:r>
        <w:rPr>
          <w:color w:val="803108"/>
          <w:spacing w:val="-2"/>
        </w:rPr>
        <w:t>para</w:t>
      </w:r>
      <w:r>
        <w:rPr>
          <w:color w:val="803108"/>
          <w:spacing w:val="-4"/>
        </w:rPr>
        <w:t xml:space="preserve"> </w:t>
      </w:r>
      <w:r>
        <w:rPr>
          <w:color w:val="803108"/>
          <w:spacing w:val="-2"/>
        </w:rPr>
        <w:t>servicios</w:t>
      </w:r>
      <w:r>
        <w:rPr>
          <w:color w:val="803108"/>
          <w:spacing w:val="-4"/>
        </w:rPr>
        <w:t xml:space="preserve"> </w:t>
      </w:r>
      <w:r>
        <w:rPr>
          <w:color w:val="803108"/>
          <w:spacing w:val="-2"/>
        </w:rPr>
        <w:t>legales</w:t>
      </w:r>
      <w:r>
        <w:rPr>
          <w:color w:val="803108"/>
          <w:spacing w:val="-4"/>
        </w:rPr>
        <w:t xml:space="preserve"> </w:t>
      </w:r>
      <w:r>
        <w:rPr>
          <w:color w:val="803108"/>
          <w:spacing w:val="-2"/>
        </w:rPr>
        <w:t>de</w:t>
      </w:r>
      <w:r>
        <w:rPr>
          <w:color w:val="803108"/>
          <w:spacing w:val="-4"/>
        </w:rPr>
        <w:t xml:space="preserve"> </w:t>
      </w:r>
      <w:r>
        <w:rPr>
          <w:color w:val="803108"/>
          <w:spacing w:val="-2"/>
        </w:rPr>
        <w:t>salud</w:t>
      </w:r>
      <w:r>
        <w:rPr>
          <w:color w:val="803108"/>
          <w:spacing w:val="-4"/>
        </w:rPr>
        <w:t xml:space="preserve"> </w:t>
      </w:r>
      <w:r>
        <w:rPr>
          <w:color w:val="803108"/>
          <w:spacing w:val="-2"/>
        </w:rPr>
        <w:t>reproductiva;</w:t>
      </w:r>
      <w:r>
        <w:rPr>
          <w:color w:val="803108"/>
          <w:spacing w:val="-3"/>
        </w:rPr>
        <w:t xml:space="preserve"> </w:t>
      </w:r>
      <w:r>
        <w:rPr>
          <w:color w:val="803108"/>
          <w:spacing w:val="-2"/>
        </w:rPr>
        <w:t>negativas</w:t>
      </w:r>
      <w:r>
        <w:rPr>
          <w:color w:val="803108"/>
          <w:spacing w:val="-4"/>
        </w:rPr>
        <w:t xml:space="preserve"> </w:t>
      </w:r>
      <w:r>
        <w:rPr>
          <w:color w:val="803108"/>
          <w:spacing w:val="-2"/>
        </w:rPr>
        <w:t xml:space="preserve">a </w:t>
      </w:r>
      <w:r>
        <w:rPr>
          <w:color w:val="803108"/>
        </w:rPr>
        <w:t>descargar recetas para anticonceptivos e impedir la posibilidad de obtener servicios de aborto legal, y la negación de servicios y tratamientos de salud a personas LGBT+.1043</w:t>
      </w:r>
    </w:p>
    <w:p w14:paraId="79BAA87B" w14:textId="77777777" w:rsidR="0014798C" w:rsidRDefault="0014798C">
      <w:pPr>
        <w:pStyle w:val="Textoindependiente"/>
        <w:rPr>
          <w:sz w:val="23"/>
        </w:rPr>
      </w:pPr>
    </w:p>
    <w:p w14:paraId="08DE6821" w14:textId="77777777" w:rsidR="0014798C" w:rsidRDefault="0014798C">
      <w:pPr>
        <w:pStyle w:val="Textoindependiente"/>
        <w:spacing w:before="164"/>
        <w:rPr>
          <w:sz w:val="23"/>
        </w:rPr>
      </w:pPr>
    </w:p>
    <w:p w14:paraId="574D6DC3" w14:textId="77777777" w:rsidR="0014798C" w:rsidRDefault="004E1F0B">
      <w:pPr>
        <w:numPr>
          <w:ilvl w:val="0"/>
          <w:numId w:val="17"/>
        </w:numPr>
        <w:tabs>
          <w:tab w:val="left" w:pos="1371"/>
        </w:tabs>
        <w:ind w:left="1371" w:hanging="256"/>
        <w:rPr>
          <w:color w:val="803108"/>
          <w:sz w:val="23"/>
        </w:rPr>
      </w:pPr>
      <w:r>
        <w:rPr>
          <w:color w:val="803108"/>
          <w:sz w:val="23"/>
        </w:rPr>
        <w:t>Derecho</w:t>
      </w:r>
      <w:r>
        <w:rPr>
          <w:color w:val="803108"/>
          <w:spacing w:val="-5"/>
          <w:sz w:val="23"/>
        </w:rPr>
        <w:t xml:space="preserve"> </w:t>
      </w:r>
      <w:r>
        <w:rPr>
          <w:color w:val="803108"/>
          <w:sz w:val="23"/>
        </w:rPr>
        <w:t>de</w:t>
      </w:r>
      <w:r>
        <w:rPr>
          <w:color w:val="803108"/>
          <w:spacing w:val="-5"/>
          <w:sz w:val="23"/>
        </w:rPr>
        <w:t xml:space="preserve"> </w:t>
      </w:r>
      <w:r>
        <w:rPr>
          <w:color w:val="803108"/>
          <w:sz w:val="23"/>
        </w:rPr>
        <w:t>familia</w:t>
      </w:r>
      <w:r>
        <w:rPr>
          <w:color w:val="803108"/>
          <w:spacing w:val="-4"/>
          <w:sz w:val="23"/>
        </w:rPr>
        <w:t xml:space="preserve"> </w:t>
      </w:r>
      <w:r>
        <w:rPr>
          <w:color w:val="803108"/>
          <w:sz w:val="23"/>
        </w:rPr>
        <w:t>y</w:t>
      </w:r>
      <w:r>
        <w:rPr>
          <w:color w:val="803108"/>
          <w:spacing w:val="-5"/>
          <w:sz w:val="23"/>
        </w:rPr>
        <w:t xml:space="preserve"> </w:t>
      </w:r>
      <w:r>
        <w:rPr>
          <w:color w:val="803108"/>
          <w:sz w:val="23"/>
        </w:rPr>
        <w:t>estatus</w:t>
      </w:r>
      <w:r>
        <w:rPr>
          <w:color w:val="803108"/>
          <w:spacing w:val="-5"/>
          <w:sz w:val="23"/>
        </w:rPr>
        <w:t xml:space="preserve"> </w:t>
      </w:r>
      <w:r>
        <w:rPr>
          <w:color w:val="803108"/>
          <w:sz w:val="23"/>
        </w:rPr>
        <w:t>personal:</w:t>
      </w:r>
      <w:r>
        <w:rPr>
          <w:color w:val="803108"/>
          <w:spacing w:val="-4"/>
          <w:sz w:val="23"/>
        </w:rPr>
        <w:t xml:space="preserve"> </w:t>
      </w:r>
      <w:r>
        <w:rPr>
          <w:color w:val="803108"/>
          <w:sz w:val="23"/>
        </w:rPr>
        <w:t>matrimonio,</w:t>
      </w:r>
      <w:r>
        <w:rPr>
          <w:color w:val="803108"/>
          <w:spacing w:val="-4"/>
          <w:sz w:val="23"/>
        </w:rPr>
        <w:t xml:space="preserve"> </w:t>
      </w:r>
      <w:r>
        <w:rPr>
          <w:color w:val="803108"/>
          <w:sz w:val="23"/>
        </w:rPr>
        <w:t>divorcio,</w:t>
      </w:r>
      <w:r>
        <w:rPr>
          <w:color w:val="803108"/>
          <w:spacing w:val="-3"/>
          <w:sz w:val="23"/>
        </w:rPr>
        <w:t xml:space="preserve"> </w:t>
      </w:r>
      <w:r>
        <w:rPr>
          <w:color w:val="803108"/>
          <w:sz w:val="23"/>
        </w:rPr>
        <w:t>herencia</w:t>
      </w:r>
      <w:r>
        <w:rPr>
          <w:color w:val="803108"/>
          <w:spacing w:val="-5"/>
          <w:sz w:val="23"/>
        </w:rPr>
        <w:t xml:space="preserve"> </w:t>
      </w:r>
      <w:r>
        <w:rPr>
          <w:color w:val="803108"/>
          <w:sz w:val="23"/>
        </w:rPr>
        <w:t>y</w:t>
      </w:r>
      <w:r>
        <w:rPr>
          <w:color w:val="803108"/>
          <w:spacing w:val="-4"/>
          <w:sz w:val="23"/>
        </w:rPr>
        <w:t xml:space="preserve"> </w:t>
      </w:r>
      <w:r>
        <w:rPr>
          <w:color w:val="803108"/>
          <w:spacing w:val="-2"/>
          <w:sz w:val="23"/>
        </w:rPr>
        <w:t>entierro</w:t>
      </w:r>
    </w:p>
    <w:p w14:paraId="5078BF62" w14:textId="77777777" w:rsidR="0014798C" w:rsidRDefault="0014798C">
      <w:pPr>
        <w:pStyle w:val="Textoindependiente"/>
        <w:spacing w:before="42"/>
      </w:pPr>
    </w:p>
    <w:p w14:paraId="435301DF" w14:textId="77777777" w:rsidR="0014798C" w:rsidRDefault="004E1F0B">
      <w:pPr>
        <w:pStyle w:val="Textoindependiente"/>
        <w:spacing w:line="326" w:lineRule="auto"/>
        <w:ind w:left="1108" w:right="1272" w:hanging="2"/>
      </w:pPr>
      <w:r>
        <w:t>Las</w:t>
      </w:r>
      <w:r>
        <w:rPr>
          <w:spacing w:val="-5"/>
        </w:rPr>
        <w:t xml:space="preserve"> </w:t>
      </w:r>
      <w:r>
        <w:t>tensiones</w:t>
      </w:r>
      <w:r>
        <w:rPr>
          <w:spacing w:val="-5"/>
        </w:rPr>
        <w:t xml:space="preserve"> </w:t>
      </w:r>
      <w:r>
        <w:t>entre</w:t>
      </w:r>
      <w:r>
        <w:rPr>
          <w:spacing w:val="-5"/>
        </w:rPr>
        <w:t xml:space="preserve"> </w:t>
      </w:r>
      <w:r>
        <w:t>las</w:t>
      </w:r>
      <w:r>
        <w:rPr>
          <w:spacing w:val="-5"/>
        </w:rPr>
        <w:t xml:space="preserve"> </w:t>
      </w:r>
      <w:r>
        <w:t>normas</w:t>
      </w:r>
      <w:r>
        <w:rPr>
          <w:spacing w:val="-5"/>
        </w:rPr>
        <w:t xml:space="preserve"> </w:t>
      </w:r>
      <w:r>
        <w:t>tradicionales,</w:t>
      </w:r>
      <w:r>
        <w:rPr>
          <w:spacing w:val="-4"/>
        </w:rPr>
        <w:t xml:space="preserve"> </w:t>
      </w:r>
      <w:r>
        <w:t>religiosas</w:t>
      </w:r>
      <w:r>
        <w:rPr>
          <w:spacing w:val="-5"/>
        </w:rPr>
        <w:t xml:space="preserve"> </w:t>
      </w:r>
      <w:r>
        <w:t>o</w:t>
      </w:r>
      <w:r>
        <w:rPr>
          <w:spacing w:val="-5"/>
        </w:rPr>
        <w:t xml:space="preserve"> </w:t>
      </w:r>
      <w:r>
        <w:t>comunitarias,</w:t>
      </w:r>
      <w:r>
        <w:rPr>
          <w:spacing w:val="-4"/>
        </w:rPr>
        <w:t xml:space="preserve"> </w:t>
      </w:r>
      <w:r>
        <w:t>por</w:t>
      </w:r>
      <w:r>
        <w:rPr>
          <w:spacing w:val="-5"/>
        </w:rPr>
        <w:t xml:space="preserve"> </w:t>
      </w:r>
      <w:r>
        <w:t>un</w:t>
      </w:r>
      <w:r>
        <w:rPr>
          <w:spacing w:val="-5"/>
        </w:rPr>
        <w:t xml:space="preserve"> </w:t>
      </w:r>
      <w:r>
        <w:t>lado,</w:t>
      </w:r>
      <w:r>
        <w:rPr>
          <w:spacing w:val="-5"/>
        </w:rPr>
        <w:t xml:space="preserve"> </w:t>
      </w:r>
      <w:r>
        <w:t>y</w:t>
      </w:r>
      <w:r>
        <w:rPr>
          <w:spacing w:val="-5"/>
        </w:rPr>
        <w:t xml:space="preserve"> </w:t>
      </w:r>
      <w:r>
        <w:t>el</w:t>
      </w:r>
      <w:r>
        <w:rPr>
          <w:spacing w:val="-5"/>
        </w:rPr>
        <w:t xml:space="preserve"> </w:t>
      </w:r>
      <w:r>
        <w:t>derecho</w:t>
      </w:r>
      <w:r>
        <w:rPr>
          <w:spacing w:val="-5"/>
        </w:rPr>
        <w:t xml:space="preserve"> </w:t>
      </w:r>
      <w:r>
        <w:t>a</w:t>
      </w:r>
      <w:r>
        <w:rPr>
          <w:spacing w:val="-5"/>
        </w:rPr>
        <w:t xml:space="preserve"> </w:t>
      </w:r>
      <w:r>
        <w:t>la</w:t>
      </w:r>
      <w:r>
        <w:rPr>
          <w:spacing w:val="-5"/>
        </w:rPr>
        <w:t xml:space="preserve"> </w:t>
      </w:r>
      <w:r>
        <w:t>no</w:t>
      </w:r>
      <w:r>
        <w:rPr>
          <w:spacing w:val="-5"/>
        </w:rPr>
        <w:t xml:space="preserve"> </w:t>
      </w:r>
      <w:r>
        <w:t>discriminación,</w:t>
      </w:r>
      <w:r>
        <w:rPr>
          <w:spacing w:val="-3"/>
        </w:rPr>
        <w:t xml:space="preserve"> </w:t>
      </w:r>
      <w:r>
        <w:t>por</w:t>
      </w:r>
      <w:r>
        <w:rPr>
          <w:spacing w:val="-5"/>
        </w:rPr>
        <w:t xml:space="preserve"> </w:t>
      </w:r>
      <w:r>
        <w:t>el</w:t>
      </w:r>
      <w:r>
        <w:rPr>
          <w:spacing w:val="-5"/>
        </w:rPr>
        <w:t xml:space="preserve"> </w:t>
      </w:r>
      <w:r>
        <w:t>otro, se han manifestado en varios ámbitos, en particular en el derecho matrimonial y de familia. En los casos en que las comunidades afirman un supuesto derecho a discriminar con referencia a reglas comunales, estos esfuerzos han sido anulados, ya sea por los tribunales o por los administradores.</w:t>
      </w:r>
    </w:p>
    <w:p w14:paraId="627B97BC" w14:textId="77777777" w:rsidR="0014798C" w:rsidRDefault="004E1F0B">
      <w:pPr>
        <w:pStyle w:val="Textoindependiente"/>
        <w:spacing w:before="168"/>
        <w:ind w:left="1106"/>
      </w:pPr>
      <w:r>
        <w:t>El</w:t>
      </w:r>
      <w:r>
        <w:rPr>
          <w:spacing w:val="-9"/>
        </w:rPr>
        <w:t xml:space="preserve"> </w:t>
      </w:r>
      <w:r>
        <w:t>artículo</w:t>
      </w:r>
      <w:r>
        <w:rPr>
          <w:spacing w:val="-8"/>
        </w:rPr>
        <w:t xml:space="preserve"> </w:t>
      </w:r>
      <w:r>
        <w:t>15</w:t>
      </w:r>
      <w:r>
        <w:rPr>
          <w:spacing w:val="-8"/>
        </w:rPr>
        <w:t xml:space="preserve"> </w:t>
      </w:r>
      <w:r>
        <w:t>de</w:t>
      </w:r>
      <w:r>
        <w:rPr>
          <w:spacing w:val="-9"/>
        </w:rPr>
        <w:t xml:space="preserve"> </w:t>
      </w:r>
      <w:r>
        <w:t>la</w:t>
      </w:r>
      <w:r>
        <w:rPr>
          <w:spacing w:val="-8"/>
        </w:rPr>
        <w:t xml:space="preserve"> </w:t>
      </w:r>
      <w:r>
        <w:t>Convención</w:t>
      </w:r>
      <w:r>
        <w:rPr>
          <w:spacing w:val="-8"/>
        </w:rPr>
        <w:t xml:space="preserve"> </w:t>
      </w:r>
      <w:r>
        <w:t>sobre</w:t>
      </w:r>
      <w:r>
        <w:rPr>
          <w:spacing w:val="-8"/>
        </w:rPr>
        <w:t xml:space="preserve"> </w:t>
      </w:r>
      <w:r>
        <w:t>la</w:t>
      </w:r>
      <w:r>
        <w:rPr>
          <w:spacing w:val="-9"/>
        </w:rPr>
        <w:t xml:space="preserve"> </w:t>
      </w:r>
      <w:r>
        <w:t>eliminación</w:t>
      </w:r>
      <w:r>
        <w:rPr>
          <w:spacing w:val="-8"/>
        </w:rPr>
        <w:t xml:space="preserve"> </w:t>
      </w:r>
      <w:r>
        <w:t>de</w:t>
      </w:r>
      <w:r>
        <w:rPr>
          <w:spacing w:val="-8"/>
        </w:rPr>
        <w:t xml:space="preserve"> </w:t>
      </w:r>
      <w:r>
        <w:t>todas</w:t>
      </w:r>
      <w:r>
        <w:rPr>
          <w:spacing w:val="-9"/>
        </w:rPr>
        <w:t xml:space="preserve"> </w:t>
      </w:r>
      <w:r>
        <w:t>las</w:t>
      </w:r>
      <w:r>
        <w:rPr>
          <w:spacing w:val="-8"/>
        </w:rPr>
        <w:t xml:space="preserve"> </w:t>
      </w:r>
      <w:r>
        <w:t>formas</w:t>
      </w:r>
      <w:r>
        <w:rPr>
          <w:spacing w:val="-8"/>
        </w:rPr>
        <w:t xml:space="preserve"> </w:t>
      </w:r>
      <w:r>
        <w:t>de</w:t>
      </w:r>
      <w:r>
        <w:rPr>
          <w:spacing w:val="-8"/>
        </w:rPr>
        <w:t xml:space="preserve"> </w:t>
      </w:r>
      <w:r>
        <w:t>discriminación</w:t>
      </w:r>
      <w:r>
        <w:rPr>
          <w:spacing w:val="-9"/>
        </w:rPr>
        <w:t xml:space="preserve"> </w:t>
      </w:r>
      <w:r>
        <w:t>contra</w:t>
      </w:r>
      <w:r>
        <w:rPr>
          <w:spacing w:val="-8"/>
        </w:rPr>
        <w:t xml:space="preserve"> </w:t>
      </w:r>
      <w:r>
        <w:t>la</w:t>
      </w:r>
      <w:r>
        <w:rPr>
          <w:spacing w:val="-8"/>
        </w:rPr>
        <w:t xml:space="preserve"> </w:t>
      </w:r>
      <w:r>
        <w:t>mujer</w:t>
      </w:r>
      <w:r>
        <w:rPr>
          <w:spacing w:val="-8"/>
        </w:rPr>
        <w:t xml:space="preserve"> </w:t>
      </w:r>
      <w:r>
        <w:t>establece</w:t>
      </w:r>
      <w:r>
        <w:rPr>
          <w:spacing w:val="-9"/>
        </w:rPr>
        <w:t xml:space="preserve"> </w:t>
      </w:r>
      <w:r>
        <w:rPr>
          <w:spacing w:val="-4"/>
        </w:rPr>
        <w:t>que:</w:t>
      </w:r>
    </w:p>
    <w:p w14:paraId="3A78EB54" w14:textId="77777777" w:rsidR="0014798C" w:rsidRDefault="004E1F0B">
      <w:pPr>
        <w:pStyle w:val="Prrafodelista"/>
        <w:numPr>
          <w:ilvl w:val="1"/>
          <w:numId w:val="17"/>
        </w:numPr>
        <w:tabs>
          <w:tab w:val="left" w:pos="1861"/>
        </w:tabs>
        <w:spacing w:before="179"/>
        <w:ind w:left="1861" w:hanging="175"/>
        <w:rPr>
          <w:sz w:val="16"/>
        </w:rPr>
      </w:pPr>
      <w:r>
        <w:rPr>
          <w:color w:val="803108"/>
          <w:sz w:val="16"/>
        </w:rPr>
        <w:t>Los</w:t>
      </w:r>
      <w:r>
        <w:rPr>
          <w:color w:val="803108"/>
          <w:spacing w:val="-7"/>
          <w:sz w:val="16"/>
        </w:rPr>
        <w:t xml:space="preserve"> </w:t>
      </w:r>
      <w:proofErr w:type="gramStart"/>
      <w:r>
        <w:rPr>
          <w:color w:val="803108"/>
          <w:sz w:val="16"/>
        </w:rPr>
        <w:t>Estados</w:t>
      </w:r>
      <w:r>
        <w:rPr>
          <w:color w:val="803108"/>
          <w:spacing w:val="-7"/>
          <w:sz w:val="16"/>
        </w:rPr>
        <w:t xml:space="preserve"> </w:t>
      </w:r>
      <w:r>
        <w:rPr>
          <w:color w:val="803108"/>
          <w:sz w:val="16"/>
        </w:rPr>
        <w:t>Partes</w:t>
      </w:r>
      <w:proofErr w:type="gramEnd"/>
      <w:r>
        <w:rPr>
          <w:color w:val="803108"/>
          <w:spacing w:val="-7"/>
          <w:sz w:val="16"/>
        </w:rPr>
        <w:t xml:space="preserve"> </w:t>
      </w:r>
      <w:r>
        <w:rPr>
          <w:color w:val="803108"/>
          <w:sz w:val="16"/>
        </w:rPr>
        <w:t>garantizarán</w:t>
      </w:r>
      <w:r>
        <w:rPr>
          <w:color w:val="803108"/>
          <w:spacing w:val="-7"/>
          <w:sz w:val="16"/>
        </w:rPr>
        <w:t xml:space="preserve"> </w:t>
      </w:r>
      <w:r>
        <w:rPr>
          <w:color w:val="803108"/>
          <w:sz w:val="16"/>
        </w:rPr>
        <w:t>a</w:t>
      </w:r>
      <w:r>
        <w:rPr>
          <w:color w:val="803108"/>
          <w:spacing w:val="-6"/>
          <w:sz w:val="16"/>
        </w:rPr>
        <w:t xml:space="preserve"> </w:t>
      </w:r>
      <w:r>
        <w:rPr>
          <w:color w:val="803108"/>
          <w:sz w:val="16"/>
        </w:rPr>
        <w:t>la</w:t>
      </w:r>
      <w:r>
        <w:rPr>
          <w:color w:val="803108"/>
          <w:spacing w:val="-7"/>
          <w:sz w:val="16"/>
        </w:rPr>
        <w:t xml:space="preserve"> </w:t>
      </w:r>
      <w:r>
        <w:rPr>
          <w:color w:val="803108"/>
          <w:sz w:val="16"/>
        </w:rPr>
        <w:t>mujer</w:t>
      </w:r>
      <w:r>
        <w:rPr>
          <w:color w:val="803108"/>
          <w:spacing w:val="-7"/>
          <w:sz w:val="16"/>
        </w:rPr>
        <w:t xml:space="preserve"> </w:t>
      </w:r>
      <w:r>
        <w:rPr>
          <w:color w:val="803108"/>
          <w:sz w:val="16"/>
        </w:rPr>
        <w:t>la</w:t>
      </w:r>
      <w:r>
        <w:rPr>
          <w:color w:val="803108"/>
          <w:spacing w:val="-7"/>
          <w:sz w:val="16"/>
        </w:rPr>
        <w:t xml:space="preserve"> </w:t>
      </w:r>
      <w:r>
        <w:rPr>
          <w:color w:val="803108"/>
          <w:sz w:val="16"/>
        </w:rPr>
        <w:t>igualdad</w:t>
      </w:r>
      <w:r>
        <w:rPr>
          <w:color w:val="803108"/>
          <w:spacing w:val="-7"/>
          <w:sz w:val="16"/>
        </w:rPr>
        <w:t xml:space="preserve"> </w:t>
      </w:r>
      <w:r>
        <w:rPr>
          <w:color w:val="803108"/>
          <w:sz w:val="16"/>
        </w:rPr>
        <w:t>con</w:t>
      </w:r>
      <w:r>
        <w:rPr>
          <w:color w:val="803108"/>
          <w:spacing w:val="-6"/>
          <w:sz w:val="16"/>
        </w:rPr>
        <w:t xml:space="preserve"> </w:t>
      </w:r>
      <w:r>
        <w:rPr>
          <w:color w:val="803108"/>
          <w:sz w:val="16"/>
        </w:rPr>
        <w:t>el</w:t>
      </w:r>
      <w:r>
        <w:rPr>
          <w:color w:val="803108"/>
          <w:spacing w:val="-7"/>
          <w:sz w:val="16"/>
        </w:rPr>
        <w:t xml:space="preserve"> </w:t>
      </w:r>
      <w:r>
        <w:rPr>
          <w:color w:val="803108"/>
          <w:sz w:val="16"/>
        </w:rPr>
        <w:t>hombre</w:t>
      </w:r>
      <w:r>
        <w:rPr>
          <w:color w:val="803108"/>
          <w:spacing w:val="-7"/>
          <w:sz w:val="16"/>
        </w:rPr>
        <w:t xml:space="preserve"> </w:t>
      </w:r>
      <w:r>
        <w:rPr>
          <w:color w:val="803108"/>
          <w:sz w:val="16"/>
        </w:rPr>
        <w:t>ante</w:t>
      </w:r>
      <w:r>
        <w:rPr>
          <w:color w:val="803108"/>
          <w:spacing w:val="-7"/>
          <w:sz w:val="16"/>
        </w:rPr>
        <w:t xml:space="preserve"> </w:t>
      </w:r>
      <w:r>
        <w:rPr>
          <w:color w:val="803108"/>
          <w:sz w:val="16"/>
        </w:rPr>
        <w:t>la</w:t>
      </w:r>
      <w:r>
        <w:rPr>
          <w:color w:val="803108"/>
          <w:spacing w:val="-6"/>
          <w:sz w:val="16"/>
        </w:rPr>
        <w:t xml:space="preserve"> </w:t>
      </w:r>
      <w:r>
        <w:rPr>
          <w:color w:val="803108"/>
          <w:spacing w:val="-4"/>
          <w:sz w:val="16"/>
        </w:rPr>
        <w:t>ley.</w:t>
      </w:r>
    </w:p>
    <w:p w14:paraId="4BE8BBCC" w14:textId="77777777" w:rsidR="0014798C" w:rsidRDefault="004E1F0B">
      <w:pPr>
        <w:pStyle w:val="Prrafodelista"/>
        <w:numPr>
          <w:ilvl w:val="1"/>
          <w:numId w:val="17"/>
        </w:numPr>
        <w:tabs>
          <w:tab w:val="left" w:pos="1849"/>
          <w:tab w:val="left" w:pos="2013"/>
        </w:tabs>
        <w:spacing w:before="179" w:line="326" w:lineRule="auto"/>
        <w:ind w:left="2013" w:right="1610" w:hanging="339"/>
        <w:rPr>
          <w:sz w:val="16"/>
        </w:rPr>
      </w:pPr>
      <w:r>
        <w:rPr>
          <w:color w:val="803108"/>
          <w:sz w:val="16"/>
        </w:rPr>
        <w:t xml:space="preserve">Los </w:t>
      </w:r>
      <w:proofErr w:type="gramStart"/>
      <w:r>
        <w:rPr>
          <w:color w:val="803108"/>
          <w:sz w:val="16"/>
        </w:rPr>
        <w:t>Estados Partes</w:t>
      </w:r>
      <w:proofErr w:type="gramEnd"/>
      <w:r>
        <w:rPr>
          <w:color w:val="803108"/>
          <w:sz w:val="16"/>
        </w:rPr>
        <w:t xml:space="preserve"> concederán a la mujer, en materia civil, una capacidad jurídica idéntica a la del hombre y las mismas</w:t>
      </w:r>
      <w:r>
        <w:rPr>
          <w:color w:val="803108"/>
          <w:spacing w:val="-6"/>
          <w:sz w:val="16"/>
        </w:rPr>
        <w:t xml:space="preserve"> </w:t>
      </w:r>
      <w:r>
        <w:rPr>
          <w:color w:val="803108"/>
          <w:sz w:val="16"/>
        </w:rPr>
        <w:t>oportunidades</w:t>
      </w:r>
      <w:r>
        <w:rPr>
          <w:color w:val="803108"/>
          <w:spacing w:val="-6"/>
          <w:sz w:val="16"/>
        </w:rPr>
        <w:t xml:space="preserve"> </w:t>
      </w:r>
      <w:r>
        <w:rPr>
          <w:color w:val="803108"/>
          <w:sz w:val="16"/>
        </w:rPr>
        <w:t>para</w:t>
      </w:r>
      <w:r>
        <w:rPr>
          <w:color w:val="803108"/>
          <w:spacing w:val="-6"/>
          <w:sz w:val="16"/>
        </w:rPr>
        <w:t xml:space="preserve"> </w:t>
      </w:r>
      <w:r>
        <w:rPr>
          <w:color w:val="803108"/>
          <w:sz w:val="16"/>
        </w:rPr>
        <w:t>ejercer</w:t>
      </w:r>
      <w:r>
        <w:rPr>
          <w:color w:val="803108"/>
          <w:spacing w:val="-6"/>
          <w:sz w:val="16"/>
        </w:rPr>
        <w:t xml:space="preserve"> </w:t>
      </w:r>
      <w:r>
        <w:rPr>
          <w:color w:val="803108"/>
          <w:sz w:val="16"/>
        </w:rPr>
        <w:t>esa</w:t>
      </w:r>
      <w:r>
        <w:rPr>
          <w:color w:val="803108"/>
          <w:spacing w:val="-6"/>
          <w:sz w:val="16"/>
        </w:rPr>
        <w:t xml:space="preserve"> </w:t>
      </w:r>
      <w:r>
        <w:rPr>
          <w:color w:val="803108"/>
          <w:sz w:val="16"/>
        </w:rPr>
        <w:t>capacidad.</w:t>
      </w:r>
      <w:r>
        <w:rPr>
          <w:color w:val="803108"/>
          <w:spacing w:val="-5"/>
          <w:sz w:val="16"/>
        </w:rPr>
        <w:t xml:space="preserve"> </w:t>
      </w:r>
      <w:r>
        <w:rPr>
          <w:color w:val="803108"/>
          <w:sz w:val="16"/>
        </w:rPr>
        <w:t>En</w:t>
      </w:r>
      <w:r>
        <w:rPr>
          <w:color w:val="803108"/>
          <w:spacing w:val="-6"/>
          <w:sz w:val="16"/>
        </w:rPr>
        <w:t xml:space="preserve"> </w:t>
      </w:r>
      <w:r>
        <w:rPr>
          <w:color w:val="803108"/>
          <w:sz w:val="16"/>
        </w:rPr>
        <w:t>particular,</w:t>
      </w:r>
      <w:r>
        <w:rPr>
          <w:color w:val="803108"/>
          <w:spacing w:val="-5"/>
          <w:sz w:val="16"/>
        </w:rPr>
        <w:t xml:space="preserve"> </w:t>
      </w:r>
      <w:r>
        <w:rPr>
          <w:color w:val="803108"/>
          <w:sz w:val="16"/>
        </w:rPr>
        <w:t>concederán</w:t>
      </w:r>
      <w:r>
        <w:rPr>
          <w:color w:val="803108"/>
          <w:spacing w:val="-6"/>
          <w:sz w:val="16"/>
        </w:rPr>
        <w:t xml:space="preserve"> </w:t>
      </w:r>
      <w:r>
        <w:rPr>
          <w:color w:val="803108"/>
          <w:sz w:val="16"/>
        </w:rPr>
        <w:t>a</w:t>
      </w:r>
      <w:r>
        <w:rPr>
          <w:color w:val="803108"/>
          <w:spacing w:val="-6"/>
          <w:sz w:val="16"/>
        </w:rPr>
        <w:t xml:space="preserve"> </w:t>
      </w:r>
      <w:r>
        <w:rPr>
          <w:color w:val="803108"/>
          <w:sz w:val="16"/>
        </w:rPr>
        <w:t>las</w:t>
      </w:r>
      <w:r>
        <w:rPr>
          <w:color w:val="803108"/>
          <w:spacing w:val="-6"/>
          <w:sz w:val="16"/>
        </w:rPr>
        <w:t xml:space="preserve"> </w:t>
      </w:r>
      <w:r>
        <w:rPr>
          <w:color w:val="803108"/>
          <w:sz w:val="16"/>
        </w:rPr>
        <w:t>mujeres</w:t>
      </w:r>
      <w:r>
        <w:rPr>
          <w:color w:val="803108"/>
          <w:spacing w:val="-6"/>
          <w:sz w:val="16"/>
        </w:rPr>
        <w:t xml:space="preserve"> </w:t>
      </w:r>
      <w:r>
        <w:rPr>
          <w:color w:val="803108"/>
          <w:sz w:val="16"/>
        </w:rPr>
        <w:t>iguales</w:t>
      </w:r>
      <w:r>
        <w:rPr>
          <w:color w:val="803108"/>
          <w:spacing w:val="-6"/>
          <w:sz w:val="16"/>
        </w:rPr>
        <w:t xml:space="preserve"> </w:t>
      </w:r>
      <w:r>
        <w:rPr>
          <w:color w:val="803108"/>
          <w:sz w:val="16"/>
        </w:rPr>
        <w:t>derechos</w:t>
      </w:r>
      <w:r>
        <w:rPr>
          <w:color w:val="803108"/>
          <w:spacing w:val="-6"/>
          <w:sz w:val="16"/>
        </w:rPr>
        <w:t xml:space="preserve"> </w:t>
      </w:r>
      <w:r>
        <w:rPr>
          <w:color w:val="803108"/>
          <w:sz w:val="16"/>
        </w:rPr>
        <w:t>para celebrar contratos y administrar bienes y las tratarán con igualdad en todas las etapas del procedimiento en los juzgados y tribunales.</w:t>
      </w:r>
    </w:p>
    <w:p w14:paraId="3A79697C" w14:textId="77777777" w:rsidR="0014798C" w:rsidRDefault="004E1F0B">
      <w:pPr>
        <w:pStyle w:val="Prrafodelista"/>
        <w:numPr>
          <w:ilvl w:val="1"/>
          <w:numId w:val="17"/>
        </w:numPr>
        <w:tabs>
          <w:tab w:val="left" w:pos="1853"/>
        </w:tabs>
        <w:spacing w:before="112"/>
        <w:ind w:left="1853" w:hanging="175"/>
        <w:rPr>
          <w:sz w:val="16"/>
        </w:rPr>
      </w:pPr>
      <w:r>
        <w:rPr>
          <w:color w:val="803108"/>
          <w:sz w:val="16"/>
        </w:rPr>
        <w:t>Los</w:t>
      </w:r>
      <w:r>
        <w:rPr>
          <w:color w:val="803108"/>
          <w:spacing w:val="-6"/>
          <w:sz w:val="16"/>
        </w:rPr>
        <w:t xml:space="preserve"> </w:t>
      </w:r>
      <w:proofErr w:type="gramStart"/>
      <w:r>
        <w:rPr>
          <w:color w:val="803108"/>
          <w:sz w:val="16"/>
        </w:rPr>
        <w:t>Estados</w:t>
      </w:r>
      <w:r>
        <w:rPr>
          <w:color w:val="803108"/>
          <w:spacing w:val="-6"/>
          <w:sz w:val="16"/>
        </w:rPr>
        <w:t xml:space="preserve"> </w:t>
      </w:r>
      <w:r>
        <w:rPr>
          <w:color w:val="803108"/>
          <w:sz w:val="16"/>
        </w:rPr>
        <w:t>Partes</w:t>
      </w:r>
      <w:proofErr w:type="gramEnd"/>
      <w:r>
        <w:rPr>
          <w:color w:val="803108"/>
          <w:spacing w:val="-6"/>
          <w:sz w:val="16"/>
        </w:rPr>
        <w:t xml:space="preserve"> </w:t>
      </w:r>
      <w:r>
        <w:rPr>
          <w:color w:val="803108"/>
          <w:sz w:val="16"/>
        </w:rPr>
        <w:t>acuerdan</w:t>
      </w:r>
      <w:r>
        <w:rPr>
          <w:color w:val="803108"/>
          <w:spacing w:val="-6"/>
          <w:sz w:val="16"/>
        </w:rPr>
        <w:t xml:space="preserve"> </w:t>
      </w:r>
      <w:r>
        <w:rPr>
          <w:color w:val="803108"/>
          <w:sz w:val="16"/>
        </w:rPr>
        <w:t>que</w:t>
      </w:r>
      <w:r>
        <w:rPr>
          <w:color w:val="803108"/>
          <w:spacing w:val="-6"/>
          <w:sz w:val="16"/>
        </w:rPr>
        <w:t xml:space="preserve"> </w:t>
      </w:r>
      <w:r>
        <w:rPr>
          <w:color w:val="803108"/>
          <w:sz w:val="16"/>
        </w:rPr>
        <w:t>todos</w:t>
      </w:r>
      <w:r>
        <w:rPr>
          <w:color w:val="803108"/>
          <w:spacing w:val="-6"/>
          <w:sz w:val="16"/>
        </w:rPr>
        <w:t xml:space="preserve"> </w:t>
      </w:r>
      <w:r>
        <w:rPr>
          <w:color w:val="803108"/>
          <w:sz w:val="16"/>
        </w:rPr>
        <w:t>los</w:t>
      </w:r>
      <w:r>
        <w:rPr>
          <w:color w:val="803108"/>
          <w:spacing w:val="-6"/>
          <w:sz w:val="16"/>
        </w:rPr>
        <w:t xml:space="preserve"> </w:t>
      </w:r>
      <w:r>
        <w:rPr>
          <w:color w:val="803108"/>
          <w:sz w:val="16"/>
        </w:rPr>
        <w:t>contratos</w:t>
      </w:r>
      <w:r>
        <w:rPr>
          <w:color w:val="803108"/>
          <w:spacing w:val="-6"/>
          <w:sz w:val="16"/>
        </w:rPr>
        <w:t xml:space="preserve"> </w:t>
      </w:r>
      <w:r>
        <w:rPr>
          <w:color w:val="803108"/>
          <w:sz w:val="16"/>
        </w:rPr>
        <w:t>y</w:t>
      </w:r>
      <w:r>
        <w:rPr>
          <w:color w:val="803108"/>
          <w:spacing w:val="-6"/>
          <w:sz w:val="16"/>
        </w:rPr>
        <w:t xml:space="preserve"> </w:t>
      </w:r>
      <w:r>
        <w:rPr>
          <w:color w:val="803108"/>
          <w:sz w:val="16"/>
        </w:rPr>
        <w:t>todos</w:t>
      </w:r>
      <w:r>
        <w:rPr>
          <w:color w:val="803108"/>
          <w:spacing w:val="-6"/>
          <w:sz w:val="16"/>
        </w:rPr>
        <w:t xml:space="preserve"> </w:t>
      </w:r>
      <w:r>
        <w:rPr>
          <w:color w:val="803108"/>
          <w:sz w:val="16"/>
        </w:rPr>
        <w:t>los</w:t>
      </w:r>
      <w:r>
        <w:rPr>
          <w:color w:val="803108"/>
          <w:spacing w:val="-6"/>
          <w:sz w:val="16"/>
        </w:rPr>
        <w:t xml:space="preserve"> </w:t>
      </w:r>
      <w:r>
        <w:rPr>
          <w:color w:val="803108"/>
          <w:sz w:val="16"/>
        </w:rPr>
        <w:t>demás</w:t>
      </w:r>
      <w:r>
        <w:rPr>
          <w:color w:val="803108"/>
          <w:spacing w:val="-6"/>
          <w:sz w:val="16"/>
        </w:rPr>
        <w:t xml:space="preserve"> </w:t>
      </w:r>
      <w:r>
        <w:rPr>
          <w:color w:val="803108"/>
          <w:sz w:val="16"/>
        </w:rPr>
        <w:t>instrumentos</w:t>
      </w:r>
      <w:r>
        <w:rPr>
          <w:color w:val="803108"/>
          <w:spacing w:val="-6"/>
          <w:sz w:val="16"/>
        </w:rPr>
        <w:t xml:space="preserve"> </w:t>
      </w:r>
      <w:r>
        <w:rPr>
          <w:color w:val="803108"/>
          <w:sz w:val="16"/>
        </w:rPr>
        <w:t>privados</w:t>
      </w:r>
      <w:r>
        <w:rPr>
          <w:color w:val="803108"/>
          <w:spacing w:val="-6"/>
          <w:sz w:val="16"/>
        </w:rPr>
        <w:t xml:space="preserve"> </w:t>
      </w:r>
      <w:r>
        <w:rPr>
          <w:color w:val="803108"/>
          <w:sz w:val="16"/>
        </w:rPr>
        <w:t>de</w:t>
      </w:r>
      <w:r>
        <w:rPr>
          <w:color w:val="803108"/>
          <w:spacing w:val="-6"/>
          <w:sz w:val="16"/>
        </w:rPr>
        <w:t xml:space="preserve"> </w:t>
      </w:r>
      <w:r>
        <w:rPr>
          <w:color w:val="803108"/>
          <w:sz w:val="16"/>
        </w:rPr>
        <w:t>cualquier</w:t>
      </w:r>
      <w:r>
        <w:rPr>
          <w:color w:val="803108"/>
          <w:spacing w:val="-6"/>
          <w:sz w:val="16"/>
        </w:rPr>
        <w:t xml:space="preserve"> </w:t>
      </w:r>
      <w:r>
        <w:rPr>
          <w:color w:val="803108"/>
          <w:spacing w:val="-2"/>
          <w:sz w:val="16"/>
        </w:rPr>
        <w:t>clase</w:t>
      </w:r>
    </w:p>
    <w:p w14:paraId="5ED094DC" w14:textId="77777777" w:rsidR="0014798C" w:rsidRDefault="004E1F0B">
      <w:pPr>
        <w:pStyle w:val="Textoindependiente"/>
        <w:spacing w:before="65"/>
        <w:ind w:left="2017"/>
      </w:pPr>
      <w:r>
        <w:rPr>
          <w:color w:val="803108"/>
        </w:rPr>
        <w:t>con</w:t>
      </w:r>
      <w:r>
        <w:rPr>
          <w:color w:val="803108"/>
          <w:spacing w:val="-8"/>
        </w:rPr>
        <w:t xml:space="preserve"> </w:t>
      </w:r>
      <w:r>
        <w:rPr>
          <w:color w:val="803108"/>
        </w:rPr>
        <w:t>efecto</w:t>
      </w:r>
      <w:r>
        <w:rPr>
          <w:color w:val="803108"/>
          <w:spacing w:val="-8"/>
        </w:rPr>
        <w:t xml:space="preserve"> </w:t>
      </w:r>
      <w:r>
        <w:rPr>
          <w:color w:val="803108"/>
        </w:rPr>
        <w:t>jurídico</w:t>
      </w:r>
      <w:r>
        <w:rPr>
          <w:color w:val="803108"/>
          <w:spacing w:val="-8"/>
        </w:rPr>
        <w:t xml:space="preserve"> </w:t>
      </w:r>
      <w:r>
        <w:rPr>
          <w:color w:val="803108"/>
        </w:rPr>
        <w:t>que</w:t>
      </w:r>
      <w:r>
        <w:rPr>
          <w:color w:val="803108"/>
          <w:spacing w:val="-8"/>
        </w:rPr>
        <w:t xml:space="preserve"> </w:t>
      </w:r>
      <w:r>
        <w:rPr>
          <w:color w:val="803108"/>
        </w:rPr>
        <w:t>tengan</w:t>
      </w:r>
      <w:r>
        <w:rPr>
          <w:color w:val="803108"/>
          <w:spacing w:val="-7"/>
        </w:rPr>
        <w:t xml:space="preserve"> </w:t>
      </w:r>
      <w:r>
        <w:rPr>
          <w:color w:val="803108"/>
        </w:rPr>
        <w:t>por</w:t>
      </w:r>
      <w:r>
        <w:rPr>
          <w:color w:val="803108"/>
          <w:spacing w:val="-8"/>
        </w:rPr>
        <w:t xml:space="preserve"> </w:t>
      </w:r>
      <w:r>
        <w:rPr>
          <w:color w:val="803108"/>
        </w:rPr>
        <w:t>objeto</w:t>
      </w:r>
      <w:r>
        <w:rPr>
          <w:color w:val="803108"/>
          <w:spacing w:val="-8"/>
        </w:rPr>
        <w:t xml:space="preserve"> </w:t>
      </w:r>
      <w:r>
        <w:rPr>
          <w:color w:val="803108"/>
        </w:rPr>
        <w:t>restringir</w:t>
      </w:r>
      <w:r>
        <w:rPr>
          <w:color w:val="803108"/>
          <w:spacing w:val="-8"/>
        </w:rPr>
        <w:t xml:space="preserve"> </w:t>
      </w:r>
      <w:r>
        <w:rPr>
          <w:color w:val="803108"/>
        </w:rPr>
        <w:t>la</w:t>
      </w:r>
      <w:r>
        <w:rPr>
          <w:color w:val="803108"/>
          <w:spacing w:val="-8"/>
        </w:rPr>
        <w:t xml:space="preserve"> </w:t>
      </w:r>
      <w:r>
        <w:rPr>
          <w:color w:val="803108"/>
        </w:rPr>
        <w:t>capacidad</w:t>
      </w:r>
      <w:r>
        <w:rPr>
          <w:color w:val="803108"/>
          <w:spacing w:val="-7"/>
        </w:rPr>
        <w:t xml:space="preserve"> </w:t>
      </w:r>
      <w:r>
        <w:rPr>
          <w:color w:val="803108"/>
        </w:rPr>
        <w:t>jurídica</w:t>
      </w:r>
      <w:r>
        <w:rPr>
          <w:color w:val="803108"/>
          <w:spacing w:val="-8"/>
        </w:rPr>
        <w:t xml:space="preserve"> </w:t>
      </w:r>
      <w:r>
        <w:rPr>
          <w:color w:val="803108"/>
        </w:rPr>
        <w:t>de</w:t>
      </w:r>
      <w:r>
        <w:rPr>
          <w:color w:val="803108"/>
          <w:spacing w:val="-8"/>
        </w:rPr>
        <w:t xml:space="preserve"> </w:t>
      </w:r>
      <w:r>
        <w:rPr>
          <w:color w:val="803108"/>
        </w:rPr>
        <w:t>la</w:t>
      </w:r>
      <w:r>
        <w:rPr>
          <w:color w:val="803108"/>
          <w:spacing w:val="-8"/>
        </w:rPr>
        <w:t xml:space="preserve"> </w:t>
      </w:r>
      <w:r>
        <w:rPr>
          <w:color w:val="803108"/>
        </w:rPr>
        <w:t>mujer</w:t>
      </w:r>
      <w:r>
        <w:rPr>
          <w:color w:val="803108"/>
          <w:spacing w:val="-7"/>
        </w:rPr>
        <w:t xml:space="preserve"> </w:t>
      </w:r>
      <w:r>
        <w:rPr>
          <w:color w:val="803108"/>
        </w:rPr>
        <w:t>se</w:t>
      </w:r>
      <w:r>
        <w:rPr>
          <w:color w:val="803108"/>
          <w:spacing w:val="-8"/>
        </w:rPr>
        <w:t xml:space="preserve"> </w:t>
      </w:r>
      <w:r>
        <w:rPr>
          <w:color w:val="803108"/>
        </w:rPr>
        <w:t>considerarán</w:t>
      </w:r>
      <w:r>
        <w:rPr>
          <w:color w:val="803108"/>
          <w:spacing w:val="-8"/>
        </w:rPr>
        <w:t xml:space="preserve"> </w:t>
      </w:r>
      <w:r>
        <w:rPr>
          <w:color w:val="803108"/>
        </w:rPr>
        <w:t>nulos</w:t>
      </w:r>
      <w:r>
        <w:rPr>
          <w:color w:val="803108"/>
          <w:spacing w:val="-8"/>
        </w:rPr>
        <w:t xml:space="preserve"> </w:t>
      </w:r>
      <w:r>
        <w:rPr>
          <w:color w:val="803108"/>
        </w:rPr>
        <w:t>y</w:t>
      </w:r>
      <w:r>
        <w:rPr>
          <w:color w:val="803108"/>
          <w:spacing w:val="-8"/>
        </w:rPr>
        <w:t xml:space="preserve"> </w:t>
      </w:r>
      <w:r>
        <w:rPr>
          <w:color w:val="803108"/>
        </w:rPr>
        <w:t>sin</w:t>
      </w:r>
      <w:r>
        <w:rPr>
          <w:color w:val="803108"/>
          <w:spacing w:val="-7"/>
        </w:rPr>
        <w:t xml:space="preserve"> </w:t>
      </w:r>
      <w:r>
        <w:rPr>
          <w:color w:val="803108"/>
          <w:spacing w:val="-2"/>
        </w:rPr>
        <w:t>valor.</w:t>
      </w:r>
    </w:p>
    <w:p w14:paraId="02EB9B76" w14:textId="77777777" w:rsidR="0014798C" w:rsidRDefault="0014798C">
      <w:pPr>
        <w:pStyle w:val="Textoindependiente"/>
        <w:rPr>
          <w:sz w:val="12"/>
        </w:rPr>
      </w:pPr>
    </w:p>
    <w:p w14:paraId="23B7A1AF" w14:textId="77777777" w:rsidR="0014798C" w:rsidRDefault="0014798C">
      <w:pPr>
        <w:pStyle w:val="Textoindependiente"/>
        <w:rPr>
          <w:sz w:val="12"/>
        </w:rPr>
      </w:pPr>
    </w:p>
    <w:p w14:paraId="56C289AC" w14:textId="77777777" w:rsidR="0014798C" w:rsidRDefault="0014798C">
      <w:pPr>
        <w:pStyle w:val="Textoindependiente"/>
        <w:rPr>
          <w:sz w:val="12"/>
        </w:rPr>
      </w:pPr>
    </w:p>
    <w:p w14:paraId="002866D4" w14:textId="77777777" w:rsidR="0014798C" w:rsidRDefault="0014798C">
      <w:pPr>
        <w:pStyle w:val="Textoindependiente"/>
        <w:rPr>
          <w:sz w:val="12"/>
        </w:rPr>
      </w:pPr>
    </w:p>
    <w:p w14:paraId="28FD703D" w14:textId="77777777" w:rsidR="0014798C" w:rsidRDefault="0014798C">
      <w:pPr>
        <w:pStyle w:val="Textoindependiente"/>
        <w:spacing w:before="86"/>
        <w:rPr>
          <w:sz w:val="12"/>
        </w:rPr>
      </w:pPr>
    </w:p>
    <w:p w14:paraId="1DC7A7DC" w14:textId="77777777" w:rsidR="0014798C" w:rsidRDefault="004E1F0B">
      <w:pPr>
        <w:ind w:left="1111"/>
        <w:rPr>
          <w:sz w:val="12"/>
        </w:rPr>
      </w:pPr>
      <w:r>
        <w:rPr>
          <w:spacing w:val="-2"/>
          <w:sz w:val="12"/>
        </w:rPr>
        <w:t>1040</w:t>
      </w:r>
      <w:r>
        <w:rPr>
          <w:spacing w:val="-1"/>
          <w:sz w:val="12"/>
        </w:rPr>
        <w:t xml:space="preserve"> </w:t>
      </w:r>
      <w:r>
        <w:rPr>
          <w:spacing w:val="-2"/>
          <w:sz w:val="12"/>
        </w:rPr>
        <w:t>Comité</w:t>
      </w:r>
      <w:r>
        <w:rPr>
          <w:spacing w:val="-1"/>
          <w:sz w:val="12"/>
        </w:rPr>
        <w:t xml:space="preserve"> </w:t>
      </w:r>
      <w:r>
        <w:rPr>
          <w:spacing w:val="-2"/>
          <w:sz w:val="12"/>
        </w:rPr>
        <w:t>de</w:t>
      </w:r>
      <w:r>
        <w:rPr>
          <w:spacing w:val="-1"/>
          <w:sz w:val="12"/>
        </w:rPr>
        <w:t xml:space="preserve"> </w:t>
      </w:r>
      <w:r>
        <w:rPr>
          <w:spacing w:val="-2"/>
          <w:sz w:val="12"/>
        </w:rPr>
        <w:t>Derechos</w:t>
      </w:r>
      <w:r>
        <w:rPr>
          <w:spacing w:val="-1"/>
          <w:sz w:val="12"/>
        </w:rPr>
        <w:t xml:space="preserve"> </w:t>
      </w:r>
      <w:r>
        <w:rPr>
          <w:spacing w:val="-2"/>
          <w:sz w:val="12"/>
        </w:rPr>
        <w:t>Económicos,</w:t>
      </w:r>
      <w:r>
        <w:rPr>
          <w:spacing w:val="1"/>
          <w:sz w:val="12"/>
        </w:rPr>
        <w:t xml:space="preserve"> </w:t>
      </w:r>
      <w:r>
        <w:rPr>
          <w:spacing w:val="-2"/>
          <w:sz w:val="12"/>
        </w:rPr>
        <w:t>Sociales</w:t>
      </w:r>
      <w:r>
        <w:rPr>
          <w:spacing w:val="-1"/>
          <w:sz w:val="12"/>
        </w:rPr>
        <w:t xml:space="preserve"> </w:t>
      </w:r>
      <w:r>
        <w:rPr>
          <w:spacing w:val="-2"/>
          <w:sz w:val="12"/>
        </w:rPr>
        <w:t>y</w:t>
      </w:r>
      <w:r>
        <w:rPr>
          <w:spacing w:val="-1"/>
          <w:sz w:val="12"/>
        </w:rPr>
        <w:t xml:space="preserve"> </w:t>
      </w:r>
      <w:r>
        <w:rPr>
          <w:spacing w:val="-2"/>
          <w:sz w:val="12"/>
        </w:rPr>
        <w:t>Culturales,</w:t>
      </w:r>
      <w:r>
        <w:rPr>
          <w:sz w:val="12"/>
        </w:rPr>
        <w:t xml:space="preserve"> </w:t>
      </w:r>
      <w:r>
        <w:rPr>
          <w:spacing w:val="-2"/>
          <w:sz w:val="12"/>
        </w:rPr>
        <w:t>observación</w:t>
      </w:r>
      <w:r>
        <w:rPr>
          <w:spacing w:val="-1"/>
          <w:sz w:val="12"/>
        </w:rPr>
        <w:t xml:space="preserve"> </w:t>
      </w:r>
      <w:r>
        <w:rPr>
          <w:spacing w:val="-2"/>
          <w:sz w:val="12"/>
        </w:rPr>
        <w:t>general</w:t>
      </w:r>
      <w:r>
        <w:rPr>
          <w:sz w:val="12"/>
        </w:rPr>
        <w:t xml:space="preserve"> </w:t>
      </w:r>
      <w:r>
        <w:rPr>
          <w:spacing w:val="-2"/>
          <w:sz w:val="12"/>
        </w:rPr>
        <w:t>núm.</w:t>
      </w:r>
      <w:r>
        <w:rPr>
          <w:spacing w:val="-1"/>
          <w:sz w:val="12"/>
        </w:rPr>
        <w:t xml:space="preserve"> </w:t>
      </w:r>
      <w:r>
        <w:rPr>
          <w:spacing w:val="-2"/>
          <w:sz w:val="12"/>
        </w:rPr>
        <w:t>22</w:t>
      </w:r>
      <w:r>
        <w:rPr>
          <w:spacing w:val="-1"/>
          <w:sz w:val="12"/>
        </w:rPr>
        <w:t xml:space="preserve"> </w:t>
      </w:r>
      <w:r>
        <w:rPr>
          <w:spacing w:val="-2"/>
          <w:sz w:val="12"/>
        </w:rPr>
        <w:t>(2016),</w:t>
      </w:r>
      <w:r>
        <w:rPr>
          <w:sz w:val="12"/>
        </w:rPr>
        <w:t xml:space="preserve"> </w:t>
      </w:r>
      <w:proofErr w:type="spellStart"/>
      <w:r>
        <w:rPr>
          <w:spacing w:val="-2"/>
          <w:sz w:val="12"/>
        </w:rPr>
        <w:t>párrs</w:t>
      </w:r>
      <w:proofErr w:type="spellEnd"/>
      <w:r>
        <w:rPr>
          <w:spacing w:val="-2"/>
          <w:sz w:val="12"/>
        </w:rPr>
        <w:t>.</w:t>
      </w:r>
      <w:r>
        <w:rPr>
          <w:spacing w:val="1"/>
          <w:sz w:val="12"/>
        </w:rPr>
        <w:t xml:space="preserve"> </w:t>
      </w:r>
      <w:r>
        <w:rPr>
          <w:spacing w:val="-2"/>
          <w:sz w:val="12"/>
        </w:rPr>
        <w:t>14,</w:t>
      </w:r>
      <w:r>
        <w:rPr>
          <w:spacing w:val="-1"/>
          <w:sz w:val="12"/>
        </w:rPr>
        <w:t xml:space="preserve"> </w:t>
      </w:r>
      <w:r>
        <w:rPr>
          <w:spacing w:val="-2"/>
          <w:sz w:val="12"/>
        </w:rPr>
        <w:t>43</w:t>
      </w:r>
      <w:r>
        <w:rPr>
          <w:spacing w:val="-1"/>
          <w:sz w:val="12"/>
        </w:rPr>
        <w:t xml:space="preserve"> </w:t>
      </w:r>
      <w:r>
        <w:rPr>
          <w:spacing w:val="-2"/>
          <w:sz w:val="12"/>
        </w:rPr>
        <w:t>y</w:t>
      </w:r>
      <w:r>
        <w:rPr>
          <w:spacing w:val="-1"/>
          <w:sz w:val="12"/>
        </w:rPr>
        <w:t xml:space="preserve"> </w:t>
      </w:r>
      <w:r>
        <w:rPr>
          <w:spacing w:val="-2"/>
          <w:sz w:val="12"/>
        </w:rPr>
        <w:t>60;</w:t>
      </w:r>
      <w:r>
        <w:rPr>
          <w:spacing w:val="-1"/>
          <w:sz w:val="12"/>
        </w:rPr>
        <w:t xml:space="preserve"> </w:t>
      </w:r>
      <w:r>
        <w:rPr>
          <w:spacing w:val="-2"/>
          <w:sz w:val="12"/>
        </w:rPr>
        <w:t>Comité</w:t>
      </w:r>
      <w:r>
        <w:rPr>
          <w:sz w:val="12"/>
        </w:rPr>
        <w:t xml:space="preserve"> </w:t>
      </w:r>
      <w:r>
        <w:rPr>
          <w:spacing w:val="-2"/>
          <w:sz w:val="12"/>
        </w:rPr>
        <w:t>de</w:t>
      </w:r>
      <w:r>
        <w:rPr>
          <w:spacing w:val="-1"/>
          <w:sz w:val="12"/>
        </w:rPr>
        <w:t xml:space="preserve"> </w:t>
      </w:r>
      <w:r>
        <w:rPr>
          <w:spacing w:val="-2"/>
          <w:sz w:val="12"/>
        </w:rPr>
        <w:t>los</w:t>
      </w:r>
      <w:r>
        <w:rPr>
          <w:spacing w:val="-1"/>
          <w:sz w:val="12"/>
        </w:rPr>
        <w:t xml:space="preserve"> </w:t>
      </w:r>
      <w:r>
        <w:rPr>
          <w:spacing w:val="-2"/>
          <w:sz w:val="12"/>
        </w:rPr>
        <w:t>Derechos</w:t>
      </w:r>
      <w:r>
        <w:rPr>
          <w:spacing w:val="-1"/>
          <w:sz w:val="12"/>
        </w:rPr>
        <w:t xml:space="preserve"> </w:t>
      </w:r>
      <w:r>
        <w:rPr>
          <w:spacing w:val="-5"/>
          <w:sz w:val="12"/>
        </w:rPr>
        <w:t>de</w:t>
      </w:r>
    </w:p>
    <w:p w14:paraId="0F7F60AB" w14:textId="77777777" w:rsidR="0014798C" w:rsidRDefault="004E1F0B">
      <w:pPr>
        <w:spacing w:before="1"/>
        <w:ind w:left="1366"/>
        <w:rPr>
          <w:sz w:val="13"/>
        </w:rPr>
      </w:pPr>
      <w:r>
        <w:rPr>
          <w:spacing w:val="-4"/>
          <w:sz w:val="13"/>
        </w:rPr>
        <w:t>del</w:t>
      </w:r>
      <w:r>
        <w:rPr>
          <w:sz w:val="13"/>
        </w:rPr>
        <w:t xml:space="preserve"> </w:t>
      </w:r>
      <w:r>
        <w:rPr>
          <w:spacing w:val="-4"/>
          <w:sz w:val="13"/>
        </w:rPr>
        <w:t>Niño,</w:t>
      </w:r>
      <w:r>
        <w:rPr>
          <w:spacing w:val="1"/>
          <w:sz w:val="13"/>
        </w:rPr>
        <w:t xml:space="preserve"> </w:t>
      </w:r>
      <w:r>
        <w:rPr>
          <w:spacing w:val="-4"/>
          <w:sz w:val="13"/>
        </w:rPr>
        <w:t>observación</w:t>
      </w:r>
      <w:r>
        <w:rPr>
          <w:spacing w:val="2"/>
          <w:sz w:val="13"/>
        </w:rPr>
        <w:t xml:space="preserve"> </w:t>
      </w:r>
      <w:r>
        <w:rPr>
          <w:spacing w:val="-4"/>
          <w:sz w:val="13"/>
        </w:rPr>
        <w:t>general</w:t>
      </w:r>
      <w:r>
        <w:rPr>
          <w:spacing w:val="2"/>
          <w:sz w:val="13"/>
        </w:rPr>
        <w:t xml:space="preserve"> </w:t>
      </w:r>
      <w:r>
        <w:rPr>
          <w:spacing w:val="-4"/>
          <w:sz w:val="13"/>
        </w:rPr>
        <w:t>núm.</w:t>
      </w:r>
      <w:r>
        <w:rPr>
          <w:spacing w:val="2"/>
          <w:sz w:val="13"/>
        </w:rPr>
        <w:t xml:space="preserve"> </w:t>
      </w:r>
      <w:r>
        <w:rPr>
          <w:spacing w:val="-4"/>
          <w:sz w:val="13"/>
        </w:rPr>
        <w:t>15</w:t>
      </w:r>
      <w:r>
        <w:rPr>
          <w:spacing w:val="2"/>
          <w:sz w:val="13"/>
        </w:rPr>
        <w:t xml:space="preserve"> </w:t>
      </w:r>
      <w:r>
        <w:rPr>
          <w:spacing w:val="-4"/>
          <w:sz w:val="13"/>
        </w:rPr>
        <w:t>(2013),</w:t>
      </w:r>
      <w:r>
        <w:rPr>
          <w:spacing w:val="4"/>
          <w:sz w:val="13"/>
        </w:rPr>
        <w:t xml:space="preserve"> </w:t>
      </w:r>
      <w:r>
        <w:rPr>
          <w:spacing w:val="-4"/>
          <w:sz w:val="13"/>
        </w:rPr>
        <w:t>párr.</w:t>
      </w:r>
      <w:r>
        <w:rPr>
          <w:spacing w:val="2"/>
          <w:sz w:val="13"/>
        </w:rPr>
        <w:t xml:space="preserve"> </w:t>
      </w:r>
      <w:r>
        <w:rPr>
          <w:spacing w:val="-4"/>
          <w:sz w:val="13"/>
        </w:rPr>
        <w:t>69;</w:t>
      </w:r>
      <w:r>
        <w:rPr>
          <w:spacing w:val="2"/>
          <w:sz w:val="13"/>
        </w:rPr>
        <w:t xml:space="preserve"> </w:t>
      </w:r>
      <w:r>
        <w:rPr>
          <w:spacing w:val="-4"/>
          <w:sz w:val="13"/>
        </w:rPr>
        <w:t>y</w:t>
      </w:r>
      <w:r>
        <w:rPr>
          <w:spacing w:val="2"/>
          <w:sz w:val="13"/>
        </w:rPr>
        <w:t xml:space="preserve"> </w:t>
      </w:r>
      <w:r>
        <w:rPr>
          <w:spacing w:val="-4"/>
          <w:sz w:val="13"/>
        </w:rPr>
        <w:t>A/HRC/32/44.</w:t>
      </w:r>
    </w:p>
    <w:p w14:paraId="24AC2703" w14:textId="77777777" w:rsidR="0014798C" w:rsidRDefault="004E1F0B">
      <w:pPr>
        <w:spacing w:before="128"/>
        <w:ind w:left="1111"/>
        <w:rPr>
          <w:sz w:val="12"/>
        </w:rPr>
      </w:pPr>
      <w:r>
        <w:rPr>
          <w:spacing w:val="-2"/>
          <w:sz w:val="12"/>
        </w:rPr>
        <w:t>1041</w:t>
      </w:r>
      <w:r>
        <w:rPr>
          <w:spacing w:val="2"/>
          <w:sz w:val="12"/>
        </w:rPr>
        <w:t xml:space="preserve"> </w:t>
      </w:r>
      <w:r>
        <w:rPr>
          <w:spacing w:val="-2"/>
          <w:sz w:val="12"/>
        </w:rPr>
        <w:t>Comité</w:t>
      </w:r>
      <w:r>
        <w:rPr>
          <w:spacing w:val="3"/>
          <w:sz w:val="12"/>
        </w:rPr>
        <w:t xml:space="preserve"> </w:t>
      </w:r>
      <w:r>
        <w:rPr>
          <w:spacing w:val="-2"/>
          <w:sz w:val="12"/>
        </w:rPr>
        <w:t>de</w:t>
      </w:r>
      <w:r>
        <w:rPr>
          <w:spacing w:val="3"/>
          <w:sz w:val="12"/>
        </w:rPr>
        <w:t xml:space="preserve"> </w:t>
      </w:r>
      <w:r>
        <w:rPr>
          <w:spacing w:val="-2"/>
          <w:sz w:val="12"/>
        </w:rPr>
        <w:t>Derechos</w:t>
      </w:r>
      <w:r>
        <w:rPr>
          <w:spacing w:val="3"/>
          <w:sz w:val="12"/>
        </w:rPr>
        <w:t xml:space="preserve"> </w:t>
      </w:r>
      <w:r>
        <w:rPr>
          <w:spacing w:val="-2"/>
          <w:sz w:val="12"/>
        </w:rPr>
        <w:t>Humanos,</w:t>
      </w:r>
      <w:r>
        <w:rPr>
          <w:spacing w:val="4"/>
          <w:sz w:val="12"/>
        </w:rPr>
        <w:t xml:space="preserve"> </w:t>
      </w:r>
      <w:r>
        <w:rPr>
          <w:spacing w:val="-2"/>
          <w:sz w:val="12"/>
        </w:rPr>
        <w:t>observación</w:t>
      </w:r>
      <w:r>
        <w:rPr>
          <w:spacing w:val="3"/>
          <w:sz w:val="12"/>
        </w:rPr>
        <w:t xml:space="preserve"> </w:t>
      </w:r>
      <w:r>
        <w:rPr>
          <w:spacing w:val="-2"/>
          <w:sz w:val="12"/>
        </w:rPr>
        <w:t>general</w:t>
      </w:r>
      <w:r>
        <w:rPr>
          <w:spacing w:val="3"/>
          <w:sz w:val="12"/>
        </w:rPr>
        <w:t xml:space="preserve"> </w:t>
      </w:r>
      <w:r>
        <w:rPr>
          <w:spacing w:val="-2"/>
          <w:sz w:val="12"/>
        </w:rPr>
        <w:t>núm.</w:t>
      </w:r>
      <w:r>
        <w:rPr>
          <w:spacing w:val="3"/>
          <w:sz w:val="12"/>
        </w:rPr>
        <w:t xml:space="preserve"> </w:t>
      </w:r>
      <w:r>
        <w:rPr>
          <w:spacing w:val="-2"/>
          <w:sz w:val="12"/>
        </w:rPr>
        <w:t>36</w:t>
      </w:r>
      <w:r>
        <w:rPr>
          <w:spacing w:val="2"/>
          <w:sz w:val="12"/>
        </w:rPr>
        <w:t xml:space="preserve"> </w:t>
      </w:r>
      <w:r>
        <w:rPr>
          <w:spacing w:val="-2"/>
          <w:sz w:val="12"/>
        </w:rPr>
        <w:t>(2019),</w:t>
      </w:r>
      <w:r>
        <w:rPr>
          <w:spacing w:val="4"/>
          <w:sz w:val="12"/>
        </w:rPr>
        <w:t xml:space="preserve"> </w:t>
      </w:r>
      <w:r>
        <w:rPr>
          <w:spacing w:val="-2"/>
          <w:sz w:val="12"/>
        </w:rPr>
        <w:t>párr.</w:t>
      </w:r>
      <w:r>
        <w:rPr>
          <w:spacing w:val="4"/>
          <w:sz w:val="12"/>
        </w:rPr>
        <w:t xml:space="preserve"> </w:t>
      </w:r>
      <w:r>
        <w:rPr>
          <w:spacing w:val="-5"/>
          <w:sz w:val="12"/>
        </w:rPr>
        <w:t>8.</w:t>
      </w:r>
    </w:p>
    <w:p w14:paraId="7B615BFA" w14:textId="77777777" w:rsidR="0014798C" w:rsidRDefault="004E1F0B">
      <w:pPr>
        <w:spacing w:before="99"/>
        <w:ind w:left="1111"/>
        <w:rPr>
          <w:sz w:val="12"/>
        </w:rPr>
      </w:pPr>
      <w:r>
        <w:rPr>
          <w:sz w:val="12"/>
        </w:rPr>
        <w:t>1042</w:t>
      </w:r>
      <w:r>
        <w:rPr>
          <w:spacing w:val="-7"/>
          <w:sz w:val="12"/>
        </w:rPr>
        <w:t xml:space="preserve"> </w:t>
      </w:r>
      <w:r>
        <w:rPr>
          <w:sz w:val="12"/>
        </w:rPr>
        <w:t>Sobre</w:t>
      </w:r>
      <w:r>
        <w:rPr>
          <w:spacing w:val="-7"/>
          <w:sz w:val="12"/>
        </w:rPr>
        <w:t xml:space="preserve"> </w:t>
      </w:r>
      <w:r>
        <w:rPr>
          <w:sz w:val="12"/>
        </w:rPr>
        <w:t>las</w:t>
      </w:r>
      <w:r>
        <w:rPr>
          <w:spacing w:val="-7"/>
          <w:sz w:val="12"/>
        </w:rPr>
        <w:t xml:space="preserve"> </w:t>
      </w:r>
      <w:r>
        <w:rPr>
          <w:sz w:val="12"/>
        </w:rPr>
        <w:t>obligaciones</w:t>
      </w:r>
      <w:r>
        <w:rPr>
          <w:spacing w:val="-6"/>
          <w:sz w:val="12"/>
        </w:rPr>
        <w:t xml:space="preserve"> </w:t>
      </w:r>
      <w:r>
        <w:rPr>
          <w:sz w:val="12"/>
        </w:rPr>
        <w:t>de</w:t>
      </w:r>
      <w:r>
        <w:rPr>
          <w:spacing w:val="-7"/>
          <w:sz w:val="12"/>
        </w:rPr>
        <w:t xml:space="preserve"> </w:t>
      </w:r>
      <w:r>
        <w:rPr>
          <w:sz w:val="12"/>
        </w:rPr>
        <w:t>derechos</w:t>
      </w:r>
      <w:r>
        <w:rPr>
          <w:spacing w:val="-7"/>
          <w:sz w:val="12"/>
        </w:rPr>
        <w:t xml:space="preserve"> </w:t>
      </w:r>
      <w:r>
        <w:rPr>
          <w:sz w:val="12"/>
        </w:rPr>
        <w:t>humanos</w:t>
      </w:r>
      <w:r>
        <w:rPr>
          <w:spacing w:val="-7"/>
          <w:sz w:val="12"/>
        </w:rPr>
        <w:t xml:space="preserve"> </w:t>
      </w:r>
      <w:r>
        <w:rPr>
          <w:sz w:val="12"/>
        </w:rPr>
        <w:t>de</w:t>
      </w:r>
      <w:r>
        <w:rPr>
          <w:spacing w:val="-6"/>
          <w:sz w:val="12"/>
        </w:rPr>
        <w:t xml:space="preserve"> </w:t>
      </w:r>
      <w:r>
        <w:rPr>
          <w:sz w:val="12"/>
        </w:rPr>
        <w:t>las</w:t>
      </w:r>
      <w:r>
        <w:rPr>
          <w:spacing w:val="-7"/>
          <w:sz w:val="12"/>
        </w:rPr>
        <w:t xml:space="preserve"> </w:t>
      </w:r>
      <w:r>
        <w:rPr>
          <w:sz w:val="12"/>
        </w:rPr>
        <w:t>empresas</w:t>
      </w:r>
      <w:r>
        <w:rPr>
          <w:spacing w:val="-7"/>
          <w:sz w:val="12"/>
        </w:rPr>
        <w:t xml:space="preserve"> </w:t>
      </w:r>
      <w:r>
        <w:rPr>
          <w:sz w:val="12"/>
        </w:rPr>
        <w:t>privadas</w:t>
      </w:r>
      <w:r>
        <w:rPr>
          <w:spacing w:val="-7"/>
          <w:sz w:val="12"/>
        </w:rPr>
        <w:t xml:space="preserve"> </w:t>
      </w:r>
      <w:r>
        <w:rPr>
          <w:sz w:val="12"/>
        </w:rPr>
        <w:t>que</w:t>
      </w:r>
      <w:r>
        <w:rPr>
          <w:spacing w:val="-6"/>
          <w:sz w:val="12"/>
        </w:rPr>
        <w:t xml:space="preserve"> </w:t>
      </w:r>
      <w:r>
        <w:rPr>
          <w:sz w:val="12"/>
        </w:rPr>
        <w:t>prestan</w:t>
      </w:r>
      <w:r>
        <w:rPr>
          <w:spacing w:val="-7"/>
          <w:sz w:val="12"/>
        </w:rPr>
        <w:t xml:space="preserve"> </w:t>
      </w:r>
      <w:r>
        <w:rPr>
          <w:sz w:val="12"/>
        </w:rPr>
        <w:t>servicios</w:t>
      </w:r>
      <w:r>
        <w:rPr>
          <w:spacing w:val="-7"/>
          <w:sz w:val="12"/>
        </w:rPr>
        <w:t xml:space="preserve"> </w:t>
      </w:r>
      <w:r>
        <w:rPr>
          <w:sz w:val="12"/>
        </w:rPr>
        <w:t>tradicionalmente</w:t>
      </w:r>
      <w:r>
        <w:rPr>
          <w:spacing w:val="-6"/>
          <w:sz w:val="12"/>
        </w:rPr>
        <w:t xml:space="preserve"> </w:t>
      </w:r>
      <w:r>
        <w:rPr>
          <w:sz w:val="12"/>
        </w:rPr>
        <w:t>proporcionados</w:t>
      </w:r>
      <w:r>
        <w:rPr>
          <w:spacing w:val="-7"/>
          <w:sz w:val="12"/>
        </w:rPr>
        <w:t xml:space="preserve"> </w:t>
      </w:r>
      <w:r>
        <w:rPr>
          <w:sz w:val="12"/>
        </w:rPr>
        <w:t>por</w:t>
      </w:r>
      <w:r>
        <w:rPr>
          <w:spacing w:val="-7"/>
          <w:sz w:val="12"/>
        </w:rPr>
        <w:t xml:space="preserve"> </w:t>
      </w:r>
      <w:r>
        <w:rPr>
          <w:sz w:val="12"/>
        </w:rPr>
        <w:t>el</w:t>
      </w:r>
      <w:r>
        <w:rPr>
          <w:spacing w:val="-7"/>
          <w:sz w:val="12"/>
        </w:rPr>
        <w:t xml:space="preserve"> </w:t>
      </w:r>
      <w:r>
        <w:rPr>
          <w:sz w:val="12"/>
        </w:rPr>
        <w:t>sector</w:t>
      </w:r>
      <w:r>
        <w:rPr>
          <w:spacing w:val="-6"/>
          <w:sz w:val="12"/>
        </w:rPr>
        <w:t xml:space="preserve"> </w:t>
      </w:r>
      <w:r>
        <w:rPr>
          <w:sz w:val="12"/>
        </w:rPr>
        <w:t>público,</w:t>
      </w:r>
      <w:r>
        <w:rPr>
          <w:spacing w:val="-6"/>
          <w:sz w:val="12"/>
        </w:rPr>
        <w:t xml:space="preserve"> </w:t>
      </w:r>
      <w:r>
        <w:rPr>
          <w:sz w:val="12"/>
        </w:rPr>
        <w:t>ver</w:t>
      </w:r>
      <w:r>
        <w:rPr>
          <w:spacing w:val="-7"/>
          <w:sz w:val="12"/>
        </w:rPr>
        <w:t xml:space="preserve"> </w:t>
      </w:r>
      <w:r>
        <w:rPr>
          <w:sz w:val="12"/>
        </w:rPr>
        <w:t>Comité</w:t>
      </w:r>
      <w:r>
        <w:rPr>
          <w:spacing w:val="-7"/>
          <w:sz w:val="12"/>
        </w:rPr>
        <w:t xml:space="preserve"> </w:t>
      </w:r>
      <w:r>
        <w:rPr>
          <w:spacing w:val="-5"/>
          <w:sz w:val="12"/>
        </w:rPr>
        <w:t>de</w:t>
      </w:r>
    </w:p>
    <w:p w14:paraId="6112875F" w14:textId="77777777" w:rsidR="0014798C" w:rsidRDefault="004E1F0B">
      <w:pPr>
        <w:ind w:left="1368"/>
        <w:rPr>
          <w:sz w:val="13"/>
        </w:rPr>
      </w:pPr>
      <w:r>
        <w:rPr>
          <w:spacing w:val="-2"/>
          <w:sz w:val="13"/>
        </w:rPr>
        <w:t>Derechos</w:t>
      </w:r>
      <w:r>
        <w:rPr>
          <w:spacing w:val="3"/>
          <w:sz w:val="13"/>
        </w:rPr>
        <w:t xml:space="preserve"> </w:t>
      </w:r>
      <w:r>
        <w:rPr>
          <w:spacing w:val="-2"/>
          <w:sz w:val="13"/>
        </w:rPr>
        <w:t>Económicos,</w:t>
      </w:r>
      <w:r>
        <w:rPr>
          <w:spacing w:val="5"/>
          <w:sz w:val="13"/>
        </w:rPr>
        <w:t xml:space="preserve"> </w:t>
      </w:r>
      <w:r>
        <w:rPr>
          <w:spacing w:val="-2"/>
          <w:sz w:val="13"/>
        </w:rPr>
        <w:t>Sociales</w:t>
      </w:r>
      <w:r>
        <w:rPr>
          <w:spacing w:val="4"/>
          <w:sz w:val="13"/>
        </w:rPr>
        <w:t xml:space="preserve"> </w:t>
      </w:r>
      <w:r>
        <w:rPr>
          <w:spacing w:val="-2"/>
          <w:sz w:val="13"/>
        </w:rPr>
        <w:t>y</w:t>
      </w:r>
      <w:r>
        <w:rPr>
          <w:spacing w:val="4"/>
          <w:sz w:val="13"/>
        </w:rPr>
        <w:t xml:space="preserve"> </w:t>
      </w:r>
      <w:r>
        <w:rPr>
          <w:spacing w:val="-2"/>
          <w:sz w:val="13"/>
        </w:rPr>
        <w:t>Culturales,</w:t>
      </w:r>
      <w:r>
        <w:rPr>
          <w:spacing w:val="5"/>
          <w:sz w:val="13"/>
        </w:rPr>
        <w:t xml:space="preserve"> </w:t>
      </w:r>
      <w:r>
        <w:rPr>
          <w:spacing w:val="-2"/>
          <w:sz w:val="13"/>
        </w:rPr>
        <w:t>observación</w:t>
      </w:r>
      <w:r>
        <w:rPr>
          <w:spacing w:val="3"/>
          <w:sz w:val="13"/>
        </w:rPr>
        <w:t xml:space="preserve"> </w:t>
      </w:r>
      <w:r>
        <w:rPr>
          <w:spacing w:val="-2"/>
          <w:sz w:val="13"/>
        </w:rPr>
        <w:t>general</w:t>
      </w:r>
      <w:r>
        <w:rPr>
          <w:spacing w:val="4"/>
          <w:sz w:val="13"/>
        </w:rPr>
        <w:t xml:space="preserve"> </w:t>
      </w:r>
      <w:r>
        <w:rPr>
          <w:spacing w:val="-2"/>
          <w:sz w:val="13"/>
        </w:rPr>
        <w:t>núm.</w:t>
      </w:r>
      <w:r>
        <w:rPr>
          <w:spacing w:val="4"/>
          <w:sz w:val="13"/>
        </w:rPr>
        <w:t xml:space="preserve"> </w:t>
      </w:r>
      <w:r>
        <w:rPr>
          <w:spacing w:val="-2"/>
          <w:sz w:val="13"/>
        </w:rPr>
        <w:t>24</w:t>
      </w:r>
      <w:r>
        <w:rPr>
          <w:spacing w:val="4"/>
          <w:sz w:val="13"/>
        </w:rPr>
        <w:t xml:space="preserve"> </w:t>
      </w:r>
      <w:r>
        <w:rPr>
          <w:spacing w:val="-2"/>
          <w:sz w:val="13"/>
        </w:rPr>
        <w:t>(2017),</w:t>
      </w:r>
      <w:r>
        <w:rPr>
          <w:spacing w:val="4"/>
          <w:sz w:val="13"/>
        </w:rPr>
        <w:t xml:space="preserve"> </w:t>
      </w:r>
      <w:r>
        <w:rPr>
          <w:spacing w:val="-2"/>
          <w:sz w:val="13"/>
        </w:rPr>
        <w:t>párr.</w:t>
      </w:r>
      <w:r>
        <w:rPr>
          <w:spacing w:val="4"/>
          <w:sz w:val="13"/>
        </w:rPr>
        <w:t xml:space="preserve"> </w:t>
      </w:r>
      <w:r>
        <w:rPr>
          <w:spacing w:val="-5"/>
          <w:sz w:val="13"/>
        </w:rPr>
        <w:t>21.</w:t>
      </w:r>
    </w:p>
    <w:p w14:paraId="1EE0239A" w14:textId="77777777" w:rsidR="0014798C" w:rsidRDefault="004E1F0B">
      <w:pPr>
        <w:spacing w:before="87" w:line="288" w:lineRule="auto"/>
        <w:ind w:left="1368" w:right="1479" w:hanging="257"/>
        <w:rPr>
          <w:sz w:val="13"/>
        </w:rPr>
      </w:pPr>
      <w:r>
        <w:rPr>
          <w:sz w:val="13"/>
          <w:vertAlign w:val="superscript"/>
        </w:rPr>
        <w:t>1043</w:t>
      </w:r>
      <w:r>
        <w:rPr>
          <w:spacing w:val="25"/>
          <w:sz w:val="13"/>
        </w:rPr>
        <w:t xml:space="preserve"> </w:t>
      </w:r>
      <w:r>
        <w:rPr>
          <w:sz w:val="13"/>
        </w:rPr>
        <w:t>A/HRC/43/48,</w:t>
      </w:r>
      <w:r>
        <w:rPr>
          <w:spacing w:val="-4"/>
          <w:sz w:val="13"/>
        </w:rPr>
        <w:t xml:space="preserve"> </w:t>
      </w:r>
      <w:proofErr w:type="spellStart"/>
      <w:r>
        <w:rPr>
          <w:sz w:val="13"/>
        </w:rPr>
        <w:t>párrs</w:t>
      </w:r>
      <w:proofErr w:type="spellEnd"/>
      <w:r>
        <w:rPr>
          <w:sz w:val="13"/>
        </w:rPr>
        <w:t>.</w:t>
      </w:r>
      <w:r>
        <w:rPr>
          <w:spacing w:val="-3"/>
          <w:sz w:val="13"/>
        </w:rPr>
        <w:t xml:space="preserve"> </w:t>
      </w:r>
      <w:r>
        <w:rPr>
          <w:sz w:val="13"/>
        </w:rPr>
        <w:t>43–44.</w:t>
      </w:r>
      <w:r>
        <w:rPr>
          <w:spacing w:val="-4"/>
          <w:sz w:val="13"/>
        </w:rPr>
        <w:t xml:space="preserve"> </w:t>
      </w:r>
      <w:r>
        <w:rPr>
          <w:sz w:val="13"/>
        </w:rPr>
        <w:t>ACNUDH</w:t>
      </w:r>
      <w:r>
        <w:rPr>
          <w:spacing w:val="-4"/>
          <w:sz w:val="13"/>
        </w:rPr>
        <w:t xml:space="preserve"> </w:t>
      </w:r>
      <w:r>
        <w:rPr>
          <w:sz w:val="13"/>
        </w:rPr>
        <w:t>ha</w:t>
      </w:r>
      <w:r>
        <w:rPr>
          <w:spacing w:val="-4"/>
          <w:sz w:val="13"/>
        </w:rPr>
        <w:t xml:space="preserve"> </w:t>
      </w:r>
      <w:r>
        <w:rPr>
          <w:sz w:val="13"/>
        </w:rPr>
        <w:t>señalado</w:t>
      </w:r>
      <w:r>
        <w:rPr>
          <w:spacing w:val="-4"/>
          <w:sz w:val="13"/>
        </w:rPr>
        <w:t xml:space="preserve"> </w:t>
      </w:r>
      <w:r>
        <w:rPr>
          <w:sz w:val="13"/>
        </w:rPr>
        <w:t>que:</w:t>
      </w:r>
      <w:r>
        <w:rPr>
          <w:spacing w:val="-4"/>
          <w:sz w:val="13"/>
        </w:rPr>
        <w:t xml:space="preserve"> </w:t>
      </w:r>
      <w:r>
        <w:rPr>
          <w:sz w:val="13"/>
        </w:rPr>
        <w:t>“Los</w:t>
      </w:r>
      <w:r>
        <w:rPr>
          <w:spacing w:val="-4"/>
          <w:sz w:val="13"/>
        </w:rPr>
        <w:t xml:space="preserve"> </w:t>
      </w:r>
      <w:r>
        <w:rPr>
          <w:sz w:val="13"/>
        </w:rPr>
        <w:t>Estados</w:t>
      </w:r>
      <w:r>
        <w:rPr>
          <w:spacing w:val="-4"/>
          <w:sz w:val="13"/>
        </w:rPr>
        <w:t xml:space="preserve"> </w:t>
      </w:r>
      <w:r>
        <w:rPr>
          <w:sz w:val="13"/>
        </w:rPr>
        <w:t>deben</w:t>
      </w:r>
      <w:r>
        <w:rPr>
          <w:spacing w:val="-4"/>
          <w:sz w:val="13"/>
        </w:rPr>
        <w:t xml:space="preserve"> </w:t>
      </w:r>
      <w:r>
        <w:rPr>
          <w:sz w:val="13"/>
        </w:rPr>
        <w:t>organizar</w:t>
      </w:r>
      <w:r>
        <w:rPr>
          <w:spacing w:val="-4"/>
          <w:sz w:val="13"/>
        </w:rPr>
        <w:t xml:space="preserve"> </w:t>
      </w:r>
      <w:r>
        <w:rPr>
          <w:sz w:val="13"/>
        </w:rPr>
        <w:t>su</w:t>
      </w:r>
      <w:r>
        <w:rPr>
          <w:spacing w:val="-4"/>
          <w:sz w:val="13"/>
        </w:rPr>
        <w:t xml:space="preserve"> </w:t>
      </w:r>
      <w:r>
        <w:rPr>
          <w:sz w:val="13"/>
        </w:rPr>
        <w:t>sistema</w:t>
      </w:r>
      <w:r>
        <w:rPr>
          <w:spacing w:val="-4"/>
          <w:sz w:val="13"/>
        </w:rPr>
        <w:t xml:space="preserve"> </w:t>
      </w:r>
      <w:r>
        <w:rPr>
          <w:sz w:val="13"/>
        </w:rPr>
        <w:t>de</w:t>
      </w:r>
      <w:r>
        <w:rPr>
          <w:spacing w:val="-4"/>
          <w:sz w:val="13"/>
        </w:rPr>
        <w:t xml:space="preserve"> </w:t>
      </w:r>
      <w:r>
        <w:rPr>
          <w:sz w:val="13"/>
        </w:rPr>
        <w:t>salud</w:t>
      </w:r>
      <w:r>
        <w:rPr>
          <w:spacing w:val="-4"/>
          <w:sz w:val="13"/>
        </w:rPr>
        <w:t xml:space="preserve"> </w:t>
      </w:r>
      <w:r>
        <w:rPr>
          <w:sz w:val="13"/>
        </w:rPr>
        <w:t>para</w:t>
      </w:r>
      <w:r>
        <w:rPr>
          <w:spacing w:val="-4"/>
          <w:sz w:val="13"/>
        </w:rPr>
        <w:t xml:space="preserve"> </w:t>
      </w:r>
      <w:r>
        <w:rPr>
          <w:sz w:val="13"/>
        </w:rPr>
        <w:t>garantizar</w:t>
      </w:r>
      <w:r>
        <w:rPr>
          <w:spacing w:val="-4"/>
          <w:sz w:val="13"/>
        </w:rPr>
        <w:t xml:space="preserve"> </w:t>
      </w:r>
      <w:r>
        <w:rPr>
          <w:sz w:val="13"/>
        </w:rPr>
        <w:t>que</w:t>
      </w:r>
      <w:r>
        <w:rPr>
          <w:spacing w:val="-4"/>
          <w:sz w:val="13"/>
        </w:rPr>
        <w:t xml:space="preserve"> </w:t>
      </w:r>
      <w:r>
        <w:rPr>
          <w:sz w:val="13"/>
        </w:rPr>
        <w:t>el</w:t>
      </w:r>
      <w:r>
        <w:rPr>
          <w:spacing w:val="-4"/>
          <w:sz w:val="13"/>
        </w:rPr>
        <w:t xml:space="preserve"> </w:t>
      </w:r>
      <w:r>
        <w:rPr>
          <w:sz w:val="13"/>
        </w:rPr>
        <w:t>ejercicio</w:t>
      </w:r>
      <w:r>
        <w:rPr>
          <w:spacing w:val="-4"/>
          <w:sz w:val="13"/>
        </w:rPr>
        <w:t xml:space="preserve"> </w:t>
      </w:r>
      <w:r>
        <w:rPr>
          <w:sz w:val="13"/>
        </w:rPr>
        <w:t>de</w:t>
      </w:r>
      <w:r>
        <w:rPr>
          <w:spacing w:val="-4"/>
          <w:sz w:val="13"/>
        </w:rPr>
        <w:t xml:space="preserve"> </w:t>
      </w:r>
      <w:r>
        <w:rPr>
          <w:sz w:val="13"/>
        </w:rPr>
        <w:t>la</w:t>
      </w:r>
      <w:r>
        <w:rPr>
          <w:spacing w:val="-4"/>
          <w:sz w:val="13"/>
        </w:rPr>
        <w:t xml:space="preserve"> </w:t>
      </w:r>
      <w:r>
        <w:rPr>
          <w:sz w:val="13"/>
        </w:rPr>
        <w:t>objeción</w:t>
      </w:r>
      <w:r>
        <w:rPr>
          <w:spacing w:val="40"/>
          <w:sz w:val="13"/>
        </w:rPr>
        <w:t xml:space="preserve"> </w:t>
      </w:r>
      <w:r>
        <w:rPr>
          <w:sz w:val="13"/>
        </w:rPr>
        <w:t>de</w:t>
      </w:r>
      <w:r>
        <w:rPr>
          <w:spacing w:val="-1"/>
          <w:sz w:val="13"/>
        </w:rPr>
        <w:t xml:space="preserve"> </w:t>
      </w:r>
      <w:r>
        <w:rPr>
          <w:sz w:val="13"/>
        </w:rPr>
        <w:t>conciencia</w:t>
      </w:r>
      <w:r>
        <w:rPr>
          <w:spacing w:val="-1"/>
          <w:sz w:val="13"/>
        </w:rPr>
        <w:t xml:space="preserve"> </w:t>
      </w:r>
      <w:r>
        <w:rPr>
          <w:sz w:val="13"/>
        </w:rPr>
        <w:t>por</w:t>
      </w:r>
      <w:r>
        <w:rPr>
          <w:spacing w:val="-1"/>
          <w:sz w:val="13"/>
        </w:rPr>
        <w:t xml:space="preserve"> </w:t>
      </w:r>
      <w:r>
        <w:rPr>
          <w:sz w:val="13"/>
        </w:rPr>
        <w:t>parte</w:t>
      </w:r>
      <w:r>
        <w:rPr>
          <w:spacing w:val="-1"/>
          <w:sz w:val="13"/>
        </w:rPr>
        <w:t xml:space="preserve"> </w:t>
      </w:r>
      <w:r>
        <w:rPr>
          <w:sz w:val="13"/>
        </w:rPr>
        <w:t>de</w:t>
      </w:r>
      <w:r>
        <w:rPr>
          <w:spacing w:val="-1"/>
          <w:sz w:val="13"/>
        </w:rPr>
        <w:t xml:space="preserve"> </w:t>
      </w:r>
      <w:r>
        <w:rPr>
          <w:sz w:val="13"/>
        </w:rPr>
        <w:t>los</w:t>
      </w:r>
      <w:r>
        <w:rPr>
          <w:spacing w:val="-1"/>
          <w:sz w:val="13"/>
        </w:rPr>
        <w:t xml:space="preserve"> </w:t>
      </w:r>
      <w:r>
        <w:rPr>
          <w:sz w:val="13"/>
        </w:rPr>
        <w:t>profesionales</w:t>
      </w:r>
      <w:r>
        <w:rPr>
          <w:spacing w:val="-1"/>
          <w:sz w:val="13"/>
        </w:rPr>
        <w:t xml:space="preserve"> </w:t>
      </w:r>
      <w:r>
        <w:rPr>
          <w:sz w:val="13"/>
        </w:rPr>
        <w:t>de</w:t>
      </w:r>
      <w:r>
        <w:rPr>
          <w:spacing w:val="-1"/>
          <w:sz w:val="13"/>
        </w:rPr>
        <w:t xml:space="preserve"> </w:t>
      </w:r>
      <w:r>
        <w:rPr>
          <w:sz w:val="13"/>
        </w:rPr>
        <w:t>la</w:t>
      </w:r>
      <w:r>
        <w:rPr>
          <w:spacing w:val="-1"/>
          <w:sz w:val="13"/>
        </w:rPr>
        <w:t xml:space="preserve"> </w:t>
      </w:r>
      <w:r>
        <w:rPr>
          <w:sz w:val="13"/>
        </w:rPr>
        <w:t>salud</w:t>
      </w:r>
      <w:r>
        <w:rPr>
          <w:spacing w:val="-1"/>
          <w:sz w:val="13"/>
        </w:rPr>
        <w:t xml:space="preserve"> </w:t>
      </w:r>
      <w:r>
        <w:rPr>
          <w:sz w:val="13"/>
        </w:rPr>
        <w:t>no</w:t>
      </w:r>
      <w:r>
        <w:rPr>
          <w:spacing w:val="-1"/>
          <w:sz w:val="13"/>
        </w:rPr>
        <w:t xml:space="preserve"> </w:t>
      </w:r>
      <w:r>
        <w:rPr>
          <w:sz w:val="13"/>
        </w:rPr>
        <w:t>impida</w:t>
      </w:r>
      <w:r>
        <w:rPr>
          <w:spacing w:val="-1"/>
          <w:sz w:val="13"/>
        </w:rPr>
        <w:t xml:space="preserve"> </w:t>
      </w:r>
      <w:r>
        <w:rPr>
          <w:sz w:val="13"/>
        </w:rPr>
        <w:t>a</w:t>
      </w:r>
      <w:r>
        <w:rPr>
          <w:spacing w:val="-1"/>
          <w:sz w:val="13"/>
        </w:rPr>
        <w:t xml:space="preserve"> </w:t>
      </w:r>
      <w:r>
        <w:rPr>
          <w:sz w:val="13"/>
        </w:rPr>
        <w:t>las</w:t>
      </w:r>
      <w:r>
        <w:rPr>
          <w:spacing w:val="-1"/>
          <w:sz w:val="13"/>
        </w:rPr>
        <w:t xml:space="preserve"> </w:t>
      </w:r>
      <w:r>
        <w:rPr>
          <w:sz w:val="13"/>
        </w:rPr>
        <w:t>mujeres</w:t>
      </w:r>
      <w:r>
        <w:rPr>
          <w:spacing w:val="-1"/>
          <w:sz w:val="13"/>
        </w:rPr>
        <w:t xml:space="preserve"> </w:t>
      </w:r>
      <w:r>
        <w:rPr>
          <w:sz w:val="13"/>
        </w:rPr>
        <w:t>acceder</w:t>
      </w:r>
      <w:r>
        <w:rPr>
          <w:spacing w:val="-1"/>
          <w:sz w:val="13"/>
        </w:rPr>
        <w:t xml:space="preserve"> </w:t>
      </w:r>
      <w:r>
        <w:rPr>
          <w:sz w:val="13"/>
        </w:rPr>
        <w:t>a</w:t>
      </w:r>
      <w:r>
        <w:rPr>
          <w:spacing w:val="-1"/>
          <w:sz w:val="13"/>
        </w:rPr>
        <w:t xml:space="preserve"> </w:t>
      </w:r>
      <w:r>
        <w:rPr>
          <w:sz w:val="13"/>
        </w:rPr>
        <w:t>los</w:t>
      </w:r>
      <w:r>
        <w:rPr>
          <w:spacing w:val="-1"/>
          <w:sz w:val="13"/>
        </w:rPr>
        <w:t xml:space="preserve"> </w:t>
      </w:r>
      <w:r>
        <w:rPr>
          <w:sz w:val="13"/>
        </w:rPr>
        <w:t>servicios</w:t>
      </w:r>
      <w:r>
        <w:rPr>
          <w:spacing w:val="-1"/>
          <w:sz w:val="13"/>
        </w:rPr>
        <w:t xml:space="preserve"> </w:t>
      </w:r>
      <w:r>
        <w:rPr>
          <w:sz w:val="13"/>
        </w:rPr>
        <w:t>de</w:t>
      </w:r>
      <w:r>
        <w:rPr>
          <w:spacing w:val="-1"/>
          <w:sz w:val="13"/>
        </w:rPr>
        <w:t xml:space="preserve"> </w:t>
      </w:r>
      <w:r>
        <w:rPr>
          <w:sz w:val="13"/>
        </w:rPr>
        <w:t>salud”. Véase</w:t>
      </w:r>
      <w:r>
        <w:rPr>
          <w:spacing w:val="-1"/>
          <w:sz w:val="13"/>
        </w:rPr>
        <w:t xml:space="preserve"> </w:t>
      </w:r>
      <w:r>
        <w:rPr>
          <w:sz w:val="13"/>
        </w:rPr>
        <w:t>ACNUDH,</w:t>
      </w:r>
      <w:r>
        <w:rPr>
          <w:spacing w:val="-1"/>
          <w:sz w:val="13"/>
        </w:rPr>
        <w:t xml:space="preserve"> </w:t>
      </w:r>
      <w:r>
        <w:rPr>
          <w:sz w:val="13"/>
        </w:rPr>
        <w:t>“Serie</w:t>
      </w:r>
      <w:r>
        <w:rPr>
          <w:spacing w:val="-1"/>
          <w:sz w:val="13"/>
        </w:rPr>
        <w:t xml:space="preserve"> </w:t>
      </w:r>
      <w:r>
        <w:rPr>
          <w:sz w:val="13"/>
        </w:rPr>
        <w:t>informativa</w:t>
      </w:r>
      <w:r>
        <w:rPr>
          <w:spacing w:val="40"/>
          <w:sz w:val="13"/>
        </w:rPr>
        <w:t xml:space="preserve"> </w:t>
      </w:r>
      <w:r>
        <w:rPr>
          <w:sz w:val="13"/>
        </w:rPr>
        <w:t>sobre</w:t>
      </w:r>
      <w:r>
        <w:rPr>
          <w:spacing w:val="-4"/>
          <w:sz w:val="13"/>
        </w:rPr>
        <w:t xml:space="preserve"> </w:t>
      </w:r>
      <w:r>
        <w:rPr>
          <w:sz w:val="13"/>
        </w:rPr>
        <w:t>salud</w:t>
      </w:r>
      <w:r>
        <w:rPr>
          <w:spacing w:val="-4"/>
          <w:sz w:val="13"/>
        </w:rPr>
        <w:t xml:space="preserve"> </w:t>
      </w:r>
      <w:r>
        <w:rPr>
          <w:sz w:val="13"/>
        </w:rPr>
        <w:t>y</w:t>
      </w:r>
      <w:r>
        <w:rPr>
          <w:spacing w:val="-4"/>
          <w:sz w:val="13"/>
        </w:rPr>
        <w:t xml:space="preserve"> </w:t>
      </w:r>
      <w:r>
        <w:rPr>
          <w:sz w:val="13"/>
        </w:rPr>
        <w:t>derechos</w:t>
      </w:r>
      <w:r>
        <w:rPr>
          <w:spacing w:val="-4"/>
          <w:sz w:val="13"/>
        </w:rPr>
        <w:t xml:space="preserve"> </w:t>
      </w:r>
      <w:r>
        <w:rPr>
          <w:sz w:val="13"/>
        </w:rPr>
        <w:t>sexuales</w:t>
      </w:r>
      <w:r>
        <w:rPr>
          <w:spacing w:val="-4"/>
          <w:sz w:val="13"/>
        </w:rPr>
        <w:t xml:space="preserve"> </w:t>
      </w:r>
      <w:r>
        <w:rPr>
          <w:sz w:val="13"/>
        </w:rPr>
        <w:t>y</w:t>
      </w:r>
      <w:r>
        <w:rPr>
          <w:spacing w:val="-4"/>
          <w:sz w:val="13"/>
        </w:rPr>
        <w:t xml:space="preserve"> </w:t>
      </w:r>
      <w:r>
        <w:rPr>
          <w:sz w:val="13"/>
        </w:rPr>
        <w:t>reproductivos:</w:t>
      </w:r>
      <w:r>
        <w:rPr>
          <w:spacing w:val="-3"/>
          <w:sz w:val="13"/>
        </w:rPr>
        <w:t xml:space="preserve"> </w:t>
      </w:r>
      <w:r>
        <w:rPr>
          <w:sz w:val="13"/>
        </w:rPr>
        <w:t>aborto”</w:t>
      </w:r>
      <w:r>
        <w:rPr>
          <w:spacing w:val="-4"/>
          <w:sz w:val="13"/>
        </w:rPr>
        <w:t xml:space="preserve"> </w:t>
      </w:r>
      <w:r>
        <w:rPr>
          <w:sz w:val="13"/>
        </w:rPr>
        <w:t>(2020).</w:t>
      </w:r>
      <w:r>
        <w:rPr>
          <w:spacing w:val="-3"/>
          <w:sz w:val="13"/>
        </w:rPr>
        <w:t xml:space="preserve"> </w:t>
      </w:r>
      <w:r>
        <w:rPr>
          <w:sz w:val="13"/>
        </w:rPr>
        <w:t>Disponible</w:t>
      </w:r>
      <w:r>
        <w:rPr>
          <w:spacing w:val="-4"/>
          <w:sz w:val="13"/>
        </w:rPr>
        <w:t xml:space="preserve"> </w:t>
      </w:r>
      <w:r>
        <w:rPr>
          <w:sz w:val="13"/>
        </w:rPr>
        <w:t>en</w:t>
      </w:r>
      <w:r>
        <w:rPr>
          <w:spacing w:val="-4"/>
          <w:sz w:val="13"/>
        </w:rPr>
        <w:t xml:space="preserve"> </w:t>
      </w:r>
      <w:hyperlink r:id="rId289">
        <w:r>
          <w:rPr>
            <w:color w:val="0075BF"/>
            <w:sz w:val="13"/>
          </w:rPr>
          <w:t>www.ohchr.org/sites/default/files/Documents/Issues/Women/WRGS/</w:t>
        </w:r>
      </w:hyperlink>
      <w:r>
        <w:rPr>
          <w:color w:val="0075BF"/>
          <w:spacing w:val="40"/>
          <w:sz w:val="13"/>
        </w:rPr>
        <w:t xml:space="preserve"> </w:t>
      </w:r>
      <w:proofErr w:type="spellStart"/>
      <w:r>
        <w:rPr>
          <w:color w:val="0075BF"/>
          <w:spacing w:val="-2"/>
          <w:sz w:val="13"/>
        </w:rPr>
        <w:t>SaludSexual</w:t>
      </w:r>
      <w:proofErr w:type="spellEnd"/>
      <w:r>
        <w:rPr>
          <w:color w:val="0075BF"/>
          <w:spacing w:val="-2"/>
          <w:sz w:val="13"/>
        </w:rPr>
        <w:t>/INFO_Abortion_WEB.pdf.</w:t>
      </w:r>
    </w:p>
    <w:p w14:paraId="17C2877D" w14:textId="77777777" w:rsidR="0014798C" w:rsidRDefault="0014798C">
      <w:pPr>
        <w:pStyle w:val="Textoindependiente"/>
        <w:rPr>
          <w:sz w:val="17"/>
        </w:rPr>
      </w:pPr>
    </w:p>
    <w:p w14:paraId="1CD49743" w14:textId="77777777" w:rsidR="0014798C" w:rsidRDefault="0014798C">
      <w:pPr>
        <w:pStyle w:val="Textoindependiente"/>
        <w:rPr>
          <w:sz w:val="17"/>
        </w:rPr>
      </w:pPr>
    </w:p>
    <w:p w14:paraId="22BB9871" w14:textId="77777777" w:rsidR="0014798C" w:rsidRDefault="0014798C">
      <w:pPr>
        <w:pStyle w:val="Textoindependiente"/>
        <w:spacing w:before="37"/>
        <w:rPr>
          <w:sz w:val="17"/>
        </w:rPr>
      </w:pPr>
    </w:p>
    <w:p w14:paraId="11D3FC3F" w14:textId="77777777" w:rsidR="0014798C" w:rsidRDefault="004E1F0B">
      <w:pPr>
        <w:ind w:right="716"/>
        <w:jc w:val="right"/>
        <w:rPr>
          <w:sz w:val="17"/>
        </w:rPr>
      </w:pPr>
      <w:r>
        <w:rPr>
          <w:spacing w:val="-5"/>
          <w:sz w:val="17"/>
        </w:rPr>
        <w:t>151</w:t>
      </w:r>
    </w:p>
    <w:p w14:paraId="0C80C486" w14:textId="77777777" w:rsidR="0014798C" w:rsidRDefault="0014798C">
      <w:pPr>
        <w:jc w:val="right"/>
        <w:rPr>
          <w:sz w:val="17"/>
        </w:rPr>
        <w:sectPr w:rsidR="0014798C" w:rsidSect="00F265E4">
          <w:pgSz w:w="11900" w:h="16820"/>
          <w:pgMar w:top="340" w:right="0" w:bottom="280" w:left="200" w:header="121" w:footer="0" w:gutter="0"/>
          <w:cols w:space="720"/>
        </w:sectPr>
      </w:pPr>
    </w:p>
    <w:p w14:paraId="42FFEEAB" w14:textId="77777777" w:rsidR="0014798C" w:rsidRDefault="0014798C">
      <w:pPr>
        <w:pStyle w:val="Textoindependiente"/>
        <w:spacing w:before="85"/>
        <w:rPr>
          <w:sz w:val="12"/>
        </w:rPr>
      </w:pPr>
    </w:p>
    <w:p w14:paraId="6F73F37B" w14:textId="77777777" w:rsidR="0014798C" w:rsidRDefault="004E1F0B">
      <w:pPr>
        <w:ind w:left="1111"/>
        <w:rPr>
          <w:sz w:val="12"/>
        </w:rPr>
      </w:pPr>
      <w:r>
        <w:rPr>
          <w:color w:val="803108"/>
          <w:sz w:val="12"/>
        </w:rPr>
        <w:t>PROTECCIÓN</w:t>
      </w:r>
      <w:r>
        <w:rPr>
          <w:color w:val="803108"/>
          <w:spacing w:val="6"/>
          <w:sz w:val="12"/>
        </w:rPr>
        <w:t xml:space="preserve"> </w:t>
      </w:r>
      <w:r>
        <w:rPr>
          <w:color w:val="803108"/>
          <w:sz w:val="12"/>
        </w:rPr>
        <w:t>DE</w:t>
      </w:r>
      <w:r>
        <w:rPr>
          <w:color w:val="803108"/>
          <w:spacing w:val="7"/>
          <w:sz w:val="12"/>
        </w:rPr>
        <w:t xml:space="preserve"> </w:t>
      </w:r>
      <w:r>
        <w:rPr>
          <w:color w:val="803108"/>
          <w:sz w:val="12"/>
        </w:rPr>
        <w:t>LOS</w:t>
      </w:r>
      <w:r>
        <w:rPr>
          <w:color w:val="803108"/>
          <w:spacing w:val="8"/>
          <w:sz w:val="12"/>
        </w:rPr>
        <w:t xml:space="preserve"> </w:t>
      </w:r>
      <w:r>
        <w:rPr>
          <w:color w:val="803108"/>
          <w:sz w:val="12"/>
        </w:rPr>
        <w:t>DERECHOS</w:t>
      </w:r>
      <w:r>
        <w:rPr>
          <w:color w:val="803108"/>
          <w:spacing w:val="8"/>
          <w:sz w:val="12"/>
        </w:rPr>
        <w:t xml:space="preserve"> </w:t>
      </w:r>
      <w:r>
        <w:rPr>
          <w:color w:val="803108"/>
          <w:sz w:val="12"/>
        </w:rPr>
        <w:t>DE</w:t>
      </w:r>
      <w:r>
        <w:rPr>
          <w:color w:val="803108"/>
          <w:spacing w:val="6"/>
          <w:sz w:val="12"/>
        </w:rPr>
        <w:t xml:space="preserve"> </w:t>
      </w:r>
      <w:r>
        <w:rPr>
          <w:color w:val="803108"/>
          <w:sz w:val="12"/>
        </w:rPr>
        <w:t>LAS</w:t>
      </w:r>
      <w:r>
        <w:rPr>
          <w:color w:val="803108"/>
          <w:spacing w:val="7"/>
          <w:sz w:val="12"/>
        </w:rPr>
        <w:t xml:space="preserve"> </w:t>
      </w:r>
      <w:r>
        <w:rPr>
          <w:color w:val="803108"/>
          <w:sz w:val="12"/>
        </w:rPr>
        <w:t>MINORÍAS:</w:t>
      </w:r>
      <w:r>
        <w:rPr>
          <w:color w:val="803108"/>
          <w:spacing w:val="8"/>
          <w:sz w:val="12"/>
        </w:rPr>
        <w:t xml:space="preserve"> </w:t>
      </w:r>
      <w:r>
        <w:rPr>
          <w:color w:val="803108"/>
          <w:sz w:val="12"/>
        </w:rPr>
        <w:t>una</w:t>
      </w:r>
      <w:r>
        <w:rPr>
          <w:color w:val="803108"/>
          <w:spacing w:val="7"/>
          <w:sz w:val="12"/>
        </w:rPr>
        <w:t xml:space="preserve"> </w:t>
      </w:r>
      <w:r>
        <w:rPr>
          <w:color w:val="803108"/>
          <w:sz w:val="12"/>
        </w:rPr>
        <w:t>guía</w:t>
      </w:r>
      <w:r>
        <w:rPr>
          <w:color w:val="803108"/>
          <w:spacing w:val="6"/>
          <w:sz w:val="12"/>
        </w:rPr>
        <w:t xml:space="preserve"> </w:t>
      </w:r>
      <w:r>
        <w:rPr>
          <w:color w:val="803108"/>
          <w:sz w:val="12"/>
        </w:rPr>
        <w:t>práctica</w:t>
      </w:r>
      <w:r>
        <w:rPr>
          <w:color w:val="803108"/>
          <w:spacing w:val="7"/>
          <w:sz w:val="12"/>
        </w:rPr>
        <w:t xml:space="preserve"> </w:t>
      </w:r>
      <w:r>
        <w:rPr>
          <w:color w:val="803108"/>
          <w:sz w:val="12"/>
        </w:rPr>
        <w:t>para</w:t>
      </w:r>
      <w:r>
        <w:rPr>
          <w:color w:val="803108"/>
          <w:spacing w:val="8"/>
          <w:sz w:val="12"/>
        </w:rPr>
        <w:t xml:space="preserve"> </w:t>
      </w:r>
      <w:r>
        <w:rPr>
          <w:color w:val="803108"/>
          <w:sz w:val="12"/>
        </w:rPr>
        <w:t>desarrollar</w:t>
      </w:r>
      <w:r>
        <w:rPr>
          <w:color w:val="803108"/>
          <w:spacing w:val="6"/>
          <w:sz w:val="12"/>
        </w:rPr>
        <w:t xml:space="preserve"> </w:t>
      </w:r>
      <w:r>
        <w:rPr>
          <w:color w:val="803108"/>
          <w:sz w:val="12"/>
        </w:rPr>
        <w:t>una</w:t>
      </w:r>
      <w:r>
        <w:rPr>
          <w:color w:val="803108"/>
          <w:spacing w:val="7"/>
          <w:sz w:val="12"/>
        </w:rPr>
        <w:t xml:space="preserve"> </w:t>
      </w:r>
      <w:r>
        <w:rPr>
          <w:color w:val="803108"/>
          <w:sz w:val="12"/>
        </w:rPr>
        <w:t>legislación</w:t>
      </w:r>
      <w:r>
        <w:rPr>
          <w:color w:val="803108"/>
          <w:spacing w:val="8"/>
          <w:sz w:val="12"/>
        </w:rPr>
        <w:t xml:space="preserve"> </w:t>
      </w:r>
      <w:r>
        <w:rPr>
          <w:color w:val="803108"/>
          <w:sz w:val="12"/>
        </w:rPr>
        <w:t>integral</w:t>
      </w:r>
      <w:r>
        <w:rPr>
          <w:color w:val="803108"/>
          <w:spacing w:val="7"/>
          <w:sz w:val="12"/>
        </w:rPr>
        <w:t xml:space="preserve"> </w:t>
      </w:r>
      <w:r>
        <w:rPr>
          <w:color w:val="803108"/>
          <w:sz w:val="12"/>
        </w:rPr>
        <w:t>contra</w:t>
      </w:r>
      <w:r>
        <w:rPr>
          <w:color w:val="803108"/>
          <w:spacing w:val="6"/>
          <w:sz w:val="12"/>
        </w:rPr>
        <w:t xml:space="preserve"> </w:t>
      </w:r>
      <w:r>
        <w:rPr>
          <w:color w:val="803108"/>
          <w:sz w:val="12"/>
        </w:rPr>
        <w:t>la</w:t>
      </w:r>
      <w:r>
        <w:rPr>
          <w:color w:val="803108"/>
          <w:spacing w:val="7"/>
          <w:sz w:val="12"/>
        </w:rPr>
        <w:t xml:space="preserve"> </w:t>
      </w:r>
      <w:r>
        <w:rPr>
          <w:color w:val="803108"/>
          <w:spacing w:val="-2"/>
          <w:sz w:val="12"/>
        </w:rPr>
        <w:t>discriminación</w:t>
      </w:r>
    </w:p>
    <w:p w14:paraId="4E509BF6" w14:textId="77777777" w:rsidR="0014798C" w:rsidRDefault="0014798C">
      <w:pPr>
        <w:pStyle w:val="Textoindependiente"/>
      </w:pPr>
    </w:p>
    <w:p w14:paraId="057C03F6" w14:textId="77777777" w:rsidR="0014798C" w:rsidRDefault="0014798C">
      <w:pPr>
        <w:pStyle w:val="Textoindependiente"/>
      </w:pPr>
    </w:p>
    <w:p w14:paraId="01B0B4CF" w14:textId="77777777" w:rsidR="0014798C" w:rsidRDefault="0014798C">
      <w:pPr>
        <w:pStyle w:val="Textoindependiente"/>
      </w:pPr>
    </w:p>
    <w:p w14:paraId="731524C4" w14:textId="77777777" w:rsidR="0014798C" w:rsidRDefault="0014798C">
      <w:pPr>
        <w:pStyle w:val="Textoindependiente"/>
      </w:pPr>
    </w:p>
    <w:p w14:paraId="0D305C8F" w14:textId="77777777" w:rsidR="0014798C" w:rsidRDefault="0014798C">
      <w:pPr>
        <w:pStyle w:val="Textoindependiente"/>
        <w:spacing w:before="69"/>
      </w:pPr>
    </w:p>
    <w:p w14:paraId="135B8CFA" w14:textId="77777777" w:rsidR="0014798C" w:rsidRDefault="004E1F0B">
      <w:pPr>
        <w:pStyle w:val="Prrafodelista"/>
        <w:numPr>
          <w:ilvl w:val="1"/>
          <w:numId w:val="17"/>
        </w:numPr>
        <w:tabs>
          <w:tab w:val="left" w:pos="1853"/>
          <w:tab w:val="left" w:pos="2014"/>
        </w:tabs>
        <w:spacing w:line="326" w:lineRule="auto"/>
        <w:ind w:left="2014" w:right="1877" w:hanging="339"/>
        <w:rPr>
          <w:sz w:val="16"/>
        </w:rPr>
      </w:pPr>
      <w:r>
        <w:rPr>
          <w:color w:val="803108"/>
          <w:sz w:val="16"/>
        </w:rPr>
        <w:t xml:space="preserve">Los </w:t>
      </w:r>
      <w:proofErr w:type="gramStart"/>
      <w:r>
        <w:rPr>
          <w:color w:val="803108"/>
          <w:sz w:val="16"/>
        </w:rPr>
        <w:t>Estados Partes</w:t>
      </w:r>
      <w:proofErr w:type="gramEnd"/>
      <w:r>
        <w:rPr>
          <w:color w:val="803108"/>
          <w:sz w:val="16"/>
        </w:rPr>
        <w:t xml:space="preserve"> otorgarán a hombres y mujeres los mismos derechos en materia de legislación relativa a la circulación de personas y a la libertad de elegir su residencia y domicilio.</w:t>
      </w:r>
    </w:p>
    <w:p w14:paraId="3A3C210C" w14:textId="77777777" w:rsidR="0014798C" w:rsidRDefault="004E1F0B">
      <w:pPr>
        <w:pStyle w:val="Textoindependiente"/>
        <w:spacing w:before="169" w:line="326" w:lineRule="auto"/>
        <w:ind w:left="1103" w:right="1418" w:firstLine="8"/>
      </w:pPr>
      <w:r>
        <w:t>Algunos Estados se han esforzado por formular reservas respecto del artículo 15 al ratificar la Convención sobre la eliminación</w:t>
      </w:r>
      <w:r>
        <w:rPr>
          <w:spacing w:val="80"/>
        </w:rPr>
        <w:t xml:space="preserve"> </w:t>
      </w:r>
      <w:r>
        <w:t>de todas las formas de discriminación contra la mujer. Los Estados también han formulado reservas con respecto al artículo 16</w:t>
      </w:r>
      <w:r>
        <w:rPr>
          <w:spacing w:val="80"/>
        </w:rPr>
        <w:t xml:space="preserve"> </w:t>
      </w:r>
      <w:r>
        <w:t>de la Convención, que prohíbe la discriminación contra la mujer en todos los asuntos relacionados con el matrimonio y las relaciones familiares. Sin embargo, el Comité para la Eliminación de la Discriminación contra la Mujer ha sostenido sistemáticamente que tales reservas son ilegítimas, ya que son incompatibles con el objeto y fin del tratado, en contravención de la Convención de Viena sobre el Derecho de los Tratados.1044</w:t>
      </w:r>
    </w:p>
    <w:p w14:paraId="2FCC951D" w14:textId="77777777" w:rsidR="0014798C" w:rsidRDefault="004E1F0B">
      <w:pPr>
        <w:pStyle w:val="Textoindependiente"/>
        <w:spacing w:before="167" w:line="326" w:lineRule="auto"/>
        <w:ind w:left="1107" w:right="1272" w:firstLine="5"/>
      </w:pPr>
      <w:r>
        <w:t>Varios casos en Canadá han explorado el papel de las leyes de igualdad y no discriminación en la comprensión de las reglas comunales. En un caso que llegó a la Corte Suprema de Canadá, una mujer judía ortodoxa presentó una petición ante el sistema legal porque su marido judío ortodoxo se había negado durante un período significativo a proporcionarle un “</w:t>
      </w:r>
      <w:proofErr w:type="spellStart"/>
      <w:r>
        <w:t>get</w:t>
      </w:r>
      <w:proofErr w:type="spellEnd"/>
      <w:r>
        <w:t>”, una certificación de divorcio emitida en idioma judío ortodoxo. comunidad. La falta de provisión del “</w:t>
      </w:r>
      <w:proofErr w:type="spellStart"/>
      <w:r>
        <w:t>get</w:t>
      </w:r>
      <w:proofErr w:type="spellEnd"/>
      <w:r>
        <w:t>” dejó a la mujer efectivamente en un estado de</w:t>
      </w:r>
      <w:r>
        <w:rPr>
          <w:spacing w:val="9"/>
        </w:rPr>
        <w:t xml:space="preserve"> </w:t>
      </w:r>
      <w:r>
        <w:t>limbo</w:t>
      </w:r>
      <w:r>
        <w:rPr>
          <w:spacing w:val="9"/>
        </w:rPr>
        <w:t xml:space="preserve"> </w:t>
      </w:r>
      <w:r>
        <w:t>social,</w:t>
      </w:r>
      <w:r>
        <w:rPr>
          <w:spacing w:val="9"/>
        </w:rPr>
        <w:t xml:space="preserve"> </w:t>
      </w:r>
      <w:r>
        <w:t>con</w:t>
      </w:r>
      <w:r>
        <w:rPr>
          <w:spacing w:val="9"/>
        </w:rPr>
        <w:t xml:space="preserve"> </w:t>
      </w:r>
      <w:r>
        <w:t>impactos</w:t>
      </w:r>
      <w:r>
        <w:rPr>
          <w:spacing w:val="9"/>
        </w:rPr>
        <w:t xml:space="preserve"> </w:t>
      </w:r>
      <w:r>
        <w:t>significativos en</w:t>
      </w:r>
      <w:r>
        <w:rPr>
          <w:spacing w:val="9"/>
        </w:rPr>
        <w:t xml:space="preserve"> </w:t>
      </w:r>
      <w:r>
        <w:t>su</w:t>
      </w:r>
      <w:r>
        <w:rPr>
          <w:spacing w:val="9"/>
        </w:rPr>
        <w:t xml:space="preserve"> </w:t>
      </w:r>
      <w:r>
        <w:t>capacidad</w:t>
      </w:r>
      <w:r>
        <w:rPr>
          <w:spacing w:val="9"/>
        </w:rPr>
        <w:t xml:space="preserve"> </w:t>
      </w:r>
      <w:r>
        <w:t>de</w:t>
      </w:r>
      <w:r>
        <w:rPr>
          <w:spacing w:val="9"/>
        </w:rPr>
        <w:t xml:space="preserve"> </w:t>
      </w:r>
      <w:r>
        <w:t>construir</w:t>
      </w:r>
      <w:r>
        <w:rPr>
          <w:spacing w:val="9"/>
        </w:rPr>
        <w:t xml:space="preserve"> </w:t>
      </w:r>
      <w:r>
        <w:t>una</w:t>
      </w:r>
      <w:r>
        <w:rPr>
          <w:spacing w:val="9"/>
        </w:rPr>
        <w:t xml:space="preserve"> </w:t>
      </w:r>
      <w:r>
        <w:t>vida</w:t>
      </w:r>
      <w:r>
        <w:rPr>
          <w:spacing w:val="9"/>
        </w:rPr>
        <w:t xml:space="preserve"> </w:t>
      </w:r>
      <w:r>
        <w:t>social</w:t>
      </w:r>
      <w:r>
        <w:rPr>
          <w:spacing w:val="9"/>
        </w:rPr>
        <w:t xml:space="preserve"> </w:t>
      </w:r>
      <w:r>
        <w:t>con</w:t>
      </w:r>
      <w:r>
        <w:rPr>
          <w:spacing w:val="9"/>
        </w:rPr>
        <w:t xml:space="preserve"> </w:t>
      </w:r>
      <w:r>
        <w:t>dignidad</w:t>
      </w:r>
      <w:r>
        <w:rPr>
          <w:spacing w:val="9"/>
        </w:rPr>
        <w:t xml:space="preserve"> </w:t>
      </w:r>
      <w:r>
        <w:t>después</w:t>
      </w:r>
      <w:r>
        <w:rPr>
          <w:spacing w:val="9"/>
        </w:rPr>
        <w:t xml:space="preserve"> </w:t>
      </w:r>
      <w:r>
        <w:t>de</w:t>
      </w:r>
      <w:r>
        <w:rPr>
          <w:spacing w:val="9"/>
        </w:rPr>
        <w:t xml:space="preserve"> </w:t>
      </w:r>
      <w:r>
        <w:t>su</w:t>
      </w:r>
      <w:r>
        <w:rPr>
          <w:spacing w:val="9"/>
        </w:rPr>
        <w:t xml:space="preserve"> </w:t>
      </w:r>
      <w:r>
        <w:t>separación de su marido. Según la ley judía ortodoxa, sólo el marido puede proporcionar un "</w:t>
      </w:r>
      <w:proofErr w:type="spellStart"/>
      <w:r>
        <w:t>get</w:t>
      </w:r>
      <w:proofErr w:type="spellEnd"/>
      <w:r>
        <w:t>". En una sentencia definitiva y vinculante,</w:t>
      </w:r>
    </w:p>
    <w:p w14:paraId="56814583" w14:textId="77777777" w:rsidR="0014798C" w:rsidRDefault="004E1F0B">
      <w:pPr>
        <w:pStyle w:val="Textoindependiente"/>
        <w:spacing w:line="181" w:lineRule="exact"/>
        <w:ind w:left="1108"/>
      </w:pPr>
      <w:r>
        <w:t>la</w:t>
      </w:r>
      <w:r>
        <w:rPr>
          <w:spacing w:val="1"/>
        </w:rPr>
        <w:t xml:space="preserve"> </w:t>
      </w:r>
      <w:r>
        <w:t>Corte</w:t>
      </w:r>
      <w:r>
        <w:rPr>
          <w:spacing w:val="1"/>
        </w:rPr>
        <w:t xml:space="preserve"> </w:t>
      </w:r>
      <w:r>
        <w:t>Suprema</w:t>
      </w:r>
      <w:r>
        <w:rPr>
          <w:spacing w:val="1"/>
        </w:rPr>
        <w:t xml:space="preserve"> </w:t>
      </w:r>
      <w:r>
        <w:t>dictaminó</w:t>
      </w:r>
      <w:r>
        <w:rPr>
          <w:spacing w:val="2"/>
        </w:rPr>
        <w:t xml:space="preserve"> </w:t>
      </w:r>
      <w:r>
        <w:t>que</w:t>
      </w:r>
      <w:r>
        <w:rPr>
          <w:spacing w:val="1"/>
        </w:rPr>
        <w:t xml:space="preserve"> </w:t>
      </w:r>
      <w:r>
        <w:t>los</w:t>
      </w:r>
      <w:r>
        <w:rPr>
          <w:spacing w:val="1"/>
        </w:rPr>
        <w:t xml:space="preserve"> </w:t>
      </w:r>
      <w:r>
        <w:t>hechos</w:t>
      </w:r>
      <w:r>
        <w:rPr>
          <w:spacing w:val="2"/>
        </w:rPr>
        <w:t xml:space="preserve"> </w:t>
      </w:r>
      <w:r>
        <w:t>presentados</w:t>
      </w:r>
      <w:r>
        <w:rPr>
          <w:spacing w:val="1"/>
        </w:rPr>
        <w:t xml:space="preserve"> </w:t>
      </w:r>
      <w:r>
        <w:t>violaban</w:t>
      </w:r>
      <w:r>
        <w:rPr>
          <w:spacing w:val="1"/>
        </w:rPr>
        <w:t xml:space="preserve"> </w:t>
      </w:r>
      <w:r>
        <w:t>la</w:t>
      </w:r>
      <w:r>
        <w:rPr>
          <w:spacing w:val="2"/>
        </w:rPr>
        <w:t xml:space="preserve"> </w:t>
      </w:r>
      <w:r>
        <w:t>ley</w:t>
      </w:r>
      <w:r>
        <w:rPr>
          <w:spacing w:val="1"/>
        </w:rPr>
        <w:t xml:space="preserve"> </w:t>
      </w:r>
      <w:r>
        <w:t>de</w:t>
      </w:r>
      <w:r>
        <w:rPr>
          <w:spacing w:val="1"/>
        </w:rPr>
        <w:t xml:space="preserve"> </w:t>
      </w:r>
      <w:r>
        <w:t>igualdad</w:t>
      </w:r>
      <w:r>
        <w:rPr>
          <w:spacing w:val="2"/>
        </w:rPr>
        <w:t xml:space="preserve"> </w:t>
      </w:r>
      <w:r>
        <w:rPr>
          <w:spacing w:val="-2"/>
        </w:rPr>
        <w:t>canadiense.1045</w:t>
      </w:r>
    </w:p>
    <w:p w14:paraId="38549379" w14:textId="77777777" w:rsidR="0014798C" w:rsidRDefault="0014798C">
      <w:pPr>
        <w:pStyle w:val="Textoindependiente"/>
        <w:spacing w:before="281"/>
        <w:rPr>
          <w:sz w:val="25"/>
        </w:rPr>
      </w:pPr>
    </w:p>
    <w:p w14:paraId="1FAA5D7A" w14:textId="77777777" w:rsidR="0014798C" w:rsidRDefault="004E1F0B">
      <w:pPr>
        <w:numPr>
          <w:ilvl w:val="0"/>
          <w:numId w:val="17"/>
        </w:numPr>
        <w:tabs>
          <w:tab w:val="left" w:pos="1397"/>
        </w:tabs>
        <w:spacing w:before="1"/>
        <w:ind w:left="1397" w:hanging="280"/>
        <w:rPr>
          <w:color w:val="803108"/>
          <w:sz w:val="25"/>
        </w:rPr>
      </w:pPr>
      <w:r>
        <w:rPr>
          <w:color w:val="803108"/>
          <w:sz w:val="25"/>
        </w:rPr>
        <w:t>Prácticas</w:t>
      </w:r>
      <w:r>
        <w:rPr>
          <w:color w:val="803108"/>
          <w:spacing w:val="10"/>
          <w:sz w:val="25"/>
        </w:rPr>
        <w:t xml:space="preserve"> </w:t>
      </w:r>
      <w:r>
        <w:rPr>
          <w:color w:val="803108"/>
          <w:spacing w:val="-2"/>
          <w:sz w:val="25"/>
        </w:rPr>
        <w:t>nocivas</w:t>
      </w:r>
    </w:p>
    <w:p w14:paraId="65D0E6F6" w14:textId="77777777" w:rsidR="0014798C" w:rsidRDefault="0014798C">
      <w:pPr>
        <w:pStyle w:val="Textoindependiente"/>
        <w:spacing w:before="27"/>
      </w:pPr>
    </w:p>
    <w:p w14:paraId="1A395CD0" w14:textId="77777777" w:rsidR="0014798C" w:rsidRDefault="004E1F0B">
      <w:pPr>
        <w:pStyle w:val="Textoindependiente"/>
        <w:spacing w:line="326" w:lineRule="auto"/>
        <w:ind w:left="1108" w:right="1418"/>
      </w:pPr>
      <w:r>
        <w:t xml:space="preserve">Las prácticas tradicionales nocivas, incluida la mutilación genital femenina, son ilegales según el derecho internacional de derechos </w:t>
      </w:r>
      <w:proofErr w:type="gramStart"/>
      <w:r>
        <w:t>humanos .</w:t>
      </w:r>
      <w:proofErr w:type="gramEnd"/>
      <w:r>
        <w:t xml:space="preserve"> Como se señaló anteriormente, los artículos 2 (f) y 5 (a) de la Convención sobre la eliminación de todas las formas de discriminación contra la mujer especifican que los Estados tienen la responsabilidad de poner fin a las prácticas culturales que conducen a la desigualdad entre hombres y mujeres. No se permiten excepciones para la religión o las creencias</w:t>
      </w:r>
      <w:r>
        <w:rPr>
          <w:spacing w:val="40"/>
        </w:rPr>
        <w:t xml:space="preserve"> </w:t>
      </w:r>
      <w:r>
        <w:t>ni para ninguna otra comunidad, tanto por razones de la prohibición de tratos crueles o degradantes establecida en el Pacto</w:t>
      </w:r>
    </w:p>
    <w:p w14:paraId="25AA4B31" w14:textId="77777777" w:rsidR="0014798C" w:rsidRDefault="004E1F0B">
      <w:pPr>
        <w:pStyle w:val="Textoindependiente"/>
        <w:spacing w:line="326" w:lineRule="auto"/>
        <w:ind w:left="1107" w:right="1272" w:firstLine="3"/>
      </w:pPr>
      <w:r>
        <w:t>Internacional de Derechos Civiles y Políticos como en la Convención contra la Tortura y Otros Tratos o Tratos Crueles, Inhumanos</w:t>
      </w:r>
      <w:r>
        <w:rPr>
          <w:spacing w:val="40"/>
        </w:rPr>
        <w:t xml:space="preserve"> </w:t>
      </w:r>
      <w:r>
        <w:t>o</w:t>
      </w:r>
      <w:r>
        <w:rPr>
          <w:spacing w:val="7"/>
        </w:rPr>
        <w:t xml:space="preserve"> </w:t>
      </w:r>
      <w:r>
        <w:t>Degradantes.</w:t>
      </w:r>
      <w:r>
        <w:rPr>
          <w:spacing w:val="8"/>
        </w:rPr>
        <w:t xml:space="preserve"> </w:t>
      </w:r>
      <w:r>
        <w:t>Castigo,</w:t>
      </w:r>
      <w:r>
        <w:rPr>
          <w:spacing w:val="7"/>
        </w:rPr>
        <w:t xml:space="preserve"> </w:t>
      </w:r>
      <w:r>
        <w:t>así</w:t>
      </w:r>
      <w:r>
        <w:rPr>
          <w:spacing w:val="7"/>
        </w:rPr>
        <w:t xml:space="preserve"> </w:t>
      </w:r>
      <w:r>
        <w:t>como</w:t>
      </w:r>
      <w:r>
        <w:rPr>
          <w:spacing w:val="7"/>
        </w:rPr>
        <w:t xml:space="preserve"> </w:t>
      </w:r>
      <w:r>
        <w:t>debido</w:t>
      </w:r>
      <w:r>
        <w:rPr>
          <w:spacing w:val="7"/>
        </w:rPr>
        <w:t xml:space="preserve"> </w:t>
      </w:r>
      <w:r>
        <w:t>a</w:t>
      </w:r>
      <w:r>
        <w:rPr>
          <w:spacing w:val="7"/>
        </w:rPr>
        <w:t xml:space="preserve"> </w:t>
      </w:r>
      <w:r>
        <w:t>la</w:t>
      </w:r>
      <w:r>
        <w:rPr>
          <w:spacing w:val="7"/>
        </w:rPr>
        <w:t xml:space="preserve"> </w:t>
      </w:r>
      <w:r>
        <w:t>prohibición</w:t>
      </w:r>
      <w:r>
        <w:rPr>
          <w:spacing w:val="7"/>
        </w:rPr>
        <w:t xml:space="preserve"> </w:t>
      </w:r>
      <w:r>
        <w:t>de</w:t>
      </w:r>
      <w:r>
        <w:rPr>
          <w:spacing w:val="7"/>
        </w:rPr>
        <w:t xml:space="preserve"> </w:t>
      </w:r>
      <w:r>
        <w:t>la</w:t>
      </w:r>
      <w:r>
        <w:rPr>
          <w:spacing w:val="7"/>
        </w:rPr>
        <w:t xml:space="preserve"> </w:t>
      </w:r>
      <w:r>
        <w:t>discriminación</w:t>
      </w:r>
      <w:r>
        <w:rPr>
          <w:spacing w:val="7"/>
        </w:rPr>
        <w:t xml:space="preserve"> </w:t>
      </w:r>
      <w:r>
        <w:t>contra</w:t>
      </w:r>
      <w:r>
        <w:rPr>
          <w:spacing w:val="7"/>
        </w:rPr>
        <w:t xml:space="preserve"> </w:t>
      </w:r>
      <w:r>
        <w:t>la</w:t>
      </w:r>
      <w:r>
        <w:rPr>
          <w:spacing w:val="7"/>
        </w:rPr>
        <w:t xml:space="preserve"> </w:t>
      </w:r>
      <w:r>
        <w:t>mujer,</w:t>
      </w:r>
      <w:r>
        <w:rPr>
          <w:spacing w:val="7"/>
        </w:rPr>
        <w:t xml:space="preserve"> </w:t>
      </w:r>
      <w:r>
        <w:t>según</w:t>
      </w:r>
      <w:r>
        <w:rPr>
          <w:spacing w:val="7"/>
        </w:rPr>
        <w:t xml:space="preserve"> </w:t>
      </w:r>
      <w:r>
        <w:t>lo</w:t>
      </w:r>
      <w:r>
        <w:rPr>
          <w:spacing w:val="7"/>
        </w:rPr>
        <w:t xml:space="preserve"> </w:t>
      </w:r>
      <w:r>
        <w:t>establecido,</w:t>
      </w:r>
      <w:r>
        <w:rPr>
          <w:spacing w:val="8"/>
        </w:rPr>
        <w:t xml:space="preserve"> </w:t>
      </w:r>
      <w:r>
        <w:t>entre</w:t>
      </w:r>
      <w:r>
        <w:rPr>
          <w:spacing w:val="7"/>
        </w:rPr>
        <w:t xml:space="preserve"> </w:t>
      </w:r>
      <w:r>
        <w:t>otros, en la Convención sobre la Eliminación de Todas las Formas de Discriminación contra la Mujer.1046 El Protocolo de la Carta Africana de Derechos Humanos y de los Pueblos sobre la Derechos de la Mujer en África también prohíbe tales actos.</w:t>
      </w:r>
    </w:p>
    <w:p w14:paraId="1113500D" w14:textId="77777777" w:rsidR="0014798C" w:rsidRDefault="004E1F0B">
      <w:pPr>
        <w:pStyle w:val="Textoindependiente"/>
        <w:spacing w:before="166" w:line="326" w:lineRule="auto"/>
        <w:ind w:left="1107" w:right="1418" w:firstLine="1"/>
      </w:pPr>
      <w:r>
        <w:t xml:space="preserve">En su Observación general No. 28 (2000), el Comité de Derechos Humanos sostuvo que “los </w:t>
      </w:r>
      <w:proofErr w:type="gramStart"/>
      <w:r>
        <w:t>Estados partes</w:t>
      </w:r>
      <w:proofErr w:type="gramEnd"/>
      <w:r>
        <w:t xml:space="preserve"> deben garantizar que no se utilicen actitudes tradicionales, históricas, religiosas o culturales para justificar violaciones del derecho de la mujer a la igualdad ante la ley y al disfrute igual de los derechos”. todos los derechos del Pacto”1047 y pidió a los Estados que informaran sobre cómo abordaban las prácticas culturales o religiosas dentro de las comunidades minoritarias que afectaban los derechos</w:t>
      </w:r>
      <w:r>
        <w:rPr>
          <w:spacing w:val="40"/>
        </w:rPr>
        <w:t xml:space="preserve"> </w:t>
      </w:r>
      <w:r>
        <w:t>de las mujeres: “Los derechos que disfrutan las personas pertenecientes a minorías en virtud del artículo 27 del Pacto con respecto a su idioma 1048</w:t>
      </w:r>
    </w:p>
    <w:p w14:paraId="2CF2AD82" w14:textId="77777777" w:rsidR="0014798C" w:rsidRDefault="0014798C">
      <w:pPr>
        <w:pStyle w:val="Textoindependiente"/>
      </w:pPr>
    </w:p>
    <w:p w14:paraId="74F72333" w14:textId="77777777" w:rsidR="0014798C" w:rsidRDefault="0014798C">
      <w:pPr>
        <w:pStyle w:val="Textoindependiente"/>
        <w:spacing w:before="48"/>
      </w:pPr>
    </w:p>
    <w:p w14:paraId="480E469A" w14:textId="77777777" w:rsidR="0014798C" w:rsidRDefault="004E1F0B">
      <w:pPr>
        <w:pStyle w:val="Textoindependiente"/>
        <w:spacing w:line="326" w:lineRule="auto"/>
        <w:ind w:left="1105" w:right="1272" w:firstLine="2"/>
      </w:pPr>
      <w:r>
        <w:t>En los últimos tiempos, algunos Estados han visto movimientos que apuntan a prohibir la circuncisión masculina. Si bien las cuestiones relativas a las normas de derechos humanos en esta materia aún no están claras, es evidente que el alcance de las cuestiones es algo diferente de las involucradas en lo que respecta a la mutilación genital femenina. Al informar sobre la visita a Dinamarca, donde se estaba debatiendo la posible prohibición</w:t>
      </w:r>
      <w:r>
        <w:rPr>
          <w:spacing w:val="-1"/>
        </w:rPr>
        <w:t xml:space="preserve"> </w:t>
      </w:r>
      <w:r>
        <w:t>de la circuncisión masculina,</w:t>
      </w:r>
      <w:r>
        <w:rPr>
          <w:spacing w:val="1"/>
        </w:rPr>
        <w:t xml:space="preserve"> </w:t>
      </w:r>
      <w:r>
        <w:t>el Relator Especial sobre</w:t>
      </w:r>
      <w:r>
        <w:rPr>
          <w:spacing w:val="-1"/>
        </w:rPr>
        <w:t xml:space="preserve"> </w:t>
      </w:r>
      <w:r>
        <w:t xml:space="preserve">la </w:t>
      </w:r>
      <w:r>
        <w:rPr>
          <w:spacing w:val="-2"/>
        </w:rPr>
        <w:t>libertad</w:t>
      </w:r>
    </w:p>
    <w:p w14:paraId="66B74B26" w14:textId="77777777" w:rsidR="0014798C" w:rsidRDefault="004E1F0B">
      <w:pPr>
        <w:pStyle w:val="Textoindependiente"/>
        <w:spacing w:line="182" w:lineRule="exact"/>
        <w:ind w:left="1111"/>
      </w:pPr>
      <w:r>
        <w:t>de religión o de</w:t>
      </w:r>
      <w:r>
        <w:rPr>
          <w:spacing w:val="1"/>
        </w:rPr>
        <w:t xml:space="preserve"> </w:t>
      </w:r>
      <w:r>
        <w:t>creencias no llegó</w:t>
      </w:r>
      <w:r>
        <w:rPr>
          <w:spacing w:val="1"/>
        </w:rPr>
        <w:t xml:space="preserve"> </w:t>
      </w:r>
      <w:r>
        <w:t>a oponerse explícitamente</w:t>
      </w:r>
      <w:r>
        <w:rPr>
          <w:spacing w:val="1"/>
        </w:rPr>
        <w:t xml:space="preserve"> </w:t>
      </w:r>
      <w:r>
        <w:t>a esa prohibición,</w:t>
      </w:r>
      <w:r>
        <w:rPr>
          <w:spacing w:val="1"/>
        </w:rPr>
        <w:t xml:space="preserve"> </w:t>
      </w:r>
      <w:r>
        <w:t>sino</w:t>
      </w:r>
      <w:r>
        <w:rPr>
          <w:spacing w:val="1"/>
        </w:rPr>
        <w:t xml:space="preserve"> </w:t>
      </w:r>
      <w:r>
        <w:t>que se centró</w:t>
      </w:r>
      <w:r>
        <w:rPr>
          <w:spacing w:val="1"/>
        </w:rPr>
        <w:t xml:space="preserve"> </w:t>
      </w:r>
      <w:r>
        <w:t>en la manera</w:t>
      </w:r>
      <w:r>
        <w:rPr>
          <w:spacing w:val="1"/>
        </w:rPr>
        <w:t xml:space="preserve"> </w:t>
      </w:r>
      <w:r>
        <w:t>en que la opinión</w:t>
      </w:r>
      <w:r>
        <w:rPr>
          <w:spacing w:val="1"/>
        </w:rPr>
        <w:t xml:space="preserve"> </w:t>
      </w:r>
      <w:r>
        <w:rPr>
          <w:spacing w:val="-2"/>
        </w:rPr>
        <w:t>pública</w:t>
      </w:r>
    </w:p>
    <w:p w14:paraId="20CADC67" w14:textId="77777777" w:rsidR="0014798C" w:rsidRDefault="0014798C">
      <w:pPr>
        <w:pStyle w:val="Textoindependiente"/>
        <w:rPr>
          <w:sz w:val="20"/>
        </w:rPr>
      </w:pPr>
    </w:p>
    <w:p w14:paraId="21762EF7" w14:textId="77777777" w:rsidR="0014798C" w:rsidRDefault="0014798C">
      <w:pPr>
        <w:pStyle w:val="Textoindependiente"/>
        <w:rPr>
          <w:sz w:val="20"/>
        </w:rPr>
      </w:pPr>
    </w:p>
    <w:p w14:paraId="4DF48183" w14:textId="77777777" w:rsidR="0014798C" w:rsidRDefault="004E1F0B">
      <w:pPr>
        <w:pStyle w:val="Textoindependiente"/>
        <w:spacing w:before="48"/>
        <w:rPr>
          <w:sz w:val="20"/>
        </w:rPr>
      </w:pPr>
      <w:r>
        <w:rPr>
          <w:noProof/>
        </w:rPr>
        <w:drawing>
          <wp:anchor distT="0" distB="0" distL="0" distR="0" simplePos="0" relativeHeight="251658552" behindDoc="1" locked="0" layoutInCell="1" allowOverlap="1" wp14:anchorId="7F173321" wp14:editId="38118029">
            <wp:simplePos x="0" y="0"/>
            <wp:positionH relativeFrom="page">
              <wp:posOffset>826632</wp:posOffset>
            </wp:positionH>
            <wp:positionV relativeFrom="paragraph">
              <wp:posOffset>192121</wp:posOffset>
            </wp:positionV>
            <wp:extent cx="931001" cy="35813"/>
            <wp:effectExtent l="0" t="0" r="0" b="0"/>
            <wp:wrapTopAndBottom/>
            <wp:docPr id="310" name="Image 31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10" name="Image 310"/>
                    <pic:cNvPicPr/>
                  </pic:nvPicPr>
                  <pic:blipFill>
                    <a:blip r:embed="rId290" cstate="print"/>
                    <a:stretch>
                      <a:fillRect/>
                    </a:stretch>
                  </pic:blipFill>
                  <pic:spPr>
                    <a:xfrm>
                      <a:off x="0" y="0"/>
                      <a:ext cx="931001" cy="35813"/>
                    </a:xfrm>
                    <a:prstGeom prst="rect">
                      <a:avLst/>
                    </a:prstGeom>
                  </pic:spPr>
                </pic:pic>
              </a:graphicData>
            </a:graphic>
          </wp:anchor>
        </w:drawing>
      </w:r>
    </w:p>
    <w:p w14:paraId="381958E1" w14:textId="77777777" w:rsidR="0014798C" w:rsidRDefault="004E1F0B">
      <w:pPr>
        <w:spacing w:before="133"/>
        <w:ind w:left="1111"/>
        <w:rPr>
          <w:sz w:val="12"/>
        </w:rPr>
      </w:pPr>
      <w:r>
        <w:rPr>
          <w:w w:val="105"/>
          <w:sz w:val="12"/>
          <w:vertAlign w:val="superscript"/>
        </w:rPr>
        <w:t>1044</w:t>
      </w:r>
      <w:r>
        <w:rPr>
          <w:spacing w:val="27"/>
          <w:w w:val="105"/>
          <w:sz w:val="12"/>
        </w:rPr>
        <w:t xml:space="preserve"> </w:t>
      </w:r>
      <w:r>
        <w:rPr>
          <w:w w:val="105"/>
          <w:sz w:val="12"/>
        </w:rPr>
        <w:t>A/53/38/Rev.1,</w:t>
      </w:r>
      <w:r>
        <w:rPr>
          <w:spacing w:val="-3"/>
          <w:w w:val="105"/>
          <w:sz w:val="12"/>
        </w:rPr>
        <w:t xml:space="preserve"> </w:t>
      </w:r>
      <w:proofErr w:type="spellStart"/>
      <w:r>
        <w:rPr>
          <w:w w:val="105"/>
          <w:sz w:val="12"/>
        </w:rPr>
        <w:t>párrs</w:t>
      </w:r>
      <w:proofErr w:type="spellEnd"/>
      <w:r>
        <w:rPr>
          <w:w w:val="105"/>
          <w:sz w:val="12"/>
        </w:rPr>
        <w:t>.</w:t>
      </w:r>
      <w:r>
        <w:rPr>
          <w:spacing w:val="-1"/>
          <w:w w:val="105"/>
          <w:sz w:val="12"/>
        </w:rPr>
        <w:t xml:space="preserve"> </w:t>
      </w:r>
      <w:r>
        <w:rPr>
          <w:spacing w:val="-2"/>
          <w:w w:val="105"/>
          <w:sz w:val="12"/>
        </w:rPr>
        <w:t>1–25.</w:t>
      </w:r>
    </w:p>
    <w:p w14:paraId="3F7384DB" w14:textId="77777777" w:rsidR="0014798C" w:rsidRDefault="004E1F0B">
      <w:pPr>
        <w:spacing w:before="99" w:line="304" w:lineRule="auto"/>
        <w:ind w:left="1365" w:right="1626" w:hanging="255"/>
        <w:rPr>
          <w:sz w:val="12"/>
        </w:rPr>
      </w:pPr>
      <w:r>
        <w:rPr>
          <w:w w:val="105"/>
          <w:sz w:val="12"/>
        </w:rPr>
        <w:t>1045</w:t>
      </w:r>
      <w:r>
        <w:rPr>
          <w:spacing w:val="-1"/>
          <w:w w:val="105"/>
          <w:sz w:val="12"/>
        </w:rPr>
        <w:t xml:space="preserve"> </w:t>
      </w:r>
      <w:proofErr w:type="spellStart"/>
      <w:r>
        <w:rPr>
          <w:w w:val="105"/>
          <w:sz w:val="12"/>
        </w:rPr>
        <w:t>Ayelet</w:t>
      </w:r>
      <w:proofErr w:type="spellEnd"/>
      <w:r>
        <w:rPr>
          <w:spacing w:val="-1"/>
          <w:w w:val="105"/>
          <w:sz w:val="12"/>
        </w:rPr>
        <w:t xml:space="preserve"> </w:t>
      </w:r>
      <w:proofErr w:type="spellStart"/>
      <w:r>
        <w:rPr>
          <w:w w:val="105"/>
          <w:sz w:val="12"/>
        </w:rPr>
        <w:t>Shachar</w:t>
      </w:r>
      <w:proofErr w:type="spellEnd"/>
      <w:r>
        <w:rPr>
          <w:w w:val="105"/>
          <w:sz w:val="12"/>
        </w:rPr>
        <w:t>, “Privatizar</w:t>
      </w:r>
      <w:r>
        <w:rPr>
          <w:spacing w:val="-1"/>
          <w:w w:val="105"/>
          <w:sz w:val="12"/>
        </w:rPr>
        <w:t xml:space="preserve"> </w:t>
      </w:r>
      <w:r>
        <w:rPr>
          <w:w w:val="105"/>
          <w:sz w:val="12"/>
        </w:rPr>
        <w:t>la</w:t>
      </w:r>
      <w:r>
        <w:rPr>
          <w:spacing w:val="-1"/>
          <w:w w:val="105"/>
          <w:sz w:val="12"/>
        </w:rPr>
        <w:t xml:space="preserve"> </w:t>
      </w:r>
      <w:r>
        <w:rPr>
          <w:w w:val="105"/>
          <w:sz w:val="12"/>
        </w:rPr>
        <w:t>diversidad: una</w:t>
      </w:r>
      <w:r>
        <w:rPr>
          <w:spacing w:val="-1"/>
          <w:w w:val="105"/>
          <w:sz w:val="12"/>
        </w:rPr>
        <w:t xml:space="preserve"> </w:t>
      </w:r>
      <w:r>
        <w:rPr>
          <w:w w:val="105"/>
          <w:sz w:val="12"/>
        </w:rPr>
        <w:t>advertencia</w:t>
      </w:r>
      <w:r>
        <w:rPr>
          <w:spacing w:val="-1"/>
          <w:w w:val="105"/>
          <w:sz w:val="12"/>
        </w:rPr>
        <w:t xml:space="preserve"> </w:t>
      </w:r>
      <w:r>
        <w:rPr>
          <w:w w:val="105"/>
          <w:sz w:val="12"/>
        </w:rPr>
        <w:t>sobre</w:t>
      </w:r>
      <w:r>
        <w:rPr>
          <w:spacing w:val="-1"/>
          <w:w w:val="105"/>
          <w:sz w:val="12"/>
        </w:rPr>
        <w:t xml:space="preserve"> </w:t>
      </w:r>
      <w:r>
        <w:rPr>
          <w:w w:val="105"/>
          <w:sz w:val="12"/>
        </w:rPr>
        <w:t>el</w:t>
      </w:r>
      <w:r>
        <w:rPr>
          <w:spacing w:val="-1"/>
          <w:w w:val="105"/>
          <w:sz w:val="12"/>
        </w:rPr>
        <w:t xml:space="preserve"> </w:t>
      </w:r>
      <w:r>
        <w:rPr>
          <w:w w:val="105"/>
          <w:sz w:val="12"/>
        </w:rPr>
        <w:t>arbitraje</w:t>
      </w:r>
      <w:r>
        <w:rPr>
          <w:spacing w:val="-1"/>
          <w:w w:val="105"/>
          <w:sz w:val="12"/>
        </w:rPr>
        <w:t xml:space="preserve"> </w:t>
      </w:r>
      <w:r>
        <w:rPr>
          <w:w w:val="105"/>
          <w:sz w:val="12"/>
        </w:rPr>
        <w:t>religioso</w:t>
      </w:r>
      <w:r>
        <w:rPr>
          <w:spacing w:val="-1"/>
          <w:w w:val="105"/>
          <w:sz w:val="12"/>
        </w:rPr>
        <w:t xml:space="preserve"> </w:t>
      </w:r>
      <w:r>
        <w:rPr>
          <w:w w:val="105"/>
          <w:sz w:val="12"/>
        </w:rPr>
        <w:t>en</w:t>
      </w:r>
      <w:r>
        <w:rPr>
          <w:spacing w:val="-1"/>
          <w:w w:val="105"/>
          <w:sz w:val="12"/>
        </w:rPr>
        <w:t xml:space="preserve"> </w:t>
      </w:r>
      <w:r>
        <w:rPr>
          <w:w w:val="105"/>
          <w:sz w:val="12"/>
        </w:rPr>
        <w:t>el</w:t>
      </w:r>
      <w:r>
        <w:rPr>
          <w:spacing w:val="-1"/>
          <w:w w:val="105"/>
          <w:sz w:val="12"/>
        </w:rPr>
        <w:t xml:space="preserve"> </w:t>
      </w:r>
      <w:r>
        <w:rPr>
          <w:w w:val="105"/>
          <w:sz w:val="12"/>
        </w:rPr>
        <w:t>derecho</w:t>
      </w:r>
      <w:r>
        <w:rPr>
          <w:spacing w:val="-1"/>
          <w:w w:val="105"/>
          <w:sz w:val="12"/>
        </w:rPr>
        <w:t xml:space="preserve"> </w:t>
      </w:r>
      <w:r>
        <w:rPr>
          <w:w w:val="105"/>
          <w:sz w:val="12"/>
        </w:rPr>
        <w:t>de</w:t>
      </w:r>
      <w:r>
        <w:rPr>
          <w:spacing w:val="-1"/>
          <w:w w:val="105"/>
          <w:sz w:val="12"/>
        </w:rPr>
        <w:t xml:space="preserve"> </w:t>
      </w:r>
      <w:r>
        <w:rPr>
          <w:w w:val="105"/>
          <w:sz w:val="12"/>
        </w:rPr>
        <w:t>familia”, Investigaciones</w:t>
      </w:r>
      <w:r>
        <w:rPr>
          <w:spacing w:val="-1"/>
          <w:w w:val="105"/>
          <w:sz w:val="12"/>
        </w:rPr>
        <w:t xml:space="preserve"> </w:t>
      </w:r>
      <w:r>
        <w:rPr>
          <w:w w:val="105"/>
          <w:sz w:val="12"/>
        </w:rPr>
        <w:t>teóricas</w:t>
      </w:r>
      <w:r>
        <w:rPr>
          <w:spacing w:val="-1"/>
          <w:w w:val="105"/>
          <w:sz w:val="12"/>
        </w:rPr>
        <w:t xml:space="preserve"> </w:t>
      </w:r>
      <w:r>
        <w:rPr>
          <w:w w:val="105"/>
          <w:sz w:val="12"/>
        </w:rPr>
        <w:t>en</w:t>
      </w:r>
      <w:r>
        <w:rPr>
          <w:spacing w:val="-1"/>
          <w:w w:val="105"/>
          <w:sz w:val="12"/>
        </w:rPr>
        <w:t xml:space="preserve"> </w:t>
      </w:r>
      <w:r>
        <w:rPr>
          <w:w w:val="105"/>
          <w:sz w:val="12"/>
        </w:rPr>
        <w:t>derecho, vol.</w:t>
      </w:r>
      <w:r>
        <w:rPr>
          <w:spacing w:val="-1"/>
          <w:w w:val="105"/>
          <w:sz w:val="12"/>
        </w:rPr>
        <w:t xml:space="preserve"> </w:t>
      </w:r>
      <w:r>
        <w:rPr>
          <w:w w:val="105"/>
          <w:sz w:val="12"/>
        </w:rPr>
        <w:t>9,</w:t>
      </w:r>
      <w:r>
        <w:rPr>
          <w:spacing w:val="40"/>
          <w:w w:val="105"/>
          <w:sz w:val="12"/>
        </w:rPr>
        <w:t xml:space="preserve"> </w:t>
      </w:r>
      <w:r>
        <w:rPr>
          <w:w w:val="105"/>
          <w:sz w:val="12"/>
        </w:rPr>
        <w:t>N° 2 (2008).</w:t>
      </w:r>
    </w:p>
    <w:p w14:paraId="4DBCAC96" w14:textId="77777777" w:rsidR="0014798C" w:rsidRDefault="004E1F0B">
      <w:pPr>
        <w:spacing w:before="65" w:line="312" w:lineRule="auto"/>
        <w:ind w:left="1369" w:right="1750" w:hanging="259"/>
        <w:rPr>
          <w:sz w:val="12"/>
        </w:rPr>
      </w:pPr>
      <w:r>
        <w:rPr>
          <w:w w:val="105"/>
          <w:sz w:val="12"/>
        </w:rPr>
        <w:t>1046 En su comentario general más reciente sobre la violencia contra la mujer, el Comité para la Eliminación de la Discriminación contra la Mujer resumió</w:t>
      </w:r>
      <w:r>
        <w:rPr>
          <w:spacing w:val="40"/>
          <w:w w:val="105"/>
          <w:sz w:val="12"/>
        </w:rPr>
        <w:t xml:space="preserve"> </w:t>
      </w:r>
      <w:r>
        <w:rPr>
          <w:w w:val="105"/>
          <w:sz w:val="12"/>
        </w:rPr>
        <w:t>que:</w:t>
      </w:r>
      <w:r>
        <w:rPr>
          <w:spacing w:val="-1"/>
          <w:w w:val="105"/>
          <w:sz w:val="12"/>
        </w:rPr>
        <w:t xml:space="preserve"> </w:t>
      </w:r>
      <w:r>
        <w:rPr>
          <w:w w:val="105"/>
          <w:sz w:val="12"/>
        </w:rPr>
        <w:t>“La</w:t>
      </w:r>
      <w:r>
        <w:rPr>
          <w:spacing w:val="-1"/>
          <w:w w:val="105"/>
          <w:sz w:val="12"/>
        </w:rPr>
        <w:t xml:space="preserve"> </w:t>
      </w:r>
      <w:r>
        <w:rPr>
          <w:w w:val="105"/>
          <w:sz w:val="12"/>
        </w:rPr>
        <w:t>violencia</w:t>
      </w:r>
      <w:r>
        <w:rPr>
          <w:spacing w:val="-1"/>
          <w:w w:val="105"/>
          <w:sz w:val="12"/>
        </w:rPr>
        <w:t xml:space="preserve"> </w:t>
      </w:r>
      <w:r>
        <w:rPr>
          <w:w w:val="105"/>
          <w:sz w:val="12"/>
        </w:rPr>
        <w:t>de</w:t>
      </w:r>
      <w:r>
        <w:rPr>
          <w:spacing w:val="-1"/>
          <w:w w:val="105"/>
          <w:sz w:val="12"/>
        </w:rPr>
        <w:t xml:space="preserve"> </w:t>
      </w:r>
      <w:r>
        <w:rPr>
          <w:w w:val="105"/>
          <w:sz w:val="12"/>
        </w:rPr>
        <w:t>género</w:t>
      </w:r>
      <w:r>
        <w:rPr>
          <w:spacing w:val="-1"/>
          <w:w w:val="105"/>
          <w:sz w:val="12"/>
        </w:rPr>
        <w:t xml:space="preserve"> </w:t>
      </w:r>
      <w:r>
        <w:rPr>
          <w:w w:val="105"/>
          <w:sz w:val="12"/>
        </w:rPr>
        <w:t>contra</w:t>
      </w:r>
      <w:r>
        <w:rPr>
          <w:spacing w:val="-1"/>
          <w:w w:val="105"/>
          <w:sz w:val="12"/>
        </w:rPr>
        <w:t xml:space="preserve"> </w:t>
      </w:r>
      <w:r>
        <w:rPr>
          <w:w w:val="105"/>
          <w:sz w:val="12"/>
        </w:rPr>
        <w:t>la</w:t>
      </w:r>
      <w:r>
        <w:rPr>
          <w:spacing w:val="-1"/>
          <w:w w:val="105"/>
          <w:sz w:val="12"/>
        </w:rPr>
        <w:t xml:space="preserve"> </w:t>
      </w:r>
      <w:r>
        <w:rPr>
          <w:w w:val="105"/>
          <w:sz w:val="12"/>
        </w:rPr>
        <w:t>mujer</w:t>
      </w:r>
      <w:r>
        <w:rPr>
          <w:spacing w:val="-1"/>
          <w:w w:val="105"/>
          <w:sz w:val="12"/>
        </w:rPr>
        <w:t xml:space="preserve"> </w:t>
      </w:r>
      <w:r>
        <w:rPr>
          <w:w w:val="105"/>
          <w:sz w:val="12"/>
        </w:rPr>
        <w:t>puede</w:t>
      </w:r>
      <w:r>
        <w:rPr>
          <w:spacing w:val="-1"/>
          <w:w w:val="105"/>
          <w:sz w:val="12"/>
        </w:rPr>
        <w:t xml:space="preserve"> </w:t>
      </w:r>
      <w:r>
        <w:rPr>
          <w:w w:val="105"/>
          <w:sz w:val="12"/>
        </w:rPr>
        <w:t>equivaler</w:t>
      </w:r>
      <w:r>
        <w:rPr>
          <w:spacing w:val="-1"/>
          <w:w w:val="105"/>
          <w:sz w:val="12"/>
        </w:rPr>
        <w:t xml:space="preserve"> </w:t>
      </w:r>
      <w:r>
        <w:rPr>
          <w:w w:val="105"/>
          <w:sz w:val="12"/>
        </w:rPr>
        <w:t>a</w:t>
      </w:r>
      <w:r>
        <w:rPr>
          <w:spacing w:val="-1"/>
          <w:w w:val="105"/>
          <w:sz w:val="12"/>
        </w:rPr>
        <w:t xml:space="preserve"> </w:t>
      </w:r>
      <w:r>
        <w:rPr>
          <w:w w:val="105"/>
          <w:sz w:val="12"/>
        </w:rPr>
        <w:t>tortura</w:t>
      </w:r>
      <w:r>
        <w:rPr>
          <w:spacing w:val="-1"/>
          <w:w w:val="105"/>
          <w:sz w:val="12"/>
        </w:rPr>
        <w:t xml:space="preserve"> </w:t>
      </w:r>
      <w:r>
        <w:rPr>
          <w:w w:val="105"/>
          <w:sz w:val="12"/>
        </w:rPr>
        <w:t>o</w:t>
      </w:r>
      <w:r>
        <w:rPr>
          <w:spacing w:val="-1"/>
          <w:w w:val="105"/>
          <w:sz w:val="12"/>
        </w:rPr>
        <w:t xml:space="preserve"> </w:t>
      </w:r>
      <w:r>
        <w:rPr>
          <w:w w:val="105"/>
          <w:sz w:val="12"/>
        </w:rPr>
        <w:t>trato</w:t>
      </w:r>
      <w:r>
        <w:rPr>
          <w:spacing w:val="-1"/>
          <w:w w:val="105"/>
          <w:sz w:val="12"/>
        </w:rPr>
        <w:t xml:space="preserve"> </w:t>
      </w:r>
      <w:r>
        <w:rPr>
          <w:w w:val="105"/>
          <w:sz w:val="12"/>
        </w:rPr>
        <w:t>cruel, inhumano</w:t>
      </w:r>
      <w:r>
        <w:rPr>
          <w:spacing w:val="-1"/>
          <w:w w:val="105"/>
          <w:sz w:val="12"/>
        </w:rPr>
        <w:t xml:space="preserve"> </w:t>
      </w:r>
      <w:r>
        <w:rPr>
          <w:w w:val="105"/>
          <w:sz w:val="12"/>
        </w:rPr>
        <w:t>o</w:t>
      </w:r>
      <w:r>
        <w:rPr>
          <w:spacing w:val="-1"/>
          <w:w w:val="105"/>
          <w:sz w:val="12"/>
        </w:rPr>
        <w:t xml:space="preserve"> </w:t>
      </w:r>
      <w:r>
        <w:rPr>
          <w:w w:val="105"/>
          <w:sz w:val="12"/>
        </w:rPr>
        <w:t>degradante</w:t>
      </w:r>
      <w:r>
        <w:rPr>
          <w:spacing w:val="-1"/>
          <w:w w:val="105"/>
          <w:sz w:val="12"/>
        </w:rPr>
        <w:t xml:space="preserve"> </w:t>
      </w:r>
      <w:r>
        <w:rPr>
          <w:w w:val="105"/>
          <w:sz w:val="12"/>
        </w:rPr>
        <w:t>en</w:t>
      </w:r>
      <w:r>
        <w:rPr>
          <w:spacing w:val="-1"/>
          <w:w w:val="105"/>
          <w:sz w:val="12"/>
        </w:rPr>
        <w:t xml:space="preserve"> </w:t>
      </w:r>
      <w:r>
        <w:rPr>
          <w:w w:val="105"/>
          <w:sz w:val="12"/>
        </w:rPr>
        <w:t>determinadas</w:t>
      </w:r>
      <w:r>
        <w:rPr>
          <w:spacing w:val="-1"/>
          <w:w w:val="105"/>
          <w:sz w:val="12"/>
        </w:rPr>
        <w:t xml:space="preserve"> </w:t>
      </w:r>
      <w:r>
        <w:rPr>
          <w:w w:val="105"/>
          <w:sz w:val="12"/>
        </w:rPr>
        <w:t>circunstancias, incluidos</w:t>
      </w:r>
      <w:r>
        <w:rPr>
          <w:spacing w:val="-1"/>
          <w:w w:val="105"/>
          <w:sz w:val="12"/>
        </w:rPr>
        <w:t xml:space="preserve"> </w:t>
      </w:r>
      <w:r>
        <w:rPr>
          <w:w w:val="105"/>
          <w:sz w:val="12"/>
        </w:rPr>
        <w:t>los</w:t>
      </w:r>
    </w:p>
    <w:p w14:paraId="5A35C6F7" w14:textId="77777777" w:rsidR="0014798C" w:rsidRDefault="004E1F0B">
      <w:pPr>
        <w:spacing w:before="1" w:line="312" w:lineRule="auto"/>
        <w:ind w:left="1365" w:right="1418" w:firstLine="1"/>
        <w:rPr>
          <w:sz w:val="12"/>
        </w:rPr>
      </w:pPr>
      <w:r>
        <w:rPr>
          <w:w w:val="105"/>
          <w:sz w:val="12"/>
        </w:rPr>
        <w:t>casos de violación, violencia doméstica o prácticas nocivas”. El Comité se refiere a este respecto a los informes pertinentes de los titulares de mandatos de</w:t>
      </w:r>
      <w:r>
        <w:rPr>
          <w:spacing w:val="40"/>
          <w:w w:val="105"/>
          <w:sz w:val="12"/>
        </w:rPr>
        <w:t xml:space="preserve"> </w:t>
      </w:r>
      <w:r>
        <w:rPr>
          <w:w w:val="105"/>
          <w:sz w:val="12"/>
        </w:rPr>
        <w:t>procedimientos</w:t>
      </w:r>
      <w:r>
        <w:rPr>
          <w:spacing w:val="-1"/>
          <w:w w:val="105"/>
          <w:sz w:val="12"/>
        </w:rPr>
        <w:t xml:space="preserve"> </w:t>
      </w:r>
      <w:r>
        <w:rPr>
          <w:w w:val="105"/>
          <w:sz w:val="12"/>
        </w:rPr>
        <w:t>especiales, así</w:t>
      </w:r>
      <w:r>
        <w:rPr>
          <w:spacing w:val="-1"/>
          <w:w w:val="105"/>
          <w:sz w:val="12"/>
        </w:rPr>
        <w:t xml:space="preserve"> </w:t>
      </w:r>
      <w:r>
        <w:rPr>
          <w:w w:val="105"/>
          <w:sz w:val="12"/>
        </w:rPr>
        <w:t>como</w:t>
      </w:r>
      <w:r>
        <w:rPr>
          <w:spacing w:val="-1"/>
          <w:w w:val="105"/>
          <w:sz w:val="12"/>
        </w:rPr>
        <w:t xml:space="preserve"> </w:t>
      </w:r>
      <w:r>
        <w:rPr>
          <w:w w:val="105"/>
          <w:sz w:val="12"/>
        </w:rPr>
        <w:t>a</w:t>
      </w:r>
      <w:r>
        <w:rPr>
          <w:spacing w:val="-1"/>
          <w:w w:val="105"/>
          <w:sz w:val="12"/>
        </w:rPr>
        <w:t xml:space="preserve"> </w:t>
      </w:r>
      <w:r>
        <w:rPr>
          <w:w w:val="105"/>
          <w:sz w:val="12"/>
        </w:rPr>
        <w:t>las</w:t>
      </w:r>
      <w:r>
        <w:rPr>
          <w:spacing w:val="-1"/>
          <w:w w:val="105"/>
          <w:sz w:val="12"/>
        </w:rPr>
        <w:t xml:space="preserve"> </w:t>
      </w:r>
      <w:r>
        <w:rPr>
          <w:w w:val="105"/>
          <w:sz w:val="12"/>
        </w:rPr>
        <w:t>observaciones</w:t>
      </w:r>
      <w:r>
        <w:rPr>
          <w:spacing w:val="-1"/>
          <w:w w:val="105"/>
          <w:sz w:val="12"/>
        </w:rPr>
        <w:t xml:space="preserve"> </w:t>
      </w:r>
      <w:r>
        <w:rPr>
          <w:w w:val="105"/>
          <w:sz w:val="12"/>
        </w:rPr>
        <w:t>finales</w:t>
      </w:r>
      <w:r>
        <w:rPr>
          <w:spacing w:val="-1"/>
          <w:w w:val="105"/>
          <w:sz w:val="12"/>
        </w:rPr>
        <w:t xml:space="preserve"> </w:t>
      </w:r>
      <w:r>
        <w:rPr>
          <w:w w:val="105"/>
          <w:sz w:val="12"/>
        </w:rPr>
        <w:t>de</w:t>
      </w:r>
      <w:r>
        <w:rPr>
          <w:spacing w:val="-1"/>
          <w:w w:val="105"/>
          <w:sz w:val="12"/>
        </w:rPr>
        <w:t xml:space="preserve"> </w:t>
      </w:r>
      <w:r>
        <w:rPr>
          <w:w w:val="105"/>
          <w:sz w:val="12"/>
        </w:rPr>
        <w:t>los</w:t>
      </w:r>
      <w:r>
        <w:rPr>
          <w:spacing w:val="-1"/>
          <w:w w:val="105"/>
          <w:sz w:val="12"/>
        </w:rPr>
        <w:t xml:space="preserve"> </w:t>
      </w:r>
      <w:r>
        <w:rPr>
          <w:w w:val="105"/>
          <w:sz w:val="12"/>
        </w:rPr>
        <w:t>órganos</w:t>
      </w:r>
      <w:r>
        <w:rPr>
          <w:spacing w:val="-1"/>
          <w:w w:val="105"/>
          <w:sz w:val="12"/>
        </w:rPr>
        <w:t xml:space="preserve"> </w:t>
      </w:r>
      <w:r>
        <w:rPr>
          <w:w w:val="105"/>
          <w:sz w:val="12"/>
        </w:rPr>
        <w:t>creados</w:t>
      </w:r>
      <w:r>
        <w:rPr>
          <w:spacing w:val="-1"/>
          <w:w w:val="105"/>
          <w:sz w:val="12"/>
        </w:rPr>
        <w:t xml:space="preserve"> </w:t>
      </w:r>
      <w:r>
        <w:rPr>
          <w:w w:val="105"/>
          <w:sz w:val="12"/>
        </w:rPr>
        <w:t>en</w:t>
      </w:r>
      <w:r>
        <w:rPr>
          <w:spacing w:val="-1"/>
          <w:w w:val="105"/>
          <w:sz w:val="12"/>
        </w:rPr>
        <w:t xml:space="preserve"> </w:t>
      </w:r>
      <w:r>
        <w:rPr>
          <w:w w:val="105"/>
          <w:sz w:val="12"/>
        </w:rPr>
        <w:t>virtud</w:t>
      </w:r>
      <w:r>
        <w:rPr>
          <w:spacing w:val="-1"/>
          <w:w w:val="105"/>
          <w:sz w:val="12"/>
        </w:rPr>
        <w:t xml:space="preserve"> </w:t>
      </w:r>
      <w:r>
        <w:rPr>
          <w:w w:val="105"/>
          <w:sz w:val="12"/>
        </w:rPr>
        <w:t>de</w:t>
      </w:r>
      <w:r>
        <w:rPr>
          <w:spacing w:val="-1"/>
          <w:w w:val="105"/>
          <w:sz w:val="12"/>
        </w:rPr>
        <w:t xml:space="preserve"> </w:t>
      </w:r>
      <w:r>
        <w:rPr>
          <w:w w:val="105"/>
          <w:sz w:val="12"/>
        </w:rPr>
        <w:t>tratados</w:t>
      </w:r>
      <w:r>
        <w:rPr>
          <w:spacing w:val="-1"/>
          <w:w w:val="105"/>
          <w:sz w:val="12"/>
        </w:rPr>
        <w:t xml:space="preserve"> </w:t>
      </w:r>
      <w:r>
        <w:rPr>
          <w:w w:val="105"/>
          <w:sz w:val="12"/>
        </w:rPr>
        <w:t>de</w:t>
      </w:r>
      <w:r>
        <w:rPr>
          <w:spacing w:val="-1"/>
          <w:w w:val="105"/>
          <w:sz w:val="12"/>
        </w:rPr>
        <w:t xml:space="preserve"> </w:t>
      </w:r>
      <w:r>
        <w:rPr>
          <w:w w:val="105"/>
          <w:sz w:val="12"/>
        </w:rPr>
        <w:t>derechos</w:t>
      </w:r>
      <w:r>
        <w:rPr>
          <w:spacing w:val="-1"/>
          <w:w w:val="105"/>
          <w:sz w:val="12"/>
        </w:rPr>
        <w:t xml:space="preserve"> </w:t>
      </w:r>
      <w:r>
        <w:rPr>
          <w:w w:val="105"/>
          <w:sz w:val="12"/>
        </w:rPr>
        <w:t>humanos, como</w:t>
      </w:r>
      <w:r>
        <w:rPr>
          <w:spacing w:val="-1"/>
          <w:w w:val="105"/>
          <w:sz w:val="12"/>
        </w:rPr>
        <w:t xml:space="preserve"> </w:t>
      </w:r>
      <w:r>
        <w:rPr>
          <w:w w:val="105"/>
          <w:sz w:val="12"/>
        </w:rPr>
        <w:t>el</w:t>
      </w:r>
      <w:r>
        <w:rPr>
          <w:spacing w:val="-1"/>
          <w:w w:val="105"/>
          <w:sz w:val="12"/>
        </w:rPr>
        <w:t xml:space="preserve"> </w:t>
      </w:r>
      <w:r>
        <w:rPr>
          <w:w w:val="105"/>
          <w:sz w:val="12"/>
        </w:rPr>
        <w:t>Comité</w:t>
      </w:r>
      <w:r>
        <w:rPr>
          <w:spacing w:val="-1"/>
          <w:w w:val="105"/>
          <w:sz w:val="12"/>
        </w:rPr>
        <w:t xml:space="preserve"> </w:t>
      </w:r>
      <w:r>
        <w:rPr>
          <w:w w:val="105"/>
          <w:sz w:val="12"/>
        </w:rPr>
        <w:t>contra</w:t>
      </w:r>
      <w:r>
        <w:rPr>
          <w:spacing w:val="-1"/>
          <w:w w:val="105"/>
          <w:sz w:val="12"/>
        </w:rPr>
        <w:t xml:space="preserve"> </w:t>
      </w:r>
      <w:r>
        <w:rPr>
          <w:w w:val="105"/>
          <w:sz w:val="12"/>
        </w:rPr>
        <w:t>la</w:t>
      </w:r>
      <w:r>
        <w:rPr>
          <w:spacing w:val="40"/>
          <w:w w:val="105"/>
          <w:sz w:val="12"/>
        </w:rPr>
        <w:t xml:space="preserve"> </w:t>
      </w:r>
      <w:r>
        <w:rPr>
          <w:w w:val="105"/>
          <w:sz w:val="12"/>
        </w:rPr>
        <w:t>Tortura y el Comité de Derechos Humanos. Véase Comité para la Eliminación de la Discriminación contra la Mujer, recomendación general núm. 35 (2017),</w:t>
      </w:r>
      <w:r>
        <w:rPr>
          <w:spacing w:val="40"/>
          <w:w w:val="105"/>
          <w:sz w:val="12"/>
        </w:rPr>
        <w:t xml:space="preserve"> </w:t>
      </w:r>
      <w:r>
        <w:rPr>
          <w:w w:val="105"/>
          <w:sz w:val="12"/>
        </w:rPr>
        <w:t>párr.</w:t>
      </w:r>
      <w:r>
        <w:rPr>
          <w:spacing w:val="-3"/>
          <w:w w:val="105"/>
          <w:sz w:val="12"/>
        </w:rPr>
        <w:t xml:space="preserve"> </w:t>
      </w:r>
      <w:r>
        <w:rPr>
          <w:w w:val="105"/>
          <w:sz w:val="12"/>
        </w:rPr>
        <w:t>16,</w:t>
      </w:r>
      <w:r>
        <w:rPr>
          <w:spacing w:val="-3"/>
          <w:w w:val="105"/>
          <w:sz w:val="12"/>
        </w:rPr>
        <w:t xml:space="preserve"> </w:t>
      </w:r>
      <w:r>
        <w:rPr>
          <w:w w:val="105"/>
          <w:sz w:val="12"/>
        </w:rPr>
        <w:t>y</w:t>
      </w:r>
      <w:r>
        <w:rPr>
          <w:spacing w:val="-3"/>
          <w:w w:val="105"/>
          <w:sz w:val="12"/>
        </w:rPr>
        <w:t xml:space="preserve"> </w:t>
      </w:r>
      <w:r>
        <w:rPr>
          <w:w w:val="105"/>
          <w:sz w:val="12"/>
        </w:rPr>
        <w:t>las</w:t>
      </w:r>
      <w:r>
        <w:rPr>
          <w:spacing w:val="-3"/>
          <w:w w:val="105"/>
          <w:sz w:val="12"/>
        </w:rPr>
        <w:t xml:space="preserve"> </w:t>
      </w:r>
      <w:r>
        <w:rPr>
          <w:w w:val="105"/>
          <w:sz w:val="12"/>
        </w:rPr>
        <w:t>citas</w:t>
      </w:r>
      <w:r>
        <w:rPr>
          <w:spacing w:val="-3"/>
          <w:w w:val="105"/>
          <w:sz w:val="12"/>
        </w:rPr>
        <w:t xml:space="preserve"> </w:t>
      </w:r>
      <w:r>
        <w:rPr>
          <w:w w:val="105"/>
          <w:sz w:val="12"/>
        </w:rPr>
        <w:t>incluidas</w:t>
      </w:r>
      <w:r>
        <w:rPr>
          <w:spacing w:val="-3"/>
          <w:w w:val="105"/>
          <w:sz w:val="12"/>
        </w:rPr>
        <w:t xml:space="preserve"> </w:t>
      </w:r>
      <w:r>
        <w:rPr>
          <w:w w:val="105"/>
          <w:sz w:val="12"/>
        </w:rPr>
        <w:t>en</w:t>
      </w:r>
      <w:r>
        <w:rPr>
          <w:spacing w:val="-3"/>
          <w:w w:val="105"/>
          <w:sz w:val="12"/>
        </w:rPr>
        <w:t xml:space="preserve"> </w:t>
      </w:r>
      <w:r>
        <w:rPr>
          <w:w w:val="105"/>
          <w:sz w:val="12"/>
        </w:rPr>
        <w:t>el</w:t>
      </w:r>
      <w:r>
        <w:rPr>
          <w:spacing w:val="-3"/>
          <w:w w:val="105"/>
          <w:sz w:val="12"/>
        </w:rPr>
        <w:t xml:space="preserve"> </w:t>
      </w:r>
      <w:r>
        <w:rPr>
          <w:w w:val="105"/>
          <w:sz w:val="12"/>
        </w:rPr>
        <w:t>mismo.</w:t>
      </w:r>
      <w:r>
        <w:rPr>
          <w:spacing w:val="-2"/>
          <w:w w:val="105"/>
          <w:sz w:val="12"/>
        </w:rPr>
        <w:t xml:space="preserve"> </w:t>
      </w:r>
      <w:r>
        <w:rPr>
          <w:w w:val="105"/>
          <w:sz w:val="12"/>
        </w:rPr>
        <w:t>Véanse</w:t>
      </w:r>
      <w:r>
        <w:rPr>
          <w:spacing w:val="-3"/>
          <w:w w:val="105"/>
          <w:sz w:val="12"/>
        </w:rPr>
        <w:t xml:space="preserve"> </w:t>
      </w:r>
      <w:r>
        <w:rPr>
          <w:w w:val="105"/>
          <w:sz w:val="12"/>
        </w:rPr>
        <w:t>también</w:t>
      </w:r>
      <w:r>
        <w:rPr>
          <w:spacing w:val="-3"/>
          <w:w w:val="105"/>
          <w:sz w:val="12"/>
        </w:rPr>
        <w:t xml:space="preserve"> </w:t>
      </w:r>
      <w:hyperlink r:id="rId291">
        <w:r>
          <w:rPr>
            <w:w w:val="105"/>
            <w:sz w:val="12"/>
          </w:rPr>
          <w:t>A/HRC/31/57;</w:t>
        </w:r>
      </w:hyperlink>
      <w:r>
        <w:rPr>
          <w:spacing w:val="-3"/>
          <w:w w:val="105"/>
          <w:sz w:val="12"/>
        </w:rPr>
        <w:t xml:space="preserve"> </w:t>
      </w:r>
      <w:r>
        <w:rPr>
          <w:w w:val="105"/>
          <w:sz w:val="12"/>
        </w:rPr>
        <w:t>y</w:t>
      </w:r>
      <w:r>
        <w:rPr>
          <w:spacing w:val="-3"/>
          <w:w w:val="105"/>
          <w:sz w:val="12"/>
        </w:rPr>
        <w:t xml:space="preserve"> </w:t>
      </w:r>
      <w:r>
        <w:rPr>
          <w:w w:val="105"/>
          <w:sz w:val="12"/>
        </w:rPr>
        <w:t>A/HRC/7/3,</w:t>
      </w:r>
      <w:r>
        <w:rPr>
          <w:spacing w:val="-3"/>
          <w:w w:val="105"/>
          <w:sz w:val="12"/>
        </w:rPr>
        <w:t xml:space="preserve"> </w:t>
      </w:r>
      <w:r>
        <w:rPr>
          <w:w w:val="105"/>
          <w:sz w:val="12"/>
        </w:rPr>
        <w:t>párr.</w:t>
      </w:r>
      <w:r>
        <w:rPr>
          <w:spacing w:val="-3"/>
          <w:w w:val="105"/>
          <w:sz w:val="12"/>
        </w:rPr>
        <w:t xml:space="preserve"> </w:t>
      </w:r>
      <w:r>
        <w:rPr>
          <w:w w:val="105"/>
          <w:sz w:val="12"/>
        </w:rPr>
        <w:t>36.</w:t>
      </w:r>
    </w:p>
    <w:p w14:paraId="5C1ECEB7" w14:textId="77777777" w:rsidR="0014798C" w:rsidRDefault="004E1F0B">
      <w:pPr>
        <w:spacing w:before="63"/>
        <w:ind w:left="1111"/>
        <w:rPr>
          <w:sz w:val="12"/>
        </w:rPr>
      </w:pPr>
      <w:r>
        <w:rPr>
          <w:spacing w:val="-2"/>
          <w:sz w:val="12"/>
        </w:rPr>
        <w:t>1047</w:t>
      </w:r>
      <w:r>
        <w:rPr>
          <w:spacing w:val="2"/>
          <w:sz w:val="12"/>
        </w:rPr>
        <w:t xml:space="preserve"> </w:t>
      </w:r>
      <w:r>
        <w:rPr>
          <w:spacing w:val="-2"/>
          <w:sz w:val="12"/>
        </w:rPr>
        <w:t>Comité</w:t>
      </w:r>
      <w:r>
        <w:rPr>
          <w:spacing w:val="3"/>
          <w:sz w:val="12"/>
        </w:rPr>
        <w:t xml:space="preserve"> </w:t>
      </w:r>
      <w:r>
        <w:rPr>
          <w:spacing w:val="-2"/>
          <w:sz w:val="12"/>
        </w:rPr>
        <w:t>de</w:t>
      </w:r>
      <w:r>
        <w:rPr>
          <w:spacing w:val="3"/>
          <w:sz w:val="12"/>
        </w:rPr>
        <w:t xml:space="preserve"> </w:t>
      </w:r>
      <w:r>
        <w:rPr>
          <w:spacing w:val="-2"/>
          <w:sz w:val="12"/>
        </w:rPr>
        <w:t>Derechos</w:t>
      </w:r>
      <w:r>
        <w:rPr>
          <w:spacing w:val="3"/>
          <w:sz w:val="12"/>
        </w:rPr>
        <w:t xml:space="preserve"> </w:t>
      </w:r>
      <w:r>
        <w:rPr>
          <w:spacing w:val="-2"/>
          <w:sz w:val="12"/>
        </w:rPr>
        <w:t>Humanos,</w:t>
      </w:r>
      <w:r>
        <w:rPr>
          <w:spacing w:val="4"/>
          <w:sz w:val="12"/>
        </w:rPr>
        <w:t xml:space="preserve"> </w:t>
      </w:r>
      <w:r>
        <w:rPr>
          <w:spacing w:val="-2"/>
          <w:sz w:val="12"/>
        </w:rPr>
        <w:t>observación</w:t>
      </w:r>
      <w:r>
        <w:rPr>
          <w:spacing w:val="3"/>
          <w:sz w:val="12"/>
        </w:rPr>
        <w:t xml:space="preserve"> </w:t>
      </w:r>
      <w:r>
        <w:rPr>
          <w:spacing w:val="-2"/>
          <w:sz w:val="12"/>
        </w:rPr>
        <w:t>general</w:t>
      </w:r>
      <w:r>
        <w:rPr>
          <w:spacing w:val="3"/>
          <w:sz w:val="12"/>
        </w:rPr>
        <w:t xml:space="preserve"> </w:t>
      </w:r>
      <w:r>
        <w:rPr>
          <w:spacing w:val="-2"/>
          <w:sz w:val="12"/>
        </w:rPr>
        <w:t>núm.</w:t>
      </w:r>
      <w:r>
        <w:rPr>
          <w:spacing w:val="3"/>
          <w:sz w:val="12"/>
        </w:rPr>
        <w:t xml:space="preserve"> </w:t>
      </w:r>
      <w:r>
        <w:rPr>
          <w:spacing w:val="-2"/>
          <w:sz w:val="12"/>
        </w:rPr>
        <w:t>28</w:t>
      </w:r>
      <w:r>
        <w:rPr>
          <w:spacing w:val="2"/>
          <w:sz w:val="12"/>
        </w:rPr>
        <w:t xml:space="preserve"> </w:t>
      </w:r>
      <w:r>
        <w:rPr>
          <w:spacing w:val="-2"/>
          <w:sz w:val="12"/>
        </w:rPr>
        <w:t>(2000),</w:t>
      </w:r>
      <w:r>
        <w:rPr>
          <w:spacing w:val="4"/>
          <w:sz w:val="12"/>
        </w:rPr>
        <w:t xml:space="preserve"> </w:t>
      </w:r>
      <w:r>
        <w:rPr>
          <w:spacing w:val="-2"/>
          <w:sz w:val="12"/>
        </w:rPr>
        <w:t>párr.</w:t>
      </w:r>
      <w:r>
        <w:rPr>
          <w:spacing w:val="4"/>
          <w:sz w:val="12"/>
        </w:rPr>
        <w:t xml:space="preserve"> </w:t>
      </w:r>
      <w:r>
        <w:rPr>
          <w:spacing w:val="-5"/>
          <w:sz w:val="12"/>
        </w:rPr>
        <w:t>5.</w:t>
      </w:r>
    </w:p>
    <w:p w14:paraId="24ED2C48" w14:textId="77777777" w:rsidR="0014798C" w:rsidRDefault="004E1F0B">
      <w:pPr>
        <w:spacing w:before="98"/>
        <w:ind w:left="1111"/>
        <w:rPr>
          <w:sz w:val="12"/>
        </w:rPr>
      </w:pPr>
      <w:r>
        <w:rPr>
          <w:sz w:val="12"/>
        </w:rPr>
        <w:t>1048</w:t>
      </w:r>
      <w:r>
        <w:rPr>
          <w:spacing w:val="-8"/>
          <w:sz w:val="12"/>
        </w:rPr>
        <w:t xml:space="preserve"> </w:t>
      </w:r>
      <w:proofErr w:type="spellStart"/>
      <w:r>
        <w:rPr>
          <w:sz w:val="12"/>
        </w:rPr>
        <w:t>Ibíd</w:t>
      </w:r>
      <w:proofErr w:type="spellEnd"/>
      <w:r>
        <w:rPr>
          <w:sz w:val="12"/>
        </w:rPr>
        <w:t>.,</w:t>
      </w:r>
      <w:r>
        <w:rPr>
          <w:spacing w:val="-8"/>
          <w:sz w:val="12"/>
        </w:rPr>
        <w:t xml:space="preserve"> </w:t>
      </w:r>
      <w:r>
        <w:rPr>
          <w:sz w:val="12"/>
        </w:rPr>
        <w:t>párr.</w:t>
      </w:r>
      <w:r>
        <w:rPr>
          <w:spacing w:val="-6"/>
          <w:sz w:val="12"/>
        </w:rPr>
        <w:t xml:space="preserve"> </w:t>
      </w:r>
      <w:r>
        <w:rPr>
          <w:spacing w:val="-5"/>
          <w:sz w:val="12"/>
        </w:rPr>
        <w:t>32.</w:t>
      </w:r>
    </w:p>
    <w:p w14:paraId="39C88BEA" w14:textId="77777777" w:rsidR="0014798C" w:rsidRDefault="0014798C">
      <w:pPr>
        <w:pStyle w:val="Textoindependiente"/>
        <w:rPr>
          <w:sz w:val="17"/>
        </w:rPr>
      </w:pPr>
    </w:p>
    <w:p w14:paraId="5DAC6DF7" w14:textId="77777777" w:rsidR="0014798C" w:rsidRDefault="0014798C">
      <w:pPr>
        <w:pStyle w:val="Textoindependiente"/>
        <w:rPr>
          <w:sz w:val="17"/>
        </w:rPr>
      </w:pPr>
    </w:p>
    <w:p w14:paraId="3B039464" w14:textId="77777777" w:rsidR="0014798C" w:rsidRDefault="0014798C">
      <w:pPr>
        <w:pStyle w:val="Textoindependiente"/>
        <w:spacing w:before="60"/>
        <w:rPr>
          <w:sz w:val="17"/>
        </w:rPr>
      </w:pPr>
    </w:p>
    <w:p w14:paraId="13609D3E" w14:textId="77777777" w:rsidR="0014798C" w:rsidRDefault="004E1F0B">
      <w:pPr>
        <w:ind w:left="481"/>
        <w:rPr>
          <w:sz w:val="17"/>
        </w:rPr>
      </w:pPr>
      <w:r>
        <w:rPr>
          <w:spacing w:val="-5"/>
          <w:w w:val="105"/>
          <w:sz w:val="17"/>
        </w:rPr>
        <w:t>152</w:t>
      </w:r>
    </w:p>
    <w:p w14:paraId="7C7D0FFD" w14:textId="77777777" w:rsidR="0014798C" w:rsidRDefault="0014798C">
      <w:pPr>
        <w:rPr>
          <w:sz w:val="17"/>
        </w:rPr>
        <w:sectPr w:rsidR="0014798C" w:rsidSect="00F265E4">
          <w:pgSz w:w="11900" w:h="16820"/>
          <w:pgMar w:top="340" w:right="0" w:bottom="280" w:left="200" w:header="121" w:footer="0" w:gutter="0"/>
          <w:cols w:space="720"/>
        </w:sectPr>
      </w:pPr>
    </w:p>
    <w:p w14:paraId="64DB4D27" w14:textId="77777777" w:rsidR="0014798C" w:rsidRDefault="0014798C">
      <w:pPr>
        <w:pStyle w:val="Textoindependiente"/>
        <w:rPr>
          <w:sz w:val="9"/>
        </w:rPr>
      </w:pPr>
    </w:p>
    <w:p w14:paraId="4C2BAEE7" w14:textId="77777777" w:rsidR="0014798C" w:rsidRDefault="0014798C">
      <w:pPr>
        <w:pStyle w:val="Textoindependiente"/>
        <w:spacing w:before="31"/>
        <w:rPr>
          <w:sz w:val="9"/>
        </w:rPr>
      </w:pPr>
    </w:p>
    <w:p w14:paraId="42E1B6AC" w14:textId="77777777" w:rsidR="0014798C" w:rsidRDefault="004E1F0B">
      <w:pPr>
        <w:ind w:left="1111"/>
        <w:rPr>
          <w:sz w:val="9"/>
        </w:rPr>
      </w:pPr>
      <w:r>
        <w:rPr>
          <w:color w:val="803108"/>
          <w:w w:val="105"/>
          <w:sz w:val="9"/>
        </w:rPr>
        <w:t>PARTE</w:t>
      </w:r>
      <w:r>
        <w:rPr>
          <w:color w:val="803108"/>
          <w:spacing w:val="1"/>
          <w:w w:val="105"/>
          <w:sz w:val="9"/>
        </w:rPr>
        <w:t xml:space="preserve"> </w:t>
      </w:r>
      <w:r>
        <w:rPr>
          <w:color w:val="803108"/>
          <w:w w:val="105"/>
          <w:sz w:val="9"/>
        </w:rPr>
        <w:t>TRES:</w:t>
      </w:r>
      <w:r>
        <w:rPr>
          <w:color w:val="803108"/>
          <w:spacing w:val="2"/>
          <w:w w:val="105"/>
          <w:sz w:val="9"/>
        </w:rPr>
        <w:t xml:space="preserve"> </w:t>
      </w:r>
      <w:r>
        <w:rPr>
          <w:color w:val="803108"/>
          <w:w w:val="105"/>
          <w:sz w:val="9"/>
        </w:rPr>
        <w:t>PROTECCIÓN</w:t>
      </w:r>
      <w:r>
        <w:rPr>
          <w:color w:val="803108"/>
          <w:spacing w:val="2"/>
          <w:w w:val="105"/>
          <w:sz w:val="9"/>
        </w:rPr>
        <w:t xml:space="preserve"> </w:t>
      </w:r>
      <w:r>
        <w:rPr>
          <w:color w:val="803108"/>
          <w:w w:val="105"/>
          <w:sz w:val="9"/>
        </w:rPr>
        <w:t>DE</w:t>
      </w:r>
      <w:r>
        <w:rPr>
          <w:color w:val="803108"/>
          <w:spacing w:val="1"/>
          <w:w w:val="105"/>
          <w:sz w:val="9"/>
        </w:rPr>
        <w:t xml:space="preserve"> </w:t>
      </w:r>
      <w:r>
        <w:rPr>
          <w:color w:val="803108"/>
          <w:w w:val="105"/>
          <w:sz w:val="9"/>
        </w:rPr>
        <w:t>LOS</w:t>
      </w:r>
      <w:r>
        <w:rPr>
          <w:color w:val="803108"/>
          <w:spacing w:val="2"/>
          <w:w w:val="105"/>
          <w:sz w:val="9"/>
        </w:rPr>
        <w:t xml:space="preserve"> </w:t>
      </w:r>
      <w:r>
        <w:rPr>
          <w:color w:val="803108"/>
          <w:w w:val="105"/>
          <w:sz w:val="9"/>
        </w:rPr>
        <w:t>DERECHOS</w:t>
      </w:r>
      <w:r>
        <w:rPr>
          <w:color w:val="803108"/>
          <w:spacing w:val="3"/>
          <w:w w:val="105"/>
          <w:sz w:val="9"/>
        </w:rPr>
        <w:t xml:space="preserve"> </w:t>
      </w:r>
      <w:r>
        <w:rPr>
          <w:color w:val="803108"/>
          <w:w w:val="105"/>
          <w:sz w:val="9"/>
        </w:rPr>
        <w:t>DE</w:t>
      </w:r>
      <w:r>
        <w:rPr>
          <w:color w:val="803108"/>
          <w:spacing w:val="1"/>
          <w:w w:val="105"/>
          <w:sz w:val="9"/>
        </w:rPr>
        <w:t xml:space="preserve"> </w:t>
      </w:r>
      <w:r>
        <w:rPr>
          <w:color w:val="803108"/>
          <w:w w:val="105"/>
          <w:sz w:val="9"/>
        </w:rPr>
        <w:t>LAS</w:t>
      </w:r>
      <w:r>
        <w:rPr>
          <w:color w:val="803108"/>
          <w:spacing w:val="2"/>
          <w:w w:val="105"/>
          <w:sz w:val="9"/>
        </w:rPr>
        <w:t xml:space="preserve"> </w:t>
      </w:r>
      <w:r>
        <w:rPr>
          <w:color w:val="803108"/>
          <w:spacing w:val="-2"/>
          <w:w w:val="105"/>
          <w:sz w:val="9"/>
        </w:rPr>
        <w:t>MINORÍAS</w:t>
      </w:r>
    </w:p>
    <w:p w14:paraId="6829CDC2" w14:textId="77777777" w:rsidR="0014798C" w:rsidRDefault="0014798C">
      <w:pPr>
        <w:pStyle w:val="Textoindependiente"/>
      </w:pPr>
    </w:p>
    <w:p w14:paraId="26C76D2F" w14:textId="77777777" w:rsidR="0014798C" w:rsidRDefault="0014798C">
      <w:pPr>
        <w:pStyle w:val="Textoindependiente"/>
      </w:pPr>
    </w:p>
    <w:p w14:paraId="4BB47885" w14:textId="77777777" w:rsidR="0014798C" w:rsidRDefault="0014798C">
      <w:pPr>
        <w:pStyle w:val="Textoindependiente"/>
      </w:pPr>
    </w:p>
    <w:p w14:paraId="658054FD" w14:textId="77777777" w:rsidR="0014798C" w:rsidRDefault="0014798C">
      <w:pPr>
        <w:pStyle w:val="Textoindependiente"/>
      </w:pPr>
    </w:p>
    <w:p w14:paraId="0749637A" w14:textId="77777777" w:rsidR="0014798C" w:rsidRDefault="0014798C">
      <w:pPr>
        <w:pStyle w:val="Textoindependiente"/>
        <w:spacing w:before="92"/>
      </w:pPr>
    </w:p>
    <w:p w14:paraId="2579F293" w14:textId="77777777" w:rsidR="0014798C" w:rsidRDefault="004E1F0B">
      <w:pPr>
        <w:pStyle w:val="Textoindependiente"/>
        <w:spacing w:before="1" w:line="326" w:lineRule="auto"/>
        <w:ind w:left="1111" w:right="1463"/>
      </w:pPr>
      <w:r>
        <w:rPr>
          <w:w w:val="105"/>
        </w:rPr>
        <w:t>La</w:t>
      </w:r>
      <w:r>
        <w:rPr>
          <w:spacing w:val="-11"/>
          <w:w w:val="105"/>
        </w:rPr>
        <w:t xml:space="preserve"> </w:t>
      </w:r>
      <w:r>
        <w:rPr>
          <w:w w:val="105"/>
        </w:rPr>
        <w:t>discusión</w:t>
      </w:r>
      <w:r>
        <w:rPr>
          <w:spacing w:val="-11"/>
          <w:w w:val="105"/>
        </w:rPr>
        <w:t xml:space="preserve"> </w:t>
      </w:r>
      <w:r>
        <w:rPr>
          <w:w w:val="105"/>
        </w:rPr>
        <w:t>había</w:t>
      </w:r>
      <w:r>
        <w:rPr>
          <w:spacing w:val="-11"/>
          <w:w w:val="105"/>
        </w:rPr>
        <w:t xml:space="preserve"> </w:t>
      </w:r>
      <w:r>
        <w:rPr>
          <w:w w:val="105"/>
        </w:rPr>
        <w:t>intensificado</w:t>
      </w:r>
      <w:r>
        <w:rPr>
          <w:spacing w:val="-11"/>
          <w:w w:val="105"/>
        </w:rPr>
        <w:t xml:space="preserve"> </w:t>
      </w:r>
      <w:r>
        <w:rPr>
          <w:w w:val="105"/>
        </w:rPr>
        <w:t>el</w:t>
      </w:r>
      <w:r>
        <w:rPr>
          <w:spacing w:val="-11"/>
          <w:w w:val="105"/>
        </w:rPr>
        <w:t xml:space="preserve"> </w:t>
      </w:r>
      <w:r>
        <w:rPr>
          <w:w w:val="105"/>
        </w:rPr>
        <w:t>discurso</w:t>
      </w:r>
      <w:r>
        <w:rPr>
          <w:spacing w:val="-11"/>
          <w:w w:val="105"/>
        </w:rPr>
        <w:t xml:space="preserve"> </w:t>
      </w:r>
      <w:r>
        <w:rPr>
          <w:w w:val="105"/>
        </w:rPr>
        <w:t>negativo</w:t>
      </w:r>
      <w:r>
        <w:rPr>
          <w:spacing w:val="-11"/>
          <w:w w:val="105"/>
        </w:rPr>
        <w:t xml:space="preserve"> </w:t>
      </w:r>
      <w:r>
        <w:rPr>
          <w:w w:val="105"/>
        </w:rPr>
        <w:t>–</w:t>
      </w:r>
      <w:r>
        <w:rPr>
          <w:spacing w:val="-11"/>
          <w:w w:val="105"/>
        </w:rPr>
        <w:t xml:space="preserve"> </w:t>
      </w:r>
      <w:r>
        <w:rPr>
          <w:w w:val="105"/>
        </w:rPr>
        <w:t>particularmente</w:t>
      </w:r>
      <w:r>
        <w:rPr>
          <w:spacing w:val="-11"/>
          <w:w w:val="105"/>
        </w:rPr>
        <w:t xml:space="preserve"> </w:t>
      </w:r>
      <w:r>
        <w:rPr>
          <w:w w:val="105"/>
        </w:rPr>
        <w:t>en</w:t>
      </w:r>
      <w:r>
        <w:rPr>
          <w:spacing w:val="-11"/>
          <w:w w:val="105"/>
        </w:rPr>
        <w:t xml:space="preserve"> </w:t>
      </w:r>
      <w:r>
        <w:rPr>
          <w:w w:val="105"/>
        </w:rPr>
        <w:t>Internet</w:t>
      </w:r>
      <w:r>
        <w:rPr>
          <w:spacing w:val="-11"/>
          <w:w w:val="105"/>
        </w:rPr>
        <w:t xml:space="preserve"> </w:t>
      </w:r>
      <w:r>
        <w:rPr>
          <w:w w:val="105"/>
        </w:rPr>
        <w:t>–</w:t>
      </w:r>
      <w:r>
        <w:rPr>
          <w:spacing w:val="-11"/>
          <w:w w:val="105"/>
        </w:rPr>
        <w:t xml:space="preserve"> </w:t>
      </w:r>
      <w:r>
        <w:rPr>
          <w:w w:val="105"/>
        </w:rPr>
        <w:t>contra</w:t>
      </w:r>
      <w:r>
        <w:rPr>
          <w:spacing w:val="-11"/>
          <w:w w:val="105"/>
        </w:rPr>
        <w:t xml:space="preserve"> </w:t>
      </w:r>
      <w:r>
        <w:rPr>
          <w:w w:val="105"/>
        </w:rPr>
        <w:t>judíos</w:t>
      </w:r>
      <w:r>
        <w:rPr>
          <w:spacing w:val="-11"/>
          <w:w w:val="105"/>
        </w:rPr>
        <w:t xml:space="preserve"> </w:t>
      </w:r>
      <w:r>
        <w:rPr>
          <w:w w:val="105"/>
        </w:rPr>
        <w:t>y</w:t>
      </w:r>
      <w:r>
        <w:rPr>
          <w:spacing w:val="-11"/>
          <w:w w:val="105"/>
        </w:rPr>
        <w:t xml:space="preserve"> </w:t>
      </w:r>
      <w:r>
        <w:rPr>
          <w:w w:val="105"/>
        </w:rPr>
        <w:t>musulmanes</w:t>
      </w:r>
      <w:r>
        <w:rPr>
          <w:spacing w:val="-11"/>
          <w:w w:val="105"/>
        </w:rPr>
        <w:t xml:space="preserve"> </w:t>
      </w:r>
      <w:r>
        <w:rPr>
          <w:w w:val="105"/>
        </w:rPr>
        <w:t>y</w:t>
      </w:r>
      <w:r>
        <w:rPr>
          <w:spacing w:val="-11"/>
          <w:w w:val="105"/>
        </w:rPr>
        <w:t xml:space="preserve"> </w:t>
      </w:r>
      <w:r>
        <w:rPr>
          <w:w w:val="105"/>
        </w:rPr>
        <w:t>la</w:t>
      </w:r>
      <w:r>
        <w:rPr>
          <w:spacing w:val="-11"/>
          <w:w w:val="105"/>
        </w:rPr>
        <w:t xml:space="preserve"> </w:t>
      </w:r>
      <w:r>
        <w:rPr>
          <w:w w:val="105"/>
        </w:rPr>
        <w:t>alarma en esas comunidades provocada por las propuestas.1049</w:t>
      </w:r>
    </w:p>
    <w:p w14:paraId="525BAE2B" w14:textId="77777777" w:rsidR="0014798C" w:rsidRDefault="004E1F0B">
      <w:pPr>
        <w:pStyle w:val="Textoindependiente"/>
        <w:spacing w:before="169" w:line="326" w:lineRule="auto"/>
        <w:ind w:left="1111" w:right="1272" w:hanging="5"/>
      </w:pPr>
      <w:r>
        <w:rPr>
          <w:w w:val="105"/>
        </w:rPr>
        <w:t>Como</w:t>
      </w:r>
      <w:r>
        <w:rPr>
          <w:spacing w:val="-10"/>
          <w:w w:val="105"/>
        </w:rPr>
        <w:t xml:space="preserve"> </w:t>
      </w:r>
      <w:r>
        <w:rPr>
          <w:w w:val="105"/>
        </w:rPr>
        <w:t>se</w:t>
      </w:r>
      <w:r>
        <w:rPr>
          <w:spacing w:val="-10"/>
          <w:w w:val="105"/>
        </w:rPr>
        <w:t xml:space="preserve"> </w:t>
      </w:r>
      <w:r>
        <w:rPr>
          <w:w w:val="105"/>
        </w:rPr>
        <w:t>señaló</w:t>
      </w:r>
      <w:r>
        <w:rPr>
          <w:spacing w:val="-10"/>
          <w:w w:val="105"/>
        </w:rPr>
        <w:t xml:space="preserve"> </w:t>
      </w:r>
      <w:r>
        <w:rPr>
          <w:w w:val="105"/>
        </w:rPr>
        <w:t>anteriormente,</w:t>
      </w:r>
      <w:r>
        <w:rPr>
          <w:spacing w:val="-9"/>
          <w:w w:val="105"/>
        </w:rPr>
        <w:t xml:space="preserve"> </w:t>
      </w:r>
      <w:r>
        <w:rPr>
          <w:w w:val="105"/>
        </w:rPr>
        <w:t>en</w:t>
      </w:r>
      <w:r>
        <w:rPr>
          <w:spacing w:val="-10"/>
          <w:w w:val="105"/>
        </w:rPr>
        <w:t xml:space="preserve"> </w:t>
      </w:r>
      <w:r>
        <w:rPr>
          <w:w w:val="105"/>
        </w:rPr>
        <w:t>2011,</w:t>
      </w:r>
      <w:r>
        <w:rPr>
          <w:spacing w:val="-10"/>
          <w:w w:val="105"/>
        </w:rPr>
        <w:t xml:space="preserve"> </w:t>
      </w:r>
      <w:r>
        <w:rPr>
          <w:w w:val="105"/>
        </w:rPr>
        <w:t>el</w:t>
      </w:r>
      <w:r>
        <w:rPr>
          <w:spacing w:val="-10"/>
          <w:w w:val="105"/>
        </w:rPr>
        <w:t xml:space="preserve"> </w:t>
      </w:r>
      <w:r>
        <w:rPr>
          <w:w w:val="105"/>
        </w:rPr>
        <w:t>Comité</w:t>
      </w:r>
      <w:r>
        <w:rPr>
          <w:spacing w:val="-10"/>
          <w:w w:val="105"/>
        </w:rPr>
        <w:t xml:space="preserve"> </w:t>
      </w:r>
      <w:r>
        <w:rPr>
          <w:w w:val="105"/>
        </w:rPr>
        <w:t>para</w:t>
      </w:r>
      <w:r>
        <w:rPr>
          <w:spacing w:val="-10"/>
          <w:w w:val="105"/>
        </w:rPr>
        <w:t xml:space="preserve"> </w:t>
      </w:r>
      <w:r>
        <w:rPr>
          <w:w w:val="105"/>
        </w:rPr>
        <w:t>la</w:t>
      </w:r>
      <w:r>
        <w:rPr>
          <w:spacing w:val="-10"/>
          <w:w w:val="105"/>
        </w:rPr>
        <w:t xml:space="preserve"> </w:t>
      </w:r>
      <w:r>
        <w:rPr>
          <w:w w:val="105"/>
        </w:rPr>
        <w:t>Eliminación</w:t>
      </w:r>
      <w:r>
        <w:rPr>
          <w:spacing w:val="-10"/>
          <w:w w:val="105"/>
        </w:rPr>
        <w:t xml:space="preserve"> </w:t>
      </w:r>
      <w:r>
        <w:rPr>
          <w:w w:val="105"/>
        </w:rPr>
        <w:t>de</w:t>
      </w:r>
      <w:r>
        <w:rPr>
          <w:spacing w:val="-10"/>
          <w:w w:val="105"/>
        </w:rPr>
        <w:t xml:space="preserve"> </w:t>
      </w:r>
      <w:r>
        <w:rPr>
          <w:w w:val="105"/>
        </w:rPr>
        <w:t>la</w:t>
      </w:r>
      <w:r>
        <w:rPr>
          <w:spacing w:val="-10"/>
          <w:w w:val="105"/>
        </w:rPr>
        <w:t xml:space="preserve"> </w:t>
      </w:r>
      <w:r>
        <w:rPr>
          <w:w w:val="105"/>
        </w:rPr>
        <w:t>Discriminación</w:t>
      </w:r>
      <w:r>
        <w:rPr>
          <w:spacing w:val="-10"/>
          <w:w w:val="105"/>
        </w:rPr>
        <w:t xml:space="preserve"> </w:t>
      </w:r>
      <w:r>
        <w:rPr>
          <w:w w:val="105"/>
        </w:rPr>
        <w:t>contra</w:t>
      </w:r>
      <w:r>
        <w:rPr>
          <w:spacing w:val="-10"/>
          <w:w w:val="105"/>
        </w:rPr>
        <w:t xml:space="preserve"> </w:t>
      </w:r>
      <w:r>
        <w:rPr>
          <w:w w:val="105"/>
        </w:rPr>
        <w:t>la</w:t>
      </w:r>
      <w:r>
        <w:rPr>
          <w:spacing w:val="-10"/>
          <w:w w:val="105"/>
        </w:rPr>
        <w:t xml:space="preserve"> </w:t>
      </w:r>
      <w:r>
        <w:rPr>
          <w:w w:val="105"/>
        </w:rPr>
        <w:t>Mujer</w:t>
      </w:r>
      <w:r>
        <w:rPr>
          <w:spacing w:val="-10"/>
          <w:w w:val="105"/>
        </w:rPr>
        <w:t xml:space="preserve"> </w:t>
      </w:r>
      <w:r>
        <w:rPr>
          <w:w w:val="105"/>
        </w:rPr>
        <w:t>y</w:t>
      </w:r>
      <w:r>
        <w:rPr>
          <w:spacing w:val="-10"/>
          <w:w w:val="105"/>
        </w:rPr>
        <w:t xml:space="preserve"> </w:t>
      </w:r>
      <w:r>
        <w:rPr>
          <w:w w:val="105"/>
        </w:rPr>
        <w:t>el</w:t>
      </w:r>
      <w:r>
        <w:rPr>
          <w:spacing w:val="-10"/>
          <w:w w:val="105"/>
        </w:rPr>
        <w:t xml:space="preserve"> </w:t>
      </w:r>
      <w:r>
        <w:rPr>
          <w:w w:val="105"/>
        </w:rPr>
        <w:t>Comité</w:t>
      </w:r>
      <w:r>
        <w:rPr>
          <w:spacing w:val="-10"/>
          <w:w w:val="105"/>
        </w:rPr>
        <w:t xml:space="preserve"> </w:t>
      </w:r>
      <w:r>
        <w:rPr>
          <w:w w:val="105"/>
        </w:rPr>
        <w:t>de</w:t>
      </w:r>
      <w:r>
        <w:rPr>
          <w:spacing w:val="-10"/>
          <w:w w:val="105"/>
        </w:rPr>
        <w:t xml:space="preserve"> </w:t>
      </w:r>
      <w:r>
        <w:rPr>
          <w:w w:val="105"/>
        </w:rPr>
        <w:t>los Derechos</w:t>
      </w:r>
      <w:r>
        <w:rPr>
          <w:spacing w:val="-2"/>
          <w:w w:val="105"/>
        </w:rPr>
        <w:t xml:space="preserve"> </w:t>
      </w:r>
      <w:r>
        <w:rPr>
          <w:w w:val="105"/>
        </w:rPr>
        <w:t>del</w:t>
      </w:r>
      <w:r>
        <w:rPr>
          <w:spacing w:val="-2"/>
          <w:w w:val="105"/>
        </w:rPr>
        <w:t xml:space="preserve"> </w:t>
      </w:r>
      <w:r>
        <w:rPr>
          <w:w w:val="105"/>
        </w:rPr>
        <w:t>Niño</w:t>
      </w:r>
      <w:r>
        <w:rPr>
          <w:spacing w:val="-2"/>
          <w:w w:val="105"/>
        </w:rPr>
        <w:t xml:space="preserve"> </w:t>
      </w:r>
      <w:r>
        <w:rPr>
          <w:w w:val="105"/>
        </w:rPr>
        <w:t>adoptaron</w:t>
      </w:r>
      <w:r>
        <w:rPr>
          <w:spacing w:val="-2"/>
          <w:w w:val="105"/>
        </w:rPr>
        <w:t xml:space="preserve"> </w:t>
      </w:r>
      <w:r>
        <w:rPr>
          <w:w w:val="105"/>
        </w:rPr>
        <w:t>orientaciones</w:t>
      </w:r>
      <w:r>
        <w:rPr>
          <w:spacing w:val="-3"/>
          <w:w w:val="105"/>
        </w:rPr>
        <w:t xml:space="preserve"> </w:t>
      </w:r>
      <w:r>
        <w:rPr>
          <w:w w:val="105"/>
        </w:rPr>
        <w:t>detalladas</w:t>
      </w:r>
      <w:r>
        <w:rPr>
          <w:spacing w:val="-2"/>
          <w:w w:val="105"/>
        </w:rPr>
        <w:t xml:space="preserve"> </w:t>
      </w:r>
      <w:r>
        <w:rPr>
          <w:w w:val="105"/>
        </w:rPr>
        <w:t>para</w:t>
      </w:r>
      <w:r>
        <w:rPr>
          <w:spacing w:val="-2"/>
          <w:w w:val="105"/>
        </w:rPr>
        <w:t xml:space="preserve"> </w:t>
      </w:r>
      <w:r>
        <w:rPr>
          <w:w w:val="105"/>
        </w:rPr>
        <w:t>poner</w:t>
      </w:r>
      <w:r>
        <w:rPr>
          <w:spacing w:val="-2"/>
          <w:w w:val="105"/>
        </w:rPr>
        <w:t xml:space="preserve"> </w:t>
      </w:r>
      <w:r>
        <w:rPr>
          <w:w w:val="105"/>
        </w:rPr>
        <w:t>fin</w:t>
      </w:r>
      <w:r>
        <w:rPr>
          <w:spacing w:val="-2"/>
          <w:w w:val="105"/>
        </w:rPr>
        <w:t xml:space="preserve"> </w:t>
      </w:r>
      <w:r>
        <w:rPr>
          <w:w w:val="105"/>
        </w:rPr>
        <w:t>a</w:t>
      </w:r>
      <w:r>
        <w:rPr>
          <w:spacing w:val="-2"/>
          <w:w w:val="105"/>
        </w:rPr>
        <w:t xml:space="preserve"> </w:t>
      </w:r>
      <w:r>
        <w:rPr>
          <w:w w:val="105"/>
        </w:rPr>
        <w:t>las</w:t>
      </w:r>
      <w:r>
        <w:rPr>
          <w:spacing w:val="-2"/>
          <w:w w:val="105"/>
        </w:rPr>
        <w:t xml:space="preserve"> </w:t>
      </w:r>
      <w:r>
        <w:rPr>
          <w:w w:val="105"/>
        </w:rPr>
        <w:t>prácticas</w:t>
      </w:r>
      <w:r>
        <w:rPr>
          <w:spacing w:val="-2"/>
          <w:w w:val="105"/>
        </w:rPr>
        <w:t xml:space="preserve"> </w:t>
      </w:r>
      <w:r>
        <w:rPr>
          <w:w w:val="105"/>
        </w:rPr>
        <w:t>nocivas,</w:t>
      </w:r>
      <w:r>
        <w:rPr>
          <w:spacing w:val="-1"/>
          <w:w w:val="105"/>
        </w:rPr>
        <w:t xml:space="preserve"> </w:t>
      </w:r>
      <w:r>
        <w:rPr>
          <w:w w:val="105"/>
        </w:rPr>
        <w:t>incluidos</w:t>
      </w:r>
      <w:r>
        <w:rPr>
          <w:spacing w:val="-2"/>
          <w:w w:val="105"/>
        </w:rPr>
        <w:t xml:space="preserve"> </w:t>
      </w:r>
      <w:r>
        <w:rPr>
          <w:w w:val="105"/>
        </w:rPr>
        <w:t>aspectos</w:t>
      </w:r>
      <w:r>
        <w:rPr>
          <w:spacing w:val="-2"/>
          <w:w w:val="105"/>
        </w:rPr>
        <w:t xml:space="preserve"> </w:t>
      </w:r>
      <w:r>
        <w:rPr>
          <w:w w:val="105"/>
        </w:rPr>
        <w:t>de</w:t>
      </w:r>
      <w:r>
        <w:rPr>
          <w:spacing w:val="-2"/>
          <w:w w:val="105"/>
        </w:rPr>
        <w:t xml:space="preserve"> </w:t>
      </w:r>
      <w:r>
        <w:rPr>
          <w:w w:val="105"/>
        </w:rPr>
        <w:t>estas cuestiones</w:t>
      </w:r>
      <w:r>
        <w:rPr>
          <w:spacing w:val="-3"/>
          <w:w w:val="105"/>
        </w:rPr>
        <w:t xml:space="preserve"> </w:t>
      </w:r>
      <w:r>
        <w:rPr>
          <w:w w:val="105"/>
        </w:rPr>
        <w:t>relacionados</w:t>
      </w:r>
      <w:r>
        <w:rPr>
          <w:spacing w:val="-3"/>
          <w:w w:val="105"/>
        </w:rPr>
        <w:t xml:space="preserve"> </w:t>
      </w:r>
      <w:r>
        <w:rPr>
          <w:w w:val="105"/>
        </w:rPr>
        <w:t>con</w:t>
      </w:r>
      <w:r>
        <w:rPr>
          <w:spacing w:val="-3"/>
          <w:w w:val="105"/>
        </w:rPr>
        <w:t xml:space="preserve"> </w:t>
      </w:r>
      <w:r>
        <w:rPr>
          <w:w w:val="105"/>
        </w:rPr>
        <w:t>las</w:t>
      </w:r>
      <w:r>
        <w:rPr>
          <w:spacing w:val="-3"/>
          <w:w w:val="105"/>
        </w:rPr>
        <w:t xml:space="preserve"> </w:t>
      </w:r>
      <w:r>
        <w:rPr>
          <w:w w:val="105"/>
        </w:rPr>
        <w:t>minorías</w:t>
      </w:r>
      <w:r>
        <w:rPr>
          <w:spacing w:val="-3"/>
          <w:w w:val="105"/>
        </w:rPr>
        <w:t xml:space="preserve"> </w:t>
      </w:r>
      <w:r>
        <w:rPr>
          <w:w w:val="105"/>
        </w:rPr>
        <w:t>y,</w:t>
      </w:r>
      <w:r>
        <w:rPr>
          <w:spacing w:val="-3"/>
          <w:w w:val="105"/>
        </w:rPr>
        <w:t xml:space="preserve"> </w:t>
      </w:r>
      <w:r>
        <w:rPr>
          <w:w w:val="105"/>
        </w:rPr>
        <w:t>en</w:t>
      </w:r>
      <w:r>
        <w:rPr>
          <w:spacing w:val="-3"/>
          <w:w w:val="105"/>
        </w:rPr>
        <w:t xml:space="preserve"> </w:t>
      </w:r>
      <w:r>
        <w:rPr>
          <w:w w:val="105"/>
        </w:rPr>
        <w:t>particular,</w:t>
      </w:r>
      <w:r>
        <w:rPr>
          <w:spacing w:val="-3"/>
          <w:w w:val="105"/>
        </w:rPr>
        <w:t xml:space="preserve"> </w:t>
      </w:r>
      <w:r>
        <w:rPr>
          <w:w w:val="105"/>
        </w:rPr>
        <w:t>la</w:t>
      </w:r>
      <w:r>
        <w:rPr>
          <w:spacing w:val="-3"/>
          <w:w w:val="105"/>
        </w:rPr>
        <w:t xml:space="preserve"> </w:t>
      </w:r>
      <w:r>
        <w:rPr>
          <w:w w:val="105"/>
        </w:rPr>
        <w:t>necesidad</w:t>
      </w:r>
      <w:r>
        <w:rPr>
          <w:spacing w:val="-3"/>
          <w:w w:val="105"/>
        </w:rPr>
        <w:t xml:space="preserve"> </w:t>
      </w:r>
      <w:r>
        <w:rPr>
          <w:w w:val="105"/>
        </w:rPr>
        <w:t>de</w:t>
      </w:r>
      <w:r>
        <w:rPr>
          <w:spacing w:val="-3"/>
          <w:w w:val="105"/>
        </w:rPr>
        <w:t xml:space="preserve"> </w:t>
      </w:r>
      <w:r>
        <w:rPr>
          <w:w w:val="105"/>
        </w:rPr>
        <w:t>evitar</w:t>
      </w:r>
      <w:r>
        <w:rPr>
          <w:spacing w:val="-3"/>
          <w:w w:val="105"/>
        </w:rPr>
        <w:t xml:space="preserve"> </w:t>
      </w:r>
      <w:r>
        <w:rPr>
          <w:w w:val="105"/>
        </w:rPr>
        <w:t>la</w:t>
      </w:r>
      <w:r>
        <w:rPr>
          <w:spacing w:val="-3"/>
          <w:w w:val="105"/>
        </w:rPr>
        <w:t xml:space="preserve"> </w:t>
      </w:r>
      <w:r>
        <w:rPr>
          <w:w w:val="105"/>
        </w:rPr>
        <w:t>estigmatización.</w:t>
      </w:r>
      <w:r>
        <w:rPr>
          <w:spacing w:val="-3"/>
          <w:w w:val="105"/>
        </w:rPr>
        <w:t xml:space="preserve"> </w:t>
      </w:r>
      <w:r>
        <w:rPr>
          <w:w w:val="105"/>
        </w:rPr>
        <w:t>ellos.1050</w:t>
      </w:r>
    </w:p>
    <w:p w14:paraId="22358D60" w14:textId="77777777" w:rsidR="0014798C" w:rsidRDefault="0014798C">
      <w:pPr>
        <w:pStyle w:val="Textoindependiente"/>
        <w:spacing w:before="217"/>
        <w:rPr>
          <w:sz w:val="28"/>
        </w:rPr>
      </w:pPr>
    </w:p>
    <w:p w14:paraId="7B7D68F9" w14:textId="77777777" w:rsidR="0014798C" w:rsidRDefault="004E1F0B" w:rsidP="00806787">
      <w:pPr>
        <w:pStyle w:val="Ttulo9"/>
        <w:numPr>
          <w:ilvl w:val="0"/>
          <w:numId w:val="25"/>
        </w:numPr>
        <w:tabs>
          <w:tab w:val="left" w:pos="1539"/>
          <w:tab w:val="left" w:pos="1633"/>
        </w:tabs>
        <w:spacing w:before="1" w:line="297" w:lineRule="auto"/>
        <w:ind w:right="1068" w:hanging="510"/>
      </w:pPr>
      <w:bookmarkStart w:id="25" w:name="_TOC_250001"/>
      <w:bookmarkStart w:id="26" w:name="minorías"/>
      <w:r>
        <w:rPr>
          <w:color w:val="803108"/>
        </w:rPr>
        <w:t>LENGUA, MINORÍAS LINGÜÍSTICAS, DISCRIMINACIÓN,</w:t>
      </w:r>
      <w:r>
        <w:rPr>
          <w:color w:val="803108"/>
          <w:spacing w:val="-17"/>
        </w:rPr>
        <w:t xml:space="preserve"> </w:t>
      </w:r>
      <w:r>
        <w:rPr>
          <w:color w:val="803108"/>
        </w:rPr>
        <w:t>IGUALDAD</w:t>
      </w:r>
      <w:r>
        <w:rPr>
          <w:color w:val="803108"/>
          <w:spacing w:val="-19"/>
        </w:rPr>
        <w:t xml:space="preserve"> </w:t>
      </w:r>
      <w:r>
        <w:rPr>
          <w:color w:val="803108"/>
        </w:rPr>
        <w:t>E</w:t>
      </w:r>
      <w:r>
        <w:rPr>
          <w:color w:val="803108"/>
          <w:spacing w:val="-18"/>
        </w:rPr>
        <w:t xml:space="preserve"> </w:t>
      </w:r>
      <w:bookmarkEnd w:id="25"/>
      <w:r>
        <w:rPr>
          <w:color w:val="803108"/>
        </w:rPr>
        <w:t>INCLUSIÓN</w:t>
      </w:r>
    </w:p>
    <w:bookmarkEnd w:id="26"/>
    <w:p w14:paraId="15311524" w14:textId="77777777" w:rsidR="0014798C" w:rsidRDefault="0014798C">
      <w:pPr>
        <w:pStyle w:val="Textoindependiente"/>
        <w:spacing w:before="11"/>
      </w:pPr>
    </w:p>
    <w:p w14:paraId="1704C326" w14:textId="77777777" w:rsidR="0014798C" w:rsidRDefault="004E1F0B">
      <w:pPr>
        <w:pStyle w:val="Textoindependiente"/>
        <w:spacing w:line="326" w:lineRule="auto"/>
        <w:ind w:left="1108" w:right="1272" w:hanging="2"/>
      </w:pPr>
      <w:r>
        <w:rPr>
          <w:noProof/>
        </w:rPr>
        <w:drawing>
          <wp:anchor distT="0" distB="0" distL="0" distR="0" simplePos="0" relativeHeight="251658470" behindDoc="1" locked="0" layoutInCell="1" allowOverlap="1" wp14:anchorId="126E7273" wp14:editId="3229592E">
            <wp:simplePos x="0" y="0"/>
            <wp:positionH relativeFrom="page">
              <wp:posOffset>826632</wp:posOffset>
            </wp:positionH>
            <wp:positionV relativeFrom="paragraph">
              <wp:posOffset>267822</wp:posOffset>
            </wp:positionV>
            <wp:extent cx="6729867" cy="5001101"/>
            <wp:effectExtent l="0" t="0" r="0" b="0"/>
            <wp:wrapNone/>
            <wp:docPr id="311" name="Image 31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11" name="Image 311"/>
                    <pic:cNvPicPr/>
                  </pic:nvPicPr>
                  <pic:blipFill>
                    <a:blip r:embed="rId292" cstate="print"/>
                    <a:stretch>
                      <a:fillRect/>
                    </a:stretch>
                  </pic:blipFill>
                  <pic:spPr>
                    <a:xfrm>
                      <a:off x="0" y="0"/>
                      <a:ext cx="6729867" cy="5001101"/>
                    </a:xfrm>
                    <a:prstGeom prst="rect">
                      <a:avLst/>
                    </a:prstGeom>
                  </pic:spPr>
                </pic:pic>
              </a:graphicData>
            </a:graphic>
          </wp:anchor>
        </w:drawing>
      </w:r>
      <w:r>
        <w:rPr>
          <w:noProof/>
        </w:rPr>
        <mc:AlternateContent>
          <mc:Choice Requires="wps">
            <w:drawing>
              <wp:anchor distT="0" distB="0" distL="0" distR="0" simplePos="0" relativeHeight="251658319" behindDoc="0" locked="0" layoutInCell="1" allowOverlap="1" wp14:anchorId="774F0469" wp14:editId="2D693405">
                <wp:simplePos x="0" y="0"/>
                <wp:positionH relativeFrom="page">
                  <wp:posOffset>7293418</wp:posOffset>
                </wp:positionH>
                <wp:positionV relativeFrom="paragraph">
                  <wp:posOffset>878287</wp:posOffset>
                </wp:positionV>
                <wp:extent cx="104775" cy="260985"/>
                <wp:effectExtent l="0" t="0" r="0" b="0"/>
                <wp:wrapNone/>
                <wp:docPr id="312" name="Textbox 31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04775" cy="260985"/>
                        </a:xfrm>
                        <a:prstGeom prst="rect">
                          <a:avLst/>
                        </a:prstGeom>
                      </wps:spPr>
                      <wps:txbx>
                        <w:txbxContent>
                          <w:p w14:paraId="3CABDDA7" w14:textId="77777777" w:rsidR="0014798C" w:rsidRDefault="004E1F0B">
                            <w:pPr>
                              <w:spacing w:before="17"/>
                              <w:ind w:left="20"/>
                              <w:rPr>
                                <w:sz w:val="11"/>
                              </w:rPr>
                            </w:pPr>
                            <w:r>
                              <w:rPr>
                                <w:color w:val="FFFFFF"/>
                                <w:spacing w:val="-33"/>
                                <w:sz w:val="11"/>
                              </w:rPr>
                              <w:t>TPRAERSTE</w:t>
                            </w:r>
                          </w:p>
                        </w:txbxContent>
                      </wps:txbx>
                      <wps:bodyPr vert="vert270" wrap="square" lIns="0" tIns="0" rIns="0" bIns="0" rtlCol="0">
                        <a:noAutofit/>
                      </wps:bodyPr>
                    </wps:wsp>
                  </a:graphicData>
                </a:graphic>
              </wp:anchor>
            </w:drawing>
          </mc:Choice>
          <mc:Fallback>
            <w:pict>
              <v:shape w14:anchorId="774F0469" id="Textbox 312" o:spid="_x0000_s1152" type="#_x0000_t202" style="position:absolute;left:0;text-align:left;margin-left:574.3pt;margin-top:69.15pt;width:8.25pt;height:20.55pt;z-index:251658319;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" filled="f" stroked="f">
                <v:textbox style="layout-flow:vertical;mso-layout-flow-alt:bottom-to-top" inset="0,0,0,0">
                  <w:txbxContent>
                    <w:p w14:paraId="3CABDDA7" w14:textId="77777777" w:rsidR="0014798C" w:rsidRDefault="004E1F0B">
                      <w:pPr>
                        <w:spacing w:before="17"/>
                        <w:ind w:left="20"/>
                        <w:rPr>
                          <w:sz w:val="11"/>
                        </w:rPr>
                      </w:pPr>
                      <w:r>
                        <w:rPr>
                          <w:color w:val="FFFFFF"/>
                          <w:spacing w:val="-33"/>
                          <w:sz w:val="11"/>
                        </w:rPr>
                        <w:t>TPRAERSTE</w:t>
                      </w:r>
                    </w:p>
                  </w:txbxContent>
                </v:textbox>
                <w10:wrap anchorx="page"/>
              </v:shape>
            </w:pict>
          </mc:Fallback>
        </mc:AlternateContent>
      </w:r>
      <w:r>
        <w:rPr>
          <w:w w:val="105"/>
        </w:rPr>
        <w:t>Los</w:t>
      </w:r>
      <w:r>
        <w:rPr>
          <w:spacing w:val="-4"/>
          <w:w w:val="105"/>
        </w:rPr>
        <w:t xml:space="preserve"> </w:t>
      </w:r>
      <w:r>
        <w:rPr>
          <w:w w:val="105"/>
        </w:rPr>
        <w:t>artículos</w:t>
      </w:r>
      <w:r>
        <w:rPr>
          <w:spacing w:val="-5"/>
          <w:w w:val="105"/>
        </w:rPr>
        <w:t xml:space="preserve"> </w:t>
      </w:r>
      <w:r>
        <w:rPr>
          <w:w w:val="105"/>
        </w:rPr>
        <w:t>2</w:t>
      </w:r>
      <w:r>
        <w:rPr>
          <w:spacing w:val="-4"/>
          <w:w w:val="105"/>
        </w:rPr>
        <w:t xml:space="preserve"> </w:t>
      </w:r>
      <w:r>
        <w:rPr>
          <w:w w:val="105"/>
        </w:rPr>
        <w:t>y</w:t>
      </w:r>
      <w:r>
        <w:rPr>
          <w:spacing w:val="-4"/>
          <w:w w:val="105"/>
        </w:rPr>
        <w:t xml:space="preserve"> </w:t>
      </w:r>
      <w:r>
        <w:rPr>
          <w:w w:val="105"/>
        </w:rPr>
        <w:t>26</w:t>
      </w:r>
      <w:r>
        <w:rPr>
          <w:spacing w:val="-4"/>
          <w:w w:val="105"/>
        </w:rPr>
        <w:t xml:space="preserve"> </w:t>
      </w:r>
      <w:r>
        <w:rPr>
          <w:w w:val="105"/>
        </w:rPr>
        <w:t>del</w:t>
      </w:r>
      <w:r>
        <w:rPr>
          <w:spacing w:val="-4"/>
          <w:w w:val="105"/>
        </w:rPr>
        <w:t xml:space="preserve"> </w:t>
      </w:r>
      <w:r>
        <w:rPr>
          <w:w w:val="105"/>
        </w:rPr>
        <w:t>Pacto</w:t>
      </w:r>
      <w:r>
        <w:rPr>
          <w:spacing w:val="-4"/>
          <w:w w:val="105"/>
        </w:rPr>
        <w:t xml:space="preserve"> </w:t>
      </w:r>
      <w:r>
        <w:rPr>
          <w:w w:val="105"/>
        </w:rPr>
        <w:t>Internacional</w:t>
      </w:r>
      <w:r>
        <w:rPr>
          <w:spacing w:val="-4"/>
          <w:w w:val="105"/>
        </w:rPr>
        <w:t xml:space="preserve"> </w:t>
      </w:r>
      <w:r>
        <w:rPr>
          <w:w w:val="105"/>
        </w:rPr>
        <w:t>de</w:t>
      </w:r>
      <w:r>
        <w:rPr>
          <w:spacing w:val="-4"/>
          <w:w w:val="105"/>
        </w:rPr>
        <w:t xml:space="preserve"> </w:t>
      </w:r>
      <w:r>
        <w:rPr>
          <w:w w:val="105"/>
        </w:rPr>
        <w:t>Derechos</w:t>
      </w:r>
      <w:r>
        <w:rPr>
          <w:spacing w:val="-4"/>
          <w:w w:val="105"/>
        </w:rPr>
        <w:t xml:space="preserve"> </w:t>
      </w:r>
      <w:r>
        <w:rPr>
          <w:w w:val="105"/>
        </w:rPr>
        <w:t>Civiles</w:t>
      </w:r>
      <w:r>
        <w:rPr>
          <w:spacing w:val="-4"/>
          <w:w w:val="105"/>
        </w:rPr>
        <w:t xml:space="preserve"> </w:t>
      </w:r>
      <w:r>
        <w:rPr>
          <w:w w:val="105"/>
        </w:rPr>
        <w:t>y</w:t>
      </w:r>
      <w:r>
        <w:rPr>
          <w:spacing w:val="-4"/>
          <w:w w:val="105"/>
        </w:rPr>
        <w:t xml:space="preserve"> </w:t>
      </w:r>
      <w:r>
        <w:rPr>
          <w:w w:val="105"/>
        </w:rPr>
        <w:t>Políticos,</w:t>
      </w:r>
      <w:r>
        <w:rPr>
          <w:spacing w:val="-4"/>
          <w:w w:val="105"/>
        </w:rPr>
        <w:t xml:space="preserve"> </w:t>
      </w:r>
      <w:r>
        <w:rPr>
          <w:w w:val="105"/>
        </w:rPr>
        <w:t>el</w:t>
      </w:r>
      <w:r>
        <w:rPr>
          <w:spacing w:val="-4"/>
          <w:w w:val="105"/>
        </w:rPr>
        <w:t xml:space="preserve"> </w:t>
      </w:r>
      <w:r>
        <w:rPr>
          <w:w w:val="105"/>
        </w:rPr>
        <w:t>artículo</w:t>
      </w:r>
      <w:r>
        <w:rPr>
          <w:spacing w:val="-4"/>
          <w:w w:val="105"/>
        </w:rPr>
        <w:t xml:space="preserve"> </w:t>
      </w:r>
      <w:r>
        <w:rPr>
          <w:w w:val="105"/>
        </w:rPr>
        <w:t>2</w:t>
      </w:r>
      <w:r>
        <w:rPr>
          <w:spacing w:val="-4"/>
          <w:w w:val="105"/>
        </w:rPr>
        <w:t xml:space="preserve"> </w:t>
      </w:r>
      <w:r>
        <w:rPr>
          <w:w w:val="105"/>
        </w:rPr>
        <w:t>del</w:t>
      </w:r>
      <w:r>
        <w:rPr>
          <w:spacing w:val="-4"/>
          <w:w w:val="105"/>
        </w:rPr>
        <w:t xml:space="preserve"> </w:t>
      </w:r>
      <w:r>
        <w:rPr>
          <w:w w:val="105"/>
        </w:rPr>
        <w:t>Pacto</w:t>
      </w:r>
      <w:r>
        <w:rPr>
          <w:spacing w:val="-4"/>
          <w:w w:val="105"/>
        </w:rPr>
        <w:t xml:space="preserve"> </w:t>
      </w:r>
      <w:r>
        <w:rPr>
          <w:w w:val="105"/>
        </w:rPr>
        <w:t>Internacional</w:t>
      </w:r>
      <w:r>
        <w:rPr>
          <w:spacing w:val="-4"/>
          <w:w w:val="105"/>
        </w:rPr>
        <w:t xml:space="preserve"> </w:t>
      </w:r>
      <w:r>
        <w:rPr>
          <w:w w:val="105"/>
        </w:rPr>
        <w:t>de</w:t>
      </w:r>
      <w:r>
        <w:rPr>
          <w:spacing w:val="-4"/>
          <w:w w:val="105"/>
        </w:rPr>
        <w:t xml:space="preserve"> </w:t>
      </w:r>
      <w:r>
        <w:rPr>
          <w:w w:val="105"/>
        </w:rPr>
        <w:t>Derechos Económicos,</w:t>
      </w:r>
      <w:r>
        <w:rPr>
          <w:spacing w:val="-9"/>
          <w:w w:val="105"/>
        </w:rPr>
        <w:t xml:space="preserve"> </w:t>
      </w:r>
      <w:r>
        <w:rPr>
          <w:w w:val="105"/>
        </w:rPr>
        <w:t>Sociales</w:t>
      </w:r>
      <w:r>
        <w:rPr>
          <w:spacing w:val="-10"/>
          <w:w w:val="105"/>
        </w:rPr>
        <w:t xml:space="preserve"> </w:t>
      </w:r>
      <w:r>
        <w:rPr>
          <w:w w:val="105"/>
        </w:rPr>
        <w:t>y</w:t>
      </w:r>
      <w:r>
        <w:rPr>
          <w:spacing w:val="-10"/>
          <w:w w:val="105"/>
        </w:rPr>
        <w:t xml:space="preserve"> </w:t>
      </w:r>
      <w:r>
        <w:rPr>
          <w:w w:val="105"/>
        </w:rPr>
        <w:t>Culturales</w:t>
      </w:r>
      <w:r>
        <w:rPr>
          <w:spacing w:val="-10"/>
          <w:w w:val="105"/>
        </w:rPr>
        <w:t xml:space="preserve"> </w:t>
      </w:r>
      <w:r>
        <w:rPr>
          <w:w w:val="105"/>
        </w:rPr>
        <w:t>y</w:t>
      </w:r>
      <w:r>
        <w:rPr>
          <w:spacing w:val="-10"/>
          <w:w w:val="105"/>
        </w:rPr>
        <w:t xml:space="preserve"> </w:t>
      </w:r>
      <w:r>
        <w:rPr>
          <w:w w:val="105"/>
        </w:rPr>
        <w:t>el</w:t>
      </w:r>
      <w:r>
        <w:rPr>
          <w:spacing w:val="-10"/>
          <w:w w:val="105"/>
        </w:rPr>
        <w:t xml:space="preserve"> </w:t>
      </w:r>
      <w:r>
        <w:rPr>
          <w:w w:val="105"/>
        </w:rPr>
        <w:t>artículo</w:t>
      </w:r>
      <w:r>
        <w:rPr>
          <w:spacing w:val="-10"/>
          <w:w w:val="105"/>
        </w:rPr>
        <w:t xml:space="preserve"> </w:t>
      </w:r>
      <w:r>
        <w:rPr>
          <w:w w:val="105"/>
        </w:rPr>
        <w:t>2</w:t>
      </w:r>
      <w:r>
        <w:rPr>
          <w:spacing w:val="-10"/>
          <w:w w:val="105"/>
        </w:rPr>
        <w:t xml:space="preserve"> </w:t>
      </w:r>
      <w:r>
        <w:rPr>
          <w:w w:val="105"/>
        </w:rPr>
        <w:t>de</w:t>
      </w:r>
      <w:r>
        <w:rPr>
          <w:spacing w:val="-10"/>
          <w:w w:val="105"/>
        </w:rPr>
        <w:t xml:space="preserve"> </w:t>
      </w:r>
      <w:r>
        <w:rPr>
          <w:w w:val="105"/>
        </w:rPr>
        <w:t>la</w:t>
      </w:r>
      <w:r>
        <w:rPr>
          <w:spacing w:val="-10"/>
          <w:w w:val="105"/>
        </w:rPr>
        <w:t xml:space="preserve"> </w:t>
      </w:r>
      <w:r>
        <w:rPr>
          <w:w w:val="105"/>
        </w:rPr>
        <w:t>Convención</w:t>
      </w:r>
      <w:r>
        <w:rPr>
          <w:spacing w:val="-10"/>
          <w:w w:val="105"/>
        </w:rPr>
        <w:t xml:space="preserve"> </w:t>
      </w:r>
      <w:r>
        <w:rPr>
          <w:w w:val="105"/>
        </w:rPr>
        <w:t>sobre</w:t>
      </w:r>
      <w:r>
        <w:rPr>
          <w:spacing w:val="-10"/>
          <w:w w:val="105"/>
        </w:rPr>
        <w:t xml:space="preserve"> </w:t>
      </w:r>
      <w:r>
        <w:rPr>
          <w:w w:val="105"/>
        </w:rPr>
        <w:t>los</w:t>
      </w:r>
      <w:r>
        <w:rPr>
          <w:spacing w:val="-10"/>
          <w:w w:val="105"/>
        </w:rPr>
        <w:t xml:space="preserve"> </w:t>
      </w:r>
      <w:r>
        <w:rPr>
          <w:w w:val="105"/>
        </w:rPr>
        <w:t>Derechos</w:t>
      </w:r>
      <w:r>
        <w:rPr>
          <w:spacing w:val="-10"/>
          <w:w w:val="105"/>
        </w:rPr>
        <w:t xml:space="preserve"> </w:t>
      </w:r>
      <w:r>
        <w:rPr>
          <w:w w:val="105"/>
        </w:rPr>
        <w:t>del</w:t>
      </w:r>
      <w:r>
        <w:rPr>
          <w:spacing w:val="-10"/>
          <w:w w:val="105"/>
        </w:rPr>
        <w:t xml:space="preserve"> </w:t>
      </w:r>
      <w:r>
        <w:rPr>
          <w:w w:val="105"/>
        </w:rPr>
        <w:t>Niño</w:t>
      </w:r>
      <w:r>
        <w:rPr>
          <w:spacing w:val="-10"/>
          <w:w w:val="105"/>
        </w:rPr>
        <w:t xml:space="preserve"> </w:t>
      </w:r>
      <w:r>
        <w:rPr>
          <w:w w:val="105"/>
        </w:rPr>
        <w:t>prohíben</w:t>
      </w:r>
      <w:r>
        <w:rPr>
          <w:spacing w:val="-10"/>
          <w:w w:val="105"/>
        </w:rPr>
        <w:t xml:space="preserve"> </w:t>
      </w:r>
      <w:r>
        <w:rPr>
          <w:w w:val="105"/>
        </w:rPr>
        <w:t>la</w:t>
      </w:r>
      <w:r>
        <w:rPr>
          <w:spacing w:val="-10"/>
          <w:w w:val="105"/>
        </w:rPr>
        <w:t xml:space="preserve"> </w:t>
      </w:r>
      <w:r>
        <w:rPr>
          <w:w w:val="105"/>
        </w:rPr>
        <w:t>discriminación</w:t>
      </w:r>
      <w:r>
        <w:rPr>
          <w:spacing w:val="-10"/>
          <w:w w:val="105"/>
        </w:rPr>
        <w:t xml:space="preserve"> </w:t>
      </w:r>
      <w:r>
        <w:rPr>
          <w:w w:val="105"/>
        </w:rPr>
        <w:t>por motivos</w:t>
      </w:r>
      <w:r>
        <w:rPr>
          <w:spacing w:val="-4"/>
          <w:w w:val="105"/>
        </w:rPr>
        <w:t xml:space="preserve"> </w:t>
      </w:r>
      <w:r>
        <w:rPr>
          <w:w w:val="105"/>
        </w:rPr>
        <w:t>de</w:t>
      </w:r>
      <w:r>
        <w:rPr>
          <w:spacing w:val="-4"/>
          <w:w w:val="105"/>
        </w:rPr>
        <w:t xml:space="preserve"> </w:t>
      </w:r>
      <w:r>
        <w:rPr>
          <w:w w:val="105"/>
        </w:rPr>
        <w:t>idioma.</w:t>
      </w:r>
      <w:r>
        <w:rPr>
          <w:spacing w:val="-4"/>
          <w:w w:val="105"/>
        </w:rPr>
        <w:t xml:space="preserve"> </w:t>
      </w:r>
      <w:r>
        <w:rPr>
          <w:w w:val="105"/>
        </w:rPr>
        <w:t>El</w:t>
      </w:r>
      <w:r>
        <w:rPr>
          <w:spacing w:val="-4"/>
          <w:w w:val="105"/>
        </w:rPr>
        <w:t xml:space="preserve"> </w:t>
      </w:r>
      <w:r>
        <w:rPr>
          <w:w w:val="105"/>
        </w:rPr>
        <w:t>artículo</w:t>
      </w:r>
      <w:r>
        <w:rPr>
          <w:spacing w:val="-4"/>
          <w:w w:val="105"/>
        </w:rPr>
        <w:t xml:space="preserve"> </w:t>
      </w:r>
      <w:r>
        <w:rPr>
          <w:w w:val="105"/>
        </w:rPr>
        <w:t>27</w:t>
      </w:r>
      <w:r>
        <w:rPr>
          <w:spacing w:val="-4"/>
          <w:w w:val="105"/>
        </w:rPr>
        <w:t xml:space="preserve"> </w:t>
      </w:r>
      <w:r>
        <w:rPr>
          <w:w w:val="105"/>
        </w:rPr>
        <w:t>del</w:t>
      </w:r>
      <w:r>
        <w:rPr>
          <w:spacing w:val="-4"/>
          <w:w w:val="105"/>
        </w:rPr>
        <w:t xml:space="preserve"> </w:t>
      </w:r>
      <w:r>
        <w:rPr>
          <w:w w:val="105"/>
        </w:rPr>
        <w:t>Pacto</w:t>
      </w:r>
      <w:r>
        <w:rPr>
          <w:spacing w:val="-4"/>
          <w:w w:val="105"/>
        </w:rPr>
        <w:t xml:space="preserve"> </w:t>
      </w:r>
      <w:r>
        <w:rPr>
          <w:w w:val="105"/>
        </w:rPr>
        <w:t>Internacional</w:t>
      </w:r>
      <w:r>
        <w:rPr>
          <w:spacing w:val="-4"/>
          <w:w w:val="105"/>
        </w:rPr>
        <w:t xml:space="preserve"> </w:t>
      </w:r>
      <w:r>
        <w:rPr>
          <w:w w:val="105"/>
        </w:rPr>
        <w:t>de</w:t>
      </w:r>
      <w:r>
        <w:rPr>
          <w:spacing w:val="-4"/>
          <w:w w:val="105"/>
        </w:rPr>
        <w:t xml:space="preserve"> </w:t>
      </w:r>
      <w:r>
        <w:rPr>
          <w:w w:val="105"/>
        </w:rPr>
        <w:t>Derechos</w:t>
      </w:r>
      <w:r>
        <w:rPr>
          <w:spacing w:val="-4"/>
          <w:w w:val="105"/>
        </w:rPr>
        <w:t xml:space="preserve"> </w:t>
      </w:r>
      <w:r>
        <w:rPr>
          <w:w w:val="105"/>
        </w:rPr>
        <w:t>Civiles</w:t>
      </w:r>
      <w:r>
        <w:rPr>
          <w:spacing w:val="-4"/>
          <w:w w:val="105"/>
        </w:rPr>
        <w:t xml:space="preserve"> </w:t>
      </w:r>
      <w:r>
        <w:rPr>
          <w:w w:val="105"/>
        </w:rPr>
        <w:t>y</w:t>
      </w:r>
      <w:r>
        <w:rPr>
          <w:spacing w:val="-4"/>
          <w:w w:val="105"/>
        </w:rPr>
        <w:t xml:space="preserve"> </w:t>
      </w:r>
      <w:r>
        <w:rPr>
          <w:w w:val="105"/>
        </w:rPr>
        <w:t>Políticos</w:t>
      </w:r>
      <w:r>
        <w:rPr>
          <w:spacing w:val="-5"/>
          <w:w w:val="105"/>
        </w:rPr>
        <w:t xml:space="preserve"> </w:t>
      </w:r>
      <w:r>
        <w:rPr>
          <w:w w:val="105"/>
        </w:rPr>
        <w:t>establece</w:t>
      </w:r>
      <w:r>
        <w:rPr>
          <w:spacing w:val="-4"/>
          <w:w w:val="105"/>
        </w:rPr>
        <w:t xml:space="preserve"> </w:t>
      </w:r>
      <w:r>
        <w:rPr>
          <w:w w:val="105"/>
        </w:rPr>
        <w:t>disposiciones</w:t>
      </w:r>
      <w:r>
        <w:rPr>
          <w:spacing w:val="-4"/>
          <w:w w:val="105"/>
        </w:rPr>
        <w:t xml:space="preserve"> </w:t>
      </w:r>
      <w:r>
        <w:rPr>
          <w:w w:val="105"/>
        </w:rPr>
        <w:t>específicas sobre</w:t>
      </w:r>
      <w:r>
        <w:rPr>
          <w:spacing w:val="-3"/>
          <w:w w:val="105"/>
        </w:rPr>
        <w:t xml:space="preserve"> </w:t>
      </w:r>
      <w:r>
        <w:rPr>
          <w:w w:val="105"/>
        </w:rPr>
        <w:t>los</w:t>
      </w:r>
      <w:r>
        <w:rPr>
          <w:spacing w:val="-3"/>
          <w:w w:val="105"/>
        </w:rPr>
        <w:t xml:space="preserve"> </w:t>
      </w:r>
      <w:r>
        <w:rPr>
          <w:w w:val="105"/>
        </w:rPr>
        <w:t>derechos</w:t>
      </w:r>
      <w:r>
        <w:rPr>
          <w:spacing w:val="-3"/>
          <w:w w:val="105"/>
        </w:rPr>
        <w:t xml:space="preserve"> </w:t>
      </w:r>
      <w:r>
        <w:rPr>
          <w:w w:val="105"/>
        </w:rPr>
        <w:t>de</w:t>
      </w:r>
      <w:r>
        <w:rPr>
          <w:spacing w:val="-3"/>
          <w:w w:val="105"/>
        </w:rPr>
        <w:t xml:space="preserve"> </w:t>
      </w:r>
      <w:r>
        <w:rPr>
          <w:w w:val="105"/>
        </w:rPr>
        <w:t>las</w:t>
      </w:r>
      <w:r>
        <w:rPr>
          <w:spacing w:val="-3"/>
          <w:w w:val="105"/>
        </w:rPr>
        <w:t xml:space="preserve"> </w:t>
      </w:r>
      <w:r>
        <w:rPr>
          <w:w w:val="105"/>
        </w:rPr>
        <w:t>minorías</w:t>
      </w:r>
      <w:r>
        <w:rPr>
          <w:spacing w:val="-3"/>
          <w:w w:val="105"/>
        </w:rPr>
        <w:t xml:space="preserve"> </w:t>
      </w:r>
      <w:r>
        <w:rPr>
          <w:w w:val="105"/>
        </w:rPr>
        <w:t>lingüísticas</w:t>
      </w:r>
      <w:r>
        <w:rPr>
          <w:spacing w:val="-4"/>
          <w:w w:val="105"/>
        </w:rPr>
        <w:t xml:space="preserve"> </w:t>
      </w:r>
      <w:r>
        <w:rPr>
          <w:w w:val="105"/>
        </w:rPr>
        <w:t>y</w:t>
      </w:r>
      <w:r>
        <w:rPr>
          <w:spacing w:val="-3"/>
          <w:w w:val="105"/>
        </w:rPr>
        <w:t xml:space="preserve"> </w:t>
      </w:r>
      <w:r>
        <w:rPr>
          <w:w w:val="105"/>
        </w:rPr>
        <w:t>también</w:t>
      </w:r>
      <w:r>
        <w:rPr>
          <w:spacing w:val="-3"/>
          <w:w w:val="105"/>
        </w:rPr>
        <w:t xml:space="preserve"> </w:t>
      </w:r>
      <w:r>
        <w:rPr>
          <w:w w:val="105"/>
        </w:rPr>
        <w:t>identifica</w:t>
      </w:r>
      <w:r>
        <w:rPr>
          <w:spacing w:val="-3"/>
          <w:w w:val="105"/>
        </w:rPr>
        <w:t xml:space="preserve"> </w:t>
      </w:r>
      <w:r>
        <w:rPr>
          <w:w w:val="105"/>
        </w:rPr>
        <w:t>el</w:t>
      </w:r>
      <w:r>
        <w:rPr>
          <w:spacing w:val="-3"/>
          <w:w w:val="105"/>
        </w:rPr>
        <w:t xml:space="preserve"> </w:t>
      </w:r>
      <w:r>
        <w:rPr>
          <w:w w:val="105"/>
        </w:rPr>
        <w:t>idioma</w:t>
      </w:r>
      <w:r>
        <w:rPr>
          <w:spacing w:val="-3"/>
          <w:w w:val="105"/>
        </w:rPr>
        <w:t xml:space="preserve"> </w:t>
      </w:r>
      <w:r>
        <w:rPr>
          <w:w w:val="105"/>
        </w:rPr>
        <w:t>como</w:t>
      </w:r>
      <w:r>
        <w:rPr>
          <w:spacing w:val="-3"/>
          <w:w w:val="105"/>
        </w:rPr>
        <w:t xml:space="preserve"> </w:t>
      </w:r>
      <w:r>
        <w:rPr>
          <w:w w:val="105"/>
        </w:rPr>
        <w:t>un</w:t>
      </w:r>
      <w:r>
        <w:rPr>
          <w:spacing w:val="-3"/>
          <w:w w:val="105"/>
        </w:rPr>
        <w:t xml:space="preserve"> </w:t>
      </w:r>
      <w:r>
        <w:rPr>
          <w:w w:val="105"/>
        </w:rPr>
        <w:t>medio</w:t>
      </w:r>
      <w:r>
        <w:rPr>
          <w:spacing w:val="-3"/>
          <w:w w:val="105"/>
        </w:rPr>
        <w:t xml:space="preserve"> </w:t>
      </w:r>
      <w:r>
        <w:rPr>
          <w:w w:val="105"/>
        </w:rPr>
        <w:t>para</w:t>
      </w:r>
      <w:r>
        <w:rPr>
          <w:spacing w:val="-3"/>
          <w:w w:val="105"/>
        </w:rPr>
        <w:t xml:space="preserve"> </w:t>
      </w:r>
      <w:r>
        <w:rPr>
          <w:w w:val="105"/>
        </w:rPr>
        <w:t>identificar</w:t>
      </w:r>
      <w:r>
        <w:rPr>
          <w:spacing w:val="-4"/>
          <w:w w:val="105"/>
        </w:rPr>
        <w:t xml:space="preserve"> </w:t>
      </w:r>
      <w:r>
        <w:rPr>
          <w:w w:val="105"/>
        </w:rPr>
        <w:t>a</w:t>
      </w:r>
      <w:r>
        <w:rPr>
          <w:spacing w:val="-3"/>
          <w:w w:val="105"/>
        </w:rPr>
        <w:t xml:space="preserve"> </w:t>
      </w:r>
      <w:r>
        <w:rPr>
          <w:w w:val="105"/>
        </w:rPr>
        <w:t>“aquellos</w:t>
      </w:r>
      <w:r>
        <w:rPr>
          <w:spacing w:val="-3"/>
          <w:w w:val="105"/>
        </w:rPr>
        <w:t xml:space="preserve"> </w:t>
      </w:r>
      <w:r>
        <w:rPr>
          <w:w w:val="105"/>
        </w:rPr>
        <w:t>que pertenecen</w:t>
      </w:r>
      <w:r>
        <w:rPr>
          <w:spacing w:val="-7"/>
          <w:w w:val="105"/>
        </w:rPr>
        <w:t xml:space="preserve"> </w:t>
      </w:r>
      <w:r>
        <w:rPr>
          <w:w w:val="105"/>
        </w:rPr>
        <w:t>a</w:t>
      </w:r>
      <w:r>
        <w:rPr>
          <w:spacing w:val="-7"/>
          <w:w w:val="105"/>
        </w:rPr>
        <w:t xml:space="preserve"> </w:t>
      </w:r>
      <w:r>
        <w:rPr>
          <w:w w:val="105"/>
        </w:rPr>
        <w:t>un</w:t>
      </w:r>
      <w:r>
        <w:rPr>
          <w:spacing w:val="-7"/>
          <w:w w:val="105"/>
        </w:rPr>
        <w:t xml:space="preserve"> </w:t>
      </w:r>
      <w:r>
        <w:rPr>
          <w:w w:val="105"/>
        </w:rPr>
        <w:t>grupo”</w:t>
      </w:r>
      <w:r>
        <w:rPr>
          <w:spacing w:val="-7"/>
          <w:w w:val="105"/>
        </w:rPr>
        <w:t xml:space="preserve"> </w:t>
      </w:r>
      <w:r>
        <w:rPr>
          <w:w w:val="105"/>
        </w:rPr>
        <w:t>que</w:t>
      </w:r>
      <w:r>
        <w:rPr>
          <w:spacing w:val="-7"/>
          <w:w w:val="105"/>
        </w:rPr>
        <w:t xml:space="preserve"> </w:t>
      </w:r>
      <w:r>
        <w:rPr>
          <w:w w:val="105"/>
        </w:rPr>
        <w:t>comparte</w:t>
      </w:r>
      <w:r>
        <w:rPr>
          <w:spacing w:val="-7"/>
          <w:w w:val="105"/>
        </w:rPr>
        <w:t xml:space="preserve"> </w:t>
      </w:r>
      <w:r>
        <w:rPr>
          <w:w w:val="105"/>
        </w:rPr>
        <w:t>una</w:t>
      </w:r>
      <w:r>
        <w:rPr>
          <w:spacing w:val="-7"/>
          <w:w w:val="105"/>
        </w:rPr>
        <w:t xml:space="preserve"> </w:t>
      </w:r>
      <w:r>
        <w:rPr>
          <w:w w:val="105"/>
        </w:rPr>
        <w:t>cultura</w:t>
      </w:r>
      <w:r>
        <w:rPr>
          <w:spacing w:val="-7"/>
          <w:w w:val="105"/>
        </w:rPr>
        <w:t xml:space="preserve"> </w:t>
      </w:r>
      <w:r>
        <w:rPr>
          <w:w w:val="105"/>
        </w:rPr>
        <w:t>común.1051</w:t>
      </w:r>
      <w:r>
        <w:rPr>
          <w:spacing w:val="-7"/>
          <w:w w:val="105"/>
        </w:rPr>
        <w:t xml:space="preserve"> </w:t>
      </w:r>
      <w:r>
        <w:rPr>
          <w:w w:val="105"/>
        </w:rPr>
        <w:t>En</w:t>
      </w:r>
      <w:r>
        <w:rPr>
          <w:spacing w:val="-7"/>
          <w:w w:val="105"/>
        </w:rPr>
        <w:t xml:space="preserve"> </w:t>
      </w:r>
      <w:r>
        <w:rPr>
          <w:w w:val="105"/>
        </w:rPr>
        <w:t>particular,</w:t>
      </w:r>
      <w:r>
        <w:rPr>
          <w:spacing w:val="-6"/>
          <w:w w:val="105"/>
        </w:rPr>
        <w:t xml:space="preserve"> </w:t>
      </w:r>
      <w:r>
        <w:rPr>
          <w:w w:val="105"/>
        </w:rPr>
        <w:t>en</w:t>
      </w:r>
      <w:r>
        <w:rPr>
          <w:spacing w:val="-7"/>
          <w:w w:val="105"/>
        </w:rPr>
        <w:t xml:space="preserve"> </w:t>
      </w:r>
      <w:r>
        <w:rPr>
          <w:w w:val="105"/>
        </w:rPr>
        <w:t>lo</w:t>
      </w:r>
      <w:r>
        <w:rPr>
          <w:spacing w:val="-7"/>
          <w:w w:val="105"/>
        </w:rPr>
        <w:t xml:space="preserve"> </w:t>
      </w:r>
      <w:r>
        <w:rPr>
          <w:w w:val="105"/>
        </w:rPr>
        <w:t>que</w:t>
      </w:r>
      <w:r>
        <w:rPr>
          <w:spacing w:val="-7"/>
          <w:w w:val="105"/>
        </w:rPr>
        <w:t xml:space="preserve"> </w:t>
      </w:r>
      <w:r>
        <w:rPr>
          <w:w w:val="105"/>
        </w:rPr>
        <w:t>respecta</w:t>
      </w:r>
      <w:r>
        <w:rPr>
          <w:spacing w:val="-7"/>
          <w:w w:val="105"/>
        </w:rPr>
        <w:t xml:space="preserve"> </w:t>
      </w:r>
      <w:r>
        <w:rPr>
          <w:w w:val="105"/>
        </w:rPr>
        <w:t>a</w:t>
      </w:r>
      <w:r>
        <w:rPr>
          <w:spacing w:val="-7"/>
          <w:w w:val="105"/>
        </w:rPr>
        <w:t xml:space="preserve"> </w:t>
      </w:r>
      <w:r>
        <w:rPr>
          <w:w w:val="105"/>
        </w:rPr>
        <w:t>las</w:t>
      </w:r>
      <w:r>
        <w:rPr>
          <w:spacing w:val="-7"/>
          <w:w w:val="105"/>
        </w:rPr>
        <w:t xml:space="preserve"> </w:t>
      </w:r>
      <w:r>
        <w:rPr>
          <w:w w:val="105"/>
        </w:rPr>
        <w:t>minorías</w:t>
      </w:r>
      <w:r>
        <w:rPr>
          <w:spacing w:val="-7"/>
          <w:w w:val="105"/>
        </w:rPr>
        <w:t xml:space="preserve"> </w:t>
      </w:r>
      <w:r>
        <w:rPr>
          <w:w w:val="105"/>
        </w:rPr>
        <w:t>lingüísticas,</w:t>
      </w:r>
      <w:r>
        <w:rPr>
          <w:spacing w:val="-6"/>
          <w:w w:val="105"/>
        </w:rPr>
        <w:t xml:space="preserve"> </w:t>
      </w:r>
      <w:r>
        <w:rPr>
          <w:w w:val="105"/>
        </w:rPr>
        <w:t>El Comité de Derechos Humanos ha explicado que:</w:t>
      </w:r>
    </w:p>
    <w:p w14:paraId="2CBF3DB5" w14:textId="77777777" w:rsidR="0014798C" w:rsidRDefault="004E1F0B">
      <w:pPr>
        <w:pStyle w:val="Textoindependiente"/>
        <w:spacing w:before="110" w:line="326" w:lineRule="auto"/>
        <w:ind w:left="1672" w:right="1463"/>
      </w:pPr>
      <w:r>
        <w:rPr>
          <w:color w:val="803108"/>
          <w:w w:val="105"/>
        </w:rPr>
        <w:t>El</w:t>
      </w:r>
      <w:r>
        <w:rPr>
          <w:color w:val="803108"/>
          <w:spacing w:val="-10"/>
          <w:w w:val="105"/>
        </w:rPr>
        <w:t xml:space="preserve"> </w:t>
      </w:r>
      <w:r>
        <w:rPr>
          <w:color w:val="803108"/>
          <w:w w:val="105"/>
        </w:rPr>
        <w:t>derecho</w:t>
      </w:r>
      <w:r>
        <w:rPr>
          <w:color w:val="803108"/>
          <w:spacing w:val="-10"/>
          <w:w w:val="105"/>
        </w:rPr>
        <w:t xml:space="preserve"> </w:t>
      </w:r>
      <w:r>
        <w:rPr>
          <w:color w:val="803108"/>
          <w:w w:val="105"/>
        </w:rPr>
        <w:t>de</w:t>
      </w:r>
      <w:r>
        <w:rPr>
          <w:color w:val="803108"/>
          <w:spacing w:val="-10"/>
          <w:w w:val="105"/>
        </w:rPr>
        <w:t xml:space="preserve"> </w:t>
      </w:r>
      <w:r>
        <w:rPr>
          <w:color w:val="803108"/>
          <w:w w:val="105"/>
        </w:rPr>
        <w:t>las</w:t>
      </w:r>
      <w:r>
        <w:rPr>
          <w:color w:val="803108"/>
          <w:spacing w:val="-10"/>
          <w:w w:val="105"/>
        </w:rPr>
        <w:t xml:space="preserve"> </w:t>
      </w:r>
      <w:r>
        <w:rPr>
          <w:color w:val="803108"/>
          <w:w w:val="105"/>
        </w:rPr>
        <w:t>personas</w:t>
      </w:r>
      <w:r>
        <w:rPr>
          <w:color w:val="803108"/>
          <w:spacing w:val="-10"/>
          <w:w w:val="105"/>
        </w:rPr>
        <w:t xml:space="preserve"> </w:t>
      </w:r>
      <w:r>
        <w:rPr>
          <w:color w:val="803108"/>
          <w:w w:val="105"/>
        </w:rPr>
        <w:t>pertenecientes</w:t>
      </w:r>
      <w:r>
        <w:rPr>
          <w:color w:val="803108"/>
          <w:spacing w:val="-11"/>
          <w:w w:val="105"/>
        </w:rPr>
        <w:t xml:space="preserve"> </w:t>
      </w:r>
      <w:r>
        <w:rPr>
          <w:color w:val="803108"/>
          <w:w w:val="105"/>
        </w:rPr>
        <w:t>a</w:t>
      </w:r>
      <w:r>
        <w:rPr>
          <w:color w:val="803108"/>
          <w:spacing w:val="-10"/>
          <w:w w:val="105"/>
        </w:rPr>
        <w:t xml:space="preserve"> </w:t>
      </w:r>
      <w:r>
        <w:rPr>
          <w:color w:val="803108"/>
          <w:w w:val="105"/>
        </w:rPr>
        <w:t>una</w:t>
      </w:r>
      <w:r>
        <w:rPr>
          <w:color w:val="803108"/>
          <w:spacing w:val="-10"/>
          <w:w w:val="105"/>
        </w:rPr>
        <w:t xml:space="preserve"> </w:t>
      </w:r>
      <w:r>
        <w:rPr>
          <w:color w:val="803108"/>
          <w:w w:val="105"/>
        </w:rPr>
        <w:t>minoría</w:t>
      </w:r>
      <w:r>
        <w:rPr>
          <w:color w:val="803108"/>
          <w:spacing w:val="-10"/>
          <w:w w:val="105"/>
        </w:rPr>
        <w:t xml:space="preserve"> </w:t>
      </w:r>
      <w:r>
        <w:rPr>
          <w:color w:val="803108"/>
          <w:w w:val="105"/>
        </w:rPr>
        <w:t>lingüística</w:t>
      </w:r>
      <w:r>
        <w:rPr>
          <w:color w:val="803108"/>
          <w:spacing w:val="-10"/>
          <w:w w:val="105"/>
        </w:rPr>
        <w:t xml:space="preserve"> </w:t>
      </w:r>
      <w:r>
        <w:rPr>
          <w:color w:val="803108"/>
          <w:w w:val="105"/>
        </w:rPr>
        <w:t>a</w:t>
      </w:r>
      <w:r>
        <w:rPr>
          <w:color w:val="803108"/>
          <w:spacing w:val="-10"/>
          <w:w w:val="105"/>
        </w:rPr>
        <w:t xml:space="preserve"> </w:t>
      </w:r>
      <w:r>
        <w:rPr>
          <w:color w:val="803108"/>
          <w:w w:val="105"/>
        </w:rPr>
        <w:t>utilizar</w:t>
      </w:r>
      <w:r>
        <w:rPr>
          <w:color w:val="803108"/>
          <w:spacing w:val="-10"/>
          <w:w w:val="105"/>
        </w:rPr>
        <w:t xml:space="preserve"> </w:t>
      </w:r>
      <w:r>
        <w:rPr>
          <w:color w:val="803108"/>
          <w:w w:val="105"/>
        </w:rPr>
        <w:t>su</w:t>
      </w:r>
      <w:r>
        <w:rPr>
          <w:color w:val="803108"/>
          <w:spacing w:val="-10"/>
          <w:w w:val="105"/>
        </w:rPr>
        <w:t xml:space="preserve"> </w:t>
      </w:r>
      <w:r>
        <w:rPr>
          <w:color w:val="803108"/>
          <w:w w:val="105"/>
        </w:rPr>
        <w:t>idioma</w:t>
      </w:r>
      <w:r>
        <w:rPr>
          <w:color w:val="803108"/>
          <w:spacing w:val="-10"/>
          <w:w w:val="105"/>
        </w:rPr>
        <w:t xml:space="preserve"> </w:t>
      </w:r>
      <w:r>
        <w:rPr>
          <w:color w:val="803108"/>
          <w:w w:val="105"/>
        </w:rPr>
        <w:t>entre</w:t>
      </w:r>
      <w:r>
        <w:rPr>
          <w:color w:val="803108"/>
          <w:spacing w:val="-10"/>
          <w:w w:val="105"/>
        </w:rPr>
        <w:t xml:space="preserve"> </w:t>
      </w:r>
      <w:r>
        <w:rPr>
          <w:color w:val="803108"/>
          <w:w w:val="105"/>
        </w:rPr>
        <w:t>ellos,</w:t>
      </w:r>
      <w:r>
        <w:rPr>
          <w:color w:val="803108"/>
          <w:spacing w:val="-10"/>
          <w:w w:val="105"/>
        </w:rPr>
        <w:t xml:space="preserve"> </w:t>
      </w:r>
      <w:r>
        <w:rPr>
          <w:color w:val="803108"/>
          <w:w w:val="105"/>
        </w:rPr>
        <w:t>en</w:t>
      </w:r>
      <w:r>
        <w:rPr>
          <w:color w:val="803108"/>
          <w:spacing w:val="-10"/>
          <w:w w:val="105"/>
        </w:rPr>
        <w:t xml:space="preserve"> </w:t>
      </w:r>
      <w:r>
        <w:rPr>
          <w:color w:val="803108"/>
          <w:w w:val="105"/>
        </w:rPr>
        <w:t>privado</w:t>
      </w:r>
      <w:r>
        <w:rPr>
          <w:color w:val="803108"/>
          <w:spacing w:val="-10"/>
          <w:w w:val="105"/>
        </w:rPr>
        <w:t xml:space="preserve"> </w:t>
      </w:r>
      <w:r>
        <w:rPr>
          <w:color w:val="803108"/>
          <w:w w:val="105"/>
        </w:rPr>
        <w:t>o</w:t>
      </w:r>
      <w:r>
        <w:rPr>
          <w:color w:val="803108"/>
          <w:spacing w:val="-10"/>
          <w:w w:val="105"/>
        </w:rPr>
        <w:t xml:space="preserve"> </w:t>
      </w:r>
      <w:r>
        <w:rPr>
          <w:color w:val="803108"/>
          <w:w w:val="105"/>
        </w:rPr>
        <w:t>en público,</w:t>
      </w:r>
      <w:r>
        <w:rPr>
          <w:color w:val="803108"/>
          <w:spacing w:val="-2"/>
          <w:w w:val="105"/>
        </w:rPr>
        <w:t xml:space="preserve"> </w:t>
      </w:r>
      <w:r>
        <w:rPr>
          <w:color w:val="803108"/>
          <w:w w:val="105"/>
        </w:rPr>
        <w:t>es</w:t>
      </w:r>
      <w:r>
        <w:rPr>
          <w:color w:val="803108"/>
          <w:spacing w:val="-3"/>
          <w:w w:val="105"/>
        </w:rPr>
        <w:t xml:space="preserve"> </w:t>
      </w:r>
      <w:r>
        <w:rPr>
          <w:color w:val="803108"/>
          <w:w w:val="105"/>
        </w:rPr>
        <w:t>distinto</w:t>
      </w:r>
      <w:r>
        <w:rPr>
          <w:color w:val="803108"/>
          <w:spacing w:val="-3"/>
          <w:w w:val="105"/>
        </w:rPr>
        <w:t xml:space="preserve"> </w:t>
      </w:r>
      <w:r>
        <w:rPr>
          <w:color w:val="803108"/>
          <w:w w:val="105"/>
        </w:rPr>
        <w:t>de</w:t>
      </w:r>
      <w:r>
        <w:rPr>
          <w:color w:val="803108"/>
          <w:spacing w:val="-3"/>
          <w:w w:val="105"/>
        </w:rPr>
        <w:t xml:space="preserve"> </w:t>
      </w:r>
      <w:r>
        <w:rPr>
          <w:color w:val="803108"/>
          <w:w w:val="105"/>
        </w:rPr>
        <w:t>otros</w:t>
      </w:r>
      <w:r>
        <w:rPr>
          <w:color w:val="803108"/>
          <w:spacing w:val="-3"/>
          <w:w w:val="105"/>
        </w:rPr>
        <w:t xml:space="preserve"> </w:t>
      </w:r>
      <w:r>
        <w:rPr>
          <w:color w:val="803108"/>
          <w:w w:val="105"/>
        </w:rPr>
        <w:t>derechos</w:t>
      </w:r>
      <w:r>
        <w:rPr>
          <w:color w:val="803108"/>
          <w:spacing w:val="-3"/>
          <w:w w:val="105"/>
        </w:rPr>
        <w:t xml:space="preserve"> </w:t>
      </w:r>
      <w:r>
        <w:rPr>
          <w:color w:val="803108"/>
          <w:w w:val="105"/>
        </w:rPr>
        <w:t>lingüísticos</w:t>
      </w:r>
      <w:r>
        <w:rPr>
          <w:color w:val="803108"/>
          <w:spacing w:val="-4"/>
          <w:w w:val="105"/>
        </w:rPr>
        <w:t xml:space="preserve"> </w:t>
      </w:r>
      <w:r>
        <w:rPr>
          <w:color w:val="803108"/>
          <w:w w:val="105"/>
        </w:rPr>
        <w:t>protegidos</w:t>
      </w:r>
      <w:r>
        <w:rPr>
          <w:color w:val="803108"/>
          <w:spacing w:val="-3"/>
          <w:w w:val="105"/>
        </w:rPr>
        <w:t xml:space="preserve"> </w:t>
      </w:r>
      <w:r>
        <w:rPr>
          <w:color w:val="803108"/>
          <w:w w:val="105"/>
        </w:rPr>
        <w:t>por</w:t>
      </w:r>
      <w:r>
        <w:rPr>
          <w:color w:val="803108"/>
          <w:spacing w:val="-3"/>
          <w:w w:val="105"/>
        </w:rPr>
        <w:t xml:space="preserve"> </w:t>
      </w:r>
      <w:r>
        <w:rPr>
          <w:color w:val="803108"/>
          <w:w w:val="105"/>
        </w:rPr>
        <w:t>el</w:t>
      </w:r>
      <w:r>
        <w:rPr>
          <w:color w:val="803108"/>
          <w:spacing w:val="-3"/>
          <w:w w:val="105"/>
        </w:rPr>
        <w:t xml:space="preserve"> </w:t>
      </w:r>
      <w:r>
        <w:rPr>
          <w:color w:val="803108"/>
          <w:w w:val="105"/>
        </w:rPr>
        <w:t>Pacto.</w:t>
      </w:r>
      <w:r>
        <w:rPr>
          <w:color w:val="803108"/>
          <w:spacing w:val="-3"/>
          <w:w w:val="105"/>
        </w:rPr>
        <w:t xml:space="preserve"> </w:t>
      </w:r>
      <w:r>
        <w:rPr>
          <w:color w:val="803108"/>
          <w:w w:val="105"/>
        </w:rPr>
        <w:t>En</w:t>
      </w:r>
      <w:r>
        <w:rPr>
          <w:color w:val="803108"/>
          <w:spacing w:val="-3"/>
          <w:w w:val="105"/>
        </w:rPr>
        <w:t xml:space="preserve"> </w:t>
      </w:r>
      <w:r>
        <w:rPr>
          <w:color w:val="803108"/>
          <w:w w:val="105"/>
        </w:rPr>
        <w:t>particular,</w:t>
      </w:r>
      <w:r>
        <w:rPr>
          <w:color w:val="803108"/>
          <w:spacing w:val="-2"/>
          <w:w w:val="105"/>
        </w:rPr>
        <w:t xml:space="preserve"> </w:t>
      </w:r>
      <w:r>
        <w:rPr>
          <w:color w:val="803108"/>
          <w:w w:val="105"/>
        </w:rPr>
        <w:t>debe</w:t>
      </w:r>
      <w:r>
        <w:rPr>
          <w:color w:val="803108"/>
          <w:spacing w:val="-3"/>
          <w:w w:val="105"/>
        </w:rPr>
        <w:t xml:space="preserve"> </w:t>
      </w:r>
      <w:r>
        <w:rPr>
          <w:color w:val="803108"/>
          <w:w w:val="105"/>
        </w:rPr>
        <w:t>distinguirse</w:t>
      </w:r>
      <w:r>
        <w:rPr>
          <w:color w:val="803108"/>
          <w:spacing w:val="-3"/>
          <w:w w:val="105"/>
        </w:rPr>
        <w:t xml:space="preserve"> </w:t>
      </w:r>
      <w:r>
        <w:rPr>
          <w:color w:val="803108"/>
          <w:w w:val="105"/>
        </w:rPr>
        <w:t>del derecho</w:t>
      </w:r>
      <w:r>
        <w:rPr>
          <w:color w:val="803108"/>
          <w:spacing w:val="-1"/>
          <w:w w:val="105"/>
        </w:rPr>
        <w:t xml:space="preserve"> </w:t>
      </w:r>
      <w:r>
        <w:rPr>
          <w:color w:val="803108"/>
          <w:w w:val="105"/>
        </w:rPr>
        <w:t>general</w:t>
      </w:r>
      <w:r>
        <w:rPr>
          <w:color w:val="803108"/>
          <w:spacing w:val="-1"/>
          <w:w w:val="105"/>
        </w:rPr>
        <w:t xml:space="preserve"> </w:t>
      </w:r>
      <w:r>
        <w:rPr>
          <w:color w:val="803108"/>
          <w:w w:val="105"/>
        </w:rPr>
        <w:t>a</w:t>
      </w:r>
      <w:r>
        <w:rPr>
          <w:color w:val="803108"/>
          <w:spacing w:val="-1"/>
          <w:w w:val="105"/>
        </w:rPr>
        <w:t xml:space="preserve"> </w:t>
      </w:r>
      <w:r>
        <w:rPr>
          <w:color w:val="803108"/>
          <w:w w:val="105"/>
        </w:rPr>
        <w:t>la</w:t>
      </w:r>
      <w:r>
        <w:rPr>
          <w:color w:val="803108"/>
          <w:spacing w:val="-1"/>
          <w:w w:val="105"/>
        </w:rPr>
        <w:t xml:space="preserve"> </w:t>
      </w:r>
      <w:r>
        <w:rPr>
          <w:color w:val="803108"/>
          <w:w w:val="105"/>
        </w:rPr>
        <w:t>libertad</w:t>
      </w:r>
      <w:r>
        <w:rPr>
          <w:color w:val="803108"/>
          <w:spacing w:val="-1"/>
          <w:w w:val="105"/>
        </w:rPr>
        <w:t xml:space="preserve"> </w:t>
      </w:r>
      <w:r>
        <w:rPr>
          <w:color w:val="803108"/>
          <w:w w:val="105"/>
        </w:rPr>
        <w:t>de</w:t>
      </w:r>
      <w:r>
        <w:rPr>
          <w:color w:val="803108"/>
          <w:spacing w:val="-1"/>
          <w:w w:val="105"/>
        </w:rPr>
        <w:t xml:space="preserve"> </w:t>
      </w:r>
      <w:r>
        <w:rPr>
          <w:color w:val="803108"/>
          <w:w w:val="105"/>
        </w:rPr>
        <w:t>expresión</w:t>
      </w:r>
      <w:r>
        <w:rPr>
          <w:color w:val="803108"/>
          <w:spacing w:val="-1"/>
          <w:w w:val="105"/>
        </w:rPr>
        <w:t xml:space="preserve"> </w:t>
      </w:r>
      <w:r>
        <w:rPr>
          <w:color w:val="803108"/>
          <w:w w:val="105"/>
        </w:rPr>
        <w:t>protegido</w:t>
      </w:r>
      <w:r>
        <w:rPr>
          <w:color w:val="803108"/>
          <w:spacing w:val="-1"/>
          <w:w w:val="105"/>
        </w:rPr>
        <w:t xml:space="preserve"> </w:t>
      </w:r>
      <w:r>
        <w:rPr>
          <w:color w:val="803108"/>
          <w:w w:val="105"/>
        </w:rPr>
        <w:t>en</w:t>
      </w:r>
      <w:r>
        <w:rPr>
          <w:color w:val="803108"/>
          <w:spacing w:val="-1"/>
          <w:w w:val="105"/>
        </w:rPr>
        <w:t xml:space="preserve"> </w:t>
      </w:r>
      <w:r>
        <w:rPr>
          <w:color w:val="803108"/>
          <w:w w:val="105"/>
        </w:rPr>
        <w:t>el</w:t>
      </w:r>
      <w:r>
        <w:rPr>
          <w:color w:val="803108"/>
          <w:spacing w:val="-1"/>
          <w:w w:val="105"/>
        </w:rPr>
        <w:t xml:space="preserve"> </w:t>
      </w:r>
      <w:r>
        <w:rPr>
          <w:color w:val="803108"/>
          <w:w w:val="105"/>
        </w:rPr>
        <w:t>artículo</w:t>
      </w:r>
      <w:r>
        <w:rPr>
          <w:color w:val="803108"/>
          <w:spacing w:val="-1"/>
          <w:w w:val="105"/>
        </w:rPr>
        <w:t xml:space="preserve"> </w:t>
      </w:r>
      <w:r>
        <w:rPr>
          <w:color w:val="803108"/>
          <w:w w:val="105"/>
        </w:rPr>
        <w:t>19.1052.</w:t>
      </w:r>
    </w:p>
    <w:p w14:paraId="3FAF055F" w14:textId="77777777" w:rsidR="0014798C" w:rsidRDefault="0014798C">
      <w:pPr>
        <w:pStyle w:val="Textoindependiente"/>
        <w:rPr>
          <w:sz w:val="15"/>
        </w:rPr>
      </w:pPr>
    </w:p>
    <w:p w14:paraId="386DE554" w14:textId="77777777" w:rsidR="0014798C" w:rsidRDefault="0014798C">
      <w:pPr>
        <w:pStyle w:val="Textoindependiente"/>
        <w:spacing w:before="26"/>
        <w:rPr>
          <w:sz w:val="15"/>
        </w:rPr>
      </w:pPr>
    </w:p>
    <w:p w14:paraId="6B039CDB" w14:textId="77777777" w:rsidR="0014798C" w:rsidRDefault="004E1F0B">
      <w:pPr>
        <w:spacing w:line="348" w:lineRule="auto"/>
        <w:ind w:left="1107" w:right="1272" w:hanging="1"/>
        <w:rPr>
          <w:sz w:val="15"/>
        </w:rPr>
      </w:pPr>
      <w:r>
        <w:rPr>
          <w:sz w:val="15"/>
        </w:rPr>
        <w:t>El</w:t>
      </w:r>
      <w:r>
        <w:rPr>
          <w:spacing w:val="-4"/>
          <w:sz w:val="15"/>
        </w:rPr>
        <w:t xml:space="preserve"> </w:t>
      </w:r>
      <w:r>
        <w:rPr>
          <w:sz w:val="15"/>
        </w:rPr>
        <w:t>Comité</w:t>
      </w:r>
      <w:r>
        <w:rPr>
          <w:spacing w:val="-4"/>
          <w:sz w:val="15"/>
        </w:rPr>
        <w:t xml:space="preserve"> </w:t>
      </w:r>
      <w:r>
        <w:rPr>
          <w:sz w:val="15"/>
        </w:rPr>
        <w:t>de</w:t>
      </w:r>
      <w:r>
        <w:rPr>
          <w:spacing w:val="-4"/>
          <w:sz w:val="15"/>
        </w:rPr>
        <w:t xml:space="preserve"> </w:t>
      </w:r>
      <w:r>
        <w:rPr>
          <w:sz w:val="15"/>
        </w:rPr>
        <w:t>Derechos</w:t>
      </w:r>
      <w:r>
        <w:rPr>
          <w:spacing w:val="-4"/>
          <w:sz w:val="15"/>
        </w:rPr>
        <w:t xml:space="preserve"> </w:t>
      </w:r>
      <w:r>
        <w:rPr>
          <w:sz w:val="15"/>
        </w:rPr>
        <w:t>Humanos</w:t>
      </w:r>
      <w:r>
        <w:rPr>
          <w:spacing w:val="-4"/>
          <w:sz w:val="15"/>
        </w:rPr>
        <w:t xml:space="preserve"> </w:t>
      </w:r>
      <w:r>
        <w:rPr>
          <w:sz w:val="15"/>
        </w:rPr>
        <w:t>también</w:t>
      </w:r>
      <w:r>
        <w:rPr>
          <w:spacing w:val="-4"/>
          <w:sz w:val="15"/>
        </w:rPr>
        <w:t xml:space="preserve"> </w:t>
      </w:r>
      <w:r>
        <w:rPr>
          <w:sz w:val="15"/>
        </w:rPr>
        <w:t>ha</w:t>
      </w:r>
      <w:r>
        <w:rPr>
          <w:spacing w:val="-4"/>
          <w:sz w:val="15"/>
        </w:rPr>
        <w:t xml:space="preserve"> </w:t>
      </w:r>
      <w:r>
        <w:rPr>
          <w:sz w:val="15"/>
        </w:rPr>
        <w:t>sostenido</w:t>
      </w:r>
      <w:r>
        <w:rPr>
          <w:spacing w:val="-4"/>
          <w:sz w:val="15"/>
        </w:rPr>
        <w:t xml:space="preserve"> </w:t>
      </w:r>
      <w:r>
        <w:rPr>
          <w:sz w:val="15"/>
        </w:rPr>
        <w:t>que</w:t>
      </w:r>
      <w:r>
        <w:rPr>
          <w:spacing w:val="-4"/>
          <w:sz w:val="15"/>
        </w:rPr>
        <w:t xml:space="preserve"> </w:t>
      </w:r>
      <w:r>
        <w:rPr>
          <w:sz w:val="15"/>
        </w:rPr>
        <w:t>las</w:t>
      </w:r>
      <w:r>
        <w:rPr>
          <w:spacing w:val="-4"/>
          <w:sz w:val="15"/>
        </w:rPr>
        <w:t xml:space="preserve"> </w:t>
      </w:r>
      <w:r>
        <w:rPr>
          <w:sz w:val="15"/>
        </w:rPr>
        <w:t>medidas</w:t>
      </w:r>
      <w:r>
        <w:rPr>
          <w:spacing w:val="-4"/>
          <w:sz w:val="15"/>
        </w:rPr>
        <w:t xml:space="preserve"> </w:t>
      </w:r>
      <w:r>
        <w:rPr>
          <w:sz w:val="15"/>
        </w:rPr>
        <w:t>positivas</w:t>
      </w:r>
      <w:r>
        <w:rPr>
          <w:spacing w:val="-4"/>
          <w:sz w:val="15"/>
        </w:rPr>
        <w:t xml:space="preserve"> </w:t>
      </w:r>
      <w:r>
        <w:rPr>
          <w:sz w:val="15"/>
        </w:rPr>
        <w:t>por</w:t>
      </w:r>
      <w:r>
        <w:rPr>
          <w:spacing w:val="-4"/>
          <w:sz w:val="15"/>
        </w:rPr>
        <w:t xml:space="preserve"> </w:t>
      </w:r>
      <w:r>
        <w:rPr>
          <w:sz w:val="15"/>
        </w:rPr>
        <w:t>parte</w:t>
      </w:r>
      <w:r>
        <w:rPr>
          <w:spacing w:val="-4"/>
          <w:sz w:val="15"/>
        </w:rPr>
        <w:t xml:space="preserve"> </w:t>
      </w:r>
      <w:r>
        <w:rPr>
          <w:sz w:val="15"/>
        </w:rPr>
        <w:t>de</w:t>
      </w:r>
      <w:r>
        <w:rPr>
          <w:spacing w:val="-4"/>
          <w:sz w:val="15"/>
        </w:rPr>
        <w:t xml:space="preserve"> </w:t>
      </w:r>
      <w:r>
        <w:rPr>
          <w:sz w:val="15"/>
        </w:rPr>
        <w:t>los</w:t>
      </w:r>
      <w:r>
        <w:rPr>
          <w:spacing w:val="-4"/>
          <w:sz w:val="15"/>
        </w:rPr>
        <w:t xml:space="preserve"> </w:t>
      </w:r>
      <w:r>
        <w:rPr>
          <w:sz w:val="15"/>
        </w:rPr>
        <w:t>Estados</w:t>
      </w:r>
      <w:r>
        <w:rPr>
          <w:spacing w:val="-4"/>
          <w:sz w:val="15"/>
        </w:rPr>
        <w:t xml:space="preserve"> </w:t>
      </w:r>
      <w:r>
        <w:rPr>
          <w:sz w:val="15"/>
        </w:rPr>
        <w:t>“también</w:t>
      </w:r>
      <w:r>
        <w:rPr>
          <w:spacing w:val="-4"/>
          <w:sz w:val="15"/>
        </w:rPr>
        <w:t xml:space="preserve"> </w:t>
      </w:r>
      <w:r>
        <w:rPr>
          <w:sz w:val="15"/>
        </w:rPr>
        <w:t>pueden</w:t>
      </w:r>
      <w:r>
        <w:rPr>
          <w:spacing w:val="-4"/>
          <w:sz w:val="15"/>
        </w:rPr>
        <w:t xml:space="preserve"> </w:t>
      </w:r>
      <w:r>
        <w:rPr>
          <w:sz w:val="15"/>
        </w:rPr>
        <w:t>ser</w:t>
      </w:r>
      <w:r>
        <w:rPr>
          <w:spacing w:val="-4"/>
          <w:sz w:val="15"/>
        </w:rPr>
        <w:t xml:space="preserve"> </w:t>
      </w:r>
      <w:r>
        <w:rPr>
          <w:sz w:val="15"/>
        </w:rPr>
        <w:t>necesarias para proteger la identidad de una minoría y los derechos de sus miembros a disfrutar y desarrollar su cultura e idioma... en comunidad con los demás miembros del grupo”. 1053</w:t>
      </w:r>
    </w:p>
    <w:p w14:paraId="04A5797E" w14:textId="77777777" w:rsidR="0014798C" w:rsidRDefault="004E1F0B">
      <w:pPr>
        <w:pStyle w:val="Textoindependiente"/>
        <w:spacing w:before="160" w:line="326" w:lineRule="auto"/>
        <w:ind w:left="1107" w:right="1335" w:hanging="1"/>
      </w:pPr>
      <w:r>
        <w:t>La Declaración sobre los derechos de las personas pertenecientes a minorías nacionales o étnicas, religiosas y lingüísticas</w:t>
      </w:r>
      <w:r>
        <w:rPr>
          <w:spacing w:val="80"/>
        </w:rPr>
        <w:t xml:space="preserve"> </w:t>
      </w:r>
      <w:r>
        <w:t>reafirma que las minorías lingüísticas tienen derecho a “utilizar su propio idioma, en privado y en público, libremente y sin</w:t>
      </w:r>
      <w:r>
        <w:rPr>
          <w:spacing w:val="40"/>
        </w:rPr>
        <w:t xml:space="preserve"> </w:t>
      </w:r>
      <w:r>
        <w:t xml:space="preserve">injerencias ni ninguna forma de </w:t>
      </w:r>
      <w:proofErr w:type="gramStart"/>
      <w:r>
        <w:t>discriminación”;</w:t>
      </w:r>
      <w:proofErr w:type="gramEnd"/>
      <w:r>
        <w:t xml:space="preserve"> “participar efectivamente en la vida cultural, religiosa, social, económica y </w:t>
      </w:r>
      <w:proofErr w:type="gramStart"/>
      <w:r>
        <w:t>pública”;</w:t>
      </w:r>
      <w:proofErr w:type="gramEnd"/>
      <w:r>
        <w:t xml:space="preserve"> “participar efectivamente en las decisiones a nivel nacional y, en su caso, regional, relativas a la minoría a la que pertenecen o a las regiones en las que </w:t>
      </w:r>
      <w:proofErr w:type="gramStart"/>
      <w:r>
        <w:t>viven”;</w:t>
      </w:r>
      <w:proofErr w:type="gramEnd"/>
      <w:r>
        <w:t xml:space="preserve"> “establecer y mantener sus propias </w:t>
      </w:r>
      <w:proofErr w:type="gramStart"/>
      <w:r>
        <w:t>asociaciones”;</w:t>
      </w:r>
      <w:proofErr w:type="gramEnd"/>
      <w:r>
        <w:t xml:space="preserve"> y “establecer y mantener, sin discriminación alguna, contactos libres y pacíficos con otros miembros de su grupo y con personas pertenecientes a otras</w:t>
      </w:r>
      <w:r>
        <w:rPr>
          <w:spacing w:val="80"/>
        </w:rPr>
        <w:t xml:space="preserve"> </w:t>
      </w:r>
      <w:r>
        <w:t>minorías,</w:t>
      </w:r>
      <w:r>
        <w:rPr>
          <w:spacing w:val="24"/>
        </w:rPr>
        <w:t xml:space="preserve"> </w:t>
      </w:r>
      <w:r>
        <w:t>así</w:t>
      </w:r>
      <w:r>
        <w:rPr>
          <w:spacing w:val="23"/>
        </w:rPr>
        <w:t xml:space="preserve"> </w:t>
      </w:r>
      <w:r>
        <w:t>como</w:t>
      </w:r>
      <w:r>
        <w:rPr>
          <w:spacing w:val="22"/>
        </w:rPr>
        <w:t xml:space="preserve"> </w:t>
      </w:r>
      <w:r>
        <w:t>contactos transfronterizos con</w:t>
      </w:r>
      <w:r>
        <w:rPr>
          <w:spacing w:val="23"/>
        </w:rPr>
        <w:t xml:space="preserve"> </w:t>
      </w:r>
      <w:r>
        <w:t>ciudadanos</w:t>
      </w:r>
      <w:r>
        <w:rPr>
          <w:spacing w:val="22"/>
        </w:rPr>
        <w:t xml:space="preserve"> </w:t>
      </w:r>
      <w:r>
        <w:t>de</w:t>
      </w:r>
      <w:r>
        <w:rPr>
          <w:spacing w:val="23"/>
        </w:rPr>
        <w:t xml:space="preserve"> </w:t>
      </w:r>
      <w:r>
        <w:t>otros</w:t>
      </w:r>
      <w:r>
        <w:rPr>
          <w:spacing w:val="22"/>
        </w:rPr>
        <w:t xml:space="preserve"> </w:t>
      </w:r>
      <w:r>
        <w:t>Estados con</w:t>
      </w:r>
      <w:r>
        <w:rPr>
          <w:spacing w:val="23"/>
        </w:rPr>
        <w:t xml:space="preserve"> </w:t>
      </w:r>
      <w:r>
        <w:t>los</w:t>
      </w:r>
      <w:r>
        <w:rPr>
          <w:spacing w:val="22"/>
        </w:rPr>
        <w:t xml:space="preserve"> </w:t>
      </w:r>
      <w:r>
        <w:t>que</w:t>
      </w:r>
      <w:r>
        <w:rPr>
          <w:spacing w:val="23"/>
        </w:rPr>
        <w:t xml:space="preserve"> </w:t>
      </w:r>
      <w:r>
        <w:t>estén</w:t>
      </w:r>
      <w:r>
        <w:rPr>
          <w:spacing w:val="22"/>
        </w:rPr>
        <w:t xml:space="preserve"> </w:t>
      </w:r>
      <w:r>
        <w:t>emparentados</w:t>
      </w:r>
      <w:r>
        <w:rPr>
          <w:spacing w:val="23"/>
        </w:rPr>
        <w:t xml:space="preserve"> </w:t>
      </w:r>
      <w:r>
        <w:t>por</w:t>
      </w:r>
      <w:r>
        <w:rPr>
          <w:spacing w:val="22"/>
        </w:rPr>
        <w:t xml:space="preserve"> </w:t>
      </w:r>
      <w:r>
        <w:t>motivos nacionales o étnicos, vínculos religiosos o lingüísticos”.1054</w:t>
      </w:r>
    </w:p>
    <w:p w14:paraId="5B329B08" w14:textId="77777777" w:rsidR="0014798C" w:rsidRDefault="0014798C">
      <w:pPr>
        <w:pStyle w:val="Textoindependiente"/>
      </w:pPr>
    </w:p>
    <w:p w14:paraId="3F726DF4" w14:textId="77777777" w:rsidR="0014798C" w:rsidRDefault="0014798C">
      <w:pPr>
        <w:pStyle w:val="Textoindependiente"/>
        <w:spacing w:before="47"/>
      </w:pPr>
    </w:p>
    <w:p w14:paraId="23F100A2" w14:textId="77777777" w:rsidR="0014798C" w:rsidRDefault="004E1F0B">
      <w:pPr>
        <w:pStyle w:val="Textoindependiente"/>
        <w:spacing w:before="1" w:line="326" w:lineRule="auto"/>
        <w:ind w:left="1111" w:right="1272" w:firstLine="3"/>
      </w:pPr>
      <w:r>
        <w:rPr>
          <w:w w:val="105"/>
        </w:rPr>
        <w:t>Se</w:t>
      </w:r>
      <w:r>
        <w:rPr>
          <w:spacing w:val="-10"/>
          <w:w w:val="105"/>
        </w:rPr>
        <w:t xml:space="preserve"> </w:t>
      </w:r>
      <w:r>
        <w:rPr>
          <w:w w:val="105"/>
        </w:rPr>
        <w:t>han</w:t>
      </w:r>
      <w:r>
        <w:rPr>
          <w:spacing w:val="-10"/>
          <w:w w:val="105"/>
        </w:rPr>
        <w:t xml:space="preserve"> </w:t>
      </w:r>
      <w:r>
        <w:rPr>
          <w:w w:val="105"/>
        </w:rPr>
        <w:t>elaborado</w:t>
      </w:r>
      <w:r>
        <w:rPr>
          <w:spacing w:val="-10"/>
          <w:w w:val="105"/>
        </w:rPr>
        <w:t xml:space="preserve"> </w:t>
      </w:r>
      <w:r>
        <w:rPr>
          <w:w w:val="105"/>
        </w:rPr>
        <w:t>orientaciones</w:t>
      </w:r>
      <w:r>
        <w:rPr>
          <w:spacing w:val="-11"/>
          <w:w w:val="105"/>
        </w:rPr>
        <w:t xml:space="preserve"> </w:t>
      </w:r>
      <w:r>
        <w:rPr>
          <w:w w:val="105"/>
        </w:rPr>
        <w:t>sobre</w:t>
      </w:r>
      <w:r>
        <w:rPr>
          <w:spacing w:val="-10"/>
          <w:w w:val="105"/>
        </w:rPr>
        <w:t xml:space="preserve"> </w:t>
      </w:r>
      <w:r>
        <w:rPr>
          <w:w w:val="105"/>
        </w:rPr>
        <w:t>el</w:t>
      </w:r>
      <w:r>
        <w:rPr>
          <w:spacing w:val="-10"/>
          <w:w w:val="105"/>
        </w:rPr>
        <w:t xml:space="preserve"> </w:t>
      </w:r>
      <w:r>
        <w:rPr>
          <w:w w:val="105"/>
        </w:rPr>
        <w:t>acceso</w:t>
      </w:r>
      <w:r>
        <w:rPr>
          <w:spacing w:val="-10"/>
          <w:w w:val="105"/>
        </w:rPr>
        <w:t xml:space="preserve"> </w:t>
      </w:r>
      <w:r>
        <w:rPr>
          <w:w w:val="105"/>
        </w:rPr>
        <w:t>a</w:t>
      </w:r>
      <w:r>
        <w:rPr>
          <w:spacing w:val="-10"/>
          <w:w w:val="105"/>
        </w:rPr>
        <w:t xml:space="preserve"> </w:t>
      </w:r>
      <w:r>
        <w:rPr>
          <w:w w:val="105"/>
        </w:rPr>
        <w:t>los</w:t>
      </w:r>
      <w:r>
        <w:rPr>
          <w:spacing w:val="-10"/>
          <w:w w:val="105"/>
        </w:rPr>
        <w:t xml:space="preserve"> </w:t>
      </w:r>
      <w:r>
        <w:rPr>
          <w:w w:val="105"/>
        </w:rPr>
        <w:t>servicios</w:t>
      </w:r>
      <w:r>
        <w:rPr>
          <w:spacing w:val="-10"/>
          <w:w w:val="105"/>
        </w:rPr>
        <w:t xml:space="preserve"> </w:t>
      </w:r>
      <w:r>
        <w:rPr>
          <w:w w:val="105"/>
        </w:rPr>
        <w:t>públicos</w:t>
      </w:r>
      <w:r>
        <w:rPr>
          <w:spacing w:val="-10"/>
          <w:w w:val="105"/>
        </w:rPr>
        <w:t xml:space="preserve"> </w:t>
      </w:r>
      <w:r>
        <w:rPr>
          <w:w w:val="105"/>
        </w:rPr>
        <w:t>en</w:t>
      </w:r>
      <w:r>
        <w:rPr>
          <w:spacing w:val="-10"/>
          <w:w w:val="105"/>
        </w:rPr>
        <w:t xml:space="preserve"> </w:t>
      </w:r>
      <w:r>
        <w:rPr>
          <w:w w:val="105"/>
        </w:rPr>
        <w:t>lenguas</w:t>
      </w:r>
      <w:r>
        <w:rPr>
          <w:spacing w:val="-10"/>
          <w:w w:val="105"/>
        </w:rPr>
        <w:t xml:space="preserve"> </w:t>
      </w:r>
      <w:r>
        <w:rPr>
          <w:w w:val="105"/>
        </w:rPr>
        <w:t>minoritarias</w:t>
      </w:r>
      <w:r>
        <w:rPr>
          <w:spacing w:val="-10"/>
          <w:w w:val="105"/>
        </w:rPr>
        <w:t xml:space="preserve"> </w:t>
      </w:r>
      <w:r>
        <w:rPr>
          <w:w w:val="105"/>
        </w:rPr>
        <w:t>en</w:t>
      </w:r>
      <w:r>
        <w:rPr>
          <w:spacing w:val="-10"/>
          <w:w w:val="105"/>
        </w:rPr>
        <w:t xml:space="preserve"> </w:t>
      </w:r>
      <w:r>
        <w:rPr>
          <w:w w:val="105"/>
        </w:rPr>
        <w:t>una</w:t>
      </w:r>
      <w:r>
        <w:rPr>
          <w:spacing w:val="-10"/>
          <w:w w:val="105"/>
        </w:rPr>
        <w:t xml:space="preserve"> </w:t>
      </w:r>
      <w:r>
        <w:rPr>
          <w:w w:val="105"/>
        </w:rPr>
        <w:t>serie</w:t>
      </w:r>
      <w:r>
        <w:rPr>
          <w:spacing w:val="-10"/>
          <w:w w:val="105"/>
        </w:rPr>
        <w:t xml:space="preserve"> </w:t>
      </w:r>
      <w:r>
        <w:rPr>
          <w:w w:val="105"/>
        </w:rPr>
        <w:t>de</w:t>
      </w:r>
      <w:r>
        <w:rPr>
          <w:spacing w:val="-10"/>
          <w:w w:val="105"/>
        </w:rPr>
        <w:t xml:space="preserve"> </w:t>
      </w:r>
      <w:r>
        <w:rPr>
          <w:w w:val="105"/>
        </w:rPr>
        <w:t>áreas,</w:t>
      </w:r>
      <w:r>
        <w:rPr>
          <w:spacing w:val="-10"/>
          <w:w w:val="105"/>
        </w:rPr>
        <w:t xml:space="preserve"> </w:t>
      </w:r>
      <w:r>
        <w:rPr>
          <w:w w:val="105"/>
        </w:rPr>
        <w:t>y también se han confirmado en casos juzgados a nivel supranacional, tales como:</w:t>
      </w:r>
    </w:p>
    <w:p w14:paraId="6FB21C44" w14:textId="77777777" w:rsidR="0014798C" w:rsidRDefault="004E1F0B">
      <w:pPr>
        <w:pStyle w:val="Prrafodelista"/>
        <w:numPr>
          <w:ilvl w:val="0"/>
          <w:numId w:val="16"/>
        </w:numPr>
        <w:tabs>
          <w:tab w:val="left" w:pos="1220"/>
          <w:tab w:val="left" w:pos="1349"/>
        </w:tabs>
        <w:spacing w:before="112" w:line="326" w:lineRule="auto"/>
        <w:ind w:right="1446" w:hanging="232"/>
        <w:rPr>
          <w:sz w:val="16"/>
        </w:rPr>
      </w:pPr>
      <w:r>
        <w:rPr>
          <w:w w:val="105"/>
          <w:sz w:val="16"/>
        </w:rPr>
        <w:t>El</w:t>
      </w:r>
      <w:r>
        <w:rPr>
          <w:spacing w:val="-11"/>
          <w:w w:val="105"/>
          <w:sz w:val="16"/>
        </w:rPr>
        <w:t xml:space="preserve"> </w:t>
      </w:r>
      <w:r>
        <w:rPr>
          <w:w w:val="105"/>
          <w:sz w:val="16"/>
        </w:rPr>
        <w:t>derecho</w:t>
      </w:r>
      <w:r>
        <w:rPr>
          <w:spacing w:val="-11"/>
          <w:w w:val="105"/>
          <w:sz w:val="16"/>
        </w:rPr>
        <w:t xml:space="preserve"> </w:t>
      </w:r>
      <w:r>
        <w:rPr>
          <w:w w:val="105"/>
          <w:sz w:val="16"/>
        </w:rPr>
        <w:t>a</w:t>
      </w:r>
      <w:r>
        <w:rPr>
          <w:spacing w:val="-11"/>
          <w:w w:val="105"/>
          <w:sz w:val="16"/>
        </w:rPr>
        <w:t xml:space="preserve"> </w:t>
      </w:r>
      <w:r>
        <w:rPr>
          <w:w w:val="105"/>
          <w:sz w:val="16"/>
        </w:rPr>
        <w:t>votar</w:t>
      </w:r>
      <w:r>
        <w:rPr>
          <w:spacing w:val="-11"/>
          <w:w w:val="105"/>
          <w:sz w:val="16"/>
        </w:rPr>
        <w:t xml:space="preserve"> </w:t>
      </w:r>
      <w:r>
        <w:rPr>
          <w:w w:val="105"/>
          <w:sz w:val="16"/>
        </w:rPr>
        <w:t>y</w:t>
      </w:r>
      <w:r>
        <w:rPr>
          <w:spacing w:val="-11"/>
          <w:w w:val="105"/>
          <w:sz w:val="16"/>
        </w:rPr>
        <w:t xml:space="preserve"> </w:t>
      </w:r>
      <w:r>
        <w:rPr>
          <w:w w:val="105"/>
          <w:sz w:val="16"/>
        </w:rPr>
        <w:t>participar</w:t>
      </w:r>
      <w:r>
        <w:rPr>
          <w:spacing w:val="-11"/>
          <w:w w:val="105"/>
          <w:sz w:val="16"/>
        </w:rPr>
        <w:t xml:space="preserve"> </w:t>
      </w:r>
      <w:r>
        <w:rPr>
          <w:w w:val="105"/>
          <w:sz w:val="16"/>
        </w:rPr>
        <w:t>en</w:t>
      </w:r>
      <w:r>
        <w:rPr>
          <w:spacing w:val="-11"/>
          <w:w w:val="105"/>
          <w:sz w:val="16"/>
        </w:rPr>
        <w:t xml:space="preserve"> </w:t>
      </w:r>
      <w:r>
        <w:rPr>
          <w:w w:val="105"/>
          <w:sz w:val="16"/>
        </w:rPr>
        <w:t>los</w:t>
      </w:r>
      <w:r>
        <w:rPr>
          <w:spacing w:val="-11"/>
          <w:w w:val="105"/>
          <w:sz w:val="16"/>
        </w:rPr>
        <w:t xml:space="preserve"> </w:t>
      </w:r>
      <w:r>
        <w:rPr>
          <w:w w:val="105"/>
          <w:sz w:val="16"/>
        </w:rPr>
        <w:t>servicios</w:t>
      </w:r>
      <w:r>
        <w:rPr>
          <w:spacing w:val="-11"/>
          <w:w w:val="105"/>
          <w:sz w:val="16"/>
        </w:rPr>
        <w:t xml:space="preserve"> </w:t>
      </w:r>
      <w:r>
        <w:rPr>
          <w:w w:val="105"/>
          <w:sz w:val="16"/>
        </w:rPr>
        <w:t>electorales</w:t>
      </w:r>
      <w:r>
        <w:rPr>
          <w:spacing w:val="-11"/>
          <w:w w:val="105"/>
          <w:sz w:val="16"/>
        </w:rPr>
        <w:t xml:space="preserve"> </w:t>
      </w:r>
      <w:r>
        <w:rPr>
          <w:w w:val="105"/>
          <w:sz w:val="16"/>
        </w:rPr>
        <w:t>mediante</w:t>
      </w:r>
      <w:r>
        <w:rPr>
          <w:spacing w:val="-11"/>
          <w:w w:val="105"/>
          <w:sz w:val="16"/>
        </w:rPr>
        <w:t xml:space="preserve"> </w:t>
      </w:r>
      <w:r>
        <w:rPr>
          <w:w w:val="105"/>
          <w:sz w:val="16"/>
        </w:rPr>
        <w:t>la</w:t>
      </w:r>
      <w:r>
        <w:rPr>
          <w:spacing w:val="-11"/>
          <w:w w:val="105"/>
          <w:sz w:val="16"/>
        </w:rPr>
        <w:t xml:space="preserve"> </w:t>
      </w:r>
      <w:r>
        <w:rPr>
          <w:w w:val="105"/>
          <w:sz w:val="16"/>
        </w:rPr>
        <w:t>prestación</w:t>
      </w:r>
      <w:r>
        <w:rPr>
          <w:spacing w:val="-11"/>
          <w:w w:val="105"/>
          <w:sz w:val="16"/>
        </w:rPr>
        <w:t xml:space="preserve"> </w:t>
      </w:r>
      <w:r>
        <w:rPr>
          <w:w w:val="105"/>
          <w:sz w:val="16"/>
        </w:rPr>
        <w:t>de</w:t>
      </w:r>
      <w:r>
        <w:rPr>
          <w:spacing w:val="-11"/>
          <w:w w:val="105"/>
          <w:sz w:val="16"/>
        </w:rPr>
        <w:t xml:space="preserve"> </w:t>
      </w:r>
      <w:r>
        <w:rPr>
          <w:w w:val="105"/>
          <w:sz w:val="16"/>
        </w:rPr>
        <w:t>estos</w:t>
      </w:r>
      <w:r>
        <w:rPr>
          <w:spacing w:val="-11"/>
          <w:w w:val="105"/>
          <w:sz w:val="16"/>
        </w:rPr>
        <w:t xml:space="preserve"> </w:t>
      </w:r>
      <w:r>
        <w:rPr>
          <w:w w:val="105"/>
          <w:sz w:val="16"/>
        </w:rPr>
        <w:t>servicios</w:t>
      </w:r>
      <w:r>
        <w:rPr>
          <w:spacing w:val="-11"/>
          <w:w w:val="105"/>
          <w:sz w:val="16"/>
        </w:rPr>
        <w:t xml:space="preserve"> </w:t>
      </w:r>
      <w:r>
        <w:rPr>
          <w:w w:val="105"/>
          <w:sz w:val="16"/>
        </w:rPr>
        <w:t>en</w:t>
      </w:r>
      <w:r>
        <w:rPr>
          <w:spacing w:val="-11"/>
          <w:w w:val="105"/>
          <w:sz w:val="16"/>
        </w:rPr>
        <w:t xml:space="preserve"> </w:t>
      </w:r>
      <w:r>
        <w:rPr>
          <w:w w:val="105"/>
          <w:sz w:val="16"/>
        </w:rPr>
        <w:t>idiomas</w:t>
      </w:r>
      <w:r>
        <w:rPr>
          <w:spacing w:val="-11"/>
          <w:w w:val="105"/>
          <w:sz w:val="16"/>
        </w:rPr>
        <w:t xml:space="preserve"> </w:t>
      </w:r>
      <w:r>
        <w:rPr>
          <w:w w:val="105"/>
          <w:sz w:val="16"/>
        </w:rPr>
        <w:t>minoritarios donde las minorías se concentran en cantidades suficientes.1055</w:t>
      </w:r>
    </w:p>
    <w:p w14:paraId="1EF35F9B" w14:textId="77777777" w:rsidR="0014798C" w:rsidRDefault="004E1F0B">
      <w:pPr>
        <w:pStyle w:val="Prrafodelista"/>
        <w:numPr>
          <w:ilvl w:val="0"/>
          <w:numId w:val="16"/>
        </w:numPr>
        <w:tabs>
          <w:tab w:val="left" w:pos="1221"/>
        </w:tabs>
        <w:spacing w:before="112"/>
        <w:ind w:left="1221" w:hanging="103"/>
        <w:rPr>
          <w:sz w:val="16"/>
        </w:rPr>
      </w:pPr>
      <w:r>
        <w:rPr>
          <w:w w:val="105"/>
          <w:sz w:val="16"/>
        </w:rPr>
        <w:t>El</w:t>
      </w:r>
      <w:r>
        <w:rPr>
          <w:spacing w:val="-11"/>
          <w:w w:val="105"/>
          <w:sz w:val="16"/>
        </w:rPr>
        <w:t xml:space="preserve"> </w:t>
      </w:r>
      <w:r>
        <w:rPr>
          <w:w w:val="105"/>
          <w:sz w:val="16"/>
        </w:rPr>
        <w:t>derecho</w:t>
      </w:r>
      <w:r>
        <w:rPr>
          <w:spacing w:val="-11"/>
          <w:w w:val="105"/>
          <w:sz w:val="16"/>
        </w:rPr>
        <w:t xml:space="preserve"> </w:t>
      </w:r>
      <w:r>
        <w:rPr>
          <w:w w:val="105"/>
          <w:sz w:val="16"/>
        </w:rPr>
        <w:t>a</w:t>
      </w:r>
      <w:r>
        <w:rPr>
          <w:spacing w:val="-10"/>
          <w:w w:val="105"/>
          <w:sz w:val="16"/>
        </w:rPr>
        <w:t xml:space="preserve"> </w:t>
      </w:r>
      <w:r>
        <w:rPr>
          <w:w w:val="105"/>
          <w:sz w:val="16"/>
        </w:rPr>
        <w:t>la</w:t>
      </w:r>
      <w:r>
        <w:rPr>
          <w:spacing w:val="-11"/>
          <w:w w:val="105"/>
          <w:sz w:val="16"/>
        </w:rPr>
        <w:t xml:space="preserve"> </w:t>
      </w:r>
      <w:r>
        <w:rPr>
          <w:w w:val="105"/>
          <w:sz w:val="16"/>
        </w:rPr>
        <w:t>educación</w:t>
      </w:r>
      <w:r>
        <w:rPr>
          <w:spacing w:val="-10"/>
          <w:w w:val="105"/>
          <w:sz w:val="16"/>
        </w:rPr>
        <w:t xml:space="preserve"> </w:t>
      </w:r>
      <w:r>
        <w:rPr>
          <w:w w:val="105"/>
          <w:sz w:val="16"/>
        </w:rPr>
        <w:t>y</w:t>
      </w:r>
      <w:r>
        <w:rPr>
          <w:spacing w:val="-11"/>
          <w:w w:val="105"/>
          <w:sz w:val="16"/>
        </w:rPr>
        <w:t xml:space="preserve"> </w:t>
      </w:r>
      <w:r>
        <w:rPr>
          <w:w w:val="105"/>
          <w:sz w:val="16"/>
        </w:rPr>
        <w:t>la</w:t>
      </w:r>
      <w:r>
        <w:rPr>
          <w:spacing w:val="-11"/>
          <w:w w:val="105"/>
          <w:sz w:val="16"/>
        </w:rPr>
        <w:t xml:space="preserve"> </w:t>
      </w:r>
      <w:r>
        <w:rPr>
          <w:w w:val="105"/>
          <w:sz w:val="16"/>
        </w:rPr>
        <w:t>enseñanza</w:t>
      </w:r>
      <w:r>
        <w:rPr>
          <w:spacing w:val="-10"/>
          <w:w w:val="105"/>
          <w:sz w:val="16"/>
        </w:rPr>
        <w:t xml:space="preserve"> </w:t>
      </w:r>
      <w:r>
        <w:rPr>
          <w:w w:val="105"/>
          <w:sz w:val="16"/>
        </w:rPr>
        <w:t>de</w:t>
      </w:r>
      <w:r>
        <w:rPr>
          <w:spacing w:val="-11"/>
          <w:w w:val="105"/>
          <w:sz w:val="16"/>
        </w:rPr>
        <w:t xml:space="preserve"> </w:t>
      </w:r>
      <w:r>
        <w:rPr>
          <w:w w:val="105"/>
          <w:sz w:val="16"/>
        </w:rPr>
        <w:t>lenguas</w:t>
      </w:r>
      <w:r>
        <w:rPr>
          <w:spacing w:val="-11"/>
          <w:w w:val="105"/>
          <w:sz w:val="16"/>
        </w:rPr>
        <w:t xml:space="preserve"> </w:t>
      </w:r>
      <w:r>
        <w:rPr>
          <w:spacing w:val="-2"/>
          <w:w w:val="105"/>
          <w:sz w:val="16"/>
        </w:rPr>
        <w:t>minoritarias.1056</w:t>
      </w:r>
    </w:p>
    <w:p w14:paraId="79A77D5E" w14:textId="77777777" w:rsidR="0014798C" w:rsidRDefault="0014798C">
      <w:pPr>
        <w:pStyle w:val="Textoindependiente"/>
        <w:rPr>
          <w:sz w:val="12"/>
        </w:rPr>
      </w:pPr>
    </w:p>
    <w:p w14:paraId="29818AF7" w14:textId="77777777" w:rsidR="0014798C" w:rsidRDefault="0014798C">
      <w:pPr>
        <w:pStyle w:val="Textoindependiente"/>
        <w:rPr>
          <w:sz w:val="12"/>
        </w:rPr>
      </w:pPr>
    </w:p>
    <w:p w14:paraId="69BCFD78" w14:textId="77777777" w:rsidR="0014798C" w:rsidRDefault="0014798C">
      <w:pPr>
        <w:pStyle w:val="Textoindependiente"/>
        <w:rPr>
          <w:sz w:val="12"/>
        </w:rPr>
      </w:pPr>
    </w:p>
    <w:p w14:paraId="1254D956" w14:textId="77777777" w:rsidR="0014798C" w:rsidRDefault="0014798C">
      <w:pPr>
        <w:pStyle w:val="Textoindependiente"/>
        <w:rPr>
          <w:sz w:val="12"/>
        </w:rPr>
      </w:pPr>
    </w:p>
    <w:p w14:paraId="5C226B91" w14:textId="77777777" w:rsidR="0014798C" w:rsidRDefault="0014798C">
      <w:pPr>
        <w:pStyle w:val="Textoindependiente"/>
        <w:rPr>
          <w:sz w:val="12"/>
        </w:rPr>
      </w:pPr>
    </w:p>
    <w:p w14:paraId="2F8583C7" w14:textId="77777777" w:rsidR="0014798C" w:rsidRDefault="0014798C">
      <w:pPr>
        <w:pStyle w:val="Textoindependiente"/>
        <w:rPr>
          <w:sz w:val="12"/>
        </w:rPr>
      </w:pPr>
    </w:p>
    <w:p w14:paraId="301D2490" w14:textId="77777777" w:rsidR="0014798C" w:rsidRDefault="0014798C">
      <w:pPr>
        <w:pStyle w:val="Textoindependiente"/>
        <w:spacing w:before="21"/>
        <w:rPr>
          <w:sz w:val="12"/>
        </w:rPr>
      </w:pPr>
    </w:p>
    <w:p w14:paraId="691075C9" w14:textId="77777777" w:rsidR="0014798C" w:rsidRDefault="004E1F0B">
      <w:pPr>
        <w:ind w:left="1111"/>
        <w:rPr>
          <w:sz w:val="12"/>
        </w:rPr>
      </w:pPr>
      <w:r>
        <w:rPr>
          <w:spacing w:val="-2"/>
          <w:sz w:val="12"/>
        </w:rPr>
        <w:t>1049</w:t>
      </w:r>
      <w:r>
        <w:rPr>
          <w:spacing w:val="3"/>
          <w:sz w:val="12"/>
        </w:rPr>
        <w:t xml:space="preserve"> </w:t>
      </w:r>
      <w:r>
        <w:rPr>
          <w:spacing w:val="-2"/>
          <w:sz w:val="12"/>
        </w:rPr>
        <w:t>A/HRC/34/50/Add.1,</w:t>
      </w:r>
      <w:r>
        <w:rPr>
          <w:spacing w:val="3"/>
          <w:sz w:val="12"/>
        </w:rPr>
        <w:t xml:space="preserve"> </w:t>
      </w:r>
      <w:proofErr w:type="spellStart"/>
      <w:r>
        <w:rPr>
          <w:spacing w:val="-2"/>
          <w:sz w:val="12"/>
        </w:rPr>
        <w:t>párrs</w:t>
      </w:r>
      <w:proofErr w:type="spellEnd"/>
      <w:r>
        <w:rPr>
          <w:spacing w:val="-2"/>
          <w:sz w:val="12"/>
        </w:rPr>
        <w:t>.</w:t>
      </w:r>
      <w:r>
        <w:rPr>
          <w:spacing w:val="4"/>
          <w:sz w:val="12"/>
        </w:rPr>
        <w:t xml:space="preserve"> </w:t>
      </w:r>
      <w:r>
        <w:rPr>
          <w:spacing w:val="-2"/>
          <w:sz w:val="12"/>
        </w:rPr>
        <w:t>24–26.</w:t>
      </w:r>
      <w:r>
        <w:rPr>
          <w:spacing w:val="3"/>
          <w:sz w:val="12"/>
        </w:rPr>
        <w:t xml:space="preserve"> </w:t>
      </w:r>
      <w:r>
        <w:rPr>
          <w:spacing w:val="-2"/>
          <w:sz w:val="12"/>
        </w:rPr>
        <w:t>Dinamarca,</w:t>
      </w:r>
      <w:r>
        <w:rPr>
          <w:spacing w:val="4"/>
          <w:sz w:val="12"/>
        </w:rPr>
        <w:t xml:space="preserve"> </w:t>
      </w:r>
      <w:r>
        <w:rPr>
          <w:spacing w:val="-2"/>
          <w:sz w:val="12"/>
        </w:rPr>
        <w:t>hasta</w:t>
      </w:r>
      <w:r>
        <w:rPr>
          <w:spacing w:val="3"/>
          <w:sz w:val="12"/>
        </w:rPr>
        <w:t xml:space="preserve"> </w:t>
      </w:r>
      <w:r>
        <w:rPr>
          <w:spacing w:val="-2"/>
          <w:sz w:val="12"/>
        </w:rPr>
        <w:t>el</w:t>
      </w:r>
      <w:r>
        <w:rPr>
          <w:spacing w:val="3"/>
          <w:sz w:val="12"/>
        </w:rPr>
        <w:t xml:space="preserve"> </w:t>
      </w:r>
      <w:r>
        <w:rPr>
          <w:spacing w:val="-2"/>
          <w:sz w:val="12"/>
        </w:rPr>
        <w:t>momento</w:t>
      </w:r>
      <w:r>
        <w:rPr>
          <w:spacing w:val="3"/>
          <w:sz w:val="12"/>
        </w:rPr>
        <w:t xml:space="preserve"> </w:t>
      </w:r>
      <w:r>
        <w:rPr>
          <w:spacing w:val="-2"/>
          <w:sz w:val="12"/>
        </w:rPr>
        <w:t>de</w:t>
      </w:r>
      <w:r>
        <w:rPr>
          <w:spacing w:val="3"/>
          <w:sz w:val="12"/>
        </w:rPr>
        <w:t xml:space="preserve"> </w:t>
      </w:r>
      <w:r>
        <w:rPr>
          <w:spacing w:val="-2"/>
          <w:sz w:val="12"/>
        </w:rPr>
        <w:t>redactar</w:t>
      </w:r>
      <w:r>
        <w:rPr>
          <w:spacing w:val="3"/>
          <w:sz w:val="12"/>
        </w:rPr>
        <w:t xml:space="preserve"> </w:t>
      </w:r>
      <w:r>
        <w:rPr>
          <w:spacing w:val="-2"/>
          <w:sz w:val="12"/>
        </w:rPr>
        <w:t>este</w:t>
      </w:r>
      <w:r>
        <w:rPr>
          <w:spacing w:val="3"/>
          <w:sz w:val="12"/>
        </w:rPr>
        <w:t xml:space="preserve"> </w:t>
      </w:r>
      <w:r>
        <w:rPr>
          <w:spacing w:val="-2"/>
          <w:sz w:val="12"/>
        </w:rPr>
        <w:t>informe,</w:t>
      </w:r>
      <w:r>
        <w:rPr>
          <w:spacing w:val="4"/>
          <w:sz w:val="12"/>
        </w:rPr>
        <w:t xml:space="preserve"> </w:t>
      </w:r>
      <w:r>
        <w:rPr>
          <w:spacing w:val="-2"/>
          <w:sz w:val="12"/>
        </w:rPr>
        <w:t>no</w:t>
      </w:r>
      <w:r>
        <w:rPr>
          <w:spacing w:val="3"/>
          <w:sz w:val="12"/>
        </w:rPr>
        <w:t xml:space="preserve"> </w:t>
      </w:r>
      <w:r>
        <w:rPr>
          <w:spacing w:val="-2"/>
          <w:sz w:val="12"/>
        </w:rPr>
        <w:t>ha</w:t>
      </w:r>
      <w:r>
        <w:rPr>
          <w:spacing w:val="3"/>
          <w:sz w:val="12"/>
        </w:rPr>
        <w:t xml:space="preserve"> </w:t>
      </w:r>
      <w:r>
        <w:rPr>
          <w:spacing w:val="-2"/>
          <w:sz w:val="12"/>
        </w:rPr>
        <w:t>adoptado</w:t>
      </w:r>
      <w:r>
        <w:rPr>
          <w:spacing w:val="3"/>
          <w:sz w:val="12"/>
        </w:rPr>
        <w:t xml:space="preserve"> </w:t>
      </w:r>
      <w:r>
        <w:rPr>
          <w:spacing w:val="-2"/>
          <w:sz w:val="12"/>
        </w:rPr>
        <w:t>tal</w:t>
      </w:r>
      <w:r>
        <w:rPr>
          <w:spacing w:val="3"/>
          <w:sz w:val="12"/>
        </w:rPr>
        <w:t xml:space="preserve"> </w:t>
      </w:r>
      <w:r>
        <w:rPr>
          <w:spacing w:val="-2"/>
          <w:sz w:val="12"/>
        </w:rPr>
        <w:t>prohibición.</w:t>
      </w:r>
    </w:p>
    <w:p w14:paraId="3783992E" w14:textId="77777777" w:rsidR="0014798C" w:rsidRDefault="004E1F0B">
      <w:pPr>
        <w:spacing w:before="59" w:line="288" w:lineRule="auto"/>
        <w:ind w:left="1371" w:right="1463" w:hanging="261"/>
        <w:rPr>
          <w:sz w:val="13"/>
        </w:rPr>
      </w:pPr>
      <w:r>
        <w:rPr>
          <w:w w:val="105"/>
          <w:sz w:val="13"/>
          <w:vertAlign w:val="superscript"/>
        </w:rPr>
        <w:t>1050</w:t>
      </w:r>
      <w:r>
        <w:rPr>
          <w:spacing w:val="21"/>
          <w:w w:val="105"/>
          <w:sz w:val="13"/>
        </w:rPr>
        <w:t xml:space="preserve"> </w:t>
      </w:r>
      <w:r>
        <w:rPr>
          <w:w w:val="105"/>
          <w:sz w:val="13"/>
        </w:rPr>
        <w:t>Recomendación</w:t>
      </w:r>
      <w:r>
        <w:rPr>
          <w:spacing w:val="-1"/>
          <w:w w:val="105"/>
          <w:sz w:val="13"/>
        </w:rPr>
        <w:t xml:space="preserve"> </w:t>
      </w:r>
      <w:r>
        <w:rPr>
          <w:w w:val="105"/>
          <w:sz w:val="13"/>
        </w:rPr>
        <w:t>general</w:t>
      </w:r>
      <w:r>
        <w:rPr>
          <w:spacing w:val="-1"/>
          <w:w w:val="105"/>
          <w:sz w:val="13"/>
        </w:rPr>
        <w:t xml:space="preserve"> </w:t>
      </w:r>
      <w:r>
        <w:rPr>
          <w:w w:val="105"/>
          <w:sz w:val="13"/>
        </w:rPr>
        <w:t>conjunta</w:t>
      </w:r>
      <w:r>
        <w:rPr>
          <w:spacing w:val="-1"/>
          <w:w w:val="105"/>
          <w:sz w:val="13"/>
        </w:rPr>
        <w:t xml:space="preserve"> </w:t>
      </w:r>
      <w:r>
        <w:rPr>
          <w:w w:val="105"/>
          <w:sz w:val="13"/>
        </w:rPr>
        <w:t>N°</w:t>
      </w:r>
      <w:r>
        <w:rPr>
          <w:spacing w:val="-1"/>
          <w:w w:val="105"/>
          <w:sz w:val="13"/>
        </w:rPr>
        <w:t xml:space="preserve"> </w:t>
      </w:r>
      <w:r>
        <w:rPr>
          <w:w w:val="105"/>
          <w:sz w:val="13"/>
        </w:rPr>
        <w:t>31</w:t>
      </w:r>
      <w:r>
        <w:rPr>
          <w:spacing w:val="-1"/>
          <w:w w:val="105"/>
          <w:sz w:val="13"/>
        </w:rPr>
        <w:t xml:space="preserve"> </w:t>
      </w:r>
      <w:r>
        <w:rPr>
          <w:w w:val="105"/>
          <w:sz w:val="13"/>
        </w:rPr>
        <w:t>del</w:t>
      </w:r>
      <w:r>
        <w:rPr>
          <w:spacing w:val="-1"/>
          <w:w w:val="105"/>
          <w:sz w:val="13"/>
        </w:rPr>
        <w:t xml:space="preserve"> </w:t>
      </w:r>
      <w:r>
        <w:rPr>
          <w:w w:val="105"/>
          <w:sz w:val="13"/>
        </w:rPr>
        <w:t>Comité</w:t>
      </w:r>
      <w:r>
        <w:rPr>
          <w:spacing w:val="-1"/>
          <w:w w:val="105"/>
          <w:sz w:val="13"/>
        </w:rPr>
        <w:t xml:space="preserve"> </w:t>
      </w:r>
      <w:r>
        <w:rPr>
          <w:w w:val="105"/>
          <w:sz w:val="13"/>
        </w:rPr>
        <w:t>para</w:t>
      </w:r>
      <w:r>
        <w:rPr>
          <w:spacing w:val="-1"/>
          <w:w w:val="105"/>
          <w:sz w:val="13"/>
        </w:rPr>
        <w:t xml:space="preserve"> </w:t>
      </w:r>
      <w:r>
        <w:rPr>
          <w:w w:val="105"/>
          <w:sz w:val="13"/>
        </w:rPr>
        <w:t>la</w:t>
      </w:r>
      <w:r>
        <w:rPr>
          <w:spacing w:val="-1"/>
          <w:w w:val="105"/>
          <w:sz w:val="13"/>
        </w:rPr>
        <w:t xml:space="preserve"> </w:t>
      </w:r>
      <w:r>
        <w:rPr>
          <w:w w:val="105"/>
          <w:sz w:val="13"/>
        </w:rPr>
        <w:t>Eliminación</w:t>
      </w:r>
      <w:r>
        <w:rPr>
          <w:spacing w:val="-1"/>
          <w:w w:val="105"/>
          <w:sz w:val="13"/>
        </w:rPr>
        <w:t xml:space="preserve"> </w:t>
      </w:r>
      <w:r>
        <w:rPr>
          <w:w w:val="105"/>
          <w:sz w:val="13"/>
        </w:rPr>
        <w:t>de</w:t>
      </w:r>
      <w:r>
        <w:rPr>
          <w:spacing w:val="-1"/>
          <w:w w:val="105"/>
          <w:sz w:val="13"/>
        </w:rPr>
        <w:t xml:space="preserve"> </w:t>
      </w:r>
      <w:r>
        <w:rPr>
          <w:w w:val="105"/>
          <w:sz w:val="13"/>
        </w:rPr>
        <w:t>la</w:t>
      </w:r>
      <w:r>
        <w:rPr>
          <w:spacing w:val="-1"/>
          <w:w w:val="105"/>
          <w:sz w:val="13"/>
        </w:rPr>
        <w:t xml:space="preserve"> </w:t>
      </w:r>
      <w:r>
        <w:rPr>
          <w:w w:val="105"/>
          <w:sz w:val="13"/>
        </w:rPr>
        <w:t>Discriminación</w:t>
      </w:r>
      <w:r>
        <w:rPr>
          <w:spacing w:val="-1"/>
          <w:w w:val="105"/>
          <w:sz w:val="13"/>
        </w:rPr>
        <w:t xml:space="preserve"> </w:t>
      </w:r>
      <w:r>
        <w:rPr>
          <w:w w:val="105"/>
          <w:sz w:val="13"/>
        </w:rPr>
        <w:t>contra</w:t>
      </w:r>
      <w:r>
        <w:rPr>
          <w:spacing w:val="-1"/>
          <w:w w:val="105"/>
          <w:sz w:val="13"/>
        </w:rPr>
        <w:t xml:space="preserve"> </w:t>
      </w:r>
      <w:r>
        <w:rPr>
          <w:w w:val="105"/>
          <w:sz w:val="13"/>
        </w:rPr>
        <w:t>la</w:t>
      </w:r>
      <w:r>
        <w:rPr>
          <w:spacing w:val="-1"/>
          <w:w w:val="105"/>
          <w:sz w:val="13"/>
        </w:rPr>
        <w:t xml:space="preserve"> </w:t>
      </w:r>
      <w:r>
        <w:rPr>
          <w:w w:val="105"/>
          <w:sz w:val="13"/>
        </w:rPr>
        <w:t>Mujer/observación</w:t>
      </w:r>
      <w:r>
        <w:rPr>
          <w:spacing w:val="-1"/>
          <w:w w:val="105"/>
          <w:sz w:val="13"/>
        </w:rPr>
        <w:t xml:space="preserve"> </w:t>
      </w:r>
      <w:r>
        <w:rPr>
          <w:w w:val="105"/>
          <w:sz w:val="13"/>
        </w:rPr>
        <w:t>general</w:t>
      </w:r>
      <w:r>
        <w:rPr>
          <w:spacing w:val="-1"/>
          <w:w w:val="105"/>
          <w:sz w:val="13"/>
        </w:rPr>
        <w:t xml:space="preserve"> </w:t>
      </w:r>
      <w:r>
        <w:rPr>
          <w:w w:val="105"/>
          <w:sz w:val="13"/>
        </w:rPr>
        <w:t>N°</w:t>
      </w:r>
      <w:r>
        <w:rPr>
          <w:spacing w:val="-1"/>
          <w:w w:val="105"/>
          <w:sz w:val="13"/>
        </w:rPr>
        <w:t xml:space="preserve"> </w:t>
      </w:r>
      <w:r>
        <w:rPr>
          <w:w w:val="105"/>
          <w:sz w:val="13"/>
        </w:rPr>
        <w:t>18</w:t>
      </w:r>
      <w:r>
        <w:rPr>
          <w:spacing w:val="-1"/>
          <w:w w:val="105"/>
          <w:sz w:val="13"/>
        </w:rPr>
        <w:t xml:space="preserve"> </w:t>
      </w:r>
      <w:r>
        <w:rPr>
          <w:w w:val="105"/>
          <w:sz w:val="13"/>
        </w:rPr>
        <w:t>del</w:t>
      </w:r>
      <w:r>
        <w:rPr>
          <w:spacing w:val="-1"/>
          <w:w w:val="105"/>
          <w:sz w:val="13"/>
        </w:rPr>
        <w:t xml:space="preserve"> </w:t>
      </w:r>
      <w:r>
        <w:rPr>
          <w:w w:val="105"/>
          <w:sz w:val="13"/>
        </w:rPr>
        <w:t>Comité</w:t>
      </w:r>
      <w:r>
        <w:rPr>
          <w:spacing w:val="40"/>
          <w:w w:val="105"/>
          <w:sz w:val="13"/>
        </w:rPr>
        <w:t xml:space="preserve"> </w:t>
      </w:r>
      <w:r>
        <w:rPr>
          <w:w w:val="105"/>
          <w:sz w:val="13"/>
        </w:rPr>
        <w:t>de los Derechos del Niño (2019).</w:t>
      </w:r>
    </w:p>
    <w:p w14:paraId="4E984889" w14:textId="77777777" w:rsidR="0014798C" w:rsidRDefault="004E1F0B">
      <w:pPr>
        <w:spacing w:before="97"/>
        <w:ind w:left="1111"/>
        <w:rPr>
          <w:sz w:val="12"/>
        </w:rPr>
      </w:pPr>
      <w:r>
        <w:rPr>
          <w:spacing w:val="-2"/>
          <w:sz w:val="12"/>
        </w:rPr>
        <w:t>1051</w:t>
      </w:r>
      <w:r>
        <w:rPr>
          <w:spacing w:val="2"/>
          <w:sz w:val="12"/>
        </w:rPr>
        <w:t xml:space="preserve"> </w:t>
      </w:r>
      <w:r>
        <w:rPr>
          <w:spacing w:val="-2"/>
          <w:sz w:val="12"/>
        </w:rPr>
        <w:t>Comité</w:t>
      </w:r>
      <w:r>
        <w:rPr>
          <w:spacing w:val="3"/>
          <w:sz w:val="12"/>
        </w:rPr>
        <w:t xml:space="preserve"> </w:t>
      </w:r>
      <w:r>
        <w:rPr>
          <w:spacing w:val="-2"/>
          <w:sz w:val="12"/>
        </w:rPr>
        <w:t>de</w:t>
      </w:r>
      <w:r>
        <w:rPr>
          <w:spacing w:val="3"/>
          <w:sz w:val="12"/>
        </w:rPr>
        <w:t xml:space="preserve"> </w:t>
      </w:r>
      <w:r>
        <w:rPr>
          <w:spacing w:val="-2"/>
          <w:sz w:val="12"/>
        </w:rPr>
        <w:t>Derechos</w:t>
      </w:r>
      <w:r>
        <w:rPr>
          <w:spacing w:val="3"/>
          <w:sz w:val="12"/>
        </w:rPr>
        <w:t xml:space="preserve"> </w:t>
      </w:r>
      <w:r>
        <w:rPr>
          <w:spacing w:val="-2"/>
          <w:sz w:val="12"/>
        </w:rPr>
        <w:t>Humanos,</w:t>
      </w:r>
      <w:r>
        <w:rPr>
          <w:spacing w:val="4"/>
          <w:sz w:val="12"/>
        </w:rPr>
        <w:t xml:space="preserve"> </w:t>
      </w:r>
      <w:r>
        <w:rPr>
          <w:spacing w:val="-2"/>
          <w:sz w:val="12"/>
        </w:rPr>
        <w:t>observación</w:t>
      </w:r>
      <w:r>
        <w:rPr>
          <w:spacing w:val="3"/>
          <w:sz w:val="12"/>
        </w:rPr>
        <w:t xml:space="preserve"> </w:t>
      </w:r>
      <w:r>
        <w:rPr>
          <w:spacing w:val="-2"/>
          <w:sz w:val="12"/>
        </w:rPr>
        <w:t>general</w:t>
      </w:r>
      <w:r>
        <w:rPr>
          <w:spacing w:val="3"/>
          <w:sz w:val="12"/>
        </w:rPr>
        <w:t xml:space="preserve"> </w:t>
      </w:r>
      <w:r>
        <w:rPr>
          <w:spacing w:val="-2"/>
          <w:sz w:val="12"/>
        </w:rPr>
        <w:t>núm.</w:t>
      </w:r>
      <w:r>
        <w:rPr>
          <w:spacing w:val="3"/>
          <w:sz w:val="12"/>
        </w:rPr>
        <w:t xml:space="preserve"> </w:t>
      </w:r>
      <w:r>
        <w:rPr>
          <w:spacing w:val="-2"/>
          <w:sz w:val="12"/>
        </w:rPr>
        <w:t>23</w:t>
      </w:r>
      <w:r>
        <w:rPr>
          <w:spacing w:val="2"/>
          <w:sz w:val="12"/>
        </w:rPr>
        <w:t xml:space="preserve"> </w:t>
      </w:r>
      <w:r>
        <w:rPr>
          <w:spacing w:val="-2"/>
          <w:sz w:val="12"/>
        </w:rPr>
        <w:t>(1994),</w:t>
      </w:r>
      <w:r>
        <w:rPr>
          <w:spacing w:val="4"/>
          <w:sz w:val="12"/>
        </w:rPr>
        <w:t xml:space="preserve"> </w:t>
      </w:r>
      <w:r>
        <w:rPr>
          <w:spacing w:val="-2"/>
          <w:sz w:val="12"/>
        </w:rPr>
        <w:t>párr.</w:t>
      </w:r>
      <w:r>
        <w:rPr>
          <w:spacing w:val="3"/>
          <w:sz w:val="12"/>
        </w:rPr>
        <w:t xml:space="preserve"> </w:t>
      </w:r>
      <w:r>
        <w:rPr>
          <w:spacing w:val="-4"/>
          <w:sz w:val="12"/>
        </w:rPr>
        <w:t>5.1.</w:t>
      </w:r>
    </w:p>
    <w:p w14:paraId="43238CE8" w14:textId="77777777" w:rsidR="0014798C" w:rsidRDefault="004E1F0B">
      <w:pPr>
        <w:spacing w:before="98"/>
        <w:ind w:left="1111"/>
        <w:rPr>
          <w:sz w:val="12"/>
        </w:rPr>
      </w:pPr>
      <w:r>
        <w:rPr>
          <w:sz w:val="12"/>
        </w:rPr>
        <w:t>1052</w:t>
      </w:r>
      <w:r>
        <w:rPr>
          <w:spacing w:val="-8"/>
          <w:sz w:val="12"/>
        </w:rPr>
        <w:t xml:space="preserve"> </w:t>
      </w:r>
      <w:proofErr w:type="spellStart"/>
      <w:r>
        <w:rPr>
          <w:sz w:val="12"/>
        </w:rPr>
        <w:t>Ibíd</w:t>
      </w:r>
      <w:proofErr w:type="spellEnd"/>
      <w:r>
        <w:rPr>
          <w:sz w:val="12"/>
        </w:rPr>
        <w:t>.,</w:t>
      </w:r>
      <w:r>
        <w:rPr>
          <w:spacing w:val="-8"/>
          <w:sz w:val="12"/>
        </w:rPr>
        <w:t xml:space="preserve"> </w:t>
      </w:r>
      <w:r>
        <w:rPr>
          <w:sz w:val="12"/>
        </w:rPr>
        <w:t>párr.</w:t>
      </w:r>
      <w:r>
        <w:rPr>
          <w:spacing w:val="-7"/>
          <w:sz w:val="12"/>
        </w:rPr>
        <w:t xml:space="preserve"> </w:t>
      </w:r>
      <w:r>
        <w:rPr>
          <w:spacing w:val="-4"/>
          <w:sz w:val="12"/>
        </w:rPr>
        <w:t>5.3.</w:t>
      </w:r>
    </w:p>
    <w:p w14:paraId="45E171A7" w14:textId="77777777" w:rsidR="0014798C" w:rsidRDefault="004E1F0B">
      <w:pPr>
        <w:spacing w:before="99"/>
        <w:ind w:left="1111"/>
        <w:rPr>
          <w:sz w:val="12"/>
        </w:rPr>
      </w:pPr>
      <w:r>
        <w:rPr>
          <w:sz w:val="12"/>
        </w:rPr>
        <w:t>1053</w:t>
      </w:r>
      <w:r>
        <w:rPr>
          <w:spacing w:val="-8"/>
          <w:sz w:val="12"/>
        </w:rPr>
        <w:t xml:space="preserve"> </w:t>
      </w:r>
      <w:proofErr w:type="spellStart"/>
      <w:r>
        <w:rPr>
          <w:sz w:val="12"/>
        </w:rPr>
        <w:t>Ibíd</w:t>
      </w:r>
      <w:proofErr w:type="spellEnd"/>
      <w:r>
        <w:rPr>
          <w:sz w:val="12"/>
        </w:rPr>
        <w:t>.,</w:t>
      </w:r>
      <w:r>
        <w:rPr>
          <w:spacing w:val="-8"/>
          <w:sz w:val="12"/>
        </w:rPr>
        <w:t xml:space="preserve"> </w:t>
      </w:r>
      <w:r>
        <w:rPr>
          <w:sz w:val="12"/>
        </w:rPr>
        <w:t>párr.</w:t>
      </w:r>
      <w:r>
        <w:rPr>
          <w:spacing w:val="-7"/>
          <w:sz w:val="12"/>
        </w:rPr>
        <w:t xml:space="preserve"> </w:t>
      </w:r>
      <w:r>
        <w:rPr>
          <w:spacing w:val="-4"/>
          <w:sz w:val="12"/>
        </w:rPr>
        <w:t>6.2.</w:t>
      </w:r>
    </w:p>
    <w:p w14:paraId="74D1F78B" w14:textId="77777777" w:rsidR="0014798C" w:rsidRDefault="004E1F0B">
      <w:pPr>
        <w:spacing w:before="98"/>
        <w:ind w:left="1111"/>
        <w:rPr>
          <w:sz w:val="12"/>
        </w:rPr>
      </w:pPr>
      <w:r>
        <w:rPr>
          <w:sz w:val="12"/>
        </w:rPr>
        <w:t>1054</w:t>
      </w:r>
      <w:r>
        <w:rPr>
          <w:spacing w:val="-7"/>
          <w:sz w:val="12"/>
        </w:rPr>
        <w:t xml:space="preserve"> </w:t>
      </w:r>
      <w:r>
        <w:rPr>
          <w:sz w:val="12"/>
        </w:rPr>
        <w:t>Declaración</w:t>
      </w:r>
      <w:r>
        <w:rPr>
          <w:spacing w:val="-7"/>
          <w:sz w:val="12"/>
        </w:rPr>
        <w:t xml:space="preserve"> </w:t>
      </w:r>
      <w:r>
        <w:rPr>
          <w:sz w:val="12"/>
        </w:rPr>
        <w:t>sobre</w:t>
      </w:r>
      <w:r>
        <w:rPr>
          <w:spacing w:val="-7"/>
          <w:sz w:val="12"/>
        </w:rPr>
        <w:t xml:space="preserve"> </w:t>
      </w:r>
      <w:r>
        <w:rPr>
          <w:sz w:val="12"/>
        </w:rPr>
        <w:t>los</w:t>
      </w:r>
      <w:r>
        <w:rPr>
          <w:spacing w:val="-6"/>
          <w:sz w:val="12"/>
        </w:rPr>
        <w:t xml:space="preserve"> </w:t>
      </w:r>
      <w:r>
        <w:rPr>
          <w:sz w:val="12"/>
        </w:rPr>
        <w:t>derechos</w:t>
      </w:r>
      <w:r>
        <w:rPr>
          <w:spacing w:val="-7"/>
          <w:sz w:val="12"/>
        </w:rPr>
        <w:t xml:space="preserve"> </w:t>
      </w:r>
      <w:r>
        <w:rPr>
          <w:sz w:val="12"/>
        </w:rPr>
        <w:t>de</w:t>
      </w:r>
      <w:r>
        <w:rPr>
          <w:spacing w:val="-7"/>
          <w:sz w:val="12"/>
        </w:rPr>
        <w:t xml:space="preserve"> </w:t>
      </w:r>
      <w:r>
        <w:rPr>
          <w:sz w:val="12"/>
        </w:rPr>
        <w:t>las</w:t>
      </w:r>
      <w:r>
        <w:rPr>
          <w:spacing w:val="-7"/>
          <w:sz w:val="12"/>
        </w:rPr>
        <w:t xml:space="preserve"> </w:t>
      </w:r>
      <w:r>
        <w:rPr>
          <w:sz w:val="12"/>
        </w:rPr>
        <w:t>personas</w:t>
      </w:r>
      <w:r>
        <w:rPr>
          <w:spacing w:val="-6"/>
          <w:sz w:val="12"/>
        </w:rPr>
        <w:t xml:space="preserve"> </w:t>
      </w:r>
      <w:r>
        <w:rPr>
          <w:sz w:val="12"/>
        </w:rPr>
        <w:t>pertenecientes</w:t>
      </w:r>
      <w:r>
        <w:rPr>
          <w:spacing w:val="-7"/>
          <w:sz w:val="12"/>
        </w:rPr>
        <w:t xml:space="preserve"> </w:t>
      </w:r>
      <w:r>
        <w:rPr>
          <w:sz w:val="12"/>
        </w:rPr>
        <w:t>a</w:t>
      </w:r>
      <w:r>
        <w:rPr>
          <w:spacing w:val="-7"/>
          <w:sz w:val="12"/>
        </w:rPr>
        <w:t xml:space="preserve"> </w:t>
      </w:r>
      <w:r>
        <w:rPr>
          <w:sz w:val="12"/>
        </w:rPr>
        <w:t>minorías</w:t>
      </w:r>
      <w:r>
        <w:rPr>
          <w:spacing w:val="-7"/>
          <w:sz w:val="12"/>
        </w:rPr>
        <w:t xml:space="preserve"> </w:t>
      </w:r>
      <w:r>
        <w:rPr>
          <w:sz w:val="12"/>
        </w:rPr>
        <w:t>nacionales</w:t>
      </w:r>
      <w:r>
        <w:rPr>
          <w:spacing w:val="-6"/>
          <w:sz w:val="12"/>
        </w:rPr>
        <w:t xml:space="preserve"> </w:t>
      </w:r>
      <w:r>
        <w:rPr>
          <w:sz w:val="12"/>
        </w:rPr>
        <w:t>o</w:t>
      </w:r>
      <w:r>
        <w:rPr>
          <w:spacing w:val="-7"/>
          <w:sz w:val="12"/>
        </w:rPr>
        <w:t xml:space="preserve"> </w:t>
      </w:r>
      <w:r>
        <w:rPr>
          <w:sz w:val="12"/>
        </w:rPr>
        <w:t>étnicas,</w:t>
      </w:r>
      <w:r>
        <w:rPr>
          <w:spacing w:val="-6"/>
          <w:sz w:val="12"/>
        </w:rPr>
        <w:t xml:space="preserve"> </w:t>
      </w:r>
      <w:r>
        <w:rPr>
          <w:sz w:val="12"/>
        </w:rPr>
        <w:t>religiosas</w:t>
      </w:r>
      <w:r>
        <w:rPr>
          <w:spacing w:val="-7"/>
          <w:sz w:val="12"/>
        </w:rPr>
        <w:t xml:space="preserve"> </w:t>
      </w:r>
      <w:r>
        <w:rPr>
          <w:sz w:val="12"/>
        </w:rPr>
        <w:t>y</w:t>
      </w:r>
      <w:r>
        <w:rPr>
          <w:spacing w:val="-6"/>
          <w:sz w:val="12"/>
        </w:rPr>
        <w:t xml:space="preserve"> </w:t>
      </w:r>
      <w:r>
        <w:rPr>
          <w:sz w:val="12"/>
        </w:rPr>
        <w:t>lingüísticas,</w:t>
      </w:r>
      <w:r>
        <w:rPr>
          <w:spacing w:val="-6"/>
          <w:sz w:val="12"/>
        </w:rPr>
        <w:t xml:space="preserve"> </w:t>
      </w:r>
      <w:r>
        <w:rPr>
          <w:sz w:val="12"/>
        </w:rPr>
        <w:t>art.</w:t>
      </w:r>
      <w:r>
        <w:rPr>
          <w:spacing w:val="-7"/>
          <w:sz w:val="12"/>
        </w:rPr>
        <w:t xml:space="preserve"> </w:t>
      </w:r>
      <w:r>
        <w:rPr>
          <w:spacing w:val="-5"/>
          <w:sz w:val="12"/>
        </w:rPr>
        <w:t>2.</w:t>
      </w:r>
    </w:p>
    <w:p w14:paraId="36129492" w14:textId="77777777" w:rsidR="0014798C" w:rsidRDefault="004E1F0B">
      <w:pPr>
        <w:spacing w:before="60" w:line="288" w:lineRule="auto"/>
        <w:ind w:left="1365" w:right="1400" w:hanging="254"/>
        <w:rPr>
          <w:sz w:val="13"/>
        </w:rPr>
      </w:pPr>
      <w:r>
        <w:rPr>
          <w:w w:val="105"/>
          <w:sz w:val="13"/>
          <w:vertAlign w:val="superscript"/>
        </w:rPr>
        <w:t>1055</w:t>
      </w:r>
      <w:r>
        <w:rPr>
          <w:spacing w:val="32"/>
          <w:w w:val="105"/>
          <w:sz w:val="13"/>
        </w:rPr>
        <w:t xml:space="preserve"> </w:t>
      </w:r>
      <w:r>
        <w:rPr>
          <w:w w:val="105"/>
          <w:sz w:val="13"/>
        </w:rPr>
        <w:t>Véase, por</w:t>
      </w:r>
      <w:r>
        <w:rPr>
          <w:spacing w:val="-1"/>
          <w:w w:val="105"/>
          <w:sz w:val="13"/>
        </w:rPr>
        <w:t xml:space="preserve"> </w:t>
      </w:r>
      <w:r>
        <w:rPr>
          <w:w w:val="105"/>
          <w:sz w:val="13"/>
        </w:rPr>
        <w:t>ejemplo, Alto</w:t>
      </w:r>
      <w:r>
        <w:rPr>
          <w:spacing w:val="-1"/>
          <w:w w:val="105"/>
          <w:sz w:val="13"/>
        </w:rPr>
        <w:t xml:space="preserve"> </w:t>
      </w:r>
      <w:r>
        <w:rPr>
          <w:w w:val="105"/>
          <w:sz w:val="13"/>
        </w:rPr>
        <w:t>Comisionado</w:t>
      </w:r>
      <w:r>
        <w:rPr>
          <w:spacing w:val="-1"/>
          <w:w w:val="105"/>
          <w:sz w:val="13"/>
        </w:rPr>
        <w:t xml:space="preserve"> </w:t>
      </w:r>
      <w:r>
        <w:rPr>
          <w:w w:val="105"/>
          <w:sz w:val="13"/>
        </w:rPr>
        <w:t>para</w:t>
      </w:r>
      <w:r>
        <w:rPr>
          <w:spacing w:val="-1"/>
          <w:w w:val="105"/>
          <w:sz w:val="13"/>
        </w:rPr>
        <w:t xml:space="preserve"> </w:t>
      </w:r>
      <w:r>
        <w:rPr>
          <w:w w:val="105"/>
          <w:sz w:val="13"/>
        </w:rPr>
        <w:t>las</w:t>
      </w:r>
      <w:r>
        <w:rPr>
          <w:spacing w:val="-1"/>
          <w:w w:val="105"/>
          <w:sz w:val="13"/>
        </w:rPr>
        <w:t xml:space="preserve"> </w:t>
      </w:r>
      <w:r>
        <w:rPr>
          <w:w w:val="105"/>
          <w:sz w:val="13"/>
        </w:rPr>
        <w:t>Minorías</w:t>
      </w:r>
      <w:r>
        <w:rPr>
          <w:spacing w:val="-1"/>
          <w:w w:val="105"/>
          <w:sz w:val="13"/>
        </w:rPr>
        <w:t xml:space="preserve"> </w:t>
      </w:r>
      <w:r>
        <w:rPr>
          <w:w w:val="105"/>
          <w:sz w:val="13"/>
        </w:rPr>
        <w:t>Nacionales</w:t>
      </w:r>
      <w:r>
        <w:rPr>
          <w:spacing w:val="-1"/>
          <w:w w:val="105"/>
          <w:sz w:val="13"/>
        </w:rPr>
        <w:t xml:space="preserve"> </w:t>
      </w:r>
      <w:r>
        <w:rPr>
          <w:w w:val="105"/>
          <w:sz w:val="13"/>
        </w:rPr>
        <w:t>de</w:t>
      </w:r>
      <w:r>
        <w:rPr>
          <w:spacing w:val="-1"/>
          <w:w w:val="105"/>
          <w:sz w:val="13"/>
        </w:rPr>
        <w:t xml:space="preserve"> </w:t>
      </w:r>
      <w:r>
        <w:rPr>
          <w:w w:val="105"/>
          <w:sz w:val="13"/>
        </w:rPr>
        <w:t>la</w:t>
      </w:r>
      <w:r>
        <w:rPr>
          <w:spacing w:val="-1"/>
          <w:w w:val="105"/>
          <w:sz w:val="13"/>
        </w:rPr>
        <w:t xml:space="preserve"> </w:t>
      </w:r>
      <w:r>
        <w:rPr>
          <w:w w:val="105"/>
          <w:sz w:val="13"/>
        </w:rPr>
        <w:t>Organización</w:t>
      </w:r>
      <w:r>
        <w:rPr>
          <w:spacing w:val="-1"/>
          <w:w w:val="105"/>
          <w:sz w:val="13"/>
        </w:rPr>
        <w:t xml:space="preserve"> </w:t>
      </w:r>
      <w:r>
        <w:rPr>
          <w:w w:val="105"/>
          <w:sz w:val="13"/>
        </w:rPr>
        <w:t>para</w:t>
      </w:r>
      <w:r>
        <w:rPr>
          <w:spacing w:val="-1"/>
          <w:w w:val="105"/>
          <w:sz w:val="13"/>
        </w:rPr>
        <w:t xml:space="preserve"> </w:t>
      </w:r>
      <w:r>
        <w:rPr>
          <w:w w:val="105"/>
          <w:sz w:val="13"/>
        </w:rPr>
        <w:t>la</w:t>
      </w:r>
      <w:r>
        <w:rPr>
          <w:spacing w:val="-1"/>
          <w:w w:val="105"/>
          <w:sz w:val="13"/>
        </w:rPr>
        <w:t xml:space="preserve"> </w:t>
      </w:r>
      <w:r>
        <w:rPr>
          <w:w w:val="105"/>
          <w:sz w:val="13"/>
        </w:rPr>
        <w:t>Seguridad</w:t>
      </w:r>
      <w:r>
        <w:rPr>
          <w:spacing w:val="-1"/>
          <w:w w:val="105"/>
          <w:sz w:val="13"/>
        </w:rPr>
        <w:t xml:space="preserve"> </w:t>
      </w:r>
      <w:r>
        <w:rPr>
          <w:w w:val="105"/>
          <w:sz w:val="13"/>
        </w:rPr>
        <w:t>y</w:t>
      </w:r>
      <w:r>
        <w:rPr>
          <w:spacing w:val="-1"/>
          <w:w w:val="105"/>
          <w:sz w:val="13"/>
        </w:rPr>
        <w:t xml:space="preserve"> </w:t>
      </w:r>
      <w:r>
        <w:rPr>
          <w:w w:val="105"/>
          <w:sz w:val="13"/>
        </w:rPr>
        <w:t>la</w:t>
      </w:r>
      <w:r>
        <w:rPr>
          <w:spacing w:val="-1"/>
          <w:w w:val="105"/>
          <w:sz w:val="13"/>
        </w:rPr>
        <w:t xml:space="preserve"> </w:t>
      </w:r>
      <w:r>
        <w:rPr>
          <w:w w:val="105"/>
          <w:sz w:val="13"/>
        </w:rPr>
        <w:t>Cooperación</w:t>
      </w:r>
      <w:r>
        <w:rPr>
          <w:spacing w:val="-1"/>
          <w:w w:val="105"/>
          <w:sz w:val="13"/>
        </w:rPr>
        <w:t xml:space="preserve"> </w:t>
      </w:r>
      <w:r>
        <w:rPr>
          <w:w w:val="105"/>
          <w:sz w:val="13"/>
        </w:rPr>
        <w:t>en</w:t>
      </w:r>
      <w:r>
        <w:rPr>
          <w:spacing w:val="-1"/>
          <w:w w:val="105"/>
          <w:sz w:val="13"/>
        </w:rPr>
        <w:t xml:space="preserve"> </w:t>
      </w:r>
      <w:r>
        <w:rPr>
          <w:w w:val="105"/>
          <w:sz w:val="13"/>
        </w:rPr>
        <w:t>Europa, “Las</w:t>
      </w:r>
      <w:r>
        <w:rPr>
          <w:spacing w:val="40"/>
          <w:w w:val="105"/>
          <w:sz w:val="13"/>
        </w:rPr>
        <w:t xml:space="preserve"> </w:t>
      </w:r>
      <w:r>
        <w:rPr>
          <w:w w:val="105"/>
          <w:sz w:val="13"/>
        </w:rPr>
        <w:t>recomendaciones de Lund sobre la participación efectiva de las minorías nacionales en la vida pública y nota explicativa” (La Haya, 1999).</w:t>
      </w:r>
      <w:r>
        <w:rPr>
          <w:spacing w:val="40"/>
          <w:w w:val="105"/>
          <w:sz w:val="13"/>
        </w:rPr>
        <w:t xml:space="preserve"> </w:t>
      </w:r>
      <w:r>
        <w:rPr>
          <w:w w:val="105"/>
          <w:sz w:val="13"/>
        </w:rPr>
        <w:t xml:space="preserve">Disponible en </w:t>
      </w:r>
      <w:hyperlink r:id="rId293">
        <w:r>
          <w:rPr>
            <w:color w:val="0075BF"/>
            <w:w w:val="105"/>
            <w:sz w:val="13"/>
          </w:rPr>
          <w:t>www.osce.org/files/f/documents/0/9/32240.pdf.</w:t>
        </w:r>
      </w:hyperlink>
    </w:p>
    <w:p w14:paraId="01DA6F4C" w14:textId="77777777" w:rsidR="0014798C" w:rsidRDefault="004E1F0B">
      <w:pPr>
        <w:spacing w:before="58"/>
        <w:ind w:left="1111"/>
        <w:rPr>
          <w:sz w:val="13"/>
        </w:rPr>
      </w:pPr>
      <w:r>
        <w:rPr>
          <w:w w:val="105"/>
          <w:sz w:val="13"/>
        </w:rPr>
        <w:t>1056</w:t>
      </w:r>
      <w:r>
        <w:rPr>
          <w:spacing w:val="-4"/>
          <w:w w:val="105"/>
          <w:sz w:val="13"/>
        </w:rPr>
        <w:t xml:space="preserve"> </w:t>
      </w:r>
      <w:r>
        <w:rPr>
          <w:w w:val="105"/>
          <w:sz w:val="13"/>
        </w:rPr>
        <w:t>Comité</w:t>
      </w:r>
      <w:r>
        <w:rPr>
          <w:spacing w:val="-4"/>
          <w:w w:val="105"/>
          <w:sz w:val="13"/>
        </w:rPr>
        <w:t xml:space="preserve"> </w:t>
      </w:r>
      <w:r>
        <w:rPr>
          <w:w w:val="105"/>
          <w:sz w:val="13"/>
        </w:rPr>
        <w:t>de</w:t>
      </w:r>
      <w:r>
        <w:rPr>
          <w:spacing w:val="-4"/>
          <w:w w:val="105"/>
          <w:sz w:val="13"/>
        </w:rPr>
        <w:t xml:space="preserve"> </w:t>
      </w:r>
      <w:r>
        <w:rPr>
          <w:w w:val="105"/>
          <w:sz w:val="13"/>
        </w:rPr>
        <w:t>Derechos</w:t>
      </w:r>
      <w:r>
        <w:rPr>
          <w:spacing w:val="-4"/>
          <w:w w:val="105"/>
          <w:sz w:val="13"/>
        </w:rPr>
        <w:t xml:space="preserve"> </w:t>
      </w:r>
      <w:r>
        <w:rPr>
          <w:w w:val="105"/>
          <w:sz w:val="13"/>
        </w:rPr>
        <w:t>Humanos,</w:t>
      </w:r>
      <w:r>
        <w:rPr>
          <w:spacing w:val="-3"/>
          <w:w w:val="105"/>
          <w:sz w:val="13"/>
        </w:rPr>
        <w:t xml:space="preserve"> </w:t>
      </w:r>
      <w:proofErr w:type="spellStart"/>
      <w:r>
        <w:rPr>
          <w:w w:val="105"/>
          <w:sz w:val="13"/>
        </w:rPr>
        <w:t>Mavlonov</w:t>
      </w:r>
      <w:proofErr w:type="spellEnd"/>
      <w:r>
        <w:rPr>
          <w:spacing w:val="-3"/>
          <w:w w:val="105"/>
          <w:sz w:val="13"/>
        </w:rPr>
        <w:t xml:space="preserve"> </w:t>
      </w:r>
      <w:r>
        <w:rPr>
          <w:w w:val="105"/>
          <w:sz w:val="13"/>
        </w:rPr>
        <w:t>y</w:t>
      </w:r>
      <w:r>
        <w:rPr>
          <w:spacing w:val="-4"/>
          <w:w w:val="105"/>
          <w:sz w:val="13"/>
        </w:rPr>
        <w:t xml:space="preserve"> </w:t>
      </w:r>
      <w:proofErr w:type="spellStart"/>
      <w:r>
        <w:rPr>
          <w:w w:val="105"/>
          <w:sz w:val="13"/>
        </w:rPr>
        <w:t>Sa'di</w:t>
      </w:r>
      <w:proofErr w:type="spellEnd"/>
      <w:r>
        <w:rPr>
          <w:spacing w:val="-4"/>
          <w:w w:val="105"/>
          <w:sz w:val="13"/>
        </w:rPr>
        <w:t xml:space="preserve"> </w:t>
      </w:r>
      <w:r>
        <w:rPr>
          <w:w w:val="105"/>
          <w:sz w:val="13"/>
        </w:rPr>
        <w:t>c.</w:t>
      </w:r>
      <w:r>
        <w:rPr>
          <w:spacing w:val="-4"/>
          <w:w w:val="105"/>
          <w:sz w:val="13"/>
        </w:rPr>
        <w:t xml:space="preserve"> </w:t>
      </w:r>
      <w:r>
        <w:rPr>
          <w:w w:val="105"/>
          <w:sz w:val="13"/>
        </w:rPr>
        <w:t>Uzbekistán</w:t>
      </w:r>
      <w:r>
        <w:rPr>
          <w:spacing w:val="-4"/>
          <w:w w:val="105"/>
          <w:sz w:val="13"/>
        </w:rPr>
        <w:t xml:space="preserve"> </w:t>
      </w:r>
      <w:r>
        <w:rPr>
          <w:spacing w:val="-2"/>
          <w:w w:val="105"/>
          <w:sz w:val="13"/>
        </w:rPr>
        <w:t>(CCPR/C/95/D/1334/2004).</w:t>
      </w:r>
    </w:p>
    <w:p w14:paraId="33EC6A50" w14:textId="77777777" w:rsidR="0014798C" w:rsidRDefault="0014798C">
      <w:pPr>
        <w:pStyle w:val="Textoindependiente"/>
        <w:rPr>
          <w:sz w:val="17"/>
        </w:rPr>
      </w:pPr>
    </w:p>
    <w:p w14:paraId="0FB73F48" w14:textId="77777777" w:rsidR="0014798C" w:rsidRDefault="0014798C">
      <w:pPr>
        <w:pStyle w:val="Textoindependiente"/>
        <w:rPr>
          <w:sz w:val="17"/>
        </w:rPr>
      </w:pPr>
    </w:p>
    <w:p w14:paraId="04036AD4" w14:textId="77777777" w:rsidR="0014798C" w:rsidRDefault="0014798C">
      <w:pPr>
        <w:pStyle w:val="Textoindependiente"/>
        <w:spacing w:before="64"/>
        <w:rPr>
          <w:sz w:val="17"/>
        </w:rPr>
      </w:pPr>
    </w:p>
    <w:p w14:paraId="1225E6F0" w14:textId="77777777" w:rsidR="0014798C" w:rsidRDefault="004E1F0B">
      <w:pPr>
        <w:spacing w:before="1"/>
        <w:ind w:right="712"/>
        <w:jc w:val="right"/>
        <w:rPr>
          <w:sz w:val="17"/>
        </w:rPr>
      </w:pPr>
      <w:r>
        <w:rPr>
          <w:spacing w:val="-5"/>
          <w:w w:val="105"/>
          <w:sz w:val="17"/>
        </w:rPr>
        <w:t>153</w:t>
      </w:r>
    </w:p>
    <w:p w14:paraId="53194733" w14:textId="77777777" w:rsidR="0014798C" w:rsidRDefault="0014798C">
      <w:pPr>
        <w:jc w:val="right"/>
        <w:rPr>
          <w:sz w:val="17"/>
        </w:rPr>
        <w:sectPr w:rsidR="0014798C" w:rsidSect="00F265E4">
          <w:pgSz w:w="11900" w:h="16820"/>
          <w:pgMar w:top="340" w:right="0" w:bottom="280" w:left="200" w:header="121" w:footer="0" w:gutter="0"/>
          <w:cols w:space="720"/>
        </w:sectPr>
      </w:pPr>
    </w:p>
    <w:p w14:paraId="0BCD4A58" w14:textId="77777777" w:rsidR="0014798C" w:rsidRDefault="0014798C">
      <w:pPr>
        <w:pStyle w:val="Textoindependiente"/>
        <w:spacing w:before="85"/>
        <w:rPr>
          <w:sz w:val="12"/>
        </w:rPr>
      </w:pPr>
    </w:p>
    <w:p w14:paraId="5DA9CB23" w14:textId="77777777" w:rsidR="0014798C" w:rsidRDefault="004E1F0B">
      <w:pPr>
        <w:ind w:left="1111"/>
        <w:rPr>
          <w:sz w:val="12"/>
        </w:rPr>
      </w:pPr>
      <w:r>
        <w:rPr>
          <w:color w:val="803108"/>
          <w:sz w:val="12"/>
        </w:rPr>
        <w:t>PROTECCIÓN</w:t>
      </w:r>
      <w:r>
        <w:rPr>
          <w:color w:val="803108"/>
          <w:spacing w:val="6"/>
          <w:sz w:val="12"/>
        </w:rPr>
        <w:t xml:space="preserve"> </w:t>
      </w:r>
      <w:r>
        <w:rPr>
          <w:color w:val="803108"/>
          <w:sz w:val="12"/>
        </w:rPr>
        <w:t>DE</w:t>
      </w:r>
      <w:r>
        <w:rPr>
          <w:color w:val="803108"/>
          <w:spacing w:val="7"/>
          <w:sz w:val="12"/>
        </w:rPr>
        <w:t xml:space="preserve"> </w:t>
      </w:r>
      <w:r>
        <w:rPr>
          <w:color w:val="803108"/>
          <w:sz w:val="12"/>
        </w:rPr>
        <w:t>LOS</w:t>
      </w:r>
      <w:r>
        <w:rPr>
          <w:color w:val="803108"/>
          <w:spacing w:val="8"/>
          <w:sz w:val="12"/>
        </w:rPr>
        <w:t xml:space="preserve"> </w:t>
      </w:r>
      <w:r>
        <w:rPr>
          <w:color w:val="803108"/>
          <w:sz w:val="12"/>
        </w:rPr>
        <w:t>DERECHOS</w:t>
      </w:r>
      <w:r>
        <w:rPr>
          <w:color w:val="803108"/>
          <w:spacing w:val="8"/>
          <w:sz w:val="12"/>
        </w:rPr>
        <w:t xml:space="preserve"> </w:t>
      </w:r>
      <w:r>
        <w:rPr>
          <w:color w:val="803108"/>
          <w:sz w:val="12"/>
        </w:rPr>
        <w:t>DE</w:t>
      </w:r>
      <w:r>
        <w:rPr>
          <w:color w:val="803108"/>
          <w:spacing w:val="6"/>
          <w:sz w:val="12"/>
        </w:rPr>
        <w:t xml:space="preserve"> </w:t>
      </w:r>
      <w:r>
        <w:rPr>
          <w:color w:val="803108"/>
          <w:sz w:val="12"/>
        </w:rPr>
        <w:t>LAS</w:t>
      </w:r>
      <w:r>
        <w:rPr>
          <w:color w:val="803108"/>
          <w:spacing w:val="7"/>
          <w:sz w:val="12"/>
        </w:rPr>
        <w:t xml:space="preserve"> </w:t>
      </w:r>
      <w:r>
        <w:rPr>
          <w:color w:val="803108"/>
          <w:sz w:val="12"/>
        </w:rPr>
        <w:t>MINORÍAS:</w:t>
      </w:r>
      <w:r>
        <w:rPr>
          <w:color w:val="803108"/>
          <w:spacing w:val="8"/>
          <w:sz w:val="12"/>
        </w:rPr>
        <w:t xml:space="preserve"> </w:t>
      </w:r>
      <w:r>
        <w:rPr>
          <w:color w:val="803108"/>
          <w:sz w:val="12"/>
        </w:rPr>
        <w:t>una</w:t>
      </w:r>
      <w:r>
        <w:rPr>
          <w:color w:val="803108"/>
          <w:spacing w:val="7"/>
          <w:sz w:val="12"/>
        </w:rPr>
        <w:t xml:space="preserve"> </w:t>
      </w:r>
      <w:r>
        <w:rPr>
          <w:color w:val="803108"/>
          <w:sz w:val="12"/>
        </w:rPr>
        <w:t>guía</w:t>
      </w:r>
      <w:r>
        <w:rPr>
          <w:color w:val="803108"/>
          <w:spacing w:val="6"/>
          <w:sz w:val="12"/>
        </w:rPr>
        <w:t xml:space="preserve"> </w:t>
      </w:r>
      <w:r>
        <w:rPr>
          <w:color w:val="803108"/>
          <w:sz w:val="12"/>
        </w:rPr>
        <w:t>práctica</w:t>
      </w:r>
      <w:r>
        <w:rPr>
          <w:color w:val="803108"/>
          <w:spacing w:val="7"/>
          <w:sz w:val="12"/>
        </w:rPr>
        <w:t xml:space="preserve"> </w:t>
      </w:r>
      <w:r>
        <w:rPr>
          <w:color w:val="803108"/>
          <w:sz w:val="12"/>
        </w:rPr>
        <w:t>para</w:t>
      </w:r>
      <w:r>
        <w:rPr>
          <w:color w:val="803108"/>
          <w:spacing w:val="8"/>
          <w:sz w:val="12"/>
        </w:rPr>
        <w:t xml:space="preserve"> </w:t>
      </w:r>
      <w:r>
        <w:rPr>
          <w:color w:val="803108"/>
          <w:sz w:val="12"/>
        </w:rPr>
        <w:t>desarrollar</w:t>
      </w:r>
      <w:r>
        <w:rPr>
          <w:color w:val="803108"/>
          <w:spacing w:val="6"/>
          <w:sz w:val="12"/>
        </w:rPr>
        <w:t xml:space="preserve"> </w:t>
      </w:r>
      <w:r>
        <w:rPr>
          <w:color w:val="803108"/>
          <w:sz w:val="12"/>
        </w:rPr>
        <w:t>una</w:t>
      </w:r>
      <w:r>
        <w:rPr>
          <w:color w:val="803108"/>
          <w:spacing w:val="7"/>
          <w:sz w:val="12"/>
        </w:rPr>
        <w:t xml:space="preserve"> </w:t>
      </w:r>
      <w:r>
        <w:rPr>
          <w:color w:val="803108"/>
          <w:sz w:val="12"/>
        </w:rPr>
        <w:t>legislación</w:t>
      </w:r>
      <w:r>
        <w:rPr>
          <w:color w:val="803108"/>
          <w:spacing w:val="8"/>
          <w:sz w:val="12"/>
        </w:rPr>
        <w:t xml:space="preserve"> </w:t>
      </w:r>
      <w:r>
        <w:rPr>
          <w:color w:val="803108"/>
          <w:sz w:val="12"/>
        </w:rPr>
        <w:t>integral</w:t>
      </w:r>
      <w:r>
        <w:rPr>
          <w:color w:val="803108"/>
          <w:spacing w:val="7"/>
          <w:sz w:val="12"/>
        </w:rPr>
        <w:t xml:space="preserve"> </w:t>
      </w:r>
      <w:r>
        <w:rPr>
          <w:color w:val="803108"/>
          <w:sz w:val="12"/>
        </w:rPr>
        <w:t>contra</w:t>
      </w:r>
      <w:r>
        <w:rPr>
          <w:color w:val="803108"/>
          <w:spacing w:val="6"/>
          <w:sz w:val="12"/>
        </w:rPr>
        <w:t xml:space="preserve"> </w:t>
      </w:r>
      <w:r>
        <w:rPr>
          <w:color w:val="803108"/>
          <w:sz w:val="12"/>
        </w:rPr>
        <w:t>la</w:t>
      </w:r>
      <w:r>
        <w:rPr>
          <w:color w:val="803108"/>
          <w:spacing w:val="7"/>
          <w:sz w:val="12"/>
        </w:rPr>
        <w:t xml:space="preserve"> </w:t>
      </w:r>
      <w:r>
        <w:rPr>
          <w:color w:val="803108"/>
          <w:spacing w:val="-2"/>
          <w:sz w:val="12"/>
        </w:rPr>
        <w:t>discriminación</w:t>
      </w:r>
    </w:p>
    <w:p w14:paraId="55E2EE42" w14:textId="77777777" w:rsidR="0014798C" w:rsidRDefault="0014798C">
      <w:pPr>
        <w:pStyle w:val="Textoindependiente"/>
        <w:rPr>
          <w:sz w:val="15"/>
        </w:rPr>
      </w:pPr>
    </w:p>
    <w:p w14:paraId="7DDB2D12" w14:textId="77777777" w:rsidR="0014798C" w:rsidRDefault="0014798C">
      <w:pPr>
        <w:pStyle w:val="Textoindependiente"/>
        <w:rPr>
          <w:sz w:val="15"/>
        </w:rPr>
      </w:pPr>
    </w:p>
    <w:p w14:paraId="5C5CF63C" w14:textId="77777777" w:rsidR="0014798C" w:rsidRDefault="0014798C">
      <w:pPr>
        <w:pStyle w:val="Textoindependiente"/>
        <w:rPr>
          <w:sz w:val="15"/>
        </w:rPr>
      </w:pPr>
    </w:p>
    <w:p w14:paraId="755F4ECF" w14:textId="77777777" w:rsidR="0014798C" w:rsidRDefault="0014798C">
      <w:pPr>
        <w:pStyle w:val="Textoindependiente"/>
        <w:rPr>
          <w:sz w:val="15"/>
        </w:rPr>
      </w:pPr>
    </w:p>
    <w:p w14:paraId="645F546E" w14:textId="77777777" w:rsidR="0014798C" w:rsidRDefault="0014798C">
      <w:pPr>
        <w:pStyle w:val="Textoindependiente"/>
        <w:spacing w:before="116"/>
        <w:rPr>
          <w:sz w:val="15"/>
        </w:rPr>
      </w:pPr>
    </w:p>
    <w:p w14:paraId="3836FC45" w14:textId="77777777" w:rsidR="0014798C" w:rsidRDefault="004E1F0B">
      <w:pPr>
        <w:pStyle w:val="Prrafodelista"/>
        <w:numPr>
          <w:ilvl w:val="0"/>
          <w:numId w:val="16"/>
        </w:numPr>
        <w:tabs>
          <w:tab w:val="left" w:pos="1213"/>
        </w:tabs>
        <w:ind w:left="1213" w:hanging="95"/>
        <w:rPr>
          <w:sz w:val="15"/>
        </w:rPr>
      </w:pPr>
      <w:r>
        <w:rPr>
          <w:sz w:val="15"/>
        </w:rPr>
        <w:t>El</w:t>
      </w:r>
      <w:r>
        <w:rPr>
          <w:spacing w:val="2"/>
          <w:sz w:val="15"/>
        </w:rPr>
        <w:t xml:space="preserve"> </w:t>
      </w:r>
      <w:r>
        <w:rPr>
          <w:sz w:val="15"/>
        </w:rPr>
        <w:t>derecho</w:t>
      </w:r>
      <w:r>
        <w:rPr>
          <w:spacing w:val="3"/>
          <w:sz w:val="15"/>
        </w:rPr>
        <w:t xml:space="preserve"> </w:t>
      </w:r>
      <w:r>
        <w:rPr>
          <w:sz w:val="15"/>
        </w:rPr>
        <w:t>a</w:t>
      </w:r>
      <w:r>
        <w:rPr>
          <w:spacing w:val="3"/>
          <w:sz w:val="15"/>
        </w:rPr>
        <w:t xml:space="preserve"> </w:t>
      </w:r>
      <w:r>
        <w:rPr>
          <w:sz w:val="15"/>
        </w:rPr>
        <w:t>acceder</w:t>
      </w:r>
      <w:r>
        <w:rPr>
          <w:spacing w:val="3"/>
          <w:sz w:val="15"/>
        </w:rPr>
        <w:t xml:space="preserve"> </w:t>
      </w:r>
      <w:r>
        <w:rPr>
          <w:sz w:val="15"/>
        </w:rPr>
        <w:t>a</w:t>
      </w:r>
      <w:r>
        <w:rPr>
          <w:spacing w:val="3"/>
          <w:sz w:val="15"/>
        </w:rPr>
        <w:t xml:space="preserve"> </w:t>
      </w:r>
      <w:r>
        <w:rPr>
          <w:sz w:val="15"/>
        </w:rPr>
        <w:t>servicios</w:t>
      </w:r>
      <w:r>
        <w:rPr>
          <w:spacing w:val="2"/>
          <w:sz w:val="15"/>
        </w:rPr>
        <w:t xml:space="preserve"> </w:t>
      </w:r>
      <w:r>
        <w:rPr>
          <w:sz w:val="15"/>
        </w:rPr>
        <w:t>gubernamentales</w:t>
      </w:r>
      <w:r>
        <w:rPr>
          <w:spacing w:val="3"/>
          <w:sz w:val="15"/>
        </w:rPr>
        <w:t xml:space="preserve"> </w:t>
      </w:r>
      <w:r>
        <w:rPr>
          <w:sz w:val="15"/>
        </w:rPr>
        <w:t>en</w:t>
      </w:r>
      <w:r>
        <w:rPr>
          <w:spacing w:val="3"/>
          <w:sz w:val="15"/>
        </w:rPr>
        <w:t xml:space="preserve"> </w:t>
      </w:r>
      <w:r>
        <w:rPr>
          <w:sz w:val="15"/>
        </w:rPr>
        <w:t>lenguas</w:t>
      </w:r>
      <w:r>
        <w:rPr>
          <w:spacing w:val="3"/>
          <w:sz w:val="15"/>
        </w:rPr>
        <w:t xml:space="preserve"> </w:t>
      </w:r>
      <w:r>
        <w:rPr>
          <w:sz w:val="15"/>
        </w:rPr>
        <w:t>minoritarias</w:t>
      </w:r>
      <w:r>
        <w:rPr>
          <w:spacing w:val="3"/>
          <w:sz w:val="15"/>
        </w:rPr>
        <w:t xml:space="preserve"> </w:t>
      </w:r>
      <w:r>
        <w:rPr>
          <w:sz w:val="15"/>
        </w:rPr>
        <w:t>en</w:t>
      </w:r>
      <w:r>
        <w:rPr>
          <w:spacing w:val="3"/>
          <w:sz w:val="15"/>
        </w:rPr>
        <w:t xml:space="preserve"> </w:t>
      </w:r>
      <w:r>
        <w:rPr>
          <w:sz w:val="15"/>
        </w:rPr>
        <w:t>general,</w:t>
      </w:r>
      <w:r>
        <w:rPr>
          <w:spacing w:val="4"/>
          <w:sz w:val="15"/>
        </w:rPr>
        <w:t xml:space="preserve"> </w:t>
      </w:r>
      <w:r>
        <w:rPr>
          <w:sz w:val="15"/>
        </w:rPr>
        <w:t>cuando</w:t>
      </w:r>
      <w:r>
        <w:rPr>
          <w:spacing w:val="2"/>
          <w:sz w:val="15"/>
        </w:rPr>
        <w:t xml:space="preserve"> </w:t>
      </w:r>
      <w:r>
        <w:rPr>
          <w:spacing w:val="-2"/>
          <w:sz w:val="15"/>
        </w:rPr>
        <w:t>corresponda.1057</w:t>
      </w:r>
    </w:p>
    <w:p w14:paraId="3078A3A8" w14:textId="77777777" w:rsidR="0014798C" w:rsidRDefault="0014798C">
      <w:pPr>
        <w:pStyle w:val="Textoindependiente"/>
        <w:spacing w:before="18"/>
        <w:rPr>
          <w:sz w:val="15"/>
        </w:rPr>
      </w:pPr>
    </w:p>
    <w:p w14:paraId="1F2B2D8A" w14:textId="77777777" w:rsidR="0014798C" w:rsidRDefault="004E1F0B">
      <w:pPr>
        <w:pStyle w:val="Prrafodelista"/>
        <w:numPr>
          <w:ilvl w:val="0"/>
          <w:numId w:val="16"/>
        </w:numPr>
        <w:tabs>
          <w:tab w:val="left" w:pos="1213"/>
          <w:tab w:val="left" w:pos="1347"/>
        </w:tabs>
        <w:spacing w:line="348" w:lineRule="auto"/>
        <w:ind w:left="1347" w:right="2350" w:hanging="229"/>
        <w:rPr>
          <w:sz w:val="15"/>
        </w:rPr>
      </w:pPr>
      <w:r>
        <w:rPr>
          <w:sz w:val="15"/>
        </w:rPr>
        <w:t>El derecho al libre uso de las lenguas minoritarias en los medios de comunicación, impresos y electrónicos, incluidos los medios del sector público, con espacio suficiente y proporcionado.1058</w:t>
      </w:r>
    </w:p>
    <w:p w14:paraId="567EC1E0" w14:textId="77777777" w:rsidR="0014798C" w:rsidRDefault="004E1F0B">
      <w:pPr>
        <w:pStyle w:val="Prrafodelista"/>
        <w:numPr>
          <w:ilvl w:val="0"/>
          <w:numId w:val="16"/>
        </w:numPr>
        <w:tabs>
          <w:tab w:val="left" w:pos="1213"/>
        </w:tabs>
        <w:spacing w:before="113"/>
        <w:ind w:left="1213" w:hanging="95"/>
        <w:rPr>
          <w:sz w:val="15"/>
        </w:rPr>
      </w:pPr>
      <w:r>
        <w:rPr>
          <w:sz w:val="15"/>
        </w:rPr>
        <w:t>El derecho</w:t>
      </w:r>
      <w:r>
        <w:rPr>
          <w:spacing w:val="1"/>
          <w:sz w:val="15"/>
        </w:rPr>
        <w:t xml:space="preserve"> </w:t>
      </w:r>
      <w:r>
        <w:rPr>
          <w:sz w:val="15"/>
        </w:rPr>
        <w:t>a</w:t>
      </w:r>
      <w:r>
        <w:rPr>
          <w:spacing w:val="1"/>
          <w:sz w:val="15"/>
        </w:rPr>
        <w:t xml:space="preserve"> </w:t>
      </w:r>
      <w:r>
        <w:rPr>
          <w:sz w:val="15"/>
        </w:rPr>
        <w:t>utilizar</w:t>
      </w:r>
      <w:r>
        <w:rPr>
          <w:spacing w:val="1"/>
          <w:sz w:val="15"/>
        </w:rPr>
        <w:t xml:space="preserve"> </w:t>
      </w:r>
      <w:r>
        <w:rPr>
          <w:sz w:val="15"/>
        </w:rPr>
        <w:t>el</w:t>
      </w:r>
      <w:r>
        <w:rPr>
          <w:spacing w:val="1"/>
          <w:sz w:val="15"/>
        </w:rPr>
        <w:t xml:space="preserve"> </w:t>
      </w:r>
      <w:r>
        <w:rPr>
          <w:sz w:val="15"/>
        </w:rPr>
        <w:t>propio</w:t>
      </w:r>
      <w:r>
        <w:rPr>
          <w:spacing w:val="1"/>
          <w:sz w:val="15"/>
        </w:rPr>
        <w:t xml:space="preserve"> </w:t>
      </w:r>
      <w:r>
        <w:rPr>
          <w:sz w:val="15"/>
        </w:rPr>
        <w:t>nombre</w:t>
      </w:r>
      <w:r>
        <w:rPr>
          <w:spacing w:val="1"/>
          <w:sz w:val="15"/>
        </w:rPr>
        <w:t xml:space="preserve"> </w:t>
      </w:r>
      <w:r>
        <w:rPr>
          <w:sz w:val="15"/>
        </w:rPr>
        <w:t>en</w:t>
      </w:r>
      <w:r>
        <w:rPr>
          <w:spacing w:val="1"/>
          <w:sz w:val="15"/>
        </w:rPr>
        <w:t xml:space="preserve"> </w:t>
      </w:r>
      <w:r>
        <w:rPr>
          <w:sz w:val="15"/>
        </w:rPr>
        <w:t>el</w:t>
      </w:r>
      <w:r>
        <w:rPr>
          <w:spacing w:val="1"/>
          <w:sz w:val="15"/>
        </w:rPr>
        <w:t xml:space="preserve"> </w:t>
      </w:r>
      <w:r>
        <w:rPr>
          <w:sz w:val="15"/>
        </w:rPr>
        <w:t>propio</w:t>
      </w:r>
      <w:r>
        <w:rPr>
          <w:spacing w:val="1"/>
          <w:sz w:val="15"/>
        </w:rPr>
        <w:t xml:space="preserve"> </w:t>
      </w:r>
      <w:r>
        <w:rPr>
          <w:sz w:val="15"/>
        </w:rPr>
        <w:t>idioma</w:t>
      </w:r>
      <w:r>
        <w:rPr>
          <w:spacing w:val="1"/>
          <w:sz w:val="15"/>
        </w:rPr>
        <w:t xml:space="preserve"> </w:t>
      </w:r>
      <w:r>
        <w:rPr>
          <w:sz w:val="15"/>
        </w:rPr>
        <w:t>en</w:t>
      </w:r>
      <w:r>
        <w:rPr>
          <w:spacing w:val="1"/>
          <w:sz w:val="15"/>
        </w:rPr>
        <w:t xml:space="preserve"> </w:t>
      </w:r>
      <w:r>
        <w:rPr>
          <w:sz w:val="15"/>
        </w:rPr>
        <w:t>documentos</w:t>
      </w:r>
      <w:r>
        <w:rPr>
          <w:spacing w:val="1"/>
          <w:sz w:val="15"/>
        </w:rPr>
        <w:t xml:space="preserve"> </w:t>
      </w:r>
      <w:r>
        <w:rPr>
          <w:spacing w:val="-2"/>
          <w:sz w:val="15"/>
        </w:rPr>
        <w:t>oficiales.1059</w:t>
      </w:r>
    </w:p>
    <w:p w14:paraId="57E097CC" w14:textId="77777777" w:rsidR="0014798C" w:rsidRDefault="0014798C">
      <w:pPr>
        <w:pStyle w:val="Textoindependiente"/>
        <w:spacing w:before="18"/>
        <w:rPr>
          <w:sz w:val="15"/>
        </w:rPr>
      </w:pPr>
    </w:p>
    <w:p w14:paraId="5E2C5CC0" w14:textId="77777777" w:rsidR="0014798C" w:rsidRDefault="004E1F0B">
      <w:pPr>
        <w:pStyle w:val="Prrafodelista"/>
        <w:numPr>
          <w:ilvl w:val="0"/>
          <w:numId w:val="16"/>
        </w:numPr>
        <w:tabs>
          <w:tab w:val="left" w:pos="1213"/>
        </w:tabs>
        <w:ind w:left="1213" w:hanging="95"/>
        <w:rPr>
          <w:sz w:val="15"/>
        </w:rPr>
      </w:pPr>
      <w:r>
        <w:rPr>
          <w:sz w:val="15"/>
        </w:rPr>
        <w:t>El</w:t>
      </w:r>
      <w:r>
        <w:rPr>
          <w:spacing w:val="3"/>
          <w:sz w:val="15"/>
        </w:rPr>
        <w:t xml:space="preserve"> </w:t>
      </w:r>
      <w:r>
        <w:rPr>
          <w:sz w:val="15"/>
        </w:rPr>
        <w:t>derecho</w:t>
      </w:r>
      <w:r>
        <w:rPr>
          <w:spacing w:val="4"/>
          <w:sz w:val="15"/>
        </w:rPr>
        <w:t xml:space="preserve"> </w:t>
      </w:r>
      <w:r>
        <w:rPr>
          <w:sz w:val="15"/>
        </w:rPr>
        <w:t>a</w:t>
      </w:r>
      <w:r>
        <w:rPr>
          <w:spacing w:val="3"/>
          <w:sz w:val="15"/>
        </w:rPr>
        <w:t xml:space="preserve"> </w:t>
      </w:r>
      <w:r>
        <w:rPr>
          <w:sz w:val="15"/>
        </w:rPr>
        <w:t>utilizar</w:t>
      </w:r>
      <w:r>
        <w:rPr>
          <w:spacing w:val="4"/>
          <w:sz w:val="15"/>
        </w:rPr>
        <w:t xml:space="preserve"> </w:t>
      </w:r>
      <w:r>
        <w:rPr>
          <w:sz w:val="15"/>
        </w:rPr>
        <w:t>lenguas</w:t>
      </w:r>
      <w:r>
        <w:rPr>
          <w:spacing w:val="3"/>
          <w:sz w:val="15"/>
        </w:rPr>
        <w:t xml:space="preserve"> </w:t>
      </w:r>
      <w:r>
        <w:rPr>
          <w:sz w:val="15"/>
        </w:rPr>
        <w:t>minoritarias</w:t>
      </w:r>
      <w:r>
        <w:rPr>
          <w:spacing w:val="4"/>
          <w:sz w:val="15"/>
        </w:rPr>
        <w:t xml:space="preserve"> </w:t>
      </w:r>
      <w:r>
        <w:rPr>
          <w:sz w:val="15"/>
        </w:rPr>
        <w:t>en</w:t>
      </w:r>
      <w:r>
        <w:rPr>
          <w:spacing w:val="3"/>
          <w:sz w:val="15"/>
        </w:rPr>
        <w:t xml:space="preserve"> </w:t>
      </w:r>
      <w:r>
        <w:rPr>
          <w:sz w:val="15"/>
        </w:rPr>
        <w:t>procedimientos</w:t>
      </w:r>
      <w:r>
        <w:rPr>
          <w:spacing w:val="4"/>
          <w:sz w:val="15"/>
        </w:rPr>
        <w:t xml:space="preserve"> </w:t>
      </w:r>
      <w:r>
        <w:rPr>
          <w:sz w:val="15"/>
        </w:rPr>
        <w:t>oficiales</w:t>
      </w:r>
      <w:r>
        <w:rPr>
          <w:spacing w:val="3"/>
          <w:sz w:val="15"/>
        </w:rPr>
        <w:t xml:space="preserve"> </w:t>
      </w:r>
      <w:r>
        <w:rPr>
          <w:sz w:val="15"/>
        </w:rPr>
        <w:t>o</w:t>
      </w:r>
      <w:r>
        <w:rPr>
          <w:spacing w:val="4"/>
          <w:sz w:val="15"/>
        </w:rPr>
        <w:t xml:space="preserve"> </w:t>
      </w:r>
      <w:r>
        <w:rPr>
          <w:spacing w:val="-2"/>
          <w:sz w:val="15"/>
        </w:rPr>
        <w:t>administrativos.1060</w:t>
      </w:r>
    </w:p>
    <w:p w14:paraId="66EF2450" w14:textId="77777777" w:rsidR="0014798C" w:rsidRDefault="0014798C">
      <w:pPr>
        <w:pStyle w:val="Textoindependiente"/>
        <w:spacing w:before="74"/>
        <w:rPr>
          <w:sz w:val="15"/>
        </w:rPr>
      </w:pPr>
    </w:p>
    <w:p w14:paraId="7F5106D9" w14:textId="77777777" w:rsidR="0014798C" w:rsidRDefault="004E1F0B">
      <w:pPr>
        <w:spacing w:line="348" w:lineRule="auto"/>
        <w:ind w:left="1109" w:right="1272" w:hanging="4"/>
        <w:rPr>
          <w:sz w:val="15"/>
        </w:rPr>
      </w:pPr>
      <w:r>
        <w:rPr>
          <w:sz w:val="15"/>
        </w:rPr>
        <w:t>El Relator Especial sobre cuestiones de las minorías ha establecido que, para cumplir con sus obligaciones de derechos humanos relacionadas con el idioma, las autoridades estatales deben:</w:t>
      </w:r>
    </w:p>
    <w:p w14:paraId="6280A159" w14:textId="77777777" w:rsidR="0014798C" w:rsidRDefault="004E1F0B">
      <w:pPr>
        <w:pStyle w:val="Prrafodelista"/>
        <w:numPr>
          <w:ilvl w:val="1"/>
          <w:numId w:val="16"/>
        </w:numPr>
        <w:tabs>
          <w:tab w:val="left" w:pos="1510"/>
        </w:tabs>
        <w:spacing w:before="113"/>
        <w:ind w:left="1510" w:hanging="95"/>
        <w:rPr>
          <w:sz w:val="15"/>
        </w:rPr>
      </w:pPr>
      <w:r>
        <w:rPr>
          <w:color w:val="803108"/>
          <w:sz w:val="15"/>
        </w:rPr>
        <w:t>respetar</w:t>
      </w:r>
      <w:r>
        <w:rPr>
          <w:color w:val="803108"/>
          <w:spacing w:val="3"/>
          <w:sz w:val="15"/>
        </w:rPr>
        <w:t xml:space="preserve"> </w:t>
      </w:r>
      <w:r>
        <w:rPr>
          <w:color w:val="803108"/>
          <w:sz w:val="15"/>
        </w:rPr>
        <w:t>el</w:t>
      </w:r>
      <w:r>
        <w:rPr>
          <w:color w:val="803108"/>
          <w:spacing w:val="2"/>
          <w:sz w:val="15"/>
        </w:rPr>
        <w:t xml:space="preserve"> </w:t>
      </w:r>
      <w:r>
        <w:rPr>
          <w:color w:val="803108"/>
          <w:sz w:val="15"/>
        </w:rPr>
        <w:t>lugar</w:t>
      </w:r>
      <w:r>
        <w:rPr>
          <w:color w:val="803108"/>
          <w:spacing w:val="3"/>
          <w:sz w:val="15"/>
        </w:rPr>
        <w:t xml:space="preserve"> </w:t>
      </w:r>
      <w:r>
        <w:rPr>
          <w:color w:val="803108"/>
          <w:sz w:val="15"/>
        </w:rPr>
        <w:t>integral</w:t>
      </w:r>
      <w:r>
        <w:rPr>
          <w:color w:val="803108"/>
          <w:spacing w:val="3"/>
          <w:sz w:val="15"/>
        </w:rPr>
        <w:t xml:space="preserve"> </w:t>
      </w:r>
      <w:r>
        <w:rPr>
          <w:color w:val="803108"/>
          <w:sz w:val="15"/>
        </w:rPr>
        <w:t>de</w:t>
      </w:r>
      <w:r>
        <w:rPr>
          <w:color w:val="803108"/>
          <w:spacing w:val="3"/>
          <w:sz w:val="15"/>
        </w:rPr>
        <w:t xml:space="preserve"> </w:t>
      </w:r>
      <w:r>
        <w:rPr>
          <w:color w:val="803108"/>
          <w:sz w:val="15"/>
        </w:rPr>
        <w:t>los</w:t>
      </w:r>
      <w:r>
        <w:rPr>
          <w:color w:val="803108"/>
          <w:spacing w:val="3"/>
          <w:sz w:val="15"/>
        </w:rPr>
        <w:t xml:space="preserve"> </w:t>
      </w:r>
      <w:r>
        <w:rPr>
          <w:color w:val="803108"/>
          <w:sz w:val="15"/>
        </w:rPr>
        <w:t>derechos</w:t>
      </w:r>
      <w:r>
        <w:rPr>
          <w:color w:val="803108"/>
          <w:spacing w:val="3"/>
          <w:sz w:val="15"/>
        </w:rPr>
        <w:t xml:space="preserve"> </w:t>
      </w:r>
      <w:r>
        <w:rPr>
          <w:color w:val="803108"/>
          <w:sz w:val="15"/>
        </w:rPr>
        <w:t>lingüísticos</w:t>
      </w:r>
      <w:r>
        <w:rPr>
          <w:color w:val="803108"/>
          <w:spacing w:val="3"/>
          <w:sz w:val="15"/>
        </w:rPr>
        <w:t xml:space="preserve"> </w:t>
      </w:r>
      <w:r>
        <w:rPr>
          <w:color w:val="803108"/>
          <w:sz w:val="15"/>
        </w:rPr>
        <w:t>como</w:t>
      </w:r>
      <w:r>
        <w:rPr>
          <w:color w:val="803108"/>
          <w:spacing w:val="3"/>
          <w:sz w:val="15"/>
        </w:rPr>
        <w:t xml:space="preserve"> </w:t>
      </w:r>
      <w:r>
        <w:rPr>
          <w:color w:val="803108"/>
          <w:sz w:val="15"/>
        </w:rPr>
        <w:t>derechos</w:t>
      </w:r>
      <w:r>
        <w:rPr>
          <w:color w:val="803108"/>
          <w:spacing w:val="3"/>
          <w:sz w:val="15"/>
        </w:rPr>
        <w:t xml:space="preserve"> </w:t>
      </w:r>
      <w:r>
        <w:rPr>
          <w:color w:val="803108"/>
          <w:spacing w:val="-2"/>
          <w:sz w:val="15"/>
        </w:rPr>
        <w:t>humanos;</w:t>
      </w:r>
    </w:p>
    <w:p w14:paraId="7BBAD089" w14:textId="77777777" w:rsidR="0014798C" w:rsidRDefault="0014798C">
      <w:pPr>
        <w:pStyle w:val="Textoindependiente"/>
        <w:spacing w:before="18"/>
        <w:rPr>
          <w:sz w:val="15"/>
        </w:rPr>
      </w:pPr>
    </w:p>
    <w:p w14:paraId="48DF059D" w14:textId="77777777" w:rsidR="0014798C" w:rsidRDefault="004E1F0B">
      <w:pPr>
        <w:pStyle w:val="Prrafodelista"/>
        <w:numPr>
          <w:ilvl w:val="1"/>
          <w:numId w:val="16"/>
        </w:numPr>
        <w:tabs>
          <w:tab w:val="left" w:pos="1509"/>
          <w:tab w:val="left" w:pos="1678"/>
        </w:tabs>
        <w:spacing w:line="348" w:lineRule="auto"/>
        <w:ind w:left="1678" w:right="1562" w:hanging="264"/>
        <w:rPr>
          <w:sz w:val="15"/>
        </w:rPr>
      </w:pPr>
      <w:r>
        <w:rPr>
          <w:color w:val="803108"/>
          <w:sz w:val="15"/>
        </w:rPr>
        <w:t>reconocer y promover la tolerancia, la diversidad cultural y lingüística y el respeto mutuo, la comprensión y la cooperación entre todos los segmentos de la sociedad; • implementar</w:t>
      </w:r>
    </w:p>
    <w:p w14:paraId="2EE73CF7" w14:textId="77777777" w:rsidR="0014798C" w:rsidRDefault="004E1F0B">
      <w:pPr>
        <w:spacing w:before="113" w:line="348" w:lineRule="auto"/>
        <w:ind w:left="1675" w:right="4198" w:hanging="261"/>
        <w:rPr>
          <w:sz w:val="15"/>
        </w:rPr>
      </w:pPr>
      <w:r>
        <w:rPr>
          <w:color w:val="803108"/>
          <w:sz w:val="15"/>
        </w:rPr>
        <w:t>legislación y políticas que aborden los derechos lingüísticos y prescriban un marco claro para su implementación;</w:t>
      </w:r>
    </w:p>
    <w:p w14:paraId="781A9CE7" w14:textId="77777777" w:rsidR="0014798C" w:rsidRDefault="004E1F0B">
      <w:pPr>
        <w:pStyle w:val="Prrafodelista"/>
        <w:numPr>
          <w:ilvl w:val="1"/>
          <w:numId w:val="16"/>
        </w:numPr>
        <w:tabs>
          <w:tab w:val="left" w:pos="1509"/>
          <w:tab w:val="left" w:pos="1673"/>
        </w:tabs>
        <w:spacing w:before="112" w:line="348" w:lineRule="auto"/>
        <w:ind w:left="1673" w:right="1763" w:hanging="259"/>
        <w:rPr>
          <w:sz w:val="15"/>
        </w:rPr>
      </w:pPr>
      <w:r>
        <w:rPr>
          <w:color w:val="803108"/>
          <w:sz w:val="15"/>
        </w:rPr>
        <w:t>implementar sus obligaciones de derechos humanos siguiendo en general el principio de proporcionalidad en el uso o apoyo de diferentes idiomas por parte de las autoridades estatales, y el principio de libertad lingüística para los particulares;</w:t>
      </w:r>
    </w:p>
    <w:p w14:paraId="30024D91" w14:textId="77777777" w:rsidR="0014798C" w:rsidRDefault="0014798C">
      <w:pPr>
        <w:pStyle w:val="Textoindependiente"/>
        <w:rPr>
          <w:sz w:val="15"/>
        </w:rPr>
      </w:pPr>
    </w:p>
    <w:p w14:paraId="6366930F" w14:textId="77777777" w:rsidR="0014798C" w:rsidRDefault="0014798C">
      <w:pPr>
        <w:pStyle w:val="Textoindependiente"/>
        <w:spacing w:before="19"/>
        <w:rPr>
          <w:sz w:val="15"/>
        </w:rPr>
      </w:pPr>
    </w:p>
    <w:p w14:paraId="7124890D" w14:textId="77777777" w:rsidR="0014798C" w:rsidRDefault="004E1F0B">
      <w:pPr>
        <w:pStyle w:val="Prrafodelista"/>
        <w:numPr>
          <w:ilvl w:val="1"/>
          <w:numId w:val="16"/>
        </w:numPr>
        <w:tabs>
          <w:tab w:val="left" w:pos="1509"/>
          <w:tab w:val="left" w:pos="1674"/>
        </w:tabs>
        <w:spacing w:line="345" w:lineRule="auto"/>
        <w:ind w:left="1674" w:right="1807" w:hanging="260"/>
        <w:rPr>
          <w:sz w:val="15"/>
        </w:rPr>
      </w:pPr>
      <w:r>
        <w:rPr>
          <w:color w:val="803108"/>
          <w:sz w:val="15"/>
        </w:rPr>
        <w:t xml:space="preserve">integrar el concepto de oferta activa como parte integral de los servicios públicos para reconocer la obligación del estado de respetar y garantizar los derechos lingüísticos, de modo que quienes usan lenguas minoritarias no tengan que solicitar específicamente dichos servicios pero puedan acceder fácilmente a ellos cuando surja la necesidad </w:t>
      </w:r>
      <w:r>
        <w:rPr>
          <w:color w:val="803108"/>
          <w:w w:val="70"/>
          <w:sz w:val="15"/>
        </w:rPr>
        <w:t>;</w:t>
      </w:r>
    </w:p>
    <w:p w14:paraId="21AAB96D" w14:textId="77777777" w:rsidR="0014798C" w:rsidRDefault="004E1F0B">
      <w:pPr>
        <w:pStyle w:val="Prrafodelista"/>
        <w:numPr>
          <w:ilvl w:val="1"/>
          <w:numId w:val="16"/>
        </w:numPr>
        <w:tabs>
          <w:tab w:val="left" w:pos="1509"/>
          <w:tab w:val="left" w:pos="1678"/>
        </w:tabs>
        <w:spacing w:before="116" w:line="348" w:lineRule="auto"/>
        <w:ind w:left="1678" w:right="1993" w:hanging="264"/>
        <w:rPr>
          <w:sz w:val="15"/>
        </w:rPr>
      </w:pPr>
      <w:r>
        <w:rPr>
          <w:color w:val="803108"/>
          <w:sz w:val="15"/>
        </w:rPr>
        <w:t>establecer mecanismos eficaces de denuncia ante órganos judiciales, administrativos y ejecutivos para abordar y reparar cuestiones de derechos lingüísticos.1061</w:t>
      </w:r>
    </w:p>
    <w:p w14:paraId="2D984E42" w14:textId="77777777" w:rsidR="0014798C" w:rsidRDefault="004E1F0B">
      <w:pPr>
        <w:spacing w:before="169" w:line="348" w:lineRule="auto"/>
        <w:ind w:left="1107" w:right="1272" w:firstLine="1"/>
        <w:rPr>
          <w:sz w:val="15"/>
        </w:rPr>
      </w:pPr>
      <w:r>
        <w:rPr>
          <w:sz w:val="15"/>
        </w:rPr>
        <w:t>De conformidad con las normas y estándares internacionales de derechos humanos resumidos anteriormente, así como con ciertas disposiciones específicas adicionales relativas a las lenguas minoritarias,1062 algunos Estados han adoptado disposiciones jurídicas particulares para establecer leyes nacionales sobre el derecho a utilizar lenguas minoritarias.1063</w:t>
      </w:r>
    </w:p>
    <w:p w14:paraId="46FF14A4" w14:textId="77777777" w:rsidR="0014798C" w:rsidRDefault="004E1F0B">
      <w:pPr>
        <w:spacing w:before="169" w:line="348" w:lineRule="auto"/>
        <w:ind w:left="1111" w:right="1272" w:hanging="5"/>
        <w:rPr>
          <w:sz w:val="15"/>
        </w:rPr>
      </w:pPr>
      <w:r>
        <w:rPr>
          <w:sz w:val="15"/>
        </w:rPr>
        <w:t>Al igual que con los demás motivos de discriminación analizados en el presente capítulo, las leyes antidiscriminatorias de los Estados deberían prohibir la discriminación por motivos de idioma.</w:t>
      </w:r>
    </w:p>
    <w:p w14:paraId="42C7A92D" w14:textId="77777777" w:rsidR="0014798C" w:rsidRDefault="0014798C">
      <w:pPr>
        <w:pStyle w:val="Textoindependiente"/>
        <w:rPr>
          <w:sz w:val="20"/>
        </w:rPr>
      </w:pPr>
    </w:p>
    <w:p w14:paraId="00B1F5C6" w14:textId="77777777" w:rsidR="0014798C" w:rsidRDefault="0014798C">
      <w:pPr>
        <w:pStyle w:val="Textoindependiente"/>
        <w:rPr>
          <w:sz w:val="20"/>
        </w:rPr>
      </w:pPr>
    </w:p>
    <w:p w14:paraId="462E58EA" w14:textId="77777777" w:rsidR="0014798C" w:rsidRDefault="0014798C">
      <w:pPr>
        <w:pStyle w:val="Textoindependiente"/>
        <w:rPr>
          <w:sz w:val="20"/>
        </w:rPr>
      </w:pPr>
    </w:p>
    <w:p w14:paraId="7B15D462" w14:textId="77777777" w:rsidR="0014798C" w:rsidRDefault="0014798C">
      <w:pPr>
        <w:pStyle w:val="Textoindependiente"/>
        <w:rPr>
          <w:sz w:val="20"/>
        </w:rPr>
      </w:pPr>
    </w:p>
    <w:p w14:paraId="0F81B4EE" w14:textId="77777777" w:rsidR="0014798C" w:rsidRDefault="0014798C">
      <w:pPr>
        <w:pStyle w:val="Textoindependiente"/>
        <w:rPr>
          <w:sz w:val="20"/>
        </w:rPr>
      </w:pPr>
    </w:p>
    <w:p w14:paraId="7E06D5B7" w14:textId="77777777" w:rsidR="0014798C" w:rsidRDefault="0014798C">
      <w:pPr>
        <w:pStyle w:val="Textoindependiente"/>
        <w:rPr>
          <w:sz w:val="20"/>
        </w:rPr>
      </w:pPr>
    </w:p>
    <w:p w14:paraId="6741C3B7" w14:textId="77777777" w:rsidR="0014798C" w:rsidRDefault="0014798C">
      <w:pPr>
        <w:pStyle w:val="Textoindependiente"/>
        <w:rPr>
          <w:sz w:val="20"/>
        </w:rPr>
      </w:pPr>
    </w:p>
    <w:p w14:paraId="60FE3598" w14:textId="77777777" w:rsidR="0014798C" w:rsidRDefault="0014798C">
      <w:pPr>
        <w:pStyle w:val="Textoindependiente"/>
        <w:rPr>
          <w:sz w:val="20"/>
        </w:rPr>
      </w:pPr>
    </w:p>
    <w:p w14:paraId="135AFA90" w14:textId="77777777" w:rsidR="0014798C" w:rsidRDefault="004E1F0B">
      <w:pPr>
        <w:pStyle w:val="Textoindependiente"/>
        <w:spacing w:before="96"/>
        <w:rPr>
          <w:sz w:val="20"/>
        </w:rPr>
      </w:pPr>
      <w:r>
        <w:rPr>
          <w:noProof/>
        </w:rPr>
        <w:drawing>
          <wp:anchor distT="0" distB="0" distL="0" distR="0" simplePos="0" relativeHeight="251658553" behindDoc="1" locked="0" layoutInCell="1" allowOverlap="1" wp14:anchorId="37FD71AB" wp14:editId="10FE7C66">
            <wp:simplePos x="0" y="0"/>
            <wp:positionH relativeFrom="page">
              <wp:posOffset>826632</wp:posOffset>
            </wp:positionH>
            <wp:positionV relativeFrom="paragraph">
              <wp:posOffset>222532</wp:posOffset>
            </wp:positionV>
            <wp:extent cx="931001" cy="35813"/>
            <wp:effectExtent l="0" t="0" r="0" b="0"/>
            <wp:wrapTopAndBottom/>
            <wp:docPr id="313" name="Image 31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13" name="Image 313"/>
                    <pic:cNvPicPr/>
                  </pic:nvPicPr>
                  <pic:blipFill>
                    <a:blip r:embed="rId294" cstate="print"/>
                    <a:stretch>
                      <a:fillRect/>
                    </a:stretch>
                  </pic:blipFill>
                  <pic:spPr>
                    <a:xfrm>
                      <a:off x="0" y="0"/>
                      <a:ext cx="931001" cy="35813"/>
                    </a:xfrm>
                    <a:prstGeom prst="rect">
                      <a:avLst/>
                    </a:prstGeom>
                  </pic:spPr>
                </pic:pic>
              </a:graphicData>
            </a:graphic>
          </wp:anchor>
        </w:drawing>
      </w:r>
    </w:p>
    <w:p w14:paraId="244B20D5" w14:textId="77777777" w:rsidR="0014798C" w:rsidRDefault="0014798C">
      <w:pPr>
        <w:pStyle w:val="Textoindependiente"/>
        <w:spacing w:before="31"/>
        <w:rPr>
          <w:sz w:val="12"/>
        </w:rPr>
      </w:pPr>
    </w:p>
    <w:p w14:paraId="71375FE5" w14:textId="77777777" w:rsidR="0014798C" w:rsidRDefault="004E1F0B">
      <w:pPr>
        <w:ind w:left="1111"/>
        <w:rPr>
          <w:sz w:val="12"/>
        </w:rPr>
      </w:pPr>
      <w:r>
        <w:rPr>
          <w:sz w:val="12"/>
        </w:rPr>
        <w:t>1057</w:t>
      </w:r>
      <w:r>
        <w:rPr>
          <w:spacing w:val="6"/>
          <w:sz w:val="12"/>
        </w:rPr>
        <w:t xml:space="preserve"> </w:t>
      </w:r>
      <w:r>
        <w:rPr>
          <w:sz w:val="12"/>
        </w:rPr>
        <w:t>Comité</w:t>
      </w:r>
      <w:r>
        <w:rPr>
          <w:spacing w:val="6"/>
          <w:sz w:val="12"/>
        </w:rPr>
        <w:t xml:space="preserve"> </w:t>
      </w:r>
      <w:r>
        <w:rPr>
          <w:sz w:val="12"/>
        </w:rPr>
        <w:t>de</w:t>
      </w:r>
      <w:r>
        <w:rPr>
          <w:spacing w:val="7"/>
          <w:sz w:val="12"/>
        </w:rPr>
        <w:t xml:space="preserve"> </w:t>
      </w:r>
      <w:r>
        <w:rPr>
          <w:sz w:val="12"/>
        </w:rPr>
        <w:t>Derechos</w:t>
      </w:r>
      <w:r>
        <w:rPr>
          <w:spacing w:val="6"/>
          <w:sz w:val="12"/>
        </w:rPr>
        <w:t xml:space="preserve"> </w:t>
      </w:r>
      <w:r>
        <w:rPr>
          <w:sz w:val="12"/>
        </w:rPr>
        <w:t>Humanos,</w:t>
      </w:r>
      <w:r>
        <w:rPr>
          <w:spacing w:val="8"/>
          <w:sz w:val="12"/>
        </w:rPr>
        <w:t xml:space="preserve"> </w:t>
      </w:r>
      <w:proofErr w:type="spellStart"/>
      <w:r>
        <w:rPr>
          <w:sz w:val="12"/>
        </w:rPr>
        <w:t>Diergaardt</w:t>
      </w:r>
      <w:proofErr w:type="spellEnd"/>
      <w:r>
        <w:rPr>
          <w:spacing w:val="7"/>
          <w:sz w:val="12"/>
        </w:rPr>
        <w:t xml:space="preserve"> </w:t>
      </w:r>
      <w:r>
        <w:rPr>
          <w:sz w:val="12"/>
        </w:rPr>
        <w:t>et</w:t>
      </w:r>
      <w:r>
        <w:rPr>
          <w:spacing w:val="7"/>
          <w:sz w:val="12"/>
        </w:rPr>
        <w:t xml:space="preserve"> </w:t>
      </w:r>
      <w:r>
        <w:rPr>
          <w:sz w:val="12"/>
        </w:rPr>
        <w:t>al.</w:t>
      </w:r>
      <w:r>
        <w:rPr>
          <w:spacing w:val="7"/>
          <w:sz w:val="12"/>
        </w:rPr>
        <w:t xml:space="preserve"> </w:t>
      </w:r>
      <w:r>
        <w:rPr>
          <w:sz w:val="12"/>
        </w:rPr>
        <w:t>Namibia</w:t>
      </w:r>
      <w:r>
        <w:rPr>
          <w:spacing w:val="7"/>
          <w:sz w:val="12"/>
        </w:rPr>
        <w:t xml:space="preserve"> </w:t>
      </w:r>
      <w:r>
        <w:rPr>
          <w:spacing w:val="-2"/>
          <w:sz w:val="12"/>
        </w:rPr>
        <w:t>(CCPR/C/69/D/760/1997).</w:t>
      </w:r>
    </w:p>
    <w:p w14:paraId="7466D032" w14:textId="77777777" w:rsidR="0014798C" w:rsidRDefault="004E1F0B">
      <w:pPr>
        <w:spacing w:before="99" w:line="312" w:lineRule="auto"/>
        <w:ind w:left="1366" w:right="1725" w:hanging="256"/>
        <w:rPr>
          <w:sz w:val="12"/>
        </w:rPr>
      </w:pPr>
      <w:r>
        <w:rPr>
          <w:w w:val="105"/>
          <w:sz w:val="12"/>
        </w:rPr>
        <w:t>1058</w:t>
      </w:r>
      <w:r>
        <w:rPr>
          <w:spacing w:val="-9"/>
          <w:w w:val="105"/>
          <w:sz w:val="12"/>
        </w:rPr>
        <w:t xml:space="preserve"> </w:t>
      </w:r>
      <w:r>
        <w:rPr>
          <w:w w:val="105"/>
          <w:sz w:val="12"/>
        </w:rPr>
        <w:t>Comité</w:t>
      </w:r>
      <w:r>
        <w:rPr>
          <w:spacing w:val="-9"/>
          <w:w w:val="105"/>
          <w:sz w:val="12"/>
        </w:rPr>
        <w:t xml:space="preserve"> </w:t>
      </w:r>
      <w:r>
        <w:rPr>
          <w:w w:val="105"/>
          <w:sz w:val="12"/>
        </w:rPr>
        <w:t>de</w:t>
      </w:r>
      <w:r>
        <w:rPr>
          <w:spacing w:val="-9"/>
          <w:w w:val="105"/>
          <w:sz w:val="12"/>
        </w:rPr>
        <w:t xml:space="preserve"> </w:t>
      </w:r>
      <w:r>
        <w:rPr>
          <w:w w:val="105"/>
          <w:sz w:val="12"/>
        </w:rPr>
        <w:t>Derechos</w:t>
      </w:r>
      <w:r>
        <w:rPr>
          <w:spacing w:val="-8"/>
          <w:w w:val="105"/>
          <w:sz w:val="12"/>
        </w:rPr>
        <w:t xml:space="preserve"> </w:t>
      </w:r>
      <w:r>
        <w:rPr>
          <w:w w:val="105"/>
          <w:sz w:val="12"/>
        </w:rPr>
        <w:t>Humanos,</w:t>
      </w:r>
      <w:r>
        <w:rPr>
          <w:spacing w:val="-9"/>
          <w:w w:val="105"/>
          <w:sz w:val="12"/>
        </w:rPr>
        <w:t xml:space="preserve"> </w:t>
      </w:r>
      <w:proofErr w:type="spellStart"/>
      <w:r>
        <w:rPr>
          <w:w w:val="105"/>
          <w:sz w:val="12"/>
        </w:rPr>
        <w:t>Ballantyne</w:t>
      </w:r>
      <w:proofErr w:type="spellEnd"/>
      <w:r>
        <w:rPr>
          <w:spacing w:val="-9"/>
          <w:w w:val="105"/>
          <w:sz w:val="12"/>
        </w:rPr>
        <w:t xml:space="preserve"> </w:t>
      </w:r>
      <w:r>
        <w:rPr>
          <w:w w:val="105"/>
          <w:sz w:val="12"/>
        </w:rPr>
        <w:t>et</w:t>
      </w:r>
      <w:r>
        <w:rPr>
          <w:spacing w:val="-9"/>
          <w:w w:val="105"/>
          <w:sz w:val="12"/>
        </w:rPr>
        <w:t xml:space="preserve"> </w:t>
      </w:r>
      <w:r>
        <w:rPr>
          <w:w w:val="105"/>
          <w:sz w:val="12"/>
        </w:rPr>
        <w:t>al.</w:t>
      </w:r>
      <w:r>
        <w:rPr>
          <w:spacing w:val="-9"/>
          <w:w w:val="105"/>
          <w:sz w:val="12"/>
        </w:rPr>
        <w:t xml:space="preserve"> </w:t>
      </w:r>
      <w:r>
        <w:rPr>
          <w:w w:val="105"/>
          <w:sz w:val="12"/>
        </w:rPr>
        <w:t>Canadá,</w:t>
      </w:r>
      <w:r>
        <w:rPr>
          <w:spacing w:val="-8"/>
          <w:w w:val="105"/>
          <w:sz w:val="12"/>
        </w:rPr>
        <w:t xml:space="preserve"> </w:t>
      </w:r>
      <w:r>
        <w:rPr>
          <w:w w:val="105"/>
          <w:sz w:val="12"/>
        </w:rPr>
        <w:t>comunicaciones</w:t>
      </w:r>
      <w:r>
        <w:rPr>
          <w:spacing w:val="-9"/>
          <w:w w:val="105"/>
          <w:sz w:val="12"/>
        </w:rPr>
        <w:t xml:space="preserve"> </w:t>
      </w:r>
      <w:r>
        <w:rPr>
          <w:w w:val="105"/>
          <w:sz w:val="12"/>
        </w:rPr>
        <w:t>Nos.</w:t>
      </w:r>
      <w:r>
        <w:rPr>
          <w:spacing w:val="-9"/>
          <w:w w:val="105"/>
          <w:sz w:val="12"/>
        </w:rPr>
        <w:t xml:space="preserve"> </w:t>
      </w:r>
      <w:r>
        <w:rPr>
          <w:w w:val="105"/>
          <w:sz w:val="12"/>
        </w:rPr>
        <w:t>359/1989</w:t>
      </w:r>
      <w:r>
        <w:rPr>
          <w:spacing w:val="-9"/>
          <w:w w:val="105"/>
          <w:sz w:val="12"/>
        </w:rPr>
        <w:t xml:space="preserve"> </w:t>
      </w:r>
      <w:r>
        <w:rPr>
          <w:w w:val="105"/>
          <w:sz w:val="12"/>
        </w:rPr>
        <w:t>y</w:t>
      </w:r>
      <w:r>
        <w:rPr>
          <w:spacing w:val="-8"/>
          <w:w w:val="105"/>
          <w:sz w:val="12"/>
        </w:rPr>
        <w:t xml:space="preserve"> </w:t>
      </w:r>
      <w:r>
        <w:rPr>
          <w:w w:val="105"/>
          <w:sz w:val="12"/>
        </w:rPr>
        <w:t>385/1989.</w:t>
      </w:r>
      <w:r>
        <w:rPr>
          <w:spacing w:val="-9"/>
          <w:w w:val="105"/>
          <w:sz w:val="12"/>
        </w:rPr>
        <w:t xml:space="preserve"> </w:t>
      </w:r>
      <w:r>
        <w:rPr>
          <w:w w:val="105"/>
          <w:sz w:val="12"/>
        </w:rPr>
        <w:t>Véase</w:t>
      </w:r>
      <w:r>
        <w:rPr>
          <w:spacing w:val="-9"/>
          <w:w w:val="105"/>
          <w:sz w:val="12"/>
        </w:rPr>
        <w:t xml:space="preserve"> </w:t>
      </w:r>
      <w:r>
        <w:rPr>
          <w:w w:val="105"/>
          <w:sz w:val="12"/>
        </w:rPr>
        <w:t>también</w:t>
      </w:r>
      <w:r>
        <w:rPr>
          <w:spacing w:val="-9"/>
          <w:w w:val="105"/>
          <w:sz w:val="12"/>
        </w:rPr>
        <w:t xml:space="preserve"> </w:t>
      </w:r>
      <w:r>
        <w:rPr>
          <w:w w:val="105"/>
          <w:sz w:val="12"/>
        </w:rPr>
        <w:t>Relator</w:t>
      </w:r>
      <w:r>
        <w:rPr>
          <w:spacing w:val="-8"/>
          <w:w w:val="105"/>
          <w:sz w:val="12"/>
        </w:rPr>
        <w:t xml:space="preserve"> </w:t>
      </w:r>
      <w:r>
        <w:rPr>
          <w:w w:val="105"/>
          <w:sz w:val="12"/>
        </w:rPr>
        <w:t>Especial</w:t>
      </w:r>
      <w:r>
        <w:rPr>
          <w:spacing w:val="-9"/>
          <w:w w:val="105"/>
          <w:sz w:val="12"/>
        </w:rPr>
        <w:t xml:space="preserve"> </w:t>
      </w:r>
      <w:r>
        <w:rPr>
          <w:w w:val="105"/>
          <w:sz w:val="12"/>
        </w:rPr>
        <w:t>sobre</w:t>
      </w:r>
      <w:r>
        <w:rPr>
          <w:spacing w:val="-9"/>
          <w:w w:val="105"/>
          <w:sz w:val="12"/>
        </w:rPr>
        <w:t xml:space="preserve"> </w:t>
      </w:r>
      <w:r>
        <w:rPr>
          <w:w w:val="105"/>
          <w:sz w:val="12"/>
        </w:rPr>
        <w:t>cuestiones</w:t>
      </w:r>
      <w:r>
        <w:rPr>
          <w:spacing w:val="-9"/>
          <w:w w:val="105"/>
          <w:sz w:val="12"/>
        </w:rPr>
        <w:t xml:space="preserve"> </w:t>
      </w:r>
      <w:r>
        <w:rPr>
          <w:w w:val="105"/>
          <w:sz w:val="12"/>
        </w:rPr>
        <w:t>de</w:t>
      </w:r>
      <w:r>
        <w:rPr>
          <w:spacing w:val="40"/>
          <w:w w:val="105"/>
          <w:sz w:val="12"/>
        </w:rPr>
        <w:t xml:space="preserve"> </w:t>
      </w:r>
      <w:r>
        <w:rPr>
          <w:w w:val="105"/>
          <w:sz w:val="12"/>
        </w:rPr>
        <w:t>las</w:t>
      </w:r>
      <w:r>
        <w:rPr>
          <w:spacing w:val="-7"/>
          <w:w w:val="105"/>
          <w:sz w:val="12"/>
        </w:rPr>
        <w:t xml:space="preserve"> </w:t>
      </w:r>
      <w:r>
        <w:rPr>
          <w:w w:val="105"/>
          <w:sz w:val="12"/>
        </w:rPr>
        <w:t>minorías,</w:t>
      </w:r>
      <w:r>
        <w:rPr>
          <w:spacing w:val="-6"/>
          <w:w w:val="105"/>
          <w:sz w:val="12"/>
        </w:rPr>
        <w:t xml:space="preserve"> </w:t>
      </w:r>
      <w:r>
        <w:rPr>
          <w:w w:val="105"/>
          <w:sz w:val="12"/>
        </w:rPr>
        <w:t>“Derechos</w:t>
      </w:r>
      <w:r>
        <w:rPr>
          <w:spacing w:val="-7"/>
          <w:w w:val="105"/>
          <w:sz w:val="12"/>
        </w:rPr>
        <w:t xml:space="preserve"> </w:t>
      </w:r>
      <w:r>
        <w:rPr>
          <w:w w:val="105"/>
          <w:sz w:val="12"/>
        </w:rPr>
        <w:t>lingüísticos</w:t>
      </w:r>
      <w:r>
        <w:rPr>
          <w:spacing w:val="-7"/>
          <w:w w:val="105"/>
          <w:sz w:val="12"/>
        </w:rPr>
        <w:t xml:space="preserve"> </w:t>
      </w:r>
      <w:r>
        <w:rPr>
          <w:w w:val="105"/>
          <w:sz w:val="12"/>
        </w:rPr>
        <w:t>de</w:t>
      </w:r>
      <w:r>
        <w:rPr>
          <w:spacing w:val="-7"/>
          <w:w w:val="105"/>
          <w:sz w:val="12"/>
        </w:rPr>
        <w:t xml:space="preserve"> </w:t>
      </w:r>
      <w:r>
        <w:rPr>
          <w:w w:val="105"/>
          <w:sz w:val="12"/>
        </w:rPr>
        <w:t>las</w:t>
      </w:r>
      <w:r>
        <w:rPr>
          <w:spacing w:val="-7"/>
          <w:w w:val="105"/>
          <w:sz w:val="12"/>
        </w:rPr>
        <w:t xml:space="preserve"> </w:t>
      </w:r>
      <w:r>
        <w:rPr>
          <w:w w:val="105"/>
          <w:sz w:val="12"/>
        </w:rPr>
        <w:t>minorías</w:t>
      </w:r>
      <w:r>
        <w:rPr>
          <w:spacing w:val="-7"/>
          <w:w w:val="105"/>
          <w:sz w:val="12"/>
        </w:rPr>
        <w:t xml:space="preserve"> </w:t>
      </w:r>
      <w:r>
        <w:rPr>
          <w:w w:val="105"/>
          <w:sz w:val="12"/>
        </w:rPr>
        <w:t>lingüísticas:</w:t>
      </w:r>
      <w:r>
        <w:rPr>
          <w:spacing w:val="-6"/>
          <w:w w:val="105"/>
          <w:sz w:val="12"/>
        </w:rPr>
        <w:t xml:space="preserve"> </w:t>
      </w:r>
      <w:r>
        <w:rPr>
          <w:w w:val="105"/>
          <w:sz w:val="12"/>
        </w:rPr>
        <w:t>una</w:t>
      </w:r>
      <w:r>
        <w:rPr>
          <w:spacing w:val="-7"/>
          <w:w w:val="105"/>
          <w:sz w:val="12"/>
        </w:rPr>
        <w:t xml:space="preserve"> </w:t>
      </w:r>
      <w:r>
        <w:rPr>
          <w:w w:val="105"/>
          <w:sz w:val="12"/>
        </w:rPr>
        <w:t>guía</w:t>
      </w:r>
      <w:r>
        <w:rPr>
          <w:spacing w:val="-7"/>
          <w:w w:val="105"/>
          <w:sz w:val="12"/>
        </w:rPr>
        <w:t xml:space="preserve"> </w:t>
      </w:r>
      <w:r>
        <w:rPr>
          <w:w w:val="105"/>
          <w:sz w:val="12"/>
        </w:rPr>
        <w:t>práctica</w:t>
      </w:r>
      <w:r>
        <w:rPr>
          <w:spacing w:val="-7"/>
          <w:w w:val="105"/>
          <w:sz w:val="12"/>
        </w:rPr>
        <w:t xml:space="preserve"> </w:t>
      </w:r>
      <w:r>
        <w:rPr>
          <w:w w:val="105"/>
          <w:sz w:val="12"/>
        </w:rPr>
        <w:t>para</w:t>
      </w:r>
      <w:r>
        <w:rPr>
          <w:spacing w:val="-7"/>
          <w:w w:val="105"/>
          <w:sz w:val="12"/>
        </w:rPr>
        <w:t xml:space="preserve"> </w:t>
      </w:r>
      <w:r>
        <w:rPr>
          <w:w w:val="105"/>
          <w:sz w:val="12"/>
        </w:rPr>
        <w:t>su</w:t>
      </w:r>
      <w:r>
        <w:rPr>
          <w:spacing w:val="-7"/>
          <w:w w:val="105"/>
          <w:sz w:val="12"/>
        </w:rPr>
        <w:t xml:space="preserve"> </w:t>
      </w:r>
      <w:r>
        <w:rPr>
          <w:w w:val="105"/>
          <w:sz w:val="12"/>
        </w:rPr>
        <w:t>implementación”</w:t>
      </w:r>
      <w:r>
        <w:rPr>
          <w:spacing w:val="-7"/>
          <w:w w:val="105"/>
          <w:sz w:val="12"/>
        </w:rPr>
        <w:t xml:space="preserve"> </w:t>
      </w:r>
      <w:r>
        <w:rPr>
          <w:w w:val="105"/>
          <w:sz w:val="12"/>
        </w:rPr>
        <w:t>(Ginebra,</w:t>
      </w:r>
      <w:r>
        <w:rPr>
          <w:spacing w:val="-6"/>
          <w:w w:val="105"/>
          <w:sz w:val="12"/>
        </w:rPr>
        <w:t xml:space="preserve"> </w:t>
      </w:r>
      <w:r>
        <w:rPr>
          <w:w w:val="105"/>
          <w:sz w:val="12"/>
        </w:rPr>
        <w:t>ACNUDH,</w:t>
      </w:r>
      <w:r>
        <w:rPr>
          <w:spacing w:val="-6"/>
          <w:w w:val="105"/>
          <w:sz w:val="12"/>
        </w:rPr>
        <w:t xml:space="preserve"> </w:t>
      </w:r>
      <w:r>
        <w:rPr>
          <w:w w:val="105"/>
          <w:sz w:val="12"/>
        </w:rPr>
        <w:t>2017),</w:t>
      </w:r>
      <w:r>
        <w:rPr>
          <w:spacing w:val="-6"/>
          <w:w w:val="105"/>
          <w:sz w:val="12"/>
        </w:rPr>
        <w:t xml:space="preserve"> </w:t>
      </w:r>
      <w:r>
        <w:rPr>
          <w:w w:val="105"/>
          <w:sz w:val="12"/>
        </w:rPr>
        <w:t>págs.</w:t>
      </w:r>
    </w:p>
    <w:p w14:paraId="274DFFAF" w14:textId="77777777" w:rsidR="0014798C" w:rsidRDefault="004E1F0B">
      <w:pPr>
        <w:spacing w:before="57" w:line="410" w:lineRule="auto"/>
        <w:ind w:left="1111" w:right="5703"/>
        <w:rPr>
          <w:sz w:val="12"/>
        </w:rPr>
      </w:pPr>
      <w:r>
        <w:rPr>
          <w:w w:val="105"/>
          <w:sz w:val="12"/>
        </w:rPr>
        <w:t>1059</w:t>
      </w:r>
      <w:r>
        <w:rPr>
          <w:spacing w:val="-6"/>
          <w:w w:val="105"/>
          <w:sz w:val="12"/>
        </w:rPr>
        <w:t xml:space="preserve"> </w:t>
      </w:r>
      <w:r>
        <w:rPr>
          <w:w w:val="105"/>
          <w:sz w:val="12"/>
        </w:rPr>
        <w:t>Comité</w:t>
      </w:r>
      <w:r>
        <w:rPr>
          <w:spacing w:val="-6"/>
          <w:w w:val="105"/>
          <w:sz w:val="12"/>
        </w:rPr>
        <w:t xml:space="preserve"> </w:t>
      </w:r>
      <w:r>
        <w:rPr>
          <w:w w:val="105"/>
          <w:sz w:val="12"/>
        </w:rPr>
        <w:t>de</w:t>
      </w:r>
      <w:r>
        <w:rPr>
          <w:spacing w:val="-6"/>
          <w:w w:val="105"/>
          <w:sz w:val="12"/>
        </w:rPr>
        <w:t xml:space="preserve"> </w:t>
      </w:r>
      <w:r>
        <w:rPr>
          <w:w w:val="105"/>
          <w:sz w:val="12"/>
        </w:rPr>
        <w:t>Derechos</w:t>
      </w:r>
      <w:r>
        <w:rPr>
          <w:spacing w:val="-6"/>
          <w:w w:val="105"/>
          <w:sz w:val="12"/>
        </w:rPr>
        <w:t xml:space="preserve"> </w:t>
      </w:r>
      <w:r>
        <w:rPr>
          <w:w w:val="105"/>
          <w:sz w:val="12"/>
        </w:rPr>
        <w:t>Humanos,</w:t>
      </w:r>
      <w:r>
        <w:rPr>
          <w:spacing w:val="-5"/>
          <w:w w:val="105"/>
          <w:sz w:val="12"/>
        </w:rPr>
        <w:t xml:space="preserve"> </w:t>
      </w:r>
      <w:proofErr w:type="spellStart"/>
      <w:r>
        <w:rPr>
          <w:w w:val="105"/>
          <w:sz w:val="12"/>
        </w:rPr>
        <w:t>Raihman</w:t>
      </w:r>
      <w:proofErr w:type="spellEnd"/>
      <w:r>
        <w:rPr>
          <w:spacing w:val="-6"/>
          <w:w w:val="105"/>
          <w:sz w:val="12"/>
        </w:rPr>
        <w:t xml:space="preserve"> </w:t>
      </w:r>
      <w:r>
        <w:rPr>
          <w:w w:val="105"/>
          <w:sz w:val="12"/>
        </w:rPr>
        <w:t>c.</w:t>
      </w:r>
      <w:r>
        <w:rPr>
          <w:spacing w:val="-6"/>
          <w:w w:val="105"/>
          <w:sz w:val="12"/>
        </w:rPr>
        <w:t xml:space="preserve"> </w:t>
      </w:r>
      <w:r>
        <w:rPr>
          <w:w w:val="105"/>
          <w:sz w:val="12"/>
        </w:rPr>
        <w:t>Letonia</w:t>
      </w:r>
      <w:r>
        <w:rPr>
          <w:spacing w:val="-6"/>
          <w:w w:val="105"/>
          <w:sz w:val="12"/>
        </w:rPr>
        <w:t xml:space="preserve"> </w:t>
      </w:r>
      <w:r>
        <w:rPr>
          <w:w w:val="105"/>
          <w:sz w:val="12"/>
        </w:rPr>
        <w:t>(CCPR/C/100/D/1621/2007).</w:t>
      </w:r>
      <w:r>
        <w:rPr>
          <w:spacing w:val="40"/>
          <w:w w:val="105"/>
          <w:sz w:val="12"/>
        </w:rPr>
        <w:t xml:space="preserve"> </w:t>
      </w:r>
      <w:r>
        <w:rPr>
          <w:spacing w:val="-2"/>
          <w:w w:val="105"/>
          <w:sz w:val="12"/>
        </w:rPr>
        <w:t xml:space="preserve">1060 Comité de Derechos Humanos, </w:t>
      </w:r>
      <w:proofErr w:type="spellStart"/>
      <w:r>
        <w:rPr>
          <w:spacing w:val="-2"/>
          <w:w w:val="105"/>
          <w:sz w:val="12"/>
        </w:rPr>
        <w:t>Diergaardt</w:t>
      </w:r>
      <w:proofErr w:type="spellEnd"/>
      <w:r>
        <w:rPr>
          <w:spacing w:val="-2"/>
          <w:w w:val="105"/>
          <w:sz w:val="12"/>
        </w:rPr>
        <w:t xml:space="preserve"> et al. Namibia (CCPR/C/69/D/760/1997).</w:t>
      </w:r>
    </w:p>
    <w:p w14:paraId="7656973D" w14:textId="77777777" w:rsidR="0014798C" w:rsidRDefault="004E1F0B">
      <w:pPr>
        <w:spacing w:before="58" w:line="374" w:lineRule="auto"/>
        <w:ind w:left="1365" w:right="1668" w:hanging="254"/>
        <w:rPr>
          <w:sz w:val="10"/>
        </w:rPr>
      </w:pPr>
      <w:r>
        <w:rPr>
          <w:w w:val="105"/>
          <w:sz w:val="10"/>
        </w:rPr>
        <w:t>1061</w:t>
      </w:r>
      <w:r>
        <w:rPr>
          <w:spacing w:val="-7"/>
          <w:w w:val="105"/>
          <w:sz w:val="10"/>
        </w:rPr>
        <w:t xml:space="preserve"> </w:t>
      </w:r>
      <w:r>
        <w:rPr>
          <w:w w:val="105"/>
          <w:sz w:val="10"/>
        </w:rPr>
        <w:t>Relator</w:t>
      </w:r>
      <w:r>
        <w:rPr>
          <w:spacing w:val="-7"/>
          <w:w w:val="105"/>
          <w:sz w:val="10"/>
        </w:rPr>
        <w:t xml:space="preserve"> </w:t>
      </w:r>
      <w:r>
        <w:rPr>
          <w:w w:val="105"/>
          <w:sz w:val="10"/>
        </w:rPr>
        <w:t>Especial</w:t>
      </w:r>
      <w:r>
        <w:rPr>
          <w:spacing w:val="-7"/>
          <w:w w:val="105"/>
          <w:sz w:val="10"/>
        </w:rPr>
        <w:t xml:space="preserve"> </w:t>
      </w:r>
      <w:r>
        <w:rPr>
          <w:w w:val="105"/>
          <w:sz w:val="10"/>
        </w:rPr>
        <w:t>sobre</w:t>
      </w:r>
      <w:r>
        <w:rPr>
          <w:spacing w:val="-7"/>
          <w:w w:val="105"/>
          <w:sz w:val="10"/>
        </w:rPr>
        <w:t xml:space="preserve"> </w:t>
      </w:r>
      <w:r>
        <w:rPr>
          <w:w w:val="105"/>
          <w:sz w:val="10"/>
        </w:rPr>
        <w:t>cuestiones</w:t>
      </w:r>
      <w:r>
        <w:rPr>
          <w:spacing w:val="-7"/>
          <w:w w:val="105"/>
          <w:sz w:val="10"/>
        </w:rPr>
        <w:t xml:space="preserve"> </w:t>
      </w:r>
      <w:r>
        <w:rPr>
          <w:w w:val="105"/>
          <w:sz w:val="10"/>
        </w:rPr>
        <w:t>de</w:t>
      </w:r>
      <w:r>
        <w:rPr>
          <w:spacing w:val="-7"/>
          <w:w w:val="105"/>
          <w:sz w:val="10"/>
        </w:rPr>
        <w:t xml:space="preserve"> </w:t>
      </w:r>
      <w:r>
        <w:rPr>
          <w:w w:val="105"/>
          <w:sz w:val="10"/>
        </w:rPr>
        <w:t>las</w:t>
      </w:r>
      <w:r>
        <w:rPr>
          <w:spacing w:val="-7"/>
          <w:w w:val="105"/>
          <w:sz w:val="10"/>
        </w:rPr>
        <w:t xml:space="preserve"> </w:t>
      </w:r>
      <w:r>
        <w:rPr>
          <w:w w:val="105"/>
          <w:sz w:val="10"/>
        </w:rPr>
        <w:t>minorías,</w:t>
      </w:r>
      <w:r>
        <w:rPr>
          <w:spacing w:val="-7"/>
          <w:w w:val="105"/>
          <w:sz w:val="10"/>
        </w:rPr>
        <w:t xml:space="preserve"> </w:t>
      </w:r>
      <w:r>
        <w:rPr>
          <w:w w:val="105"/>
          <w:sz w:val="10"/>
        </w:rPr>
        <w:t>“Derechos</w:t>
      </w:r>
      <w:r>
        <w:rPr>
          <w:spacing w:val="-7"/>
          <w:w w:val="105"/>
          <w:sz w:val="10"/>
        </w:rPr>
        <w:t xml:space="preserve"> </w:t>
      </w:r>
      <w:r>
        <w:rPr>
          <w:w w:val="105"/>
          <w:sz w:val="10"/>
        </w:rPr>
        <w:t>lingüísticos</w:t>
      </w:r>
      <w:r>
        <w:rPr>
          <w:spacing w:val="-7"/>
          <w:w w:val="105"/>
          <w:sz w:val="10"/>
        </w:rPr>
        <w:t xml:space="preserve"> </w:t>
      </w:r>
      <w:r>
        <w:rPr>
          <w:w w:val="105"/>
          <w:sz w:val="10"/>
        </w:rPr>
        <w:t>de</w:t>
      </w:r>
      <w:r>
        <w:rPr>
          <w:spacing w:val="-7"/>
          <w:w w:val="105"/>
          <w:sz w:val="10"/>
        </w:rPr>
        <w:t xml:space="preserve"> </w:t>
      </w:r>
      <w:r>
        <w:rPr>
          <w:w w:val="105"/>
          <w:sz w:val="10"/>
        </w:rPr>
        <w:t>las</w:t>
      </w:r>
      <w:r>
        <w:rPr>
          <w:spacing w:val="-7"/>
          <w:w w:val="105"/>
          <w:sz w:val="10"/>
        </w:rPr>
        <w:t xml:space="preserve"> </w:t>
      </w:r>
      <w:r>
        <w:rPr>
          <w:w w:val="105"/>
          <w:sz w:val="10"/>
        </w:rPr>
        <w:t>minorías</w:t>
      </w:r>
      <w:r>
        <w:rPr>
          <w:spacing w:val="-7"/>
          <w:w w:val="105"/>
          <w:sz w:val="10"/>
        </w:rPr>
        <w:t xml:space="preserve"> </w:t>
      </w:r>
      <w:r>
        <w:rPr>
          <w:w w:val="105"/>
          <w:sz w:val="10"/>
        </w:rPr>
        <w:t>lingüísticas:</w:t>
      </w:r>
      <w:r>
        <w:rPr>
          <w:spacing w:val="-7"/>
          <w:w w:val="105"/>
          <w:sz w:val="10"/>
        </w:rPr>
        <w:t xml:space="preserve"> </w:t>
      </w:r>
      <w:r>
        <w:rPr>
          <w:w w:val="105"/>
          <w:sz w:val="10"/>
        </w:rPr>
        <w:t>una</w:t>
      </w:r>
      <w:r>
        <w:rPr>
          <w:spacing w:val="-7"/>
          <w:w w:val="105"/>
          <w:sz w:val="10"/>
        </w:rPr>
        <w:t xml:space="preserve"> </w:t>
      </w:r>
      <w:r>
        <w:rPr>
          <w:w w:val="105"/>
          <w:sz w:val="10"/>
        </w:rPr>
        <w:t>guía</w:t>
      </w:r>
      <w:r>
        <w:rPr>
          <w:spacing w:val="-7"/>
          <w:w w:val="105"/>
          <w:sz w:val="10"/>
        </w:rPr>
        <w:t xml:space="preserve"> </w:t>
      </w:r>
      <w:r>
        <w:rPr>
          <w:w w:val="105"/>
          <w:sz w:val="10"/>
        </w:rPr>
        <w:t>práctica</w:t>
      </w:r>
      <w:r>
        <w:rPr>
          <w:spacing w:val="-7"/>
          <w:w w:val="105"/>
          <w:sz w:val="10"/>
        </w:rPr>
        <w:t xml:space="preserve"> </w:t>
      </w:r>
      <w:r>
        <w:rPr>
          <w:w w:val="105"/>
          <w:sz w:val="10"/>
        </w:rPr>
        <w:t>para</w:t>
      </w:r>
      <w:r>
        <w:rPr>
          <w:spacing w:val="-7"/>
          <w:w w:val="105"/>
          <w:sz w:val="10"/>
        </w:rPr>
        <w:t xml:space="preserve"> </w:t>
      </w:r>
      <w:r>
        <w:rPr>
          <w:w w:val="105"/>
          <w:sz w:val="10"/>
        </w:rPr>
        <w:t>la</w:t>
      </w:r>
      <w:r>
        <w:rPr>
          <w:spacing w:val="-7"/>
          <w:w w:val="105"/>
          <w:sz w:val="10"/>
        </w:rPr>
        <w:t xml:space="preserve"> </w:t>
      </w:r>
      <w:r>
        <w:rPr>
          <w:w w:val="105"/>
          <w:sz w:val="10"/>
        </w:rPr>
        <w:t>implementación”,</w:t>
      </w:r>
      <w:r>
        <w:rPr>
          <w:spacing w:val="-7"/>
          <w:w w:val="105"/>
          <w:sz w:val="10"/>
        </w:rPr>
        <w:t xml:space="preserve"> </w:t>
      </w:r>
      <w:r>
        <w:rPr>
          <w:w w:val="105"/>
          <w:sz w:val="10"/>
        </w:rPr>
        <w:t>págs.</w:t>
      </w:r>
      <w:r>
        <w:rPr>
          <w:spacing w:val="-6"/>
          <w:w w:val="105"/>
          <w:sz w:val="10"/>
        </w:rPr>
        <w:t xml:space="preserve"> </w:t>
      </w:r>
      <w:r>
        <w:rPr>
          <w:w w:val="105"/>
          <w:sz w:val="10"/>
        </w:rPr>
        <w:t>5</w:t>
      </w:r>
      <w:r>
        <w:rPr>
          <w:spacing w:val="-7"/>
          <w:w w:val="105"/>
          <w:sz w:val="10"/>
        </w:rPr>
        <w:t xml:space="preserve"> </w:t>
      </w:r>
      <w:r>
        <w:rPr>
          <w:w w:val="105"/>
          <w:sz w:val="10"/>
        </w:rPr>
        <w:t>y</w:t>
      </w:r>
      <w:r>
        <w:rPr>
          <w:spacing w:val="-7"/>
          <w:w w:val="105"/>
          <w:sz w:val="10"/>
        </w:rPr>
        <w:t xml:space="preserve"> </w:t>
      </w:r>
      <w:r>
        <w:rPr>
          <w:w w:val="105"/>
          <w:sz w:val="10"/>
        </w:rPr>
        <w:t>6,</w:t>
      </w:r>
      <w:r>
        <w:rPr>
          <w:spacing w:val="-7"/>
          <w:w w:val="105"/>
          <w:sz w:val="10"/>
        </w:rPr>
        <w:t xml:space="preserve"> </w:t>
      </w:r>
      <w:r>
        <w:rPr>
          <w:w w:val="105"/>
          <w:sz w:val="10"/>
        </w:rPr>
        <w:t>elaborado</w:t>
      </w:r>
      <w:r>
        <w:rPr>
          <w:spacing w:val="-7"/>
          <w:w w:val="105"/>
          <w:sz w:val="10"/>
        </w:rPr>
        <w:t xml:space="preserve"> </w:t>
      </w:r>
      <w:r>
        <w:rPr>
          <w:w w:val="105"/>
          <w:sz w:val="10"/>
        </w:rPr>
        <w:t>sobre</w:t>
      </w:r>
      <w:r>
        <w:rPr>
          <w:spacing w:val="-7"/>
          <w:w w:val="105"/>
          <w:sz w:val="10"/>
        </w:rPr>
        <w:t xml:space="preserve"> </w:t>
      </w:r>
      <w:r>
        <w:rPr>
          <w:w w:val="105"/>
          <w:sz w:val="10"/>
        </w:rPr>
        <w:t>la</w:t>
      </w:r>
      <w:r>
        <w:rPr>
          <w:spacing w:val="-7"/>
          <w:w w:val="105"/>
          <w:sz w:val="10"/>
        </w:rPr>
        <w:t xml:space="preserve"> </w:t>
      </w:r>
      <w:r>
        <w:rPr>
          <w:w w:val="105"/>
          <w:sz w:val="10"/>
        </w:rPr>
        <w:t>base</w:t>
      </w:r>
      <w:r>
        <w:rPr>
          <w:spacing w:val="-7"/>
          <w:w w:val="105"/>
          <w:sz w:val="10"/>
        </w:rPr>
        <w:t xml:space="preserve"> </w:t>
      </w:r>
      <w:r>
        <w:rPr>
          <w:w w:val="105"/>
          <w:sz w:val="10"/>
        </w:rPr>
        <w:t>de</w:t>
      </w:r>
      <w:r>
        <w:rPr>
          <w:spacing w:val="-7"/>
          <w:w w:val="105"/>
          <w:sz w:val="10"/>
        </w:rPr>
        <w:t xml:space="preserve"> </w:t>
      </w:r>
      <w:r>
        <w:rPr>
          <w:w w:val="105"/>
          <w:sz w:val="10"/>
        </w:rPr>
        <w:t>un</w:t>
      </w:r>
      <w:r>
        <w:rPr>
          <w:spacing w:val="40"/>
          <w:w w:val="105"/>
          <w:sz w:val="10"/>
        </w:rPr>
        <w:t xml:space="preserve"> </w:t>
      </w:r>
      <w:r>
        <w:rPr>
          <w:w w:val="105"/>
          <w:sz w:val="10"/>
        </w:rPr>
        <w:t>informe</w:t>
      </w:r>
      <w:r>
        <w:rPr>
          <w:spacing w:val="-7"/>
          <w:w w:val="105"/>
          <w:sz w:val="10"/>
        </w:rPr>
        <w:t xml:space="preserve"> </w:t>
      </w:r>
      <w:r>
        <w:rPr>
          <w:w w:val="105"/>
          <w:sz w:val="10"/>
        </w:rPr>
        <w:t>del</w:t>
      </w:r>
      <w:r>
        <w:rPr>
          <w:spacing w:val="-7"/>
          <w:w w:val="105"/>
          <w:sz w:val="10"/>
        </w:rPr>
        <w:t xml:space="preserve"> </w:t>
      </w:r>
      <w:r>
        <w:rPr>
          <w:w w:val="105"/>
          <w:sz w:val="10"/>
        </w:rPr>
        <w:t>Experto</w:t>
      </w:r>
      <w:r>
        <w:rPr>
          <w:spacing w:val="-7"/>
          <w:w w:val="105"/>
          <w:sz w:val="10"/>
        </w:rPr>
        <w:t xml:space="preserve"> </w:t>
      </w:r>
      <w:r>
        <w:rPr>
          <w:w w:val="105"/>
          <w:sz w:val="10"/>
        </w:rPr>
        <w:t>Independiente</w:t>
      </w:r>
      <w:r>
        <w:rPr>
          <w:spacing w:val="-7"/>
          <w:w w:val="105"/>
          <w:sz w:val="10"/>
        </w:rPr>
        <w:t xml:space="preserve"> </w:t>
      </w:r>
      <w:r>
        <w:rPr>
          <w:w w:val="105"/>
          <w:sz w:val="10"/>
        </w:rPr>
        <w:t>sobre</w:t>
      </w:r>
      <w:r>
        <w:rPr>
          <w:spacing w:val="-7"/>
          <w:w w:val="105"/>
          <w:sz w:val="10"/>
        </w:rPr>
        <w:t xml:space="preserve"> </w:t>
      </w:r>
      <w:r>
        <w:rPr>
          <w:w w:val="105"/>
          <w:sz w:val="10"/>
        </w:rPr>
        <w:t>cuestiones</w:t>
      </w:r>
      <w:r>
        <w:rPr>
          <w:spacing w:val="-7"/>
          <w:w w:val="105"/>
          <w:sz w:val="10"/>
        </w:rPr>
        <w:t xml:space="preserve"> </w:t>
      </w:r>
      <w:r>
        <w:rPr>
          <w:w w:val="105"/>
          <w:sz w:val="10"/>
        </w:rPr>
        <w:t>de</w:t>
      </w:r>
      <w:r>
        <w:rPr>
          <w:spacing w:val="-7"/>
          <w:w w:val="105"/>
          <w:sz w:val="10"/>
        </w:rPr>
        <w:t xml:space="preserve"> </w:t>
      </w:r>
      <w:r>
        <w:rPr>
          <w:w w:val="105"/>
          <w:sz w:val="10"/>
        </w:rPr>
        <w:t>las</w:t>
      </w:r>
      <w:r>
        <w:rPr>
          <w:spacing w:val="-7"/>
          <w:w w:val="105"/>
          <w:sz w:val="10"/>
        </w:rPr>
        <w:t xml:space="preserve"> </w:t>
      </w:r>
      <w:r>
        <w:rPr>
          <w:w w:val="105"/>
          <w:sz w:val="10"/>
        </w:rPr>
        <w:t>minorías</w:t>
      </w:r>
      <w:r>
        <w:rPr>
          <w:spacing w:val="-7"/>
          <w:w w:val="105"/>
          <w:sz w:val="10"/>
        </w:rPr>
        <w:t xml:space="preserve"> </w:t>
      </w:r>
      <w:r>
        <w:rPr>
          <w:w w:val="105"/>
          <w:sz w:val="10"/>
        </w:rPr>
        <w:t>de</w:t>
      </w:r>
      <w:r>
        <w:rPr>
          <w:spacing w:val="-7"/>
          <w:w w:val="105"/>
          <w:sz w:val="10"/>
        </w:rPr>
        <w:t xml:space="preserve"> </w:t>
      </w:r>
      <w:r>
        <w:rPr>
          <w:w w:val="105"/>
          <w:sz w:val="10"/>
        </w:rPr>
        <w:t>2012</w:t>
      </w:r>
      <w:r>
        <w:rPr>
          <w:spacing w:val="-7"/>
          <w:w w:val="105"/>
          <w:sz w:val="10"/>
        </w:rPr>
        <w:t xml:space="preserve"> </w:t>
      </w:r>
      <w:r>
        <w:rPr>
          <w:w w:val="105"/>
          <w:sz w:val="10"/>
        </w:rPr>
        <w:t>(A/HRC/</w:t>
      </w:r>
      <w:r>
        <w:rPr>
          <w:spacing w:val="-7"/>
          <w:w w:val="105"/>
          <w:sz w:val="10"/>
        </w:rPr>
        <w:t xml:space="preserve"> </w:t>
      </w:r>
      <w:r>
        <w:rPr>
          <w:w w:val="105"/>
          <w:sz w:val="10"/>
        </w:rPr>
        <w:t>22/49).</w:t>
      </w:r>
      <w:r>
        <w:rPr>
          <w:spacing w:val="-6"/>
          <w:w w:val="105"/>
          <w:sz w:val="10"/>
        </w:rPr>
        <w:t xml:space="preserve"> </w:t>
      </w:r>
      <w:r>
        <w:rPr>
          <w:w w:val="105"/>
          <w:sz w:val="10"/>
        </w:rPr>
        <w:t>El</w:t>
      </w:r>
      <w:r>
        <w:rPr>
          <w:spacing w:val="-7"/>
          <w:w w:val="105"/>
          <w:sz w:val="10"/>
        </w:rPr>
        <w:t xml:space="preserve"> </w:t>
      </w:r>
      <w:r>
        <w:rPr>
          <w:w w:val="105"/>
          <w:sz w:val="10"/>
        </w:rPr>
        <w:t>Relator</w:t>
      </w:r>
      <w:r>
        <w:rPr>
          <w:spacing w:val="-7"/>
          <w:w w:val="105"/>
          <w:sz w:val="10"/>
        </w:rPr>
        <w:t xml:space="preserve"> </w:t>
      </w:r>
      <w:r>
        <w:rPr>
          <w:w w:val="105"/>
          <w:sz w:val="10"/>
        </w:rPr>
        <w:t>Especial</w:t>
      </w:r>
      <w:r>
        <w:rPr>
          <w:spacing w:val="-7"/>
          <w:w w:val="105"/>
          <w:sz w:val="10"/>
        </w:rPr>
        <w:t xml:space="preserve"> </w:t>
      </w:r>
      <w:r>
        <w:rPr>
          <w:w w:val="105"/>
          <w:sz w:val="10"/>
        </w:rPr>
        <w:t>observa</w:t>
      </w:r>
      <w:r>
        <w:rPr>
          <w:spacing w:val="-7"/>
          <w:w w:val="105"/>
          <w:sz w:val="10"/>
        </w:rPr>
        <w:t xml:space="preserve"> </w:t>
      </w:r>
      <w:r>
        <w:rPr>
          <w:w w:val="105"/>
          <w:sz w:val="10"/>
        </w:rPr>
        <w:t>que</w:t>
      </w:r>
      <w:r>
        <w:rPr>
          <w:spacing w:val="-7"/>
          <w:w w:val="105"/>
          <w:sz w:val="10"/>
        </w:rPr>
        <w:t xml:space="preserve"> </w:t>
      </w:r>
      <w:r>
        <w:rPr>
          <w:w w:val="105"/>
          <w:sz w:val="10"/>
        </w:rPr>
        <w:t>estas</w:t>
      </w:r>
      <w:r>
        <w:rPr>
          <w:spacing w:val="-7"/>
          <w:w w:val="105"/>
          <w:sz w:val="10"/>
        </w:rPr>
        <w:t xml:space="preserve"> </w:t>
      </w:r>
      <w:r>
        <w:rPr>
          <w:w w:val="105"/>
          <w:sz w:val="10"/>
        </w:rPr>
        <w:t>normas</w:t>
      </w:r>
      <w:r>
        <w:rPr>
          <w:spacing w:val="-7"/>
          <w:w w:val="105"/>
          <w:sz w:val="10"/>
        </w:rPr>
        <w:t xml:space="preserve"> </w:t>
      </w:r>
      <w:r>
        <w:rPr>
          <w:w w:val="105"/>
          <w:sz w:val="10"/>
        </w:rPr>
        <w:t>se</w:t>
      </w:r>
      <w:r>
        <w:rPr>
          <w:spacing w:val="-7"/>
          <w:w w:val="105"/>
          <w:sz w:val="10"/>
        </w:rPr>
        <w:t xml:space="preserve"> </w:t>
      </w:r>
      <w:r>
        <w:rPr>
          <w:w w:val="105"/>
          <w:sz w:val="10"/>
        </w:rPr>
        <w:t>han</w:t>
      </w:r>
      <w:r>
        <w:rPr>
          <w:spacing w:val="-7"/>
          <w:w w:val="105"/>
          <w:sz w:val="10"/>
        </w:rPr>
        <w:t xml:space="preserve"> </w:t>
      </w:r>
      <w:r>
        <w:rPr>
          <w:w w:val="105"/>
          <w:sz w:val="10"/>
        </w:rPr>
        <w:t>desarrollado</w:t>
      </w:r>
      <w:r>
        <w:rPr>
          <w:spacing w:val="-7"/>
          <w:w w:val="105"/>
          <w:sz w:val="10"/>
        </w:rPr>
        <w:t xml:space="preserve"> </w:t>
      </w:r>
      <w:r>
        <w:rPr>
          <w:w w:val="105"/>
          <w:sz w:val="10"/>
        </w:rPr>
        <w:t>con</w:t>
      </w:r>
      <w:r>
        <w:rPr>
          <w:spacing w:val="-7"/>
          <w:w w:val="105"/>
          <w:sz w:val="10"/>
        </w:rPr>
        <w:t xml:space="preserve"> </w:t>
      </w:r>
      <w:r>
        <w:rPr>
          <w:w w:val="105"/>
          <w:sz w:val="10"/>
        </w:rPr>
        <w:t>mayor</w:t>
      </w:r>
      <w:r>
        <w:rPr>
          <w:spacing w:val="-7"/>
          <w:w w:val="105"/>
          <w:sz w:val="10"/>
        </w:rPr>
        <w:t xml:space="preserve"> </w:t>
      </w:r>
      <w:r>
        <w:rPr>
          <w:w w:val="105"/>
          <w:sz w:val="10"/>
        </w:rPr>
        <w:t>detalle</w:t>
      </w:r>
      <w:r>
        <w:rPr>
          <w:spacing w:val="-7"/>
          <w:w w:val="105"/>
          <w:sz w:val="10"/>
        </w:rPr>
        <w:t xml:space="preserve"> </w:t>
      </w:r>
      <w:r>
        <w:rPr>
          <w:w w:val="105"/>
          <w:sz w:val="10"/>
        </w:rPr>
        <w:t>en</w:t>
      </w:r>
      <w:r>
        <w:rPr>
          <w:spacing w:val="40"/>
          <w:w w:val="105"/>
          <w:sz w:val="10"/>
        </w:rPr>
        <w:t xml:space="preserve"> </w:t>
      </w:r>
      <w:r>
        <w:rPr>
          <w:w w:val="105"/>
          <w:sz w:val="10"/>
        </w:rPr>
        <w:t>diversos</w:t>
      </w:r>
      <w:r>
        <w:rPr>
          <w:spacing w:val="-6"/>
          <w:w w:val="105"/>
          <w:sz w:val="10"/>
        </w:rPr>
        <w:t xml:space="preserve"> </w:t>
      </w:r>
      <w:r>
        <w:rPr>
          <w:w w:val="105"/>
          <w:sz w:val="10"/>
        </w:rPr>
        <w:t>documentos</w:t>
      </w:r>
      <w:r>
        <w:rPr>
          <w:spacing w:val="-6"/>
          <w:w w:val="105"/>
          <w:sz w:val="10"/>
        </w:rPr>
        <w:t xml:space="preserve"> </w:t>
      </w:r>
      <w:r>
        <w:rPr>
          <w:w w:val="105"/>
          <w:sz w:val="10"/>
        </w:rPr>
        <w:t>rectores</w:t>
      </w:r>
      <w:r>
        <w:rPr>
          <w:spacing w:val="-6"/>
          <w:w w:val="105"/>
          <w:sz w:val="10"/>
        </w:rPr>
        <w:t xml:space="preserve"> </w:t>
      </w:r>
      <w:r>
        <w:rPr>
          <w:w w:val="105"/>
          <w:sz w:val="10"/>
        </w:rPr>
        <w:t>y</w:t>
      </w:r>
      <w:r>
        <w:rPr>
          <w:spacing w:val="-6"/>
          <w:w w:val="105"/>
          <w:sz w:val="10"/>
        </w:rPr>
        <w:t xml:space="preserve"> </w:t>
      </w:r>
      <w:r>
        <w:rPr>
          <w:w w:val="105"/>
          <w:sz w:val="10"/>
        </w:rPr>
        <w:t>normas</w:t>
      </w:r>
      <w:r>
        <w:rPr>
          <w:spacing w:val="-6"/>
          <w:w w:val="105"/>
          <w:sz w:val="10"/>
        </w:rPr>
        <w:t xml:space="preserve"> </w:t>
      </w:r>
      <w:r>
        <w:rPr>
          <w:w w:val="105"/>
          <w:sz w:val="10"/>
        </w:rPr>
        <w:t>internacionales,</w:t>
      </w:r>
      <w:r>
        <w:rPr>
          <w:spacing w:val="-5"/>
          <w:w w:val="105"/>
          <w:sz w:val="10"/>
        </w:rPr>
        <w:t xml:space="preserve"> </w:t>
      </w:r>
      <w:r>
        <w:rPr>
          <w:w w:val="105"/>
          <w:sz w:val="10"/>
        </w:rPr>
        <w:t>como</w:t>
      </w:r>
      <w:r>
        <w:rPr>
          <w:spacing w:val="-6"/>
          <w:w w:val="105"/>
          <w:sz w:val="10"/>
        </w:rPr>
        <w:t xml:space="preserve"> </w:t>
      </w:r>
      <w:r>
        <w:rPr>
          <w:w w:val="105"/>
          <w:sz w:val="10"/>
        </w:rPr>
        <w:t>en</w:t>
      </w:r>
      <w:r>
        <w:rPr>
          <w:spacing w:val="-6"/>
          <w:w w:val="105"/>
          <w:sz w:val="10"/>
        </w:rPr>
        <w:t xml:space="preserve"> </w:t>
      </w:r>
      <w:r>
        <w:rPr>
          <w:w w:val="105"/>
          <w:sz w:val="10"/>
        </w:rPr>
        <w:t>la</w:t>
      </w:r>
      <w:r>
        <w:rPr>
          <w:spacing w:val="-6"/>
          <w:w w:val="105"/>
          <w:sz w:val="10"/>
        </w:rPr>
        <w:t xml:space="preserve"> </w:t>
      </w:r>
      <w:r>
        <w:rPr>
          <w:w w:val="105"/>
          <w:sz w:val="10"/>
        </w:rPr>
        <w:t>Declaración</w:t>
      </w:r>
      <w:r>
        <w:rPr>
          <w:spacing w:val="-6"/>
          <w:w w:val="105"/>
          <w:sz w:val="10"/>
        </w:rPr>
        <w:t xml:space="preserve"> </w:t>
      </w:r>
      <w:r>
        <w:rPr>
          <w:w w:val="105"/>
          <w:sz w:val="10"/>
        </w:rPr>
        <w:t>sobre</w:t>
      </w:r>
      <w:r>
        <w:rPr>
          <w:spacing w:val="-6"/>
          <w:w w:val="105"/>
          <w:sz w:val="10"/>
        </w:rPr>
        <w:t xml:space="preserve"> </w:t>
      </w:r>
      <w:r>
        <w:rPr>
          <w:w w:val="105"/>
          <w:sz w:val="10"/>
        </w:rPr>
        <w:t>los</w:t>
      </w:r>
      <w:r>
        <w:rPr>
          <w:spacing w:val="-6"/>
          <w:w w:val="105"/>
          <w:sz w:val="10"/>
        </w:rPr>
        <w:t xml:space="preserve"> </w:t>
      </w:r>
      <w:r>
        <w:rPr>
          <w:w w:val="105"/>
          <w:sz w:val="10"/>
        </w:rPr>
        <w:t>derechos</w:t>
      </w:r>
      <w:r>
        <w:rPr>
          <w:spacing w:val="-6"/>
          <w:w w:val="105"/>
          <w:sz w:val="10"/>
        </w:rPr>
        <w:t xml:space="preserve"> </w:t>
      </w:r>
      <w:r>
        <w:rPr>
          <w:w w:val="105"/>
          <w:sz w:val="10"/>
        </w:rPr>
        <w:t>de</w:t>
      </w:r>
      <w:r>
        <w:rPr>
          <w:spacing w:val="-6"/>
          <w:w w:val="105"/>
          <w:sz w:val="10"/>
        </w:rPr>
        <w:t xml:space="preserve"> </w:t>
      </w:r>
      <w:r>
        <w:rPr>
          <w:w w:val="105"/>
          <w:sz w:val="10"/>
        </w:rPr>
        <w:t>las</w:t>
      </w:r>
      <w:r>
        <w:rPr>
          <w:spacing w:val="-6"/>
          <w:w w:val="105"/>
          <w:sz w:val="10"/>
        </w:rPr>
        <w:t xml:space="preserve"> </w:t>
      </w:r>
      <w:r>
        <w:rPr>
          <w:w w:val="105"/>
          <w:sz w:val="10"/>
        </w:rPr>
        <w:t>personas</w:t>
      </w:r>
      <w:r>
        <w:rPr>
          <w:spacing w:val="-6"/>
          <w:w w:val="105"/>
          <w:sz w:val="10"/>
        </w:rPr>
        <w:t xml:space="preserve"> </w:t>
      </w:r>
      <w:r>
        <w:rPr>
          <w:w w:val="105"/>
          <w:sz w:val="10"/>
        </w:rPr>
        <w:t>pertenecientes</w:t>
      </w:r>
      <w:r>
        <w:rPr>
          <w:spacing w:val="-6"/>
          <w:w w:val="105"/>
          <w:sz w:val="10"/>
        </w:rPr>
        <w:t xml:space="preserve"> </w:t>
      </w:r>
      <w:r>
        <w:rPr>
          <w:w w:val="105"/>
          <w:sz w:val="10"/>
        </w:rPr>
        <w:t>a</w:t>
      </w:r>
      <w:r>
        <w:rPr>
          <w:spacing w:val="-6"/>
          <w:w w:val="105"/>
          <w:sz w:val="10"/>
        </w:rPr>
        <w:t xml:space="preserve"> </w:t>
      </w:r>
      <w:r>
        <w:rPr>
          <w:w w:val="105"/>
          <w:sz w:val="10"/>
        </w:rPr>
        <w:t>minorías</w:t>
      </w:r>
      <w:r>
        <w:rPr>
          <w:spacing w:val="-6"/>
          <w:w w:val="105"/>
          <w:sz w:val="10"/>
        </w:rPr>
        <w:t xml:space="preserve"> </w:t>
      </w:r>
      <w:r>
        <w:rPr>
          <w:w w:val="105"/>
          <w:sz w:val="10"/>
        </w:rPr>
        <w:t>nacionales</w:t>
      </w:r>
      <w:r>
        <w:rPr>
          <w:spacing w:val="-6"/>
          <w:w w:val="105"/>
          <w:sz w:val="10"/>
        </w:rPr>
        <w:t xml:space="preserve"> </w:t>
      </w:r>
      <w:r>
        <w:rPr>
          <w:w w:val="105"/>
          <w:sz w:val="10"/>
        </w:rPr>
        <w:t>o</w:t>
      </w:r>
      <w:r>
        <w:rPr>
          <w:spacing w:val="-6"/>
          <w:w w:val="105"/>
          <w:sz w:val="10"/>
        </w:rPr>
        <w:t xml:space="preserve"> </w:t>
      </w:r>
      <w:r>
        <w:rPr>
          <w:w w:val="105"/>
          <w:sz w:val="10"/>
        </w:rPr>
        <w:t>étnicas,</w:t>
      </w:r>
      <w:r>
        <w:rPr>
          <w:spacing w:val="-5"/>
          <w:w w:val="105"/>
          <w:sz w:val="10"/>
        </w:rPr>
        <w:t xml:space="preserve"> </w:t>
      </w:r>
      <w:r>
        <w:rPr>
          <w:w w:val="105"/>
          <w:sz w:val="10"/>
        </w:rPr>
        <w:t>religiosas</w:t>
      </w:r>
      <w:r>
        <w:rPr>
          <w:spacing w:val="-6"/>
          <w:w w:val="105"/>
          <w:sz w:val="10"/>
        </w:rPr>
        <w:t xml:space="preserve"> </w:t>
      </w:r>
      <w:r>
        <w:rPr>
          <w:w w:val="105"/>
          <w:sz w:val="10"/>
        </w:rPr>
        <w:t>y</w:t>
      </w:r>
    </w:p>
    <w:p w14:paraId="72F507FA" w14:textId="77777777" w:rsidR="0014798C" w:rsidRDefault="004E1F0B">
      <w:pPr>
        <w:spacing w:before="2" w:line="374" w:lineRule="auto"/>
        <w:ind w:left="1365" w:right="1463" w:firstLine="1"/>
        <w:rPr>
          <w:sz w:val="10"/>
        </w:rPr>
      </w:pPr>
      <w:r>
        <w:rPr>
          <w:w w:val="105"/>
          <w:sz w:val="10"/>
        </w:rPr>
        <w:t>lingüísticas,</w:t>
      </w:r>
      <w:r>
        <w:rPr>
          <w:spacing w:val="-6"/>
          <w:w w:val="105"/>
          <w:sz w:val="10"/>
        </w:rPr>
        <w:t xml:space="preserve"> </w:t>
      </w:r>
      <w:r>
        <w:rPr>
          <w:w w:val="105"/>
          <w:sz w:val="10"/>
        </w:rPr>
        <w:t>los</w:t>
      </w:r>
      <w:r>
        <w:rPr>
          <w:spacing w:val="-7"/>
          <w:w w:val="105"/>
          <w:sz w:val="10"/>
        </w:rPr>
        <w:t xml:space="preserve"> </w:t>
      </w:r>
      <w:r>
        <w:rPr>
          <w:w w:val="105"/>
          <w:sz w:val="10"/>
        </w:rPr>
        <w:t>tres</w:t>
      </w:r>
      <w:r>
        <w:rPr>
          <w:spacing w:val="-7"/>
          <w:w w:val="105"/>
          <w:sz w:val="10"/>
        </w:rPr>
        <w:t xml:space="preserve"> </w:t>
      </w:r>
      <w:r>
        <w:rPr>
          <w:w w:val="105"/>
          <w:sz w:val="10"/>
        </w:rPr>
        <w:t>principios</w:t>
      </w:r>
      <w:r>
        <w:rPr>
          <w:spacing w:val="-7"/>
          <w:w w:val="105"/>
          <w:sz w:val="10"/>
        </w:rPr>
        <w:t xml:space="preserve"> </w:t>
      </w:r>
      <w:r>
        <w:rPr>
          <w:w w:val="105"/>
          <w:sz w:val="10"/>
        </w:rPr>
        <w:t>del</w:t>
      </w:r>
      <w:r>
        <w:rPr>
          <w:spacing w:val="-7"/>
          <w:w w:val="105"/>
          <w:sz w:val="10"/>
        </w:rPr>
        <w:t xml:space="preserve"> </w:t>
      </w:r>
      <w:r>
        <w:rPr>
          <w:w w:val="105"/>
          <w:sz w:val="10"/>
        </w:rPr>
        <w:t>idioma</w:t>
      </w:r>
      <w:r>
        <w:rPr>
          <w:spacing w:val="-7"/>
          <w:w w:val="105"/>
          <w:sz w:val="10"/>
        </w:rPr>
        <w:t xml:space="preserve"> </w:t>
      </w:r>
      <w:r>
        <w:rPr>
          <w:w w:val="105"/>
          <w:sz w:val="10"/>
        </w:rPr>
        <w:t>y</w:t>
      </w:r>
      <w:r>
        <w:rPr>
          <w:spacing w:val="-7"/>
          <w:w w:val="105"/>
          <w:sz w:val="10"/>
        </w:rPr>
        <w:t xml:space="preserve"> </w:t>
      </w:r>
      <w:r>
        <w:rPr>
          <w:w w:val="105"/>
          <w:sz w:val="10"/>
        </w:rPr>
        <w:t>la</w:t>
      </w:r>
      <w:r>
        <w:rPr>
          <w:spacing w:val="-7"/>
          <w:w w:val="105"/>
          <w:sz w:val="10"/>
        </w:rPr>
        <w:t xml:space="preserve"> </w:t>
      </w:r>
      <w:r>
        <w:rPr>
          <w:w w:val="105"/>
          <w:sz w:val="10"/>
        </w:rPr>
        <w:t>educación</w:t>
      </w:r>
      <w:r>
        <w:rPr>
          <w:spacing w:val="-7"/>
          <w:w w:val="105"/>
          <w:sz w:val="10"/>
        </w:rPr>
        <w:t xml:space="preserve"> </w:t>
      </w:r>
      <w:r>
        <w:rPr>
          <w:w w:val="105"/>
          <w:sz w:val="10"/>
        </w:rPr>
        <w:t>(</w:t>
      </w:r>
      <w:r>
        <w:rPr>
          <w:spacing w:val="-7"/>
          <w:w w:val="105"/>
          <w:sz w:val="10"/>
        </w:rPr>
        <w:t xml:space="preserve"> </w:t>
      </w:r>
      <w:r>
        <w:rPr>
          <w:w w:val="105"/>
          <w:sz w:val="10"/>
        </w:rPr>
        <w:t>UNESCO),</w:t>
      </w:r>
      <w:r>
        <w:rPr>
          <w:spacing w:val="-7"/>
          <w:w w:val="105"/>
          <w:sz w:val="10"/>
        </w:rPr>
        <w:t xml:space="preserve"> </w:t>
      </w:r>
      <w:r>
        <w:rPr>
          <w:w w:val="105"/>
          <w:sz w:val="10"/>
        </w:rPr>
        <w:t>las</w:t>
      </w:r>
      <w:r>
        <w:rPr>
          <w:spacing w:val="-7"/>
          <w:w w:val="105"/>
          <w:sz w:val="10"/>
        </w:rPr>
        <w:t xml:space="preserve"> </w:t>
      </w:r>
      <w:r>
        <w:rPr>
          <w:w w:val="105"/>
          <w:sz w:val="10"/>
        </w:rPr>
        <w:t>diversas</w:t>
      </w:r>
      <w:r>
        <w:rPr>
          <w:spacing w:val="-7"/>
          <w:w w:val="105"/>
          <w:sz w:val="10"/>
        </w:rPr>
        <w:t xml:space="preserve"> </w:t>
      </w:r>
      <w:r>
        <w:rPr>
          <w:w w:val="105"/>
          <w:sz w:val="10"/>
        </w:rPr>
        <w:t>recomendaciones</w:t>
      </w:r>
      <w:r>
        <w:rPr>
          <w:spacing w:val="-7"/>
          <w:w w:val="105"/>
          <w:sz w:val="10"/>
        </w:rPr>
        <w:t xml:space="preserve"> </w:t>
      </w:r>
      <w:r>
        <w:rPr>
          <w:w w:val="105"/>
          <w:sz w:val="10"/>
        </w:rPr>
        <w:t>del</w:t>
      </w:r>
      <w:r>
        <w:rPr>
          <w:spacing w:val="-7"/>
          <w:w w:val="105"/>
          <w:sz w:val="10"/>
        </w:rPr>
        <w:t xml:space="preserve"> </w:t>
      </w:r>
      <w:r>
        <w:rPr>
          <w:w w:val="105"/>
          <w:sz w:val="10"/>
        </w:rPr>
        <w:t>Foro</w:t>
      </w:r>
      <w:r>
        <w:rPr>
          <w:spacing w:val="-7"/>
          <w:w w:val="105"/>
          <w:sz w:val="10"/>
        </w:rPr>
        <w:t xml:space="preserve"> </w:t>
      </w:r>
      <w:r>
        <w:rPr>
          <w:w w:val="105"/>
          <w:sz w:val="10"/>
        </w:rPr>
        <w:t>sobre</w:t>
      </w:r>
      <w:r>
        <w:rPr>
          <w:spacing w:val="-7"/>
          <w:w w:val="105"/>
          <w:sz w:val="10"/>
        </w:rPr>
        <w:t xml:space="preserve"> </w:t>
      </w:r>
      <w:r>
        <w:rPr>
          <w:w w:val="105"/>
          <w:sz w:val="10"/>
        </w:rPr>
        <w:t>Cuestiones</w:t>
      </w:r>
      <w:r>
        <w:rPr>
          <w:spacing w:val="-7"/>
          <w:w w:val="105"/>
          <w:sz w:val="10"/>
        </w:rPr>
        <w:t xml:space="preserve"> </w:t>
      </w:r>
      <w:r>
        <w:rPr>
          <w:w w:val="105"/>
          <w:sz w:val="10"/>
        </w:rPr>
        <w:t>de</w:t>
      </w:r>
      <w:r>
        <w:rPr>
          <w:spacing w:val="-7"/>
          <w:w w:val="105"/>
          <w:sz w:val="10"/>
        </w:rPr>
        <w:t xml:space="preserve"> </w:t>
      </w:r>
      <w:r>
        <w:rPr>
          <w:w w:val="105"/>
          <w:sz w:val="10"/>
        </w:rPr>
        <w:t>las</w:t>
      </w:r>
      <w:r>
        <w:rPr>
          <w:spacing w:val="-7"/>
          <w:w w:val="105"/>
          <w:sz w:val="10"/>
        </w:rPr>
        <w:t xml:space="preserve"> </w:t>
      </w:r>
      <w:r>
        <w:rPr>
          <w:w w:val="105"/>
          <w:sz w:val="10"/>
        </w:rPr>
        <w:t>Minorías</w:t>
      </w:r>
      <w:r>
        <w:rPr>
          <w:spacing w:val="-7"/>
          <w:w w:val="105"/>
          <w:sz w:val="10"/>
        </w:rPr>
        <w:t xml:space="preserve"> </w:t>
      </w:r>
      <w:r>
        <w:rPr>
          <w:w w:val="105"/>
          <w:sz w:val="10"/>
        </w:rPr>
        <w:t>sobre</w:t>
      </w:r>
      <w:r>
        <w:rPr>
          <w:spacing w:val="-7"/>
          <w:w w:val="105"/>
          <w:sz w:val="10"/>
        </w:rPr>
        <w:t xml:space="preserve"> </w:t>
      </w:r>
      <w:r>
        <w:rPr>
          <w:w w:val="105"/>
          <w:sz w:val="10"/>
        </w:rPr>
        <w:t>la</w:t>
      </w:r>
      <w:r>
        <w:rPr>
          <w:spacing w:val="-7"/>
          <w:w w:val="105"/>
          <w:sz w:val="10"/>
        </w:rPr>
        <w:t xml:space="preserve"> </w:t>
      </w:r>
      <w:r>
        <w:rPr>
          <w:w w:val="105"/>
          <w:sz w:val="10"/>
        </w:rPr>
        <w:t>aplicación</w:t>
      </w:r>
      <w:r>
        <w:rPr>
          <w:spacing w:val="-7"/>
          <w:w w:val="105"/>
          <w:sz w:val="10"/>
        </w:rPr>
        <w:t xml:space="preserve"> </w:t>
      </w:r>
      <w:r>
        <w:rPr>
          <w:w w:val="105"/>
          <w:sz w:val="10"/>
        </w:rPr>
        <w:t>de</w:t>
      </w:r>
      <w:r>
        <w:rPr>
          <w:spacing w:val="-7"/>
          <w:w w:val="105"/>
          <w:sz w:val="10"/>
        </w:rPr>
        <w:t xml:space="preserve"> </w:t>
      </w:r>
      <w:r>
        <w:rPr>
          <w:w w:val="105"/>
          <w:sz w:val="10"/>
        </w:rPr>
        <w:t>la</w:t>
      </w:r>
      <w:r>
        <w:rPr>
          <w:spacing w:val="-7"/>
          <w:w w:val="105"/>
          <w:sz w:val="10"/>
        </w:rPr>
        <w:t xml:space="preserve"> </w:t>
      </w:r>
      <w:r>
        <w:rPr>
          <w:w w:val="105"/>
          <w:sz w:val="10"/>
        </w:rPr>
        <w:t>Declaración</w:t>
      </w:r>
      <w:r>
        <w:rPr>
          <w:spacing w:val="-7"/>
          <w:w w:val="105"/>
          <w:sz w:val="10"/>
        </w:rPr>
        <w:t xml:space="preserve"> </w:t>
      </w:r>
      <w:r>
        <w:rPr>
          <w:w w:val="105"/>
          <w:sz w:val="10"/>
        </w:rPr>
        <w:t>sobre</w:t>
      </w:r>
      <w:r>
        <w:rPr>
          <w:spacing w:val="-7"/>
          <w:w w:val="105"/>
          <w:sz w:val="10"/>
        </w:rPr>
        <w:t xml:space="preserve"> </w:t>
      </w:r>
      <w:r>
        <w:rPr>
          <w:w w:val="105"/>
          <w:sz w:val="10"/>
        </w:rPr>
        <w:t>los</w:t>
      </w:r>
      <w:r>
        <w:rPr>
          <w:spacing w:val="40"/>
          <w:w w:val="105"/>
          <w:sz w:val="10"/>
        </w:rPr>
        <w:t xml:space="preserve"> </w:t>
      </w:r>
      <w:r>
        <w:rPr>
          <w:w w:val="105"/>
          <w:sz w:val="10"/>
        </w:rPr>
        <w:t>derechos</w:t>
      </w:r>
      <w:r>
        <w:rPr>
          <w:spacing w:val="-8"/>
          <w:w w:val="105"/>
          <w:sz w:val="10"/>
        </w:rPr>
        <w:t xml:space="preserve"> </w:t>
      </w:r>
      <w:r>
        <w:rPr>
          <w:w w:val="105"/>
          <w:sz w:val="10"/>
        </w:rPr>
        <w:t>de</w:t>
      </w:r>
      <w:r>
        <w:rPr>
          <w:spacing w:val="-7"/>
          <w:w w:val="105"/>
          <w:sz w:val="10"/>
        </w:rPr>
        <w:t xml:space="preserve"> </w:t>
      </w:r>
      <w:r>
        <w:rPr>
          <w:w w:val="105"/>
          <w:sz w:val="10"/>
        </w:rPr>
        <w:t>las</w:t>
      </w:r>
      <w:r>
        <w:rPr>
          <w:spacing w:val="-7"/>
          <w:w w:val="105"/>
          <w:sz w:val="10"/>
        </w:rPr>
        <w:t xml:space="preserve"> </w:t>
      </w:r>
      <w:r>
        <w:rPr>
          <w:w w:val="105"/>
          <w:sz w:val="10"/>
        </w:rPr>
        <w:t>personas</w:t>
      </w:r>
      <w:r>
        <w:rPr>
          <w:spacing w:val="-7"/>
          <w:w w:val="105"/>
          <w:sz w:val="10"/>
        </w:rPr>
        <w:t xml:space="preserve"> </w:t>
      </w:r>
      <w:r>
        <w:rPr>
          <w:w w:val="105"/>
          <w:sz w:val="10"/>
        </w:rPr>
        <w:t>pertenecientes</w:t>
      </w:r>
      <w:r>
        <w:rPr>
          <w:spacing w:val="-8"/>
          <w:w w:val="105"/>
          <w:sz w:val="10"/>
        </w:rPr>
        <w:t xml:space="preserve"> </w:t>
      </w:r>
      <w:r>
        <w:rPr>
          <w:w w:val="105"/>
          <w:sz w:val="10"/>
        </w:rPr>
        <w:t>a</w:t>
      </w:r>
      <w:r>
        <w:rPr>
          <w:spacing w:val="-7"/>
          <w:w w:val="105"/>
          <w:sz w:val="10"/>
        </w:rPr>
        <w:t xml:space="preserve"> </w:t>
      </w:r>
      <w:r>
        <w:rPr>
          <w:w w:val="105"/>
          <w:sz w:val="10"/>
        </w:rPr>
        <w:t>minorías</w:t>
      </w:r>
      <w:r>
        <w:rPr>
          <w:spacing w:val="-7"/>
          <w:w w:val="105"/>
          <w:sz w:val="10"/>
        </w:rPr>
        <w:t xml:space="preserve"> </w:t>
      </w:r>
      <w:r>
        <w:rPr>
          <w:w w:val="105"/>
          <w:sz w:val="10"/>
        </w:rPr>
        <w:t>nacionales</w:t>
      </w:r>
      <w:r>
        <w:rPr>
          <w:spacing w:val="-7"/>
          <w:w w:val="105"/>
          <w:sz w:val="10"/>
        </w:rPr>
        <w:t xml:space="preserve"> </w:t>
      </w:r>
      <w:r>
        <w:rPr>
          <w:w w:val="105"/>
          <w:sz w:val="10"/>
        </w:rPr>
        <w:t>o</w:t>
      </w:r>
      <w:r>
        <w:rPr>
          <w:spacing w:val="-8"/>
          <w:w w:val="105"/>
          <w:sz w:val="10"/>
        </w:rPr>
        <w:t xml:space="preserve"> </w:t>
      </w:r>
      <w:r>
        <w:rPr>
          <w:w w:val="105"/>
          <w:sz w:val="10"/>
        </w:rPr>
        <w:t>étnicas,</w:t>
      </w:r>
      <w:r>
        <w:rPr>
          <w:spacing w:val="-6"/>
          <w:w w:val="105"/>
          <w:sz w:val="10"/>
        </w:rPr>
        <w:t xml:space="preserve"> </w:t>
      </w:r>
      <w:r>
        <w:rPr>
          <w:w w:val="105"/>
          <w:sz w:val="10"/>
        </w:rPr>
        <w:t>religiosas</w:t>
      </w:r>
      <w:r>
        <w:rPr>
          <w:spacing w:val="-7"/>
          <w:w w:val="105"/>
          <w:sz w:val="10"/>
        </w:rPr>
        <w:t xml:space="preserve"> </w:t>
      </w:r>
      <w:r>
        <w:rPr>
          <w:w w:val="105"/>
          <w:sz w:val="10"/>
        </w:rPr>
        <w:t>y</w:t>
      </w:r>
      <w:r>
        <w:rPr>
          <w:spacing w:val="-8"/>
          <w:w w:val="105"/>
          <w:sz w:val="10"/>
        </w:rPr>
        <w:t xml:space="preserve"> </w:t>
      </w:r>
      <w:r>
        <w:rPr>
          <w:w w:val="105"/>
          <w:sz w:val="10"/>
        </w:rPr>
        <w:t>lingüísticas,</w:t>
      </w:r>
      <w:r>
        <w:rPr>
          <w:spacing w:val="-6"/>
          <w:w w:val="105"/>
          <w:sz w:val="10"/>
        </w:rPr>
        <w:t xml:space="preserve"> </w:t>
      </w:r>
      <w:r>
        <w:rPr>
          <w:w w:val="105"/>
          <w:sz w:val="10"/>
        </w:rPr>
        <w:t>comentario</w:t>
      </w:r>
      <w:r>
        <w:rPr>
          <w:spacing w:val="-7"/>
          <w:w w:val="105"/>
          <w:sz w:val="10"/>
        </w:rPr>
        <w:t xml:space="preserve"> </w:t>
      </w:r>
      <w:r>
        <w:rPr>
          <w:w w:val="105"/>
          <w:sz w:val="10"/>
        </w:rPr>
        <w:t>temático</w:t>
      </w:r>
      <w:r>
        <w:rPr>
          <w:spacing w:val="-8"/>
          <w:w w:val="105"/>
          <w:sz w:val="10"/>
        </w:rPr>
        <w:t xml:space="preserve"> </w:t>
      </w:r>
      <w:proofErr w:type="spellStart"/>
      <w:r>
        <w:rPr>
          <w:w w:val="105"/>
          <w:sz w:val="10"/>
        </w:rPr>
        <w:t>nº</w:t>
      </w:r>
      <w:proofErr w:type="spellEnd"/>
      <w:r>
        <w:rPr>
          <w:spacing w:val="-7"/>
          <w:w w:val="105"/>
          <w:sz w:val="10"/>
        </w:rPr>
        <w:t xml:space="preserve"> </w:t>
      </w:r>
      <w:r>
        <w:rPr>
          <w:w w:val="105"/>
          <w:sz w:val="10"/>
        </w:rPr>
        <w:t>3</w:t>
      </w:r>
      <w:r>
        <w:rPr>
          <w:spacing w:val="-7"/>
          <w:w w:val="105"/>
          <w:sz w:val="10"/>
        </w:rPr>
        <w:t xml:space="preserve"> </w:t>
      </w:r>
      <w:r>
        <w:rPr>
          <w:w w:val="105"/>
          <w:sz w:val="10"/>
        </w:rPr>
        <w:t>del</w:t>
      </w:r>
      <w:r>
        <w:rPr>
          <w:spacing w:val="-7"/>
          <w:w w:val="105"/>
          <w:sz w:val="10"/>
        </w:rPr>
        <w:t xml:space="preserve"> </w:t>
      </w:r>
      <w:r>
        <w:rPr>
          <w:w w:val="105"/>
          <w:sz w:val="10"/>
        </w:rPr>
        <w:t>Comité</w:t>
      </w:r>
      <w:r>
        <w:rPr>
          <w:spacing w:val="-8"/>
          <w:w w:val="105"/>
          <w:sz w:val="10"/>
        </w:rPr>
        <w:t xml:space="preserve"> </w:t>
      </w:r>
      <w:r>
        <w:rPr>
          <w:w w:val="105"/>
          <w:sz w:val="10"/>
        </w:rPr>
        <w:t>Asesor</w:t>
      </w:r>
      <w:r>
        <w:rPr>
          <w:spacing w:val="-7"/>
          <w:w w:val="105"/>
          <w:sz w:val="10"/>
        </w:rPr>
        <w:t xml:space="preserve"> </w:t>
      </w:r>
      <w:r>
        <w:rPr>
          <w:w w:val="105"/>
          <w:sz w:val="10"/>
        </w:rPr>
        <w:t>del</w:t>
      </w:r>
      <w:r>
        <w:rPr>
          <w:spacing w:val="-7"/>
          <w:w w:val="105"/>
          <w:sz w:val="10"/>
        </w:rPr>
        <w:t xml:space="preserve"> </w:t>
      </w:r>
      <w:r>
        <w:rPr>
          <w:w w:val="105"/>
          <w:sz w:val="10"/>
        </w:rPr>
        <w:t>Consejo</w:t>
      </w:r>
      <w:r>
        <w:rPr>
          <w:spacing w:val="-7"/>
          <w:w w:val="105"/>
          <w:sz w:val="10"/>
        </w:rPr>
        <w:t xml:space="preserve"> </w:t>
      </w:r>
      <w:r>
        <w:rPr>
          <w:w w:val="105"/>
          <w:sz w:val="10"/>
        </w:rPr>
        <w:t>de</w:t>
      </w:r>
      <w:r>
        <w:rPr>
          <w:spacing w:val="-8"/>
          <w:w w:val="105"/>
          <w:sz w:val="10"/>
        </w:rPr>
        <w:t xml:space="preserve"> </w:t>
      </w:r>
      <w:r>
        <w:rPr>
          <w:w w:val="105"/>
          <w:sz w:val="10"/>
        </w:rPr>
        <w:t>Europa</w:t>
      </w:r>
      <w:r>
        <w:rPr>
          <w:spacing w:val="-7"/>
          <w:w w:val="105"/>
          <w:sz w:val="10"/>
        </w:rPr>
        <w:t xml:space="preserve"> </w:t>
      </w:r>
      <w:r>
        <w:rPr>
          <w:w w:val="105"/>
          <w:sz w:val="10"/>
        </w:rPr>
        <w:t>sobre</w:t>
      </w:r>
      <w:r>
        <w:rPr>
          <w:spacing w:val="-7"/>
          <w:w w:val="105"/>
          <w:sz w:val="10"/>
        </w:rPr>
        <w:t xml:space="preserve"> </w:t>
      </w:r>
      <w:r>
        <w:rPr>
          <w:w w:val="105"/>
          <w:sz w:val="10"/>
        </w:rPr>
        <w:t>el</w:t>
      </w:r>
      <w:r>
        <w:rPr>
          <w:spacing w:val="-7"/>
          <w:w w:val="105"/>
          <w:sz w:val="10"/>
        </w:rPr>
        <w:t xml:space="preserve"> </w:t>
      </w:r>
      <w:r>
        <w:rPr>
          <w:w w:val="105"/>
          <w:sz w:val="10"/>
        </w:rPr>
        <w:t>Convenio</w:t>
      </w:r>
      <w:r>
        <w:rPr>
          <w:spacing w:val="-8"/>
          <w:w w:val="105"/>
          <w:sz w:val="10"/>
        </w:rPr>
        <w:t xml:space="preserve"> </w:t>
      </w:r>
      <w:r>
        <w:rPr>
          <w:w w:val="105"/>
          <w:sz w:val="10"/>
        </w:rPr>
        <w:t>Marco</w:t>
      </w:r>
      <w:r>
        <w:rPr>
          <w:spacing w:val="40"/>
          <w:w w:val="105"/>
          <w:sz w:val="10"/>
        </w:rPr>
        <w:t xml:space="preserve"> </w:t>
      </w:r>
      <w:r>
        <w:rPr>
          <w:w w:val="105"/>
          <w:sz w:val="10"/>
        </w:rPr>
        <w:t>para</w:t>
      </w:r>
      <w:r>
        <w:rPr>
          <w:spacing w:val="-6"/>
          <w:w w:val="105"/>
          <w:sz w:val="10"/>
        </w:rPr>
        <w:t xml:space="preserve"> </w:t>
      </w:r>
      <w:r>
        <w:rPr>
          <w:w w:val="105"/>
          <w:sz w:val="10"/>
        </w:rPr>
        <w:t>la</w:t>
      </w:r>
      <w:r>
        <w:rPr>
          <w:spacing w:val="-6"/>
          <w:w w:val="105"/>
          <w:sz w:val="10"/>
        </w:rPr>
        <w:t xml:space="preserve"> </w:t>
      </w:r>
      <w:r>
        <w:rPr>
          <w:w w:val="105"/>
          <w:sz w:val="10"/>
        </w:rPr>
        <w:t>Protección</w:t>
      </w:r>
      <w:r>
        <w:rPr>
          <w:spacing w:val="-6"/>
          <w:w w:val="105"/>
          <w:sz w:val="10"/>
        </w:rPr>
        <w:t xml:space="preserve"> </w:t>
      </w:r>
      <w:r>
        <w:rPr>
          <w:w w:val="105"/>
          <w:sz w:val="10"/>
        </w:rPr>
        <w:t>de</w:t>
      </w:r>
      <w:r>
        <w:rPr>
          <w:spacing w:val="-6"/>
          <w:w w:val="105"/>
          <w:sz w:val="10"/>
        </w:rPr>
        <w:t xml:space="preserve"> </w:t>
      </w:r>
      <w:r>
        <w:rPr>
          <w:w w:val="105"/>
          <w:sz w:val="10"/>
        </w:rPr>
        <w:t>las</w:t>
      </w:r>
      <w:r>
        <w:rPr>
          <w:spacing w:val="-6"/>
          <w:w w:val="105"/>
          <w:sz w:val="10"/>
        </w:rPr>
        <w:t xml:space="preserve"> </w:t>
      </w:r>
      <w:r>
        <w:rPr>
          <w:w w:val="105"/>
          <w:sz w:val="10"/>
        </w:rPr>
        <w:t>Minorías</w:t>
      </w:r>
      <w:r>
        <w:rPr>
          <w:spacing w:val="-6"/>
          <w:w w:val="105"/>
          <w:sz w:val="10"/>
        </w:rPr>
        <w:t xml:space="preserve"> </w:t>
      </w:r>
      <w:r>
        <w:rPr>
          <w:w w:val="105"/>
          <w:sz w:val="10"/>
        </w:rPr>
        <w:t>Nacionales</w:t>
      </w:r>
      <w:r>
        <w:rPr>
          <w:spacing w:val="-6"/>
          <w:w w:val="105"/>
          <w:sz w:val="10"/>
        </w:rPr>
        <w:t xml:space="preserve"> </w:t>
      </w:r>
      <w:r>
        <w:rPr>
          <w:w w:val="105"/>
          <w:sz w:val="10"/>
        </w:rPr>
        <w:t>y</w:t>
      </w:r>
      <w:r>
        <w:rPr>
          <w:spacing w:val="-6"/>
          <w:w w:val="105"/>
          <w:sz w:val="10"/>
        </w:rPr>
        <w:t xml:space="preserve"> </w:t>
      </w:r>
      <w:r>
        <w:rPr>
          <w:w w:val="105"/>
          <w:sz w:val="10"/>
        </w:rPr>
        <w:t>las</w:t>
      </w:r>
      <w:r>
        <w:rPr>
          <w:spacing w:val="-6"/>
          <w:w w:val="105"/>
          <w:sz w:val="10"/>
        </w:rPr>
        <w:t xml:space="preserve"> </w:t>
      </w:r>
      <w:r>
        <w:rPr>
          <w:w w:val="105"/>
          <w:sz w:val="10"/>
        </w:rPr>
        <w:t>recomendaciones</w:t>
      </w:r>
      <w:r>
        <w:rPr>
          <w:spacing w:val="-6"/>
          <w:w w:val="105"/>
          <w:sz w:val="10"/>
        </w:rPr>
        <w:t xml:space="preserve"> </w:t>
      </w:r>
      <w:r>
        <w:rPr>
          <w:w w:val="105"/>
          <w:sz w:val="10"/>
        </w:rPr>
        <w:t>de</w:t>
      </w:r>
      <w:r>
        <w:rPr>
          <w:spacing w:val="-6"/>
          <w:w w:val="105"/>
          <w:sz w:val="10"/>
        </w:rPr>
        <w:t xml:space="preserve"> </w:t>
      </w:r>
      <w:r>
        <w:rPr>
          <w:w w:val="105"/>
          <w:sz w:val="10"/>
        </w:rPr>
        <w:t>Oslo</w:t>
      </w:r>
      <w:r>
        <w:rPr>
          <w:spacing w:val="-6"/>
          <w:w w:val="105"/>
          <w:sz w:val="10"/>
        </w:rPr>
        <w:t xml:space="preserve"> </w:t>
      </w:r>
      <w:r>
        <w:rPr>
          <w:w w:val="105"/>
          <w:sz w:val="10"/>
        </w:rPr>
        <w:t>sobre</w:t>
      </w:r>
      <w:r>
        <w:rPr>
          <w:spacing w:val="-6"/>
          <w:w w:val="105"/>
          <w:sz w:val="10"/>
        </w:rPr>
        <w:t xml:space="preserve"> </w:t>
      </w:r>
      <w:r>
        <w:rPr>
          <w:w w:val="105"/>
          <w:sz w:val="10"/>
        </w:rPr>
        <w:t>los</w:t>
      </w:r>
      <w:r>
        <w:rPr>
          <w:spacing w:val="-6"/>
          <w:w w:val="105"/>
          <w:sz w:val="10"/>
        </w:rPr>
        <w:t xml:space="preserve"> </w:t>
      </w:r>
      <w:r>
        <w:rPr>
          <w:w w:val="105"/>
          <w:sz w:val="10"/>
        </w:rPr>
        <w:t>derechos</w:t>
      </w:r>
      <w:r>
        <w:rPr>
          <w:spacing w:val="-6"/>
          <w:w w:val="105"/>
          <w:sz w:val="10"/>
        </w:rPr>
        <w:t xml:space="preserve"> </w:t>
      </w:r>
      <w:r>
        <w:rPr>
          <w:w w:val="105"/>
          <w:sz w:val="10"/>
        </w:rPr>
        <w:t>lingüísticos</w:t>
      </w:r>
      <w:r>
        <w:rPr>
          <w:spacing w:val="-6"/>
          <w:w w:val="105"/>
          <w:sz w:val="10"/>
        </w:rPr>
        <w:t xml:space="preserve"> </w:t>
      </w:r>
      <w:r>
        <w:rPr>
          <w:w w:val="105"/>
          <w:sz w:val="10"/>
        </w:rPr>
        <w:t>de</w:t>
      </w:r>
      <w:r>
        <w:rPr>
          <w:spacing w:val="-6"/>
          <w:w w:val="105"/>
          <w:sz w:val="10"/>
        </w:rPr>
        <w:t xml:space="preserve"> </w:t>
      </w:r>
      <w:r>
        <w:rPr>
          <w:w w:val="105"/>
          <w:sz w:val="10"/>
        </w:rPr>
        <w:t>las</w:t>
      </w:r>
      <w:r>
        <w:rPr>
          <w:spacing w:val="-6"/>
          <w:w w:val="105"/>
          <w:sz w:val="10"/>
        </w:rPr>
        <w:t xml:space="preserve"> </w:t>
      </w:r>
      <w:r>
        <w:rPr>
          <w:w w:val="105"/>
          <w:sz w:val="10"/>
        </w:rPr>
        <w:t>minorías</w:t>
      </w:r>
      <w:r>
        <w:rPr>
          <w:spacing w:val="-6"/>
          <w:w w:val="105"/>
          <w:sz w:val="10"/>
        </w:rPr>
        <w:t xml:space="preserve"> </w:t>
      </w:r>
      <w:r>
        <w:rPr>
          <w:w w:val="105"/>
          <w:sz w:val="10"/>
        </w:rPr>
        <w:t>nacionales</w:t>
      </w:r>
      <w:r>
        <w:rPr>
          <w:spacing w:val="-6"/>
          <w:w w:val="105"/>
          <w:sz w:val="10"/>
        </w:rPr>
        <w:t xml:space="preserve"> </w:t>
      </w:r>
      <w:r>
        <w:rPr>
          <w:w w:val="105"/>
          <w:sz w:val="10"/>
        </w:rPr>
        <w:t>(Organización</w:t>
      </w:r>
      <w:r>
        <w:rPr>
          <w:spacing w:val="-6"/>
          <w:w w:val="105"/>
          <w:sz w:val="10"/>
        </w:rPr>
        <w:t xml:space="preserve"> </w:t>
      </w:r>
      <w:r>
        <w:rPr>
          <w:w w:val="105"/>
          <w:sz w:val="10"/>
        </w:rPr>
        <w:t>para</w:t>
      </w:r>
      <w:r>
        <w:rPr>
          <w:spacing w:val="-6"/>
          <w:w w:val="105"/>
          <w:sz w:val="10"/>
        </w:rPr>
        <w:t xml:space="preserve"> </w:t>
      </w:r>
      <w:r>
        <w:rPr>
          <w:w w:val="105"/>
          <w:sz w:val="10"/>
        </w:rPr>
        <w:t>la</w:t>
      </w:r>
      <w:r>
        <w:rPr>
          <w:spacing w:val="-6"/>
          <w:w w:val="105"/>
          <w:sz w:val="10"/>
        </w:rPr>
        <w:t xml:space="preserve"> </w:t>
      </w:r>
      <w:r>
        <w:rPr>
          <w:w w:val="105"/>
          <w:sz w:val="10"/>
        </w:rPr>
        <w:t>Seguridad</w:t>
      </w:r>
      <w:r>
        <w:rPr>
          <w:spacing w:val="-6"/>
          <w:w w:val="105"/>
          <w:sz w:val="10"/>
        </w:rPr>
        <w:t xml:space="preserve"> </w:t>
      </w:r>
      <w:r>
        <w:rPr>
          <w:w w:val="105"/>
          <w:sz w:val="10"/>
        </w:rPr>
        <w:t>y</w:t>
      </w:r>
      <w:r>
        <w:rPr>
          <w:spacing w:val="-6"/>
          <w:w w:val="105"/>
          <w:sz w:val="10"/>
        </w:rPr>
        <w:t xml:space="preserve"> </w:t>
      </w:r>
      <w:r>
        <w:rPr>
          <w:w w:val="105"/>
          <w:sz w:val="10"/>
        </w:rPr>
        <w:t>la</w:t>
      </w:r>
      <w:r>
        <w:rPr>
          <w:spacing w:val="-6"/>
          <w:w w:val="105"/>
          <w:sz w:val="10"/>
        </w:rPr>
        <w:t xml:space="preserve"> </w:t>
      </w:r>
      <w:r>
        <w:rPr>
          <w:w w:val="105"/>
          <w:sz w:val="10"/>
        </w:rPr>
        <w:t>Cooperación</w:t>
      </w:r>
      <w:r>
        <w:rPr>
          <w:spacing w:val="-6"/>
          <w:w w:val="105"/>
          <w:sz w:val="10"/>
        </w:rPr>
        <w:t xml:space="preserve"> </w:t>
      </w:r>
      <w:r>
        <w:rPr>
          <w:w w:val="105"/>
          <w:sz w:val="10"/>
        </w:rPr>
        <w:t>en</w:t>
      </w:r>
      <w:r>
        <w:rPr>
          <w:spacing w:val="40"/>
          <w:w w:val="105"/>
          <w:sz w:val="10"/>
        </w:rPr>
        <w:t xml:space="preserve"> </w:t>
      </w:r>
      <w:r>
        <w:rPr>
          <w:spacing w:val="-2"/>
          <w:w w:val="105"/>
          <w:sz w:val="10"/>
        </w:rPr>
        <w:t>Europa).</w:t>
      </w:r>
    </w:p>
    <w:p w14:paraId="3D3FF5BC" w14:textId="77777777" w:rsidR="0014798C" w:rsidRDefault="0014798C">
      <w:pPr>
        <w:pStyle w:val="Textoindependiente"/>
        <w:spacing w:before="43"/>
        <w:rPr>
          <w:sz w:val="12"/>
        </w:rPr>
      </w:pPr>
    </w:p>
    <w:p w14:paraId="59C30722" w14:textId="77777777" w:rsidR="0014798C" w:rsidRDefault="004E1F0B">
      <w:pPr>
        <w:spacing w:line="312" w:lineRule="auto"/>
        <w:ind w:left="1366" w:right="1272" w:hanging="255"/>
        <w:rPr>
          <w:sz w:val="12"/>
        </w:rPr>
      </w:pPr>
      <w:r>
        <w:rPr>
          <w:w w:val="105"/>
          <w:sz w:val="12"/>
          <w:vertAlign w:val="superscript"/>
        </w:rPr>
        <w:t>1062</w:t>
      </w:r>
      <w:r>
        <w:rPr>
          <w:spacing w:val="23"/>
          <w:w w:val="105"/>
          <w:sz w:val="12"/>
        </w:rPr>
        <w:t xml:space="preserve"> </w:t>
      </w:r>
      <w:r>
        <w:rPr>
          <w:w w:val="105"/>
          <w:sz w:val="12"/>
        </w:rPr>
        <w:t>Véase,</w:t>
      </w:r>
      <w:r>
        <w:rPr>
          <w:spacing w:val="-6"/>
          <w:w w:val="105"/>
          <w:sz w:val="12"/>
        </w:rPr>
        <w:t xml:space="preserve"> </w:t>
      </w:r>
      <w:r>
        <w:rPr>
          <w:w w:val="105"/>
          <w:sz w:val="12"/>
        </w:rPr>
        <w:t>por</w:t>
      </w:r>
      <w:r>
        <w:rPr>
          <w:spacing w:val="-7"/>
          <w:w w:val="105"/>
          <w:sz w:val="12"/>
        </w:rPr>
        <w:t xml:space="preserve"> </w:t>
      </w:r>
      <w:r>
        <w:rPr>
          <w:w w:val="105"/>
          <w:sz w:val="12"/>
        </w:rPr>
        <w:t>ejemplo,</w:t>
      </w:r>
      <w:r>
        <w:rPr>
          <w:spacing w:val="-6"/>
          <w:w w:val="105"/>
          <w:sz w:val="12"/>
        </w:rPr>
        <w:t xml:space="preserve"> </w:t>
      </w:r>
      <w:r>
        <w:rPr>
          <w:w w:val="105"/>
          <w:sz w:val="12"/>
        </w:rPr>
        <w:t>el</w:t>
      </w:r>
      <w:r>
        <w:rPr>
          <w:spacing w:val="-7"/>
          <w:w w:val="105"/>
          <w:sz w:val="12"/>
        </w:rPr>
        <w:t xml:space="preserve"> </w:t>
      </w:r>
      <w:r>
        <w:rPr>
          <w:w w:val="105"/>
          <w:sz w:val="12"/>
        </w:rPr>
        <w:t>artículo</w:t>
      </w:r>
      <w:r>
        <w:rPr>
          <w:spacing w:val="-7"/>
          <w:w w:val="105"/>
          <w:sz w:val="12"/>
        </w:rPr>
        <w:t xml:space="preserve"> </w:t>
      </w:r>
      <w:r>
        <w:rPr>
          <w:w w:val="105"/>
          <w:sz w:val="12"/>
        </w:rPr>
        <w:t>17</w:t>
      </w:r>
      <w:r>
        <w:rPr>
          <w:spacing w:val="-7"/>
          <w:w w:val="105"/>
          <w:sz w:val="12"/>
        </w:rPr>
        <w:t xml:space="preserve"> </w:t>
      </w:r>
      <w:r>
        <w:rPr>
          <w:w w:val="105"/>
          <w:sz w:val="12"/>
        </w:rPr>
        <w:t>(d)</w:t>
      </w:r>
      <w:r>
        <w:rPr>
          <w:spacing w:val="-7"/>
          <w:w w:val="105"/>
          <w:sz w:val="12"/>
        </w:rPr>
        <w:t xml:space="preserve"> </w:t>
      </w:r>
      <w:r>
        <w:rPr>
          <w:w w:val="105"/>
          <w:sz w:val="12"/>
        </w:rPr>
        <w:t>de</w:t>
      </w:r>
      <w:r>
        <w:rPr>
          <w:spacing w:val="-7"/>
          <w:w w:val="105"/>
          <w:sz w:val="12"/>
        </w:rPr>
        <w:t xml:space="preserve"> </w:t>
      </w:r>
      <w:r>
        <w:rPr>
          <w:w w:val="105"/>
          <w:sz w:val="12"/>
        </w:rPr>
        <w:t>la</w:t>
      </w:r>
      <w:r>
        <w:rPr>
          <w:spacing w:val="-7"/>
          <w:w w:val="105"/>
          <w:sz w:val="12"/>
        </w:rPr>
        <w:t xml:space="preserve"> </w:t>
      </w:r>
      <w:r>
        <w:rPr>
          <w:w w:val="105"/>
          <w:sz w:val="12"/>
        </w:rPr>
        <w:t>Convención</w:t>
      </w:r>
      <w:r>
        <w:rPr>
          <w:spacing w:val="-7"/>
          <w:w w:val="105"/>
          <w:sz w:val="12"/>
        </w:rPr>
        <w:t xml:space="preserve"> </w:t>
      </w:r>
      <w:r>
        <w:rPr>
          <w:w w:val="105"/>
          <w:sz w:val="12"/>
        </w:rPr>
        <w:t>sobre</w:t>
      </w:r>
      <w:r>
        <w:rPr>
          <w:spacing w:val="-7"/>
          <w:w w:val="105"/>
          <w:sz w:val="12"/>
        </w:rPr>
        <w:t xml:space="preserve"> </w:t>
      </w:r>
      <w:r>
        <w:rPr>
          <w:w w:val="105"/>
          <w:sz w:val="12"/>
        </w:rPr>
        <w:t>los</w:t>
      </w:r>
      <w:r>
        <w:rPr>
          <w:spacing w:val="-7"/>
          <w:w w:val="105"/>
          <w:sz w:val="12"/>
        </w:rPr>
        <w:t xml:space="preserve"> </w:t>
      </w:r>
      <w:r>
        <w:rPr>
          <w:w w:val="105"/>
          <w:sz w:val="12"/>
        </w:rPr>
        <w:t>Derechos</w:t>
      </w:r>
      <w:r>
        <w:rPr>
          <w:spacing w:val="-7"/>
          <w:w w:val="105"/>
          <w:sz w:val="12"/>
        </w:rPr>
        <w:t xml:space="preserve"> </w:t>
      </w:r>
      <w:r>
        <w:rPr>
          <w:w w:val="105"/>
          <w:sz w:val="12"/>
        </w:rPr>
        <w:t>del</w:t>
      </w:r>
      <w:r>
        <w:rPr>
          <w:spacing w:val="-7"/>
          <w:w w:val="105"/>
          <w:sz w:val="12"/>
        </w:rPr>
        <w:t xml:space="preserve"> </w:t>
      </w:r>
      <w:r>
        <w:rPr>
          <w:w w:val="105"/>
          <w:sz w:val="12"/>
        </w:rPr>
        <w:t>Niño,</w:t>
      </w:r>
      <w:r>
        <w:rPr>
          <w:spacing w:val="-6"/>
          <w:w w:val="105"/>
          <w:sz w:val="12"/>
        </w:rPr>
        <w:t xml:space="preserve"> </w:t>
      </w:r>
      <w:r>
        <w:rPr>
          <w:w w:val="105"/>
          <w:sz w:val="12"/>
        </w:rPr>
        <w:t>según</w:t>
      </w:r>
      <w:r>
        <w:rPr>
          <w:spacing w:val="-7"/>
          <w:w w:val="105"/>
          <w:sz w:val="12"/>
        </w:rPr>
        <w:t xml:space="preserve"> </w:t>
      </w:r>
      <w:r>
        <w:rPr>
          <w:w w:val="105"/>
          <w:sz w:val="12"/>
        </w:rPr>
        <w:t>el</w:t>
      </w:r>
      <w:r>
        <w:rPr>
          <w:spacing w:val="-7"/>
          <w:w w:val="105"/>
          <w:sz w:val="12"/>
        </w:rPr>
        <w:t xml:space="preserve"> </w:t>
      </w:r>
      <w:r>
        <w:rPr>
          <w:w w:val="105"/>
          <w:sz w:val="12"/>
        </w:rPr>
        <w:t>cual</w:t>
      </w:r>
      <w:r>
        <w:rPr>
          <w:spacing w:val="-7"/>
          <w:w w:val="105"/>
          <w:sz w:val="12"/>
        </w:rPr>
        <w:t xml:space="preserve"> </w:t>
      </w:r>
      <w:r>
        <w:rPr>
          <w:w w:val="105"/>
          <w:sz w:val="12"/>
        </w:rPr>
        <w:t>los</w:t>
      </w:r>
      <w:r>
        <w:rPr>
          <w:spacing w:val="-7"/>
          <w:w w:val="105"/>
          <w:sz w:val="12"/>
        </w:rPr>
        <w:t xml:space="preserve"> </w:t>
      </w:r>
      <w:r>
        <w:rPr>
          <w:w w:val="105"/>
          <w:sz w:val="12"/>
        </w:rPr>
        <w:t>Estados</w:t>
      </w:r>
      <w:r>
        <w:rPr>
          <w:spacing w:val="-7"/>
          <w:w w:val="105"/>
          <w:sz w:val="12"/>
        </w:rPr>
        <w:t xml:space="preserve"> </w:t>
      </w:r>
      <w:r>
        <w:rPr>
          <w:w w:val="105"/>
          <w:sz w:val="12"/>
        </w:rPr>
        <w:t>se</w:t>
      </w:r>
      <w:r>
        <w:rPr>
          <w:spacing w:val="-7"/>
          <w:w w:val="105"/>
          <w:sz w:val="12"/>
        </w:rPr>
        <w:t xml:space="preserve"> </w:t>
      </w:r>
      <w:r>
        <w:rPr>
          <w:w w:val="105"/>
          <w:sz w:val="12"/>
        </w:rPr>
        <w:t>comprometen</w:t>
      </w:r>
      <w:r>
        <w:rPr>
          <w:spacing w:val="-7"/>
          <w:w w:val="105"/>
          <w:sz w:val="12"/>
        </w:rPr>
        <w:t xml:space="preserve"> </w:t>
      </w:r>
      <w:r>
        <w:rPr>
          <w:w w:val="105"/>
          <w:sz w:val="12"/>
        </w:rPr>
        <w:t>a:</w:t>
      </w:r>
      <w:r>
        <w:rPr>
          <w:spacing w:val="-7"/>
          <w:w w:val="105"/>
          <w:sz w:val="12"/>
        </w:rPr>
        <w:t xml:space="preserve"> </w:t>
      </w:r>
      <w:r>
        <w:rPr>
          <w:w w:val="105"/>
          <w:sz w:val="12"/>
        </w:rPr>
        <w:t>“Alentar</w:t>
      </w:r>
      <w:r>
        <w:rPr>
          <w:spacing w:val="-7"/>
          <w:w w:val="105"/>
          <w:sz w:val="12"/>
        </w:rPr>
        <w:t xml:space="preserve"> </w:t>
      </w:r>
      <w:r>
        <w:rPr>
          <w:w w:val="105"/>
          <w:sz w:val="12"/>
        </w:rPr>
        <w:t>a</w:t>
      </w:r>
      <w:r>
        <w:rPr>
          <w:spacing w:val="-7"/>
          <w:w w:val="105"/>
          <w:sz w:val="12"/>
        </w:rPr>
        <w:t xml:space="preserve"> </w:t>
      </w:r>
      <w:r>
        <w:rPr>
          <w:w w:val="105"/>
          <w:sz w:val="12"/>
        </w:rPr>
        <w:t>los</w:t>
      </w:r>
      <w:r>
        <w:rPr>
          <w:spacing w:val="-7"/>
          <w:w w:val="105"/>
          <w:sz w:val="12"/>
        </w:rPr>
        <w:t xml:space="preserve"> </w:t>
      </w:r>
      <w:r>
        <w:rPr>
          <w:w w:val="105"/>
          <w:sz w:val="12"/>
        </w:rPr>
        <w:t>medios</w:t>
      </w:r>
      <w:r>
        <w:rPr>
          <w:spacing w:val="-7"/>
          <w:w w:val="105"/>
          <w:sz w:val="12"/>
        </w:rPr>
        <w:t xml:space="preserve"> </w:t>
      </w:r>
      <w:r>
        <w:rPr>
          <w:w w:val="105"/>
          <w:sz w:val="12"/>
        </w:rPr>
        <w:t>de</w:t>
      </w:r>
      <w:r>
        <w:rPr>
          <w:spacing w:val="40"/>
          <w:w w:val="105"/>
          <w:sz w:val="12"/>
        </w:rPr>
        <w:t xml:space="preserve"> </w:t>
      </w:r>
      <w:r>
        <w:rPr>
          <w:w w:val="105"/>
          <w:sz w:val="12"/>
        </w:rPr>
        <w:t>comunicación</w:t>
      </w:r>
      <w:r>
        <w:rPr>
          <w:spacing w:val="-6"/>
          <w:w w:val="105"/>
          <w:sz w:val="12"/>
        </w:rPr>
        <w:t xml:space="preserve"> </w:t>
      </w:r>
      <w:r>
        <w:rPr>
          <w:w w:val="105"/>
          <w:sz w:val="12"/>
        </w:rPr>
        <w:t>a</w:t>
      </w:r>
      <w:r>
        <w:rPr>
          <w:spacing w:val="-7"/>
          <w:w w:val="105"/>
          <w:sz w:val="12"/>
        </w:rPr>
        <w:t xml:space="preserve"> </w:t>
      </w:r>
      <w:r>
        <w:rPr>
          <w:w w:val="105"/>
          <w:sz w:val="12"/>
        </w:rPr>
        <w:t>tener</w:t>
      </w:r>
      <w:r>
        <w:rPr>
          <w:spacing w:val="-7"/>
          <w:w w:val="105"/>
          <w:sz w:val="12"/>
        </w:rPr>
        <w:t xml:space="preserve"> </w:t>
      </w:r>
      <w:r>
        <w:rPr>
          <w:w w:val="105"/>
          <w:sz w:val="12"/>
        </w:rPr>
        <w:t>especial</w:t>
      </w:r>
      <w:r>
        <w:rPr>
          <w:spacing w:val="-6"/>
          <w:w w:val="105"/>
          <w:sz w:val="12"/>
        </w:rPr>
        <w:t xml:space="preserve"> </w:t>
      </w:r>
      <w:r>
        <w:rPr>
          <w:w w:val="105"/>
          <w:sz w:val="12"/>
        </w:rPr>
        <w:t>consideración</w:t>
      </w:r>
      <w:r>
        <w:rPr>
          <w:spacing w:val="-6"/>
          <w:w w:val="105"/>
          <w:sz w:val="12"/>
        </w:rPr>
        <w:t xml:space="preserve"> </w:t>
      </w:r>
      <w:r>
        <w:rPr>
          <w:w w:val="105"/>
          <w:sz w:val="12"/>
        </w:rPr>
        <w:t>con</w:t>
      </w:r>
      <w:r>
        <w:rPr>
          <w:spacing w:val="-7"/>
          <w:w w:val="105"/>
          <w:sz w:val="12"/>
        </w:rPr>
        <w:t xml:space="preserve"> </w:t>
      </w:r>
      <w:r>
        <w:rPr>
          <w:w w:val="105"/>
          <w:sz w:val="12"/>
        </w:rPr>
        <w:t>las</w:t>
      </w:r>
      <w:r>
        <w:rPr>
          <w:spacing w:val="-7"/>
          <w:w w:val="105"/>
          <w:sz w:val="12"/>
        </w:rPr>
        <w:t xml:space="preserve"> </w:t>
      </w:r>
      <w:r>
        <w:rPr>
          <w:w w:val="105"/>
          <w:sz w:val="12"/>
        </w:rPr>
        <w:t>necesidades</w:t>
      </w:r>
      <w:r>
        <w:rPr>
          <w:spacing w:val="-7"/>
          <w:w w:val="105"/>
          <w:sz w:val="12"/>
        </w:rPr>
        <w:t xml:space="preserve"> </w:t>
      </w:r>
      <w:r>
        <w:rPr>
          <w:w w:val="105"/>
          <w:sz w:val="12"/>
        </w:rPr>
        <w:t>lingüísticas</w:t>
      </w:r>
      <w:r>
        <w:rPr>
          <w:spacing w:val="-7"/>
          <w:w w:val="105"/>
          <w:sz w:val="12"/>
        </w:rPr>
        <w:t xml:space="preserve"> </w:t>
      </w:r>
      <w:r>
        <w:rPr>
          <w:w w:val="105"/>
          <w:sz w:val="12"/>
        </w:rPr>
        <w:t>del</w:t>
      </w:r>
      <w:r>
        <w:rPr>
          <w:spacing w:val="-7"/>
          <w:w w:val="105"/>
          <w:sz w:val="12"/>
        </w:rPr>
        <w:t xml:space="preserve"> </w:t>
      </w:r>
      <w:r>
        <w:rPr>
          <w:w w:val="105"/>
          <w:sz w:val="12"/>
        </w:rPr>
        <w:t>niño</w:t>
      </w:r>
      <w:r>
        <w:rPr>
          <w:spacing w:val="-7"/>
          <w:w w:val="105"/>
          <w:sz w:val="12"/>
        </w:rPr>
        <w:t xml:space="preserve"> </w:t>
      </w:r>
      <w:r>
        <w:rPr>
          <w:w w:val="105"/>
          <w:sz w:val="12"/>
        </w:rPr>
        <w:t>que</w:t>
      </w:r>
      <w:r>
        <w:rPr>
          <w:spacing w:val="-7"/>
          <w:w w:val="105"/>
          <w:sz w:val="12"/>
        </w:rPr>
        <w:t xml:space="preserve"> </w:t>
      </w:r>
      <w:r>
        <w:rPr>
          <w:w w:val="105"/>
          <w:sz w:val="12"/>
        </w:rPr>
        <w:t>pertenece</w:t>
      </w:r>
      <w:r>
        <w:rPr>
          <w:spacing w:val="-7"/>
          <w:w w:val="105"/>
          <w:sz w:val="12"/>
        </w:rPr>
        <w:t xml:space="preserve"> </w:t>
      </w:r>
      <w:r>
        <w:rPr>
          <w:w w:val="105"/>
          <w:sz w:val="12"/>
        </w:rPr>
        <w:t>a</w:t>
      </w:r>
      <w:r>
        <w:rPr>
          <w:spacing w:val="-7"/>
          <w:w w:val="105"/>
          <w:sz w:val="12"/>
        </w:rPr>
        <w:t xml:space="preserve"> </w:t>
      </w:r>
      <w:r>
        <w:rPr>
          <w:w w:val="105"/>
          <w:sz w:val="12"/>
        </w:rPr>
        <w:t>un</w:t>
      </w:r>
      <w:r>
        <w:rPr>
          <w:spacing w:val="-7"/>
          <w:w w:val="105"/>
          <w:sz w:val="12"/>
        </w:rPr>
        <w:t xml:space="preserve"> </w:t>
      </w:r>
      <w:r>
        <w:rPr>
          <w:w w:val="105"/>
          <w:sz w:val="12"/>
        </w:rPr>
        <w:t>grupo</w:t>
      </w:r>
      <w:r>
        <w:rPr>
          <w:spacing w:val="-7"/>
          <w:w w:val="105"/>
          <w:sz w:val="12"/>
        </w:rPr>
        <w:t xml:space="preserve"> </w:t>
      </w:r>
      <w:r>
        <w:rPr>
          <w:w w:val="105"/>
          <w:sz w:val="12"/>
        </w:rPr>
        <w:t>minoritario</w:t>
      </w:r>
      <w:r>
        <w:rPr>
          <w:spacing w:val="-7"/>
          <w:w w:val="105"/>
          <w:sz w:val="12"/>
        </w:rPr>
        <w:t xml:space="preserve"> </w:t>
      </w:r>
      <w:r>
        <w:rPr>
          <w:w w:val="105"/>
          <w:sz w:val="12"/>
        </w:rPr>
        <w:t>o</w:t>
      </w:r>
      <w:r>
        <w:rPr>
          <w:spacing w:val="-7"/>
          <w:w w:val="105"/>
          <w:sz w:val="12"/>
        </w:rPr>
        <w:t xml:space="preserve"> </w:t>
      </w:r>
      <w:r>
        <w:rPr>
          <w:w w:val="105"/>
          <w:sz w:val="12"/>
        </w:rPr>
        <w:t>que</w:t>
      </w:r>
      <w:r>
        <w:rPr>
          <w:spacing w:val="-7"/>
          <w:w w:val="105"/>
          <w:sz w:val="12"/>
        </w:rPr>
        <w:t xml:space="preserve"> </w:t>
      </w:r>
      <w:r>
        <w:rPr>
          <w:w w:val="105"/>
          <w:sz w:val="12"/>
        </w:rPr>
        <w:t>es</w:t>
      </w:r>
      <w:r>
        <w:rPr>
          <w:spacing w:val="-7"/>
          <w:w w:val="105"/>
          <w:sz w:val="12"/>
        </w:rPr>
        <w:t xml:space="preserve"> </w:t>
      </w:r>
      <w:r>
        <w:rPr>
          <w:w w:val="105"/>
          <w:sz w:val="12"/>
        </w:rPr>
        <w:t>indígena.”</w:t>
      </w:r>
    </w:p>
    <w:p w14:paraId="29F59B63" w14:textId="77777777" w:rsidR="0014798C" w:rsidRDefault="004E1F0B">
      <w:pPr>
        <w:spacing w:before="57" w:line="312" w:lineRule="auto"/>
        <w:ind w:left="1366" w:right="1642" w:hanging="256"/>
        <w:rPr>
          <w:sz w:val="12"/>
        </w:rPr>
      </w:pPr>
      <w:r>
        <w:rPr>
          <w:w w:val="105"/>
          <w:sz w:val="12"/>
          <w:vertAlign w:val="superscript"/>
        </w:rPr>
        <w:t>1063</w:t>
      </w:r>
      <w:r>
        <w:rPr>
          <w:spacing w:val="25"/>
          <w:w w:val="105"/>
          <w:sz w:val="12"/>
        </w:rPr>
        <w:t xml:space="preserve"> </w:t>
      </w:r>
      <w:r>
        <w:rPr>
          <w:w w:val="105"/>
          <w:sz w:val="12"/>
        </w:rPr>
        <w:t>Véase,</w:t>
      </w:r>
      <w:r>
        <w:rPr>
          <w:spacing w:val="-6"/>
          <w:w w:val="105"/>
          <w:sz w:val="12"/>
        </w:rPr>
        <w:t xml:space="preserve"> </w:t>
      </w:r>
      <w:r>
        <w:rPr>
          <w:w w:val="105"/>
          <w:sz w:val="12"/>
        </w:rPr>
        <w:t>por</w:t>
      </w:r>
      <w:r>
        <w:rPr>
          <w:spacing w:val="-6"/>
          <w:w w:val="105"/>
          <w:sz w:val="12"/>
        </w:rPr>
        <w:t xml:space="preserve"> </w:t>
      </w:r>
      <w:r>
        <w:rPr>
          <w:w w:val="105"/>
          <w:sz w:val="12"/>
        </w:rPr>
        <w:t>ejemplo,</w:t>
      </w:r>
      <w:r>
        <w:rPr>
          <w:spacing w:val="-6"/>
          <w:w w:val="105"/>
          <w:sz w:val="12"/>
        </w:rPr>
        <w:t xml:space="preserve"> </w:t>
      </w:r>
      <w:r>
        <w:rPr>
          <w:w w:val="105"/>
          <w:sz w:val="12"/>
        </w:rPr>
        <w:t>el</w:t>
      </w:r>
      <w:r>
        <w:rPr>
          <w:spacing w:val="-6"/>
          <w:w w:val="105"/>
          <w:sz w:val="12"/>
        </w:rPr>
        <w:t xml:space="preserve"> </w:t>
      </w:r>
      <w:r>
        <w:rPr>
          <w:w w:val="105"/>
          <w:sz w:val="12"/>
        </w:rPr>
        <w:t>artículo</w:t>
      </w:r>
      <w:r>
        <w:rPr>
          <w:spacing w:val="-6"/>
          <w:w w:val="105"/>
          <w:sz w:val="12"/>
        </w:rPr>
        <w:t xml:space="preserve"> </w:t>
      </w:r>
      <w:r>
        <w:rPr>
          <w:w w:val="105"/>
          <w:sz w:val="12"/>
        </w:rPr>
        <w:t>6</w:t>
      </w:r>
      <w:r>
        <w:rPr>
          <w:spacing w:val="-6"/>
          <w:w w:val="105"/>
          <w:sz w:val="12"/>
        </w:rPr>
        <w:t xml:space="preserve"> </w:t>
      </w:r>
      <w:r>
        <w:rPr>
          <w:w w:val="105"/>
          <w:sz w:val="12"/>
        </w:rPr>
        <w:t>de</w:t>
      </w:r>
      <w:r>
        <w:rPr>
          <w:spacing w:val="-6"/>
          <w:w w:val="105"/>
          <w:sz w:val="12"/>
        </w:rPr>
        <w:t xml:space="preserve"> </w:t>
      </w:r>
      <w:r>
        <w:rPr>
          <w:w w:val="105"/>
          <w:sz w:val="12"/>
        </w:rPr>
        <w:t>la</w:t>
      </w:r>
      <w:r>
        <w:rPr>
          <w:spacing w:val="-6"/>
          <w:w w:val="105"/>
          <w:sz w:val="12"/>
        </w:rPr>
        <w:t xml:space="preserve"> </w:t>
      </w:r>
      <w:r>
        <w:rPr>
          <w:w w:val="105"/>
          <w:sz w:val="12"/>
        </w:rPr>
        <w:t>Constitución</w:t>
      </w:r>
      <w:r>
        <w:rPr>
          <w:spacing w:val="-6"/>
          <w:w w:val="105"/>
          <w:sz w:val="12"/>
        </w:rPr>
        <w:t xml:space="preserve"> </w:t>
      </w:r>
      <w:r>
        <w:rPr>
          <w:w w:val="105"/>
          <w:sz w:val="12"/>
        </w:rPr>
        <w:t>de</w:t>
      </w:r>
      <w:r>
        <w:rPr>
          <w:spacing w:val="-6"/>
          <w:w w:val="105"/>
          <w:sz w:val="12"/>
        </w:rPr>
        <w:t xml:space="preserve"> </w:t>
      </w:r>
      <w:r>
        <w:rPr>
          <w:w w:val="105"/>
          <w:sz w:val="12"/>
        </w:rPr>
        <w:t>Italia,</w:t>
      </w:r>
      <w:r>
        <w:rPr>
          <w:spacing w:val="-6"/>
          <w:w w:val="105"/>
          <w:sz w:val="12"/>
        </w:rPr>
        <w:t xml:space="preserve"> </w:t>
      </w:r>
      <w:r>
        <w:rPr>
          <w:w w:val="105"/>
          <w:sz w:val="12"/>
        </w:rPr>
        <w:t>que</w:t>
      </w:r>
      <w:r>
        <w:rPr>
          <w:spacing w:val="-6"/>
          <w:w w:val="105"/>
          <w:sz w:val="12"/>
        </w:rPr>
        <w:t xml:space="preserve"> </w:t>
      </w:r>
      <w:r>
        <w:rPr>
          <w:w w:val="105"/>
          <w:sz w:val="12"/>
        </w:rPr>
        <w:t>establece:</w:t>
      </w:r>
      <w:r>
        <w:rPr>
          <w:spacing w:val="-6"/>
          <w:w w:val="105"/>
          <w:sz w:val="12"/>
        </w:rPr>
        <w:t xml:space="preserve"> </w:t>
      </w:r>
      <w:r>
        <w:rPr>
          <w:w w:val="105"/>
          <w:sz w:val="12"/>
        </w:rPr>
        <w:t>“La</w:t>
      </w:r>
      <w:r>
        <w:rPr>
          <w:spacing w:val="-6"/>
          <w:w w:val="105"/>
          <w:sz w:val="12"/>
        </w:rPr>
        <w:t xml:space="preserve"> </w:t>
      </w:r>
      <w:r>
        <w:rPr>
          <w:w w:val="105"/>
          <w:sz w:val="12"/>
        </w:rPr>
        <w:t>República</w:t>
      </w:r>
      <w:r>
        <w:rPr>
          <w:spacing w:val="-6"/>
          <w:w w:val="105"/>
          <w:sz w:val="12"/>
        </w:rPr>
        <w:t xml:space="preserve"> </w:t>
      </w:r>
      <w:r>
        <w:rPr>
          <w:w w:val="105"/>
          <w:sz w:val="12"/>
        </w:rPr>
        <w:t>salvaguarda</w:t>
      </w:r>
      <w:r>
        <w:rPr>
          <w:spacing w:val="-6"/>
          <w:w w:val="105"/>
          <w:sz w:val="12"/>
        </w:rPr>
        <w:t xml:space="preserve"> </w:t>
      </w:r>
      <w:r>
        <w:rPr>
          <w:w w:val="105"/>
          <w:sz w:val="12"/>
        </w:rPr>
        <w:t>mediante</w:t>
      </w:r>
      <w:r>
        <w:rPr>
          <w:spacing w:val="-6"/>
          <w:w w:val="105"/>
          <w:sz w:val="12"/>
        </w:rPr>
        <w:t xml:space="preserve"> </w:t>
      </w:r>
      <w:r>
        <w:rPr>
          <w:w w:val="105"/>
          <w:sz w:val="12"/>
        </w:rPr>
        <w:t>medidas</w:t>
      </w:r>
      <w:r>
        <w:rPr>
          <w:spacing w:val="-6"/>
          <w:w w:val="105"/>
          <w:sz w:val="12"/>
        </w:rPr>
        <w:t xml:space="preserve"> </w:t>
      </w:r>
      <w:r>
        <w:rPr>
          <w:w w:val="105"/>
          <w:sz w:val="12"/>
        </w:rPr>
        <w:t>apropiadas</w:t>
      </w:r>
      <w:r>
        <w:rPr>
          <w:spacing w:val="-6"/>
          <w:w w:val="105"/>
          <w:sz w:val="12"/>
        </w:rPr>
        <w:t xml:space="preserve"> </w:t>
      </w:r>
      <w:r>
        <w:rPr>
          <w:w w:val="105"/>
          <w:sz w:val="12"/>
        </w:rPr>
        <w:t>a</w:t>
      </w:r>
      <w:r>
        <w:rPr>
          <w:spacing w:val="-6"/>
          <w:w w:val="105"/>
          <w:sz w:val="12"/>
        </w:rPr>
        <w:t xml:space="preserve"> </w:t>
      </w:r>
      <w:r>
        <w:rPr>
          <w:w w:val="105"/>
          <w:sz w:val="12"/>
        </w:rPr>
        <w:t>las</w:t>
      </w:r>
      <w:r>
        <w:rPr>
          <w:spacing w:val="-6"/>
          <w:w w:val="105"/>
          <w:sz w:val="12"/>
        </w:rPr>
        <w:t xml:space="preserve"> </w:t>
      </w:r>
      <w:r>
        <w:rPr>
          <w:w w:val="105"/>
          <w:sz w:val="12"/>
        </w:rPr>
        <w:t>minorías</w:t>
      </w:r>
      <w:r>
        <w:rPr>
          <w:spacing w:val="40"/>
          <w:w w:val="105"/>
          <w:sz w:val="12"/>
        </w:rPr>
        <w:t xml:space="preserve"> </w:t>
      </w:r>
      <w:r>
        <w:rPr>
          <w:w w:val="105"/>
          <w:sz w:val="12"/>
        </w:rPr>
        <w:t>lingüísticas”.</w:t>
      </w:r>
      <w:r>
        <w:rPr>
          <w:spacing w:val="-9"/>
          <w:w w:val="105"/>
          <w:sz w:val="12"/>
        </w:rPr>
        <w:t xml:space="preserve"> </w:t>
      </w:r>
      <w:r>
        <w:rPr>
          <w:w w:val="105"/>
          <w:sz w:val="12"/>
        </w:rPr>
        <w:t>Esa</w:t>
      </w:r>
      <w:r>
        <w:rPr>
          <w:spacing w:val="-9"/>
          <w:w w:val="105"/>
          <w:sz w:val="12"/>
        </w:rPr>
        <w:t xml:space="preserve"> </w:t>
      </w:r>
      <w:r>
        <w:rPr>
          <w:w w:val="105"/>
          <w:sz w:val="12"/>
        </w:rPr>
        <w:t>disposición</w:t>
      </w:r>
      <w:r>
        <w:rPr>
          <w:spacing w:val="-9"/>
          <w:w w:val="105"/>
          <w:sz w:val="12"/>
        </w:rPr>
        <w:t xml:space="preserve"> </w:t>
      </w:r>
      <w:r>
        <w:rPr>
          <w:w w:val="105"/>
          <w:sz w:val="12"/>
        </w:rPr>
        <w:t>constitucional</w:t>
      </w:r>
      <w:r>
        <w:rPr>
          <w:spacing w:val="-8"/>
          <w:w w:val="105"/>
          <w:sz w:val="12"/>
        </w:rPr>
        <w:t xml:space="preserve"> </w:t>
      </w:r>
      <w:r>
        <w:rPr>
          <w:w w:val="105"/>
          <w:sz w:val="12"/>
        </w:rPr>
        <w:t>se</w:t>
      </w:r>
      <w:r>
        <w:rPr>
          <w:spacing w:val="-9"/>
          <w:w w:val="105"/>
          <w:sz w:val="12"/>
        </w:rPr>
        <w:t xml:space="preserve"> </w:t>
      </w:r>
      <w:r>
        <w:rPr>
          <w:w w:val="105"/>
          <w:sz w:val="12"/>
        </w:rPr>
        <w:t>ha</w:t>
      </w:r>
      <w:r>
        <w:rPr>
          <w:spacing w:val="-9"/>
          <w:w w:val="105"/>
          <w:sz w:val="12"/>
        </w:rPr>
        <w:t xml:space="preserve"> </w:t>
      </w:r>
      <w:r>
        <w:rPr>
          <w:w w:val="105"/>
          <w:sz w:val="12"/>
        </w:rPr>
        <w:t>complementado</w:t>
      </w:r>
      <w:r>
        <w:rPr>
          <w:spacing w:val="-9"/>
          <w:w w:val="105"/>
          <w:sz w:val="12"/>
        </w:rPr>
        <w:t xml:space="preserve"> </w:t>
      </w:r>
      <w:r>
        <w:rPr>
          <w:w w:val="105"/>
          <w:sz w:val="12"/>
        </w:rPr>
        <w:t>con</w:t>
      </w:r>
      <w:r>
        <w:rPr>
          <w:spacing w:val="-9"/>
          <w:w w:val="105"/>
          <w:sz w:val="12"/>
        </w:rPr>
        <w:t xml:space="preserve"> </w:t>
      </w:r>
      <w:r>
        <w:rPr>
          <w:w w:val="105"/>
          <w:sz w:val="12"/>
        </w:rPr>
        <w:t>legislación</w:t>
      </w:r>
      <w:r>
        <w:rPr>
          <w:spacing w:val="-8"/>
          <w:w w:val="105"/>
          <w:sz w:val="12"/>
        </w:rPr>
        <w:t xml:space="preserve"> </w:t>
      </w:r>
      <w:r>
        <w:rPr>
          <w:w w:val="105"/>
          <w:sz w:val="12"/>
        </w:rPr>
        <w:t>regional</w:t>
      </w:r>
      <w:r>
        <w:rPr>
          <w:spacing w:val="-9"/>
          <w:w w:val="105"/>
          <w:sz w:val="12"/>
        </w:rPr>
        <w:t xml:space="preserve"> </w:t>
      </w:r>
      <w:r>
        <w:rPr>
          <w:w w:val="105"/>
          <w:sz w:val="12"/>
        </w:rPr>
        <w:t>destinada</w:t>
      </w:r>
      <w:r>
        <w:rPr>
          <w:spacing w:val="-9"/>
          <w:w w:val="105"/>
          <w:sz w:val="12"/>
        </w:rPr>
        <w:t xml:space="preserve"> </w:t>
      </w:r>
      <w:r>
        <w:rPr>
          <w:w w:val="105"/>
          <w:sz w:val="12"/>
        </w:rPr>
        <w:t>a</w:t>
      </w:r>
      <w:r>
        <w:rPr>
          <w:spacing w:val="-9"/>
          <w:w w:val="105"/>
          <w:sz w:val="12"/>
        </w:rPr>
        <w:t xml:space="preserve"> </w:t>
      </w:r>
      <w:r>
        <w:rPr>
          <w:w w:val="105"/>
          <w:sz w:val="12"/>
        </w:rPr>
        <w:t>ofrecer</w:t>
      </w:r>
      <w:r>
        <w:rPr>
          <w:spacing w:val="-8"/>
          <w:w w:val="105"/>
          <w:sz w:val="12"/>
        </w:rPr>
        <w:t xml:space="preserve"> </w:t>
      </w:r>
      <w:r>
        <w:rPr>
          <w:w w:val="105"/>
          <w:sz w:val="12"/>
        </w:rPr>
        <w:t>incentivos</w:t>
      </w:r>
      <w:r>
        <w:rPr>
          <w:spacing w:val="-9"/>
          <w:w w:val="105"/>
          <w:sz w:val="12"/>
        </w:rPr>
        <w:t xml:space="preserve"> </w:t>
      </w:r>
      <w:r>
        <w:rPr>
          <w:w w:val="105"/>
          <w:sz w:val="12"/>
        </w:rPr>
        <w:t>para</w:t>
      </w:r>
      <w:r>
        <w:rPr>
          <w:spacing w:val="-9"/>
          <w:w w:val="105"/>
          <w:sz w:val="12"/>
        </w:rPr>
        <w:t xml:space="preserve"> </w:t>
      </w:r>
      <w:r>
        <w:rPr>
          <w:w w:val="105"/>
          <w:sz w:val="12"/>
        </w:rPr>
        <w:t>promover</w:t>
      </w:r>
      <w:r>
        <w:rPr>
          <w:spacing w:val="-9"/>
          <w:w w:val="105"/>
          <w:sz w:val="12"/>
        </w:rPr>
        <w:t xml:space="preserve"> </w:t>
      </w:r>
      <w:r>
        <w:rPr>
          <w:w w:val="105"/>
          <w:sz w:val="12"/>
        </w:rPr>
        <w:t>las</w:t>
      </w:r>
      <w:r>
        <w:rPr>
          <w:spacing w:val="-8"/>
          <w:w w:val="105"/>
          <w:sz w:val="12"/>
        </w:rPr>
        <w:t xml:space="preserve"> </w:t>
      </w:r>
      <w:r>
        <w:rPr>
          <w:w w:val="105"/>
          <w:sz w:val="12"/>
        </w:rPr>
        <w:t>lenguas</w:t>
      </w:r>
      <w:r>
        <w:rPr>
          <w:spacing w:val="-9"/>
          <w:w w:val="105"/>
          <w:sz w:val="12"/>
        </w:rPr>
        <w:t xml:space="preserve"> </w:t>
      </w:r>
      <w:r>
        <w:rPr>
          <w:w w:val="105"/>
          <w:sz w:val="12"/>
        </w:rPr>
        <w:t>y</w:t>
      </w:r>
      <w:r>
        <w:rPr>
          <w:spacing w:val="-9"/>
          <w:w w:val="105"/>
          <w:sz w:val="12"/>
        </w:rPr>
        <w:t xml:space="preserve"> </w:t>
      </w:r>
      <w:r>
        <w:rPr>
          <w:w w:val="105"/>
          <w:sz w:val="12"/>
        </w:rPr>
        <w:t>culturas</w:t>
      </w:r>
      <w:r>
        <w:rPr>
          <w:spacing w:val="40"/>
          <w:w w:val="105"/>
          <w:sz w:val="12"/>
        </w:rPr>
        <w:t xml:space="preserve"> </w:t>
      </w:r>
      <w:r>
        <w:rPr>
          <w:w w:val="105"/>
          <w:sz w:val="12"/>
        </w:rPr>
        <w:t>locales</w:t>
      </w:r>
      <w:r>
        <w:rPr>
          <w:spacing w:val="-5"/>
          <w:w w:val="105"/>
          <w:sz w:val="12"/>
        </w:rPr>
        <w:t xml:space="preserve"> </w:t>
      </w:r>
      <w:r>
        <w:rPr>
          <w:w w:val="105"/>
          <w:sz w:val="12"/>
        </w:rPr>
        <w:t>sobre</w:t>
      </w:r>
      <w:r>
        <w:rPr>
          <w:spacing w:val="-5"/>
          <w:w w:val="105"/>
          <w:sz w:val="12"/>
        </w:rPr>
        <w:t xml:space="preserve"> </w:t>
      </w:r>
      <w:r>
        <w:rPr>
          <w:w w:val="105"/>
          <w:sz w:val="12"/>
        </w:rPr>
        <w:t>la</w:t>
      </w:r>
      <w:r>
        <w:rPr>
          <w:spacing w:val="-5"/>
          <w:w w:val="105"/>
          <w:sz w:val="12"/>
        </w:rPr>
        <w:t xml:space="preserve"> </w:t>
      </w:r>
      <w:r>
        <w:rPr>
          <w:w w:val="105"/>
          <w:sz w:val="12"/>
        </w:rPr>
        <w:t>base</w:t>
      </w:r>
      <w:r>
        <w:rPr>
          <w:spacing w:val="-5"/>
          <w:w w:val="105"/>
          <w:sz w:val="12"/>
        </w:rPr>
        <w:t xml:space="preserve"> </w:t>
      </w:r>
      <w:r>
        <w:rPr>
          <w:w w:val="105"/>
          <w:sz w:val="12"/>
        </w:rPr>
        <w:t>de</w:t>
      </w:r>
      <w:r>
        <w:rPr>
          <w:spacing w:val="-5"/>
          <w:w w:val="105"/>
          <w:sz w:val="12"/>
        </w:rPr>
        <w:t xml:space="preserve"> </w:t>
      </w:r>
      <w:r>
        <w:rPr>
          <w:w w:val="105"/>
          <w:sz w:val="12"/>
        </w:rPr>
        <w:t>un</w:t>
      </w:r>
      <w:r>
        <w:rPr>
          <w:spacing w:val="-5"/>
          <w:w w:val="105"/>
          <w:sz w:val="12"/>
        </w:rPr>
        <w:t xml:space="preserve"> </w:t>
      </w:r>
      <w:r>
        <w:rPr>
          <w:w w:val="105"/>
          <w:sz w:val="12"/>
        </w:rPr>
        <w:t>marco</w:t>
      </w:r>
      <w:r>
        <w:rPr>
          <w:spacing w:val="-4"/>
          <w:w w:val="105"/>
          <w:sz w:val="12"/>
        </w:rPr>
        <w:t xml:space="preserve"> </w:t>
      </w:r>
      <w:r>
        <w:rPr>
          <w:w w:val="105"/>
          <w:sz w:val="12"/>
        </w:rPr>
        <w:t>regulatorio</w:t>
      </w:r>
      <w:r>
        <w:rPr>
          <w:spacing w:val="-5"/>
          <w:w w:val="105"/>
          <w:sz w:val="12"/>
        </w:rPr>
        <w:t xml:space="preserve"> </w:t>
      </w:r>
      <w:r>
        <w:rPr>
          <w:w w:val="105"/>
          <w:sz w:val="12"/>
        </w:rPr>
        <w:t>establecido</w:t>
      </w:r>
      <w:r>
        <w:rPr>
          <w:spacing w:val="-5"/>
          <w:w w:val="105"/>
          <w:sz w:val="12"/>
        </w:rPr>
        <w:t xml:space="preserve"> </w:t>
      </w:r>
      <w:r>
        <w:rPr>
          <w:w w:val="105"/>
          <w:sz w:val="12"/>
        </w:rPr>
        <w:t>en</w:t>
      </w:r>
      <w:r>
        <w:rPr>
          <w:spacing w:val="-5"/>
          <w:w w:val="105"/>
          <w:sz w:val="12"/>
        </w:rPr>
        <w:t xml:space="preserve"> </w:t>
      </w:r>
      <w:r>
        <w:rPr>
          <w:w w:val="105"/>
          <w:sz w:val="12"/>
        </w:rPr>
        <w:t>las</w:t>
      </w:r>
      <w:r>
        <w:rPr>
          <w:spacing w:val="-5"/>
          <w:w w:val="105"/>
          <w:sz w:val="12"/>
        </w:rPr>
        <w:t xml:space="preserve"> </w:t>
      </w:r>
      <w:r>
        <w:rPr>
          <w:w w:val="105"/>
          <w:sz w:val="12"/>
        </w:rPr>
        <w:t>Leyes</w:t>
      </w:r>
      <w:r>
        <w:rPr>
          <w:spacing w:val="-5"/>
          <w:w w:val="105"/>
          <w:sz w:val="12"/>
        </w:rPr>
        <w:t xml:space="preserve"> </w:t>
      </w:r>
      <w:r>
        <w:rPr>
          <w:w w:val="105"/>
          <w:sz w:val="12"/>
        </w:rPr>
        <w:t>Nos.</w:t>
      </w:r>
      <w:r>
        <w:rPr>
          <w:spacing w:val="-4"/>
          <w:w w:val="105"/>
          <w:sz w:val="12"/>
        </w:rPr>
        <w:t xml:space="preserve"> </w:t>
      </w:r>
      <w:r>
        <w:rPr>
          <w:w w:val="105"/>
          <w:sz w:val="12"/>
        </w:rPr>
        <w:t>482/1999</w:t>
      </w:r>
      <w:r>
        <w:rPr>
          <w:spacing w:val="-5"/>
          <w:w w:val="105"/>
          <w:sz w:val="12"/>
        </w:rPr>
        <w:t xml:space="preserve"> </w:t>
      </w:r>
      <w:r>
        <w:rPr>
          <w:w w:val="105"/>
          <w:sz w:val="12"/>
        </w:rPr>
        <w:t>y</w:t>
      </w:r>
      <w:r>
        <w:rPr>
          <w:spacing w:val="-5"/>
          <w:w w:val="105"/>
          <w:sz w:val="12"/>
        </w:rPr>
        <w:t xml:space="preserve"> </w:t>
      </w:r>
      <w:r>
        <w:rPr>
          <w:w w:val="105"/>
          <w:sz w:val="12"/>
        </w:rPr>
        <w:t>38/2001.</w:t>
      </w:r>
    </w:p>
    <w:p w14:paraId="4E56FE5B" w14:textId="77777777" w:rsidR="0014798C" w:rsidRDefault="0014798C">
      <w:pPr>
        <w:pStyle w:val="Textoindependiente"/>
        <w:rPr>
          <w:sz w:val="18"/>
        </w:rPr>
      </w:pPr>
    </w:p>
    <w:p w14:paraId="7A68B748" w14:textId="77777777" w:rsidR="0014798C" w:rsidRDefault="0014798C">
      <w:pPr>
        <w:pStyle w:val="Textoindependiente"/>
        <w:spacing w:before="194"/>
        <w:rPr>
          <w:sz w:val="18"/>
        </w:rPr>
      </w:pPr>
    </w:p>
    <w:p w14:paraId="1E4C3746" w14:textId="77777777" w:rsidR="0014798C" w:rsidRDefault="004E1F0B">
      <w:pPr>
        <w:ind w:left="475"/>
        <w:rPr>
          <w:sz w:val="18"/>
        </w:rPr>
      </w:pPr>
      <w:r>
        <w:rPr>
          <w:spacing w:val="-5"/>
          <w:sz w:val="18"/>
        </w:rPr>
        <w:t>154</w:t>
      </w:r>
    </w:p>
    <w:p w14:paraId="6CF1447B" w14:textId="77777777" w:rsidR="0014798C" w:rsidRDefault="0014798C">
      <w:pPr>
        <w:rPr>
          <w:sz w:val="18"/>
        </w:rPr>
        <w:sectPr w:rsidR="0014798C" w:rsidSect="00F265E4">
          <w:pgSz w:w="11900" w:h="16820"/>
          <w:pgMar w:top="340" w:right="0" w:bottom="280" w:left="200" w:header="121" w:footer="0" w:gutter="0"/>
          <w:cols w:space="720"/>
        </w:sectPr>
      </w:pPr>
    </w:p>
    <w:p w14:paraId="7EDD0A88" w14:textId="77777777" w:rsidR="0014798C" w:rsidRDefault="0014798C">
      <w:pPr>
        <w:pStyle w:val="Textoindependiente"/>
        <w:rPr>
          <w:sz w:val="9"/>
        </w:rPr>
      </w:pPr>
    </w:p>
    <w:p w14:paraId="00E9FA52" w14:textId="77777777" w:rsidR="0014798C" w:rsidRDefault="0014798C">
      <w:pPr>
        <w:pStyle w:val="Textoindependiente"/>
        <w:spacing w:before="31"/>
        <w:rPr>
          <w:sz w:val="9"/>
        </w:rPr>
      </w:pPr>
    </w:p>
    <w:p w14:paraId="2B34D975" w14:textId="77777777" w:rsidR="0014798C" w:rsidRDefault="004E1F0B">
      <w:pPr>
        <w:ind w:left="1111"/>
        <w:rPr>
          <w:sz w:val="9"/>
        </w:rPr>
      </w:pPr>
      <w:r>
        <w:rPr>
          <w:color w:val="803108"/>
          <w:w w:val="105"/>
          <w:sz w:val="9"/>
        </w:rPr>
        <w:t>PARTE</w:t>
      </w:r>
      <w:r>
        <w:rPr>
          <w:color w:val="803108"/>
          <w:spacing w:val="1"/>
          <w:w w:val="105"/>
          <w:sz w:val="9"/>
        </w:rPr>
        <w:t xml:space="preserve"> </w:t>
      </w:r>
      <w:r>
        <w:rPr>
          <w:color w:val="803108"/>
          <w:w w:val="105"/>
          <w:sz w:val="9"/>
        </w:rPr>
        <w:t>TRES:</w:t>
      </w:r>
      <w:r>
        <w:rPr>
          <w:color w:val="803108"/>
          <w:spacing w:val="2"/>
          <w:w w:val="105"/>
          <w:sz w:val="9"/>
        </w:rPr>
        <w:t xml:space="preserve"> </w:t>
      </w:r>
      <w:r>
        <w:rPr>
          <w:color w:val="803108"/>
          <w:w w:val="105"/>
          <w:sz w:val="9"/>
        </w:rPr>
        <w:t>PROTECCIÓN</w:t>
      </w:r>
      <w:r>
        <w:rPr>
          <w:color w:val="803108"/>
          <w:spacing w:val="2"/>
          <w:w w:val="105"/>
          <w:sz w:val="9"/>
        </w:rPr>
        <w:t xml:space="preserve"> </w:t>
      </w:r>
      <w:r>
        <w:rPr>
          <w:color w:val="803108"/>
          <w:w w:val="105"/>
          <w:sz w:val="9"/>
        </w:rPr>
        <w:t>DE</w:t>
      </w:r>
      <w:r>
        <w:rPr>
          <w:color w:val="803108"/>
          <w:spacing w:val="1"/>
          <w:w w:val="105"/>
          <w:sz w:val="9"/>
        </w:rPr>
        <w:t xml:space="preserve"> </w:t>
      </w:r>
      <w:r>
        <w:rPr>
          <w:color w:val="803108"/>
          <w:w w:val="105"/>
          <w:sz w:val="9"/>
        </w:rPr>
        <w:t>LOS</w:t>
      </w:r>
      <w:r>
        <w:rPr>
          <w:color w:val="803108"/>
          <w:spacing w:val="2"/>
          <w:w w:val="105"/>
          <w:sz w:val="9"/>
        </w:rPr>
        <w:t xml:space="preserve"> </w:t>
      </w:r>
      <w:r>
        <w:rPr>
          <w:color w:val="803108"/>
          <w:w w:val="105"/>
          <w:sz w:val="9"/>
        </w:rPr>
        <w:t>DERECHOS</w:t>
      </w:r>
      <w:r>
        <w:rPr>
          <w:color w:val="803108"/>
          <w:spacing w:val="3"/>
          <w:w w:val="105"/>
          <w:sz w:val="9"/>
        </w:rPr>
        <w:t xml:space="preserve"> </w:t>
      </w:r>
      <w:r>
        <w:rPr>
          <w:color w:val="803108"/>
          <w:w w:val="105"/>
          <w:sz w:val="9"/>
        </w:rPr>
        <w:t>DE</w:t>
      </w:r>
      <w:r>
        <w:rPr>
          <w:color w:val="803108"/>
          <w:spacing w:val="1"/>
          <w:w w:val="105"/>
          <w:sz w:val="9"/>
        </w:rPr>
        <w:t xml:space="preserve"> </w:t>
      </w:r>
      <w:r>
        <w:rPr>
          <w:color w:val="803108"/>
          <w:w w:val="105"/>
          <w:sz w:val="9"/>
        </w:rPr>
        <w:t>LAS</w:t>
      </w:r>
      <w:r>
        <w:rPr>
          <w:color w:val="803108"/>
          <w:spacing w:val="2"/>
          <w:w w:val="105"/>
          <w:sz w:val="9"/>
        </w:rPr>
        <w:t xml:space="preserve"> </w:t>
      </w:r>
      <w:r>
        <w:rPr>
          <w:color w:val="803108"/>
          <w:spacing w:val="-2"/>
          <w:w w:val="105"/>
          <w:sz w:val="9"/>
        </w:rPr>
        <w:t>MINORÍAS</w:t>
      </w:r>
    </w:p>
    <w:p w14:paraId="258723CA" w14:textId="77777777" w:rsidR="0014798C" w:rsidRDefault="0014798C">
      <w:pPr>
        <w:pStyle w:val="Textoindependiente"/>
        <w:rPr>
          <w:sz w:val="15"/>
        </w:rPr>
      </w:pPr>
    </w:p>
    <w:p w14:paraId="4C74C9E5" w14:textId="77777777" w:rsidR="0014798C" w:rsidRDefault="0014798C">
      <w:pPr>
        <w:pStyle w:val="Textoindependiente"/>
        <w:rPr>
          <w:sz w:val="15"/>
        </w:rPr>
      </w:pPr>
    </w:p>
    <w:p w14:paraId="37723FA7" w14:textId="77777777" w:rsidR="0014798C" w:rsidRDefault="0014798C">
      <w:pPr>
        <w:pStyle w:val="Textoindependiente"/>
        <w:rPr>
          <w:sz w:val="15"/>
        </w:rPr>
      </w:pPr>
    </w:p>
    <w:p w14:paraId="3500C994" w14:textId="77777777" w:rsidR="0014798C" w:rsidRDefault="0014798C">
      <w:pPr>
        <w:pStyle w:val="Textoindependiente"/>
        <w:rPr>
          <w:sz w:val="15"/>
        </w:rPr>
      </w:pPr>
    </w:p>
    <w:p w14:paraId="7A41F96B" w14:textId="77777777" w:rsidR="0014798C" w:rsidRDefault="0014798C">
      <w:pPr>
        <w:pStyle w:val="Textoindependiente"/>
        <w:spacing w:before="113"/>
        <w:rPr>
          <w:sz w:val="15"/>
        </w:rPr>
      </w:pPr>
    </w:p>
    <w:p w14:paraId="500A8916" w14:textId="77777777" w:rsidR="0014798C" w:rsidRDefault="004E1F0B">
      <w:pPr>
        <w:ind w:left="1342"/>
        <w:rPr>
          <w:sz w:val="15"/>
        </w:rPr>
      </w:pPr>
      <w:r>
        <w:rPr>
          <w:noProof/>
        </w:rPr>
        <w:drawing>
          <wp:anchor distT="0" distB="0" distL="0" distR="0" simplePos="0" relativeHeight="251658471" behindDoc="1" locked="0" layoutInCell="1" allowOverlap="1" wp14:anchorId="0DF70F47" wp14:editId="5A11CF70">
            <wp:simplePos x="0" y="0"/>
            <wp:positionH relativeFrom="page">
              <wp:posOffset>813154</wp:posOffset>
            </wp:positionH>
            <wp:positionV relativeFrom="paragraph">
              <wp:posOffset>-133465</wp:posOffset>
            </wp:positionV>
            <wp:extent cx="6743345" cy="7301698"/>
            <wp:effectExtent l="0" t="0" r="0" b="0"/>
            <wp:wrapNone/>
            <wp:docPr id="314" name="Image 31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14" name="Image 314"/>
                    <pic:cNvPicPr/>
                  </pic:nvPicPr>
                  <pic:blipFill>
                    <a:blip r:embed="rId295" cstate="print"/>
                    <a:stretch>
                      <a:fillRect/>
                    </a:stretch>
                  </pic:blipFill>
                  <pic:spPr>
                    <a:xfrm>
                      <a:off x="0" y="0"/>
                      <a:ext cx="6743345" cy="7301698"/>
                    </a:xfrm>
                    <a:prstGeom prst="rect">
                      <a:avLst/>
                    </a:prstGeom>
                  </pic:spPr>
                </pic:pic>
              </a:graphicData>
            </a:graphic>
          </wp:anchor>
        </w:drawing>
      </w:r>
      <w:r>
        <w:rPr>
          <w:w w:val="105"/>
          <w:sz w:val="15"/>
        </w:rPr>
        <w:t>HURST</w:t>
      </w:r>
      <w:r>
        <w:rPr>
          <w:spacing w:val="-3"/>
          <w:w w:val="105"/>
          <w:sz w:val="15"/>
        </w:rPr>
        <w:t xml:space="preserve"> </w:t>
      </w:r>
      <w:r>
        <w:rPr>
          <w:w w:val="105"/>
          <w:sz w:val="15"/>
        </w:rPr>
        <w:t>V.</w:t>
      </w:r>
      <w:r>
        <w:rPr>
          <w:spacing w:val="-4"/>
          <w:w w:val="105"/>
          <w:sz w:val="15"/>
        </w:rPr>
        <w:t xml:space="preserve"> </w:t>
      </w:r>
      <w:r>
        <w:rPr>
          <w:w w:val="105"/>
          <w:sz w:val="15"/>
        </w:rPr>
        <w:t>ESTADO</w:t>
      </w:r>
      <w:r>
        <w:rPr>
          <w:spacing w:val="-4"/>
          <w:w w:val="105"/>
          <w:sz w:val="15"/>
        </w:rPr>
        <w:t xml:space="preserve"> </w:t>
      </w:r>
      <w:r>
        <w:rPr>
          <w:w w:val="105"/>
          <w:sz w:val="15"/>
        </w:rPr>
        <w:t>DE</w:t>
      </w:r>
      <w:r>
        <w:rPr>
          <w:spacing w:val="-3"/>
          <w:w w:val="105"/>
          <w:sz w:val="15"/>
        </w:rPr>
        <w:t xml:space="preserve"> </w:t>
      </w:r>
      <w:r>
        <w:rPr>
          <w:spacing w:val="-2"/>
          <w:w w:val="105"/>
          <w:sz w:val="15"/>
        </w:rPr>
        <w:t>QUEENSLAND1064</w:t>
      </w:r>
    </w:p>
    <w:p w14:paraId="3F39FDB7" w14:textId="77777777" w:rsidR="0014798C" w:rsidRDefault="0014798C">
      <w:pPr>
        <w:pStyle w:val="Textoindependiente"/>
        <w:spacing w:before="54"/>
        <w:rPr>
          <w:sz w:val="15"/>
        </w:rPr>
      </w:pPr>
    </w:p>
    <w:p w14:paraId="2EC71E76" w14:textId="77777777" w:rsidR="0014798C" w:rsidRDefault="004E1F0B">
      <w:pPr>
        <w:spacing w:line="348" w:lineRule="auto"/>
        <w:ind w:left="1332" w:right="1590"/>
        <w:rPr>
          <w:sz w:val="15"/>
        </w:rPr>
      </w:pPr>
      <w:proofErr w:type="spellStart"/>
      <w:r>
        <w:rPr>
          <w:w w:val="105"/>
          <w:sz w:val="15"/>
        </w:rPr>
        <w:t>Tiahna</w:t>
      </w:r>
      <w:proofErr w:type="spellEnd"/>
      <w:r>
        <w:rPr>
          <w:w w:val="105"/>
          <w:sz w:val="15"/>
        </w:rPr>
        <w:t xml:space="preserve"> </w:t>
      </w:r>
      <w:proofErr w:type="spellStart"/>
      <w:r>
        <w:rPr>
          <w:w w:val="105"/>
          <w:sz w:val="15"/>
        </w:rPr>
        <w:t>Hurst</w:t>
      </w:r>
      <w:proofErr w:type="spellEnd"/>
      <w:r>
        <w:rPr>
          <w:w w:val="105"/>
          <w:sz w:val="15"/>
        </w:rPr>
        <w:t xml:space="preserve"> era una niña sorda “de severa a profunda” que había desarrollado habilidades de lenguaje de señas en </w:t>
      </w:r>
      <w:proofErr w:type="spellStart"/>
      <w:r>
        <w:rPr>
          <w:w w:val="105"/>
          <w:sz w:val="15"/>
        </w:rPr>
        <w:t>auslan</w:t>
      </w:r>
      <w:proofErr w:type="spellEnd"/>
      <w:r>
        <w:rPr>
          <w:w w:val="105"/>
          <w:sz w:val="15"/>
        </w:rPr>
        <w:t xml:space="preserve"> (un</w:t>
      </w:r>
      <w:r>
        <w:rPr>
          <w:spacing w:val="-1"/>
          <w:w w:val="105"/>
          <w:sz w:val="15"/>
        </w:rPr>
        <w:t xml:space="preserve"> </w:t>
      </w:r>
      <w:r>
        <w:rPr>
          <w:w w:val="105"/>
          <w:sz w:val="15"/>
        </w:rPr>
        <w:t>lenguaje</w:t>
      </w:r>
      <w:r>
        <w:rPr>
          <w:spacing w:val="-1"/>
          <w:w w:val="105"/>
          <w:sz w:val="15"/>
        </w:rPr>
        <w:t xml:space="preserve"> </w:t>
      </w:r>
      <w:r>
        <w:rPr>
          <w:w w:val="105"/>
          <w:sz w:val="15"/>
        </w:rPr>
        <w:t>de</w:t>
      </w:r>
      <w:r>
        <w:rPr>
          <w:spacing w:val="-1"/>
          <w:w w:val="105"/>
          <w:sz w:val="15"/>
        </w:rPr>
        <w:t xml:space="preserve"> </w:t>
      </w:r>
      <w:r>
        <w:rPr>
          <w:w w:val="105"/>
          <w:sz w:val="15"/>
        </w:rPr>
        <w:t>señas</w:t>
      </w:r>
      <w:r>
        <w:rPr>
          <w:spacing w:val="-1"/>
          <w:w w:val="105"/>
          <w:sz w:val="15"/>
        </w:rPr>
        <w:t xml:space="preserve"> </w:t>
      </w:r>
      <w:r>
        <w:rPr>
          <w:w w:val="105"/>
          <w:sz w:val="15"/>
        </w:rPr>
        <w:t>indígena</w:t>
      </w:r>
      <w:r>
        <w:rPr>
          <w:spacing w:val="-2"/>
          <w:w w:val="105"/>
          <w:sz w:val="15"/>
        </w:rPr>
        <w:t xml:space="preserve"> </w:t>
      </w:r>
      <w:r>
        <w:rPr>
          <w:w w:val="105"/>
          <w:sz w:val="15"/>
        </w:rPr>
        <w:t>australiano)</w:t>
      </w:r>
      <w:r>
        <w:rPr>
          <w:spacing w:val="-2"/>
          <w:w w:val="105"/>
          <w:sz w:val="15"/>
        </w:rPr>
        <w:t xml:space="preserve"> </w:t>
      </w:r>
      <w:r>
        <w:rPr>
          <w:w w:val="105"/>
          <w:sz w:val="15"/>
        </w:rPr>
        <w:t>pero</w:t>
      </w:r>
      <w:r>
        <w:rPr>
          <w:spacing w:val="-1"/>
          <w:w w:val="105"/>
          <w:sz w:val="15"/>
        </w:rPr>
        <w:t xml:space="preserve"> </w:t>
      </w:r>
      <w:r>
        <w:rPr>
          <w:w w:val="105"/>
          <w:sz w:val="15"/>
        </w:rPr>
        <w:t>no</w:t>
      </w:r>
      <w:r>
        <w:rPr>
          <w:spacing w:val="-1"/>
          <w:w w:val="105"/>
          <w:sz w:val="15"/>
        </w:rPr>
        <w:t xml:space="preserve"> </w:t>
      </w:r>
      <w:r>
        <w:rPr>
          <w:w w:val="105"/>
          <w:sz w:val="15"/>
        </w:rPr>
        <w:t>podía</w:t>
      </w:r>
      <w:r>
        <w:rPr>
          <w:spacing w:val="-2"/>
          <w:w w:val="105"/>
          <w:sz w:val="15"/>
        </w:rPr>
        <w:t xml:space="preserve"> </w:t>
      </w:r>
      <w:r>
        <w:rPr>
          <w:w w:val="105"/>
          <w:sz w:val="15"/>
        </w:rPr>
        <w:t>utilizar</w:t>
      </w:r>
      <w:r>
        <w:rPr>
          <w:spacing w:val="-2"/>
          <w:w w:val="105"/>
          <w:sz w:val="15"/>
        </w:rPr>
        <w:t xml:space="preserve"> </w:t>
      </w:r>
      <w:r>
        <w:rPr>
          <w:w w:val="105"/>
          <w:sz w:val="15"/>
        </w:rPr>
        <w:t>ese</w:t>
      </w:r>
      <w:r>
        <w:rPr>
          <w:spacing w:val="-1"/>
          <w:w w:val="105"/>
          <w:sz w:val="15"/>
        </w:rPr>
        <w:t xml:space="preserve"> </w:t>
      </w:r>
      <w:r>
        <w:rPr>
          <w:w w:val="105"/>
          <w:sz w:val="15"/>
        </w:rPr>
        <w:t>idioma</w:t>
      </w:r>
      <w:r>
        <w:rPr>
          <w:spacing w:val="-1"/>
          <w:w w:val="105"/>
          <w:sz w:val="15"/>
        </w:rPr>
        <w:t xml:space="preserve"> </w:t>
      </w:r>
      <w:r>
        <w:rPr>
          <w:w w:val="105"/>
          <w:sz w:val="15"/>
        </w:rPr>
        <w:t>en</w:t>
      </w:r>
      <w:r>
        <w:rPr>
          <w:spacing w:val="-1"/>
          <w:w w:val="105"/>
          <w:sz w:val="15"/>
        </w:rPr>
        <w:t xml:space="preserve"> </w:t>
      </w:r>
      <w:r>
        <w:rPr>
          <w:w w:val="105"/>
          <w:sz w:val="15"/>
        </w:rPr>
        <w:t>los</w:t>
      </w:r>
      <w:r>
        <w:rPr>
          <w:spacing w:val="-1"/>
          <w:w w:val="105"/>
          <w:sz w:val="15"/>
        </w:rPr>
        <w:t xml:space="preserve"> </w:t>
      </w:r>
      <w:r>
        <w:rPr>
          <w:w w:val="105"/>
          <w:sz w:val="15"/>
        </w:rPr>
        <w:t>arreglos</w:t>
      </w:r>
      <w:r>
        <w:rPr>
          <w:spacing w:val="-2"/>
          <w:w w:val="105"/>
          <w:sz w:val="15"/>
        </w:rPr>
        <w:t xml:space="preserve"> </w:t>
      </w:r>
      <w:r>
        <w:rPr>
          <w:w w:val="105"/>
          <w:sz w:val="15"/>
        </w:rPr>
        <w:t>educativos</w:t>
      </w:r>
      <w:r>
        <w:rPr>
          <w:spacing w:val="-2"/>
          <w:w w:val="105"/>
          <w:sz w:val="15"/>
        </w:rPr>
        <w:t xml:space="preserve"> </w:t>
      </w:r>
      <w:r>
        <w:rPr>
          <w:w w:val="105"/>
          <w:sz w:val="15"/>
        </w:rPr>
        <w:t>hechos</w:t>
      </w:r>
      <w:r>
        <w:rPr>
          <w:spacing w:val="-2"/>
          <w:w w:val="105"/>
          <w:sz w:val="15"/>
        </w:rPr>
        <w:t xml:space="preserve"> </w:t>
      </w:r>
      <w:r>
        <w:rPr>
          <w:w w:val="105"/>
          <w:sz w:val="15"/>
        </w:rPr>
        <w:t>para</w:t>
      </w:r>
      <w:r>
        <w:rPr>
          <w:spacing w:val="-1"/>
          <w:w w:val="105"/>
          <w:sz w:val="15"/>
        </w:rPr>
        <w:t xml:space="preserve"> </w:t>
      </w:r>
      <w:r>
        <w:rPr>
          <w:w w:val="105"/>
          <w:sz w:val="15"/>
        </w:rPr>
        <w:t>ella</w:t>
      </w:r>
      <w:r>
        <w:rPr>
          <w:spacing w:val="-1"/>
          <w:w w:val="105"/>
          <w:sz w:val="15"/>
        </w:rPr>
        <w:t xml:space="preserve"> </w:t>
      </w:r>
      <w:r>
        <w:rPr>
          <w:w w:val="105"/>
          <w:sz w:val="15"/>
        </w:rPr>
        <w:t xml:space="preserve">por el estado de Queensland, porque las autoridades solo estaban dispuestas a brindarle apoyo en lenguaje de señas en inglés. La Sra. </w:t>
      </w:r>
      <w:proofErr w:type="spellStart"/>
      <w:r>
        <w:rPr>
          <w:w w:val="105"/>
          <w:sz w:val="15"/>
        </w:rPr>
        <w:t>Hurst</w:t>
      </w:r>
      <w:proofErr w:type="spellEnd"/>
      <w:r>
        <w:rPr>
          <w:w w:val="105"/>
          <w:sz w:val="15"/>
        </w:rPr>
        <w:t xml:space="preserve"> sostuvo que este requisito constituía discriminación indirecta según la Ley de Discriminación por Discapacidad de 1992.</w:t>
      </w:r>
    </w:p>
    <w:p w14:paraId="27E86B90" w14:textId="77777777" w:rsidR="0014798C" w:rsidRDefault="004E1F0B">
      <w:pPr>
        <w:pStyle w:val="Textoindependiente"/>
        <w:spacing w:before="104" w:line="326" w:lineRule="auto"/>
        <w:ind w:left="1334" w:right="1499" w:hanging="2"/>
      </w:pPr>
      <w:r>
        <w:t xml:space="preserve">En los procedimientos judiciales, </w:t>
      </w:r>
      <w:proofErr w:type="spellStart"/>
      <w:r>
        <w:t>Education</w:t>
      </w:r>
      <w:proofErr w:type="spellEnd"/>
      <w:r>
        <w:t xml:space="preserve"> Queensland reconoció que estaba obligada a tomar disposiciones especiales para</w:t>
      </w:r>
      <w:r>
        <w:rPr>
          <w:spacing w:val="18"/>
        </w:rPr>
        <w:t xml:space="preserve"> </w:t>
      </w:r>
      <w:r>
        <w:t>la</w:t>
      </w:r>
      <w:r>
        <w:rPr>
          <w:spacing w:val="18"/>
        </w:rPr>
        <w:t xml:space="preserve"> </w:t>
      </w:r>
      <w:r>
        <w:t>educación</w:t>
      </w:r>
      <w:r>
        <w:rPr>
          <w:spacing w:val="18"/>
        </w:rPr>
        <w:t xml:space="preserve"> </w:t>
      </w:r>
      <w:r>
        <w:t>de</w:t>
      </w:r>
      <w:r>
        <w:rPr>
          <w:spacing w:val="18"/>
        </w:rPr>
        <w:t xml:space="preserve"> </w:t>
      </w:r>
      <w:r>
        <w:t>las</w:t>
      </w:r>
      <w:r>
        <w:rPr>
          <w:spacing w:val="18"/>
        </w:rPr>
        <w:t xml:space="preserve"> </w:t>
      </w:r>
      <w:r>
        <w:t>personas</w:t>
      </w:r>
      <w:r>
        <w:rPr>
          <w:spacing w:val="16"/>
        </w:rPr>
        <w:t xml:space="preserve"> </w:t>
      </w:r>
      <w:r>
        <w:t>con</w:t>
      </w:r>
      <w:r>
        <w:rPr>
          <w:spacing w:val="18"/>
        </w:rPr>
        <w:t xml:space="preserve"> </w:t>
      </w:r>
      <w:r>
        <w:t>discapacidad</w:t>
      </w:r>
      <w:r>
        <w:rPr>
          <w:spacing w:val="18"/>
        </w:rPr>
        <w:t xml:space="preserve"> </w:t>
      </w:r>
      <w:r>
        <w:t>auditiva.1065</w:t>
      </w:r>
      <w:r>
        <w:rPr>
          <w:spacing w:val="16"/>
        </w:rPr>
        <w:t xml:space="preserve"> </w:t>
      </w:r>
      <w:r>
        <w:t>Sin</w:t>
      </w:r>
      <w:r>
        <w:rPr>
          <w:spacing w:val="16"/>
        </w:rPr>
        <w:t xml:space="preserve"> </w:t>
      </w:r>
      <w:r>
        <w:t>embargo,</w:t>
      </w:r>
      <w:r>
        <w:rPr>
          <w:spacing w:val="18"/>
        </w:rPr>
        <w:t xml:space="preserve"> </w:t>
      </w:r>
      <w:r>
        <w:t>el</w:t>
      </w:r>
      <w:r>
        <w:rPr>
          <w:spacing w:val="18"/>
        </w:rPr>
        <w:t xml:space="preserve"> </w:t>
      </w:r>
      <w:r>
        <w:t>estado</w:t>
      </w:r>
      <w:r>
        <w:rPr>
          <w:spacing w:val="18"/>
        </w:rPr>
        <w:t xml:space="preserve"> </w:t>
      </w:r>
      <w:r>
        <w:t>de</w:t>
      </w:r>
      <w:r>
        <w:rPr>
          <w:spacing w:val="18"/>
        </w:rPr>
        <w:t xml:space="preserve"> </w:t>
      </w:r>
      <w:r>
        <w:t>Queensland</w:t>
      </w:r>
      <w:r>
        <w:rPr>
          <w:spacing w:val="18"/>
        </w:rPr>
        <w:t xml:space="preserve"> </w:t>
      </w:r>
      <w:r>
        <w:t>afirmó</w:t>
      </w:r>
      <w:r>
        <w:rPr>
          <w:spacing w:val="18"/>
        </w:rPr>
        <w:t xml:space="preserve"> </w:t>
      </w:r>
      <w:r>
        <w:t>que</w:t>
      </w:r>
      <w:r>
        <w:rPr>
          <w:spacing w:val="18"/>
        </w:rPr>
        <w:t xml:space="preserve"> </w:t>
      </w:r>
      <w:r>
        <w:t xml:space="preserve">a la Sra. </w:t>
      </w:r>
      <w:proofErr w:type="spellStart"/>
      <w:r>
        <w:t>Hurst</w:t>
      </w:r>
      <w:proofErr w:type="spellEnd"/>
      <w:r>
        <w:t xml:space="preserve"> se le podía enseñar en inglés y seguir manteniendo la paridad con sus compañeros oyentes</w:t>
      </w:r>
      <w:proofErr w:type="gramStart"/>
      <w:r>
        <w:t>. .</w:t>
      </w:r>
      <w:proofErr w:type="gramEnd"/>
    </w:p>
    <w:p w14:paraId="1A732CDC" w14:textId="77777777" w:rsidR="0014798C" w:rsidRDefault="004E1F0B">
      <w:pPr>
        <w:spacing w:before="119" w:line="348" w:lineRule="auto"/>
        <w:ind w:left="1337" w:right="1463"/>
        <w:rPr>
          <w:sz w:val="15"/>
        </w:rPr>
      </w:pPr>
      <w:r>
        <w:rPr>
          <w:w w:val="105"/>
          <w:sz w:val="15"/>
        </w:rPr>
        <w:t>En</w:t>
      </w:r>
      <w:r>
        <w:rPr>
          <w:spacing w:val="-2"/>
          <w:w w:val="105"/>
          <w:sz w:val="15"/>
        </w:rPr>
        <w:t xml:space="preserve"> </w:t>
      </w:r>
      <w:r>
        <w:rPr>
          <w:w w:val="105"/>
          <w:sz w:val="15"/>
        </w:rPr>
        <w:t>apelación,</w:t>
      </w:r>
      <w:r>
        <w:rPr>
          <w:spacing w:val="-1"/>
          <w:w w:val="105"/>
          <w:sz w:val="15"/>
        </w:rPr>
        <w:t xml:space="preserve"> </w:t>
      </w:r>
      <w:r>
        <w:rPr>
          <w:w w:val="105"/>
          <w:sz w:val="15"/>
        </w:rPr>
        <w:t>el</w:t>
      </w:r>
      <w:r>
        <w:rPr>
          <w:spacing w:val="-1"/>
          <w:w w:val="105"/>
          <w:sz w:val="15"/>
        </w:rPr>
        <w:t xml:space="preserve"> </w:t>
      </w:r>
      <w:r>
        <w:rPr>
          <w:w w:val="105"/>
          <w:sz w:val="15"/>
        </w:rPr>
        <w:t>Tribunal</w:t>
      </w:r>
      <w:r>
        <w:rPr>
          <w:spacing w:val="-2"/>
          <w:w w:val="105"/>
          <w:sz w:val="15"/>
        </w:rPr>
        <w:t xml:space="preserve"> </w:t>
      </w:r>
      <w:r>
        <w:rPr>
          <w:w w:val="105"/>
          <w:sz w:val="15"/>
        </w:rPr>
        <w:t>Federal</w:t>
      </w:r>
      <w:r>
        <w:rPr>
          <w:spacing w:val="-2"/>
          <w:w w:val="105"/>
          <w:sz w:val="15"/>
        </w:rPr>
        <w:t xml:space="preserve"> </w:t>
      </w:r>
      <w:r>
        <w:rPr>
          <w:w w:val="105"/>
          <w:sz w:val="15"/>
        </w:rPr>
        <w:t>de</w:t>
      </w:r>
      <w:r>
        <w:rPr>
          <w:spacing w:val="-1"/>
          <w:w w:val="105"/>
          <w:sz w:val="15"/>
        </w:rPr>
        <w:t xml:space="preserve"> </w:t>
      </w:r>
      <w:r>
        <w:rPr>
          <w:w w:val="105"/>
          <w:sz w:val="15"/>
        </w:rPr>
        <w:t>Australia</w:t>
      </w:r>
      <w:r>
        <w:rPr>
          <w:spacing w:val="-2"/>
          <w:w w:val="105"/>
          <w:sz w:val="15"/>
        </w:rPr>
        <w:t xml:space="preserve"> </w:t>
      </w:r>
      <w:r>
        <w:rPr>
          <w:w w:val="105"/>
          <w:sz w:val="15"/>
        </w:rPr>
        <w:t>dictaminó</w:t>
      </w:r>
      <w:r>
        <w:rPr>
          <w:spacing w:val="-2"/>
          <w:w w:val="105"/>
          <w:sz w:val="15"/>
        </w:rPr>
        <w:t xml:space="preserve"> </w:t>
      </w:r>
      <w:r>
        <w:rPr>
          <w:w w:val="105"/>
          <w:sz w:val="15"/>
        </w:rPr>
        <w:t>que</w:t>
      </w:r>
      <w:r>
        <w:rPr>
          <w:spacing w:val="-1"/>
          <w:w w:val="105"/>
          <w:sz w:val="15"/>
        </w:rPr>
        <w:t xml:space="preserve"> </w:t>
      </w:r>
      <w:r>
        <w:rPr>
          <w:w w:val="105"/>
          <w:sz w:val="15"/>
        </w:rPr>
        <w:t>la</w:t>
      </w:r>
      <w:r>
        <w:rPr>
          <w:spacing w:val="-1"/>
          <w:w w:val="105"/>
          <w:sz w:val="15"/>
        </w:rPr>
        <w:t xml:space="preserve"> </w:t>
      </w:r>
      <w:r>
        <w:rPr>
          <w:w w:val="105"/>
          <w:sz w:val="15"/>
        </w:rPr>
        <w:t>denegación</w:t>
      </w:r>
      <w:r>
        <w:rPr>
          <w:spacing w:val="-1"/>
          <w:w w:val="105"/>
          <w:sz w:val="15"/>
        </w:rPr>
        <w:t xml:space="preserve"> </w:t>
      </w:r>
      <w:r>
        <w:rPr>
          <w:w w:val="105"/>
          <w:sz w:val="15"/>
        </w:rPr>
        <w:t>de</w:t>
      </w:r>
      <w:r>
        <w:rPr>
          <w:spacing w:val="-1"/>
          <w:w w:val="105"/>
          <w:sz w:val="15"/>
        </w:rPr>
        <w:t xml:space="preserve"> </w:t>
      </w:r>
      <w:r>
        <w:rPr>
          <w:w w:val="105"/>
          <w:sz w:val="15"/>
        </w:rPr>
        <w:t>enseñanza</w:t>
      </w:r>
      <w:r>
        <w:rPr>
          <w:spacing w:val="-1"/>
          <w:w w:val="105"/>
          <w:sz w:val="15"/>
        </w:rPr>
        <w:t xml:space="preserve"> </w:t>
      </w:r>
      <w:r>
        <w:rPr>
          <w:w w:val="105"/>
          <w:sz w:val="15"/>
        </w:rPr>
        <w:t>en</w:t>
      </w:r>
      <w:r>
        <w:rPr>
          <w:spacing w:val="-1"/>
          <w:w w:val="105"/>
          <w:sz w:val="15"/>
        </w:rPr>
        <w:t xml:space="preserve"> </w:t>
      </w:r>
      <w:proofErr w:type="spellStart"/>
      <w:r>
        <w:rPr>
          <w:w w:val="105"/>
          <w:sz w:val="15"/>
        </w:rPr>
        <w:t>Auslan</w:t>
      </w:r>
      <w:proofErr w:type="spellEnd"/>
      <w:r>
        <w:rPr>
          <w:spacing w:val="-2"/>
          <w:w w:val="105"/>
          <w:sz w:val="15"/>
        </w:rPr>
        <w:t xml:space="preserve"> </w:t>
      </w:r>
      <w:r>
        <w:rPr>
          <w:w w:val="105"/>
          <w:sz w:val="15"/>
        </w:rPr>
        <w:t>tuvo</w:t>
      </w:r>
      <w:r>
        <w:rPr>
          <w:spacing w:val="-2"/>
          <w:w w:val="105"/>
          <w:sz w:val="15"/>
        </w:rPr>
        <w:t xml:space="preserve"> </w:t>
      </w:r>
      <w:r>
        <w:rPr>
          <w:w w:val="105"/>
          <w:sz w:val="15"/>
        </w:rPr>
        <w:t>un</w:t>
      </w:r>
      <w:r>
        <w:rPr>
          <w:spacing w:val="-1"/>
          <w:w w:val="105"/>
          <w:sz w:val="15"/>
        </w:rPr>
        <w:t xml:space="preserve"> </w:t>
      </w:r>
      <w:r>
        <w:rPr>
          <w:w w:val="105"/>
          <w:sz w:val="15"/>
        </w:rPr>
        <w:t>efecto</w:t>
      </w:r>
      <w:r>
        <w:rPr>
          <w:spacing w:val="-2"/>
          <w:w w:val="105"/>
          <w:sz w:val="15"/>
        </w:rPr>
        <w:t xml:space="preserve"> </w:t>
      </w:r>
      <w:r>
        <w:rPr>
          <w:w w:val="105"/>
          <w:sz w:val="15"/>
        </w:rPr>
        <w:t xml:space="preserve">perjudicial para la Sra. </w:t>
      </w:r>
      <w:proofErr w:type="spellStart"/>
      <w:r>
        <w:rPr>
          <w:w w:val="105"/>
          <w:sz w:val="15"/>
        </w:rPr>
        <w:t>Hurst</w:t>
      </w:r>
      <w:proofErr w:type="spellEnd"/>
      <w:r>
        <w:rPr>
          <w:w w:val="105"/>
          <w:sz w:val="15"/>
        </w:rPr>
        <w:t xml:space="preserve"> y que, en última instancia, se le podría negar la oportunidad de alcanzar su máximo potencial.</w:t>
      </w:r>
    </w:p>
    <w:p w14:paraId="4F8CBA94" w14:textId="77777777" w:rsidR="0014798C" w:rsidRDefault="004E1F0B">
      <w:pPr>
        <w:spacing w:line="348" w:lineRule="auto"/>
        <w:ind w:left="1339" w:right="1272" w:hanging="7"/>
        <w:rPr>
          <w:sz w:val="15"/>
        </w:rPr>
      </w:pPr>
      <w:r>
        <w:rPr>
          <w:w w:val="105"/>
          <w:sz w:val="15"/>
        </w:rPr>
        <w:t>El</w:t>
      </w:r>
      <w:r>
        <w:rPr>
          <w:spacing w:val="-2"/>
          <w:w w:val="105"/>
          <w:sz w:val="15"/>
        </w:rPr>
        <w:t xml:space="preserve"> </w:t>
      </w:r>
      <w:r>
        <w:rPr>
          <w:w w:val="105"/>
          <w:sz w:val="15"/>
        </w:rPr>
        <w:t>Tribunal</w:t>
      </w:r>
      <w:r>
        <w:rPr>
          <w:spacing w:val="-2"/>
          <w:w w:val="105"/>
          <w:sz w:val="15"/>
        </w:rPr>
        <w:t xml:space="preserve"> </w:t>
      </w:r>
      <w:r>
        <w:rPr>
          <w:w w:val="105"/>
          <w:sz w:val="15"/>
        </w:rPr>
        <w:t>sostuvo</w:t>
      </w:r>
      <w:r>
        <w:rPr>
          <w:spacing w:val="-1"/>
          <w:w w:val="105"/>
          <w:sz w:val="15"/>
        </w:rPr>
        <w:t xml:space="preserve"> </w:t>
      </w:r>
      <w:r>
        <w:rPr>
          <w:w w:val="105"/>
          <w:sz w:val="15"/>
        </w:rPr>
        <w:t>que</w:t>
      </w:r>
      <w:r>
        <w:rPr>
          <w:spacing w:val="-1"/>
          <w:w w:val="105"/>
          <w:sz w:val="15"/>
        </w:rPr>
        <w:t xml:space="preserve"> </w:t>
      </w:r>
      <w:r>
        <w:rPr>
          <w:w w:val="105"/>
          <w:sz w:val="15"/>
        </w:rPr>
        <w:t>una</w:t>
      </w:r>
      <w:r>
        <w:rPr>
          <w:spacing w:val="-1"/>
          <w:w w:val="105"/>
          <w:sz w:val="15"/>
        </w:rPr>
        <w:t xml:space="preserve"> </w:t>
      </w:r>
      <w:r>
        <w:rPr>
          <w:w w:val="105"/>
          <w:sz w:val="15"/>
        </w:rPr>
        <w:t>persona</w:t>
      </w:r>
      <w:r>
        <w:rPr>
          <w:spacing w:val="-1"/>
          <w:w w:val="105"/>
          <w:sz w:val="15"/>
        </w:rPr>
        <w:t xml:space="preserve"> </w:t>
      </w:r>
      <w:r>
        <w:rPr>
          <w:w w:val="105"/>
          <w:sz w:val="15"/>
        </w:rPr>
        <w:t>con</w:t>
      </w:r>
      <w:r>
        <w:rPr>
          <w:spacing w:val="-1"/>
          <w:w w:val="105"/>
          <w:sz w:val="15"/>
        </w:rPr>
        <w:t xml:space="preserve"> </w:t>
      </w:r>
      <w:r>
        <w:rPr>
          <w:w w:val="105"/>
          <w:sz w:val="15"/>
        </w:rPr>
        <w:t>discapacidad</w:t>
      </w:r>
      <w:r>
        <w:rPr>
          <w:spacing w:val="-1"/>
          <w:w w:val="105"/>
          <w:sz w:val="15"/>
        </w:rPr>
        <w:t xml:space="preserve"> </w:t>
      </w:r>
      <w:r>
        <w:rPr>
          <w:w w:val="105"/>
          <w:sz w:val="15"/>
        </w:rPr>
        <w:t>auditiva</w:t>
      </w:r>
      <w:r>
        <w:rPr>
          <w:spacing w:val="-2"/>
          <w:w w:val="105"/>
          <w:sz w:val="15"/>
        </w:rPr>
        <w:t xml:space="preserve"> </w:t>
      </w:r>
      <w:r>
        <w:rPr>
          <w:w w:val="105"/>
          <w:sz w:val="15"/>
        </w:rPr>
        <w:t>sufriría</w:t>
      </w:r>
      <w:r>
        <w:rPr>
          <w:spacing w:val="-2"/>
          <w:w w:val="105"/>
          <w:sz w:val="15"/>
        </w:rPr>
        <w:t xml:space="preserve"> </w:t>
      </w:r>
      <w:r>
        <w:rPr>
          <w:w w:val="105"/>
          <w:sz w:val="15"/>
        </w:rPr>
        <w:t>una</w:t>
      </w:r>
      <w:r>
        <w:rPr>
          <w:spacing w:val="-1"/>
          <w:w w:val="105"/>
          <w:sz w:val="15"/>
        </w:rPr>
        <w:t xml:space="preserve"> </w:t>
      </w:r>
      <w:r>
        <w:rPr>
          <w:w w:val="105"/>
          <w:sz w:val="15"/>
        </w:rPr>
        <w:t>grave</w:t>
      </w:r>
      <w:r>
        <w:rPr>
          <w:spacing w:val="-1"/>
          <w:w w:val="105"/>
          <w:sz w:val="15"/>
        </w:rPr>
        <w:t xml:space="preserve"> </w:t>
      </w:r>
      <w:r>
        <w:rPr>
          <w:w w:val="105"/>
          <w:sz w:val="15"/>
        </w:rPr>
        <w:t>desventaja</w:t>
      </w:r>
      <w:r>
        <w:rPr>
          <w:spacing w:val="-2"/>
          <w:w w:val="105"/>
          <w:sz w:val="15"/>
        </w:rPr>
        <w:t xml:space="preserve"> </w:t>
      </w:r>
      <w:r>
        <w:rPr>
          <w:w w:val="105"/>
          <w:sz w:val="15"/>
        </w:rPr>
        <w:t>si</w:t>
      </w:r>
      <w:r>
        <w:rPr>
          <w:spacing w:val="-1"/>
          <w:w w:val="105"/>
          <w:sz w:val="15"/>
        </w:rPr>
        <w:t xml:space="preserve"> </w:t>
      </w:r>
      <w:r>
        <w:rPr>
          <w:w w:val="105"/>
          <w:sz w:val="15"/>
        </w:rPr>
        <w:t>se</w:t>
      </w:r>
      <w:r>
        <w:rPr>
          <w:spacing w:val="-1"/>
          <w:w w:val="105"/>
          <w:sz w:val="15"/>
        </w:rPr>
        <w:t xml:space="preserve"> </w:t>
      </w:r>
      <w:r>
        <w:rPr>
          <w:w w:val="105"/>
          <w:sz w:val="15"/>
        </w:rPr>
        <w:t>le</w:t>
      </w:r>
      <w:r>
        <w:rPr>
          <w:spacing w:val="-1"/>
          <w:w w:val="105"/>
          <w:sz w:val="15"/>
        </w:rPr>
        <w:t xml:space="preserve"> </w:t>
      </w:r>
      <w:r>
        <w:rPr>
          <w:w w:val="105"/>
          <w:sz w:val="15"/>
        </w:rPr>
        <w:t>negara</w:t>
      </w:r>
      <w:r>
        <w:rPr>
          <w:spacing w:val="-1"/>
          <w:w w:val="105"/>
          <w:sz w:val="15"/>
        </w:rPr>
        <w:t xml:space="preserve"> </w:t>
      </w:r>
      <w:r>
        <w:rPr>
          <w:w w:val="105"/>
          <w:sz w:val="15"/>
        </w:rPr>
        <w:t>el</w:t>
      </w:r>
      <w:r>
        <w:rPr>
          <w:spacing w:val="-1"/>
          <w:w w:val="105"/>
          <w:sz w:val="15"/>
        </w:rPr>
        <w:t xml:space="preserve"> </w:t>
      </w:r>
      <w:r>
        <w:rPr>
          <w:w w:val="105"/>
          <w:sz w:val="15"/>
        </w:rPr>
        <w:t>tipo</w:t>
      </w:r>
      <w:r>
        <w:rPr>
          <w:spacing w:val="-2"/>
          <w:w w:val="105"/>
          <w:sz w:val="15"/>
        </w:rPr>
        <w:t xml:space="preserve"> </w:t>
      </w:r>
      <w:r>
        <w:rPr>
          <w:w w:val="105"/>
          <w:sz w:val="15"/>
        </w:rPr>
        <w:t>de</w:t>
      </w:r>
      <w:r>
        <w:rPr>
          <w:spacing w:val="-1"/>
          <w:w w:val="105"/>
          <w:sz w:val="15"/>
        </w:rPr>
        <w:t xml:space="preserve"> </w:t>
      </w:r>
      <w:r>
        <w:rPr>
          <w:w w:val="105"/>
          <w:sz w:val="15"/>
        </w:rPr>
        <w:t>apoyo solicitado. Por lo tanto, resolvió que se había contravenido la Ley de Discriminación por Discapacidad1066.</w:t>
      </w:r>
    </w:p>
    <w:p w14:paraId="64DEA49E" w14:textId="77777777" w:rsidR="0014798C" w:rsidRDefault="0014798C">
      <w:pPr>
        <w:pStyle w:val="Textoindependiente"/>
        <w:rPr>
          <w:sz w:val="15"/>
        </w:rPr>
      </w:pPr>
    </w:p>
    <w:p w14:paraId="4C5E2DF8" w14:textId="77777777" w:rsidR="0014798C" w:rsidRDefault="0014798C">
      <w:pPr>
        <w:pStyle w:val="Textoindependiente"/>
        <w:spacing w:before="107"/>
        <w:rPr>
          <w:sz w:val="15"/>
        </w:rPr>
      </w:pPr>
    </w:p>
    <w:p w14:paraId="54166480" w14:textId="77777777" w:rsidR="0014798C" w:rsidRDefault="004E1F0B">
      <w:pPr>
        <w:spacing w:line="348" w:lineRule="auto"/>
        <w:ind w:left="1109" w:right="1352" w:firstLine="5"/>
        <w:rPr>
          <w:sz w:val="15"/>
        </w:rPr>
      </w:pPr>
      <w:r>
        <w:rPr>
          <w:noProof/>
        </w:rPr>
        <mc:AlternateContent>
          <mc:Choice Requires="wps">
            <w:drawing>
              <wp:anchor distT="0" distB="0" distL="0" distR="0" simplePos="0" relativeHeight="251658320" behindDoc="0" locked="0" layoutInCell="1" allowOverlap="1" wp14:anchorId="784FE1D0" wp14:editId="2B96D882">
                <wp:simplePos x="0" y="0"/>
                <wp:positionH relativeFrom="page">
                  <wp:posOffset>7293418</wp:posOffset>
                </wp:positionH>
                <wp:positionV relativeFrom="paragraph">
                  <wp:posOffset>189634</wp:posOffset>
                </wp:positionV>
                <wp:extent cx="104775" cy="260985"/>
                <wp:effectExtent l="0" t="0" r="0" b="0"/>
                <wp:wrapNone/>
                <wp:docPr id="315" name="Textbox 31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04775" cy="260985"/>
                        </a:xfrm>
                        <a:prstGeom prst="rect">
                          <a:avLst/>
                        </a:prstGeom>
                      </wps:spPr>
                      <wps:txbx>
                        <w:txbxContent>
                          <w:p w14:paraId="7EBAD7B7" w14:textId="77777777" w:rsidR="0014798C" w:rsidRDefault="004E1F0B">
                            <w:pPr>
                              <w:spacing w:before="17"/>
                              <w:ind w:left="20"/>
                              <w:rPr>
                                <w:sz w:val="11"/>
                              </w:rPr>
                            </w:pPr>
                            <w:r>
                              <w:rPr>
                                <w:color w:val="FFFFFF"/>
                                <w:spacing w:val="-33"/>
                                <w:sz w:val="11"/>
                              </w:rPr>
                              <w:t>TPRAERSTE</w:t>
                            </w:r>
                          </w:p>
                        </w:txbxContent>
                      </wps:txbx>
                      <wps:bodyPr vert="vert270" wrap="square" lIns="0" tIns="0" rIns="0" bIns="0" rtlCol="0">
                        <a:noAutofit/>
                      </wps:bodyPr>
                    </wps:wsp>
                  </a:graphicData>
                </a:graphic>
              </wp:anchor>
            </w:drawing>
          </mc:Choice>
          <mc:Fallback>
            <w:pict>
              <v:shape w14:anchorId="784FE1D0" id="Textbox 315" o:spid="_x0000_s1153" type="#_x0000_t202" style="position:absolute;left:0;text-align:left;margin-left:574.3pt;margin-top:14.95pt;width:8.25pt;height:20.55pt;z-index:251658320;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" filled="f" stroked="f">
                <v:textbox style="layout-flow:vertical;mso-layout-flow-alt:bottom-to-top" inset="0,0,0,0">
                  <w:txbxContent>
                    <w:p w14:paraId="7EBAD7B7" w14:textId="77777777" w:rsidR="0014798C" w:rsidRDefault="004E1F0B">
                      <w:pPr>
                        <w:spacing w:before="17"/>
                        <w:ind w:left="20"/>
                        <w:rPr>
                          <w:sz w:val="11"/>
                        </w:rPr>
                      </w:pPr>
                      <w:r>
                        <w:rPr>
                          <w:color w:val="FFFFFF"/>
                          <w:spacing w:val="-33"/>
                          <w:sz w:val="11"/>
                        </w:rPr>
                        <w:t>TPRAERSTE</w:t>
                      </w:r>
                    </w:p>
                  </w:txbxContent>
                </v:textbox>
                <w10:wrap anchorx="page"/>
              </v:shape>
            </w:pict>
          </mc:Fallback>
        </mc:AlternateContent>
      </w:r>
      <w:r>
        <w:rPr>
          <w:w w:val="105"/>
          <w:sz w:val="15"/>
        </w:rPr>
        <w:t>Las</w:t>
      </w:r>
      <w:r>
        <w:rPr>
          <w:spacing w:val="-1"/>
          <w:w w:val="105"/>
          <w:sz w:val="15"/>
        </w:rPr>
        <w:t xml:space="preserve"> </w:t>
      </w:r>
      <w:r>
        <w:rPr>
          <w:w w:val="105"/>
          <w:sz w:val="15"/>
        </w:rPr>
        <w:t>cuestiones</w:t>
      </w:r>
      <w:r>
        <w:rPr>
          <w:spacing w:val="-2"/>
          <w:w w:val="105"/>
          <w:sz w:val="15"/>
        </w:rPr>
        <w:t xml:space="preserve"> </w:t>
      </w:r>
      <w:r>
        <w:rPr>
          <w:w w:val="105"/>
          <w:sz w:val="15"/>
        </w:rPr>
        <w:t>relativas</w:t>
      </w:r>
      <w:r>
        <w:rPr>
          <w:spacing w:val="-2"/>
          <w:w w:val="105"/>
          <w:sz w:val="15"/>
        </w:rPr>
        <w:t xml:space="preserve"> </w:t>
      </w:r>
      <w:r>
        <w:rPr>
          <w:w w:val="105"/>
          <w:sz w:val="15"/>
        </w:rPr>
        <w:t>a</w:t>
      </w:r>
      <w:r>
        <w:rPr>
          <w:spacing w:val="-1"/>
          <w:w w:val="105"/>
          <w:sz w:val="15"/>
        </w:rPr>
        <w:t xml:space="preserve"> </w:t>
      </w:r>
      <w:r>
        <w:rPr>
          <w:w w:val="105"/>
          <w:sz w:val="15"/>
        </w:rPr>
        <w:t>los</w:t>
      </w:r>
      <w:r>
        <w:rPr>
          <w:spacing w:val="-1"/>
          <w:w w:val="105"/>
          <w:sz w:val="15"/>
        </w:rPr>
        <w:t xml:space="preserve"> </w:t>
      </w:r>
      <w:r>
        <w:rPr>
          <w:w w:val="105"/>
          <w:sz w:val="15"/>
        </w:rPr>
        <w:t>derechos</w:t>
      </w:r>
      <w:r>
        <w:rPr>
          <w:spacing w:val="-2"/>
          <w:w w:val="105"/>
          <w:sz w:val="15"/>
        </w:rPr>
        <w:t xml:space="preserve"> </w:t>
      </w:r>
      <w:r>
        <w:rPr>
          <w:w w:val="105"/>
          <w:sz w:val="15"/>
        </w:rPr>
        <w:t>lingüísticos</w:t>
      </w:r>
      <w:r>
        <w:rPr>
          <w:spacing w:val="-2"/>
          <w:w w:val="105"/>
          <w:sz w:val="15"/>
        </w:rPr>
        <w:t xml:space="preserve"> </w:t>
      </w:r>
      <w:r>
        <w:rPr>
          <w:w w:val="105"/>
          <w:sz w:val="15"/>
        </w:rPr>
        <w:t>y</w:t>
      </w:r>
      <w:r>
        <w:rPr>
          <w:spacing w:val="-1"/>
          <w:w w:val="105"/>
          <w:sz w:val="15"/>
        </w:rPr>
        <w:t xml:space="preserve"> </w:t>
      </w:r>
      <w:r>
        <w:rPr>
          <w:w w:val="105"/>
          <w:sz w:val="15"/>
        </w:rPr>
        <w:t>la</w:t>
      </w:r>
      <w:r>
        <w:rPr>
          <w:spacing w:val="-1"/>
          <w:w w:val="105"/>
          <w:sz w:val="15"/>
        </w:rPr>
        <w:t xml:space="preserve"> </w:t>
      </w:r>
      <w:r>
        <w:rPr>
          <w:w w:val="105"/>
          <w:sz w:val="15"/>
        </w:rPr>
        <w:t>discriminación</w:t>
      </w:r>
      <w:r>
        <w:rPr>
          <w:spacing w:val="-1"/>
          <w:w w:val="105"/>
          <w:sz w:val="15"/>
        </w:rPr>
        <w:t xml:space="preserve"> </w:t>
      </w:r>
      <w:r>
        <w:rPr>
          <w:w w:val="105"/>
          <w:sz w:val="15"/>
        </w:rPr>
        <w:t>plantean</w:t>
      </w:r>
      <w:r>
        <w:rPr>
          <w:spacing w:val="-2"/>
          <w:w w:val="105"/>
          <w:sz w:val="15"/>
        </w:rPr>
        <w:t xml:space="preserve"> </w:t>
      </w:r>
      <w:r>
        <w:rPr>
          <w:w w:val="105"/>
          <w:sz w:val="15"/>
        </w:rPr>
        <w:t>una</w:t>
      </w:r>
      <w:r>
        <w:rPr>
          <w:spacing w:val="-1"/>
          <w:w w:val="105"/>
          <w:sz w:val="15"/>
        </w:rPr>
        <w:t xml:space="preserve"> </w:t>
      </w:r>
      <w:r>
        <w:rPr>
          <w:w w:val="105"/>
          <w:sz w:val="15"/>
        </w:rPr>
        <w:t>serie</w:t>
      </w:r>
      <w:r>
        <w:rPr>
          <w:spacing w:val="-1"/>
          <w:w w:val="105"/>
          <w:sz w:val="15"/>
        </w:rPr>
        <w:t xml:space="preserve"> </w:t>
      </w:r>
      <w:r>
        <w:rPr>
          <w:w w:val="105"/>
          <w:sz w:val="15"/>
        </w:rPr>
        <w:t>de</w:t>
      </w:r>
      <w:r>
        <w:rPr>
          <w:spacing w:val="-1"/>
          <w:w w:val="105"/>
          <w:sz w:val="15"/>
        </w:rPr>
        <w:t xml:space="preserve"> </w:t>
      </w:r>
      <w:r>
        <w:rPr>
          <w:w w:val="105"/>
          <w:sz w:val="15"/>
        </w:rPr>
        <w:t>cuestiones</w:t>
      </w:r>
      <w:r>
        <w:rPr>
          <w:spacing w:val="-2"/>
          <w:w w:val="105"/>
          <w:sz w:val="15"/>
        </w:rPr>
        <w:t xml:space="preserve"> </w:t>
      </w:r>
      <w:r>
        <w:rPr>
          <w:w w:val="105"/>
          <w:sz w:val="15"/>
        </w:rPr>
        <w:t>en</w:t>
      </w:r>
      <w:r>
        <w:rPr>
          <w:spacing w:val="-1"/>
          <w:w w:val="105"/>
          <w:sz w:val="15"/>
        </w:rPr>
        <w:t xml:space="preserve"> </w:t>
      </w:r>
      <w:r>
        <w:rPr>
          <w:w w:val="105"/>
          <w:sz w:val="15"/>
        </w:rPr>
        <w:t>la</w:t>
      </w:r>
      <w:r>
        <w:rPr>
          <w:spacing w:val="-1"/>
          <w:w w:val="105"/>
          <w:sz w:val="15"/>
        </w:rPr>
        <w:t xml:space="preserve"> </w:t>
      </w:r>
      <w:r>
        <w:rPr>
          <w:w w:val="105"/>
          <w:sz w:val="15"/>
        </w:rPr>
        <w:t>práctica.</w:t>
      </w:r>
      <w:r>
        <w:rPr>
          <w:spacing w:val="-1"/>
          <w:w w:val="105"/>
          <w:sz w:val="15"/>
        </w:rPr>
        <w:t xml:space="preserve"> </w:t>
      </w:r>
      <w:r>
        <w:rPr>
          <w:w w:val="105"/>
          <w:sz w:val="15"/>
        </w:rPr>
        <w:t>Por</w:t>
      </w:r>
      <w:r>
        <w:rPr>
          <w:spacing w:val="-2"/>
          <w:w w:val="105"/>
          <w:sz w:val="15"/>
        </w:rPr>
        <w:t xml:space="preserve"> </w:t>
      </w:r>
      <w:r>
        <w:rPr>
          <w:w w:val="105"/>
          <w:sz w:val="15"/>
        </w:rPr>
        <w:t>ejemplo, hay ámbitos de la vida en los que puede estar justificado diferenciar en función del idioma (el empleo en las autoridades públicas, por</w:t>
      </w:r>
      <w:r>
        <w:rPr>
          <w:spacing w:val="-1"/>
          <w:w w:val="105"/>
          <w:sz w:val="15"/>
        </w:rPr>
        <w:t xml:space="preserve"> </w:t>
      </w:r>
      <w:r>
        <w:rPr>
          <w:w w:val="105"/>
          <w:sz w:val="15"/>
        </w:rPr>
        <w:t>ejemplo),</w:t>
      </w:r>
      <w:r>
        <w:rPr>
          <w:spacing w:val="-1"/>
          <w:w w:val="105"/>
          <w:sz w:val="15"/>
        </w:rPr>
        <w:t xml:space="preserve"> </w:t>
      </w:r>
      <w:r>
        <w:rPr>
          <w:w w:val="105"/>
          <w:sz w:val="15"/>
        </w:rPr>
        <w:t>con</w:t>
      </w:r>
      <w:r>
        <w:rPr>
          <w:spacing w:val="-1"/>
          <w:w w:val="105"/>
          <w:sz w:val="15"/>
        </w:rPr>
        <w:t xml:space="preserve"> </w:t>
      </w:r>
      <w:r>
        <w:rPr>
          <w:w w:val="105"/>
          <w:sz w:val="15"/>
        </w:rPr>
        <w:t>el</w:t>
      </w:r>
      <w:r>
        <w:rPr>
          <w:spacing w:val="-1"/>
          <w:w w:val="105"/>
          <w:sz w:val="15"/>
        </w:rPr>
        <w:t xml:space="preserve"> </w:t>
      </w:r>
      <w:r>
        <w:rPr>
          <w:w w:val="105"/>
          <w:sz w:val="15"/>
        </w:rPr>
        <w:t>efecto</w:t>
      </w:r>
      <w:r>
        <w:rPr>
          <w:spacing w:val="-2"/>
          <w:w w:val="105"/>
          <w:sz w:val="15"/>
        </w:rPr>
        <w:t xml:space="preserve"> </w:t>
      </w:r>
      <w:r>
        <w:rPr>
          <w:w w:val="105"/>
          <w:sz w:val="15"/>
        </w:rPr>
        <w:t>de</w:t>
      </w:r>
      <w:r>
        <w:rPr>
          <w:spacing w:val="-1"/>
          <w:w w:val="105"/>
          <w:sz w:val="15"/>
        </w:rPr>
        <w:t xml:space="preserve"> </w:t>
      </w:r>
      <w:r>
        <w:rPr>
          <w:w w:val="105"/>
          <w:sz w:val="15"/>
        </w:rPr>
        <w:t>que</w:t>
      </w:r>
      <w:r>
        <w:rPr>
          <w:spacing w:val="-1"/>
          <w:w w:val="105"/>
          <w:sz w:val="15"/>
        </w:rPr>
        <w:t xml:space="preserve"> </w:t>
      </w:r>
      <w:r>
        <w:rPr>
          <w:w w:val="105"/>
          <w:sz w:val="15"/>
        </w:rPr>
        <w:t>el</w:t>
      </w:r>
      <w:r>
        <w:rPr>
          <w:spacing w:val="-1"/>
          <w:w w:val="105"/>
          <w:sz w:val="15"/>
        </w:rPr>
        <w:t xml:space="preserve"> </w:t>
      </w:r>
      <w:r>
        <w:rPr>
          <w:w w:val="105"/>
          <w:sz w:val="15"/>
        </w:rPr>
        <w:t>idioma</w:t>
      </w:r>
      <w:r>
        <w:rPr>
          <w:spacing w:val="-1"/>
          <w:w w:val="105"/>
          <w:sz w:val="15"/>
        </w:rPr>
        <w:t xml:space="preserve"> </w:t>
      </w:r>
      <w:r>
        <w:rPr>
          <w:w w:val="105"/>
          <w:sz w:val="15"/>
        </w:rPr>
        <w:t>es</w:t>
      </w:r>
      <w:r>
        <w:rPr>
          <w:spacing w:val="-1"/>
          <w:w w:val="105"/>
          <w:sz w:val="15"/>
        </w:rPr>
        <w:t xml:space="preserve"> </w:t>
      </w:r>
      <w:r>
        <w:rPr>
          <w:w w:val="105"/>
          <w:sz w:val="15"/>
        </w:rPr>
        <w:t>uno</w:t>
      </w:r>
      <w:r>
        <w:rPr>
          <w:spacing w:val="-1"/>
          <w:w w:val="105"/>
          <w:sz w:val="15"/>
        </w:rPr>
        <w:t xml:space="preserve"> </w:t>
      </w:r>
      <w:r>
        <w:rPr>
          <w:w w:val="105"/>
          <w:sz w:val="15"/>
        </w:rPr>
        <w:t>de</w:t>
      </w:r>
      <w:r>
        <w:rPr>
          <w:spacing w:val="-1"/>
          <w:w w:val="105"/>
          <w:sz w:val="15"/>
        </w:rPr>
        <w:t xml:space="preserve"> </w:t>
      </w:r>
      <w:r>
        <w:rPr>
          <w:w w:val="105"/>
          <w:sz w:val="15"/>
        </w:rPr>
        <w:t>los</w:t>
      </w:r>
      <w:r>
        <w:rPr>
          <w:spacing w:val="-1"/>
          <w:w w:val="105"/>
          <w:sz w:val="15"/>
        </w:rPr>
        <w:t xml:space="preserve"> </w:t>
      </w:r>
      <w:r>
        <w:rPr>
          <w:w w:val="105"/>
          <w:sz w:val="15"/>
        </w:rPr>
        <w:t>motivos</w:t>
      </w:r>
      <w:r>
        <w:rPr>
          <w:spacing w:val="-2"/>
          <w:w w:val="105"/>
          <w:sz w:val="15"/>
        </w:rPr>
        <w:t xml:space="preserve"> </w:t>
      </w:r>
      <w:r>
        <w:rPr>
          <w:w w:val="105"/>
          <w:sz w:val="15"/>
        </w:rPr>
        <w:t>por</w:t>
      </w:r>
      <w:r>
        <w:rPr>
          <w:spacing w:val="-1"/>
          <w:w w:val="105"/>
          <w:sz w:val="15"/>
        </w:rPr>
        <w:t xml:space="preserve"> </w:t>
      </w:r>
      <w:r>
        <w:rPr>
          <w:w w:val="105"/>
          <w:sz w:val="15"/>
        </w:rPr>
        <w:t>los</w:t>
      </w:r>
      <w:r>
        <w:rPr>
          <w:spacing w:val="-1"/>
          <w:w w:val="105"/>
          <w:sz w:val="15"/>
        </w:rPr>
        <w:t xml:space="preserve"> </w:t>
      </w:r>
      <w:r>
        <w:rPr>
          <w:w w:val="105"/>
          <w:sz w:val="15"/>
        </w:rPr>
        <w:t>que</w:t>
      </w:r>
      <w:r>
        <w:rPr>
          <w:spacing w:val="-1"/>
          <w:w w:val="105"/>
          <w:sz w:val="15"/>
        </w:rPr>
        <w:t xml:space="preserve"> </w:t>
      </w:r>
      <w:r>
        <w:rPr>
          <w:w w:val="105"/>
          <w:sz w:val="15"/>
        </w:rPr>
        <w:t>es</w:t>
      </w:r>
      <w:r>
        <w:rPr>
          <w:spacing w:val="-1"/>
          <w:w w:val="105"/>
          <w:sz w:val="15"/>
        </w:rPr>
        <w:t xml:space="preserve"> </w:t>
      </w:r>
      <w:r>
        <w:rPr>
          <w:w w:val="105"/>
          <w:sz w:val="15"/>
        </w:rPr>
        <w:t>más</w:t>
      </w:r>
      <w:r>
        <w:rPr>
          <w:spacing w:val="-1"/>
          <w:w w:val="105"/>
          <w:sz w:val="15"/>
        </w:rPr>
        <w:t xml:space="preserve"> </w:t>
      </w:r>
      <w:r>
        <w:rPr>
          <w:w w:val="105"/>
          <w:sz w:val="15"/>
        </w:rPr>
        <w:t>probable</w:t>
      </w:r>
      <w:r>
        <w:rPr>
          <w:spacing w:val="-1"/>
          <w:w w:val="105"/>
          <w:sz w:val="15"/>
        </w:rPr>
        <w:t xml:space="preserve"> </w:t>
      </w:r>
      <w:r>
        <w:rPr>
          <w:w w:val="105"/>
          <w:sz w:val="15"/>
        </w:rPr>
        <w:t>que</w:t>
      </w:r>
      <w:r>
        <w:rPr>
          <w:spacing w:val="-1"/>
          <w:w w:val="105"/>
          <w:sz w:val="15"/>
        </w:rPr>
        <w:t xml:space="preserve"> </w:t>
      </w:r>
      <w:r>
        <w:rPr>
          <w:w w:val="105"/>
          <w:sz w:val="15"/>
        </w:rPr>
        <w:t>se</w:t>
      </w:r>
      <w:r>
        <w:rPr>
          <w:spacing w:val="-1"/>
          <w:w w:val="105"/>
          <w:sz w:val="15"/>
        </w:rPr>
        <w:t xml:space="preserve"> </w:t>
      </w:r>
      <w:r>
        <w:rPr>
          <w:w w:val="105"/>
          <w:sz w:val="15"/>
        </w:rPr>
        <w:t>produzca</w:t>
      </w:r>
      <w:r>
        <w:rPr>
          <w:spacing w:val="-1"/>
          <w:w w:val="105"/>
          <w:sz w:val="15"/>
        </w:rPr>
        <w:t xml:space="preserve"> </w:t>
      </w:r>
      <w:r>
        <w:rPr>
          <w:w w:val="105"/>
          <w:sz w:val="15"/>
        </w:rPr>
        <w:t>una</w:t>
      </w:r>
      <w:r>
        <w:rPr>
          <w:spacing w:val="-1"/>
          <w:w w:val="105"/>
          <w:sz w:val="15"/>
        </w:rPr>
        <w:t xml:space="preserve"> </w:t>
      </w:r>
      <w:r>
        <w:rPr>
          <w:w w:val="105"/>
          <w:sz w:val="15"/>
        </w:rPr>
        <w:t>discriminación directa. más permisible que la discriminación por otros motivos. Otro ejemplo de las complejidades de la discriminación en este ámbito es que muchas minorías lingüísticas son también minorías étnicas, con el efecto de que la diferenciación lingüística puede dar lugar a una discriminación indirecta por motivos de origen étnico.</w:t>
      </w:r>
    </w:p>
    <w:p w14:paraId="7A1A616E" w14:textId="77777777" w:rsidR="0014798C" w:rsidRDefault="004E1F0B">
      <w:pPr>
        <w:spacing w:before="168" w:line="348" w:lineRule="auto"/>
        <w:ind w:left="1107" w:right="1309" w:firstLine="7"/>
        <w:rPr>
          <w:sz w:val="15"/>
        </w:rPr>
      </w:pPr>
      <w:r>
        <w:rPr>
          <w:w w:val="105"/>
          <w:sz w:val="15"/>
        </w:rPr>
        <w:t>Un área constante de preocupación es la cuestión de la educación en lenguas minoritarias. En algunas situaciones, se ha considerado que el cierre forzoso de escuelas de idiomas minoritarios viola las leyes regionales de derechos humanos, al igual que la</w:t>
      </w:r>
      <w:r>
        <w:rPr>
          <w:spacing w:val="-1"/>
          <w:w w:val="105"/>
          <w:sz w:val="15"/>
        </w:rPr>
        <w:t xml:space="preserve"> </w:t>
      </w:r>
      <w:r>
        <w:rPr>
          <w:w w:val="105"/>
          <w:sz w:val="15"/>
        </w:rPr>
        <w:t>no</w:t>
      </w:r>
      <w:r>
        <w:rPr>
          <w:spacing w:val="-1"/>
          <w:w w:val="105"/>
          <w:sz w:val="15"/>
        </w:rPr>
        <w:t xml:space="preserve"> </w:t>
      </w:r>
      <w:r>
        <w:rPr>
          <w:w w:val="105"/>
          <w:sz w:val="15"/>
        </w:rPr>
        <w:t>provisión</w:t>
      </w:r>
      <w:r>
        <w:rPr>
          <w:spacing w:val="-1"/>
          <w:w w:val="105"/>
          <w:sz w:val="15"/>
        </w:rPr>
        <w:t xml:space="preserve"> </w:t>
      </w:r>
      <w:r>
        <w:rPr>
          <w:w w:val="105"/>
          <w:sz w:val="15"/>
        </w:rPr>
        <w:t>de</w:t>
      </w:r>
      <w:r>
        <w:rPr>
          <w:spacing w:val="-1"/>
          <w:w w:val="105"/>
          <w:sz w:val="15"/>
        </w:rPr>
        <w:t xml:space="preserve"> </w:t>
      </w:r>
      <w:r>
        <w:rPr>
          <w:w w:val="105"/>
          <w:sz w:val="15"/>
        </w:rPr>
        <w:t>educación</w:t>
      </w:r>
      <w:r>
        <w:rPr>
          <w:spacing w:val="-1"/>
          <w:w w:val="105"/>
          <w:sz w:val="15"/>
        </w:rPr>
        <w:t xml:space="preserve"> </w:t>
      </w:r>
      <w:r>
        <w:rPr>
          <w:w w:val="105"/>
          <w:sz w:val="15"/>
        </w:rPr>
        <w:t>en</w:t>
      </w:r>
      <w:r>
        <w:rPr>
          <w:spacing w:val="-1"/>
          <w:w w:val="105"/>
          <w:sz w:val="15"/>
        </w:rPr>
        <w:t xml:space="preserve"> </w:t>
      </w:r>
      <w:r>
        <w:rPr>
          <w:w w:val="105"/>
          <w:sz w:val="15"/>
        </w:rPr>
        <w:t>idiomas</w:t>
      </w:r>
      <w:r>
        <w:rPr>
          <w:spacing w:val="-2"/>
          <w:w w:val="105"/>
          <w:sz w:val="15"/>
        </w:rPr>
        <w:t xml:space="preserve"> </w:t>
      </w:r>
      <w:r>
        <w:rPr>
          <w:w w:val="105"/>
          <w:sz w:val="15"/>
        </w:rPr>
        <w:t>minoritarios.1067</w:t>
      </w:r>
      <w:r>
        <w:rPr>
          <w:spacing w:val="-2"/>
          <w:w w:val="105"/>
          <w:sz w:val="15"/>
        </w:rPr>
        <w:t xml:space="preserve"> </w:t>
      </w:r>
      <w:r>
        <w:rPr>
          <w:w w:val="105"/>
          <w:sz w:val="15"/>
        </w:rPr>
        <w:t>Sin</w:t>
      </w:r>
      <w:r>
        <w:rPr>
          <w:spacing w:val="-2"/>
          <w:w w:val="105"/>
          <w:sz w:val="15"/>
        </w:rPr>
        <w:t xml:space="preserve"> </w:t>
      </w:r>
      <w:r>
        <w:rPr>
          <w:w w:val="105"/>
          <w:sz w:val="15"/>
        </w:rPr>
        <w:t>embargo,</w:t>
      </w:r>
      <w:r>
        <w:rPr>
          <w:spacing w:val="-1"/>
          <w:w w:val="105"/>
          <w:sz w:val="15"/>
        </w:rPr>
        <w:t xml:space="preserve"> </w:t>
      </w:r>
      <w:r>
        <w:rPr>
          <w:w w:val="105"/>
          <w:sz w:val="15"/>
        </w:rPr>
        <w:t>en</w:t>
      </w:r>
      <w:r>
        <w:rPr>
          <w:spacing w:val="-1"/>
          <w:w w:val="105"/>
          <w:sz w:val="15"/>
        </w:rPr>
        <w:t xml:space="preserve"> </w:t>
      </w:r>
      <w:r>
        <w:rPr>
          <w:w w:val="105"/>
          <w:sz w:val="15"/>
        </w:rPr>
        <w:t>otros</w:t>
      </w:r>
      <w:r>
        <w:rPr>
          <w:spacing w:val="-2"/>
          <w:w w:val="105"/>
          <w:sz w:val="15"/>
        </w:rPr>
        <w:t xml:space="preserve"> </w:t>
      </w:r>
      <w:r>
        <w:rPr>
          <w:w w:val="105"/>
          <w:sz w:val="15"/>
        </w:rPr>
        <w:t>casos,</w:t>
      </w:r>
      <w:r>
        <w:rPr>
          <w:spacing w:val="-1"/>
          <w:w w:val="105"/>
          <w:sz w:val="15"/>
        </w:rPr>
        <w:t xml:space="preserve"> </w:t>
      </w:r>
      <w:r>
        <w:rPr>
          <w:w w:val="105"/>
          <w:sz w:val="15"/>
        </w:rPr>
        <w:t>se</w:t>
      </w:r>
      <w:r>
        <w:rPr>
          <w:spacing w:val="-1"/>
          <w:w w:val="105"/>
          <w:sz w:val="15"/>
        </w:rPr>
        <w:t xml:space="preserve"> </w:t>
      </w:r>
      <w:r>
        <w:rPr>
          <w:w w:val="105"/>
          <w:sz w:val="15"/>
        </w:rPr>
        <w:t>ha</w:t>
      </w:r>
      <w:r>
        <w:rPr>
          <w:spacing w:val="-1"/>
          <w:w w:val="105"/>
          <w:sz w:val="15"/>
        </w:rPr>
        <w:t xml:space="preserve"> </w:t>
      </w:r>
      <w:r>
        <w:rPr>
          <w:w w:val="105"/>
          <w:sz w:val="15"/>
        </w:rPr>
        <w:t>determinado</w:t>
      </w:r>
      <w:r>
        <w:rPr>
          <w:spacing w:val="-2"/>
          <w:w w:val="105"/>
          <w:sz w:val="15"/>
        </w:rPr>
        <w:t xml:space="preserve"> </w:t>
      </w:r>
      <w:r>
        <w:rPr>
          <w:w w:val="105"/>
          <w:sz w:val="15"/>
        </w:rPr>
        <w:t>que</w:t>
      </w:r>
      <w:r>
        <w:rPr>
          <w:spacing w:val="-1"/>
          <w:w w:val="105"/>
          <w:sz w:val="15"/>
        </w:rPr>
        <w:t xml:space="preserve"> </w:t>
      </w:r>
      <w:r>
        <w:rPr>
          <w:w w:val="105"/>
          <w:sz w:val="15"/>
        </w:rPr>
        <w:t>el</w:t>
      </w:r>
      <w:r>
        <w:rPr>
          <w:spacing w:val="-1"/>
          <w:w w:val="105"/>
          <w:sz w:val="15"/>
        </w:rPr>
        <w:t xml:space="preserve"> </w:t>
      </w:r>
      <w:r>
        <w:rPr>
          <w:w w:val="105"/>
          <w:sz w:val="15"/>
        </w:rPr>
        <w:t>mantenimiento</w:t>
      </w:r>
      <w:r>
        <w:rPr>
          <w:spacing w:val="-2"/>
          <w:w w:val="105"/>
          <w:sz w:val="15"/>
        </w:rPr>
        <w:t xml:space="preserve"> </w:t>
      </w:r>
      <w:r>
        <w:rPr>
          <w:w w:val="105"/>
          <w:sz w:val="15"/>
        </w:rPr>
        <w:t>de</w:t>
      </w:r>
    </w:p>
    <w:p w14:paraId="6118BE7B" w14:textId="77777777" w:rsidR="0014798C" w:rsidRDefault="004E1F0B">
      <w:pPr>
        <w:spacing w:line="348" w:lineRule="auto"/>
        <w:ind w:left="1108" w:right="1245" w:firstLine="3"/>
        <w:rPr>
          <w:sz w:val="15"/>
        </w:rPr>
      </w:pPr>
      <w:r>
        <w:rPr>
          <w:w w:val="105"/>
          <w:sz w:val="15"/>
        </w:rPr>
        <w:t>escuelas</w:t>
      </w:r>
      <w:r>
        <w:rPr>
          <w:spacing w:val="-2"/>
          <w:w w:val="105"/>
          <w:sz w:val="15"/>
        </w:rPr>
        <w:t xml:space="preserve"> </w:t>
      </w:r>
      <w:r>
        <w:rPr>
          <w:w w:val="105"/>
          <w:sz w:val="15"/>
        </w:rPr>
        <w:t>de</w:t>
      </w:r>
      <w:r>
        <w:rPr>
          <w:spacing w:val="-1"/>
          <w:w w:val="105"/>
          <w:sz w:val="15"/>
        </w:rPr>
        <w:t xml:space="preserve"> </w:t>
      </w:r>
      <w:r>
        <w:rPr>
          <w:w w:val="105"/>
          <w:sz w:val="15"/>
        </w:rPr>
        <w:t>idiomas</w:t>
      </w:r>
      <w:r>
        <w:rPr>
          <w:spacing w:val="-2"/>
          <w:w w:val="105"/>
          <w:sz w:val="15"/>
        </w:rPr>
        <w:t xml:space="preserve"> </w:t>
      </w:r>
      <w:r>
        <w:rPr>
          <w:w w:val="105"/>
          <w:sz w:val="15"/>
        </w:rPr>
        <w:t>separadas</w:t>
      </w:r>
      <w:r>
        <w:rPr>
          <w:spacing w:val="-2"/>
          <w:w w:val="105"/>
          <w:sz w:val="15"/>
        </w:rPr>
        <w:t xml:space="preserve"> </w:t>
      </w:r>
      <w:r>
        <w:rPr>
          <w:w w:val="105"/>
          <w:sz w:val="15"/>
        </w:rPr>
        <w:t>resulta</w:t>
      </w:r>
      <w:r>
        <w:rPr>
          <w:spacing w:val="-2"/>
          <w:w w:val="105"/>
          <w:sz w:val="15"/>
        </w:rPr>
        <w:t xml:space="preserve"> </w:t>
      </w:r>
      <w:r>
        <w:rPr>
          <w:w w:val="105"/>
          <w:sz w:val="15"/>
        </w:rPr>
        <w:t>en</w:t>
      </w:r>
      <w:r>
        <w:rPr>
          <w:spacing w:val="-1"/>
          <w:w w:val="105"/>
          <w:sz w:val="15"/>
        </w:rPr>
        <w:t xml:space="preserve"> </w:t>
      </w:r>
      <w:r>
        <w:rPr>
          <w:w w:val="105"/>
          <w:sz w:val="15"/>
        </w:rPr>
        <w:t>Segregación</w:t>
      </w:r>
      <w:r>
        <w:rPr>
          <w:spacing w:val="-2"/>
          <w:w w:val="105"/>
          <w:sz w:val="15"/>
        </w:rPr>
        <w:t xml:space="preserve"> </w:t>
      </w:r>
      <w:r>
        <w:rPr>
          <w:w w:val="105"/>
          <w:sz w:val="15"/>
        </w:rPr>
        <w:t>racial</w:t>
      </w:r>
      <w:r>
        <w:rPr>
          <w:spacing w:val="-1"/>
          <w:w w:val="105"/>
          <w:sz w:val="15"/>
        </w:rPr>
        <w:t xml:space="preserve"> </w:t>
      </w:r>
      <w:r>
        <w:rPr>
          <w:w w:val="105"/>
          <w:sz w:val="15"/>
        </w:rPr>
        <w:t>de</w:t>
      </w:r>
      <w:r>
        <w:rPr>
          <w:spacing w:val="-1"/>
          <w:w w:val="105"/>
          <w:sz w:val="15"/>
        </w:rPr>
        <w:t xml:space="preserve"> </w:t>
      </w:r>
      <w:r>
        <w:rPr>
          <w:w w:val="105"/>
          <w:sz w:val="15"/>
        </w:rPr>
        <w:t>facto:</w:t>
      </w:r>
      <w:r>
        <w:rPr>
          <w:spacing w:val="-1"/>
          <w:w w:val="105"/>
          <w:sz w:val="15"/>
        </w:rPr>
        <w:t xml:space="preserve"> </w:t>
      </w:r>
      <w:r>
        <w:rPr>
          <w:w w:val="105"/>
          <w:sz w:val="15"/>
        </w:rPr>
        <w:t>el</w:t>
      </w:r>
      <w:r>
        <w:rPr>
          <w:spacing w:val="-1"/>
          <w:w w:val="105"/>
          <w:sz w:val="15"/>
        </w:rPr>
        <w:t xml:space="preserve"> </w:t>
      </w:r>
      <w:r>
        <w:rPr>
          <w:w w:val="105"/>
          <w:sz w:val="15"/>
        </w:rPr>
        <w:t>Tribunal</w:t>
      </w:r>
      <w:r>
        <w:rPr>
          <w:spacing w:val="-2"/>
          <w:w w:val="105"/>
          <w:sz w:val="15"/>
        </w:rPr>
        <w:t xml:space="preserve"> </w:t>
      </w:r>
      <w:r>
        <w:rPr>
          <w:w w:val="105"/>
          <w:sz w:val="15"/>
        </w:rPr>
        <w:t>Europeo</w:t>
      </w:r>
      <w:r>
        <w:rPr>
          <w:spacing w:val="-2"/>
          <w:w w:val="105"/>
          <w:sz w:val="15"/>
        </w:rPr>
        <w:t xml:space="preserve"> </w:t>
      </w:r>
      <w:r>
        <w:rPr>
          <w:w w:val="105"/>
          <w:sz w:val="15"/>
        </w:rPr>
        <w:t>de</w:t>
      </w:r>
      <w:r>
        <w:rPr>
          <w:spacing w:val="-1"/>
          <w:w w:val="105"/>
          <w:sz w:val="15"/>
        </w:rPr>
        <w:t xml:space="preserve"> </w:t>
      </w:r>
      <w:r>
        <w:rPr>
          <w:w w:val="105"/>
          <w:sz w:val="15"/>
        </w:rPr>
        <w:t>Derechos</w:t>
      </w:r>
      <w:r>
        <w:rPr>
          <w:spacing w:val="-2"/>
          <w:w w:val="105"/>
          <w:sz w:val="15"/>
        </w:rPr>
        <w:t xml:space="preserve"> </w:t>
      </w:r>
      <w:r>
        <w:rPr>
          <w:w w:val="105"/>
          <w:sz w:val="15"/>
        </w:rPr>
        <w:t>Humanos</w:t>
      </w:r>
      <w:r>
        <w:rPr>
          <w:spacing w:val="-2"/>
          <w:w w:val="105"/>
          <w:sz w:val="15"/>
        </w:rPr>
        <w:t xml:space="preserve"> </w:t>
      </w:r>
      <w:r>
        <w:rPr>
          <w:w w:val="105"/>
          <w:sz w:val="15"/>
        </w:rPr>
        <w:t>se</w:t>
      </w:r>
      <w:r>
        <w:rPr>
          <w:spacing w:val="-1"/>
          <w:w w:val="105"/>
          <w:sz w:val="15"/>
        </w:rPr>
        <w:t xml:space="preserve"> </w:t>
      </w:r>
      <w:r>
        <w:rPr>
          <w:w w:val="105"/>
          <w:sz w:val="15"/>
        </w:rPr>
        <w:t>ha</w:t>
      </w:r>
      <w:r>
        <w:rPr>
          <w:spacing w:val="-1"/>
          <w:w w:val="105"/>
          <w:sz w:val="15"/>
        </w:rPr>
        <w:t xml:space="preserve"> </w:t>
      </w:r>
      <w:r>
        <w:rPr>
          <w:w w:val="105"/>
          <w:sz w:val="15"/>
        </w:rPr>
        <w:t xml:space="preserve">pronunciado sobre al menos un caso en el que se proporcionaron instalaciones separadas </w:t>
      </w:r>
      <w:proofErr w:type="spellStart"/>
      <w:r>
        <w:rPr>
          <w:w w:val="105"/>
          <w:sz w:val="15"/>
        </w:rPr>
        <w:t>pretextualmente</w:t>
      </w:r>
      <w:proofErr w:type="spellEnd"/>
      <w:r>
        <w:rPr>
          <w:w w:val="105"/>
          <w:sz w:val="15"/>
        </w:rPr>
        <w:t xml:space="preserve"> sobre la base del idioma para</w:t>
      </w:r>
      <w:r>
        <w:rPr>
          <w:spacing w:val="80"/>
          <w:w w:val="105"/>
          <w:sz w:val="15"/>
        </w:rPr>
        <w:t xml:space="preserve"> </w:t>
      </w:r>
      <w:r>
        <w:rPr>
          <w:w w:val="105"/>
          <w:sz w:val="15"/>
        </w:rPr>
        <w:t>segregar por motivos étnicos.1068</w:t>
      </w:r>
    </w:p>
    <w:p w14:paraId="0D5068E7" w14:textId="77777777" w:rsidR="0014798C" w:rsidRDefault="004E1F0B">
      <w:pPr>
        <w:spacing w:before="167" w:line="348" w:lineRule="auto"/>
        <w:ind w:left="1108" w:right="1335"/>
        <w:rPr>
          <w:sz w:val="15"/>
        </w:rPr>
      </w:pPr>
      <w:r>
        <w:rPr>
          <w:w w:val="105"/>
          <w:sz w:val="15"/>
        </w:rPr>
        <w:t>En</w:t>
      </w:r>
      <w:r>
        <w:rPr>
          <w:spacing w:val="-2"/>
          <w:w w:val="105"/>
          <w:sz w:val="15"/>
        </w:rPr>
        <w:t xml:space="preserve"> </w:t>
      </w:r>
      <w:r>
        <w:rPr>
          <w:w w:val="105"/>
          <w:sz w:val="15"/>
        </w:rPr>
        <w:t>algunos</w:t>
      </w:r>
      <w:r>
        <w:rPr>
          <w:spacing w:val="-2"/>
          <w:w w:val="105"/>
          <w:sz w:val="15"/>
        </w:rPr>
        <w:t xml:space="preserve"> </w:t>
      </w:r>
      <w:r>
        <w:rPr>
          <w:w w:val="105"/>
          <w:sz w:val="15"/>
        </w:rPr>
        <w:t>escenarios, estos</w:t>
      </w:r>
      <w:r>
        <w:rPr>
          <w:spacing w:val="-2"/>
          <w:w w:val="105"/>
          <w:sz w:val="15"/>
        </w:rPr>
        <w:t xml:space="preserve"> </w:t>
      </w:r>
      <w:r>
        <w:rPr>
          <w:w w:val="105"/>
          <w:sz w:val="15"/>
        </w:rPr>
        <w:t>acuerdos</w:t>
      </w:r>
      <w:r>
        <w:rPr>
          <w:spacing w:val="-2"/>
          <w:w w:val="105"/>
          <w:sz w:val="15"/>
        </w:rPr>
        <w:t xml:space="preserve"> </w:t>
      </w:r>
      <w:r>
        <w:rPr>
          <w:w w:val="105"/>
          <w:sz w:val="15"/>
        </w:rPr>
        <w:t>también</w:t>
      </w:r>
      <w:r>
        <w:rPr>
          <w:spacing w:val="-2"/>
          <w:w w:val="105"/>
          <w:sz w:val="15"/>
        </w:rPr>
        <w:t xml:space="preserve"> </w:t>
      </w:r>
      <w:r>
        <w:rPr>
          <w:w w:val="105"/>
          <w:sz w:val="15"/>
        </w:rPr>
        <w:t>pueden</w:t>
      </w:r>
      <w:r>
        <w:rPr>
          <w:spacing w:val="-1"/>
          <w:w w:val="105"/>
          <w:sz w:val="15"/>
        </w:rPr>
        <w:t xml:space="preserve"> </w:t>
      </w:r>
      <w:r>
        <w:rPr>
          <w:w w:val="105"/>
          <w:sz w:val="15"/>
        </w:rPr>
        <w:t>crear</w:t>
      </w:r>
      <w:r>
        <w:rPr>
          <w:spacing w:val="-1"/>
          <w:w w:val="105"/>
          <w:sz w:val="15"/>
        </w:rPr>
        <w:t xml:space="preserve"> </w:t>
      </w:r>
      <w:r>
        <w:rPr>
          <w:w w:val="105"/>
          <w:sz w:val="15"/>
        </w:rPr>
        <w:t>problemas</w:t>
      </w:r>
      <w:r>
        <w:rPr>
          <w:spacing w:val="-2"/>
          <w:w w:val="105"/>
          <w:sz w:val="15"/>
        </w:rPr>
        <w:t xml:space="preserve"> </w:t>
      </w:r>
      <w:r>
        <w:rPr>
          <w:w w:val="105"/>
          <w:sz w:val="15"/>
        </w:rPr>
        <w:t>de</w:t>
      </w:r>
      <w:r>
        <w:rPr>
          <w:spacing w:val="-1"/>
          <w:w w:val="105"/>
          <w:sz w:val="15"/>
        </w:rPr>
        <w:t xml:space="preserve"> </w:t>
      </w:r>
      <w:r>
        <w:rPr>
          <w:w w:val="105"/>
          <w:sz w:val="15"/>
        </w:rPr>
        <w:t>no</w:t>
      </w:r>
      <w:r>
        <w:rPr>
          <w:spacing w:val="-1"/>
          <w:w w:val="105"/>
          <w:sz w:val="15"/>
        </w:rPr>
        <w:t xml:space="preserve"> </w:t>
      </w:r>
      <w:r>
        <w:rPr>
          <w:w w:val="105"/>
          <w:sz w:val="15"/>
        </w:rPr>
        <w:t>integración. En</w:t>
      </w:r>
      <w:r>
        <w:rPr>
          <w:spacing w:val="-2"/>
          <w:w w:val="105"/>
          <w:sz w:val="15"/>
        </w:rPr>
        <w:t xml:space="preserve"> </w:t>
      </w:r>
      <w:r>
        <w:rPr>
          <w:w w:val="105"/>
          <w:sz w:val="15"/>
        </w:rPr>
        <w:t>la</w:t>
      </w:r>
      <w:r>
        <w:rPr>
          <w:spacing w:val="-1"/>
          <w:w w:val="105"/>
          <w:sz w:val="15"/>
        </w:rPr>
        <w:t xml:space="preserve"> </w:t>
      </w:r>
      <w:r>
        <w:rPr>
          <w:w w:val="105"/>
          <w:sz w:val="15"/>
        </w:rPr>
        <w:t>práctica,</w:t>
      </w:r>
      <w:r>
        <w:rPr>
          <w:spacing w:val="-1"/>
          <w:w w:val="105"/>
          <w:sz w:val="15"/>
        </w:rPr>
        <w:t xml:space="preserve"> </w:t>
      </w:r>
      <w:r>
        <w:rPr>
          <w:w w:val="105"/>
          <w:sz w:val="15"/>
        </w:rPr>
        <w:t>en</w:t>
      </w:r>
      <w:r>
        <w:rPr>
          <w:spacing w:val="-1"/>
          <w:w w:val="105"/>
          <w:sz w:val="15"/>
        </w:rPr>
        <w:t xml:space="preserve"> </w:t>
      </w:r>
      <w:r>
        <w:rPr>
          <w:w w:val="105"/>
          <w:sz w:val="15"/>
        </w:rPr>
        <w:t>algunos</w:t>
      </w:r>
      <w:r>
        <w:rPr>
          <w:spacing w:val="-2"/>
          <w:w w:val="105"/>
          <w:sz w:val="15"/>
        </w:rPr>
        <w:t xml:space="preserve"> </w:t>
      </w:r>
      <w:r>
        <w:rPr>
          <w:w w:val="105"/>
          <w:sz w:val="15"/>
        </w:rPr>
        <w:t>contextos,</w:t>
      </w:r>
      <w:r>
        <w:rPr>
          <w:spacing w:val="-1"/>
          <w:w w:val="105"/>
          <w:sz w:val="15"/>
        </w:rPr>
        <w:t xml:space="preserve"> </w:t>
      </w:r>
      <w:r>
        <w:rPr>
          <w:w w:val="105"/>
          <w:sz w:val="15"/>
        </w:rPr>
        <w:t>el mantenimiento</w:t>
      </w:r>
      <w:r>
        <w:rPr>
          <w:spacing w:val="-1"/>
          <w:w w:val="105"/>
          <w:sz w:val="15"/>
        </w:rPr>
        <w:t xml:space="preserve"> </w:t>
      </w:r>
      <w:r>
        <w:rPr>
          <w:w w:val="105"/>
          <w:sz w:val="15"/>
        </w:rPr>
        <w:t>de escuelas</w:t>
      </w:r>
      <w:r>
        <w:rPr>
          <w:spacing w:val="-1"/>
          <w:w w:val="105"/>
          <w:sz w:val="15"/>
        </w:rPr>
        <w:t xml:space="preserve"> </w:t>
      </w:r>
      <w:r>
        <w:rPr>
          <w:w w:val="105"/>
          <w:sz w:val="15"/>
        </w:rPr>
        <w:t>de idiomas</w:t>
      </w:r>
      <w:r>
        <w:rPr>
          <w:spacing w:val="-1"/>
          <w:w w:val="105"/>
          <w:sz w:val="15"/>
        </w:rPr>
        <w:t xml:space="preserve"> </w:t>
      </w:r>
      <w:r>
        <w:rPr>
          <w:w w:val="105"/>
          <w:sz w:val="15"/>
        </w:rPr>
        <w:t>separadas</w:t>
      </w:r>
      <w:r>
        <w:rPr>
          <w:spacing w:val="-1"/>
          <w:w w:val="105"/>
          <w:sz w:val="15"/>
        </w:rPr>
        <w:t xml:space="preserve"> </w:t>
      </w:r>
      <w:r>
        <w:rPr>
          <w:w w:val="105"/>
          <w:sz w:val="15"/>
        </w:rPr>
        <w:t>en los niveles</w:t>
      </w:r>
      <w:r>
        <w:rPr>
          <w:spacing w:val="-1"/>
          <w:w w:val="105"/>
          <w:sz w:val="15"/>
        </w:rPr>
        <w:t xml:space="preserve"> </w:t>
      </w:r>
      <w:r>
        <w:rPr>
          <w:w w:val="105"/>
          <w:sz w:val="15"/>
        </w:rPr>
        <w:t>primario y secundario ha resultado</w:t>
      </w:r>
      <w:r>
        <w:rPr>
          <w:spacing w:val="-1"/>
          <w:w w:val="105"/>
          <w:sz w:val="15"/>
        </w:rPr>
        <w:t xml:space="preserve"> </w:t>
      </w:r>
      <w:r>
        <w:rPr>
          <w:w w:val="105"/>
          <w:sz w:val="15"/>
        </w:rPr>
        <w:t>en una emigración significativa de minorías para proseguir sus estudios en el nivel terciario, lo que a menudo ha resultado en su partida permanente. En algunos casos, se ha considerado que el mantenimiento de instalaciones escolares separadas para diferentes grupos etnolingüísticos exacerba las tensiones entre comunidades, en particular cuando esto tiene lugar en entornos segregados.</w:t>
      </w:r>
    </w:p>
    <w:p w14:paraId="60D50ED4" w14:textId="77777777" w:rsidR="0014798C" w:rsidRDefault="004E1F0B">
      <w:pPr>
        <w:spacing w:before="168" w:line="348" w:lineRule="auto"/>
        <w:ind w:left="1108" w:right="1239" w:hanging="3"/>
        <w:rPr>
          <w:sz w:val="15"/>
        </w:rPr>
      </w:pPr>
      <w:r>
        <w:rPr>
          <w:w w:val="105"/>
          <w:sz w:val="15"/>
        </w:rPr>
        <w:t>Ha</w:t>
      </w:r>
      <w:r>
        <w:rPr>
          <w:spacing w:val="-1"/>
          <w:w w:val="105"/>
          <w:sz w:val="15"/>
        </w:rPr>
        <w:t xml:space="preserve"> </w:t>
      </w:r>
      <w:r>
        <w:rPr>
          <w:w w:val="105"/>
          <w:sz w:val="15"/>
        </w:rPr>
        <w:t>habido</w:t>
      </w:r>
      <w:r>
        <w:rPr>
          <w:spacing w:val="-1"/>
          <w:w w:val="105"/>
          <w:sz w:val="15"/>
        </w:rPr>
        <w:t xml:space="preserve"> </w:t>
      </w:r>
      <w:r>
        <w:rPr>
          <w:w w:val="105"/>
          <w:sz w:val="15"/>
        </w:rPr>
        <w:t>un</w:t>
      </w:r>
      <w:r>
        <w:rPr>
          <w:spacing w:val="-1"/>
          <w:w w:val="105"/>
          <w:sz w:val="15"/>
        </w:rPr>
        <w:t xml:space="preserve"> </w:t>
      </w:r>
      <w:r>
        <w:rPr>
          <w:w w:val="105"/>
          <w:sz w:val="15"/>
        </w:rPr>
        <w:t>movimiento</w:t>
      </w:r>
      <w:r>
        <w:rPr>
          <w:spacing w:val="-1"/>
          <w:w w:val="105"/>
          <w:sz w:val="15"/>
        </w:rPr>
        <w:t xml:space="preserve"> </w:t>
      </w:r>
      <w:r>
        <w:rPr>
          <w:w w:val="105"/>
          <w:sz w:val="15"/>
        </w:rPr>
        <w:t>generalizado</w:t>
      </w:r>
      <w:r>
        <w:rPr>
          <w:spacing w:val="-1"/>
          <w:w w:val="105"/>
          <w:sz w:val="15"/>
        </w:rPr>
        <w:t xml:space="preserve"> </w:t>
      </w:r>
      <w:r>
        <w:rPr>
          <w:w w:val="105"/>
          <w:sz w:val="15"/>
        </w:rPr>
        <w:t>hacia</w:t>
      </w:r>
      <w:r>
        <w:rPr>
          <w:spacing w:val="-1"/>
          <w:w w:val="105"/>
          <w:sz w:val="15"/>
        </w:rPr>
        <w:t xml:space="preserve"> </w:t>
      </w:r>
      <w:r>
        <w:rPr>
          <w:w w:val="105"/>
          <w:sz w:val="15"/>
        </w:rPr>
        <w:t>la</w:t>
      </w:r>
      <w:r>
        <w:rPr>
          <w:spacing w:val="-1"/>
          <w:w w:val="105"/>
          <w:sz w:val="15"/>
        </w:rPr>
        <w:t xml:space="preserve"> </w:t>
      </w:r>
      <w:r>
        <w:rPr>
          <w:w w:val="105"/>
          <w:sz w:val="15"/>
        </w:rPr>
        <w:t>promoción</w:t>
      </w:r>
      <w:r>
        <w:rPr>
          <w:spacing w:val="-1"/>
          <w:w w:val="105"/>
          <w:sz w:val="15"/>
        </w:rPr>
        <w:t xml:space="preserve"> </w:t>
      </w:r>
      <w:r>
        <w:rPr>
          <w:w w:val="105"/>
          <w:sz w:val="15"/>
        </w:rPr>
        <w:t>de</w:t>
      </w:r>
      <w:r>
        <w:rPr>
          <w:spacing w:val="-1"/>
          <w:w w:val="105"/>
          <w:sz w:val="15"/>
        </w:rPr>
        <w:t xml:space="preserve"> </w:t>
      </w:r>
      <w:r>
        <w:rPr>
          <w:w w:val="105"/>
          <w:sz w:val="15"/>
        </w:rPr>
        <w:t>la</w:t>
      </w:r>
      <w:r>
        <w:rPr>
          <w:spacing w:val="-1"/>
          <w:w w:val="105"/>
          <w:sz w:val="15"/>
        </w:rPr>
        <w:t xml:space="preserve"> </w:t>
      </w:r>
      <w:r>
        <w:rPr>
          <w:w w:val="105"/>
          <w:sz w:val="15"/>
        </w:rPr>
        <w:t>educación</w:t>
      </w:r>
      <w:r>
        <w:rPr>
          <w:spacing w:val="-1"/>
          <w:w w:val="105"/>
          <w:sz w:val="15"/>
        </w:rPr>
        <w:t xml:space="preserve"> </w:t>
      </w:r>
      <w:r>
        <w:rPr>
          <w:w w:val="105"/>
          <w:sz w:val="15"/>
        </w:rPr>
        <w:t>multilingüe, al</w:t>
      </w:r>
      <w:r>
        <w:rPr>
          <w:spacing w:val="-1"/>
          <w:w w:val="105"/>
          <w:sz w:val="15"/>
        </w:rPr>
        <w:t xml:space="preserve"> </w:t>
      </w:r>
      <w:r>
        <w:rPr>
          <w:w w:val="105"/>
          <w:sz w:val="15"/>
        </w:rPr>
        <w:t>menos</w:t>
      </w:r>
      <w:r>
        <w:rPr>
          <w:spacing w:val="-1"/>
          <w:w w:val="105"/>
          <w:sz w:val="15"/>
        </w:rPr>
        <w:t xml:space="preserve"> </w:t>
      </w:r>
      <w:r>
        <w:rPr>
          <w:w w:val="105"/>
          <w:sz w:val="15"/>
        </w:rPr>
        <w:t>en</w:t>
      </w:r>
      <w:r>
        <w:rPr>
          <w:spacing w:val="-1"/>
          <w:w w:val="105"/>
          <w:sz w:val="15"/>
        </w:rPr>
        <w:t xml:space="preserve"> </w:t>
      </w:r>
      <w:r>
        <w:rPr>
          <w:w w:val="105"/>
          <w:sz w:val="15"/>
        </w:rPr>
        <w:t>parte</w:t>
      </w:r>
      <w:r>
        <w:rPr>
          <w:spacing w:val="-2"/>
          <w:w w:val="105"/>
          <w:sz w:val="15"/>
        </w:rPr>
        <w:t xml:space="preserve"> </w:t>
      </w:r>
      <w:r>
        <w:rPr>
          <w:w w:val="105"/>
          <w:sz w:val="15"/>
        </w:rPr>
        <w:t>en</w:t>
      </w:r>
      <w:r>
        <w:rPr>
          <w:spacing w:val="-1"/>
          <w:w w:val="105"/>
          <w:sz w:val="15"/>
        </w:rPr>
        <w:t xml:space="preserve"> </w:t>
      </w:r>
      <w:r>
        <w:rPr>
          <w:w w:val="105"/>
          <w:sz w:val="15"/>
        </w:rPr>
        <w:t>un</w:t>
      </w:r>
      <w:r>
        <w:rPr>
          <w:spacing w:val="-1"/>
          <w:w w:val="105"/>
          <w:sz w:val="15"/>
        </w:rPr>
        <w:t xml:space="preserve"> </w:t>
      </w:r>
      <w:r>
        <w:rPr>
          <w:w w:val="105"/>
          <w:sz w:val="15"/>
        </w:rPr>
        <w:t>esfuerzo</w:t>
      </w:r>
      <w:r>
        <w:rPr>
          <w:spacing w:val="-1"/>
          <w:w w:val="105"/>
          <w:sz w:val="15"/>
        </w:rPr>
        <w:t xml:space="preserve"> </w:t>
      </w:r>
      <w:r>
        <w:rPr>
          <w:w w:val="105"/>
          <w:sz w:val="15"/>
        </w:rPr>
        <w:t>por</w:t>
      </w:r>
      <w:r>
        <w:rPr>
          <w:spacing w:val="-1"/>
          <w:w w:val="105"/>
          <w:sz w:val="15"/>
        </w:rPr>
        <w:t xml:space="preserve"> </w:t>
      </w:r>
      <w:r>
        <w:rPr>
          <w:w w:val="105"/>
          <w:sz w:val="15"/>
        </w:rPr>
        <w:t>resolver estas tensiones, pero más importante aún como parte de los esfuerzos para garantizar sociedades vibrantes que abracen la diversidad. Así, por ejemplo, la Organización de las Naciones Unidas para la Educación, la Ciencia y la Cultura (UNESCO) ha fijado</w:t>
      </w:r>
      <w:r>
        <w:rPr>
          <w:spacing w:val="40"/>
          <w:w w:val="105"/>
          <w:sz w:val="15"/>
        </w:rPr>
        <w:t xml:space="preserve"> </w:t>
      </w:r>
      <w:r>
        <w:rPr>
          <w:w w:val="105"/>
          <w:sz w:val="15"/>
        </w:rPr>
        <w:t>la siguiente posición respecto del equilibrio:</w:t>
      </w:r>
    </w:p>
    <w:p w14:paraId="68A6BB99" w14:textId="77777777" w:rsidR="0014798C" w:rsidRDefault="004E1F0B">
      <w:pPr>
        <w:pStyle w:val="Prrafodelista"/>
        <w:numPr>
          <w:ilvl w:val="0"/>
          <w:numId w:val="15"/>
        </w:numPr>
        <w:tabs>
          <w:tab w:val="left" w:pos="1860"/>
          <w:tab w:val="left" w:pos="2010"/>
        </w:tabs>
        <w:spacing w:before="114" w:line="345" w:lineRule="auto"/>
        <w:ind w:right="1563" w:hanging="324"/>
        <w:rPr>
          <w:color w:val="803108"/>
          <w:sz w:val="15"/>
        </w:rPr>
      </w:pPr>
      <w:r>
        <w:rPr>
          <w:color w:val="803108"/>
          <w:w w:val="105"/>
          <w:sz w:val="15"/>
        </w:rPr>
        <w:t>La</w:t>
      </w:r>
      <w:r>
        <w:rPr>
          <w:color w:val="803108"/>
          <w:spacing w:val="-1"/>
          <w:w w:val="105"/>
          <w:sz w:val="15"/>
        </w:rPr>
        <w:t xml:space="preserve"> </w:t>
      </w:r>
      <w:r>
        <w:rPr>
          <w:color w:val="803108"/>
          <w:w w:val="105"/>
          <w:sz w:val="15"/>
        </w:rPr>
        <w:t>UNESCO</w:t>
      </w:r>
      <w:r>
        <w:rPr>
          <w:color w:val="803108"/>
          <w:spacing w:val="-1"/>
          <w:w w:val="105"/>
          <w:sz w:val="15"/>
        </w:rPr>
        <w:t xml:space="preserve"> </w:t>
      </w:r>
      <w:r>
        <w:rPr>
          <w:color w:val="803108"/>
          <w:w w:val="105"/>
          <w:sz w:val="15"/>
        </w:rPr>
        <w:t>apoya</w:t>
      </w:r>
      <w:r>
        <w:rPr>
          <w:color w:val="803108"/>
          <w:spacing w:val="-1"/>
          <w:w w:val="105"/>
          <w:sz w:val="15"/>
        </w:rPr>
        <w:t xml:space="preserve"> </w:t>
      </w:r>
      <w:r>
        <w:rPr>
          <w:color w:val="803108"/>
          <w:w w:val="105"/>
          <w:sz w:val="15"/>
        </w:rPr>
        <w:t>la</w:t>
      </w:r>
      <w:r>
        <w:rPr>
          <w:color w:val="803108"/>
          <w:spacing w:val="-1"/>
          <w:w w:val="105"/>
          <w:sz w:val="15"/>
        </w:rPr>
        <w:t xml:space="preserve"> </w:t>
      </w:r>
      <w:r>
        <w:rPr>
          <w:color w:val="803108"/>
          <w:w w:val="105"/>
          <w:sz w:val="15"/>
        </w:rPr>
        <w:t>enseñanza</w:t>
      </w:r>
      <w:r>
        <w:rPr>
          <w:color w:val="803108"/>
          <w:spacing w:val="-1"/>
          <w:w w:val="105"/>
          <w:sz w:val="15"/>
        </w:rPr>
        <w:t xml:space="preserve"> </w:t>
      </w:r>
      <w:r>
        <w:rPr>
          <w:color w:val="803108"/>
          <w:w w:val="105"/>
          <w:sz w:val="15"/>
        </w:rPr>
        <w:t>en</w:t>
      </w:r>
      <w:r>
        <w:rPr>
          <w:color w:val="803108"/>
          <w:spacing w:val="-1"/>
          <w:w w:val="105"/>
          <w:sz w:val="15"/>
        </w:rPr>
        <w:t xml:space="preserve"> </w:t>
      </w:r>
      <w:r>
        <w:rPr>
          <w:color w:val="803108"/>
          <w:w w:val="105"/>
          <w:sz w:val="15"/>
        </w:rPr>
        <w:t>la</w:t>
      </w:r>
      <w:r>
        <w:rPr>
          <w:color w:val="803108"/>
          <w:spacing w:val="-1"/>
          <w:w w:val="105"/>
          <w:sz w:val="15"/>
        </w:rPr>
        <w:t xml:space="preserve"> </w:t>
      </w:r>
      <w:r>
        <w:rPr>
          <w:color w:val="803108"/>
          <w:w w:val="105"/>
          <w:sz w:val="15"/>
        </w:rPr>
        <w:t>lengua</w:t>
      </w:r>
      <w:r>
        <w:rPr>
          <w:color w:val="803108"/>
          <w:spacing w:val="-1"/>
          <w:w w:val="105"/>
          <w:sz w:val="15"/>
        </w:rPr>
        <w:t xml:space="preserve"> </w:t>
      </w:r>
      <w:r>
        <w:rPr>
          <w:color w:val="803108"/>
          <w:w w:val="105"/>
          <w:sz w:val="15"/>
        </w:rPr>
        <w:t>materna</w:t>
      </w:r>
      <w:r>
        <w:rPr>
          <w:color w:val="803108"/>
          <w:spacing w:val="-2"/>
          <w:w w:val="105"/>
          <w:sz w:val="15"/>
        </w:rPr>
        <w:t xml:space="preserve"> </w:t>
      </w:r>
      <w:r>
        <w:rPr>
          <w:color w:val="803108"/>
          <w:w w:val="105"/>
          <w:sz w:val="15"/>
        </w:rPr>
        <w:t>como</w:t>
      </w:r>
      <w:r>
        <w:rPr>
          <w:color w:val="803108"/>
          <w:spacing w:val="-1"/>
          <w:w w:val="105"/>
          <w:sz w:val="15"/>
        </w:rPr>
        <w:t xml:space="preserve"> </w:t>
      </w:r>
      <w:r>
        <w:rPr>
          <w:color w:val="803108"/>
          <w:w w:val="105"/>
          <w:sz w:val="15"/>
        </w:rPr>
        <w:t>medio</w:t>
      </w:r>
      <w:r>
        <w:rPr>
          <w:color w:val="803108"/>
          <w:spacing w:val="-1"/>
          <w:w w:val="105"/>
          <w:sz w:val="15"/>
        </w:rPr>
        <w:t xml:space="preserve"> </w:t>
      </w:r>
      <w:r>
        <w:rPr>
          <w:color w:val="803108"/>
          <w:w w:val="105"/>
          <w:sz w:val="15"/>
        </w:rPr>
        <w:t>para</w:t>
      </w:r>
      <w:r>
        <w:rPr>
          <w:color w:val="803108"/>
          <w:spacing w:val="-1"/>
          <w:w w:val="105"/>
          <w:sz w:val="15"/>
        </w:rPr>
        <w:t xml:space="preserve"> </w:t>
      </w:r>
      <w:r>
        <w:rPr>
          <w:color w:val="803108"/>
          <w:w w:val="105"/>
          <w:sz w:val="15"/>
        </w:rPr>
        <w:t>mejorar</w:t>
      </w:r>
      <w:r>
        <w:rPr>
          <w:color w:val="803108"/>
          <w:spacing w:val="-2"/>
          <w:w w:val="105"/>
          <w:sz w:val="15"/>
        </w:rPr>
        <w:t xml:space="preserve"> </w:t>
      </w:r>
      <w:r>
        <w:rPr>
          <w:color w:val="803108"/>
          <w:w w:val="105"/>
          <w:sz w:val="15"/>
        </w:rPr>
        <w:t>la</w:t>
      </w:r>
      <w:r>
        <w:rPr>
          <w:color w:val="803108"/>
          <w:spacing w:val="-1"/>
          <w:w w:val="105"/>
          <w:sz w:val="15"/>
        </w:rPr>
        <w:t xml:space="preserve"> </w:t>
      </w:r>
      <w:r>
        <w:rPr>
          <w:color w:val="803108"/>
          <w:w w:val="105"/>
          <w:sz w:val="15"/>
        </w:rPr>
        <w:t>calidad</w:t>
      </w:r>
      <w:r>
        <w:rPr>
          <w:color w:val="803108"/>
          <w:spacing w:val="-1"/>
          <w:w w:val="105"/>
          <w:sz w:val="15"/>
        </w:rPr>
        <w:t xml:space="preserve"> </w:t>
      </w:r>
      <w:r>
        <w:rPr>
          <w:color w:val="803108"/>
          <w:w w:val="105"/>
          <w:sz w:val="15"/>
        </w:rPr>
        <w:t>de</w:t>
      </w:r>
      <w:r>
        <w:rPr>
          <w:color w:val="803108"/>
          <w:spacing w:val="-1"/>
          <w:w w:val="105"/>
          <w:sz w:val="15"/>
        </w:rPr>
        <w:t xml:space="preserve"> </w:t>
      </w:r>
      <w:r>
        <w:rPr>
          <w:color w:val="803108"/>
          <w:w w:val="105"/>
          <w:sz w:val="15"/>
        </w:rPr>
        <w:t>la</w:t>
      </w:r>
      <w:r>
        <w:rPr>
          <w:color w:val="803108"/>
          <w:spacing w:val="-1"/>
          <w:w w:val="105"/>
          <w:sz w:val="15"/>
        </w:rPr>
        <w:t xml:space="preserve"> </w:t>
      </w:r>
      <w:r>
        <w:rPr>
          <w:color w:val="803108"/>
          <w:w w:val="105"/>
          <w:sz w:val="15"/>
        </w:rPr>
        <w:t>educación</w:t>
      </w:r>
      <w:r>
        <w:rPr>
          <w:color w:val="803108"/>
          <w:spacing w:val="-1"/>
          <w:w w:val="105"/>
          <w:sz w:val="15"/>
        </w:rPr>
        <w:t xml:space="preserve"> </w:t>
      </w:r>
      <w:r>
        <w:rPr>
          <w:color w:val="803108"/>
          <w:w w:val="105"/>
          <w:sz w:val="15"/>
        </w:rPr>
        <w:t>mediante basándose en el conocimiento y la experiencia de los alumnos y profesores.</w:t>
      </w:r>
    </w:p>
    <w:p w14:paraId="5F77BB97" w14:textId="77777777" w:rsidR="0014798C" w:rsidRDefault="0014798C">
      <w:pPr>
        <w:pStyle w:val="Textoindependiente"/>
        <w:rPr>
          <w:sz w:val="12"/>
        </w:rPr>
      </w:pPr>
    </w:p>
    <w:p w14:paraId="0F6475FC" w14:textId="77777777" w:rsidR="0014798C" w:rsidRDefault="0014798C">
      <w:pPr>
        <w:pStyle w:val="Textoindependiente"/>
        <w:rPr>
          <w:sz w:val="12"/>
        </w:rPr>
      </w:pPr>
    </w:p>
    <w:p w14:paraId="1C0F0E21" w14:textId="77777777" w:rsidR="0014798C" w:rsidRDefault="0014798C">
      <w:pPr>
        <w:pStyle w:val="Textoindependiente"/>
        <w:rPr>
          <w:sz w:val="12"/>
        </w:rPr>
      </w:pPr>
    </w:p>
    <w:p w14:paraId="089DC9B4" w14:textId="77777777" w:rsidR="0014798C" w:rsidRDefault="0014798C">
      <w:pPr>
        <w:pStyle w:val="Textoindependiente"/>
        <w:rPr>
          <w:sz w:val="12"/>
        </w:rPr>
      </w:pPr>
    </w:p>
    <w:p w14:paraId="284FBD55" w14:textId="77777777" w:rsidR="0014798C" w:rsidRDefault="0014798C">
      <w:pPr>
        <w:pStyle w:val="Textoindependiente"/>
        <w:rPr>
          <w:sz w:val="12"/>
        </w:rPr>
      </w:pPr>
    </w:p>
    <w:p w14:paraId="161F2F89" w14:textId="77777777" w:rsidR="0014798C" w:rsidRDefault="0014798C">
      <w:pPr>
        <w:pStyle w:val="Textoindependiente"/>
        <w:spacing w:before="135"/>
        <w:rPr>
          <w:sz w:val="12"/>
        </w:rPr>
      </w:pPr>
    </w:p>
    <w:p w14:paraId="456F6373" w14:textId="77777777" w:rsidR="0014798C" w:rsidRDefault="004E1F0B">
      <w:pPr>
        <w:ind w:left="1111"/>
        <w:rPr>
          <w:sz w:val="12"/>
        </w:rPr>
      </w:pPr>
      <w:r>
        <w:rPr>
          <w:sz w:val="12"/>
        </w:rPr>
        <w:t>1064</w:t>
      </w:r>
      <w:r>
        <w:rPr>
          <w:spacing w:val="-1"/>
          <w:sz w:val="12"/>
        </w:rPr>
        <w:t xml:space="preserve"> </w:t>
      </w:r>
      <w:r>
        <w:rPr>
          <w:sz w:val="12"/>
        </w:rPr>
        <w:t>Tribunal</w:t>
      </w:r>
      <w:r>
        <w:rPr>
          <w:spacing w:val="-1"/>
          <w:sz w:val="12"/>
        </w:rPr>
        <w:t xml:space="preserve"> </w:t>
      </w:r>
      <w:r>
        <w:rPr>
          <w:sz w:val="12"/>
        </w:rPr>
        <w:t>Federal</w:t>
      </w:r>
      <w:r>
        <w:rPr>
          <w:spacing w:val="-1"/>
          <w:sz w:val="12"/>
        </w:rPr>
        <w:t xml:space="preserve"> </w:t>
      </w:r>
      <w:r>
        <w:rPr>
          <w:sz w:val="12"/>
        </w:rPr>
        <w:t>de</w:t>
      </w:r>
      <w:r>
        <w:rPr>
          <w:spacing w:val="-1"/>
          <w:sz w:val="12"/>
        </w:rPr>
        <w:t xml:space="preserve"> </w:t>
      </w:r>
      <w:r>
        <w:rPr>
          <w:sz w:val="12"/>
        </w:rPr>
        <w:t>Australia,</w:t>
      </w:r>
      <w:r>
        <w:rPr>
          <w:spacing w:val="-1"/>
          <w:sz w:val="12"/>
        </w:rPr>
        <w:t xml:space="preserve"> </w:t>
      </w:r>
      <w:proofErr w:type="spellStart"/>
      <w:r>
        <w:rPr>
          <w:sz w:val="12"/>
        </w:rPr>
        <w:t>Hurst</w:t>
      </w:r>
      <w:proofErr w:type="spellEnd"/>
      <w:r>
        <w:rPr>
          <w:spacing w:val="-1"/>
          <w:sz w:val="12"/>
        </w:rPr>
        <w:t xml:space="preserve"> </w:t>
      </w:r>
      <w:r>
        <w:rPr>
          <w:sz w:val="12"/>
        </w:rPr>
        <w:t>contra</w:t>
      </w:r>
      <w:r>
        <w:rPr>
          <w:spacing w:val="-1"/>
          <w:sz w:val="12"/>
        </w:rPr>
        <w:t xml:space="preserve"> </w:t>
      </w:r>
      <w:r>
        <w:rPr>
          <w:sz w:val="12"/>
        </w:rPr>
        <w:t>el</w:t>
      </w:r>
      <w:r>
        <w:rPr>
          <w:spacing w:val="-1"/>
          <w:sz w:val="12"/>
        </w:rPr>
        <w:t xml:space="preserve"> </w:t>
      </w:r>
      <w:r>
        <w:rPr>
          <w:sz w:val="12"/>
        </w:rPr>
        <w:t>Estado</w:t>
      </w:r>
      <w:r>
        <w:rPr>
          <w:spacing w:val="-1"/>
          <w:sz w:val="12"/>
        </w:rPr>
        <w:t xml:space="preserve"> </w:t>
      </w:r>
      <w:r>
        <w:rPr>
          <w:sz w:val="12"/>
        </w:rPr>
        <w:t>de</w:t>
      </w:r>
      <w:r>
        <w:rPr>
          <w:spacing w:val="-1"/>
          <w:sz w:val="12"/>
        </w:rPr>
        <w:t xml:space="preserve"> </w:t>
      </w:r>
      <w:r>
        <w:rPr>
          <w:sz w:val="12"/>
        </w:rPr>
        <w:t>Queensland</w:t>
      </w:r>
      <w:r>
        <w:rPr>
          <w:spacing w:val="-1"/>
          <w:sz w:val="12"/>
        </w:rPr>
        <w:t xml:space="preserve"> </w:t>
      </w:r>
      <w:r>
        <w:rPr>
          <w:sz w:val="12"/>
        </w:rPr>
        <w:t>[2006]</w:t>
      </w:r>
      <w:r>
        <w:rPr>
          <w:spacing w:val="-1"/>
          <w:sz w:val="12"/>
        </w:rPr>
        <w:t xml:space="preserve"> </w:t>
      </w:r>
      <w:r>
        <w:rPr>
          <w:sz w:val="12"/>
        </w:rPr>
        <w:t>FCAFC</w:t>
      </w:r>
      <w:r>
        <w:rPr>
          <w:spacing w:val="-1"/>
          <w:sz w:val="12"/>
        </w:rPr>
        <w:t xml:space="preserve"> </w:t>
      </w:r>
      <w:r>
        <w:rPr>
          <w:sz w:val="12"/>
        </w:rPr>
        <w:t>100</w:t>
      </w:r>
      <w:r>
        <w:rPr>
          <w:spacing w:val="-1"/>
          <w:sz w:val="12"/>
        </w:rPr>
        <w:t xml:space="preserve"> </w:t>
      </w:r>
      <w:r>
        <w:rPr>
          <w:sz w:val="12"/>
        </w:rPr>
        <w:t>(28</w:t>
      </w:r>
      <w:r>
        <w:rPr>
          <w:spacing w:val="-1"/>
          <w:sz w:val="12"/>
        </w:rPr>
        <w:t xml:space="preserve"> </w:t>
      </w:r>
      <w:r>
        <w:rPr>
          <w:sz w:val="12"/>
        </w:rPr>
        <w:t>de</w:t>
      </w:r>
      <w:r>
        <w:rPr>
          <w:spacing w:val="-1"/>
          <w:sz w:val="12"/>
        </w:rPr>
        <w:t xml:space="preserve"> </w:t>
      </w:r>
      <w:r>
        <w:rPr>
          <w:sz w:val="12"/>
        </w:rPr>
        <w:t>julio</w:t>
      </w:r>
      <w:r>
        <w:rPr>
          <w:spacing w:val="-1"/>
          <w:sz w:val="12"/>
        </w:rPr>
        <w:t xml:space="preserve"> </w:t>
      </w:r>
      <w:r>
        <w:rPr>
          <w:sz w:val="12"/>
        </w:rPr>
        <w:t>de</w:t>
      </w:r>
      <w:r>
        <w:rPr>
          <w:spacing w:val="-1"/>
          <w:sz w:val="12"/>
        </w:rPr>
        <w:t xml:space="preserve"> </w:t>
      </w:r>
      <w:r>
        <w:rPr>
          <w:spacing w:val="-2"/>
          <w:sz w:val="12"/>
        </w:rPr>
        <w:t>2006).</w:t>
      </w:r>
    </w:p>
    <w:p w14:paraId="5D4713F5" w14:textId="77777777" w:rsidR="0014798C" w:rsidRDefault="0014798C">
      <w:pPr>
        <w:pStyle w:val="Textoindependiente"/>
        <w:spacing w:before="68"/>
        <w:rPr>
          <w:sz w:val="8"/>
        </w:rPr>
      </w:pPr>
    </w:p>
    <w:p w14:paraId="0AD58E66" w14:textId="77777777" w:rsidR="0014798C" w:rsidRDefault="004E1F0B">
      <w:pPr>
        <w:spacing w:line="468" w:lineRule="auto"/>
        <w:ind w:left="1368" w:right="1272" w:hanging="257"/>
        <w:rPr>
          <w:sz w:val="8"/>
        </w:rPr>
      </w:pPr>
      <w:r>
        <w:rPr>
          <w:w w:val="105"/>
          <w:sz w:val="8"/>
        </w:rPr>
        <w:t>1065</w:t>
      </w:r>
      <w:r>
        <w:rPr>
          <w:spacing w:val="-1"/>
          <w:w w:val="105"/>
          <w:sz w:val="8"/>
        </w:rPr>
        <w:t xml:space="preserve"> </w:t>
      </w:r>
      <w:r>
        <w:rPr>
          <w:w w:val="105"/>
          <w:sz w:val="8"/>
        </w:rPr>
        <w:t>Formuló</w:t>
      </w:r>
      <w:r>
        <w:rPr>
          <w:spacing w:val="-1"/>
          <w:w w:val="105"/>
          <w:sz w:val="8"/>
        </w:rPr>
        <w:t xml:space="preserve"> </w:t>
      </w:r>
      <w:r>
        <w:rPr>
          <w:w w:val="105"/>
          <w:sz w:val="8"/>
        </w:rPr>
        <w:t>una</w:t>
      </w:r>
      <w:r>
        <w:rPr>
          <w:spacing w:val="-1"/>
          <w:w w:val="105"/>
          <w:sz w:val="8"/>
        </w:rPr>
        <w:t xml:space="preserve"> </w:t>
      </w:r>
      <w:r>
        <w:rPr>
          <w:w w:val="105"/>
          <w:sz w:val="8"/>
        </w:rPr>
        <w:t>política</w:t>
      </w:r>
      <w:r>
        <w:rPr>
          <w:spacing w:val="-1"/>
          <w:w w:val="105"/>
          <w:sz w:val="8"/>
        </w:rPr>
        <w:t xml:space="preserve"> </w:t>
      </w:r>
      <w:r>
        <w:rPr>
          <w:w w:val="105"/>
          <w:sz w:val="8"/>
        </w:rPr>
        <w:t>al</w:t>
      </w:r>
      <w:r>
        <w:rPr>
          <w:spacing w:val="-1"/>
          <w:w w:val="105"/>
          <w:sz w:val="8"/>
        </w:rPr>
        <w:t xml:space="preserve"> </w:t>
      </w:r>
      <w:r>
        <w:rPr>
          <w:w w:val="105"/>
          <w:sz w:val="8"/>
        </w:rPr>
        <w:t>efecto,</w:t>
      </w:r>
      <w:r>
        <w:rPr>
          <w:spacing w:val="-1"/>
          <w:w w:val="105"/>
          <w:sz w:val="8"/>
        </w:rPr>
        <w:t xml:space="preserve"> </w:t>
      </w:r>
      <w:r>
        <w:rPr>
          <w:w w:val="105"/>
          <w:sz w:val="8"/>
        </w:rPr>
        <w:t>que</w:t>
      </w:r>
      <w:r>
        <w:rPr>
          <w:spacing w:val="-1"/>
          <w:w w:val="105"/>
          <w:sz w:val="8"/>
        </w:rPr>
        <w:t xml:space="preserve"> </w:t>
      </w:r>
      <w:r>
        <w:rPr>
          <w:w w:val="105"/>
          <w:sz w:val="8"/>
        </w:rPr>
        <w:t>denominó</w:t>
      </w:r>
      <w:r>
        <w:rPr>
          <w:spacing w:val="-1"/>
          <w:w w:val="105"/>
          <w:sz w:val="8"/>
        </w:rPr>
        <w:t xml:space="preserve"> </w:t>
      </w:r>
      <w:r>
        <w:rPr>
          <w:w w:val="105"/>
          <w:sz w:val="8"/>
        </w:rPr>
        <w:t>“Política</w:t>
      </w:r>
      <w:r>
        <w:rPr>
          <w:spacing w:val="-1"/>
          <w:w w:val="105"/>
          <w:sz w:val="8"/>
        </w:rPr>
        <w:t xml:space="preserve"> </w:t>
      </w:r>
      <w:r>
        <w:rPr>
          <w:w w:val="105"/>
          <w:sz w:val="8"/>
        </w:rPr>
        <w:t>Total</w:t>
      </w:r>
      <w:r>
        <w:rPr>
          <w:spacing w:val="-1"/>
          <w:w w:val="105"/>
          <w:sz w:val="8"/>
        </w:rPr>
        <w:t xml:space="preserve"> </w:t>
      </w:r>
      <w:r>
        <w:rPr>
          <w:w w:val="105"/>
          <w:sz w:val="8"/>
        </w:rPr>
        <w:t>de</w:t>
      </w:r>
      <w:r>
        <w:rPr>
          <w:spacing w:val="-1"/>
          <w:w w:val="105"/>
          <w:sz w:val="8"/>
        </w:rPr>
        <w:t xml:space="preserve"> </w:t>
      </w:r>
      <w:r>
        <w:rPr>
          <w:w w:val="105"/>
          <w:sz w:val="8"/>
        </w:rPr>
        <w:t>Comunicación”.</w:t>
      </w:r>
      <w:r>
        <w:rPr>
          <w:spacing w:val="-1"/>
          <w:w w:val="105"/>
          <w:sz w:val="8"/>
        </w:rPr>
        <w:t xml:space="preserve"> </w:t>
      </w:r>
      <w:r>
        <w:rPr>
          <w:w w:val="105"/>
          <w:sz w:val="8"/>
        </w:rPr>
        <w:t>La</w:t>
      </w:r>
      <w:r>
        <w:rPr>
          <w:spacing w:val="-1"/>
          <w:w w:val="105"/>
          <w:sz w:val="8"/>
        </w:rPr>
        <w:t xml:space="preserve"> </w:t>
      </w:r>
      <w:r>
        <w:rPr>
          <w:w w:val="105"/>
          <w:sz w:val="8"/>
        </w:rPr>
        <w:t>Política</w:t>
      </w:r>
      <w:r>
        <w:rPr>
          <w:spacing w:val="-1"/>
          <w:w w:val="105"/>
          <w:sz w:val="8"/>
        </w:rPr>
        <w:t xml:space="preserve"> </w:t>
      </w:r>
      <w:r>
        <w:rPr>
          <w:w w:val="105"/>
          <w:sz w:val="8"/>
        </w:rPr>
        <w:t>de</w:t>
      </w:r>
      <w:r>
        <w:rPr>
          <w:spacing w:val="-1"/>
          <w:w w:val="105"/>
          <w:sz w:val="8"/>
        </w:rPr>
        <w:t xml:space="preserve"> </w:t>
      </w:r>
      <w:r>
        <w:rPr>
          <w:w w:val="105"/>
          <w:sz w:val="8"/>
        </w:rPr>
        <w:t>Comunicación</w:t>
      </w:r>
      <w:r>
        <w:rPr>
          <w:spacing w:val="-1"/>
          <w:w w:val="105"/>
          <w:sz w:val="8"/>
        </w:rPr>
        <w:t xml:space="preserve"> </w:t>
      </w:r>
      <w:r>
        <w:rPr>
          <w:w w:val="105"/>
          <w:sz w:val="8"/>
        </w:rPr>
        <w:t>Total</w:t>
      </w:r>
      <w:r>
        <w:rPr>
          <w:spacing w:val="-1"/>
          <w:w w:val="105"/>
          <w:sz w:val="8"/>
        </w:rPr>
        <w:t xml:space="preserve"> </w:t>
      </w:r>
      <w:r>
        <w:rPr>
          <w:w w:val="105"/>
          <w:sz w:val="8"/>
        </w:rPr>
        <w:t>trató</w:t>
      </w:r>
      <w:r>
        <w:rPr>
          <w:spacing w:val="-1"/>
          <w:w w:val="105"/>
          <w:sz w:val="8"/>
        </w:rPr>
        <w:t xml:space="preserve"> </w:t>
      </w:r>
      <w:r>
        <w:rPr>
          <w:w w:val="105"/>
          <w:sz w:val="8"/>
        </w:rPr>
        <w:t>el</w:t>
      </w:r>
      <w:r>
        <w:rPr>
          <w:spacing w:val="-1"/>
          <w:w w:val="105"/>
          <w:sz w:val="8"/>
        </w:rPr>
        <w:t xml:space="preserve"> </w:t>
      </w:r>
      <w:r>
        <w:rPr>
          <w:w w:val="105"/>
          <w:sz w:val="8"/>
        </w:rPr>
        <w:t>inglés</w:t>
      </w:r>
      <w:r>
        <w:rPr>
          <w:spacing w:val="-1"/>
          <w:w w:val="105"/>
          <w:sz w:val="8"/>
        </w:rPr>
        <w:t xml:space="preserve"> </w:t>
      </w:r>
      <w:r>
        <w:rPr>
          <w:w w:val="105"/>
          <w:sz w:val="8"/>
        </w:rPr>
        <w:t>por</w:t>
      </w:r>
      <w:r>
        <w:rPr>
          <w:spacing w:val="-1"/>
          <w:w w:val="105"/>
          <w:sz w:val="8"/>
        </w:rPr>
        <w:t xml:space="preserve"> </w:t>
      </w:r>
      <w:r>
        <w:rPr>
          <w:w w:val="105"/>
          <w:sz w:val="8"/>
        </w:rPr>
        <w:t>señas</w:t>
      </w:r>
      <w:r>
        <w:rPr>
          <w:spacing w:val="-1"/>
          <w:w w:val="105"/>
          <w:sz w:val="8"/>
        </w:rPr>
        <w:t xml:space="preserve"> </w:t>
      </w:r>
      <w:r>
        <w:rPr>
          <w:w w:val="105"/>
          <w:sz w:val="8"/>
        </w:rPr>
        <w:t>como</w:t>
      </w:r>
      <w:r>
        <w:rPr>
          <w:spacing w:val="-1"/>
          <w:w w:val="105"/>
          <w:sz w:val="8"/>
        </w:rPr>
        <w:t xml:space="preserve"> </w:t>
      </w:r>
      <w:r>
        <w:rPr>
          <w:w w:val="105"/>
          <w:sz w:val="8"/>
        </w:rPr>
        <w:t>el</w:t>
      </w:r>
      <w:r>
        <w:rPr>
          <w:spacing w:val="-1"/>
          <w:w w:val="105"/>
          <w:sz w:val="8"/>
        </w:rPr>
        <w:t xml:space="preserve"> </w:t>
      </w:r>
      <w:r>
        <w:rPr>
          <w:w w:val="105"/>
          <w:sz w:val="8"/>
        </w:rPr>
        <w:t>método</w:t>
      </w:r>
      <w:r>
        <w:rPr>
          <w:spacing w:val="-1"/>
          <w:w w:val="105"/>
          <w:sz w:val="8"/>
        </w:rPr>
        <w:t xml:space="preserve"> </w:t>
      </w:r>
      <w:r>
        <w:rPr>
          <w:w w:val="105"/>
          <w:sz w:val="8"/>
        </w:rPr>
        <w:t>preferido</w:t>
      </w:r>
      <w:r>
        <w:rPr>
          <w:spacing w:val="-1"/>
          <w:w w:val="105"/>
          <w:sz w:val="8"/>
        </w:rPr>
        <w:t xml:space="preserve"> </w:t>
      </w:r>
      <w:r>
        <w:rPr>
          <w:w w:val="105"/>
          <w:sz w:val="8"/>
        </w:rPr>
        <w:t>de</w:t>
      </w:r>
      <w:r>
        <w:rPr>
          <w:spacing w:val="-1"/>
          <w:w w:val="105"/>
          <w:sz w:val="8"/>
        </w:rPr>
        <w:t xml:space="preserve"> </w:t>
      </w:r>
      <w:r>
        <w:rPr>
          <w:w w:val="105"/>
          <w:sz w:val="8"/>
        </w:rPr>
        <w:t>instrucción</w:t>
      </w:r>
      <w:r>
        <w:rPr>
          <w:spacing w:val="-1"/>
          <w:w w:val="105"/>
          <w:sz w:val="8"/>
        </w:rPr>
        <w:t xml:space="preserve"> </w:t>
      </w:r>
      <w:r>
        <w:rPr>
          <w:w w:val="105"/>
          <w:sz w:val="8"/>
        </w:rPr>
        <w:t>para</w:t>
      </w:r>
      <w:r>
        <w:rPr>
          <w:spacing w:val="-1"/>
          <w:w w:val="105"/>
          <w:sz w:val="8"/>
        </w:rPr>
        <w:t xml:space="preserve"> </w:t>
      </w:r>
      <w:r>
        <w:rPr>
          <w:w w:val="105"/>
          <w:sz w:val="8"/>
        </w:rPr>
        <w:t>el</w:t>
      </w:r>
      <w:r>
        <w:rPr>
          <w:spacing w:val="-1"/>
          <w:w w:val="105"/>
          <w:sz w:val="8"/>
        </w:rPr>
        <w:t xml:space="preserve"> </w:t>
      </w:r>
      <w:r>
        <w:rPr>
          <w:w w:val="105"/>
          <w:sz w:val="8"/>
        </w:rPr>
        <w:t>desarrollo</w:t>
      </w:r>
      <w:r>
        <w:rPr>
          <w:spacing w:val="-1"/>
          <w:w w:val="105"/>
          <w:sz w:val="8"/>
        </w:rPr>
        <w:t xml:space="preserve"> </w:t>
      </w:r>
      <w:r>
        <w:rPr>
          <w:w w:val="105"/>
          <w:sz w:val="8"/>
        </w:rPr>
        <w:t>de</w:t>
      </w:r>
      <w:r>
        <w:rPr>
          <w:spacing w:val="-1"/>
          <w:w w:val="105"/>
          <w:sz w:val="8"/>
        </w:rPr>
        <w:t xml:space="preserve"> </w:t>
      </w:r>
      <w:r>
        <w:rPr>
          <w:w w:val="105"/>
          <w:sz w:val="8"/>
        </w:rPr>
        <w:t>habilidades</w:t>
      </w:r>
      <w:r>
        <w:rPr>
          <w:spacing w:val="-1"/>
          <w:w w:val="105"/>
          <w:sz w:val="8"/>
        </w:rPr>
        <w:t xml:space="preserve"> </w:t>
      </w:r>
      <w:r>
        <w:rPr>
          <w:w w:val="105"/>
          <w:sz w:val="8"/>
        </w:rPr>
        <w:t>de</w:t>
      </w:r>
      <w:r>
        <w:rPr>
          <w:spacing w:val="-1"/>
          <w:w w:val="105"/>
          <w:sz w:val="8"/>
        </w:rPr>
        <w:t xml:space="preserve"> </w:t>
      </w:r>
      <w:r>
        <w:rPr>
          <w:w w:val="105"/>
          <w:sz w:val="8"/>
        </w:rPr>
        <w:t>comunicación</w:t>
      </w:r>
      <w:r>
        <w:rPr>
          <w:spacing w:val="-1"/>
          <w:w w:val="105"/>
          <w:sz w:val="8"/>
        </w:rPr>
        <w:t xml:space="preserve"> </w:t>
      </w:r>
      <w:r>
        <w:rPr>
          <w:w w:val="105"/>
          <w:sz w:val="8"/>
        </w:rPr>
        <w:t>y</w:t>
      </w:r>
      <w:r>
        <w:rPr>
          <w:spacing w:val="40"/>
          <w:w w:val="105"/>
          <w:sz w:val="8"/>
        </w:rPr>
        <w:t xml:space="preserve"> </w:t>
      </w:r>
      <w:r>
        <w:rPr>
          <w:w w:val="105"/>
          <w:sz w:val="8"/>
        </w:rPr>
        <w:t xml:space="preserve">alfabetización. El requisito de </w:t>
      </w:r>
      <w:proofErr w:type="spellStart"/>
      <w:r>
        <w:rPr>
          <w:w w:val="105"/>
          <w:sz w:val="8"/>
        </w:rPr>
        <w:t>Education</w:t>
      </w:r>
      <w:proofErr w:type="spellEnd"/>
      <w:r>
        <w:rPr>
          <w:w w:val="105"/>
          <w:sz w:val="8"/>
        </w:rPr>
        <w:t xml:space="preserve"> Queensland era que a la Sra. </w:t>
      </w:r>
      <w:proofErr w:type="spellStart"/>
      <w:r>
        <w:rPr>
          <w:w w:val="105"/>
          <w:sz w:val="8"/>
        </w:rPr>
        <w:t>Hurst</w:t>
      </w:r>
      <w:proofErr w:type="spellEnd"/>
      <w:r>
        <w:rPr>
          <w:w w:val="105"/>
          <w:sz w:val="8"/>
        </w:rPr>
        <w:t xml:space="preserve"> se le enseñara en inglés (incluido el inglés por señas).</w:t>
      </w:r>
    </w:p>
    <w:p w14:paraId="3DC4A437" w14:textId="77777777" w:rsidR="0014798C" w:rsidRDefault="0014798C">
      <w:pPr>
        <w:pStyle w:val="Textoindependiente"/>
        <w:spacing w:before="37"/>
        <w:rPr>
          <w:sz w:val="12"/>
        </w:rPr>
      </w:pPr>
    </w:p>
    <w:p w14:paraId="3BDC9E8F" w14:textId="77777777" w:rsidR="0014798C" w:rsidRDefault="004E1F0B">
      <w:pPr>
        <w:spacing w:before="1" w:line="312" w:lineRule="auto"/>
        <w:ind w:left="1366" w:right="1463" w:hanging="255"/>
        <w:rPr>
          <w:sz w:val="12"/>
        </w:rPr>
      </w:pPr>
      <w:r>
        <w:rPr>
          <w:sz w:val="12"/>
          <w:vertAlign w:val="superscript"/>
        </w:rPr>
        <w:t>1066</w:t>
      </w:r>
      <w:r>
        <w:rPr>
          <w:spacing w:val="40"/>
          <w:sz w:val="12"/>
        </w:rPr>
        <w:t xml:space="preserve"> </w:t>
      </w:r>
      <w:r>
        <w:rPr>
          <w:sz w:val="12"/>
        </w:rPr>
        <w:t>Sin</w:t>
      </w:r>
      <w:r>
        <w:rPr>
          <w:spacing w:val="7"/>
          <w:sz w:val="12"/>
        </w:rPr>
        <w:t xml:space="preserve"> </w:t>
      </w:r>
      <w:r>
        <w:rPr>
          <w:sz w:val="12"/>
        </w:rPr>
        <w:t>embargo,</w:t>
      </w:r>
      <w:r>
        <w:rPr>
          <w:spacing w:val="8"/>
          <w:sz w:val="12"/>
        </w:rPr>
        <w:t xml:space="preserve"> </w:t>
      </w:r>
      <w:r>
        <w:rPr>
          <w:sz w:val="12"/>
        </w:rPr>
        <w:t>el</w:t>
      </w:r>
      <w:r>
        <w:rPr>
          <w:spacing w:val="7"/>
          <w:sz w:val="12"/>
        </w:rPr>
        <w:t xml:space="preserve"> </w:t>
      </w:r>
      <w:r>
        <w:rPr>
          <w:sz w:val="12"/>
        </w:rPr>
        <w:t>Tribunal</w:t>
      </w:r>
      <w:r>
        <w:rPr>
          <w:spacing w:val="7"/>
          <w:sz w:val="12"/>
        </w:rPr>
        <w:t xml:space="preserve"> </w:t>
      </w:r>
      <w:r>
        <w:rPr>
          <w:sz w:val="12"/>
        </w:rPr>
        <w:t>subrayó</w:t>
      </w:r>
      <w:r>
        <w:rPr>
          <w:spacing w:val="7"/>
          <w:sz w:val="12"/>
        </w:rPr>
        <w:t xml:space="preserve"> </w:t>
      </w:r>
      <w:r>
        <w:rPr>
          <w:sz w:val="12"/>
        </w:rPr>
        <w:t>que</w:t>
      </w:r>
      <w:r>
        <w:rPr>
          <w:spacing w:val="7"/>
          <w:sz w:val="12"/>
        </w:rPr>
        <w:t xml:space="preserve"> </w:t>
      </w:r>
      <w:r>
        <w:rPr>
          <w:sz w:val="12"/>
        </w:rPr>
        <w:t>la</w:t>
      </w:r>
      <w:r>
        <w:rPr>
          <w:spacing w:val="7"/>
          <w:sz w:val="12"/>
        </w:rPr>
        <w:t xml:space="preserve"> </w:t>
      </w:r>
      <w:r>
        <w:rPr>
          <w:sz w:val="12"/>
        </w:rPr>
        <w:t>sentencia</w:t>
      </w:r>
      <w:r>
        <w:rPr>
          <w:spacing w:val="7"/>
          <w:sz w:val="12"/>
        </w:rPr>
        <w:t xml:space="preserve"> </w:t>
      </w:r>
      <w:r>
        <w:rPr>
          <w:sz w:val="12"/>
        </w:rPr>
        <w:t>no</w:t>
      </w:r>
      <w:r>
        <w:rPr>
          <w:spacing w:val="7"/>
          <w:sz w:val="12"/>
        </w:rPr>
        <w:t xml:space="preserve"> </w:t>
      </w:r>
      <w:r>
        <w:rPr>
          <w:sz w:val="12"/>
        </w:rPr>
        <w:t>estableció</w:t>
      </w:r>
      <w:r>
        <w:rPr>
          <w:spacing w:val="7"/>
          <w:sz w:val="12"/>
        </w:rPr>
        <w:t xml:space="preserve"> </w:t>
      </w:r>
      <w:r>
        <w:rPr>
          <w:sz w:val="12"/>
        </w:rPr>
        <w:t>que</w:t>
      </w:r>
      <w:r>
        <w:rPr>
          <w:spacing w:val="7"/>
          <w:sz w:val="12"/>
        </w:rPr>
        <w:t xml:space="preserve"> </w:t>
      </w:r>
      <w:r>
        <w:rPr>
          <w:sz w:val="12"/>
        </w:rPr>
        <w:t>las</w:t>
      </w:r>
      <w:r>
        <w:rPr>
          <w:spacing w:val="7"/>
          <w:sz w:val="12"/>
        </w:rPr>
        <w:t xml:space="preserve"> </w:t>
      </w:r>
      <w:r>
        <w:rPr>
          <w:sz w:val="12"/>
        </w:rPr>
        <w:t>autoridades</w:t>
      </w:r>
      <w:r>
        <w:rPr>
          <w:spacing w:val="7"/>
          <w:sz w:val="12"/>
        </w:rPr>
        <w:t xml:space="preserve"> </w:t>
      </w:r>
      <w:r>
        <w:rPr>
          <w:sz w:val="12"/>
        </w:rPr>
        <w:t>educativas</w:t>
      </w:r>
      <w:r>
        <w:rPr>
          <w:spacing w:val="7"/>
          <w:sz w:val="12"/>
        </w:rPr>
        <w:t xml:space="preserve"> </w:t>
      </w:r>
      <w:r>
        <w:rPr>
          <w:sz w:val="12"/>
        </w:rPr>
        <w:t>deban</w:t>
      </w:r>
      <w:r>
        <w:rPr>
          <w:spacing w:val="7"/>
          <w:sz w:val="12"/>
        </w:rPr>
        <w:t xml:space="preserve"> </w:t>
      </w:r>
      <w:r>
        <w:rPr>
          <w:sz w:val="12"/>
        </w:rPr>
        <w:t>prever</w:t>
      </w:r>
      <w:r>
        <w:rPr>
          <w:spacing w:val="7"/>
          <w:sz w:val="12"/>
        </w:rPr>
        <w:t xml:space="preserve"> </w:t>
      </w:r>
      <w:r>
        <w:rPr>
          <w:sz w:val="12"/>
        </w:rPr>
        <w:t>la</w:t>
      </w:r>
      <w:r>
        <w:rPr>
          <w:spacing w:val="7"/>
          <w:sz w:val="12"/>
        </w:rPr>
        <w:t xml:space="preserve"> </w:t>
      </w:r>
      <w:r>
        <w:rPr>
          <w:sz w:val="12"/>
        </w:rPr>
        <w:t>enseñanza</w:t>
      </w:r>
      <w:r>
        <w:rPr>
          <w:spacing w:val="7"/>
          <w:sz w:val="12"/>
        </w:rPr>
        <w:t xml:space="preserve"> </w:t>
      </w:r>
      <w:r>
        <w:rPr>
          <w:sz w:val="12"/>
        </w:rPr>
        <w:t>o</w:t>
      </w:r>
      <w:r>
        <w:rPr>
          <w:spacing w:val="7"/>
          <w:sz w:val="12"/>
        </w:rPr>
        <w:t xml:space="preserve"> </w:t>
      </w:r>
      <w:r>
        <w:rPr>
          <w:sz w:val="12"/>
        </w:rPr>
        <w:t>interpretación</w:t>
      </w:r>
      <w:r>
        <w:rPr>
          <w:spacing w:val="7"/>
          <w:sz w:val="12"/>
        </w:rPr>
        <w:t xml:space="preserve"> </w:t>
      </w:r>
      <w:r>
        <w:rPr>
          <w:sz w:val="12"/>
        </w:rPr>
        <w:t>en</w:t>
      </w:r>
      <w:r>
        <w:rPr>
          <w:spacing w:val="7"/>
          <w:sz w:val="12"/>
        </w:rPr>
        <w:t xml:space="preserve"> </w:t>
      </w:r>
      <w:proofErr w:type="spellStart"/>
      <w:r>
        <w:rPr>
          <w:sz w:val="12"/>
        </w:rPr>
        <w:t>Auslan</w:t>
      </w:r>
      <w:proofErr w:type="spellEnd"/>
      <w:r>
        <w:rPr>
          <w:spacing w:val="7"/>
          <w:sz w:val="12"/>
        </w:rPr>
        <w:t xml:space="preserve"> </w:t>
      </w:r>
      <w:r>
        <w:rPr>
          <w:sz w:val="12"/>
        </w:rPr>
        <w:t>para</w:t>
      </w:r>
      <w:r>
        <w:rPr>
          <w:spacing w:val="40"/>
          <w:sz w:val="12"/>
        </w:rPr>
        <w:t xml:space="preserve"> </w:t>
      </w:r>
      <w:r>
        <w:rPr>
          <w:sz w:val="12"/>
        </w:rPr>
        <w:t xml:space="preserve">cualquier niño sordo que lo desee, o que </w:t>
      </w:r>
      <w:proofErr w:type="spellStart"/>
      <w:r>
        <w:rPr>
          <w:sz w:val="12"/>
        </w:rPr>
        <w:t>Auslan</w:t>
      </w:r>
      <w:proofErr w:type="spellEnd"/>
      <w:r>
        <w:rPr>
          <w:sz w:val="12"/>
        </w:rPr>
        <w:t xml:space="preserve"> sea mejor que el inglés de señas como método de enseñanza a niños sordos. o que una autoridad educativa</w:t>
      </w:r>
      <w:r>
        <w:rPr>
          <w:spacing w:val="40"/>
          <w:sz w:val="12"/>
        </w:rPr>
        <w:t xml:space="preserve"> </w:t>
      </w:r>
      <w:r>
        <w:rPr>
          <w:sz w:val="12"/>
        </w:rPr>
        <w:t xml:space="preserve">necesariamente actúa de manera irrazonable si se niega a brindar asistencia a </w:t>
      </w:r>
      <w:proofErr w:type="spellStart"/>
      <w:r>
        <w:rPr>
          <w:sz w:val="12"/>
        </w:rPr>
        <w:t>Auslan</w:t>
      </w:r>
      <w:proofErr w:type="spellEnd"/>
      <w:r>
        <w:rPr>
          <w:sz w:val="12"/>
        </w:rPr>
        <w:t>. Lamentó lo que consideró un intento de politizar el caso por parte de varios</w:t>
      </w:r>
      <w:r>
        <w:rPr>
          <w:spacing w:val="40"/>
          <w:sz w:val="12"/>
        </w:rPr>
        <w:t xml:space="preserve"> </w:t>
      </w:r>
      <w:r>
        <w:rPr>
          <w:sz w:val="12"/>
        </w:rPr>
        <w:t>grupos de interés.</w:t>
      </w:r>
    </w:p>
    <w:p w14:paraId="19BB9FDB" w14:textId="77777777" w:rsidR="0014798C" w:rsidRDefault="004E1F0B">
      <w:pPr>
        <w:spacing w:before="58"/>
        <w:ind w:left="1111"/>
        <w:rPr>
          <w:sz w:val="12"/>
        </w:rPr>
      </w:pPr>
      <w:r>
        <w:rPr>
          <w:sz w:val="12"/>
          <w:vertAlign w:val="superscript"/>
        </w:rPr>
        <w:t>1067</w:t>
      </w:r>
      <w:r>
        <w:rPr>
          <w:spacing w:val="34"/>
          <w:sz w:val="12"/>
        </w:rPr>
        <w:t xml:space="preserve"> </w:t>
      </w:r>
      <w:r>
        <w:rPr>
          <w:sz w:val="12"/>
        </w:rPr>
        <w:t>Tribunal Europeo</w:t>
      </w:r>
      <w:r>
        <w:rPr>
          <w:spacing w:val="1"/>
          <w:sz w:val="12"/>
        </w:rPr>
        <w:t xml:space="preserve"> </w:t>
      </w:r>
      <w:r>
        <w:rPr>
          <w:sz w:val="12"/>
        </w:rPr>
        <w:t>de Derechos Humanos,</w:t>
      </w:r>
      <w:r>
        <w:rPr>
          <w:spacing w:val="2"/>
          <w:sz w:val="12"/>
        </w:rPr>
        <w:t xml:space="preserve"> </w:t>
      </w:r>
      <w:r>
        <w:rPr>
          <w:sz w:val="12"/>
        </w:rPr>
        <w:t>respectivamente,</w:t>
      </w:r>
      <w:r>
        <w:rPr>
          <w:spacing w:val="1"/>
          <w:sz w:val="12"/>
        </w:rPr>
        <w:t xml:space="preserve"> </w:t>
      </w:r>
      <w:r>
        <w:rPr>
          <w:sz w:val="12"/>
        </w:rPr>
        <w:t>Catan y</w:t>
      </w:r>
      <w:r>
        <w:rPr>
          <w:spacing w:val="1"/>
          <w:sz w:val="12"/>
        </w:rPr>
        <w:t xml:space="preserve"> </w:t>
      </w:r>
      <w:r>
        <w:rPr>
          <w:sz w:val="12"/>
        </w:rPr>
        <w:t>otros c. Moldavia</w:t>
      </w:r>
      <w:r>
        <w:rPr>
          <w:spacing w:val="1"/>
          <w:sz w:val="12"/>
        </w:rPr>
        <w:t xml:space="preserve"> </w:t>
      </w:r>
      <w:r>
        <w:rPr>
          <w:sz w:val="12"/>
        </w:rPr>
        <w:t>y Rusia, solicitudes</w:t>
      </w:r>
      <w:r>
        <w:rPr>
          <w:spacing w:val="1"/>
          <w:sz w:val="12"/>
        </w:rPr>
        <w:t xml:space="preserve"> </w:t>
      </w:r>
      <w:proofErr w:type="spellStart"/>
      <w:r>
        <w:rPr>
          <w:sz w:val="12"/>
        </w:rPr>
        <w:t>núms</w:t>
      </w:r>
      <w:proofErr w:type="spellEnd"/>
      <w:r>
        <w:rPr>
          <w:sz w:val="12"/>
        </w:rPr>
        <w:t>. 43370/04,</w:t>
      </w:r>
      <w:r>
        <w:rPr>
          <w:spacing w:val="1"/>
          <w:sz w:val="12"/>
        </w:rPr>
        <w:t xml:space="preserve"> </w:t>
      </w:r>
      <w:r>
        <w:rPr>
          <w:sz w:val="12"/>
        </w:rPr>
        <w:t>8252/05</w:t>
      </w:r>
      <w:r>
        <w:rPr>
          <w:spacing w:val="1"/>
          <w:sz w:val="12"/>
        </w:rPr>
        <w:t xml:space="preserve"> </w:t>
      </w:r>
      <w:r>
        <w:rPr>
          <w:sz w:val="12"/>
        </w:rPr>
        <w:t>y 18454/06,</w:t>
      </w:r>
      <w:r>
        <w:rPr>
          <w:spacing w:val="1"/>
          <w:sz w:val="12"/>
        </w:rPr>
        <w:t xml:space="preserve"> </w:t>
      </w:r>
      <w:r>
        <w:rPr>
          <w:sz w:val="12"/>
        </w:rPr>
        <w:t>sentencia</w:t>
      </w:r>
      <w:r>
        <w:rPr>
          <w:spacing w:val="1"/>
          <w:sz w:val="12"/>
        </w:rPr>
        <w:t xml:space="preserve"> </w:t>
      </w:r>
      <w:r>
        <w:rPr>
          <w:spacing w:val="-5"/>
          <w:sz w:val="12"/>
        </w:rPr>
        <w:t>de</w:t>
      </w:r>
    </w:p>
    <w:p w14:paraId="4DF0481C" w14:textId="77777777" w:rsidR="0014798C" w:rsidRDefault="004E1F0B">
      <w:pPr>
        <w:spacing w:before="42" w:line="312" w:lineRule="auto"/>
        <w:ind w:left="1365" w:right="1272" w:firstLine="10"/>
        <w:rPr>
          <w:sz w:val="12"/>
        </w:rPr>
      </w:pPr>
      <w:r>
        <w:rPr>
          <w:sz w:val="12"/>
        </w:rPr>
        <w:t xml:space="preserve">19 de octubre de 2012; y Caso “relativo a determinados aspectos de las leyes sobre el uso de las lenguas en la educación en Bélgica”, solicitudes </w:t>
      </w:r>
      <w:proofErr w:type="spellStart"/>
      <w:r>
        <w:rPr>
          <w:sz w:val="12"/>
        </w:rPr>
        <w:t>núms</w:t>
      </w:r>
      <w:proofErr w:type="spellEnd"/>
      <w:r>
        <w:rPr>
          <w:sz w:val="12"/>
        </w:rPr>
        <w:t>. 1474/62,</w:t>
      </w:r>
      <w:r>
        <w:rPr>
          <w:spacing w:val="40"/>
          <w:sz w:val="12"/>
        </w:rPr>
        <w:t xml:space="preserve"> </w:t>
      </w:r>
      <w:r>
        <w:rPr>
          <w:sz w:val="12"/>
        </w:rPr>
        <w:t xml:space="preserve">1677/62, 1691/62, 1769/63, 1994/63 y 2126/64, sentencia </w:t>
      </w:r>
      <w:proofErr w:type="gramStart"/>
      <w:r>
        <w:rPr>
          <w:sz w:val="12"/>
        </w:rPr>
        <w:t>( Fondo</w:t>
      </w:r>
      <w:proofErr w:type="gramEnd"/>
      <w:r>
        <w:rPr>
          <w:sz w:val="12"/>
        </w:rPr>
        <w:t>), 23 de julio de 1968.</w:t>
      </w:r>
    </w:p>
    <w:p w14:paraId="160B32D1" w14:textId="77777777" w:rsidR="0014798C" w:rsidRDefault="004E1F0B">
      <w:pPr>
        <w:spacing w:before="57"/>
        <w:ind w:left="1111"/>
        <w:rPr>
          <w:sz w:val="12"/>
        </w:rPr>
      </w:pPr>
      <w:r>
        <w:rPr>
          <w:sz w:val="12"/>
          <w:vertAlign w:val="superscript"/>
        </w:rPr>
        <w:t>1068</w:t>
      </w:r>
      <w:r>
        <w:rPr>
          <w:spacing w:val="35"/>
          <w:sz w:val="12"/>
        </w:rPr>
        <w:t xml:space="preserve"> </w:t>
      </w:r>
      <w:r>
        <w:rPr>
          <w:sz w:val="12"/>
        </w:rPr>
        <w:t>Tribunal Europeo</w:t>
      </w:r>
      <w:r>
        <w:rPr>
          <w:spacing w:val="1"/>
          <w:sz w:val="12"/>
        </w:rPr>
        <w:t xml:space="preserve"> </w:t>
      </w:r>
      <w:r>
        <w:rPr>
          <w:sz w:val="12"/>
        </w:rPr>
        <w:t>de</w:t>
      </w:r>
      <w:r>
        <w:rPr>
          <w:spacing w:val="1"/>
          <w:sz w:val="12"/>
        </w:rPr>
        <w:t xml:space="preserve"> </w:t>
      </w:r>
      <w:r>
        <w:rPr>
          <w:sz w:val="12"/>
        </w:rPr>
        <w:t>Derechos Humanos,</w:t>
      </w:r>
      <w:r>
        <w:rPr>
          <w:spacing w:val="2"/>
          <w:sz w:val="12"/>
        </w:rPr>
        <w:t xml:space="preserve"> </w:t>
      </w:r>
      <w:proofErr w:type="spellStart"/>
      <w:r>
        <w:rPr>
          <w:sz w:val="12"/>
        </w:rPr>
        <w:t>Oršuš</w:t>
      </w:r>
      <w:proofErr w:type="spellEnd"/>
      <w:r>
        <w:rPr>
          <w:sz w:val="12"/>
        </w:rPr>
        <w:t xml:space="preserve"> y</w:t>
      </w:r>
      <w:r>
        <w:rPr>
          <w:spacing w:val="1"/>
          <w:sz w:val="12"/>
        </w:rPr>
        <w:t xml:space="preserve"> </w:t>
      </w:r>
      <w:r>
        <w:rPr>
          <w:sz w:val="12"/>
        </w:rPr>
        <w:t>otros</w:t>
      </w:r>
      <w:r>
        <w:rPr>
          <w:spacing w:val="1"/>
          <w:sz w:val="12"/>
        </w:rPr>
        <w:t xml:space="preserve"> </w:t>
      </w:r>
      <w:r>
        <w:rPr>
          <w:sz w:val="12"/>
        </w:rPr>
        <w:t>c. Croacia,</w:t>
      </w:r>
      <w:r>
        <w:rPr>
          <w:spacing w:val="2"/>
          <w:sz w:val="12"/>
        </w:rPr>
        <w:t xml:space="preserve"> </w:t>
      </w:r>
      <w:r>
        <w:rPr>
          <w:sz w:val="12"/>
        </w:rPr>
        <w:t>solicitud</w:t>
      </w:r>
      <w:r>
        <w:rPr>
          <w:spacing w:val="1"/>
          <w:sz w:val="12"/>
        </w:rPr>
        <w:t xml:space="preserve"> </w:t>
      </w:r>
      <w:r>
        <w:rPr>
          <w:sz w:val="12"/>
        </w:rPr>
        <w:t>n.º 15766/03,</w:t>
      </w:r>
      <w:r>
        <w:rPr>
          <w:spacing w:val="2"/>
          <w:sz w:val="12"/>
        </w:rPr>
        <w:t xml:space="preserve"> </w:t>
      </w:r>
      <w:r>
        <w:rPr>
          <w:sz w:val="12"/>
        </w:rPr>
        <w:t>sentencia de</w:t>
      </w:r>
      <w:r>
        <w:rPr>
          <w:spacing w:val="1"/>
          <w:sz w:val="12"/>
        </w:rPr>
        <w:t xml:space="preserve"> </w:t>
      </w:r>
      <w:r>
        <w:rPr>
          <w:sz w:val="12"/>
        </w:rPr>
        <w:t>16</w:t>
      </w:r>
      <w:r>
        <w:rPr>
          <w:spacing w:val="1"/>
          <w:sz w:val="12"/>
        </w:rPr>
        <w:t xml:space="preserve"> </w:t>
      </w:r>
      <w:r>
        <w:rPr>
          <w:sz w:val="12"/>
        </w:rPr>
        <w:t>de marzo</w:t>
      </w:r>
      <w:r>
        <w:rPr>
          <w:spacing w:val="1"/>
          <w:sz w:val="12"/>
        </w:rPr>
        <w:t xml:space="preserve"> </w:t>
      </w:r>
      <w:r>
        <w:rPr>
          <w:sz w:val="12"/>
        </w:rPr>
        <w:t xml:space="preserve">de </w:t>
      </w:r>
      <w:r>
        <w:rPr>
          <w:spacing w:val="-2"/>
          <w:sz w:val="12"/>
        </w:rPr>
        <w:t>2010.</w:t>
      </w:r>
    </w:p>
    <w:p w14:paraId="46A92AD5" w14:textId="77777777" w:rsidR="0014798C" w:rsidRDefault="0014798C">
      <w:pPr>
        <w:pStyle w:val="Textoindependiente"/>
        <w:rPr>
          <w:sz w:val="18"/>
        </w:rPr>
      </w:pPr>
    </w:p>
    <w:p w14:paraId="62DCFBFA" w14:textId="77777777" w:rsidR="0014798C" w:rsidRDefault="0014798C">
      <w:pPr>
        <w:pStyle w:val="Textoindependiente"/>
        <w:rPr>
          <w:sz w:val="18"/>
        </w:rPr>
      </w:pPr>
    </w:p>
    <w:p w14:paraId="52BB946A" w14:textId="77777777" w:rsidR="0014798C" w:rsidRDefault="0014798C">
      <w:pPr>
        <w:pStyle w:val="Textoindependiente"/>
        <w:spacing w:before="29"/>
        <w:rPr>
          <w:sz w:val="18"/>
        </w:rPr>
      </w:pPr>
    </w:p>
    <w:p w14:paraId="0139843F" w14:textId="77777777" w:rsidR="0014798C" w:rsidRDefault="004E1F0B">
      <w:pPr>
        <w:ind w:right="710"/>
        <w:jc w:val="right"/>
        <w:rPr>
          <w:sz w:val="18"/>
        </w:rPr>
      </w:pPr>
      <w:r>
        <w:rPr>
          <w:spacing w:val="-5"/>
          <w:sz w:val="18"/>
        </w:rPr>
        <w:t>155</w:t>
      </w:r>
    </w:p>
    <w:p w14:paraId="16932148" w14:textId="77777777" w:rsidR="0014798C" w:rsidRDefault="0014798C">
      <w:pPr>
        <w:jc w:val="right"/>
        <w:rPr>
          <w:sz w:val="18"/>
        </w:rPr>
        <w:sectPr w:rsidR="0014798C" w:rsidSect="00F265E4">
          <w:pgSz w:w="11900" w:h="16820"/>
          <w:pgMar w:top="340" w:right="0" w:bottom="280" w:left="200" w:header="121" w:footer="0" w:gutter="0"/>
          <w:cols w:space="720"/>
        </w:sectPr>
      </w:pPr>
    </w:p>
    <w:p w14:paraId="25708A12" w14:textId="77777777" w:rsidR="0014798C" w:rsidRDefault="0014798C">
      <w:pPr>
        <w:pStyle w:val="Textoindependiente"/>
        <w:spacing w:before="85"/>
        <w:rPr>
          <w:sz w:val="12"/>
        </w:rPr>
      </w:pPr>
    </w:p>
    <w:p w14:paraId="696D9B62" w14:textId="77777777" w:rsidR="0014798C" w:rsidRDefault="004E1F0B">
      <w:pPr>
        <w:ind w:left="1111"/>
        <w:rPr>
          <w:sz w:val="12"/>
        </w:rPr>
      </w:pPr>
      <w:r>
        <w:rPr>
          <w:color w:val="803108"/>
          <w:sz w:val="12"/>
        </w:rPr>
        <w:t>PROTECCIÓN</w:t>
      </w:r>
      <w:r>
        <w:rPr>
          <w:color w:val="803108"/>
          <w:spacing w:val="6"/>
          <w:sz w:val="12"/>
        </w:rPr>
        <w:t xml:space="preserve"> </w:t>
      </w:r>
      <w:r>
        <w:rPr>
          <w:color w:val="803108"/>
          <w:sz w:val="12"/>
        </w:rPr>
        <w:t>DE</w:t>
      </w:r>
      <w:r>
        <w:rPr>
          <w:color w:val="803108"/>
          <w:spacing w:val="7"/>
          <w:sz w:val="12"/>
        </w:rPr>
        <w:t xml:space="preserve"> </w:t>
      </w:r>
      <w:r>
        <w:rPr>
          <w:color w:val="803108"/>
          <w:sz w:val="12"/>
        </w:rPr>
        <w:t>LOS</w:t>
      </w:r>
      <w:r>
        <w:rPr>
          <w:color w:val="803108"/>
          <w:spacing w:val="8"/>
          <w:sz w:val="12"/>
        </w:rPr>
        <w:t xml:space="preserve"> </w:t>
      </w:r>
      <w:r>
        <w:rPr>
          <w:color w:val="803108"/>
          <w:sz w:val="12"/>
        </w:rPr>
        <w:t>DERECHOS</w:t>
      </w:r>
      <w:r>
        <w:rPr>
          <w:color w:val="803108"/>
          <w:spacing w:val="8"/>
          <w:sz w:val="12"/>
        </w:rPr>
        <w:t xml:space="preserve"> </w:t>
      </w:r>
      <w:r>
        <w:rPr>
          <w:color w:val="803108"/>
          <w:sz w:val="12"/>
        </w:rPr>
        <w:t>DE</w:t>
      </w:r>
      <w:r>
        <w:rPr>
          <w:color w:val="803108"/>
          <w:spacing w:val="6"/>
          <w:sz w:val="12"/>
        </w:rPr>
        <w:t xml:space="preserve"> </w:t>
      </w:r>
      <w:r>
        <w:rPr>
          <w:color w:val="803108"/>
          <w:sz w:val="12"/>
        </w:rPr>
        <w:t>LAS</w:t>
      </w:r>
      <w:r>
        <w:rPr>
          <w:color w:val="803108"/>
          <w:spacing w:val="7"/>
          <w:sz w:val="12"/>
        </w:rPr>
        <w:t xml:space="preserve"> </w:t>
      </w:r>
      <w:r>
        <w:rPr>
          <w:color w:val="803108"/>
          <w:sz w:val="12"/>
        </w:rPr>
        <w:t>MINORÍAS:</w:t>
      </w:r>
      <w:r>
        <w:rPr>
          <w:color w:val="803108"/>
          <w:spacing w:val="8"/>
          <w:sz w:val="12"/>
        </w:rPr>
        <w:t xml:space="preserve"> </w:t>
      </w:r>
      <w:r>
        <w:rPr>
          <w:color w:val="803108"/>
          <w:sz w:val="12"/>
        </w:rPr>
        <w:t>una</w:t>
      </w:r>
      <w:r>
        <w:rPr>
          <w:color w:val="803108"/>
          <w:spacing w:val="7"/>
          <w:sz w:val="12"/>
        </w:rPr>
        <w:t xml:space="preserve"> </w:t>
      </w:r>
      <w:r>
        <w:rPr>
          <w:color w:val="803108"/>
          <w:sz w:val="12"/>
        </w:rPr>
        <w:t>guía</w:t>
      </w:r>
      <w:r>
        <w:rPr>
          <w:color w:val="803108"/>
          <w:spacing w:val="6"/>
          <w:sz w:val="12"/>
        </w:rPr>
        <w:t xml:space="preserve"> </w:t>
      </w:r>
      <w:r>
        <w:rPr>
          <w:color w:val="803108"/>
          <w:sz w:val="12"/>
        </w:rPr>
        <w:t>práctica</w:t>
      </w:r>
      <w:r>
        <w:rPr>
          <w:color w:val="803108"/>
          <w:spacing w:val="7"/>
          <w:sz w:val="12"/>
        </w:rPr>
        <w:t xml:space="preserve"> </w:t>
      </w:r>
      <w:r>
        <w:rPr>
          <w:color w:val="803108"/>
          <w:sz w:val="12"/>
        </w:rPr>
        <w:t>para</w:t>
      </w:r>
      <w:r>
        <w:rPr>
          <w:color w:val="803108"/>
          <w:spacing w:val="8"/>
          <w:sz w:val="12"/>
        </w:rPr>
        <w:t xml:space="preserve"> </w:t>
      </w:r>
      <w:r>
        <w:rPr>
          <w:color w:val="803108"/>
          <w:sz w:val="12"/>
        </w:rPr>
        <w:t>desarrollar</w:t>
      </w:r>
      <w:r>
        <w:rPr>
          <w:color w:val="803108"/>
          <w:spacing w:val="6"/>
          <w:sz w:val="12"/>
        </w:rPr>
        <w:t xml:space="preserve"> </w:t>
      </w:r>
      <w:r>
        <w:rPr>
          <w:color w:val="803108"/>
          <w:sz w:val="12"/>
        </w:rPr>
        <w:t>una</w:t>
      </w:r>
      <w:r>
        <w:rPr>
          <w:color w:val="803108"/>
          <w:spacing w:val="7"/>
          <w:sz w:val="12"/>
        </w:rPr>
        <w:t xml:space="preserve"> </w:t>
      </w:r>
      <w:r>
        <w:rPr>
          <w:color w:val="803108"/>
          <w:sz w:val="12"/>
        </w:rPr>
        <w:t>legislación</w:t>
      </w:r>
      <w:r>
        <w:rPr>
          <w:color w:val="803108"/>
          <w:spacing w:val="8"/>
          <w:sz w:val="12"/>
        </w:rPr>
        <w:t xml:space="preserve"> </w:t>
      </w:r>
      <w:r>
        <w:rPr>
          <w:color w:val="803108"/>
          <w:sz w:val="12"/>
        </w:rPr>
        <w:t>integral</w:t>
      </w:r>
      <w:r>
        <w:rPr>
          <w:color w:val="803108"/>
          <w:spacing w:val="7"/>
          <w:sz w:val="12"/>
        </w:rPr>
        <w:t xml:space="preserve"> </w:t>
      </w:r>
      <w:r>
        <w:rPr>
          <w:color w:val="803108"/>
          <w:sz w:val="12"/>
        </w:rPr>
        <w:t>contra</w:t>
      </w:r>
      <w:r>
        <w:rPr>
          <w:color w:val="803108"/>
          <w:spacing w:val="6"/>
          <w:sz w:val="12"/>
        </w:rPr>
        <w:t xml:space="preserve"> </w:t>
      </w:r>
      <w:r>
        <w:rPr>
          <w:color w:val="803108"/>
          <w:sz w:val="12"/>
        </w:rPr>
        <w:t>la</w:t>
      </w:r>
      <w:r>
        <w:rPr>
          <w:color w:val="803108"/>
          <w:spacing w:val="7"/>
          <w:sz w:val="12"/>
        </w:rPr>
        <w:t xml:space="preserve"> </w:t>
      </w:r>
      <w:r>
        <w:rPr>
          <w:color w:val="803108"/>
          <w:spacing w:val="-2"/>
          <w:sz w:val="12"/>
        </w:rPr>
        <w:t>discriminación</w:t>
      </w:r>
    </w:p>
    <w:p w14:paraId="2CEEE1B2" w14:textId="77777777" w:rsidR="0014798C" w:rsidRDefault="0014798C">
      <w:pPr>
        <w:pStyle w:val="Textoindependiente"/>
        <w:rPr>
          <w:sz w:val="15"/>
        </w:rPr>
      </w:pPr>
    </w:p>
    <w:p w14:paraId="635538C9" w14:textId="77777777" w:rsidR="0014798C" w:rsidRDefault="0014798C">
      <w:pPr>
        <w:pStyle w:val="Textoindependiente"/>
        <w:rPr>
          <w:sz w:val="15"/>
        </w:rPr>
      </w:pPr>
    </w:p>
    <w:p w14:paraId="57707007" w14:textId="77777777" w:rsidR="0014798C" w:rsidRDefault="0014798C">
      <w:pPr>
        <w:pStyle w:val="Textoindependiente"/>
        <w:rPr>
          <w:sz w:val="15"/>
        </w:rPr>
      </w:pPr>
    </w:p>
    <w:p w14:paraId="0F86A3CC" w14:textId="77777777" w:rsidR="0014798C" w:rsidRDefault="0014798C">
      <w:pPr>
        <w:pStyle w:val="Textoindependiente"/>
        <w:rPr>
          <w:sz w:val="15"/>
        </w:rPr>
      </w:pPr>
    </w:p>
    <w:p w14:paraId="3B468820" w14:textId="77777777" w:rsidR="0014798C" w:rsidRDefault="0014798C">
      <w:pPr>
        <w:pStyle w:val="Textoindependiente"/>
        <w:spacing w:before="144"/>
        <w:rPr>
          <w:sz w:val="15"/>
        </w:rPr>
      </w:pPr>
    </w:p>
    <w:p w14:paraId="1BE10440" w14:textId="77777777" w:rsidR="0014798C" w:rsidRDefault="004E1F0B">
      <w:pPr>
        <w:pStyle w:val="Prrafodelista"/>
        <w:numPr>
          <w:ilvl w:val="0"/>
          <w:numId w:val="15"/>
        </w:numPr>
        <w:tabs>
          <w:tab w:val="left" w:pos="1844"/>
          <w:tab w:val="left" w:pos="2017"/>
        </w:tabs>
        <w:spacing w:line="345" w:lineRule="auto"/>
        <w:ind w:left="2017" w:right="1654" w:hanging="344"/>
        <w:rPr>
          <w:color w:val="803108"/>
          <w:sz w:val="15"/>
        </w:rPr>
      </w:pPr>
      <w:r>
        <w:rPr>
          <w:color w:val="803108"/>
          <w:w w:val="105"/>
          <w:sz w:val="15"/>
        </w:rPr>
        <w:t>La</w:t>
      </w:r>
      <w:r>
        <w:rPr>
          <w:color w:val="803108"/>
          <w:spacing w:val="-8"/>
          <w:w w:val="105"/>
          <w:sz w:val="15"/>
        </w:rPr>
        <w:t xml:space="preserve"> </w:t>
      </w:r>
      <w:r>
        <w:rPr>
          <w:color w:val="803108"/>
          <w:w w:val="105"/>
          <w:sz w:val="15"/>
        </w:rPr>
        <w:t>UNESCO</w:t>
      </w:r>
      <w:r>
        <w:rPr>
          <w:color w:val="803108"/>
          <w:spacing w:val="-8"/>
          <w:w w:val="105"/>
          <w:sz w:val="15"/>
        </w:rPr>
        <w:t xml:space="preserve"> </w:t>
      </w:r>
      <w:r>
        <w:rPr>
          <w:color w:val="803108"/>
          <w:w w:val="105"/>
          <w:sz w:val="15"/>
        </w:rPr>
        <w:t>apoya</w:t>
      </w:r>
      <w:r>
        <w:rPr>
          <w:color w:val="803108"/>
          <w:spacing w:val="-8"/>
          <w:w w:val="105"/>
          <w:sz w:val="15"/>
        </w:rPr>
        <w:t xml:space="preserve"> </w:t>
      </w:r>
      <w:r>
        <w:rPr>
          <w:w w:val="105"/>
          <w:sz w:val="15"/>
        </w:rPr>
        <w:t>la</w:t>
      </w:r>
      <w:r>
        <w:rPr>
          <w:spacing w:val="-8"/>
          <w:w w:val="105"/>
          <w:sz w:val="15"/>
        </w:rPr>
        <w:t xml:space="preserve"> </w:t>
      </w:r>
      <w:r>
        <w:rPr>
          <w:w w:val="105"/>
          <w:sz w:val="15"/>
        </w:rPr>
        <w:t>educación</w:t>
      </w:r>
      <w:r>
        <w:rPr>
          <w:spacing w:val="-8"/>
          <w:w w:val="105"/>
          <w:sz w:val="15"/>
        </w:rPr>
        <w:t xml:space="preserve"> </w:t>
      </w:r>
      <w:r>
        <w:rPr>
          <w:color w:val="803108"/>
          <w:w w:val="105"/>
          <w:sz w:val="15"/>
        </w:rPr>
        <w:t>bilingüe</w:t>
      </w:r>
      <w:r>
        <w:rPr>
          <w:color w:val="803108"/>
          <w:spacing w:val="-8"/>
          <w:w w:val="105"/>
          <w:sz w:val="15"/>
        </w:rPr>
        <w:t xml:space="preserve"> </w:t>
      </w:r>
      <w:r>
        <w:rPr>
          <w:color w:val="803108"/>
          <w:w w:val="105"/>
          <w:sz w:val="15"/>
        </w:rPr>
        <w:t>y/o</w:t>
      </w:r>
      <w:r>
        <w:rPr>
          <w:color w:val="803108"/>
          <w:spacing w:val="-8"/>
          <w:w w:val="105"/>
          <w:sz w:val="15"/>
        </w:rPr>
        <w:t xml:space="preserve"> </w:t>
      </w:r>
      <w:r>
        <w:rPr>
          <w:color w:val="803108"/>
          <w:w w:val="105"/>
          <w:sz w:val="15"/>
        </w:rPr>
        <w:t>multilingüe</w:t>
      </w:r>
      <w:r>
        <w:rPr>
          <w:color w:val="803108"/>
          <w:spacing w:val="-8"/>
          <w:w w:val="105"/>
          <w:sz w:val="15"/>
        </w:rPr>
        <w:t xml:space="preserve"> </w:t>
      </w:r>
      <w:r>
        <w:rPr>
          <w:color w:val="803108"/>
          <w:w w:val="105"/>
          <w:sz w:val="15"/>
        </w:rPr>
        <w:t>en</w:t>
      </w:r>
      <w:r>
        <w:rPr>
          <w:color w:val="803108"/>
          <w:spacing w:val="-8"/>
          <w:w w:val="105"/>
          <w:sz w:val="15"/>
        </w:rPr>
        <w:t xml:space="preserve"> </w:t>
      </w:r>
      <w:r>
        <w:rPr>
          <w:color w:val="803108"/>
          <w:w w:val="105"/>
          <w:sz w:val="15"/>
        </w:rPr>
        <w:t>todos</w:t>
      </w:r>
      <w:r>
        <w:rPr>
          <w:color w:val="803108"/>
          <w:spacing w:val="-8"/>
          <w:w w:val="105"/>
          <w:sz w:val="15"/>
        </w:rPr>
        <w:t xml:space="preserve"> </w:t>
      </w:r>
      <w:r>
        <w:rPr>
          <w:color w:val="803108"/>
          <w:w w:val="105"/>
          <w:sz w:val="15"/>
        </w:rPr>
        <w:t>los</w:t>
      </w:r>
      <w:r>
        <w:rPr>
          <w:color w:val="803108"/>
          <w:spacing w:val="-8"/>
          <w:w w:val="105"/>
          <w:sz w:val="15"/>
        </w:rPr>
        <w:t xml:space="preserve"> </w:t>
      </w:r>
      <w:r>
        <w:rPr>
          <w:color w:val="803108"/>
          <w:w w:val="105"/>
          <w:sz w:val="15"/>
        </w:rPr>
        <w:t>niveles</w:t>
      </w:r>
      <w:r>
        <w:rPr>
          <w:color w:val="803108"/>
          <w:spacing w:val="-8"/>
          <w:w w:val="105"/>
          <w:sz w:val="15"/>
        </w:rPr>
        <w:t xml:space="preserve"> </w:t>
      </w:r>
      <w:r>
        <w:rPr>
          <w:color w:val="803108"/>
          <w:w w:val="105"/>
          <w:sz w:val="15"/>
        </w:rPr>
        <w:t>educativos</w:t>
      </w:r>
      <w:r>
        <w:rPr>
          <w:color w:val="803108"/>
          <w:spacing w:val="-8"/>
          <w:w w:val="105"/>
          <w:sz w:val="15"/>
        </w:rPr>
        <w:t xml:space="preserve"> </w:t>
      </w:r>
      <w:r>
        <w:rPr>
          <w:color w:val="803108"/>
          <w:w w:val="105"/>
          <w:sz w:val="15"/>
        </w:rPr>
        <w:t>como</w:t>
      </w:r>
      <w:r>
        <w:rPr>
          <w:color w:val="803108"/>
          <w:spacing w:val="-8"/>
          <w:w w:val="105"/>
          <w:sz w:val="15"/>
        </w:rPr>
        <w:t xml:space="preserve"> </w:t>
      </w:r>
      <w:r>
        <w:rPr>
          <w:color w:val="803108"/>
          <w:w w:val="105"/>
          <w:sz w:val="15"/>
        </w:rPr>
        <w:t>medio</w:t>
      </w:r>
      <w:r>
        <w:rPr>
          <w:color w:val="803108"/>
          <w:spacing w:val="-8"/>
          <w:w w:val="105"/>
          <w:sz w:val="15"/>
        </w:rPr>
        <w:t xml:space="preserve"> </w:t>
      </w:r>
      <w:r>
        <w:rPr>
          <w:color w:val="803108"/>
          <w:w w:val="105"/>
          <w:sz w:val="15"/>
        </w:rPr>
        <w:t>para</w:t>
      </w:r>
      <w:r>
        <w:rPr>
          <w:color w:val="803108"/>
          <w:spacing w:val="-8"/>
          <w:w w:val="105"/>
          <w:sz w:val="15"/>
        </w:rPr>
        <w:t xml:space="preserve"> </w:t>
      </w:r>
      <w:r>
        <w:rPr>
          <w:color w:val="803108"/>
          <w:w w:val="105"/>
          <w:sz w:val="15"/>
        </w:rPr>
        <w:t>promover</w:t>
      </w:r>
      <w:r>
        <w:rPr>
          <w:color w:val="803108"/>
          <w:spacing w:val="-8"/>
          <w:w w:val="105"/>
          <w:sz w:val="15"/>
        </w:rPr>
        <w:t xml:space="preserve"> </w:t>
      </w:r>
      <w:r>
        <w:rPr>
          <w:color w:val="803108"/>
          <w:w w:val="105"/>
          <w:sz w:val="15"/>
        </w:rPr>
        <w:t>la igualdad</w:t>
      </w:r>
      <w:r>
        <w:rPr>
          <w:color w:val="803108"/>
          <w:spacing w:val="-1"/>
          <w:w w:val="105"/>
          <w:sz w:val="15"/>
        </w:rPr>
        <w:t xml:space="preserve"> </w:t>
      </w:r>
      <w:r>
        <w:rPr>
          <w:color w:val="803108"/>
          <w:w w:val="105"/>
          <w:sz w:val="15"/>
        </w:rPr>
        <w:t>social</w:t>
      </w:r>
      <w:r>
        <w:rPr>
          <w:color w:val="803108"/>
          <w:spacing w:val="-1"/>
          <w:w w:val="105"/>
          <w:sz w:val="15"/>
        </w:rPr>
        <w:t xml:space="preserve"> </w:t>
      </w:r>
      <w:r>
        <w:rPr>
          <w:color w:val="803108"/>
          <w:w w:val="105"/>
          <w:sz w:val="15"/>
        </w:rPr>
        <w:t>y</w:t>
      </w:r>
      <w:r>
        <w:rPr>
          <w:color w:val="803108"/>
          <w:spacing w:val="-1"/>
          <w:w w:val="105"/>
          <w:sz w:val="15"/>
        </w:rPr>
        <w:t xml:space="preserve"> </w:t>
      </w:r>
      <w:r>
        <w:rPr>
          <w:color w:val="803108"/>
          <w:w w:val="105"/>
          <w:sz w:val="15"/>
        </w:rPr>
        <w:t>de</w:t>
      </w:r>
      <w:r>
        <w:rPr>
          <w:color w:val="803108"/>
          <w:spacing w:val="-1"/>
          <w:w w:val="105"/>
          <w:sz w:val="15"/>
        </w:rPr>
        <w:t xml:space="preserve"> </w:t>
      </w:r>
      <w:r>
        <w:rPr>
          <w:color w:val="803108"/>
          <w:w w:val="105"/>
          <w:sz w:val="15"/>
        </w:rPr>
        <w:t>género</w:t>
      </w:r>
      <w:r>
        <w:rPr>
          <w:color w:val="803108"/>
          <w:spacing w:val="-1"/>
          <w:w w:val="105"/>
          <w:sz w:val="15"/>
        </w:rPr>
        <w:t xml:space="preserve"> </w:t>
      </w:r>
      <w:r>
        <w:rPr>
          <w:color w:val="803108"/>
          <w:w w:val="105"/>
          <w:sz w:val="15"/>
        </w:rPr>
        <w:t>y</w:t>
      </w:r>
      <w:r>
        <w:rPr>
          <w:color w:val="803108"/>
          <w:spacing w:val="-1"/>
          <w:w w:val="105"/>
          <w:sz w:val="15"/>
        </w:rPr>
        <w:t xml:space="preserve"> </w:t>
      </w:r>
      <w:r>
        <w:rPr>
          <w:color w:val="803108"/>
          <w:w w:val="105"/>
          <w:sz w:val="15"/>
        </w:rPr>
        <w:t>como</w:t>
      </w:r>
      <w:r>
        <w:rPr>
          <w:color w:val="803108"/>
          <w:spacing w:val="-1"/>
          <w:w w:val="105"/>
          <w:sz w:val="15"/>
        </w:rPr>
        <w:t xml:space="preserve"> </w:t>
      </w:r>
      <w:r>
        <w:rPr>
          <w:color w:val="803108"/>
          <w:w w:val="105"/>
          <w:sz w:val="15"/>
        </w:rPr>
        <w:t>elemento</w:t>
      </w:r>
      <w:r>
        <w:rPr>
          <w:color w:val="803108"/>
          <w:spacing w:val="-1"/>
          <w:w w:val="105"/>
          <w:sz w:val="15"/>
        </w:rPr>
        <w:t xml:space="preserve"> </w:t>
      </w:r>
      <w:r>
        <w:rPr>
          <w:color w:val="803108"/>
          <w:w w:val="105"/>
          <w:sz w:val="15"/>
        </w:rPr>
        <w:t>clave</w:t>
      </w:r>
      <w:r>
        <w:rPr>
          <w:color w:val="803108"/>
          <w:spacing w:val="-1"/>
          <w:w w:val="105"/>
          <w:sz w:val="15"/>
        </w:rPr>
        <w:t xml:space="preserve"> </w:t>
      </w:r>
      <w:r>
        <w:rPr>
          <w:color w:val="803108"/>
          <w:w w:val="105"/>
          <w:sz w:val="15"/>
        </w:rPr>
        <w:t>de</w:t>
      </w:r>
      <w:r>
        <w:rPr>
          <w:color w:val="803108"/>
          <w:spacing w:val="-1"/>
          <w:w w:val="105"/>
          <w:sz w:val="15"/>
        </w:rPr>
        <w:t xml:space="preserve"> </w:t>
      </w:r>
      <w:r>
        <w:rPr>
          <w:color w:val="803108"/>
          <w:w w:val="105"/>
          <w:sz w:val="15"/>
        </w:rPr>
        <w:t>las</w:t>
      </w:r>
      <w:r>
        <w:rPr>
          <w:color w:val="803108"/>
          <w:spacing w:val="-1"/>
          <w:w w:val="105"/>
          <w:sz w:val="15"/>
        </w:rPr>
        <w:t xml:space="preserve"> </w:t>
      </w:r>
      <w:r>
        <w:rPr>
          <w:color w:val="803108"/>
          <w:w w:val="105"/>
          <w:sz w:val="15"/>
        </w:rPr>
        <w:t>sociedades</w:t>
      </w:r>
      <w:r>
        <w:rPr>
          <w:color w:val="803108"/>
          <w:spacing w:val="-1"/>
          <w:w w:val="105"/>
          <w:sz w:val="15"/>
        </w:rPr>
        <w:t xml:space="preserve"> </w:t>
      </w:r>
      <w:r>
        <w:rPr>
          <w:color w:val="803108"/>
          <w:w w:val="105"/>
          <w:sz w:val="15"/>
        </w:rPr>
        <w:t>lingüísticamente</w:t>
      </w:r>
      <w:r>
        <w:rPr>
          <w:color w:val="803108"/>
          <w:spacing w:val="-1"/>
          <w:w w:val="105"/>
          <w:sz w:val="15"/>
        </w:rPr>
        <w:t xml:space="preserve"> </w:t>
      </w:r>
      <w:r>
        <w:rPr>
          <w:color w:val="803108"/>
          <w:w w:val="105"/>
          <w:sz w:val="15"/>
        </w:rPr>
        <w:t>diversas.</w:t>
      </w:r>
    </w:p>
    <w:p w14:paraId="226CCFD0" w14:textId="77777777" w:rsidR="0014798C" w:rsidRDefault="0014798C">
      <w:pPr>
        <w:pStyle w:val="Textoindependiente"/>
        <w:spacing w:before="162"/>
      </w:pPr>
    </w:p>
    <w:p w14:paraId="436D19C2" w14:textId="77777777" w:rsidR="0014798C" w:rsidRDefault="004E1F0B">
      <w:pPr>
        <w:pStyle w:val="Prrafodelista"/>
        <w:numPr>
          <w:ilvl w:val="0"/>
          <w:numId w:val="15"/>
        </w:numPr>
        <w:tabs>
          <w:tab w:val="left" w:pos="1863"/>
          <w:tab w:val="left" w:pos="2013"/>
        </w:tabs>
        <w:spacing w:before="1" w:line="326" w:lineRule="auto"/>
        <w:ind w:left="2013" w:right="1542" w:hanging="335"/>
        <w:rPr>
          <w:color w:val="803108"/>
          <w:sz w:val="16"/>
        </w:rPr>
      </w:pPr>
      <w:r>
        <w:rPr>
          <w:color w:val="803108"/>
          <w:w w:val="105"/>
          <w:sz w:val="16"/>
        </w:rPr>
        <w:t>La</w:t>
      </w:r>
      <w:r>
        <w:rPr>
          <w:color w:val="803108"/>
          <w:spacing w:val="-3"/>
          <w:w w:val="105"/>
          <w:sz w:val="16"/>
        </w:rPr>
        <w:t xml:space="preserve"> </w:t>
      </w:r>
      <w:r>
        <w:rPr>
          <w:color w:val="803108"/>
          <w:w w:val="105"/>
          <w:sz w:val="16"/>
        </w:rPr>
        <w:t>UNESCO</w:t>
      </w:r>
      <w:r>
        <w:rPr>
          <w:color w:val="803108"/>
          <w:spacing w:val="-3"/>
          <w:w w:val="105"/>
          <w:sz w:val="16"/>
        </w:rPr>
        <w:t xml:space="preserve"> </w:t>
      </w:r>
      <w:r>
        <w:rPr>
          <w:color w:val="803108"/>
          <w:w w:val="105"/>
          <w:sz w:val="16"/>
        </w:rPr>
        <w:t>apoya</w:t>
      </w:r>
      <w:r>
        <w:rPr>
          <w:color w:val="803108"/>
          <w:spacing w:val="-3"/>
          <w:w w:val="105"/>
          <w:sz w:val="16"/>
        </w:rPr>
        <w:t xml:space="preserve"> </w:t>
      </w:r>
      <w:r>
        <w:rPr>
          <w:color w:val="803108"/>
          <w:w w:val="105"/>
          <w:sz w:val="16"/>
        </w:rPr>
        <w:t>el</w:t>
      </w:r>
      <w:r>
        <w:rPr>
          <w:color w:val="803108"/>
          <w:spacing w:val="-3"/>
          <w:w w:val="105"/>
          <w:sz w:val="16"/>
        </w:rPr>
        <w:t xml:space="preserve"> </w:t>
      </w:r>
      <w:r>
        <w:rPr>
          <w:color w:val="803108"/>
          <w:w w:val="105"/>
          <w:sz w:val="16"/>
        </w:rPr>
        <w:t>idioma</w:t>
      </w:r>
      <w:r>
        <w:rPr>
          <w:color w:val="803108"/>
          <w:spacing w:val="-3"/>
          <w:w w:val="105"/>
          <w:sz w:val="16"/>
        </w:rPr>
        <w:t xml:space="preserve"> </w:t>
      </w:r>
      <w:r>
        <w:rPr>
          <w:color w:val="803108"/>
          <w:w w:val="105"/>
          <w:sz w:val="16"/>
        </w:rPr>
        <w:t>como</w:t>
      </w:r>
      <w:r>
        <w:rPr>
          <w:color w:val="803108"/>
          <w:spacing w:val="-3"/>
          <w:w w:val="105"/>
          <w:sz w:val="16"/>
        </w:rPr>
        <w:t xml:space="preserve"> </w:t>
      </w:r>
      <w:r>
        <w:rPr>
          <w:color w:val="803108"/>
          <w:w w:val="105"/>
          <w:sz w:val="16"/>
        </w:rPr>
        <w:t>un</w:t>
      </w:r>
      <w:r>
        <w:rPr>
          <w:color w:val="803108"/>
          <w:spacing w:val="-3"/>
          <w:w w:val="105"/>
          <w:sz w:val="16"/>
        </w:rPr>
        <w:t xml:space="preserve"> </w:t>
      </w:r>
      <w:r>
        <w:rPr>
          <w:color w:val="803108"/>
          <w:w w:val="105"/>
          <w:sz w:val="16"/>
        </w:rPr>
        <w:t>componente</w:t>
      </w:r>
      <w:r>
        <w:rPr>
          <w:color w:val="803108"/>
          <w:spacing w:val="-4"/>
          <w:w w:val="105"/>
          <w:sz w:val="16"/>
        </w:rPr>
        <w:t xml:space="preserve"> </w:t>
      </w:r>
      <w:r>
        <w:rPr>
          <w:color w:val="803108"/>
          <w:w w:val="105"/>
          <w:sz w:val="16"/>
        </w:rPr>
        <w:t>esencial</w:t>
      </w:r>
      <w:r>
        <w:rPr>
          <w:color w:val="803108"/>
          <w:spacing w:val="-3"/>
          <w:w w:val="105"/>
          <w:sz w:val="16"/>
        </w:rPr>
        <w:t xml:space="preserve"> </w:t>
      </w:r>
      <w:r>
        <w:rPr>
          <w:color w:val="803108"/>
          <w:w w:val="105"/>
          <w:sz w:val="16"/>
        </w:rPr>
        <w:t>de</w:t>
      </w:r>
      <w:r>
        <w:rPr>
          <w:color w:val="803108"/>
          <w:spacing w:val="-3"/>
          <w:w w:val="105"/>
          <w:sz w:val="16"/>
        </w:rPr>
        <w:t xml:space="preserve"> </w:t>
      </w:r>
      <w:r>
        <w:rPr>
          <w:color w:val="803108"/>
          <w:w w:val="105"/>
          <w:sz w:val="16"/>
        </w:rPr>
        <w:t>la</w:t>
      </w:r>
      <w:r>
        <w:rPr>
          <w:color w:val="803108"/>
          <w:spacing w:val="-3"/>
          <w:w w:val="105"/>
          <w:sz w:val="16"/>
        </w:rPr>
        <w:t xml:space="preserve"> </w:t>
      </w:r>
      <w:r>
        <w:rPr>
          <w:color w:val="803108"/>
          <w:w w:val="105"/>
          <w:sz w:val="16"/>
        </w:rPr>
        <w:t>educación</w:t>
      </w:r>
      <w:r>
        <w:rPr>
          <w:color w:val="803108"/>
          <w:spacing w:val="-3"/>
          <w:w w:val="105"/>
          <w:sz w:val="16"/>
        </w:rPr>
        <w:t xml:space="preserve"> </w:t>
      </w:r>
      <w:r>
        <w:rPr>
          <w:color w:val="803108"/>
          <w:w w:val="105"/>
          <w:sz w:val="16"/>
        </w:rPr>
        <w:t>intercultural</w:t>
      </w:r>
      <w:r>
        <w:rPr>
          <w:color w:val="803108"/>
          <w:spacing w:val="-4"/>
          <w:w w:val="105"/>
          <w:sz w:val="16"/>
        </w:rPr>
        <w:t xml:space="preserve"> </w:t>
      </w:r>
      <w:r>
        <w:rPr>
          <w:color w:val="803108"/>
          <w:w w:val="105"/>
          <w:sz w:val="16"/>
        </w:rPr>
        <w:t>con</w:t>
      </w:r>
      <w:r>
        <w:rPr>
          <w:color w:val="803108"/>
          <w:spacing w:val="-3"/>
          <w:w w:val="105"/>
          <w:sz w:val="16"/>
        </w:rPr>
        <w:t xml:space="preserve"> </w:t>
      </w:r>
      <w:r>
        <w:rPr>
          <w:color w:val="803108"/>
          <w:w w:val="105"/>
          <w:sz w:val="16"/>
        </w:rPr>
        <w:t>el</w:t>
      </w:r>
      <w:r>
        <w:rPr>
          <w:color w:val="803108"/>
          <w:spacing w:val="-3"/>
          <w:w w:val="105"/>
          <w:sz w:val="16"/>
        </w:rPr>
        <w:t xml:space="preserve"> </w:t>
      </w:r>
      <w:r>
        <w:rPr>
          <w:color w:val="803108"/>
          <w:w w:val="105"/>
          <w:sz w:val="16"/>
        </w:rPr>
        <w:t>fin</w:t>
      </w:r>
      <w:r>
        <w:rPr>
          <w:color w:val="803108"/>
          <w:spacing w:val="-4"/>
          <w:w w:val="105"/>
          <w:sz w:val="16"/>
        </w:rPr>
        <w:t xml:space="preserve"> </w:t>
      </w:r>
      <w:r>
        <w:rPr>
          <w:color w:val="803108"/>
          <w:w w:val="105"/>
          <w:sz w:val="16"/>
        </w:rPr>
        <w:t>de</w:t>
      </w:r>
      <w:r>
        <w:rPr>
          <w:color w:val="803108"/>
          <w:spacing w:val="-3"/>
          <w:w w:val="105"/>
          <w:sz w:val="16"/>
        </w:rPr>
        <w:t xml:space="preserve"> </w:t>
      </w:r>
      <w:r>
        <w:rPr>
          <w:color w:val="803108"/>
          <w:w w:val="105"/>
          <w:sz w:val="16"/>
        </w:rPr>
        <w:t xml:space="preserve">fomentar el entendimiento entre los diferentes grupos de población y garantizar el respeto de los derechos </w:t>
      </w:r>
      <w:r>
        <w:rPr>
          <w:spacing w:val="-2"/>
          <w:w w:val="105"/>
          <w:sz w:val="16"/>
        </w:rPr>
        <w:t>fundamentales.1069</w:t>
      </w:r>
    </w:p>
    <w:p w14:paraId="4B81EDFC" w14:textId="77777777" w:rsidR="0014798C" w:rsidRDefault="004E1F0B">
      <w:pPr>
        <w:pStyle w:val="Textoindependiente"/>
        <w:spacing w:before="111" w:line="326" w:lineRule="auto"/>
        <w:ind w:left="1107" w:right="1272" w:hanging="1"/>
      </w:pPr>
      <w:r>
        <w:rPr>
          <w:w w:val="105"/>
        </w:rPr>
        <w:t>El Alto Comisionado para las Minorías Nacionales de la Organización para la Seguridad y la Cooperación en Europa, al considerar</w:t>
      </w:r>
      <w:r>
        <w:rPr>
          <w:spacing w:val="-4"/>
          <w:w w:val="105"/>
        </w:rPr>
        <w:t xml:space="preserve"> </w:t>
      </w:r>
      <w:r>
        <w:rPr>
          <w:w w:val="105"/>
        </w:rPr>
        <w:t>la</w:t>
      </w:r>
      <w:r>
        <w:rPr>
          <w:spacing w:val="-3"/>
          <w:w w:val="105"/>
        </w:rPr>
        <w:t xml:space="preserve"> </w:t>
      </w:r>
      <w:r>
        <w:rPr>
          <w:w w:val="105"/>
        </w:rPr>
        <w:t>educación</w:t>
      </w:r>
      <w:r>
        <w:rPr>
          <w:spacing w:val="-3"/>
          <w:w w:val="105"/>
        </w:rPr>
        <w:t xml:space="preserve"> </w:t>
      </w:r>
      <w:r>
        <w:rPr>
          <w:w w:val="105"/>
        </w:rPr>
        <w:t>en</w:t>
      </w:r>
      <w:r>
        <w:rPr>
          <w:spacing w:val="-3"/>
          <w:w w:val="105"/>
        </w:rPr>
        <w:t xml:space="preserve"> </w:t>
      </w:r>
      <w:r>
        <w:rPr>
          <w:w w:val="105"/>
        </w:rPr>
        <w:t>lenguas</w:t>
      </w:r>
      <w:r>
        <w:rPr>
          <w:spacing w:val="-4"/>
          <w:w w:val="105"/>
        </w:rPr>
        <w:t xml:space="preserve"> </w:t>
      </w:r>
      <w:r>
        <w:rPr>
          <w:w w:val="105"/>
        </w:rPr>
        <w:t>minoritarias,</w:t>
      </w:r>
      <w:r>
        <w:rPr>
          <w:spacing w:val="-2"/>
          <w:w w:val="105"/>
        </w:rPr>
        <w:t xml:space="preserve"> </w:t>
      </w:r>
      <w:r>
        <w:rPr>
          <w:w w:val="105"/>
        </w:rPr>
        <w:t>ha</w:t>
      </w:r>
      <w:r>
        <w:rPr>
          <w:spacing w:val="-3"/>
          <w:w w:val="105"/>
        </w:rPr>
        <w:t xml:space="preserve"> </w:t>
      </w:r>
      <w:r>
        <w:rPr>
          <w:w w:val="105"/>
        </w:rPr>
        <w:t>pedido</w:t>
      </w:r>
      <w:r>
        <w:rPr>
          <w:spacing w:val="-3"/>
          <w:w w:val="105"/>
        </w:rPr>
        <w:t xml:space="preserve"> </w:t>
      </w:r>
      <w:r>
        <w:rPr>
          <w:w w:val="105"/>
        </w:rPr>
        <w:t>un</w:t>
      </w:r>
      <w:r>
        <w:rPr>
          <w:spacing w:val="-3"/>
          <w:w w:val="105"/>
        </w:rPr>
        <w:t xml:space="preserve"> </w:t>
      </w:r>
      <w:r>
        <w:rPr>
          <w:w w:val="105"/>
        </w:rPr>
        <w:t>enfoque</w:t>
      </w:r>
      <w:r>
        <w:rPr>
          <w:spacing w:val="-4"/>
          <w:w w:val="105"/>
        </w:rPr>
        <w:t xml:space="preserve"> </w:t>
      </w:r>
      <w:r>
        <w:rPr>
          <w:w w:val="105"/>
        </w:rPr>
        <w:t>equilibrado</w:t>
      </w:r>
      <w:r>
        <w:rPr>
          <w:spacing w:val="-3"/>
          <w:w w:val="105"/>
        </w:rPr>
        <w:t xml:space="preserve"> </w:t>
      </w:r>
      <w:r>
        <w:rPr>
          <w:w w:val="105"/>
        </w:rPr>
        <w:t>que</w:t>
      </w:r>
      <w:r>
        <w:rPr>
          <w:spacing w:val="-3"/>
          <w:w w:val="105"/>
        </w:rPr>
        <w:t xml:space="preserve"> </w:t>
      </w:r>
      <w:r>
        <w:rPr>
          <w:w w:val="105"/>
        </w:rPr>
        <w:t>incluya</w:t>
      </w:r>
      <w:r>
        <w:rPr>
          <w:spacing w:val="-3"/>
          <w:w w:val="105"/>
        </w:rPr>
        <w:t xml:space="preserve"> </w:t>
      </w:r>
      <w:r>
        <w:rPr>
          <w:w w:val="105"/>
        </w:rPr>
        <w:t>tanto</w:t>
      </w:r>
      <w:r>
        <w:rPr>
          <w:spacing w:val="-4"/>
          <w:w w:val="105"/>
        </w:rPr>
        <w:t xml:space="preserve"> </w:t>
      </w:r>
      <w:r>
        <w:rPr>
          <w:w w:val="105"/>
        </w:rPr>
        <w:t>los</w:t>
      </w:r>
      <w:r>
        <w:rPr>
          <w:spacing w:val="-3"/>
          <w:w w:val="105"/>
        </w:rPr>
        <w:t xml:space="preserve"> </w:t>
      </w:r>
      <w:r>
        <w:rPr>
          <w:w w:val="105"/>
        </w:rPr>
        <w:t>derechos</w:t>
      </w:r>
      <w:r>
        <w:rPr>
          <w:spacing w:val="-4"/>
          <w:w w:val="105"/>
        </w:rPr>
        <w:t xml:space="preserve"> </w:t>
      </w:r>
      <w:r>
        <w:rPr>
          <w:w w:val="105"/>
        </w:rPr>
        <w:t xml:space="preserve">protegidos de las minorías como el acceso a las lenguas estatales </w:t>
      </w:r>
      <w:proofErr w:type="spellStart"/>
      <w:r>
        <w:rPr>
          <w:w w:val="105"/>
        </w:rPr>
        <w:t>o</w:t>
      </w:r>
      <w:proofErr w:type="spellEnd"/>
      <w:r>
        <w:rPr>
          <w:w w:val="105"/>
        </w:rPr>
        <w:t xml:space="preserve"> oficiales.1070 El Alto Comisionado ha sostenido además En este sentido: “El multilingüismo, y especialmente el aprendizaje del idioma de las personas con las que uno interactúa regularmente, es un enriquecimiento colectivo y una herramienta para mejorar la comprensión y la tolerancia mutuas”. 1071 En particular, en el campo de la educación, el Alto Comisionado recomienda:</w:t>
      </w:r>
    </w:p>
    <w:p w14:paraId="5293B376" w14:textId="77777777" w:rsidR="0014798C" w:rsidRDefault="004E1F0B">
      <w:pPr>
        <w:pStyle w:val="Textoindependiente"/>
        <w:spacing w:before="111" w:line="326" w:lineRule="auto"/>
        <w:ind w:left="1673" w:right="1553" w:firstLine="5"/>
      </w:pPr>
      <w:r>
        <w:rPr>
          <w:color w:val="803108"/>
          <w:w w:val="105"/>
        </w:rPr>
        <w:t>Los</w:t>
      </w:r>
      <w:r>
        <w:rPr>
          <w:color w:val="803108"/>
          <w:spacing w:val="-3"/>
          <w:w w:val="105"/>
        </w:rPr>
        <w:t xml:space="preserve"> </w:t>
      </w:r>
      <w:r>
        <w:rPr>
          <w:color w:val="803108"/>
          <w:w w:val="105"/>
        </w:rPr>
        <w:t>Estados</w:t>
      </w:r>
      <w:r>
        <w:rPr>
          <w:color w:val="803108"/>
          <w:spacing w:val="-4"/>
          <w:w w:val="105"/>
        </w:rPr>
        <w:t xml:space="preserve"> </w:t>
      </w:r>
      <w:r>
        <w:rPr>
          <w:color w:val="803108"/>
          <w:w w:val="105"/>
        </w:rPr>
        <w:t>deben</w:t>
      </w:r>
      <w:r>
        <w:rPr>
          <w:color w:val="803108"/>
          <w:spacing w:val="-3"/>
          <w:w w:val="105"/>
        </w:rPr>
        <w:t xml:space="preserve"> </w:t>
      </w:r>
      <w:r>
        <w:rPr>
          <w:color w:val="803108"/>
          <w:w w:val="105"/>
        </w:rPr>
        <w:t>respetar</w:t>
      </w:r>
      <w:r>
        <w:rPr>
          <w:color w:val="803108"/>
          <w:spacing w:val="-4"/>
          <w:w w:val="105"/>
        </w:rPr>
        <w:t xml:space="preserve"> </w:t>
      </w:r>
      <w:r>
        <w:rPr>
          <w:color w:val="803108"/>
          <w:w w:val="105"/>
        </w:rPr>
        <w:t>el</w:t>
      </w:r>
      <w:r>
        <w:rPr>
          <w:color w:val="803108"/>
          <w:spacing w:val="-3"/>
          <w:w w:val="105"/>
        </w:rPr>
        <w:t xml:space="preserve"> </w:t>
      </w:r>
      <w:r>
        <w:rPr>
          <w:color w:val="803108"/>
          <w:w w:val="105"/>
        </w:rPr>
        <w:t>derecho</w:t>
      </w:r>
      <w:r>
        <w:rPr>
          <w:color w:val="803108"/>
          <w:spacing w:val="-3"/>
          <w:w w:val="105"/>
        </w:rPr>
        <w:t xml:space="preserve"> </w:t>
      </w:r>
      <w:r>
        <w:rPr>
          <w:color w:val="803108"/>
          <w:w w:val="105"/>
        </w:rPr>
        <w:t>de</w:t>
      </w:r>
      <w:r>
        <w:rPr>
          <w:color w:val="803108"/>
          <w:spacing w:val="-3"/>
          <w:w w:val="105"/>
        </w:rPr>
        <w:t xml:space="preserve"> </w:t>
      </w:r>
      <w:r>
        <w:rPr>
          <w:color w:val="803108"/>
          <w:w w:val="105"/>
        </w:rPr>
        <w:t>las</w:t>
      </w:r>
      <w:r>
        <w:rPr>
          <w:color w:val="803108"/>
          <w:spacing w:val="-3"/>
          <w:w w:val="105"/>
        </w:rPr>
        <w:t xml:space="preserve"> </w:t>
      </w:r>
      <w:r>
        <w:rPr>
          <w:color w:val="803108"/>
          <w:w w:val="105"/>
        </w:rPr>
        <w:t>personas</w:t>
      </w:r>
      <w:r>
        <w:rPr>
          <w:color w:val="803108"/>
          <w:spacing w:val="-4"/>
          <w:w w:val="105"/>
        </w:rPr>
        <w:t xml:space="preserve"> </w:t>
      </w:r>
      <w:r>
        <w:rPr>
          <w:color w:val="803108"/>
          <w:w w:val="105"/>
        </w:rPr>
        <w:t>pertenecientes</w:t>
      </w:r>
      <w:r>
        <w:rPr>
          <w:color w:val="803108"/>
          <w:spacing w:val="-4"/>
          <w:w w:val="105"/>
        </w:rPr>
        <w:t xml:space="preserve"> </w:t>
      </w:r>
      <w:r>
        <w:rPr>
          <w:color w:val="803108"/>
          <w:w w:val="105"/>
        </w:rPr>
        <w:t>a</w:t>
      </w:r>
      <w:r>
        <w:rPr>
          <w:color w:val="803108"/>
          <w:spacing w:val="-3"/>
          <w:w w:val="105"/>
        </w:rPr>
        <w:t xml:space="preserve"> </w:t>
      </w:r>
      <w:r>
        <w:rPr>
          <w:color w:val="803108"/>
          <w:w w:val="105"/>
        </w:rPr>
        <w:t>minorías</w:t>
      </w:r>
      <w:r>
        <w:rPr>
          <w:color w:val="803108"/>
          <w:spacing w:val="-4"/>
          <w:w w:val="105"/>
        </w:rPr>
        <w:t xml:space="preserve"> </w:t>
      </w:r>
      <w:r>
        <w:rPr>
          <w:color w:val="803108"/>
          <w:w w:val="105"/>
        </w:rPr>
        <w:t>a</w:t>
      </w:r>
      <w:r>
        <w:rPr>
          <w:color w:val="803108"/>
          <w:spacing w:val="-3"/>
          <w:w w:val="105"/>
        </w:rPr>
        <w:t xml:space="preserve"> </w:t>
      </w:r>
      <w:r>
        <w:rPr>
          <w:color w:val="803108"/>
          <w:w w:val="105"/>
        </w:rPr>
        <w:t>que</w:t>
      </w:r>
      <w:r>
        <w:rPr>
          <w:color w:val="803108"/>
          <w:spacing w:val="-3"/>
          <w:w w:val="105"/>
        </w:rPr>
        <w:t xml:space="preserve"> </w:t>
      </w:r>
      <w:r>
        <w:rPr>
          <w:color w:val="803108"/>
          <w:w w:val="105"/>
        </w:rPr>
        <w:t>se</w:t>
      </w:r>
      <w:r>
        <w:rPr>
          <w:color w:val="803108"/>
          <w:spacing w:val="-3"/>
          <w:w w:val="105"/>
        </w:rPr>
        <w:t xml:space="preserve"> </w:t>
      </w:r>
      <w:r>
        <w:rPr>
          <w:color w:val="803108"/>
          <w:w w:val="105"/>
        </w:rPr>
        <w:t>les</w:t>
      </w:r>
      <w:r>
        <w:rPr>
          <w:color w:val="803108"/>
          <w:spacing w:val="-3"/>
          <w:w w:val="105"/>
        </w:rPr>
        <w:t xml:space="preserve"> </w:t>
      </w:r>
      <w:r>
        <w:rPr>
          <w:color w:val="803108"/>
          <w:w w:val="105"/>
        </w:rPr>
        <w:t>enseñe</w:t>
      </w:r>
      <w:r>
        <w:rPr>
          <w:color w:val="803108"/>
          <w:spacing w:val="-3"/>
          <w:w w:val="105"/>
        </w:rPr>
        <w:t xml:space="preserve"> </w:t>
      </w:r>
      <w:r>
        <w:rPr>
          <w:color w:val="803108"/>
          <w:w w:val="105"/>
        </w:rPr>
        <w:t>su</w:t>
      </w:r>
      <w:r>
        <w:rPr>
          <w:color w:val="803108"/>
          <w:spacing w:val="-3"/>
          <w:w w:val="105"/>
        </w:rPr>
        <w:t xml:space="preserve"> </w:t>
      </w:r>
      <w:r>
        <w:rPr>
          <w:color w:val="803108"/>
          <w:w w:val="105"/>
        </w:rPr>
        <w:t>idioma o a recibir instrucción en ese idioma, según corresponda, especialmente en las zonas donde habitan tradicionalmente</w:t>
      </w:r>
      <w:r>
        <w:rPr>
          <w:color w:val="803108"/>
          <w:spacing w:val="-2"/>
          <w:w w:val="105"/>
        </w:rPr>
        <w:t xml:space="preserve"> </w:t>
      </w:r>
      <w:r>
        <w:rPr>
          <w:color w:val="803108"/>
          <w:w w:val="105"/>
        </w:rPr>
        <w:t>o</w:t>
      </w:r>
      <w:r>
        <w:rPr>
          <w:color w:val="803108"/>
          <w:spacing w:val="-1"/>
          <w:w w:val="105"/>
        </w:rPr>
        <w:t xml:space="preserve"> </w:t>
      </w:r>
      <w:r>
        <w:rPr>
          <w:color w:val="803108"/>
          <w:w w:val="105"/>
        </w:rPr>
        <w:t>en</w:t>
      </w:r>
      <w:r>
        <w:rPr>
          <w:color w:val="803108"/>
          <w:spacing w:val="-1"/>
          <w:w w:val="105"/>
        </w:rPr>
        <w:t xml:space="preserve"> </w:t>
      </w:r>
      <w:r>
        <w:rPr>
          <w:color w:val="803108"/>
          <w:w w:val="105"/>
        </w:rPr>
        <w:t>gran</w:t>
      </w:r>
      <w:r>
        <w:rPr>
          <w:color w:val="803108"/>
          <w:spacing w:val="-1"/>
          <w:w w:val="105"/>
        </w:rPr>
        <w:t xml:space="preserve"> </w:t>
      </w:r>
      <w:r>
        <w:rPr>
          <w:color w:val="803108"/>
          <w:w w:val="105"/>
        </w:rPr>
        <w:t>número.</w:t>
      </w:r>
      <w:r>
        <w:rPr>
          <w:color w:val="803108"/>
          <w:spacing w:val="-1"/>
          <w:w w:val="105"/>
        </w:rPr>
        <w:t xml:space="preserve"> </w:t>
      </w:r>
      <w:r>
        <w:rPr>
          <w:color w:val="803108"/>
          <w:w w:val="105"/>
        </w:rPr>
        <w:t>Los</w:t>
      </w:r>
      <w:r>
        <w:rPr>
          <w:color w:val="803108"/>
          <w:spacing w:val="-1"/>
          <w:w w:val="105"/>
        </w:rPr>
        <w:t xml:space="preserve"> </w:t>
      </w:r>
      <w:r>
        <w:rPr>
          <w:color w:val="803108"/>
          <w:w w:val="105"/>
        </w:rPr>
        <w:t>Estados</w:t>
      </w:r>
      <w:r>
        <w:rPr>
          <w:color w:val="803108"/>
          <w:spacing w:val="-2"/>
          <w:w w:val="105"/>
        </w:rPr>
        <w:t xml:space="preserve"> </w:t>
      </w:r>
      <w:r>
        <w:rPr>
          <w:color w:val="803108"/>
          <w:w w:val="105"/>
        </w:rPr>
        <w:t>deberían</w:t>
      </w:r>
      <w:r>
        <w:rPr>
          <w:color w:val="803108"/>
          <w:spacing w:val="-2"/>
          <w:w w:val="105"/>
        </w:rPr>
        <w:t xml:space="preserve"> </w:t>
      </w:r>
      <w:r>
        <w:rPr>
          <w:color w:val="803108"/>
          <w:w w:val="105"/>
        </w:rPr>
        <w:t>complementar</w:t>
      </w:r>
      <w:r>
        <w:rPr>
          <w:color w:val="803108"/>
          <w:spacing w:val="-2"/>
          <w:w w:val="105"/>
        </w:rPr>
        <w:t xml:space="preserve"> </w:t>
      </w:r>
      <w:r>
        <w:rPr>
          <w:color w:val="803108"/>
          <w:w w:val="105"/>
        </w:rPr>
        <w:t>esto</w:t>
      </w:r>
      <w:r>
        <w:rPr>
          <w:color w:val="803108"/>
          <w:spacing w:val="-2"/>
          <w:w w:val="105"/>
        </w:rPr>
        <w:t xml:space="preserve"> </w:t>
      </w:r>
      <w:r>
        <w:rPr>
          <w:color w:val="803108"/>
          <w:w w:val="105"/>
        </w:rPr>
        <w:t>desarrollando</w:t>
      </w:r>
      <w:r>
        <w:rPr>
          <w:color w:val="803108"/>
          <w:spacing w:val="-1"/>
          <w:w w:val="105"/>
        </w:rPr>
        <w:t xml:space="preserve"> </w:t>
      </w:r>
      <w:r>
        <w:rPr>
          <w:color w:val="803108"/>
          <w:w w:val="105"/>
        </w:rPr>
        <w:t>sistemas</w:t>
      </w:r>
      <w:r>
        <w:rPr>
          <w:color w:val="803108"/>
          <w:spacing w:val="-2"/>
          <w:w w:val="105"/>
        </w:rPr>
        <w:t xml:space="preserve"> </w:t>
      </w:r>
      <w:r>
        <w:rPr>
          <w:color w:val="803108"/>
          <w:w w:val="105"/>
        </w:rPr>
        <w:t>educativos integrados y multilingües en todos los niveles diseñados para brindar igualdad de acceso, oportunidades y resultados educativos para todos los alumnos, independientemente de su origen mayoritario o minoritario. Esta</w:t>
      </w:r>
    </w:p>
    <w:p w14:paraId="0758AAAF" w14:textId="77777777" w:rsidR="0014798C" w:rsidRDefault="004E1F0B">
      <w:pPr>
        <w:pStyle w:val="Textoindependiente"/>
        <w:spacing w:line="182" w:lineRule="exact"/>
        <w:ind w:left="1677"/>
      </w:pPr>
      <w:r>
        <w:rPr>
          <w:color w:val="803108"/>
          <w:w w:val="105"/>
        </w:rPr>
        <w:t>educación</w:t>
      </w:r>
      <w:r>
        <w:rPr>
          <w:color w:val="803108"/>
          <w:spacing w:val="-8"/>
          <w:w w:val="105"/>
        </w:rPr>
        <w:t xml:space="preserve"> </w:t>
      </w:r>
      <w:r>
        <w:rPr>
          <w:color w:val="803108"/>
          <w:w w:val="105"/>
        </w:rPr>
        <w:t>integrada</w:t>
      </w:r>
      <w:r>
        <w:rPr>
          <w:color w:val="803108"/>
          <w:spacing w:val="-9"/>
          <w:w w:val="105"/>
        </w:rPr>
        <w:t xml:space="preserve"> </w:t>
      </w:r>
      <w:r>
        <w:rPr>
          <w:color w:val="803108"/>
          <w:w w:val="105"/>
        </w:rPr>
        <w:t>también</w:t>
      </w:r>
      <w:r>
        <w:rPr>
          <w:color w:val="803108"/>
          <w:spacing w:val="-9"/>
          <w:w w:val="105"/>
        </w:rPr>
        <w:t xml:space="preserve"> </w:t>
      </w:r>
      <w:r>
        <w:rPr>
          <w:color w:val="803108"/>
          <w:w w:val="105"/>
        </w:rPr>
        <w:t>debería</w:t>
      </w:r>
      <w:r>
        <w:rPr>
          <w:color w:val="803108"/>
          <w:spacing w:val="-8"/>
          <w:w w:val="105"/>
        </w:rPr>
        <w:t xml:space="preserve"> </w:t>
      </w:r>
      <w:r>
        <w:rPr>
          <w:color w:val="803108"/>
          <w:w w:val="105"/>
        </w:rPr>
        <w:t>incluir</w:t>
      </w:r>
      <w:r>
        <w:rPr>
          <w:color w:val="803108"/>
          <w:spacing w:val="-9"/>
          <w:w w:val="105"/>
        </w:rPr>
        <w:t xml:space="preserve"> </w:t>
      </w:r>
      <w:r>
        <w:rPr>
          <w:color w:val="803108"/>
          <w:w w:val="105"/>
        </w:rPr>
        <w:t>la</w:t>
      </w:r>
      <w:r>
        <w:rPr>
          <w:color w:val="803108"/>
          <w:spacing w:val="-8"/>
          <w:w w:val="105"/>
        </w:rPr>
        <w:t xml:space="preserve"> </w:t>
      </w:r>
      <w:r>
        <w:rPr>
          <w:color w:val="803108"/>
          <w:w w:val="105"/>
        </w:rPr>
        <w:t>enseñanza</w:t>
      </w:r>
      <w:r>
        <w:rPr>
          <w:color w:val="803108"/>
          <w:spacing w:val="-7"/>
          <w:w w:val="105"/>
        </w:rPr>
        <w:t xml:space="preserve"> </w:t>
      </w:r>
      <w:r>
        <w:rPr>
          <w:color w:val="803108"/>
          <w:w w:val="105"/>
        </w:rPr>
        <w:t>a</w:t>
      </w:r>
      <w:r>
        <w:rPr>
          <w:color w:val="803108"/>
          <w:spacing w:val="-8"/>
          <w:w w:val="105"/>
        </w:rPr>
        <w:t xml:space="preserve"> </w:t>
      </w:r>
      <w:r>
        <w:rPr>
          <w:color w:val="803108"/>
          <w:w w:val="105"/>
        </w:rPr>
        <w:t>todos</w:t>
      </w:r>
      <w:r>
        <w:rPr>
          <w:color w:val="803108"/>
          <w:spacing w:val="-9"/>
          <w:w w:val="105"/>
        </w:rPr>
        <w:t xml:space="preserve"> </w:t>
      </w:r>
      <w:r>
        <w:rPr>
          <w:color w:val="803108"/>
          <w:w w:val="105"/>
        </w:rPr>
        <w:t>los</w:t>
      </w:r>
      <w:r>
        <w:rPr>
          <w:color w:val="803108"/>
          <w:spacing w:val="-8"/>
          <w:w w:val="105"/>
        </w:rPr>
        <w:t xml:space="preserve"> </w:t>
      </w:r>
      <w:r>
        <w:rPr>
          <w:color w:val="803108"/>
          <w:w w:val="105"/>
        </w:rPr>
        <w:t>alumnos</w:t>
      </w:r>
      <w:r>
        <w:rPr>
          <w:color w:val="803108"/>
          <w:spacing w:val="-8"/>
          <w:w w:val="105"/>
        </w:rPr>
        <w:t xml:space="preserve"> </w:t>
      </w:r>
      <w:r>
        <w:rPr>
          <w:color w:val="803108"/>
          <w:w w:val="105"/>
        </w:rPr>
        <w:t>sobre</w:t>
      </w:r>
      <w:r>
        <w:rPr>
          <w:color w:val="803108"/>
          <w:spacing w:val="-8"/>
          <w:w w:val="105"/>
        </w:rPr>
        <w:t xml:space="preserve"> </w:t>
      </w:r>
      <w:r>
        <w:rPr>
          <w:color w:val="803108"/>
          <w:w w:val="105"/>
        </w:rPr>
        <w:t>la</w:t>
      </w:r>
      <w:r>
        <w:rPr>
          <w:color w:val="803108"/>
          <w:spacing w:val="-8"/>
          <w:w w:val="105"/>
        </w:rPr>
        <w:t xml:space="preserve"> </w:t>
      </w:r>
      <w:r>
        <w:rPr>
          <w:color w:val="803108"/>
          <w:w w:val="105"/>
        </w:rPr>
        <w:t>diversidad</w:t>
      </w:r>
      <w:r>
        <w:rPr>
          <w:color w:val="803108"/>
          <w:spacing w:val="-8"/>
          <w:w w:val="105"/>
        </w:rPr>
        <w:t xml:space="preserve"> </w:t>
      </w:r>
      <w:r>
        <w:rPr>
          <w:color w:val="803108"/>
          <w:w w:val="105"/>
        </w:rPr>
        <w:t>de</w:t>
      </w:r>
      <w:r>
        <w:rPr>
          <w:color w:val="803108"/>
          <w:spacing w:val="-7"/>
          <w:w w:val="105"/>
        </w:rPr>
        <w:t xml:space="preserve"> </w:t>
      </w:r>
      <w:r>
        <w:rPr>
          <w:color w:val="803108"/>
          <w:w w:val="105"/>
        </w:rPr>
        <w:t>su</w:t>
      </w:r>
      <w:r>
        <w:rPr>
          <w:color w:val="803108"/>
          <w:spacing w:val="-8"/>
          <w:w w:val="105"/>
        </w:rPr>
        <w:t xml:space="preserve"> </w:t>
      </w:r>
      <w:r>
        <w:rPr>
          <w:color w:val="803108"/>
          <w:spacing w:val="-2"/>
          <w:w w:val="105"/>
        </w:rPr>
        <w:t>sociedad.1072</w:t>
      </w:r>
    </w:p>
    <w:p w14:paraId="6F98B5DE" w14:textId="77777777" w:rsidR="0014798C" w:rsidRDefault="004E1F0B">
      <w:pPr>
        <w:spacing w:before="156" w:line="307" w:lineRule="auto"/>
        <w:ind w:left="1109" w:right="1272" w:firstLine="5"/>
        <w:rPr>
          <w:sz w:val="17"/>
        </w:rPr>
      </w:pPr>
      <w:r>
        <w:rPr>
          <w:sz w:val="17"/>
        </w:rPr>
        <w:t>Las buenas prácticas incluyen el establecimiento de entornos de enseñanza multilingües en los que todos los niños – incluidos los niños de comunidades mayoritarias– reciban educación tanto en lenguas minoritarias como mayoritarias.1073</w:t>
      </w:r>
    </w:p>
    <w:p w14:paraId="5085EBA0" w14:textId="77777777" w:rsidR="0014798C" w:rsidRDefault="004E1F0B">
      <w:pPr>
        <w:pStyle w:val="Textoindependiente"/>
        <w:spacing w:before="7"/>
        <w:rPr>
          <w:sz w:val="17"/>
        </w:rPr>
      </w:pPr>
      <w:r>
        <w:rPr>
          <w:noProof/>
        </w:rPr>
        <mc:AlternateContent>
          <mc:Choice Requires="wpg">
            <w:drawing>
              <wp:anchor distT="0" distB="0" distL="0" distR="0" simplePos="0" relativeHeight="251658554" behindDoc="1" locked="0" layoutInCell="1" allowOverlap="1" wp14:anchorId="54FCB516" wp14:editId="7DBC003A">
                <wp:simplePos x="0" y="0"/>
                <wp:positionH relativeFrom="page">
                  <wp:posOffset>813154</wp:posOffset>
                </wp:positionH>
                <wp:positionV relativeFrom="paragraph">
                  <wp:posOffset>144112</wp:posOffset>
                </wp:positionV>
                <wp:extent cx="5944235" cy="3091815"/>
                <wp:effectExtent l="0" t="0" r="0" b="0"/>
                <wp:wrapTopAndBottom/>
                <wp:docPr id="316" name="Group 31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944235" cy="3091815"/>
                          <a:chOff x="0" y="0"/>
                          <a:chExt cx="5944235" cy="3091815"/>
                        </a:xfrm>
                      </wpg:grpSpPr>
                      <pic:pic xmlns:pic="http://schemas.openxmlformats.org/drawingml/2006/picture">
                        <pic:nvPicPr>
                          <pic:cNvPr id="317" name="Image 317"/>
                          <pic:cNvPicPr/>
                        </pic:nvPicPr>
                        <pic:blipFill>
                          <a:blip r:embed="rId296" cstate="print"/>
                          <a:stretch>
                            <a:fillRect/>
                          </a:stretch>
                        </pic:blipFill>
                        <pic:spPr>
                          <a:xfrm>
                            <a:off x="0" y="0"/>
                            <a:ext cx="5943667" cy="3091426"/>
                          </a:xfrm>
                          <a:prstGeom prst="rect">
                            <a:avLst/>
                          </a:prstGeom>
                        </pic:spPr>
                      </pic:pic>
                      <wps:wsp>
                        <wps:cNvPr id="318" name="Textbox 318"/>
                        <wps:cNvSpPr txBox="1"/>
                        <wps:spPr>
                          <a:xfrm>
                            <a:off x="0" y="0"/>
                            <a:ext cx="5944235" cy="3091815"/>
                          </a:xfrm>
                          <a:prstGeom prst="rect">
                            <a:avLst/>
                          </a:prstGeom>
                        </wps:spPr>
                        <wps:txbx>
                          <w:txbxContent>
                            <w:p w14:paraId="52468204" w14:textId="77777777" w:rsidR="0014798C" w:rsidRDefault="0014798C">
                              <w:pPr>
                                <w:spacing w:before="80"/>
                                <w:rPr>
                                  <w:sz w:val="16"/>
                                </w:rPr>
                              </w:pPr>
                            </w:p>
                            <w:p w14:paraId="75F6A439" w14:textId="77777777" w:rsidR="0014798C" w:rsidRDefault="004E1F0B">
                              <w:pPr>
                                <w:ind w:left="250"/>
                                <w:rPr>
                                  <w:sz w:val="16"/>
                                </w:rPr>
                              </w:pPr>
                              <w:r>
                                <w:rPr>
                                  <w:w w:val="105"/>
                                  <w:sz w:val="16"/>
                                </w:rPr>
                                <w:t>ENSEÑANZA</w:t>
                              </w:r>
                              <w:r>
                                <w:rPr>
                                  <w:spacing w:val="-10"/>
                                  <w:w w:val="105"/>
                                  <w:sz w:val="16"/>
                                </w:rPr>
                                <w:t xml:space="preserve"> </w:t>
                              </w:r>
                              <w:r>
                                <w:rPr>
                                  <w:w w:val="105"/>
                                  <w:sz w:val="16"/>
                                </w:rPr>
                                <w:t>Y</w:t>
                              </w:r>
                              <w:r>
                                <w:rPr>
                                  <w:spacing w:val="-11"/>
                                  <w:w w:val="105"/>
                                  <w:sz w:val="16"/>
                                </w:rPr>
                                <w:t xml:space="preserve"> </w:t>
                              </w:r>
                              <w:r>
                                <w:rPr>
                                  <w:w w:val="105"/>
                                  <w:sz w:val="16"/>
                                </w:rPr>
                                <w:t>APRENDIZAJE</w:t>
                              </w:r>
                              <w:r>
                                <w:rPr>
                                  <w:spacing w:val="-10"/>
                                  <w:w w:val="105"/>
                                  <w:sz w:val="16"/>
                                </w:rPr>
                                <w:t xml:space="preserve"> </w:t>
                              </w:r>
                              <w:r>
                                <w:rPr>
                                  <w:w w:val="105"/>
                                  <w:sz w:val="16"/>
                                </w:rPr>
                                <w:t>EN</w:t>
                              </w:r>
                              <w:r>
                                <w:rPr>
                                  <w:spacing w:val="-11"/>
                                  <w:w w:val="105"/>
                                  <w:sz w:val="16"/>
                                </w:rPr>
                                <w:t xml:space="preserve"> </w:t>
                              </w:r>
                              <w:r>
                                <w:rPr>
                                  <w:w w:val="105"/>
                                  <w:sz w:val="16"/>
                                </w:rPr>
                                <w:t>Y</w:t>
                              </w:r>
                              <w:r>
                                <w:rPr>
                                  <w:spacing w:val="-11"/>
                                  <w:w w:val="105"/>
                                  <w:sz w:val="16"/>
                                </w:rPr>
                                <w:t xml:space="preserve"> </w:t>
                              </w:r>
                              <w:r>
                                <w:rPr>
                                  <w:w w:val="105"/>
                                  <w:sz w:val="16"/>
                                </w:rPr>
                                <w:t>DE</w:t>
                              </w:r>
                              <w:r>
                                <w:rPr>
                                  <w:spacing w:val="-10"/>
                                  <w:w w:val="105"/>
                                  <w:sz w:val="16"/>
                                </w:rPr>
                                <w:t xml:space="preserve"> </w:t>
                              </w:r>
                              <w:r>
                                <w:rPr>
                                  <w:w w:val="105"/>
                                  <w:sz w:val="16"/>
                                </w:rPr>
                                <w:t>LENGUAS</w:t>
                              </w:r>
                              <w:r>
                                <w:rPr>
                                  <w:spacing w:val="-10"/>
                                  <w:w w:val="105"/>
                                  <w:sz w:val="16"/>
                                </w:rPr>
                                <w:t xml:space="preserve"> </w:t>
                              </w:r>
                              <w:r>
                                <w:rPr>
                                  <w:w w:val="105"/>
                                  <w:sz w:val="16"/>
                                </w:rPr>
                                <w:t>MINORITARIAS</w:t>
                              </w:r>
                              <w:r>
                                <w:rPr>
                                  <w:spacing w:val="-10"/>
                                  <w:w w:val="105"/>
                                  <w:sz w:val="16"/>
                                </w:rPr>
                                <w:t xml:space="preserve"> </w:t>
                              </w:r>
                              <w:r>
                                <w:rPr>
                                  <w:w w:val="105"/>
                                  <w:sz w:val="16"/>
                                </w:rPr>
                                <w:t>EN</w:t>
                              </w:r>
                              <w:r>
                                <w:rPr>
                                  <w:spacing w:val="-10"/>
                                  <w:w w:val="105"/>
                                  <w:sz w:val="16"/>
                                </w:rPr>
                                <w:t xml:space="preserve"> </w:t>
                              </w:r>
                              <w:r>
                                <w:rPr>
                                  <w:spacing w:val="-2"/>
                                  <w:w w:val="105"/>
                                  <w:sz w:val="16"/>
                                </w:rPr>
                                <w:t>ESLOVENIA</w:t>
                              </w:r>
                            </w:p>
                            <w:p w14:paraId="12071792" w14:textId="77777777" w:rsidR="0014798C" w:rsidRDefault="0014798C">
                              <w:pPr>
                                <w:spacing w:before="13"/>
                                <w:rPr>
                                  <w:sz w:val="16"/>
                                </w:rPr>
                              </w:pPr>
                            </w:p>
                            <w:p w14:paraId="351FEF11" w14:textId="77777777" w:rsidR="0014798C" w:rsidRDefault="004E1F0B">
                              <w:pPr>
                                <w:spacing w:line="328" w:lineRule="auto"/>
                                <w:ind w:left="253" w:right="250" w:hanging="2"/>
                                <w:rPr>
                                  <w:sz w:val="16"/>
                                </w:rPr>
                              </w:pPr>
                              <w:r>
                                <w:rPr>
                                  <w:sz w:val="17"/>
                                </w:rPr>
                                <w:t xml:space="preserve">En su cuarto dictamen sobre la situación de las minorías en Eslovenia, el Consejo Consultivo del Consejo de Europa </w:t>
                              </w:r>
                              <w:r>
                                <w:rPr>
                                  <w:w w:val="105"/>
                                  <w:sz w:val="16"/>
                                </w:rPr>
                                <w:t xml:space="preserve">El Comité del Convenio Marco para la Protección de las Minorías Nacionales tomó nota de las siguientes cuestiones relativas a la enseñanza y el aprendizaje en y de lenguas minoritarias, que exponen algunos de los desafíos en esta </w:t>
                              </w:r>
                              <w:r>
                                <w:rPr>
                                  <w:spacing w:val="-4"/>
                                  <w:w w:val="105"/>
                                  <w:sz w:val="16"/>
                                </w:rPr>
                                <w:t>área:</w:t>
                              </w:r>
                            </w:p>
                            <w:p w14:paraId="25232D67" w14:textId="77777777" w:rsidR="0014798C" w:rsidRDefault="004E1F0B">
                              <w:pPr>
                                <w:spacing w:before="88" w:line="307" w:lineRule="auto"/>
                                <w:ind w:left="819" w:right="418" w:hanging="390"/>
                                <w:rPr>
                                  <w:sz w:val="17"/>
                                </w:rPr>
                              </w:pPr>
                              <w:r>
                                <w:rPr>
                                  <w:sz w:val="17"/>
                                </w:rPr>
                                <w:t xml:space="preserve">80. En el marco actual del sistema educativo se siguen enseñando los idiomas de las minorías nacionales italiana y </w:t>
                              </w:r>
                              <w:r>
                                <w:rPr>
                                  <w:sz w:val="17"/>
                                </w:rPr>
                                <w:t>húngara . Los representantes de las minorías expresaron su preocupación , y el gobierno reconoció, que, en la práctica, los profesores carecen de las habilidades lingüísticas necesarias para enseñar en la lengua minoritaria, debido a una formación inadecuada.</w:t>
                              </w:r>
                            </w:p>
                            <w:p w14:paraId="5191942B" w14:textId="77777777" w:rsidR="0014798C" w:rsidRDefault="004E1F0B">
                              <w:pPr>
                                <w:spacing w:before="21" w:line="326" w:lineRule="auto"/>
                                <w:ind w:left="818" w:right="484" w:hanging="1"/>
                                <w:rPr>
                                  <w:sz w:val="16"/>
                                </w:rPr>
                              </w:pPr>
                              <w:r>
                                <w:rPr>
                                  <w:w w:val="105"/>
                                  <w:sz w:val="16"/>
                                </w:rPr>
                                <w:t>Según el informe estatal, el Ministerio de Educación, Ciencia y Deporte ha financiado, con el apoyo de fondos</w:t>
                              </w:r>
                              <w:r>
                                <w:rPr>
                                  <w:spacing w:val="-1"/>
                                  <w:w w:val="105"/>
                                  <w:sz w:val="16"/>
                                </w:rPr>
                                <w:t xml:space="preserve"> </w:t>
                              </w:r>
                              <w:r>
                                <w:rPr>
                                  <w:w w:val="105"/>
                                  <w:sz w:val="16"/>
                                </w:rPr>
                                <w:t>europeos, varios</w:t>
                              </w:r>
                              <w:r>
                                <w:rPr>
                                  <w:spacing w:val="-1"/>
                                  <w:w w:val="105"/>
                                  <w:sz w:val="16"/>
                                </w:rPr>
                                <w:t xml:space="preserve"> </w:t>
                              </w:r>
                              <w:r>
                                <w:rPr>
                                  <w:w w:val="105"/>
                                  <w:sz w:val="16"/>
                                </w:rPr>
                                <w:t>proyectos</w:t>
                              </w:r>
                              <w:r>
                                <w:rPr>
                                  <w:spacing w:val="-1"/>
                                  <w:w w:val="105"/>
                                  <w:sz w:val="16"/>
                                </w:rPr>
                                <w:t xml:space="preserve"> </w:t>
                              </w:r>
                              <w:r>
                                <w:rPr>
                                  <w:w w:val="105"/>
                                  <w:sz w:val="16"/>
                                </w:rPr>
                                <w:t>de formación</w:t>
                              </w:r>
                              <w:r>
                                <w:rPr>
                                  <w:spacing w:val="-1"/>
                                  <w:w w:val="105"/>
                                  <w:sz w:val="16"/>
                                </w:rPr>
                                <w:t xml:space="preserve"> </w:t>
                              </w:r>
                              <w:r>
                                <w:rPr>
                                  <w:w w:val="105"/>
                                  <w:sz w:val="16"/>
                                </w:rPr>
                                <w:t>para mejorar</w:t>
                              </w:r>
                              <w:r>
                                <w:rPr>
                                  <w:spacing w:val="-1"/>
                                  <w:w w:val="105"/>
                                  <w:sz w:val="16"/>
                                </w:rPr>
                                <w:t xml:space="preserve"> </w:t>
                              </w:r>
                              <w:r>
                                <w:rPr>
                                  <w:w w:val="105"/>
                                  <w:sz w:val="16"/>
                                </w:rPr>
                                <w:t>el conocimiento</w:t>
                              </w:r>
                              <w:r>
                                <w:rPr>
                                  <w:spacing w:val="-1"/>
                                  <w:w w:val="105"/>
                                  <w:sz w:val="16"/>
                                </w:rPr>
                                <w:t xml:space="preserve"> </w:t>
                              </w:r>
                              <w:r>
                                <w:rPr>
                                  <w:w w:val="105"/>
                                  <w:sz w:val="16"/>
                                </w:rPr>
                                <w:t>de idiomas</w:t>
                              </w:r>
                              <w:r>
                                <w:rPr>
                                  <w:spacing w:val="-1"/>
                                  <w:w w:val="105"/>
                                  <w:sz w:val="16"/>
                                </w:rPr>
                                <w:t xml:space="preserve"> </w:t>
                              </w:r>
                              <w:r>
                                <w:rPr>
                                  <w:w w:val="105"/>
                                  <w:sz w:val="16"/>
                                </w:rPr>
                                <w:t>y la metodología de</w:t>
                              </w:r>
                              <w:r>
                                <w:rPr>
                                  <w:spacing w:val="-3"/>
                                  <w:w w:val="105"/>
                                  <w:sz w:val="16"/>
                                </w:rPr>
                                <w:t xml:space="preserve"> </w:t>
                              </w:r>
                              <w:r>
                                <w:rPr>
                                  <w:w w:val="105"/>
                                  <w:sz w:val="16"/>
                                </w:rPr>
                                <w:t>enseñanza,</w:t>
                              </w:r>
                              <w:r>
                                <w:rPr>
                                  <w:spacing w:val="-3"/>
                                  <w:w w:val="105"/>
                                  <w:sz w:val="16"/>
                                </w:rPr>
                                <w:t xml:space="preserve"> </w:t>
                              </w:r>
                              <w:r>
                                <w:rPr>
                                  <w:w w:val="105"/>
                                  <w:sz w:val="16"/>
                                </w:rPr>
                                <w:t>con</w:t>
                              </w:r>
                              <w:r>
                                <w:rPr>
                                  <w:spacing w:val="-3"/>
                                  <w:w w:val="105"/>
                                  <w:sz w:val="16"/>
                                </w:rPr>
                                <w:t xml:space="preserve"> </w:t>
                              </w:r>
                              <w:r>
                                <w:rPr>
                                  <w:w w:val="105"/>
                                  <w:sz w:val="16"/>
                                </w:rPr>
                                <w:t>el</w:t>
                              </w:r>
                              <w:r>
                                <w:rPr>
                                  <w:spacing w:val="-3"/>
                                  <w:w w:val="105"/>
                                  <w:sz w:val="16"/>
                                </w:rPr>
                                <w:t xml:space="preserve"> </w:t>
                              </w:r>
                              <w:r>
                                <w:rPr>
                                  <w:w w:val="105"/>
                                  <w:sz w:val="16"/>
                                </w:rPr>
                                <w:t>fin</w:t>
                              </w:r>
                              <w:r>
                                <w:rPr>
                                  <w:spacing w:val="-4"/>
                                  <w:w w:val="105"/>
                                  <w:sz w:val="16"/>
                                </w:rPr>
                                <w:t xml:space="preserve"> </w:t>
                              </w:r>
                              <w:r>
                                <w:rPr>
                                  <w:w w:val="105"/>
                                  <w:sz w:val="16"/>
                                </w:rPr>
                                <w:t>de</w:t>
                              </w:r>
                              <w:r>
                                <w:rPr>
                                  <w:spacing w:val="-3"/>
                                  <w:w w:val="105"/>
                                  <w:sz w:val="16"/>
                                </w:rPr>
                                <w:t xml:space="preserve"> </w:t>
                              </w:r>
                              <w:r>
                                <w:rPr>
                                  <w:w w:val="105"/>
                                  <w:sz w:val="16"/>
                                </w:rPr>
                                <w:t>solucionar</w:t>
                              </w:r>
                              <w:r>
                                <w:rPr>
                                  <w:spacing w:val="-4"/>
                                  <w:w w:val="105"/>
                                  <w:sz w:val="16"/>
                                </w:rPr>
                                <w:t xml:space="preserve"> </w:t>
                              </w:r>
                              <w:r>
                                <w:rPr>
                                  <w:w w:val="105"/>
                                  <w:sz w:val="16"/>
                                </w:rPr>
                                <w:t>este</w:t>
                              </w:r>
                              <w:r>
                                <w:rPr>
                                  <w:spacing w:val="-4"/>
                                  <w:w w:val="105"/>
                                  <w:sz w:val="16"/>
                                </w:rPr>
                                <w:t xml:space="preserve"> </w:t>
                              </w:r>
                              <w:r>
                                <w:rPr>
                                  <w:w w:val="105"/>
                                  <w:sz w:val="16"/>
                                </w:rPr>
                                <w:t>problema.</w:t>
                              </w:r>
                              <w:r>
                                <w:rPr>
                                  <w:spacing w:val="-3"/>
                                  <w:w w:val="105"/>
                                  <w:sz w:val="16"/>
                                </w:rPr>
                                <w:t xml:space="preserve"> </w:t>
                              </w:r>
                              <w:r>
                                <w:rPr>
                                  <w:w w:val="105"/>
                                  <w:sz w:val="16"/>
                                </w:rPr>
                                <w:t>Las</w:t>
                              </w:r>
                              <w:r>
                                <w:rPr>
                                  <w:spacing w:val="-3"/>
                                  <w:w w:val="105"/>
                                  <w:sz w:val="16"/>
                                </w:rPr>
                                <w:t xml:space="preserve"> </w:t>
                              </w:r>
                              <w:r>
                                <w:rPr>
                                  <w:w w:val="105"/>
                                  <w:sz w:val="16"/>
                                </w:rPr>
                                <w:t>comunidades</w:t>
                              </w:r>
                              <w:r>
                                <w:rPr>
                                  <w:spacing w:val="-4"/>
                                  <w:w w:val="105"/>
                                  <w:sz w:val="16"/>
                                </w:rPr>
                                <w:t xml:space="preserve"> </w:t>
                              </w:r>
                              <w:r>
                                <w:rPr>
                                  <w:w w:val="105"/>
                                  <w:sz w:val="16"/>
                                </w:rPr>
                                <w:t>autónomas</w:t>
                              </w:r>
                              <w:r>
                                <w:rPr>
                                  <w:spacing w:val="-4"/>
                                  <w:w w:val="105"/>
                                  <w:sz w:val="16"/>
                                </w:rPr>
                                <w:t xml:space="preserve"> </w:t>
                              </w:r>
                              <w:r>
                                <w:rPr>
                                  <w:w w:val="105"/>
                                  <w:sz w:val="16"/>
                                </w:rPr>
                                <w:t>han</w:t>
                              </w:r>
                              <w:r>
                                <w:rPr>
                                  <w:spacing w:val="-3"/>
                                  <w:w w:val="105"/>
                                  <w:sz w:val="16"/>
                                </w:rPr>
                                <w:t xml:space="preserve"> </w:t>
                              </w:r>
                              <w:r>
                                <w:rPr>
                                  <w:w w:val="105"/>
                                  <w:sz w:val="16"/>
                                </w:rPr>
                                <w:t>estado</w:t>
                              </w:r>
                              <w:r>
                                <w:rPr>
                                  <w:spacing w:val="-4"/>
                                  <w:w w:val="105"/>
                                  <w:sz w:val="16"/>
                                </w:rPr>
                                <w:t xml:space="preserve"> </w:t>
                              </w:r>
                              <w:r>
                                <w:rPr>
                                  <w:w w:val="105"/>
                                  <w:sz w:val="16"/>
                                </w:rPr>
                                <w:t>a</w:t>
                              </w:r>
                              <w:r>
                                <w:rPr>
                                  <w:spacing w:val="-3"/>
                                  <w:w w:val="105"/>
                                  <w:sz w:val="16"/>
                                </w:rPr>
                                <w:t xml:space="preserve"> </w:t>
                              </w:r>
                              <w:r>
                                <w:rPr>
                                  <w:w w:val="105"/>
                                  <w:sz w:val="16"/>
                                </w:rPr>
                                <w:t>cargo</w:t>
                              </w:r>
                              <w:r>
                                <w:rPr>
                                  <w:spacing w:val="-3"/>
                                  <w:w w:val="105"/>
                                  <w:sz w:val="16"/>
                                </w:rPr>
                                <w:t xml:space="preserve"> </w:t>
                              </w:r>
                              <w:r>
                                <w:rPr>
                                  <w:w w:val="105"/>
                                  <w:sz w:val="16"/>
                                </w:rPr>
                                <w:t>de los proyectos, en los que participarán 150 docentes durante el período 2016-2020. Además, los proyectos de enmienda a la legislación sobre educación para las minorías italiana y húngara... incluyen la obligación de que los profesores aprueben exámenes profesionales también en la lengua minoritaria. Por último, los profesores de los países vecinos pueden</w:t>
                              </w:r>
                            </w:p>
                          </w:txbxContent>
                        </wps:txbx>
                        <wps:bodyPr wrap="square" lIns="0" tIns="0" rIns="0" bIns="0" rtlCol="0">
                          <a:noAutofit/>
                        </wps:bodyPr>
                      </wps:wsp>
                    </wpg:wgp>
                  </a:graphicData>
                </a:graphic>
              </wp:anchor>
            </w:drawing>
          </mc:Choice>
          <mc:Fallback>
            <w:pict>
              <v:group w14:anchorId="54FCB516" id="Group 316" o:spid="_x0000_s1154" style="position:absolute;margin-left:64.05pt;margin-top:11.35pt;width:468.05pt;height:243.45pt;z-index:-251657926;mso-wrap-distance-left:0;mso-wrap-distance-right:0;mso-position-horizontal-relative:page" coordsize="59442,30918"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">
                <v:shape id="Image 317" o:spid="_x0000_s1155" type="#_x0000_t75" style="position:absolute;width:59436;height:3091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">
                  <v:imagedata r:id="rId297" o:title=""/>
                </v:shape>
                <v:shape id="Textbox 318" o:spid="_x0000_s1156" type="#_x0000_t202" style="position:absolute;width:59442;height:3091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" filled="f" stroked="f">
                  <v:textbox inset="0,0,0,0">
                    <w:txbxContent>
                      <w:p w14:paraId="52468204" w14:textId="77777777" w:rsidR="0014798C" w:rsidRDefault="0014798C">
                        <w:pPr>
                          <w:spacing w:before="80"/>
                          <w:rPr>
                            <w:sz w:val="16"/>
                          </w:rPr>
                        </w:pPr>
                      </w:p>
                      <w:p w14:paraId="75F6A439" w14:textId="77777777" w:rsidR="0014798C" w:rsidRDefault="004E1F0B">
                        <w:pPr>
                          <w:ind w:left="250"/>
                          <w:rPr>
                            <w:sz w:val="16"/>
                          </w:rPr>
                        </w:pPr>
                        <w:r>
                          <w:rPr>
                            <w:w w:val="105"/>
                            <w:sz w:val="16"/>
                          </w:rPr>
                          <w:t>ENSEÑANZA</w:t>
                        </w:r>
                        <w:r>
                          <w:rPr>
                            <w:spacing w:val="-10"/>
                            <w:w w:val="105"/>
                            <w:sz w:val="16"/>
                          </w:rPr>
                          <w:t xml:space="preserve"> </w:t>
                        </w:r>
                        <w:r>
                          <w:rPr>
                            <w:w w:val="105"/>
                            <w:sz w:val="16"/>
                          </w:rPr>
                          <w:t>Y</w:t>
                        </w:r>
                        <w:r>
                          <w:rPr>
                            <w:spacing w:val="-11"/>
                            <w:w w:val="105"/>
                            <w:sz w:val="16"/>
                          </w:rPr>
                          <w:t xml:space="preserve"> </w:t>
                        </w:r>
                        <w:r>
                          <w:rPr>
                            <w:w w:val="105"/>
                            <w:sz w:val="16"/>
                          </w:rPr>
                          <w:t>APRENDIZAJE</w:t>
                        </w:r>
                        <w:r>
                          <w:rPr>
                            <w:spacing w:val="-10"/>
                            <w:w w:val="105"/>
                            <w:sz w:val="16"/>
                          </w:rPr>
                          <w:t xml:space="preserve"> </w:t>
                        </w:r>
                        <w:r>
                          <w:rPr>
                            <w:w w:val="105"/>
                            <w:sz w:val="16"/>
                          </w:rPr>
                          <w:t>EN</w:t>
                        </w:r>
                        <w:r>
                          <w:rPr>
                            <w:spacing w:val="-11"/>
                            <w:w w:val="105"/>
                            <w:sz w:val="16"/>
                          </w:rPr>
                          <w:t xml:space="preserve"> </w:t>
                        </w:r>
                        <w:r>
                          <w:rPr>
                            <w:w w:val="105"/>
                            <w:sz w:val="16"/>
                          </w:rPr>
                          <w:t>Y</w:t>
                        </w:r>
                        <w:r>
                          <w:rPr>
                            <w:spacing w:val="-11"/>
                            <w:w w:val="105"/>
                            <w:sz w:val="16"/>
                          </w:rPr>
                          <w:t xml:space="preserve"> </w:t>
                        </w:r>
                        <w:r>
                          <w:rPr>
                            <w:w w:val="105"/>
                            <w:sz w:val="16"/>
                          </w:rPr>
                          <w:t>DE</w:t>
                        </w:r>
                        <w:r>
                          <w:rPr>
                            <w:spacing w:val="-10"/>
                            <w:w w:val="105"/>
                            <w:sz w:val="16"/>
                          </w:rPr>
                          <w:t xml:space="preserve"> </w:t>
                        </w:r>
                        <w:r>
                          <w:rPr>
                            <w:w w:val="105"/>
                            <w:sz w:val="16"/>
                          </w:rPr>
                          <w:t>LENGUAS</w:t>
                        </w:r>
                        <w:r>
                          <w:rPr>
                            <w:spacing w:val="-10"/>
                            <w:w w:val="105"/>
                            <w:sz w:val="16"/>
                          </w:rPr>
                          <w:t xml:space="preserve"> </w:t>
                        </w:r>
                        <w:r>
                          <w:rPr>
                            <w:w w:val="105"/>
                            <w:sz w:val="16"/>
                          </w:rPr>
                          <w:t>MINORITARIAS</w:t>
                        </w:r>
                        <w:r>
                          <w:rPr>
                            <w:spacing w:val="-10"/>
                            <w:w w:val="105"/>
                            <w:sz w:val="16"/>
                          </w:rPr>
                          <w:t xml:space="preserve"> </w:t>
                        </w:r>
                        <w:r>
                          <w:rPr>
                            <w:w w:val="105"/>
                            <w:sz w:val="16"/>
                          </w:rPr>
                          <w:t>EN</w:t>
                        </w:r>
                        <w:r>
                          <w:rPr>
                            <w:spacing w:val="-10"/>
                            <w:w w:val="105"/>
                            <w:sz w:val="16"/>
                          </w:rPr>
                          <w:t xml:space="preserve"> </w:t>
                        </w:r>
                        <w:r>
                          <w:rPr>
                            <w:spacing w:val="-2"/>
                            <w:w w:val="105"/>
                            <w:sz w:val="16"/>
                          </w:rPr>
                          <w:t>ESLOVENIA</w:t>
                        </w:r>
                      </w:p>
                      <w:p w14:paraId="12071792" w14:textId="77777777" w:rsidR="0014798C" w:rsidRDefault="0014798C">
                        <w:pPr>
                          <w:spacing w:before="13"/>
                          <w:rPr>
                            <w:sz w:val="16"/>
                          </w:rPr>
                        </w:pPr>
                      </w:p>
                      <w:p w14:paraId="351FEF11" w14:textId="77777777" w:rsidR="0014798C" w:rsidRDefault="004E1F0B">
                        <w:pPr>
                          <w:spacing w:line="328" w:lineRule="auto"/>
                          <w:ind w:left="253" w:right="250" w:hanging="2"/>
                          <w:rPr>
                            <w:sz w:val="16"/>
                          </w:rPr>
                        </w:pPr>
                        <w:r>
                          <w:rPr>
                            <w:sz w:val="17"/>
                          </w:rPr>
                          <w:t xml:space="preserve">En su cuarto dictamen sobre la situación de las minorías en Eslovenia, el Consejo Consultivo del Consejo de Europa </w:t>
                        </w:r>
                        <w:r>
                          <w:rPr>
                            <w:w w:val="105"/>
                            <w:sz w:val="16"/>
                          </w:rPr>
                          <w:t xml:space="preserve">El Comité del Convenio Marco para la Protección de las Minorías Nacionales tomó nota de las siguientes cuestiones relativas a la enseñanza y el aprendizaje en y de lenguas minoritarias, que exponen algunos de los desafíos en esta </w:t>
                        </w:r>
                        <w:r>
                          <w:rPr>
                            <w:spacing w:val="-4"/>
                            <w:w w:val="105"/>
                            <w:sz w:val="16"/>
                          </w:rPr>
                          <w:t>área:</w:t>
                        </w:r>
                      </w:p>
                      <w:p w14:paraId="25232D67" w14:textId="77777777" w:rsidR="0014798C" w:rsidRDefault="004E1F0B">
                        <w:pPr>
                          <w:spacing w:before="88" w:line="307" w:lineRule="auto"/>
                          <w:ind w:left="819" w:right="418" w:hanging="390"/>
                          <w:rPr>
                            <w:sz w:val="17"/>
                          </w:rPr>
                        </w:pPr>
                        <w:r>
                          <w:rPr>
                            <w:sz w:val="17"/>
                          </w:rPr>
                          <w:t xml:space="preserve">80. En el marco actual del sistema educativo se siguen enseñando los idiomas de las minorías nacionales italiana y </w:t>
                        </w:r>
                        <w:proofErr w:type="gramStart"/>
                        <w:r>
                          <w:rPr>
                            <w:sz w:val="17"/>
                          </w:rPr>
                          <w:t>húngara .</w:t>
                        </w:r>
                        <w:proofErr w:type="gramEnd"/>
                        <w:r>
                          <w:rPr>
                            <w:sz w:val="17"/>
                          </w:rPr>
                          <w:t xml:space="preserve"> Los representantes de las minorías expresaron su </w:t>
                        </w:r>
                        <w:proofErr w:type="gramStart"/>
                        <w:r>
                          <w:rPr>
                            <w:sz w:val="17"/>
                          </w:rPr>
                          <w:t>preocupación ,</w:t>
                        </w:r>
                        <w:proofErr w:type="gramEnd"/>
                        <w:r>
                          <w:rPr>
                            <w:sz w:val="17"/>
                          </w:rPr>
                          <w:t xml:space="preserve"> y el gobierno reconoció, que, en la práctica, los profesores carecen de las habilidades lingüísticas necesarias para enseñar en la lengua minoritaria, debido a una formación inadecuada.</w:t>
                        </w:r>
                      </w:p>
                      <w:p w14:paraId="5191942B" w14:textId="77777777" w:rsidR="0014798C" w:rsidRDefault="004E1F0B">
                        <w:pPr>
                          <w:spacing w:before="21" w:line="326" w:lineRule="auto"/>
                          <w:ind w:left="818" w:right="484" w:hanging="1"/>
                          <w:rPr>
                            <w:sz w:val="16"/>
                          </w:rPr>
                        </w:pPr>
                        <w:r>
                          <w:rPr>
                            <w:w w:val="105"/>
                            <w:sz w:val="16"/>
                          </w:rPr>
                          <w:t>Según el informe estatal, el Ministerio de Educación, Ciencia y Deporte ha financiado, con el apoyo de fondos</w:t>
                        </w:r>
                        <w:r>
                          <w:rPr>
                            <w:spacing w:val="-1"/>
                            <w:w w:val="105"/>
                            <w:sz w:val="16"/>
                          </w:rPr>
                          <w:t xml:space="preserve"> </w:t>
                        </w:r>
                        <w:r>
                          <w:rPr>
                            <w:w w:val="105"/>
                            <w:sz w:val="16"/>
                          </w:rPr>
                          <w:t>europeos, varios</w:t>
                        </w:r>
                        <w:r>
                          <w:rPr>
                            <w:spacing w:val="-1"/>
                            <w:w w:val="105"/>
                            <w:sz w:val="16"/>
                          </w:rPr>
                          <w:t xml:space="preserve"> </w:t>
                        </w:r>
                        <w:r>
                          <w:rPr>
                            <w:w w:val="105"/>
                            <w:sz w:val="16"/>
                          </w:rPr>
                          <w:t>proyectos</w:t>
                        </w:r>
                        <w:r>
                          <w:rPr>
                            <w:spacing w:val="-1"/>
                            <w:w w:val="105"/>
                            <w:sz w:val="16"/>
                          </w:rPr>
                          <w:t xml:space="preserve"> </w:t>
                        </w:r>
                        <w:r>
                          <w:rPr>
                            <w:w w:val="105"/>
                            <w:sz w:val="16"/>
                          </w:rPr>
                          <w:t>de formación</w:t>
                        </w:r>
                        <w:r>
                          <w:rPr>
                            <w:spacing w:val="-1"/>
                            <w:w w:val="105"/>
                            <w:sz w:val="16"/>
                          </w:rPr>
                          <w:t xml:space="preserve"> </w:t>
                        </w:r>
                        <w:r>
                          <w:rPr>
                            <w:w w:val="105"/>
                            <w:sz w:val="16"/>
                          </w:rPr>
                          <w:t>para mejorar</w:t>
                        </w:r>
                        <w:r>
                          <w:rPr>
                            <w:spacing w:val="-1"/>
                            <w:w w:val="105"/>
                            <w:sz w:val="16"/>
                          </w:rPr>
                          <w:t xml:space="preserve"> </w:t>
                        </w:r>
                        <w:r>
                          <w:rPr>
                            <w:w w:val="105"/>
                            <w:sz w:val="16"/>
                          </w:rPr>
                          <w:t>el conocimiento</w:t>
                        </w:r>
                        <w:r>
                          <w:rPr>
                            <w:spacing w:val="-1"/>
                            <w:w w:val="105"/>
                            <w:sz w:val="16"/>
                          </w:rPr>
                          <w:t xml:space="preserve"> </w:t>
                        </w:r>
                        <w:r>
                          <w:rPr>
                            <w:w w:val="105"/>
                            <w:sz w:val="16"/>
                          </w:rPr>
                          <w:t>de idiomas</w:t>
                        </w:r>
                        <w:r>
                          <w:rPr>
                            <w:spacing w:val="-1"/>
                            <w:w w:val="105"/>
                            <w:sz w:val="16"/>
                          </w:rPr>
                          <w:t xml:space="preserve"> </w:t>
                        </w:r>
                        <w:r>
                          <w:rPr>
                            <w:w w:val="105"/>
                            <w:sz w:val="16"/>
                          </w:rPr>
                          <w:t>y la metodología de</w:t>
                        </w:r>
                        <w:r>
                          <w:rPr>
                            <w:spacing w:val="-3"/>
                            <w:w w:val="105"/>
                            <w:sz w:val="16"/>
                          </w:rPr>
                          <w:t xml:space="preserve"> </w:t>
                        </w:r>
                        <w:r>
                          <w:rPr>
                            <w:w w:val="105"/>
                            <w:sz w:val="16"/>
                          </w:rPr>
                          <w:t>enseñanza,</w:t>
                        </w:r>
                        <w:r>
                          <w:rPr>
                            <w:spacing w:val="-3"/>
                            <w:w w:val="105"/>
                            <w:sz w:val="16"/>
                          </w:rPr>
                          <w:t xml:space="preserve"> </w:t>
                        </w:r>
                        <w:r>
                          <w:rPr>
                            <w:w w:val="105"/>
                            <w:sz w:val="16"/>
                          </w:rPr>
                          <w:t>con</w:t>
                        </w:r>
                        <w:r>
                          <w:rPr>
                            <w:spacing w:val="-3"/>
                            <w:w w:val="105"/>
                            <w:sz w:val="16"/>
                          </w:rPr>
                          <w:t xml:space="preserve"> </w:t>
                        </w:r>
                        <w:r>
                          <w:rPr>
                            <w:w w:val="105"/>
                            <w:sz w:val="16"/>
                          </w:rPr>
                          <w:t>el</w:t>
                        </w:r>
                        <w:r>
                          <w:rPr>
                            <w:spacing w:val="-3"/>
                            <w:w w:val="105"/>
                            <w:sz w:val="16"/>
                          </w:rPr>
                          <w:t xml:space="preserve"> </w:t>
                        </w:r>
                        <w:r>
                          <w:rPr>
                            <w:w w:val="105"/>
                            <w:sz w:val="16"/>
                          </w:rPr>
                          <w:t>fin</w:t>
                        </w:r>
                        <w:r>
                          <w:rPr>
                            <w:spacing w:val="-4"/>
                            <w:w w:val="105"/>
                            <w:sz w:val="16"/>
                          </w:rPr>
                          <w:t xml:space="preserve"> </w:t>
                        </w:r>
                        <w:r>
                          <w:rPr>
                            <w:w w:val="105"/>
                            <w:sz w:val="16"/>
                          </w:rPr>
                          <w:t>de</w:t>
                        </w:r>
                        <w:r>
                          <w:rPr>
                            <w:spacing w:val="-3"/>
                            <w:w w:val="105"/>
                            <w:sz w:val="16"/>
                          </w:rPr>
                          <w:t xml:space="preserve"> </w:t>
                        </w:r>
                        <w:r>
                          <w:rPr>
                            <w:w w:val="105"/>
                            <w:sz w:val="16"/>
                          </w:rPr>
                          <w:t>solucionar</w:t>
                        </w:r>
                        <w:r>
                          <w:rPr>
                            <w:spacing w:val="-4"/>
                            <w:w w:val="105"/>
                            <w:sz w:val="16"/>
                          </w:rPr>
                          <w:t xml:space="preserve"> </w:t>
                        </w:r>
                        <w:r>
                          <w:rPr>
                            <w:w w:val="105"/>
                            <w:sz w:val="16"/>
                          </w:rPr>
                          <w:t>este</w:t>
                        </w:r>
                        <w:r>
                          <w:rPr>
                            <w:spacing w:val="-4"/>
                            <w:w w:val="105"/>
                            <w:sz w:val="16"/>
                          </w:rPr>
                          <w:t xml:space="preserve"> </w:t>
                        </w:r>
                        <w:r>
                          <w:rPr>
                            <w:w w:val="105"/>
                            <w:sz w:val="16"/>
                          </w:rPr>
                          <w:t>problema.</w:t>
                        </w:r>
                        <w:r>
                          <w:rPr>
                            <w:spacing w:val="-3"/>
                            <w:w w:val="105"/>
                            <w:sz w:val="16"/>
                          </w:rPr>
                          <w:t xml:space="preserve"> </w:t>
                        </w:r>
                        <w:r>
                          <w:rPr>
                            <w:w w:val="105"/>
                            <w:sz w:val="16"/>
                          </w:rPr>
                          <w:t>Las</w:t>
                        </w:r>
                        <w:r>
                          <w:rPr>
                            <w:spacing w:val="-3"/>
                            <w:w w:val="105"/>
                            <w:sz w:val="16"/>
                          </w:rPr>
                          <w:t xml:space="preserve"> </w:t>
                        </w:r>
                        <w:r>
                          <w:rPr>
                            <w:w w:val="105"/>
                            <w:sz w:val="16"/>
                          </w:rPr>
                          <w:t>comunidades</w:t>
                        </w:r>
                        <w:r>
                          <w:rPr>
                            <w:spacing w:val="-4"/>
                            <w:w w:val="105"/>
                            <w:sz w:val="16"/>
                          </w:rPr>
                          <w:t xml:space="preserve"> </w:t>
                        </w:r>
                        <w:r>
                          <w:rPr>
                            <w:w w:val="105"/>
                            <w:sz w:val="16"/>
                          </w:rPr>
                          <w:t>autónomas</w:t>
                        </w:r>
                        <w:r>
                          <w:rPr>
                            <w:spacing w:val="-4"/>
                            <w:w w:val="105"/>
                            <w:sz w:val="16"/>
                          </w:rPr>
                          <w:t xml:space="preserve"> </w:t>
                        </w:r>
                        <w:r>
                          <w:rPr>
                            <w:w w:val="105"/>
                            <w:sz w:val="16"/>
                          </w:rPr>
                          <w:t>han</w:t>
                        </w:r>
                        <w:r>
                          <w:rPr>
                            <w:spacing w:val="-3"/>
                            <w:w w:val="105"/>
                            <w:sz w:val="16"/>
                          </w:rPr>
                          <w:t xml:space="preserve"> </w:t>
                        </w:r>
                        <w:r>
                          <w:rPr>
                            <w:w w:val="105"/>
                            <w:sz w:val="16"/>
                          </w:rPr>
                          <w:t>estado</w:t>
                        </w:r>
                        <w:r>
                          <w:rPr>
                            <w:spacing w:val="-4"/>
                            <w:w w:val="105"/>
                            <w:sz w:val="16"/>
                          </w:rPr>
                          <w:t xml:space="preserve"> </w:t>
                        </w:r>
                        <w:r>
                          <w:rPr>
                            <w:w w:val="105"/>
                            <w:sz w:val="16"/>
                          </w:rPr>
                          <w:t>a</w:t>
                        </w:r>
                        <w:r>
                          <w:rPr>
                            <w:spacing w:val="-3"/>
                            <w:w w:val="105"/>
                            <w:sz w:val="16"/>
                          </w:rPr>
                          <w:t xml:space="preserve"> </w:t>
                        </w:r>
                        <w:r>
                          <w:rPr>
                            <w:w w:val="105"/>
                            <w:sz w:val="16"/>
                          </w:rPr>
                          <w:t>cargo</w:t>
                        </w:r>
                        <w:r>
                          <w:rPr>
                            <w:spacing w:val="-3"/>
                            <w:w w:val="105"/>
                            <w:sz w:val="16"/>
                          </w:rPr>
                          <w:t xml:space="preserve"> </w:t>
                        </w:r>
                        <w:r>
                          <w:rPr>
                            <w:w w:val="105"/>
                            <w:sz w:val="16"/>
                          </w:rPr>
                          <w:t>de los proyectos, en los que participarán 150 docentes durante el período 2016-2020. Además, los proyectos de enmienda a la legislación sobre educación para las minorías italiana y húngara... incluyen la obligación de que los profesores aprueben exámenes profesionales también en la lengua minoritaria. Por último, los profesores de los países vecinos pueden</w:t>
                        </w:r>
                      </w:p>
                    </w:txbxContent>
                  </v:textbox>
                </v:shape>
                <w10:wrap type="topAndBottom" anchorx="page"/>
              </v:group>
            </w:pict>
          </mc:Fallback>
        </mc:AlternateContent>
      </w:r>
    </w:p>
    <w:p w14:paraId="3CAD3B35" w14:textId="77777777" w:rsidR="0014798C" w:rsidRDefault="004E1F0B">
      <w:pPr>
        <w:spacing w:before="132" w:line="312" w:lineRule="auto"/>
        <w:ind w:left="1368" w:hanging="257"/>
        <w:rPr>
          <w:sz w:val="12"/>
        </w:rPr>
      </w:pPr>
      <w:r>
        <w:rPr>
          <w:sz w:val="12"/>
          <w:vertAlign w:val="superscript"/>
        </w:rPr>
        <w:t>1069</w:t>
      </w:r>
      <w:r>
        <w:rPr>
          <w:spacing w:val="30"/>
          <w:sz w:val="12"/>
        </w:rPr>
        <w:t xml:space="preserve"> </w:t>
      </w:r>
      <w:r>
        <w:rPr>
          <w:sz w:val="12"/>
        </w:rPr>
        <w:t>UNESCO,</w:t>
      </w:r>
      <w:r>
        <w:rPr>
          <w:spacing w:val="-1"/>
          <w:sz w:val="12"/>
        </w:rPr>
        <w:t xml:space="preserve"> </w:t>
      </w:r>
      <w:r>
        <w:rPr>
          <w:sz w:val="12"/>
        </w:rPr>
        <w:t>“La</w:t>
      </w:r>
      <w:r>
        <w:rPr>
          <w:spacing w:val="-2"/>
          <w:sz w:val="12"/>
        </w:rPr>
        <w:t xml:space="preserve"> </w:t>
      </w:r>
      <w:r>
        <w:rPr>
          <w:sz w:val="12"/>
        </w:rPr>
        <w:t>educación</w:t>
      </w:r>
      <w:r>
        <w:rPr>
          <w:spacing w:val="-2"/>
          <w:sz w:val="12"/>
        </w:rPr>
        <w:t xml:space="preserve"> </w:t>
      </w:r>
      <w:r>
        <w:rPr>
          <w:sz w:val="12"/>
        </w:rPr>
        <w:t>en</w:t>
      </w:r>
      <w:r>
        <w:rPr>
          <w:spacing w:val="-2"/>
          <w:sz w:val="12"/>
        </w:rPr>
        <w:t xml:space="preserve"> </w:t>
      </w:r>
      <w:r>
        <w:rPr>
          <w:sz w:val="12"/>
        </w:rPr>
        <w:t>un</w:t>
      </w:r>
      <w:r>
        <w:rPr>
          <w:spacing w:val="-2"/>
          <w:sz w:val="12"/>
        </w:rPr>
        <w:t xml:space="preserve"> </w:t>
      </w:r>
      <w:r>
        <w:rPr>
          <w:sz w:val="12"/>
        </w:rPr>
        <w:t>mundo</w:t>
      </w:r>
      <w:r>
        <w:rPr>
          <w:spacing w:val="-2"/>
          <w:sz w:val="12"/>
        </w:rPr>
        <w:t xml:space="preserve"> </w:t>
      </w:r>
      <w:r>
        <w:rPr>
          <w:sz w:val="12"/>
        </w:rPr>
        <w:t>multilingüe:</w:t>
      </w:r>
      <w:r>
        <w:rPr>
          <w:spacing w:val="-1"/>
          <w:sz w:val="12"/>
        </w:rPr>
        <w:t xml:space="preserve"> </w:t>
      </w:r>
      <w:r>
        <w:rPr>
          <w:sz w:val="12"/>
        </w:rPr>
        <w:t>documento</w:t>
      </w:r>
      <w:r>
        <w:rPr>
          <w:spacing w:val="-2"/>
          <w:sz w:val="12"/>
        </w:rPr>
        <w:t xml:space="preserve"> </w:t>
      </w:r>
      <w:r>
        <w:rPr>
          <w:sz w:val="12"/>
        </w:rPr>
        <w:t>de</w:t>
      </w:r>
      <w:r>
        <w:rPr>
          <w:spacing w:val="-2"/>
          <w:sz w:val="12"/>
        </w:rPr>
        <w:t xml:space="preserve"> </w:t>
      </w:r>
      <w:r>
        <w:rPr>
          <w:sz w:val="12"/>
        </w:rPr>
        <w:t>posición</w:t>
      </w:r>
      <w:r>
        <w:rPr>
          <w:spacing w:val="-2"/>
          <w:sz w:val="12"/>
        </w:rPr>
        <w:t xml:space="preserve"> </w:t>
      </w:r>
      <w:r>
        <w:rPr>
          <w:sz w:val="12"/>
        </w:rPr>
        <w:t>de</w:t>
      </w:r>
      <w:r>
        <w:rPr>
          <w:spacing w:val="-2"/>
          <w:sz w:val="12"/>
        </w:rPr>
        <w:t xml:space="preserve"> </w:t>
      </w:r>
      <w:r>
        <w:rPr>
          <w:sz w:val="12"/>
        </w:rPr>
        <w:t>la</w:t>
      </w:r>
      <w:r>
        <w:rPr>
          <w:spacing w:val="-2"/>
          <w:sz w:val="12"/>
        </w:rPr>
        <w:t xml:space="preserve"> </w:t>
      </w:r>
      <w:r>
        <w:rPr>
          <w:sz w:val="12"/>
        </w:rPr>
        <w:t>UNESCO</w:t>
      </w:r>
      <w:r>
        <w:rPr>
          <w:spacing w:val="-1"/>
          <w:sz w:val="12"/>
        </w:rPr>
        <w:t xml:space="preserve"> </w:t>
      </w:r>
      <w:r>
        <w:rPr>
          <w:sz w:val="12"/>
        </w:rPr>
        <w:t>sobre</w:t>
      </w:r>
      <w:r>
        <w:rPr>
          <w:spacing w:val="-2"/>
          <w:sz w:val="12"/>
        </w:rPr>
        <w:t xml:space="preserve"> </w:t>
      </w:r>
      <w:r>
        <w:rPr>
          <w:sz w:val="12"/>
        </w:rPr>
        <w:t>educación”</w:t>
      </w:r>
      <w:r>
        <w:rPr>
          <w:spacing w:val="-2"/>
          <w:sz w:val="12"/>
        </w:rPr>
        <w:t xml:space="preserve"> </w:t>
      </w:r>
      <w:r>
        <w:rPr>
          <w:sz w:val="12"/>
        </w:rPr>
        <w:t>(París,</w:t>
      </w:r>
      <w:r>
        <w:rPr>
          <w:spacing w:val="-1"/>
          <w:sz w:val="12"/>
        </w:rPr>
        <w:t xml:space="preserve"> </w:t>
      </w:r>
      <w:r>
        <w:rPr>
          <w:sz w:val="12"/>
        </w:rPr>
        <w:t>2003),</w:t>
      </w:r>
      <w:r>
        <w:rPr>
          <w:spacing w:val="-1"/>
          <w:sz w:val="12"/>
        </w:rPr>
        <w:t xml:space="preserve"> </w:t>
      </w:r>
      <w:r>
        <w:rPr>
          <w:sz w:val="12"/>
        </w:rPr>
        <w:t>pág.</w:t>
      </w:r>
      <w:r>
        <w:rPr>
          <w:spacing w:val="-1"/>
          <w:sz w:val="12"/>
        </w:rPr>
        <w:t xml:space="preserve"> </w:t>
      </w:r>
      <w:r>
        <w:rPr>
          <w:sz w:val="12"/>
        </w:rPr>
        <w:t>30.</w:t>
      </w:r>
      <w:r>
        <w:rPr>
          <w:spacing w:val="-1"/>
          <w:sz w:val="12"/>
        </w:rPr>
        <w:t xml:space="preserve"> </w:t>
      </w:r>
      <w:r>
        <w:rPr>
          <w:sz w:val="12"/>
        </w:rPr>
        <w:t>Disponible</w:t>
      </w:r>
      <w:r>
        <w:rPr>
          <w:spacing w:val="-2"/>
          <w:sz w:val="12"/>
        </w:rPr>
        <w:t xml:space="preserve"> </w:t>
      </w:r>
      <w:r>
        <w:rPr>
          <w:sz w:val="12"/>
        </w:rPr>
        <w:t>en</w:t>
      </w:r>
      <w:r>
        <w:rPr>
          <w:spacing w:val="-2"/>
          <w:sz w:val="12"/>
        </w:rPr>
        <w:t xml:space="preserve"> </w:t>
      </w:r>
      <w:r>
        <w:rPr>
          <w:color w:val="0075BF"/>
          <w:sz w:val="12"/>
        </w:rPr>
        <w:t>https://unesdoc.</w:t>
      </w:r>
      <w:r>
        <w:rPr>
          <w:color w:val="0075BF"/>
          <w:spacing w:val="40"/>
          <w:sz w:val="12"/>
        </w:rPr>
        <w:t xml:space="preserve"> </w:t>
      </w:r>
      <w:r>
        <w:rPr>
          <w:color w:val="0075BF"/>
          <w:spacing w:val="-2"/>
          <w:sz w:val="12"/>
        </w:rPr>
        <w:t>unesco.org/</w:t>
      </w:r>
      <w:proofErr w:type="spellStart"/>
      <w:r>
        <w:rPr>
          <w:color w:val="0075BF"/>
          <w:spacing w:val="-2"/>
          <w:sz w:val="12"/>
        </w:rPr>
        <w:t>ark</w:t>
      </w:r>
      <w:proofErr w:type="spellEnd"/>
      <w:r>
        <w:rPr>
          <w:color w:val="0075BF"/>
          <w:spacing w:val="-2"/>
          <w:sz w:val="12"/>
        </w:rPr>
        <w:t>:/48223/pf0000129728.</w:t>
      </w:r>
    </w:p>
    <w:p w14:paraId="5CC5312D" w14:textId="77777777" w:rsidR="0014798C" w:rsidRDefault="004E1F0B">
      <w:pPr>
        <w:spacing w:before="57" w:line="312" w:lineRule="auto"/>
        <w:ind w:left="1369" w:right="1290" w:hanging="259"/>
        <w:rPr>
          <w:sz w:val="12"/>
        </w:rPr>
      </w:pPr>
      <w:r>
        <w:rPr>
          <w:sz w:val="12"/>
        </w:rPr>
        <w:t>1070</w:t>
      </w:r>
      <w:r>
        <w:rPr>
          <w:spacing w:val="-2"/>
          <w:sz w:val="12"/>
        </w:rPr>
        <w:t xml:space="preserve"> </w:t>
      </w:r>
      <w:r>
        <w:rPr>
          <w:sz w:val="12"/>
        </w:rPr>
        <w:t>“Si</w:t>
      </w:r>
      <w:r>
        <w:rPr>
          <w:spacing w:val="-2"/>
          <w:sz w:val="12"/>
        </w:rPr>
        <w:t xml:space="preserve"> </w:t>
      </w:r>
      <w:r>
        <w:rPr>
          <w:sz w:val="12"/>
        </w:rPr>
        <w:t>bien</w:t>
      </w:r>
      <w:r>
        <w:rPr>
          <w:spacing w:val="-2"/>
          <w:sz w:val="12"/>
        </w:rPr>
        <w:t xml:space="preserve"> </w:t>
      </w:r>
      <w:r>
        <w:rPr>
          <w:sz w:val="12"/>
        </w:rPr>
        <w:t>los</w:t>
      </w:r>
      <w:r>
        <w:rPr>
          <w:spacing w:val="-2"/>
          <w:sz w:val="12"/>
        </w:rPr>
        <w:t xml:space="preserve"> </w:t>
      </w:r>
      <w:r>
        <w:rPr>
          <w:sz w:val="12"/>
        </w:rPr>
        <w:t>Estados</w:t>
      </w:r>
      <w:r>
        <w:rPr>
          <w:spacing w:val="-2"/>
          <w:sz w:val="12"/>
        </w:rPr>
        <w:t xml:space="preserve"> </w:t>
      </w:r>
      <w:r>
        <w:rPr>
          <w:sz w:val="12"/>
        </w:rPr>
        <w:t>tienen</w:t>
      </w:r>
      <w:r>
        <w:rPr>
          <w:spacing w:val="-2"/>
          <w:sz w:val="12"/>
        </w:rPr>
        <w:t xml:space="preserve"> </w:t>
      </w:r>
      <w:r>
        <w:rPr>
          <w:sz w:val="12"/>
        </w:rPr>
        <w:t>la</w:t>
      </w:r>
      <w:r>
        <w:rPr>
          <w:spacing w:val="-2"/>
          <w:sz w:val="12"/>
        </w:rPr>
        <w:t xml:space="preserve"> </w:t>
      </w:r>
      <w:r>
        <w:rPr>
          <w:sz w:val="12"/>
        </w:rPr>
        <w:t>obligación</w:t>
      </w:r>
      <w:r>
        <w:rPr>
          <w:spacing w:val="-2"/>
          <w:sz w:val="12"/>
        </w:rPr>
        <w:t xml:space="preserve"> </w:t>
      </w:r>
      <w:r>
        <w:rPr>
          <w:sz w:val="12"/>
        </w:rPr>
        <w:t>de</w:t>
      </w:r>
      <w:r>
        <w:rPr>
          <w:spacing w:val="-2"/>
          <w:sz w:val="12"/>
        </w:rPr>
        <w:t xml:space="preserve"> </w:t>
      </w:r>
      <w:r>
        <w:rPr>
          <w:sz w:val="12"/>
        </w:rPr>
        <w:t>proteger</w:t>
      </w:r>
      <w:r>
        <w:rPr>
          <w:spacing w:val="-2"/>
          <w:sz w:val="12"/>
        </w:rPr>
        <w:t xml:space="preserve"> </w:t>
      </w:r>
      <w:r>
        <w:rPr>
          <w:sz w:val="12"/>
        </w:rPr>
        <w:t>y</w:t>
      </w:r>
      <w:r>
        <w:rPr>
          <w:spacing w:val="-2"/>
          <w:sz w:val="12"/>
        </w:rPr>
        <w:t xml:space="preserve"> </w:t>
      </w:r>
      <w:r>
        <w:rPr>
          <w:sz w:val="12"/>
        </w:rPr>
        <w:t>promover</w:t>
      </w:r>
      <w:r>
        <w:rPr>
          <w:spacing w:val="-2"/>
          <w:sz w:val="12"/>
        </w:rPr>
        <w:t xml:space="preserve"> </w:t>
      </w:r>
      <w:r>
        <w:rPr>
          <w:sz w:val="12"/>
        </w:rPr>
        <w:t>las</w:t>
      </w:r>
      <w:r>
        <w:rPr>
          <w:spacing w:val="-2"/>
          <w:sz w:val="12"/>
        </w:rPr>
        <w:t xml:space="preserve"> </w:t>
      </w:r>
      <w:r>
        <w:rPr>
          <w:sz w:val="12"/>
        </w:rPr>
        <w:t>lenguas</w:t>
      </w:r>
      <w:r>
        <w:rPr>
          <w:spacing w:val="-2"/>
          <w:sz w:val="12"/>
        </w:rPr>
        <w:t xml:space="preserve"> </w:t>
      </w:r>
      <w:r>
        <w:rPr>
          <w:sz w:val="12"/>
        </w:rPr>
        <w:t>minoritarias</w:t>
      </w:r>
      <w:r>
        <w:rPr>
          <w:spacing w:val="-2"/>
          <w:sz w:val="12"/>
        </w:rPr>
        <w:t xml:space="preserve"> </w:t>
      </w:r>
      <w:r>
        <w:rPr>
          <w:sz w:val="12"/>
        </w:rPr>
        <w:t>y</w:t>
      </w:r>
      <w:r>
        <w:rPr>
          <w:spacing w:val="-2"/>
          <w:sz w:val="12"/>
        </w:rPr>
        <w:t xml:space="preserve"> </w:t>
      </w:r>
      <w:r>
        <w:rPr>
          <w:sz w:val="12"/>
        </w:rPr>
        <w:t>el</w:t>
      </w:r>
      <w:r>
        <w:rPr>
          <w:spacing w:val="-2"/>
          <w:sz w:val="12"/>
        </w:rPr>
        <w:t xml:space="preserve"> </w:t>
      </w:r>
      <w:r>
        <w:rPr>
          <w:sz w:val="12"/>
        </w:rPr>
        <w:t>derecho</w:t>
      </w:r>
      <w:r>
        <w:rPr>
          <w:spacing w:val="-2"/>
          <w:sz w:val="12"/>
        </w:rPr>
        <w:t xml:space="preserve"> </w:t>
      </w:r>
      <w:r>
        <w:rPr>
          <w:sz w:val="12"/>
        </w:rPr>
        <w:t>de</w:t>
      </w:r>
      <w:r>
        <w:rPr>
          <w:spacing w:val="-2"/>
          <w:sz w:val="12"/>
        </w:rPr>
        <w:t xml:space="preserve"> </w:t>
      </w:r>
      <w:r>
        <w:rPr>
          <w:sz w:val="12"/>
        </w:rPr>
        <w:t>las</w:t>
      </w:r>
      <w:r>
        <w:rPr>
          <w:spacing w:val="-2"/>
          <w:sz w:val="12"/>
        </w:rPr>
        <w:t xml:space="preserve"> </w:t>
      </w:r>
      <w:r>
        <w:rPr>
          <w:sz w:val="12"/>
        </w:rPr>
        <w:t>personas</w:t>
      </w:r>
      <w:r>
        <w:rPr>
          <w:spacing w:val="-2"/>
          <w:sz w:val="12"/>
        </w:rPr>
        <w:t xml:space="preserve"> </w:t>
      </w:r>
      <w:r>
        <w:rPr>
          <w:sz w:val="12"/>
        </w:rPr>
        <w:t>pertenecientes</w:t>
      </w:r>
      <w:r>
        <w:rPr>
          <w:spacing w:val="-2"/>
          <w:sz w:val="12"/>
        </w:rPr>
        <w:t xml:space="preserve"> </w:t>
      </w:r>
      <w:r>
        <w:rPr>
          <w:sz w:val="12"/>
        </w:rPr>
        <w:t>a</w:t>
      </w:r>
      <w:r>
        <w:rPr>
          <w:spacing w:val="-2"/>
          <w:sz w:val="12"/>
        </w:rPr>
        <w:t xml:space="preserve"> </w:t>
      </w:r>
      <w:r>
        <w:rPr>
          <w:sz w:val="12"/>
        </w:rPr>
        <w:t>minorías</w:t>
      </w:r>
      <w:r>
        <w:rPr>
          <w:spacing w:val="-2"/>
          <w:sz w:val="12"/>
        </w:rPr>
        <w:t xml:space="preserve"> </w:t>
      </w:r>
      <w:r>
        <w:rPr>
          <w:sz w:val="12"/>
        </w:rPr>
        <w:t>a</w:t>
      </w:r>
      <w:r>
        <w:rPr>
          <w:spacing w:val="-2"/>
          <w:sz w:val="12"/>
        </w:rPr>
        <w:t xml:space="preserve"> </w:t>
      </w:r>
      <w:r>
        <w:rPr>
          <w:sz w:val="12"/>
        </w:rPr>
        <w:t>aprenderlas</w:t>
      </w:r>
      <w:r>
        <w:rPr>
          <w:spacing w:val="-2"/>
          <w:sz w:val="12"/>
        </w:rPr>
        <w:t xml:space="preserve"> </w:t>
      </w:r>
      <w:r>
        <w:rPr>
          <w:sz w:val="12"/>
        </w:rPr>
        <w:t>y</w:t>
      </w:r>
      <w:r>
        <w:rPr>
          <w:spacing w:val="40"/>
          <w:sz w:val="12"/>
        </w:rPr>
        <w:t xml:space="preserve"> </w:t>
      </w:r>
      <w:r>
        <w:rPr>
          <w:sz w:val="12"/>
        </w:rPr>
        <w:t>utilizarlas, las minorías comparten con las mayorías la responsabilidad de participar en la vida cultural, social y económica y en los asuntos públicos de su</w:t>
      </w:r>
    </w:p>
    <w:p w14:paraId="13FC6BC9" w14:textId="77777777" w:rsidR="0014798C" w:rsidRDefault="004E1F0B">
      <w:pPr>
        <w:spacing w:before="1" w:line="312" w:lineRule="auto"/>
        <w:ind w:left="1367" w:right="1614" w:hanging="2"/>
        <w:rPr>
          <w:sz w:val="12"/>
        </w:rPr>
      </w:pPr>
      <w:r>
        <w:rPr>
          <w:sz w:val="12"/>
        </w:rPr>
        <w:t>sociedad</w:t>
      </w:r>
      <w:r>
        <w:rPr>
          <w:spacing w:val="-2"/>
          <w:sz w:val="12"/>
        </w:rPr>
        <w:t xml:space="preserve"> </w:t>
      </w:r>
      <w:r>
        <w:rPr>
          <w:sz w:val="12"/>
        </w:rPr>
        <w:t>más</w:t>
      </w:r>
      <w:r>
        <w:rPr>
          <w:spacing w:val="-2"/>
          <w:sz w:val="12"/>
        </w:rPr>
        <w:t xml:space="preserve"> </w:t>
      </w:r>
      <w:r>
        <w:rPr>
          <w:sz w:val="12"/>
        </w:rPr>
        <w:t>amplia.</w:t>
      </w:r>
      <w:r>
        <w:rPr>
          <w:spacing w:val="-1"/>
          <w:sz w:val="12"/>
        </w:rPr>
        <w:t xml:space="preserve"> </w:t>
      </w:r>
      <w:r>
        <w:rPr>
          <w:sz w:val="12"/>
        </w:rPr>
        <w:t>Esta</w:t>
      </w:r>
      <w:r>
        <w:rPr>
          <w:spacing w:val="-2"/>
          <w:sz w:val="12"/>
        </w:rPr>
        <w:t xml:space="preserve"> </w:t>
      </w:r>
      <w:r>
        <w:rPr>
          <w:sz w:val="12"/>
        </w:rPr>
        <w:t>participación</w:t>
      </w:r>
      <w:r>
        <w:rPr>
          <w:spacing w:val="-2"/>
          <w:sz w:val="12"/>
        </w:rPr>
        <w:t xml:space="preserve"> </w:t>
      </w:r>
      <w:r>
        <w:rPr>
          <w:sz w:val="12"/>
        </w:rPr>
        <w:t>implica,</w:t>
      </w:r>
      <w:r>
        <w:rPr>
          <w:spacing w:val="-1"/>
          <w:sz w:val="12"/>
        </w:rPr>
        <w:t xml:space="preserve"> </w:t>
      </w:r>
      <w:r>
        <w:rPr>
          <w:sz w:val="12"/>
        </w:rPr>
        <w:t>por</w:t>
      </w:r>
      <w:r>
        <w:rPr>
          <w:spacing w:val="-2"/>
          <w:sz w:val="12"/>
        </w:rPr>
        <w:t xml:space="preserve"> </w:t>
      </w:r>
      <w:r>
        <w:rPr>
          <w:sz w:val="12"/>
        </w:rPr>
        <w:t>ejemplo,</w:t>
      </w:r>
      <w:r>
        <w:rPr>
          <w:spacing w:val="-1"/>
          <w:sz w:val="12"/>
        </w:rPr>
        <w:t xml:space="preserve"> </w:t>
      </w:r>
      <w:r>
        <w:rPr>
          <w:sz w:val="12"/>
        </w:rPr>
        <w:t>que</w:t>
      </w:r>
      <w:r>
        <w:rPr>
          <w:spacing w:val="-2"/>
          <w:sz w:val="12"/>
        </w:rPr>
        <w:t xml:space="preserve"> </w:t>
      </w:r>
      <w:r>
        <w:rPr>
          <w:sz w:val="12"/>
        </w:rPr>
        <w:t>las</w:t>
      </w:r>
      <w:r>
        <w:rPr>
          <w:spacing w:val="-2"/>
          <w:sz w:val="12"/>
        </w:rPr>
        <w:t xml:space="preserve"> </w:t>
      </w:r>
      <w:r>
        <w:rPr>
          <w:sz w:val="12"/>
        </w:rPr>
        <w:t>personas</w:t>
      </w:r>
      <w:r>
        <w:rPr>
          <w:spacing w:val="-2"/>
          <w:sz w:val="12"/>
        </w:rPr>
        <w:t xml:space="preserve"> </w:t>
      </w:r>
      <w:r>
        <w:rPr>
          <w:sz w:val="12"/>
        </w:rPr>
        <w:t>pertenecientes</w:t>
      </w:r>
      <w:r>
        <w:rPr>
          <w:spacing w:val="-2"/>
          <w:sz w:val="12"/>
        </w:rPr>
        <w:t xml:space="preserve"> </w:t>
      </w:r>
      <w:r>
        <w:rPr>
          <w:sz w:val="12"/>
        </w:rPr>
        <w:t>a</w:t>
      </w:r>
      <w:r>
        <w:rPr>
          <w:spacing w:val="-2"/>
          <w:sz w:val="12"/>
        </w:rPr>
        <w:t xml:space="preserve"> </w:t>
      </w:r>
      <w:r>
        <w:rPr>
          <w:sz w:val="12"/>
        </w:rPr>
        <w:t>minorías</w:t>
      </w:r>
      <w:r>
        <w:rPr>
          <w:spacing w:val="-2"/>
          <w:sz w:val="12"/>
        </w:rPr>
        <w:t xml:space="preserve"> </w:t>
      </w:r>
      <w:r>
        <w:rPr>
          <w:sz w:val="12"/>
        </w:rPr>
        <w:t>adquieran</w:t>
      </w:r>
      <w:r>
        <w:rPr>
          <w:spacing w:val="-2"/>
          <w:sz w:val="12"/>
        </w:rPr>
        <w:t xml:space="preserve"> </w:t>
      </w:r>
      <w:r>
        <w:rPr>
          <w:sz w:val="12"/>
        </w:rPr>
        <w:t>un</w:t>
      </w:r>
      <w:r>
        <w:rPr>
          <w:spacing w:val="-2"/>
          <w:sz w:val="12"/>
        </w:rPr>
        <w:t xml:space="preserve"> </w:t>
      </w:r>
      <w:r>
        <w:rPr>
          <w:sz w:val="12"/>
        </w:rPr>
        <w:t>conocimiento</w:t>
      </w:r>
      <w:r>
        <w:rPr>
          <w:spacing w:val="-2"/>
          <w:sz w:val="12"/>
        </w:rPr>
        <w:t xml:space="preserve"> </w:t>
      </w:r>
      <w:r>
        <w:rPr>
          <w:sz w:val="12"/>
        </w:rPr>
        <w:t>adecuado</w:t>
      </w:r>
      <w:r>
        <w:rPr>
          <w:spacing w:val="-2"/>
          <w:sz w:val="12"/>
        </w:rPr>
        <w:t xml:space="preserve"> </w:t>
      </w:r>
      <w:r>
        <w:rPr>
          <w:sz w:val="12"/>
        </w:rPr>
        <w:t>del</w:t>
      </w:r>
      <w:r>
        <w:rPr>
          <w:spacing w:val="-2"/>
          <w:sz w:val="12"/>
        </w:rPr>
        <w:t xml:space="preserve"> </w:t>
      </w:r>
      <w:r>
        <w:rPr>
          <w:sz w:val="12"/>
        </w:rPr>
        <w:t>Estado</w:t>
      </w:r>
      <w:r>
        <w:rPr>
          <w:spacing w:val="-2"/>
          <w:sz w:val="12"/>
        </w:rPr>
        <w:t xml:space="preserve"> </w:t>
      </w:r>
      <w:r>
        <w:rPr>
          <w:sz w:val="12"/>
        </w:rPr>
        <w:t>o</w:t>
      </w:r>
      <w:r>
        <w:rPr>
          <w:spacing w:val="-2"/>
          <w:sz w:val="12"/>
        </w:rPr>
        <w:t xml:space="preserve"> </w:t>
      </w:r>
      <w:r>
        <w:rPr>
          <w:sz w:val="12"/>
        </w:rPr>
        <w:t>de</w:t>
      </w:r>
      <w:r>
        <w:rPr>
          <w:spacing w:val="-2"/>
          <w:sz w:val="12"/>
        </w:rPr>
        <w:t xml:space="preserve"> </w:t>
      </w:r>
      <w:r>
        <w:rPr>
          <w:sz w:val="12"/>
        </w:rPr>
        <w:t>los</w:t>
      </w:r>
      <w:r>
        <w:rPr>
          <w:spacing w:val="40"/>
          <w:sz w:val="12"/>
        </w:rPr>
        <w:t xml:space="preserve"> </w:t>
      </w:r>
      <w:r>
        <w:rPr>
          <w:sz w:val="12"/>
        </w:rPr>
        <w:t>idiomas oficiales”. Véase Alto Comisionado para las Minorías Nacionales de la Organización para la Seguridad y la Cooperación en Europa, Directrices de</w:t>
      </w:r>
      <w:r>
        <w:rPr>
          <w:spacing w:val="80"/>
          <w:sz w:val="12"/>
        </w:rPr>
        <w:t xml:space="preserve"> </w:t>
      </w:r>
      <w:r>
        <w:rPr>
          <w:sz w:val="12"/>
        </w:rPr>
        <w:t xml:space="preserve">Liubliana sobre la integración de sociedades diversas (La Haya, 2021), pág. 52. Disponible en </w:t>
      </w:r>
      <w:hyperlink r:id="rId298">
        <w:r>
          <w:rPr>
            <w:color w:val="0075BF"/>
            <w:sz w:val="12"/>
          </w:rPr>
          <w:t>www.osce.org/</w:t>
        </w:r>
      </w:hyperlink>
    </w:p>
    <w:p w14:paraId="55BFA8BA" w14:textId="77777777" w:rsidR="0014798C" w:rsidRDefault="004E1F0B">
      <w:pPr>
        <w:spacing w:before="1"/>
        <w:ind w:left="1366"/>
        <w:rPr>
          <w:sz w:val="12"/>
        </w:rPr>
      </w:pPr>
      <w:r>
        <w:rPr>
          <w:color w:val="0075BF"/>
          <w:spacing w:val="-2"/>
          <w:sz w:val="12"/>
        </w:rPr>
        <w:t>archivos/f/</w:t>
      </w:r>
      <w:proofErr w:type="spellStart"/>
      <w:r>
        <w:rPr>
          <w:color w:val="0075BF"/>
          <w:spacing w:val="-2"/>
          <w:sz w:val="12"/>
        </w:rPr>
        <w:t>documents</w:t>
      </w:r>
      <w:proofErr w:type="spellEnd"/>
      <w:r>
        <w:rPr>
          <w:color w:val="0075BF"/>
          <w:spacing w:val="-2"/>
          <w:sz w:val="12"/>
        </w:rPr>
        <w:t>/0/9/96883.pdf.</w:t>
      </w:r>
    </w:p>
    <w:p w14:paraId="34B8D5F1" w14:textId="77777777" w:rsidR="0014798C" w:rsidRDefault="004E1F0B">
      <w:pPr>
        <w:spacing w:before="116"/>
        <w:ind w:left="1111"/>
        <w:rPr>
          <w:sz w:val="11"/>
        </w:rPr>
      </w:pPr>
      <w:r>
        <w:rPr>
          <w:spacing w:val="-2"/>
          <w:sz w:val="11"/>
        </w:rPr>
        <w:t>1071</w:t>
      </w:r>
      <w:r>
        <w:rPr>
          <w:spacing w:val="-1"/>
          <w:sz w:val="11"/>
        </w:rPr>
        <w:t xml:space="preserve"> </w:t>
      </w:r>
      <w:proofErr w:type="spellStart"/>
      <w:r>
        <w:rPr>
          <w:spacing w:val="-2"/>
          <w:sz w:val="11"/>
        </w:rPr>
        <w:t>Ibíd</w:t>
      </w:r>
      <w:proofErr w:type="spellEnd"/>
      <w:r>
        <w:rPr>
          <w:spacing w:val="-2"/>
          <w:sz w:val="11"/>
        </w:rPr>
        <w:t>.,</w:t>
      </w:r>
      <w:r>
        <w:rPr>
          <w:sz w:val="11"/>
        </w:rPr>
        <w:t xml:space="preserve"> </w:t>
      </w:r>
      <w:r>
        <w:rPr>
          <w:spacing w:val="-2"/>
          <w:sz w:val="11"/>
        </w:rPr>
        <w:t>pág.</w:t>
      </w:r>
      <w:r>
        <w:rPr>
          <w:sz w:val="11"/>
        </w:rPr>
        <w:t xml:space="preserve"> </w:t>
      </w:r>
      <w:r>
        <w:rPr>
          <w:spacing w:val="-5"/>
          <w:sz w:val="11"/>
        </w:rPr>
        <w:t>54.</w:t>
      </w:r>
    </w:p>
    <w:p w14:paraId="31F44762" w14:textId="77777777" w:rsidR="0014798C" w:rsidRDefault="004E1F0B">
      <w:pPr>
        <w:spacing w:before="110"/>
        <w:ind w:left="1111"/>
        <w:rPr>
          <w:sz w:val="11"/>
        </w:rPr>
      </w:pPr>
      <w:r>
        <w:rPr>
          <w:spacing w:val="-2"/>
          <w:sz w:val="11"/>
        </w:rPr>
        <w:t>1072</w:t>
      </w:r>
      <w:r>
        <w:rPr>
          <w:spacing w:val="-1"/>
          <w:sz w:val="11"/>
        </w:rPr>
        <w:t xml:space="preserve"> </w:t>
      </w:r>
      <w:proofErr w:type="spellStart"/>
      <w:r>
        <w:rPr>
          <w:spacing w:val="-2"/>
          <w:sz w:val="11"/>
        </w:rPr>
        <w:t>Ibíd</w:t>
      </w:r>
      <w:proofErr w:type="spellEnd"/>
      <w:r>
        <w:rPr>
          <w:spacing w:val="-2"/>
          <w:sz w:val="11"/>
        </w:rPr>
        <w:t>.,</w:t>
      </w:r>
      <w:r>
        <w:rPr>
          <w:sz w:val="11"/>
        </w:rPr>
        <w:t xml:space="preserve"> </w:t>
      </w:r>
      <w:r>
        <w:rPr>
          <w:spacing w:val="-2"/>
          <w:sz w:val="11"/>
        </w:rPr>
        <w:t>pág.</w:t>
      </w:r>
      <w:r>
        <w:rPr>
          <w:sz w:val="11"/>
        </w:rPr>
        <w:t xml:space="preserve"> </w:t>
      </w:r>
      <w:r>
        <w:rPr>
          <w:spacing w:val="-5"/>
          <w:sz w:val="11"/>
        </w:rPr>
        <w:t>55.</w:t>
      </w:r>
    </w:p>
    <w:p w14:paraId="0363435C" w14:textId="77777777" w:rsidR="0014798C" w:rsidRDefault="004E1F0B">
      <w:pPr>
        <w:spacing w:before="93" w:line="312" w:lineRule="auto"/>
        <w:ind w:left="1368" w:right="2004" w:hanging="257"/>
        <w:rPr>
          <w:sz w:val="12"/>
        </w:rPr>
      </w:pPr>
      <w:r>
        <w:rPr>
          <w:sz w:val="12"/>
        </w:rPr>
        <w:t>1073</w:t>
      </w:r>
      <w:r>
        <w:rPr>
          <w:spacing w:val="-4"/>
          <w:sz w:val="12"/>
        </w:rPr>
        <w:t xml:space="preserve"> </w:t>
      </w:r>
      <w:r>
        <w:rPr>
          <w:sz w:val="12"/>
        </w:rPr>
        <w:t>Por</w:t>
      </w:r>
      <w:r>
        <w:rPr>
          <w:spacing w:val="-4"/>
          <w:sz w:val="12"/>
        </w:rPr>
        <w:t xml:space="preserve"> </w:t>
      </w:r>
      <w:r>
        <w:rPr>
          <w:sz w:val="12"/>
        </w:rPr>
        <w:t>ejemplo,</w:t>
      </w:r>
      <w:r>
        <w:rPr>
          <w:spacing w:val="-3"/>
          <w:sz w:val="12"/>
        </w:rPr>
        <w:t xml:space="preserve"> </w:t>
      </w:r>
      <w:r>
        <w:rPr>
          <w:sz w:val="12"/>
        </w:rPr>
        <w:t>el</w:t>
      </w:r>
      <w:r>
        <w:rPr>
          <w:spacing w:val="-4"/>
          <w:sz w:val="12"/>
        </w:rPr>
        <w:t xml:space="preserve"> </w:t>
      </w:r>
      <w:r>
        <w:rPr>
          <w:sz w:val="12"/>
        </w:rPr>
        <w:t>jardín</w:t>
      </w:r>
      <w:r>
        <w:rPr>
          <w:spacing w:val="-4"/>
          <w:sz w:val="12"/>
        </w:rPr>
        <w:t xml:space="preserve"> </w:t>
      </w:r>
      <w:r>
        <w:rPr>
          <w:sz w:val="12"/>
        </w:rPr>
        <w:t>de</w:t>
      </w:r>
      <w:r>
        <w:rPr>
          <w:spacing w:val="-4"/>
          <w:sz w:val="12"/>
        </w:rPr>
        <w:t xml:space="preserve"> </w:t>
      </w:r>
      <w:r>
        <w:rPr>
          <w:sz w:val="12"/>
        </w:rPr>
        <w:t>infancia</w:t>
      </w:r>
      <w:r>
        <w:rPr>
          <w:spacing w:val="-4"/>
          <w:sz w:val="12"/>
        </w:rPr>
        <w:t xml:space="preserve"> </w:t>
      </w:r>
      <w:proofErr w:type="spellStart"/>
      <w:r>
        <w:rPr>
          <w:sz w:val="12"/>
        </w:rPr>
        <w:t>Komşu</w:t>
      </w:r>
      <w:proofErr w:type="spellEnd"/>
      <w:r>
        <w:rPr>
          <w:spacing w:val="-4"/>
          <w:sz w:val="12"/>
        </w:rPr>
        <w:t xml:space="preserve"> </w:t>
      </w:r>
      <w:r>
        <w:rPr>
          <w:sz w:val="12"/>
        </w:rPr>
        <w:t>(vecino),</w:t>
      </w:r>
      <w:r>
        <w:rPr>
          <w:spacing w:val="-3"/>
          <w:sz w:val="12"/>
        </w:rPr>
        <w:t xml:space="preserve"> </w:t>
      </w:r>
      <w:r>
        <w:rPr>
          <w:sz w:val="12"/>
        </w:rPr>
        <w:t>una</w:t>
      </w:r>
      <w:r>
        <w:rPr>
          <w:spacing w:val="-4"/>
          <w:sz w:val="12"/>
        </w:rPr>
        <w:t xml:space="preserve"> </w:t>
      </w:r>
      <w:r>
        <w:rPr>
          <w:sz w:val="12"/>
        </w:rPr>
        <w:t>iniciativa</w:t>
      </w:r>
      <w:r>
        <w:rPr>
          <w:spacing w:val="-4"/>
          <w:sz w:val="12"/>
        </w:rPr>
        <w:t xml:space="preserve"> </w:t>
      </w:r>
      <w:r>
        <w:rPr>
          <w:sz w:val="12"/>
        </w:rPr>
        <w:t>privada</w:t>
      </w:r>
      <w:r>
        <w:rPr>
          <w:spacing w:val="-4"/>
          <w:sz w:val="12"/>
        </w:rPr>
        <w:t xml:space="preserve"> </w:t>
      </w:r>
      <w:r>
        <w:rPr>
          <w:sz w:val="12"/>
        </w:rPr>
        <w:t>que</w:t>
      </w:r>
      <w:r>
        <w:rPr>
          <w:spacing w:val="-4"/>
          <w:sz w:val="12"/>
        </w:rPr>
        <w:t xml:space="preserve"> </w:t>
      </w:r>
      <w:r>
        <w:rPr>
          <w:sz w:val="12"/>
        </w:rPr>
        <w:t>disfruta</w:t>
      </w:r>
      <w:r>
        <w:rPr>
          <w:spacing w:val="-4"/>
          <w:sz w:val="12"/>
        </w:rPr>
        <w:t xml:space="preserve"> </w:t>
      </w:r>
      <w:r>
        <w:rPr>
          <w:sz w:val="12"/>
        </w:rPr>
        <w:t>de</w:t>
      </w:r>
      <w:r>
        <w:rPr>
          <w:spacing w:val="-4"/>
          <w:sz w:val="12"/>
        </w:rPr>
        <w:t xml:space="preserve"> </w:t>
      </w:r>
      <w:r>
        <w:rPr>
          <w:sz w:val="12"/>
        </w:rPr>
        <w:t>financiación</w:t>
      </w:r>
      <w:r>
        <w:rPr>
          <w:spacing w:val="-4"/>
          <w:sz w:val="12"/>
        </w:rPr>
        <w:t xml:space="preserve"> </w:t>
      </w:r>
      <w:r>
        <w:rPr>
          <w:sz w:val="12"/>
        </w:rPr>
        <w:t>estatal</w:t>
      </w:r>
      <w:r>
        <w:rPr>
          <w:spacing w:val="-4"/>
          <w:sz w:val="12"/>
        </w:rPr>
        <w:t xml:space="preserve"> </w:t>
      </w:r>
      <w:r>
        <w:rPr>
          <w:sz w:val="12"/>
        </w:rPr>
        <w:t>en</w:t>
      </w:r>
      <w:r>
        <w:rPr>
          <w:spacing w:val="-4"/>
          <w:sz w:val="12"/>
        </w:rPr>
        <w:t xml:space="preserve"> </w:t>
      </w:r>
      <w:proofErr w:type="spellStart"/>
      <w:r>
        <w:rPr>
          <w:sz w:val="12"/>
        </w:rPr>
        <w:t>Kreuzberg</w:t>
      </w:r>
      <w:proofErr w:type="spellEnd"/>
      <w:r>
        <w:rPr>
          <w:sz w:val="12"/>
        </w:rPr>
        <w:t>,</w:t>
      </w:r>
      <w:r>
        <w:rPr>
          <w:spacing w:val="-3"/>
          <w:sz w:val="12"/>
        </w:rPr>
        <w:t xml:space="preserve"> </w:t>
      </w:r>
      <w:r>
        <w:rPr>
          <w:sz w:val="12"/>
        </w:rPr>
        <w:t>Berlín,</w:t>
      </w:r>
      <w:r>
        <w:rPr>
          <w:spacing w:val="-3"/>
          <w:sz w:val="12"/>
        </w:rPr>
        <w:t xml:space="preserve"> </w:t>
      </w:r>
      <w:r>
        <w:rPr>
          <w:sz w:val="12"/>
        </w:rPr>
        <w:t>tenía,</w:t>
      </w:r>
      <w:r>
        <w:rPr>
          <w:spacing w:val="-3"/>
          <w:sz w:val="12"/>
        </w:rPr>
        <w:t xml:space="preserve"> </w:t>
      </w:r>
      <w:r>
        <w:rPr>
          <w:sz w:val="12"/>
        </w:rPr>
        <w:t>a</w:t>
      </w:r>
      <w:r>
        <w:rPr>
          <w:spacing w:val="-4"/>
          <w:sz w:val="12"/>
        </w:rPr>
        <w:t xml:space="preserve"> </w:t>
      </w:r>
      <w:r>
        <w:rPr>
          <w:sz w:val="12"/>
        </w:rPr>
        <w:t>finales</w:t>
      </w:r>
      <w:r>
        <w:rPr>
          <w:spacing w:val="-4"/>
          <w:sz w:val="12"/>
        </w:rPr>
        <w:t xml:space="preserve"> </w:t>
      </w:r>
      <w:r>
        <w:rPr>
          <w:sz w:val="12"/>
        </w:rPr>
        <w:t>de</w:t>
      </w:r>
      <w:r>
        <w:rPr>
          <w:spacing w:val="-4"/>
          <w:sz w:val="12"/>
        </w:rPr>
        <w:t xml:space="preserve"> </w:t>
      </w:r>
      <w:r>
        <w:rPr>
          <w:sz w:val="12"/>
        </w:rPr>
        <w:t>la</w:t>
      </w:r>
      <w:r>
        <w:rPr>
          <w:spacing w:val="40"/>
          <w:sz w:val="12"/>
        </w:rPr>
        <w:t xml:space="preserve"> </w:t>
      </w:r>
      <w:r>
        <w:rPr>
          <w:sz w:val="12"/>
        </w:rPr>
        <w:t>década</w:t>
      </w:r>
      <w:r>
        <w:rPr>
          <w:spacing w:val="-2"/>
          <w:sz w:val="12"/>
        </w:rPr>
        <w:t xml:space="preserve"> </w:t>
      </w:r>
      <w:r>
        <w:rPr>
          <w:sz w:val="12"/>
        </w:rPr>
        <w:t>de</w:t>
      </w:r>
      <w:r>
        <w:rPr>
          <w:spacing w:val="-2"/>
          <w:sz w:val="12"/>
        </w:rPr>
        <w:t xml:space="preserve"> </w:t>
      </w:r>
      <w:r>
        <w:rPr>
          <w:sz w:val="12"/>
        </w:rPr>
        <w:t>2000,</w:t>
      </w:r>
      <w:r>
        <w:rPr>
          <w:spacing w:val="-1"/>
          <w:sz w:val="12"/>
        </w:rPr>
        <w:t xml:space="preserve"> </w:t>
      </w:r>
      <w:r>
        <w:rPr>
          <w:sz w:val="12"/>
        </w:rPr>
        <w:t>125</w:t>
      </w:r>
      <w:r>
        <w:rPr>
          <w:spacing w:val="-2"/>
          <w:sz w:val="12"/>
        </w:rPr>
        <w:t xml:space="preserve"> </w:t>
      </w:r>
      <w:r>
        <w:rPr>
          <w:sz w:val="12"/>
        </w:rPr>
        <w:t>niños</w:t>
      </w:r>
      <w:r>
        <w:rPr>
          <w:spacing w:val="-2"/>
          <w:sz w:val="12"/>
        </w:rPr>
        <w:t xml:space="preserve"> </w:t>
      </w:r>
      <w:r>
        <w:rPr>
          <w:sz w:val="12"/>
        </w:rPr>
        <w:t>matriculados.</w:t>
      </w:r>
      <w:r>
        <w:rPr>
          <w:spacing w:val="-1"/>
          <w:sz w:val="12"/>
        </w:rPr>
        <w:t xml:space="preserve"> </w:t>
      </w:r>
      <w:r>
        <w:rPr>
          <w:sz w:val="12"/>
        </w:rPr>
        <w:t>Aproximadamente</w:t>
      </w:r>
      <w:r>
        <w:rPr>
          <w:spacing w:val="-2"/>
          <w:sz w:val="12"/>
        </w:rPr>
        <w:t xml:space="preserve"> </w:t>
      </w:r>
      <w:r>
        <w:rPr>
          <w:sz w:val="12"/>
        </w:rPr>
        <w:t>un</w:t>
      </w:r>
      <w:r>
        <w:rPr>
          <w:spacing w:val="-2"/>
          <w:sz w:val="12"/>
        </w:rPr>
        <w:t xml:space="preserve"> </w:t>
      </w:r>
      <w:r>
        <w:rPr>
          <w:sz w:val="12"/>
        </w:rPr>
        <w:t>tercio</w:t>
      </w:r>
      <w:r>
        <w:rPr>
          <w:spacing w:val="-2"/>
          <w:sz w:val="12"/>
        </w:rPr>
        <w:t xml:space="preserve"> </w:t>
      </w:r>
      <w:r>
        <w:rPr>
          <w:sz w:val="12"/>
        </w:rPr>
        <w:t>eran</w:t>
      </w:r>
      <w:r>
        <w:rPr>
          <w:spacing w:val="-2"/>
          <w:sz w:val="12"/>
        </w:rPr>
        <w:t xml:space="preserve"> </w:t>
      </w:r>
      <w:r>
        <w:rPr>
          <w:sz w:val="12"/>
        </w:rPr>
        <w:t>turcos,</w:t>
      </w:r>
      <w:r>
        <w:rPr>
          <w:spacing w:val="-1"/>
          <w:sz w:val="12"/>
        </w:rPr>
        <w:t xml:space="preserve"> </w:t>
      </w:r>
      <w:r>
        <w:rPr>
          <w:sz w:val="12"/>
        </w:rPr>
        <w:t>un</w:t>
      </w:r>
      <w:r>
        <w:rPr>
          <w:spacing w:val="-2"/>
          <w:sz w:val="12"/>
        </w:rPr>
        <w:t xml:space="preserve"> </w:t>
      </w:r>
      <w:r>
        <w:rPr>
          <w:sz w:val="12"/>
        </w:rPr>
        <w:t>tercio</w:t>
      </w:r>
      <w:r>
        <w:rPr>
          <w:spacing w:val="-2"/>
          <w:sz w:val="12"/>
        </w:rPr>
        <w:t xml:space="preserve"> </w:t>
      </w:r>
      <w:r>
        <w:rPr>
          <w:sz w:val="12"/>
        </w:rPr>
        <w:t>alemanes</w:t>
      </w:r>
      <w:r>
        <w:rPr>
          <w:spacing w:val="-2"/>
          <w:sz w:val="12"/>
        </w:rPr>
        <w:t xml:space="preserve"> </w:t>
      </w:r>
      <w:r>
        <w:rPr>
          <w:sz w:val="12"/>
        </w:rPr>
        <w:t>y</w:t>
      </w:r>
      <w:r>
        <w:rPr>
          <w:spacing w:val="-2"/>
          <w:sz w:val="12"/>
        </w:rPr>
        <w:t xml:space="preserve"> </w:t>
      </w:r>
      <w:r>
        <w:rPr>
          <w:sz w:val="12"/>
        </w:rPr>
        <w:t>un</w:t>
      </w:r>
      <w:r>
        <w:rPr>
          <w:spacing w:val="-2"/>
          <w:sz w:val="12"/>
        </w:rPr>
        <w:t xml:space="preserve"> </w:t>
      </w:r>
      <w:r>
        <w:rPr>
          <w:sz w:val="12"/>
        </w:rPr>
        <w:t>tercio</w:t>
      </w:r>
      <w:r>
        <w:rPr>
          <w:spacing w:val="-2"/>
          <w:sz w:val="12"/>
        </w:rPr>
        <w:t xml:space="preserve"> </w:t>
      </w:r>
      <w:r>
        <w:rPr>
          <w:sz w:val="12"/>
        </w:rPr>
        <w:t>hijos</w:t>
      </w:r>
      <w:r>
        <w:rPr>
          <w:spacing w:val="-2"/>
          <w:sz w:val="12"/>
        </w:rPr>
        <w:t xml:space="preserve"> </w:t>
      </w:r>
      <w:r>
        <w:rPr>
          <w:sz w:val="12"/>
        </w:rPr>
        <w:t>de</w:t>
      </w:r>
      <w:r>
        <w:rPr>
          <w:spacing w:val="-2"/>
          <w:sz w:val="12"/>
        </w:rPr>
        <w:t xml:space="preserve"> </w:t>
      </w:r>
      <w:r>
        <w:rPr>
          <w:sz w:val="12"/>
        </w:rPr>
        <w:t>relaciones</w:t>
      </w:r>
      <w:r>
        <w:rPr>
          <w:spacing w:val="-2"/>
          <w:sz w:val="12"/>
        </w:rPr>
        <w:t xml:space="preserve"> </w:t>
      </w:r>
      <w:r>
        <w:rPr>
          <w:sz w:val="12"/>
        </w:rPr>
        <w:t>o</w:t>
      </w:r>
      <w:r>
        <w:rPr>
          <w:spacing w:val="-2"/>
          <w:sz w:val="12"/>
        </w:rPr>
        <w:t xml:space="preserve"> </w:t>
      </w:r>
      <w:r>
        <w:rPr>
          <w:sz w:val="12"/>
        </w:rPr>
        <w:t>matrimonios</w:t>
      </w:r>
      <w:r>
        <w:rPr>
          <w:spacing w:val="-2"/>
          <w:sz w:val="12"/>
        </w:rPr>
        <w:t xml:space="preserve"> </w:t>
      </w:r>
      <w:r>
        <w:rPr>
          <w:sz w:val="12"/>
        </w:rPr>
        <w:t>mixtos.</w:t>
      </w:r>
    </w:p>
    <w:p w14:paraId="121BE236" w14:textId="77777777" w:rsidR="0014798C" w:rsidRDefault="004E1F0B">
      <w:pPr>
        <w:spacing w:before="1" w:line="312" w:lineRule="auto"/>
        <w:ind w:left="1369" w:right="1642" w:hanging="3"/>
        <w:rPr>
          <w:sz w:val="12"/>
        </w:rPr>
      </w:pPr>
      <w:r>
        <w:rPr>
          <w:sz w:val="12"/>
        </w:rPr>
        <w:t>Además,</w:t>
      </w:r>
      <w:r>
        <w:rPr>
          <w:spacing w:val="-1"/>
          <w:sz w:val="12"/>
        </w:rPr>
        <w:t xml:space="preserve"> </w:t>
      </w:r>
      <w:r>
        <w:rPr>
          <w:sz w:val="12"/>
        </w:rPr>
        <w:t>aproximadamente</w:t>
      </w:r>
      <w:r>
        <w:rPr>
          <w:spacing w:val="-2"/>
          <w:sz w:val="12"/>
        </w:rPr>
        <w:t xml:space="preserve"> </w:t>
      </w:r>
      <w:r>
        <w:rPr>
          <w:sz w:val="12"/>
        </w:rPr>
        <w:t>la</w:t>
      </w:r>
      <w:r>
        <w:rPr>
          <w:spacing w:val="-2"/>
          <w:sz w:val="12"/>
        </w:rPr>
        <w:t xml:space="preserve"> </w:t>
      </w:r>
      <w:r>
        <w:rPr>
          <w:sz w:val="12"/>
        </w:rPr>
        <w:t>mitad</w:t>
      </w:r>
      <w:r>
        <w:rPr>
          <w:spacing w:val="-2"/>
          <w:sz w:val="12"/>
        </w:rPr>
        <w:t xml:space="preserve"> </w:t>
      </w:r>
      <w:r>
        <w:rPr>
          <w:sz w:val="12"/>
        </w:rPr>
        <w:t>del</w:t>
      </w:r>
      <w:r>
        <w:rPr>
          <w:spacing w:val="-2"/>
          <w:sz w:val="12"/>
        </w:rPr>
        <w:t xml:space="preserve"> </w:t>
      </w:r>
      <w:r>
        <w:rPr>
          <w:sz w:val="12"/>
        </w:rPr>
        <w:t>personal</w:t>
      </w:r>
      <w:r>
        <w:rPr>
          <w:spacing w:val="-2"/>
          <w:sz w:val="12"/>
        </w:rPr>
        <w:t xml:space="preserve"> </w:t>
      </w:r>
      <w:r>
        <w:rPr>
          <w:sz w:val="12"/>
        </w:rPr>
        <w:t>hablaba</w:t>
      </w:r>
      <w:r>
        <w:rPr>
          <w:spacing w:val="-2"/>
          <w:sz w:val="12"/>
        </w:rPr>
        <w:t xml:space="preserve"> </w:t>
      </w:r>
      <w:r>
        <w:rPr>
          <w:sz w:val="12"/>
        </w:rPr>
        <w:t>turco.</w:t>
      </w:r>
      <w:r>
        <w:rPr>
          <w:spacing w:val="-1"/>
          <w:sz w:val="12"/>
        </w:rPr>
        <w:t xml:space="preserve"> </w:t>
      </w:r>
      <w:r>
        <w:rPr>
          <w:sz w:val="12"/>
        </w:rPr>
        <w:t>Cada</w:t>
      </w:r>
      <w:r>
        <w:rPr>
          <w:spacing w:val="-2"/>
          <w:sz w:val="12"/>
        </w:rPr>
        <w:t xml:space="preserve"> </w:t>
      </w:r>
      <w:r>
        <w:rPr>
          <w:sz w:val="12"/>
        </w:rPr>
        <w:t>clase/grupo</w:t>
      </w:r>
      <w:r>
        <w:rPr>
          <w:spacing w:val="-2"/>
          <w:sz w:val="12"/>
        </w:rPr>
        <w:t xml:space="preserve"> </w:t>
      </w:r>
      <w:r>
        <w:rPr>
          <w:sz w:val="12"/>
        </w:rPr>
        <w:t>incluía</w:t>
      </w:r>
      <w:r>
        <w:rPr>
          <w:spacing w:val="-2"/>
          <w:sz w:val="12"/>
        </w:rPr>
        <w:t xml:space="preserve"> </w:t>
      </w:r>
      <w:r>
        <w:rPr>
          <w:sz w:val="12"/>
        </w:rPr>
        <w:t>un</w:t>
      </w:r>
      <w:r>
        <w:rPr>
          <w:spacing w:val="-2"/>
          <w:sz w:val="12"/>
        </w:rPr>
        <w:t xml:space="preserve"> </w:t>
      </w:r>
      <w:r>
        <w:rPr>
          <w:sz w:val="12"/>
        </w:rPr>
        <w:t>miembro</w:t>
      </w:r>
      <w:r>
        <w:rPr>
          <w:spacing w:val="-2"/>
          <w:sz w:val="12"/>
        </w:rPr>
        <w:t xml:space="preserve"> </w:t>
      </w:r>
      <w:r>
        <w:rPr>
          <w:sz w:val="12"/>
        </w:rPr>
        <w:t>del</w:t>
      </w:r>
      <w:r>
        <w:rPr>
          <w:spacing w:val="-2"/>
          <w:sz w:val="12"/>
        </w:rPr>
        <w:t xml:space="preserve"> </w:t>
      </w:r>
      <w:r>
        <w:rPr>
          <w:sz w:val="12"/>
        </w:rPr>
        <w:t>personal</w:t>
      </w:r>
      <w:r>
        <w:rPr>
          <w:spacing w:val="-2"/>
          <w:sz w:val="12"/>
        </w:rPr>
        <w:t xml:space="preserve"> </w:t>
      </w:r>
      <w:r>
        <w:rPr>
          <w:sz w:val="12"/>
        </w:rPr>
        <w:t>de</w:t>
      </w:r>
      <w:r>
        <w:rPr>
          <w:spacing w:val="-2"/>
          <w:sz w:val="12"/>
        </w:rPr>
        <w:t xml:space="preserve"> </w:t>
      </w:r>
      <w:r>
        <w:rPr>
          <w:sz w:val="12"/>
        </w:rPr>
        <w:t>habla</w:t>
      </w:r>
      <w:r>
        <w:rPr>
          <w:spacing w:val="-2"/>
          <w:sz w:val="12"/>
        </w:rPr>
        <w:t xml:space="preserve"> </w:t>
      </w:r>
      <w:r>
        <w:rPr>
          <w:sz w:val="12"/>
        </w:rPr>
        <w:t>turca</w:t>
      </w:r>
      <w:r>
        <w:rPr>
          <w:spacing w:val="-2"/>
          <w:sz w:val="12"/>
        </w:rPr>
        <w:t xml:space="preserve"> </w:t>
      </w:r>
      <w:r>
        <w:rPr>
          <w:sz w:val="12"/>
        </w:rPr>
        <w:t>y</w:t>
      </w:r>
      <w:r>
        <w:rPr>
          <w:spacing w:val="-2"/>
          <w:sz w:val="12"/>
        </w:rPr>
        <w:t xml:space="preserve"> </w:t>
      </w:r>
      <w:r>
        <w:rPr>
          <w:sz w:val="12"/>
        </w:rPr>
        <w:t>otro</w:t>
      </w:r>
      <w:r>
        <w:rPr>
          <w:spacing w:val="-2"/>
          <w:sz w:val="12"/>
        </w:rPr>
        <w:t xml:space="preserve"> </w:t>
      </w:r>
      <w:r>
        <w:rPr>
          <w:sz w:val="12"/>
        </w:rPr>
        <w:t>de</w:t>
      </w:r>
      <w:r>
        <w:rPr>
          <w:spacing w:val="-2"/>
          <w:sz w:val="12"/>
        </w:rPr>
        <w:t xml:space="preserve"> </w:t>
      </w:r>
      <w:r>
        <w:rPr>
          <w:sz w:val="12"/>
        </w:rPr>
        <w:t>habla</w:t>
      </w:r>
      <w:r>
        <w:rPr>
          <w:spacing w:val="-2"/>
          <w:sz w:val="12"/>
        </w:rPr>
        <w:t xml:space="preserve"> </w:t>
      </w:r>
      <w:r>
        <w:rPr>
          <w:sz w:val="12"/>
        </w:rPr>
        <w:t>alemana.</w:t>
      </w:r>
      <w:r>
        <w:rPr>
          <w:spacing w:val="-1"/>
          <w:sz w:val="12"/>
        </w:rPr>
        <w:t xml:space="preserve"> </w:t>
      </w:r>
      <w:r>
        <w:rPr>
          <w:sz w:val="12"/>
        </w:rPr>
        <w:t>Según</w:t>
      </w:r>
      <w:r>
        <w:rPr>
          <w:spacing w:val="40"/>
          <w:sz w:val="12"/>
        </w:rPr>
        <w:t xml:space="preserve"> </w:t>
      </w:r>
      <w:r>
        <w:rPr>
          <w:sz w:val="12"/>
        </w:rPr>
        <w:t>se</w:t>
      </w:r>
      <w:r>
        <w:rPr>
          <w:spacing w:val="-3"/>
          <w:sz w:val="12"/>
        </w:rPr>
        <w:t xml:space="preserve"> </w:t>
      </w:r>
      <w:r>
        <w:rPr>
          <w:sz w:val="12"/>
        </w:rPr>
        <w:t>informa,</w:t>
      </w:r>
      <w:r>
        <w:rPr>
          <w:spacing w:val="-2"/>
          <w:sz w:val="12"/>
        </w:rPr>
        <w:t xml:space="preserve"> </w:t>
      </w:r>
      <w:r>
        <w:rPr>
          <w:sz w:val="12"/>
        </w:rPr>
        <w:t>el</w:t>
      </w:r>
      <w:r>
        <w:rPr>
          <w:spacing w:val="-3"/>
          <w:sz w:val="12"/>
        </w:rPr>
        <w:t xml:space="preserve"> </w:t>
      </w:r>
      <w:proofErr w:type="spellStart"/>
      <w:r>
        <w:rPr>
          <w:sz w:val="12"/>
        </w:rPr>
        <w:t>Komşu</w:t>
      </w:r>
      <w:proofErr w:type="spellEnd"/>
      <w:r>
        <w:rPr>
          <w:spacing w:val="-3"/>
          <w:sz w:val="12"/>
        </w:rPr>
        <w:t xml:space="preserve"> </w:t>
      </w:r>
      <w:r>
        <w:rPr>
          <w:sz w:val="12"/>
        </w:rPr>
        <w:t>era</w:t>
      </w:r>
      <w:r>
        <w:rPr>
          <w:spacing w:val="-3"/>
          <w:sz w:val="12"/>
        </w:rPr>
        <w:t xml:space="preserve"> </w:t>
      </w:r>
      <w:r>
        <w:rPr>
          <w:sz w:val="12"/>
        </w:rPr>
        <w:t>popular</w:t>
      </w:r>
      <w:r>
        <w:rPr>
          <w:spacing w:val="-3"/>
          <w:sz w:val="12"/>
        </w:rPr>
        <w:t xml:space="preserve"> </w:t>
      </w:r>
      <w:r>
        <w:rPr>
          <w:sz w:val="12"/>
        </w:rPr>
        <w:t>entre</w:t>
      </w:r>
      <w:r>
        <w:rPr>
          <w:spacing w:val="-3"/>
          <w:sz w:val="12"/>
        </w:rPr>
        <w:t xml:space="preserve"> </w:t>
      </w:r>
      <w:r>
        <w:rPr>
          <w:sz w:val="12"/>
        </w:rPr>
        <w:t>varios</w:t>
      </w:r>
      <w:r>
        <w:rPr>
          <w:spacing w:val="-3"/>
          <w:sz w:val="12"/>
        </w:rPr>
        <w:t xml:space="preserve"> </w:t>
      </w:r>
      <w:r>
        <w:rPr>
          <w:sz w:val="12"/>
        </w:rPr>
        <w:t>segmentos</w:t>
      </w:r>
      <w:r>
        <w:rPr>
          <w:spacing w:val="-3"/>
          <w:sz w:val="12"/>
        </w:rPr>
        <w:t xml:space="preserve"> </w:t>
      </w:r>
      <w:r>
        <w:rPr>
          <w:sz w:val="12"/>
        </w:rPr>
        <w:t>de</w:t>
      </w:r>
      <w:r>
        <w:rPr>
          <w:spacing w:val="-3"/>
          <w:sz w:val="12"/>
        </w:rPr>
        <w:t xml:space="preserve"> </w:t>
      </w:r>
      <w:r>
        <w:rPr>
          <w:sz w:val="12"/>
        </w:rPr>
        <w:t>la</w:t>
      </w:r>
      <w:r>
        <w:rPr>
          <w:spacing w:val="-3"/>
          <w:sz w:val="12"/>
        </w:rPr>
        <w:t xml:space="preserve"> </w:t>
      </w:r>
      <w:r>
        <w:rPr>
          <w:sz w:val="12"/>
        </w:rPr>
        <w:t>comunidad</w:t>
      </w:r>
      <w:r>
        <w:rPr>
          <w:spacing w:val="-3"/>
          <w:sz w:val="12"/>
        </w:rPr>
        <w:t xml:space="preserve"> </w:t>
      </w:r>
      <w:r>
        <w:rPr>
          <w:sz w:val="12"/>
        </w:rPr>
        <w:t>local</w:t>
      </w:r>
      <w:r>
        <w:rPr>
          <w:spacing w:val="-3"/>
          <w:sz w:val="12"/>
        </w:rPr>
        <w:t xml:space="preserve"> </w:t>
      </w:r>
      <w:r>
        <w:rPr>
          <w:sz w:val="12"/>
        </w:rPr>
        <w:t>y</w:t>
      </w:r>
      <w:r>
        <w:rPr>
          <w:spacing w:val="-3"/>
          <w:sz w:val="12"/>
        </w:rPr>
        <w:t xml:space="preserve"> </w:t>
      </w:r>
      <w:r>
        <w:rPr>
          <w:sz w:val="12"/>
        </w:rPr>
        <w:t>los</w:t>
      </w:r>
      <w:r>
        <w:rPr>
          <w:spacing w:val="-3"/>
          <w:sz w:val="12"/>
        </w:rPr>
        <w:t xml:space="preserve"> </w:t>
      </w:r>
      <w:r>
        <w:rPr>
          <w:sz w:val="12"/>
        </w:rPr>
        <w:t>lugares</w:t>
      </w:r>
      <w:r>
        <w:rPr>
          <w:spacing w:val="-3"/>
          <w:sz w:val="12"/>
        </w:rPr>
        <w:t xml:space="preserve"> </w:t>
      </w:r>
      <w:r>
        <w:rPr>
          <w:sz w:val="12"/>
        </w:rPr>
        <w:t>eran</w:t>
      </w:r>
      <w:r>
        <w:rPr>
          <w:spacing w:val="-3"/>
          <w:sz w:val="12"/>
        </w:rPr>
        <w:t xml:space="preserve"> </w:t>
      </w:r>
      <w:r>
        <w:rPr>
          <w:sz w:val="12"/>
        </w:rPr>
        <w:t>muy</w:t>
      </w:r>
      <w:r>
        <w:rPr>
          <w:spacing w:val="-3"/>
          <w:sz w:val="12"/>
        </w:rPr>
        <w:t xml:space="preserve"> </w:t>
      </w:r>
      <w:r>
        <w:rPr>
          <w:sz w:val="12"/>
        </w:rPr>
        <w:t>buscados.</w:t>
      </w:r>
      <w:r>
        <w:rPr>
          <w:spacing w:val="-2"/>
          <w:sz w:val="12"/>
        </w:rPr>
        <w:t xml:space="preserve"> </w:t>
      </w:r>
      <w:r>
        <w:rPr>
          <w:sz w:val="12"/>
        </w:rPr>
        <w:t>Véase</w:t>
      </w:r>
      <w:r>
        <w:rPr>
          <w:spacing w:val="-3"/>
          <w:sz w:val="12"/>
        </w:rPr>
        <w:t xml:space="preserve"> </w:t>
      </w:r>
      <w:r>
        <w:rPr>
          <w:sz w:val="12"/>
        </w:rPr>
        <w:t>Lucy</w:t>
      </w:r>
      <w:r>
        <w:rPr>
          <w:spacing w:val="-3"/>
          <w:sz w:val="12"/>
        </w:rPr>
        <w:t xml:space="preserve"> </w:t>
      </w:r>
      <w:proofErr w:type="spellStart"/>
      <w:r>
        <w:rPr>
          <w:sz w:val="12"/>
        </w:rPr>
        <w:t>Hottmann</w:t>
      </w:r>
      <w:proofErr w:type="spellEnd"/>
      <w:r>
        <w:rPr>
          <w:sz w:val="12"/>
        </w:rPr>
        <w:t>,</w:t>
      </w:r>
      <w:r>
        <w:rPr>
          <w:spacing w:val="-2"/>
          <w:sz w:val="12"/>
        </w:rPr>
        <w:t xml:space="preserve"> </w:t>
      </w:r>
      <w:r>
        <w:rPr>
          <w:sz w:val="12"/>
        </w:rPr>
        <w:t>“</w:t>
      </w:r>
      <w:proofErr w:type="spellStart"/>
      <w:r>
        <w:rPr>
          <w:sz w:val="12"/>
        </w:rPr>
        <w:t>Turkish</w:t>
      </w:r>
      <w:proofErr w:type="spellEnd"/>
      <w:r>
        <w:rPr>
          <w:spacing w:val="-3"/>
          <w:sz w:val="12"/>
        </w:rPr>
        <w:t xml:space="preserve"> </w:t>
      </w:r>
      <w:proofErr w:type="spellStart"/>
      <w:r>
        <w:rPr>
          <w:sz w:val="12"/>
        </w:rPr>
        <w:t>language</w:t>
      </w:r>
      <w:proofErr w:type="spellEnd"/>
      <w:r>
        <w:rPr>
          <w:spacing w:val="40"/>
          <w:sz w:val="12"/>
        </w:rPr>
        <w:t xml:space="preserve"> </w:t>
      </w:r>
      <w:proofErr w:type="spellStart"/>
      <w:r>
        <w:rPr>
          <w:sz w:val="12"/>
        </w:rPr>
        <w:t>provision</w:t>
      </w:r>
      <w:proofErr w:type="spellEnd"/>
      <w:r>
        <w:rPr>
          <w:sz w:val="12"/>
        </w:rPr>
        <w:t xml:space="preserve"> in </w:t>
      </w:r>
      <w:proofErr w:type="spellStart"/>
      <w:r>
        <w:rPr>
          <w:sz w:val="12"/>
        </w:rPr>
        <w:t>Berlin</w:t>
      </w:r>
      <w:proofErr w:type="spellEnd"/>
      <w:r>
        <w:rPr>
          <w:sz w:val="12"/>
        </w:rPr>
        <w:t>”, disertación presentada ante la Universidad de Manchester (inédita), 2008, p. 33.</w:t>
      </w:r>
    </w:p>
    <w:p w14:paraId="52C1F786" w14:textId="77777777" w:rsidR="0014798C" w:rsidRDefault="0014798C">
      <w:pPr>
        <w:pStyle w:val="Textoindependiente"/>
        <w:rPr>
          <w:sz w:val="18"/>
        </w:rPr>
      </w:pPr>
    </w:p>
    <w:p w14:paraId="7641BB93" w14:textId="77777777" w:rsidR="0014798C" w:rsidRDefault="0014798C">
      <w:pPr>
        <w:pStyle w:val="Textoindependiente"/>
        <w:rPr>
          <w:sz w:val="18"/>
        </w:rPr>
      </w:pPr>
    </w:p>
    <w:p w14:paraId="52C5E5D2" w14:textId="77777777" w:rsidR="0014798C" w:rsidRDefault="0014798C">
      <w:pPr>
        <w:pStyle w:val="Textoindependiente"/>
        <w:spacing w:before="169"/>
        <w:rPr>
          <w:sz w:val="18"/>
        </w:rPr>
      </w:pPr>
    </w:p>
    <w:p w14:paraId="0D0E8707" w14:textId="77777777" w:rsidR="0014798C" w:rsidRDefault="004E1F0B">
      <w:pPr>
        <w:ind w:left="476"/>
        <w:rPr>
          <w:sz w:val="18"/>
        </w:rPr>
      </w:pPr>
      <w:r>
        <w:rPr>
          <w:spacing w:val="-5"/>
          <w:sz w:val="18"/>
        </w:rPr>
        <w:t>156</w:t>
      </w:r>
    </w:p>
    <w:p w14:paraId="015ED3F0" w14:textId="77777777" w:rsidR="0014798C" w:rsidRDefault="0014798C">
      <w:pPr>
        <w:rPr>
          <w:sz w:val="18"/>
        </w:rPr>
        <w:sectPr w:rsidR="0014798C" w:rsidSect="00F265E4">
          <w:pgSz w:w="11900" w:h="16820"/>
          <w:pgMar w:top="340" w:right="0" w:bottom="280" w:left="200" w:header="121" w:footer="0" w:gutter="0"/>
          <w:cols w:space="720"/>
        </w:sectPr>
      </w:pPr>
    </w:p>
    <w:p w14:paraId="2DF5611A" w14:textId="77777777" w:rsidR="0014798C" w:rsidRDefault="0014798C">
      <w:pPr>
        <w:pStyle w:val="Textoindependiente"/>
        <w:rPr>
          <w:sz w:val="9"/>
        </w:rPr>
      </w:pPr>
    </w:p>
    <w:p w14:paraId="399ADDCA" w14:textId="77777777" w:rsidR="0014798C" w:rsidRDefault="0014798C">
      <w:pPr>
        <w:pStyle w:val="Textoindependiente"/>
        <w:spacing w:before="31"/>
        <w:rPr>
          <w:sz w:val="9"/>
        </w:rPr>
      </w:pPr>
    </w:p>
    <w:p w14:paraId="053B6E55" w14:textId="77777777" w:rsidR="0014798C" w:rsidRDefault="004E1F0B">
      <w:pPr>
        <w:ind w:left="1111"/>
        <w:rPr>
          <w:sz w:val="9"/>
        </w:rPr>
      </w:pPr>
      <w:r>
        <w:rPr>
          <w:color w:val="803108"/>
          <w:w w:val="105"/>
          <w:sz w:val="9"/>
        </w:rPr>
        <w:t>PARTE</w:t>
      </w:r>
      <w:r>
        <w:rPr>
          <w:color w:val="803108"/>
          <w:spacing w:val="1"/>
          <w:w w:val="105"/>
          <w:sz w:val="9"/>
        </w:rPr>
        <w:t xml:space="preserve"> </w:t>
      </w:r>
      <w:r>
        <w:rPr>
          <w:color w:val="803108"/>
          <w:w w:val="105"/>
          <w:sz w:val="9"/>
        </w:rPr>
        <w:t>TRES:</w:t>
      </w:r>
      <w:r>
        <w:rPr>
          <w:color w:val="803108"/>
          <w:spacing w:val="2"/>
          <w:w w:val="105"/>
          <w:sz w:val="9"/>
        </w:rPr>
        <w:t xml:space="preserve"> </w:t>
      </w:r>
      <w:r>
        <w:rPr>
          <w:color w:val="803108"/>
          <w:w w:val="105"/>
          <w:sz w:val="9"/>
        </w:rPr>
        <w:t>PROTECCIÓN</w:t>
      </w:r>
      <w:r>
        <w:rPr>
          <w:color w:val="803108"/>
          <w:spacing w:val="2"/>
          <w:w w:val="105"/>
          <w:sz w:val="9"/>
        </w:rPr>
        <w:t xml:space="preserve"> </w:t>
      </w:r>
      <w:r>
        <w:rPr>
          <w:color w:val="803108"/>
          <w:w w:val="105"/>
          <w:sz w:val="9"/>
        </w:rPr>
        <w:t>DE</w:t>
      </w:r>
      <w:r>
        <w:rPr>
          <w:color w:val="803108"/>
          <w:spacing w:val="1"/>
          <w:w w:val="105"/>
          <w:sz w:val="9"/>
        </w:rPr>
        <w:t xml:space="preserve"> </w:t>
      </w:r>
      <w:r>
        <w:rPr>
          <w:color w:val="803108"/>
          <w:w w:val="105"/>
          <w:sz w:val="9"/>
        </w:rPr>
        <w:t>LOS</w:t>
      </w:r>
      <w:r>
        <w:rPr>
          <w:color w:val="803108"/>
          <w:spacing w:val="2"/>
          <w:w w:val="105"/>
          <w:sz w:val="9"/>
        </w:rPr>
        <w:t xml:space="preserve"> </w:t>
      </w:r>
      <w:r>
        <w:rPr>
          <w:color w:val="803108"/>
          <w:w w:val="105"/>
          <w:sz w:val="9"/>
        </w:rPr>
        <w:t>DERECHOS</w:t>
      </w:r>
      <w:r>
        <w:rPr>
          <w:color w:val="803108"/>
          <w:spacing w:val="3"/>
          <w:w w:val="105"/>
          <w:sz w:val="9"/>
        </w:rPr>
        <w:t xml:space="preserve"> </w:t>
      </w:r>
      <w:r>
        <w:rPr>
          <w:color w:val="803108"/>
          <w:w w:val="105"/>
          <w:sz w:val="9"/>
        </w:rPr>
        <w:t>DE</w:t>
      </w:r>
      <w:r>
        <w:rPr>
          <w:color w:val="803108"/>
          <w:spacing w:val="1"/>
          <w:w w:val="105"/>
          <w:sz w:val="9"/>
        </w:rPr>
        <w:t xml:space="preserve"> </w:t>
      </w:r>
      <w:r>
        <w:rPr>
          <w:color w:val="803108"/>
          <w:w w:val="105"/>
          <w:sz w:val="9"/>
        </w:rPr>
        <w:t>LAS</w:t>
      </w:r>
      <w:r>
        <w:rPr>
          <w:color w:val="803108"/>
          <w:spacing w:val="2"/>
          <w:w w:val="105"/>
          <w:sz w:val="9"/>
        </w:rPr>
        <w:t xml:space="preserve"> </w:t>
      </w:r>
      <w:r>
        <w:rPr>
          <w:color w:val="803108"/>
          <w:spacing w:val="-2"/>
          <w:w w:val="105"/>
          <w:sz w:val="9"/>
        </w:rPr>
        <w:t>MINORÍAS</w:t>
      </w:r>
    </w:p>
    <w:p w14:paraId="540469E0" w14:textId="77777777" w:rsidR="0014798C" w:rsidRDefault="0014798C">
      <w:pPr>
        <w:pStyle w:val="Textoindependiente"/>
      </w:pPr>
    </w:p>
    <w:p w14:paraId="485E9CA7" w14:textId="77777777" w:rsidR="0014798C" w:rsidRDefault="0014798C">
      <w:pPr>
        <w:pStyle w:val="Textoindependiente"/>
      </w:pPr>
    </w:p>
    <w:p w14:paraId="70AC8A2E" w14:textId="77777777" w:rsidR="0014798C" w:rsidRDefault="0014798C">
      <w:pPr>
        <w:pStyle w:val="Textoindependiente"/>
      </w:pPr>
    </w:p>
    <w:p w14:paraId="263E0CE9" w14:textId="77777777" w:rsidR="0014798C" w:rsidRDefault="0014798C">
      <w:pPr>
        <w:pStyle w:val="Textoindependiente"/>
      </w:pPr>
    </w:p>
    <w:p w14:paraId="35820669" w14:textId="77777777" w:rsidR="0014798C" w:rsidRDefault="0014798C">
      <w:pPr>
        <w:pStyle w:val="Textoindependiente"/>
        <w:spacing w:before="71"/>
      </w:pPr>
    </w:p>
    <w:p w14:paraId="583CB3B9" w14:textId="77777777" w:rsidR="0014798C" w:rsidRDefault="004E1F0B">
      <w:pPr>
        <w:pStyle w:val="Textoindependiente"/>
        <w:spacing w:line="326" w:lineRule="auto"/>
        <w:ind w:left="1899" w:right="1781" w:firstLine="6"/>
      </w:pPr>
      <w:r>
        <w:rPr>
          <w:noProof/>
        </w:rPr>
        <w:drawing>
          <wp:anchor distT="0" distB="0" distL="0" distR="0" simplePos="0" relativeHeight="251658472" behindDoc="1" locked="0" layoutInCell="1" allowOverlap="1" wp14:anchorId="3061BF36" wp14:editId="30F14420">
            <wp:simplePos x="0" y="0"/>
            <wp:positionH relativeFrom="page">
              <wp:posOffset>813154</wp:posOffset>
            </wp:positionH>
            <wp:positionV relativeFrom="paragraph">
              <wp:posOffset>-138811</wp:posOffset>
            </wp:positionV>
            <wp:extent cx="6743345" cy="8411556"/>
            <wp:effectExtent l="0" t="0" r="0" b="0"/>
            <wp:wrapNone/>
            <wp:docPr id="319" name="Image 31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19" name="Image 319"/>
                    <pic:cNvPicPr/>
                  </pic:nvPicPr>
                  <pic:blipFill>
                    <a:blip r:embed="rId299" cstate="print"/>
                    <a:stretch>
                      <a:fillRect/>
                    </a:stretch>
                  </pic:blipFill>
                  <pic:spPr>
                    <a:xfrm>
                      <a:off x="0" y="0"/>
                      <a:ext cx="6743345" cy="8411556"/>
                    </a:xfrm>
                    <a:prstGeom prst="rect">
                      <a:avLst/>
                    </a:prstGeom>
                  </pic:spPr>
                </pic:pic>
              </a:graphicData>
            </a:graphic>
          </wp:anchor>
        </w:drawing>
      </w:r>
      <w:r>
        <w:t>También</w:t>
      </w:r>
      <w:r>
        <w:rPr>
          <w:spacing w:val="-4"/>
        </w:rPr>
        <w:t xml:space="preserve"> </w:t>
      </w:r>
      <w:r>
        <w:t>serán</w:t>
      </w:r>
      <w:r>
        <w:rPr>
          <w:spacing w:val="-4"/>
        </w:rPr>
        <w:t xml:space="preserve"> </w:t>
      </w:r>
      <w:r>
        <w:t>contratados</w:t>
      </w:r>
      <w:r>
        <w:rPr>
          <w:spacing w:val="-4"/>
        </w:rPr>
        <w:t xml:space="preserve"> </w:t>
      </w:r>
      <w:r>
        <w:t>temporalmente</w:t>
      </w:r>
      <w:r>
        <w:rPr>
          <w:spacing w:val="-4"/>
        </w:rPr>
        <w:t xml:space="preserve"> </w:t>
      </w:r>
      <w:r>
        <w:t>para</w:t>
      </w:r>
      <w:r>
        <w:rPr>
          <w:spacing w:val="-4"/>
        </w:rPr>
        <w:t xml:space="preserve"> </w:t>
      </w:r>
      <w:r>
        <w:t>enseñar</w:t>
      </w:r>
      <w:r>
        <w:rPr>
          <w:spacing w:val="-4"/>
        </w:rPr>
        <w:t xml:space="preserve"> </w:t>
      </w:r>
      <w:r>
        <w:t>en</w:t>
      </w:r>
      <w:r>
        <w:rPr>
          <w:spacing w:val="-4"/>
        </w:rPr>
        <w:t xml:space="preserve"> </w:t>
      </w:r>
      <w:r>
        <w:t>las</w:t>
      </w:r>
      <w:r>
        <w:rPr>
          <w:spacing w:val="-4"/>
        </w:rPr>
        <w:t xml:space="preserve"> </w:t>
      </w:r>
      <w:r>
        <w:t>escuelas.</w:t>
      </w:r>
      <w:r>
        <w:rPr>
          <w:spacing w:val="-3"/>
        </w:rPr>
        <w:t xml:space="preserve"> </w:t>
      </w:r>
      <w:r>
        <w:t>Las</w:t>
      </w:r>
      <w:r>
        <w:rPr>
          <w:spacing w:val="-4"/>
        </w:rPr>
        <w:t xml:space="preserve"> </w:t>
      </w:r>
      <w:r>
        <w:t>personas</w:t>
      </w:r>
      <w:r>
        <w:rPr>
          <w:spacing w:val="-4"/>
        </w:rPr>
        <w:t xml:space="preserve"> </w:t>
      </w:r>
      <w:r>
        <w:t>pertenecientes</w:t>
      </w:r>
      <w:r>
        <w:rPr>
          <w:spacing w:val="-4"/>
        </w:rPr>
        <w:t xml:space="preserve"> </w:t>
      </w:r>
      <w:r>
        <w:t>a</w:t>
      </w:r>
      <w:r>
        <w:rPr>
          <w:spacing w:val="-4"/>
        </w:rPr>
        <w:t xml:space="preserve"> </w:t>
      </w:r>
      <w:r>
        <w:t>las</w:t>
      </w:r>
      <w:r>
        <w:rPr>
          <w:spacing w:val="-4"/>
        </w:rPr>
        <w:t xml:space="preserve"> </w:t>
      </w:r>
      <w:r>
        <w:t>dos minorías nacionales y que viven fuera de las zonas autónomas tienen derecho a la enseñanza de idiomas como actividad</w:t>
      </w:r>
      <w:r>
        <w:rPr>
          <w:spacing w:val="-1"/>
        </w:rPr>
        <w:t xml:space="preserve"> </w:t>
      </w:r>
      <w:r>
        <w:t>extracurricular</w:t>
      </w:r>
      <w:r>
        <w:rPr>
          <w:spacing w:val="-1"/>
        </w:rPr>
        <w:t xml:space="preserve"> </w:t>
      </w:r>
      <w:r>
        <w:t>cuando</w:t>
      </w:r>
      <w:r>
        <w:rPr>
          <w:spacing w:val="-1"/>
        </w:rPr>
        <w:t xml:space="preserve"> </w:t>
      </w:r>
      <w:r>
        <w:t>se</w:t>
      </w:r>
      <w:r>
        <w:rPr>
          <w:spacing w:val="-1"/>
        </w:rPr>
        <w:t xml:space="preserve"> </w:t>
      </w:r>
      <w:r>
        <w:t>alcanza</w:t>
      </w:r>
      <w:r>
        <w:rPr>
          <w:spacing w:val="-1"/>
        </w:rPr>
        <w:t xml:space="preserve"> </w:t>
      </w:r>
      <w:r>
        <w:t>el</w:t>
      </w:r>
      <w:r>
        <w:rPr>
          <w:spacing w:val="-1"/>
        </w:rPr>
        <w:t xml:space="preserve"> </w:t>
      </w:r>
      <w:r>
        <w:t>umbral</w:t>
      </w:r>
      <w:r>
        <w:rPr>
          <w:spacing w:val="-1"/>
        </w:rPr>
        <w:t xml:space="preserve"> </w:t>
      </w:r>
      <w:r>
        <w:t>mínimo</w:t>
      </w:r>
      <w:r>
        <w:rPr>
          <w:spacing w:val="-1"/>
        </w:rPr>
        <w:t xml:space="preserve"> </w:t>
      </w:r>
      <w:r>
        <w:t>de</w:t>
      </w:r>
      <w:r>
        <w:rPr>
          <w:spacing w:val="-1"/>
        </w:rPr>
        <w:t xml:space="preserve"> </w:t>
      </w:r>
      <w:r>
        <w:t>cinco</w:t>
      </w:r>
      <w:r>
        <w:rPr>
          <w:spacing w:val="-1"/>
        </w:rPr>
        <w:t xml:space="preserve"> </w:t>
      </w:r>
      <w:r>
        <w:t>estudiantes. Si</w:t>
      </w:r>
      <w:r>
        <w:rPr>
          <w:spacing w:val="-1"/>
        </w:rPr>
        <w:t xml:space="preserve"> </w:t>
      </w:r>
      <w:r>
        <w:t>bien, según</w:t>
      </w:r>
      <w:r>
        <w:rPr>
          <w:spacing w:val="-1"/>
        </w:rPr>
        <w:t xml:space="preserve"> </w:t>
      </w:r>
      <w:r>
        <w:t>la</w:t>
      </w:r>
      <w:r>
        <w:rPr>
          <w:spacing w:val="-1"/>
        </w:rPr>
        <w:t xml:space="preserve"> </w:t>
      </w:r>
      <w:r>
        <w:t xml:space="preserve">información proporcionada por la Oficina de Minorías Nacionales, en 2016 no se organizó ninguna clase de este tipo, se enseñó italiano como lengua extranjera fuera de la zona étnicamente mixta a aproximadamente 1 000 alumnos de primaria y 5 200 estudiantes de secundaria </w:t>
      </w:r>
      <w:proofErr w:type="gramStart"/>
      <w:r>
        <w:t>superior .</w:t>
      </w:r>
      <w:proofErr w:type="gramEnd"/>
      <w:r>
        <w:t xml:space="preserve"> El gobierno consideró que a estas clases también asistían miembros de la comunidad italiana.</w:t>
      </w:r>
    </w:p>
    <w:p w14:paraId="2BC7A849" w14:textId="77777777" w:rsidR="0014798C" w:rsidRDefault="004E1F0B">
      <w:pPr>
        <w:pStyle w:val="Prrafodelista"/>
        <w:numPr>
          <w:ilvl w:val="0"/>
          <w:numId w:val="14"/>
        </w:numPr>
        <w:tabs>
          <w:tab w:val="left" w:pos="1772"/>
          <w:tab w:val="left" w:pos="1896"/>
        </w:tabs>
        <w:spacing w:before="110" w:line="326" w:lineRule="auto"/>
        <w:ind w:right="1700" w:hanging="387"/>
        <w:rPr>
          <w:sz w:val="16"/>
        </w:rPr>
      </w:pPr>
      <w:r>
        <w:rPr>
          <w:sz w:val="16"/>
        </w:rPr>
        <w:t>El romaní se enseña en el marco de la "cultura romaní" como materia optativa en los grados séptimo a noveno de</w:t>
      </w:r>
      <w:r>
        <w:rPr>
          <w:spacing w:val="40"/>
          <w:sz w:val="16"/>
        </w:rPr>
        <w:t xml:space="preserve"> </w:t>
      </w:r>
      <w:r>
        <w:rPr>
          <w:sz w:val="16"/>
        </w:rPr>
        <w:t>la educación primaria, pero se ofrece en un número limitado de escuelas debido a la falta de docentes calificados y, al parecer, a una falta de interés de los niños romaníes, así como a través de actividades extraescolares, talleres y seminarios. También se organizan clases de romaní en los jardines de infancia de los asentamientos romaníes. La enseñanza está a cargo de asistentes romaníes, cuyas calificaciones están mejorando progresivamente</w:t>
      </w:r>
      <w:r>
        <w:rPr>
          <w:spacing w:val="-4"/>
          <w:sz w:val="16"/>
        </w:rPr>
        <w:t xml:space="preserve"> </w:t>
      </w:r>
      <w:r>
        <w:rPr>
          <w:sz w:val="16"/>
        </w:rPr>
        <w:t>hasta</w:t>
      </w:r>
      <w:r>
        <w:rPr>
          <w:spacing w:val="-4"/>
          <w:sz w:val="16"/>
        </w:rPr>
        <w:t xml:space="preserve"> </w:t>
      </w:r>
      <w:r>
        <w:rPr>
          <w:sz w:val="16"/>
        </w:rPr>
        <w:t>alcanzar</w:t>
      </w:r>
      <w:r>
        <w:rPr>
          <w:spacing w:val="-4"/>
          <w:sz w:val="16"/>
        </w:rPr>
        <w:t xml:space="preserve"> </w:t>
      </w:r>
      <w:r>
        <w:rPr>
          <w:sz w:val="16"/>
        </w:rPr>
        <w:t>el</w:t>
      </w:r>
      <w:r>
        <w:rPr>
          <w:spacing w:val="-4"/>
          <w:sz w:val="16"/>
        </w:rPr>
        <w:t xml:space="preserve"> </w:t>
      </w:r>
      <w:r>
        <w:rPr>
          <w:sz w:val="16"/>
        </w:rPr>
        <w:t>nivel</w:t>
      </w:r>
      <w:r>
        <w:rPr>
          <w:spacing w:val="-4"/>
          <w:sz w:val="16"/>
        </w:rPr>
        <w:t xml:space="preserve"> </w:t>
      </w:r>
      <w:r>
        <w:rPr>
          <w:sz w:val="16"/>
        </w:rPr>
        <w:t>requerido</w:t>
      </w:r>
      <w:r>
        <w:rPr>
          <w:spacing w:val="-4"/>
          <w:sz w:val="16"/>
        </w:rPr>
        <w:t xml:space="preserve"> </w:t>
      </w:r>
      <w:r>
        <w:rPr>
          <w:sz w:val="16"/>
        </w:rPr>
        <w:t>para</w:t>
      </w:r>
      <w:r>
        <w:rPr>
          <w:spacing w:val="-4"/>
          <w:sz w:val="16"/>
        </w:rPr>
        <w:t xml:space="preserve"> </w:t>
      </w:r>
      <w:r>
        <w:rPr>
          <w:sz w:val="16"/>
        </w:rPr>
        <w:t>la</w:t>
      </w:r>
      <w:r>
        <w:rPr>
          <w:spacing w:val="-4"/>
          <w:sz w:val="16"/>
        </w:rPr>
        <w:t xml:space="preserve"> </w:t>
      </w:r>
      <w:r>
        <w:rPr>
          <w:sz w:val="16"/>
        </w:rPr>
        <w:t>enseñanza.</w:t>
      </w:r>
      <w:r>
        <w:rPr>
          <w:spacing w:val="-3"/>
          <w:sz w:val="16"/>
        </w:rPr>
        <w:t xml:space="preserve"> </w:t>
      </w:r>
      <w:r>
        <w:rPr>
          <w:sz w:val="16"/>
        </w:rPr>
        <w:t>Sin</w:t>
      </w:r>
      <w:r>
        <w:rPr>
          <w:spacing w:val="-4"/>
          <w:sz w:val="16"/>
        </w:rPr>
        <w:t xml:space="preserve"> </w:t>
      </w:r>
      <w:r>
        <w:rPr>
          <w:sz w:val="16"/>
        </w:rPr>
        <w:t>embargo,</w:t>
      </w:r>
      <w:r>
        <w:rPr>
          <w:spacing w:val="-3"/>
          <w:sz w:val="16"/>
        </w:rPr>
        <w:t xml:space="preserve"> </w:t>
      </w:r>
      <w:r>
        <w:rPr>
          <w:sz w:val="16"/>
        </w:rPr>
        <w:t>el</w:t>
      </w:r>
      <w:r>
        <w:rPr>
          <w:spacing w:val="-4"/>
          <w:sz w:val="16"/>
        </w:rPr>
        <w:t xml:space="preserve"> </w:t>
      </w:r>
      <w:r>
        <w:rPr>
          <w:sz w:val="16"/>
        </w:rPr>
        <w:t>Comité</w:t>
      </w:r>
      <w:r>
        <w:rPr>
          <w:spacing w:val="-4"/>
          <w:sz w:val="16"/>
        </w:rPr>
        <w:t xml:space="preserve"> </w:t>
      </w:r>
      <w:r>
        <w:rPr>
          <w:sz w:val="16"/>
        </w:rPr>
        <w:t>Consultivo</w:t>
      </w:r>
      <w:r>
        <w:rPr>
          <w:spacing w:val="-4"/>
          <w:sz w:val="16"/>
        </w:rPr>
        <w:t xml:space="preserve"> </w:t>
      </w:r>
      <w:r>
        <w:rPr>
          <w:sz w:val="16"/>
        </w:rPr>
        <w:t>entiende que el proceso de enseñanza del romaní también se ve ralentizado por la actual normalización del idioma.</w:t>
      </w:r>
    </w:p>
    <w:p w14:paraId="258FB776" w14:textId="77777777" w:rsidR="0014798C" w:rsidRDefault="004E1F0B">
      <w:pPr>
        <w:pStyle w:val="Textoindependiente"/>
        <w:spacing w:line="326" w:lineRule="auto"/>
        <w:ind w:left="1901" w:right="1840" w:hanging="5"/>
      </w:pPr>
      <w:r>
        <w:rPr>
          <w:noProof/>
        </w:rPr>
        <mc:AlternateContent>
          <mc:Choice Requires="wps">
            <w:drawing>
              <wp:anchor distT="0" distB="0" distL="0" distR="0" simplePos="0" relativeHeight="251658321" behindDoc="0" locked="0" layoutInCell="1" allowOverlap="1" wp14:anchorId="32CF3A5F" wp14:editId="52FF1192">
                <wp:simplePos x="0" y="0"/>
                <wp:positionH relativeFrom="page">
                  <wp:posOffset>7293418</wp:posOffset>
                </wp:positionH>
                <wp:positionV relativeFrom="paragraph">
                  <wp:posOffset>473463</wp:posOffset>
                </wp:positionV>
                <wp:extent cx="104775" cy="260985"/>
                <wp:effectExtent l="0" t="0" r="0" b="0"/>
                <wp:wrapNone/>
                <wp:docPr id="320" name="Textbox 32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04775" cy="260985"/>
                        </a:xfrm>
                        <a:prstGeom prst="rect">
                          <a:avLst/>
                        </a:prstGeom>
                      </wps:spPr>
                      <wps:txbx>
                        <w:txbxContent>
                          <w:p w14:paraId="437FE940" w14:textId="77777777" w:rsidR="0014798C" w:rsidRDefault="004E1F0B">
                            <w:pPr>
                              <w:spacing w:before="17"/>
                              <w:ind w:left="20"/>
                              <w:rPr>
                                <w:sz w:val="11"/>
                              </w:rPr>
                            </w:pPr>
                            <w:r>
                              <w:rPr>
                                <w:color w:val="FFFFFF"/>
                                <w:spacing w:val="-33"/>
                                <w:sz w:val="11"/>
                              </w:rPr>
                              <w:t>TPRAERSTE</w:t>
                            </w:r>
                          </w:p>
                        </w:txbxContent>
                      </wps:txbx>
                      <wps:bodyPr vert="vert270" wrap="square" lIns="0" tIns="0" rIns="0" bIns="0" rtlCol="0">
                        <a:noAutofit/>
                      </wps:bodyPr>
                    </wps:wsp>
                  </a:graphicData>
                </a:graphic>
              </wp:anchor>
            </w:drawing>
          </mc:Choice>
          <mc:Fallback>
            <w:pict>
              <v:shape w14:anchorId="32CF3A5F" id="Textbox 320" o:spid="_x0000_s1157" type="#_x0000_t202" style="position:absolute;left:0;text-align:left;margin-left:574.3pt;margin-top:37.3pt;width:8.25pt;height:20.55pt;z-index:251658321;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" filled="f" stroked="f">
                <v:textbox style="layout-flow:vertical;mso-layout-flow-alt:bottom-to-top" inset="0,0,0,0">
                  <w:txbxContent>
                    <w:p w14:paraId="437FE940" w14:textId="77777777" w:rsidR="0014798C" w:rsidRDefault="004E1F0B">
                      <w:pPr>
                        <w:spacing w:before="17"/>
                        <w:ind w:left="20"/>
                        <w:rPr>
                          <w:sz w:val="11"/>
                        </w:rPr>
                      </w:pPr>
                      <w:r>
                        <w:rPr>
                          <w:color w:val="FFFFFF"/>
                          <w:spacing w:val="-33"/>
                          <w:sz w:val="11"/>
                        </w:rPr>
                        <w:t>TPRAERSTE</w:t>
                      </w:r>
                    </w:p>
                  </w:txbxContent>
                </v:textbox>
                <w10:wrap anchorx="page"/>
              </v:shape>
            </w:pict>
          </mc:Fallback>
        </mc:AlternateContent>
      </w:r>
      <w:r>
        <w:t>Mientras que las autoridades hacen referencia públicamente a tres idiomas, el Comité Consultivo entiende que se</w:t>
      </w:r>
      <w:r>
        <w:rPr>
          <w:spacing w:val="-9"/>
        </w:rPr>
        <w:t xml:space="preserve"> </w:t>
      </w:r>
      <w:r>
        <w:t>utilizan</w:t>
      </w:r>
      <w:r>
        <w:rPr>
          <w:spacing w:val="-9"/>
        </w:rPr>
        <w:t xml:space="preserve"> </w:t>
      </w:r>
      <w:r>
        <w:t>varias</w:t>
      </w:r>
      <w:r>
        <w:rPr>
          <w:spacing w:val="-9"/>
        </w:rPr>
        <w:t xml:space="preserve"> </w:t>
      </w:r>
      <w:r>
        <w:t>variedades</w:t>
      </w:r>
      <w:r>
        <w:rPr>
          <w:spacing w:val="-9"/>
        </w:rPr>
        <w:t xml:space="preserve"> </w:t>
      </w:r>
      <w:r>
        <w:t>del</w:t>
      </w:r>
      <w:r>
        <w:rPr>
          <w:spacing w:val="-9"/>
        </w:rPr>
        <w:t xml:space="preserve"> </w:t>
      </w:r>
      <w:r>
        <w:t>idioma</w:t>
      </w:r>
      <w:r>
        <w:rPr>
          <w:spacing w:val="-9"/>
        </w:rPr>
        <w:t xml:space="preserve"> </w:t>
      </w:r>
      <w:r>
        <w:t>romaní;</w:t>
      </w:r>
      <w:r>
        <w:rPr>
          <w:spacing w:val="-8"/>
        </w:rPr>
        <w:t xml:space="preserve"> </w:t>
      </w:r>
      <w:r>
        <w:t>Aún</w:t>
      </w:r>
      <w:r>
        <w:rPr>
          <w:spacing w:val="-9"/>
        </w:rPr>
        <w:t xml:space="preserve"> </w:t>
      </w:r>
      <w:r>
        <w:t>no</w:t>
      </w:r>
      <w:r>
        <w:rPr>
          <w:spacing w:val="-9"/>
        </w:rPr>
        <w:t xml:space="preserve"> </w:t>
      </w:r>
      <w:r>
        <w:t>está</w:t>
      </w:r>
      <w:r>
        <w:rPr>
          <w:spacing w:val="-9"/>
        </w:rPr>
        <w:t xml:space="preserve"> </w:t>
      </w:r>
      <w:r>
        <w:t>claro</w:t>
      </w:r>
      <w:r>
        <w:rPr>
          <w:spacing w:val="-9"/>
        </w:rPr>
        <w:t xml:space="preserve"> </w:t>
      </w:r>
      <w:r>
        <w:t>qué</w:t>
      </w:r>
      <w:r>
        <w:rPr>
          <w:spacing w:val="-9"/>
        </w:rPr>
        <w:t xml:space="preserve"> </w:t>
      </w:r>
      <w:r>
        <w:t>avances</w:t>
      </w:r>
      <w:r>
        <w:rPr>
          <w:spacing w:val="-9"/>
        </w:rPr>
        <w:t xml:space="preserve"> </w:t>
      </w:r>
      <w:r>
        <w:t>se</w:t>
      </w:r>
      <w:r>
        <w:rPr>
          <w:spacing w:val="-9"/>
        </w:rPr>
        <w:t xml:space="preserve"> </w:t>
      </w:r>
      <w:r>
        <w:t>han</w:t>
      </w:r>
      <w:r>
        <w:rPr>
          <w:spacing w:val="-9"/>
        </w:rPr>
        <w:t xml:space="preserve"> </w:t>
      </w:r>
      <w:r>
        <w:t>logrado</w:t>
      </w:r>
      <w:r>
        <w:rPr>
          <w:spacing w:val="-9"/>
        </w:rPr>
        <w:t xml:space="preserve"> </w:t>
      </w:r>
      <w:r>
        <w:t>en</w:t>
      </w:r>
      <w:r>
        <w:rPr>
          <w:spacing w:val="-9"/>
        </w:rPr>
        <w:t xml:space="preserve"> </w:t>
      </w:r>
      <w:r>
        <w:t>el</w:t>
      </w:r>
      <w:r>
        <w:rPr>
          <w:spacing w:val="-9"/>
        </w:rPr>
        <w:t xml:space="preserve"> </w:t>
      </w:r>
      <w:r>
        <w:t>proceso</w:t>
      </w:r>
      <w:r>
        <w:rPr>
          <w:spacing w:val="-9"/>
        </w:rPr>
        <w:t xml:space="preserve"> </w:t>
      </w:r>
      <w:r>
        <w:t>de normalización y si ese compromiso ha sido aceptado por los romaníes. Sin embargo, un avance positivo es la publicación de folletos del Defensor del Pueblo en diferentes idiomas romaníes.</w:t>
      </w:r>
    </w:p>
    <w:p w14:paraId="157DF386" w14:textId="77777777" w:rsidR="0014798C" w:rsidRDefault="0014798C">
      <w:pPr>
        <w:pStyle w:val="Textoindependiente"/>
        <w:spacing w:before="173"/>
      </w:pPr>
    </w:p>
    <w:p w14:paraId="1BF4245D" w14:textId="77777777" w:rsidR="0014798C" w:rsidRDefault="004E1F0B">
      <w:pPr>
        <w:pStyle w:val="Prrafodelista"/>
        <w:numPr>
          <w:ilvl w:val="0"/>
          <w:numId w:val="14"/>
        </w:numPr>
        <w:tabs>
          <w:tab w:val="left" w:pos="1772"/>
          <w:tab w:val="left" w:pos="1900"/>
        </w:tabs>
        <w:spacing w:line="326" w:lineRule="auto"/>
        <w:ind w:left="1900" w:right="1664" w:hanging="391"/>
        <w:rPr>
          <w:sz w:val="16"/>
        </w:rPr>
      </w:pPr>
      <w:r>
        <w:rPr>
          <w:sz w:val="16"/>
        </w:rPr>
        <w:t>Por</w:t>
      </w:r>
      <w:r>
        <w:rPr>
          <w:spacing w:val="-3"/>
          <w:sz w:val="16"/>
        </w:rPr>
        <w:t xml:space="preserve"> </w:t>
      </w:r>
      <w:r>
        <w:rPr>
          <w:sz w:val="16"/>
        </w:rPr>
        <w:t>último,</w:t>
      </w:r>
      <w:r>
        <w:rPr>
          <w:spacing w:val="-2"/>
          <w:sz w:val="16"/>
        </w:rPr>
        <w:t xml:space="preserve"> </w:t>
      </w:r>
      <w:r>
        <w:rPr>
          <w:sz w:val="16"/>
        </w:rPr>
        <w:t>el</w:t>
      </w:r>
      <w:r>
        <w:rPr>
          <w:spacing w:val="-3"/>
          <w:sz w:val="16"/>
        </w:rPr>
        <w:t xml:space="preserve"> </w:t>
      </w:r>
      <w:r>
        <w:rPr>
          <w:sz w:val="16"/>
        </w:rPr>
        <w:t>Comité</w:t>
      </w:r>
      <w:r>
        <w:rPr>
          <w:spacing w:val="-3"/>
          <w:sz w:val="16"/>
        </w:rPr>
        <w:t xml:space="preserve"> </w:t>
      </w:r>
      <w:r>
        <w:rPr>
          <w:sz w:val="16"/>
        </w:rPr>
        <w:t>Asesor</w:t>
      </w:r>
      <w:r>
        <w:rPr>
          <w:spacing w:val="-3"/>
          <w:sz w:val="16"/>
        </w:rPr>
        <w:t xml:space="preserve"> </w:t>
      </w:r>
      <w:r>
        <w:rPr>
          <w:sz w:val="16"/>
        </w:rPr>
        <w:t>acoge</w:t>
      </w:r>
      <w:r>
        <w:rPr>
          <w:spacing w:val="-3"/>
          <w:sz w:val="16"/>
        </w:rPr>
        <w:t xml:space="preserve"> </w:t>
      </w:r>
      <w:r>
        <w:rPr>
          <w:sz w:val="16"/>
        </w:rPr>
        <w:t>con</w:t>
      </w:r>
      <w:r>
        <w:rPr>
          <w:spacing w:val="-3"/>
          <w:sz w:val="16"/>
        </w:rPr>
        <w:t xml:space="preserve"> </w:t>
      </w:r>
      <w:r>
        <w:rPr>
          <w:sz w:val="16"/>
        </w:rPr>
        <w:t>satisfacción</w:t>
      </w:r>
      <w:r>
        <w:rPr>
          <w:spacing w:val="-3"/>
          <w:sz w:val="16"/>
        </w:rPr>
        <w:t xml:space="preserve"> </w:t>
      </w:r>
      <w:r>
        <w:rPr>
          <w:sz w:val="16"/>
        </w:rPr>
        <w:t>el</w:t>
      </w:r>
      <w:r>
        <w:rPr>
          <w:spacing w:val="-3"/>
          <w:sz w:val="16"/>
        </w:rPr>
        <w:t xml:space="preserve"> </w:t>
      </w:r>
      <w:r>
        <w:rPr>
          <w:sz w:val="16"/>
        </w:rPr>
        <w:t>hecho</w:t>
      </w:r>
      <w:r>
        <w:rPr>
          <w:spacing w:val="-3"/>
          <w:sz w:val="16"/>
        </w:rPr>
        <w:t xml:space="preserve"> </w:t>
      </w:r>
      <w:r>
        <w:rPr>
          <w:sz w:val="16"/>
        </w:rPr>
        <w:t>de</w:t>
      </w:r>
      <w:r>
        <w:rPr>
          <w:spacing w:val="-3"/>
          <w:sz w:val="16"/>
        </w:rPr>
        <w:t xml:space="preserve"> </w:t>
      </w:r>
      <w:r>
        <w:rPr>
          <w:sz w:val="16"/>
        </w:rPr>
        <w:t>que</w:t>
      </w:r>
      <w:r>
        <w:rPr>
          <w:spacing w:val="-3"/>
          <w:sz w:val="16"/>
        </w:rPr>
        <w:t xml:space="preserve"> </w:t>
      </w:r>
      <w:r>
        <w:rPr>
          <w:sz w:val="16"/>
        </w:rPr>
        <w:t>exista</w:t>
      </w:r>
      <w:r>
        <w:rPr>
          <w:spacing w:val="-3"/>
          <w:sz w:val="16"/>
        </w:rPr>
        <w:t xml:space="preserve"> </w:t>
      </w:r>
      <w:r>
        <w:rPr>
          <w:sz w:val="16"/>
        </w:rPr>
        <w:t>un</w:t>
      </w:r>
      <w:r>
        <w:rPr>
          <w:spacing w:val="-3"/>
          <w:sz w:val="16"/>
        </w:rPr>
        <w:t xml:space="preserve"> </w:t>
      </w:r>
      <w:r>
        <w:rPr>
          <w:sz w:val="16"/>
        </w:rPr>
        <w:t>sistema</w:t>
      </w:r>
      <w:r>
        <w:rPr>
          <w:spacing w:val="-3"/>
          <w:sz w:val="16"/>
        </w:rPr>
        <w:t xml:space="preserve"> </w:t>
      </w:r>
      <w:r>
        <w:rPr>
          <w:sz w:val="16"/>
        </w:rPr>
        <w:t>para</w:t>
      </w:r>
      <w:r>
        <w:rPr>
          <w:spacing w:val="-3"/>
          <w:sz w:val="16"/>
        </w:rPr>
        <w:t xml:space="preserve"> </w:t>
      </w:r>
      <w:r>
        <w:rPr>
          <w:sz w:val="16"/>
        </w:rPr>
        <w:t>garantizar</w:t>
      </w:r>
      <w:r>
        <w:rPr>
          <w:spacing w:val="-3"/>
          <w:sz w:val="16"/>
        </w:rPr>
        <w:t xml:space="preserve"> </w:t>
      </w:r>
      <w:r>
        <w:rPr>
          <w:sz w:val="16"/>
        </w:rPr>
        <w:t>la</w:t>
      </w:r>
      <w:r>
        <w:rPr>
          <w:spacing w:val="-3"/>
          <w:sz w:val="16"/>
        </w:rPr>
        <w:t xml:space="preserve"> </w:t>
      </w:r>
      <w:r>
        <w:rPr>
          <w:sz w:val="16"/>
        </w:rPr>
        <w:t>enseñanza de la primera lengua de las nuevas comunidades nacionales y de los inmigrantes, con cofinanciación ofrecida por el Ministerio de Educación, Ciencia y Deportes. Sin embargo, en 2015-16, solo 465 niños asistieron a estas</w:t>
      </w:r>
    </w:p>
    <w:p w14:paraId="0023BE9C" w14:textId="77777777" w:rsidR="0014798C" w:rsidRDefault="004E1F0B">
      <w:pPr>
        <w:pStyle w:val="Textoindependiente"/>
        <w:spacing w:line="326" w:lineRule="auto"/>
        <w:ind w:left="1905" w:right="2004" w:hanging="2"/>
      </w:pPr>
      <w:r>
        <w:t>clases</w:t>
      </w:r>
      <w:r>
        <w:rPr>
          <w:spacing w:val="-3"/>
        </w:rPr>
        <w:t xml:space="preserve"> </w:t>
      </w:r>
      <w:r>
        <w:t>con</w:t>
      </w:r>
      <w:r>
        <w:rPr>
          <w:spacing w:val="-3"/>
        </w:rPr>
        <w:t xml:space="preserve"> </w:t>
      </w:r>
      <w:r>
        <w:t>una</w:t>
      </w:r>
      <w:r>
        <w:rPr>
          <w:spacing w:val="-3"/>
        </w:rPr>
        <w:t xml:space="preserve"> </w:t>
      </w:r>
      <w:r>
        <w:t>cofinanciación</w:t>
      </w:r>
      <w:r>
        <w:rPr>
          <w:spacing w:val="-3"/>
        </w:rPr>
        <w:t xml:space="preserve"> </w:t>
      </w:r>
      <w:r>
        <w:t>de</w:t>
      </w:r>
      <w:r>
        <w:rPr>
          <w:spacing w:val="-3"/>
        </w:rPr>
        <w:t xml:space="preserve"> </w:t>
      </w:r>
      <w:r>
        <w:t>14</w:t>
      </w:r>
      <w:r>
        <w:rPr>
          <w:spacing w:val="-3"/>
        </w:rPr>
        <w:t xml:space="preserve"> </w:t>
      </w:r>
      <w:r>
        <w:t>850</w:t>
      </w:r>
      <w:r>
        <w:rPr>
          <w:spacing w:val="-3"/>
        </w:rPr>
        <w:t xml:space="preserve"> </w:t>
      </w:r>
      <w:r>
        <w:t>EUR</w:t>
      </w:r>
      <w:r>
        <w:rPr>
          <w:spacing w:val="-3"/>
        </w:rPr>
        <w:t xml:space="preserve"> </w:t>
      </w:r>
      <w:r>
        <w:t>de</w:t>
      </w:r>
      <w:r>
        <w:rPr>
          <w:spacing w:val="-3"/>
        </w:rPr>
        <w:t xml:space="preserve"> </w:t>
      </w:r>
      <w:r>
        <w:t>las</w:t>
      </w:r>
      <w:r>
        <w:rPr>
          <w:spacing w:val="-3"/>
        </w:rPr>
        <w:t xml:space="preserve"> </w:t>
      </w:r>
      <w:r>
        <w:t>autoridades</w:t>
      </w:r>
      <w:r>
        <w:rPr>
          <w:spacing w:val="-3"/>
        </w:rPr>
        <w:t xml:space="preserve"> </w:t>
      </w:r>
      <w:r>
        <w:t>centrales</w:t>
      </w:r>
      <w:r>
        <w:rPr>
          <w:spacing w:val="-3"/>
        </w:rPr>
        <w:t xml:space="preserve"> </w:t>
      </w:r>
      <w:r>
        <w:t>y</w:t>
      </w:r>
      <w:r>
        <w:rPr>
          <w:spacing w:val="-3"/>
        </w:rPr>
        <w:t xml:space="preserve"> </w:t>
      </w:r>
      <w:r>
        <w:t>el</w:t>
      </w:r>
      <w:r>
        <w:rPr>
          <w:spacing w:val="-3"/>
        </w:rPr>
        <w:t xml:space="preserve"> </w:t>
      </w:r>
      <w:r>
        <w:t>apoyo</w:t>
      </w:r>
      <w:r>
        <w:rPr>
          <w:spacing w:val="-3"/>
        </w:rPr>
        <w:t xml:space="preserve"> </w:t>
      </w:r>
      <w:r>
        <w:t>combinado</w:t>
      </w:r>
      <w:r>
        <w:rPr>
          <w:spacing w:val="-3"/>
        </w:rPr>
        <w:t xml:space="preserve"> </w:t>
      </w:r>
      <w:r>
        <w:t>de</w:t>
      </w:r>
      <w:r>
        <w:rPr>
          <w:spacing w:val="-3"/>
        </w:rPr>
        <w:t xml:space="preserve"> </w:t>
      </w:r>
      <w:r>
        <w:t>otros Estados sucesores de Yugoslavia para los idiomas pertinentes.</w:t>
      </w:r>
    </w:p>
    <w:p w14:paraId="76540A56" w14:textId="77777777" w:rsidR="0014798C" w:rsidRDefault="004E1F0B">
      <w:pPr>
        <w:pStyle w:val="Textoindependiente"/>
        <w:spacing w:line="326" w:lineRule="auto"/>
        <w:ind w:left="1900" w:right="1840" w:firstLine="4"/>
      </w:pPr>
      <w:r>
        <w:t xml:space="preserve">El alemán estándar también se ofrece como lengua extranjera en la educación general, mientras que el idioma </w:t>
      </w:r>
      <w:proofErr w:type="spellStart"/>
      <w:r>
        <w:t>gottscheer</w:t>
      </w:r>
      <w:proofErr w:type="spellEnd"/>
      <w:r>
        <w:t>, que está en peligro de extinción, se enseña de forma voluntaria durante un pequeño número de horas.</w:t>
      </w:r>
      <w:r>
        <w:rPr>
          <w:spacing w:val="-3"/>
        </w:rPr>
        <w:t xml:space="preserve"> </w:t>
      </w:r>
      <w:r>
        <w:t>Además,</w:t>
      </w:r>
      <w:r>
        <w:rPr>
          <w:spacing w:val="-3"/>
        </w:rPr>
        <w:t xml:space="preserve"> </w:t>
      </w:r>
      <w:r>
        <w:t>existe</w:t>
      </w:r>
      <w:r>
        <w:rPr>
          <w:spacing w:val="-4"/>
        </w:rPr>
        <w:t xml:space="preserve"> </w:t>
      </w:r>
      <w:r>
        <w:t>incertidumbre</w:t>
      </w:r>
      <w:r>
        <w:rPr>
          <w:spacing w:val="-4"/>
        </w:rPr>
        <w:t xml:space="preserve"> </w:t>
      </w:r>
      <w:r>
        <w:t>sobre</w:t>
      </w:r>
      <w:r>
        <w:rPr>
          <w:spacing w:val="-4"/>
        </w:rPr>
        <w:t xml:space="preserve"> </w:t>
      </w:r>
      <w:r>
        <w:t>si</w:t>
      </w:r>
      <w:r>
        <w:rPr>
          <w:spacing w:val="-4"/>
        </w:rPr>
        <w:t xml:space="preserve"> </w:t>
      </w:r>
      <w:r>
        <w:t>la</w:t>
      </w:r>
      <w:r>
        <w:rPr>
          <w:spacing w:val="-4"/>
        </w:rPr>
        <w:t xml:space="preserve"> </w:t>
      </w:r>
      <w:r>
        <w:t>enseñanza</w:t>
      </w:r>
      <w:r>
        <w:rPr>
          <w:spacing w:val="-4"/>
        </w:rPr>
        <w:t xml:space="preserve"> </w:t>
      </w:r>
      <w:r>
        <w:t>de</w:t>
      </w:r>
      <w:r>
        <w:rPr>
          <w:spacing w:val="-4"/>
        </w:rPr>
        <w:t xml:space="preserve"> </w:t>
      </w:r>
      <w:r>
        <w:t>la</w:t>
      </w:r>
      <w:r>
        <w:rPr>
          <w:spacing w:val="-4"/>
        </w:rPr>
        <w:t xml:space="preserve"> </w:t>
      </w:r>
      <w:r>
        <w:t>lengua</w:t>
      </w:r>
      <w:r>
        <w:rPr>
          <w:spacing w:val="-4"/>
        </w:rPr>
        <w:t xml:space="preserve"> </w:t>
      </w:r>
      <w:proofErr w:type="spellStart"/>
      <w:r>
        <w:t>gottscheer</w:t>
      </w:r>
      <w:proofErr w:type="spellEnd"/>
      <w:r>
        <w:rPr>
          <w:spacing w:val="-4"/>
        </w:rPr>
        <w:t xml:space="preserve"> </w:t>
      </w:r>
      <w:r>
        <w:t>seguirá</w:t>
      </w:r>
      <w:r>
        <w:rPr>
          <w:spacing w:val="-4"/>
        </w:rPr>
        <w:t xml:space="preserve"> </w:t>
      </w:r>
      <w:r>
        <w:t>estando</w:t>
      </w:r>
      <w:r>
        <w:rPr>
          <w:spacing w:val="-4"/>
        </w:rPr>
        <w:t xml:space="preserve"> </w:t>
      </w:r>
      <w:r>
        <w:t>garantizada en el marco del acuerdo cultural con Austria...</w:t>
      </w:r>
    </w:p>
    <w:p w14:paraId="111D70C5" w14:textId="77777777" w:rsidR="0014798C" w:rsidRDefault="004E1F0B">
      <w:pPr>
        <w:pStyle w:val="Textoindependiente"/>
        <w:spacing w:before="67"/>
        <w:ind w:left="1328"/>
      </w:pPr>
      <w:r>
        <w:rPr>
          <w:spacing w:val="-2"/>
        </w:rPr>
        <w:t>Recomendaciones</w:t>
      </w:r>
    </w:p>
    <w:p w14:paraId="317BEA3E" w14:textId="77777777" w:rsidR="0014798C" w:rsidRDefault="0014798C">
      <w:pPr>
        <w:pStyle w:val="Textoindependiente"/>
        <w:spacing w:before="37"/>
      </w:pPr>
    </w:p>
    <w:p w14:paraId="79D61A98" w14:textId="77777777" w:rsidR="0014798C" w:rsidRDefault="004E1F0B">
      <w:pPr>
        <w:pStyle w:val="Prrafodelista"/>
        <w:numPr>
          <w:ilvl w:val="0"/>
          <w:numId w:val="14"/>
        </w:numPr>
        <w:tabs>
          <w:tab w:val="left" w:pos="1772"/>
          <w:tab w:val="left" w:pos="1899"/>
        </w:tabs>
        <w:spacing w:line="326" w:lineRule="auto"/>
        <w:ind w:left="1899" w:right="1700" w:hanging="390"/>
        <w:rPr>
          <w:sz w:val="16"/>
        </w:rPr>
      </w:pPr>
      <w:r>
        <w:rPr>
          <w:sz w:val="16"/>
        </w:rPr>
        <w:t>El</w:t>
      </w:r>
      <w:r>
        <w:rPr>
          <w:spacing w:val="-3"/>
          <w:sz w:val="16"/>
        </w:rPr>
        <w:t xml:space="preserve"> </w:t>
      </w:r>
      <w:r>
        <w:rPr>
          <w:sz w:val="16"/>
        </w:rPr>
        <w:t>Comité</w:t>
      </w:r>
      <w:r>
        <w:rPr>
          <w:spacing w:val="-3"/>
          <w:sz w:val="16"/>
        </w:rPr>
        <w:t xml:space="preserve"> </w:t>
      </w:r>
      <w:r>
        <w:rPr>
          <w:sz w:val="16"/>
        </w:rPr>
        <w:t>Asesor</w:t>
      </w:r>
      <w:r>
        <w:rPr>
          <w:spacing w:val="-3"/>
          <w:sz w:val="16"/>
        </w:rPr>
        <w:t xml:space="preserve"> </w:t>
      </w:r>
      <w:r>
        <w:rPr>
          <w:sz w:val="16"/>
        </w:rPr>
        <w:t>insta</w:t>
      </w:r>
      <w:r>
        <w:rPr>
          <w:spacing w:val="-3"/>
          <w:sz w:val="16"/>
        </w:rPr>
        <w:t xml:space="preserve"> </w:t>
      </w:r>
      <w:r>
        <w:rPr>
          <w:sz w:val="16"/>
        </w:rPr>
        <w:t>a</w:t>
      </w:r>
      <w:r>
        <w:rPr>
          <w:spacing w:val="-3"/>
          <w:sz w:val="16"/>
        </w:rPr>
        <w:t xml:space="preserve"> </w:t>
      </w:r>
      <w:r>
        <w:rPr>
          <w:sz w:val="16"/>
        </w:rPr>
        <w:t>las</w:t>
      </w:r>
      <w:r>
        <w:rPr>
          <w:spacing w:val="-3"/>
          <w:sz w:val="16"/>
        </w:rPr>
        <w:t xml:space="preserve"> </w:t>
      </w:r>
      <w:r>
        <w:rPr>
          <w:sz w:val="16"/>
        </w:rPr>
        <w:t>autoridades</w:t>
      </w:r>
      <w:r>
        <w:rPr>
          <w:spacing w:val="-3"/>
          <w:sz w:val="16"/>
        </w:rPr>
        <w:t xml:space="preserve"> </w:t>
      </w:r>
      <w:r>
        <w:rPr>
          <w:sz w:val="16"/>
        </w:rPr>
        <w:t>a</w:t>
      </w:r>
      <w:r>
        <w:rPr>
          <w:spacing w:val="-3"/>
          <w:sz w:val="16"/>
        </w:rPr>
        <w:t xml:space="preserve"> </w:t>
      </w:r>
      <w:r>
        <w:rPr>
          <w:sz w:val="16"/>
        </w:rPr>
        <w:t>que</w:t>
      </w:r>
      <w:r>
        <w:rPr>
          <w:spacing w:val="-3"/>
          <w:sz w:val="16"/>
        </w:rPr>
        <w:t xml:space="preserve"> </w:t>
      </w:r>
      <w:r>
        <w:rPr>
          <w:sz w:val="16"/>
        </w:rPr>
        <w:t>prosigan</w:t>
      </w:r>
      <w:r>
        <w:rPr>
          <w:spacing w:val="-3"/>
          <w:sz w:val="16"/>
        </w:rPr>
        <w:t xml:space="preserve"> </w:t>
      </w:r>
      <w:r>
        <w:rPr>
          <w:sz w:val="16"/>
        </w:rPr>
        <w:t>sus</w:t>
      </w:r>
      <w:r>
        <w:rPr>
          <w:spacing w:val="-3"/>
          <w:sz w:val="16"/>
        </w:rPr>
        <w:t xml:space="preserve"> </w:t>
      </w:r>
      <w:r>
        <w:rPr>
          <w:sz w:val="16"/>
        </w:rPr>
        <w:t>esfuerzos</w:t>
      </w:r>
      <w:r>
        <w:rPr>
          <w:spacing w:val="-3"/>
          <w:sz w:val="16"/>
        </w:rPr>
        <w:t xml:space="preserve"> </w:t>
      </w:r>
      <w:r>
        <w:rPr>
          <w:sz w:val="16"/>
        </w:rPr>
        <w:t>para</w:t>
      </w:r>
      <w:r>
        <w:rPr>
          <w:spacing w:val="-3"/>
          <w:sz w:val="16"/>
        </w:rPr>
        <w:t xml:space="preserve"> </w:t>
      </w:r>
      <w:r>
        <w:rPr>
          <w:sz w:val="16"/>
        </w:rPr>
        <w:t>promover</w:t>
      </w:r>
      <w:r>
        <w:rPr>
          <w:spacing w:val="-3"/>
          <w:sz w:val="16"/>
        </w:rPr>
        <w:t xml:space="preserve"> </w:t>
      </w:r>
      <w:r>
        <w:rPr>
          <w:sz w:val="16"/>
        </w:rPr>
        <w:t>una</w:t>
      </w:r>
      <w:r>
        <w:rPr>
          <w:spacing w:val="-3"/>
          <w:sz w:val="16"/>
        </w:rPr>
        <w:t xml:space="preserve"> </w:t>
      </w:r>
      <w:r>
        <w:rPr>
          <w:sz w:val="16"/>
        </w:rPr>
        <w:t>formación</w:t>
      </w:r>
      <w:r>
        <w:rPr>
          <w:spacing w:val="-3"/>
          <w:sz w:val="16"/>
        </w:rPr>
        <w:t xml:space="preserve"> </w:t>
      </w:r>
      <w:r>
        <w:rPr>
          <w:sz w:val="16"/>
        </w:rPr>
        <w:t>de</w:t>
      </w:r>
      <w:r>
        <w:rPr>
          <w:spacing w:val="-3"/>
          <w:sz w:val="16"/>
        </w:rPr>
        <w:t xml:space="preserve"> </w:t>
      </w:r>
      <w:r>
        <w:rPr>
          <w:sz w:val="16"/>
        </w:rPr>
        <w:t>alta</w:t>
      </w:r>
      <w:r>
        <w:rPr>
          <w:spacing w:val="-3"/>
          <w:sz w:val="16"/>
        </w:rPr>
        <w:t xml:space="preserve"> </w:t>
      </w:r>
      <w:r>
        <w:rPr>
          <w:sz w:val="16"/>
        </w:rPr>
        <w:t>calidad en lenguas minoritarias para profesores de italiano y húngaro. También deberían apoyar el desarrollo de materiales didácticos en las diferentes lenguas romaníes, en estrecha cooperación con los representantes de la comunidad romaní, así como aumentar la enseñanza en estas lenguas.</w:t>
      </w:r>
    </w:p>
    <w:p w14:paraId="25C743C3" w14:textId="77777777" w:rsidR="0014798C" w:rsidRDefault="004E1F0B">
      <w:pPr>
        <w:pStyle w:val="Prrafodelista"/>
        <w:numPr>
          <w:ilvl w:val="0"/>
          <w:numId w:val="14"/>
        </w:numPr>
        <w:tabs>
          <w:tab w:val="left" w:pos="1772"/>
          <w:tab w:val="left" w:pos="1901"/>
        </w:tabs>
        <w:spacing w:before="112" w:line="326" w:lineRule="auto"/>
        <w:ind w:left="1901" w:right="1853" w:hanging="392"/>
        <w:rPr>
          <w:sz w:val="16"/>
        </w:rPr>
      </w:pPr>
      <w:r>
        <w:rPr>
          <w:sz w:val="16"/>
        </w:rPr>
        <w:t>En consulta con representantes de otras comunidades minoritarias, también deberían promover y garantizar condiciones</w:t>
      </w:r>
      <w:r>
        <w:rPr>
          <w:spacing w:val="-4"/>
          <w:sz w:val="16"/>
        </w:rPr>
        <w:t xml:space="preserve"> </w:t>
      </w:r>
      <w:r>
        <w:rPr>
          <w:sz w:val="16"/>
        </w:rPr>
        <w:t>adecuadas</w:t>
      </w:r>
      <w:r>
        <w:rPr>
          <w:spacing w:val="-4"/>
          <w:sz w:val="16"/>
        </w:rPr>
        <w:t xml:space="preserve"> </w:t>
      </w:r>
      <w:r>
        <w:rPr>
          <w:sz w:val="16"/>
        </w:rPr>
        <w:t>para</w:t>
      </w:r>
      <w:r>
        <w:rPr>
          <w:spacing w:val="-4"/>
          <w:sz w:val="16"/>
        </w:rPr>
        <w:t xml:space="preserve"> </w:t>
      </w:r>
      <w:r>
        <w:rPr>
          <w:sz w:val="16"/>
        </w:rPr>
        <w:t>la</w:t>
      </w:r>
      <w:r>
        <w:rPr>
          <w:spacing w:val="-4"/>
          <w:sz w:val="16"/>
        </w:rPr>
        <w:t xml:space="preserve"> </w:t>
      </w:r>
      <w:r>
        <w:rPr>
          <w:sz w:val="16"/>
        </w:rPr>
        <w:t>enseñanza</w:t>
      </w:r>
      <w:r>
        <w:rPr>
          <w:spacing w:val="-4"/>
          <w:sz w:val="16"/>
        </w:rPr>
        <w:t xml:space="preserve"> </w:t>
      </w:r>
      <w:r>
        <w:rPr>
          <w:sz w:val="16"/>
        </w:rPr>
        <w:t>y</w:t>
      </w:r>
      <w:r>
        <w:rPr>
          <w:spacing w:val="-4"/>
          <w:sz w:val="16"/>
        </w:rPr>
        <w:t xml:space="preserve"> </w:t>
      </w:r>
      <w:r>
        <w:rPr>
          <w:sz w:val="16"/>
        </w:rPr>
        <w:t>el</w:t>
      </w:r>
      <w:r>
        <w:rPr>
          <w:spacing w:val="-4"/>
          <w:sz w:val="16"/>
        </w:rPr>
        <w:t xml:space="preserve"> </w:t>
      </w:r>
      <w:r>
        <w:rPr>
          <w:sz w:val="16"/>
        </w:rPr>
        <w:t>aprendizaje</w:t>
      </w:r>
      <w:r>
        <w:rPr>
          <w:spacing w:val="-4"/>
          <w:sz w:val="16"/>
        </w:rPr>
        <w:t xml:space="preserve"> </w:t>
      </w:r>
      <w:r>
        <w:rPr>
          <w:sz w:val="16"/>
        </w:rPr>
        <w:t>de</w:t>
      </w:r>
      <w:r>
        <w:rPr>
          <w:spacing w:val="-4"/>
          <w:sz w:val="16"/>
        </w:rPr>
        <w:t xml:space="preserve"> </w:t>
      </w:r>
      <w:r>
        <w:rPr>
          <w:sz w:val="16"/>
        </w:rPr>
        <w:t>otras</w:t>
      </w:r>
      <w:r>
        <w:rPr>
          <w:spacing w:val="-4"/>
          <w:sz w:val="16"/>
        </w:rPr>
        <w:t xml:space="preserve"> </w:t>
      </w:r>
      <w:r>
        <w:rPr>
          <w:sz w:val="16"/>
        </w:rPr>
        <w:t>lenguas</w:t>
      </w:r>
      <w:r>
        <w:rPr>
          <w:spacing w:val="-4"/>
          <w:sz w:val="16"/>
        </w:rPr>
        <w:t xml:space="preserve"> </w:t>
      </w:r>
      <w:r>
        <w:rPr>
          <w:sz w:val="16"/>
        </w:rPr>
        <w:t>minoritarias</w:t>
      </w:r>
      <w:r>
        <w:rPr>
          <w:spacing w:val="-4"/>
          <w:sz w:val="16"/>
        </w:rPr>
        <w:t xml:space="preserve"> </w:t>
      </w:r>
      <w:r>
        <w:rPr>
          <w:sz w:val="16"/>
        </w:rPr>
        <w:t>teniendo</w:t>
      </w:r>
      <w:r>
        <w:rPr>
          <w:spacing w:val="-4"/>
          <w:sz w:val="16"/>
        </w:rPr>
        <w:t xml:space="preserve"> </w:t>
      </w:r>
      <w:r>
        <w:rPr>
          <w:sz w:val="16"/>
        </w:rPr>
        <w:t>en</w:t>
      </w:r>
      <w:r>
        <w:rPr>
          <w:spacing w:val="-4"/>
          <w:sz w:val="16"/>
        </w:rPr>
        <w:t xml:space="preserve"> </w:t>
      </w:r>
      <w:r>
        <w:rPr>
          <w:sz w:val="16"/>
        </w:rPr>
        <w:t>cuenta</w:t>
      </w:r>
      <w:r>
        <w:rPr>
          <w:spacing w:val="-4"/>
          <w:sz w:val="16"/>
        </w:rPr>
        <w:t xml:space="preserve"> </w:t>
      </w:r>
      <w:r>
        <w:rPr>
          <w:sz w:val="16"/>
        </w:rPr>
        <w:t>las necesidades e intereses de los posibles beneficiarios.1074</w:t>
      </w:r>
    </w:p>
    <w:p w14:paraId="687F6422" w14:textId="77777777" w:rsidR="0014798C" w:rsidRDefault="0014798C">
      <w:pPr>
        <w:pStyle w:val="Textoindependiente"/>
      </w:pPr>
    </w:p>
    <w:p w14:paraId="7A315373" w14:textId="77777777" w:rsidR="0014798C" w:rsidRDefault="0014798C">
      <w:pPr>
        <w:pStyle w:val="Textoindependiente"/>
        <w:spacing w:before="83"/>
      </w:pPr>
    </w:p>
    <w:p w14:paraId="515B6095" w14:textId="77777777" w:rsidR="0014798C" w:rsidRDefault="004E1F0B">
      <w:pPr>
        <w:pStyle w:val="Textoindependiente"/>
        <w:spacing w:line="326" w:lineRule="auto"/>
        <w:ind w:left="1107" w:right="1378" w:hanging="1"/>
      </w:pPr>
      <w:r>
        <w:t>El</w:t>
      </w:r>
      <w:r>
        <w:rPr>
          <w:spacing w:val="-3"/>
        </w:rPr>
        <w:t xml:space="preserve"> </w:t>
      </w:r>
      <w:r>
        <w:t>Relator</w:t>
      </w:r>
      <w:r>
        <w:rPr>
          <w:spacing w:val="-3"/>
        </w:rPr>
        <w:t xml:space="preserve"> </w:t>
      </w:r>
      <w:r>
        <w:t>Especial</w:t>
      </w:r>
      <w:r>
        <w:rPr>
          <w:spacing w:val="-3"/>
        </w:rPr>
        <w:t xml:space="preserve"> </w:t>
      </w:r>
      <w:r>
        <w:t>sobre</w:t>
      </w:r>
      <w:r>
        <w:rPr>
          <w:spacing w:val="-3"/>
        </w:rPr>
        <w:t xml:space="preserve"> </w:t>
      </w:r>
      <w:r>
        <w:t>cuestiones</w:t>
      </w:r>
      <w:r>
        <w:rPr>
          <w:spacing w:val="-3"/>
        </w:rPr>
        <w:t xml:space="preserve"> </w:t>
      </w:r>
      <w:r>
        <w:t>de</w:t>
      </w:r>
      <w:r>
        <w:rPr>
          <w:spacing w:val="-3"/>
        </w:rPr>
        <w:t xml:space="preserve"> </w:t>
      </w:r>
      <w:r>
        <w:t>las</w:t>
      </w:r>
      <w:r>
        <w:rPr>
          <w:spacing w:val="-3"/>
        </w:rPr>
        <w:t xml:space="preserve"> </w:t>
      </w:r>
      <w:r>
        <w:t>minorías</w:t>
      </w:r>
      <w:r>
        <w:rPr>
          <w:spacing w:val="-3"/>
        </w:rPr>
        <w:t xml:space="preserve"> </w:t>
      </w:r>
      <w:r>
        <w:t>ha</w:t>
      </w:r>
      <w:r>
        <w:rPr>
          <w:spacing w:val="-3"/>
        </w:rPr>
        <w:t xml:space="preserve"> </w:t>
      </w:r>
      <w:r>
        <w:t>establecido</w:t>
      </w:r>
      <w:r>
        <w:rPr>
          <w:spacing w:val="-3"/>
        </w:rPr>
        <w:t xml:space="preserve"> </w:t>
      </w:r>
      <w:r>
        <w:t>que</w:t>
      </w:r>
      <w:r>
        <w:rPr>
          <w:spacing w:val="-3"/>
        </w:rPr>
        <w:t xml:space="preserve"> </w:t>
      </w:r>
      <w:r>
        <w:t>“cualquiera</w:t>
      </w:r>
      <w:r>
        <w:rPr>
          <w:spacing w:val="-3"/>
        </w:rPr>
        <w:t xml:space="preserve"> </w:t>
      </w:r>
      <w:r>
        <w:t>que</w:t>
      </w:r>
      <w:r>
        <w:rPr>
          <w:spacing w:val="-3"/>
        </w:rPr>
        <w:t xml:space="preserve"> </w:t>
      </w:r>
      <w:r>
        <w:t>sea</w:t>
      </w:r>
      <w:r>
        <w:rPr>
          <w:spacing w:val="-3"/>
        </w:rPr>
        <w:t xml:space="preserve"> </w:t>
      </w:r>
      <w:r>
        <w:t>el</w:t>
      </w:r>
      <w:r>
        <w:rPr>
          <w:spacing w:val="-3"/>
        </w:rPr>
        <w:t xml:space="preserve"> </w:t>
      </w:r>
      <w:r>
        <w:t>modelo</w:t>
      </w:r>
      <w:r>
        <w:rPr>
          <w:spacing w:val="-3"/>
        </w:rPr>
        <w:t xml:space="preserve"> </w:t>
      </w:r>
      <w:r>
        <w:t>o</w:t>
      </w:r>
      <w:r>
        <w:rPr>
          <w:spacing w:val="-3"/>
        </w:rPr>
        <w:t xml:space="preserve"> </w:t>
      </w:r>
      <w:r>
        <w:t>enfoque</w:t>
      </w:r>
      <w:r>
        <w:rPr>
          <w:spacing w:val="-3"/>
        </w:rPr>
        <w:t xml:space="preserve"> </w:t>
      </w:r>
      <w:r>
        <w:t>que</w:t>
      </w:r>
      <w:r>
        <w:rPr>
          <w:spacing w:val="-3"/>
        </w:rPr>
        <w:t xml:space="preserve"> </w:t>
      </w:r>
      <w:r>
        <w:t>se</w:t>
      </w:r>
      <w:r>
        <w:rPr>
          <w:spacing w:val="-3"/>
        </w:rPr>
        <w:t xml:space="preserve"> </w:t>
      </w:r>
      <w:r>
        <w:t>aplique en relación con el uso de una lengua minoritaria como medio de instrucción, los niños siempre deben tener la oportunidad de aprender efectivamente la lengua oficial o mayoritaria en la que se encuentren”. vivir”.1075</w:t>
      </w:r>
    </w:p>
    <w:p w14:paraId="39950D12" w14:textId="77777777" w:rsidR="0014798C" w:rsidRDefault="004E1F0B">
      <w:pPr>
        <w:pStyle w:val="Textoindependiente"/>
        <w:spacing w:before="169" w:line="326" w:lineRule="auto"/>
        <w:ind w:left="1109" w:right="1272" w:hanging="4"/>
      </w:pPr>
      <w:r>
        <w:t>El</w:t>
      </w:r>
      <w:r>
        <w:rPr>
          <w:spacing w:val="-3"/>
        </w:rPr>
        <w:t xml:space="preserve"> </w:t>
      </w:r>
      <w:r>
        <w:t>Relator</w:t>
      </w:r>
      <w:r>
        <w:rPr>
          <w:spacing w:val="-3"/>
        </w:rPr>
        <w:t xml:space="preserve"> </w:t>
      </w:r>
      <w:r>
        <w:t>Especial</w:t>
      </w:r>
      <w:r>
        <w:rPr>
          <w:spacing w:val="-3"/>
        </w:rPr>
        <w:t xml:space="preserve"> </w:t>
      </w:r>
      <w:r>
        <w:t>sobre</w:t>
      </w:r>
      <w:r>
        <w:rPr>
          <w:spacing w:val="-3"/>
        </w:rPr>
        <w:t xml:space="preserve"> </w:t>
      </w:r>
      <w:r>
        <w:t>cuestiones</w:t>
      </w:r>
      <w:r>
        <w:rPr>
          <w:spacing w:val="-3"/>
        </w:rPr>
        <w:t xml:space="preserve"> </w:t>
      </w:r>
      <w:r>
        <w:t>de</w:t>
      </w:r>
      <w:r>
        <w:rPr>
          <w:spacing w:val="-3"/>
        </w:rPr>
        <w:t xml:space="preserve"> </w:t>
      </w:r>
      <w:r>
        <w:t>las</w:t>
      </w:r>
      <w:r>
        <w:rPr>
          <w:spacing w:val="-3"/>
        </w:rPr>
        <w:t xml:space="preserve"> </w:t>
      </w:r>
      <w:r>
        <w:t>minorías</w:t>
      </w:r>
      <w:r>
        <w:rPr>
          <w:spacing w:val="-3"/>
        </w:rPr>
        <w:t xml:space="preserve"> </w:t>
      </w:r>
      <w:r>
        <w:t>ha</w:t>
      </w:r>
      <w:r>
        <w:rPr>
          <w:spacing w:val="-3"/>
        </w:rPr>
        <w:t xml:space="preserve"> </w:t>
      </w:r>
      <w:r>
        <w:t>recomendado</w:t>
      </w:r>
      <w:r>
        <w:rPr>
          <w:spacing w:val="-3"/>
        </w:rPr>
        <w:t xml:space="preserve"> </w:t>
      </w:r>
      <w:r>
        <w:t>que</w:t>
      </w:r>
      <w:r>
        <w:rPr>
          <w:spacing w:val="-3"/>
        </w:rPr>
        <w:t xml:space="preserve"> </w:t>
      </w:r>
      <w:r>
        <w:t>se</w:t>
      </w:r>
      <w:r>
        <w:rPr>
          <w:spacing w:val="-3"/>
        </w:rPr>
        <w:t xml:space="preserve"> </w:t>
      </w:r>
      <w:r>
        <w:t>apliquen</w:t>
      </w:r>
      <w:r>
        <w:rPr>
          <w:spacing w:val="-3"/>
        </w:rPr>
        <w:t xml:space="preserve"> </w:t>
      </w:r>
      <w:r>
        <w:t>en</w:t>
      </w:r>
      <w:r>
        <w:rPr>
          <w:spacing w:val="-3"/>
        </w:rPr>
        <w:t xml:space="preserve"> </w:t>
      </w:r>
      <w:r>
        <w:t>general</w:t>
      </w:r>
      <w:r>
        <w:rPr>
          <w:spacing w:val="-3"/>
        </w:rPr>
        <w:t xml:space="preserve"> </w:t>
      </w:r>
      <w:r>
        <w:t>los</w:t>
      </w:r>
      <w:r>
        <w:rPr>
          <w:spacing w:val="-3"/>
        </w:rPr>
        <w:t xml:space="preserve"> </w:t>
      </w:r>
      <w:r>
        <w:t>siguientes</w:t>
      </w:r>
      <w:r>
        <w:rPr>
          <w:spacing w:val="-3"/>
        </w:rPr>
        <w:t xml:space="preserve"> </w:t>
      </w:r>
      <w:r>
        <w:t>principios</w:t>
      </w:r>
      <w:r>
        <w:rPr>
          <w:spacing w:val="-3"/>
        </w:rPr>
        <w:t xml:space="preserve"> </w:t>
      </w:r>
      <w:r>
        <w:t>en aquellos países que imparten educación pública en idiomas minoritarios:</w:t>
      </w:r>
    </w:p>
    <w:p w14:paraId="26233652" w14:textId="77777777" w:rsidR="0014798C" w:rsidRDefault="004E1F0B">
      <w:pPr>
        <w:pStyle w:val="Prrafodelista"/>
        <w:numPr>
          <w:ilvl w:val="1"/>
          <w:numId w:val="14"/>
        </w:numPr>
        <w:tabs>
          <w:tab w:val="left" w:pos="1861"/>
        </w:tabs>
        <w:spacing w:before="114"/>
        <w:ind w:left="1861" w:hanging="175"/>
        <w:rPr>
          <w:color w:val="803108"/>
          <w:sz w:val="16"/>
        </w:rPr>
      </w:pPr>
      <w:r>
        <w:rPr>
          <w:color w:val="803108"/>
          <w:sz w:val="16"/>
        </w:rPr>
        <w:t>El</w:t>
      </w:r>
      <w:r>
        <w:rPr>
          <w:color w:val="803108"/>
          <w:spacing w:val="-8"/>
          <w:sz w:val="16"/>
        </w:rPr>
        <w:t xml:space="preserve"> </w:t>
      </w:r>
      <w:r>
        <w:rPr>
          <w:color w:val="803108"/>
          <w:sz w:val="16"/>
        </w:rPr>
        <w:t>principio</w:t>
      </w:r>
      <w:r>
        <w:rPr>
          <w:color w:val="803108"/>
          <w:spacing w:val="-7"/>
          <w:sz w:val="16"/>
        </w:rPr>
        <w:t xml:space="preserve"> </w:t>
      </w:r>
      <w:r>
        <w:rPr>
          <w:color w:val="803108"/>
          <w:sz w:val="16"/>
        </w:rPr>
        <w:t>de</w:t>
      </w:r>
      <w:r>
        <w:rPr>
          <w:color w:val="803108"/>
          <w:spacing w:val="-7"/>
          <w:sz w:val="16"/>
        </w:rPr>
        <w:t xml:space="preserve"> </w:t>
      </w:r>
      <w:r>
        <w:rPr>
          <w:color w:val="803108"/>
          <w:sz w:val="16"/>
        </w:rPr>
        <w:t>proporcionalidad</w:t>
      </w:r>
      <w:r>
        <w:rPr>
          <w:color w:val="803108"/>
          <w:spacing w:val="-7"/>
          <w:sz w:val="16"/>
        </w:rPr>
        <w:t xml:space="preserve"> </w:t>
      </w:r>
      <w:r>
        <w:rPr>
          <w:color w:val="803108"/>
          <w:spacing w:val="-5"/>
          <w:sz w:val="16"/>
        </w:rPr>
        <w:t>….</w:t>
      </w:r>
    </w:p>
    <w:p w14:paraId="2FE7A5E8" w14:textId="77777777" w:rsidR="0014798C" w:rsidRDefault="004E1F0B">
      <w:pPr>
        <w:pStyle w:val="Prrafodelista"/>
        <w:numPr>
          <w:ilvl w:val="1"/>
          <w:numId w:val="14"/>
        </w:numPr>
        <w:tabs>
          <w:tab w:val="left" w:pos="1849"/>
          <w:tab w:val="left" w:pos="2019"/>
        </w:tabs>
        <w:spacing w:before="179" w:line="324" w:lineRule="auto"/>
        <w:ind w:left="2019" w:right="2236" w:hanging="345"/>
        <w:rPr>
          <w:color w:val="803108"/>
          <w:sz w:val="16"/>
        </w:rPr>
      </w:pPr>
      <w:r>
        <w:rPr>
          <w:color w:val="803108"/>
          <w:sz w:val="16"/>
        </w:rPr>
        <w:t>El</w:t>
      </w:r>
      <w:r>
        <w:rPr>
          <w:color w:val="803108"/>
          <w:spacing w:val="-4"/>
          <w:sz w:val="16"/>
        </w:rPr>
        <w:t xml:space="preserve"> </w:t>
      </w:r>
      <w:r>
        <w:rPr>
          <w:color w:val="803108"/>
          <w:sz w:val="16"/>
        </w:rPr>
        <w:t>principio</w:t>
      </w:r>
      <w:r>
        <w:rPr>
          <w:color w:val="803108"/>
          <w:spacing w:val="-4"/>
          <w:sz w:val="16"/>
        </w:rPr>
        <w:t xml:space="preserve"> </w:t>
      </w:r>
      <w:r>
        <w:rPr>
          <w:color w:val="803108"/>
          <w:sz w:val="16"/>
        </w:rPr>
        <w:t>de</w:t>
      </w:r>
      <w:r>
        <w:rPr>
          <w:color w:val="803108"/>
          <w:spacing w:val="-4"/>
          <w:sz w:val="16"/>
        </w:rPr>
        <w:t xml:space="preserve"> </w:t>
      </w:r>
      <w:r>
        <w:rPr>
          <w:color w:val="803108"/>
          <w:sz w:val="16"/>
        </w:rPr>
        <w:t>oferta</w:t>
      </w:r>
      <w:r>
        <w:rPr>
          <w:color w:val="803108"/>
          <w:spacing w:val="-4"/>
          <w:sz w:val="16"/>
        </w:rPr>
        <w:t xml:space="preserve"> </w:t>
      </w:r>
      <w:r>
        <w:rPr>
          <w:color w:val="803108"/>
          <w:sz w:val="16"/>
        </w:rPr>
        <w:t>activa,</w:t>
      </w:r>
      <w:r>
        <w:rPr>
          <w:color w:val="803108"/>
          <w:spacing w:val="-3"/>
          <w:sz w:val="16"/>
        </w:rPr>
        <w:t xml:space="preserve"> </w:t>
      </w:r>
      <w:r>
        <w:rPr>
          <w:color w:val="803108"/>
          <w:sz w:val="16"/>
        </w:rPr>
        <w:t>donde</w:t>
      </w:r>
      <w:r>
        <w:rPr>
          <w:color w:val="803108"/>
          <w:spacing w:val="-4"/>
          <w:sz w:val="16"/>
        </w:rPr>
        <w:t xml:space="preserve"> </w:t>
      </w:r>
      <w:r>
        <w:rPr>
          <w:color w:val="803108"/>
          <w:sz w:val="16"/>
        </w:rPr>
        <w:t>la</w:t>
      </w:r>
      <w:r>
        <w:rPr>
          <w:color w:val="803108"/>
          <w:spacing w:val="-4"/>
          <w:sz w:val="16"/>
        </w:rPr>
        <w:t xml:space="preserve"> </w:t>
      </w:r>
      <w:r>
        <w:rPr>
          <w:color w:val="803108"/>
          <w:sz w:val="16"/>
        </w:rPr>
        <w:t>educación</w:t>
      </w:r>
      <w:r>
        <w:rPr>
          <w:color w:val="803108"/>
          <w:spacing w:val="-4"/>
          <w:sz w:val="16"/>
        </w:rPr>
        <w:t xml:space="preserve"> </w:t>
      </w:r>
      <w:r>
        <w:rPr>
          <w:color w:val="803108"/>
          <w:sz w:val="16"/>
        </w:rPr>
        <w:t>pública</w:t>
      </w:r>
      <w:r>
        <w:rPr>
          <w:color w:val="803108"/>
          <w:spacing w:val="-4"/>
          <w:sz w:val="16"/>
        </w:rPr>
        <w:t xml:space="preserve"> </w:t>
      </w:r>
      <w:r>
        <w:rPr>
          <w:color w:val="803108"/>
          <w:sz w:val="16"/>
        </w:rPr>
        <w:t>en</w:t>
      </w:r>
      <w:r>
        <w:rPr>
          <w:color w:val="803108"/>
          <w:spacing w:val="-4"/>
          <w:sz w:val="16"/>
        </w:rPr>
        <w:t xml:space="preserve"> </w:t>
      </w:r>
      <w:r>
        <w:rPr>
          <w:color w:val="803108"/>
          <w:sz w:val="16"/>
        </w:rPr>
        <w:t>lenguas</w:t>
      </w:r>
      <w:r>
        <w:rPr>
          <w:color w:val="803108"/>
          <w:spacing w:val="-4"/>
          <w:sz w:val="16"/>
        </w:rPr>
        <w:t xml:space="preserve"> </w:t>
      </w:r>
      <w:r>
        <w:rPr>
          <w:color w:val="803108"/>
          <w:sz w:val="16"/>
        </w:rPr>
        <w:t>minoritarias</w:t>
      </w:r>
      <w:r>
        <w:rPr>
          <w:color w:val="803108"/>
          <w:spacing w:val="-4"/>
          <w:sz w:val="16"/>
        </w:rPr>
        <w:t xml:space="preserve"> </w:t>
      </w:r>
      <w:r>
        <w:rPr>
          <w:color w:val="803108"/>
          <w:sz w:val="16"/>
        </w:rPr>
        <w:t>sea</w:t>
      </w:r>
      <w:r>
        <w:rPr>
          <w:color w:val="803108"/>
          <w:spacing w:val="-4"/>
          <w:sz w:val="16"/>
        </w:rPr>
        <w:t xml:space="preserve"> </w:t>
      </w:r>
      <w:r>
        <w:rPr>
          <w:color w:val="803108"/>
          <w:sz w:val="16"/>
        </w:rPr>
        <w:t>accesible</w:t>
      </w:r>
      <w:r>
        <w:rPr>
          <w:color w:val="803108"/>
          <w:spacing w:val="-4"/>
          <w:sz w:val="16"/>
        </w:rPr>
        <w:t xml:space="preserve"> </w:t>
      </w:r>
      <w:r>
        <w:rPr>
          <w:color w:val="803108"/>
          <w:sz w:val="16"/>
        </w:rPr>
        <w:t>y</w:t>
      </w:r>
      <w:r>
        <w:rPr>
          <w:color w:val="803108"/>
          <w:spacing w:val="-4"/>
          <w:sz w:val="16"/>
        </w:rPr>
        <w:t xml:space="preserve"> </w:t>
      </w:r>
      <w:r>
        <w:rPr>
          <w:color w:val="803108"/>
          <w:sz w:val="16"/>
        </w:rPr>
        <w:t>se</w:t>
      </w:r>
      <w:r>
        <w:rPr>
          <w:color w:val="803108"/>
          <w:spacing w:val="-4"/>
          <w:sz w:val="16"/>
        </w:rPr>
        <w:t xml:space="preserve"> </w:t>
      </w:r>
      <w:r>
        <w:rPr>
          <w:color w:val="803108"/>
          <w:sz w:val="16"/>
        </w:rPr>
        <w:t xml:space="preserve">fomente </w:t>
      </w:r>
      <w:r>
        <w:rPr>
          <w:color w:val="803108"/>
          <w:spacing w:val="-2"/>
          <w:sz w:val="16"/>
        </w:rPr>
        <w:t>activamente.</w:t>
      </w:r>
    </w:p>
    <w:p w14:paraId="64D47F02" w14:textId="77777777" w:rsidR="0014798C" w:rsidRDefault="0014798C">
      <w:pPr>
        <w:pStyle w:val="Textoindependiente"/>
        <w:rPr>
          <w:sz w:val="11"/>
        </w:rPr>
      </w:pPr>
    </w:p>
    <w:p w14:paraId="471965BD" w14:textId="77777777" w:rsidR="0014798C" w:rsidRDefault="0014798C">
      <w:pPr>
        <w:pStyle w:val="Textoindependiente"/>
        <w:rPr>
          <w:sz w:val="11"/>
        </w:rPr>
      </w:pPr>
    </w:p>
    <w:p w14:paraId="3460E0B9" w14:textId="77777777" w:rsidR="0014798C" w:rsidRDefault="0014798C">
      <w:pPr>
        <w:pStyle w:val="Textoindependiente"/>
        <w:rPr>
          <w:sz w:val="11"/>
        </w:rPr>
      </w:pPr>
    </w:p>
    <w:p w14:paraId="0399E39D" w14:textId="77777777" w:rsidR="0014798C" w:rsidRDefault="0014798C">
      <w:pPr>
        <w:pStyle w:val="Textoindependiente"/>
        <w:rPr>
          <w:sz w:val="11"/>
        </w:rPr>
      </w:pPr>
    </w:p>
    <w:p w14:paraId="41BDBFAC" w14:textId="77777777" w:rsidR="0014798C" w:rsidRDefault="0014798C">
      <w:pPr>
        <w:pStyle w:val="Textoindependiente"/>
        <w:rPr>
          <w:sz w:val="11"/>
        </w:rPr>
      </w:pPr>
    </w:p>
    <w:p w14:paraId="276F07D2" w14:textId="77777777" w:rsidR="0014798C" w:rsidRDefault="0014798C">
      <w:pPr>
        <w:pStyle w:val="Textoindependiente"/>
        <w:spacing w:before="40"/>
        <w:rPr>
          <w:sz w:val="11"/>
        </w:rPr>
      </w:pPr>
    </w:p>
    <w:p w14:paraId="698BD110" w14:textId="77777777" w:rsidR="0014798C" w:rsidRDefault="004E1F0B">
      <w:pPr>
        <w:ind w:left="1111"/>
        <w:rPr>
          <w:sz w:val="11"/>
        </w:rPr>
      </w:pPr>
      <w:r>
        <w:rPr>
          <w:w w:val="105"/>
          <w:sz w:val="11"/>
        </w:rPr>
        <w:t>1074</w:t>
      </w:r>
      <w:r>
        <w:rPr>
          <w:spacing w:val="2"/>
          <w:w w:val="105"/>
          <w:sz w:val="11"/>
        </w:rPr>
        <w:t xml:space="preserve"> </w:t>
      </w:r>
      <w:r>
        <w:rPr>
          <w:w w:val="105"/>
          <w:sz w:val="11"/>
        </w:rPr>
        <w:t>Consejo</w:t>
      </w:r>
      <w:r>
        <w:rPr>
          <w:spacing w:val="3"/>
          <w:w w:val="105"/>
          <w:sz w:val="11"/>
        </w:rPr>
        <w:t xml:space="preserve"> </w:t>
      </w:r>
      <w:r>
        <w:rPr>
          <w:w w:val="105"/>
          <w:sz w:val="11"/>
        </w:rPr>
        <w:t>de</w:t>
      </w:r>
      <w:r>
        <w:rPr>
          <w:spacing w:val="3"/>
          <w:w w:val="105"/>
          <w:sz w:val="11"/>
        </w:rPr>
        <w:t xml:space="preserve"> </w:t>
      </w:r>
      <w:r>
        <w:rPr>
          <w:w w:val="105"/>
          <w:sz w:val="11"/>
        </w:rPr>
        <w:t>Europa,</w:t>
      </w:r>
      <w:r>
        <w:rPr>
          <w:spacing w:val="2"/>
          <w:w w:val="105"/>
          <w:sz w:val="11"/>
        </w:rPr>
        <w:t xml:space="preserve"> </w:t>
      </w:r>
      <w:r>
        <w:rPr>
          <w:w w:val="105"/>
          <w:sz w:val="11"/>
        </w:rPr>
        <w:t>Comité</w:t>
      </w:r>
      <w:r>
        <w:rPr>
          <w:spacing w:val="3"/>
          <w:w w:val="105"/>
          <w:sz w:val="11"/>
        </w:rPr>
        <w:t xml:space="preserve"> </w:t>
      </w:r>
      <w:r>
        <w:rPr>
          <w:w w:val="105"/>
          <w:sz w:val="11"/>
        </w:rPr>
        <w:t>Asesor</w:t>
      </w:r>
      <w:r>
        <w:rPr>
          <w:spacing w:val="2"/>
          <w:w w:val="105"/>
          <w:sz w:val="11"/>
        </w:rPr>
        <w:t xml:space="preserve"> </w:t>
      </w:r>
      <w:r>
        <w:rPr>
          <w:w w:val="105"/>
          <w:sz w:val="11"/>
        </w:rPr>
        <w:t>sobre</w:t>
      </w:r>
      <w:r>
        <w:rPr>
          <w:spacing w:val="3"/>
          <w:w w:val="105"/>
          <w:sz w:val="11"/>
        </w:rPr>
        <w:t xml:space="preserve"> </w:t>
      </w:r>
      <w:r>
        <w:rPr>
          <w:w w:val="105"/>
          <w:sz w:val="11"/>
        </w:rPr>
        <w:t>el</w:t>
      </w:r>
      <w:r>
        <w:rPr>
          <w:spacing w:val="2"/>
          <w:w w:val="105"/>
          <w:sz w:val="11"/>
        </w:rPr>
        <w:t xml:space="preserve"> </w:t>
      </w:r>
      <w:r>
        <w:rPr>
          <w:w w:val="105"/>
          <w:sz w:val="11"/>
        </w:rPr>
        <w:t>Convenio</w:t>
      </w:r>
      <w:r>
        <w:rPr>
          <w:spacing w:val="3"/>
          <w:w w:val="105"/>
          <w:sz w:val="11"/>
        </w:rPr>
        <w:t xml:space="preserve"> </w:t>
      </w:r>
      <w:r>
        <w:rPr>
          <w:w w:val="105"/>
          <w:sz w:val="11"/>
        </w:rPr>
        <w:t>Marco</w:t>
      </w:r>
      <w:r>
        <w:rPr>
          <w:spacing w:val="3"/>
          <w:w w:val="105"/>
          <w:sz w:val="11"/>
        </w:rPr>
        <w:t xml:space="preserve"> </w:t>
      </w:r>
      <w:r>
        <w:rPr>
          <w:w w:val="105"/>
          <w:sz w:val="11"/>
        </w:rPr>
        <w:t>para</w:t>
      </w:r>
      <w:r>
        <w:rPr>
          <w:spacing w:val="2"/>
          <w:w w:val="105"/>
          <w:sz w:val="11"/>
        </w:rPr>
        <w:t xml:space="preserve"> </w:t>
      </w:r>
      <w:r>
        <w:rPr>
          <w:w w:val="105"/>
          <w:sz w:val="11"/>
        </w:rPr>
        <w:t>la</w:t>
      </w:r>
      <w:r>
        <w:rPr>
          <w:spacing w:val="3"/>
          <w:w w:val="105"/>
          <w:sz w:val="11"/>
        </w:rPr>
        <w:t xml:space="preserve"> </w:t>
      </w:r>
      <w:r>
        <w:rPr>
          <w:w w:val="105"/>
          <w:sz w:val="11"/>
        </w:rPr>
        <w:t>Protección</w:t>
      </w:r>
      <w:r>
        <w:rPr>
          <w:spacing w:val="2"/>
          <w:w w:val="105"/>
          <w:sz w:val="11"/>
        </w:rPr>
        <w:t xml:space="preserve"> </w:t>
      </w:r>
      <w:r>
        <w:rPr>
          <w:w w:val="105"/>
          <w:sz w:val="11"/>
        </w:rPr>
        <w:t>de</w:t>
      </w:r>
      <w:r>
        <w:rPr>
          <w:spacing w:val="3"/>
          <w:w w:val="105"/>
          <w:sz w:val="11"/>
        </w:rPr>
        <w:t xml:space="preserve"> </w:t>
      </w:r>
      <w:r>
        <w:rPr>
          <w:w w:val="105"/>
          <w:sz w:val="11"/>
        </w:rPr>
        <w:t>las</w:t>
      </w:r>
      <w:r>
        <w:rPr>
          <w:spacing w:val="2"/>
          <w:w w:val="105"/>
          <w:sz w:val="11"/>
        </w:rPr>
        <w:t xml:space="preserve"> </w:t>
      </w:r>
      <w:r>
        <w:rPr>
          <w:w w:val="105"/>
          <w:sz w:val="11"/>
        </w:rPr>
        <w:t>Minorías</w:t>
      </w:r>
      <w:r>
        <w:rPr>
          <w:spacing w:val="2"/>
          <w:w w:val="105"/>
          <w:sz w:val="11"/>
        </w:rPr>
        <w:t xml:space="preserve"> </w:t>
      </w:r>
      <w:r>
        <w:rPr>
          <w:w w:val="105"/>
          <w:sz w:val="11"/>
        </w:rPr>
        <w:t>Nacionales,</w:t>
      </w:r>
      <w:r>
        <w:rPr>
          <w:spacing w:val="3"/>
          <w:w w:val="105"/>
          <w:sz w:val="11"/>
        </w:rPr>
        <w:t xml:space="preserve"> </w:t>
      </w:r>
      <w:r>
        <w:rPr>
          <w:w w:val="105"/>
          <w:sz w:val="11"/>
        </w:rPr>
        <w:t>“Cuarta</w:t>
      </w:r>
      <w:r>
        <w:rPr>
          <w:spacing w:val="2"/>
          <w:w w:val="105"/>
          <w:sz w:val="11"/>
        </w:rPr>
        <w:t xml:space="preserve"> </w:t>
      </w:r>
      <w:r>
        <w:rPr>
          <w:w w:val="105"/>
          <w:sz w:val="11"/>
        </w:rPr>
        <w:t>opinión</w:t>
      </w:r>
      <w:r>
        <w:rPr>
          <w:spacing w:val="3"/>
          <w:w w:val="105"/>
          <w:sz w:val="11"/>
        </w:rPr>
        <w:t xml:space="preserve"> </w:t>
      </w:r>
      <w:r>
        <w:rPr>
          <w:spacing w:val="-2"/>
          <w:w w:val="105"/>
          <w:sz w:val="11"/>
        </w:rPr>
        <w:t>sobre</w:t>
      </w:r>
    </w:p>
    <w:p w14:paraId="33E0417C" w14:textId="77777777" w:rsidR="0014798C" w:rsidRDefault="004E1F0B">
      <w:pPr>
        <w:spacing w:before="31"/>
        <w:ind w:left="1370"/>
        <w:rPr>
          <w:sz w:val="12"/>
        </w:rPr>
      </w:pPr>
      <w:r>
        <w:rPr>
          <w:w w:val="105"/>
          <w:sz w:val="12"/>
        </w:rPr>
        <w:t>Eslovenia”,</w:t>
      </w:r>
      <w:r>
        <w:rPr>
          <w:spacing w:val="-5"/>
          <w:w w:val="105"/>
          <w:sz w:val="12"/>
        </w:rPr>
        <w:t xml:space="preserve"> </w:t>
      </w:r>
      <w:r>
        <w:rPr>
          <w:w w:val="105"/>
          <w:sz w:val="12"/>
        </w:rPr>
        <w:t>ACFC/OP/</w:t>
      </w:r>
      <w:proofErr w:type="gramStart"/>
      <w:r>
        <w:rPr>
          <w:w w:val="105"/>
          <w:sz w:val="12"/>
        </w:rPr>
        <w:t>IV(</w:t>
      </w:r>
      <w:proofErr w:type="gramEnd"/>
      <w:r>
        <w:rPr>
          <w:w w:val="105"/>
          <w:sz w:val="12"/>
        </w:rPr>
        <w:t>2017)003</w:t>
      </w:r>
      <w:r>
        <w:rPr>
          <w:spacing w:val="-6"/>
          <w:w w:val="105"/>
          <w:sz w:val="12"/>
        </w:rPr>
        <w:t xml:space="preserve"> </w:t>
      </w:r>
      <w:r>
        <w:rPr>
          <w:w w:val="105"/>
          <w:sz w:val="12"/>
        </w:rPr>
        <w:t>(2018),</w:t>
      </w:r>
      <w:r>
        <w:rPr>
          <w:spacing w:val="-4"/>
          <w:w w:val="105"/>
          <w:sz w:val="12"/>
        </w:rPr>
        <w:t xml:space="preserve"> </w:t>
      </w:r>
      <w:proofErr w:type="spellStart"/>
      <w:r>
        <w:rPr>
          <w:w w:val="105"/>
          <w:sz w:val="12"/>
        </w:rPr>
        <w:t>párrs</w:t>
      </w:r>
      <w:proofErr w:type="spellEnd"/>
      <w:r>
        <w:rPr>
          <w:w w:val="105"/>
          <w:sz w:val="12"/>
        </w:rPr>
        <w:t>.</w:t>
      </w:r>
      <w:r>
        <w:rPr>
          <w:spacing w:val="-6"/>
          <w:w w:val="105"/>
          <w:sz w:val="12"/>
        </w:rPr>
        <w:t xml:space="preserve"> </w:t>
      </w:r>
      <w:r>
        <w:rPr>
          <w:w w:val="105"/>
          <w:sz w:val="12"/>
        </w:rPr>
        <w:t>80–84</w:t>
      </w:r>
      <w:r>
        <w:rPr>
          <w:spacing w:val="-5"/>
          <w:w w:val="105"/>
          <w:sz w:val="12"/>
        </w:rPr>
        <w:t xml:space="preserve"> </w:t>
      </w:r>
      <w:r>
        <w:rPr>
          <w:w w:val="105"/>
          <w:sz w:val="12"/>
        </w:rPr>
        <w:t>(notas</w:t>
      </w:r>
      <w:r>
        <w:rPr>
          <w:spacing w:val="-6"/>
          <w:w w:val="105"/>
          <w:sz w:val="12"/>
        </w:rPr>
        <w:t xml:space="preserve"> </w:t>
      </w:r>
      <w:r>
        <w:rPr>
          <w:w w:val="105"/>
          <w:sz w:val="12"/>
        </w:rPr>
        <w:t>a</w:t>
      </w:r>
      <w:r>
        <w:rPr>
          <w:spacing w:val="-6"/>
          <w:w w:val="105"/>
          <w:sz w:val="12"/>
        </w:rPr>
        <w:t xml:space="preserve"> </w:t>
      </w:r>
      <w:r>
        <w:rPr>
          <w:w w:val="105"/>
          <w:sz w:val="12"/>
        </w:rPr>
        <w:t>pie</w:t>
      </w:r>
      <w:r>
        <w:rPr>
          <w:spacing w:val="-5"/>
          <w:w w:val="105"/>
          <w:sz w:val="12"/>
        </w:rPr>
        <w:t xml:space="preserve"> </w:t>
      </w:r>
      <w:r>
        <w:rPr>
          <w:w w:val="105"/>
          <w:sz w:val="12"/>
        </w:rPr>
        <w:t>de</w:t>
      </w:r>
      <w:r>
        <w:rPr>
          <w:spacing w:val="-6"/>
          <w:w w:val="105"/>
          <w:sz w:val="12"/>
        </w:rPr>
        <w:t xml:space="preserve"> </w:t>
      </w:r>
      <w:r>
        <w:rPr>
          <w:w w:val="105"/>
          <w:sz w:val="12"/>
        </w:rPr>
        <w:t>página</w:t>
      </w:r>
      <w:r>
        <w:rPr>
          <w:spacing w:val="-5"/>
          <w:w w:val="105"/>
          <w:sz w:val="12"/>
        </w:rPr>
        <w:t xml:space="preserve"> </w:t>
      </w:r>
      <w:r>
        <w:rPr>
          <w:spacing w:val="-2"/>
          <w:w w:val="105"/>
          <w:sz w:val="12"/>
        </w:rPr>
        <w:t>omitidas).</w:t>
      </w:r>
    </w:p>
    <w:p w14:paraId="3D3CF063" w14:textId="77777777" w:rsidR="0014798C" w:rsidRDefault="004E1F0B">
      <w:pPr>
        <w:spacing w:before="98"/>
        <w:ind w:left="1111"/>
        <w:rPr>
          <w:sz w:val="12"/>
        </w:rPr>
      </w:pPr>
      <w:r>
        <w:rPr>
          <w:w w:val="105"/>
          <w:sz w:val="12"/>
          <w:vertAlign w:val="superscript"/>
        </w:rPr>
        <w:t>1075</w:t>
      </w:r>
      <w:r>
        <w:rPr>
          <w:spacing w:val="28"/>
          <w:w w:val="105"/>
          <w:sz w:val="12"/>
        </w:rPr>
        <w:t xml:space="preserve"> </w:t>
      </w:r>
      <w:r>
        <w:rPr>
          <w:w w:val="105"/>
          <w:sz w:val="12"/>
        </w:rPr>
        <w:t>A/HRC/43/47,</w:t>
      </w:r>
      <w:r>
        <w:rPr>
          <w:spacing w:val="-1"/>
          <w:w w:val="105"/>
          <w:sz w:val="12"/>
        </w:rPr>
        <w:t xml:space="preserve"> </w:t>
      </w:r>
      <w:r>
        <w:rPr>
          <w:w w:val="105"/>
          <w:sz w:val="12"/>
        </w:rPr>
        <w:t>párr.</w:t>
      </w:r>
      <w:r>
        <w:rPr>
          <w:spacing w:val="-2"/>
          <w:w w:val="105"/>
          <w:sz w:val="12"/>
        </w:rPr>
        <w:t xml:space="preserve"> </w:t>
      </w:r>
      <w:r>
        <w:rPr>
          <w:spacing w:val="-5"/>
          <w:w w:val="105"/>
          <w:sz w:val="12"/>
        </w:rPr>
        <w:t>66.</w:t>
      </w:r>
    </w:p>
    <w:p w14:paraId="65DEE499" w14:textId="77777777" w:rsidR="0014798C" w:rsidRDefault="0014798C">
      <w:pPr>
        <w:pStyle w:val="Textoindependiente"/>
        <w:rPr>
          <w:sz w:val="18"/>
        </w:rPr>
      </w:pPr>
    </w:p>
    <w:p w14:paraId="32F4AB3B" w14:textId="77777777" w:rsidR="0014798C" w:rsidRDefault="0014798C">
      <w:pPr>
        <w:pStyle w:val="Textoindependiente"/>
        <w:rPr>
          <w:sz w:val="18"/>
        </w:rPr>
      </w:pPr>
    </w:p>
    <w:p w14:paraId="6F59D49E" w14:textId="77777777" w:rsidR="0014798C" w:rsidRDefault="0014798C">
      <w:pPr>
        <w:pStyle w:val="Textoindependiente"/>
        <w:spacing w:before="29"/>
        <w:rPr>
          <w:sz w:val="18"/>
        </w:rPr>
      </w:pPr>
    </w:p>
    <w:p w14:paraId="643E9799" w14:textId="77777777" w:rsidR="0014798C" w:rsidRDefault="004E1F0B">
      <w:pPr>
        <w:ind w:right="696"/>
        <w:jc w:val="right"/>
        <w:rPr>
          <w:sz w:val="18"/>
        </w:rPr>
      </w:pPr>
      <w:r>
        <w:rPr>
          <w:spacing w:val="-5"/>
          <w:w w:val="105"/>
          <w:sz w:val="18"/>
        </w:rPr>
        <w:t>157</w:t>
      </w:r>
    </w:p>
    <w:p w14:paraId="504ABF7E" w14:textId="77777777" w:rsidR="0014798C" w:rsidRDefault="0014798C">
      <w:pPr>
        <w:jc w:val="right"/>
        <w:rPr>
          <w:sz w:val="18"/>
        </w:rPr>
        <w:sectPr w:rsidR="0014798C" w:rsidSect="00F265E4">
          <w:pgSz w:w="11900" w:h="16820"/>
          <w:pgMar w:top="340" w:right="0" w:bottom="280" w:left="200" w:header="121" w:footer="0" w:gutter="0"/>
          <w:cols w:space="720"/>
        </w:sectPr>
      </w:pPr>
    </w:p>
    <w:p w14:paraId="5EA128BA" w14:textId="77777777" w:rsidR="0014798C" w:rsidRDefault="0014798C">
      <w:pPr>
        <w:pStyle w:val="Textoindependiente"/>
        <w:spacing w:before="85"/>
        <w:rPr>
          <w:sz w:val="12"/>
        </w:rPr>
      </w:pPr>
    </w:p>
    <w:p w14:paraId="67A44D3F" w14:textId="77777777" w:rsidR="0014798C" w:rsidRDefault="004E1F0B">
      <w:pPr>
        <w:ind w:left="1111"/>
        <w:rPr>
          <w:sz w:val="12"/>
        </w:rPr>
      </w:pPr>
      <w:r>
        <w:rPr>
          <w:color w:val="803108"/>
          <w:sz w:val="12"/>
        </w:rPr>
        <w:t>PROTECCIÓN</w:t>
      </w:r>
      <w:r>
        <w:rPr>
          <w:color w:val="803108"/>
          <w:spacing w:val="6"/>
          <w:sz w:val="12"/>
        </w:rPr>
        <w:t xml:space="preserve"> </w:t>
      </w:r>
      <w:r>
        <w:rPr>
          <w:color w:val="803108"/>
          <w:sz w:val="12"/>
        </w:rPr>
        <w:t>DE</w:t>
      </w:r>
      <w:r>
        <w:rPr>
          <w:color w:val="803108"/>
          <w:spacing w:val="7"/>
          <w:sz w:val="12"/>
        </w:rPr>
        <w:t xml:space="preserve"> </w:t>
      </w:r>
      <w:r>
        <w:rPr>
          <w:color w:val="803108"/>
          <w:sz w:val="12"/>
        </w:rPr>
        <w:t>LOS</w:t>
      </w:r>
      <w:r>
        <w:rPr>
          <w:color w:val="803108"/>
          <w:spacing w:val="8"/>
          <w:sz w:val="12"/>
        </w:rPr>
        <w:t xml:space="preserve"> </w:t>
      </w:r>
      <w:r>
        <w:rPr>
          <w:color w:val="803108"/>
          <w:sz w:val="12"/>
        </w:rPr>
        <w:t>DERECHOS</w:t>
      </w:r>
      <w:r>
        <w:rPr>
          <w:color w:val="803108"/>
          <w:spacing w:val="8"/>
          <w:sz w:val="12"/>
        </w:rPr>
        <w:t xml:space="preserve"> </w:t>
      </w:r>
      <w:r>
        <w:rPr>
          <w:color w:val="803108"/>
          <w:sz w:val="12"/>
        </w:rPr>
        <w:t>DE</w:t>
      </w:r>
      <w:r>
        <w:rPr>
          <w:color w:val="803108"/>
          <w:spacing w:val="6"/>
          <w:sz w:val="12"/>
        </w:rPr>
        <w:t xml:space="preserve"> </w:t>
      </w:r>
      <w:r>
        <w:rPr>
          <w:color w:val="803108"/>
          <w:sz w:val="12"/>
        </w:rPr>
        <w:t>LAS</w:t>
      </w:r>
      <w:r>
        <w:rPr>
          <w:color w:val="803108"/>
          <w:spacing w:val="7"/>
          <w:sz w:val="12"/>
        </w:rPr>
        <w:t xml:space="preserve"> </w:t>
      </w:r>
      <w:r>
        <w:rPr>
          <w:color w:val="803108"/>
          <w:sz w:val="12"/>
        </w:rPr>
        <w:t>MINORÍAS:</w:t>
      </w:r>
      <w:r>
        <w:rPr>
          <w:color w:val="803108"/>
          <w:spacing w:val="8"/>
          <w:sz w:val="12"/>
        </w:rPr>
        <w:t xml:space="preserve"> </w:t>
      </w:r>
      <w:r>
        <w:rPr>
          <w:color w:val="803108"/>
          <w:sz w:val="12"/>
        </w:rPr>
        <w:t>una</w:t>
      </w:r>
      <w:r>
        <w:rPr>
          <w:color w:val="803108"/>
          <w:spacing w:val="7"/>
          <w:sz w:val="12"/>
        </w:rPr>
        <w:t xml:space="preserve"> </w:t>
      </w:r>
      <w:r>
        <w:rPr>
          <w:color w:val="803108"/>
          <w:sz w:val="12"/>
        </w:rPr>
        <w:t>guía</w:t>
      </w:r>
      <w:r>
        <w:rPr>
          <w:color w:val="803108"/>
          <w:spacing w:val="6"/>
          <w:sz w:val="12"/>
        </w:rPr>
        <w:t xml:space="preserve"> </w:t>
      </w:r>
      <w:r>
        <w:rPr>
          <w:color w:val="803108"/>
          <w:sz w:val="12"/>
        </w:rPr>
        <w:t>práctica</w:t>
      </w:r>
      <w:r>
        <w:rPr>
          <w:color w:val="803108"/>
          <w:spacing w:val="7"/>
          <w:sz w:val="12"/>
        </w:rPr>
        <w:t xml:space="preserve"> </w:t>
      </w:r>
      <w:r>
        <w:rPr>
          <w:color w:val="803108"/>
          <w:sz w:val="12"/>
        </w:rPr>
        <w:t>para</w:t>
      </w:r>
      <w:r>
        <w:rPr>
          <w:color w:val="803108"/>
          <w:spacing w:val="8"/>
          <w:sz w:val="12"/>
        </w:rPr>
        <w:t xml:space="preserve"> </w:t>
      </w:r>
      <w:r>
        <w:rPr>
          <w:color w:val="803108"/>
          <w:sz w:val="12"/>
        </w:rPr>
        <w:t>desarrollar</w:t>
      </w:r>
      <w:r>
        <w:rPr>
          <w:color w:val="803108"/>
          <w:spacing w:val="6"/>
          <w:sz w:val="12"/>
        </w:rPr>
        <w:t xml:space="preserve"> </w:t>
      </w:r>
      <w:r>
        <w:rPr>
          <w:color w:val="803108"/>
          <w:sz w:val="12"/>
        </w:rPr>
        <w:t>una</w:t>
      </w:r>
      <w:r>
        <w:rPr>
          <w:color w:val="803108"/>
          <w:spacing w:val="7"/>
          <w:sz w:val="12"/>
        </w:rPr>
        <w:t xml:space="preserve"> </w:t>
      </w:r>
      <w:r>
        <w:rPr>
          <w:color w:val="803108"/>
          <w:sz w:val="12"/>
        </w:rPr>
        <w:t>legislación</w:t>
      </w:r>
      <w:r>
        <w:rPr>
          <w:color w:val="803108"/>
          <w:spacing w:val="8"/>
          <w:sz w:val="12"/>
        </w:rPr>
        <w:t xml:space="preserve"> </w:t>
      </w:r>
      <w:r>
        <w:rPr>
          <w:color w:val="803108"/>
          <w:sz w:val="12"/>
        </w:rPr>
        <w:t>integral</w:t>
      </w:r>
      <w:r>
        <w:rPr>
          <w:color w:val="803108"/>
          <w:spacing w:val="7"/>
          <w:sz w:val="12"/>
        </w:rPr>
        <w:t xml:space="preserve"> </w:t>
      </w:r>
      <w:r>
        <w:rPr>
          <w:color w:val="803108"/>
          <w:sz w:val="12"/>
        </w:rPr>
        <w:t>contra</w:t>
      </w:r>
      <w:r>
        <w:rPr>
          <w:color w:val="803108"/>
          <w:spacing w:val="6"/>
          <w:sz w:val="12"/>
        </w:rPr>
        <w:t xml:space="preserve"> </w:t>
      </w:r>
      <w:r>
        <w:rPr>
          <w:color w:val="803108"/>
          <w:sz w:val="12"/>
        </w:rPr>
        <w:t>la</w:t>
      </w:r>
      <w:r>
        <w:rPr>
          <w:color w:val="803108"/>
          <w:spacing w:val="7"/>
          <w:sz w:val="12"/>
        </w:rPr>
        <w:t xml:space="preserve"> </w:t>
      </w:r>
      <w:r>
        <w:rPr>
          <w:color w:val="803108"/>
          <w:spacing w:val="-2"/>
          <w:sz w:val="12"/>
        </w:rPr>
        <w:t>discriminación</w:t>
      </w:r>
    </w:p>
    <w:p w14:paraId="25345663" w14:textId="77777777" w:rsidR="0014798C" w:rsidRDefault="0014798C">
      <w:pPr>
        <w:pStyle w:val="Textoindependiente"/>
        <w:rPr>
          <w:sz w:val="17"/>
        </w:rPr>
      </w:pPr>
    </w:p>
    <w:p w14:paraId="63E2C80A" w14:textId="77777777" w:rsidR="0014798C" w:rsidRDefault="0014798C">
      <w:pPr>
        <w:pStyle w:val="Textoindependiente"/>
        <w:rPr>
          <w:sz w:val="17"/>
        </w:rPr>
      </w:pPr>
    </w:p>
    <w:p w14:paraId="0E210AB1" w14:textId="77777777" w:rsidR="0014798C" w:rsidRDefault="0014798C">
      <w:pPr>
        <w:pStyle w:val="Textoindependiente"/>
        <w:rPr>
          <w:sz w:val="17"/>
        </w:rPr>
      </w:pPr>
    </w:p>
    <w:p w14:paraId="24A3E0B9" w14:textId="77777777" w:rsidR="0014798C" w:rsidRDefault="0014798C">
      <w:pPr>
        <w:pStyle w:val="Textoindependiente"/>
        <w:spacing w:before="184"/>
        <w:rPr>
          <w:sz w:val="17"/>
        </w:rPr>
      </w:pPr>
    </w:p>
    <w:p w14:paraId="3DF0EA6E" w14:textId="77777777" w:rsidR="0014798C" w:rsidRDefault="004E1F0B">
      <w:pPr>
        <w:pStyle w:val="Prrafodelista"/>
        <w:numPr>
          <w:ilvl w:val="1"/>
          <w:numId w:val="14"/>
        </w:numPr>
        <w:tabs>
          <w:tab w:val="left" w:pos="299"/>
        </w:tabs>
        <w:ind w:left="299" w:hanging="189"/>
        <w:jc w:val="center"/>
        <w:rPr>
          <w:color w:val="803108"/>
          <w:sz w:val="17"/>
        </w:rPr>
      </w:pPr>
      <w:r>
        <w:rPr>
          <w:color w:val="803108"/>
          <w:sz w:val="17"/>
        </w:rPr>
        <w:t>El</w:t>
      </w:r>
      <w:r>
        <w:rPr>
          <w:color w:val="803108"/>
          <w:spacing w:val="1"/>
          <w:sz w:val="17"/>
        </w:rPr>
        <w:t xml:space="preserve"> </w:t>
      </w:r>
      <w:r>
        <w:rPr>
          <w:color w:val="803108"/>
          <w:sz w:val="17"/>
        </w:rPr>
        <w:t>principio</w:t>
      </w:r>
      <w:r>
        <w:rPr>
          <w:color w:val="803108"/>
          <w:spacing w:val="1"/>
          <w:sz w:val="17"/>
        </w:rPr>
        <w:t xml:space="preserve"> </w:t>
      </w:r>
      <w:r>
        <w:rPr>
          <w:color w:val="803108"/>
          <w:sz w:val="17"/>
        </w:rPr>
        <w:t>de</w:t>
      </w:r>
      <w:r>
        <w:rPr>
          <w:color w:val="803108"/>
          <w:spacing w:val="2"/>
          <w:sz w:val="17"/>
        </w:rPr>
        <w:t xml:space="preserve"> </w:t>
      </w:r>
      <w:r>
        <w:rPr>
          <w:color w:val="803108"/>
          <w:sz w:val="17"/>
        </w:rPr>
        <w:t>inclusión,</w:t>
      </w:r>
      <w:r>
        <w:rPr>
          <w:color w:val="803108"/>
          <w:spacing w:val="2"/>
          <w:sz w:val="17"/>
        </w:rPr>
        <w:t xml:space="preserve"> </w:t>
      </w:r>
      <w:r>
        <w:rPr>
          <w:color w:val="803108"/>
          <w:sz w:val="17"/>
        </w:rPr>
        <w:t>por</w:t>
      </w:r>
      <w:r>
        <w:rPr>
          <w:color w:val="803108"/>
          <w:spacing w:val="1"/>
          <w:sz w:val="17"/>
        </w:rPr>
        <w:t xml:space="preserve"> </w:t>
      </w:r>
      <w:r>
        <w:rPr>
          <w:color w:val="803108"/>
          <w:sz w:val="17"/>
        </w:rPr>
        <w:t>el</w:t>
      </w:r>
      <w:r>
        <w:rPr>
          <w:color w:val="803108"/>
          <w:spacing w:val="2"/>
          <w:sz w:val="17"/>
        </w:rPr>
        <w:t xml:space="preserve"> </w:t>
      </w:r>
      <w:r>
        <w:rPr>
          <w:color w:val="803108"/>
          <w:sz w:val="17"/>
        </w:rPr>
        <w:t>cual</w:t>
      </w:r>
      <w:r>
        <w:rPr>
          <w:color w:val="803108"/>
          <w:spacing w:val="1"/>
          <w:sz w:val="17"/>
        </w:rPr>
        <w:t xml:space="preserve"> </w:t>
      </w:r>
      <w:r>
        <w:rPr>
          <w:color w:val="803108"/>
          <w:sz w:val="17"/>
        </w:rPr>
        <w:t>todos</w:t>
      </w:r>
      <w:r>
        <w:rPr>
          <w:color w:val="803108"/>
          <w:spacing w:val="1"/>
          <w:sz w:val="17"/>
        </w:rPr>
        <w:t xml:space="preserve"> </w:t>
      </w:r>
      <w:r>
        <w:rPr>
          <w:color w:val="803108"/>
          <w:sz w:val="17"/>
        </w:rPr>
        <w:t>los</w:t>
      </w:r>
      <w:r>
        <w:rPr>
          <w:color w:val="803108"/>
          <w:spacing w:val="2"/>
          <w:sz w:val="17"/>
        </w:rPr>
        <w:t xml:space="preserve"> </w:t>
      </w:r>
      <w:r>
        <w:rPr>
          <w:color w:val="803108"/>
          <w:sz w:val="17"/>
        </w:rPr>
        <w:t>estudiantes</w:t>
      </w:r>
      <w:r>
        <w:rPr>
          <w:color w:val="803108"/>
          <w:spacing w:val="1"/>
          <w:sz w:val="17"/>
        </w:rPr>
        <w:t xml:space="preserve"> </w:t>
      </w:r>
      <w:r>
        <w:rPr>
          <w:color w:val="803108"/>
          <w:sz w:val="17"/>
        </w:rPr>
        <w:t>tienen</w:t>
      </w:r>
      <w:r>
        <w:rPr>
          <w:color w:val="803108"/>
          <w:spacing w:val="1"/>
          <w:sz w:val="17"/>
        </w:rPr>
        <w:t xml:space="preserve"> </w:t>
      </w:r>
      <w:r>
        <w:rPr>
          <w:color w:val="803108"/>
          <w:sz w:val="17"/>
        </w:rPr>
        <w:t>la</w:t>
      </w:r>
      <w:r>
        <w:rPr>
          <w:color w:val="803108"/>
          <w:spacing w:val="2"/>
          <w:sz w:val="17"/>
        </w:rPr>
        <w:t xml:space="preserve"> </w:t>
      </w:r>
      <w:r>
        <w:rPr>
          <w:color w:val="803108"/>
          <w:sz w:val="17"/>
        </w:rPr>
        <w:t>oportunidad</w:t>
      </w:r>
      <w:r>
        <w:rPr>
          <w:color w:val="803108"/>
          <w:spacing w:val="1"/>
          <w:sz w:val="17"/>
        </w:rPr>
        <w:t xml:space="preserve"> </w:t>
      </w:r>
      <w:r>
        <w:rPr>
          <w:color w:val="803108"/>
          <w:sz w:val="17"/>
        </w:rPr>
        <w:t>de</w:t>
      </w:r>
      <w:r>
        <w:rPr>
          <w:color w:val="803108"/>
          <w:spacing w:val="1"/>
          <w:sz w:val="17"/>
        </w:rPr>
        <w:t xml:space="preserve"> </w:t>
      </w:r>
      <w:r>
        <w:rPr>
          <w:color w:val="803108"/>
          <w:sz w:val="17"/>
        </w:rPr>
        <w:t>aprender</w:t>
      </w:r>
      <w:r>
        <w:rPr>
          <w:color w:val="803108"/>
          <w:spacing w:val="2"/>
          <w:sz w:val="17"/>
        </w:rPr>
        <w:t xml:space="preserve"> </w:t>
      </w:r>
      <w:r>
        <w:rPr>
          <w:color w:val="803108"/>
          <w:sz w:val="17"/>
        </w:rPr>
        <w:t>el</w:t>
      </w:r>
      <w:r>
        <w:rPr>
          <w:color w:val="803108"/>
          <w:spacing w:val="1"/>
          <w:sz w:val="17"/>
        </w:rPr>
        <w:t xml:space="preserve"> </w:t>
      </w:r>
      <w:r>
        <w:rPr>
          <w:color w:val="803108"/>
          <w:sz w:val="17"/>
        </w:rPr>
        <w:t>idioma</w:t>
      </w:r>
      <w:r>
        <w:rPr>
          <w:color w:val="803108"/>
          <w:spacing w:val="1"/>
          <w:sz w:val="17"/>
        </w:rPr>
        <w:t xml:space="preserve"> </w:t>
      </w:r>
      <w:r>
        <w:rPr>
          <w:color w:val="803108"/>
          <w:spacing w:val="-2"/>
          <w:sz w:val="17"/>
        </w:rPr>
        <w:t>oficial.</w:t>
      </w:r>
    </w:p>
    <w:p w14:paraId="5E5E53E7" w14:textId="77777777" w:rsidR="0014798C" w:rsidRDefault="004E1F0B">
      <w:pPr>
        <w:spacing w:before="75"/>
        <w:ind w:left="564" w:right="5064"/>
        <w:jc w:val="center"/>
        <w:rPr>
          <w:sz w:val="14"/>
        </w:rPr>
      </w:pPr>
      <w:r>
        <w:rPr>
          <w:color w:val="803108"/>
          <w:w w:val="105"/>
          <w:sz w:val="14"/>
        </w:rPr>
        <w:t>lengua</w:t>
      </w:r>
      <w:r>
        <w:rPr>
          <w:color w:val="803108"/>
          <w:spacing w:val="-9"/>
          <w:w w:val="105"/>
          <w:sz w:val="14"/>
        </w:rPr>
        <w:t xml:space="preserve"> </w:t>
      </w:r>
      <w:r>
        <w:rPr>
          <w:color w:val="803108"/>
          <w:w w:val="105"/>
          <w:sz w:val="14"/>
        </w:rPr>
        <w:t>y</w:t>
      </w:r>
      <w:r>
        <w:rPr>
          <w:color w:val="803108"/>
          <w:spacing w:val="-8"/>
          <w:w w:val="105"/>
          <w:sz w:val="14"/>
        </w:rPr>
        <w:t xml:space="preserve"> </w:t>
      </w:r>
      <w:r>
        <w:rPr>
          <w:color w:val="803108"/>
          <w:w w:val="105"/>
          <w:sz w:val="14"/>
        </w:rPr>
        <w:t>sobre</w:t>
      </w:r>
      <w:r>
        <w:rPr>
          <w:color w:val="803108"/>
          <w:spacing w:val="-9"/>
          <w:w w:val="105"/>
          <w:sz w:val="14"/>
        </w:rPr>
        <w:t xml:space="preserve"> </w:t>
      </w:r>
      <w:r>
        <w:rPr>
          <w:color w:val="803108"/>
          <w:w w:val="105"/>
          <w:sz w:val="14"/>
        </w:rPr>
        <w:t>la</w:t>
      </w:r>
      <w:r>
        <w:rPr>
          <w:color w:val="803108"/>
          <w:spacing w:val="-8"/>
          <w:w w:val="105"/>
          <w:sz w:val="14"/>
        </w:rPr>
        <w:t xml:space="preserve"> </w:t>
      </w:r>
      <w:r>
        <w:rPr>
          <w:color w:val="803108"/>
          <w:w w:val="105"/>
          <w:sz w:val="14"/>
        </w:rPr>
        <w:t>comprensión</w:t>
      </w:r>
      <w:r>
        <w:rPr>
          <w:color w:val="803108"/>
          <w:spacing w:val="-9"/>
          <w:w w:val="105"/>
          <w:sz w:val="14"/>
        </w:rPr>
        <w:t xml:space="preserve"> </w:t>
      </w:r>
      <w:r>
        <w:rPr>
          <w:color w:val="803108"/>
          <w:spacing w:val="-2"/>
          <w:w w:val="105"/>
          <w:sz w:val="14"/>
        </w:rPr>
        <w:t>intercultural.1076</w:t>
      </w:r>
    </w:p>
    <w:p w14:paraId="63C5ABDE" w14:textId="77777777" w:rsidR="0014798C" w:rsidRDefault="0014798C">
      <w:pPr>
        <w:pStyle w:val="Textoindependiente"/>
        <w:spacing w:before="41"/>
        <w:rPr>
          <w:sz w:val="14"/>
        </w:rPr>
      </w:pPr>
    </w:p>
    <w:p w14:paraId="315F5385" w14:textId="77777777" w:rsidR="0014798C" w:rsidRDefault="004E1F0B">
      <w:pPr>
        <w:ind w:left="1108"/>
        <w:rPr>
          <w:sz w:val="14"/>
        </w:rPr>
      </w:pPr>
      <w:r>
        <w:rPr>
          <w:w w:val="105"/>
          <w:sz w:val="14"/>
        </w:rPr>
        <w:t>Al</w:t>
      </w:r>
      <w:r>
        <w:rPr>
          <w:spacing w:val="-9"/>
          <w:w w:val="105"/>
          <w:sz w:val="14"/>
        </w:rPr>
        <w:t xml:space="preserve"> </w:t>
      </w:r>
      <w:r>
        <w:rPr>
          <w:w w:val="105"/>
          <w:sz w:val="14"/>
        </w:rPr>
        <w:t>explicar</w:t>
      </w:r>
      <w:r>
        <w:rPr>
          <w:spacing w:val="-8"/>
          <w:w w:val="105"/>
          <w:sz w:val="14"/>
        </w:rPr>
        <w:t xml:space="preserve"> </w:t>
      </w:r>
      <w:r>
        <w:rPr>
          <w:w w:val="105"/>
          <w:sz w:val="14"/>
        </w:rPr>
        <w:t>el</w:t>
      </w:r>
      <w:r>
        <w:rPr>
          <w:spacing w:val="-8"/>
          <w:w w:val="105"/>
          <w:sz w:val="14"/>
        </w:rPr>
        <w:t xml:space="preserve"> </w:t>
      </w:r>
      <w:r>
        <w:rPr>
          <w:w w:val="105"/>
          <w:sz w:val="14"/>
        </w:rPr>
        <w:t>principio</w:t>
      </w:r>
      <w:r>
        <w:rPr>
          <w:spacing w:val="-8"/>
          <w:w w:val="105"/>
          <w:sz w:val="14"/>
        </w:rPr>
        <w:t xml:space="preserve"> </w:t>
      </w:r>
      <w:r>
        <w:rPr>
          <w:w w:val="105"/>
          <w:sz w:val="14"/>
        </w:rPr>
        <w:t>de</w:t>
      </w:r>
      <w:r>
        <w:rPr>
          <w:spacing w:val="-8"/>
          <w:w w:val="105"/>
          <w:sz w:val="14"/>
        </w:rPr>
        <w:t xml:space="preserve"> </w:t>
      </w:r>
      <w:r>
        <w:rPr>
          <w:w w:val="105"/>
          <w:sz w:val="14"/>
        </w:rPr>
        <w:t>proporcionalidad,</w:t>
      </w:r>
      <w:r>
        <w:rPr>
          <w:spacing w:val="-7"/>
          <w:w w:val="105"/>
          <w:sz w:val="14"/>
        </w:rPr>
        <w:t xml:space="preserve"> </w:t>
      </w:r>
      <w:r>
        <w:rPr>
          <w:w w:val="105"/>
          <w:sz w:val="14"/>
        </w:rPr>
        <w:t>el</w:t>
      </w:r>
      <w:r>
        <w:rPr>
          <w:spacing w:val="-8"/>
          <w:w w:val="105"/>
          <w:sz w:val="14"/>
        </w:rPr>
        <w:t xml:space="preserve"> </w:t>
      </w:r>
      <w:r>
        <w:rPr>
          <w:w w:val="105"/>
          <w:sz w:val="14"/>
        </w:rPr>
        <w:t>Relator</w:t>
      </w:r>
      <w:r>
        <w:rPr>
          <w:spacing w:val="-8"/>
          <w:w w:val="105"/>
          <w:sz w:val="14"/>
        </w:rPr>
        <w:t xml:space="preserve"> </w:t>
      </w:r>
      <w:r>
        <w:rPr>
          <w:w w:val="105"/>
          <w:sz w:val="14"/>
        </w:rPr>
        <w:t>Especial</w:t>
      </w:r>
      <w:r>
        <w:rPr>
          <w:spacing w:val="-8"/>
          <w:w w:val="105"/>
          <w:sz w:val="14"/>
        </w:rPr>
        <w:t xml:space="preserve"> </w:t>
      </w:r>
      <w:r>
        <w:rPr>
          <w:w w:val="105"/>
          <w:sz w:val="14"/>
        </w:rPr>
        <w:t>sobre</w:t>
      </w:r>
      <w:r>
        <w:rPr>
          <w:spacing w:val="-8"/>
          <w:w w:val="105"/>
          <w:sz w:val="14"/>
        </w:rPr>
        <w:t xml:space="preserve"> </w:t>
      </w:r>
      <w:r>
        <w:rPr>
          <w:w w:val="105"/>
          <w:sz w:val="14"/>
        </w:rPr>
        <w:t>cuestiones</w:t>
      </w:r>
      <w:r>
        <w:rPr>
          <w:spacing w:val="-9"/>
          <w:w w:val="105"/>
          <w:sz w:val="14"/>
        </w:rPr>
        <w:t xml:space="preserve"> </w:t>
      </w:r>
      <w:r>
        <w:rPr>
          <w:w w:val="105"/>
          <w:sz w:val="14"/>
        </w:rPr>
        <w:t>de</w:t>
      </w:r>
      <w:r>
        <w:rPr>
          <w:spacing w:val="-8"/>
          <w:w w:val="105"/>
          <w:sz w:val="14"/>
        </w:rPr>
        <w:t xml:space="preserve"> </w:t>
      </w:r>
      <w:r>
        <w:rPr>
          <w:w w:val="105"/>
          <w:sz w:val="14"/>
        </w:rPr>
        <w:t>las</w:t>
      </w:r>
      <w:r>
        <w:rPr>
          <w:spacing w:val="-8"/>
          <w:w w:val="105"/>
          <w:sz w:val="14"/>
        </w:rPr>
        <w:t xml:space="preserve"> </w:t>
      </w:r>
      <w:r>
        <w:rPr>
          <w:w w:val="105"/>
          <w:sz w:val="14"/>
        </w:rPr>
        <w:t>minorías</w:t>
      </w:r>
      <w:r>
        <w:rPr>
          <w:spacing w:val="-8"/>
          <w:w w:val="105"/>
          <w:sz w:val="14"/>
        </w:rPr>
        <w:t xml:space="preserve"> </w:t>
      </w:r>
      <w:r>
        <w:rPr>
          <w:w w:val="105"/>
          <w:sz w:val="14"/>
        </w:rPr>
        <w:t>establece</w:t>
      </w:r>
      <w:r>
        <w:rPr>
          <w:spacing w:val="-8"/>
          <w:w w:val="105"/>
          <w:sz w:val="14"/>
        </w:rPr>
        <w:t xml:space="preserve"> </w:t>
      </w:r>
      <w:r>
        <w:rPr>
          <w:spacing w:val="-4"/>
          <w:w w:val="105"/>
          <w:sz w:val="14"/>
        </w:rPr>
        <w:t>que:</w:t>
      </w:r>
    </w:p>
    <w:p w14:paraId="3113D010" w14:textId="77777777" w:rsidR="0014798C" w:rsidRDefault="0014798C">
      <w:pPr>
        <w:pStyle w:val="Textoindependiente"/>
        <w:spacing w:before="41"/>
        <w:rPr>
          <w:sz w:val="14"/>
        </w:rPr>
      </w:pPr>
    </w:p>
    <w:p w14:paraId="6021B8DF" w14:textId="77777777" w:rsidR="0014798C" w:rsidRDefault="004E1F0B">
      <w:pPr>
        <w:spacing w:line="372" w:lineRule="auto"/>
        <w:ind w:left="1672" w:right="1463"/>
        <w:rPr>
          <w:sz w:val="14"/>
        </w:rPr>
      </w:pPr>
      <w:r>
        <w:rPr>
          <w:color w:val="803108"/>
          <w:w w:val="105"/>
          <w:sz w:val="14"/>
        </w:rPr>
        <w:t>Son... los posibles impactos negativos, como la desventaja o la exclusión, en las personas, más que en las lenguas, lo que se consideran al evaluar la razonabilidad de cualquier preferencia lingüística en las políticas, el apoyo o los servicios proporcionados en todos los niveles por las autoridades y acciones estatales. Un enfoque básico para determinar la razonabilidad es utilizar como punto de partida el principio de proporcionalidad, en la medida de lo posible dadas las circunstancias locales, en todas las cuestiones lingüísticas relacionadas con los servicios públicos. Las cuestiones de desventaja, exclusión y razonabilidad son fundamentales</w:t>
      </w:r>
      <w:r>
        <w:rPr>
          <w:color w:val="803108"/>
          <w:spacing w:val="-2"/>
          <w:w w:val="105"/>
          <w:sz w:val="14"/>
        </w:rPr>
        <w:t xml:space="preserve"> </w:t>
      </w:r>
      <w:r>
        <w:rPr>
          <w:color w:val="803108"/>
          <w:w w:val="105"/>
          <w:sz w:val="14"/>
        </w:rPr>
        <w:t>para</w:t>
      </w:r>
      <w:r>
        <w:rPr>
          <w:color w:val="803108"/>
          <w:spacing w:val="-3"/>
          <w:w w:val="105"/>
          <w:sz w:val="14"/>
        </w:rPr>
        <w:t xml:space="preserve"> </w:t>
      </w:r>
      <w:r>
        <w:rPr>
          <w:color w:val="803108"/>
          <w:w w:val="105"/>
          <w:sz w:val="14"/>
        </w:rPr>
        <w:t>la</w:t>
      </w:r>
      <w:r>
        <w:rPr>
          <w:color w:val="803108"/>
          <w:spacing w:val="-2"/>
          <w:w w:val="105"/>
          <w:sz w:val="14"/>
        </w:rPr>
        <w:t xml:space="preserve"> </w:t>
      </w:r>
      <w:r>
        <w:rPr>
          <w:color w:val="803108"/>
          <w:w w:val="105"/>
          <w:sz w:val="14"/>
        </w:rPr>
        <w:t>base</w:t>
      </w:r>
      <w:r>
        <w:rPr>
          <w:color w:val="803108"/>
          <w:spacing w:val="-3"/>
          <w:w w:val="105"/>
          <w:sz w:val="14"/>
        </w:rPr>
        <w:t xml:space="preserve"> </w:t>
      </w:r>
      <w:r>
        <w:rPr>
          <w:color w:val="803108"/>
          <w:w w:val="105"/>
          <w:sz w:val="14"/>
        </w:rPr>
        <w:t>de</w:t>
      </w:r>
      <w:r>
        <w:rPr>
          <w:color w:val="803108"/>
          <w:spacing w:val="-2"/>
          <w:w w:val="105"/>
          <w:sz w:val="14"/>
        </w:rPr>
        <w:t xml:space="preserve"> </w:t>
      </w:r>
      <w:r>
        <w:rPr>
          <w:color w:val="803108"/>
          <w:w w:val="105"/>
          <w:sz w:val="14"/>
        </w:rPr>
        <w:t>un</w:t>
      </w:r>
      <w:r>
        <w:rPr>
          <w:color w:val="803108"/>
          <w:spacing w:val="-3"/>
          <w:w w:val="105"/>
          <w:sz w:val="14"/>
        </w:rPr>
        <w:t xml:space="preserve"> </w:t>
      </w:r>
      <w:r>
        <w:rPr>
          <w:color w:val="803108"/>
          <w:w w:val="105"/>
          <w:sz w:val="14"/>
        </w:rPr>
        <w:t>enfoque</w:t>
      </w:r>
      <w:r>
        <w:rPr>
          <w:color w:val="803108"/>
          <w:spacing w:val="-2"/>
          <w:w w:val="105"/>
          <w:sz w:val="14"/>
        </w:rPr>
        <w:t xml:space="preserve"> </w:t>
      </w:r>
      <w:r>
        <w:rPr>
          <w:color w:val="803108"/>
          <w:w w:val="105"/>
          <w:sz w:val="14"/>
        </w:rPr>
        <w:t>proporcional</w:t>
      </w:r>
      <w:r>
        <w:rPr>
          <w:color w:val="803108"/>
          <w:spacing w:val="-3"/>
          <w:w w:val="105"/>
          <w:sz w:val="14"/>
        </w:rPr>
        <w:t xml:space="preserve"> </w:t>
      </w:r>
      <w:r>
        <w:rPr>
          <w:color w:val="803108"/>
          <w:w w:val="105"/>
          <w:sz w:val="14"/>
        </w:rPr>
        <w:t>al</w:t>
      </w:r>
      <w:r>
        <w:rPr>
          <w:color w:val="803108"/>
          <w:spacing w:val="-2"/>
          <w:w w:val="105"/>
          <w:sz w:val="14"/>
        </w:rPr>
        <w:t xml:space="preserve"> </w:t>
      </w:r>
      <w:r>
        <w:rPr>
          <w:color w:val="803108"/>
          <w:w w:val="105"/>
          <w:sz w:val="14"/>
        </w:rPr>
        <w:t>uso</w:t>
      </w:r>
      <w:r>
        <w:rPr>
          <w:color w:val="803108"/>
          <w:spacing w:val="-3"/>
          <w:w w:val="105"/>
          <w:sz w:val="14"/>
        </w:rPr>
        <w:t xml:space="preserve"> </w:t>
      </w:r>
      <w:r>
        <w:rPr>
          <w:color w:val="803108"/>
          <w:w w:val="105"/>
          <w:sz w:val="14"/>
        </w:rPr>
        <w:t>de</w:t>
      </w:r>
      <w:r>
        <w:rPr>
          <w:color w:val="803108"/>
          <w:spacing w:val="-2"/>
          <w:w w:val="105"/>
          <w:sz w:val="14"/>
        </w:rPr>
        <w:t xml:space="preserve"> </w:t>
      </w:r>
      <w:r>
        <w:rPr>
          <w:color w:val="803108"/>
          <w:w w:val="105"/>
          <w:sz w:val="14"/>
        </w:rPr>
        <w:t>lenguas</w:t>
      </w:r>
      <w:r>
        <w:rPr>
          <w:color w:val="803108"/>
          <w:spacing w:val="-3"/>
          <w:w w:val="105"/>
          <w:sz w:val="14"/>
        </w:rPr>
        <w:t xml:space="preserve"> </w:t>
      </w:r>
      <w:r>
        <w:rPr>
          <w:color w:val="803108"/>
          <w:w w:val="105"/>
          <w:sz w:val="14"/>
        </w:rPr>
        <w:t>minoritarias</w:t>
      </w:r>
      <w:r>
        <w:rPr>
          <w:color w:val="803108"/>
          <w:spacing w:val="-2"/>
          <w:w w:val="105"/>
          <w:sz w:val="14"/>
        </w:rPr>
        <w:t xml:space="preserve"> </w:t>
      </w:r>
      <w:r>
        <w:rPr>
          <w:color w:val="803108"/>
          <w:w w:val="105"/>
          <w:sz w:val="14"/>
        </w:rPr>
        <w:t>en</w:t>
      </w:r>
      <w:r>
        <w:rPr>
          <w:color w:val="803108"/>
          <w:spacing w:val="-3"/>
          <w:w w:val="105"/>
          <w:sz w:val="14"/>
        </w:rPr>
        <w:t xml:space="preserve"> </w:t>
      </w:r>
      <w:r>
        <w:rPr>
          <w:color w:val="803108"/>
          <w:w w:val="105"/>
          <w:sz w:val="14"/>
        </w:rPr>
        <w:t>los</w:t>
      </w:r>
      <w:r>
        <w:rPr>
          <w:color w:val="803108"/>
          <w:spacing w:val="-2"/>
          <w:w w:val="105"/>
          <w:sz w:val="14"/>
        </w:rPr>
        <w:t xml:space="preserve"> </w:t>
      </w:r>
      <w:r>
        <w:rPr>
          <w:color w:val="803108"/>
          <w:w w:val="105"/>
          <w:sz w:val="14"/>
        </w:rPr>
        <w:t>servicios</w:t>
      </w:r>
      <w:r>
        <w:rPr>
          <w:color w:val="803108"/>
          <w:spacing w:val="-3"/>
          <w:w w:val="105"/>
          <w:sz w:val="14"/>
        </w:rPr>
        <w:t xml:space="preserve"> </w:t>
      </w:r>
      <w:r>
        <w:rPr>
          <w:color w:val="803108"/>
          <w:w w:val="105"/>
          <w:sz w:val="14"/>
        </w:rPr>
        <w:t>públicos</w:t>
      </w:r>
      <w:r>
        <w:rPr>
          <w:color w:val="803108"/>
          <w:spacing w:val="-2"/>
          <w:w w:val="105"/>
          <w:sz w:val="14"/>
        </w:rPr>
        <w:t xml:space="preserve"> </w:t>
      </w:r>
      <w:r>
        <w:rPr>
          <w:color w:val="803108"/>
          <w:w w:val="105"/>
          <w:sz w:val="14"/>
        </w:rPr>
        <w:t>y</w:t>
      </w:r>
      <w:r>
        <w:rPr>
          <w:color w:val="803108"/>
          <w:spacing w:val="-3"/>
          <w:w w:val="105"/>
          <w:sz w:val="14"/>
        </w:rPr>
        <w:t xml:space="preserve"> </w:t>
      </w:r>
      <w:r>
        <w:rPr>
          <w:color w:val="803108"/>
          <w:w w:val="105"/>
          <w:sz w:val="14"/>
        </w:rPr>
        <w:t>otras</w:t>
      </w:r>
      <w:r>
        <w:rPr>
          <w:color w:val="803108"/>
          <w:spacing w:val="-2"/>
          <w:w w:val="105"/>
          <w:sz w:val="14"/>
        </w:rPr>
        <w:t xml:space="preserve"> </w:t>
      </w:r>
      <w:r>
        <w:rPr>
          <w:color w:val="803108"/>
          <w:w w:val="105"/>
          <w:sz w:val="14"/>
        </w:rPr>
        <w:t>actividades de un estado.1077</w:t>
      </w:r>
    </w:p>
    <w:p w14:paraId="08BE32A9" w14:textId="77777777" w:rsidR="0014798C" w:rsidRDefault="004E1F0B">
      <w:pPr>
        <w:spacing w:before="114"/>
        <w:ind w:left="1106"/>
        <w:rPr>
          <w:sz w:val="14"/>
        </w:rPr>
      </w:pPr>
      <w:r>
        <w:rPr>
          <w:w w:val="105"/>
          <w:sz w:val="14"/>
        </w:rPr>
        <w:t>El</w:t>
      </w:r>
      <w:r>
        <w:rPr>
          <w:spacing w:val="-7"/>
          <w:w w:val="105"/>
          <w:sz w:val="14"/>
        </w:rPr>
        <w:t xml:space="preserve"> </w:t>
      </w:r>
      <w:r>
        <w:rPr>
          <w:w w:val="105"/>
          <w:sz w:val="14"/>
        </w:rPr>
        <w:t>Relator</w:t>
      </w:r>
      <w:r>
        <w:rPr>
          <w:spacing w:val="-7"/>
          <w:w w:val="105"/>
          <w:sz w:val="14"/>
        </w:rPr>
        <w:t xml:space="preserve"> </w:t>
      </w:r>
      <w:r>
        <w:rPr>
          <w:w w:val="105"/>
          <w:sz w:val="14"/>
        </w:rPr>
        <w:t>Especial</w:t>
      </w:r>
      <w:r>
        <w:rPr>
          <w:spacing w:val="-7"/>
          <w:w w:val="105"/>
          <w:sz w:val="14"/>
        </w:rPr>
        <w:t xml:space="preserve"> </w:t>
      </w:r>
      <w:r>
        <w:rPr>
          <w:w w:val="105"/>
          <w:sz w:val="14"/>
        </w:rPr>
        <w:t>sobre</w:t>
      </w:r>
      <w:r>
        <w:rPr>
          <w:spacing w:val="-7"/>
          <w:w w:val="105"/>
          <w:sz w:val="14"/>
        </w:rPr>
        <w:t xml:space="preserve"> </w:t>
      </w:r>
      <w:r>
        <w:rPr>
          <w:w w:val="105"/>
          <w:sz w:val="14"/>
        </w:rPr>
        <w:t>cuestiones</w:t>
      </w:r>
      <w:r>
        <w:rPr>
          <w:spacing w:val="-6"/>
          <w:w w:val="105"/>
          <w:sz w:val="14"/>
        </w:rPr>
        <w:t xml:space="preserve"> </w:t>
      </w:r>
      <w:r>
        <w:rPr>
          <w:w w:val="105"/>
          <w:sz w:val="14"/>
        </w:rPr>
        <w:t>de</w:t>
      </w:r>
      <w:r>
        <w:rPr>
          <w:spacing w:val="-7"/>
          <w:w w:val="105"/>
          <w:sz w:val="14"/>
        </w:rPr>
        <w:t xml:space="preserve"> </w:t>
      </w:r>
      <w:r>
        <w:rPr>
          <w:w w:val="105"/>
          <w:sz w:val="14"/>
        </w:rPr>
        <w:t>las</w:t>
      </w:r>
      <w:r>
        <w:rPr>
          <w:spacing w:val="-7"/>
          <w:w w:val="105"/>
          <w:sz w:val="14"/>
        </w:rPr>
        <w:t xml:space="preserve"> </w:t>
      </w:r>
      <w:r>
        <w:rPr>
          <w:w w:val="105"/>
          <w:sz w:val="14"/>
        </w:rPr>
        <w:t>minorías</w:t>
      </w:r>
      <w:r>
        <w:rPr>
          <w:spacing w:val="-7"/>
          <w:w w:val="105"/>
          <w:sz w:val="14"/>
        </w:rPr>
        <w:t xml:space="preserve"> </w:t>
      </w:r>
      <w:r>
        <w:rPr>
          <w:w w:val="105"/>
          <w:sz w:val="14"/>
        </w:rPr>
        <w:t>ha</w:t>
      </w:r>
      <w:r>
        <w:rPr>
          <w:spacing w:val="-6"/>
          <w:w w:val="105"/>
          <w:sz w:val="14"/>
        </w:rPr>
        <w:t xml:space="preserve"> </w:t>
      </w:r>
      <w:r>
        <w:rPr>
          <w:w w:val="105"/>
          <w:sz w:val="14"/>
        </w:rPr>
        <w:t>señalado</w:t>
      </w:r>
      <w:r>
        <w:rPr>
          <w:spacing w:val="-7"/>
          <w:w w:val="105"/>
          <w:sz w:val="14"/>
        </w:rPr>
        <w:t xml:space="preserve"> </w:t>
      </w:r>
      <w:r>
        <w:rPr>
          <w:spacing w:val="-4"/>
          <w:w w:val="105"/>
          <w:sz w:val="14"/>
        </w:rPr>
        <w:t>que:</w:t>
      </w:r>
    </w:p>
    <w:p w14:paraId="03AA233D" w14:textId="77777777" w:rsidR="0014798C" w:rsidRDefault="0014798C">
      <w:pPr>
        <w:pStyle w:val="Textoindependiente"/>
        <w:spacing w:before="41"/>
        <w:rPr>
          <w:sz w:val="14"/>
        </w:rPr>
      </w:pPr>
    </w:p>
    <w:p w14:paraId="31168439" w14:textId="77777777" w:rsidR="0014798C" w:rsidRDefault="004E1F0B">
      <w:pPr>
        <w:spacing w:before="1"/>
        <w:ind w:left="377" w:right="277"/>
        <w:jc w:val="center"/>
        <w:rPr>
          <w:sz w:val="14"/>
        </w:rPr>
      </w:pPr>
      <w:r>
        <w:rPr>
          <w:color w:val="803108"/>
          <w:w w:val="105"/>
          <w:sz w:val="14"/>
        </w:rPr>
        <w:t>el</w:t>
      </w:r>
      <w:r>
        <w:rPr>
          <w:color w:val="803108"/>
          <w:spacing w:val="-8"/>
          <w:w w:val="105"/>
          <w:sz w:val="14"/>
        </w:rPr>
        <w:t xml:space="preserve"> </w:t>
      </w:r>
      <w:r>
        <w:rPr>
          <w:color w:val="803108"/>
          <w:w w:val="105"/>
          <w:sz w:val="14"/>
        </w:rPr>
        <w:t>uso</w:t>
      </w:r>
      <w:r>
        <w:rPr>
          <w:color w:val="803108"/>
          <w:spacing w:val="-7"/>
          <w:w w:val="105"/>
          <w:sz w:val="14"/>
        </w:rPr>
        <w:t xml:space="preserve"> </w:t>
      </w:r>
      <w:r>
        <w:rPr>
          <w:color w:val="803108"/>
          <w:w w:val="105"/>
          <w:sz w:val="14"/>
        </w:rPr>
        <w:t>proporcionado</w:t>
      </w:r>
      <w:r>
        <w:rPr>
          <w:color w:val="803108"/>
          <w:spacing w:val="-8"/>
          <w:w w:val="105"/>
          <w:sz w:val="14"/>
        </w:rPr>
        <w:t xml:space="preserve"> </w:t>
      </w:r>
      <w:r>
        <w:rPr>
          <w:color w:val="803108"/>
          <w:w w:val="105"/>
          <w:sz w:val="14"/>
        </w:rPr>
        <w:t>de</w:t>
      </w:r>
      <w:r>
        <w:rPr>
          <w:color w:val="803108"/>
          <w:spacing w:val="-7"/>
          <w:w w:val="105"/>
          <w:sz w:val="14"/>
        </w:rPr>
        <w:t xml:space="preserve"> </w:t>
      </w:r>
      <w:r>
        <w:rPr>
          <w:color w:val="803108"/>
          <w:w w:val="105"/>
          <w:sz w:val="14"/>
        </w:rPr>
        <w:t>la</w:t>
      </w:r>
      <w:r>
        <w:rPr>
          <w:color w:val="803108"/>
          <w:spacing w:val="-8"/>
          <w:w w:val="105"/>
          <w:sz w:val="14"/>
        </w:rPr>
        <w:t xml:space="preserve"> </w:t>
      </w:r>
      <w:r>
        <w:rPr>
          <w:color w:val="803108"/>
          <w:w w:val="105"/>
          <w:sz w:val="14"/>
        </w:rPr>
        <w:t>lengua</w:t>
      </w:r>
      <w:r>
        <w:rPr>
          <w:color w:val="803108"/>
          <w:spacing w:val="-7"/>
          <w:w w:val="105"/>
          <w:sz w:val="14"/>
        </w:rPr>
        <w:t xml:space="preserve"> </w:t>
      </w:r>
      <w:r>
        <w:rPr>
          <w:color w:val="803108"/>
          <w:w w:val="105"/>
          <w:sz w:val="14"/>
        </w:rPr>
        <w:t>de</w:t>
      </w:r>
      <w:r>
        <w:rPr>
          <w:color w:val="803108"/>
          <w:spacing w:val="-8"/>
          <w:w w:val="105"/>
          <w:sz w:val="14"/>
        </w:rPr>
        <w:t xml:space="preserve"> </w:t>
      </w:r>
      <w:r>
        <w:rPr>
          <w:color w:val="803108"/>
          <w:w w:val="105"/>
          <w:sz w:val="14"/>
        </w:rPr>
        <w:t>las</w:t>
      </w:r>
      <w:r>
        <w:rPr>
          <w:color w:val="803108"/>
          <w:spacing w:val="-7"/>
          <w:w w:val="105"/>
          <w:sz w:val="14"/>
        </w:rPr>
        <w:t xml:space="preserve"> </w:t>
      </w:r>
      <w:r>
        <w:rPr>
          <w:color w:val="803108"/>
          <w:w w:val="105"/>
          <w:sz w:val="14"/>
        </w:rPr>
        <w:t>minorías</w:t>
      </w:r>
      <w:r>
        <w:rPr>
          <w:color w:val="803108"/>
          <w:spacing w:val="-7"/>
          <w:w w:val="105"/>
          <w:sz w:val="14"/>
        </w:rPr>
        <w:t xml:space="preserve"> </w:t>
      </w:r>
      <w:r>
        <w:rPr>
          <w:color w:val="803108"/>
          <w:w w:val="105"/>
          <w:sz w:val="14"/>
        </w:rPr>
        <w:t>en</w:t>
      </w:r>
      <w:r>
        <w:rPr>
          <w:color w:val="803108"/>
          <w:spacing w:val="-8"/>
          <w:w w:val="105"/>
          <w:sz w:val="14"/>
        </w:rPr>
        <w:t xml:space="preserve"> </w:t>
      </w:r>
      <w:r>
        <w:rPr>
          <w:color w:val="803108"/>
          <w:w w:val="105"/>
          <w:sz w:val="14"/>
        </w:rPr>
        <w:t>la</w:t>
      </w:r>
      <w:r>
        <w:rPr>
          <w:color w:val="803108"/>
          <w:spacing w:val="-7"/>
          <w:w w:val="105"/>
          <w:sz w:val="14"/>
        </w:rPr>
        <w:t xml:space="preserve"> </w:t>
      </w:r>
      <w:r>
        <w:rPr>
          <w:color w:val="803108"/>
          <w:w w:val="105"/>
          <w:sz w:val="14"/>
        </w:rPr>
        <w:t>educación,</w:t>
      </w:r>
      <w:r>
        <w:rPr>
          <w:color w:val="803108"/>
          <w:spacing w:val="-7"/>
          <w:w w:val="105"/>
          <w:sz w:val="14"/>
        </w:rPr>
        <w:t xml:space="preserve"> </w:t>
      </w:r>
      <w:r>
        <w:rPr>
          <w:color w:val="803108"/>
          <w:w w:val="105"/>
          <w:sz w:val="14"/>
        </w:rPr>
        <w:t>combinado</w:t>
      </w:r>
      <w:r>
        <w:rPr>
          <w:color w:val="803108"/>
          <w:spacing w:val="-7"/>
          <w:w w:val="105"/>
          <w:sz w:val="14"/>
        </w:rPr>
        <w:t xml:space="preserve"> </w:t>
      </w:r>
      <w:r>
        <w:rPr>
          <w:color w:val="803108"/>
          <w:w w:val="105"/>
          <w:sz w:val="14"/>
        </w:rPr>
        <w:t>con</w:t>
      </w:r>
      <w:r>
        <w:rPr>
          <w:color w:val="803108"/>
          <w:spacing w:val="-8"/>
          <w:w w:val="105"/>
          <w:sz w:val="14"/>
        </w:rPr>
        <w:t xml:space="preserve"> </w:t>
      </w:r>
      <w:r>
        <w:rPr>
          <w:color w:val="803108"/>
          <w:w w:val="105"/>
          <w:sz w:val="14"/>
        </w:rPr>
        <w:t>una</w:t>
      </w:r>
      <w:r>
        <w:rPr>
          <w:color w:val="803108"/>
          <w:spacing w:val="-7"/>
          <w:w w:val="105"/>
          <w:sz w:val="14"/>
        </w:rPr>
        <w:t xml:space="preserve"> </w:t>
      </w:r>
      <w:r>
        <w:rPr>
          <w:color w:val="803108"/>
          <w:w w:val="105"/>
          <w:sz w:val="14"/>
        </w:rPr>
        <w:t>enseñanza</w:t>
      </w:r>
      <w:r>
        <w:rPr>
          <w:color w:val="803108"/>
          <w:spacing w:val="-8"/>
          <w:w w:val="105"/>
          <w:sz w:val="14"/>
        </w:rPr>
        <w:t xml:space="preserve"> </w:t>
      </w:r>
      <w:r>
        <w:rPr>
          <w:color w:val="803108"/>
          <w:w w:val="105"/>
          <w:sz w:val="14"/>
        </w:rPr>
        <w:t>de</w:t>
      </w:r>
      <w:r>
        <w:rPr>
          <w:color w:val="803108"/>
          <w:spacing w:val="-7"/>
          <w:w w:val="105"/>
          <w:sz w:val="14"/>
        </w:rPr>
        <w:t xml:space="preserve"> </w:t>
      </w:r>
      <w:r>
        <w:rPr>
          <w:color w:val="803108"/>
          <w:w w:val="105"/>
          <w:sz w:val="14"/>
        </w:rPr>
        <w:t>calidad</w:t>
      </w:r>
      <w:r>
        <w:rPr>
          <w:color w:val="803108"/>
          <w:spacing w:val="-7"/>
          <w:w w:val="105"/>
          <w:sz w:val="14"/>
        </w:rPr>
        <w:t xml:space="preserve"> </w:t>
      </w:r>
      <w:r>
        <w:rPr>
          <w:color w:val="803108"/>
          <w:w w:val="105"/>
          <w:sz w:val="14"/>
        </w:rPr>
        <w:t>de</w:t>
      </w:r>
      <w:r>
        <w:rPr>
          <w:color w:val="803108"/>
          <w:spacing w:val="-8"/>
          <w:w w:val="105"/>
          <w:sz w:val="14"/>
        </w:rPr>
        <w:t xml:space="preserve"> </w:t>
      </w:r>
      <w:r>
        <w:rPr>
          <w:color w:val="803108"/>
          <w:w w:val="105"/>
          <w:sz w:val="14"/>
        </w:rPr>
        <w:t>la</w:t>
      </w:r>
      <w:r>
        <w:rPr>
          <w:color w:val="803108"/>
          <w:spacing w:val="-7"/>
          <w:w w:val="105"/>
          <w:sz w:val="14"/>
        </w:rPr>
        <w:t xml:space="preserve"> </w:t>
      </w:r>
      <w:r>
        <w:rPr>
          <w:color w:val="803108"/>
          <w:w w:val="105"/>
          <w:sz w:val="14"/>
        </w:rPr>
        <w:t>lengua</w:t>
      </w:r>
      <w:r>
        <w:rPr>
          <w:color w:val="803108"/>
          <w:spacing w:val="-8"/>
          <w:w w:val="105"/>
          <w:sz w:val="14"/>
        </w:rPr>
        <w:t xml:space="preserve"> </w:t>
      </w:r>
      <w:r>
        <w:rPr>
          <w:color w:val="803108"/>
          <w:spacing w:val="-2"/>
          <w:w w:val="105"/>
          <w:sz w:val="14"/>
        </w:rPr>
        <w:t>oficial:</w:t>
      </w:r>
    </w:p>
    <w:p w14:paraId="47DB46DD" w14:textId="77777777" w:rsidR="0014798C" w:rsidRDefault="0014798C">
      <w:pPr>
        <w:pStyle w:val="Textoindependiente"/>
        <w:rPr>
          <w:sz w:val="14"/>
        </w:rPr>
      </w:pPr>
    </w:p>
    <w:p w14:paraId="423A630D" w14:textId="77777777" w:rsidR="0014798C" w:rsidRDefault="0014798C">
      <w:pPr>
        <w:pStyle w:val="Textoindependiente"/>
        <w:spacing w:before="129"/>
        <w:rPr>
          <w:sz w:val="14"/>
        </w:rPr>
      </w:pPr>
    </w:p>
    <w:p w14:paraId="54F6D099" w14:textId="77777777" w:rsidR="0014798C" w:rsidRDefault="004E1F0B">
      <w:pPr>
        <w:pStyle w:val="Prrafodelista"/>
        <w:numPr>
          <w:ilvl w:val="0"/>
          <w:numId w:val="13"/>
        </w:numPr>
        <w:tabs>
          <w:tab w:val="left" w:pos="1847"/>
        </w:tabs>
        <w:ind w:left="1847" w:hanging="161"/>
        <w:rPr>
          <w:sz w:val="14"/>
        </w:rPr>
      </w:pPr>
      <w:r>
        <w:rPr>
          <w:color w:val="803108"/>
          <w:w w:val="105"/>
          <w:sz w:val="14"/>
        </w:rPr>
        <w:t>Es</w:t>
      </w:r>
      <w:r>
        <w:rPr>
          <w:color w:val="803108"/>
          <w:spacing w:val="-6"/>
          <w:w w:val="105"/>
          <w:sz w:val="14"/>
        </w:rPr>
        <w:t xml:space="preserve"> </w:t>
      </w:r>
      <w:r>
        <w:rPr>
          <w:color w:val="803108"/>
          <w:w w:val="105"/>
          <w:sz w:val="14"/>
        </w:rPr>
        <w:t>más</w:t>
      </w:r>
      <w:r>
        <w:rPr>
          <w:color w:val="803108"/>
          <w:spacing w:val="-6"/>
          <w:w w:val="105"/>
          <w:sz w:val="14"/>
        </w:rPr>
        <w:t xml:space="preserve"> </w:t>
      </w:r>
      <w:r>
        <w:rPr>
          <w:color w:val="803108"/>
          <w:w w:val="105"/>
          <w:sz w:val="14"/>
        </w:rPr>
        <w:t>rentable</w:t>
      </w:r>
      <w:r>
        <w:rPr>
          <w:color w:val="803108"/>
          <w:spacing w:val="-6"/>
          <w:w w:val="105"/>
          <w:sz w:val="14"/>
        </w:rPr>
        <w:t xml:space="preserve"> </w:t>
      </w:r>
      <w:r>
        <w:rPr>
          <w:color w:val="803108"/>
          <w:w w:val="105"/>
          <w:sz w:val="14"/>
        </w:rPr>
        <w:t>a</w:t>
      </w:r>
      <w:r>
        <w:rPr>
          <w:color w:val="803108"/>
          <w:spacing w:val="-6"/>
          <w:w w:val="105"/>
          <w:sz w:val="14"/>
        </w:rPr>
        <w:t xml:space="preserve"> </w:t>
      </w:r>
      <w:r>
        <w:rPr>
          <w:color w:val="803108"/>
          <w:w w:val="105"/>
          <w:sz w:val="14"/>
        </w:rPr>
        <w:t>largo</w:t>
      </w:r>
      <w:r>
        <w:rPr>
          <w:color w:val="803108"/>
          <w:spacing w:val="-5"/>
          <w:w w:val="105"/>
          <w:sz w:val="14"/>
        </w:rPr>
        <w:t xml:space="preserve"> </w:t>
      </w:r>
      <w:r>
        <w:rPr>
          <w:color w:val="803108"/>
          <w:spacing w:val="-2"/>
          <w:w w:val="105"/>
          <w:sz w:val="14"/>
        </w:rPr>
        <w:t>plazo.</w:t>
      </w:r>
    </w:p>
    <w:p w14:paraId="1BAD667C" w14:textId="77777777" w:rsidR="0014798C" w:rsidRDefault="0014798C">
      <w:pPr>
        <w:pStyle w:val="Textoindependiente"/>
        <w:spacing w:before="41"/>
        <w:rPr>
          <w:sz w:val="14"/>
        </w:rPr>
      </w:pPr>
    </w:p>
    <w:p w14:paraId="664161E9" w14:textId="77777777" w:rsidR="0014798C" w:rsidRDefault="004E1F0B">
      <w:pPr>
        <w:pStyle w:val="Prrafodelista"/>
        <w:numPr>
          <w:ilvl w:val="0"/>
          <w:numId w:val="13"/>
        </w:numPr>
        <w:tabs>
          <w:tab w:val="left" w:pos="1835"/>
        </w:tabs>
        <w:ind w:left="1835" w:hanging="161"/>
        <w:rPr>
          <w:sz w:val="14"/>
        </w:rPr>
      </w:pPr>
      <w:r>
        <w:rPr>
          <w:color w:val="803108"/>
          <w:w w:val="105"/>
          <w:sz w:val="14"/>
        </w:rPr>
        <w:t>Reduce</w:t>
      </w:r>
      <w:r>
        <w:rPr>
          <w:color w:val="803108"/>
          <w:spacing w:val="-7"/>
          <w:w w:val="105"/>
          <w:sz w:val="14"/>
        </w:rPr>
        <w:t xml:space="preserve"> </w:t>
      </w:r>
      <w:r>
        <w:rPr>
          <w:color w:val="803108"/>
          <w:w w:val="105"/>
          <w:sz w:val="14"/>
        </w:rPr>
        <w:t>las</w:t>
      </w:r>
      <w:r>
        <w:rPr>
          <w:color w:val="803108"/>
          <w:spacing w:val="-6"/>
          <w:w w:val="105"/>
          <w:sz w:val="14"/>
        </w:rPr>
        <w:t xml:space="preserve"> </w:t>
      </w:r>
      <w:r>
        <w:rPr>
          <w:color w:val="803108"/>
          <w:w w:val="105"/>
          <w:sz w:val="14"/>
        </w:rPr>
        <w:t>tasas</w:t>
      </w:r>
      <w:r>
        <w:rPr>
          <w:color w:val="803108"/>
          <w:spacing w:val="-6"/>
          <w:w w:val="105"/>
          <w:sz w:val="14"/>
        </w:rPr>
        <w:t xml:space="preserve"> </w:t>
      </w:r>
      <w:r>
        <w:rPr>
          <w:color w:val="803108"/>
          <w:w w:val="105"/>
          <w:sz w:val="14"/>
        </w:rPr>
        <w:t>de</w:t>
      </w:r>
      <w:r>
        <w:rPr>
          <w:color w:val="803108"/>
          <w:spacing w:val="-7"/>
          <w:w w:val="105"/>
          <w:sz w:val="14"/>
        </w:rPr>
        <w:t xml:space="preserve"> </w:t>
      </w:r>
      <w:r>
        <w:rPr>
          <w:color w:val="803108"/>
          <w:w w:val="105"/>
          <w:sz w:val="14"/>
        </w:rPr>
        <w:t>deserción</w:t>
      </w:r>
      <w:r>
        <w:rPr>
          <w:color w:val="803108"/>
          <w:spacing w:val="-6"/>
          <w:w w:val="105"/>
          <w:sz w:val="14"/>
        </w:rPr>
        <w:t xml:space="preserve"> </w:t>
      </w:r>
      <w:r>
        <w:rPr>
          <w:color w:val="803108"/>
          <w:w w:val="105"/>
          <w:sz w:val="14"/>
        </w:rPr>
        <w:t>y</w:t>
      </w:r>
      <w:r>
        <w:rPr>
          <w:color w:val="803108"/>
          <w:spacing w:val="-6"/>
          <w:w w:val="105"/>
          <w:sz w:val="14"/>
        </w:rPr>
        <w:t xml:space="preserve"> </w:t>
      </w:r>
      <w:r>
        <w:rPr>
          <w:color w:val="803108"/>
          <w:spacing w:val="-2"/>
          <w:w w:val="105"/>
          <w:sz w:val="14"/>
        </w:rPr>
        <w:t>repetición.</w:t>
      </w:r>
    </w:p>
    <w:p w14:paraId="755610B1" w14:textId="77777777" w:rsidR="0014798C" w:rsidRDefault="0014798C">
      <w:pPr>
        <w:pStyle w:val="Textoindependiente"/>
        <w:spacing w:before="41"/>
        <w:rPr>
          <w:sz w:val="14"/>
        </w:rPr>
      </w:pPr>
    </w:p>
    <w:p w14:paraId="01CB4978" w14:textId="77777777" w:rsidR="0014798C" w:rsidRDefault="004E1F0B">
      <w:pPr>
        <w:pStyle w:val="Prrafodelista"/>
        <w:numPr>
          <w:ilvl w:val="0"/>
          <w:numId w:val="13"/>
        </w:numPr>
        <w:tabs>
          <w:tab w:val="left" w:pos="1839"/>
        </w:tabs>
        <w:ind w:left="1839" w:hanging="161"/>
        <w:rPr>
          <w:sz w:val="14"/>
        </w:rPr>
      </w:pPr>
      <w:r>
        <w:rPr>
          <w:color w:val="803108"/>
          <w:spacing w:val="-2"/>
          <w:w w:val="105"/>
          <w:sz w:val="14"/>
        </w:rPr>
        <w:t>Conduce</w:t>
      </w:r>
      <w:r>
        <w:rPr>
          <w:color w:val="803108"/>
          <w:spacing w:val="4"/>
          <w:w w:val="105"/>
          <w:sz w:val="14"/>
        </w:rPr>
        <w:t xml:space="preserve"> </w:t>
      </w:r>
      <w:r>
        <w:rPr>
          <w:color w:val="803108"/>
          <w:spacing w:val="-2"/>
          <w:w w:val="105"/>
          <w:sz w:val="14"/>
        </w:rPr>
        <w:t>a</w:t>
      </w:r>
      <w:r>
        <w:rPr>
          <w:color w:val="803108"/>
          <w:spacing w:val="5"/>
          <w:w w:val="105"/>
          <w:sz w:val="14"/>
        </w:rPr>
        <w:t xml:space="preserve"> </w:t>
      </w:r>
      <w:r>
        <w:rPr>
          <w:color w:val="803108"/>
          <w:spacing w:val="-2"/>
          <w:w w:val="105"/>
          <w:sz w:val="14"/>
        </w:rPr>
        <w:t>resultados</w:t>
      </w:r>
      <w:r>
        <w:rPr>
          <w:color w:val="803108"/>
          <w:spacing w:val="4"/>
          <w:w w:val="105"/>
          <w:sz w:val="14"/>
        </w:rPr>
        <w:t xml:space="preserve"> </w:t>
      </w:r>
      <w:r>
        <w:rPr>
          <w:color w:val="803108"/>
          <w:spacing w:val="-2"/>
          <w:w w:val="105"/>
          <w:sz w:val="14"/>
        </w:rPr>
        <w:t>académicos</w:t>
      </w:r>
      <w:r>
        <w:rPr>
          <w:color w:val="803108"/>
          <w:spacing w:val="5"/>
          <w:w w:val="105"/>
          <w:sz w:val="14"/>
        </w:rPr>
        <w:t xml:space="preserve"> </w:t>
      </w:r>
      <w:r>
        <w:rPr>
          <w:color w:val="803108"/>
          <w:spacing w:val="-2"/>
          <w:w w:val="105"/>
          <w:sz w:val="14"/>
        </w:rPr>
        <w:t>notablemente</w:t>
      </w:r>
      <w:r>
        <w:rPr>
          <w:color w:val="803108"/>
          <w:spacing w:val="4"/>
          <w:w w:val="105"/>
          <w:sz w:val="14"/>
        </w:rPr>
        <w:t xml:space="preserve"> </w:t>
      </w:r>
      <w:r>
        <w:rPr>
          <w:color w:val="803108"/>
          <w:spacing w:val="-2"/>
          <w:w w:val="105"/>
          <w:sz w:val="14"/>
        </w:rPr>
        <w:t>mejores,</w:t>
      </w:r>
      <w:r>
        <w:rPr>
          <w:color w:val="803108"/>
          <w:spacing w:val="6"/>
          <w:w w:val="105"/>
          <w:sz w:val="14"/>
        </w:rPr>
        <w:t xml:space="preserve"> </w:t>
      </w:r>
      <w:r>
        <w:rPr>
          <w:color w:val="803108"/>
          <w:spacing w:val="-2"/>
          <w:w w:val="105"/>
          <w:sz w:val="14"/>
        </w:rPr>
        <w:t>especialmente</w:t>
      </w:r>
      <w:r>
        <w:rPr>
          <w:color w:val="803108"/>
          <w:spacing w:val="4"/>
          <w:w w:val="105"/>
          <w:sz w:val="14"/>
        </w:rPr>
        <w:t xml:space="preserve"> </w:t>
      </w:r>
      <w:r>
        <w:rPr>
          <w:color w:val="803108"/>
          <w:spacing w:val="-2"/>
          <w:w w:val="105"/>
          <w:sz w:val="14"/>
        </w:rPr>
        <w:t>para</w:t>
      </w:r>
      <w:r>
        <w:rPr>
          <w:color w:val="803108"/>
          <w:spacing w:val="5"/>
          <w:w w:val="105"/>
          <w:sz w:val="14"/>
        </w:rPr>
        <w:t xml:space="preserve"> </w:t>
      </w:r>
      <w:r>
        <w:rPr>
          <w:color w:val="803108"/>
          <w:spacing w:val="-2"/>
          <w:w w:val="105"/>
          <w:sz w:val="14"/>
        </w:rPr>
        <w:t>las</w:t>
      </w:r>
      <w:r>
        <w:rPr>
          <w:color w:val="803108"/>
          <w:spacing w:val="4"/>
          <w:w w:val="105"/>
          <w:sz w:val="14"/>
        </w:rPr>
        <w:t xml:space="preserve"> </w:t>
      </w:r>
      <w:r>
        <w:rPr>
          <w:color w:val="803108"/>
          <w:spacing w:val="-2"/>
          <w:w w:val="105"/>
          <w:sz w:val="14"/>
        </w:rPr>
        <w:t>niñas.</w:t>
      </w:r>
    </w:p>
    <w:p w14:paraId="6ECE3B1C" w14:textId="77777777" w:rsidR="0014798C" w:rsidRDefault="0014798C">
      <w:pPr>
        <w:pStyle w:val="Textoindependiente"/>
        <w:spacing w:before="41"/>
        <w:rPr>
          <w:sz w:val="14"/>
        </w:rPr>
      </w:pPr>
    </w:p>
    <w:p w14:paraId="78BE9C0E" w14:textId="77777777" w:rsidR="0014798C" w:rsidRDefault="004E1F0B">
      <w:pPr>
        <w:pStyle w:val="Prrafodelista"/>
        <w:numPr>
          <w:ilvl w:val="0"/>
          <w:numId w:val="13"/>
        </w:numPr>
        <w:tabs>
          <w:tab w:val="left" w:pos="1836"/>
          <w:tab w:val="left" w:pos="2014"/>
        </w:tabs>
        <w:spacing w:line="372" w:lineRule="auto"/>
        <w:ind w:left="2014" w:right="3107" w:hanging="339"/>
        <w:rPr>
          <w:sz w:val="14"/>
        </w:rPr>
      </w:pPr>
      <w:r>
        <w:rPr>
          <w:color w:val="803108"/>
          <w:w w:val="105"/>
          <w:sz w:val="14"/>
        </w:rPr>
        <w:t>Mejora</w:t>
      </w:r>
      <w:r>
        <w:rPr>
          <w:color w:val="803108"/>
          <w:spacing w:val="-3"/>
          <w:w w:val="105"/>
          <w:sz w:val="14"/>
        </w:rPr>
        <w:t xml:space="preserve"> </w:t>
      </w:r>
      <w:r>
        <w:rPr>
          <w:color w:val="803108"/>
          <w:w w:val="105"/>
          <w:sz w:val="14"/>
        </w:rPr>
        <w:t>los</w:t>
      </w:r>
      <w:r>
        <w:rPr>
          <w:color w:val="803108"/>
          <w:spacing w:val="-3"/>
          <w:w w:val="105"/>
          <w:sz w:val="14"/>
        </w:rPr>
        <w:t xml:space="preserve"> </w:t>
      </w:r>
      <w:r>
        <w:rPr>
          <w:color w:val="803108"/>
          <w:w w:val="105"/>
          <w:sz w:val="14"/>
        </w:rPr>
        <w:t>niveles</w:t>
      </w:r>
      <w:r>
        <w:rPr>
          <w:color w:val="803108"/>
          <w:spacing w:val="-3"/>
          <w:w w:val="105"/>
          <w:sz w:val="14"/>
        </w:rPr>
        <w:t xml:space="preserve"> </w:t>
      </w:r>
      <w:r>
        <w:rPr>
          <w:color w:val="803108"/>
          <w:w w:val="105"/>
          <w:sz w:val="14"/>
        </w:rPr>
        <w:t>de</w:t>
      </w:r>
      <w:r>
        <w:rPr>
          <w:color w:val="803108"/>
          <w:spacing w:val="-3"/>
          <w:w w:val="105"/>
          <w:sz w:val="14"/>
        </w:rPr>
        <w:t xml:space="preserve"> </w:t>
      </w:r>
      <w:r>
        <w:rPr>
          <w:color w:val="803108"/>
          <w:w w:val="105"/>
          <w:sz w:val="14"/>
        </w:rPr>
        <w:t>alfabetización</w:t>
      </w:r>
      <w:r>
        <w:rPr>
          <w:color w:val="803108"/>
          <w:spacing w:val="-3"/>
          <w:w w:val="105"/>
          <w:sz w:val="14"/>
        </w:rPr>
        <w:t xml:space="preserve"> </w:t>
      </w:r>
      <w:r>
        <w:rPr>
          <w:color w:val="803108"/>
          <w:w w:val="105"/>
          <w:sz w:val="14"/>
        </w:rPr>
        <w:t>y</w:t>
      </w:r>
      <w:r>
        <w:rPr>
          <w:color w:val="803108"/>
          <w:spacing w:val="-3"/>
          <w:w w:val="105"/>
          <w:sz w:val="14"/>
        </w:rPr>
        <w:t xml:space="preserve"> </w:t>
      </w:r>
      <w:r>
        <w:rPr>
          <w:color w:val="803108"/>
          <w:w w:val="105"/>
          <w:sz w:val="14"/>
        </w:rPr>
        <w:t>fluidez</w:t>
      </w:r>
      <w:r>
        <w:rPr>
          <w:color w:val="803108"/>
          <w:spacing w:val="-3"/>
          <w:w w:val="105"/>
          <w:sz w:val="14"/>
        </w:rPr>
        <w:t xml:space="preserve"> </w:t>
      </w:r>
      <w:r>
        <w:rPr>
          <w:color w:val="803108"/>
          <w:w w:val="105"/>
          <w:sz w:val="14"/>
        </w:rPr>
        <w:t>tanto</w:t>
      </w:r>
      <w:r>
        <w:rPr>
          <w:color w:val="803108"/>
          <w:spacing w:val="-3"/>
          <w:w w:val="105"/>
          <w:sz w:val="14"/>
        </w:rPr>
        <w:t xml:space="preserve"> </w:t>
      </w:r>
      <w:r>
        <w:rPr>
          <w:color w:val="803108"/>
          <w:w w:val="105"/>
          <w:sz w:val="14"/>
        </w:rPr>
        <w:t>en</w:t>
      </w:r>
      <w:r>
        <w:rPr>
          <w:color w:val="803108"/>
          <w:spacing w:val="-3"/>
          <w:w w:val="105"/>
          <w:sz w:val="14"/>
        </w:rPr>
        <w:t xml:space="preserve"> </w:t>
      </w:r>
      <w:r>
        <w:rPr>
          <w:color w:val="803108"/>
          <w:w w:val="105"/>
          <w:sz w:val="14"/>
        </w:rPr>
        <w:t>la</w:t>
      </w:r>
      <w:r>
        <w:rPr>
          <w:color w:val="803108"/>
          <w:spacing w:val="-3"/>
          <w:w w:val="105"/>
          <w:sz w:val="14"/>
        </w:rPr>
        <w:t xml:space="preserve"> </w:t>
      </w:r>
      <w:r>
        <w:rPr>
          <w:color w:val="803108"/>
          <w:w w:val="105"/>
          <w:sz w:val="14"/>
        </w:rPr>
        <w:t>lengua</w:t>
      </w:r>
      <w:r>
        <w:rPr>
          <w:color w:val="803108"/>
          <w:spacing w:val="-3"/>
          <w:w w:val="105"/>
          <w:sz w:val="14"/>
        </w:rPr>
        <w:t xml:space="preserve"> </w:t>
      </w:r>
      <w:r>
        <w:rPr>
          <w:color w:val="803108"/>
          <w:w w:val="105"/>
          <w:sz w:val="14"/>
        </w:rPr>
        <w:t>materna</w:t>
      </w:r>
      <w:r>
        <w:rPr>
          <w:color w:val="803108"/>
          <w:spacing w:val="-3"/>
          <w:w w:val="105"/>
          <w:sz w:val="14"/>
        </w:rPr>
        <w:t xml:space="preserve"> </w:t>
      </w:r>
      <w:r>
        <w:rPr>
          <w:color w:val="803108"/>
          <w:w w:val="105"/>
          <w:sz w:val="14"/>
        </w:rPr>
        <w:t>como</w:t>
      </w:r>
      <w:r>
        <w:rPr>
          <w:color w:val="803108"/>
          <w:spacing w:val="-3"/>
          <w:w w:val="105"/>
          <w:sz w:val="14"/>
        </w:rPr>
        <w:t xml:space="preserve"> </w:t>
      </w:r>
      <w:r>
        <w:rPr>
          <w:color w:val="803108"/>
          <w:w w:val="105"/>
          <w:sz w:val="14"/>
        </w:rPr>
        <w:t>en</w:t>
      </w:r>
      <w:r>
        <w:rPr>
          <w:color w:val="803108"/>
          <w:spacing w:val="-3"/>
          <w:w w:val="105"/>
          <w:sz w:val="14"/>
        </w:rPr>
        <w:t xml:space="preserve"> </w:t>
      </w:r>
      <w:r>
        <w:rPr>
          <w:color w:val="803108"/>
          <w:w w:val="105"/>
          <w:sz w:val="14"/>
        </w:rPr>
        <w:t>la</w:t>
      </w:r>
      <w:r>
        <w:rPr>
          <w:color w:val="803108"/>
          <w:spacing w:val="-3"/>
          <w:w w:val="105"/>
          <w:sz w:val="14"/>
        </w:rPr>
        <w:t xml:space="preserve"> </w:t>
      </w:r>
      <w:r>
        <w:rPr>
          <w:color w:val="803108"/>
          <w:w w:val="105"/>
          <w:sz w:val="14"/>
        </w:rPr>
        <w:t>oficial</w:t>
      </w:r>
      <w:r>
        <w:rPr>
          <w:color w:val="803108"/>
          <w:spacing w:val="-3"/>
          <w:w w:val="105"/>
          <w:sz w:val="14"/>
        </w:rPr>
        <w:t xml:space="preserve"> </w:t>
      </w:r>
      <w:r>
        <w:rPr>
          <w:color w:val="803108"/>
          <w:w w:val="105"/>
          <w:sz w:val="14"/>
        </w:rPr>
        <w:t>o</w:t>
      </w:r>
      <w:r>
        <w:rPr>
          <w:color w:val="803108"/>
          <w:spacing w:val="-3"/>
          <w:w w:val="105"/>
          <w:sz w:val="14"/>
        </w:rPr>
        <w:t xml:space="preserve"> </w:t>
      </w:r>
      <w:r>
        <w:rPr>
          <w:color w:val="803108"/>
          <w:w w:val="105"/>
          <w:sz w:val="14"/>
        </w:rPr>
        <w:t xml:space="preserve">mayoritaria </w:t>
      </w:r>
      <w:r>
        <w:rPr>
          <w:color w:val="803108"/>
          <w:spacing w:val="-2"/>
          <w:w w:val="105"/>
          <w:sz w:val="14"/>
        </w:rPr>
        <w:t>idioma.</w:t>
      </w:r>
    </w:p>
    <w:p w14:paraId="4375B1CF" w14:textId="77777777" w:rsidR="0014798C" w:rsidRDefault="004E1F0B">
      <w:pPr>
        <w:pStyle w:val="Prrafodelista"/>
        <w:numPr>
          <w:ilvl w:val="0"/>
          <w:numId w:val="13"/>
        </w:numPr>
        <w:tabs>
          <w:tab w:val="left" w:pos="1840"/>
        </w:tabs>
        <w:spacing w:before="114"/>
        <w:ind w:left="1840" w:hanging="161"/>
        <w:rPr>
          <w:sz w:val="14"/>
        </w:rPr>
      </w:pPr>
      <w:r>
        <w:rPr>
          <w:color w:val="803108"/>
          <w:w w:val="105"/>
          <w:sz w:val="14"/>
        </w:rPr>
        <w:t>Conduce</w:t>
      </w:r>
      <w:r>
        <w:rPr>
          <w:color w:val="803108"/>
          <w:spacing w:val="-7"/>
          <w:w w:val="105"/>
          <w:sz w:val="14"/>
        </w:rPr>
        <w:t xml:space="preserve"> </w:t>
      </w:r>
      <w:r>
        <w:rPr>
          <w:color w:val="803108"/>
          <w:w w:val="105"/>
          <w:sz w:val="14"/>
        </w:rPr>
        <w:t>a</w:t>
      </w:r>
      <w:r>
        <w:rPr>
          <w:color w:val="803108"/>
          <w:spacing w:val="-6"/>
          <w:w w:val="105"/>
          <w:sz w:val="14"/>
        </w:rPr>
        <w:t xml:space="preserve"> </w:t>
      </w:r>
      <w:r>
        <w:rPr>
          <w:color w:val="803108"/>
          <w:w w:val="105"/>
          <w:sz w:val="14"/>
        </w:rPr>
        <w:t>una</w:t>
      </w:r>
      <w:r>
        <w:rPr>
          <w:color w:val="803108"/>
          <w:spacing w:val="-7"/>
          <w:w w:val="105"/>
          <w:sz w:val="14"/>
        </w:rPr>
        <w:t xml:space="preserve"> </w:t>
      </w:r>
      <w:r>
        <w:rPr>
          <w:color w:val="803108"/>
          <w:w w:val="105"/>
          <w:sz w:val="14"/>
        </w:rPr>
        <w:t>mayor</w:t>
      </w:r>
      <w:r>
        <w:rPr>
          <w:color w:val="803108"/>
          <w:spacing w:val="-6"/>
          <w:w w:val="105"/>
          <w:sz w:val="14"/>
        </w:rPr>
        <w:t xml:space="preserve"> </w:t>
      </w:r>
      <w:r>
        <w:rPr>
          <w:color w:val="803108"/>
          <w:w w:val="105"/>
          <w:sz w:val="14"/>
        </w:rPr>
        <w:t>participación</w:t>
      </w:r>
      <w:r>
        <w:rPr>
          <w:color w:val="803108"/>
          <w:spacing w:val="-7"/>
          <w:w w:val="105"/>
          <w:sz w:val="14"/>
        </w:rPr>
        <w:t xml:space="preserve"> </w:t>
      </w:r>
      <w:r>
        <w:rPr>
          <w:color w:val="803108"/>
          <w:w w:val="105"/>
          <w:sz w:val="14"/>
        </w:rPr>
        <w:t>y</w:t>
      </w:r>
      <w:r>
        <w:rPr>
          <w:color w:val="803108"/>
          <w:spacing w:val="-6"/>
          <w:w w:val="105"/>
          <w:sz w:val="14"/>
        </w:rPr>
        <w:t xml:space="preserve"> </w:t>
      </w:r>
      <w:r>
        <w:rPr>
          <w:color w:val="803108"/>
          <w:w w:val="105"/>
          <w:sz w:val="14"/>
        </w:rPr>
        <w:t>apoyo</w:t>
      </w:r>
      <w:r>
        <w:rPr>
          <w:color w:val="803108"/>
          <w:spacing w:val="-7"/>
          <w:w w:val="105"/>
          <w:sz w:val="14"/>
        </w:rPr>
        <w:t xml:space="preserve"> </w:t>
      </w:r>
      <w:r>
        <w:rPr>
          <w:color w:val="803108"/>
          <w:w w:val="105"/>
          <w:sz w:val="14"/>
        </w:rPr>
        <w:t>de</w:t>
      </w:r>
      <w:r>
        <w:rPr>
          <w:color w:val="803108"/>
          <w:spacing w:val="-6"/>
          <w:w w:val="105"/>
          <w:sz w:val="14"/>
        </w:rPr>
        <w:t xml:space="preserve"> </w:t>
      </w:r>
      <w:r>
        <w:rPr>
          <w:color w:val="803108"/>
          <w:w w:val="105"/>
          <w:sz w:val="14"/>
        </w:rPr>
        <w:t>la</w:t>
      </w:r>
      <w:r>
        <w:rPr>
          <w:color w:val="803108"/>
          <w:spacing w:val="-7"/>
          <w:w w:val="105"/>
          <w:sz w:val="14"/>
        </w:rPr>
        <w:t xml:space="preserve"> </w:t>
      </w:r>
      <w:r>
        <w:rPr>
          <w:color w:val="803108"/>
          <w:w w:val="105"/>
          <w:sz w:val="14"/>
        </w:rPr>
        <w:t>familia</w:t>
      </w:r>
      <w:r>
        <w:rPr>
          <w:color w:val="803108"/>
          <w:spacing w:val="-6"/>
          <w:w w:val="105"/>
          <w:sz w:val="14"/>
        </w:rPr>
        <w:t xml:space="preserve"> </w:t>
      </w:r>
      <w:r>
        <w:rPr>
          <w:color w:val="803108"/>
          <w:w w:val="105"/>
          <w:sz w:val="14"/>
        </w:rPr>
        <w:t>y</w:t>
      </w:r>
      <w:r>
        <w:rPr>
          <w:color w:val="803108"/>
          <w:spacing w:val="-7"/>
          <w:w w:val="105"/>
          <w:sz w:val="14"/>
        </w:rPr>
        <w:t xml:space="preserve"> </w:t>
      </w:r>
      <w:r>
        <w:rPr>
          <w:color w:val="803108"/>
          <w:w w:val="105"/>
          <w:sz w:val="14"/>
        </w:rPr>
        <w:t>la</w:t>
      </w:r>
      <w:r>
        <w:rPr>
          <w:color w:val="803108"/>
          <w:spacing w:val="-6"/>
          <w:w w:val="105"/>
          <w:sz w:val="14"/>
        </w:rPr>
        <w:t xml:space="preserve"> </w:t>
      </w:r>
      <w:r>
        <w:rPr>
          <w:color w:val="803108"/>
          <w:spacing w:val="-2"/>
          <w:w w:val="105"/>
          <w:sz w:val="14"/>
        </w:rPr>
        <w:t>comunidad.</w:t>
      </w:r>
    </w:p>
    <w:p w14:paraId="15331B42" w14:textId="77777777" w:rsidR="0014798C" w:rsidRDefault="0014798C">
      <w:pPr>
        <w:pStyle w:val="Textoindependiente"/>
        <w:spacing w:before="41"/>
        <w:rPr>
          <w:sz w:val="14"/>
        </w:rPr>
      </w:pPr>
    </w:p>
    <w:p w14:paraId="64A96A46" w14:textId="77777777" w:rsidR="0014798C" w:rsidRDefault="004E1F0B">
      <w:pPr>
        <w:pStyle w:val="Prrafodelista"/>
        <w:numPr>
          <w:ilvl w:val="0"/>
          <w:numId w:val="13"/>
        </w:numPr>
        <w:tabs>
          <w:tab w:val="left" w:pos="1837"/>
          <w:tab w:val="left" w:pos="2015"/>
        </w:tabs>
        <w:spacing w:line="372" w:lineRule="auto"/>
        <w:ind w:left="2015" w:right="1733" w:hanging="339"/>
        <w:rPr>
          <w:sz w:val="14"/>
        </w:rPr>
      </w:pPr>
      <w:r>
        <w:rPr>
          <w:color w:val="803108"/>
          <w:w w:val="105"/>
          <w:sz w:val="14"/>
        </w:rPr>
        <w:t>El</w:t>
      </w:r>
      <w:r>
        <w:rPr>
          <w:color w:val="803108"/>
          <w:spacing w:val="-3"/>
          <w:w w:val="105"/>
          <w:sz w:val="14"/>
        </w:rPr>
        <w:t xml:space="preserve"> </w:t>
      </w:r>
      <w:r>
        <w:rPr>
          <w:color w:val="803108"/>
          <w:w w:val="105"/>
          <w:sz w:val="14"/>
        </w:rPr>
        <w:t>uso</w:t>
      </w:r>
      <w:r>
        <w:rPr>
          <w:color w:val="803108"/>
          <w:spacing w:val="-3"/>
          <w:w w:val="105"/>
          <w:sz w:val="14"/>
        </w:rPr>
        <w:t xml:space="preserve"> </w:t>
      </w:r>
      <w:r>
        <w:rPr>
          <w:color w:val="803108"/>
          <w:w w:val="105"/>
          <w:sz w:val="14"/>
        </w:rPr>
        <w:t>de</w:t>
      </w:r>
      <w:r>
        <w:rPr>
          <w:color w:val="803108"/>
          <w:spacing w:val="-3"/>
          <w:w w:val="105"/>
          <w:sz w:val="14"/>
        </w:rPr>
        <w:t xml:space="preserve"> </w:t>
      </w:r>
      <w:r>
        <w:rPr>
          <w:color w:val="803108"/>
          <w:w w:val="105"/>
          <w:sz w:val="14"/>
        </w:rPr>
        <w:t>lenguas</w:t>
      </w:r>
      <w:r>
        <w:rPr>
          <w:color w:val="803108"/>
          <w:spacing w:val="-3"/>
          <w:w w:val="105"/>
          <w:sz w:val="14"/>
        </w:rPr>
        <w:t xml:space="preserve"> </w:t>
      </w:r>
      <w:r>
        <w:rPr>
          <w:color w:val="803108"/>
          <w:w w:val="105"/>
          <w:sz w:val="14"/>
        </w:rPr>
        <w:t>minoritarias</w:t>
      </w:r>
      <w:r>
        <w:rPr>
          <w:color w:val="803108"/>
          <w:spacing w:val="-3"/>
          <w:w w:val="105"/>
          <w:sz w:val="14"/>
        </w:rPr>
        <w:t xml:space="preserve"> </w:t>
      </w:r>
      <w:r>
        <w:rPr>
          <w:color w:val="803108"/>
          <w:w w:val="105"/>
          <w:sz w:val="14"/>
        </w:rPr>
        <w:t>en</w:t>
      </w:r>
      <w:r>
        <w:rPr>
          <w:color w:val="803108"/>
          <w:spacing w:val="-3"/>
          <w:w w:val="105"/>
          <w:sz w:val="14"/>
        </w:rPr>
        <w:t xml:space="preserve"> </w:t>
      </w:r>
      <w:r>
        <w:rPr>
          <w:color w:val="803108"/>
          <w:w w:val="105"/>
          <w:sz w:val="14"/>
        </w:rPr>
        <w:t>las</w:t>
      </w:r>
      <w:r>
        <w:rPr>
          <w:color w:val="803108"/>
          <w:spacing w:val="-3"/>
          <w:w w:val="105"/>
          <w:sz w:val="14"/>
        </w:rPr>
        <w:t xml:space="preserve"> </w:t>
      </w:r>
      <w:r>
        <w:rPr>
          <w:color w:val="803108"/>
          <w:w w:val="105"/>
          <w:sz w:val="14"/>
        </w:rPr>
        <w:t>actividades</w:t>
      </w:r>
      <w:r>
        <w:rPr>
          <w:color w:val="803108"/>
          <w:spacing w:val="-3"/>
          <w:w w:val="105"/>
          <w:sz w:val="14"/>
        </w:rPr>
        <w:t xml:space="preserve"> </w:t>
      </w:r>
      <w:r>
        <w:rPr>
          <w:color w:val="803108"/>
          <w:w w:val="105"/>
          <w:sz w:val="14"/>
        </w:rPr>
        <w:t>administrativas</w:t>
      </w:r>
      <w:r>
        <w:rPr>
          <w:color w:val="803108"/>
          <w:spacing w:val="-3"/>
          <w:w w:val="105"/>
          <w:sz w:val="14"/>
        </w:rPr>
        <w:t xml:space="preserve"> </w:t>
      </w:r>
      <w:r>
        <w:rPr>
          <w:color w:val="803108"/>
          <w:w w:val="105"/>
          <w:sz w:val="14"/>
        </w:rPr>
        <w:t>y</w:t>
      </w:r>
      <w:r>
        <w:rPr>
          <w:color w:val="803108"/>
          <w:spacing w:val="-3"/>
          <w:w w:val="105"/>
          <w:sz w:val="14"/>
        </w:rPr>
        <w:t xml:space="preserve"> </w:t>
      </w:r>
      <w:r>
        <w:rPr>
          <w:color w:val="803108"/>
          <w:w w:val="105"/>
          <w:sz w:val="14"/>
        </w:rPr>
        <w:t>otras</w:t>
      </w:r>
      <w:r>
        <w:rPr>
          <w:color w:val="803108"/>
          <w:spacing w:val="-3"/>
          <w:w w:val="105"/>
          <w:sz w:val="14"/>
        </w:rPr>
        <w:t xml:space="preserve"> </w:t>
      </w:r>
      <w:r>
        <w:rPr>
          <w:color w:val="803108"/>
          <w:w w:val="105"/>
          <w:sz w:val="14"/>
        </w:rPr>
        <w:t>actividades</w:t>
      </w:r>
      <w:r>
        <w:rPr>
          <w:color w:val="803108"/>
          <w:spacing w:val="-3"/>
          <w:w w:val="105"/>
          <w:sz w:val="14"/>
        </w:rPr>
        <w:t xml:space="preserve"> </w:t>
      </w:r>
      <w:r>
        <w:rPr>
          <w:color w:val="803108"/>
          <w:w w:val="105"/>
          <w:sz w:val="14"/>
        </w:rPr>
        <w:t>públicas</w:t>
      </w:r>
      <w:r>
        <w:rPr>
          <w:color w:val="803108"/>
          <w:spacing w:val="-3"/>
          <w:w w:val="105"/>
          <w:sz w:val="14"/>
        </w:rPr>
        <w:t xml:space="preserve"> </w:t>
      </w:r>
      <w:r>
        <w:rPr>
          <w:color w:val="803108"/>
          <w:w w:val="105"/>
          <w:sz w:val="14"/>
        </w:rPr>
        <w:t>de</w:t>
      </w:r>
      <w:r>
        <w:rPr>
          <w:color w:val="803108"/>
          <w:spacing w:val="-3"/>
          <w:w w:val="105"/>
          <w:sz w:val="14"/>
        </w:rPr>
        <w:t xml:space="preserve"> </w:t>
      </w:r>
      <w:r>
        <w:rPr>
          <w:color w:val="803108"/>
          <w:w w:val="105"/>
          <w:sz w:val="14"/>
        </w:rPr>
        <w:t>un</w:t>
      </w:r>
      <w:r>
        <w:rPr>
          <w:color w:val="803108"/>
          <w:spacing w:val="-3"/>
          <w:w w:val="105"/>
          <w:sz w:val="14"/>
        </w:rPr>
        <w:t xml:space="preserve"> </w:t>
      </w:r>
      <w:r>
        <w:rPr>
          <w:color w:val="803108"/>
          <w:w w:val="105"/>
          <w:sz w:val="14"/>
        </w:rPr>
        <w:t>estado</w:t>
      </w:r>
      <w:r>
        <w:rPr>
          <w:color w:val="803108"/>
          <w:spacing w:val="-3"/>
          <w:w w:val="105"/>
          <w:sz w:val="14"/>
        </w:rPr>
        <w:t xml:space="preserve"> </w:t>
      </w:r>
      <w:r>
        <w:rPr>
          <w:color w:val="803108"/>
          <w:w w:val="105"/>
          <w:sz w:val="14"/>
        </w:rPr>
        <w:t>implica,</w:t>
      </w:r>
      <w:r>
        <w:rPr>
          <w:color w:val="803108"/>
          <w:spacing w:val="-2"/>
          <w:w w:val="105"/>
          <w:sz w:val="14"/>
        </w:rPr>
        <w:t xml:space="preserve"> </w:t>
      </w:r>
      <w:r>
        <w:rPr>
          <w:color w:val="803108"/>
          <w:w w:val="105"/>
          <w:sz w:val="14"/>
        </w:rPr>
        <w:t>por</w:t>
      </w:r>
      <w:r>
        <w:rPr>
          <w:color w:val="803108"/>
          <w:spacing w:val="-3"/>
          <w:w w:val="105"/>
          <w:sz w:val="14"/>
        </w:rPr>
        <w:t xml:space="preserve"> </w:t>
      </w:r>
      <w:r>
        <w:rPr>
          <w:color w:val="803108"/>
          <w:w w:val="105"/>
          <w:sz w:val="14"/>
        </w:rPr>
        <w:t>tanto, cuestiones fundamentales de inclusión, participación, acceso, calidad y eficacia.1078</w:t>
      </w:r>
    </w:p>
    <w:p w14:paraId="525EDB37" w14:textId="77777777" w:rsidR="0014798C" w:rsidRDefault="0014798C">
      <w:pPr>
        <w:pStyle w:val="Textoindependiente"/>
        <w:spacing w:before="9"/>
        <w:rPr>
          <w:sz w:val="14"/>
        </w:rPr>
      </w:pPr>
    </w:p>
    <w:p w14:paraId="1C0CBA61" w14:textId="77777777" w:rsidR="0014798C" w:rsidRDefault="004E1F0B">
      <w:pPr>
        <w:spacing w:line="372" w:lineRule="auto"/>
        <w:ind w:left="1107" w:right="1272" w:firstLine="1"/>
        <w:rPr>
          <w:sz w:val="14"/>
        </w:rPr>
      </w:pPr>
      <w:r>
        <w:rPr>
          <w:w w:val="105"/>
          <w:sz w:val="14"/>
        </w:rPr>
        <w:t>En su resolución de 2020 sobre los derechos de las minorías, centrándose en particular en las recomendaciones del duodécimo período de sesiones</w:t>
      </w:r>
      <w:r>
        <w:rPr>
          <w:spacing w:val="-3"/>
          <w:w w:val="105"/>
          <w:sz w:val="14"/>
        </w:rPr>
        <w:t xml:space="preserve"> </w:t>
      </w:r>
      <w:r>
        <w:rPr>
          <w:w w:val="105"/>
          <w:sz w:val="14"/>
        </w:rPr>
        <w:t>del</w:t>
      </w:r>
      <w:r>
        <w:rPr>
          <w:spacing w:val="-3"/>
          <w:w w:val="105"/>
          <w:sz w:val="14"/>
        </w:rPr>
        <w:t xml:space="preserve"> </w:t>
      </w:r>
      <w:r>
        <w:rPr>
          <w:w w:val="105"/>
          <w:sz w:val="14"/>
        </w:rPr>
        <w:t>Foro</w:t>
      </w:r>
      <w:r>
        <w:rPr>
          <w:spacing w:val="-3"/>
          <w:w w:val="105"/>
          <w:sz w:val="14"/>
        </w:rPr>
        <w:t xml:space="preserve"> </w:t>
      </w:r>
      <w:r>
        <w:rPr>
          <w:w w:val="105"/>
          <w:sz w:val="14"/>
        </w:rPr>
        <w:t>sobre</w:t>
      </w:r>
      <w:r>
        <w:rPr>
          <w:spacing w:val="-3"/>
          <w:w w:val="105"/>
          <w:sz w:val="14"/>
        </w:rPr>
        <w:t xml:space="preserve"> </w:t>
      </w:r>
      <w:r>
        <w:rPr>
          <w:w w:val="105"/>
          <w:sz w:val="14"/>
        </w:rPr>
        <w:t>Cuestiones</w:t>
      </w:r>
      <w:r>
        <w:rPr>
          <w:spacing w:val="-3"/>
          <w:w w:val="105"/>
          <w:sz w:val="14"/>
        </w:rPr>
        <w:t xml:space="preserve"> </w:t>
      </w:r>
      <w:r>
        <w:rPr>
          <w:w w:val="105"/>
          <w:sz w:val="14"/>
        </w:rPr>
        <w:t>de</w:t>
      </w:r>
      <w:r>
        <w:rPr>
          <w:spacing w:val="-3"/>
          <w:w w:val="105"/>
          <w:sz w:val="14"/>
        </w:rPr>
        <w:t xml:space="preserve"> </w:t>
      </w:r>
      <w:r>
        <w:rPr>
          <w:w w:val="105"/>
          <w:sz w:val="14"/>
        </w:rPr>
        <w:t>las</w:t>
      </w:r>
      <w:r>
        <w:rPr>
          <w:spacing w:val="-3"/>
          <w:w w:val="105"/>
          <w:sz w:val="14"/>
        </w:rPr>
        <w:t xml:space="preserve"> </w:t>
      </w:r>
      <w:r>
        <w:rPr>
          <w:w w:val="105"/>
          <w:sz w:val="14"/>
        </w:rPr>
        <w:t>Minorías,</w:t>
      </w:r>
      <w:r>
        <w:rPr>
          <w:spacing w:val="-2"/>
          <w:w w:val="105"/>
          <w:sz w:val="14"/>
        </w:rPr>
        <w:t xml:space="preserve"> </w:t>
      </w:r>
      <w:r>
        <w:rPr>
          <w:w w:val="105"/>
          <w:sz w:val="14"/>
        </w:rPr>
        <w:t>que</w:t>
      </w:r>
      <w:r>
        <w:rPr>
          <w:spacing w:val="-3"/>
          <w:w w:val="105"/>
          <w:sz w:val="14"/>
        </w:rPr>
        <w:t xml:space="preserve"> </w:t>
      </w:r>
      <w:r>
        <w:rPr>
          <w:w w:val="105"/>
          <w:sz w:val="14"/>
        </w:rPr>
        <w:t>abordó</w:t>
      </w:r>
      <w:r>
        <w:rPr>
          <w:spacing w:val="-3"/>
          <w:w w:val="105"/>
          <w:sz w:val="14"/>
        </w:rPr>
        <w:t xml:space="preserve"> </w:t>
      </w:r>
      <w:r>
        <w:rPr>
          <w:w w:val="105"/>
          <w:sz w:val="14"/>
        </w:rPr>
        <w:t>cuestiones</w:t>
      </w:r>
      <w:r>
        <w:rPr>
          <w:spacing w:val="-3"/>
          <w:w w:val="105"/>
          <w:sz w:val="14"/>
        </w:rPr>
        <w:t xml:space="preserve"> </w:t>
      </w:r>
      <w:r>
        <w:rPr>
          <w:w w:val="105"/>
          <w:sz w:val="14"/>
        </w:rPr>
        <w:t>relacionadas</w:t>
      </w:r>
      <w:r>
        <w:rPr>
          <w:spacing w:val="-3"/>
          <w:w w:val="105"/>
          <w:sz w:val="14"/>
        </w:rPr>
        <w:t xml:space="preserve"> </w:t>
      </w:r>
      <w:r>
        <w:rPr>
          <w:w w:val="105"/>
          <w:sz w:val="14"/>
        </w:rPr>
        <w:t>con</w:t>
      </w:r>
      <w:r>
        <w:rPr>
          <w:spacing w:val="-3"/>
          <w:w w:val="105"/>
          <w:sz w:val="14"/>
        </w:rPr>
        <w:t xml:space="preserve"> </w:t>
      </w:r>
      <w:r>
        <w:rPr>
          <w:w w:val="105"/>
          <w:sz w:val="14"/>
        </w:rPr>
        <w:t>la</w:t>
      </w:r>
      <w:r>
        <w:rPr>
          <w:spacing w:val="-3"/>
          <w:w w:val="105"/>
          <w:sz w:val="14"/>
        </w:rPr>
        <w:t xml:space="preserve"> </w:t>
      </w:r>
      <w:r>
        <w:rPr>
          <w:w w:val="105"/>
          <w:sz w:val="14"/>
        </w:rPr>
        <w:t>educación,</w:t>
      </w:r>
      <w:r>
        <w:rPr>
          <w:spacing w:val="-2"/>
          <w:w w:val="105"/>
          <w:sz w:val="14"/>
        </w:rPr>
        <w:t xml:space="preserve"> </w:t>
      </w:r>
      <w:r>
        <w:rPr>
          <w:w w:val="105"/>
          <w:sz w:val="14"/>
        </w:rPr>
        <w:t>el</w:t>
      </w:r>
      <w:r>
        <w:rPr>
          <w:spacing w:val="-3"/>
          <w:w w:val="105"/>
          <w:sz w:val="14"/>
        </w:rPr>
        <w:t xml:space="preserve"> </w:t>
      </w:r>
      <w:r>
        <w:rPr>
          <w:w w:val="105"/>
          <w:sz w:val="14"/>
        </w:rPr>
        <w:t>idioma</w:t>
      </w:r>
      <w:r>
        <w:rPr>
          <w:spacing w:val="-3"/>
          <w:w w:val="105"/>
          <w:sz w:val="14"/>
        </w:rPr>
        <w:t xml:space="preserve"> </w:t>
      </w:r>
      <w:r>
        <w:rPr>
          <w:w w:val="105"/>
          <w:sz w:val="14"/>
        </w:rPr>
        <w:t>y</w:t>
      </w:r>
      <w:r>
        <w:rPr>
          <w:spacing w:val="-3"/>
          <w:w w:val="105"/>
          <w:sz w:val="14"/>
        </w:rPr>
        <w:t xml:space="preserve"> </w:t>
      </w:r>
      <w:r>
        <w:rPr>
          <w:w w:val="105"/>
          <w:sz w:val="14"/>
        </w:rPr>
        <w:t>los</w:t>
      </w:r>
      <w:r>
        <w:rPr>
          <w:spacing w:val="-3"/>
          <w:w w:val="105"/>
          <w:sz w:val="14"/>
        </w:rPr>
        <w:t xml:space="preserve"> </w:t>
      </w:r>
      <w:r>
        <w:rPr>
          <w:w w:val="105"/>
          <w:sz w:val="14"/>
        </w:rPr>
        <w:t>derechos</w:t>
      </w:r>
      <w:r>
        <w:rPr>
          <w:spacing w:val="-3"/>
          <w:w w:val="105"/>
          <w:sz w:val="14"/>
        </w:rPr>
        <w:t xml:space="preserve"> </w:t>
      </w:r>
      <w:r>
        <w:rPr>
          <w:w w:val="105"/>
          <w:sz w:val="14"/>
        </w:rPr>
        <w:t>humanos de las minorías, el Consejo de Derechos Humanos instó a los Estados a tomar una serie de medidas sobre estas cuestiones, entre ellas:</w:t>
      </w:r>
    </w:p>
    <w:p w14:paraId="2F56D635" w14:textId="77777777" w:rsidR="0014798C" w:rsidRDefault="0014798C">
      <w:pPr>
        <w:pStyle w:val="Textoindependiente"/>
        <w:rPr>
          <w:sz w:val="14"/>
        </w:rPr>
      </w:pPr>
    </w:p>
    <w:p w14:paraId="31648739" w14:textId="77777777" w:rsidR="0014798C" w:rsidRDefault="0014798C">
      <w:pPr>
        <w:pStyle w:val="Textoindependiente"/>
        <w:spacing w:before="42"/>
        <w:rPr>
          <w:sz w:val="14"/>
        </w:rPr>
      </w:pPr>
    </w:p>
    <w:p w14:paraId="78A4529F" w14:textId="77777777" w:rsidR="0014798C" w:rsidRDefault="004E1F0B">
      <w:pPr>
        <w:pStyle w:val="Prrafodelista"/>
        <w:numPr>
          <w:ilvl w:val="1"/>
          <w:numId w:val="13"/>
        </w:numPr>
        <w:tabs>
          <w:tab w:val="left" w:pos="1853"/>
          <w:tab w:val="left" w:pos="2014"/>
        </w:tabs>
        <w:spacing w:line="372" w:lineRule="auto"/>
        <w:ind w:right="1840" w:hanging="331"/>
        <w:rPr>
          <w:color w:val="803108"/>
          <w:sz w:val="14"/>
        </w:rPr>
      </w:pPr>
      <w:r>
        <w:rPr>
          <w:color w:val="803108"/>
          <w:w w:val="105"/>
          <w:sz w:val="14"/>
        </w:rPr>
        <w:t>Adoptar</w:t>
      </w:r>
      <w:r>
        <w:rPr>
          <w:color w:val="803108"/>
          <w:spacing w:val="-3"/>
          <w:w w:val="105"/>
          <w:sz w:val="14"/>
        </w:rPr>
        <w:t xml:space="preserve"> </w:t>
      </w:r>
      <w:r>
        <w:rPr>
          <w:color w:val="803108"/>
          <w:w w:val="105"/>
          <w:sz w:val="14"/>
        </w:rPr>
        <w:t>medidas</w:t>
      </w:r>
      <w:r>
        <w:rPr>
          <w:color w:val="803108"/>
          <w:spacing w:val="-3"/>
          <w:w w:val="105"/>
          <w:sz w:val="14"/>
        </w:rPr>
        <w:t xml:space="preserve"> </w:t>
      </w:r>
      <w:r>
        <w:rPr>
          <w:color w:val="803108"/>
          <w:w w:val="105"/>
          <w:sz w:val="14"/>
        </w:rPr>
        <w:t>legislativas,</w:t>
      </w:r>
      <w:r>
        <w:rPr>
          <w:color w:val="803108"/>
          <w:spacing w:val="-2"/>
          <w:w w:val="105"/>
          <w:sz w:val="14"/>
        </w:rPr>
        <w:t xml:space="preserve"> </w:t>
      </w:r>
      <w:r>
        <w:rPr>
          <w:color w:val="803108"/>
          <w:w w:val="105"/>
          <w:sz w:val="14"/>
        </w:rPr>
        <w:t>políticas</w:t>
      </w:r>
      <w:r>
        <w:rPr>
          <w:color w:val="803108"/>
          <w:spacing w:val="-3"/>
          <w:w w:val="105"/>
          <w:sz w:val="14"/>
        </w:rPr>
        <w:t xml:space="preserve"> </w:t>
      </w:r>
      <w:r>
        <w:rPr>
          <w:color w:val="803108"/>
          <w:w w:val="105"/>
          <w:sz w:val="14"/>
        </w:rPr>
        <w:t>o</w:t>
      </w:r>
      <w:r>
        <w:rPr>
          <w:color w:val="803108"/>
          <w:spacing w:val="-3"/>
          <w:w w:val="105"/>
          <w:sz w:val="14"/>
        </w:rPr>
        <w:t xml:space="preserve"> </w:t>
      </w:r>
      <w:r>
        <w:rPr>
          <w:color w:val="803108"/>
          <w:w w:val="105"/>
          <w:sz w:val="14"/>
        </w:rPr>
        <w:t>prácticas</w:t>
      </w:r>
      <w:r>
        <w:rPr>
          <w:color w:val="803108"/>
          <w:spacing w:val="-3"/>
          <w:w w:val="105"/>
          <w:sz w:val="14"/>
        </w:rPr>
        <w:t xml:space="preserve"> </w:t>
      </w:r>
      <w:r>
        <w:rPr>
          <w:color w:val="803108"/>
          <w:w w:val="105"/>
          <w:sz w:val="14"/>
        </w:rPr>
        <w:t>para</w:t>
      </w:r>
      <w:r>
        <w:rPr>
          <w:color w:val="803108"/>
          <w:spacing w:val="-3"/>
          <w:w w:val="105"/>
          <w:sz w:val="14"/>
        </w:rPr>
        <w:t xml:space="preserve"> </w:t>
      </w:r>
      <w:r>
        <w:rPr>
          <w:color w:val="803108"/>
          <w:w w:val="105"/>
          <w:sz w:val="14"/>
        </w:rPr>
        <w:t>garantizar</w:t>
      </w:r>
      <w:r>
        <w:rPr>
          <w:color w:val="803108"/>
          <w:spacing w:val="-3"/>
          <w:w w:val="105"/>
          <w:sz w:val="14"/>
        </w:rPr>
        <w:t xml:space="preserve"> </w:t>
      </w:r>
      <w:r>
        <w:rPr>
          <w:color w:val="803108"/>
          <w:w w:val="105"/>
          <w:sz w:val="14"/>
        </w:rPr>
        <w:t>que</w:t>
      </w:r>
      <w:r>
        <w:rPr>
          <w:color w:val="803108"/>
          <w:spacing w:val="-3"/>
          <w:w w:val="105"/>
          <w:sz w:val="14"/>
        </w:rPr>
        <w:t xml:space="preserve"> </w:t>
      </w:r>
      <w:r>
        <w:rPr>
          <w:color w:val="803108"/>
          <w:w w:val="105"/>
          <w:sz w:val="14"/>
        </w:rPr>
        <w:t>las</w:t>
      </w:r>
      <w:r>
        <w:rPr>
          <w:color w:val="803108"/>
          <w:spacing w:val="-3"/>
          <w:w w:val="105"/>
          <w:sz w:val="14"/>
        </w:rPr>
        <w:t xml:space="preserve"> </w:t>
      </w:r>
      <w:r>
        <w:rPr>
          <w:color w:val="803108"/>
          <w:w w:val="105"/>
          <w:sz w:val="14"/>
        </w:rPr>
        <w:t>personas</w:t>
      </w:r>
      <w:r>
        <w:rPr>
          <w:color w:val="803108"/>
          <w:spacing w:val="-3"/>
          <w:w w:val="105"/>
          <w:sz w:val="14"/>
        </w:rPr>
        <w:t xml:space="preserve"> </w:t>
      </w:r>
      <w:r>
        <w:rPr>
          <w:color w:val="803108"/>
          <w:w w:val="105"/>
          <w:sz w:val="14"/>
        </w:rPr>
        <w:t>pertenecientes</w:t>
      </w:r>
      <w:r>
        <w:rPr>
          <w:color w:val="803108"/>
          <w:spacing w:val="-3"/>
          <w:w w:val="105"/>
          <w:sz w:val="14"/>
        </w:rPr>
        <w:t xml:space="preserve"> </w:t>
      </w:r>
      <w:r>
        <w:rPr>
          <w:color w:val="803108"/>
          <w:w w:val="105"/>
          <w:sz w:val="14"/>
        </w:rPr>
        <w:t>a</w:t>
      </w:r>
      <w:r>
        <w:rPr>
          <w:color w:val="803108"/>
          <w:spacing w:val="-3"/>
          <w:w w:val="105"/>
          <w:sz w:val="14"/>
        </w:rPr>
        <w:t xml:space="preserve"> </w:t>
      </w:r>
      <w:r>
        <w:rPr>
          <w:color w:val="803108"/>
          <w:w w:val="105"/>
          <w:sz w:val="14"/>
        </w:rPr>
        <w:t>minorías</w:t>
      </w:r>
      <w:r>
        <w:rPr>
          <w:color w:val="803108"/>
          <w:spacing w:val="-3"/>
          <w:w w:val="105"/>
          <w:sz w:val="14"/>
        </w:rPr>
        <w:t xml:space="preserve"> </w:t>
      </w:r>
      <w:r>
        <w:rPr>
          <w:color w:val="803108"/>
          <w:w w:val="105"/>
          <w:sz w:val="14"/>
        </w:rPr>
        <w:t>tengan</w:t>
      </w:r>
      <w:r>
        <w:rPr>
          <w:color w:val="803108"/>
          <w:spacing w:val="-3"/>
          <w:w w:val="105"/>
          <w:sz w:val="14"/>
        </w:rPr>
        <w:t xml:space="preserve"> </w:t>
      </w:r>
      <w:r>
        <w:rPr>
          <w:color w:val="803108"/>
          <w:w w:val="105"/>
          <w:sz w:val="14"/>
        </w:rPr>
        <w:t>igual acceso</w:t>
      </w:r>
      <w:r>
        <w:rPr>
          <w:color w:val="803108"/>
          <w:spacing w:val="-5"/>
          <w:w w:val="105"/>
          <w:sz w:val="14"/>
        </w:rPr>
        <w:t xml:space="preserve"> </w:t>
      </w:r>
      <w:r>
        <w:rPr>
          <w:color w:val="803108"/>
          <w:w w:val="105"/>
          <w:sz w:val="14"/>
        </w:rPr>
        <w:t>a</w:t>
      </w:r>
      <w:r>
        <w:rPr>
          <w:color w:val="803108"/>
          <w:spacing w:val="-5"/>
          <w:w w:val="105"/>
          <w:sz w:val="14"/>
        </w:rPr>
        <w:t xml:space="preserve"> </w:t>
      </w:r>
      <w:r>
        <w:rPr>
          <w:color w:val="803108"/>
          <w:w w:val="105"/>
          <w:sz w:val="14"/>
        </w:rPr>
        <w:t>una</w:t>
      </w:r>
      <w:r>
        <w:rPr>
          <w:color w:val="803108"/>
          <w:spacing w:val="-5"/>
          <w:w w:val="105"/>
          <w:sz w:val="14"/>
        </w:rPr>
        <w:t xml:space="preserve"> </w:t>
      </w:r>
      <w:r>
        <w:rPr>
          <w:color w:val="803108"/>
          <w:w w:val="105"/>
          <w:sz w:val="14"/>
        </w:rPr>
        <w:t>educación</w:t>
      </w:r>
      <w:r>
        <w:rPr>
          <w:color w:val="803108"/>
          <w:spacing w:val="-5"/>
          <w:w w:val="105"/>
          <w:sz w:val="14"/>
        </w:rPr>
        <w:t xml:space="preserve"> </w:t>
      </w:r>
      <w:r>
        <w:rPr>
          <w:color w:val="803108"/>
          <w:w w:val="105"/>
          <w:sz w:val="14"/>
        </w:rPr>
        <w:t>de</w:t>
      </w:r>
      <w:r>
        <w:rPr>
          <w:color w:val="803108"/>
          <w:spacing w:val="-5"/>
          <w:w w:val="105"/>
          <w:sz w:val="14"/>
        </w:rPr>
        <w:t xml:space="preserve"> </w:t>
      </w:r>
      <w:r>
        <w:rPr>
          <w:color w:val="803108"/>
          <w:w w:val="105"/>
          <w:sz w:val="14"/>
        </w:rPr>
        <w:t>igual</w:t>
      </w:r>
      <w:r>
        <w:rPr>
          <w:color w:val="803108"/>
          <w:spacing w:val="-5"/>
          <w:w w:val="105"/>
          <w:sz w:val="14"/>
        </w:rPr>
        <w:t xml:space="preserve"> </w:t>
      </w:r>
      <w:r>
        <w:rPr>
          <w:color w:val="803108"/>
          <w:w w:val="105"/>
          <w:sz w:val="14"/>
        </w:rPr>
        <w:t>calidad,</w:t>
      </w:r>
      <w:r>
        <w:rPr>
          <w:color w:val="803108"/>
          <w:spacing w:val="-4"/>
          <w:w w:val="105"/>
          <w:sz w:val="14"/>
        </w:rPr>
        <w:t xml:space="preserve"> </w:t>
      </w:r>
      <w:r>
        <w:rPr>
          <w:color w:val="803108"/>
          <w:w w:val="105"/>
          <w:sz w:val="14"/>
        </w:rPr>
        <w:t>impartida</w:t>
      </w:r>
      <w:r>
        <w:rPr>
          <w:color w:val="803108"/>
          <w:spacing w:val="-5"/>
          <w:w w:val="105"/>
          <w:sz w:val="14"/>
        </w:rPr>
        <w:t xml:space="preserve"> </w:t>
      </w:r>
      <w:r>
        <w:rPr>
          <w:color w:val="803108"/>
          <w:w w:val="105"/>
          <w:sz w:val="14"/>
        </w:rPr>
        <w:t>en</w:t>
      </w:r>
      <w:r>
        <w:rPr>
          <w:color w:val="803108"/>
          <w:spacing w:val="-5"/>
          <w:w w:val="105"/>
          <w:sz w:val="14"/>
        </w:rPr>
        <w:t xml:space="preserve"> </w:t>
      </w:r>
      <w:r>
        <w:rPr>
          <w:color w:val="803108"/>
          <w:w w:val="105"/>
          <w:sz w:val="14"/>
        </w:rPr>
        <w:t>un</w:t>
      </w:r>
      <w:r>
        <w:rPr>
          <w:color w:val="803108"/>
          <w:spacing w:val="-5"/>
          <w:w w:val="105"/>
          <w:sz w:val="14"/>
        </w:rPr>
        <w:t xml:space="preserve"> </w:t>
      </w:r>
      <w:r>
        <w:rPr>
          <w:color w:val="803108"/>
          <w:w w:val="105"/>
          <w:sz w:val="14"/>
        </w:rPr>
        <w:t>entorno</w:t>
      </w:r>
      <w:r>
        <w:rPr>
          <w:color w:val="803108"/>
          <w:spacing w:val="-5"/>
          <w:w w:val="105"/>
          <w:sz w:val="14"/>
        </w:rPr>
        <w:t xml:space="preserve"> </w:t>
      </w:r>
      <w:r>
        <w:rPr>
          <w:color w:val="803108"/>
          <w:w w:val="105"/>
          <w:sz w:val="14"/>
        </w:rPr>
        <w:t>inclusivo</w:t>
      </w:r>
      <w:r>
        <w:rPr>
          <w:color w:val="803108"/>
          <w:spacing w:val="-5"/>
          <w:w w:val="105"/>
          <w:sz w:val="14"/>
        </w:rPr>
        <w:t xml:space="preserve"> </w:t>
      </w:r>
      <w:r>
        <w:rPr>
          <w:color w:val="803108"/>
          <w:w w:val="105"/>
          <w:sz w:val="14"/>
        </w:rPr>
        <w:t>que</w:t>
      </w:r>
      <w:r>
        <w:rPr>
          <w:color w:val="803108"/>
          <w:spacing w:val="-5"/>
          <w:w w:val="105"/>
          <w:sz w:val="14"/>
        </w:rPr>
        <w:t xml:space="preserve"> </w:t>
      </w:r>
      <w:r>
        <w:rPr>
          <w:color w:val="803108"/>
          <w:w w:val="105"/>
          <w:sz w:val="14"/>
        </w:rPr>
        <w:t>fomente</w:t>
      </w:r>
      <w:r>
        <w:rPr>
          <w:color w:val="803108"/>
          <w:spacing w:val="-5"/>
          <w:w w:val="105"/>
          <w:sz w:val="14"/>
        </w:rPr>
        <w:t xml:space="preserve"> </w:t>
      </w:r>
      <w:r>
        <w:rPr>
          <w:color w:val="803108"/>
          <w:w w:val="105"/>
          <w:sz w:val="14"/>
        </w:rPr>
        <w:t>mayores</w:t>
      </w:r>
      <w:r>
        <w:rPr>
          <w:color w:val="803108"/>
          <w:spacing w:val="-5"/>
          <w:w w:val="105"/>
          <w:sz w:val="14"/>
        </w:rPr>
        <w:t xml:space="preserve"> </w:t>
      </w:r>
      <w:r>
        <w:rPr>
          <w:color w:val="803108"/>
          <w:w w:val="105"/>
          <w:sz w:val="14"/>
        </w:rPr>
        <w:t>logros</w:t>
      </w:r>
      <w:r>
        <w:rPr>
          <w:color w:val="803108"/>
          <w:spacing w:val="-5"/>
          <w:w w:val="105"/>
          <w:sz w:val="14"/>
        </w:rPr>
        <w:t xml:space="preserve"> </w:t>
      </w:r>
      <w:r>
        <w:rPr>
          <w:color w:val="803108"/>
          <w:w w:val="105"/>
          <w:sz w:val="14"/>
        </w:rPr>
        <w:t>para</w:t>
      </w:r>
      <w:r>
        <w:rPr>
          <w:color w:val="803108"/>
          <w:spacing w:val="-5"/>
          <w:w w:val="105"/>
          <w:sz w:val="14"/>
        </w:rPr>
        <w:t xml:space="preserve"> </w:t>
      </w:r>
      <w:r>
        <w:rPr>
          <w:color w:val="803108"/>
          <w:w w:val="105"/>
          <w:sz w:val="14"/>
        </w:rPr>
        <w:t>todos;</w:t>
      </w:r>
    </w:p>
    <w:p w14:paraId="53029173" w14:textId="77777777" w:rsidR="0014798C" w:rsidRDefault="0014798C">
      <w:pPr>
        <w:pStyle w:val="Textoindependiente"/>
        <w:rPr>
          <w:sz w:val="14"/>
        </w:rPr>
      </w:pPr>
    </w:p>
    <w:p w14:paraId="2492D400" w14:textId="77777777" w:rsidR="0014798C" w:rsidRDefault="0014798C">
      <w:pPr>
        <w:pStyle w:val="Textoindependiente"/>
        <w:spacing w:before="41"/>
        <w:rPr>
          <w:sz w:val="14"/>
        </w:rPr>
      </w:pPr>
    </w:p>
    <w:p w14:paraId="2FDBDB11" w14:textId="77777777" w:rsidR="0014798C" w:rsidRDefault="004E1F0B">
      <w:pPr>
        <w:pStyle w:val="Prrafodelista"/>
        <w:numPr>
          <w:ilvl w:val="1"/>
          <w:numId w:val="13"/>
        </w:numPr>
        <w:tabs>
          <w:tab w:val="left" w:pos="1853"/>
          <w:tab w:val="left" w:pos="2013"/>
        </w:tabs>
        <w:spacing w:before="1" w:line="372" w:lineRule="auto"/>
        <w:ind w:left="2013" w:right="2026" w:hanging="330"/>
        <w:rPr>
          <w:color w:val="803108"/>
          <w:sz w:val="14"/>
        </w:rPr>
      </w:pPr>
      <w:r>
        <w:rPr>
          <w:color w:val="803108"/>
          <w:w w:val="105"/>
          <w:sz w:val="14"/>
        </w:rPr>
        <w:t>Considerar la posibilidad de ratificar, adherirse y adherirse a los instrumentos internacionales y regionales de derechos humanos</w:t>
      </w:r>
      <w:r>
        <w:rPr>
          <w:color w:val="803108"/>
          <w:spacing w:val="-4"/>
          <w:w w:val="105"/>
          <w:sz w:val="14"/>
        </w:rPr>
        <w:t xml:space="preserve"> </w:t>
      </w:r>
      <w:r>
        <w:rPr>
          <w:color w:val="803108"/>
          <w:w w:val="105"/>
          <w:sz w:val="14"/>
        </w:rPr>
        <w:t>pertinentes</w:t>
      </w:r>
      <w:r>
        <w:rPr>
          <w:color w:val="803108"/>
          <w:spacing w:val="-4"/>
          <w:w w:val="105"/>
          <w:sz w:val="14"/>
        </w:rPr>
        <w:t xml:space="preserve"> </w:t>
      </w:r>
      <w:r>
        <w:rPr>
          <w:color w:val="803108"/>
          <w:w w:val="105"/>
          <w:sz w:val="14"/>
        </w:rPr>
        <w:t>que</w:t>
      </w:r>
      <w:r>
        <w:rPr>
          <w:color w:val="803108"/>
          <w:spacing w:val="-4"/>
          <w:w w:val="105"/>
          <w:sz w:val="14"/>
        </w:rPr>
        <w:t xml:space="preserve"> </w:t>
      </w:r>
      <w:r>
        <w:rPr>
          <w:color w:val="803108"/>
          <w:w w:val="105"/>
          <w:sz w:val="14"/>
        </w:rPr>
        <w:t>protegen</w:t>
      </w:r>
      <w:r>
        <w:rPr>
          <w:color w:val="803108"/>
          <w:spacing w:val="-4"/>
          <w:w w:val="105"/>
          <w:sz w:val="14"/>
        </w:rPr>
        <w:t xml:space="preserve"> </w:t>
      </w:r>
      <w:r>
        <w:rPr>
          <w:color w:val="803108"/>
          <w:w w:val="105"/>
          <w:sz w:val="14"/>
        </w:rPr>
        <w:t>y</w:t>
      </w:r>
      <w:r>
        <w:rPr>
          <w:color w:val="803108"/>
          <w:spacing w:val="-4"/>
          <w:w w:val="105"/>
          <w:sz w:val="14"/>
        </w:rPr>
        <w:t xml:space="preserve"> </w:t>
      </w:r>
      <w:r>
        <w:rPr>
          <w:color w:val="803108"/>
          <w:w w:val="105"/>
          <w:sz w:val="14"/>
        </w:rPr>
        <w:t>promueven</w:t>
      </w:r>
      <w:r>
        <w:rPr>
          <w:color w:val="803108"/>
          <w:spacing w:val="-4"/>
          <w:w w:val="105"/>
          <w:sz w:val="14"/>
        </w:rPr>
        <w:t xml:space="preserve"> </w:t>
      </w:r>
      <w:r>
        <w:rPr>
          <w:color w:val="803108"/>
          <w:w w:val="105"/>
          <w:sz w:val="14"/>
        </w:rPr>
        <w:t>los</w:t>
      </w:r>
      <w:r>
        <w:rPr>
          <w:color w:val="803108"/>
          <w:spacing w:val="-4"/>
          <w:w w:val="105"/>
          <w:sz w:val="14"/>
        </w:rPr>
        <w:t xml:space="preserve"> </w:t>
      </w:r>
      <w:r>
        <w:rPr>
          <w:color w:val="803108"/>
          <w:w w:val="105"/>
          <w:sz w:val="14"/>
        </w:rPr>
        <w:t>derechos</w:t>
      </w:r>
      <w:r>
        <w:rPr>
          <w:color w:val="803108"/>
          <w:spacing w:val="-4"/>
          <w:w w:val="105"/>
          <w:sz w:val="14"/>
        </w:rPr>
        <w:t xml:space="preserve"> </w:t>
      </w:r>
      <w:r>
        <w:rPr>
          <w:color w:val="803108"/>
          <w:w w:val="105"/>
          <w:sz w:val="14"/>
        </w:rPr>
        <w:t>de</w:t>
      </w:r>
      <w:r>
        <w:rPr>
          <w:color w:val="803108"/>
          <w:spacing w:val="-4"/>
          <w:w w:val="105"/>
          <w:sz w:val="14"/>
        </w:rPr>
        <w:t xml:space="preserve"> </w:t>
      </w:r>
      <w:r>
        <w:rPr>
          <w:color w:val="803108"/>
          <w:w w:val="105"/>
          <w:sz w:val="14"/>
        </w:rPr>
        <w:t>las</w:t>
      </w:r>
      <w:r>
        <w:rPr>
          <w:color w:val="803108"/>
          <w:spacing w:val="-4"/>
          <w:w w:val="105"/>
          <w:sz w:val="14"/>
        </w:rPr>
        <w:t xml:space="preserve"> </w:t>
      </w:r>
      <w:r>
        <w:rPr>
          <w:color w:val="803108"/>
          <w:w w:val="105"/>
          <w:sz w:val="14"/>
        </w:rPr>
        <w:t>personas</w:t>
      </w:r>
      <w:r>
        <w:rPr>
          <w:color w:val="803108"/>
          <w:spacing w:val="-4"/>
          <w:w w:val="105"/>
          <w:sz w:val="14"/>
        </w:rPr>
        <w:t xml:space="preserve"> </w:t>
      </w:r>
      <w:r>
        <w:rPr>
          <w:color w:val="803108"/>
          <w:w w:val="105"/>
          <w:sz w:val="14"/>
        </w:rPr>
        <w:t>pertenecientes</w:t>
      </w:r>
      <w:r>
        <w:rPr>
          <w:color w:val="803108"/>
          <w:spacing w:val="-4"/>
          <w:w w:val="105"/>
          <w:sz w:val="14"/>
        </w:rPr>
        <w:t xml:space="preserve"> </w:t>
      </w:r>
      <w:r>
        <w:rPr>
          <w:color w:val="803108"/>
          <w:w w:val="105"/>
          <w:sz w:val="14"/>
        </w:rPr>
        <w:t>a</w:t>
      </w:r>
      <w:r>
        <w:rPr>
          <w:color w:val="803108"/>
          <w:spacing w:val="-4"/>
          <w:w w:val="105"/>
          <w:sz w:val="14"/>
        </w:rPr>
        <w:t xml:space="preserve"> </w:t>
      </w:r>
      <w:r>
        <w:rPr>
          <w:color w:val="803108"/>
          <w:w w:val="105"/>
          <w:sz w:val="14"/>
        </w:rPr>
        <w:t>minorías</w:t>
      </w:r>
      <w:r>
        <w:rPr>
          <w:color w:val="803108"/>
          <w:spacing w:val="-4"/>
          <w:w w:val="105"/>
          <w:sz w:val="14"/>
        </w:rPr>
        <w:t xml:space="preserve"> </w:t>
      </w:r>
      <w:r>
        <w:rPr>
          <w:color w:val="803108"/>
          <w:w w:val="105"/>
          <w:sz w:val="14"/>
        </w:rPr>
        <w:t>lingüísticas, incluidos</w:t>
      </w:r>
      <w:r>
        <w:rPr>
          <w:color w:val="803108"/>
          <w:spacing w:val="-2"/>
          <w:w w:val="105"/>
          <w:sz w:val="14"/>
        </w:rPr>
        <w:t xml:space="preserve"> </w:t>
      </w:r>
      <w:r>
        <w:rPr>
          <w:color w:val="803108"/>
          <w:w w:val="105"/>
          <w:sz w:val="14"/>
        </w:rPr>
        <w:t>los</w:t>
      </w:r>
      <w:r>
        <w:rPr>
          <w:color w:val="803108"/>
          <w:spacing w:val="-2"/>
          <w:w w:val="105"/>
          <w:sz w:val="14"/>
        </w:rPr>
        <w:t xml:space="preserve"> </w:t>
      </w:r>
      <w:r>
        <w:rPr>
          <w:color w:val="803108"/>
          <w:w w:val="105"/>
          <w:sz w:val="14"/>
        </w:rPr>
        <w:t>relacionados</w:t>
      </w:r>
      <w:r>
        <w:rPr>
          <w:color w:val="803108"/>
          <w:spacing w:val="-2"/>
          <w:w w:val="105"/>
          <w:sz w:val="14"/>
        </w:rPr>
        <w:t xml:space="preserve"> </w:t>
      </w:r>
      <w:r>
        <w:rPr>
          <w:color w:val="803108"/>
          <w:w w:val="105"/>
          <w:sz w:val="14"/>
        </w:rPr>
        <w:t>con</w:t>
      </w:r>
      <w:r>
        <w:rPr>
          <w:color w:val="803108"/>
          <w:spacing w:val="-2"/>
          <w:w w:val="105"/>
          <w:sz w:val="14"/>
        </w:rPr>
        <w:t xml:space="preserve"> </w:t>
      </w:r>
      <w:r>
        <w:rPr>
          <w:color w:val="803108"/>
          <w:w w:val="105"/>
          <w:sz w:val="14"/>
        </w:rPr>
        <w:t>el</w:t>
      </w:r>
      <w:r>
        <w:rPr>
          <w:color w:val="803108"/>
          <w:spacing w:val="-2"/>
          <w:w w:val="105"/>
          <w:sz w:val="14"/>
        </w:rPr>
        <w:t xml:space="preserve"> </w:t>
      </w:r>
      <w:r>
        <w:rPr>
          <w:color w:val="803108"/>
          <w:w w:val="105"/>
          <w:sz w:val="14"/>
        </w:rPr>
        <w:t>derecho</w:t>
      </w:r>
      <w:r>
        <w:rPr>
          <w:color w:val="803108"/>
          <w:spacing w:val="-2"/>
          <w:w w:val="105"/>
          <w:sz w:val="14"/>
        </w:rPr>
        <w:t xml:space="preserve"> </w:t>
      </w:r>
      <w:r>
        <w:rPr>
          <w:color w:val="803108"/>
          <w:w w:val="105"/>
          <w:sz w:val="14"/>
        </w:rPr>
        <w:t>a</w:t>
      </w:r>
      <w:r>
        <w:rPr>
          <w:color w:val="803108"/>
          <w:spacing w:val="-2"/>
          <w:w w:val="105"/>
          <w:sz w:val="14"/>
        </w:rPr>
        <w:t xml:space="preserve"> </w:t>
      </w:r>
      <w:r>
        <w:rPr>
          <w:color w:val="803108"/>
          <w:w w:val="105"/>
          <w:sz w:val="14"/>
        </w:rPr>
        <w:t>la</w:t>
      </w:r>
      <w:r>
        <w:rPr>
          <w:color w:val="803108"/>
          <w:spacing w:val="-2"/>
          <w:w w:val="105"/>
          <w:sz w:val="14"/>
        </w:rPr>
        <w:t xml:space="preserve"> </w:t>
      </w:r>
      <w:r>
        <w:rPr>
          <w:color w:val="803108"/>
          <w:w w:val="105"/>
          <w:sz w:val="14"/>
        </w:rPr>
        <w:t>educación;</w:t>
      </w:r>
    </w:p>
    <w:p w14:paraId="206FF791" w14:textId="77777777" w:rsidR="0014798C" w:rsidRDefault="004E1F0B">
      <w:pPr>
        <w:pStyle w:val="Prrafodelista"/>
        <w:numPr>
          <w:ilvl w:val="1"/>
          <w:numId w:val="13"/>
        </w:numPr>
        <w:tabs>
          <w:tab w:val="left" w:pos="1846"/>
          <w:tab w:val="left" w:pos="2014"/>
        </w:tabs>
        <w:spacing w:before="113" w:line="372" w:lineRule="auto"/>
        <w:ind w:right="1535" w:hanging="330"/>
        <w:rPr>
          <w:color w:val="803108"/>
          <w:sz w:val="14"/>
        </w:rPr>
      </w:pPr>
      <w:r>
        <w:rPr>
          <w:color w:val="803108"/>
          <w:w w:val="105"/>
          <w:sz w:val="14"/>
        </w:rPr>
        <w:t>Proporcionar, siempre que sea posible, a las personas pertenecientes a minorías oportunidades adecuadas para aprender su propio</w:t>
      </w:r>
      <w:r>
        <w:rPr>
          <w:color w:val="803108"/>
          <w:spacing w:val="-3"/>
          <w:w w:val="105"/>
          <w:sz w:val="14"/>
        </w:rPr>
        <w:t xml:space="preserve"> </w:t>
      </w:r>
      <w:r>
        <w:rPr>
          <w:color w:val="803108"/>
          <w:w w:val="105"/>
          <w:sz w:val="14"/>
        </w:rPr>
        <w:t>idioma</w:t>
      </w:r>
      <w:r>
        <w:rPr>
          <w:color w:val="803108"/>
          <w:spacing w:val="-3"/>
          <w:w w:val="105"/>
          <w:sz w:val="14"/>
        </w:rPr>
        <w:t xml:space="preserve"> </w:t>
      </w:r>
      <w:r>
        <w:rPr>
          <w:color w:val="803108"/>
          <w:w w:val="105"/>
          <w:sz w:val="14"/>
        </w:rPr>
        <w:t>o</w:t>
      </w:r>
      <w:r>
        <w:rPr>
          <w:color w:val="803108"/>
          <w:spacing w:val="-3"/>
          <w:w w:val="105"/>
          <w:sz w:val="14"/>
        </w:rPr>
        <w:t xml:space="preserve"> </w:t>
      </w:r>
      <w:r>
        <w:rPr>
          <w:color w:val="803108"/>
          <w:w w:val="105"/>
          <w:sz w:val="14"/>
        </w:rPr>
        <w:t>recibir</w:t>
      </w:r>
      <w:r>
        <w:rPr>
          <w:color w:val="803108"/>
          <w:spacing w:val="-3"/>
          <w:w w:val="105"/>
          <w:sz w:val="14"/>
        </w:rPr>
        <w:t xml:space="preserve"> </w:t>
      </w:r>
      <w:r>
        <w:rPr>
          <w:color w:val="803108"/>
          <w:w w:val="105"/>
          <w:sz w:val="14"/>
        </w:rPr>
        <w:t>instrucción</w:t>
      </w:r>
      <w:r>
        <w:rPr>
          <w:color w:val="803108"/>
          <w:spacing w:val="-3"/>
          <w:w w:val="105"/>
          <w:sz w:val="14"/>
        </w:rPr>
        <w:t xml:space="preserve"> </w:t>
      </w:r>
      <w:r>
        <w:rPr>
          <w:color w:val="803108"/>
          <w:w w:val="105"/>
          <w:sz w:val="14"/>
        </w:rPr>
        <w:t>en</w:t>
      </w:r>
      <w:r>
        <w:rPr>
          <w:color w:val="803108"/>
          <w:spacing w:val="-3"/>
          <w:w w:val="105"/>
          <w:sz w:val="14"/>
        </w:rPr>
        <w:t xml:space="preserve"> </w:t>
      </w:r>
      <w:r>
        <w:rPr>
          <w:color w:val="803108"/>
          <w:w w:val="105"/>
          <w:sz w:val="14"/>
        </w:rPr>
        <w:t>su</w:t>
      </w:r>
      <w:r>
        <w:rPr>
          <w:color w:val="803108"/>
          <w:spacing w:val="-3"/>
          <w:w w:val="105"/>
          <w:sz w:val="14"/>
        </w:rPr>
        <w:t xml:space="preserve"> </w:t>
      </w:r>
      <w:r>
        <w:rPr>
          <w:color w:val="803108"/>
          <w:w w:val="105"/>
          <w:sz w:val="14"/>
        </w:rPr>
        <w:t>propio</w:t>
      </w:r>
      <w:r>
        <w:rPr>
          <w:color w:val="803108"/>
          <w:spacing w:val="-3"/>
          <w:w w:val="105"/>
          <w:sz w:val="14"/>
        </w:rPr>
        <w:t xml:space="preserve"> </w:t>
      </w:r>
      <w:r>
        <w:rPr>
          <w:color w:val="803108"/>
          <w:w w:val="105"/>
          <w:sz w:val="14"/>
        </w:rPr>
        <w:t>idioma,</w:t>
      </w:r>
      <w:r>
        <w:rPr>
          <w:color w:val="803108"/>
          <w:spacing w:val="-2"/>
          <w:w w:val="105"/>
          <w:sz w:val="14"/>
        </w:rPr>
        <w:t xml:space="preserve"> </w:t>
      </w:r>
      <w:r>
        <w:rPr>
          <w:color w:val="803108"/>
          <w:w w:val="105"/>
          <w:sz w:val="14"/>
        </w:rPr>
        <w:t>velando</w:t>
      </w:r>
      <w:r>
        <w:rPr>
          <w:color w:val="803108"/>
          <w:spacing w:val="-3"/>
          <w:w w:val="105"/>
          <w:sz w:val="14"/>
        </w:rPr>
        <w:t xml:space="preserve"> </w:t>
      </w:r>
      <w:r>
        <w:rPr>
          <w:color w:val="803108"/>
          <w:w w:val="105"/>
          <w:sz w:val="14"/>
        </w:rPr>
        <w:t>al</w:t>
      </w:r>
      <w:r>
        <w:rPr>
          <w:color w:val="803108"/>
          <w:spacing w:val="-3"/>
          <w:w w:val="105"/>
          <w:sz w:val="14"/>
        </w:rPr>
        <w:t xml:space="preserve"> </w:t>
      </w:r>
      <w:r>
        <w:rPr>
          <w:color w:val="803108"/>
          <w:w w:val="105"/>
          <w:sz w:val="14"/>
        </w:rPr>
        <w:t>mismo</w:t>
      </w:r>
      <w:r>
        <w:rPr>
          <w:color w:val="803108"/>
          <w:spacing w:val="-3"/>
          <w:w w:val="105"/>
          <w:sz w:val="14"/>
        </w:rPr>
        <w:t xml:space="preserve"> </w:t>
      </w:r>
      <w:r>
        <w:rPr>
          <w:color w:val="803108"/>
          <w:w w:val="105"/>
          <w:sz w:val="14"/>
        </w:rPr>
        <w:t>tiempo</w:t>
      </w:r>
      <w:r>
        <w:rPr>
          <w:color w:val="803108"/>
          <w:spacing w:val="-3"/>
          <w:w w:val="105"/>
          <w:sz w:val="14"/>
        </w:rPr>
        <w:t xml:space="preserve"> </w:t>
      </w:r>
      <w:proofErr w:type="spellStart"/>
      <w:r>
        <w:rPr>
          <w:color w:val="803108"/>
          <w:w w:val="105"/>
          <w:sz w:val="14"/>
        </w:rPr>
        <w:t>por</w:t>
      </w:r>
      <w:r>
        <w:rPr>
          <w:color w:val="803108"/>
          <w:spacing w:val="-3"/>
          <w:w w:val="105"/>
          <w:sz w:val="14"/>
        </w:rPr>
        <w:t xml:space="preserve"> </w:t>
      </w:r>
      <w:r>
        <w:rPr>
          <w:color w:val="803108"/>
          <w:w w:val="105"/>
          <w:sz w:val="14"/>
        </w:rPr>
        <w:t>que</w:t>
      </w:r>
      <w:proofErr w:type="spellEnd"/>
      <w:r>
        <w:rPr>
          <w:color w:val="803108"/>
          <w:spacing w:val="-3"/>
          <w:w w:val="105"/>
          <w:sz w:val="14"/>
        </w:rPr>
        <w:t xml:space="preserve"> </w:t>
      </w:r>
      <w:r>
        <w:rPr>
          <w:color w:val="803108"/>
          <w:w w:val="105"/>
          <w:sz w:val="14"/>
        </w:rPr>
        <w:t>las</w:t>
      </w:r>
      <w:r>
        <w:rPr>
          <w:color w:val="803108"/>
          <w:spacing w:val="-3"/>
          <w:w w:val="105"/>
          <w:sz w:val="14"/>
        </w:rPr>
        <w:t xml:space="preserve"> </w:t>
      </w:r>
      <w:r>
        <w:rPr>
          <w:color w:val="803108"/>
          <w:w w:val="105"/>
          <w:sz w:val="14"/>
        </w:rPr>
        <w:t>minorías</w:t>
      </w:r>
      <w:r>
        <w:rPr>
          <w:color w:val="803108"/>
          <w:spacing w:val="-3"/>
          <w:w w:val="105"/>
          <w:sz w:val="14"/>
        </w:rPr>
        <w:t xml:space="preserve"> </w:t>
      </w:r>
      <w:r>
        <w:rPr>
          <w:color w:val="803108"/>
          <w:w w:val="105"/>
          <w:sz w:val="14"/>
        </w:rPr>
        <w:t>también</w:t>
      </w:r>
      <w:r>
        <w:rPr>
          <w:color w:val="803108"/>
          <w:spacing w:val="-3"/>
          <w:w w:val="105"/>
          <w:sz w:val="14"/>
        </w:rPr>
        <w:t xml:space="preserve"> </w:t>
      </w:r>
      <w:r>
        <w:rPr>
          <w:color w:val="803108"/>
          <w:w w:val="105"/>
          <w:sz w:val="14"/>
        </w:rPr>
        <w:t>tengan</w:t>
      </w:r>
      <w:r>
        <w:rPr>
          <w:color w:val="803108"/>
          <w:spacing w:val="-3"/>
          <w:w w:val="105"/>
          <w:sz w:val="14"/>
        </w:rPr>
        <w:t xml:space="preserve"> </w:t>
      </w:r>
      <w:r>
        <w:rPr>
          <w:color w:val="803108"/>
          <w:w w:val="105"/>
          <w:sz w:val="14"/>
        </w:rPr>
        <w:t>acceso a</w:t>
      </w:r>
      <w:r>
        <w:rPr>
          <w:color w:val="803108"/>
          <w:spacing w:val="-3"/>
          <w:w w:val="105"/>
          <w:sz w:val="14"/>
        </w:rPr>
        <w:t xml:space="preserve"> </w:t>
      </w:r>
      <w:r>
        <w:rPr>
          <w:color w:val="803108"/>
          <w:w w:val="105"/>
          <w:sz w:val="14"/>
        </w:rPr>
        <w:t>la</w:t>
      </w:r>
      <w:r>
        <w:rPr>
          <w:color w:val="803108"/>
          <w:spacing w:val="-3"/>
          <w:w w:val="105"/>
          <w:sz w:val="14"/>
        </w:rPr>
        <w:t xml:space="preserve"> </w:t>
      </w:r>
      <w:r>
        <w:rPr>
          <w:color w:val="803108"/>
          <w:w w:val="105"/>
          <w:sz w:val="14"/>
        </w:rPr>
        <w:t>instrucción</w:t>
      </w:r>
      <w:r>
        <w:rPr>
          <w:color w:val="803108"/>
          <w:spacing w:val="-3"/>
          <w:w w:val="105"/>
          <w:sz w:val="14"/>
        </w:rPr>
        <w:t xml:space="preserve"> </w:t>
      </w:r>
      <w:r>
        <w:rPr>
          <w:color w:val="803108"/>
          <w:w w:val="105"/>
          <w:sz w:val="14"/>
        </w:rPr>
        <w:t>en</w:t>
      </w:r>
      <w:r>
        <w:rPr>
          <w:color w:val="803108"/>
          <w:spacing w:val="-3"/>
          <w:w w:val="105"/>
          <w:sz w:val="14"/>
        </w:rPr>
        <w:t xml:space="preserve"> </w:t>
      </w:r>
      <w:r>
        <w:rPr>
          <w:color w:val="803108"/>
          <w:w w:val="105"/>
          <w:sz w:val="14"/>
        </w:rPr>
        <w:t>los</w:t>
      </w:r>
      <w:r>
        <w:rPr>
          <w:color w:val="803108"/>
          <w:spacing w:val="-3"/>
          <w:w w:val="105"/>
          <w:sz w:val="14"/>
        </w:rPr>
        <w:t xml:space="preserve"> </w:t>
      </w:r>
      <w:r>
        <w:rPr>
          <w:color w:val="803108"/>
          <w:w w:val="105"/>
          <w:sz w:val="14"/>
        </w:rPr>
        <w:t>idiomas</w:t>
      </w:r>
      <w:r>
        <w:rPr>
          <w:color w:val="803108"/>
          <w:spacing w:val="-3"/>
          <w:w w:val="105"/>
          <w:sz w:val="14"/>
        </w:rPr>
        <w:t xml:space="preserve"> </w:t>
      </w:r>
      <w:r>
        <w:rPr>
          <w:color w:val="803108"/>
          <w:w w:val="105"/>
          <w:sz w:val="14"/>
        </w:rPr>
        <w:t>oficiales;</w:t>
      </w:r>
    </w:p>
    <w:p w14:paraId="027927BB" w14:textId="77777777" w:rsidR="0014798C" w:rsidRDefault="004E1F0B">
      <w:pPr>
        <w:pStyle w:val="Prrafodelista"/>
        <w:numPr>
          <w:ilvl w:val="1"/>
          <w:numId w:val="13"/>
        </w:numPr>
        <w:tabs>
          <w:tab w:val="left" w:pos="1854"/>
        </w:tabs>
        <w:spacing w:before="114"/>
        <w:ind w:left="1854" w:hanging="170"/>
        <w:rPr>
          <w:color w:val="803108"/>
          <w:sz w:val="14"/>
        </w:rPr>
      </w:pPr>
      <w:r>
        <w:rPr>
          <w:color w:val="803108"/>
          <w:w w:val="105"/>
          <w:sz w:val="14"/>
        </w:rPr>
        <w:t>Considerar</w:t>
      </w:r>
      <w:r>
        <w:rPr>
          <w:color w:val="803108"/>
          <w:spacing w:val="-8"/>
          <w:w w:val="105"/>
          <w:sz w:val="14"/>
        </w:rPr>
        <w:t xml:space="preserve"> </w:t>
      </w:r>
      <w:r>
        <w:rPr>
          <w:color w:val="803108"/>
          <w:w w:val="105"/>
          <w:sz w:val="14"/>
        </w:rPr>
        <w:t>la</w:t>
      </w:r>
      <w:r>
        <w:rPr>
          <w:color w:val="803108"/>
          <w:spacing w:val="-7"/>
          <w:w w:val="105"/>
          <w:sz w:val="14"/>
        </w:rPr>
        <w:t xml:space="preserve"> </w:t>
      </w:r>
      <w:r>
        <w:rPr>
          <w:color w:val="803108"/>
          <w:w w:val="105"/>
          <w:sz w:val="14"/>
        </w:rPr>
        <w:t>educación</w:t>
      </w:r>
      <w:r>
        <w:rPr>
          <w:color w:val="803108"/>
          <w:spacing w:val="-7"/>
          <w:w w:val="105"/>
          <w:sz w:val="14"/>
        </w:rPr>
        <w:t xml:space="preserve"> </w:t>
      </w:r>
      <w:r>
        <w:rPr>
          <w:color w:val="803108"/>
          <w:w w:val="105"/>
          <w:sz w:val="14"/>
        </w:rPr>
        <w:t>en</w:t>
      </w:r>
      <w:r>
        <w:rPr>
          <w:color w:val="803108"/>
          <w:spacing w:val="-7"/>
          <w:w w:val="105"/>
          <w:sz w:val="14"/>
        </w:rPr>
        <w:t xml:space="preserve"> </w:t>
      </w:r>
      <w:r>
        <w:rPr>
          <w:color w:val="803108"/>
          <w:w w:val="105"/>
          <w:sz w:val="14"/>
        </w:rPr>
        <w:t>lenguas</w:t>
      </w:r>
      <w:r>
        <w:rPr>
          <w:color w:val="803108"/>
          <w:spacing w:val="-7"/>
          <w:w w:val="105"/>
          <w:sz w:val="14"/>
        </w:rPr>
        <w:t xml:space="preserve"> </w:t>
      </w:r>
      <w:r>
        <w:rPr>
          <w:color w:val="803108"/>
          <w:w w:val="105"/>
          <w:sz w:val="14"/>
        </w:rPr>
        <w:t>minoritarias</w:t>
      </w:r>
      <w:r>
        <w:rPr>
          <w:color w:val="803108"/>
          <w:spacing w:val="-7"/>
          <w:w w:val="105"/>
          <w:sz w:val="14"/>
        </w:rPr>
        <w:t xml:space="preserve"> </w:t>
      </w:r>
      <w:r>
        <w:rPr>
          <w:color w:val="803108"/>
          <w:w w:val="105"/>
          <w:sz w:val="14"/>
        </w:rPr>
        <w:t>en</w:t>
      </w:r>
      <w:r>
        <w:rPr>
          <w:color w:val="803108"/>
          <w:spacing w:val="-8"/>
          <w:w w:val="105"/>
          <w:sz w:val="14"/>
        </w:rPr>
        <w:t xml:space="preserve"> </w:t>
      </w:r>
      <w:r>
        <w:rPr>
          <w:color w:val="803108"/>
          <w:w w:val="105"/>
          <w:sz w:val="14"/>
        </w:rPr>
        <w:t>la</w:t>
      </w:r>
      <w:r>
        <w:rPr>
          <w:color w:val="803108"/>
          <w:spacing w:val="-7"/>
          <w:w w:val="105"/>
          <w:sz w:val="14"/>
        </w:rPr>
        <w:t xml:space="preserve"> </w:t>
      </w:r>
      <w:r>
        <w:rPr>
          <w:color w:val="803108"/>
          <w:w w:val="105"/>
          <w:sz w:val="14"/>
        </w:rPr>
        <w:t>implementación</w:t>
      </w:r>
      <w:r>
        <w:rPr>
          <w:color w:val="803108"/>
          <w:spacing w:val="-7"/>
          <w:w w:val="105"/>
          <w:sz w:val="14"/>
        </w:rPr>
        <w:t xml:space="preserve"> </w:t>
      </w:r>
      <w:r>
        <w:rPr>
          <w:color w:val="803108"/>
          <w:w w:val="105"/>
          <w:sz w:val="14"/>
        </w:rPr>
        <w:t>del</w:t>
      </w:r>
      <w:r>
        <w:rPr>
          <w:color w:val="803108"/>
          <w:spacing w:val="-7"/>
          <w:w w:val="105"/>
          <w:sz w:val="14"/>
        </w:rPr>
        <w:t xml:space="preserve"> </w:t>
      </w:r>
      <w:r>
        <w:rPr>
          <w:color w:val="803108"/>
          <w:w w:val="105"/>
          <w:sz w:val="14"/>
        </w:rPr>
        <w:t>Objetivo</w:t>
      </w:r>
      <w:r>
        <w:rPr>
          <w:color w:val="803108"/>
          <w:spacing w:val="-7"/>
          <w:w w:val="105"/>
          <w:sz w:val="14"/>
        </w:rPr>
        <w:t xml:space="preserve"> </w:t>
      </w:r>
      <w:r>
        <w:rPr>
          <w:color w:val="803108"/>
          <w:w w:val="105"/>
          <w:sz w:val="14"/>
        </w:rPr>
        <w:t>4</w:t>
      </w:r>
      <w:r>
        <w:rPr>
          <w:color w:val="803108"/>
          <w:spacing w:val="-7"/>
          <w:w w:val="105"/>
          <w:sz w:val="14"/>
        </w:rPr>
        <w:t xml:space="preserve"> </w:t>
      </w:r>
      <w:r>
        <w:rPr>
          <w:color w:val="803108"/>
          <w:w w:val="105"/>
          <w:sz w:val="14"/>
        </w:rPr>
        <w:t>de</w:t>
      </w:r>
      <w:r>
        <w:rPr>
          <w:color w:val="803108"/>
          <w:spacing w:val="-7"/>
          <w:w w:val="105"/>
          <w:sz w:val="14"/>
        </w:rPr>
        <w:t xml:space="preserve"> </w:t>
      </w:r>
      <w:r>
        <w:rPr>
          <w:color w:val="803108"/>
          <w:w w:val="105"/>
          <w:sz w:val="14"/>
        </w:rPr>
        <w:t>la</w:t>
      </w:r>
      <w:r>
        <w:rPr>
          <w:color w:val="803108"/>
          <w:spacing w:val="-8"/>
          <w:w w:val="105"/>
          <w:sz w:val="14"/>
        </w:rPr>
        <w:t xml:space="preserve"> </w:t>
      </w:r>
      <w:r>
        <w:rPr>
          <w:color w:val="803108"/>
          <w:spacing w:val="-2"/>
          <w:w w:val="105"/>
          <w:sz w:val="14"/>
        </w:rPr>
        <w:t>Estrategia</w:t>
      </w:r>
    </w:p>
    <w:p w14:paraId="7CF5F14B" w14:textId="77777777" w:rsidR="0014798C" w:rsidRDefault="004E1F0B">
      <w:pPr>
        <w:spacing w:before="89" w:line="372" w:lineRule="auto"/>
        <w:ind w:left="2014" w:right="1626" w:hanging="1"/>
        <w:rPr>
          <w:sz w:val="14"/>
        </w:rPr>
      </w:pPr>
      <w:r>
        <w:rPr>
          <w:color w:val="803108"/>
          <w:w w:val="105"/>
          <w:sz w:val="14"/>
        </w:rPr>
        <w:t>Objetivos</w:t>
      </w:r>
      <w:r>
        <w:rPr>
          <w:color w:val="803108"/>
          <w:spacing w:val="-3"/>
          <w:w w:val="105"/>
          <w:sz w:val="14"/>
        </w:rPr>
        <w:t xml:space="preserve"> </w:t>
      </w:r>
      <w:r>
        <w:rPr>
          <w:color w:val="803108"/>
          <w:w w:val="105"/>
          <w:sz w:val="14"/>
        </w:rPr>
        <w:t>de</w:t>
      </w:r>
      <w:r>
        <w:rPr>
          <w:color w:val="803108"/>
          <w:spacing w:val="-3"/>
          <w:w w:val="105"/>
          <w:sz w:val="14"/>
        </w:rPr>
        <w:t xml:space="preserve"> </w:t>
      </w:r>
      <w:r>
        <w:rPr>
          <w:color w:val="803108"/>
          <w:w w:val="105"/>
          <w:sz w:val="14"/>
        </w:rPr>
        <w:t>Desarrollo,</w:t>
      </w:r>
      <w:r>
        <w:rPr>
          <w:color w:val="803108"/>
          <w:spacing w:val="-3"/>
          <w:w w:val="105"/>
          <w:sz w:val="14"/>
        </w:rPr>
        <w:t xml:space="preserve"> </w:t>
      </w:r>
      <w:r>
        <w:rPr>
          <w:color w:val="803108"/>
          <w:w w:val="105"/>
          <w:sz w:val="14"/>
        </w:rPr>
        <w:t>destinados</w:t>
      </w:r>
      <w:r>
        <w:rPr>
          <w:color w:val="803108"/>
          <w:spacing w:val="-3"/>
          <w:w w:val="105"/>
          <w:sz w:val="14"/>
        </w:rPr>
        <w:t xml:space="preserve"> </w:t>
      </w:r>
      <w:r>
        <w:rPr>
          <w:color w:val="803108"/>
          <w:w w:val="105"/>
          <w:sz w:val="14"/>
        </w:rPr>
        <w:t>a</w:t>
      </w:r>
      <w:r>
        <w:rPr>
          <w:color w:val="803108"/>
          <w:spacing w:val="-3"/>
          <w:w w:val="105"/>
          <w:sz w:val="14"/>
        </w:rPr>
        <w:t xml:space="preserve"> </w:t>
      </w:r>
      <w:r>
        <w:rPr>
          <w:color w:val="803108"/>
          <w:w w:val="105"/>
          <w:sz w:val="14"/>
        </w:rPr>
        <w:t>garantizar</w:t>
      </w:r>
      <w:r>
        <w:rPr>
          <w:color w:val="803108"/>
          <w:spacing w:val="-3"/>
          <w:w w:val="105"/>
          <w:sz w:val="14"/>
        </w:rPr>
        <w:t xml:space="preserve"> </w:t>
      </w:r>
      <w:r>
        <w:rPr>
          <w:color w:val="803108"/>
          <w:w w:val="105"/>
          <w:sz w:val="14"/>
        </w:rPr>
        <w:t>una</w:t>
      </w:r>
      <w:r>
        <w:rPr>
          <w:color w:val="803108"/>
          <w:spacing w:val="-3"/>
          <w:w w:val="105"/>
          <w:sz w:val="14"/>
        </w:rPr>
        <w:t xml:space="preserve"> </w:t>
      </w:r>
      <w:r>
        <w:rPr>
          <w:color w:val="803108"/>
          <w:w w:val="105"/>
          <w:sz w:val="14"/>
        </w:rPr>
        <w:t>educación</w:t>
      </w:r>
      <w:r>
        <w:rPr>
          <w:color w:val="803108"/>
          <w:spacing w:val="-3"/>
          <w:w w:val="105"/>
          <w:sz w:val="14"/>
        </w:rPr>
        <w:t xml:space="preserve"> </w:t>
      </w:r>
      <w:r>
        <w:rPr>
          <w:color w:val="803108"/>
          <w:w w:val="105"/>
          <w:sz w:val="14"/>
        </w:rPr>
        <w:t>inclusiva,</w:t>
      </w:r>
      <w:r>
        <w:rPr>
          <w:color w:val="803108"/>
          <w:spacing w:val="-3"/>
          <w:w w:val="105"/>
          <w:sz w:val="14"/>
        </w:rPr>
        <w:t xml:space="preserve"> </w:t>
      </w:r>
      <w:r>
        <w:rPr>
          <w:color w:val="803108"/>
          <w:w w:val="105"/>
          <w:sz w:val="14"/>
        </w:rPr>
        <w:t>equitativa</w:t>
      </w:r>
      <w:r>
        <w:rPr>
          <w:color w:val="803108"/>
          <w:spacing w:val="-3"/>
          <w:w w:val="105"/>
          <w:sz w:val="14"/>
        </w:rPr>
        <w:t xml:space="preserve"> </w:t>
      </w:r>
      <w:r>
        <w:rPr>
          <w:color w:val="803108"/>
          <w:w w:val="105"/>
          <w:sz w:val="14"/>
        </w:rPr>
        <w:t>y</w:t>
      </w:r>
      <w:r>
        <w:rPr>
          <w:color w:val="803108"/>
          <w:spacing w:val="-3"/>
          <w:w w:val="105"/>
          <w:sz w:val="14"/>
        </w:rPr>
        <w:t xml:space="preserve"> </w:t>
      </w:r>
      <w:r>
        <w:rPr>
          <w:color w:val="803108"/>
          <w:w w:val="105"/>
          <w:sz w:val="14"/>
        </w:rPr>
        <w:t>de</w:t>
      </w:r>
      <w:r>
        <w:rPr>
          <w:color w:val="803108"/>
          <w:spacing w:val="-3"/>
          <w:w w:val="105"/>
          <w:sz w:val="14"/>
        </w:rPr>
        <w:t xml:space="preserve"> </w:t>
      </w:r>
      <w:r>
        <w:rPr>
          <w:color w:val="803108"/>
          <w:w w:val="105"/>
          <w:sz w:val="14"/>
        </w:rPr>
        <w:t>calidad</w:t>
      </w:r>
      <w:r>
        <w:rPr>
          <w:color w:val="803108"/>
          <w:spacing w:val="-3"/>
          <w:w w:val="105"/>
          <w:sz w:val="14"/>
        </w:rPr>
        <w:t xml:space="preserve"> </w:t>
      </w:r>
      <w:r>
        <w:rPr>
          <w:color w:val="803108"/>
          <w:w w:val="105"/>
          <w:sz w:val="14"/>
        </w:rPr>
        <w:t>y</w:t>
      </w:r>
      <w:r>
        <w:rPr>
          <w:color w:val="803108"/>
          <w:spacing w:val="-3"/>
          <w:w w:val="105"/>
          <w:sz w:val="14"/>
        </w:rPr>
        <w:t xml:space="preserve"> </w:t>
      </w:r>
      <w:r>
        <w:rPr>
          <w:color w:val="803108"/>
          <w:w w:val="105"/>
          <w:sz w:val="14"/>
        </w:rPr>
        <w:t>promover</w:t>
      </w:r>
      <w:r>
        <w:rPr>
          <w:color w:val="803108"/>
          <w:spacing w:val="-3"/>
          <w:w w:val="105"/>
          <w:sz w:val="14"/>
        </w:rPr>
        <w:t xml:space="preserve"> </w:t>
      </w:r>
      <w:r>
        <w:rPr>
          <w:color w:val="803108"/>
          <w:w w:val="105"/>
          <w:sz w:val="14"/>
        </w:rPr>
        <w:t>oportunidades de</w:t>
      </w:r>
      <w:r>
        <w:rPr>
          <w:color w:val="803108"/>
          <w:spacing w:val="-5"/>
          <w:w w:val="105"/>
          <w:sz w:val="14"/>
        </w:rPr>
        <w:t xml:space="preserve"> </w:t>
      </w:r>
      <w:r>
        <w:rPr>
          <w:color w:val="803108"/>
          <w:w w:val="105"/>
          <w:sz w:val="14"/>
        </w:rPr>
        <w:t>aprendizaje</w:t>
      </w:r>
      <w:r>
        <w:rPr>
          <w:color w:val="803108"/>
          <w:spacing w:val="-5"/>
          <w:w w:val="105"/>
          <w:sz w:val="14"/>
        </w:rPr>
        <w:t xml:space="preserve"> </w:t>
      </w:r>
      <w:r>
        <w:rPr>
          <w:color w:val="803108"/>
          <w:w w:val="105"/>
          <w:sz w:val="14"/>
        </w:rPr>
        <w:t>permanente</w:t>
      </w:r>
      <w:r>
        <w:rPr>
          <w:color w:val="803108"/>
          <w:spacing w:val="-5"/>
          <w:w w:val="105"/>
          <w:sz w:val="14"/>
        </w:rPr>
        <w:t xml:space="preserve"> </w:t>
      </w:r>
      <w:r>
        <w:rPr>
          <w:color w:val="803108"/>
          <w:w w:val="105"/>
          <w:sz w:val="14"/>
        </w:rPr>
        <w:t>para</w:t>
      </w:r>
      <w:r>
        <w:rPr>
          <w:color w:val="803108"/>
          <w:spacing w:val="-5"/>
          <w:w w:val="105"/>
          <w:sz w:val="14"/>
        </w:rPr>
        <w:t xml:space="preserve"> </w:t>
      </w:r>
      <w:r>
        <w:rPr>
          <w:color w:val="803108"/>
          <w:w w:val="105"/>
          <w:sz w:val="14"/>
        </w:rPr>
        <w:t>todos;</w:t>
      </w:r>
    </w:p>
    <w:p w14:paraId="0236CB94" w14:textId="77777777" w:rsidR="0014798C" w:rsidRDefault="004E1F0B">
      <w:pPr>
        <w:pStyle w:val="Prrafodelista"/>
        <w:numPr>
          <w:ilvl w:val="1"/>
          <w:numId w:val="13"/>
        </w:numPr>
        <w:tabs>
          <w:tab w:val="left" w:pos="1854"/>
          <w:tab w:val="left" w:pos="2016"/>
        </w:tabs>
        <w:spacing w:before="114" w:line="372" w:lineRule="auto"/>
        <w:ind w:left="2016" w:right="1556" w:hanging="332"/>
        <w:rPr>
          <w:color w:val="803108"/>
          <w:sz w:val="14"/>
        </w:rPr>
      </w:pPr>
      <w:r>
        <w:rPr>
          <w:color w:val="803108"/>
          <w:w w:val="105"/>
          <w:sz w:val="14"/>
        </w:rPr>
        <w:t>Promover</w:t>
      </w:r>
      <w:r>
        <w:rPr>
          <w:color w:val="803108"/>
          <w:spacing w:val="-4"/>
          <w:w w:val="105"/>
          <w:sz w:val="14"/>
        </w:rPr>
        <w:t xml:space="preserve"> </w:t>
      </w:r>
      <w:r>
        <w:rPr>
          <w:color w:val="803108"/>
          <w:w w:val="105"/>
          <w:sz w:val="14"/>
        </w:rPr>
        <w:t>entornos</w:t>
      </w:r>
      <w:r>
        <w:rPr>
          <w:color w:val="803108"/>
          <w:spacing w:val="-4"/>
          <w:w w:val="105"/>
          <w:sz w:val="14"/>
        </w:rPr>
        <w:t xml:space="preserve"> </w:t>
      </w:r>
      <w:r>
        <w:rPr>
          <w:color w:val="803108"/>
          <w:w w:val="105"/>
          <w:sz w:val="14"/>
        </w:rPr>
        <w:t>educativos</w:t>
      </w:r>
      <w:r>
        <w:rPr>
          <w:color w:val="803108"/>
          <w:spacing w:val="-4"/>
          <w:w w:val="105"/>
          <w:sz w:val="14"/>
        </w:rPr>
        <w:t xml:space="preserve"> </w:t>
      </w:r>
      <w:r>
        <w:rPr>
          <w:color w:val="803108"/>
          <w:w w:val="105"/>
          <w:sz w:val="14"/>
        </w:rPr>
        <w:t>que</w:t>
      </w:r>
      <w:r>
        <w:rPr>
          <w:color w:val="803108"/>
          <w:spacing w:val="-4"/>
          <w:w w:val="105"/>
          <w:sz w:val="14"/>
        </w:rPr>
        <w:t xml:space="preserve"> </w:t>
      </w:r>
      <w:r>
        <w:rPr>
          <w:color w:val="803108"/>
          <w:w w:val="105"/>
          <w:sz w:val="14"/>
        </w:rPr>
        <w:t>respeten</w:t>
      </w:r>
      <w:r>
        <w:rPr>
          <w:color w:val="803108"/>
          <w:spacing w:val="-4"/>
          <w:w w:val="105"/>
          <w:sz w:val="14"/>
        </w:rPr>
        <w:t xml:space="preserve"> </w:t>
      </w:r>
      <w:r>
        <w:rPr>
          <w:color w:val="803108"/>
          <w:w w:val="105"/>
          <w:sz w:val="14"/>
        </w:rPr>
        <w:t>la</w:t>
      </w:r>
      <w:r>
        <w:rPr>
          <w:color w:val="803108"/>
          <w:spacing w:val="-4"/>
          <w:w w:val="105"/>
          <w:sz w:val="14"/>
        </w:rPr>
        <w:t xml:space="preserve"> </w:t>
      </w:r>
      <w:r>
        <w:rPr>
          <w:color w:val="803108"/>
          <w:w w:val="105"/>
          <w:sz w:val="14"/>
        </w:rPr>
        <w:t>diversidad</w:t>
      </w:r>
      <w:r>
        <w:rPr>
          <w:color w:val="803108"/>
          <w:spacing w:val="-4"/>
          <w:w w:val="105"/>
          <w:sz w:val="14"/>
        </w:rPr>
        <w:t xml:space="preserve"> </w:t>
      </w:r>
      <w:r>
        <w:rPr>
          <w:color w:val="803108"/>
          <w:w w:val="105"/>
          <w:sz w:val="14"/>
        </w:rPr>
        <w:t>lingüística</w:t>
      </w:r>
      <w:r>
        <w:rPr>
          <w:color w:val="803108"/>
          <w:spacing w:val="-4"/>
          <w:w w:val="105"/>
          <w:sz w:val="14"/>
        </w:rPr>
        <w:t xml:space="preserve"> </w:t>
      </w:r>
      <w:r>
        <w:rPr>
          <w:color w:val="803108"/>
          <w:w w:val="105"/>
          <w:sz w:val="14"/>
        </w:rPr>
        <w:t>y</w:t>
      </w:r>
      <w:r>
        <w:rPr>
          <w:color w:val="803108"/>
          <w:spacing w:val="-4"/>
          <w:w w:val="105"/>
          <w:sz w:val="14"/>
        </w:rPr>
        <w:t xml:space="preserve"> </w:t>
      </w:r>
      <w:r>
        <w:rPr>
          <w:color w:val="803108"/>
          <w:w w:val="105"/>
          <w:sz w:val="14"/>
        </w:rPr>
        <w:t>cultural</w:t>
      </w:r>
      <w:r>
        <w:rPr>
          <w:color w:val="803108"/>
          <w:spacing w:val="-4"/>
          <w:w w:val="105"/>
          <w:sz w:val="14"/>
        </w:rPr>
        <w:t xml:space="preserve"> </w:t>
      </w:r>
      <w:r>
        <w:rPr>
          <w:color w:val="803108"/>
          <w:w w:val="105"/>
          <w:sz w:val="14"/>
        </w:rPr>
        <w:t>y</w:t>
      </w:r>
      <w:r>
        <w:rPr>
          <w:color w:val="803108"/>
          <w:spacing w:val="-4"/>
          <w:w w:val="105"/>
          <w:sz w:val="14"/>
        </w:rPr>
        <w:t xml:space="preserve"> </w:t>
      </w:r>
      <w:r>
        <w:rPr>
          <w:color w:val="803108"/>
          <w:w w:val="105"/>
          <w:sz w:val="14"/>
        </w:rPr>
        <w:t>la</w:t>
      </w:r>
      <w:r>
        <w:rPr>
          <w:color w:val="803108"/>
          <w:spacing w:val="-4"/>
          <w:w w:val="105"/>
          <w:sz w:val="14"/>
        </w:rPr>
        <w:t xml:space="preserve"> </w:t>
      </w:r>
      <w:r>
        <w:rPr>
          <w:color w:val="803108"/>
          <w:w w:val="105"/>
          <w:sz w:val="14"/>
        </w:rPr>
        <w:t>ausencia</w:t>
      </w:r>
      <w:r>
        <w:rPr>
          <w:color w:val="803108"/>
          <w:spacing w:val="-4"/>
          <w:w w:val="105"/>
          <w:sz w:val="14"/>
        </w:rPr>
        <w:t xml:space="preserve"> </w:t>
      </w:r>
      <w:r>
        <w:rPr>
          <w:color w:val="803108"/>
          <w:w w:val="105"/>
          <w:sz w:val="14"/>
        </w:rPr>
        <w:t>de</w:t>
      </w:r>
      <w:r>
        <w:rPr>
          <w:color w:val="803108"/>
          <w:spacing w:val="-4"/>
          <w:w w:val="105"/>
          <w:sz w:val="14"/>
        </w:rPr>
        <w:t xml:space="preserve"> </w:t>
      </w:r>
      <w:r>
        <w:rPr>
          <w:color w:val="803108"/>
          <w:w w:val="105"/>
          <w:sz w:val="14"/>
        </w:rPr>
        <w:t>discriminación,</w:t>
      </w:r>
      <w:r>
        <w:rPr>
          <w:color w:val="803108"/>
          <w:spacing w:val="-2"/>
          <w:w w:val="105"/>
          <w:sz w:val="14"/>
        </w:rPr>
        <w:t xml:space="preserve"> </w:t>
      </w:r>
      <w:r>
        <w:rPr>
          <w:color w:val="803108"/>
          <w:w w:val="105"/>
          <w:sz w:val="14"/>
        </w:rPr>
        <w:t>estigmatización, odio y discursos de odio hacia las personas pertenecientes a minorías, incluso mediante campañas públicas de educación</w:t>
      </w:r>
    </w:p>
    <w:p w14:paraId="0B2CA497" w14:textId="77777777" w:rsidR="0014798C" w:rsidRDefault="004E1F0B">
      <w:pPr>
        <w:ind w:left="2014"/>
        <w:rPr>
          <w:sz w:val="14"/>
        </w:rPr>
      </w:pPr>
      <w:r>
        <w:rPr>
          <w:color w:val="803108"/>
          <w:w w:val="105"/>
          <w:sz w:val="14"/>
        </w:rPr>
        <w:t>e</w:t>
      </w:r>
      <w:r>
        <w:rPr>
          <w:color w:val="803108"/>
          <w:spacing w:val="-10"/>
          <w:w w:val="105"/>
          <w:sz w:val="14"/>
        </w:rPr>
        <w:t xml:space="preserve"> </w:t>
      </w:r>
      <w:r>
        <w:rPr>
          <w:color w:val="803108"/>
          <w:w w:val="105"/>
          <w:sz w:val="14"/>
        </w:rPr>
        <w:t>información</w:t>
      </w:r>
      <w:r>
        <w:rPr>
          <w:color w:val="803108"/>
          <w:spacing w:val="-9"/>
          <w:w w:val="105"/>
          <w:sz w:val="14"/>
        </w:rPr>
        <w:t xml:space="preserve"> </w:t>
      </w:r>
      <w:r>
        <w:rPr>
          <w:color w:val="803108"/>
          <w:w w:val="105"/>
          <w:sz w:val="14"/>
        </w:rPr>
        <w:t>y</w:t>
      </w:r>
      <w:r>
        <w:rPr>
          <w:color w:val="803108"/>
          <w:spacing w:val="-9"/>
          <w:w w:val="105"/>
          <w:sz w:val="14"/>
        </w:rPr>
        <w:t xml:space="preserve"> </w:t>
      </w:r>
      <w:r>
        <w:rPr>
          <w:color w:val="803108"/>
          <w:w w:val="105"/>
          <w:sz w:val="14"/>
        </w:rPr>
        <w:t>proporcionando</w:t>
      </w:r>
      <w:r>
        <w:rPr>
          <w:color w:val="803108"/>
          <w:spacing w:val="-10"/>
          <w:w w:val="105"/>
          <w:sz w:val="14"/>
        </w:rPr>
        <w:t xml:space="preserve"> </w:t>
      </w:r>
      <w:r>
        <w:rPr>
          <w:color w:val="803108"/>
          <w:w w:val="105"/>
          <w:sz w:val="14"/>
        </w:rPr>
        <w:t>formación</w:t>
      </w:r>
      <w:r>
        <w:rPr>
          <w:color w:val="803108"/>
          <w:spacing w:val="-9"/>
          <w:w w:val="105"/>
          <w:sz w:val="14"/>
        </w:rPr>
        <w:t xml:space="preserve"> </w:t>
      </w:r>
      <w:r>
        <w:rPr>
          <w:color w:val="803108"/>
          <w:w w:val="105"/>
          <w:sz w:val="14"/>
        </w:rPr>
        <w:t>a</w:t>
      </w:r>
      <w:r>
        <w:rPr>
          <w:color w:val="803108"/>
          <w:spacing w:val="-9"/>
          <w:w w:val="105"/>
          <w:sz w:val="14"/>
        </w:rPr>
        <w:t xml:space="preserve"> </w:t>
      </w:r>
      <w:r>
        <w:rPr>
          <w:color w:val="803108"/>
          <w:w w:val="105"/>
          <w:sz w:val="14"/>
        </w:rPr>
        <w:t>los</w:t>
      </w:r>
      <w:r>
        <w:rPr>
          <w:color w:val="803108"/>
          <w:spacing w:val="-9"/>
          <w:w w:val="105"/>
          <w:sz w:val="14"/>
        </w:rPr>
        <w:t xml:space="preserve"> </w:t>
      </w:r>
      <w:r>
        <w:rPr>
          <w:color w:val="803108"/>
          <w:spacing w:val="-2"/>
          <w:w w:val="105"/>
          <w:sz w:val="14"/>
        </w:rPr>
        <w:t>educadores;</w:t>
      </w:r>
    </w:p>
    <w:p w14:paraId="4AB2F4B2" w14:textId="77777777" w:rsidR="0014798C" w:rsidRDefault="0014798C">
      <w:pPr>
        <w:pStyle w:val="Textoindependiente"/>
        <w:rPr>
          <w:sz w:val="20"/>
        </w:rPr>
      </w:pPr>
    </w:p>
    <w:p w14:paraId="4E623834" w14:textId="77777777" w:rsidR="0014798C" w:rsidRDefault="0014798C">
      <w:pPr>
        <w:pStyle w:val="Textoindependiente"/>
        <w:rPr>
          <w:sz w:val="20"/>
        </w:rPr>
      </w:pPr>
    </w:p>
    <w:p w14:paraId="291314DC" w14:textId="77777777" w:rsidR="0014798C" w:rsidRDefault="0014798C">
      <w:pPr>
        <w:pStyle w:val="Textoindependiente"/>
        <w:rPr>
          <w:sz w:val="20"/>
        </w:rPr>
      </w:pPr>
    </w:p>
    <w:p w14:paraId="5C13F9F6" w14:textId="77777777" w:rsidR="0014798C" w:rsidRDefault="004E1F0B">
      <w:pPr>
        <w:pStyle w:val="Textoindependiente"/>
        <w:spacing w:before="16"/>
        <w:rPr>
          <w:sz w:val="20"/>
        </w:rPr>
      </w:pPr>
      <w:r>
        <w:rPr>
          <w:noProof/>
        </w:rPr>
        <w:drawing>
          <wp:anchor distT="0" distB="0" distL="0" distR="0" simplePos="0" relativeHeight="251658555" behindDoc="1" locked="0" layoutInCell="1" allowOverlap="1" wp14:anchorId="1E51FDAF" wp14:editId="4A7DEEC7">
            <wp:simplePos x="0" y="0"/>
            <wp:positionH relativeFrom="page">
              <wp:posOffset>826632</wp:posOffset>
            </wp:positionH>
            <wp:positionV relativeFrom="paragraph">
              <wp:posOffset>171792</wp:posOffset>
            </wp:positionV>
            <wp:extent cx="931001" cy="35813"/>
            <wp:effectExtent l="0" t="0" r="0" b="0"/>
            <wp:wrapTopAndBottom/>
            <wp:docPr id="321" name="Image 32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21" name="Image 321"/>
                    <pic:cNvPicPr/>
                  </pic:nvPicPr>
                  <pic:blipFill>
                    <a:blip r:embed="rId300" cstate="print"/>
                    <a:stretch>
                      <a:fillRect/>
                    </a:stretch>
                  </pic:blipFill>
                  <pic:spPr>
                    <a:xfrm>
                      <a:off x="0" y="0"/>
                      <a:ext cx="931001" cy="35813"/>
                    </a:xfrm>
                    <a:prstGeom prst="rect">
                      <a:avLst/>
                    </a:prstGeom>
                  </pic:spPr>
                </pic:pic>
              </a:graphicData>
            </a:graphic>
          </wp:anchor>
        </w:drawing>
      </w:r>
    </w:p>
    <w:p w14:paraId="05693B7F" w14:textId="77777777" w:rsidR="0014798C" w:rsidRDefault="0014798C">
      <w:pPr>
        <w:pStyle w:val="Textoindependiente"/>
        <w:spacing w:before="37"/>
        <w:rPr>
          <w:sz w:val="10"/>
        </w:rPr>
      </w:pPr>
    </w:p>
    <w:p w14:paraId="311C248B" w14:textId="77777777" w:rsidR="0014798C" w:rsidRDefault="004E1F0B">
      <w:pPr>
        <w:ind w:left="1111"/>
        <w:rPr>
          <w:sz w:val="10"/>
        </w:rPr>
      </w:pPr>
      <w:r>
        <w:rPr>
          <w:sz w:val="10"/>
        </w:rPr>
        <w:t>1076</w:t>
      </w:r>
      <w:r>
        <w:rPr>
          <w:spacing w:val="-7"/>
          <w:sz w:val="10"/>
        </w:rPr>
        <w:t xml:space="preserve"> </w:t>
      </w:r>
      <w:r>
        <w:rPr>
          <w:sz w:val="10"/>
        </w:rPr>
        <w:t>Relator</w:t>
      </w:r>
      <w:r>
        <w:rPr>
          <w:spacing w:val="-4"/>
          <w:sz w:val="10"/>
        </w:rPr>
        <w:t xml:space="preserve"> </w:t>
      </w:r>
      <w:r>
        <w:rPr>
          <w:sz w:val="10"/>
        </w:rPr>
        <w:t>Especial</w:t>
      </w:r>
      <w:r>
        <w:rPr>
          <w:spacing w:val="-4"/>
          <w:sz w:val="10"/>
        </w:rPr>
        <w:t xml:space="preserve"> </w:t>
      </w:r>
      <w:r>
        <w:rPr>
          <w:sz w:val="10"/>
        </w:rPr>
        <w:t>sobre</w:t>
      </w:r>
      <w:r>
        <w:rPr>
          <w:spacing w:val="-4"/>
          <w:sz w:val="10"/>
        </w:rPr>
        <w:t xml:space="preserve"> </w:t>
      </w:r>
      <w:r>
        <w:rPr>
          <w:sz w:val="10"/>
        </w:rPr>
        <w:t>cuestiones</w:t>
      </w:r>
      <w:r>
        <w:rPr>
          <w:spacing w:val="-4"/>
          <w:sz w:val="10"/>
        </w:rPr>
        <w:t xml:space="preserve"> </w:t>
      </w:r>
      <w:r>
        <w:rPr>
          <w:sz w:val="10"/>
        </w:rPr>
        <w:t>de</w:t>
      </w:r>
      <w:r>
        <w:rPr>
          <w:spacing w:val="-4"/>
          <w:sz w:val="10"/>
        </w:rPr>
        <w:t xml:space="preserve"> </w:t>
      </w:r>
      <w:r>
        <w:rPr>
          <w:sz w:val="10"/>
        </w:rPr>
        <w:t>las</w:t>
      </w:r>
      <w:r>
        <w:rPr>
          <w:spacing w:val="-4"/>
          <w:sz w:val="10"/>
        </w:rPr>
        <w:t xml:space="preserve"> </w:t>
      </w:r>
      <w:r>
        <w:rPr>
          <w:sz w:val="10"/>
        </w:rPr>
        <w:t>minorías,</w:t>
      </w:r>
      <w:r>
        <w:rPr>
          <w:spacing w:val="-3"/>
          <w:sz w:val="10"/>
        </w:rPr>
        <w:t xml:space="preserve"> </w:t>
      </w:r>
      <w:r>
        <w:rPr>
          <w:sz w:val="10"/>
        </w:rPr>
        <w:t>“Derechos</w:t>
      </w:r>
      <w:r>
        <w:rPr>
          <w:spacing w:val="-5"/>
          <w:sz w:val="10"/>
        </w:rPr>
        <w:t xml:space="preserve"> </w:t>
      </w:r>
      <w:r>
        <w:rPr>
          <w:sz w:val="10"/>
        </w:rPr>
        <w:t>lingüísticos</w:t>
      </w:r>
      <w:r>
        <w:rPr>
          <w:spacing w:val="-4"/>
          <w:sz w:val="10"/>
        </w:rPr>
        <w:t xml:space="preserve"> </w:t>
      </w:r>
      <w:r>
        <w:rPr>
          <w:sz w:val="10"/>
        </w:rPr>
        <w:t>de</w:t>
      </w:r>
      <w:r>
        <w:rPr>
          <w:spacing w:val="-4"/>
          <w:sz w:val="10"/>
        </w:rPr>
        <w:t xml:space="preserve"> </w:t>
      </w:r>
      <w:r>
        <w:rPr>
          <w:sz w:val="10"/>
        </w:rPr>
        <w:t>las</w:t>
      </w:r>
      <w:r>
        <w:rPr>
          <w:spacing w:val="-4"/>
          <w:sz w:val="10"/>
        </w:rPr>
        <w:t xml:space="preserve"> </w:t>
      </w:r>
      <w:r>
        <w:rPr>
          <w:sz w:val="10"/>
        </w:rPr>
        <w:t>minorías</w:t>
      </w:r>
      <w:r>
        <w:rPr>
          <w:spacing w:val="-4"/>
          <w:sz w:val="10"/>
        </w:rPr>
        <w:t xml:space="preserve"> </w:t>
      </w:r>
      <w:r>
        <w:rPr>
          <w:sz w:val="10"/>
        </w:rPr>
        <w:t>lingüísticas:</w:t>
      </w:r>
      <w:r>
        <w:rPr>
          <w:spacing w:val="-3"/>
          <w:sz w:val="10"/>
        </w:rPr>
        <w:t xml:space="preserve"> </w:t>
      </w:r>
      <w:r>
        <w:rPr>
          <w:sz w:val="10"/>
        </w:rPr>
        <w:t>una</w:t>
      </w:r>
      <w:r>
        <w:rPr>
          <w:spacing w:val="-4"/>
          <w:sz w:val="10"/>
        </w:rPr>
        <w:t xml:space="preserve"> </w:t>
      </w:r>
      <w:r>
        <w:rPr>
          <w:sz w:val="10"/>
        </w:rPr>
        <w:t>guía</w:t>
      </w:r>
      <w:r>
        <w:rPr>
          <w:spacing w:val="-4"/>
          <w:sz w:val="10"/>
        </w:rPr>
        <w:t xml:space="preserve"> </w:t>
      </w:r>
      <w:r>
        <w:rPr>
          <w:sz w:val="10"/>
        </w:rPr>
        <w:t>práctica</w:t>
      </w:r>
      <w:r>
        <w:rPr>
          <w:spacing w:val="-5"/>
          <w:sz w:val="10"/>
        </w:rPr>
        <w:t xml:space="preserve"> </w:t>
      </w:r>
      <w:r>
        <w:rPr>
          <w:sz w:val="10"/>
        </w:rPr>
        <w:t>para</w:t>
      </w:r>
      <w:r>
        <w:rPr>
          <w:spacing w:val="-4"/>
          <w:sz w:val="10"/>
        </w:rPr>
        <w:t xml:space="preserve"> </w:t>
      </w:r>
      <w:r>
        <w:rPr>
          <w:sz w:val="10"/>
        </w:rPr>
        <w:t>su</w:t>
      </w:r>
      <w:r>
        <w:rPr>
          <w:spacing w:val="-4"/>
          <w:sz w:val="10"/>
        </w:rPr>
        <w:t xml:space="preserve"> </w:t>
      </w:r>
      <w:r>
        <w:rPr>
          <w:sz w:val="10"/>
        </w:rPr>
        <w:t>implementación”,</w:t>
      </w:r>
      <w:r>
        <w:rPr>
          <w:spacing w:val="-3"/>
          <w:sz w:val="10"/>
        </w:rPr>
        <w:t xml:space="preserve"> </w:t>
      </w:r>
      <w:r>
        <w:rPr>
          <w:sz w:val="10"/>
        </w:rPr>
        <w:t>pág.</w:t>
      </w:r>
      <w:r>
        <w:rPr>
          <w:spacing w:val="-3"/>
          <w:sz w:val="10"/>
        </w:rPr>
        <w:t xml:space="preserve"> </w:t>
      </w:r>
      <w:r>
        <w:rPr>
          <w:sz w:val="10"/>
        </w:rPr>
        <w:t>18.</w:t>
      </w:r>
      <w:r>
        <w:rPr>
          <w:spacing w:val="-4"/>
          <w:sz w:val="10"/>
        </w:rPr>
        <w:t xml:space="preserve"> </w:t>
      </w:r>
      <w:r>
        <w:rPr>
          <w:sz w:val="10"/>
        </w:rPr>
        <w:t>Ver</w:t>
      </w:r>
      <w:r>
        <w:rPr>
          <w:spacing w:val="-4"/>
          <w:sz w:val="10"/>
        </w:rPr>
        <w:t xml:space="preserve"> </w:t>
      </w:r>
      <w:r>
        <w:rPr>
          <w:spacing w:val="-2"/>
          <w:sz w:val="10"/>
        </w:rPr>
        <w:t>también</w:t>
      </w:r>
    </w:p>
    <w:p w14:paraId="1FB2C52F" w14:textId="77777777" w:rsidR="0014798C" w:rsidRDefault="004E1F0B">
      <w:pPr>
        <w:spacing w:before="35"/>
        <w:ind w:left="1365"/>
        <w:rPr>
          <w:sz w:val="15"/>
        </w:rPr>
      </w:pPr>
      <w:r>
        <w:rPr>
          <w:sz w:val="15"/>
        </w:rPr>
        <w:t>A/HRC/43/47,</w:t>
      </w:r>
      <w:r>
        <w:rPr>
          <w:spacing w:val="-1"/>
          <w:sz w:val="15"/>
        </w:rPr>
        <w:t xml:space="preserve"> </w:t>
      </w:r>
      <w:r>
        <w:rPr>
          <w:sz w:val="15"/>
        </w:rPr>
        <w:t xml:space="preserve">párr. </w:t>
      </w:r>
      <w:r>
        <w:rPr>
          <w:spacing w:val="-5"/>
          <w:sz w:val="15"/>
        </w:rPr>
        <w:t>47.</w:t>
      </w:r>
    </w:p>
    <w:p w14:paraId="28436A00" w14:textId="77777777" w:rsidR="0014798C" w:rsidRDefault="004E1F0B">
      <w:pPr>
        <w:spacing w:before="94"/>
        <w:ind w:left="1111"/>
        <w:rPr>
          <w:sz w:val="10"/>
        </w:rPr>
      </w:pPr>
      <w:r>
        <w:rPr>
          <w:sz w:val="10"/>
        </w:rPr>
        <w:t>1077</w:t>
      </w:r>
      <w:r>
        <w:rPr>
          <w:spacing w:val="-7"/>
          <w:sz w:val="10"/>
        </w:rPr>
        <w:t xml:space="preserve"> </w:t>
      </w:r>
      <w:r>
        <w:rPr>
          <w:sz w:val="10"/>
        </w:rPr>
        <w:t>Relator</w:t>
      </w:r>
      <w:r>
        <w:rPr>
          <w:spacing w:val="-4"/>
          <w:sz w:val="10"/>
        </w:rPr>
        <w:t xml:space="preserve"> </w:t>
      </w:r>
      <w:r>
        <w:rPr>
          <w:sz w:val="10"/>
        </w:rPr>
        <w:t>Especial</w:t>
      </w:r>
      <w:r>
        <w:rPr>
          <w:spacing w:val="-4"/>
          <w:sz w:val="10"/>
        </w:rPr>
        <w:t xml:space="preserve"> </w:t>
      </w:r>
      <w:r>
        <w:rPr>
          <w:sz w:val="10"/>
        </w:rPr>
        <w:t>sobre</w:t>
      </w:r>
      <w:r>
        <w:rPr>
          <w:spacing w:val="-5"/>
          <w:sz w:val="10"/>
        </w:rPr>
        <w:t xml:space="preserve"> </w:t>
      </w:r>
      <w:r>
        <w:rPr>
          <w:sz w:val="10"/>
        </w:rPr>
        <w:t>cuestiones</w:t>
      </w:r>
      <w:r>
        <w:rPr>
          <w:spacing w:val="-4"/>
          <w:sz w:val="10"/>
        </w:rPr>
        <w:t xml:space="preserve"> </w:t>
      </w:r>
      <w:r>
        <w:rPr>
          <w:sz w:val="10"/>
        </w:rPr>
        <w:t>de</w:t>
      </w:r>
      <w:r>
        <w:rPr>
          <w:spacing w:val="-4"/>
          <w:sz w:val="10"/>
        </w:rPr>
        <w:t xml:space="preserve"> </w:t>
      </w:r>
      <w:r>
        <w:rPr>
          <w:sz w:val="10"/>
        </w:rPr>
        <w:t>las</w:t>
      </w:r>
      <w:r>
        <w:rPr>
          <w:spacing w:val="-5"/>
          <w:sz w:val="10"/>
        </w:rPr>
        <w:t xml:space="preserve"> </w:t>
      </w:r>
      <w:r>
        <w:rPr>
          <w:sz w:val="10"/>
        </w:rPr>
        <w:t>minorías,</w:t>
      </w:r>
      <w:r>
        <w:rPr>
          <w:spacing w:val="-3"/>
          <w:sz w:val="10"/>
        </w:rPr>
        <w:t xml:space="preserve"> </w:t>
      </w:r>
      <w:r>
        <w:rPr>
          <w:sz w:val="10"/>
        </w:rPr>
        <w:t>“Derechos</w:t>
      </w:r>
      <w:r>
        <w:rPr>
          <w:spacing w:val="-4"/>
          <w:sz w:val="10"/>
        </w:rPr>
        <w:t xml:space="preserve"> </w:t>
      </w:r>
      <w:r>
        <w:rPr>
          <w:sz w:val="10"/>
        </w:rPr>
        <w:t>lingüísticos</w:t>
      </w:r>
      <w:r>
        <w:rPr>
          <w:spacing w:val="-5"/>
          <w:sz w:val="10"/>
        </w:rPr>
        <w:t xml:space="preserve"> </w:t>
      </w:r>
      <w:r>
        <w:rPr>
          <w:sz w:val="10"/>
        </w:rPr>
        <w:t>de</w:t>
      </w:r>
      <w:r>
        <w:rPr>
          <w:spacing w:val="-4"/>
          <w:sz w:val="10"/>
        </w:rPr>
        <w:t xml:space="preserve"> </w:t>
      </w:r>
      <w:r>
        <w:rPr>
          <w:sz w:val="10"/>
        </w:rPr>
        <w:t>las</w:t>
      </w:r>
      <w:r>
        <w:rPr>
          <w:spacing w:val="-4"/>
          <w:sz w:val="10"/>
        </w:rPr>
        <w:t xml:space="preserve"> </w:t>
      </w:r>
      <w:r>
        <w:rPr>
          <w:sz w:val="10"/>
        </w:rPr>
        <w:t>minorías</w:t>
      </w:r>
      <w:r>
        <w:rPr>
          <w:spacing w:val="-5"/>
          <w:sz w:val="10"/>
        </w:rPr>
        <w:t xml:space="preserve"> </w:t>
      </w:r>
      <w:r>
        <w:rPr>
          <w:sz w:val="10"/>
        </w:rPr>
        <w:t>lingüísticas:</w:t>
      </w:r>
      <w:r>
        <w:rPr>
          <w:spacing w:val="-3"/>
          <w:sz w:val="10"/>
        </w:rPr>
        <w:t xml:space="preserve"> </w:t>
      </w:r>
      <w:r>
        <w:rPr>
          <w:sz w:val="10"/>
        </w:rPr>
        <w:t>una</w:t>
      </w:r>
      <w:r>
        <w:rPr>
          <w:spacing w:val="-4"/>
          <w:sz w:val="10"/>
        </w:rPr>
        <w:t xml:space="preserve"> </w:t>
      </w:r>
      <w:r>
        <w:rPr>
          <w:sz w:val="10"/>
        </w:rPr>
        <w:t>guía</w:t>
      </w:r>
      <w:r>
        <w:rPr>
          <w:spacing w:val="-5"/>
          <w:sz w:val="10"/>
        </w:rPr>
        <w:t xml:space="preserve"> </w:t>
      </w:r>
      <w:r>
        <w:rPr>
          <w:sz w:val="10"/>
        </w:rPr>
        <w:t>práctica</w:t>
      </w:r>
      <w:r>
        <w:rPr>
          <w:spacing w:val="-4"/>
          <w:sz w:val="10"/>
        </w:rPr>
        <w:t xml:space="preserve"> </w:t>
      </w:r>
      <w:r>
        <w:rPr>
          <w:sz w:val="10"/>
        </w:rPr>
        <w:t>para</w:t>
      </w:r>
      <w:r>
        <w:rPr>
          <w:spacing w:val="-4"/>
          <w:sz w:val="10"/>
        </w:rPr>
        <w:t xml:space="preserve"> </w:t>
      </w:r>
      <w:r>
        <w:rPr>
          <w:sz w:val="10"/>
        </w:rPr>
        <w:t>su</w:t>
      </w:r>
      <w:r>
        <w:rPr>
          <w:spacing w:val="-5"/>
          <w:sz w:val="10"/>
        </w:rPr>
        <w:t xml:space="preserve"> </w:t>
      </w:r>
      <w:r>
        <w:rPr>
          <w:sz w:val="10"/>
        </w:rPr>
        <w:t>implementación”,</w:t>
      </w:r>
      <w:r>
        <w:rPr>
          <w:spacing w:val="-3"/>
          <w:sz w:val="10"/>
        </w:rPr>
        <w:t xml:space="preserve"> </w:t>
      </w:r>
      <w:r>
        <w:rPr>
          <w:sz w:val="10"/>
        </w:rPr>
        <w:t>pág.</w:t>
      </w:r>
      <w:r>
        <w:rPr>
          <w:spacing w:val="-3"/>
          <w:sz w:val="10"/>
        </w:rPr>
        <w:t xml:space="preserve"> </w:t>
      </w:r>
      <w:r>
        <w:rPr>
          <w:spacing w:val="-5"/>
          <w:sz w:val="10"/>
        </w:rPr>
        <w:t>13.</w:t>
      </w:r>
    </w:p>
    <w:p w14:paraId="3D46583E" w14:textId="77777777" w:rsidR="0014798C" w:rsidRDefault="0014798C">
      <w:pPr>
        <w:pStyle w:val="Textoindependiente"/>
        <w:spacing w:before="6"/>
        <w:rPr>
          <w:sz w:val="10"/>
        </w:rPr>
      </w:pPr>
    </w:p>
    <w:p w14:paraId="4EB41EFC" w14:textId="77777777" w:rsidR="0014798C" w:rsidRDefault="004E1F0B">
      <w:pPr>
        <w:ind w:left="1111"/>
        <w:rPr>
          <w:sz w:val="10"/>
        </w:rPr>
      </w:pPr>
      <w:r>
        <w:rPr>
          <w:sz w:val="10"/>
        </w:rPr>
        <w:t>1078</w:t>
      </w:r>
      <w:r>
        <w:rPr>
          <w:spacing w:val="-4"/>
          <w:sz w:val="10"/>
        </w:rPr>
        <w:t xml:space="preserve"> </w:t>
      </w:r>
      <w:proofErr w:type="spellStart"/>
      <w:r>
        <w:rPr>
          <w:sz w:val="10"/>
        </w:rPr>
        <w:t>Ibíd</w:t>
      </w:r>
      <w:proofErr w:type="spellEnd"/>
      <w:r>
        <w:rPr>
          <w:sz w:val="10"/>
        </w:rPr>
        <w:t>.,</w:t>
      </w:r>
      <w:r>
        <w:rPr>
          <w:spacing w:val="-3"/>
          <w:sz w:val="10"/>
        </w:rPr>
        <w:t xml:space="preserve"> </w:t>
      </w:r>
      <w:r>
        <w:rPr>
          <w:sz w:val="10"/>
        </w:rPr>
        <w:t>pág.</w:t>
      </w:r>
      <w:r>
        <w:rPr>
          <w:spacing w:val="-2"/>
          <w:sz w:val="10"/>
        </w:rPr>
        <w:t xml:space="preserve"> </w:t>
      </w:r>
      <w:r>
        <w:rPr>
          <w:sz w:val="10"/>
        </w:rPr>
        <w:t>14</w:t>
      </w:r>
      <w:r>
        <w:rPr>
          <w:spacing w:val="-3"/>
          <w:sz w:val="10"/>
        </w:rPr>
        <w:t xml:space="preserve"> </w:t>
      </w:r>
      <w:r>
        <w:rPr>
          <w:sz w:val="10"/>
        </w:rPr>
        <w:t>(notas</w:t>
      </w:r>
      <w:r>
        <w:rPr>
          <w:spacing w:val="-4"/>
          <w:sz w:val="10"/>
        </w:rPr>
        <w:t xml:space="preserve"> </w:t>
      </w:r>
      <w:r>
        <w:rPr>
          <w:sz w:val="10"/>
        </w:rPr>
        <w:t>a</w:t>
      </w:r>
      <w:r>
        <w:rPr>
          <w:spacing w:val="-3"/>
          <w:sz w:val="10"/>
        </w:rPr>
        <w:t xml:space="preserve"> </w:t>
      </w:r>
      <w:r>
        <w:rPr>
          <w:sz w:val="10"/>
        </w:rPr>
        <w:t>pie</w:t>
      </w:r>
      <w:r>
        <w:rPr>
          <w:spacing w:val="-3"/>
          <w:sz w:val="10"/>
        </w:rPr>
        <w:t xml:space="preserve"> </w:t>
      </w:r>
      <w:r>
        <w:rPr>
          <w:sz w:val="10"/>
        </w:rPr>
        <w:t>de</w:t>
      </w:r>
      <w:r>
        <w:rPr>
          <w:spacing w:val="-3"/>
          <w:sz w:val="10"/>
        </w:rPr>
        <w:t xml:space="preserve"> </w:t>
      </w:r>
      <w:r>
        <w:rPr>
          <w:sz w:val="10"/>
        </w:rPr>
        <w:t>página</w:t>
      </w:r>
      <w:r>
        <w:rPr>
          <w:spacing w:val="-3"/>
          <w:sz w:val="10"/>
        </w:rPr>
        <w:t xml:space="preserve"> </w:t>
      </w:r>
      <w:r>
        <w:rPr>
          <w:spacing w:val="-2"/>
          <w:sz w:val="10"/>
        </w:rPr>
        <w:t>omitidas).</w:t>
      </w:r>
    </w:p>
    <w:p w14:paraId="6F1588EE" w14:textId="77777777" w:rsidR="0014798C" w:rsidRDefault="0014798C">
      <w:pPr>
        <w:pStyle w:val="Textoindependiente"/>
        <w:rPr>
          <w:sz w:val="18"/>
        </w:rPr>
      </w:pPr>
    </w:p>
    <w:p w14:paraId="2832F511" w14:textId="77777777" w:rsidR="0014798C" w:rsidRDefault="0014798C">
      <w:pPr>
        <w:pStyle w:val="Textoindependiente"/>
        <w:rPr>
          <w:sz w:val="18"/>
        </w:rPr>
      </w:pPr>
    </w:p>
    <w:p w14:paraId="45F06883" w14:textId="77777777" w:rsidR="0014798C" w:rsidRDefault="0014798C">
      <w:pPr>
        <w:pStyle w:val="Textoindependiente"/>
        <w:spacing w:before="38"/>
        <w:rPr>
          <w:sz w:val="18"/>
        </w:rPr>
      </w:pPr>
    </w:p>
    <w:p w14:paraId="32E6538A" w14:textId="77777777" w:rsidR="0014798C" w:rsidRDefault="004E1F0B">
      <w:pPr>
        <w:ind w:left="479"/>
        <w:rPr>
          <w:sz w:val="18"/>
        </w:rPr>
      </w:pPr>
      <w:r>
        <w:rPr>
          <w:spacing w:val="-5"/>
          <w:sz w:val="18"/>
        </w:rPr>
        <w:t>158</w:t>
      </w:r>
    </w:p>
    <w:p w14:paraId="491FA8D4" w14:textId="77777777" w:rsidR="0014798C" w:rsidRDefault="0014798C">
      <w:pPr>
        <w:rPr>
          <w:sz w:val="18"/>
        </w:rPr>
        <w:sectPr w:rsidR="0014798C" w:rsidSect="00F265E4">
          <w:pgSz w:w="11900" w:h="16820"/>
          <w:pgMar w:top="340" w:right="0" w:bottom="280" w:left="200" w:header="121" w:footer="0" w:gutter="0"/>
          <w:cols w:space="720"/>
        </w:sectPr>
      </w:pPr>
    </w:p>
    <w:p w14:paraId="5E9CA2BB" w14:textId="77777777" w:rsidR="0014798C" w:rsidRDefault="0014798C">
      <w:pPr>
        <w:pStyle w:val="Textoindependiente"/>
        <w:rPr>
          <w:sz w:val="9"/>
        </w:rPr>
      </w:pPr>
    </w:p>
    <w:p w14:paraId="3A1BD858" w14:textId="77777777" w:rsidR="0014798C" w:rsidRDefault="0014798C">
      <w:pPr>
        <w:pStyle w:val="Textoindependiente"/>
        <w:spacing w:before="31"/>
        <w:rPr>
          <w:sz w:val="9"/>
        </w:rPr>
      </w:pPr>
    </w:p>
    <w:p w14:paraId="59477DD6" w14:textId="77777777" w:rsidR="0014798C" w:rsidRDefault="004E1F0B">
      <w:pPr>
        <w:ind w:left="1111"/>
        <w:rPr>
          <w:sz w:val="9"/>
        </w:rPr>
      </w:pPr>
      <w:r>
        <w:rPr>
          <w:color w:val="803108"/>
          <w:w w:val="105"/>
          <w:sz w:val="9"/>
        </w:rPr>
        <w:t>PARTE</w:t>
      </w:r>
      <w:r>
        <w:rPr>
          <w:color w:val="803108"/>
          <w:spacing w:val="1"/>
          <w:w w:val="105"/>
          <w:sz w:val="9"/>
        </w:rPr>
        <w:t xml:space="preserve"> </w:t>
      </w:r>
      <w:r>
        <w:rPr>
          <w:color w:val="803108"/>
          <w:w w:val="105"/>
          <w:sz w:val="9"/>
        </w:rPr>
        <w:t>TRES:</w:t>
      </w:r>
      <w:r>
        <w:rPr>
          <w:color w:val="803108"/>
          <w:spacing w:val="2"/>
          <w:w w:val="105"/>
          <w:sz w:val="9"/>
        </w:rPr>
        <w:t xml:space="preserve"> </w:t>
      </w:r>
      <w:r>
        <w:rPr>
          <w:color w:val="803108"/>
          <w:w w:val="105"/>
          <w:sz w:val="9"/>
        </w:rPr>
        <w:t>PROTECCIÓN</w:t>
      </w:r>
      <w:r>
        <w:rPr>
          <w:color w:val="803108"/>
          <w:spacing w:val="2"/>
          <w:w w:val="105"/>
          <w:sz w:val="9"/>
        </w:rPr>
        <w:t xml:space="preserve"> </w:t>
      </w:r>
      <w:r>
        <w:rPr>
          <w:color w:val="803108"/>
          <w:w w:val="105"/>
          <w:sz w:val="9"/>
        </w:rPr>
        <w:t>DE</w:t>
      </w:r>
      <w:r>
        <w:rPr>
          <w:color w:val="803108"/>
          <w:spacing w:val="1"/>
          <w:w w:val="105"/>
          <w:sz w:val="9"/>
        </w:rPr>
        <w:t xml:space="preserve"> </w:t>
      </w:r>
      <w:r>
        <w:rPr>
          <w:color w:val="803108"/>
          <w:w w:val="105"/>
          <w:sz w:val="9"/>
        </w:rPr>
        <w:t>LOS</w:t>
      </w:r>
      <w:r>
        <w:rPr>
          <w:color w:val="803108"/>
          <w:spacing w:val="2"/>
          <w:w w:val="105"/>
          <w:sz w:val="9"/>
        </w:rPr>
        <w:t xml:space="preserve"> </w:t>
      </w:r>
      <w:r>
        <w:rPr>
          <w:color w:val="803108"/>
          <w:w w:val="105"/>
          <w:sz w:val="9"/>
        </w:rPr>
        <w:t>DERECHOS</w:t>
      </w:r>
      <w:r>
        <w:rPr>
          <w:color w:val="803108"/>
          <w:spacing w:val="3"/>
          <w:w w:val="105"/>
          <w:sz w:val="9"/>
        </w:rPr>
        <w:t xml:space="preserve"> </w:t>
      </w:r>
      <w:r>
        <w:rPr>
          <w:color w:val="803108"/>
          <w:w w:val="105"/>
          <w:sz w:val="9"/>
        </w:rPr>
        <w:t>DE</w:t>
      </w:r>
      <w:r>
        <w:rPr>
          <w:color w:val="803108"/>
          <w:spacing w:val="1"/>
          <w:w w:val="105"/>
          <w:sz w:val="9"/>
        </w:rPr>
        <w:t xml:space="preserve"> </w:t>
      </w:r>
      <w:r>
        <w:rPr>
          <w:color w:val="803108"/>
          <w:w w:val="105"/>
          <w:sz w:val="9"/>
        </w:rPr>
        <w:t>LAS</w:t>
      </w:r>
      <w:r>
        <w:rPr>
          <w:color w:val="803108"/>
          <w:spacing w:val="2"/>
          <w:w w:val="105"/>
          <w:sz w:val="9"/>
        </w:rPr>
        <w:t xml:space="preserve"> </w:t>
      </w:r>
      <w:r>
        <w:rPr>
          <w:color w:val="803108"/>
          <w:spacing w:val="-2"/>
          <w:w w:val="105"/>
          <w:sz w:val="9"/>
        </w:rPr>
        <w:t>MINORÍAS</w:t>
      </w:r>
    </w:p>
    <w:p w14:paraId="26B35ABA" w14:textId="77777777" w:rsidR="0014798C" w:rsidRDefault="0014798C">
      <w:pPr>
        <w:pStyle w:val="Textoindependiente"/>
        <w:rPr>
          <w:sz w:val="14"/>
        </w:rPr>
      </w:pPr>
    </w:p>
    <w:p w14:paraId="49AC5F32" w14:textId="77777777" w:rsidR="0014798C" w:rsidRDefault="0014798C">
      <w:pPr>
        <w:pStyle w:val="Textoindependiente"/>
        <w:rPr>
          <w:sz w:val="14"/>
        </w:rPr>
      </w:pPr>
    </w:p>
    <w:p w14:paraId="74CCE1E5" w14:textId="77777777" w:rsidR="0014798C" w:rsidRDefault="0014798C">
      <w:pPr>
        <w:pStyle w:val="Textoindependiente"/>
        <w:rPr>
          <w:sz w:val="14"/>
        </w:rPr>
      </w:pPr>
    </w:p>
    <w:p w14:paraId="7302FB22" w14:textId="77777777" w:rsidR="0014798C" w:rsidRDefault="0014798C">
      <w:pPr>
        <w:pStyle w:val="Textoindependiente"/>
        <w:rPr>
          <w:sz w:val="14"/>
        </w:rPr>
      </w:pPr>
    </w:p>
    <w:p w14:paraId="54694BC0" w14:textId="77777777" w:rsidR="0014798C" w:rsidRDefault="0014798C">
      <w:pPr>
        <w:pStyle w:val="Textoindependiente"/>
        <w:rPr>
          <w:sz w:val="14"/>
        </w:rPr>
      </w:pPr>
    </w:p>
    <w:p w14:paraId="668BDD17" w14:textId="77777777" w:rsidR="0014798C" w:rsidRDefault="0014798C">
      <w:pPr>
        <w:pStyle w:val="Textoindependiente"/>
        <w:spacing w:before="43"/>
        <w:rPr>
          <w:sz w:val="14"/>
        </w:rPr>
      </w:pPr>
    </w:p>
    <w:p w14:paraId="1EAD9B1E" w14:textId="77777777" w:rsidR="0014798C" w:rsidRDefault="004E1F0B">
      <w:pPr>
        <w:pStyle w:val="Prrafodelista"/>
        <w:numPr>
          <w:ilvl w:val="1"/>
          <w:numId w:val="13"/>
        </w:numPr>
        <w:tabs>
          <w:tab w:val="left" w:pos="1813"/>
          <w:tab w:val="left" w:pos="2014"/>
        </w:tabs>
        <w:spacing w:line="372" w:lineRule="auto"/>
        <w:ind w:right="1700" w:hanging="331"/>
        <w:rPr>
          <w:color w:val="803108"/>
          <w:sz w:val="14"/>
        </w:rPr>
      </w:pPr>
      <w:r>
        <w:rPr>
          <w:color w:val="803108"/>
          <w:w w:val="105"/>
          <w:sz w:val="14"/>
        </w:rPr>
        <w:t>Abstenerse</w:t>
      </w:r>
      <w:r>
        <w:rPr>
          <w:color w:val="803108"/>
          <w:spacing w:val="-1"/>
          <w:w w:val="105"/>
          <w:sz w:val="14"/>
        </w:rPr>
        <w:t xml:space="preserve"> </w:t>
      </w:r>
      <w:r>
        <w:rPr>
          <w:color w:val="803108"/>
          <w:w w:val="105"/>
          <w:sz w:val="14"/>
        </w:rPr>
        <w:t>de la asimilación forzada</w:t>
      </w:r>
      <w:r>
        <w:rPr>
          <w:color w:val="803108"/>
          <w:spacing w:val="-1"/>
          <w:w w:val="105"/>
          <w:sz w:val="14"/>
        </w:rPr>
        <w:t xml:space="preserve"> </w:t>
      </w:r>
      <w:r>
        <w:rPr>
          <w:color w:val="803108"/>
          <w:w w:val="105"/>
          <w:sz w:val="14"/>
        </w:rPr>
        <w:t>de personas</w:t>
      </w:r>
      <w:r>
        <w:rPr>
          <w:color w:val="803108"/>
          <w:spacing w:val="-1"/>
          <w:w w:val="105"/>
          <w:sz w:val="14"/>
        </w:rPr>
        <w:t xml:space="preserve"> </w:t>
      </w:r>
      <w:r>
        <w:rPr>
          <w:color w:val="803108"/>
          <w:w w:val="105"/>
          <w:sz w:val="14"/>
        </w:rPr>
        <w:t>pertenecientes</w:t>
      </w:r>
      <w:r>
        <w:rPr>
          <w:color w:val="803108"/>
          <w:spacing w:val="-1"/>
          <w:w w:val="105"/>
          <w:sz w:val="14"/>
        </w:rPr>
        <w:t xml:space="preserve"> </w:t>
      </w:r>
      <w:r>
        <w:rPr>
          <w:color w:val="803108"/>
          <w:w w:val="105"/>
          <w:sz w:val="14"/>
        </w:rPr>
        <w:t>a minorías</w:t>
      </w:r>
      <w:r>
        <w:rPr>
          <w:color w:val="803108"/>
          <w:spacing w:val="-1"/>
          <w:w w:val="105"/>
          <w:sz w:val="14"/>
        </w:rPr>
        <w:t xml:space="preserve"> </w:t>
      </w:r>
      <w:r>
        <w:rPr>
          <w:color w:val="803108"/>
          <w:w w:val="105"/>
          <w:sz w:val="14"/>
        </w:rPr>
        <w:t>mediante, entre</w:t>
      </w:r>
      <w:r>
        <w:rPr>
          <w:color w:val="803108"/>
          <w:spacing w:val="-1"/>
          <w:w w:val="105"/>
          <w:sz w:val="14"/>
        </w:rPr>
        <w:t xml:space="preserve"> </w:t>
      </w:r>
      <w:r>
        <w:rPr>
          <w:color w:val="803108"/>
          <w:w w:val="105"/>
          <w:sz w:val="14"/>
        </w:rPr>
        <w:t>otras</w:t>
      </w:r>
      <w:r>
        <w:rPr>
          <w:color w:val="803108"/>
          <w:spacing w:val="-1"/>
          <w:w w:val="105"/>
          <w:sz w:val="14"/>
        </w:rPr>
        <w:t xml:space="preserve"> </w:t>
      </w:r>
      <w:r>
        <w:rPr>
          <w:color w:val="803108"/>
          <w:w w:val="105"/>
          <w:sz w:val="14"/>
        </w:rPr>
        <w:t>cosas, la prohibición de la educación</w:t>
      </w:r>
      <w:r>
        <w:rPr>
          <w:color w:val="803108"/>
          <w:spacing w:val="-1"/>
          <w:w w:val="105"/>
          <w:sz w:val="14"/>
        </w:rPr>
        <w:t xml:space="preserve"> </w:t>
      </w:r>
      <w:r>
        <w:rPr>
          <w:color w:val="803108"/>
          <w:w w:val="105"/>
          <w:sz w:val="14"/>
        </w:rPr>
        <w:t>o</w:t>
      </w:r>
      <w:r>
        <w:rPr>
          <w:color w:val="803108"/>
          <w:spacing w:val="-1"/>
          <w:w w:val="105"/>
          <w:sz w:val="14"/>
        </w:rPr>
        <w:t xml:space="preserve"> </w:t>
      </w:r>
      <w:r>
        <w:rPr>
          <w:color w:val="803108"/>
          <w:w w:val="105"/>
          <w:sz w:val="14"/>
        </w:rPr>
        <w:t>la</w:t>
      </w:r>
      <w:r>
        <w:rPr>
          <w:color w:val="803108"/>
          <w:spacing w:val="-1"/>
          <w:w w:val="105"/>
          <w:sz w:val="14"/>
        </w:rPr>
        <w:t xml:space="preserve"> </w:t>
      </w:r>
      <w:r>
        <w:rPr>
          <w:color w:val="803108"/>
          <w:w w:val="105"/>
          <w:sz w:val="14"/>
        </w:rPr>
        <w:t>enseñanza</w:t>
      </w:r>
      <w:r>
        <w:rPr>
          <w:color w:val="803108"/>
          <w:spacing w:val="-1"/>
          <w:w w:val="105"/>
          <w:sz w:val="14"/>
        </w:rPr>
        <w:t xml:space="preserve"> </w:t>
      </w:r>
      <w:r>
        <w:rPr>
          <w:color w:val="803108"/>
          <w:w w:val="105"/>
          <w:sz w:val="14"/>
        </w:rPr>
        <w:t>de</w:t>
      </w:r>
      <w:r>
        <w:rPr>
          <w:color w:val="803108"/>
          <w:spacing w:val="-1"/>
          <w:w w:val="105"/>
          <w:sz w:val="14"/>
        </w:rPr>
        <w:t xml:space="preserve"> </w:t>
      </w:r>
      <w:r>
        <w:rPr>
          <w:color w:val="803108"/>
          <w:w w:val="105"/>
          <w:sz w:val="14"/>
        </w:rPr>
        <w:t>la</w:t>
      </w:r>
      <w:r>
        <w:rPr>
          <w:color w:val="803108"/>
          <w:spacing w:val="-1"/>
          <w:w w:val="105"/>
          <w:sz w:val="14"/>
        </w:rPr>
        <w:t xml:space="preserve"> </w:t>
      </w:r>
      <w:r>
        <w:rPr>
          <w:color w:val="803108"/>
          <w:w w:val="105"/>
          <w:sz w:val="14"/>
        </w:rPr>
        <w:t>lengua</w:t>
      </w:r>
      <w:r>
        <w:rPr>
          <w:color w:val="803108"/>
          <w:spacing w:val="-1"/>
          <w:w w:val="105"/>
          <w:sz w:val="14"/>
        </w:rPr>
        <w:t xml:space="preserve"> </w:t>
      </w:r>
      <w:r>
        <w:rPr>
          <w:color w:val="803108"/>
          <w:w w:val="105"/>
          <w:sz w:val="14"/>
        </w:rPr>
        <w:t>materna</w:t>
      </w:r>
      <w:r>
        <w:rPr>
          <w:color w:val="803108"/>
          <w:spacing w:val="-2"/>
          <w:w w:val="105"/>
          <w:sz w:val="14"/>
        </w:rPr>
        <w:t xml:space="preserve"> </w:t>
      </w:r>
      <w:r>
        <w:rPr>
          <w:color w:val="803108"/>
          <w:w w:val="105"/>
          <w:sz w:val="14"/>
        </w:rPr>
        <w:t>de</w:t>
      </w:r>
      <w:r>
        <w:rPr>
          <w:color w:val="803108"/>
          <w:spacing w:val="-1"/>
          <w:w w:val="105"/>
          <w:sz w:val="14"/>
        </w:rPr>
        <w:t xml:space="preserve"> </w:t>
      </w:r>
      <w:r>
        <w:rPr>
          <w:color w:val="803108"/>
          <w:w w:val="105"/>
          <w:sz w:val="14"/>
        </w:rPr>
        <w:t>las</w:t>
      </w:r>
      <w:r>
        <w:rPr>
          <w:color w:val="803108"/>
          <w:spacing w:val="-2"/>
          <w:w w:val="105"/>
          <w:sz w:val="14"/>
        </w:rPr>
        <w:t xml:space="preserve"> </w:t>
      </w:r>
      <w:r>
        <w:rPr>
          <w:color w:val="803108"/>
          <w:w w:val="105"/>
          <w:sz w:val="14"/>
        </w:rPr>
        <w:t>minorías;</w:t>
      </w:r>
    </w:p>
    <w:p w14:paraId="052486A0" w14:textId="77777777" w:rsidR="0014798C" w:rsidRDefault="004E1F0B">
      <w:pPr>
        <w:pStyle w:val="Prrafodelista"/>
        <w:numPr>
          <w:ilvl w:val="1"/>
          <w:numId w:val="13"/>
        </w:numPr>
        <w:tabs>
          <w:tab w:val="left" w:pos="1855"/>
          <w:tab w:val="left" w:pos="2013"/>
        </w:tabs>
        <w:spacing w:before="114" w:line="372" w:lineRule="auto"/>
        <w:ind w:left="2013" w:right="1660" w:hanging="330"/>
        <w:rPr>
          <w:color w:val="803108"/>
          <w:sz w:val="14"/>
        </w:rPr>
      </w:pPr>
      <w:r>
        <w:rPr>
          <w:color w:val="803108"/>
          <w:w w:val="105"/>
          <w:sz w:val="14"/>
        </w:rPr>
        <w:t>Crear</w:t>
      </w:r>
      <w:r>
        <w:rPr>
          <w:color w:val="803108"/>
          <w:spacing w:val="-1"/>
          <w:w w:val="105"/>
          <w:sz w:val="14"/>
        </w:rPr>
        <w:t xml:space="preserve"> </w:t>
      </w:r>
      <w:r>
        <w:rPr>
          <w:color w:val="803108"/>
          <w:w w:val="105"/>
          <w:sz w:val="14"/>
        </w:rPr>
        <w:t>un entorno</w:t>
      </w:r>
      <w:r>
        <w:rPr>
          <w:color w:val="803108"/>
          <w:spacing w:val="-1"/>
          <w:w w:val="105"/>
          <w:sz w:val="14"/>
        </w:rPr>
        <w:t xml:space="preserve"> </w:t>
      </w:r>
      <w:r>
        <w:rPr>
          <w:color w:val="803108"/>
          <w:w w:val="105"/>
          <w:sz w:val="14"/>
        </w:rPr>
        <w:t>seguro y propicio para los</w:t>
      </w:r>
      <w:r>
        <w:rPr>
          <w:color w:val="803108"/>
          <w:spacing w:val="-1"/>
          <w:w w:val="105"/>
          <w:sz w:val="14"/>
        </w:rPr>
        <w:t xml:space="preserve"> </w:t>
      </w:r>
      <w:r>
        <w:rPr>
          <w:color w:val="803108"/>
          <w:w w:val="105"/>
          <w:sz w:val="14"/>
        </w:rPr>
        <w:t>representantes</w:t>
      </w:r>
      <w:r>
        <w:rPr>
          <w:color w:val="803108"/>
          <w:spacing w:val="-1"/>
          <w:w w:val="105"/>
          <w:sz w:val="14"/>
        </w:rPr>
        <w:t xml:space="preserve"> </w:t>
      </w:r>
      <w:r>
        <w:rPr>
          <w:color w:val="803108"/>
          <w:w w:val="105"/>
          <w:sz w:val="14"/>
        </w:rPr>
        <w:t>de la sociedad civil que trabajan</w:t>
      </w:r>
      <w:r>
        <w:rPr>
          <w:color w:val="803108"/>
          <w:spacing w:val="-1"/>
          <w:w w:val="105"/>
          <w:sz w:val="14"/>
        </w:rPr>
        <w:t xml:space="preserve"> </w:t>
      </w:r>
      <w:r>
        <w:rPr>
          <w:color w:val="803108"/>
          <w:w w:val="105"/>
          <w:sz w:val="14"/>
        </w:rPr>
        <w:t>en los</w:t>
      </w:r>
      <w:r>
        <w:rPr>
          <w:color w:val="803108"/>
          <w:spacing w:val="-1"/>
          <w:w w:val="105"/>
          <w:sz w:val="14"/>
        </w:rPr>
        <w:t xml:space="preserve"> </w:t>
      </w:r>
      <w:r>
        <w:rPr>
          <w:color w:val="803108"/>
          <w:w w:val="105"/>
          <w:sz w:val="14"/>
        </w:rPr>
        <w:t>derechos</w:t>
      </w:r>
      <w:r>
        <w:rPr>
          <w:color w:val="803108"/>
          <w:spacing w:val="-1"/>
          <w:w w:val="105"/>
          <w:sz w:val="14"/>
        </w:rPr>
        <w:t xml:space="preserve"> </w:t>
      </w:r>
      <w:r>
        <w:rPr>
          <w:color w:val="803108"/>
          <w:w w:val="105"/>
          <w:sz w:val="14"/>
        </w:rPr>
        <w:t>humanos</w:t>
      </w:r>
      <w:r>
        <w:rPr>
          <w:color w:val="803108"/>
          <w:spacing w:val="-1"/>
          <w:w w:val="105"/>
          <w:sz w:val="14"/>
        </w:rPr>
        <w:t xml:space="preserve"> </w:t>
      </w:r>
      <w:r>
        <w:rPr>
          <w:color w:val="803108"/>
          <w:w w:val="105"/>
          <w:sz w:val="14"/>
        </w:rPr>
        <w:t xml:space="preserve">de las personas pertenecientes a minorías en cuestiones lingüísticas y supervisar el cumplimiento de las obligaciones de los Estados de garantizar el acceso a la educación y la enseñanza de los idiomas minoritarios </w:t>
      </w:r>
      <w:r>
        <w:rPr>
          <w:color w:val="803108"/>
          <w:w w:val="70"/>
          <w:sz w:val="14"/>
        </w:rPr>
        <w:t>;</w:t>
      </w:r>
    </w:p>
    <w:p w14:paraId="654D487E" w14:textId="77777777" w:rsidR="0014798C" w:rsidRDefault="0014798C">
      <w:pPr>
        <w:pStyle w:val="Textoindependiente"/>
        <w:rPr>
          <w:sz w:val="14"/>
        </w:rPr>
      </w:pPr>
    </w:p>
    <w:p w14:paraId="60E2F598" w14:textId="77777777" w:rsidR="0014798C" w:rsidRDefault="0014798C">
      <w:pPr>
        <w:pStyle w:val="Textoindependiente"/>
        <w:spacing w:before="41"/>
        <w:rPr>
          <w:sz w:val="14"/>
        </w:rPr>
      </w:pPr>
    </w:p>
    <w:p w14:paraId="7DF4B0AA" w14:textId="77777777" w:rsidR="0014798C" w:rsidRDefault="004E1F0B">
      <w:pPr>
        <w:pStyle w:val="Prrafodelista"/>
        <w:numPr>
          <w:ilvl w:val="1"/>
          <w:numId w:val="13"/>
        </w:numPr>
        <w:tabs>
          <w:tab w:val="left" w:pos="1855"/>
          <w:tab w:val="left" w:pos="2009"/>
        </w:tabs>
        <w:spacing w:line="372" w:lineRule="auto"/>
        <w:ind w:left="2009" w:right="2226" w:hanging="326"/>
        <w:rPr>
          <w:color w:val="803108"/>
          <w:sz w:val="14"/>
        </w:rPr>
      </w:pPr>
      <w:r>
        <w:rPr>
          <w:color w:val="803108"/>
          <w:w w:val="105"/>
          <w:sz w:val="14"/>
        </w:rPr>
        <w:t>Promoción</w:t>
      </w:r>
      <w:r>
        <w:rPr>
          <w:color w:val="803108"/>
          <w:spacing w:val="-1"/>
          <w:w w:val="105"/>
          <w:sz w:val="14"/>
        </w:rPr>
        <w:t xml:space="preserve"> </w:t>
      </w:r>
      <w:r>
        <w:rPr>
          <w:color w:val="803108"/>
          <w:w w:val="105"/>
          <w:sz w:val="14"/>
        </w:rPr>
        <w:t>del acceso de las</w:t>
      </w:r>
      <w:r>
        <w:rPr>
          <w:color w:val="803108"/>
          <w:spacing w:val="-1"/>
          <w:w w:val="105"/>
          <w:sz w:val="14"/>
        </w:rPr>
        <w:t xml:space="preserve"> </w:t>
      </w:r>
      <w:r>
        <w:rPr>
          <w:color w:val="803108"/>
          <w:w w:val="105"/>
          <w:sz w:val="14"/>
        </w:rPr>
        <w:t>personas</w:t>
      </w:r>
      <w:r>
        <w:rPr>
          <w:color w:val="803108"/>
          <w:spacing w:val="-1"/>
          <w:w w:val="105"/>
          <w:sz w:val="14"/>
        </w:rPr>
        <w:t xml:space="preserve"> </w:t>
      </w:r>
      <w:r>
        <w:rPr>
          <w:color w:val="803108"/>
          <w:w w:val="105"/>
          <w:sz w:val="14"/>
        </w:rPr>
        <w:t>pertenecientes</w:t>
      </w:r>
      <w:r>
        <w:rPr>
          <w:color w:val="803108"/>
          <w:spacing w:val="-1"/>
          <w:w w:val="105"/>
          <w:sz w:val="14"/>
        </w:rPr>
        <w:t xml:space="preserve"> </w:t>
      </w:r>
      <w:r>
        <w:rPr>
          <w:color w:val="803108"/>
          <w:w w:val="105"/>
          <w:sz w:val="14"/>
        </w:rPr>
        <w:t>a minorías</w:t>
      </w:r>
      <w:r>
        <w:rPr>
          <w:color w:val="803108"/>
          <w:spacing w:val="-1"/>
          <w:w w:val="105"/>
          <w:sz w:val="14"/>
        </w:rPr>
        <w:t xml:space="preserve"> </w:t>
      </w:r>
      <w:r>
        <w:rPr>
          <w:color w:val="803108"/>
          <w:w w:val="105"/>
          <w:sz w:val="14"/>
        </w:rPr>
        <w:t>a los</w:t>
      </w:r>
      <w:r>
        <w:rPr>
          <w:color w:val="803108"/>
          <w:spacing w:val="-1"/>
          <w:w w:val="105"/>
          <w:sz w:val="14"/>
        </w:rPr>
        <w:t xml:space="preserve"> </w:t>
      </w:r>
      <w:r>
        <w:rPr>
          <w:color w:val="803108"/>
          <w:w w:val="105"/>
          <w:sz w:val="14"/>
        </w:rPr>
        <w:t>servicios</w:t>
      </w:r>
      <w:r>
        <w:rPr>
          <w:color w:val="803108"/>
          <w:spacing w:val="-1"/>
          <w:w w:val="105"/>
          <w:sz w:val="14"/>
        </w:rPr>
        <w:t xml:space="preserve"> </w:t>
      </w:r>
      <w:r>
        <w:rPr>
          <w:color w:val="803108"/>
          <w:w w:val="105"/>
          <w:sz w:val="14"/>
        </w:rPr>
        <w:t>administrativos, jurídicos</w:t>
      </w:r>
      <w:r>
        <w:rPr>
          <w:color w:val="803108"/>
          <w:spacing w:val="-1"/>
          <w:w w:val="105"/>
          <w:sz w:val="14"/>
        </w:rPr>
        <w:t xml:space="preserve"> </w:t>
      </w:r>
      <w:r>
        <w:rPr>
          <w:color w:val="803108"/>
          <w:w w:val="105"/>
          <w:sz w:val="14"/>
        </w:rPr>
        <w:t>y de salud considerando</w:t>
      </w:r>
      <w:r>
        <w:rPr>
          <w:color w:val="803108"/>
          <w:spacing w:val="-1"/>
          <w:w w:val="105"/>
          <w:sz w:val="14"/>
        </w:rPr>
        <w:t xml:space="preserve"> </w:t>
      </w:r>
      <w:r>
        <w:rPr>
          <w:color w:val="803108"/>
          <w:w w:val="105"/>
          <w:sz w:val="14"/>
        </w:rPr>
        <w:t>la</w:t>
      </w:r>
      <w:r>
        <w:rPr>
          <w:color w:val="803108"/>
          <w:spacing w:val="-1"/>
          <w:w w:val="105"/>
          <w:sz w:val="14"/>
        </w:rPr>
        <w:t xml:space="preserve"> </w:t>
      </w:r>
      <w:r>
        <w:rPr>
          <w:color w:val="803108"/>
          <w:w w:val="105"/>
          <w:sz w:val="14"/>
        </w:rPr>
        <w:t>posibilidad</w:t>
      </w:r>
      <w:r>
        <w:rPr>
          <w:color w:val="803108"/>
          <w:spacing w:val="-1"/>
          <w:w w:val="105"/>
          <w:sz w:val="14"/>
        </w:rPr>
        <w:t xml:space="preserve"> </w:t>
      </w:r>
      <w:r>
        <w:rPr>
          <w:color w:val="803108"/>
          <w:w w:val="105"/>
          <w:sz w:val="14"/>
        </w:rPr>
        <w:t>de</w:t>
      </w:r>
      <w:r>
        <w:rPr>
          <w:color w:val="803108"/>
          <w:spacing w:val="-1"/>
          <w:w w:val="105"/>
          <w:sz w:val="14"/>
        </w:rPr>
        <w:t xml:space="preserve"> </w:t>
      </w:r>
      <w:r>
        <w:rPr>
          <w:color w:val="803108"/>
          <w:w w:val="105"/>
          <w:sz w:val="14"/>
        </w:rPr>
        <w:t>ofrecerlos</w:t>
      </w:r>
      <w:r>
        <w:rPr>
          <w:color w:val="803108"/>
          <w:spacing w:val="-2"/>
          <w:w w:val="105"/>
          <w:sz w:val="14"/>
        </w:rPr>
        <w:t xml:space="preserve"> </w:t>
      </w:r>
      <w:r>
        <w:rPr>
          <w:color w:val="803108"/>
          <w:w w:val="105"/>
          <w:sz w:val="14"/>
        </w:rPr>
        <w:t>también</w:t>
      </w:r>
      <w:r>
        <w:rPr>
          <w:color w:val="803108"/>
          <w:spacing w:val="-2"/>
          <w:w w:val="105"/>
          <w:sz w:val="14"/>
        </w:rPr>
        <w:t xml:space="preserve"> </w:t>
      </w:r>
      <w:r>
        <w:rPr>
          <w:color w:val="803108"/>
          <w:w w:val="105"/>
          <w:sz w:val="14"/>
        </w:rPr>
        <w:t>en</w:t>
      </w:r>
      <w:r>
        <w:rPr>
          <w:color w:val="803108"/>
          <w:spacing w:val="-1"/>
          <w:w w:val="105"/>
          <w:sz w:val="14"/>
        </w:rPr>
        <w:t xml:space="preserve"> </w:t>
      </w:r>
      <w:r>
        <w:rPr>
          <w:color w:val="803108"/>
          <w:w w:val="105"/>
          <w:sz w:val="14"/>
        </w:rPr>
        <w:t>lenguas</w:t>
      </w:r>
      <w:r>
        <w:rPr>
          <w:color w:val="803108"/>
          <w:spacing w:val="-2"/>
          <w:w w:val="105"/>
          <w:sz w:val="14"/>
        </w:rPr>
        <w:t xml:space="preserve"> </w:t>
      </w:r>
      <w:r>
        <w:rPr>
          <w:color w:val="803108"/>
          <w:w w:val="105"/>
          <w:sz w:val="14"/>
        </w:rPr>
        <w:t>minoritarias;</w:t>
      </w:r>
    </w:p>
    <w:p w14:paraId="2F2A71E7" w14:textId="77777777" w:rsidR="0014798C" w:rsidRDefault="004E1F0B">
      <w:pPr>
        <w:pStyle w:val="Prrafodelista"/>
        <w:numPr>
          <w:ilvl w:val="1"/>
          <w:numId w:val="13"/>
        </w:numPr>
        <w:tabs>
          <w:tab w:val="left" w:pos="1838"/>
        </w:tabs>
        <w:spacing w:before="84"/>
        <w:ind w:left="1838" w:hanging="154"/>
        <w:rPr>
          <w:color w:val="803108"/>
          <w:sz w:val="18"/>
        </w:rPr>
      </w:pPr>
      <w:r>
        <w:rPr>
          <w:color w:val="803108"/>
          <w:spacing w:val="-2"/>
          <w:w w:val="105"/>
          <w:sz w:val="18"/>
        </w:rPr>
        <w:t>Garantizar</w:t>
      </w:r>
      <w:r>
        <w:rPr>
          <w:color w:val="803108"/>
          <w:spacing w:val="-6"/>
          <w:w w:val="105"/>
          <w:sz w:val="18"/>
        </w:rPr>
        <w:t xml:space="preserve"> </w:t>
      </w:r>
      <w:r>
        <w:rPr>
          <w:color w:val="803108"/>
          <w:spacing w:val="-2"/>
          <w:w w:val="105"/>
          <w:sz w:val="18"/>
        </w:rPr>
        <w:t>que</w:t>
      </w:r>
      <w:r>
        <w:rPr>
          <w:color w:val="803108"/>
          <w:spacing w:val="-4"/>
          <w:w w:val="105"/>
          <w:sz w:val="18"/>
        </w:rPr>
        <w:t xml:space="preserve"> </w:t>
      </w:r>
      <w:r>
        <w:rPr>
          <w:color w:val="803108"/>
          <w:spacing w:val="-2"/>
          <w:w w:val="105"/>
          <w:sz w:val="18"/>
        </w:rPr>
        <w:t>se</w:t>
      </w:r>
      <w:r>
        <w:rPr>
          <w:color w:val="803108"/>
          <w:spacing w:val="-3"/>
          <w:w w:val="105"/>
          <w:sz w:val="18"/>
        </w:rPr>
        <w:t xml:space="preserve"> </w:t>
      </w:r>
      <w:r>
        <w:rPr>
          <w:color w:val="803108"/>
          <w:spacing w:val="-2"/>
          <w:w w:val="105"/>
          <w:sz w:val="18"/>
        </w:rPr>
        <w:t>imparta</w:t>
      </w:r>
      <w:r>
        <w:rPr>
          <w:color w:val="803108"/>
          <w:spacing w:val="-4"/>
          <w:w w:val="105"/>
          <w:sz w:val="18"/>
        </w:rPr>
        <w:t xml:space="preserve"> </w:t>
      </w:r>
      <w:r>
        <w:rPr>
          <w:color w:val="803108"/>
          <w:spacing w:val="-2"/>
          <w:w w:val="105"/>
          <w:sz w:val="18"/>
        </w:rPr>
        <w:t>educación</w:t>
      </w:r>
      <w:r>
        <w:rPr>
          <w:color w:val="803108"/>
          <w:spacing w:val="-4"/>
          <w:w w:val="105"/>
          <w:sz w:val="18"/>
        </w:rPr>
        <w:t xml:space="preserve"> </w:t>
      </w:r>
      <w:r>
        <w:rPr>
          <w:color w:val="803108"/>
          <w:spacing w:val="-2"/>
          <w:w w:val="105"/>
          <w:sz w:val="18"/>
        </w:rPr>
        <w:t>en</w:t>
      </w:r>
      <w:r>
        <w:rPr>
          <w:color w:val="803108"/>
          <w:spacing w:val="-3"/>
          <w:w w:val="105"/>
          <w:sz w:val="18"/>
        </w:rPr>
        <w:t xml:space="preserve"> </w:t>
      </w:r>
      <w:r>
        <w:rPr>
          <w:color w:val="803108"/>
          <w:spacing w:val="-2"/>
          <w:w w:val="105"/>
          <w:sz w:val="18"/>
        </w:rPr>
        <w:t>lengua</w:t>
      </w:r>
      <w:r>
        <w:rPr>
          <w:color w:val="803108"/>
          <w:spacing w:val="-4"/>
          <w:w w:val="105"/>
          <w:sz w:val="18"/>
        </w:rPr>
        <w:t xml:space="preserve"> </w:t>
      </w:r>
      <w:r>
        <w:rPr>
          <w:color w:val="803108"/>
          <w:spacing w:val="-2"/>
          <w:w w:val="105"/>
          <w:sz w:val="18"/>
        </w:rPr>
        <w:t>de</w:t>
      </w:r>
      <w:r>
        <w:rPr>
          <w:color w:val="803108"/>
          <w:spacing w:val="-4"/>
          <w:w w:val="105"/>
          <w:sz w:val="18"/>
        </w:rPr>
        <w:t xml:space="preserve"> </w:t>
      </w:r>
      <w:r>
        <w:rPr>
          <w:color w:val="803108"/>
          <w:spacing w:val="-2"/>
          <w:w w:val="105"/>
          <w:sz w:val="18"/>
        </w:rPr>
        <w:t>señas</w:t>
      </w:r>
      <w:r>
        <w:rPr>
          <w:color w:val="803108"/>
          <w:spacing w:val="-3"/>
          <w:w w:val="105"/>
          <w:sz w:val="18"/>
        </w:rPr>
        <w:t xml:space="preserve"> </w:t>
      </w:r>
      <w:r>
        <w:rPr>
          <w:color w:val="803108"/>
          <w:spacing w:val="-2"/>
          <w:w w:val="105"/>
          <w:sz w:val="18"/>
        </w:rPr>
        <w:t>a</w:t>
      </w:r>
      <w:r>
        <w:rPr>
          <w:color w:val="803108"/>
          <w:spacing w:val="-4"/>
          <w:w w:val="105"/>
          <w:sz w:val="18"/>
        </w:rPr>
        <w:t xml:space="preserve"> </w:t>
      </w:r>
      <w:r>
        <w:rPr>
          <w:color w:val="803108"/>
          <w:spacing w:val="-2"/>
          <w:w w:val="105"/>
          <w:sz w:val="18"/>
        </w:rPr>
        <w:t>la</w:t>
      </w:r>
      <w:r>
        <w:rPr>
          <w:color w:val="803108"/>
          <w:spacing w:val="-4"/>
          <w:w w:val="105"/>
          <w:sz w:val="18"/>
        </w:rPr>
        <w:t xml:space="preserve"> </w:t>
      </w:r>
      <w:r>
        <w:rPr>
          <w:color w:val="803108"/>
          <w:spacing w:val="-2"/>
          <w:w w:val="105"/>
          <w:sz w:val="18"/>
        </w:rPr>
        <w:t>comunidad</w:t>
      </w:r>
      <w:r>
        <w:rPr>
          <w:color w:val="803108"/>
          <w:spacing w:val="-3"/>
          <w:w w:val="105"/>
          <w:sz w:val="18"/>
        </w:rPr>
        <w:t xml:space="preserve"> </w:t>
      </w:r>
      <w:r>
        <w:rPr>
          <w:color w:val="803108"/>
          <w:spacing w:val="-2"/>
          <w:w w:val="105"/>
          <w:sz w:val="18"/>
        </w:rPr>
        <w:t>sorda</w:t>
      </w:r>
      <w:r>
        <w:rPr>
          <w:color w:val="803108"/>
          <w:spacing w:val="-4"/>
          <w:w w:val="105"/>
          <w:sz w:val="18"/>
        </w:rPr>
        <w:t xml:space="preserve"> </w:t>
      </w:r>
      <w:r>
        <w:rPr>
          <w:color w:val="803108"/>
          <w:spacing w:val="-2"/>
          <w:w w:val="105"/>
          <w:sz w:val="18"/>
        </w:rPr>
        <w:t>cuando</w:t>
      </w:r>
      <w:r>
        <w:rPr>
          <w:color w:val="803108"/>
          <w:spacing w:val="-4"/>
          <w:w w:val="105"/>
          <w:sz w:val="18"/>
        </w:rPr>
        <w:t xml:space="preserve"> </w:t>
      </w:r>
      <w:r>
        <w:rPr>
          <w:color w:val="803108"/>
          <w:spacing w:val="-2"/>
          <w:w w:val="105"/>
          <w:sz w:val="18"/>
        </w:rPr>
        <w:t>sea</w:t>
      </w:r>
      <w:r>
        <w:rPr>
          <w:color w:val="803108"/>
          <w:spacing w:val="-3"/>
          <w:w w:val="105"/>
          <w:sz w:val="18"/>
        </w:rPr>
        <w:t xml:space="preserve"> </w:t>
      </w:r>
      <w:r>
        <w:rPr>
          <w:color w:val="803108"/>
          <w:spacing w:val="-2"/>
          <w:w w:val="105"/>
          <w:sz w:val="18"/>
        </w:rPr>
        <w:t>posible.</w:t>
      </w:r>
    </w:p>
    <w:p w14:paraId="0A608669" w14:textId="77777777" w:rsidR="0014798C" w:rsidRDefault="004E1F0B">
      <w:pPr>
        <w:spacing w:before="73"/>
        <w:ind w:left="2012"/>
        <w:rPr>
          <w:sz w:val="14"/>
        </w:rPr>
      </w:pPr>
      <w:r>
        <w:rPr>
          <w:color w:val="803108"/>
          <w:spacing w:val="-2"/>
          <w:sz w:val="14"/>
        </w:rPr>
        <w:t>practicable;</w:t>
      </w:r>
    </w:p>
    <w:p w14:paraId="3411154E" w14:textId="77777777" w:rsidR="0014798C" w:rsidRDefault="0014798C">
      <w:pPr>
        <w:pStyle w:val="Textoindependiente"/>
        <w:spacing w:before="41"/>
        <w:rPr>
          <w:sz w:val="14"/>
        </w:rPr>
      </w:pPr>
    </w:p>
    <w:p w14:paraId="0E6B1CCB" w14:textId="77777777" w:rsidR="0014798C" w:rsidRDefault="004E1F0B">
      <w:pPr>
        <w:pStyle w:val="Prrafodelista"/>
        <w:numPr>
          <w:ilvl w:val="1"/>
          <w:numId w:val="13"/>
        </w:numPr>
        <w:tabs>
          <w:tab w:val="left" w:pos="1805"/>
          <w:tab w:val="left" w:pos="2014"/>
        </w:tabs>
        <w:spacing w:line="372" w:lineRule="auto"/>
        <w:ind w:right="3998" w:hanging="331"/>
        <w:rPr>
          <w:color w:val="803108"/>
          <w:sz w:val="14"/>
        </w:rPr>
      </w:pPr>
      <w:r>
        <w:rPr>
          <w:noProof/>
        </w:rPr>
        <w:drawing>
          <wp:anchor distT="0" distB="0" distL="0" distR="0" simplePos="0" relativeHeight="251658473" behindDoc="1" locked="0" layoutInCell="1" allowOverlap="1" wp14:anchorId="5C3E17B7" wp14:editId="5520B600">
            <wp:simplePos x="0" y="0"/>
            <wp:positionH relativeFrom="page">
              <wp:posOffset>826632</wp:posOffset>
            </wp:positionH>
            <wp:positionV relativeFrom="paragraph">
              <wp:posOffset>272214</wp:posOffset>
            </wp:positionV>
            <wp:extent cx="6729867" cy="5504357"/>
            <wp:effectExtent l="0" t="0" r="0" b="0"/>
            <wp:wrapNone/>
            <wp:docPr id="322" name="Image 32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22" name="Image 322"/>
                    <pic:cNvPicPr/>
                  </pic:nvPicPr>
                  <pic:blipFill>
                    <a:blip r:embed="rId301" cstate="print"/>
                    <a:stretch>
                      <a:fillRect/>
                    </a:stretch>
                  </pic:blipFill>
                  <pic:spPr>
                    <a:xfrm>
                      <a:off x="0" y="0"/>
                      <a:ext cx="6729867" cy="5504357"/>
                    </a:xfrm>
                    <a:prstGeom prst="rect">
                      <a:avLst/>
                    </a:prstGeom>
                  </pic:spPr>
                </pic:pic>
              </a:graphicData>
            </a:graphic>
          </wp:anchor>
        </w:drawing>
      </w:r>
      <w:r>
        <w:rPr>
          <w:color w:val="803108"/>
          <w:w w:val="105"/>
          <w:sz w:val="14"/>
        </w:rPr>
        <w:t>Desarrollar</w:t>
      </w:r>
      <w:r>
        <w:rPr>
          <w:color w:val="803108"/>
          <w:spacing w:val="-2"/>
          <w:w w:val="105"/>
          <w:sz w:val="14"/>
        </w:rPr>
        <w:t xml:space="preserve"> </w:t>
      </w:r>
      <w:r>
        <w:rPr>
          <w:color w:val="803108"/>
          <w:w w:val="105"/>
          <w:sz w:val="14"/>
        </w:rPr>
        <w:t>y</w:t>
      </w:r>
      <w:r>
        <w:rPr>
          <w:color w:val="803108"/>
          <w:spacing w:val="-1"/>
          <w:w w:val="105"/>
          <w:sz w:val="14"/>
        </w:rPr>
        <w:t xml:space="preserve"> </w:t>
      </w:r>
      <w:r>
        <w:rPr>
          <w:color w:val="803108"/>
          <w:w w:val="105"/>
          <w:sz w:val="14"/>
        </w:rPr>
        <w:t>financiar</w:t>
      </w:r>
      <w:r>
        <w:rPr>
          <w:color w:val="803108"/>
          <w:spacing w:val="-2"/>
          <w:w w:val="105"/>
          <w:sz w:val="14"/>
        </w:rPr>
        <w:t xml:space="preserve"> </w:t>
      </w:r>
      <w:r>
        <w:rPr>
          <w:color w:val="803108"/>
          <w:w w:val="105"/>
          <w:sz w:val="14"/>
        </w:rPr>
        <w:t>programas</w:t>
      </w:r>
      <w:r>
        <w:rPr>
          <w:color w:val="803108"/>
          <w:spacing w:val="-2"/>
          <w:w w:val="105"/>
          <w:sz w:val="14"/>
        </w:rPr>
        <w:t xml:space="preserve"> </w:t>
      </w:r>
      <w:r>
        <w:rPr>
          <w:color w:val="803108"/>
          <w:w w:val="105"/>
          <w:sz w:val="14"/>
        </w:rPr>
        <w:t>para</w:t>
      </w:r>
      <w:r>
        <w:rPr>
          <w:color w:val="803108"/>
          <w:spacing w:val="-1"/>
          <w:w w:val="105"/>
          <w:sz w:val="14"/>
        </w:rPr>
        <w:t xml:space="preserve"> </w:t>
      </w:r>
      <w:r>
        <w:rPr>
          <w:color w:val="803108"/>
          <w:w w:val="105"/>
          <w:sz w:val="14"/>
        </w:rPr>
        <w:t>el</w:t>
      </w:r>
      <w:r>
        <w:rPr>
          <w:color w:val="803108"/>
          <w:spacing w:val="-1"/>
          <w:w w:val="105"/>
          <w:sz w:val="14"/>
        </w:rPr>
        <w:t xml:space="preserve"> </w:t>
      </w:r>
      <w:r>
        <w:rPr>
          <w:color w:val="803108"/>
          <w:w w:val="105"/>
          <w:sz w:val="14"/>
        </w:rPr>
        <w:t>desarrollo</w:t>
      </w:r>
      <w:r>
        <w:rPr>
          <w:color w:val="803108"/>
          <w:spacing w:val="-1"/>
          <w:w w:val="105"/>
          <w:sz w:val="14"/>
        </w:rPr>
        <w:t xml:space="preserve"> </w:t>
      </w:r>
      <w:r>
        <w:rPr>
          <w:color w:val="803108"/>
          <w:w w:val="105"/>
          <w:sz w:val="14"/>
        </w:rPr>
        <w:t>y</w:t>
      </w:r>
      <w:r>
        <w:rPr>
          <w:color w:val="803108"/>
          <w:spacing w:val="-1"/>
          <w:w w:val="105"/>
          <w:sz w:val="14"/>
        </w:rPr>
        <w:t xml:space="preserve"> </w:t>
      </w:r>
      <w:r>
        <w:rPr>
          <w:color w:val="803108"/>
          <w:w w:val="105"/>
          <w:sz w:val="14"/>
        </w:rPr>
        <w:t>la</w:t>
      </w:r>
      <w:r>
        <w:rPr>
          <w:color w:val="803108"/>
          <w:spacing w:val="-1"/>
          <w:w w:val="105"/>
          <w:sz w:val="14"/>
        </w:rPr>
        <w:t xml:space="preserve"> </w:t>
      </w:r>
      <w:r>
        <w:rPr>
          <w:color w:val="803108"/>
          <w:w w:val="105"/>
          <w:sz w:val="14"/>
        </w:rPr>
        <w:t>formación</w:t>
      </w:r>
      <w:r>
        <w:rPr>
          <w:color w:val="803108"/>
          <w:spacing w:val="-2"/>
          <w:w w:val="105"/>
          <w:sz w:val="14"/>
        </w:rPr>
        <w:t xml:space="preserve"> </w:t>
      </w:r>
      <w:r>
        <w:rPr>
          <w:color w:val="803108"/>
          <w:w w:val="105"/>
          <w:sz w:val="14"/>
        </w:rPr>
        <w:t>de</w:t>
      </w:r>
      <w:r>
        <w:rPr>
          <w:color w:val="803108"/>
          <w:spacing w:val="-1"/>
          <w:w w:val="105"/>
          <w:sz w:val="14"/>
        </w:rPr>
        <w:t xml:space="preserve"> </w:t>
      </w:r>
      <w:r>
        <w:rPr>
          <w:color w:val="803108"/>
          <w:w w:val="105"/>
          <w:sz w:val="14"/>
        </w:rPr>
        <w:t>lenguas</w:t>
      </w:r>
      <w:r>
        <w:rPr>
          <w:color w:val="803108"/>
          <w:spacing w:val="-2"/>
          <w:w w:val="105"/>
          <w:sz w:val="14"/>
        </w:rPr>
        <w:t xml:space="preserve"> </w:t>
      </w:r>
      <w:r>
        <w:rPr>
          <w:color w:val="803108"/>
          <w:w w:val="105"/>
          <w:sz w:val="14"/>
        </w:rPr>
        <w:t>minoritarias docentes y promover dichos programas entre las comunidades minoritarias;</w:t>
      </w:r>
    </w:p>
    <w:p w14:paraId="3E3C47DA" w14:textId="77777777" w:rsidR="0014798C" w:rsidRDefault="004E1F0B">
      <w:pPr>
        <w:pStyle w:val="Prrafodelista"/>
        <w:numPr>
          <w:ilvl w:val="1"/>
          <w:numId w:val="13"/>
        </w:numPr>
        <w:tabs>
          <w:tab w:val="left" w:pos="312"/>
        </w:tabs>
        <w:spacing w:before="81"/>
        <w:ind w:left="312" w:hanging="197"/>
        <w:jc w:val="center"/>
        <w:rPr>
          <w:color w:val="803108"/>
          <w:sz w:val="18"/>
        </w:rPr>
      </w:pPr>
      <w:r>
        <w:rPr>
          <w:color w:val="803108"/>
          <w:sz w:val="18"/>
        </w:rPr>
        <w:t>Asignar</w:t>
      </w:r>
      <w:r>
        <w:rPr>
          <w:color w:val="803108"/>
          <w:spacing w:val="-8"/>
          <w:sz w:val="18"/>
        </w:rPr>
        <w:t xml:space="preserve"> </w:t>
      </w:r>
      <w:r>
        <w:rPr>
          <w:color w:val="803108"/>
          <w:sz w:val="18"/>
        </w:rPr>
        <w:t>los</w:t>
      </w:r>
      <w:r>
        <w:rPr>
          <w:color w:val="803108"/>
          <w:spacing w:val="-7"/>
          <w:sz w:val="18"/>
        </w:rPr>
        <w:t xml:space="preserve"> </w:t>
      </w:r>
      <w:r>
        <w:rPr>
          <w:color w:val="803108"/>
          <w:sz w:val="18"/>
        </w:rPr>
        <w:t>recursos</w:t>
      </w:r>
      <w:r>
        <w:rPr>
          <w:color w:val="803108"/>
          <w:spacing w:val="-7"/>
          <w:sz w:val="18"/>
        </w:rPr>
        <w:t xml:space="preserve"> </w:t>
      </w:r>
      <w:r>
        <w:rPr>
          <w:color w:val="803108"/>
          <w:sz w:val="18"/>
        </w:rPr>
        <w:t>necesarios</w:t>
      </w:r>
      <w:r>
        <w:rPr>
          <w:color w:val="803108"/>
          <w:spacing w:val="-7"/>
          <w:sz w:val="18"/>
        </w:rPr>
        <w:t xml:space="preserve"> </w:t>
      </w:r>
      <w:r>
        <w:rPr>
          <w:color w:val="803108"/>
          <w:sz w:val="18"/>
        </w:rPr>
        <w:t>para</w:t>
      </w:r>
      <w:r>
        <w:rPr>
          <w:color w:val="803108"/>
          <w:spacing w:val="-7"/>
          <w:sz w:val="18"/>
        </w:rPr>
        <w:t xml:space="preserve"> </w:t>
      </w:r>
      <w:r>
        <w:rPr>
          <w:color w:val="803108"/>
          <w:sz w:val="18"/>
        </w:rPr>
        <w:t>promover</w:t>
      </w:r>
      <w:r>
        <w:rPr>
          <w:color w:val="803108"/>
          <w:spacing w:val="-7"/>
          <w:sz w:val="18"/>
        </w:rPr>
        <w:t xml:space="preserve"> </w:t>
      </w:r>
      <w:r>
        <w:rPr>
          <w:color w:val="803108"/>
          <w:sz w:val="18"/>
        </w:rPr>
        <w:t>el</w:t>
      </w:r>
      <w:r>
        <w:rPr>
          <w:color w:val="803108"/>
          <w:spacing w:val="-7"/>
          <w:sz w:val="18"/>
        </w:rPr>
        <w:t xml:space="preserve"> </w:t>
      </w:r>
      <w:r>
        <w:rPr>
          <w:color w:val="803108"/>
          <w:sz w:val="18"/>
        </w:rPr>
        <w:t>acceso</w:t>
      </w:r>
      <w:r>
        <w:rPr>
          <w:color w:val="803108"/>
          <w:spacing w:val="-7"/>
          <w:sz w:val="18"/>
        </w:rPr>
        <w:t xml:space="preserve"> </w:t>
      </w:r>
      <w:r>
        <w:rPr>
          <w:color w:val="803108"/>
          <w:sz w:val="18"/>
        </w:rPr>
        <w:t>a</w:t>
      </w:r>
      <w:r>
        <w:rPr>
          <w:color w:val="803108"/>
          <w:spacing w:val="-7"/>
          <w:sz w:val="18"/>
        </w:rPr>
        <w:t xml:space="preserve"> </w:t>
      </w:r>
      <w:r>
        <w:rPr>
          <w:color w:val="803108"/>
          <w:sz w:val="18"/>
        </w:rPr>
        <w:t>la</w:t>
      </w:r>
      <w:r>
        <w:rPr>
          <w:color w:val="803108"/>
          <w:spacing w:val="-7"/>
          <w:sz w:val="18"/>
        </w:rPr>
        <w:t xml:space="preserve"> </w:t>
      </w:r>
      <w:r>
        <w:rPr>
          <w:color w:val="803108"/>
          <w:sz w:val="18"/>
        </w:rPr>
        <w:t>educación</w:t>
      </w:r>
      <w:r>
        <w:rPr>
          <w:color w:val="803108"/>
          <w:spacing w:val="-7"/>
          <w:sz w:val="18"/>
        </w:rPr>
        <w:t xml:space="preserve"> </w:t>
      </w:r>
      <w:r>
        <w:rPr>
          <w:color w:val="803108"/>
          <w:sz w:val="18"/>
        </w:rPr>
        <w:t>y</w:t>
      </w:r>
      <w:r>
        <w:rPr>
          <w:color w:val="803108"/>
          <w:spacing w:val="-7"/>
          <w:sz w:val="18"/>
        </w:rPr>
        <w:t xml:space="preserve"> </w:t>
      </w:r>
      <w:r>
        <w:rPr>
          <w:color w:val="803108"/>
          <w:sz w:val="18"/>
        </w:rPr>
        <w:t>la</w:t>
      </w:r>
      <w:r>
        <w:rPr>
          <w:color w:val="803108"/>
          <w:spacing w:val="-7"/>
          <w:sz w:val="18"/>
        </w:rPr>
        <w:t xml:space="preserve"> </w:t>
      </w:r>
      <w:r>
        <w:rPr>
          <w:color w:val="803108"/>
          <w:sz w:val="18"/>
        </w:rPr>
        <w:t>enseñanza</w:t>
      </w:r>
      <w:r>
        <w:rPr>
          <w:color w:val="803108"/>
          <w:spacing w:val="-7"/>
          <w:sz w:val="18"/>
        </w:rPr>
        <w:t xml:space="preserve"> </w:t>
      </w:r>
      <w:r>
        <w:rPr>
          <w:color w:val="803108"/>
          <w:sz w:val="18"/>
        </w:rPr>
        <w:t>de</w:t>
      </w:r>
      <w:r>
        <w:rPr>
          <w:color w:val="803108"/>
          <w:spacing w:val="-7"/>
          <w:sz w:val="18"/>
        </w:rPr>
        <w:t xml:space="preserve"> </w:t>
      </w:r>
      <w:r>
        <w:rPr>
          <w:color w:val="803108"/>
          <w:sz w:val="18"/>
        </w:rPr>
        <w:t>las</w:t>
      </w:r>
      <w:r>
        <w:rPr>
          <w:color w:val="803108"/>
          <w:spacing w:val="-7"/>
          <w:sz w:val="18"/>
        </w:rPr>
        <w:t xml:space="preserve"> </w:t>
      </w:r>
      <w:r>
        <w:rPr>
          <w:color w:val="803108"/>
          <w:spacing w:val="-2"/>
          <w:sz w:val="18"/>
        </w:rPr>
        <w:t>minorías</w:t>
      </w:r>
    </w:p>
    <w:p w14:paraId="299D4133" w14:textId="77777777" w:rsidR="0014798C" w:rsidRDefault="004E1F0B">
      <w:pPr>
        <w:spacing w:before="75"/>
        <w:ind w:left="2014"/>
        <w:rPr>
          <w:sz w:val="14"/>
        </w:rPr>
      </w:pPr>
      <w:r>
        <w:rPr>
          <w:color w:val="803108"/>
          <w:spacing w:val="-2"/>
          <w:sz w:val="14"/>
        </w:rPr>
        <w:t>idiomas;</w:t>
      </w:r>
    </w:p>
    <w:p w14:paraId="10DB148D" w14:textId="77777777" w:rsidR="0014798C" w:rsidRDefault="0014798C">
      <w:pPr>
        <w:pStyle w:val="Textoindependiente"/>
        <w:spacing w:before="41"/>
        <w:rPr>
          <w:sz w:val="14"/>
        </w:rPr>
      </w:pPr>
    </w:p>
    <w:p w14:paraId="3FB02297" w14:textId="77777777" w:rsidR="0014798C" w:rsidRDefault="004E1F0B">
      <w:pPr>
        <w:pStyle w:val="Prrafodelista"/>
        <w:numPr>
          <w:ilvl w:val="1"/>
          <w:numId w:val="13"/>
        </w:numPr>
        <w:tabs>
          <w:tab w:val="left" w:pos="1805"/>
          <w:tab w:val="left" w:pos="2012"/>
        </w:tabs>
        <w:spacing w:line="372" w:lineRule="auto"/>
        <w:ind w:left="2012" w:right="1692" w:hanging="329"/>
        <w:rPr>
          <w:color w:val="803108"/>
          <w:sz w:val="14"/>
        </w:rPr>
      </w:pPr>
      <w:r>
        <w:rPr>
          <w:noProof/>
        </w:rPr>
        <mc:AlternateContent>
          <mc:Choice Requires="wps">
            <w:drawing>
              <wp:anchor distT="0" distB="0" distL="0" distR="0" simplePos="0" relativeHeight="251658322" behindDoc="0" locked="0" layoutInCell="1" allowOverlap="1" wp14:anchorId="62F2F4C4" wp14:editId="1DA4EA15">
                <wp:simplePos x="0" y="0"/>
                <wp:positionH relativeFrom="page">
                  <wp:posOffset>7293418</wp:posOffset>
                </wp:positionH>
                <wp:positionV relativeFrom="paragraph">
                  <wp:posOffset>104797</wp:posOffset>
                </wp:positionV>
                <wp:extent cx="104775" cy="260985"/>
                <wp:effectExtent l="0" t="0" r="0" b="0"/>
                <wp:wrapNone/>
                <wp:docPr id="323" name="Textbox 32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04775" cy="260985"/>
                        </a:xfrm>
                        <a:prstGeom prst="rect">
                          <a:avLst/>
                        </a:prstGeom>
                      </wps:spPr>
                      <wps:txbx>
                        <w:txbxContent>
                          <w:p w14:paraId="0BA42B37" w14:textId="77777777" w:rsidR="0014798C" w:rsidRDefault="004E1F0B">
                            <w:pPr>
                              <w:spacing w:before="17"/>
                              <w:ind w:left="20"/>
                              <w:rPr>
                                <w:sz w:val="11"/>
                              </w:rPr>
                            </w:pPr>
                            <w:r>
                              <w:rPr>
                                <w:color w:val="FFFFFF"/>
                                <w:spacing w:val="-33"/>
                                <w:sz w:val="11"/>
                              </w:rPr>
                              <w:t>TPRAERSTE</w:t>
                            </w:r>
                          </w:p>
                        </w:txbxContent>
                      </wps:txbx>
                      <wps:bodyPr vert="vert270" wrap="square" lIns="0" tIns="0" rIns="0" bIns="0" rtlCol="0">
                        <a:noAutofit/>
                      </wps:bodyPr>
                    </wps:wsp>
                  </a:graphicData>
                </a:graphic>
              </wp:anchor>
            </w:drawing>
          </mc:Choice>
          <mc:Fallback>
            <w:pict>
              <v:shape w14:anchorId="62F2F4C4" id="Textbox 323" o:spid="_x0000_s1158" type="#_x0000_t202" style="position:absolute;left:0;text-align:left;margin-left:574.3pt;margin-top:8.25pt;width:8.25pt;height:20.55pt;z-index:251658322;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" filled="f" stroked="f">
                <v:textbox style="layout-flow:vertical;mso-layout-flow-alt:bottom-to-top" inset="0,0,0,0">
                  <w:txbxContent>
                    <w:p w14:paraId="0BA42B37" w14:textId="77777777" w:rsidR="0014798C" w:rsidRDefault="004E1F0B">
                      <w:pPr>
                        <w:spacing w:before="17"/>
                        <w:ind w:left="20"/>
                        <w:rPr>
                          <w:sz w:val="11"/>
                        </w:rPr>
                      </w:pPr>
                      <w:r>
                        <w:rPr>
                          <w:color w:val="FFFFFF"/>
                          <w:spacing w:val="-33"/>
                          <w:sz w:val="11"/>
                        </w:rPr>
                        <w:t>TPRAERSTE</w:t>
                      </w:r>
                    </w:p>
                  </w:txbxContent>
                </v:textbox>
                <w10:wrap anchorx="page"/>
              </v:shape>
            </w:pict>
          </mc:Fallback>
        </mc:AlternateContent>
      </w:r>
      <w:r>
        <w:rPr>
          <w:color w:val="803108"/>
          <w:w w:val="105"/>
          <w:sz w:val="14"/>
        </w:rPr>
        <w:t>Velar</w:t>
      </w:r>
      <w:r>
        <w:rPr>
          <w:color w:val="803108"/>
          <w:spacing w:val="-1"/>
          <w:w w:val="105"/>
          <w:sz w:val="14"/>
        </w:rPr>
        <w:t xml:space="preserve"> </w:t>
      </w:r>
      <w:r>
        <w:rPr>
          <w:color w:val="803108"/>
          <w:w w:val="105"/>
          <w:sz w:val="14"/>
        </w:rPr>
        <w:t>por</w:t>
      </w:r>
      <w:r>
        <w:rPr>
          <w:color w:val="803108"/>
          <w:spacing w:val="-1"/>
          <w:w w:val="105"/>
          <w:sz w:val="14"/>
        </w:rPr>
        <w:t xml:space="preserve"> </w:t>
      </w:r>
      <w:r>
        <w:rPr>
          <w:color w:val="803108"/>
          <w:w w:val="105"/>
          <w:sz w:val="14"/>
        </w:rPr>
        <w:t>que los</w:t>
      </w:r>
      <w:r>
        <w:rPr>
          <w:color w:val="803108"/>
          <w:spacing w:val="-1"/>
          <w:w w:val="105"/>
          <w:sz w:val="14"/>
        </w:rPr>
        <w:t xml:space="preserve"> </w:t>
      </w:r>
      <w:r>
        <w:rPr>
          <w:color w:val="803108"/>
          <w:w w:val="105"/>
          <w:sz w:val="14"/>
        </w:rPr>
        <w:t>planes</w:t>
      </w:r>
      <w:r>
        <w:rPr>
          <w:color w:val="803108"/>
          <w:spacing w:val="-1"/>
          <w:w w:val="105"/>
          <w:sz w:val="14"/>
        </w:rPr>
        <w:t xml:space="preserve"> </w:t>
      </w:r>
      <w:r>
        <w:rPr>
          <w:color w:val="803108"/>
          <w:w w:val="105"/>
          <w:sz w:val="14"/>
        </w:rPr>
        <w:t>de estudios</w:t>
      </w:r>
      <w:r>
        <w:rPr>
          <w:color w:val="803108"/>
          <w:spacing w:val="-1"/>
          <w:w w:val="105"/>
          <w:sz w:val="14"/>
        </w:rPr>
        <w:t xml:space="preserve"> </w:t>
      </w:r>
      <w:r>
        <w:rPr>
          <w:color w:val="803108"/>
          <w:w w:val="105"/>
          <w:sz w:val="14"/>
        </w:rPr>
        <w:t>educativos</w:t>
      </w:r>
      <w:r>
        <w:rPr>
          <w:color w:val="803108"/>
          <w:spacing w:val="-1"/>
          <w:w w:val="105"/>
          <w:sz w:val="14"/>
        </w:rPr>
        <w:t xml:space="preserve"> </w:t>
      </w:r>
      <w:r>
        <w:rPr>
          <w:color w:val="803108"/>
          <w:w w:val="105"/>
          <w:sz w:val="14"/>
        </w:rPr>
        <w:t>no incluyan materiales</w:t>
      </w:r>
      <w:r>
        <w:rPr>
          <w:color w:val="803108"/>
          <w:spacing w:val="-1"/>
          <w:w w:val="105"/>
          <w:sz w:val="14"/>
        </w:rPr>
        <w:t xml:space="preserve"> </w:t>
      </w:r>
      <w:r>
        <w:rPr>
          <w:color w:val="803108"/>
          <w:w w:val="105"/>
          <w:sz w:val="14"/>
        </w:rPr>
        <w:t>que estereotipen</w:t>
      </w:r>
      <w:r>
        <w:rPr>
          <w:color w:val="803108"/>
          <w:spacing w:val="-1"/>
          <w:w w:val="105"/>
          <w:sz w:val="14"/>
        </w:rPr>
        <w:t xml:space="preserve"> </w:t>
      </w:r>
      <w:r>
        <w:rPr>
          <w:color w:val="803108"/>
          <w:w w:val="105"/>
          <w:sz w:val="14"/>
        </w:rPr>
        <w:t>a las</w:t>
      </w:r>
      <w:r>
        <w:rPr>
          <w:color w:val="803108"/>
          <w:spacing w:val="-1"/>
          <w:w w:val="105"/>
          <w:sz w:val="14"/>
        </w:rPr>
        <w:t xml:space="preserve"> </w:t>
      </w:r>
      <w:r>
        <w:rPr>
          <w:color w:val="803108"/>
          <w:w w:val="105"/>
          <w:sz w:val="14"/>
        </w:rPr>
        <w:t>minorías, incluidas</w:t>
      </w:r>
      <w:r>
        <w:rPr>
          <w:color w:val="803108"/>
          <w:spacing w:val="-1"/>
          <w:w w:val="105"/>
          <w:sz w:val="14"/>
        </w:rPr>
        <w:t xml:space="preserve"> </w:t>
      </w:r>
      <w:r>
        <w:rPr>
          <w:color w:val="803108"/>
          <w:w w:val="105"/>
          <w:sz w:val="14"/>
        </w:rPr>
        <w:t>las</w:t>
      </w:r>
      <w:r>
        <w:rPr>
          <w:color w:val="803108"/>
          <w:spacing w:val="-1"/>
          <w:w w:val="105"/>
          <w:sz w:val="14"/>
        </w:rPr>
        <w:t xml:space="preserve"> </w:t>
      </w:r>
      <w:r>
        <w:rPr>
          <w:color w:val="803108"/>
          <w:w w:val="105"/>
          <w:sz w:val="14"/>
        </w:rPr>
        <w:t>mujeres y las</w:t>
      </w:r>
      <w:r>
        <w:rPr>
          <w:color w:val="803108"/>
          <w:spacing w:val="-1"/>
          <w:w w:val="105"/>
          <w:sz w:val="14"/>
        </w:rPr>
        <w:t xml:space="preserve"> </w:t>
      </w:r>
      <w:r>
        <w:rPr>
          <w:color w:val="803108"/>
          <w:w w:val="105"/>
          <w:sz w:val="14"/>
        </w:rPr>
        <w:t>niñas</w:t>
      </w:r>
      <w:r>
        <w:rPr>
          <w:color w:val="803108"/>
          <w:spacing w:val="-1"/>
          <w:w w:val="105"/>
          <w:sz w:val="14"/>
        </w:rPr>
        <w:t xml:space="preserve"> </w:t>
      </w:r>
      <w:r>
        <w:rPr>
          <w:color w:val="803108"/>
          <w:w w:val="105"/>
          <w:sz w:val="14"/>
        </w:rPr>
        <w:t>pertenecientes</w:t>
      </w:r>
      <w:r>
        <w:rPr>
          <w:color w:val="803108"/>
          <w:spacing w:val="-1"/>
          <w:w w:val="105"/>
          <w:sz w:val="14"/>
        </w:rPr>
        <w:t xml:space="preserve"> </w:t>
      </w:r>
      <w:r>
        <w:rPr>
          <w:color w:val="803108"/>
          <w:w w:val="105"/>
          <w:sz w:val="14"/>
        </w:rPr>
        <w:t>a minorías, sobre la base de su origen étnico</w:t>
      </w:r>
      <w:r>
        <w:rPr>
          <w:color w:val="803108"/>
          <w:spacing w:val="-1"/>
          <w:w w:val="105"/>
          <w:sz w:val="14"/>
        </w:rPr>
        <w:t xml:space="preserve"> </w:t>
      </w:r>
      <w:r>
        <w:rPr>
          <w:color w:val="803108"/>
          <w:w w:val="105"/>
          <w:sz w:val="14"/>
        </w:rPr>
        <w:t>o su género;</w:t>
      </w:r>
    </w:p>
    <w:p w14:paraId="632BCBA0" w14:textId="77777777" w:rsidR="0014798C" w:rsidRDefault="004E1F0B">
      <w:pPr>
        <w:pStyle w:val="Prrafodelista"/>
        <w:numPr>
          <w:ilvl w:val="1"/>
          <w:numId w:val="13"/>
        </w:numPr>
        <w:tabs>
          <w:tab w:val="left" w:pos="1896"/>
          <w:tab w:val="left" w:pos="2014"/>
        </w:tabs>
        <w:spacing w:before="114" w:line="372" w:lineRule="auto"/>
        <w:ind w:right="1675" w:hanging="331"/>
        <w:rPr>
          <w:color w:val="803108"/>
          <w:sz w:val="14"/>
        </w:rPr>
      </w:pPr>
      <w:r>
        <w:rPr>
          <w:color w:val="803108"/>
          <w:w w:val="105"/>
          <w:sz w:val="14"/>
        </w:rPr>
        <w:t>Adoptar</w:t>
      </w:r>
      <w:r>
        <w:rPr>
          <w:color w:val="803108"/>
          <w:spacing w:val="-1"/>
          <w:w w:val="105"/>
          <w:sz w:val="14"/>
        </w:rPr>
        <w:t xml:space="preserve"> </w:t>
      </w:r>
      <w:r>
        <w:rPr>
          <w:color w:val="803108"/>
          <w:w w:val="105"/>
          <w:sz w:val="14"/>
        </w:rPr>
        <w:t>todas</w:t>
      </w:r>
      <w:r>
        <w:rPr>
          <w:color w:val="803108"/>
          <w:spacing w:val="-1"/>
          <w:w w:val="105"/>
          <w:sz w:val="14"/>
        </w:rPr>
        <w:t xml:space="preserve"> </w:t>
      </w:r>
      <w:r>
        <w:rPr>
          <w:color w:val="803108"/>
          <w:w w:val="105"/>
          <w:sz w:val="14"/>
        </w:rPr>
        <w:t>las</w:t>
      </w:r>
      <w:r>
        <w:rPr>
          <w:color w:val="803108"/>
          <w:spacing w:val="-1"/>
          <w:w w:val="105"/>
          <w:sz w:val="14"/>
        </w:rPr>
        <w:t xml:space="preserve"> </w:t>
      </w:r>
      <w:r>
        <w:rPr>
          <w:color w:val="803108"/>
          <w:w w:val="105"/>
          <w:sz w:val="14"/>
        </w:rPr>
        <w:t>medidas</w:t>
      </w:r>
      <w:r>
        <w:rPr>
          <w:color w:val="803108"/>
          <w:spacing w:val="-1"/>
          <w:w w:val="105"/>
          <w:sz w:val="14"/>
        </w:rPr>
        <w:t xml:space="preserve"> </w:t>
      </w:r>
      <w:r>
        <w:rPr>
          <w:color w:val="803108"/>
          <w:w w:val="105"/>
          <w:sz w:val="14"/>
        </w:rPr>
        <w:t>necesarias</w:t>
      </w:r>
      <w:r>
        <w:rPr>
          <w:color w:val="803108"/>
          <w:spacing w:val="-1"/>
          <w:w w:val="105"/>
          <w:sz w:val="14"/>
        </w:rPr>
        <w:t xml:space="preserve"> </w:t>
      </w:r>
      <w:r>
        <w:rPr>
          <w:color w:val="803108"/>
          <w:w w:val="105"/>
          <w:sz w:val="14"/>
        </w:rPr>
        <w:t>para garantizar</w:t>
      </w:r>
      <w:r>
        <w:rPr>
          <w:color w:val="803108"/>
          <w:spacing w:val="-1"/>
          <w:w w:val="105"/>
          <w:sz w:val="14"/>
        </w:rPr>
        <w:t xml:space="preserve"> </w:t>
      </w:r>
      <w:r>
        <w:rPr>
          <w:color w:val="803108"/>
          <w:w w:val="105"/>
          <w:sz w:val="14"/>
        </w:rPr>
        <w:t>el acceso a la educación y la enseñanza de idiomas</w:t>
      </w:r>
      <w:r>
        <w:rPr>
          <w:color w:val="803108"/>
          <w:spacing w:val="-1"/>
          <w:w w:val="105"/>
          <w:sz w:val="14"/>
        </w:rPr>
        <w:t xml:space="preserve"> </w:t>
      </w:r>
      <w:r>
        <w:rPr>
          <w:color w:val="803108"/>
          <w:w w:val="105"/>
          <w:sz w:val="14"/>
        </w:rPr>
        <w:t>minoritarios</w:t>
      </w:r>
      <w:r>
        <w:rPr>
          <w:color w:val="803108"/>
          <w:spacing w:val="-1"/>
          <w:w w:val="105"/>
          <w:sz w:val="14"/>
        </w:rPr>
        <w:t xml:space="preserve"> </w:t>
      </w:r>
      <w:r>
        <w:rPr>
          <w:color w:val="803108"/>
          <w:w w:val="105"/>
          <w:sz w:val="14"/>
        </w:rPr>
        <w:t>para las mujeres y niñas de comunidades minoritarias, cuando corresponda, teniendo en cuenta las formas múltiples e interseccionales de discriminación, marginación y exclusión a las que a menudo están sometidas debido a su género y condición de minoría.1079</w:t>
      </w:r>
    </w:p>
    <w:p w14:paraId="222FB1FD" w14:textId="77777777" w:rsidR="0014798C" w:rsidRDefault="004E1F0B">
      <w:pPr>
        <w:spacing w:before="161" w:line="348" w:lineRule="auto"/>
        <w:ind w:left="1107" w:right="1463" w:firstLine="1"/>
        <w:rPr>
          <w:sz w:val="15"/>
        </w:rPr>
      </w:pPr>
      <w:r>
        <w:rPr>
          <w:sz w:val="15"/>
        </w:rPr>
        <w:t>Las cuestiones relativas a los derechos lingüísticos de las minorías han demostrado ser lo suficientemente complejas como para que el Alto Comisionado para las Minorías Nacionales de la Organización para la Seguridad y la Cooperación en Europa haya brindado orientación particular sobre aspectos de estas cuestiones.1080 A lo largo de esta y otras orientaciones, el Alto Comisionado</w:t>
      </w:r>
    </w:p>
    <w:p w14:paraId="1ACBE9DD" w14:textId="77777777" w:rsidR="0014798C" w:rsidRDefault="0014798C">
      <w:pPr>
        <w:pStyle w:val="Textoindependiente"/>
        <w:rPr>
          <w:sz w:val="14"/>
        </w:rPr>
      </w:pPr>
    </w:p>
    <w:p w14:paraId="1BD78A8B" w14:textId="77777777" w:rsidR="0014798C" w:rsidRDefault="0014798C">
      <w:pPr>
        <w:pStyle w:val="Textoindependiente"/>
        <w:spacing w:before="49"/>
        <w:rPr>
          <w:sz w:val="14"/>
        </w:rPr>
      </w:pPr>
    </w:p>
    <w:p w14:paraId="36EAC65F" w14:textId="77777777" w:rsidR="0014798C" w:rsidRDefault="004E1F0B">
      <w:pPr>
        <w:spacing w:before="1"/>
        <w:ind w:left="1679"/>
        <w:rPr>
          <w:sz w:val="14"/>
        </w:rPr>
      </w:pPr>
      <w:r>
        <w:rPr>
          <w:color w:val="803108"/>
          <w:w w:val="105"/>
          <w:sz w:val="14"/>
        </w:rPr>
        <w:t>destaca</w:t>
      </w:r>
      <w:r>
        <w:rPr>
          <w:color w:val="803108"/>
          <w:spacing w:val="-4"/>
          <w:w w:val="105"/>
          <w:sz w:val="14"/>
        </w:rPr>
        <w:t xml:space="preserve"> </w:t>
      </w:r>
      <w:r>
        <w:rPr>
          <w:color w:val="803108"/>
          <w:w w:val="105"/>
          <w:sz w:val="14"/>
        </w:rPr>
        <w:t>la</w:t>
      </w:r>
      <w:r>
        <w:rPr>
          <w:color w:val="803108"/>
          <w:spacing w:val="-2"/>
          <w:w w:val="105"/>
          <w:sz w:val="14"/>
        </w:rPr>
        <w:t xml:space="preserve"> </w:t>
      </w:r>
      <w:r>
        <w:rPr>
          <w:color w:val="803108"/>
          <w:w w:val="105"/>
          <w:sz w:val="14"/>
        </w:rPr>
        <w:t>importancia</w:t>
      </w:r>
      <w:r>
        <w:rPr>
          <w:color w:val="803108"/>
          <w:spacing w:val="-3"/>
          <w:w w:val="105"/>
          <w:sz w:val="14"/>
        </w:rPr>
        <w:t xml:space="preserve"> </w:t>
      </w:r>
      <w:r>
        <w:rPr>
          <w:color w:val="803108"/>
          <w:w w:val="105"/>
          <w:sz w:val="14"/>
        </w:rPr>
        <w:t>de</w:t>
      </w:r>
      <w:r>
        <w:rPr>
          <w:color w:val="803108"/>
          <w:spacing w:val="-3"/>
          <w:w w:val="105"/>
          <w:sz w:val="14"/>
        </w:rPr>
        <w:t xml:space="preserve"> </w:t>
      </w:r>
      <w:r>
        <w:rPr>
          <w:color w:val="803108"/>
          <w:w w:val="105"/>
          <w:sz w:val="14"/>
        </w:rPr>
        <w:t>los</w:t>
      </w:r>
      <w:r>
        <w:rPr>
          <w:color w:val="803108"/>
          <w:spacing w:val="-3"/>
          <w:w w:val="105"/>
          <w:sz w:val="14"/>
        </w:rPr>
        <w:t xml:space="preserve"> </w:t>
      </w:r>
      <w:r>
        <w:rPr>
          <w:color w:val="803108"/>
          <w:w w:val="105"/>
          <w:sz w:val="14"/>
        </w:rPr>
        <w:t>siguientes</w:t>
      </w:r>
      <w:r>
        <w:rPr>
          <w:color w:val="803108"/>
          <w:spacing w:val="-3"/>
          <w:w w:val="105"/>
          <w:sz w:val="14"/>
        </w:rPr>
        <w:t xml:space="preserve"> </w:t>
      </w:r>
      <w:r>
        <w:rPr>
          <w:color w:val="803108"/>
          <w:w w:val="105"/>
          <w:sz w:val="14"/>
        </w:rPr>
        <w:t>elementos</w:t>
      </w:r>
      <w:r>
        <w:rPr>
          <w:color w:val="803108"/>
          <w:spacing w:val="-4"/>
          <w:w w:val="105"/>
          <w:sz w:val="14"/>
        </w:rPr>
        <w:t xml:space="preserve"> </w:t>
      </w:r>
      <w:r>
        <w:rPr>
          <w:color w:val="803108"/>
          <w:w w:val="105"/>
          <w:sz w:val="14"/>
        </w:rPr>
        <w:t>para</w:t>
      </w:r>
      <w:r>
        <w:rPr>
          <w:color w:val="803108"/>
          <w:spacing w:val="-2"/>
          <w:w w:val="105"/>
          <w:sz w:val="14"/>
        </w:rPr>
        <w:t xml:space="preserve"> </w:t>
      </w:r>
      <w:r>
        <w:rPr>
          <w:color w:val="803108"/>
          <w:w w:val="105"/>
          <w:sz w:val="14"/>
        </w:rPr>
        <w:t>lograr</w:t>
      </w:r>
      <w:r>
        <w:rPr>
          <w:color w:val="803108"/>
          <w:spacing w:val="-3"/>
          <w:w w:val="105"/>
          <w:sz w:val="14"/>
        </w:rPr>
        <w:t xml:space="preserve"> </w:t>
      </w:r>
      <w:r>
        <w:rPr>
          <w:color w:val="803108"/>
          <w:w w:val="105"/>
          <w:sz w:val="14"/>
        </w:rPr>
        <w:t>la</w:t>
      </w:r>
      <w:r>
        <w:rPr>
          <w:color w:val="803108"/>
          <w:spacing w:val="-3"/>
          <w:w w:val="105"/>
          <w:sz w:val="14"/>
        </w:rPr>
        <w:t xml:space="preserve"> </w:t>
      </w:r>
      <w:r>
        <w:rPr>
          <w:color w:val="803108"/>
          <w:w w:val="105"/>
          <w:sz w:val="14"/>
        </w:rPr>
        <w:t>buena</w:t>
      </w:r>
      <w:r>
        <w:rPr>
          <w:color w:val="803108"/>
          <w:spacing w:val="-2"/>
          <w:w w:val="105"/>
          <w:sz w:val="14"/>
        </w:rPr>
        <w:t xml:space="preserve"> </w:t>
      </w:r>
      <w:r>
        <w:rPr>
          <w:color w:val="803108"/>
          <w:w w:val="105"/>
          <w:sz w:val="14"/>
        </w:rPr>
        <w:t>gobernanza</w:t>
      </w:r>
      <w:r>
        <w:rPr>
          <w:color w:val="803108"/>
          <w:spacing w:val="-3"/>
          <w:w w:val="105"/>
          <w:sz w:val="14"/>
        </w:rPr>
        <w:t xml:space="preserve"> </w:t>
      </w:r>
      <w:r>
        <w:rPr>
          <w:color w:val="803108"/>
          <w:w w:val="105"/>
          <w:sz w:val="14"/>
        </w:rPr>
        <w:t>y</w:t>
      </w:r>
      <w:r>
        <w:rPr>
          <w:color w:val="803108"/>
          <w:spacing w:val="-2"/>
          <w:w w:val="105"/>
          <w:sz w:val="14"/>
        </w:rPr>
        <w:t xml:space="preserve"> </w:t>
      </w:r>
      <w:r>
        <w:rPr>
          <w:color w:val="803108"/>
          <w:w w:val="105"/>
          <w:sz w:val="14"/>
        </w:rPr>
        <w:t>promover</w:t>
      </w:r>
      <w:r>
        <w:rPr>
          <w:color w:val="803108"/>
          <w:spacing w:val="-3"/>
          <w:w w:val="105"/>
          <w:sz w:val="14"/>
        </w:rPr>
        <w:t xml:space="preserve"> </w:t>
      </w:r>
      <w:r>
        <w:rPr>
          <w:color w:val="803108"/>
          <w:w w:val="105"/>
          <w:sz w:val="14"/>
        </w:rPr>
        <w:t>la</w:t>
      </w:r>
      <w:r>
        <w:rPr>
          <w:color w:val="803108"/>
          <w:spacing w:val="-3"/>
          <w:w w:val="105"/>
          <w:sz w:val="14"/>
        </w:rPr>
        <w:t xml:space="preserve"> </w:t>
      </w:r>
      <w:r>
        <w:rPr>
          <w:color w:val="803108"/>
          <w:spacing w:val="-2"/>
          <w:w w:val="105"/>
          <w:sz w:val="14"/>
        </w:rPr>
        <w:t>integración:</w:t>
      </w:r>
    </w:p>
    <w:p w14:paraId="67C8F61D" w14:textId="77777777" w:rsidR="0014798C" w:rsidRDefault="0014798C">
      <w:pPr>
        <w:pStyle w:val="Textoindependiente"/>
        <w:rPr>
          <w:sz w:val="14"/>
        </w:rPr>
      </w:pPr>
    </w:p>
    <w:p w14:paraId="23969AF1" w14:textId="77777777" w:rsidR="0014798C" w:rsidRDefault="0014798C">
      <w:pPr>
        <w:pStyle w:val="Textoindependiente"/>
        <w:spacing w:before="73"/>
        <w:rPr>
          <w:sz w:val="14"/>
        </w:rPr>
      </w:pPr>
    </w:p>
    <w:p w14:paraId="63C2D24F" w14:textId="77777777" w:rsidR="0014798C" w:rsidRDefault="004E1F0B">
      <w:pPr>
        <w:pStyle w:val="Prrafodelista"/>
        <w:numPr>
          <w:ilvl w:val="0"/>
          <w:numId w:val="12"/>
        </w:numPr>
        <w:tabs>
          <w:tab w:val="left" w:pos="1847"/>
        </w:tabs>
        <w:ind w:left="1847" w:hanging="92"/>
        <w:rPr>
          <w:sz w:val="14"/>
        </w:rPr>
      </w:pPr>
      <w:r>
        <w:rPr>
          <w:color w:val="803108"/>
          <w:w w:val="105"/>
          <w:sz w:val="14"/>
        </w:rPr>
        <w:t>reconocer,</w:t>
      </w:r>
      <w:r>
        <w:rPr>
          <w:color w:val="803108"/>
          <w:spacing w:val="-2"/>
          <w:w w:val="105"/>
          <w:sz w:val="14"/>
        </w:rPr>
        <w:t xml:space="preserve"> </w:t>
      </w:r>
      <w:r>
        <w:rPr>
          <w:color w:val="803108"/>
          <w:w w:val="105"/>
          <w:sz w:val="14"/>
        </w:rPr>
        <w:t>proteger</w:t>
      </w:r>
      <w:r>
        <w:rPr>
          <w:color w:val="803108"/>
          <w:spacing w:val="-3"/>
          <w:w w:val="105"/>
          <w:sz w:val="14"/>
        </w:rPr>
        <w:t xml:space="preserve"> </w:t>
      </w:r>
      <w:r>
        <w:rPr>
          <w:color w:val="803108"/>
          <w:w w:val="105"/>
          <w:sz w:val="14"/>
        </w:rPr>
        <w:t>y</w:t>
      </w:r>
      <w:r>
        <w:rPr>
          <w:color w:val="803108"/>
          <w:spacing w:val="-2"/>
          <w:w w:val="105"/>
          <w:sz w:val="14"/>
        </w:rPr>
        <w:t xml:space="preserve"> </w:t>
      </w:r>
      <w:r>
        <w:rPr>
          <w:color w:val="803108"/>
          <w:w w:val="105"/>
          <w:sz w:val="14"/>
        </w:rPr>
        <w:t>promover</w:t>
      </w:r>
      <w:r>
        <w:rPr>
          <w:color w:val="803108"/>
          <w:spacing w:val="-2"/>
          <w:w w:val="105"/>
          <w:sz w:val="14"/>
        </w:rPr>
        <w:t xml:space="preserve"> </w:t>
      </w:r>
      <w:r>
        <w:rPr>
          <w:color w:val="803108"/>
          <w:w w:val="105"/>
          <w:sz w:val="14"/>
        </w:rPr>
        <w:t>la</w:t>
      </w:r>
      <w:r>
        <w:rPr>
          <w:color w:val="803108"/>
          <w:spacing w:val="-2"/>
          <w:w w:val="105"/>
          <w:sz w:val="14"/>
        </w:rPr>
        <w:t xml:space="preserve"> </w:t>
      </w:r>
      <w:r>
        <w:rPr>
          <w:color w:val="803108"/>
          <w:w w:val="105"/>
          <w:sz w:val="14"/>
        </w:rPr>
        <w:t>identidad</w:t>
      </w:r>
      <w:r>
        <w:rPr>
          <w:color w:val="803108"/>
          <w:spacing w:val="-3"/>
          <w:w w:val="105"/>
          <w:sz w:val="14"/>
        </w:rPr>
        <w:t xml:space="preserve"> </w:t>
      </w:r>
      <w:r>
        <w:rPr>
          <w:color w:val="803108"/>
          <w:w w:val="105"/>
          <w:sz w:val="14"/>
        </w:rPr>
        <w:t>de</w:t>
      </w:r>
      <w:r>
        <w:rPr>
          <w:color w:val="803108"/>
          <w:spacing w:val="-1"/>
          <w:w w:val="105"/>
          <w:sz w:val="14"/>
        </w:rPr>
        <w:t xml:space="preserve"> </w:t>
      </w:r>
      <w:r>
        <w:rPr>
          <w:color w:val="803108"/>
          <w:w w:val="105"/>
          <w:sz w:val="14"/>
        </w:rPr>
        <w:t>las</w:t>
      </w:r>
      <w:r>
        <w:rPr>
          <w:color w:val="803108"/>
          <w:spacing w:val="-3"/>
          <w:w w:val="105"/>
          <w:sz w:val="14"/>
        </w:rPr>
        <w:t xml:space="preserve"> </w:t>
      </w:r>
      <w:r>
        <w:rPr>
          <w:color w:val="803108"/>
          <w:w w:val="105"/>
          <w:sz w:val="14"/>
        </w:rPr>
        <w:t>personas</w:t>
      </w:r>
      <w:r>
        <w:rPr>
          <w:color w:val="803108"/>
          <w:spacing w:val="-3"/>
          <w:w w:val="105"/>
          <w:sz w:val="14"/>
        </w:rPr>
        <w:t xml:space="preserve"> </w:t>
      </w:r>
      <w:r>
        <w:rPr>
          <w:color w:val="803108"/>
          <w:w w:val="105"/>
          <w:sz w:val="14"/>
        </w:rPr>
        <w:t>pertenecientes</w:t>
      </w:r>
      <w:r>
        <w:rPr>
          <w:color w:val="803108"/>
          <w:spacing w:val="-2"/>
          <w:w w:val="105"/>
          <w:sz w:val="14"/>
        </w:rPr>
        <w:t xml:space="preserve"> </w:t>
      </w:r>
      <w:r>
        <w:rPr>
          <w:color w:val="803108"/>
          <w:w w:val="105"/>
          <w:sz w:val="14"/>
        </w:rPr>
        <w:t>a</w:t>
      </w:r>
      <w:r>
        <w:rPr>
          <w:color w:val="803108"/>
          <w:spacing w:val="-2"/>
          <w:w w:val="105"/>
          <w:sz w:val="14"/>
        </w:rPr>
        <w:t xml:space="preserve"> minorías</w:t>
      </w:r>
    </w:p>
    <w:p w14:paraId="440B1AD5" w14:textId="77777777" w:rsidR="0014798C" w:rsidRDefault="0014798C">
      <w:pPr>
        <w:pStyle w:val="Textoindependiente"/>
        <w:spacing w:before="41"/>
        <w:rPr>
          <w:sz w:val="14"/>
        </w:rPr>
      </w:pPr>
    </w:p>
    <w:p w14:paraId="79113A10" w14:textId="77777777" w:rsidR="0014798C" w:rsidRDefault="004E1F0B">
      <w:pPr>
        <w:pStyle w:val="Prrafodelista"/>
        <w:numPr>
          <w:ilvl w:val="0"/>
          <w:numId w:val="12"/>
        </w:numPr>
        <w:tabs>
          <w:tab w:val="left" w:pos="1846"/>
          <w:tab w:val="left" w:pos="2017"/>
        </w:tabs>
        <w:spacing w:line="372" w:lineRule="auto"/>
        <w:ind w:right="3178" w:hanging="263"/>
        <w:rPr>
          <w:sz w:val="14"/>
        </w:rPr>
      </w:pPr>
      <w:r>
        <w:rPr>
          <w:color w:val="803108"/>
          <w:w w:val="105"/>
          <w:sz w:val="14"/>
        </w:rPr>
        <w:t>permitir</w:t>
      </w:r>
      <w:r>
        <w:rPr>
          <w:color w:val="803108"/>
          <w:spacing w:val="-2"/>
          <w:w w:val="105"/>
          <w:sz w:val="14"/>
        </w:rPr>
        <w:t xml:space="preserve"> </w:t>
      </w:r>
      <w:r>
        <w:rPr>
          <w:color w:val="803108"/>
          <w:w w:val="105"/>
          <w:sz w:val="14"/>
        </w:rPr>
        <w:t>a</w:t>
      </w:r>
      <w:r>
        <w:rPr>
          <w:color w:val="803108"/>
          <w:spacing w:val="-1"/>
          <w:w w:val="105"/>
          <w:sz w:val="14"/>
        </w:rPr>
        <w:t xml:space="preserve"> </w:t>
      </w:r>
      <w:r>
        <w:rPr>
          <w:color w:val="803108"/>
          <w:w w:val="105"/>
          <w:sz w:val="14"/>
        </w:rPr>
        <w:t>las</w:t>
      </w:r>
      <w:r>
        <w:rPr>
          <w:color w:val="803108"/>
          <w:spacing w:val="-2"/>
          <w:w w:val="105"/>
          <w:sz w:val="14"/>
        </w:rPr>
        <w:t xml:space="preserve"> </w:t>
      </w:r>
      <w:r>
        <w:rPr>
          <w:color w:val="803108"/>
          <w:w w:val="105"/>
          <w:sz w:val="14"/>
        </w:rPr>
        <w:t>minorías</w:t>
      </w:r>
      <w:r>
        <w:rPr>
          <w:color w:val="803108"/>
          <w:spacing w:val="-2"/>
          <w:w w:val="105"/>
          <w:sz w:val="14"/>
        </w:rPr>
        <w:t xml:space="preserve"> </w:t>
      </w:r>
      <w:r>
        <w:rPr>
          <w:color w:val="803108"/>
          <w:w w:val="105"/>
          <w:sz w:val="14"/>
        </w:rPr>
        <w:t>la</w:t>
      </w:r>
      <w:r>
        <w:rPr>
          <w:color w:val="803108"/>
          <w:spacing w:val="-1"/>
          <w:w w:val="105"/>
          <w:sz w:val="14"/>
        </w:rPr>
        <w:t xml:space="preserve"> </w:t>
      </w:r>
      <w:r>
        <w:rPr>
          <w:color w:val="803108"/>
          <w:w w:val="105"/>
          <w:sz w:val="14"/>
        </w:rPr>
        <w:t>oportunidad</w:t>
      </w:r>
      <w:r>
        <w:rPr>
          <w:color w:val="803108"/>
          <w:spacing w:val="-2"/>
          <w:w w:val="105"/>
          <w:sz w:val="14"/>
        </w:rPr>
        <w:t xml:space="preserve"> </w:t>
      </w:r>
      <w:r>
        <w:rPr>
          <w:color w:val="803108"/>
          <w:w w:val="105"/>
          <w:sz w:val="14"/>
        </w:rPr>
        <w:t>de</w:t>
      </w:r>
      <w:r>
        <w:rPr>
          <w:color w:val="803108"/>
          <w:spacing w:val="-1"/>
          <w:w w:val="105"/>
          <w:sz w:val="14"/>
        </w:rPr>
        <w:t xml:space="preserve"> </w:t>
      </w:r>
      <w:r>
        <w:rPr>
          <w:color w:val="803108"/>
          <w:w w:val="105"/>
          <w:sz w:val="14"/>
        </w:rPr>
        <w:t>participar</w:t>
      </w:r>
      <w:r>
        <w:rPr>
          <w:color w:val="803108"/>
          <w:spacing w:val="-2"/>
          <w:w w:val="105"/>
          <w:sz w:val="14"/>
        </w:rPr>
        <w:t xml:space="preserve"> </w:t>
      </w:r>
      <w:r>
        <w:rPr>
          <w:color w:val="803108"/>
          <w:w w:val="105"/>
          <w:sz w:val="14"/>
        </w:rPr>
        <w:t>efectivamente</w:t>
      </w:r>
      <w:r>
        <w:rPr>
          <w:color w:val="803108"/>
          <w:spacing w:val="-2"/>
          <w:w w:val="105"/>
          <w:sz w:val="14"/>
        </w:rPr>
        <w:t xml:space="preserve"> </w:t>
      </w:r>
      <w:r>
        <w:rPr>
          <w:color w:val="803108"/>
          <w:w w:val="105"/>
          <w:sz w:val="14"/>
        </w:rPr>
        <w:t>en</w:t>
      </w:r>
      <w:r>
        <w:rPr>
          <w:color w:val="803108"/>
          <w:spacing w:val="-1"/>
          <w:w w:val="105"/>
          <w:sz w:val="14"/>
        </w:rPr>
        <w:t xml:space="preserve"> </w:t>
      </w:r>
      <w:r>
        <w:rPr>
          <w:color w:val="803108"/>
          <w:w w:val="105"/>
          <w:sz w:val="14"/>
        </w:rPr>
        <w:t>la</w:t>
      </w:r>
      <w:r>
        <w:rPr>
          <w:color w:val="803108"/>
          <w:spacing w:val="-1"/>
          <w:w w:val="105"/>
          <w:sz w:val="14"/>
        </w:rPr>
        <w:t xml:space="preserve"> </w:t>
      </w:r>
      <w:r>
        <w:rPr>
          <w:color w:val="803108"/>
          <w:w w:val="105"/>
          <w:sz w:val="14"/>
        </w:rPr>
        <w:t>vida</w:t>
      </w:r>
      <w:r>
        <w:rPr>
          <w:color w:val="803108"/>
          <w:spacing w:val="-1"/>
          <w:w w:val="105"/>
          <w:sz w:val="14"/>
        </w:rPr>
        <w:t xml:space="preserve"> </w:t>
      </w:r>
      <w:r>
        <w:rPr>
          <w:color w:val="803108"/>
          <w:w w:val="105"/>
          <w:sz w:val="14"/>
        </w:rPr>
        <w:t>pública,</w:t>
      </w:r>
      <w:r>
        <w:rPr>
          <w:color w:val="803108"/>
          <w:spacing w:val="-1"/>
          <w:w w:val="105"/>
          <w:sz w:val="14"/>
        </w:rPr>
        <w:t xml:space="preserve"> </w:t>
      </w:r>
      <w:r>
        <w:rPr>
          <w:color w:val="803108"/>
          <w:w w:val="105"/>
          <w:sz w:val="14"/>
        </w:rPr>
        <w:t>incluida</w:t>
      </w:r>
      <w:r>
        <w:rPr>
          <w:color w:val="803108"/>
          <w:spacing w:val="-1"/>
          <w:w w:val="105"/>
          <w:sz w:val="14"/>
        </w:rPr>
        <w:t xml:space="preserve"> </w:t>
      </w:r>
      <w:r>
        <w:rPr>
          <w:color w:val="803108"/>
          <w:w w:val="105"/>
          <w:sz w:val="14"/>
        </w:rPr>
        <w:t>la</w:t>
      </w:r>
      <w:r>
        <w:rPr>
          <w:color w:val="803108"/>
          <w:spacing w:val="-1"/>
          <w:w w:val="105"/>
          <w:sz w:val="14"/>
        </w:rPr>
        <w:t xml:space="preserve"> </w:t>
      </w:r>
      <w:r>
        <w:rPr>
          <w:color w:val="803108"/>
          <w:w w:val="105"/>
          <w:sz w:val="14"/>
        </w:rPr>
        <w:t>política procesos de toma de decisiones</w:t>
      </w:r>
    </w:p>
    <w:p w14:paraId="24ED6C1A" w14:textId="77777777" w:rsidR="0014798C" w:rsidRDefault="004E1F0B">
      <w:pPr>
        <w:pStyle w:val="Prrafodelista"/>
        <w:numPr>
          <w:ilvl w:val="0"/>
          <w:numId w:val="12"/>
        </w:numPr>
        <w:tabs>
          <w:tab w:val="left" w:pos="1847"/>
        </w:tabs>
        <w:spacing w:before="114"/>
        <w:ind w:left="1847" w:hanging="92"/>
        <w:rPr>
          <w:sz w:val="14"/>
        </w:rPr>
      </w:pPr>
      <w:r>
        <w:rPr>
          <w:color w:val="803108"/>
          <w:w w:val="105"/>
          <w:sz w:val="14"/>
        </w:rPr>
        <w:t>proporcionar</w:t>
      </w:r>
      <w:r>
        <w:rPr>
          <w:color w:val="803108"/>
          <w:spacing w:val="-3"/>
          <w:w w:val="105"/>
          <w:sz w:val="14"/>
        </w:rPr>
        <w:t xml:space="preserve"> </w:t>
      </w:r>
      <w:r>
        <w:rPr>
          <w:color w:val="803108"/>
          <w:w w:val="105"/>
          <w:sz w:val="14"/>
        </w:rPr>
        <w:t>a</w:t>
      </w:r>
      <w:r>
        <w:rPr>
          <w:color w:val="803108"/>
          <w:spacing w:val="-1"/>
          <w:w w:val="105"/>
          <w:sz w:val="14"/>
        </w:rPr>
        <w:t xml:space="preserve"> </w:t>
      </w:r>
      <w:r>
        <w:rPr>
          <w:color w:val="803108"/>
          <w:w w:val="105"/>
          <w:sz w:val="14"/>
        </w:rPr>
        <w:t>las</w:t>
      </w:r>
      <w:r>
        <w:rPr>
          <w:color w:val="803108"/>
          <w:spacing w:val="-3"/>
          <w:w w:val="105"/>
          <w:sz w:val="14"/>
        </w:rPr>
        <w:t xml:space="preserve"> </w:t>
      </w:r>
      <w:r>
        <w:rPr>
          <w:color w:val="803108"/>
          <w:w w:val="105"/>
          <w:sz w:val="14"/>
        </w:rPr>
        <w:t>minorías</w:t>
      </w:r>
      <w:r>
        <w:rPr>
          <w:color w:val="803108"/>
          <w:spacing w:val="-2"/>
          <w:w w:val="105"/>
          <w:sz w:val="14"/>
        </w:rPr>
        <w:t xml:space="preserve"> </w:t>
      </w:r>
      <w:r>
        <w:rPr>
          <w:color w:val="803108"/>
          <w:w w:val="105"/>
          <w:sz w:val="14"/>
        </w:rPr>
        <w:t>acceso</w:t>
      </w:r>
      <w:r>
        <w:rPr>
          <w:color w:val="803108"/>
          <w:spacing w:val="-2"/>
          <w:w w:val="105"/>
          <w:sz w:val="14"/>
        </w:rPr>
        <w:t xml:space="preserve"> </w:t>
      </w:r>
      <w:r>
        <w:rPr>
          <w:color w:val="803108"/>
          <w:w w:val="105"/>
          <w:sz w:val="14"/>
        </w:rPr>
        <w:t>a</w:t>
      </w:r>
      <w:r>
        <w:rPr>
          <w:color w:val="803108"/>
          <w:spacing w:val="-1"/>
          <w:w w:val="105"/>
          <w:sz w:val="14"/>
        </w:rPr>
        <w:t xml:space="preserve"> </w:t>
      </w:r>
      <w:r>
        <w:rPr>
          <w:color w:val="803108"/>
          <w:w w:val="105"/>
          <w:sz w:val="14"/>
        </w:rPr>
        <w:t>una</w:t>
      </w:r>
      <w:r>
        <w:rPr>
          <w:color w:val="803108"/>
          <w:spacing w:val="-2"/>
          <w:w w:val="105"/>
          <w:sz w:val="14"/>
        </w:rPr>
        <w:t xml:space="preserve"> </w:t>
      </w:r>
      <w:r>
        <w:rPr>
          <w:color w:val="803108"/>
          <w:w w:val="105"/>
          <w:sz w:val="14"/>
        </w:rPr>
        <w:t>parte</w:t>
      </w:r>
      <w:r>
        <w:rPr>
          <w:color w:val="803108"/>
          <w:spacing w:val="-2"/>
          <w:w w:val="105"/>
          <w:sz w:val="14"/>
        </w:rPr>
        <w:t xml:space="preserve"> </w:t>
      </w:r>
      <w:r>
        <w:rPr>
          <w:color w:val="803108"/>
          <w:w w:val="105"/>
          <w:sz w:val="14"/>
        </w:rPr>
        <w:t>justa</w:t>
      </w:r>
      <w:r>
        <w:rPr>
          <w:color w:val="803108"/>
          <w:spacing w:val="-3"/>
          <w:w w:val="105"/>
          <w:sz w:val="14"/>
        </w:rPr>
        <w:t xml:space="preserve"> </w:t>
      </w:r>
      <w:r>
        <w:rPr>
          <w:color w:val="803108"/>
          <w:w w:val="105"/>
          <w:sz w:val="14"/>
        </w:rPr>
        <w:t>de</w:t>
      </w:r>
      <w:r>
        <w:rPr>
          <w:color w:val="803108"/>
          <w:spacing w:val="-1"/>
          <w:w w:val="105"/>
          <w:sz w:val="14"/>
        </w:rPr>
        <w:t xml:space="preserve"> </w:t>
      </w:r>
      <w:r>
        <w:rPr>
          <w:color w:val="803108"/>
          <w:w w:val="105"/>
          <w:sz w:val="14"/>
        </w:rPr>
        <w:t>los</w:t>
      </w:r>
      <w:r>
        <w:rPr>
          <w:color w:val="803108"/>
          <w:spacing w:val="-2"/>
          <w:w w:val="105"/>
          <w:sz w:val="14"/>
        </w:rPr>
        <w:t xml:space="preserve"> </w:t>
      </w:r>
      <w:r>
        <w:rPr>
          <w:color w:val="803108"/>
          <w:w w:val="105"/>
          <w:sz w:val="14"/>
        </w:rPr>
        <w:t>bienes</w:t>
      </w:r>
      <w:r>
        <w:rPr>
          <w:color w:val="803108"/>
          <w:spacing w:val="-3"/>
          <w:w w:val="105"/>
          <w:sz w:val="14"/>
        </w:rPr>
        <w:t xml:space="preserve"> </w:t>
      </w:r>
      <w:r>
        <w:rPr>
          <w:color w:val="803108"/>
          <w:w w:val="105"/>
          <w:sz w:val="14"/>
        </w:rPr>
        <w:t>públicos,</w:t>
      </w:r>
      <w:r>
        <w:rPr>
          <w:color w:val="803108"/>
          <w:spacing w:val="-1"/>
          <w:w w:val="105"/>
          <w:sz w:val="14"/>
        </w:rPr>
        <w:t xml:space="preserve"> </w:t>
      </w:r>
      <w:r>
        <w:rPr>
          <w:color w:val="803108"/>
          <w:w w:val="105"/>
          <w:sz w:val="14"/>
        </w:rPr>
        <w:t>incluidas</w:t>
      </w:r>
      <w:r>
        <w:rPr>
          <w:color w:val="803108"/>
          <w:spacing w:val="-3"/>
          <w:w w:val="105"/>
          <w:sz w:val="14"/>
        </w:rPr>
        <w:t xml:space="preserve"> </w:t>
      </w:r>
      <w:r>
        <w:rPr>
          <w:color w:val="803108"/>
          <w:w w:val="105"/>
          <w:sz w:val="14"/>
        </w:rPr>
        <w:t>las</w:t>
      </w:r>
      <w:r>
        <w:rPr>
          <w:color w:val="803108"/>
          <w:spacing w:val="-2"/>
          <w:w w:val="105"/>
          <w:sz w:val="14"/>
        </w:rPr>
        <w:t xml:space="preserve"> </w:t>
      </w:r>
      <w:r>
        <w:rPr>
          <w:color w:val="803108"/>
          <w:w w:val="105"/>
          <w:sz w:val="14"/>
        </w:rPr>
        <w:t>oportunidades</w:t>
      </w:r>
      <w:r>
        <w:rPr>
          <w:color w:val="803108"/>
          <w:spacing w:val="-3"/>
          <w:w w:val="105"/>
          <w:sz w:val="14"/>
        </w:rPr>
        <w:t xml:space="preserve"> </w:t>
      </w:r>
      <w:r>
        <w:rPr>
          <w:color w:val="803108"/>
          <w:spacing w:val="-2"/>
          <w:w w:val="105"/>
          <w:sz w:val="14"/>
        </w:rPr>
        <w:t>económicas</w:t>
      </w:r>
    </w:p>
    <w:p w14:paraId="4358F7B0" w14:textId="77777777" w:rsidR="0014798C" w:rsidRDefault="0014798C">
      <w:pPr>
        <w:pStyle w:val="Textoindependiente"/>
        <w:spacing w:before="40"/>
        <w:rPr>
          <w:sz w:val="14"/>
        </w:rPr>
      </w:pPr>
    </w:p>
    <w:p w14:paraId="4722F766" w14:textId="77777777" w:rsidR="0014798C" w:rsidRDefault="004E1F0B">
      <w:pPr>
        <w:pStyle w:val="Prrafodelista"/>
        <w:numPr>
          <w:ilvl w:val="0"/>
          <w:numId w:val="12"/>
        </w:numPr>
        <w:tabs>
          <w:tab w:val="left" w:pos="1847"/>
          <w:tab w:val="left" w:pos="2014"/>
        </w:tabs>
        <w:spacing w:before="1" w:line="372" w:lineRule="auto"/>
        <w:ind w:left="2014" w:right="2004" w:hanging="259"/>
        <w:rPr>
          <w:sz w:val="14"/>
        </w:rPr>
      </w:pPr>
      <w:r>
        <w:rPr>
          <w:color w:val="803108"/>
          <w:w w:val="105"/>
          <w:sz w:val="14"/>
        </w:rPr>
        <w:t>sensibilidad hacia las</w:t>
      </w:r>
      <w:r>
        <w:rPr>
          <w:color w:val="803108"/>
          <w:spacing w:val="-1"/>
          <w:w w:val="105"/>
          <w:sz w:val="14"/>
        </w:rPr>
        <w:t xml:space="preserve"> </w:t>
      </w:r>
      <w:r>
        <w:rPr>
          <w:color w:val="803108"/>
          <w:w w:val="105"/>
          <w:sz w:val="14"/>
        </w:rPr>
        <w:t>necesidades</w:t>
      </w:r>
      <w:r>
        <w:rPr>
          <w:color w:val="803108"/>
          <w:spacing w:val="-1"/>
          <w:w w:val="105"/>
          <w:sz w:val="14"/>
        </w:rPr>
        <w:t xml:space="preserve"> </w:t>
      </w:r>
      <w:r>
        <w:rPr>
          <w:color w:val="803108"/>
          <w:w w:val="105"/>
          <w:sz w:val="14"/>
        </w:rPr>
        <w:t>lingüísticas</w:t>
      </w:r>
      <w:r>
        <w:rPr>
          <w:color w:val="803108"/>
          <w:spacing w:val="-1"/>
          <w:w w:val="105"/>
          <w:sz w:val="14"/>
        </w:rPr>
        <w:t xml:space="preserve"> </w:t>
      </w:r>
      <w:r>
        <w:rPr>
          <w:color w:val="803108"/>
          <w:w w:val="105"/>
          <w:sz w:val="14"/>
        </w:rPr>
        <w:t>y educativas</w:t>
      </w:r>
      <w:r>
        <w:rPr>
          <w:color w:val="803108"/>
          <w:spacing w:val="-1"/>
          <w:w w:val="105"/>
          <w:sz w:val="14"/>
        </w:rPr>
        <w:t xml:space="preserve"> </w:t>
      </w:r>
      <w:r>
        <w:rPr>
          <w:color w:val="803108"/>
          <w:w w:val="105"/>
          <w:sz w:val="14"/>
        </w:rPr>
        <w:t>de las</w:t>
      </w:r>
      <w:r>
        <w:rPr>
          <w:color w:val="803108"/>
          <w:spacing w:val="-1"/>
          <w:w w:val="105"/>
          <w:sz w:val="14"/>
        </w:rPr>
        <w:t xml:space="preserve"> </w:t>
      </w:r>
      <w:r>
        <w:rPr>
          <w:color w:val="803108"/>
          <w:w w:val="105"/>
          <w:sz w:val="14"/>
        </w:rPr>
        <w:t>minorías, que están</w:t>
      </w:r>
      <w:r>
        <w:rPr>
          <w:color w:val="803108"/>
          <w:spacing w:val="-1"/>
          <w:w w:val="105"/>
          <w:sz w:val="14"/>
        </w:rPr>
        <w:t xml:space="preserve"> </w:t>
      </w:r>
      <w:r>
        <w:rPr>
          <w:color w:val="803108"/>
          <w:w w:val="105"/>
          <w:sz w:val="14"/>
        </w:rPr>
        <w:t>estrechamente</w:t>
      </w:r>
      <w:r>
        <w:rPr>
          <w:color w:val="803108"/>
          <w:spacing w:val="-1"/>
          <w:w w:val="105"/>
          <w:sz w:val="14"/>
        </w:rPr>
        <w:t xml:space="preserve"> </w:t>
      </w:r>
      <w:r>
        <w:rPr>
          <w:color w:val="803108"/>
          <w:w w:val="105"/>
          <w:sz w:val="14"/>
        </w:rPr>
        <w:t>relacionadas</w:t>
      </w:r>
      <w:r>
        <w:rPr>
          <w:color w:val="803108"/>
          <w:spacing w:val="-1"/>
          <w:w w:val="105"/>
          <w:sz w:val="14"/>
        </w:rPr>
        <w:t xml:space="preserve"> </w:t>
      </w:r>
      <w:r>
        <w:rPr>
          <w:color w:val="803108"/>
          <w:w w:val="105"/>
          <w:sz w:val="14"/>
        </w:rPr>
        <w:t>con el derecho de cada individuo a desarrollar su identidad.1081</w:t>
      </w:r>
    </w:p>
    <w:p w14:paraId="2379E371" w14:textId="77777777" w:rsidR="0014798C" w:rsidRDefault="0014798C" w:rsidP="00510D7F">
      <w:pPr>
        <w:pStyle w:val="Textoindependiente"/>
        <w:spacing w:before="222"/>
        <w:ind w:right="785"/>
        <w:rPr>
          <w:sz w:val="28"/>
        </w:rPr>
      </w:pPr>
    </w:p>
    <w:p w14:paraId="1617224C" w14:textId="77777777" w:rsidR="0014798C" w:rsidRDefault="004E1F0B" w:rsidP="00510D7F">
      <w:pPr>
        <w:pStyle w:val="Ttulo9"/>
        <w:numPr>
          <w:ilvl w:val="0"/>
          <w:numId w:val="25"/>
        </w:numPr>
        <w:tabs>
          <w:tab w:val="left" w:pos="1437"/>
          <w:tab w:val="left" w:pos="1612"/>
        </w:tabs>
        <w:spacing w:line="297" w:lineRule="auto"/>
        <w:ind w:left="1612" w:right="785" w:hanging="514"/>
      </w:pPr>
      <w:bookmarkStart w:id="27" w:name="genuina"/>
      <w:r>
        <w:rPr>
          <w:color w:val="803108"/>
        </w:rPr>
        <w:t>PARTICIPACIÓN</w:t>
      </w:r>
      <w:r>
        <w:rPr>
          <w:color w:val="803108"/>
          <w:spacing w:val="-16"/>
        </w:rPr>
        <w:t xml:space="preserve"> </w:t>
      </w:r>
      <w:r>
        <w:rPr>
          <w:color w:val="803108"/>
        </w:rPr>
        <w:t>GENUINA</w:t>
      </w:r>
      <w:r>
        <w:rPr>
          <w:color w:val="803108"/>
          <w:spacing w:val="-14"/>
        </w:rPr>
        <w:t xml:space="preserve"> </w:t>
      </w:r>
      <w:r>
        <w:rPr>
          <w:color w:val="803108"/>
        </w:rPr>
        <w:t>Y</w:t>
      </w:r>
      <w:r>
        <w:rPr>
          <w:color w:val="803108"/>
          <w:spacing w:val="-14"/>
        </w:rPr>
        <w:t xml:space="preserve"> </w:t>
      </w:r>
      <w:r>
        <w:rPr>
          <w:color w:val="803108"/>
        </w:rPr>
        <w:t>EFECTIVA</w:t>
      </w:r>
      <w:r>
        <w:rPr>
          <w:color w:val="803108"/>
          <w:spacing w:val="-14"/>
        </w:rPr>
        <w:t xml:space="preserve"> </w:t>
      </w:r>
      <w:r>
        <w:rPr>
          <w:color w:val="803108"/>
        </w:rPr>
        <w:t>DE</w:t>
      </w:r>
      <w:r>
        <w:rPr>
          <w:color w:val="803108"/>
          <w:spacing w:val="-14"/>
        </w:rPr>
        <w:t xml:space="preserve"> </w:t>
      </w:r>
      <w:r>
        <w:rPr>
          <w:color w:val="803108"/>
        </w:rPr>
        <w:t>LAS</w:t>
      </w:r>
      <w:r>
        <w:rPr>
          <w:color w:val="803108"/>
          <w:spacing w:val="-14"/>
        </w:rPr>
        <w:t xml:space="preserve"> </w:t>
      </w:r>
      <w:r>
        <w:rPr>
          <w:color w:val="803108"/>
        </w:rPr>
        <w:t>MINORÍAS Y LA PROHIBICIÓN DE LA DISCRIMINACIÓN</w:t>
      </w:r>
    </w:p>
    <w:bookmarkEnd w:id="27"/>
    <w:p w14:paraId="108B7296" w14:textId="77777777" w:rsidR="0014798C" w:rsidRDefault="004E1F0B">
      <w:pPr>
        <w:pStyle w:val="Textoindependiente"/>
        <w:spacing w:before="174" w:line="326" w:lineRule="auto"/>
        <w:ind w:left="1107" w:right="1272" w:hanging="1"/>
      </w:pPr>
      <w:r>
        <w:t>El artículo 2 de la Declaración sobre los derechos de las personas pertenecientes</w:t>
      </w:r>
      <w:r>
        <w:rPr>
          <w:spacing w:val="-1"/>
        </w:rPr>
        <w:t xml:space="preserve"> </w:t>
      </w:r>
      <w:r>
        <w:t>a minorías nacionales o étnicas, religiosas y lingüísticas</w:t>
      </w:r>
      <w:r>
        <w:rPr>
          <w:spacing w:val="-8"/>
        </w:rPr>
        <w:t xml:space="preserve"> </w:t>
      </w:r>
      <w:r>
        <w:t>establece</w:t>
      </w:r>
      <w:r>
        <w:rPr>
          <w:spacing w:val="-8"/>
        </w:rPr>
        <w:t xml:space="preserve"> </w:t>
      </w:r>
      <w:r>
        <w:t>obligaciones</w:t>
      </w:r>
      <w:r>
        <w:rPr>
          <w:spacing w:val="-8"/>
        </w:rPr>
        <w:t xml:space="preserve"> </w:t>
      </w:r>
      <w:r>
        <w:t>y</w:t>
      </w:r>
      <w:r>
        <w:rPr>
          <w:spacing w:val="-8"/>
        </w:rPr>
        <w:t xml:space="preserve"> </w:t>
      </w:r>
      <w:r>
        <w:t>requisitos</w:t>
      </w:r>
      <w:r>
        <w:rPr>
          <w:spacing w:val="-8"/>
        </w:rPr>
        <w:t xml:space="preserve"> </w:t>
      </w:r>
      <w:r>
        <w:t>respecto</w:t>
      </w:r>
      <w:r>
        <w:rPr>
          <w:spacing w:val="-8"/>
        </w:rPr>
        <w:t xml:space="preserve"> </w:t>
      </w:r>
      <w:r>
        <w:t>de</w:t>
      </w:r>
      <w:r>
        <w:rPr>
          <w:spacing w:val="-8"/>
        </w:rPr>
        <w:t xml:space="preserve"> </w:t>
      </w:r>
      <w:r>
        <w:t>la</w:t>
      </w:r>
      <w:r>
        <w:rPr>
          <w:spacing w:val="-8"/>
        </w:rPr>
        <w:t xml:space="preserve"> </w:t>
      </w:r>
      <w:r>
        <w:t>participación</w:t>
      </w:r>
      <w:r>
        <w:rPr>
          <w:spacing w:val="-8"/>
        </w:rPr>
        <w:t xml:space="preserve"> </w:t>
      </w:r>
      <w:r>
        <w:t>de</w:t>
      </w:r>
      <w:r>
        <w:rPr>
          <w:spacing w:val="-8"/>
        </w:rPr>
        <w:t xml:space="preserve"> </w:t>
      </w:r>
      <w:r>
        <w:t>las</w:t>
      </w:r>
      <w:r>
        <w:rPr>
          <w:spacing w:val="-8"/>
        </w:rPr>
        <w:t xml:space="preserve"> </w:t>
      </w:r>
      <w:r>
        <w:t>minorías.</w:t>
      </w:r>
      <w:r>
        <w:rPr>
          <w:spacing w:val="-7"/>
        </w:rPr>
        <w:t xml:space="preserve"> </w:t>
      </w:r>
      <w:r>
        <w:t>Entre</w:t>
      </w:r>
      <w:r>
        <w:rPr>
          <w:spacing w:val="-8"/>
        </w:rPr>
        <w:t xml:space="preserve"> </w:t>
      </w:r>
      <w:r>
        <w:t>ellas</w:t>
      </w:r>
      <w:r>
        <w:rPr>
          <w:spacing w:val="-8"/>
        </w:rPr>
        <w:t xml:space="preserve"> </w:t>
      </w:r>
      <w:r>
        <w:t>se</w:t>
      </w:r>
      <w:r>
        <w:rPr>
          <w:spacing w:val="-8"/>
        </w:rPr>
        <w:t xml:space="preserve"> </w:t>
      </w:r>
      <w:r>
        <w:t>incluye,</w:t>
      </w:r>
      <w:r>
        <w:rPr>
          <w:spacing w:val="-7"/>
        </w:rPr>
        <w:t xml:space="preserve"> </w:t>
      </w:r>
      <w:r>
        <w:t>en</w:t>
      </w:r>
      <w:r>
        <w:rPr>
          <w:spacing w:val="-8"/>
        </w:rPr>
        <w:t xml:space="preserve"> </w:t>
      </w:r>
      <w:r>
        <w:t>el</w:t>
      </w:r>
      <w:r>
        <w:rPr>
          <w:spacing w:val="-8"/>
        </w:rPr>
        <w:t xml:space="preserve"> </w:t>
      </w:r>
      <w:r>
        <w:t>artículo</w:t>
      </w:r>
      <w:r>
        <w:rPr>
          <w:spacing w:val="-8"/>
        </w:rPr>
        <w:t xml:space="preserve"> </w:t>
      </w:r>
      <w:r>
        <w:t>2</w:t>
      </w:r>
    </w:p>
    <w:p w14:paraId="50B7A814" w14:textId="77777777" w:rsidR="0014798C" w:rsidRDefault="004E1F0B">
      <w:pPr>
        <w:pStyle w:val="Textoindependiente"/>
        <w:spacing w:line="183" w:lineRule="exact"/>
        <w:ind w:left="1107"/>
      </w:pPr>
      <w:r>
        <w:t>(2),</w:t>
      </w:r>
      <w:r>
        <w:rPr>
          <w:spacing w:val="-9"/>
        </w:rPr>
        <w:t xml:space="preserve"> </w:t>
      </w:r>
      <w:r>
        <w:t>que</w:t>
      </w:r>
      <w:r>
        <w:rPr>
          <w:spacing w:val="-9"/>
        </w:rPr>
        <w:t xml:space="preserve"> </w:t>
      </w:r>
      <w:r>
        <w:t>“las</w:t>
      </w:r>
      <w:r>
        <w:rPr>
          <w:spacing w:val="-9"/>
        </w:rPr>
        <w:t xml:space="preserve"> </w:t>
      </w:r>
      <w:r>
        <w:t>personas</w:t>
      </w:r>
      <w:r>
        <w:rPr>
          <w:spacing w:val="-9"/>
        </w:rPr>
        <w:t xml:space="preserve"> </w:t>
      </w:r>
      <w:r>
        <w:t>pertenecientes</w:t>
      </w:r>
      <w:r>
        <w:rPr>
          <w:spacing w:val="-10"/>
        </w:rPr>
        <w:t xml:space="preserve"> </w:t>
      </w:r>
      <w:r>
        <w:t>a</w:t>
      </w:r>
      <w:r>
        <w:rPr>
          <w:spacing w:val="-9"/>
        </w:rPr>
        <w:t xml:space="preserve"> </w:t>
      </w:r>
      <w:r>
        <w:t>minorías</w:t>
      </w:r>
      <w:r>
        <w:rPr>
          <w:spacing w:val="-9"/>
        </w:rPr>
        <w:t xml:space="preserve"> </w:t>
      </w:r>
      <w:r>
        <w:t>tienen</w:t>
      </w:r>
      <w:r>
        <w:rPr>
          <w:spacing w:val="-9"/>
        </w:rPr>
        <w:t xml:space="preserve"> </w:t>
      </w:r>
      <w:r>
        <w:t>derecho</w:t>
      </w:r>
      <w:r>
        <w:rPr>
          <w:spacing w:val="-8"/>
        </w:rPr>
        <w:t xml:space="preserve"> </w:t>
      </w:r>
      <w:r>
        <w:t>a</w:t>
      </w:r>
      <w:r>
        <w:rPr>
          <w:spacing w:val="-9"/>
        </w:rPr>
        <w:t xml:space="preserve"> </w:t>
      </w:r>
      <w:r>
        <w:t>participar</w:t>
      </w:r>
      <w:r>
        <w:rPr>
          <w:spacing w:val="-9"/>
        </w:rPr>
        <w:t xml:space="preserve"> </w:t>
      </w:r>
      <w:r>
        <w:t>efectivamente</w:t>
      </w:r>
      <w:r>
        <w:rPr>
          <w:spacing w:val="-9"/>
        </w:rPr>
        <w:t xml:space="preserve"> </w:t>
      </w:r>
      <w:r>
        <w:t>en</w:t>
      </w:r>
      <w:r>
        <w:rPr>
          <w:spacing w:val="-9"/>
        </w:rPr>
        <w:t xml:space="preserve"> </w:t>
      </w:r>
      <w:r>
        <w:t>las</w:t>
      </w:r>
      <w:r>
        <w:rPr>
          <w:spacing w:val="-9"/>
        </w:rPr>
        <w:t xml:space="preserve"> </w:t>
      </w:r>
      <w:r>
        <w:t>actividades</w:t>
      </w:r>
      <w:r>
        <w:rPr>
          <w:spacing w:val="-9"/>
        </w:rPr>
        <w:t xml:space="preserve"> </w:t>
      </w:r>
      <w:r>
        <w:t>culturales,</w:t>
      </w:r>
      <w:r>
        <w:rPr>
          <w:spacing w:val="-8"/>
        </w:rPr>
        <w:t xml:space="preserve"> </w:t>
      </w:r>
      <w:r>
        <w:t>religiosas,</w:t>
      </w:r>
      <w:r>
        <w:rPr>
          <w:spacing w:val="-8"/>
        </w:rPr>
        <w:t xml:space="preserve"> </w:t>
      </w:r>
      <w:r>
        <w:rPr>
          <w:spacing w:val="-2"/>
        </w:rPr>
        <w:t>sociales,</w:t>
      </w:r>
    </w:p>
    <w:p w14:paraId="30B7DAF6" w14:textId="77777777" w:rsidR="0014798C" w:rsidRDefault="0014798C">
      <w:pPr>
        <w:pStyle w:val="Textoindependiente"/>
        <w:rPr>
          <w:sz w:val="11"/>
        </w:rPr>
      </w:pPr>
    </w:p>
    <w:p w14:paraId="1857E517" w14:textId="77777777" w:rsidR="0014798C" w:rsidRDefault="0014798C">
      <w:pPr>
        <w:pStyle w:val="Textoindependiente"/>
        <w:rPr>
          <w:sz w:val="11"/>
        </w:rPr>
      </w:pPr>
    </w:p>
    <w:p w14:paraId="7EFC4F09" w14:textId="77777777" w:rsidR="0014798C" w:rsidRDefault="0014798C">
      <w:pPr>
        <w:pStyle w:val="Textoindependiente"/>
        <w:rPr>
          <w:sz w:val="11"/>
        </w:rPr>
      </w:pPr>
    </w:p>
    <w:p w14:paraId="30710880" w14:textId="77777777" w:rsidR="0014798C" w:rsidRDefault="0014798C">
      <w:pPr>
        <w:pStyle w:val="Textoindependiente"/>
        <w:spacing w:before="40"/>
        <w:rPr>
          <w:sz w:val="11"/>
        </w:rPr>
      </w:pPr>
    </w:p>
    <w:p w14:paraId="7B5FF6A1" w14:textId="77777777" w:rsidR="0014798C" w:rsidRDefault="004E1F0B">
      <w:pPr>
        <w:spacing w:before="1"/>
        <w:ind w:left="1111"/>
        <w:rPr>
          <w:sz w:val="11"/>
        </w:rPr>
      </w:pPr>
      <w:r>
        <w:rPr>
          <w:w w:val="105"/>
          <w:sz w:val="11"/>
        </w:rPr>
        <w:t>1079</w:t>
      </w:r>
      <w:r>
        <w:rPr>
          <w:spacing w:val="-8"/>
          <w:w w:val="105"/>
          <w:sz w:val="11"/>
        </w:rPr>
        <w:t xml:space="preserve"> </w:t>
      </w:r>
      <w:r>
        <w:rPr>
          <w:w w:val="105"/>
          <w:sz w:val="11"/>
        </w:rPr>
        <w:t>Resolución</w:t>
      </w:r>
      <w:r>
        <w:rPr>
          <w:spacing w:val="-8"/>
          <w:w w:val="105"/>
          <w:sz w:val="11"/>
        </w:rPr>
        <w:t xml:space="preserve"> </w:t>
      </w:r>
      <w:r>
        <w:rPr>
          <w:w w:val="105"/>
          <w:sz w:val="11"/>
        </w:rPr>
        <w:t>43/8</w:t>
      </w:r>
      <w:r>
        <w:rPr>
          <w:spacing w:val="-7"/>
          <w:w w:val="105"/>
          <w:sz w:val="11"/>
        </w:rPr>
        <w:t xml:space="preserve"> </w:t>
      </w:r>
      <w:r>
        <w:rPr>
          <w:w w:val="105"/>
          <w:sz w:val="11"/>
        </w:rPr>
        <w:t>del</w:t>
      </w:r>
      <w:r>
        <w:rPr>
          <w:spacing w:val="-8"/>
          <w:w w:val="105"/>
          <w:sz w:val="11"/>
        </w:rPr>
        <w:t xml:space="preserve"> </w:t>
      </w:r>
      <w:r>
        <w:rPr>
          <w:w w:val="105"/>
          <w:sz w:val="11"/>
        </w:rPr>
        <w:t>Consejo</w:t>
      </w:r>
      <w:r>
        <w:rPr>
          <w:spacing w:val="-8"/>
          <w:w w:val="105"/>
          <w:sz w:val="11"/>
        </w:rPr>
        <w:t xml:space="preserve"> </w:t>
      </w:r>
      <w:r>
        <w:rPr>
          <w:w w:val="105"/>
          <w:sz w:val="11"/>
        </w:rPr>
        <w:t>de</w:t>
      </w:r>
      <w:r>
        <w:rPr>
          <w:spacing w:val="-7"/>
          <w:w w:val="105"/>
          <w:sz w:val="11"/>
        </w:rPr>
        <w:t xml:space="preserve"> </w:t>
      </w:r>
      <w:r>
        <w:rPr>
          <w:w w:val="105"/>
          <w:sz w:val="11"/>
        </w:rPr>
        <w:t>Derechos</w:t>
      </w:r>
      <w:r>
        <w:rPr>
          <w:spacing w:val="-8"/>
          <w:w w:val="105"/>
          <w:sz w:val="11"/>
        </w:rPr>
        <w:t xml:space="preserve"> </w:t>
      </w:r>
      <w:r>
        <w:rPr>
          <w:w w:val="105"/>
          <w:sz w:val="11"/>
        </w:rPr>
        <w:t>Humanos,</w:t>
      </w:r>
      <w:r>
        <w:rPr>
          <w:spacing w:val="-7"/>
          <w:w w:val="105"/>
          <w:sz w:val="11"/>
        </w:rPr>
        <w:t xml:space="preserve"> </w:t>
      </w:r>
      <w:r>
        <w:rPr>
          <w:w w:val="105"/>
          <w:sz w:val="11"/>
        </w:rPr>
        <w:t>párr.</w:t>
      </w:r>
      <w:r>
        <w:rPr>
          <w:spacing w:val="-8"/>
          <w:w w:val="105"/>
          <w:sz w:val="11"/>
        </w:rPr>
        <w:t xml:space="preserve"> </w:t>
      </w:r>
      <w:r>
        <w:rPr>
          <w:spacing w:val="-5"/>
          <w:w w:val="105"/>
          <w:sz w:val="11"/>
        </w:rPr>
        <w:t>6.</w:t>
      </w:r>
    </w:p>
    <w:p w14:paraId="2B85806A" w14:textId="77777777" w:rsidR="0014798C" w:rsidRDefault="004E1F0B">
      <w:pPr>
        <w:spacing w:before="109"/>
        <w:ind w:left="1111"/>
        <w:rPr>
          <w:sz w:val="11"/>
        </w:rPr>
      </w:pPr>
      <w:r>
        <w:rPr>
          <w:w w:val="105"/>
          <w:sz w:val="11"/>
        </w:rPr>
        <w:t>1080</w:t>
      </w:r>
      <w:r>
        <w:rPr>
          <w:spacing w:val="-7"/>
          <w:w w:val="105"/>
          <w:sz w:val="11"/>
        </w:rPr>
        <w:t xml:space="preserve"> </w:t>
      </w:r>
      <w:r>
        <w:rPr>
          <w:w w:val="105"/>
          <w:sz w:val="11"/>
        </w:rPr>
        <w:t>Alto</w:t>
      </w:r>
      <w:r>
        <w:rPr>
          <w:spacing w:val="-8"/>
          <w:w w:val="105"/>
          <w:sz w:val="11"/>
        </w:rPr>
        <w:t xml:space="preserve"> </w:t>
      </w:r>
      <w:r>
        <w:rPr>
          <w:w w:val="105"/>
          <w:sz w:val="11"/>
        </w:rPr>
        <w:t>Comisionado</w:t>
      </w:r>
      <w:r>
        <w:rPr>
          <w:spacing w:val="-6"/>
          <w:w w:val="105"/>
          <w:sz w:val="11"/>
        </w:rPr>
        <w:t xml:space="preserve"> </w:t>
      </w:r>
      <w:r>
        <w:rPr>
          <w:w w:val="105"/>
          <w:sz w:val="11"/>
        </w:rPr>
        <w:t>para</w:t>
      </w:r>
      <w:r>
        <w:rPr>
          <w:spacing w:val="-7"/>
          <w:w w:val="105"/>
          <w:sz w:val="11"/>
        </w:rPr>
        <w:t xml:space="preserve"> </w:t>
      </w:r>
      <w:r>
        <w:rPr>
          <w:w w:val="105"/>
          <w:sz w:val="11"/>
        </w:rPr>
        <w:t>las</w:t>
      </w:r>
      <w:r>
        <w:rPr>
          <w:spacing w:val="-7"/>
          <w:w w:val="105"/>
          <w:sz w:val="11"/>
        </w:rPr>
        <w:t xml:space="preserve"> </w:t>
      </w:r>
      <w:r>
        <w:rPr>
          <w:w w:val="105"/>
          <w:sz w:val="11"/>
        </w:rPr>
        <w:t>Minorías</w:t>
      </w:r>
      <w:r>
        <w:rPr>
          <w:spacing w:val="-7"/>
          <w:w w:val="105"/>
          <w:sz w:val="11"/>
        </w:rPr>
        <w:t xml:space="preserve"> </w:t>
      </w:r>
      <w:r>
        <w:rPr>
          <w:w w:val="105"/>
          <w:sz w:val="11"/>
        </w:rPr>
        <w:t>Nacionales</w:t>
      </w:r>
      <w:r>
        <w:rPr>
          <w:spacing w:val="-7"/>
          <w:w w:val="105"/>
          <w:sz w:val="11"/>
        </w:rPr>
        <w:t xml:space="preserve"> </w:t>
      </w:r>
      <w:r>
        <w:rPr>
          <w:w w:val="105"/>
          <w:sz w:val="11"/>
        </w:rPr>
        <w:t>de</w:t>
      </w:r>
      <w:r>
        <w:rPr>
          <w:spacing w:val="-7"/>
          <w:w w:val="105"/>
          <w:sz w:val="11"/>
        </w:rPr>
        <w:t xml:space="preserve"> </w:t>
      </w:r>
      <w:r>
        <w:rPr>
          <w:w w:val="105"/>
          <w:sz w:val="11"/>
        </w:rPr>
        <w:t>la</w:t>
      </w:r>
      <w:r>
        <w:rPr>
          <w:spacing w:val="-7"/>
          <w:w w:val="105"/>
          <w:sz w:val="11"/>
        </w:rPr>
        <w:t xml:space="preserve"> </w:t>
      </w:r>
      <w:r>
        <w:rPr>
          <w:w w:val="105"/>
          <w:sz w:val="11"/>
        </w:rPr>
        <w:t>Organización</w:t>
      </w:r>
      <w:r>
        <w:rPr>
          <w:spacing w:val="-6"/>
          <w:w w:val="105"/>
          <w:sz w:val="11"/>
        </w:rPr>
        <w:t xml:space="preserve"> </w:t>
      </w:r>
      <w:r>
        <w:rPr>
          <w:w w:val="105"/>
          <w:sz w:val="11"/>
        </w:rPr>
        <w:t>para</w:t>
      </w:r>
      <w:r>
        <w:rPr>
          <w:spacing w:val="-7"/>
          <w:w w:val="105"/>
          <w:sz w:val="11"/>
        </w:rPr>
        <w:t xml:space="preserve"> </w:t>
      </w:r>
      <w:r>
        <w:rPr>
          <w:w w:val="105"/>
          <w:sz w:val="11"/>
        </w:rPr>
        <w:t>la</w:t>
      </w:r>
      <w:r>
        <w:rPr>
          <w:spacing w:val="-7"/>
          <w:w w:val="105"/>
          <w:sz w:val="11"/>
        </w:rPr>
        <w:t xml:space="preserve"> </w:t>
      </w:r>
      <w:r>
        <w:rPr>
          <w:w w:val="105"/>
          <w:sz w:val="11"/>
        </w:rPr>
        <w:t>Seguridad</w:t>
      </w:r>
      <w:r>
        <w:rPr>
          <w:spacing w:val="-6"/>
          <w:w w:val="105"/>
          <w:sz w:val="11"/>
        </w:rPr>
        <w:t xml:space="preserve"> </w:t>
      </w:r>
      <w:r>
        <w:rPr>
          <w:w w:val="105"/>
          <w:sz w:val="11"/>
        </w:rPr>
        <w:t>y</w:t>
      </w:r>
      <w:r>
        <w:rPr>
          <w:spacing w:val="-7"/>
          <w:w w:val="105"/>
          <w:sz w:val="11"/>
        </w:rPr>
        <w:t xml:space="preserve"> </w:t>
      </w:r>
      <w:r>
        <w:rPr>
          <w:w w:val="105"/>
          <w:sz w:val="11"/>
        </w:rPr>
        <w:t>la</w:t>
      </w:r>
      <w:r>
        <w:rPr>
          <w:spacing w:val="-7"/>
          <w:w w:val="105"/>
          <w:sz w:val="11"/>
        </w:rPr>
        <w:t xml:space="preserve"> </w:t>
      </w:r>
      <w:r>
        <w:rPr>
          <w:w w:val="105"/>
          <w:sz w:val="11"/>
        </w:rPr>
        <w:t>Cooperación</w:t>
      </w:r>
      <w:r>
        <w:rPr>
          <w:spacing w:val="-7"/>
          <w:w w:val="105"/>
          <w:sz w:val="11"/>
        </w:rPr>
        <w:t xml:space="preserve"> </w:t>
      </w:r>
      <w:r>
        <w:rPr>
          <w:w w:val="105"/>
          <w:sz w:val="11"/>
        </w:rPr>
        <w:t>en</w:t>
      </w:r>
      <w:r>
        <w:rPr>
          <w:spacing w:val="-6"/>
          <w:w w:val="105"/>
          <w:sz w:val="11"/>
        </w:rPr>
        <w:t xml:space="preserve"> </w:t>
      </w:r>
      <w:r>
        <w:rPr>
          <w:w w:val="105"/>
          <w:sz w:val="11"/>
        </w:rPr>
        <w:t>Europa,</w:t>
      </w:r>
      <w:r>
        <w:rPr>
          <w:spacing w:val="-7"/>
          <w:w w:val="105"/>
          <w:sz w:val="11"/>
        </w:rPr>
        <w:t xml:space="preserve"> </w:t>
      </w:r>
      <w:r>
        <w:rPr>
          <w:w w:val="105"/>
          <w:sz w:val="11"/>
        </w:rPr>
        <w:t>“Recomendaciones</w:t>
      </w:r>
      <w:r>
        <w:rPr>
          <w:spacing w:val="-7"/>
          <w:w w:val="105"/>
          <w:sz w:val="11"/>
        </w:rPr>
        <w:t xml:space="preserve"> </w:t>
      </w:r>
      <w:r>
        <w:rPr>
          <w:w w:val="105"/>
          <w:sz w:val="11"/>
        </w:rPr>
        <w:t>de</w:t>
      </w:r>
      <w:r>
        <w:rPr>
          <w:spacing w:val="-7"/>
          <w:w w:val="105"/>
          <w:sz w:val="11"/>
        </w:rPr>
        <w:t xml:space="preserve"> </w:t>
      </w:r>
      <w:r>
        <w:rPr>
          <w:w w:val="105"/>
          <w:sz w:val="11"/>
        </w:rPr>
        <w:t>La</w:t>
      </w:r>
      <w:r>
        <w:rPr>
          <w:spacing w:val="-7"/>
          <w:w w:val="105"/>
          <w:sz w:val="11"/>
        </w:rPr>
        <w:t xml:space="preserve"> </w:t>
      </w:r>
      <w:r>
        <w:rPr>
          <w:spacing w:val="-4"/>
          <w:w w:val="105"/>
          <w:sz w:val="11"/>
        </w:rPr>
        <w:t>Haya</w:t>
      </w:r>
    </w:p>
    <w:p w14:paraId="3B9C3B26" w14:textId="77777777" w:rsidR="0014798C" w:rsidRDefault="004E1F0B">
      <w:pPr>
        <w:spacing w:before="39"/>
        <w:ind w:left="1366"/>
        <w:rPr>
          <w:sz w:val="13"/>
        </w:rPr>
      </w:pPr>
      <w:r>
        <w:rPr>
          <w:sz w:val="13"/>
        </w:rPr>
        <w:t>sobre</w:t>
      </w:r>
      <w:r>
        <w:rPr>
          <w:spacing w:val="-4"/>
          <w:sz w:val="13"/>
        </w:rPr>
        <w:t xml:space="preserve"> </w:t>
      </w:r>
      <w:r>
        <w:rPr>
          <w:sz w:val="13"/>
        </w:rPr>
        <w:t>los</w:t>
      </w:r>
      <w:r>
        <w:rPr>
          <w:spacing w:val="-2"/>
          <w:sz w:val="13"/>
        </w:rPr>
        <w:t xml:space="preserve"> </w:t>
      </w:r>
      <w:r>
        <w:rPr>
          <w:sz w:val="13"/>
        </w:rPr>
        <w:t>derechos</w:t>
      </w:r>
      <w:r>
        <w:rPr>
          <w:spacing w:val="-2"/>
          <w:sz w:val="13"/>
        </w:rPr>
        <w:t xml:space="preserve"> </w:t>
      </w:r>
      <w:r>
        <w:rPr>
          <w:sz w:val="13"/>
        </w:rPr>
        <w:t>educativos</w:t>
      </w:r>
      <w:r>
        <w:rPr>
          <w:spacing w:val="-2"/>
          <w:sz w:val="13"/>
        </w:rPr>
        <w:t xml:space="preserve"> </w:t>
      </w:r>
      <w:r>
        <w:rPr>
          <w:sz w:val="13"/>
        </w:rPr>
        <w:t>de</w:t>
      </w:r>
      <w:r>
        <w:rPr>
          <w:spacing w:val="-2"/>
          <w:sz w:val="13"/>
        </w:rPr>
        <w:t xml:space="preserve"> </w:t>
      </w:r>
      <w:r>
        <w:rPr>
          <w:sz w:val="13"/>
        </w:rPr>
        <w:t>las</w:t>
      </w:r>
      <w:r>
        <w:rPr>
          <w:spacing w:val="-2"/>
          <w:sz w:val="13"/>
        </w:rPr>
        <w:t xml:space="preserve"> </w:t>
      </w:r>
      <w:r>
        <w:rPr>
          <w:sz w:val="13"/>
        </w:rPr>
        <w:t>minorías</w:t>
      </w:r>
      <w:r>
        <w:rPr>
          <w:spacing w:val="-2"/>
          <w:sz w:val="13"/>
        </w:rPr>
        <w:t xml:space="preserve"> </w:t>
      </w:r>
      <w:r>
        <w:rPr>
          <w:sz w:val="13"/>
        </w:rPr>
        <w:t>nacionales</w:t>
      </w:r>
      <w:r>
        <w:rPr>
          <w:spacing w:val="-2"/>
          <w:sz w:val="13"/>
        </w:rPr>
        <w:t xml:space="preserve"> </w:t>
      </w:r>
      <w:r>
        <w:rPr>
          <w:sz w:val="13"/>
        </w:rPr>
        <w:t>y</w:t>
      </w:r>
      <w:r>
        <w:rPr>
          <w:spacing w:val="-2"/>
          <w:sz w:val="13"/>
        </w:rPr>
        <w:t xml:space="preserve"> </w:t>
      </w:r>
      <w:r>
        <w:rPr>
          <w:sz w:val="13"/>
        </w:rPr>
        <w:t>nota</w:t>
      </w:r>
      <w:r>
        <w:rPr>
          <w:spacing w:val="-2"/>
          <w:sz w:val="13"/>
        </w:rPr>
        <w:t xml:space="preserve"> </w:t>
      </w:r>
      <w:r>
        <w:rPr>
          <w:sz w:val="13"/>
        </w:rPr>
        <w:t>explicativa”</w:t>
      </w:r>
      <w:r>
        <w:rPr>
          <w:spacing w:val="-2"/>
          <w:sz w:val="13"/>
        </w:rPr>
        <w:t xml:space="preserve"> </w:t>
      </w:r>
      <w:r>
        <w:rPr>
          <w:sz w:val="13"/>
        </w:rPr>
        <w:t>(La</w:t>
      </w:r>
      <w:r>
        <w:rPr>
          <w:spacing w:val="-2"/>
          <w:sz w:val="13"/>
        </w:rPr>
        <w:t xml:space="preserve"> </w:t>
      </w:r>
      <w:r>
        <w:rPr>
          <w:sz w:val="13"/>
        </w:rPr>
        <w:t>Haya,</w:t>
      </w:r>
      <w:r>
        <w:rPr>
          <w:spacing w:val="-1"/>
          <w:sz w:val="13"/>
        </w:rPr>
        <w:t xml:space="preserve"> </w:t>
      </w:r>
      <w:r>
        <w:rPr>
          <w:sz w:val="13"/>
        </w:rPr>
        <w:t>1996)</w:t>
      </w:r>
      <w:r>
        <w:rPr>
          <w:spacing w:val="-2"/>
          <w:sz w:val="13"/>
        </w:rPr>
        <w:t xml:space="preserve"> </w:t>
      </w:r>
      <w:hyperlink r:id="rId302">
        <w:r>
          <w:rPr>
            <w:color w:val="0075BF"/>
            <w:spacing w:val="-2"/>
            <w:sz w:val="13"/>
          </w:rPr>
          <w:t>(www.osce.org/hcnm/hague-</w:t>
        </w:r>
      </w:hyperlink>
    </w:p>
    <w:p w14:paraId="7395F612" w14:textId="77777777" w:rsidR="0014798C" w:rsidRDefault="004E1F0B">
      <w:pPr>
        <w:spacing w:before="30" w:line="288" w:lineRule="auto"/>
        <w:ind w:left="1366" w:right="1500"/>
        <w:rPr>
          <w:sz w:val="13"/>
        </w:rPr>
      </w:pPr>
      <w:proofErr w:type="spellStart"/>
      <w:proofErr w:type="gramStart"/>
      <w:r>
        <w:rPr>
          <w:color w:val="0075BF"/>
          <w:sz w:val="13"/>
        </w:rPr>
        <w:t>recommendations</w:t>
      </w:r>
      <w:proofErr w:type="spellEnd"/>
      <w:r>
        <w:rPr>
          <w:color w:val="0075BF"/>
          <w:sz w:val="13"/>
        </w:rPr>
        <w:t>);</w:t>
      </w:r>
      <w:proofErr w:type="gramEnd"/>
      <w:r>
        <w:rPr>
          <w:color w:val="0075BF"/>
          <w:spacing w:val="-1"/>
          <w:sz w:val="13"/>
        </w:rPr>
        <w:t xml:space="preserve"> </w:t>
      </w:r>
      <w:r>
        <w:rPr>
          <w:sz w:val="13"/>
        </w:rPr>
        <w:t>“Las</w:t>
      </w:r>
      <w:r>
        <w:rPr>
          <w:spacing w:val="-3"/>
          <w:sz w:val="13"/>
        </w:rPr>
        <w:t xml:space="preserve"> </w:t>
      </w:r>
      <w:r>
        <w:rPr>
          <w:sz w:val="13"/>
        </w:rPr>
        <w:t>recomendaciones</w:t>
      </w:r>
      <w:r>
        <w:rPr>
          <w:spacing w:val="-3"/>
          <w:sz w:val="13"/>
        </w:rPr>
        <w:t xml:space="preserve"> </w:t>
      </w:r>
      <w:r>
        <w:rPr>
          <w:sz w:val="13"/>
        </w:rPr>
        <w:t>de</w:t>
      </w:r>
      <w:r>
        <w:rPr>
          <w:spacing w:val="-3"/>
          <w:sz w:val="13"/>
        </w:rPr>
        <w:t xml:space="preserve"> </w:t>
      </w:r>
      <w:r>
        <w:rPr>
          <w:sz w:val="13"/>
        </w:rPr>
        <w:t>Oslo</w:t>
      </w:r>
      <w:r>
        <w:rPr>
          <w:spacing w:val="-3"/>
          <w:sz w:val="13"/>
        </w:rPr>
        <w:t xml:space="preserve"> </w:t>
      </w:r>
      <w:r>
        <w:rPr>
          <w:sz w:val="13"/>
        </w:rPr>
        <w:t>sobre</w:t>
      </w:r>
      <w:r>
        <w:rPr>
          <w:spacing w:val="-3"/>
          <w:sz w:val="13"/>
        </w:rPr>
        <w:t xml:space="preserve"> </w:t>
      </w:r>
      <w:r>
        <w:rPr>
          <w:sz w:val="13"/>
        </w:rPr>
        <w:t>los</w:t>
      </w:r>
      <w:r>
        <w:rPr>
          <w:spacing w:val="-3"/>
          <w:sz w:val="13"/>
        </w:rPr>
        <w:t xml:space="preserve"> </w:t>
      </w:r>
      <w:r>
        <w:rPr>
          <w:sz w:val="13"/>
        </w:rPr>
        <w:t>derechos</w:t>
      </w:r>
      <w:r>
        <w:rPr>
          <w:spacing w:val="-3"/>
          <w:sz w:val="13"/>
        </w:rPr>
        <w:t xml:space="preserve"> </w:t>
      </w:r>
      <w:r>
        <w:rPr>
          <w:sz w:val="13"/>
        </w:rPr>
        <w:t>lingüísticos</w:t>
      </w:r>
      <w:r>
        <w:rPr>
          <w:spacing w:val="-3"/>
          <w:sz w:val="13"/>
        </w:rPr>
        <w:t xml:space="preserve"> </w:t>
      </w:r>
      <w:r>
        <w:rPr>
          <w:sz w:val="13"/>
        </w:rPr>
        <w:t>de</w:t>
      </w:r>
      <w:r>
        <w:rPr>
          <w:spacing w:val="-3"/>
          <w:sz w:val="13"/>
        </w:rPr>
        <w:t xml:space="preserve"> </w:t>
      </w:r>
      <w:r>
        <w:rPr>
          <w:sz w:val="13"/>
        </w:rPr>
        <w:t>las</w:t>
      </w:r>
      <w:r>
        <w:rPr>
          <w:spacing w:val="-3"/>
          <w:sz w:val="13"/>
        </w:rPr>
        <w:t xml:space="preserve"> </w:t>
      </w:r>
      <w:r>
        <w:rPr>
          <w:sz w:val="13"/>
        </w:rPr>
        <w:t>minorías</w:t>
      </w:r>
      <w:r>
        <w:rPr>
          <w:spacing w:val="-3"/>
          <w:sz w:val="13"/>
        </w:rPr>
        <w:t xml:space="preserve"> </w:t>
      </w:r>
      <w:r>
        <w:rPr>
          <w:sz w:val="13"/>
        </w:rPr>
        <w:t>nacionales</w:t>
      </w:r>
      <w:r>
        <w:rPr>
          <w:spacing w:val="-3"/>
          <w:sz w:val="13"/>
        </w:rPr>
        <w:t xml:space="preserve"> </w:t>
      </w:r>
      <w:r>
        <w:rPr>
          <w:sz w:val="13"/>
        </w:rPr>
        <w:t>y</w:t>
      </w:r>
      <w:r>
        <w:rPr>
          <w:spacing w:val="-3"/>
          <w:sz w:val="13"/>
        </w:rPr>
        <w:t xml:space="preserve"> </w:t>
      </w:r>
      <w:r>
        <w:rPr>
          <w:sz w:val="13"/>
        </w:rPr>
        <w:t>nota</w:t>
      </w:r>
      <w:r>
        <w:rPr>
          <w:spacing w:val="-3"/>
          <w:sz w:val="13"/>
        </w:rPr>
        <w:t xml:space="preserve"> </w:t>
      </w:r>
      <w:r>
        <w:rPr>
          <w:sz w:val="13"/>
        </w:rPr>
        <w:t>explicativa”</w:t>
      </w:r>
      <w:r>
        <w:rPr>
          <w:spacing w:val="-3"/>
          <w:sz w:val="13"/>
        </w:rPr>
        <w:t xml:space="preserve"> </w:t>
      </w:r>
      <w:r>
        <w:rPr>
          <w:sz w:val="13"/>
        </w:rPr>
        <w:t>(La</w:t>
      </w:r>
      <w:r>
        <w:rPr>
          <w:spacing w:val="-3"/>
          <w:sz w:val="13"/>
        </w:rPr>
        <w:t xml:space="preserve"> </w:t>
      </w:r>
      <w:r>
        <w:rPr>
          <w:sz w:val="13"/>
        </w:rPr>
        <w:t>Haya,</w:t>
      </w:r>
      <w:r>
        <w:rPr>
          <w:spacing w:val="-2"/>
          <w:sz w:val="13"/>
        </w:rPr>
        <w:t xml:space="preserve"> </w:t>
      </w:r>
      <w:r>
        <w:rPr>
          <w:sz w:val="13"/>
        </w:rPr>
        <w:t>1998)</w:t>
      </w:r>
      <w:r>
        <w:rPr>
          <w:spacing w:val="40"/>
          <w:sz w:val="13"/>
        </w:rPr>
        <w:t xml:space="preserve"> </w:t>
      </w:r>
      <w:hyperlink r:id="rId303">
        <w:r>
          <w:rPr>
            <w:color w:val="0075BF"/>
            <w:sz w:val="13"/>
          </w:rPr>
          <w:t>(</w:t>
        </w:r>
        <w:proofErr w:type="gramStart"/>
        <w:r>
          <w:rPr>
            <w:color w:val="0075BF"/>
            <w:sz w:val="13"/>
          </w:rPr>
          <w:t>www.osce.org/</w:t>
        </w:r>
        <w:proofErr w:type="spellStart"/>
        <w:r>
          <w:rPr>
            <w:color w:val="0075BF"/>
            <w:sz w:val="13"/>
          </w:rPr>
          <w:t>hcnm</w:t>
        </w:r>
        <w:proofErr w:type="spellEnd"/>
        <w:r>
          <w:rPr>
            <w:color w:val="0075BF"/>
            <w:sz w:val="13"/>
          </w:rPr>
          <w:t>/</w:t>
        </w:r>
        <w:proofErr w:type="spellStart"/>
        <w:r>
          <w:rPr>
            <w:color w:val="0075BF"/>
            <w:sz w:val="13"/>
          </w:rPr>
          <w:t>oslo-recommendations</w:t>
        </w:r>
        <w:proofErr w:type="spellEnd"/>
        <w:r>
          <w:rPr>
            <w:color w:val="0075BF"/>
            <w:sz w:val="13"/>
          </w:rPr>
          <w:t>);</w:t>
        </w:r>
        <w:proofErr w:type="gramEnd"/>
      </w:hyperlink>
      <w:r>
        <w:rPr>
          <w:color w:val="0075BF"/>
          <w:spacing w:val="-6"/>
          <w:sz w:val="13"/>
        </w:rPr>
        <w:t xml:space="preserve"> </w:t>
      </w:r>
      <w:r>
        <w:rPr>
          <w:sz w:val="13"/>
        </w:rPr>
        <w:t>y,</w:t>
      </w:r>
      <w:r>
        <w:rPr>
          <w:spacing w:val="-7"/>
          <w:sz w:val="13"/>
        </w:rPr>
        <w:t xml:space="preserve"> </w:t>
      </w:r>
      <w:r>
        <w:rPr>
          <w:sz w:val="13"/>
        </w:rPr>
        <w:t>en</w:t>
      </w:r>
      <w:r>
        <w:rPr>
          <w:spacing w:val="-7"/>
          <w:sz w:val="13"/>
        </w:rPr>
        <w:t xml:space="preserve"> </w:t>
      </w:r>
      <w:r>
        <w:rPr>
          <w:sz w:val="13"/>
        </w:rPr>
        <w:t>un</w:t>
      </w:r>
      <w:r>
        <w:rPr>
          <w:spacing w:val="-7"/>
          <w:sz w:val="13"/>
        </w:rPr>
        <w:t xml:space="preserve"> </w:t>
      </w:r>
      <w:r>
        <w:rPr>
          <w:sz w:val="13"/>
        </w:rPr>
        <w:t>intento</w:t>
      </w:r>
      <w:r>
        <w:rPr>
          <w:spacing w:val="-7"/>
          <w:sz w:val="13"/>
        </w:rPr>
        <w:t xml:space="preserve"> </w:t>
      </w:r>
      <w:r>
        <w:rPr>
          <w:sz w:val="13"/>
        </w:rPr>
        <w:t>por</w:t>
      </w:r>
      <w:r>
        <w:rPr>
          <w:spacing w:val="-7"/>
          <w:sz w:val="13"/>
        </w:rPr>
        <w:t xml:space="preserve"> </w:t>
      </w:r>
      <w:r>
        <w:rPr>
          <w:sz w:val="13"/>
        </w:rPr>
        <w:t>enfatizar</w:t>
      </w:r>
      <w:r>
        <w:rPr>
          <w:spacing w:val="-7"/>
          <w:sz w:val="13"/>
        </w:rPr>
        <w:t xml:space="preserve"> </w:t>
      </w:r>
      <w:r>
        <w:rPr>
          <w:sz w:val="13"/>
        </w:rPr>
        <w:t>tanto</w:t>
      </w:r>
      <w:r>
        <w:rPr>
          <w:spacing w:val="-7"/>
          <w:sz w:val="13"/>
        </w:rPr>
        <w:t xml:space="preserve"> </w:t>
      </w:r>
      <w:r>
        <w:rPr>
          <w:sz w:val="13"/>
        </w:rPr>
        <w:t>la</w:t>
      </w:r>
      <w:r>
        <w:rPr>
          <w:spacing w:val="-7"/>
          <w:sz w:val="13"/>
        </w:rPr>
        <w:t xml:space="preserve"> </w:t>
      </w:r>
      <w:r>
        <w:rPr>
          <w:sz w:val="13"/>
        </w:rPr>
        <w:t>protección</w:t>
      </w:r>
      <w:r>
        <w:rPr>
          <w:spacing w:val="-7"/>
          <w:sz w:val="13"/>
        </w:rPr>
        <w:t xml:space="preserve"> </w:t>
      </w:r>
      <w:r>
        <w:rPr>
          <w:sz w:val="13"/>
        </w:rPr>
        <w:t>de</w:t>
      </w:r>
      <w:r>
        <w:rPr>
          <w:spacing w:val="-7"/>
          <w:sz w:val="13"/>
        </w:rPr>
        <w:t xml:space="preserve"> </w:t>
      </w:r>
      <w:r>
        <w:rPr>
          <w:sz w:val="13"/>
        </w:rPr>
        <w:t>los</w:t>
      </w:r>
      <w:r>
        <w:rPr>
          <w:spacing w:val="-7"/>
          <w:sz w:val="13"/>
        </w:rPr>
        <w:t xml:space="preserve"> </w:t>
      </w:r>
      <w:r>
        <w:rPr>
          <w:sz w:val="13"/>
        </w:rPr>
        <w:t>derechos</w:t>
      </w:r>
      <w:r>
        <w:rPr>
          <w:spacing w:val="-7"/>
          <w:sz w:val="13"/>
        </w:rPr>
        <w:t xml:space="preserve"> </w:t>
      </w:r>
      <w:r>
        <w:rPr>
          <w:sz w:val="13"/>
        </w:rPr>
        <w:t>de</w:t>
      </w:r>
      <w:r>
        <w:rPr>
          <w:spacing w:val="-7"/>
          <w:sz w:val="13"/>
        </w:rPr>
        <w:t xml:space="preserve"> </w:t>
      </w:r>
      <w:r>
        <w:rPr>
          <w:sz w:val="13"/>
        </w:rPr>
        <w:t>las</w:t>
      </w:r>
      <w:r>
        <w:rPr>
          <w:spacing w:val="-7"/>
          <w:sz w:val="13"/>
        </w:rPr>
        <w:t xml:space="preserve"> </w:t>
      </w:r>
      <w:r>
        <w:rPr>
          <w:sz w:val="13"/>
        </w:rPr>
        <w:t>minorías</w:t>
      </w:r>
      <w:r>
        <w:rPr>
          <w:spacing w:val="-7"/>
          <w:sz w:val="13"/>
        </w:rPr>
        <w:t xml:space="preserve"> </w:t>
      </w:r>
      <w:r>
        <w:rPr>
          <w:sz w:val="13"/>
        </w:rPr>
        <w:t>como</w:t>
      </w:r>
      <w:r>
        <w:rPr>
          <w:spacing w:val="-7"/>
          <w:sz w:val="13"/>
        </w:rPr>
        <w:t xml:space="preserve"> </w:t>
      </w:r>
      <w:r>
        <w:rPr>
          <w:sz w:val="13"/>
        </w:rPr>
        <w:t>su</w:t>
      </w:r>
      <w:r>
        <w:rPr>
          <w:spacing w:val="-7"/>
          <w:sz w:val="13"/>
        </w:rPr>
        <w:t xml:space="preserve"> </w:t>
      </w:r>
      <w:r>
        <w:rPr>
          <w:sz w:val="13"/>
        </w:rPr>
        <w:t>acceso</w:t>
      </w:r>
      <w:r>
        <w:rPr>
          <w:spacing w:val="-7"/>
          <w:sz w:val="13"/>
        </w:rPr>
        <w:t xml:space="preserve"> </w:t>
      </w:r>
      <w:r>
        <w:rPr>
          <w:sz w:val="13"/>
        </w:rPr>
        <w:t>a</w:t>
      </w:r>
      <w:r>
        <w:rPr>
          <w:spacing w:val="-7"/>
          <w:sz w:val="13"/>
        </w:rPr>
        <w:t xml:space="preserve"> </w:t>
      </w:r>
      <w:r>
        <w:rPr>
          <w:sz w:val="13"/>
        </w:rPr>
        <w:t>bienes,</w:t>
      </w:r>
      <w:r>
        <w:rPr>
          <w:spacing w:val="40"/>
          <w:sz w:val="13"/>
        </w:rPr>
        <w:t xml:space="preserve"> </w:t>
      </w:r>
      <w:r>
        <w:rPr>
          <w:sz w:val="13"/>
        </w:rPr>
        <w:t>servicios e inclusión generalizados, las Directrices de Liubliana sobre la integración de sociedades diversas.</w:t>
      </w:r>
    </w:p>
    <w:p w14:paraId="5B0E0580" w14:textId="77777777" w:rsidR="0014798C" w:rsidRDefault="004E1F0B">
      <w:pPr>
        <w:spacing w:before="58" w:line="288" w:lineRule="auto"/>
        <w:ind w:left="1371" w:right="1463" w:hanging="261"/>
        <w:rPr>
          <w:sz w:val="13"/>
        </w:rPr>
      </w:pPr>
      <w:r>
        <w:rPr>
          <w:sz w:val="13"/>
        </w:rPr>
        <w:t>1081</w:t>
      </w:r>
      <w:r>
        <w:rPr>
          <w:spacing w:val="-2"/>
          <w:sz w:val="13"/>
        </w:rPr>
        <w:t xml:space="preserve"> </w:t>
      </w:r>
      <w:r>
        <w:rPr>
          <w:sz w:val="13"/>
        </w:rPr>
        <w:t>Alto</w:t>
      </w:r>
      <w:r>
        <w:rPr>
          <w:spacing w:val="-2"/>
          <w:sz w:val="13"/>
        </w:rPr>
        <w:t xml:space="preserve"> </w:t>
      </w:r>
      <w:r>
        <w:rPr>
          <w:sz w:val="13"/>
        </w:rPr>
        <w:t>Comisionado</w:t>
      </w:r>
      <w:r>
        <w:rPr>
          <w:spacing w:val="-2"/>
          <w:sz w:val="13"/>
        </w:rPr>
        <w:t xml:space="preserve"> </w:t>
      </w:r>
      <w:r>
        <w:rPr>
          <w:sz w:val="13"/>
        </w:rPr>
        <w:t>para</w:t>
      </w:r>
      <w:r>
        <w:rPr>
          <w:spacing w:val="-2"/>
          <w:sz w:val="13"/>
        </w:rPr>
        <w:t xml:space="preserve"> </w:t>
      </w:r>
      <w:r>
        <w:rPr>
          <w:sz w:val="13"/>
        </w:rPr>
        <w:t>las</w:t>
      </w:r>
      <w:r>
        <w:rPr>
          <w:spacing w:val="-2"/>
          <w:sz w:val="13"/>
        </w:rPr>
        <w:t xml:space="preserve"> </w:t>
      </w:r>
      <w:r>
        <w:rPr>
          <w:sz w:val="13"/>
        </w:rPr>
        <w:t>Minorías</w:t>
      </w:r>
      <w:r>
        <w:rPr>
          <w:spacing w:val="-2"/>
          <w:sz w:val="13"/>
        </w:rPr>
        <w:t xml:space="preserve"> </w:t>
      </w:r>
      <w:r>
        <w:rPr>
          <w:sz w:val="13"/>
        </w:rPr>
        <w:t>Nacionales</w:t>
      </w:r>
      <w:r>
        <w:rPr>
          <w:spacing w:val="-2"/>
          <w:sz w:val="13"/>
        </w:rPr>
        <w:t xml:space="preserve"> </w:t>
      </w:r>
      <w:r>
        <w:rPr>
          <w:sz w:val="13"/>
        </w:rPr>
        <w:t>de</w:t>
      </w:r>
      <w:r>
        <w:rPr>
          <w:spacing w:val="-2"/>
          <w:sz w:val="13"/>
        </w:rPr>
        <w:t xml:space="preserve"> </w:t>
      </w:r>
      <w:r>
        <w:rPr>
          <w:sz w:val="13"/>
        </w:rPr>
        <w:t>la</w:t>
      </w:r>
      <w:r>
        <w:rPr>
          <w:spacing w:val="-2"/>
          <w:sz w:val="13"/>
        </w:rPr>
        <w:t xml:space="preserve"> </w:t>
      </w:r>
      <w:r>
        <w:rPr>
          <w:sz w:val="13"/>
        </w:rPr>
        <w:t>Organización</w:t>
      </w:r>
      <w:r>
        <w:rPr>
          <w:spacing w:val="-2"/>
          <w:sz w:val="13"/>
        </w:rPr>
        <w:t xml:space="preserve"> </w:t>
      </w:r>
      <w:r>
        <w:rPr>
          <w:sz w:val="13"/>
        </w:rPr>
        <w:t>para</w:t>
      </w:r>
      <w:r>
        <w:rPr>
          <w:spacing w:val="-2"/>
          <w:sz w:val="13"/>
        </w:rPr>
        <w:t xml:space="preserve"> </w:t>
      </w:r>
      <w:r>
        <w:rPr>
          <w:sz w:val="13"/>
        </w:rPr>
        <w:t>la</w:t>
      </w:r>
      <w:r>
        <w:rPr>
          <w:spacing w:val="-2"/>
          <w:sz w:val="13"/>
        </w:rPr>
        <w:t xml:space="preserve"> </w:t>
      </w:r>
      <w:r>
        <w:rPr>
          <w:sz w:val="13"/>
        </w:rPr>
        <w:t>Seguridad</w:t>
      </w:r>
      <w:r>
        <w:rPr>
          <w:spacing w:val="-2"/>
          <w:sz w:val="13"/>
        </w:rPr>
        <w:t xml:space="preserve"> </w:t>
      </w:r>
      <w:r>
        <w:rPr>
          <w:sz w:val="13"/>
        </w:rPr>
        <w:t>y</w:t>
      </w:r>
      <w:r>
        <w:rPr>
          <w:spacing w:val="-2"/>
          <w:sz w:val="13"/>
        </w:rPr>
        <w:t xml:space="preserve"> </w:t>
      </w:r>
      <w:r>
        <w:rPr>
          <w:sz w:val="13"/>
        </w:rPr>
        <w:t>la</w:t>
      </w:r>
      <w:r>
        <w:rPr>
          <w:spacing w:val="-2"/>
          <w:sz w:val="13"/>
        </w:rPr>
        <w:t xml:space="preserve"> </w:t>
      </w:r>
      <w:r>
        <w:rPr>
          <w:sz w:val="13"/>
        </w:rPr>
        <w:t>Cooperación</w:t>
      </w:r>
      <w:r>
        <w:rPr>
          <w:spacing w:val="-2"/>
          <w:sz w:val="13"/>
        </w:rPr>
        <w:t xml:space="preserve"> </w:t>
      </w:r>
      <w:r>
        <w:rPr>
          <w:sz w:val="13"/>
        </w:rPr>
        <w:t>en</w:t>
      </w:r>
      <w:r>
        <w:rPr>
          <w:spacing w:val="-2"/>
          <w:sz w:val="13"/>
        </w:rPr>
        <w:t xml:space="preserve"> </w:t>
      </w:r>
      <w:r>
        <w:rPr>
          <w:sz w:val="13"/>
        </w:rPr>
        <w:t>Europa,</w:t>
      </w:r>
      <w:r>
        <w:rPr>
          <w:spacing w:val="-2"/>
          <w:sz w:val="13"/>
        </w:rPr>
        <w:t xml:space="preserve"> </w:t>
      </w:r>
      <w:r>
        <w:rPr>
          <w:sz w:val="13"/>
        </w:rPr>
        <w:t>“Folleto</w:t>
      </w:r>
      <w:r>
        <w:rPr>
          <w:spacing w:val="-2"/>
          <w:sz w:val="13"/>
        </w:rPr>
        <w:t xml:space="preserve"> </w:t>
      </w:r>
      <w:r>
        <w:rPr>
          <w:sz w:val="13"/>
        </w:rPr>
        <w:t>No.</w:t>
      </w:r>
      <w:r>
        <w:rPr>
          <w:spacing w:val="-2"/>
          <w:sz w:val="13"/>
        </w:rPr>
        <w:t xml:space="preserve"> </w:t>
      </w:r>
      <w:r>
        <w:rPr>
          <w:sz w:val="13"/>
        </w:rPr>
        <w:t>9</w:t>
      </w:r>
      <w:r>
        <w:rPr>
          <w:spacing w:val="-2"/>
          <w:sz w:val="13"/>
        </w:rPr>
        <w:t xml:space="preserve"> </w:t>
      </w:r>
      <w:r>
        <w:rPr>
          <w:sz w:val="13"/>
        </w:rPr>
        <w:t>de</w:t>
      </w:r>
      <w:r>
        <w:rPr>
          <w:spacing w:val="-2"/>
          <w:sz w:val="13"/>
        </w:rPr>
        <w:t xml:space="preserve"> </w:t>
      </w:r>
      <w:r>
        <w:rPr>
          <w:sz w:val="13"/>
        </w:rPr>
        <w:t>la</w:t>
      </w:r>
      <w:r>
        <w:rPr>
          <w:spacing w:val="-2"/>
          <w:sz w:val="13"/>
        </w:rPr>
        <w:t xml:space="preserve"> </w:t>
      </w:r>
      <w:r>
        <w:rPr>
          <w:sz w:val="13"/>
        </w:rPr>
        <w:t>Guía</w:t>
      </w:r>
      <w:r>
        <w:rPr>
          <w:spacing w:val="-2"/>
          <w:sz w:val="13"/>
        </w:rPr>
        <w:t xml:space="preserve"> </w:t>
      </w:r>
      <w:r>
        <w:rPr>
          <w:sz w:val="13"/>
        </w:rPr>
        <w:t>de</w:t>
      </w:r>
      <w:r>
        <w:rPr>
          <w:spacing w:val="-2"/>
          <w:sz w:val="13"/>
        </w:rPr>
        <w:t xml:space="preserve"> </w:t>
      </w:r>
      <w:r>
        <w:rPr>
          <w:sz w:val="13"/>
        </w:rPr>
        <w:t>las</w:t>
      </w:r>
      <w:r>
        <w:rPr>
          <w:spacing w:val="40"/>
          <w:sz w:val="13"/>
        </w:rPr>
        <w:t xml:space="preserve"> </w:t>
      </w:r>
      <w:r>
        <w:rPr>
          <w:sz w:val="13"/>
        </w:rPr>
        <w:t xml:space="preserve">Naciones Unidas para las Minorías” (2001), pág. 10. Disponible en </w:t>
      </w:r>
      <w:hyperlink r:id="rId304">
        <w:r>
          <w:rPr>
            <w:color w:val="0075BF"/>
            <w:sz w:val="13"/>
          </w:rPr>
          <w:t>www.ohchr.org/Documents/Publications/GuideMinorities9en.pdf.</w:t>
        </w:r>
      </w:hyperlink>
    </w:p>
    <w:p w14:paraId="43F5EE2B" w14:textId="77777777" w:rsidR="0014798C" w:rsidRDefault="0014798C">
      <w:pPr>
        <w:pStyle w:val="Textoindependiente"/>
        <w:rPr>
          <w:sz w:val="18"/>
        </w:rPr>
      </w:pPr>
    </w:p>
    <w:p w14:paraId="4CBECC53" w14:textId="77777777" w:rsidR="0014798C" w:rsidRDefault="0014798C">
      <w:pPr>
        <w:pStyle w:val="Textoindependiente"/>
        <w:spacing w:before="202"/>
        <w:rPr>
          <w:sz w:val="18"/>
        </w:rPr>
      </w:pPr>
    </w:p>
    <w:p w14:paraId="4EB16AC9" w14:textId="77777777" w:rsidR="0014798C" w:rsidRDefault="004E1F0B">
      <w:pPr>
        <w:ind w:right="702"/>
        <w:jc w:val="right"/>
        <w:rPr>
          <w:sz w:val="18"/>
        </w:rPr>
      </w:pPr>
      <w:r>
        <w:rPr>
          <w:spacing w:val="-5"/>
          <w:sz w:val="18"/>
        </w:rPr>
        <w:t>159</w:t>
      </w:r>
    </w:p>
    <w:p w14:paraId="075A8AAC" w14:textId="77777777" w:rsidR="0014798C" w:rsidRDefault="0014798C">
      <w:pPr>
        <w:jc w:val="right"/>
        <w:rPr>
          <w:sz w:val="18"/>
        </w:rPr>
        <w:sectPr w:rsidR="0014798C" w:rsidSect="00F265E4">
          <w:pgSz w:w="11900" w:h="16820"/>
          <w:pgMar w:top="340" w:right="0" w:bottom="280" w:left="200" w:header="121" w:footer="0" w:gutter="0"/>
          <w:cols w:space="720"/>
        </w:sectPr>
      </w:pPr>
    </w:p>
    <w:p w14:paraId="3786A04F" w14:textId="77777777" w:rsidR="0014798C" w:rsidRDefault="0014798C">
      <w:pPr>
        <w:pStyle w:val="Textoindependiente"/>
        <w:spacing w:before="85"/>
        <w:rPr>
          <w:sz w:val="12"/>
        </w:rPr>
      </w:pPr>
    </w:p>
    <w:p w14:paraId="42C0B68A" w14:textId="77777777" w:rsidR="0014798C" w:rsidRDefault="004E1F0B">
      <w:pPr>
        <w:ind w:left="1111"/>
        <w:rPr>
          <w:sz w:val="12"/>
        </w:rPr>
      </w:pPr>
      <w:r>
        <w:rPr>
          <w:color w:val="803108"/>
          <w:sz w:val="12"/>
        </w:rPr>
        <w:t>PROTECCIÓN</w:t>
      </w:r>
      <w:r>
        <w:rPr>
          <w:color w:val="803108"/>
          <w:spacing w:val="6"/>
          <w:sz w:val="12"/>
        </w:rPr>
        <w:t xml:space="preserve"> </w:t>
      </w:r>
      <w:r>
        <w:rPr>
          <w:color w:val="803108"/>
          <w:sz w:val="12"/>
        </w:rPr>
        <w:t>DE</w:t>
      </w:r>
      <w:r>
        <w:rPr>
          <w:color w:val="803108"/>
          <w:spacing w:val="7"/>
          <w:sz w:val="12"/>
        </w:rPr>
        <w:t xml:space="preserve"> </w:t>
      </w:r>
      <w:r>
        <w:rPr>
          <w:color w:val="803108"/>
          <w:sz w:val="12"/>
        </w:rPr>
        <w:t>LOS</w:t>
      </w:r>
      <w:r>
        <w:rPr>
          <w:color w:val="803108"/>
          <w:spacing w:val="8"/>
          <w:sz w:val="12"/>
        </w:rPr>
        <w:t xml:space="preserve"> </w:t>
      </w:r>
      <w:r>
        <w:rPr>
          <w:color w:val="803108"/>
          <w:sz w:val="12"/>
        </w:rPr>
        <w:t>DERECHOS</w:t>
      </w:r>
      <w:r>
        <w:rPr>
          <w:color w:val="803108"/>
          <w:spacing w:val="8"/>
          <w:sz w:val="12"/>
        </w:rPr>
        <w:t xml:space="preserve"> </w:t>
      </w:r>
      <w:r>
        <w:rPr>
          <w:color w:val="803108"/>
          <w:sz w:val="12"/>
        </w:rPr>
        <w:t>DE</w:t>
      </w:r>
      <w:r>
        <w:rPr>
          <w:color w:val="803108"/>
          <w:spacing w:val="6"/>
          <w:sz w:val="12"/>
        </w:rPr>
        <w:t xml:space="preserve"> </w:t>
      </w:r>
      <w:r>
        <w:rPr>
          <w:color w:val="803108"/>
          <w:sz w:val="12"/>
        </w:rPr>
        <w:t>LAS</w:t>
      </w:r>
      <w:r>
        <w:rPr>
          <w:color w:val="803108"/>
          <w:spacing w:val="7"/>
          <w:sz w:val="12"/>
        </w:rPr>
        <w:t xml:space="preserve"> </w:t>
      </w:r>
      <w:r>
        <w:rPr>
          <w:color w:val="803108"/>
          <w:sz w:val="12"/>
        </w:rPr>
        <w:t>MINORÍAS:</w:t>
      </w:r>
      <w:r>
        <w:rPr>
          <w:color w:val="803108"/>
          <w:spacing w:val="8"/>
          <w:sz w:val="12"/>
        </w:rPr>
        <w:t xml:space="preserve"> </w:t>
      </w:r>
      <w:r>
        <w:rPr>
          <w:color w:val="803108"/>
          <w:sz w:val="12"/>
        </w:rPr>
        <w:t>una</w:t>
      </w:r>
      <w:r>
        <w:rPr>
          <w:color w:val="803108"/>
          <w:spacing w:val="7"/>
          <w:sz w:val="12"/>
        </w:rPr>
        <w:t xml:space="preserve"> </w:t>
      </w:r>
      <w:r>
        <w:rPr>
          <w:color w:val="803108"/>
          <w:sz w:val="12"/>
        </w:rPr>
        <w:t>guía</w:t>
      </w:r>
      <w:r>
        <w:rPr>
          <w:color w:val="803108"/>
          <w:spacing w:val="6"/>
          <w:sz w:val="12"/>
        </w:rPr>
        <w:t xml:space="preserve"> </w:t>
      </w:r>
      <w:r>
        <w:rPr>
          <w:color w:val="803108"/>
          <w:sz w:val="12"/>
        </w:rPr>
        <w:t>práctica</w:t>
      </w:r>
      <w:r>
        <w:rPr>
          <w:color w:val="803108"/>
          <w:spacing w:val="7"/>
          <w:sz w:val="12"/>
        </w:rPr>
        <w:t xml:space="preserve"> </w:t>
      </w:r>
      <w:r>
        <w:rPr>
          <w:color w:val="803108"/>
          <w:sz w:val="12"/>
        </w:rPr>
        <w:t>para</w:t>
      </w:r>
      <w:r>
        <w:rPr>
          <w:color w:val="803108"/>
          <w:spacing w:val="8"/>
          <w:sz w:val="12"/>
        </w:rPr>
        <w:t xml:space="preserve"> </w:t>
      </w:r>
      <w:r>
        <w:rPr>
          <w:color w:val="803108"/>
          <w:sz w:val="12"/>
        </w:rPr>
        <w:t>desarrollar</w:t>
      </w:r>
      <w:r>
        <w:rPr>
          <w:color w:val="803108"/>
          <w:spacing w:val="6"/>
          <w:sz w:val="12"/>
        </w:rPr>
        <w:t xml:space="preserve"> </w:t>
      </w:r>
      <w:r>
        <w:rPr>
          <w:color w:val="803108"/>
          <w:sz w:val="12"/>
        </w:rPr>
        <w:t>una</w:t>
      </w:r>
      <w:r>
        <w:rPr>
          <w:color w:val="803108"/>
          <w:spacing w:val="7"/>
          <w:sz w:val="12"/>
        </w:rPr>
        <w:t xml:space="preserve"> </w:t>
      </w:r>
      <w:r>
        <w:rPr>
          <w:color w:val="803108"/>
          <w:sz w:val="12"/>
        </w:rPr>
        <w:t>legislación</w:t>
      </w:r>
      <w:r>
        <w:rPr>
          <w:color w:val="803108"/>
          <w:spacing w:val="8"/>
          <w:sz w:val="12"/>
        </w:rPr>
        <w:t xml:space="preserve"> </w:t>
      </w:r>
      <w:r>
        <w:rPr>
          <w:color w:val="803108"/>
          <w:sz w:val="12"/>
        </w:rPr>
        <w:t>integral</w:t>
      </w:r>
      <w:r>
        <w:rPr>
          <w:color w:val="803108"/>
          <w:spacing w:val="7"/>
          <w:sz w:val="12"/>
        </w:rPr>
        <w:t xml:space="preserve"> </w:t>
      </w:r>
      <w:r>
        <w:rPr>
          <w:color w:val="803108"/>
          <w:sz w:val="12"/>
        </w:rPr>
        <w:t>contra</w:t>
      </w:r>
      <w:r>
        <w:rPr>
          <w:color w:val="803108"/>
          <w:spacing w:val="6"/>
          <w:sz w:val="12"/>
        </w:rPr>
        <w:t xml:space="preserve"> </w:t>
      </w:r>
      <w:r>
        <w:rPr>
          <w:color w:val="803108"/>
          <w:sz w:val="12"/>
        </w:rPr>
        <w:t>la</w:t>
      </w:r>
      <w:r>
        <w:rPr>
          <w:color w:val="803108"/>
          <w:spacing w:val="7"/>
          <w:sz w:val="12"/>
        </w:rPr>
        <w:t xml:space="preserve"> </w:t>
      </w:r>
      <w:r>
        <w:rPr>
          <w:color w:val="803108"/>
          <w:spacing w:val="-2"/>
          <w:sz w:val="12"/>
        </w:rPr>
        <w:t>discriminación</w:t>
      </w:r>
    </w:p>
    <w:p w14:paraId="76279CAE" w14:textId="77777777" w:rsidR="0014798C" w:rsidRDefault="0014798C">
      <w:pPr>
        <w:pStyle w:val="Textoindependiente"/>
      </w:pPr>
    </w:p>
    <w:p w14:paraId="68B2A32A" w14:textId="77777777" w:rsidR="0014798C" w:rsidRDefault="0014798C">
      <w:pPr>
        <w:pStyle w:val="Textoindependiente"/>
      </w:pPr>
    </w:p>
    <w:p w14:paraId="282A6816" w14:textId="77777777" w:rsidR="0014798C" w:rsidRDefault="0014798C">
      <w:pPr>
        <w:pStyle w:val="Textoindependiente"/>
      </w:pPr>
    </w:p>
    <w:p w14:paraId="7DE7E80F" w14:textId="77777777" w:rsidR="0014798C" w:rsidRDefault="0014798C">
      <w:pPr>
        <w:pStyle w:val="Textoindependiente"/>
      </w:pPr>
    </w:p>
    <w:p w14:paraId="44BE8002" w14:textId="77777777" w:rsidR="0014798C" w:rsidRDefault="0014798C">
      <w:pPr>
        <w:pStyle w:val="Textoindependiente"/>
        <w:spacing w:before="73"/>
      </w:pPr>
    </w:p>
    <w:p w14:paraId="5B41B09B" w14:textId="77777777" w:rsidR="0014798C" w:rsidRDefault="004E1F0B">
      <w:pPr>
        <w:pStyle w:val="Textoindependiente"/>
        <w:spacing w:line="326" w:lineRule="auto"/>
        <w:ind w:left="1107" w:right="1378" w:firstLine="3"/>
      </w:pPr>
      <w:r>
        <w:t>vida económica y pública”, así como, en el artículo 2 (3), que “las personas pertenecientes a minorías tienen derecho a participar efectivamente en las decisiones a nivel nacional y, cuando proceda, regional relativas a la minoría a la que pertenecen o a la regiones en las que viven, de manera que no sea incompatible con la legislación nacional”. El Comité de Derechos Humanos ha observado que el disfrute de los derechos garantizados por el artículo 27 del Pacto Internacional de Derechos Civiles y Políticos “puede requerir medidas jurídicas positivas de protección y medidas para asegurar la participación efectiva de los miembros de</w:t>
      </w:r>
      <w:r>
        <w:rPr>
          <w:spacing w:val="80"/>
        </w:rPr>
        <w:t xml:space="preserve"> </w:t>
      </w:r>
      <w:r>
        <w:t>las comunidades minoritarias en las decisiones que les afectan”. ”.1082</w:t>
      </w:r>
    </w:p>
    <w:p w14:paraId="02210906" w14:textId="77777777" w:rsidR="0014798C" w:rsidRDefault="0014798C">
      <w:pPr>
        <w:pStyle w:val="Textoindependiente"/>
      </w:pPr>
    </w:p>
    <w:p w14:paraId="4863CF12" w14:textId="77777777" w:rsidR="0014798C" w:rsidRDefault="0014798C">
      <w:pPr>
        <w:pStyle w:val="Textoindependiente"/>
        <w:spacing w:before="49"/>
      </w:pPr>
    </w:p>
    <w:p w14:paraId="380BBF9B" w14:textId="77777777" w:rsidR="0014798C" w:rsidRDefault="004E1F0B">
      <w:pPr>
        <w:pStyle w:val="Textoindependiente"/>
        <w:ind w:left="1104"/>
        <w:jc w:val="both"/>
      </w:pPr>
      <w:r>
        <w:t>Surgen</w:t>
      </w:r>
      <w:r>
        <w:rPr>
          <w:spacing w:val="1"/>
        </w:rPr>
        <w:t xml:space="preserve"> </w:t>
      </w:r>
      <w:r>
        <w:t>varias</w:t>
      </w:r>
      <w:r>
        <w:rPr>
          <w:spacing w:val="1"/>
        </w:rPr>
        <w:t xml:space="preserve"> </w:t>
      </w:r>
      <w:r>
        <w:t>preguntas</w:t>
      </w:r>
      <w:r>
        <w:rPr>
          <w:spacing w:val="1"/>
        </w:rPr>
        <w:t xml:space="preserve"> </w:t>
      </w:r>
      <w:r>
        <w:t>en</w:t>
      </w:r>
      <w:r>
        <w:rPr>
          <w:spacing w:val="1"/>
        </w:rPr>
        <w:t xml:space="preserve"> </w:t>
      </w:r>
      <w:r>
        <w:t>la</w:t>
      </w:r>
      <w:r>
        <w:rPr>
          <w:spacing w:val="1"/>
        </w:rPr>
        <w:t xml:space="preserve"> </w:t>
      </w:r>
      <w:r>
        <w:t>intersección</w:t>
      </w:r>
      <w:r>
        <w:rPr>
          <w:spacing w:val="1"/>
        </w:rPr>
        <w:t xml:space="preserve"> </w:t>
      </w:r>
      <w:r>
        <w:t>de</w:t>
      </w:r>
      <w:r>
        <w:rPr>
          <w:spacing w:val="1"/>
        </w:rPr>
        <w:t xml:space="preserve"> </w:t>
      </w:r>
      <w:r>
        <w:t>los</w:t>
      </w:r>
      <w:r>
        <w:rPr>
          <w:spacing w:val="1"/>
        </w:rPr>
        <w:t xml:space="preserve"> </w:t>
      </w:r>
      <w:r>
        <w:t>derechos</w:t>
      </w:r>
      <w:r>
        <w:rPr>
          <w:spacing w:val="1"/>
        </w:rPr>
        <w:t xml:space="preserve"> </w:t>
      </w:r>
      <w:r>
        <w:t>de</w:t>
      </w:r>
      <w:r>
        <w:rPr>
          <w:spacing w:val="1"/>
        </w:rPr>
        <w:t xml:space="preserve"> </w:t>
      </w:r>
      <w:r>
        <w:t>consulta</w:t>
      </w:r>
      <w:r>
        <w:rPr>
          <w:spacing w:val="1"/>
        </w:rPr>
        <w:t xml:space="preserve"> </w:t>
      </w:r>
      <w:r>
        <w:t>y</w:t>
      </w:r>
      <w:r>
        <w:rPr>
          <w:spacing w:val="1"/>
        </w:rPr>
        <w:t xml:space="preserve"> </w:t>
      </w:r>
      <w:r>
        <w:t>participación</w:t>
      </w:r>
      <w:r>
        <w:rPr>
          <w:spacing w:val="1"/>
        </w:rPr>
        <w:t xml:space="preserve"> </w:t>
      </w:r>
      <w:r>
        <w:t>y</w:t>
      </w:r>
      <w:r>
        <w:rPr>
          <w:spacing w:val="1"/>
        </w:rPr>
        <w:t xml:space="preserve"> </w:t>
      </w:r>
      <w:r>
        <w:t>el</w:t>
      </w:r>
      <w:r>
        <w:rPr>
          <w:spacing w:val="1"/>
        </w:rPr>
        <w:t xml:space="preserve"> </w:t>
      </w:r>
      <w:r>
        <w:t>derecho</w:t>
      </w:r>
      <w:r>
        <w:rPr>
          <w:spacing w:val="1"/>
        </w:rPr>
        <w:t xml:space="preserve"> </w:t>
      </w:r>
      <w:r>
        <w:t>a</w:t>
      </w:r>
      <w:r>
        <w:rPr>
          <w:spacing w:val="1"/>
        </w:rPr>
        <w:t xml:space="preserve"> </w:t>
      </w:r>
      <w:r>
        <w:t>la</w:t>
      </w:r>
      <w:r>
        <w:rPr>
          <w:spacing w:val="1"/>
        </w:rPr>
        <w:t xml:space="preserve"> </w:t>
      </w:r>
      <w:r>
        <w:t>no</w:t>
      </w:r>
      <w:r>
        <w:rPr>
          <w:spacing w:val="1"/>
        </w:rPr>
        <w:t xml:space="preserve"> </w:t>
      </w:r>
      <w:r>
        <w:rPr>
          <w:spacing w:val="-2"/>
        </w:rPr>
        <w:t>discriminación.</w:t>
      </w:r>
    </w:p>
    <w:p w14:paraId="35C27487" w14:textId="77777777" w:rsidR="0014798C" w:rsidRDefault="004E1F0B">
      <w:pPr>
        <w:pStyle w:val="Textoindependiente"/>
        <w:spacing w:before="66" w:line="326" w:lineRule="auto"/>
        <w:ind w:left="1107" w:right="1358" w:firstLine="1"/>
        <w:jc w:val="both"/>
      </w:pPr>
      <w:r>
        <w:t>¿Puede,</w:t>
      </w:r>
      <w:r>
        <w:rPr>
          <w:spacing w:val="7"/>
        </w:rPr>
        <w:t xml:space="preserve"> </w:t>
      </w:r>
      <w:r>
        <w:t>por</w:t>
      </w:r>
      <w:r>
        <w:rPr>
          <w:spacing w:val="7"/>
        </w:rPr>
        <w:t xml:space="preserve"> </w:t>
      </w:r>
      <w:r>
        <w:t>ejemplo,</w:t>
      </w:r>
      <w:r>
        <w:rPr>
          <w:spacing w:val="8"/>
        </w:rPr>
        <w:t xml:space="preserve"> </w:t>
      </w:r>
      <w:r>
        <w:t>una</w:t>
      </w:r>
      <w:r>
        <w:rPr>
          <w:spacing w:val="7"/>
        </w:rPr>
        <w:t xml:space="preserve"> </w:t>
      </w:r>
      <w:r>
        <w:t>comunidad</w:t>
      </w:r>
      <w:r>
        <w:rPr>
          <w:spacing w:val="7"/>
        </w:rPr>
        <w:t xml:space="preserve"> </w:t>
      </w:r>
      <w:r>
        <w:t>aceptar</w:t>
      </w:r>
      <w:r>
        <w:rPr>
          <w:spacing w:val="7"/>
        </w:rPr>
        <w:t xml:space="preserve"> </w:t>
      </w:r>
      <w:r>
        <w:t>viviendas</w:t>
      </w:r>
      <w:r>
        <w:rPr>
          <w:spacing w:val="7"/>
        </w:rPr>
        <w:t xml:space="preserve"> </w:t>
      </w:r>
      <w:r>
        <w:t>segregadas</w:t>
      </w:r>
      <w:r>
        <w:rPr>
          <w:spacing w:val="7"/>
        </w:rPr>
        <w:t xml:space="preserve"> </w:t>
      </w:r>
      <w:r>
        <w:t>racialmente</w:t>
      </w:r>
      <w:r>
        <w:rPr>
          <w:spacing w:val="7"/>
        </w:rPr>
        <w:t xml:space="preserve"> </w:t>
      </w:r>
      <w:r>
        <w:t>y</w:t>
      </w:r>
      <w:r>
        <w:rPr>
          <w:spacing w:val="7"/>
        </w:rPr>
        <w:t xml:space="preserve"> </w:t>
      </w:r>
      <w:r>
        <w:t>cuál</w:t>
      </w:r>
      <w:r>
        <w:rPr>
          <w:spacing w:val="7"/>
        </w:rPr>
        <w:t xml:space="preserve"> </w:t>
      </w:r>
      <w:r>
        <w:t>es</w:t>
      </w:r>
      <w:r>
        <w:rPr>
          <w:spacing w:val="7"/>
        </w:rPr>
        <w:t xml:space="preserve"> </w:t>
      </w:r>
      <w:r>
        <w:t>el</w:t>
      </w:r>
      <w:r>
        <w:rPr>
          <w:spacing w:val="7"/>
        </w:rPr>
        <w:t xml:space="preserve"> </w:t>
      </w:r>
      <w:r>
        <w:t>estado</w:t>
      </w:r>
      <w:r>
        <w:rPr>
          <w:spacing w:val="7"/>
        </w:rPr>
        <w:t xml:space="preserve"> </w:t>
      </w:r>
      <w:r>
        <w:t>de</w:t>
      </w:r>
      <w:r>
        <w:rPr>
          <w:spacing w:val="7"/>
        </w:rPr>
        <w:t xml:space="preserve"> </w:t>
      </w:r>
      <w:r>
        <w:t>las</w:t>
      </w:r>
      <w:r>
        <w:rPr>
          <w:spacing w:val="7"/>
        </w:rPr>
        <w:t xml:space="preserve"> </w:t>
      </w:r>
      <w:r>
        <w:t>consultas</w:t>
      </w:r>
      <w:r>
        <w:rPr>
          <w:spacing w:val="7"/>
        </w:rPr>
        <w:t xml:space="preserve"> </w:t>
      </w:r>
      <w:r>
        <w:t>que</w:t>
      </w:r>
      <w:r>
        <w:rPr>
          <w:spacing w:val="7"/>
        </w:rPr>
        <w:t xml:space="preserve"> </w:t>
      </w:r>
      <w:r>
        <w:t>llegan a tal conclusión? ¿Puede una comunidad pedir al Estado que no intervenga para proteger a las mujeres y las niñas de prácticas nocivas, como el matrimonio infantil, sobre la base del derecho de la comunidad a participar en las decisiones que la afectan?</w:t>
      </w:r>
    </w:p>
    <w:p w14:paraId="7FFD2300" w14:textId="77777777" w:rsidR="0014798C" w:rsidRDefault="0014798C">
      <w:pPr>
        <w:pStyle w:val="Textoindependiente"/>
      </w:pPr>
    </w:p>
    <w:p w14:paraId="2D34AD8A" w14:textId="77777777" w:rsidR="0014798C" w:rsidRDefault="0014798C">
      <w:pPr>
        <w:pStyle w:val="Textoindependiente"/>
        <w:spacing w:before="50"/>
      </w:pPr>
    </w:p>
    <w:p w14:paraId="58F24865" w14:textId="77777777" w:rsidR="0014798C" w:rsidRDefault="004E1F0B">
      <w:pPr>
        <w:pStyle w:val="Textoindependiente"/>
        <w:spacing w:line="326" w:lineRule="auto"/>
        <w:ind w:left="1107" w:right="1378" w:hanging="1"/>
      </w:pPr>
      <w:r>
        <w:t>Como lo ha establecido el Comité de Derechos Humanos, las medidas positivas adoptadas para hacer realidad los derechos de las minorías previstos en el artículo 27 del Pacto Internacional de Derechos Civiles y Políticos “deben respetar las disposiciones de los artículos 2.1 y 26 del Pacto tanto en lo que respecta al trato entre diferentes minorías y el trato entre las personas que les pertenecen y el resto de la población”.1083 En términos más generales, el Comité también ha observado “que ninguno de los derechos protegidos en virtud del artículo 27 del Pacto puede ejercerse legítimamente de una manera o en medida incompatible con las demás disposiciones del Pacto”.1084</w:t>
      </w:r>
    </w:p>
    <w:p w14:paraId="61D02C8C" w14:textId="77777777" w:rsidR="0014798C" w:rsidRDefault="004E1F0B">
      <w:pPr>
        <w:pStyle w:val="Textoindependiente"/>
        <w:spacing w:before="167" w:line="326" w:lineRule="auto"/>
        <w:ind w:left="1103" w:right="1418" w:firstLine="3"/>
      </w:pPr>
      <w:r>
        <w:t>Por lo tanto, cualquier medida relativa a la consulta adoptada por el Estado –o medidas adoptadas en virtud de dicha consulta–</w:t>
      </w:r>
      <w:r>
        <w:rPr>
          <w:spacing w:val="80"/>
        </w:rPr>
        <w:t xml:space="preserve"> </w:t>
      </w:r>
      <w:r>
        <w:t>no</w:t>
      </w:r>
      <w:r>
        <w:rPr>
          <w:spacing w:val="13"/>
        </w:rPr>
        <w:t xml:space="preserve"> </w:t>
      </w:r>
      <w:r>
        <w:t>puede</w:t>
      </w:r>
      <w:r>
        <w:rPr>
          <w:spacing w:val="13"/>
        </w:rPr>
        <w:t xml:space="preserve"> </w:t>
      </w:r>
      <w:r>
        <w:t>dar</w:t>
      </w:r>
      <w:r>
        <w:rPr>
          <w:spacing w:val="13"/>
        </w:rPr>
        <w:t xml:space="preserve"> </w:t>
      </w:r>
      <w:r>
        <w:t>lugar</w:t>
      </w:r>
      <w:r>
        <w:rPr>
          <w:spacing w:val="13"/>
        </w:rPr>
        <w:t xml:space="preserve"> </w:t>
      </w:r>
      <w:r>
        <w:t>a</w:t>
      </w:r>
      <w:r>
        <w:rPr>
          <w:spacing w:val="13"/>
        </w:rPr>
        <w:t xml:space="preserve"> </w:t>
      </w:r>
      <w:r>
        <w:t>discriminación.</w:t>
      </w:r>
      <w:r>
        <w:rPr>
          <w:spacing w:val="16"/>
        </w:rPr>
        <w:t xml:space="preserve"> </w:t>
      </w:r>
      <w:r>
        <w:t>Es</w:t>
      </w:r>
      <w:r>
        <w:rPr>
          <w:spacing w:val="13"/>
        </w:rPr>
        <w:t xml:space="preserve"> </w:t>
      </w:r>
      <w:r>
        <w:t>ilegítimo</w:t>
      </w:r>
      <w:r>
        <w:rPr>
          <w:spacing w:val="13"/>
        </w:rPr>
        <w:t xml:space="preserve"> </w:t>
      </w:r>
      <w:r>
        <w:t>plantear</w:t>
      </w:r>
      <w:r>
        <w:rPr>
          <w:spacing w:val="13"/>
        </w:rPr>
        <w:t xml:space="preserve"> </w:t>
      </w:r>
      <w:r>
        <w:t>preguntas</w:t>
      </w:r>
      <w:r>
        <w:rPr>
          <w:spacing w:val="13"/>
        </w:rPr>
        <w:t xml:space="preserve"> </w:t>
      </w:r>
      <w:r>
        <w:t>que</w:t>
      </w:r>
      <w:r>
        <w:rPr>
          <w:spacing w:val="13"/>
        </w:rPr>
        <w:t xml:space="preserve"> </w:t>
      </w:r>
      <w:r>
        <w:t>sean</w:t>
      </w:r>
      <w:r>
        <w:rPr>
          <w:spacing w:val="13"/>
        </w:rPr>
        <w:t xml:space="preserve"> </w:t>
      </w:r>
      <w:r>
        <w:t>discriminatorias</w:t>
      </w:r>
      <w:r>
        <w:rPr>
          <w:spacing w:val="13"/>
        </w:rPr>
        <w:t xml:space="preserve"> </w:t>
      </w:r>
      <w:r>
        <w:t>mientras</w:t>
      </w:r>
      <w:r>
        <w:rPr>
          <w:spacing w:val="13"/>
        </w:rPr>
        <w:t xml:space="preserve"> </w:t>
      </w:r>
      <w:r>
        <w:t>se</w:t>
      </w:r>
      <w:r>
        <w:rPr>
          <w:spacing w:val="13"/>
        </w:rPr>
        <w:t xml:space="preserve"> </w:t>
      </w:r>
      <w:r>
        <w:t>pretende</w:t>
      </w:r>
      <w:r>
        <w:rPr>
          <w:spacing w:val="13"/>
        </w:rPr>
        <w:t xml:space="preserve"> </w:t>
      </w:r>
      <w:r>
        <w:t>llevar</w:t>
      </w:r>
      <w:r>
        <w:rPr>
          <w:spacing w:val="13"/>
        </w:rPr>
        <w:t xml:space="preserve"> </w:t>
      </w:r>
      <w:r>
        <w:t>a cabo “consultas con los grupos afectados” y aceptar acciones u omisiones discriminatorias basadas en la lógica de (o con referencia a) la participación de las comunidades minoritarias. Igualmente inválidas son las consultas de “sí o no”, en las que las comunidades “participan” eligiendo entre varias malas opciones.</w:t>
      </w:r>
      <w:r>
        <w:rPr>
          <w:spacing w:val="17"/>
        </w:rPr>
        <w:t xml:space="preserve"> </w:t>
      </w:r>
      <w:r>
        <w:t>Como se señaló anteriormente,</w:t>
      </w:r>
      <w:r>
        <w:rPr>
          <w:spacing w:val="17"/>
        </w:rPr>
        <w:t xml:space="preserve"> </w:t>
      </w:r>
      <w:r>
        <w:t>la discriminación puede ser</w:t>
      </w:r>
      <w:r>
        <w:rPr>
          <w:spacing w:val="40"/>
        </w:rPr>
        <w:t xml:space="preserve"> </w:t>
      </w:r>
      <w:r>
        <w:t>tanto intencional como no intencional: la discriminación es una cuestión de hecho, no de motivo y, como tal, el consentimiento obtenido mediante consulta no es una justificación para actos discriminatorios.</w:t>
      </w:r>
    </w:p>
    <w:p w14:paraId="0A49D93E" w14:textId="77777777" w:rsidR="0014798C" w:rsidRDefault="004E1F0B">
      <w:pPr>
        <w:pStyle w:val="Textoindependiente"/>
        <w:spacing w:before="166" w:line="326" w:lineRule="auto"/>
        <w:ind w:left="1107" w:right="1309" w:firstLine="2"/>
      </w:pPr>
      <w:r>
        <w:t>Del</w:t>
      </w:r>
      <w:r>
        <w:rPr>
          <w:spacing w:val="12"/>
        </w:rPr>
        <w:t xml:space="preserve"> </w:t>
      </w:r>
      <w:r>
        <w:t>mismo</w:t>
      </w:r>
      <w:r>
        <w:rPr>
          <w:spacing w:val="12"/>
        </w:rPr>
        <w:t xml:space="preserve"> </w:t>
      </w:r>
      <w:r>
        <w:t>modo,</w:t>
      </w:r>
      <w:r>
        <w:rPr>
          <w:spacing w:val="12"/>
        </w:rPr>
        <w:t xml:space="preserve"> </w:t>
      </w:r>
      <w:r>
        <w:t>como</w:t>
      </w:r>
      <w:r>
        <w:rPr>
          <w:spacing w:val="12"/>
        </w:rPr>
        <w:t xml:space="preserve"> </w:t>
      </w:r>
      <w:r>
        <w:t>se</w:t>
      </w:r>
      <w:r>
        <w:rPr>
          <w:spacing w:val="12"/>
        </w:rPr>
        <w:t xml:space="preserve"> </w:t>
      </w:r>
      <w:r>
        <w:t>analizó</w:t>
      </w:r>
      <w:r>
        <w:rPr>
          <w:spacing w:val="12"/>
        </w:rPr>
        <w:t xml:space="preserve"> </w:t>
      </w:r>
      <w:r>
        <w:t>anteriormente,</w:t>
      </w:r>
      <w:r>
        <w:rPr>
          <w:spacing w:val="14"/>
        </w:rPr>
        <w:t xml:space="preserve"> </w:t>
      </w:r>
      <w:r>
        <w:t>el</w:t>
      </w:r>
      <w:r>
        <w:rPr>
          <w:spacing w:val="12"/>
        </w:rPr>
        <w:t xml:space="preserve"> </w:t>
      </w:r>
      <w:r>
        <w:t>Comité</w:t>
      </w:r>
      <w:r>
        <w:rPr>
          <w:spacing w:val="12"/>
        </w:rPr>
        <w:t xml:space="preserve"> </w:t>
      </w:r>
      <w:r>
        <w:t>de</w:t>
      </w:r>
      <w:r>
        <w:rPr>
          <w:spacing w:val="12"/>
        </w:rPr>
        <w:t xml:space="preserve"> </w:t>
      </w:r>
      <w:r>
        <w:t>Derechos</w:t>
      </w:r>
      <w:r>
        <w:rPr>
          <w:spacing w:val="12"/>
        </w:rPr>
        <w:t xml:space="preserve"> </w:t>
      </w:r>
      <w:r>
        <w:t>Humanos</w:t>
      </w:r>
      <w:r>
        <w:rPr>
          <w:spacing w:val="12"/>
        </w:rPr>
        <w:t xml:space="preserve"> </w:t>
      </w:r>
      <w:r>
        <w:t>ha</w:t>
      </w:r>
      <w:r>
        <w:rPr>
          <w:spacing w:val="12"/>
        </w:rPr>
        <w:t xml:space="preserve"> </w:t>
      </w:r>
      <w:r>
        <w:t>señalado</w:t>
      </w:r>
      <w:r>
        <w:rPr>
          <w:spacing w:val="12"/>
        </w:rPr>
        <w:t xml:space="preserve"> </w:t>
      </w:r>
      <w:r>
        <w:t>que</w:t>
      </w:r>
      <w:r>
        <w:rPr>
          <w:spacing w:val="12"/>
        </w:rPr>
        <w:t xml:space="preserve"> </w:t>
      </w:r>
      <w:r>
        <w:t>los</w:t>
      </w:r>
      <w:r>
        <w:rPr>
          <w:spacing w:val="12"/>
        </w:rPr>
        <w:t xml:space="preserve"> </w:t>
      </w:r>
      <w:r>
        <w:t>derechos</w:t>
      </w:r>
      <w:r>
        <w:rPr>
          <w:spacing w:val="12"/>
        </w:rPr>
        <w:t xml:space="preserve"> </w:t>
      </w:r>
      <w:r>
        <w:t>previstos</w:t>
      </w:r>
      <w:r>
        <w:rPr>
          <w:spacing w:val="12"/>
        </w:rPr>
        <w:t xml:space="preserve"> </w:t>
      </w:r>
      <w:r>
        <w:t>en el artículo 27 “no autorizan a ningún Estado, grupo o persona a violar el derecho al disfrute en condiciones de igualdad por las mujeres de cualquiera de los derechos previstos en el Pacto, incluido el derecho a igual protección”. de la ley”.1085 Según la</w:t>
      </w:r>
      <w:r>
        <w:rPr>
          <w:spacing w:val="40"/>
        </w:rPr>
        <w:t xml:space="preserve"> </w:t>
      </w:r>
      <w:r>
        <w:t xml:space="preserve">lógica del Comité en su Observación general </w:t>
      </w:r>
      <w:proofErr w:type="spellStart"/>
      <w:r>
        <w:t>Nº</w:t>
      </w:r>
      <w:proofErr w:type="spellEnd"/>
      <w:r>
        <w:t xml:space="preserve"> 23 (1994), la misma norma es aplicable a la discriminación por cualquier motivo. Como esto deja claro, el Estado no puede aceptar la discriminación dentro de una comunidad minoritaria sobre la base de la consulta o la participación; hacerlo sería un incumplimiento de su obligación de garantizar el disfrute igualitario del derecho a la no discriminación.</w:t>
      </w:r>
    </w:p>
    <w:p w14:paraId="4E1FE5F5" w14:textId="77777777" w:rsidR="0014798C" w:rsidRDefault="0014798C">
      <w:pPr>
        <w:pStyle w:val="Textoindependiente"/>
      </w:pPr>
    </w:p>
    <w:p w14:paraId="38C5B7F4" w14:textId="77777777" w:rsidR="0014798C" w:rsidRDefault="0014798C">
      <w:pPr>
        <w:pStyle w:val="Textoindependiente"/>
        <w:spacing w:before="98"/>
      </w:pPr>
    </w:p>
    <w:p w14:paraId="142EDE37" w14:textId="77777777" w:rsidR="0014798C" w:rsidRDefault="004E1F0B">
      <w:pPr>
        <w:pStyle w:val="Textoindependiente"/>
        <w:ind w:left="1333"/>
      </w:pPr>
      <w:r>
        <w:rPr>
          <w:noProof/>
        </w:rPr>
        <w:drawing>
          <wp:anchor distT="0" distB="0" distL="0" distR="0" simplePos="0" relativeHeight="251658474" behindDoc="1" locked="0" layoutInCell="1" allowOverlap="1" wp14:anchorId="5AB4EA2A" wp14:editId="6988327C">
            <wp:simplePos x="0" y="0"/>
            <wp:positionH relativeFrom="page">
              <wp:posOffset>790692</wp:posOffset>
            </wp:positionH>
            <wp:positionV relativeFrom="paragraph">
              <wp:posOffset>-205022</wp:posOffset>
            </wp:positionV>
            <wp:extent cx="5966130" cy="2480330"/>
            <wp:effectExtent l="0" t="0" r="0" b="0"/>
            <wp:wrapNone/>
            <wp:docPr id="324" name="Image 32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24" name="Image 324"/>
                    <pic:cNvPicPr/>
                  </pic:nvPicPr>
                  <pic:blipFill>
                    <a:blip r:embed="rId305" cstate="print"/>
                    <a:stretch>
                      <a:fillRect/>
                    </a:stretch>
                  </pic:blipFill>
                  <pic:spPr>
                    <a:xfrm>
                      <a:off x="0" y="0"/>
                      <a:ext cx="5966130" cy="2480330"/>
                    </a:xfrm>
                    <a:prstGeom prst="rect">
                      <a:avLst/>
                    </a:prstGeom>
                  </pic:spPr>
                </pic:pic>
              </a:graphicData>
            </a:graphic>
          </wp:anchor>
        </w:drawing>
      </w:r>
      <w:r>
        <w:t>REUBICACIÓN</w:t>
      </w:r>
      <w:r>
        <w:rPr>
          <w:spacing w:val="-1"/>
        </w:rPr>
        <w:t xml:space="preserve"> </w:t>
      </w:r>
      <w:r>
        <w:t>DE</w:t>
      </w:r>
      <w:r>
        <w:rPr>
          <w:spacing w:val="1"/>
        </w:rPr>
        <w:t xml:space="preserve"> </w:t>
      </w:r>
      <w:r>
        <w:t>MINORÍAS</w:t>
      </w:r>
      <w:r>
        <w:rPr>
          <w:spacing w:val="1"/>
        </w:rPr>
        <w:t xml:space="preserve"> </w:t>
      </w:r>
      <w:r>
        <w:t>Y</w:t>
      </w:r>
      <w:r>
        <w:rPr>
          <w:spacing w:val="1"/>
        </w:rPr>
        <w:t xml:space="preserve"> </w:t>
      </w:r>
      <w:r>
        <w:t>DISCRIMINACIÓN EN</w:t>
      </w:r>
      <w:r>
        <w:rPr>
          <w:spacing w:val="1"/>
        </w:rPr>
        <w:t xml:space="preserve"> </w:t>
      </w:r>
      <w:r>
        <w:rPr>
          <w:spacing w:val="-2"/>
        </w:rPr>
        <w:t>SERBIA</w:t>
      </w:r>
    </w:p>
    <w:p w14:paraId="650F9DE6" w14:textId="77777777" w:rsidR="0014798C" w:rsidRDefault="0014798C">
      <w:pPr>
        <w:pStyle w:val="Textoindependiente"/>
        <w:spacing w:before="35"/>
      </w:pPr>
    </w:p>
    <w:p w14:paraId="23296A0E" w14:textId="77777777" w:rsidR="0014798C" w:rsidRDefault="004E1F0B">
      <w:pPr>
        <w:pStyle w:val="Textoindependiente"/>
        <w:spacing w:before="1" w:line="326" w:lineRule="auto"/>
        <w:ind w:left="1329" w:right="1626" w:firstLine="2"/>
      </w:pPr>
      <w:r>
        <w:t>En Serbia, los promotores inmobiliarios de Belgrado, en colaboración con las autoridades de la ciudad, buscaron el</w:t>
      </w:r>
      <w:r>
        <w:rPr>
          <w:spacing w:val="40"/>
        </w:rPr>
        <w:t xml:space="preserve"> </w:t>
      </w:r>
      <w:r>
        <w:t>desalojo de los romaníes que vivían en viviendas marginales en zonas inmobiliarias privilegiadas del centro de la ciudad. Tras la movilización cívica e internacional para detener los desalojos, las autoridades de Belgrado aceptaron un programa de</w:t>
      </w:r>
      <w:r>
        <w:rPr>
          <w:spacing w:val="1"/>
        </w:rPr>
        <w:t xml:space="preserve"> </w:t>
      </w:r>
      <w:r>
        <w:t>realojamiento</w:t>
      </w:r>
      <w:r>
        <w:rPr>
          <w:spacing w:val="1"/>
        </w:rPr>
        <w:t xml:space="preserve"> </w:t>
      </w:r>
      <w:r>
        <w:t>financiado</w:t>
      </w:r>
      <w:r>
        <w:rPr>
          <w:spacing w:val="1"/>
        </w:rPr>
        <w:t xml:space="preserve"> </w:t>
      </w:r>
      <w:r>
        <w:t>por</w:t>
      </w:r>
      <w:r>
        <w:rPr>
          <w:spacing w:val="1"/>
        </w:rPr>
        <w:t xml:space="preserve"> </w:t>
      </w:r>
      <w:r>
        <w:t>la</w:t>
      </w:r>
      <w:r>
        <w:rPr>
          <w:spacing w:val="1"/>
        </w:rPr>
        <w:t xml:space="preserve"> </w:t>
      </w:r>
      <w:r>
        <w:t>Unión</w:t>
      </w:r>
      <w:r>
        <w:rPr>
          <w:spacing w:val="1"/>
        </w:rPr>
        <w:t xml:space="preserve"> </w:t>
      </w:r>
      <w:r>
        <w:t>Europea</w:t>
      </w:r>
      <w:r>
        <w:rPr>
          <w:spacing w:val="2"/>
        </w:rPr>
        <w:t xml:space="preserve"> </w:t>
      </w:r>
      <w:r>
        <w:t>y</w:t>
      </w:r>
      <w:r>
        <w:rPr>
          <w:spacing w:val="1"/>
        </w:rPr>
        <w:t xml:space="preserve"> </w:t>
      </w:r>
      <w:r>
        <w:t>donantes</w:t>
      </w:r>
      <w:r>
        <w:rPr>
          <w:spacing w:val="1"/>
        </w:rPr>
        <w:t xml:space="preserve"> </w:t>
      </w:r>
      <w:r>
        <w:t>bilaterales.</w:t>
      </w:r>
      <w:r>
        <w:rPr>
          <w:spacing w:val="2"/>
        </w:rPr>
        <w:t xml:space="preserve"> </w:t>
      </w:r>
      <w:r>
        <w:t>Sin</w:t>
      </w:r>
      <w:r>
        <w:rPr>
          <w:spacing w:val="1"/>
        </w:rPr>
        <w:t xml:space="preserve"> </w:t>
      </w:r>
      <w:r>
        <w:t>embargo,</w:t>
      </w:r>
      <w:r>
        <w:rPr>
          <w:spacing w:val="2"/>
        </w:rPr>
        <w:t xml:space="preserve"> </w:t>
      </w:r>
      <w:r>
        <w:t>los</w:t>
      </w:r>
      <w:r>
        <w:rPr>
          <w:spacing w:val="2"/>
        </w:rPr>
        <w:t xml:space="preserve"> </w:t>
      </w:r>
      <w:r>
        <w:t>diversos</w:t>
      </w:r>
      <w:r>
        <w:rPr>
          <w:spacing w:val="1"/>
        </w:rPr>
        <w:t xml:space="preserve"> </w:t>
      </w:r>
      <w:r>
        <w:t>programas</w:t>
      </w:r>
      <w:r>
        <w:rPr>
          <w:spacing w:val="1"/>
        </w:rPr>
        <w:t xml:space="preserve"> </w:t>
      </w:r>
      <w:r>
        <w:t>ubicaron</w:t>
      </w:r>
      <w:r>
        <w:rPr>
          <w:spacing w:val="1"/>
        </w:rPr>
        <w:t xml:space="preserve"> </w:t>
      </w:r>
      <w:r>
        <w:rPr>
          <w:spacing w:val="-10"/>
        </w:rPr>
        <w:t>a</w:t>
      </w:r>
    </w:p>
    <w:p w14:paraId="06D66B57" w14:textId="77777777" w:rsidR="0014798C" w:rsidRDefault="004E1F0B">
      <w:pPr>
        <w:pStyle w:val="Textoindependiente"/>
        <w:spacing w:line="271" w:lineRule="auto"/>
        <w:ind w:left="1337" w:right="1272" w:hanging="3"/>
      </w:pPr>
      <w:r>
        <w:t>los romaníes reubicados en viviendas concentradas en las afueras de la ciudad, frecuentemente en tensión con las comunidades mayoritarias locales o con otras comunidades romaníes a las que fueron trasladados los romaníes</w:t>
      </w:r>
    </w:p>
    <w:p w14:paraId="6AE08A52" w14:textId="77777777" w:rsidR="0014798C" w:rsidRDefault="004E1F0B">
      <w:pPr>
        <w:pStyle w:val="Textoindependiente"/>
        <w:spacing w:before="81"/>
        <w:ind w:left="1332"/>
      </w:pPr>
      <w:r>
        <w:t>desalojados.</w:t>
      </w:r>
      <w:r>
        <w:rPr>
          <w:spacing w:val="-6"/>
        </w:rPr>
        <w:t xml:space="preserve"> </w:t>
      </w:r>
      <w:r>
        <w:t>La</w:t>
      </w:r>
      <w:r>
        <w:rPr>
          <w:spacing w:val="-6"/>
        </w:rPr>
        <w:t xml:space="preserve"> </w:t>
      </w:r>
      <w:r>
        <w:t>consulta</w:t>
      </w:r>
      <w:r>
        <w:rPr>
          <w:spacing w:val="-7"/>
        </w:rPr>
        <w:t xml:space="preserve"> </w:t>
      </w:r>
      <w:r>
        <w:t>con</w:t>
      </w:r>
      <w:r>
        <w:rPr>
          <w:spacing w:val="-6"/>
        </w:rPr>
        <w:t xml:space="preserve"> </w:t>
      </w:r>
      <w:r>
        <w:t>los</w:t>
      </w:r>
      <w:r>
        <w:rPr>
          <w:spacing w:val="-7"/>
        </w:rPr>
        <w:t xml:space="preserve"> </w:t>
      </w:r>
      <w:r>
        <w:t>grupos</w:t>
      </w:r>
      <w:r>
        <w:rPr>
          <w:spacing w:val="-6"/>
        </w:rPr>
        <w:t xml:space="preserve"> </w:t>
      </w:r>
      <w:r>
        <w:t>afectados</w:t>
      </w:r>
      <w:r>
        <w:rPr>
          <w:spacing w:val="-7"/>
        </w:rPr>
        <w:t xml:space="preserve"> </w:t>
      </w:r>
      <w:r>
        <w:t>evitó</w:t>
      </w:r>
      <w:r>
        <w:rPr>
          <w:spacing w:val="-6"/>
        </w:rPr>
        <w:t xml:space="preserve"> </w:t>
      </w:r>
      <w:r>
        <w:t>ofrecer</w:t>
      </w:r>
      <w:r>
        <w:rPr>
          <w:spacing w:val="-6"/>
        </w:rPr>
        <w:t xml:space="preserve"> </w:t>
      </w:r>
      <w:r>
        <w:t>vivienda</w:t>
      </w:r>
      <w:r>
        <w:rPr>
          <w:spacing w:val="-7"/>
        </w:rPr>
        <w:t xml:space="preserve"> </w:t>
      </w:r>
      <w:r>
        <w:t>integrada</w:t>
      </w:r>
      <w:r>
        <w:rPr>
          <w:spacing w:val="-6"/>
        </w:rPr>
        <w:t xml:space="preserve"> </w:t>
      </w:r>
      <w:r>
        <w:t>como</w:t>
      </w:r>
      <w:r>
        <w:rPr>
          <w:spacing w:val="-7"/>
        </w:rPr>
        <w:t xml:space="preserve"> </w:t>
      </w:r>
      <w:r>
        <w:t>opción;</w:t>
      </w:r>
      <w:r>
        <w:rPr>
          <w:spacing w:val="-5"/>
        </w:rPr>
        <w:t xml:space="preserve"> </w:t>
      </w:r>
      <w:r>
        <w:t>a</w:t>
      </w:r>
      <w:r>
        <w:rPr>
          <w:spacing w:val="-7"/>
        </w:rPr>
        <w:t xml:space="preserve"> </w:t>
      </w:r>
      <w:r>
        <w:t>menudo</w:t>
      </w:r>
      <w:r>
        <w:rPr>
          <w:spacing w:val="-6"/>
        </w:rPr>
        <w:t xml:space="preserve"> </w:t>
      </w:r>
      <w:r>
        <w:rPr>
          <w:spacing w:val="-2"/>
        </w:rPr>
        <w:t>simplemente</w:t>
      </w:r>
    </w:p>
    <w:p w14:paraId="432761F3" w14:textId="77777777" w:rsidR="0014798C" w:rsidRDefault="004E1F0B">
      <w:pPr>
        <w:pStyle w:val="Textoindependiente"/>
        <w:spacing w:before="66"/>
        <w:ind w:left="1338"/>
      </w:pPr>
      <w:r>
        <w:t>planteaba</w:t>
      </w:r>
      <w:r>
        <w:rPr>
          <w:spacing w:val="2"/>
        </w:rPr>
        <w:t xml:space="preserve"> </w:t>
      </w:r>
      <w:r>
        <w:t>dudas</w:t>
      </w:r>
      <w:r>
        <w:rPr>
          <w:spacing w:val="2"/>
        </w:rPr>
        <w:t xml:space="preserve"> </w:t>
      </w:r>
      <w:r>
        <w:t>sobre</w:t>
      </w:r>
      <w:r>
        <w:rPr>
          <w:spacing w:val="2"/>
        </w:rPr>
        <w:t xml:space="preserve"> </w:t>
      </w:r>
      <w:r>
        <w:t>la</w:t>
      </w:r>
      <w:r>
        <w:rPr>
          <w:spacing w:val="2"/>
        </w:rPr>
        <w:t xml:space="preserve"> </w:t>
      </w:r>
      <w:r>
        <w:t>priorización</w:t>
      </w:r>
      <w:r>
        <w:rPr>
          <w:spacing w:val="2"/>
        </w:rPr>
        <w:t xml:space="preserve"> </w:t>
      </w:r>
      <w:r>
        <w:t>de</w:t>
      </w:r>
      <w:r>
        <w:rPr>
          <w:spacing w:val="2"/>
        </w:rPr>
        <w:t xml:space="preserve"> </w:t>
      </w:r>
      <w:r>
        <w:t>las</w:t>
      </w:r>
      <w:r>
        <w:rPr>
          <w:spacing w:val="2"/>
        </w:rPr>
        <w:t xml:space="preserve"> </w:t>
      </w:r>
      <w:r>
        <w:t>personas</w:t>
      </w:r>
      <w:r>
        <w:rPr>
          <w:spacing w:val="2"/>
        </w:rPr>
        <w:t xml:space="preserve"> </w:t>
      </w:r>
      <w:r>
        <w:t>que</w:t>
      </w:r>
      <w:r>
        <w:rPr>
          <w:spacing w:val="2"/>
        </w:rPr>
        <w:t xml:space="preserve"> </w:t>
      </w:r>
      <w:r>
        <w:t>debían</w:t>
      </w:r>
      <w:r>
        <w:rPr>
          <w:spacing w:val="2"/>
        </w:rPr>
        <w:t xml:space="preserve"> </w:t>
      </w:r>
      <w:r>
        <w:t>ser</w:t>
      </w:r>
      <w:r>
        <w:rPr>
          <w:spacing w:val="3"/>
        </w:rPr>
        <w:t xml:space="preserve"> </w:t>
      </w:r>
      <w:r>
        <w:t>trasladadas,</w:t>
      </w:r>
      <w:r>
        <w:rPr>
          <w:spacing w:val="3"/>
        </w:rPr>
        <w:t xml:space="preserve"> </w:t>
      </w:r>
      <w:r>
        <w:t>dando</w:t>
      </w:r>
      <w:r>
        <w:rPr>
          <w:spacing w:val="2"/>
        </w:rPr>
        <w:t xml:space="preserve"> </w:t>
      </w:r>
      <w:r>
        <w:t>lugar</w:t>
      </w:r>
      <w:r>
        <w:rPr>
          <w:spacing w:val="2"/>
        </w:rPr>
        <w:t xml:space="preserve"> </w:t>
      </w:r>
      <w:r>
        <w:t>en</w:t>
      </w:r>
      <w:r>
        <w:rPr>
          <w:spacing w:val="2"/>
        </w:rPr>
        <w:t xml:space="preserve"> </w:t>
      </w:r>
      <w:r>
        <w:t>algunos</w:t>
      </w:r>
      <w:r>
        <w:rPr>
          <w:spacing w:val="2"/>
        </w:rPr>
        <w:t xml:space="preserve"> </w:t>
      </w:r>
      <w:r>
        <w:t>casos</w:t>
      </w:r>
      <w:r>
        <w:rPr>
          <w:spacing w:val="2"/>
        </w:rPr>
        <w:t xml:space="preserve"> </w:t>
      </w:r>
      <w:r>
        <w:t>a</w:t>
      </w:r>
      <w:r>
        <w:rPr>
          <w:spacing w:val="2"/>
        </w:rPr>
        <w:t xml:space="preserve"> </w:t>
      </w:r>
      <w:r>
        <w:t>conflictos</w:t>
      </w:r>
      <w:r>
        <w:rPr>
          <w:spacing w:val="2"/>
        </w:rPr>
        <w:t xml:space="preserve"> </w:t>
      </w:r>
      <w:r>
        <w:t>comunitarios</w:t>
      </w:r>
      <w:r>
        <w:rPr>
          <w:spacing w:val="2"/>
        </w:rPr>
        <w:t xml:space="preserve"> </w:t>
      </w:r>
      <w:r>
        <w:rPr>
          <w:spacing w:val="-2"/>
        </w:rPr>
        <w:t>inter</w:t>
      </w:r>
    </w:p>
    <w:p w14:paraId="58E59259" w14:textId="77777777" w:rsidR="0014798C" w:rsidRDefault="004E1F0B">
      <w:pPr>
        <w:pStyle w:val="Textoindependiente"/>
        <w:spacing w:before="179" w:line="326" w:lineRule="auto"/>
        <w:ind w:left="1334" w:right="1590" w:hanging="2"/>
      </w:pPr>
      <w:r>
        <w:t>El</w:t>
      </w:r>
      <w:r>
        <w:rPr>
          <w:spacing w:val="-1"/>
        </w:rPr>
        <w:t xml:space="preserve"> </w:t>
      </w:r>
      <w:r>
        <w:t>contexto</w:t>
      </w:r>
      <w:r>
        <w:rPr>
          <w:spacing w:val="-1"/>
        </w:rPr>
        <w:t xml:space="preserve"> </w:t>
      </w:r>
      <w:r>
        <w:t>específico</w:t>
      </w:r>
      <w:r>
        <w:rPr>
          <w:spacing w:val="-1"/>
        </w:rPr>
        <w:t xml:space="preserve"> </w:t>
      </w:r>
      <w:r>
        <w:t>era</w:t>
      </w:r>
      <w:r>
        <w:rPr>
          <w:spacing w:val="-1"/>
        </w:rPr>
        <w:t xml:space="preserve"> </w:t>
      </w:r>
      <w:r>
        <w:t>de</w:t>
      </w:r>
      <w:r>
        <w:rPr>
          <w:spacing w:val="-1"/>
        </w:rPr>
        <w:t xml:space="preserve"> </w:t>
      </w:r>
      <w:r>
        <w:t>niveles</w:t>
      </w:r>
      <w:r>
        <w:rPr>
          <w:spacing w:val="-1"/>
        </w:rPr>
        <w:t xml:space="preserve"> </w:t>
      </w:r>
      <w:r>
        <w:t>muy</w:t>
      </w:r>
      <w:r>
        <w:rPr>
          <w:spacing w:val="-1"/>
        </w:rPr>
        <w:t xml:space="preserve"> </w:t>
      </w:r>
      <w:r>
        <w:t>altos</w:t>
      </w:r>
      <w:r>
        <w:rPr>
          <w:spacing w:val="-1"/>
        </w:rPr>
        <w:t xml:space="preserve"> </w:t>
      </w:r>
      <w:r>
        <w:t>de</w:t>
      </w:r>
      <w:r>
        <w:rPr>
          <w:spacing w:val="-1"/>
        </w:rPr>
        <w:t xml:space="preserve"> </w:t>
      </w:r>
      <w:r>
        <w:t>antipatía</w:t>
      </w:r>
      <w:r>
        <w:rPr>
          <w:spacing w:val="-1"/>
        </w:rPr>
        <w:t xml:space="preserve"> </w:t>
      </w:r>
      <w:r>
        <w:t>hacia</w:t>
      </w:r>
      <w:r>
        <w:rPr>
          <w:spacing w:val="-1"/>
        </w:rPr>
        <w:t xml:space="preserve"> </w:t>
      </w:r>
      <w:r>
        <w:t>los</w:t>
      </w:r>
      <w:r>
        <w:rPr>
          <w:spacing w:val="-1"/>
        </w:rPr>
        <w:t xml:space="preserve"> </w:t>
      </w:r>
      <w:r>
        <w:t>romaníes; Como</w:t>
      </w:r>
      <w:r>
        <w:rPr>
          <w:spacing w:val="-1"/>
        </w:rPr>
        <w:t xml:space="preserve"> </w:t>
      </w:r>
      <w:r>
        <w:t>señaló</w:t>
      </w:r>
      <w:r>
        <w:rPr>
          <w:spacing w:val="-1"/>
        </w:rPr>
        <w:t xml:space="preserve"> </w:t>
      </w:r>
      <w:r>
        <w:t>el</w:t>
      </w:r>
      <w:r>
        <w:rPr>
          <w:spacing w:val="-1"/>
        </w:rPr>
        <w:t xml:space="preserve"> </w:t>
      </w:r>
      <w:r>
        <w:t>Relator</w:t>
      </w:r>
      <w:r>
        <w:rPr>
          <w:spacing w:val="-1"/>
        </w:rPr>
        <w:t xml:space="preserve"> </w:t>
      </w:r>
      <w:r>
        <w:t>Especial</w:t>
      </w:r>
      <w:r>
        <w:rPr>
          <w:spacing w:val="-1"/>
        </w:rPr>
        <w:t xml:space="preserve"> </w:t>
      </w:r>
      <w:r>
        <w:t>sobre una vivienda adecuada como componente del derecho a un nivel de vida adecuado y sobre el derecho a la no discriminación en este contexto: “el número desproporcionado de desalojos de romaníes y</w:t>
      </w:r>
    </w:p>
    <w:p w14:paraId="7A2C4FD2" w14:textId="77777777" w:rsidR="0014798C" w:rsidRDefault="0014798C">
      <w:pPr>
        <w:pStyle w:val="Textoindependiente"/>
        <w:rPr>
          <w:sz w:val="13"/>
        </w:rPr>
      </w:pPr>
    </w:p>
    <w:p w14:paraId="10FF3649" w14:textId="77777777" w:rsidR="0014798C" w:rsidRDefault="0014798C">
      <w:pPr>
        <w:pStyle w:val="Textoindependiente"/>
        <w:rPr>
          <w:sz w:val="13"/>
        </w:rPr>
      </w:pPr>
    </w:p>
    <w:p w14:paraId="29D23FE6" w14:textId="77777777" w:rsidR="0014798C" w:rsidRDefault="0014798C">
      <w:pPr>
        <w:pStyle w:val="Textoindependiente"/>
        <w:spacing w:before="1"/>
        <w:rPr>
          <w:sz w:val="13"/>
        </w:rPr>
      </w:pPr>
    </w:p>
    <w:p w14:paraId="01EA28EF" w14:textId="77777777" w:rsidR="0014798C" w:rsidRDefault="004E1F0B">
      <w:pPr>
        <w:ind w:left="1111"/>
        <w:rPr>
          <w:sz w:val="13"/>
        </w:rPr>
      </w:pPr>
      <w:r>
        <w:rPr>
          <w:sz w:val="13"/>
        </w:rPr>
        <w:t>1082</w:t>
      </w:r>
      <w:r>
        <w:rPr>
          <w:spacing w:val="-9"/>
          <w:sz w:val="13"/>
        </w:rPr>
        <w:t xml:space="preserve"> </w:t>
      </w:r>
      <w:r>
        <w:rPr>
          <w:sz w:val="13"/>
        </w:rPr>
        <w:t>Comité</w:t>
      </w:r>
      <w:r>
        <w:rPr>
          <w:spacing w:val="-9"/>
          <w:sz w:val="13"/>
        </w:rPr>
        <w:t xml:space="preserve"> </w:t>
      </w:r>
      <w:r>
        <w:rPr>
          <w:sz w:val="13"/>
        </w:rPr>
        <w:t>de</w:t>
      </w:r>
      <w:r>
        <w:rPr>
          <w:spacing w:val="-9"/>
          <w:sz w:val="13"/>
        </w:rPr>
        <w:t xml:space="preserve"> </w:t>
      </w:r>
      <w:r>
        <w:rPr>
          <w:sz w:val="13"/>
        </w:rPr>
        <w:t>Derechos</w:t>
      </w:r>
      <w:r>
        <w:rPr>
          <w:spacing w:val="-9"/>
          <w:sz w:val="13"/>
        </w:rPr>
        <w:t xml:space="preserve"> </w:t>
      </w:r>
      <w:r>
        <w:rPr>
          <w:sz w:val="13"/>
        </w:rPr>
        <w:t>Humanos,</w:t>
      </w:r>
      <w:r>
        <w:rPr>
          <w:spacing w:val="-9"/>
          <w:sz w:val="13"/>
        </w:rPr>
        <w:t xml:space="preserve"> </w:t>
      </w:r>
      <w:r>
        <w:rPr>
          <w:sz w:val="13"/>
        </w:rPr>
        <w:t>observación</w:t>
      </w:r>
      <w:r>
        <w:rPr>
          <w:spacing w:val="-9"/>
          <w:sz w:val="13"/>
        </w:rPr>
        <w:t xml:space="preserve"> </w:t>
      </w:r>
      <w:r>
        <w:rPr>
          <w:sz w:val="13"/>
        </w:rPr>
        <w:t>general</w:t>
      </w:r>
      <w:r>
        <w:rPr>
          <w:spacing w:val="-9"/>
          <w:sz w:val="13"/>
        </w:rPr>
        <w:t xml:space="preserve"> </w:t>
      </w:r>
      <w:r>
        <w:rPr>
          <w:sz w:val="13"/>
        </w:rPr>
        <w:t>núm.</w:t>
      </w:r>
      <w:r>
        <w:rPr>
          <w:spacing w:val="-9"/>
          <w:sz w:val="13"/>
        </w:rPr>
        <w:t xml:space="preserve"> </w:t>
      </w:r>
      <w:r>
        <w:rPr>
          <w:sz w:val="13"/>
        </w:rPr>
        <w:t>23</w:t>
      </w:r>
      <w:r>
        <w:rPr>
          <w:spacing w:val="-9"/>
          <w:sz w:val="13"/>
        </w:rPr>
        <w:t xml:space="preserve"> </w:t>
      </w:r>
      <w:r>
        <w:rPr>
          <w:sz w:val="13"/>
        </w:rPr>
        <w:t>(1994),</w:t>
      </w:r>
      <w:r>
        <w:rPr>
          <w:spacing w:val="-8"/>
          <w:sz w:val="13"/>
        </w:rPr>
        <w:t xml:space="preserve"> </w:t>
      </w:r>
      <w:r>
        <w:rPr>
          <w:sz w:val="13"/>
        </w:rPr>
        <w:t>párr.</w:t>
      </w:r>
      <w:r>
        <w:rPr>
          <w:spacing w:val="-8"/>
          <w:sz w:val="13"/>
        </w:rPr>
        <w:t xml:space="preserve"> </w:t>
      </w:r>
      <w:r>
        <w:rPr>
          <w:spacing w:val="-5"/>
          <w:sz w:val="13"/>
        </w:rPr>
        <w:t>7.</w:t>
      </w:r>
    </w:p>
    <w:p w14:paraId="0F310C27" w14:textId="77777777" w:rsidR="0014798C" w:rsidRDefault="004E1F0B">
      <w:pPr>
        <w:spacing w:before="87"/>
        <w:ind w:left="1111"/>
        <w:rPr>
          <w:sz w:val="13"/>
        </w:rPr>
      </w:pPr>
      <w:r>
        <w:rPr>
          <w:sz w:val="13"/>
        </w:rPr>
        <w:t>1083</w:t>
      </w:r>
      <w:r>
        <w:rPr>
          <w:spacing w:val="-8"/>
          <w:sz w:val="13"/>
        </w:rPr>
        <w:t xml:space="preserve"> </w:t>
      </w:r>
      <w:proofErr w:type="spellStart"/>
      <w:r>
        <w:rPr>
          <w:sz w:val="13"/>
        </w:rPr>
        <w:t>Ibíd</w:t>
      </w:r>
      <w:proofErr w:type="spellEnd"/>
      <w:r>
        <w:rPr>
          <w:sz w:val="13"/>
        </w:rPr>
        <w:t>.,</w:t>
      </w:r>
      <w:r>
        <w:rPr>
          <w:spacing w:val="-8"/>
          <w:sz w:val="13"/>
        </w:rPr>
        <w:t xml:space="preserve"> </w:t>
      </w:r>
      <w:r>
        <w:rPr>
          <w:sz w:val="13"/>
        </w:rPr>
        <w:t>párr.</w:t>
      </w:r>
      <w:r>
        <w:rPr>
          <w:spacing w:val="-7"/>
          <w:sz w:val="13"/>
        </w:rPr>
        <w:t xml:space="preserve"> </w:t>
      </w:r>
      <w:r>
        <w:rPr>
          <w:spacing w:val="-4"/>
          <w:sz w:val="13"/>
        </w:rPr>
        <w:t>6.2.</w:t>
      </w:r>
    </w:p>
    <w:p w14:paraId="67ABF7E7" w14:textId="77777777" w:rsidR="0014798C" w:rsidRDefault="004E1F0B">
      <w:pPr>
        <w:spacing w:before="87"/>
        <w:ind w:left="1111"/>
        <w:rPr>
          <w:sz w:val="13"/>
        </w:rPr>
      </w:pPr>
      <w:r>
        <w:rPr>
          <w:sz w:val="13"/>
        </w:rPr>
        <w:t>1084</w:t>
      </w:r>
      <w:r>
        <w:rPr>
          <w:spacing w:val="-8"/>
          <w:sz w:val="13"/>
        </w:rPr>
        <w:t xml:space="preserve"> </w:t>
      </w:r>
      <w:proofErr w:type="spellStart"/>
      <w:r>
        <w:rPr>
          <w:sz w:val="13"/>
        </w:rPr>
        <w:t>Ibíd</w:t>
      </w:r>
      <w:proofErr w:type="spellEnd"/>
      <w:r>
        <w:rPr>
          <w:sz w:val="13"/>
        </w:rPr>
        <w:t>.,</w:t>
      </w:r>
      <w:r>
        <w:rPr>
          <w:spacing w:val="-8"/>
          <w:sz w:val="13"/>
        </w:rPr>
        <w:t xml:space="preserve"> </w:t>
      </w:r>
      <w:r>
        <w:rPr>
          <w:sz w:val="13"/>
        </w:rPr>
        <w:t>párr.</w:t>
      </w:r>
      <w:r>
        <w:rPr>
          <w:spacing w:val="-7"/>
          <w:sz w:val="13"/>
        </w:rPr>
        <w:t xml:space="preserve"> </w:t>
      </w:r>
      <w:r>
        <w:rPr>
          <w:spacing w:val="-5"/>
          <w:sz w:val="13"/>
        </w:rPr>
        <w:t>8.</w:t>
      </w:r>
    </w:p>
    <w:p w14:paraId="4B52518D" w14:textId="77777777" w:rsidR="0014798C" w:rsidRDefault="004E1F0B">
      <w:pPr>
        <w:spacing w:before="87"/>
        <w:ind w:left="1111"/>
        <w:rPr>
          <w:sz w:val="13"/>
        </w:rPr>
      </w:pPr>
      <w:r>
        <w:rPr>
          <w:sz w:val="13"/>
        </w:rPr>
        <w:t>1085</w:t>
      </w:r>
      <w:r>
        <w:rPr>
          <w:spacing w:val="-9"/>
          <w:sz w:val="13"/>
        </w:rPr>
        <w:t xml:space="preserve"> </w:t>
      </w:r>
      <w:r>
        <w:rPr>
          <w:sz w:val="13"/>
        </w:rPr>
        <w:t>Comité</w:t>
      </w:r>
      <w:r>
        <w:rPr>
          <w:spacing w:val="-9"/>
          <w:sz w:val="13"/>
        </w:rPr>
        <w:t xml:space="preserve"> </w:t>
      </w:r>
      <w:r>
        <w:rPr>
          <w:sz w:val="13"/>
        </w:rPr>
        <w:t>de</w:t>
      </w:r>
      <w:r>
        <w:rPr>
          <w:spacing w:val="-9"/>
          <w:sz w:val="13"/>
        </w:rPr>
        <w:t xml:space="preserve"> </w:t>
      </w:r>
      <w:r>
        <w:rPr>
          <w:sz w:val="13"/>
        </w:rPr>
        <w:t>Derechos</w:t>
      </w:r>
      <w:r>
        <w:rPr>
          <w:spacing w:val="-9"/>
          <w:sz w:val="13"/>
        </w:rPr>
        <w:t xml:space="preserve"> </w:t>
      </w:r>
      <w:r>
        <w:rPr>
          <w:sz w:val="13"/>
        </w:rPr>
        <w:t>Humanos,</w:t>
      </w:r>
      <w:r>
        <w:rPr>
          <w:spacing w:val="-9"/>
          <w:sz w:val="13"/>
        </w:rPr>
        <w:t xml:space="preserve"> </w:t>
      </w:r>
      <w:r>
        <w:rPr>
          <w:sz w:val="13"/>
        </w:rPr>
        <w:t>observación</w:t>
      </w:r>
      <w:r>
        <w:rPr>
          <w:spacing w:val="-9"/>
          <w:sz w:val="13"/>
        </w:rPr>
        <w:t xml:space="preserve"> </w:t>
      </w:r>
      <w:r>
        <w:rPr>
          <w:sz w:val="13"/>
        </w:rPr>
        <w:t>general</w:t>
      </w:r>
      <w:r>
        <w:rPr>
          <w:spacing w:val="-9"/>
          <w:sz w:val="13"/>
        </w:rPr>
        <w:t xml:space="preserve"> </w:t>
      </w:r>
      <w:r>
        <w:rPr>
          <w:sz w:val="13"/>
        </w:rPr>
        <w:t>núm.</w:t>
      </w:r>
      <w:r>
        <w:rPr>
          <w:spacing w:val="-9"/>
          <w:sz w:val="13"/>
        </w:rPr>
        <w:t xml:space="preserve"> </w:t>
      </w:r>
      <w:r>
        <w:rPr>
          <w:sz w:val="13"/>
        </w:rPr>
        <w:t>28</w:t>
      </w:r>
      <w:r>
        <w:rPr>
          <w:spacing w:val="-9"/>
          <w:sz w:val="13"/>
        </w:rPr>
        <w:t xml:space="preserve"> </w:t>
      </w:r>
      <w:r>
        <w:rPr>
          <w:sz w:val="13"/>
        </w:rPr>
        <w:t>(2000),</w:t>
      </w:r>
      <w:r>
        <w:rPr>
          <w:spacing w:val="-8"/>
          <w:sz w:val="13"/>
        </w:rPr>
        <w:t xml:space="preserve"> </w:t>
      </w:r>
      <w:r>
        <w:rPr>
          <w:sz w:val="13"/>
        </w:rPr>
        <w:t>párr.</w:t>
      </w:r>
      <w:r>
        <w:rPr>
          <w:spacing w:val="-8"/>
          <w:sz w:val="13"/>
        </w:rPr>
        <w:t xml:space="preserve"> </w:t>
      </w:r>
      <w:r>
        <w:rPr>
          <w:spacing w:val="-5"/>
          <w:sz w:val="13"/>
        </w:rPr>
        <w:t>32.</w:t>
      </w:r>
    </w:p>
    <w:p w14:paraId="300F78FF" w14:textId="77777777" w:rsidR="0014798C" w:rsidRDefault="0014798C">
      <w:pPr>
        <w:pStyle w:val="Textoindependiente"/>
        <w:rPr>
          <w:sz w:val="18"/>
        </w:rPr>
      </w:pPr>
    </w:p>
    <w:p w14:paraId="5CA1A241" w14:textId="77777777" w:rsidR="0014798C" w:rsidRDefault="0014798C">
      <w:pPr>
        <w:pStyle w:val="Textoindependiente"/>
        <w:rPr>
          <w:sz w:val="18"/>
        </w:rPr>
      </w:pPr>
    </w:p>
    <w:p w14:paraId="3FDA8CBA" w14:textId="77777777" w:rsidR="0014798C" w:rsidRDefault="0014798C">
      <w:pPr>
        <w:pStyle w:val="Textoindependiente"/>
        <w:spacing w:before="27"/>
        <w:rPr>
          <w:sz w:val="18"/>
        </w:rPr>
      </w:pPr>
    </w:p>
    <w:p w14:paraId="3E5591BD" w14:textId="77777777" w:rsidR="0014798C" w:rsidRDefault="004E1F0B">
      <w:pPr>
        <w:ind w:left="473"/>
        <w:rPr>
          <w:sz w:val="18"/>
        </w:rPr>
      </w:pPr>
      <w:r>
        <w:rPr>
          <w:spacing w:val="-5"/>
          <w:w w:val="105"/>
          <w:sz w:val="18"/>
        </w:rPr>
        <w:t>160</w:t>
      </w:r>
    </w:p>
    <w:p w14:paraId="73C4D527" w14:textId="77777777" w:rsidR="0014798C" w:rsidRDefault="0014798C">
      <w:pPr>
        <w:rPr>
          <w:sz w:val="18"/>
        </w:rPr>
        <w:sectPr w:rsidR="0014798C" w:rsidSect="00F265E4">
          <w:pgSz w:w="11900" w:h="16820"/>
          <w:pgMar w:top="340" w:right="0" w:bottom="280" w:left="200" w:header="121" w:footer="0" w:gutter="0"/>
          <w:cols w:space="720"/>
        </w:sectPr>
      </w:pPr>
    </w:p>
    <w:p w14:paraId="61321CAC" w14:textId="77777777" w:rsidR="0014798C" w:rsidRDefault="0014798C">
      <w:pPr>
        <w:pStyle w:val="Textoindependiente"/>
        <w:rPr>
          <w:sz w:val="9"/>
        </w:rPr>
      </w:pPr>
    </w:p>
    <w:p w14:paraId="5A82D4B7" w14:textId="77777777" w:rsidR="0014798C" w:rsidRDefault="0014798C">
      <w:pPr>
        <w:pStyle w:val="Textoindependiente"/>
        <w:spacing w:before="31"/>
        <w:rPr>
          <w:sz w:val="9"/>
        </w:rPr>
      </w:pPr>
    </w:p>
    <w:p w14:paraId="68274F56" w14:textId="77777777" w:rsidR="0014798C" w:rsidRDefault="004E1F0B">
      <w:pPr>
        <w:ind w:left="1111"/>
        <w:rPr>
          <w:sz w:val="9"/>
        </w:rPr>
      </w:pPr>
      <w:r>
        <w:rPr>
          <w:color w:val="803108"/>
          <w:w w:val="105"/>
          <w:sz w:val="9"/>
        </w:rPr>
        <w:t>PARTE</w:t>
      </w:r>
      <w:r>
        <w:rPr>
          <w:color w:val="803108"/>
          <w:spacing w:val="1"/>
          <w:w w:val="105"/>
          <w:sz w:val="9"/>
        </w:rPr>
        <w:t xml:space="preserve"> </w:t>
      </w:r>
      <w:r>
        <w:rPr>
          <w:color w:val="803108"/>
          <w:w w:val="105"/>
          <w:sz w:val="9"/>
        </w:rPr>
        <w:t>TRES:</w:t>
      </w:r>
      <w:r>
        <w:rPr>
          <w:color w:val="803108"/>
          <w:spacing w:val="2"/>
          <w:w w:val="105"/>
          <w:sz w:val="9"/>
        </w:rPr>
        <w:t xml:space="preserve"> </w:t>
      </w:r>
      <w:r>
        <w:rPr>
          <w:color w:val="803108"/>
          <w:w w:val="105"/>
          <w:sz w:val="9"/>
        </w:rPr>
        <w:t>PROTECCIÓN</w:t>
      </w:r>
      <w:r>
        <w:rPr>
          <w:color w:val="803108"/>
          <w:spacing w:val="2"/>
          <w:w w:val="105"/>
          <w:sz w:val="9"/>
        </w:rPr>
        <w:t xml:space="preserve"> </w:t>
      </w:r>
      <w:r>
        <w:rPr>
          <w:color w:val="803108"/>
          <w:w w:val="105"/>
          <w:sz w:val="9"/>
        </w:rPr>
        <w:t>DE</w:t>
      </w:r>
      <w:r>
        <w:rPr>
          <w:color w:val="803108"/>
          <w:spacing w:val="1"/>
          <w:w w:val="105"/>
          <w:sz w:val="9"/>
        </w:rPr>
        <w:t xml:space="preserve"> </w:t>
      </w:r>
      <w:r>
        <w:rPr>
          <w:color w:val="803108"/>
          <w:w w:val="105"/>
          <w:sz w:val="9"/>
        </w:rPr>
        <w:t>LOS</w:t>
      </w:r>
      <w:r>
        <w:rPr>
          <w:color w:val="803108"/>
          <w:spacing w:val="2"/>
          <w:w w:val="105"/>
          <w:sz w:val="9"/>
        </w:rPr>
        <w:t xml:space="preserve"> </w:t>
      </w:r>
      <w:r>
        <w:rPr>
          <w:color w:val="803108"/>
          <w:w w:val="105"/>
          <w:sz w:val="9"/>
        </w:rPr>
        <w:t>DERECHOS</w:t>
      </w:r>
      <w:r>
        <w:rPr>
          <w:color w:val="803108"/>
          <w:spacing w:val="3"/>
          <w:w w:val="105"/>
          <w:sz w:val="9"/>
        </w:rPr>
        <w:t xml:space="preserve"> </w:t>
      </w:r>
      <w:r>
        <w:rPr>
          <w:color w:val="803108"/>
          <w:w w:val="105"/>
          <w:sz w:val="9"/>
        </w:rPr>
        <w:t>DE</w:t>
      </w:r>
      <w:r>
        <w:rPr>
          <w:color w:val="803108"/>
          <w:spacing w:val="1"/>
          <w:w w:val="105"/>
          <w:sz w:val="9"/>
        </w:rPr>
        <w:t xml:space="preserve"> </w:t>
      </w:r>
      <w:r>
        <w:rPr>
          <w:color w:val="803108"/>
          <w:w w:val="105"/>
          <w:sz w:val="9"/>
        </w:rPr>
        <w:t>LAS</w:t>
      </w:r>
      <w:r>
        <w:rPr>
          <w:color w:val="803108"/>
          <w:spacing w:val="2"/>
          <w:w w:val="105"/>
          <w:sz w:val="9"/>
        </w:rPr>
        <w:t xml:space="preserve"> </w:t>
      </w:r>
      <w:r>
        <w:rPr>
          <w:color w:val="803108"/>
          <w:spacing w:val="-2"/>
          <w:w w:val="105"/>
          <w:sz w:val="9"/>
        </w:rPr>
        <w:t>MINORÍAS</w:t>
      </w:r>
    </w:p>
    <w:p w14:paraId="471B94CC" w14:textId="77777777" w:rsidR="0014798C" w:rsidRDefault="0014798C">
      <w:pPr>
        <w:pStyle w:val="Textoindependiente"/>
        <w:rPr>
          <w:sz w:val="15"/>
        </w:rPr>
      </w:pPr>
    </w:p>
    <w:p w14:paraId="082827EF" w14:textId="77777777" w:rsidR="0014798C" w:rsidRDefault="0014798C">
      <w:pPr>
        <w:pStyle w:val="Textoindependiente"/>
        <w:rPr>
          <w:sz w:val="15"/>
        </w:rPr>
      </w:pPr>
    </w:p>
    <w:p w14:paraId="0790BCCA" w14:textId="77777777" w:rsidR="0014798C" w:rsidRDefault="0014798C">
      <w:pPr>
        <w:pStyle w:val="Textoindependiente"/>
        <w:rPr>
          <w:sz w:val="15"/>
        </w:rPr>
      </w:pPr>
    </w:p>
    <w:p w14:paraId="56A7575D" w14:textId="77777777" w:rsidR="0014798C" w:rsidRDefault="0014798C">
      <w:pPr>
        <w:pStyle w:val="Textoindependiente"/>
        <w:rPr>
          <w:sz w:val="15"/>
        </w:rPr>
      </w:pPr>
    </w:p>
    <w:p w14:paraId="6CCF7DA6" w14:textId="77777777" w:rsidR="0014798C" w:rsidRDefault="0014798C">
      <w:pPr>
        <w:pStyle w:val="Textoindependiente"/>
        <w:spacing w:before="136"/>
        <w:rPr>
          <w:sz w:val="15"/>
        </w:rPr>
      </w:pPr>
    </w:p>
    <w:p w14:paraId="6F143499" w14:textId="77777777" w:rsidR="0014798C" w:rsidRDefault="004E1F0B">
      <w:pPr>
        <w:spacing w:line="348" w:lineRule="auto"/>
        <w:ind w:left="1334" w:right="1463" w:hanging="1"/>
        <w:rPr>
          <w:sz w:val="15"/>
        </w:rPr>
      </w:pPr>
      <w:r>
        <w:rPr>
          <w:noProof/>
        </w:rPr>
        <w:drawing>
          <wp:anchor distT="0" distB="0" distL="0" distR="0" simplePos="0" relativeHeight="251658475" behindDoc="1" locked="0" layoutInCell="1" allowOverlap="1" wp14:anchorId="2905A819" wp14:editId="590E93E2">
            <wp:simplePos x="0" y="0"/>
            <wp:positionH relativeFrom="page">
              <wp:posOffset>808662</wp:posOffset>
            </wp:positionH>
            <wp:positionV relativeFrom="paragraph">
              <wp:posOffset>-143576</wp:posOffset>
            </wp:positionV>
            <wp:extent cx="6747837" cy="8088035"/>
            <wp:effectExtent l="0" t="0" r="0" b="0"/>
            <wp:wrapNone/>
            <wp:docPr id="325" name="Image 32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25" name="Image 325"/>
                    <pic:cNvPicPr/>
                  </pic:nvPicPr>
                  <pic:blipFill>
                    <a:blip r:embed="rId306" cstate="print"/>
                    <a:stretch>
                      <a:fillRect/>
                    </a:stretch>
                  </pic:blipFill>
                  <pic:spPr>
                    <a:xfrm>
                      <a:off x="0" y="0"/>
                      <a:ext cx="6747837" cy="8088035"/>
                    </a:xfrm>
                    <a:prstGeom prst="rect">
                      <a:avLst/>
                    </a:prstGeom>
                  </pic:spPr>
                </pic:pic>
              </a:graphicData>
            </a:graphic>
          </wp:anchor>
        </w:drawing>
      </w:r>
      <w:r>
        <w:rPr>
          <w:w w:val="105"/>
          <w:sz w:val="15"/>
        </w:rPr>
        <w:t>El</w:t>
      </w:r>
      <w:r>
        <w:rPr>
          <w:spacing w:val="-2"/>
          <w:w w:val="105"/>
          <w:sz w:val="15"/>
        </w:rPr>
        <w:t xml:space="preserve"> </w:t>
      </w:r>
      <w:r>
        <w:rPr>
          <w:w w:val="105"/>
          <w:sz w:val="15"/>
        </w:rPr>
        <w:t>hecho</w:t>
      </w:r>
      <w:r>
        <w:rPr>
          <w:spacing w:val="-2"/>
          <w:w w:val="105"/>
          <w:sz w:val="15"/>
        </w:rPr>
        <w:t xml:space="preserve"> </w:t>
      </w:r>
      <w:r>
        <w:rPr>
          <w:w w:val="105"/>
          <w:sz w:val="15"/>
        </w:rPr>
        <w:t>de</w:t>
      </w:r>
      <w:r>
        <w:rPr>
          <w:spacing w:val="-2"/>
          <w:w w:val="105"/>
          <w:sz w:val="15"/>
        </w:rPr>
        <w:t xml:space="preserve"> </w:t>
      </w:r>
      <w:r>
        <w:rPr>
          <w:w w:val="105"/>
          <w:sz w:val="15"/>
        </w:rPr>
        <w:t>que</w:t>
      </w:r>
      <w:r>
        <w:rPr>
          <w:spacing w:val="-2"/>
          <w:w w:val="105"/>
          <w:sz w:val="15"/>
        </w:rPr>
        <w:t xml:space="preserve"> </w:t>
      </w:r>
      <w:r>
        <w:rPr>
          <w:w w:val="105"/>
          <w:sz w:val="15"/>
        </w:rPr>
        <w:t>las</w:t>
      </w:r>
      <w:r>
        <w:rPr>
          <w:spacing w:val="-2"/>
          <w:w w:val="105"/>
          <w:sz w:val="15"/>
        </w:rPr>
        <w:t xml:space="preserve"> </w:t>
      </w:r>
      <w:r>
        <w:rPr>
          <w:w w:val="105"/>
          <w:sz w:val="15"/>
        </w:rPr>
        <w:t>autoridades</w:t>
      </w:r>
      <w:r>
        <w:rPr>
          <w:spacing w:val="-2"/>
          <w:w w:val="105"/>
          <w:sz w:val="15"/>
        </w:rPr>
        <w:t xml:space="preserve"> </w:t>
      </w:r>
      <w:r>
        <w:rPr>
          <w:w w:val="105"/>
          <w:sz w:val="15"/>
        </w:rPr>
        <w:t>no</w:t>
      </w:r>
      <w:r>
        <w:rPr>
          <w:spacing w:val="-2"/>
          <w:w w:val="105"/>
          <w:sz w:val="15"/>
        </w:rPr>
        <w:t xml:space="preserve"> </w:t>
      </w:r>
      <w:r>
        <w:rPr>
          <w:w w:val="105"/>
          <w:sz w:val="15"/>
        </w:rPr>
        <w:t>proporcionen</w:t>
      </w:r>
      <w:r>
        <w:rPr>
          <w:spacing w:val="-2"/>
          <w:w w:val="105"/>
          <w:sz w:val="15"/>
        </w:rPr>
        <w:t xml:space="preserve"> </w:t>
      </w:r>
      <w:r>
        <w:rPr>
          <w:w w:val="105"/>
          <w:sz w:val="15"/>
        </w:rPr>
        <w:t>servicios</w:t>
      </w:r>
      <w:r>
        <w:rPr>
          <w:spacing w:val="-2"/>
          <w:w w:val="105"/>
          <w:sz w:val="15"/>
        </w:rPr>
        <w:t xml:space="preserve"> </w:t>
      </w:r>
      <w:r>
        <w:rPr>
          <w:w w:val="105"/>
          <w:sz w:val="15"/>
        </w:rPr>
        <w:t>básicos</w:t>
      </w:r>
      <w:r>
        <w:rPr>
          <w:spacing w:val="-2"/>
          <w:w w:val="105"/>
          <w:sz w:val="15"/>
        </w:rPr>
        <w:t xml:space="preserve"> </w:t>
      </w:r>
      <w:r>
        <w:rPr>
          <w:w w:val="105"/>
          <w:sz w:val="15"/>
        </w:rPr>
        <w:t>ni</w:t>
      </w:r>
      <w:r>
        <w:rPr>
          <w:spacing w:val="-2"/>
          <w:w w:val="105"/>
          <w:sz w:val="15"/>
        </w:rPr>
        <w:t xml:space="preserve"> </w:t>
      </w:r>
      <w:r>
        <w:rPr>
          <w:w w:val="105"/>
          <w:sz w:val="15"/>
        </w:rPr>
        <w:t>garanticen</w:t>
      </w:r>
      <w:r>
        <w:rPr>
          <w:spacing w:val="-2"/>
          <w:w w:val="105"/>
          <w:sz w:val="15"/>
        </w:rPr>
        <w:t xml:space="preserve"> </w:t>
      </w:r>
      <w:r>
        <w:rPr>
          <w:w w:val="105"/>
          <w:sz w:val="15"/>
        </w:rPr>
        <w:t>la</w:t>
      </w:r>
      <w:r>
        <w:rPr>
          <w:spacing w:val="-2"/>
          <w:w w:val="105"/>
          <w:sz w:val="15"/>
        </w:rPr>
        <w:t xml:space="preserve"> </w:t>
      </w:r>
      <w:r>
        <w:rPr>
          <w:w w:val="105"/>
          <w:sz w:val="15"/>
        </w:rPr>
        <w:t>seguridad</w:t>
      </w:r>
      <w:r>
        <w:rPr>
          <w:spacing w:val="-2"/>
          <w:w w:val="105"/>
          <w:sz w:val="15"/>
        </w:rPr>
        <w:t xml:space="preserve"> </w:t>
      </w:r>
      <w:r>
        <w:rPr>
          <w:w w:val="105"/>
          <w:sz w:val="15"/>
        </w:rPr>
        <w:t>jurídica</w:t>
      </w:r>
      <w:r>
        <w:rPr>
          <w:spacing w:val="-2"/>
          <w:w w:val="105"/>
          <w:sz w:val="15"/>
        </w:rPr>
        <w:t xml:space="preserve"> </w:t>
      </w:r>
      <w:r>
        <w:rPr>
          <w:w w:val="105"/>
          <w:sz w:val="15"/>
        </w:rPr>
        <w:t>de</w:t>
      </w:r>
      <w:r>
        <w:rPr>
          <w:spacing w:val="-2"/>
          <w:w w:val="105"/>
          <w:sz w:val="15"/>
        </w:rPr>
        <w:t xml:space="preserve"> </w:t>
      </w:r>
      <w:r>
        <w:rPr>
          <w:w w:val="105"/>
          <w:sz w:val="15"/>
        </w:rPr>
        <w:t>la</w:t>
      </w:r>
      <w:r>
        <w:rPr>
          <w:spacing w:val="-2"/>
          <w:w w:val="105"/>
          <w:sz w:val="15"/>
        </w:rPr>
        <w:t xml:space="preserve"> </w:t>
      </w:r>
      <w:r>
        <w:rPr>
          <w:w w:val="105"/>
          <w:sz w:val="15"/>
        </w:rPr>
        <w:t>tenencia</w:t>
      </w:r>
      <w:r>
        <w:rPr>
          <w:spacing w:val="-2"/>
          <w:w w:val="105"/>
          <w:sz w:val="15"/>
        </w:rPr>
        <w:t xml:space="preserve"> </w:t>
      </w:r>
      <w:r>
        <w:rPr>
          <w:w w:val="105"/>
          <w:sz w:val="15"/>
        </w:rPr>
        <w:t>a</w:t>
      </w:r>
      <w:r>
        <w:rPr>
          <w:spacing w:val="-2"/>
          <w:w w:val="105"/>
          <w:sz w:val="15"/>
        </w:rPr>
        <w:t xml:space="preserve"> </w:t>
      </w:r>
      <w:r>
        <w:rPr>
          <w:w w:val="105"/>
          <w:sz w:val="15"/>
        </w:rPr>
        <w:t>los residentes</w:t>
      </w:r>
      <w:r>
        <w:rPr>
          <w:spacing w:val="-10"/>
          <w:w w:val="105"/>
          <w:sz w:val="15"/>
        </w:rPr>
        <w:t xml:space="preserve"> </w:t>
      </w:r>
      <w:r>
        <w:rPr>
          <w:w w:val="105"/>
          <w:sz w:val="15"/>
        </w:rPr>
        <w:t>en</w:t>
      </w:r>
      <w:r>
        <w:rPr>
          <w:spacing w:val="-10"/>
          <w:w w:val="105"/>
          <w:sz w:val="15"/>
        </w:rPr>
        <w:t xml:space="preserve"> </w:t>
      </w:r>
      <w:r>
        <w:rPr>
          <w:w w:val="105"/>
          <w:sz w:val="15"/>
        </w:rPr>
        <w:t>los</w:t>
      </w:r>
      <w:r>
        <w:rPr>
          <w:spacing w:val="-10"/>
          <w:w w:val="105"/>
          <w:sz w:val="15"/>
        </w:rPr>
        <w:t xml:space="preserve"> </w:t>
      </w:r>
      <w:r>
        <w:rPr>
          <w:w w:val="105"/>
          <w:sz w:val="15"/>
        </w:rPr>
        <w:t>asentamientos</w:t>
      </w:r>
      <w:r>
        <w:rPr>
          <w:spacing w:val="-10"/>
          <w:w w:val="105"/>
          <w:sz w:val="15"/>
        </w:rPr>
        <w:t xml:space="preserve"> </w:t>
      </w:r>
      <w:r>
        <w:rPr>
          <w:w w:val="105"/>
          <w:sz w:val="15"/>
        </w:rPr>
        <w:t>refleja</w:t>
      </w:r>
      <w:r>
        <w:rPr>
          <w:spacing w:val="-10"/>
          <w:w w:val="105"/>
          <w:sz w:val="15"/>
        </w:rPr>
        <w:t xml:space="preserve"> </w:t>
      </w:r>
      <w:r>
        <w:rPr>
          <w:w w:val="105"/>
          <w:sz w:val="15"/>
        </w:rPr>
        <w:t>una</w:t>
      </w:r>
      <w:r>
        <w:rPr>
          <w:spacing w:val="-10"/>
          <w:w w:val="105"/>
          <w:sz w:val="15"/>
        </w:rPr>
        <w:t xml:space="preserve"> </w:t>
      </w:r>
      <w:r>
        <w:rPr>
          <w:w w:val="105"/>
          <w:sz w:val="15"/>
        </w:rPr>
        <w:t>estigmatización</w:t>
      </w:r>
      <w:r>
        <w:rPr>
          <w:spacing w:val="-10"/>
          <w:w w:val="105"/>
          <w:sz w:val="15"/>
        </w:rPr>
        <w:t xml:space="preserve"> </w:t>
      </w:r>
      <w:r>
        <w:rPr>
          <w:w w:val="105"/>
          <w:sz w:val="15"/>
        </w:rPr>
        <w:t>y</w:t>
      </w:r>
      <w:r>
        <w:rPr>
          <w:spacing w:val="-10"/>
          <w:w w:val="105"/>
          <w:sz w:val="15"/>
        </w:rPr>
        <w:t xml:space="preserve"> </w:t>
      </w:r>
      <w:r>
        <w:rPr>
          <w:w w:val="105"/>
          <w:sz w:val="15"/>
        </w:rPr>
        <w:t>discriminación</w:t>
      </w:r>
      <w:r>
        <w:rPr>
          <w:spacing w:val="-10"/>
          <w:w w:val="105"/>
          <w:sz w:val="15"/>
        </w:rPr>
        <w:t xml:space="preserve"> </w:t>
      </w:r>
      <w:r>
        <w:rPr>
          <w:w w:val="105"/>
          <w:sz w:val="15"/>
        </w:rPr>
        <w:t>contra</w:t>
      </w:r>
      <w:r>
        <w:rPr>
          <w:spacing w:val="-10"/>
          <w:w w:val="105"/>
          <w:sz w:val="15"/>
        </w:rPr>
        <w:t xml:space="preserve"> </w:t>
      </w:r>
      <w:r>
        <w:rPr>
          <w:w w:val="105"/>
          <w:sz w:val="15"/>
        </w:rPr>
        <w:t>los</w:t>
      </w:r>
      <w:r>
        <w:rPr>
          <w:spacing w:val="-10"/>
          <w:w w:val="105"/>
          <w:sz w:val="15"/>
        </w:rPr>
        <w:t xml:space="preserve"> </w:t>
      </w:r>
      <w:r>
        <w:rPr>
          <w:w w:val="105"/>
          <w:sz w:val="15"/>
        </w:rPr>
        <w:t>romaníes”.1086</w:t>
      </w:r>
      <w:r>
        <w:rPr>
          <w:spacing w:val="-10"/>
          <w:w w:val="105"/>
          <w:sz w:val="15"/>
        </w:rPr>
        <w:t xml:space="preserve"> </w:t>
      </w:r>
      <w:r>
        <w:rPr>
          <w:w w:val="105"/>
          <w:sz w:val="15"/>
        </w:rPr>
        <w:t>Como</w:t>
      </w:r>
      <w:r>
        <w:rPr>
          <w:spacing w:val="-10"/>
          <w:w w:val="105"/>
          <w:sz w:val="15"/>
        </w:rPr>
        <w:t xml:space="preserve"> </w:t>
      </w:r>
      <w:r>
        <w:rPr>
          <w:w w:val="105"/>
          <w:sz w:val="15"/>
        </w:rPr>
        <w:t>resultado,</w:t>
      </w:r>
      <w:r>
        <w:rPr>
          <w:spacing w:val="-9"/>
          <w:w w:val="105"/>
          <w:sz w:val="15"/>
        </w:rPr>
        <w:t xml:space="preserve"> </w:t>
      </w:r>
      <w:r>
        <w:rPr>
          <w:w w:val="105"/>
          <w:sz w:val="15"/>
        </w:rPr>
        <w:t>el Relator Especial comentó:</w:t>
      </w:r>
    </w:p>
    <w:p w14:paraId="7532D5FA" w14:textId="77777777" w:rsidR="0014798C" w:rsidRDefault="004E1F0B">
      <w:pPr>
        <w:spacing w:before="113" w:line="348" w:lineRule="auto"/>
        <w:ind w:left="1673" w:right="1642" w:hanging="1"/>
        <w:rPr>
          <w:sz w:val="15"/>
        </w:rPr>
      </w:pPr>
      <w:r>
        <w:rPr>
          <w:w w:val="105"/>
          <w:sz w:val="15"/>
        </w:rPr>
        <w:t>En</w:t>
      </w:r>
      <w:r>
        <w:rPr>
          <w:spacing w:val="-1"/>
          <w:w w:val="105"/>
          <w:sz w:val="15"/>
        </w:rPr>
        <w:t xml:space="preserve"> </w:t>
      </w:r>
      <w:r>
        <w:rPr>
          <w:w w:val="105"/>
          <w:sz w:val="15"/>
        </w:rPr>
        <w:t>abril</w:t>
      </w:r>
      <w:r>
        <w:rPr>
          <w:spacing w:val="-1"/>
          <w:w w:val="105"/>
          <w:sz w:val="15"/>
        </w:rPr>
        <w:t xml:space="preserve"> </w:t>
      </w:r>
      <w:r>
        <w:rPr>
          <w:w w:val="105"/>
          <w:sz w:val="15"/>
        </w:rPr>
        <w:t>de</w:t>
      </w:r>
      <w:r>
        <w:rPr>
          <w:spacing w:val="-1"/>
          <w:w w:val="105"/>
          <w:sz w:val="15"/>
        </w:rPr>
        <w:t xml:space="preserve"> </w:t>
      </w:r>
      <w:r>
        <w:rPr>
          <w:w w:val="105"/>
          <w:sz w:val="15"/>
        </w:rPr>
        <w:t>2012,</w:t>
      </w:r>
      <w:r>
        <w:rPr>
          <w:spacing w:val="-1"/>
          <w:w w:val="105"/>
          <w:sz w:val="15"/>
        </w:rPr>
        <w:t xml:space="preserve"> </w:t>
      </w:r>
      <w:r>
        <w:rPr>
          <w:w w:val="105"/>
          <w:sz w:val="15"/>
        </w:rPr>
        <w:t>el</w:t>
      </w:r>
      <w:r>
        <w:rPr>
          <w:spacing w:val="-1"/>
          <w:w w:val="105"/>
          <w:sz w:val="15"/>
        </w:rPr>
        <w:t xml:space="preserve"> </w:t>
      </w:r>
      <w:r>
        <w:rPr>
          <w:w w:val="105"/>
          <w:sz w:val="15"/>
        </w:rPr>
        <w:t>anterior</w:t>
      </w:r>
      <w:r>
        <w:rPr>
          <w:spacing w:val="-1"/>
          <w:w w:val="105"/>
          <w:sz w:val="15"/>
        </w:rPr>
        <w:t xml:space="preserve"> </w:t>
      </w:r>
      <w:r>
        <w:rPr>
          <w:w w:val="105"/>
          <w:sz w:val="15"/>
        </w:rPr>
        <w:t>titular</w:t>
      </w:r>
      <w:r>
        <w:rPr>
          <w:spacing w:val="-1"/>
          <w:w w:val="105"/>
          <w:sz w:val="15"/>
        </w:rPr>
        <w:t xml:space="preserve"> </w:t>
      </w:r>
      <w:r>
        <w:rPr>
          <w:w w:val="105"/>
          <w:sz w:val="15"/>
        </w:rPr>
        <w:t>del</w:t>
      </w:r>
      <w:r>
        <w:rPr>
          <w:spacing w:val="-1"/>
          <w:w w:val="105"/>
          <w:sz w:val="15"/>
        </w:rPr>
        <w:t xml:space="preserve"> </w:t>
      </w:r>
      <w:r>
        <w:rPr>
          <w:w w:val="105"/>
          <w:sz w:val="15"/>
        </w:rPr>
        <w:t>mandato</w:t>
      </w:r>
      <w:r>
        <w:rPr>
          <w:spacing w:val="-1"/>
          <w:w w:val="105"/>
          <w:sz w:val="15"/>
        </w:rPr>
        <w:t xml:space="preserve"> </w:t>
      </w:r>
      <w:r>
        <w:rPr>
          <w:w w:val="105"/>
          <w:sz w:val="15"/>
        </w:rPr>
        <w:t>hizo</w:t>
      </w:r>
      <w:r>
        <w:rPr>
          <w:spacing w:val="-1"/>
          <w:w w:val="105"/>
          <w:sz w:val="15"/>
        </w:rPr>
        <w:t xml:space="preserve"> </w:t>
      </w:r>
      <w:r>
        <w:rPr>
          <w:w w:val="105"/>
          <w:sz w:val="15"/>
        </w:rPr>
        <w:t>un</w:t>
      </w:r>
      <w:r>
        <w:rPr>
          <w:spacing w:val="-1"/>
          <w:w w:val="105"/>
          <w:sz w:val="15"/>
        </w:rPr>
        <w:t xml:space="preserve"> </w:t>
      </w:r>
      <w:r>
        <w:rPr>
          <w:w w:val="105"/>
          <w:sz w:val="15"/>
        </w:rPr>
        <w:t>llamamiento</w:t>
      </w:r>
      <w:r>
        <w:rPr>
          <w:spacing w:val="-1"/>
          <w:w w:val="105"/>
          <w:sz w:val="15"/>
        </w:rPr>
        <w:t xml:space="preserve"> </w:t>
      </w:r>
      <w:r>
        <w:rPr>
          <w:w w:val="105"/>
          <w:sz w:val="15"/>
        </w:rPr>
        <w:t>urgente</w:t>
      </w:r>
      <w:r>
        <w:rPr>
          <w:spacing w:val="-1"/>
          <w:w w:val="105"/>
          <w:sz w:val="15"/>
        </w:rPr>
        <w:t xml:space="preserve"> </w:t>
      </w:r>
      <w:r>
        <w:rPr>
          <w:w w:val="105"/>
          <w:sz w:val="15"/>
        </w:rPr>
        <w:t>en</w:t>
      </w:r>
      <w:r>
        <w:rPr>
          <w:spacing w:val="-1"/>
          <w:w w:val="105"/>
          <w:sz w:val="15"/>
        </w:rPr>
        <w:t xml:space="preserve"> </w:t>
      </w:r>
      <w:r>
        <w:rPr>
          <w:w w:val="105"/>
          <w:sz w:val="15"/>
        </w:rPr>
        <w:t>relación</w:t>
      </w:r>
      <w:r>
        <w:rPr>
          <w:spacing w:val="-1"/>
          <w:w w:val="105"/>
          <w:sz w:val="15"/>
        </w:rPr>
        <w:t xml:space="preserve"> </w:t>
      </w:r>
      <w:r>
        <w:rPr>
          <w:w w:val="105"/>
          <w:sz w:val="15"/>
        </w:rPr>
        <w:t>con</w:t>
      </w:r>
      <w:r>
        <w:rPr>
          <w:spacing w:val="-1"/>
          <w:w w:val="105"/>
          <w:sz w:val="15"/>
        </w:rPr>
        <w:t xml:space="preserve"> </w:t>
      </w:r>
      <w:r>
        <w:rPr>
          <w:w w:val="105"/>
          <w:sz w:val="15"/>
        </w:rPr>
        <w:t>el</w:t>
      </w:r>
      <w:r>
        <w:rPr>
          <w:spacing w:val="-1"/>
          <w:w w:val="105"/>
          <w:sz w:val="15"/>
        </w:rPr>
        <w:t xml:space="preserve"> </w:t>
      </w:r>
      <w:r>
        <w:rPr>
          <w:w w:val="105"/>
          <w:sz w:val="15"/>
        </w:rPr>
        <w:t>desalojo</w:t>
      </w:r>
      <w:r>
        <w:rPr>
          <w:spacing w:val="-1"/>
          <w:w w:val="105"/>
          <w:sz w:val="15"/>
        </w:rPr>
        <w:t xml:space="preserve"> </w:t>
      </w:r>
      <w:r>
        <w:rPr>
          <w:w w:val="105"/>
          <w:sz w:val="15"/>
        </w:rPr>
        <w:t>de aproximadamente</w:t>
      </w:r>
      <w:r>
        <w:rPr>
          <w:spacing w:val="-4"/>
          <w:w w:val="105"/>
          <w:sz w:val="15"/>
        </w:rPr>
        <w:t xml:space="preserve"> </w:t>
      </w:r>
      <w:r>
        <w:rPr>
          <w:w w:val="105"/>
          <w:sz w:val="15"/>
        </w:rPr>
        <w:t>240</w:t>
      </w:r>
      <w:r>
        <w:rPr>
          <w:spacing w:val="-4"/>
          <w:w w:val="105"/>
          <w:sz w:val="15"/>
        </w:rPr>
        <w:t xml:space="preserve"> </w:t>
      </w:r>
      <w:r>
        <w:rPr>
          <w:w w:val="105"/>
          <w:sz w:val="15"/>
        </w:rPr>
        <w:t>hogares,</w:t>
      </w:r>
      <w:r>
        <w:rPr>
          <w:spacing w:val="-3"/>
          <w:w w:val="105"/>
          <w:sz w:val="15"/>
        </w:rPr>
        <w:t xml:space="preserve"> </w:t>
      </w:r>
      <w:r>
        <w:rPr>
          <w:w w:val="105"/>
          <w:sz w:val="15"/>
        </w:rPr>
        <w:t>principalmente</w:t>
      </w:r>
      <w:r>
        <w:rPr>
          <w:spacing w:val="-4"/>
          <w:w w:val="105"/>
          <w:sz w:val="15"/>
        </w:rPr>
        <w:t xml:space="preserve"> </w:t>
      </w:r>
      <w:r>
        <w:rPr>
          <w:w w:val="105"/>
          <w:sz w:val="15"/>
        </w:rPr>
        <w:t>romaníes,</w:t>
      </w:r>
      <w:r>
        <w:rPr>
          <w:spacing w:val="-3"/>
          <w:w w:val="105"/>
          <w:sz w:val="15"/>
        </w:rPr>
        <w:t xml:space="preserve"> </w:t>
      </w:r>
      <w:r>
        <w:rPr>
          <w:w w:val="105"/>
          <w:sz w:val="15"/>
        </w:rPr>
        <w:t>del</w:t>
      </w:r>
      <w:r>
        <w:rPr>
          <w:spacing w:val="-4"/>
          <w:w w:val="105"/>
          <w:sz w:val="15"/>
        </w:rPr>
        <w:t xml:space="preserve"> </w:t>
      </w:r>
      <w:r>
        <w:rPr>
          <w:w w:val="105"/>
          <w:sz w:val="15"/>
        </w:rPr>
        <w:t>asentamiento</w:t>
      </w:r>
      <w:r>
        <w:rPr>
          <w:spacing w:val="-4"/>
          <w:w w:val="105"/>
          <w:sz w:val="15"/>
        </w:rPr>
        <w:t xml:space="preserve"> </w:t>
      </w:r>
      <w:r>
        <w:rPr>
          <w:w w:val="105"/>
          <w:sz w:val="15"/>
        </w:rPr>
        <w:t>de</w:t>
      </w:r>
      <w:r>
        <w:rPr>
          <w:spacing w:val="-4"/>
          <w:w w:val="105"/>
          <w:sz w:val="15"/>
        </w:rPr>
        <w:t xml:space="preserve"> </w:t>
      </w:r>
      <w:proofErr w:type="spellStart"/>
      <w:r>
        <w:rPr>
          <w:w w:val="105"/>
          <w:sz w:val="15"/>
        </w:rPr>
        <w:t>Belvil</w:t>
      </w:r>
      <w:proofErr w:type="spellEnd"/>
      <w:r>
        <w:rPr>
          <w:spacing w:val="-4"/>
          <w:w w:val="105"/>
          <w:sz w:val="15"/>
        </w:rPr>
        <w:t xml:space="preserve"> </w:t>
      </w:r>
      <w:r>
        <w:rPr>
          <w:w w:val="105"/>
          <w:sz w:val="15"/>
        </w:rPr>
        <w:t>en</w:t>
      </w:r>
      <w:r>
        <w:rPr>
          <w:spacing w:val="-4"/>
          <w:w w:val="105"/>
          <w:sz w:val="15"/>
        </w:rPr>
        <w:t xml:space="preserve"> </w:t>
      </w:r>
      <w:r>
        <w:rPr>
          <w:w w:val="105"/>
          <w:sz w:val="15"/>
        </w:rPr>
        <w:t>Belgrado.</w:t>
      </w:r>
      <w:r>
        <w:rPr>
          <w:spacing w:val="-3"/>
          <w:w w:val="105"/>
          <w:sz w:val="15"/>
        </w:rPr>
        <w:t xml:space="preserve"> </w:t>
      </w:r>
      <w:r>
        <w:rPr>
          <w:w w:val="105"/>
          <w:sz w:val="15"/>
        </w:rPr>
        <w:t>Aunque</w:t>
      </w:r>
      <w:r>
        <w:rPr>
          <w:spacing w:val="-4"/>
          <w:w w:val="105"/>
          <w:sz w:val="15"/>
        </w:rPr>
        <w:t xml:space="preserve"> </w:t>
      </w:r>
      <w:r>
        <w:rPr>
          <w:w w:val="105"/>
          <w:sz w:val="15"/>
        </w:rPr>
        <w:t>fueron reubicados</w:t>
      </w:r>
      <w:r>
        <w:rPr>
          <w:spacing w:val="-6"/>
          <w:w w:val="105"/>
          <w:sz w:val="15"/>
        </w:rPr>
        <w:t xml:space="preserve"> </w:t>
      </w:r>
      <w:r>
        <w:rPr>
          <w:w w:val="105"/>
          <w:sz w:val="15"/>
        </w:rPr>
        <w:t>en</w:t>
      </w:r>
      <w:r>
        <w:rPr>
          <w:spacing w:val="-6"/>
          <w:w w:val="105"/>
          <w:sz w:val="15"/>
        </w:rPr>
        <w:t xml:space="preserve"> </w:t>
      </w:r>
      <w:r>
        <w:rPr>
          <w:w w:val="105"/>
          <w:sz w:val="15"/>
        </w:rPr>
        <w:t>cuatro</w:t>
      </w:r>
      <w:r>
        <w:rPr>
          <w:spacing w:val="-6"/>
          <w:w w:val="105"/>
          <w:sz w:val="15"/>
        </w:rPr>
        <w:t xml:space="preserve"> </w:t>
      </w:r>
      <w:r>
        <w:rPr>
          <w:w w:val="105"/>
          <w:sz w:val="15"/>
        </w:rPr>
        <w:t>asentamientos</w:t>
      </w:r>
      <w:r>
        <w:rPr>
          <w:spacing w:val="-6"/>
          <w:w w:val="105"/>
          <w:sz w:val="15"/>
        </w:rPr>
        <w:t xml:space="preserve"> </w:t>
      </w:r>
      <w:r>
        <w:rPr>
          <w:w w:val="105"/>
          <w:sz w:val="15"/>
        </w:rPr>
        <w:t>en</w:t>
      </w:r>
      <w:r>
        <w:rPr>
          <w:spacing w:val="-6"/>
          <w:w w:val="105"/>
          <w:sz w:val="15"/>
        </w:rPr>
        <w:t xml:space="preserve"> </w:t>
      </w:r>
      <w:r>
        <w:rPr>
          <w:w w:val="105"/>
          <w:sz w:val="15"/>
        </w:rPr>
        <w:t>las</w:t>
      </w:r>
      <w:r>
        <w:rPr>
          <w:spacing w:val="-6"/>
          <w:w w:val="105"/>
          <w:sz w:val="15"/>
        </w:rPr>
        <w:t xml:space="preserve"> </w:t>
      </w:r>
      <w:r>
        <w:rPr>
          <w:w w:val="105"/>
          <w:sz w:val="15"/>
        </w:rPr>
        <w:t>afueras</w:t>
      </w:r>
      <w:r>
        <w:rPr>
          <w:spacing w:val="-6"/>
          <w:w w:val="105"/>
          <w:sz w:val="15"/>
        </w:rPr>
        <w:t xml:space="preserve"> </w:t>
      </w:r>
      <w:r>
        <w:rPr>
          <w:w w:val="105"/>
          <w:sz w:val="15"/>
        </w:rPr>
        <w:t>de</w:t>
      </w:r>
      <w:r>
        <w:rPr>
          <w:spacing w:val="-6"/>
          <w:w w:val="105"/>
          <w:sz w:val="15"/>
        </w:rPr>
        <w:t xml:space="preserve"> </w:t>
      </w:r>
      <w:r>
        <w:rPr>
          <w:w w:val="105"/>
          <w:sz w:val="15"/>
        </w:rPr>
        <w:t>la</w:t>
      </w:r>
      <w:r>
        <w:rPr>
          <w:spacing w:val="-6"/>
          <w:w w:val="105"/>
          <w:sz w:val="15"/>
        </w:rPr>
        <w:t xml:space="preserve"> </w:t>
      </w:r>
      <w:r>
        <w:rPr>
          <w:w w:val="105"/>
          <w:sz w:val="15"/>
        </w:rPr>
        <w:t>ciudad,</w:t>
      </w:r>
      <w:r>
        <w:rPr>
          <w:spacing w:val="-5"/>
          <w:w w:val="105"/>
          <w:sz w:val="15"/>
        </w:rPr>
        <w:t xml:space="preserve"> </w:t>
      </w:r>
      <w:r>
        <w:rPr>
          <w:w w:val="105"/>
          <w:sz w:val="15"/>
        </w:rPr>
        <w:t>las</w:t>
      </w:r>
      <w:r>
        <w:rPr>
          <w:spacing w:val="-6"/>
          <w:w w:val="105"/>
          <w:sz w:val="15"/>
        </w:rPr>
        <w:t xml:space="preserve"> </w:t>
      </w:r>
      <w:r>
        <w:rPr>
          <w:w w:val="105"/>
          <w:sz w:val="15"/>
        </w:rPr>
        <w:t>condiciones</w:t>
      </w:r>
      <w:r>
        <w:rPr>
          <w:spacing w:val="-6"/>
          <w:w w:val="105"/>
          <w:sz w:val="15"/>
        </w:rPr>
        <w:t xml:space="preserve"> </w:t>
      </w:r>
      <w:r>
        <w:rPr>
          <w:w w:val="105"/>
          <w:sz w:val="15"/>
        </w:rPr>
        <w:t>de</w:t>
      </w:r>
      <w:r>
        <w:rPr>
          <w:spacing w:val="-6"/>
          <w:w w:val="105"/>
          <w:sz w:val="15"/>
        </w:rPr>
        <w:t xml:space="preserve"> </w:t>
      </w:r>
      <w:r>
        <w:rPr>
          <w:w w:val="105"/>
          <w:sz w:val="15"/>
        </w:rPr>
        <w:t>vida</w:t>
      </w:r>
      <w:r>
        <w:rPr>
          <w:spacing w:val="-6"/>
          <w:w w:val="105"/>
          <w:sz w:val="15"/>
        </w:rPr>
        <w:t xml:space="preserve"> </w:t>
      </w:r>
      <w:r>
        <w:rPr>
          <w:w w:val="105"/>
          <w:sz w:val="15"/>
        </w:rPr>
        <w:t>en</w:t>
      </w:r>
      <w:r>
        <w:rPr>
          <w:spacing w:val="-6"/>
          <w:w w:val="105"/>
          <w:sz w:val="15"/>
        </w:rPr>
        <w:t xml:space="preserve"> </w:t>
      </w:r>
      <w:r>
        <w:rPr>
          <w:w w:val="105"/>
          <w:sz w:val="15"/>
        </w:rPr>
        <w:t>los</w:t>
      </w:r>
      <w:r>
        <w:rPr>
          <w:spacing w:val="-6"/>
          <w:w w:val="105"/>
          <w:sz w:val="15"/>
        </w:rPr>
        <w:t xml:space="preserve"> </w:t>
      </w:r>
      <w:r>
        <w:rPr>
          <w:w w:val="105"/>
          <w:sz w:val="15"/>
        </w:rPr>
        <w:t>sitios</w:t>
      </w:r>
      <w:r>
        <w:rPr>
          <w:spacing w:val="-6"/>
          <w:w w:val="105"/>
          <w:sz w:val="15"/>
        </w:rPr>
        <w:t xml:space="preserve"> </w:t>
      </w:r>
      <w:r>
        <w:rPr>
          <w:w w:val="105"/>
          <w:sz w:val="15"/>
        </w:rPr>
        <w:t>de</w:t>
      </w:r>
      <w:r>
        <w:rPr>
          <w:spacing w:val="-6"/>
          <w:w w:val="105"/>
          <w:sz w:val="15"/>
        </w:rPr>
        <w:t xml:space="preserve"> </w:t>
      </w:r>
      <w:r>
        <w:rPr>
          <w:w w:val="105"/>
          <w:sz w:val="15"/>
        </w:rPr>
        <w:t>reasentamiento temporal (conocidos como “asentamientos de contenedores”) no cumplían con los estándares internacionales, la ubicación de los sitios no era ideal, no se les daba acceso a los servicios públicos y los residentes no habían sido consultados</w:t>
      </w:r>
      <w:r>
        <w:rPr>
          <w:spacing w:val="-2"/>
          <w:w w:val="105"/>
          <w:sz w:val="15"/>
        </w:rPr>
        <w:t xml:space="preserve"> </w:t>
      </w:r>
      <w:r>
        <w:rPr>
          <w:w w:val="105"/>
          <w:sz w:val="15"/>
        </w:rPr>
        <w:t>ni</w:t>
      </w:r>
      <w:r>
        <w:rPr>
          <w:spacing w:val="-2"/>
          <w:w w:val="105"/>
          <w:sz w:val="15"/>
        </w:rPr>
        <w:t xml:space="preserve"> </w:t>
      </w:r>
      <w:r>
        <w:rPr>
          <w:w w:val="105"/>
          <w:sz w:val="15"/>
        </w:rPr>
        <w:t>informados</w:t>
      </w:r>
      <w:r>
        <w:rPr>
          <w:spacing w:val="-2"/>
          <w:w w:val="105"/>
          <w:sz w:val="15"/>
        </w:rPr>
        <w:t xml:space="preserve"> </w:t>
      </w:r>
      <w:r>
        <w:rPr>
          <w:w w:val="105"/>
          <w:sz w:val="15"/>
        </w:rPr>
        <w:t>adecuadamente.</w:t>
      </w:r>
      <w:r>
        <w:rPr>
          <w:spacing w:val="-1"/>
          <w:w w:val="105"/>
          <w:sz w:val="15"/>
        </w:rPr>
        <w:t xml:space="preserve"> </w:t>
      </w:r>
      <w:r>
        <w:rPr>
          <w:w w:val="105"/>
          <w:sz w:val="15"/>
        </w:rPr>
        <w:t>En</w:t>
      </w:r>
      <w:r>
        <w:rPr>
          <w:spacing w:val="-2"/>
          <w:w w:val="105"/>
          <w:sz w:val="15"/>
        </w:rPr>
        <w:t xml:space="preserve"> </w:t>
      </w:r>
      <w:r>
        <w:rPr>
          <w:w w:val="105"/>
          <w:sz w:val="15"/>
        </w:rPr>
        <w:t>su</w:t>
      </w:r>
      <w:r>
        <w:rPr>
          <w:spacing w:val="-2"/>
          <w:w w:val="105"/>
          <w:sz w:val="15"/>
        </w:rPr>
        <w:t xml:space="preserve"> </w:t>
      </w:r>
      <w:r>
        <w:rPr>
          <w:w w:val="105"/>
          <w:sz w:val="15"/>
        </w:rPr>
        <w:t>respuesta</w:t>
      </w:r>
      <w:r>
        <w:rPr>
          <w:spacing w:val="-2"/>
          <w:w w:val="105"/>
          <w:sz w:val="15"/>
        </w:rPr>
        <w:t xml:space="preserve"> </w:t>
      </w:r>
      <w:r>
        <w:rPr>
          <w:w w:val="105"/>
          <w:sz w:val="15"/>
        </w:rPr>
        <w:t>al</w:t>
      </w:r>
      <w:r>
        <w:rPr>
          <w:spacing w:val="-2"/>
          <w:w w:val="105"/>
          <w:sz w:val="15"/>
        </w:rPr>
        <w:t xml:space="preserve"> </w:t>
      </w:r>
      <w:r>
        <w:rPr>
          <w:w w:val="105"/>
          <w:sz w:val="15"/>
        </w:rPr>
        <w:t>llamamiento,</w:t>
      </w:r>
      <w:r>
        <w:rPr>
          <w:spacing w:val="-1"/>
          <w:w w:val="105"/>
          <w:sz w:val="15"/>
        </w:rPr>
        <w:t xml:space="preserve"> </w:t>
      </w:r>
      <w:r>
        <w:rPr>
          <w:w w:val="105"/>
          <w:sz w:val="15"/>
        </w:rPr>
        <w:t>el</w:t>
      </w:r>
      <w:r>
        <w:rPr>
          <w:spacing w:val="-2"/>
          <w:w w:val="105"/>
          <w:sz w:val="15"/>
        </w:rPr>
        <w:t xml:space="preserve"> </w:t>
      </w:r>
      <w:r>
        <w:rPr>
          <w:w w:val="105"/>
          <w:sz w:val="15"/>
        </w:rPr>
        <w:t>Gobierno</w:t>
      </w:r>
      <w:r>
        <w:rPr>
          <w:spacing w:val="-2"/>
          <w:w w:val="105"/>
          <w:sz w:val="15"/>
        </w:rPr>
        <w:t xml:space="preserve"> </w:t>
      </w:r>
      <w:r>
        <w:rPr>
          <w:w w:val="105"/>
          <w:sz w:val="15"/>
        </w:rPr>
        <w:t>señaló</w:t>
      </w:r>
      <w:r>
        <w:rPr>
          <w:spacing w:val="-2"/>
          <w:w w:val="105"/>
          <w:sz w:val="15"/>
        </w:rPr>
        <w:t xml:space="preserve"> </w:t>
      </w:r>
      <w:r>
        <w:rPr>
          <w:w w:val="105"/>
          <w:sz w:val="15"/>
        </w:rPr>
        <w:t>que</w:t>
      </w:r>
      <w:r>
        <w:rPr>
          <w:spacing w:val="-2"/>
          <w:w w:val="105"/>
          <w:sz w:val="15"/>
        </w:rPr>
        <w:t xml:space="preserve"> </w:t>
      </w:r>
      <w:r>
        <w:rPr>
          <w:w w:val="105"/>
          <w:sz w:val="15"/>
        </w:rPr>
        <w:t>efectivamente</w:t>
      </w:r>
      <w:r>
        <w:rPr>
          <w:spacing w:val="-2"/>
          <w:w w:val="105"/>
          <w:sz w:val="15"/>
        </w:rPr>
        <w:t xml:space="preserve"> </w:t>
      </w:r>
      <w:r>
        <w:rPr>
          <w:w w:val="105"/>
          <w:sz w:val="15"/>
        </w:rPr>
        <w:t>se habían</w:t>
      </w:r>
      <w:r>
        <w:rPr>
          <w:spacing w:val="-1"/>
          <w:w w:val="105"/>
          <w:sz w:val="15"/>
        </w:rPr>
        <w:t xml:space="preserve"> </w:t>
      </w:r>
      <w:r>
        <w:rPr>
          <w:w w:val="105"/>
          <w:sz w:val="15"/>
        </w:rPr>
        <w:t>celebrado</w:t>
      </w:r>
      <w:r>
        <w:rPr>
          <w:spacing w:val="-1"/>
          <w:w w:val="105"/>
          <w:sz w:val="15"/>
        </w:rPr>
        <w:t xml:space="preserve"> </w:t>
      </w:r>
      <w:r>
        <w:rPr>
          <w:w w:val="105"/>
          <w:sz w:val="15"/>
        </w:rPr>
        <w:t>consultas, las</w:t>
      </w:r>
      <w:r>
        <w:rPr>
          <w:spacing w:val="-1"/>
          <w:w w:val="105"/>
          <w:sz w:val="15"/>
        </w:rPr>
        <w:t xml:space="preserve"> </w:t>
      </w:r>
      <w:r>
        <w:rPr>
          <w:w w:val="105"/>
          <w:sz w:val="15"/>
        </w:rPr>
        <w:t>familias</w:t>
      </w:r>
      <w:r>
        <w:rPr>
          <w:spacing w:val="-1"/>
          <w:w w:val="105"/>
          <w:sz w:val="15"/>
        </w:rPr>
        <w:t xml:space="preserve"> </w:t>
      </w:r>
      <w:r>
        <w:rPr>
          <w:w w:val="105"/>
          <w:sz w:val="15"/>
        </w:rPr>
        <w:t>habían</w:t>
      </w:r>
      <w:r>
        <w:rPr>
          <w:spacing w:val="-1"/>
          <w:w w:val="105"/>
          <w:sz w:val="15"/>
        </w:rPr>
        <w:t xml:space="preserve"> </w:t>
      </w:r>
      <w:r>
        <w:rPr>
          <w:w w:val="105"/>
          <w:sz w:val="15"/>
        </w:rPr>
        <w:t>acordado</w:t>
      </w:r>
      <w:r>
        <w:rPr>
          <w:spacing w:val="-1"/>
          <w:w w:val="105"/>
          <w:sz w:val="15"/>
        </w:rPr>
        <w:t xml:space="preserve"> </w:t>
      </w:r>
      <w:r>
        <w:rPr>
          <w:w w:val="105"/>
          <w:sz w:val="15"/>
        </w:rPr>
        <w:t>la</w:t>
      </w:r>
      <w:r>
        <w:rPr>
          <w:spacing w:val="-1"/>
          <w:w w:val="105"/>
          <w:sz w:val="15"/>
        </w:rPr>
        <w:t xml:space="preserve"> </w:t>
      </w:r>
      <w:r>
        <w:rPr>
          <w:w w:val="105"/>
          <w:sz w:val="15"/>
        </w:rPr>
        <w:t>asignación</w:t>
      </w:r>
      <w:r>
        <w:rPr>
          <w:spacing w:val="-1"/>
          <w:w w:val="105"/>
          <w:sz w:val="15"/>
        </w:rPr>
        <w:t xml:space="preserve"> </w:t>
      </w:r>
      <w:r>
        <w:rPr>
          <w:w w:val="105"/>
          <w:sz w:val="15"/>
        </w:rPr>
        <w:t>de</w:t>
      </w:r>
      <w:r>
        <w:rPr>
          <w:spacing w:val="-1"/>
          <w:w w:val="105"/>
          <w:sz w:val="15"/>
        </w:rPr>
        <w:t xml:space="preserve"> </w:t>
      </w:r>
      <w:r>
        <w:rPr>
          <w:w w:val="105"/>
          <w:sz w:val="15"/>
        </w:rPr>
        <w:t>viviendas</w:t>
      </w:r>
      <w:r>
        <w:rPr>
          <w:spacing w:val="-1"/>
          <w:w w:val="105"/>
          <w:sz w:val="15"/>
        </w:rPr>
        <w:t xml:space="preserve"> </w:t>
      </w:r>
      <w:r>
        <w:rPr>
          <w:w w:val="105"/>
          <w:sz w:val="15"/>
        </w:rPr>
        <w:t>móviles</w:t>
      </w:r>
      <w:r>
        <w:rPr>
          <w:spacing w:val="-1"/>
          <w:w w:val="105"/>
          <w:sz w:val="15"/>
        </w:rPr>
        <w:t xml:space="preserve"> </w:t>
      </w:r>
      <w:r>
        <w:rPr>
          <w:w w:val="105"/>
          <w:sz w:val="15"/>
        </w:rPr>
        <w:t>con</w:t>
      </w:r>
      <w:r>
        <w:rPr>
          <w:spacing w:val="-1"/>
          <w:w w:val="105"/>
          <w:sz w:val="15"/>
        </w:rPr>
        <w:t xml:space="preserve"> </w:t>
      </w:r>
      <w:r>
        <w:rPr>
          <w:w w:val="105"/>
          <w:sz w:val="15"/>
        </w:rPr>
        <w:t>la</w:t>
      </w:r>
      <w:r>
        <w:rPr>
          <w:spacing w:val="-1"/>
          <w:w w:val="105"/>
          <w:sz w:val="15"/>
        </w:rPr>
        <w:t xml:space="preserve"> </w:t>
      </w:r>
      <w:r>
        <w:rPr>
          <w:w w:val="105"/>
          <w:sz w:val="15"/>
        </w:rPr>
        <w:t>Secretaría</w:t>
      </w:r>
      <w:r>
        <w:rPr>
          <w:spacing w:val="-1"/>
          <w:w w:val="105"/>
          <w:sz w:val="15"/>
        </w:rPr>
        <w:t xml:space="preserve"> </w:t>
      </w:r>
      <w:r>
        <w:rPr>
          <w:w w:val="105"/>
          <w:sz w:val="15"/>
        </w:rPr>
        <w:t>de Bienestar</w:t>
      </w:r>
      <w:r>
        <w:rPr>
          <w:spacing w:val="-2"/>
          <w:w w:val="105"/>
          <w:sz w:val="15"/>
        </w:rPr>
        <w:t xml:space="preserve"> </w:t>
      </w:r>
      <w:r>
        <w:rPr>
          <w:w w:val="105"/>
          <w:sz w:val="15"/>
        </w:rPr>
        <w:t>Social</w:t>
      </w:r>
      <w:r>
        <w:rPr>
          <w:spacing w:val="-2"/>
          <w:w w:val="105"/>
          <w:sz w:val="15"/>
        </w:rPr>
        <w:t xml:space="preserve"> </w:t>
      </w:r>
      <w:r>
        <w:rPr>
          <w:w w:val="105"/>
          <w:sz w:val="15"/>
        </w:rPr>
        <w:t>y</w:t>
      </w:r>
      <w:r>
        <w:rPr>
          <w:spacing w:val="-2"/>
          <w:w w:val="105"/>
          <w:sz w:val="15"/>
        </w:rPr>
        <w:t xml:space="preserve"> </w:t>
      </w:r>
      <w:r>
        <w:rPr>
          <w:w w:val="105"/>
          <w:sz w:val="15"/>
        </w:rPr>
        <w:t>que</w:t>
      </w:r>
      <w:r>
        <w:rPr>
          <w:spacing w:val="-2"/>
          <w:w w:val="105"/>
          <w:sz w:val="15"/>
        </w:rPr>
        <w:t xml:space="preserve"> </w:t>
      </w:r>
      <w:r>
        <w:rPr>
          <w:w w:val="105"/>
          <w:sz w:val="15"/>
        </w:rPr>
        <w:t>la</w:t>
      </w:r>
      <w:r>
        <w:rPr>
          <w:spacing w:val="-2"/>
          <w:w w:val="105"/>
          <w:sz w:val="15"/>
        </w:rPr>
        <w:t xml:space="preserve"> </w:t>
      </w:r>
      <w:r>
        <w:rPr>
          <w:w w:val="105"/>
          <w:sz w:val="15"/>
        </w:rPr>
        <w:t>reubicación</w:t>
      </w:r>
      <w:r>
        <w:rPr>
          <w:spacing w:val="-2"/>
          <w:w w:val="105"/>
          <w:sz w:val="15"/>
        </w:rPr>
        <w:t xml:space="preserve"> </w:t>
      </w:r>
      <w:r>
        <w:rPr>
          <w:w w:val="105"/>
          <w:sz w:val="15"/>
        </w:rPr>
        <w:t>voluntaria</w:t>
      </w:r>
      <w:r>
        <w:rPr>
          <w:spacing w:val="-2"/>
          <w:w w:val="105"/>
          <w:sz w:val="15"/>
        </w:rPr>
        <w:t xml:space="preserve"> </w:t>
      </w:r>
      <w:r>
        <w:rPr>
          <w:w w:val="105"/>
          <w:sz w:val="15"/>
        </w:rPr>
        <w:t>del</w:t>
      </w:r>
      <w:r>
        <w:rPr>
          <w:spacing w:val="-2"/>
          <w:w w:val="105"/>
          <w:sz w:val="15"/>
        </w:rPr>
        <w:t xml:space="preserve"> </w:t>
      </w:r>
      <w:r>
        <w:rPr>
          <w:w w:val="105"/>
          <w:sz w:val="15"/>
        </w:rPr>
        <w:t>asentamiento</w:t>
      </w:r>
      <w:r>
        <w:rPr>
          <w:spacing w:val="-2"/>
          <w:w w:val="105"/>
          <w:sz w:val="15"/>
        </w:rPr>
        <w:t xml:space="preserve"> </w:t>
      </w:r>
      <w:r>
        <w:rPr>
          <w:w w:val="105"/>
          <w:sz w:val="15"/>
        </w:rPr>
        <w:t>se</w:t>
      </w:r>
      <w:r>
        <w:rPr>
          <w:spacing w:val="-2"/>
          <w:w w:val="105"/>
          <w:sz w:val="15"/>
        </w:rPr>
        <w:t xml:space="preserve"> </w:t>
      </w:r>
      <w:r>
        <w:rPr>
          <w:w w:val="105"/>
          <w:sz w:val="15"/>
        </w:rPr>
        <w:t>había</w:t>
      </w:r>
      <w:r>
        <w:rPr>
          <w:spacing w:val="-2"/>
          <w:w w:val="105"/>
          <w:sz w:val="15"/>
        </w:rPr>
        <w:t xml:space="preserve"> </w:t>
      </w:r>
      <w:r>
        <w:rPr>
          <w:w w:val="105"/>
          <w:sz w:val="15"/>
        </w:rPr>
        <w:t>llevado</w:t>
      </w:r>
      <w:r>
        <w:rPr>
          <w:spacing w:val="-2"/>
          <w:w w:val="105"/>
          <w:sz w:val="15"/>
        </w:rPr>
        <w:t xml:space="preserve"> </w:t>
      </w:r>
      <w:r>
        <w:rPr>
          <w:w w:val="105"/>
          <w:sz w:val="15"/>
        </w:rPr>
        <w:t>a</w:t>
      </w:r>
      <w:r>
        <w:rPr>
          <w:spacing w:val="-2"/>
          <w:w w:val="105"/>
          <w:sz w:val="15"/>
        </w:rPr>
        <w:t xml:space="preserve"> </w:t>
      </w:r>
      <w:r>
        <w:rPr>
          <w:w w:val="105"/>
          <w:sz w:val="15"/>
        </w:rPr>
        <w:t>cabo</w:t>
      </w:r>
      <w:r>
        <w:rPr>
          <w:spacing w:val="-2"/>
          <w:w w:val="105"/>
          <w:sz w:val="15"/>
        </w:rPr>
        <w:t xml:space="preserve"> </w:t>
      </w:r>
      <w:r>
        <w:rPr>
          <w:w w:val="105"/>
          <w:sz w:val="15"/>
        </w:rPr>
        <w:t>sin</w:t>
      </w:r>
      <w:r>
        <w:rPr>
          <w:spacing w:val="-2"/>
          <w:w w:val="105"/>
          <w:sz w:val="15"/>
        </w:rPr>
        <w:t xml:space="preserve"> </w:t>
      </w:r>
      <w:r>
        <w:rPr>
          <w:w w:val="105"/>
          <w:sz w:val="15"/>
        </w:rPr>
        <w:t>recurrir</w:t>
      </w:r>
      <w:r>
        <w:rPr>
          <w:spacing w:val="-2"/>
          <w:w w:val="105"/>
          <w:sz w:val="15"/>
        </w:rPr>
        <w:t xml:space="preserve"> </w:t>
      </w:r>
      <w:r>
        <w:rPr>
          <w:w w:val="105"/>
          <w:sz w:val="15"/>
        </w:rPr>
        <w:t>a</w:t>
      </w:r>
      <w:r>
        <w:rPr>
          <w:spacing w:val="-2"/>
          <w:w w:val="105"/>
          <w:sz w:val="15"/>
        </w:rPr>
        <w:t xml:space="preserve"> </w:t>
      </w:r>
      <w:r>
        <w:rPr>
          <w:w w:val="105"/>
          <w:sz w:val="15"/>
        </w:rPr>
        <w:t>la</w:t>
      </w:r>
      <w:r>
        <w:rPr>
          <w:spacing w:val="-2"/>
          <w:w w:val="105"/>
          <w:sz w:val="15"/>
        </w:rPr>
        <w:t xml:space="preserve"> </w:t>
      </w:r>
      <w:r>
        <w:rPr>
          <w:w w:val="105"/>
          <w:sz w:val="15"/>
        </w:rPr>
        <w:t>fuerza.</w:t>
      </w:r>
      <w:r>
        <w:rPr>
          <w:spacing w:val="-2"/>
          <w:w w:val="105"/>
          <w:sz w:val="15"/>
        </w:rPr>
        <w:t xml:space="preserve"> </w:t>
      </w:r>
      <w:r>
        <w:rPr>
          <w:w w:val="105"/>
          <w:sz w:val="15"/>
        </w:rPr>
        <w:t>…</w:t>
      </w:r>
      <w:r>
        <w:rPr>
          <w:spacing w:val="-2"/>
          <w:w w:val="105"/>
          <w:sz w:val="15"/>
        </w:rPr>
        <w:t xml:space="preserve"> </w:t>
      </w:r>
      <w:r>
        <w:rPr>
          <w:w w:val="105"/>
          <w:sz w:val="15"/>
        </w:rPr>
        <w:t>El Relator</w:t>
      </w:r>
      <w:r>
        <w:rPr>
          <w:spacing w:val="-1"/>
          <w:w w:val="105"/>
          <w:sz w:val="15"/>
        </w:rPr>
        <w:t xml:space="preserve"> </w:t>
      </w:r>
      <w:r>
        <w:rPr>
          <w:w w:val="105"/>
          <w:sz w:val="15"/>
        </w:rPr>
        <w:t>Especial</w:t>
      </w:r>
      <w:r>
        <w:rPr>
          <w:spacing w:val="-1"/>
          <w:w w:val="105"/>
          <w:sz w:val="15"/>
        </w:rPr>
        <w:t xml:space="preserve"> </w:t>
      </w:r>
      <w:r>
        <w:rPr>
          <w:w w:val="105"/>
          <w:sz w:val="15"/>
        </w:rPr>
        <w:t>señala</w:t>
      </w:r>
      <w:r>
        <w:rPr>
          <w:spacing w:val="-1"/>
          <w:w w:val="105"/>
          <w:sz w:val="15"/>
        </w:rPr>
        <w:t xml:space="preserve"> </w:t>
      </w:r>
      <w:r>
        <w:rPr>
          <w:w w:val="105"/>
          <w:sz w:val="15"/>
        </w:rPr>
        <w:t>que,</w:t>
      </w:r>
      <w:r>
        <w:rPr>
          <w:spacing w:val="-1"/>
          <w:w w:val="105"/>
          <w:sz w:val="15"/>
        </w:rPr>
        <w:t xml:space="preserve"> </w:t>
      </w:r>
      <w:r>
        <w:rPr>
          <w:w w:val="105"/>
          <w:sz w:val="15"/>
        </w:rPr>
        <w:t>incluso</w:t>
      </w:r>
      <w:r>
        <w:rPr>
          <w:spacing w:val="-1"/>
          <w:w w:val="105"/>
          <w:sz w:val="15"/>
        </w:rPr>
        <w:t xml:space="preserve"> </w:t>
      </w:r>
      <w:r>
        <w:rPr>
          <w:w w:val="105"/>
          <w:sz w:val="15"/>
        </w:rPr>
        <w:t>en</w:t>
      </w:r>
      <w:r>
        <w:rPr>
          <w:spacing w:val="-1"/>
          <w:w w:val="105"/>
          <w:sz w:val="15"/>
        </w:rPr>
        <w:t xml:space="preserve"> </w:t>
      </w:r>
      <w:r>
        <w:rPr>
          <w:w w:val="105"/>
          <w:sz w:val="15"/>
        </w:rPr>
        <w:t>el</w:t>
      </w:r>
      <w:r>
        <w:rPr>
          <w:spacing w:val="-1"/>
          <w:w w:val="105"/>
          <w:sz w:val="15"/>
        </w:rPr>
        <w:t xml:space="preserve"> </w:t>
      </w:r>
      <w:r>
        <w:rPr>
          <w:w w:val="105"/>
          <w:sz w:val="15"/>
        </w:rPr>
        <w:t>momento</w:t>
      </w:r>
      <w:r>
        <w:rPr>
          <w:spacing w:val="-1"/>
          <w:w w:val="105"/>
          <w:sz w:val="15"/>
        </w:rPr>
        <w:t xml:space="preserve"> </w:t>
      </w:r>
      <w:r>
        <w:rPr>
          <w:w w:val="105"/>
          <w:sz w:val="15"/>
        </w:rPr>
        <w:t>del</w:t>
      </w:r>
      <w:r>
        <w:rPr>
          <w:spacing w:val="-1"/>
          <w:w w:val="105"/>
          <w:sz w:val="15"/>
        </w:rPr>
        <w:t xml:space="preserve"> </w:t>
      </w:r>
      <w:r>
        <w:rPr>
          <w:w w:val="105"/>
          <w:sz w:val="15"/>
        </w:rPr>
        <w:t>reasentamiento, las</w:t>
      </w:r>
      <w:r>
        <w:rPr>
          <w:spacing w:val="-1"/>
          <w:w w:val="105"/>
          <w:sz w:val="15"/>
        </w:rPr>
        <w:t xml:space="preserve"> </w:t>
      </w:r>
      <w:r>
        <w:rPr>
          <w:w w:val="105"/>
          <w:sz w:val="15"/>
        </w:rPr>
        <w:t>disposiciones</w:t>
      </w:r>
      <w:r>
        <w:rPr>
          <w:spacing w:val="-1"/>
          <w:w w:val="105"/>
          <w:sz w:val="15"/>
        </w:rPr>
        <w:t xml:space="preserve"> </w:t>
      </w:r>
      <w:r>
        <w:rPr>
          <w:w w:val="105"/>
          <w:sz w:val="15"/>
        </w:rPr>
        <w:t>temporales</w:t>
      </w:r>
      <w:r>
        <w:rPr>
          <w:spacing w:val="-1"/>
          <w:w w:val="105"/>
          <w:sz w:val="15"/>
        </w:rPr>
        <w:t xml:space="preserve"> </w:t>
      </w:r>
      <w:r>
        <w:rPr>
          <w:w w:val="105"/>
          <w:sz w:val="15"/>
        </w:rPr>
        <w:t>no</w:t>
      </w:r>
      <w:r>
        <w:rPr>
          <w:spacing w:val="-1"/>
          <w:w w:val="105"/>
          <w:sz w:val="15"/>
        </w:rPr>
        <w:t xml:space="preserve"> </w:t>
      </w:r>
      <w:r>
        <w:rPr>
          <w:w w:val="105"/>
          <w:sz w:val="15"/>
        </w:rPr>
        <w:t>cumplían</w:t>
      </w:r>
      <w:r>
        <w:rPr>
          <w:spacing w:val="-1"/>
          <w:w w:val="105"/>
          <w:sz w:val="15"/>
        </w:rPr>
        <w:t xml:space="preserve"> </w:t>
      </w:r>
      <w:r>
        <w:rPr>
          <w:w w:val="105"/>
          <w:sz w:val="15"/>
        </w:rPr>
        <w:t>con la</w:t>
      </w:r>
      <w:r>
        <w:rPr>
          <w:spacing w:val="-8"/>
          <w:w w:val="105"/>
          <w:sz w:val="15"/>
        </w:rPr>
        <w:t xml:space="preserve"> </w:t>
      </w:r>
      <w:r>
        <w:rPr>
          <w:w w:val="105"/>
          <w:sz w:val="15"/>
        </w:rPr>
        <w:t>obligación</w:t>
      </w:r>
      <w:r>
        <w:rPr>
          <w:spacing w:val="-8"/>
          <w:w w:val="105"/>
          <w:sz w:val="15"/>
        </w:rPr>
        <w:t xml:space="preserve"> </w:t>
      </w:r>
      <w:r>
        <w:rPr>
          <w:w w:val="105"/>
          <w:sz w:val="15"/>
        </w:rPr>
        <w:t>de</w:t>
      </w:r>
      <w:r>
        <w:rPr>
          <w:spacing w:val="-8"/>
          <w:w w:val="105"/>
          <w:sz w:val="15"/>
        </w:rPr>
        <w:t xml:space="preserve"> </w:t>
      </w:r>
      <w:r>
        <w:rPr>
          <w:w w:val="105"/>
          <w:sz w:val="15"/>
        </w:rPr>
        <w:t>garantizar</w:t>
      </w:r>
      <w:r>
        <w:rPr>
          <w:spacing w:val="-8"/>
          <w:w w:val="105"/>
          <w:sz w:val="15"/>
        </w:rPr>
        <w:t xml:space="preserve"> </w:t>
      </w:r>
      <w:r>
        <w:rPr>
          <w:w w:val="105"/>
          <w:sz w:val="15"/>
        </w:rPr>
        <w:t>una</w:t>
      </w:r>
      <w:r>
        <w:rPr>
          <w:spacing w:val="-8"/>
          <w:w w:val="105"/>
          <w:sz w:val="15"/>
        </w:rPr>
        <w:t xml:space="preserve"> </w:t>
      </w:r>
      <w:r>
        <w:rPr>
          <w:w w:val="105"/>
          <w:sz w:val="15"/>
        </w:rPr>
        <w:t>vivienda</w:t>
      </w:r>
      <w:r>
        <w:rPr>
          <w:spacing w:val="-8"/>
          <w:w w:val="105"/>
          <w:sz w:val="15"/>
        </w:rPr>
        <w:t xml:space="preserve"> </w:t>
      </w:r>
      <w:r>
        <w:rPr>
          <w:w w:val="105"/>
          <w:sz w:val="15"/>
        </w:rPr>
        <w:t>adecuada.</w:t>
      </w:r>
      <w:r>
        <w:rPr>
          <w:spacing w:val="-7"/>
          <w:w w:val="105"/>
          <w:sz w:val="15"/>
        </w:rPr>
        <w:t xml:space="preserve"> </w:t>
      </w:r>
      <w:r>
        <w:rPr>
          <w:w w:val="105"/>
          <w:sz w:val="15"/>
        </w:rPr>
        <w:t>El</w:t>
      </w:r>
      <w:r>
        <w:rPr>
          <w:spacing w:val="-8"/>
          <w:w w:val="105"/>
          <w:sz w:val="15"/>
        </w:rPr>
        <w:t xml:space="preserve"> </w:t>
      </w:r>
      <w:r>
        <w:rPr>
          <w:w w:val="105"/>
          <w:sz w:val="15"/>
        </w:rPr>
        <w:t>hecho</w:t>
      </w:r>
      <w:r>
        <w:rPr>
          <w:spacing w:val="-8"/>
          <w:w w:val="105"/>
          <w:sz w:val="15"/>
        </w:rPr>
        <w:t xml:space="preserve"> </w:t>
      </w:r>
      <w:r>
        <w:rPr>
          <w:w w:val="105"/>
          <w:sz w:val="15"/>
        </w:rPr>
        <w:t>de</w:t>
      </w:r>
      <w:r>
        <w:rPr>
          <w:spacing w:val="-8"/>
          <w:w w:val="105"/>
          <w:sz w:val="15"/>
        </w:rPr>
        <w:t xml:space="preserve"> </w:t>
      </w:r>
      <w:r>
        <w:rPr>
          <w:w w:val="105"/>
          <w:sz w:val="15"/>
        </w:rPr>
        <w:t>que</w:t>
      </w:r>
      <w:r>
        <w:rPr>
          <w:spacing w:val="-8"/>
          <w:w w:val="105"/>
          <w:sz w:val="15"/>
        </w:rPr>
        <w:t xml:space="preserve"> </w:t>
      </w:r>
      <w:r>
        <w:rPr>
          <w:w w:val="105"/>
          <w:sz w:val="15"/>
        </w:rPr>
        <w:t>los</w:t>
      </w:r>
      <w:r>
        <w:rPr>
          <w:spacing w:val="-8"/>
          <w:w w:val="105"/>
          <w:sz w:val="15"/>
        </w:rPr>
        <w:t xml:space="preserve"> </w:t>
      </w:r>
      <w:r>
        <w:rPr>
          <w:w w:val="105"/>
          <w:sz w:val="15"/>
        </w:rPr>
        <w:t>residentes</w:t>
      </w:r>
      <w:r>
        <w:rPr>
          <w:spacing w:val="-8"/>
          <w:w w:val="105"/>
          <w:sz w:val="15"/>
        </w:rPr>
        <w:t xml:space="preserve"> </w:t>
      </w:r>
      <w:r>
        <w:rPr>
          <w:w w:val="105"/>
          <w:sz w:val="15"/>
        </w:rPr>
        <w:t>sigan</w:t>
      </w:r>
      <w:r>
        <w:rPr>
          <w:spacing w:val="-8"/>
          <w:w w:val="105"/>
          <w:sz w:val="15"/>
        </w:rPr>
        <w:t xml:space="preserve"> </w:t>
      </w:r>
      <w:r>
        <w:rPr>
          <w:w w:val="105"/>
          <w:sz w:val="15"/>
        </w:rPr>
        <w:t>habitando</w:t>
      </w:r>
      <w:r>
        <w:rPr>
          <w:spacing w:val="-8"/>
          <w:w w:val="105"/>
          <w:sz w:val="15"/>
        </w:rPr>
        <w:t xml:space="preserve"> </w:t>
      </w:r>
      <w:r>
        <w:rPr>
          <w:w w:val="105"/>
          <w:sz w:val="15"/>
        </w:rPr>
        <w:t>viviendas</w:t>
      </w:r>
      <w:r>
        <w:rPr>
          <w:spacing w:val="-8"/>
          <w:w w:val="105"/>
          <w:sz w:val="15"/>
        </w:rPr>
        <w:t xml:space="preserve"> </w:t>
      </w:r>
      <w:r>
        <w:rPr>
          <w:w w:val="105"/>
          <w:sz w:val="15"/>
        </w:rPr>
        <w:t>temporales más</w:t>
      </w:r>
      <w:r>
        <w:rPr>
          <w:spacing w:val="-2"/>
          <w:w w:val="105"/>
          <w:sz w:val="15"/>
        </w:rPr>
        <w:t xml:space="preserve"> </w:t>
      </w:r>
      <w:r>
        <w:rPr>
          <w:w w:val="105"/>
          <w:sz w:val="15"/>
        </w:rPr>
        <w:t>de</w:t>
      </w:r>
      <w:r>
        <w:rPr>
          <w:spacing w:val="-2"/>
          <w:w w:val="105"/>
          <w:sz w:val="15"/>
        </w:rPr>
        <w:t xml:space="preserve"> </w:t>
      </w:r>
      <w:r>
        <w:rPr>
          <w:w w:val="105"/>
          <w:sz w:val="15"/>
        </w:rPr>
        <w:t>tres</w:t>
      </w:r>
      <w:r>
        <w:rPr>
          <w:spacing w:val="-2"/>
          <w:w w:val="105"/>
          <w:sz w:val="15"/>
        </w:rPr>
        <w:t xml:space="preserve"> </w:t>
      </w:r>
      <w:r>
        <w:rPr>
          <w:w w:val="105"/>
          <w:sz w:val="15"/>
        </w:rPr>
        <w:t>años</w:t>
      </w:r>
      <w:r>
        <w:rPr>
          <w:spacing w:val="-2"/>
          <w:w w:val="105"/>
          <w:sz w:val="15"/>
        </w:rPr>
        <w:t xml:space="preserve"> </w:t>
      </w:r>
      <w:r>
        <w:rPr>
          <w:w w:val="105"/>
          <w:sz w:val="15"/>
        </w:rPr>
        <w:t>después</w:t>
      </w:r>
      <w:r>
        <w:rPr>
          <w:spacing w:val="-2"/>
          <w:w w:val="105"/>
          <w:sz w:val="15"/>
        </w:rPr>
        <w:t xml:space="preserve"> </w:t>
      </w:r>
      <w:r>
        <w:rPr>
          <w:w w:val="105"/>
          <w:sz w:val="15"/>
        </w:rPr>
        <w:t>hace</w:t>
      </w:r>
      <w:r>
        <w:rPr>
          <w:spacing w:val="-2"/>
          <w:w w:val="105"/>
          <w:sz w:val="15"/>
        </w:rPr>
        <w:t xml:space="preserve"> </w:t>
      </w:r>
      <w:r>
        <w:rPr>
          <w:w w:val="105"/>
          <w:sz w:val="15"/>
        </w:rPr>
        <w:t>que</w:t>
      </w:r>
      <w:r>
        <w:rPr>
          <w:spacing w:val="-2"/>
          <w:w w:val="105"/>
          <w:sz w:val="15"/>
        </w:rPr>
        <w:t xml:space="preserve"> </w:t>
      </w:r>
      <w:r>
        <w:rPr>
          <w:w w:val="105"/>
          <w:sz w:val="15"/>
        </w:rPr>
        <w:t>la</w:t>
      </w:r>
      <w:r>
        <w:rPr>
          <w:spacing w:val="-2"/>
          <w:w w:val="105"/>
          <w:sz w:val="15"/>
        </w:rPr>
        <w:t xml:space="preserve"> </w:t>
      </w:r>
      <w:r>
        <w:rPr>
          <w:w w:val="105"/>
          <w:sz w:val="15"/>
        </w:rPr>
        <w:t>situación</w:t>
      </w:r>
      <w:r>
        <w:rPr>
          <w:spacing w:val="-2"/>
          <w:w w:val="105"/>
          <w:sz w:val="15"/>
        </w:rPr>
        <w:t xml:space="preserve"> </w:t>
      </w:r>
      <w:r>
        <w:rPr>
          <w:w w:val="105"/>
          <w:sz w:val="15"/>
        </w:rPr>
        <w:t>sea</w:t>
      </w:r>
      <w:r>
        <w:rPr>
          <w:spacing w:val="-2"/>
          <w:w w:val="105"/>
          <w:sz w:val="15"/>
        </w:rPr>
        <w:t xml:space="preserve"> </w:t>
      </w:r>
      <w:r>
        <w:rPr>
          <w:w w:val="105"/>
          <w:sz w:val="15"/>
        </w:rPr>
        <w:t>aún</w:t>
      </w:r>
      <w:r>
        <w:rPr>
          <w:spacing w:val="-2"/>
          <w:w w:val="105"/>
          <w:sz w:val="15"/>
        </w:rPr>
        <w:t xml:space="preserve"> </w:t>
      </w:r>
      <w:r>
        <w:rPr>
          <w:w w:val="105"/>
          <w:sz w:val="15"/>
        </w:rPr>
        <w:t>más</w:t>
      </w:r>
      <w:r>
        <w:rPr>
          <w:spacing w:val="-2"/>
          <w:w w:val="105"/>
          <w:sz w:val="15"/>
        </w:rPr>
        <w:t xml:space="preserve"> </w:t>
      </w:r>
      <w:r>
        <w:rPr>
          <w:w w:val="105"/>
          <w:sz w:val="15"/>
        </w:rPr>
        <w:t>problemática</w:t>
      </w:r>
      <w:r>
        <w:rPr>
          <w:spacing w:val="-2"/>
          <w:w w:val="105"/>
          <w:sz w:val="15"/>
        </w:rPr>
        <w:t xml:space="preserve"> </w:t>
      </w:r>
      <w:r>
        <w:rPr>
          <w:w w:val="105"/>
          <w:sz w:val="15"/>
        </w:rPr>
        <w:t>y</w:t>
      </w:r>
      <w:r>
        <w:rPr>
          <w:spacing w:val="-2"/>
          <w:w w:val="105"/>
          <w:sz w:val="15"/>
        </w:rPr>
        <w:t xml:space="preserve"> </w:t>
      </w:r>
      <w:r>
        <w:rPr>
          <w:w w:val="105"/>
          <w:sz w:val="15"/>
        </w:rPr>
        <w:t>no</w:t>
      </w:r>
      <w:r>
        <w:rPr>
          <w:spacing w:val="-2"/>
          <w:w w:val="105"/>
          <w:sz w:val="15"/>
        </w:rPr>
        <w:t xml:space="preserve"> </w:t>
      </w:r>
      <w:r>
        <w:rPr>
          <w:w w:val="105"/>
          <w:sz w:val="15"/>
        </w:rPr>
        <w:t>puede</w:t>
      </w:r>
      <w:r>
        <w:rPr>
          <w:spacing w:val="-2"/>
          <w:w w:val="105"/>
          <w:sz w:val="15"/>
        </w:rPr>
        <w:t xml:space="preserve"> </w:t>
      </w:r>
      <w:r>
        <w:rPr>
          <w:w w:val="105"/>
          <w:sz w:val="15"/>
        </w:rPr>
        <w:t>considerarse</w:t>
      </w:r>
      <w:r>
        <w:rPr>
          <w:spacing w:val="-2"/>
          <w:w w:val="105"/>
          <w:sz w:val="15"/>
        </w:rPr>
        <w:t xml:space="preserve"> </w:t>
      </w:r>
      <w:r>
        <w:rPr>
          <w:w w:val="105"/>
          <w:sz w:val="15"/>
        </w:rPr>
        <w:t>aceptable</w:t>
      </w:r>
      <w:r>
        <w:rPr>
          <w:spacing w:val="-2"/>
          <w:w w:val="105"/>
          <w:sz w:val="15"/>
        </w:rPr>
        <w:t xml:space="preserve"> </w:t>
      </w:r>
      <w:r>
        <w:rPr>
          <w:w w:val="105"/>
          <w:sz w:val="15"/>
        </w:rPr>
        <w:t>según</w:t>
      </w:r>
    </w:p>
    <w:p w14:paraId="3A47D686" w14:textId="77777777" w:rsidR="0014798C" w:rsidRDefault="004E1F0B">
      <w:pPr>
        <w:spacing w:line="168" w:lineRule="exact"/>
        <w:ind w:left="1674"/>
        <w:rPr>
          <w:sz w:val="15"/>
        </w:rPr>
      </w:pPr>
      <w:r>
        <w:rPr>
          <w:spacing w:val="-2"/>
          <w:w w:val="105"/>
          <w:sz w:val="15"/>
        </w:rPr>
        <w:t>el derecho</w:t>
      </w:r>
      <w:r>
        <w:rPr>
          <w:spacing w:val="-1"/>
          <w:w w:val="105"/>
          <w:sz w:val="15"/>
        </w:rPr>
        <w:t xml:space="preserve"> </w:t>
      </w:r>
      <w:r>
        <w:rPr>
          <w:spacing w:val="-2"/>
          <w:w w:val="105"/>
          <w:sz w:val="15"/>
        </w:rPr>
        <w:t>internacional de</w:t>
      </w:r>
      <w:r>
        <w:rPr>
          <w:spacing w:val="-1"/>
          <w:w w:val="105"/>
          <w:sz w:val="15"/>
        </w:rPr>
        <w:t xml:space="preserve"> </w:t>
      </w:r>
      <w:r>
        <w:rPr>
          <w:spacing w:val="-2"/>
          <w:w w:val="105"/>
          <w:sz w:val="15"/>
        </w:rPr>
        <w:t>derechos humanos.1087</w:t>
      </w:r>
    </w:p>
    <w:p w14:paraId="70FDB283" w14:textId="77777777" w:rsidR="0014798C" w:rsidRDefault="0014798C">
      <w:pPr>
        <w:pStyle w:val="Textoindependiente"/>
        <w:rPr>
          <w:sz w:val="28"/>
        </w:rPr>
      </w:pPr>
    </w:p>
    <w:p w14:paraId="4FB631A4" w14:textId="77777777" w:rsidR="0014798C" w:rsidRDefault="0014798C">
      <w:pPr>
        <w:pStyle w:val="Textoindependiente"/>
        <w:spacing w:before="294"/>
        <w:rPr>
          <w:sz w:val="28"/>
        </w:rPr>
      </w:pPr>
    </w:p>
    <w:bookmarkStart w:id="28" w:name="indígenas"/>
    <w:p w14:paraId="1B9B49B4" w14:textId="77777777" w:rsidR="0014798C" w:rsidRDefault="004E1F0B">
      <w:pPr>
        <w:pStyle w:val="Ttulo9"/>
        <w:numPr>
          <w:ilvl w:val="0"/>
          <w:numId w:val="25"/>
        </w:numPr>
        <w:tabs>
          <w:tab w:val="left" w:pos="1513"/>
        </w:tabs>
        <w:ind w:left="1513" w:hanging="415"/>
      </w:pPr>
      <w:r>
        <w:rPr>
          <w:noProof/>
        </w:rPr>
        <mc:AlternateContent>
          <mc:Choice Requires="wps">
            <w:drawing>
              <wp:anchor distT="0" distB="0" distL="0" distR="0" simplePos="0" relativeHeight="251658323" behindDoc="0" locked="0" layoutInCell="1" allowOverlap="1" wp14:anchorId="1F4C25E9" wp14:editId="47572932">
                <wp:simplePos x="0" y="0"/>
                <wp:positionH relativeFrom="page">
                  <wp:posOffset>7293418</wp:posOffset>
                </wp:positionH>
                <wp:positionV relativeFrom="paragraph">
                  <wp:posOffset>-234729</wp:posOffset>
                </wp:positionV>
                <wp:extent cx="104775" cy="260985"/>
                <wp:effectExtent l="0" t="0" r="0" b="0"/>
                <wp:wrapNone/>
                <wp:docPr id="326" name="Textbox 32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04775" cy="260985"/>
                        </a:xfrm>
                        <a:prstGeom prst="rect">
                          <a:avLst/>
                        </a:prstGeom>
                      </wps:spPr>
                      <wps:txbx>
                        <w:txbxContent>
                          <w:p w14:paraId="77EE63A6" w14:textId="77777777" w:rsidR="0014798C" w:rsidRDefault="004E1F0B">
                            <w:pPr>
                              <w:spacing w:before="17"/>
                              <w:ind w:left="20"/>
                              <w:rPr>
                                <w:sz w:val="11"/>
                              </w:rPr>
                            </w:pPr>
                            <w:r>
                              <w:rPr>
                                <w:color w:val="FFFFFF"/>
                                <w:spacing w:val="-33"/>
                                <w:sz w:val="11"/>
                              </w:rPr>
                              <w:t>TPRAERSTE</w:t>
                            </w:r>
                          </w:p>
                        </w:txbxContent>
                      </wps:txbx>
                      <wps:bodyPr vert="vert270" wrap="square" lIns="0" tIns="0" rIns="0" bIns="0" rtlCol="0">
                        <a:noAutofit/>
                      </wps:bodyPr>
                    </wps:wsp>
                  </a:graphicData>
                </a:graphic>
              </wp:anchor>
            </w:drawing>
          </mc:Choice>
          <mc:Fallback>
            <w:pict>
              <v:shape w14:anchorId="1F4C25E9" id="Textbox 326" o:spid="_x0000_s1159" type="#_x0000_t202" style="position:absolute;left:0;text-align:left;margin-left:574.3pt;margin-top:-18.5pt;width:8.25pt;height:20.55pt;z-index:251658323;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" filled="f" stroked="f">
                <v:textbox style="layout-flow:vertical;mso-layout-flow-alt:bottom-to-top" inset="0,0,0,0">
                  <w:txbxContent>
                    <w:p w14:paraId="77EE63A6" w14:textId="77777777" w:rsidR="0014798C" w:rsidRDefault="004E1F0B">
                      <w:pPr>
                        <w:spacing w:before="17"/>
                        <w:ind w:left="20"/>
                        <w:rPr>
                          <w:sz w:val="11"/>
                        </w:rPr>
                      </w:pPr>
                      <w:r>
                        <w:rPr>
                          <w:color w:val="FFFFFF"/>
                          <w:spacing w:val="-33"/>
                          <w:sz w:val="11"/>
                        </w:rPr>
                        <w:t>TPRAERSTE</w:t>
                      </w:r>
                    </w:p>
                  </w:txbxContent>
                </v:textbox>
                <w10:wrap anchorx="page"/>
              </v:shape>
            </w:pict>
          </mc:Fallback>
        </mc:AlternateContent>
      </w:r>
      <w:bookmarkStart w:id="29" w:name="_TOC_250000"/>
      <w:r>
        <w:rPr>
          <w:color w:val="803108"/>
        </w:rPr>
        <w:t>DERECHOS</w:t>
      </w:r>
      <w:r>
        <w:rPr>
          <w:color w:val="803108"/>
          <w:spacing w:val="-14"/>
        </w:rPr>
        <w:t xml:space="preserve"> </w:t>
      </w:r>
      <w:r>
        <w:rPr>
          <w:color w:val="803108"/>
        </w:rPr>
        <w:t>DE</w:t>
      </w:r>
      <w:r>
        <w:rPr>
          <w:color w:val="803108"/>
          <w:spacing w:val="-15"/>
        </w:rPr>
        <w:t xml:space="preserve"> </w:t>
      </w:r>
      <w:r>
        <w:rPr>
          <w:color w:val="803108"/>
        </w:rPr>
        <w:t>LOS</w:t>
      </w:r>
      <w:r>
        <w:rPr>
          <w:color w:val="803108"/>
          <w:spacing w:val="-14"/>
        </w:rPr>
        <w:t xml:space="preserve"> </w:t>
      </w:r>
      <w:r>
        <w:rPr>
          <w:color w:val="803108"/>
        </w:rPr>
        <w:t>PUEBLOS</w:t>
      </w:r>
      <w:r>
        <w:rPr>
          <w:color w:val="803108"/>
          <w:spacing w:val="-15"/>
        </w:rPr>
        <w:t xml:space="preserve"> </w:t>
      </w:r>
      <w:bookmarkEnd w:id="29"/>
      <w:r>
        <w:rPr>
          <w:color w:val="803108"/>
          <w:spacing w:val="-2"/>
        </w:rPr>
        <w:t>INDÍGENAS</w:t>
      </w:r>
    </w:p>
    <w:bookmarkEnd w:id="28"/>
    <w:p w14:paraId="2F675229" w14:textId="77777777" w:rsidR="0014798C" w:rsidRDefault="0014798C">
      <w:pPr>
        <w:pStyle w:val="Textoindependiente"/>
        <w:spacing w:before="86"/>
        <w:rPr>
          <w:sz w:val="15"/>
        </w:rPr>
      </w:pPr>
    </w:p>
    <w:p w14:paraId="29C7CB95" w14:textId="77777777" w:rsidR="0014798C" w:rsidRDefault="004E1F0B">
      <w:pPr>
        <w:spacing w:before="1" w:line="348" w:lineRule="auto"/>
        <w:ind w:left="1107" w:right="1335" w:hanging="1"/>
        <w:rPr>
          <w:sz w:val="15"/>
        </w:rPr>
      </w:pPr>
      <w:r>
        <w:rPr>
          <w:w w:val="105"/>
          <w:sz w:val="15"/>
        </w:rPr>
        <w:t>Como</w:t>
      </w:r>
      <w:r>
        <w:rPr>
          <w:spacing w:val="-8"/>
          <w:w w:val="105"/>
          <w:sz w:val="15"/>
        </w:rPr>
        <w:t xml:space="preserve"> </w:t>
      </w:r>
      <w:r>
        <w:rPr>
          <w:w w:val="105"/>
          <w:sz w:val="15"/>
        </w:rPr>
        <w:t>se</w:t>
      </w:r>
      <w:r>
        <w:rPr>
          <w:spacing w:val="-8"/>
          <w:w w:val="105"/>
          <w:sz w:val="15"/>
        </w:rPr>
        <w:t xml:space="preserve"> </w:t>
      </w:r>
      <w:r>
        <w:rPr>
          <w:w w:val="105"/>
          <w:sz w:val="15"/>
        </w:rPr>
        <w:t>señaló</w:t>
      </w:r>
      <w:r>
        <w:rPr>
          <w:spacing w:val="-8"/>
          <w:w w:val="105"/>
          <w:sz w:val="15"/>
        </w:rPr>
        <w:t xml:space="preserve"> </w:t>
      </w:r>
      <w:r>
        <w:rPr>
          <w:w w:val="105"/>
          <w:sz w:val="15"/>
        </w:rPr>
        <w:t>anteriormente,</w:t>
      </w:r>
      <w:r>
        <w:rPr>
          <w:spacing w:val="-7"/>
          <w:w w:val="105"/>
          <w:sz w:val="15"/>
        </w:rPr>
        <w:t xml:space="preserve"> </w:t>
      </w:r>
      <w:r>
        <w:rPr>
          <w:w w:val="105"/>
          <w:sz w:val="15"/>
        </w:rPr>
        <w:t>si</w:t>
      </w:r>
      <w:r>
        <w:rPr>
          <w:spacing w:val="-8"/>
          <w:w w:val="105"/>
          <w:sz w:val="15"/>
        </w:rPr>
        <w:t xml:space="preserve"> </w:t>
      </w:r>
      <w:r>
        <w:rPr>
          <w:w w:val="105"/>
          <w:sz w:val="15"/>
        </w:rPr>
        <w:t>bien</w:t>
      </w:r>
      <w:r>
        <w:rPr>
          <w:spacing w:val="-8"/>
          <w:w w:val="105"/>
          <w:sz w:val="15"/>
        </w:rPr>
        <w:t xml:space="preserve"> </w:t>
      </w:r>
      <w:r>
        <w:rPr>
          <w:w w:val="105"/>
          <w:sz w:val="15"/>
        </w:rPr>
        <w:t>el</w:t>
      </w:r>
      <w:r>
        <w:rPr>
          <w:spacing w:val="-8"/>
          <w:w w:val="105"/>
          <w:sz w:val="15"/>
        </w:rPr>
        <w:t xml:space="preserve"> </w:t>
      </w:r>
      <w:r>
        <w:rPr>
          <w:w w:val="105"/>
          <w:sz w:val="15"/>
        </w:rPr>
        <w:t>Comité</w:t>
      </w:r>
      <w:r>
        <w:rPr>
          <w:spacing w:val="-8"/>
          <w:w w:val="105"/>
          <w:sz w:val="15"/>
        </w:rPr>
        <w:t xml:space="preserve"> </w:t>
      </w:r>
      <w:r>
        <w:rPr>
          <w:w w:val="105"/>
          <w:sz w:val="15"/>
        </w:rPr>
        <w:t>de</w:t>
      </w:r>
      <w:r>
        <w:rPr>
          <w:spacing w:val="-8"/>
          <w:w w:val="105"/>
          <w:sz w:val="15"/>
        </w:rPr>
        <w:t xml:space="preserve"> </w:t>
      </w:r>
      <w:r>
        <w:rPr>
          <w:w w:val="105"/>
          <w:sz w:val="15"/>
        </w:rPr>
        <w:t>Derechos</w:t>
      </w:r>
      <w:r>
        <w:rPr>
          <w:spacing w:val="-8"/>
          <w:w w:val="105"/>
          <w:sz w:val="15"/>
        </w:rPr>
        <w:t xml:space="preserve"> </w:t>
      </w:r>
      <w:r>
        <w:rPr>
          <w:w w:val="105"/>
          <w:sz w:val="15"/>
        </w:rPr>
        <w:t>Humanos</w:t>
      </w:r>
      <w:r>
        <w:rPr>
          <w:spacing w:val="-8"/>
          <w:w w:val="105"/>
          <w:sz w:val="15"/>
        </w:rPr>
        <w:t xml:space="preserve"> </w:t>
      </w:r>
      <w:r>
        <w:rPr>
          <w:w w:val="105"/>
          <w:sz w:val="15"/>
        </w:rPr>
        <w:t>reconoce</w:t>
      </w:r>
      <w:r>
        <w:rPr>
          <w:spacing w:val="-8"/>
          <w:w w:val="105"/>
          <w:sz w:val="15"/>
        </w:rPr>
        <w:t xml:space="preserve"> </w:t>
      </w:r>
      <w:r>
        <w:rPr>
          <w:w w:val="105"/>
          <w:sz w:val="15"/>
        </w:rPr>
        <w:t>que</w:t>
      </w:r>
      <w:r>
        <w:rPr>
          <w:spacing w:val="-8"/>
          <w:w w:val="105"/>
          <w:sz w:val="15"/>
        </w:rPr>
        <w:t xml:space="preserve"> </w:t>
      </w:r>
      <w:r>
        <w:rPr>
          <w:w w:val="105"/>
          <w:sz w:val="15"/>
        </w:rPr>
        <w:t>los</w:t>
      </w:r>
      <w:r>
        <w:rPr>
          <w:spacing w:val="-8"/>
          <w:w w:val="105"/>
          <w:sz w:val="15"/>
        </w:rPr>
        <w:t xml:space="preserve"> </w:t>
      </w:r>
      <w:r>
        <w:rPr>
          <w:w w:val="105"/>
          <w:sz w:val="15"/>
        </w:rPr>
        <w:t>pueblos</w:t>
      </w:r>
      <w:r>
        <w:rPr>
          <w:spacing w:val="-8"/>
          <w:w w:val="105"/>
          <w:sz w:val="15"/>
        </w:rPr>
        <w:t xml:space="preserve"> </w:t>
      </w:r>
      <w:r>
        <w:rPr>
          <w:w w:val="105"/>
          <w:sz w:val="15"/>
        </w:rPr>
        <w:t>indígenas</w:t>
      </w:r>
      <w:r>
        <w:rPr>
          <w:spacing w:val="-8"/>
          <w:w w:val="105"/>
          <w:sz w:val="15"/>
        </w:rPr>
        <w:t xml:space="preserve"> </w:t>
      </w:r>
      <w:r>
        <w:rPr>
          <w:w w:val="105"/>
          <w:sz w:val="15"/>
        </w:rPr>
        <w:t>están</w:t>
      </w:r>
      <w:r>
        <w:rPr>
          <w:spacing w:val="-8"/>
          <w:w w:val="105"/>
          <w:sz w:val="15"/>
        </w:rPr>
        <w:t xml:space="preserve"> </w:t>
      </w:r>
      <w:r>
        <w:rPr>
          <w:w w:val="105"/>
          <w:sz w:val="15"/>
        </w:rPr>
        <w:t>comprendidos</w:t>
      </w:r>
      <w:r>
        <w:rPr>
          <w:spacing w:val="-8"/>
          <w:w w:val="105"/>
          <w:sz w:val="15"/>
        </w:rPr>
        <w:t xml:space="preserve"> </w:t>
      </w:r>
      <w:r>
        <w:rPr>
          <w:w w:val="105"/>
          <w:sz w:val="15"/>
        </w:rPr>
        <w:t>en el</w:t>
      </w:r>
      <w:r>
        <w:rPr>
          <w:spacing w:val="-5"/>
          <w:w w:val="105"/>
          <w:sz w:val="15"/>
        </w:rPr>
        <w:t xml:space="preserve"> </w:t>
      </w:r>
      <w:r>
        <w:rPr>
          <w:w w:val="105"/>
          <w:sz w:val="15"/>
        </w:rPr>
        <w:t>ámbito</w:t>
      </w:r>
      <w:r>
        <w:rPr>
          <w:spacing w:val="-5"/>
          <w:w w:val="105"/>
          <w:sz w:val="15"/>
        </w:rPr>
        <w:t xml:space="preserve"> </w:t>
      </w:r>
      <w:r>
        <w:rPr>
          <w:w w:val="105"/>
          <w:sz w:val="15"/>
        </w:rPr>
        <w:t>de</w:t>
      </w:r>
      <w:r>
        <w:rPr>
          <w:spacing w:val="-5"/>
          <w:w w:val="105"/>
          <w:sz w:val="15"/>
        </w:rPr>
        <w:t xml:space="preserve"> </w:t>
      </w:r>
      <w:r>
        <w:rPr>
          <w:w w:val="105"/>
          <w:sz w:val="15"/>
        </w:rPr>
        <w:t>la</w:t>
      </w:r>
      <w:r>
        <w:rPr>
          <w:spacing w:val="-5"/>
          <w:w w:val="105"/>
          <w:sz w:val="15"/>
        </w:rPr>
        <w:t xml:space="preserve"> </w:t>
      </w:r>
      <w:r>
        <w:rPr>
          <w:w w:val="105"/>
          <w:sz w:val="15"/>
        </w:rPr>
        <w:t>disposición</w:t>
      </w:r>
      <w:r>
        <w:rPr>
          <w:spacing w:val="-5"/>
          <w:w w:val="105"/>
          <w:sz w:val="15"/>
        </w:rPr>
        <w:t xml:space="preserve"> </w:t>
      </w:r>
      <w:r>
        <w:rPr>
          <w:w w:val="105"/>
          <w:sz w:val="15"/>
        </w:rPr>
        <w:t>sobre</w:t>
      </w:r>
      <w:r>
        <w:rPr>
          <w:spacing w:val="-5"/>
          <w:w w:val="105"/>
          <w:sz w:val="15"/>
        </w:rPr>
        <w:t xml:space="preserve"> </w:t>
      </w:r>
      <w:r>
        <w:rPr>
          <w:w w:val="105"/>
          <w:sz w:val="15"/>
        </w:rPr>
        <w:t>los</w:t>
      </w:r>
      <w:r>
        <w:rPr>
          <w:spacing w:val="-5"/>
          <w:w w:val="105"/>
          <w:sz w:val="15"/>
        </w:rPr>
        <w:t xml:space="preserve"> </w:t>
      </w:r>
      <w:r>
        <w:rPr>
          <w:w w:val="105"/>
          <w:sz w:val="15"/>
        </w:rPr>
        <w:t>derechos</w:t>
      </w:r>
      <w:r>
        <w:rPr>
          <w:spacing w:val="-5"/>
          <w:w w:val="105"/>
          <w:sz w:val="15"/>
        </w:rPr>
        <w:t xml:space="preserve"> </w:t>
      </w:r>
      <w:r>
        <w:rPr>
          <w:w w:val="105"/>
          <w:sz w:val="15"/>
        </w:rPr>
        <w:t>de</w:t>
      </w:r>
      <w:r>
        <w:rPr>
          <w:spacing w:val="-5"/>
          <w:w w:val="105"/>
          <w:sz w:val="15"/>
        </w:rPr>
        <w:t xml:space="preserve"> </w:t>
      </w:r>
      <w:r>
        <w:rPr>
          <w:w w:val="105"/>
          <w:sz w:val="15"/>
        </w:rPr>
        <w:t>las</w:t>
      </w:r>
      <w:r>
        <w:rPr>
          <w:spacing w:val="-5"/>
          <w:w w:val="105"/>
          <w:sz w:val="15"/>
        </w:rPr>
        <w:t xml:space="preserve"> </w:t>
      </w:r>
      <w:r>
        <w:rPr>
          <w:w w:val="105"/>
          <w:sz w:val="15"/>
        </w:rPr>
        <w:t>minorías</w:t>
      </w:r>
      <w:r>
        <w:rPr>
          <w:spacing w:val="-5"/>
          <w:w w:val="105"/>
          <w:sz w:val="15"/>
        </w:rPr>
        <w:t xml:space="preserve"> </w:t>
      </w:r>
      <w:r>
        <w:rPr>
          <w:w w:val="105"/>
          <w:sz w:val="15"/>
        </w:rPr>
        <w:t>del</w:t>
      </w:r>
      <w:r>
        <w:rPr>
          <w:spacing w:val="-5"/>
          <w:w w:val="105"/>
          <w:sz w:val="15"/>
        </w:rPr>
        <w:t xml:space="preserve"> </w:t>
      </w:r>
      <w:r>
        <w:rPr>
          <w:w w:val="105"/>
          <w:sz w:val="15"/>
        </w:rPr>
        <w:t>artículo</w:t>
      </w:r>
      <w:r>
        <w:rPr>
          <w:spacing w:val="-5"/>
          <w:w w:val="105"/>
          <w:sz w:val="15"/>
        </w:rPr>
        <w:t xml:space="preserve"> </w:t>
      </w:r>
      <w:r>
        <w:rPr>
          <w:w w:val="105"/>
          <w:sz w:val="15"/>
        </w:rPr>
        <w:t>27</w:t>
      </w:r>
      <w:r>
        <w:rPr>
          <w:spacing w:val="-5"/>
          <w:w w:val="105"/>
          <w:sz w:val="15"/>
        </w:rPr>
        <w:t xml:space="preserve"> </w:t>
      </w:r>
      <w:r>
        <w:rPr>
          <w:w w:val="105"/>
          <w:sz w:val="15"/>
        </w:rPr>
        <w:t>del</w:t>
      </w:r>
      <w:r>
        <w:rPr>
          <w:spacing w:val="-5"/>
          <w:w w:val="105"/>
          <w:sz w:val="15"/>
        </w:rPr>
        <w:t xml:space="preserve"> </w:t>
      </w:r>
      <w:r>
        <w:rPr>
          <w:w w:val="105"/>
          <w:sz w:val="15"/>
        </w:rPr>
        <w:t>Pacto</w:t>
      </w:r>
      <w:r>
        <w:rPr>
          <w:spacing w:val="-5"/>
          <w:w w:val="105"/>
          <w:sz w:val="15"/>
        </w:rPr>
        <w:t xml:space="preserve"> </w:t>
      </w:r>
      <w:r>
        <w:rPr>
          <w:w w:val="105"/>
          <w:sz w:val="15"/>
        </w:rPr>
        <w:t>Internacional</w:t>
      </w:r>
      <w:r>
        <w:rPr>
          <w:spacing w:val="-5"/>
          <w:w w:val="105"/>
          <w:sz w:val="15"/>
        </w:rPr>
        <w:t xml:space="preserve"> </w:t>
      </w:r>
      <w:r>
        <w:rPr>
          <w:w w:val="105"/>
          <w:sz w:val="15"/>
        </w:rPr>
        <w:t>de</w:t>
      </w:r>
      <w:r>
        <w:rPr>
          <w:spacing w:val="-5"/>
          <w:w w:val="105"/>
          <w:sz w:val="15"/>
        </w:rPr>
        <w:t xml:space="preserve"> </w:t>
      </w:r>
      <w:r>
        <w:rPr>
          <w:w w:val="105"/>
          <w:sz w:val="15"/>
        </w:rPr>
        <w:t>Derechos</w:t>
      </w:r>
      <w:r>
        <w:rPr>
          <w:spacing w:val="-5"/>
          <w:w w:val="105"/>
          <w:sz w:val="15"/>
        </w:rPr>
        <w:t xml:space="preserve"> </w:t>
      </w:r>
      <w:r>
        <w:rPr>
          <w:w w:val="105"/>
          <w:sz w:val="15"/>
        </w:rPr>
        <w:t>Civiles</w:t>
      </w:r>
      <w:r>
        <w:rPr>
          <w:spacing w:val="-5"/>
          <w:w w:val="105"/>
          <w:sz w:val="15"/>
        </w:rPr>
        <w:t xml:space="preserve"> </w:t>
      </w:r>
      <w:r>
        <w:rPr>
          <w:w w:val="105"/>
          <w:sz w:val="15"/>
        </w:rPr>
        <w:t>y</w:t>
      </w:r>
      <w:r>
        <w:rPr>
          <w:spacing w:val="-5"/>
          <w:w w:val="105"/>
          <w:sz w:val="15"/>
        </w:rPr>
        <w:t xml:space="preserve"> </w:t>
      </w:r>
      <w:r>
        <w:rPr>
          <w:w w:val="105"/>
          <w:sz w:val="15"/>
        </w:rPr>
        <w:t>Políticos, la</w:t>
      </w:r>
      <w:r>
        <w:rPr>
          <w:spacing w:val="-4"/>
          <w:w w:val="105"/>
          <w:sz w:val="15"/>
        </w:rPr>
        <w:t xml:space="preserve"> </w:t>
      </w:r>
      <w:r>
        <w:rPr>
          <w:w w:val="105"/>
          <w:sz w:val="15"/>
        </w:rPr>
        <w:t>adopción</w:t>
      </w:r>
      <w:r>
        <w:rPr>
          <w:spacing w:val="-4"/>
          <w:w w:val="105"/>
          <w:sz w:val="15"/>
        </w:rPr>
        <w:t xml:space="preserve"> </w:t>
      </w:r>
      <w:r>
        <w:rPr>
          <w:w w:val="105"/>
          <w:sz w:val="15"/>
        </w:rPr>
        <w:t>en</w:t>
      </w:r>
      <w:r>
        <w:rPr>
          <w:spacing w:val="-4"/>
          <w:w w:val="105"/>
          <w:sz w:val="15"/>
        </w:rPr>
        <w:t xml:space="preserve"> </w:t>
      </w:r>
      <w:r>
        <w:rPr>
          <w:w w:val="105"/>
          <w:sz w:val="15"/>
        </w:rPr>
        <w:t>2007</w:t>
      </w:r>
      <w:r>
        <w:rPr>
          <w:spacing w:val="-4"/>
          <w:w w:val="105"/>
          <w:sz w:val="15"/>
        </w:rPr>
        <w:t xml:space="preserve"> </w:t>
      </w:r>
      <w:r>
        <w:rPr>
          <w:w w:val="105"/>
          <w:sz w:val="15"/>
        </w:rPr>
        <w:t>de</w:t>
      </w:r>
      <w:r>
        <w:rPr>
          <w:spacing w:val="-4"/>
          <w:w w:val="105"/>
          <w:sz w:val="15"/>
        </w:rPr>
        <w:t xml:space="preserve"> </w:t>
      </w:r>
      <w:r>
        <w:rPr>
          <w:w w:val="105"/>
          <w:sz w:val="15"/>
        </w:rPr>
        <w:t>la</w:t>
      </w:r>
      <w:r>
        <w:rPr>
          <w:spacing w:val="-4"/>
          <w:w w:val="105"/>
          <w:sz w:val="15"/>
        </w:rPr>
        <w:t xml:space="preserve"> </w:t>
      </w:r>
      <w:r>
        <w:rPr>
          <w:w w:val="105"/>
          <w:sz w:val="15"/>
        </w:rPr>
        <w:t>Declaración</w:t>
      </w:r>
      <w:r>
        <w:rPr>
          <w:spacing w:val="-4"/>
          <w:w w:val="105"/>
          <w:sz w:val="15"/>
        </w:rPr>
        <w:t xml:space="preserve"> </w:t>
      </w:r>
      <w:r>
        <w:rPr>
          <w:w w:val="105"/>
          <w:sz w:val="15"/>
        </w:rPr>
        <w:t>de</w:t>
      </w:r>
      <w:r>
        <w:rPr>
          <w:spacing w:val="-4"/>
          <w:w w:val="105"/>
          <w:sz w:val="15"/>
        </w:rPr>
        <w:t xml:space="preserve"> </w:t>
      </w:r>
      <w:r>
        <w:rPr>
          <w:w w:val="105"/>
          <w:sz w:val="15"/>
        </w:rPr>
        <w:t>las</w:t>
      </w:r>
      <w:r>
        <w:rPr>
          <w:spacing w:val="-4"/>
          <w:w w:val="105"/>
          <w:sz w:val="15"/>
        </w:rPr>
        <w:t xml:space="preserve"> </w:t>
      </w:r>
      <w:r>
        <w:rPr>
          <w:w w:val="105"/>
          <w:sz w:val="15"/>
        </w:rPr>
        <w:t>Naciones</w:t>
      </w:r>
      <w:r>
        <w:rPr>
          <w:spacing w:val="-4"/>
          <w:w w:val="105"/>
          <w:sz w:val="15"/>
        </w:rPr>
        <w:t xml:space="preserve"> </w:t>
      </w:r>
      <w:r>
        <w:rPr>
          <w:w w:val="105"/>
          <w:sz w:val="15"/>
        </w:rPr>
        <w:t>Unidas</w:t>
      </w:r>
      <w:r>
        <w:rPr>
          <w:spacing w:val="-4"/>
          <w:w w:val="105"/>
          <w:sz w:val="15"/>
        </w:rPr>
        <w:t xml:space="preserve"> </w:t>
      </w:r>
      <w:r>
        <w:rPr>
          <w:w w:val="105"/>
          <w:sz w:val="15"/>
        </w:rPr>
        <w:t>sobre</w:t>
      </w:r>
      <w:r>
        <w:rPr>
          <w:spacing w:val="-4"/>
          <w:w w:val="105"/>
          <w:sz w:val="15"/>
        </w:rPr>
        <w:t xml:space="preserve"> </w:t>
      </w:r>
      <w:r>
        <w:rPr>
          <w:w w:val="105"/>
          <w:sz w:val="15"/>
        </w:rPr>
        <w:t>los</w:t>
      </w:r>
      <w:r>
        <w:rPr>
          <w:spacing w:val="-4"/>
          <w:w w:val="105"/>
          <w:sz w:val="15"/>
        </w:rPr>
        <w:t xml:space="preserve"> </w:t>
      </w:r>
      <w:r>
        <w:rPr>
          <w:w w:val="105"/>
          <w:sz w:val="15"/>
        </w:rPr>
        <w:t>Derechos</w:t>
      </w:r>
      <w:r>
        <w:rPr>
          <w:spacing w:val="-4"/>
          <w:w w:val="105"/>
          <w:sz w:val="15"/>
        </w:rPr>
        <w:t xml:space="preserve"> </w:t>
      </w:r>
      <w:r>
        <w:rPr>
          <w:w w:val="105"/>
          <w:sz w:val="15"/>
        </w:rPr>
        <w:t>de</w:t>
      </w:r>
      <w:r>
        <w:rPr>
          <w:spacing w:val="-4"/>
          <w:w w:val="105"/>
          <w:sz w:val="15"/>
        </w:rPr>
        <w:t xml:space="preserve"> </w:t>
      </w:r>
      <w:r>
        <w:rPr>
          <w:w w:val="105"/>
          <w:sz w:val="15"/>
        </w:rPr>
        <w:t>los</w:t>
      </w:r>
      <w:r>
        <w:rPr>
          <w:spacing w:val="-4"/>
          <w:w w:val="105"/>
          <w:sz w:val="15"/>
        </w:rPr>
        <w:t xml:space="preserve"> </w:t>
      </w:r>
      <w:r>
        <w:rPr>
          <w:w w:val="105"/>
          <w:sz w:val="15"/>
        </w:rPr>
        <w:t>Pueblos</w:t>
      </w:r>
      <w:r>
        <w:rPr>
          <w:spacing w:val="-4"/>
          <w:w w:val="105"/>
          <w:sz w:val="15"/>
        </w:rPr>
        <w:t xml:space="preserve"> </w:t>
      </w:r>
      <w:r>
        <w:rPr>
          <w:w w:val="105"/>
          <w:sz w:val="15"/>
        </w:rPr>
        <w:t>Indígenas</w:t>
      </w:r>
      <w:r>
        <w:rPr>
          <w:spacing w:val="-4"/>
          <w:w w:val="105"/>
          <w:sz w:val="15"/>
        </w:rPr>
        <w:t xml:space="preserve"> </w:t>
      </w:r>
      <w:r>
        <w:rPr>
          <w:w w:val="105"/>
          <w:sz w:val="15"/>
        </w:rPr>
        <w:t>distingue</w:t>
      </w:r>
      <w:r>
        <w:rPr>
          <w:spacing w:val="-4"/>
          <w:w w:val="105"/>
          <w:sz w:val="15"/>
        </w:rPr>
        <w:t xml:space="preserve"> </w:t>
      </w:r>
      <w:r>
        <w:rPr>
          <w:w w:val="105"/>
          <w:sz w:val="15"/>
        </w:rPr>
        <w:t>a</w:t>
      </w:r>
      <w:r>
        <w:rPr>
          <w:spacing w:val="-4"/>
          <w:w w:val="105"/>
          <w:sz w:val="15"/>
        </w:rPr>
        <w:t xml:space="preserve"> </w:t>
      </w:r>
      <w:r>
        <w:rPr>
          <w:w w:val="105"/>
          <w:sz w:val="15"/>
        </w:rPr>
        <w:t>los</w:t>
      </w:r>
      <w:r>
        <w:rPr>
          <w:spacing w:val="-4"/>
          <w:w w:val="105"/>
          <w:sz w:val="15"/>
        </w:rPr>
        <w:t xml:space="preserve"> </w:t>
      </w:r>
      <w:r>
        <w:rPr>
          <w:w w:val="105"/>
          <w:sz w:val="15"/>
        </w:rPr>
        <w:t>pueblos indígenas</w:t>
      </w:r>
      <w:r>
        <w:rPr>
          <w:spacing w:val="-1"/>
          <w:w w:val="105"/>
          <w:sz w:val="15"/>
        </w:rPr>
        <w:t xml:space="preserve"> </w:t>
      </w:r>
      <w:r>
        <w:rPr>
          <w:w w:val="105"/>
          <w:sz w:val="15"/>
        </w:rPr>
        <w:t>de</w:t>
      </w:r>
      <w:r>
        <w:rPr>
          <w:spacing w:val="-1"/>
          <w:w w:val="105"/>
          <w:sz w:val="15"/>
        </w:rPr>
        <w:t xml:space="preserve"> </w:t>
      </w:r>
      <w:r>
        <w:rPr>
          <w:w w:val="105"/>
          <w:sz w:val="15"/>
        </w:rPr>
        <w:t>otras</w:t>
      </w:r>
      <w:r>
        <w:rPr>
          <w:spacing w:val="-1"/>
          <w:w w:val="105"/>
          <w:sz w:val="15"/>
        </w:rPr>
        <w:t xml:space="preserve"> </w:t>
      </w:r>
      <w:r>
        <w:rPr>
          <w:w w:val="105"/>
          <w:sz w:val="15"/>
        </w:rPr>
        <w:t>minorías</w:t>
      </w:r>
      <w:r>
        <w:rPr>
          <w:spacing w:val="-1"/>
          <w:w w:val="105"/>
          <w:sz w:val="15"/>
        </w:rPr>
        <w:t xml:space="preserve"> </w:t>
      </w:r>
      <w:r>
        <w:rPr>
          <w:w w:val="105"/>
          <w:sz w:val="15"/>
        </w:rPr>
        <w:t>como</w:t>
      </w:r>
      <w:r>
        <w:rPr>
          <w:spacing w:val="-1"/>
          <w:w w:val="105"/>
          <w:sz w:val="15"/>
        </w:rPr>
        <w:t xml:space="preserve"> </w:t>
      </w:r>
      <w:r>
        <w:rPr>
          <w:w w:val="105"/>
          <w:sz w:val="15"/>
        </w:rPr>
        <w:t>resultado</w:t>
      </w:r>
      <w:r>
        <w:rPr>
          <w:spacing w:val="-1"/>
          <w:w w:val="105"/>
          <w:sz w:val="15"/>
        </w:rPr>
        <w:t xml:space="preserve"> </w:t>
      </w:r>
      <w:r>
        <w:rPr>
          <w:w w:val="105"/>
          <w:sz w:val="15"/>
        </w:rPr>
        <w:t>de</w:t>
      </w:r>
      <w:r>
        <w:rPr>
          <w:spacing w:val="-1"/>
          <w:w w:val="105"/>
          <w:sz w:val="15"/>
        </w:rPr>
        <w:t xml:space="preserve"> </w:t>
      </w:r>
      <w:r>
        <w:rPr>
          <w:w w:val="105"/>
          <w:sz w:val="15"/>
        </w:rPr>
        <w:t>los</w:t>
      </w:r>
      <w:r>
        <w:rPr>
          <w:spacing w:val="-1"/>
          <w:w w:val="105"/>
          <w:sz w:val="15"/>
        </w:rPr>
        <w:t xml:space="preserve"> </w:t>
      </w:r>
      <w:r>
        <w:rPr>
          <w:w w:val="105"/>
          <w:sz w:val="15"/>
        </w:rPr>
        <w:t>derechos</w:t>
      </w:r>
      <w:r>
        <w:rPr>
          <w:spacing w:val="-1"/>
          <w:w w:val="105"/>
          <w:sz w:val="15"/>
        </w:rPr>
        <w:t xml:space="preserve"> </w:t>
      </w:r>
      <w:r>
        <w:rPr>
          <w:w w:val="105"/>
          <w:sz w:val="15"/>
        </w:rPr>
        <w:t>considerablemente</w:t>
      </w:r>
      <w:r>
        <w:rPr>
          <w:spacing w:val="-1"/>
          <w:w w:val="105"/>
          <w:sz w:val="15"/>
        </w:rPr>
        <w:t xml:space="preserve"> </w:t>
      </w:r>
      <w:r>
        <w:rPr>
          <w:w w:val="105"/>
          <w:sz w:val="15"/>
        </w:rPr>
        <w:t>fortalecidos</w:t>
      </w:r>
      <w:r>
        <w:rPr>
          <w:spacing w:val="-1"/>
          <w:w w:val="105"/>
          <w:sz w:val="15"/>
        </w:rPr>
        <w:t xml:space="preserve"> </w:t>
      </w:r>
      <w:r>
        <w:rPr>
          <w:w w:val="105"/>
          <w:sz w:val="15"/>
        </w:rPr>
        <w:t>reconocidos</w:t>
      </w:r>
      <w:r>
        <w:rPr>
          <w:spacing w:val="-1"/>
          <w:w w:val="105"/>
          <w:sz w:val="15"/>
        </w:rPr>
        <w:t xml:space="preserve"> </w:t>
      </w:r>
      <w:r>
        <w:rPr>
          <w:w w:val="105"/>
          <w:sz w:val="15"/>
        </w:rPr>
        <w:t>en</w:t>
      </w:r>
      <w:r>
        <w:rPr>
          <w:spacing w:val="-1"/>
          <w:w w:val="105"/>
          <w:sz w:val="15"/>
        </w:rPr>
        <w:t xml:space="preserve"> </w:t>
      </w:r>
      <w:r>
        <w:rPr>
          <w:w w:val="105"/>
          <w:sz w:val="15"/>
        </w:rPr>
        <w:t>la</w:t>
      </w:r>
      <w:r>
        <w:rPr>
          <w:spacing w:val="-1"/>
          <w:w w:val="105"/>
          <w:sz w:val="15"/>
        </w:rPr>
        <w:t xml:space="preserve"> </w:t>
      </w:r>
      <w:r>
        <w:rPr>
          <w:w w:val="105"/>
          <w:sz w:val="15"/>
        </w:rPr>
        <w:t>Declaración.</w:t>
      </w:r>
    </w:p>
    <w:p w14:paraId="70D9E10D" w14:textId="77777777" w:rsidR="0014798C" w:rsidRDefault="004E1F0B">
      <w:pPr>
        <w:spacing w:line="348" w:lineRule="auto"/>
        <w:ind w:left="1111" w:right="1210" w:hanging="5"/>
        <w:rPr>
          <w:sz w:val="15"/>
        </w:rPr>
      </w:pPr>
      <w:r>
        <w:rPr>
          <w:w w:val="105"/>
          <w:sz w:val="15"/>
        </w:rPr>
        <w:t>Posteriormente,</w:t>
      </w:r>
      <w:r>
        <w:rPr>
          <w:spacing w:val="-9"/>
          <w:w w:val="105"/>
          <w:sz w:val="15"/>
        </w:rPr>
        <w:t xml:space="preserve"> </w:t>
      </w:r>
      <w:r>
        <w:rPr>
          <w:w w:val="105"/>
          <w:sz w:val="15"/>
        </w:rPr>
        <w:t>el</w:t>
      </w:r>
      <w:r>
        <w:rPr>
          <w:spacing w:val="-10"/>
          <w:w w:val="105"/>
          <w:sz w:val="15"/>
        </w:rPr>
        <w:t xml:space="preserve"> </w:t>
      </w:r>
      <w:r>
        <w:rPr>
          <w:w w:val="105"/>
          <w:sz w:val="15"/>
        </w:rPr>
        <w:t>Comité</w:t>
      </w:r>
      <w:r>
        <w:rPr>
          <w:spacing w:val="-10"/>
          <w:w w:val="105"/>
          <w:sz w:val="15"/>
        </w:rPr>
        <w:t xml:space="preserve"> </w:t>
      </w:r>
      <w:r>
        <w:rPr>
          <w:w w:val="105"/>
          <w:sz w:val="15"/>
        </w:rPr>
        <w:t>de</w:t>
      </w:r>
      <w:r>
        <w:rPr>
          <w:spacing w:val="-10"/>
          <w:w w:val="105"/>
          <w:sz w:val="15"/>
        </w:rPr>
        <w:t xml:space="preserve"> </w:t>
      </w:r>
      <w:r>
        <w:rPr>
          <w:w w:val="105"/>
          <w:sz w:val="15"/>
        </w:rPr>
        <w:t>Derechos</w:t>
      </w:r>
      <w:r>
        <w:rPr>
          <w:spacing w:val="-10"/>
          <w:w w:val="105"/>
          <w:sz w:val="15"/>
        </w:rPr>
        <w:t xml:space="preserve"> </w:t>
      </w:r>
      <w:r>
        <w:rPr>
          <w:w w:val="105"/>
          <w:sz w:val="15"/>
        </w:rPr>
        <w:t>Humanos</w:t>
      </w:r>
      <w:r>
        <w:rPr>
          <w:spacing w:val="-10"/>
          <w:w w:val="105"/>
          <w:sz w:val="15"/>
        </w:rPr>
        <w:t xml:space="preserve"> </w:t>
      </w:r>
      <w:r>
        <w:rPr>
          <w:w w:val="105"/>
          <w:sz w:val="15"/>
        </w:rPr>
        <w:t>reconoció</w:t>
      </w:r>
      <w:r>
        <w:rPr>
          <w:spacing w:val="-10"/>
          <w:w w:val="105"/>
          <w:sz w:val="15"/>
        </w:rPr>
        <w:t xml:space="preserve"> </w:t>
      </w:r>
      <w:r>
        <w:rPr>
          <w:w w:val="105"/>
          <w:sz w:val="15"/>
        </w:rPr>
        <w:t>que</w:t>
      </w:r>
      <w:r>
        <w:rPr>
          <w:spacing w:val="-10"/>
          <w:w w:val="105"/>
          <w:sz w:val="15"/>
        </w:rPr>
        <w:t xml:space="preserve"> </w:t>
      </w:r>
      <w:r>
        <w:rPr>
          <w:w w:val="105"/>
          <w:sz w:val="15"/>
        </w:rPr>
        <w:t>la</w:t>
      </w:r>
      <w:r>
        <w:rPr>
          <w:spacing w:val="-10"/>
          <w:w w:val="105"/>
          <w:sz w:val="15"/>
        </w:rPr>
        <w:t xml:space="preserve"> </w:t>
      </w:r>
      <w:r>
        <w:rPr>
          <w:w w:val="105"/>
          <w:sz w:val="15"/>
        </w:rPr>
        <w:t>Declaración</w:t>
      </w:r>
      <w:r>
        <w:rPr>
          <w:spacing w:val="-10"/>
          <w:w w:val="105"/>
          <w:sz w:val="15"/>
        </w:rPr>
        <w:t xml:space="preserve"> </w:t>
      </w:r>
      <w:r>
        <w:rPr>
          <w:w w:val="105"/>
          <w:sz w:val="15"/>
        </w:rPr>
        <w:t>demuestra</w:t>
      </w:r>
      <w:r>
        <w:rPr>
          <w:spacing w:val="-10"/>
          <w:w w:val="105"/>
          <w:sz w:val="15"/>
        </w:rPr>
        <w:t xml:space="preserve"> </w:t>
      </w:r>
      <w:r>
        <w:rPr>
          <w:w w:val="105"/>
          <w:sz w:val="15"/>
        </w:rPr>
        <w:t>los</w:t>
      </w:r>
      <w:r>
        <w:rPr>
          <w:spacing w:val="-10"/>
          <w:w w:val="105"/>
          <w:sz w:val="15"/>
        </w:rPr>
        <w:t xml:space="preserve"> </w:t>
      </w:r>
      <w:r>
        <w:rPr>
          <w:w w:val="105"/>
          <w:sz w:val="15"/>
        </w:rPr>
        <w:t>derechos</w:t>
      </w:r>
      <w:r>
        <w:rPr>
          <w:spacing w:val="-10"/>
          <w:w w:val="105"/>
          <w:sz w:val="15"/>
        </w:rPr>
        <w:t xml:space="preserve"> </w:t>
      </w:r>
      <w:r>
        <w:rPr>
          <w:w w:val="105"/>
          <w:sz w:val="15"/>
        </w:rPr>
        <w:t>indígenas,</w:t>
      </w:r>
      <w:r>
        <w:rPr>
          <w:spacing w:val="-9"/>
          <w:w w:val="105"/>
          <w:sz w:val="15"/>
        </w:rPr>
        <w:t xml:space="preserve"> </w:t>
      </w:r>
      <w:r>
        <w:rPr>
          <w:w w:val="105"/>
          <w:sz w:val="15"/>
        </w:rPr>
        <w:t>haciendo</w:t>
      </w:r>
      <w:r>
        <w:rPr>
          <w:spacing w:val="-10"/>
          <w:w w:val="105"/>
          <w:sz w:val="15"/>
        </w:rPr>
        <w:t xml:space="preserve"> </w:t>
      </w:r>
      <w:r>
        <w:rPr>
          <w:w w:val="105"/>
          <w:sz w:val="15"/>
        </w:rPr>
        <w:t>referencia a</w:t>
      </w:r>
      <w:r>
        <w:rPr>
          <w:spacing w:val="-10"/>
          <w:w w:val="105"/>
          <w:sz w:val="15"/>
        </w:rPr>
        <w:t xml:space="preserve"> </w:t>
      </w:r>
      <w:r>
        <w:rPr>
          <w:w w:val="105"/>
          <w:sz w:val="15"/>
        </w:rPr>
        <w:t>la</w:t>
      </w:r>
      <w:r>
        <w:rPr>
          <w:spacing w:val="-9"/>
          <w:w w:val="105"/>
          <w:sz w:val="15"/>
        </w:rPr>
        <w:t xml:space="preserve"> </w:t>
      </w:r>
      <w:r>
        <w:rPr>
          <w:w w:val="105"/>
          <w:sz w:val="15"/>
        </w:rPr>
        <w:t>Declaración</w:t>
      </w:r>
      <w:r>
        <w:rPr>
          <w:spacing w:val="-9"/>
          <w:w w:val="105"/>
          <w:sz w:val="15"/>
        </w:rPr>
        <w:t xml:space="preserve"> </w:t>
      </w:r>
      <w:r>
        <w:rPr>
          <w:w w:val="105"/>
          <w:sz w:val="15"/>
        </w:rPr>
        <w:t>en</w:t>
      </w:r>
      <w:r>
        <w:rPr>
          <w:spacing w:val="-9"/>
          <w:w w:val="105"/>
          <w:sz w:val="15"/>
        </w:rPr>
        <w:t xml:space="preserve"> </w:t>
      </w:r>
      <w:r>
        <w:rPr>
          <w:w w:val="105"/>
          <w:sz w:val="15"/>
        </w:rPr>
        <w:t>su</w:t>
      </w:r>
      <w:r>
        <w:rPr>
          <w:spacing w:val="-9"/>
          <w:w w:val="105"/>
          <w:sz w:val="15"/>
        </w:rPr>
        <w:t xml:space="preserve"> </w:t>
      </w:r>
      <w:r>
        <w:rPr>
          <w:w w:val="105"/>
          <w:sz w:val="15"/>
        </w:rPr>
        <w:t>análisis</w:t>
      </w:r>
      <w:r>
        <w:rPr>
          <w:spacing w:val="-10"/>
          <w:w w:val="105"/>
          <w:sz w:val="15"/>
        </w:rPr>
        <w:t xml:space="preserve"> </w:t>
      </w:r>
      <w:r>
        <w:rPr>
          <w:w w:val="105"/>
          <w:sz w:val="15"/>
        </w:rPr>
        <w:t>de</w:t>
      </w:r>
      <w:r>
        <w:rPr>
          <w:spacing w:val="-9"/>
          <w:w w:val="105"/>
          <w:sz w:val="15"/>
        </w:rPr>
        <w:t xml:space="preserve"> </w:t>
      </w:r>
      <w:r>
        <w:rPr>
          <w:w w:val="105"/>
          <w:sz w:val="15"/>
        </w:rPr>
        <w:t>los</w:t>
      </w:r>
      <w:r>
        <w:rPr>
          <w:spacing w:val="-9"/>
          <w:w w:val="105"/>
          <w:sz w:val="15"/>
        </w:rPr>
        <w:t xml:space="preserve"> </w:t>
      </w:r>
      <w:r>
        <w:rPr>
          <w:w w:val="105"/>
          <w:sz w:val="15"/>
        </w:rPr>
        <w:t>derechos</w:t>
      </w:r>
      <w:r>
        <w:rPr>
          <w:spacing w:val="-9"/>
          <w:w w:val="105"/>
          <w:sz w:val="15"/>
        </w:rPr>
        <w:t xml:space="preserve"> </w:t>
      </w:r>
      <w:r>
        <w:rPr>
          <w:w w:val="105"/>
          <w:sz w:val="15"/>
        </w:rPr>
        <w:t>indígenas</w:t>
      </w:r>
      <w:r>
        <w:rPr>
          <w:spacing w:val="-9"/>
          <w:w w:val="105"/>
          <w:sz w:val="15"/>
        </w:rPr>
        <w:t xml:space="preserve"> </w:t>
      </w:r>
      <w:r>
        <w:rPr>
          <w:w w:val="105"/>
          <w:sz w:val="15"/>
        </w:rPr>
        <w:t>e</w:t>
      </w:r>
      <w:r>
        <w:rPr>
          <w:spacing w:val="-9"/>
          <w:w w:val="105"/>
          <w:sz w:val="15"/>
        </w:rPr>
        <w:t xml:space="preserve"> </w:t>
      </w:r>
      <w:r>
        <w:rPr>
          <w:w w:val="105"/>
          <w:sz w:val="15"/>
        </w:rPr>
        <w:t>interpretando</w:t>
      </w:r>
      <w:r>
        <w:rPr>
          <w:spacing w:val="-10"/>
          <w:w w:val="105"/>
          <w:sz w:val="15"/>
        </w:rPr>
        <w:t xml:space="preserve"> </w:t>
      </w:r>
      <w:r>
        <w:rPr>
          <w:w w:val="105"/>
          <w:sz w:val="15"/>
        </w:rPr>
        <w:t>el</w:t>
      </w:r>
      <w:r>
        <w:rPr>
          <w:spacing w:val="-9"/>
          <w:w w:val="105"/>
          <w:sz w:val="15"/>
        </w:rPr>
        <w:t xml:space="preserve"> </w:t>
      </w:r>
      <w:r>
        <w:rPr>
          <w:w w:val="105"/>
          <w:sz w:val="15"/>
        </w:rPr>
        <w:t>artículo</w:t>
      </w:r>
      <w:r>
        <w:rPr>
          <w:spacing w:val="-9"/>
          <w:w w:val="105"/>
          <w:sz w:val="15"/>
        </w:rPr>
        <w:t xml:space="preserve"> </w:t>
      </w:r>
      <w:r>
        <w:rPr>
          <w:w w:val="105"/>
          <w:sz w:val="15"/>
        </w:rPr>
        <w:t>27</w:t>
      </w:r>
      <w:r>
        <w:rPr>
          <w:spacing w:val="-9"/>
          <w:w w:val="105"/>
          <w:sz w:val="15"/>
        </w:rPr>
        <w:t xml:space="preserve"> </w:t>
      </w:r>
      <w:r>
        <w:rPr>
          <w:w w:val="105"/>
          <w:sz w:val="15"/>
        </w:rPr>
        <w:t>del</w:t>
      </w:r>
      <w:r>
        <w:rPr>
          <w:spacing w:val="-9"/>
          <w:w w:val="105"/>
          <w:sz w:val="15"/>
        </w:rPr>
        <w:t xml:space="preserve"> </w:t>
      </w:r>
      <w:r>
        <w:rPr>
          <w:w w:val="105"/>
          <w:sz w:val="15"/>
        </w:rPr>
        <w:t>Pacto</w:t>
      </w:r>
      <w:r>
        <w:rPr>
          <w:spacing w:val="-10"/>
          <w:w w:val="105"/>
          <w:sz w:val="15"/>
        </w:rPr>
        <w:t xml:space="preserve"> </w:t>
      </w:r>
      <w:r>
        <w:rPr>
          <w:w w:val="105"/>
          <w:sz w:val="15"/>
        </w:rPr>
        <w:t>a</w:t>
      </w:r>
      <w:r>
        <w:rPr>
          <w:spacing w:val="-9"/>
          <w:w w:val="105"/>
          <w:sz w:val="15"/>
        </w:rPr>
        <w:t xml:space="preserve"> </w:t>
      </w:r>
      <w:r>
        <w:rPr>
          <w:w w:val="105"/>
          <w:sz w:val="15"/>
        </w:rPr>
        <w:t>la</w:t>
      </w:r>
      <w:r>
        <w:rPr>
          <w:spacing w:val="-9"/>
          <w:w w:val="105"/>
          <w:sz w:val="15"/>
        </w:rPr>
        <w:t xml:space="preserve"> </w:t>
      </w:r>
      <w:r>
        <w:rPr>
          <w:w w:val="105"/>
          <w:sz w:val="15"/>
        </w:rPr>
        <w:t>luz</w:t>
      </w:r>
      <w:r>
        <w:rPr>
          <w:spacing w:val="-9"/>
          <w:w w:val="105"/>
          <w:sz w:val="15"/>
        </w:rPr>
        <w:t xml:space="preserve"> </w:t>
      </w:r>
      <w:r>
        <w:rPr>
          <w:w w:val="105"/>
          <w:sz w:val="15"/>
        </w:rPr>
        <w:t>de</w:t>
      </w:r>
      <w:r>
        <w:rPr>
          <w:spacing w:val="-9"/>
          <w:w w:val="105"/>
          <w:sz w:val="15"/>
        </w:rPr>
        <w:t xml:space="preserve"> </w:t>
      </w:r>
      <w:r>
        <w:rPr>
          <w:w w:val="105"/>
          <w:sz w:val="15"/>
        </w:rPr>
        <w:t>la</w:t>
      </w:r>
      <w:r>
        <w:rPr>
          <w:spacing w:val="-9"/>
          <w:w w:val="105"/>
          <w:sz w:val="15"/>
        </w:rPr>
        <w:t xml:space="preserve"> </w:t>
      </w:r>
      <w:r>
        <w:rPr>
          <w:w w:val="105"/>
          <w:sz w:val="15"/>
        </w:rPr>
        <w:t>propia</w:t>
      </w:r>
      <w:r>
        <w:rPr>
          <w:spacing w:val="-10"/>
          <w:w w:val="105"/>
          <w:sz w:val="15"/>
        </w:rPr>
        <w:t xml:space="preserve"> </w:t>
      </w:r>
      <w:r>
        <w:rPr>
          <w:spacing w:val="-2"/>
          <w:w w:val="105"/>
          <w:sz w:val="15"/>
        </w:rPr>
        <w:t>Declaración.1088</w:t>
      </w:r>
    </w:p>
    <w:p w14:paraId="719BAC53" w14:textId="77777777" w:rsidR="0014798C" w:rsidRDefault="0014798C">
      <w:pPr>
        <w:pStyle w:val="Textoindependiente"/>
        <w:rPr>
          <w:sz w:val="15"/>
        </w:rPr>
      </w:pPr>
    </w:p>
    <w:p w14:paraId="7C2EEF0C" w14:textId="77777777" w:rsidR="0014798C" w:rsidRDefault="0014798C">
      <w:pPr>
        <w:pStyle w:val="Textoindependiente"/>
        <w:spacing w:before="72"/>
        <w:rPr>
          <w:sz w:val="15"/>
        </w:rPr>
      </w:pPr>
    </w:p>
    <w:p w14:paraId="2F95AC27" w14:textId="77777777" w:rsidR="0014798C" w:rsidRDefault="004E1F0B">
      <w:pPr>
        <w:spacing w:line="348" w:lineRule="auto"/>
        <w:ind w:left="1107" w:right="1395" w:hanging="1"/>
        <w:rPr>
          <w:sz w:val="15"/>
        </w:rPr>
      </w:pPr>
      <w:r>
        <w:rPr>
          <w:w w:val="105"/>
          <w:sz w:val="15"/>
        </w:rPr>
        <w:t>Los</w:t>
      </w:r>
      <w:r>
        <w:rPr>
          <w:spacing w:val="-8"/>
          <w:w w:val="105"/>
          <w:sz w:val="15"/>
        </w:rPr>
        <w:t xml:space="preserve"> </w:t>
      </w:r>
      <w:r>
        <w:rPr>
          <w:w w:val="105"/>
          <w:sz w:val="15"/>
        </w:rPr>
        <w:t>derechos</w:t>
      </w:r>
      <w:r>
        <w:rPr>
          <w:spacing w:val="-8"/>
          <w:w w:val="105"/>
          <w:sz w:val="15"/>
        </w:rPr>
        <w:t xml:space="preserve"> </w:t>
      </w:r>
      <w:r>
        <w:rPr>
          <w:w w:val="105"/>
          <w:sz w:val="15"/>
        </w:rPr>
        <w:t>protegidos</w:t>
      </w:r>
      <w:r>
        <w:rPr>
          <w:spacing w:val="-8"/>
          <w:w w:val="105"/>
          <w:sz w:val="15"/>
        </w:rPr>
        <w:t xml:space="preserve"> </w:t>
      </w:r>
      <w:r>
        <w:rPr>
          <w:w w:val="105"/>
          <w:sz w:val="15"/>
        </w:rPr>
        <w:t>por</w:t>
      </w:r>
      <w:r>
        <w:rPr>
          <w:spacing w:val="-8"/>
          <w:w w:val="105"/>
          <w:sz w:val="15"/>
        </w:rPr>
        <w:t xml:space="preserve"> </w:t>
      </w:r>
      <w:r>
        <w:rPr>
          <w:w w:val="105"/>
          <w:sz w:val="15"/>
        </w:rPr>
        <w:t>la</w:t>
      </w:r>
      <w:r>
        <w:rPr>
          <w:spacing w:val="-8"/>
          <w:w w:val="105"/>
          <w:sz w:val="15"/>
        </w:rPr>
        <w:t xml:space="preserve"> </w:t>
      </w:r>
      <w:r>
        <w:rPr>
          <w:w w:val="105"/>
          <w:sz w:val="15"/>
        </w:rPr>
        <w:t>Declaración</w:t>
      </w:r>
      <w:r>
        <w:rPr>
          <w:spacing w:val="-8"/>
          <w:w w:val="105"/>
          <w:sz w:val="15"/>
        </w:rPr>
        <w:t xml:space="preserve"> </w:t>
      </w:r>
      <w:r>
        <w:rPr>
          <w:w w:val="105"/>
          <w:sz w:val="15"/>
        </w:rPr>
        <w:t>incluyen</w:t>
      </w:r>
      <w:r>
        <w:rPr>
          <w:spacing w:val="-8"/>
          <w:w w:val="105"/>
          <w:sz w:val="15"/>
        </w:rPr>
        <w:t xml:space="preserve"> </w:t>
      </w:r>
      <w:r>
        <w:rPr>
          <w:w w:val="105"/>
          <w:sz w:val="15"/>
        </w:rPr>
        <w:t>derechos</w:t>
      </w:r>
      <w:r>
        <w:rPr>
          <w:spacing w:val="-8"/>
          <w:w w:val="105"/>
          <w:sz w:val="15"/>
        </w:rPr>
        <w:t xml:space="preserve"> </w:t>
      </w:r>
      <w:r>
        <w:rPr>
          <w:w w:val="105"/>
          <w:sz w:val="15"/>
        </w:rPr>
        <w:t>colectivos</w:t>
      </w:r>
      <w:r>
        <w:rPr>
          <w:spacing w:val="-8"/>
          <w:w w:val="105"/>
          <w:sz w:val="15"/>
        </w:rPr>
        <w:t xml:space="preserve"> </w:t>
      </w:r>
      <w:r>
        <w:rPr>
          <w:w w:val="105"/>
          <w:sz w:val="15"/>
        </w:rPr>
        <w:t>a</w:t>
      </w:r>
      <w:r>
        <w:rPr>
          <w:spacing w:val="-8"/>
          <w:w w:val="105"/>
          <w:sz w:val="15"/>
        </w:rPr>
        <w:t xml:space="preserve"> </w:t>
      </w:r>
      <w:r>
        <w:rPr>
          <w:w w:val="105"/>
          <w:sz w:val="15"/>
        </w:rPr>
        <w:t>la</w:t>
      </w:r>
      <w:r>
        <w:rPr>
          <w:spacing w:val="-8"/>
          <w:w w:val="105"/>
          <w:sz w:val="15"/>
        </w:rPr>
        <w:t xml:space="preserve"> </w:t>
      </w:r>
      <w:r>
        <w:rPr>
          <w:w w:val="105"/>
          <w:sz w:val="15"/>
        </w:rPr>
        <w:t>libre</w:t>
      </w:r>
      <w:r>
        <w:rPr>
          <w:spacing w:val="-8"/>
          <w:w w:val="105"/>
          <w:sz w:val="15"/>
        </w:rPr>
        <w:t xml:space="preserve"> </w:t>
      </w:r>
      <w:r>
        <w:rPr>
          <w:w w:val="105"/>
          <w:sz w:val="15"/>
        </w:rPr>
        <w:t>determinación</w:t>
      </w:r>
      <w:r>
        <w:rPr>
          <w:spacing w:val="-8"/>
          <w:w w:val="105"/>
          <w:sz w:val="15"/>
        </w:rPr>
        <w:t xml:space="preserve"> </w:t>
      </w:r>
      <w:r>
        <w:rPr>
          <w:w w:val="105"/>
          <w:sz w:val="15"/>
        </w:rPr>
        <w:t>(art.</w:t>
      </w:r>
      <w:r>
        <w:rPr>
          <w:spacing w:val="-8"/>
          <w:w w:val="105"/>
          <w:sz w:val="15"/>
        </w:rPr>
        <w:t xml:space="preserve"> </w:t>
      </w:r>
      <w:r>
        <w:rPr>
          <w:sz w:val="15"/>
        </w:rPr>
        <w:t>3);</w:t>
      </w:r>
      <w:r>
        <w:rPr>
          <w:spacing w:val="-6"/>
          <w:sz w:val="15"/>
        </w:rPr>
        <w:t xml:space="preserve"> </w:t>
      </w:r>
      <w:r>
        <w:rPr>
          <w:w w:val="105"/>
          <w:sz w:val="15"/>
        </w:rPr>
        <w:t>autonomía</w:t>
      </w:r>
      <w:r>
        <w:rPr>
          <w:spacing w:val="-8"/>
          <w:w w:val="105"/>
          <w:sz w:val="15"/>
        </w:rPr>
        <w:t xml:space="preserve"> </w:t>
      </w:r>
      <w:r>
        <w:rPr>
          <w:w w:val="105"/>
          <w:sz w:val="15"/>
        </w:rPr>
        <w:t>o</w:t>
      </w:r>
      <w:r>
        <w:rPr>
          <w:spacing w:val="-8"/>
          <w:w w:val="105"/>
          <w:sz w:val="15"/>
        </w:rPr>
        <w:t xml:space="preserve"> </w:t>
      </w:r>
      <w:r>
        <w:rPr>
          <w:w w:val="105"/>
          <w:sz w:val="15"/>
        </w:rPr>
        <w:t>autogobierno en</w:t>
      </w:r>
      <w:r>
        <w:rPr>
          <w:spacing w:val="-7"/>
          <w:w w:val="105"/>
          <w:sz w:val="15"/>
        </w:rPr>
        <w:t xml:space="preserve"> </w:t>
      </w:r>
      <w:r>
        <w:rPr>
          <w:w w:val="105"/>
          <w:sz w:val="15"/>
        </w:rPr>
        <w:t>cuestiones</w:t>
      </w:r>
      <w:r>
        <w:rPr>
          <w:spacing w:val="-7"/>
          <w:w w:val="105"/>
          <w:sz w:val="15"/>
        </w:rPr>
        <w:t xml:space="preserve"> </w:t>
      </w:r>
      <w:r>
        <w:rPr>
          <w:w w:val="105"/>
          <w:sz w:val="15"/>
        </w:rPr>
        <w:t>relativas</w:t>
      </w:r>
      <w:r>
        <w:rPr>
          <w:spacing w:val="-7"/>
          <w:w w:val="105"/>
          <w:sz w:val="15"/>
        </w:rPr>
        <w:t xml:space="preserve"> </w:t>
      </w:r>
      <w:r>
        <w:rPr>
          <w:w w:val="105"/>
          <w:sz w:val="15"/>
        </w:rPr>
        <w:t>a</w:t>
      </w:r>
      <w:r>
        <w:rPr>
          <w:spacing w:val="-7"/>
          <w:w w:val="105"/>
          <w:sz w:val="15"/>
        </w:rPr>
        <w:t xml:space="preserve"> </w:t>
      </w:r>
      <w:r>
        <w:rPr>
          <w:w w:val="105"/>
          <w:sz w:val="15"/>
        </w:rPr>
        <w:t>sus</w:t>
      </w:r>
      <w:r>
        <w:rPr>
          <w:spacing w:val="-7"/>
          <w:w w:val="105"/>
          <w:sz w:val="15"/>
        </w:rPr>
        <w:t xml:space="preserve"> </w:t>
      </w:r>
      <w:r>
        <w:rPr>
          <w:w w:val="105"/>
          <w:sz w:val="15"/>
        </w:rPr>
        <w:t>asuntos</w:t>
      </w:r>
      <w:r>
        <w:rPr>
          <w:spacing w:val="-7"/>
          <w:w w:val="105"/>
          <w:sz w:val="15"/>
        </w:rPr>
        <w:t xml:space="preserve"> </w:t>
      </w:r>
      <w:r>
        <w:rPr>
          <w:w w:val="105"/>
          <w:sz w:val="15"/>
        </w:rPr>
        <w:t>internos</w:t>
      </w:r>
      <w:r>
        <w:rPr>
          <w:spacing w:val="-7"/>
          <w:w w:val="105"/>
          <w:sz w:val="15"/>
        </w:rPr>
        <w:t xml:space="preserve"> </w:t>
      </w:r>
      <w:r>
        <w:rPr>
          <w:w w:val="105"/>
          <w:sz w:val="15"/>
        </w:rPr>
        <w:t>y</w:t>
      </w:r>
      <w:r>
        <w:rPr>
          <w:spacing w:val="-7"/>
          <w:w w:val="105"/>
          <w:sz w:val="15"/>
        </w:rPr>
        <w:t xml:space="preserve"> </w:t>
      </w:r>
      <w:r>
        <w:rPr>
          <w:w w:val="105"/>
          <w:sz w:val="15"/>
        </w:rPr>
        <w:t>locales,</w:t>
      </w:r>
      <w:r>
        <w:rPr>
          <w:spacing w:val="-6"/>
          <w:w w:val="105"/>
          <w:sz w:val="15"/>
        </w:rPr>
        <w:t xml:space="preserve"> </w:t>
      </w:r>
      <w:r>
        <w:rPr>
          <w:w w:val="105"/>
          <w:sz w:val="15"/>
        </w:rPr>
        <w:t>así</w:t>
      </w:r>
      <w:r>
        <w:rPr>
          <w:spacing w:val="-7"/>
          <w:w w:val="105"/>
          <w:sz w:val="15"/>
        </w:rPr>
        <w:t xml:space="preserve"> </w:t>
      </w:r>
      <w:r>
        <w:rPr>
          <w:w w:val="105"/>
          <w:sz w:val="15"/>
        </w:rPr>
        <w:t>como</w:t>
      </w:r>
      <w:r>
        <w:rPr>
          <w:spacing w:val="-7"/>
          <w:w w:val="105"/>
          <w:sz w:val="15"/>
        </w:rPr>
        <w:t xml:space="preserve"> </w:t>
      </w:r>
      <w:r>
        <w:rPr>
          <w:w w:val="105"/>
          <w:sz w:val="15"/>
        </w:rPr>
        <w:t>los</w:t>
      </w:r>
      <w:r>
        <w:rPr>
          <w:spacing w:val="-7"/>
          <w:w w:val="105"/>
          <w:sz w:val="15"/>
        </w:rPr>
        <w:t xml:space="preserve"> </w:t>
      </w:r>
      <w:r>
        <w:rPr>
          <w:w w:val="105"/>
          <w:sz w:val="15"/>
        </w:rPr>
        <w:t>medios</w:t>
      </w:r>
      <w:r>
        <w:rPr>
          <w:spacing w:val="-7"/>
          <w:w w:val="105"/>
          <w:sz w:val="15"/>
        </w:rPr>
        <w:t xml:space="preserve"> </w:t>
      </w:r>
      <w:r>
        <w:rPr>
          <w:w w:val="105"/>
          <w:sz w:val="15"/>
        </w:rPr>
        <w:t>y</w:t>
      </w:r>
      <w:r>
        <w:rPr>
          <w:spacing w:val="-7"/>
          <w:w w:val="105"/>
          <w:sz w:val="15"/>
        </w:rPr>
        <w:t xml:space="preserve"> </w:t>
      </w:r>
      <w:r>
        <w:rPr>
          <w:w w:val="105"/>
          <w:sz w:val="15"/>
        </w:rPr>
        <w:t>arbitrios</w:t>
      </w:r>
      <w:r>
        <w:rPr>
          <w:spacing w:val="-7"/>
          <w:w w:val="105"/>
          <w:sz w:val="15"/>
        </w:rPr>
        <w:t xml:space="preserve"> </w:t>
      </w:r>
      <w:r>
        <w:rPr>
          <w:w w:val="105"/>
          <w:sz w:val="15"/>
        </w:rPr>
        <w:t>para</w:t>
      </w:r>
      <w:r>
        <w:rPr>
          <w:spacing w:val="-7"/>
          <w:w w:val="105"/>
          <w:sz w:val="15"/>
        </w:rPr>
        <w:t xml:space="preserve"> </w:t>
      </w:r>
      <w:r>
        <w:rPr>
          <w:w w:val="105"/>
          <w:sz w:val="15"/>
        </w:rPr>
        <w:t>financiar</w:t>
      </w:r>
      <w:r>
        <w:rPr>
          <w:spacing w:val="-7"/>
          <w:w w:val="105"/>
          <w:sz w:val="15"/>
        </w:rPr>
        <w:t xml:space="preserve"> </w:t>
      </w:r>
      <w:r>
        <w:rPr>
          <w:w w:val="105"/>
          <w:sz w:val="15"/>
        </w:rPr>
        <w:t>sus</w:t>
      </w:r>
      <w:r>
        <w:rPr>
          <w:spacing w:val="-7"/>
          <w:w w:val="105"/>
          <w:sz w:val="15"/>
        </w:rPr>
        <w:t xml:space="preserve"> </w:t>
      </w:r>
      <w:r>
        <w:rPr>
          <w:w w:val="105"/>
          <w:sz w:val="15"/>
        </w:rPr>
        <w:t>funciones</w:t>
      </w:r>
      <w:r>
        <w:rPr>
          <w:spacing w:val="-7"/>
          <w:w w:val="105"/>
          <w:sz w:val="15"/>
        </w:rPr>
        <w:t xml:space="preserve"> </w:t>
      </w:r>
      <w:r>
        <w:rPr>
          <w:w w:val="105"/>
          <w:sz w:val="15"/>
        </w:rPr>
        <w:t>autónomas</w:t>
      </w:r>
      <w:r>
        <w:rPr>
          <w:spacing w:val="-7"/>
          <w:w w:val="105"/>
          <w:sz w:val="15"/>
        </w:rPr>
        <w:t xml:space="preserve"> </w:t>
      </w:r>
      <w:r>
        <w:rPr>
          <w:w w:val="105"/>
          <w:sz w:val="15"/>
        </w:rPr>
        <w:t xml:space="preserve">(art. </w:t>
      </w:r>
      <w:r>
        <w:rPr>
          <w:spacing w:val="-2"/>
          <w:sz w:val="15"/>
        </w:rPr>
        <w:t xml:space="preserve">4); </w:t>
      </w:r>
      <w:r>
        <w:rPr>
          <w:spacing w:val="-2"/>
          <w:w w:val="105"/>
          <w:sz w:val="15"/>
        </w:rPr>
        <w:t xml:space="preserve">derechos sobre la tierra (indicados a continuación); y el consentimiento libre, previo e informado como “una manifestación del </w:t>
      </w:r>
      <w:r>
        <w:rPr>
          <w:w w:val="105"/>
          <w:sz w:val="15"/>
        </w:rPr>
        <w:t>derecho</w:t>
      </w:r>
      <w:r>
        <w:rPr>
          <w:spacing w:val="-8"/>
          <w:w w:val="105"/>
          <w:sz w:val="15"/>
        </w:rPr>
        <w:t xml:space="preserve"> </w:t>
      </w:r>
      <w:r>
        <w:rPr>
          <w:w w:val="105"/>
          <w:sz w:val="15"/>
        </w:rPr>
        <w:t>de</w:t>
      </w:r>
      <w:r>
        <w:rPr>
          <w:spacing w:val="-8"/>
          <w:w w:val="105"/>
          <w:sz w:val="15"/>
        </w:rPr>
        <w:t xml:space="preserve"> </w:t>
      </w:r>
      <w:r>
        <w:rPr>
          <w:w w:val="105"/>
          <w:sz w:val="15"/>
        </w:rPr>
        <w:t>los</w:t>
      </w:r>
      <w:r>
        <w:rPr>
          <w:spacing w:val="-8"/>
          <w:w w:val="105"/>
          <w:sz w:val="15"/>
        </w:rPr>
        <w:t xml:space="preserve"> </w:t>
      </w:r>
      <w:r>
        <w:rPr>
          <w:w w:val="105"/>
          <w:sz w:val="15"/>
        </w:rPr>
        <w:t>pueblos</w:t>
      </w:r>
      <w:r>
        <w:rPr>
          <w:spacing w:val="-8"/>
          <w:w w:val="105"/>
          <w:sz w:val="15"/>
        </w:rPr>
        <w:t xml:space="preserve"> </w:t>
      </w:r>
      <w:r>
        <w:rPr>
          <w:w w:val="105"/>
          <w:sz w:val="15"/>
        </w:rPr>
        <w:t>indígenas</w:t>
      </w:r>
      <w:r>
        <w:rPr>
          <w:spacing w:val="-8"/>
          <w:w w:val="105"/>
          <w:sz w:val="15"/>
        </w:rPr>
        <w:t xml:space="preserve"> </w:t>
      </w:r>
      <w:r>
        <w:rPr>
          <w:w w:val="105"/>
          <w:sz w:val="15"/>
        </w:rPr>
        <w:t>a</w:t>
      </w:r>
      <w:r>
        <w:rPr>
          <w:spacing w:val="-8"/>
          <w:w w:val="105"/>
          <w:sz w:val="15"/>
        </w:rPr>
        <w:t xml:space="preserve"> </w:t>
      </w:r>
      <w:r>
        <w:rPr>
          <w:w w:val="105"/>
          <w:sz w:val="15"/>
        </w:rPr>
        <w:t>autodeterminar</w:t>
      </w:r>
      <w:r>
        <w:rPr>
          <w:spacing w:val="-8"/>
          <w:w w:val="105"/>
          <w:sz w:val="15"/>
        </w:rPr>
        <w:t xml:space="preserve"> </w:t>
      </w:r>
      <w:r>
        <w:rPr>
          <w:w w:val="105"/>
          <w:sz w:val="15"/>
        </w:rPr>
        <w:t>sus</w:t>
      </w:r>
      <w:r>
        <w:rPr>
          <w:spacing w:val="-8"/>
          <w:w w:val="105"/>
          <w:sz w:val="15"/>
        </w:rPr>
        <w:t xml:space="preserve"> </w:t>
      </w:r>
      <w:r>
        <w:rPr>
          <w:w w:val="105"/>
          <w:sz w:val="15"/>
        </w:rPr>
        <w:t>prioridades</w:t>
      </w:r>
      <w:r>
        <w:rPr>
          <w:spacing w:val="-8"/>
          <w:w w:val="105"/>
          <w:sz w:val="15"/>
        </w:rPr>
        <w:t xml:space="preserve"> </w:t>
      </w:r>
      <w:r>
        <w:rPr>
          <w:w w:val="105"/>
          <w:sz w:val="15"/>
        </w:rPr>
        <w:t>políticas,</w:t>
      </w:r>
      <w:r>
        <w:rPr>
          <w:spacing w:val="-7"/>
          <w:w w:val="105"/>
          <w:sz w:val="15"/>
        </w:rPr>
        <w:t xml:space="preserve"> </w:t>
      </w:r>
      <w:r>
        <w:rPr>
          <w:w w:val="105"/>
          <w:sz w:val="15"/>
        </w:rPr>
        <w:t>sociales,</w:t>
      </w:r>
      <w:r>
        <w:rPr>
          <w:spacing w:val="-7"/>
          <w:w w:val="105"/>
          <w:sz w:val="15"/>
        </w:rPr>
        <w:t xml:space="preserve"> </w:t>
      </w:r>
      <w:r>
        <w:rPr>
          <w:w w:val="105"/>
          <w:sz w:val="15"/>
        </w:rPr>
        <w:t>económicas</w:t>
      </w:r>
      <w:r>
        <w:rPr>
          <w:spacing w:val="-8"/>
          <w:w w:val="105"/>
          <w:sz w:val="15"/>
        </w:rPr>
        <w:t xml:space="preserve"> </w:t>
      </w:r>
      <w:r>
        <w:rPr>
          <w:w w:val="105"/>
          <w:sz w:val="15"/>
        </w:rPr>
        <w:t>y</w:t>
      </w:r>
      <w:r>
        <w:rPr>
          <w:spacing w:val="-8"/>
          <w:w w:val="105"/>
          <w:sz w:val="15"/>
        </w:rPr>
        <w:t xml:space="preserve"> </w:t>
      </w:r>
      <w:r>
        <w:rPr>
          <w:w w:val="105"/>
          <w:sz w:val="15"/>
        </w:rPr>
        <w:t>culturales”</w:t>
      </w:r>
      <w:r>
        <w:rPr>
          <w:spacing w:val="-8"/>
          <w:w w:val="105"/>
          <w:sz w:val="15"/>
        </w:rPr>
        <w:t xml:space="preserve"> </w:t>
      </w:r>
      <w:r>
        <w:rPr>
          <w:w w:val="105"/>
          <w:sz w:val="15"/>
        </w:rPr>
        <w:t>(arts.</w:t>
      </w:r>
      <w:r>
        <w:rPr>
          <w:spacing w:val="-8"/>
          <w:w w:val="105"/>
          <w:sz w:val="15"/>
        </w:rPr>
        <w:t xml:space="preserve"> </w:t>
      </w:r>
      <w:r>
        <w:rPr>
          <w:w w:val="105"/>
          <w:sz w:val="15"/>
        </w:rPr>
        <w:t>10</w:t>
      </w:r>
      <w:r>
        <w:rPr>
          <w:spacing w:val="-8"/>
          <w:w w:val="105"/>
          <w:sz w:val="15"/>
        </w:rPr>
        <w:t xml:space="preserve"> </w:t>
      </w:r>
      <w:r>
        <w:rPr>
          <w:w w:val="105"/>
          <w:sz w:val="15"/>
        </w:rPr>
        <w:t>y</w:t>
      </w:r>
      <w:r>
        <w:rPr>
          <w:spacing w:val="-8"/>
          <w:w w:val="105"/>
          <w:sz w:val="15"/>
        </w:rPr>
        <w:t xml:space="preserve"> </w:t>
      </w:r>
      <w:r>
        <w:rPr>
          <w:w w:val="105"/>
          <w:sz w:val="15"/>
        </w:rPr>
        <w:t>11,</w:t>
      </w:r>
      <w:r>
        <w:rPr>
          <w:spacing w:val="-8"/>
          <w:w w:val="105"/>
          <w:sz w:val="15"/>
        </w:rPr>
        <w:t xml:space="preserve"> </w:t>
      </w:r>
      <w:r>
        <w:rPr>
          <w:w w:val="105"/>
          <w:sz w:val="15"/>
        </w:rPr>
        <w:t>19,</w:t>
      </w:r>
      <w:r>
        <w:rPr>
          <w:spacing w:val="-8"/>
          <w:w w:val="105"/>
          <w:sz w:val="15"/>
        </w:rPr>
        <w:t xml:space="preserve"> </w:t>
      </w:r>
      <w:r>
        <w:rPr>
          <w:w w:val="105"/>
          <w:sz w:val="15"/>
        </w:rPr>
        <w:t>28 y</w:t>
      </w:r>
      <w:r>
        <w:rPr>
          <w:spacing w:val="-2"/>
          <w:w w:val="105"/>
          <w:sz w:val="15"/>
        </w:rPr>
        <w:t xml:space="preserve"> </w:t>
      </w:r>
      <w:r>
        <w:rPr>
          <w:w w:val="105"/>
          <w:sz w:val="15"/>
        </w:rPr>
        <w:t>29</w:t>
      </w:r>
      <w:r>
        <w:rPr>
          <w:spacing w:val="-2"/>
          <w:w w:val="105"/>
          <w:sz w:val="15"/>
        </w:rPr>
        <w:t xml:space="preserve"> </w:t>
      </w:r>
      <w:r>
        <w:rPr>
          <w:w w:val="105"/>
          <w:sz w:val="15"/>
        </w:rPr>
        <w:t>y</w:t>
      </w:r>
      <w:r>
        <w:rPr>
          <w:spacing w:val="-2"/>
          <w:w w:val="105"/>
          <w:sz w:val="15"/>
        </w:rPr>
        <w:t xml:space="preserve"> </w:t>
      </w:r>
      <w:r>
        <w:rPr>
          <w:w w:val="105"/>
          <w:sz w:val="15"/>
        </w:rPr>
        <w:t>32).1089</w:t>
      </w:r>
      <w:r>
        <w:rPr>
          <w:spacing w:val="-2"/>
          <w:w w:val="105"/>
          <w:sz w:val="15"/>
        </w:rPr>
        <w:t xml:space="preserve"> </w:t>
      </w:r>
      <w:r>
        <w:rPr>
          <w:w w:val="105"/>
          <w:sz w:val="15"/>
        </w:rPr>
        <w:t>Estas</w:t>
      </w:r>
      <w:r>
        <w:rPr>
          <w:spacing w:val="-2"/>
          <w:w w:val="105"/>
          <w:sz w:val="15"/>
        </w:rPr>
        <w:t xml:space="preserve"> </w:t>
      </w:r>
      <w:r>
        <w:rPr>
          <w:w w:val="105"/>
          <w:sz w:val="15"/>
        </w:rPr>
        <w:t>disposiciones</w:t>
      </w:r>
      <w:r>
        <w:rPr>
          <w:spacing w:val="-2"/>
          <w:w w:val="105"/>
          <w:sz w:val="15"/>
        </w:rPr>
        <w:t xml:space="preserve"> </w:t>
      </w:r>
      <w:r>
        <w:rPr>
          <w:w w:val="105"/>
          <w:sz w:val="15"/>
        </w:rPr>
        <w:t>tienen</w:t>
      </w:r>
      <w:r>
        <w:rPr>
          <w:spacing w:val="-2"/>
          <w:w w:val="105"/>
          <w:sz w:val="15"/>
        </w:rPr>
        <w:t xml:space="preserve"> </w:t>
      </w:r>
      <w:r>
        <w:rPr>
          <w:w w:val="105"/>
          <w:sz w:val="15"/>
        </w:rPr>
        <w:t>no</w:t>
      </w:r>
      <w:r>
        <w:rPr>
          <w:spacing w:val="-2"/>
          <w:w w:val="105"/>
          <w:sz w:val="15"/>
        </w:rPr>
        <w:t xml:space="preserve"> </w:t>
      </w:r>
      <w:r>
        <w:rPr>
          <w:w w:val="105"/>
          <w:sz w:val="15"/>
        </w:rPr>
        <w:t>hay</w:t>
      </w:r>
      <w:r>
        <w:rPr>
          <w:spacing w:val="-2"/>
          <w:w w:val="105"/>
          <w:sz w:val="15"/>
        </w:rPr>
        <w:t xml:space="preserve"> </w:t>
      </w:r>
      <w:r>
        <w:rPr>
          <w:w w:val="105"/>
          <w:sz w:val="15"/>
        </w:rPr>
        <w:t>análogos</w:t>
      </w:r>
      <w:r>
        <w:rPr>
          <w:spacing w:val="-2"/>
          <w:w w:val="105"/>
          <w:sz w:val="15"/>
        </w:rPr>
        <w:t xml:space="preserve"> </w:t>
      </w:r>
      <w:r>
        <w:rPr>
          <w:w w:val="105"/>
          <w:sz w:val="15"/>
        </w:rPr>
        <w:t>en</w:t>
      </w:r>
      <w:r>
        <w:rPr>
          <w:spacing w:val="-2"/>
          <w:w w:val="105"/>
          <w:sz w:val="15"/>
        </w:rPr>
        <w:t xml:space="preserve"> </w:t>
      </w:r>
      <w:r>
        <w:rPr>
          <w:w w:val="105"/>
          <w:sz w:val="15"/>
        </w:rPr>
        <w:t>la</w:t>
      </w:r>
      <w:r>
        <w:rPr>
          <w:spacing w:val="-2"/>
          <w:w w:val="105"/>
          <w:sz w:val="15"/>
        </w:rPr>
        <w:t xml:space="preserve"> </w:t>
      </w:r>
      <w:r>
        <w:rPr>
          <w:w w:val="105"/>
          <w:sz w:val="15"/>
        </w:rPr>
        <w:t>Declaración</w:t>
      </w:r>
      <w:r>
        <w:rPr>
          <w:spacing w:val="-2"/>
          <w:w w:val="105"/>
          <w:sz w:val="15"/>
        </w:rPr>
        <w:t xml:space="preserve"> </w:t>
      </w:r>
      <w:r>
        <w:rPr>
          <w:w w:val="105"/>
          <w:sz w:val="15"/>
        </w:rPr>
        <w:t>sobre</w:t>
      </w:r>
      <w:r>
        <w:rPr>
          <w:spacing w:val="-2"/>
          <w:w w:val="105"/>
          <w:sz w:val="15"/>
        </w:rPr>
        <w:t xml:space="preserve"> </w:t>
      </w:r>
      <w:r>
        <w:rPr>
          <w:w w:val="105"/>
          <w:sz w:val="15"/>
        </w:rPr>
        <w:t>los</w:t>
      </w:r>
      <w:r>
        <w:rPr>
          <w:spacing w:val="-2"/>
          <w:w w:val="105"/>
          <w:sz w:val="15"/>
        </w:rPr>
        <w:t xml:space="preserve"> </w:t>
      </w:r>
      <w:r>
        <w:rPr>
          <w:w w:val="105"/>
          <w:sz w:val="15"/>
        </w:rPr>
        <w:t>derechos</w:t>
      </w:r>
      <w:r>
        <w:rPr>
          <w:spacing w:val="-2"/>
          <w:w w:val="105"/>
          <w:sz w:val="15"/>
        </w:rPr>
        <w:t xml:space="preserve"> </w:t>
      </w:r>
      <w:r>
        <w:rPr>
          <w:w w:val="105"/>
          <w:sz w:val="15"/>
        </w:rPr>
        <w:t>de</w:t>
      </w:r>
      <w:r>
        <w:rPr>
          <w:spacing w:val="-2"/>
          <w:w w:val="105"/>
          <w:sz w:val="15"/>
        </w:rPr>
        <w:t xml:space="preserve"> </w:t>
      </w:r>
      <w:r>
        <w:rPr>
          <w:w w:val="105"/>
          <w:sz w:val="15"/>
        </w:rPr>
        <w:t>las</w:t>
      </w:r>
      <w:r>
        <w:rPr>
          <w:spacing w:val="-2"/>
          <w:w w:val="105"/>
          <w:sz w:val="15"/>
        </w:rPr>
        <w:t xml:space="preserve"> </w:t>
      </w:r>
      <w:r>
        <w:rPr>
          <w:w w:val="105"/>
          <w:sz w:val="15"/>
        </w:rPr>
        <w:t>personas</w:t>
      </w:r>
      <w:r>
        <w:rPr>
          <w:spacing w:val="-2"/>
          <w:w w:val="105"/>
          <w:sz w:val="15"/>
        </w:rPr>
        <w:t xml:space="preserve"> </w:t>
      </w:r>
      <w:r>
        <w:rPr>
          <w:w w:val="105"/>
          <w:sz w:val="15"/>
        </w:rPr>
        <w:t>pertenecientes</w:t>
      </w:r>
      <w:r>
        <w:rPr>
          <w:spacing w:val="-2"/>
          <w:w w:val="105"/>
          <w:sz w:val="15"/>
        </w:rPr>
        <w:t xml:space="preserve"> </w:t>
      </w:r>
      <w:r>
        <w:rPr>
          <w:w w:val="105"/>
          <w:sz w:val="15"/>
        </w:rPr>
        <w:t>a minorías nacionales o étnicas, religiosas y lingüísticas.</w:t>
      </w:r>
    </w:p>
    <w:p w14:paraId="1BFA1356" w14:textId="77777777" w:rsidR="0014798C" w:rsidRDefault="004E1F0B">
      <w:pPr>
        <w:spacing w:before="168" w:line="348" w:lineRule="auto"/>
        <w:ind w:left="1111" w:right="1272" w:hanging="6"/>
        <w:rPr>
          <w:sz w:val="15"/>
        </w:rPr>
      </w:pPr>
      <w:r>
        <w:rPr>
          <w:w w:val="105"/>
          <w:sz w:val="15"/>
        </w:rPr>
        <w:t>El</w:t>
      </w:r>
      <w:r>
        <w:rPr>
          <w:spacing w:val="-1"/>
          <w:w w:val="105"/>
          <w:sz w:val="15"/>
        </w:rPr>
        <w:t xml:space="preserve"> </w:t>
      </w:r>
      <w:r>
        <w:rPr>
          <w:w w:val="105"/>
          <w:sz w:val="15"/>
        </w:rPr>
        <w:t>Mecanismo</w:t>
      </w:r>
      <w:r>
        <w:rPr>
          <w:spacing w:val="-1"/>
          <w:w w:val="105"/>
          <w:sz w:val="15"/>
        </w:rPr>
        <w:t xml:space="preserve"> </w:t>
      </w:r>
      <w:r>
        <w:rPr>
          <w:w w:val="105"/>
          <w:sz w:val="15"/>
        </w:rPr>
        <w:t>de</w:t>
      </w:r>
      <w:r>
        <w:rPr>
          <w:spacing w:val="-1"/>
          <w:w w:val="105"/>
          <w:sz w:val="15"/>
        </w:rPr>
        <w:t xml:space="preserve"> </w:t>
      </w:r>
      <w:r>
        <w:rPr>
          <w:w w:val="105"/>
          <w:sz w:val="15"/>
        </w:rPr>
        <w:t>Expertos</w:t>
      </w:r>
      <w:r>
        <w:rPr>
          <w:spacing w:val="-1"/>
          <w:w w:val="105"/>
          <w:sz w:val="15"/>
        </w:rPr>
        <w:t xml:space="preserve"> </w:t>
      </w:r>
      <w:r>
        <w:rPr>
          <w:w w:val="105"/>
          <w:sz w:val="15"/>
        </w:rPr>
        <w:t>sobre</w:t>
      </w:r>
      <w:r>
        <w:rPr>
          <w:spacing w:val="-1"/>
          <w:w w:val="105"/>
          <w:sz w:val="15"/>
        </w:rPr>
        <w:t xml:space="preserve"> </w:t>
      </w:r>
      <w:r>
        <w:rPr>
          <w:w w:val="105"/>
          <w:sz w:val="15"/>
        </w:rPr>
        <w:t>los</w:t>
      </w:r>
      <w:r>
        <w:rPr>
          <w:spacing w:val="-1"/>
          <w:w w:val="105"/>
          <w:sz w:val="15"/>
        </w:rPr>
        <w:t xml:space="preserve"> </w:t>
      </w:r>
      <w:r>
        <w:rPr>
          <w:w w:val="105"/>
          <w:sz w:val="15"/>
        </w:rPr>
        <w:t>Derechos</w:t>
      </w:r>
      <w:r>
        <w:rPr>
          <w:spacing w:val="-1"/>
          <w:w w:val="105"/>
          <w:sz w:val="15"/>
        </w:rPr>
        <w:t xml:space="preserve"> </w:t>
      </w:r>
      <w:r>
        <w:rPr>
          <w:w w:val="105"/>
          <w:sz w:val="15"/>
        </w:rPr>
        <w:t>de</w:t>
      </w:r>
      <w:r>
        <w:rPr>
          <w:spacing w:val="-1"/>
          <w:w w:val="105"/>
          <w:sz w:val="15"/>
        </w:rPr>
        <w:t xml:space="preserve"> </w:t>
      </w:r>
      <w:r>
        <w:rPr>
          <w:w w:val="105"/>
          <w:sz w:val="15"/>
        </w:rPr>
        <w:t>los</w:t>
      </w:r>
      <w:r>
        <w:rPr>
          <w:spacing w:val="-1"/>
          <w:w w:val="105"/>
          <w:sz w:val="15"/>
        </w:rPr>
        <w:t xml:space="preserve"> </w:t>
      </w:r>
      <w:r>
        <w:rPr>
          <w:w w:val="105"/>
          <w:sz w:val="15"/>
        </w:rPr>
        <w:t>Pueblos</w:t>
      </w:r>
      <w:r>
        <w:rPr>
          <w:spacing w:val="-1"/>
          <w:w w:val="105"/>
          <w:sz w:val="15"/>
        </w:rPr>
        <w:t xml:space="preserve"> </w:t>
      </w:r>
      <w:r>
        <w:rPr>
          <w:w w:val="105"/>
          <w:sz w:val="15"/>
        </w:rPr>
        <w:t>Indígenas</w:t>
      </w:r>
      <w:r>
        <w:rPr>
          <w:spacing w:val="-1"/>
          <w:w w:val="105"/>
          <w:sz w:val="15"/>
        </w:rPr>
        <w:t xml:space="preserve"> </w:t>
      </w:r>
      <w:r>
        <w:rPr>
          <w:w w:val="105"/>
          <w:sz w:val="15"/>
        </w:rPr>
        <w:t>ha</w:t>
      </w:r>
      <w:r>
        <w:rPr>
          <w:spacing w:val="-1"/>
          <w:w w:val="105"/>
          <w:sz w:val="15"/>
        </w:rPr>
        <w:t xml:space="preserve"> </w:t>
      </w:r>
      <w:r>
        <w:rPr>
          <w:w w:val="105"/>
          <w:sz w:val="15"/>
        </w:rPr>
        <w:t>señalado</w:t>
      </w:r>
      <w:r>
        <w:rPr>
          <w:spacing w:val="-1"/>
          <w:w w:val="105"/>
          <w:sz w:val="15"/>
        </w:rPr>
        <w:t xml:space="preserve"> </w:t>
      </w:r>
      <w:r>
        <w:rPr>
          <w:w w:val="105"/>
          <w:sz w:val="15"/>
        </w:rPr>
        <w:t>que,</w:t>
      </w:r>
      <w:r>
        <w:rPr>
          <w:spacing w:val="-1"/>
          <w:w w:val="105"/>
          <w:sz w:val="15"/>
        </w:rPr>
        <w:t xml:space="preserve"> </w:t>
      </w:r>
      <w:r>
        <w:rPr>
          <w:w w:val="105"/>
          <w:sz w:val="15"/>
        </w:rPr>
        <w:t>según</w:t>
      </w:r>
      <w:r>
        <w:rPr>
          <w:spacing w:val="-1"/>
          <w:w w:val="105"/>
          <w:sz w:val="15"/>
        </w:rPr>
        <w:t xml:space="preserve"> </w:t>
      </w:r>
      <w:r>
        <w:rPr>
          <w:w w:val="105"/>
          <w:sz w:val="15"/>
        </w:rPr>
        <w:t>la</w:t>
      </w:r>
      <w:r>
        <w:rPr>
          <w:spacing w:val="-1"/>
          <w:w w:val="105"/>
          <w:sz w:val="15"/>
        </w:rPr>
        <w:t xml:space="preserve"> </w:t>
      </w:r>
      <w:r>
        <w:rPr>
          <w:w w:val="105"/>
          <w:sz w:val="15"/>
        </w:rPr>
        <w:t>Declaración</w:t>
      </w:r>
      <w:r>
        <w:rPr>
          <w:spacing w:val="-1"/>
          <w:w w:val="105"/>
          <w:sz w:val="15"/>
        </w:rPr>
        <w:t xml:space="preserve"> </w:t>
      </w:r>
      <w:r>
        <w:rPr>
          <w:w w:val="105"/>
          <w:sz w:val="15"/>
        </w:rPr>
        <w:t>de</w:t>
      </w:r>
      <w:r>
        <w:rPr>
          <w:spacing w:val="-1"/>
          <w:w w:val="105"/>
          <w:sz w:val="15"/>
        </w:rPr>
        <w:t xml:space="preserve"> </w:t>
      </w:r>
      <w:r>
        <w:rPr>
          <w:w w:val="105"/>
          <w:sz w:val="15"/>
        </w:rPr>
        <w:t>las</w:t>
      </w:r>
      <w:r>
        <w:rPr>
          <w:spacing w:val="-1"/>
          <w:w w:val="105"/>
          <w:sz w:val="15"/>
        </w:rPr>
        <w:t xml:space="preserve"> </w:t>
      </w:r>
      <w:r>
        <w:rPr>
          <w:w w:val="105"/>
          <w:sz w:val="15"/>
        </w:rPr>
        <w:t>Naciones Unidas</w:t>
      </w:r>
      <w:r>
        <w:rPr>
          <w:spacing w:val="-8"/>
          <w:w w:val="105"/>
          <w:sz w:val="15"/>
        </w:rPr>
        <w:t xml:space="preserve"> </w:t>
      </w:r>
      <w:r>
        <w:rPr>
          <w:w w:val="105"/>
          <w:sz w:val="15"/>
        </w:rPr>
        <w:t>sobre</w:t>
      </w:r>
      <w:r>
        <w:rPr>
          <w:spacing w:val="-8"/>
          <w:w w:val="105"/>
          <w:sz w:val="15"/>
        </w:rPr>
        <w:t xml:space="preserve"> </w:t>
      </w:r>
      <w:r>
        <w:rPr>
          <w:w w:val="105"/>
          <w:sz w:val="15"/>
        </w:rPr>
        <w:t>los</w:t>
      </w:r>
      <w:r>
        <w:rPr>
          <w:spacing w:val="-8"/>
          <w:w w:val="105"/>
          <w:sz w:val="15"/>
        </w:rPr>
        <w:t xml:space="preserve"> </w:t>
      </w:r>
      <w:r>
        <w:rPr>
          <w:w w:val="105"/>
          <w:sz w:val="15"/>
        </w:rPr>
        <w:t>Derechos</w:t>
      </w:r>
      <w:r>
        <w:rPr>
          <w:spacing w:val="-8"/>
          <w:w w:val="105"/>
          <w:sz w:val="15"/>
        </w:rPr>
        <w:t xml:space="preserve"> </w:t>
      </w:r>
      <w:r>
        <w:rPr>
          <w:w w:val="105"/>
          <w:sz w:val="15"/>
        </w:rPr>
        <w:t>de</w:t>
      </w:r>
      <w:r>
        <w:rPr>
          <w:spacing w:val="-8"/>
          <w:w w:val="105"/>
          <w:sz w:val="15"/>
        </w:rPr>
        <w:t xml:space="preserve"> </w:t>
      </w:r>
      <w:r>
        <w:rPr>
          <w:w w:val="105"/>
          <w:sz w:val="15"/>
        </w:rPr>
        <w:t>los</w:t>
      </w:r>
      <w:r>
        <w:rPr>
          <w:spacing w:val="-8"/>
          <w:w w:val="105"/>
          <w:sz w:val="15"/>
        </w:rPr>
        <w:t xml:space="preserve"> </w:t>
      </w:r>
      <w:r>
        <w:rPr>
          <w:w w:val="105"/>
          <w:sz w:val="15"/>
        </w:rPr>
        <w:t>Pueblos</w:t>
      </w:r>
      <w:r>
        <w:rPr>
          <w:spacing w:val="-8"/>
          <w:w w:val="105"/>
          <w:sz w:val="15"/>
        </w:rPr>
        <w:t xml:space="preserve"> </w:t>
      </w:r>
      <w:r>
        <w:rPr>
          <w:w w:val="105"/>
          <w:sz w:val="15"/>
        </w:rPr>
        <w:t>Indígenas,</w:t>
      </w:r>
      <w:r>
        <w:rPr>
          <w:spacing w:val="-7"/>
          <w:w w:val="105"/>
          <w:sz w:val="15"/>
        </w:rPr>
        <w:t xml:space="preserve"> </w:t>
      </w:r>
      <w:r>
        <w:rPr>
          <w:w w:val="105"/>
          <w:sz w:val="15"/>
        </w:rPr>
        <w:t>los</w:t>
      </w:r>
      <w:r>
        <w:rPr>
          <w:spacing w:val="-8"/>
          <w:w w:val="105"/>
          <w:sz w:val="15"/>
        </w:rPr>
        <w:t xml:space="preserve"> </w:t>
      </w:r>
      <w:r>
        <w:rPr>
          <w:w w:val="105"/>
          <w:sz w:val="15"/>
        </w:rPr>
        <w:t>derechos</w:t>
      </w:r>
      <w:r>
        <w:rPr>
          <w:spacing w:val="-8"/>
          <w:w w:val="105"/>
          <w:sz w:val="15"/>
        </w:rPr>
        <w:t xml:space="preserve"> </w:t>
      </w:r>
      <w:r>
        <w:rPr>
          <w:w w:val="105"/>
          <w:sz w:val="15"/>
        </w:rPr>
        <w:t>de</w:t>
      </w:r>
      <w:r>
        <w:rPr>
          <w:spacing w:val="-8"/>
          <w:w w:val="105"/>
          <w:sz w:val="15"/>
        </w:rPr>
        <w:t xml:space="preserve"> </w:t>
      </w:r>
      <w:r>
        <w:rPr>
          <w:w w:val="105"/>
          <w:sz w:val="15"/>
        </w:rPr>
        <w:t>los</w:t>
      </w:r>
      <w:r>
        <w:rPr>
          <w:spacing w:val="-8"/>
          <w:w w:val="105"/>
          <w:sz w:val="15"/>
        </w:rPr>
        <w:t xml:space="preserve"> </w:t>
      </w:r>
      <w:r>
        <w:rPr>
          <w:w w:val="105"/>
          <w:sz w:val="15"/>
        </w:rPr>
        <w:t>pueblos</w:t>
      </w:r>
      <w:r>
        <w:rPr>
          <w:spacing w:val="-8"/>
          <w:w w:val="105"/>
          <w:sz w:val="15"/>
        </w:rPr>
        <w:t xml:space="preserve"> </w:t>
      </w:r>
      <w:r>
        <w:rPr>
          <w:w w:val="105"/>
          <w:sz w:val="15"/>
        </w:rPr>
        <w:t>indígenas</w:t>
      </w:r>
      <w:r>
        <w:rPr>
          <w:spacing w:val="-8"/>
          <w:w w:val="105"/>
          <w:sz w:val="15"/>
        </w:rPr>
        <w:t xml:space="preserve"> </w:t>
      </w:r>
      <w:r>
        <w:rPr>
          <w:w w:val="105"/>
          <w:sz w:val="15"/>
        </w:rPr>
        <w:t>son</w:t>
      </w:r>
      <w:r>
        <w:rPr>
          <w:spacing w:val="-8"/>
          <w:w w:val="105"/>
          <w:sz w:val="15"/>
        </w:rPr>
        <w:t xml:space="preserve"> </w:t>
      </w:r>
      <w:r>
        <w:rPr>
          <w:w w:val="105"/>
          <w:sz w:val="15"/>
        </w:rPr>
        <w:t>tanto</w:t>
      </w:r>
      <w:r>
        <w:rPr>
          <w:spacing w:val="-8"/>
          <w:w w:val="105"/>
          <w:sz w:val="15"/>
        </w:rPr>
        <w:t xml:space="preserve"> </w:t>
      </w:r>
      <w:r>
        <w:rPr>
          <w:w w:val="105"/>
          <w:sz w:val="15"/>
        </w:rPr>
        <w:t>colectivos</w:t>
      </w:r>
      <w:r>
        <w:rPr>
          <w:spacing w:val="-8"/>
          <w:w w:val="105"/>
          <w:sz w:val="15"/>
        </w:rPr>
        <w:t xml:space="preserve"> </w:t>
      </w:r>
      <w:r>
        <w:rPr>
          <w:w w:val="105"/>
          <w:sz w:val="15"/>
        </w:rPr>
        <w:t>como</w:t>
      </w:r>
      <w:r>
        <w:rPr>
          <w:spacing w:val="-8"/>
          <w:w w:val="105"/>
          <w:sz w:val="15"/>
        </w:rPr>
        <w:t xml:space="preserve"> </w:t>
      </w:r>
      <w:r>
        <w:rPr>
          <w:w w:val="105"/>
          <w:sz w:val="15"/>
        </w:rPr>
        <w:t>individuales:</w:t>
      </w:r>
    </w:p>
    <w:p w14:paraId="63C48270" w14:textId="77777777" w:rsidR="0014798C" w:rsidRDefault="004E1F0B">
      <w:pPr>
        <w:spacing w:before="112" w:line="348" w:lineRule="auto"/>
        <w:ind w:left="1672" w:right="1553"/>
        <w:rPr>
          <w:sz w:val="15"/>
        </w:rPr>
      </w:pPr>
      <w:r>
        <w:rPr>
          <w:color w:val="803108"/>
          <w:w w:val="105"/>
          <w:sz w:val="15"/>
        </w:rPr>
        <w:t>Los</w:t>
      </w:r>
      <w:r>
        <w:rPr>
          <w:color w:val="803108"/>
          <w:spacing w:val="-1"/>
          <w:w w:val="105"/>
          <w:sz w:val="15"/>
        </w:rPr>
        <w:t xml:space="preserve"> </w:t>
      </w:r>
      <w:r>
        <w:rPr>
          <w:color w:val="803108"/>
          <w:w w:val="105"/>
          <w:sz w:val="15"/>
        </w:rPr>
        <w:t>pueblos</w:t>
      </w:r>
      <w:r>
        <w:rPr>
          <w:color w:val="803108"/>
          <w:spacing w:val="-1"/>
          <w:w w:val="105"/>
          <w:sz w:val="15"/>
        </w:rPr>
        <w:t xml:space="preserve"> </w:t>
      </w:r>
      <w:r>
        <w:rPr>
          <w:color w:val="803108"/>
          <w:w w:val="105"/>
          <w:sz w:val="15"/>
        </w:rPr>
        <w:t>indígenas</w:t>
      </w:r>
      <w:r>
        <w:rPr>
          <w:color w:val="803108"/>
          <w:spacing w:val="-1"/>
          <w:w w:val="105"/>
          <w:sz w:val="15"/>
        </w:rPr>
        <w:t xml:space="preserve"> </w:t>
      </w:r>
      <w:r>
        <w:rPr>
          <w:color w:val="803108"/>
          <w:w w:val="105"/>
          <w:sz w:val="15"/>
        </w:rPr>
        <w:t>tienen</w:t>
      </w:r>
      <w:r>
        <w:rPr>
          <w:color w:val="803108"/>
          <w:spacing w:val="-1"/>
          <w:w w:val="105"/>
          <w:sz w:val="15"/>
        </w:rPr>
        <w:t xml:space="preserve"> </w:t>
      </w:r>
      <w:r>
        <w:rPr>
          <w:color w:val="803108"/>
          <w:w w:val="105"/>
          <w:sz w:val="15"/>
        </w:rPr>
        <w:t>derecho</w:t>
      </w:r>
      <w:r>
        <w:rPr>
          <w:color w:val="803108"/>
          <w:spacing w:val="-1"/>
          <w:w w:val="105"/>
          <w:sz w:val="15"/>
        </w:rPr>
        <w:t xml:space="preserve"> </w:t>
      </w:r>
      <w:r>
        <w:rPr>
          <w:color w:val="803108"/>
          <w:w w:val="105"/>
          <w:sz w:val="15"/>
        </w:rPr>
        <w:t>a</w:t>
      </w:r>
      <w:r>
        <w:rPr>
          <w:color w:val="803108"/>
          <w:spacing w:val="-1"/>
          <w:w w:val="105"/>
          <w:sz w:val="15"/>
        </w:rPr>
        <w:t xml:space="preserve"> </w:t>
      </w:r>
      <w:r>
        <w:rPr>
          <w:color w:val="803108"/>
          <w:w w:val="105"/>
          <w:sz w:val="15"/>
        </w:rPr>
        <w:t>disfrutar, como</w:t>
      </w:r>
      <w:r>
        <w:rPr>
          <w:color w:val="803108"/>
          <w:spacing w:val="-1"/>
          <w:w w:val="105"/>
          <w:sz w:val="15"/>
        </w:rPr>
        <w:t xml:space="preserve"> </w:t>
      </w:r>
      <w:r>
        <w:rPr>
          <w:color w:val="803108"/>
          <w:w w:val="105"/>
          <w:sz w:val="15"/>
        </w:rPr>
        <w:t>colectivo</w:t>
      </w:r>
      <w:r>
        <w:rPr>
          <w:color w:val="803108"/>
          <w:spacing w:val="-1"/>
          <w:w w:val="105"/>
          <w:sz w:val="15"/>
        </w:rPr>
        <w:t xml:space="preserve"> </w:t>
      </w:r>
      <w:r>
        <w:rPr>
          <w:color w:val="803108"/>
          <w:w w:val="105"/>
          <w:sz w:val="15"/>
        </w:rPr>
        <w:t>y</w:t>
      </w:r>
      <w:r>
        <w:rPr>
          <w:color w:val="803108"/>
          <w:spacing w:val="-1"/>
          <w:w w:val="105"/>
          <w:sz w:val="15"/>
        </w:rPr>
        <w:t xml:space="preserve"> </w:t>
      </w:r>
      <w:r>
        <w:rPr>
          <w:color w:val="803108"/>
          <w:w w:val="105"/>
          <w:sz w:val="15"/>
        </w:rPr>
        <w:t>como</w:t>
      </w:r>
      <w:r>
        <w:rPr>
          <w:color w:val="803108"/>
          <w:spacing w:val="-1"/>
          <w:w w:val="105"/>
          <w:sz w:val="15"/>
        </w:rPr>
        <w:t xml:space="preserve"> </w:t>
      </w:r>
      <w:r>
        <w:rPr>
          <w:color w:val="803108"/>
          <w:w w:val="105"/>
          <w:sz w:val="15"/>
        </w:rPr>
        <w:t>individuos, de</w:t>
      </w:r>
      <w:r>
        <w:rPr>
          <w:color w:val="803108"/>
          <w:spacing w:val="-1"/>
          <w:w w:val="105"/>
          <w:sz w:val="15"/>
        </w:rPr>
        <w:t xml:space="preserve"> </w:t>
      </w:r>
      <w:r>
        <w:rPr>
          <w:color w:val="803108"/>
          <w:w w:val="105"/>
          <w:sz w:val="15"/>
        </w:rPr>
        <w:t>todos</w:t>
      </w:r>
      <w:r>
        <w:rPr>
          <w:color w:val="803108"/>
          <w:spacing w:val="-1"/>
          <w:w w:val="105"/>
          <w:sz w:val="15"/>
        </w:rPr>
        <w:t xml:space="preserve"> </w:t>
      </w:r>
      <w:r>
        <w:rPr>
          <w:color w:val="803108"/>
          <w:w w:val="105"/>
          <w:sz w:val="15"/>
        </w:rPr>
        <w:t>los</w:t>
      </w:r>
      <w:r>
        <w:rPr>
          <w:color w:val="803108"/>
          <w:spacing w:val="-1"/>
          <w:w w:val="105"/>
          <w:sz w:val="15"/>
        </w:rPr>
        <w:t xml:space="preserve"> </w:t>
      </w:r>
      <w:r>
        <w:rPr>
          <w:color w:val="803108"/>
          <w:w w:val="105"/>
          <w:sz w:val="15"/>
        </w:rPr>
        <w:t>derechos</w:t>
      </w:r>
      <w:r>
        <w:rPr>
          <w:color w:val="803108"/>
          <w:spacing w:val="-1"/>
          <w:w w:val="105"/>
          <w:sz w:val="15"/>
        </w:rPr>
        <w:t xml:space="preserve"> </w:t>
      </w:r>
      <w:r>
        <w:rPr>
          <w:color w:val="803108"/>
          <w:w w:val="105"/>
          <w:sz w:val="15"/>
        </w:rPr>
        <w:t>humanos</w:t>
      </w:r>
      <w:r>
        <w:rPr>
          <w:color w:val="803108"/>
          <w:spacing w:val="-1"/>
          <w:w w:val="105"/>
          <w:sz w:val="15"/>
        </w:rPr>
        <w:t xml:space="preserve"> </w:t>
      </w:r>
      <w:r>
        <w:rPr>
          <w:color w:val="803108"/>
          <w:w w:val="105"/>
          <w:sz w:val="15"/>
        </w:rPr>
        <w:t>y libertades fundamentales garantizados en los instrumentos internacionales de derechos humanos, en igualdad de condiciones con todos los demás pueblos e individuos. El respeto por la libre determinación de los pueblos indígenas y sus</w:t>
      </w:r>
      <w:r>
        <w:rPr>
          <w:color w:val="803108"/>
          <w:spacing w:val="-8"/>
          <w:w w:val="105"/>
          <w:sz w:val="15"/>
        </w:rPr>
        <w:t xml:space="preserve"> </w:t>
      </w:r>
      <w:r>
        <w:rPr>
          <w:color w:val="803108"/>
          <w:w w:val="105"/>
          <w:sz w:val="15"/>
        </w:rPr>
        <w:t>sistemas</w:t>
      </w:r>
      <w:r>
        <w:rPr>
          <w:color w:val="803108"/>
          <w:spacing w:val="-8"/>
          <w:w w:val="105"/>
          <w:sz w:val="15"/>
        </w:rPr>
        <w:t xml:space="preserve"> </w:t>
      </w:r>
      <w:r>
        <w:rPr>
          <w:color w:val="803108"/>
          <w:w w:val="105"/>
          <w:sz w:val="15"/>
        </w:rPr>
        <w:t>consuetudinarios</w:t>
      </w:r>
      <w:r>
        <w:rPr>
          <w:color w:val="803108"/>
          <w:spacing w:val="-8"/>
          <w:w w:val="105"/>
          <w:sz w:val="15"/>
        </w:rPr>
        <w:t xml:space="preserve"> </w:t>
      </w:r>
      <w:r>
        <w:rPr>
          <w:color w:val="803108"/>
          <w:w w:val="105"/>
          <w:sz w:val="15"/>
        </w:rPr>
        <w:t>de</w:t>
      </w:r>
      <w:r>
        <w:rPr>
          <w:color w:val="803108"/>
          <w:spacing w:val="-8"/>
          <w:w w:val="105"/>
          <w:sz w:val="15"/>
        </w:rPr>
        <w:t xml:space="preserve"> </w:t>
      </w:r>
      <w:r>
        <w:rPr>
          <w:color w:val="803108"/>
          <w:w w:val="105"/>
          <w:sz w:val="15"/>
        </w:rPr>
        <w:t>tenencia</w:t>
      </w:r>
      <w:r>
        <w:rPr>
          <w:color w:val="803108"/>
          <w:spacing w:val="-8"/>
          <w:w w:val="105"/>
          <w:sz w:val="15"/>
        </w:rPr>
        <w:t xml:space="preserve"> </w:t>
      </w:r>
      <w:r>
        <w:rPr>
          <w:color w:val="803108"/>
          <w:w w:val="105"/>
          <w:sz w:val="15"/>
        </w:rPr>
        <w:t>de</w:t>
      </w:r>
      <w:r>
        <w:rPr>
          <w:color w:val="803108"/>
          <w:spacing w:val="-8"/>
          <w:w w:val="105"/>
          <w:sz w:val="15"/>
        </w:rPr>
        <w:t xml:space="preserve"> </w:t>
      </w:r>
      <w:r>
        <w:rPr>
          <w:color w:val="803108"/>
          <w:w w:val="105"/>
          <w:sz w:val="15"/>
        </w:rPr>
        <w:t>la</w:t>
      </w:r>
      <w:r>
        <w:rPr>
          <w:color w:val="803108"/>
          <w:spacing w:val="-8"/>
          <w:w w:val="105"/>
          <w:sz w:val="15"/>
        </w:rPr>
        <w:t xml:space="preserve"> </w:t>
      </w:r>
      <w:r>
        <w:rPr>
          <w:color w:val="803108"/>
          <w:w w:val="105"/>
          <w:sz w:val="15"/>
        </w:rPr>
        <w:t>tierra</w:t>
      </w:r>
      <w:r>
        <w:rPr>
          <w:color w:val="803108"/>
          <w:spacing w:val="-8"/>
          <w:w w:val="105"/>
          <w:sz w:val="15"/>
        </w:rPr>
        <w:t xml:space="preserve"> </w:t>
      </w:r>
      <w:r>
        <w:rPr>
          <w:color w:val="803108"/>
          <w:w w:val="105"/>
          <w:sz w:val="15"/>
        </w:rPr>
        <w:t>requiere</w:t>
      </w:r>
      <w:r>
        <w:rPr>
          <w:color w:val="803108"/>
          <w:spacing w:val="-8"/>
          <w:w w:val="105"/>
          <w:sz w:val="15"/>
        </w:rPr>
        <w:t xml:space="preserve"> </w:t>
      </w:r>
      <w:r>
        <w:rPr>
          <w:color w:val="803108"/>
          <w:w w:val="105"/>
          <w:sz w:val="15"/>
        </w:rPr>
        <w:t>el</w:t>
      </w:r>
      <w:r>
        <w:rPr>
          <w:color w:val="803108"/>
          <w:spacing w:val="-8"/>
          <w:w w:val="105"/>
          <w:sz w:val="15"/>
        </w:rPr>
        <w:t xml:space="preserve"> </w:t>
      </w:r>
      <w:r>
        <w:rPr>
          <w:color w:val="803108"/>
          <w:w w:val="105"/>
          <w:sz w:val="15"/>
        </w:rPr>
        <w:t>reconocimiento</w:t>
      </w:r>
      <w:r>
        <w:rPr>
          <w:color w:val="803108"/>
          <w:spacing w:val="-8"/>
          <w:w w:val="105"/>
          <w:sz w:val="15"/>
        </w:rPr>
        <w:t xml:space="preserve"> </w:t>
      </w:r>
      <w:r>
        <w:rPr>
          <w:color w:val="803108"/>
          <w:w w:val="105"/>
          <w:sz w:val="15"/>
        </w:rPr>
        <w:t>de</w:t>
      </w:r>
      <w:r>
        <w:rPr>
          <w:color w:val="803108"/>
          <w:spacing w:val="-8"/>
          <w:w w:val="105"/>
          <w:sz w:val="15"/>
        </w:rPr>
        <w:t xml:space="preserve"> </w:t>
      </w:r>
      <w:r>
        <w:rPr>
          <w:color w:val="803108"/>
          <w:w w:val="105"/>
          <w:sz w:val="15"/>
        </w:rPr>
        <w:t>su</w:t>
      </w:r>
      <w:r>
        <w:rPr>
          <w:color w:val="803108"/>
          <w:spacing w:val="-8"/>
          <w:w w:val="105"/>
          <w:sz w:val="15"/>
        </w:rPr>
        <w:t xml:space="preserve"> </w:t>
      </w:r>
      <w:r>
        <w:rPr>
          <w:color w:val="803108"/>
          <w:w w:val="105"/>
          <w:sz w:val="15"/>
        </w:rPr>
        <w:t>propiedad</w:t>
      </w:r>
      <w:r>
        <w:rPr>
          <w:color w:val="803108"/>
          <w:spacing w:val="-8"/>
          <w:w w:val="105"/>
          <w:sz w:val="15"/>
        </w:rPr>
        <w:t xml:space="preserve"> </w:t>
      </w:r>
      <w:r>
        <w:rPr>
          <w:color w:val="803108"/>
          <w:w w:val="105"/>
          <w:sz w:val="15"/>
        </w:rPr>
        <w:t>colectiva</w:t>
      </w:r>
      <w:r>
        <w:rPr>
          <w:color w:val="803108"/>
          <w:spacing w:val="-8"/>
          <w:w w:val="105"/>
          <w:sz w:val="15"/>
        </w:rPr>
        <w:t xml:space="preserve"> </w:t>
      </w:r>
      <w:r>
        <w:rPr>
          <w:color w:val="803108"/>
          <w:w w:val="105"/>
          <w:sz w:val="15"/>
        </w:rPr>
        <w:t>de</w:t>
      </w:r>
      <w:r>
        <w:rPr>
          <w:color w:val="803108"/>
          <w:spacing w:val="-8"/>
          <w:w w:val="105"/>
          <w:sz w:val="15"/>
        </w:rPr>
        <w:t xml:space="preserve"> </w:t>
      </w:r>
      <w:r>
        <w:rPr>
          <w:color w:val="803108"/>
          <w:w w:val="105"/>
          <w:sz w:val="15"/>
        </w:rPr>
        <w:t>las</w:t>
      </w:r>
      <w:r>
        <w:rPr>
          <w:color w:val="803108"/>
          <w:spacing w:val="-8"/>
          <w:w w:val="105"/>
          <w:sz w:val="15"/>
        </w:rPr>
        <w:t xml:space="preserve"> </w:t>
      </w:r>
      <w:r>
        <w:rPr>
          <w:color w:val="803108"/>
          <w:w w:val="105"/>
          <w:sz w:val="15"/>
        </w:rPr>
        <w:t>tierras, territorios</w:t>
      </w:r>
      <w:r>
        <w:rPr>
          <w:color w:val="803108"/>
          <w:spacing w:val="-2"/>
          <w:w w:val="105"/>
          <w:sz w:val="15"/>
        </w:rPr>
        <w:t xml:space="preserve"> </w:t>
      </w:r>
      <w:r>
        <w:rPr>
          <w:color w:val="803108"/>
          <w:w w:val="105"/>
          <w:sz w:val="15"/>
        </w:rPr>
        <w:t>y</w:t>
      </w:r>
      <w:r>
        <w:rPr>
          <w:color w:val="803108"/>
          <w:spacing w:val="-2"/>
          <w:w w:val="105"/>
          <w:sz w:val="15"/>
        </w:rPr>
        <w:t xml:space="preserve"> </w:t>
      </w:r>
      <w:r>
        <w:rPr>
          <w:color w:val="803108"/>
          <w:w w:val="105"/>
          <w:sz w:val="15"/>
        </w:rPr>
        <w:t>recursos.</w:t>
      </w:r>
      <w:r>
        <w:rPr>
          <w:color w:val="803108"/>
          <w:spacing w:val="-1"/>
          <w:w w:val="105"/>
          <w:sz w:val="15"/>
        </w:rPr>
        <w:t xml:space="preserve"> </w:t>
      </w:r>
      <w:r>
        <w:rPr>
          <w:color w:val="803108"/>
          <w:w w:val="105"/>
          <w:sz w:val="15"/>
        </w:rPr>
        <w:t>…</w:t>
      </w:r>
      <w:r>
        <w:rPr>
          <w:color w:val="803108"/>
          <w:spacing w:val="-2"/>
          <w:w w:val="105"/>
          <w:sz w:val="15"/>
        </w:rPr>
        <w:t xml:space="preserve"> </w:t>
      </w:r>
      <w:r>
        <w:rPr>
          <w:color w:val="803108"/>
          <w:w w:val="105"/>
          <w:sz w:val="15"/>
        </w:rPr>
        <w:t>La</w:t>
      </w:r>
      <w:r>
        <w:rPr>
          <w:color w:val="803108"/>
          <w:spacing w:val="-2"/>
          <w:w w:val="105"/>
          <w:sz w:val="15"/>
        </w:rPr>
        <w:t xml:space="preserve"> </w:t>
      </w:r>
      <w:r>
        <w:rPr>
          <w:color w:val="803108"/>
          <w:w w:val="105"/>
          <w:sz w:val="15"/>
        </w:rPr>
        <w:t>institución</w:t>
      </w:r>
      <w:r>
        <w:rPr>
          <w:color w:val="803108"/>
          <w:spacing w:val="-2"/>
          <w:w w:val="105"/>
          <w:sz w:val="15"/>
        </w:rPr>
        <w:t xml:space="preserve"> </w:t>
      </w:r>
      <w:r>
        <w:rPr>
          <w:color w:val="803108"/>
          <w:w w:val="105"/>
          <w:sz w:val="15"/>
        </w:rPr>
        <w:t>de</w:t>
      </w:r>
      <w:r>
        <w:rPr>
          <w:color w:val="803108"/>
          <w:spacing w:val="-2"/>
          <w:w w:val="105"/>
          <w:sz w:val="15"/>
        </w:rPr>
        <w:t xml:space="preserve"> </w:t>
      </w:r>
      <w:r>
        <w:rPr>
          <w:color w:val="803108"/>
          <w:w w:val="105"/>
          <w:sz w:val="15"/>
        </w:rPr>
        <w:t>derechos</w:t>
      </w:r>
      <w:r>
        <w:rPr>
          <w:color w:val="803108"/>
          <w:spacing w:val="-2"/>
          <w:w w:val="105"/>
          <w:sz w:val="15"/>
        </w:rPr>
        <w:t xml:space="preserve"> </w:t>
      </w:r>
      <w:r>
        <w:rPr>
          <w:color w:val="803108"/>
          <w:w w:val="105"/>
          <w:sz w:val="15"/>
        </w:rPr>
        <w:t>individuales,</w:t>
      </w:r>
      <w:r>
        <w:rPr>
          <w:color w:val="803108"/>
          <w:spacing w:val="-1"/>
          <w:w w:val="105"/>
          <w:sz w:val="15"/>
        </w:rPr>
        <w:t xml:space="preserve"> </w:t>
      </w:r>
      <w:r>
        <w:rPr>
          <w:color w:val="803108"/>
          <w:w w:val="105"/>
          <w:sz w:val="15"/>
        </w:rPr>
        <w:t>a</w:t>
      </w:r>
      <w:r>
        <w:rPr>
          <w:color w:val="803108"/>
          <w:spacing w:val="-2"/>
          <w:w w:val="105"/>
          <w:sz w:val="15"/>
        </w:rPr>
        <w:t xml:space="preserve"> </w:t>
      </w:r>
      <w:r>
        <w:rPr>
          <w:color w:val="803108"/>
          <w:w w:val="105"/>
          <w:sz w:val="15"/>
        </w:rPr>
        <w:t>diferencia</w:t>
      </w:r>
      <w:r>
        <w:rPr>
          <w:color w:val="803108"/>
          <w:spacing w:val="-2"/>
          <w:w w:val="105"/>
          <w:sz w:val="15"/>
        </w:rPr>
        <w:t xml:space="preserve"> </w:t>
      </w:r>
      <w:r>
        <w:rPr>
          <w:color w:val="803108"/>
          <w:w w:val="105"/>
          <w:sz w:val="15"/>
        </w:rPr>
        <w:t>de</w:t>
      </w:r>
      <w:r>
        <w:rPr>
          <w:color w:val="803108"/>
          <w:spacing w:val="-2"/>
          <w:w w:val="105"/>
          <w:sz w:val="15"/>
        </w:rPr>
        <w:t xml:space="preserve"> </w:t>
      </w:r>
      <w:r>
        <w:rPr>
          <w:color w:val="803108"/>
          <w:w w:val="105"/>
          <w:sz w:val="15"/>
        </w:rPr>
        <w:t>los</w:t>
      </w:r>
      <w:r>
        <w:rPr>
          <w:color w:val="803108"/>
          <w:spacing w:val="-2"/>
          <w:w w:val="105"/>
          <w:sz w:val="15"/>
        </w:rPr>
        <w:t xml:space="preserve"> </w:t>
      </w:r>
      <w:r>
        <w:rPr>
          <w:color w:val="803108"/>
          <w:w w:val="105"/>
          <w:sz w:val="15"/>
        </w:rPr>
        <w:t>derechos</w:t>
      </w:r>
      <w:r>
        <w:rPr>
          <w:color w:val="803108"/>
          <w:spacing w:val="-2"/>
          <w:w w:val="105"/>
          <w:sz w:val="15"/>
        </w:rPr>
        <w:t xml:space="preserve"> </w:t>
      </w:r>
      <w:r>
        <w:rPr>
          <w:color w:val="803108"/>
          <w:w w:val="105"/>
          <w:sz w:val="15"/>
        </w:rPr>
        <w:t>colectivos,</w:t>
      </w:r>
      <w:r>
        <w:rPr>
          <w:color w:val="803108"/>
          <w:spacing w:val="-1"/>
          <w:w w:val="105"/>
          <w:sz w:val="15"/>
        </w:rPr>
        <w:t xml:space="preserve"> </w:t>
      </w:r>
      <w:r>
        <w:rPr>
          <w:color w:val="803108"/>
          <w:w w:val="105"/>
          <w:sz w:val="15"/>
        </w:rPr>
        <w:t>a</w:t>
      </w:r>
      <w:r>
        <w:rPr>
          <w:color w:val="803108"/>
          <w:spacing w:val="-2"/>
          <w:w w:val="105"/>
          <w:sz w:val="15"/>
        </w:rPr>
        <w:t xml:space="preserve"> </w:t>
      </w:r>
      <w:r>
        <w:rPr>
          <w:color w:val="803108"/>
          <w:w w:val="105"/>
          <w:sz w:val="15"/>
        </w:rPr>
        <w:t>la</w:t>
      </w:r>
      <w:r>
        <w:rPr>
          <w:color w:val="803108"/>
          <w:spacing w:val="-2"/>
          <w:w w:val="105"/>
          <w:sz w:val="15"/>
        </w:rPr>
        <w:t xml:space="preserve"> </w:t>
      </w:r>
      <w:r>
        <w:rPr>
          <w:color w:val="803108"/>
          <w:w w:val="105"/>
          <w:sz w:val="15"/>
        </w:rPr>
        <w:t>tierra</w:t>
      </w:r>
      <w:r>
        <w:rPr>
          <w:color w:val="803108"/>
          <w:spacing w:val="-2"/>
          <w:w w:val="105"/>
          <w:sz w:val="15"/>
        </w:rPr>
        <w:t xml:space="preserve"> </w:t>
      </w:r>
      <w:r>
        <w:rPr>
          <w:color w:val="803108"/>
          <w:w w:val="105"/>
          <w:sz w:val="15"/>
        </w:rPr>
        <w:t>y</w:t>
      </w:r>
      <w:r>
        <w:rPr>
          <w:color w:val="803108"/>
          <w:spacing w:val="-2"/>
          <w:w w:val="105"/>
          <w:sz w:val="15"/>
        </w:rPr>
        <w:t xml:space="preserve"> </w:t>
      </w:r>
      <w:r>
        <w:rPr>
          <w:color w:val="803108"/>
          <w:w w:val="105"/>
          <w:sz w:val="15"/>
        </w:rPr>
        <w:t>la concesión</w:t>
      </w:r>
      <w:r>
        <w:rPr>
          <w:color w:val="803108"/>
          <w:spacing w:val="-1"/>
          <w:w w:val="105"/>
          <w:sz w:val="15"/>
        </w:rPr>
        <w:t xml:space="preserve"> </w:t>
      </w:r>
      <w:r>
        <w:rPr>
          <w:color w:val="803108"/>
          <w:w w:val="105"/>
          <w:sz w:val="15"/>
        </w:rPr>
        <w:t>de</w:t>
      </w:r>
      <w:r>
        <w:rPr>
          <w:color w:val="803108"/>
          <w:spacing w:val="-1"/>
          <w:w w:val="105"/>
          <w:sz w:val="15"/>
        </w:rPr>
        <w:t xml:space="preserve"> </w:t>
      </w:r>
      <w:r>
        <w:rPr>
          <w:color w:val="803108"/>
          <w:w w:val="105"/>
          <w:sz w:val="15"/>
        </w:rPr>
        <w:t>poder</w:t>
      </w:r>
      <w:r>
        <w:rPr>
          <w:color w:val="803108"/>
          <w:spacing w:val="-1"/>
          <w:w w:val="105"/>
          <w:sz w:val="15"/>
        </w:rPr>
        <w:t xml:space="preserve"> </w:t>
      </w:r>
      <w:r>
        <w:rPr>
          <w:color w:val="803108"/>
          <w:w w:val="105"/>
          <w:sz w:val="15"/>
        </w:rPr>
        <w:t>sobre</w:t>
      </w:r>
      <w:r>
        <w:rPr>
          <w:color w:val="803108"/>
          <w:spacing w:val="-1"/>
          <w:w w:val="105"/>
          <w:sz w:val="15"/>
        </w:rPr>
        <w:t xml:space="preserve"> </w:t>
      </w:r>
      <w:r>
        <w:rPr>
          <w:color w:val="803108"/>
          <w:w w:val="105"/>
          <w:sz w:val="15"/>
        </w:rPr>
        <w:t>tierras</w:t>
      </w:r>
      <w:r>
        <w:rPr>
          <w:color w:val="803108"/>
          <w:spacing w:val="-1"/>
          <w:w w:val="105"/>
          <w:sz w:val="15"/>
        </w:rPr>
        <w:t xml:space="preserve"> </w:t>
      </w:r>
      <w:r>
        <w:rPr>
          <w:color w:val="803108"/>
          <w:w w:val="105"/>
          <w:sz w:val="15"/>
        </w:rPr>
        <w:t>que</w:t>
      </w:r>
      <w:r>
        <w:rPr>
          <w:color w:val="803108"/>
          <w:spacing w:val="-1"/>
          <w:w w:val="105"/>
          <w:sz w:val="15"/>
        </w:rPr>
        <w:t xml:space="preserve"> </w:t>
      </w:r>
      <w:r>
        <w:rPr>
          <w:color w:val="803108"/>
          <w:w w:val="105"/>
          <w:sz w:val="15"/>
        </w:rPr>
        <w:t>habitualmente</w:t>
      </w:r>
      <w:r>
        <w:rPr>
          <w:color w:val="803108"/>
          <w:spacing w:val="-1"/>
          <w:w w:val="105"/>
          <w:sz w:val="15"/>
        </w:rPr>
        <w:t xml:space="preserve"> </w:t>
      </w:r>
      <w:r>
        <w:rPr>
          <w:color w:val="803108"/>
          <w:w w:val="105"/>
          <w:sz w:val="15"/>
        </w:rPr>
        <w:t>pertenecen</w:t>
      </w:r>
      <w:r>
        <w:rPr>
          <w:color w:val="803108"/>
          <w:spacing w:val="-1"/>
          <w:w w:val="105"/>
          <w:sz w:val="15"/>
        </w:rPr>
        <w:t xml:space="preserve"> </w:t>
      </w:r>
      <w:r>
        <w:rPr>
          <w:color w:val="803108"/>
          <w:w w:val="105"/>
          <w:sz w:val="15"/>
        </w:rPr>
        <w:t>a</w:t>
      </w:r>
      <w:r>
        <w:rPr>
          <w:color w:val="803108"/>
          <w:spacing w:val="-1"/>
          <w:w w:val="105"/>
          <w:sz w:val="15"/>
        </w:rPr>
        <w:t xml:space="preserve"> </w:t>
      </w:r>
      <w:r>
        <w:rPr>
          <w:color w:val="803108"/>
          <w:w w:val="105"/>
          <w:sz w:val="15"/>
        </w:rPr>
        <w:t>los</w:t>
      </w:r>
      <w:r>
        <w:rPr>
          <w:color w:val="803108"/>
          <w:spacing w:val="-1"/>
          <w:w w:val="105"/>
          <w:sz w:val="15"/>
        </w:rPr>
        <w:t xml:space="preserve"> </w:t>
      </w:r>
      <w:r>
        <w:rPr>
          <w:color w:val="803108"/>
          <w:w w:val="105"/>
          <w:sz w:val="15"/>
        </w:rPr>
        <w:t>pueblos</w:t>
      </w:r>
      <w:r>
        <w:rPr>
          <w:color w:val="803108"/>
          <w:spacing w:val="-1"/>
          <w:w w:val="105"/>
          <w:sz w:val="15"/>
        </w:rPr>
        <w:t xml:space="preserve"> </w:t>
      </w:r>
      <w:r>
        <w:rPr>
          <w:color w:val="803108"/>
          <w:w w:val="105"/>
          <w:sz w:val="15"/>
        </w:rPr>
        <w:t>indígenas</w:t>
      </w:r>
      <w:r>
        <w:rPr>
          <w:color w:val="803108"/>
          <w:spacing w:val="-1"/>
          <w:w w:val="105"/>
          <w:sz w:val="15"/>
        </w:rPr>
        <w:t xml:space="preserve"> </w:t>
      </w:r>
      <w:r>
        <w:rPr>
          <w:color w:val="803108"/>
          <w:w w:val="105"/>
          <w:sz w:val="15"/>
        </w:rPr>
        <w:t>en</w:t>
      </w:r>
      <w:r>
        <w:rPr>
          <w:color w:val="803108"/>
          <w:spacing w:val="-1"/>
          <w:w w:val="105"/>
          <w:sz w:val="15"/>
        </w:rPr>
        <w:t xml:space="preserve"> </w:t>
      </w:r>
      <w:r>
        <w:rPr>
          <w:color w:val="803108"/>
          <w:w w:val="105"/>
          <w:sz w:val="15"/>
        </w:rPr>
        <w:t>el</w:t>
      </w:r>
      <w:r>
        <w:rPr>
          <w:color w:val="803108"/>
          <w:spacing w:val="-1"/>
          <w:w w:val="105"/>
          <w:sz w:val="15"/>
        </w:rPr>
        <w:t xml:space="preserve"> </w:t>
      </w:r>
      <w:r>
        <w:rPr>
          <w:color w:val="803108"/>
          <w:w w:val="105"/>
          <w:sz w:val="15"/>
        </w:rPr>
        <w:t>Estado</w:t>
      </w:r>
      <w:r>
        <w:rPr>
          <w:color w:val="803108"/>
          <w:spacing w:val="-1"/>
          <w:w w:val="105"/>
          <w:sz w:val="15"/>
        </w:rPr>
        <w:t xml:space="preserve"> </w:t>
      </w:r>
      <w:r>
        <w:rPr>
          <w:color w:val="803108"/>
          <w:w w:val="105"/>
          <w:sz w:val="15"/>
        </w:rPr>
        <w:t>socavan</w:t>
      </w:r>
      <w:r>
        <w:rPr>
          <w:color w:val="803108"/>
          <w:spacing w:val="-1"/>
          <w:w w:val="105"/>
          <w:sz w:val="15"/>
        </w:rPr>
        <w:t xml:space="preserve"> </w:t>
      </w:r>
      <w:r>
        <w:rPr>
          <w:color w:val="803108"/>
          <w:w w:val="105"/>
          <w:sz w:val="15"/>
        </w:rPr>
        <w:t xml:space="preserve">estos </w:t>
      </w:r>
      <w:r>
        <w:rPr>
          <w:color w:val="803108"/>
          <w:spacing w:val="-2"/>
          <w:w w:val="105"/>
          <w:sz w:val="15"/>
        </w:rPr>
        <w:t>sistemas.1090</w:t>
      </w:r>
    </w:p>
    <w:p w14:paraId="04CCE55F" w14:textId="77777777" w:rsidR="0014798C" w:rsidRDefault="0014798C">
      <w:pPr>
        <w:pStyle w:val="Textoindependiente"/>
        <w:rPr>
          <w:sz w:val="11"/>
        </w:rPr>
      </w:pPr>
    </w:p>
    <w:p w14:paraId="43882974" w14:textId="77777777" w:rsidR="0014798C" w:rsidRDefault="0014798C">
      <w:pPr>
        <w:pStyle w:val="Textoindependiente"/>
        <w:rPr>
          <w:sz w:val="11"/>
        </w:rPr>
      </w:pPr>
    </w:p>
    <w:p w14:paraId="59AB2CF8" w14:textId="77777777" w:rsidR="0014798C" w:rsidRDefault="0014798C">
      <w:pPr>
        <w:pStyle w:val="Textoindependiente"/>
        <w:rPr>
          <w:sz w:val="11"/>
        </w:rPr>
      </w:pPr>
    </w:p>
    <w:p w14:paraId="16E8FA2B" w14:textId="77777777" w:rsidR="0014798C" w:rsidRDefault="0014798C">
      <w:pPr>
        <w:pStyle w:val="Textoindependiente"/>
        <w:rPr>
          <w:sz w:val="11"/>
        </w:rPr>
      </w:pPr>
    </w:p>
    <w:p w14:paraId="02D1EF75" w14:textId="77777777" w:rsidR="0014798C" w:rsidRDefault="0014798C">
      <w:pPr>
        <w:pStyle w:val="Textoindependiente"/>
        <w:rPr>
          <w:sz w:val="11"/>
        </w:rPr>
      </w:pPr>
    </w:p>
    <w:p w14:paraId="4ADC18F2" w14:textId="77777777" w:rsidR="0014798C" w:rsidRDefault="0014798C">
      <w:pPr>
        <w:pStyle w:val="Textoindependiente"/>
        <w:rPr>
          <w:sz w:val="11"/>
        </w:rPr>
      </w:pPr>
    </w:p>
    <w:p w14:paraId="78B5D3A8" w14:textId="77777777" w:rsidR="0014798C" w:rsidRDefault="0014798C">
      <w:pPr>
        <w:pStyle w:val="Textoindependiente"/>
        <w:rPr>
          <w:sz w:val="11"/>
        </w:rPr>
      </w:pPr>
    </w:p>
    <w:p w14:paraId="7285B968" w14:textId="77777777" w:rsidR="0014798C" w:rsidRDefault="0014798C">
      <w:pPr>
        <w:pStyle w:val="Textoindependiente"/>
        <w:rPr>
          <w:sz w:val="11"/>
        </w:rPr>
      </w:pPr>
    </w:p>
    <w:p w14:paraId="0F26C1D8" w14:textId="77777777" w:rsidR="0014798C" w:rsidRDefault="0014798C">
      <w:pPr>
        <w:pStyle w:val="Textoindependiente"/>
        <w:rPr>
          <w:sz w:val="11"/>
        </w:rPr>
      </w:pPr>
    </w:p>
    <w:p w14:paraId="5CE74712" w14:textId="77777777" w:rsidR="0014798C" w:rsidRDefault="0014798C">
      <w:pPr>
        <w:pStyle w:val="Textoindependiente"/>
        <w:rPr>
          <w:sz w:val="11"/>
        </w:rPr>
      </w:pPr>
    </w:p>
    <w:p w14:paraId="2F9E61F2" w14:textId="77777777" w:rsidR="0014798C" w:rsidRDefault="0014798C">
      <w:pPr>
        <w:pStyle w:val="Textoindependiente"/>
        <w:spacing w:before="22"/>
        <w:rPr>
          <w:sz w:val="11"/>
        </w:rPr>
      </w:pPr>
    </w:p>
    <w:p w14:paraId="6A2043AC" w14:textId="77777777" w:rsidR="0014798C" w:rsidRDefault="004E1F0B">
      <w:pPr>
        <w:ind w:left="1111"/>
        <w:rPr>
          <w:sz w:val="11"/>
        </w:rPr>
      </w:pPr>
      <w:r>
        <w:rPr>
          <w:w w:val="105"/>
          <w:sz w:val="11"/>
        </w:rPr>
        <w:t>1086</w:t>
      </w:r>
      <w:r>
        <w:rPr>
          <w:spacing w:val="-8"/>
          <w:w w:val="105"/>
          <w:sz w:val="11"/>
        </w:rPr>
        <w:t xml:space="preserve"> </w:t>
      </w:r>
      <w:r>
        <w:rPr>
          <w:w w:val="105"/>
          <w:sz w:val="11"/>
        </w:rPr>
        <w:t>A/HRC/31/54/Add.2,</w:t>
      </w:r>
      <w:r>
        <w:rPr>
          <w:spacing w:val="-8"/>
          <w:w w:val="105"/>
          <w:sz w:val="11"/>
        </w:rPr>
        <w:t xml:space="preserve"> </w:t>
      </w:r>
      <w:r>
        <w:rPr>
          <w:w w:val="105"/>
          <w:sz w:val="11"/>
        </w:rPr>
        <w:t>párr.</w:t>
      </w:r>
      <w:r>
        <w:rPr>
          <w:spacing w:val="-7"/>
          <w:w w:val="105"/>
          <w:sz w:val="11"/>
        </w:rPr>
        <w:t xml:space="preserve"> </w:t>
      </w:r>
      <w:r>
        <w:rPr>
          <w:spacing w:val="-5"/>
          <w:w w:val="105"/>
          <w:sz w:val="11"/>
        </w:rPr>
        <w:t>44.</w:t>
      </w:r>
    </w:p>
    <w:p w14:paraId="72D1179D" w14:textId="77777777" w:rsidR="0014798C" w:rsidRDefault="004E1F0B">
      <w:pPr>
        <w:spacing w:before="110"/>
        <w:ind w:left="1111"/>
        <w:rPr>
          <w:sz w:val="11"/>
        </w:rPr>
      </w:pPr>
      <w:r>
        <w:rPr>
          <w:w w:val="105"/>
          <w:sz w:val="11"/>
        </w:rPr>
        <w:t>1087</w:t>
      </w:r>
      <w:r>
        <w:rPr>
          <w:spacing w:val="-5"/>
          <w:w w:val="105"/>
          <w:sz w:val="11"/>
        </w:rPr>
        <w:t xml:space="preserve"> </w:t>
      </w:r>
      <w:proofErr w:type="spellStart"/>
      <w:r>
        <w:rPr>
          <w:w w:val="105"/>
          <w:sz w:val="11"/>
        </w:rPr>
        <w:t>Ibíd</w:t>
      </w:r>
      <w:proofErr w:type="spellEnd"/>
      <w:r>
        <w:rPr>
          <w:w w:val="105"/>
          <w:sz w:val="11"/>
        </w:rPr>
        <w:t>.,</w:t>
      </w:r>
      <w:r>
        <w:rPr>
          <w:spacing w:val="-5"/>
          <w:w w:val="105"/>
          <w:sz w:val="11"/>
        </w:rPr>
        <w:t xml:space="preserve"> </w:t>
      </w:r>
      <w:proofErr w:type="spellStart"/>
      <w:r>
        <w:rPr>
          <w:w w:val="105"/>
          <w:sz w:val="11"/>
        </w:rPr>
        <w:t>párrs</w:t>
      </w:r>
      <w:proofErr w:type="spellEnd"/>
      <w:r>
        <w:rPr>
          <w:w w:val="105"/>
          <w:sz w:val="11"/>
        </w:rPr>
        <w:t>.</w:t>
      </w:r>
      <w:r>
        <w:rPr>
          <w:spacing w:val="-5"/>
          <w:w w:val="105"/>
          <w:sz w:val="11"/>
        </w:rPr>
        <w:t xml:space="preserve"> </w:t>
      </w:r>
      <w:r>
        <w:rPr>
          <w:spacing w:val="-2"/>
          <w:w w:val="105"/>
          <w:sz w:val="11"/>
        </w:rPr>
        <w:t>45–46.</w:t>
      </w:r>
    </w:p>
    <w:p w14:paraId="5A83E515" w14:textId="77777777" w:rsidR="0014798C" w:rsidRDefault="004E1F0B">
      <w:pPr>
        <w:spacing w:before="74"/>
        <w:ind w:left="1111"/>
        <w:rPr>
          <w:sz w:val="14"/>
        </w:rPr>
      </w:pPr>
      <w:r>
        <w:rPr>
          <w:spacing w:val="-2"/>
          <w:sz w:val="14"/>
        </w:rPr>
        <w:t>1088</w:t>
      </w:r>
      <w:r>
        <w:rPr>
          <w:spacing w:val="-5"/>
          <w:sz w:val="14"/>
        </w:rPr>
        <w:t xml:space="preserve"> </w:t>
      </w:r>
      <w:r>
        <w:rPr>
          <w:spacing w:val="-2"/>
          <w:sz w:val="14"/>
        </w:rPr>
        <w:t>Comité</w:t>
      </w:r>
      <w:r>
        <w:rPr>
          <w:spacing w:val="-4"/>
          <w:sz w:val="14"/>
        </w:rPr>
        <w:t xml:space="preserve"> </w:t>
      </w:r>
      <w:r>
        <w:rPr>
          <w:spacing w:val="-2"/>
          <w:sz w:val="14"/>
        </w:rPr>
        <w:t>de</w:t>
      </w:r>
      <w:r>
        <w:rPr>
          <w:spacing w:val="-4"/>
          <w:sz w:val="14"/>
        </w:rPr>
        <w:t xml:space="preserve"> </w:t>
      </w:r>
      <w:r>
        <w:rPr>
          <w:spacing w:val="-2"/>
          <w:sz w:val="14"/>
        </w:rPr>
        <w:t>Derechos</w:t>
      </w:r>
      <w:r>
        <w:rPr>
          <w:spacing w:val="-4"/>
          <w:sz w:val="14"/>
        </w:rPr>
        <w:t xml:space="preserve"> </w:t>
      </w:r>
      <w:r>
        <w:rPr>
          <w:spacing w:val="-2"/>
          <w:sz w:val="14"/>
        </w:rPr>
        <w:t>Humanos,</w:t>
      </w:r>
      <w:r>
        <w:rPr>
          <w:spacing w:val="-3"/>
          <w:sz w:val="14"/>
        </w:rPr>
        <w:t xml:space="preserve"> </w:t>
      </w:r>
      <w:proofErr w:type="spellStart"/>
      <w:r>
        <w:rPr>
          <w:spacing w:val="-2"/>
          <w:sz w:val="14"/>
        </w:rPr>
        <w:t>Sanila-Aikio</w:t>
      </w:r>
      <w:proofErr w:type="spellEnd"/>
      <w:r>
        <w:rPr>
          <w:spacing w:val="-4"/>
          <w:sz w:val="14"/>
        </w:rPr>
        <w:t xml:space="preserve"> </w:t>
      </w:r>
      <w:r>
        <w:rPr>
          <w:spacing w:val="-2"/>
          <w:sz w:val="14"/>
        </w:rPr>
        <w:t>c.</w:t>
      </w:r>
      <w:r>
        <w:rPr>
          <w:spacing w:val="-4"/>
          <w:sz w:val="14"/>
        </w:rPr>
        <w:t xml:space="preserve"> </w:t>
      </w:r>
      <w:r>
        <w:rPr>
          <w:spacing w:val="-2"/>
          <w:sz w:val="14"/>
        </w:rPr>
        <w:t>Finlandia</w:t>
      </w:r>
      <w:r>
        <w:rPr>
          <w:spacing w:val="-4"/>
          <w:sz w:val="14"/>
        </w:rPr>
        <w:t xml:space="preserve"> </w:t>
      </w:r>
      <w:r>
        <w:rPr>
          <w:spacing w:val="-2"/>
          <w:sz w:val="14"/>
        </w:rPr>
        <w:t>(CCPR/C/124/D/2668/</w:t>
      </w:r>
      <w:proofErr w:type="gramStart"/>
      <w:r>
        <w:rPr>
          <w:spacing w:val="-2"/>
          <w:sz w:val="14"/>
        </w:rPr>
        <w:t>2015);</w:t>
      </w:r>
      <w:proofErr w:type="gramEnd"/>
      <w:r>
        <w:rPr>
          <w:spacing w:val="-3"/>
          <w:sz w:val="14"/>
        </w:rPr>
        <w:t xml:space="preserve"> </w:t>
      </w:r>
      <w:r>
        <w:rPr>
          <w:spacing w:val="-2"/>
          <w:sz w:val="14"/>
        </w:rPr>
        <w:t>y</w:t>
      </w:r>
      <w:r>
        <w:rPr>
          <w:spacing w:val="-4"/>
          <w:sz w:val="14"/>
        </w:rPr>
        <w:t xml:space="preserve"> </w:t>
      </w:r>
      <w:proofErr w:type="spellStart"/>
      <w:r>
        <w:rPr>
          <w:spacing w:val="-2"/>
          <w:sz w:val="14"/>
        </w:rPr>
        <w:t>Käkkäläjärvi</w:t>
      </w:r>
      <w:proofErr w:type="spellEnd"/>
      <w:r>
        <w:rPr>
          <w:spacing w:val="-4"/>
          <w:sz w:val="14"/>
        </w:rPr>
        <w:t xml:space="preserve"> </w:t>
      </w:r>
      <w:r>
        <w:rPr>
          <w:spacing w:val="-2"/>
          <w:sz w:val="14"/>
        </w:rPr>
        <w:t>et</w:t>
      </w:r>
      <w:r>
        <w:rPr>
          <w:spacing w:val="-4"/>
          <w:sz w:val="14"/>
        </w:rPr>
        <w:t xml:space="preserve"> </w:t>
      </w:r>
      <w:r>
        <w:rPr>
          <w:spacing w:val="-2"/>
          <w:sz w:val="14"/>
        </w:rPr>
        <w:t>al.</w:t>
      </w:r>
      <w:r>
        <w:rPr>
          <w:spacing w:val="-4"/>
          <w:sz w:val="14"/>
        </w:rPr>
        <w:t xml:space="preserve"> </w:t>
      </w:r>
      <w:r>
        <w:rPr>
          <w:spacing w:val="-2"/>
          <w:sz w:val="14"/>
        </w:rPr>
        <w:t>Finlandia</w:t>
      </w:r>
      <w:r>
        <w:rPr>
          <w:spacing w:val="-4"/>
          <w:sz w:val="14"/>
        </w:rPr>
        <w:t xml:space="preserve"> </w:t>
      </w:r>
      <w:r>
        <w:rPr>
          <w:spacing w:val="-2"/>
          <w:sz w:val="14"/>
        </w:rPr>
        <w:t>(CCPR/C/124/D/2950/2017).</w:t>
      </w:r>
    </w:p>
    <w:p w14:paraId="10F84AFF" w14:textId="77777777" w:rsidR="0014798C" w:rsidRDefault="004E1F0B">
      <w:pPr>
        <w:spacing w:before="76"/>
        <w:ind w:left="1111"/>
        <w:rPr>
          <w:sz w:val="14"/>
        </w:rPr>
      </w:pPr>
      <w:r>
        <w:rPr>
          <w:sz w:val="14"/>
          <w:vertAlign w:val="superscript"/>
        </w:rPr>
        <w:t>1089</w:t>
      </w:r>
      <w:r>
        <w:rPr>
          <w:spacing w:val="12"/>
          <w:sz w:val="14"/>
        </w:rPr>
        <w:t xml:space="preserve"> </w:t>
      </w:r>
      <w:r>
        <w:rPr>
          <w:sz w:val="14"/>
        </w:rPr>
        <w:t>A/HRC/39/62,</w:t>
      </w:r>
      <w:r>
        <w:rPr>
          <w:spacing w:val="-8"/>
          <w:sz w:val="14"/>
        </w:rPr>
        <w:t xml:space="preserve"> </w:t>
      </w:r>
      <w:r>
        <w:rPr>
          <w:sz w:val="14"/>
        </w:rPr>
        <w:t>párr.</w:t>
      </w:r>
      <w:r>
        <w:rPr>
          <w:spacing w:val="-8"/>
          <w:sz w:val="14"/>
        </w:rPr>
        <w:t xml:space="preserve"> </w:t>
      </w:r>
      <w:r>
        <w:rPr>
          <w:spacing w:val="-5"/>
          <w:sz w:val="14"/>
        </w:rPr>
        <w:t>14.</w:t>
      </w:r>
    </w:p>
    <w:p w14:paraId="2061CF7D" w14:textId="77777777" w:rsidR="0014798C" w:rsidRDefault="004E1F0B">
      <w:pPr>
        <w:spacing w:before="75"/>
        <w:ind w:left="1111"/>
        <w:rPr>
          <w:sz w:val="14"/>
        </w:rPr>
      </w:pPr>
      <w:r>
        <w:rPr>
          <w:sz w:val="14"/>
          <w:vertAlign w:val="superscript"/>
        </w:rPr>
        <w:t>1090</w:t>
      </w:r>
      <w:r>
        <w:rPr>
          <w:spacing w:val="11"/>
          <w:sz w:val="14"/>
        </w:rPr>
        <w:t xml:space="preserve"> </w:t>
      </w:r>
      <w:r>
        <w:rPr>
          <w:sz w:val="14"/>
        </w:rPr>
        <w:t>A/HRC/45/38,</w:t>
      </w:r>
      <w:r>
        <w:rPr>
          <w:spacing w:val="-8"/>
          <w:sz w:val="14"/>
        </w:rPr>
        <w:t xml:space="preserve"> </w:t>
      </w:r>
      <w:proofErr w:type="spellStart"/>
      <w:r>
        <w:rPr>
          <w:sz w:val="14"/>
        </w:rPr>
        <w:t>párrs</w:t>
      </w:r>
      <w:proofErr w:type="spellEnd"/>
      <w:r>
        <w:rPr>
          <w:sz w:val="14"/>
        </w:rPr>
        <w:t>.</w:t>
      </w:r>
      <w:r>
        <w:rPr>
          <w:spacing w:val="-9"/>
          <w:sz w:val="14"/>
        </w:rPr>
        <w:t xml:space="preserve"> </w:t>
      </w:r>
      <w:r>
        <w:rPr>
          <w:spacing w:val="-4"/>
          <w:sz w:val="14"/>
        </w:rPr>
        <w:t>6–7.</w:t>
      </w:r>
    </w:p>
    <w:p w14:paraId="6361A063" w14:textId="77777777" w:rsidR="0014798C" w:rsidRDefault="0014798C">
      <w:pPr>
        <w:pStyle w:val="Textoindependiente"/>
      </w:pPr>
    </w:p>
    <w:p w14:paraId="3352D5B9" w14:textId="77777777" w:rsidR="0014798C" w:rsidRDefault="0014798C">
      <w:pPr>
        <w:pStyle w:val="Textoindependiente"/>
      </w:pPr>
    </w:p>
    <w:p w14:paraId="0BDDF94B" w14:textId="77777777" w:rsidR="0014798C" w:rsidRDefault="0014798C">
      <w:pPr>
        <w:pStyle w:val="Textoindependiente"/>
        <w:spacing w:before="98"/>
      </w:pPr>
    </w:p>
    <w:p w14:paraId="5DB178FA" w14:textId="77777777" w:rsidR="0014798C" w:rsidRDefault="004E1F0B">
      <w:pPr>
        <w:pStyle w:val="Textoindependiente"/>
        <w:ind w:right="718"/>
        <w:jc w:val="right"/>
      </w:pPr>
      <w:r>
        <w:rPr>
          <w:spacing w:val="-5"/>
        </w:rPr>
        <w:t>161</w:t>
      </w:r>
    </w:p>
    <w:p w14:paraId="7C7AFAA4" w14:textId="77777777" w:rsidR="0014798C" w:rsidRDefault="0014798C">
      <w:pPr>
        <w:jc w:val="right"/>
        <w:sectPr w:rsidR="0014798C" w:rsidSect="00F265E4">
          <w:pgSz w:w="11900" w:h="16820"/>
          <w:pgMar w:top="340" w:right="0" w:bottom="280" w:left="200" w:header="121" w:footer="0" w:gutter="0"/>
          <w:cols w:space="720"/>
        </w:sectPr>
      </w:pPr>
    </w:p>
    <w:p w14:paraId="14EE4E08" w14:textId="77777777" w:rsidR="0014798C" w:rsidRDefault="0014798C">
      <w:pPr>
        <w:pStyle w:val="Textoindependiente"/>
        <w:spacing w:before="85"/>
        <w:rPr>
          <w:sz w:val="12"/>
        </w:rPr>
      </w:pPr>
    </w:p>
    <w:p w14:paraId="1534447A" w14:textId="77777777" w:rsidR="0014798C" w:rsidRDefault="004E1F0B">
      <w:pPr>
        <w:ind w:left="1111"/>
        <w:rPr>
          <w:sz w:val="12"/>
        </w:rPr>
      </w:pPr>
      <w:r>
        <w:rPr>
          <w:color w:val="803108"/>
          <w:sz w:val="12"/>
        </w:rPr>
        <w:t>PROTECCIÓN</w:t>
      </w:r>
      <w:r>
        <w:rPr>
          <w:color w:val="803108"/>
          <w:spacing w:val="6"/>
          <w:sz w:val="12"/>
        </w:rPr>
        <w:t xml:space="preserve"> </w:t>
      </w:r>
      <w:r>
        <w:rPr>
          <w:color w:val="803108"/>
          <w:sz w:val="12"/>
        </w:rPr>
        <w:t>DE</w:t>
      </w:r>
      <w:r>
        <w:rPr>
          <w:color w:val="803108"/>
          <w:spacing w:val="7"/>
          <w:sz w:val="12"/>
        </w:rPr>
        <w:t xml:space="preserve"> </w:t>
      </w:r>
      <w:r>
        <w:rPr>
          <w:color w:val="803108"/>
          <w:sz w:val="12"/>
        </w:rPr>
        <w:t>LOS</w:t>
      </w:r>
      <w:r>
        <w:rPr>
          <w:color w:val="803108"/>
          <w:spacing w:val="8"/>
          <w:sz w:val="12"/>
        </w:rPr>
        <w:t xml:space="preserve"> </w:t>
      </w:r>
      <w:r>
        <w:rPr>
          <w:color w:val="803108"/>
          <w:sz w:val="12"/>
        </w:rPr>
        <w:t>DERECHOS</w:t>
      </w:r>
      <w:r>
        <w:rPr>
          <w:color w:val="803108"/>
          <w:spacing w:val="8"/>
          <w:sz w:val="12"/>
        </w:rPr>
        <w:t xml:space="preserve"> </w:t>
      </w:r>
      <w:r>
        <w:rPr>
          <w:color w:val="803108"/>
          <w:sz w:val="12"/>
        </w:rPr>
        <w:t>DE</w:t>
      </w:r>
      <w:r>
        <w:rPr>
          <w:color w:val="803108"/>
          <w:spacing w:val="6"/>
          <w:sz w:val="12"/>
        </w:rPr>
        <w:t xml:space="preserve"> </w:t>
      </w:r>
      <w:r>
        <w:rPr>
          <w:color w:val="803108"/>
          <w:sz w:val="12"/>
        </w:rPr>
        <w:t>LAS</w:t>
      </w:r>
      <w:r>
        <w:rPr>
          <w:color w:val="803108"/>
          <w:spacing w:val="7"/>
          <w:sz w:val="12"/>
        </w:rPr>
        <w:t xml:space="preserve"> </w:t>
      </w:r>
      <w:r>
        <w:rPr>
          <w:color w:val="803108"/>
          <w:sz w:val="12"/>
        </w:rPr>
        <w:t>MINORÍAS:</w:t>
      </w:r>
      <w:r>
        <w:rPr>
          <w:color w:val="803108"/>
          <w:spacing w:val="8"/>
          <w:sz w:val="12"/>
        </w:rPr>
        <w:t xml:space="preserve"> </w:t>
      </w:r>
      <w:r>
        <w:rPr>
          <w:color w:val="803108"/>
          <w:sz w:val="12"/>
        </w:rPr>
        <w:t>una</w:t>
      </w:r>
      <w:r>
        <w:rPr>
          <w:color w:val="803108"/>
          <w:spacing w:val="7"/>
          <w:sz w:val="12"/>
        </w:rPr>
        <w:t xml:space="preserve"> </w:t>
      </w:r>
      <w:r>
        <w:rPr>
          <w:color w:val="803108"/>
          <w:sz w:val="12"/>
        </w:rPr>
        <w:t>guía</w:t>
      </w:r>
      <w:r>
        <w:rPr>
          <w:color w:val="803108"/>
          <w:spacing w:val="6"/>
          <w:sz w:val="12"/>
        </w:rPr>
        <w:t xml:space="preserve"> </w:t>
      </w:r>
      <w:r>
        <w:rPr>
          <w:color w:val="803108"/>
          <w:sz w:val="12"/>
        </w:rPr>
        <w:t>práctica</w:t>
      </w:r>
      <w:r>
        <w:rPr>
          <w:color w:val="803108"/>
          <w:spacing w:val="7"/>
          <w:sz w:val="12"/>
        </w:rPr>
        <w:t xml:space="preserve"> </w:t>
      </w:r>
      <w:r>
        <w:rPr>
          <w:color w:val="803108"/>
          <w:sz w:val="12"/>
        </w:rPr>
        <w:t>para</w:t>
      </w:r>
      <w:r>
        <w:rPr>
          <w:color w:val="803108"/>
          <w:spacing w:val="8"/>
          <w:sz w:val="12"/>
        </w:rPr>
        <w:t xml:space="preserve"> </w:t>
      </w:r>
      <w:r>
        <w:rPr>
          <w:color w:val="803108"/>
          <w:sz w:val="12"/>
        </w:rPr>
        <w:t>desarrollar</w:t>
      </w:r>
      <w:r>
        <w:rPr>
          <w:color w:val="803108"/>
          <w:spacing w:val="6"/>
          <w:sz w:val="12"/>
        </w:rPr>
        <w:t xml:space="preserve"> </w:t>
      </w:r>
      <w:r>
        <w:rPr>
          <w:color w:val="803108"/>
          <w:sz w:val="12"/>
        </w:rPr>
        <w:t>una</w:t>
      </w:r>
      <w:r>
        <w:rPr>
          <w:color w:val="803108"/>
          <w:spacing w:val="7"/>
          <w:sz w:val="12"/>
        </w:rPr>
        <w:t xml:space="preserve"> </w:t>
      </w:r>
      <w:r>
        <w:rPr>
          <w:color w:val="803108"/>
          <w:sz w:val="12"/>
        </w:rPr>
        <w:t>legislación</w:t>
      </w:r>
      <w:r>
        <w:rPr>
          <w:color w:val="803108"/>
          <w:spacing w:val="8"/>
          <w:sz w:val="12"/>
        </w:rPr>
        <w:t xml:space="preserve"> </w:t>
      </w:r>
      <w:r>
        <w:rPr>
          <w:color w:val="803108"/>
          <w:sz w:val="12"/>
        </w:rPr>
        <w:t>integral</w:t>
      </w:r>
      <w:r>
        <w:rPr>
          <w:color w:val="803108"/>
          <w:spacing w:val="7"/>
          <w:sz w:val="12"/>
        </w:rPr>
        <w:t xml:space="preserve"> </w:t>
      </w:r>
      <w:r>
        <w:rPr>
          <w:color w:val="803108"/>
          <w:sz w:val="12"/>
        </w:rPr>
        <w:t>contra</w:t>
      </w:r>
      <w:r>
        <w:rPr>
          <w:color w:val="803108"/>
          <w:spacing w:val="6"/>
          <w:sz w:val="12"/>
        </w:rPr>
        <w:t xml:space="preserve"> </w:t>
      </w:r>
      <w:r>
        <w:rPr>
          <w:color w:val="803108"/>
          <w:sz w:val="12"/>
        </w:rPr>
        <w:t>la</w:t>
      </w:r>
      <w:r>
        <w:rPr>
          <w:color w:val="803108"/>
          <w:spacing w:val="7"/>
          <w:sz w:val="12"/>
        </w:rPr>
        <w:t xml:space="preserve"> </w:t>
      </w:r>
      <w:r>
        <w:rPr>
          <w:color w:val="803108"/>
          <w:spacing w:val="-2"/>
          <w:sz w:val="12"/>
        </w:rPr>
        <w:t>discriminación</w:t>
      </w:r>
    </w:p>
    <w:p w14:paraId="1133BF4F" w14:textId="77777777" w:rsidR="0014798C" w:rsidRDefault="0014798C">
      <w:pPr>
        <w:pStyle w:val="Textoindependiente"/>
      </w:pPr>
    </w:p>
    <w:p w14:paraId="093EFC04" w14:textId="77777777" w:rsidR="0014798C" w:rsidRDefault="0014798C">
      <w:pPr>
        <w:pStyle w:val="Textoindependiente"/>
      </w:pPr>
    </w:p>
    <w:p w14:paraId="5056CF6A" w14:textId="77777777" w:rsidR="0014798C" w:rsidRDefault="0014798C">
      <w:pPr>
        <w:pStyle w:val="Textoindependiente"/>
      </w:pPr>
    </w:p>
    <w:p w14:paraId="2D5FE48F" w14:textId="77777777" w:rsidR="0014798C" w:rsidRDefault="0014798C">
      <w:pPr>
        <w:pStyle w:val="Textoindependiente"/>
      </w:pPr>
    </w:p>
    <w:p w14:paraId="52D00DA0" w14:textId="77777777" w:rsidR="0014798C" w:rsidRDefault="0014798C">
      <w:pPr>
        <w:pStyle w:val="Textoindependiente"/>
        <w:spacing w:before="51"/>
      </w:pPr>
    </w:p>
    <w:p w14:paraId="12A79E80" w14:textId="77777777" w:rsidR="0014798C" w:rsidRDefault="004E1F0B">
      <w:pPr>
        <w:pStyle w:val="Textoindependiente"/>
        <w:spacing w:line="326" w:lineRule="auto"/>
        <w:ind w:left="1108" w:right="1377" w:hanging="2"/>
        <w:jc w:val="both"/>
      </w:pPr>
      <w:r>
        <w:t>El Mecanismo de Expertos sobre los Derechos de los Pueblos Indígenas también ha señalado que los derechos colectivos están “en el centro de la jurisprudencia internacional y regional”, citando</w:t>
      </w:r>
      <w:r>
        <w:rPr>
          <w:spacing w:val="-1"/>
        </w:rPr>
        <w:t xml:space="preserve"> </w:t>
      </w:r>
      <w:r>
        <w:t>la jurisprudencia tanto</w:t>
      </w:r>
      <w:r>
        <w:rPr>
          <w:spacing w:val="-1"/>
        </w:rPr>
        <w:t xml:space="preserve"> </w:t>
      </w:r>
      <w:r>
        <w:t>de la Corte</w:t>
      </w:r>
      <w:r>
        <w:rPr>
          <w:spacing w:val="-1"/>
        </w:rPr>
        <w:t xml:space="preserve"> </w:t>
      </w:r>
      <w:r>
        <w:t>Interamericana</w:t>
      </w:r>
      <w:r>
        <w:rPr>
          <w:spacing w:val="-1"/>
        </w:rPr>
        <w:t xml:space="preserve"> </w:t>
      </w:r>
      <w:r>
        <w:t>de Derechos Humanos como de la Comisión Africana de Derechos Humanos y de los Pueblos. Derechos.1091</w:t>
      </w:r>
    </w:p>
    <w:p w14:paraId="43785324" w14:textId="77777777" w:rsidR="0014798C" w:rsidRDefault="004E1F0B">
      <w:pPr>
        <w:pStyle w:val="Textoindependiente"/>
        <w:spacing w:before="169" w:line="326" w:lineRule="auto"/>
        <w:ind w:left="1107" w:right="1210" w:firstLine="1"/>
      </w:pPr>
      <w:r>
        <w:t>En</w:t>
      </w:r>
      <w:r>
        <w:rPr>
          <w:spacing w:val="-1"/>
        </w:rPr>
        <w:t xml:space="preserve"> </w:t>
      </w:r>
      <w:r>
        <w:t>2020, el Mecanismo de Expertos</w:t>
      </w:r>
      <w:r>
        <w:rPr>
          <w:spacing w:val="-1"/>
        </w:rPr>
        <w:t xml:space="preserve"> </w:t>
      </w:r>
      <w:r>
        <w:t>sobre los Derechos</w:t>
      </w:r>
      <w:r>
        <w:rPr>
          <w:spacing w:val="-1"/>
        </w:rPr>
        <w:t xml:space="preserve"> </w:t>
      </w:r>
      <w:r>
        <w:t>de los Pueblos</w:t>
      </w:r>
      <w:r>
        <w:rPr>
          <w:spacing w:val="-1"/>
        </w:rPr>
        <w:t xml:space="preserve"> </w:t>
      </w:r>
      <w:r>
        <w:t>Indígenas</w:t>
      </w:r>
      <w:r>
        <w:rPr>
          <w:spacing w:val="-1"/>
        </w:rPr>
        <w:t xml:space="preserve"> </w:t>
      </w:r>
      <w:r>
        <w:t>llevó a cabo un estudio</w:t>
      </w:r>
      <w:r>
        <w:rPr>
          <w:spacing w:val="-1"/>
        </w:rPr>
        <w:t xml:space="preserve"> </w:t>
      </w:r>
      <w:r>
        <w:t>integral sobre el derecho a la tierra. Declaró que:</w:t>
      </w:r>
    </w:p>
    <w:p w14:paraId="7A1A6038" w14:textId="77777777" w:rsidR="0014798C" w:rsidRDefault="004E1F0B">
      <w:pPr>
        <w:pStyle w:val="Textoindependiente"/>
        <w:spacing w:before="112" w:line="326" w:lineRule="auto"/>
        <w:ind w:left="1677" w:right="2004" w:hanging="4"/>
      </w:pPr>
      <w:r>
        <w:rPr>
          <w:color w:val="803108"/>
        </w:rPr>
        <w:t>Para</w:t>
      </w:r>
      <w:r>
        <w:rPr>
          <w:color w:val="803108"/>
          <w:spacing w:val="-1"/>
        </w:rPr>
        <w:t xml:space="preserve"> </w:t>
      </w:r>
      <w:r>
        <w:rPr>
          <w:color w:val="803108"/>
        </w:rPr>
        <w:t>los pueblos</w:t>
      </w:r>
      <w:r>
        <w:rPr>
          <w:color w:val="803108"/>
          <w:spacing w:val="-1"/>
        </w:rPr>
        <w:t xml:space="preserve"> </w:t>
      </w:r>
      <w:r>
        <w:rPr>
          <w:color w:val="803108"/>
        </w:rPr>
        <w:t>indígenas, la tierra no es sólo, ni siquiera principalmente, un activo económico. Es</w:t>
      </w:r>
      <w:r>
        <w:rPr>
          <w:color w:val="803108"/>
          <w:spacing w:val="-1"/>
        </w:rPr>
        <w:t xml:space="preserve"> </w:t>
      </w:r>
      <w:r>
        <w:rPr>
          <w:color w:val="803108"/>
        </w:rPr>
        <w:t>el elemento definitorio de su identidad y cultura y de su relación con sus antepasados y generaciones futuras.</w:t>
      </w:r>
    </w:p>
    <w:p w14:paraId="60EA43DF" w14:textId="77777777" w:rsidR="0014798C" w:rsidRDefault="004E1F0B">
      <w:pPr>
        <w:pStyle w:val="Textoindependiente"/>
        <w:spacing w:line="326" w:lineRule="auto"/>
        <w:ind w:left="1674" w:right="1626" w:hanging="2"/>
      </w:pPr>
      <w:r>
        <w:rPr>
          <w:color w:val="803108"/>
        </w:rPr>
        <w:t>El</w:t>
      </w:r>
      <w:r>
        <w:rPr>
          <w:color w:val="803108"/>
          <w:spacing w:val="-1"/>
        </w:rPr>
        <w:t xml:space="preserve"> </w:t>
      </w:r>
      <w:r>
        <w:rPr>
          <w:color w:val="803108"/>
        </w:rPr>
        <w:t>acceso a tierras, territorios</w:t>
      </w:r>
      <w:r>
        <w:rPr>
          <w:color w:val="803108"/>
          <w:spacing w:val="-1"/>
        </w:rPr>
        <w:t xml:space="preserve"> </w:t>
      </w:r>
      <w:r>
        <w:rPr>
          <w:color w:val="803108"/>
        </w:rPr>
        <w:t>y recursos se obtiene</w:t>
      </w:r>
      <w:r>
        <w:rPr>
          <w:color w:val="803108"/>
          <w:spacing w:val="-1"/>
        </w:rPr>
        <w:t xml:space="preserve"> </w:t>
      </w:r>
      <w:r>
        <w:rPr>
          <w:color w:val="803108"/>
        </w:rPr>
        <w:t>a través</w:t>
      </w:r>
      <w:r>
        <w:rPr>
          <w:color w:val="803108"/>
          <w:spacing w:val="-1"/>
        </w:rPr>
        <w:t xml:space="preserve"> </w:t>
      </w:r>
      <w:r>
        <w:rPr>
          <w:color w:val="803108"/>
        </w:rPr>
        <w:t>de la membresía comunitaria, no del libre mercado. Para los pueblos indígenas, los derechos a la tierra son a menudo intergeneracionales y, por lo tanto, conllevan una obligación de administración en beneficio de los miembros presentes y futuros y como base para su existencia continua como pueblo.1092</w:t>
      </w:r>
    </w:p>
    <w:p w14:paraId="163AA1D9" w14:textId="77777777" w:rsidR="0014798C" w:rsidRDefault="004E1F0B">
      <w:pPr>
        <w:pStyle w:val="Textoindependiente"/>
        <w:spacing w:before="110" w:line="326" w:lineRule="auto"/>
        <w:ind w:left="1107" w:right="1234" w:hanging="1"/>
      </w:pPr>
      <w:r>
        <w:t>La Declaración de las Naciones Unidas sobre los Derechos de los Pueblos Indígenas aborda ampliamente los derechos de los pueblos indígenas con respecto a la tierra. El artículo 25 establece que los pueblos indígenas tienen derecho a mantener y fortalecer su relación espiritual distintiva con las tierras y recursos que tradicionalmente han poseído u ocupado y utilizado. El artículo 26 (1) establece que los pueblos indígenas tienen derecho a las tierras, territorios y recursos que tradicionalmente han poseído,</w:t>
      </w:r>
      <w:r>
        <w:rPr>
          <w:spacing w:val="-6"/>
        </w:rPr>
        <w:t xml:space="preserve"> </w:t>
      </w:r>
      <w:r>
        <w:t>ocupado,</w:t>
      </w:r>
      <w:r>
        <w:rPr>
          <w:spacing w:val="-6"/>
        </w:rPr>
        <w:t xml:space="preserve"> </w:t>
      </w:r>
      <w:r>
        <w:t>utilizado</w:t>
      </w:r>
      <w:r>
        <w:rPr>
          <w:spacing w:val="-7"/>
        </w:rPr>
        <w:t xml:space="preserve"> </w:t>
      </w:r>
      <w:r>
        <w:t>o</w:t>
      </w:r>
      <w:r>
        <w:rPr>
          <w:spacing w:val="-6"/>
        </w:rPr>
        <w:t xml:space="preserve"> </w:t>
      </w:r>
      <w:r>
        <w:t>adquirido;</w:t>
      </w:r>
      <w:r>
        <w:rPr>
          <w:spacing w:val="-6"/>
        </w:rPr>
        <w:t xml:space="preserve"> </w:t>
      </w:r>
      <w:r>
        <w:t>el</w:t>
      </w:r>
      <w:r>
        <w:rPr>
          <w:spacing w:val="-6"/>
        </w:rPr>
        <w:t xml:space="preserve"> </w:t>
      </w:r>
      <w:r>
        <w:t>artículo</w:t>
      </w:r>
      <w:r>
        <w:rPr>
          <w:spacing w:val="-7"/>
        </w:rPr>
        <w:t xml:space="preserve"> </w:t>
      </w:r>
      <w:r>
        <w:t>26</w:t>
      </w:r>
      <w:r>
        <w:rPr>
          <w:spacing w:val="-6"/>
        </w:rPr>
        <w:t xml:space="preserve"> </w:t>
      </w:r>
      <w:r>
        <w:t>(2)</w:t>
      </w:r>
      <w:r>
        <w:rPr>
          <w:spacing w:val="-6"/>
        </w:rPr>
        <w:t xml:space="preserve"> </w:t>
      </w:r>
      <w:r>
        <w:t>establece</w:t>
      </w:r>
      <w:r>
        <w:rPr>
          <w:spacing w:val="-6"/>
        </w:rPr>
        <w:t xml:space="preserve"> </w:t>
      </w:r>
      <w:r>
        <w:t>que</w:t>
      </w:r>
      <w:r>
        <w:rPr>
          <w:spacing w:val="-6"/>
        </w:rPr>
        <w:t xml:space="preserve"> </w:t>
      </w:r>
      <w:r>
        <w:t>los</w:t>
      </w:r>
      <w:r>
        <w:rPr>
          <w:spacing w:val="-6"/>
        </w:rPr>
        <w:t xml:space="preserve"> </w:t>
      </w:r>
      <w:r>
        <w:t>pueblos</w:t>
      </w:r>
      <w:r>
        <w:rPr>
          <w:spacing w:val="-7"/>
        </w:rPr>
        <w:t xml:space="preserve"> </w:t>
      </w:r>
      <w:r>
        <w:t>indígenas</w:t>
      </w:r>
      <w:r>
        <w:rPr>
          <w:spacing w:val="-7"/>
        </w:rPr>
        <w:t xml:space="preserve"> </w:t>
      </w:r>
      <w:r>
        <w:t>tienen</w:t>
      </w:r>
      <w:r>
        <w:rPr>
          <w:spacing w:val="-7"/>
        </w:rPr>
        <w:t xml:space="preserve"> </w:t>
      </w:r>
      <w:r>
        <w:t>derecho</w:t>
      </w:r>
      <w:r>
        <w:rPr>
          <w:spacing w:val="-6"/>
        </w:rPr>
        <w:t xml:space="preserve"> </w:t>
      </w:r>
      <w:r>
        <w:t>a</w:t>
      </w:r>
      <w:r>
        <w:rPr>
          <w:spacing w:val="-6"/>
        </w:rPr>
        <w:t xml:space="preserve"> </w:t>
      </w:r>
      <w:r>
        <w:t>poseer,</w:t>
      </w:r>
      <w:r>
        <w:rPr>
          <w:spacing w:val="-6"/>
        </w:rPr>
        <w:t xml:space="preserve"> </w:t>
      </w:r>
      <w:r>
        <w:t>desarrollar, controlar y utilizar sus tierras, territorios y recursos tradicionales; mientras que el artículo 26 (3) establece que los Estados otorgarán reconocimiento legal y protección a las tierras, territorios y recursos de los pueblos indígenas respetando sus</w:t>
      </w:r>
      <w:r>
        <w:rPr>
          <w:spacing w:val="40"/>
        </w:rPr>
        <w:t xml:space="preserve"> </w:t>
      </w:r>
      <w:r>
        <w:t>costumbres, tradiciones y sistemas de tenencia de la tierra.</w:t>
      </w:r>
    </w:p>
    <w:p w14:paraId="625FC185" w14:textId="77777777" w:rsidR="0014798C" w:rsidRDefault="004E1F0B">
      <w:pPr>
        <w:pStyle w:val="Textoindependiente"/>
        <w:spacing w:line="326" w:lineRule="auto"/>
        <w:ind w:left="1107" w:right="1352" w:hanging="1"/>
      </w:pPr>
      <w:r>
        <w:t>El artículo 27 requiere que los Estados establezcan un “proceso justo, independiente, imparcial, abierto y transparente”, en cooperación con los pueblos</w:t>
      </w:r>
      <w:r>
        <w:rPr>
          <w:spacing w:val="-1"/>
        </w:rPr>
        <w:t xml:space="preserve"> </w:t>
      </w:r>
      <w:r>
        <w:t>indígenas, para reconocer</w:t>
      </w:r>
      <w:r>
        <w:rPr>
          <w:spacing w:val="-1"/>
        </w:rPr>
        <w:t xml:space="preserve"> </w:t>
      </w:r>
      <w:r>
        <w:t>y adjudicar</w:t>
      </w:r>
      <w:r>
        <w:rPr>
          <w:spacing w:val="-1"/>
        </w:rPr>
        <w:t xml:space="preserve"> </w:t>
      </w:r>
      <w:r>
        <w:t>los derechos</w:t>
      </w:r>
      <w:r>
        <w:rPr>
          <w:spacing w:val="-1"/>
        </w:rPr>
        <w:t xml:space="preserve"> </w:t>
      </w:r>
      <w:r>
        <w:t>de los pueblos</w:t>
      </w:r>
      <w:r>
        <w:rPr>
          <w:spacing w:val="-1"/>
        </w:rPr>
        <w:t xml:space="preserve"> </w:t>
      </w:r>
      <w:r>
        <w:t>indígenas</w:t>
      </w:r>
      <w:r>
        <w:rPr>
          <w:spacing w:val="-1"/>
        </w:rPr>
        <w:t xml:space="preserve"> </w:t>
      </w:r>
      <w:r>
        <w:t xml:space="preserve">a sus tierras, territorios y recursos. Los derechos de los pueblos indígenas a la tierra también se basan en el artículo 46 (que establece que no se interpretará que la Declaración implica, autoriza o alienta cualquier acción que pueda “desmembrar o menoscabar” la integridad territorial de los Estados y que los derechos establecidos en la </w:t>
      </w:r>
      <w:proofErr w:type="spellStart"/>
      <w:r>
        <w:t>La</w:t>
      </w:r>
      <w:proofErr w:type="spellEnd"/>
      <w:r>
        <w:t xml:space="preserve"> declaración estará sujeta únicamente a las limitaciones que determine la ley y de conformidad con las obligaciones internacionales de derechos humanos) y 22 (que exige que se preste especial atención</w:t>
      </w:r>
      <w:r>
        <w:rPr>
          <w:spacing w:val="-1"/>
        </w:rPr>
        <w:t xml:space="preserve"> </w:t>
      </w:r>
      <w:r>
        <w:t>a los derechos</w:t>
      </w:r>
      <w:r>
        <w:rPr>
          <w:spacing w:val="-1"/>
        </w:rPr>
        <w:t xml:space="preserve"> </w:t>
      </w:r>
      <w:r>
        <w:t>de los ancianos, las mujeres, los jóvenes, los niños y las personas</w:t>
      </w:r>
      <w:r>
        <w:rPr>
          <w:spacing w:val="-1"/>
        </w:rPr>
        <w:t xml:space="preserve"> </w:t>
      </w:r>
      <w:r>
        <w:t>con discapacidad indígenas). Estos derechos han sido reconocidos repetidamente en decisiones de casos individuales de los órganos creados en virtud de tratados,1093 así como dentro de los sistemas de derechos humanos africano e interamericano.1094 Además, son objeto de un amplio reconocimiento jurisprudencial por parte de los tribunales nacionales.1095</w:t>
      </w:r>
    </w:p>
    <w:p w14:paraId="0E8FF44B" w14:textId="77777777" w:rsidR="0014798C" w:rsidRDefault="004E1F0B">
      <w:pPr>
        <w:pStyle w:val="Textoindependiente"/>
        <w:spacing w:before="162" w:line="326" w:lineRule="auto"/>
        <w:ind w:left="1107" w:right="1253" w:hanging="1"/>
      </w:pPr>
      <w:r>
        <w:t>A nivel regional, la Corte Africana de Derechos Humanos y de los Pueblos, en su sentencia histórica de 2017 sobre los derechos</w:t>
      </w:r>
      <w:r>
        <w:rPr>
          <w:spacing w:val="80"/>
        </w:rPr>
        <w:t xml:space="preserve"> </w:t>
      </w:r>
      <w:r>
        <w:t>de los pueblos</w:t>
      </w:r>
      <w:r>
        <w:rPr>
          <w:spacing w:val="-1"/>
        </w:rPr>
        <w:t xml:space="preserve"> </w:t>
      </w:r>
      <w:proofErr w:type="spellStart"/>
      <w:r>
        <w:t>ogiek</w:t>
      </w:r>
      <w:proofErr w:type="spellEnd"/>
      <w:r>
        <w:t xml:space="preserve"> en Kenia, sostuvo que los </w:t>
      </w:r>
      <w:proofErr w:type="spellStart"/>
      <w:r>
        <w:t>ogiek</w:t>
      </w:r>
      <w:proofErr w:type="spellEnd"/>
      <w:r>
        <w:t xml:space="preserve"> eran un pueblo indígena</w:t>
      </w:r>
      <w:r>
        <w:rPr>
          <w:spacing w:val="-1"/>
        </w:rPr>
        <w:t xml:space="preserve"> </w:t>
      </w:r>
      <w:r>
        <w:t>y, según la Constitución</w:t>
      </w:r>
      <w:r>
        <w:rPr>
          <w:spacing w:val="-1"/>
        </w:rPr>
        <w:t xml:space="preserve"> </w:t>
      </w:r>
      <w:r>
        <w:t>de Kenia, como tal</w:t>
      </w:r>
      <w:r>
        <w:rPr>
          <w:spacing w:val="-1"/>
        </w:rPr>
        <w:t xml:space="preserve"> </w:t>
      </w:r>
      <w:r>
        <w:t xml:space="preserve">deberían recibir protección especial.1096 La Corte señaló que su “solicitud de reconocimiento como tribu se remonta al período colonial, donde su solicitud fue rechazada por la entonces Comisión de Tierras de Kenia en 1933”.1097 Según el derecho interno, en Kenia sólo los pueblos quienes tenían estatus tribal recibieron tierras como “reservas especiales” o “reservas comunales”. En consecuencia, el Tribunal sostuvo que, si a otros grupos que se encuentran en la misma categoría de comunidades que los </w:t>
      </w:r>
      <w:proofErr w:type="spellStart"/>
      <w:r>
        <w:t>Ogiek</w:t>
      </w:r>
      <w:proofErr w:type="spellEnd"/>
      <w:r>
        <w:t xml:space="preserve"> –que llevan un modo de vida tradicional, con un carácter distintivo cultural altamente dependiente del entorno natural– se les concediera el reconocimiento de</w:t>
      </w:r>
    </w:p>
    <w:p w14:paraId="439BA714" w14:textId="77777777" w:rsidR="0014798C" w:rsidRDefault="0014798C">
      <w:pPr>
        <w:pStyle w:val="Textoindependiente"/>
        <w:rPr>
          <w:sz w:val="20"/>
        </w:rPr>
      </w:pPr>
    </w:p>
    <w:p w14:paraId="45658F32" w14:textId="77777777" w:rsidR="0014798C" w:rsidRDefault="004E1F0B">
      <w:pPr>
        <w:pStyle w:val="Textoindependiente"/>
        <w:spacing w:before="72"/>
        <w:rPr>
          <w:sz w:val="20"/>
        </w:rPr>
      </w:pPr>
      <w:r>
        <w:rPr>
          <w:noProof/>
        </w:rPr>
        <w:drawing>
          <wp:anchor distT="0" distB="0" distL="0" distR="0" simplePos="0" relativeHeight="251658556" behindDoc="1" locked="0" layoutInCell="1" allowOverlap="1" wp14:anchorId="75D43CED" wp14:editId="6A32412A">
            <wp:simplePos x="0" y="0"/>
            <wp:positionH relativeFrom="page">
              <wp:posOffset>826632</wp:posOffset>
            </wp:positionH>
            <wp:positionV relativeFrom="paragraph">
              <wp:posOffset>207478</wp:posOffset>
            </wp:positionV>
            <wp:extent cx="931001" cy="35813"/>
            <wp:effectExtent l="0" t="0" r="0" b="0"/>
            <wp:wrapTopAndBottom/>
            <wp:docPr id="327" name="Image 32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27" name="Image 327"/>
                    <pic:cNvPicPr/>
                  </pic:nvPicPr>
                  <pic:blipFill>
                    <a:blip r:embed="rId307" cstate="print"/>
                    <a:stretch>
                      <a:fillRect/>
                    </a:stretch>
                  </pic:blipFill>
                  <pic:spPr>
                    <a:xfrm>
                      <a:off x="0" y="0"/>
                      <a:ext cx="931001" cy="35813"/>
                    </a:xfrm>
                    <a:prstGeom prst="rect">
                      <a:avLst/>
                    </a:prstGeom>
                  </pic:spPr>
                </pic:pic>
              </a:graphicData>
            </a:graphic>
          </wp:anchor>
        </w:drawing>
      </w:r>
    </w:p>
    <w:p w14:paraId="64333E57" w14:textId="77777777" w:rsidR="0014798C" w:rsidRDefault="0014798C">
      <w:pPr>
        <w:pStyle w:val="Textoindependiente"/>
        <w:spacing w:before="31"/>
        <w:rPr>
          <w:sz w:val="11"/>
        </w:rPr>
      </w:pPr>
    </w:p>
    <w:p w14:paraId="1CEB6CE5" w14:textId="77777777" w:rsidR="0014798C" w:rsidRDefault="004E1F0B">
      <w:pPr>
        <w:ind w:left="1111"/>
        <w:rPr>
          <w:sz w:val="11"/>
        </w:rPr>
      </w:pPr>
      <w:r>
        <w:rPr>
          <w:spacing w:val="-2"/>
          <w:w w:val="105"/>
          <w:sz w:val="11"/>
        </w:rPr>
        <w:t>1091</w:t>
      </w:r>
      <w:r>
        <w:rPr>
          <w:w w:val="105"/>
          <w:sz w:val="11"/>
        </w:rPr>
        <w:t xml:space="preserve"> </w:t>
      </w:r>
      <w:proofErr w:type="spellStart"/>
      <w:r>
        <w:rPr>
          <w:spacing w:val="-2"/>
          <w:w w:val="105"/>
          <w:sz w:val="11"/>
        </w:rPr>
        <w:t>Ibíd</w:t>
      </w:r>
      <w:proofErr w:type="spellEnd"/>
      <w:r>
        <w:rPr>
          <w:spacing w:val="-2"/>
          <w:w w:val="105"/>
          <w:sz w:val="11"/>
        </w:rPr>
        <w:t>.,</w:t>
      </w:r>
      <w:r>
        <w:rPr>
          <w:spacing w:val="1"/>
          <w:w w:val="105"/>
          <w:sz w:val="11"/>
        </w:rPr>
        <w:t xml:space="preserve"> </w:t>
      </w:r>
      <w:r>
        <w:rPr>
          <w:spacing w:val="-2"/>
          <w:w w:val="105"/>
          <w:sz w:val="11"/>
        </w:rPr>
        <w:t>párr.</w:t>
      </w:r>
      <w:r>
        <w:rPr>
          <w:spacing w:val="1"/>
          <w:w w:val="105"/>
          <w:sz w:val="11"/>
        </w:rPr>
        <w:t xml:space="preserve"> </w:t>
      </w:r>
      <w:r>
        <w:rPr>
          <w:spacing w:val="-5"/>
          <w:w w:val="105"/>
          <w:sz w:val="11"/>
        </w:rPr>
        <w:t>7.</w:t>
      </w:r>
    </w:p>
    <w:p w14:paraId="0EBD4624" w14:textId="77777777" w:rsidR="0014798C" w:rsidRDefault="004E1F0B">
      <w:pPr>
        <w:spacing w:before="110"/>
        <w:ind w:left="1111"/>
        <w:rPr>
          <w:sz w:val="11"/>
        </w:rPr>
      </w:pPr>
      <w:r>
        <w:rPr>
          <w:spacing w:val="-2"/>
          <w:w w:val="105"/>
          <w:sz w:val="11"/>
        </w:rPr>
        <w:t>1092</w:t>
      </w:r>
      <w:r>
        <w:rPr>
          <w:w w:val="105"/>
          <w:sz w:val="11"/>
        </w:rPr>
        <w:t xml:space="preserve"> </w:t>
      </w:r>
      <w:proofErr w:type="spellStart"/>
      <w:r>
        <w:rPr>
          <w:spacing w:val="-2"/>
          <w:w w:val="105"/>
          <w:sz w:val="11"/>
        </w:rPr>
        <w:t>Ibíd</w:t>
      </w:r>
      <w:proofErr w:type="spellEnd"/>
      <w:r>
        <w:rPr>
          <w:spacing w:val="-2"/>
          <w:w w:val="105"/>
          <w:sz w:val="11"/>
        </w:rPr>
        <w:t>.,</w:t>
      </w:r>
      <w:r>
        <w:rPr>
          <w:spacing w:val="1"/>
          <w:w w:val="105"/>
          <w:sz w:val="11"/>
        </w:rPr>
        <w:t xml:space="preserve"> </w:t>
      </w:r>
      <w:r>
        <w:rPr>
          <w:spacing w:val="-2"/>
          <w:w w:val="105"/>
          <w:sz w:val="11"/>
        </w:rPr>
        <w:t>párr.</w:t>
      </w:r>
      <w:r>
        <w:rPr>
          <w:spacing w:val="1"/>
          <w:w w:val="105"/>
          <w:sz w:val="11"/>
        </w:rPr>
        <w:t xml:space="preserve"> </w:t>
      </w:r>
      <w:r>
        <w:rPr>
          <w:spacing w:val="-5"/>
          <w:w w:val="105"/>
          <w:sz w:val="11"/>
        </w:rPr>
        <w:t>5.</w:t>
      </w:r>
    </w:p>
    <w:p w14:paraId="0E38885B" w14:textId="77777777" w:rsidR="0014798C" w:rsidRDefault="004E1F0B">
      <w:pPr>
        <w:spacing w:before="86"/>
        <w:ind w:left="1111"/>
        <w:rPr>
          <w:sz w:val="12"/>
        </w:rPr>
      </w:pPr>
      <w:r>
        <w:rPr>
          <w:w w:val="105"/>
          <w:sz w:val="12"/>
          <w:vertAlign w:val="superscript"/>
        </w:rPr>
        <w:t>1093</w:t>
      </w:r>
      <w:r>
        <w:rPr>
          <w:spacing w:val="29"/>
          <w:w w:val="105"/>
          <w:sz w:val="12"/>
        </w:rPr>
        <w:t xml:space="preserve"> </w:t>
      </w:r>
      <w:r>
        <w:rPr>
          <w:w w:val="105"/>
          <w:sz w:val="12"/>
        </w:rPr>
        <w:t>Véase,</w:t>
      </w:r>
      <w:r>
        <w:rPr>
          <w:spacing w:val="-2"/>
          <w:w w:val="105"/>
          <w:sz w:val="12"/>
        </w:rPr>
        <w:t xml:space="preserve"> </w:t>
      </w:r>
      <w:r>
        <w:rPr>
          <w:w w:val="105"/>
          <w:sz w:val="12"/>
        </w:rPr>
        <w:t>por</w:t>
      </w:r>
      <w:r>
        <w:rPr>
          <w:spacing w:val="-3"/>
          <w:w w:val="105"/>
          <w:sz w:val="12"/>
        </w:rPr>
        <w:t xml:space="preserve"> </w:t>
      </w:r>
      <w:r>
        <w:rPr>
          <w:w w:val="105"/>
          <w:sz w:val="12"/>
        </w:rPr>
        <w:t>ejemplo,</w:t>
      </w:r>
      <w:r>
        <w:rPr>
          <w:spacing w:val="-2"/>
          <w:w w:val="105"/>
          <w:sz w:val="12"/>
        </w:rPr>
        <w:t xml:space="preserve"> </w:t>
      </w:r>
      <w:r>
        <w:rPr>
          <w:w w:val="105"/>
          <w:sz w:val="12"/>
        </w:rPr>
        <w:t>Comité</w:t>
      </w:r>
      <w:r>
        <w:rPr>
          <w:spacing w:val="-3"/>
          <w:w w:val="105"/>
          <w:sz w:val="12"/>
        </w:rPr>
        <w:t xml:space="preserve"> </w:t>
      </w:r>
      <w:r>
        <w:rPr>
          <w:w w:val="105"/>
          <w:sz w:val="12"/>
        </w:rPr>
        <w:t>de</w:t>
      </w:r>
      <w:r>
        <w:rPr>
          <w:spacing w:val="-3"/>
          <w:w w:val="105"/>
          <w:sz w:val="12"/>
        </w:rPr>
        <w:t xml:space="preserve"> </w:t>
      </w:r>
      <w:r>
        <w:rPr>
          <w:w w:val="105"/>
          <w:sz w:val="12"/>
        </w:rPr>
        <w:t>Derechos</w:t>
      </w:r>
      <w:r>
        <w:rPr>
          <w:spacing w:val="-3"/>
          <w:w w:val="105"/>
          <w:sz w:val="12"/>
        </w:rPr>
        <w:t xml:space="preserve"> </w:t>
      </w:r>
      <w:r>
        <w:rPr>
          <w:w w:val="105"/>
          <w:sz w:val="12"/>
        </w:rPr>
        <w:t>Humanos,</w:t>
      </w:r>
      <w:r>
        <w:rPr>
          <w:spacing w:val="-2"/>
          <w:w w:val="105"/>
          <w:sz w:val="12"/>
        </w:rPr>
        <w:t xml:space="preserve"> </w:t>
      </w:r>
      <w:proofErr w:type="spellStart"/>
      <w:r>
        <w:rPr>
          <w:w w:val="105"/>
          <w:sz w:val="12"/>
        </w:rPr>
        <w:t>Anton</w:t>
      </w:r>
      <w:proofErr w:type="spellEnd"/>
      <w:r>
        <w:rPr>
          <w:spacing w:val="-3"/>
          <w:w w:val="105"/>
          <w:sz w:val="12"/>
        </w:rPr>
        <w:t xml:space="preserve"> </w:t>
      </w:r>
      <w:r>
        <w:rPr>
          <w:w w:val="105"/>
          <w:sz w:val="12"/>
        </w:rPr>
        <w:t>c.</w:t>
      </w:r>
      <w:r>
        <w:rPr>
          <w:spacing w:val="-3"/>
          <w:w w:val="105"/>
          <w:sz w:val="12"/>
        </w:rPr>
        <w:t xml:space="preserve"> </w:t>
      </w:r>
      <w:r>
        <w:rPr>
          <w:w w:val="105"/>
          <w:sz w:val="12"/>
        </w:rPr>
        <w:t>Argelia</w:t>
      </w:r>
      <w:r>
        <w:rPr>
          <w:spacing w:val="-3"/>
          <w:w w:val="105"/>
          <w:sz w:val="12"/>
        </w:rPr>
        <w:t xml:space="preserve"> </w:t>
      </w:r>
      <w:r>
        <w:rPr>
          <w:spacing w:val="-2"/>
          <w:w w:val="105"/>
          <w:sz w:val="12"/>
        </w:rPr>
        <w:t>(CCPR/C/88/D/1424/2005).</w:t>
      </w:r>
    </w:p>
    <w:p w14:paraId="29D3C428" w14:textId="77777777" w:rsidR="0014798C" w:rsidRDefault="004E1F0B">
      <w:pPr>
        <w:spacing w:before="99" w:line="312" w:lineRule="auto"/>
        <w:ind w:left="1368" w:right="1626" w:hanging="257"/>
        <w:rPr>
          <w:sz w:val="12"/>
        </w:rPr>
      </w:pPr>
      <w:r>
        <w:rPr>
          <w:w w:val="105"/>
          <w:sz w:val="12"/>
          <w:vertAlign w:val="superscript"/>
        </w:rPr>
        <w:t>1094</w:t>
      </w:r>
      <w:r>
        <w:rPr>
          <w:spacing w:val="37"/>
          <w:w w:val="105"/>
          <w:sz w:val="12"/>
        </w:rPr>
        <w:t xml:space="preserve"> </w:t>
      </w:r>
      <w:r>
        <w:rPr>
          <w:w w:val="105"/>
          <w:sz w:val="12"/>
        </w:rPr>
        <w:t>Véase, por ejemplo, Comisión Africana de Derechos Humanos y de los Pueblos, Centro para el Desarrollo de los Derechos de las Minorías (</w:t>
      </w:r>
      <w:proofErr w:type="spellStart"/>
      <w:r>
        <w:rPr>
          <w:w w:val="105"/>
          <w:sz w:val="12"/>
        </w:rPr>
        <w:t>Kenya</w:t>
      </w:r>
      <w:proofErr w:type="spellEnd"/>
      <w:r>
        <w:rPr>
          <w:w w:val="105"/>
          <w:sz w:val="12"/>
        </w:rPr>
        <w:t>) y</w:t>
      </w:r>
      <w:r>
        <w:rPr>
          <w:spacing w:val="40"/>
          <w:w w:val="105"/>
          <w:sz w:val="12"/>
        </w:rPr>
        <w:t xml:space="preserve"> </w:t>
      </w:r>
      <w:proofErr w:type="spellStart"/>
      <w:r>
        <w:rPr>
          <w:w w:val="105"/>
          <w:sz w:val="12"/>
        </w:rPr>
        <w:t>Minority</w:t>
      </w:r>
      <w:proofErr w:type="spellEnd"/>
      <w:r>
        <w:rPr>
          <w:w w:val="105"/>
          <w:sz w:val="12"/>
        </w:rPr>
        <w:t xml:space="preserve"> </w:t>
      </w:r>
      <w:proofErr w:type="spellStart"/>
      <w:r>
        <w:rPr>
          <w:w w:val="105"/>
          <w:sz w:val="12"/>
        </w:rPr>
        <w:t>Rights</w:t>
      </w:r>
      <w:proofErr w:type="spellEnd"/>
      <w:r>
        <w:rPr>
          <w:w w:val="105"/>
          <w:sz w:val="12"/>
        </w:rPr>
        <w:t xml:space="preserve"> Group International en nombre de </w:t>
      </w:r>
      <w:proofErr w:type="spellStart"/>
      <w:r>
        <w:rPr>
          <w:w w:val="105"/>
          <w:sz w:val="12"/>
        </w:rPr>
        <w:t>Endorois</w:t>
      </w:r>
      <w:proofErr w:type="spellEnd"/>
      <w:r>
        <w:rPr>
          <w:w w:val="105"/>
          <w:sz w:val="12"/>
        </w:rPr>
        <w:t xml:space="preserve"> </w:t>
      </w:r>
      <w:proofErr w:type="spellStart"/>
      <w:r>
        <w:rPr>
          <w:w w:val="105"/>
          <w:sz w:val="12"/>
        </w:rPr>
        <w:t>Welfare</w:t>
      </w:r>
      <w:proofErr w:type="spellEnd"/>
      <w:r>
        <w:rPr>
          <w:w w:val="105"/>
          <w:sz w:val="12"/>
        </w:rPr>
        <w:t xml:space="preserve"> Council c. </w:t>
      </w:r>
      <w:proofErr w:type="spellStart"/>
      <w:r>
        <w:rPr>
          <w:w w:val="105"/>
          <w:sz w:val="12"/>
        </w:rPr>
        <w:t>Kenya</w:t>
      </w:r>
      <w:proofErr w:type="spellEnd"/>
      <w:r>
        <w:rPr>
          <w:w w:val="105"/>
          <w:sz w:val="12"/>
        </w:rPr>
        <w:t>, comunicación No. 276/2003, Decisión,</w:t>
      </w:r>
    </w:p>
    <w:p w14:paraId="3C18F5BE" w14:textId="77777777" w:rsidR="0014798C" w:rsidRDefault="004E1F0B">
      <w:pPr>
        <w:spacing w:line="312" w:lineRule="auto"/>
        <w:ind w:left="1366" w:right="1463" w:firstLine="10"/>
        <w:rPr>
          <w:sz w:val="12"/>
        </w:rPr>
      </w:pPr>
      <w:r>
        <w:rPr>
          <w:w w:val="105"/>
          <w:sz w:val="12"/>
        </w:rPr>
        <w:t>11</w:t>
      </w:r>
      <w:r>
        <w:rPr>
          <w:spacing w:val="-7"/>
          <w:w w:val="105"/>
          <w:sz w:val="12"/>
        </w:rPr>
        <w:t xml:space="preserve"> </w:t>
      </w:r>
      <w:r>
        <w:rPr>
          <w:w w:val="105"/>
          <w:sz w:val="12"/>
        </w:rPr>
        <w:t>a</w:t>
      </w:r>
      <w:r>
        <w:rPr>
          <w:spacing w:val="-7"/>
          <w:w w:val="105"/>
          <w:sz w:val="12"/>
        </w:rPr>
        <w:t xml:space="preserve"> </w:t>
      </w:r>
      <w:r>
        <w:rPr>
          <w:w w:val="105"/>
          <w:sz w:val="12"/>
        </w:rPr>
        <w:t>25</w:t>
      </w:r>
      <w:r>
        <w:rPr>
          <w:spacing w:val="-7"/>
          <w:w w:val="105"/>
          <w:sz w:val="12"/>
        </w:rPr>
        <w:t xml:space="preserve"> </w:t>
      </w:r>
      <w:r>
        <w:rPr>
          <w:w w:val="105"/>
          <w:sz w:val="12"/>
        </w:rPr>
        <w:t>de</w:t>
      </w:r>
      <w:r>
        <w:rPr>
          <w:spacing w:val="-7"/>
          <w:w w:val="105"/>
          <w:sz w:val="12"/>
        </w:rPr>
        <w:t xml:space="preserve"> </w:t>
      </w:r>
      <w:r>
        <w:rPr>
          <w:w w:val="105"/>
          <w:sz w:val="12"/>
        </w:rPr>
        <w:t>noviembre</w:t>
      </w:r>
      <w:r>
        <w:rPr>
          <w:spacing w:val="-7"/>
          <w:w w:val="105"/>
          <w:sz w:val="12"/>
        </w:rPr>
        <w:t xml:space="preserve"> </w:t>
      </w:r>
      <w:r>
        <w:rPr>
          <w:w w:val="105"/>
          <w:sz w:val="12"/>
        </w:rPr>
        <w:t>de</w:t>
      </w:r>
      <w:r>
        <w:rPr>
          <w:spacing w:val="-7"/>
          <w:w w:val="105"/>
          <w:sz w:val="12"/>
        </w:rPr>
        <w:t xml:space="preserve"> </w:t>
      </w:r>
      <w:r>
        <w:rPr>
          <w:w w:val="105"/>
          <w:sz w:val="12"/>
        </w:rPr>
        <w:t>2009;</w:t>
      </w:r>
      <w:r>
        <w:rPr>
          <w:spacing w:val="-6"/>
          <w:w w:val="105"/>
          <w:sz w:val="12"/>
        </w:rPr>
        <w:t xml:space="preserve"> </w:t>
      </w:r>
      <w:r>
        <w:rPr>
          <w:w w:val="105"/>
          <w:sz w:val="12"/>
        </w:rPr>
        <w:t>Corte</w:t>
      </w:r>
      <w:r>
        <w:rPr>
          <w:spacing w:val="-7"/>
          <w:w w:val="105"/>
          <w:sz w:val="12"/>
        </w:rPr>
        <w:t xml:space="preserve"> </w:t>
      </w:r>
      <w:r>
        <w:rPr>
          <w:w w:val="105"/>
          <w:sz w:val="12"/>
        </w:rPr>
        <w:t>Interamericana</w:t>
      </w:r>
      <w:r>
        <w:rPr>
          <w:spacing w:val="-7"/>
          <w:w w:val="105"/>
          <w:sz w:val="12"/>
        </w:rPr>
        <w:t xml:space="preserve"> </w:t>
      </w:r>
      <w:r>
        <w:rPr>
          <w:w w:val="105"/>
          <w:sz w:val="12"/>
        </w:rPr>
        <w:t>de</w:t>
      </w:r>
      <w:r>
        <w:rPr>
          <w:spacing w:val="-7"/>
          <w:w w:val="105"/>
          <w:sz w:val="12"/>
        </w:rPr>
        <w:t xml:space="preserve"> </w:t>
      </w:r>
      <w:r>
        <w:rPr>
          <w:w w:val="105"/>
          <w:sz w:val="12"/>
        </w:rPr>
        <w:t>Derechos</w:t>
      </w:r>
      <w:r>
        <w:rPr>
          <w:spacing w:val="-7"/>
          <w:w w:val="105"/>
          <w:sz w:val="12"/>
        </w:rPr>
        <w:t xml:space="preserve"> </w:t>
      </w:r>
      <w:r>
        <w:rPr>
          <w:w w:val="105"/>
          <w:sz w:val="12"/>
        </w:rPr>
        <w:t>Humanos,</w:t>
      </w:r>
      <w:r>
        <w:rPr>
          <w:spacing w:val="-6"/>
          <w:w w:val="105"/>
          <w:sz w:val="12"/>
        </w:rPr>
        <w:t xml:space="preserve"> </w:t>
      </w:r>
      <w:r>
        <w:rPr>
          <w:w w:val="105"/>
          <w:sz w:val="12"/>
        </w:rPr>
        <w:t>Pueblos</w:t>
      </w:r>
      <w:r>
        <w:rPr>
          <w:spacing w:val="-7"/>
          <w:w w:val="105"/>
          <w:sz w:val="12"/>
        </w:rPr>
        <w:t xml:space="preserve"> </w:t>
      </w:r>
      <w:proofErr w:type="spellStart"/>
      <w:r>
        <w:rPr>
          <w:w w:val="105"/>
          <w:sz w:val="12"/>
        </w:rPr>
        <w:t>Kaliña</w:t>
      </w:r>
      <w:proofErr w:type="spellEnd"/>
      <w:r>
        <w:rPr>
          <w:spacing w:val="-7"/>
          <w:w w:val="105"/>
          <w:sz w:val="12"/>
        </w:rPr>
        <w:t xml:space="preserve"> </w:t>
      </w:r>
      <w:r>
        <w:rPr>
          <w:w w:val="105"/>
          <w:sz w:val="12"/>
        </w:rPr>
        <w:t>y</w:t>
      </w:r>
      <w:r>
        <w:rPr>
          <w:spacing w:val="-7"/>
          <w:w w:val="105"/>
          <w:sz w:val="12"/>
        </w:rPr>
        <w:t xml:space="preserve"> </w:t>
      </w:r>
      <w:proofErr w:type="spellStart"/>
      <w:r>
        <w:rPr>
          <w:w w:val="105"/>
          <w:sz w:val="12"/>
        </w:rPr>
        <w:t>Lokono</w:t>
      </w:r>
      <w:proofErr w:type="spellEnd"/>
      <w:r>
        <w:rPr>
          <w:spacing w:val="-7"/>
          <w:w w:val="105"/>
          <w:sz w:val="12"/>
        </w:rPr>
        <w:t xml:space="preserve"> </w:t>
      </w:r>
      <w:r>
        <w:rPr>
          <w:w w:val="105"/>
          <w:sz w:val="12"/>
        </w:rPr>
        <w:t>vs.</w:t>
      </w:r>
      <w:r>
        <w:rPr>
          <w:spacing w:val="-7"/>
          <w:w w:val="105"/>
          <w:sz w:val="12"/>
        </w:rPr>
        <w:t xml:space="preserve"> </w:t>
      </w:r>
      <w:r>
        <w:rPr>
          <w:w w:val="105"/>
          <w:sz w:val="12"/>
        </w:rPr>
        <w:t>Surinam,</w:t>
      </w:r>
      <w:r>
        <w:rPr>
          <w:spacing w:val="-6"/>
          <w:w w:val="105"/>
          <w:sz w:val="12"/>
        </w:rPr>
        <w:t xml:space="preserve"> </w:t>
      </w:r>
      <w:r>
        <w:rPr>
          <w:w w:val="105"/>
          <w:sz w:val="12"/>
        </w:rPr>
        <w:t>sentencia</w:t>
      </w:r>
      <w:r>
        <w:rPr>
          <w:spacing w:val="-7"/>
          <w:w w:val="105"/>
          <w:sz w:val="12"/>
        </w:rPr>
        <w:t xml:space="preserve"> </w:t>
      </w:r>
      <w:r>
        <w:rPr>
          <w:w w:val="105"/>
          <w:sz w:val="12"/>
        </w:rPr>
        <w:t>de</w:t>
      </w:r>
      <w:r>
        <w:rPr>
          <w:spacing w:val="-7"/>
          <w:w w:val="105"/>
          <w:sz w:val="12"/>
        </w:rPr>
        <w:t xml:space="preserve"> </w:t>
      </w:r>
      <w:r>
        <w:rPr>
          <w:w w:val="105"/>
          <w:sz w:val="12"/>
        </w:rPr>
        <w:t>25</w:t>
      </w:r>
      <w:r>
        <w:rPr>
          <w:spacing w:val="-7"/>
          <w:w w:val="105"/>
          <w:sz w:val="12"/>
        </w:rPr>
        <w:t xml:space="preserve"> </w:t>
      </w:r>
      <w:r>
        <w:rPr>
          <w:w w:val="105"/>
          <w:sz w:val="12"/>
        </w:rPr>
        <w:t>de</w:t>
      </w:r>
      <w:r>
        <w:rPr>
          <w:spacing w:val="-7"/>
          <w:w w:val="105"/>
          <w:sz w:val="12"/>
        </w:rPr>
        <w:t xml:space="preserve"> </w:t>
      </w:r>
      <w:r>
        <w:rPr>
          <w:w w:val="105"/>
          <w:sz w:val="12"/>
        </w:rPr>
        <w:t>noviembre</w:t>
      </w:r>
      <w:r>
        <w:rPr>
          <w:spacing w:val="-7"/>
          <w:w w:val="105"/>
          <w:sz w:val="12"/>
        </w:rPr>
        <w:t xml:space="preserve"> </w:t>
      </w:r>
      <w:r>
        <w:rPr>
          <w:w w:val="105"/>
          <w:sz w:val="12"/>
        </w:rPr>
        <w:t>de</w:t>
      </w:r>
      <w:r>
        <w:rPr>
          <w:spacing w:val="-7"/>
          <w:w w:val="105"/>
          <w:sz w:val="12"/>
        </w:rPr>
        <w:t xml:space="preserve"> </w:t>
      </w:r>
      <w:r>
        <w:rPr>
          <w:w w:val="105"/>
          <w:sz w:val="12"/>
        </w:rPr>
        <w:t>2015;</w:t>
      </w:r>
      <w:r>
        <w:rPr>
          <w:spacing w:val="40"/>
          <w:w w:val="105"/>
          <w:sz w:val="12"/>
        </w:rPr>
        <w:t xml:space="preserve"> </w:t>
      </w:r>
      <w:r>
        <w:rPr>
          <w:w w:val="105"/>
          <w:sz w:val="12"/>
        </w:rPr>
        <w:t>Corte</w:t>
      </w:r>
      <w:r>
        <w:rPr>
          <w:spacing w:val="-3"/>
          <w:w w:val="105"/>
          <w:sz w:val="12"/>
        </w:rPr>
        <w:t xml:space="preserve"> </w:t>
      </w:r>
      <w:r>
        <w:rPr>
          <w:w w:val="105"/>
          <w:sz w:val="12"/>
        </w:rPr>
        <w:t>Interamericana</w:t>
      </w:r>
      <w:r>
        <w:rPr>
          <w:spacing w:val="-3"/>
          <w:w w:val="105"/>
          <w:sz w:val="12"/>
        </w:rPr>
        <w:t xml:space="preserve"> </w:t>
      </w:r>
      <w:r>
        <w:rPr>
          <w:w w:val="105"/>
          <w:sz w:val="12"/>
        </w:rPr>
        <w:t>de</w:t>
      </w:r>
      <w:r>
        <w:rPr>
          <w:spacing w:val="-3"/>
          <w:w w:val="105"/>
          <w:sz w:val="12"/>
        </w:rPr>
        <w:t xml:space="preserve"> </w:t>
      </w:r>
      <w:r>
        <w:rPr>
          <w:w w:val="105"/>
          <w:sz w:val="12"/>
        </w:rPr>
        <w:t>Derechos</w:t>
      </w:r>
      <w:r>
        <w:rPr>
          <w:spacing w:val="-3"/>
          <w:w w:val="105"/>
          <w:sz w:val="12"/>
        </w:rPr>
        <w:t xml:space="preserve"> </w:t>
      </w:r>
      <w:r>
        <w:rPr>
          <w:w w:val="105"/>
          <w:sz w:val="12"/>
        </w:rPr>
        <w:t>Humanos,</w:t>
      </w:r>
      <w:r>
        <w:rPr>
          <w:spacing w:val="-2"/>
          <w:w w:val="105"/>
          <w:sz w:val="12"/>
        </w:rPr>
        <w:t xml:space="preserve"> </w:t>
      </w:r>
      <w:r>
        <w:rPr>
          <w:w w:val="105"/>
          <w:sz w:val="12"/>
        </w:rPr>
        <w:t>Comunidad</w:t>
      </w:r>
      <w:r>
        <w:rPr>
          <w:spacing w:val="-3"/>
          <w:w w:val="105"/>
          <w:sz w:val="12"/>
        </w:rPr>
        <w:t xml:space="preserve"> </w:t>
      </w:r>
      <w:r>
        <w:rPr>
          <w:w w:val="105"/>
          <w:sz w:val="12"/>
        </w:rPr>
        <w:t>Indígena</w:t>
      </w:r>
      <w:r>
        <w:rPr>
          <w:spacing w:val="-3"/>
          <w:w w:val="105"/>
          <w:sz w:val="12"/>
        </w:rPr>
        <w:t xml:space="preserve"> </w:t>
      </w:r>
      <w:proofErr w:type="spellStart"/>
      <w:r>
        <w:rPr>
          <w:w w:val="105"/>
          <w:sz w:val="12"/>
        </w:rPr>
        <w:t>Yakye</w:t>
      </w:r>
      <w:proofErr w:type="spellEnd"/>
      <w:r>
        <w:rPr>
          <w:spacing w:val="-3"/>
          <w:w w:val="105"/>
          <w:sz w:val="12"/>
        </w:rPr>
        <w:t xml:space="preserve"> </w:t>
      </w:r>
      <w:r>
        <w:rPr>
          <w:w w:val="105"/>
          <w:sz w:val="12"/>
        </w:rPr>
        <w:t>Axa</w:t>
      </w:r>
      <w:r>
        <w:rPr>
          <w:spacing w:val="-3"/>
          <w:w w:val="105"/>
          <w:sz w:val="12"/>
        </w:rPr>
        <w:t xml:space="preserve"> </w:t>
      </w:r>
      <w:r>
        <w:rPr>
          <w:w w:val="105"/>
          <w:sz w:val="12"/>
        </w:rPr>
        <w:t>vs.</w:t>
      </w:r>
      <w:r>
        <w:rPr>
          <w:spacing w:val="-3"/>
          <w:w w:val="105"/>
          <w:sz w:val="12"/>
        </w:rPr>
        <w:t xml:space="preserve"> </w:t>
      </w:r>
      <w:r>
        <w:rPr>
          <w:w w:val="105"/>
          <w:sz w:val="12"/>
        </w:rPr>
        <w:t>Paraguay,</w:t>
      </w:r>
      <w:r>
        <w:rPr>
          <w:spacing w:val="-2"/>
          <w:w w:val="105"/>
          <w:sz w:val="12"/>
        </w:rPr>
        <w:t xml:space="preserve"> </w:t>
      </w:r>
      <w:r>
        <w:rPr>
          <w:w w:val="105"/>
          <w:sz w:val="12"/>
        </w:rPr>
        <w:t>sentencia</w:t>
      </w:r>
      <w:r>
        <w:rPr>
          <w:spacing w:val="-3"/>
          <w:w w:val="105"/>
          <w:sz w:val="12"/>
        </w:rPr>
        <w:t xml:space="preserve"> </w:t>
      </w:r>
      <w:r>
        <w:rPr>
          <w:w w:val="105"/>
          <w:sz w:val="12"/>
        </w:rPr>
        <w:t>de</w:t>
      </w:r>
      <w:r>
        <w:rPr>
          <w:spacing w:val="-3"/>
          <w:w w:val="105"/>
          <w:sz w:val="12"/>
        </w:rPr>
        <w:t xml:space="preserve"> </w:t>
      </w:r>
      <w:r>
        <w:rPr>
          <w:w w:val="105"/>
          <w:sz w:val="12"/>
        </w:rPr>
        <w:t>17</w:t>
      </w:r>
      <w:r>
        <w:rPr>
          <w:spacing w:val="-3"/>
          <w:w w:val="105"/>
          <w:sz w:val="12"/>
        </w:rPr>
        <w:t xml:space="preserve"> </w:t>
      </w:r>
      <w:r>
        <w:rPr>
          <w:w w:val="105"/>
          <w:sz w:val="12"/>
        </w:rPr>
        <w:t>de</w:t>
      </w:r>
      <w:r>
        <w:rPr>
          <w:spacing w:val="-3"/>
          <w:w w:val="105"/>
          <w:sz w:val="12"/>
        </w:rPr>
        <w:t xml:space="preserve"> </w:t>
      </w:r>
      <w:r>
        <w:rPr>
          <w:w w:val="105"/>
          <w:sz w:val="12"/>
        </w:rPr>
        <w:t>junio</w:t>
      </w:r>
      <w:r>
        <w:rPr>
          <w:spacing w:val="-3"/>
          <w:w w:val="105"/>
          <w:sz w:val="12"/>
        </w:rPr>
        <w:t xml:space="preserve"> </w:t>
      </w:r>
      <w:r>
        <w:rPr>
          <w:w w:val="105"/>
          <w:sz w:val="12"/>
        </w:rPr>
        <w:t>de</w:t>
      </w:r>
      <w:r>
        <w:rPr>
          <w:spacing w:val="-3"/>
          <w:w w:val="105"/>
          <w:sz w:val="12"/>
        </w:rPr>
        <w:t xml:space="preserve"> </w:t>
      </w:r>
      <w:r>
        <w:rPr>
          <w:w w:val="105"/>
          <w:sz w:val="12"/>
        </w:rPr>
        <w:t>2005;</w:t>
      </w:r>
      <w:r>
        <w:rPr>
          <w:spacing w:val="-2"/>
          <w:w w:val="105"/>
          <w:sz w:val="12"/>
        </w:rPr>
        <w:t xml:space="preserve"> </w:t>
      </w:r>
      <w:r>
        <w:rPr>
          <w:w w:val="105"/>
          <w:sz w:val="12"/>
        </w:rPr>
        <w:t>Corte</w:t>
      </w:r>
      <w:r>
        <w:rPr>
          <w:spacing w:val="-3"/>
          <w:w w:val="105"/>
          <w:sz w:val="12"/>
        </w:rPr>
        <w:t xml:space="preserve"> </w:t>
      </w:r>
      <w:r>
        <w:rPr>
          <w:w w:val="105"/>
          <w:sz w:val="12"/>
        </w:rPr>
        <w:t>Interamericana</w:t>
      </w:r>
      <w:r>
        <w:rPr>
          <w:spacing w:val="-3"/>
          <w:w w:val="105"/>
          <w:sz w:val="12"/>
        </w:rPr>
        <w:t xml:space="preserve"> </w:t>
      </w:r>
      <w:r>
        <w:rPr>
          <w:w w:val="105"/>
          <w:sz w:val="12"/>
        </w:rPr>
        <w:t>de</w:t>
      </w:r>
      <w:r>
        <w:rPr>
          <w:spacing w:val="40"/>
          <w:w w:val="105"/>
          <w:sz w:val="12"/>
        </w:rPr>
        <w:t xml:space="preserve"> </w:t>
      </w:r>
      <w:r>
        <w:rPr>
          <w:w w:val="105"/>
          <w:sz w:val="12"/>
        </w:rPr>
        <w:t>Derechos</w:t>
      </w:r>
      <w:r>
        <w:rPr>
          <w:spacing w:val="-2"/>
          <w:w w:val="105"/>
          <w:sz w:val="12"/>
        </w:rPr>
        <w:t xml:space="preserve"> </w:t>
      </w:r>
      <w:r>
        <w:rPr>
          <w:w w:val="105"/>
          <w:sz w:val="12"/>
        </w:rPr>
        <w:t>Humanos,</w:t>
      </w:r>
      <w:r>
        <w:rPr>
          <w:spacing w:val="-1"/>
          <w:w w:val="105"/>
          <w:sz w:val="12"/>
        </w:rPr>
        <w:t xml:space="preserve"> </w:t>
      </w:r>
      <w:r>
        <w:rPr>
          <w:w w:val="105"/>
          <w:sz w:val="12"/>
        </w:rPr>
        <w:t>Comunidad</w:t>
      </w:r>
      <w:r>
        <w:rPr>
          <w:spacing w:val="-2"/>
          <w:w w:val="105"/>
          <w:sz w:val="12"/>
        </w:rPr>
        <w:t xml:space="preserve"> </w:t>
      </w:r>
      <w:r>
        <w:rPr>
          <w:w w:val="105"/>
          <w:sz w:val="12"/>
        </w:rPr>
        <w:t>Indígena</w:t>
      </w:r>
      <w:r>
        <w:rPr>
          <w:spacing w:val="-2"/>
          <w:w w:val="105"/>
          <w:sz w:val="12"/>
        </w:rPr>
        <w:t xml:space="preserve"> </w:t>
      </w:r>
      <w:proofErr w:type="spellStart"/>
      <w:r>
        <w:rPr>
          <w:w w:val="105"/>
          <w:sz w:val="12"/>
        </w:rPr>
        <w:t>Sawhoyamaxa</w:t>
      </w:r>
      <w:proofErr w:type="spellEnd"/>
      <w:r>
        <w:rPr>
          <w:spacing w:val="-2"/>
          <w:w w:val="105"/>
          <w:sz w:val="12"/>
        </w:rPr>
        <w:t xml:space="preserve"> </w:t>
      </w:r>
      <w:r>
        <w:rPr>
          <w:w w:val="105"/>
          <w:sz w:val="12"/>
        </w:rPr>
        <w:t>vs.</w:t>
      </w:r>
      <w:r>
        <w:rPr>
          <w:spacing w:val="-2"/>
          <w:w w:val="105"/>
          <w:sz w:val="12"/>
        </w:rPr>
        <w:t xml:space="preserve"> </w:t>
      </w:r>
      <w:r>
        <w:rPr>
          <w:w w:val="105"/>
          <w:sz w:val="12"/>
        </w:rPr>
        <w:t>Paraguay,</w:t>
      </w:r>
      <w:r>
        <w:rPr>
          <w:spacing w:val="-1"/>
          <w:w w:val="105"/>
          <w:sz w:val="12"/>
        </w:rPr>
        <w:t xml:space="preserve"> </w:t>
      </w:r>
      <w:r>
        <w:rPr>
          <w:w w:val="105"/>
          <w:sz w:val="12"/>
        </w:rPr>
        <w:t>sentencia</w:t>
      </w:r>
      <w:r>
        <w:rPr>
          <w:spacing w:val="-2"/>
          <w:w w:val="105"/>
          <w:sz w:val="12"/>
        </w:rPr>
        <w:t xml:space="preserve"> </w:t>
      </w:r>
      <w:r>
        <w:rPr>
          <w:w w:val="105"/>
          <w:sz w:val="12"/>
        </w:rPr>
        <w:t>de</w:t>
      </w:r>
      <w:r>
        <w:rPr>
          <w:spacing w:val="-2"/>
          <w:w w:val="105"/>
          <w:sz w:val="12"/>
        </w:rPr>
        <w:t xml:space="preserve"> </w:t>
      </w:r>
      <w:r>
        <w:rPr>
          <w:w w:val="105"/>
          <w:sz w:val="12"/>
        </w:rPr>
        <w:t>29</w:t>
      </w:r>
      <w:r>
        <w:rPr>
          <w:spacing w:val="-2"/>
          <w:w w:val="105"/>
          <w:sz w:val="12"/>
        </w:rPr>
        <w:t xml:space="preserve"> </w:t>
      </w:r>
      <w:r>
        <w:rPr>
          <w:w w:val="105"/>
          <w:sz w:val="12"/>
        </w:rPr>
        <w:t>de</w:t>
      </w:r>
      <w:r>
        <w:rPr>
          <w:spacing w:val="-2"/>
          <w:w w:val="105"/>
          <w:sz w:val="12"/>
        </w:rPr>
        <w:t xml:space="preserve"> </w:t>
      </w:r>
      <w:r>
        <w:rPr>
          <w:w w:val="105"/>
          <w:sz w:val="12"/>
        </w:rPr>
        <w:t>marzo</w:t>
      </w:r>
      <w:r>
        <w:rPr>
          <w:spacing w:val="-2"/>
          <w:w w:val="105"/>
          <w:sz w:val="12"/>
        </w:rPr>
        <w:t xml:space="preserve"> </w:t>
      </w:r>
      <w:r>
        <w:rPr>
          <w:w w:val="105"/>
          <w:sz w:val="12"/>
        </w:rPr>
        <w:t>de</w:t>
      </w:r>
      <w:r>
        <w:rPr>
          <w:spacing w:val="-2"/>
          <w:w w:val="105"/>
          <w:sz w:val="12"/>
        </w:rPr>
        <w:t xml:space="preserve"> </w:t>
      </w:r>
      <w:r>
        <w:rPr>
          <w:w w:val="105"/>
          <w:sz w:val="12"/>
        </w:rPr>
        <w:t>2006;</w:t>
      </w:r>
      <w:r>
        <w:rPr>
          <w:spacing w:val="-1"/>
          <w:w w:val="105"/>
          <w:sz w:val="12"/>
        </w:rPr>
        <w:t xml:space="preserve"> </w:t>
      </w:r>
      <w:r>
        <w:rPr>
          <w:w w:val="105"/>
          <w:sz w:val="12"/>
        </w:rPr>
        <w:t>y</w:t>
      </w:r>
      <w:r>
        <w:rPr>
          <w:spacing w:val="-2"/>
          <w:w w:val="105"/>
          <w:sz w:val="12"/>
        </w:rPr>
        <w:t xml:space="preserve"> </w:t>
      </w:r>
      <w:r>
        <w:rPr>
          <w:w w:val="105"/>
          <w:sz w:val="12"/>
        </w:rPr>
        <w:t>Comisión</w:t>
      </w:r>
      <w:r>
        <w:rPr>
          <w:spacing w:val="-2"/>
          <w:w w:val="105"/>
          <w:sz w:val="12"/>
        </w:rPr>
        <w:t xml:space="preserve"> </w:t>
      </w:r>
      <w:r>
        <w:rPr>
          <w:w w:val="105"/>
          <w:sz w:val="12"/>
        </w:rPr>
        <w:t>Interamericana</w:t>
      </w:r>
      <w:r>
        <w:rPr>
          <w:spacing w:val="-2"/>
          <w:w w:val="105"/>
          <w:sz w:val="12"/>
        </w:rPr>
        <w:t xml:space="preserve"> </w:t>
      </w:r>
      <w:r>
        <w:rPr>
          <w:w w:val="105"/>
          <w:sz w:val="12"/>
        </w:rPr>
        <w:t>de</w:t>
      </w:r>
      <w:r>
        <w:rPr>
          <w:spacing w:val="-2"/>
          <w:w w:val="105"/>
          <w:sz w:val="12"/>
        </w:rPr>
        <w:t xml:space="preserve"> </w:t>
      </w:r>
      <w:r>
        <w:rPr>
          <w:w w:val="105"/>
          <w:sz w:val="12"/>
        </w:rPr>
        <w:t>Derechos</w:t>
      </w:r>
      <w:r>
        <w:rPr>
          <w:spacing w:val="40"/>
          <w:w w:val="105"/>
          <w:sz w:val="12"/>
        </w:rPr>
        <w:t xml:space="preserve"> </w:t>
      </w:r>
      <w:r>
        <w:rPr>
          <w:w w:val="105"/>
          <w:sz w:val="12"/>
        </w:rPr>
        <w:t>Humanos, Derechos de los Pueblos Indígenas y Tribales sobre sus Tierras Ancestrales y Recursos Naturales: Normas y Jurisprudencia del Sistema</w:t>
      </w:r>
      <w:r>
        <w:rPr>
          <w:spacing w:val="40"/>
          <w:w w:val="105"/>
          <w:sz w:val="12"/>
        </w:rPr>
        <w:t xml:space="preserve"> </w:t>
      </w:r>
      <w:r>
        <w:rPr>
          <w:w w:val="105"/>
          <w:sz w:val="12"/>
        </w:rPr>
        <w:t>Interamericano de Derechos Humanos (OEA/</w:t>
      </w:r>
      <w:proofErr w:type="spellStart"/>
      <w:r>
        <w:rPr>
          <w:w w:val="105"/>
          <w:sz w:val="12"/>
        </w:rPr>
        <w:t>Ser.L</w:t>
      </w:r>
      <w:proofErr w:type="spellEnd"/>
      <w:r>
        <w:rPr>
          <w:w w:val="105"/>
          <w:sz w:val="12"/>
        </w:rPr>
        <w:t>/V/II, Doc. 56/</w:t>
      </w:r>
      <w:proofErr w:type="gramStart"/>
      <w:r>
        <w:rPr>
          <w:w w:val="105"/>
          <w:sz w:val="12"/>
        </w:rPr>
        <w:t>09 )</w:t>
      </w:r>
      <w:proofErr w:type="gramEnd"/>
      <w:r>
        <w:rPr>
          <w:w w:val="105"/>
          <w:sz w:val="12"/>
        </w:rPr>
        <w:t xml:space="preserve"> (2009).</w:t>
      </w:r>
    </w:p>
    <w:p w14:paraId="2498513E" w14:textId="77777777" w:rsidR="0014798C" w:rsidRDefault="004E1F0B">
      <w:pPr>
        <w:spacing w:before="59"/>
        <w:ind w:left="1111"/>
        <w:rPr>
          <w:sz w:val="12"/>
        </w:rPr>
      </w:pPr>
      <w:r>
        <w:rPr>
          <w:w w:val="105"/>
          <w:sz w:val="12"/>
          <w:vertAlign w:val="superscript"/>
        </w:rPr>
        <w:t>1095</w:t>
      </w:r>
      <w:r>
        <w:rPr>
          <w:spacing w:val="29"/>
          <w:w w:val="105"/>
          <w:sz w:val="12"/>
        </w:rPr>
        <w:t xml:space="preserve"> </w:t>
      </w:r>
      <w:r>
        <w:rPr>
          <w:w w:val="105"/>
          <w:sz w:val="12"/>
        </w:rPr>
        <w:t>Véase,</w:t>
      </w:r>
      <w:r>
        <w:rPr>
          <w:spacing w:val="-2"/>
          <w:w w:val="105"/>
          <w:sz w:val="12"/>
        </w:rPr>
        <w:t xml:space="preserve"> </w:t>
      </w:r>
      <w:r>
        <w:rPr>
          <w:w w:val="105"/>
          <w:sz w:val="12"/>
        </w:rPr>
        <w:t>por</w:t>
      </w:r>
      <w:r>
        <w:rPr>
          <w:spacing w:val="-3"/>
          <w:w w:val="105"/>
          <w:sz w:val="12"/>
        </w:rPr>
        <w:t xml:space="preserve"> </w:t>
      </w:r>
      <w:r>
        <w:rPr>
          <w:w w:val="105"/>
          <w:sz w:val="12"/>
        </w:rPr>
        <w:t>ejemplo,</w:t>
      </w:r>
      <w:r>
        <w:rPr>
          <w:spacing w:val="-2"/>
          <w:w w:val="105"/>
          <w:sz w:val="12"/>
        </w:rPr>
        <w:t xml:space="preserve"> </w:t>
      </w:r>
      <w:r>
        <w:rPr>
          <w:w w:val="105"/>
          <w:sz w:val="12"/>
        </w:rPr>
        <w:t>Tribunal</w:t>
      </w:r>
      <w:r>
        <w:rPr>
          <w:spacing w:val="-3"/>
          <w:w w:val="105"/>
          <w:sz w:val="12"/>
        </w:rPr>
        <w:t xml:space="preserve"> </w:t>
      </w:r>
      <w:r>
        <w:rPr>
          <w:w w:val="105"/>
          <w:sz w:val="12"/>
        </w:rPr>
        <w:t>Superior</w:t>
      </w:r>
      <w:r>
        <w:rPr>
          <w:spacing w:val="-3"/>
          <w:w w:val="105"/>
          <w:sz w:val="12"/>
        </w:rPr>
        <w:t xml:space="preserve"> </w:t>
      </w:r>
      <w:r>
        <w:rPr>
          <w:w w:val="105"/>
          <w:sz w:val="12"/>
        </w:rPr>
        <w:t>de</w:t>
      </w:r>
      <w:r>
        <w:rPr>
          <w:spacing w:val="-3"/>
          <w:w w:val="105"/>
          <w:sz w:val="12"/>
        </w:rPr>
        <w:t xml:space="preserve"> </w:t>
      </w:r>
      <w:r>
        <w:rPr>
          <w:w w:val="105"/>
          <w:sz w:val="12"/>
        </w:rPr>
        <w:t>Australia,</w:t>
      </w:r>
      <w:r>
        <w:rPr>
          <w:spacing w:val="-3"/>
          <w:w w:val="105"/>
          <w:sz w:val="12"/>
        </w:rPr>
        <w:t xml:space="preserve"> </w:t>
      </w:r>
      <w:r>
        <w:rPr>
          <w:w w:val="105"/>
          <w:sz w:val="12"/>
        </w:rPr>
        <w:t>Territorio</w:t>
      </w:r>
      <w:r>
        <w:rPr>
          <w:spacing w:val="-3"/>
          <w:w w:val="105"/>
          <w:sz w:val="12"/>
        </w:rPr>
        <w:t xml:space="preserve"> </w:t>
      </w:r>
      <w:r>
        <w:rPr>
          <w:w w:val="105"/>
          <w:sz w:val="12"/>
        </w:rPr>
        <w:t>del</w:t>
      </w:r>
      <w:r>
        <w:rPr>
          <w:spacing w:val="-3"/>
          <w:w w:val="105"/>
          <w:sz w:val="12"/>
        </w:rPr>
        <w:t xml:space="preserve"> </w:t>
      </w:r>
      <w:r>
        <w:rPr>
          <w:w w:val="105"/>
          <w:sz w:val="12"/>
        </w:rPr>
        <w:t>Norte</w:t>
      </w:r>
      <w:r>
        <w:rPr>
          <w:spacing w:val="-3"/>
          <w:w w:val="105"/>
          <w:sz w:val="12"/>
        </w:rPr>
        <w:t xml:space="preserve"> </w:t>
      </w:r>
      <w:r>
        <w:rPr>
          <w:w w:val="105"/>
          <w:sz w:val="12"/>
        </w:rPr>
        <w:t>contra</w:t>
      </w:r>
      <w:r>
        <w:rPr>
          <w:spacing w:val="-3"/>
          <w:w w:val="105"/>
          <w:sz w:val="12"/>
        </w:rPr>
        <w:t xml:space="preserve"> </w:t>
      </w:r>
      <w:r>
        <w:rPr>
          <w:w w:val="105"/>
          <w:sz w:val="12"/>
        </w:rPr>
        <w:t>el</w:t>
      </w:r>
      <w:r>
        <w:rPr>
          <w:spacing w:val="-3"/>
          <w:w w:val="105"/>
          <w:sz w:val="12"/>
        </w:rPr>
        <w:t xml:space="preserve"> </w:t>
      </w:r>
      <w:r>
        <w:rPr>
          <w:w w:val="105"/>
          <w:sz w:val="12"/>
        </w:rPr>
        <w:t>Sr.</w:t>
      </w:r>
      <w:r>
        <w:rPr>
          <w:spacing w:val="-3"/>
          <w:w w:val="105"/>
          <w:sz w:val="12"/>
        </w:rPr>
        <w:t xml:space="preserve"> </w:t>
      </w:r>
      <w:r>
        <w:rPr>
          <w:w w:val="105"/>
          <w:sz w:val="12"/>
        </w:rPr>
        <w:t>A.</w:t>
      </w:r>
      <w:r>
        <w:rPr>
          <w:spacing w:val="-3"/>
          <w:w w:val="105"/>
          <w:sz w:val="12"/>
        </w:rPr>
        <w:t xml:space="preserve"> </w:t>
      </w:r>
      <w:r>
        <w:rPr>
          <w:w w:val="105"/>
          <w:sz w:val="12"/>
        </w:rPr>
        <w:t>Griffiths</w:t>
      </w:r>
      <w:r>
        <w:rPr>
          <w:spacing w:val="-3"/>
          <w:w w:val="105"/>
          <w:sz w:val="12"/>
        </w:rPr>
        <w:t xml:space="preserve"> </w:t>
      </w:r>
      <w:r>
        <w:rPr>
          <w:w w:val="105"/>
          <w:sz w:val="12"/>
        </w:rPr>
        <w:t>(fallecido)</w:t>
      </w:r>
      <w:r>
        <w:rPr>
          <w:spacing w:val="-3"/>
          <w:w w:val="105"/>
          <w:sz w:val="12"/>
        </w:rPr>
        <w:t xml:space="preserve"> </w:t>
      </w:r>
      <w:r>
        <w:rPr>
          <w:w w:val="105"/>
          <w:sz w:val="12"/>
        </w:rPr>
        <w:t>y</w:t>
      </w:r>
      <w:r>
        <w:rPr>
          <w:spacing w:val="-3"/>
          <w:w w:val="105"/>
          <w:sz w:val="12"/>
        </w:rPr>
        <w:t xml:space="preserve"> </w:t>
      </w:r>
      <w:r>
        <w:rPr>
          <w:w w:val="105"/>
          <w:sz w:val="12"/>
        </w:rPr>
        <w:t>Lorraine</w:t>
      </w:r>
      <w:r>
        <w:rPr>
          <w:spacing w:val="-3"/>
          <w:w w:val="105"/>
          <w:sz w:val="12"/>
        </w:rPr>
        <w:t xml:space="preserve"> </w:t>
      </w:r>
      <w:r>
        <w:rPr>
          <w:w w:val="105"/>
          <w:sz w:val="12"/>
        </w:rPr>
        <w:t>Jones</w:t>
      </w:r>
      <w:r>
        <w:rPr>
          <w:spacing w:val="-3"/>
          <w:w w:val="105"/>
          <w:sz w:val="12"/>
        </w:rPr>
        <w:t xml:space="preserve"> </w:t>
      </w:r>
      <w:r>
        <w:rPr>
          <w:w w:val="105"/>
          <w:sz w:val="12"/>
        </w:rPr>
        <w:t>en</w:t>
      </w:r>
      <w:r>
        <w:rPr>
          <w:spacing w:val="-3"/>
          <w:w w:val="105"/>
          <w:sz w:val="12"/>
        </w:rPr>
        <w:t xml:space="preserve"> </w:t>
      </w:r>
      <w:r>
        <w:rPr>
          <w:w w:val="105"/>
          <w:sz w:val="12"/>
        </w:rPr>
        <w:t>nombre</w:t>
      </w:r>
      <w:r>
        <w:rPr>
          <w:spacing w:val="-3"/>
          <w:w w:val="105"/>
          <w:sz w:val="12"/>
        </w:rPr>
        <w:t xml:space="preserve"> </w:t>
      </w:r>
      <w:r>
        <w:rPr>
          <w:w w:val="105"/>
          <w:sz w:val="12"/>
        </w:rPr>
        <w:t>de</w:t>
      </w:r>
      <w:r>
        <w:rPr>
          <w:spacing w:val="-3"/>
          <w:w w:val="105"/>
          <w:sz w:val="12"/>
        </w:rPr>
        <w:t xml:space="preserve"> </w:t>
      </w:r>
      <w:r>
        <w:rPr>
          <w:spacing w:val="-5"/>
          <w:w w:val="105"/>
          <w:sz w:val="12"/>
        </w:rPr>
        <w:t>los</w:t>
      </w:r>
    </w:p>
    <w:p w14:paraId="02717B7D" w14:textId="77777777" w:rsidR="0014798C" w:rsidRDefault="004E1F0B">
      <w:pPr>
        <w:spacing w:before="42" w:line="312" w:lineRule="auto"/>
        <w:ind w:left="1370" w:right="1443" w:hanging="5"/>
        <w:rPr>
          <w:sz w:val="12"/>
        </w:rPr>
      </w:pPr>
      <w:r>
        <w:rPr>
          <w:w w:val="105"/>
          <w:sz w:val="12"/>
        </w:rPr>
        <w:t>pueblos</w:t>
      </w:r>
      <w:r>
        <w:rPr>
          <w:spacing w:val="-3"/>
          <w:w w:val="105"/>
          <w:sz w:val="12"/>
        </w:rPr>
        <w:t xml:space="preserve"> </w:t>
      </w:r>
      <w:proofErr w:type="spellStart"/>
      <w:r>
        <w:rPr>
          <w:w w:val="105"/>
          <w:sz w:val="12"/>
        </w:rPr>
        <w:t>Ngaliwurru</w:t>
      </w:r>
      <w:proofErr w:type="spellEnd"/>
      <w:r>
        <w:rPr>
          <w:spacing w:val="-3"/>
          <w:w w:val="105"/>
          <w:sz w:val="12"/>
        </w:rPr>
        <w:t xml:space="preserve"> </w:t>
      </w:r>
      <w:r>
        <w:rPr>
          <w:w w:val="105"/>
          <w:sz w:val="12"/>
        </w:rPr>
        <w:t>y</w:t>
      </w:r>
      <w:r>
        <w:rPr>
          <w:spacing w:val="-3"/>
          <w:w w:val="105"/>
          <w:sz w:val="12"/>
        </w:rPr>
        <w:t xml:space="preserve"> </w:t>
      </w:r>
      <w:proofErr w:type="spellStart"/>
      <w:r>
        <w:rPr>
          <w:w w:val="105"/>
          <w:sz w:val="12"/>
        </w:rPr>
        <w:t>Nungali</w:t>
      </w:r>
      <w:proofErr w:type="spellEnd"/>
      <w:r>
        <w:rPr>
          <w:w w:val="105"/>
          <w:sz w:val="12"/>
        </w:rPr>
        <w:t>,</w:t>
      </w:r>
      <w:r>
        <w:rPr>
          <w:spacing w:val="-2"/>
          <w:w w:val="105"/>
          <w:sz w:val="12"/>
        </w:rPr>
        <w:t xml:space="preserve"> </w:t>
      </w:r>
      <w:r>
        <w:rPr>
          <w:w w:val="105"/>
          <w:sz w:val="12"/>
        </w:rPr>
        <w:t>sentencia</w:t>
      </w:r>
      <w:r>
        <w:rPr>
          <w:spacing w:val="-3"/>
          <w:w w:val="105"/>
          <w:sz w:val="12"/>
        </w:rPr>
        <w:t xml:space="preserve"> </w:t>
      </w:r>
      <w:r>
        <w:rPr>
          <w:w w:val="105"/>
          <w:sz w:val="12"/>
        </w:rPr>
        <w:t>de</w:t>
      </w:r>
      <w:r>
        <w:rPr>
          <w:spacing w:val="-3"/>
          <w:w w:val="105"/>
          <w:sz w:val="12"/>
        </w:rPr>
        <w:t xml:space="preserve"> </w:t>
      </w:r>
      <w:r>
        <w:rPr>
          <w:w w:val="105"/>
          <w:sz w:val="12"/>
        </w:rPr>
        <w:t>19</w:t>
      </w:r>
      <w:r>
        <w:rPr>
          <w:spacing w:val="-3"/>
          <w:w w:val="105"/>
          <w:sz w:val="12"/>
        </w:rPr>
        <w:t xml:space="preserve"> </w:t>
      </w:r>
      <w:r>
        <w:rPr>
          <w:w w:val="105"/>
          <w:sz w:val="12"/>
        </w:rPr>
        <w:t>de</w:t>
      </w:r>
      <w:r>
        <w:rPr>
          <w:spacing w:val="-3"/>
          <w:w w:val="105"/>
          <w:sz w:val="12"/>
        </w:rPr>
        <w:t xml:space="preserve"> </w:t>
      </w:r>
      <w:r>
        <w:rPr>
          <w:w w:val="105"/>
          <w:sz w:val="12"/>
        </w:rPr>
        <w:t>junio</w:t>
      </w:r>
      <w:r>
        <w:rPr>
          <w:spacing w:val="-3"/>
          <w:w w:val="105"/>
          <w:sz w:val="12"/>
        </w:rPr>
        <w:t xml:space="preserve"> </w:t>
      </w:r>
      <w:r>
        <w:rPr>
          <w:w w:val="105"/>
          <w:sz w:val="12"/>
        </w:rPr>
        <w:t>de</w:t>
      </w:r>
      <w:r>
        <w:rPr>
          <w:spacing w:val="-3"/>
          <w:w w:val="105"/>
          <w:sz w:val="12"/>
        </w:rPr>
        <w:t xml:space="preserve"> </w:t>
      </w:r>
      <w:r>
        <w:rPr>
          <w:w w:val="105"/>
          <w:sz w:val="12"/>
        </w:rPr>
        <w:t>2019;</w:t>
      </w:r>
      <w:r>
        <w:rPr>
          <w:spacing w:val="-2"/>
          <w:w w:val="105"/>
          <w:sz w:val="12"/>
        </w:rPr>
        <w:t xml:space="preserve"> </w:t>
      </w:r>
      <w:r>
        <w:rPr>
          <w:w w:val="105"/>
          <w:sz w:val="12"/>
        </w:rPr>
        <w:t>Tribunal</w:t>
      </w:r>
      <w:r>
        <w:rPr>
          <w:spacing w:val="-3"/>
          <w:w w:val="105"/>
          <w:sz w:val="12"/>
        </w:rPr>
        <w:t xml:space="preserve"> </w:t>
      </w:r>
      <w:r>
        <w:rPr>
          <w:w w:val="105"/>
          <w:sz w:val="12"/>
        </w:rPr>
        <w:t>Superior</w:t>
      </w:r>
      <w:r>
        <w:rPr>
          <w:spacing w:val="-3"/>
          <w:w w:val="105"/>
          <w:sz w:val="12"/>
        </w:rPr>
        <w:t xml:space="preserve"> </w:t>
      </w:r>
      <w:r>
        <w:rPr>
          <w:w w:val="105"/>
          <w:sz w:val="12"/>
        </w:rPr>
        <w:t>de</w:t>
      </w:r>
      <w:r>
        <w:rPr>
          <w:spacing w:val="-3"/>
          <w:w w:val="105"/>
          <w:sz w:val="12"/>
        </w:rPr>
        <w:t xml:space="preserve"> </w:t>
      </w:r>
      <w:r>
        <w:rPr>
          <w:w w:val="105"/>
          <w:sz w:val="12"/>
        </w:rPr>
        <w:t>Guyana,</w:t>
      </w:r>
      <w:r>
        <w:rPr>
          <w:spacing w:val="-2"/>
          <w:w w:val="105"/>
          <w:sz w:val="12"/>
        </w:rPr>
        <w:t xml:space="preserve"> </w:t>
      </w:r>
      <w:r>
        <w:rPr>
          <w:w w:val="105"/>
          <w:sz w:val="12"/>
        </w:rPr>
        <w:t>Thomas</w:t>
      </w:r>
      <w:r>
        <w:rPr>
          <w:spacing w:val="-3"/>
          <w:w w:val="105"/>
          <w:sz w:val="12"/>
        </w:rPr>
        <w:t xml:space="preserve"> </w:t>
      </w:r>
      <w:r>
        <w:rPr>
          <w:w w:val="105"/>
          <w:sz w:val="12"/>
        </w:rPr>
        <w:t>and</w:t>
      </w:r>
      <w:r>
        <w:rPr>
          <w:spacing w:val="-3"/>
          <w:w w:val="105"/>
          <w:sz w:val="12"/>
        </w:rPr>
        <w:t xml:space="preserve"> </w:t>
      </w:r>
      <w:r>
        <w:rPr>
          <w:w w:val="105"/>
          <w:sz w:val="12"/>
        </w:rPr>
        <w:t>Arau</w:t>
      </w:r>
      <w:r>
        <w:rPr>
          <w:spacing w:val="-3"/>
          <w:w w:val="105"/>
          <w:sz w:val="12"/>
        </w:rPr>
        <w:t xml:space="preserve"> </w:t>
      </w:r>
      <w:proofErr w:type="spellStart"/>
      <w:r>
        <w:rPr>
          <w:w w:val="105"/>
          <w:sz w:val="12"/>
        </w:rPr>
        <w:t>Village</w:t>
      </w:r>
      <w:proofErr w:type="spellEnd"/>
      <w:r>
        <w:rPr>
          <w:spacing w:val="-3"/>
          <w:w w:val="105"/>
          <w:sz w:val="12"/>
        </w:rPr>
        <w:t xml:space="preserve"> </w:t>
      </w:r>
      <w:r>
        <w:rPr>
          <w:w w:val="105"/>
          <w:sz w:val="12"/>
        </w:rPr>
        <w:t>Council</w:t>
      </w:r>
      <w:r>
        <w:rPr>
          <w:spacing w:val="-3"/>
          <w:w w:val="105"/>
          <w:sz w:val="12"/>
        </w:rPr>
        <w:t xml:space="preserve"> </w:t>
      </w:r>
      <w:r>
        <w:rPr>
          <w:w w:val="105"/>
          <w:sz w:val="12"/>
        </w:rPr>
        <w:t>c.</w:t>
      </w:r>
      <w:r>
        <w:rPr>
          <w:spacing w:val="-3"/>
          <w:w w:val="105"/>
          <w:sz w:val="12"/>
        </w:rPr>
        <w:t xml:space="preserve"> </w:t>
      </w:r>
      <w:r>
        <w:rPr>
          <w:w w:val="105"/>
          <w:sz w:val="12"/>
        </w:rPr>
        <w:t>Fiscal</w:t>
      </w:r>
      <w:r>
        <w:rPr>
          <w:spacing w:val="-3"/>
          <w:w w:val="105"/>
          <w:sz w:val="12"/>
        </w:rPr>
        <w:t xml:space="preserve"> </w:t>
      </w:r>
      <w:r>
        <w:rPr>
          <w:w w:val="105"/>
          <w:sz w:val="12"/>
        </w:rPr>
        <w:t>General</w:t>
      </w:r>
      <w:r>
        <w:rPr>
          <w:spacing w:val="-3"/>
          <w:w w:val="105"/>
          <w:sz w:val="12"/>
        </w:rPr>
        <w:t xml:space="preserve"> </w:t>
      </w:r>
      <w:r>
        <w:rPr>
          <w:w w:val="105"/>
          <w:sz w:val="12"/>
        </w:rPr>
        <w:t>de</w:t>
      </w:r>
      <w:r>
        <w:rPr>
          <w:spacing w:val="-3"/>
          <w:w w:val="105"/>
          <w:sz w:val="12"/>
        </w:rPr>
        <w:t xml:space="preserve"> </w:t>
      </w:r>
      <w:r>
        <w:rPr>
          <w:w w:val="105"/>
          <w:sz w:val="12"/>
        </w:rPr>
        <w:t>Guyana</w:t>
      </w:r>
      <w:r>
        <w:rPr>
          <w:spacing w:val="40"/>
          <w:w w:val="105"/>
          <w:sz w:val="12"/>
        </w:rPr>
        <w:t xml:space="preserve"> </w:t>
      </w:r>
      <w:r>
        <w:rPr>
          <w:w w:val="105"/>
          <w:sz w:val="12"/>
        </w:rPr>
        <w:t>y</w:t>
      </w:r>
      <w:r>
        <w:rPr>
          <w:spacing w:val="-2"/>
          <w:w w:val="105"/>
          <w:sz w:val="12"/>
        </w:rPr>
        <w:t xml:space="preserve"> </w:t>
      </w:r>
      <w:r>
        <w:rPr>
          <w:w w:val="105"/>
          <w:sz w:val="12"/>
        </w:rPr>
        <w:t>otro,</w:t>
      </w:r>
      <w:r>
        <w:rPr>
          <w:spacing w:val="-1"/>
          <w:w w:val="105"/>
          <w:sz w:val="12"/>
        </w:rPr>
        <w:t xml:space="preserve"> </w:t>
      </w:r>
      <w:r>
        <w:rPr>
          <w:w w:val="105"/>
          <w:sz w:val="12"/>
        </w:rPr>
        <w:t>sentencia</w:t>
      </w:r>
      <w:r>
        <w:rPr>
          <w:spacing w:val="-2"/>
          <w:w w:val="105"/>
          <w:sz w:val="12"/>
        </w:rPr>
        <w:t xml:space="preserve"> </w:t>
      </w:r>
      <w:r>
        <w:rPr>
          <w:w w:val="105"/>
          <w:sz w:val="12"/>
        </w:rPr>
        <w:t>de</w:t>
      </w:r>
      <w:r>
        <w:rPr>
          <w:spacing w:val="-2"/>
          <w:w w:val="105"/>
          <w:sz w:val="12"/>
        </w:rPr>
        <w:t xml:space="preserve"> </w:t>
      </w:r>
      <w:r>
        <w:rPr>
          <w:w w:val="105"/>
          <w:sz w:val="12"/>
        </w:rPr>
        <w:t>30</w:t>
      </w:r>
      <w:r>
        <w:rPr>
          <w:spacing w:val="-2"/>
          <w:w w:val="105"/>
          <w:sz w:val="12"/>
        </w:rPr>
        <w:t xml:space="preserve"> </w:t>
      </w:r>
      <w:r>
        <w:rPr>
          <w:w w:val="105"/>
          <w:sz w:val="12"/>
        </w:rPr>
        <w:t>de</w:t>
      </w:r>
      <w:r>
        <w:rPr>
          <w:spacing w:val="-2"/>
          <w:w w:val="105"/>
          <w:sz w:val="12"/>
        </w:rPr>
        <w:t xml:space="preserve"> </w:t>
      </w:r>
      <w:r>
        <w:rPr>
          <w:w w:val="105"/>
          <w:sz w:val="12"/>
        </w:rPr>
        <w:t>abril</w:t>
      </w:r>
      <w:r>
        <w:rPr>
          <w:spacing w:val="-2"/>
          <w:w w:val="105"/>
          <w:sz w:val="12"/>
        </w:rPr>
        <w:t xml:space="preserve"> </w:t>
      </w:r>
      <w:r>
        <w:rPr>
          <w:w w:val="105"/>
          <w:sz w:val="12"/>
        </w:rPr>
        <w:t>de</w:t>
      </w:r>
      <w:r>
        <w:rPr>
          <w:spacing w:val="-2"/>
          <w:w w:val="105"/>
          <w:sz w:val="12"/>
        </w:rPr>
        <w:t xml:space="preserve"> </w:t>
      </w:r>
      <w:r>
        <w:rPr>
          <w:w w:val="105"/>
          <w:sz w:val="12"/>
        </w:rPr>
        <w:t>2009;</w:t>
      </w:r>
      <w:r>
        <w:rPr>
          <w:spacing w:val="-1"/>
          <w:w w:val="105"/>
          <w:sz w:val="12"/>
        </w:rPr>
        <w:t xml:space="preserve"> </w:t>
      </w:r>
      <w:r>
        <w:rPr>
          <w:w w:val="105"/>
          <w:sz w:val="12"/>
        </w:rPr>
        <w:t>y</w:t>
      </w:r>
      <w:r>
        <w:rPr>
          <w:spacing w:val="-2"/>
          <w:w w:val="105"/>
          <w:sz w:val="12"/>
        </w:rPr>
        <w:t xml:space="preserve"> </w:t>
      </w:r>
      <w:r>
        <w:rPr>
          <w:w w:val="105"/>
          <w:sz w:val="12"/>
        </w:rPr>
        <w:t>Corte</w:t>
      </w:r>
      <w:r>
        <w:rPr>
          <w:spacing w:val="-2"/>
          <w:w w:val="105"/>
          <w:sz w:val="12"/>
        </w:rPr>
        <w:t xml:space="preserve"> </w:t>
      </w:r>
      <w:r>
        <w:rPr>
          <w:w w:val="105"/>
          <w:sz w:val="12"/>
        </w:rPr>
        <w:t>Suprema</w:t>
      </w:r>
      <w:r>
        <w:rPr>
          <w:spacing w:val="-2"/>
          <w:w w:val="105"/>
          <w:sz w:val="12"/>
        </w:rPr>
        <w:t xml:space="preserve"> </w:t>
      </w:r>
      <w:r>
        <w:rPr>
          <w:w w:val="105"/>
          <w:sz w:val="12"/>
        </w:rPr>
        <w:t>de</w:t>
      </w:r>
      <w:r>
        <w:rPr>
          <w:spacing w:val="-2"/>
          <w:w w:val="105"/>
          <w:sz w:val="12"/>
        </w:rPr>
        <w:t xml:space="preserve"> </w:t>
      </w:r>
      <w:r>
        <w:rPr>
          <w:w w:val="105"/>
          <w:sz w:val="12"/>
        </w:rPr>
        <w:t>los</w:t>
      </w:r>
      <w:r>
        <w:rPr>
          <w:spacing w:val="-2"/>
          <w:w w:val="105"/>
          <w:sz w:val="12"/>
        </w:rPr>
        <w:t xml:space="preserve"> </w:t>
      </w:r>
      <w:r>
        <w:rPr>
          <w:w w:val="105"/>
          <w:sz w:val="12"/>
        </w:rPr>
        <w:t>Estados</w:t>
      </w:r>
      <w:r>
        <w:rPr>
          <w:spacing w:val="-2"/>
          <w:w w:val="105"/>
          <w:sz w:val="12"/>
        </w:rPr>
        <w:t xml:space="preserve"> </w:t>
      </w:r>
      <w:r>
        <w:rPr>
          <w:w w:val="105"/>
          <w:sz w:val="12"/>
        </w:rPr>
        <w:t>Unidos,</w:t>
      </w:r>
      <w:r>
        <w:rPr>
          <w:spacing w:val="-1"/>
          <w:w w:val="105"/>
          <w:sz w:val="12"/>
        </w:rPr>
        <w:t xml:space="preserve"> </w:t>
      </w:r>
      <w:proofErr w:type="spellStart"/>
      <w:r>
        <w:rPr>
          <w:w w:val="105"/>
          <w:sz w:val="12"/>
        </w:rPr>
        <w:t>Carcieri</w:t>
      </w:r>
      <w:proofErr w:type="spellEnd"/>
      <w:r>
        <w:rPr>
          <w:spacing w:val="-2"/>
          <w:w w:val="105"/>
          <w:sz w:val="12"/>
        </w:rPr>
        <w:t xml:space="preserve"> </w:t>
      </w:r>
      <w:r>
        <w:rPr>
          <w:w w:val="105"/>
          <w:sz w:val="12"/>
        </w:rPr>
        <w:t>v.</w:t>
      </w:r>
      <w:r>
        <w:rPr>
          <w:spacing w:val="-2"/>
          <w:w w:val="105"/>
          <w:sz w:val="12"/>
        </w:rPr>
        <w:t xml:space="preserve"> </w:t>
      </w:r>
      <w:r>
        <w:rPr>
          <w:w w:val="105"/>
          <w:sz w:val="12"/>
        </w:rPr>
        <w:t>Salazar,</w:t>
      </w:r>
      <w:r>
        <w:rPr>
          <w:spacing w:val="-1"/>
          <w:w w:val="105"/>
          <w:sz w:val="12"/>
        </w:rPr>
        <w:t xml:space="preserve"> </w:t>
      </w:r>
      <w:r>
        <w:rPr>
          <w:w w:val="105"/>
          <w:sz w:val="12"/>
        </w:rPr>
        <w:t>555</w:t>
      </w:r>
      <w:r>
        <w:rPr>
          <w:spacing w:val="-2"/>
          <w:w w:val="105"/>
          <w:sz w:val="12"/>
        </w:rPr>
        <w:t xml:space="preserve"> </w:t>
      </w:r>
      <w:r>
        <w:rPr>
          <w:w w:val="105"/>
          <w:sz w:val="12"/>
        </w:rPr>
        <w:t>US</w:t>
      </w:r>
      <w:r>
        <w:rPr>
          <w:spacing w:val="-2"/>
          <w:w w:val="105"/>
          <w:sz w:val="12"/>
        </w:rPr>
        <w:t xml:space="preserve"> </w:t>
      </w:r>
      <w:r>
        <w:rPr>
          <w:w w:val="105"/>
          <w:sz w:val="12"/>
        </w:rPr>
        <w:t>379</w:t>
      </w:r>
      <w:r>
        <w:rPr>
          <w:spacing w:val="-2"/>
          <w:w w:val="105"/>
          <w:sz w:val="12"/>
        </w:rPr>
        <w:t xml:space="preserve"> </w:t>
      </w:r>
      <w:r>
        <w:rPr>
          <w:w w:val="105"/>
          <w:sz w:val="12"/>
        </w:rPr>
        <w:t>(2009).</w:t>
      </w:r>
    </w:p>
    <w:p w14:paraId="569B1438" w14:textId="77777777" w:rsidR="0014798C" w:rsidRDefault="004E1F0B">
      <w:pPr>
        <w:spacing w:before="57" w:line="312" w:lineRule="auto"/>
        <w:ind w:left="1365" w:right="1626" w:hanging="255"/>
        <w:rPr>
          <w:sz w:val="12"/>
        </w:rPr>
      </w:pPr>
      <w:r>
        <w:rPr>
          <w:w w:val="105"/>
          <w:sz w:val="12"/>
        </w:rPr>
        <w:t>1096 Corte Africana de Derechos Humanos y de los Pueblos, Comisión Africana de Derechos Humanos y de los Pueblos contra República de Kenia, Solicitud</w:t>
      </w:r>
      <w:r>
        <w:rPr>
          <w:spacing w:val="40"/>
          <w:w w:val="105"/>
          <w:sz w:val="12"/>
        </w:rPr>
        <w:t xml:space="preserve"> </w:t>
      </w:r>
      <w:r>
        <w:rPr>
          <w:w w:val="105"/>
          <w:sz w:val="12"/>
        </w:rPr>
        <w:t>n.º 006/2012, Sentencia, 26 de mayo de 2017.</w:t>
      </w:r>
    </w:p>
    <w:p w14:paraId="16638FD3" w14:textId="77777777" w:rsidR="0014798C" w:rsidRDefault="004E1F0B">
      <w:pPr>
        <w:spacing w:before="82"/>
        <w:ind w:left="1111"/>
        <w:rPr>
          <w:sz w:val="11"/>
        </w:rPr>
      </w:pPr>
      <w:r>
        <w:rPr>
          <w:spacing w:val="-2"/>
          <w:w w:val="105"/>
          <w:sz w:val="11"/>
        </w:rPr>
        <w:t>1097</w:t>
      </w:r>
      <w:r>
        <w:rPr>
          <w:w w:val="105"/>
          <w:sz w:val="11"/>
        </w:rPr>
        <w:t xml:space="preserve"> </w:t>
      </w:r>
      <w:proofErr w:type="spellStart"/>
      <w:r>
        <w:rPr>
          <w:spacing w:val="-2"/>
          <w:w w:val="105"/>
          <w:sz w:val="11"/>
        </w:rPr>
        <w:t>Ibíd</w:t>
      </w:r>
      <w:proofErr w:type="spellEnd"/>
      <w:r>
        <w:rPr>
          <w:spacing w:val="-2"/>
          <w:w w:val="105"/>
          <w:sz w:val="11"/>
        </w:rPr>
        <w:t>.,</w:t>
      </w:r>
      <w:r>
        <w:rPr>
          <w:spacing w:val="1"/>
          <w:w w:val="105"/>
          <w:sz w:val="11"/>
        </w:rPr>
        <w:t xml:space="preserve"> </w:t>
      </w:r>
      <w:r>
        <w:rPr>
          <w:spacing w:val="-2"/>
          <w:w w:val="105"/>
          <w:sz w:val="11"/>
        </w:rPr>
        <w:t>párr.</w:t>
      </w:r>
      <w:r>
        <w:rPr>
          <w:spacing w:val="1"/>
          <w:w w:val="105"/>
          <w:sz w:val="11"/>
        </w:rPr>
        <w:t xml:space="preserve"> </w:t>
      </w:r>
      <w:r>
        <w:rPr>
          <w:spacing w:val="-4"/>
          <w:w w:val="105"/>
          <w:sz w:val="11"/>
        </w:rPr>
        <w:t>141.</w:t>
      </w:r>
    </w:p>
    <w:p w14:paraId="04915637" w14:textId="77777777" w:rsidR="0014798C" w:rsidRDefault="0014798C">
      <w:pPr>
        <w:pStyle w:val="Textoindependiente"/>
        <w:rPr>
          <w:sz w:val="17"/>
        </w:rPr>
      </w:pPr>
    </w:p>
    <w:p w14:paraId="56A5372C" w14:textId="77777777" w:rsidR="0014798C" w:rsidRDefault="0014798C">
      <w:pPr>
        <w:pStyle w:val="Textoindependiente"/>
        <w:rPr>
          <w:sz w:val="17"/>
        </w:rPr>
      </w:pPr>
    </w:p>
    <w:p w14:paraId="1B427FDC" w14:textId="77777777" w:rsidR="0014798C" w:rsidRDefault="0014798C">
      <w:pPr>
        <w:pStyle w:val="Textoindependiente"/>
        <w:spacing w:before="57"/>
        <w:rPr>
          <w:sz w:val="17"/>
        </w:rPr>
      </w:pPr>
    </w:p>
    <w:p w14:paraId="612FCB79" w14:textId="77777777" w:rsidR="0014798C" w:rsidRDefault="004E1F0B">
      <w:pPr>
        <w:spacing w:before="1"/>
        <w:ind w:left="481"/>
        <w:rPr>
          <w:sz w:val="17"/>
        </w:rPr>
      </w:pPr>
      <w:r>
        <w:rPr>
          <w:spacing w:val="-5"/>
          <w:w w:val="105"/>
          <w:sz w:val="17"/>
        </w:rPr>
        <w:t>162</w:t>
      </w:r>
    </w:p>
    <w:p w14:paraId="019DD5C6" w14:textId="77777777" w:rsidR="0014798C" w:rsidRDefault="0014798C">
      <w:pPr>
        <w:rPr>
          <w:sz w:val="17"/>
        </w:rPr>
        <w:sectPr w:rsidR="0014798C" w:rsidSect="00F265E4">
          <w:pgSz w:w="11900" w:h="16820"/>
          <w:pgMar w:top="340" w:right="0" w:bottom="280" w:left="200" w:header="121" w:footer="0" w:gutter="0"/>
          <w:cols w:space="720"/>
        </w:sectPr>
      </w:pPr>
    </w:p>
    <w:p w14:paraId="1F1EC73A" w14:textId="77777777" w:rsidR="0014798C" w:rsidRDefault="0014798C">
      <w:pPr>
        <w:pStyle w:val="Textoindependiente"/>
        <w:rPr>
          <w:sz w:val="9"/>
        </w:rPr>
      </w:pPr>
    </w:p>
    <w:p w14:paraId="7ACDBBAF" w14:textId="77777777" w:rsidR="0014798C" w:rsidRDefault="0014798C">
      <w:pPr>
        <w:pStyle w:val="Textoindependiente"/>
        <w:spacing w:before="31"/>
        <w:rPr>
          <w:sz w:val="9"/>
        </w:rPr>
      </w:pPr>
    </w:p>
    <w:p w14:paraId="41A61615" w14:textId="77777777" w:rsidR="0014798C" w:rsidRDefault="004E1F0B">
      <w:pPr>
        <w:ind w:left="1111"/>
        <w:rPr>
          <w:sz w:val="9"/>
        </w:rPr>
      </w:pPr>
      <w:r>
        <w:rPr>
          <w:color w:val="803108"/>
          <w:w w:val="105"/>
          <w:sz w:val="9"/>
        </w:rPr>
        <w:t>PARTE</w:t>
      </w:r>
      <w:r>
        <w:rPr>
          <w:color w:val="803108"/>
          <w:spacing w:val="1"/>
          <w:w w:val="105"/>
          <w:sz w:val="9"/>
        </w:rPr>
        <w:t xml:space="preserve"> </w:t>
      </w:r>
      <w:r>
        <w:rPr>
          <w:color w:val="803108"/>
          <w:w w:val="105"/>
          <w:sz w:val="9"/>
        </w:rPr>
        <w:t>TRES:</w:t>
      </w:r>
      <w:r>
        <w:rPr>
          <w:color w:val="803108"/>
          <w:spacing w:val="2"/>
          <w:w w:val="105"/>
          <w:sz w:val="9"/>
        </w:rPr>
        <w:t xml:space="preserve"> </w:t>
      </w:r>
      <w:r>
        <w:rPr>
          <w:color w:val="803108"/>
          <w:w w:val="105"/>
          <w:sz w:val="9"/>
        </w:rPr>
        <w:t>PROTECCIÓN</w:t>
      </w:r>
      <w:r>
        <w:rPr>
          <w:color w:val="803108"/>
          <w:spacing w:val="2"/>
          <w:w w:val="105"/>
          <w:sz w:val="9"/>
        </w:rPr>
        <w:t xml:space="preserve"> </w:t>
      </w:r>
      <w:r>
        <w:rPr>
          <w:color w:val="803108"/>
          <w:w w:val="105"/>
          <w:sz w:val="9"/>
        </w:rPr>
        <w:t>DE</w:t>
      </w:r>
      <w:r>
        <w:rPr>
          <w:color w:val="803108"/>
          <w:spacing w:val="1"/>
          <w:w w:val="105"/>
          <w:sz w:val="9"/>
        </w:rPr>
        <w:t xml:space="preserve"> </w:t>
      </w:r>
      <w:r>
        <w:rPr>
          <w:color w:val="803108"/>
          <w:w w:val="105"/>
          <w:sz w:val="9"/>
        </w:rPr>
        <w:t>LOS</w:t>
      </w:r>
      <w:r>
        <w:rPr>
          <w:color w:val="803108"/>
          <w:spacing w:val="2"/>
          <w:w w:val="105"/>
          <w:sz w:val="9"/>
        </w:rPr>
        <w:t xml:space="preserve"> </w:t>
      </w:r>
      <w:r>
        <w:rPr>
          <w:color w:val="803108"/>
          <w:w w:val="105"/>
          <w:sz w:val="9"/>
        </w:rPr>
        <w:t>DERECHOS</w:t>
      </w:r>
      <w:r>
        <w:rPr>
          <w:color w:val="803108"/>
          <w:spacing w:val="3"/>
          <w:w w:val="105"/>
          <w:sz w:val="9"/>
        </w:rPr>
        <w:t xml:space="preserve"> </w:t>
      </w:r>
      <w:r>
        <w:rPr>
          <w:color w:val="803108"/>
          <w:w w:val="105"/>
          <w:sz w:val="9"/>
        </w:rPr>
        <w:t>DE</w:t>
      </w:r>
      <w:r>
        <w:rPr>
          <w:color w:val="803108"/>
          <w:spacing w:val="1"/>
          <w:w w:val="105"/>
          <w:sz w:val="9"/>
        </w:rPr>
        <w:t xml:space="preserve"> </w:t>
      </w:r>
      <w:r>
        <w:rPr>
          <w:color w:val="803108"/>
          <w:w w:val="105"/>
          <w:sz w:val="9"/>
        </w:rPr>
        <w:t>LAS</w:t>
      </w:r>
      <w:r>
        <w:rPr>
          <w:color w:val="803108"/>
          <w:spacing w:val="2"/>
          <w:w w:val="105"/>
          <w:sz w:val="9"/>
        </w:rPr>
        <w:t xml:space="preserve"> </w:t>
      </w:r>
      <w:r>
        <w:rPr>
          <w:color w:val="803108"/>
          <w:spacing w:val="-2"/>
          <w:w w:val="105"/>
          <w:sz w:val="9"/>
        </w:rPr>
        <w:t>MINORÍAS</w:t>
      </w:r>
    </w:p>
    <w:p w14:paraId="1BA9FC46" w14:textId="77777777" w:rsidR="0014798C" w:rsidRDefault="0014798C">
      <w:pPr>
        <w:pStyle w:val="Textoindependiente"/>
      </w:pPr>
    </w:p>
    <w:p w14:paraId="633FB855" w14:textId="77777777" w:rsidR="0014798C" w:rsidRDefault="0014798C">
      <w:pPr>
        <w:pStyle w:val="Textoindependiente"/>
      </w:pPr>
    </w:p>
    <w:p w14:paraId="1E8F89D8" w14:textId="77777777" w:rsidR="0014798C" w:rsidRDefault="0014798C">
      <w:pPr>
        <w:pStyle w:val="Textoindependiente"/>
      </w:pPr>
    </w:p>
    <w:p w14:paraId="03A7EBB4" w14:textId="77777777" w:rsidR="0014798C" w:rsidRDefault="0014798C">
      <w:pPr>
        <w:pStyle w:val="Textoindependiente"/>
      </w:pPr>
    </w:p>
    <w:p w14:paraId="5C0A0FC3" w14:textId="77777777" w:rsidR="0014798C" w:rsidRDefault="0014798C">
      <w:pPr>
        <w:pStyle w:val="Textoindependiente"/>
        <w:spacing w:before="92"/>
      </w:pPr>
    </w:p>
    <w:p w14:paraId="090B8E99" w14:textId="77777777" w:rsidR="0014798C" w:rsidRDefault="004E1F0B">
      <w:pPr>
        <w:pStyle w:val="Textoindependiente"/>
        <w:spacing w:line="326" w:lineRule="auto"/>
        <w:ind w:left="1107" w:right="1272"/>
      </w:pPr>
      <w:r>
        <w:rPr>
          <w:w w:val="105"/>
        </w:rPr>
        <w:t>su</w:t>
      </w:r>
      <w:r>
        <w:rPr>
          <w:spacing w:val="-7"/>
          <w:w w:val="105"/>
        </w:rPr>
        <w:t xml:space="preserve"> </w:t>
      </w:r>
      <w:r>
        <w:rPr>
          <w:w w:val="105"/>
        </w:rPr>
        <w:t>estatus</w:t>
      </w:r>
      <w:r>
        <w:rPr>
          <w:spacing w:val="-7"/>
          <w:w w:val="105"/>
        </w:rPr>
        <w:t xml:space="preserve"> </w:t>
      </w:r>
      <w:r>
        <w:rPr>
          <w:w w:val="105"/>
        </w:rPr>
        <w:t>y</w:t>
      </w:r>
      <w:r>
        <w:rPr>
          <w:spacing w:val="-7"/>
          <w:w w:val="105"/>
        </w:rPr>
        <w:t xml:space="preserve"> </w:t>
      </w:r>
      <w:r>
        <w:rPr>
          <w:w w:val="105"/>
        </w:rPr>
        <w:t>los</w:t>
      </w:r>
      <w:r>
        <w:rPr>
          <w:spacing w:val="-7"/>
          <w:w w:val="105"/>
        </w:rPr>
        <w:t xml:space="preserve"> </w:t>
      </w:r>
      <w:r>
        <w:rPr>
          <w:w w:val="105"/>
        </w:rPr>
        <w:t>derechos</w:t>
      </w:r>
      <w:r>
        <w:rPr>
          <w:spacing w:val="-7"/>
          <w:w w:val="105"/>
        </w:rPr>
        <w:t xml:space="preserve"> </w:t>
      </w:r>
      <w:r>
        <w:rPr>
          <w:w w:val="105"/>
        </w:rPr>
        <w:t>resultantes,</w:t>
      </w:r>
      <w:r>
        <w:rPr>
          <w:spacing w:val="-6"/>
          <w:w w:val="105"/>
        </w:rPr>
        <w:t xml:space="preserve"> </w:t>
      </w:r>
      <w:r>
        <w:rPr>
          <w:w w:val="105"/>
        </w:rPr>
        <w:t>la</w:t>
      </w:r>
      <w:r>
        <w:rPr>
          <w:spacing w:val="-7"/>
          <w:w w:val="105"/>
        </w:rPr>
        <w:t xml:space="preserve"> </w:t>
      </w:r>
      <w:r>
        <w:rPr>
          <w:w w:val="105"/>
        </w:rPr>
        <w:t>negativa</w:t>
      </w:r>
      <w:r>
        <w:rPr>
          <w:spacing w:val="-7"/>
          <w:w w:val="105"/>
        </w:rPr>
        <w:t xml:space="preserve"> </w:t>
      </w:r>
      <w:r>
        <w:rPr>
          <w:w w:val="105"/>
        </w:rPr>
        <w:t>de</w:t>
      </w:r>
      <w:r>
        <w:rPr>
          <w:spacing w:val="-7"/>
          <w:w w:val="105"/>
        </w:rPr>
        <w:t xml:space="preserve"> </w:t>
      </w:r>
      <w:r>
        <w:rPr>
          <w:w w:val="105"/>
        </w:rPr>
        <w:t>Kenia</w:t>
      </w:r>
      <w:r>
        <w:rPr>
          <w:spacing w:val="-7"/>
          <w:w w:val="105"/>
        </w:rPr>
        <w:t xml:space="preserve"> </w:t>
      </w:r>
      <w:r>
        <w:rPr>
          <w:w w:val="105"/>
        </w:rPr>
        <w:t>a</w:t>
      </w:r>
      <w:r>
        <w:rPr>
          <w:spacing w:val="-7"/>
          <w:w w:val="105"/>
        </w:rPr>
        <w:t xml:space="preserve"> </w:t>
      </w:r>
      <w:r>
        <w:rPr>
          <w:w w:val="105"/>
        </w:rPr>
        <w:t>reconocer</w:t>
      </w:r>
      <w:r>
        <w:rPr>
          <w:spacing w:val="-7"/>
          <w:w w:val="105"/>
        </w:rPr>
        <w:t xml:space="preserve"> </w:t>
      </w:r>
      <w:r>
        <w:rPr>
          <w:w w:val="105"/>
        </w:rPr>
        <w:t>y</w:t>
      </w:r>
      <w:r>
        <w:rPr>
          <w:spacing w:val="-7"/>
          <w:w w:val="105"/>
        </w:rPr>
        <w:t xml:space="preserve"> </w:t>
      </w:r>
      <w:r>
        <w:rPr>
          <w:w w:val="105"/>
        </w:rPr>
        <w:t>otorgar</w:t>
      </w:r>
      <w:r>
        <w:rPr>
          <w:spacing w:val="-7"/>
          <w:w w:val="105"/>
        </w:rPr>
        <w:t xml:space="preserve"> </w:t>
      </w:r>
      <w:r>
        <w:rPr>
          <w:w w:val="105"/>
        </w:rPr>
        <w:t>los</w:t>
      </w:r>
      <w:r>
        <w:rPr>
          <w:spacing w:val="-7"/>
          <w:w w:val="105"/>
        </w:rPr>
        <w:t xml:space="preserve"> </w:t>
      </w:r>
      <w:r>
        <w:rPr>
          <w:w w:val="105"/>
        </w:rPr>
        <w:t>mismos</w:t>
      </w:r>
      <w:r>
        <w:rPr>
          <w:spacing w:val="-7"/>
          <w:w w:val="105"/>
        </w:rPr>
        <w:t xml:space="preserve"> </w:t>
      </w:r>
      <w:r>
        <w:rPr>
          <w:w w:val="105"/>
        </w:rPr>
        <w:t>derechos</w:t>
      </w:r>
      <w:r>
        <w:rPr>
          <w:spacing w:val="-7"/>
          <w:w w:val="105"/>
        </w:rPr>
        <w:t xml:space="preserve"> </w:t>
      </w:r>
      <w:r>
        <w:rPr>
          <w:w w:val="105"/>
        </w:rPr>
        <w:t>a</w:t>
      </w:r>
      <w:r>
        <w:rPr>
          <w:spacing w:val="-7"/>
          <w:w w:val="105"/>
        </w:rPr>
        <w:t xml:space="preserve"> </w:t>
      </w:r>
      <w:r>
        <w:rPr>
          <w:w w:val="105"/>
        </w:rPr>
        <w:t>los</w:t>
      </w:r>
      <w:r>
        <w:rPr>
          <w:spacing w:val="-7"/>
          <w:w w:val="105"/>
        </w:rPr>
        <w:t xml:space="preserve"> </w:t>
      </w:r>
      <w:proofErr w:type="spellStart"/>
      <w:r>
        <w:rPr>
          <w:w w:val="105"/>
        </w:rPr>
        <w:t>ogiek</w:t>
      </w:r>
      <w:proofErr w:type="spellEnd"/>
      <w:r>
        <w:rPr>
          <w:spacing w:val="-7"/>
          <w:w w:val="105"/>
        </w:rPr>
        <w:t xml:space="preserve"> </w:t>
      </w:r>
      <w:r>
        <w:rPr>
          <w:w w:val="105"/>
        </w:rPr>
        <w:t>violó</w:t>
      </w:r>
      <w:r>
        <w:rPr>
          <w:spacing w:val="-7"/>
          <w:w w:val="105"/>
        </w:rPr>
        <w:t xml:space="preserve"> </w:t>
      </w:r>
      <w:r>
        <w:rPr>
          <w:w w:val="105"/>
        </w:rPr>
        <w:t>el artículo 2 de la Carta Africana de Derechos Humanos y de los Pueblos (no discriminación).1098</w:t>
      </w:r>
    </w:p>
    <w:p w14:paraId="1B6A467F" w14:textId="77777777" w:rsidR="0014798C" w:rsidRDefault="004E1F0B">
      <w:pPr>
        <w:pStyle w:val="Textoindependiente"/>
        <w:spacing w:before="169" w:line="326" w:lineRule="auto"/>
        <w:ind w:left="1105" w:right="1185"/>
      </w:pPr>
      <w:r>
        <w:rPr>
          <w:noProof/>
        </w:rPr>
        <w:drawing>
          <wp:anchor distT="0" distB="0" distL="0" distR="0" simplePos="0" relativeHeight="251658476" behindDoc="1" locked="0" layoutInCell="1" allowOverlap="1" wp14:anchorId="24FAC5D8" wp14:editId="4384C44A">
            <wp:simplePos x="0" y="0"/>
            <wp:positionH relativeFrom="page">
              <wp:posOffset>808662</wp:posOffset>
            </wp:positionH>
            <wp:positionV relativeFrom="paragraph">
              <wp:posOffset>1826179</wp:posOffset>
            </wp:positionV>
            <wp:extent cx="6747837" cy="5540304"/>
            <wp:effectExtent l="0" t="0" r="0" b="0"/>
            <wp:wrapNone/>
            <wp:docPr id="328" name="Image 32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28" name="Image 328"/>
                    <pic:cNvPicPr/>
                  </pic:nvPicPr>
                  <pic:blipFill>
                    <a:blip r:embed="rId308" cstate="print"/>
                    <a:stretch>
                      <a:fillRect/>
                    </a:stretch>
                  </pic:blipFill>
                  <pic:spPr>
                    <a:xfrm>
                      <a:off x="0" y="0"/>
                      <a:ext cx="6747837" cy="5540304"/>
                    </a:xfrm>
                    <a:prstGeom prst="rect">
                      <a:avLst/>
                    </a:prstGeom>
                  </pic:spPr>
                </pic:pic>
              </a:graphicData>
            </a:graphic>
          </wp:anchor>
        </w:drawing>
      </w:r>
      <w:r>
        <w:rPr>
          <w:w w:val="105"/>
        </w:rPr>
        <w:t>La</w:t>
      </w:r>
      <w:r>
        <w:rPr>
          <w:spacing w:val="-1"/>
          <w:w w:val="105"/>
        </w:rPr>
        <w:t xml:space="preserve"> </w:t>
      </w:r>
      <w:r>
        <w:rPr>
          <w:w w:val="105"/>
        </w:rPr>
        <w:t>jurisprudencia</w:t>
      </w:r>
      <w:r>
        <w:rPr>
          <w:spacing w:val="-1"/>
          <w:w w:val="105"/>
        </w:rPr>
        <w:t xml:space="preserve"> </w:t>
      </w:r>
      <w:r>
        <w:rPr>
          <w:w w:val="105"/>
        </w:rPr>
        <w:t>de</w:t>
      </w:r>
      <w:r>
        <w:rPr>
          <w:spacing w:val="-1"/>
          <w:w w:val="105"/>
        </w:rPr>
        <w:t xml:space="preserve"> </w:t>
      </w:r>
      <w:r>
        <w:rPr>
          <w:w w:val="105"/>
        </w:rPr>
        <w:t>la</w:t>
      </w:r>
      <w:r>
        <w:rPr>
          <w:spacing w:val="-1"/>
          <w:w w:val="105"/>
        </w:rPr>
        <w:t xml:space="preserve"> </w:t>
      </w:r>
      <w:r>
        <w:rPr>
          <w:w w:val="105"/>
        </w:rPr>
        <w:t>Corte</w:t>
      </w:r>
      <w:r>
        <w:rPr>
          <w:spacing w:val="-1"/>
          <w:w w:val="105"/>
        </w:rPr>
        <w:t xml:space="preserve"> </w:t>
      </w:r>
      <w:r>
        <w:rPr>
          <w:w w:val="105"/>
        </w:rPr>
        <w:t>Interamericana</w:t>
      </w:r>
      <w:r>
        <w:rPr>
          <w:spacing w:val="-1"/>
          <w:w w:val="105"/>
        </w:rPr>
        <w:t xml:space="preserve"> </w:t>
      </w:r>
      <w:r>
        <w:rPr>
          <w:w w:val="105"/>
        </w:rPr>
        <w:t>de</w:t>
      </w:r>
      <w:r>
        <w:rPr>
          <w:spacing w:val="-1"/>
          <w:w w:val="105"/>
        </w:rPr>
        <w:t xml:space="preserve"> </w:t>
      </w:r>
      <w:r>
        <w:rPr>
          <w:w w:val="105"/>
        </w:rPr>
        <w:t>Derechos</w:t>
      </w:r>
      <w:r>
        <w:rPr>
          <w:spacing w:val="-1"/>
          <w:w w:val="105"/>
        </w:rPr>
        <w:t xml:space="preserve"> </w:t>
      </w:r>
      <w:r>
        <w:rPr>
          <w:w w:val="105"/>
        </w:rPr>
        <w:t>Humanos</w:t>
      </w:r>
      <w:r>
        <w:rPr>
          <w:spacing w:val="-1"/>
          <w:w w:val="105"/>
        </w:rPr>
        <w:t xml:space="preserve"> </w:t>
      </w:r>
      <w:r>
        <w:rPr>
          <w:w w:val="105"/>
        </w:rPr>
        <w:t>también</w:t>
      </w:r>
      <w:r>
        <w:rPr>
          <w:spacing w:val="-1"/>
          <w:w w:val="105"/>
        </w:rPr>
        <w:t xml:space="preserve"> </w:t>
      </w:r>
      <w:r>
        <w:rPr>
          <w:w w:val="105"/>
        </w:rPr>
        <w:t>ha</w:t>
      </w:r>
      <w:r>
        <w:rPr>
          <w:spacing w:val="-1"/>
          <w:w w:val="105"/>
        </w:rPr>
        <w:t xml:space="preserve"> </w:t>
      </w:r>
      <w:r>
        <w:rPr>
          <w:w w:val="105"/>
        </w:rPr>
        <w:t>afirmado</w:t>
      </w:r>
      <w:r>
        <w:rPr>
          <w:spacing w:val="-1"/>
          <w:w w:val="105"/>
        </w:rPr>
        <w:t xml:space="preserve"> </w:t>
      </w:r>
      <w:r>
        <w:rPr>
          <w:w w:val="105"/>
        </w:rPr>
        <w:t>los</w:t>
      </w:r>
      <w:r>
        <w:rPr>
          <w:spacing w:val="-1"/>
          <w:w w:val="105"/>
        </w:rPr>
        <w:t xml:space="preserve"> </w:t>
      </w:r>
      <w:r>
        <w:rPr>
          <w:w w:val="105"/>
        </w:rPr>
        <w:t>derechos</w:t>
      </w:r>
      <w:r>
        <w:rPr>
          <w:spacing w:val="-1"/>
          <w:w w:val="105"/>
        </w:rPr>
        <w:t xml:space="preserve"> </w:t>
      </w:r>
      <w:r>
        <w:rPr>
          <w:w w:val="105"/>
        </w:rPr>
        <w:t>de</w:t>
      </w:r>
      <w:r>
        <w:rPr>
          <w:spacing w:val="-1"/>
          <w:w w:val="105"/>
        </w:rPr>
        <w:t xml:space="preserve"> </w:t>
      </w:r>
      <w:r>
        <w:rPr>
          <w:w w:val="105"/>
        </w:rPr>
        <w:t>los</w:t>
      </w:r>
      <w:r>
        <w:rPr>
          <w:spacing w:val="-1"/>
          <w:w w:val="105"/>
        </w:rPr>
        <w:t xml:space="preserve"> </w:t>
      </w:r>
      <w:r>
        <w:rPr>
          <w:w w:val="105"/>
        </w:rPr>
        <w:t>pueblos indígenas.</w:t>
      </w:r>
      <w:r>
        <w:rPr>
          <w:spacing w:val="-7"/>
          <w:w w:val="105"/>
        </w:rPr>
        <w:t xml:space="preserve"> </w:t>
      </w:r>
      <w:r>
        <w:rPr>
          <w:w w:val="105"/>
        </w:rPr>
        <w:t>Por</w:t>
      </w:r>
      <w:r>
        <w:rPr>
          <w:spacing w:val="-8"/>
          <w:w w:val="105"/>
        </w:rPr>
        <w:t xml:space="preserve"> </w:t>
      </w:r>
      <w:r>
        <w:rPr>
          <w:w w:val="105"/>
        </w:rPr>
        <w:t>ejemplo,</w:t>
      </w:r>
      <w:r>
        <w:rPr>
          <w:spacing w:val="-7"/>
          <w:w w:val="105"/>
        </w:rPr>
        <w:t xml:space="preserve"> </w:t>
      </w:r>
      <w:r>
        <w:rPr>
          <w:w w:val="105"/>
        </w:rPr>
        <w:t>en</w:t>
      </w:r>
      <w:r>
        <w:rPr>
          <w:spacing w:val="-8"/>
          <w:w w:val="105"/>
        </w:rPr>
        <w:t xml:space="preserve"> </w:t>
      </w:r>
      <w:r>
        <w:rPr>
          <w:w w:val="105"/>
        </w:rPr>
        <w:t>el</w:t>
      </w:r>
      <w:r>
        <w:rPr>
          <w:spacing w:val="-8"/>
          <w:w w:val="105"/>
        </w:rPr>
        <w:t xml:space="preserve"> </w:t>
      </w:r>
      <w:r>
        <w:rPr>
          <w:w w:val="105"/>
        </w:rPr>
        <w:t>caso</w:t>
      </w:r>
      <w:r>
        <w:rPr>
          <w:spacing w:val="-8"/>
          <w:w w:val="105"/>
        </w:rPr>
        <w:t xml:space="preserve"> </w:t>
      </w:r>
      <w:proofErr w:type="spellStart"/>
      <w:r>
        <w:rPr>
          <w:w w:val="105"/>
        </w:rPr>
        <w:t>Awas</w:t>
      </w:r>
      <w:proofErr w:type="spellEnd"/>
      <w:r>
        <w:rPr>
          <w:spacing w:val="-8"/>
          <w:w w:val="105"/>
        </w:rPr>
        <w:t xml:space="preserve"> </w:t>
      </w:r>
      <w:proofErr w:type="spellStart"/>
      <w:proofErr w:type="gramStart"/>
      <w:r>
        <w:rPr>
          <w:w w:val="105"/>
        </w:rPr>
        <w:t>Tingni</w:t>
      </w:r>
      <w:proofErr w:type="spellEnd"/>
      <w:r>
        <w:rPr>
          <w:spacing w:val="-8"/>
          <w:w w:val="105"/>
        </w:rPr>
        <w:t xml:space="preserve"> </w:t>
      </w:r>
      <w:r>
        <w:rPr>
          <w:w w:val="105"/>
        </w:rPr>
        <w:t>,</w:t>
      </w:r>
      <w:proofErr w:type="gramEnd"/>
      <w:r>
        <w:rPr>
          <w:spacing w:val="-8"/>
          <w:w w:val="105"/>
        </w:rPr>
        <w:t xml:space="preserve"> </w:t>
      </w:r>
      <w:r>
        <w:rPr>
          <w:w w:val="105"/>
        </w:rPr>
        <w:t>la</w:t>
      </w:r>
      <w:r>
        <w:rPr>
          <w:spacing w:val="-8"/>
          <w:w w:val="105"/>
        </w:rPr>
        <w:t xml:space="preserve"> </w:t>
      </w:r>
      <w:r>
        <w:rPr>
          <w:w w:val="105"/>
        </w:rPr>
        <w:t>Corte</w:t>
      </w:r>
      <w:r>
        <w:rPr>
          <w:spacing w:val="-8"/>
          <w:w w:val="105"/>
        </w:rPr>
        <w:t xml:space="preserve"> </w:t>
      </w:r>
      <w:r>
        <w:rPr>
          <w:w w:val="105"/>
        </w:rPr>
        <w:t>sostuvo</w:t>
      </w:r>
      <w:r>
        <w:rPr>
          <w:spacing w:val="-8"/>
          <w:w w:val="105"/>
        </w:rPr>
        <w:t xml:space="preserve"> </w:t>
      </w:r>
      <w:r>
        <w:rPr>
          <w:w w:val="105"/>
        </w:rPr>
        <w:t>que</w:t>
      </w:r>
      <w:r>
        <w:rPr>
          <w:spacing w:val="-8"/>
          <w:w w:val="105"/>
        </w:rPr>
        <w:t xml:space="preserve"> </w:t>
      </w:r>
      <w:r>
        <w:rPr>
          <w:w w:val="105"/>
        </w:rPr>
        <w:t>Nicaragua</w:t>
      </w:r>
      <w:r>
        <w:rPr>
          <w:spacing w:val="-8"/>
          <w:w w:val="105"/>
        </w:rPr>
        <w:t xml:space="preserve"> </w:t>
      </w:r>
      <w:r>
        <w:rPr>
          <w:w w:val="105"/>
        </w:rPr>
        <w:t>no</w:t>
      </w:r>
      <w:r>
        <w:rPr>
          <w:spacing w:val="-8"/>
          <w:w w:val="105"/>
        </w:rPr>
        <w:t xml:space="preserve"> </w:t>
      </w:r>
      <w:r>
        <w:rPr>
          <w:w w:val="105"/>
        </w:rPr>
        <w:t>había</w:t>
      </w:r>
      <w:r>
        <w:rPr>
          <w:spacing w:val="-8"/>
          <w:w w:val="105"/>
        </w:rPr>
        <w:t xml:space="preserve"> </w:t>
      </w:r>
      <w:r>
        <w:rPr>
          <w:w w:val="105"/>
        </w:rPr>
        <w:t>adoptado</w:t>
      </w:r>
      <w:r>
        <w:rPr>
          <w:spacing w:val="-8"/>
          <w:w w:val="105"/>
        </w:rPr>
        <w:t xml:space="preserve"> </w:t>
      </w:r>
      <w:r>
        <w:rPr>
          <w:w w:val="105"/>
        </w:rPr>
        <w:t>medidas</w:t>
      </w:r>
      <w:r>
        <w:rPr>
          <w:spacing w:val="-8"/>
          <w:w w:val="105"/>
        </w:rPr>
        <w:t xml:space="preserve"> </w:t>
      </w:r>
      <w:r>
        <w:rPr>
          <w:w w:val="105"/>
        </w:rPr>
        <w:t>jurídicas</w:t>
      </w:r>
      <w:r>
        <w:rPr>
          <w:spacing w:val="-8"/>
          <w:w w:val="105"/>
        </w:rPr>
        <w:t xml:space="preserve"> </w:t>
      </w:r>
      <w:r>
        <w:rPr>
          <w:w w:val="105"/>
        </w:rPr>
        <w:t>internas adecuadas</w:t>
      </w:r>
      <w:r>
        <w:rPr>
          <w:spacing w:val="-4"/>
          <w:w w:val="105"/>
        </w:rPr>
        <w:t xml:space="preserve"> </w:t>
      </w:r>
      <w:r>
        <w:rPr>
          <w:w w:val="105"/>
        </w:rPr>
        <w:t>para</w:t>
      </w:r>
      <w:r>
        <w:rPr>
          <w:spacing w:val="-4"/>
          <w:w w:val="105"/>
        </w:rPr>
        <w:t xml:space="preserve"> </w:t>
      </w:r>
      <w:r>
        <w:rPr>
          <w:w w:val="105"/>
        </w:rPr>
        <w:t>permitir</w:t>
      </w:r>
      <w:r>
        <w:rPr>
          <w:spacing w:val="-4"/>
          <w:w w:val="105"/>
        </w:rPr>
        <w:t xml:space="preserve"> </w:t>
      </w:r>
      <w:r>
        <w:rPr>
          <w:w w:val="105"/>
        </w:rPr>
        <w:t>la</w:t>
      </w:r>
      <w:r>
        <w:rPr>
          <w:spacing w:val="-4"/>
          <w:w w:val="105"/>
        </w:rPr>
        <w:t xml:space="preserve"> </w:t>
      </w:r>
      <w:r>
        <w:rPr>
          <w:w w:val="105"/>
        </w:rPr>
        <w:t>delimitación,</w:t>
      </w:r>
      <w:r>
        <w:rPr>
          <w:spacing w:val="-3"/>
          <w:w w:val="105"/>
        </w:rPr>
        <w:t xml:space="preserve"> </w:t>
      </w:r>
      <w:r>
        <w:rPr>
          <w:w w:val="105"/>
        </w:rPr>
        <w:t>demarcación</w:t>
      </w:r>
      <w:r>
        <w:rPr>
          <w:spacing w:val="-4"/>
          <w:w w:val="105"/>
        </w:rPr>
        <w:t xml:space="preserve"> </w:t>
      </w:r>
      <w:r>
        <w:rPr>
          <w:w w:val="105"/>
        </w:rPr>
        <w:t>y</w:t>
      </w:r>
      <w:r>
        <w:rPr>
          <w:spacing w:val="-4"/>
          <w:w w:val="105"/>
        </w:rPr>
        <w:t xml:space="preserve"> </w:t>
      </w:r>
      <w:r>
        <w:rPr>
          <w:w w:val="105"/>
        </w:rPr>
        <w:t>titulación</w:t>
      </w:r>
      <w:r>
        <w:rPr>
          <w:spacing w:val="-4"/>
          <w:w w:val="105"/>
        </w:rPr>
        <w:t xml:space="preserve"> </w:t>
      </w:r>
      <w:r>
        <w:rPr>
          <w:w w:val="105"/>
        </w:rPr>
        <w:t>de</w:t>
      </w:r>
      <w:r>
        <w:rPr>
          <w:spacing w:val="-4"/>
          <w:w w:val="105"/>
        </w:rPr>
        <w:t xml:space="preserve"> </w:t>
      </w:r>
      <w:r>
        <w:rPr>
          <w:w w:val="105"/>
        </w:rPr>
        <w:t>las</w:t>
      </w:r>
      <w:r>
        <w:rPr>
          <w:spacing w:val="-4"/>
          <w:w w:val="105"/>
        </w:rPr>
        <w:t xml:space="preserve"> </w:t>
      </w:r>
      <w:r>
        <w:rPr>
          <w:w w:val="105"/>
        </w:rPr>
        <w:t>tierras</w:t>
      </w:r>
      <w:r>
        <w:rPr>
          <w:spacing w:val="-4"/>
          <w:w w:val="105"/>
        </w:rPr>
        <w:t xml:space="preserve"> </w:t>
      </w:r>
      <w:r>
        <w:rPr>
          <w:w w:val="105"/>
        </w:rPr>
        <w:t>comunales</w:t>
      </w:r>
      <w:r>
        <w:rPr>
          <w:spacing w:val="-4"/>
          <w:w w:val="105"/>
        </w:rPr>
        <w:t xml:space="preserve"> </w:t>
      </w:r>
      <w:r>
        <w:rPr>
          <w:w w:val="105"/>
        </w:rPr>
        <w:t>reclamadas</w:t>
      </w:r>
      <w:r>
        <w:rPr>
          <w:spacing w:val="-4"/>
          <w:w w:val="105"/>
        </w:rPr>
        <w:t xml:space="preserve"> </w:t>
      </w:r>
      <w:r>
        <w:rPr>
          <w:w w:val="105"/>
        </w:rPr>
        <w:t>por</w:t>
      </w:r>
      <w:r>
        <w:rPr>
          <w:spacing w:val="-4"/>
          <w:w w:val="105"/>
        </w:rPr>
        <w:t xml:space="preserve"> </w:t>
      </w:r>
      <w:r>
        <w:rPr>
          <w:w w:val="105"/>
        </w:rPr>
        <w:t>la</w:t>
      </w:r>
      <w:r>
        <w:rPr>
          <w:spacing w:val="-4"/>
          <w:w w:val="105"/>
        </w:rPr>
        <w:t xml:space="preserve"> </w:t>
      </w:r>
      <w:r>
        <w:rPr>
          <w:w w:val="105"/>
        </w:rPr>
        <w:t>comunidad</w:t>
      </w:r>
      <w:r>
        <w:rPr>
          <w:spacing w:val="-4"/>
          <w:w w:val="105"/>
        </w:rPr>
        <w:t xml:space="preserve"> </w:t>
      </w:r>
      <w:proofErr w:type="spellStart"/>
      <w:r>
        <w:rPr>
          <w:w w:val="105"/>
        </w:rPr>
        <w:t>Awas</w:t>
      </w:r>
      <w:proofErr w:type="spellEnd"/>
      <w:r>
        <w:rPr>
          <w:w w:val="105"/>
        </w:rPr>
        <w:t xml:space="preserve"> </w:t>
      </w:r>
      <w:proofErr w:type="spellStart"/>
      <w:r>
        <w:rPr>
          <w:w w:val="105"/>
        </w:rPr>
        <w:t>Tingni</w:t>
      </w:r>
      <w:proofErr w:type="spellEnd"/>
      <w:r>
        <w:rPr>
          <w:w w:val="105"/>
        </w:rPr>
        <w:t>,</w:t>
      </w:r>
      <w:r>
        <w:rPr>
          <w:spacing w:val="-2"/>
          <w:w w:val="105"/>
        </w:rPr>
        <w:t xml:space="preserve"> </w:t>
      </w:r>
      <w:r>
        <w:rPr>
          <w:w w:val="105"/>
        </w:rPr>
        <w:t>ni</w:t>
      </w:r>
      <w:r>
        <w:rPr>
          <w:spacing w:val="-3"/>
          <w:w w:val="105"/>
        </w:rPr>
        <w:t xml:space="preserve"> </w:t>
      </w:r>
      <w:r>
        <w:rPr>
          <w:w w:val="105"/>
        </w:rPr>
        <w:t>había</w:t>
      </w:r>
      <w:r>
        <w:rPr>
          <w:spacing w:val="-3"/>
          <w:w w:val="105"/>
        </w:rPr>
        <w:t xml:space="preserve"> </w:t>
      </w:r>
      <w:r>
        <w:rPr>
          <w:w w:val="105"/>
        </w:rPr>
        <w:t>tramitado</w:t>
      </w:r>
      <w:r>
        <w:rPr>
          <w:spacing w:val="-3"/>
          <w:w w:val="105"/>
        </w:rPr>
        <w:t xml:space="preserve"> </w:t>
      </w:r>
      <w:r>
        <w:rPr>
          <w:w w:val="105"/>
        </w:rPr>
        <w:t>el</w:t>
      </w:r>
      <w:r>
        <w:rPr>
          <w:spacing w:val="-3"/>
          <w:w w:val="105"/>
        </w:rPr>
        <w:t xml:space="preserve"> </w:t>
      </w:r>
      <w:r>
        <w:rPr>
          <w:w w:val="105"/>
        </w:rPr>
        <w:t>recurso</w:t>
      </w:r>
      <w:r>
        <w:rPr>
          <w:spacing w:val="-3"/>
          <w:w w:val="105"/>
        </w:rPr>
        <w:t xml:space="preserve"> </w:t>
      </w:r>
      <w:r>
        <w:rPr>
          <w:w w:val="105"/>
        </w:rPr>
        <w:t>de</w:t>
      </w:r>
      <w:r>
        <w:rPr>
          <w:spacing w:val="-3"/>
          <w:w w:val="105"/>
        </w:rPr>
        <w:t xml:space="preserve"> </w:t>
      </w:r>
      <w:r>
        <w:rPr>
          <w:w w:val="105"/>
        </w:rPr>
        <w:t>amparo</w:t>
      </w:r>
      <w:r>
        <w:rPr>
          <w:spacing w:val="-3"/>
          <w:w w:val="105"/>
        </w:rPr>
        <w:t xml:space="preserve"> </w:t>
      </w:r>
      <w:r>
        <w:rPr>
          <w:w w:val="105"/>
        </w:rPr>
        <w:t>interpuesto</w:t>
      </w:r>
      <w:r>
        <w:rPr>
          <w:spacing w:val="-3"/>
          <w:w w:val="105"/>
        </w:rPr>
        <w:t xml:space="preserve"> </w:t>
      </w:r>
      <w:r>
        <w:rPr>
          <w:w w:val="105"/>
        </w:rPr>
        <w:t>por</w:t>
      </w:r>
      <w:r>
        <w:rPr>
          <w:spacing w:val="-3"/>
          <w:w w:val="105"/>
        </w:rPr>
        <w:t xml:space="preserve"> </w:t>
      </w:r>
      <w:r>
        <w:rPr>
          <w:w w:val="105"/>
        </w:rPr>
        <w:t>sus</w:t>
      </w:r>
      <w:r>
        <w:rPr>
          <w:spacing w:val="-3"/>
          <w:w w:val="105"/>
        </w:rPr>
        <w:t xml:space="preserve"> </w:t>
      </w:r>
      <w:r>
        <w:rPr>
          <w:w w:val="105"/>
        </w:rPr>
        <w:t>miembros.</w:t>
      </w:r>
      <w:r>
        <w:rPr>
          <w:spacing w:val="-2"/>
          <w:w w:val="105"/>
        </w:rPr>
        <w:t xml:space="preserve"> </w:t>
      </w:r>
      <w:r>
        <w:rPr>
          <w:w w:val="105"/>
        </w:rPr>
        <w:t>de</w:t>
      </w:r>
      <w:r>
        <w:rPr>
          <w:spacing w:val="-3"/>
          <w:w w:val="105"/>
        </w:rPr>
        <w:t xml:space="preserve"> </w:t>
      </w:r>
      <w:r>
        <w:rPr>
          <w:w w:val="105"/>
        </w:rPr>
        <w:t>la</w:t>
      </w:r>
      <w:r>
        <w:rPr>
          <w:spacing w:val="-3"/>
          <w:w w:val="105"/>
        </w:rPr>
        <w:t xml:space="preserve"> </w:t>
      </w:r>
      <w:r>
        <w:rPr>
          <w:w w:val="105"/>
        </w:rPr>
        <w:t>comunidad</w:t>
      </w:r>
      <w:r>
        <w:rPr>
          <w:spacing w:val="-3"/>
          <w:w w:val="105"/>
        </w:rPr>
        <w:t xml:space="preserve"> </w:t>
      </w:r>
      <w:r>
        <w:rPr>
          <w:w w:val="105"/>
        </w:rPr>
        <w:t>en</w:t>
      </w:r>
      <w:r>
        <w:rPr>
          <w:spacing w:val="-3"/>
          <w:w w:val="105"/>
        </w:rPr>
        <w:t xml:space="preserve"> </w:t>
      </w:r>
      <w:r>
        <w:rPr>
          <w:w w:val="105"/>
        </w:rPr>
        <w:t>un</w:t>
      </w:r>
      <w:r>
        <w:rPr>
          <w:spacing w:val="-3"/>
          <w:w w:val="105"/>
        </w:rPr>
        <w:t xml:space="preserve"> </w:t>
      </w:r>
      <w:r>
        <w:rPr>
          <w:w w:val="105"/>
        </w:rPr>
        <w:t>plazo</w:t>
      </w:r>
      <w:r>
        <w:rPr>
          <w:spacing w:val="-3"/>
          <w:w w:val="105"/>
        </w:rPr>
        <w:t xml:space="preserve"> </w:t>
      </w:r>
      <w:r>
        <w:rPr>
          <w:w w:val="105"/>
        </w:rPr>
        <w:t>razonable.</w:t>
      </w:r>
      <w:r>
        <w:rPr>
          <w:spacing w:val="-2"/>
          <w:w w:val="105"/>
        </w:rPr>
        <w:t xml:space="preserve"> </w:t>
      </w:r>
      <w:r>
        <w:rPr>
          <w:w w:val="105"/>
        </w:rPr>
        <w:t>En consecuencia,</w:t>
      </w:r>
      <w:r>
        <w:rPr>
          <w:spacing w:val="-3"/>
          <w:w w:val="105"/>
        </w:rPr>
        <w:t xml:space="preserve"> </w:t>
      </w:r>
      <w:r>
        <w:rPr>
          <w:w w:val="105"/>
        </w:rPr>
        <w:t>la</w:t>
      </w:r>
      <w:r>
        <w:rPr>
          <w:spacing w:val="-4"/>
          <w:w w:val="105"/>
        </w:rPr>
        <w:t xml:space="preserve"> </w:t>
      </w:r>
      <w:r>
        <w:rPr>
          <w:w w:val="105"/>
        </w:rPr>
        <w:t>Corte</w:t>
      </w:r>
      <w:r>
        <w:rPr>
          <w:spacing w:val="-4"/>
          <w:w w:val="105"/>
        </w:rPr>
        <w:t xml:space="preserve"> </w:t>
      </w:r>
      <w:r>
        <w:rPr>
          <w:w w:val="105"/>
        </w:rPr>
        <w:t>encontró</w:t>
      </w:r>
      <w:r>
        <w:rPr>
          <w:spacing w:val="-4"/>
          <w:w w:val="105"/>
        </w:rPr>
        <w:t xml:space="preserve"> </w:t>
      </w:r>
      <w:r>
        <w:rPr>
          <w:w w:val="105"/>
        </w:rPr>
        <w:t>una</w:t>
      </w:r>
      <w:r>
        <w:rPr>
          <w:spacing w:val="-4"/>
          <w:w w:val="105"/>
        </w:rPr>
        <w:t xml:space="preserve"> </w:t>
      </w:r>
      <w:r>
        <w:rPr>
          <w:w w:val="105"/>
        </w:rPr>
        <w:t>violación</w:t>
      </w:r>
      <w:r>
        <w:rPr>
          <w:spacing w:val="-4"/>
          <w:w w:val="105"/>
        </w:rPr>
        <w:t xml:space="preserve"> </w:t>
      </w:r>
      <w:r>
        <w:rPr>
          <w:w w:val="105"/>
        </w:rPr>
        <w:t>del</w:t>
      </w:r>
      <w:r>
        <w:rPr>
          <w:spacing w:val="-4"/>
          <w:w w:val="105"/>
        </w:rPr>
        <w:t xml:space="preserve"> </w:t>
      </w:r>
      <w:r>
        <w:rPr>
          <w:w w:val="105"/>
        </w:rPr>
        <w:t>derecho</w:t>
      </w:r>
      <w:r>
        <w:rPr>
          <w:spacing w:val="-4"/>
          <w:w w:val="105"/>
        </w:rPr>
        <w:t xml:space="preserve"> </w:t>
      </w:r>
      <w:r>
        <w:rPr>
          <w:w w:val="105"/>
        </w:rPr>
        <w:t>a</w:t>
      </w:r>
      <w:r>
        <w:rPr>
          <w:spacing w:val="-4"/>
          <w:w w:val="105"/>
        </w:rPr>
        <w:t xml:space="preserve"> </w:t>
      </w:r>
      <w:r>
        <w:rPr>
          <w:w w:val="105"/>
        </w:rPr>
        <w:t>la</w:t>
      </w:r>
      <w:r>
        <w:rPr>
          <w:spacing w:val="-4"/>
          <w:w w:val="105"/>
        </w:rPr>
        <w:t xml:space="preserve"> </w:t>
      </w:r>
      <w:r>
        <w:rPr>
          <w:w w:val="105"/>
        </w:rPr>
        <w:t>protección</w:t>
      </w:r>
      <w:r>
        <w:rPr>
          <w:spacing w:val="-4"/>
          <w:w w:val="105"/>
        </w:rPr>
        <w:t xml:space="preserve"> </w:t>
      </w:r>
      <w:r>
        <w:rPr>
          <w:w w:val="105"/>
        </w:rPr>
        <w:t>judicial</w:t>
      </w:r>
      <w:r>
        <w:rPr>
          <w:spacing w:val="-4"/>
          <w:w w:val="105"/>
        </w:rPr>
        <w:t xml:space="preserve"> </w:t>
      </w:r>
      <w:r>
        <w:rPr>
          <w:w w:val="105"/>
        </w:rPr>
        <w:t>(artículo</w:t>
      </w:r>
      <w:r>
        <w:rPr>
          <w:spacing w:val="-4"/>
          <w:w w:val="105"/>
        </w:rPr>
        <w:t xml:space="preserve"> </w:t>
      </w:r>
      <w:r>
        <w:rPr>
          <w:w w:val="105"/>
        </w:rPr>
        <w:t>25</w:t>
      </w:r>
      <w:r>
        <w:rPr>
          <w:spacing w:val="-4"/>
          <w:w w:val="105"/>
        </w:rPr>
        <w:t xml:space="preserve"> </w:t>
      </w:r>
      <w:r>
        <w:rPr>
          <w:w w:val="105"/>
        </w:rPr>
        <w:t>de</w:t>
      </w:r>
      <w:r>
        <w:rPr>
          <w:spacing w:val="-4"/>
          <w:w w:val="105"/>
        </w:rPr>
        <w:t xml:space="preserve"> </w:t>
      </w:r>
      <w:r>
        <w:rPr>
          <w:w w:val="105"/>
        </w:rPr>
        <w:t>la</w:t>
      </w:r>
      <w:r>
        <w:rPr>
          <w:spacing w:val="-4"/>
          <w:w w:val="105"/>
        </w:rPr>
        <w:t xml:space="preserve"> </w:t>
      </w:r>
      <w:r>
        <w:rPr>
          <w:w w:val="105"/>
        </w:rPr>
        <w:t>Convención</w:t>
      </w:r>
      <w:r>
        <w:rPr>
          <w:spacing w:val="-4"/>
          <w:w w:val="105"/>
        </w:rPr>
        <w:t xml:space="preserve"> </w:t>
      </w:r>
      <w:r>
        <w:rPr>
          <w:w w:val="105"/>
        </w:rPr>
        <w:t>Americana sobre</w:t>
      </w:r>
      <w:r>
        <w:rPr>
          <w:spacing w:val="-1"/>
          <w:w w:val="105"/>
        </w:rPr>
        <w:t xml:space="preserve"> </w:t>
      </w:r>
      <w:r>
        <w:rPr>
          <w:w w:val="105"/>
        </w:rPr>
        <w:t>Derechos</w:t>
      </w:r>
      <w:r>
        <w:rPr>
          <w:spacing w:val="-1"/>
          <w:w w:val="105"/>
        </w:rPr>
        <w:t xml:space="preserve"> </w:t>
      </w:r>
      <w:r>
        <w:rPr>
          <w:w w:val="105"/>
        </w:rPr>
        <w:t>Humanos)</w:t>
      </w:r>
      <w:r>
        <w:rPr>
          <w:spacing w:val="-1"/>
          <w:w w:val="105"/>
        </w:rPr>
        <w:t xml:space="preserve"> </w:t>
      </w:r>
      <w:r>
        <w:rPr>
          <w:w w:val="105"/>
        </w:rPr>
        <w:t>y</w:t>
      </w:r>
      <w:r>
        <w:rPr>
          <w:spacing w:val="-1"/>
          <w:w w:val="105"/>
        </w:rPr>
        <w:t xml:space="preserve"> </w:t>
      </w:r>
      <w:r>
        <w:rPr>
          <w:w w:val="105"/>
        </w:rPr>
        <w:t>del</w:t>
      </w:r>
      <w:r>
        <w:rPr>
          <w:spacing w:val="-1"/>
          <w:w w:val="105"/>
        </w:rPr>
        <w:t xml:space="preserve"> </w:t>
      </w:r>
      <w:r>
        <w:rPr>
          <w:w w:val="105"/>
        </w:rPr>
        <w:t>derecho</w:t>
      </w:r>
      <w:r>
        <w:rPr>
          <w:spacing w:val="-1"/>
          <w:w w:val="105"/>
        </w:rPr>
        <w:t xml:space="preserve"> </w:t>
      </w:r>
      <w:r>
        <w:rPr>
          <w:w w:val="105"/>
        </w:rPr>
        <w:t>a</w:t>
      </w:r>
      <w:r>
        <w:rPr>
          <w:spacing w:val="-1"/>
          <w:w w:val="105"/>
        </w:rPr>
        <w:t xml:space="preserve"> </w:t>
      </w:r>
      <w:r>
        <w:rPr>
          <w:w w:val="105"/>
        </w:rPr>
        <w:t>la</w:t>
      </w:r>
      <w:r>
        <w:rPr>
          <w:spacing w:val="-1"/>
          <w:w w:val="105"/>
        </w:rPr>
        <w:t xml:space="preserve"> </w:t>
      </w:r>
      <w:r>
        <w:rPr>
          <w:w w:val="105"/>
        </w:rPr>
        <w:t>propiedad</w:t>
      </w:r>
      <w:r>
        <w:rPr>
          <w:spacing w:val="-1"/>
          <w:w w:val="105"/>
        </w:rPr>
        <w:t xml:space="preserve"> </w:t>
      </w:r>
      <w:r>
        <w:rPr>
          <w:w w:val="105"/>
        </w:rPr>
        <w:t>(art.</w:t>
      </w:r>
      <w:r>
        <w:rPr>
          <w:spacing w:val="-1"/>
          <w:w w:val="105"/>
        </w:rPr>
        <w:t xml:space="preserve"> </w:t>
      </w:r>
      <w:r>
        <w:rPr>
          <w:w w:val="105"/>
        </w:rPr>
        <w:t>21),</w:t>
      </w:r>
      <w:r>
        <w:rPr>
          <w:spacing w:val="-1"/>
          <w:w w:val="105"/>
        </w:rPr>
        <w:t xml:space="preserve"> </w:t>
      </w:r>
      <w:r>
        <w:rPr>
          <w:w w:val="105"/>
        </w:rPr>
        <w:t>en</w:t>
      </w:r>
      <w:r>
        <w:rPr>
          <w:spacing w:val="-1"/>
          <w:w w:val="105"/>
        </w:rPr>
        <w:t xml:space="preserve"> </w:t>
      </w:r>
      <w:r>
        <w:rPr>
          <w:w w:val="105"/>
        </w:rPr>
        <w:t>relación</w:t>
      </w:r>
      <w:r>
        <w:rPr>
          <w:spacing w:val="-1"/>
          <w:w w:val="105"/>
        </w:rPr>
        <w:t xml:space="preserve"> </w:t>
      </w:r>
      <w:r>
        <w:rPr>
          <w:w w:val="105"/>
        </w:rPr>
        <w:t>con</w:t>
      </w:r>
      <w:r>
        <w:rPr>
          <w:spacing w:val="-1"/>
          <w:w w:val="105"/>
        </w:rPr>
        <w:t xml:space="preserve"> </w:t>
      </w:r>
      <w:r>
        <w:rPr>
          <w:w w:val="105"/>
        </w:rPr>
        <w:t>la</w:t>
      </w:r>
      <w:r>
        <w:rPr>
          <w:spacing w:val="-1"/>
          <w:w w:val="105"/>
        </w:rPr>
        <w:t xml:space="preserve"> </w:t>
      </w:r>
      <w:r>
        <w:rPr>
          <w:w w:val="105"/>
        </w:rPr>
        <w:t>obligación</w:t>
      </w:r>
      <w:r>
        <w:rPr>
          <w:spacing w:val="-1"/>
          <w:w w:val="105"/>
        </w:rPr>
        <w:t xml:space="preserve"> </w:t>
      </w:r>
      <w:r>
        <w:rPr>
          <w:w w:val="105"/>
        </w:rPr>
        <w:t>de</w:t>
      </w:r>
      <w:r>
        <w:rPr>
          <w:spacing w:val="-1"/>
          <w:w w:val="105"/>
        </w:rPr>
        <w:t xml:space="preserve"> </w:t>
      </w:r>
      <w:r>
        <w:rPr>
          <w:w w:val="105"/>
        </w:rPr>
        <w:t>respetar</w:t>
      </w:r>
      <w:r>
        <w:rPr>
          <w:spacing w:val="-1"/>
          <w:w w:val="105"/>
        </w:rPr>
        <w:t xml:space="preserve"> </w:t>
      </w:r>
      <w:r>
        <w:rPr>
          <w:w w:val="105"/>
        </w:rPr>
        <w:t>los</w:t>
      </w:r>
      <w:r>
        <w:rPr>
          <w:spacing w:val="-1"/>
          <w:w w:val="105"/>
        </w:rPr>
        <w:t xml:space="preserve"> </w:t>
      </w:r>
      <w:r>
        <w:rPr>
          <w:w w:val="105"/>
        </w:rPr>
        <w:t>derechos</w:t>
      </w:r>
      <w:r>
        <w:rPr>
          <w:spacing w:val="-1"/>
          <w:w w:val="105"/>
        </w:rPr>
        <w:t xml:space="preserve"> </w:t>
      </w:r>
      <w:r>
        <w:rPr>
          <w:w w:val="105"/>
        </w:rPr>
        <w:t>sin discriminación</w:t>
      </w:r>
      <w:r>
        <w:rPr>
          <w:spacing w:val="-3"/>
          <w:w w:val="105"/>
        </w:rPr>
        <w:t xml:space="preserve"> </w:t>
      </w:r>
      <w:r>
        <w:rPr>
          <w:w w:val="105"/>
        </w:rPr>
        <w:t>alguna</w:t>
      </w:r>
      <w:r>
        <w:rPr>
          <w:spacing w:val="-3"/>
          <w:w w:val="105"/>
        </w:rPr>
        <w:t xml:space="preserve"> </w:t>
      </w:r>
      <w:r>
        <w:rPr>
          <w:w w:val="105"/>
        </w:rPr>
        <w:t>(</w:t>
      </w:r>
      <w:r>
        <w:rPr>
          <w:spacing w:val="-3"/>
          <w:w w:val="105"/>
        </w:rPr>
        <w:t xml:space="preserve"> </w:t>
      </w:r>
      <w:r>
        <w:rPr>
          <w:w w:val="105"/>
        </w:rPr>
        <w:t>art.</w:t>
      </w:r>
      <w:r>
        <w:rPr>
          <w:spacing w:val="-3"/>
          <w:w w:val="105"/>
        </w:rPr>
        <w:t xml:space="preserve"> </w:t>
      </w:r>
      <w:r>
        <w:rPr>
          <w:w w:val="105"/>
        </w:rPr>
        <w:t>1</w:t>
      </w:r>
      <w:r>
        <w:rPr>
          <w:spacing w:val="-3"/>
          <w:w w:val="105"/>
        </w:rPr>
        <w:t xml:space="preserve"> </w:t>
      </w:r>
      <w:r>
        <w:rPr>
          <w:w w:val="105"/>
        </w:rPr>
        <w:t>(1)).1099</w:t>
      </w:r>
      <w:r>
        <w:rPr>
          <w:spacing w:val="-3"/>
          <w:w w:val="105"/>
        </w:rPr>
        <w:t xml:space="preserve"> </w:t>
      </w:r>
      <w:r>
        <w:rPr>
          <w:w w:val="105"/>
        </w:rPr>
        <w:t>De</w:t>
      </w:r>
      <w:r>
        <w:rPr>
          <w:spacing w:val="-3"/>
          <w:w w:val="105"/>
        </w:rPr>
        <w:t xml:space="preserve"> </w:t>
      </w:r>
      <w:r>
        <w:rPr>
          <w:w w:val="105"/>
        </w:rPr>
        <w:t>manera</w:t>
      </w:r>
      <w:r>
        <w:rPr>
          <w:spacing w:val="-3"/>
          <w:w w:val="105"/>
        </w:rPr>
        <w:t xml:space="preserve"> </w:t>
      </w:r>
      <w:r>
        <w:rPr>
          <w:w w:val="105"/>
        </w:rPr>
        <w:t>similar,</w:t>
      </w:r>
      <w:r>
        <w:rPr>
          <w:spacing w:val="-2"/>
          <w:w w:val="105"/>
        </w:rPr>
        <w:t xml:space="preserve"> </w:t>
      </w:r>
      <w:r>
        <w:rPr>
          <w:w w:val="105"/>
        </w:rPr>
        <w:t>en</w:t>
      </w:r>
      <w:r>
        <w:rPr>
          <w:spacing w:val="-3"/>
          <w:w w:val="105"/>
        </w:rPr>
        <w:t xml:space="preserve"> </w:t>
      </w:r>
      <w:r>
        <w:rPr>
          <w:w w:val="105"/>
        </w:rPr>
        <w:t>el</w:t>
      </w:r>
      <w:r>
        <w:rPr>
          <w:spacing w:val="-3"/>
          <w:w w:val="105"/>
        </w:rPr>
        <w:t xml:space="preserve"> </w:t>
      </w:r>
      <w:r>
        <w:rPr>
          <w:w w:val="105"/>
        </w:rPr>
        <w:t>caso</w:t>
      </w:r>
      <w:r>
        <w:rPr>
          <w:spacing w:val="-3"/>
          <w:w w:val="105"/>
        </w:rPr>
        <w:t xml:space="preserve"> </w:t>
      </w:r>
      <w:r>
        <w:rPr>
          <w:w w:val="105"/>
        </w:rPr>
        <w:t>Comunidad</w:t>
      </w:r>
      <w:r>
        <w:rPr>
          <w:spacing w:val="-3"/>
          <w:w w:val="105"/>
        </w:rPr>
        <w:t xml:space="preserve"> </w:t>
      </w:r>
      <w:r>
        <w:rPr>
          <w:w w:val="105"/>
        </w:rPr>
        <w:t>Indígena</w:t>
      </w:r>
      <w:r>
        <w:rPr>
          <w:spacing w:val="-3"/>
          <w:w w:val="105"/>
        </w:rPr>
        <w:t xml:space="preserve"> </w:t>
      </w:r>
      <w:proofErr w:type="spellStart"/>
      <w:r>
        <w:rPr>
          <w:w w:val="105"/>
        </w:rPr>
        <w:t>Sawhoyamaxa</w:t>
      </w:r>
      <w:proofErr w:type="spellEnd"/>
      <w:r>
        <w:rPr>
          <w:spacing w:val="-3"/>
          <w:w w:val="105"/>
        </w:rPr>
        <w:t xml:space="preserve"> </w:t>
      </w:r>
      <w:r>
        <w:rPr>
          <w:w w:val="105"/>
        </w:rPr>
        <w:t>c.</w:t>
      </w:r>
      <w:r>
        <w:rPr>
          <w:spacing w:val="-3"/>
          <w:w w:val="105"/>
        </w:rPr>
        <w:t xml:space="preserve"> </w:t>
      </w:r>
      <w:r>
        <w:rPr>
          <w:w w:val="105"/>
        </w:rPr>
        <w:t>Paraguay</w:t>
      </w:r>
      <w:r>
        <w:rPr>
          <w:spacing w:val="-3"/>
          <w:w w:val="105"/>
        </w:rPr>
        <w:t xml:space="preserve"> </w:t>
      </w:r>
      <w:r>
        <w:rPr>
          <w:w w:val="105"/>
        </w:rPr>
        <w:t>,</w:t>
      </w:r>
      <w:r>
        <w:rPr>
          <w:spacing w:val="-3"/>
          <w:w w:val="105"/>
        </w:rPr>
        <w:t xml:space="preserve"> </w:t>
      </w:r>
      <w:r>
        <w:rPr>
          <w:w w:val="105"/>
        </w:rPr>
        <w:t>la Corte</w:t>
      </w:r>
      <w:r>
        <w:rPr>
          <w:spacing w:val="-1"/>
          <w:w w:val="105"/>
        </w:rPr>
        <w:t xml:space="preserve"> </w:t>
      </w:r>
      <w:r>
        <w:rPr>
          <w:w w:val="105"/>
        </w:rPr>
        <w:t>observó</w:t>
      </w:r>
      <w:r>
        <w:rPr>
          <w:spacing w:val="-1"/>
          <w:w w:val="105"/>
        </w:rPr>
        <w:t xml:space="preserve"> </w:t>
      </w:r>
      <w:r>
        <w:rPr>
          <w:w w:val="105"/>
        </w:rPr>
        <w:t>que</w:t>
      </w:r>
      <w:r>
        <w:rPr>
          <w:spacing w:val="-1"/>
          <w:w w:val="105"/>
        </w:rPr>
        <w:t xml:space="preserve"> </w:t>
      </w:r>
      <w:r>
        <w:rPr>
          <w:w w:val="105"/>
        </w:rPr>
        <w:t>la</w:t>
      </w:r>
      <w:r>
        <w:rPr>
          <w:spacing w:val="-1"/>
          <w:w w:val="105"/>
        </w:rPr>
        <w:t xml:space="preserve"> </w:t>
      </w:r>
      <w:r>
        <w:rPr>
          <w:w w:val="105"/>
        </w:rPr>
        <w:t>falta</w:t>
      </w:r>
      <w:r>
        <w:rPr>
          <w:spacing w:val="-1"/>
          <w:w w:val="105"/>
        </w:rPr>
        <w:t xml:space="preserve"> </w:t>
      </w:r>
      <w:r>
        <w:rPr>
          <w:w w:val="105"/>
        </w:rPr>
        <w:t>de</w:t>
      </w:r>
      <w:r>
        <w:rPr>
          <w:spacing w:val="-1"/>
          <w:w w:val="105"/>
        </w:rPr>
        <w:t xml:space="preserve"> </w:t>
      </w:r>
      <w:r>
        <w:rPr>
          <w:w w:val="105"/>
        </w:rPr>
        <w:t>reconocimiento</w:t>
      </w:r>
      <w:r>
        <w:rPr>
          <w:spacing w:val="-1"/>
          <w:w w:val="105"/>
        </w:rPr>
        <w:t xml:space="preserve"> </w:t>
      </w:r>
      <w:r>
        <w:rPr>
          <w:w w:val="105"/>
        </w:rPr>
        <w:t>de</w:t>
      </w:r>
      <w:r>
        <w:rPr>
          <w:spacing w:val="-1"/>
          <w:w w:val="105"/>
        </w:rPr>
        <w:t xml:space="preserve"> </w:t>
      </w:r>
      <w:r>
        <w:rPr>
          <w:w w:val="105"/>
        </w:rPr>
        <w:t>los</w:t>
      </w:r>
      <w:r>
        <w:rPr>
          <w:spacing w:val="-1"/>
          <w:w w:val="105"/>
        </w:rPr>
        <w:t xml:space="preserve"> </w:t>
      </w:r>
      <w:r>
        <w:rPr>
          <w:w w:val="105"/>
        </w:rPr>
        <w:t>derechos</w:t>
      </w:r>
      <w:r>
        <w:rPr>
          <w:spacing w:val="-1"/>
          <w:w w:val="105"/>
        </w:rPr>
        <w:t xml:space="preserve"> </w:t>
      </w:r>
      <w:r>
        <w:rPr>
          <w:w w:val="105"/>
        </w:rPr>
        <w:t>de</w:t>
      </w:r>
      <w:r>
        <w:rPr>
          <w:spacing w:val="-1"/>
          <w:w w:val="105"/>
        </w:rPr>
        <w:t xml:space="preserve"> </w:t>
      </w:r>
      <w:r>
        <w:rPr>
          <w:w w:val="105"/>
        </w:rPr>
        <w:t>propiedad</w:t>
      </w:r>
      <w:r>
        <w:rPr>
          <w:spacing w:val="-1"/>
          <w:w w:val="105"/>
        </w:rPr>
        <w:t xml:space="preserve"> </w:t>
      </w:r>
      <w:r>
        <w:rPr>
          <w:w w:val="105"/>
        </w:rPr>
        <w:t>colectiva</w:t>
      </w:r>
      <w:r>
        <w:rPr>
          <w:spacing w:val="-1"/>
          <w:w w:val="105"/>
        </w:rPr>
        <w:t xml:space="preserve"> </w:t>
      </w:r>
      <w:r>
        <w:rPr>
          <w:w w:val="105"/>
        </w:rPr>
        <w:t>de</w:t>
      </w:r>
      <w:r>
        <w:rPr>
          <w:spacing w:val="-1"/>
          <w:w w:val="105"/>
        </w:rPr>
        <w:t xml:space="preserve"> </w:t>
      </w:r>
      <w:r>
        <w:rPr>
          <w:w w:val="105"/>
        </w:rPr>
        <w:t>los</w:t>
      </w:r>
      <w:r>
        <w:rPr>
          <w:spacing w:val="-1"/>
          <w:w w:val="105"/>
        </w:rPr>
        <w:t xml:space="preserve"> </w:t>
      </w:r>
      <w:r>
        <w:rPr>
          <w:w w:val="105"/>
        </w:rPr>
        <w:t>pueblos</w:t>
      </w:r>
      <w:r>
        <w:rPr>
          <w:spacing w:val="-1"/>
          <w:w w:val="105"/>
        </w:rPr>
        <w:t xml:space="preserve"> </w:t>
      </w:r>
      <w:r>
        <w:rPr>
          <w:w w:val="105"/>
        </w:rPr>
        <w:t>indígenas</w:t>
      </w:r>
      <w:r>
        <w:rPr>
          <w:spacing w:val="-1"/>
          <w:w w:val="105"/>
        </w:rPr>
        <w:t xml:space="preserve"> </w:t>
      </w:r>
      <w:r>
        <w:rPr>
          <w:w w:val="105"/>
        </w:rPr>
        <w:t>sobre</w:t>
      </w:r>
      <w:r>
        <w:rPr>
          <w:spacing w:val="-1"/>
          <w:w w:val="105"/>
        </w:rPr>
        <w:t xml:space="preserve"> </w:t>
      </w:r>
      <w:r>
        <w:rPr>
          <w:w w:val="105"/>
        </w:rPr>
        <w:t>sus tierras</w:t>
      </w:r>
      <w:r>
        <w:rPr>
          <w:spacing w:val="-2"/>
          <w:w w:val="105"/>
        </w:rPr>
        <w:t xml:space="preserve"> </w:t>
      </w:r>
      <w:r>
        <w:rPr>
          <w:w w:val="105"/>
        </w:rPr>
        <w:t>ancestrales</w:t>
      </w:r>
      <w:r>
        <w:rPr>
          <w:spacing w:val="-2"/>
          <w:w w:val="105"/>
        </w:rPr>
        <w:t xml:space="preserve"> </w:t>
      </w:r>
      <w:r>
        <w:rPr>
          <w:w w:val="105"/>
        </w:rPr>
        <w:t>de</w:t>
      </w:r>
      <w:r>
        <w:rPr>
          <w:spacing w:val="-2"/>
          <w:w w:val="105"/>
        </w:rPr>
        <w:t xml:space="preserve"> </w:t>
      </w:r>
      <w:r>
        <w:rPr>
          <w:w w:val="105"/>
        </w:rPr>
        <w:t>la</w:t>
      </w:r>
      <w:r>
        <w:rPr>
          <w:spacing w:val="-2"/>
          <w:w w:val="105"/>
        </w:rPr>
        <w:t xml:space="preserve"> </w:t>
      </w:r>
      <w:r>
        <w:rPr>
          <w:w w:val="105"/>
        </w:rPr>
        <w:t>misma</w:t>
      </w:r>
      <w:r>
        <w:rPr>
          <w:spacing w:val="-2"/>
          <w:w w:val="105"/>
        </w:rPr>
        <w:t xml:space="preserve"> </w:t>
      </w:r>
      <w:r>
        <w:rPr>
          <w:w w:val="105"/>
        </w:rPr>
        <w:t>manera</w:t>
      </w:r>
      <w:r>
        <w:rPr>
          <w:spacing w:val="-2"/>
          <w:w w:val="105"/>
        </w:rPr>
        <w:t xml:space="preserve"> </w:t>
      </w:r>
      <w:r>
        <w:rPr>
          <w:w w:val="105"/>
        </w:rPr>
        <w:t>que</w:t>
      </w:r>
      <w:r>
        <w:rPr>
          <w:spacing w:val="-2"/>
          <w:w w:val="105"/>
        </w:rPr>
        <w:t xml:space="preserve"> </w:t>
      </w:r>
      <w:r>
        <w:rPr>
          <w:w w:val="105"/>
        </w:rPr>
        <w:t>otras</w:t>
      </w:r>
      <w:r>
        <w:rPr>
          <w:spacing w:val="-2"/>
          <w:w w:val="105"/>
        </w:rPr>
        <w:t xml:space="preserve"> </w:t>
      </w:r>
      <w:r>
        <w:rPr>
          <w:w w:val="105"/>
        </w:rPr>
        <w:t>formas</w:t>
      </w:r>
      <w:r>
        <w:rPr>
          <w:spacing w:val="-2"/>
          <w:w w:val="105"/>
        </w:rPr>
        <w:t xml:space="preserve"> </w:t>
      </w:r>
      <w:r>
        <w:rPr>
          <w:w w:val="105"/>
        </w:rPr>
        <w:t>de</w:t>
      </w:r>
      <w:r>
        <w:rPr>
          <w:spacing w:val="-2"/>
          <w:w w:val="105"/>
        </w:rPr>
        <w:t xml:space="preserve"> </w:t>
      </w:r>
      <w:r>
        <w:rPr>
          <w:w w:val="105"/>
        </w:rPr>
        <w:t>propiedad</w:t>
      </w:r>
      <w:r>
        <w:rPr>
          <w:spacing w:val="-2"/>
          <w:w w:val="105"/>
        </w:rPr>
        <w:t xml:space="preserve"> </w:t>
      </w:r>
      <w:r>
        <w:rPr>
          <w:w w:val="105"/>
        </w:rPr>
        <w:t>constituía</w:t>
      </w:r>
      <w:r>
        <w:rPr>
          <w:spacing w:val="-2"/>
          <w:w w:val="105"/>
        </w:rPr>
        <w:t xml:space="preserve"> </w:t>
      </w:r>
      <w:r>
        <w:rPr>
          <w:w w:val="105"/>
        </w:rPr>
        <w:t>una</w:t>
      </w:r>
      <w:r>
        <w:rPr>
          <w:spacing w:val="-2"/>
          <w:w w:val="105"/>
        </w:rPr>
        <w:t xml:space="preserve"> </w:t>
      </w:r>
      <w:r>
        <w:rPr>
          <w:w w:val="105"/>
        </w:rPr>
        <w:t>violación.</w:t>
      </w:r>
      <w:r>
        <w:rPr>
          <w:spacing w:val="-1"/>
          <w:w w:val="105"/>
        </w:rPr>
        <w:t xml:space="preserve"> </w:t>
      </w:r>
      <w:r>
        <w:rPr>
          <w:w w:val="105"/>
        </w:rPr>
        <w:t>violación</w:t>
      </w:r>
      <w:r>
        <w:rPr>
          <w:spacing w:val="-2"/>
          <w:w w:val="105"/>
        </w:rPr>
        <w:t xml:space="preserve"> </w:t>
      </w:r>
      <w:r>
        <w:rPr>
          <w:w w:val="105"/>
        </w:rPr>
        <w:t>del</w:t>
      </w:r>
      <w:r>
        <w:rPr>
          <w:spacing w:val="-2"/>
          <w:w w:val="105"/>
        </w:rPr>
        <w:t xml:space="preserve"> </w:t>
      </w:r>
      <w:r>
        <w:rPr>
          <w:w w:val="105"/>
        </w:rPr>
        <w:t>derecho</w:t>
      </w:r>
      <w:r>
        <w:rPr>
          <w:spacing w:val="-2"/>
          <w:w w:val="105"/>
        </w:rPr>
        <w:t xml:space="preserve"> </w:t>
      </w:r>
      <w:r>
        <w:rPr>
          <w:w w:val="105"/>
        </w:rPr>
        <w:t>a</w:t>
      </w:r>
      <w:r>
        <w:rPr>
          <w:spacing w:val="-2"/>
          <w:w w:val="105"/>
        </w:rPr>
        <w:t xml:space="preserve"> </w:t>
      </w:r>
      <w:r>
        <w:rPr>
          <w:w w:val="105"/>
        </w:rPr>
        <w:t>la propiedad</w:t>
      </w:r>
      <w:r>
        <w:rPr>
          <w:spacing w:val="-3"/>
          <w:w w:val="105"/>
        </w:rPr>
        <w:t xml:space="preserve"> </w:t>
      </w:r>
      <w:r>
        <w:rPr>
          <w:w w:val="105"/>
        </w:rPr>
        <w:t>(art.</w:t>
      </w:r>
      <w:r>
        <w:rPr>
          <w:spacing w:val="-3"/>
          <w:w w:val="105"/>
        </w:rPr>
        <w:t xml:space="preserve"> </w:t>
      </w:r>
      <w:r>
        <w:rPr>
          <w:w w:val="105"/>
        </w:rPr>
        <w:t>21),</w:t>
      </w:r>
      <w:r>
        <w:rPr>
          <w:spacing w:val="-3"/>
          <w:w w:val="105"/>
        </w:rPr>
        <w:t xml:space="preserve"> </w:t>
      </w:r>
      <w:r>
        <w:rPr>
          <w:w w:val="105"/>
        </w:rPr>
        <w:t>en</w:t>
      </w:r>
      <w:r>
        <w:rPr>
          <w:spacing w:val="-3"/>
          <w:w w:val="105"/>
        </w:rPr>
        <w:t xml:space="preserve"> </w:t>
      </w:r>
      <w:r>
        <w:rPr>
          <w:w w:val="105"/>
        </w:rPr>
        <w:t>relación</w:t>
      </w:r>
      <w:r>
        <w:rPr>
          <w:spacing w:val="-3"/>
          <w:w w:val="105"/>
        </w:rPr>
        <w:t xml:space="preserve"> </w:t>
      </w:r>
      <w:r>
        <w:rPr>
          <w:w w:val="105"/>
        </w:rPr>
        <w:t>con</w:t>
      </w:r>
      <w:r>
        <w:rPr>
          <w:spacing w:val="-3"/>
          <w:w w:val="105"/>
        </w:rPr>
        <w:t xml:space="preserve"> </w:t>
      </w:r>
      <w:r>
        <w:rPr>
          <w:w w:val="105"/>
        </w:rPr>
        <w:t>la</w:t>
      </w:r>
      <w:r>
        <w:rPr>
          <w:spacing w:val="-3"/>
          <w:w w:val="105"/>
        </w:rPr>
        <w:t xml:space="preserve"> </w:t>
      </w:r>
      <w:r>
        <w:rPr>
          <w:w w:val="105"/>
        </w:rPr>
        <w:t>obligación</w:t>
      </w:r>
      <w:r>
        <w:rPr>
          <w:spacing w:val="-3"/>
          <w:w w:val="105"/>
        </w:rPr>
        <w:t xml:space="preserve"> </w:t>
      </w:r>
      <w:r>
        <w:rPr>
          <w:w w:val="105"/>
        </w:rPr>
        <w:t>de</w:t>
      </w:r>
      <w:r>
        <w:rPr>
          <w:spacing w:val="-3"/>
          <w:w w:val="105"/>
        </w:rPr>
        <w:t xml:space="preserve"> </w:t>
      </w:r>
      <w:r>
        <w:rPr>
          <w:w w:val="105"/>
        </w:rPr>
        <w:t>respetar</w:t>
      </w:r>
      <w:r>
        <w:rPr>
          <w:spacing w:val="-3"/>
          <w:w w:val="105"/>
        </w:rPr>
        <w:t xml:space="preserve"> </w:t>
      </w:r>
      <w:r>
        <w:rPr>
          <w:w w:val="105"/>
        </w:rPr>
        <w:t>los</w:t>
      </w:r>
      <w:r>
        <w:rPr>
          <w:spacing w:val="-3"/>
          <w:w w:val="105"/>
        </w:rPr>
        <w:t xml:space="preserve"> </w:t>
      </w:r>
      <w:r>
        <w:rPr>
          <w:w w:val="105"/>
        </w:rPr>
        <w:t>derechos</w:t>
      </w:r>
      <w:r>
        <w:rPr>
          <w:spacing w:val="-3"/>
          <w:w w:val="105"/>
        </w:rPr>
        <w:t xml:space="preserve"> </w:t>
      </w:r>
      <w:r>
        <w:rPr>
          <w:w w:val="105"/>
        </w:rPr>
        <w:t>sin</w:t>
      </w:r>
      <w:r>
        <w:rPr>
          <w:spacing w:val="-3"/>
          <w:w w:val="105"/>
        </w:rPr>
        <w:t xml:space="preserve"> </w:t>
      </w:r>
      <w:r>
        <w:rPr>
          <w:w w:val="105"/>
        </w:rPr>
        <w:t>discriminación</w:t>
      </w:r>
      <w:r>
        <w:rPr>
          <w:spacing w:val="-3"/>
          <w:w w:val="105"/>
        </w:rPr>
        <w:t xml:space="preserve"> </w:t>
      </w:r>
      <w:r>
        <w:rPr>
          <w:w w:val="105"/>
        </w:rPr>
        <w:t>alguna</w:t>
      </w:r>
      <w:r>
        <w:rPr>
          <w:spacing w:val="-3"/>
          <w:w w:val="105"/>
        </w:rPr>
        <w:t xml:space="preserve"> </w:t>
      </w:r>
      <w:r>
        <w:rPr>
          <w:w w:val="105"/>
        </w:rPr>
        <w:t>(art.</w:t>
      </w:r>
      <w:r>
        <w:rPr>
          <w:spacing w:val="-3"/>
          <w:w w:val="105"/>
        </w:rPr>
        <w:t xml:space="preserve"> </w:t>
      </w:r>
      <w:r>
        <w:rPr>
          <w:w w:val="105"/>
        </w:rPr>
        <w:t>1</w:t>
      </w:r>
      <w:r>
        <w:rPr>
          <w:spacing w:val="-3"/>
          <w:w w:val="105"/>
        </w:rPr>
        <w:t xml:space="preserve"> </w:t>
      </w:r>
      <w:r>
        <w:rPr>
          <w:w w:val="105"/>
        </w:rPr>
        <w:t>(1)).1100</w:t>
      </w:r>
      <w:r>
        <w:rPr>
          <w:spacing w:val="-3"/>
          <w:w w:val="105"/>
        </w:rPr>
        <w:t xml:space="preserve"> </w:t>
      </w:r>
      <w:r>
        <w:rPr>
          <w:w w:val="105"/>
        </w:rPr>
        <w:t>Como</w:t>
      </w:r>
      <w:r>
        <w:rPr>
          <w:spacing w:val="-3"/>
          <w:w w:val="105"/>
        </w:rPr>
        <w:t xml:space="preserve"> </w:t>
      </w:r>
      <w:r>
        <w:rPr>
          <w:w w:val="105"/>
        </w:rPr>
        <w:t>las tierras</w:t>
      </w:r>
      <w:r>
        <w:rPr>
          <w:spacing w:val="-3"/>
          <w:w w:val="105"/>
        </w:rPr>
        <w:t xml:space="preserve"> </w:t>
      </w:r>
      <w:r>
        <w:rPr>
          <w:w w:val="105"/>
        </w:rPr>
        <w:t>ancestrales</w:t>
      </w:r>
      <w:r>
        <w:rPr>
          <w:spacing w:val="-3"/>
          <w:w w:val="105"/>
        </w:rPr>
        <w:t xml:space="preserve"> </w:t>
      </w:r>
      <w:r>
        <w:rPr>
          <w:w w:val="105"/>
        </w:rPr>
        <w:t>de</w:t>
      </w:r>
      <w:r>
        <w:rPr>
          <w:spacing w:val="-3"/>
          <w:w w:val="105"/>
        </w:rPr>
        <w:t xml:space="preserve"> </w:t>
      </w:r>
      <w:r>
        <w:rPr>
          <w:w w:val="105"/>
        </w:rPr>
        <w:t>la</w:t>
      </w:r>
      <w:r>
        <w:rPr>
          <w:spacing w:val="-3"/>
          <w:w w:val="105"/>
        </w:rPr>
        <w:t xml:space="preserve"> </w:t>
      </w:r>
      <w:r>
        <w:rPr>
          <w:w w:val="105"/>
        </w:rPr>
        <w:t>comunidad</w:t>
      </w:r>
      <w:r>
        <w:rPr>
          <w:spacing w:val="-3"/>
          <w:w w:val="105"/>
        </w:rPr>
        <w:t xml:space="preserve"> </w:t>
      </w:r>
      <w:proofErr w:type="spellStart"/>
      <w:r>
        <w:rPr>
          <w:w w:val="105"/>
        </w:rPr>
        <w:t>Sawhoyamaxa</w:t>
      </w:r>
      <w:proofErr w:type="spellEnd"/>
      <w:r>
        <w:rPr>
          <w:spacing w:val="-3"/>
          <w:w w:val="105"/>
        </w:rPr>
        <w:t xml:space="preserve"> </w:t>
      </w:r>
      <w:r>
        <w:rPr>
          <w:w w:val="105"/>
        </w:rPr>
        <w:t>habían</w:t>
      </w:r>
      <w:r>
        <w:rPr>
          <w:spacing w:val="-3"/>
          <w:w w:val="105"/>
        </w:rPr>
        <w:t xml:space="preserve"> </w:t>
      </w:r>
      <w:r>
        <w:rPr>
          <w:w w:val="105"/>
        </w:rPr>
        <w:t>sido</w:t>
      </w:r>
      <w:r>
        <w:rPr>
          <w:spacing w:val="-3"/>
          <w:w w:val="105"/>
        </w:rPr>
        <w:t xml:space="preserve"> </w:t>
      </w:r>
      <w:r>
        <w:rPr>
          <w:w w:val="105"/>
        </w:rPr>
        <w:t>expropiadas,</w:t>
      </w:r>
      <w:r>
        <w:rPr>
          <w:spacing w:val="-2"/>
          <w:w w:val="105"/>
        </w:rPr>
        <w:t xml:space="preserve"> </w:t>
      </w:r>
      <w:r>
        <w:rPr>
          <w:w w:val="105"/>
        </w:rPr>
        <w:t>la</w:t>
      </w:r>
      <w:r>
        <w:rPr>
          <w:spacing w:val="-3"/>
          <w:w w:val="105"/>
        </w:rPr>
        <w:t xml:space="preserve"> </w:t>
      </w:r>
      <w:r>
        <w:rPr>
          <w:w w:val="105"/>
        </w:rPr>
        <w:t>Corte</w:t>
      </w:r>
      <w:r>
        <w:rPr>
          <w:spacing w:val="-3"/>
          <w:w w:val="105"/>
        </w:rPr>
        <w:t xml:space="preserve"> </w:t>
      </w:r>
      <w:r>
        <w:rPr>
          <w:w w:val="105"/>
        </w:rPr>
        <w:t>también</w:t>
      </w:r>
      <w:r>
        <w:rPr>
          <w:spacing w:val="-3"/>
          <w:w w:val="105"/>
        </w:rPr>
        <w:t xml:space="preserve"> </w:t>
      </w:r>
      <w:r>
        <w:rPr>
          <w:w w:val="105"/>
        </w:rPr>
        <w:t>encontró</w:t>
      </w:r>
      <w:r>
        <w:rPr>
          <w:spacing w:val="-3"/>
          <w:w w:val="105"/>
        </w:rPr>
        <w:t xml:space="preserve"> </w:t>
      </w:r>
      <w:r>
        <w:rPr>
          <w:w w:val="105"/>
        </w:rPr>
        <w:t>una</w:t>
      </w:r>
      <w:r>
        <w:rPr>
          <w:spacing w:val="-3"/>
          <w:w w:val="105"/>
        </w:rPr>
        <w:t xml:space="preserve"> </w:t>
      </w:r>
      <w:r>
        <w:rPr>
          <w:w w:val="105"/>
        </w:rPr>
        <w:t>violación</w:t>
      </w:r>
      <w:r>
        <w:rPr>
          <w:spacing w:val="-3"/>
          <w:w w:val="105"/>
        </w:rPr>
        <w:t xml:space="preserve"> </w:t>
      </w:r>
      <w:r>
        <w:rPr>
          <w:w w:val="105"/>
        </w:rPr>
        <w:t>del derecho</w:t>
      </w:r>
      <w:r>
        <w:rPr>
          <w:spacing w:val="-1"/>
          <w:w w:val="105"/>
        </w:rPr>
        <w:t xml:space="preserve"> </w:t>
      </w:r>
      <w:r>
        <w:rPr>
          <w:w w:val="105"/>
        </w:rPr>
        <w:t>a</w:t>
      </w:r>
      <w:r>
        <w:rPr>
          <w:spacing w:val="-1"/>
          <w:w w:val="105"/>
        </w:rPr>
        <w:t xml:space="preserve"> </w:t>
      </w:r>
      <w:r>
        <w:rPr>
          <w:w w:val="105"/>
        </w:rPr>
        <w:t>la</w:t>
      </w:r>
      <w:r>
        <w:rPr>
          <w:spacing w:val="-1"/>
          <w:w w:val="105"/>
        </w:rPr>
        <w:t xml:space="preserve"> </w:t>
      </w:r>
      <w:r>
        <w:rPr>
          <w:w w:val="105"/>
        </w:rPr>
        <w:t>vida</w:t>
      </w:r>
      <w:r>
        <w:rPr>
          <w:spacing w:val="-1"/>
          <w:w w:val="105"/>
        </w:rPr>
        <w:t xml:space="preserve"> </w:t>
      </w:r>
      <w:r>
        <w:rPr>
          <w:w w:val="105"/>
        </w:rPr>
        <w:t>(art.</w:t>
      </w:r>
      <w:r>
        <w:rPr>
          <w:spacing w:val="-1"/>
          <w:w w:val="105"/>
        </w:rPr>
        <w:t xml:space="preserve"> </w:t>
      </w:r>
      <w:r>
        <w:rPr>
          <w:w w:val="105"/>
        </w:rPr>
        <w:t>4)</w:t>
      </w:r>
      <w:r>
        <w:rPr>
          <w:spacing w:val="-1"/>
          <w:w w:val="105"/>
        </w:rPr>
        <w:t xml:space="preserve"> </w:t>
      </w:r>
      <w:r>
        <w:rPr>
          <w:w w:val="105"/>
        </w:rPr>
        <w:t>porque</w:t>
      </w:r>
      <w:r>
        <w:rPr>
          <w:spacing w:val="-1"/>
          <w:w w:val="105"/>
        </w:rPr>
        <w:t xml:space="preserve"> </w:t>
      </w:r>
      <w:r>
        <w:rPr>
          <w:w w:val="105"/>
        </w:rPr>
        <w:t>los</w:t>
      </w:r>
      <w:r>
        <w:rPr>
          <w:spacing w:val="-1"/>
          <w:w w:val="105"/>
        </w:rPr>
        <w:t xml:space="preserve"> </w:t>
      </w:r>
      <w:r>
        <w:rPr>
          <w:w w:val="105"/>
        </w:rPr>
        <w:t>miembros</w:t>
      </w:r>
      <w:r>
        <w:rPr>
          <w:spacing w:val="-1"/>
          <w:w w:val="105"/>
        </w:rPr>
        <w:t xml:space="preserve"> </w:t>
      </w:r>
      <w:r>
        <w:rPr>
          <w:w w:val="105"/>
        </w:rPr>
        <w:t>de</w:t>
      </w:r>
      <w:r>
        <w:rPr>
          <w:spacing w:val="-1"/>
          <w:w w:val="105"/>
        </w:rPr>
        <w:t xml:space="preserve"> </w:t>
      </w:r>
      <w:r>
        <w:rPr>
          <w:w w:val="105"/>
        </w:rPr>
        <w:t>la</w:t>
      </w:r>
      <w:r>
        <w:rPr>
          <w:spacing w:val="-1"/>
          <w:w w:val="105"/>
        </w:rPr>
        <w:t xml:space="preserve"> </w:t>
      </w:r>
      <w:r>
        <w:rPr>
          <w:w w:val="105"/>
        </w:rPr>
        <w:t>comunidad</w:t>
      </w:r>
      <w:r>
        <w:rPr>
          <w:spacing w:val="-1"/>
          <w:w w:val="105"/>
        </w:rPr>
        <w:t xml:space="preserve"> </w:t>
      </w:r>
      <w:r>
        <w:rPr>
          <w:w w:val="105"/>
        </w:rPr>
        <w:t>habían</w:t>
      </w:r>
      <w:r>
        <w:rPr>
          <w:spacing w:val="-1"/>
          <w:w w:val="105"/>
        </w:rPr>
        <w:t xml:space="preserve"> </w:t>
      </w:r>
      <w:r>
        <w:rPr>
          <w:w w:val="105"/>
        </w:rPr>
        <w:t>sido</w:t>
      </w:r>
      <w:r>
        <w:rPr>
          <w:spacing w:val="-1"/>
          <w:w w:val="105"/>
        </w:rPr>
        <w:t xml:space="preserve"> </w:t>
      </w:r>
      <w:r>
        <w:rPr>
          <w:w w:val="105"/>
        </w:rPr>
        <w:t>privados</w:t>
      </w:r>
      <w:r>
        <w:rPr>
          <w:spacing w:val="-1"/>
          <w:w w:val="105"/>
        </w:rPr>
        <w:t xml:space="preserve"> </w:t>
      </w:r>
      <w:r>
        <w:rPr>
          <w:w w:val="105"/>
        </w:rPr>
        <w:t>de</w:t>
      </w:r>
      <w:r>
        <w:rPr>
          <w:spacing w:val="-1"/>
          <w:w w:val="105"/>
        </w:rPr>
        <w:t xml:space="preserve"> </w:t>
      </w:r>
      <w:r>
        <w:rPr>
          <w:w w:val="105"/>
        </w:rPr>
        <w:t>sus</w:t>
      </w:r>
      <w:r>
        <w:rPr>
          <w:spacing w:val="-1"/>
          <w:w w:val="105"/>
        </w:rPr>
        <w:t xml:space="preserve"> </w:t>
      </w:r>
      <w:r>
        <w:rPr>
          <w:w w:val="105"/>
        </w:rPr>
        <w:t>medios</w:t>
      </w:r>
      <w:r>
        <w:rPr>
          <w:spacing w:val="-1"/>
          <w:w w:val="105"/>
        </w:rPr>
        <w:t xml:space="preserve"> </w:t>
      </w:r>
      <w:r>
        <w:rPr>
          <w:w w:val="105"/>
        </w:rPr>
        <w:t>de</w:t>
      </w:r>
      <w:r>
        <w:rPr>
          <w:spacing w:val="-1"/>
          <w:w w:val="105"/>
        </w:rPr>
        <w:t xml:space="preserve"> </w:t>
      </w:r>
      <w:r>
        <w:rPr>
          <w:w w:val="105"/>
        </w:rPr>
        <w:t>vida</w:t>
      </w:r>
      <w:r>
        <w:rPr>
          <w:spacing w:val="-1"/>
          <w:w w:val="105"/>
        </w:rPr>
        <w:t xml:space="preserve"> </w:t>
      </w:r>
      <w:r>
        <w:rPr>
          <w:w w:val="105"/>
        </w:rPr>
        <w:t>tradicionales</w:t>
      </w:r>
      <w:r>
        <w:rPr>
          <w:spacing w:val="-1"/>
          <w:w w:val="105"/>
        </w:rPr>
        <w:t xml:space="preserve"> </w:t>
      </w:r>
      <w:r>
        <w:rPr>
          <w:w w:val="105"/>
        </w:rPr>
        <w:t>y obligados</w:t>
      </w:r>
      <w:r>
        <w:rPr>
          <w:spacing w:val="-1"/>
          <w:w w:val="105"/>
        </w:rPr>
        <w:t xml:space="preserve"> </w:t>
      </w:r>
      <w:r>
        <w:rPr>
          <w:w w:val="105"/>
        </w:rPr>
        <w:t>a</w:t>
      </w:r>
      <w:r>
        <w:rPr>
          <w:spacing w:val="-1"/>
          <w:w w:val="105"/>
        </w:rPr>
        <w:t xml:space="preserve"> </w:t>
      </w:r>
      <w:r>
        <w:rPr>
          <w:w w:val="105"/>
        </w:rPr>
        <w:t>vivir</w:t>
      </w:r>
      <w:r>
        <w:rPr>
          <w:spacing w:val="-1"/>
          <w:w w:val="105"/>
        </w:rPr>
        <w:t xml:space="preserve"> </w:t>
      </w:r>
      <w:r>
        <w:rPr>
          <w:w w:val="105"/>
        </w:rPr>
        <w:t>en</w:t>
      </w:r>
      <w:r>
        <w:rPr>
          <w:spacing w:val="-1"/>
          <w:w w:val="105"/>
        </w:rPr>
        <w:t xml:space="preserve"> </w:t>
      </w:r>
      <w:r>
        <w:rPr>
          <w:w w:val="105"/>
        </w:rPr>
        <w:t>extrema</w:t>
      </w:r>
      <w:r>
        <w:rPr>
          <w:spacing w:val="-1"/>
          <w:w w:val="105"/>
        </w:rPr>
        <w:t xml:space="preserve"> </w:t>
      </w:r>
      <w:r>
        <w:rPr>
          <w:w w:val="105"/>
        </w:rPr>
        <w:t>pobreza, sin</w:t>
      </w:r>
      <w:r>
        <w:rPr>
          <w:spacing w:val="-1"/>
          <w:w w:val="105"/>
        </w:rPr>
        <w:t xml:space="preserve"> </w:t>
      </w:r>
      <w:r>
        <w:rPr>
          <w:w w:val="105"/>
        </w:rPr>
        <w:t>acceso</w:t>
      </w:r>
      <w:r>
        <w:rPr>
          <w:spacing w:val="-1"/>
          <w:w w:val="105"/>
        </w:rPr>
        <w:t xml:space="preserve"> </w:t>
      </w:r>
      <w:r>
        <w:rPr>
          <w:w w:val="105"/>
        </w:rPr>
        <w:t>a</w:t>
      </w:r>
      <w:r>
        <w:rPr>
          <w:spacing w:val="-1"/>
          <w:w w:val="105"/>
        </w:rPr>
        <w:t xml:space="preserve"> </w:t>
      </w:r>
      <w:r>
        <w:rPr>
          <w:w w:val="105"/>
        </w:rPr>
        <w:t>servicios</w:t>
      </w:r>
      <w:r>
        <w:rPr>
          <w:spacing w:val="-1"/>
          <w:w w:val="105"/>
        </w:rPr>
        <w:t xml:space="preserve"> </w:t>
      </w:r>
      <w:r>
        <w:rPr>
          <w:w w:val="105"/>
        </w:rPr>
        <w:t>básicos</w:t>
      </w:r>
      <w:r>
        <w:rPr>
          <w:spacing w:val="-1"/>
          <w:w w:val="105"/>
        </w:rPr>
        <w:t xml:space="preserve"> </w:t>
      </w:r>
      <w:r>
        <w:rPr>
          <w:w w:val="105"/>
        </w:rPr>
        <w:t>esenciales, incluidos</w:t>
      </w:r>
      <w:r>
        <w:rPr>
          <w:spacing w:val="-1"/>
          <w:w w:val="105"/>
        </w:rPr>
        <w:t xml:space="preserve"> </w:t>
      </w:r>
      <w:r>
        <w:rPr>
          <w:w w:val="105"/>
        </w:rPr>
        <w:t>agua,</w:t>
      </w:r>
      <w:r>
        <w:rPr>
          <w:spacing w:val="-1"/>
          <w:w w:val="105"/>
        </w:rPr>
        <w:t xml:space="preserve"> </w:t>
      </w:r>
      <w:r>
        <w:rPr>
          <w:w w:val="105"/>
        </w:rPr>
        <w:t>alimentos, educación</w:t>
      </w:r>
      <w:r>
        <w:rPr>
          <w:spacing w:val="-1"/>
          <w:w w:val="105"/>
        </w:rPr>
        <w:t xml:space="preserve"> </w:t>
      </w:r>
      <w:r>
        <w:rPr>
          <w:w w:val="105"/>
        </w:rPr>
        <w:t>y servicios de salud.1101</w:t>
      </w:r>
    </w:p>
    <w:p w14:paraId="571F317B" w14:textId="77777777" w:rsidR="0014798C" w:rsidRDefault="0014798C">
      <w:pPr>
        <w:pStyle w:val="Textoindependiente"/>
      </w:pPr>
    </w:p>
    <w:p w14:paraId="62BA1020" w14:textId="77777777" w:rsidR="0014798C" w:rsidRDefault="0014798C">
      <w:pPr>
        <w:pStyle w:val="Textoindependiente"/>
        <w:spacing w:before="95"/>
      </w:pPr>
    </w:p>
    <w:p w14:paraId="170990AA" w14:textId="77777777" w:rsidR="0014798C" w:rsidRDefault="004E1F0B">
      <w:pPr>
        <w:pStyle w:val="Textoindependiente"/>
        <w:ind w:left="1331"/>
      </w:pPr>
      <w:r>
        <w:rPr>
          <w:noProof/>
        </w:rPr>
        <mc:AlternateContent>
          <mc:Choice Requires="wps">
            <w:drawing>
              <wp:anchor distT="0" distB="0" distL="0" distR="0" simplePos="0" relativeHeight="251658324" behindDoc="0" locked="0" layoutInCell="1" allowOverlap="1" wp14:anchorId="576B1609" wp14:editId="4239383A">
                <wp:simplePos x="0" y="0"/>
                <wp:positionH relativeFrom="page">
                  <wp:posOffset>7293418</wp:posOffset>
                </wp:positionH>
                <wp:positionV relativeFrom="paragraph">
                  <wp:posOffset>-189099</wp:posOffset>
                </wp:positionV>
                <wp:extent cx="104775" cy="260985"/>
                <wp:effectExtent l="0" t="0" r="0" b="0"/>
                <wp:wrapNone/>
                <wp:docPr id="329" name="Textbox 32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04775" cy="260985"/>
                        </a:xfrm>
                        <a:prstGeom prst="rect">
                          <a:avLst/>
                        </a:prstGeom>
                      </wps:spPr>
                      <wps:txbx>
                        <w:txbxContent>
                          <w:p w14:paraId="1E42BDF1" w14:textId="77777777" w:rsidR="0014798C" w:rsidRDefault="004E1F0B">
                            <w:pPr>
                              <w:spacing w:before="17"/>
                              <w:ind w:left="20"/>
                              <w:rPr>
                                <w:sz w:val="11"/>
                              </w:rPr>
                            </w:pPr>
                            <w:r>
                              <w:rPr>
                                <w:color w:val="FFFFFF"/>
                                <w:spacing w:val="-33"/>
                                <w:sz w:val="11"/>
                              </w:rPr>
                              <w:t>TPRAERSTE</w:t>
                            </w:r>
                          </w:p>
                        </w:txbxContent>
                      </wps:txbx>
                      <wps:bodyPr vert="vert270" wrap="square" lIns="0" tIns="0" rIns="0" bIns="0" rtlCol="0">
                        <a:noAutofit/>
                      </wps:bodyPr>
                    </wps:wsp>
                  </a:graphicData>
                </a:graphic>
              </wp:anchor>
            </w:drawing>
          </mc:Choice>
          <mc:Fallback>
            <w:pict>
              <v:shape w14:anchorId="576B1609" id="Textbox 329" o:spid="_x0000_s1160" type="#_x0000_t202" style="position:absolute;left:0;text-align:left;margin-left:574.3pt;margin-top:-14.9pt;width:8.25pt;height:20.55pt;z-index:251658324;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" filled="f" stroked="f">
                <v:textbox style="layout-flow:vertical;mso-layout-flow-alt:bottom-to-top" inset="0,0,0,0">
                  <w:txbxContent>
                    <w:p w14:paraId="1E42BDF1" w14:textId="77777777" w:rsidR="0014798C" w:rsidRDefault="004E1F0B">
                      <w:pPr>
                        <w:spacing w:before="17"/>
                        <w:ind w:left="20"/>
                        <w:rPr>
                          <w:sz w:val="11"/>
                        </w:rPr>
                      </w:pPr>
                      <w:r>
                        <w:rPr>
                          <w:color w:val="FFFFFF"/>
                          <w:spacing w:val="-33"/>
                          <w:sz w:val="11"/>
                        </w:rPr>
                        <w:t>TPRAERSTE</w:t>
                      </w:r>
                    </w:p>
                  </w:txbxContent>
                </v:textbox>
                <w10:wrap anchorx="page"/>
              </v:shape>
            </w:pict>
          </mc:Fallback>
        </mc:AlternateContent>
      </w:r>
      <w:r>
        <w:t>EL</w:t>
      </w:r>
      <w:r>
        <w:rPr>
          <w:spacing w:val="12"/>
        </w:rPr>
        <w:t xml:space="preserve"> </w:t>
      </w:r>
      <w:r>
        <w:t>CONGO:</w:t>
      </w:r>
      <w:r>
        <w:rPr>
          <w:spacing w:val="13"/>
        </w:rPr>
        <w:t xml:space="preserve"> </w:t>
      </w:r>
      <w:r>
        <w:t>LEY</w:t>
      </w:r>
      <w:r>
        <w:rPr>
          <w:spacing w:val="13"/>
        </w:rPr>
        <w:t xml:space="preserve"> </w:t>
      </w:r>
      <w:r>
        <w:t>NACIONAL</w:t>
      </w:r>
      <w:r>
        <w:rPr>
          <w:spacing w:val="13"/>
        </w:rPr>
        <w:t xml:space="preserve"> </w:t>
      </w:r>
      <w:r>
        <w:t>QUE</w:t>
      </w:r>
      <w:r>
        <w:rPr>
          <w:spacing w:val="12"/>
        </w:rPr>
        <w:t xml:space="preserve"> </w:t>
      </w:r>
      <w:r>
        <w:t>GARANTIZA</w:t>
      </w:r>
      <w:r>
        <w:rPr>
          <w:spacing w:val="13"/>
        </w:rPr>
        <w:t xml:space="preserve"> </w:t>
      </w:r>
      <w:r>
        <w:t>LOS</w:t>
      </w:r>
      <w:r>
        <w:rPr>
          <w:spacing w:val="13"/>
        </w:rPr>
        <w:t xml:space="preserve"> </w:t>
      </w:r>
      <w:r>
        <w:t>DERECHOS</w:t>
      </w:r>
      <w:r>
        <w:rPr>
          <w:spacing w:val="14"/>
        </w:rPr>
        <w:t xml:space="preserve"> </w:t>
      </w:r>
      <w:r>
        <w:t>DE</w:t>
      </w:r>
      <w:r>
        <w:rPr>
          <w:spacing w:val="13"/>
        </w:rPr>
        <w:t xml:space="preserve"> </w:t>
      </w:r>
      <w:r>
        <w:t>LOS</w:t>
      </w:r>
      <w:r>
        <w:rPr>
          <w:spacing w:val="12"/>
        </w:rPr>
        <w:t xml:space="preserve"> </w:t>
      </w:r>
      <w:r>
        <w:t>PUEBLOS</w:t>
      </w:r>
      <w:r>
        <w:rPr>
          <w:spacing w:val="13"/>
        </w:rPr>
        <w:t xml:space="preserve"> </w:t>
      </w:r>
      <w:r>
        <w:rPr>
          <w:spacing w:val="-2"/>
        </w:rPr>
        <w:t>INDÍGENAS</w:t>
      </w:r>
    </w:p>
    <w:p w14:paraId="64FF98F5" w14:textId="77777777" w:rsidR="0014798C" w:rsidRDefault="0014798C">
      <w:pPr>
        <w:pStyle w:val="Textoindependiente"/>
        <w:spacing w:before="35"/>
      </w:pPr>
    </w:p>
    <w:p w14:paraId="3C9BC89E" w14:textId="77777777" w:rsidR="0014798C" w:rsidRDefault="004E1F0B">
      <w:pPr>
        <w:pStyle w:val="Textoindependiente"/>
        <w:spacing w:line="326" w:lineRule="auto"/>
        <w:ind w:left="1334" w:right="1272" w:hanging="2"/>
      </w:pPr>
      <w:r>
        <w:rPr>
          <w:w w:val="105"/>
        </w:rPr>
        <w:t>En</w:t>
      </w:r>
      <w:r>
        <w:rPr>
          <w:spacing w:val="-7"/>
          <w:w w:val="105"/>
        </w:rPr>
        <w:t xml:space="preserve"> </w:t>
      </w:r>
      <w:r>
        <w:rPr>
          <w:w w:val="105"/>
        </w:rPr>
        <w:t>2011,</w:t>
      </w:r>
      <w:r>
        <w:rPr>
          <w:spacing w:val="-7"/>
          <w:w w:val="105"/>
        </w:rPr>
        <w:t xml:space="preserve"> </w:t>
      </w:r>
      <w:r>
        <w:rPr>
          <w:w w:val="105"/>
        </w:rPr>
        <w:t>el</w:t>
      </w:r>
      <w:r>
        <w:rPr>
          <w:spacing w:val="-7"/>
          <w:w w:val="105"/>
        </w:rPr>
        <w:t xml:space="preserve"> </w:t>
      </w:r>
      <w:r>
        <w:rPr>
          <w:w w:val="105"/>
        </w:rPr>
        <w:t>Congo</w:t>
      </w:r>
      <w:r>
        <w:rPr>
          <w:spacing w:val="-7"/>
          <w:w w:val="105"/>
        </w:rPr>
        <w:t xml:space="preserve"> </w:t>
      </w:r>
      <w:r>
        <w:rPr>
          <w:w w:val="105"/>
        </w:rPr>
        <w:t>adoptó</w:t>
      </w:r>
      <w:r>
        <w:rPr>
          <w:spacing w:val="-7"/>
          <w:w w:val="105"/>
        </w:rPr>
        <w:t xml:space="preserve"> </w:t>
      </w:r>
      <w:r>
        <w:rPr>
          <w:w w:val="105"/>
        </w:rPr>
        <w:t>la</w:t>
      </w:r>
      <w:r>
        <w:rPr>
          <w:spacing w:val="-7"/>
          <w:w w:val="105"/>
        </w:rPr>
        <w:t xml:space="preserve"> </w:t>
      </w:r>
      <w:r>
        <w:rPr>
          <w:w w:val="105"/>
        </w:rPr>
        <w:t>Ley</w:t>
      </w:r>
      <w:r>
        <w:rPr>
          <w:spacing w:val="-7"/>
          <w:w w:val="105"/>
        </w:rPr>
        <w:t xml:space="preserve"> </w:t>
      </w:r>
      <w:r>
        <w:rPr>
          <w:w w:val="105"/>
        </w:rPr>
        <w:t>N°</w:t>
      </w:r>
      <w:r>
        <w:rPr>
          <w:spacing w:val="-7"/>
          <w:w w:val="105"/>
        </w:rPr>
        <w:t xml:space="preserve"> </w:t>
      </w:r>
      <w:r>
        <w:rPr>
          <w:w w:val="105"/>
        </w:rPr>
        <w:t>5-2011</w:t>
      </w:r>
      <w:r>
        <w:rPr>
          <w:spacing w:val="-7"/>
          <w:w w:val="105"/>
        </w:rPr>
        <w:t xml:space="preserve"> </w:t>
      </w:r>
      <w:r>
        <w:rPr>
          <w:w w:val="105"/>
        </w:rPr>
        <w:t>sobre</w:t>
      </w:r>
      <w:r>
        <w:rPr>
          <w:spacing w:val="-7"/>
          <w:w w:val="105"/>
        </w:rPr>
        <w:t xml:space="preserve"> </w:t>
      </w:r>
      <w:r>
        <w:rPr>
          <w:w w:val="105"/>
        </w:rPr>
        <w:t>la</w:t>
      </w:r>
      <w:r>
        <w:rPr>
          <w:spacing w:val="-7"/>
          <w:w w:val="105"/>
        </w:rPr>
        <w:t xml:space="preserve"> </w:t>
      </w:r>
      <w:r>
        <w:rPr>
          <w:w w:val="105"/>
        </w:rPr>
        <w:t>Promoción</w:t>
      </w:r>
      <w:r>
        <w:rPr>
          <w:spacing w:val="-7"/>
          <w:w w:val="105"/>
        </w:rPr>
        <w:t xml:space="preserve"> </w:t>
      </w:r>
      <w:r>
        <w:rPr>
          <w:w w:val="105"/>
        </w:rPr>
        <w:t>y</w:t>
      </w:r>
      <w:r>
        <w:rPr>
          <w:spacing w:val="-7"/>
          <w:w w:val="105"/>
        </w:rPr>
        <w:t xml:space="preserve"> </w:t>
      </w:r>
      <w:r>
        <w:rPr>
          <w:w w:val="105"/>
        </w:rPr>
        <w:t>Protección</w:t>
      </w:r>
      <w:r>
        <w:rPr>
          <w:spacing w:val="-7"/>
          <w:w w:val="105"/>
        </w:rPr>
        <w:t xml:space="preserve"> </w:t>
      </w:r>
      <w:r>
        <w:rPr>
          <w:w w:val="105"/>
        </w:rPr>
        <w:t>de</w:t>
      </w:r>
      <w:r>
        <w:rPr>
          <w:spacing w:val="-7"/>
          <w:w w:val="105"/>
        </w:rPr>
        <w:t xml:space="preserve"> </w:t>
      </w:r>
      <w:r>
        <w:rPr>
          <w:w w:val="105"/>
        </w:rPr>
        <w:t>los</w:t>
      </w:r>
      <w:r>
        <w:rPr>
          <w:spacing w:val="-7"/>
          <w:w w:val="105"/>
        </w:rPr>
        <w:t xml:space="preserve"> </w:t>
      </w:r>
      <w:r>
        <w:rPr>
          <w:w w:val="105"/>
        </w:rPr>
        <w:t>Derechos</w:t>
      </w:r>
      <w:r>
        <w:rPr>
          <w:spacing w:val="-7"/>
          <w:w w:val="105"/>
        </w:rPr>
        <w:t xml:space="preserve"> </w:t>
      </w:r>
      <w:r>
        <w:rPr>
          <w:w w:val="105"/>
        </w:rPr>
        <w:t>de</w:t>
      </w:r>
      <w:r>
        <w:rPr>
          <w:spacing w:val="-7"/>
          <w:w w:val="105"/>
        </w:rPr>
        <w:t xml:space="preserve"> </w:t>
      </w:r>
      <w:r>
        <w:rPr>
          <w:w w:val="105"/>
        </w:rPr>
        <w:t>los</w:t>
      </w:r>
      <w:r>
        <w:rPr>
          <w:spacing w:val="-7"/>
          <w:w w:val="105"/>
        </w:rPr>
        <w:t xml:space="preserve"> </w:t>
      </w:r>
      <w:r>
        <w:rPr>
          <w:w w:val="105"/>
        </w:rPr>
        <w:t xml:space="preserve">Pueblos </w:t>
      </w:r>
      <w:r>
        <w:rPr>
          <w:spacing w:val="-2"/>
          <w:w w:val="105"/>
        </w:rPr>
        <w:t>Indígenas.1102</w:t>
      </w:r>
    </w:p>
    <w:p w14:paraId="3F6C3887" w14:textId="77777777" w:rsidR="0014798C" w:rsidRDefault="004E1F0B">
      <w:pPr>
        <w:pStyle w:val="Textoindependiente"/>
        <w:spacing w:before="113" w:line="326" w:lineRule="auto"/>
        <w:ind w:left="1334" w:right="1463" w:hanging="2"/>
      </w:pPr>
      <w:r>
        <w:rPr>
          <w:w w:val="105"/>
        </w:rPr>
        <w:t>La</w:t>
      </w:r>
      <w:r>
        <w:rPr>
          <w:spacing w:val="-9"/>
          <w:w w:val="105"/>
        </w:rPr>
        <w:t xml:space="preserve"> </w:t>
      </w:r>
      <w:r>
        <w:rPr>
          <w:w w:val="105"/>
        </w:rPr>
        <w:t>ley</w:t>
      </w:r>
      <w:r>
        <w:rPr>
          <w:spacing w:val="-9"/>
          <w:w w:val="105"/>
        </w:rPr>
        <w:t xml:space="preserve"> </w:t>
      </w:r>
      <w:r>
        <w:rPr>
          <w:w w:val="105"/>
        </w:rPr>
        <w:t>se</w:t>
      </w:r>
      <w:r>
        <w:rPr>
          <w:spacing w:val="-9"/>
          <w:w w:val="105"/>
        </w:rPr>
        <w:t xml:space="preserve"> </w:t>
      </w:r>
      <w:r>
        <w:rPr>
          <w:w w:val="105"/>
        </w:rPr>
        <w:t>centra</w:t>
      </w:r>
      <w:r>
        <w:rPr>
          <w:spacing w:val="-9"/>
          <w:w w:val="105"/>
        </w:rPr>
        <w:t xml:space="preserve"> </w:t>
      </w:r>
      <w:r>
        <w:rPr>
          <w:w w:val="105"/>
        </w:rPr>
        <w:t>específicamente</w:t>
      </w:r>
      <w:r>
        <w:rPr>
          <w:spacing w:val="-9"/>
          <w:w w:val="105"/>
        </w:rPr>
        <w:t xml:space="preserve"> </w:t>
      </w:r>
      <w:r>
        <w:rPr>
          <w:w w:val="105"/>
        </w:rPr>
        <w:t>en</w:t>
      </w:r>
      <w:r>
        <w:rPr>
          <w:spacing w:val="-9"/>
          <w:w w:val="105"/>
        </w:rPr>
        <w:t xml:space="preserve"> </w:t>
      </w:r>
      <w:r>
        <w:rPr>
          <w:w w:val="105"/>
        </w:rPr>
        <w:t>las</w:t>
      </w:r>
      <w:r>
        <w:rPr>
          <w:spacing w:val="-9"/>
          <w:w w:val="105"/>
        </w:rPr>
        <w:t xml:space="preserve"> </w:t>
      </w:r>
      <w:r>
        <w:rPr>
          <w:w w:val="105"/>
        </w:rPr>
        <w:t>condiciones</w:t>
      </w:r>
      <w:r>
        <w:rPr>
          <w:spacing w:val="-9"/>
          <w:w w:val="105"/>
        </w:rPr>
        <w:t xml:space="preserve"> </w:t>
      </w:r>
      <w:r>
        <w:rPr>
          <w:w w:val="105"/>
        </w:rPr>
        <w:t>desfavorables</w:t>
      </w:r>
      <w:r>
        <w:rPr>
          <w:spacing w:val="-9"/>
          <w:w w:val="105"/>
        </w:rPr>
        <w:t xml:space="preserve"> </w:t>
      </w:r>
      <w:r>
        <w:rPr>
          <w:w w:val="105"/>
        </w:rPr>
        <w:t>de</w:t>
      </w:r>
      <w:r>
        <w:rPr>
          <w:spacing w:val="-9"/>
          <w:w w:val="105"/>
        </w:rPr>
        <w:t xml:space="preserve"> </w:t>
      </w:r>
      <w:r>
        <w:rPr>
          <w:w w:val="105"/>
        </w:rPr>
        <w:t>los</w:t>
      </w:r>
      <w:r>
        <w:rPr>
          <w:spacing w:val="-9"/>
          <w:w w:val="105"/>
        </w:rPr>
        <w:t xml:space="preserve"> </w:t>
      </w:r>
      <w:r>
        <w:rPr>
          <w:w w:val="105"/>
        </w:rPr>
        <w:t>pueblos</w:t>
      </w:r>
      <w:r>
        <w:rPr>
          <w:spacing w:val="-9"/>
          <w:w w:val="105"/>
        </w:rPr>
        <w:t xml:space="preserve"> </w:t>
      </w:r>
      <w:r>
        <w:rPr>
          <w:w w:val="105"/>
        </w:rPr>
        <w:t>indígenas</w:t>
      </w:r>
      <w:r>
        <w:rPr>
          <w:spacing w:val="-9"/>
          <w:w w:val="105"/>
        </w:rPr>
        <w:t xml:space="preserve"> </w:t>
      </w:r>
      <w:r>
        <w:rPr>
          <w:w w:val="105"/>
        </w:rPr>
        <w:t>y</w:t>
      </w:r>
      <w:r>
        <w:rPr>
          <w:spacing w:val="-9"/>
          <w:w w:val="105"/>
        </w:rPr>
        <w:t xml:space="preserve"> </w:t>
      </w:r>
      <w:r>
        <w:rPr>
          <w:w w:val="105"/>
        </w:rPr>
        <w:t>promueve</w:t>
      </w:r>
      <w:r>
        <w:rPr>
          <w:spacing w:val="-9"/>
          <w:w w:val="105"/>
        </w:rPr>
        <w:t xml:space="preserve"> </w:t>
      </w:r>
      <w:r>
        <w:rPr>
          <w:w w:val="105"/>
        </w:rPr>
        <w:t>sus</w:t>
      </w:r>
      <w:r>
        <w:rPr>
          <w:spacing w:val="-9"/>
          <w:w w:val="105"/>
        </w:rPr>
        <w:t xml:space="preserve"> </w:t>
      </w:r>
      <w:r>
        <w:rPr>
          <w:w w:val="105"/>
        </w:rPr>
        <w:t>derechos colectivos</w:t>
      </w:r>
      <w:r>
        <w:rPr>
          <w:spacing w:val="-1"/>
          <w:w w:val="105"/>
        </w:rPr>
        <w:t xml:space="preserve"> </w:t>
      </w:r>
      <w:r>
        <w:rPr>
          <w:w w:val="105"/>
        </w:rPr>
        <w:t>e</w:t>
      </w:r>
      <w:r>
        <w:rPr>
          <w:spacing w:val="-1"/>
          <w:w w:val="105"/>
        </w:rPr>
        <w:t xml:space="preserve"> </w:t>
      </w:r>
      <w:r>
        <w:rPr>
          <w:w w:val="105"/>
        </w:rPr>
        <w:t>individuales. Prohíbe</w:t>
      </w:r>
      <w:r>
        <w:rPr>
          <w:spacing w:val="-1"/>
          <w:w w:val="105"/>
        </w:rPr>
        <w:t xml:space="preserve"> </w:t>
      </w:r>
      <w:r>
        <w:rPr>
          <w:w w:val="105"/>
        </w:rPr>
        <w:t>la</w:t>
      </w:r>
      <w:r>
        <w:rPr>
          <w:spacing w:val="-1"/>
          <w:w w:val="105"/>
        </w:rPr>
        <w:t xml:space="preserve"> </w:t>
      </w:r>
      <w:r>
        <w:rPr>
          <w:w w:val="105"/>
        </w:rPr>
        <w:t>discriminación</w:t>
      </w:r>
      <w:r>
        <w:rPr>
          <w:spacing w:val="-1"/>
          <w:w w:val="105"/>
        </w:rPr>
        <w:t xml:space="preserve"> </w:t>
      </w:r>
      <w:r>
        <w:rPr>
          <w:w w:val="105"/>
        </w:rPr>
        <w:t>contra</w:t>
      </w:r>
      <w:r>
        <w:rPr>
          <w:spacing w:val="-1"/>
          <w:w w:val="105"/>
        </w:rPr>
        <w:t xml:space="preserve"> </w:t>
      </w:r>
      <w:r>
        <w:rPr>
          <w:w w:val="105"/>
        </w:rPr>
        <w:t>los</w:t>
      </w:r>
      <w:r>
        <w:rPr>
          <w:spacing w:val="-1"/>
          <w:w w:val="105"/>
        </w:rPr>
        <w:t xml:space="preserve"> </w:t>
      </w:r>
      <w:r>
        <w:rPr>
          <w:w w:val="105"/>
        </w:rPr>
        <w:t>indígenas</w:t>
      </w:r>
      <w:r>
        <w:rPr>
          <w:spacing w:val="-1"/>
          <w:w w:val="105"/>
        </w:rPr>
        <w:t xml:space="preserve"> </w:t>
      </w:r>
      <w:r>
        <w:rPr>
          <w:w w:val="105"/>
        </w:rPr>
        <w:t>(art.</w:t>
      </w:r>
      <w:r>
        <w:rPr>
          <w:spacing w:val="-1"/>
          <w:w w:val="105"/>
        </w:rPr>
        <w:t xml:space="preserve"> </w:t>
      </w:r>
      <w:r>
        <w:rPr>
          <w:w w:val="105"/>
        </w:rPr>
        <w:t>2)</w:t>
      </w:r>
      <w:r>
        <w:rPr>
          <w:spacing w:val="-1"/>
          <w:w w:val="105"/>
        </w:rPr>
        <w:t xml:space="preserve"> </w:t>
      </w:r>
      <w:r>
        <w:rPr>
          <w:w w:val="105"/>
        </w:rPr>
        <w:t>y</w:t>
      </w:r>
      <w:r>
        <w:rPr>
          <w:spacing w:val="-1"/>
          <w:w w:val="105"/>
        </w:rPr>
        <w:t xml:space="preserve"> </w:t>
      </w:r>
      <w:r>
        <w:rPr>
          <w:w w:val="105"/>
        </w:rPr>
        <w:t>les</w:t>
      </w:r>
      <w:r>
        <w:rPr>
          <w:spacing w:val="-1"/>
          <w:w w:val="105"/>
        </w:rPr>
        <w:t xml:space="preserve"> </w:t>
      </w:r>
      <w:r>
        <w:rPr>
          <w:w w:val="105"/>
        </w:rPr>
        <w:t>garantiza</w:t>
      </w:r>
      <w:r>
        <w:rPr>
          <w:spacing w:val="-1"/>
          <w:w w:val="105"/>
        </w:rPr>
        <w:t xml:space="preserve"> </w:t>
      </w:r>
      <w:r>
        <w:rPr>
          <w:w w:val="105"/>
        </w:rPr>
        <w:t>una</w:t>
      </w:r>
      <w:r>
        <w:rPr>
          <w:spacing w:val="-1"/>
          <w:w w:val="105"/>
        </w:rPr>
        <w:t xml:space="preserve"> </w:t>
      </w:r>
      <w:r>
        <w:rPr>
          <w:w w:val="105"/>
        </w:rPr>
        <w:t>serie</w:t>
      </w:r>
      <w:r>
        <w:rPr>
          <w:spacing w:val="-1"/>
          <w:w w:val="105"/>
        </w:rPr>
        <w:t xml:space="preserve"> </w:t>
      </w:r>
      <w:r>
        <w:rPr>
          <w:w w:val="105"/>
        </w:rPr>
        <w:t>de</w:t>
      </w:r>
      <w:r>
        <w:rPr>
          <w:spacing w:val="-1"/>
          <w:w w:val="105"/>
        </w:rPr>
        <w:t xml:space="preserve"> </w:t>
      </w:r>
      <w:r>
        <w:rPr>
          <w:w w:val="105"/>
        </w:rPr>
        <w:t>derechos civiles</w:t>
      </w:r>
      <w:r>
        <w:rPr>
          <w:spacing w:val="-1"/>
          <w:w w:val="105"/>
        </w:rPr>
        <w:t xml:space="preserve"> </w:t>
      </w:r>
      <w:r>
        <w:rPr>
          <w:w w:val="105"/>
        </w:rPr>
        <w:t>y</w:t>
      </w:r>
      <w:r>
        <w:rPr>
          <w:spacing w:val="-1"/>
          <w:w w:val="105"/>
        </w:rPr>
        <w:t xml:space="preserve"> </w:t>
      </w:r>
      <w:r>
        <w:rPr>
          <w:w w:val="105"/>
        </w:rPr>
        <w:t>políticos, incluida</w:t>
      </w:r>
      <w:r>
        <w:rPr>
          <w:spacing w:val="-1"/>
          <w:w w:val="105"/>
        </w:rPr>
        <w:t xml:space="preserve"> </w:t>
      </w:r>
      <w:r>
        <w:rPr>
          <w:w w:val="105"/>
        </w:rPr>
        <w:t>la</w:t>
      </w:r>
      <w:r>
        <w:rPr>
          <w:spacing w:val="-1"/>
          <w:w w:val="105"/>
        </w:rPr>
        <w:t xml:space="preserve"> </w:t>
      </w:r>
      <w:r>
        <w:rPr>
          <w:w w:val="105"/>
        </w:rPr>
        <w:t>igualdad</w:t>
      </w:r>
      <w:r>
        <w:rPr>
          <w:spacing w:val="-1"/>
          <w:w w:val="105"/>
        </w:rPr>
        <w:t xml:space="preserve"> </w:t>
      </w:r>
      <w:r>
        <w:rPr>
          <w:w w:val="105"/>
        </w:rPr>
        <w:t>de</w:t>
      </w:r>
      <w:r>
        <w:rPr>
          <w:spacing w:val="-1"/>
          <w:w w:val="105"/>
        </w:rPr>
        <w:t xml:space="preserve"> </w:t>
      </w:r>
      <w:r>
        <w:rPr>
          <w:w w:val="105"/>
        </w:rPr>
        <w:t>acceso</w:t>
      </w:r>
      <w:r>
        <w:rPr>
          <w:spacing w:val="-1"/>
          <w:w w:val="105"/>
        </w:rPr>
        <w:t xml:space="preserve"> </w:t>
      </w:r>
      <w:r>
        <w:rPr>
          <w:w w:val="105"/>
        </w:rPr>
        <w:t>a</w:t>
      </w:r>
      <w:r>
        <w:rPr>
          <w:spacing w:val="-1"/>
          <w:w w:val="105"/>
        </w:rPr>
        <w:t xml:space="preserve"> </w:t>
      </w:r>
      <w:r>
        <w:rPr>
          <w:w w:val="105"/>
        </w:rPr>
        <w:t>la</w:t>
      </w:r>
      <w:r>
        <w:rPr>
          <w:spacing w:val="-1"/>
          <w:w w:val="105"/>
        </w:rPr>
        <w:t xml:space="preserve"> </w:t>
      </w:r>
      <w:r>
        <w:rPr>
          <w:w w:val="105"/>
        </w:rPr>
        <w:t>justicia</w:t>
      </w:r>
      <w:r>
        <w:rPr>
          <w:spacing w:val="-1"/>
          <w:w w:val="105"/>
        </w:rPr>
        <w:t xml:space="preserve"> </w:t>
      </w:r>
      <w:r>
        <w:rPr>
          <w:w w:val="105"/>
        </w:rPr>
        <w:t>(art.</w:t>
      </w:r>
      <w:r>
        <w:rPr>
          <w:spacing w:val="-1"/>
          <w:w w:val="105"/>
        </w:rPr>
        <w:t xml:space="preserve"> </w:t>
      </w:r>
      <w:r>
        <w:rPr>
          <w:w w:val="105"/>
        </w:rPr>
        <w:t>10).</w:t>
      </w:r>
      <w:r>
        <w:rPr>
          <w:spacing w:val="-1"/>
          <w:w w:val="105"/>
        </w:rPr>
        <w:t xml:space="preserve"> </w:t>
      </w:r>
      <w:r>
        <w:rPr>
          <w:w w:val="105"/>
        </w:rPr>
        <w:t>Afirma</w:t>
      </w:r>
      <w:r>
        <w:rPr>
          <w:spacing w:val="-1"/>
          <w:w w:val="105"/>
        </w:rPr>
        <w:t xml:space="preserve"> </w:t>
      </w:r>
      <w:r>
        <w:rPr>
          <w:w w:val="105"/>
        </w:rPr>
        <w:t>el</w:t>
      </w:r>
      <w:r>
        <w:rPr>
          <w:spacing w:val="-1"/>
          <w:w w:val="105"/>
        </w:rPr>
        <w:t xml:space="preserve"> </w:t>
      </w:r>
      <w:r>
        <w:rPr>
          <w:w w:val="105"/>
        </w:rPr>
        <w:t>derecho</w:t>
      </w:r>
      <w:r>
        <w:rPr>
          <w:spacing w:val="-1"/>
          <w:w w:val="105"/>
        </w:rPr>
        <w:t xml:space="preserve"> </w:t>
      </w:r>
      <w:r>
        <w:rPr>
          <w:w w:val="105"/>
        </w:rPr>
        <w:t>de</w:t>
      </w:r>
      <w:r>
        <w:rPr>
          <w:spacing w:val="-1"/>
          <w:w w:val="105"/>
        </w:rPr>
        <w:t xml:space="preserve"> </w:t>
      </w:r>
      <w:r>
        <w:rPr>
          <w:w w:val="105"/>
        </w:rPr>
        <w:t>los</w:t>
      </w:r>
      <w:r>
        <w:rPr>
          <w:spacing w:val="-1"/>
          <w:w w:val="105"/>
        </w:rPr>
        <w:t xml:space="preserve"> </w:t>
      </w:r>
      <w:r>
        <w:rPr>
          <w:w w:val="105"/>
        </w:rPr>
        <w:t>pueblos</w:t>
      </w:r>
      <w:r>
        <w:rPr>
          <w:spacing w:val="-1"/>
          <w:w w:val="105"/>
        </w:rPr>
        <w:t xml:space="preserve"> </w:t>
      </w:r>
      <w:r>
        <w:rPr>
          <w:w w:val="105"/>
        </w:rPr>
        <w:t>indígenas</w:t>
      </w:r>
      <w:r>
        <w:rPr>
          <w:spacing w:val="-1"/>
          <w:w w:val="105"/>
        </w:rPr>
        <w:t xml:space="preserve"> </w:t>
      </w:r>
      <w:r>
        <w:rPr>
          <w:w w:val="105"/>
        </w:rPr>
        <w:t>a recurrir a sus propias costumbres para la resolución de conflictos (art. 11) y prevé el reconocimiento de las aldeas indígenas como entidades administrativas (art. 12).</w:t>
      </w:r>
    </w:p>
    <w:p w14:paraId="35C178CC" w14:textId="77777777" w:rsidR="0014798C" w:rsidRDefault="004E1F0B">
      <w:pPr>
        <w:pStyle w:val="Textoindependiente"/>
        <w:spacing w:before="111" w:line="326" w:lineRule="auto"/>
        <w:ind w:left="1332" w:right="1505" w:firstLine="5"/>
      </w:pPr>
      <w:r>
        <w:rPr>
          <w:w w:val="105"/>
        </w:rPr>
        <w:t>Se</w:t>
      </w:r>
      <w:r>
        <w:rPr>
          <w:spacing w:val="-9"/>
          <w:w w:val="105"/>
        </w:rPr>
        <w:t xml:space="preserve"> </w:t>
      </w:r>
      <w:r>
        <w:rPr>
          <w:w w:val="105"/>
        </w:rPr>
        <w:t>garantizan</w:t>
      </w:r>
      <w:r>
        <w:rPr>
          <w:spacing w:val="-9"/>
          <w:w w:val="105"/>
        </w:rPr>
        <w:t xml:space="preserve"> </w:t>
      </w:r>
      <w:r>
        <w:rPr>
          <w:w w:val="105"/>
        </w:rPr>
        <w:t>derechos</w:t>
      </w:r>
      <w:r>
        <w:rPr>
          <w:spacing w:val="-9"/>
          <w:w w:val="105"/>
        </w:rPr>
        <w:t xml:space="preserve"> </w:t>
      </w:r>
      <w:r>
        <w:rPr>
          <w:w w:val="105"/>
        </w:rPr>
        <w:t>económicos,</w:t>
      </w:r>
      <w:r>
        <w:rPr>
          <w:spacing w:val="-8"/>
          <w:w w:val="105"/>
        </w:rPr>
        <w:t xml:space="preserve"> </w:t>
      </w:r>
      <w:r>
        <w:rPr>
          <w:w w:val="105"/>
        </w:rPr>
        <w:t>sociales</w:t>
      </w:r>
      <w:r>
        <w:rPr>
          <w:spacing w:val="-9"/>
          <w:w w:val="105"/>
        </w:rPr>
        <w:t xml:space="preserve"> </w:t>
      </w:r>
      <w:r>
        <w:rPr>
          <w:w w:val="105"/>
        </w:rPr>
        <w:t>y</w:t>
      </w:r>
      <w:r>
        <w:rPr>
          <w:spacing w:val="-9"/>
          <w:w w:val="105"/>
        </w:rPr>
        <w:t xml:space="preserve"> </w:t>
      </w:r>
      <w:r>
        <w:rPr>
          <w:w w:val="105"/>
        </w:rPr>
        <w:t>culturales</w:t>
      </w:r>
      <w:r>
        <w:rPr>
          <w:spacing w:val="-9"/>
          <w:w w:val="105"/>
        </w:rPr>
        <w:t xml:space="preserve"> </w:t>
      </w:r>
      <w:r>
        <w:rPr>
          <w:w w:val="105"/>
        </w:rPr>
        <w:t>específicos:</w:t>
      </w:r>
      <w:r>
        <w:rPr>
          <w:spacing w:val="-8"/>
          <w:w w:val="105"/>
        </w:rPr>
        <w:t xml:space="preserve"> </w:t>
      </w:r>
      <w:r>
        <w:rPr>
          <w:w w:val="105"/>
        </w:rPr>
        <w:t>el</w:t>
      </w:r>
      <w:r>
        <w:rPr>
          <w:spacing w:val="-9"/>
          <w:w w:val="105"/>
        </w:rPr>
        <w:t xml:space="preserve"> </w:t>
      </w:r>
      <w:r>
        <w:rPr>
          <w:w w:val="105"/>
        </w:rPr>
        <w:t>título</w:t>
      </w:r>
      <w:r>
        <w:rPr>
          <w:spacing w:val="-9"/>
          <w:w w:val="105"/>
        </w:rPr>
        <w:t xml:space="preserve"> </w:t>
      </w:r>
      <w:r>
        <w:rPr>
          <w:w w:val="105"/>
        </w:rPr>
        <w:t>6</w:t>
      </w:r>
      <w:r>
        <w:rPr>
          <w:spacing w:val="-9"/>
          <w:w w:val="105"/>
        </w:rPr>
        <w:t xml:space="preserve"> </w:t>
      </w:r>
      <w:r>
        <w:rPr>
          <w:w w:val="105"/>
        </w:rPr>
        <w:t>de</w:t>
      </w:r>
      <w:r>
        <w:rPr>
          <w:spacing w:val="-9"/>
          <w:w w:val="105"/>
        </w:rPr>
        <w:t xml:space="preserve"> </w:t>
      </w:r>
      <w:r>
        <w:rPr>
          <w:w w:val="105"/>
        </w:rPr>
        <w:t>la</w:t>
      </w:r>
      <w:r>
        <w:rPr>
          <w:spacing w:val="-9"/>
          <w:w w:val="105"/>
        </w:rPr>
        <w:t xml:space="preserve"> </w:t>
      </w:r>
      <w:r>
        <w:rPr>
          <w:w w:val="105"/>
        </w:rPr>
        <w:t>ley</w:t>
      </w:r>
      <w:r>
        <w:rPr>
          <w:spacing w:val="-9"/>
          <w:w w:val="105"/>
        </w:rPr>
        <w:t xml:space="preserve"> </w:t>
      </w:r>
      <w:r>
        <w:rPr>
          <w:w w:val="105"/>
        </w:rPr>
        <w:t>aborda</w:t>
      </w:r>
      <w:r>
        <w:rPr>
          <w:spacing w:val="-9"/>
          <w:w w:val="105"/>
        </w:rPr>
        <w:t xml:space="preserve"> </w:t>
      </w:r>
      <w:r>
        <w:rPr>
          <w:w w:val="105"/>
        </w:rPr>
        <w:t>los</w:t>
      </w:r>
      <w:r>
        <w:rPr>
          <w:spacing w:val="-9"/>
          <w:w w:val="105"/>
        </w:rPr>
        <w:t xml:space="preserve"> </w:t>
      </w:r>
      <w:r>
        <w:rPr>
          <w:w w:val="105"/>
        </w:rPr>
        <w:t>derechos</w:t>
      </w:r>
      <w:r>
        <w:rPr>
          <w:spacing w:val="-9"/>
          <w:w w:val="105"/>
        </w:rPr>
        <w:t xml:space="preserve"> </w:t>
      </w:r>
      <w:r>
        <w:rPr>
          <w:w w:val="105"/>
        </w:rPr>
        <w:t>laborales y</w:t>
      </w:r>
      <w:r>
        <w:rPr>
          <w:spacing w:val="-1"/>
          <w:w w:val="105"/>
        </w:rPr>
        <w:t xml:space="preserve"> </w:t>
      </w:r>
      <w:r>
        <w:rPr>
          <w:w w:val="105"/>
        </w:rPr>
        <w:t>establece</w:t>
      </w:r>
      <w:r>
        <w:rPr>
          <w:spacing w:val="-1"/>
          <w:w w:val="105"/>
        </w:rPr>
        <w:t xml:space="preserve"> </w:t>
      </w:r>
      <w:r>
        <w:rPr>
          <w:w w:val="105"/>
        </w:rPr>
        <w:t>un</w:t>
      </w:r>
      <w:r>
        <w:rPr>
          <w:spacing w:val="-1"/>
          <w:w w:val="105"/>
        </w:rPr>
        <w:t xml:space="preserve"> </w:t>
      </w:r>
      <w:r>
        <w:rPr>
          <w:w w:val="105"/>
        </w:rPr>
        <w:t>marco</w:t>
      </w:r>
      <w:r>
        <w:rPr>
          <w:spacing w:val="-1"/>
          <w:w w:val="105"/>
        </w:rPr>
        <w:t xml:space="preserve"> </w:t>
      </w:r>
      <w:r>
        <w:rPr>
          <w:w w:val="105"/>
        </w:rPr>
        <w:t>para</w:t>
      </w:r>
      <w:r>
        <w:rPr>
          <w:spacing w:val="-1"/>
          <w:w w:val="105"/>
        </w:rPr>
        <w:t xml:space="preserve"> </w:t>
      </w:r>
      <w:r>
        <w:rPr>
          <w:w w:val="105"/>
        </w:rPr>
        <w:t>la</w:t>
      </w:r>
      <w:r>
        <w:rPr>
          <w:spacing w:val="-1"/>
          <w:w w:val="105"/>
        </w:rPr>
        <w:t xml:space="preserve"> </w:t>
      </w:r>
      <w:r>
        <w:rPr>
          <w:w w:val="105"/>
        </w:rPr>
        <w:t>protección</w:t>
      </w:r>
      <w:r>
        <w:rPr>
          <w:spacing w:val="-1"/>
          <w:w w:val="105"/>
        </w:rPr>
        <w:t xml:space="preserve"> </w:t>
      </w:r>
      <w:r>
        <w:rPr>
          <w:w w:val="105"/>
        </w:rPr>
        <w:t>del</w:t>
      </w:r>
      <w:r>
        <w:rPr>
          <w:spacing w:val="-1"/>
          <w:w w:val="105"/>
        </w:rPr>
        <w:t xml:space="preserve"> </w:t>
      </w:r>
      <w:r>
        <w:rPr>
          <w:w w:val="105"/>
        </w:rPr>
        <w:t>derecho</w:t>
      </w:r>
      <w:r>
        <w:rPr>
          <w:spacing w:val="-1"/>
          <w:w w:val="105"/>
        </w:rPr>
        <w:t xml:space="preserve"> </w:t>
      </w:r>
      <w:r>
        <w:rPr>
          <w:w w:val="105"/>
        </w:rPr>
        <w:t>al</w:t>
      </w:r>
      <w:r>
        <w:rPr>
          <w:spacing w:val="-1"/>
          <w:w w:val="105"/>
        </w:rPr>
        <w:t xml:space="preserve"> </w:t>
      </w:r>
      <w:r>
        <w:rPr>
          <w:w w:val="105"/>
        </w:rPr>
        <w:t>trabajo</w:t>
      </w:r>
      <w:r>
        <w:rPr>
          <w:spacing w:val="-1"/>
          <w:w w:val="105"/>
        </w:rPr>
        <w:t xml:space="preserve"> </w:t>
      </w:r>
      <w:r>
        <w:rPr>
          <w:w w:val="105"/>
        </w:rPr>
        <w:t>y</w:t>
      </w:r>
      <w:r>
        <w:rPr>
          <w:spacing w:val="-1"/>
          <w:w w:val="105"/>
        </w:rPr>
        <w:t xml:space="preserve"> </w:t>
      </w:r>
      <w:r>
        <w:rPr>
          <w:w w:val="105"/>
        </w:rPr>
        <w:t>una</w:t>
      </w:r>
      <w:r>
        <w:rPr>
          <w:spacing w:val="-1"/>
          <w:w w:val="105"/>
        </w:rPr>
        <w:t xml:space="preserve"> </w:t>
      </w:r>
      <w:r>
        <w:rPr>
          <w:w w:val="105"/>
        </w:rPr>
        <w:t>serie</w:t>
      </w:r>
      <w:r>
        <w:rPr>
          <w:spacing w:val="-1"/>
          <w:w w:val="105"/>
        </w:rPr>
        <w:t xml:space="preserve"> </w:t>
      </w:r>
      <w:r>
        <w:rPr>
          <w:w w:val="105"/>
        </w:rPr>
        <w:t>de</w:t>
      </w:r>
      <w:r>
        <w:rPr>
          <w:spacing w:val="-1"/>
          <w:w w:val="105"/>
        </w:rPr>
        <w:t xml:space="preserve"> </w:t>
      </w:r>
      <w:r>
        <w:rPr>
          <w:w w:val="105"/>
        </w:rPr>
        <w:t>medidas</w:t>
      </w:r>
      <w:r>
        <w:rPr>
          <w:spacing w:val="-1"/>
          <w:w w:val="105"/>
        </w:rPr>
        <w:t xml:space="preserve"> </w:t>
      </w:r>
      <w:r>
        <w:rPr>
          <w:w w:val="105"/>
        </w:rPr>
        <w:t>positivas</w:t>
      </w:r>
      <w:r>
        <w:rPr>
          <w:spacing w:val="-1"/>
          <w:w w:val="105"/>
        </w:rPr>
        <w:t xml:space="preserve"> </w:t>
      </w:r>
      <w:r>
        <w:rPr>
          <w:w w:val="105"/>
        </w:rPr>
        <w:t>para</w:t>
      </w:r>
      <w:r>
        <w:rPr>
          <w:spacing w:val="-1"/>
          <w:w w:val="105"/>
        </w:rPr>
        <w:t xml:space="preserve"> </w:t>
      </w:r>
      <w:r>
        <w:rPr>
          <w:w w:val="105"/>
        </w:rPr>
        <w:t>garantizar</w:t>
      </w:r>
      <w:r>
        <w:rPr>
          <w:spacing w:val="-1"/>
          <w:w w:val="105"/>
        </w:rPr>
        <w:t xml:space="preserve"> </w:t>
      </w:r>
      <w:r>
        <w:rPr>
          <w:w w:val="105"/>
        </w:rPr>
        <w:t>el disfrute</w:t>
      </w:r>
      <w:r>
        <w:rPr>
          <w:spacing w:val="-2"/>
          <w:w w:val="105"/>
        </w:rPr>
        <w:t xml:space="preserve"> </w:t>
      </w:r>
      <w:r>
        <w:rPr>
          <w:w w:val="105"/>
        </w:rPr>
        <w:t>de</w:t>
      </w:r>
      <w:r>
        <w:rPr>
          <w:spacing w:val="-2"/>
          <w:w w:val="105"/>
        </w:rPr>
        <w:t xml:space="preserve"> </w:t>
      </w:r>
      <w:r>
        <w:rPr>
          <w:w w:val="105"/>
        </w:rPr>
        <w:t>esos</w:t>
      </w:r>
      <w:r>
        <w:rPr>
          <w:spacing w:val="-2"/>
          <w:w w:val="105"/>
        </w:rPr>
        <w:t xml:space="preserve"> </w:t>
      </w:r>
      <w:r>
        <w:rPr>
          <w:w w:val="105"/>
        </w:rPr>
        <w:t>derechos.</w:t>
      </w:r>
      <w:r>
        <w:rPr>
          <w:spacing w:val="-1"/>
          <w:w w:val="105"/>
        </w:rPr>
        <w:t xml:space="preserve"> </w:t>
      </w:r>
      <w:r>
        <w:rPr>
          <w:w w:val="105"/>
        </w:rPr>
        <w:t>El</w:t>
      </w:r>
      <w:r>
        <w:rPr>
          <w:spacing w:val="-2"/>
          <w:w w:val="105"/>
        </w:rPr>
        <w:t xml:space="preserve"> </w:t>
      </w:r>
      <w:r>
        <w:rPr>
          <w:w w:val="105"/>
        </w:rPr>
        <w:t>artículo</w:t>
      </w:r>
      <w:r>
        <w:rPr>
          <w:spacing w:val="-2"/>
          <w:w w:val="105"/>
        </w:rPr>
        <w:t xml:space="preserve"> </w:t>
      </w:r>
      <w:r>
        <w:rPr>
          <w:w w:val="105"/>
        </w:rPr>
        <w:t>27</w:t>
      </w:r>
      <w:r>
        <w:rPr>
          <w:spacing w:val="-2"/>
          <w:w w:val="105"/>
        </w:rPr>
        <w:t xml:space="preserve"> </w:t>
      </w:r>
      <w:r>
        <w:rPr>
          <w:w w:val="105"/>
        </w:rPr>
        <w:t>prohíbe</w:t>
      </w:r>
      <w:r>
        <w:rPr>
          <w:spacing w:val="-2"/>
          <w:w w:val="105"/>
        </w:rPr>
        <w:t xml:space="preserve"> </w:t>
      </w:r>
      <w:r>
        <w:rPr>
          <w:w w:val="105"/>
        </w:rPr>
        <w:t>cualquier</w:t>
      </w:r>
      <w:r>
        <w:rPr>
          <w:spacing w:val="-2"/>
          <w:w w:val="105"/>
        </w:rPr>
        <w:t xml:space="preserve"> </w:t>
      </w:r>
      <w:r>
        <w:rPr>
          <w:w w:val="105"/>
        </w:rPr>
        <w:t>forma</w:t>
      </w:r>
      <w:r>
        <w:rPr>
          <w:spacing w:val="-2"/>
          <w:w w:val="105"/>
        </w:rPr>
        <w:t xml:space="preserve"> </w:t>
      </w:r>
      <w:r>
        <w:rPr>
          <w:w w:val="105"/>
        </w:rPr>
        <w:t>de</w:t>
      </w:r>
      <w:r>
        <w:rPr>
          <w:spacing w:val="-2"/>
          <w:w w:val="105"/>
        </w:rPr>
        <w:t xml:space="preserve"> </w:t>
      </w:r>
      <w:r>
        <w:rPr>
          <w:w w:val="105"/>
        </w:rPr>
        <w:t>discriminación</w:t>
      </w:r>
      <w:r>
        <w:rPr>
          <w:spacing w:val="-2"/>
          <w:w w:val="105"/>
        </w:rPr>
        <w:t xml:space="preserve"> </w:t>
      </w:r>
      <w:r>
        <w:rPr>
          <w:w w:val="105"/>
        </w:rPr>
        <w:t>contra</w:t>
      </w:r>
      <w:r>
        <w:rPr>
          <w:spacing w:val="-2"/>
          <w:w w:val="105"/>
        </w:rPr>
        <w:t xml:space="preserve"> </w:t>
      </w:r>
      <w:r>
        <w:rPr>
          <w:w w:val="105"/>
        </w:rPr>
        <w:t>los</w:t>
      </w:r>
      <w:r>
        <w:rPr>
          <w:spacing w:val="-2"/>
          <w:w w:val="105"/>
        </w:rPr>
        <w:t xml:space="preserve"> </w:t>
      </w:r>
      <w:r>
        <w:rPr>
          <w:w w:val="105"/>
        </w:rPr>
        <w:t>pueblos</w:t>
      </w:r>
      <w:r>
        <w:rPr>
          <w:spacing w:val="-2"/>
          <w:w w:val="105"/>
        </w:rPr>
        <w:t xml:space="preserve"> </w:t>
      </w:r>
      <w:r>
        <w:rPr>
          <w:w w:val="105"/>
        </w:rPr>
        <w:t>indígenas, respecto</w:t>
      </w:r>
      <w:r>
        <w:rPr>
          <w:spacing w:val="-1"/>
          <w:w w:val="105"/>
        </w:rPr>
        <w:t xml:space="preserve"> </w:t>
      </w:r>
      <w:r>
        <w:rPr>
          <w:w w:val="105"/>
        </w:rPr>
        <w:t>del</w:t>
      </w:r>
      <w:r>
        <w:rPr>
          <w:spacing w:val="-1"/>
          <w:w w:val="105"/>
        </w:rPr>
        <w:t xml:space="preserve"> </w:t>
      </w:r>
      <w:r>
        <w:rPr>
          <w:w w:val="105"/>
        </w:rPr>
        <w:t>acceso</w:t>
      </w:r>
      <w:r>
        <w:rPr>
          <w:spacing w:val="-1"/>
          <w:w w:val="105"/>
        </w:rPr>
        <w:t xml:space="preserve"> </w:t>
      </w:r>
      <w:r>
        <w:rPr>
          <w:w w:val="105"/>
        </w:rPr>
        <w:t>al</w:t>
      </w:r>
      <w:r>
        <w:rPr>
          <w:spacing w:val="-1"/>
          <w:w w:val="105"/>
        </w:rPr>
        <w:t xml:space="preserve"> </w:t>
      </w:r>
      <w:r>
        <w:rPr>
          <w:w w:val="105"/>
        </w:rPr>
        <w:t>empleo, las</w:t>
      </w:r>
      <w:r>
        <w:rPr>
          <w:spacing w:val="-1"/>
          <w:w w:val="105"/>
        </w:rPr>
        <w:t xml:space="preserve"> </w:t>
      </w:r>
      <w:r>
        <w:rPr>
          <w:w w:val="105"/>
        </w:rPr>
        <w:t>condiciones</w:t>
      </w:r>
      <w:r>
        <w:rPr>
          <w:spacing w:val="-1"/>
          <w:w w:val="105"/>
        </w:rPr>
        <w:t xml:space="preserve"> </w:t>
      </w:r>
      <w:r>
        <w:rPr>
          <w:w w:val="105"/>
        </w:rPr>
        <w:t>de</w:t>
      </w:r>
      <w:r>
        <w:rPr>
          <w:spacing w:val="-1"/>
          <w:w w:val="105"/>
        </w:rPr>
        <w:t xml:space="preserve"> </w:t>
      </w:r>
      <w:r>
        <w:rPr>
          <w:w w:val="105"/>
        </w:rPr>
        <w:t>trabajo, las</w:t>
      </w:r>
      <w:r>
        <w:rPr>
          <w:spacing w:val="-1"/>
          <w:w w:val="105"/>
        </w:rPr>
        <w:t xml:space="preserve"> </w:t>
      </w:r>
      <w:r>
        <w:rPr>
          <w:w w:val="105"/>
        </w:rPr>
        <w:t>oportunidades</w:t>
      </w:r>
      <w:r>
        <w:rPr>
          <w:spacing w:val="-1"/>
          <w:w w:val="105"/>
        </w:rPr>
        <w:t xml:space="preserve"> </w:t>
      </w:r>
      <w:r>
        <w:rPr>
          <w:w w:val="105"/>
        </w:rPr>
        <w:t>de</w:t>
      </w:r>
      <w:r>
        <w:rPr>
          <w:spacing w:val="-1"/>
          <w:w w:val="105"/>
        </w:rPr>
        <w:t xml:space="preserve"> </w:t>
      </w:r>
      <w:r>
        <w:rPr>
          <w:w w:val="105"/>
        </w:rPr>
        <w:t>formación, la</w:t>
      </w:r>
      <w:r>
        <w:rPr>
          <w:spacing w:val="-1"/>
          <w:w w:val="105"/>
        </w:rPr>
        <w:t xml:space="preserve"> </w:t>
      </w:r>
      <w:r>
        <w:rPr>
          <w:w w:val="105"/>
        </w:rPr>
        <w:t>remuneración</w:t>
      </w:r>
      <w:r>
        <w:rPr>
          <w:spacing w:val="-1"/>
          <w:w w:val="105"/>
        </w:rPr>
        <w:t xml:space="preserve"> </w:t>
      </w:r>
      <w:r>
        <w:rPr>
          <w:w w:val="105"/>
        </w:rPr>
        <w:t>y</w:t>
      </w:r>
      <w:r>
        <w:rPr>
          <w:spacing w:val="-1"/>
          <w:w w:val="105"/>
        </w:rPr>
        <w:t xml:space="preserve"> </w:t>
      </w:r>
      <w:r>
        <w:rPr>
          <w:w w:val="105"/>
        </w:rPr>
        <w:t>la seguridad</w:t>
      </w:r>
      <w:r>
        <w:rPr>
          <w:spacing w:val="-2"/>
          <w:w w:val="105"/>
        </w:rPr>
        <w:t xml:space="preserve"> </w:t>
      </w:r>
      <w:r>
        <w:rPr>
          <w:w w:val="105"/>
        </w:rPr>
        <w:t>social.</w:t>
      </w:r>
      <w:r>
        <w:rPr>
          <w:spacing w:val="-1"/>
          <w:w w:val="105"/>
        </w:rPr>
        <w:t xml:space="preserve"> </w:t>
      </w:r>
      <w:r>
        <w:rPr>
          <w:w w:val="105"/>
        </w:rPr>
        <w:t>El</w:t>
      </w:r>
      <w:r>
        <w:rPr>
          <w:spacing w:val="-2"/>
          <w:w w:val="105"/>
        </w:rPr>
        <w:t xml:space="preserve"> </w:t>
      </w:r>
      <w:r>
        <w:rPr>
          <w:w w:val="105"/>
        </w:rPr>
        <w:t>trabajo</w:t>
      </w:r>
      <w:r>
        <w:rPr>
          <w:spacing w:val="-2"/>
          <w:w w:val="105"/>
        </w:rPr>
        <w:t xml:space="preserve"> </w:t>
      </w:r>
      <w:r>
        <w:rPr>
          <w:w w:val="105"/>
        </w:rPr>
        <w:t>forzoso</w:t>
      </w:r>
      <w:r>
        <w:rPr>
          <w:spacing w:val="-2"/>
          <w:w w:val="105"/>
        </w:rPr>
        <w:t xml:space="preserve"> </w:t>
      </w:r>
      <w:r>
        <w:rPr>
          <w:w w:val="105"/>
        </w:rPr>
        <w:t>o</w:t>
      </w:r>
      <w:r>
        <w:rPr>
          <w:spacing w:val="-2"/>
          <w:w w:val="105"/>
        </w:rPr>
        <w:t xml:space="preserve"> </w:t>
      </w:r>
      <w:r>
        <w:rPr>
          <w:w w:val="105"/>
        </w:rPr>
        <w:t>la</w:t>
      </w:r>
      <w:r>
        <w:rPr>
          <w:spacing w:val="-2"/>
          <w:w w:val="105"/>
        </w:rPr>
        <w:t xml:space="preserve"> </w:t>
      </w:r>
      <w:r>
        <w:rPr>
          <w:w w:val="105"/>
        </w:rPr>
        <w:t>esclavización</w:t>
      </w:r>
      <w:r>
        <w:rPr>
          <w:spacing w:val="-2"/>
          <w:w w:val="105"/>
        </w:rPr>
        <w:t xml:space="preserve"> </w:t>
      </w:r>
      <w:r>
        <w:rPr>
          <w:w w:val="105"/>
        </w:rPr>
        <w:t>de</w:t>
      </w:r>
      <w:r>
        <w:rPr>
          <w:spacing w:val="-2"/>
          <w:w w:val="105"/>
        </w:rPr>
        <w:t xml:space="preserve"> </w:t>
      </w:r>
      <w:r>
        <w:rPr>
          <w:w w:val="105"/>
        </w:rPr>
        <w:t>los</w:t>
      </w:r>
      <w:r>
        <w:rPr>
          <w:spacing w:val="-2"/>
          <w:w w:val="105"/>
        </w:rPr>
        <w:t xml:space="preserve"> </w:t>
      </w:r>
      <w:r>
        <w:rPr>
          <w:w w:val="105"/>
        </w:rPr>
        <w:t>pueblos</w:t>
      </w:r>
      <w:r>
        <w:rPr>
          <w:spacing w:val="-2"/>
          <w:w w:val="105"/>
        </w:rPr>
        <w:t xml:space="preserve"> </w:t>
      </w:r>
      <w:r>
        <w:rPr>
          <w:w w:val="105"/>
        </w:rPr>
        <w:t>indígenas</w:t>
      </w:r>
      <w:r>
        <w:rPr>
          <w:spacing w:val="-2"/>
          <w:w w:val="105"/>
        </w:rPr>
        <w:t xml:space="preserve"> </w:t>
      </w:r>
      <w:r>
        <w:rPr>
          <w:w w:val="105"/>
        </w:rPr>
        <w:t>está</w:t>
      </w:r>
      <w:r>
        <w:rPr>
          <w:spacing w:val="-2"/>
          <w:w w:val="105"/>
        </w:rPr>
        <w:t xml:space="preserve"> </w:t>
      </w:r>
      <w:r>
        <w:rPr>
          <w:w w:val="105"/>
        </w:rPr>
        <w:t>expresamente</w:t>
      </w:r>
      <w:r>
        <w:rPr>
          <w:spacing w:val="-2"/>
          <w:w w:val="105"/>
        </w:rPr>
        <w:t xml:space="preserve"> </w:t>
      </w:r>
      <w:r>
        <w:rPr>
          <w:w w:val="105"/>
        </w:rPr>
        <w:t>prohibido</w:t>
      </w:r>
      <w:r>
        <w:rPr>
          <w:spacing w:val="-2"/>
          <w:w w:val="105"/>
        </w:rPr>
        <w:t xml:space="preserve"> </w:t>
      </w:r>
      <w:r>
        <w:rPr>
          <w:w w:val="105"/>
        </w:rPr>
        <w:t>y</w:t>
      </w:r>
      <w:r>
        <w:rPr>
          <w:spacing w:val="-2"/>
          <w:w w:val="105"/>
        </w:rPr>
        <w:t xml:space="preserve"> </w:t>
      </w:r>
      <w:r>
        <w:rPr>
          <w:w w:val="105"/>
        </w:rPr>
        <w:t>se imponen medidas punitivas a quienes infrinjan esta prohibición (art. 29).</w:t>
      </w:r>
    </w:p>
    <w:p w14:paraId="5A43F736" w14:textId="77777777" w:rsidR="0014798C" w:rsidRDefault="004E1F0B">
      <w:pPr>
        <w:pStyle w:val="Textoindependiente"/>
        <w:spacing w:before="110" w:line="326" w:lineRule="auto"/>
        <w:ind w:left="1330" w:right="1463" w:firstLine="2"/>
      </w:pPr>
      <w:r>
        <w:rPr>
          <w:w w:val="105"/>
        </w:rPr>
        <w:t>El</w:t>
      </w:r>
      <w:r>
        <w:rPr>
          <w:spacing w:val="-5"/>
          <w:w w:val="105"/>
        </w:rPr>
        <w:t xml:space="preserve"> </w:t>
      </w:r>
      <w:r>
        <w:rPr>
          <w:w w:val="105"/>
        </w:rPr>
        <w:t>título</w:t>
      </w:r>
      <w:r>
        <w:rPr>
          <w:spacing w:val="-5"/>
          <w:w w:val="105"/>
        </w:rPr>
        <w:t xml:space="preserve"> </w:t>
      </w:r>
      <w:r>
        <w:rPr>
          <w:w w:val="105"/>
        </w:rPr>
        <w:t>3</w:t>
      </w:r>
      <w:r>
        <w:rPr>
          <w:spacing w:val="-5"/>
          <w:w w:val="105"/>
        </w:rPr>
        <w:t xml:space="preserve"> </w:t>
      </w:r>
      <w:r>
        <w:rPr>
          <w:w w:val="105"/>
        </w:rPr>
        <w:t>de</w:t>
      </w:r>
      <w:r>
        <w:rPr>
          <w:spacing w:val="-5"/>
          <w:w w:val="105"/>
        </w:rPr>
        <w:t xml:space="preserve"> </w:t>
      </w:r>
      <w:r>
        <w:rPr>
          <w:w w:val="105"/>
        </w:rPr>
        <w:t>la</w:t>
      </w:r>
      <w:r>
        <w:rPr>
          <w:spacing w:val="-5"/>
          <w:w w:val="105"/>
        </w:rPr>
        <w:t xml:space="preserve"> </w:t>
      </w:r>
      <w:r>
        <w:rPr>
          <w:w w:val="105"/>
        </w:rPr>
        <w:t>ley</w:t>
      </w:r>
      <w:r>
        <w:rPr>
          <w:spacing w:val="-5"/>
          <w:w w:val="105"/>
        </w:rPr>
        <w:t xml:space="preserve"> </w:t>
      </w:r>
      <w:r>
        <w:rPr>
          <w:w w:val="105"/>
        </w:rPr>
        <w:t>reconoce</w:t>
      </w:r>
      <w:r>
        <w:rPr>
          <w:spacing w:val="-5"/>
          <w:w w:val="105"/>
        </w:rPr>
        <w:t xml:space="preserve"> </w:t>
      </w:r>
      <w:r>
        <w:rPr>
          <w:w w:val="105"/>
        </w:rPr>
        <w:t>el</w:t>
      </w:r>
      <w:r>
        <w:rPr>
          <w:spacing w:val="-5"/>
          <w:w w:val="105"/>
        </w:rPr>
        <w:t xml:space="preserve"> </w:t>
      </w:r>
      <w:r>
        <w:rPr>
          <w:w w:val="105"/>
        </w:rPr>
        <w:t>derecho</w:t>
      </w:r>
      <w:r>
        <w:rPr>
          <w:spacing w:val="-5"/>
          <w:w w:val="105"/>
        </w:rPr>
        <w:t xml:space="preserve"> </w:t>
      </w:r>
      <w:r>
        <w:rPr>
          <w:w w:val="105"/>
        </w:rPr>
        <w:t>de</w:t>
      </w:r>
      <w:r>
        <w:rPr>
          <w:spacing w:val="-5"/>
          <w:w w:val="105"/>
        </w:rPr>
        <w:t xml:space="preserve"> </w:t>
      </w:r>
      <w:r>
        <w:rPr>
          <w:w w:val="105"/>
        </w:rPr>
        <w:t>los</w:t>
      </w:r>
      <w:r>
        <w:rPr>
          <w:spacing w:val="-5"/>
          <w:w w:val="105"/>
        </w:rPr>
        <w:t xml:space="preserve"> </w:t>
      </w:r>
      <w:r>
        <w:rPr>
          <w:w w:val="105"/>
        </w:rPr>
        <w:t>pueblos</w:t>
      </w:r>
      <w:r>
        <w:rPr>
          <w:spacing w:val="-5"/>
          <w:w w:val="105"/>
        </w:rPr>
        <w:t xml:space="preserve"> </w:t>
      </w:r>
      <w:r>
        <w:rPr>
          <w:w w:val="105"/>
        </w:rPr>
        <w:t>indígenas</w:t>
      </w:r>
      <w:r>
        <w:rPr>
          <w:spacing w:val="-5"/>
          <w:w w:val="105"/>
        </w:rPr>
        <w:t xml:space="preserve"> </w:t>
      </w:r>
      <w:r>
        <w:rPr>
          <w:w w:val="105"/>
        </w:rPr>
        <w:t>a</w:t>
      </w:r>
      <w:r>
        <w:rPr>
          <w:spacing w:val="-5"/>
          <w:w w:val="105"/>
        </w:rPr>
        <w:t xml:space="preserve"> </w:t>
      </w:r>
      <w:r>
        <w:rPr>
          <w:w w:val="105"/>
        </w:rPr>
        <w:t>mantener</w:t>
      </w:r>
      <w:r>
        <w:rPr>
          <w:spacing w:val="-5"/>
          <w:w w:val="105"/>
        </w:rPr>
        <w:t xml:space="preserve"> </w:t>
      </w:r>
      <w:r>
        <w:rPr>
          <w:w w:val="105"/>
        </w:rPr>
        <w:t>su</w:t>
      </w:r>
      <w:r>
        <w:rPr>
          <w:spacing w:val="-5"/>
          <w:w w:val="105"/>
        </w:rPr>
        <w:t xml:space="preserve"> </w:t>
      </w:r>
      <w:r>
        <w:rPr>
          <w:w w:val="105"/>
        </w:rPr>
        <w:t>propia</w:t>
      </w:r>
      <w:r>
        <w:rPr>
          <w:spacing w:val="-5"/>
          <w:w w:val="105"/>
        </w:rPr>
        <w:t xml:space="preserve"> </w:t>
      </w:r>
      <w:r>
        <w:rPr>
          <w:w w:val="105"/>
        </w:rPr>
        <w:t>cultura</w:t>
      </w:r>
      <w:r>
        <w:rPr>
          <w:spacing w:val="-5"/>
          <w:w w:val="105"/>
        </w:rPr>
        <w:t xml:space="preserve"> </w:t>
      </w:r>
      <w:r>
        <w:rPr>
          <w:w w:val="105"/>
        </w:rPr>
        <w:t>(arts.</w:t>
      </w:r>
      <w:r>
        <w:rPr>
          <w:spacing w:val="-5"/>
          <w:w w:val="105"/>
        </w:rPr>
        <w:t xml:space="preserve"> </w:t>
      </w:r>
      <w:r>
        <w:rPr>
          <w:w w:val="105"/>
        </w:rPr>
        <w:t>13</w:t>
      </w:r>
      <w:r>
        <w:rPr>
          <w:spacing w:val="-5"/>
          <w:w w:val="105"/>
        </w:rPr>
        <w:t xml:space="preserve"> </w:t>
      </w:r>
      <w:r>
        <w:rPr>
          <w:w w:val="105"/>
        </w:rPr>
        <w:t>y</w:t>
      </w:r>
      <w:r>
        <w:rPr>
          <w:spacing w:val="-5"/>
          <w:w w:val="105"/>
        </w:rPr>
        <w:t xml:space="preserve"> </w:t>
      </w:r>
      <w:r>
        <w:rPr>
          <w:w w:val="105"/>
        </w:rPr>
        <w:t>14),</w:t>
      </w:r>
      <w:r>
        <w:rPr>
          <w:spacing w:val="-5"/>
          <w:w w:val="105"/>
        </w:rPr>
        <w:t xml:space="preserve"> </w:t>
      </w:r>
      <w:r>
        <w:rPr>
          <w:w w:val="105"/>
        </w:rPr>
        <w:t>garantiza sus</w:t>
      </w:r>
      <w:r>
        <w:rPr>
          <w:spacing w:val="-9"/>
          <w:w w:val="105"/>
        </w:rPr>
        <w:t xml:space="preserve"> </w:t>
      </w:r>
      <w:r>
        <w:rPr>
          <w:w w:val="105"/>
        </w:rPr>
        <w:t>derechos</w:t>
      </w:r>
      <w:r>
        <w:rPr>
          <w:spacing w:val="-9"/>
          <w:w w:val="105"/>
        </w:rPr>
        <w:t xml:space="preserve"> </w:t>
      </w:r>
      <w:r>
        <w:rPr>
          <w:w w:val="105"/>
        </w:rPr>
        <w:t>de</w:t>
      </w:r>
      <w:r>
        <w:rPr>
          <w:spacing w:val="-9"/>
          <w:w w:val="105"/>
        </w:rPr>
        <w:t xml:space="preserve"> </w:t>
      </w:r>
      <w:r>
        <w:rPr>
          <w:w w:val="105"/>
        </w:rPr>
        <w:t>propiedad</w:t>
      </w:r>
      <w:r>
        <w:rPr>
          <w:spacing w:val="-9"/>
          <w:w w:val="105"/>
        </w:rPr>
        <w:t xml:space="preserve"> </w:t>
      </w:r>
      <w:r>
        <w:rPr>
          <w:w w:val="105"/>
        </w:rPr>
        <w:t>intelectual</w:t>
      </w:r>
      <w:r>
        <w:rPr>
          <w:spacing w:val="-9"/>
          <w:w w:val="105"/>
        </w:rPr>
        <w:t xml:space="preserve"> </w:t>
      </w:r>
      <w:r>
        <w:rPr>
          <w:w w:val="105"/>
        </w:rPr>
        <w:t>con</w:t>
      </w:r>
      <w:r>
        <w:rPr>
          <w:spacing w:val="-9"/>
          <w:w w:val="105"/>
        </w:rPr>
        <w:t xml:space="preserve"> </w:t>
      </w:r>
      <w:r>
        <w:rPr>
          <w:w w:val="105"/>
        </w:rPr>
        <w:t>respecto</w:t>
      </w:r>
      <w:r>
        <w:rPr>
          <w:spacing w:val="-9"/>
          <w:w w:val="105"/>
        </w:rPr>
        <w:t xml:space="preserve"> </w:t>
      </w:r>
      <w:r>
        <w:rPr>
          <w:w w:val="105"/>
        </w:rPr>
        <w:t>a</w:t>
      </w:r>
      <w:r>
        <w:rPr>
          <w:spacing w:val="-9"/>
          <w:w w:val="105"/>
        </w:rPr>
        <w:t xml:space="preserve"> </w:t>
      </w:r>
      <w:r>
        <w:rPr>
          <w:w w:val="105"/>
        </w:rPr>
        <w:t>los</w:t>
      </w:r>
      <w:r>
        <w:rPr>
          <w:spacing w:val="-9"/>
          <w:w w:val="105"/>
        </w:rPr>
        <w:t xml:space="preserve"> </w:t>
      </w:r>
      <w:r>
        <w:rPr>
          <w:w w:val="105"/>
        </w:rPr>
        <w:t>conocimientos</w:t>
      </w:r>
      <w:r>
        <w:rPr>
          <w:spacing w:val="-9"/>
          <w:w w:val="105"/>
        </w:rPr>
        <w:t xml:space="preserve"> </w:t>
      </w:r>
      <w:r>
        <w:rPr>
          <w:w w:val="105"/>
        </w:rPr>
        <w:t>tradicionales,</w:t>
      </w:r>
      <w:r>
        <w:rPr>
          <w:spacing w:val="-8"/>
          <w:w w:val="105"/>
        </w:rPr>
        <w:t xml:space="preserve"> </w:t>
      </w:r>
      <w:r>
        <w:rPr>
          <w:w w:val="105"/>
        </w:rPr>
        <w:t>incluido</w:t>
      </w:r>
      <w:r>
        <w:rPr>
          <w:spacing w:val="-9"/>
          <w:w w:val="105"/>
        </w:rPr>
        <w:t xml:space="preserve"> </w:t>
      </w:r>
      <w:r>
        <w:rPr>
          <w:w w:val="105"/>
        </w:rPr>
        <w:t>el</w:t>
      </w:r>
      <w:r>
        <w:rPr>
          <w:spacing w:val="-9"/>
          <w:w w:val="105"/>
        </w:rPr>
        <w:t xml:space="preserve"> </w:t>
      </w:r>
      <w:r>
        <w:rPr>
          <w:w w:val="105"/>
        </w:rPr>
        <w:t>derecho</w:t>
      </w:r>
      <w:r>
        <w:rPr>
          <w:spacing w:val="-9"/>
          <w:w w:val="105"/>
        </w:rPr>
        <w:t xml:space="preserve"> </w:t>
      </w:r>
      <w:r>
        <w:rPr>
          <w:w w:val="105"/>
        </w:rPr>
        <w:t>a</w:t>
      </w:r>
      <w:r>
        <w:rPr>
          <w:spacing w:val="-9"/>
          <w:w w:val="105"/>
        </w:rPr>
        <w:t xml:space="preserve"> </w:t>
      </w:r>
      <w:r>
        <w:rPr>
          <w:w w:val="105"/>
        </w:rPr>
        <w:t>beneficiarse de su uso (art. 15), y brinda protección a los objetos culturales y espirituales y a los lugares sagrados (art. 16). Las farmacopeas tradicionales indígenas también están protegidas (art. 24), y se prohíbe cualquier intento de limitar la capacidad</w:t>
      </w:r>
      <w:r>
        <w:rPr>
          <w:spacing w:val="-1"/>
          <w:w w:val="105"/>
        </w:rPr>
        <w:t xml:space="preserve"> </w:t>
      </w:r>
      <w:r>
        <w:rPr>
          <w:w w:val="105"/>
        </w:rPr>
        <w:t>de</w:t>
      </w:r>
      <w:r>
        <w:rPr>
          <w:spacing w:val="-1"/>
          <w:w w:val="105"/>
        </w:rPr>
        <w:t xml:space="preserve"> </w:t>
      </w:r>
      <w:r>
        <w:rPr>
          <w:w w:val="105"/>
        </w:rPr>
        <w:t>los</w:t>
      </w:r>
      <w:r>
        <w:rPr>
          <w:spacing w:val="-1"/>
          <w:w w:val="105"/>
        </w:rPr>
        <w:t xml:space="preserve"> </w:t>
      </w:r>
      <w:r>
        <w:rPr>
          <w:w w:val="105"/>
        </w:rPr>
        <w:t>pueblos</w:t>
      </w:r>
      <w:r>
        <w:rPr>
          <w:spacing w:val="-1"/>
          <w:w w:val="105"/>
        </w:rPr>
        <w:t xml:space="preserve"> </w:t>
      </w:r>
      <w:r>
        <w:rPr>
          <w:w w:val="105"/>
        </w:rPr>
        <w:t>indígenas</w:t>
      </w:r>
      <w:r>
        <w:rPr>
          <w:spacing w:val="-1"/>
          <w:w w:val="105"/>
        </w:rPr>
        <w:t xml:space="preserve"> </w:t>
      </w:r>
      <w:r>
        <w:rPr>
          <w:w w:val="105"/>
        </w:rPr>
        <w:t>de</w:t>
      </w:r>
      <w:r>
        <w:rPr>
          <w:spacing w:val="-1"/>
          <w:w w:val="105"/>
        </w:rPr>
        <w:t xml:space="preserve"> </w:t>
      </w:r>
      <w:r>
        <w:rPr>
          <w:w w:val="105"/>
        </w:rPr>
        <w:t>practicar</w:t>
      </w:r>
      <w:r>
        <w:rPr>
          <w:spacing w:val="-1"/>
          <w:w w:val="105"/>
        </w:rPr>
        <w:t xml:space="preserve"> </w:t>
      </w:r>
      <w:r>
        <w:rPr>
          <w:w w:val="105"/>
        </w:rPr>
        <w:t>su</w:t>
      </w:r>
      <w:r>
        <w:rPr>
          <w:spacing w:val="-1"/>
          <w:w w:val="105"/>
        </w:rPr>
        <w:t xml:space="preserve"> </w:t>
      </w:r>
      <w:r>
        <w:rPr>
          <w:w w:val="105"/>
        </w:rPr>
        <w:t>medicina</w:t>
      </w:r>
      <w:r>
        <w:rPr>
          <w:spacing w:val="-1"/>
          <w:w w:val="105"/>
        </w:rPr>
        <w:t xml:space="preserve"> </w:t>
      </w:r>
      <w:r>
        <w:rPr>
          <w:w w:val="105"/>
        </w:rPr>
        <w:t>tradicional, estableciéndose</w:t>
      </w:r>
      <w:r>
        <w:rPr>
          <w:spacing w:val="-1"/>
          <w:w w:val="105"/>
        </w:rPr>
        <w:t xml:space="preserve"> </w:t>
      </w:r>
      <w:r>
        <w:rPr>
          <w:w w:val="105"/>
        </w:rPr>
        <w:t>medidas</w:t>
      </w:r>
      <w:r>
        <w:rPr>
          <w:spacing w:val="-1"/>
          <w:w w:val="105"/>
        </w:rPr>
        <w:t xml:space="preserve"> </w:t>
      </w:r>
      <w:r>
        <w:rPr>
          <w:w w:val="105"/>
        </w:rPr>
        <w:t>punitivas</w:t>
      </w:r>
      <w:r>
        <w:rPr>
          <w:spacing w:val="-1"/>
          <w:w w:val="105"/>
        </w:rPr>
        <w:t xml:space="preserve"> </w:t>
      </w:r>
      <w:r>
        <w:rPr>
          <w:w w:val="105"/>
        </w:rPr>
        <w:t>para</w:t>
      </w:r>
      <w:r>
        <w:rPr>
          <w:spacing w:val="-1"/>
          <w:w w:val="105"/>
        </w:rPr>
        <w:t xml:space="preserve"> </w:t>
      </w:r>
      <w:r>
        <w:rPr>
          <w:w w:val="105"/>
        </w:rPr>
        <w:t>el incumplimiento de esta prohibición (art. 25).</w:t>
      </w:r>
    </w:p>
    <w:p w14:paraId="7C6FA8EE" w14:textId="77777777" w:rsidR="0014798C" w:rsidRDefault="004E1F0B">
      <w:pPr>
        <w:pStyle w:val="Textoindependiente"/>
        <w:spacing w:before="110"/>
        <w:ind w:left="1332"/>
      </w:pPr>
      <w:r>
        <w:rPr>
          <w:w w:val="105"/>
        </w:rPr>
        <w:t>El</w:t>
      </w:r>
      <w:r>
        <w:rPr>
          <w:spacing w:val="-12"/>
          <w:w w:val="105"/>
        </w:rPr>
        <w:t xml:space="preserve"> </w:t>
      </w:r>
      <w:r>
        <w:rPr>
          <w:w w:val="105"/>
        </w:rPr>
        <w:t>título</w:t>
      </w:r>
      <w:r>
        <w:rPr>
          <w:spacing w:val="-11"/>
          <w:w w:val="105"/>
        </w:rPr>
        <w:t xml:space="preserve"> </w:t>
      </w:r>
      <w:r>
        <w:rPr>
          <w:w w:val="105"/>
        </w:rPr>
        <w:t>4</w:t>
      </w:r>
      <w:r>
        <w:rPr>
          <w:spacing w:val="-11"/>
          <w:w w:val="105"/>
        </w:rPr>
        <w:t xml:space="preserve"> </w:t>
      </w:r>
      <w:r>
        <w:rPr>
          <w:w w:val="105"/>
        </w:rPr>
        <w:t>de</w:t>
      </w:r>
      <w:r>
        <w:rPr>
          <w:spacing w:val="-11"/>
          <w:w w:val="105"/>
        </w:rPr>
        <w:t xml:space="preserve"> </w:t>
      </w:r>
      <w:r>
        <w:rPr>
          <w:w w:val="105"/>
        </w:rPr>
        <w:t>la</w:t>
      </w:r>
      <w:r>
        <w:rPr>
          <w:spacing w:val="-11"/>
          <w:w w:val="105"/>
        </w:rPr>
        <w:t xml:space="preserve"> </w:t>
      </w:r>
      <w:r>
        <w:rPr>
          <w:w w:val="105"/>
        </w:rPr>
        <w:t>ley</w:t>
      </w:r>
      <w:r>
        <w:rPr>
          <w:spacing w:val="-12"/>
          <w:w w:val="105"/>
        </w:rPr>
        <w:t xml:space="preserve"> </w:t>
      </w:r>
      <w:r>
        <w:rPr>
          <w:w w:val="105"/>
        </w:rPr>
        <w:t>aborda</w:t>
      </w:r>
      <w:r>
        <w:rPr>
          <w:spacing w:val="-11"/>
          <w:w w:val="105"/>
        </w:rPr>
        <w:t xml:space="preserve"> </w:t>
      </w:r>
      <w:r>
        <w:rPr>
          <w:w w:val="105"/>
        </w:rPr>
        <w:t>la</w:t>
      </w:r>
      <w:r>
        <w:rPr>
          <w:spacing w:val="-11"/>
          <w:w w:val="105"/>
        </w:rPr>
        <w:t xml:space="preserve"> </w:t>
      </w:r>
      <w:r>
        <w:rPr>
          <w:w w:val="105"/>
        </w:rPr>
        <w:t>educación</w:t>
      </w:r>
      <w:r>
        <w:rPr>
          <w:spacing w:val="-11"/>
          <w:w w:val="105"/>
        </w:rPr>
        <w:t xml:space="preserve"> </w:t>
      </w:r>
      <w:r>
        <w:rPr>
          <w:w w:val="105"/>
        </w:rPr>
        <w:t>y</w:t>
      </w:r>
      <w:r>
        <w:rPr>
          <w:spacing w:val="-11"/>
          <w:w w:val="105"/>
        </w:rPr>
        <w:t xml:space="preserve"> </w:t>
      </w:r>
      <w:r>
        <w:rPr>
          <w:w w:val="105"/>
        </w:rPr>
        <w:t>garantiza</w:t>
      </w:r>
      <w:r>
        <w:rPr>
          <w:spacing w:val="-11"/>
          <w:w w:val="105"/>
        </w:rPr>
        <w:t xml:space="preserve"> </w:t>
      </w:r>
      <w:r>
        <w:rPr>
          <w:w w:val="105"/>
        </w:rPr>
        <w:t>el</w:t>
      </w:r>
      <w:r>
        <w:rPr>
          <w:spacing w:val="-12"/>
          <w:w w:val="105"/>
        </w:rPr>
        <w:t xml:space="preserve"> </w:t>
      </w:r>
      <w:r>
        <w:rPr>
          <w:w w:val="105"/>
        </w:rPr>
        <w:t>acceso</w:t>
      </w:r>
      <w:r>
        <w:rPr>
          <w:spacing w:val="-11"/>
          <w:w w:val="105"/>
        </w:rPr>
        <w:t xml:space="preserve"> </w:t>
      </w:r>
      <w:r>
        <w:rPr>
          <w:w w:val="105"/>
        </w:rPr>
        <w:t>a</w:t>
      </w:r>
      <w:r>
        <w:rPr>
          <w:spacing w:val="-11"/>
          <w:w w:val="105"/>
        </w:rPr>
        <w:t xml:space="preserve"> </w:t>
      </w:r>
      <w:r>
        <w:rPr>
          <w:w w:val="105"/>
        </w:rPr>
        <w:t>la</w:t>
      </w:r>
      <w:r>
        <w:rPr>
          <w:spacing w:val="-11"/>
          <w:w w:val="105"/>
        </w:rPr>
        <w:t xml:space="preserve"> </w:t>
      </w:r>
      <w:r>
        <w:rPr>
          <w:w w:val="105"/>
        </w:rPr>
        <w:t>educación</w:t>
      </w:r>
      <w:r>
        <w:rPr>
          <w:spacing w:val="-11"/>
          <w:w w:val="105"/>
        </w:rPr>
        <w:t xml:space="preserve"> </w:t>
      </w:r>
      <w:r>
        <w:rPr>
          <w:w w:val="105"/>
        </w:rPr>
        <w:t>sin</w:t>
      </w:r>
      <w:r>
        <w:rPr>
          <w:spacing w:val="-11"/>
          <w:w w:val="105"/>
        </w:rPr>
        <w:t xml:space="preserve"> </w:t>
      </w:r>
      <w:r>
        <w:rPr>
          <w:w w:val="105"/>
        </w:rPr>
        <w:t>discriminación</w:t>
      </w:r>
      <w:r>
        <w:rPr>
          <w:spacing w:val="-12"/>
          <w:w w:val="105"/>
        </w:rPr>
        <w:t xml:space="preserve"> </w:t>
      </w:r>
      <w:r>
        <w:rPr>
          <w:w w:val="105"/>
        </w:rPr>
        <w:t>(art.</w:t>
      </w:r>
      <w:r>
        <w:rPr>
          <w:spacing w:val="-11"/>
          <w:w w:val="105"/>
        </w:rPr>
        <w:t xml:space="preserve"> </w:t>
      </w:r>
      <w:r>
        <w:rPr>
          <w:spacing w:val="-4"/>
          <w:w w:val="105"/>
        </w:rPr>
        <w:t>17).</w:t>
      </w:r>
    </w:p>
    <w:p w14:paraId="62B0BC41" w14:textId="77777777" w:rsidR="0014798C" w:rsidRDefault="004E1F0B">
      <w:pPr>
        <w:pStyle w:val="Textoindependiente"/>
        <w:spacing w:before="66" w:line="326" w:lineRule="auto"/>
        <w:ind w:left="1332" w:right="1626" w:hanging="1"/>
      </w:pPr>
      <w:r>
        <w:rPr>
          <w:w w:val="105"/>
        </w:rPr>
        <w:t>El Estado se compromete a implementar programas educativos que sean adecuados a las necesidades y estilos de vida</w:t>
      </w:r>
      <w:r>
        <w:rPr>
          <w:spacing w:val="-8"/>
          <w:w w:val="105"/>
        </w:rPr>
        <w:t xml:space="preserve"> </w:t>
      </w:r>
      <w:r>
        <w:rPr>
          <w:w w:val="105"/>
        </w:rPr>
        <w:t>específicos</w:t>
      </w:r>
      <w:r>
        <w:rPr>
          <w:spacing w:val="-8"/>
          <w:w w:val="105"/>
        </w:rPr>
        <w:t xml:space="preserve"> </w:t>
      </w:r>
      <w:r>
        <w:rPr>
          <w:w w:val="105"/>
        </w:rPr>
        <w:t>de</w:t>
      </w:r>
      <w:r>
        <w:rPr>
          <w:spacing w:val="-8"/>
          <w:w w:val="105"/>
        </w:rPr>
        <w:t xml:space="preserve"> </w:t>
      </w:r>
      <w:r>
        <w:rPr>
          <w:w w:val="105"/>
        </w:rPr>
        <w:t>los</w:t>
      </w:r>
      <w:r>
        <w:rPr>
          <w:spacing w:val="-8"/>
          <w:w w:val="105"/>
        </w:rPr>
        <w:t xml:space="preserve"> </w:t>
      </w:r>
      <w:r>
        <w:rPr>
          <w:w w:val="105"/>
        </w:rPr>
        <w:t>pueblos</w:t>
      </w:r>
      <w:r>
        <w:rPr>
          <w:spacing w:val="-8"/>
          <w:w w:val="105"/>
        </w:rPr>
        <w:t xml:space="preserve"> </w:t>
      </w:r>
      <w:r>
        <w:rPr>
          <w:w w:val="105"/>
        </w:rPr>
        <w:t>indígenas</w:t>
      </w:r>
      <w:r>
        <w:rPr>
          <w:spacing w:val="-8"/>
          <w:w w:val="105"/>
        </w:rPr>
        <w:t xml:space="preserve"> </w:t>
      </w:r>
      <w:r>
        <w:rPr>
          <w:w w:val="105"/>
        </w:rPr>
        <w:t>(art.</w:t>
      </w:r>
      <w:r>
        <w:rPr>
          <w:spacing w:val="-8"/>
          <w:w w:val="105"/>
        </w:rPr>
        <w:t xml:space="preserve"> </w:t>
      </w:r>
      <w:r>
        <w:rPr>
          <w:w w:val="105"/>
        </w:rPr>
        <w:t>19).</w:t>
      </w:r>
      <w:r>
        <w:rPr>
          <w:spacing w:val="-8"/>
          <w:w w:val="105"/>
        </w:rPr>
        <w:t xml:space="preserve"> </w:t>
      </w:r>
      <w:r>
        <w:rPr>
          <w:w w:val="105"/>
        </w:rPr>
        <w:t>El</w:t>
      </w:r>
      <w:r>
        <w:rPr>
          <w:spacing w:val="-8"/>
          <w:w w:val="105"/>
        </w:rPr>
        <w:t xml:space="preserve"> </w:t>
      </w:r>
      <w:r>
        <w:rPr>
          <w:w w:val="105"/>
        </w:rPr>
        <w:t>artículo</w:t>
      </w:r>
      <w:r>
        <w:rPr>
          <w:spacing w:val="-8"/>
          <w:w w:val="105"/>
        </w:rPr>
        <w:t xml:space="preserve"> </w:t>
      </w:r>
      <w:r>
        <w:rPr>
          <w:w w:val="105"/>
        </w:rPr>
        <w:t>18</w:t>
      </w:r>
      <w:r>
        <w:rPr>
          <w:spacing w:val="-8"/>
          <w:w w:val="105"/>
        </w:rPr>
        <w:t xml:space="preserve"> </w:t>
      </w:r>
      <w:r>
        <w:rPr>
          <w:w w:val="105"/>
        </w:rPr>
        <w:t>prohíbe</w:t>
      </w:r>
      <w:r>
        <w:rPr>
          <w:spacing w:val="-8"/>
          <w:w w:val="105"/>
        </w:rPr>
        <w:t xml:space="preserve"> </w:t>
      </w:r>
      <w:r>
        <w:rPr>
          <w:w w:val="105"/>
        </w:rPr>
        <w:t>cualquier</w:t>
      </w:r>
      <w:r>
        <w:rPr>
          <w:spacing w:val="-8"/>
          <w:w w:val="105"/>
        </w:rPr>
        <w:t xml:space="preserve"> </w:t>
      </w:r>
      <w:r>
        <w:rPr>
          <w:w w:val="105"/>
        </w:rPr>
        <w:t>forma</w:t>
      </w:r>
      <w:r>
        <w:rPr>
          <w:spacing w:val="-8"/>
          <w:w w:val="105"/>
        </w:rPr>
        <w:t xml:space="preserve"> </w:t>
      </w:r>
      <w:r>
        <w:rPr>
          <w:w w:val="105"/>
        </w:rPr>
        <w:t>de</w:t>
      </w:r>
      <w:r>
        <w:rPr>
          <w:spacing w:val="-8"/>
          <w:w w:val="105"/>
        </w:rPr>
        <w:t xml:space="preserve"> </w:t>
      </w:r>
      <w:r>
        <w:rPr>
          <w:w w:val="105"/>
        </w:rPr>
        <w:t>instrucción</w:t>
      </w:r>
      <w:r>
        <w:rPr>
          <w:spacing w:val="-8"/>
          <w:w w:val="105"/>
        </w:rPr>
        <w:t xml:space="preserve"> </w:t>
      </w:r>
      <w:r>
        <w:rPr>
          <w:w w:val="105"/>
        </w:rPr>
        <w:t>o</w:t>
      </w:r>
      <w:r>
        <w:rPr>
          <w:spacing w:val="-8"/>
          <w:w w:val="105"/>
        </w:rPr>
        <w:t xml:space="preserve"> </w:t>
      </w:r>
      <w:r>
        <w:rPr>
          <w:w w:val="105"/>
        </w:rPr>
        <w:t>información que</w:t>
      </w:r>
      <w:r>
        <w:rPr>
          <w:spacing w:val="-7"/>
          <w:w w:val="105"/>
        </w:rPr>
        <w:t xml:space="preserve"> </w:t>
      </w:r>
      <w:r>
        <w:rPr>
          <w:w w:val="105"/>
        </w:rPr>
        <w:t>menosprecie</w:t>
      </w:r>
      <w:r>
        <w:rPr>
          <w:spacing w:val="-7"/>
          <w:w w:val="105"/>
        </w:rPr>
        <w:t xml:space="preserve"> </w:t>
      </w:r>
      <w:r>
        <w:rPr>
          <w:w w:val="105"/>
        </w:rPr>
        <w:t>las</w:t>
      </w:r>
      <w:r>
        <w:rPr>
          <w:spacing w:val="-7"/>
          <w:w w:val="105"/>
        </w:rPr>
        <w:t xml:space="preserve"> </w:t>
      </w:r>
      <w:r>
        <w:rPr>
          <w:w w:val="105"/>
        </w:rPr>
        <w:t>identidades</w:t>
      </w:r>
      <w:r>
        <w:rPr>
          <w:spacing w:val="-7"/>
          <w:w w:val="105"/>
        </w:rPr>
        <w:t xml:space="preserve"> </w:t>
      </w:r>
      <w:r>
        <w:rPr>
          <w:w w:val="105"/>
        </w:rPr>
        <w:t>culturales,</w:t>
      </w:r>
      <w:r>
        <w:rPr>
          <w:spacing w:val="-6"/>
          <w:w w:val="105"/>
        </w:rPr>
        <w:t xml:space="preserve"> </w:t>
      </w:r>
      <w:r>
        <w:rPr>
          <w:w w:val="105"/>
        </w:rPr>
        <w:t>las</w:t>
      </w:r>
      <w:r>
        <w:rPr>
          <w:spacing w:val="-7"/>
          <w:w w:val="105"/>
        </w:rPr>
        <w:t xml:space="preserve"> </w:t>
      </w:r>
      <w:r>
        <w:rPr>
          <w:w w:val="105"/>
        </w:rPr>
        <w:t>tradiciones,</w:t>
      </w:r>
      <w:r>
        <w:rPr>
          <w:spacing w:val="-6"/>
          <w:w w:val="105"/>
        </w:rPr>
        <w:t xml:space="preserve"> </w:t>
      </w:r>
      <w:r>
        <w:rPr>
          <w:w w:val="105"/>
        </w:rPr>
        <w:t>la</w:t>
      </w:r>
      <w:r>
        <w:rPr>
          <w:spacing w:val="-7"/>
          <w:w w:val="105"/>
        </w:rPr>
        <w:t xml:space="preserve"> </w:t>
      </w:r>
      <w:r>
        <w:rPr>
          <w:w w:val="105"/>
        </w:rPr>
        <w:t>historia</w:t>
      </w:r>
      <w:r>
        <w:rPr>
          <w:spacing w:val="-7"/>
          <w:w w:val="105"/>
        </w:rPr>
        <w:t xml:space="preserve"> </w:t>
      </w:r>
      <w:r>
        <w:rPr>
          <w:w w:val="105"/>
        </w:rPr>
        <w:t>o</w:t>
      </w:r>
      <w:r>
        <w:rPr>
          <w:spacing w:val="-7"/>
          <w:w w:val="105"/>
        </w:rPr>
        <w:t xml:space="preserve"> </w:t>
      </w:r>
      <w:r>
        <w:rPr>
          <w:w w:val="105"/>
        </w:rPr>
        <w:t>las</w:t>
      </w:r>
      <w:r>
        <w:rPr>
          <w:spacing w:val="-7"/>
          <w:w w:val="105"/>
        </w:rPr>
        <w:t xml:space="preserve"> </w:t>
      </w:r>
      <w:r>
        <w:rPr>
          <w:w w:val="105"/>
        </w:rPr>
        <w:t>aspiraciones</w:t>
      </w:r>
      <w:r>
        <w:rPr>
          <w:spacing w:val="-7"/>
          <w:w w:val="105"/>
        </w:rPr>
        <w:t xml:space="preserve"> </w:t>
      </w:r>
      <w:r>
        <w:rPr>
          <w:w w:val="105"/>
        </w:rPr>
        <w:t>de</w:t>
      </w:r>
      <w:r>
        <w:rPr>
          <w:spacing w:val="-7"/>
          <w:w w:val="105"/>
        </w:rPr>
        <w:t xml:space="preserve"> </w:t>
      </w:r>
      <w:r>
        <w:rPr>
          <w:w w:val="105"/>
        </w:rPr>
        <w:t>los</w:t>
      </w:r>
      <w:r>
        <w:rPr>
          <w:spacing w:val="-7"/>
          <w:w w:val="105"/>
        </w:rPr>
        <w:t xml:space="preserve"> </w:t>
      </w:r>
      <w:r>
        <w:rPr>
          <w:w w:val="105"/>
        </w:rPr>
        <w:t>pueblos</w:t>
      </w:r>
      <w:r>
        <w:rPr>
          <w:spacing w:val="-7"/>
          <w:w w:val="105"/>
        </w:rPr>
        <w:t xml:space="preserve"> </w:t>
      </w:r>
      <w:r>
        <w:rPr>
          <w:w w:val="105"/>
        </w:rPr>
        <w:t>indígenas.</w:t>
      </w:r>
      <w:r>
        <w:rPr>
          <w:spacing w:val="-6"/>
          <w:w w:val="105"/>
        </w:rPr>
        <w:t xml:space="preserve"> </w:t>
      </w:r>
      <w:r>
        <w:rPr>
          <w:w w:val="105"/>
        </w:rPr>
        <w:t>El artículo 21 deja claro que el Estado debe tomar medidas especiales para garantizar que los niños indígenas se beneficien de asistencia financiera en todos los niveles del sistema educativo.</w:t>
      </w:r>
    </w:p>
    <w:p w14:paraId="3132E4F4" w14:textId="77777777" w:rsidR="0014798C" w:rsidRDefault="0014798C">
      <w:pPr>
        <w:pStyle w:val="Textoindependiente"/>
        <w:rPr>
          <w:sz w:val="12"/>
        </w:rPr>
      </w:pPr>
    </w:p>
    <w:p w14:paraId="0886283B" w14:textId="77777777" w:rsidR="0014798C" w:rsidRDefault="0014798C">
      <w:pPr>
        <w:pStyle w:val="Textoindependiente"/>
        <w:rPr>
          <w:sz w:val="12"/>
        </w:rPr>
      </w:pPr>
    </w:p>
    <w:p w14:paraId="1DC20CC5" w14:textId="77777777" w:rsidR="0014798C" w:rsidRDefault="0014798C">
      <w:pPr>
        <w:pStyle w:val="Textoindependiente"/>
        <w:spacing w:before="116"/>
        <w:rPr>
          <w:sz w:val="12"/>
        </w:rPr>
      </w:pPr>
    </w:p>
    <w:p w14:paraId="387090EC" w14:textId="77777777" w:rsidR="0014798C" w:rsidRDefault="004E1F0B">
      <w:pPr>
        <w:ind w:left="1111"/>
        <w:rPr>
          <w:sz w:val="12"/>
        </w:rPr>
      </w:pPr>
      <w:r>
        <w:rPr>
          <w:spacing w:val="-2"/>
          <w:w w:val="105"/>
          <w:sz w:val="12"/>
        </w:rPr>
        <w:t>1098</w:t>
      </w:r>
      <w:r>
        <w:rPr>
          <w:w w:val="105"/>
          <w:sz w:val="12"/>
        </w:rPr>
        <w:t xml:space="preserve"> </w:t>
      </w:r>
      <w:proofErr w:type="spellStart"/>
      <w:r>
        <w:rPr>
          <w:spacing w:val="-2"/>
          <w:w w:val="105"/>
          <w:sz w:val="12"/>
        </w:rPr>
        <w:t>Ibíd</w:t>
      </w:r>
      <w:proofErr w:type="spellEnd"/>
      <w:r>
        <w:rPr>
          <w:spacing w:val="-2"/>
          <w:w w:val="105"/>
          <w:sz w:val="12"/>
        </w:rPr>
        <w:t>.,</w:t>
      </w:r>
      <w:r>
        <w:rPr>
          <w:w w:val="105"/>
          <w:sz w:val="12"/>
        </w:rPr>
        <w:t xml:space="preserve"> </w:t>
      </w:r>
      <w:r>
        <w:rPr>
          <w:spacing w:val="-2"/>
          <w:w w:val="105"/>
          <w:sz w:val="12"/>
        </w:rPr>
        <w:t>párr.</w:t>
      </w:r>
      <w:r>
        <w:rPr>
          <w:w w:val="105"/>
          <w:sz w:val="12"/>
        </w:rPr>
        <w:t xml:space="preserve"> </w:t>
      </w:r>
      <w:r>
        <w:rPr>
          <w:spacing w:val="-4"/>
          <w:w w:val="105"/>
          <w:sz w:val="12"/>
        </w:rPr>
        <w:t>142.</w:t>
      </w:r>
    </w:p>
    <w:p w14:paraId="51747FC8" w14:textId="77777777" w:rsidR="0014798C" w:rsidRDefault="004E1F0B">
      <w:pPr>
        <w:spacing w:before="104"/>
        <w:ind w:left="1111"/>
        <w:rPr>
          <w:sz w:val="13"/>
        </w:rPr>
      </w:pPr>
      <w:r>
        <w:rPr>
          <w:sz w:val="13"/>
        </w:rPr>
        <w:t>1099</w:t>
      </w:r>
      <w:r>
        <w:rPr>
          <w:spacing w:val="3"/>
          <w:sz w:val="13"/>
        </w:rPr>
        <w:t xml:space="preserve"> </w:t>
      </w:r>
      <w:r>
        <w:rPr>
          <w:sz w:val="13"/>
        </w:rPr>
        <w:t>Corte</w:t>
      </w:r>
      <w:r>
        <w:rPr>
          <w:spacing w:val="4"/>
          <w:sz w:val="13"/>
        </w:rPr>
        <w:t xml:space="preserve"> </w:t>
      </w:r>
      <w:r>
        <w:rPr>
          <w:sz w:val="13"/>
        </w:rPr>
        <w:t>Interamericana</w:t>
      </w:r>
      <w:r>
        <w:rPr>
          <w:spacing w:val="3"/>
          <w:sz w:val="13"/>
        </w:rPr>
        <w:t xml:space="preserve"> </w:t>
      </w:r>
      <w:r>
        <w:rPr>
          <w:sz w:val="13"/>
        </w:rPr>
        <w:t>de</w:t>
      </w:r>
      <w:r>
        <w:rPr>
          <w:spacing w:val="4"/>
          <w:sz w:val="13"/>
        </w:rPr>
        <w:t xml:space="preserve"> </w:t>
      </w:r>
      <w:r>
        <w:rPr>
          <w:sz w:val="13"/>
        </w:rPr>
        <w:t>Derechos</w:t>
      </w:r>
      <w:r>
        <w:rPr>
          <w:spacing w:val="4"/>
          <w:sz w:val="13"/>
        </w:rPr>
        <w:t xml:space="preserve"> </w:t>
      </w:r>
      <w:r>
        <w:rPr>
          <w:sz w:val="13"/>
        </w:rPr>
        <w:t>Humanos,</w:t>
      </w:r>
      <w:r>
        <w:rPr>
          <w:spacing w:val="4"/>
          <w:sz w:val="13"/>
        </w:rPr>
        <w:t xml:space="preserve"> </w:t>
      </w:r>
      <w:r>
        <w:rPr>
          <w:sz w:val="13"/>
        </w:rPr>
        <w:t>Comunidad</w:t>
      </w:r>
      <w:r>
        <w:rPr>
          <w:spacing w:val="4"/>
          <w:sz w:val="13"/>
        </w:rPr>
        <w:t xml:space="preserve"> </w:t>
      </w:r>
      <w:proofErr w:type="spellStart"/>
      <w:r>
        <w:rPr>
          <w:sz w:val="13"/>
        </w:rPr>
        <w:t>Mayagna</w:t>
      </w:r>
      <w:proofErr w:type="spellEnd"/>
      <w:r>
        <w:rPr>
          <w:spacing w:val="4"/>
          <w:sz w:val="13"/>
        </w:rPr>
        <w:t xml:space="preserve"> </w:t>
      </w:r>
      <w:r>
        <w:rPr>
          <w:sz w:val="13"/>
        </w:rPr>
        <w:t>(Sumo)</w:t>
      </w:r>
      <w:r>
        <w:rPr>
          <w:spacing w:val="3"/>
          <w:sz w:val="13"/>
        </w:rPr>
        <w:t xml:space="preserve"> </w:t>
      </w:r>
      <w:proofErr w:type="spellStart"/>
      <w:r>
        <w:rPr>
          <w:sz w:val="13"/>
        </w:rPr>
        <w:t>Awas</w:t>
      </w:r>
      <w:proofErr w:type="spellEnd"/>
      <w:r>
        <w:rPr>
          <w:spacing w:val="4"/>
          <w:sz w:val="13"/>
        </w:rPr>
        <w:t xml:space="preserve"> </w:t>
      </w:r>
      <w:proofErr w:type="spellStart"/>
      <w:r>
        <w:rPr>
          <w:sz w:val="13"/>
        </w:rPr>
        <w:t>Tingni</w:t>
      </w:r>
      <w:proofErr w:type="spellEnd"/>
      <w:r>
        <w:rPr>
          <w:spacing w:val="4"/>
          <w:sz w:val="13"/>
        </w:rPr>
        <w:t xml:space="preserve"> </w:t>
      </w:r>
      <w:r>
        <w:rPr>
          <w:sz w:val="13"/>
        </w:rPr>
        <w:t>c.</w:t>
      </w:r>
      <w:r>
        <w:rPr>
          <w:spacing w:val="3"/>
          <w:sz w:val="13"/>
        </w:rPr>
        <w:t xml:space="preserve"> </w:t>
      </w:r>
      <w:r>
        <w:rPr>
          <w:sz w:val="13"/>
        </w:rPr>
        <w:t>Nicaragua,</w:t>
      </w:r>
      <w:r>
        <w:rPr>
          <w:spacing w:val="5"/>
          <w:sz w:val="13"/>
        </w:rPr>
        <w:t xml:space="preserve"> </w:t>
      </w:r>
      <w:r>
        <w:rPr>
          <w:sz w:val="13"/>
        </w:rPr>
        <w:t>sentencia</w:t>
      </w:r>
      <w:r>
        <w:rPr>
          <w:spacing w:val="3"/>
          <w:sz w:val="13"/>
        </w:rPr>
        <w:t xml:space="preserve"> </w:t>
      </w:r>
      <w:r>
        <w:rPr>
          <w:sz w:val="13"/>
        </w:rPr>
        <w:t>de</w:t>
      </w:r>
      <w:r>
        <w:rPr>
          <w:spacing w:val="4"/>
          <w:sz w:val="13"/>
        </w:rPr>
        <w:t xml:space="preserve"> </w:t>
      </w:r>
      <w:r>
        <w:rPr>
          <w:sz w:val="13"/>
        </w:rPr>
        <w:t>31</w:t>
      </w:r>
      <w:r>
        <w:rPr>
          <w:spacing w:val="4"/>
          <w:sz w:val="13"/>
        </w:rPr>
        <w:t xml:space="preserve"> </w:t>
      </w:r>
      <w:r>
        <w:rPr>
          <w:sz w:val="13"/>
        </w:rPr>
        <w:t>de</w:t>
      </w:r>
      <w:r>
        <w:rPr>
          <w:spacing w:val="3"/>
          <w:sz w:val="13"/>
        </w:rPr>
        <w:t xml:space="preserve"> </w:t>
      </w:r>
      <w:r>
        <w:rPr>
          <w:sz w:val="13"/>
        </w:rPr>
        <w:t>agosto</w:t>
      </w:r>
      <w:r>
        <w:rPr>
          <w:spacing w:val="4"/>
          <w:sz w:val="13"/>
        </w:rPr>
        <w:t xml:space="preserve"> </w:t>
      </w:r>
      <w:r>
        <w:rPr>
          <w:sz w:val="13"/>
        </w:rPr>
        <w:t>de</w:t>
      </w:r>
      <w:r>
        <w:rPr>
          <w:spacing w:val="4"/>
          <w:sz w:val="13"/>
        </w:rPr>
        <w:t xml:space="preserve"> </w:t>
      </w:r>
      <w:r>
        <w:rPr>
          <w:sz w:val="13"/>
        </w:rPr>
        <w:t>2001,</w:t>
      </w:r>
      <w:r>
        <w:rPr>
          <w:spacing w:val="4"/>
          <w:sz w:val="13"/>
        </w:rPr>
        <w:t xml:space="preserve"> </w:t>
      </w:r>
      <w:proofErr w:type="spellStart"/>
      <w:r>
        <w:rPr>
          <w:sz w:val="13"/>
        </w:rPr>
        <w:t>párrs</w:t>
      </w:r>
      <w:proofErr w:type="spellEnd"/>
      <w:r>
        <w:rPr>
          <w:sz w:val="13"/>
        </w:rPr>
        <w:t>.</w:t>
      </w:r>
      <w:r>
        <w:rPr>
          <w:spacing w:val="5"/>
          <w:sz w:val="13"/>
        </w:rPr>
        <w:t xml:space="preserve"> </w:t>
      </w:r>
      <w:r>
        <w:rPr>
          <w:spacing w:val="-4"/>
          <w:sz w:val="13"/>
        </w:rPr>
        <w:t>137,</w:t>
      </w:r>
    </w:p>
    <w:p w14:paraId="7D56F185" w14:textId="77777777" w:rsidR="0014798C" w:rsidRDefault="004E1F0B">
      <w:pPr>
        <w:spacing w:before="8"/>
        <w:ind w:left="100" w:right="8465"/>
        <w:jc w:val="center"/>
        <w:rPr>
          <w:sz w:val="12"/>
        </w:rPr>
      </w:pPr>
      <w:r>
        <w:rPr>
          <w:w w:val="105"/>
          <w:sz w:val="12"/>
        </w:rPr>
        <w:t>139</w:t>
      </w:r>
      <w:r>
        <w:rPr>
          <w:spacing w:val="-5"/>
          <w:w w:val="105"/>
          <w:sz w:val="12"/>
        </w:rPr>
        <w:t xml:space="preserve"> </w:t>
      </w:r>
      <w:r>
        <w:rPr>
          <w:w w:val="105"/>
          <w:sz w:val="12"/>
        </w:rPr>
        <w:t>y</w:t>
      </w:r>
      <w:r>
        <w:rPr>
          <w:spacing w:val="-4"/>
          <w:w w:val="105"/>
          <w:sz w:val="12"/>
        </w:rPr>
        <w:t xml:space="preserve"> 155.</w:t>
      </w:r>
    </w:p>
    <w:p w14:paraId="0B7C81AB" w14:textId="77777777" w:rsidR="0014798C" w:rsidRDefault="004E1F0B">
      <w:pPr>
        <w:spacing w:before="130" w:line="256" w:lineRule="auto"/>
        <w:ind w:left="1369" w:right="2482" w:hanging="259"/>
        <w:rPr>
          <w:sz w:val="12"/>
        </w:rPr>
      </w:pPr>
      <w:r>
        <w:rPr>
          <w:w w:val="105"/>
          <w:sz w:val="12"/>
        </w:rPr>
        <w:t>1100</w:t>
      </w:r>
      <w:r>
        <w:rPr>
          <w:spacing w:val="-9"/>
          <w:w w:val="105"/>
          <w:sz w:val="12"/>
        </w:rPr>
        <w:t xml:space="preserve"> </w:t>
      </w:r>
      <w:r>
        <w:rPr>
          <w:w w:val="105"/>
          <w:sz w:val="12"/>
        </w:rPr>
        <w:t>Corte</w:t>
      </w:r>
      <w:r>
        <w:rPr>
          <w:spacing w:val="-9"/>
          <w:w w:val="105"/>
          <w:sz w:val="12"/>
        </w:rPr>
        <w:t xml:space="preserve"> </w:t>
      </w:r>
      <w:r>
        <w:rPr>
          <w:w w:val="105"/>
          <w:sz w:val="12"/>
        </w:rPr>
        <w:t>Interamericana</w:t>
      </w:r>
      <w:r>
        <w:rPr>
          <w:spacing w:val="-9"/>
          <w:w w:val="105"/>
          <w:sz w:val="12"/>
        </w:rPr>
        <w:t xml:space="preserve"> </w:t>
      </w:r>
      <w:r>
        <w:rPr>
          <w:w w:val="105"/>
          <w:sz w:val="12"/>
        </w:rPr>
        <w:t>de</w:t>
      </w:r>
      <w:r>
        <w:rPr>
          <w:spacing w:val="-8"/>
          <w:w w:val="105"/>
          <w:sz w:val="12"/>
        </w:rPr>
        <w:t xml:space="preserve"> </w:t>
      </w:r>
      <w:r>
        <w:rPr>
          <w:w w:val="105"/>
          <w:sz w:val="12"/>
        </w:rPr>
        <w:t>Derechos</w:t>
      </w:r>
      <w:r>
        <w:rPr>
          <w:spacing w:val="-9"/>
          <w:w w:val="105"/>
          <w:sz w:val="12"/>
        </w:rPr>
        <w:t xml:space="preserve"> </w:t>
      </w:r>
      <w:r>
        <w:rPr>
          <w:w w:val="105"/>
          <w:sz w:val="12"/>
        </w:rPr>
        <w:t>Humanos,</w:t>
      </w:r>
      <w:r>
        <w:rPr>
          <w:spacing w:val="-9"/>
          <w:w w:val="105"/>
          <w:sz w:val="12"/>
        </w:rPr>
        <w:t xml:space="preserve"> </w:t>
      </w:r>
      <w:r>
        <w:rPr>
          <w:w w:val="105"/>
          <w:sz w:val="12"/>
        </w:rPr>
        <w:t>Comunidad</w:t>
      </w:r>
      <w:r>
        <w:rPr>
          <w:spacing w:val="-9"/>
          <w:w w:val="105"/>
          <w:sz w:val="12"/>
        </w:rPr>
        <w:t xml:space="preserve"> </w:t>
      </w:r>
      <w:r>
        <w:rPr>
          <w:w w:val="105"/>
          <w:sz w:val="12"/>
        </w:rPr>
        <w:t>Indígena</w:t>
      </w:r>
      <w:r>
        <w:rPr>
          <w:spacing w:val="-9"/>
          <w:w w:val="105"/>
          <w:sz w:val="12"/>
        </w:rPr>
        <w:t xml:space="preserve"> </w:t>
      </w:r>
      <w:proofErr w:type="spellStart"/>
      <w:r>
        <w:rPr>
          <w:w w:val="105"/>
          <w:sz w:val="12"/>
        </w:rPr>
        <w:t>Sawhoyamaxa</w:t>
      </w:r>
      <w:proofErr w:type="spellEnd"/>
      <w:r>
        <w:rPr>
          <w:spacing w:val="-8"/>
          <w:w w:val="105"/>
          <w:sz w:val="12"/>
        </w:rPr>
        <w:t xml:space="preserve"> </w:t>
      </w:r>
      <w:r>
        <w:rPr>
          <w:w w:val="105"/>
          <w:sz w:val="12"/>
        </w:rPr>
        <w:t>vs.</w:t>
      </w:r>
      <w:r>
        <w:rPr>
          <w:spacing w:val="-9"/>
          <w:w w:val="105"/>
          <w:sz w:val="12"/>
        </w:rPr>
        <w:t xml:space="preserve"> </w:t>
      </w:r>
      <w:r>
        <w:rPr>
          <w:w w:val="105"/>
          <w:sz w:val="12"/>
        </w:rPr>
        <w:t>Paraguay,</w:t>
      </w:r>
      <w:r>
        <w:rPr>
          <w:spacing w:val="-9"/>
          <w:w w:val="105"/>
          <w:sz w:val="12"/>
        </w:rPr>
        <w:t xml:space="preserve"> </w:t>
      </w:r>
      <w:r>
        <w:rPr>
          <w:w w:val="105"/>
          <w:sz w:val="12"/>
        </w:rPr>
        <w:t>Sentencia,</w:t>
      </w:r>
      <w:r>
        <w:rPr>
          <w:spacing w:val="-9"/>
          <w:w w:val="105"/>
          <w:sz w:val="12"/>
        </w:rPr>
        <w:t xml:space="preserve"> </w:t>
      </w:r>
      <w:r>
        <w:rPr>
          <w:w w:val="105"/>
          <w:sz w:val="12"/>
        </w:rPr>
        <w:t>29</w:t>
      </w:r>
      <w:r>
        <w:rPr>
          <w:spacing w:val="-8"/>
          <w:w w:val="105"/>
          <w:sz w:val="12"/>
        </w:rPr>
        <w:t xml:space="preserve"> </w:t>
      </w:r>
      <w:r>
        <w:rPr>
          <w:w w:val="105"/>
          <w:sz w:val="12"/>
        </w:rPr>
        <w:t>de</w:t>
      </w:r>
      <w:r>
        <w:rPr>
          <w:spacing w:val="-9"/>
          <w:w w:val="105"/>
          <w:sz w:val="12"/>
        </w:rPr>
        <w:t xml:space="preserve"> </w:t>
      </w:r>
      <w:r>
        <w:rPr>
          <w:w w:val="105"/>
          <w:sz w:val="12"/>
        </w:rPr>
        <w:t>marzo</w:t>
      </w:r>
      <w:r>
        <w:rPr>
          <w:spacing w:val="-9"/>
          <w:w w:val="105"/>
          <w:sz w:val="12"/>
        </w:rPr>
        <w:t xml:space="preserve"> </w:t>
      </w:r>
      <w:r>
        <w:rPr>
          <w:w w:val="105"/>
          <w:sz w:val="12"/>
        </w:rPr>
        <w:t>de</w:t>
      </w:r>
      <w:r>
        <w:rPr>
          <w:spacing w:val="-9"/>
          <w:w w:val="105"/>
          <w:sz w:val="12"/>
        </w:rPr>
        <w:t xml:space="preserve"> </w:t>
      </w:r>
      <w:r>
        <w:rPr>
          <w:w w:val="105"/>
          <w:sz w:val="12"/>
        </w:rPr>
        <w:t>2006,</w:t>
      </w:r>
      <w:r>
        <w:rPr>
          <w:spacing w:val="-8"/>
          <w:w w:val="105"/>
          <w:sz w:val="12"/>
        </w:rPr>
        <w:t xml:space="preserve"> </w:t>
      </w:r>
      <w:proofErr w:type="spellStart"/>
      <w:r>
        <w:rPr>
          <w:w w:val="105"/>
          <w:sz w:val="12"/>
        </w:rPr>
        <w:t>párrs</w:t>
      </w:r>
      <w:proofErr w:type="spellEnd"/>
      <w:r>
        <w:rPr>
          <w:w w:val="105"/>
          <w:sz w:val="12"/>
        </w:rPr>
        <w:t>.</w:t>
      </w:r>
      <w:r>
        <w:rPr>
          <w:spacing w:val="-9"/>
          <w:w w:val="105"/>
          <w:sz w:val="12"/>
        </w:rPr>
        <w:t xml:space="preserve"> </w:t>
      </w:r>
      <w:r>
        <w:rPr>
          <w:w w:val="105"/>
          <w:sz w:val="12"/>
        </w:rPr>
        <w:t>120</w:t>
      </w:r>
      <w:r>
        <w:rPr>
          <w:spacing w:val="40"/>
          <w:w w:val="105"/>
          <w:sz w:val="12"/>
        </w:rPr>
        <w:t xml:space="preserve"> </w:t>
      </w:r>
      <w:r>
        <w:rPr>
          <w:w w:val="105"/>
          <w:sz w:val="12"/>
        </w:rPr>
        <w:t>y</w:t>
      </w:r>
      <w:r>
        <w:rPr>
          <w:spacing w:val="-7"/>
          <w:w w:val="105"/>
          <w:sz w:val="12"/>
        </w:rPr>
        <w:t xml:space="preserve"> </w:t>
      </w:r>
      <w:r>
        <w:rPr>
          <w:w w:val="105"/>
          <w:sz w:val="12"/>
        </w:rPr>
        <w:t>144.</w:t>
      </w:r>
    </w:p>
    <w:p w14:paraId="42872475" w14:textId="77777777" w:rsidR="0014798C" w:rsidRDefault="004E1F0B">
      <w:pPr>
        <w:spacing w:before="106"/>
        <w:ind w:left="100" w:right="8421"/>
        <w:jc w:val="center"/>
        <w:rPr>
          <w:sz w:val="12"/>
        </w:rPr>
      </w:pPr>
      <w:r>
        <w:rPr>
          <w:spacing w:val="-2"/>
          <w:w w:val="105"/>
          <w:sz w:val="12"/>
        </w:rPr>
        <w:t>1101</w:t>
      </w:r>
      <w:r>
        <w:rPr>
          <w:w w:val="105"/>
          <w:sz w:val="12"/>
        </w:rPr>
        <w:t xml:space="preserve"> </w:t>
      </w:r>
      <w:proofErr w:type="spellStart"/>
      <w:r>
        <w:rPr>
          <w:spacing w:val="-2"/>
          <w:w w:val="105"/>
          <w:sz w:val="12"/>
        </w:rPr>
        <w:t>Ibíd</w:t>
      </w:r>
      <w:proofErr w:type="spellEnd"/>
      <w:r>
        <w:rPr>
          <w:spacing w:val="-2"/>
          <w:w w:val="105"/>
          <w:sz w:val="12"/>
        </w:rPr>
        <w:t>.,</w:t>
      </w:r>
      <w:r>
        <w:rPr>
          <w:w w:val="105"/>
          <w:sz w:val="12"/>
        </w:rPr>
        <w:t xml:space="preserve"> </w:t>
      </w:r>
      <w:r>
        <w:rPr>
          <w:spacing w:val="-2"/>
          <w:w w:val="105"/>
          <w:sz w:val="12"/>
        </w:rPr>
        <w:t>párr.</w:t>
      </w:r>
      <w:r>
        <w:rPr>
          <w:w w:val="105"/>
          <w:sz w:val="12"/>
        </w:rPr>
        <w:t xml:space="preserve"> </w:t>
      </w:r>
      <w:r>
        <w:rPr>
          <w:spacing w:val="-4"/>
          <w:w w:val="105"/>
          <w:sz w:val="12"/>
        </w:rPr>
        <w:t>178.</w:t>
      </w:r>
    </w:p>
    <w:p w14:paraId="558E8434" w14:textId="77777777" w:rsidR="0014798C" w:rsidRDefault="004E1F0B">
      <w:pPr>
        <w:spacing w:before="99"/>
        <w:ind w:left="1111"/>
        <w:rPr>
          <w:sz w:val="12"/>
        </w:rPr>
      </w:pPr>
      <w:r>
        <w:rPr>
          <w:sz w:val="12"/>
        </w:rPr>
        <w:t>1102</w:t>
      </w:r>
      <w:r>
        <w:rPr>
          <w:spacing w:val="7"/>
          <w:sz w:val="12"/>
        </w:rPr>
        <w:t xml:space="preserve"> </w:t>
      </w:r>
      <w:r>
        <w:rPr>
          <w:sz w:val="12"/>
        </w:rPr>
        <w:t>A</w:t>
      </w:r>
      <w:r>
        <w:rPr>
          <w:spacing w:val="7"/>
          <w:sz w:val="12"/>
        </w:rPr>
        <w:t xml:space="preserve"> </w:t>
      </w:r>
      <w:r>
        <w:rPr>
          <w:sz w:val="12"/>
        </w:rPr>
        <w:t>continuación</w:t>
      </w:r>
      <w:r>
        <w:rPr>
          <w:spacing w:val="7"/>
          <w:sz w:val="12"/>
        </w:rPr>
        <w:t xml:space="preserve"> </w:t>
      </w:r>
      <w:r>
        <w:rPr>
          <w:sz w:val="12"/>
        </w:rPr>
        <w:t>se</w:t>
      </w:r>
      <w:r>
        <w:rPr>
          <w:spacing w:val="8"/>
          <w:sz w:val="12"/>
        </w:rPr>
        <w:t xml:space="preserve"> </w:t>
      </w:r>
      <w:r>
        <w:rPr>
          <w:sz w:val="12"/>
        </w:rPr>
        <w:t>presenta</w:t>
      </w:r>
      <w:r>
        <w:rPr>
          <w:spacing w:val="7"/>
          <w:sz w:val="12"/>
        </w:rPr>
        <w:t xml:space="preserve"> </w:t>
      </w:r>
      <w:r>
        <w:rPr>
          <w:sz w:val="12"/>
        </w:rPr>
        <w:t>un</w:t>
      </w:r>
      <w:r>
        <w:rPr>
          <w:spacing w:val="7"/>
          <w:sz w:val="12"/>
        </w:rPr>
        <w:t xml:space="preserve"> </w:t>
      </w:r>
      <w:r>
        <w:rPr>
          <w:sz w:val="12"/>
        </w:rPr>
        <w:t>resumen</w:t>
      </w:r>
      <w:r>
        <w:rPr>
          <w:spacing w:val="8"/>
          <w:sz w:val="12"/>
        </w:rPr>
        <w:t xml:space="preserve"> </w:t>
      </w:r>
      <w:r>
        <w:rPr>
          <w:sz w:val="12"/>
        </w:rPr>
        <w:t>de</w:t>
      </w:r>
      <w:r>
        <w:rPr>
          <w:spacing w:val="7"/>
          <w:sz w:val="12"/>
        </w:rPr>
        <w:t xml:space="preserve"> </w:t>
      </w:r>
      <w:r>
        <w:rPr>
          <w:sz w:val="12"/>
        </w:rPr>
        <w:t>A/HRC/18/35/Add.5,</w:t>
      </w:r>
      <w:r>
        <w:rPr>
          <w:spacing w:val="7"/>
          <w:sz w:val="12"/>
        </w:rPr>
        <w:t xml:space="preserve"> </w:t>
      </w:r>
      <w:proofErr w:type="spellStart"/>
      <w:r>
        <w:rPr>
          <w:sz w:val="12"/>
        </w:rPr>
        <w:t>párrs</w:t>
      </w:r>
      <w:proofErr w:type="spellEnd"/>
      <w:r>
        <w:rPr>
          <w:sz w:val="12"/>
        </w:rPr>
        <w:t>.</w:t>
      </w:r>
      <w:r>
        <w:rPr>
          <w:spacing w:val="8"/>
          <w:sz w:val="12"/>
        </w:rPr>
        <w:t xml:space="preserve"> </w:t>
      </w:r>
      <w:r>
        <w:rPr>
          <w:spacing w:val="-2"/>
          <w:sz w:val="12"/>
        </w:rPr>
        <w:t>40–48.</w:t>
      </w:r>
    </w:p>
    <w:p w14:paraId="5772A7B7" w14:textId="77777777" w:rsidR="0014798C" w:rsidRDefault="0014798C">
      <w:pPr>
        <w:pStyle w:val="Textoindependiente"/>
        <w:rPr>
          <w:sz w:val="18"/>
        </w:rPr>
      </w:pPr>
    </w:p>
    <w:p w14:paraId="6498F5BD" w14:textId="77777777" w:rsidR="0014798C" w:rsidRDefault="0014798C">
      <w:pPr>
        <w:pStyle w:val="Textoindependiente"/>
        <w:rPr>
          <w:sz w:val="18"/>
        </w:rPr>
      </w:pPr>
    </w:p>
    <w:p w14:paraId="5B1840D4" w14:textId="77777777" w:rsidR="0014798C" w:rsidRDefault="0014798C">
      <w:pPr>
        <w:pStyle w:val="Textoindependiente"/>
        <w:spacing w:before="27"/>
        <w:rPr>
          <w:sz w:val="18"/>
        </w:rPr>
      </w:pPr>
    </w:p>
    <w:p w14:paraId="4C7BF7CE" w14:textId="77777777" w:rsidR="0014798C" w:rsidRDefault="004E1F0B">
      <w:pPr>
        <w:ind w:right="712"/>
        <w:jc w:val="right"/>
        <w:rPr>
          <w:sz w:val="18"/>
        </w:rPr>
      </w:pPr>
      <w:r>
        <w:rPr>
          <w:spacing w:val="-5"/>
          <w:sz w:val="18"/>
        </w:rPr>
        <w:t>163</w:t>
      </w:r>
    </w:p>
    <w:p w14:paraId="4ADE7E2A" w14:textId="77777777" w:rsidR="0014798C" w:rsidRDefault="0014798C">
      <w:pPr>
        <w:jc w:val="right"/>
        <w:rPr>
          <w:sz w:val="18"/>
        </w:rPr>
        <w:sectPr w:rsidR="0014798C" w:rsidSect="00F265E4">
          <w:pgSz w:w="11900" w:h="16820"/>
          <w:pgMar w:top="340" w:right="0" w:bottom="280" w:left="200" w:header="121" w:footer="0" w:gutter="0"/>
          <w:cols w:space="720"/>
        </w:sectPr>
      </w:pPr>
    </w:p>
    <w:p w14:paraId="549AF36A" w14:textId="77777777" w:rsidR="0014798C" w:rsidRDefault="0014798C">
      <w:pPr>
        <w:pStyle w:val="Textoindependiente"/>
        <w:spacing w:before="85"/>
        <w:rPr>
          <w:sz w:val="12"/>
        </w:rPr>
      </w:pPr>
    </w:p>
    <w:p w14:paraId="57790166" w14:textId="54D0D47A" w:rsidR="0014798C" w:rsidRDefault="004E1F0B">
      <w:pPr>
        <w:ind w:left="1111"/>
        <w:rPr>
          <w:sz w:val="12"/>
        </w:rPr>
      </w:pPr>
      <w:r>
        <w:rPr>
          <w:color w:val="803108"/>
          <w:sz w:val="12"/>
        </w:rPr>
        <w:t>PROTECCIÓN</w:t>
      </w:r>
      <w:r>
        <w:rPr>
          <w:color w:val="803108"/>
          <w:spacing w:val="6"/>
          <w:sz w:val="12"/>
        </w:rPr>
        <w:t xml:space="preserve"> </w:t>
      </w:r>
      <w:r>
        <w:rPr>
          <w:color w:val="803108"/>
          <w:sz w:val="12"/>
        </w:rPr>
        <w:t>DE</w:t>
      </w:r>
      <w:r>
        <w:rPr>
          <w:color w:val="803108"/>
          <w:spacing w:val="7"/>
          <w:sz w:val="12"/>
        </w:rPr>
        <w:t xml:space="preserve"> </w:t>
      </w:r>
      <w:r>
        <w:rPr>
          <w:color w:val="803108"/>
          <w:sz w:val="12"/>
        </w:rPr>
        <w:t>LOS</w:t>
      </w:r>
      <w:r>
        <w:rPr>
          <w:color w:val="803108"/>
          <w:spacing w:val="8"/>
          <w:sz w:val="12"/>
        </w:rPr>
        <w:t xml:space="preserve"> </w:t>
      </w:r>
      <w:r>
        <w:rPr>
          <w:color w:val="803108"/>
          <w:sz w:val="12"/>
        </w:rPr>
        <w:t>DERECHOS</w:t>
      </w:r>
      <w:r>
        <w:rPr>
          <w:color w:val="803108"/>
          <w:spacing w:val="8"/>
          <w:sz w:val="12"/>
        </w:rPr>
        <w:t xml:space="preserve"> </w:t>
      </w:r>
      <w:r>
        <w:rPr>
          <w:color w:val="803108"/>
          <w:sz w:val="12"/>
        </w:rPr>
        <w:t>DE</w:t>
      </w:r>
      <w:r>
        <w:rPr>
          <w:color w:val="803108"/>
          <w:spacing w:val="6"/>
          <w:sz w:val="12"/>
        </w:rPr>
        <w:t xml:space="preserve"> </w:t>
      </w:r>
      <w:r>
        <w:rPr>
          <w:color w:val="803108"/>
          <w:sz w:val="12"/>
        </w:rPr>
        <w:t>LAS</w:t>
      </w:r>
      <w:r>
        <w:rPr>
          <w:color w:val="803108"/>
          <w:spacing w:val="7"/>
          <w:sz w:val="12"/>
        </w:rPr>
        <w:t xml:space="preserve"> </w:t>
      </w:r>
      <w:r>
        <w:rPr>
          <w:color w:val="803108"/>
          <w:sz w:val="12"/>
        </w:rPr>
        <w:t>MINORÍAS:</w:t>
      </w:r>
      <w:r>
        <w:rPr>
          <w:color w:val="803108"/>
          <w:spacing w:val="8"/>
          <w:sz w:val="12"/>
        </w:rPr>
        <w:t xml:space="preserve"> </w:t>
      </w:r>
      <w:r>
        <w:rPr>
          <w:color w:val="803108"/>
          <w:sz w:val="12"/>
        </w:rPr>
        <w:t>una</w:t>
      </w:r>
      <w:r>
        <w:rPr>
          <w:color w:val="803108"/>
          <w:spacing w:val="7"/>
          <w:sz w:val="12"/>
        </w:rPr>
        <w:t xml:space="preserve"> </w:t>
      </w:r>
      <w:r>
        <w:rPr>
          <w:color w:val="803108"/>
          <w:sz w:val="12"/>
        </w:rPr>
        <w:t>guía</w:t>
      </w:r>
      <w:r>
        <w:rPr>
          <w:color w:val="803108"/>
          <w:spacing w:val="6"/>
          <w:sz w:val="12"/>
        </w:rPr>
        <w:t xml:space="preserve"> </w:t>
      </w:r>
      <w:r>
        <w:rPr>
          <w:color w:val="803108"/>
          <w:sz w:val="12"/>
        </w:rPr>
        <w:t>práctica</w:t>
      </w:r>
      <w:r>
        <w:rPr>
          <w:color w:val="803108"/>
          <w:spacing w:val="7"/>
          <w:sz w:val="12"/>
        </w:rPr>
        <w:t xml:space="preserve"> </w:t>
      </w:r>
      <w:r>
        <w:rPr>
          <w:color w:val="803108"/>
          <w:sz w:val="12"/>
        </w:rPr>
        <w:t>para</w:t>
      </w:r>
      <w:r>
        <w:rPr>
          <w:color w:val="803108"/>
          <w:spacing w:val="8"/>
          <w:sz w:val="12"/>
        </w:rPr>
        <w:t xml:space="preserve"> </w:t>
      </w:r>
      <w:r>
        <w:rPr>
          <w:color w:val="803108"/>
          <w:sz w:val="12"/>
        </w:rPr>
        <w:t>desarrollar</w:t>
      </w:r>
      <w:r>
        <w:rPr>
          <w:color w:val="803108"/>
          <w:spacing w:val="6"/>
          <w:sz w:val="12"/>
        </w:rPr>
        <w:t xml:space="preserve"> </w:t>
      </w:r>
      <w:r>
        <w:rPr>
          <w:color w:val="803108"/>
          <w:sz w:val="12"/>
        </w:rPr>
        <w:t>una</w:t>
      </w:r>
      <w:r>
        <w:rPr>
          <w:color w:val="803108"/>
          <w:spacing w:val="7"/>
          <w:sz w:val="12"/>
        </w:rPr>
        <w:t xml:space="preserve"> </w:t>
      </w:r>
      <w:r>
        <w:rPr>
          <w:color w:val="803108"/>
          <w:sz w:val="12"/>
        </w:rPr>
        <w:t>legislación</w:t>
      </w:r>
      <w:r>
        <w:rPr>
          <w:color w:val="803108"/>
          <w:spacing w:val="8"/>
          <w:sz w:val="12"/>
        </w:rPr>
        <w:t xml:space="preserve"> </w:t>
      </w:r>
      <w:r>
        <w:rPr>
          <w:color w:val="803108"/>
          <w:sz w:val="12"/>
        </w:rPr>
        <w:t>integral</w:t>
      </w:r>
      <w:r>
        <w:rPr>
          <w:color w:val="803108"/>
          <w:spacing w:val="7"/>
          <w:sz w:val="12"/>
        </w:rPr>
        <w:t xml:space="preserve"> </w:t>
      </w:r>
      <w:r>
        <w:rPr>
          <w:color w:val="803108"/>
          <w:sz w:val="12"/>
        </w:rPr>
        <w:t>contra</w:t>
      </w:r>
      <w:r>
        <w:rPr>
          <w:color w:val="803108"/>
          <w:spacing w:val="6"/>
          <w:sz w:val="12"/>
        </w:rPr>
        <w:t xml:space="preserve"> </w:t>
      </w:r>
      <w:r>
        <w:rPr>
          <w:color w:val="803108"/>
          <w:sz w:val="12"/>
        </w:rPr>
        <w:t>la</w:t>
      </w:r>
      <w:r>
        <w:rPr>
          <w:color w:val="803108"/>
          <w:spacing w:val="7"/>
          <w:sz w:val="12"/>
        </w:rPr>
        <w:t xml:space="preserve"> </w:t>
      </w:r>
      <w:r>
        <w:rPr>
          <w:color w:val="803108"/>
          <w:spacing w:val="-2"/>
          <w:sz w:val="12"/>
        </w:rPr>
        <w:t>discriminación</w:t>
      </w:r>
    </w:p>
    <w:p w14:paraId="5837825D" w14:textId="77777777" w:rsidR="0014798C" w:rsidRDefault="0014798C">
      <w:pPr>
        <w:pStyle w:val="Textoindependiente"/>
        <w:rPr>
          <w:sz w:val="20"/>
        </w:rPr>
      </w:pPr>
    </w:p>
    <w:p w14:paraId="64912198" w14:textId="77777777" w:rsidR="0014798C" w:rsidRDefault="0014798C">
      <w:pPr>
        <w:pStyle w:val="Textoindependiente"/>
        <w:rPr>
          <w:sz w:val="20"/>
        </w:rPr>
      </w:pPr>
    </w:p>
    <w:p w14:paraId="2EC2AF11" w14:textId="77777777" w:rsidR="0014798C" w:rsidRDefault="004E1F0B">
      <w:pPr>
        <w:pStyle w:val="Textoindependiente"/>
        <w:spacing w:before="38"/>
        <w:rPr>
          <w:sz w:val="20"/>
        </w:rPr>
      </w:pPr>
      <w:r>
        <w:rPr>
          <w:noProof/>
        </w:rPr>
        <mc:AlternateContent>
          <mc:Choice Requires="wpg">
            <w:drawing>
              <wp:anchor distT="0" distB="0" distL="0" distR="0" simplePos="0" relativeHeight="251658557" behindDoc="1" locked="0" layoutInCell="1" allowOverlap="1" wp14:anchorId="282EE48F" wp14:editId="2A031379">
                <wp:simplePos x="0" y="0"/>
                <wp:positionH relativeFrom="page">
                  <wp:posOffset>808662</wp:posOffset>
                </wp:positionH>
                <wp:positionV relativeFrom="paragraph">
                  <wp:posOffset>185964</wp:posOffset>
                </wp:positionV>
                <wp:extent cx="5979795" cy="4030979"/>
                <wp:effectExtent l="0" t="0" r="0" b="0"/>
                <wp:wrapTopAndBottom/>
                <wp:docPr id="330" name="Group 33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979795" cy="4030979"/>
                          <a:chOff x="0" y="0"/>
                          <a:chExt cx="5979795" cy="4030979"/>
                        </a:xfrm>
                      </wpg:grpSpPr>
                      <pic:pic xmlns:pic="http://schemas.openxmlformats.org/drawingml/2006/picture">
                        <pic:nvPicPr>
                          <pic:cNvPr id="331" name="Image 331"/>
                          <pic:cNvPicPr/>
                        </pic:nvPicPr>
                        <pic:blipFill>
                          <a:blip r:embed="rId309" cstate="print"/>
                          <a:stretch>
                            <a:fillRect/>
                          </a:stretch>
                        </pic:blipFill>
                        <pic:spPr>
                          <a:xfrm>
                            <a:off x="0" y="0"/>
                            <a:ext cx="5948160" cy="4030537"/>
                          </a:xfrm>
                          <a:prstGeom prst="rect">
                            <a:avLst/>
                          </a:prstGeom>
                        </pic:spPr>
                      </pic:pic>
                      <wps:wsp>
                        <wps:cNvPr id="332" name="Textbox 332"/>
                        <wps:cNvSpPr txBox="1"/>
                        <wps:spPr>
                          <a:xfrm>
                            <a:off x="0" y="0"/>
                            <a:ext cx="5979795" cy="4030979"/>
                          </a:xfrm>
                          <a:prstGeom prst="rect">
                            <a:avLst/>
                          </a:prstGeom>
                        </wps:spPr>
                        <wps:txbx>
                          <w:txbxContent>
                            <w:p w14:paraId="49DE20C0" w14:textId="77777777" w:rsidR="0014798C" w:rsidRDefault="0014798C">
                              <w:pPr>
                                <w:spacing w:before="25"/>
                                <w:rPr>
                                  <w:sz w:val="17"/>
                                </w:rPr>
                              </w:pPr>
                            </w:p>
                            <w:p w14:paraId="699B553E" w14:textId="77777777" w:rsidR="0014798C" w:rsidRDefault="004E1F0B">
                              <w:pPr>
                                <w:spacing w:line="304" w:lineRule="auto"/>
                                <w:ind w:left="258" w:right="276"/>
                                <w:rPr>
                                  <w:sz w:val="17"/>
                                </w:rPr>
                              </w:pPr>
                              <w:r>
                                <w:rPr>
                                  <w:sz w:val="17"/>
                                </w:rPr>
                                <w:t>También se garantiza el acceso, sin discriminación, a la atención de la salud y a todos los demás servicios sociales (art. 22). La ley estipula que los centros que presten estos servicios deben adaptarse a las necesidades de los pueblos indígenas en las zonas en que viven (art. 23 (1</w:t>
                              </w:r>
                              <w:r>
                                <w:rPr>
                                  <w:sz w:val="17"/>
                                </w:rPr>
                                <w:t>)); prevé la participación de los trabajadores de la salud indígenas en los servicios integrados de atención primaria de salud y la organización por parte del Estado de programas de vacunación y campañas de sensibilización sobre la salud reproductiva (art. 23 (2)). La ley prevé además</w:t>
                              </w:r>
                              <w:r>
                                <w:rPr>
                                  <w:spacing w:val="14"/>
                                  <w:sz w:val="17"/>
                                </w:rPr>
                                <w:t xml:space="preserve"> </w:t>
                              </w:r>
                              <w:r>
                                <w:rPr>
                                  <w:sz w:val="17"/>
                                </w:rPr>
                                <w:t>que</w:t>
                              </w:r>
                              <w:r>
                                <w:rPr>
                                  <w:spacing w:val="14"/>
                                  <w:sz w:val="17"/>
                                </w:rPr>
                                <w:t xml:space="preserve"> </w:t>
                              </w:r>
                              <w:r>
                                <w:rPr>
                                  <w:sz w:val="17"/>
                                </w:rPr>
                                <w:t>se</w:t>
                              </w:r>
                              <w:r>
                                <w:rPr>
                                  <w:spacing w:val="14"/>
                                  <w:sz w:val="17"/>
                                </w:rPr>
                                <w:t xml:space="preserve"> </w:t>
                              </w:r>
                              <w:r>
                                <w:rPr>
                                  <w:sz w:val="17"/>
                                </w:rPr>
                                <w:t>tengan</w:t>
                              </w:r>
                              <w:r>
                                <w:rPr>
                                  <w:spacing w:val="14"/>
                                  <w:sz w:val="17"/>
                                </w:rPr>
                                <w:t xml:space="preserve"> </w:t>
                              </w:r>
                              <w:r>
                                <w:rPr>
                                  <w:sz w:val="17"/>
                                </w:rPr>
                                <w:t>en</w:t>
                              </w:r>
                              <w:r>
                                <w:rPr>
                                  <w:spacing w:val="14"/>
                                  <w:sz w:val="17"/>
                                </w:rPr>
                                <w:t xml:space="preserve"> </w:t>
                              </w:r>
                              <w:r>
                                <w:rPr>
                                  <w:sz w:val="17"/>
                                </w:rPr>
                                <w:t>cuenta</w:t>
                              </w:r>
                              <w:r>
                                <w:rPr>
                                  <w:spacing w:val="14"/>
                                  <w:sz w:val="17"/>
                                </w:rPr>
                                <w:t xml:space="preserve"> </w:t>
                              </w:r>
                              <w:r>
                                <w:rPr>
                                  <w:sz w:val="17"/>
                                </w:rPr>
                                <w:t>las</w:t>
                              </w:r>
                              <w:r>
                                <w:rPr>
                                  <w:spacing w:val="14"/>
                                  <w:sz w:val="17"/>
                                </w:rPr>
                                <w:t xml:space="preserve"> </w:t>
                              </w:r>
                              <w:r>
                                <w:rPr>
                                  <w:sz w:val="17"/>
                                </w:rPr>
                                <w:t>necesidades</w:t>
                              </w:r>
                              <w:r>
                                <w:rPr>
                                  <w:spacing w:val="14"/>
                                  <w:sz w:val="17"/>
                                </w:rPr>
                                <w:t xml:space="preserve"> </w:t>
                              </w:r>
                              <w:r>
                                <w:rPr>
                                  <w:sz w:val="17"/>
                                </w:rPr>
                                <w:t>de</w:t>
                              </w:r>
                              <w:r>
                                <w:rPr>
                                  <w:spacing w:val="14"/>
                                  <w:sz w:val="17"/>
                                </w:rPr>
                                <w:t xml:space="preserve"> </w:t>
                              </w:r>
                              <w:r>
                                <w:rPr>
                                  <w:sz w:val="17"/>
                                </w:rPr>
                                <w:t>salud</w:t>
                              </w:r>
                              <w:r>
                                <w:rPr>
                                  <w:spacing w:val="14"/>
                                  <w:sz w:val="17"/>
                                </w:rPr>
                                <w:t xml:space="preserve"> </w:t>
                              </w:r>
                              <w:r>
                                <w:rPr>
                                  <w:sz w:val="17"/>
                                </w:rPr>
                                <w:t>específicas</w:t>
                              </w:r>
                              <w:r>
                                <w:rPr>
                                  <w:spacing w:val="14"/>
                                  <w:sz w:val="17"/>
                                </w:rPr>
                                <w:t xml:space="preserve"> </w:t>
                              </w:r>
                              <w:r>
                                <w:rPr>
                                  <w:sz w:val="17"/>
                                </w:rPr>
                                <w:t>de</w:t>
                              </w:r>
                              <w:r>
                                <w:rPr>
                                  <w:spacing w:val="14"/>
                                  <w:sz w:val="17"/>
                                </w:rPr>
                                <w:t xml:space="preserve"> </w:t>
                              </w:r>
                              <w:r>
                                <w:rPr>
                                  <w:sz w:val="17"/>
                                </w:rPr>
                                <w:t>las</w:t>
                              </w:r>
                              <w:r>
                                <w:rPr>
                                  <w:spacing w:val="14"/>
                                  <w:sz w:val="17"/>
                                </w:rPr>
                                <w:t xml:space="preserve"> </w:t>
                              </w:r>
                              <w:r>
                                <w:rPr>
                                  <w:sz w:val="17"/>
                                </w:rPr>
                                <w:t>mujeres</w:t>
                              </w:r>
                              <w:r>
                                <w:rPr>
                                  <w:spacing w:val="14"/>
                                  <w:sz w:val="17"/>
                                </w:rPr>
                                <w:t xml:space="preserve"> </w:t>
                              </w:r>
                              <w:r>
                                <w:rPr>
                                  <w:sz w:val="17"/>
                                </w:rPr>
                                <w:t>y</w:t>
                              </w:r>
                              <w:r>
                                <w:rPr>
                                  <w:spacing w:val="14"/>
                                  <w:sz w:val="17"/>
                                </w:rPr>
                                <w:t xml:space="preserve"> </w:t>
                              </w:r>
                              <w:r>
                                <w:rPr>
                                  <w:sz w:val="17"/>
                                </w:rPr>
                                <w:t>los</w:t>
                              </w:r>
                              <w:r>
                                <w:rPr>
                                  <w:spacing w:val="14"/>
                                  <w:sz w:val="17"/>
                                </w:rPr>
                                <w:t xml:space="preserve"> </w:t>
                              </w:r>
                              <w:r>
                                <w:rPr>
                                  <w:sz w:val="17"/>
                                </w:rPr>
                                <w:t>niños</w:t>
                              </w:r>
                              <w:r>
                                <w:rPr>
                                  <w:spacing w:val="14"/>
                                  <w:sz w:val="17"/>
                                </w:rPr>
                                <w:t xml:space="preserve"> </w:t>
                              </w:r>
                              <w:r>
                                <w:rPr>
                                  <w:sz w:val="17"/>
                                </w:rPr>
                                <w:t>indígenas</w:t>
                              </w:r>
                              <w:r>
                                <w:rPr>
                                  <w:spacing w:val="14"/>
                                  <w:sz w:val="17"/>
                                </w:rPr>
                                <w:t xml:space="preserve"> </w:t>
                              </w:r>
                              <w:r>
                                <w:rPr>
                                  <w:sz w:val="17"/>
                                </w:rPr>
                                <w:t>(art. 23 (3)).</w:t>
                              </w:r>
                            </w:p>
                            <w:p w14:paraId="07221B9F" w14:textId="77777777" w:rsidR="0014798C" w:rsidRDefault="004E1F0B">
                              <w:pPr>
                                <w:spacing w:before="124" w:line="307" w:lineRule="auto"/>
                                <w:ind w:left="260" w:right="427" w:hanging="2"/>
                                <w:rPr>
                                  <w:sz w:val="17"/>
                                </w:rPr>
                              </w:pPr>
                              <w:r>
                                <w:rPr>
                                  <w:sz w:val="17"/>
                                </w:rPr>
                                <w:t>La ley también brinda protección a los derechos de los pueblos indígenas a las tierras y los recursos. Señala que los pueblos indígenas, colectiva e individualmente, tienen derecho a poseer, poseer, acceder y utilizar las tierras y recursos naturales que tradicionalmente han utilizado u ocupado para su subsistencia, farmacopea y trabajo (art.</w:t>
                              </w:r>
                            </w:p>
                            <w:p w14:paraId="428A4C0C" w14:textId="77777777" w:rsidR="0014798C" w:rsidRDefault="004E1F0B">
                              <w:pPr>
                                <w:spacing w:line="307" w:lineRule="auto"/>
                                <w:ind w:left="264" w:right="276" w:firstLine="1"/>
                                <w:rPr>
                                  <w:sz w:val="17"/>
                                </w:rPr>
                              </w:pPr>
                              <w:r>
                                <w:rPr>
                                  <w:sz w:val="17"/>
                                </w:rPr>
                                <w:t>31). El Estado está obligado a facilitar la delimitación de estas tierras sobre la base de los derechos consuetudinarios indígenas, y tiene el deber de garantizar el reconocimiento legal del título según los derechos consuetudinarios,</w:t>
                              </w:r>
                            </w:p>
                            <w:p w14:paraId="4E94456B" w14:textId="77777777" w:rsidR="0014798C" w:rsidRDefault="004E1F0B">
                              <w:pPr>
                                <w:spacing w:line="195" w:lineRule="exact"/>
                                <w:ind w:left="264"/>
                                <w:rPr>
                                  <w:sz w:val="17"/>
                                </w:rPr>
                              </w:pPr>
                              <w:r>
                                <w:rPr>
                                  <w:sz w:val="17"/>
                                </w:rPr>
                                <w:t>incluso</w:t>
                              </w:r>
                              <w:r>
                                <w:rPr>
                                  <w:spacing w:val="1"/>
                                  <w:sz w:val="17"/>
                                </w:rPr>
                                <w:t xml:space="preserve"> </w:t>
                              </w:r>
                              <w:r>
                                <w:rPr>
                                  <w:sz w:val="17"/>
                                </w:rPr>
                                <w:t>en</w:t>
                              </w:r>
                              <w:r>
                                <w:rPr>
                                  <w:spacing w:val="1"/>
                                  <w:sz w:val="17"/>
                                </w:rPr>
                                <w:t xml:space="preserve"> </w:t>
                              </w:r>
                              <w:r>
                                <w:rPr>
                                  <w:sz w:val="17"/>
                                </w:rPr>
                                <w:t>los</w:t>
                              </w:r>
                              <w:r>
                                <w:rPr>
                                  <w:spacing w:val="1"/>
                                  <w:sz w:val="17"/>
                                </w:rPr>
                                <w:t xml:space="preserve"> </w:t>
                              </w:r>
                              <w:r>
                                <w:rPr>
                                  <w:sz w:val="17"/>
                                </w:rPr>
                                <w:t>casos</w:t>
                              </w:r>
                              <w:r>
                                <w:rPr>
                                  <w:spacing w:val="1"/>
                                  <w:sz w:val="17"/>
                                </w:rPr>
                                <w:t xml:space="preserve"> </w:t>
                              </w:r>
                              <w:r>
                                <w:rPr>
                                  <w:sz w:val="17"/>
                                </w:rPr>
                                <w:t>en</w:t>
                              </w:r>
                              <w:r>
                                <w:rPr>
                                  <w:spacing w:val="2"/>
                                  <w:sz w:val="17"/>
                                </w:rPr>
                                <w:t xml:space="preserve"> </w:t>
                              </w:r>
                              <w:r>
                                <w:rPr>
                                  <w:sz w:val="17"/>
                                </w:rPr>
                                <w:t>los</w:t>
                              </w:r>
                              <w:r>
                                <w:rPr>
                                  <w:spacing w:val="1"/>
                                  <w:sz w:val="17"/>
                                </w:rPr>
                                <w:t xml:space="preserve"> </w:t>
                              </w:r>
                              <w:r>
                                <w:rPr>
                                  <w:sz w:val="17"/>
                                </w:rPr>
                                <w:t>que</w:t>
                              </w:r>
                              <w:r>
                                <w:rPr>
                                  <w:spacing w:val="1"/>
                                  <w:sz w:val="17"/>
                                </w:rPr>
                                <w:t xml:space="preserve"> </w:t>
                              </w:r>
                              <w:r>
                                <w:rPr>
                                  <w:sz w:val="17"/>
                                </w:rPr>
                                <w:t>los</w:t>
                              </w:r>
                              <w:r>
                                <w:rPr>
                                  <w:spacing w:val="1"/>
                                  <w:sz w:val="17"/>
                                </w:rPr>
                                <w:t xml:space="preserve"> </w:t>
                              </w:r>
                              <w:r>
                                <w:rPr>
                                  <w:sz w:val="17"/>
                                </w:rPr>
                                <w:t>pueblos</w:t>
                              </w:r>
                              <w:r>
                                <w:rPr>
                                  <w:spacing w:val="2"/>
                                  <w:sz w:val="17"/>
                                </w:rPr>
                                <w:t xml:space="preserve"> </w:t>
                              </w:r>
                              <w:r>
                                <w:rPr>
                                  <w:sz w:val="17"/>
                                </w:rPr>
                                <w:t>indígenas</w:t>
                              </w:r>
                              <w:r>
                                <w:rPr>
                                  <w:spacing w:val="1"/>
                                  <w:sz w:val="17"/>
                                </w:rPr>
                                <w:t xml:space="preserve"> </w:t>
                              </w:r>
                              <w:r>
                                <w:rPr>
                                  <w:sz w:val="17"/>
                                </w:rPr>
                                <w:t>no</w:t>
                              </w:r>
                              <w:r>
                                <w:rPr>
                                  <w:spacing w:val="1"/>
                                  <w:sz w:val="17"/>
                                </w:rPr>
                                <w:t xml:space="preserve"> </w:t>
                              </w:r>
                              <w:r>
                                <w:rPr>
                                  <w:sz w:val="17"/>
                                </w:rPr>
                                <w:t>poseían</w:t>
                              </w:r>
                              <w:r>
                                <w:rPr>
                                  <w:spacing w:val="1"/>
                                  <w:sz w:val="17"/>
                                </w:rPr>
                                <w:t xml:space="preserve"> </w:t>
                              </w:r>
                              <w:r>
                                <w:rPr>
                                  <w:sz w:val="17"/>
                                </w:rPr>
                                <w:t>previamente</w:t>
                              </w:r>
                              <w:r>
                                <w:rPr>
                                  <w:spacing w:val="1"/>
                                  <w:sz w:val="17"/>
                                </w:rPr>
                                <w:t xml:space="preserve"> </w:t>
                              </w:r>
                              <w:r>
                                <w:rPr>
                                  <w:sz w:val="17"/>
                                </w:rPr>
                                <w:t>ningún</w:t>
                              </w:r>
                              <w:r>
                                <w:rPr>
                                  <w:spacing w:val="2"/>
                                  <w:sz w:val="17"/>
                                </w:rPr>
                                <w:t xml:space="preserve"> </w:t>
                              </w:r>
                              <w:r>
                                <w:rPr>
                                  <w:sz w:val="17"/>
                                </w:rPr>
                                <w:t>tipo</w:t>
                              </w:r>
                              <w:r>
                                <w:rPr>
                                  <w:spacing w:val="1"/>
                                  <w:sz w:val="17"/>
                                </w:rPr>
                                <w:t xml:space="preserve"> </w:t>
                              </w:r>
                              <w:r>
                                <w:rPr>
                                  <w:sz w:val="17"/>
                                </w:rPr>
                                <w:t>de</w:t>
                              </w:r>
                              <w:r>
                                <w:rPr>
                                  <w:spacing w:val="1"/>
                                  <w:sz w:val="17"/>
                                </w:rPr>
                                <w:t xml:space="preserve"> </w:t>
                              </w:r>
                              <w:r>
                                <w:rPr>
                                  <w:sz w:val="17"/>
                                </w:rPr>
                                <w:t>título</w:t>
                              </w:r>
                              <w:r>
                                <w:rPr>
                                  <w:spacing w:val="1"/>
                                  <w:sz w:val="17"/>
                                </w:rPr>
                                <w:t xml:space="preserve"> </w:t>
                              </w:r>
                              <w:r>
                                <w:rPr>
                                  <w:sz w:val="17"/>
                                </w:rPr>
                                <w:t>formal.</w:t>
                              </w:r>
                              <w:r>
                                <w:rPr>
                                  <w:spacing w:val="3"/>
                                  <w:sz w:val="17"/>
                                </w:rPr>
                                <w:t xml:space="preserve"> </w:t>
                              </w:r>
                              <w:r>
                                <w:rPr>
                                  <w:sz w:val="17"/>
                                </w:rPr>
                                <w:t>(artículo</w:t>
                              </w:r>
                              <w:r>
                                <w:rPr>
                                  <w:spacing w:val="1"/>
                                  <w:sz w:val="17"/>
                                </w:rPr>
                                <w:t xml:space="preserve"> </w:t>
                              </w:r>
                              <w:r>
                                <w:rPr>
                                  <w:spacing w:val="-4"/>
                                  <w:sz w:val="17"/>
                                </w:rPr>
                                <w:t>32).</w:t>
                              </w:r>
                            </w:p>
                            <w:p w14:paraId="29380AA4" w14:textId="77777777" w:rsidR="0014798C" w:rsidRDefault="004E1F0B">
                              <w:pPr>
                                <w:spacing w:before="166" w:line="307" w:lineRule="auto"/>
                                <w:ind w:left="259" w:right="276"/>
                                <w:rPr>
                                  <w:sz w:val="17"/>
                                </w:rPr>
                              </w:pPr>
                              <w:r>
                                <w:rPr>
                                  <w:sz w:val="17"/>
                                </w:rPr>
                                <w:t>Además, la ley prevé consultas sobre medidas que afecten tierras o recursos indígenas o que impliquen la creación de áreas protegidas que afecten las formas de vida de los pueblos indígenas (art.</w:t>
                              </w:r>
                            </w:p>
                            <w:p w14:paraId="65FCF737" w14:textId="77777777" w:rsidR="0014798C" w:rsidRDefault="004E1F0B">
                              <w:pPr>
                                <w:spacing w:line="307" w:lineRule="auto"/>
                                <w:ind w:left="258" w:right="349" w:firstLine="6"/>
                                <w:rPr>
                                  <w:sz w:val="17"/>
                                </w:rPr>
                              </w:pPr>
                              <w:r>
                                <w:rPr>
                                  <w:sz w:val="17"/>
                                </w:rPr>
                                <w:t>39). Esta disposición complementa el artículo 3 de la ley, que prescribe la consulta con los pueblos indígenas antes de “considerar, formular o implementar cualquier programa o proyecto legislativo, administrativo o de desarrollo que pueda</w:t>
                              </w:r>
                              <w:r>
                                <w:rPr>
                                  <w:spacing w:val="16"/>
                                  <w:sz w:val="17"/>
                                </w:rPr>
                                <w:t xml:space="preserve"> </w:t>
                              </w:r>
                              <w:r>
                                <w:rPr>
                                  <w:sz w:val="17"/>
                                </w:rPr>
                                <w:t>afectarlos</w:t>
                              </w:r>
                              <w:r>
                                <w:rPr>
                                  <w:spacing w:val="16"/>
                                  <w:sz w:val="17"/>
                                </w:rPr>
                                <w:t xml:space="preserve"> </w:t>
                              </w:r>
                              <w:r>
                                <w:rPr>
                                  <w:sz w:val="17"/>
                                </w:rPr>
                                <w:t>directa</w:t>
                              </w:r>
                              <w:r>
                                <w:rPr>
                                  <w:spacing w:val="16"/>
                                  <w:sz w:val="17"/>
                                </w:rPr>
                                <w:t xml:space="preserve"> </w:t>
                              </w:r>
                              <w:r>
                                <w:rPr>
                                  <w:sz w:val="17"/>
                                </w:rPr>
                                <w:t>o</w:t>
                              </w:r>
                              <w:r>
                                <w:rPr>
                                  <w:spacing w:val="16"/>
                                  <w:sz w:val="17"/>
                                </w:rPr>
                                <w:t xml:space="preserve"> </w:t>
                              </w:r>
                              <w:r>
                                <w:rPr>
                                  <w:sz w:val="17"/>
                                </w:rPr>
                                <w:t>indirectamente”.</w:t>
                              </w:r>
                              <w:r>
                                <w:rPr>
                                  <w:spacing w:val="18"/>
                                  <w:sz w:val="17"/>
                                </w:rPr>
                                <w:t xml:space="preserve"> </w:t>
                              </w:r>
                              <w:r>
                                <w:rPr>
                                  <w:sz w:val="17"/>
                                </w:rPr>
                                <w:t>El</w:t>
                              </w:r>
                              <w:r>
                                <w:rPr>
                                  <w:spacing w:val="16"/>
                                  <w:sz w:val="17"/>
                                </w:rPr>
                                <w:t xml:space="preserve"> </w:t>
                              </w:r>
                              <w:r>
                                <w:rPr>
                                  <w:sz w:val="17"/>
                                </w:rPr>
                                <w:t>artículo</w:t>
                              </w:r>
                              <w:r>
                                <w:rPr>
                                  <w:spacing w:val="16"/>
                                  <w:sz w:val="17"/>
                                </w:rPr>
                                <w:t xml:space="preserve"> </w:t>
                              </w:r>
                              <w:r>
                                <w:rPr>
                                  <w:sz w:val="17"/>
                                </w:rPr>
                                <w:t>3</w:t>
                              </w:r>
                              <w:r>
                                <w:rPr>
                                  <w:spacing w:val="16"/>
                                  <w:sz w:val="17"/>
                                </w:rPr>
                                <w:t xml:space="preserve"> </w:t>
                              </w:r>
                              <w:r>
                                <w:rPr>
                                  <w:sz w:val="17"/>
                                </w:rPr>
                                <w:t>también</w:t>
                              </w:r>
                              <w:r>
                                <w:rPr>
                                  <w:spacing w:val="16"/>
                                  <w:sz w:val="17"/>
                                </w:rPr>
                                <w:t xml:space="preserve"> </w:t>
                              </w:r>
                              <w:r>
                                <w:rPr>
                                  <w:sz w:val="17"/>
                                </w:rPr>
                                <w:t>describe</w:t>
                              </w:r>
                              <w:r>
                                <w:rPr>
                                  <w:spacing w:val="16"/>
                                  <w:sz w:val="17"/>
                                </w:rPr>
                                <w:t xml:space="preserve"> </w:t>
                              </w:r>
                              <w:r>
                                <w:rPr>
                                  <w:sz w:val="17"/>
                                </w:rPr>
                                <w:t>las</w:t>
                              </w:r>
                              <w:r>
                                <w:rPr>
                                  <w:spacing w:val="16"/>
                                  <w:sz w:val="17"/>
                                </w:rPr>
                                <w:t xml:space="preserve"> </w:t>
                              </w:r>
                              <w:r>
                                <w:rPr>
                                  <w:sz w:val="17"/>
                                </w:rPr>
                                <w:t>características</w:t>
                              </w:r>
                              <w:r>
                                <w:rPr>
                                  <w:spacing w:val="16"/>
                                  <w:sz w:val="17"/>
                                </w:rPr>
                                <w:t xml:space="preserve"> </w:t>
                              </w:r>
                              <w:r>
                                <w:rPr>
                                  <w:sz w:val="17"/>
                                </w:rPr>
                                <w:t>básicas</w:t>
                              </w:r>
                              <w:r>
                                <w:rPr>
                                  <w:spacing w:val="16"/>
                                  <w:sz w:val="17"/>
                                </w:rPr>
                                <w:t xml:space="preserve"> </w:t>
                              </w:r>
                              <w:r>
                                <w:rPr>
                                  <w:sz w:val="17"/>
                                </w:rPr>
                                <w:t>de</w:t>
                              </w:r>
                              <w:r>
                                <w:rPr>
                                  <w:spacing w:val="16"/>
                                  <w:sz w:val="17"/>
                                </w:rPr>
                                <w:t xml:space="preserve"> </w:t>
                              </w:r>
                              <w:r>
                                <w:rPr>
                                  <w:sz w:val="17"/>
                                </w:rPr>
                                <w:t>las consultas requeridas en términos que generalmente se ajusten a los estándares internacionales,</w:t>
                              </w:r>
                              <w:r>
                                <w:rPr>
                                  <w:spacing w:val="21"/>
                                  <w:sz w:val="17"/>
                                </w:rPr>
                                <w:t xml:space="preserve"> </w:t>
                              </w:r>
                              <w:r>
                                <w:rPr>
                                  <w:sz w:val="17"/>
                                </w:rPr>
                                <w:t>y además</w:t>
                              </w:r>
                              <w:r>
                                <w:rPr>
                                  <w:spacing w:val="80"/>
                                  <w:sz w:val="17"/>
                                </w:rPr>
                                <w:t xml:space="preserve"> </w:t>
                              </w:r>
                              <w:r>
                                <w:rPr>
                                  <w:sz w:val="17"/>
                                </w:rPr>
                                <w:t>establece los procedimientos para la consulta y participación de los pueblos indígenas establecidos por un decreto del Consejo de Ministros. El artículo 3 (6) establece que las consultas deben realizarse de buena fe, sin presiones</w:t>
                              </w:r>
                            </w:p>
                            <w:p w14:paraId="34A4D751" w14:textId="77777777" w:rsidR="0014798C" w:rsidRDefault="004E1F0B">
                              <w:pPr>
                                <w:spacing w:line="193" w:lineRule="exact"/>
                                <w:ind w:left="264"/>
                                <w:rPr>
                                  <w:sz w:val="17"/>
                                </w:rPr>
                              </w:pPr>
                              <w:r>
                                <w:rPr>
                                  <w:sz w:val="17"/>
                                </w:rPr>
                                <w:t>ni</w:t>
                              </w:r>
                              <w:r>
                                <w:rPr>
                                  <w:spacing w:val="1"/>
                                  <w:sz w:val="17"/>
                                </w:rPr>
                                <w:t xml:space="preserve"> </w:t>
                              </w:r>
                              <w:r>
                                <w:rPr>
                                  <w:sz w:val="17"/>
                                </w:rPr>
                                <w:t>amenazas,</w:t>
                              </w:r>
                              <w:r>
                                <w:rPr>
                                  <w:spacing w:val="3"/>
                                  <w:sz w:val="17"/>
                                </w:rPr>
                                <w:t xml:space="preserve"> </w:t>
                              </w:r>
                              <w:r>
                                <w:rPr>
                                  <w:sz w:val="17"/>
                                </w:rPr>
                                <w:t>y</w:t>
                              </w:r>
                              <w:r>
                                <w:rPr>
                                  <w:spacing w:val="1"/>
                                  <w:sz w:val="17"/>
                                </w:rPr>
                                <w:t xml:space="preserve"> </w:t>
                              </w:r>
                              <w:r>
                                <w:rPr>
                                  <w:sz w:val="17"/>
                                </w:rPr>
                                <w:t>con</w:t>
                              </w:r>
                              <w:r>
                                <w:rPr>
                                  <w:spacing w:val="2"/>
                                  <w:sz w:val="17"/>
                                </w:rPr>
                                <w:t xml:space="preserve"> </w:t>
                              </w:r>
                              <w:r>
                                <w:rPr>
                                  <w:sz w:val="17"/>
                                </w:rPr>
                                <w:t>miras</w:t>
                              </w:r>
                              <w:r>
                                <w:rPr>
                                  <w:spacing w:val="1"/>
                                  <w:sz w:val="17"/>
                                </w:rPr>
                                <w:t xml:space="preserve"> </w:t>
                              </w:r>
                              <w:r>
                                <w:rPr>
                                  <w:sz w:val="17"/>
                                </w:rPr>
                                <w:t>a</w:t>
                              </w:r>
                              <w:r>
                                <w:rPr>
                                  <w:spacing w:val="2"/>
                                  <w:sz w:val="17"/>
                                </w:rPr>
                                <w:t xml:space="preserve"> </w:t>
                              </w:r>
                              <w:r>
                                <w:rPr>
                                  <w:sz w:val="17"/>
                                </w:rPr>
                                <w:t>obtener</w:t>
                              </w:r>
                              <w:r>
                                <w:rPr>
                                  <w:spacing w:val="2"/>
                                  <w:sz w:val="17"/>
                                </w:rPr>
                                <w:t xml:space="preserve"> </w:t>
                              </w:r>
                              <w:r>
                                <w:rPr>
                                  <w:sz w:val="17"/>
                                </w:rPr>
                                <w:t>el</w:t>
                              </w:r>
                              <w:r>
                                <w:rPr>
                                  <w:spacing w:val="1"/>
                                  <w:sz w:val="17"/>
                                </w:rPr>
                                <w:t xml:space="preserve"> </w:t>
                              </w:r>
                              <w:r>
                                <w:rPr>
                                  <w:sz w:val="17"/>
                                </w:rPr>
                                <w:t>consentimiento</w:t>
                              </w:r>
                              <w:r>
                                <w:rPr>
                                  <w:spacing w:val="2"/>
                                  <w:sz w:val="17"/>
                                </w:rPr>
                                <w:t xml:space="preserve"> </w:t>
                              </w:r>
                              <w:r>
                                <w:rPr>
                                  <w:sz w:val="17"/>
                                </w:rPr>
                                <w:t>libre,</w:t>
                              </w:r>
                              <w:r>
                                <w:rPr>
                                  <w:spacing w:val="2"/>
                                  <w:sz w:val="17"/>
                                </w:rPr>
                                <w:t xml:space="preserve"> </w:t>
                              </w:r>
                              <w:r>
                                <w:rPr>
                                  <w:sz w:val="17"/>
                                </w:rPr>
                                <w:t>previo</w:t>
                              </w:r>
                              <w:r>
                                <w:rPr>
                                  <w:spacing w:val="2"/>
                                  <w:sz w:val="17"/>
                                </w:rPr>
                                <w:t xml:space="preserve"> </w:t>
                              </w:r>
                              <w:r>
                                <w:rPr>
                                  <w:sz w:val="17"/>
                                </w:rPr>
                                <w:t>e</w:t>
                              </w:r>
                              <w:r>
                                <w:rPr>
                                  <w:spacing w:val="2"/>
                                  <w:sz w:val="17"/>
                                </w:rPr>
                                <w:t xml:space="preserve"> </w:t>
                              </w:r>
                              <w:r>
                                <w:rPr>
                                  <w:sz w:val="17"/>
                                </w:rPr>
                                <w:t>informado</w:t>
                              </w:r>
                              <w:r>
                                <w:rPr>
                                  <w:spacing w:val="1"/>
                                  <w:sz w:val="17"/>
                                </w:rPr>
                                <w:t xml:space="preserve"> </w:t>
                              </w:r>
                              <w:r>
                                <w:rPr>
                                  <w:sz w:val="17"/>
                                </w:rPr>
                                <w:t>de</w:t>
                              </w:r>
                              <w:r>
                                <w:rPr>
                                  <w:spacing w:val="2"/>
                                  <w:sz w:val="17"/>
                                </w:rPr>
                                <w:t xml:space="preserve"> </w:t>
                              </w:r>
                              <w:r>
                                <w:rPr>
                                  <w:sz w:val="17"/>
                                </w:rPr>
                                <w:t>los</w:t>
                              </w:r>
                              <w:r>
                                <w:rPr>
                                  <w:spacing w:val="1"/>
                                  <w:sz w:val="17"/>
                                </w:rPr>
                                <w:t xml:space="preserve"> </w:t>
                              </w:r>
                              <w:r>
                                <w:rPr>
                                  <w:sz w:val="17"/>
                                </w:rPr>
                                <w:t>pueblos</w:t>
                              </w:r>
                              <w:r>
                                <w:rPr>
                                  <w:spacing w:val="2"/>
                                  <w:sz w:val="17"/>
                                </w:rPr>
                                <w:t xml:space="preserve"> </w:t>
                              </w:r>
                              <w:r>
                                <w:rPr>
                                  <w:sz w:val="17"/>
                                </w:rPr>
                                <w:t>indígenas</w:t>
                              </w:r>
                              <w:r>
                                <w:rPr>
                                  <w:spacing w:val="2"/>
                                  <w:sz w:val="17"/>
                                </w:rPr>
                                <w:t xml:space="preserve"> </w:t>
                              </w:r>
                              <w:r>
                                <w:rPr>
                                  <w:spacing w:val="-2"/>
                                  <w:sz w:val="17"/>
                                </w:rPr>
                                <w:t>interesados.</w:t>
                              </w:r>
                            </w:p>
                          </w:txbxContent>
                        </wps:txbx>
                        <wps:bodyPr wrap="square" lIns="0" tIns="0" rIns="0" bIns="0" rtlCol="0">
                          <a:noAutofit/>
                        </wps:bodyPr>
                      </wps:wsp>
                    </wpg:wgp>
                  </a:graphicData>
                </a:graphic>
              </wp:anchor>
            </w:drawing>
          </mc:Choice>
          <mc:Fallback>
            <w:pict>
              <v:group w14:anchorId="282EE48F" id="Group 330" o:spid="_x0000_s1161" style="position:absolute;margin-left:63.65pt;margin-top:14.65pt;width:470.85pt;height:317.4pt;z-index:-251657923;mso-wrap-distance-left:0;mso-wrap-distance-right:0;mso-position-horizontal-relative:page" coordsize="59797,40309"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">
                <v:shape id="Image 331" o:spid="_x0000_s1162" type="#_x0000_t75" style="position:absolute;width:59481;height:4030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">
                  <v:imagedata r:id="rId310" o:title=""/>
                </v:shape>
                <v:shape id="Textbox 332" o:spid="_x0000_s1163" type="#_x0000_t202" style="position:absolute;width:59797;height:40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" filled="f" stroked="f">
                  <v:textbox inset="0,0,0,0">
                    <w:txbxContent>
                      <w:p w14:paraId="49DE20C0" w14:textId="77777777" w:rsidR="0014798C" w:rsidRDefault="0014798C">
                        <w:pPr>
                          <w:spacing w:before="25"/>
                          <w:rPr>
                            <w:sz w:val="17"/>
                          </w:rPr>
                        </w:pPr>
                      </w:p>
                      <w:p w14:paraId="699B553E" w14:textId="77777777" w:rsidR="0014798C" w:rsidRDefault="004E1F0B">
                        <w:pPr>
                          <w:spacing w:line="304" w:lineRule="auto"/>
                          <w:ind w:left="258" w:right="276"/>
                          <w:rPr>
                            <w:sz w:val="17"/>
                          </w:rPr>
                        </w:pPr>
                        <w:r>
                          <w:rPr>
                            <w:sz w:val="17"/>
                          </w:rPr>
                          <w:t>También se garantiza el acceso, sin discriminación, a la atención de la salud y a todos los demás servicios sociales (art. 22). La ley estipula que los centros que presten estos servicios deben adaptarse a las necesidades de los pueblos indígenas en las zonas en que viven (art. 23 (1</w:t>
                        </w:r>
                        <w:proofErr w:type="gramStart"/>
                        <w:r>
                          <w:rPr>
                            <w:sz w:val="17"/>
                          </w:rPr>
                          <w:t>));</w:t>
                        </w:r>
                        <w:proofErr w:type="gramEnd"/>
                        <w:r>
                          <w:rPr>
                            <w:sz w:val="17"/>
                          </w:rPr>
                          <w:t xml:space="preserve"> prevé la participación de los trabajadores de la salud indígenas en los servicios integrados de atención primaria de salud y la organización por parte del Estado de programas de vacunación y campañas de sensibilización sobre la salud reproductiva (art. 23 (2)). La ley prevé además</w:t>
                        </w:r>
                        <w:r>
                          <w:rPr>
                            <w:spacing w:val="14"/>
                            <w:sz w:val="17"/>
                          </w:rPr>
                          <w:t xml:space="preserve"> </w:t>
                        </w:r>
                        <w:r>
                          <w:rPr>
                            <w:sz w:val="17"/>
                          </w:rPr>
                          <w:t>que</w:t>
                        </w:r>
                        <w:r>
                          <w:rPr>
                            <w:spacing w:val="14"/>
                            <w:sz w:val="17"/>
                          </w:rPr>
                          <w:t xml:space="preserve"> </w:t>
                        </w:r>
                        <w:r>
                          <w:rPr>
                            <w:sz w:val="17"/>
                          </w:rPr>
                          <w:t>se</w:t>
                        </w:r>
                        <w:r>
                          <w:rPr>
                            <w:spacing w:val="14"/>
                            <w:sz w:val="17"/>
                          </w:rPr>
                          <w:t xml:space="preserve"> </w:t>
                        </w:r>
                        <w:r>
                          <w:rPr>
                            <w:sz w:val="17"/>
                          </w:rPr>
                          <w:t>tengan</w:t>
                        </w:r>
                        <w:r>
                          <w:rPr>
                            <w:spacing w:val="14"/>
                            <w:sz w:val="17"/>
                          </w:rPr>
                          <w:t xml:space="preserve"> </w:t>
                        </w:r>
                        <w:r>
                          <w:rPr>
                            <w:sz w:val="17"/>
                          </w:rPr>
                          <w:t>en</w:t>
                        </w:r>
                        <w:r>
                          <w:rPr>
                            <w:spacing w:val="14"/>
                            <w:sz w:val="17"/>
                          </w:rPr>
                          <w:t xml:space="preserve"> </w:t>
                        </w:r>
                        <w:r>
                          <w:rPr>
                            <w:sz w:val="17"/>
                          </w:rPr>
                          <w:t>cuenta</w:t>
                        </w:r>
                        <w:r>
                          <w:rPr>
                            <w:spacing w:val="14"/>
                            <w:sz w:val="17"/>
                          </w:rPr>
                          <w:t xml:space="preserve"> </w:t>
                        </w:r>
                        <w:r>
                          <w:rPr>
                            <w:sz w:val="17"/>
                          </w:rPr>
                          <w:t>las</w:t>
                        </w:r>
                        <w:r>
                          <w:rPr>
                            <w:spacing w:val="14"/>
                            <w:sz w:val="17"/>
                          </w:rPr>
                          <w:t xml:space="preserve"> </w:t>
                        </w:r>
                        <w:r>
                          <w:rPr>
                            <w:sz w:val="17"/>
                          </w:rPr>
                          <w:t>necesidades</w:t>
                        </w:r>
                        <w:r>
                          <w:rPr>
                            <w:spacing w:val="14"/>
                            <w:sz w:val="17"/>
                          </w:rPr>
                          <w:t xml:space="preserve"> </w:t>
                        </w:r>
                        <w:r>
                          <w:rPr>
                            <w:sz w:val="17"/>
                          </w:rPr>
                          <w:t>de</w:t>
                        </w:r>
                        <w:r>
                          <w:rPr>
                            <w:spacing w:val="14"/>
                            <w:sz w:val="17"/>
                          </w:rPr>
                          <w:t xml:space="preserve"> </w:t>
                        </w:r>
                        <w:r>
                          <w:rPr>
                            <w:sz w:val="17"/>
                          </w:rPr>
                          <w:t>salud</w:t>
                        </w:r>
                        <w:r>
                          <w:rPr>
                            <w:spacing w:val="14"/>
                            <w:sz w:val="17"/>
                          </w:rPr>
                          <w:t xml:space="preserve"> </w:t>
                        </w:r>
                        <w:r>
                          <w:rPr>
                            <w:sz w:val="17"/>
                          </w:rPr>
                          <w:t>específicas</w:t>
                        </w:r>
                        <w:r>
                          <w:rPr>
                            <w:spacing w:val="14"/>
                            <w:sz w:val="17"/>
                          </w:rPr>
                          <w:t xml:space="preserve"> </w:t>
                        </w:r>
                        <w:r>
                          <w:rPr>
                            <w:sz w:val="17"/>
                          </w:rPr>
                          <w:t>de</w:t>
                        </w:r>
                        <w:r>
                          <w:rPr>
                            <w:spacing w:val="14"/>
                            <w:sz w:val="17"/>
                          </w:rPr>
                          <w:t xml:space="preserve"> </w:t>
                        </w:r>
                        <w:r>
                          <w:rPr>
                            <w:sz w:val="17"/>
                          </w:rPr>
                          <w:t>las</w:t>
                        </w:r>
                        <w:r>
                          <w:rPr>
                            <w:spacing w:val="14"/>
                            <w:sz w:val="17"/>
                          </w:rPr>
                          <w:t xml:space="preserve"> </w:t>
                        </w:r>
                        <w:r>
                          <w:rPr>
                            <w:sz w:val="17"/>
                          </w:rPr>
                          <w:t>mujeres</w:t>
                        </w:r>
                        <w:r>
                          <w:rPr>
                            <w:spacing w:val="14"/>
                            <w:sz w:val="17"/>
                          </w:rPr>
                          <w:t xml:space="preserve"> </w:t>
                        </w:r>
                        <w:r>
                          <w:rPr>
                            <w:sz w:val="17"/>
                          </w:rPr>
                          <w:t>y</w:t>
                        </w:r>
                        <w:r>
                          <w:rPr>
                            <w:spacing w:val="14"/>
                            <w:sz w:val="17"/>
                          </w:rPr>
                          <w:t xml:space="preserve"> </w:t>
                        </w:r>
                        <w:r>
                          <w:rPr>
                            <w:sz w:val="17"/>
                          </w:rPr>
                          <w:t>los</w:t>
                        </w:r>
                        <w:r>
                          <w:rPr>
                            <w:spacing w:val="14"/>
                            <w:sz w:val="17"/>
                          </w:rPr>
                          <w:t xml:space="preserve"> </w:t>
                        </w:r>
                        <w:r>
                          <w:rPr>
                            <w:sz w:val="17"/>
                          </w:rPr>
                          <w:t>niños</w:t>
                        </w:r>
                        <w:r>
                          <w:rPr>
                            <w:spacing w:val="14"/>
                            <w:sz w:val="17"/>
                          </w:rPr>
                          <w:t xml:space="preserve"> </w:t>
                        </w:r>
                        <w:r>
                          <w:rPr>
                            <w:sz w:val="17"/>
                          </w:rPr>
                          <w:t>indígenas</w:t>
                        </w:r>
                        <w:r>
                          <w:rPr>
                            <w:spacing w:val="14"/>
                            <w:sz w:val="17"/>
                          </w:rPr>
                          <w:t xml:space="preserve"> </w:t>
                        </w:r>
                        <w:r>
                          <w:rPr>
                            <w:sz w:val="17"/>
                          </w:rPr>
                          <w:t>(art. 23 (3)).</w:t>
                        </w:r>
                      </w:p>
                      <w:p w14:paraId="07221B9F" w14:textId="77777777" w:rsidR="0014798C" w:rsidRDefault="004E1F0B">
                        <w:pPr>
                          <w:spacing w:before="124" w:line="307" w:lineRule="auto"/>
                          <w:ind w:left="260" w:right="427" w:hanging="2"/>
                          <w:rPr>
                            <w:sz w:val="17"/>
                          </w:rPr>
                        </w:pPr>
                        <w:r>
                          <w:rPr>
                            <w:sz w:val="17"/>
                          </w:rPr>
                          <w:t>La ley también brinda protección a los derechos de los pueblos indígenas a las tierras y los recursos. Señala que los pueblos indígenas, colectiva e individualmente, tienen derecho a poseer, poseer, acceder y utilizar las tierras y recursos naturales que tradicionalmente han utilizado u ocupado para su subsistencia, farmacopea y trabajo (art.</w:t>
                        </w:r>
                      </w:p>
                      <w:p w14:paraId="428A4C0C" w14:textId="77777777" w:rsidR="0014798C" w:rsidRDefault="004E1F0B">
                        <w:pPr>
                          <w:spacing w:line="307" w:lineRule="auto"/>
                          <w:ind w:left="264" w:right="276" w:firstLine="1"/>
                          <w:rPr>
                            <w:sz w:val="17"/>
                          </w:rPr>
                        </w:pPr>
                        <w:r>
                          <w:rPr>
                            <w:sz w:val="17"/>
                          </w:rPr>
                          <w:t>31). El Estado está obligado a facilitar la delimitación de estas tierras sobre la base de los derechos consuetudinarios indígenas, y tiene el deber de garantizar el reconocimiento legal del título según los derechos consuetudinarios,</w:t>
                        </w:r>
                      </w:p>
                      <w:p w14:paraId="4E94456B" w14:textId="77777777" w:rsidR="0014798C" w:rsidRDefault="004E1F0B">
                        <w:pPr>
                          <w:spacing w:line="195" w:lineRule="exact"/>
                          <w:ind w:left="264"/>
                          <w:rPr>
                            <w:sz w:val="17"/>
                          </w:rPr>
                        </w:pPr>
                        <w:r>
                          <w:rPr>
                            <w:sz w:val="17"/>
                          </w:rPr>
                          <w:t>incluso</w:t>
                        </w:r>
                        <w:r>
                          <w:rPr>
                            <w:spacing w:val="1"/>
                            <w:sz w:val="17"/>
                          </w:rPr>
                          <w:t xml:space="preserve"> </w:t>
                        </w:r>
                        <w:r>
                          <w:rPr>
                            <w:sz w:val="17"/>
                          </w:rPr>
                          <w:t>en</w:t>
                        </w:r>
                        <w:r>
                          <w:rPr>
                            <w:spacing w:val="1"/>
                            <w:sz w:val="17"/>
                          </w:rPr>
                          <w:t xml:space="preserve"> </w:t>
                        </w:r>
                        <w:r>
                          <w:rPr>
                            <w:sz w:val="17"/>
                          </w:rPr>
                          <w:t>los</w:t>
                        </w:r>
                        <w:r>
                          <w:rPr>
                            <w:spacing w:val="1"/>
                            <w:sz w:val="17"/>
                          </w:rPr>
                          <w:t xml:space="preserve"> </w:t>
                        </w:r>
                        <w:r>
                          <w:rPr>
                            <w:sz w:val="17"/>
                          </w:rPr>
                          <w:t>casos</w:t>
                        </w:r>
                        <w:r>
                          <w:rPr>
                            <w:spacing w:val="1"/>
                            <w:sz w:val="17"/>
                          </w:rPr>
                          <w:t xml:space="preserve"> </w:t>
                        </w:r>
                        <w:r>
                          <w:rPr>
                            <w:sz w:val="17"/>
                          </w:rPr>
                          <w:t>en</w:t>
                        </w:r>
                        <w:r>
                          <w:rPr>
                            <w:spacing w:val="2"/>
                            <w:sz w:val="17"/>
                          </w:rPr>
                          <w:t xml:space="preserve"> </w:t>
                        </w:r>
                        <w:r>
                          <w:rPr>
                            <w:sz w:val="17"/>
                          </w:rPr>
                          <w:t>los</w:t>
                        </w:r>
                        <w:r>
                          <w:rPr>
                            <w:spacing w:val="1"/>
                            <w:sz w:val="17"/>
                          </w:rPr>
                          <w:t xml:space="preserve"> </w:t>
                        </w:r>
                        <w:r>
                          <w:rPr>
                            <w:sz w:val="17"/>
                          </w:rPr>
                          <w:t>que</w:t>
                        </w:r>
                        <w:r>
                          <w:rPr>
                            <w:spacing w:val="1"/>
                            <w:sz w:val="17"/>
                          </w:rPr>
                          <w:t xml:space="preserve"> </w:t>
                        </w:r>
                        <w:r>
                          <w:rPr>
                            <w:sz w:val="17"/>
                          </w:rPr>
                          <w:t>los</w:t>
                        </w:r>
                        <w:r>
                          <w:rPr>
                            <w:spacing w:val="1"/>
                            <w:sz w:val="17"/>
                          </w:rPr>
                          <w:t xml:space="preserve"> </w:t>
                        </w:r>
                        <w:r>
                          <w:rPr>
                            <w:sz w:val="17"/>
                          </w:rPr>
                          <w:t>pueblos</w:t>
                        </w:r>
                        <w:r>
                          <w:rPr>
                            <w:spacing w:val="2"/>
                            <w:sz w:val="17"/>
                          </w:rPr>
                          <w:t xml:space="preserve"> </w:t>
                        </w:r>
                        <w:r>
                          <w:rPr>
                            <w:sz w:val="17"/>
                          </w:rPr>
                          <w:t>indígenas</w:t>
                        </w:r>
                        <w:r>
                          <w:rPr>
                            <w:spacing w:val="1"/>
                            <w:sz w:val="17"/>
                          </w:rPr>
                          <w:t xml:space="preserve"> </w:t>
                        </w:r>
                        <w:r>
                          <w:rPr>
                            <w:sz w:val="17"/>
                          </w:rPr>
                          <w:t>no</w:t>
                        </w:r>
                        <w:r>
                          <w:rPr>
                            <w:spacing w:val="1"/>
                            <w:sz w:val="17"/>
                          </w:rPr>
                          <w:t xml:space="preserve"> </w:t>
                        </w:r>
                        <w:r>
                          <w:rPr>
                            <w:sz w:val="17"/>
                          </w:rPr>
                          <w:t>poseían</w:t>
                        </w:r>
                        <w:r>
                          <w:rPr>
                            <w:spacing w:val="1"/>
                            <w:sz w:val="17"/>
                          </w:rPr>
                          <w:t xml:space="preserve"> </w:t>
                        </w:r>
                        <w:r>
                          <w:rPr>
                            <w:sz w:val="17"/>
                          </w:rPr>
                          <w:t>previamente</w:t>
                        </w:r>
                        <w:r>
                          <w:rPr>
                            <w:spacing w:val="1"/>
                            <w:sz w:val="17"/>
                          </w:rPr>
                          <w:t xml:space="preserve"> </w:t>
                        </w:r>
                        <w:r>
                          <w:rPr>
                            <w:sz w:val="17"/>
                          </w:rPr>
                          <w:t>ningún</w:t>
                        </w:r>
                        <w:r>
                          <w:rPr>
                            <w:spacing w:val="2"/>
                            <w:sz w:val="17"/>
                          </w:rPr>
                          <w:t xml:space="preserve"> </w:t>
                        </w:r>
                        <w:r>
                          <w:rPr>
                            <w:sz w:val="17"/>
                          </w:rPr>
                          <w:t>tipo</w:t>
                        </w:r>
                        <w:r>
                          <w:rPr>
                            <w:spacing w:val="1"/>
                            <w:sz w:val="17"/>
                          </w:rPr>
                          <w:t xml:space="preserve"> </w:t>
                        </w:r>
                        <w:r>
                          <w:rPr>
                            <w:sz w:val="17"/>
                          </w:rPr>
                          <w:t>de</w:t>
                        </w:r>
                        <w:r>
                          <w:rPr>
                            <w:spacing w:val="1"/>
                            <w:sz w:val="17"/>
                          </w:rPr>
                          <w:t xml:space="preserve"> </w:t>
                        </w:r>
                        <w:r>
                          <w:rPr>
                            <w:sz w:val="17"/>
                          </w:rPr>
                          <w:t>título</w:t>
                        </w:r>
                        <w:r>
                          <w:rPr>
                            <w:spacing w:val="1"/>
                            <w:sz w:val="17"/>
                          </w:rPr>
                          <w:t xml:space="preserve"> </w:t>
                        </w:r>
                        <w:r>
                          <w:rPr>
                            <w:sz w:val="17"/>
                          </w:rPr>
                          <w:t>formal.</w:t>
                        </w:r>
                        <w:r>
                          <w:rPr>
                            <w:spacing w:val="3"/>
                            <w:sz w:val="17"/>
                          </w:rPr>
                          <w:t xml:space="preserve"> </w:t>
                        </w:r>
                        <w:r>
                          <w:rPr>
                            <w:sz w:val="17"/>
                          </w:rPr>
                          <w:t>(artículo</w:t>
                        </w:r>
                        <w:r>
                          <w:rPr>
                            <w:spacing w:val="1"/>
                            <w:sz w:val="17"/>
                          </w:rPr>
                          <w:t xml:space="preserve"> </w:t>
                        </w:r>
                        <w:r>
                          <w:rPr>
                            <w:spacing w:val="-4"/>
                            <w:sz w:val="17"/>
                          </w:rPr>
                          <w:t>32).</w:t>
                        </w:r>
                      </w:p>
                      <w:p w14:paraId="29380AA4" w14:textId="77777777" w:rsidR="0014798C" w:rsidRDefault="004E1F0B">
                        <w:pPr>
                          <w:spacing w:before="166" w:line="307" w:lineRule="auto"/>
                          <w:ind w:left="259" w:right="276"/>
                          <w:rPr>
                            <w:sz w:val="17"/>
                          </w:rPr>
                        </w:pPr>
                        <w:r>
                          <w:rPr>
                            <w:sz w:val="17"/>
                          </w:rPr>
                          <w:t>Además, la ley prevé consultas sobre medidas que afecten tierras o recursos indígenas o que impliquen la creación de áreas protegidas que afecten las formas de vida de los pueblos indígenas (art.</w:t>
                        </w:r>
                      </w:p>
                      <w:p w14:paraId="65FCF737" w14:textId="77777777" w:rsidR="0014798C" w:rsidRDefault="004E1F0B">
                        <w:pPr>
                          <w:spacing w:line="307" w:lineRule="auto"/>
                          <w:ind w:left="258" w:right="349" w:firstLine="6"/>
                          <w:rPr>
                            <w:sz w:val="17"/>
                          </w:rPr>
                        </w:pPr>
                        <w:r>
                          <w:rPr>
                            <w:sz w:val="17"/>
                          </w:rPr>
                          <w:t>39). Esta disposición complementa el artículo 3 de la ley, que prescribe la consulta con los pueblos indígenas antes de “considerar, formular o implementar cualquier programa o proyecto legislativo, administrativo o de desarrollo que pueda</w:t>
                        </w:r>
                        <w:r>
                          <w:rPr>
                            <w:spacing w:val="16"/>
                            <w:sz w:val="17"/>
                          </w:rPr>
                          <w:t xml:space="preserve"> </w:t>
                        </w:r>
                        <w:r>
                          <w:rPr>
                            <w:sz w:val="17"/>
                          </w:rPr>
                          <w:t>afectarlos</w:t>
                        </w:r>
                        <w:r>
                          <w:rPr>
                            <w:spacing w:val="16"/>
                            <w:sz w:val="17"/>
                          </w:rPr>
                          <w:t xml:space="preserve"> </w:t>
                        </w:r>
                        <w:r>
                          <w:rPr>
                            <w:sz w:val="17"/>
                          </w:rPr>
                          <w:t>directa</w:t>
                        </w:r>
                        <w:r>
                          <w:rPr>
                            <w:spacing w:val="16"/>
                            <w:sz w:val="17"/>
                          </w:rPr>
                          <w:t xml:space="preserve"> </w:t>
                        </w:r>
                        <w:r>
                          <w:rPr>
                            <w:sz w:val="17"/>
                          </w:rPr>
                          <w:t>o</w:t>
                        </w:r>
                        <w:r>
                          <w:rPr>
                            <w:spacing w:val="16"/>
                            <w:sz w:val="17"/>
                          </w:rPr>
                          <w:t xml:space="preserve"> </w:t>
                        </w:r>
                        <w:r>
                          <w:rPr>
                            <w:sz w:val="17"/>
                          </w:rPr>
                          <w:t>indirectamente”.</w:t>
                        </w:r>
                        <w:r>
                          <w:rPr>
                            <w:spacing w:val="18"/>
                            <w:sz w:val="17"/>
                          </w:rPr>
                          <w:t xml:space="preserve"> </w:t>
                        </w:r>
                        <w:r>
                          <w:rPr>
                            <w:sz w:val="17"/>
                          </w:rPr>
                          <w:t>El</w:t>
                        </w:r>
                        <w:r>
                          <w:rPr>
                            <w:spacing w:val="16"/>
                            <w:sz w:val="17"/>
                          </w:rPr>
                          <w:t xml:space="preserve"> </w:t>
                        </w:r>
                        <w:r>
                          <w:rPr>
                            <w:sz w:val="17"/>
                          </w:rPr>
                          <w:t>artículo</w:t>
                        </w:r>
                        <w:r>
                          <w:rPr>
                            <w:spacing w:val="16"/>
                            <w:sz w:val="17"/>
                          </w:rPr>
                          <w:t xml:space="preserve"> </w:t>
                        </w:r>
                        <w:r>
                          <w:rPr>
                            <w:sz w:val="17"/>
                          </w:rPr>
                          <w:t>3</w:t>
                        </w:r>
                        <w:r>
                          <w:rPr>
                            <w:spacing w:val="16"/>
                            <w:sz w:val="17"/>
                          </w:rPr>
                          <w:t xml:space="preserve"> </w:t>
                        </w:r>
                        <w:r>
                          <w:rPr>
                            <w:sz w:val="17"/>
                          </w:rPr>
                          <w:t>también</w:t>
                        </w:r>
                        <w:r>
                          <w:rPr>
                            <w:spacing w:val="16"/>
                            <w:sz w:val="17"/>
                          </w:rPr>
                          <w:t xml:space="preserve"> </w:t>
                        </w:r>
                        <w:r>
                          <w:rPr>
                            <w:sz w:val="17"/>
                          </w:rPr>
                          <w:t>describe</w:t>
                        </w:r>
                        <w:r>
                          <w:rPr>
                            <w:spacing w:val="16"/>
                            <w:sz w:val="17"/>
                          </w:rPr>
                          <w:t xml:space="preserve"> </w:t>
                        </w:r>
                        <w:r>
                          <w:rPr>
                            <w:sz w:val="17"/>
                          </w:rPr>
                          <w:t>las</w:t>
                        </w:r>
                        <w:r>
                          <w:rPr>
                            <w:spacing w:val="16"/>
                            <w:sz w:val="17"/>
                          </w:rPr>
                          <w:t xml:space="preserve"> </w:t>
                        </w:r>
                        <w:r>
                          <w:rPr>
                            <w:sz w:val="17"/>
                          </w:rPr>
                          <w:t>características</w:t>
                        </w:r>
                        <w:r>
                          <w:rPr>
                            <w:spacing w:val="16"/>
                            <w:sz w:val="17"/>
                          </w:rPr>
                          <w:t xml:space="preserve"> </w:t>
                        </w:r>
                        <w:r>
                          <w:rPr>
                            <w:sz w:val="17"/>
                          </w:rPr>
                          <w:t>básicas</w:t>
                        </w:r>
                        <w:r>
                          <w:rPr>
                            <w:spacing w:val="16"/>
                            <w:sz w:val="17"/>
                          </w:rPr>
                          <w:t xml:space="preserve"> </w:t>
                        </w:r>
                        <w:r>
                          <w:rPr>
                            <w:sz w:val="17"/>
                          </w:rPr>
                          <w:t>de</w:t>
                        </w:r>
                        <w:r>
                          <w:rPr>
                            <w:spacing w:val="16"/>
                            <w:sz w:val="17"/>
                          </w:rPr>
                          <w:t xml:space="preserve"> </w:t>
                        </w:r>
                        <w:r>
                          <w:rPr>
                            <w:sz w:val="17"/>
                          </w:rPr>
                          <w:t>las consultas requeridas en términos que generalmente se ajusten a los estándares internacionales,</w:t>
                        </w:r>
                        <w:r>
                          <w:rPr>
                            <w:spacing w:val="21"/>
                            <w:sz w:val="17"/>
                          </w:rPr>
                          <w:t xml:space="preserve"> </w:t>
                        </w:r>
                        <w:r>
                          <w:rPr>
                            <w:sz w:val="17"/>
                          </w:rPr>
                          <w:t>y además</w:t>
                        </w:r>
                        <w:r>
                          <w:rPr>
                            <w:spacing w:val="80"/>
                            <w:sz w:val="17"/>
                          </w:rPr>
                          <w:t xml:space="preserve"> </w:t>
                        </w:r>
                        <w:r>
                          <w:rPr>
                            <w:sz w:val="17"/>
                          </w:rPr>
                          <w:t xml:space="preserve">establece los procedimientos para la consulta y participación de los pueblos indígenas establecidos por un decreto del Consejo de </w:t>
                        </w:r>
                        <w:proofErr w:type="gramStart"/>
                        <w:r>
                          <w:rPr>
                            <w:sz w:val="17"/>
                          </w:rPr>
                          <w:t>Ministros</w:t>
                        </w:r>
                        <w:proofErr w:type="gramEnd"/>
                        <w:r>
                          <w:rPr>
                            <w:sz w:val="17"/>
                          </w:rPr>
                          <w:t>. El artículo 3 (6) establece que las consultas deben realizarse de buena fe, sin presiones</w:t>
                        </w:r>
                      </w:p>
                      <w:p w14:paraId="34A4D751" w14:textId="77777777" w:rsidR="0014798C" w:rsidRDefault="004E1F0B">
                        <w:pPr>
                          <w:spacing w:line="193" w:lineRule="exact"/>
                          <w:ind w:left="264"/>
                          <w:rPr>
                            <w:sz w:val="17"/>
                          </w:rPr>
                        </w:pPr>
                        <w:r>
                          <w:rPr>
                            <w:sz w:val="17"/>
                          </w:rPr>
                          <w:t>ni</w:t>
                        </w:r>
                        <w:r>
                          <w:rPr>
                            <w:spacing w:val="1"/>
                            <w:sz w:val="17"/>
                          </w:rPr>
                          <w:t xml:space="preserve"> </w:t>
                        </w:r>
                        <w:r>
                          <w:rPr>
                            <w:sz w:val="17"/>
                          </w:rPr>
                          <w:t>amenazas,</w:t>
                        </w:r>
                        <w:r>
                          <w:rPr>
                            <w:spacing w:val="3"/>
                            <w:sz w:val="17"/>
                          </w:rPr>
                          <w:t xml:space="preserve"> </w:t>
                        </w:r>
                        <w:r>
                          <w:rPr>
                            <w:sz w:val="17"/>
                          </w:rPr>
                          <w:t>y</w:t>
                        </w:r>
                        <w:r>
                          <w:rPr>
                            <w:spacing w:val="1"/>
                            <w:sz w:val="17"/>
                          </w:rPr>
                          <w:t xml:space="preserve"> </w:t>
                        </w:r>
                        <w:r>
                          <w:rPr>
                            <w:sz w:val="17"/>
                          </w:rPr>
                          <w:t>con</w:t>
                        </w:r>
                        <w:r>
                          <w:rPr>
                            <w:spacing w:val="2"/>
                            <w:sz w:val="17"/>
                          </w:rPr>
                          <w:t xml:space="preserve"> </w:t>
                        </w:r>
                        <w:r>
                          <w:rPr>
                            <w:sz w:val="17"/>
                          </w:rPr>
                          <w:t>miras</w:t>
                        </w:r>
                        <w:r>
                          <w:rPr>
                            <w:spacing w:val="1"/>
                            <w:sz w:val="17"/>
                          </w:rPr>
                          <w:t xml:space="preserve"> </w:t>
                        </w:r>
                        <w:r>
                          <w:rPr>
                            <w:sz w:val="17"/>
                          </w:rPr>
                          <w:t>a</w:t>
                        </w:r>
                        <w:r>
                          <w:rPr>
                            <w:spacing w:val="2"/>
                            <w:sz w:val="17"/>
                          </w:rPr>
                          <w:t xml:space="preserve"> </w:t>
                        </w:r>
                        <w:r>
                          <w:rPr>
                            <w:sz w:val="17"/>
                          </w:rPr>
                          <w:t>obtener</w:t>
                        </w:r>
                        <w:r>
                          <w:rPr>
                            <w:spacing w:val="2"/>
                            <w:sz w:val="17"/>
                          </w:rPr>
                          <w:t xml:space="preserve"> </w:t>
                        </w:r>
                        <w:r>
                          <w:rPr>
                            <w:sz w:val="17"/>
                          </w:rPr>
                          <w:t>el</w:t>
                        </w:r>
                        <w:r>
                          <w:rPr>
                            <w:spacing w:val="1"/>
                            <w:sz w:val="17"/>
                          </w:rPr>
                          <w:t xml:space="preserve"> </w:t>
                        </w:r>
                        <w:r>
                          <w:rPr>
                            <w:sz w:val="17"/>
                          </w:rPr>
                          <w:t>consentimiento</w:t>
                        </w:r>
                        <w:r>
                          <w:rPr>
                            <w:spacing w:val="2"/>
                            <w:sz w:val="17"/>
                          </w:rPr>
                          <w:t xml:space="preserve"> </w:t>
                        </w:r>
                        <w:r>
                          <w:rPr>
                            <w:sz w:val="17"/>
                          </w:rPr>
                          <w:t>libre,</w:t>
                        </w:r>
                        <w:r>
                          <w:rPr>
                            <w:spacing w:val="2"/>
                            <w:sz w:val="17"/>
                          </w:rPr>
                          <w:t xml:space="preserve"> </w:t>
                        </w:r>
                        <w:r>
                          <w:rPr>
                            <w:sz w:val="17"/>
                          </w:rPr>
                          <w:t>previo</w:t>
                        </w:r>
                        <w:r>
                          <w:rPr>
                            <w:spacing w:val="2"/>
                            <w:sz w:val="17"/>
                          </w:rPr>
                          <w:t xml:space="preserve"> </w:t>
                        </w:r>
                        <w:r>
                          <w:rPr>
                            <w:sz w:val="17"/>
                          </w:rPr>
                          <w:t>e</w:t>
                        </w:r>
                        <w:r>
                          <w:rPr>
                            <w:spacing w:val="2"/>
                            <w:sz w:val="17"/>
                          </w:rPr>
                          <w:t xml:space="preserve"> </w:t>
                        </w:r>
                        <w:r>
                          <w:rPr>
                            <w:sz w:val="17"/>
                          </w:rPr>
                          <w:t>informado</w:t>
                        </w:r>
                        <w:r>
                          <w:rPr>
                            <w:spacing w:val="1"/>
                            <w:sz w:val="17"/>
                          </w:rPr>
                          <w:t xml:space="preserve"> </w:t>
                        </w:r>
                        <w:r>
                          <w:rPr>
                            <w:sz w:val="17"/>
                          </w:rPr>
                          <w:t>de</w:t>
                        </w:r>
                        <w:r>
                          <w:rPr>
                            <w:spacing w:val="2"/>
                            <w:sz w:val="17"/>
                          </w:rPr>
                          <w:t xml:space="preserve"> </w:t>
                        </w:r>
                        <w:r>
                          <w:rPr>
                            <w:sz w:val="17"/>
                          </w:rPr>
                          <w:t>los</w:t>
                        </w:r>
                        <w:r>
                          <w:rPr>
                            <w:spacing w:val="1"/>
                            <w:sz w:val="17"/>
                          </w:rPr>
                          <w:t xml:space="preserve"> </w:t>
                        </w:r>
                        <w:r>
                          <w:rPr>
                            <w:sz w:val="17"/>
                          </w:rPr>
                          <w:t>pueblos</w:t>
                        </w:r>
                        <w:r>
                          <w:rPr>
                            <w:spacing w:val="2"/>
                            <w:sz w:val="17"/>
                          </w:rPr>
                          <w:t xml:space="preserve"> </w:t>
                        </w:r>
                        <w:r>
                          <w:rPr>
                            <w:sz w:val="17"/>
                          </w:rPr>
                          <w:t>indígenas</w:t>
                        </w:r>
                        <w:r>
                          <w:rPr>
                            <w:spacing w:val="2"/>
                            <w:sz w:val="17"/>
                          </w:rPr>
                          <w:t xml:space="preserve"> </w:t>
                        </w:r>
                        <w:r>
                          <w:rPr>
                            <w:spacing w:val="-2"/>
                            <w:sz w:val="17"/>
                          </w:rPr>
                          <w:t>interesados.</w:t>
                        </w:r>
                      </w:p>
                    </w:txbxContent>
                  </v:textbox>
                </v:shape>
                <w10:wrap type="topAndBottom" anchorx="page"/>
              </v:group>
            </w:pict>
          </mc:Fallback>
        </mc:AlternateContent>
      </w:r>
    </w:p>
    <w:p w14:paraId="7DC2F9C3" w14:textId="77777777" w:rsidR="0014798C" w:rsidRDefault="0014798C">
      <w:pPr>
        <w:pStyle w:val="Textoindependiente"/>
        <w:rPr>
          <w:sz w:val="18"/>
        </w:rPr>
      </w:pPr>
    </w:p>
    <w:p w14:paraId="3BF49ED5" w14:textId="77777777" w:rsidR="0014798C" w:rsidRDefault="0014798C">
      <w:pPr>
        <w:pStyle w:val="Textoindependiente"/>
        <w:rPr>
          <w:sz w:val="18"/>
        </w:rPr>
      </w:pPr>
    </w:p>
    <w:p w14:paraId="327E27EC" w14:textId="77777777" w:rsidR="0014798C" w:rsidRDefault="0014798C">
      <w:pPr>
        <w:pStyle w:val="Textoindependiente"/>
        <w:rPr>
          <w:sz w:val="18"/>
        </w:rPr>
      </w:pPr>
    </w:p>
    <w:p w14:paraId="2CCE5AB5" w14:textId="77777777" w:rsidR="0014798C" w:rsidRDefault="0014798C">
      <w:pPr>
        <w:pStyle w:val="Textoindependiente"/>
        <w:rPr>
          <w:sz w:val="18"/>
        </w:rPr>
      </w:pPr>
    </w:p>
    <w:p w14:paraId="037AA0A8" w14:textId="77777777" w:rsidR="0014798C" w:rsidRDefault="0014798C">
      <w:pPr>
        <w:pStyle w:val="Textoindependiente"/>
        <w:rPr>
          <w:sz w:val="18"/>
        </w:rPr>
      </w:pPr>
    </w:p>
    <w:p w14:paraId="12720AC6" w14:textId="77777777" w:rsidR="0014798C" w:rsidRDefault="0014798C">
      <w:pPr>
        <w:pStyle w:val="Textoindependiente"/>
        <w:rPr>
          <w:sz w:val="18"/>
        </w:rPr>
      </w:pPr>
    </w:p>
    <w:p w14:paraId="3C141B2E" w14:textId="77777777" w:rsidR="0014798C" w:rsidRDefault="0014798C">
      <w:pPr>
        <w:pStyle w:val="Textoindependiente"/>
        <w:rPr>
          <w:sz w:val="18"/>
        </w:rPr>
      </w:pPr>
    </w:p>
    <w:p w14:paraId="5CA1E683" w14:textId="70D392B8" w:rsidR="0014798C" w:rsidRPr="002B051F" w:rsidRDefault="0014798C">
      <w:pPr>
        <w:spacing w:before="76"/>
        <w:ind w:left="113"/>
        <w:rPr>
          <w:sz w:val="21"/>
          <w:lang w:val="es-CR"/>
        </w:rPr>
      </w:pPr>
    </w:p>
    <w:p w14:paraId="4A151BDC" w14:textId="77777777" w:rsidR="0014798C" w:rsidRPr="002B051F" w:rsidRDefault="0014798C">
      <w:pPr>
        <w:pStyle w:val="Textoindependiente"/>
        <w:rPr>
          <w:sz w:val="27"/>
          <w:lang w:val="es-CR"/>
        </w:rPr>
      </w:pPr>
    </w:p>
    <w:p w14:paraId="26DAB2D2" w14:textId="77777777" w:rsidR="0014798C" w:rsidRPr="002B051F" w:rsidRDefault="0014798C">
      <w:pPr>
        <w:pStyle w:val="Textoindependiente"/>
        <w:rPr>
          <w:sz w:val="27"/>
          <w:lang w:val="es-CR"/>
        </w:rPr>
      </w:pPr>
    </w:p>
    <w:p w14:paraId="2F0AEB58" w14:textId="77777777" w:rsidR="0014798C" w:rsidRPr="002B051F" w:rsidRDefault="0014798C">
      <w:pPr>
        <w:pStyle w:val="Textoindependiente"/>
        <w:rPr>
          <w:sz w:val="27"/>
          <w:lang w:val="es-CR"/>
        </w:rPr>
      </w:pPr>
    </w:p>
    <w:p w14:paraId="50F36CA1" w14:textId="77777777" w:rsidR="0014798C" w:rsidRPr="002B051F" w:rsidRDefault="0014798C">
      <w:pPr>
        <w:pStyle w:val="Textoindependiente"/>
        <w:rPr>
          <w:sz w:val="27"/>
          <w:lang w:val="es-CR"/>
        </w:rPr>
      </w:pPr>
    </w:p>
    <w:p w14:paraId="259B3847" w14:textId="77777777" w:rsidR="0014798C" w:rsidRPr="002B051F" w:rsidRDefault="0014798C">
      <w:pPr>
        <w:pStyle w:val="Textoindependiente"/>
        <w:rPr>
          <w:sz w:val="27"/>
          <w:lang w:val="es-CR"/>
        </w:rPr>
      </w:pPr>
    </w:p>
    <w:p w14:paraId="4ECAC2D3" w14:textId="77777777" w:rsidR="0014798C" w:rsidRPr="002B051F" w:rsidRDefault="0014798C">
      <w:pPr>
        <w:pStyle w:val="Textoindependiente"/>
        <w:rPr>
          <w:sz w:val="27"/>
          <w:lang w:val="es-CR"/>
        </w:rPr>
      </w:pPr>
    </w:p>
    <w:p w14:paraId="53A0F9FC" w14:textId="77777777" w:rsidR="0014798C" w:rsidRPr="002B051F" w:rsidRDefault="0014798C">
      <w:pPr>
        <w:pStyle w:val="Textoindependiente"/>
        <w:rPr>
          <w:sz w:val="27"/>
          <w:lang w:val="es-CR"/>
        </w:rPr>
      </w:pPr>
    </w:p>
    <w:p w14:paraId="61A31083" w14:textId="77777777" w:rsidR="0014798C" w:rsidRPr="002B051F" w:rsidRDefault="0014798C">
      <w:pPr>
        <w:pStyle w:val="Textoindependiente"/>
        <w:rPr>
          <w:sz w:val="27"/>
          <w:lang w:val="es-CR"/>
        </w:rPr>
      </w:pPr>
    </w:p>
    <w:p w14:paraId="47BD54DF" w14:textId="77777777" w:rsidR="0014798C" w:rsidRPr="002B051F" w:rsidRDefault="0014798C">
      <w:pPr>
        <w:pStyle w:val="Textoindependiente"/>
        <w:rPr>
          <w:sz w:val="27"/>
          <w:lang w:val="es-CR"/>
        </w:rPr>
      </w:pPr>
    </w:p>
    <w:p w14:paraId="456DBC56" w14:textId="77777777" w:rsidR="0014798C" w:rsidRPr="002B051F" w:rsidRDefault="0014798C">
      <w:pPr>
        <w:pStyle w:val="Textoindependiente"/>
        <w:rPr>
          <w:sz w:val="27"/>
          <w:lang w:val="es-CR"/>
        </w:rPr>
      </w:pPr>
    </w:p>
    <w:p w14:paraId="1DDF1A78" w14:textId="77777777" w:rsidR="0014798C" w:rsidRPr="002B051F" w:rsidRDefault="0014798C">
      <w:pPr>
        <w:pStyle w:val="Textoindependiente"/>
        <w:rPr>
          <w:sz w:val="27"/>
          <w:lang w:val="es-CR"/>
        </w:rPr>
      </w:pPr>
    </w:p>
    <w:p w14:paraId="13071E4D" w14:textId="77777777" w:rsidR="0014798C" w:rsidRPr="002B051F" w:rsidRDefault="0014798C">
      <w:pPr>
        <w:pStyle w:val="Textoindependiente"/>
        <w:rPr>
          <w:sz w:val="27"/>
          <w:lang w:val="es-CR"/>
        </w:rPr>
      </w:pPr>
    </w:p>
    <w:p w14:paraId="13222600" w14:textId="77777777" w:rsidR="0014798C" w:rsidRPr="002B051F" w:rsidRDefault="0014798C">
      <w:pPr>
        <w:pStyle w:val="Textoindependiente"/>
        <w:rPr>
          <w:sz w:val="27"/>
          <w:lang w:val="es-CR"/>
        </w:rPr>
      </w:pPr>
    </w:p>
    <w:p w14:paraId="2018800E" w14:textId="77777777" w:rsidR="0014798C" w:rsidRPr="002B051F" w:rsidRDefault="0014798C">
      <w:pPr>
        <w:pStyle w:val="Textoindependiente"/>
        <w:rPr>
          <w:sz w:val="27"/>
          <w:lang w:val="es-CR"/>
        </w:rPr>
      </w:pPr>
    </w:p>
    <w:p w14:paraId="66F55973" w14:textId="77777777" w:rsidR="0014798C" w:rsidRPr="002B051F" w:rsidRDefault="0014798C">
      <w:pPr>
        <w:pStyle w:val="Textoindependiente"/>
        <w:rPr>
          <w:sz w:val="27"/>
          <w:lang w:val="es-CR"/>
        </w:rPr>
      </w:pPr>
    </w:p>
    <w:p w14:paraId="6D756BBD" w14:textId="77777777" w:rsidR="0014798C" w:rsidRPr="002B051F" w:rsidRDefault="0014798C">
      <w:pPr>
        <w:pStyle w:val="Textoindependiente"/>
        <w:rPr>
          <w:sz w:val="27"/>
          <w:lang w:val="es-CR"/>
        </w:rPr>
      </w:pPr>
    </w:p>
    <w:p w14:paraId="4CB31F21" w14:textId="77777777" w:rsidR="0014798C" w:rsidRPr="002B051F" w:rsidRDefault="0014798C">
      <w:pPr>
        <w:pStyle w:val="Textoindependiente"/>
        <w:rPr>
          <w:sz w:val="27"/>
          <w:lang w:val="es-CR"/>
        </w:rPr>
      </w:pPr>
    </w:p>
    <w:p w14:paraId="0EBE1D5E" w14:textId="77777777" w:rsidR="0014798C" w:rsidRPr="002B051F" w:rsidRDefault="0014798C">
      <w:pPr>
        <w:pStyle w:val="Textoindependiente"/>
        <w:rPr>
          <w:sz w:val="27"/>
          <w:lang w:val="es-CR"/>
        </w:rPr>
      </w:pPr>
    </w:p>
    <w:p w14:paraId="2E79539A" w14:textId="77777777" w:rsidR="0014798C" w:rsidRPr="002B051F" w:rsidRDefault="0014798C">
      <w:pPr>
        <w:pStyle w:val="Textoindependiente"/>
        <w:rPr>
          <w:sz w:val="27"/>
          <w:lang w:val="es-CR"/>
        </w:rPr>
      </w:pPr>
    </w:p>
    <w:p w14:paraId="7F88F41D" w14:textId="77777777" w:rsidR="0014798C" w:rsidRPr="002B051F" w:rsidRDefault="0014798C">
      <w:pPr>
        <w:pStyle w:val="Textoindependiente"/>
        <w:rPr>
          <w:sz w:val="27"/>
          <w:lang w:val="es-CR"/>
        </w:rPr>
      </w:pPr>
    </w:p>
    <w:p w14:paraId="4409ED14" w14:textId="77777777" w:rsidR="0014798C" w:rsidRPr="002B051F" w:rsidRDefault="0014798C">
      <w:pPr>
        <w:pStyle w:val="Textoindependiente"/>
        <w:rPr>
          <w:sz w:val="27"/>
          <w:lang w:val="es-CR"/>
        </w:rPr>
      </w:pPr>
    </w:p>
    <w:p w14:paraId="4BD8EB83" w14:textId="77777777" w:rsidR="0014798C" w:rsidRPr="002B051F" w:rsidRDefault="0014798C">
      <w:pPr>
        <w:pStyle w:val="Textoindependiente"/>
        <w:rPr>
          <w:sz w:val="27"/>
          <w:lang w:val="es-CR"/>
        </w:rPr>
      </w:pPr>
    </w:p>
    <w:p w14:paraId="5BCFD2DC" w14:textId="77777777" w:rsidR="0014798C" w:rsidRPr="002B051F" w:rsidRDefault="0014798C">
      <w:pPr>
        <w:pStyle w:val="Textoindependiente"/>
        <w:rPr>
          <w:sz w:val="27"/>
          <w:lang w:val="es-CR"/>
        </w:rPr>
      </w:pPr>
    </w:p>
    <w:p w14:paraId="4ED92CB2" w14:textId="3F9050EE" w:rsidR="0014798C" w:rsidRPr="00437A69" w:rsidRDefault="00437A69">
      <w:pPr>
        <w:pStyle w:val="Textoindependiente"/>
        <w:rPr>
          <w:sz w:val="27"/>
          <w:lang w:val="es-CR"/>
        </w:rPr>
      </w:pPr>
      <w:r>
        <w:rPr>
          <w:noProof/>
        </w:rPr>
        <w:lastRenderedPageBreak/>
        <w:drawing>
          <wp:anchor distT="0" distB="0" distL="0" distR="0" simplePos="0" relativeHeight="251658478" behindDoc="1" locked="0" layoutInCell="1" allowOverlap="1" wp14:anchorId="0759D00B" wp14:editId="1E7D9D12">
            <wp:simplePos x="0" y="0"/>
            <wp:positionH relativeFrom="margin">
              <wp:align>left</wp:align>
            </wp:positionH>
            <wp:positionV relativeFrom="page">
              <wp:align>top</wp:align>
            </wp:positionV>
            <wp:extent cx="7556500" cy="10680700"/>
            <wp:effectExtent l="0" t="0" r="6350" b="6350"/>
            <wp:wrapNone/>
            <wp:docPr id="334" name="Image 33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34" name="Image 334"/>
                    <pic:cNvPicPr/>
                  </pic:nvPicPr>
                  <pic:blipFill>
                    <a:blip r:embed="rId311" cstate="print"/>
                    <a:stretch>
                      <a:fillRect/>
                    </a:stretch>
                  </pic:blipFill>
                  <pic:spPr>
                    <a:xfrm>
                      <a:off x="0" y="0"/>
                      <a:ext cx="7556500" cy="10680700"/>
                    </a:xfrm>
                    <a:prstGeom prst="rect">
                      <a:avLst/>
                    </a:prstGeom>
                  </pic:spPr>
                </pic:pic>
              </a:graphicData>
            </a:graphic>
          </wp:anchor>
        </w:drawing>
      </w:r>
    </w:p>
    <w:p w14:paraId="7C947C48" w14:textId="77777777" w:rsidR="0014798C" w:rsidRPr="00437A69" w:rsidRDefault="0014798C">
      <w:pPr>
        <w:pStyle w:val="Textoindependiente"/>
        <w:rPr>
          <w:sz w:val="27"/>
          <w:lang w:val="es-CR"/>
        </w:rPr>
      </w:pPr>
    </w:p>
    <w:p w14:paraId="6770CB44" w14:textId="77777777" w:rsidR="0014798C" w:rsidRPr="00437A69" w:rsidRDefault="0014798C">
      <w:pPr>
        <w:pStyle w:val="Textoindependiente"/>
        <w:rPr>
          <w:sz w:val="27"/>
          <w:lang w:val="es-CR"/>
        </w:rPr>
      </w:pPr>
    </w:p>
    <w:p w14:paraId="6D32EC4E" w14:textId="77777777" w:rsidR="0014798C" w:rsidRPr="00437A69" w:rsidRDefault="0014798C">
      <w:pPr>
        <w:pStyle w:val="Textoindependiente"/>
        <w:rPr>
          <w:sz w:val="27"/>
          <w:lang w:val="es-CR"/>
        </w:rPr>
      </w:pPr>
    </w:p>
    <w:p w14:paraId="55A06F29" w14:textId="77777777" w:rsidR="0014798C" w:rsidRPr="00437A69" w:rsidRDefault="0014798C">
      <w:pPr>
        <w:pStyle w:val="Textoindependiente"/>
        <w:rPr>
          <w:sz w:val="27"/>
          <w:lang w:val="es-CR"/>
        </w:rPr>
      </w:pPr>
    </w:p>
    <w:p w14:paraId="06D5576F" w14:textId="77777777" w:rsidR="0014798C" w:rsidRPr="00437A69" w:rsidRDefault="0014798C">
      <w:pPr>
        <w:pStyle w:val="Textoindependiente"/>
        <w:rPr>
          <w:sz w:val="27"/>
          <w:lang w:val="es-CR"/>
        </w:rPr>
      </w:pPr>
    </w:p>
    <w:p w14:paraId="4187E124" w14:textId="77777777" w:rsidR="0014798C" w:rsidRPr="00437A69" w:rsidRDefault="0014798C">
      <w:pPr>
        <w:pStyle w:val="Textoindependiente"/>
        <w:rPr>
          <w:sz w:val="27"/>
          <w:lang w:val="es-CR"/>
        </w:rPr>
      </w:pPr>
    </w:p>
    <w:p w14:paraId="14D4F52D" w14:textId="77777777" w:rsidR="0014798C" w:rsidRPr="00437A69" w:rsidRDefault="0014798C">
      <w:pPr>
        <w:pStyle w:val="Textoindependiente"/>
        <w:rPr>
          <w:sz w:val="27"/>
          <w:lang w:val="es-CR"/>
        </w:rPr>
      </w:pPr>
    </w:p>
    <w:p w14:paraId="48CE83AF" w14:textId="77777777" w:rsidR="0014798C" w:rsidRPr="00437A69" w:rsidRDefault="0014798C">
      <w:pPr>
        <w:pStyle w:val="Textoindependiente"/>
        <w:rPr>
          <w:sz w:val="27"/>
          <w:lang w:val="es-CR"/>
        </w:rPr>
      </w:pPr>
    </w:p>
    <w:p w14:paraId="359E9D3A" w14:textId="77777777" w:rsidR="0014798C" w:rsidRPr="00437A69" w:rsidRDefault="0014798C">
      <w:pPr>
        <w:pStyle w:val="Textoindependiente"/>
        <w:rPr>
          <w:sz w:val="27"/>
          <w:lang w:val="es-CR"/>
        </w:rPr>
      </w:pPr>
    </w:p>
    <w:p w14:paraId="21028CF1" w14:textId="77777777" w:rsidR="0014798C" w:rsidRPr="00437A69" w:rsidRDefault="0014798C">
      <w:pPr>
        <w:pStyle w:val="Textoindependiente"/>
        <w:rPr>
          <w:sz w:val="27"/>
          <w:lang w:val="es-CR"/>
        </w:rPr>
      </w:pPr>
    </w:p>
    <w:p w14:paraId="79E5CF57" w14:textId="77777777" w:rsidR="0014798C" w:rsidRPr="00437A69" w:rsidRDefault="0014798C">
      <w:pPr>
        <w:pStyle w:val="Textoindependiente"/>
        <w:rPr>
          <w:sz w:val="27"/>
          <w:lang w:val="es-CR"/>
        </w:rPr>
      </w:pPr>
    </w:p>
    <w:p w14:paraId="00503BFD" w14:textId="77777777" w:rsidR="0014798C" w:rsidRPr="00437A69" w:rsidRDefault="0014798C">
      <w:pPr>
        <w:pStyle w:val="Textoindependiente"/>
        <w:rPr>
          <w:sz w:val="27"/>
          <w:lang w:val="es-CR"/>
        </w:rPr>
      </w:pPr>
    </w:p>
    <w:p w14:paraId="211A044C" w14:textId="77777777" w:rsidR="0014798C" w:rsidRPr="00437A69" w:rsidRDefault="0014798C">
      <w:pPr>
        <w:pStyle w:val="Textoindependiente"/>
        <w:rPr>
          <w:sz w:val="27"/>
          <w:lang w:val="es-CR"/>
        </w:rPr>
      </w:pPr>
    </w:p>
    <w:p w14:paraId="7E23919A" w14:textId="77777777" w:rsidR="0014798C" w:rsidRPr="00437A69" w:rsidRDefault="0014798C">
      <w:pPr>
        <w:pStyle w:val="Textoindependiente"/>
        <w:rPr>
          <w:sz w:val="27"/>
          <w:lang w:val="es-CR"/>
        </w:rPr>
      </w:pPr>
    </w:p>
    <w:p w14:paraId="3595BFCD" w14:textId="77777777" w:rsidR="0014798C" w:rsidRPr="00437A69" w:rsidRDefault="0014798C">
      <w:pPr>
        <w:pStyle w:val="Textoindependiente"/>
        <w:rPr>
          <w:sz w:val="27"/>
          <w:lang w:val="es-CR"/>
        </w:rPr>
      </w:pPr>
    </w:p>
    <w:p w14:paraId="4CEBE2E1" w14:textId="77777777" w:rsidR="0014798C" w:rsidRPr="00437A69" w:rsidRDefault="0014798C">
      <w:pPr>
        <w:pStyle w:val="Textoindependiente"/>
        <w:rPr>
          <w:sz w:val="27"/>
          <w:lang w:val="es-CR"/>
        </w:rPr>
      </w:pPr>
    </w:p>
    <w:p w14:paraId="106BAF8D" w14:textId="77777777" w:rsidR="0014798C" w:rsidRPr="00437A69" w:rsidRDefault="0014798C">
      <w:pPr>
        <w:pStyle w:val="Textoindependiente"/>
        <w:rPr>
          <w:sz w:val="27"/>
          <w:lang w:val="es-CR"/>
        </w:rPr>
      </w:pPr>
    </w:p>
    <w:p w14:paraId="0E3A7796" w14:textId="77777777" w:rsidR="0014798C" w:rsidRPr="00437A69" w:rsidRDefault="0014798C">
      <w:pPr>
        <w:pStyle w:val="Textoindependiente"/>
        <w:rPr>
          <w:sz w:val="27"/>
          <w:lang w:val="es-CR"/>
        </w:rPr>
      </w:pPr>
    </w:p>
    <w:p w14:paraId="740A7447" w14:textId="77777777" w:rsidR="0014798C" w:rsidRPr="00437A69" w:rsidRDefault="0014798C">
      <w:pPr>
        <w:pStyle w:val="Textoindependiente"/>
        <w:rPr>
          <w:sz w:val="27"/>
          <w:lang w:val="es-CR"/>
        </w:rPr>
      </w:pPr>
    </w:p>
    <w:p w14:paraId="501BD03D" w14:textId="77777777" w:rsidR="0014798C" w:rsidRPr="00437A69" w:rsidRDefault="0014798C">
      <w:pPr>
        <w:pStyle w:val="Textoindependiente"/>
        <w:spacing w:before="106"/>
        <w:rPr>
          <w:sz w:val="27"/>
          <w:lang w:val="es-CR"/>
        </w:rPr>
      </w:pPr>
    </w:p>
    <w:p w14:paraId="40BD2CCF" w14:textId="77777777" w:rsidR="001C4E4F" w:rsidRDefault="001C4E4F">
      <w:pPr>
        <w:ind w:left="1188"/>
        <w:rPr>
          <w:b/>
          <w:bCs/>
          <w:color w:val="FFFFFF" w:themeColor="background1"/>
          <w:sz w:val="40"/>
          <w:szCs w:val="40"/>
          <w:highlight w:val="darkCyan"/>
        </w:rPr>
      </w:pPr>
    </w:p>
    <w:p w14:paraId="5115C98B" w14:textId="77777777" w:rsidR="001C4E4F" w:rsidRDefault="001C4E4F">
      <w:pPr>
        <w:ind w:left="1188"/>
        <w:rPr>
          <w:b/>
          <w:bCs/>
          <w:color w:val="FFFFFF" w:themeColor="background1"/>
          <w:sz w:val="40"/>
          <w:szCs w:val="40"/>
          <w:highlight w:val="darkCyan"/>
        </w:rPr>
      </w:pPr>
    </w:p>
    <w:p w14:paraId="2D22767C" w14:textId="77777777" w:rsidR="001C4E4F" w:rsidRDefault="001C4E4F">
      <w:pPr>
        <w:ind w:left="1188"/>
        <w:rPr>
          <w:b/>
          <w:bCs/>
          <w:color w:val="FFFFFF" w:themeColor="background1"/>
          <w:sz w:val="40"/>
          <w:szCs w:val="40"/>
          <w:highlight w:val="darkCyan"/>
        </w:rPr>
      </w:pPr>
    </w:p>
    <w:p w14:paraId="081814CD" w14:textId="77777777" w:rsidR="001C4E4F" w:rsidRDefault="001C4E4F">
      <w:pPr>
        <w:ind w:left="1188"/>
        <w:rPr>
          <w:b/>
          <w:bCs/>
          <w:color w:val="FFFFFF" w:themeColor="background1"/>
          <w:sz w:val="40"/>
          <w:szCs w:val="40"/>
          <w:highlight w:val="darkCyan"/>
        </w:rPr>
      </w:pPr>
    </w:p>
    <w:p w14:paraId="783D1DB0" w14:textId="77777777" w:rsidR="001C4E4F" w:rsidRDefault="001C4E4F">
      <w:pPr>
        <w:ind w:left="1188"/>
        <w:rPr>
          <w:b/>
          <w:bCs/>
          <w:color w:val="FFFFFF" w:themeColor="background1"/>
          <w:sz w:val="40"/>
          <w:szCs w:val="40"/>
          <w:highlight w:val="darkCyan"/>
        </w:rPr>
      </w:pPr>
    </w:p>
    <w:p w14:paraId="7B5DCC4D" w14:textId="77777777" w:rsidR="001C4E4F" w:rsidRDefault="001C4E4F">
      <w:pPr>
        <w:ind w:left="1188"/>
        <w:rPr>
          <w:b/>
          <w:bCs/>
          <w:color w:val="FFFFFF" w:themeColor="background1"/>
          <w:sz w:val="40"/>
          <w:szCs w:val="40"/>
          <w:highlight w:val="darkCyan"/>
        </w:rPr>
      </w:pPr>
    </w:p>
    <w:p w14:paraId="6955EBAC" w14:textId="77777777" w:rsidR="001C4E4F" w:rsidRDefault="001C4E4F">
      <w:pPr>
        <w:ind w:left="1188"/>
        <w:rPr>
          <w:b/>
          <w:bCs/>
          <w:color w:val="FFFFFF" w:themeColor="background1"/>
          <w:sz w:val="40"/>
          <w:szCs w:val="40"/>
          <w:highlight w:val="darkCyan"/>
        </w:rPr>
      </w:pPr>
    </w:p>
    <w:p w14:paraId="31874342" w14:textId="77777777" w:rsidR="001C4E4F" w:rsidRDefault="001C4E4F">
      <w:pPr>
        <w:ind w:left="1188"/>
        <w:rPr>
          <w:b/>
          <w:bCs/>
          <w:color w:val="FFFFFF" w:themeColor="background1"/>
          <w:sz w:val="40"/>
          <w:szCs w:val="40"/>
          <w:highlight w:val="darkCyan"/>
        </w:rPr>
      </w:pPr>
    </w:p>
    <w:p w14:paraId="0C6CE707" w14:textId="77777777" w:rsidR="001C4E4F" w:rsidRDefault="001C4E4F">
      <w:pPr>
        <w:ind w:left="1188"/>
        <w:rPr>
          <w:b/>
          <w:bCs/>
          <w:color w:val="FFFFFF" w:themeColor="background1"/>
          <w:sz w:val="40"/>
          <w:szCs w:val="40"/>
          <w:highlight w:val="darkCyan"/>
        </w:rPr>
      </w:pPr>
    </w:p>
    <w:p w14:paraId="7B1FCA68" w14:textId="77777777" w:rsidR="001C4E4F" w:rsidRDefault="001C4E4F">
      <w:pPr>
        <w:ind w:left="1188"/>
        <w:rPr>
          <w:b/>
          <w:bCs/>
          <w:color w:val="FFFFFF" w:themeColor="background1"/>
          <w:sz w:val="40"/>
          <w:szCs w:val="40"/>
          <w:highlight w:val="darkCyan"/>
        </w:rPr>
      </w:pPr>
    </w:p>
    <w:p w14:paraId="0C71343B" w14:textId="77777777" w:rsidR="001C4E4F" w:rsidRDefault="001C4E4F">
      <w:pPr>
        <w:ind w:left="1188"/>
        <w:rPr>
          <w:b/>
          <w:bCs/>
          <w:color w:val="FFFFFF" w:themeColor="background1"/>
          <w:sz w:val="40"/>
          <w:szCs w:val="40"/>
          <w:highlight w:val="darkCyan"/>
        </w:rPr>
      </w:pPr>
    </w:p>
    <w:p w14:paraId="4A993D3C" w14:textId="77777777" w:rsidR="001C4E4F" w:rsidRDefault="001C4E4F">
      <w:pPr>
        <w:ind w:left="1188"/>
        <w:rPr>
          <w:b/>
          <w:bCs/>
          <w:color w:val="FFFFFF" w:themeColor="background1"/>
          <w:sz w:val="40"/>
          <w:szCs w:val="40"/>
          <w:highlight w:val="darkCyan"/>
        </w:rPr>
      </w:pPr>
    </w:p>
    <w:p w14:paraId="6A1B5F12" w14:textId="77777777" w:rsidR="001C4E4F" w:rsidRDefault="001C4E4F">
      <w:pPr>
        <w:ind w:left="1188"/>
        <w:rPr>
          <w:b/>
          <w:bCs/>
          <w:color w:val="FFFFFF" w:themeColor="background1"/>
          <w:sz w:val="40"/>
          <w:szCs w:val="40"/>
          <w:highlight w:val="darkCyan"/>
        </w:rPr>
      </w:pPr>
    </w:p>
    <w:p w14:paraId="2765A8AB" w14:textId="77777777" w:rsidR="001C4E4F" w:rsidRDefault="001C4E4F">
      <w:pPr>
        <w:ind w:left="1188"/>
        <w:rPr>
          <w:b/>
          <w:bCs/>
          <w:color w:val="FFFFFF" w:themeColor="background1"/>
          <w:sz w:val="40"/>
          <w:szCs w:val="40"/>
          <w:highlight w:val="darkCyan"/>
        </w:rPr>
      </w:pPr>
    </w:p>
    <w:p w14:paraId="7C858AE3" w14:textId="77777777" w:rsidR="001C4E4F" w:rsidRDefault="001C4E4F">
      <w:pPr>
        <w:ind w:left="1188"/>
        <w:rPr>
          <w:b/>
          <w:bCs/>
          <w:color w:val="FFFFFF" w:themeColor="background1"/>
          <w:sz w:val="40"/>
          <w:szCs w:val="40"/>
          <w:highlight w:val="darkCyan"/>
        </w:rPr>
      </w:pPr>
    </w:p>
    <w:p w14:paraId="48ADC9DD" w14:textId="77777777" w:rsidR="001C4E4F" w:rsidRDefault="001C4E4F">
      <w:pPr>
        <w:ind w:left="1188"/>
        <w:rPr>
          <w:b/>
          <w:bCs/>
          <w:color w:val="FFFFFF" w:themeColor="background1"/>
          <w:sz w:val="40"/>
          <w:szCs w:val="40"/>
          <w:highlight w:val="darkCyan"/>
        </w:rPr>
      </w:pPr>
    </w:p>
    <w:p w14:paraId="56108528" w14:textId="4E25FD80" w:rsidR="0014798C" w:rsidRPr="003D2572" w:rsidRDefault="004E1F0B">
      <w:pPr>
        <w:ind w:left="1188"/>
        <w:rPr>
          <w:b/>
          <w:bCs/>
          <w:color w:val="FFFFFF" w:themeColor="background1"/>
          <w:sz w:val="44"/>
          <w:szCs w:val="44"/>
          <w:highlight w:val="darkBlue"/>
        </w:rPr>
      </w:pPr>
      <w:bookmarkStart w:id="30" w:name="odio"/>
      <w:r w:rsidRPr="003D2572">
        <w:rPr>
          <w:b/>
          <w:bCs/>
          <w:color w:val="FFFFFF" w:themeColor="background1"/>
          <w:sz w:val="44"/>
          <w:szCs w:val="44"/>
          <w:highlight w:val="darkBlue"/>
        </w:rPr>
        <w:t>PARTE</w:t>
      </w:r>
      <w:r w:rsidRPr="003D2572">
        <w:rPr>
          <w:b/>
          <w:bCs/>
          <w:color w:val="FFFFFF" w:themeColor="background1"/>
          <w:spacing w:val="-4"/>
          <w:sz w:val="44"/>
          <w:szCs w:val="44"/>
          <w:highlight w:val="darkBlue"/>
        </w:rPr>
        <w:t xml:space="preserve"> </w:t>
      </w:r>
      <w:r w:rsidRPr="003D2572">
        <w:rPr>
          <w:b/>
          <w:bCs/>
          <w:color w:val="FFFFFF" w:themeColor="background1"/>
          <w:spacing w:val="-2"/>
          <w:sz w:val="44"/>
          <w:szCs w:val="44"/>
          <w:highlight w:val="darkBlue"/>
        </w:rPr>
        <w:t>CUATRO:</w:t>
      </w:r>
    </w:p>
    <w:p w14:paraId="3F353BC7" w14:textId="237931A6" w:rsidR="0014798C" w:rsidRPr="003D2572" w:rsidRDefault="004E1F0B" w:rsidP="001C4E4F">
      <w:pPr>
        <w:pStyle w:val="Ttulo3"/>
        <w:spacing w:before="273"/>
        <w:ind w:left="1132"/>
        <w:rPr>
          <w:b/>
          <w:bCs/>
          <w:color w:val="FFFFFF" w:themeColor="background1"/>
          <w:sz w:val="40"/>
          <w:szCs w:val="40"/>
          <w:highlight w:val="darkBlue"/>
        </w:rPr>
      </w:pPr>
      <w:r w:rsidRPr="003D2572">
        <w:rPr>
          <w:b/>
          <w:bCs/>
          <w:color w:val="FFFFFF" w:themeColor="background1"/>
          <w:sz w:val="40"/>
          <w:szCs w:val="40"/>
          <w:highlight w:val="darkBlue"/>
        </w:rPr>
        <w:t>VIOLENCIA</w:t>
      </w:r>
      <w:r w:rsidRPr="003D2572">
        <w:rPr>
          <w:b/>
          <w:bCs/>
          <w:color w:val="FFFFFF" w:themeColor="background1"/>
          <w:spacing w:val="-11"/>
          <w:sz w:val="40"/>
          <w:szCs w:val="40"/>
          <w:highlight w:val="darkBlue"/>
        </w:rPr>
        <w:t xml:space="preserve"> </w:t>
      </w:r>
      <w:r w:rsidRPr="003D2572">
        <w:rPr>
          <w:b/>
          <w:bCs/>
          <w:color w:val="FFFFFF" w:themeColor="background1"/>
          <w:sz w:val="40"/>
          <w:szCs w:val="40"/>
          <w:highlight w:val="darkBlue"/>
        </w:rPr>
        <w:t>DISCRIMINATORIA</w:t>
      </w:r>
      <w:r w:rsidR="001C4E4F" w:rsidRPr="003D2572">
        <w:rPr>
          <w:b/>
          <w:bCs/>
          <w:color w:val="FFFFFF" w:themeColor="background1"/>
          <w:sz w:val="40"/>
          <w:szCs w:val="40"/>
          <w:highlight w:val="darkBlue"/>
        </w:rPr>
        <w:t xml:space="preserve"> Y </w:t>
      </w:r>
      <w:r w:rsidRPr="003D2572">
        <w:rPr>
          <w:b/>
          <w:bCs/>
          <w:color w:val="FFFFFF" w:themeColor="background1"/>
          <w:sz w:val="40"/>
          <w:szCs w:val="40"/>
          <w:highlight w:val="darkBlue"/>
        </w:rPr>
        <w:t>CRIMEN</w:t>
      </w:r>
      <w:r w:rsidR="001C4E4F" w:rsidRPr="003D2572">
        <w:rPr>
          <w:b/>
          <w:bCs/>
          <w:color w:val="FFFFFF" w:themeColor="background1"/>
          <w:spacing w:val="-4"/>
          <w:sz w:val="40"/>
          <w:szCs w:val="40"/>
          <w:highlight w:val="darkBlue"/>
        </w:rPr>
        <w:t xml:space="preserve">ES </w:t>
      </w:r>
      <w:r w:rsidRPr="003D2572">
        <w:rPr>
          <w:b/>
          <w:bCs/>
          <w:color w:val="FFFFFF" w:themeColor="background1"/>
          <w:sz w:val="40"/>
          <w:szCs w:val="40"/>
          <w:highlight w:val="darkBlue"/>
        </w:rPr>
        <w:t>DE</w:t>
      </w:r>
      <w:r w:rsidRPr="003D2572">
        <w:rPr>
          <w:b/>
          <w:bCs/>
          <w:color w:val="FFFFFF" w:themeColor="background1"/>
          <w:spacing w:val="-3"/>
          <w:sz w:val="40"/>
          <w:szCs w:val="40"/>
          <w:highlight w:val="darkBlue"/>
        </w:rPr>
        <w:t xml:space="preserve"> </w:t>
      </w:r>
      <w:r w:rsidRPr="003D2572">
        <w:rPr>
          <w:b/>
          <w:bCs/>
          <w:color w:val="FFFFFF" w:themeColor="background1"/>
          <w:spacing w:val="-4"/>
          <w:sz w:val="40"/>
          <w:szCs w:val="40"/>
          <w:highlight w:val="darkBlue"/>
        </w:rPr>
        <w:t>ODIO</w:t>
      </w:r>
    </w:p>
    <w:bookmarkEnd w:id="30"/>
    <w:p w14:paraId="784309AC" w14:textId="77777777" w:rsidR="0014798C" w:rsidRDefault="0014798C">
      <w:pPr>
        <w:sectPr w:rsidR="0014798C" w:rsidSect="00F265E4">
          <w:headerReference w:type="default" r:id="rId312"/>
          <w:pgSz w:w="11900" w:h="16820"/>
          <w:pgMar w:top="40" w:right="0" w:bottom="280" w:left="200" w:header="0" w:footer="0" w:gutter="0"/>
          <w:cols w:space="720"/>
        </w:sectPr>
      </w:pPr>
    </w:p>
    <w:p w14:paraId="3ED6F728" w14:textId="77777777" w:rsidR="0014798C" w:rsidRDefault="004E1F0B">
      <w:pPr>
        <w:pStyle w:val="Textoindependiente"/>
        <w:spacing w:before="76"/>
        <w:rPr>
          <w:sz w:val="12"/>
        </w:rPr>
      </w:pPr>
      <w:r>
        <w:rPr>
          <w:noProof/>
        </w:rPr>
        <w:lastRenderedPageBreak/>
        <w:drawing>
          <wp:anchor distT="0" distB="0" distL="0" distR="0" simplePos="0" relativeHeight="251658479" behindDoc="1" locked="0" layoutInCell="1" allowOverlap="1" wp14:anchorId="539CE444" wp14:editId="44EDF7B8">
            <wp:simplePos x="0" y="0"/>
            <wp:positionH relativeFrom="page">
              <wp:posOffset>0</wp:posOffset>
            </wp:positionH>
            <wp:positionV relativeFrom="page">
              <wp:posOffset>930124</wp:posOffset>
            </wp:positionV>
            <wp:extent cx="7556500" cy="9750575"/>
            <wp:effectExtent l="0" t="0" r="0" b="0"/>
            <wp:wrapNone/>
            <wp:docPr id="336" name="Image 33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36" name="Image 336"/>
                    <pic:cNvPicPr/>
                  </pic:nvPicPr>
                  <pic:blipFill>
                    <a:blip r:embed="rId313" cstate="print"/>
                    <a:stretch>
                      <a:fillRect/>
                    </a:stretch>
                  </pic:blipFill>
                  <pic:spPr>
                    <a:xfrm>
                      <a:off x="0" y="0"/>
                      <a:ext cx="7556500" cy="9750575"/>
                    </a:xfrm>
                    <a:prstGeom prst="rect">
                      <a:avLst/>
                    </a:prstGeom>
                  </pic:spPr>
                </pic:pic>
              </a:graphicData>
            </a:graphic>
          </wp:anchor>
        </w:drawing>
      </w:r>
    </w:p>
    <w:p w14:paraId="57D4941E" w14:textId="77777777" w:rsidR="0014798C" w:rsidRDefault="004E1F0B">
      <w:pPr>
        <w:ind w:left="1111"/>
        <w:rPr>
          <w:sz w:val="12"/>
        </w:rPr>
      </w:pPr>
      <w:r>
        <w:rPr>
          <w:color w:val="E83628"/>
          <w:w w:val="105"/>
          <w:sz w:val="12"/>
        </w:rPr>
        <w:t>CUARTA</w:t>
      </w:r>
      <w:r>
        <w:rPr>
          <w:color w:val="E83628"/>
          <w:spacing w:val="-1"/>
          <w:w w:val="105"/>
          <w:sz w:val="12"/>
        </w:rPr>
        <w:t xml:space="preserve"> </w:t>
      </w:r>
      <w:r>
        <w:rPr>
          <w:color w:val="E83628"/>
          <w:w w:val="105"/>
          <w:sz w:val="12"/>
        </w:rPr>
        <w:t>PARTE:</w:t>
      </w:r>
      <w:r>
        <w:rPr>
          <w:color w:val="E83628"/>
          <w:spacing w:val="-1"/>
          <w:w w:val="105"/>
          <w:sz w:val="12"/>
        </w:rPr>
        <w:t xml:space="preserve"> </w:t>
      </w:r>
      <w:r>
        <w:rPr>
          <w:color w:val="E83628"/>
          <w:w w:val="105"/>
          <w:sz w:val="12"/>
        </w:rPr>
        <w:t>VIOLENCIA</w:t>
      </w:r>
      <w:r>
        <w:rPr>
          <w:color w:val="E83628"/>
          <w:spacing w:val="-1"/>
          <w:w w:val="105"/>
          <w:sz w:val="12"/>
        </w:rPr>
        <w:t xml:space="preserve"> </w:t>
      </w:r>
      <w:r>
        <w:rPr>
          <w:color w:val="E83628"/>
          <w:w w:val="105"/>
          <w:sz w:val="12"/>
        </w:rPr>
        <w:t>DISCRIMINATORIA Y</w:t>
      </w:r>
      <w:r>
        <w:rPr>
          <w:color w:val="E83628"/>
          <w:spacing w:val="-1"/>
          <w:w w:val="105"/>
          <w:sz w:val="12"/>
        </w:rPr>
        <w:t xml:space="preserve"> </w:t>
      </w:r>
      <w:r>
        <w:rPr>
          <w:color w:val="E83628"/>
          <w:w w:val="105"/>
          <w:sz w:val="12"/>
        </w:rPr>
        <w:t>DELITOS</w:t>
      </w:r>
      <w:r>
        <w:rPr>
          <w:color w:val="E83628"/>
          <w:spacing w:val="-1"/>
          <w:w w:val="105"/>
          <w:sz w:val="12"/>
        </w:rPr>
        <w:t xml:space="preserve"> </w:t>
      </w:r>
      <w:r>
        <w:rPr>
          <w:color w:val="E83628"/>
          <w:w w:val="105"/>
          <w:sz w:val="12"/>
        </w:rPr>
        <w:t>DE</w:t>
      </w:r>
      <w:r>
        <w:rPr>
          <w:color w:val="E83628"/>
          <w:spacing w:val="-1"/>
          <w:w w:val="105"/>
          <w:sz w:val="12"/>
        </w:rPr>
        <w:t xml:space="preserve"> </w:t>
      </w:r>
      <w:r>
        <w:rPr>
          <w:color w:val="E83628"/>
          <w:spacing w:val="-4"/>
          <w:w w:val="105"/>
          <w:sz w:val="12"/>
        </w:rPr>
        <w:t>ODIO</w:t>
      </w:r>
    </w:p>
    <w:p w14:paraId="114333E5" w14:textId="77777777" w:rsidR="0014798C" w:rsidRDefault="0014798C">
      <w:pPr>
        <w:pStyle w:val="Textoindependiente"/>
        <w:rPr>
          <w:sz w:val="15"/>
        </w:rPr>
      </w:pPr>
    </w:p>
    <w:p w14:paraId="5A2A885E" w14:textId="77777777" w:rsidR="0014798C" w:rsidRDefault="0014798C">
      <w:pPr>
        <w:pStyle w:val="Textoindependiente"/>
        <w:rPr>
          <w:sz w:val="15"/>
        </w:rPr>
      </w:pPr>
    </w:p>
    <w:p w14:paraId="2CBE767C" w14:textId="77777777" w:rsidR="0014798C" w:rsidRDefault="0014798C">
      <w:pPr>
        <w:pStyle w:val="Textoindependiente"/>
        <w:rPr>
          <w:sz w:val="15"/>
        </w:rPr>
      </w:pPr>
    </w:p>
    <w:p w14:paraId="21D441F3" w14:textId="77777777" w:rsidR="0014798C" w:rsidRDefault="0014798C">
      <w:pPr>
        <w:pStyle w:val="Textoindependiente"/>
        <w:rPr>
          <w:sz w:val="15"/>
        </w:rPr>
      </w:pPr>
    </w:p>
    <w:p w14:paraId="66F2C504" w14:textId="77777777" w:rsidR="0014798C" w:rsidRDefault="0014798C">
      <w:pPr>
        <w:pStyle w:val="Textoindependiente"/>
        <w:spacing w:before="116"/>
        <w:rPr>
          <w:sz w:val="15"/>
        </w:rPr>
      </w:pPr>
    </w:p>
    <w:p w14:paraId="0A7D1E12" w14:textId="77777777" w:rsidR="0014798C" w:rsidRDefault="004E1F0B">
      <w:pPr>
        <w:ind w:left="1335"/>
        <w:rPr>
          <w:sz w:val="15"/>
        </w:rPr>
      </w:pPr>
      <w:r>
        <w:rPr>
          <w:color w:val="FFFFFF"/>
          <w:spacing w:val="-2"/>
          <w:sz w:val="15"/>
        </w:rPr>
        <w:t>RESUMEN</w:t>
      </w:r>
    </w:p>
    <w:p w14:paraId="7CF7566D" w14:textId="77777777" w:rsidR="0014798C" w:rsidRDefault="0014798C">
      <w:pPr>
        <w:pStyle w:val="Textoindependiente"/>
        <w:rPr>
          <w:sz w:val="15"/>
        </w:rPr>
      </w:pPr>
    </w:p>
    <w:p w14:paraId="37BB9526" w14:textId="77777777" w:rsidR="0014798C" w:rsidRDefault="0014798C">
      <w:pPr>
        <w:pStyle w:val="Textoindependiente"/>
        <w:rPr>
          <w:sz w:val="15"/>
        </w:rPr>
      </w:pPr>
    </w:p>
    <w:p w14:paraId="3255AEE5" w14:textId="77777777" w:rsidR="0014798C" w:rsidRDefault="004E1F0B">
      <w:pPr>
        <w:pStyle w:val="Prrafodelista"/>
        <w:numPr>
          <w:ilvl w:val="0"/>
          <w:numId w:val="11"/>
        </w:numPr>
        <w:tabs>
          <w:tab w:val="left" w:pos="1451"/>
        </w:tabs>
        <w:spacing w:before="1"/>
        <w:ind w:left="1451" w:hanging="93"/>
        <w:rPr>
          <w:sz w:val="15"/>
        </w:rPr>
      </w:pPr>
      <w:r>
        <w:rPr>
          <w:sz w:val="15"/>
        </w:rPr>
        <w:t>El</w:t>
      </w:r>
      <w:r>
        <w:rPr>
          <w:spacing w:val="-7"/>
          <w:sz w:val="15"/>
        </w:rPr>
        <w:t xml:space="preserve"> </w:t>
      </w:r>
      <w:r>
        <w:rPr>
          <w:sz w:val="15"/>
        </w:rPr>
        <w:t>derecho</w:t>
      </w:r>
      <w:r>
        <w:rPr>
          <w:spacing w:val="-5"/>
          <w:sz w:val="15"/>
        </w:rPr>
        <w:t xml:space="preserve"> </w:t>
      </w:r>
      <w:r>
        <w:rPr>
          <w:sz w:val="15"/>
        </w:rPr>
        <w:t>internacional</w:t>
      </w:r>
      <w:r>
        <w:rPr>
          <w:spacing w:val="-4"/>
          <w:sz w:val="15"/>
        </w:rPr>
        <w:t xml:space="preserve"> </w:t>
      </w:r>
      <w:r>
        <w:rPr>
          <w:sz w:val="15"/>
        </w:rPr>
        <w:t>de</w:t>
      </w:r>
      <w:r>
        <w:rPr>
          <w:spacing w:val="-5"/>
          <w:sz w:val="15"/>
        </w:rPr>
        <w:t xml:space="preserve"> </w:t>
      </w:r>
      <w:r>
        <w:rPr>
          <w:sz w:val="15"/>
        </w:rPr>
        <w:t>los</w:t>
      </w:r>
      <w:r>
        <w:rPr>
          <w:spacing w:val="-5"/>
          <w:sz w:val="15"/>
        </w:rPr>
        <w:t xml:space="preserve"> </w:t>
      </w:r>
      <w:r>
        <w:rPr>
          <w:sz w:val="15"/>
        </w:rPr>
        <w:t>derechos</w:t>
      </w:r>
      <w:r>
        <w:rPr>
          <w:spacing w:val="-4"/>
          <w:sz w:val="15"/>
        </w:rPr>
        <w:t xml:space="preserve"> </w:t>
      </w:r>
      <w:r>
        <w:rPr>
          <w:sz w:val="15"/>
        </w:rPr>
        <w:t>humanos</w:t>
      </w:r>
      <w:r>
        <w:rPr>
          <w:spacing w:val="-5"/>
          <w:sz w:val="15"/>
        </w:rPr>
        <w:t xml:space="preserve"> </w:t>
      </w:r>
      <w:r>
        <w:rPr>
          <w:sz w:val="15"/>
        </w:rPr>
        <w:t>exige</w:t>
      </w:r>
      <w:r>
        <w:rPr>
          <w:spacing w:val="-4"/>
          <w:sz w:val="15"/>
        </w:rPr>
        <w:t xml:space="preserve"> </w:t>
      </w:r>
      <w:r>
        <w:rPr>
          <w:sz w:val="15"/>
        </w:rPr>
        <w:t>el</w:t>
      </w:r>
      <w:r>
        <w:rPr>
          <w:spacing w:val="-5"/>
          <w:sz w:val="15"/>
        </w:rPr>
        <w:t xml:space="preserve"> </w:t>
      </w:r>
      <w:r>
        <w:rPr>
          <w:sz w:val="15"/>
        </w:rPr>
        <w:t>reconocimiento</w:t>
      </w:r>
      <w:r>
        <w:rPr>
          <w:spacing w:val="-5"/>
          <w:sz w:val="15"/>
        </w:rPr>
        <w:t xml:space="preserve"> </w:t>
      </w:r>
      <w:r>
        <w:rPr>
          <w:sz w:val="15"/>
        </w:rPr>
        <w:t>explícito</w:t>
      </w:r>
      <w:r>
        <w:rPr>
          <w:spacing w:val="-4"/>
          <w:sz w:val="15"/>
        </w:rPr>
        <w:t xml:space="preserve"> </w:t>
      </w:r>
      <w:r>
        <w:rPr>
          <w:sz w:val="15"/>
        </w:rPr>
        <w:t>de</w:t>
      </w:r>
      <w:r>
        <w:rPr>
          <w:spacing w:val="-5"/>
          <w:sz w:val="15"/>
        </w:rPr>
        <w:t xml:space="preserve"> </w:t>
      </w:r>
      <w:r>
        <w:rPr>
          <w:sz w:val="15"/>
        </w:rPr>
        <w:t>un</w:t>
      </w:r>
      <w:r>
        <w:rPr>
          <w:spacing w:val="-4"/>
          <w:sz w:val="15"/>
        </w:rPr>
        <w:t xml:space="preserve"> </w:t>
      </w:r>
      <w:r>
        <w:rPr>
          <w:sz w:val="15"/>
        </w:rPr>
        <w:t>motivo</w:t>
      </w:r>
      <w:r>
        <w:rPr>
          <w:spacing w:val="-5"/>
          <w:sz w:val="15"/>
        </w:rPr>
        <w:t xml:space="preserve"> </w:t>
      </w:r>
      <w:r>
        <w:rPr>
          <w:sz w:val="15"/>
        </w:rPr>
        <w:t>de</w:t>
      </w:r>
      <w:r>
        <w:rPr>
          <w:spacing w:val="-5"/>
          <w:sz w:val="15"/>
        </w:rPr>
        <w:t xml:space="preserve"> </w:t>
      </w:r>
      <w:r>
        <w:rPr>
          <w:sz w:val="15"/>
        </w:rPr>
        <w:t>parcialidad</w:t>
      </w:r>
      <w:r>
        <w:rPr>
          <w:spacing w:val="-4"/>
          <w:sz w:val="15"/>
        </w:rPr>
        <w:t xml:space="preserve"> </w:t>
      </w:r>
      <w:r>
        <w:rPr>
          <w:sz w:val="15"/>
        </w:rPr>
        <w:t>en</w:t>
      </w:r>
      <w:r>
        <w:rPr>
          <w:spacing w:val="-5"/>
          <w:sz w:val="15"/>
        </w:rPr>
        <w:t xml:space="preserve"> </w:t>
      </w:r>
      <w:r>
        <w:rPr>
          <w:sz w:val="15"/>
        </w:rPr>
        <w:t>situaciones</w:t>
      </w:r>
      <w:r>
        <w:rPr>
          <w:spacing w:val="-4"/>
          <w:sz w:val="15"/>
        </w:rPr>
        <w:t xml:space="preserve"> </w:t>
      </w:r>
      <w:r>
        <w:rPr>
          <w:spacing w:val="-5"/>
          <w:sz w:val="15"/>
        </w:rPr>
        <w:t>en</w:t>
      </w:r>
    </w:p>
    <w:p w14:paraId="1C2343BC" w14:textId="77777777" w:rsidR="0014798C" w:rsidRDefault="004E1F0B">
      <w:pPr>
        <w:spacing w:before="77" w:line="288" w:lineRule="auto"/>
        <w:ind w:left="1564" w:right="1272" w:hanging="5"/>
        <w:rPr>
          <w:sz w:val="15"/>
        </w:rPr>
      </w:pPr>
      <w:r>
        <w:rPr>
          <w:sz w:val="15"/>
        </w:rPr>
        <w:t>las</w:t>
      </w:r>
      <w:r>
        <w:rPr>
          <w:spacing w:val="-2"/>
          <w:sz w:val="15"/>
        </w:rPr>
        <w:t xml:space="preserve"> </w:t>
      </w:r>
      <w:r>
        <w:rPr>
          <w:sz w:val="15"/>
        </w:rPr>
        <w:t>que</w:t>
      </w:r>
      <w:r>
        <w:rPr>
          <w:spacing w:val="-2"/>
          <w:sz w:val="15"/>
        </w:rPr>
        <w:t xml:space="preserve"> </w:t>
      </w:r>
      <w:r>
        <w:rPr>
          <w:sz w:val="15"/>
        </w:rPr>
        <w:t>se</w:t>
      </w:r>
      <w:r>
        <w:rPr>
          <w:spacing w:val="-2"/>
          <w:sz w:val="15"/>
        </w:rPr>
        <w:t xml:space="preserve"> </w:t>
      </w:r>
      <w:r>
        <w:rPr>
          <w:sz w:val="15"/>
        </w:rPr>
        <w:t>han</w:t>
      </w:r>
      <w:r>
        <w:rPr>
          <w:spacing w:val="-2"/>
          <w:sz w:val="15"/>
        </w:rPr>
        <w:t xml:space="preserve"> </w:t>
      </w:r>
      <w:r>
        <w:rPr>
          <w:sz w:val="15"/>
        </w:rPr>
        <w:t>llevado</w:t>
      </w:r>
      <w:r>
        <w:rPr>
          <w:spacing w:val="-2"/>
          <w:sz w:val="15"/>
        </w:rPr>
        <w:t xml:space="preserve"> </w:t>
      </w:r>
      <w:r>
        <w:rPr>
          <w:sz w:val="15"/>
        </w:rPr>
        <w:t>a</w:t>
      </w:r>
      <w:r>
        <w:rPr>
          <w:spacing w:val="-2"/>
          <w:sz w:val="15"/>
        </w:rPr>
        <w:t xml:space="preserve"> </w:t>
      </w:r>
      <w:r>
        <w:rPr>
          <w:sz w:val="15"/>
        </w:rPr>
        <w:t>cabo</w:t>
      </w:r>
      <w:r>
        <w:rPr>
          <w:spacing w:val="-2"/>
          <w:sz w:val="15"/>
        </w:rPr>
        <w:t xml:space="preserve"> </w:t>
      </w:r>
      <w:r>
        <w:rPr>
          <w:sz w:val="15"/>
        </w:rPr>
        <w:t>actos</w:t>
      </w:r>
      <w:r>
        <w:rPr>
          <w:spacing w:val="-2"/>
          <w:sz w:val="15"/>
        </w:rPr>
        <w:t xml:space="preserve"> </w:t>
      </w:r>
      <w:r>
        <w:rPr>
          <w:sz w:val="15"/>
        </w:rPr>
        <w:t>violentos</w:t>
      </w:r>
      <w:r>
        <w:rPr>
          <w:spacing w:val="-2"/>
          <w:sz w:val="15"/>
        </w:rPr>
        <w:t xml:space="preserve"> </w:t>
      </w:r>
      <w:r>
        <w:rPr>
          <w:sz w:val="15"/>
        </w:rPr>
        <w:t>o</w:t>
      </w:r>
      <w:r>
        <w:rPr>
          <w:spacing w:val="-2"/>
          <w:sz w:val="15"/>
        </w:rPr>
        <w:t xml:space="preserve"> </w:t>
      </w:r>
      <w:r>
        <w:rPr>
          <w:sz w:val="15"/>
        </w:rPr>
        <w:t>de</w:t>
      </w:r>
      <w:r>
        <w:rPr>
          <w:spacing w:val="-2"/>
          <w:sz w:val="15"/>
        </w:rPr>
        <w:t xml:space="preserve"> </w:t>
      </w:r>
      <w:r>
        <w:rPr>
          <w:sz w:val="15"/>
        </w:rPr>
        <w:t>otro</w:t>
      </w:r>
      <w:r>
        <w:rPr>
          <w:spacing w:val="-2"/>
          <w:sz w:val="15"/>
        </w:rPr>
        <w:t xml:space="preserve"> </w:t>
      </w:r>
      <w:r>
        <w:rPr>
          <w:sz w:val="15"/>
        </w:rPr>
        <w:t>tipo</w:t>
      </w:r>
      <w:r>
        <w:rPr>
          <w:spacing w:val="-2"/>
          <w:sz w:val="15"/>
        </w:rPr>
        <w:t xml:space="preserve"> </w:t>
      </w:r>
      <w:r>
        <w:rPr>
          <w:sz w:val="15"/>
        </w:rPr>
        <w:t>criminales</w:t>
      </w:r>
      <w:r>
        <w:rPr>
          <w:spacing w:val="-2"/>
          <w:sz w:val="15"/>
        </w:rPr>
        <w:t xml:space="preserve"> </w:t>
      </w:r>
      <w:r>
        <w:rPr>
          <w:sz w:val="15"/>
        </w:rPr>
        <w:t>por</w:t>
      </w:r>
      <w:r>
        <w:rPr>
          <w:spacing w:val="-2"/>
          <w:sz w:val="15"/>
        </w:rPr>
        <w:t xml:space="preserve"> </w:t>
      </w:r>
      <w:r>
        <w:rPr>
          <w:sz w:val="15"/>
        </w:rPr>
        <w:t>razones</w:t>
      </w:r>
      <w:r>
        <w:rPr>
          <w:spacing w:val="-2"/>
          <w:sz w:val="15"/>
        </w:rPr>
        <w:t xml:space="preserve"> </w:t>
      </w:r>
      <w:r>
        <w:rPr>
          <w:sz w:val="15"/>
        </w:rPr>
        <w:t>relacionadas</w:t>
      </w:r>
      <w:r>
        <w:rPr>
          <w:spacing w:val="-2"/>
          <w:sz w:val="15"/>
        </w:rPr>
        <w:t xml:space="preserve"> </w:t>
      </w:r>
      <w:r>
        <w:rPr>
          <w:sz w:val="15"/>
        </w:rPr>
        <w:t>con</w:t>
      </w:r>
      <w:r>
        <w:rPr>
          <w:spacing w:val="-2"/>
          <w:sz w:val="15"/>
        </w:rPr>
        <w:t xml:space="preserve"> </w:t>
      </w:r>
      <w:r>
        <w:rPr>
          <w:sz w:val="15"/>
        </w:rPr>
        <w:t>uno</w:t>
      </w:r>
      <w:r>
        <w:rPr>
          <w:spacing w:val="-2"/>
          <w:sz w:val="15"/>
        </w:rPr>
        <w:t xml:space="preserve"> </w:t>
      </w:r>
      <w:r>
        <w:rPr>
          <w:sz w:val="15"/>
        </w:rPr>
        <w:t>o</w:t>
      </w:r>
      <w:r>
        <w:rPr>
          <w:spacing w:val="-2"/>
          <w:sz w:val="15"/>
        </w:rPr>
        <w:t xml:space="preserve"> </w:t>
      </w:r>
      <w:r>
        <w:rPr>
          <w:sz w:val="15"/>
        </w:rPr>
        <w:t>más</w:t>
      </w:r>
      <w:r>
        <w:rPr>
          <w:spacing w:val="-2"/>
          <w:sz w:val="15"/>
        </w:rPr>
        <w:t xml:space="preserve"> </w:t>
      </w:r>
      <w:r>
        <w:rPr>
          <w:sz w:val="15"/>
        </w:rPr>
        <w:t>motivos</w:t>
      </w:r>
      <w:r>
        <w:rPr>
          <w:spacing w:val="-2"/>
          <w:sz w:val="15"/>
        </w:rPr>
        <w:t xml:space="preserve"> </w:t>
      </w:r>
      <w:r>
        <w:rPr>
          <w:sz w:val="15"/>
        </w:rPr>
        <w:t xml:space="preserve">de </w:t>
      </w:r>
      <w:r>
        <w:rPr>
          <w:spacing w:val="-2"/>
          <w:sz w:val="15"/>
        </w:rPr>
        <w:t>discriminación.</w:t>
      </w:r>
    </w:p>
    <w:p w14:paraId="0FEA5426" w14:textId="77777777" w:rsidR="0014798C" w:rsidRDefault="0014798C">
      <w:pPr>
        <w:pStyle w:val="Textoindependiente"/>
        <w:spacing w:before="26"/>
        <w:rPr>
          <w:sz w:val="15"/>
        </w:rPr>
      </w:pPr>
    </w:p>
    <w:p w14:paraId="2BAAE8E8" w14:textId="77777777" w:rsidR="0014798C" w:rsidRDefault="004E1F0B">
      <w:pPr>
        <w:pStyle w:val="Prrafodelista"/>
        <w:numPr>
          <w:ilvl w:val="0"/>
          <w:numId w:val="11"/>
        </w:numPr>
        <w:tabs>
          <w:tab w:val="left" w:pos="1450"/>
          <w:tab w:val="left" w:pos="1560"/>
        </w:tabs>
        <w:spacing w:line="348" w:lineRule="auto"/>
        <w:ind w:right="1625" w:hanging="203"/>
        <w:rPr>
          <w:sz w:val="15"/>
        </w:rPr>
      </w:pPr>
      <w:r>
        <w:rPr>
          <w:sz w:val="15"/>
        </w:rPr>
        <w:t>El derecho penal y de delitos menores debe prever el reconocimiento de un motivo parcial para cualquier delito o delito motivado por cualquier motivo reconocido en el derecho internacional. Este reconocimiento puede hacerse designando disposiciones de derecho penal específicas relacionadas con la violencia discriminatoria o los delitos de odio o agregando disposiciones calificativas</w:t>
      </w:r>
      <w:r>
        <w:rPr>
          <w:spacing w:val="-2"/>
          <w:sz w:val="15"/>
        </w:rPr>
        <w:t xml:space="preserve"> </w:t>
      </w:r>
      <w:r>
        <w:rPr>
          <w:sz w:val="15"/>
        </w:rPr>
        <w:t>sobre</w:t>
      </w:r>
      <w:r>
        <w:rPr>
          <w:spacing w:val="-2"/>
          <w:sz w:val="15"/>
        </w:rPr>
        <w:t xml:space="preserve"> </w:t>
      </w:r>
      <w:r>
        <w:rPr>
          <w:sz w:val="15"/>
        </w:rPr>
        <w:t>motivos</w:t>
      </w:r>
      <w:r>
        <w:rPr>
          <w:spacing w:val="-2"/>
          <w:sz w:val="15"/>
        </w:rPr>
        <w:t xml:space="preserve"> </w:t>
      </w:r>
      <w:r>
        <w:rPr>
          <w:sz w:val="15"/>
        </w:rPr>
        <w:t>de</w:t>
      </w:r>
      <w:r>
        <w:rPr>
          <w:spacing w:val="-2"/>
          <w:sz w:val="15"/>
        </w:rPr>
        <w:t xml:space="preserve"> </w:t>
      </w:r>
      <w:r>
        <w:rPr>
          <w:sz w:val="15"/>
        </w:rPr>
        <w:t>prejuicio</w:t>
      </w:r>
      <w:r>
        <w:rPr>
          <w:spacing w:val="-2"/>
          <w:sz w:val="15"/>
        </w:rPr>
        <w:t xml:space="preserve"> </w:t>
      </w:r>
      <w:r>
        <w:rPr>
          <w:sz w:val="15"/>
        </w:rPr>
        <w:t>a</w:t>
      </w:r>
      <w:r>
        <w:rPr>
          <w:spacing w:val="-2"/>
          <w:sz w:val="15"/>
        </w:rPr>
        <w:t xml:space="preserve"> </w:t>
      </w:r>
      <w:r>
        <w:rPr>
          <w:sz w:val="15"/>
        </w:rPr>
        <w:t>las</w:t>
      </w:r>
      <w:r>
        <w:rPr>
          <w:spacing w:val="-2"/>
          <w:sz w:val="15"/>
        </w:rPr>
        <w:t xml:space="preserve"> </w:t>
      </w:r>
      <w:r>
        <w:rPr>
          <w:sz w:val="15"/>
        </w:rPr>
        <w:t>disposiciones</w:t>
      </w:r>
      <w:r>
        <w:rPr>
          <w:spacing w:val="-2"/>
          <w:sz w:val="15"/>
        </w:rPr>
        <w:t xml:space="preserve"> </w:t>
      </w:r>
      <w:r>
        <w:rPr>
          <w:sz w:val="15"/>
        </w:rPr>
        <w:t>de</w:t>
      </w:r>
      <w:r>
        <w:rPr>
          <w:spacing w:val="-2"/>
          <w:sz w:val="15"/>
        </w:rPr>
        <w:t xml:space="preserve"> </w:t>
      </w:r>
      <w:r>
        <w:rPr>
          <w:sz w:val="15"/>
        </w:rPr>
        <w:t>derecho</w:t>
      </w:r>
      <w:r>
        <w:rPr>
          <w:spacing w:val="-2"/>
          <w:sz w:val="15"/>
        </w:rPr>
        <w:t xml:space="preserve"> </w:t>
      </w:r>
      <w:r>
        <w:rPr>
          <w:sz w:val="15"/>
        </w:rPr>
        <w:t>penal</w:t>
      </w:r>
      <w:r>
        <w:rPr>
          <w:spacing w:val="-2"/>
          <w:sz w:val="15"/>
        </w:rPr>
        <w:t xml:space="preserve"> </w:t>
      </w:r>
      <w:r>
        <w:rPr>
          <w:sz w:val="15"/>
        </w:rPr>
        <w:t>relacionadas</w:t>
      </w:r>
      <w:r>
        <w:rPr>
          <w:spacing w:val="-2"/>
          <w:sz w:val="15"/>
        </w:rPr>
        <w:t xml:space="preserve"> </w:t>
      </w:r>
      <w:r>
        <w:rPr>
          <w:sz w:val="15"/>
        </w:rPr>
        <w:t>con</w:t>
      </w:r>
      <w:r>
        <w:rPr>
          <w:spacing w:val="-2"/>
          <w:sz w:val="15"/>
        </w:rPr>
        <w:t xml:space="preserve"> </w:t>
      </w:r>
      <w:r>
        <w:rPr>
          <w:sz w:val="15"/>
        </w:rPr>
        <w:t>actos</w:t>
      </w:r>
      <w:r>
        <w:rPr>
          <w:spacing w:val="-2"/>
          <w:sz w:val="15"/>
        </w:rPr>
        <w:t xml:space="preserve"> </w:t>
      </w:r>
      <w:r>
        <w:rPr>
          <w:sz w:val="15"/>
        </w:rPr>
        <w:t>delictivos</w:t>
      </w:r>
      <w:r>
        <w:rPr>
          <w:spacing w:val="-2"/>
          <w:sz w:val="15"/>
        </w:rPr>
        <w:t xml:space="preserve"> </w:t>
      </w:r>
      <w:r>
        <w:rPr>
          <w:sz w:val="15"/>
        </w:rPr>
        <w:t>específicos.</w:t>
      </w:r>
      <w:r>
        <w:rPr>
          <w:spacing w:val="-1"/>
          <w:sz w:val="15"/>
        </w:rPr>
        <w:t xml:space="preserve"> </w:t>
      </w:r>
      <w:r>
        <w:rPr>
          <w:sz w:val="15"/>
        </w:rPr>
        <w:t>Si</w:t>
      </w:r>
      <w:r>
        <w:rPr>
          <w:spacing w:val="-2"/>
          <w:sz w:val="15"/>
        </w:rPr>
        <w:t xml:space="preserve"> </w:t>
      </w:r>
      <w:r>
        <w:rPr>
          <w:sz w:val="15"/>
        </w:rPr>
        <w:t>se adopta este último enfoque, es importante que se reconozca el motivo del prejuicio en relación con todos los posibles actos delictivos y delitos menores pertinentes.</w:t>
      </w:r>
    </w:p>
    <w:p w14:paraId="56B5E179" w14:textId="77777777" w:rsidR="0014798C" w:rsidRDefault="004E1F0B">
      <w:pPr>
        <w:pStyle w:val="Prrafodelista"/>
        <w:numPr>
          <w:ilvl w:val="0"/>
          <w:numId w:val="11"/>
        </w:numPr>
        <w:tabs>
          <w:tab w:val="left" w:pos="1451"/>
          <w:tab w:val="left" w:pos="1573"/>
        </w:tabs>
        <w:spacing w:before="111" w:line="348" w:lineRule="auto"/>
        <w:ind w:left="1573" w:right="2078" w:hanging="215"/>
        <w:rPr>
          <w:sz w:val="15"/>
        </w:rPr>
      </w:pPr>
      <w:r>
        <w:rPr>
          <w:sz w:val="15"/>
        </w:rPr>
        <w:t>La</w:t>
      </w:r>
      <w:r>
        <w:rPr>
          <w:spacing w:val="-2"/>
          <w:sz w:val="15"/>
        </w:rPr>
        <w:t xml:space="preserve"> </w:t>
      </w:r>
      <w:r>
        <w:rPr>
          <w:sz w:val="15"/>
        </w:rPr>
        <w:t>lista</w:t>
      </w:r>
      <w:r>
        <w:rPr>
          <w:spacing w:val="-2"/>
          <w:sz w:val="15"/>
        </w:rPr>
        <w:t xml:space="preserve"> </w:t>
      </w:r>
      <w:r>
        <w:rPr>
          <w:sz w:val="15"/>
        </w:rPr>
        <w:t>de</w:t>
      </w:r>
      <w:r>
        <w:rPr>
          <w:spacing w:val="-2"/>
          <w:sz w:val="15"/>
        </w:rPr>
        <w:t xml:space="preserve"> </w:t>
      </w:r>
      <w:r>
        <w:rPr>
          <w:sz w:val="15"/>
        </w:rPr>
        <w:t>motivos</w:t>
      </w:r>
      <w:r>
        <w:rPr>
          <w:spacing w:val="-2"/>
          <w:sz w:val="15"/>
        </w:rPr>
        <w:t xml:space="preserve"> </w:t>
      </w:r>
      <w:r>
        <w:rPr>
          <w:sz w:val="15"/>
        </w:rPr>
        <w:t>establecidos</w:t>
      </w:r>
      <w:r>
        <w:rPr>
          <w:spacing w:val="-2"/>
          <w:sz w:val="15"/>
        </w:rPr>
        <w:t xml:space="preserve"> </w:t>
      </w:r>
      <w:r>
        <w:rPr>
          <w:sz w:val="15"/>
        </w:rPr>
        <w:t>en</w:t>
      </w:r>
      <w:r>
        <w:rPr>
          <w:spacing w:val="-2"/>
          <w:sz w:val="15"/>
        </w:rPr>
        <w:t xml:space="preserve"> </w:t>
      </w:r>
      <w:r>
        <w:rPr>
          <w:sz w:val="15"/>
        </w:rPr>
        <w:t>el</w:t>
      </w:r>
      <w:r>
        <w:rPr>
          <w:spacing w:val="-2"/>
          <w:sz w:val="15"/>
        </w:rPr>
        <w:t xml:space="preserve"> </w:t>
      </w:r>
      <w:r>
        <w:rPr>
          <w:sz w:val="15"/>
        </w:rPr>
        <w:t>derecho</w:t>
      </w:r>
      <w:r>
        <w:rPr>
          <w:spacing w:val="-2"/>
          <w:sz w:val="15"/>
        </w:rPr>
        <w:t xml:space="preserve"> </w:t>
      </w:r>
      <w:r>
        <w:rPr>
          <w:sz w:val="15"/>
        </w:rPr>
        <w:t>penal</w:t>
      </w:r>
      <w:r>
        <w:rPr>
          <w:spacing w:val="-2"/>
          <w:sz w:val="15"/>
        </w:rPr>
        <w:t xml:space="preserve"> </w:t>
      </w:r>
      <w:r>
        <w:rPr>
          <w:sz w:val="15"/>
        </w:rPr>
        <w:t>debe</w:t>
      </w:r>
      <w:r>
        <w:rPr>
          <w:spacing w:val="-2"/>
          <w:sz w:val="15"/>
        </w:rPr>
        <w:t xml:space="preserve"> </w:t>
      </w:r>
      <w:r>
        <w:rPr>
          <w:sz w:val="15"/>
        </w:rPr>
        <w:t>necesariamente</w:t>
      </w:r>
      <w:r>
        <w:rPr>
          <w:spacing w:val="-2"/>
          <w:sz w:val="15"/>
        </w:rPr>
        <w:t xml:space="preserve"> </w:t>
      </w:r>
      <w:r>
        <w:rPr>
          <w:sz w:val="15"/>
        </w:rPr>
        <w:t>cerrarse</w:t>
      </w:r>
      <w:r>
        <w:rPr>
          <w:spacing w:val="-1"/>
          <w:sz w:val="15"/>
        </w:rPr>
        <w:t xml:space="preserve"> </w:t>
      </w:r>
      <w:r>
        <w:rPr>
          <w:sz w:val="15"/>
        </w:rPr>
        <w:t>(es</w:t>
      </w:r>
      <w:r>
        <w:rPr>
          <w:spacing w:val="-2"/>
          <w:sz w:val="15"/>
        </w:rPr>
        <w:t xml:space="preserve"> </w:t>
      </w:r>
      <w:r>
        <w:rPr>
          <w:sz w:val="15"/>
        </w:rPr>
        <w:t>decir,</w:t>
      </w:r>
      <w:r>
        <w:rPr>
          <w:spacing w:val="-1"/>
          <w:sz w:val="15"/>
        </w:rPr>
        <w:t xml:space="preserve"> </w:t>
      </w:r>
      <w:r>
        <w:rPr>
          <w:sz w:val="15"/>
        </w:rPr>
        <w:t>no</w:t>
      </w:r>
      <w:r>
        <w:rPr>
          <w:spacing w:val="-2"/>
          <w:sz w:val="15"/>
        </w:rPr>
        <w:t xml:space="preserve"> </w:t>
      </w:r>
      <w:r>
        <w:rPr>
          <w:sz w:val="15"/>
        </w:rPr>
        <w:t>incluir</w:t>
      </w:r>
      <w:r>
        <w:rPr>
          <w:spacing w:val="-2"/>
          <w:sz w:val="15"/>
        </w:rPr>
        <w:t xml:space="preserve"> </w:t>
      </w:r>
      <w:r>
        <w:rPr>
          <w:sz w:val="15"/>
        </w:rPr>
        <w:t>la</w:t>
      </w:r>
      <w:r>
        <w:rPr>
          <w:spacing w:val="-2"/>
          <w:sz w:val="15"/>
        </w:rPr>
        <w:t xml:space="preserve"> </w:t>
      </w:r>
      <w:r>
        <w:rPr>
          <w:sz w:val="15"/>
        </w:rPr>
        <w:t>categoría</w:t>
      </w:r>
      <w:r>
        <w:rPr>
          <w:spacing w:val="-2"/>
          <w:sz w:val="15"/>
        </w:rPr>
        <w:t xml:space="preserve"> </w:t>
      </w:r>
      <w:r>
        <w:rPr>
          <w:sz w:val="15"/>
        </w:rPr>
        <w:t>“u</w:t>
      </w:r>
      <w:r>
        <w:rPr>
          <w:spacing w:val="-2"/>
          <w:sz w:val="15"/>
        </w:rPr>
        <w:t xml:space="preserve"> </w:t>
      </w:r>
      <w:r>
        <w:rPr>
          <w:sz w:val="15"/>
        </w:rPr>
        <w:t>otra condición similar”), debido al requisito de previsibilidad en el derecho penal.</w:t>
      </w:r>
    </w:p>
    <w:p w14:paraId="1A97CCF4" w14:textId="77777777" w:rsidR="0014798C" w:rsidRDefault="0014798C">
      <w:pPr>
        <w:pStyle w:val="Textoindependiente"/>
        <w:rPr>
          <w:sz w:val="17"/>
        </w:rPr>
      </w:pPr>
    </w:p>
    <w:p w14:paraId="4C9E78FE" w14:textId="77777777" w:rsidR="0014798C" w:rsidRDefault="0014798C">
      <w:pPr>
        <w:pStyle w:val="Textoindependiente"/>
        <w:spacing w:before="84"/>
        <w:rPr>
          <w:sz w:val="17"/>
        </w:rPr>
      </w:pPr>
    </w:p>
    <w:p w14:paraId="769485A2" w14:textId="77777777" w:rsidR="0014798C" w:rsidRDefault="004E1F0B">
      <w:pPr>
        <w:ind w:left="1106"/>
        <w:rPr>
          <w:sz w:val="17"/>
        </w:rPr>
      </w:pPr>
      <w:r>
        <w:rPr>
          <w:sz w:val="17"/>
        </w:rPr>
        <w:t>Cumplir</w:t>
      </w:r>
      <w:r>
        <w:rPr>
          <w:spacing w:val="3"/>
          <w:sz w:val="17"/>
        </w:rPr>
        <w:t xml:space="preserve"> </w:t>
      </w:r>
      <w:r>
        <w:rPr>
          <w:sz w:val="17"/>
        </w:rPr>
        <w:t>con</w:t>
      </w:r>
      <w:r>
        <w:rPr>
          <w:spacing w:val="3"/>
          <w:sz w:val="17"/>
        </w:rPr>
        <w:t xml:space="preserve"> </w:t>
      </w:r>
      <w:r>
        <w:rPr>
          <w:sz w:val="17"/>
        </w:rPr>
        <w:t>sus</w:t>
      </w:r>
      <w:r>
        <w:rPr>
          <w:spacing w:val="3"/>
          <w:sz w:val="17"/>
        </w:rPr>
        <w:t xml:space="preserve"> </w:t>
      </w:r>
      <w:r>
        <w:rPr>
          <w:sz w:val="17"/>
        </w:rPr>
        <w:t>compromisos</w:t>
      </w:r>
      <w:r>
        <w:rPr>
          <w:spacing w:val="3"/>
          <w:sz w:val="17"/>
        </w:rPr>
        <w:t xml:space="preserve"> </w:t>
      </w:r>
      <w:r>
        <w:rPr>
          <w:sz w:val="17"/>
        </w:rPr>
        <w:t>y</w:t>
      </w:r>
      <w:r>
        <w:rPr>
          <w:spacing w:val="3"/>
          <w:sz w:val="17"/>
        </w:rPr>
        <w:t xml:space="preserve"> </w:t>
      </w:r>
      <w:r>
        <w:rPr>
          <w:sz w:val="17"/>
        </w:rPr>
        <w:t>obligaciones</w:t>
      </w:r>
      <w:r>
        <w:rPr>
          <w:spacing w:val="4"/>
          <w:sz w:val="17"/>
        </w:rPr>
        <w:t xml:space="preserve"> </w:t>
      </w:r>
      <w:r>
        <w:rPr>
          <w:sz w:val="17"/>
        </w:rPr>
        <w:t>de</w:t>
      </w:r>
      <w:r>
        <w:rPr>
          <w:spacing w:val="3"/>
          <w:sz w:val="17"/>
        </w:rPr>
        <w:t xml:space="preserve"> </w:t>
      </w:r>
      <w:r>
        <w:rPr>
          <w:sz w:val="17"/>
        </w:rPr>
        <w:t>derecho</w:t>
      </w:r>
      <w:r>
        <w:rPr>
          <w:spacing w:val="3"/>
          <w:sz w:val="17"/>
        </w:rPr>
        <w:t xml:space="preserve"> </w:t>
      </w:r>
      <w:r>
        <w:rPr>
          <w:sz w:val="17"/>
        </w:rPr>
        <w:t>internacional</w:t>
      </w:r>
      <w:r>
        <w:rPr>
          <w:spacing w:val="3"/>
          <w:sz w:val="17"/>
        </w:rPr>
        <w:t xml:space="preserve"> </w:t>
      </w:r>
      <w:r>
        <w:rPr>
          <w:sz w:val="17"/>
        </w:rPr>
        <w:t>para</w:t>
      </w:r>
      <w:r>
        <w:rPr>
          <w:spacing w:val="3"/>
          <w:sz w:val="17"/>
        </w:rPr>
        <w:t xml:space="preserve"> </w:t>
      </w:r>
      <w:r>
        <w:rPr>
          <w:sz w:val="17"/>
        </w:rPr>
        <w:t>eliminar</w:t>
      </w:r>
      <w:r>
        <w:rPr>
          <w:spacing w:val="3"/>
          <w:sz w:val="17"/>
        </w:rPr>
        <w:t xml:space="preserve"> </w:t>
      </w:r>
      <w:r>
        <w:rPr>
          <w:sz w:val="17"/>
        </w:rPr>
        <w:t>“todas</w:t>
      </w:r>
      <w:r>
        <w:rPr>
          <w:spacing w:val="4"/>
          <w:sz w:val="17"/>
        </w:rPr>
        <w:t xml:space="preserve"> </w:t>
      </w:r>
      <w:r>
        <w:rPr>
          <w:sz w:val="17"/>
        </w:rPr>
        <w:t>las</w:t>
      </w:r>
      <w:r>
        <w:rPr>
          <w:spacing w:val="3"/>
          <w:sz w:val="17"/>
        </w:rPr>
        <w:t xml:space="preserve"> </w:t>
      </w:r>
      <w:r>
        <w:rPr>
          <w:sz w:val="17"/>
        </w:rPr>
        <w:t>formas</w:t>
      </w:r>
      <w:r>
        <w:rPr>
          <w:spacing w:val="3"/>
          <w:sz w:val="17"/>
        </w:rPr>
        <w:t xml:space="preserve"> </w:t>
      </w:r>
      <w:r>
        <w:rPr>
          <w:sz w:val="17"/>
        </w:rPr>
        <w:t>de</w:t>
      </w:r>
      <w:r>
        <w:rPr>
          <w:spacing w:val="3"/>
          <w:sz w:val="17"/>
        </w:rPr>
        <w:t xml:space="preserve"> </w:t>
      </w:r>
      <w:r>
        <w:rPr>
          <w:spacing w:val="-2"/>
          <w:sz w:val="17"/>
        </w:rPr>
        <w:t>discriminación”</w:t>
      </w:r>
    </w:p>
    <w:p w14:paraId="3AD77E21" w14:textId="77777777" w:rsidR="0014798C" w:rsidRDefault="004E1F0B">
      <w:pPr>
        <w:spacing w:before="68" w:line="355" w:lineRule="auto"/>
        <w:ind w:left="1107" w:right="1335" w:firstLine="5"/>
        <w:rPr>
          <w:sz w:val="15"/>
        </w:rPr>
      </w:pPr>
      <w:r>
        <w:rPr>
          <w:sz w:val="15"/>
        </w:rPr>
        <w:t>Los Estados deben tipificar como delito la violencia discriminatoria y otros actos motivados por prejuicios que sean de naturaleza criminal. La violencia discriminatoria y los delitos de odio se tratan de manera diferente a otras formas de discriminación, que casi siempre se tratan mediante el derecho civil y administrativo, en lugar del derecho penal.1103 Debido a las consideraciones procesales y técnicas únicas que se aplican a las cuestiones de derecho penal, La violencia discriminatoria y los delitos motivados por prejuicios suelen abordarse en disposiciones específicas del derecho penal de un Estado. La prohibición de estos actos sigue siendo fundamental para las obligaciones</w:t>
      </w:r>
    </w:p>
    <w:p w14:paraId="780E8F94" w14:textId="77777777" w:rsidR="0014798C" w:rsidRDefault="004E1F0B">
      <w:pPr>
        <w:spacing w:line="348" w:lineRule="auto"/>
        <w:ind w:left="1110" w:right="1272" w:hanging="2"/>
        <w:rPr>
          <w:sz w:val="15"/>
        </w:rPr>
      </w:pPr>
      <w:r>
        <w:rPr>
          <w:noProof/>
        </w:rPr>
        <mc:AlternateContent>
          <mc:Choice Requires="wps">
            <w:drawing>
              <wp:anchor distT="0" distB="0" distL="0" distR="0" simplePos="0" relativeHeight="251658325" behindDoc="0" locked="0" layoutInCell="1" allowOverlap="1" wp14:anchorId="784520B6" wp14:editId="0F04E247">
                <wp:simplePos x="0" y="0"/>
                <wp:positionH relativeFrom="page">
                  <wp:posOffset>7310655</wp:posOffset>
                </wp:positionH>
                <wp:positionV relativeFrom="paragraph">
                  <wp:posOffset>352836</wp:posOffset>
                </wp:positionV>
                <wp:extent cx="86995" cy="255904"/>
                <wp:effectExtent l="0" t="0" r="0" b="0"/>
                <wp:wrapNone/>
                <wp:docPr id="337" name="Textbox 33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86995" cy="255904"/>
                        </a:xfrm>
                        <a:prstGeom prst="rect">
                          <a:avLst/>
                        </a:prstGeom>
                      </wps:spPr>
                      <wps:txbx>
                        <w:txbxContent>
                          <w:p w14:paraId="1811EF33" w14:textId="77777777" w:rsidR="0014798C" w:rsidRDefault="004E1F0B">
                            <w:pPr>
                              <w:spacing w:before="23"/>
                              <w:ind w:left="20"/>
                              <w:rPr>
                                <w:sz w:val="8"/>
                              </w:rPr>
                            </w:pPr>
                            <w:r>
                              <w:rPr>
                                <w:color w:val="FFFFFF"/>
                                <w:spacing w:val="-19"/>
                                <w:w w:val="105"/>
                                <w:sz w:val="8"/>
                              </w:rPr>
                              <w:t>PCAURATRO</w:t>
                            </w:r>
                          </w:p>
                        </w:txbxContent>
                      </wps:txbx>
                      <wps:bodyPr vert="vert270" wrap="square" lIns="0" tIns="0" rIns="0" bIns="0" rtlCol="0">
                        <a:noAutofit/>
                      </wps:bodyPr>
                    </wps:wsp>
                  </a:graphicData>
                </a:graphic>
              </wp:anchor>
            </w:drawing>
          </mc:Choice>
          <mc:Fallback>
            <w:pict>
              <v:shape w14:anchorId="784520B6" id="Textbox 337" o:spid="_x0000_s1164" type="#_x0000_t202" style="position:absolute;left:0;text-align:left;margin-left:575.65pt;margin-top:27.8pt;width:6.85pt;height:20.15pt;z-index:251658325;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" filled="f" stroked="f">
                <v:textbox style="layout-flow:vertical;mso-layout-flow-alt:bottom-to-top" inset="0,0,0,0">
                  <w:txbxContent>
                    <w:p w14:paraId="1811EF33" w14:textId="77777777" w:rsidR="0014798C" w:rsidRDefault="004E1F0B">
                      <w:pPr>
                        <w:spacing w:before="23"/>
                        <w:ind w:left="20"/>
                        <w:rPr>
                          <w:sz w:val="8"/>
                        </w:rPr>
                      </w:pPr>
                      <w:r>
                        <w:rPr>
                          <w:color w:val="FFFFFF"/>
                          <w:spacing w:val="-19"/>
                          <w:w w:val="105"/>
                          <w:sz w:val="8"/>
                        </w:rPr>
                        <w:t>PCAURATRO</w:t>
                      </w:r>
                    </w:p>
                  </w:txbxContent>
                </v:textbox>
                <w10:wrap anchorx="page"/>
              </v:shape>
            </w:pict>
          </mc:Fallback>
        </mc:AlternateContent>
      </w:r>
      <w:r>
        <w:rPr>
          <w:sz w:val="15"/>
        </w:rPr>
        <w:t>de</w:t>
      </w:r>
      <w:r>
        <w:rPr>
          <w:spacing w:val="-2"/>
          <w:sz w:val="15"/>
        </w:rPr>
        <w:t xml:space="preserve"> </w:t>
      </w:r>
      <w:r>
        <w:rPr>
          <w:sz w:val="15"/>
        </w:rPr>
        <w:t>los</w:t>
      </w:r>
      <w:r>
        <w:rPr>
          <w:spacing w:val="-2"/>
          <w:sz w:val="15"/>
        </w:rPr>
        <w:t xml:space="preserve"> </w:t>
      </w:r>
      <w:r>
        <w:rPr>
          <w:sz w:val="15"/>
        </w:rPr>
        <w:t>Estados</w:t>
      </w:r>
      <w:r>
        <w:rPr>
          <w:spacing w:val="-2"/>
          <w:sz w:val="15"/>
        </w:rPr>
        <w:t xml:space="preserve"> </w:t>
      </w:r>
      <w:r>
        <w:rPr>
          <w:sz w:val="15"/>
        </w:rPr>
        <w:t>de</w:t>
      </w:r>
      <w:r>
        <w:rPr>
          <w:spacing w:val="-2"/>
          <w:sz w:val="15"/>
        </w:rPr>
        <w:t xml:space="preserve"> </w:t>
      </w:r>
      <w:r>
        <w:rPr>
          <w:sz w:val="15"/>
        </w:rPr>
        <w:t>respetar,</w:t>
      </w:r>
      <w:r>
        <w:rPr>
          <w:spacing w:val="-1"/>
          <w:sz w:val="15"/>
        </w:rPr>
        <w:t xml:space="preserve"> </w:t>
      </w:r>
      <w:r>
        <w:rPr>
          <w:sz w:val="15"/>
        </w:rPr>
        <w:t>proteger</w:t>
      </w:r>
      <w:r>
        <w:rPr>
          <w:spacing w:val="-2"/>
          <w:sz w:val="15"/>
        </w:rPr>
        <w:t xml:space="preserve"> </w:t>
      </w:r>
      <w:r>
        <w:rPr>
          <w:sz w:val="15"/>
        </w:rPr>
        <w:t>y</w:t>
      </w:r>
      <w:r>
        <w:rPr>
          <w:spacing w:val="-2"/>
          <w:sz w:val="15"/>
        </w:rPr>
        <w:t xml:space="preserve"> </w:t>
      </w:r>
      <w:r>
        <w:rPr>
          <w:sz w:val="15"/>
        </w:rPr>
        <w:t>cumplir</w:t>
      </w:r>
      <w:r>
        <w:rPr>
          <w:spacing w:val="-2"/>
          <w:sz w:val="15"/>
        </w:rPr>
        <w:t xml:space="preserve"> </w:t>
      </w:r>
      <w:r>
        <w:rPr>
          <w:sz w:val="15"/>
        </w:rPr>
        <w:t>el</w:t>
      </w:r>
      <w:r>
        <w:rPr>
          <w:spacing w:val="-2"/>
          <w:sz w:val="15"/>
        </w:rPr>
        <w:t xml:space="preserve"> </w:t>
      </w:r>
      <w:r>
        <w:rPr>
          <w:sz w:val="15"/>
        </w:rPr>
        <w:t>derecho</w:t>
      </w:r>
      <w:r>
        <w:rPr>
          <w:spacing w:val="-2"/>
          <w:sz w:val="15"/>
        </w:rPr>
        <w:t xml:space="preserve"> </w:t>
      </w:r>
      <w:r>
        <w:rPr>
          <w:sz w:val="15"/>
        </w:rPr>
        <w:t>a</w:t>
      </w:r>
      <w:r>
        <w:rPr>
          <w:spacing w:val="-2"/>
          <w:sz w:val="15"/>
        </w:rPr>
        <w:t xml:space="preserve"> </w:t>
      </w:r>
      <w:r>
        <w:rPr>
          <w:sz w:val="15"/>
        </w:rPr>
        <w:t>la</w:t>
      </w:r>
      <w:r>
        <w:rPr>
          <w:spacing w:val="-2"/>
          <w:sz w:val="15"/>
        </w:rPr>
        <w:t xml:space="preserve"> </w:t>
      </w:r>
      <w:r>
        <w:rPr>
          <w:sz w:val="15"/>
        </w:rPr>
        <w:t>no</w:t>
      </w:r>
      <w:r>
        <w:rPr>
          <w:spacing w:val="-2"/>
          <w:sz w:val="15"/>
        </w:rPr>
        <w:t xml:space="preserve"> </w:t>
      </w:r>
      <w:r>
        <w:rPr>
          <w:sz w:val="15"/>
        </w:rPr>
        <w:t>discriminación</w:t>
      </w:r>
      <w:r>
        <w:rPr>
          <w:spacing w:val="-1"/>
          <w:sz w:val="15"/>
        </w:rPr>
        <w:t xml:space="preserve"> </w:t>
      </w:r>
      <w:r>
        <w:rPr>
          <w:sz w:val="15"/>
        </w:rPr>
        <w:t>y</w:t>
      </w:r>
      <w:r>
        <w:rPr>
          <w:spacing w:val="-2"/>
          <w:sz w:val="15"/>
        </w:rPr>
        <w:t xml:space="preserve"> </w:t>
      </w:r>
      <w:r>
        <w:rPr>
          <w:sz w:val="15"/>
        </w:rPr>
        <w:t>garantizar</w:t>
      </w:r>
      <w:r>
        <w:rPr>
          <w:spacing w:val="-2"/>
          <w:sz w:val="15"/>
        </w:rPr>
        <w:t xml:space="preserve"> </w:t>
      </w:r>
      <w:r>
        <w:rPr>
          <w:sz w:val="15"/>
        </w:rPr>
        <w:t>un</w:t>
      </w:r>
      <w:r>
        <w:rPr>
          <w:spacing w:val="-2"/>
          <w:sz w:val="15"/>
        </w:rPr>
        <w:t xml:space="preserve"> </w:t>
      </w:r>
      <w:r>
        <w:rPr>
          <w:sz w:val="15"/>
        </w:rPr>
        <w:t>recurso</w:t>
      </w:r>
      <w:r>
        <w:rPr>
          <w:spacing w:val="-1"/>
          <w:sz w:val="15"/>
        </w:rPr>
        <w:t xml:space="preserve"> </w:t>
      </w:r>
      <w:r>
        <w:rPr>
          <w:sz w:val="15"/>
        </w:rPr>
        <w:t>efectivo</w:t>
      </w:r>
      <w:r>
        <w:rPr>
          <w:spacing w:val="-2"/>
          <w:sz w:val="15"/>
        </w:rPr>
        <w:t xml:space="preserve"> </w:t>
      </w:r>
      <w:r>
        <w:rPr>
          <w:sz w:val="15"/>
        </w:rPr>
        <w:t>a</w:t>
      </w:r>
      <w:r>
        <w:rPr>
          <w:spacing w:val="-2"/>
          <w:sz w:val="15"/>
        </w:rPr>
        <w:t xml:space="preserve"> </w:t>
      </w:r>
      <w:r>
        <w:rPr>
          <w:sz w:val="15"/>
        </w:rPr>
        <w:t>las</w:t>
      </w:r>
      <w:r>
        <w:rPr>
          <w:spacing w:val="-2"/>
          <w:sz w:val="15"/>
        </w:rPr>
        <w:t xml:space="preserve"> </w:t>
      </w:r>
      <w:r>
        <w:rPr>
          <w:sz w:val="15"/>
        </w:rPr>
        <w:t>víctimas.</w:t>
      </w:r>
      <w:r>
        <w:rPr>
          <w:spacing w:val="-1"/>
          <w:sz w:val="15"/>
        </w:rPr>
        <w:t xml:space="preserve"> </w:t>
      </w:r>
      <w:r>
        <w:rPr>
          <w:sz w:val="15"/>
        </w:rPr>
        <w:t>Por</w:t>
      </w:r>
      <w:r>
        <w:rPr>
          <w:spacing w:val="-2"/>
          <w:sz w:val="15"/>
        </w:rPr>
        <w:t xml:space="preserve"> </w:t>
      </w:r>
      <w:r>
        <w:rPr>
          <w:sz w:val="15"/>
        </w:rPr>
        <w:t>lo</w:t>
      </w:r>
      <w:r>
        <w:rPr>
          <w:spacing w:val="-2"/>
          <w:sz w:val="15"/>
        </w:rPr>
        <w:t xml:space="preserve"> </w:t>
      </w:r>
      <w:r>
        <w:rPr>
          <w:sz w:val="15"/>
        </w:rPr>
        <w:t>tanto, aquí se proporciona una descripción básica de estos actos y su tratamiento bajo el derecho internacional.</w:t>
      </w:r>
    </w:p>
    <w:p w14:paraId="61A70791" w14:textId="77777777" w:rsidR="0014798C" w:rsidRDefault="0014798C">
      <w:pPr>
        <w:pStyle w:val="Textoindependiente"/>
        <w:rPr>
          <w:sz w:val="15"/>
        </w:rPr>
      </w:pPr>
    </w:p>
    <w:p w14:paraId="5FDA279B" w14:textId="77777777" w:rsidR="0014798C" w:rsidRDefault="0014798C">
      <w:pPr>
        <w:pStyle w:val="Textoindependiente"/>
        <w:spacing w:before="66"/>
        <w:rPr>
          <w:sz w:val="15"/>
        </w:rPr>
      </w:pPr>
    </w:p>
    <w:p w14:paraId="4F2E4EA8" w14:textId="77777777" w:rsidR="0014798C" w:rsidRDefault="004E1F0B">
      <w:pPr>
        <w:spacing w:before="1" w:line="348" w:lineRule="auto"/>
        <w:ind w:left="1106" w:right="1272"/>
        <w:rPr>
          <w:sz w:val="15"/>
        </w:rPr>
      </w:pPr>
      <w:r>
        <w:rPr>
          <w:sz w:val="15"/>
        </w:rPr>
        <w:t>El</w:t>
      </w:r>
      <w:r>
        <w:rPr>
          <w:spacing w:val="-2"/>
          <w:sz w:val="15"/>
        </w:rPr>
        <w:t xml:space="preserve"> </w:t>
      </w:r>
      <w:r>
        <w:rPr>
          <w:sz w:val="15"/>
        </w:rPr>
        <w:t>término</w:t>
      </w:r>
      <w:r>
        <w:rPr>
          <w:spacing w:val="-2"/>
          <w:sz w:val="15"/>
        </w:rPr>
        <w:t xml:space="preserve"> </w:t>
      </w:r>
      <w:r>
        <w:rPr>
          <w:sz w:val="15"/>
        </w:rPr>
        <w:t>“violencia</w:t>
      </w:r>
      <w:r>
        <w:rPr>
          <w:spacing w:val="-1"/>
          <w:sz w:val="15"/>
        </w:rPr>
        <w:t xml:space="preserve"> </w:t>
      </w:r>
      <w:r>
        <w:rPr>
          <w:sz w:val="15"/>
        </w:rPr>
        <w:t>discriminatoria”</w:t>
      </w:r>
      <w:r>
        <w:rPr>
          <w:spacing w:val="-2"/>
          <w:sz w:val="15"/>
        </w:rPr>
        <w:t xml:space="preserve"> </w:t>
      </w:r>
      <w:r>
        <w:rPr>
          <w:sz w:val="15"/>
        </w:rPr>
        <w:t>se</w:t>
      </w:r>
      <w:r>
        <w:rPr>
          <w:spacing w:val="-2"/>
          <w:sz w:val="15"/>
        </w:rPr>
        <w:t xml:space="preserve"> </w:t>
      </w:r>
      <w:r>
        <w:rPr>
          <w:sz w:val="15"/>
        </w:rPr>
        <w:t>refiere</w:t>
      </w:r>
      <w:r>
        <w:rPr>
          <w:spacing w:val="-2"/>
          <w:sz w:val="15"/>
        </w:rPr>
        <w:t xml:space="preserve"> </w:t>
      </w:r>
      <w:r>
        <w:rPr>
          <w:sz w:val="15"/>
        </w:rPr>
        <w:t>a</w:t>
      </w:r>
      <w:r>
        <w:rPr>
          <w:spacing w:val="-2"/>
          <w:sz w:val="15"/>
        </w:rPr>
        <w:t xml:space="preserve"> </w:t>
      </w:r>
      <w:r>
        <w:rPr>
          <w:sz w:val="15"/>
        </w:rPr>
        <w:t>todos</w:t>
      </w:r>
      <w:r>
        <w:rPr>
          <w:spacing w:val="-2"/>
          <w:sz w:val="15"/>
        </w:rPr>
        <w:t xml:space="preserve"> </w:t>
      </w:r>
      <w:r>
        <w:rPr>
          <w:sz w:val="15"/>
        </w:rPr>
        <w:t>los</w:t>
      </w:r>
      <w:r>
        <w:rPr>
          <w:spacing w:val="-2"/>
          <w:sz w:val="15"/>
        </w:rPr>
        <w:t xml:space="preserve"> </w:t>
      </w:r>
      <w:r>
        <w:rPr>
          <w:sz w:val="15"/>
        </w:rPr>
        <w:t>actos</w:t>
      </w:r>
      <w:r>
        <w:rPr>
          <w:spacing w:val="-2"/>
          <w:sz w:val="15"/>
        </w:rPr>
        <w:t xml:space="preserve"> </w:t>
      </w:r>
      <w:r>
        <w:rPr>
          <w:sz w:val="15"/>
        </w:rPr>
        <w:t>violentos</w:t>
      </w:r>
      <w:r>
        <w:rPr>
          <w:spacing w:val="-2"/>
          <w:sz w:val="15"/>
        </w:rPr>
        <w:t xml:space="preserve"> </w:t>
      </w:r>
      <w:r>
        <w:rPr>
          <w:sz w:val="15"/>
        </w:rPr>
        <w:t>que</w:t>
      </w:r>
      <w:r>
        <w:rPr>
          <w:spacing w:val="-2"/>
          <w:sz w:val="15"/>
        </w:rPr>
        <w:t xml:space="preserve"> </w:t>
      </w:r>
      <w:r>
        <w:rPr>
          <w:sz w:val="15"/>
        </w:rPr>
        <w:t>ocurren</w:t>
      </w:r>
      <w:r>
        <w:rPr>
          <w:spacing w:val="-1"/>
          <w:sz w:val="15"/>
        </w:rPr>
        <w:t xml:space="preserve"> </w:t>
      </w:r>
      <w:r>
        <w:rPr>
          <w:sz w:val="15"/>
        </w:rPr>
        <w:t>en</w:t>
      </w:r>
      <w:r>
        <w:rPr>
          <w:spacing w:val="-2"/>
          <w:sz w:val="15"/>
        </w:rPr>
        <w:t xml:space="preserve"> </w:t>
      </w:r>
      <w:r>
        <w:rPr>
          <w:sz w:val="15"/>
        </w:rPr>
        <w:t>función</w:t>
      </w:r>
      <w:r>
        <w:rPr>
          <w:spacing w:val="-2"/>
          <w:sz w:val="15"/>
        </w:rPr>
        <w:t xml:space="preserve"> </w:t>
      </w:r>
      <w:r>
        <w:rPr>
          <w:sz w:val="15"/>
        </w:rPr>
        <w:t>del</w:t>
      </w:r>
      <w:r>
        <w:rPr>
          <w:spacing w:val="-2"/>
          <w:sz w:val="15"/>
        </w:rPr>
        <w:t xml:space="preserve"> </w:t>
      </w:r>
      <w:r>
        <w:rPr>
          <w:sz w:val="15"/>
        </w:rPr>
        <w:t>estatus</w:t>
      </w:r>
      <w:r>
        <w:rPr>
          <w:spacing w:val="-2"/>
          <w:sz w:val="15"/>
        </w:rPr>
        <w:t xml:space="preserve"> </w:t>
      </w:r>
      <w:r>
        <w:rPr>
          <w:sz w:val="15"/>
        </w:rPr>
        <w:t>de</w:t>
      </w:r>
      <w:r>
        <w:rPr>
          <w:spacing w:val="-2"/>
          <w:sz w:val="15"/>
        </w:rPr>
        <w:t xml:space="preserve"> </w:t>
      </w:r>
      <w:r>
        <w:rPr>
          <w:sz w:val="15"/>
        </w:rPr>
        <w:t>protección</w:t>
      </w:r>
      <w:r>
        <w:rPr>
          <w:spacing w:val="-2"/>
          <w:sz w:val="15"/>
        </w:rPr>
        <w:t xml:space="preserve"> </w:t>
      </w:r>
      <w:r>
        <w:rPr>
          <w:sz w:val="15"/>
        </w:rPr>
        <w:t>de</w:t>
      </w:r>
      <w:r>
        <w:rPr>
          <w:spacing w:val="-2"/>
          <w:sz w:val="15"/>
        </w:rPr>
        <w:t xml:space="preserve"> </w:t>
      </w:r>
      <w:r>
        <w:rPr>
          <w:sz w:val="15"/>
        </w:rPr>
        <w:t>una</w:t>
      </w:r>
      <w:r>
        <w:rPr>
          <w:spacing w:val="-2"/>
          <w:sz w:val="15"/>
        </w:rPr>
        <w:t xml:space="preserve"> </w:t>
      </w:r>
      <w:r>
        <w:rPr>
          <w:sz w:val="15"/>
        </w:rPr>
        <w:t>persona. El requisito de tipificar como delito la violencia discriminatoria está firmemente establecido en el derecho internacional.</w:t>
      </w:r>
    </w:p>
    <w:p w14:paraId="3E8C6BB5" w14:textId="77777777" w:rsidR="0014798C" w:rsidRDefault="004E1F0B">
      <w:pPr>
        <w:spacing w:before="169" w:line="348" w:lineRule="auto"/>
        <w:ind w:left="1107" w:right="1335" w:hanging="1"/>
        <w:rPr>
          <w:sz w:val="15"/>
        </w:rPr>
      </w:pPr>
      <w:r>
        <w:rPr>
          <w:sz w:val="15"/>
        </w:rPr>
        <w:t>Esta prohibición se hace explícita en el artículo 4 (a) de la Convención Internacional sobre la Eliminación de todas las Formas de Discriminación Racial, que</w:t>
      </w:r>
      <w:r>
        <w:rPr>
          <w:spacing w:val="-1"/>
          <w:sz w:val="15"/>
        </w:rPr>
        <w:t xml:space="preserve"> </w:t>
      </w:r>
      <w:r>
        <w:rPr>
          <w:sz w:val="15"/>
        </w:rPr>
        <w:t>exige</w:t>
      </w:r>
      <w:r>
        <w:rPr>
          <w:spacing w:val="-1"/>
          <w:sz w:val="15"/>
        </w:rPr>
        <w:t xml:space="preserve"> </w:t>
      </w:r>
      <w:r>
        <w:rPr>
          <w:sz w:val="15"/>
        </w:rPr>
        <w:t>que</w:t>
      </w:r>
      <w:r>
        <w:rPr>
          <w:spacing w:val="-1"/>
          <w:sz w:val="15"/>
        </w:rPr>
        <w:t xml:space="preserve"> </w:t>
      </w:r>
      <w:r>
        <w:rPr>
          <w:sz w:val="15"/>
        </w:rPr>
        <w:t>los</w:t>
      </w:r>
      <w:r>
        <w:rPr>
          <w:spacing w:val="-1"/>
          <w:sz w:val="15"/>
        </w:rPr>
        <w:t xml:space="preserve"> </w:t>
      </w:r>
      <w:r>
        <w:rPr>
          <w:sz w:val="15"/>
        </w:rPr>
        <w:t>Estados</w:t>
      </w:r>
      <w:r>
        <w:rPr>
          <w:spacing w:val="-1"/>
          <w:sz w:val="15"/>
        </w:rPr>
        <w:t xml:space="preserve"> </w:t>
      </w:r>
      <w:r>
        <w:rPr>
          <w:sz w:val="15"/>
        </w:rPr>
        <w:t>“declaren delito</w:t>
      </w:r>
      <w:r>
        <w:rPr>
          <w:spacing w:val="-1"/>
          <w:sz w:val="15"/>
        </w:rPr>
        <w:t xml:space="preserve"> </w:t>
      </w:r>
      <w:r>
        <w:rPr>
          <w:sz w:val="15"/>
        </w:rPr>
        <w:t>punible</w:t>
      </w:r>
      <w:r>
        <w:rPr>
          <w:spacing w:val="-1"/>
          <w:sz w:val="15"/>
        </w:rPr>
        <w:t xml:space="preserve"> </w:t>
      </w:r>
      <w:r>
        <w:rPr>
          <w:sz w:val="15"/>
        </w:rPr>
        <w:t>por</w:t>
      </w:r>
      <w:r>
        <w:rPr>
          <w:spacing w:val="-1"/>
          <w:sz w:val="15"/>
        </w:rPr>
        <w:t xml:space="preserve"> </w:t>
      </w:r>
      <w:r>
        <w:rPr>
          <w:sz w:val="15"/>
        </w:rPr>
        <w:t>la</w:t>
      </w:r>
      <w:r>
        <w:rPr>
          <w:spacing w:val="-1"/>
          <w:sz w:val="15"/>
        </w:rPr>
        <w:t xml:space="preserve"> </w:t>
      </w:r>
      <w:r>
        <w:rPr>
          <w:sz w:val="15"/>
        </w:rPr>
        <w:t>ley... todos</w:t>
      </w:r>
      <w:r>
        <w:rPr>
          <w:spacing w:val="-1"/>
          <w:sz w:val="15"/>
        </w:rPr>
        <w:t xml:space="preserve"> </w:t>
      </w:r>
      <w:r>
        <w:rPr>
          <w:sz w:val="15"/>
        </w:rPr>
        <w:t>los</w:t>
      </w:r>
      <w:r>
        <w:rPr>
          <w:spacing w:val="-1"/>
          <w:sz w:val="15"/>
        </w:rPr>
        <w:t xml:space="preserve"> </w:t>
      </w:r>
      <w:r>
        <w:rPr>
          <w:sz w:val="15"/>
        </w:rPr>
        <w:t>actos</w:t>
      </w:r>
      <w:r>
        <w:rPr>
          <w:spacing w:val="-1"/>
          <w:sz w:val="15"/>
        </w:rPr>
        <w:t xml:space="preserve"> </w:t>
      </w:r>
      <w:r>
        <w:rPr>
          <w:sz w:val="15"/>
        </w:rPr>
        <w:t>de</w:t>
      </w:r>
      <w:r>
        <w:rPr>
          <w:spacing w:val="-1"/>
          <w:sz w:val="15"/>
        </w:rPr>
        <w:t xml:space="preserve"> </w:t>
      </w:r>
      <w:r>
        <w:rPr>
          <w:sz w:val="15"/>
        </w:rPr>
        <w:t>violencia”</w:t>
      </w:r>
      <w:r>
        <w:rPr>
          <w:spacing w:val="-1"/>
          <w:sz w:val="15"/>
        </w:rPr>
        <w:t xml:space="preserve"> </w:t>
      </w:r>
      <w:r>
        <w:rPr>
          <w:sz w:val="15"/>
        </w:rPr>
        <w:t>contra</w:t>
      </w:r>
      <w:r>
        <w:rPr>
          <w:spacing w:val="-1"/>
          <w:sz w:val="15"/>
        </w:rPr>
        <w:t xml:space="preserve"> </w:t>
      </w:r>
      <w:r>
        <w:rPr>
          <w:sz w:val="15"/>
        </w:rPr>
        <w:t>las</w:t>
      </w:r>
      <w:r>
        <w:rPr>
          <w:spacing w:val="-1"/>
          <w:sz w:val="15"/>
        </w:rPr>
        <w:t xml:space="preserve"> </w:t>
      </w:r>
      <w:r>
        <w:rPr>
          <w:sz w:val="15"/>
        </w:rPr>
        <w:t>personas</w:t>
      </w:r>
      <w:r>
        <w:rPr>
          <w:spacing w:val="-1"/>
          <w:sz w:val="15"/>
        </w:rPr>
        <w:t xml:space="preserve"> </w:t>
      </w:r>
      <w:r>
        <w:rPr>
          <w:sz w:val="15"/>
        </w:rPr>
        <w:t>por motivos de su raza</w:t>
      </w:r>
      <w:proofErr w:type="gramStart"/>
      <w:r>
        <w:rPr>
          <w:sz w:val="15"/>
        </w:rPr>
        <w:t>. ,</w:t>
      </w:r>
      <w:proofErr w:type="gramEnd"/>
      <w:r>
        <w:rPr>
          <w:sz w:val="15"/>
        </w:rPr>
        <w:t xml:space="preserve"> color u origen étnico. Asimismo, el artículo 16 (1) de la Convención sobre los Derechos de las Personas con Discapacidad exige que los Estados adopten todas las medidas necesarias “para proteger a las personas con discapacidad, tanto dentro como</w:t>
      </w:r>
      <w:r>
        <w:rPr>
          <w:spacing w:val="-2"/>
          <w:sz w:val="15"/>
        </w:rPr>
        <w:t xml:space="preserve"> </w:t>
      </w:r>
      <w:r>
        <w:rPr>
          <w:sz w:val="15"/>
        </w:rPr>
        <w:t>fuera</w:t>
      </w:r>
      <w:r>
        <w:rPr>
          <w:spacing w:val="-2"/>
          <w:sz w:val="15"/>
        </w:rPr>
        <w:t xml:space="preserve"> </w:t>
      </w:r>
      <w:r>
        <w:rPr>
          <w:sz w:val="15"/>
        </w:rPr>
        <w:t>del</w:t>
      </w:r>
      <w:r>
        <w:rPr>
          <w:spacing w:val="-2"/>
          <w:sz w:val="15"/>
        </w:rPr>
        <w:t xml:space="preserve"> </w:t>
      </w:r>
      <w:r>
        <w:rPr>
          <w:sz w:val="15"/>
        </w:rPr>
        <w:t>hogar,</w:t>
      </w:r>
      <w:r>
        <w:rPr>
          <w:spacing w:val="-1"/>
          <w:sz w:val="15"/>
        </w:rPr>
        <w:t xml:space="preserve"> </w:t>
      </w:r>
      <w:r>
        <w:rPr>
          <w:sz w:val="15"/>
        </w:rPr>
        <w:t>de</w:t>
      </w:r>
      <w:r>
        <w:rPr>
          <w:spacing w:val="-2"/>
          <w:sz w:val="15"/>
        </w:rPr>
        <w:t xml:space="preserve"> </w:t>
      </w:r>
      <w:r>
        <w:rPr>
          <w:sz w:val="15"/>
        </w:rPr>
        <w:t>todas</w:t>
      </w:r>
      <w:r>
        <w:rPr>
          <w:spacing w:val="-2"/>
          <w:sz w:val="15"/>
        </w:rPr>
        <w:t xml:space="preserve"> </w:t>
      </w:r>
      <w:r>
        <w:rPr>
          <w:sz w:val="15"/>
        </w:rPr>
        <w:t>las</w:t>
      </w:r>
      <w:r>
        <w:rPr>
          <w:spacing w:val="-2"/>
          <w:sz w:val="15"/>
        </w:rPr>
        <w:t xml:space="preserve"> </w:t>
      </w:r>
      <w:r>
        <w:rPr>
          <w:sz w:val="15"/>
        </w:rPr>
        <w:t>formas</w:t>
      </w:r>
      <w:r>
        <w:rPr>
          <w:spacing w:val="-2"/>
          <w:sz w:val="15"/>
        </w:rPr>
        <w:t xml:space="preserve"> </w:t>
      </w:r>
      <w:r>
        <w:rPr>
          <w:sz w:val="15"/>
        </w:rPr>
        <w:t>de</w:t>
      </w:r>
      <w:r>
        <w:rPr>
          <w:spacing w:val="-2"/>
          <w:sz w:val="15"/>
        </w:rPr>
        <w:t xml:space="preserve"> </w:t>
      </w:r>
      <w:r>
        <w:rPr>
          <w:sz w:val="15"/>
        </w:rPr>
        <w:t>explotación,</w:t>
      </w:r>
      <w:r>
        <w:rPr>
          <w:spacing w:val="-1"/>
          <w:sz w:val="15"/>
        </w:rPr>
        <w:t xml:space="preserve"> </w:t>
      </w:r>
      <w:r>
        <w:rPr>
          <w:sz w:val="15"/>
        </w:rPr>
        <w:t>violencia</w:t>
      </w:r>
      <w:r>
        <w:rPr>
          <w:spacing w:val="-2"/>
          <w:sz w:val="15"/>
        </w:rPr>
        <w:t xml:space="preserve"> </w:t>
      </w:r>
      <w:r>
        <w:rPr>
          <w:sz w:val="15"/>
        </w:rPr>
        <w:t>y</w:t>
      </w:r>
      <w:r>
        <w:rPr>
          <w:spacing w:val="-2"/>
          <w:sz w:val="15"/>
        </w:rPr>
        <w:t xml:space="preserve"> </w:t>
      </w:r>
      <w:r>
        <w:rPr>
          <w:sz w:val="15"/>
        </w:rPr>
        <w:t>abuso,</w:t>
      </w:r>
      <w:r>
        <w:rPr>
          <w:spacing w:val="-1"/>
          <w:sz w:val="15"/>
        </w:rPr>
        <w:t xml:space="preserve"> </w:t>
      </w:r>
      <w:r>
        <w:rPr>
          <w:sz w:val="15"/>
        </w:rPr>
        <w:t>incluida</w:t>
      </w:r>
      <w:r>
        <w:rPr>
          <w:spacing w:val="-2"/>
          <w:sz w:val="15"/>
        </w:rPr>
        <w:t xml:space="preserve"> </w:t>
      </w:r>
      <w:r>
        <w:rPr>
          <w:sz w:val="15"/>
        </w:rPr>
        <w:t>su</w:t>
      </w:r>
      <w:r>
        <w:rPr>
          <w:spacing w:val="-2"/>
          <w:sz w:val="15"/>
        </w:rPr>
        <w:t xml:space="preserve"> </w:t>
      </w:r>
      <w:r>
        <w:rPr>
          <w:sz w:val="15"/>
        </w:rPr>
        <w:t>aspectos</w:t>
      </w:r>
      <w:r>
        <w:rPr>
          <w:spacing w:val="-2"/>
          <w:sz w:val="15"/>
        </w:rPr>
        <w:t xml:space="preserve"> </w:t>
      </w:r>
      <w:r>
        <w:rPr>
          <w:sz w:val="15"/>
        </w:rPr>
        <w:t>de</w:t>
      </w:r>
      <w:r>
        <w:rPr>
          <w:spacing w:val="-2"/>
          <w:sz w:val="15"/>
        </w:rPr>
        <w:t xml:space="preserve"> </w:t>
      </w:r>
      <w:r>
        <w:rPr>
          <w:sz w:val="15"/>
        </w:rPr>
        <w:t>género”.</w:t>
      </w:r>
      <w:r>
        <w:rPr>
          <w:spacing w:val="-1"/>
          <w:sz w:val="15"/>
        </w:rPr>
        <w:t xml:space="preserve"> </w:t>
      </w:r>
      <w:r>
        <w:rPr>
          <w:sz w:val="15"/>
        </w:rPr>
        <w:t>Si</w:t>
      </w:r>
      <w:r>
        <w:rPr>
          <w:spacing w:val="-2"/>
          <w:sz w:val="15"/>
        </w:rPr>
        <w:t xml:space="preserve"> </w:t>
      </w:r>
      <w:r>
        <w:rPr>
          <w:sz w:val="15"/>
        </w:rPr>
        <w:t>bien</w:t>
      </w:r>
      <w:r>
        <w:rPr>
          <w:spacing w:val="-2"/>
          <w:sz w:val="15"/>
        </w:rPr>
        <w:t xml:space="preserve"> </w:t>
      </w:r>
      <w:r>
        <w:rPr>
          <w:sz w:val="15"/>
        </w:rPr>
        <w:t>la</w:t>
      </w:r>
      <w:r>
        <w:rPr>
          <w:spacing w:val="-2"/>
          <w:sz w:val="15"/>
        </w:rPr>
        <w:t xml:space="preserve"> </w:t>
      </w:r>
      <w:r>
        <w:rPr>
          <w:sz w:val="15"/>
        </w:rPr>
        <w:t>Convención</w:t>
      </w:r>
      <w:r>
        <w:rPr>
          <w:spacing w:val="-2"/>
          <w:sz w:val="15"/>
        </w:rPr>
        <w:t xml:space="preserve"> </w:t>
      </w:r>
      <w:r>
        <w:rPr>
          <w:sz w:val="15"/>
        </w:rPr>
        <w:t>sobre la</w:t>
      </w:r>
      <w:r>
        <w:rPr>
          <w:spacing w:val="-2"/>
          <w:sz w:val="15"/>
        </w:rPr>
        <w:t xml:space="preserve"> </w:t>
      </w:r>
      <w:r>
        <w:rPr>
          <w:sz w:val="15"/>
        </w:rPr>
        <w:t>Eliminación</w:t>
      </w:r>
      <w:r>
        <w:rPr>
          <w:spacing w:val="-2"/>
          <w:sz w:val="15"/>
        </w:rPr>
        <w:t xml:space="preserve"> </w:t>
      </w:r>
      <w:r>
        <w:rPr>
          <w:sz w:val="15"/>
        </w:rPr>
        <w:t>de</w:t>
      </w:r>
      <w:r>
        <w:rPr>
          <w:spacing w:val="-2"/>
          <w:sz w:val="15"/>
        </w:rPr>
        <w:t xml:space="preserve"> </w:t>
      </w:r>
      <w:r>
        <w:rPr>
          <w:sz w:val="15"/>
        </w:rPr>
        <w:t>Todas</w:t>
      </w:r>
      <w:r>
        <w:rPr>
          <w:spacing w:val="-2"/>
          <w:sz w:val="15"/>
        </w:rPr>
        <w:t xml:space="preserve"> </w:t>
      </w:r>
      <w:r>
        <w:rPr>
          <w:sz w:val="15"/>
        </w:rPr>
        <w:t>las</w:t>
      </w:r>
      <w:r>
        <w:rPr>
          <w:spacing w:val="-2"/>
          <w:sz w:val="15"/>
        </w:rPr>
        <w:t xml:space="preserve"> </w:t>
      </w:r>
      <w:r>
        <w:rPr>
          <w:sz w:val="15"/>
        </w:rPr>
        <w:t>Formas</w:t>
      </w:r>
      <w:r>
        <w:rPr>
          <w:spacing w:val="-2"/>
          <w:sz w:val="15"/>
        </w:rPr>
        <w:t xml:space="preserve"> </w:t>
      </w:r>
      <w:r>
        <w:rPr>
          <w:sz w:val="15"/>
        </w:rPr>
        <w:t>de</w:t>
      </w:r>
      <w:r>
        <w:rPr>
          <w:spacing w:val="-2"/>
          <w:sz w:val="15"/>
        </w:rPr>
        <w:t xml:space="preserve"> </w:t>
      </w:r>
      <w:r>
        <w:rPr>
          <w:sz w:val="15"/>
        </w:rPr>
        <w:t>Discriminación</w:t>
      </w:r>
      <w:r>
        <w:rPr>
          <w:spacing w:val="-1"/>
          <w:sz w:val="15"/>
        </w:rPr>
        <w:t xml:space="preserve"> </w:t>
      </w:r>
      <w:r>
        <w:rPr>
          <w:sz w:val="15"/>
        </w:rPr>
        <w:t>contra</w:t>
      </w:r>
      <w:r>
        <w:rPr>
          <w:spacing w:val="-2"/>
          <w:sz w:val="15"/>
        </w:rPr>
        <w:t xml:space="preserve"> </w:t>
      </w:r>
      <w:r>
        <w:rPr>
          <w:sz w:val="15"/>
        </w:rPr>
        <w:t>la</w:t>
      </w:r>
      <w:r>
        <w:rPr>
          <w:spacing w:val="-2"/>
          <w:sz w:val="15"/>
        </w:rPr>
        <w:t xml:space="preserve"> </w:t>
      </w:r>
      <w:r>
        <w:rPr>
          <w:sz w:val="15"/>
        </w:rPr>
        <w:t>Mujer</w:t>
      </w:r>
      <w:r>
        <w:rPr>
          <w:spacing w:val="-2"/>
          <w:sz w:val="15"/>
        </w:rPr>
        <w:t xml:space="preserve"> </w:t>
      </w:r>
      <w:r>
        <w:rPr>
          <w:sz w:val="15"/>
        </w:rPr>
        <w:t>no</w:t>
      </w:r>
      <w:r>
        <w:rPr>
          <w:spacing w:val="-2"/>
          <w:sz w:val="15"/>
        </w:rPr>
        <w:t xml:space="preserve"> </w:t>
      </w:r>
      <w:r>
        <w:rPr>
          <w:sz w:val="15"/>
        </w:rPr>
        <w:t>hace</w:t>
      </w:r>
      <w:r>
        <w:rPr>
          <w:spacing w:val="-2"/>
          <w:sz w:val="15"/>
        </w:rPr>
        <w:t xml:space="preserve"> </w:t>
      </w:r>
      <w:r>
        <w:rPr>
          <w:sz w:val="15"/>
        </w:rPr>
        <w:t>ninguna</w:t>
      </w:r>
      <w:r>
        <w:rPr>
          <w:spacing w:val="-2"/>
          <w:sz w:val="15"/>
        </w:rPr>
        <w:t xml:space="preserve"> </w:t>
      </w:r>
      <w:r>
        <w:rPr>
          <w:sz w:val="15"/>
        </w:rPr>
        <w:t>referencia</w:t>
      </w:r>
      <w:r>
        <w:rPr>
          <w:spacing w:val="-2"/>
          <w:sz w:val="15"/>
        </w:rPr>
        <w:t xml:space="preserve"> </w:t>
      </w:r>
      <w:r>
        <w:rPr>
          <w:sz w:val="15"/>
        </w:rPr>
        <w:t>explícita</w:t>
      </w:r>
      <w:r>
        <w:rPr>
          <w:spacing w:val="-2"/>
          <w:sz w:val="15"/>
        </w:rPr>
        <w:t xml:space="preserve"> </w:t>
      </w:r>
      <w:r>
        <w:rPr>
          <w:sz w:val="15"/>
        </w:rPr>
        <w:t>a</w:t>
      </w:r>
      <w:r>
        <w:rPr>
          <w:spacing w:val="-2"/>
          <w:sz w:val="15"/>
        </w:rPr>
        <w:t xml:space="preserve"> </w:t>
      </w:r>
      <w:r>
        <w:rPr>
          <w:sz w:val="15"/>
        </w:rPr>
        <w:t>la</w:t>
      </w:r>
      <w:r>
        <w:rPr>
          <w:spacing w:val="-2"/>
          <w:sz w:val="15"/>
        </w:rPr>
        <w:t xml:space="preserve"> </w:t>
      </w:r>
      <w:r>
        <w:rPr>
          <w:sz w:val="15"/>
        </w:rPr>
        <w:t>violencia</w:t>
      </w:r>
      <w:r>
        <w:rPr>
          <w:spacing w:val="-2"/>
          <w:sz w:val="15"/>
        </w:rPr>
        <w:t xml:space="preserve"> </w:t>
      </w:r>
      <w:r>
        <w:rPr>
          <w:sz w:val="15"/>
        </w:rPr>
        <w:t>discriminatoria, el Comité respectivo ha dedicado importante atención a la violencia de género contra la mujer, que ha definido como “una forma de discriminación que inhibe gravemente el derecho de las mujeres”. capacidad de disfrutar de derechos y libertades en igualdad de</w:t>
      </w:r>
    </w:p>
    <w:p w14:paraId="2C0CCF14" w14:textId="77777777" w:rsidR="0014798C" w:rsidRDefault="004E1F0B">
      <w:pPr>
        <w:spacing w:line="348" w:lineRule="auto"/>
        <w:ind w:left="1107" w:right="1217"/>
        <w:rPr>
          <w:sz w:val="15"/>
        </w:rPr>
      </w:pPr>
      <w:r>
        <w:rPr>
          <w:sz w:val="15"/>
        </w:rPr>
        <w:t>condiciones</w:t>
      </w:r>
      <w:r>
        <w:rPr>
          <w:spacing w:val="-2"/>
          <w:sz w:val="15"/>
        </w:rPr>
        <w:t xml:space="preserve"> </w:t>
      </w:r>
      <w:r>
        <w:rPr>
          <w:sz w:val="15"/>
        </w:rPr>
        <w:t>con</w:t>
      </w:r>
      <w:r>
        <w:rPr>
          <w:spacing w:val="-2"/>
          <w:sz w:val="15"/>
        </w:rPr>
        <w:t xml:space="preserve"> </w:t>
      </w:r>
      <w:r>
        <w:rPr>
          <w:sz w:val="15"/>
        </w:rPr>
        <w:t>los</w:t>
      </w:r>
      <w:r>
        <w:rPr>
          <w:spacing w:val="-2"/>
          <w:sz w:val="15"/>
        </w:rPr>
        <w:t xml:space="preserve"> </w:t>
      </w:r>
      <w:r>
        <w:rPr>
          <w:sz w:val="15"/>
        </w:rPr>
        <w:t>hombres”</w:t>
      </w:r>
      <w:r>
        <w:rPr>
          <w:spacing w:val="-2"/>
          <w:sz w:val="15"/>
        </w:rPr>
        <w:t xml:space="preserve"> </w:t>
      </w:r>
      <w:r>
        <w:rPr>
          <w:sz w:val="15"/>
        </w:rPr>
        <w:t>y,</w:t>
      </w:r>
      <w:r>
        <w:rPr>
          <w:spacing w:val="-2"/>
          <w:sz w:val="15"/>
        </w:rPr>
        <w:t xml:space="preserve"> </w:t>
      </w:r>
      <w:r>
        <w:rPr>
          <w:sz w:val="15"/>
        </w:rPr>
        <w:t>por</w:t>
      </w:r>
      <w:r>
        <w:rPr>
          <w:spacing w:val="-2"/>
          <w:sz w:val="15"/>
        </w:rPr>
        <w:t xml:space="preserve"> </w:t>
      </w:r>
      <w:r>
        <w:rPr>
          <w:sz w:val="15"/>
        </w:rPr>
        <w:t>lo</w:t>
      </w:r>
      <w:r>
        <w:rPr>
          <w:spacing w:val="-2"/>
          <w:sz w:val="15"/>
        </w:rPr>
        <w:t xml:space="preserve"> </w:t>
      </w:r>
      <w:r>
        <w:rPr>
          <w:sz w:val="15"/>
        </w:rPr>
        <w:t>tanto,</w:t>
      </w:r>
      <w:r>
        <w:rPr>
          <w:spacing w:val="-1"/>
          <w:sz w:val="15"/>
        </w:rPr>
        <w:t xml:space="preserve"> </w:t>
      </w:r>
      <w:r>
        <w:rPr>
          <w:sz w:val="15"/>
        </w:rPr>
        <w:t>cae</w:t>
      </w:r>
      <w:r>
        <w:rPr>
          <w:spacing w:val="-2"/>
          <w:sz w:val="15"/>
        </w:rPr>
        <w:t xml:space="preserve"> </w:t>
      </w:r>
      <w:r>
        <w:rPr>
          <w:sz w:val="15"/>
        </w:rPr>
        <w:t>dentro</w:t>
      </w:r>
      <w:r>
        <w:rPr>
          <w:spacing w:val="-2"/>
          <w:sz w:val="15"/>
        </w:rPr>
        <w:t xml:space="preserve"> </w:t>
      </w:r>
      <w:r>
        <w:rPr>
          <w:sz w:val="15"/>
        </w:rPr>
        <w:t>del</w:t>
      </w:r>
      <w:r>
        <w:rPr>
          <w:spacing w:val="-2"/>
          <w:sz w:val="15"/>
        </w:rPr>
        <w:t xml:space="preserve"> </w:t>
      </w:r>
      <w:r>
        <w:rPr>
          <w:sz w:val="15"/>
        </w:rPr>
        <w:t>alcance</w:t>
      </w:r>
      <w:r>
        <w:rPr>
          <w:spacing w:val="-2"/>
          <w:sz w:val="15"/>
        </w:rPr>
        <w:t xml:space="preserve"> </w:t>
      </w:r>
      <w:r>
        <w:rPr>
          <w:sz w:val="15"/>
        </w:rPr>
        <w:t>del</w:t>
      </w:r>
      <w:r>
        <w:rPr>
          <w:spacing w:val="-2"/>
          <w:sz w:val="15"/>
        </w:rPr>
        <w:t xml:space="preserve"> </w:t>
      </w:r>
      <w:r>
        <w:rPr>
          <w:sz w:val="15"/>
        </w:rPr>
        <w:t>artículo</w:t>
      </w:r>
      <w:r>
        <w:rPr>
          <w:spacing w:val="-2"/>
          <w:sz w:val="15"/>
        </w:rPr>
        <w:t xml:space="preserve"> </w:t>
      </w:r>
      <w:r>
        <w:rPr>
          <w:sz w:val="15"/>
        </w:rPr>
        <w:t>1</w:t>
      </w:r>
      <w:r>
        <w:rPr>
          <w:spacing w:val="-2"/>
          <w:sz w:val="15"/>
        </w:rPr>
        <w:t xml:space="preserve"> </w:t>
      </w:r>
      <w:r>
        <w:rPr>
          <w:sz w:val="15"/>
        </w:rPr>
        <w:t>de</w:t>
      </w:r>
      <w:r>
        <w:rPr>
          <w:spacing w:val="-2"/>
          <w:sz w:val="15"/>
        </w:rPr>
        <w:t xml:space="preserve"> </w:t>
      </w:r>
      <w:r>
        <w:rPr>
          <w:sz w:val="15"/>
        </w:rPr>
        <w:t>la</w:t>
      </w:r>
      <w:r>
        <w:rPr>
          <w:spacing w:val="-2"/>
          <w:sz w:val="15"/>
        </w:rPr>
        <w:t xml:space="preserve"> </w:t>
      </w:r>
      <w:r>
        <w:rPr>
          <w:sz w:val="15"/>
        </w:rPr>
        <w:t>Convención.1104</w:t>
      </w:r>
      <w:r>
        <w:rPr>
          <w:spacing w:val="-2"/>
          <w:sz w:val="15"/>
        </w:rPr>
        <w:t xml:space="preserve"> </w:t>
      </w:r>
      <w:r>
        <w:rPr>
          <w:sz w:val="15"/>
        </w:rPr>
        <w:t>Como</w:t>
      </w:r>
      <w:r>
        <w:rPr>
          <w:spacing w:val="-2"/>
          <w:sz w:val="15"/>
        </w:rPr>
        <w:t xml:space="preserve"> </w:t>
      </w:r>
      <w:r>
        <w:rPr>
          <w:sz w:val="15"/>
        </w:rPr>
        <w:t>se</w:t>
      </w:r>
      <w:r>
        <w:rPr>
          <w:spacing w:val="-2"/>
          <w:sz w:val="15"/>
        </w:rPr>
        <w:t xml:space="preserve"> </w:t>
      </w:r>
      <w:r>
        <w:rPr>
          <w:sz w:val="15"/>
        </w:rPr>
        <w:t>establece</w:t>
      </w:r>
      <w:r>
        <w:rPr>
          <w:spacing w:val="-2"/>
          <w:sz w:val="15"/>
        </w:rPr>
        <w:t xml:space="preserve"> </w:t>
      </w:r>
      <w:r>
        <w:rPr>
          <w:sz w:val="15"/>
        </w:rPr>
        <w:t>a</w:t>
      </w:r>
      <w:r>
        <w:rPr>
          <w:spacing w:val="-2"/>
          <w:sz w:val="15"/>
        </w:rPr>
        <w:t xml:space="preserve"> </w:t>
      </w:r>
      <w:r>
        <w:rPr>
          <w:sz w:val="15"/>
        </w:rPr>
        <w:t>continuación, el Comité ha elaborado sobre la obligación de los Estados de “velar por que todas las formas de discriminación de género La violencia</w:t>
      </w:r>
      <w:r>
        <w:rPr>
          <w:spacing w:val="40"/>
          <w:sz w:val="15"/>
        </w:rPr>
        <w:t xml:space="preserve"> </w:t>
      </w:r>
      <w:r>
        <w:rPr>
          <w:sz w:val="15"/>
        </w:rPr>
        <w:t>contra las mujeres en todos los ámbitos, que constituye una violación de su integridad física, sexual o psicológica, se tipifica como delito y</w:t>
      </w:r>
    </w:p>
    <w:p w14:paraId="02710152" w14:textId="77777777" w:rsidR="0014798C" w:rsidRDefault="004E1F0B">
      <w:pPr>
        <w:spacing w:line="171" w:lineRule="exact"/>
        <w:ind w:left="1111"/>
        <w:rPr>
          <w:sz w:val="15"/>
        </w:rPr>
      </w:pPr>
      <w:r>
        <w:rPr>
          <w:sz w:val="15"/>
        </w:rPr>
        <w:t>se</w:t>
      </w:r>
      <w:r>
        <w:rPr>
          <w:spacing w:val="-7"/>
          <w:sz w:val="15"/>
        </w:rPr>
        <w:t xml:space="preserve"> </w:t>
      </w:r>
      <w:r>
        <w:rPr>
          <w:sz w:val="15"/>
        </w:rPr>
        <w:t>introducen,</w:t>
      </w:r>
      <w:r>
        <w:rPr>
          <w:spacing w:val="-3"/>
          <w:sz w:val="15"/>
        </w:rPr>
        <w:t xml:space="preserve"> </w:t>
      </w:r>
      <w:r>
        <w:rPr>
          <w:sz w:val="15"/>
        </w:rPr>
        <w:t>sin</w:t>
      </w:r>
      <w:r>
        <w:rPr>
          <w:spacing w:val="-4"/>
          <w:sz w:val="15"/>
        </w:rPr>
        <w:t xml:space="preserve"> </w:t>
      </w:r>
      <w:r>
        <w:rPr>
          <w:sz w:val="15"/>
        </w:rPr>
        <w:t>demora,</w:t>
      </w:r>
      <w:r>
        <w:rPr>
          <w:spacing w:val="-3"/>
          <w:sz w:val="15"/>
        </w:rPr>
        <w:t xml:space="preserve"> </w:t>
      </w:r>
      <w:r>
        <w:rPr>
          <w:sz w:val="15"/>
        </w:rPr>
        <w:t>o</w:t>
      </w:r>
      <w:r>
        <w:rPr>
          <w:spacing w:val="-4"/>
          <w:sz w:val="15"/>
        </w:rPr>
        <w:t xml:space="preserve"> </w:t>
      </w:r>
      <w:r>
        <w:rPr>
          <w:sz w:val="15"/>
        </w:rPr>
        <w:t>se</w:t>
      </w:r>
      <w:r>
        <w:rPr>
          <w:spacing w:val="-4"/>
          <w:sz w:val="15"/>
        </w:rPr>
        <w:t xml:space="preserve"> </w:t>
      </w:r>
      <w:r>
        <w:rPr>
          <w:sz w:val="15"/>
        </w:rPr>
        <w:t>refuerzan,</w:t>
      </w:r>
      <w:r>
        <w:rPr>
          <w:spacing w:val="-4"/>
          <w:sz w:val="15"/>
        </w:rPr>
        <w:t xml:space="preserve"> </w:t>
      </w:r>
      <w:r>
        <w:rPr>
          <w:sz w:val="15"/>
        </w:rPr>
        <w:t>sanciones</w:t>
      </w:r>
      <w:r>
        <w:rPr>
          <w:spacing w:val="-4"/>
          <w:sz w:val="15"/>
        </w:rPr>
        <w:t xml:space="preserve"> </w:t>
      </w:r>
      <w:r>
        <w:rPr>
          <w:sz w:val="15"/>
        </w:rPr>
        <w:t>legales</w:t>
      </w:r>
      <w:r>
        <w:rPr>
          <w:spacing w:val="-4"/>
          <w:sz w:val="15"/>
        </w:rPr>
        <w:t xml:space="preserve"> </w:t>
      </w:r>
      <w:r>
        <w:rPr>
          <w:sz w:val="15"/>
        </w:rPr>
        <w:t>acordes</w:t>
      </w:r>
      <w:r>
        <w:rPr>
          <w:spacing w:val="-4"/>
          <w:sz w:val="15"/>
        </w:rPr>
        <w:t xml:space="preserve"> </w:t>
      </w:r>
      <w:r>
        <w:rPr>
          <w:sz w:val="15"/>
        </w:rPr>
        <w:t>con</w:t>
      </w:r>
      <w:r>
        <w:rPr>
          <w:spacing w:val="-4"/>
          <w:sz w:val="15"/>
        </w:rPr>
        <w:t xml:space="preserve"> </w:t>
      </w:r>
      <w:r>
        <w:rPr>
          <w:sz w:val="15"/>
        </w:rPr>
        <w:t>la</w:t>
      </w:r>
      <w:r>
        <w:rPr>
          <w:spacing w:val="-4"/>
          <w:sz w:val="15"/>
        </w:rPr>
        <w:t xml:space="preserve"> </w:t>
      </w:r>
      <w:r>
        <w:rPr>
          <w:sz w:val="15"/>
        </w:rPr>
        <w:t>gravedad</w:t>
      </w:r>
      <w:r>
        <w:rPr>
          <w:spacing w:val="-4"/>
          <w:sz w:val="15"/>
        </w:rPr>
        <w:t xml:space="preserve"> </w:t>
      </w:r>
      <w:r>
        <w:rPr>
          <w:sz w:val="15"/>
        </w:rPr>
        <w:t>del</w:t>
      </w:r>
      <w:r>
        <w:rPr>
          <w:spacing w:val="-5"/>
          <w:sz w:val="15"/>
        </w:rPr>
        <w:t xml:space="preserve"> </w:t>
      </w:r>
      <w:r>
        <w:rPr>
          <w:sz w:val="15"/>
        </w:rPr>
        <w:t>delito,</w:t>
      </w:r>
      <w:r>
        <w:rPr>
          <w:spacing w:val="-3"/>
          <w:sz w:val="15"/>
        </w:rPr>
        <w:t xml:space="preserve"> </w:t>
      </w:r>
      <w:r>
        <w:rPr>
          <w:sz w:val="15"/>
        </w:rPr>
        <w:t>así</w:t>
      </w:r>
      <w:r>
        <w:rPr>
          <w:spacing w:val="-3"/>
          <w:sz w:val="15"/>
        </w:rPr>
        <w:t xml:space="preserve"> </w:t>
      </w:r>
      <w:r>
        <w:rPr>
          <w:sz w:val="15"/>
        </w:rPr>
        <w:t>como</w:t>
      </w:r>
      <w:r>
        <w:rPr>
          <w:spacing w:val="-4"/>
          <w:sz w:val="15"/>
        </w:rPr>
        <w:t xml:space="preserve"> </w:t>
      </w:r>
      <w:r>
        <w:rPr>
          <w:sz w:val="15"/>
        </w:rPr>
        <w:t>recursos</w:t>
      </w:r>
      <w:r>
        <w:rPr>
          <w:spacing w:val="-4"/>
          <w:sz w:val="15"/>
        </w:rPr>
        <w:t xml:space="preserve"> </w:t>
      </w:r>
      <w:r>
        <w:rPr>
          <w:sz w:val="15"/>
        </w:rPr>
        <w:t>civiles”.</w:t>
      </w:r>
      <w:r>
        <w:rPr>
          <w:spacing w:val="-3"/>
          <w:sz w:val="15"/>
        </w:rPr>
        <w:t xml:space="preserve"> </w:t>
      </w:r>
      <w:r>
        <w:rPr>
          <w:spacing w:val="-2"/>
          <w:sz w:val="15"/>
        </w:rPr>
        <w:t>.1105</w:t>
      </w:r>
    </w:p>
    <w:p w14:paraId="444C4C1A" w14:textId="77777777" w:rsidR="0014798C" w:rsidRDefault="0014798C">
      <w:pPr>
        <w:pStyle w:val="Textoindependiente"/>
        <w:rPr>
          <w:sz w:val="15"/>
        </w:rPr>
      </w:pPr>
    </w:p>
    <w:p w14:paraId="3E106CD2" w14:textId="77777777" w:rsidR="0014798C" w:rsidRDefault="0014798C">
      <w:pPr>
        <w:pStyle w:val="Textoindependiente"/>
        <w:rPr>
          <w:sz w:val="15"/>
        </w:rPr>
      </w:pPr>
    </w:p>
    <w:p w14:paraId="172B89EF" w14:textId="77777777" w:rsidR="0014798C" w:rsidRDefault="0014798C">
      <w:pPr>
        <w:pStyle w:val="Textoindependiente"/>
        <w:rPr>
          <w:sz w:val="15"/>
        </w:rPr>
      </w:pPr>
    </w:p>
    <w:p w14:paraId="7C5760E6" w14:textId="77777777" w:rsidR="0014798C" w:rsidRDefault="0014798C">
      <w:pPr>
        <w:pStyle w:val="Textoindependiente"/>
        <w:spacing w:before="53"/>
        <w:rPr>
          <w:sz w:val="15"/>
        </w:rPr>
      </w:pPr>
    </w:p>
    <w:p w14:paraId="3F2D57E8" w14:textId="77777777" w:rsidR="0014798C" w:rsidRDefault="004E1F0B">
      <w:pPr>
        <w:spacing w:before="1" w:line="348" w:lineRule="auto"/>
        <w:ind w:left="1107" w:right="1431" w:hanging="1"/>
        <w:jc w:val="both"/>
        <w:rPr>
          <w:sz w:val="15"/>
        </w:rPr>
      </w:pPr>
      <w:r>
        <w:rPr>
          <w:sz w:val="15"/>
        </w:rPr>
        <w:t>El</w:t>
      </w:r>
      <w:r>
        <w:rPr>
          <w:spacing w:val="-1"/>
          <w:sz w:val="15"/>
        </w:rPr>
        <w:t xml:space="preserve"> </w:t>
      </w:r>
      <w:r>
        <w:rPr>
          <w:sz w:val="15"/>
        </w:rPr>
        <w:t>derecho</w:t>
      </w:r>
      <w:r>
        <w:rPr>
          <w:spacing w:val="-1"/>
          <w:sz w:val="15"/>
        </w:rPr>
        <w:t xml:space="preserve"> </w:t>
      </w:r>
      <w:r>
        <w:rPr>
          <w:sz w:val="15"/>
        </w:rPr>
        <w:t>a</w:t>
      </w:r>
      <w:r>
        <w:rPr>
          <w:spacing w:val="-1"/>
          <w:sz w:val="15"/>
        </w:rPr>
        <w:t xml:space="preserve"> </w:t>
      </w:r>
      <w:r>
        <w:rPr>
          <w:sz w:val="15"/>
        </w:rPr>
        <w:t>la</w:t>
      </w:r>
      <w:r>
        <w:rPr>
          <w:spacing w:val="-1"/>
          <w:sz w:val="15"/>
        </w:rPr>
        <w:t xml:space="preserve"> </w:t>
      </w:r>
      <w:r>
        <w:rPr>
          <w:sz w:val="15"/>
        </w:rPr>
        <w:t>“seguridad personal”</w:t>
      </w:r>
      <w:r>
        <w:rPr>
          <w:spacing w:val="-1"/>
          <w:sz w:val="15"/>
        </w:rPr>
        <w:t xml:space="preserve"> </w:t>
      </w:r>
      <w:r>
        <w:rPr>
          <w:sz w:val="15"/>
        </w:rPr>
        <w:t>consagrado en</w:t>
      </w:r>
      <w:r>
        <w:rPr>
          <w:spacing w:val="-1"/>
          <w:sz w:val="15"/>
        </w:rPr>
        <w:t xml:space="preserve"> </w:t>
      </w:r>
      <w:r>
        <w:rPr>
          <w:sz w:val="15"/>
        </w:rPr>
        <w:t>el</w:t>
      </w:r>
      <w:r>
        <w:rPr>
          <w:spacing w:val="-1"/>
          <w:sz w:val="15"/>
        </w:rPr>
        <w:t xml:space="preserve"> </w:t>
      </w:r>
      <w:r>
        <w:rPr>
          <w:sz w:val="15"/>
        </w:rPr>
        <w:t>artículo</w:t>
      </w:r>
      <w:r>
        <w:rPr>
          <w:spacing w:val="-1"/>
          <w:sz w:val="15"/>
        </w:rPr>
        <w:t xml:space="preserve"> </w:t>
      </w:r>
      <w:r>
        <w:rPr>
          <w:sz w:val="15"/>
        </w:rPr>
        <w:t>9</w:t>
      </w:r>
      <w:r>
        <w:rPr>
          <w:spacing w:val="-1"/>
          <w:sz w:val="15"/>
        </w:rPr>
        <w:t xml:space="preserve"> </w:t>
      </w:r>
      <w:r>
        <w:rPr>
          <w:sz w:val="15"/>
        </w:rPr>
        <w:t>(1)</w:t>
      </w:r>
      <w:r>
        <w:rPr>
          <w:spacing w:val="-1"/>
          <w:sz w:val="15"/>
        </w:rPr>
        <w:t xml:space="preserve"> </w:t>
      </w:r>
      <w:r>
        <w:rPr>
          <w:sz w:val="15"/>
        </w:rPr>
        <w:t>del</w:t>
      </w:r>
      <w:r>
        <w:rPr>
          <w:spacing w:val="-1"/>
          <w:sz w:val="15"/>
        </w:rPr>
        <w:t xml:space="preserve"> </w:t>
      </w:r>
      <w:r>
        <w:rPr>
          <w:sz w:val="15"/>
        </w:rPr>
        <w:t>Pacto</w:t>
      </w:r>
      <w:r>
        <w:rPr>
          <w:spacing w:val="-1"/>
          <w:sz w:val="15"/>
        </w:rPr>
        <w:t xml:space="preserve"> </w:t>
      </w:r>
      <w:r>
        <w:rPr>
          <w:sz w:val="15"/>
        </w:rPr>
        <w:t>Internacional</w:t>
      </w:r>
      <w:r>
        <w:rPr>
          <w:spacing w:val="-1"/>
          <w:sz w:val="15"/>
        </w:rPr>
        <w:t xml:space="preserve"> </w:t>
      </w:r>
      <w:r>
        <w:rPr>
          <w:sz w:val="15"/>
        </w:rPr>
        <w:t>de</w:t>
      </w:r>
      <w:r>
        <w:rPr>
          <w:spacing w:val="-1"/>
          <w:sz w:val="15"/>
        </w:rPr>
        <w:t xml:space="preserve"> </w:t>
      </w:r>
      <w:r>
        <w:rPr>
          <w:sz w:val="15"/>
        </w:rPr>
        <w:t>Derechos</w:t>
      </w:r>
      <w:r>
        <w:rPr>
          <w:spacing w:val="-1"/>
          <w:sz w:val="15"/>
        </w:rPr>
        <w:t xml:space="preserve"> </w:t>
      </w:r>
      <w:r>
        <w:rPr>
          <w:sz w:val="15"/>
        </w:rPr>
        <w:t>Civiles</w:t>
      </w:r>
      <w:r>
        <w:rPr>
          <w:spacing w:val="-1"/>
          <w:sz w:val="15"/>
        </w:rPr>
        <w:t xml:space="preserve"> </w:t>
      </w:r>
      <w:r>
        <w:rPr>
          <w:sz w:val="15"/>
        </w:rPr>
        <w:t>y</w:t>
      </w:r>
      <w:r>
        <w:rPr>
          <w:spacing w:val="-1"/>
          <w:sz w:val="15"/>
        </w:rPr>
        <w:t xml:space="preserve"> </w:t>
      </w:r>
      <w:r>
        <w:rPr>
          <w:sz w:val="15"/>
        </w:rPr>
        <w:t>Políticos</w:t>
      </w:r>
      <w:r>
        <w:rPr>
          <w:spacing w:val="-1"/>
          <w:sz w:val="15"/>
        </w:rPr>
        <w:t xml:space="preserve"> </w:t>
      </w:r>
      <w:r>
        <w:rPr>
          <w:sz w:val="15"/>
        </w:rPr>
        <w:t>prohíbe</w:t>
      </w:r>
      <w:r>
        <w:rPr>
          <w:spacing w:val="-1"/>
          <w:sz w:val="15"/>
        </w:rPr>
        <w:t xml:space="preserve"> </w:t>
      </w:r>
      <w:r>
        <w:rPr>
          <w:sz w:val="15"/>
        </w:rPr>
        <w:t>todas las</w:t>
      </w:r>
      <w:r>
        <w:rPr>
          <w:spacing w:val="-2"/>
          <w:sz w:val="15"/>
        </w:rPr>
        <w:t xml:space="preserve"> </w:t>
      </w:r>
      <w:r>
        <w:rPr>
          <w:sz w:val="15"/>
        </w:rPr>
        <w:t>formas</w:t>
      </w:r>
      <w:r>
        <w:rPr>
          <w:spacing w:val="-2"/>
          <w:sz w:val="15"/>
        </w:rPr>
        <w:t xml:space="preserve"> </w:t>
      </w:r>
      <w:r>
        <w:rPr>
          <w:sz w:val="15"/>
        </w:rPr>
        <w:t>de</w:t>
      </w:r>
      <w:r>
        <w:rPr>
          <w:spacing w:val="-2"/>
          <w:sz w:val="15"/>
        </w:rPr>
        <w:t xml:space="preserve"> </w:t>
      </w:r>
      <w:r>
        <w:rPr>
          <w:sz w:val="15"/>
        </w:rPr>
        <w:t>violencia,</w:t>
      </w:r>
      <w:r>
        <w:rPr>
          <w:spacing w:val="-1"/>
          <w:sz w:val="15"/>
        </w:rPr>
        <w:t xml:space="preserve"> </w:t>
      </w:r>
      <w:r>
        <w:rPr>
          <w:sz w:val="15"/>
        </w:rPr>
        <w:t>incluso</w:t>
      </w:r>
      <w:r>
        <w:rPr>
          <w:spacing w:val="-2"/>
          <w:sz w:val="15"/>
        </w:rPr>
        <w:t xml:space="preserve"> </w:t>
      </w:r>
      <w:r>
        <w:rPr>
          <w:sz w:val="15"/>
        </w:rPr>
        <w:t>por</w:t>
      </w:r>
      <w:r>
        <w:rPr>
          <w:spacing w:val="-2"/>
          <w:sz w:val="15"/>
        </w:rPr>
        <w:t xml:space="preserve"> </w:t>
      </w:r>
      <w:r>
        <w:rPr>
          <w:sz w:val="15"/>
        </w:rPr>
        <w:t>motivos</w:t>
      </w:r>
      <w:r>
        <w:rPr>
          <w:spacing w:val="-2"/>
          <w:sz w:val="15"/>
        </w:rPr>
        <w:t xml:space="preserve"> </w:t>
      </w:r>
      <w:r>
        <w:rPr>
          <w:sz w:val="15"/>
        </w:rPr>
        <w:t>discriminatorios, como</w:t>
      </w:r>
      <w:r>
        <w:rPr>
          <w:spacing w:val="-2"/>
          <w:sz w:val="15"/>
        </w:rPr>
        <w:t xml:space="preserve"> </w:t>
      </w:r>
      <w:r>
        <w:rPr>
          <w:sz w:val="15"/>
        </w:rPr>
        <w:t>la</w:t>
      </w:r>
      <w:r>
        <w:rPr>
          <w:spacing w:val="-2"/>
          <w:sz w:val="15"/>
        </w:rPr>
        <w:t xml:space="preserve"> </w:t>
      </w:r>
      <w:r>
        <w:rPr>
          <w:sz w:val="15"/>
        </w:rPr>
        <w:t>orientación</w:t>
      </w:r>
      <w:r>
        <w:rPr>
          <w:spacing w:val="-2"/>
          <w:sz w:val="15"/>
        </w:rPr>
        <w:t xml:space="preserve"> </w:t>
      </w:r>
      <w:r>
        <w:rPr>
          <w:sz w:val="15"/>
        </w:rPr>
        <w:t>sexual,</w:t>
      </w:r>
      <w:r>
        <w:rPr>
          <w:spacing w:val="-1"/>
          <w:sz w:val="15"/>
        </w:rPr>
        <w:t xml:space="preserve"> </w:t>
      </w:r>
      <w:r>
        <w:rPr>
          <w:sz w:val="15"/>
        </w:rPr>
        <w:t>la</w:t>
      </w:r>
      <w:r>
        <w:rPr>
          <w:spacing w:val="-2"/>
          <w:sz w:val="15"/>
        </w:rPr>
        <w:t xml:space="preserve"> </w:t>
      </w:r>
      <w:r>
        <w:rPr>
          <w:sz w:val="15"/>
        </w:rPr>
        <w:t>identidad</w:t>
      </w:r>
      <w:r>
        <w:rPr>
          <w:spacing w:val="-2"/>
          <w:sz w:val="15"/>
        </w:rPr>
        <w:t xml:space="preserve"> </w:t>
      </w:r>
      <w:r>
        <w:rPr>
          <w:sz w:val="15"/>
        </w:rPr>
        <w:t>de</w:t>
      </w:r>
      <w:r>
        <w:rPr>
          <w:spacing w:val="-2"/>
          <w:sz w:val="15"/>
        </w:rPr>
        <w:t xml:space="preserve"> </w:t>
      </w:r>
      <w:r>
        <w:rPr>
          <w:sz w:val="15"/>
        </w:rPr>
        <w:t>género</w:t>
      </w:r>
      <w:r>
        <w:rPr>
          <w:spacing w:val="-2"/>
          <w:sz w:val="15"/>
        </w:rPr>
        <w:t xml:space="preserve"> </w:t>
      </w:r>
      <w:r>
        <w:rPr>
          <w:sz w:val="15"/>
        </w:rPr>
        <w:t>y</w:t>
      </w:r>
      <w:r>
        <w:rPr>
          <w:spacing w:val="-2"/>
          <w:sz w:val="15"/>
        </w:rPr>
        <w:t xml:space="preserve"> </w:t>
      </w:r>
      <w:r>
        <w:rPr>
          <w:sz w:val="15"/>
        </w:rPr>
        <w:t>la</w:t>
      </w:r>
      <w:r>
        <w:rPr>
          <w:spacing w:val="-2"/>
          <w:sz w:val="15"/>
        </w:rPr>
        <w:t xml:space="preserve"> </w:t>
      </w:r>
      <w:r>
        <w:rPr>
          <w:sz w:val="15"/>
        </w:rPr>
        <w:t>discapacidad.1106</w:t>
      </w:r>
      <w:r>
        <w:rPr>
          <w:spacing w:val="-2"/>
          <w:sz w:val="15"/>
        </w:rPr>
        <w:t xml:space="preserve"> </w:t>
      </w:r>
      <w:r>
        <w:rPr>
          <w:sz w:val="15"/>
        </w:rPr>
        <w:t>El Comité de Derechos Humanos ha confirmó que la respuesta necesaria a esa violencia</w:t>
      </w:r>
    </w:p>
    <w:p w14:paraId="49923EF7" w14:textId="77777777" w:rsidR="0014798C" w:rsidRDefault="0014798C">
      <w:pPr>
        <w:pStyle w:val="Textoindependiente"/>
        <w:rPr>
          <w:sz w:val="12"/>
        </w:rPr>
      </w:pPr>
    </w:p>
    <w:p w14:paraId="0A8661DA" w14:textId="77777777" w:rsidR="0014798C" w:rsidRDefault="0014798C">
      <w:pPr>
        <w:pStyle w:val="Textoindependiente"/>
        <w:rPr>
          <w:sz w:val="12"/>
        </w:rPr>
      </w:pPr>
    </w:p>
    <w:p w14:paraId="60648CAF" w14:textId="77777777" w:rsidR="0014798C" w:rsidRDefault="0014798C">
      <w:pPr>
        <w:pStyle w:val="Textoindependiente"/>
        <w:rPr>
          <w:sz w:val="12"/>
        </w:rPr>
      </w:pPr>
    </w:p>
    <w:p w14:paraId="0C760106" w14:textId="77777777" w:rsidR="0014798C" w:rsidRDefault="0014798C">
      <w:pPr>
        <w:pStyle w:val="Textoindependiente"/>
        <w:rPr>
          <w:sz w:val="12"/>
        </w:rPr>
      </w:pPr>
    </w:p>
    <w:p w14:paraId="261208CA" w14:textId="77777777" w:rsidR="0014798C" w:rsidRDefault="0014798C">
      <w:pPr>
        <w:pStyle w:val="Textoindependiente"/>
        <w:rPr>
          <w:sz w:val="12"/>
        </w:rPr>
      </w:pPr>
    </w:p>
    <w:p w14:paraId="1CE7FD69" w14:textId="77777777" w:rsidR="0014798C" w:rsidRDefault="0014798C">
      <w:pPr>
        <w:pStyle w:val="Textoindependiente"/>
        <w:rPr>
          <w:sz w:val="12"/>
        </w:rPr>
      </w:pPr>
    </w:p>
    <w:p w14:paraId="0AF15853" w14:textId="77777777" w:rsidR="0014798C" w:rsidRDefault="0014798C">
      <w:pPr>
        <w:pStyle w:val="Textoindependiente"/>
        <w:spacing w:before="39"/>
        <w:rPr>
          <w:sz w:val="12"/>
        </w:rPr>
      </w:pPr>
    </w:p>
    <w:p w14:paraId="67D61DF3" w14:textId="77777777" w:rsidR="0014798C" w:rsidRDefault="004E1F0B">
      <w:pPr>
        <w:ind w:left="1111"/>
        <w:rPr>
          <w:sz w:val="12"/>
        </w:rPr>
      </w:pPr>
      <w:r>
        <w:rPr>
          <w:sz w:val="12"/>
        </w:rPr>
        <w:t>1103</w:t>
      </w:r>
      <w:r>
        <w:rPr>
          <w:spacing w:val="3"/>
          <w:sz w:val="12"/>
        </w:rPr>
        <w:t xml:space="preserve"> </w:t>
      </w:r>
      <w:r>
        <w:rPr>
          <w:sz w:val="12"/>
        </w:rPr>
        <w:t>El</w:t>
      </w:r>
      <w:r>
        <w:rPr>
          <w:spacing w:val="3"/>
          <w:sz w:val="12"/>
        </w:rPr>
        <w:t xml:space="preserve"> </w:t>
      </w:r>
      <w:r>
        <w:rPr>
          <w:sz w:val="12"/>
        </w:rPr>
        <w:t>Comité</w:t>
      </w:r>
      <w:r>
        <w:rPr>
          <w:spacing w:val="3"/>
          <w:sz w:val="12"/>
        </w:rPr>
        <w:t xml:space="preserve"> </w:t>
      </w:r>
      <w:r>
        <w:rPr>
          <w:sz w:val="12"/>
        </w:rPr>
        <w:t>para</w:t>
      </w:r>
      <w:r>
        <w:rPr>
          <w:spacing w:val="3"/>
          <w:sz w:val="12"/>
        </w:rPr>
        <w:t xml:space="preserve"> </w:t>
      </w:r>
      <w:r>
        <w:rPr>
          <w:sz w:val="12"/>
        </w:rPr>
        <w:t>la</w:t>
      </w:r>
      <w:r>
        <w:rPr>
          <w:spacing w:val="3"/>
          <w:sz w:val="12"/>
        </w:rPr>
        <w:t xml:space="preserve"> </w:t>
      </w:r>
      <w:r>
        <w:rPr>
          <w:sz w:val="12"/>
        </w:rPr>
        <w:t>Eliminación</w:t>
      </w:r>
      <w:r>
        <w:rPr>
          <w:spacing w:val="3"/>
          <w:sz w:val="12"/>
        </w:rPr>
        <w:t xml:space="preserve"> </w:t>
      </w:r>
      <w:r>
        <w:rPr>
          <w:sz w:val="12"/>
        </w:rPr>
        <w:t>de</w:t>
      </w:r>
      <w:r>
        <w:rPr>
          <w:spacing w:val="3"/>
          <w:sz w:val="12"/>
        </w:rPr>
        <w:t xml:space="preserve"> </w:t>
      </w:r>
      <w:r>
        <w:rPr>
          <w:sz w:val="12"/>
        </w:rPr>
        <w:t>la</w:t>
      </w:r>
      <w:r>
        <w:rPr>
          <w:spacing w:val="3"/>
          <w:sz w:val="12"/>
        </w:rPr>
        <w:t xml:space="preserve"> </w:t>
      </w:r>
      <w:r>
        <w:rPr>
          <w:sz w:val="12"/>
        </w:rPr>
        <w:t>Discriminación</w:t>
      </w:r>
      <w:r>
        <w:rPr>
          <w:spacing w:val="3"/>
          <w:sz w:val="12"/>
        </w:rPr>
        <w:t xml:space="preserve"> </w:t>
      </w:r>
      <w:r>
        <w:rPr>
          <w:sz w:val="12"/>
        </w:rPr>
        <w:t>Racial</w:t>
      </w:r>
      <w:r>
        <w:rPr>
          <w:spacing w:val="3"/>
          <w:sz w:val="12"/>
        </w:rPr>
        <w:t xml:space="preserve"> </w:t>
      </w:r>
      <w:r>
        <w:rPr>
          <w:sz w:val="12"/>
        </w:rPr>
        <w:t>ha</w:t>
      </w:r>
      <w:r>
        <w:rPr>
          <w:spacing w:val="3"/>
          <w:sz w:val="12"/>
        </w:rPr>
        <w:t xml:space="preserve"> </w:t>
      </w:r>
      <w:r>
        <w:rPr>
          <w:sz w:val="12"/>
        </w:rPr>
        <w:t>recomendado</w:t>
      </w:r>
      <w:r>
        <w:rPr>
          <w:spacing w:val="3"/>
          <w:sz w:val="12"/>
        </w:rPr>
        <w:t xml:space="preserve"> </w:t>
      </w:r>
      <w:r>
        <w:rPr>
          <w:sz w:val="12"/>
        </w:rPr>
        <w:t>el</w:t>
      </w:r>
      <w:r>
        <w:rPr>
          <w:spacing w:val="3"/>
          <w:sz w:val="12"/>
        </w:rPr>
        <w:t xml:space="preserve"> </w:t>
      </w:r>
      <w:r>
        <w:rPr>
          <w:sz w:val="12"/>
        </w:rPr>
        <w:t>uso</w:t>
      </w:r>
      <w:r>
        <w:rPr>
          <w:spacing w:val="3"/>
          <w:sz w:val="12"/>
        </w:rPr>
        <w:t xml:space="preserve"> </w:t>
      </w:r>
      <w:r>
        <w:rPr>
          <w:sz w:val="12"/>
        </w:rPr>
        <w:t>de</w:t>
      </w:r>
      <w:r>
        <w:rPr>
          <w:spacing w:val="3"/>
          <w:sz w:val="12"/>
        </w:rPr>
        <w:t xml:space="preserve"> </w:t>
      </w:r>
      <w:r>
        <w:rPr>
          <w:sz w:val="12"/>
        </w:rPr>
        <w:t>sanciones</w:t>
      </w:r>
      <w:r>
        <w:rPr>
          <w:spacing w:val="3"/>
          <w:sz w:val="12"/>
        </w:rPr>
        <w:t xml:space="preserve"> </w:t>
      </w:r>
      <w:r>
        <w:rPr>
          <w:sz w:val="12"/>
        </w:rPr>
        <w:t>penales</w:t>
      </w:r>
      <w:r>
        <w:rPr>
          <w:spacing w:val="3"/>
          <w:sz w:val="12"/>
        </w:rPr>
        <w:t xml:space="preserve"> </w:t>
      </w:r>
      <w:r>
        <w:rPr>
          <w:sz w:val="12"/>
        </w:rPr>
        <w:t>en</w:t>
      </w:r>
      <w:r>
        <w:rPr>
          <w:spacing w:val="3"/>
          <w:sz w:val="12"/>
        </w:rPr>
        <w:t xml:space="preserve"> </w:t>
      </w:r>
      <w:r>
        <w:rPr>
          <w:sz w:val="12"/>
        </w:rPr>
        <w:t>algunos</w:t>
      </w:r>
      <w:r>
        <w:rPr>
          <w:spacing w:val="3"/>
          <w:sz w:val="12"/>
        </w:rPr>
        <w:t xml:space="preserve"> </w:t>
      </w:r>
      <w:r>
        <w:rPr>
          <w:sz w:val="12"/>
        </w:rPr>
        <w:t>casos.</w:t>
      </w:r>
      <w:r>
        <w:rPr>
          <w:spacing w:val="4"/>
          <w:sz w:val="12"/>
        </w:rPr>
        <w:t xml:space="preserve"> </w:t>
      </w:r>
      <w:r>
        <w:rPr>
          <w:sz w:val="12"/>
        </w:rPr>
        <w:t>Ver</w:t>
      </w:r>
      <w:r>
        <w:rPr>
          <w:spacing w:val="3"/>
          <w:sz w:val="12"/>
        </w:rPr>
        <w:t xml:space="preserve"> </w:t>
      </w:r>
      <w:r>
        <w:rPr>
          <w:spacing w:val="-2"/>
          <w:sz w:val="12"/>
        </w:rPr>
        <w:t>Comité</w:t>
      </w:r>
    </w:p>
    <w:p w14:paraId="1C47DD27" w14:textId="77777777" w:rsidR="0014798C" w:rsidRDefault="004E1F0B">
      <w:pPr>
        <w:spacing w:before="52"/>
        <w:ind w:left="1369"/>
        <w:rPr>
          <w:sz w:val="13"/>
        </w:rPr>
      </w:pPr>
      <w:r>
        <w:rPr>
          <w:w w:val="105"/>
          <w:sz w:val="13"/>
        </w:rPr>
        <w:t>sobre</w:t>
      </w:r>
      <w:r>
        <w:rPr>
          <w:spacing w:val="-6"/>
          <w:w w:val="105"/>
          <w:sz w:val="13"/>
        </w:rPr>
        <w:t xml:space="preserve"> </w:t>
      </w:r>
      <w:r>
        <w:rPr>
          <w:w w:val="105"/>
          <w:sz w:val="13"/>
        </w:rPr>
        <w:t>la</w:t>
      </w:r>
      <w:r>
        <w:rPr>
          <w:spacing w:val="-6"/>
          <w:w w:val="105"/>
          <w:sz w:val="13"/>
        </w:rPr>
        <w:t xml:space="preserve"> </w:t>
      </w:r>
      <w:r>
        <w:rPr>
          <w:w w:val="105"/>
          <w:sz w:val="13"/>
        </w:rPr>
        <w:t>Eliminación</w:t>
      </w:r>
      <w:r>
        <w:rPr>
          <w:spacing w:val="-6"/>
          <w:w w:val="105"/>
          <w:sz w:val="13"/>
        </w:rPr>
        <w:t xml:space="preserve"> </w:t>
      </w:r>
      <w:r>
        <w:rPr>
          <w:w w:val="105"/>
          <w:sz w:val="13"/>
        </w:rPr>
        <w:t>de</w:t>
      </w:r>
      <w:r>
        <w:rPr>
          <w:spacing w:val="-6"/>
          <w:w w:val="105"/>
          <w:sz w:val="13"/>
        </w:rPr>
        <w:t xml:space="preserve"> </w:t>
      </w:r>
      <w:r>
        <w:rPr>
          <w:w w:val="105"/>
          <w:sz w:val="13"/>
        </w:rPr>
        <w:t>la</w:t>
      </w:r>
      <w:r>
        <w:rPr>
          <w:spacing w:val="-6"/>
          <w:w w:val="105"/>
          <w:sz w:val="13"/>
        </w:rPr>
        <w:t xml:space="preserve"> </w:t>
      </w:r>
      <w:r>
        <w:rPr>
          <w:w w:val="105"/>
          <w:sz w:val="13"/>
        </w:rPr>
        <w:t>Discriminación</w:t>
      </w:r>
      <w:r>
        <w:rPr>
          <w:spacing w:val="-6"/>
          <w:w w:val="105"/>
          <w:sz w:val="13"/>
        </w:rPr>
        <w:t xml:space="preserve"> </w:t>
      </w:r>
      <w:r>
        <w:rPr>
          <w:w w:val="105"/>
          <w:sz w:val="13"/>
        </w:rPr>
        <w:t>Racial,</w:t>
      </w:r>
      <w:r>
        <w:rPr>
          <w:spacing w:val="-5"/>
          <w:w w:val="105"/>
          <w:sz w:val="13"/>
        </w:rPr>
        <w:t xml:space="preserve"> </w:t>
      </w:r>
      <w:proofErr w:type="spellStart"/>
      <w:r>
        <w:rPr>
          <w:w w:val="105"/>
          <w:sz w:val="13"/>
        </w:rPr>
        <w:t>Lacko</w:t>
      </w:r>
      <w:proofErr w:type="spellEnd"/>
      <w:r>
        <w:rPr>
          <w:spacing w:val="-6"/>
          <w:w w:val="105"/>
          <w:sz w:val="13"/>
        </w:rPr>
        <w:t xml:space="preserve"> </w:t>
      </w:r>
      <w:r>
        <w:rPr>
          <w:w w:val="105"/>
          <w:sz w:val="13"/>
        </w:rPr>
        <w:t>c.</w:t>
      </w:r>
      <w:r>
        <w:rPr>
          <w:spacing w:val="-6"/>
          <w:w w:val="105"/>
          <w:sz w:val="13"/>
        </w:rPr>
        <w:t xml:space="preserve"> </w:t>
      </w:r>
      <w:r>
        <w:rPr>
          <w:w w:val="105"/>
          <w:sz w:val="13"/>
        </w:rPr>
        <w:t>República</w:t>
      </w:r>
      <w:r>
        <w:rPr>
          <w:spacing w:val="-5"/>
          <w:w w:val="105"/>
          <w:sz w:val="13"/>
        </w:rPr>
        <w:t xml:space="preserve"> </w:t>
      </w:r>
      <w:r>
        <w:rPr>
          <w:w w:val="105"/>
          <w:sz w:val="13"/>
        </w:rPr>
        <w:t>Eslovaca</w:t>
      </w:r>
      <w:r>
        <w:rPr>
          <w:spacing w:val="-6"/>
          <w:w w:val="105"/>
          <w:sz w:val="13"/>
        </w:rPr>
        <w:t xml:space="preserve"> </w:t>
      </w:r>
      <w:r>
        <w:rPr>
          <w:spacing w:val="-2"/>
          <w:w w:val="105"/>
          <w:sz w:val="13"/>
        </w:rPr>
        <w:t>(CERD/C/59/D/11/1998).</w:t>
      </w:r>
    </w:p>
    <w:p w14:paraId="0BFBEDE6" w14:textId="77777777" w:rsidR="0014798C" w:rsidRDefault="004E1F0B">
      <w:pPr>
        <w:spacing w:before="109" w:line="312" w:lineRule="auto"/>
        <w:ind w:left="1366" w:right="2004" w:hanging="256"/>
        <w:rPr>
          <w:sz w:val="12"/>
        </w:rPr>
      </w:pPr>
      <w:r>
        <w:rPr>
          <w:sz w:val="12"/>
        </w:rPr>
        <w:t xml:space="preserve">1104 Comité para la Eliminación de la Discriminación contra la Mujer, recomendación general núm. 19 (1992), </w:t>
      </w:r>
      <w:proofErr w:type="spellStart"/>
      <w:r>
        <w:rPr>
          <w:sz w:val="12"/>
        </w:rPr>
        <w:t>párrs</w:t>
      </w:r>
      <w:proofErr w:type="spellEnd"/>
      <w:r>
        <w:rPr>
          <w:sz w:val="12"/>
        </w:rPr>
        <w:t xml:space="preserve">. 1 y </w:t>
      </w:r>
      <w:r>
        <w:rPr>
          <w:w w:val="95"/>
          <w:sz w:val="12"/>
        </w:rPr>
        <w:t xml:space="preserve">6; </w:t>
      </w:r>
      <w:r>
        <w:rPr>
          <w:sz w:val="12"/>
        </w:rPr>
        <w:t>y recomendación general núm. 35</w:t>
      </w:r>
      <w:r>
        <w:rPr>
          <w:spacing w:val="40"/>
          <w:sz w:val="12"/>
        </w:rPr>
        <w:t xml:space="preserve"> </w:t>
      </w:r>
      <w:r>
        <w:rPr>
          <w:sz w:val="12"/>
        </w:rPr>
        <w:t>(2017), párr. 1.</w:t>
      </w:r>
    </w:p>
    <w:p w14:paraId="5AE24407" w14:textId="77777777" w:rsidR="0014798C" w:rsidRDefault="004E1F0B">
      <w:pPr>
        <w:spacing w:before="57" w:line="410" w:lineRule="auto"/>
        <w:ind w:left="1111" w:right="3960"/>
        <w:rPr>
          <w:sz w:val="12"/>
        </w:rPr>
      </w:pPr>
      <w:r>
        <w:rPr>
          <w:sz w:val="12"/>
        </w:rPr>
        <w:t>1105 Comité para la Eliminación de la Discriminación contra la Mujer, recomendación general núm. 35 (2017), párr. 29(a).</w:t>
      </w:r>
      <w:r>
        <w:rPr>
          <w:spacing w:val="40"/>
          <w:sz w:val="12"/>
        </w:rPr>
        <w:t xml:space="preserve"> </w:t>
      </w:r>
      <w:r>
        <w:rPr>
          <w:sz w:val="12"/>
        </w:rPr>
        <w:t>1106 Comité de Derechos Humanos, observación general núm. 35 (2014), párr. 9.</w:t>
      </w:r>
    </w:p>
    <w:p w14:paraId="3558B894" w14:textId="77777777" w:rsidR="0014798C" w:rsidRDefault="0014798C">
      <w:pPr>
        <w:pStyle w:val="Textoindependiente"/>
        <w:rPr>
          <w:sz w:val="18"/>
        </w:rPr>
      </w:pPr>
    </w:p>
    <w:p w14:paraId="27ADDF28" w14:textId="77777777" w:rsidR="0014798C" w:rsidRDefault="0014798C">
      <w:pPr>
        <w:pStyle w:val="Textoindependiente"/>
        <w:spacing w:before="124"/>
        <w:rPr>
          <w:sz w:val="18"/>
        </w:rPr>
      </w:pPr>
    </w:p>
    <w:p w14:paraId="5456CFC1" w14:textId="77777777" w:rsidR="0014798C" w:rsidRDefault="004E1F0B">
      <w:pPr>
        <w:spacing w:before="1"/>
        <w:ind w:right="694"/>
        <w:jc w:val="right"/>
        <w:rPr>
          <w:sz w:val="18"/>
        </w:rPr>
      </w:pPr>
      <w:r>
        <w:rPr>
          <w:spacing w:val="-5"/>
          <w:w w:val="105"/>
          <w:sz w:val="18"/>
        </w:rPr>
        <w:t>167</w:t>
      </w:r>
    </w:p>
    <w:p w14:paraId="216D113B" w14:textId="77777777" w:rsidR="0014798C" w:rsidRDefault="0014798C">
      <w:pPr>
        <w:jc w:val="right"/>
        <w:rPr>
          <w:sz w:val="18"/>
        </w:rPr>
        <w:sectPr w:rsidR="0014798C" w:rsidSect="00F265E4">
          <w:headerReference w:type="default" r:id="rId314"/>
          <w:pgSz w:w="11900" w:h="16820"/>
          <w:pgMar w:top="340" w:right="0" w:bottom="280" w:left="200" w:header="121" w:footer="0" w:gutter="0"/>
          <w:cols w:space="720"/>
        </w:sectPr>
      </w:pPr>
    </w:p>
    <w:p w14:paraId="703AD069" w14:textId="77777777" w:rsidR="0014798C" w:rsidRDefault="0014798C">
      <w:pPr>
        <w:pStyle w:val="Textoindependiente"/>
        <w:spacing w:before="85"/>
        <w:rPr>
          <w:sz w:val="12"/>
        </w:rPr>
      </w:pPr>
    </w:p>
    <w:p w14:paraId="1B5A2D08" w14:textId="77777777" w:rsidR="0014798C" w:rsidRDefault="004E1F0B">
      <w:pPr>
        <w:ind w:left="1111"/>
        <w:rPr>
          <w:sz w:val="12"/>
        </w:rPr>
      </w:pPr>
      <w:r>
        <w:rPr>
          <w:color w:val="E83628"/>
          <w:sz w:val="12"/>
        </w:rPr>
        <w:t>PROTECCIÓN</w:t>
      </w:r>
      <w:r>
        <w:rPr>
          <w:color w:val="E83628"/>
          <w:spacing w:val="6"/>
          <w:sz w:val="12"/>
        </w:rPr>
        <w:t xml:space="preserve"> </w:t>
      </w:r>
      <w:r>
        <w:rPr>
          <w:color w:val="E83628"/>
          <w:sz w:val="12"/>
        </w:rPr>
        <w:t>DE</w:t>
      </w:r>
      <w:r>
        <w:rPr>
          <w:color w:val="E83628"/>
          <w:spacing w:val="7"/>
          <w:sz w:val="12"/>
        </w:rPr>
        <w:t xml:space="preserve"> </w:t>
      </w:r>
      <w:r>
        <w:rPr>
          <w:color w:val="E83628"/>
          <w:sz w:val="12"/>
        </w:rPr>
        <w:t>LOS</w:t>
      </w:r>
      <w:r>
        <w:rPr>
          <w:color w:val="E83628"/>
          <w:spacing w:val="8"/>
          <w:sz w:val="12"/>
        </w:rPr>
        <w:t xml:space="preserve"> </w:t>
      </w:r>
      <w:r>
        <w:rPr>
          <w:color w:val="E83628"/>
          <w:sz w:val="12"/>
        </w:rPr>
        <w:t>DERECHOS</w:t>
      </w:r>
      <w:r>
        <w:rPr>
          <w:color w:val="E83628"/>
          <w:spacing w:val="8"/>
          <w:sz w:val="12"/>
        </w:rPr>
        <w:t xml:space="preserve"> </w:t>
      </w:r>
      <w:r>
        <w:rPr>
          <w:color w:val="E83628"/>
          <w:sz w:val="12"/>
        </w:rPr>
        <w:t>DE</w:t>
      </w:r>
      <w:r>
        <w:rPr>
          <w:color w:val="E83628"/>
          <w:spacing w:val="6"/>
          <w:sz w:val="12"/>
        </w:rPr>
        <w:t xml:space="preserve"> </w:t>
      </w:r>
      <w:r>
        <w:rPr>
          <w:color w:val="E83628"/>
          <w:sz w:val="12"/>
        </w:rPr>
        <w:t>LAS</w:t>
      </w:r>
      <w:r>
        <w:rPr>
          <w:color w:val="E83628"/>
          <w:spacing w:val="7"/>
          <w:sz w:val="12"/>
        </w:rPr>
        <w:t xml:space="preserve"> </w:t>
      </w:r>
      <w:r>
        <w:rPr>
          <w:color w:val="E83628"/>
          <w:sz w:val="12"/>
        </w:rPr>
        <w:t>MINORÍAS:</w:t>
      </w:r>
      <w:r>
        <w:rPr>
          <w:color w:val="E83628"/>
          <w:spacing w:val="8"/>
          <w:sz w:val="12"/>
        </w:rPr>
        <w:t xml:space="preserve"> </w:t>
      </w:r>
      <w:r>
        <w:rPr>
          <w:color w:val="E83628"/>
          <w:sz w:val="12"/>
        </w:rPr>
        <w:t>una</w:t>
      </w:r>
      <w:r>
        <w:rPr>
          <w:color w:val="E83628"/>
          <w:spacing w:val="7"/>
          <w:sz w:val="12"/>
        </w:rPr>
        <w:t xml:space="preserve"> </w:t>
      </w:r>
      <w:r>
        <w:rPr>
          <w:color w:val="E83628"/>
          <w:sz w:val="12"/>
        </w:rPr>
        <w:t>guía</w:t>
      </w:r>
      <w:r>
        <w:rPr>
          <w:color w:val="E83628"/>
          <w:spacing w:val="6"/>
          <w:sz w:val="12"/>
        </w:rPr>
        <w:t xml:space="preserve"> </w:t>
      </w:r>
      <w:r>
        <w:rPr>
          <w:color w:val="E83628"/>
          <w:sz w:val="12"/>
        </w:rPr>
        <w:t>práctica</w:t>
      </w:r>
      <w:r>
        <w:rPr>
          <w:color w:val="E83628"/>
          <w:spacing w:val="7"/>
          <w:sz w:val="12"/>
        </w:rPr>
        <w:t xml:space="preserve"> </w:t>
      </w:r>
      <w:r>
        <w:rPr>
          <w:color w:val="E83628"/>
          <w:sz w:val="12"/>
        </w:rPr>
        <w:t>para</w:t>
      </w:r>
      <w:r>
        <w:rPr>
          <w:color w:val="E83628"/>
          <w:spacing w:val="8"/>
          <w:sz w:val="12"/>
        </w:rPr>
        <w:t xml:space="preserve"> </w:t>
      </w:r>
      <w:r>
        <w:rPr>
          <w:color w:val="E83628"/>
          <w:sz w:val="12"/>
        </w:rPr>
        <w:t>desarrollar</w:t>
      </w:r>
      <w:r>
        <w:rPr>
          <w:color w:val="E83628"/>
          <w:spacing w:val="6"/>
          <w:sz w:val="12"/>
        </w:rPr>
        <w:t xml:space="preserve"> </w:t>
      </w:r>
      <w:r>
        <w:rPr>
          <w:color w:val="E83628"/>
          <w:sz w:val="12"/>
        </w:rPr>
        <w:t>una</w:t>
      </w:r>
      <w:r>
        <w:rPr>
          <w:color w:val="E83628"/>
          <w:spacing w:val="7"/>
          <w:sz w:val="12"/>
        </w:rPr>
        <w:t xml:space="preserve"> </w:t>
      </w:r>
      <w:r>
        <w:rPr>
          <w:color w:val="E83628"/>
          <w:sz w:val="12"/>
        </w:rPr>
        <w:t>legislación</w:t>
      </w:r>
      <w:r>
        <w:rPr>
          <w:color w:val="E83628"/>
          <w:spacing w:val="8"/>
          <w:sz w:val="12"/>
        </w:rPr>
        <w:t xml:space="preserve"> </w:t>
      </w:r>
      <w:r>
        <w:rPr>
          <w:color w:val="E83628"/>
          <w:sz w:val="12"/>
        </w:rPr>
        <w:t>integral</w:t>
      </w:r>
      <w:r>
        <w:rPr>
          <w:color w:val="E83628"/>
          <w:spacing w:val="7"/>
          <w:sz w:val="12"/>
        </w:rPr>
        <w:t xml:space="preserve"> </w:t>
      </w:r>
      <w:r>
        <w:rPr>
          <w:color w:val="E83628"/>
          <w:sz w:val="12"/>
        </w:rPr>
        <w:t>contra</w:t>
      </w:r>
      <w:r>
        <w:rPr>
          <w:color w:val="E83628"/>
          <w:spacing w:val="6"/>
          <w:sz w:val="12"/>
        </w:rPr>
        <w:t xml:space="preserve"> </w:t>
      </w:r>
      <w:r>
        <w:rPr>
          <w:color w:val="E83628"/>
          <w:sz w:val="12"/>
        </w:rPr>
        <w:t>la</w:t>
      </w:r>
      <w:r>
        <w:rPr>
          <w:color w:val="E83628"/>
          <w:spacing w:val="7"/>
          <w:sz w:val="12"/>
        </w:rPr>
        <w:t xml:space="preserve"> </w:t>
      </w:r>
      <w:r>
        <w:rPr>
          <w:color w:val="E83628"/>
          <w:spacing w:val="-2"/>
          <w:sz w:val="12"/>
        </w:rPr>
        <w:t>discriminación</w:t>
      </w:r>
    </w:p>
    <w:p w14:paraId="6D7E3A22" w14:textId="77777777" w:rsidR="0014798C" w:rsidRDefault="0014798C">
      <w:pPr>
        <w:pStyle w:val="Textoindependiente"/>
      </w:pPr>
    </w:p>
    <w:p w14:paraId="1E892D54" w14:textId="77777777" w:rsidR="0014798C" w:rsidRDefault="0014798C">
      <w:pPr>
        <w:pStyle w:val="Textoindependiente"/>
      </w:pPr>
    </w:p>
    <w:p w14:paraId="0F9CB67A" w14:textId="77777777" w:rsidR="0014798C" w:rsidRDefault="0014798C">
      <w:pPr>
        <w:pStyle w:val="Textoindependiente"/>
      </w:pPr>
    </w:p>
    <w:p w14:paraId="0A111A53" w14:textId="77777777" w:rsidR="0014798C" w:rsidRDefault="0014798C">
      <w:pPr>
        <w:pStyle w:val="Textoindependiente"/>
      </w:pPr>
    </w:p>
    <w:p w14:paraId="4D2B97E0" w14:textId="77777777" w:rsidR="0014798C" w:rsidRDefault="0014798C">
      <w:pPr>
        <w:pStyle w:val="Textoindependiente"/>
        <w:spacing w:before="69"/>
      </w:pPr>
    </w:p>
    <w:p w14:paraId="1C6E4F48" w14:textId="77777777" w:rsidR="0014798C" w:rsidRDefault="004E1F0B">
      <w:pPr>
        <w:pStyle w:val="Textoindependiente"/>
        <w:spacing w:line="326" w:lineRule="auto"/>
        <w:ind w:left="1111" w:right="1272" w:hanging="3"/>
      </w:pPr>
      <w:r>
        <w:rPr>
          <w:w w:val="105"/>
        </w:rPr>
        <w:t>incluye</w:t>
      </w:r>
      <w:r>
        <w:rPr>
          <w:spacing w:val="-8"/>
          <w:w w:val="105"/>
        </w:rPr>
        <w:t xml:space="preserve"> </w:t>
      </w:r>
      <w:r>
        <w:rPr>
          <w:w w:val="105"/>
        </w:rPr>
        <w:t>la</w:t>
      </w:r>
      <w:r>
        <w:rPr>
          <w:spacing w:val="-8"/>
          <w:w w:val="105"/>
        </w:rPr>
        <w:t xml:space="preserve"> </w:t>
      </w:r>
      <w:r>
        <w:rPr>
          <w:w w:val="105"/>
        </w:rPr>
        <w:t>“aplicación</w:t>
      </w:r>
      <w:r>
        <w:rPr>
          <w:spacing w:val="-8"/>
          <w:w w:val="105"/>
        </w:rPr>
        <w:t xml:space="preserve"> </w:t>
      </w:r>
      <w:r>
        <w:rPr>
          <w:w w:val="105"/>
        </w:rPr>
        <w:t>de</w:t>
      </w:r>
      <w:r>
        <w:rPr>
          <w:spacing w:val="-8"/>
          <w:w w:val="105"/>
        </w:rPr>
        <w:t xml:space="preserve"> </w:t>
      </w:r>
      <w:r>
        <w:rPr>
          <w:w w:val="105"/>
        </w:rPr>
        <w:t>las</w:t>
      </w:r>
      <w:r>
        <w:rPr>
          <w:spacing w:val="-8"/>
          <w:w w:val="105"/>
        </w:rPr>
        <w:t xml:space="preserve"> </w:t>
      </w:r>
      <w:r>
        <w:rPr>
          <w:w w:val="105"/>
        </w:rPr>
        <w:t>leyes</w:t>
      </w:r>
      <w:r>
        <w:rPr>
          <w:spacing w:val="-8"/>
          <w:w w:val="105"/>
        </w:rPr>
        <w:t xml:space="preserve"> </w:t>
      </w:r>
      <w:r>
        <w:rPr>
          <w:w w:val="105"/>
        </w:rPr>
        <w:t>penales”.1107</w:t>
      </w:r>
      <w:r>
        <w:rPr>
          <w:spacing w:val="-8"/>
          <w:w w:val="105"/>
        </w:rPr>
        <w:t xml:space="preserve"> </w:t>
      </w:r>
      <w:r>
        <w:rPr>
          <w:w w:val="105"/>
        </w:rPr>
        <w:t>El</w:t>
      </w:r>
      <w:r>
        <w:rPr>
          <w:spacing w:val="-8"/>
          <w:w w:val="105"/>
        </w:rPr>
        <w:t xml:space="preserve"> </w:t>
      </w:r>
      <w:r>
        <w:rPr>
          <w:w w:val="105"/>
        </w:rPr>
        <w:t>Comité</w:t>
      </w:r>
      <w:r>
        <w:rPr>
          <w:spacing w:val="-8"/>
          <w:w w:val="105"/>
        </w:rPr>
        <w:t xml:space="preserve"> </w:t>
      </w:r>
      <w:r>
        <w:rPr>
          <w:w w:val="105"/>
        </w:rPr>
        <w:t>de</w:t>
      </w:r>
      <w:r>
        <w:rPr>
          <w:spacing w:val="-8"/>
          <w:w w:val="105"/>
        </w:rPr>
        <w:t xml:space="preserve"> </w:t>
      </w:r>
      <w:r>
        <w:rPr>
          <w:w w:val="105"/>
        </w:rPr>
        <w:t>Derechos</w:t>
      </w:r>
      <w:r>
        <w:rPr>
          <w:spacing w:val="-8"/>
          <w:w w:val="105"/>
        </w:rPr>
        <w:t xml:space="preserve"> </w:t>
      </w:r>
      <w:r>
        <w:rPr>
          <w:w w:val="105"/>
        </w:rPr>
        <w:t>Económicos,</w:t>
      </w:r>
      <w:r>
        <w:rPr>
          <w:spacing w:val="-7"/>
          <w:w w:val="105"/>
        </w:rPr>
        <w:t xml:space="preserve"> </w:t>
      </w:r>
      <w:r>
        <w:rPr>
          <w:w w:val="105"/>
        </w:rPr>
        <w:t>Sociales</w:t>
      </w:r>
      <w:r>
        <w:rPr>
          <w:spacing w:val="-8"/>
          <w:w w:val="105"/>
        </w:rPr>
        <w:t xml:space="preserve"> </w:t>
      </w:r>
      <w:r>
        <w:rPr>
          <w:w w:val="105"/>
        </w:rPr>
        <w:t>y</w:t>
      </w:r>
      <w:r>
        <w:rPr>
          <w:spacing w:val="-8"/>
          <w:w w:val="105"/>
        </w:rPr>
        <w:t xml:space="preserve"> </w:t>
      </w:r>
      <w:r>
        <w:rPr>
          <w:w w:val="105"/>
        </w:rPr>
        <w:t>Culturales</w:t>
      </w:r>
      <w:r>
        <w:rPr>
          <w:spacing w:val="-8"/>
          <w:w w:val="105"/>
        </w:rPr>
        <w:t xml:space="preserve"> </w:t>
      </w:r>
      <w:r>
        <w:rPr>
          <w:w w:val="105"/>
        </w:rPr>
        <w:t>ha</w:t>
      </w:r>
      <w:r>
        <w:rPr>
          <w:spacing w:val="-8"/>
          <w:w w:val="105"/>
        </w:rPr>
        <w:t xml:space="preserve"> </w:t>
      </w:r>
      <w:r>
        <w:rPr>
          <w:w w:val="105"/>
        </w:rPr>
        <w:t>abordado</w:t>
      </w:r>
      <w:r>
        <w:rPr>
          <w:spacing w:val="-8"/>
          <w:w w:val="105"/>
        </w:rPr>
        <w:t xml:space="preserve"> </w:t>
      </w:r>
      <w:r>
        <w:rPr>
          <w:w w:val="105"/>
        </w:rPr>
        <w:t>la violencia como parte del derecho a la salud en virtud del artículo 12 del Pacto.1108</w:t>
      </w:r>
    </w:p>
    <w:p w14:paraId="4EE44E01" w14:textId="77777777" w:rsidR="0014798C" w:rsidRDefault="0014798C">
      <w:pPr>
        <w:pStyle w:val="Textoindependiente"/>
      </w:pPr>
    </w:p>
    <w:p w14:paraId="279155D4" w14:textId="77777777" w:rsidR="0014798C" w:rsidRDefault="0014798C">
      <w:pPr>
        <w:pStyle w:val="Textoindependiente"/>
        <w:spacing w:before="100"/>
      </w:pPr>
    </w:p>
    <w:p w14:paraId="0D967B36" w14:textId="77777777" w:rsidR="0014798C" w:rsidRDefault="004E1F0B">
      <w:pPr>
        <w:pStyle w:val="Textoindependiente"/>
        <w:ind w:left="1335"/>
      </w:pPr>
      <w:r>
        <w:rPr>
          <w:noProof/>
        </w:rPr>
        <w:drawing>
          <wp:anchor distT="0" distB="0" distL="0" distR="0" simplePos="0" relativeHeight="251658480" behindDoc="1" locked="0" layoutInCell="1" allowOverlap="1" wp14:anchorId="49697085" wp14:editId="6D0E7707">
            <wp:simplePos x="0" y="0"/>
            <wp:positionH relativeFrom="page">
              <wp:posOffset>804169</wp:posOffset>
            </wp:positionH>
            <wp:positionV relativeFrom="paragraph">
              <wp:posOffset>-194207</wp:posOffset>
            </wp:positionV>
            <wp:extent cx="5952653" cy="4605686"/>
            <wp:effectExtent l="0" t="0" r="0" b="0"/>
            <wp:wrapNone/>
            <wp:docPr id="338" name="Image 33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38" name="Image 338"/>
                    <pic:cNvPicPr/>
                  </pic:nvPicPr>
                  <pic:blipFill>
                    <a:blip r:embed="rId315" cstate="print"/>
                    <a:stretch>
                      <a:fillRect/>
                    </a:stretch>
                  </pic:blipFill>
                  <pic:spPr>
                    <a:xfrm>
                      <a:off x="0" y="0"/>
                      <a:ext cx="5952653" cy="4605686"/>
                    </a:xfrm>
                    <a:prstGeom prst="rect">
                      <a:avLst/>
                    </a:prstGeom>
                  </pic:spPr>
                </pic:pic>
              </a:graphicData>
            </a:graphic>
          </wp:anchor>
        </w:drawing>
      </w:r>
      <w:r>
        <w:rPr>
          <w:w w:val="105"/>
        </w:rPr>
        <w:t>LA</w:t>
      </w:r>
      <w:r>
        <w:rPr>
          <w:spacing w:val="-9"/>
          <w:w w:val="105"/>
        </w:rPr>
        <w:t xml:space="preserve"> </w:t>
      </w:r>
      <w:r>
        <w:rPr>
          <w:w w:val="105"/>
        </w:rPr>
        <w:t>VIOLENCIA</w:t>
      </w:r>
      <w:r>
        <w:rPr>
          <w:spacing w:val="-9"/>
          <w:w w:val="105"/>
        </w:rPr>
        <w:t xml:space="preserve"> </w:t>
      </w:r>
      <w:r>
        <w:rPr>
          <w:w w:val="105"/>
        </w:rPr>
        <w:t>DE</w:t>
      </w:r>
      <w:r>
        <w:rPr>
          <w:spacing w:val="-9"/>
          <w:w w:val="105"/>
        </w:rPr>
        <w:t xml:space="preserve"> </w:t>
      </w:r>
      <w:r>
        <w:rPr>
          <w:spacing w:val="-2"/>
          <w:w w:val="105"/>
        </w:rPr>
        <w:t>GÉNERO</w:t>
      </w:r>
    </w:p>
    <w:p w14:paraId="61018E3F" w14:textId="77777777" w:rsidR="0014798C" w:rsidRDefault="0014798C">
      <w:pPr>
        <w:pStyle w:val="Textoindependiente"/>
        <w:spacing w:before="36"/>
      </w:pPr>
    </w:p>
    <w:p w14:paraId="13BAF99B" w14:textId="77777777" w:rsidR="0014798C" w:rsidRDefault="004E1F0B">
      <w:pPr>
        <w:pStyle w:val="Textoindependiente"/>
        <w:spacing w:line="326" w:lineRule="auto"/>
        <w:ind w:left="1334" w:right="1451" w:firstLine="4"/>
      </w:pPr>
      <w:r>
        <w:rPr>
          <w:w w:val="105"/>
        </w:rPr>
        <w:t>La</w:t>
      </w:r>
      <w:r>
        <w:rPr>
          <w:spacing w:val="-8"/>
          <w:w w:val="105"/>
        </w:rPr>
        <w:t xml:space="preserve"> </w:t>
      </w:r>
      <w:r>
        <w:rPr>
          <w:w w:val="105"/>
        </w:rPr>
        <w:t>violencia</w:t>
      </w:r>
      <w:r>
        <w:rPr>
          <w:spacing w:val="-8"/>
          <w:w w:val="105"/>
        </w:rPr>
        <w:t xml:space="preserve"> </w:t>
      </w:r>
      <w:r>
        <w:rPr>
          <w:w w:val="105"/>
        </w:rPr>
        <w:t>de</w:t>
      </w:r>
      <w:r>
        <w:rPr>
          <w:spacing w:val="-8"/>
          <w:w w:val="105"/>
        </w:rPr>
        <w:t xml:space="preserve"> </w:t>
      </w:r>
      <w:r>
        <w:rPr>
          <w:w w:val="105"/>
        </w:rPr>
        <w:t>género</w:t>
      </w:r>
      <w:r>
        <w:rPr>
          <w:spacing w:val="-8"/>
          <w:w w:val="105"/>
        </w:rPr>
        <w:t xml:space="preserve"> </w:t>
      </w:r>
      <w:r>
        <w:rPr>
          <w:w w:val="105"/>
        </w:rPr>
        <w:t>se</w:t>
      </w:r>
      <w:r>
        <w:rPr>
          <w:spacing w:val="-8"/>
          <w:w w:val="105"/>
        </w:rPr>
        <w:t xml:space="preserve"> </w:t>
      </w:r>
      <w:r>
        <w:rPr>
          <w:w w:val="105"/>
        </w:rPr>
        <w:t>reconoce</w:t>
      </w:r>
      <w:r>
        <w:rPr>
          <w:spacing w:val="-8"/>
          <w:w w:val="105"/>
        </w:rPr>
        <w:t xml:space="preserve"> </w:t>
      </w:r>
      <w:r>
        <w:rPr>
          <w:w w:val="105"/>
        </w:rPr>
        <w:t>como</w:t>
      </w:r>
      <w:r>
        <w:rPr>
          <w:spacing w:val="-8"/>
          <w:w w:val="105"/>
        </w:rPr>
        <w:t xml:space="preserve"> </w:t>
      </w:r>
      <w:r>
        <w:rPr>
          <w:w w:val="105"/>
        </w:rPr>
        <w:t>una</w:t>
      </w:r>
      <w:r>
        <w:rPr>
          <w:spacing w:val="-8"/>
          <w:w w:val="105"/>
        </w:rPr>
        <w:t xml:space="preserve"> </w:t>
      </w:r>
      <w:r>
        <w:rPr>
          <w:w w:val="105"/>
        </w:rPr>
        <w:t>forma</w:t>
      </w:r>
      <w:r>
        <w:rPr>
          <w:spacing w:val="-8"/>
          <w:w w:val="105"/>
        </w:rPr>
        <w:t xml:space="preserve"> </w:t>
      </w:r>
      <w:r>
        <w:rPr>
          <w:w w:val="105"/>
        </w:rPr>
        <w:t>de</w:t>
      </w:r>
      <w:r>
        <w:rPr>
          <w:spacing w:val="-8"/>
          <w:w w:val="105"/>
        </w:rPr>
        <w:t xml:space="preserve"> </w:t>
      </w:r>
      <w:r>
        <w:rPr>
          <w:w w:val="105"/>
        </w:rPr>
        <w:t>discriminación</w:t>
      </w:r>
      <w:r>
        <w:rPr>
          <w:spacing w:val="-8"/>
          <w:w w:val="105"/>
        </w:rPr>
        <w:t xml:space="preserve"> </w:t>
      </w:r>
      <w:r>
        <w:rPr>
          <w:w w:val="105"/>
        </w:rPr>
        <w:t>que</w:t>
      </w:r>
      <w:r>
        <w:rPr>
          <w:spacing w:val="-8"/>
          <w:w w:val="105"/>
        </w:rPr>
        <w:t xml:space="preserve"> </w:t>
      </w:r>
      <w:r>
        <w:rPr>
          <w:w w:val="105"/>
        </w:rPr>
        <w:t>requiere</w:t>
      </w:r>
      <w:r>
        <w:rPr>
          <w:spacing w:val="-8"/>
          <w:w w:val="105"/>
        </w:rPr>
        <w:t xml:space="preserve"> </w:t>
      </w:r>
      <w:r>
        <w:rPr>
          <w:w w:val="105"/>
        </w:rPr>
        <w:t>una</w:t>
      </w:r>
      <w:r>
        <w:rPr>
          <w:spacing w:val="-8"/>
          <w:w w:val="105"/>
        </w:rPr>
        <w:t xml:space="preserve"> </w:t>
      </w:r>
      <w:r>
        <w:rPr>
          <w:w w:val="105"/>
        </w:rPr>
        <w:t>respuesta</w:t>
      </w:r>
      <w:r>
        <w:rPr>
          <w:spacing w:val="-8"/>
          <w:w w:val="105"/>
        </w:rPr>
        <w:t xml:space="preserve"> </w:t>
      </w:r>
      <w:r>
        <w:rPr>
          <w:w w:val="105"/>
        </w:rPr>
        <w:t>legislativa</w:t>
      </w:r>
      <w:r>
        <w:rPr>
          <w:spacing w:val="-8"/>
          <w:w w:val="105"/>
        </w:rPr>
        <w:t xml:space="preserve"> </w:t>
      </w:r>
      <w:r>
        <w:rPr>
          <w:w w:val="105"/>
        </w:rPr>
        <w:t>específica, sólida</w:t>
      </w:r>
      <w:r>
        <w:rPr>
          <w:spacing w:val="-2"/>
          <w:w w:val="105"/>
        </w:rPr>
        <w:t xml:space="preserve"> </w:t>
      </w:r>
      <w:r>
        <w:rPr>
          <w:w w:val="105"/>
        </w:rPr>
        <w:t>e</w:t>
      </w:r>
      <w:r>
        <w:rPr>
          <w:spacing w:val="-2"/>
          <w:w w:val="105"/>
        </w:rPr>
        <w:t xml:space="preserve"> </w:t>
      </w:r>
      <w:r>
        <w:rPr>
          <w:w w:val="105"/>
        </w:rPr>
        <w:t>integral.</w:t>
      </w:r>
      <w:r>
        <w:rPr>
          <w:spacing w:val="-1"/>
          <w:w w:val="105"/>
        </w:rPr>
        <w:t xml:space="preserve"> </w:t>
      </w:r>
      <w:r>
        <w:rPr>
          <w:w w:val="105"/>
        </w:rPr>
        <w:t>En</w:t>
      </w:r>
      <w:r>
        <w:rPr>
          <w:spacing w:val="-2"/>
          <w:w w:val="105"/>
        </w:rPr>
        <w:t xml:space="preserve"> </w:t>
      </w:r>
      <w:r>
        <w:rPr>
          <w:w w:val="105"/>
        </w:rPr>
        <w:t>su</w:t>
      </w:r>
      <w:r>
        <w:rPr>
          <w:spacing w:val="-2"/>
          <w:w w:val="105"/>
        </w:rPr>
        <w:t xml:space="preserve"> </w:t>
      </w:r>
      <w:r>
        <w:rPr>
          <w:w w:val="105"/>
        </w:rPr>
        <w:t>recomendación</w:t>
      </w:r>
      <w:r>
        <w:rPr>
          <w:spacing w:val="-2"/>
          <w:w w:val="105"/>
        </w:rPr>
        <w:t xml:space="preserve"> </w:t>
      </w:r>
      <w:r>
        <w:rPr>
          <w:w w:val="105"/>
        </w:rPr>
        <w:t>general</w:t>
      </w:r>
      <w:r>
        <w:rPr>
          <w:spacing w:val="-2"/>
          <w:w w:val="105"/>
        </w:rPr>
        <w:t xml:space="preserve"> </w:t>
      </w:r>
      <w:r>
        <w:rPr>
          <w:w w:val="105"/>
        </w:rPr>
        <w:t>núm.</w:t>
      </w:r>
      <w:r>
        <w:rPr>
          <w:spacing w:val="-2"/>
          <w:w w:val="105"/>
        </w:rPr>
        <w:t xml:space="preserve"> </w:t>
      </w:r>
      <w:r>
        <w:rPr>
          <w:w w:val="105"/>
        </w:rPr>
        <w:t>19</w:t>
      </w:r>
      <w:r>
        <w:rPr>
          <w:spacing w:val="-2"/>
          <w:w w:val="105"/>
        </w:rPr>
        <w:t xml:space="preserve"> </w:t>
      </w:r>
      <w:r>
        <w:rPr>
          <w:w w:val="105"/>
        </w:rPr>
        <w:t>(1992),</w:t>
      </w:r>
      <w:r>
        <w:rPr>
          <w:spacing w:val="-1"/>
          <w:w w:val="105"/>
        </w:rPr>
        <w:t xml:space="preserve"> </w:t>
      </w:r>
      <w:r>
        <w:rPr>
          <w:w w:val="105"/>
        </w:rPr>
        <w:t>el</w:t>
      </w:r>
      <w:r>
        <w:rPr>
          <w:spacing w:val="-2"/>
          <w:w w:val="105"/>
        </w:rPr>
        <w:t xml:space="preserve"> </w:t>
      </w:r>
      <w:r>
        <w:rPr>
          <w:w w:val="105"/>
        </w:rPr>
        <w:t>Comité</w:t>
      </w:r>
      <w:r>
        <w:rPr>
          <w:spacing w:val="-2"/>
          <w:w w:val="105"/>
        </w:rPr>
        <w:t xml:space="preserve"> </w:t>
      </w:r>
      <w:r>
        <w:rPr>
          <w:w w:val="105"/>
        </w:rPr>
        <w:t>para</w:t>
      </w:r>
      <w:r>
        <w:rPr>
          <w:spacing w:val="-2"/>
          <w:w w:val="105"/>
        </w:rPr>
        <w:t xml:space="preserve"> </w:t>
      </w:r>
      <w:r>
        <w:rPr>
          <w:w w:val="105"/>
        </w:rPr>
        <w:t>la</w:t>
      </w:r>
      <w:r>
        <w:rPr>
          <w:spacing w:val="-2"/>
          <w:w w:val="105"/>
        </w:rPr>
        <w:t xml:space="preserve"> </w:t>
      </w:r>
      <w:r>
        <w:rPr>
          <w:w w:val="105"/>
        </w:rPr>
        <w:t>Eliminación</w:t>
      </w:r>
      <w:r>
        <w:rPr>
          <w:spacing w:val="-2"/>
          <w:w w:val="105"/>
        </w:rPr>
        <w:t xml:space="preserve"> </w:t>
      </w:r>
      <w:r>
        <w:rPr>
          <w:w w:val="105"/>
        </w:rPr>
        <w:t>de</w:t>
      </w:r>
      <w:r>
        <w:rPr>
          <w:spacing w:val="-2"/>
          <w:w w:val="105"/>
        </w:rPr>
        <w:t xml:space="preserve"> </w:t>
      </w:r>
      <w:r>
        <w:rPr>
          <w:w w:val="105"/>
        </w:rPr>
        <w:t>la</w:t>
      </w:r>
      <w:r>
        <w:rPr>
          <w:spacing w:val="-2"/>
          <w:w w:val="105"/>
        </w:rPr>
        <w:t xml:space="preserve"> </w:t>
      </w:r>
      <w:r>
        <w:rPr>
          <w:w w:val="105"/>
        </w:rPr>
        <w:t>Discriminación contra</w:t>
      </w:r>
      <w:r>
        <w:rPr>
          <w:spacing w:val="-1"/>
          <w:w w:val="105"/>
        </w:rPr>
        <w:t xml:space="preserve"> </w:t>
      </w:r>
      <w:r>
        <w:rPr>
          <w:w w:val="105"/>
        </w:rPr>
        <w:t>la</w:t>
      </w:r>
      <w:r>
        <w:rPr>
          <w:spacing w:val="-1"/>
          <w:w w:val="105"/>
        </w:rPr>
        <w:t xml:space="preserve"> </w:t>
      </w:r>
      <w:r>
        <w:rPr>
          <w:w w:val="105"/>
        </w:rPr>
        <w:t>Mujer</w:t>
      </w:r>
      <w:r>
        <w:rPr>
          <w:spacing w:val="-1"/>
          <w:w w:val="105"/>
        </w:rPr>
        <w:t xml:space="preserve"> </w:t>
      </w:r>
      <w:r>
        <w:rPr>
          <w:w w:val="105"/>
        </w:rPr>
        <w:t>define</w:t>
      </w:r>
      <w:r>
        <w:rPr>
          <w:spacing w:val="-1"/>
          <w:w w:val="105"/>
        </w:rPr>
        <w:t xml:space="preserve"> </w:t>
      </w:r>
      <w:r>
        <w:rPr>
          <w:w w:val="105"/>
        </w:rPr>
        <w:t>la</w:t>
      </w:r>
      <w:r>
        <w:rPr>
          <w:spacing w:val="-1"/>
          <w:w w:val="105"/>
        </w:rPr>
        <w:t xml:space="preserve"> </w:t>
      </w:r>
      <w:r>
        <w:rPr>
          <w:w w:val="105"/>
        </w:rPr>
        <w:t>violencia</w:t>
      </w:r>
      <w:r>
        <w:rPr>
          <w:spacing w:val="-1"/>
          <w:w w:val="105"/>
        </w:rPr>
        <w:t xml:space="preserve"> </w:t>
      </w:r>
      <w:r>
        <w:rPr>
          <w:w w:val="105"/>
        </w:rPr>
        <w:t>de</w:t>
      </w:r>
      <w:r>
        <w:rPr>
          <w:spacing w:val="-1"/>
          <w:w w:val="105"/>
        </w:rPr>
        <w:t xml:space="preserve"> </w:t>
      </w:r>
      <w:r>
        <w:rPr>
          <w:w w:val="105"/>
        </w:rPr>
        <w:t>género</w:t>
      </w:r>
      <w:r>
        <w:rPr>
          <w:spacing w:val="-1"/>
          <w:w w:val="105"/>
        </w:rPr>
        <w:t xml:space="preserve"> </w:t>
      </w:r>
      <w:r>
        <w:rPr>
          <w:w w:val="105"/>
        </w:rPr>
        <w:t>como</w:t>
      </w:r>
      <w:r>
        <w:rPr>
          <w:spacing w:val="-1"/>
          <w:w w:val="105"/>
        </w:rPr>
        <w:t xml:space="preserve"> </w:t>
      </w:r>
      <w:r>
        <w:rPr>
          <w:w w:val="105"/>
        </w:rPr>
        <w:t>“la</w:t>
      </w:r>
      <w:r>
        <w:rPr>
          <w:spacing w:val="-1"/>
          <w:w w:val="105"/>
        </w:rPr>
        <w:t xml:space="preserve"> </w:t>
      </w:r>
      <w:r>
        <w:rPr>
          <w:w w:val="105"/>
        </w:rPr>
        <w:t>violencia</w:t>
      </w:r>
      <w:r>
        <w:rPr>
          <w:spacing w:val="-1"/>
          <w:w w:val="105"/>
        </w:rPr>
        <w:t xml:space="preserve"> </w:t>
      </w:r>
      <w:r>
        <w:rPr>
          <w:w w:val="105"/>
        </w:rPr>
        <w:t>dirigida</w:t>
      </w:r>
      <w:r>
        <w:rPr>
          <w:spacing w:val="-1"/>
          <w:w w:val="105"/>
        </w:rPr>
        <w:t xml:space="preserve"> </w:t>
      </w:r>
      <w:r>
        <w:rPr>
          <w:w w:val="105"/>
        </w:rPr>
        <w:t>contra</w:t>
      </w:r>
      <w:r>
        <w:rPr>
          <w:spacing w:val="-1"/>
          <w:w w:val="105"/>
        </w:rPr>
        <w:t xml:space="preserve"> </w:t>
      </w:r>
      <w:r>
        <w:rPr>
          <w:w w:val="105"/>
        </w:rPr>
        <w:t>una</w:t>
      </w:r>
      <w:r>
        <w:rPr>
          <w:spacing w:val="-1"/>
          <w:w w:val="105"/>
        </w:rPr>
        <w:t xml:space="preserve"> </w:t>
      </w:r>
      <w:r>
        <w:rPr>
          <w:w w:val="105"/>
        </w:rPr>
        <w:t>mujer</w:t>
      </w:r>
      <w:r>
        <w:rPr>
          <w:spacing w:val="-1"/>
          <w:w w:val="105"/>
        </w:rPr>
        <w:t xml:space="preserve"> </w:t>
      </w:r>
      <w:r>
        <w:rPr>
          <w:w w:val="105"/>
        </w:rPr>
        <w:t>por</w:t>
      </w:r>
      <w:r>
        <w:rPr>
          <w:spacing w:val="-1"/>
          <w:w w:val="105"/>
        </w:rPr>
        <w:t xml:space="preserve"> </w:t>
      </w:r>
      <w:r>
        <w:rPr>
          <w:w w:val="105"/>
        </w:rPr>
        <w:t>el</w:t>
      </w:r>
      <w:r>
        <w:rPr>
          <w:spacing w:val="-1"/>
          <w:w w:val="105"/>
        </w:rPr>
        <w:t xml:space="preserve"> </w:t>
      </w:r>
      <w:r>
        <w:rPr>
          <w:w w:val="105"/>
        </w:rPr>
        <w:t>hecho</w:t>
      </w:r>
      <w:r>
        <w:rPr>
          <w:spacing w:val="-1"/>
          <w:w w:val="105"/>
        </w:rPr>
        <w:t xml:space="preserve"> </w:t>
      </w:r>
      <w:r>
        <w:rPr>
          <w:w w:val="105"/>
        </w:rPr>
        <w:t>de</w:t>
      </w:r>
      <w:r>
        <w:rPr>
          <w:spacing w:val="-1"/>
          <w:w w:val="105"/>
        </w:rPr>
        <w:t xml:space="preserve"> </w:t>
      </w:r>
      <w:r>
        <w:rPr>
          <w:w w:val="105"/>
        </w:rPr>
        <w:t>ser</w:t>
      </w:r>
      <w:r>
        <w:rPr>
          <w:spacing w:val="-1"/>
          <w:w w:val="105"/>
        </w:rPr>
        <w:t xml:space="preserve"> </w:t>
      </w:r>
      <w:r>
        <w:rPr>
          <w:w w:val="105"/>
        </w:rPr>
        <w:t>mujer</w:t>
      </w:r>
      <w:r>
        <w:rPr>
          <w:spacing w:val="-1"/>
          <w:w w:val="105"/>
        </w:rPr>
        <w:t xml:space="preserve"> </w:t>
      </w:r>
      <w:r>
        <w:rPr>
          <w:w w:val="105"/>
        </w:rPr>
        <w:t>o que</w:t>
      </w:r>
      <w:r>
        <w:rPr>
          <w:spacing w:val="-1"/>
          <w:w w:val="105"/>
        </w:rPr>
        <w:t xml:space="preserve"> </w:t>
      </w:r>
      <w:r>
        <w:rPr>
          <w:w w:val="105"/>
        </w:rPr>
        <w:t>afecta</w:t>
      </w:r>
      <w:r>
        <w:rPr>
          <w:spacing w:val="-1"/>
          <w:w w:val="105"/>
        </w:rPr>
        <w:t xml:space="preserve"> </w:t>
      </w:r>
      <w:r>
        <w:rPr>
          <w:w w:val="105"/>
        </w:rPr>
        <w:t>a</w:t>
      </w:r>
      <w:r>
        <w:rPr>
          <w:spacing w:val="-1"/>
          <w:w w:val="105"/>
        </w:rPr>
        <w:t xml:space="preserve"> </w:t>
      </w:r>
      <w:r>
        <w:rPr>
          <w:w w:val="105"/>
        </w:rPr>
        <w:t>las</w:t>
      </w:r>
      <w:r>
        <w:rPr>
          <w:spacing w:val="-1"/>
          <w:w w:val="105"/>
        </w:rPr>
        <w:t xml:space="preserve"> </w:t>
      </w:r>
      <w:r>
        <w:rPr>
          <w:w w:val="105"/>
        </w:rPr>
        <w:t>mujeres</w:t>
      </w:r>
      <w:r>
        <w:rPr>
          <w:spacing w:val="-1"/>
          <w:w w:val="105"/>
        </w:rPr>
        <w:t xml:space="preserve"> </w:t>
      </w:r>
      <w:r>
        <w:rPr>
          <w:w w:val="105"/>
        </w:rPr>
        <w:t>de</w:t>
      </w:r>
      <w:r>
        <w:rPr>
          <w:spacing w:val="-1"/>
          <w:w w:val="105"/>
        </w:rPr>
        <w:t xml:space="preserve"> </w:t>
      </w:r>
      <w:r>
        <w:rPr>
          <w:w w:val="105"/>
        </w:rPr>
        <w:t>manera</w:t>
      </w:r>
      <w:r>
        <w:rPr>
          <w:spacing w:val="-1"/>
          <w:w w:val="105"/>
        </w:rPr>
        <w:t xml:space="preserve"> </w:t>
      </w:r>
      <w:r>
        <w:rPr>
          <w:w w:val="105"/>
        </w:rPr>
        <w:t>desproporcionada”.1109</w:t>
      </w:r>
      <w:r>
        <w:rPr>
          <w:spacing w:val="-1"/>
          <w:w w:val="105"/>
        </w:rPr>
        <w:t xml:space="preserve"> </w:t>
      </w:r>
      <w:r>
        <w:rPr>
          <w:w w:val="105"/>
        </w:rPr>
        <w:t>En</w:t>
      </w:r>
      <w:r>
        <w:rPr>
          <w:spacing w:val="-1"/>
          <w:w w:val="105"/>
        </w:rPr>
        <w:t xml:space="preserve"> </w:t>
      </w:r>
      <w:r>
        <w:rPr>
          <w:w w:val="105"/>
        </w:rPr>
        <w:t>su</w:t>
      </w:r>
      <w:r>
        <w:rPr>
          <w:spacing w:val="-1"/>
          <w:w w:val="105"/>
        </w:rPr>
        <w:t xml:space="preserve"> </w:t>
      </w:r>
      <w:r>
        <w:rPr>
          <w:w w:val="105"/>
        </w:rPr>
        <w:t>recomendación</w:t>
      </w:r>
      <w:r>
        <w:rPr>
          <w:spacing w:val="-1"/>
          <w:w w:val="105"/>
        </w:rPr>
        <w:t xml:space="preserve"> </w:t>
      </w:r>
      <w:r>
        <w:rPr>
          <w:w w:val="105"/>
        </w:rPr>
        <w:t>posterior</w:t>
      </w:r>
      <w:r>
        <w:rPr>
          <w:spacing w:val="-1"/>
          <w:w w:val="105"/>
        </w:rPr>
        <w:t xml:space="preserve"> </w:t>
      </w:r>
      <w:r>
        <w:rPr>
          <w:w w:val="105"/>
        </w:rPr>
        <w:t>En</w:t>
      </w:r>
      <w:r>
        <w:rPr>
          <w:spacing w:val="-1"/>
          <w:w w:val="105"/>
        </w:rPr>
        <w:t xml:space="preserve"> </w:t>
      </w:r>
      <w:r>
        <w:rPr>
          <w:w w:val="105"/>
        </w:rPr>
        <w:t>su</w:t>
      </w:r>
      <w:r>
        <w:rPr>
          <w:spacing w:val="-1"/>
          <w:w w:val="105"/>
        </w:rPr>
        <w:t xml:space="preserve"> </w:t>
      </w:r>
      <w:r>
        <w:rPr>
          <w:w w:val="105"/>
        </w:rPr>
        <w:t xml:space="preserve">Recomendación general núm. 35 (2017), el Comité señaló que dicha violencia puede adoptar “múltiples formas, incluidos actos u omisiones destinados o que puedan causar o tener como resultado la muerte o daños o sufrimientos físicos, sexuales, psicológicos o económicos a las mujeres, las amenazas de tales actos, acoso, coacción y privación arbitraria de la </w:t>
      </w:r>
      <w:r>
        <w:rPr>
          <w:spacing w:val="-2"/>
          <w:w w:val="105"/>
        </w:rPr>
        <w:t>libertad”.1110</w:t>
      </w:r>
    </w:p>
    <w:p w14:paraId="0706664F" w14:textId="77777777" w:rsidR="0014798C" w:rsidRDefault="004E1F0B">
      <w:pPr>
        <w:pStyle w:val="Textoindependiente"/>
        <w:spacing w:before="109" w:line="326" w:lineRule="auto"/>
        <w:ind w:left="1332" w:right="1647" w:firstLine="1"/>
      </w:pPr>
      <w:r>
        <w:rPr>
          <w:w w:val="105"/>
        </w:rPr>
        <w:t>Según</w:t>
      </w:r>
      <w:r>
        <w:rPr>
          <w:spacing w:val="-7"/>
          <w:w w:val="105"/>
        </w:rPr>
        <w:t xml:space="preserve"> </w:t>
      </w:r>
      <w:r>
        <w:rPr>
          <w:w w:val="105"/>
        </w:rPr>
        <w:t>la</w:t>
      </w:r>
      <w:r>
        <w:rPr>
          <w:spacing w:val="-7"/>
          <w:w w:val="105"/>
        </w:rPr>
        <w:t xml:space="preserve"> </w:t>
      </w:r>
      <w:r>
        <w:rPr>
          <w:w w:val="105"/>
        </w:rPr>
        <w:t>Convención</w:t>
      </w:r>
      <w:r>
        <w:rPr>
          <w:spacing w:val="-7"/>
          <w:w w:val="105"/>
        </w:rPr>
        <w:t xml:space="preserve"> </w:t>
      </w:r>
      <w:r>
        <w:rPr>
          <w:w w:val="105"/>
        </w:rPr>
        <w:t>sobre</w:t>
      </w:r>
      <w:r>
        <w:rPr>
          <w:spacing w:val="-7"/>
          <w:w w:val="105"/>
        </w:rPr>
        <w:t xml:space="preserve"> </w:t>
      </w:r>
      <w:r>
        <w:rPr>
          <w:w w:val="105"/>
        </w:rPr>
        <w:t>la</w:t>
      </w:r>
      <w:r>
        <w:rPr>
          <w:spacing w:val="-7"/>
          <w:w w:val="105"/>
        </w:rPr>
        <w:t xml:space="preserve"> </w:t>
      </w:r>
      <w:r>
        <w:rPr>
          <w:w w:val="105"/>
        </w:rPr>
        <w:t>Eliminación</w:t>
      </w:r>
      <w:r>
        <w:rPr>
          <w:spacing w:val="-7"/>
          <w:w w:val="105"/>
        </w:rPr>
        <w:t xml:space="preserve"> </w:t>
      </w:r>
      <w:r>
        <w:rPr>
          <w:w w:val="105"/>
        </w:rPr>
        <w:t>de</w:t>
      </w:r>
      <w:r>
        <w:rPr>
          <w:spacing w:val="-7"/>
          <w:w w:val="105"/>
        </w:rPr>
        <w:t xml:space="preserve"> </w:t>
      </w:r>
      <w:r>
        <w:rPr>
          <w:w w:val="105"/>
        </w:rPr>
        <w:t>Todas</w:t>
      </w:r>
      <w:r>
        <w:rPr>
          <w:spacing w:val="-7"/>
          <w:w w:val="105"/>
        </w:rPr>
        <w:t xml:space="preserve"> </w:t>
      </w:r>
      <w:r>
        <w:rPr>
          <w:w w:val="105"/>
        </w:rPr>
        <w:t>las</w:t>
      </w:r>
      <w:r>
        <w:rPr>
          <w:spacing w:val="-7"/>
          <w:w w:val="105"/>
        </w:rPr>
        <w:t xml:space="preserve"> </w:t>
      </w:r>
      <w:r>
        <w:rPr>
          <w:w w:val="105"/>
        </w:rPr>
        <w:t>Formas</w:t>
      </w:r>
      <w:r>
        <w:rPr>
          <w:spacing w:val="-7"/>
          <w:w w:val="105"/>
        </w:rPr>
        <w:t xml:space="preserve"> </w:t>
      </w:r>
      <w:r>
        <w:rPr>
          <w:w w:val="105"/>
        </w:rPr>
        <w:t>de</w:t>
      </w:r>
      <w:r>
        <w:rPr>
          <w:spacing w:val="-7"/>
          <w:w w:val="105"/>
        </w:rPr>
        <w:t xml:space="preserve"> </w:t>
      </w:r>
      <w:r>
        <w:rPr>
          <w:w w:val="105"/>
        </w:rPr>
        <w:t>Discriminación</w:t>
      </w:r>
      <w:r>
        <w:rPr>
          <w:spacing w:val="-7"/>
          <w:w w:val="105"/>
        </w:rPr>
        <w:t xml:space="preserve"> </w:t>
      </w:r>
      <w:r>
        <w:rPr>
          <w:w w:val="105"/>
        </w:rPr>
        <w:t>contra</w:t>
      </w:r>
      <w:r>
        <w:rPr>
          <w:spacing w:val="-7"/>
          <w:w w:val="105"/>
        </w:rPr>
        <w:t xml:space="preserve"> </w:t>
      </w:r>
      <w:r>
        <w:rPr>
          <w:w w:val="105"/>
        </w:rPr>
        <w:t>la</w:t>
      </w:r>
      <w:r>
        <w:rPr>
          <w:spacing w:val="-7"/>
          <w:w w:val="105"/>
        </w:rPr>
        <w:t xml:space="preserve"> </w:t>
      </w:r>
      <w:r>
        <w:rPr>
          <w:w w:val="105"/>
        </w:rPr>
        <w:t>Mujer,</w:t>
      </w:r>
      <w:r>
        <w:rPr>
          <w:spacing w:val="-6"/>
          <w:w w:val="105"/>
        </w:rPr>
        <w:t xml:space="preserve"> </w:t>
      </w:r>
      <w:r>
        <w:rPr>
          <w:w w:val="105"/>
        </w:rPr>
        <w:t>los</w:t>
      </w:r>
      <w:r>
        <w:rPr>
          <w:spacing w:val="-7"/>
          <w:w w:val="105"/>
        </w:rPr>
        <w:t xml:space="preserve"> </w:t>
      </w:r>
      <w:r>
        <w:rPr>
          <w:w w:val="105"/>
        </w:rPr>
        <w:t>Estados</w:t>
      </w:r>
      <w:r>
        <w:rPr>
          <w:spacing w:val="-7"/>
          <w:w w:val="105"/>
        </w:rPr>
        <w:t xml:space="preserve"> </w:t>
      </w:r>
      <w:r>
        <w:rPr>
          <w:w w:val="105"/>
        </w:rPr>
        <w:t>deben tomar medidas positivas para eliminar todas las formas de violencia contra la mujer y son responsables de actos privados</w:t>
      </w:r>
      <w:r>
        <w:rPr>
          <w:spacing w:val="-3"/>
          <w:w w:val="105"/>
        </w:rPr>
        <w:t xml:space="preserve"> </w:t>
      </w:r>
      <w:r>
        <w:rPr>
          <w:w w:val="105"/>
        </w:rPr>
        <w:t>si</w:t>
      </w:r>
      <w:r>
        <w:rPr>
          <w:spacing w:val="-3"/>
          <w:w w:val="105"/>
        </w:rPr>
        <w:t xml:space="preserve"> </w:t>
      </w:r>
      <w:r>
        <w:rPr>
          <w:w w:val="105"/>
        </w:rPr>
        <w:t>no</w:t>
      </w:r>
      <w:r>
        <w:rPr>
          <w:spacing w:val="-3"/>
          <w:w w:val="105"/>
        </w:rPr>
        <w:t xml:space="preserve"> </w:t>
      </w:r>
      <w:r>
        <w:rPr>
          <w:w w:val="105"/>
        </w:rPr>
        <w:t>actúan</w:t>
      </w:r>
      <w:r>
        <w:rPr>
          <w:spacing w:val="-3"/>
          <w:w w:val="105"/>
        </w:rPr>
        <w:t xml:space="preserve"> </w:t>
      </w:r>
      <w:r>
        <w:rPr>
          <w:w w:val="105"/>
        </w:rPr>
        <w:t>con</w:t>
      </w:r>
      <w:r>
        <w:rPr>
          <w:spacing w:val="-3"/>
          <w:w w:val="105"/>
        </w:rPr>
        <w:t xml:space="preserve"> </w:t>
      </w:r>
      <w:r>
        <w:rPr>
          <w:w w:val="105"/>
        </w:rPr>
        <w:t>la</w:t>
      </w:r>
      <w:r>
        <w:rPr>
          <w:spacing w:val="-3"/>
          <w:w w:val="105"/>
        </w:rPr>
        <w:t xml:space="preserve"> </w:t>
      </w:r>
      <w:r>
        <w:rPr>
          <w:w w:val="105"/>
        </w:rPr>
        <w:t>debida</w:t>
      </w:r>
      <w:r>
        <w:rPr>
          <w:spacing w:val="-3"/>
          <w:w w:val="105"/>
        </w:rPr>
        <w:t xml:space="preserve"> </w:t>
      </w:r>
      <w:r>
        <w:rPr>
          <w:w w:val="105"/>
        </w:rPr>
        <w:t>diligencia</w:t>
      </w:r>
      <w:r>
        <w:rPr>
          <w:spacing w:val="-3"/>
          <w:w w:val="105"/>
        </w:rPr>
        <w:t xml:space="preserve"> </w:t>
      </w:r>
      <w:r>
        <w:rPr>
          <w:w w:val="105"/>
        </w:rPr>
        <w:t>para</w:t>
      </w:r>
      <w:r>
        <w:rPr>
          <w:spacing w:val="-3"/>
          <w:w w:val="105"/>
        </w:rPr>
        <w:t xml:space="preserve"> </w:t>
      </w:r>
      <w:r>
        <w:rPr>
          <w:w w:val="105"/>
        </w:rPr>
        <w:t>prevenir</w:t>
      </w:r>
      <w:r>
        <w:rPr>
          <w:spacing w:val="-3"/>
          <w:w w:val="105"/>
        </w:rPr>
        <w:t xml:space="preserve"> </w:t>
      </w:r>
      <w:r>
        <w:rPr>
          <w:w w:val="105"/>
        </w:rPr>
        <w:t>violaciones</w:t>
      </w:r>
      <w:r>
        <w:rPr>
          <w:spacing w:val="-3"/>
          <w:w w:val="105"/>
        </w:rPr>
        <w:t xml:space="preserve"> </w:t>
      </w:r>
      <w:r>
        <w:rPr>
          <w:w w:val="105"/>
        </w:rPr>
        <w:t>de</w:t>
      </w:r>
      <w:r>
        <w:rPr>
          <w:spacing w:val="-3"/>
          <w:w w:val="105"/>
        </w:rPr>
        <w:t xml:space="preserve"> </w:t>
      </w:r>
      <w:r>
        <w:rPr>
          <w:w w:val="105"/>
        </w:rPr>
        <w:t>derechos</w:t>
      </w:r>
      <w:r>
        <w:rPr>
          <w:spacing w:val="-3"/>
          <w:w w:val="105"/>
        </w:rPr>
        <w:t xml:space="preserve"> </w:t>
      </w:r>
      <w:r>
        <w:rPr>
          <w:w w:val="105"/>
        </w:rPr>
        <w:t>o</w:t>
      </w:r>
      <w:r>
        <w:rPr>
          <w:spacing w:val="-3"/>
          <w:w w:val="105"/>
        </w:rPr>
        <w:t xml:space="preserve"> </w:t>
      </w:r>
      <w:r>
        <w:rPr>
          <w:w w:val="105"/>
        </w:rPr>
        <w:t>para</w:t>
      </w:r>
      <w:r>
        <w:rPr>
          <w:spacing w:val="-3"/>
          <w:w w:val="105"/>
        </w:rPr>
        <w:t xml:space="preserve"> </w:t>
      </w:r>
      <w:r>
        <w:rPr>
          <w:w w:val="105"/>
        </w:rPr>
        <w:t>investigar</w:t>
      </w:r>
      <w:r>
        <w:rPr>
          <w:spacing w:val="-3"/>
          <w:w w:val="105"/>
        </w:rPr>
        <w:t xml:space="preserve"> </w:t>
      </w:r>
      <w:r>
        <w:rPr>
          <w:w w:val="105"/>
        </w:rPr>
        <w:t>y</w:t>
      </w:r>
      <w:r>
        <w:rPr>
          <w:spacing w:val="-3"/>
          <w:w w:val="105"/>
        </w:rPr>
        <w:t xml:space="preserve"> </w:t>
      </w:r>
      <w:r>
        <w:rPr>
          <w:w w:val="105"/>
        </w:rPr>
        <w:t>sancionar</w:t>
      </w:r>
      <w:r>
        <w:rPr>
          <w:spacing w:val="-3"/>
          <w:w w:val="105"/>
        </w:rPr>
        <w:t xml:space="preserve"> </w:t>
      </w:r>
      <w:r>
        <w:rPr>
          <w:w w:val="105"/>
        </w:rPr>
        <w:t>los actos</w:t>
      </w:r>
      <w:r>
        <w:rPr>
          <w:spacing w:val="-7"/>
          <w:w w:val="105"/>
        </w:rPr>
        <w:t xml:space="preserve"> </w:t>
      </w:r>
      <w:r>
        <w:rPr>
          <w:w w:val="105"/>
        </w:rPr>
        <w:t>de</w:t>
      </w:r>
      <w:r>
        <w:rPr>
          <w:spacing w:val="-7"/>
          <w:w w:val="105"/>
        </w:rPr>
        <w:t xml:space="preserve"> </w:t>
      </w:r>
      <w:r>
        <w:rPr>
          <w:w w:val="105"/>
        </w:rPr>
        <w:t>violencia.1111</w:t>
      </w:r>
      <w:r>
        <w:rPr>
          <w:spacing w:val="-7"/>
          <w:w w:val="105"/>
        </w:rPr>
        <w:t xml:space="preserve"> </w:t>
      </w:r>
      <w:r>
        <w:rPr>
          <w:w w:val="105"/>
        </w:rPr>
        <w:t>Tales</w:t>
      </w:r>
      <w:r>
        <w:rPr>
          <w:spacing w:val="-7"/>
          <w:w w:val="105"/>
        </w:rPr>
        <w:t xml:space="preserve"> </w:t>
      </w:r>
      <w:r>
        <w:rPr>
          <w:w w:val="105"/>
        </w:rPr>
        <w:t>medidas</w:t>
      </w:r>
      <w:r>
        <w:rPr>
          <w:spacing w:val="-7"/>
          <w:w w:val="105"/>
        </w:rPr>
        <w:t xml:space="preserve"> </w:t>
      </w:r>
      <w:r>
        <w:rPr>
          <w:w w:val="105"/>
        </w:rPr>
        <w:t>deben</w:t>
      </w:r>
      <w:r>
        <w:rPr>
          <w:spacing w:val="-7"/>
          <w:w w:val="105"/>
        </w:rPr>
        <w:t xml:space="preserve"> </w:t>
      </w:r>
      <w:r>
        <w:rPr>
          <w:w w:val="105"/>
        </w:rPr>
        <w:t>incluir</w:t>
      </w:r>
      <w:r>
        <w:rPr>
          <w:spacing w:val="-7"/>
          <w:w w:val="105"/>
        </w:rPr>
        <w:t xml:space="preserve"> </w:t>
      </w:r>
      <w:r>
        <w:rPr>
          <w:w w:val="105"/>
        </w:rPr>
        <w:t>el</w:t>
      </w:r>
      <w:r>
        <w:rPr>
          <w:spacing w:val="-7"/>
          <w:w w:val="105"/>
        </w:rPr>
        <w:t xml:space="preserve"> </w:t>
      </w:r>
      <w:r>
        <w:rPr>
          <w:w w:val="105"/>
        </w:rPr>
        <w:t>uso</w:t>
      </w:r>
      <w:r>
        <w:rPr>
          <w:spacing w:val="-7"/>
          <w:w w:val="105"/>
        </w:rPr>
        <w:t xml:space="preserve"> </w:t>
      </w:r>
      <w:r>
        <w:rPr>
          <w:w w:val="105"/>
        </w:rPr>
        <w:t>de</w:t>
      </w:r>
      <w:r>
        <w:rPr>
          <w:spacing w:val="-7"/>
          <w:w w:val="105"/>
        </w:rPr>
        <w:t xml:space="preserve"> </w:t>
      </w:r>
      <w:r>
        <w:rPr>
          <w:w w:val="105"/>
        </w:rPr>
        <w:t>sanciones</w:t>
      </w:r>
      <w:r>
        <w:rPr>
          <w:spacing w:val="-7"/>
          <w:w w:val="105"/>
        </w:rPr>
        <w:t xml:space="preserve"> </w:t>
      </w:r>
      <w:r>
        <w:rPr>
          <w:w w:val="105"/>
        </w:rPr>
        <w:t>penales</w:t>
      </w:r>
      <w:r>
        <w:rPr>
          <w:spacing w:val="-7"/>
          <w:w w:val="105"/>
        </w:rPr>
        <w:t xml:space="preserve"> </w:t>
      </w:r>
      <w:r>
        <w:rPr>
          <w:w w:val="105"/>
        </w:rPr>
        <w:t>en</w:t>
      </w:r>
      <w:r>
        <w:rPr>
          <w:spacing w:val="-7"/>
          <w:w w:val="105"/>
        </w:rPr>
        <w:t xml:space="preserve"> </w:t>
      </w:r>
      <w:r>
        <w:rPr>
          <w:w w:val="105"/>
        </w:rPr>
        <w:t>situaciones</w:t>
      </w:r>
      <w:r>
        <w:rPr>
          <w:spacing w:val="-7"/>
          <w:w w:val="105"/>
        </w:rPr>
        <w:t xml:space="preserve"> </w:t>
      </w:r>
      <w:r>
        <w:rPr>
          <w:w w:val="105"/>
        </w:rPr>
        <w:t>en</w:t>
      </w:r>
      <w:r>
        <w:rPr>
          <w:spacing w:val="-7"/>
          <w:w w:val="105"/>
        </w:rPr>
        <w:t xml:space="preserve"> </w:t>
      </w:r>
      <w:r>
        <w:rPr>
          <w:w w:val="105"/>
        </w:rPr>
        <w:t>las</w:t>
      </w:r>
      <w:r>
        <w:rPr>
          <w:spacing w:val="-7"/>
          <w:w w:val="105"/>
        </w:rPr>
        <w:t xml:space="preserve"> </w:t>
      </w:r>
      <w:r>
        <w:rPr>
          <w:w w:val="105"/>
        </w:rPr>
        <w:t>que</w:t>
      </w:r>
      <w:r>
        <w:rPr>
          <w:spacing w:val="-7"/>
          <w:w w:val="105"/>
        </w:rPr>
        <w:t xml:space="preserve"> </w:t>
      </w:r>
      <w:r>
        <w:rPr>
          <w:w w:val="105"/>
        </w:rPr>
        <w:t>se</w:t>
      </w:r>
      <w:r>
        <w:rPr>
          <w:spacing w:val="-7"/>
          <w:w w:val="105"/>
        </w:rPr>
        <w:t xml:space="preserve"> </w:t>
      </w:r>
      <w:r>
        <w:rPr>
          <w:w w:val="105"/>
        </w:rPr>
        <w:t>viole</w:t>
      </w:r>
      <w:r>
        <w:rPr>
          <w:spacing w:val="-7"/>
          <w:w w:val="105"/>
        </w:rPr>
        <w:t xml:space="preserve"> </w:t>
      </w:r>
      <w:r>
        <w:rPr>
          <w:w w:val="105"/>
        </w:rPr>
        <w:t>la “integridad</w:t>
      </w:r>
      <w:r>
        <w:rPr>
          <w:spacing w:val="-12"/>
          <w:w w:val="105"/>
        </w:rPr>
        <w:t xml:space="preserve"> </w:t>
      </w:r>
      <w:r>
        <w:rPr>
          <w:w w:val="105"/>
        </w:rPr>
        <w:t>física,</w:t>
      </w:r>
      <w:r>
        <w:rPr>
          <w:spacing w:val="-12"/>
          <w:w w:val="105"/>
        </w:rPr>
        <w:t xml:space="preserve"> </w:t>
      </w:r>
      <w:r>
        <w:rPr>
          <w:w w:val="105"/>
        </w:rPr>
        <w:t>sexual</w:t>
      </w:r>
      <w:r>
        <w:rPr>
          <w:spacing w:val="-11"/>
          <w:w w:val="105"/>
        </w:rPr>
        <w:t xml:space="preserve"> </w:t>
      </w:r>
      <w:r>
        <w:rPr>
          <w:w w:val="105"/>
        </w:rPr>
        <w:t>o</w:t>
      </w:r>
      <w:r>
        <w:rPr>
          <w:spacing w:val="-12"/>
          <w:w w:val="105"/>
        </w:rPr>
        <w:t xml:space="preserve"> </w:t>
      </w:r>
      <w:r>
        <w:rPr>
          <w:w w:val="105"/>
        </w:rPr>
        <w:t>psicológica”</w:t>
      </w:r>
      <w:r>
        <w:rPr>
          <w:spacing w:val="-12"/>
          <w:w w:val="105"/>
        </w:rPr>
        <w:t xml:space="preserve"> </w:t>
      </w:r>
      <w:r>
        <w:rPr>
          <w:w w:val="105"/>
        </w:rPr>
        <w:t>de</w:t>
      </w:r>
      <w:r>
        <w:rPr>
          <w:spacing w:val="-12"/>
          <w:w w:val="105"/>
        </w:rPr>
        <w:t xml:space="preserve"> </w:t>
      </w:r>
      <w:r>
        <w:rPr>
          <w:w w:val="105"/>
        </w:rPr>
        <w:t>una</w:t>
      </w:r>
      <w:r>
        <w:rPr>
          <w:spacing w:val="-11"/>
          <w:w w:val="105"/>
        </w:rPr>
        <w:t xml:space="preserve"> </w:t>
      </w:r>
      <w:r>
        <w:rPr>
          <w:w w:val="105"/>
        </w:rPr>
        <w:t>mujer;</w:t>
      </w:r>
      <w:r>
        <w:rPr>
          <w:spacing w:val="-12"/>
          <w:w w:val="105"/>
        </w:rPr>
        <w:t xml:space="preserve"> </w:t>
      </w:r>
      <w:r>
        <w:rPr>
          <w:w w:val="105"/>
        </w:rPr>
        <w:t>junto</w:t>
      </w:r>
      <w:r>
        <w:rPr>
          <w:spacing w:val="-12"/>
          <w:w w:val="105"/>
        </w:rPr>
        <w:t xml:space="preserve"> </w:t>
      </w:r>
      <w:r>
        <w:rPr>
          <w:w w:val="105"/>
        </w:rPr>
        <w:t>con</w:t>
      </w:r>
      <w:r>
        <w:rPr>
          <w:spacing w:val="-11"/>
          <w:w w:val="105"/>
        </w:rPr>
        <w:t xml:space="preserve"> </w:t>
      </w:r>
      <w:r>
        <w:rPr>
          <w:w w:val="105"/>
        </w:rPr>
        <w:t>recursos</w:t>
      </w:r>
      <w:r>
        <w:rPr>
          <w:spacing w:val="-12"/>
          <w:w w:val="105"/>
        </w:rPr>
        <w:t xml:space="preserve"> </w:t>
      </w:r>
      <w:r>
        <w:rPr>
          <w:w w:val="105"/>
        </w:rPr>
        <w:t>civiles.1112</w:t>
      </w:r>
      <w:r>
        <w:rPr>
          <w:spacing w:val="-12"/>
          <w:w w:val="105"/>
        </w:rPr>
        <w:t xml:space="preserve"> </w:t>
      </w:r>
      <w:r>
        <w:rPr>
          <w:w w:val="105"/>
        </w:rPr>
        <w:t>El</w:t>
      </w:r>
      <w:r>
        <w:rPr>
          <w:spacing w:val="-11"/>
          <w:w w:val="105"/>
        </w:rPr>
        <w:t xml:space="preserve"> </w:t>
      </w:r>
      <w:r>
        <w:rPr>
          <w:w w:val="105"/>
        </w:rPr>
        <w:t>Comité</w:t>
      </w:r>
      <w:r>
        <w:rPr>
          <w:spacing w:val="-12"/>
          <w:w w:val="105"/>
        </w:rPr>
        <w:t xml:space="preserve"> </w:t>
      </w:r>
      <w:r>
        <w:rPr>
          <w:w w:val="105"/>
        </w:rPr>
        <w:t>para</w:t>
      </w:r>
      <w:r>
        <w:rPr>
          <w:spacing w:val="-12"/>
          <w:w w:val="105"/>
        </w:rPr>
        <w:t xml:space="preserve"> </w:t>
      </w:r>
      <w:r>
        <w:rPr>
          <w:w w:val="105"/>
        </w:rPr>
        <w:t>la</w:t>
      </w:r>
      <w:r>
        <w:rPr>
          <w:spacing w:val="-11"/>
          <w:w w:val="105"/>
        </w:rPr>
        <w:t xml:space="preserve"> </w:t>
      </w:r>
      <w:r>
        <w:rPr>
          <w:w w:val="105"/>
        </w:rPr>
        <w:t>Eliminación</w:t>
      </w:r>
      <w:r>
        <w:rPr>
          <w:spacing w:val="-12"/>
          <w:w w:val="105"/>
        </w:rPr>
        <w:t xml:space="preserve"> </w:t>
      </w:r>
      <w:r>
        <w:rPr>
          <w:w w:val="105"/>
        </w:rPr>
        <w:t>de la Discriminación contra la Mujer ha considerado que varios Estados violan las disposiciones de la Convención pertinente</w:t>
      </w:r>
      <w:r>
        <w:rPr>
          <w:spacing w:val="-2"/>
          <w:w w:val="105"/>
        </w:rPr>
        <w:t xml:space="preserve"> </w:t>
      </w:r>
      <w:r>
        <w:rPr>
          <w:w w:val="105"/>
        </w:rPr>
        <w:t>en</w:t>
      </w:r>
      <w:r>
        <w:rPr>
          <w:spacing w:val="-2"/>
          <w:w w:val="105"/>
        </w:rPr>
        <w:t xml:space="preserve"> </w:t>
      </w:r>
      <w:r>
        <w:rPr>
          <w:w w:val="105"/>
        </w:rPr>
        <w:t>casos</w:t>
      </w:r>
      <w:r>
        <w:rPr>
          <w:spacing w:val="-2"/>
          <w:w w:val="105"/>
        </w:rPr>
        <w:t xml:space="preserve"> </w:t>
      </w:r>
      <w:r>
        <w:rPr>
          <w:w w:val="105"/>
        </w:rPr>
        <w:t>relacionados</w:t>
      </w:r>
      <w:r>
        <w:rPr>
          <w:spacing w:val="-2"/>
          <w:w w:val="105"/>
        </w:rPr>
        <w:t xml:space="preserve"> </w:t>
      </w:r>
      <w:r>
        <w:rPr>
          <w:w w:val="105"/>
        </w:rPr>
        <w:t>con</w:t>
      </w:r>
      <w:r>
        <w:rPr>
          <w:spacing w:val="-2"/>
          <w:w w:val="105"/>
        </w:rPr>
        <w:t xml:space="preserve"> </w:t>
      </w:r>
      <w:r>
        <w:rPr>
          <w:w w:val="105"/>
        </w:rPr>
        <w:t>violación,1113</w:t>
      </w:r>
      <w:r>
        <w:rPr>
          <w:spacing w:val="-2"/>
          <w:w w:val="105"/>
        </w:rPr>
        <w:t xml:space="preserve"> </w:t>
      </w:r>
      <w:r>
        <w:rPr>
          <w:w w:val="105"/>
        </w:rPr>
        <w:t>violencia</w:t>
      </w:r>
      <w:r>
        <w:rPr>
          <w:spacing w:val="-2"/>
          <w:w w:val="105"/>
        </w:rPr>
        <w:t xml:space="preserve"> </w:t>
      </w:r>
      <w:r>
        <w:rPr>
          <w:w w:val="105"/>
        </w:rPr>
        <w:t>doméstica,1114</w:t>
      </w:r>
      <w:r>
        <w:rPr>
          <w:spacing w:val="-2"/>
          <w:w w:val="105"/>
        </w:rPr>
        <w:t xml:space="preserve"> </w:t>
      </w:r>
      <w:r>
        <w:rPr>
          <w:w w:val="105"/>
        </w:rPr>
        <w:t>esterilización</w:t>
      </w:r>
      <w:r>
        <w:rPr>
          <w:spacing w:val="-2"/>
          <w:w w:val="105"/>
        </w:rPr>
        <w:t xml:space="preserve"> </w:t>
      </w:r>
      <w:r>
        <w:rPr>
          <w:w w:val="105"/>
        </w:rPr>
        <w:t>coercitiva1115</w:t>
      </w:r>
    </w:p>
    <w:p w14:paraId="1B8FA49E" w14:textId="77777777" w:rsidR="0014798C" w:rsidRDefault="004E1F0B">
      <w:pPr>
        <w:pStyle w:val="Textoindependiente"/>
        <w:spacing w:line="326" w:lineRule="auto"/>
        <w:ind w:left="1337" w:right="2036" w:firstLine="1"/>
        <w:jc w:val="both"/>
      </w:pPr>
      <w:r>
        <w:rPr>
          <w:w w:val="105"/>
        </w:rPr>
        <w:t>y</w:t>
      </w:r>
      <w:r>
        <w:rPr>
          <w:spacing w:val="-8"/>
          <w:w w:val="105"/>
        </w:rPr>
        <w:t xml:space="preserve"> </w:t>
      </w:r>
      <w:r>
        <w:rPr>
          <w:w w:val="105"/>
        </w:rPr>
        <w:t>otras</w:t>
      </w:r>
      <w:r>
        <w:rPr>
          <w:spacing w:val="-8"/>
          <w:w w:val="105"/>
        </w:rPr>
        <w:t xml:space="preserve"> </w:t>
      </w:r>
      <w:r>
        <w:rPr>
          <w:w w:val="105"/>
        </w:rPr>
        <w:t>formas</w:t>
      </w:r>
      <w:r>
        <w:rPr>
          <w:spacing w:val="-8"/>
          <w:w w:val="105"/>
        </w:rPr>
        <w:t xml:space="preserve"> </w:t>
      </w:r>
      <w:r>
        <w:rPr>
          <w:w w:val="105"/>
        </w:rPr>
        <w:t>de</w:t>
      </w:r>
      <w:r>
        <w:rPr>
          <w:spacing w:val="-8"/>
          <w:w w:val="105"/>
        </w:rPr>
        <w:t xml:space="preserve"> </w:t>
      </w:r>
      <w:r>
        <w:rPr>
          <w:w w:val="105"/>
        </w:rPr>
        <w:t>violencia</w:t>
      </w:r>
      <w:r>
        <w:rPr>
          <w:spacing w:val="-8"/>
          <w:w w:val="105"/>
        </w:rPr>
        <w:t xml:space="preserve"> </w:t>
      </w:r>
      <w:r>
        <w:rPr>
          <w:w w:val="105"/>
        </w:rPr>
        <w:t>de</w:t>
      </w:r>
      <w:r>
        <w:rPr>
          <w:spacing w:val="-8"/>
          <w:w w:val="105"/>
        </w:rPr>
        <w:t xml:space="preserve"> </w:t>
      </w:r>
      <w:r>
        <w:rPr>
          <w:w w:val="105"/>
        </w:rPr>
        <w:t>género,</w:t>
      </w:r>
      <w:r>
        <w:rPr>
          <w:spacing w:val="-7"/>
          <w:w w:val="105"/>
        </w:rPr>
        <w:t xml:space="preserve"> </w:t>
      </w:r>
      <w:r>
        <w:rPr>
          <w:w w:val="105"/>
        </w:rPr>
        <w:t>y</w:t>
      </w:r>
      <w:r>
        <w:rPr>
          <w:spacing w:val="-8"/>
          <w:w w:val="105"/>
        </w:rPr>
        <w:t xml:space="preserve"> </w:t>
      </w:r>
      <w:r>
        <w:rPr>
          <w:w w:val="105"/>
        </w:rPr>
        <w:t>en</w:t>
      </w:r>
      <w:r>
        <w:rPr>
          <w:spacing w:val="-8"/>
          <w:w w:val="105"/>
        </w:rPr>
        <w:t xml:space="preserve"> </w:t>
      </w:r>
      <w:r>
        <w:rPr>
          <w:w w:val="105"/>
        </w:rPr>
        <w:t>todas</w:t>
      </w:r>
      <w:r>
        <w:rPr>
          <w:spacing w:val="-8"/>
          <w:w w:val="105"/>
        </w:rPr>
        <w:t xml:space="preserve"> </w:t>
      </w:r>
      <w:r>
        <w:rPr>
          <w:w w:val="105"/>
        </w:rPr>
        <w:t>esas</w:t>
      </w:r>
      <w:r>
        <w:rPr>
          <w:spacing w:val="-8"/>
          <w:w w:val="105"/>
        </w:rPr>
        <w:t xml:space="preserve"> </w:t>
      </w:r>
      <w:r>
        <w:rPr>
          <w:w w:val="105"/>
        </w:rPr>
        <w:t>decisiones</w:t>
      </w:r>
      <w:r>
        <w:rPr>
          <w:spacing w:val="-8"/>
          <w:w w:val="105"/>
        </w:rPr>
        <w:t xml:space="preserve"> </w:t>
      </w:r>
      <w:r>
        <w:rPr>
          <w:w w:val="105"/>
        </w:rPr>
        <w:t>ha</w:t>
      </w:r>
      <w:r>
        <w:rPr>
          <w:spacing w:val="-8"/>
          <w:w w:val="105"/>
        </w:rPr>
        <w:t xml:space="preserve"> </w:t>
      </w:r>
      <w:r>
        <w:rPr>
          <w:w w:val="105"/>
        </w:rPr>
        <w:t>emitido</w:t>
      </w:r>
      <w:r>
        <w:rPr>
          <w:spacing w:val="-8"/>
          <w:w w:val="105"/>
        </w:rPr>
        <w:t xml:space="preserve"> </w:t>
      </w:r>
      <w:r>
        <w:rPr>
          <w:w w:val="105"/>
        </w:rPr>
        <w:t>instrucciones</w:t>
      </w:r>
      <w:r>
        <w:rPr>
          <w:spacing w:val="-8"/>
          <w:w w:val="105"/>
        </w:rPr>
        <w:t xml:space="preserve"> </w:t>
      </w:r>
      <w:r>
        <w:rPr>
          <w:w w:val="105"/>
        </w:rPr>
        <w:t>muy</w:t>
      </w:r>
      <w:r>
        <w:rPr>
          <w:spacing w:val="-8"/>
          <w:w w:val="105"/>
        </w:rPr>
        <w:t xml:space="preserve"> </w:t>
      </w:r>
      <w:r>
        <w:rPr>
          <w:w w:val="105"/>
        </w:rPr>
        <w:t>detalladas</w:t>
      </w:r>
      <w:r>
        <w:rPr>
          <w:spacing w:val="-8"/>
          <w:w w:val="105"/>
        </w:rPr>
        <w:t xml:space="preserve"> </w:t>
      </w:r>
      <w:r>
        <w:rPr>
          <w:w w:val="105"/>
        </w:rPr>
        <w:t>sobre reparación.</w:t>
      </w:r>
      <w:r>
        <w:rPr>
          <w:spacing w:val="-6"/>
          <w:w w:val="105"/>
        </w:rPr>
        <w:t xml:space="preserve"> </w:t>
      </w:r>
      <w:r>
        <w:rPr>
          <w:w w:val="105"/>
        </w:rPr>
        <w:t>Los</w:t>
      </w:r>
      <w:r>
        <w:rPr>
          <w:spacing w:val="-7"/>
          <w:w w:val="105"/>
        </w:rPr>
        <w:t xml:space="preserve"> </w:t>
      </w:r>
      <w:r>
        <w:rPr>
          <w:w w:val="105"/>
        </w:rPr>
        <w:t>tribunales</w:t>
      </w:r>
      <w:r>
        <w:rPr>
          <w:spacing w:val="-7"/>
          <w:w w:val="105"/>
        </w:rPr>
        <w:t xml:space="preserve"> </w:t>
      </w:r>
      <w:r>
        <w:rPr>
          <w:w w:val="105"/>
        </w:rPr>
        <w:t>regionales</w:t>
      </w:r>
      <w:r>
        <w:rPr>
          <w:spacing w:val="-7"/>
          <w:w w:val="105"/>
        </w:rPr>
        <w:t xml:space="preserve"> </w:t>
      </w:r>
      <w:r>
        <w:rPr>
          <w:w w:val="105"/>
        </w:rPr>
        <w:t>han</w:t>
      </w:r>
      <w:r>
        <w:rPr>
          <w:spacing w:val="-7"/>
          <w:w w:val="105"/>
        </w:rPr>
        <w:t xml:space="preserve"> </w:t>
      </w:r>
      <w:r>
        <w:rPr>
          <w:w w:val="105"/>
        </w:rPr>
        <w:t>seguido</w:t>
      </w:r>
      <w:r>
        <w:rPr>
          <w:spacing w:val="-7"/>
          <w:w w:val="105"/>
        </w:rPr>
        <w:t xml:space="preserve"> </w:t>
      </w:r>
      <w:r>
        <w:rPr>
          <w:w w:val="105"/>
        </w:rPr>
        <w:t>la</w:t>
      </w:r>
      <w:r>
        <w:rPr>
          <w:spacing w:val="-7"/>
          <w:w w:val="105"/>
        </w:rPr>
        <w:t xml:space="preserve"> </w:t>
      </w:r>
      <w:r>
        <w:rPr>
          <w:w w:val="105"/>
        </w:rPr>
        <w:t>jurisprudencia</w:t>
      </w:r>
      <w:r>
        <w:rPr>
          <w:spacing w:val="-7"/>
          <w:w w:val="105"/>
        </w:rPr>
        <w:t xml:space="preserve"> </w:t>
      </w:r>
      <w:r>
        <w:rPr>
          <w:w w:val="105"/>
        </w:rPr>
        <w:t>del</w:t>
      </w:r>
      <w:r>
        <w:rPr>
          <w:spacing w:val="-7"/>
          <w:w w:val="105"/>
        </w:rPr>
        <w:t xml:space="preserve"> </w:t>
      </w:r>
      <w:r>
        <w:rPr>
          <w:w w:val="105"/>
        </w:rPr>
        <w:t>Comité,</w:t>
      </w:r>
      <w:r>
        <w:rPr>
          <w:spacing w:val="-6"/>
          <w:w w:val="105"/>
        </w:rPr>
        <w:t xml:space="preserve"> </w:t>
      </w:r>
      <w:r>
        <w:rPr>
          <w:w w:val="105"/>
        </w:rPr>
        <w:t>entre</w:t>
      </w:r>
      <w:r>
        <w:rPr>
          <w:spacing w:val="-7"/>
          <w:w w:val="105"/>
        </w:rPr>
        <w:t xml:space="preserve"> </w:t>
      </w:r>
      <w:r>
        <w:rPr>
          <w:w w:val="105"/>
        </w:rPr>
        <w:t>otras</w:t>
      </w:r>
      <w:r>
        <w:rPr>
          <w:spacing w:val="-7"/>
          <w:w w:val="105"/>
        </w:rPr>
        <w:t xml:space="preserve"> </w:t>
      </w:r>
      <w:r>
        <w:rPr>
          <w:w w:val="105"/>
        </w:rPr>
        <w:t>cosas,</w:t>
      </w:r>
      <w:r>
        <w:rPr>
          <w:spacing w:val="-6"/>
          <w:w w:val="105"/>
        </w:rPr>
        <w:t xml:space="preserve"> </w:t>
      </w:r>
      <w:r>
        <w:rPr>
          <w:w w:val="105"/>
        </w:rPr>
        <w:t>al</w:t>
      </w:r>
      <w:r>
        <w:rPr>
          <w:spacing w:val="-7"/>
          <w:w w:val="105"/>
        </w:rPr>
        <w:t xml:space="preserve"> </w:t>
      </w:r>
      <w:r>
        <w:rPr>
          <w:w w:val="105"/>
        </w:rPr>
        <w:t>identificar</w:t>
      </w:r>
      <w:r>
        <w:rPr>
          <w:spacing w:val="-7"/>
          <w:w w:val="105"/>
        </w:rPr>
        <w:t xml:space="preserve"> </w:t>
      </w:r>
      <w:r>
        <w:rPr>
          <w:w w:val="105"/>
        </w:rPr>
        <w:t>la discriminación sistémica en la respuesta de las autoridades a la violencia de género.1116</w:t>
      </w:r>
    </w:p>
    <w:p w14:paraId="70AAF28C" w14:textId="77777777" w:rsidR="0014798C" w:rsidRDefault="0014798C">
      <w:pPr>
        <w:pStyle w:val="Textoindependiente"/>
      </w:pPr>
    </w:p>
    <w:p w14:paraId="6927EB0E" w14:textId="77777777" w:rsidR="0014798C" w:rsidRDefault="0014798C">
      <w:pPr>
        <w:pStyle w:val="Textoindependiente"/>
        <w:spacing w:before="81"/>
      </w:pPr>
    </w:p>
    <w:p w14:paraId="3B715E37" w14:textId="77777777" w:rsidR="0014798C" w:rsidRDefault="004E1F0B">
      <w:pPr>
        <w:pStyle w:val="Textoindependiente"/>
        <w:spacing w:line="326" w:lineRule="auto"/>
        <w:ind w:left="1109" w:right="1290" w:hanging="2"/>
      </w:pPr>
      <w:r>
        <w:rPr>
          <w:w w:val="105"/>
        </w:rPr>
        <w:t>En las últimas décadas, los tribunales regionales han identificado, en una variedad de casos y escenarios particulares, la discriminación</w:t>
      </w:r>
      <w:r>
        <w:rPr>
          <w:spacing w:val="-6"/>
          <w:w w:val="105"/>
        </w:rPr>
        <w:t xml:space="preserve"> </w:t>
      </w:r>
      <w:r>
        <w:rPr>
          <w:w w:val="105"/>
        </w:rPr>
        <w:t>en</w:t>
      </w:r>
      <w:r>
        <w:rPr>
          <w:spacing w:val="-6"/>
          <w:w w:val="105"/>
        </w:rPr>
        <w:t xml:space="preserve"> </w:t>
      </w:r>
      <w:r>
        <w:rPr>
          <w:w w:val="105"/>
        </w:rPr>
        <w:t>relación</w:t>
      </w:r>
      <w:r>
        <w:rPr>
          <w:spacing w:val="-6"/>
          <w:w w:val="105"/>
        </w:rPr>
        <w:t xml:space="preserve"> </w:t>
      </w:r>
      <w:r>
        <w:rPr>
          <w:w w:val="105"/>
        </w:rPr>
        <w:t>con</w:t>
      </w:r>
      <w:r>
        <w:rPr>
          <w:spacing w:val="-6"/>
          <w:w w:val="105"/>
        </w:rPr>
        <w:t xml:space="preserve"> </w:t>
      </w:r>
      <w:r>
        <w:rPr>
          <w:w w:val="105"/>
        </w:rPr>
        <w:t>el</w:t>
      </w:r>
      <w:r>
        <w:rPr>
          <w:spacing w:val="-6"/>
          <w:w w:val="105"/>
        </w:rPr>
        <w:t xml:space="preserve"> </w:t>
      </w:r>
      <w:r>
        <w:rPr>
          <w:w w:val="105"/>
        </w:rPr>
        <w:t>derecho</w:t>
      </w:r>
      <w:r>
        <w:rPr>
          <w:spacing w:val="-6"/>
          <w:w w:val="105"/>
        </w:rPr>
        <w:t xml:space="preserve"> </w:t>
      </w:r>
      <w:r>
        <w:rPr>
          <w:w w:val="105"/>
        </w:rPr>
        <w:t>a</w:t>
      </w:r>
      <w:r>
        <w:rPr>
          <w:spacing w:val="-6"/>
          <w:w w:val="105"/>
        </w:rPr>
        <w:t xml:space="preserve"> </w:t>
      </w:r>
      <w:r>
        <w:rPr>
          <w:w w:val="105"/>
        </w:rPr>
        <w:t>la</w:t>
      </w:r>
      <w:r>
        <w:rPr>
          <w:spacing w:val="-6"/>
          <w:w w:val="105"/>
        </w:rPr>
        <w:t xml:space="preserve"> </w:t>
      </w:r>
      <w:r>
        <w:rPr>
          <w:w w:val="105"/>
        </w:rPr>
        <w:t>vida,</w:t>
      </w:r>
      <w:r>
        <w:rPr>
          <w:spacing w:val="-5"/>
          <w:w w:val="105"/>
        </w:rPr>
        <w:t xml:space="preserve"> </w:t>
      </w:r>
      <w:r>
        <w:rPr>
          <w:w w:val="105"/>
        </w:rPr>
        <w:t>la</w:t>
      </w:r>
      <w:r>
        <w:rPr>
          <w:spacing w:val="-6"/>
          <w:w w:val="105"/>
        </w:rPr>
        <w:t xml:space="preserve"> </w:t>
      </w:r>
      <w:r>
        <w:rPr>
          <w:w w:val="105"/>
        </w:rPr>
        <w:t>prohibición</w:t>
      </w:r>
      <w:r>
        <w:rPr>
          <w:spacing w:val="-6"/>
          <w:w w:val="105"/>
        </w:rPr>
        <w:t xml:space="preserve"> </w:t>
      </w:r>
      <w:r>
        <w:rPr>
          <w:w w:val="105"/>
        </w:rPr>
        <w:t>de</w:t>
      </w:r>
      <w:r>
        <w:rPr>
          <w:spacing w:val="-6"/>
          <w:w w:val="105"/>
        </w:rPr>
        <w:t xml:space="preserve"> </w:t>
      </w:r>
      <w:r>
        <w:rPr>
          <w:w w:val="105"/>
        </w:rPr>
        <w:t>tratos</w:t>
      </w:r>
      <w:r>
        <w:rPr>
          <w:spacing w:val="-6"/>
          <w:w w:val="105"/>
        </w:rPr>
        <w:t xml:space="preserve"> </w:t>
      </w:r>
      <w:r>
        <w:rPr>
          <w:w w:val="105"/>
        </w:rPr>
        <w:t>o</w:t>
      </w:r>
      <w:r>
        <w:rPr>
          <w:spacing w:val="-6"/>
          <w:w w:val="105"/>
        </w:rPr>
        <w:t xml:space="preserve"> </w:t>
      </w:r>
      <w:r>
        <w:rPr>
          <w:w w:val="105"/>
        </w:rPr>
        <w:t>penas</w:t>
      </w:r>
      <w:r>
        <w:rPr>
          <w:spacing w:val="-6"/>
          <w:w w:val="105"/>
        </w:rPr>
        <w:t xml:space="preserve"> </w:t>
      </w:r>
      <w:r>
        <w:rPr>
          <w:w w:val="105"/>
        </w:rPr>
        <w:t>crueles</w:t>
      </w:r>
      <w:r>
        <w:rPr>
          <w:spacing w:val="-6"/>
          <w:w w:val="105"/>
        </w:rPr>
        <w:t xml:space="preserve"> </w:t>
      </w:r>
      <w:r>
        <w:rPr>
          <w:w w:val="105"/>
        </w:rPr>
        <w:t>y</w:t>
      </w:r>
      <w:r>
        <w:rPr>
          <w:spacing w:val="-6"/>
          <w:w w:val="105"/>
        </w:rPr>
        <w:t xml:space="preserve"> </w:t>
      </w:r>
      <w:r>
        <w:rPr>
          <w:w w:val="105"/>
        </w:rPr>
        <w:t>degradantes,</w:t>
      </w:r>
      <w:r>
        <w:rPr>
          <w:spacing w:val="-5"/>
          <w:w w:val="105"/>
        </w:rPr>
        <w:t xml:space="preserve"> </w:t>
      </w:r>
      <w:r>
        <w:rPr>
          <w:w w:val="105"/>
        </w:rPr>
        <w:t>y</w:t>
      </w:r>
      <w:r>
        <w:rPr>
          <w:spacing w:val="-6"/>
          <w:w w:val="105"/>
        </w:rPr>
        <w:t xml:space="preserve"> </w:t>
      </w:r>
      <w:r>
        <w:rPr>
          <w:w w:val="105"/>
        </w:rPr>
        <w:t>el</w:t>
      </w:r>
      <w:r>
        <w:rPr>
          <w:spacing w:val="-6"/>
          <w:w w:val="105"/>
        </w:rPr>
        <w:t xml:space="preserve"> </w:t>
      </w:r>
      <w:r>
        <w:rPr>
          <w:w w:val="105"/>
        </w:rPr>
        <w:t>derecho</w:t>
      </w:r>
      <w:r>
        <w:rPr>
          <w:spacing w:val="-6"/>
          <w:w w:val="105"/>
        </w:rPr>
        <w:t xml:space="preserve"> </w:t>
      </w:r>
      <w:r>
        <w:rPr>
          <w:w w:val="105"/>
        </w:rPr>
        <w:t>a</w:t>
      </w:r>
      <w:r>
        <w:rPr>
          <w:spacing w:val="-6"/>
          <w:w w:val="105"/>
        </w:rPr>
        <w:t xml:space="preserve"> </w:t>
      </w:r>
      <w:r>
        <w:rPr>
          <w:w w:val="105"/>
        </w:rPr>
        <w:t>la</w:t>
      </w:r>
    </w:p>
    <w:p w14:paraId="07382D90" w14:textId="77777777" w:rsidR="0014798C" w:rsidRDefault="004E1F0B">
      <w:pPr>
        <w:pStyle w:val="Textoindependiente"/>
        <w:spacing w:line="326" w:lineRule="auto"/>
        <w:ind w:left="1111" w:right="827" w:hanging="1"/>
      </w:pPr>
      <w:r>
        <w:rPr>
          <w:w w:val="105"/>
        </w:rPr>
        <w:t>vida</w:t>
      </w:r>
      <w:r>
        <w:rPr>
          <w:spacing w:val="-8"/>
          <w:w w:val="105"/>
        </w:rPr>
        <w:t xml:space="preserve"> </w:t>
      </w:r>
      <w:r>
        <w:rPr>
          <w:w w:val="105"/>
        </w:rPr>
        <w:t>privada</w:t>
      </w:r>
      <w:r>
        <w:rPr>
          <w:spacing w:val="-8"/>
          <w:w w:val="105"/>
        </w:rPr>
        <w:t xml:space="preserve"> </w:t>
      </w:r>
      <w:r>
        <w:rPr>
          <w:w w:val="105"/>
        </w:rPr>
        <w:t>y</w:t>
      </w:r>
      <w:r>
        <w:rPr>
          <w:spacing w:val="-8"/>
          <w:w w:val="105"/>
        </w:rPr>
        <w:t xml:space="preserve"> </w:t>
      </w:r>
      <w:r>
        <w:rPr>
          <w:w w:val="105"/>
        </w:rPr>
        <w:t>familiar</w:t>
      </w:r>
      <w:r>
        <w:rPr>
          <w:spacing w:val="-8"/>
          <w:w w:val="105"/>
        </w:rPr>
        <w:t xml:space="preserve"> </w:t>
      </w:r>
      <w:r>
        <w:rPr>
          <w:w w:val="105"/>
        </w:rPr>
        <w:t>en</w:t>
      </w:r>
      <w:r>
        <w:rPr>
          <w:spacing w:val="-8"/>
          <w:w w:val="105"/>
        </w:rPr>
        <w:t xml:space="preserve"> </w:t>
      </w:r>
      <w:r>
        <w:rPr>
          <w:w w:val="105"/>
        </w:rPr>
        <w:t>casos</w:t>
      </w:r>
      <w:r>
        <w:rPr>
          <w:spacing w:val="-8"/>
          <w:w w:val="105"/>
        </w:rPr>
        <w:t xml:space="preserve"> </w:t>
      </w:r>
      <w:r>
        <w:rPr>
          <w:w w:val="105"/>
        </w:rPr>
        <w:t>relacionados</w:t>
      </w:r>
      <w:r>
        <w:rPr>
          <w:spacing w:val="-8"/>
          <w:w w:val="105"/>
        </w:rPr>
        <w:t xml:space="preserve"> </w:t>
      </w:r>
      <w:r>
        <w:rPr>
          <w:w w:val="105"/>
        </w:rPr>
        <w:t>con</w:t>
      </w:r>
      <w:r>
        <w:rPr>
          <w:spacing w:val="-8"/>
          <w:w w:val="105"/>
        </w:rPr>
        <w:t xml:space="preserve"> </w:t>
      </w:r>
      <w:r>
        <w:rPr>
          <w:w w:val="105"/>
        </w:rPr>
        <w:t>prejuicios.</w:t>
      </w:r>
      <w:r>
        <w:rPr>
          <w:spacing w:val="-7"/>
          <w:w w:val="105"/>
        </w:rPr>
        <w:t xml:space="preserve"> </w:t>
      </w:r>
      <w:r>
        <w:rPr>
          <w:w w:val="105"/>
        </w:rPr>
        <w:t>violencia</w:t>
      </w:r>
      <w:r>
        <w:rPr>
          <w:spacing w:val="-8"/>
          <w:w w:val="105"/>
        </w:rPr>
        <w:t xml:space="preserve"> </w:t>
      </w:r>
      <w:r>
        <w:rPr>
          <w:w w:val="105"/>
        </w:rPr>
        <w:t>motivada</w:t>
      </w:r>
      <w:r>
        <w:rPr>
          <w:spacing w:val="-8"/>
          <w:w w:val="105"/>
        </w:rPr>
        <w:t xml:space="preserve"> </w:t>
      </w:r>
      <w:r>
        <w:rPr>
          <w:w w:val="105"/>
        </w:rPr>
        <w:t>por</w:t>
      </w:r>
      <w:r>
        <w:rPr>
          <w:spacing w:val="-8"/>
          <w:w w:val="105"/>
        </w:rPr>
        <w:t xml:space="preserve"> </w:t>
      </w:r>
      <w:r>
        <w:rPr>
          <w:w w:val="105"/>
        </w:rPr>
        <w:t>motivos</w:t>
      </w:r>
      <w:r>
        <w:rPr>
          <w:spacing w:val="-8"/>
          <w:w w:val="105"/>
        </w:rPr>
        <w:t xml:space="preserve"> </w:t>
      </w:r>
      <w:r>
        <w:rPr>
          <w:w w:val="105"/>
        </w:rPr>
        <w:t>de</w:t>
      </w:r>
      <w:r>
        <w:rPr>
          <w:spacing w:val="-8"/>
          <w:w w:val="105"/>
        </w:rPr>
        <w:t xml:space="preserve"> </w:t>
      </w:r>
      <w:r>
        <w:rPr>
          <w:w w:val="105"/>
        </w:rPr>
        <w:t>raza</w:t>
      </w:r>
      <w:r>
        <w:rPr>
          <w:spacing w:val="-8"/>
          <w:w w:val="105"/>
        </w:rPr>
        <w:t xml:space="preserve"> </w:t>
      </w:r>
      <w:r>
        <w:rPr>
          <w:w w:val="105"/>
        </w:rPr>
        <w:t>o</w:t>
      </w:r>
      <w:r>
        <w:rPr>
          <w:spacing w:val="-8"/>
          <w:w w:val="105"/>
        </w:rPr>
        <w:t xml:space="preserve"> </w:t>
      </w:r>
      <w:r>
        <w:rPr>
          <w:w w:val="105"/>
        </w:rPr>
        <w:t>etnia,1117</w:t>
      </w:r>
      <w:r>
        <w:rPr>
          <w:spacing w:val="-8"/>
          <w:w w:val="105"/>
        </w:rPr>
        <w:t xml:space="preserve"> </w:t>
      </w:r>
      <w:r>
        <w:rPr>
          <w:w w:val="105"/>
        </w:rPr>
        <w:t>discapacidad,1118 y orientación sexual o identidad de género.1119</w:t>
      </w:r>
    </w:p>
    <w:p w14:paraId="1138AF07" w14:textId="77777777" w:rsidR="0014798C" w:rsidRDefault="0014798C">
      <w:pPr>
        <w:pStyle w:val="Textoindependiente"/>
        <w:rPr>
          <w:sz w:val="12"/>
        </w:rPr>
      </w:pPr>
    </w:p>
    <w:p w14:paraId="469F5E7C" w14:textId="77777777" w:rsidR="0014798C" w:rsidRDefault="0014798C">
      <w:pPr>
        <w:pStyle w:val="Textoindependiente"/>
        <w:rPr>
          <w:sz w:val="12"/>
        </w:rPr>
      </w:pPr>
    </w:p>
    <w:p w14:paraId="6AF884B3" w14:textId="77777777" w:rsidR="0014798C" w:rsidRDefault="0014798C">
      <w:pPr>
        <w:pStyle w:val="Textoindependiente"/>
        <w:rPr>
          <w:sz w:val="12"/>
        </w:rPr>
      </w:pPr>
    </w:p>
    <w:p w14:paraId="5B07B612" w14:textId="77777777" w:rsidR="0014798C" w:rsidRDefault="0014798C">
      <w:pPr>
        <w:pStyle w:val="Textoindependiente"/>
        <w:spacing w:before="59"/>
        <w:rPr>
          <w:sz w:val="12"/>
        </w:rPr>
      </w:pPr>
    </w:p>
    <w:p w14:paraId="51E0B1DF" w14:textId="77777777" w:rsidR="0014798C" w:rsidRDefault="004E1F0B">
      <w:pPr>
        <w:ind w:left="1111"/>
        <w:rPr>
          <w:sz w:val="12"/>
        </w:rPr>
      </w:pPr>
      <w:r>
        <w:rPr>
          <w:sz w:val="12"/>
        </w:rPr>
        <w:t>1107</w:t>
      </w:r>
      <w:r>
        <w:rPr>
          <w:spacing w:val="-4"/>
          <w:sz w:val="12"/>
        </w:rPr>
        <w:t xml:space="preserve"> </w:t>
      </w:r>
      <w:proofErr w:type="spellStart"/>
      <w:r>
        <w:rPr>
          <w:spacing w:val="-2"/>
          <w:sz w:val="12"/>
        </w:rPr>
        <w:t>Ibíd</w:t>
      </w:r>
      <w:proofErr w:type="spellEnd"/>
      <w:r>
        <w:rPr>
          <w:spacing w:val="-2"/>
          <w:sz w:val="12"/>
        </w:rPr>
        <w:t>.</w:t>
      </w:r>
    </w:p>
    <w:p w14:paraId="34148FFB" w14:textId="77777777" w:rsidR="0014798C" w:rsidRDefault="004E1F0B">
      <w:pPr>
        <w:spacing w:before="130" w:line="410" w:lineRule="auto"/>
        <w:ind w:left="1111" w:right="3960"/>
        <w:rPr>
          <w:sz w:val="12"/>
        </w:rPr>
      </w:pPr>
      <w:r>
        <w:rPr>
          <w:sz w:val="12"/>
        </w:rPr>
        <w:t>1108</w:t>
      </w:r>
      <w:r>
        <w:rPr>
          <w:spacing w:val="-3"/>
          <w:sz w:val="12"/>
        </w:rPr>
        <w:t xml:space="preserve"> </w:t>
      </w:r>
      <w:r>
        <w:rPr>
          <w:sz w:val="12"/>
        </w:rPr>
        <w:t>Comité</w:t>
      </w:r>
      <w:r>
        <w:rPr>
          <w:spacing w:val="-3"/>
          <w:sz w:val="12"/>
        </w:rPr>
        <w:t xml:space="preserve"> </w:t>
      </w:r>
      <w:r>
        <w:rPr>
          <w:sz w:val="12"/>
        </w:rPr>
        <w:t>de</w:t>
      </w:r>
      <w:r>
        <w:rPr>
          <w:spacing w:val="-3"/>
          <w:sz w:val="12"/>
        </w:rPr>
        <w:t xml:space="preserve"> </w:t>
      </w:r>
      <w:r>
        <w:rPr>
          <w:sz w:val="12"/>
        </w:rPr>
        <w:t>Derechos</w:t>
      </w:r>
      <w:r>
        <w:rPr>
          <w:spacing w:val="-3"/>
          <w:sz w:val="12"/>
        </w:rPr>
        <w:t xml:space="preserve"> </w:t>
      </w:r>
      <w:r>
        <w:rPr>
          <w:sz w:val="12"/>
        </w:rPr>
        <w:t>Económicos,</w:t>
      </w:r>
      <w:r>
        <w:rPr>
          <w:spacing w:val="-2"/>
          <w:sz w:val="12"/>
        </w:rPr>
        <w:t xml:space="preserve"> </w:t>
      </w:r>
      <w:r>
        <w:rPr>
          <w:sz w:val="12"/>
        </w:rPr>
        <w:t>Sociales</w:t>
      </w:r>
      <w:r>
        <w:rPr>
          <w:spacing w:val="-3"/>
          <w:sz w:val="12"/>
        </w:rPr>
        <w:t xml:space="preserve"> </w:t>
      </w:r>
      <w:r>
        <w:rPr>
          <w:sz w:val="12"/>
        </w:rPr>
        <w:t>y</w:t>
      </w:r>
      <w:r>
        <w:rPr>
          <w:spacing w:val="-3"/>
          <w:sz w:val="12"/>
        </w:rPr>
        <w:t xml:space="preserve"> </w:t>
      </w:r>
      <w:r>
        <w:rPr>
          <w:sz w:val="12"/>
        </w:rPr>
        <w:t>Culturales,</w:t>
      </w:r>
      <w:r>
        <w:rPr>
          <w:spacing w:val="-2"/>
          <w:sz w:val="12"/>
        </w:rPr>
        <w:t xml:space="preserve"> </w:t>
      </w:r>
      <w:r>
        <w:rPr>
          <w:sz w:val="12"/>
        </w:rPr>
        <w:t>observación</w:t>
      </w:r>
      <w:r>
        <w:rPr>
          <w:spacing w:val="-3"/>
          <w:sz w:val="12"/>
        </w:rPr>
        <w:t xml:space="preserve"> </w:t>
      </w:r>
      <w:r>
        <w:rPr>
          <w:sz w:val="12"/>
        </w:rPr>
        <w:t>general</w:t>
      </w:r>
      <w:r>
        <w:rPr>
          <w:spacing w:val="-3"/>
          <w:sz w:val="12"/>
        </w:rPr>
        <w:t xml:space="preserve"> </w:t>
      </w:r>
      <w:r>
        <w:rPr>
          <w:sz w:val="12"/>
        </w:rPr>
        <w:t>núm.</w:t>
      </w:r>
      <w:r>
        <w:rPr>
          <w:spacing w:val="-2"/>
          <w:sz w:val="12"/>
        </w:rPr>
        <w:t xml:space="preserve"> </w:t>
      </w:r>
      <w:r>
        <w:rPr>
          <w:sz w:val="12"/>
        </w:rPr>
        <w:t>14</w:t>
      </w:r>
      <w:r>
        <w:rPr>
          <w:spacing w:val="-3"/>
          <w:sz w:val="12"/>
        </w:rPr>
        <w:t xml:space="preserve"> </w:t>
      </w:r>
      <w:r>
        <w:rPr>
          <w:sz w:val="12"/>
        </w:rPr>
        <w:t>(2000),</w:t>
      </w:r>
      <w:r>
        <w:rPr>
          <w:spacing w:val="-2"/>
          <w:sz w:val="12"/>
        </w:rPr>
        <w:t xml:space="preserve"> </w:t>
      </w:r>
      <w:proofErr w:type="spellStart"/>
      <w:r>
        <w:rPr>
          <w:sz w:val="12"/>
        </w:rPr>
        <w:t>párrs</w:t>
      </w:r>
      <w:proofErr w:type="spellEnd"/>
      <w:r>
        <w:rPr>
          <w:sz w:val="12"/>
        </w:rPr>
        <w:t>.</w:t>
      </w:r>
      <w:r>
        <w:rPr>
          <w:spacing w:val="-2"/>
          <w:sz w:val="12"/>
        </w:rPr>
        <w:t xml:space="preserve"> </w:t>
      </w:r>
      <w:r>
        <w:rPr>
          <w:sz w:val="12"/>
        </w:rPr>
        <w:t>10,</w:t>
      </w:r>
      <w:r>
        <w:rPr>
          <w:spacing w:val="-3"/>
          <w:sz w:val="12"/>
        </w:rPr>
        <w:t xml:space="preserve"> </w:t>
      </w:r>
      <w:r>
        <w:rPr>
          <w:sz w:val="12"/>
        </w:rPr>
        <w:t>21,</w:t>
      </w:r>
      <w:r>
        <w:rPr>
          <w:spacing w:val="-3"/>
          <w:sz w:val="12"/>
        </w:rPr>
        <w:t xml:space="preserve"> </w:t>
      </w:r>
      <w:r>
        <w:rPr>
          <w:sz w:val="12"/>
        </w:rPr>
        <w:t>35</w:t>
      </w:r>
      <w:r>
        <w:rPr>
          <w:spacing w:val="-3"/>
          <w:sz w:val="12"/>
        </w:rPr>
        <w:t xml:space="preserve"> </w:t>
      </w:r>
      <w:r>
        <w:rPr>
          <w:sz w:val="12"/>
        </w:rPr>
        <w:t>y</w:t>
      </w:r>
      <w:r>
        <w:rPr>
          <w:spacing w:val="-3"/>
          <w:sz w:val="12"/>
        </w:rPr>
        <w:t xml:space="preserve"> </w:t>
      </w:r>
      <w:r>
        <w:rPr>
          <w:sz w:val="12"/>
        </w:rPr>
        <w:t>51.</w:t>
      </w:r>
      <w:r>
        <w:rPr>
          <w:spacing w:val="40"/>
          <w:sz w:val="12"/>
        </w:rPr>
        <w:t xml:space="preserve"> </w:t>
      </w:r>
      <w:r>
        <w:rPr>
          <w:sz w:val="12"/>
        </w:rPr>
        <w:t>1109</w:t>
      </w:r>
      <w:r>
        <w:rPr>
          <w:spacing w:val="-1"/>
          <w:sz w:val="12"/>
        </w:rPr>
        <w:t xml:space="preserve"> </w:t>
      </w:r>
      <w:r>
        <w:rPr>
          <w:sz w:val="12"/>
        </w:rPr>
        <w:t>Comité</w:t>
      </w:r>
      <w:r>
        <w:rPr>
          <w:spacing w:val="-1"/>
          <w:sz w:val="12"/>
        </w:rPr>
        <w:t xml:space="preserve"> </w:t>
      </w:r>
      <w:r>
        <w:rPr>
          <w:sz w:val="12"/>
        </w:rPr>
        <w:t>para</w:t>
      </w:r>
      <w:r>
        <w:rPr>
          <w:spacing w:val="-1"/>
          <w:sz w:val="12"/>
        </w:rPr>
        <w:t xml:space="preserve"> </w:t>
      </w:r>
      <w:r>
        <w:rPr>
          <w:sz w:val="12"/>
        </w:rPr>
        <w:t>la</w:t>
      </w:r>
      <w:r>
        <w:rPr>
          <w:spacing w:val="-1"/>
          <w:sz w:val="12"/>
        </w:rPr>
        <w:t xml:space="preserve"> </w:t>
      </w:r>
      <w:r>
        <w:rPr>
          <w:sz w:val="12"/>
        </w:rPr>
        <w:t>Eliminación</w:t>
      </w:r>
      <w:r>
        <w:rPr>
          <w:spacing w:val="-1"/>
          <w:sz w:val="12"/>
        </w:rPr>
        <w:t xml:space="preserve"> </w:t>
      </w:r>
      <w:r>
        <w:rPr>
          <w:sz w:val="12"/>
        </w:rPr>
        <w:t>de</w:t>
      </w:r>
      <w:r>
        <w:rPr>
          <w:spacing w:val="-1"/>
          <w:sz w:val="12"/>
        </w:rPr>
        <w:t xml:space="preserve"> </w:t>
      </w:r>
      <w:r>
        <w:rPr>
          <w:sz w:val="12"/>
        </w:rPr>
        <w:t>la</w:t>
      </w:r>
      <w:r>
        <w:rPr>
          <w:spacing w:val="-1"/>
          <w:sz w:val="12"/>
        </w:rPr>
        <w:t xml:space="preserve"> </w:t>
      </w:r>
      <w:r>
        <w:rPr>
          <w:sz w:val="12"/>
        </w:rPr>
        <w:t>Discriminación</w:t>
      </w:r>
      <w:r>
        <w:rPr>
          <w:spacing w:val="-1"/>
          <w:sz w:val="12"/>
        </w:rPr>
        <w:t xml:space="preserve"> </w:t>
      </w:r>
      <w:r>
        <w:rPr>
          <w:sz w:val="12"/>
        </w:rPr>
        <w:t>contra</w:t>
      </w:r>
      <w:r>
        <w:rPr>
          <w:spacing w:val="-1"/>
          <w:sz w:val="12"/>
        </w:rPr>
        <w:t xml:space="preserve"> </w:t>
      </w:r>
      <w:r>
        <w:rPr>
          <w:sz w:val="12"/>
        </w:rPr>
        <w:t>la</w:t>
      </w:r>
      <w:r>
        <w:rPr>
          <w:spacing w:val="-1"/>
          <w:sz w:val="12"/>
        </w:rPr>
        <w:t xml:space="preserve"> </w:t>
      </w:r>
      <w:r>
        <w:rPr>
          <w:sz w:val="12"/>
        </w:rPr>
        <w:t>Mujer, recomendación</w:t>
      </w:r>
      <w:r>
        <w:rPr>
          <w:spacing w:val="-1"/>
          <w:sz w:val="12"/>
        </w:rPr>
        <w:t xml:space="preserve"> </w:t>
      </w:r>
      <w:r>
        <w:rPr>
          <w:sz w:val="12"/>
        </w:rPr>
        <w:t>general</w:t>
      </w:r>
      <w:r>
        <w:rPr>
          <w:spacing w:val="-1"/>
          <w:sz w:val="12"/>
        </w:rPr>
        <w:t xml:space="preserve"> </w:t>
      </w:r>
      <w:r>
        <w:rPr>
          <w:sz w:val="12"/>
        </w:rPr>
        <w:t>núm. 19</w:t>
      </w:r>
      <w:r>
        <w:rPr>
          <w:spacing w:val="-1"/>
          <w:sz w:val="12"/>
        </w:rPr>
        <w:t xml:space="preserve"> </w:t>
      </w:r>
      <w:r>
        <w:rPr>
          <w:sz w:val="12"/>
        </w:rPr>
        <w:t>(1992), párr. 6.</w:t>
      </w:r>
    </w:p>
    <w:p w14:paraId="13E44D1A" w14:textId="77777777" w:rsidR="0014798C" w:rsidRDefault="004E1F0B">
      <w:pPr>
        <w:spacing w:before="1"/>
        <w:ind w:left="1111"/>
        <w:rPr>
          <w:sz w:val="12"/>
        </w:rPr>
      </w:pPr>
      <w:r>
        <w:rPr>
          <w:sz w:val="12"/>
        </w:rPr>
        <w:t>1110</w:t>
      </w:r>
      <w:r>
        <w:rPr>
          <w:spacing w:val="-7"/>
          <w:sz w:val="12"/>
        </w:rPr>
        <w:t xml:space="preserve"> </w:t>
      </w:r>
      <w:r>
        <w:rPr>
          <w:sz w:val="12"/>
        </w:rPr>
        <w:t>Comité</w:t>
      </w:r>
      <w:r>
        <w:rPr>
          <w:spacing w:val="-5"/>
          <w:sz w:val="12"/>
        </w:rPr>
        <w:t xml:space="preserve"> </w:t>
      </w:r>
      <w:r>
        <w:rPr>
          <w:sz w:val="12"/>
        </w:rPr>
        <w:t>para</w:t>
      </w:r>
      <w:r>
        <w:rPr>
          <w:spacing w:val="-5"/>
          <w:sz w:val="12"/>
        </w:rPr>
        <w:t xml:space="preserve"> </w:t>
      </w:r>
      <w:r>
        <w:rPr>
          <w:sz w:val="12"/>
        </w:rPr>
        <w:t>la</w:t>
      </w:r>
      <w:r>
        <w:rPr>
          <w:spacing w:val="-5"/>
          <w:sz w:val="12"/>
        </w:rPr>
        <w:t xml:space="preserve"> </w:t>
      </w:r>
      <w:r>
        <w:rPr>
          <w:sz w:val="12"/>
        </w:rPr>
        <w:t>Eliminación</w:t>
      </w:r>
      <w:r>
        <w:rPr>
          <w:spacing w:val="-5"/>
          <w:sz w:val="12"/>
        </w:rPr>
        <w:t xml:space="preserve"> </w:t>
      </w:r>
      <w:r>
        <w:rPr>
          <w:sz w:val="12"/>
        </w:rPr>
        <w:t>de</w:t>
      </w:r>
      <w:r>
        <w:rPr>
          <w:spacing w:val="-5"/>
          <w:sz w:val="12"/>
        </w:rPr>
        <w:t xml:space="preserve"> </w:t>
      </w:r>
      <w:r>
        <w:rPr>
          <w:sz w:val="12"/>
        </w:rPr>
        <w:t>la</w:t>
      </w:r>
      <w:r>
        <w:rPr>
          <w:spacing w:val="-4"/>
          <w:sz w:val="12"/>
        </w:rPr>
        <w:t xml:space="preserve"> </w:t>
      </w:r>
      <w:r>
        <w:rPr>
          <w:sz w:val="12"/>
        </w:rPr>
        <w:t>Discriminación</w:t>
      </w:r>
      <w:r>
        <w:rPr>
          <w:spacing w:val="-5"/>
          <w:sz w:val="12"/>
        </w:rPr>
        <w:t xml:space="preserve"> </w:t>
      </w:r>
      <w:r>
        <w:rPr>
          <w:sz w:val="12"/>
        </w:rPr>
        <w:t>contra</w:t>
      </w:r>
      <w:r>
        <w:rPr>
          <w:spacing w:val="-5"/>
          <w:sz w:val="12"/>
        </w:rPr>
        <w:t xml:space="preserve"> </w:t>
      </w:r>
      <w:r>
        <w:rPr>
          <w:sz w:val="12"/>
        </w:rPr>
        <w:t>la</w:t>
      </w:r>
      <w:r>
        <w:rPr>
          <w:spacing w:val="-5"/>
          <w:sz w:val="12"/>
        </w:rPr>
        <w:t xml:space="preserve"> </w:t>
      </w:r>
      <w:r>
        <w:rPr>
          <w:sz w:val="12"/>
        </w:rPr>
        <w:t>Mujer,</w:t>
      </w:r>
      <w:r>
        <w:rPr>
          <w:spacing w:val="-4"/>
          <w:sz w:val="12"/>
        </w:rPr>
        <w:t xml:space="preserve"> </w:t>
      </w:r>
      <w:r>
        <w:rPr>
          <w:sz w:val="12"/>
        </w:rPr>
        <w:t>recomendación</w:t>
      </w:r>
      <w:r>
        <w:rPr>
          <w:spacing w:val="-5"/>
          <w:sz w:val="12"/>
        </w:rPr>
        <w:t xml:space="preserve"> </w:t>
      </w:r>
      <w:r>
        <w:rPr>
          <w:sz w:val="12"/>
        </w:rPr>
        <w:t>general</w:t>
      </w:r>
      <w:r>
        <w:rPr>
          <w:spacing w:val="-5"/>
          <w:sz w:val="12"/>
        </w:rPr>
        <w:t xml:space="preserve"> </w:t>
      </w:r>
      <w:r>
        <w:rPr>
          <w:sz w:val="12"/>
        </w:rPr>
        <w:t>núm.</w:t>
      </w:r>
      <w:r>
        <w:rPr>
          <w:spacing w:val="-4"/>
          <w:sz w:val="12"/>
        </w:rPr>
        <w:t xml:space="preserve"> </w:t>
      </w:r>
      <w:r>
        <w:rPr>
          <w:sz w:val="12"/>
        </w:rPr>
        <w:t>35</w:t>
      </w:r>
      <w:r>
        <w:rPr>
          <w:spacing w:val="-4"/>
          <w:sz w:val="12"/>
        </w:rPr>
        <w:t xml:space="preserve"> </w:t>
      </w:r>
      <w:r>
        <w:rPr>
          <w:sz w:val="12"/>
        </w:rPr>
        <w:t>(2017),</w:t>
      </w:r>
      <w:r>
        <w:rPr>
          <w:spacing w:val="-4"/>
          <w:sz w:val="12"/>
        </w:rPr>
        <w:t xml:space="preserve"> </w:t>
      </w:r>
      <w:r>
        <w:rPr>
          <w:sz w:val="12"/>
        </w:rPr>
        <w:t>párr.</w:t>
      </w:r>
      <w:r>
        <w:rPr>
          <w:spacing w:val="-4"/>
          <w:sz w:val="12"/>
        </w:rPr>
        <w:t xml:space="preserve"> </w:t>
      </w:r>
      <w:r>
        <w:rPr>
          <w:sz w:val="12"/>
        </w:rPr>
        <w:t>14</w:t>
      </w:r>
      <w:r>
        <w:rPr>
          <w:spacing w:val="-5"/>
          <w:sz w:val="12"/>
        </w:rPr>
        <w:t xml:space="preserve"> </w:t>
      </w:r>
      <w:r>
        <w:rPr>
          <w:sz w:val="12"/>
        </w:rPr>
        <w:t>(notas</w:t>
      </w:r>
      <w:r>
        <w:rPr>
          <w:spacing w:val="-5"/>
          <w:sz w:val="12"/>
        </w:rPr>
        <w:t xml:space="preserve"> </w:t>
      </w:r>
      <w:r>
        <w:rPr>
          <w:sz w:val="12"/>
        </w:rPr>
        <w:t>a</w:t>
      </w:r>
      <w:r>
        <w:rPr>
          <w:spacing w:val="-5"/>
          <w:sz w:val="12"/>
        </w:rPr>
        <w:t xml:space="preserve"> </w:t>
      </w:r>
      <w:r>
        <w:rPr>
          <w:sz w:val="12"/>
        </w:rPr>
        <w:t>pie</w:t>
      </w:r>
      <w:r>
        <w:rPr>
          <w:spacing w:val="-5"/>
          <w:sz w:val="12"/>
        </w:rPr>
        <w:t xml:space="preserve"> </w:t>
      </w:r>
      <w:r>
        <w:rPr>
          <w:sz w:val="12"/>
        </w:rPr>
        <w:t>de</w:t>
      </w:r>
      <w:r>
        <w:rPr>
          <w:spacing w:val="-5"/>
          <w:sz w:val="12"/>
        </w:rPr>
        <w:t xml:space="preserve"> </w:t>
      </w:r>
      <w:r>
        <w:rPr>
          <w:sz w:val="12"/>
        </w:rPr>
        <w:t>página</w:t>
      </w:r>
      <w:r>
        <w:rPr>
          <w:spacing w:val="-4"/>
          <w:sz w:val="12"/>
        </w:rPr>
        <w:t xml:space="preserve"> </w:t>
      </w:r>
      <w:r>
        <w:rPr>
          <w:spacing w:val="-2"/>
          <w:sz w:val="12"/>
        </w:rPr>
        <w:t>omitidas).</w:t>
      </w:r>
    </w:p>
    <w:p w14:paraId="386EABC6" w14:textId="77777777" w:rsidR="0014798C" w:rsidRDefault="004E1F0B">
      <w:pPr>
        <w:spacing w:before="60" w:line="288" w:lineRule="auto"/>
        <w:ind w:left="1366" w:right="1840" w:hanging="256"/>
        <w:rPr>
          <w:sz w:val="13"/>
        </w:rPr>
      </w:pPr>
      <w:r>
        <w:rPr>
          <w:sz w:val="13"/>
        </w:rPr>
        <w:t xml:space="preserve">1111 Comité para la Eliminación de la Discriminación contra la Mujer, recomendación general núm. 19 (1992), </w:t>
      </w:r>
      <w:proofErr w:type="spellStart"/>
      <w:r>
        <w:rPr>
          <w:sz w:val="13"/>
        </w:rPr>
        <w:t>párrs</w:t>
      </w:r>
      <w:proofErr w:type="spellEnd"/>
      <w:r>
        <w:rPr>
          <w:sz w:val="13"/>
        </w:rPr>
        <w:t xml:space="preserve">. 4 y </w:t>
      </w:r>
      <w:r>
        <w:rPr>
          <w:w w:val="95"/>
          <w:sz w:val="13"/>
        </w:rPr>
        <w:t xml:space="preserve">9; </w:t>
      </w:r>
      <w:r>
        <w:rPr>
          <w:sz w:val="13"/>
        </w:rPr>
        <w:t>y recomendación general</w:t>
      </w:r>
      <w:r>
        <w:rPr>
          <w:spacing w:val="40"/>
          <w:sz w:val="13"/>
        </w:rPr>
        <w:t xml:space="preserve"> </w:t>
      </w:r>
      <w:r>
        <w:rPr>
          <w:sz w:val="13"/>
        </w:rPr>
        <w:t>núm. 28 (2010), párr. 17. Véase también Comité para la Eliminación de la Discriminación contra la Mujer, VK c. Bulgaria</w:t>
      </w:r>
    </w:p>
    <w:p w14:paraId="08C08FCB" w14:textId="77777777" w:rsidR="0014798C" w:rsidRDefault="004E1F0B">
      <w:pPr>
        <w:ind w:left="1375"/>
        <w:rPr>
          <w:sz w:val="13"/>
        </w:rPr>
      </w:pPr>
      <w:r>
        <w:rPr>
          <w:spacing w:val="-2"/>
          <w:sz w:val="13"/>
        </w:rPr>
        <w:t>(CEDA/C/49/20/2008),</w:t>
      </w:r>
      <w:r>
        <w:rPr>
          <w:spacing w:val="5"/>
          <w:sz w:val="13"/>
        </w:rPr>
        <w:t xml:space="preserve"> </w:t>
      </w:r>
      <w:r>
        <w:rPr>
          <w:spacing w:val="-2"/>
          <w:sz w:val="13"/>
        </w:rPr>
        <w:t>párr.</w:t>
      </w:r>
      <w:r>
        <w:rPr>
          <w:spacing w:val="5"/>
          <w:sz w:val="13"/>
        </w:rPr>
        <w:t xml:space="preserve"> </w:t>
      </w:r>
      <w:r>
        <w:rPr>
          <w:spacing w:val="-2"/>
          <w:sz w:val="13"/>
        </w:rPr>
        <w:t>9,3;</w:t>
      </w:r>
      <w:r>
        <w:rPr>
          <w:spacing w:val="5"/>
          <w:sz w:val="13"/>
        </w:rPr>
        <w:t xml:space="preserve"> </w:t>
      </w:r>
      <w:r>
        <w:rPr>
          <w:spacing w:val="-2"/>
          <w:sz w:val="13"/>
        </w:rPr>
        <w:t>y</w:t>
      </w:r>
      <w:r>
        <w:rPr>
          <w:spacing w:val="5"/>
          <w:sz w:val="13"/>
        </w:rPr>
        <w:t xml:space="preserve"> </w:t>
      </w:r>
      <w:proofErr w:type="spellStart"/>
      <w:r>
        <w:rPr>
          <w:spacing w:val="-2"/>
          <w:sz w:val="13"/>
        </w:rPr>
        <w:t>Jallow</w:t>
      </w:r>
      <w:proofErr w:type="spellEnd"/>
      <w:r>
        <w:rPr>
          <w:spacing w:val="4"/>
          <w:sz w:val="13"/>
        </w:rPr>
        <w:t xml:space="preserve"> </w:t>
      </w:r>
      <w:r>
        <w:rPr>
          <w:spacing w:val="-2"/>
          <w:sz w:val="13"/>
        </w:rPr>
        <w:t>c.</w:t>
      </w:r>
      <w:r>
        <w:rPr>
          <w:spacing w:val="5"/>
          <w:sz w:val="13"/>
        </w:rPr>
        <w:t xml:space="preserve"> </w:t>
      </w:r>
      <w:r>
        <w:rPr>
          <w:spacing w:val="-2"/>
          <w:sz w:val="13"/>
        </w:rPr>
        <w:t>Bulgaria</w:t>
      </w:r>
      <w:r>
        <w:rPr>
          <w:spacing w:val="5"/>
          <w:sz w:val="13"/>
        </w:rPr>
        <w:t xml:space="preserve"> </w:t>
      </w:r>
      <w:r>
        <w:rPr>
          <w:spacing w:val="-2"/>
          <w:sz w:val="13"/>
        </w:rPr>
        <w:t>(CEDAW/C/52/D/32/2011),</w:t>
      </w:r>
      <w:r>
        <w:rPr>
          <w:spacing w:val="6"/>
          <w:sz w:val="13"/>
        </w:rPr>
        <w:t xml:space="preserve"> </w:t>
      </w:r>
      <w:r>
        <w:rPr>
          <w:spacing w:val="-2"/>
          <w:sz w:val="13"/>
        </w:rPr>
        <w:t>párr.</w:t>
      </w:r>
      <w:r>
        <w:rPr>
          <w:spacing w:val="4"/>
          <w:sz w:val="13"/>
        </w:rPr>
        <w:t xml:space="preserve"> </w:t>
      </w:r>
      <w:r>
        <w:rPr>
          <w:spacing w:val="-4"/>
          <w:sz w:val="13"/>
        </w:rPr>
        <w:t>8.4.</w:t>
      </w:r>
    </w:p>
    <w:p w14:paraId="5E590F73" w14:textId="77777777" w:rsidR="0014798C" w:rsidRDefault="004E1F0B">
      <w:pPr>
        <w:spacing w:before="127"/>
        <w:ind w:left="1111"/>
        <w:rPr>
          <w:sz w:val="12"/>
        </w:rPr>
      </w:pPr>
      <w:r>
        <w:rPr>
          <w:sz w:val="12"/>
        </w:rPr>
        <w:t>1112</w:t>
      </w:r>
      <w:r>
        <w:rPr>
          <w:spacing w:val="-8"/>
          <w:sz w:val="12"/>
        </w:rPr>
        <w:t xml:space="preserve"> </w:t>
      </w:r>
      <w:r>
        <w:rPr>
          <w:sz w:val="12"/>
        </w:rPr>
        <w:t>Comité</w:t>
      </w:r>
      <w:r>
        <w:rPr>
          <w:spacing w:val="-6"/>
          <w:sz w:val="12"/>
        </w:rPr>
        <w:t xml:space="preserve"> </w:t>
      </w:r>
      <w:r>
        <w:rPr>
          <w:sz w:val="12"/>
        </w:rPr>
        <w:t>para</w:t>
      </w:r>
      <w:r>
        <w:rPr>
          <w:spacing w:val="-6"/>
          <w:sz w:val="12"/>
        </w:rPr>
        <w:t xml:space="preserve"> </w:t>
      </w:r>
      <w:r>
        <w:rPr>
          <w:sz w:val="12"/>
        </w:rPr>
        <w:t>la</w:t>
      </w:r>
      <w:r>
        <w:rPr>
          <w:spacing w:val="-5"/>
          <w:sz w:val="12"/>
        </w:rPr>
        <w:t xml:space="preserve"> </w:t>
      </w:r>
      <w:r>
        <w:rPr>
          <w:sz w:val="12"/>
        </w:rPr>
        <w:t>Eliminación</w:t>
      </w:r>
      <w:r>
        <w:rPr>
          <w:spacing w:val="-6"/>
          <w:sz w:val="12"/>
        </w:rPr>
        <w:t xml:space="preserve"> </w:t>
      </w:r>
      <w:r>
        <w:rPr>
          <w:sz w:val="12"/>
        </w:rPr>
        <w:t>de</w:t>
      </w:r>
      <w:r>
        <w:rPr>
          <w:spacing w:val="-6"/>
          <w:sz w:val="12"/>
        </w:rPr>
        <w:t xml:space="preserve"> </w:t>
      </w:r>
      <w:r>
        <w:rPr>
          <w:sz w:val="12"/>
        </w:rPr>
        <w:t>la</w:t>
      </w:r>
      <w:r>
        <w:rPr>
          <w:spacing w:val="-5"/>
          <w:sz w:val="12"/>
        </w:rPr>
        <w:t xml:space="preserve"> </w:t>
      </w:r>
      <w:r>
        <w:rPr>
          <w:sz w:val="12"/>
        </w:rPr>
        <w:t>Discriminación</w:t>
      </w:r>
      <w:r>
        <w:rPr>
          <w:spacing w:val="-6"/>
          <w:sz w:val="12"/>
        </w:rPr>
        <w:t xml:space="preserve"> </w:t>
      </w:r>
      <w:r>
        <w:rPr>
          <w:sz w:val="12"/>
        </w:rPr>
        <w:t>contra</w:t>
      </w:r>
      <w:r>
        <w:rPr>
          <w:spacing w:val="-6"/>
          <w:sz w:val="12"/>
        </w:rPr>
        <w:t xml:space="preserve"> </w:t>
      </w:r>
      <w:r>
        <w:rPr>
          <w:sz w:val="12"/>
        </w:rPr>
        <w:t>la</w:t>
      </w:r>
      <w:r>
        <w:rPr>
          <w:spacing w:val="-5"/>
          <w:sz w:val="12"/>
        </w:rPr>
        <w:t xml:space="preserve"> </w:t>
      </w:r>
      <w:r>
        <w:rPr>
          <w:sz w:val="12"/>
        </w:rPr>
        <w:t>Mujer,</w:t>
      </w:r>
      <w:r>
        <w:rPr>
          <w:spacing w:val="-5"/>
          <w:sz w:val="12"/>
        </w:rPr>
        <w:t xml:space="preserve"> </w:t>
      </w:r>
      <w:r>
        <w:rPr>
          <w:sz w:val="12"/>
        </w:rPr>
        <w:t>recomendación</w:t>
      </w:r>
      <w:r>
        <w:rPr>
          <w:spacing w:val="-6"/>
          <w:sz w:val="12"/>
        </w:rPr>
        <w:t xml:space="preserve"> </w:t>
      </w:r>
      <w:r>
        <w:rPr>
          <w:sz w:val="12"/>
        </w:rPr>
        <w:t>general</w:t>
      </w:r>
      <w:r>
        <w:rPr>
          <w:spacing w:val="-5"/>
          <w:sz w:val="12"/>
        </w:rPr>
        <w:t xml:space="preserve"> </w:t>
      </w:r>
      <w:r>
        <w:rPr>
          <w:sz w:val="12"/>
        </w:rPr>
        <w:t>núm.</w:t>
      </w:r>
      <w:r>
        <w:rPr>
          <w:spacing w:val="-5"/>
          <w:sz w:val="12"/>
        </w:rPr>
        <w:t xml:space="preserve"> </w:t>
      </w:r>
      <w:r>
        <w:rPr>
          <w:sz w:val="12"/>
        </w:rPr>
        <w:t>35</w:t>
      </w:r>
      <w:r>
        <w:rPr>
          <w:spacing w:val="-6"/>
          <w:sz w:val="12"/>
        </w:rPr>
        <w:t xml:space="preserve"> </w:t>
      </w:r>
      <w:r>
        <w:rPr>
          <w:sz w:val="12"/>
        </w:rPr>
        <w:t>(2017),</w:t>
      </w:r>
      <w:r>
        <w:rPr>
          <w:spacing w:val="-5"/>
          <w:sz w:val="12"/>
        </w:rPr>
        <w:t xml:space="preserve"> </w:t>
      </w:r>
      <w:r>
        <w:rPr>
          <w:sz w:val="12"/>
        </w:rPr>
        <w:t>párr.</w:t>
      </w:r>
      <w:r>
        <w:rPr>
          <w:spacing w:val="-4"/>
          <w:sz w:val="12"/>
        </w:rPr>
        <w:t xml:space="preserve"> </w:t>
      </w:r>
      <w:r>
        <w:rPr>
          <w:spacing w:val="-2"/>
          <w:sz w:val="12"/>
        </w:rPr>
        <w:t>29(a).</w:t>
      </w:r>
    </w:p>
    <w:p w14:paraId="19B28B2B" w14:textId="77777777" w:rsidR="0014798C" w:rsidRDefault="004E1F0B">
      <w:pPr>
        <w:spacing w:before="59" w:line="379" w:lineRule="auto"/>
        <w:ind w:left="1111" w:right="3645"/>
        <w:rPr>
          <w:sz w:val="13"/>
        </w:rPr>
      </w:pPr>
      <w:r>
        <w:rPr>
          <w:sz w:val="13"/>
        </w:rPr>
        <w:t>1113 Comité para la Eliminación de la Discriminación contra la Mujer, Vertido c. Filipinas (CEDAW/C/46/D/18/2008).</w:t>
      </w:r>
      <w:r>
        <w:rPr>
          <w:spacing w:val="40"/>
          <w:sz w:val="13"/>
        </w:rPr>
        <w:t xml:space="preserve"> </w:t>
      </w:r>
      <w:r>
        <w:rPr>
          <w:sz w:val="13"/>
        </w:rPr>
        <w:t>1114 Comité para la Eliminación de la Discriminación contra la Mujer, AT c. Hungría, comunicación No. 2/2003.</w:t>
      </w:r>
    </w:p>
    <w:p w14:paraId="7191A2AC" w14:textId="77777777" w:rsidR="0014798C" w:rsidRDefault="004E1F0B">
      <w:pPr>
        <w:ind w:left="1111"/>
        <w:rPr>
          <w:sz w:val="13"/>
        </w:rPr>
      </w:pPr>
      <w:r>
        <w:rPr>
          <w:sz w:val="13"/>
        </w:rPr>
        <w:t>1115</w:t>
      </w:r>
      <w:r>
        <w:rPr>
          <w:spacing w:val="-1"/>
          <w:sz w:val="13"/>
        </w:rPr>
        <w:t xml:space="preserve"> </w:t>
      </w:r>
      <w:r>
        <w:rPr>
          <w:sz w:val="13"/>
        </w:rPr>
        <w:t>Comité</w:t>
      </w:r>
      <w:r>
        <w:rPr>
          <w:spacing w:val="-1"/>
          <w:sz w:val="13"/>
        </w:rPr>
        <w:t xml:space="preserve"> </w:t>
      </w:r>
      <w:r>
        <w:rPr>
          <w:sz w:val="13"/>
        </w:rPr>
        <w:t>para</w:t>
      </w:r>
      <w:r>
        <w:rPr>
          <w:spacing w:val="-1"/>
          <w:sz w:val="13"/>
        </w:rPr>
        <w:t xml:space="preserve"> </w:t>
      </w:r>
      <w:r>
        <w:rPr>
          <w:sz w:val="13"/>
        </w:rPr>
        <w:t>la</w:t>
      </w:r>
      <w:r>
        <w:rPr>
          <w:spacing w:val="-1"/>
          <w:sz w:val="13"/>
        </w:rPr>
        <w:t xml:space="preserve"> </w:t>
      </w:r>
      <w:r>
        <w:rPr>
          <w:sz w:val="13"/>
        </w:rPr>
        <w:t>Eliminación</w:t>
      </w:r>
      <w:r>
        <w:rPr>
          <w:spacing w:val="-1"/>
          <w:sz w:val="13"/>
        </w:rPr>
        <w:t xml:space="preserve"> </w:t>
      </w:r>
      <w:r>
        <w:rPr>
          <w:sz w:val="13"/>
        </w:rPr>
        <w:t>de</w:t>
      </w:r>
      <w:r>
        <w:rPr>
          <w:spacing w:val="-1"/>
          <w:sz w:val="13"/>
        </w:rPr>
        <w:t xml:space="preserve"> </w:t>
      </w:r>
      <w:r>
        <w:rPr>
          <w:sz w:val="13"/>
        </w:rPr>
        <w:t>la</w:t>
      </w:r>
      <w:r>
        <w:rPr>
          <w:spacing w:val="-1"/>
          <w:sz w:val="13"/>
        </w:rPr>
        <w:t xml:space="preserve"> </w:t>
      </w:r>
      <w:r>
        <w:rPr>
          <w:sz w:val="13"/>
        </w:rPr>
        <w:t>Discriminación</w:t>
      </w:r>
      <w:r>
        <w:rPr>
          <w:spacing w:val="-1"/>
          <w:sz w:val="13"/>
        </w:rPr>
        <w:t xml:space="preserve"> </w:t>
      </w:r>
      <w:r>
        <w:rPr>
          <w:sz w:val="13"/>
        </w:rPr>
        <w:t>contra</w:t>
      </w:r>
      <w:r>
        <w:rPr>
          <w:spacing w:val="-1"/>
          <w:sz w:val="13"/>
        </w:rPr>
        <w:t xml:space="preserve"> </w:t>
      </w:r>
      <w:r>
        <w:rPr>
          <w:sz w:val="13"/>
        </w:rPr>
        <w:t>la</w:t>
      </w:r>
      <w:r>
        <w:rPr>
          <w:spacing w:val="-1"/>
          <w:sz w:val="13"/>
        </w:rPr>
        <w:t xml:space="preserve"> </w:t>
      </w:r>
      <w:r>
        <w:rPr>
          <w:sz w:val="13"/>
        </w:rPr>
        <w:t>Mujer,</w:t>
      </w:r>
      <w:r>
        <w:rPr>
          <w:spacing w:val="-1"/>
          <w:sz w:val="13"/>
        </w:rPr>
        <w:t xml:space="preserve"> </w:t>
      </w:r>
      <w:r>
        <w:rPr>
          <w:sz w:val="13"/>
        </w:rPr>
        <w:t>AS</w:t>
      </w:r>
      <w:r>
        <w:rPr>
          <w:spacing w:val="-1"/>
          <w:sz w:val="13"/>
        </w:rPr>
        <w:t xml:space="preserve"> </w:t>
      </w:r>
      <w:r>
        <w:rPr>
          <w:sz w:val="13"/>
        </w:rPr>
        <w:t>c.</w:t>
      </w:r>
      <w:r>
        <w:rPr>
          <w:spacing w:val="-1"/>
          <w:sz w:val="13"/>
        </w:rPr>
        <w:t xml:space="preserve"> </w:t>
      </w:r>
      <w:r>
        <w:rPr>
          <w:sz w:val="13"/>
        </w:rPr>
        <w:t>Hungría, comunicación</w:t>
      </w:r>
      <w:r>
        <w:rPr>
          <w:spacing w:val="-1"/>
          <w:sz w:val="13"/>
        </w:rPr>
        <w:t xml:space="preserve"> </w:t>
      </w:r>
      <w:r>
        <w:rPr>
          <w:sz w:val="13"/>
        </w:rPr>
        <w:t>No.</w:t>
      </w:r>
      <w:r>
        <w:rPr>
          <w:spacing w:val="-1"/>
          <w:sz w:val="13"/>
        </w:rPr>
        <w:t xml:space="preserve"> </w:t>
      </w:r>
      <w:r>
        <w:rPr>
          <w:spacing w:val="-2"/>
          <w:sz w:val="13"/>
        </w:rPr>
        <w:t>4/2004.</w:t>
      </w:r>
    </w:p>
    <w:p w14:paraId="7B1A8735" w14:textId="77777777" w:rsidR="0014798C" w:rsidRDefault="004E1F0B">
      <w:pPr>
        <w:spacing w:before="87"/>
        <w:ind w:left="1111"/>
        <w:rPr>
          <w:sz w:val="13"/>
        </w:rPr>
      </w:pPr>
      <w:r>
        <w:rPr>
          <w:sz w:val="13"/>
          <w:vertAlign w:val="superscript"/>
        </w:rPr>
        <w:t>1116</w:t>
      </w:r>
      <w:r>
        <w:rPr>
          <w:spacing w:val="27"/>
          <w:sz w:val="13"/>
        </w:rPr>
        <w:t xml:space="preserve"> </w:t>
      </w:r>
      <w:r>
        <w:rPr>
          <w:sz w:val="13"/>
        </w:rPr>
        <w:t>Véase,</w:t>
      </w:r>
      <w:r>
        <w:rPr>
          <w:spacing w:val="-3"/>
          <w:sz w:val="13"/>
        </w:rPr>
        <w:t xml:space="preserve"> </w:t>
      </w:r>
      <w:r>
        <w:rPr>
          <w:sz w:val="13"/>
        </w:rPr>
        <w:t>por</w:t>
      </w:r>
      <w:r>
        <w:rPr>
          <w:spacing w:val="-3"/>
          <w:sz w:val="13"/>
        </w:rPr>
        <w:t xml:space="preserve"> </w:t>
      </w:r>
      <w:r>
        <w:rPr>
          <w:sz w:val="13"/>
        </w:rPr>
        <w:t>ejemplo,</w:t>
      </w:r>
      <w:r>
        <w:rPr>
          <w:spacing w:val="-3"/>
          <w:sz w:val="13"/>
        </w:rPr>
        <w:t xml:space="preserve"> </w:t>
      </w:r>
      <w:r>
        <w:rPr>
          <w:sz w:val="13"/>
        </w:rPr>
        <w:t>Tribunal</w:t>
      </w:r>
      <w:r>
        <w:rPr>
          <w:spacing w:val="-3"/>
          <w:sz w:val="13"/>
        </w:rPr>
        <w:t xml:space="preserve"> </w:t>
      </w:r>
      <w:r>
        <w:rPr>
          <w:sz w:val="13"/>
        </w:rPr>
        <w:t>Europeo</w:t>
      </w:r>
      <w:r>
        <w:rPr>
          <w:spacing w:val="-3"/>
          <w:sz w:val="13"/>
        </w:rPr>
        <w:t xml:space="preserve"> </w:t>
      </w:r>
      <w:r>
        <w:rPr>
          <w:sz w:val="13"/>
        </w:rPr>
        <w:t>de</w:t>
      </w:r>
      <w:r>
        <w:rPr>
          <w:spacing w:val="-3"/>
          <w:sz w:val="13"/>
        </w:rPr>
        <w:t xml:space="preserve"> </w:t>
      </w:r>
      <w:r>
        <w:rPr>
          <w:sz w:val="13"/>
        </w:rPr>
        <w:t>Derechos</w:t>
      </w:r>
      <w:r>
        <w:rPr>
          <w:spacing w:val="-4"/>
          <w:sz w:val="13"/>
        </w:rPr>
        <w:t xml:space="preserve"> </w:t>
      </w:r>
      <w:r>
        <w:rPr>
          <w:sz w:val="13"/>
        </w:rPr>
        <w:t>Humanos,</w:t>
      </w:r>
      <w:r>
        <w:rPr>
          <w:spacing w:val="-2"/>
          <w:sz w:val="13"/>
        </w:rPr>
        <w:t xml:space="preserve"> </w:t>
      </w:r>
      <w:proofErr w:type="spellStart"/>
      <w:r>
        <w:rPr>
          <w:sz w:val="13"/>
        </w:rPr>
        <w:t>Opuz</w:t>
      </w:r>
      <w:proofErr w:type="spellEnd"/>
      <w:r>
        <w:rPr>
          <w:spacing w:val="-3"/>
          <w:sz w:val="13"/>
        </w:rPr>
        <w:t xml:space="preserve"> </w:t>
      </w:r>
      <w:r>
        <w:rPr>
          <w:sz w:val="13"/>
        </w:rPr>
        <w:t>c.</w:t>
      </w:r>
      <w:r>
        <w:rPr>
          <w:spacing w:val="-3"/>
          <w:sz w:val="13"/>
        </w:rPr>
        <w:t xml:space="preserve"> </w:t>
      </w:r>
      <w:r>
        <w:rPr>
          <w:sz w:val="13"/>
        </w:rPr>
        <w:t>Turquía,</w:t>
      </w:r>
      <w:r>
        <w:rPr>
          <w:spacing w:val="-4"/>
          <w:sz w:val="13"/>
        </w:rPr>
        <w:t xml:space="preserve"> </w:t>
      </w:r>
      <w:r>
        <w:rPr>
          <w:sz w:val="13"/>
        </w:rPr>
        <w:t>solicitud</w:t>
      </w:r>
      <w:r>
        <w:rPr>
          <w:spacing w:val="-3"/>
          <w:sz w:val="13"/>
        </w:rPr>
        <w:t xml:space="preserve"> </w:t>
      </w:r>
      <w:r>
        <w:rPr>
          <w:sz w:val="13"/>
        </w:rPr>
        <w:t>n.º</w:t>
      </w:r>
      <w:r>
        <w:rPr>
          <w:spacing w:val="-3"/>
          <w:sz w:val="13"/>
        </w:rPr>
        <w:t xml:space="preserve"> </w:t>
      </w:r>
      <w:r>
        <w:rPr>
          <w:sz w:val="13"/>
        </w:rPr>
        <w:t>33401/02,</w:t>
      </w:r>
      <w:r>
        <w:rPr>
          <w:spacing w:val="-2"/>
          <w:sz w:val="13"/>
        </w:rPr>
        <w:t xml:space="preserve"> </w:t>
      </w:r>
      <w:r>
        <w:rPr>
          <w:sz w:val="13"/>
        </w:rPr>
        <w:t>sentencia</w:t>
      </w:r>
      <w:r>
        <w:rPr>
          <w:spacing w:val="-4"/>
          <w:sz w:val="13"/>
        </w:rPr>
        <w:t xml:space="preserve"> </w:t>
      </w:r>
      <w:r>
        <w:rPr>
          <w:sz w:val="13"/>
        </w:rPr>
        <w:t>de</w:t>
      </w:r>
      <w:r>
        <w:rPr>
          <w:spacing w:val="-3"/>
          <w:sz w:val="13"/>
        </w:rPr>
        <w:t xml:space="preserve"> </w:t>
      </w:r>
      <w:r>
        <w:rPr>
          <w:sz w:val="13"/>
        </w:rPr>
        <w:t>9</w:t>
      </w:r>
      <w:r>
        <w:rPr>
          <w:spacing w:val="-3"/>
          <w:sz w:val="13"/>
        </w:rPr>
        <w:t xml:space="preserve"> </w:t>
      </w:r>
      <w:r>
        <w:rPr>
          <w:sz w:val="13"/>
        </w:rPr>
        <w:t>de</w:t>
      </w:r>
      <w:r>
        <w:rPr>
          <w:spacing w:val="-3"/>
          <w:sz w:val="13"/>
        </w:rPr>
        <w:t xml:space="preserve"> </w:t>
      </w:r>
      <w:r>
        <w:rPr>
          <w:sz w:val="13"/>
        </w:rPr>
        <w:t>junio</w:t>
      </w:r>
      <w:r>
        <w:rPr>
          <w:spacing w:val="-4"/>
          <w:sz w:val="13"/>
        </w:rPr>
        <w:t xml:space="preserve"> </w:t>
      </w:r>
      <w:r>
        <w:rPr>
          <w:sz w:val="13"/>
        </w:rPr>
        <w:t>de</w:t>
      </w:r>
      <w:r>
        <w:rPr>
          <w:spacing w:val="-3"/>
          <w:sz w:val="13"/>
        </w:rPr>
        <w:t xml:space="preserve"> </w:t>
      </w:r>
      <w:r>
        <w:rPr>
          <w:sz w:val="13"/>
        </w:rPr>
        <w:t>2009;</w:t>
      </w:r>
      <w:r>
        <w:rPr>
          <w:spacing w:val="-3"/>
          <w:sz w:val="13"/>
        </w:rPr>
        <w:t xml:space="preserve"> </w:t>
      </w:r>
      <w:r>
        <w:rPr>
          <w:sz w:val="13"/>
        </w:rPr>
        <w:t>y</w:t>
      </w:r>
      <w:r>
        <w:rPr>
          <w:spacing w:val="-3"/>
          <w:sz w:val="13"/>
        </w:rPr>
        <w:t xml:space="preserve"> </w:t>
      </w:r>
      <w:proofErr w:type="spellStart"/>
      <w:r>
        <w:rPr>
          <w:sz w:val="13"/>
        </w:rPr>
        <w:t>Volodina</w:t>
      </w:r>
      <w:proofErr w:type="spellEnd"/>
      <w:r>
        <w:rPr>
          <w:spacing w:val="-4"/>
          <w:sz w:val="13"/>
        </w:rPr>
        <w:t xml:space="preserve"> </w:t>
      </w:r>
      <w:r>
        <w:rPr>
          <w:spacing w:val="-5"/>
          <w:sz w:val="13"/>
        </w:rPr>
        <w:t>v.</w:t>
      </w:r>
    </w:p>
    <w:p w14:paraId="43C1FDA8" w14:textId="77777777" w:rsidR="0014798C" w:rsidRDefault="004E1F0B">
      <w:pPr>
        <w:spacing w:before="31"/>
        <w:ind w:left="1368"/>
        <w:rPr>
          <w:sz w:val="13"/>
        </w:rPr>
      </w:pPr>
      <w:r>
        <w:rPr>
          <w:sz w:val="13"/>
        </w:rPr>
        <w:t>Rusia,</w:t>
      </w:r>
      <w:r>
        <w:rPr>
          <w:spacing w:val="-2"/>
          <w:sz w:val="13"/>
        </w:rPr>
        <w:t xml:space="preserve"> </w:t>
      </w:r>
      <w:r>
        <w:rPr>
          <w:sz w:val="13"/>
        </w:rPr>
        <w:t>Solicitud</w:t>
      </w:r>
      <w:r>
        <w:rPr>
          <w:spacing w:val="-1"/>
          <w:sz w:val="13"/>
        </w:rPr>
        <w:t xml:space="preserve"> </w:t>
      </w:r>
      <w:r>
        <w:rPr>
          <w:sz w:val="13"/>
        </w:rPr>
        <w:t>No.</w:t>
      </w:r>
      <w:r>
        <w:rPr>
          <w:spacing w:val="-1"/>
          <w:sz w:val="13"/>
        </w:rPr>
        <w:t xml:space="preserve"> </w:t>
      </w:r>
      <w:r>
        <w:rPr>
          <w:sz w:val="13"/>
        </w:rPr>
        <w:t>41261/17, Sentencia, 9</w:t>
      </w:r>
      <w:r>
        <w:rPr>
          <w:spacing w:val="-1"/>
          <w:sz w:val="13"/>
        </w:rPr>
        <w:t xml:space="preserve"> </w:t>
      </w:r>
      <w:r>
        <w:rPr>
          <w:sz w:val="13"/>
        </w:rPr>
        <w:t>de</w:t>
      </w:r>
      <w:r>
        <w:rPr>
          <w:spacing w:val="-1"/>
          <w:sz w:val="13"/>
        </w:rPr>
        <w:t xml:space="preserve"> </w:t>
      </w:r>
      <w:r>
        <w:rPr>
          <w:sz w:val="13"/>
        </w:rPr>
        <w:t>julio</w:t>
      </w:r>
      <w:r>
        <w:rPr>
          <w:spacing w:val="-1"/>
          <w:sz w:val="13"/>
        </w:rPr>
        <w:t xml:space="preserve"> </w:t>
      </w:r>
      <w:r>
        <w:rPr>
          <w:sz w:val="13"/>
        </w:rPr>
        <w:t>de</w:t>
      </w:r>
      <w:r>
        <w:rPr>
          <w:spacing w:val="-1"/>
          <w:sz w:val="13"/>
        </w:rPr>
        <w:t xml:space="preserve"> </w:t>
      </w:r>
      <w:r>
        <w:rPr>
          <w:spacing w:val="-2"/>
          <w:sz w:val="13"/>
        </w:rPr>
        <w:t>2019.</w:t>
      </w:r>
    </w:p>
    <w:p w14:paraId="042CE42F" w14:textId="77777777" w:rsidR="0014798C" w:rsidRDefault="004E1F0B">
      <w:pPr>
        <w:spacing w:before="87" w:line="288" w:lineRule="auto"/>
        <w:ind w:left="1367" w:right="1406" w:hanging="256"/>
        <w:rPr>
          <w:sz w:val="13"/>
        </w:rPr>
      </w:pPr>
      <w:r>
        <w:rPr>
          <w:sz w:val="13"/>
        </w:rPr>
        <w:t xml:space="preserve">1117 Corte Interamericana de Derechos Humanos, Acosta Martínez y otros. Argentina, Sentencia de 31 de agosto de 2020, </w:t>
      </w:r>
      <w:proofErr w:type="spellStart"/>
      <w:r>
        <w:rPr>
          <w:sz w:val="13"/>
        </w:rPr>
        <w:t>párrs</w:t>
      </w:r>
      <w:proofErr w:type="spellEnd"/>
      <w:r>
        <w:rPr>
          <w:sz w:val="13"/>
        </w:rPr>
        <w:t>. 96–103; interamericana</w:t>
      </w:r>
      <w:r>
        <w:rPr>
          <w:spacing w:val="40"/>
          <w:sz w:val="13"/>
        </w:rPr>
        <w:t xml:space="preserve"> </w:t>
      </w:r>
      <w:r>
        <w:rPr>
          <w:sz w:val="13"/>
        </w:rPr>
        <w:t>Comisión</w:t>
      </w:r>
      <w:r>
        <w:rPr>
          <w:spacing w:val="5"/>
          <w:sz w:val="13"/>
        </w:rPr>
        <w:t xml:space="preserve"> </w:t>
      </w:r>
      <w:r>
        <w:rPr>
          <w:sz w:val="13"/>
        </w:rPr>
        <w:t>de</w:t>
      </w:r>
      <w:r>
        <w:rPr>
          <w:spacing w:val="5"/>
          <w:sz w:val="13"/>
        </w:rPr>
        <w:t xml:space="preserve"> </w:t>
      </w:r>
      <w:r>
        <w:rPr>
          <w:sz w:val="13"/>
        </w:rPr>
        <w:t>Derechos</w:t>
      </w:r>
      <w:r>
        <w:rPr>
          <w:spacing w:val="5"/>
          <w:sz w:val="13"/>
        </w:rPr>
        <w:t xml:space="preserve"> </w:t>
      </w:r>
      <w:r>
        <w:rPr>
          <w:sz w:val="13"/>
        </w:rPr>
        <w:t>Humanos,</w:t>
      </w:r>
      <w:r>
        <w:rPr>
          <w:spacing w:val="6"/>
          <w:sz w:val="13"/>
        </w:rPr>
        <w:t xml:space="preserve"> </w:t>
      </w:r>
      <w:r>
        <w:rPr>
          <w:sz w:val="13"/>
        </w:rPr>
        <w:t>Situación</w:t>
      </w:r>
      <w:r>
        <w:rPr>
          <w:spacing w:val="5"/>
          <w:sz w:val="13"/>
        </w:rPr>
        <w:t xml:space="preserve"> </w:t>
      </w:r>
      <w:r>
        <w:rPr>
          <w:sz w:val="13"/>
        </w:rPr>
        <w:t>de</w:t>
      </w:r>
      <w:r>
        <w:rPr>
          <w:spacing w:val="5"/>
          <w:sz w:val="13"/>
        </w:rPr>
        <w:t xml:space="preserve"> </w:t>
      </w:r>
      <w:r>
        <w:rPr>
          <w:sz w:val="13"/>
        </w:rPr>
        <w:t>los</w:t>
      </w:r>
      <w:r>
        <w:rPr>
          <w:spacing w:val="5"/>
          <w:sz w:val="13"/>
        </w:rPr>
        <w:t xml:space="preserve"> </w:t>
      </w:r>
      <w:r>
        <w:rPr>
          <w:sz w:val="13"/>
        </w:rPr>
        <w:t>Derechos</w:t>
      </w:r>
      <w:r>
        <w:rPr>
          <w:spacing w:val="5"/>
          <w:sz w:val="13"/>
        </w:rPr>
        <w:t xml:space="preserve"> </w:t>
      </w:r>
      <w:r>
        <w:rPr>
          <w:sz w:val="13"/>
        </w:rPr>
        <w:t>Humanos</w:t>
      </w:r>
      <w:r>
        <w:rPr>
          <w:spacing w:val="5"/>
          <w:sz w:val="13"/>
        </w:rPr>
        <w:t xml:space="preserve"> </w:t>
      </w:r>
      <w:r>
        <w:rPr>
          <w:sz w:val="13"/>
        </w:rPr>
        <w:t>en</w:t>
      </w:r>
      <w:r>
        <w:rPr>
          <w:spacing w:val="5"/>
          <w:sz w:val="13"/>
        </w:rPr>
        <w:t xml:space="preserve"> </w:t>
      </w:r>
      <w:r>
        <w:rPr>
          <w:sz w:val="13"/>
        </w:rPr>
        <w:t>Honduras</w:t>
      </w:r>
      <w:r>
        <w:rPr>
          <w:spacing w:val="5"/>
          <w:sz w:val="13"/>
        </w:rPr>
        <w:t xml:space="preserve"> </w:t>
      </w:r>
      <w:r>
        <w:rPr>
          <w:sz w:val="13"/>
        </w:rPr>
        <w:t>(OEA/</w:t>
      </w:r>
      <w:proofErr w:type="spellStart"/>
      <w:r>
        <w:rPr>
          <w:sz w:val="13"/>
        </w:rPr>
        <w:t>Ser.L</w:t>
      </w:r>
      <w:proofErr w:type="spellEnd"/>
      <w:r>
        <w:rPr>
          <w:sz w:val="13"/>
        </w:rPr>
        <w:t>/V/II,</w:t>
      </w:r>
      <w:r>
        <w:rPr>
          <w:spacing w:val="5"/>
          <w:sz w:val="13"/>
        </w:rPr>
        <w:t xml:space="preserve"> </w:t>
      </w:r>
      <w:r>
        <w:rPr>
          <w:sz w:val="13"/>
        </w:rPr>
        <w:t>Doc.</w:t>
      </w:r>
      <w:r>
        <w:rPr>
          <w:spacing w:val="5"/>
          <w:sz w:val="13"/>
        </w:rPr>
        <w:t xml:space="preserve"> </w:t>
      </w:r>
      <w:r>
        <w:rPr>
          <w:sz w:val="13"/>
        </w:rPr>
        <w:t>42/15)</w:t>
      </w:r>
      <w:r>
        <w:rPr>
          <w:spacing w:val="5"/>
          <w:sz w:val="13"/>
        </w:rPr>
        <w:t xml:space="preserve"> </w:t>
      </w:r>
      <w:r>
        <w:rPr>
          <w:sz w:val="13"/>
        </w:rPr>
        <w:t>(2015),</w:t>
      </w:r>
      <w:r>
        <w:rPr>
          <w:spacing w:val="6"/>
          <w:sz w:val="13"/>
        </w:rPr>
        <w:t xml:space="preserve"> </w:t>
      </w:r>
      <w:r>
        <w:rPr>
          <w:sz w:val="13"/>
        </w:rPr>
        <w:t>párr.</w:t>
      </w:r>
      <w:r>
        <w:rPr>
          <w:spacing w:val="5"/>
          <w:sz w:val="13"/>
        </w:rPr>
        <w:t xml:space="preserve"> </w:t>
      </w:r>
      <w:r>
        <w:rPr>
          <w:sz w:val="13"/>
        </w:rPr>
        <w:t>420;</w:t>
      </w:r>
      <w:r>
        <w:rPr>
          <w:spacing w:val="5"/>
          <w:sz w:val="13"/>
        </w:rPr>
        <w:t xml:space="preserve"> </w:t>
      </w:r>
      <w:r>
        <w:rPr>
          <w:sz w:val="13"/>
        </w:rPr>
        <w:t>Tribunal</w:t>
      </w:r>
      <w:r>
        <w:rPr>
          <w:spacing w:val="5"/>
          <w:sz w:val="13"/>
        </w:rPr>
        <w:t xml:space="preserve"> </w:t>
      </w:r>
      <w:r>
        <w:rPr>
          <w:sz w:val="13"/>
        </w:rPr>
        <w:t>Europeo</w:t>
      </w:r>
      <w:r>
        <w:rPr>
          <w:spacing w:val="40"/>
          <w:sz w:val="13"/>
        </w:rPr>
        <w:t xml:space="preserve"> </w:t>
      </w:r>
      <w:r>
        <w:rPr>
          <w:sz w:val="13"/>
        </w:rPr>
        <w:t xml:space="preserve">de Derechos Humanos, </w:t>
      </w:r>
      <w:proofErr w:type="spellStart"/>
      <w:r>
        <w:rPr>
          <w:sz w:val="13"/>
        </w:rPr>
        <w:t>Kurić</w:t>
      </w:r>
      <w:proofErr w:type="spellEnd"/>
      <w:r>
        <w:rPr>
          <w:sz w:val="13"/>
        </w:rPr>
        <w:t xml:space="preserve"> y otros c. Eslovenia, solicitud n.º 26828/06, sentencia de 26 de junio de 2012, </w:t>
      </w:r>
      <w:proofErr w:type="spellStart"/>
      <w:r>
        <w:rPr>
          <w:sz w:val="13"/>
        </w:rPr>
        <w:t>párrs</w:t>
      </w:r>
      <w:proofErr w:type="spellEnd"/>
      <w:r>
        <w:rPr>
          <w:sz w:val="13"/>
        </w:rPr>
        <w:t>. 386–396; Tribunal Europeo de</w:t>
      </w:r>
      <w:r>
        <w:rPr>
          <w:spacing w:val="40"/>
          <w:sz w:val="13"/>
        </w:rPr>
        <w:t xml:space="preserve"> </w:t>
      </w:r>
      <w:r>
        <w:rPr>
          <w:sz w:val="13"/>
        </w:rPr>
        <w:t xml:space="preserve">Derechos Humanos, </w:t>
      </w:r>
      <w:proofErr w:type="spellStart"/>
      <w:r>
        <w:rPr>
          <w:sz w:val="13"/>
        </w:rPr>
        <w:t>Stoica</w:t>
      </w:r>
      <w:proofErr w:type="spellEnd"/>
      <w:r>
        <w:rPr>
          <w:sz w:val="13"/>
        </w:rPr>
        <w:t xml:space="preserve"> c. Rumania, solicitud </w:t>
      </w:r>
      <w:proofErr w:type="spellStart"/>
      <w:r>
        <w:rPr>
          <w:sz w:val="13"/>
        </w:rPr>
        <w:t>n.°</w:t>
      </w:r>
      <w:proofErr w:type="spellEnd"/>
      <w:r>
        <w:rPr>
          <w:sz w:val="13"/>
        </w:rPr>
        <w:t xml:space="preserve"> 42722/02, sentencia de 4 de marzo de 2008, párr. 117; y Comisión Africana de Derechos Humanos</w:t>
      </w:r>
      <w:r>
        <w:rPr>
          <w:spacing w:val="40"/>
          <w:sz w:val="13"/>
        </w:rPr>
        <w:t xml:space="preserve"> </w:t>
      </w:r>
      <w:r>
        <w:rPr>
          <w:sz w:val="13"/>
        </w:rPr>
        <w:t xml:space="preserve">y de los Pueblos, Malawi </w:t>
      </w:r>
      <w:proofErr w:type="spellStart"/>
      <w:r>
        <w:rPr>
          <w:sz w:val="13"/>
        </w:rPr>
        <w:t>African</w:t>
      </w:r>
      <w:proofErr w:type="spellEnd"/>
      <w:r>
        <w:rPr>
          <w:sz w:val="13"/>
        </w:rPr>
        <w:t xml:space="preserve"> Association and </w:t>
      </w:r>
      <w:proofErr w:type="spellStart"/>
      <w:r>
        <w:rPr>
          <w:sz w:val="13"/>
        </w:rPr>
        <w:t>others</w:t>
      </w:r>
      <w:proofErr w:type="spellEnd"/>
      <w:r>
        <w:rPr>
          <w:sz w:val="13"/>
        </w:rPr>
        <w:t xml:space="preserve"> v. Mauritania, Decisión, 11 de mayo de 2000, párr. 131.</w:t>
      </w:r>
    </w:p>
    <w:p w14:paraId="493AA3DC" w14:textId="77777777" w:rsidR="0014798C" w:rsidRDefault="004E1F0B">
      <w:pPr>
        <w:spacing w:before="58" w:line="288" w:lineRule="auto"/>
        <w:ind w:left="1371" w:right="1479" w:hanging="261"/>
        <w:rPr>
          <w:sz w:val="13"/>
        </w:rPr>
      </w:pPr>
      <w:r>
        <w:rPr>
          <w:sz w:val="13"/>
          <w:vertAlign w:val="superscript"/>
        </w:rPr>
        <w:t>1118</w:t>
      </w:r>
      <w:r>
        <w:rPr>
          <w:spacing w:val="36"/>
          <w:sz w:val="13"/>
        </w:rPr>
        <w:t xml:space="preserve"> </w:t>
      </w:r>
      <w:r>
        <w:rPr>
          <w:sz w:val="13"/>
        </w:rPr>
        <w:t>Tribunal Europeo de Derechos Humanos,</w:t>
      </w:r>
      <w:r>
        <w:rPr>
          <w:spacing w:val="4"/>
          <w:sz w:val="13"/>
        </w:rPr>
        <w:t xml:space="preserve"> </w:t>
      </w:r>
      <w:proofErr w:type="spellStart"/>
      <w:r>
        <w:rPr>
          <w:sz w:val="13"/>
        </w:rPr>
        <w:t>Cîn</w:t>
      </w:r>
      <w:proofErr w:type="spellEnd"/>
      <w:r>
        <w:rPr>
          <w:spacing w:val="80"/>
          <w:w w:val="150"/>
          <w:sz w:val="13"/>
        </w:rPr>
        <w:t xml:space="preserve"> </w:t>
      </w:r>
      <w:r>
        <w:rPr>
          <w:sz w:val="13"/>
        </w:rPr>
        <w:t>a c. Rumania,</w:t>
      </w:r>
      <w:r>
        <w:rPr>
          <w:spacing w:val="4"/>
          <w:sz w:val="13"/>
        </w:rPr>
        <w:t xml:space="preserve"> </w:t>
      </w:r>
      <w:r>
        <w:rPr>
          <w:sz w:val="13"/>
        </w:rPr>
        <w:t xml:space="preserve">solicitud n.º 3891/19, sentencia de 18 de febrero de 2020, </w:t>
      </w:r>
      <w:proofErr w:type="spellStart"/>
      <w:r>
        <w:rPr>
          <w:sz w:val="13"/>
        </w:rPr>
        <w:t>párrs</w:t>
      </w:r>
      <w:proofErr w:type="spellEnd"/>
      <w:r>
        <w:rPr>
          <w:sz w:val="13"/>
        </w:rPr>
        <w:t>. 43–81; Tribunal</w:t>
      </w:r>
      <w:r>
        <w:rPr>
          <w:spacing w:val="80"/>
          <w:sz w:val="13"/>
        </w:rPr>
        <w:t xml:space="preserve"> </w:t>
      </w:r>
      <w:r>
        <w:rPr>
          <w:sz w:val="13"/>
        </w:rPr>
        <w:t>Europeo</w:t>
      </w:r>
      <w:r>
        <w:rPr>
          <w:spacing w:val="-2"/>
          <w:sz w:val="13"/>
        </w:rPr>
        <w:t xml:space="preserve"> </w:t>
      </w:r>
      <w:r>
        <w:rPr>
          <w:sz w:val="13"/>
        </w:rPr>
        <w:t>de</w:t>
      </w:r>
      <w:r>
        <w:rPr>
          <w:spacing w:val="-2"/>
          <w:sz w:val="13"/>
        </w:rPr>
        <w:t xml:space="preserve"> </w:t>
      </w:r>
      <w:r>
        <w:rPr>
          <w:sz w:val="13"/>
        </w:rPr>
        <w:t>Derechos</w:t>
      </w:r>
      <w:r>
        <w:rPr>
          <w:spacing w:val="-2"/>
          <w:sz w:val="13"/>
        </w:rPr>
        <w:t xml:space="preserve"> </w:t>
      </w:r>
      <w:r>
        <w:rPr>
          <w:sz w:val="13"/>
        </w:rPr>
        <w:t>Humanos,</w:t>
      </w:r>
      <w:r>
        <w:rPr>
          <w:spacing w:val="-1"/>
          <w:sz w:val="13"/>
        </w:rPr>
        <w:t xml:space="preserve"> </w:t>
      </w:r>
      <w:r>
        <w:rPr>
          <w:sz w:val="13"/>
        </w:rPr>
        <w:t>Enver</w:t>
      </w:r>
      <w:r>
        <w:rPr>
          <w:spacing w:val="-2"/>
          <w:sz w:val="13"/>
        </w:rPr>
        <w:t xml:space="preserve"> </w:t>
      </w:r>
      <w:proofErr w:type="spellStart"/>
      <w:r>
        <w:rPr>
          <w:sz w:val="13"/>
        </w:rPr>
        <w:t>Şahin</w:t>
      </w:r>
      <w:proofErr w:type="spellEnd"/>
      <w:r>
        <w:rPr>
          <w:spacing w:val="-2"/>
          <w:sz w:val="13"/>
        </w:rPr>
        <w:t xml:space="preserve"> </w:t>
      </w:r>
      <w:r>
        <w:rPr>
          <w:sz w:val="13"/>
        </w:rPr>
        <w:t>c.</w:t>
      </w:r>
      <w:r>
        <w:rPr>
          <w:spacing w:val="-2"/>
          <w:sz w:val="13"/>
        </w:rPr>
        <w:t xml:space="preserve"> </w:t>
      </w:r>
      <w:r>
        <w:rPr>
          <w:sz w:val="13"/>
        </w:rPr>
        <w:t>Turquía,</w:t>
      </w:r>
      <w:r>
        <w:rPr>
          <w:spacing w:val="-2"/>
          <w:sz w:val="13"/>
        </w:rPr>
        <w:t xml:space="preserve"> </w:t>
      </w:r>
      <w:r>
        <w:rPr>
          <w:sz w:val="13"/>
        </w:rPr>
        <w:t>solicitud</w:t>
      </w:r>
      <w:r>
        <w:rPr>
          <w:spacing w:val="-2"/>
          <w:sz w:val="13"/>
        </w:rPr>
        <w:t xml:space="preserve"> </w:t>
      </w:r>
      <w:r>
        <w:rPr>
          <w:sz w:val="13"/>
        </w:rPr>
        <w:t>n.º</w:t>
      </w:r>
      <w:r>
        <w:rPr>
          <w:spacing w:val="-2"/>
          <w:sz w:val="13"/>
        </w:rPr>
        <w:t xml:space="preserve"> </w:t>
      </w:r>
      <w:r>
        <w:rPr>
          <w:sz w:val="13"/>
        </w:rPr>
        <w:t>23065/12,</w:t>
      </w:r>
      <w:r>
        <w:rPr>
          <w:spacing w:val="-1"/>
          <w:sz w:val="13"/>
        </w:rPr>
        <w:t xml:space="preserve"> </w:t>
      </w:r>
      <w:r>
        <w:rPr>
          <w:sz w:val="13"/>
        </w:rPr>
        <w:t>sentencia</w:t>
      </w:r>
      <w:r>
        <w:rPr>
          <w:spacing w:val="-2"/>
          <w:sz w:val="13"/>
        </w:rPr>
        <w:t xml:space="preserve"> </w:t>
      </w:r>
      <w:r>
        <w:rPr>
          <w:sz w:val="13"/>
        </w:rPr>
        <w:t>de</w:t>
      </w:r>
      <w:r>
        <w:rPr>
          <w:spacing w:val="-2"/>
          <w:sz w:val="13"/>
        </w:rPr>
        <w:t xml:space="preserve"> </w:t>
      </w:r>
      <w:r>
        <w:rPr>
          <w:sz w:val="13"/>
        </w:rPr>
        <w:t>30</w:t>
      </w:r>
      <w:r>
        <w:rPr>
          <w:spacing w:val="-2"/>
          <w:sz w:val="13"/>
        </w:rPr>
        <w:t xml:space="preserve"> </w:t>
      </w:r>
      <w:r>
        <w:rPr>
          <w:sz w:val="13"/>
        </w:rPr>
        <w:t>de</w:t>
      </w:r>
      <w:r>
        <w:rPr>
          <w:spacing w:val="-2"/>
          <w:sz w:val="13"/>
        </w:rPr>
        <w:t xml:space="preserve"> </w:t>
      </w:r>
      <w:r>
        <w:rPr>
          <w:sz w:val="13"/>
        </w:rPr>
        <w:t>enero</w:t>
      </w:r>
      <w:r>
        <w:rPr>
          <w:spacing w:val="-2"/>
          <w:sz w:val="13"/>
        </w:rPr>
        <w:t xml:space="preserve"> </w:t>
      </w:r>
      <w:r>
        <w:rPr>
          <w:sz w:val="13"/>
        </w:rPr>
        <w:t>de</w:t>
      </w:r>
      <w:r>
        <w:rPr>
          <w:spacing w:val="-2"/>
          <w:sz w:val="13"/>
        </w:rPr>
        <w:t xml:space="preserve"> </w:t>
      </w:r>
      <w:r>
        <w:rPr>
          <w:sz w:val="13"/>
        </w:rPr>
        <w:t>2018,</w:t>
      </w:r>
      <w:r>
        <w:rPr>
          <w:spacing w:val="-2"/>
          <w:sz w:val="13"/>
        </w:rPr>
        <w:t xml:space="preserve"> </w:t>
      </w:r>
      <w:proofErr w:type="spellStart"/>
      <w:r>
        <w:rPr>
          <w:sz w:val="13"/>
        </w:rPr>
        <w:t>párrs</w:t>
      </w:r>
      <w:proofErr w:type="spellEnd"/>
      <w:r>
        <w:rPr>
          <w:sz w:val="13"/>
        </w:rPr>
        <w:t>.</w:t>
      </w:r>
      <w:r>
        <w:rPr>
          <w:spacing w:val="-2"/>
          <w:sz w:val="13"/>
        </w:rPr>
        <w:t xml:space="preserve"> </w:t>
      </w:r>
      <w:r>
        <w:rPr>
          <w:sz w:val="13"/>
        </w:rPr>
        <w:t>67–69;</w:t>
      </w:r>
      <w:r>
        <w:rPr>
          <w:spacing w:val="-2"/>
          <w:sz w:val="13"/>
        </w:rPr>
        <w:t xml:space="preserve"> </w:t>
      </w:r>
      <w:r>
        <w:rPr>
          <w:sz w:val="13"/>
        </w:rPr>
        <w:t>Corte</w:t>
      </w:r>
      <w:r>
        <w:rPr>
          <w:spacing w:val="-2"/>
          <w:sz w:val="13"/>
        </w:rPr>
        <w:t xml:space="preserve"> </w:t>
      </w:r>
      <w:r>
        <w:rPr>
          <w:sz w:val="13"/>
        </w:rPr>
        <w:t>Interamericana</w:t>
      </w:r>
      <w:r>
        <w:rPr>
          <w:spacing w:val="40"/>
          <w:sz w:val="13"/>
        </w:rPr>
        <w:t xml:space="preserve"> </w:t>
      </w:r>
      <w:r>
        <w:rPr>
          <w:sz w:val="13"/>
        </w:rPr>
        <w:t>de Derechos Humanos, Impacto del Procedimiento de Solución Amistosa (OEA/</w:t>
      </w:r>
      <w:proofErr w:type="spellStart"/>
      <w:r>
        <w:rPr>
          <w:sz w:val="13"/>
        </w:rPr>
        <w:t>Ser.L</w:t>
      </w:r>
      <w:proofErr w:type="spellEnd"/>
      <w:r>
        <w:rPr>
          <w:sz w:val="13"/>
        </w:rPr>
        <w:t xml:space="preserve">/V/II, Doc. 45/13) (2013), </w:t>
      </w:r>
      <w:proofErr w:type="spellStart"/>
      <w:r>
        <w:rPr>
          <w:sz w:val="13"/>
        </w:rPr>
        <w:t>párrs</w:t>
      </w:r>
      <w:proofErr w:type="spellEnd"/>
      <w:r>
        <w:rPr>
          <w:sz w:val="13"/>
        </w:rPr>
        <w:t>. 204–205; y Comisión</w:t>
      </w:r>
    </w:p>
    <w:p w14:paraId="69ACFF05" w14:textId="77777777" w:rsidR="0014798C" w:rsidRDefault="004E1F0B">
      <w:pPr>
        <w:spacing w:before="2" w:line="288" w:lineRule="auto"/>
        <w:ind w:left="1376" w:right="2182" w:hanging="11"/>
        <w:rPr>
          <w:sz w:val="13"/>
        </w:rPr>
      </w:pPr>
      <w:r>
        <w:rPr>
          <w:sz w:val="13"/>
        </w:rPr>
        <w:t xml:space="preserve">Africana de Derechos Humanos y de los Pueblos, </w:t>
      </w:r>
      <w:proofErr w:type="spellStart"/>
      <w:r>
        <w:rPr>
          <w:sz w:val="13"/>
        </w:rPr>
        <w:t>Purohit</w:t>
      </w:r>
      <w:proofErr w:type="spellEnd"/>
      <w:r>
        <w:rPr>
          <w:sz w:val="13"/>
        </w:rPr>
        <w:t xml:space="preserve"> y Moore c. Gambia, comunicación núm. 241/2001, decisión, 15 a 29 de mayo de</w:t>
      </w:r>
      <w:r>
        <w:rPr>
          <w:spacing w:val="40"/>
          <w:sz w:val="13"/>
        </w:rPr>
        <w:t xml:space="preserve"> </w:t>
      </w:r>
      <w:r>
        <w:rPr>
          <w:sz w:val="13"/>
        </w:rPr>
        <w:t>2003, párr. 61.</w:t>
      </w:r>
    </w:p>
    <w:p w14:paraId="2CC04353" w14:textId="77777777" w:rsidR="0014798C" w:rsidRDefault="004E1F0B">
      <w:pPr>
        <w:spacing w:before="57" w:line="288" w:lineRule="auto"/>
        <w:ind w:left="1371" w:right="1335" w:hanging="261"/>
        <w:rPr>
          <w:sz w:val="13"/>
        </w:rPr>
      </w:pPr>
      <w:r>
        <w:rPr>
          <w:sz w:val="13"/>
          <w:vertAlign w:val="superscript"/>
        </w:rPr>
        <w:t>1119</w:t>
      </w:r>
      <w:r>
        <w:rPr>
          <w:spacing w:val="28"/>
          <w:sz w:val="13"/>
        </w:rPr>
        <w:t xml:space="preserve"> </w:t>
      </w:r>
      <w:r>
        <w:rPr>
          <w:sz w:val="13"/>
        </w:rPr>
        <w:t>Tribunal</w:t>
      </w:r>
      <w:r>
        <w:rPr>
          <w:spacing w:val="-2"/>
          <w:sz w:val="13"/>
        </w:rPr>
        <w:t xml:space="preserve"> </w:t>
      </w:r>
      <w:r>
        <w:rPr>
          <w:sz w:val="13"/>
        </w:rPr>
        <w:t>Europeo</w:t>
      </w:r>
      <w:r>
        <w:rPr>
          <w:spacing w:val="-2"/>
          <w:sz w:val="13"/>
        </w:rPr>
        <w:t xml:space="preserve"> </w:t>
      </w:r>
      <w:r>
        <w:rPr>
          <w:sz w:val="13"/>
        </w:rPr>
        <w:t>de</w:t>
      </w:r>
      <w:r>
        <w:rPr>
          <w:spacing w:val="-2"/>
          <w:sz w:val="13"/>
        </w:rPr>
        <w:t xml:space="preserve"> </w:t>
      </w:r>
      <w:r>
        <w:rPr>
          <w:sz w:val="13"/>
        </w:rPr>
        <w:t>Derechos</w:t>
      </w:r>
      <w:r>
        <w:rPr>
          <w:spacing w:val="-2"/>
          <w:sz w:val="13"/>
        </w:rPr>
        <w:t xml:space="preserve"> </w:t>
      </w:r>
      <w:r>
        <w:rPr>
          <w:sz w:val="13"/>
        </w:rPr>
        <w:t>Humanos,</w:t>
      </w:r>
      <w:r>
        <w:rPr>
          <w:spacing w:val="-1"/>
          <w:sz w:val="13"/>
        </w:rPr>
        <w:t xml:space="preserve"> </w:t>
      </w:r>
      <w:proofErr w:type="spellStart"/>
      <w:r>
        <w:rPr>
          <w:sz w:val="13"/>
        </w:rPr>
        <w:t>Sabalić</w:t>
      </w:r>
      <w:proofErr w:type="spellEnd"/>
      <w:r>
        <w:rPr>
          <w:spacing w:val="-2"/>
          <w:sz w:val="13"/>
        </w:rPr>
        <w:t xml:space="preserve"> </w:t>
      </w:r>
      <w:r>
        <w:rPr>
          <w:sz w:val="13"/>
        </w:rPr>
        <w:t>c.</w:t>
      </w:r>
      <w:r>
        <w:rPr>
          <w:spacing w:val="-2"/>
          <w:sz w:val="13"/>
        </w:rPr>
        <w:t xml:space="preserve"> </w:t>
      </w:r>
      <w:r>
        <w:rPr>
          <w:sz w:val="13"/>
        </w:rPr>
        <w:t>Croacia,</w:t>
      </w:r>
      <w:r>
        <w:rPr>
          <w:spacing w:val="-1"/>
          <w:sz w:val="13"/>
        </w:rPr>
        <w:t xml:space="preserve"> </w:t>
      </w:r>
      <w:r>
        <w:rPr>
          <w:sz w:val="13"/>
        </w:rPr>
        <w:t>solicitud</w:t>
      </w:r>
      <w:r>
        <w:rPr>
          <w:spacing w:val="-2"/>
          <w:sz w:val="13"/>
        </w:rPr>
        <w:t xml:space="preserve"> </w:t>
      </w:r>
      <w:r>
        <w:rPr>
          <w:sz w:val="13"/>
        </w:rPr>
        <w:t>n.º</w:t>
      </w:r>
      <w:r>
        <w:rPr>
          <w:spacing w:val="-2"/>
          <w:sz w:val="13"/>
        </w:rPr>
        <w:t xml:space="preserve"> </w:t>
      </w:r>
      <w:r>
        <w:rPr>
          <w:sz w:val="13"/>
        </w:rPr>
        <w:t>50231/13,</w:t>
      </w:r>
      <w:r>
        <w:rPr>
          <w:spacing w:val="-1"/>
          <w:sz w:val="13"/>
        </w:rPr>
        <w:t xml:space="preserve"> </w:t>
      </w:r>
      <w:r>
        <w:rPr>
          <w:sz w:val="13"/>
        </w:rPr>
        <w:t>sentencia</w:t>
      </w:r>
      <w:r>
        <w:rPr>
          <w:spacing w:val="-2"/>
          <w:sz w:val="13"/>
        </w:rPr>
        <w:t xml:space="preserve"> </w:t>
      </w:r>
      <w:r>
        <w:rPr>
          <w:sz w:val="13"/>
        </w:rPr>
        <w:t>de</w:t>
      </w:r>
      <w:r>
        <w:rPr>
          <w:spacing w:val="-2"/>
          <w:sz w:val="13"/>
        </w:rPr>
        <w:t xml:space="preserve"> </w:t>
      </w:r>
      <w:r>
        <w:rPr>
          <w:sz w:val="13"/>
        </w:rPr>
        <w:t>14</w:t>
      </w:r>
      <w:r>
        <w:rPr>
          <w:spacing w:val="-2"/>
          <w:sz w:val="13"/>
        </w:rPr>
        <w:t xml:space="preserve"> </w:t>
      </w:r>
      <w:r>
        <w:rPr>
          <w:sz w:val="13"/>
        </w:rPr>
        <w:t>de</w:t>
      </w:r>
      <w:r>
        <w:rPr>
          <w:spacing w:val="-2"/>
          <w:sz w:val="13"/>
        </w:rPr>
        <w:t xml:space="preserve"> </w:t>
      </w:r>
      <w:r>
        <w:rPr>
          <w:sz w:val="13"/>
        </w:rPr>
        <w:t>enero</w:t>
      </w:r>
      <w:r>
        <w:rPr>
          <w:spacing w:val="-2"/>
          <w:sz w:val="13"/>
        </w:rPr>
        <w:t xml:space="preserve"> </w:t>
      </w:r>
      <w:r>
        <w:rPr>
          <w:sz w:val="13"/>
        </w:rPr>
        <w:t>de</w:t>
      </w:r>
      <w:r>
        <w:rPr>
          <w:spacing w:val="-2"/>
          <w:sz w:val="13"/>
        </w:rPr>
        <w:t xml:space="preserve"> </w:t>
      </w:r>
      <w:r>
        <w:rPr>
          <w:sz w:val="13"/>
        </w:rPr>
        <w:t>2021,</w:t>
      </w:r>
      <w:r>
        <w:rPr>
          <w:spacing w:val="-2"/>
          <w:sz w:val="13"/>
        </w:rPr>
        <w:t xml:space="preserve"> </w:t>
      </w:r>
      <w:proofErr w:type="spellStart"/>
      <w:r>
        <w:rPr>
          <w:sz w:val="13"/>
        </w:rPr>
        <w:t>párrs</w:t>
      </w:r>
      <w:proofErr w:type="spellEnd"/>
      <w:r>
        <w:rPr>
          <w:sz w:val="13"/>
        </w:rPr>
        <w:t>.</w:t>
      </w:r>
      <w:r>
        <w:rPr>
          <w:spacing w:val="-2"/>
          <w:sz w:val="13"/>
        </w:rPr>
        <w:t xml:space="preserve"> </w:t>
      </w:r>
      <w:r>
        <w:rPr>
          <w:sz w:val="13"/>
        </w:rPr>
        <w:t>115-116;</w:t>
      </w:r>
      <w:r>
        <w:rPr>
          <w:spacing w:val="-1"/>
          <w:sz w:val="13"/>
        </w:rPr>
        <w:t xml:space="preserve"> </w:t>
      </w:r>
      <w:r>
        <w:rPr>
          <w:sz w:val="13"/>
        </w:rPr>
        <w:t>Tribunal</w:t>
      </w:r>
      <w:r>
        <w:rPr>
          <w:spacing w:val="-2"/>
          <w:sz w:val="13"/>
        </w:rPr>
        <w:t xml:space="preserve"> </w:t>
      </w:r>
      <w:r>
        <w:rPr>
          <w:sz w:val="13"/>
        </w:rPr>
        <w:t>Europeo</w:t>
      </w:r>
      <w:r>
        <w:rPr>
          <w:spacing w:val="40"/>
          <w:sz w:val="13"/>
        </w:rPr>
        <w:t xml:space="preserve"> </w:t>
      </w:r>
      <w:r>
        <w:rPr>
          <w:sz w:val="13"/>
        </w:rPr>
        <w:t xml:space="preserve">de Derechos Humanos, X y otros c. Austria, Solicitud n.º 19010/07, Sentencia de 19 de febrero de 2013, </w:t>
      </w:r>
      <w:proofErr w:type="spellStart"/>
      <w:r>
        <w:rPr>
          <w:sz w:val="13"/>
        </w:rPr>
        <w:t>párrs</w:t>
      </w:r>
      <w:proofErr w:type="spellEnd"/>
      <w:r>
        <w:rPr>
          <w:sz w:val="13"/>
        </w:rPr>
        <w:t>. 100–115; Comisión</w:t>
      </w:r>
    </w:p>
    <w:p w14:paraId="66E39F31" w14:textId="77777777" w:rsidR="0014798C" w:rsidRDefault="004E1F0B">
      <w:pPr>
        <w:spacing w:before="1" w:line="288" w:lineRule="auto"/>
        <w:ind w:left="1365" w:right="1725"/>
        <w:rPr>
          <w:sz w:val="13"/>
        </w:rPr>
      </w:pPr>
      <w:r>
        <w:rPr>
          <w:sz w:val="13"/>
        </w:rPr>
        <w:t xml:space="preserve">Interamericana de Derechos Humanos, Violencia contra Personas Lesbianas, </w:t>
      </w:r>
      <w:proofErr w:type="spellStart"/>
      <w:r>
        <w:rPr>
          <w:sz w:val="13"/>
        </w:rPr>
        <w:t>Gays</w:t>
      </w:r>
      <w:proofErr w:type="spellEnd"/>
      <w:r>
        <w:rPr>
          <w:sz w:val="13"/>
        </w:rPr>
        <w:t>, Bisexuales, Trans e Intersex en las Américas; y Comisión</w:t>
      </w:r>
      <w:r>
        <w:rPr>
          <w:spacing w:val="40"/>
          <w:sz w:val="13"/>
        </w:rPr>
        <w:t xml:space="preserve"> </w:t>
      </w:r>
      <w:r>
        <w:rPr>
          <w:sz w:val="13"/>
        </w:rPr>
        <w:t>Africana de Derechos Humanos y de los Pueblos, resolución sobre la protección contra la violencia y otras violaciones de derechos humanos contra</w:t>
      </w:r>
      <w:r>
        <w:rPr>
          <w:spacing w:val="40"/>
          <w:sz w:val="13"/>
        </w:rPr>
        <w:t xml:space="preserve"> </w:t>
      </w:r>
      <w:r>
        <w:rPr>
          <w:sz w:val="13"/>
        </w:rPr>
        <w:t>las personas por su orientación sexual o identidad de género real o supuesta (CADHP/Res.275(LV)2014).</w:t>
      </w:r>
    </w:p>
    <w:p w14:paraId="455F050D" w14:textId="77777777" w:rsidR="0014798C" w:rsidRDefault="0014798C">
      <w:pPr>
        <w:pStyle w:val="Textoindependiente"/>
        <w:rPr>
          <w:sz w:val="18"/>
        </w:rPr>
      </w:pPr>
    </w:p>
    <w:p w14:paraId="69518CED" w14:textId="77777777" w:rsidR="0014798C" w:rsidRDefault="0014798C">
      <w:pPr>
        <w:pStyle w:val="Textoindependiente"/>
        <w:spacing w:before="197"/>
        <w:rPr>
          <w:sz w:val="18"/>
        </w:rPr>
      </w:pPr>
    </w:p>
    <w:p w14:paraId="78984BB1" w14:textId="77777777" w:rsidR="0014798C" w:rsidRDefault="004E1F0B">
      <w:pPr>
        <w:ind w:left="476"/>
        <w:rPr>
          <w:sz w:val="18"/>
        </w:rPr>
      </w:pPr>
      <w:r>
        <w:rPr>
          <w:spacing w:val="-5"/>
          <w:sz w:val="18"/>
        </w:rPr>
        <w:t>168</w:t>
      </w:r>
    </w:p>
    <w:p w14:paraId="059CBF37" w14:textId="77777777" w:rsidR="0014798C" w:rsidRDefault="0014798C">
      <w:pPr>
        <w:rPr>
          <w:sz w:val="18"/>
        </w:rPr>
        <w:sectPr w:rsidR="0014798C" w:rsidSect="00F265E4">
          <w:pgSz w:w="11900" w:h="16820"/>
          <w:pgMar w:top="340" w:right="0" w:bottom="280" w:left="200" w:header="121" w:footer="0" w:gutter="0"/>
          <w:cols w:space="720"/>
        </w:sectPr>
      </w:pPr>
    </w:p>
    <w:p w14:paraId="69604279" w14:textId="77777777" w:rsidR="0014798C" w:rsidRDefault="0014798C">
      <w:pPr>
        <w:pStyle w:val="Textoindependiente"/>
        <w:spacing w:before="55"/>
        <w:rPr>
          <w:sz w:val="12"/>
        </w:rPr>
      </w:pPr>
    </w:p>
    <w:p w14:paraId="2CE2FD37" w14:textId="77777777" w:rsidR="0014798C" w:rsidRDefault="004E1F0B">
      <w:pPr>
        <w:ind w:left="1111"/>
        <w:rPr>
          <w:sz w:val="12"/>
        </w:rPr>
      </w:pPr>
      <w:r>
        <w:rPr>
          <w:color w:val="E83628"/>
          <w:w w:val="105"/>
          <w:sz w:val="12"/>
        </w:rPr>
        <w:t>CUARTA</w:t>
      </w:r>
      <w:r>
        <w:rPr>
          <w:color w:val="E83628"/>
          <w:spacing w:val="-1"/>
          <w:w w:val="105"/>
          <w:sz w:val="12"/>
        </w:rPr>
        <w:t xml:space="preserve"> </w:t>
      </w:r>
      <w:r>
        <w:rPr>
          <w:color w:val="E83628"/>
          <w:w w:val="105"/>
          <w:sz w:val="12"/>
        </w:rPr>
        <w:t>PARTE:</w:t>
      </w:r>
      <w:r>
        <w:rPr>
          <w:color w:val="E83628"/>
          <w:spacing w:val="-1"/>
          <w:w w:val="105"/>
          <w:sz w:val="12"/>
        </w:rPr>
        <w:t xml:space="preserve"> </w:t>
      </w:r>
      <w:r>
        <w:rPr>
          <w:color w:val="E83628"/>
          <w:w w:val="105"/>
          <w:sz w:val="12"/>
        </w:rPr>
        <w:t>VIOLENCIA</w:t>
      </w:r>
      <w:r>
        <w:rPr>
          <w:color w:val="E83628"/>
          <w:spacing w:val="-1"/>
          <w:w w:val="105"/>
          <w:sz w:val="12"/>
        </w:rPr>
        <w:t xml:space="preserve"> </w:t>
      </w:r>
      <w:r>
        <w:rPr>
          <w:color w:val="E83628"/>
          <w:w w:val="105"/>
          <w:sz w:val="12"/>
        </w:rPr>
        <w:t>DISCRIMINATORIA Y</w:t>
      </w:r>
      <w:r>
        <w:rPr>
          <w:color w:val="E83628"/>
          <w:spacing w:val="-1"/>
          <w:w w:val="105"/>
          <w:sz w:val="12"/>
        </w:rPr>
        <w:t xml:space="preserve"> </w:t>
      </w:r>
      <w:r>
        <w:rPr>
          <w:color w:val="E83628"/>
          <w:w w:val="105"/>
          <w:sz w:val="12"/>
        </w:rPr>
        <w:t>DELITOS</w:t>
      </w:r>
      <w:r>
        <w:rPr>
          <w:color w:val="E83628"/>
          <w:spacing w:val="-1"/>
          <w:w w:val="105"/>
          <w:sz w:val="12"/>
        </w:rPr>
        <w:t xml:space="preserve"> </w:t>
      </w:r>
      <w:r>
        <w:rPr>
          <w:color w:val="E83628"/>
          <w:w w:val="105"/>
          <w:sz w:val="12"/>
        </w:rPr>
        <w:t>DE</w:t>
      </w:r>
      <w:r>
        <w:rPr>
          <w:color w:val="E83628"/>
          <w:spacing w:val="-1"/>
          <w:w w:val="105"/>
          <w:sz w:val="12"/>
        </w:rPr>
        <w:t xml:space="preserve"> </w:t>
      </w:r>
      <w:r>
        <w:rPr>
          <w:color w:val="E83628"/>
          <w:spacing w:val="-4"/>
          <w:w w:val="105"/>
          <w:sz w:val="12"/>
        </w:rPr>
        <w:t>ODIO</w:t>
      </w:r>
    </w:p>
    <w:p w14:paraId="1B18F7FB" w14:textId="77777777" w:rsidR="0014798C" w:rsidRDefault="0014798C">
      <w:pPr>
        <w:pStyle w:val="Textoindependiente"/>
        <w:rPr>
          <w:sz w:val="17"/>
        </w:rPr>
      </w:pPr>
    </w:p>
    <w:p w14:paraId="27EE1939" w14:textId="77777777" w:rsidR="0014798C" w:rsidRDefault="0014798C">
      <w:pPr>
        <w:pStyle w:val="Textoindependiente"/>
        <w:rPr>
          <w:sz w:val="17"/>
        </w:rPr>
      </w:pPr>
    </w:p>
    <w:p w14:paraId="744A6CA8" w14:textId="77777777" w:rsidR="0014798C" w:rsidRDefault="0014798C">
      <w:pPr>
        <w:pStyle w:val="Textoindependiente"/>
        <w:rPr>
          <w:sz w:val="17"/>
        </w:rPr>
      </w:pPr>
    </w:p>
    <w:p w14:paraId="663757C6" w14:textId="77777777" w:rsidR="0014798C" w:rsidRDefault="0014798C">
      <w:pPr>
        <w:pStyle w:val="Textoindependiente"/>
        <w:rPr>
          <w:sz w:val="17"/>
        </w:rPr>
      </w:pPr>
    </w:p>
    <w:p w14:paraId="742F32C0" w14:textId="77777777" w:rsidR="0014798C" w:rsidRDefault="0014798C">
      <w:pPr>
        <w:pStyle w:val="Textoindependiente"/>
        <w:spacing w:before="18"/>
        <w:rPr>
          <w:sz w:val="17"/>
        </w:rPr>
      </w:pPr>
    </w:p>
    <w:p w14:paraId="51BAD833" w14:textId="77777777" w:rsidR="0014798C" w:rsidRDefault="004E1F0B">
      <w:pPr>
        <w:ind w:left="1106"/>
        <w:rPr>
          <w:sz w:val="17"/>
        </w:rPr>
      </w:pPr>
      <w:r>
        <w:rPr>
          <w:spacing w:val="-2"/>
          <w:w w:val="105"/>
          <w:sz w:val="17"/>
        </w:rPr>
        <w:t>En</w:t>
      </w:r>
      <w:r>
        <w:rPr>
          <w:spacing w:val="-3"/>
          <w:w w:val="105"/>
          <w:sz w:val="17"/>
        </w:rPr>
        <w:t xml:space="preserve"> </w:t>
      </w:r>
      <w:r>
        <w:rPr>
          <w:spacing w:val="-2"/>
          <w:w w:val="105"/>
          <w:sz w:val="17"/>
        </w:rPr>
        <w:t>su</w:t>
      </w:r>
      <w:r>
        <w:rPr>
          <w:spacing w:val="-3"/>
          <w:w w:val="105"/>
          <w:sz w:val="17"/>
        </w:rPr>
        <w:t xml:space="preserve"> </w:t>
      </w:r>
      <w:r>
        <w:rPr>
          <w:spacing w:val="-2"/>
          <w:w w:val="105"/>
          <w:sz w:val="17"/>
        </w:rPr>
        <w:t>forma</w:t>
      </w:r>
      <w:r>
        <w:rPr>
          <w:spacing w:val="-3"/>
          <w:w w:val="105"/>
          <w:sz w:val="17"/>
        </w:rPr>
        <w:t xml:space="preserve"> </w:t>
      </w:r>
      <w:r>
        <w:rPr>
          <w:spacing w:val="-2"/>
          <w:w w:val="105"/>
          <w:sz w:val="17"/>
        </w:rPr>
        <w:t>más</w:t>
      </w:r>
      <w:r>
        <w:rPr>
          <w:spacing w:val="-3"/>
          <w:w w:val="105"/>
          <w:sz w:val="17"/>
        </w:rPr>
        <w:t xml:space="preserve"> </w:t>
      </w:r>
      <w:r>
        <w:rPr>
          <w:spacing w:val="-2"/>
          <w:w w:val="105"/>
          <w:sz w:val="17"/>
        </w:rPr>
        <w:t>grave,</w:t>
      </w:r>
      <w:r>
        <w:rPr>
          <w:spacing w:val="-3"/>
          <w:w w:val="105"/>
          <w:sz w:val="17"/>
        </w:rPr>
        <w:t xml:space="preserve"> </w:t>
      </w:r>
      <w:r>
        <w:rPr>
          <w:spacing w:val="-2"/>
          <w:w w:val="105"/>
          <w:sz w:val="17"/>
        </w:rPr>
        <w:t>la violencia</w:t>
      </w:r>
      <w:r>
        <w:rPr>
          <w:spacing w:val="-3"/>
          <w:w w:val="105"/>
          <w:sz w:val="17"/>
        </w:rPr>
        <w:t xml:space="preserve"> </w:t>
      </w:r>
      <w:r>
        <w:rPr>
          <w:spacing w:val="-2"/>
          <w:w w:val="105"/>
          <w:sz w:val="17"/>
        </w:rPr>
        <w:t>discriminatoria</w:t>
      </w:r>
      <w:r>
        <w:rPr>
          <w:spacing w:val="-3"/>
          <w:w w:val="105"/>
          <w:sz w:val="17"/>
        </w:rPr>
        <w:t xml:space="preserve"> </w:t>
      </w:r>
      <w:r>
        <w:rPr>
          <w:spacing w:val="-2"/>
          <w:w w:val="105"/>
          <w:sz w:val="17"/>
        </w:rPr>
        <w:t>puede</w:t>
      </w:r>
      <w:r>
        <w:rPr>
          <w:spacing w:val="-3"/>
          <w:w w:val="105"/>
          <w:sz w:val="17"/>
        </w:rPr>
        <w:t xml:space="preserve"> </w:t>
      </w:r>
      <w:r>
        <w:rPr>
          <w:spacing w:val="-2"/>
          <w:w w:val="105"/>
          <w:sz w:val="17"/>
        </w:rPr>
        <w:t>equivaler</w:t>
      </w:r>
      <w:r>
        <w:rPr>
          <w:spacing w:val="-3"/>
          <w:w w:val="105"/>
          <w:sz w:val="17"/>
        </w:rPr>
        <w:t xml:space="preserve"> </w:t>
      </w:r>
      <w:r>
        <w:rPr>
          <w:spacing w:val="-2"/>
          <w:w w:val="105"/>
          <w:sz w:val="17"/>
        </w:rPr>
        <w:t>a</w:t>
      </w:r>
      <w:r>
        <w:rPr>
          <w:spacing w:val="-3"/>
          <w:w w:val="105"/>
          <w:sz w:val="17"/>
        </w:rPr>
        <w:t xml:space="preserve"> </w:t>
      </w:r>
      <w:r>
        <w:rPr>
          <w:spacing w:val="-2"/>
          <w:w w:val="105"/>
          <w:sz w:val="17"/>
        </w:rPr>
        <w:t>tortura o</w:t>
      </w:r>
      <w:r>
        <w:rPr>
          <w:spacing w:val="-3"/>
          <w:w w:val="105"/>
          <w:sz w:val="17"/>
        </w:rPr>
        <w:t xml:space="preserve"> </w:t>
      </w:r>
      <w:r>
        <w:rPr>
          <w:spacing w:val="-2"/>
          <w:w w:val="105"/>
          <w:sz w:val="17"/>
        </w:rPr>
        <w:t>trato</w:t>
      </w:r>
      <w:r>
        <w:rPr>
          <w:spacing w:val="-3"/>
          <w:w w:val="105"/>
          <w:sz w:val="17"/>
        </w:rPr>
        <w:t xml:space="preserve"> </w:t>
      </w:r>
      <w:r>
        <w:rPr>
          <w:spacing w:val="-2"/>
          <w:w w:val="105"/>
          <w:sz w:val="17"/>
        </w:rPr>
        <w:t>cruel,</w:t>
      </w:r>
      <w:r>
        <w:rPr>
          <w:spacing w:val="-3"/>
          <w:w w:val="105"/>
          <w:sz w:val="17"/>
        </w:rPr>
        <w:t xml:space="preserve"> </w:t>
      </w:r>
      <w:r>
        <w:rPr>
          <w:spacing w:val="-2"/>
          <w:w w:val="105"/>
          <w:sz w:val="17"/>
        </w:rPr>
        <w:t>inhumano</w:t>
      </w:r>
      <w:r>
        <w:rPr>
          <w:spacing w:val="-3"/>
          <w:w w:val="105"/>
          <w:sz w:val="17"/>
        </w:rPr>
        <w:t xml:space="preserve"> </w:t>
      </w:r>
      <w:r>
        <w:rPr>
          <w:spacing w:val="-2"/>
          <w:w w:val="105"/>
          <w:sz w:val="17"/>
        </w:rPr>
        <w:t>o</w:t>
      </w:r>
      <w:r>
        <w:rPr>
          <w:spacing w:val="-3"/>
          <w:w w:val="105"/>
          <w:sz w:val="17"/>
        </w:rPr>
        <w:t xml:space="preserve"> </w:t>
      </w:r>
      <w:r>
        <w:rPr>
          <w:spacing w:val="-2"/>
          <w:w w:val="105"/>
          <w:sz w:val="17"/>
        </w:rPr>
        <w:t>degradante.1120</w:t>
      </w:r>
    </w:p>
    <w:p w14:paraId="0804FE76" w14:textId="77777777" w:rsidR="0014798C" w:rsidRDefault="004E1F0B">
      <w:pPr>
        <w:spacing w:before="41"/>
        <w:ind w:left="1106"/>
        <w:rPr>
          <w:sz w:val="19"/>
        </w:rPr>
      </w:pPr>
      <w:r>
        <w:rPr>
          <w:sz w:val="19"/>
        </w:rPr>
        <w:t>Esto</w:t>
      </w:r>
      <w:r>
        <w:rPr>
          <w:spacing w:val="2"/>
          <w:sz w:val="19"/>
        </w:rPr>
        <w:t xml:space="preserve"> </w:t>
      </w:r>
      <w:r>
        <w:rPr>
          <w:sz w:val="19"/>
        </w:rPr>
        <w:t>queda</w:t>
      </w:r>
      <w:r>
        <w:rPr>
          <w:spacing w:val="2"/>
          <w:sz w:val="19"/>
        </w:rPr>
        <w:t xml:space="preserve"> </w:t>
      </w:r>
      <w:r>
        <w:rPr>
          <w:sz w:val="19"/>
        </w:rPr>
        <w:t>claro</w:t>
      </w:r>
      <w:r>
        <w:rPr>
          <w:spacing w:val="2"/>
          <w:sz w:val="19"/>
        </w:rPr>
        <w:t xml:space="preserve"> </w:t>
      </w:r>
      <w:r>
        <w:rPr>
          <w:sz w:val="19"/>
        </w:rPr>
        <w:t>en</w:t>
      </w:r>
      <w:r>
        <w:rPr>
          <w:spacing w:val="2"/>
          <w:sz w:val="19"/>
        </w:rPr>
        <w:t xml:space="preserve"> </w:t>
      </w:r>
      <w:r>
        <w:rPr>
          <w:sz w:val="19"/>
        </w:rPr>
        <w:t>la</w:t>
      </w:r>
      <w:r>
        <w:rPr>
          <w:spacing w:val="2"/>
          <w:sz w:val="19"/>
        </w:rPr>
        <w:t xml:space="preserve"> </w:t>
      </w:r>
      <w:r>
        <w:rPr>
          <w:sz w:val="19"/>
        </w:rPr>
        <w:t>Convención</w:t>
      </w:r>
      <w:r>
        <w:rPr>
          <w:spacing w:val="2"/>
          <w:sz w:val="19"/>
        </w:rPr>
        <w:t xml:space="preserve"> </w:t>
      </w:r>
      <w:r>
        <w:rPr>
          <w:sz w:val="19"/>
        </w:rPr>
        <w:t>contra</w:t>
      </w:r>
      <w:r>
        <w:rPr>
          <w:spacing w:val="2"/>
          <w:sz w:val="19"/>
        </w:rPr>
        <w:t xml:space="preserve"> </w:t>
      </w:r>
      <w:r>
        <w:rPr>
          <w:sz w:val="19"/>
        </w:rPr>
        <w:t>la</w:t>
      </w:r>
      <w:r>
        <w:rPr>
          <w:spacing w:val="2"/>
          <w:sz w:val="19"/>
        </w:rPr>
        <w:t xml:space="preserve"> </w:t>
      </w:r>
      <w:r>
        <w:rPr>
          <w:sz w:val="19"/>
        </w:rPr>
        <w:t>Tortura</w:t>
      </w:r>
      <w:r>
        <w:rPr>
          <w:spacing w:val="2"/>
          <w:sz w:val="19"/>
        </w:rPr>
        <w:t xml:space="preserve"> </w:t>
      </w:r>
      <w:r>
        <w:rPr>
          <w:sz w:val="19"/>
        </w:rPr>
        <w:t>y</w:t>
      </w:r>
      <w:r>
        <w:rPr>
          <w:spacing w:val="2"/>
          <w:sz w:val="19"/>
        </w:rPr>
        <w:t xml:space="preserve"> </w:t>
      </w:r>
      <w:r>
        <w:rPr>
          <w:sz w:val="19"/>
        </w:rPr>
        <w:t>Otros</w:t>
      </w:r>
      <w:r>
        <w:rPr>
          <w:spacing w:val="2"/>
          <w:sz w:val="19"/>
        </w:rPr>
        <w:t xml:space="preserve"> </w:t>
      </w:r>
      <w:r>
        <w:rPr>
          <w:sz w:val="19"/>
        </w:rPr>
        <w:t>Tratos</w:t>
      </w:r>
      <w:r>
        <w:rPr>
          <w:spacing w:val="2"/>
          <w:sz w:val="19"/>
        </w:rPr>
        <w:t xml:space="preserve"> </w:t>
      </w:r>
      <w:r>
        <w:rPr>
          <w:sz w:val="19"/>
        </w:rPr>
        <w:t>o</w:t>
      </w:r>
      <w:r>
        <w:rPr>
          <w:spacing w:val="2"/>
          <w:sz w:val="19"/>
        </w:rPr>
        <w:t xml:space="preserve"> </w:t>
      </w:r>
      <w:r>
        <w:rPr>
          <w:sz w:val="19"/>
        </w:rPr>
        <w:t>Penas</w:t>
      </w:r>
      <w:r>
        <w:rPr>
          <w:spacing w:val="2"/>
          <w:sz w:val="19"/>
        </w:rPr>
        <w:t xml:space="preserve"> </w:t>
      </w:r>
      <w:r>
        <w:rPr>
          <w:sz w:val="19"/>
        </w:rPr>
        <w:t>Crueles,</w:t>
      </w:r>
      <w:r>
        <w:rPr>
          <w:spacing w:val="3"/>
          <w:sz w:val="19"/>
        </w:rPr>
        <w:t xml:space="preserve"> </w:t>
      </w:r>
      <w:r>
        <w:rPr>
          <w:sz w:val="19"/>
        </w:rPr>
        <w:t>Inhumanos</w:t>
      </w:r>
      <w:r>
        <w:rPr>
          <w:spacing w:val="2"/>
          <w:sz w:val="19"/>
        </w:rPr>
        <w:t xml:space="preserve"> </w:t>
      </w:r>
      <w:r>
        <w:rPr>
          <w:spacing w:val="-10"/>
          <w:sz w:val="19"/>
        </w:rPr>
        <w:t>o</w:t>
      </w:r>
    </w:p>
    <w:p w14:paraId="42A2B7DA" w14:textId="77777777" w:rsidR="0014798C" w:rsidRDefault="004E1F0B">
      <w:pPr>
        <w:spacing w:before="31" w:line="312" w:lineRule="auto"/>
        <w:ind w:left="1110" w:right="369" w:firstLine="1"/>
        <w:rPr>
          <w:sz w:val="16"/>
        </w:rPr>
      </w:pPr>
      <w:r>
        <w:rPr>
          <w:sz w:val="19"/>
        </w:rPr>
        <w:t xml:space="preserve">Degradantes, que enumera la discriminación como un propósito reconocido en el artículo 1 (1) de la Convención.1121 </w:t>
      </w:r>
      <w:r>
        <w:rPr>
          <w:w w:val="105"/>
          <w:sz w:val="16"/>
        </w:rPr>
        <w:t>Tanto el Comité contra la Tortura1122 como los tribunales regionales1123 se han pronunciado sobre casos que consideraron suficientemente graves para cumplir con este alto estándar, incluidos casos relacionados con pogromos por motivos raciales</w:t>
      </w:r>
    </w:p>
    <w:p w14:paraId="77740EDE" w14:textId="77777777" w:rsidR="0014798C" w:rsidRDefault="004E1F0B">
      <w:pPr>
        <w:pStyle w:val="Textoindependiente"/>
        <w:spacing w:before="8" w:line="326" w:lineRule="auto"/>
        <w:ind w:left="1109" w:right="1272" w:hanging="2"/>
      </w:pPr>
      <w:r>
        <w:rPr>
          <w:w w:val="105"/>
        </w:rPr>
        <w:t>contra</w:t>
      </w:r>
      <w:r>
        <w:rPr>
          <w:spacing w:val="-8"/>
          <w:w w:val="105"/>
        </w:rPr>
        <w:t xml:space="preserve"> </w:t>
      </w:r>
      <w:r>
        <w:rPr>
          <w:w w:val="105"/>
        </w:rPr>
        <w:t>minorías.1124</w:t>
      </w:r>
      <w:r>
        <w:rPr>
          <w:spacing w:val="-8"/>
          <w:w w:val="105"/>
        </w:rPr>
        <w:t xml:space="preserve"> </w:t>
      </w:r>
      <w:r>
        <w:rPr>
          <w:w w:val="105"/>
        </w:rPr>
        <w:t>La</w:t>
      </w:r>
      <w:r>
        <w:rPr>
          <w:spacing w:val="-8"/>
          <w:w w:val="105"/>
        </w:rPr>
        <w:t xml:space="preserve"> </w:t>
      </w:r>
      <w:r>
        <w:rPr>
          <w:w w:val="105"/>
        </w:rPr>
        <w:t>discriminación</w:t>
      </w:r>
      <w:r>
        <w:rPr>
          <w:spacing w:val="-8"/>
          <w:w w:val="105"/>
        </w:rPr>
        <w:t xml:space="preserve"> </w:t>
      </w:r>
      <w:r>
        <w:rPr>
          <w:w w:val="105"/>
        </w:rPr>
        <w:t>también</w:t>
      </w:r>
      <w:r>
        <w:rPr>
          <w:spacing w:val="-8"/>
          <w:w w:val="105"/>
        </w:rPr>
        <w:t xml:space="preserve"> </w:t>
      </w:r>
      <w:r>
        <w:rPr>
          <w:w w:val="105"/>
        </w:rPr>
        <w:t>puede</w:t>
      </w:r>
      <w:r>
        <w:rPr>
          <w:spacing w:val="-8"/>
          <w:w w:val="105"/>
        </w:rPr>
        <w:t xml:space="preserve"> </w:t>
      </w:r>
      <w:r>
        <w:rPr>
          <w:w w:val="105"/>
        </w:rPr>
        <w:t>constituir</w:t>
      </w:r>
      <w:r>
        <w:rPr>
          <w:spacing w:val="-8"/>
          <w:w w:val="105"/>
        </w:rPr>
        <w:t xml:space="preserve"> </w:t>
      </w:r>
      <w:r>
        <w:rPr>
          <w:w w:val="105"/>
        </w:rPr>
        <w:t>la</w:t>
      </w:r>
      <w:r>
        <w:rPr>
          <w:spacing w:val="-8"/>
          <w:w w:val="105"/>
        </w:rPr>
        <w:t xml:space="preserve"> </w:t>
      </w:r>
      <w:r>
        <w:rPr>
          <w:w w:val="105"/>
        </w:rPr>
        <w:t>base</w:t>
      </w:r>
      <w:r>
        <w:rPr>
          <w:spacing w:val="-8"/>
          <w:w w:val="105"/>
        </w:rPr>
        <w:t xml:space="preserve"> </w:t>
      </w:r>
      <w:r>
        <w:rPr>
          <w:w w:val="105"/>
        </w:rPr>
        <w:t>de</w:t>
      </w:r>
      <w:r>
        <w:rPr>
          <w:spacing w:val="-8"/>
          <w:w w:val="105"/>
        </w:rPr>
        <w:t xml:space="preserve"> </w:t>
      </w:r>
      <w:r>
        <w:rPr>
          <w:w w:val="105"/>
        </w:rPr>
        <w:t>crímenes</w:t>
      </w:r>
      <w:r>
        <w:rPr>
          <w:spacing w:val="-8"/>
          <w:w w:val="105"/>
        </w:rPr>
        <w:t xml:space="preserve"> </w:t>
      </w:r>
      <w:r>
        <w:rPr>
          <w:w w:val="105"/>
        </w:rPr>
        <w:t>prohibidos</w:t>
      </w:r>
      <w:r>
        <w:rPr>
          <w:spacing w:val="-8"/>
          <w:w w:val="105"/>
        </w:rPr>
        <w:t xml:space="preserve"> </w:t>
      </w:r>
      <w:r>
        <w:rPr>
          <w:w w:val="105"/>
        </w:rPr>
        <w:t>por</w:t>
      </w:r>
      <w:r>
        <w:rPr>
          <w:spacing w:val="-8"/>
          <w:w w:val="105"/>
        </w:rPr>
        <w:t xml:space="preserve"> </w:t>
      </w:r>
      <w:r>
        <w:rPr>
          <w:w w:val="105"/>
        </w:rPr>
        <w:t>el</w:t>
      </w:r>
      <w:r>
        <w:rPr>
          <w:spacing w:val="-8"/>
          <w:w w:val="105"/>
        </w:rPr>
        <w:t xml:space="preserve"> </w:t>
      </w:r>
      <w:r>
        <w:rPr>
          <w:w w:val="105"/>
        </w:rPr>
        <w:t>derecho</w:t>
      </w:r>
      <w:r>
        <w:rPr>
          <w:spacing w:val="-8"/>
          <w:w w:val="105"/>
        </w:rPr>
        <w:t xml:space="preserve"> </w:t>
      </w:r>
      <w:r>
        <w:rPr>
          <w:w w:val="105"/>
        </w:rPr>
        <w:t>internacional humanitario</w:t>
      </w:r>
      <w:r>
        <w:rPr>
          <w:spacing w:val="-1"/>
          <w:w w:val="105"/>
        </w:rPr>
        <w:t xml:space="preserve"> </w:t>
      </w:r>
      <w:r>
        <w:rPr>
          <w:w w:val="105"/>
        </w:rPr>
        <w:t>y</w:t>
      </w:r>
      <w:r>
        <w:rPr>
          <w:spacing w:val="-1"/>
          <w:w w:val="105"/>
        </w:rPr>
        <w:t xml:space="preserve"> </w:t>
      </w:r>
      <w:r>
        <w:rPr>
          <w:w w:val="105"/>
        </w:rPr>
        <w:t>el</w:t>
      </w:r>
      <w:r>
        <w:rPr>
          <w:spacing w:val="-1"/>
          <w:w w:val="105"/>
        </w:rPr>
        <w:t xml:space="preserve"> </w:t>
      </w:r>
      <w:r>
        <w:rPr>
          <w:w w:val="105"/>
        </w:rPr>
        <w:t>derecho</w:t>
      </w:r>
      <w:r>
        <w:rPr>
          <w:spacing w:val="-1"/>
          <w:w w:val="105"/>
        </w:rPr>
        <w:t xml:space="preserve"> </w:t>
      </w:r>
      <w:r>
        <w:rPr>
          <w:w w:val="105"/>
        </w:rPr>
        <w:t>internacional</w:t>
      </w:r>
      <w:r>
        <w:rPr>
          <w:spacing w:val="-1"/>
          <w:w w:val="105"/>
        </w:rPr>
        <w:t xml:space="preserve"> </w:t>
      </w:r>
      <w:r>
        <w:rPr>
          <w:w w:val="105"/>
        </w:rPr>
        <w:t>consuetudinario</w:t>
      </w:r>
      <w:proofErr w:type="gramStart"/>
      <w:r>
        <w:rPr>
          <w:w w:val="105"/>
        </w:rPr>
        <w:t>.</w:t>
      </w:r>
      <w:r>
        <w:rPr>
          <w:spacing w:val="-1"/>
          <w:w w:val="105"/>
        </w:rPr>
        <w:t xml:space="preserve"> </w:t>
      </w:r>
      <w:r>
        <w:rPr>
          <w:w w:val="105"/>
        </w:rPr>
        <w:t>,</w:t>
      </w:r>
      <w:proofErr w:type="gramEnd"/>
      <w:r>
        <w:rPr>
          <w:w w:val="105"/>
        </w:rPr>
        <w:t xml:space="preserve"> como</w:t>
      </w:r>
      <w:r>
        <w:rPr>
          <w:spacing w:val="-1"/>
          <w:w w:val="105"/>
        </w:rPr>
        <w:t xml:space="preserve"> </w:t>
      </w:r>
      <w:r>
        <w:rPr>
          <w:w w:val="105"/>
        </w:rPr>
        <w:t>el</w:t>
      </w:r>
      <w:r>
        <w:rPr>
          <w:spacing w:val="-1"/>
          <w:w w:val="105"/>
        </w:rPr>
        <w:t xml:space="preserve"> </w:t>
      </w:r>
      <w:r>
        <w:rPr>
          <w:w w:val="105"/>
        </w:rPr>
        <w:t>genocidio</w:t>
      </w:r>
      <w:r>
        <w:rPr>
          <w:spacing w:val="-1"/>
          <w:w w:val="105"/>
        </w:rPr>
        <w:t xml:space="preserve"> </w:t>
      </w:r>
      <w:r>
        <w:rPr>
          <w:w w:val="105"/>
        </w:rPr>
        <w:t>y</w:t>
      </w:r>
      <w:r>
        <w:rPr>
          <w:spacing w:val="-1"/>
          <w:w w:val="105"/>
        </w:rPr>
        <w:t xml:space="preserve"> </w:t>
      </w:r>
      <w:r>
        <w:rPr>
          <w:w w:val="105"/>
        </w:rPr>
        <w:t>los</w:t>
      </w:r>
      <w:r>
        <w:rPr>
          <w:spacing w:val="-1"/>
          <w:w w:val="105"/>
        </w:rPr>
        <w:t xml:space="preserve"> </w:t>
      </w:r>
      <w:r>
        <w:rPr>
          <w:w w:val="105"/>
        </w:rPr>
        <w:t>crímenes</w:t>
      </w:r>
      <w:r>
        <w:rPr>
          <w:spacing w:val="-1"/>
          <w:w w:val="105"/>
        </w:rPr>
        <w:t xml:space="preserve"> </w:t>
      </w:r>
      <w:r>
        <w:rPr>
          <w:w w:val="105"/>
        </w:rPr>
        <w:t>contra</w:t>
      </w:r>
      <w:r>
        <w:rPr>
          <w:spacing w:val="-1"/>
          <w:w w:val="105"/>
        </w:rPr>
        <w:t xml:space="preserve"> </w:t>
      </w:r>
      <w:r>
        <w:rPr>
          <w:w w:val="105"/>
        </w:rPr>
        <w:t>la</w:t>
      </w:r>
      <w:r>
        <w:rPr>
          <w:spacing w:val="-1"/>
          <w:w w:val="105"/>
        </w:rPr>
        <w:t xml:space="preserve"> </w:t>
      </w:r>
      <w:r>
        <w:rPr>
          <w:w w:val="105"/>
        </w:rPr>
        <w:t>humanidad. Dada</w:t>
      </w:r>
      <w:r>
        <w:rPr>
          <w:spacing w:val="-1"/>
          <w:w w:val="105"/>
        </w:rPr>
        <w:t xml:space="preserve"> </w:t>
      </w:r>
      <w:r>
        <w:rPr>
          <w:w w:val="105"/>
        </w:rPr>
        <w:t>la naturaleza</w:t>
      </w:r>
      <w:r>
        <w:rPr>
          <w:spacing w:val="-1"/>
          <w:w w:val="105"/>
        </w:rPr>
        <w:t xml:space="preserve"> </w:t>
      </w:r>
      <w:r>
        <w:rPr>
          <w:w w:val="105"/>
        </w:rPr>
        <w:t>especialmente</w:t>
      </w:r>
      <w:r>
        <w:rPr>
          <w:spacing w:val="-1"/>
          <w:w w:val="105"/>
        </w:rPr>
        <w:t xml:space="preserve"> </w:t>
      </w:r>
      <w:r>
        <w:rPr>
          <w:w w:val="105"/>
        </w:rPr>
        <w:t>grave</w:t>
      </w:r>
      <w:r>
        <w:rPr>
          <w:spacing w:val="-1"/>
          <w:w w:val="105"/>
        </w:rPr>
        <w:t xml:space="preserve"> </w:t>
      </w:r>
      <w:r>
        <w:rPr>
          <w:w w:val="105"/>
        </w:rPr>
        <w:t>de</w:t>
      </w:r>
      <w:r>
        <w:rPr>
          <w:spacing w:val="-1"/>
          <w:w w:val="105"/>
        </w:rPr>
        <w:t xml:space="preserve"> </w:t>
      </w:r>
      <w:r>
        <w:rPr>
          <w:w w:val="105"/>
        </w:rPr>
        <w:t>estos</w:t>
      </w:r>
      <w:r>
        <w:rPr>
          <w:spacing w:val="-1"/>
          <w:w w:val="105"/>
        </w:rPr>
        <w:t xml:space="preserve"> </w:t>
      </w:r>
      <w:r>
        <w:rPr>
          <w:w w:val="105"/>
        </w:rPr>
        <w:t>actos, están</w:t>
      </w:r>
      <w:r>
        <w:rPr>
          <w:spacing w:val="-1"/>
          <w:w w:val="105"/>
        </w:rPr>
        <w:t xml:space="preserve"> </w:t>
      </w:r>
      <w:r>
        <w:rPr>
          <w:w w:val="105"/>
        </w:rPr>
        <w:t>sujetos</w:t>
      </w:r>
      <w:r>
        <w:rPr>
          <w:spacing w:val="-1"/>
          <w:w w:val="105"/>
        </w:rPr>
        <w:t xml:space="preserve"> </w:t>
      </w:r>
      <w:r>
        <w:rPr>
          <w:w w:val="105"/>
        </w:rPr>
        <w:t>a</w:t>
      </w:r>
      <w:r>
        <w:rPr>
          <w:spacing w:val="-1"/>
          <w:w w:val="105"/>
        </w:rPr>
        <w:t xml:space="preserve"> </w:t>
      </w:r>
      <w:r>
        <w:rPr>
          <w:w w:val="105"/>
        </w:rPr>
        <w:t>un</w:t>
      </w:r>
      <w:r>
        <w:rPr>
          <w:spacing w:val="-1"/>
          <w:w w:val="105"/>
        </w:rPr>
        <w:t xml:space="preserve"> </w:t>
      </w:r>
      <w:r>
        <w:rPr>
          <w:w w:val="105"/>
        </w:rPr>
        <w:t>régimen</w:t>
      </w:r>
      <w:r>
        <w:rPr>
          <w:spacing w:val="-1"/>
          <w:w w:val="105"/>
        </w:rPr>
        <w:t xml:space="preserve"> </w:t>
      </w:r>
      <w:r>
        <w:rPr>
          <w:w w:val="105"/>
        </w:rPr>
        <w:t>jurídico</w:t>
      </w:r>
      <w:r>
        <w:rPr>
          <w:spacing w:val="-1"/>
          <w:w w:val="105"/>
        </w:rPr>
        <w:t xml:space="preserve"> </w:t>
      </w:r>
      <w:r>
        <w:rPr>
          <w:w w:val="105"/>
        </w:rPr>
        <w:t>internacional</w:t>
      </w:r>
      <w:r>
        <w:rPr>
          <w:spacing w:val="-1"/>
          <w:w w:val="105"/>
        </w:rPr>
        <w:t xml:space="preserve"> </w:t>
      </w:r>
      <w:r>
        <w:rPr>
          <w:w w:val="105"/>
        </w:rPr>
        <w:t>específico, que</w:t>
      </w:r>
      <w:r>
        <w:rPr>
          <w:spacing w:val="-1"/>
          <w:w w:val="105"/>
        </w:rPr>
        <w:t xml:space="preserve"> </w:t>
      </w:r>
      <w:r>
        <w:rPr>
          <w:w w:val="105"/>
        </w:rPr>
        <w:t>está</w:t>
      </w:r>
      <w:r>
        <w:rPr>
          <w:spacing w:val="-1"/>
          <w:w w:val="105"/>
        </w:rPr>
        <w:t xml:space="preserve"> </w:t>
      </w:r>
      <w:r>
        <w:rPr>
          <w:w w:val="105"/>
        </w:rPr>
        <w:t>más allá del alcance de la presente guía.1125</w:t>
      </w:r>
    </w:p>
    <w:p w14:paraId="3A6B5156" w14:textId="77777777" w:rsidR="0014798C" w:rsidRDefault="0014798C">
      <w:pPr>
        <w:pStyle w:val="Textoindependiente"/>
        <w:rPr>
          <w:sz w:val="17"/>
        </w:rPr>
      </w:pPr>
    </w:p>
    <w:p w14:paraId="421C1F4B" w14:textId="77777777" w:rsidR="0014798C" w:rsidRDefault="0014798C">
      <w:pPr>
        <w:pStyle w:val="Textoindependiente"/>
        <w:spacing w:before="71"/>
        <w:rPr>
          <w:sz w:val="17"/>
        </w:rPr>
      </w:pPr>
    </w:p>
    <w:p w14:paraId="4BE94BEC" w14:textId="77777777" w:rsidR="0014798C" w:rsidRDefault="004E1F0B">
      <w:pPr>
        <w:ind w:left="1342"/>
        <w:rPr>
          <w:sz w:val="17"/>
        </w:rPr>
      </w:pPr>
      <w:r>
        <w:rPr>
          <w:noProof/>
        </w:rPr>
        <w:drawing>
          <wp:anchor distT="0" distB="0" distL="0" distR="0" simplePos="0" relativeHeight="251658481" behindDoc="1" locked="0" layoutInCell="1" allowOverlap="1" wp14:anchorId="5EF94A24" wp14:editId="1C9E37FF">
            <wp:simplePos x="0" y="0"/>
            <wp:positionH relativeFrom="page">
              <wp:posOffset>799677</wp:posOffset>
            </wp:positionH>
            <wp:positionV relativeFrom="paragraph">
              <wp:posOffset>-140732</wp:posOffset>
            </wp:positionV>
            <wp:extent cx="6756822" cy="5648144"/>
            <wp:effectExtent l="0" t="0" r="0" b="0"/>
            <wp:wrapNone/>
            <wp:docPr id="339" name="Image 33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39" name="Image 339"/>
                    <pic:cNvPicPr/>
                  </pic:nvPicPr>
                  <pic:blipFill>
                    <a:blip r:embed="rId316" cstate="print"/>
                    <a:stretch>
                      <a:fillRect/>
                    </a:stretch>
                  </pic:blipFill>
                  <pic:spPr>
                    <a:xfrm>
                      <a:off x="0" y="0"/>
                      <a:ext cx="6756822" cy="5648144"/>
                    </a:xfrm>
                    <a:prstGeom prst="rect">
                      <a:avLst/>
                    </a:prstGeom>
                  </pic:spPr>
                </pic:pic>
              </a:graphicData>
            </a:graphic>
          </wp:anchor>
        </w:drawing>
      </w:r>
      <w:r>
        <w:rPr>
          <w:sz w:val="17"/>
        </w:rPr>
        <w:t>DERECHO</w:t>
      </w:r>
      <w:r>
        <w:rPr>
          <w:spacing w:val="-5"/>
          <w:sz w:val="17"/>
        </w:rPr>
        <w:t xml:space="preserve"> </w:t>
      </w:r>
      <w:r>
        <w:rPr>
          <w:sz w:val="17"/>
        </w:rPr>
        <w:t>AL</w:t>
      </w:r>
      <w:r>
        <w:rPr>
          <w:spacing w:val="-5"/>
          <w:sz w:val="17"/>
        </w:rPr>
        <w:t xml:space="preserve"> </w:t>
      </w:r>
      <w:r>
        <w:rPr>
          <w:sz w:val="17"/>
        </w:rPr>
        <w:t>RECONOCIMIENTO</w:t>
      </w:r>
      <w:r>
        <w:rPr>
          <w:spacing w:val="-4"/>
          <w:sz w:val="17"/>
        </w:rPr>
        <w:t xml:space="preserve"> </w:t>
      </w:r>
      <w:r>
        <w:rPr>
          <w:sz w:val="17"/>
        </w:rPr>
        <w:t>DEL</w:t>
      </w:r>
      <w:r>
        <w:rPr>
          <w:spacing w:val="-5"/>
          <w:sz w:val="17"/>
        </w:rPr>
        <w:t xml:space="preserve"> </w:t>
      </w:r>
      <w:r>
        <w:rPr>
          <w:sz w:val="17"/>
        </w:rPr>
        <w:t>MOTIVO</w:t>
      </w:r>
      <w:r>
        <w:rPr>
          <w:spacing w:val="-6"/>
          <w:sz w:val="17"/>
        </w:rPr>
        <w:t xml:space="preserve"> </w:t>
      </w:r>
      <w:r>
        <w:rPr>
          <w:sz w:val="17"/>
        </w:rPr>
        <w:t>DE</w:t>
      </w:r>
      <w:r>
        <w:rPr>
          <w:spacing w:val="-5"/>
          <w:sz w:val="17"/>
        </w:rPr>
        <w:t xml:space="preserve"> </w:t>
      </w:r>
      <w:r>
        <w:rPr>
          <w:sz w:val="17"/>
        </w:rPr>
        <w:t>SESGO</w:t>
      </w:r>
      <w:r>
        <w:rPr>
          <w:spacing w:val="-5"/>
          <w:sz w:val="17"/>
        </w:rPr>
        <w:t xml:space="preserve"> </w:t>
      </w:r>
      <w:r>
        <w:rPr>
          <w:sz w:val="17"/>
        </w:rPr>
        <w:t>EN</w:t>
      </w:r>
      <w:r>
        <w:rPr>
          <w:spacing w:val="-5"/>
          <w:sz w:val="17"/>
        </w:rPr>
        <w:t xml:space="preserve"> </w:t>
      </w:r>
      <w:r>
        <w:rPr>
          <w:sz w:val="17"/>
        </w:rPr>
        <w:t>LA</w:t>
      </w:r>
      <w:r>
        <w:rPr>
          <w:spacing w:val="-5"/>
          <w:sz w:val="17"/>
        </w:rPr>
        <w:t xml:space="preserve"> </w:t>
      </w:r>
      <w:r>
        <w:rPr>
          <w:sz w:val="17"/>
        </w:rPr>
        <w:t>VIOLENCIA</w:t>
      </w:r>
      <w:r>
        <w:rPr>
          <w:spacing w:val="-4"/>
          <w:sz w:val="17"/>
        </w:rPr>
        <w:t xml:space="preserve"> </w:t>
      </w:r>
      <w:r>
        <w:rPr>
          <w:spacing w:val="-2"/>
          <w:sz w:val="17"/>
        </w:rPr>
        <w:t>DISCRIMINATORIA</w:t>
      </w:r>
    </w:p>
    <w:p w14:paraId="5012881B" w14:textId="77777777" w:rsidR="0014798C" w:rsidRDefault="0014798C">
      <w:pPr>
        <w:pStyle w:val="Textoindependiente"/>
        <w:spacing w:before="13"/>
        <w:rPr>
          <w:sz w:val="17"/>
        </w:rPr>
      </w:pPr>
    </w:p>
    <w:p w14:paraId="71FC58CF" w14:textId="77777777" w:rsidR="0014798C" w:rsidRDefault="004E1F0B">
      <w:pPr>
        <w:spacing w:line="307" w:lineRule="auto"/>
        <w:ind w:left="1334" w:right="1785" w:firstLine="3"/>
        <w:jc w:val="both"/>
        <w:rPr>
          <w:sz w:val="17"/>
        </w:rPr>
      </w:pPr>
      <w:r>
        <w:rPr>
          <w:sz w:val="17"/>
        </w:rPr>
        <w:t>El</w:t>
      </w:r>
      <w:r>
        <w:rPr>
          <w:spacing w:val="-3"/>
          <w:sz w:val="17"/>
        </w:rPr>
        <w:t xml:space="preserve"> </w:t>
      </w:r>
      <w:r>
        <w:rPr>
          <w:sz w:val="17"/>
        </w:rPr>
        <w:t>14</w:t>
      </w:r>
      <w:r>
        <w:rPr>
          <w:spacing w:val="-3"/>
          <w:sz w:val="17"/>
        </w:rPr>
        <w:t xml:space="preserve"> </w:t>
      </w:r>
      <w:r>
        <w:rPr>
          <w:sz w:val="17"/>
        </w:rPr>
        <w:t>de</w:t>
      </w:r>
      <w:r>
        <w:rPr>
          <w:spacing w:val="-3"/>
          <w:sz w:val="17"/>
        </w:rPr>
        <w:t xml:space="preserve"> </w:t>
      </w:r>
      <w:r>
        <w:rPr>
          <w:sz w:val="17"/>
        </w:rPr>
        <w:t>noviembre</w:t>
      </w:r>
      <w:r>
        <w:rPr>
          <w:spacing w:val="-3"/>
          <w:sz w:val="17"/>
        </w:rPr>
        <w:t xml:space="preserve"> </w:t>
      </w:r>
      <w:r>
        <w:rPr>
          <w:sz w:val="17"/>
        </w:rPr>
        <w:t>de</w:t>
      </w:r>
      <w:r>
        <w:rPr>
          <w:spacing w:val="-3"/>
          <w:sz w:val="17"/>
        </w:rPr>
        <w:t xml:space="preserve"> </w:t>
      </w:r>
      <w:r>
        <w:rPr>
          <w:sz w:val="17"/>
        </w:rPr>
        <w:t>2013,</w:t>
      </w:r>
      <w:r>
        <w:rPr>
          <w:spacing w:val="-2"/>
          <w:sz w:val="17"/>
        </w:rPr>
        <w:t xml:space="preserve"> </w:t>
      </w:r>
      <w:proofErr w:type="spellStart"/>
      <w:r>
        <w:rPr>
          <w:sz w:val="17"/>
        </w:rPr>
        <w:t>Salifou</w:t>
      </w:r>
      <w:proofErr w:type="spellEnd"/>
      <w:r>
        <w:rPr>
          <w:spacing w:val="-3"/>
          <w:sz w:val="17"/>
        </w:rPr>
        <w:t xml:space="preserve"> </w:t>
      </w:r>
      <w:proofErr w:type="spellStart"/>
      <w:r>
        <w:rPr>
          <w:sz w:val="17"/>
        </w:rPr>
        <w:t>Belemvire</w:t>
      </w:r>
      <w:proofErr w:type="spellEnd"/>
      <w:r>
        <w:rPr>
          <w:sz w:val="17"/>
        </w:rPr>
        <w:t>,</w:t>
      </w:r>
      <w:r>
        <w:rPr>
          <w:spacing w:val="-2"/>
          <w:sz w:val="17"/>
        </w:rPr>
        <w:t xml:space="preserve"> </w:t>
      </w:r>
      <w:r>
        <w:rPr>
          <w:sz w:val="17"/>
        </w:rPr>
        <w:t>originario</w:t>
      </w:r>
      <w:r>
        <w:rPr>
          <w:spacing w:val="-3"/>
          <w:sz w:val="17"/>
        </w:rPr>
        <w:t xml:space="preserve"> </w:t>
      </w:r>
      <w:r>
        <w:rPr>
          <w:sz w:val="17"/>
        </w:rPr>
        <w:t>de</w:t>
      </w:r>
      <w:r>
        <w:rPr>
          <w:spacing w:val="-3"/>
          <w:sz w:val="17"/>
        </w:rPr>
        <w:t xml:space="preserve"> </w:t>
      </w:r>
      <w:r>
        <w:rPr>
          <w:sz w:val="17"/>
        </w:rPr>
        <w:t>Burkina</w:t>
      </w:r>
      <w:r>
        <w:rPr>
          <w:spacing w:val="-3"/>
          <w:sz w:val="17"/>
        </w:rPr>
        <w:t xml:space="preserve"> </w:t>
      </w:r>
      <w:r>
        <w:rPr>
          <w:sz w:val="17"/>
        </w:rPr>
        <w:t>Faso,</w:t>
      </w:r>
      <w:r>
        <w:rPr>
          <w:spacing w:val="-2"/>
          <w:sz w:val="17"/>
        </w:rPr>
        <w:t xml:space="preserve"> </w:t>
      </w:r>
      <w:r>
        <w:rPr>
          <w:sz w:val="17"/>
        </w:rPr>
        <w:t>fue</w:t>
      </w:r>
      <w:r>
        <w:rPr>
          <w:spacing w:val="-3"/>
          <w:sz w:val="17"/>
        </w:rPr>
        <w:t xml:space="preserve"> </w:t>
      </w:r>
      <w:r>
        <w:rPr>
          <w:sz w:val="17"/>
        </w:rPr>
        <w:t>objeto</w:t>
      </w:r>
      <w:r>
        <w:rPr>
          <w:spacing w:val="-3"/>
          <w:sz w:val="17"/>
        </w:rPr>
        <w:t xml:space="preserve"> </w:t>
      </w:r>
      <w:r>
        <w:rPr>
          <w:sz w:val="17"/>
        </w:rPr>
        <w:t>de</w:t>
      </w:r>
      <w:r>
        <w:rPr>
          <w:spacing w:val="-3"/>
          <w:sz w:val="17"/>
        </w:rPr>
        <w:t xml:space="preserve"> </w:t>
      </w:r>
      <w:r>
        <w:rPr>
          <w:sz w:val="17"/>
        </w:rPr>
        <w:t>un</w:t>
      </w:r>
      <w:r>
        <w:rPr>
          <w:spacing w:val="-3"/>
          <w:sz w:val="17"/>
        </w:rPr>
        <w:t xml:space="preserve"> </w:t>
      </w:r>
      <w:r>
        <w:rPr>
          <w:sz w:val="17"/>
        </w:rPr>
        <w:t>ataque</w:t>
      </w:r>
      <w:r>
        <w:rPr>
          <w:spacing w:val="-3"/>
          <w:sz w:val="17"/>
        </w:rPr>
        <w:t xml:space="preserve"> </w:t>
      </w:r>
      <w:r>
        <w:rPr>
          <w:sz w:val="17"/>
        </w:rPr>
        <w:t>no</w:t>
      </w:r>
      <w:r>
        <w:rPr>
          <w:spacing w:val="-3"/>
          <w:sz w:val="17"/>
        </w:rPr>
        <w:t xml:space="preserve"> </w:t>
      </w:r>
      <w:r>
        <w:rPr>
          <w:sz w:val="17"/>
        </w:rPr>
        <w:t>provocado por</w:t>
      </w:r>
      <w:r>
        <w:rPr>
          <w:spacing w:val="-3"/>
          <w:sz w:val="17"/>
        </w:rPr>
        <w:t xml:space="preserve"> </w:t>
      </w:r>
      <w:r>
        <w:rPr>
          <w:sz w:val="17"/>
        </w:rPr>
        <w:t>parte</w:t>
      </w:r>
      <w:r>
        <w:rPr>
          <w:spacing w:val="-3"/>
          <w:sz w:val="17"/>
        </w:rPr>
        <w:t xml:space="preserve"> </w:t>
      </w:r>
      <w:r>
        <w:rPr>
          <w:sz w:val="17"/>
        </w:rPr>
        <w:t>de</w:t>
      </w:r>
      <w:r>
        <w:rPr>
          <w:spacing w:val="-3"/>
          <w:sz w:val="17"/>
        </w:rPr>
        <w:t xml:space="preserve"> </w:t>
      </w:r>
      <w:r>
        <w:rPr>
          <w:sz w:val="17"/>
        </w:rPr>
        <w:t>SI</w:t>
      </w:r>
      <w:r>
        <w:rPr>
          <w:spacing w:val="-3"/>
          <w:sz w:val="17"/>
        </w:rPr>
        <w:t xml:space="preserve"> </w:t>
      </w:r>
      <w:r>
        <w:rPr>
          <w:sz w:val="17"/>
        </w:rPr>
        <w:t>mientras</w:t>
      </w:r>
      <w:r>
        <w:rPr>
          <w:spacing w:val="-3"/>
          <w:sz w:val="17"/>
        </w:rPr>
        <w:t xml:space="preserve"> </w:t>
      </w:r>
      <w:r>
        <w:rPr>
          <w:sz w:val="17"/>
        </w:rPr>
        <w:t>viajaba</w:t>
      </w:r>
      <w:r>
        <w:rPr>
          <w:spacing w:val="-3"/>
          <w:sz w:val="17"/>
        </w:rPr>
        <w:t xml:space="preserve"> </w:t>
      </w:r>
      <w:r>
        <w:rPr>
          <w:sz w:val="17"/>
        </w:rPr>
        <w:t>en</w:t>
      </w:r>
      <w:r>
        <w:rPr>
          <w:spacing w:val="-3"/>
          <w:sz w:val="17"/>
        </w:rPr>
        <w:t xml:space="preserve"> </w:t>
      </w:r>
      <w:r>
        <w:rPr>
          <w:sz w:val="17"/>
        </w:rPr>
        <w:t>transporte</w:t>
      </w:r>
      <w:r>
        <w:rPr>
          <w:spacing w:val="-3"/>
          <w:sz w:val="17"/>
        </w:rPr>
        <w:t xml:space="preserve"> </w:t>
      </w:r>
      <w:r>
        <w:rPr>
          <w:sz w:val="17"/>
        </w:rPr>
        <w:t>público</w:t>
      </w:r>
      <w:r>
        <w:rPr>
          <w:spacing w:val="-3"/>
          <w:sz w:val="17"/>
        </w:rPr>
        <w:t xml:space="preserve"> </w:t>
      </w:r>
      <w:r>
        <w:rPr>
          <w:sz w:val="17"/>
        </w:rPr>
        <w:t>en</w:t>
      </w:r>
      <w:r>
        <w:rPr>
          <w:spacing w:val="-3"/>
          <w:sz w:val="17"/>
        </w:rPr>
        <w:t xml:space="preserve"> </w:t>
      </w:r>
      <w:r>
        <w:rPr>
          <w:sz w:val="17"/>
        </w:rPr>
        <w:t>Chisinau.</w:t>
      </w:r>
      <w:r>
        <w:rPr>
          <w:spacing w:val="-2"/>
          <w:sz w:val="17"/>
        </w:rPr>
        <w:t xml:space="preserve"> </w:t>
      </w:r>
      <w:r>
        <w:rPr>
          <w:sz w:val="17"/>
        </w:rPr>
        <w:t>Mientras</w:t>
      </w:r>
      <w:r>
        <w:rPr>
          <w:spacing w:val="-3"/>
          <w:sz w:val="17"/>
        </w:rPr>
        <w:t xml:space="preserve"> </w:t>
      </w:r>
      <w:r>
        <w:rPr>
          <w:sz w:val="17"/>
        </w:rPr>
        <w:t>el</w:t>
      </w:r>
      <w:r>
        <w:rPr>
          <w:spacing w:val="-3"/>
          <w:sz w:val="17"/>
        </w:rPr>
        <w:t xml:space="preserve"> </w:t>
      </w:r>
      <w:r>
        <w:rPr>
          <w:sz w:val="17"/>
        </w:rPr>
        <w:t>Sr.</w:t>
      </w:r>
      <w:r>
        <w:rPr>
          <w:spacing w:val="-3"/>
          <w:sz w:val="17"/>
        </w:rPr>
        <w:t xml:space="preserve"> </w:t>
      </w:r>
      <w:proofErr w:type="spellStart"/>
      <w:r>
        <w:rPr>
          <w:sz w:val="17"/>
        </w:rPr>
        <w:t>Belemvire</w:t>
      </w:r>
      <w:proofErr w:type="spellEnd"/>
      <w:r>
        <w:rPr>
          <w:spacing w:val="-3"/>
          <w:sz w:val="17"/>
        </w:rPr>
        <w:t xml:space="preserve"> </w:t>
      </w:r>
      <w:r>
        <w:rPr>
          <w:sz w:val="17"/>
        </w:rPr>
        <w:t>hablaba</w:t>
      </w:r>
      <w:r>
        <w:rPr>
          <w:spacing w:val="-3"/>
          <w:sz w:val="17"/>
        </w:rPr>
        <w:t xml:space="preserve"> </w:t>
      </w:r>
      <w:r>
        <w:rPr>
          <w:sz w:val="17"/>
        </w:rPr>
        <w:t>por</w:t>
      </w:r>
      <w:r>
        <w:rPr>
          <w:spacing w:val="-3"/>
          <w:sz w:val="17"/>
        </w:rPr>
        <w:t xml:space="preserve"> </w:t>
      </w:r>
      <w:r>
        <w:rPr>
          <w:sz w:val="17"/>
        </w:rPr>
        <w:t>teléfono móvil, SI le dio un puñetazo sin previo aviso y procedió a proferirle diversos epítetos racistas.</w:t>
      </w:r>
    </w:p>
    <w:p w14:paraId="78E7F7B4" w14:textId="77777777" w:rsidR="0014798C" w:rsidRDefault="004E1F0B">
      <w:pPr>
        <w:spacing w:before="130" w:line="348" w:lineRule="auto"/>
        <w:ind w:left="1338" w:right="1590" w:hanging="5"/>
        <w:rPr>
          <w:sz w:val="15"/>
        </w:rPr>
      </w:pPr>
      <w:r>
        <w:rPr>
          <w:w w:val="105"/>
          <w:sz w:val="15"/>
        </w:rPr>
        <w:t>Posteriormente</w:t>
      </w:r>
      <w:r>
        <w:rPr>
          <w:spacing w:val="-8"/>
          <w:w w:val="105"/>
          <w:sz w:val="15"/>
        </w:rPr>
        <w:t xml:space="preserve"> </w:t>
      </w:r>
      <w:r>
        <w:rPr>
          <w:w w:val="105"/>
          <w:sz w:val="15"/>
        </w:rPr>
        <w:t>se</w:t>
      </w:r>
      <w:r>
        <w:rPr>
          <w:spacing w:val="-8"/>
          <w:w w:val="105"/>
          <w:sz w:val="15"/>
        </w:rPr>
        <w:t xml:space="preserve"> </w:t>
      </w:r>
      <w:r>
        <w:rPr>
          <w:w w:val="105"/>
          <w:sz w:val="15"/>
        </w:rPr>
        <w:t>presentaron</w:t>
      </w:r>
      <w:r>
        <w:rPr>
          <w:spacing w:val="-8"/>
          <w:w w:val="105"/>
          <w:sz w:val="15"/>
        </w:rPr>
        <w:t xml:space="preserve"> </w:t>
      </w:r>
      <w:r>
        <w:rPr>
          <w:w w:val="105"/>
          <w:sz w:val="15"/>
        </w:rPr>
        <w:t>contra</w:t>
      </w:r>
      <w:r>
        <w:rPr>
          <w:spacing w:val="-8"/>
          <w:w w:val="105"/>
          <w:sz w:val="15"/>
        </w:rPr>
        <w:t xml:space="preserve"> </w:t>
      </w:r>
      <w:r>
        <w:rPr>
          <w:w w:val="105"/>
          <w:sz w:val="15"/>
        </w:rPr>
        <w:t>SI</w:t>
      </w:r>
      <w:r>
        <w:rPr>
          <w:spacing w:val="-8"/>
          <w:w w:val="105"/>
          <w:sz w:val="15"/>
        </w:rPr>
        <w:t xml:space="preserve"> </w:t>
      </w:r>
      <w:r>
        <w:rPr>
          <w:w w:val="105"/>
          <w:sz w:val="15"/>
        </w:rPr>
        <w:t>cargos</w:t>
      </w:r>
      <w:r>
        <w:rPr>
          <w:spacing w:val="-8"/>
          <w:w w:val="105"/>
          <w:sz w:val="15"/>
        </w:rPr>
        <w:t xml:space="preserve"> </w:t>
      </w:r>
      <w:r>
        <w:rPr>
          <w:w w:val="105"/>
          <w:sz w:val="15"/>
        </w:rPr>
        <w:t>formales</w:t>
      </w:r>
      <w:r>
        <w:rPr>
          <w:spacing w:val="-8"/>
          <w:w w:val="105"/>
          <w:sz w:val="15"/>
        </w:rPr>
        <w:t xml:space="preserve"> </w:t>
      </w:r>
      <w:r>
        <w:rPr>
          <w:w w:val="105"/>
          <w:sz w:val="15"/>
        </w:rPr>
        <w:t>de</w:t>
      </w:r>
      <w:r>
        <w:rPr>
          <w:spacing w:val="-8"/>
          <w:w w:val="105"/>
          <w:sz w:val="15"/>
        </w:rPr>
        <w:t xml:space="preserve"> </w:t>
      </w:r>
      <w:r>
        <w:rPr>
          <w:w w:val="105"/>
          <w:sz w:val="15"/>
        </w:rPr>
        <w:t>vandalismo</w:t>
      </w:r>
      <w:r>
        <w:rPr>
          <w:spacing w:val="-8"/>
          <w:w w:val="105"/>
          <w:sz w:val="15"/>
        </w:rPr>
        <w:t xml:space="preserve"> </w:t>
      </w:r>
      <w:r>
        <w:rPr>
          <w:w w:val="105"/>
          <w:sz w:val="15"/>
        </w:rPr>
        <w:t>en</w:t>
      </w:r>
      <w:r>
        <w:rPr>
          <w:spacing w:val="-8"/>
          <w:w w:val="105"/>
          <w:sz w:val="15"/>
        </w:rPr>
        <w:t xml:space="preserve"> </w:t>
      </w:r>
      <w:r>
        <w:rPr>
          <w:w w:val="105"/>
          <w:sz w:val="15"/>
        </w:rPr>
        <w:t>virtud</w:t>
      </w:r>
      <w:r>
        <w:rPr>
          <w:spacing w:val="-8"/>
          <w:w w:val="105"/>
          <w:sz w:val="15"/>
        </w:rPr>
        <w:t xml:space="preserve"> </w:t>
      </w:r>
      <w:r>
        <w:rPr>
          <w:w w:val="105"/>
          <w:sz w:val="15"/>
        </w:rPr>
        <w:t>del</w:t>
      </w:r>
      <w:r>
        <w:rPr>
          <w:spacing w:val="-8"/>
          <w:w w:val="105"/>
          <w:sz w:val="15"/>
        </w:rPr>
        <w:t xml:space="preserve"> </w:t>
      </w:r>
      <w:r>
        <w:rPr>
          <w:w w:val="105"/>
          <w:sz w:val="15"/>
        </w:rPr>
        <w:t>artículo</w:t>
      </w:r>
      <w:r>
        <w:rPr>
          <w:spacing w:val="-8"/>
          <w:w w:val="105"/>
          <w:sz w:val="15"/>
        </w:rPr>
        <w:t xml:space="preserve"> </w:t>
      </w:r>
      <w:r>
        <w:rPr>
          <w:w w:val="105"/>
          <w:sz w:val="15"/>
        </w:rPr>
        <w:t>287</w:t>
      </w:r>
      <w:r>
        <w:rPr>
          <w:spacing w:val="-8"/>
          <w:w w:val="105"/>
          <w:sz w:val="15"/>
        </w:rPr>
        <w:t xml:space="preserve"> </w:t>
      </w:r>
      <w:r>
        <w:rPr>
          <w:w w:val="105"/>
          <w:sz w:val="15"/>
        </w:rPr>
        <w:t>(1)</w:t>
      </w:r>
      <w:r>
        <w:rPr>
          <w:spacing w:val="-8"/>
          <w:w w:val="105"/>
          <w:sz w:val="15"/>
        </w:rPr>
        <w:t xml:space="preserve"> </w:t>
      </w:r>
      <w:r>
        <w:rPr>
          <w:w w:val="105"/>
          <w:sz w:val="15"/>
        </w:rPr>
        <w:t>del</w:t>
      </w:r>
      <w:r>
        <w:rPr>
          <w:spacing w:val="-8"/>
          <w:w w:val="105"/>
          <w:sz w:val="15"/>
        </w:rPr>
        <w:t xml:space="preserve"> </w:t>
      </w:r>
      <w:r>
        <w:rPr>
          <w:w w:val="105"/>
          <w:sz w:val="15"/>
        </w:rPr>
        <w:t>Código</w:t>
      </w:r>
      <w:r>
        <w:rPr>
          <w:spacing w:val="-8"/>
          <w:w w:val="105"/>
          <w:sz w:val="15"/>
        </w:rPr>
        <w:t xml:space="preserve"> </w:t>
      </w:r>
      <w:r>
        <w:rPr>
          <w:w w:val="105"/>
          <w:sz w:val="15"/>
        </w:rPr>
        <w:t>Penal.</w:t>
      </w:r>
      <w:r>
        <w:rPr>
          <w:spacing w:val="-8"/>
          <w:w w:val="105"/>
          <w:sz w:val="15"/>
        </w:rPr>
        <w:t xml:space="preserve"> </w:t>
      </w:r>
      <w:r>
        <w:rPr>
          <w:w w:val="105"/>
          <w:sz w:val="15"/>
        </w:rPr>
        <w:t>Según la</w:t>
      </w:r>
      <w:r>
        <w:rPr>
          <w:spacing w:val="-3"/>
          <w:w w:val="105"/>
          <w:sz w:val="15"/>
        </w:rPr>
        <w:t xml:space="preserve"> </w:t>
      </w:r>
      <w:r>
        <w:rPr>
          <w:w w:val="105"/>
          <w:sz w:val="15"/>
        </w:rPr>
        <w:t>legislación</w:t>
      </w:r>
      <w:r>
        <w:rPr>
          <w:spacing w:val="-3"/>
          <w:w w:val="105"/>
          <w:sz w:val="15"/>
        </w:rPr>
        <w:t xml:space="preserve"> </w:t>
      </w:r>
      <w:r>
        <w:rPr>
          <w:w w:val="105"/>
          <w:sz w:val="15"/>
        </w:rPr>
        <w:t>moldava,</w:t>
      </w:r>
      <w:r>
        <w:rPr>
          <w:spacing w:val="-3"/>
          <w:w w:val="105"/>
          <w:sz w:val="15"/>
        </w:rPr>
        <w:t xml:space="preserve"> </w:t>
      </w:r>
      <w:r>
        <w:rPr>
          <w:w w:val="105"/>
          <w:sz w:val="15"/>
        </w:rPr>
        <w:t>el</w:t>
      </w:r>
      <w:r>
        <w:rPr>
          <w:spacing w:val="-3"/>
          <w:w w:val="105"/>
          <w:sz w:val="15"/>
        </w:rPr>
        <w:t xml:space="preserve"> </w:t>
      </w:r>
      <w:r>
        <w:rPr>
          <w:w w:val="105"/>
          <w:sz w:val="15"/>
        </w:rPr>
        <w:t>“vandalismo”</w:t>
      </w:r>
      <w:r>
        <w:rPr>
          <w:spacing w:val="-3"/>
          <w:w w:val="105"/>
          <w:sz w:val="15"/>
        </w:rPr>
        <w:t xml:space="preserve"> </w:t>
      </w:r>
      <w:r>
        <w:rPr>
          <w:w w:val="105"/>
          <w:sz w:val="15"/>
        </w:rPr>
        <w:t>se</w:t>
      </w:r>
      <w:r>
        <w:rPr>
          <w:spacing w:val="-3"/>
          <w:w w:val="105"/>
          <w:sz w:val="15"/>
        </w:rPr>
        <w:t xml:space="preserve"> </w:t>
      </w:r>
      <w:r>
        <w:rPr>
          <w:w w:val="105"/>
          <w:sz w:val="15"/>
        </w:rPr>
        <w:t>define</w:t>
      </w:r>
      <w:r>
        <w:rPr>
          <w:spacing w:val="-3"/>
          <w:w w:val="105"/>
          <w:sz w:val="15"/>
        </w:rPr>
        <w:t xml:space="preserve"> </w:t>
      </w:r>
      <w:r>
        <w:rPr>
          <w:w w:val="105"/>
          <w:sz w:val="15"/>
        </w:rPr>
        <w:t>como</w:t>
      </w:r>
      <w:r>
        <w:rPr>
          <w:spacing w:val="-3"/>
          <w:w w:val="105"/>
          <w:sz w:val="15"/>
        </w:rPr>
        <w:t xml:space="preserve"> </w:t>
      </w:r>
      <w:r>
        <w:rPr>
          <w:w w:val="105"/>
          <w:sz w:val="15"/>
        </w:rPr>
        <w:t>una</w:t>
      </w:r>
      <w:r>
        <w:rPr>
          <w:spacing w:val="-3"/>
          <w:w w:val="105"/>
          <w:sz w:val="15"/>
        </w:rPr>
        <w:t xml:space="preserve"> </w:t>
      </w:r>
      <w:r>
        <w:rPr>
          <w:w w:val="105"/>
          <w:sz w:val="15"/>
        </w:rPr>
        <w:t>acción</w:t>
      </w:r>
      <w:r>
        <w:rPr>
          <w:spacing w:val="-3"/>
          <w:w w:val="105"/>
          <w:sz w:val="15"/>
        </w:rPr>
        <w:t xml:space="preserve"> </w:t>
      </w:r>
      <w:r>
        <w:rPr>
          <w:w w:val="105"/>
          <w:sz w:val="15"/>
        </w:rPr>
        <w:t>llevada</w:t>
      </w:r>
      <w:r>
        <w:rPr>
          <w:spacing w:val="-3"/>
          <w:w w:val="105"/>
          <w:sz w:val="15"/>
        </w:rPr>
        <w:t xml:space="preserve"> </w:t>
      </w:r>
      <w:r>
        <w:rPr>
          <w:w w:val="105"/>
          <w:sz w:val="15"/>
        </w:rPr>
        <w:t>a</w:t>
      </w:r>
      <w:r>
        <w:rPr>
          <w:spacing w:val="-3"/>
          <w:w w:val="105"/>
          <w:sz w:val="15"/>
        </w:rPr>
        <w:t xml:space="preserve"> </w:t>
      </w:r>
      <w:r>
        <w:rPr>
          <w:w w:val="105"/>
          <w:sz w:val="15"/>
        </w:rPr>
        <w:t>cabo</w:t>
      </w:r>
      <w:r>
        <w:rPr>
          <w:spacing w:val="-3"/>
          <w:w w:val="105"/>
          <w:sz w:val="15"/>
        </w:rPr>
        <w:t xml:space="preserve"> </w:t>
      </w:r>
      <w:r>
        <w:rPr>
          <w:w w:val="105"/>
          <w:sz w:val="15"/>
        </w:rPr>
        <w:t>sin</w:t>
      </w:r>
      <w:r>
        <w:rPr>
          <w:spacing w:val="-3"/>
          <w:w w:val="105"/>
          <w:sz w:val="15"/>
        </w:rPr>
        <w:t xml:space="preserve"> </w:t>
      </w:r>
      <w:r>
        <w:rPr>
          <w:w w:val="105"/>
          <w:sz w:val="15"/>
        </w:rPr>
        <w:t>ningún</w:t>
      </w:r>
      <w:r>
        <w:rPr>
          <w:spacing w:val="-3"/>
          <w:w w:val="105"/>
          <w:sz w:val="15"/>
        </w:rPr>
        <w:t xml:space="preserve"> </w:t>
      </w:r>
      <w:r>
        <w:rPr>
          <w:w w:val="105"/>
          <w:sz w:val="15"/>
        </w:rPr>
        <w:t>tipo</w:t>
      </w:r>
      <w:r>
        <w:rPr>
          <w:spacing w:val="-3"/>
          <w:w w:val="105"/>
          <w:sz w:val="15"/>
        </w:rPr>
        <w:t xml:space="preserve"> </w:t>
      </w:r>
      <w:r>
        <w:rPr>
          <w:w w:val="105"/>
          <w:sz w:val="15"/>
        </w:rPr>
        <w:t>de</w:t>
      </w:r>
      <w:r>
        <w:rPr>
          <w:spacing w:val="-3"/>
          <w:w w:val="105"/>
          <w:sz w:val="15"/>
        </w:rPr>
        <w:t xml:space="preserve"> </w:t>
      </w:r>
      <w:r>
        <w:rPr>
          <w:w w:val="105"/>
          <w:sz w:val="15"/>
        </w:rPr>
        <w:t>animosidad</w:t>
      </w:r>
      <w:r>
        <w:rPr>
          <w:spacing w:val="-3"/>
          <w:w w:val="105"/>
          <w:sz w:val="15"/>
        </w:rPr>
        <w:t xml:space="preserve"> </w:t>
      </w:r>
      <w:r>
        <w:rPr>
          <w:w w:val="105"/>
          <w:sz w:val="15"/>
        </w:rPr>
        <w:t>o</w:t>
      </w:r>
      <w:r>
        <w:rPr>
          <w:spacing w:val="-3"/>
          <w:w w:val="105"/>
          <w:sz w:val="15"/>
        </w:rPr>
        <w:t xml:space="preserve"> </w:t>
      </w:r>
      <w:r>
        <w:rPr>
          <w:w w:val="105"/>
          <w:sz w:val="15"/>
        </w:rPr>
        <w:t>motivación.</w:t>
      </w:r>
    </w:p>
    <w:p w14:paraId="7616B3FE" w14:textId="77777777" w:rsidR="0014798C" w:rsidRDefault="0014798C">
      <w:pPr>
        <w:pStyle w:val="Textoindependiente"/>
        <w:spacing w:before="148"/>
        <w:rPr>
          <w:sz w:val="17"/>
        </w:rPr>
      </w:pPr>
    </w:p>
    <w:p w14:paraId="6003FE00" w14:textId="77777777" w:rsidR="0014798C" w:rsidRDefault="004E1F0B">
      <w:pPr>
        <w:spacing w:line="307" w:lineRule="auto"/>
        <w:ind w:left="1329" w:right="1479" w:firstLine="3"/>
        <w:rPr>
          <w:sz w:val="17"/>
        </w:rPr>
      </w:pPr>
      <w:r>
        <w:rPr>
          <w:noProof/>
        </w:rPr>
        <mc:AlternateContent>
          <mc:Choice Requires="wps">
            <w:drawing>
              <wp:anchor distT="0" distB="0" distL="0" distR="0" simplePos="0" relativeHeight="251658326" behindDoc="0" locked="0" layoutInCell="1" allowOverlap="1" wp14:anchorId="7CD70135" wp14:editId="5F564AB5">
                <wp:simplePos x="0" y="0"/>
                <wp:positionH relativeFrom="page">
                  <wp:posOffset>7310655</wp:posOffset>
                </wp:positionH>
                <wp:positionV relativeFrom="paragraph">
                  <wp:posOffset>774201</wp:posOffset>
                </wp:positionV>
                <wp:extent cx="86995" cy="255904"/>
                <wp:effectExtent l="0" t="0" r="0" b="0"/>
                <wp:wrapNone/>
                <wp:docPr id="340" name="Textbox 34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86995" cy="255904"/>
                        </a:xfrm>
                        <a:prstGeom prst="rect">
                          <a:avLst/>
                        </a:prstGeom>
                      </wps:spPr>
                      <wps:txbx>
                        <w:txbxContent>
                          <w:p w14:paraId="6CA96448" w14:textId="77777777" w:rsidR="0014798C" w:rsidRDefault="004E1F0B">
                            <w:pPr>
                              <w:spacing w:before="23"/>
                              <w:ind w:left="20"/>
                              <w:rPr>
                                <w:sz w:val="8"/>
                              </w:rPr>
                            </w:pPr>
                            <w:r>
                              <w:rPr>
                                <w:color w:val="FFFFFF"/>
                                <w:spacing w:val="-19"/>
                                <w:w w:val="105"/>
                                <w:sz w:val="8"/>
                              </w:rPr>
                              <w:t>PCAURATRO</w:t>
                            </w:r>
                          </w:p>
                        </w:txbxContent>
                      </wps:txbx>
                      <wps:bodyPr vert="vert270" wrap="square" lIns="0" tIns="0" rIns="0" bIns="0" rtlCol="0">
                        <a:noAutofit/>
                      </wps:bodyPr>
                    </wps:wsp>
                  </a:graphicData>
                </a:graphic>
              </wp:anchor>
            </w:drawing>
          </mc:Choice>
          <mc:Fallback>
            <w:pict>
              <v:shape w14:anchorId="7CD70135" id="Textbox 340" o:spid="_x0000_s1165" type="#_x0000_t202" style="position:absolute;left:0;text-align:left;margin-left:575.65pt;margin-top:60.95pt;width:6.85pt;height:20.15pt;z-index:251658326;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" filled="f" stroked="f">
                <v:textbox style="layout-flow:vertical;mso-layout-flow-alt:bottom-to-top" inset="0,0,0,0">
                  <w:txbxContent>
                    <w:p w14:paraId="6CA96448" w14:textId="77777777" w:rsidR="0014798C" w:rsidRDefault="004E1F0B">
                      <w:pPr>
                        <w:spacing w:before="23"/>
                        <w:ind w:left="20"/>
                        <w:rPr>
                          <w:sz w:val="8"/>
                        </w:rPr>
                      </w:pPr>
                      <w:r>
                        <w:rPr>
                          <w:color w:val="FFFFFF"/>
                          <w:spacing w:val="-19"/>
                          <w:w w:val="105"/>
                          <w:sz w:val="8"/>
                        </w:rPr>
                        <w:t>PCAURATRO</w:t>
                      </w:r>
                    </w:p>
                  </w:txbxContent>
                </v:textbox>
                <w10:wrap anchorx="page"/>
              </v:shape>
            </w:pict>
          </mc:Fallback>
        </mc:AlternateContent>
      </w:r>
      <w:r>
        <w:rPr>
          <w:sz w:val="17"/>
        </w:rPr>
        <w:t xml:space="preserve">El señor </w:t>
      </w:r>
      <w:proofErr w:type="spellStart"/>
      <w:r>
        <w:rPr>
          <w:sz w:val="17"/>
        </w:rPr>
        <w:t>Belemvire</w:t>
      </w:r>
      <w:proofErr w:type="spellEnd"/>
      <w:r>
        <w:rPr>
          <w:sz w:val="17"/>
        </w:rPr>
        <w:t xml:space="preserve"> participó en la investigación y el proceso judicial primero como víctima y posteriormente como parte perjudicada reconocida. A través de su representante legal, intentó reiteradamente y en múltiples etapas del proceso que la fiscalía o los tribunales reclasificaran el hecho como uno de varios delitos que reconocerían explícitamente el carácter discriminatorio de la agresión. Argumentó ante los tribunales nacionales y ante la fiscalía que el derecho internacional exige que los actos de discriminación racial sean reconocidos como tales. Sostuvo que su derecho a un recurso efectivo contra la discriminación racial no se respetaría si la condena penal no reconociera explícitamente que la agresión que había sufrido había sido motivada por animadversión racial. Sostuvo además, citando el derecho regional e internacional, que los actos racistas violentos eran “particularmente odiosos” y que, por lo</w:t>
      </w:r>
      <w:r>
        <w:rPr>
          <w:spacing w:val="-3"/>
          <w:sz w:val="17"/>
        </w:rPr>
        <w:t xml:space="preserve"> </w:t>
      </w:r>
      <w:r>
        <w:rPr>
          <w:sz w:val="17"/>
        </w:rPr>
        <w:t>tanto,</w:t>
      </w:r>
      <w:r>
        <w:rPr>
          <w:spacing w:val="-2"/>
          <w:sz w:val="17"/>
        </w:rPr>
        <w:t xml:space="preserve"> </w:t>
      </w:r>
      <w:r>
        <w:rPr>
          <w:sz w:val="17"/>
        </w:rPr>
        <w:t>era</w:t>
      </w:r>
      <w:r>
        <w:rPr>
          <w:spacing w:val="-3"/>
          <w:sz w:val="17"/>
        </w:rPr>
        <w:t xml:space="preserve"> </w:t>
      </w:r>
      <w:r>
        <w:rPr>
          <w:sz w:val="17"/>
        </w:rPr>
        <w:t>particularmente</w:t>
      </w:r>
      <w:r>
        <w:rPr>
          <w:spacing w:val="-3"/>
          <w:sz w:val="17"/>
        </w:rPr>
        <w:t xml:space="preserve"> </w:t>
      </w:r>
      <w:r>
        <w:rPr>
          <w:sz w:val="17"/>
        </w:rPr>
        <w:t>importante</w:t>
      </w:r>
      <w:r>
        <w:rPr>
          <w:spacing w:val="-3"/>
          <w:sz w:val="17"/>
        </w:rPr>
        <w:t xml:space="preserve"> </w:t>
      </w:r>
      <w:r>
        <w:rPr>
          <w:sz w:val="17"/>
        </w:rPr>
        <w:t>para</w:t>
      </w:r>
      <w:r>
        <w:rPr>
          <w:spacing w:val="-3"/>
          <w:sz w:val="17"/>
        </w:rPr>
        <w:t xml:space="preserve"> </w:t>
      </w:r>
      <w:r>
        <w:rPr>
          <w:sz w:val="17"/>
        </w:rPr>
        <w:t>la</w:t>
      </w:r>
      <w:r>
        <w:rPr>
          <w:spacing w:val="-3"/>
          <w:sz w:val="17"/>
        </w:rPr>
        <w:t xml:space="preserve"> </w:t>
      </w:r>
      <w:r>
        <w:rPr>
          <w:sz w:val="17"/>
        </w:rPr>
        <w:t>sociedad</w:t>
      </w:r>
      <w:r>
        <w:rPr>
          <w:spacing w:val="-3"/>
          <w:sz w:val="17"/>
        </w:rPr>
        <w:t xml:space="preserve"> </w:t>
      </w:r>
      <w:r>
        <w:rPr>
          <w:sz w:val="17"/>
        </w:rPr>
        <w:t>que</w:t>
      </w:r>
      <w:r>
        <w:rPr>
          <w:spacing w:val="-3"/>
          <w:sz w:val="17"/>
        </w:rPr>
        <w:t xml:space="preserve"> </w:t>
      </w:r>
      <w:r>
        <w:rPr>
          <w:sz w:val="17"/>
        </w:rPr>
        <w:t>se</w:t>
      </w:r>
      <w:r>
        <w:rPr>
          <w:spacing w:val="-3"/>
          <w:sz w:val="17"/>
        </w:rPr>
        <w:t xml:space="preserve"> </w:t>
      </w:r>
      <w:r>
        <w:rPr>
          <w:sz w:val="17"/>
        </w:rPr>
        <w:t>reconociera</w:t>
      </w:r>
      <w:r>
        <w:rPr>
          <w:spacing w:val="-3"/>
          <w:sz w:val="17"/>
        </w:rPr>
        <w:t xml:space="preserve"> </w:t>
      </w:r>
      <w:r>
        <w:rPr>
          <w:sz w:val="17"/>
        </w:rPr>
        <w:t>explícitamente</w:t>
      </w:r>
      <w:r>
        <w:rPr>
          <w:spacing w:val="-3"/>
          <w:sz w:val="17"/>
        </w:rPr>
        <w:t xml:space="preserve"> </w:t>
      </w:r>
      <w:r>
        <w:rPr>
          <w:sz w:val="17"/>
        </w:rPr>
        <w:t>el</w:t>
      </w:r>
      <w:r>
        <w:rPr>
          <w:spacing w:val="-3"/>
          <w:sz w:val="17"/>
        </w:rPr>
        <w:t xml:space="preserve"> </w:t>
      </w:r>
      <w:r>
        <w:rPr>
          <w:sz w:val="17"/>
        </w:rPr>
        <w:t>carácter</w:t>
      </w:r>
      <w:r>
        <w:rPr>
          <w:spacing w:val="-3"/>
          <w:sz w:val="17"/>
        </w:rPr>
        <w:t xml:space="preserve"> </w:t>
      </w:r>
      <w:r>
        <w:rPr>
          <w:sz w:val="17"/>
        </w:rPr>
        <w:t>discriminatorio de</w:t>
      </w:r>
      <w:r>
        <w:rPr>
          <w:spacing w:val="-2"/>
          <w:sz w:val="17"/>
        </w:rPr>
        <w:t xml:space="preserve"> </w:t>
      </w:r>
      <w:r>
        <w:rPr>
          <w:sz w:val="17"/>
        </w:rPr>
        <w:t>la</w:t>
      </w:r>
      <w:r>
        <w:rPr>
          <w:spacing w:val="-2"/>
          <w:sz w:val="17"/>
        </w:rPr>
        <w:t xml:space="preserve"> </w:t>
      </w:r>
      <w:r>
        <w:rPr>
          <w:sz w:val="17"/>
        </w:rPr>
        <w:t>agresión</w:t>
      </w:r>
      <w:r>
        <w:rPr>
          <w:spacing w:val="-2"/>
          <w:sz w:val="17"/>
        </w:rPr>
        <w:t xml:space="preserve"> </w:t>
      </w:r>
      <w:r>
        <w:rPr>
          <w:sz w:val="17"/>
        </w:rPr>
        <w:t>que</w:t>
      </w:r>
      <w:r>
        <w:rPr>
          <w:spacing w:val="-2"/>
          <w:sz w:val="17"/>
        </w:rPr>
        <w:t xml:space="preserve"> </w:t>
      </w:r>
      <w:r>
        <w:rPr>
          <w:sz w:val="17"/>
        </w:rPr>
        <w:t>había</w:t>
      </w:r>
      <w:r>
        <w:rPr>
          <w:spacing w:val="-2"/>
          <w:sz w:val="17"/>
        </w:rPr>
        <w:t xml:space="preserve"> </w:t>
      </w:r>
      <w:r>
        <w:rPr>
          <w:sz w:val="17"/>
        </w:rPr>
        <w:t>sufrido.</w:t>
      </w:r>
      <w:r>
        <w:rPr>
          <w:spacing w:val="-1"/>
          <w:sz w:val="17"/>
        </w:rPr>
        <w:t xml:space="preserve"> </w:t>
      </w:r>
      <w:r>
        <w:rPr>
          <w:sz w:val="17"/>
        </w:rPr>
        <w:t>Estos</w:t>
      </w:r>
      <w:r>
        <w:rPr>
          <w:spacing w:val="-2"/>
          <w:sz w:val="17"/>
        </w:rPr>
        <w:t xml:space="preserve"> </w:t>
      </w:r>
      <w:r>
        <w:rPr>
          <w:sz w:val="17"/>
        </w:rPr>
        <w:t>argumentos</w:t>
      </w:r>
      <w:r>
        <w:rPr>
          <w:spacing w:val="-2"/>
          <w:sz w:val="17"/>
        </w:rPr>
        <w:t xml:space="preserve"> </w:t>
      </w:r>
      <w:r>
        <w:rPr>
          <w:sz w:val="17"/>
        </w:rPr>
        <w:t>fueron</w:t>
      </w:r>
      <w:r>
        <w:rPr>
          <w:spacing w:val="-2"/>
          <w:sz w:val="17"/>
        </w:rPr>
        <w:t xml:space="preserve"> </w:t>
      </w:r>
      <w:r>
        <w:rPr>
          <w:sz w:val="17"/>
        </w:rPr>
        <w:t>sistemáticamente</w:t>
      </w:r>
      <w:r>
        <w:rPr>
          <w:spacing w:val="-2"/>
          <w:sz w:val="17"/>
        </w:rPr>
        <w:t xml:space="preserve"> </w:t>
      </w:r>
      <w:r>
        <w:rPr>
          <w:sz w:val="17"/>
        </w:rPr>
        <w:t>ignorados</w:t>
      </w:r>
      <w:r>
        <w:rPr>
          <w:spacing w:val="-2"/>
          <w:sz w:val="17"/>
        </w:rPr>
        <w:t xml:space="preserve"> </w:t>
      </w:r>
      <w:r>
        <w:rPr>
          <w:sz w:val="17"/>
        </w:rPr>
        <w:t>por</w:t>
      </w:r>
      <w:r>
        <w:rPr>
          <w:spacing w:val="-2"/>
          <w:sz w:val="17"/>
        </w:rPr>
        <w:t xml:space="preserve"> </w:t>
      </w:r>
      <w:r>
        <w:rPr>
          <w:sz w:val="17"/>
        </w:rPr>
        <w:t>los</w:t>
      </w:r>
      <w:r>
        <w:rPr>
          <w:spacing w:val="-2"/>
          <w:sz w:val="17"/>
        </w:rPr>
        <w:t xml:space="preserve"> </w:t>
      </w:r>
      <w:r>
        <w:rPr>
          <w:sz w:val="17"/>
        </w:rPr>
        <w:t>tribunales</w:t>
      </w:r>
      <w:r>
        <w:rPr>
          <w:spacing w:val="-2"/>
          <w:sz w:val="17"/>
        </w:rPr>
        <w:t xml:space="preserve"> </w:t>
      </w:r>
      <w:r>
        <w:rPr>
          <w:sz w:val="17"/>
        </w:rPr>
        <w:t>y</w:t>
      </w:r>
      <w:r>
        <w:rPr>
          <w:spacing w:val="-2"/>
          <w:sz w:val="17"/>
        </w:rPr>
        <w:t xml:space="preserve"> </w:t>
      </w:r>
      <w:r>
        <w:rPr>
          <w:sz w:val="17"/>
        </w:rPr>
        <w:t>la</w:t>
      </w:r>
      <w:r>
        <w:rPr>
          <w:spacing w:val="-2"/>
          <w:sz w:val="17"/>
        </w:rPr>
        <w:t xml:space="preserve"> </w:t>
      </w:r>
      <w:r>
        <w:rPr>
          <w:sz w:val="17"/>
        </w:rPr>
        <w:t>fiscalía, por lo que la fiscalía continuó con el procedimiento previsto en el párrafo 1 del artículo 287.</w:t>
      </w:r>
    </w:p>
    <w:p w14:paraId="1434210A" w14:textId="77777777" w:rsidR="0014798C" w:rsidRDefault="0014798C">
      <w:pPr>
        <w:pStyle w:val="Textoindependiente"/>
        <w:spacing w:before="162"/>
        <w:rPr>
          <w:sz w:val="17"/>
        </w:rPr>
      </w:pPr>
    </w:p>
    <w:p w14:paraId="2EE44AB6" w14:textId="77777777" w:rsidR="0014798C" w:rsidRDefault="004E1F0B">
      <w:pPr>
        <w:spacing w:before="1" w:line="307" w:lineRule="auto"/>
        <w:ind w:left="1337" w:right="1463"/>
        <w:rPr>
          <w:sz w:val="17"/>
        </w:rPr>
      </w:pPr>
      <w:r>
        <w:rPr>
          <w:sz w:val="17"/>
        </w:rPr>
        <w:t>El</w:t>
      </w:r>
      <w:r>
        <w:rPr>
          <w:spacing w:val="-3"/>
          <w:sz w:val="17"/>
        </w:rPr>
        <w:t xml:space="preserve"> </w:t>
      </w:r>
      <w:r>
        <w:rPr>
          <w:sz w:val="17"/>
        </w:rPr>
        <w:t>22</w:t>
      </w:r>
      <w:r>
        <w:rPr>
          <w:spacing w:val="-3"/>
          <w:sz w:val="17"/>
        </w:rPr>
        <w:t xml:space="preserve"> </w:t>
      </w:r>
      <w:r>
        <w:rPr>
          <w:sz w:val="17"/>
        </w:rPr>
        <w:t>de</w:t>
      </w:r>
      <w:r>
        <w:rPr>
          <w:spacing w:val="-3"/>
          <w:sz w:val="17"/>
        </w:rPr>
        <w:t xml:space="preserve"> </w:t>
      </w:r>
      <w:r>
        <w:rPr>
          <w:sz w:val="17"/>
        </w:rPr>
        <w:t>octubre</w:t>
      </w:r>
      <w:r>
        <w:rPr>
          <w:spacing w:val="-3"/>
          <w:sz w:val="17"/>
        </w:rPr>
        <w:t xml:space="preserve"> </w:t>
      </w:r>
      <w:r>
        <w:rPr>
          <w:sz w:val="17"/>
        </w:rPr>
        <w:t>de</w:t>
      </w:r>
      <w:r>
        <w:rPr>
          <w:spacing w:val="-3"/>
          <w:sz w:val="17"/>
        </w:rPr>
        <w:t xml:space="preserve"> </w:t>
      </w:r>
      <w:r>
        <w:rPr>
          <w:sz w:val="17"/>
        </w:rPr>
        <w:t>2014,</w:t>
      </w:r>
      <w:r>
        <w:rPr>
          <w:spacing w:val="-2"/>
          <w:sz w:val="17"/>
        </w:rPr>
        <w:t xml:space="preserve"> </w:t>
      </w:r>
      <w:r>
        <w:rPr>
          <w:sz w:val="17"/>
        </w:rPr>
        <w:t>el</w:t>
      </w:r>
      <w:r>
        <w:rPr>
          <w:spacing w:val="-3"/>
          <w:sz w:val="17"/>
        </w:rPr>
        <w:t xml:space="preserve"> </w:t>
      </w:r>
      <w:r>
        <w:rPr>
          <w:sz w:val="17"/>
        </w:rPr>
        <w:t>Tribunal</w:t>
      </w:r>
      <w:r>
        <w:rPr>
          <w:spacing w:val="-3"/>
          <w:sz w:val="17"/>
        </w:rPr>
        <w:t xml:space="preserve"> </w:t>
      </w:r>
      <w:r>
        <w:rPr>
          <w:sz w:val="17"/>
        </w:rPr>
        <w:t>Supremo</w:t>
      </w:r>
      <w:r>
        <w:rPr>
          <w:spacing w:val="-3"/>
          <w:sz w:val="17"/>
        </w:rPr>
        <w:t xml:space="preserve"> </w:t>
      </w:r>
      <w:r>
        <w:rPr>
          <w:sz w:val="17"/>
        </w:rPr>
        <w:t>de</w:t>
      </w:r>
      <w:r>
        <w:rPr>
          <w:spacing w:val="-3"/>
          <w:sz w:val="17"/>
        </w:rPr>
        <w:t xml:space="preserve"> </w:t>
      </w:r>
      <w:r>
        <w:rPr>
          <w:sz w:val="17"/>
        </w:rPr>
        <w:t>Justicia</w:t>
      </w:r>
      <w:r>
        <w:rPr>
          <w:spacing w:val="-3"/>
          <w:sz w:val="17"/>
        </w:rPr>
        <w:t xml:space="preserve"> </w:t>
      </w:r>
      <w:r>
        <w:rPr>
          <w:sz w:val="17"/>
        </w:rPr>
        <w:t>de</w:t>
      </w:r>
      <w:r>
        <w:rPr>
          <w:spacing w:val="-3"/>
          <w:sz w:val="17"/>
        </w:rPr>
        <w:t xml:space="preserve"> </w:t>
      </w:r>
      <w:r>
        <w:rPr>
          <w:sz w:val="17"/>
        </w:rPr>
        <w:t>la</w:t>
      </w:r>
      <w:r>
        <w:rPr>
          <w:spacing w:val="-3"/>
          <w:sz w:val="17"/>
        </w:rPr>
        <w:t xml:space="preserve"> </w:t>
      </w:r>
      <w:r>
        <w:rPr>
          <w:sz w:val="17"/>
        </w:rPr>
        <w:t>República</w:t>
      </w:r>
      <w:r>
        <w:rPr>
          <w:spacing w:val="-3"/>
          <w:sz w:val="17"/>
        </w:rPr>
        <w:t xml:space="preserve"> </w:t>
      </w:r>
      <w:r>
        <w:rPr>
          <w:sz w:val="17"/>
        </w:rPr>
        <w:t>de</w:t>
      </w:r>
      <w:r>
        <w:rPr>
          <w:spacing w:val="-3"/>
          <w:sz w:val="17"/>
        </w:rPr>
        <w:t xml:space="preserve"> </w:t>
      </w:r>
      <w:r>
        <w:rPr>
          <w:sz w:val="17"/>
        </w:rPr>
        <w:t>Moldavia</w:t>
      </w:r>
      <w:r>
        <w:rPr>
          <w:spacing w:val="-3"/>
          <w:sz w:val="17"/>
        </w:rPr>
        <w:t xml:space="preserve"> </w:t>
      </w:r>
      <w:r>
        <w:rPr>
          <w:sz w:val="17"/>
        </w:rPr>
        <w:t>dictó</w:t>
      </w:r>
      <w:r>
        <w:rPr>
          <w:spacing w:val="-3"/>
          <w:sz w:val="17"/>
        </w:rPr>
        <w:t xml:space="preserve"> </w:t>
      </w:r>
      <w:r>
        <w:rPr>
          <w:sz w:val="17"/>
        </w:rPr>
        <w:t>la</w:t>
      </w:r>
      <w:r>
        <w:rPr>
          <w:spacing w:val="-3"/>
          <w:sz w:val="17"/>
        </w:rPr>
        <w:t xml:space="preserve"> </w:t>
      </w:r>
      <w:r>
        <w:rPr>
          <w:sz w:val="17"/>
        </w:rPr>
        <w:t>sentencia</w:t>
      </w:r>
      <w:r>
        <w:rPr>
          <w:spacing w:val="-3"/>
          <w:sz w:val="17"/>
        </w:rPr>
        <w:t xml:space="preserve"> </w:t>
      </w:r>
      <w:r>
        <w:rPr>
          <w:sz w:val="17"/>
        </w:rPr>
        <w:t>interna definitiva confirmando la condena de SI por parte del tribunal inferior y su sentencia de 18 meses de prisión.</w:t>
      </w:r>
    </w:p>
    <w:p w14:paraId="0712E5F0" w14:textId="77777777" w:rsidR="0014798C" w:rsidRDefault="0014798C">
      <w:pPr>
        <w:pStyle w:val="Textoindependiente"/>
        <w:spacing w:before="166"/>
        <w:rPr>
          <w:sz w:val="17"/>
        </w:rPr>
      </w:pPr>
    </w:p>
    <w:p w14:paraId="7B0BD60A" w14:textId="77777777" w:rsidR="0014798C" w:rsidRDefault="004E1F0B">
      <w:pPr>
        <w:spacing w:line="307" w:lineRule="auto"/>
        <w:ind w:left="1332" w:right="1626"/>
        <w:rPr>
          <w:sz w:val="17"/>
        </w:rPr>
      </w:pPr>
      <w:r>
        <w:rPr>
          <w:sz w:val="17"/>
        </w:rPr>
        <w:t xml:space="preserve">A continuación, el Sr. </w:t>
      </w:r>
      <w:proofErr w:type="spellStart"/>
      <w:r>
        <w:rPr>
          <w:sz w:val="17"/>
        </w:rPr>
        <w:t>Belemvire</w:t>
      </w:r>
      <w:proofErr w:type="spellEnd"/>
      <w:r>
        <w:rPr>
          <w:sz w:val="17"/>
        </w:rPr>
        <w:t xml:space="preserve"> presentó una queja ante el Comité para la Eliminación de la Discriminación Racial, en</w:t>
      </w:r>
      <w:r>
        <w:rPr>
          <w:spacing w:val="-3"/>
          <w:sz w:val="17"/>
        </w:rPr>
        <w:t xml:space="preserve"> </w:t>
      </w:r>
      <w:r>
        <w:rPr>
          <w:sz w:val="17"/>
        </w:rPr>
        <w:t>la</w:t>
      </w:r>
      <w:r>
        <w:rPr>
          <w:spacing w:val="-3"/>
          <w:sz w:val="17"/>
        </w:rPr>
        <w:t xml:space="preserve"> </w:t>
      </w:r>
      <w:r>
        <w:rPr>
          <w:sz w:val="17"/>
        </w:rPr>
        <w:t>que</w:t>
      </w:r>
      <w:r>
        <w:rPr>
          <w:spacing w:val="-3"/>
          <w:sz w:val="17"/>
        </w:rPr>
        <w:t xml:space="preserve"> </w:t>
      </w:r>
      <w:r>
        <w:rPr>
          <w:sz w:val="17"/>
        </w:rPr>
        <w:t>afirmaba</w:t>
      </w:r>
      <w:r>
        <w:rPr>
          <w:spacing w:val="-3"/>
          <w:sz w:val="17"/>
        </w:rPr>
        <w:t xml:space="preserve"> </w:t>
      </w:r>
      <w:r>
        <w:rPr>
          <w:sz w:val="17"/>
        </w:rPr>
        <w:t>que</w:t>
      </w:r>
      <w:r>
        <w:rPr>
          <w:spacing w:val="-3"/>
          <w:sz w:val="17"/>
        </w:rPr>
        <w:t xml:space="preserve"> </w:t>
      </w:r>
      <w:r>
        <w:rPr>
          <w:sz w:val="17"/>
        </w:rPr>
        <w:t>las</w:t>
      </w:r>
      <w:r>
        <w:rPr>
          <w:spacing w:val="-3"/>
          <w:sz w:val="17"/>
        </w:rPr>
        <w:t xml:space="preserve"> </w:t>
      </w:r>
      <w:r>
        <w:rPr>
          <w:sz w:val="17"/>
        </w:rPr>
        <w:t>autoridades</w:t>
      </w:r>
      <w:r>
        <w:rPr>
          <w:spacing w:val="-3"/>
          <w:sz w:val="17"/>
        </w:rPr>
        <w:t xml:space="preserve"> </w:t>
      </w:r>
      <w:r>
        <w:rPr>
          <w:sz w:val="17"/>
        </w:rPr>
        <w:t>moldavas</w:t>
      </w:r>
      <w:r>
        <w:rPr>
          <w:spacing w:val="-3"/>
          <w:sz w:val="17"/>
        </w:rPr>
        <w:t xml:space="preserve"> </w:t>
      </w:r>
      <w:r>
        <w:rPr>
          <w:sz w:val="17"/>
        </w:rPr>
        <w:t>habían</w:t>
      </w:r>
      <w:r>
        <w:rPr>
          <w:spacing w:val="-3"/>
          <w:sz w:val="17"/>
        </w:rPr>
        <w:t xml:space="preserve"> </w:t>
      </w:r>
      <w:r>
        <w:rPr>
          <w:sz w:val="17"/>
        </w:rPr>
        <w:t>violado</w:t>
      </w:r>
      <w:r>
        <w:rPr>
          <w:spacing w:val="-3"/>
          <w:sz w:val="17"/>
        </w:rPr>
        <w:t xml:space="preserve"> </w:t>
      </w:r>
      <w:r>
        <w:rPr>
          <w:sz w:val="17"/>
        </w:rPr>
        <w:t>varios</w:t>
      </w:r>
      <w:r>
        <w:rPr>
          <w:spacing w:val="-3"/>
          <w:sz w:val="17"/>
        </w:rPr>
        <w:t xml:space="preserve"> </w:t>
      </w:r>
      <w:r>
        <w:rPr>
          <w:sz w:val="17"/>
        </w:rPr>
        <w:t>de</w:t>
      </w:r>
      <w:r>
        <w:rPr>
          <w:spacing w:val="-3"/>
          <w:sz w:val="17"/>
        </w:rPr>
        <w:t xml:space="preserve"> </w:t>
      </w:r>
      <w:r>
        <w:rPr>
          <w:sz w:val="17"/>
        </w:rPr>
        <w:t>sus</w:t>
      </w:r>
      <w:r>
        <w:rPr>
          <w:spacing w:val="-3"/>
          <w:sz w:val="17"/>
        </w:rPr>
        <w:t xml:space="preserve"> </w:t>
      </w:r>
      <w:r>
        <w:rPr>
          <w:sz w:val="17"/>
        </w:rPr>
        <w:t>derechos</w:t>
      </w:r>
      <w:r>
        <w:rPr>
          <w:spacing w:val="-3"/>
          <w:sz w:val="17"/>
        </w:rPr>
        <w:t xml:space="preserve"> </w:t>
      </w:r>
      <w:r>
        <w:rPr>
          <w:sz w:val="17"/>
        </w:rPr>
        <w:t>en</w:t>
      </w:r>
      <w:r>
        <w:rPr>
          <w:spacing w:val="-3"/>
          <w:sz w:val="17"/>
        </w:rPr>
        <w:t xml:space="preserve"> </w:t>
      </w:r>
      <w:r>
        <w:rPr>
          <w:sz w:val="17"/>
        </w:rPr>
        <w:t>virtud</w:t>
      </w:r>
      <w:r>
        <w:rPr>
          <w:spacing w:val="-3"/>
          <w:sz w:val="17"/>
        </w:rPr>
        <w:t xml:space="preserve"> </w:t>
      </w:r>
      <w:r>
        <w:rPr>
          <w:sz w:val="17"/>
        </w:rPr>
        <w:t>de</w:t>
      </w:r>
      <w:r>
        <w:rPr>
          <w:spacing w:val="-3"/>
          <w:sz w:val="17"/>
        </w:rPr>
        <w:t xml:space="preserve"> </w:t>
      </w:r>
      <w:r>
        <w:rPr>
          <w:sz w:val="17"/>
        </w:rPr>
        <w:t>la</w:t>
      </w:r>
      <w:r>
        <w:rPr>
          <w:spacing w:val="-3"/>
          <w:sz w:val="17"/>
        </w:rPr>
        <w:t xml:space="preserve"> </w:t>
      </w:r>
      <w:r>
        <w:rPr>
          <w:sz w:val="17"/>
        </w:rPr>
        <w:t>Convención Internacional sobre la Eliminación de todas las Formas de Discriminación Racial, al negarse a clasificar el delito de manera que se reconociera su carácter discriminatorio.</w:t>
      </w:r>
    </w:p>
    <w:p w14:paraId="101F4422" w14:textId="77777777" w:rsidR="0014798C" w:rsidRDefault="004E1F0B">
      <w:pPr>
        <w:spacing w:before="112" w:line="307" w:lineRule="auto"/>
        <w:ind w:left="1334" w:right="1380"/>
        <w:rPr>
          <w:sz w:val="17"/>
        </w:rPr>
      </w:pPr>
      <w:r>
        <w:rPr>
          <w:sz w:val="17"/>
        </w:rPr>
        <w:t>Al pronunciarse sobre el caso, el Comité para la Eliminación de la Discriminación Racial sostuvo que se había violado el</w:t>
      </w:r>
      <w:r>
        <w:rPr>
          <w:spacing w:val="-3"/>
          <w:sz w:val="17"/>
        </w:rPr>
        <w:t xml:space="preserve"> </w:t>
      </w:r>
      <w:r>
        <w:rPr>
          <w:sz w:val="17"/>
        </w:rPr>
        <w:t>artículo</w:t>
      </w:r>
      <w:r>
        <w:rPr>
          <w:spacing w:val="-3"/>
          <w:sz w:val="17"/>
        </w:rPr>
        <w:t xml:space="preserve"> </w:t>
      </w:r>
      <w:r>
        <w:rPr>
          <w:sz w:val="17"/>
        </w:rPr>
        <w:t>6</w:t>
      </w:r>
      <w:r>
        <w:rPr>
          <w:spacing w:val="-3"/>
          <w:sz w:val="17"/>
        </w:rPr>
        <w:t xml:space="preserve"> </w:t>
      </w:r>
      <w:r>
        <w:rPr>
          <w:sz w:val="17"/>
        </w:rPr>
        <w:t>de</w:t>
      </w:r>
      <w:r>
        <w:rPr>
          <w:spacing w:val="-3"/>
          <w:sz w:val="17"/>
        </w:rPr>
        <w:t xml:space="preserve"> </w:t>
      </w:r>
      <w:r>
        <w:rPr>
          <w:sz w:val="17"/>
        </w:rPr>
        <w:t>la</w:t>
      </w:r>
      <w:r>
        <w:rPr>
          <w:spacing w:val="-3"/>
          <w:sz w:val="17"/>
        </w:rPr>
        <w:t xml:space="preserve"> </w:t>
      </w:r>
      <w:r>
        <w:rPr>
          <w:sz w:val="17"/>
        </w:rPr>
        <w:t>Convención</w:t>
      </w:r>
      <w:r>
        <w:rPr>
          <w:spacing w:val="-3"/>
          <w:sz w:val="17"/>
        </w:rPr>
        <w:t xml:space="preserve"> </w:t>
      </w:r>
      <w:r>
        <w:rPr>
          <w:sz w:val="17"/>
        </w:rPr>
        <w:t>pertinente</w:t>
      </w:r>
      <w:r>
        <w:rPr>
          <w:spacing w:val="-3"/>
          <w:sz w:val="17"/>
        </w:rPr>
        <w:t xml:space="preserve"> </w:t>
      </w:r>
      <w:r>
        <w:rPr>
          <w:sz w:val="17"/>
        </w:rPr>
        <w:t>sobre</w:t>
      </w:r>
      <w:r>
        <w:rPr>
          <w:spacing w:val="-3"/>
          <w:sz w:val="17"/>
        </w:rPr>
        <w:t xml:space="preserve"> </w:t>
      </w:r>
      <w:r>
        <w:rPr>
          <w:sz w:val="17"/>
        </w:rPr>
        <w:t>el</w:t>
      </w:r>
      <w:r>
        <w:rPr>
          <w:spacing w:val="-3"/>
          <w:sz w:val="17"/>
        </w:rPr>
        <w:t xml:space="preserve"> </w:t>
      </w:r>
      <w:r>
        <w:rPr>
          <w:sz w:val="17"/>
        </w:rPr>
        <w:t>derecho</w:t>
      </w:r>
      <w:r>
        <w:rPr>
          <w:spacing w:val="-3"/>
          <w:sz w:val="17"/>
        </w:rPr>
        <w:t xml:space="preserve"> </w:t>
      </w:r>
      <w:r>
        <w:rPr>
          <w:sz w:val="17"/>
        </w:rPr>
        <w:t>a</w:t>
      </w:r>
      <w:r>
        <w:rPr>
          <w:spacing w:val="-3"/>
          <w:sz w:val="17"/>
        </w:rPr>
        <w:t xml:space="preserve"> </w:t>
      </w:r>
      <w:r>
        <w:rPr>
          <w:sz w:val="17"/>
        </w:rPr>
        <w:t>un</w:t>
      </w:r>
      <w:r>
        <w:rPr>
          <w:spacing w:val="-3"/>
          <w:sz w:val="17"/>
        </w:rPr>
        <w:t xml:space="preserve"> </w:t>
      </w:r>
      <w:r>
        <w:rPr>
          <w:sz w:val="17"/>
        </w:rPr>
        <w:t>recurso</w:t>
      </w:r>
      <w:r>
        <w:rPr>
          <w:spacing w:val="-3"/>
          <w:sz w:val="17"/>
        </w:rPr>
        <w:t xml:space="preserve"> </w:t>
      </w:r>
      <w:r>
        <w:rPr>
          <w:sz w:val="17"/>
        </w:rPr>
        <w:t>efectivo.</w:t>
      </w:r>
      <w:r>
        <w:rPr>
          <w:spacing w:val="-2"/>
          <w:sz w:val="17"/>
        </w:rPr>
        <w:t xml:space="preserve"> </w:t>
      </w:r>
      <w:r>
        <w:rPr>
          <w:sz w:val="17"/>
        </w:rPr>
        <w:t>El</w:t>
      </w:r>
      <w:r>
        <w:rPr>
          <w:spacing w:val="-3"/>
          <w:sz w:val="17"/>
        </w:rPr>
        <w:t xml:space="preserve"> </w:t>
      </w:r>
      <w:r>
        <w:rPr>
          <w:sz w:val="17"/>
        </w:rPr>
        <w:t>Comité</w:t>
      </w:r>
      <w:r>
        <w:rPr>
          <w:spacing w:val="-3"/>
          <w:sz w:val="17"/>
        </w:rPr>
        <w:t xml:space="preserve"> </w:t>
      </w:r>
      <w:r>
        <w:rPr>
          <w:sz w:val="17"/>
        </w:rPr>
        <w:t>sostuvo</w:t>
      </w:r>
      <w:r>
        <w:rPr>
          <w:spacing w:val="-3"/>
          <w:sz w:val="17"/>
        </w:rPr>
        <w:t xml:space="preserve"> </w:t>
      </w:r>
      <w:r>
        <w:rPr>
          <w:sz w:val="17"/>
        </w:rPr>
        <w:t>que</w:t>
      </w:r>
      <w:r>
        <w:rPr>
          <w:spacing w:val="-3"/>
          <w:sz w:val="17"/>
        </w:rPr>
        <w:t xml:space="preserve"> </w:t>
      </w:r>
      <w:r>
        <w:rPr>
          <w:sz w:val="17"/>
        </w:rPr>
        <w:t>la</w:t>
      </w:r>
      <w:r>
        <w:rPr>
          <w:spacing w:val="-3"/>
          <w:sz w:val="17"/>
        </w:rPr>
        <w:t xml:space="preserve"> </w:t>
      </w:r>
      <w:r>
        <w:rPr>
          <w:sz w:val="17"/>
        </w:rPr>
        <w:t>investigación del crimen llevada a cabo por el Estado parte estaba incompleta sin considerar el motivo discriminatorio del acusado: “El Estado parte debería haber incluido ese aspecto del crimen,</w:t>
      </w:r>
    </w:p>
    <w:p w14:paraId="1A8581A1" w14:textId="77777777" w:rsidR="0014798C" w:rsidRDefault="0014798C">
      <w:pPr>
        <w:pStyle w:val="Textoindependiente"/>
        <w:rPr>
          <w:sz w:val="13"/>
        </w:rPr>
      </w:pPr>
    </w:p>
    <w:p w14:paraId="0ECAB696" w14:textId="77777777" w:rsidR="0014798C" w:rsidRDefault="0014798C">
      <w:pPr>
        <w:pStyle w:val="Textoindependiente"/>
        <w:rPr>
          <w:sz w:val="13"/>
        </w:rPr>
      </w:pPr>
    </w:p>
    <w:p w14:paraId="11CB5BB5" w14:textId="77777777" w:rsidR="0014798C" w:rsidRDefault="0014798C">
      <w:pPr>
        <w:pStyle w:val="Textoindependiente"/>
        <w:spacing w:before="128"/>
        <w:rPr>
          <w:sz w:val="13"/>
        </w:rPr>
      </w:pPr>
    </w:p>
    <w:p w14:paraId="4189DF9B" w14:textId="77777777" w:rsidR="0014798C" w:rsidRDefault="004E1F0B">
      <w:pPr>
        <w:ind w:left="1111"/>
        <w:rPr>
          <w:sz w:val="13"/>
        </w:rPr>
      </w:pPr>
      <w:r>
        <w:rPr>
          <w:position w:val="4"/>
          <w:sz w:val="8"/>
        </w:rPr>
        <w:t>1120</w:t>
      </w:r>
      <w:r>
        <w:rPr>
          <w:spacing w:val="45"/>
          <w:position w:val="4"/>
          <w:sz w:val="8"/>
        </w:rPr>
        <w:t xml:space="preserve"> </w:t>
      </w:r>
      <w:r>
        <w:rPr>
          <w:sz w:val="13"/>
        </w:rPr>
        <w:t>Véase, por</w:t>
      </w:r>
      <w:r>
        <w:rPr>
          <w:spacing w:val="-1"/>
          <w:sz w:val="13"/>
        </w:rPr>
        <w:t xml:space="preserve"> </w:t>
      </w:r>
      <w:r>
        <w:rPr>
          <w:sz w:val="13"/>
        </w:rPr>
        <w:t>ejemplo,</w:t>
      </w:r>
      <w:r>
        <w:rPr>
          <w:spacing w:val="-1"/>
          <w:sz w:val="13"/>
        </w:rPr>
        <w:t xml:space="preserve"> </w:t>
      </w:r>
      <w:r>
        <w:rPr>
          <w:sz w:val="13"/>
        </w:rPr>
        <w:t>Comité</w:t>
      </w:r>
      <w:r>
        <w:rPr>
          <w:spacing w:val="-1"/>
          <w:sz w:val="13"/>
        </w:rPr>
        <w:t xml:space="preserve"> </w:t>
      </w:r>
      <w:r>
        <w:rPr>
          <w:sz w:val="13"/>
        </w:rPr>
        <w:t>para la</w:t>
      </w:r>
      <w:r>
        <w:rPr>
          <w:spacing w:val="-1"/>
          <w:sz w:val="13"/>
        </w:rPr>
        <w:t xml:space="preserve"> </w:t>
      </w:r>
      <w:r>
        <w:rPr>
          <w:sz w:val="13"/>
        </w:rPr>
        <w:t>Eliminación</w:t>
      </w:r>
      <w:r>
        <w:rPr>
          <w:spacing w:val="-1"/>
          <w:sz w:val="13"/>
        </w:rPr>
        <w:t xml:space="preserve"> </w:t>
      </w:r>
      <w:r>
        <w:rPr>
          <w:sz w:val="13"/>
        </w:rPr>
        <w:t>de la</w:t>
      </w:r>
      <w:r>
        <w:rPr>
          <w:spacing w:val="-1"/>
          <w:sz w:val="13"/>
        </w:rPr>
        <w:t xml:space="preserve"> </w:t>
      </w:r>
      <w:r>
        <w:rPr>
          <w:sz w:val="13"/>
        </w:rPr>
        <w:t>Discriminación</w:t>
      </w:r>
      <w:r>
        <w:rPr>
          <w:spacing w:val="-1"/>
          <w:sz w:val="13"/>
        </w:rPr>
        <w:t xml:space="preserve"> </w:t>
      </w:r>
      <w:r>
        <w:rPr>
          <w:sz w:val="13"/>
        </w:rPr>
        <w:t>contra la</w:t>
      </w:r>
      <w:r>
        <w:rPr>
          <w:spacing w:val="-1"/>
          <w:sz w:val="13"/>
        </w:rPr>
        <w:t xml:space="preserve"> </w:t>
      </w:r>
      <w:r>
        <w:rPr>
          <w:sz w:val="13"/>
        </w:rPr>
        <w:t>Mujer,</w:t>
      </w:r>
      <w:r>
        <w:rPr>
          <w:spacing w:val="-1"/>
          <w:sz w:val="13"/>
        </w:rPr>
        <w:t xml:space="preserve"> </w:t>
      </w:r>
      <w:r>
        <w:rPr>
          <w:sz w:val="13"/>
        </w:rPr>
        <w:t>recomendación general</w:t>
      </w:r>
      <w:r>
        <w:rPr>
          <w:spacing w:val="-1"/>
          <w:sz w:val="13"/>
        </w:rPr>
        <w:t xml:space="preserve"> </w:t>
      </w:r>
      <w:r>
        <w:rPr>
          <w:sz w:val="13"/>
        </w:rPr>
        <w:t>núm.</w:t>
      </w:r>
      <w:r>
        <w:rPr>
          <w:spacing w:val="-1"/>
          <w:sz w:val="13"/>
        </w:rPr>
        <w:t xml:space="preserve"> </w:t>
      </w:r>
      <w:r>
        <w:rPr>
          <w:sz w:val="13"/>
        </w:rPr>
        <w:t>35 (2017),</w:t>
      </w:r>
      <w:r>
        <w:rPr>
          <w:spacing w:val="-1"/>
          <w:sz w:val="13"/>
        </w:rPr>
        <w:t xml:space="preserve"> </w:t>
      </w:r>
      <w:r>
        <w:rPr>
          <w:sz w:val="13"/>
        </w:rPr>
        <w:t>párr.</w:t>
      </w:r>
      <w:r>
        <w:rPr>
          <w:spacing w:val="-1"/>
          <w:sz w:val="13"/>
        </w:rPr>
        <w:t xml:space="preserve"> </w:t>
      </w:r>
      <w:r>
        <w:rPr>
          <w:spacing w:val="-2"/>
          <w:sz w:val="13"/>
        </w:rPr>
        <w:t>dieciséis.</w:t>
      </w:r>
    </w:p>
    <w:p w14:paraId="615427A1" w14:textId="77777777" w:rsidR="0014798C" w:rsidRDefault="004E1F0B">
      <w:pPr>
        <w:spacing w:before="87" w:line="288" w:lineRule="auto"/>
        <w:ind w:left="1366" w:right="1272" w:hanging="256"/>
        <w:rPr>
          <w:sz w:val="13"/>
        </w:rPr>
      </w:pPr>
      <w:r>
        <w:rPr>
          <w:sz w:val="13"/>
        </w:rPr>
        <w:t xml:space="preserve">1121 Para un análisis más detallado sobre este punto, véase </w:t>
      </w:r>
      <w:proofErr w:type="spellStart"/>
      <w:r>
        <w:rPr>
          <w:sz w:val="13"/>
        </w:rPr>
        <w:t>Equal</w:t>
      </w:r>
      <w:proofErr w:type="spellEnd"/>
      <w:r>
        <w:rPr>
          <w:sz w:val="13"/>
        </w:rPr>
        <w:t xml:space="preserve"> </w:t>
      </w:r>
      <w:proofErr w:type="spellStart"/>
      <w:r>
        <w:rPr>
          <w:sz w:val="13"/>
        </w:rPr>
        <w:t>Rights</w:t>
      </w:r>
      <w:proofErr w:type="spellEnd"/>
      <w:r>
        <w:rPr>
          <w:sz w:val="13"/>
        </w:rPr>
        <w:t xml:space="preserve"> Trust, </w:t>
      </w:r>
      <w:proofErr w:type="spellStart"/>
      <w:r>
        <w:rPr>
          <w:sz w:val="13"/>
        </w:rPr>
        <w:t>Shouting</w:t>
      </w:r>
      <w:proofErr w:type="spellEnd"/>
      <w:r>
        <w:rPr>
          <w:sz w:val="13"/>
        </w:rPr>
        <w:t xml:space="preserve"> </w:t>
      </w:r>
      <w:proofErr w:type="spellStart"/>
      <w:r>
        <w:rPr>
          <w:sz w:val="13"/>
        </w:rPr>
        <w:t>Through</w:t>
      </w:r>
      <w:proofErr w:type="spellEnd"/>
      <w:r>
        <w:rPr>
          <w:sz w:val="13"/>
        </w:rPr>
        <w:t xml:space="preserve"> </w:t>
      </w:r>
      <w:proofErr w:type="spellStart"/>
      <w:r>
        <w:rPr>
          <w:sz w:val="13"/>
        </w:rPr>
        <w:t>the</w:t>
      </w:r>
      <w:proofErr w:type="spellEnd"/>
      <w:r>
        <w:rPr>
          <w:sz w:val="13"/>
        </w:rPr>
        <w:t xml:space="preserve"> </w:t>
      </w:r>
      <w:proofErr w:type="spellStart"/>
      <w:r>
        <w:rPr>
          <w:sz w:val="13"/>
        </w:rPr>
        <w:t>Walls</w:t>
      </w:r>
      <w:proofErr w:type="spellEnd"/>
      <w:r>
        <w:rPr>
          <w:sz w:val="13"/>
        </w:rPr>
        <w:t xml:space="preserve">: </w:t>
      </w:r>
      <w:proofErr w:type="spellStart"/>
      <w:r>
        <w:rPr>
          <w:sz w:val="13"/>
        </w:rPr>
        <w:t>Discriminatory</w:t>
      </w:r>
      <w:proofErr w:type="spellEnd"/>
      <w:r>
        <w:rPr>
          <w:sz w:val="13"/>
        </w:rPr>
        <w:t xml:space="preserve"> Torture and </w:t>
      </w:r>
      <w:proofErr w:type="spellStart"/>
      <w:r>
        <w:rPr>
          <w:sz w:val="13"/>
        </w:rPr>
        <w:t>Ill-Treatment</w:t>
      </w:r>
      <w:proofErr w:type="spellEnd"/>
      <w:r>
        <w:rPr>
          <w:sz w:val="13"/>
        </w:rPr>
        <w:t xml:space="preserve"> – Case</w:t>
      </w:r>
      <w:r>
        <w:rPr>
          <w:spacing w:val="40"/>
          <w:sz w:val="13"/>
        </w:rPr>
        <w:t xml:space="preserve"> </w:t>
      </w:r>
      <w:r>
        <w:rPr>
          <w:sz w:val="13"/>
        </w:rPr>
        <w:t>Estudios de Jordania (Londres, 2017), págs. 9-27.</w:t>
      </w:r>
    </w:p>
    <w:p w14:paraId="74814206" w14:textId="77777777" w:rsidR="0014798C" w:rsidRDefault="004E1F0B">
      <w:pPr>
        <w:spacing w:before="58"/>
        <w:ind w:left="1111"/>
        <w:rPr>
          <w:sz w:val="13"/>
        </w:rPr>
      </w:pPr>
      <w:r>
        <w:rPr>
          <w:sz w:val="13"/>
        </w:rPr>
        <w:t>1122</w:t>
      </w:r>
      <w:r>
        <w:rPr>
          <w:spacing w:val="-2"/>
          <w:sz w:val="13"/>
        </w:rPr>
        <w:t xml:space="preserve"> </w:t>
      </w:r>
      <w:r>
        <w:rPr>
          <w:sz w:val="13"/>
        </w:rPr>
        <w:t>Comité</w:t>
      </w:r>
      <w:r>
        <w:rPr>
          <w:spacing w:val="-1"/>
          <w:sz w:val="13"/>
        </w:rPr>
        <w:t xml:space="preserve"> </w:t>
      </w:r>
      <w:r>
        <w:rPr>
          <w:sz w:val="13"/>
        </w:rPr>
        <w:t>contra</w:t>
      </w:r>
      <w:r>
        <w:rPr>
          <w:spacing w:val="-1"/>
          <w:sz w:val="13"/>
        </w:rPr>
        <w:t xml:space="preserve"> </w:t>
      </w:r>
      <w:r>
        <w:rPr>
          <w:sz w:val="13"/>
        </w:rPr>
        <w:t>la</w:t>
      </w:r>
      <w:r>
        <w:rPr>
          <w:spacing w:val="-2"/>
          <w:sz w:val="13"/>
        </w:rPr>
        <w:t xml:space="preserve"> </w:t>
      </w:r>
      <w:r>
        <w:rPr>
          <w:sz w:val="13"/>
        </w:rPr>
        <w:t>Tortura,</w:t>
      </w:r>
      <w:r>
        <w:rPr>
          <w:spacing w:val="-1"/>
          <w:sz w:val="13"/>
        </w:rPr>
        <w:t xml:space="preserve"> </w:t>
      </w:r>
      <w:r>
        <w:rPr>
          <w:sz w:val="13"/>
        </w:rPr>
        <w:t>Calfunao</w:t>
      </w:r>
      <w:r>
        <w:rPr>
          <w:spacing w:val="-1"/>
          <w:sz w:val="13"/>
        </w:rPr>
        <w:t xml:space="preserve"> </w:t>
      </w:r>
      <w:r>
        <w:rPr>
          <w:sz w:val="13"/>
        </w:rPr>
        <w:t>Paillalef</w:t>
      </w:r>
      <w:r>
        <w:rPr>
          <w:spacing w:val="-1"/>
          <w:sz w:val="13"/>
        </w:rPr>
        <w:t xml:space="preserve"> </w:t>
      </w:r>
      <w:r>
        <w:rPr>
          <w:sz w:val="13"/>
        </w:rPr>
        <w:t>c.</w:t>
      </w:r>
      <w:r>
        <w:rPr>
          <w:spacing w:val="-2"/>
          <w:sz w:val="13"/>
        </w:rPr>
        <w:t xml:space="preserve"> </w:t>
      </w:r>
      <w:r>
        <w:rPr>
          <w:sz w:val="13"/>
        </w:rPr>
        <w:t>Suiza</w:t>
      </w:r>
      <w:r>
        <w:rPr>
          <w:spacing w:val="-1"/>
          <w:sz w:val="13"/>
        </w:rPr>
        <w:t xml:space="preserve"> </w:t>
      </w:r>
      <w:r>
        <w:rPr>
          <w:sz w:val="13"/>
        </w:rPr>
        <w:t xml:space="preserve">(CAT/C/68/D/882/2018), </w:t>
      </w:r>
      <w:proofErr w:type="spellStart"/>
      <w:r>
        <w:rPr>
          <w:sz w:val="13"/>
        </w:rPr>
        <w:t>párrs</w:t>
      </w:r>
      <w:proofErr w:type="spellEnd"/>
      <w:r>
        <w:rPr>
          <w:sz w:val="13"/>
        </w:rPr>
        <w:t>.</w:t>
      </w:r>
      <w:r>
        <w:rPr>
          <w:spacing w:val="-1"/>
          <w:sz w:val="13"/>
        </w:rPr>
        <w:t xml:space="preserve"> </w:t>
      </w:r>
      <w:r>
        <w:rPr>
          <w:sz w:val="13"/>
        </w:rPr>
        <w:t>8.3–8.4</w:t>
      </w:r>
      <w:r>
        <w:rPr>
          <w:spacing w:val="-2"/>
          <w:sz w:val="13"/>
        </w:rPr>
        <w:t xml:space="preserve"> </w:t>
      </w:r>
      <w:r>
        <w:rPr>
          <w:sz w:val="13"/>
        </w:rPr>
        <w:t>y</w:t>
      </w:r>
      <w:r>
        <w:rPr>
          <w:spacing w:val="-1"/>
          <w:sz w:val="13"/>
        </w:rPr>
        <w:t xml:space="preserve"> </w:t>
      </w:r>
      <w:r>
        <w:rPr>
          <w:spacing w:val="-2"/>
          <w:sz w:val="13"/>
        </w:rPr>
        <w:t>8.10.</w:t>
      </w:r>
    </w:p>
    <w:p w14:paraId="1DCEC7A8" w14:textId="77777777" w:rsidR="0014798C" w:rsidRDefault="004E1F0B">
      <w:pPr>
        <w:spacing w:before="87"/>
        <w:ind w:left="1111"/>
        <w:rPr>
          <w:sz w:val="13"/>
        </w:rPr>
      </w:pPr>
      <w:r>
        <w:rPr>
          <w:position w:val="4"/>
          <w:sz w:val="8"/>
        </w:rPr>
        <w:t>1123</w:t>
      </w:r>
      <w:r>
        <w:rPr>
          <w:spacing w:val="44"/>
          <w:position w:val="4"/>
          <w:sz w:val="8"/>
        </w:rPr>
        <w:t xml:space="preserve"> </w:t>
      </w:r>
      <w:r>
        <w:rPr>
          <w:sz w:val="13"/>
        </w:rPr>
        <w:t>Tribunal</w:t>
      </w:r>
      <w:r>
        <w:rPr>
          <w:spacing w:val="-1"/>
          <w:sz w:val="13"/>
        </w:rPr>
        <w:t xml:space="preserve"> </w:t>
      </w:r>
      <w:r>
        <w:rPr>
          <w:sz w:val="13"/>
        </w:rPr>
        <w:t>Europeo de</w:t>
      </w:r>
      <w:r>
        <w:rPr>
          <w:spacing w:val="-1"/>
          <w:sz w:val="13"/>
        </w:rPr>
        <w:t xml:space="preserve"> </w:t>
      </w:r>
      <w:r>
        <w:rPr>
          <w:sz w:val="13"/>
        </w:rPr>
        <w:t xml:space="preserve">Derechos Humanos, </w:t>
      </w:r>
      <w:proofErr w:type="spellStart"/>
      <w:r>
        <w:rPr>
          <w:sz w:val="13"/>
        </w:rPr>
        <w:t>Aghdgomelashvili</w:t>
      </w:r>
      <w:proofErr w:type="spellEnd"/>
      <w:r>
        <w:rPr>
          <w:spacing w:val="-1"/>
          <w:sz w:val="13"/>
        </w:rPr>
        <w:t xml:space="preserve"> </w:t>
      </w:r>
      <w:r>
        <w:rPr>
          <w:sz w:val="13"/>
        </w:rPr>
        <w:t xml:space="preserve">y </w:t>
      </w:r>
      <w:proofErr w:type="spellStart"/>
      <w:r>
        <w:rPr>
          <w:sz w:val="13"/>
        </w:rPr>
        <w:t>Japaridze</w:t>
      </w:r>
      <w:proofErr w:type="spellEnd"/>
      <w:r>
        <w:rPr>
          <w:spacing w:val="-1"/>
          <w:sz w:val="13"/>
        </w:rPr>
        <w:t xml:space="preserve"> </w:t>
      </w:r>
      <w:r>
        <w:rPr>
          <w:sz w:val="13"/>
        </w:rPr>
        <w:t>c. Georgia,</w:t>
      </w:r>
      <w:r>
        <w:rPr>
          <w:spacing w:val="-1"/>
          <w:sz w:val="13"/>
        </w:rPr>
        <w:t xml:space="preserve"> </w:t>
      </w:r>
      <w:r>
        <w:rPr>
          <w:sz w:val="13"/>
        </w:rPr>
        <w:t>solicitud n.º</w:t>
      </w:r>
      <w:r>
        <w:rPr>
          <w:spacing w:val="-1"/>
          <w:sz w:val="13"/>
        </w:rPr>
        <w:t xml:space="preserve"> </w:t>
      </w:r>
      <w:r>
        <w:rPr>
          <w:sz w:val="13"/>
        </w:rPr>
        <w:t>7224/11, sentencia de</w:t>
      </w:r>
      <w:r>
        <w:rPr>
          <w:spacing w:val="-1"/>
          <w:sz w:val="13"/>
        </w:rPr>
        <w:t xml:space="preserve"> </w:t>
      </w:r>
      <w:r>
        <w:rPr>
          <w:sz w:val="13"/>
        </w:rPr>
        <w:t>8 de</w:t>
      </w:r>
      <w:r>
        <w:rPr>
          <w:spacing w:val="-1"/>
          <w:sz w:val="13"/>
        </w:rPr>
        <w:t xml:space="preserve"> </w:t>
      </w:r>
      <w:r>
        <w:rPr>
          <w:sz w:val="13"/>
        </w:rPr>
        <w:t>octubre de</w:t>
      </w:r>
      <w:r>
        <w:rPr>
          <w:spacing w:val="-1"/>
          <w:sz w:val="13"/>
        </w:rPr>
        <w:t xml:space="preserve"> </w:t>
      </w:r>
      <w:r>
        <w:rPr>
          <w:sz w:val="13"/>
        </w:rPr>
        <w:t xml:space="preserve">2020, </w:t>
      </w:r>
      <w:proofErr w:type="spellStart"/>
      <w:r>
        <w:rPr>
          <w:spacing w:val="-2"/>
          <w:sz w:val="13"/>
        </w:rPr>
        <w:t>párrs</w:t>
      </w:r>
      <w:proofErr w:type="spellEnd"/>
      <w:r>
        <w:rPr>
          <w:spacing w:val="-2"/>
          <w:sz w:val="13"/>
        </w:rPr>
        <w:t>.</w:t>
      </w:r>
    </w:p>
    <w:p w14:paraId="20CE4C07" w14:textId="77777777" w:rsidR="0014798C" w:rsidRDefault="004E1F0B">
      <w:pPr>
        <w:spacing w:before="30" w:line="288" w:lineRule="auto"/>
        <w:ind w:left="1369" w:right="1272" w:hanging="4"/>
        <w:rPr>
          <w:sz w:val="13"/>
        </w:rPr>
      </w:pPr>
      <w:r>
        <w:rPr>
          <w:sz w:val="13"/>
        </w:rPr>
        <w:t>35</w:t>
      </w:r>
      <w:r>
        <w:rPr>
          <w:spacing w:val="-5"/>
          <w:sz w:val="13"/>
        </w:rPr>
        <w:t xml:space="preserve"> </w:t>
      </w:r>
      <w:r>
        <w:rPr>
          <w:sz w:val="13"/>
        </w:rPr>
        <w:t>y</w:t>
      </w:r>
      <w:r>
        <w:rPr>
          <w:spacing w:val="-5"/>
          <w:sz w:val="13"/>
        </w:rPr>
        <w:t xml:space="preserve"> </w:t>
      </w:r>
      <w:r>
        <w:rPr>
          <w:sz w:val="13"/>
        </w:rPr>
        <w:t>42–50;</w:t>
      </w:r>
      <w:r>
        <w:rPr>
          <w:spacing w:val="-5"/>
          <w:sz w:val="13"/>
        </w:rPr>
        <w:t xml:space="preserve"> </w:t>
      </w:r>
      <w:r>
        <w:rPr>
          <w:sz w:val="13"/>
        </w:rPr>
        <w:t>Corte</w:t>
      </w:r>
      <w:r>
        <w:rPr>
          <w:spacing w:val="-5"/>
          <w:sz w:val="13"/>
        </w:rPr>
        <w:t xml:space="preserve"> </w:t>
      </w:r>
      <w:r>
        <w:rPr>
          <w:sz w:val="13"/>
        </w:rPr>
        <w:t>Interamericana</w:t>
      </w:r>
      <w:r>
        <w:rPr>
          <w:spacing w:val="-5"/>
          <w:sz w:val="13"/>
        </w:rPr>
        <w:t xml:space="preserve"> </w:t>
      </w:r>
      <w:r>
        <w:rPr>
          <w:sz w:val="13"/>
        </w:rPr>
        <w:t>de</w:t>
      </w:r>
      <w:r>
        <w:rPr>
          <w:spacing w:val="-5"/>
          <w:sz w:val="13"/>
        </w:rPr>
        <w:t xml:space="preserve"> </w:t>
      </w:r>
      <w:r>
        <w:rPr>
          <w:sz w:val="13"/>
        </w:rPr>
        <w:t>Derechos</w:t>
      </w:r>
      <w:r>
        <w:rPr>
          <w:spacing w:val="-5"/>
          <w:sz w:val="13"/>
        </w:rPr>
        <w:t xml:space="preserve"> </w:t>
      </w:r>
      <w:r>
        <w:rPr>
          <w:sz w:val="13"/>
        </w:rPr>
        <w:t>Humanos,</w:t>
      </w:r>
      <w:r>
        <w:rPr>
          <w:spacing w:val="-5"/>
          <w:sz w:val="13"/>
        </w:rPr>
        <w:t xml:space="preserve"> </w:t>
      </w:r>
      <w:r>
        <w:rPr>
          <w:sz w:val="13"/>
        </w:rPr>
        <w:t>Azul</w:t>
      </w:r>
      <w:r>
        <w:rPr>
          <w:spacing w:val="-5"/>
          <w:sz w:val="13"/>
        </w:rPr>
        <w:t xml:space="preserve"> </w:t>
      </w:r>
      <w:r>
        <w:rPr>
          <w:sz w:val="13"/>
        </w:rPr>
        <w:t>Rojas</w:t>
      </w:r>
      <w:r>
        <w:rPr>
          <w:spacing w:val="-5"/>
          <w:sz w:val="13"/>
        </w:rPr>
        <w:t xml:space="preserve"> </w:t>
      </w:r>
      <w:r>
        <w:rPr>
          <w:sz w:val="13"/>
        </w:rPr>
        <w:t>Marín</w:t>
      </w:r>
      <w:r>
        <w:rPr>
          <w:spacing w:val="-5"/>
          <w:sz w:val="13"/>
        </w:rPr>
        <w:t xml:space="preserve"> </w:t>
      </w:r>
      <w:r>
        <w:rPr>
          <w:sz w:val="13"/>
        </w:rPr>
        <w:t>y</w:t>
      </w:r>
      <w:r>
        <w:rPr>
          <w:spacing w:val="-5"/>
          <w:sz w:val="13"/>
        </w:rPr>
        <w:t xml:space="preserve"> </w:t>
      </w:r>
      <w:r>
        <w:rPr>
          <w:sz w:val="13"/>
        </w:rPr>
        <w:t>otros.</w:t>
      </w:r>
      <w:r>
        <w:rPr>
          <w:spacing w:val="-5"/>
          <w:sz w:val="13"/>
        </w:rPr>
        <w:t xml:space="preserve"> </w:t>
      </w:r>
      <w:r>
        <w:rPr>
          <w:sz w:val="13"/>
        </w:rPr>
        <w:t>Perú,</w:t>
      </w:r>
      <w:r>
        <w:rPr>
          <w:spacing w:val="-5"/>
          <w:sz w:val="13"/>
        </w:rPr>
        <w:t xml:space="preserve"> </w:t>
      </w:r>
      <w:r>
        <w:rPr>
          <w:sz w:val="13"/>
        </w:rPr>
        <w:t>Sentencia</w:t>
      </w:r>
      <w:r>
        <w:rPr>
          <w:spacing w:val="-5"/>
          <w:sz w:val="13"/>
        </w:rPr>
        <w:t xml:space="preserve"> </w:t>
      </w:r>
      <w:r>
        <w:rPr>
          <w:sz w:val="13"/>
        </w:rPr>
        <w:t>de</w:t>
      </w:r>
      <w:r>
        <w:rPr>
          <w:spacing w:val="-5"/>
          <w:sz w:val="13"/>
        </w:rPr>
        <w:t xml:space="preserve"> </w:t>
      </w:r>
      <w:r>
        <w:rPr>
          <w:sz w:val="13"/>
        </w:rPr>
        <w:t>12</w:t>
      </w:r>
      <w:r>
        <w:rPr>
          <w:spacing w:val="-5"/>
          <w:sz w:val="13"/>
        </w:rPr>
        <w:t xml:space="preserve"> </w:t>
      </w:r>
      <w:r>
        <w:rPr>
          <w:sz w:val="13"/>
        </w:rPr>
        <w:t>de</w:t>
      </w:r>
      <w:r>
        <w:rPr>
          <w:spacing w:val="-5"/>
          <w:sz w:val="13"/>
        </w:rPr>
        <w:t xml:space="preserve"> </w:t>
      </w:r>
      <w:r>
        <w:rPr>
          <w:sz w:val="13"/>
        </w:rPr>
        <w:t>marzo</w:t>
      </w:r>
      <w:r>
        <w:rPr>
          <w:spacing w:val="-5"/>
          <w:sz w:val="13"/>
        </w:rPr>
        <w:t xml:space="preserve"> </w:t>
      </w:r>
      <w:r>
        <w:rPr>
          <w:sz w:val="13"/>
        </w:rPr>
        <w:t>de</w:t>
      </w:r>
      <w:r>
        <w:rPr>
          <w:spacing w:val="-5"/>
          <w:sz w:val="13"/>
        </w:rPr>
        <w:t xml:space="preserve"> </w:t>
      </w:r>
      <w:r>
        <w:rPr>
          <w:sz w:val="13"/>
        </w:rPr>
        <w:t>2020,</w:t>
      </w:r>
      <w:r>
        <w:rPr>
          <w:spacing w:val="-5"/>
          <w:sz w:val="13"/>
        </w:rPr>
        <w:t xml:space="preserve"> </w:t>
      </w:r>
      <w:proofErr w:type="spellStart"/>
      <w:r>
        <w:rPr>
          <w:sz w:val="13"/>
        </w:rPr>
        <w:t>párrs</w:t>
      </w:r>
      <w:proofErr w:type="spellEnd"/>
      <w:r>
        <w:rPr>
          <w:sz w:val="13"/>
        </w:rPr>
        <w:t>.</w:t>
      </w:r>
      <w:r>
        <w:rPr>
          <w:spacing w:val="-5"/>
          <w:sz w:val="13"/>
        </w:rPr>
        <w:t xml:space="preserve"> </w:t>
      </w:r>
      <w:r>
        <w:rPr>
          <w:sz w:val="13"/>
        </w:rPr>
        <w:t>163–167;</w:t>
      </w:r>
      <w:r>
        <w:rPr>
          <w:spacing w:val="-5"/>
          <w:sz w:val="13"/>
        </w:rPr>
        <w:t xml:space="preserve"> </w:t>
      </w:r>
      <w:r>
        <w:rPr>
          <w:sz w:val="13"/>
        </w:rPr>
        <w:t>y</w:t>
      </w:r>
      <w:r>
        <w:rPr>
          <w:spacing w:val="-5"/>
          <w:sz w:val="13"/>
        </w:rPr>
        <w:t xml:space="preserve"> </w:t>
      </w:r>
      <w:r>
        <w:rPr>
          <w:sz w:val="13"/>
        </w:rPr>
        <w:t>Comisión</w:t>
      </w:r>
      <w:r>
        <w:rPr>
          <w:spacing w:val="40"/>
          <w:sz w:val="13"/>
        </w:rPr>
        <w:t xml:space="preserve"> </w:t>
      </w:r>
      <w:r>
        <w:rPr>
          <w:sz w:val="13"/>
        </w:rPr>
        <w:t>Africana de Derechos Humanos y de los Pueblos, observación general núm. 4 (2017), párr. 13.</w:t>
      </w:r>
    </w:p>
    <w:p w14:paraId="254773C6" w14:textId="77777777" w:rsidR="0014798C" w:rsidRDefault="004E1F0B">
      <w:pPr>
        <w:spacing w:before="58" w:line="288" w:lineRule="auto"/>
        <w:ind w:left="1365" w:right="2004" w:hanging="255"/>
        <w:rPr>
          <w:sz w:val="13"/>
        </w:rPr>
      </w:pPr>
      <w:r>
        <w:rPr>
          <w:sz w:val="13"/>
        </w:rPr>
        <w:t>1124</w:t>
      </w:r>
      <w:r>
        <w:rPr>
          <w:spacing w:val="-2"/>
          <w:sz w:val="13"/>
        </w:rPr>
        <w:t xml:space="preserve"> </w:t>
      </w:r>
      <w:r>
        <w:rPr>
          <w:sz w:val="13"/>
        </w:rPr>
        <w:t>Comité</w:t>
      </w:r>
      <w:r>
        <w:rPr>
          <w:spacing w:val="-2"/>
          <w:sz w:val="13"/>
        </w:rPr>
        <w:t xml:space="preserve"> </w:t>
      </w:r>
      <w:r>
        <w:rPr>
          <w:sz w:val="13"/>
        </w:rPr>
        <w:t>contra</w:t>
      </w:r>
      <w:r>
        <w:rPr>
          <w:spacing w:val="-2"/>
          <w:sz w:val="13"/>
        </w:rPr>
        <w:t xml:space="preserve"> </w:t>
      </w:r>
      <w:r>
        <w:rPr>
          <w:sz w:val="13"/>
        </w:rPr>
        <w:t>la</w:t>
      </w:r>
      <w:r>
        <w:rPr>
          <w:spacing w:val="-2"/>
          <w:sz w:val="13"/>
        </w:rPr>
        <w:t xml:space="preserve"> </w:t>
      </w:r>
      <w:r>
        <w:rPr>
          <w:sz w:val="13"/>
        </w:rPr>
        <w:t>Tortura,</w:t>
      </w:r>
      <w:r>
        <w:rPr>
          <w:spacing w:val="-2"/>
          <w:sz w:val="13"/>
        </w:rPr>
        <w:t xml:space="preserve"> </w:t>
      </w:r>
      <w:proofErr w:type="spellStart"/>
      <w:r>
        <w:rPr>
          <w:sz w:val="13"/>
        </w:rPr>
        <w:t>Hajrizi</w:t>
      </w:r>
      <w:proofErr w:type="spellEnd"/>
      <w:r>
        <w:rPr>
          <w:spacing w:val="-2"/>
          <w:sz w:val="13"/>
        </w:rPr>
        <w:t xml:space="preserve"> </w:t>
      </w:r>
      <w:proofErr w:type="spellStart"/>
      <w:r>
        <w:rPr>
          <w:sz w:val="13"/>
        </w:rPr>
        <w:t>Dzemajl</w:t>
      </w:r>
      <w:proofErr w:type="spellEnd"/>
      <w:r>
        <w:rPr>
          <w:spacing w:val="-2"/>
          <w:sz w:val="13"/>
        </w:rPr>
        <w:t xml:space="preserve"> </w:t>
      </w:r>
      <w:r>
        <w:rPr>
          <w:sz w:val="13"/>
        </w:rPr>
        <w:t>et</w:t>
      </w:r>
      <w:r>
        <w:rPr>
          <w:spacing w:val="-2"/>
          <w:sz w:val="13"/>
        </w:rPr>
        <w:t xml:space="preserve"> </w:t>
      </w:r>
      <w:r>
        <w:rPr>
          <w:sz w:val="13"/>
        </w:rPr>
        <w:t>al.</w:t>
      </w:r>
      <w:r>
        <w:rPr>
          <w:spacing w:val="-2"/>
          <w:sz w:val="13"/>
        </w:rPr>
        <w:t xml:space="preserve"> </w:t>
      </w:r>
      <w:r>
        <w:rPr>
          <w:sz w:val="13"/>
        </w:rPr>
        <w:t>Yugoslavia</w:t>
      </w:r>
      <w:r>
        <w:rPr>
          <w:spacing w:val="-2"/>
          <w:sz w:val="13"/>
        </w:rPr>
        <w:t xml:space="preserve"> </w:t>
      </w:r>
      <w:r>
        <w:rPr>
          <w:sz w:val="13"/>
        </w:rPr>
        <w:t>(CAT/C/29/D/161/</w:t>
      </w:r>
      <w:proofErr w:type="gramStart"/>
      <w:r>
        <w:rPr>
          <w:sz w:val="13"/>
        </w:rPr>
        <w:t>2000);</w:t>
      </w:r>
      <w:proofErr w:type="gramEnd"/>
      <w:r>
        <w:rPr>
          <w:spacing w:val="-1"/>
          <w:sz w:val="13"/>
        </w:rPr>
        <w:t xml:space="preserve"> </w:t>
      </w:r>
      <w:r>
        <w:rPr>
          <w:sz w:val="13"/>
        </w:rPr>
        <w:t>y</w:t>
      </w:r>
      <w:r>
        <w:rPr>
          <w:spacing w:val="-2"/>
          <w:sz w:val="13"/>
        </w:rPr>
        <w:t xml:space="preserve"> </w:t>
      </w:r>
      <w:r>
        <w:rPr>
          <w:sz w:val="13"/>
        </w:rPr>
        <w:t>Tribunal</w:t>
      </w:r>
      <w:r>
        <w:rPr>
          <w:spacing w:val="-2"/>
          <w:sz w:val="13"/>
        </w:rPr>
        <w:t xml:space="preserve"> </w:t>
      </w:r>
      <w:r>
        <w:rPr>
          <w:sz w:val="13"/>
        </w:rPr>
        <w:t>Europeo</w:t>
      </w:r>
      <w:r>
        <w:rPr>
          <w:spacing w:val="-2"/>
          <w:sz w:val="13"/>
        </w:rPr>
        <w:t xml:space="preserve"> </w:t>
      </w:r>
      <w:r>
        <w:rPr>
          <w:sz w:val="13"/>
        </w:rPr>
        <w:t>de</w:t>
      </w:r>
      <w:r>
        <w:rPr>
          <w:spacing w:val="-2"/>
          <w:sz w:val="13"/>
        </w:rPr>
        <w:t xml:space="preserve"> </w:t>
      </w:r>
      <w:r>
        <w:rPr>
          <w:sz w:val="13"/>
        </w:rPr>
        <w:t>Derechos</w:t>
      </w:r>
      <w:r>
        <w:rPr>
          <w:spacing w:val="-2"/>
          <w:sz w:val="13"/>
        </w:rPr>
        <w:t xml:space="preserve"> </w:t>
      </w:r>
      <w:r>
        <w:rPr>
          <w:sz w:val="13"/>
        </w:rPr>
        <w:t>Humanos,</w:t>
      </w:r>
      <w:r>
        <w:rPr>
          <w:spacing w:val="-2"/>
          <w:sz w:val="13"/>
        </w:rPr>
        <w:t xml:space="preserve"> </w:t>
      </w:r>
      <w:proofErr w:type="spellStart"/>
      <w:r>
        <w:rPr>
          <w:sz w:val="13"/>
        </w:rPr>
        <w:t>Moldovan</w:t>
      </w:r>
      <w:proofErr w:type="spellEnd"/>
      <w:r>
        <w:rPr>
          <w:spacing w:val="-2"/>
          <w:sz w:val="13"/>
        </w:rPr>
        <w:t xml:space="preserve"> </w:t>
      </w:r>
      <w:r>
        <w:rPr>
          <w:sz w:val="13"/>
        </w:rPr>
        <w:t>y</w:t>
      </w:r>
      <w:r>
        <w:rPr>
          <w:spacing w:val="40"/>
          <w:sz w:val="13"/>
        </w:rPr>
        <w:t xml:space="preserve"> </w:t>
      </w:r>
      <w:r>
        <w:rPr>
          <w:sz w:val="13"/>
        </w:rPr>
        <w:t xml:space="preserve">otros c. Rumania, solicitudes </w:t>
      </w:r>
      <w:proofErr w:type="spellStart"/>
      <w:r>
        <w:rPr>
          <w:sz w:val="13"/>
        </w:rPr>
        <w:t>núms</w:t>
      </w:r>
      <w:proofErr w:type="spellEnd"/>
      <w:r>
        <w:rPr>
          <w:sz w:val="13"/>
        </w:rPr>
        <w:t>. 41138/98 y 64320/01, sentencia núm. 2, 12 de julio de 2005.</w:t>
      </w:r>
    </w:p>
    <w:p w14:paraId="4131347E" w14:textId="77777777" w:rsidR="0014798C" w:rsidRDefault="004E1F0B">
      <w:pPr>
        <w:spacing w:before="65" w:line="312" w:lineRule="auto"/>
        <w:ind w:left="1368" w:right="1529" w:hanging="258"/>
        <w:rPr>
          <w:sz w:val="12"/>
        </w:rPr>
      </w:pPr>
      <w:r>
        <w:rPr>
          <w:w w:val="105"/>
          <w:sz w:val="12"/>
        </w:rPr>
        <w:t xml:space="preserve">1125 Oficina de las Naciones Unidas para la Prevención del Genocidio y la Responsabilidad de Proteger, “Publicaciones y recursos”. Disponible en </w:t>
      </w:r>
      <w:hyperlink r:id="rId317">
        <w:r>
          <w:rPr>
            <w:color w:val="0075BF"/>
            <w:w w:val="105"/>
            <w:sz w:val="12"/>
          </w:rPr>
          <w:t>www.un.org/</w:t>
        </w:r>
      </w:hyperlink>
      <w:r>
        <w:rPr>
          <w:color w:val="0075BF"/>
          <w:spacing w:val="40"/>
          <w:w w:val="105"/>
          <w:sz w:val="12"/>
        </w:rPr>
        <w:t xml:space="preserve"> </w:t>
      </w:r>
      <w:hyperlink r:id="rId318">
        <w:r>
          <w:rPr>
            <w:color w:val="0075BF"/>
            <w:spacing w:val="-2"/>
            <w:w w:val="105"/>
            <w:sz w:val="12"/>
          </w:rPr>
          <w:t>en/</w:t>
        </w:r>
        <w:proofErr w:type="spellStart"/>
        <w:r>
          <w:rPr>
            <w:color w:val="0075BF"/>
            <w:spacing w:val="-2"/>
            <w:w w:val="105"/>
            <w:sz w:val="12"/>
          </w:rPr>
          <w:t>genocideprevention</w:t>
        </w:r>
        <w:proofErr w:type="spellEnd"/>
        <w:r>
          <w:rPr>
            <w:color w:val="0075BF"/>
            <w:spacing w:val="-2"/>
            <w:w w:val="105"/>
            <w:sz w:val="12"/>
          </w:rPr>
          <w:t>/publications-and-resources.shtml.</w:t>
        </w:r>
      </w:hyperlink>
    </w:p>
    <w:p w14:paraId="17B79D25" w14:textId="77777777" w:rsidR="0014798C" w:rsidRDefault="0014798C">
      <w:pPr>
        <w:pStyle w:val="Textoindependiente"/>
        <w:rPr>
          <w:sz w:val="18"/>
        </w:rPr>
      </w:pPr>
    </w:p>
    <w:p w14:paraId="7A143FF9" w14:textId="77777777" w:rsidR="0014798C" w:rsidRDefault="0014798C">
      <w:pPr>
        <w:pStyle w:val="Textoindependiente"/>
        <w:spacing w:before="194"/>
        <w:rPr>
          <w:sz w:val="18"/>
        </w:rPr>
      </w:pPr>
    </w:p>
    <w:p w14:paraId="75E721C0" w14:textId="77777777" w:rsidR="0014798C" w:rsidRDefault="004E1F0B">
      <w:pPr>
        <w:ind w:right="702"/>
        <w:jc w:val="right"/>
        <w:rPr>
          <w:sz w:val="18"/>
        </w:rPr>
      </w:pPr>
      <w:r>
        <w:rPr>
          <w:spacing w:val="-5"/>
          <w:sz w:val="18"/>
        </w:rPr>
        <w:t>169</w:t>
      </w:r>
    </w:p>
    <w:p w14:paraId="3F06AAFA" w14:textId="77777777" w:rsidR="0014798C" w:rsidRDefault="0014798C">
      <w:pPr>
        <w:jc w:val="right"/>
        <w:rPr>
          <w:sz w:val="18"/>
        </w:rPr>
        <w:sectPr w:rsidR="0014798C" w:rsidSect="00F265E4">
          <w:pgSz w:w="11900" w:h="16820"/>
          <w:pgMar w:top="340" w:right="0" w:bottom="280" w:left="200" w:header="121" w:footer="0" w:gutter="0"/>
          <w:cols w:space="720"/>
        </w:sectPr>
      </w:pPr>
    </w:p>
    <w:p w14:paraId="7DDA05C5" w14:textId="09DEEDA0" w:rsidR="0014798C" w:rsidRDefault="0014798C">
      <w:pPr>
        <w:pStyle w:val="Textoindependiente"/>
        <w:spacing w:before="85"/>
        <w:rPr>
          <w:sz w:val="12"/>
        </w:rPr>
      </w:pPr>
    </w:p>
    <w:p w14:paraId="301C4550" w14:textId="77777777" w:rsidR="0014798C" w:rsidRDefault="004E1F0B">
      <w:pPr>
        <w:ind w:left="1111"/>
        <w:rPr>
          <w:sz w:val="12"/>
        </w:rPr>
      </w:pPr>
      <w:r>
        <w:rPr>
          <w:color w:val="E83628"/>
          <w:sz w:val="12"/>
        </w:rPr>
        <w:t>PROTECCIÓN</w:t>
      </w:r>
      <w:r>
        <w:rPr>
          <w:color w:val="E83628"/>
          <w:spacing w:val="6"/>
          <w:sz w:val="12"/>
        </w:rPr>
        <w:t xml:space="preserve"> </w:t>
      </w:r>
      <w:r>
        <w:rPr>
          <w:color w:val="E83628"/>
          <w:sz w:val="12"/>
        </w:rPr>
        <w:t>DE</w:t>
      </w:r>
      <w:r>
        <w:rPr>
          <w:color w:val="E83628"/>
          <w:spacing w:val="7"/>
          <w:sz w:val="12"/>
        </w:rPr>
        <w:t xml:space="preserve"> </w:t>
      </w:r>
      <w:r>
        <w:rPr>
          <w:color w:val="E83628"/>
          <w:sz w:val="12"/>
        </w:rPr>
        <w:t>LOS</w:t>
      </w:r>
      <w:r>
        <w:rPr>
          <w:color w:val="E83628"/>
          <w:spacing w:val="8"/>
          <w:sz w:val="12"/>
        </w:rPr>
        <w:t xml:space="preserve"> </w:t>
      </w:r>
      <w:r>
        <w:rPr>
          <w:color w:val="E83628"/>
          <w:sz w:val="12"/>
        </w:rPr>
        <w:t>DERECHOS</w:t>
      </w:r>
      <w:r>
        <w:rPr>
          <w:color w:val="E83628"/>
          <w:spacing w:val="8"/>
          <w:sz w:val="12"/>
        </w:rPr>
        <w:t xml:space="preserve"> </w:t>
      </w:r>
      <w:r>
        <w:rPr>
          <w:color w:val="E83628"/>
          <w:sz w:val="12"/>
        </w:rPr>
        <w:t>DE</w:t>
      </w:r>
      <w:r>
        <w:rPr>
          <w:color w:val="E83628"/>
          <w:spacing w:val="6"/>
          <w:sz w:val="12"/>
        </w:rPr>
        <w:t xml:space="preserve"> </w:t>
      </w:r>
      <w:r>
        <w:rPr>
          <w:color w:val="E83628"/>
          <w:sz w:val="12"/>
        </w:rPr>
        <w:t>LAS</w:t>
      </w:r>
      <w:r>
        <w:rPr>
          <w:color w:val="E83628"/>
          <w:spacing w:val="7"/>
          <w:sz w:val="12"/>
        </w:rPr>
        <w:t xml:space="preserve"> </w:t>
      </w:r>
      <w:r>
        <w:rPr>
          <w:color w:val="E83628"/>
          <w:sz w:val="12"/>
        </w:rPr>
        <w:t>MINORÍAS:</w:t>
      </w:r>
      <w:r>
        <w:rPr>
          <w:color w:val="E83628"/>
          <w:spacing w:val="8"/>
          <w:sz w:val="12"/>
        </w:rPr>
        <w:t xml:space="preserve"> </w:t>
      </w:r>
      <w:r>
        <w:rPr>
          <w:color w:val="E83628"/>
          <w:sz w:val="12"/>
        </w:rPr>
        <w:t>una</w:t>
      </w:r>
      <w:r>
        <w:rPr>
          <w:color w:val="E83628"/>
          <w:spacing w:val="7"/>
          <w:sz w:val="12"/>
        </w:rPr>
        <w:t xml:space="preserve"> </w:t>
      </w:r>
      <w:r>
        <w:rPr>
          <w:color w:val="E83628"/>
          <w:sz w:val="12"/>
        </w:rPr>
        <w:t>guía</w:t>
      </w:r>
      <w:r>
        <w:rPr>
          <w:color w:val="E83628"/>
          <w:spacing w:val="6"/>
          <w:sz w:val="12"/>
        </w:rPr>
        <w:t xml:space="preserve"> </w:t>
      </w:r>
      <w:r>
        <w:rPr>
          <w:color w:val="E83628"/>
          <w:sz w:val="12"/>
        </w:rPr>
        <w:t>práctica</w:t>
      </w:r>
      <w:r>
        <w:rPr>
          <w:color w:val="E83628"/>
          <w:spacing w:val="7"/>
          <w:sz w:val="12"/>
        </w:rPr>
        <w:t xml:space="preserve"> </w:t>
      </w:r>
      <w:r>
        <w:rPr>
          <w:color w:val="E83628"/>
          <w:sz w:val="12"/>
        </w:rPr>
        <w:t>para</w:t>
      </w:r>
      <w:r>
        <w:rPr>
          <w:color w:val="E83628"/>
          <w:spacing w:val="8"/>
          <w:sz w:val="12"/>
        </w:rPr>
        <w:t xml:space="preserve"> </w:t>
      </w:r>
      <w:r>
        <w:rPr>
          <w:color w:val="E83628"/>
          <w:sz w:val="12"/>
        </w:rPr>
        <w:t>desarrollar</w:t>
      </w:r>
      <w:r>
        <w:rPr>
          <w:color w:val="E83628"/>
          <w:spacing w:val="6"/>
          <w:sz w:val="12"/>
        </w:rPr>
        <w:t xml:space="preserve"> </w:t>
      </w:r>
      <w:r>
        <w:rPr>
          <w:color w:val="E83628"/>
          <w:sz w:val="12"/>
        </w:rPr>
        <w:t>una</w:t>
      </w:r>
      <w:r>
        <w:rPr>
          <w:color w:val="E83628"/>
          <w:spacing w:val="7"/>
          <w:sz w:val="12"/>
        </w:rPr>
        <w:t xml:space="preserve"> </w:t>
      </w:r>
      <w:r>
        <w:rPr>
          <w:color w:val="E83628"/>
          <w:sz w:val="12"/>
        </w:rPr>
        <w:t>legislación</w:t>
      </w:r>
      <w:r>
        <w:rPr>
          <w:color w:val="E83628"/>
          <w:spacing w:val="8"/>
          <w:sz w:val="12"/>
        </w:rPr>
        <w:t xml:space="preserve"> </w:t>
      </w:r>
      <w:r>
        <w:rPr>
          <w:color w:val="E83628"/>
          <w:sz w:val="12"/>
        </w:rPr>
        <w:t>integral</w:t>
      </w:r>
      <w:r>
        <w:rPr>
          <w:color w:val="E83628"/>
          <w:spacing w:val="7"/>
          <w:sz w:val="12"/>
        </w:rPr>
        <w:t xml:space="preserve"> </w:t>
      </w:r>
      <w:r>
        <w:rPr>
          <w:color w:val="E83628"/>
          <w:sz w:val="12"/>
        </w:rPr>
        <w:t>contra</w:t>
      </w:r>
      <w:r>
        <w:rPr>
          <w:color w:val="E83628"/>
          <w:spacing w:val="6"/>
          <w:sz w:val="12"/>
        </w:rPr>
        <w:t xml:space="preserve"> </w:t>
      </w:r>
      <w:r>
        <w:rPr>
          <w:color w:val="E83628"/>
          <w:sz w:val="12"/>
        </w:rPr>
        <w:t>la</w:t>
      </w:r>
      <w:r>
        <w:rPr>
          <w:color w:val="E83628"/>
          <w:spacing w:val="7"/>
          <w:sz w:val="12"/>
        </w:rPr>
        <w:t xml:space="preserve"> </w:t>
      </w:r>
      <w:r>
        <w:rPr>
          <w:color w:val="E83628"/>
          <w:spacing w:val="-2"/>
          <w:sz w:val="12"/>
        </w:rPr>
        <w:t>discriminación</w:t>
      </w:r>
    </w:p>
    <w:p w14:paraId="479BD385" w14:textId="77777777" w:rsidR="0014798C" w:rsidRDefault="0014798C">
      <w:pPr>
        <w:pStyle w:val="Textoindependiente"/>
        <w:rPr>
          <w:sz w:val="18"/>
        </w:rPr>
      </w:pPr>
    </w:p>
    <w:p w14:paraId="400E7DC4" w14:textId="77777777" w:rsidR="0014798C" w:rsidRDefault="0014798C">
      <w:pPr>
        <w:pStyle w:val="Textoindependiente"/>
        <w:rPr>
          <w:sz w:val="18"/>
        </w:rPr>
      </w:pPr>
    </w:p>
    <w:p w14:paraId="06FBA9FD" w14:textId="450A238D" w:rsidR="0014798C" w:rsidRDefault="0014798C">
      <w:pPr>
        <w:pStyle w:val="Textoindependiente"/>
        <w:rPr>
          <w:sz w:val="18"/>
        </w:rPr>
      </w:pPr>
    </w:p>
    <w:p w14:paraId="7FB503F5" w14:textId="77777777" w:rsidR="0014798C" w:rsidRDefault="0014798C">
      <w:pPr>
        <w:pStyle w:val="Textoindependiente"/>
        <w:spacing w:before="131"/>
        <w:rPr>
          <w:sz w:val="18"/>
        </w:rPr>
      </w:pPr>
    </w:p>
    <w:p w14:paraId="5E65BEEB" w14:textId="070FFEF3" w:rsidR="0014798C" w:rsidRDefault="004E1F0B">
      <w:pPr>
        <w:spacing w:line="290" w:lineRule="auto"/>
        <w:ind w:left="1333" w:right="1463" w:firstLine="6"/>
        <w:rPr>
          <w:sz w:val="18"/>
        </w:rPr>
      </w:pPr>
      <w:r>
        <w:rPr>
          <w:w w:val="105"/>
          <w:sz w:val="18"/>
        </w:rPr>
        <w:t>"ya</w:t>
      </w:r>
      <w:r>
        <w:rPr>
          <w:spacing w:val="-3"/>
          <w:w w:val="105"/>
          <w:sz w:val="18"/>
        </w:rPr>
        <w:t xml:space="preserve"> </w:t>
      </w:r>
      <w:r>
        <w:rPr>
          <w:w w:val="105"/>
          <w:sz w:val="18"/>
        </w:rPr>
        <w:t>que</w:t>
      </w:r>
      <w:r>
        <w:rPr>
          <w:spacing w:val="-3"/>
          <w:w w:val="105"/>
          <w:sz w:val="18"/>
        </w:rPr>
        <w:t xml:space="preserve"> </w:t>
      </w:r>
      <w:r>
        <w:rPr>
          <w:w w:val="105"/>
          <w:sz w:val="18"/>
        </w:rPr>
        <w:t>cualquier</w:t>
      </w:r>
      <w:r>
        <w:rPr>
          <w:spacing w:val="-3"/>
          <w:w w:val="105"/>
          <w:sz w:val="18"/>
        </w:rPr>
        <w:t xml:space="preserve"> </w:t>
      </w:r>
      <w:r>
        <w:rPr>
          <w:w w:val="105"/>
          <w:sz w:val="18"/>
        </w:rPr>
        <w:t>delito</w:t>
      </w:r>
      <w:r>
        <w:rPr>
          <w:spacing w:val="-3"/>
          <w:w w:val="105"/>
          <w:sz w:val="18"/>
        </w:rPr>
        <w:t xml:space="preserve"> </w:t>
      </w:r>
      <w:r>
        <w:rPr>
          <w:w w:val="105"/>
          <w:sz w:val="18"/>
        </w:rPr>
        <w:t>por</w:t>
      </w:r>
      <w:r>
        <w:rPr>
          <w:spacing w:val="-3"/>
          <w:w w:val="105"/>
          <w:sz w:val="18"/>
        </w:rPr>
        <w:t xml:space="preserve"> </w:t>
      </w:r>
      <w:r>
        <w:rPr>
          <w:w w:val="105"/>
          <w:sz w:val="18"/>
        </w:rPr>
        <w:t>motivos</w:t>
      </w:r>
      <w:r>
        <w:rPr>
          <w:spacing w:val="-3"/>
          <w:w w:val="105"/>
          <w:sz w:val="18"/>
        </w:rPr>
        <w:t xml:space="preserve"> </w:t>
      </w:r>
      <w:r>
        <w:rPr>
          <w:w w:val="105"/>
          <w:sz w:val="18"/>
        </w:rPr>
        <w:t>raciales</w:t>
      </w:r>
      <w:r>
        <w:rPr>
          <w:spacing w:val="-3"/>
          <w:w w:val="105"/>
          <w:sz w:val="18"/>
        </w:rPr>
        <w:t xml:space="preserve"> </w:t>
      </w:r>
      <w:r>
        <w:rPr>
          <w:w w:val="105"/>
          <w:sz w:val="18"/>
        </w:rPr>
        <w:t>socava</w:t>
      </w:r>
      <w:r>
        <w:rPr>
          <w:spacing w:val="-3"/>
          <w:w w:val="105"/>
          <w:sz w:val="18"/>
        </w:rPr>
        <w:t xml:space="preserve"> </w:t>
      </w:r>
      <w:r>
        <w:rPr>
          <w:w w:val="105"/>
          <w:sz w:val="18"/>
        </w:rPr>
        <w:t>la</w:t>
      </w:r>
      <w:r>
        <w:rPr>
          <w:spacing w:val="-3"/>
          <w:w w:val="105"/>
          <w:sz w:val="18"/>
        </w:rPr>
        <w:t xml:space="preserve"> </w:t>
      </w:r>
      <w:r>
        <w:rPr>
          <w:w w:val="105"/>
          <w:sz w:val="18"/>
        </w:rPr>
        <w:t>cohesión</w:t>
      </w:r>
      <w:r>
        <w:rPr>
          <w:spacing w:val="-3"/>
          <w:w w:val="105"/>
          <w:sz w:val="18"/>
        </w:rPr>
        <w:t xml:space="preserve"> </w:t>
      </w:r>
      <w:r>
        <w:rPr>
          <w:w w:val="105"/>
          <w:sz w:val="18"/>
        </w:rPr>
        <w:t>social</w:t>
      </w:r>
      <w:r>
        <w:rPr>
          <w:spacing w:val="-3"/>
          <w:w w:val="105"/>
          <w:sz w:val="18"/>
        </w:rPr>
        <w:t xml:space="preserve"> </w:t>
      </w:r>
      <w:r>
        <w:rPr>
          <w:w w:val="105"/>
          <w:sz w:val="18"/>
        </w:rPr>
        <w:t>y</w:t>
      </w:r>
      <w:r>
        <w:rPr>
          <w:spacing w:val="-3"/>
          <w:w w:val="105"/>
          <w:sz w:val="18"/>
        </w:rPr>
        <w:t xml:space="preserve"> </w:t>
      </w:r>
      <w:r>
        <w:rPr>
          <w:w w:val="105"/>
          <w:sz w:val="18"/>
        </w:rPr>
        <w:t>la</w:t>
      </w:r>
      <w:r>
        <w:rPr>
          <w:spacing w:val="-3"/>
          <w:w w:val="105"/>
          <w:sz w:val="18"/>
        </w:rPr>
        <w:t xml:space="preserve"> </w:t>
      </w:r>
      <w:r>
        <w:rPr>
          <w:w w:val="105"/>
          <w:sz w:val="18"/>
        </w:rPr>
        <w:t>sociedad</w:t>
      </w:r>
      <w:r>
        <w:rPr>
          <w:spacing w:val="-3"/>
          <w:w w:val="105"/>
          <w:sz w:val="18"/>
        </w:rPr>
        <w:t xml:space="preserve"> </w:t>
      </w:r>
      <w:r>
        <w:rPr>
          <w:w w:val="105"/>
          <w:sz w:val="18"/>
        </w:rPr>
        <w:t>en</w:t>
      </w:r>
      <w:r>
        <w:rPr>
          <w:spacing w:val="-3"/>
          <w:w w:val="105"/>
          <w:sz w:val="18"/>
        </w:rPr>
        <w:t xml:space="preserve"> </w:t>
      </w:r>
      <w:r>
        <w:rPr>
          <w:w w:val="105"/>
          <w:sz w:val="18"/>
        </w:rPr>
        <w:t>su</w:t>
      </w:r>
      <w:r>
        <w:rPr>
          <w:spacing w:val="-3"/>
          <w:w w:val="105"/>
          <w:sz w:val="18"/>
        </w:rPr>
        <w:t xml:space="preserve"> </w:t>
      </w:r>
      <w:r>
        <w:rPr>
          <w:w w:val="105"/>
          <w:sz w:val="18"/>
        </w:rPr>
        <w:t>conjunto"</w:t>
      </w:r>
      <w:r>
        <w:rPr>
          <w:spacing w:val="-3"/>
          <w:w w:val="105"/>
          <w:sz w:val="18"/>
        </w:rPr>
        <w:t xml:space="preserve"> </w:t>
      </w:r>
      <w:r>
        <w:rPr>
          <w:w w:val="105"/>
          <w:sz w:val="18"/>
        </w:rPr>
        <w:t>y</w:t>
      </w:r>
      <w:r>
        <w:rPr>
          <w:spacing w:val="-3"/>
          <w:w w:val="105"/>
          <w:sz w:val="18"/>
        </w:rPr>
        <w:t xml:space="preserve"> </w:t>
      </w:r>
      <w:r>
        <w:rPr>
          <w:w w:val="105"/>
          <w:sz w:val="18"/>
        </w:rPr>
        <w:t>a menudo</w:t>
      </w:r>
      <w:r>
        <w:rPr>
          <w:spacing w:val="-4"/>
          <w:w w:val="105"/>
          <w:sz w:val="18"/>
        </w:rPr>
        <w:t xml:space="preserve"> </w:t>
      </w:r>
      <w:r>
        <w:rPr>
          <w:w w:val="105"/>
          <w:sz w:val="18"/>
        </w:rPr>
        <w:t>inflige</w:t>
      </w:r>
      <w:r>
        <w:rPr>
          <w:spacing w:val="-4"/>
          <w:w w:val="105"/>
          <w:sz w:val="18"/>
        </w:rPr>
        <w:t xml:space="preserve"> </w:t>
      </w:r>
      <w:r>
        <w:rPr>
          <w:w w:val="105"/>
          <w:sz w:val="18"/>
        </w:rPr>
        <w:t>un</w:t>
      </w:r>
      <w:r>
        <w:rPr>
          <w:spacing w:val="-4"/>
          <w:w w:val="105"/>
          <w:sz w:val="18"/>
        </w:rPr>
        <w:t xml:space="preserve"> </w:t>
      </w:r>
      <w:r>
        <w:rPr>
          <w:w w:val="105"/>
          <w:sz w:val="18"/>
        </w:rPr>
        <w:t>mayor</w:t>
      </w:r>
      <w:r>
        <w:rPr>
          <w:spacing w:val="-4"/>
          <w:w w:val="105"/>
          <w:sz w:val="18"/>
        </w:rPr>
        <w:t xml:space="preserve"> </w:t>
      </w:r>
      <w:r>
        <w:rPr>
          <w:w w:val="105"/>
          <w:sz w:val="18"/>
        </w:rPr>
        <w:t>daño</w:t>
      </w:r>
      <w:r>
        <w:rPr>
          <w:spacing w:val="-4"/>
          <w:w w:val="105"/>
          <w:sz w:val="18"/>
        </w:rPr>
        <w:t xml:space="preserve"> </w:t>
      </w:r>
      <w:r>
        <w:rPr>
          <w:w w:val="105"/>
          <w:sz w:val="18"/>
        </w:rPr>
        <w:t>individual</w:t>
      </w:r>
      <w:r>
        <w:rPr>
          <w:spacing w:val="-4"/>
          <w:w w:val="105"/>
          <w:sz w:val="18"/>
        </w:rPr>
        <w:t xml:space="preserve"> </w:t>
      </w:r>
      <w:r>
        <w:rPr>
          <w:w w:val="105"/>
          <w:sz w:val="18"/>
        </w:rPr>
        <w:t>y</w:t>
      </w:r>
      <w:r>
        <w:rPr>
          <w:spacing w:val="-4"/>
          <w:w w:val="105"/>
          <w:sz w:val="18"/>
        </w:rPr>
        <w:t xml:space="preserve"> </w:t>
      </w:r>
      <w:r>
        <w:rPr>
          <w:w w:val="105"/>
          <w:sz w:val="18"/>
        </w:rPr>
        <w:t>social.</w:t>
      </w:r>
      <w:r>
        <w:rPr>
          <w:spacing w:val="-3"/>
          <w:w w:val="105"/>
          <w:sz w:val="18"/>
        </w:rPr>
        <w:t xml:space="preserve"> </w:t>
      </w:r>
      <w:r>
        <w:rPr>
          <w:w w:val="105"/>
          <w:sz w:val="18"/>
        </w:rPr>
        <w:t>Además,</w:t>
      </w:r>
      <w:r>
        <w:rPr>
          <w:spacing w:val="-4"/>
          <w:w w:val="105"/>
          <w:sz w:val="18"/>
        </w:rPr>
        <w:t xml:space="preserve"> </w:t>
      </w:r>
      <w:r>
        <w:rPr>
          <w:w w:val="105"/>
          <w:sz w:val="18"/>
        </w:rPr>
        <w:t>la</w:t>
      </w:r>
      <w:r>
        <w:rPr>
          <w:spacing w:val="-4"/>
          <w:w w:val="105"/>
          <w:sz w:val="18"/>
        </w:rPr>
        <w:t xml:space="preserve"> </w:t>
      </w:r>
      <w:r>
        <w:rPr>
          <w:w w:val="105"/>
          <w:sz w:val="18"/>
        </w:rPr>
        <w:t>negativa</w:t>
      </w:r>
      <w:r>
        <w:rPr>
          <w:spacing w:val="-4"/>
          <w:w w:val="105"/>
          <w:sz w:val="18"/>
        </w:rPr>
        <w:t xml:space="preserve"> </w:t>
      </w:r>
      <w:r>
        <w:rPr>
          <w:w w:val="105"/>
          <w:sz w:val="18"/>
        </w:rPr>
        <w:t>del</w:t>
      </w:r>
      <w:r>
        <w:rPr>
          <w:spacing w:val="-4"/>
          <w:w w:val="105"/>
          <w:sz w:val="18"/>
        </w:rPr>
        <w:t xml:space="preserve"> </w:t>
      </w:r>
      <w:r>
        <w:rPr>
          <w:w w:val="105"/>
          <w:sz w:val="18"/>
        </w:rPr>
        <w:t>Estado</w:t>
      </w:r>
      <w:r>
        <w:rPr>
          <w:spacing w:val="-4"/>
          <w:w w:val="105"/>
          <w:sz w:val="18"/>
        </w:rPr>
        <w:t xml:space="preserve"> </w:t>
      </w:r>
      <w:r>
        <w:rPr>
          <w:w w:val="105"/>
          <w:sz w:val="18"/>
        </w:rPr>
        <w:t>parte</w:t>
      </w:r>
      <w:r>
        <w:rPr>
          <w:spacing w:val="-4"/>
          <w:w w:val="105"/>
          <w:sz w:val="18"/>
        </w:rPr>
        <w:t xml:space="preserve"> </w:t>
      </w:r>
      <w:r>
        <w:rPr>
          <w:w w:val="105"/>
          <w:sz w:val="18"/>
        </w:rPr>
        <w:t>a</w:t>
      </w:r>
      <w:r>
        <w:rPr>
          <w:spacing w:val="-4"/>
          <w:w w:val="105"/>
          <w:sz w:val="18"/>
        </w:rPr>
        <w:t xml:space="preserve"> </w:t>
      </w:r>
      <w:r>
        <w:rPr>
          <w:w w:val="105"/>
          <w:sz w:val="18"/>
        </w:rPr>
        <w:t>investigar</w:t>
      </w:r>
      <w:r>
        <w:rPr>
          <w:spacing w:val="-4"/>
          <w:w w:val="105"/>
          <w:sz w:val="18"/>
        </w:rPr>
        <w:t xml:space="preserve"> </w:t>
      </w:r>
      <w:r>
        <w:rPr>
          <w:w w:val="105"/>
          <w:sz w:val="18"/>
        </w:rPr>
        <w:t>el motivo</w:t>
      </w:r>
      <w:r>
        <w:rPr>
          <w:spacing w:val="-5"/>
          <w:w w:val="105"/>
          <w:sz w:val="18"/>
        </w:rPr>
        <w:t xml:space="preserve"> </w:t>
      </w:r>
      <w:r>
        <w:rPr>
          <w:w w:val="105"/>
          <w:sz w:val="18"/>
        </w:rPr>
        <w:t>racial</w:t>
      </w:r>
      <w:r>
        <w:rPr>
          <w:spacing w:val="-5"/>
          <w:w w:val="105"/>
          <w:sz w:val="18"/>
        </w:rPr>
        <w:t xml:space="preserve"> </w:t>
      </w:r>
      <w:r>
        <w:rPr>
          <w:w w:val="105"/>
          <w:sz w:val="18"/>
        </w:rPr>
        <w:t>también</w:t>
      </w:r>
      <w:r>
        <w:rPr>
          <w:spacing w:val="-5"/>
          <w:w w:val="105"/>
          <w:sz w:val="18"/>
        </w:rPr>
        <w:t xml:space="preserve"> </w:t>
      </w:r>
      <w:r>
        <w:rPr>
          <w:w w:val="105"/>
          <w:sz w:val="18"/>
        </w:rPr>
        <w:t>privó</w:t>
      </w:r>
      <w:r>
        <w:rPr>
          <w:spacing w:val="-5"/>
          <w:w w:val="105"/>
          <w:sz w:val="18"/>
        </w:rPr>
        <w:t xml:space="preserve"> </w:t>
      </w:r>
      <w:r>
        <w:rPr>
          <w:w w:val="105"/>
          <w:sz w:val="18"/>
        </w:rPr>
        <w:t>al</w:t>
      </w:r>
      <w:r>
        <w:rPr>
          <w:spacing w:val="-5"/>
          <w:w w:val="105"/>
          <w:sz w:val="18"/>
        </w:rPr>
        <w:t xml:space="preserve"> </w:t>
      </w:r>
      <w:r>
        <w:rPr>
          <w:w w:val="105"/>
          <w:sz w:val="18"/>
        </w:rPr>
        <w:t>peticionario</w:t>
      </w:r>
      <w:r>
        <w:rPr>
          <w:spacing w:val="-5"/>
          <w:w w:val="105"/>
          <w:sz w:val="18"/>
        </w:rPr>
        <w:t xml:space="preserve"> </w:t>
      </w:r>
      <w:r>
        <w:rPr>
          <w:w w:val="105"/>
          <w:sz w:val="18"/>
        </w:rPr>
        <w:t>de</w:t>
      </w:r>
      <w:r>
        <w:rPr>
          <w:spacing w:val="-5"/>
          <w:w w:val="105"/>
          <w:sz w:val="18"/>
        </w:rPr>
        <w:t xml:space="preserve"> </w:t>
      </w:r>
      <w:r>
        <w:rPr>
          <w:w w:val="105"/>
          <w:sz w:val="18"/>
        </w:rPr>
        <w:t>su</w:t>
      </w:r>
      <w:r>
        <w:rPr>
          <w:spacing w:val="-5"/>
          <w:w w:val="105"/>
          <w:sz w:val="18"/>
        </w:rPr>
        <w:t xml:space="preserve"> </w:t>
      </w:r>
      <w:r>
        <w:rPr>
          <w:w w:val="105"/>
          <w:sz w:val="18"/>
        </w:rPr>
        <w:t>derecho</w:t>
      </w:r>
      <w:r>
        <w:rPr>
          <w:spacing w:val="-5"/>
          <w:w w:val="105"/>
          <w:sz w:val="18"/>
        </w:rPr>
        <w:t xml:space="preserve"> </w:t>
      </w:r>
      <w:r>
        <w:rPr>
          <w:w w:val="105"/>
          <w:sz w:val="18"/>
        </w:rPr>
        <w:t>a</w:t>
      </w:r>
      <w:r>
        <w:rPr>
          <w:spacing w:val="-5"/>
          <w:w w:val="105"/>
          <w:sz w:val="18"/>
        </w:rPr>
        <w:t xml:space="preserve"> </w:t>
      </w:r>
      <w:r>
        <w:rPr>
          <w:w w:val="105"/>
          <w:sz w:val="18"/>
        </w:rPr>
        <w:t>una</w:t>
      </w:r>
      <w:r>
        <w:rPr>
          <w:spacing w:val="-5"/>
          <w:w w:val="105"/>
          <w:sz w:val="18"/>
        </w:rPr>
        <w:t xml:space="preserve"> </w:t>
      </w:r>
      <w:r>
        <w:rPr>
          <w:w w:val="105"/>
          <w:sz w:val="18"/>
        </w:rPr>
        <w:t>'protección</w:t>
      </w:r>
      <w:r>
        <w:rPr>
          <w:spacing w:val="-5"/>
          <w:w w:val="105"/>
          <w:sz w:val="18"/>
        </w:rPr>
        <w:t xml:space="preserve"> </w:t>
      </w:r>
      <w:r>
        <w:rPr>
          <w:w w:val="105"/>
          <w:sz w:val="18"/>
        </w:rPr>
        <w:t>y</w:t>
      </w:r>
      <w:r>
        <w:rPr>
          <w:spacing w:val="-5"/>
          <w:w w:val="105"/>
          <w:sz w:val="18"/>
        </w:rPr>
        <w:t xml:space="preserve"> </w:t>
      </w:r>
      <w:r>
        <w:rPr>
          <w:w w:val="105"/>
          <w:sz w:val="18"/>
        </w:rPr>
        <w:t>recursos</w:t>
      </w:r>
      <w:r>
        <w:rPr>
          <w:spacing w:val="-5"/>
          <w:w w:val="105"/>
          <w:sz w:val="18"/>
        </w:rPr>
        <w:t xml:space="preserve"> </w:t>
      </w:r>
      <w:r>
        <w:rPr>
          <w:w w:val="105"/>
          <w:sz w:val="18"/>
        </w:rPr>
        <w:t>efectivos</w:t>
      </w:r>
      <w:r>
        <w:rPr>
          <w:spacing w:val="-6"/>
          <w:w w:val="105"/>
          <w:sz w:val="18"/>
        </w:rPr>
        <w:t xml:space="preserve"> </w:t>
      </w:r>
      <w:r>
        <w:rPr>
          <w:w w:val="105"/>
          <w:sz w:val="18"/>
        </w:rPr>
        <w:t>contra</w:t>
      </w:r>
      <w:r>
        <w:rPr>
          <w:spacing w:val="-5"/>
          <w:w w:val="105"/>
          <w:sz w:val="18"/>
        </w:rPr>
        <w:t xml:space="preserve"> </w:t>
      </w:r>
      <w:r>
        <w:rPr>
          <w:w w:val="105"/>
          <w:sz w:val="18"/>
        </w:rPr>
        <w:t>el acto</w:t>
      </w:r>
      <w:r>
        <w:rPr>
          <w:spacing w:val="-6"/>
          <w:w w:val="105"/>
          <w:sz w:val="18"/>
        </w:rPr>
        <w:t xml:space="preserve"> </w:t>
      </w:r>
      <w:r>
        <w:rPr>
          <w:w w:val="105"/>
          <w:sz w:val="18"/>
        </w:rPr>
        <w:t>de</w:t>
      </w:r>
      <w:r>
        <w:rPr>
          <w:spacing w:val="-6"/>
          <w:w w:val="105"/>
          <w:sz w:val="18"/>
        </w:rPr>
        <w:t xml:space="preserve"> </w:t>
      </w:r>
      <w:r>
        <w:rPr>
          <w:w w:val="105"/>
          <w:sz w:val="18"/>
        </w:rPr>
        <w:t>discriminación</w:t>
      </w:r>
      <w:r>
        <w:rPr>
          <w:spacing w:val="-6"/>
          <w:w w:val="105"/>
          <w:sz w:val="18"/>
        </w:rPr>
        <w:t xml:space="preserve"> </w:t>
      </w:r>
      <w:r>
        <w:rPr>
          <w:w w:val="105"/>
          <w:sz w:val="18"/>
        </w:rPr>
        <w:t>racial</w:t>
      </w:r>
      <w:r>
        <w:rPr>
          <w:spacing w:val="-6"/>
          <w:w w:val="105"/>
          <w:sz w:val="18"/>
        </w:rPr>
        <w:t xml:space="preserve"> </w:t>
      </w:r>
      <w:r>
        <w:rPr>
          <w:w w:val="105"/>
          <w:sz w:val="18"/>
        </w:rPr>
        <w:t>denunciado'”.</w:t>
      </w:r>
      <w:r>
        <w:rPr>
          <w:spacing w:val="-5"/>
          <w:w w:val="105"/>
          <w:sz w:val="18"/>
        </w:rPr>
        <w:t xml:space="preserve"> </w:t>
      </w:r>
      <w:r>
        <w:rPr>
          <w:w w:val="105"/>
          <w:sz w:val="18"/>
        </w:rPr>
        <w:t>El</w:t>
      </w:r>
      <w:r>
        <w:rPr>
          <w:spacing w:val="-6"/>
          <w:w w:val="105"/>
          <w:sz w:val="18"/>
        </w:rPr>
        <w:t xml:space="preserve"> </w:t>
      </w:r>
      <w:r>
        <w:rPr>
          <w:w w:val="105"/>
          <w:sz w:val="18"/>
        </w:rPr>
        <w:t>Comité</w:t>
      </w:r>
      <w:r>
        <w:rPr>
          <w:spacing w:val="-6"/>
          <w:w w:val="105"/>
          <w:sz w:val="18"/>
        </w:rPr>
        <w:t xml:space="preserve"> </w:t>
      </w:r>
      <w:r>
        <w:rPr>
          <w:w w:val="105"/>
          <w:sz w:val="18"/>
        </w:rPr>
        <w:t>recomendó</w:t>
      </w:r>
      <w:r>
        <w:rPr>
          <w:spacing w:val="-6"/>
          <w:w w:val="105"/>
          <w:sz w:val="18"/>
        </w:rPr>
        <w:t xml:space="preserve"> </w:t>
      </w:r>
      <w:r>
        <w:rPr>
          <w:w w:val="105"/>
          <w:sz w:val="18"/>
        </w:rPr>
        <w:t>que</w:t>
      </w:r>
      <w:r>
        <w:rPr>
          <w:spacing w:val="-6"/>
          <w:w w:val="105"/>
          <w:sz w:val="18"/>
        </w:rPr>
        <w:t xml:space="preserve"> </w:t>
      </w:r>
      <w:r>
        <w:rPr>
          <w:w w:val="105"/>
          <w:sz w:val="18"/>
        </w:rPr>
        <w:t>el</w:t>
      </w:r>
      <w:r>
        <w:rPr>
          <w:spacing w:val="-6"/>
          <w:w w:val="105"/>
          <w:sz w:val="18"/>
        </w:rPr>
        <w:t xml:space="preserve"> </w:t>
      </w:r>
      <w:r>
        <w:rPr>
          <w:w w:val="105"/>
          <w:sz w:val="18"/>
        </w:rPr>
        <w:t>Estado</w:t>
      </w:r>
      <w:r>
        <w:rPr>
          <w:spacing w:val="-6"/>
          <w:w w:val="105"/>
          <w:sz w:val="18"/>
        </w:rPr>
        <w:t xml:space="preserve"> </w:t>
      </w:r>
      <w:r>
        <w:rPr>
          <w:w w:val="105"/>
          <w:sz w:val="18"/>
        </w:rPr>
        <w:t>parte</w:t>
      </w:r>
      <w:r>
        <w:rPr>
          <w:spacing w:val="-6"/>
          <w:w w:val="105"/>
          <w:sz w:val="18"/>
        </w:rPr>
        <w:t xml:space="preserve"> </w:t>
      </w:r>
      <w:r>
        <w:rPr>
          <w:w w:val="105"/>
          <w:sz w:val="18"/>
        </w:rPr>
        <w:t>concediera</w:t>
      </w:r>
      <w:r>
        <w:rPr>
          <w:spacing w:val="-6"/>
          <w:w w:val="105"/>
          <w:sz w:val="18"/>
        </w:rPr>
        <w:t xml:space="preserve"> </w:t>
      </w:r>
      <w:r>
        <w:rPr>
          <w:w w:val="105"/>
          <w:sz w:val="18"/>
        </w:rPr>
        <w:t>al</w:t>
      </w:r>
      <w:r>
        <w:rPr>
          <w:spacing w:val="-6"/>
          <w:w w:val="105"/>
          <w:sz w:val="18"/>
        </w:rPr>
        <w:t xml:space="preserve"> </w:t>
      </w:r>
      <w:r>
        <w:rPr>
          <w:w w:val="105"/>
          <w:sz w:val="18"/>
        </w:rPr>
        <w:t xml:space="preserve">Sr. </w:t>
      </w:r>
      <w:proofErr w:type="spellStart"/>
      <w:r>
        <w:rPr>
          <w:w w:val="105"/>
          <w:sz w:val="18"/>
        </w:rPr>
        <w:t>Belemvire</w:t>
      </w:r>
      <w:proofErr w:type="spellEnd"/>
      <w:r>
        <w:rPr>
          <w:spacing w:val="-5"/>
          <w:w w:val="105"/>
          <w:sz w:val="18"/>
        </w:rPr>
        <w:t xml:space="preserve"> </w:t>
      </w:r>
      <w:r>
        <w:rPr>
          <w:w w:val="105"/>
          <w:sz w:val="18"/>
        </w:rPr>
        <w:t>una</w:t>
      </w:r>
      <w:r>
        <w:rPr>
          <w:spacing w:val="-5"/>
          <w:w w:val="105"/>
          <w:sz w:val="18"/>
        </w:rPr>
        <w:t xml:space="preserve"> </w:t>
      </w:r>
      <w:r>
        <w:rPr>
          <w:w w:val="105"/>
          <w:sz w:val="18"/>
        </w:rPr>
        <w:t>indemnización</w:t>
      </w:r>
      <w:r>
        <w:rPr>
          <w:spacing w:val="-5"/>
          <w:w w:val="105"/>
          <w:sz w:val="18"/>
        </w:rPr>
        <w:t xml:space="preserve"> </w:t>
      </w:r>
      <w:r>
        <w:rPr>
          <w:w w:val="105"/>
          <w:sz w:val="18"/>
        </w:rPr>
        <w:t>adecuada</w:t>
      </w:r>
      <w:r>
        <w:rPr>
          <w:spacing w:val="-5"/>
          <w:w w:val="105"/>
          <w:sz w:val="18"/>
        </w:rPr>
        <w:t xml:space="preserve"> </w:t>
      </w:r>
      <w:r>
        <w:rPr>
          <w:w w:val="105"/>
          <w:sz w:val="18"/>
        </w:rPr>
        <w:t>por</w:t>
      </w:r>
      <w:r>
        <w:rPr>
          <w:spacing w:val="-5"/>
          <w:w w:val="105"/>
          <w:sz w:val="18"/>
        </w:rPr>
        <w:t xml:space="preserve"> </w:t>
      </w:r>
      <w:r>
        <w:rPr>
          <w:w w:val="105"/>
          <w:sz w:val="18"/>
        </w:rPr>
        <w:t>el</w:t>
      </w:r>
      <w:r>
        <w:rPr>
          <w:spacing w:val="-5"/>
          <w:w w:val="105"/>
          <w:sz w:val="18"/>
        </w:rPr>
        <w:t xml:space="preserve"> </w:t>
      </w:r>
      <w:r>
        <w:rPr>
          <w:w w:val="105"/>
          <w:sz w:val="18"/>
        </w:rPr>
        <w:t>daño</w:t>
      </w:r>
      <w:r>
        <w:rPr>
          <w:spacing w:val="-5"/>
          <w:w w:val="105"/>
          <w:sz w:val="18"/>
        </w:rPr>
        <w:t xml:space="preserve"> </w:t>
      </w:r>
      <w:r>
        <w:rPr>
          <w:w w:val="105"/>
          <w:sz w:val="18"/>
        </w:rPr>
        <w:t>material</w:t>
      </w:r>
      <w:r>
        <w:rPr>
          <w:spacing w:val="-5"/>
          <w:w w:val="105"/>
          <w:sz w:val="18"/>
        </w:rPr>
        <w:t xml:space="preserve"> </w:t>
      </w:r>
      <w:r>
        <w:rPr>
          <w:w w:val="105"/>
          <w:sz w:val="18"/>
        </w:rPr>
        <w:t>y</w:t>
      </w:r>
      <w:r>
        <w:rPr>
          <w:spacing w:val="-5"/>
          <w:w w:val="105"/>
          <w:sz w:val="18"/>
        </w:rPr>
        <w:t xml:space="preserve"> </w:t>
      </w:r>
      <w:r>
        <w:rPr>
          <w:w w:val="105"/>
          <w:sz w:val="18"/>
        </w:rPr>
        <w:t>moral</w:t>
      </w:r>
      <w:r>
        <w:rPr>
          <w:spacing w:val="-5"/>
          <w:w w:val="105"/>
          <w:sz w:val="18"/>
        </w:rPr>
        <w:t xml:space="preserve"> </w:t>
      </w:r>
      <w:r>
        <w:rPr>
          <w:w w:val="105"/>
          <w:sz w:val="18"/>
        </w:rPr>
        <w:t>causado</w:t>
      </w:r>
      <w:r>
        <w:rPr>
          <w:spacing w:val="-5"/>
          <w:w w:val="105"/>
          <w:sz w:val="18"/>
        </w:rPr>
        <w:t xml:space="preserve"> </w:t>
      </w:r>
      <w:r>
        <w:rPr>
          <w:w w:val="105"/>
          <w:sz w:val="18"/>
        </w:rPr>
        <w:t>por</w:t>
      </w:r>
      <w:r>
        <w:rPr>
          <w:spacing w:val="-5"/>
          <w:w w:val="105"/>
          <w:sz w:val="18"/>
        </w:rPr>
        <w:t xml:space="preserve"> </w:t>
      </w:r>
      <w:r>
        <w:rPr>
          <w:w w:val="105"/>
          <w:sz w:val="18"/>
        </w:rPr>
        <w:t>la</w:t>
      </w:r>
      <w:r>
        <w:rPr>
          <w:spacing w:val="-5"/>
          <w:w w:val="105"/>
          <w:sz w:val="18"/>
        </w:rPr>
        <w:t xml:space="preserve"> </w:t>
      </w:r>
      <w:r>
        <w:rPr>
          <w:w w:val="105"/>
          <w:sz w:val="18"/>
        </w:rPr>
        <w:t>violación</w:t>
      </w:r>
      <w:r>
        <w:rPr>
          <w:spacing w:val="-5"/>
          <w:w w:val="105"/>
          <w:sz w:val="18"/>
        </w:rPr>
        <w:t xml:space="preserve"> </w:t>
      </w:r>
      <w:r>
        <w:rPr>
          <w:w w:val="105"/>
          <w:sz w:val="18"/>
        </w:rPr>
        <w:t>de</w:t>
      </w:r>
      <w:r>
        <w:rPr>
          <w:spacing w:val="-5"/>
          <w:w w:val="105"/>
          <w:sz w:val="18"/>
        </w:rPr>
        <w:t xml:space="preserve"> </w:t>
      </w:r>
      <w:r>
        <w:rPr>
          <w:w w:val="105"/>
          <w:sz w:val="18"/>
        </w:rPr>
        <w:t>la Convención,</w:t>
      </w:r>
      <w:r>
        <w:rPr>
          <w:spacing w:val="-14"/>
          <w:w w:val="105"/>
          <w:sz w:val="18"/>
        </w:rPr>
        <w:t xml:space="preserve"> </w:t>
      </w:r>
      <w:r>
        <w:rPr>
          <w:w w:val="105"/>
          <w:sz w:val="18"/>
        </w:rPr>
        <w:t>e</w:t>
      </w:r>
      <w:r>
        <w:rPr>
          <w:spacing w:val="-13"/>
          <w:w w:val="105"/>
          <w:sz w:val="18"/>
        </w:rPr>
        <w:t xml:space="preserve"> </w:t>
      </w:r>
      <w:r>
        <w:rPr>
          <w:w w:val="105"/>
          <w:sz w:val="18"/>
        </w:rPr>
        <w:t>instó</w:t>
      </w:r>
      <w:r>
        <w:rPr>
          <w:spacing w:val="-13"/>
          <w:w w:val="105"/>
          <w:sz w:val="18"/>
        </w:rPr>
        <w:t xml:space="preserve"> </w:t>
      </w:r>
      <w:r>
        <w:rPr>
          <w:w w:val="105"/>
          <w:sz w:val="18"/>
        </w:rPr>
        <w:t>además</w:t>
      </w:r>
      <w:r>
        <w:rPr>
          <w:spacing w:val="-13"/>
          <w:w w:val="105"/>
          <w:sz w:val="18"/>
        </w:rPr>
        <w:t xml:space="preserve"> </w:t>
      </w:r>
      <w:r>
        <w:rPr>
          <w:w w:val="105"/>
          <w:sz w:val="18"/>
        </w:rPr>
        <w:t>a</w:t>
      </w:r>
      <w:r>
        <w:rPr>
          <w:spacing w:val="-13"/>
          <w:w w:val="105"/>
          <w:sz w:val="18"/>
        </w:rPr>
        <w:t xml:space="preserve"> </w:t>
      </w:r>
      <w:r>
        <w:rPr>
          <w:w w:val="105"/>
          <w:sz w:val="18"/>
        </w:rPr>
        <w:t>que</w:t>
      </w:r>
      <w:r>
        <w:rPr>
          <w:spacing w:val="-13"/>
          <w:w w:val="105"/>
          <w:sz w:val="18"/>
        </w:rPr>
        <w:t xml:space="preserve"> </w:t>
      </w:r>
      <w:r>
        <w:rPr>
          <w:w w:val="105"/>
          <w:sz w:val="18"/>
        </w:rPr>
        <w:t>revisara</w:t>
      </w:r>
      <w:r>
        <w:rPr>
          <w:spacing w:val="-13"/>
          <w:w w:val="105"/>
          <w:sz w:val="18"/>
        </w:rPr>
        <w:t xml:space="preserve"> </w:t>
      </w:r>
      <w:r>
        <w:rPr>
          <w:w w:val="105"/>
          <w:sz w:val="18"/>
        </w:rPr>
        <w:t>su</w:t>
      </w:r>
      <w:r>
        <w:rPr>
          <w:spacing w:val="-14"/>
          <w:w w:val="105"/>
          <w:sz w:val="18"/>
        </w:rPr>
        <w:t xml:space="preserve"> </w:t>
      </w:r>
      <w:r>
        <w:rPr>
          <w:w w:val="105"/>
          <w:sz w:val="18"/>
        </w:rPr>
        <w:t>política</w:t>
      </w:r>
      <w:r>
        <w:rPr>
          <w:spacing w:val="-13"/>
          <w:w w:val="105"/>
          <w:sz w:val="18"/>
        </w:rPr>
        <w:t xml:space="preserve"> </w:t>
      </w:r>
      <w:r>
        <w:rPr>
          <w:w w:val="105"/>
          <w:sz w:val="18"/>
        </w:rPr>
        <w:t>y</w:t>
      </w:r>
      <w:r>
        <w:rPr>
          <w:spacing w:val="-13"/>
          <w:w w:val="105"/>
          <w:sz w:val="18"/>
        </w:rPr>
        <w:t xml:space="preserve"> </w:t>
      </w:r>
      <w:r>
        <w:rPr>
          <w:w w:val="105"/>
          <w:sz w:val="18"/>
        </w:rPr>
        <w:t>procedimientos</w:t>
      </w:r>
      <w:r>
        <w:rPr>
          <w:spacing w:val="-13"/>
          <w:w w:val="105"/>
          <w:sz w:val="18"/>
        </w:rPr>
        <w:t xml:space="preserve"> </w:t>
      </w:r>
      <w:r>
        <w:rPr>
          <w:w w:val="105"/>
          <w:sz w:val="18"/>
        </w:rPr>
        <w:t>relativos</w:t>
      </w:r>
      <w:r>
        <w:rPr>
          <w:spacing w:val="-13"/>
          <w:w w:val="105"/>
          <w:sz w:val="18"/>
        </w:rPr>
        <w:t xml:space="preserve"> </w:t>
      </w:r>
      <w:r>
        <w:rPr>
          <w:w w:val="105"/>
          <w:sz w:val="18"/>
        </w:rPr>
        <w:t>al</w:t>
      </w:r>
      <w:r>
        <w:rPr>
          <w:spacing w:val="-13"/>
          <w:w w:val="105"/>
          <w:sz w:val="18"/>
        </w:rPr>
        <w:t xml:space="preserve"> </w:t>
      </w:r>
      <w:r>
        <w:rPr>
          <w:w w:val="105"/>
          <w:sz w:val="18"/>
        </w:rPr>
        <w:t>enjuiciamiento</w:t>
      </w:r>
      <w:r>
        <w:rPr>
          <w:spacing w:val="-13"/>
          <w:w w:val="105"/>
          <w:sz w:val="18"/>
        </w:rPr>
        <w:t xml:space="preserve"> </w:t>
      </w:r>
      <w:r>
        <w:rPr>
          <w:w w:val="105"/>
          <w:sz w:val="18"/>
        </w:rPr>
        <w:t>de</w:t>
      </w:r>
      <w:r>
        <w:rPr>
          <w:spacing w:val="-13"/>
          <w:w w:val="105"/>
          <w:sz w:val="18"/>
        </w:rPr>
        <w:t xml:space="preserve"> </w:t>
      </w:r>
      <w:r>
        <w:rPr>
          <w:w w:val="105"/>
          <w:sz w:val="18"/>
        </w:rPr>
        <w:t>casos</w:t>
      </w:r>
    </w:p>
    <w:p w14:paraId="005A3363" w14:textId="77777777" w:rsidR="0014798C" w:rsidRDefault="004E1F0B">
      <w:pPr>
        <w:spacing w:line="203" w:lineRule="exact"/>
        <w:ind w:left="1333"/>
        <w:rPr>
          <w:sz w:val="18"/>
        </w:rPr>
      </w:pPr>
      <w:r>
        <w:rPr>
          <w:spacing w:val="-2"/>
          <w:w w:val="105"/>
          <w:sz w:val="18"/>
        </w:rPr>
        <w:t>de</w:t>
      </w:r>
      <w:r>
        <w:rPr>
          <w:spacing w:val="-4"/>
          <w:w w:val="105"/>
          <w:sz w:val="18"/>
        </w:rPr>
        <w:t xml:space="preserve"> </w:t>
      </w:r>
      <w:r>
        <w:rPr>
          <w:spacing w:val="-2"/>
          <w:w w:val="105"/>
          <w:sz w:val="18"/>
        </w:rPr>
        <w:t>presunta</w:t>
      </w:r>
      <w:r>
        <w:rPr>
          <w:spacing w:val="-3"/>
          <w:w w:val="105"/>
          <w:sz w:val="18"/>
        </w:rPr>
        <w:t xml:space="preserve"> </w:t>
      </w:r>
      <w:r>
        <w:rPr>
          <w:spacing w:val="-2"/>
          <w:w w:val="105"/>
          <w:sz w:val="18"/>
        </w:rPr>
        <w:t>discriminación</w:t>
      </w:r>
      <w:r>
        <w:rPr>
          <w:spacing w:val="-3"/>
          <w:w w:val="105"/>
          <w:sz w:val="18"/>
        </w:rPr>
        <w:t xml:space="preserve"> </w:t>
      </w:r>
      <w:r>
        <w:rPr>
          <w:spacing w:val="-2"/>
          <w:w w:val="105"/>
          <w:sz w:val="18"/>
        </w:rPr>
        <w:t>racial</w:t>
      </w:r>
      <w:r>
        <w:rPr>
          <w:spacing w:val="-4"/>
          <w:w w:val="105"/>
          <w:sz w:val="18"/>
        </w:rPr>
        <w:t xml:space="preserve"> </w:t>
      </w:r>
      <w:r>
        <w:rPr>
          <w:spacing w:val="-2"/>
          <w:w w:val="105"/>
          <w:sz w:val="18"/>
        </w:rPr>
        <w:t>o</w:t>
      </w:r>
      <w:r>
        <w:rPr>
          <w:spacing w:val="-3"/>
          <w:w w:val="105"/>
          <w:sz w:val="18"/>
        </w:rPr>
        <w:t xml:space="preserve"> </w:t>
      </w:r>
      <w:r>
        <w:rPr>
          <w:spacing w:val="-2"/>
          <w:w w:val="105"/>
          <w:sz w:val="18"/>
        </w:rPr>
        <w:t>discriminación</w:t>
      </w:r>
      <w:r>
        <w:rPr>
          <w:spacing w:val="-3"/>
          <w:w w:val="105"/>
          <w:sz w:val="18"/>
        </w:rPr>
        <w:t xml:space="preserve"> </w:t>
      </w:r>
      <w:r>
        <w:rPr>
          <w:spacing w:val="-2"/>
          <w:w w:val="105"/>
          <w:sz w:val="18"/>
        </w:rPr>
        <w:t>racial.</w:t>
      </w:r>
      <w:r>
        <w:rPr>
          <w:spacing w:val="-3"/>
          <w:w w:val="105"/>
          <w:sz w:val="18"/>
        </w:rPr>
        <w:t xml:space="preserve"> </w:t>
      </w:r>
      <w:r>
        <w:rPr>
          <w:spacing w:val="-2"/>
          <w:w w:val="105"/>
          <w:sz w:val="18"/>
        </w:rPr>
        <w:t>violencia</w:t>
      </w:r>
      <w:r>
        <w:rPr>
          <w:spacing w:val="-3"/>
          <w:w w:val="105"/>
          <w:sz w:val="18"/>
        </w:rPr>
        <w:t xml:space="preserve"> </w:t>
      </w:r>
      <w:r>
        <w:rPr>
          <w:spacing w:val="-2"/>
          <w:w w:val="105"/>
          <w:sz w:val="18"/>
        </w:rPr>
        <w:t>motivada, a</w:t>
      </w:r>
      <w:r>
        <w:rPr>
          <w:spacing w:val="-4"/>
          <w:w w:val="105"/>
          <w:sz w:val="18"/>
        </w:rPr>
        <w:t xml:space="preserve"> </w:t>
      </w:r>
      <w:r>
        <w:rPr>
          <w:spacing w:val="-2"/>
          <w:w w:val="105"/>
          <w:sz w:val="18"/>
        </w:rPr>
        <w:t>la</w:t>
      </w:r>
      <w:r>
        <w:rPr>
          <w:spacing w:val="-3"/>
          <w:w w:val="105"/>
          <w:sz w:val="18"/>
        </w:rPr>
        <w:t xml:space="preserve"> </w:t>
      </w:r>
      <w:r>
        <w:rPr>
          <w:spacing w:val="-2"/>
          <w:w w:val="105"/>
          <w:sz w:val="18"/>
        </w:rPr>
        <w:t>luz</w:t>
      </w:r>
      <w:r>
        <w:rPr>
          <w:spacing w:val="-3"/>
          <w:w w:val="105"/>
          <w:sz w:val="18"/>
        </w:rPr>
        <w:t xml:space="preserve"> </w:t>
      </w:r>
      <w:r>
        <w:rPr>
          <w:spacing w:val="-2"/>
          <w:w w:val="105"/>
          <w:sz w:val="18"/>
        </w:rPr>
        <w:t>de</w:t>
      </w:r>
      <w:r>
        <w:rPr>
          <w:spacing w:val="-4"/>
          <w:w w:val="105"/>
          <w:sz w:val="18"/>
        </w:rPr>
        <w:t xml:space="preserve"> </w:t>
      </w:r>
      <w:r>
        <w:rPr>
          <w:spacing w:val="-2"/>
          <w:w w:val="105"/>
          <w:sz w:val="18"/>
        </w:rPr>
        <w:t>sus</w:t>
      </w:r>
      <w:r>
        <w:rPr>
          <w:spacing w:val="-3"/>
          <w:w w:val="105"/>
          <w:sz w:val="18"/>
        </w:rPr>
        <w:t xml:space="preserve"> </w:t>
      </w:r>
      <w:r>
        <w:rPr>
          <w:spacing w:val="-2"/>
          <w:w w:val="105"/>
          <w:sz w:val="18"/>
        </w:rPr>
        <w:t>obligaciones</w:t>
      </w:r>
      <w:r>
        <w:rPr>
          <w:spacing w:val="-3"/>
          <w:w w:val="105"/>
          <w:sz w:val="18"/>
        </w:rPr>
        <w:t xml:space="preserve"> </w:t>
      </w:r>
      <w:r>
        <w:rPr>
          <w:spacing w:val="-2"/>
          <w:w w:val="105"/>
          <w:sz w:val="18"/>
        </w:rPr>
        <w:t>bajo</w:t>
      </w:r>
      <w:r>
        <w:rPr>
          <w:spacing w:val="-4"/>
          <w:w w:val="105"/>
          <w:sz w:val="18"/>
        </w:rPr>
        <w:t xml:space="preserve"> </w:t>
      </w:r>
      <w:r>
        <w:rPr>
          <w:spacing w:val="-2"/>
          <w:w w:val="105"/>
          <w:sz w:val="18"/>
        </w:rPr>
        <w:t>la</w:t>
      </w:r>
      <w:r>
        <w:rPr>
          <w:spacing w:val="-3"/>
          <w:w w:val="105"/>
          <w:sz w:val="18"/>
        </w:rPr>
        <w:t xml:space="preserve"> </w:t>
      </w:r>
      <w:r>
        <w:rPr>
          <w:spacing w:val="-2"/>
          <w:w w:val="105"/>
          <w:sz w:val="18"/>
        </w:rPr>
        <w:t>Convención.1</w:t>
      </w:r>
    </w:p>
    <w:p w14:paraId="1F7213AA" w14:textId="77777777" w:rsidR="0014798C" w:rsidRDefault="0014798C">
      <w:pPr>
        <w:pStyle w:val="Textoindependiente"/>
        <w:rPr>
          <w:sz w:val="17"/>
        </w:rPr>
      </w:pPr>
    </w:p>
    <w:p w14:paraId="76692B29" w14:textId="77777777" w:rsidR="0014798C" w:rsidRDefault="0014798C">
      <w:pPr>
        <w:pStyle w:val="Textoindependiente"/>
        <w:spacing w:before="118"/>
        <w:rPr>
          <w:sz w:val="17"/>
        </w:rPr>
      </w:pPr>
    </w:p>
    <w:p w14:paraId="3BA9BA48" w14:textId="77777777" w:rsidR="0014798C" w:rsidRDefault="004E1F0B">
      <w:pPr>
        <w:spacing w:line="307" w:lineRule="auto"/>
        <w:ind w:left="1107" w:right="1288" w:hanging="1"/>
        <w:rPr>
          <w:sz w:val="17"/>
        </w:rPr>
      </w:pPr>
      <w:r>
        <w:rPr>
          <w:sz w:val="16"/>
        </w:rPr>
        <w:t>El término “crimen de odio” se aplica a formas de conducta prohibidas por el derecho penal que están motivadas por prejuicios.</w:t>
      </w:r>
      <w:r>
        <w:rPr>
          <w:spacing w:val="40"/>
          <w:sz w:val="16"/>
        </w:rPr>
        <w:t xml:space="preserve"> </w:t>
      </w:r>
      <w:r>
        <w:rPr>
          <w:sz w:val="17"/>
        </w:rPr>
        <w:t>Según algunos conceptos, los delitos de odio incluyen no sólo actos de violencia discriminatoria como los descritos anteriormente, sino también actos como la destrucción de propiedad por motivos raciales u otros motivos discriminatorios. Los</w:t>
      </w:r>
      <w:r>
        <w:rPr>
          <w:spacing w:val="-1"/>
          <w:sz w:val="17"/>
        </w:rPr>
        <w:t xml:space="preserve"> </w:t>
      </w:r>
      <w:r>
        <w:rPr>
          <w:sz w:val="17"/>
        </w:rPr>
        <w:t>delitos</w:t>
      </w:r>
      <w:r>
        <w:rPr>
          <w:spacing w:val="-1"/>
          <w:sz w:val="17"/>
        </w:rPr>
        <w:t xml:space="preserve"> </w:t>
      </w:r>
      <w:r>
        <w:rPr>
          <w:sz w:val="17"/>
        </w:rPr>
        <w:t>de</w:t>
      </w:r>
      <w:r>
        <w:rPr>
          <w:spacing w:val="-1"/>
          <w:sz w:val="17"/>
        </w:rPr>
        <w:t xml:space="preserve"> </w:t>
      </w:r>
      <w:r>
        <w:rPr>
          <w:sz w:val="17"/>
        </w:rPr>
        <w:t>odio</w:t>
      </w:r>
      <w:r>
        <w:rPr>
          <w:spacing w:val="-1"/>
          <w:sz w:val="17"/>
        </w:rPr>
        <w:t xml:space="preserve"> </w:t>
      </w:r>
      <w:r>
        <w:rPr>
          <w:sz w:val="17"/>
        </w:rPr>
        <w:t>requieren</w:t>
      </w:r>
      <w:r>
        <w:rPr>
          <w:spacing w:val="-1"/>
          <w:sz w:val="17"/>
        </w:rPr>
        <w:t xml:space="preserve"> </w:t>
      </w:r>
      <w:r>
        <w:rPr>
          <w:sz w:val="17"/>
        </w:rPr>
        <w:t>reconocimiento</w:t>
      </w:r>
      <w:r>
        <w:rPr>
          <w:spacing w:val="-1"/>
          <w:sz w:val="17"/>
        </w:rPr>
        <w:t xml:space="preserve"> </w:t>
      </w:r>
      <w:r>
        <w:rPr>
          <w:sz w:val="17"/>
        </w:rPr>
        <w:t>y</w:t>
      </w:r>
      <w:r>
        <w:rPr>
          <w:spacing w:val="-1"/>
          <w:sz w:val="17"/>
        </w:rPr>
        <w:t xml:space="preserve"> </w:t>
      </w:r>
      <w:r>
        <w:rPr>
          <w:sz w:val="17"/>
        </w:rPr>
        <w:t>reparación</w:t>
      </w:r>
      <w:r>
        <w:rPr>
          <w:spacing w:val="-1"/>
          <w:sz w:val="17"/>
        </w:rPr>
        <w:t xml:space="preserve"> </w:t>
      </w:r>
      <w:r>
        <w:rPr>
          <w:sz w:val="17"/>
        </w:rPr>
        <w:t>conforme</w:t>
      </w:r>
      <w:r>
        <w:rPr>
          <w:spacing w:val="-1"/>
          <w:sz w:val="17"/>
        </w:rPr>
        <w:t xml:space="preserve"> </w:t>
      </w:r>
      <w:r>
        <w:rPr>
          <w:sz w:val="17"/>
        </w:rPr>
        <w:t>al</w:t>
      </w:r>
      <w:r>
        <w:rPr>
          <w:spacing w:val="-1"/>
          <w:sz w:val="17"/>
        </w:rPr>
        <w:t xml:space="preserve"> </w:t>
      </w:r>
      <w:r>
        <w:rPr>
          <w:sz w:val="17"/>
        </w:rPr>
        <w:t>derecho</w:t>
      </w:r>
      <w:r>
        <w:rPr>
          <w:spacing w:val="-1"/>
          <w:sz w:val="17"/>
        </w:rPr>
        <w:t xml:space="preserve"> </w:t>
      </w:r>
      <w:r>
        <w:rPr>
          <w:sz w:val="17"/>
        </w:rPr>
        <w:t>penal. El</w:t>
      </w:r>
      <w:r>
        <w:rPr>
          <w:spacing w:val="-1"/>
          <w:sz w:val="17"/>
        </w:rPr>
        <w:t xml:space="preserve"> </w:t>
      </w:r>
      <w:r>
        <w:rPr>
          <w:sz w:val="17"/>
        </w:rPr>
        <w:t>Comité</w:t>
      </w:r>
      <w:r>
        <w:rPr>
          <w:spacing w:val="-1"/>
          <w:sz w:val="17"/>
        </w:rPr>
        <w:t xml:space="preserve"> </w:t>
      </w:r>
      <w:r>
        <w:rPr>
          <w:sz w:val="17"/>
        </w:rPr>
        <w:t>de</w:t>
      </w:r>
      <w:r>
        <w:rPr>
          <w:spacing w:val="-1"/>
          <w:sz w:val="17"/>
        </w:rPr>
        <w:t xml:space="preserve"> </w:t>
      </w:r>
      <w:r>
        <w:rPr>
          <w:sz w:val="17"/>
        </w:rPr>
        <w:t>Derechos</w:t>
      </w:r>
      <w:r>
        <w:rPr>
          <w:spacing w:val="-1"/>
          <w:sz w:val="17"/>
        </w:rPr>
        <w:t xml:space="preserve"> </w:t>
      </w:r>
      <w:r>
        <w:rPr>
          <w:sz w:val="17"/>
        </w:rPr>
        <w:t>Humanos, el Comité</w:t>
      </w:r>
      <w:r>
        <w:rPr>
          <w:spacing w:val="-2"/>
          <w:sz w:val="17"/>
        </w:rPr>
        <w:t xml:space="preserve"> </w:t>
      </w:r>
      <w:r>
        <w:rPr>
          <w:sz w:val="17"/>
        </w:rPr>
        <w:t>para</w:t>
      </w:r>
      <w:r>
        <w:rPr>
          <w:spacing w:val="-2"/>
          <w:sz w:val="17"/>
        </w:rPr>
        <w:t xml:space="preserve"> </w:t>
      </w:r>
      <w:r>
        <w:rPr>
          <w:sz w:val="17"/>
        </w:rPr>
        <w:t>la</w:t>
      </w:r>
      <w:r>
        <w:rPr>
          <w:spacing w:val="-2"/>
          <w:sz w:val="17"/>
        </w:rPr>
        <w:t xml:space="preserve"> </w:t>
      </w:r>
      <w:r>
        <w:rPr>
          <w:sz w:val="17"/>
        </w:rPr>
        <w:t>Eliminación</w:t>
      </w:r>
      <w:r>
        <w:rPr>
          <w:spacing w:val="-2"/>
          <w:sz w:val="17"/>
        </w:rPr>
        <w:t xml:space="preserve"> </w:t>
      </w:r>
      <w:r>
        <w:rPr>
          <w:sz w:val="17"/>
        </w:rPr>
        <w:t>de</w:t>
      </w:r>
      <w:r>
        <w:rPr>
          <w:spacing w:val="-2"/>
          <w:sz w:val="17"/>
        </w:rPr>
        <w:t xml:space="preserve"> </w:t>
      </w:r>
      <w:r>
        <w:rPr>
          <w:sz w:val="17"/>
        </w:rPr>
        <w:t>la</w:t>
      </w:r>
      <w:r>
        <w:rPr>
          <w:spacing w:val="-2"/>
          <w:sz w:val="17"/>
        </w:rPr>
        <w:t xml:space="preserve"> </w:t>
      </w:r>
      <w:r>
        <w:rPr>
          <w:sz w:val="17"/>
        </w:rPr>
        <w:t>Discriminación</w:t>
      </w:r>
      <w:r>
        <w:rPr>
          <w:spacing w:val="-2"/>
          <w:sz w:val="17"/>
        </w:rPr>
        <w:t xml:space="preserve"> </w:t>
      </w:r>
      <w:r>
        <w:rPr>
          <w:sz w:val="17"/>
        </w:rPr>
        <w:t>Racial,</w:t>
      </w:r>
      <w:r>
        <w:rPr>
          <w:spacing w:val="-1"/>
          <w:sz w:val="17"/>
        </w:rPr>
        <w:t xml:space="preserve"> </w:t>
      </w:r>
      <w:r>
        <w:rPr>
          <w:sz w:val="17"/>
        </w:rPr>
        <w:t>el</w:t>
      </w:r>
      <w:r>
        <w:rPr>
          <w:spacing w:val="-2"/>
          <w:sz w:val="17"/>
        </w:rPr>
        <w:t xml:space="preserve"> </w:t>
      </w:r>
      <w:r>
        <w:rPr>
          <w:sz w:val="17"/>
        </w:rPr>
        <w:t>Comité</w:t>
      </w:r>
      <w:r>
        <w:rPr>
          <w:spacing w:val="-2"/>
          <w:sz w:val="17"/>
        </w:rPr>
        <w:t xml:space="preserve"> </w:t>
      </w:r>
      <w:r>
        <w:rPr>
          <w:sz w:val="17"/>
        </w:rPr>
        <w:t>para</w:t>
      </w:r>
      <w:r>
        <w:rPr>
          <w:spacing w:val="-2"/>
          <w:sz w:val="17"/>
        </w:rPr>
        <w:t xml:space="preserve"> </w:t>
      </w:r>
      <w:r>
        <w:rPr>
          <w:sz w:val="17"/>
        </w:rPr>
        <w:t>la</w:t>
      </w:r>
      <w:r>
        <w:rPr>
          <w:spacing w:val="-2"/>
          <w:sz w:val="17"/>
        </w:rPr>
        <w:t xml:space="preserve"> </w:t>
      </w:r>
      <w:r>
        <w:rPr>
          <w:sz w:val="17"/>
        </w:rPr>
        <w:t>Eliminación</w:t>
      </w:r>
      <w:r>
        <w:rPr>
          <w:spacing w:val="-2"/>
          <w:sz w:val="17"/>
        </w:rPr>
        <w:t xml:space="preserve"> </w:t>
      </w:r>
      <w:r>
        <w:rPr>
          <w:sz w:val="17"/>
        </w:rPr>
        <w:t>de</w:t>
      </w:r>
      <w:r>
        <w:rPr>
          <w:spacing w:val="-2"/>
          <w:sz w:val="17"/>
        </w:rPr>
        <w:t xml:space="preserve"> </w:t>
      </w:r>
      <w:r>
        <w:rPr>
          <w:sz w:val="17"/>
        </w:rPr>
        <w:t>la</w:t>
      </w:r>
      <w:r>
        <w:rPr>
          <w:spacing w:val="-2"/>
          <w:sz w:val="17"/>
        </w:rPr>
        <w:t xml:space="preserve"> </w:t>
      </w:r>
      <w:r>
        <w:rPr>
          <w:sz w:val="17"/>
        </w:rPr>
        <w:t>Discriminación</w:t>
      </w:r>
      <w:r>
        <w:rPr>
          <w:spacing w:val="-2"/>
          <w:sz w:val="17"/>
        </w:rPr>
        <w:t xml:space="preserve"> </w:t>
      </w:r>
      <w:r>
        <w:rPr>
          <w:sz w:val="17"/>
        </w:rPr>
        <w:t>contra</w:t>
      </w:r>
      <w:r>
        <w:rPr>
          <w:spacing w:val="-2"/>
          <w:sz w:val="17"/>
        </w:rPr>
        <w:t xml:space="preserve"> </w:t>
      </w:r>
      <w:r>
        <w:rPr>
          <w:sz w:val="17"/>
        </w:rPr>
        <w:t>la</w:t>
      </w:r>
      <w:r>
        <w:rPr>
          <w:spacing w:val="-2"/>
          <w:sz w:val="17"/>
        </w:rPr>
        <w:t xml:space="preserve"> </w:t>
      </w:r>
      <w:r>
        <w:rPr>
          <w:sz w:val="17"/>
        </w:rPr>
        <w:t>Mujer</w:t>
      </w:r>
      <w:r>
        <w:rPr>
          <w:spacing w:val="-2"/>
          <w:sz w:val="17"/>
        </w:rPr>
        <w:t xml:space="preserve"> </w:t>
      </w:r>
      <w:r>
        <w:rPr>
          <w:sz w:val="17"/>
        </w:rPr>
        <w:t>y el Comité sobre los Derechos de las Personas con Discapacidad han criticado la ausencia de prohibiciones integrales de los</w:t>
      </w:r>
      <w:r>
        <w:rPr>
          <w:spacing w:val="-2"/>
          <w:sz w:val="17"/>
        </w:rPr>
        <w:t xml:space="preserve"> </w:t>
      </w:r>
      <w:r>
        <w:rPr>
          <w:sz w:val="17"/>
        </w:rPr>
        <w:t>delitos</w:t>
      </w:r>
      <w:r>
        <w:rPr>
          <w:spacing w:val="-2"/>
          <w:sz w:val="17"/>
        </w:rPr>
        <w:t xml:space="preserve"> </w:t>
      </w:r>
      <w:r>
        <w:rPr>
          <w:sz w:val="17"/>
        </w:rPr>
        <w:t>de</w:t>
      </w:r>
      <w:r>
        <w:rPr>
          <w:spacing w:val="-2"/>
          <w:sz w:val="17"/>
        </w:rPr>
        <w:t xml:space="preserve"> </w:t>
      </w:r>
      <w:r>
        <w:rPr>
          <w:sz w:val="17"/>
        </w:rPr>
        <w:t>odio</w:t>
      </w:r>
      <w:r>
        <w:rPr>
          <w:spacing w:val="-2"/>
          <w:sz w:val="17"/>
        </w:rPr>
        <w:t xml:space="preserve"> </w:t>
      </w:r>
      <w:r>
        <w:rPr>
          <w:sz w:val="17"/>
        </w:rPr>
        <w:t>en</w:t>
      </w:r>
      <w:r>
        <w:rPr>
          <w:spacing w:val="-2"/>
          <w:sz w:val="17"/>
        </w:rPr>
        <w:t xml:space="preserve"> </w:t>
      </w:r>
      <w:r>
        <w:rPr>
          <w:sz w:val="17"/>
        </w:rPr>
        <w:t>los</w:t>
      </w:r>
      <w:r>
        <w:rPr>
          <w:spacing w:val="-2"/>
          <w:sz w:val="17"/>
        </w:rPr>
        <w:t xml:space="preserve"> </w:t>
      </w:r>
      <w:r>
        <w:rPr>
          <w:sz w:val="17"/>
        </w:rPr>
        <w:t>marcos</w:t>
      </w:r>
      <w:r>
        <w:rPr>
          <w:spacing w:val="-2"/>
          <w:sz w:val="17"/>
        </w:rPr>
        <w:t xml:space="preserve"> </w:t>
      </w:r>
      <w:r>
        <w:rPr>
          <w:sz w:val="17"/>
        </w:rPr>
        <w:t>legales</w:t>
      </w:r>
      <w:r>
        <w:rPr>
          <w:spacing w:val="-2"/>
          <w:sz w:val="17"/>
        </w:rPr>
        <w:t xml:space="preserve"> </w:t>
      </w:r>
      <w:r>
        <w:rPr>
          <w:sz w:val="17"/>
        </w:rPr>
        <w:t>de</w:t>
      </w:r>
      <w:r>
        <w:rPr>
          <w:spacing w:val="-2"/>
          <w:sz w:val="17"/>
        </w:rPr>
        <w:t xml:space="preserve"> </w:t>
      </w:r>
      <w:r>
        <w:rPr>
          <w:sz w:val="17"/>
        </w:rPr>
        <w:t>los</w:t>
      </w:r>
      <w:r>
        <w:rPr>
          <w:spacing w:val="-2"/>
          <w:sz w:val="17"/>
        </w:rPr>
        <w:t xml:space="preserve"> </w:t>
      </w:r>
      <w:r>
        <w:rPr>
          <w:sz w:val="17"/>
        </w:rPr>
        <w:t>Estados.</w:t>
      </w:r>
      <w:r>
        <w:rPr>
          <w:spacing w:val="-1"/>
          <w:sz w:val="17"/>
        </w:rPr>
        <w:t xml:space="preserve"> </w:t>
      </w:r>
      <w:r>
        <w:rPr>
          <w:sz w:val="17"/>
        </w:rPr>
        <w:t>1127</w:t>
      </w:r>
      <w:r>
        <w:rPr>
          <w:spacing w:val="-2"/>
          <w:sz w:val="17"/>
        </w:rPr>
        <w:t xml:space="preserve"> </w:t>
      </w:r>
      <w:r>
        <w:rPr>
          <w:sz w:val="17"/>
        </w:rPr>
        <w:t>El</w:t>
      </w:r>
      <w:r>
        <w:rPr>
          <w:spacing w:val="-2"/>
          <w:sz w:val="17"/>
        </w:rPr>
        <w:t xml:space="preserve"> </w:t>
      </w:r>
      <w:r>
        <w:rPr>
          <w:sz w:val="17"/>
        </w:rPr>
        <w:t>Comité</w:t>
      </w:r>
      <w:r>
        <w:rPr>
          <w:spacing w:val="-2"/>
          <w:sz w:val="17"/>
        </w:rPr>
        <w:t xml:space="preserve"> </w:t>
      </w:r>
      <w:r>
        <w:rPr>
          <w:sz w:val="17"/>
        </w:rPr>
        <w:t>para</w:t>
      </w:r>
      <w:r>
        <w:rPr>
          <w:spacing w:val="-2"/>
          <w:sz w:val="17"/>
        </w:rPr>
        <w:t xml:space="preserve"> </w:t>
      </w:r>
      <w:r>
        <w:rPr>
          <w:sz w:val="17"/>
        </w:rPr>
        <w:t>la</w:t>
      </w:r>
      <w:r>
        <w:rPr>
          <w:spacing w:val="-2"/>
          <w:sz w:val="17"/>
        </w:rPr>
        <w:t xml:space="preserve"> </w:t>
      </w:r>
      <w:r>
        <w:rPr>
          <w:sz w:val="17"/>
        </w:rPr>
        <w:t>Eliminación</w:t>
      </w:r>
      <w:r>
        <w:rPr>
          <w:spacing w:val="-2"/>
          <w:sz w:val="17"/>
        </w:rPr>
        <w:t xml:space="preserve"> </w:t>
      </w:r>
      <w:r>
        <w:rPr>
          <w:sz w:val="17"/>
        </w:rPr>
        <w:t>de</w:t>
      </w:r>
      <w:r>
        <w:rPr>
          <w:spacing w:val="-2"/>
          <w:sz w:val="17"/>
        </w:rPr>
        <w:t xml:space="preserve"> </w:t>
      </w:r>
      <w:r>
        <w:rPr>
          <w:sz w:val="17"/>
        </w:rPr>
        <w:t>la</w:t>
      </w:r>
      <w:r>
        <w:rPr>
          <w:spacing w:val="-2"/>
          <w:sz w:val="17"/>
        </w:rPr>
        <w:t xml:space="preserve"> </w:t>
      </w:r>
      <w:r>
        <w:rPr>
          <w:sz w:val="17"/>
        </w:rPr>
        <w:t>Discriminación</w:t>
      </w:r>
      <w:r>
        <w:rPr>
          <w:spacing w:val="-2"/>
          <w:sz w:val="17"/>
        </w:rPr>
        <w:t xml:space="preserve"> </w:t>
      </w:r>
      <w:r>
        <w:rPr>
          <w:sz w:val="17"/>
        </w:rPr>
        <w:t>Racial</w:t>
      </w:r>
      <w:r>
        <w:rPr>
          <w:spacing w:val="-2"/>
          <w:sz w:val="17"/>
        </w:rPr>
        <w:t xml:space="preserve"> </w:t>
      </w:r>
      <w:r>
        <w:rPr>
          <w:sz w:val="17"/>
        </w:rPr>
        <w:t>ha dictaminado</w:t>
      </w:r>
      <w:r>
        <w:rPr>
          <w:spacing w:val="-1"/>
          <w:sz w:val="17"/>
        </w:rPr>
        <w:t xml:space="preserve"> </w:t>
      </w:r>
      <w:r>
        <w:rPr>
          <w:sz w:val="17"/>
        </w:rPr>
        <w:t>recientemente</w:t>
      </w:r>
      <w:r>
        <w:rPr>
          <w:spacing w:val="-1"/>
          <w:sz w:val="17"/>
        </w:rPr>
        <w:t xml:space="preserve"> </w:t>
      </w:r>
      <w:r>
        <w:rPr>
          <w:sz w:val="17"/>
        </w:rPr>
        <w:t>que</w:t>
      </w:r>
      <w:r>
        <w:rPr>
          <w:spacing w:val="-1"/>
          <w:sz w:val="17"/>
        </w:rPr>
        <w:t xml:space="preserve"> </w:t>
      </w:r>
      <w:r>
        <w:rPr>
          <w:sz w:val="17"/>
        </w:rPr>
        <w:t>el</w:t>
      </w:r>
      <w:r>
        <w:rPr>
          <w:spacing w:val="-1"/>
          <w:sz w:val="17"/>
        </w:rPr>
        <w:t xml:space="preserve"> </w:t>
      </w:r>
      <w:r>
        <w:rPr>
          <w:sz w:val="17"/>
        </w:rPr>
        <w:t>castigo</w:t>
      </w:r>
      <w:r>
        <w:rPr>
          <w:spacing w:val="-1"/>
          <w:sz w:val="17"/>
        </w:rPr>
        <w:t xml:space="preserve"> </w:t>
      </w:r>
      <w:r>
        <w:rPr>
          <w:sz w:val="17"/>
        </w:rPr>
        <w:t>penal</w:t>
      </w:r>
      <w:r>
        <w:rPr>
          <w:spacing w:val="-1"/>
          <w:sz w:val="17"/>
        </w:rPr>
        <w:t xml:space="preserve"> </w:t>
      </w:r>
      <w:r>
        <w:rPr>
          <w:sz w:val="17"/>
        </w:rPr>
        <w:t>que</w:t>
      </w:r>
      <w:r>
        <w:rPr>
          <w:spacing w:val="-1"/>
          <w:sz w:val="17"/>
        </w:rPr>
        <w:t xml:space="preserve"> </w:t>
      </w:r>
      <w:r>
        <w:rPr>
          <w:sz w:val="17"/>
        </w:rPr>
        <w:t>no</w:t>
      </w:r>
      <w:r>
        <w:rPr>
          <w:spacing w:val="-1"/>
          <w:sz w:val="17"/>
        </w:rPr>
        <w:t xml:space="preserve"> </w:t>
      </w:r>
      <w:r>
        <w:rPr>
          <w:sz w:val="17"/>
        </w:rPr>
        <w:t>reconoce</w:t>
      </w:r>
      <w:r>
        <w:rPr>
          <w:spacing w:val="-1"/>
          <w:sz w:val="17"/>
        </w:rPr>
        <w:t xml:space="preserve"> </w:t>
      </w:r>
      <w:r>
        <w:rPr>
          <w:sz w:val="17"/>
        </w:rPr>
        <w:t>explícitamente</w:t>
      </w:r>
      <w:r>
        <w:rPr>
          <w:spacing w:val="-1"/>
          <w:sz w:val="17"/>
        </w:rPr>
        <w:t xml:space="preserve"> </w:t>
      </w:r>
      <w:r>
        <w:rPr>
          <w:sz w:val="17"/>
        </w:rPr>
        <w:t>un</w:t>
      </w:r>
      <w:r>
        <w:rPr>
          <w:spacing w:val="-1"/>
          <w:sz w:val="17"/>
        </w:rPr>
        <w:t xml:space="preserve"> </w:t>
      </w:r>
      <w:r>
        <w:rPr>
          <w:sz w:val="17"/>
        </w:rPr>
        <w:t>motivo</w:t>
      </w:r>
      <w:r>
        <w:rPr>
          <w:spacing w:val="-1"/>
          <w:sz w:val="17"/>
        </w:rPr>
        <w:t xml:space="preserve"> </w:t>
      </w:r>
      <w:r>
        <w:rPr>
          <w:sz w:val="17"/>
        </w:rPr>
        <w:t>de</w:t>
      </w:r>
      <w:r>
        <w:rPr>
          <w:spacing w:val="-1"/>
          <w:sz w:val="17"/>
        </w:rPr>
        <w:t xml:space="preserve"> </w:t>
      </w:r>
      <w:r>
        <w:rPr>
          <w:sz w:val="17"/>
        </w:rPr>
        <w:t>parcialidad</w:t>
      </w:r>
      <w:r>
        <w:rPr>
          <w:spacing w:val="-1"/>
          <w:sz w:val="17"/>
        </w:rPr>
        <w:t xml:space="preserve"> </w:t>
      </w:r>
      <w:r>
        <w:rPr>
          <w:sz w:val="17"/>
        </w:rPr>
        <w:t>viola</w:t>
      </w:r>
      <w:r>
        <w:rPr>
          <w:spacing w:val="-1"/>
          <w:sz w:val="17"/>
        </w:rPr>
        <w:t xml:space="preserve"> </w:t>
      </w:r>
      <w:r>
        <w:rPr>
          <w:sz w:val="17"/>
        </w:rPr>
        <w:t>el</w:t>
      </w:r>
      <w:r>
        <w:rPr>
          <w:spacing w:val="-1"/>
          <w:sz w:val="17"/>
        </w:rPr>
        <w:t xml:space="preserve"> </w:t>
      </w:r>
      <w:r>
        <w:rPr>
          <w:sz w:val="17"/>
        </w:rPr>
        <w:t>artículo</w:t>
      </w:r>
      <w:r>
        <w:rPr>
          <w:spacing w:val="-1"/>
          <w:sz w:val="17"/>
        </w:rPr>
        <w:t xml:space="preserve"> </w:t>
      </w:r>
      <w:r>
        <w:rPr>
          <w:sz w:val="17"/>
        </w:rPr>
        <w:t>6 de la Convención pertinente sobre el derecho a un recurso efectivo en caso de discriminación.1128</w:t>
      </w:r>
    </w:p>
    <w:p w14:paraId="795C35B1" w14:textId="77777777" w:rsidR="0014798C" w:rsidRDefault="004E1F0B">
      <w:pPr>
        <w:spacing w:before="172" w:line="307" w:lineRule="auto"/>
        <w:ind w:left="1107" w:right="1272" w:firstLine="4"/>
        <w:rPr>
          <w:sz w:val="17"/>
        </w:rPr>
      </w:pPr>
      <w:r>
        <w:rPr>
          <w:sz w:val="17"/>
        </w:rPr>
        <w:t>Los Estados tienen la obligación positiva de reconocer explícitamente la motivación parcial de los actos delictivos sobre la base</w:t>
      </w:r>
      <w:r>
        <w:rPr>
          <w:spacing w:val="-4"/>
          <w:sz w:val="17"/>
        </w:rPr>
        <w:t xml:space="preserve"> </w:t>
      </w:r>
      <w:r>
        <w:rPr>
          <w:sz w:val="17"/>
        </w:rPr>
        <w:t>de</w:t>
      </w:r>
      <w:r>
        <w:rPr>
          <w:spacing w:val="-4"/>
          <w:sz w:val="17"/>
        </w:rPr>
        <w:t xml:space="preserve"> </w:t>
      </w:r>
      <w:r>
        <w:rPr>
          <w:sz w:val="17"/>
        </w:rPr>
        <w:t>todos</w:t>
      </w:r>
      <w:r>
        <w:rPr>
          <w:spacing w:val="-4"/>
          <w:sz w:val="17"/>
        </w:rPr>
        <w:t xml:space="preserve"> </w:t>
      </w:r>
      <w:r>
        <w:rPr>
          <w:sz w:val="17"/>
        </w:rPr>
        <w:t>los</w:t>
      </w:r>
      <w:r>
        <w:rPr>
          <w:spacing w:val="-4"/>
          <w:sz w:val="17"/>
        </w:rPr>
        <w:t xml:space="preserve"> </w:t>
      </w:r>
      <w:r>
        <w:rPr>
          <w:sz w:val="17"/>
        </w:rPr>
        <w:t>motivos</w:t>
      </w:r>
      <w:r>
        <w:rPr>
          <w:spacing w:val="-4"/>
          <w:sz w:val="17"/>
        </w:rPr>
        <w:t xml:space="preserve"> </w:t>
      </w:r>
      <w:r>
        <w:rPr>
          <w:sz w:val="17"/>
        </w:rPr>
        <w:t>de</w:t>
      </w:r>
      <w:r>
        <w:rPr>
          <w:spacing w:val="-4"/>
          <w:sz w:val="17"/>
        </w:rPr>
        <w:t xml:space="preserve"> </w:t>
      </w:r>
      <w:r>
        <w:rPr>
          <w:sz w:val="17"/>
        </w:rPr>
        <w:t>discriminación</w:t>
      </w:r>
      <w:r>
        <w:rPr>
          <w:spacing w:val="-4"/>
          <w:sz w:val="17"/>
        </w:rPr>
        <w:t xml:space="preserve"> </w:t>
      </w:r>
      <w:r>
        <w:rPr>
          <w:sz w:val="17"/>
        </w:rPr>
        <w:t>reconocidos</w:t>
      </w:r>
      <w:r>
        <w:rPr>
          <w:spacing w:val="-4"/>
          <w:sz w:val="17"/>
        </w:rPr>
        <w:t xml:space="preserve"> </w:t>
      </w:r>
      <w:r>
        <w:rPr>
          <w:sz w:val="17"/>
        </w:rPr>
        <w:t>en</w:t>
      </w:r>
      <w:r>
        <w:rPr>
          <w:spacing w:val="-4"/>
          <w:sz w:val="17"/>
        </w:rPr>
        <w:t xml:space="preserve"> </w:t>
      </w:r>
      <w:r>
        <w:rPr>
          <w:sz w:val="17"/>
        </w:rPr>
        <w:t>el</w:t>
      </w:r>
      <w:r>
        <w:rPr>
          <w:spacing w:val="-4"/>
          <w:sz w:val="17"/>
        </w:rPr>
        <w:t xml:space="preserve"> </w:t>
      </w:r>
      <w:r>
        <w:rPr>
          <w:sz w:val="17"/>
        </w:rPr>
        <w:t>derecho</w:t>
      </w:r>
      <w:r>
        <w:rPr>
          <w:spacing w:val="-4"/>
          <w:sz w:val="17"/>
        </w:rPr>
        <w:t xml:space="preserve"> </w:t>
      </w:r>
      <w:r>
        <w:rPr>
          <w:sz w:val="17"/>
        </w:rPr>
        <w:t>internacional</w:t>
      </w:r>
      <w:r>
        <w:rPr>
          <w:spacing w:val="-4"/>
          <w:sz w:val="17"/>
        </w:rPr>
        <w:t xml:space="preserve"> </w:t>
      </w:r>
      <w:r>
        <w:rPr>
          <w:sz w:val="17"/>
        </w:rPr>
        <w:t>como</w:t>
      </w:r>
      <w:r>
        <w:rPr>
          <w:spacing w:val="-4"/>
          <w:sz w:val="17"/>
        </w:rPr>
        <w:t xml:space="preserve"> </w:t>
      </w:r>
      <w:r>
        <w:rPr>
          <w:sz w:val="17"/>
        </w:rPr>
        <w:t>se</w:t>
      </w:r>
      <w:r>
        <w:rPr>
          <w:spacing w:val="-4"/>
          <w:sz w:val="17"/>
        </w:rPr>
        <w:t xml:space="preserve"> </w:t>
      </w:r>
      <w:r>
        <w:rPr>
          <w:sz w:val="17"/>
        </w:rPr>
        <w:t>establece</w:t>
      </w:r>
      <w:r>
        <w:rPr>
          <w:spacing w:val="-4"/>
          <w:sz w:val="17"/>
        </w:rPr>
        <w:t xml:space="preserve"> </w:t>
      </w:r>
      <w:r>
        <w:rPr>
          <w:sz w:val="17"/>
        </w:rPr>
        <w:t>anteriormente.</w:t>
      </w:r>
      <w:r>
        <w:rPr>
          <w:spacing w:val="-4"/>
          <w:sz w:val="17"/>
        </w:rPr>
        <w:t xml:space="preserve"> </w:t>
      </w:r>
      <w:r>
        <w:rPr>
          <w:sz w:val="17"/>
        </w:rPr>
        <w:t>Sin embargo, la necesidad de garantizar la previsibilidad en el derecho penal exige que se cierre la lista de motivos de las disposiciones</w:t>
      </w:r>
      <w:r>
        <w:rPr>
          <w:spacing w:val="-5"/>
          <w:sz w:val="17"/>
        </w:rPr>
        <w:t xml:space="preserve"> </w:t>
      </w:r>
      <w:r>
        <w:rPr>
          <w:sz w:val="17"/>
        </w:rPr>
        <w:t>del</w:t>
      </w:r>
      <w:r>
        <w:rPr>
          <w:spacing w:val="-5"/>
          <w:sz w:val="17"/>
        </w:rPr>
        <w:t xml:space="preserve"> </w:t>
      </w:r>
      <w:r>
        <w:rPr>
          <w:sz w:val="17"/>
        </w:rPr>
        <w:t>derecho</w:t>
      </w:r>
      <w:r>
        <w:rPr>
          <w:spacing w:val="-5"/>
          <w:sz w:val="17"/>
        </w:rPr>
        <w:t xml:space="preserve"> </w:t>
      </w:r>
      <w:r>
        <w:rPr>
          <w:sz w:val="17"/>
        </w:rPr>
        <w:t>penal</w:t>
      </w:r>
      <w:r>
        <w:rPr>
          <w:spacing w:val="-5"/>
          <w:sz w:val="17"/>
        </w:rPr>
        <w:t xml:space="preserve"> </w:t>
      </w:r>
      <w:r>
        <w:rPr>
          <w:sz w:val="17"/>
        </w:rPr>
        <w:t>que</w:t>
      </w:r>
      <w:r>
        <w:rPr>
          <w:spacing w:val="-5"/>
          <w:sz w:val="17"/>
        </w:rPr>
        <w:t xml:space="preserve"> </w:t>
      </w:r>
      <w:r>
        <w:rPr>
          <w:sz w:val="17"/>
        </w:rPr>
        <w:t>rigen</w:t>
      </w:r>
      <w:r>
        <w:rPr>
          <w:spacing w:val="-5"/>
          <w:sz w:val="17"/>
        </w:rPr>
        <w:t xml:space="preserve"> </w:t>
      </w:r>
      <w:r>
        <w:rPr>
          <w:sz w:val="17"/>
        </w:rPr>
        <w:t>los</w:t>
      </w:r>
      <w:r>
        <w:rPr>
          <w:spacing w:val="-5"/>
          <w:sz w:val="17"/>
        </w:rPr>
        <w:t xml:space="preserve"> </w:t>
      </w:r>
      <w:r>
        <w:rPr>
          <w:sz w:val="17"/>
        </w:rPr>
        <w:t>delitos</w:t>
      </w:r>
      <w:r>
        <w:rPr>
          <w:spacing w:val="-5"/>
          <w:sz w:val="17"/>
        </w:rPr>
        <w:t xml:space="preserve"> </w:t>
      </w:r>
      <w:r>
        <w:rPr>
          <w:sz w:val="17"/>
        </w:rPr>
        <w:t>de</w:t>
      </w:r>
      <w:r>
        <w:rPr>
          <w:spacing w:val="-5"/>
          <w:sz w:val="17"/>
        </w:rPr>
        <w:t xml:space="preserve"> </w:t>
      </w:r>
      <w:r>
        <w:rPr>
          <w:sz w:val="17"/>
        </w:rPr>
        <w:t>odio</w:t>
      </w:r>
      <w:r>
        <w:rPr>
          <w:spacing w:val="-5"/>
          <w:sz w:val="17"/>
        </w:rPr>
        <w:t xml:space="preserve"> </w:t>
      </w:r>
      <w:r>
        <w:rPr>
          <w:sz w:val="17"/>
        </w:rPr>
        <w:t>(es</w:t>
      </w:r>
      <w:r>
        <w:rPr>
          <w:spacing w:val="-5"/>
          <w:sz w:val="17"/>
        </w:rPr>
        <w:t xml:space="preserve"> </w:t>
      </w:r>
      <w:r>
        <w:rPr>
          <w:sz w:val="17"/>
        </w:rPr>
        <w:t>decir,</w:t>
      </w:r>
      <w:r>
        <w:rPr>
          <w:spacing w:val="-4"/>
          <w:sz w:val="17"/>
        </w:rPr>
        <w:t xml:space="preserve"> </w:t>
      </w:r>
      <w:r>
        <w:rPr>
          <w:sz w:val="17"/>
        </w:rPr>
        <w:t>no</w:t>
      </w:r>
      <w:r>
        <w:rPr>
          <w:spacing w:val="-5"/>
          <w:sz w:val="17"/>
        </w:rPr>
        <w:t xml:space="preserve"> </w:t>
      </w:r>
      <w:r>
        <w:rPr>
          <w:sz w:val="17"/>
        </w:rPr>
        <w:t>se</w:t>
      </w:r>
      <w:r>
        <w:rPr>
          <w:spacing w:val="-5"/>
          <w:sz w:val="17"/>
        </w:rPr>
        <w:t xml:space="preserve"> </w:t>
      </w:r>
      <w:r>
        <w:rPr>
          <w:sz w:val="17"/>
        </w:rPr>
        <w:t>incluya</w:t>
      </w:r>
      <w:r>
        <w:rPr>
          <w:spacing w:val="-5"/>
          <w:sz w:val="17"/>
        </w:rPr>
        <w:t xml:space="preserve"> </w:t>
      </w:r>
      <w:r>
        <w:rPr>
          <w:sz w:val="17"/>
        </w:rPr>
        <w:t>la</w:t>
      </w:r>
      <w:r>
        <w:rPr>
          <w:spacing w:val="-5"/>
          <w:sz w:val="17"/>
        </w:rPr>
        <w:t xml:space="preserve"> </w:t>
      </w:r>
      <w:r>
        <w:rPr>
          <w:sz w:val="17"/>
        </w:rPr>
        <w:t>categoría</w:t>
      </w:r>
      <w:r>
        <w:rPr>
          <w:spacing w:val="-5"/>
          <w:sz w:val="17"/>
        </w:rPr>
        <w:t xml:space="preserve"> </w:t>
      </w:r>
      <w:r>
        <w:rPr>
          <w:sz w:val="17"/>
        </w:rPr>
        <w:t>“u</w:t>
      </w:r>
      <w:r>
        <w:rPr>
          <w:spacing w:val="-5"/>
          <w:sz w:val="17"/>
        </w:rPr>
        <w:t xml:space="preserve"> </w:t>
      </w:r>
      <w:r>
        <w:rPr>
          <w:sz w:val="17"/>
        </w:rPr>
        <w:t>otra</w:t>
      </w:r>
      <w:r>
        <w:rPr>
          <w:spacing w:val="-5"/>
          <w:sz w:val="17"/>
        </w:rPr>
        <w:t xml:space="preserve"> </w:t>
      </w:r>
      <w:r>
        <w:rPr>
          <w:sz w:val="17"/>
        </w:rPr>
        <w:t>condición</w:t>
      </w:r>
      <w:r>
        <w:rPr>
          <w:spacing w:val="-5"/>
          <w:sz w:val="17"/>
        </w:rPr>
        <w:t xml:space="preserve"> </w:t>
      </w:r>
      <w:r>
        <w:rPr>
          <w:sz w:val="17"/>
        </w:rPr>
        <w:t>similar”). Esto contrasta con el requisito de que una ley integral contra la discriminación tenga una lista abierta de motivos.</w:t>
      </w:r>
    </w:p>
    <w:p w14:paraId="6184C9D3" w14:textId="77777777" w:rsidR="0014798C" w:rsidRDefault="004E1F0B">
      <w:pPr>
        <w:spacing w:before="168" w:line="307" w:lineRule="auto"/>
        <w:ind w:left="1108" w:right="1239" w:hanging="2"/>
        <w:rPr>
          <w:sz w:val="17"/>
        </w:rPr>
      </w:pPr>
      <w:r>
        <w:rPr>
          <w:sz w:val="17"/>
        </w:rPr>
        <w:t>No</w:t>
      </w:r>
      <w:r>
        <w:rPr>
          <w:spacing w:val="-6"/>
          <w:sz w:val="17"/>
        </w:rPr>
        <w:t xml:space="preserve"> </w:t>
      </w:r>
      <w:r>
        <w:rPr>
          <w:sz w:val="17"/>
        </w:rPr>
        <w:t>hay</w:t>
      </w:r>
      <w:r>
        <w:rPr>
          <w:spacing w:val="-6"/>
          <w:sz w:val="17"/>
        </w:rPr>
        <w:t xml:space="preserve"> </w:t>
      </w:r>
      <w:r>
        <w:rPr>
          <w:sz w:val="17"/>
        </w:rPr>
        <w:t>consenso</w:t>
      </w:r>
      <w:r>
        <w:rPr>
          <w:spacing w:val="-6"/>
          <w:sz w:val="17"/>
        </w:rPr>
        <w:t xml:space="preserve"> </w:t>
      </w:r>
      <w:r>
        <w:rPr>
          <w:sz w:val="17"/>
        </w:rPr>
        <w:t>sobre</w:t>
      </w:r>
      <w:r>
        <w:rPr>
          <w:spacing w:val="-6"/>
          <w:sz w:val="17"/>
        </w:rPr>
        <w:t xml:space="preserve"> </w:t>
      </w:r>
      <w:r>
        <w:rPr>
          <w:sz w:val="17"/>
        </w:rPr>
        <w:t>si</w:t>
      </w:r>
      <w:r>
        <w:rPr>
          <w:spacing w:val="-6"/>
          <w:sz w:val="17"/>
        </w:rPr>
        <w:t xml:space="preserve"> </w:t>
      </w:r>
      <w:r>
        <w:rPr>
          <w:sz w:val="17"/>
        </w:rPr>
        <w:t>es</w:t>
      </w:r>
      <w:r>
        <w:rPr>
          <w:spacing w:val="-6"/>
          <w:sz w:val="17"/>
        </w:rPr>
        <w:t xml:space="preserve"> </w:t>
      </w:r>
      <w:r>
        <w:rPr>
          <w:sz w:val="17"/>
        </w:rPr>
        <w:t>mejor</w:t>
      </w:r>
      <w:r>
        <w:rPr>
          <w:spacing w:val="-6"/>
          <w:sz w:val="17"/>
        </w:rPr>
        <w:t xml:space="preserve"> </w:t>
      </w:r>
      <w:r>
        <w:rPr>
          <w:sz w:val="17"/>
        </w:rPr>
        <w:t>(a)</w:t>
      </w:r>
      <w:r>
        <w:rPr>
          <w:spacing w:val="-6"/>
          <w:sz w:val="17"/>
        </w:rPr>
        <w:t xml:space="preserve"> </w:t>
      </w:r>
      <w:r>
        <w:rPr>
          <w:sz w:val="17"/>
        </w:rPr>
        <w:t>que</w:t>
      </w:r>
      <w:r>
        <w:rPr>
          <w:spacing w:val="-6"/>
          <w:sz w:val="17"/>
        </w:rPr>
        <w:t xml:space="preserve"> </w:t>
      </w:r>
      <w:r>
        <w:rPr>
          <w:sz w:val="17"/>
        </w:rPr>
        <w:t>los</w:t>
      </w:r>
      <w:r>
        <w:rPr>
          <w:spacing w:val="-6"/>
          <w:sz w:val="17"/>
        </w:rPr>
        <w:t xml:space="preserve"> </w:t>
      </w:r>
      <w:r>
        <w:rPr>
          <w:sz w:val="17"/>
        </w:rPr>
        <w:t>códigos</w:t>
      </w:r>
      <w:r>
        <w:rPr>
          <w:spacing w:val="-6"/>
          <w:sz w:val="17"/>
        </w:rPr>
        <w:t xml:space="preserve"> </w:t>
      </w:r>
      <w:r>
        <w:rPr>
          <w:sz w:val="17"/>
        </w:rPr>
        <w:t>penales</w:t>
      </w:r>
      <w:r>
        <w:rPr>
          <w:spacing w:val="-6"/>
          <w:sz w:val="17"/>
        </w:rPr>
        <w:t xml:space="preserve"> </w:t>
      </w:r>
      <w:r>
        <w:rPr>
          <w:sz w:val="17"/>
        </w:rPr>
        <w:t>incluyan</w:t>
      </w:r>
      <w:r>
        <w:rPr>
          <w:spacing w:val="-6"/>
          <w:sz w:val="17"/>
        </w:rPr>
        <w:t xml:space="preserve"> </w:t>
      </w:r>
      <w:r>
        <w:rPr>
          <w:sz w:val="17"/>
        </w:rPr>
        <w:t>disposiciones</w:t>
      </w:r>
      <w:r>
        <w:rPr>
          <w:spacing w:val="-6"/>
          <w:sz w:val="17"/>
        </w:rPr>
        <w:t xml:space="preserve"> </w:t>
      </w:r>
      <w:r>
        <w:rPr>
          <w:sz w:val="17"/>
        </w:rPr>
        <w:t>independientes</w:t>
      </w:r>
      <w:r>
        <w:rPr>
          <w:spacing w:val="-6"/>
          <w:sz w:val="17"/>
        </w:rPr>
        <w:t xml:space="preserve"> </w:t>
      </w:r>
      <w:r>
        <w:rPr>
          <w:sz w:val="17"/>
        </w:rPr>
        <w:t>sobre</w:t>
      </w:r>
      <w:r>
        <w:rPr>
          <w:spacing w:val="-6"/>
          <w:sz w:val="17"/>
        </w:rPr>
        <w:t xml:space="preserve"> </w:t>
      </w:r>
      <w:r>
        <w:rPr>
          <w:sz w:val="17"/>
        </w:rPr>
        <w:t>actos</w:t>
      </w:r>
      <w:r>
        <w:rPr>
          <w:spacing w:val="-6"/>
          <w:sz w:val="17"/>
        </w:rPr>
        <w:t xml:space="preserve"> </w:t>
      </w:r>
      <w:r>
        <w:rPr>
          <w:sz w:val="17"/>
        </w:rPr>
        <w:t>delictivos motivados por odio o prejuicios o, alternativamente, (b) disposiciones que regulen actos delictivos concretos (agresión, asesinato, etc.). incluir cláusulas que reconozcan que se agravan si se llevan a cabo por motivos de parcialidad o animadversión relacionada. En algunos Estados, el reconocimiento del sesgo motivado por el odio o la animadversión informa el fallo en el momento de dictar la sentencia. Lo que está fuera de toda duda, sin embargo, es que los Estados deben</w:t>
      </w:r>
      <w:r>
        <w:rPr>
          <w:spacing w:val="-2"/>
          <w:sz w:val="17"/>
        </w:rPr>
        <w:t xml:space="preserve"> </w:t>
      </w:r>
      <w:r>
        <w:rPr>
          <w:sz w:val="17"/>
        </w:rPr>
        <w:t>garantizar</w:t>
      </w:r>
      <w:r>
        <w:rPr>
          <w:spacing w:val="-2"/>
          <w:sz w:val="17"/>
        </w:rPr>
        <w:t xml:space="preserve"> </w:t>
      </w:r>
      <w:r>
        <w:rPr>
          <w:sz w:val="17"/>
        </w:rPr>
        <w:t>que</w:t>
      </w:r>
      <w:r>
        <w:rPr>
          <w:spacing w:val="-2"/>
          <w:sz w:val="17"/>
        </w:rPr>
        <w:t xml:space="preserve"> </w:t>
      </w:r>
      <w:r>
        <w:rPr>
          <w:sz w:val="17"/>
        </w:rPr>
        <w:t>la</w:t>
      </w:r>
      <w:r>
        <w:rPr>
          <w:spacing w:val="-2"/>
          <w:sz w:val="17"/>
        </w:rPr>
        <w:t xml:space="preserve"> </w:t>
      </w:r>
      <w:r>
        <w:rPr>
          <w:sz w:val="17"/>
        </w:rPr>
        <w:t>motivación</w:t>
      </w:r>
      <w:r>
        <w:rPr>
          <w:spacing w:val="-2"/>
          <w:sz w:val="17"/>
        </w:rPr>
        <w:t xml:space="preserve"> </w:t>
      </w:r>
      <w:r>
        <w:rPr>
          <w:sz w:val="17"/>
        </w:rPr>
        <w:t>parcial</w:t>
      </w:r>
      <w:r>
        <w:rPr>
          <w:spacing w:val="-2"/>
          <w:sz w:val="17"/>
        </w:rPr>
        <w:t xml:space="preserve"> </w:t>
      </w:r>
      <w:r>
        <w:rPr>
          <w:sz w:val="17"/>
        </w:rPr>
        <w:t>se</w:t>
      </w:r>
      <w:r>
        <w:rPr>
          <w:spacing w:val="-2"/>
          <w:sz w:val="17"/>
        </w:rPr>
        <w:t xml:space="preserve"> </w:t>
      </w:r>
      <w:r>
        <w:rPr>
          <w:sz w:val="17"/>
        </w:rPr>
        <w:t>tenga</w:t>
      </w:r>
      <w:r>
        <w:rPr>
          <w:spacing w:val="-2"/>
          <w:sz w:val="17"/>
        </w:rPr>
        <w:t xml:space="preserve"> </w:t>
      </w:r>
      <w:r>
        <w:rPr>
          <w:sz w:val="17"/>
        </w:rPr>
        <w:t>en</w:t>
      </w:r>
      <w:r>
        <w:rPr>
          <w:spacing w:val="-2"/>
          <w:sz w:val="17"/>
        </w:rPr>
        <w:t xml:space="preserve"> </w:t>
      </w:r>
      <w:r>
        <w:rPr>
          <w:sz w:val="17"/>
        </w:rPr>
        <w:t>cuenta</w:t>
      </w:r>
      <w:r>
        <w:rPr>
          <w:spacing w:val="-2"/>
          <w:sz w:val="17"/>
        </w:rPr>
        <w:t xml:space="preserve"> </w:t>
      </w:r>
      <w:r>
        <w:rPr>
          <w:sz w:val="17"/>
        </w:rPr>
        <w:t>al</w:t>
      </w:r>
      <w:r>
        <w:rPr>
          <w:spacing w:val="-2"/>
          <w:sz w:val="17"/>
        </w:rPr>
        <w:t xml:space="preserve"> </w:t>
      </w:r>
      <w:r>
        <w:rPr>
          <w:sz w:val="17"/>
        </w:rPr>
        <w:t>penalizar</w:t>
      </w:r>
      <w:r>
        <w:rPr>
          <w:spacing w:val="-2"/>
          <w:sz w:val="17"/>
        </w:rPr>
        <w:t xml:space="preserve"> </w:t>
      </w:r>
      <w:r>
        <w:rPr>
          <w:sz w:val="17"/>
        </w:rPr>
        <w:t>todos</w:t>
      </w:r>
      <w:r>
        <w:rPr>
          <w:spacing w:val="-2"/>
          <w:sz w:val="17"/>
        </w:rPr>
        <w:t xml:space="preserve"> </w:t>
      </w:r>
      <w:r>
        <w:rPr>
          <w:sz w:val="17"/>
        </w:rPr>
        <w:t>los</w:t>
      </w:r>
      <w:r>
        <w:rPr>
          <w:spacing w:val="-2"/>
          <w:sz w:val="17"/>
        </w:rPr>
        <w:t xml:space="preserve"> </w:t>
      </w:r>
      <w:r>
        <w:rPr>
          <w:sz w:val="17"/>
        </w:rPr>
        <w:t>delitos</w:t>
      </w:r>
      <w:r>
        <w:rPr>
          <w:spacing w:val="-2"/>
          <w:sz w:val="17"/>
        </w:rPr>
        <w:t xml:space="preserve"> </w:t>
      </w:r>
      <w:r>
        <w:rPr>
          <w:sz w:val="17"/>
        </w:rPr>
        <w:t>y</w:t>
      </w:r>
      <w:r>
        <w:rPr>
          <w:spacing w:val="-2"/>
          <w:sz w:val="17"/>
        </w:rPr>
        <w:t xml:space="preserve"> </w:t>
      </w:r>
      <w:r>
        <w:rPr>
          <w:sz w:val="17"/>
        </w:rPr>
        <w:t>faltas</w:t>
      </w:r>
      <w:r>
        <w:rPr>
          <w:spacing w:val="-2"/>
          <w:sz w:val="17"/>
        </w:rPr>
        <w:t xml:space="preserve"> </w:t>
      </w:r>
      <w:r>
        <w:rPr>
          <w:sz w:val="17"/>
        </w:rPr>
        <w:t>y</w:t>
      </w:r>
      <w:r>
        <w:rPr>
          <w:spacing w:val="-2"/>
          <w:sz w:val="17"/>
        </w:rPr>
        <w:t xml:space="preserve"> </w:t>
      </w:r>
      <w:r>
        <w:rPr>
          <w:sz w:val="17"/>
        </w:rPr>
        <w:t>que</w:t>
      </w:r>
      <w:r>
        <w:rPr>
          <w:spacing w:val="-2"/>
          <w:sz w:val="17"/>
        </w:rPr>
        <w:t xml:space="preserve"> </w:t>
      </w:r>
      <w:r>
        <w:rPr>
          <w:sz w:val="17"/>
        </w:rPr>
        <w:t>la</w:t>
      </w:r>
      <w:r>
        <w:rPr>
          <w:spacing w:val="-2"/>
          <w:sz w:val="17"/>
        </w:rPr>
        <w:t xml:space="preserve"> </w:t>
      </w:r>
      <w:r>
        <w:rPr>
          <w:sz w:val="17"/>
        </w:rPr>
        <w:t>constatación</w:t>
      </w:r>
      <w:r>
        <w:rPr>
          <w:spacing w:val="-2"/>
          <w:sz w:val="17"/>
        </w:rPr>
        <w:t xml:space="preserve"> </w:t>
      </w:r>
      <w:r>
        <w:rPr>
          <w:sz w:val="17"/>
        </w:rPr>
        <w:t>de dicha motivación dé lugar a una pena mayor.1129</w:t>
      </w:r>
    </w:p>
    <w:p w14:paraId="3E3F8DAD" w14:textId="77777777" w:rsidR="0014798C" w:rsidRDefault="0014798C">
      <w:pPr>
        <w:pStyle w:val="Textoindependiente"/>
        <w:rPr>
          <w:sz w:val="13"/>
        </w:rPr>
      </w:pPr>
    </w:p>
    <w:p w14:paraId="272B0083" w14:textId="77777777" w:rsidR="0014798C" w:rsidRDefault="0014798C">
      <w:pPr>
        <w:pStyle w:val="Textoindependiente"/>
        <w:rPr>
          <w:sz w:val="13"/>
        </w:rPr>
      </w:pPr>
    </w:p>
    <w:p w14:paraId="37BF7330" w14:textId="77777777" w:rsidR="0014798C" w:rsidRDefault="0014798C">
      <w:pPr>
        <w:pStyle w:val="Textoindependiente"/>
        <w:rPr>
          <w:sz w:val="13"/>
        </w:rPr>
      </w:pPr>
    </w:p>
    <w:p w14:paraId="46B2CADC" w14:textId="77777777" w:rsidR="0014798C" w:rsidRDefault="0014798C">
      <w:pPr>
        <w:pStyle w:val="Textoindependiente"/>
        <w:rPr>
          <w:sz w:val="13"/>
        </w:rPr>
      </w:pPr>
    </w:p>
    <w:p w14:paraId="541D2C44" w14:textId="77777777" w:rsidR="0014798C" w:rsidRDefault="0014798C">
      <w:pPr>
        <w:pStyle w:val="Textoindependiente"/>
        <w:rPr>
          <w:sz w:val="13"/>
        </w:rPr>
      </w:pPr>
    </w:p>
    <w:p w14:paraId="7E381E71" w14:textId="77777777" w:rsidR="0014798C" w:rsidRDefault="0014798C">
      <w:pPr>
        <w:pStyle w:val="Textoindependiente"/>
        <w:rPr>
          <w:sz w:val="13"/>
        </w:rPr>
      </w:pPr>
    </w:p>
    <w:p w14:paraId="49F4CAEA" w14:textId="77777777" w:rsidR="0014798C" w:rsidRDefault="0014798C">
      <w:pPr>
        <w:pStyle w:val="Textoindependiente"/>
        <w:rPr>
          <w:sz w:val="13"/>
        </w:rPr>
      </w:pPr>
    </w:p>
    <w:p w14:paraId="4F194235" w14:textId="77777777" w:rsidR="0014798C" w:rsidRDefault="0014798C">
      <w:pPr>
        <w:pStyle w:val="Textoindependiente"/>
        <w:rPr>
          <w:sz w:val="13"/>
        </w:rPr>
      </w:pPr>
    </w:p>
    <w:p w14:paraId="170DC4DF" w14:textId="77777777" w:rsidR="0014798C" w:rsidRDefault="0014798C">
      <w:pPr>
        <w:pStyle w:val="Textoindependiente"/>
        <w:rPr>
          <w:sz w:val="13"/>
        </w:rPr>
      </w:pPr>
    </w:p>
    <w:p w14:paraId="06465BC8" w14:textId="77777777" w:rsidR="0014798C" w:rsidRDefault="0014798C">
      <w:pPr>
        <w:pStyle w:val="Textoindependiente"/>
        <w:rPr>
          <w:sz w:val="13"/>
        </w:rPr>
      </w:pPr>
    </w:p>
    <w:p w14:paraId="543BC70B" w14:textId="77777777" w:rsidR="0014798C" w:rsidRDefault="0014798C">
      <w:pPr>
        <w:pStyle w:val="Textoindependiente"/>
        <w:rPr>
          <w:sz w:val="13"/>
        </w:rPr>
      </w:pPr>
    </w:p>
    <w:p w14:paraId="144FE477" w14:textId="77777777" w:rsidR="0014798C" w:rsidRDefault="0014798C">
      <w:pPr>
        <w:pStyle w:val="Textoindependiente"/>
        <w:rPr>
          <w:sz w:val="13"/>
        </w:rPr>
      </w:pPr>
    </w:p>
    <w:p w14:paraId="57FC592F" w14:textId="77777777" w:rsidR="0014798C" w:rsidRDefault="0014798C">
      <w:pPr>
        <w:pStyle w:val="Textoindependiente"/>
        <w:rPr>
          <w:sz w:val="13"/>
        </w:rPr>
      </w:pPr>
    </w:p>
    <w:p w14:paraId="06F64382" w14:textId="77777777" w:rsidR="0014798C" w:rsidRDefault="0014798C">
      <w:pPr>
        <w:pStyle w:val="Textoindependiente"/>
        <w:rPr>
          <w:sz w:val="13"/>
        </w:rPr>
      </w:pPr>
    </w:p>
    <w:p w14:paraId="30888721" w14:textId="77777777" w:rsidR="0014798C" w:rsidRDefault="0014798C">
      <w:pPr>
        <w:pStyle w:val="Textoindependiente"/>
        <w:rPr>
          <w:sz w:val="13"/>
        </w:rPr>
      </w:pPr>
    </w:p>
    <w:p w14:paraId="00B4B99C" w14:textId="77777777" w:rsidR="0014798C" w:rsidRDefault="0014798C">
      <w:pPr>
        <w:pStyle w:val="Textoindependiente"/>
        <w:rPr>
          <w:sz w:val="13"/>
        </w:rPr>
      </w:pPr>
    </w:p>
    <w:p w14:paraId="30414720" w14:textId="77777777" w:rsidR="0014798C" w:rsidRDefault="0014798C">
      <w:pPr>
        <w:pStyle w:val="Textoindependiente"/>
        <w:rPr>
          <w:sz w:val="13"/>
        </w:rPr>
      </w:pPr>
    </w:p>
    <w:p w14:paraId="53526BF8" w14:textId="77777777" w:rsidR="0014798C" w:rsidRDefault="0014798C">
      <w:pPr>
        <w:pStyle w:val="Textoindependiente"/>
        <w:rPr>
          <w:sz w:val="13"/>
        </w:rPr>
      </w:pPr>
    </w:p>
    <w:p w14:paraId="1C04EA2A" w14:textId="77777777" w:rsidR="0014798C" w:rsidRDefault="0014798C">
      <w:pPr>
        <w:pStyle w:val="Textoindependiente"/>
        <w:rPr>
          <w:sz w:val="13"/>
        </w:rPr>
      </w:pPr>
    </w:p>
    <w:p w14:paraId="03981FFC" w14:textId="77777777" w:rsidR="0014798C" w:rsidRDefault="0014798C">
      <w:pPr>
        <w:pStyle w:val="Textoindependiente"/>
        <w:rPr>
          <w:sz w:val="13"/>
        </w:rPr>
      </w:pPr>
    </w:p>
    <w:p w14:paraId="7E0FA809" w14:textId="77777777" w:rsidR="0014798C" w:rsidRDefault="0014798C">
      <w:pPr>
        <w:pStyle w:val="Textoindependiente"/>
        <w:rPr>
          <w:sz w:val="13"/>
        </w:rPr>
      </w:pPr>
    </w:p>
    <w:p w14:paraId="39AE68E4" w14:textId="77777777" w:rsidR="0014798C" w:rsidRDefault="0014798C">
      <w:pPr>
        <w:pStyle w:val="Textoindependiente"/>
        <w:rPr>
          <w:sz w:val="13"/>
        </w:rPr>
      </w:pPr>
    </w:p>
    <w:p w14:paraId="72FAC3F9" w14:textId="77777777" w:rsidR="0014798C" w:rsidRDefault="0014798C">
      <w:pPr>
        <w:pStyle w:val="Textoindependiente"/>
        <w:rPr>
          <w:sz w:val="13"/>
        </w:rPr>
      </w:pPr>
    </w:p>
    <w:p w14:paraId="193D1CCC" w14:textId="77777777" w:rsidR="0014798C" w:rsidRDefault="0014798C">
      <w:pPr>
        <w:pStyle w:val="Textoindependiente"/>
        <w:rPr>
          <w:sz w:val="13"/>
        </w:rPr>
      </w:pPr>
    </w:p>
    <w:p w14:paraId="588682F8" w14:textId="77777777" w:rsidR="0014798C" w:rsidRDefault="0014798C">
      <w:pPr>
        <w:pStyle w:val="Textoindependiente"/>
        <w:spacing w:before="110"/>
        <w:rPr>
          <w:sz w:val="13"/>
        </w:rPr>
      </w:pPr>
    </w:p>
    <w:p w14:paraId="3B5B3B29" w14:textId="77777777" w:rsidR="0014798C" w:rsidRDefault="004E1F0B">
      <w:pPr>
        <w:spacing w:before="1"/>
        <w:ind w:left="1111"/>
        <w:rPr>
          <w:sz w:val="13"/>
        </w:rPr>
      </w:pPr>
      <w:r>
        <w:rPr>
          <w:sz w:val="13"/>
        </w:rPr>
        <w:t>1126</w:t>
      </w:r>
      <w:r>
        <w:rPr>
          <w:spacing w:val="3"/>
          <w:sz w:val="13"/>
        </w:rPr>
        <w:t xml:space="preserve"> </w:t>
      </w:r>
      <w:r>
        <w:rPr>
          <w:sz w:val="13"/>
        </w:rPr>
        <w:t>Comité</w:t>
      </w:r>
      <w:r>
        <w:rPr>
          <w:spacing w:val="3"/>
          <w:sz w:val="13"/>
        </w:rPr>
        <w:t xml:space="preserve"> </w:t>
      </w:r>
      <w:r>
        <w:rPr>
          <w:sz w:val="13"/>
        </w:rPr>
        <w:t>para</w:t>
      </w:r>
      <w:r>
        <w:rPr>
          <w:spacing w:val="3"/>
          <w:sz w:val="13"/>
        </w:rPr>
        <w:t xml:space="preserve"> </w:t>
      </w:r>
      <w:r>
        <w:rPr>
          <w:sz w:val="13"/>
        </w:rPr>
        <w:t>la</w:t>
      </w:r>
      <w:r>
        <w:rPr>
          <w:spacing w:val="3"/>
          <w:sz w:val="13"/>
        </w:rPr>
        <w:t xml:space="preserve"> </w:t>
      </w:r>
      <w:r>
        <w:rPr>
          <w:sz w:val="13"/>
        </w:rPr>
        <w:t>Eliminación</w:t>
      </w:r>
      <w:r>
        <w:rPr>
          <w:spacing w:val="3"/>
          <w:sz w:val="13"/>
        </w:rPr>
        <w:t xml:space="preserve"> </w:t>
      </w:r>
      <w:r>
        <w:rPr>
          <w:sz w:val="13"/>
        </w:rPr>
        <w:t>de</w:t>
      </w:r>
      <w:r>
        <w:rPr>
          <w:spacing w:val="3"/>
          <w:sz w:val="13"/>
        </w:rPr>
        <w:t xml:space="preserve"> </w:t>
      </w:r>
      <w:r>
        <w:rPr>
          <w:sz w:val="13"/>
        </w:rPr>
        <w:t>la</w:t>
      </w:r>
      <w:r>
        <w:rPr>
          <w:spacing w:val="3"/>
          <w:sz w:val="13"/>
        </w:rPr>
        <w:t xml:space="preserve"> </w:t>
      </w:r>
      <w:r>
        <w:rPr>
          <w:sz w:val="13"/>
        </w:rPr>
        <w:t>Discriminación</w:t>
      </w:r>
      <w:r>
        <w:rPr>
          <w:spacing w:val="4"/>
          <w:sz w:val="13"/>
        </w:rPr>
        <w:t xml:space="preserve"> </w:t>
      </w:r>
      <w:r>
        <w:rPr>
          <w:sz w:val="13"/>
        </w:rPr>
        <w:t>Racial,</w:t>
      </w:r>
      <w:r>
        <w:rPr>
          <w:spacing w:val="4"/>
          <w:sz w:val="13"/>
        </w:rPr>
        <w:t xml:space="preserve"> </w:t>
      </w:r>
      <w:proofErr w:type="spellStart"/>
      <w:r>
        <w:rPr>
          <w:sz w:val="13"/>
        </w:rPr>
        <w:t>Belemvire</w:t>
      </w:r>
      <w:proofErr w:type="spellEnd"/>
      <w:r>
        <w:rPr>
          <w:spacing w:val="3"/>
          <w:sz w:val="13"/>
        </w:rPr>
        <w:t xml:space="preserve"> </w:t>
      </w:r>
      <w:r>
        <w:rPr>
          <w:sz w:val="13"/>
        </w:rPr>
        <w:t>c.</w:t>
      </w:r>
      <w:r>
        <w:rPr>
          <w:spacing w:val="3"/>
          <w:sz w:val="13"/>
        </w:rPr>
        <w:t xml:space="preserve"> </w:t>
      </w:r>
      <w:r>
        <w:rPr>
          <w:sz w:val="13"/>
        </w:rPr>
        <w:t>República</w:t>
      </w:r>
      <w:r>
        <w:rPr>
          <w:spacing w:val="3"/>
          <w:sz w:val="13"/>
        </w:rPr>
        <w:t xml:space="preserve"> </w:t>
      </w:r>
      <w:r>
        <w:rPr>
          <w:sz w:val="13"/>
        </w:rPr>
        <w:t>de</w:t>
      </w:r>
      <w:r>
        <w:rPr>
          <w:spacing w:val="3"/>
          <w:sz w:val="13"/>
        </w:rPr>
        <w:t xml:space="preserve"> </w:t>
      </w:r>
      <w:r>
        <w:rPr>
          <w:sz w:val="13"/>
        </w:rPr>
        <w:t>Moldova</w:t>
      </w:r>
      <w:r>
        <w:rPr>
          <w:spacing w:val="3"/>
          <w:sz w:val="13"/>
        </w:rPr>
        <w:t xml:space="preserve"> </w:t>
      </w:r>
      <w:r>
        <w:rPr>
          <w:sz w:val="13"/>
        </w:rPr>
        <w:t>(CERD/C/94/D/57/2015),</w:t>
      </w:r>
      <w:r>
        <w:rPr>
          <w:spacing w:val="4"/>
          <w:sz w:val="13"/>
        </w:rPr>
        <w:t xml:space="preserve"> </w:t>
      </w:r>
      <w:proofErr w:type="spellStart"/>
      <w:r>
        <w:rPr>
          <w:sz w:val="13"/>
        </w:rPr>
        <w:t>párrs</w:t>
      </w:r>
      <w:proofErr w:type="spellEnd"/>
      <w:r>
        <w:rPr>
          <w:sz w:val="13"/>
        </w:rPr>
        <w:t>.</w:t>
      </w:r>
      <w:r>
        <w:rPr>
          <w:spacing w:val="4"/>
          <w:sz w:val="13"/>
        </w:rPr>
        <w:t xml:space="preserve"> </w:t>
      </w:r>
      <w:r>
        <w:rPr>
          <w:spacing w:val="-2"/>
          <w:sz w:val="13"/>
        </w:rPr>
        <w:t>7.3–10</w:t>
      </w:r>
    </w:p>
    <w:p w14:paraId="35F97048" w14:textId="77777777" w:rsidR="0014798C" w:rsidRDefault="004E1F0B">
      <w:pPr>
        <w:spacing w:before="62"/>
        <w:ind w:left="1375"/>
        <w:rPr>
          <w:sz w:val="9"/>
        </w:rPr>
      </w:pPr>
      <w:r>
        <w:rPr>
          <w:sz w:val="9"/>
        </w:rPr>
        <w:t>(notas</w:t>
      </w:r>
      <w:r>
        <w:rPr>
          <w:spacing w:val="-6"/>
          <w:sz w:val="9"/>
        </w:rPr>
        <w:t xml:space="preserve"> </w:t>
      </w:r>
      <w:r>
        <w:rPr>
          <w:sz w:val="9"/>
        </w:rPr>
        <w:t>a</w:t>
      </w:r>
      <w:r>
        <w:rPr>
          <w:spacing w:val="-6"/>
          <w:sz w:val="9"/>
        </w:rPr>
        <w:t xml:space="preserve"> </w:t>
      </w:r>
      <w:r>
        <w:rPr>
          <w:sz w:val="9"/>
        </w:rPr>
        <w:t>pie</w:t>
      </w:r>
      <w:r>
        <w:rPr>
          <w:spacing w:val="-6"/>
          <w:sz w:val="9"/>
        </w:rPr>
        <w:t xml:space="preserve"> </w:t>
      </w:r>
      <w:r>
        <w:rPr>
          <w:sz w:val="9"/>
        </w:rPr>
        <w:t>de</w:t>
      </w:r>
      <w:r>
        <w:rPr>
          <w:spacing w:val="-6"/>
          <w:sz w:val="9"/>
        </w:rPr>
        <w:t xml:space="preserve"> </w:t>
      </w:r>
      <w:r>
        <w:rPr>
          <w:sz w:val="9"/>
        </w:rPr>
        <w:t>página</w:t>
      </w:r>
      <w:r>
        <w:rPr>
          <w:spacing w:val="-5"/>
          <w:sz w:val="9"/>
        </w:rPr>
        <w:t xml:space="preserve"> </w:t>
      </w:r>
      <w:r>
        <w:rPr>
          <w:spacing w:val="-2"/>
          <w:sz w:val="9"/>
        </w:rPr>
        <w:t>omitidas).</w:t>
      </w:r>
    </w:p>
    <w:p w14:paraId="3D555292" w14:textId="77777777" w:rsidR="0014798C" w:rsidRDefault="004E1F0B">
      <w:pPr>
        <w:spacing w:before="101"/>
        <w:ind w:left="1111"/>
        <w:rPr>
          <w:sz w:val="13"/>
        </w:rPr>
      </w:pPr>
      <w:r>
        <w:rPr>
          <w:spacing w:val="-2"/>
          <w:sz w:val="13"/>
          <w:vertAlign w:val="superscript"/>
        </w:rPr>
        <w:t>1127</w:t>
      </w:r>
      <w:r>
        <w:rPr>
          <w:spacing w:val="23"/>
          <w:sz w:val="13"/>
        </w:rPr>
        <w:t xml:space="preserve"> </w:t>
      </w:r>
      <w:r>
        <w:rPr>
          <w:spacing w:val="-2"/>
          <w:sz w:val="13"/>
        </w:rPr>
        <w:t>CCPR/C/EST/CO/4,</w:t>
      </w:r>
      <w:r>
        <w:rPr>
          <w:spacing w:val="-5"/>
          <w:sz w:val="13"/>
        </w:rPr>
        <w:t xml:space="preserve"> </w:t>
      </w:r>
      <w:r>
        <w:rPr>
          <w:spacing w:val="-2"/>
          <w:sz w:val="13"/>
        </w:rPr>
        <w:t>párr.</w:t>
      </w:r>
      <w:r>
        <w:rPr>
          <w:spacing w:val="-4"/>
          <w:sz w:val="13"/>
        </w:rPr>
        <w:t xml:space="preserve"> </w:t>
      </w:r>
      <w:r w:rsidRPr="00537489">
        <w:rPr>
          <w:spacing w:val="-2"/>
          <w:sz w:val="13"/>
          <w:lang w:val="en-US"/>
        </w:rPr>
        <w:t>12</w:t>
      </w:r>
      <w:r>
        <w:rPr>
          <w:spacing w:val="-2"/>
          <w:sz w:val="13"/>
        </w:rPr>
        <w:t>;</w:t>
      </w:r>
      <w:r w:rsidRPr="00537489">
        <w:rPr>
          <w:spacing w:val="-5"/>
          <w:sz w:val="13"/>
          <w:lang w:val="en-US"/>
        </w:rPr>
        <w:t xml:space="preserve"> </w:t>
      </w:r>
      <w:r w:rsidRPr="00537489">
        <w:rPr>
          <w:spacing w:val="-2"/>
          <w:sz w:val="13"/>
          <w:lang w:val="en-US"/>
        </w:rPr>
        <w:t>CERD/C/QAT/CO/17-21,</w:t>
      </w:r>
      <w:r w:rsidRPr="00537489">
        <w:rPr>
          <w:spacing w:val="-4"/>
          <w:sz w:val="13"/>
          <w:lang w:val="en-US"/>
        </w:rPr>
        <w:t xml:space="preserve"> </w:t>
      </w:r>
      <w:proofErr w:type="spellStart"/>
      <w:r w:rsidRPr="00537489">
        <w:rPr>
          <w:spacing w:val="-2"/>
          <w:sz w:val="13"/>
          <w:lang w:val="en-US"/>
        </w:rPr>
        <w:t>párr</w:t>
      </w:r>
      <w:proofErr w:type="spellEnd"/>
      <w:r w:rsidRPr="00537489">
        <w:rPr>
          <w:spacing w:val="-2"/>
          <w:sz w:val="13"/>
          <w:lang w:val="en-US"/>
        </w:rPr>
        <w:t>.</w:t>
      </w:r>
      <w:r w:rsidRPr="00537489">
        <w:rPr>
          <w:spacing w:val="-4"/>
          <w:sz w:val="13"/>
          <w:lang w:val="en-US"/>
        </w:rPr>
        <w:t xml:space="preserve"> </w:t>
      </w:r>
      <w:r w:rsidRPr="00537489">
        <w:rPr>
          <w:spacing w:val="-2"/>
          <w:sz w:val="13"/>
          <w:lang w:val="en-US"/>
        </w:rPr>
        <w:t>13</w:t>
      </w:r>
      <w:r>
        <w:rPr>
          <w:spacing w:val="-2"/>
          <w:sz w:val="13"/>
        </w:rPr>
        <w:t>;</w:t>
      </w:r>
      <w:r w:rsidRPr="00537489">
        <w:rPr>
          <w:spacing w:val="-4"/>
          <w:sz w:val="13"/>
          <w:lang w:val="en-US"/>
        </w:rPr>
        <w:t xml:space="preserve"> </w:t>
      </w:r>
      <w:r w:rsidRPr="00537489">
        <w:rPr>
          <w:spacing w:val="-2"/>
          <w:sz w:val="13"/>
          <w:lang w:val="en-US"/>
        </w:rPr>
        <w:t>CEDAW/C/SVK/CO/5-6,</w:t>
      </w:r>
      <w:r w:rsidRPr="00537489">
        <w:rPr>
          <w:spacing w:val="-4"/>
          <w:sz w:val="13"/>
          <w:lang w:val="en-US"/>
        </w:rPr>
        <w:t xml:space="preserve"> </w:t>
      </w:r>
      <w:proofErr w:type="spellStart"/>
      <w:r w:rsidRPr="00537489">
        <w:rPr>
          <w:spacing w:val="-2"/>
          <w:sz w:val="13"/>
          <w:lang w:val="en-US"/>
        </w:rPr>
        <w:t>párr</w:t>
      </w:r>
      <w:proofErr w:type="spellEnd"/>
      <w:r w:rsidRPr="00537489">
        <w:rPr>
          <w:spacing w:val="-2"/>
          <w:sz w:val="13"/>
          <w:lang w:val="en-US"/>
        </w:rPr>
        <w:t>.</w:t>
      </w:r>
      <w:r w:rsidRPr="00537489">
        <w:rPr>
          <w:spacing w:val="-4"/>
          <w:sz w:val="13"/>
          <w:lang w:val="en-US"/>
        </w:rPr>
        <w:t xml:space="preserve"> </w:t>
      </w:r>
      <w:r>
        <w:rPr>
          <w:spacing w:val="-2"/>
          <w:sz w:val="13"/>
        </w:rPr>
        <w:t>40;</w:t>
      </w:r>
      <w:r>
        <w:rPr>
          <w:spacing w:val="-5"/>
          <w:sz w:val="13"/>
        </w:rPr>
        <w:t xml:space="preserve"> </w:t>
      </w:r>
      <w:r>
        <w:rPr>
          <w:spacing w:val="-2"/>
          <w:sz w:val="13"/>
        </w:rPr>
        <w:t>E/C.12/BIH/CO/2,</w:t>
      </w:r>
      <w:r>
        <w:rPr>
          <w:spacing w:val="-5"/>
          <w:sz w:val="13"/>
        </w:rPr>
        <w:t xml:space="preserve"> </w:t>
      </w:r>
      <w:r>
        <w:rPr>
          <w:spacing w:val="-2"/>
          <w:sz w:val="13"/>
        </w:rPr>
        <w:t>párr.</w:t>
      </w:r>
      <w:r>
        <w:rPr>
          <w:spacing w:val="-4"/>
          <w:sz w:val="13"/>
        </w:rPr>
        <w:t xml:space="preserve"> </w:t>
      </w:r>
      <w:r>
        <w:rPr>
          <w:spacing w:val="-2"/>
          <w:sz w:val="13"/>
        </w:rPr>
        <w:t>11;</w:t>
      </w:r>
      <w:r>
        <w:rPr>
          <w:spacing w:val="-4"/>
          <w:sz w:val="13"/>
        </w:rPr>
        <w:t xml:space="preserve"> </w:t>
      </w:r>
      <w:r>
        <w:rPr>
          <w:spacing w:val="-2"/>
          <w:sz w:val="13"/>
        </w:rPr>
        <w:t>y</w:t>
      </w:r>
      <w:r>
        <w:rPr>
          <w:spacing w:val="-5"/>
          <w:sz w:val="13"/>
        </w:rPr>
        <w:t xml:space="preserve"> </w:t>
      </w:r>
      <w:r>
        <w:rPr>
          <w:spacing w:val="-2"/>
          <w:sz w:val="13"/>
        </w:rPr>
        <w:t>CRPD/C/GBR/CO/</w:t>
      </w:r>
    </w:p>
    <w:p w14:paraId="0D4D91C5" w14:textId="77777777" w:rsidR="0014798C" w:rsidRDefault="004E1F0B">
      <w:pPr>
        <w:spacing w:before="30"/>
        <w:ind w:left="1371"/>
        <w:rPr>
          <w:sz w:val="13"/>
        </w:rPr>
      </w:pPr>
      <w:r>
        <w:rPr>
          <w:sz w:val="13"/>
        </w:rPr>
        <w:t>1,</w:t>
      </w:r>
      <w:r>
        <w:rPr>
          <w:spacing w:val="1"/>
          <w:sz w:val="13"/>
        </w:rPr>
        <w:t xml:space="preserve"> </w:t>
      </w:r>
      <w:r>
        <w:rPr>
          <w:sz w:val="13"/>
        </w:rPr>
        <w:t>párr.</w:t>
      </w:r>
      <w:r>
        <w:rPr>
          <w:spacing w:val="2"/>
          <w:sz w:val="13"/>
        </w:rPr>
        <w:t xml:space="preserve"> </w:t>
      </w:r>
      <w:r>
        <w:rPr>
          <w:sz w:val="13"/>
        </w:rPr>
        <w:t>39</w:t>
      </w:r>
      <w:r>
        <w:rPr>
          <w:spacing w:val="2"/>
          <w:sz w:val="13"/>
        </w:rPr>
        <w:t xml:space="preserve"> </w:t>
      </w:r>
      <w:r>
        <w:rPr>
          <w:spacing w:val="-5"/>
          <w:sz w:val="13"/>
        </w:rPr>
        <w:t>b).</w:t>
      </w:r>
    </w:p>
    <w:p w14:paraId="73DDE72A" w14:textId="77777777" w:rsidR="0014798C" w:rsidRDefault="004E1F0B">
      <w:pPr>
        <w:spacing w:before="87"/>
        <w:ind w:left="1111"/>
        <w:rPr>
          <w:sz w:val="13"/>
        </w:rPr>
      </w:pPr>
      <w:r>
        <w:rPr>
          <w:sz w:val="13"/>
        </w:rPr>
        <w:t>1128</w:t>
      </w:r>
      <w:r>
        <w:rPr>
          <w:spacing w:val="3"/>
          <w:sz w:val="13"/>
        </w:rPr>
        <w:t xml:space="preserve"> </w:t>
      </w:r>
      <w:r>
        <w:rPr>
          <w:sz w:val="13"/>
        </w:rPr>
        <w:t>Comité</w:t>
      </w:r>
      <w:r>
        <w:rPr>
          <w:spacing w:val="3"/>
          <w:sz w:val="13"/>
        </w:rPr>
        <w:t xml:space="preserve"> </w:t>
      </w:r>
      <w:r>
        <w:rPr>
          <w:sz w:val="13"/>
        </w:rPr>
        <w:t>para</w:t>
      </w:r>
      <w:r>
        <w:rPr>
          <w:spacing w:val="3"/>
          <w:sz w:val="13"/>
        </w:rPr>
        <w:t xml:space="preserve"> </w:t>
      </w:r>
      <w:r>
        <w:rPr>
          <w:sz w:val="13"/>
        </w:rPr>
        <w:t>la</w:t>
      </w:r>
      <w:r>
        <w:rPr>
          <w:spacing w:val="3"/>
          <w:sz w:val="13"/>
        </w:rPr>
        <w:t xml:space="preserve"> </w:t>
      </w:r>
      <w:r>
        <w:rPr>
          <w:sz w:val="13"/>
        </w:rPr>
        <w:t>Eliminación</w:t>
      </w:r>
      <w:r>
        <w:rPr>
          <w:spacing w:val="3"/>
          <w:sz w:val="13"/>
        </w:rPr>
        <w:t xml:space="preserve"> </w:t>
      </w:r>
      <w:r>
        <w:rPr>
          <w:sz w:val="13"/>
        </w:rPr>
        <w:t>de</w:t>
      </w:r>
      <w:r>
        <w:rPr>
          <w:spacing w:val="3"/>
          <w:sz w:val="13"/>
        </w:rPr>
        <w:t xml:space="preserve"> </w:t>
      </w:r>
      <w:r>
        <w:rPr>
          <w:sz w:val="13"/>
        </w:rPr>
        <w:t>la</w:t>
      </w:r>
      <w:r>
        <w:rPr>
          <w:spacing w:val="3"/>
          <w:sz w:val="13"/>
        </w:rPr>
        <w:t xml:space="preserve"> </w:t>
      </w:r>
      <w:r>
        <w:rPr>
          <w:sz w:val="13"/>
        </w:rPr>
        <w:t>Discriminación</w:t>
      </w:r>
      <w:r>
        <w:rPr>
          <w:spacing w:val="4"/>
          <w:sz w:val="13"/>
        </w:rPr>
        <w:t xml:space="preserve"> </w:t>
      </w:r>
      <w:r>
        <w:rPr>
          <w:sz w:val="13"/>
        </w:rPr>
        <w:t>Racial,</w:t>
      </w:r>
      <w:r>
        <w:rPr>
          <w:spacing w:val="4"/>
          <w:sz w:val="13"/>
        </w:rPr>
        <w:t xml:space="preserve"> </w:t>
      </w:r>
      <w:proofErr w:type="spellStart"/>
      <w:r>
        <w:rPr>
          <w:sz w:val="13"/>
        </w:rPr>
        <w:t>Belemvire</w:t>
      </w:r>
      <w:proofErr w:type="spellEnd"/>
      <w:r>
        <w:rPr>
          <w:spacing w:val="3"/>
          <w:sz w:val="13"/>
        </w:rPr>
        <w:t xml:space="preserve"> </w:t>
      </w:r>
      <w:r>
        <w:rPr>
          <w:sz w:val="13"/>
        </w:rPr>
        <w:t>c.</w:t>
      </w:r>
      <w:r>
        <w:rPr>
          <w:spacing w:val="3"/>
          <w:sz w:val="13"/>
        </w:rPr>
        <w:t xml:space="preserve"> </w:t>
      </w:r>
      <w:r>
        <w:rPr>
          <w:sz w:val="13"/>
        </w:rPr>
        <w:t>República</w:t>
      </w:r>
      <w:r>
        <w:rPr>
          <w:spacing w:val="3"/>
          <w:sz w:val="13"/>
        </w:rPr>
        <w:t xml:space="preserve"> </w:t>
      </w:r>
      <w:r>
        <w:rPr>
          <w:sz w:val="13"/>
        </w:rPr>
        <w:t>de</w:t>
      </w:r>
      <w:r>
        <w:rPr>
          <w:spacing w:val="3"/>
          <w:sz w:val="13"/>
        </w:rPr>
        <w:t xml:space="preserve"> </w:t>
      </w:r>
      <w:r>
        <w:rPr>
          <w:sz w:val="13"/>
        </w:rPr>
        <w:t>Moldova</w:t>
      </w:r>
      <w:r>
        <w:rPr>
          <w:spacing w:val="3"/>
          <w:sz w:val="13"/>
        </w:rPr>
        <w:t xml:space="preserve"> </w:t>
      </w:r>
      <w:r>
        <w:rPr>
          <w:sz w:val="13"/>
        </w:rPr>
        <w:t>(CERD/C/94/D/57/2015),</w:t>
      </w:r>
      <w:r>
        <w:rPr>
          <w:spacing w:val="4"/>
          <w:sz w:val="13"/>
        </w:rPr>
        <w:t xml:space="preserve"> </w:t>
      </w:r>
      <w:proofErr w:type="spellStart"/>
      <w:r>
        <w:rPr>
          <w:sz w:val="13"/>
        </w:rPr>
        <w:t>párrs</w:t>
      </w:r>
      <w:proofErr w:type="spellEnd"/>
      <w:r>
        <w:rPr>
          <w:sz w:val="13"/>
        </w:rPr>
        <w:t>.</w:t>
      </w:r>
      <w:r>
        <w:rPr>
          <w:spacing w:val="4"/>
          <w:sz w:val="13"/>
        </w:rPr>
        <w:t xml:space="preserve"> </w:t>
      </w:r>
      <w:r>
        <w:rPr>
          <w:spacing w:val="-2"/>
          <w:sz w:val="13"/>
        </w:rPr>
        <w:t>7.3–8.</w:t>
      </w:r>
    </w:p>
    <w:p w14:paraId="22FA23BB" w14:textId="77777777" w:rsidR="0014798C" w:rsidRDefault="0014798C">
      <w:pPr>
        <w:pStyle w:val="Textoindependiente"/>
        <w:spacing w:before="22"/>
        <w:rPr>
          <w:sz w:val="10"/>
        </w:rPr>
      </w:pPr>
    </w:p>
    <w:p w14:paraId="71397EF1" w14:textId="77777777" w:rsidR="0014798C" w:rsidRDefault="004E1F0B">
      <w:pPr>
        <w:spacing w:before="1"/>
        <w:ind w:left="1111"/>
        <w:rPr>
          <w:sz w:val="10"/>
        </w:rPr>
      </w:pPr>
      <w:r>
        <w:rPr>
          <w:w w:val="105"/>
          <w:sz w:val="10"/>
        </w:rPr>
        <w:t>1129</w:t>
      </w:r>
      <w:r>
        <w:rPr>
          <w:spacing w:val="-1"/>
          <w:w w:val="105"/>
          <w:sz w:val="10"/>
        </w:rPr>
        <w:t xml:space="preserve"> </w:t>
      </w:r>
      <w:r>
        <w:rPr>
          <w:w w:val="105"/>
          <w:sz w:val="10"/>
        </w:rPr>
        <w:t>La</w:t>
      </w:r>
      <w:r>
        <w:rPr>
          <w:spacing w:val="-1"/>
          <w:w w:val="105"/>
          <w:sz w:val="10"/>
        </w:rPr>
        <w:t xml:space="preserve"> </w:t>
      </w:r>
      <w:r>
        <w:rPr>
          <w:w w:val="105"/>
          <w:sz w:val="10"/>
        </w:rPr>
        <w:t>Unión</w:t>
      </w:r>
      <w:r>
        <w:rPr>
          <w:spacing w:val="-1"/>
          <w:w w:val="105"/>
          <w:sz w:val="10"/>
        </w:rPr>
        <w:t xml:space="preserve"> </w:t>
      </w:r>
      <w:r>
        <w:rPr>
          <w:w w:val="105"/>
          <w:sz w:val="10"/>
        </w:rPr>
        <w:t>Europea</w:t>
      </w:r>
      <w:r>
        <w:rPr>
          <w:spacing w:val="-1"/>
          <w:w w:val="105"/>
          <w:sz w:val="10"/>
        </w:rPr>
        <w:t xml:space="preserve"> </w:t>
      </w:r>
      <w:r>
        <w:rPr>
          <w:w w:val="105"/>
          <w:sz w:val="10"/>
        </w:rPr>
        <w:t>exige</w:t>
      </w:r>
      <w:r>
        <w:rPr>
          <w:spacing w:val="-1"/>
          <w:w w:val="105"/>
          <w:sz w:val="10"/>
        </w:rPr>
        <w:t xml:space="preserve"> </w:t>
      </w:r>
      <w:r>
        <w:rPr>
          <w:w w:val="105"/>
          <w:sz w:val="10"/>
        </w:rPr>
        <w:t>que</w:t>
      </w:r>
      <w:r>
        <w:rPr>
          <w:spacing w:val="-1"/>
          <w:w w:val="105"/>
          <w:sz w:val="10"/>
        </w:rPr>
        <w:t xml:space="preserve"> </w:t>
      </w:r>
      <w:r>
        <w:rPr>
          <w:w w:val="105"/>
          <w:sz w:val="10"/>
        </w:rPr>
        <w:t>el</w:t>
      </w:r>
      <w:r>
        <w:rPr>
          <w:spacing w:val="-1"/>
          <w:w w:val="105"/>
          <w:sz w:val="10"/>
        </w:rPr>
        <w:t xml:space="preserve"> </w:t>
      </w:r>
      <w:r>
        <w:rPr>
          <w:w w:val="105"/>
          <w:sz w:val="10"/>
        </w:rPr>
        <w:t>derecho</w:t>
      </w:r>
      <w:r>
        <w:rPr>
          <w:spacing w:val="-1"/>
          <w:w w:val="105"/>
          <w:sz w:val="10"/>
        </w:rPr>
        <w:t xml:space="preserve"> </w:t>
      </w:r>
      <w:r>
        <w:rPr>
          <w:w w:val="105"/>
          <w:sz w:val="10"/>
        </w:rPr>
        <w:t>penal</w:t>
      </w:r>
      <w:r>
        <w:rPr>
          <w:spacing w:val="-1"/>
          <w:w w:val="105"/>
          <w:sz w:val="10"/>
        </w:rPr>
        <w:t xml:space="preserve"> </w:t>
      </w:r>
      <w:r>
        <w:rPr>
          <w:w w:val="105"/>
          <w:sz w:val="10"/>
        </w:rPr>
        <w:t>nacional</w:t>
      </w:r>
      <w:r>
        <w:rPr>
          <w:spacing w:val="-1"/>
          <w:w w:val="105"/>
          <w:sz w:val="10"/>
        </w:rPr>
        <w:t xml:space="preserve"> </w:t>
      </w:r>
      <w:r>
        <w:rPr>
          <w:w w:val="105"/>
          <w:sz w:val="10"/>
        </w:rPr>
        <w:t>de</w:t>
      </w:r>
      <w:r>
        <w:rPr>
          <w:spacing w:val="-1"/>
          <w:w w:val="105"/>
          <w:sz w:val="10"/>
        </w:rPr>
        <w:t xml:space="preserve"> </w:t>
      </w:r>
      <w:r>
        <w:rPr>
          <w:w w:val="105"/>
          <w:sz w:val="10"/>
        </w:rPr>
        <w:t>sus</w:t>
      </w:r>
      <w:r>
        <w:rPr>
          <w:spacing w:val="-1"/>
          <w:w w:val="105"/>
          <w:sz w:val="10"/>
        </w:rPr>
        <w:t xml:space="preserve"> </w:t>
      </w:r>
      <w:r>
        <w:rPr>
          <w:w w:val="105"/>
          <w:sz w:val="10"/>
        </w:rPr>
        <w:t>Estados</w:t>
      </w:r>
      <w:r>
        <w:rPr>
          <w:spacing w:val="-1"/>
          <w:w w:val="105"/>
          <w:sz w:val="10"/>
        </w:rPr>
        <w:t xml:space="preserve"> </w:t>
      </w:r>
      <w:r>
        <w:rPr>
          <w:w w:val="105"/>
          <w:sz w:val="10"/>
        </w:rPr>
        <w:t>miembros</w:t>
      </w:r>
      <w:r>
        <w:rPr>
          <w:spacing w:val="-1"/>
          <w:w w:val="105"/>
          <w:sz w:val="10"/>
        </w:rPr>
        <w:t xml:space="preserve"> </w:t>
      </w:r>
      <w:r>
        <w:rPr>
          <w:w w:val="105"/>
          <w:sz w:val="10"/>
        </w:rPr>
        <w:t>garantice</w:t>
      </w:r>
      <w:r>
        <w:rPr>
          <w:spacing w:val="-1"/>
          <w:w w:val="105"/>
          <w:sz w:val="10"/>
        </w:rPr>
        <w:t xml:space="preserve"> </w:t>
      </w:r>
      <w:r>
        <w:rPr>
          <w:w w:val="105"/>
          <w:sz w:val="10"/>
        </w:rPr>
        <w:t>que</w:t>
      </w:r>
      <w:r>
        <w:rPr>
          <w:spacing w:val="-1"/>
          <w:w w:val="105"/>
          <w:sz w:val="10"/>
        </w:rPr>
        <w:t xml:space="preserve"> </w:t>
      </w:r>
      <w:r>
        <w:rPr>
          <w:w w:val="105"/>
          <w:sz w:val="10"/>
        </w:rPr>
        <w:t>se</w:t>
      </w:r>
      <w:r>
        <w:rPr>
          <w:spacing w:val="-1"/>
          <w:w w:val="105"/>
          <w:sz w:val="10"/>
        </w:rPr>
        <w:t xml:space="preserve"> </w:t>
      </w:r>
      <w:r>
        <w:rPr>
          <w:w w:val="105"/>
          <w:sz w:val="10"/>
        </w:rPr>
        <w:t>tenga</w:t>
      </w:r>
      <w:r>
        <w:rPr>
          <w:spacing w:val="-1"/>
          <w:w w:val="105"/>
          <w:sz w:val="10"/>
        </w:rPr>
        <w:t xml:space="preserve"> </w:t>
      </w:r>
      <w:r>
        <w:rPr>
          <w:w w:val="105"/>
          <w:sz w:val="10"/>
        </w:rPr>
        <w:t>en</w:t>
      </w:r>
      <w:r>
        <w:rPr>
          <w:spacing w:val="-1"/>
          <w:w w:val="105"/>
          <w:sz w:val="10"/>
        </w:rPr>
        <w:t xml:space="preserve"> </w:t>
      </w:r>
      <w:r>
        <w:rPr>
          <w:w w:val="105"/>
          <w:sz w:val="10"/>
        </w:rPr>
        <w:t>cuenta</w:t>
      </w:r>
      <w:r>
        <w:rPr>
          <w:spacing w:val="-1"/>
          <w:w w:val="105"/>
          <w:sz w:val="10"/>
        </w:rPr>
        <w:t xml:space="preserve"> </w:t>
      </w:r>
      <w:r>
        <w:rPr>
          <w:w w:val="105"/>
          <w:sz w:val="10"/>
        </w:rPr>
        <w:t>el</w:t>
      </w:r>
      <w:r>
        <w:rPr>
          <w:spacing w:val="-1"/>
          <w:w w:val="105"/>
          <w:sz w:val="10"/>
        </w:rPr>
        <w:t xml:space="preserve"> </w:t>
      </w:r>
      <w:r>
        <w:rPr>
          <w:w w:val="105"/>
          <w:sz w:val="10"/>
        </w:rPr>
        <w:t>prejuicio</w:t>
      </w:r>
      <w:r>
        <w:rPr>
          <w:spacing w:val="-1"/>
          <w:w w:val="105"/>
          <w:sz w:val="10"/>
        </w:rPr>
        <w:t xml:space="preserve"> </w:t>
      </w:r>
      <w:r>
        <w:rPr>
          <w:w w:val="105"/>
          <w:sz w:val="10"/>
        </w:rPr>
        <w:t>en</w:t>
      </w:r>
      <w:r>
        <w:rPr>
          <w:spacing w:val="-1"/>
          <w:w w:val="105"/>
          <w:sz w:val="10"/>
        </w:rPr>
        <w:t xml:space="preserve"> </w:t>
      </w:r>
      <w:r>
        <w:rPr>
          <w:w w:val="105"/>
          <w:sz w:val="10"/>
        </w:rPr>
        <w:t>relación</w:t>
      </w:r>
      <w:r>
        <w:rPr>
          <w:spacing w:val="-1"/>
          <w:w w:val="105"/>
          <w:sz w:val="10"/>
        </w:rPr>
        <w:t xml:space="preserve"> </w:t>
      </w:r>
      <w:r>
        <w:rPr>
          <w:w w:val="105"/>
          <w:sz w:val="10"/>
        </w:rPr>
        <w:t>con</w:t>
      </w:r>
      <w:r>
        <w:rPr>
          <w:spacing w:val="-1"/>
          <w:w w:val="105"/>
          <w:sz w:val="10"/>
        </w:rPr>
        <w:t xml:space="preserve"> </w:t>
      </w:r>
      <w:r>
        <w:rPr>
          <w:w w:val="105"/>
          <w:sz w:val="10"/>
        </w:rPr>
        <w:t>todos</w:t>
      </w:r>
      <w:r>
        <w:rPr>
          <w:spacing w:val="-1"/>
          <w:w w:val="105"/>
          <w:sz w:val="10"/>
        </w:rPr>
        <w:t xml:space="preserve"> </w:t>
      </w:r>
      <w:r>
        <w:rPr>
          <w:w w:val="105"/>
          <w:sz w:val="10"/>
        </w:rPr>
        <w:t>los</w:t>
      </w:r>
      <w:r>
        <w:rPr>
          <w:spacing w:val="-1"/>
          <w:w w:val="105"/>
          <w:sz w:val="10"/>
        </w:rPr>
        <w:t xml:space="preserve"> </w:t>
      </w:r>
      <w:r>
        <w:rPr>
          <w:spacing w:val="-2"/>
          <w:w w:val="105"/>
          <w:sz w:val="10"/>
        </w:rPr>
        <w:t>delitos.</w:t>
      </w:r>
    </w:p>
    <w:p w14:paraId="45C7E4BA" w14:textId="77777777" w:rsidR="0014798C" w:rsidRDefault="004E1F0B">
      <w:pPr>
        <w:spacing w:before="14" w:line="288" w:lineRule="auto"/>
        <w:ind w:left="1368" w:right="1463" w:hanging="3"/>
        <w:rPr>
          <w:sz w:val="13"/>
        </w:rPr>
      </w:pPr>
      <w:r>
        <w:rPr>
          <w:sz w:val="13"/>
        </w:rPr>
        <w:t>La Comisión Europea ha iniciado procedimientos de infracción contra los Estados miembros por no hacerlo: “Los marcos jurídicos belga y búlgaro no</w:t>
      </w:r>
      <w:r>
        <w:rPr>
          <w:spacing w:val="40"/>
          <w:sz w:val="13"/>
        </w:rPr>
        <w:t xml:space="preserve"> </w:t>
      </w:r>
      <w:r>
        <w:rPr>
          <w:sz w:val="13"/>
        </w:rPr>
        <w:t>garantizan</w:t>
      </w:r>
      <w:r>
        <w:rPr>
          <w:spacing w:val="10"/>
          <w:sz w:val="13"/>
        </w:rPr>
        <w:t xml:space="preserve"> </w:t>
      </w:r>
      <w:r>
        <w:rPr>
          <w:sz w:val="13"/>
        </w:rPr>
        <w:t>que</w:t>
      </w:r>
      <w:r>
        <w:rPr>
          <w:spacing w:val="10"/>
          <w:sz w:val="13"/>
        </w:rPr>
        <w:t xml:space="preserve"> </w:t>
      </w:r>
      <w:r>
        <w:rPr>
          <w:sz w:val="13"/>
        </w:rPr>
        <w:t>los</w:t>
      </w:r>
      <w:r>
        <w:rPr>
          <w:spacing w:val="10"/>
          <w:sz w:val="13"/>
        </w:rPr>
        <w:t xml:space="preserve"> </w:t>
      </w:r>
      <w:r>
        <w:rPr>
          <w:sz w:val="13"/>
        </w:rPr>
        <w:t>tribunales</w:t>
      </w:r>
      <w:r>
        <w:rPr>
          <w:spacing w:val="10"/>
          <w:sz w:val="13"/>
        </w:rPr>
        <w:t xml:space="preserve"> </w:t>
      </w:r>
      <w:r>
        <w:rPr>
          <w:sz w:val="13"/>
        </w:rPr>
        <w:t>nacionales</w:t>
      </w:r>
      <w:r>
        <w:rPr>
          <w:spacing w:val="10"/>
          <w:sz w:val="13"/>
        </w:rPr>
        <w:t xml:space="preserve"> </w:t>
      </w:r>
      <w:r>
        <w:rPr>
          <w:sz w:val="13"/>
        </w:rPr>
        <w:t>tengan</w:t>
      </w:r>
      <w:r>
        <w:rPr>
          <w:spacing w:val="10"/>
          <w:sz w:val="13"/>
        </w:rPr>
        <w:t xml:space="preserve"> </w:t>
      </w:r>
      <w:r>
        <w:rPr>
          <w:sz w:val="13"/>
        </w:rPr>
        <w:t>en</w:t>
      </w:r>
      <w:r>
        <w:rPr>
          <w:spacing w:val="10"/>
          <w:sz w:val="13"/>
        </w:rPr>
        <w:t xml:space="preserve"> </w:t>
      </w:r>
      <w:r>
        <w:rPr>
          <w:sz w:val="13"/>
        </w:rPr>
        <w:t>cuenta</w:t>
      </w:r>
      <w:r>
        <w:rPr>
          <w:spacing w:val="10"/>
          <w:sz w:val="13"/>
        </w:rPr>
        <w:t xml:space="preserve"> </w:t>
      </w:r>
      <w:r>
        <w:rPr>
          <w:sz w:val="13"/>
        </w:rPr>
        <w:t>la</w:t>
      </w:r>
      <w:r>
        <w:rPr>
          <w:spacing w:val="10"/>
          <w:sz w:val="13"/>
        </w:rPr>
        <w:t xml:space="preserve"> </w:t>
      </w:r>
      <w:r>
        <w:rPr>
          <w:sz w:val="13"/>
        </w:rPr>
        <w:t>motivación</w:t>
      </w:r>
      <w:r>
        <w:rPr>
          <w:spacing w:val="10"/>
          <w:sz w:val="13"/>
        </w:rPr>
        <w:t xml:space="preserve"> </w:t>
      </w:r>
      <w:r>
        <w:rPr>
          <w:sz w:val="13"/>
        </w:rPr>
        <w:t>racista</w:t>
      </w:r>
      <w:r>
        <w:rPr>
          <w:spacing w:val="10"/>
          <w:sz w:val="13"/>
        </w:rPr>
        <w:t xml:space="preserve"> </w:t>
      </w:r>
      <w:r>
        <w:rPr>
          <w:sz w:val="13"/>
        </w:rPr>
        <w:t>y</w:t>
      </w:r>
      <w:r>
        <w:rPr>
          <w:spacing w:val="10"/>
          <w:sz w:val="13"/>
        </w:rPr>
        <w:t xml:space="preserve"> </w:t>
      </w:r>
      <w:r>
        <w:rPr>
          <w:sz w:val="13"/>
        </w:rPr>
        <w:t>xenófoba</w:t>
      </w:r>
      <w:r>
        <w:rPr>
          <w:spacing w:val="10"/>
          <w:sz w:val="13"/>
        </w:rPr>
        <w:t xml:space="preserve"> </w:t>
      </w:r>
      <w:r>
        <w:rPr>
          <w:sz w:val="13"/>
        </w:rPr>
        <w:t>como</w:t>
      </w:r>
      <w:r>
        <w:rPr>
          <w:spacing w:val="10"/>
          <w:sz w:val="13"/>
        </w:rPr>
        <w:t xml:space="preserve"> </w:t>
      </w:r>
      <w:r>
        <w:rPr>
          <w:sz w:val="13"/>
        </w:rPr>
        <w:t>factor</w:t>
      </w:r>
      <w:r>
        <w:rPr>
          <w:spacing w:val="10"/>
          <w:sz w:val="13"/>
        </w:rPr>
        <w:t xml:space="preserve"> </w:t>
      </w:r>
      <w:r>
        <w:rPr>
          <w:sz w:val="13"/>
        </w:rPr>
        <w:t>agravante</w:t>
      </w:r>
      <w:r>
        <w:rPr>
          <w:spacing w:val="10"/>
          <w:sz w:val="13"/>
        </w:rPr>
        <w:t xml:space="preserve"> </w:t>
      </w:r>
      <w:r>
        <w:rPr>
          <w:sz w:val="13"/>
        </w:rPr>
        <w:t>de</w:t>
      </w:r>
      <w:r>
        <w:rPr>
          <w:spacing w:val="10"/>
          <w:sz w:val="13"/>
        </w:rPr>
        <w:t xml:space="preserve"> </w:t>
      </w:r>
      <w:r>
        <w:rPr>
          <w:sz w:val="13"/>
        </w:rPr>
        <w:t>todos</w:t>
      </w:r>
      <w:r>
        <w:rPr>
          <w:spacing w:val="10"/>
          <w:sz w:val="13"/>
        </w:rPr>
        <w:t xml:space="preserve"> </w:t>
      </w:r>
      <w:r>
        <w:rPr>
          <w:sz w:val="13"/>
        </w:rPr>
        <w:t>los</w:t>
      </w:r>
      <w:r>
        <w:rPr>
          <w:spacing w:val="10"/>
          <w:sz w:val="13"/>
        </w:rPr>
        <w:t xml:space="preserve"> </w:t>
      </w:r>
      <w:r>
        <w:rPr>
          <w:sz w:val="13"/>
        </w:rPr>
        <w:t>delitos</w:t>
      </w:r>
      <w:r>
        <w:rPr>
          <w:spacing w:val="10"/>
          <w:sz w:val="13"/>
        </w:rPr>
        <w:t xml:space="preserve"> </w:t>
      </w:r>
      <w:r>
        <w:rPr>
          <w:sz w:val="13"/>
        </w:rPr>
        <w:t>cometidos,</w:t>
      </w:r>
      <w:r>
        <w:rPr>
          <w:spacing w:val="11"/>
          <w:sz w:val="13"/>
        </w:rPr>
        <w:t xml:space="preserve"> </w:t>
      </w:r>
      <w:r>
        <w:rPr>
          <w:sz w:val="13"/>
        </w:rPr>
        <w:t>por</w:t>
      </w:r>
      <w:r>
        <w:rPr>
          <w:spacing w:val="40"/>
          <w:sz w:val="13"/>
        </w:rPr>
        <w:t xml:space="preserve"> </w:t>
      </w:r>
      <w:r>
        <w:rPr>
          <w:sz w:val="13"/>
        </w:rPr>
        <w:t>lo</w:t>
      </w:r>
      <w:r>
        <w:rPr>
          <w:spacing w:val="13"/>
          <w:sz w:val="13"/>
        </w:rPr>
        <w:t xml:space="preserve"> </w:t>
      </w:r>
      <w:r>
        <w:rPr>
          <w:sz w:val="13"/>
        </w:rPr>
        <w:t>que</w:t>
      </w:r>
      <w:r>
        <w:rPr>
          <w:spacing w:val="13"/>
          <w:sz w:val="13"/>
        </w:rPr>
        <w:t xml:space="preserve"> </w:t>
      </w:r>
      <w:r>
        <w:rPr>
          <w:sz w:val="13"/>
        </w:rPr>
        <w:t>no</w:t>
      </w:r>
      <w:r>
        <w:rPr>
          <w:spacing w:val="13"/>
          <w:sz w:val="13"/>
        </w:rPr>
        <w:t xml:space="preserve"> </w:t>
      </w:r>
      <w:r>
        <w:rPr>
          <w:sz w:val="13"/>
        </w:rPr>
        <w:t>para</w:t>
      </w:r>
      <w:r>
        <w:rPr>
          <w:spacing w:val="13"/>
          <w:sz w:val="13"/>
        </w:rPr>
        <w:t xml:space="preserve"> </w:t>
      </w:r>
      <w:r>
        <w:rPr>
          <w:sz w:val="13"/>
        </w:rPr>
        <w:t>garantizar</w:t>
      </w:r>
      <w:r>
        <w:rPr>
          <w:spacing w:val="13"/>
          <w:sz w:val="13"/>
        </w:rPr>
        <w:t xml:space="preserve"> </w:t>
      </w:r>
      <w:r>
        <w:rPr>
          <w:sz w:val="13"/>
        </w:rPr>
        <w:t>que</w:t>
      </w:r>
      <w:r>
        <w:rPr>
          <w:spacing w:val="13"/>
          <w:sz w:val="13"/>
        </w:rPr>
        <w:t xml:space="preserve"> </w:t>
      </w:r>
      <w:r>
        <w:rPr>
          <w:sz w:val="13"/>
        </w:rPr>
        <w:t>los</w:t>
      </w:r>
      <w:r>
        <w:rPr>
          <w:spacing w:val="13"/>
          <w:sz w:val="13"/>
        </w:rPr>
        <w:t xml:space="preserve"> </w:t>
      </w:r>
      <w:r>
        <w:rPr>
          <w:sz w:val="13"/>
        </w:rPr>
        <w:t>delitos</w:t>
      </w:r>
      <w:r>
        <w:rPr>
          <w:spacing w:val="13"/>
          <w:sz w:val="13"/>
        </w:rPr>
        <w:t xml:space="preserve"> </w:t>
      </w:r>
      <w:r>
        <w:rPr>
          <w:sz w:val="13"/>
        </w:rPr>
        <w:t>de</w:t>
      </w:r>
      <w:r>
        <w:rPr>
          <w:spacing w:val="13"/>
          <w:sz w:val="13"/>
        </w:rPr>
        <w:t xml:space="preserve"> </w:t>
      </w:r>
      <w:r>
        <w:rPr>
          <w:sz w:val="13"/>
        </w:rPr>
        <w:t>odio</w:t>
      </w:r>
      <w:r>
        <w:rPr>
          <w:spacing w:val="13"/>
          <w:sz w:val="13"/>
        </w:rPr>
        <w:t xml:space="preserve"> </w:t>
      </w:r>
      <w:r>
        <w:rPr>
          <w:sz w:val="13"/>
        </w:rPr>
        <w:t>sean</w:t>
      </w:r>
      <w:r>
        <w:rPr>
          <w:spacing w:val="13"/>
          <w:sz w:val="13"/>
        </w:rPr>
        <w:t xml:space="preserve"> </w:t>
      </w:r>
      <w:r>
        <w:rPr>
          <w:sz w:val="13"/>
        </w:rPr>
        <w:t>perseguidos</w:t>
      </w:r>
      <w:r>
        <w:rPr>
          <w:spacing w:val="13"/>
          <w:sz w:val="13"/>
        </w:rPr>
        <w:t xml:space="preserve"> </w:t>
      </w:r>
      <w:r>
        <w:rPr>
          <w:sz w:val="13"/>
        </w:rPr>
        <w:t>de</w:t>
      </w:r>
      <w:r>
        <w:rPr>
          <w:spacing w:val="13"/>
          <w:sz w:val="13"/>
        </w:rPr>
        <w:t xml:space="preserve"> </w:t>
      </w:r>
      <w:r>
        <w:rPr>
          <w:sz w:val="13"/>
        </w:rPr>
        <w:t>manera</w:t>
      </w:r>
      <w:r>
        <w:rPr>
          <w:spacing w:val="13"/>
          <w:sz w:val="13"/>
        </w:rPr>
        <w:t xml:space="preserve"> </w:t>
      </w:r>
      <w:r>
        <w:rPr>
          <w:sz w:val="13"/>
        </w:rPr>
        <w:t>efectiva</w:t>
      </w:r>
      <w:r>
        <w:rPr>
          <w:spacing w:val="13"/>
          <w:sz w:val="13"/>
        </w:rPr>
        <w:t xml:space="preserve"> </w:t>
      </w:r>
      <w:r>
        <w:rPr>
          <w:sz w:val="13"/>
        </w:rPr>
        <w:t>y</w:t>
      </w:r>
      <w:r>
        <w:rPr>
          <w:spacing w:val="13"/>
          <w:sz w:val="13"/>
        </w:rPr>
        <w:t xml:space="preserve"> </w:t>
      </w:r>
      <w:r>
        <w:rPr>
          <w:sz w:val="13"/>
        </w:rPr>
        <w:t>adecuada”.</w:t>
      </w:r>
      <w:r>
        <w:rPr>
          <w:spacing w:val="14"/>
          <w:sz w:val="13"/>
        </w:rPr>
        <w:t xml:space="preserve"> </w:t>
      </w:r>
      <w:r>
        <w:rPr>
          <w:sz w:val="13"/>
        </w:rPr>
        <w:t>Véase</w:t>
      </w:r>
      <w:r>
        <w:rPr>
          <w:spacing w:val="13"/>
          <w:sz w:val="13"/>
        </w:rPr>
        <w:t xml:space="preserve"> </w:t>
      </w:r>
      <w:r>
        <w:rPr>
          <w:sz w:val="13"/>
        </w:rPr>
        <w:t>Comisión</w:t>
      </w:r>
      <w:r>
        <w:rPr>
          <w:spacing w:val="13"/>
          <w:sz w:val="13"/>
        </w:rPr>
        <w:t xml:space="preserve"> </w:t>
      </w:r>
      <w:r>
        <w:rPr>
          <w:sz w:val="13"/>
        </w:rPr>
        <w:t>Europea,</w:t>
      </w:r>
      <w:r>
        <w:rPr>
          <w:spacing w:val="14"/>
          <w:sz w:val="13"/>
        </w:rPr>
        <w:t xml:space="preserve"> </w:t>
      </w:r>
      <w:r>
        <w:rPr>
          <w:sz w:val="13"/>
        </w:rPr>
        <w:t>“</w:t>
      </w:r>
      <w:proofErr w:type="spellStart"/>
      <w:r>
        <w:rPr>
          <w:sz w:val="13"/>
        </w:rPr>
        <w:t>February</w:t>
      </w:r>
      <w:proofErr w:type="spellEnd"/>
      <w:r>
        <w:rPr>
          <w:spacing w:val="40"/>
          <w:sz w:val="13"/>
        </w:rPr>
        <w:t xml:space="preserve"> </w:t>
      </w:r>
      <w:proofErr w:type="spellStart"/>
      <w:r>
        <w:rPr>
          <w:sz w:val="13"/>
        </w:rPr>
        <w:t>infringements</w:t>
      </w:r>
      <w:proofErr w:type="spellEnd"/>
      <w:r>
        <w:rPr>
          <w:sz w:val="13"/>
        </w:rPr>
        <w:t xml:space="preserve"> </w:t>
      </w:r>
      <w:proofErr w:type="spellStart"/>
      <w:r>
        <w:rPr>
          <w:sz w:val="13"/>
        </w:rPr>
        <w:t>package</w:t>
      </w:r>
      <w:proofErr w:type="spellEnd"/>
      <w:r>
        <w:rPr>
          <w:sz w:val="13"/>
        </w:rPr>
        <w:t xml:space="preserve">: </w:t>
      </w:r>
      <w:proofErr w:type="spellStart"/>
      <w:r>
        <w:rPr>
          <w:sz w:val="13"/>
        </w:rPr>
        <w:t>key</w:t>
      </w:r>
      <w:proofErr w:type="spellEnd"/>
      <w:r>
        <w:rPr>
          <w:sz w:val="13"/>
        </w:rPr>
        <w:t xml:space="preserve"> </w:t>
      </w:r>
      <w:proofErr w:type="spellStart"/>
      <w:r>
        <w:rPr>
          <w:sz w:val="13"/>
        </w:rPr>
        <w:t>Decisions</w:t>
      </w:r>
      <w:proofErr w:type="spellEnd"/>
      <w:r>
        <w:rPr>
          <w:sz w:val="13"/>
        </w:rPr>
        <w:t xml:space="preserve">”, 18 de febrero de 2021. Disponible en </w:t>
      </w:r>
      <w:r>
        <w:rPr>
          <w:color w:val="0075BF"/>
          <w:sz w:val="13"/>
        </w:rPr>
        <w:t>https://ec.europa.eu/commission/presscorner/detail/en/</w:t>
      </w:r>
    </w:p>
    <w:p w14:paraId="209E931B" w14:textId="77777777" w:rsidR="0014798C" w:rsidRPr="002B051F" w:rsidRDefault="004E1F0B">
      <w:pPr>
        <w:spacing w:line="136" w:lineRule="exact"/>
        <w:ind w:left="1367"/>
        <w:rPr>
          <w:sz w:val="13"/>
          <w:lang w:val="es-CR"/>
        </w:rPr>
      </w:pPr>
      <w:r w:rsidRPr="002B051F">
        <w:rPr>
          <w:color w:val="0075BF"/>
          <w:spacing w:val="-2"/>
          <w:sz w:val="13"/>
          <w:lang w:val="es-CR"/>
        </w:rPr>
        <w:t>INF_21_441.</w:t>
      </w:r>
    </w:p>
    <w:p w14:paraId="7E7E3CFC" w14:textId="77777777" w:rsidR="0014798C" w:rsidRPr="002B051F" w:rsidRDefault="0014798C">
      <w:pPr>
        <w:pStyle w:val="Textoindependiente"/>
        <w:rPr>
          <w:sz w:val="18"/>
          <w:lang w:val="es-CR"/>
        </w:rPr>
      </w:pPr>
    </w:p>
    <w:p w14:paraId="4BF68901" w14:textId="77777777" w:rsidR="0014798C" w:rsidRPr="002B051F" w:rsidRDefault="0014798C">
      <w:pPr>
        <w:pStyle w:val="Textoindependiente"/>
        <w:rPr>
          <w:sz w:val="18"/>
          <w:lang w:val="es-CR"/>
        </w:rPr>
      </w:pPr>
    </w:p>
    <w:p w14:paraId="4BF2D623" w14:textId="77777777" w:rsidR="0014798C" w:rsidRPr="002B051F" w:rsidRDefault="0014798C">
      <w:pPr>
        <w:pStyle w:val="Textoindependiente"/>
        <w:spacing w:before="29"/>
        <w:rPr>
          <w:sz w:val="18"/>
          <w:lang w:val="es-CR"/>
        </w:rPr>
      </w:pPr>
    </w:p>
    <w:p w14:paraId="1D8DC701" w14:textId="272958C8" w:rsidR="0014798C" w:rsidRPr="002B051F" w:rsidRDefault="0014798C">
      <w:pPr>
        <w:spacing w:before="76"/>
        <w:ind w:left="113"/>
        <w:rPr>
          <w:sz w:val="21"/>
          <w:lang w:val="es-CR"/>
        </w:rPr>
      </w:pPr>
    </w:p>
    <w:p w14:paraId="63182D3B" w14:textId="77777777" w:rsidR="0014798C" w:rsidRPr="002B051F" w:rsidRDefault="0014798C">
      <w:pPr>
        <w:pStyle w:val="Textoindependiente"/>
        <w:rPr>
          <w:sz w:val="27"/>
          <w:lang w:val="es-CR"/>
        </w:rPr>
      </w:pPr>
    </w:p>
    <w:p w14:paraId="318C0F4B" w14:textId="03CA51A2" w:rsidR="0014798C" w:rsidRPr="002B051F" w:rsidRDefault="0022508F">
      <w:pPr>
        <w:pStyle w:val="Textoindependiente"/>
        <w:rPr>
          <w:sz w:val="27"/>
          <w:lang w:val="es-CR"/>
        </w:rPr>
      </w:pPr>
      <w:r>
        <w:rPr>
          <w:noProof/>
        </w:rPr>
        <w:lastRenderedPageBreak/>
        <w:drawing>
          <wp:anchor distT="0" distB="0" distL="0" distR="0" simplePos="0" relativeHeight="251658484" behindDoc="1" locked="0" layoutInCell="1" allowOverlap="1" wp14:anchorId="6D0E495E" wp14:editId="3A3B13BE">
            <wp:simplePos x="0" y="0"/>
            <wp:positionH relativeFrom="margin">
              <wp:align>right</wp:align>
            </wp:positionH>
            <wp:positionV relativeFrom="page">
              <wp:posOffset>42531</wp:posOffset>
            </wp:positionV>
            <wp:extent cx="7556500" cy="10680700"/>
            <wp:effectExtent l="0" t="0" r="6350" b="6350"/>
            <wp:wrapNone/>
            <wp:docPr id="343" name="Image 34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43" name="Image 343"/>
                    <pic:cNvPicPr/>
                  </pic:nvPicPr>
                  <pic:blipFill>
                    <a:blip r:embed="rId319" cstate="print"/>
                    <a:stretch>
                      <a:fillRect/>
                    </a:stretch>
                  </pic:blipFill>
                  <pic:spPr>
                    <a:xfrm>
                      <a:off x="0" y="0"/>
                      <a:ext cx="7556500" cy="10680700"/>
                    </a:xfrm>
                    <a:prstGeom prst="rect">
                      <a:avLst/>
                    </a:prstGeom>
                  </pic:spPr>
                </pic:pic>
              </a:graphicData>
            </a:graphic>
          </wp:anchor>
        </w:drawing>
      </w:r>
    </w:p>
    <w:p w14:paraId="6533886F" w14:textId="2430D8DA" w:rsidR="0014798C" w:rsidRPr="002B051F" w:rsidRDefault="0014798C">
      <w:pPr>
        <w:pStyle w:val="Textoindependiente"/>
        <w:rPr>
          <w:sz w:val="27"/>
          <w:lang w:val="es-CR"/>
        </w:rPr>
      </w:pPr>
    </w:p>
    <w:p w14:paraId="05060283" w14:textId="5B1FCC68" w:rsidR="0014798C" w:rsidRPr="002B051F" w:rsidRDefault="0014798C">
      <w:pPr>
        <w:pStyle w:val="Textoindependiente"/>
        <w:rPr>
          <w:sz w:val="27"/>
          <w:lang w:val="es-CR"/>
        </w:rPr>
      </w:pPr>
    </w:p>
    <w:p w14:paraId="529B1C8D" w14:textId="21C9E705" w:rsidR="0014798C" w:rsidRPr="002B051F" w:rsidRDefault="0014798C">
      <w:pPr>
        <w:pStyle w:val="Textoindependiente"/>
        <w:rPr>
          <w:sz w:val="27"/>
          <w:lang w:val="es-CR"/>
        </w:rPr>
      </w:pPr>
    </w:p>
    <w:p w14:paraId="23A33992" w14:textId="024CD66D" w:rsidR="0014798C" w:rsidRPr="002B051F" w:rsidRDefault="0014798C">
      <w:pPr>
        <w:pStyle w:val="Textoindependiente"/>
        <w:rPr>
          <w:sz w:val="27"/>
          <w:lang w:val="es-CR"/>
        </w:rPr>
      </w:pPr>
    </w:p>
    <w:p w14:paraId="47E4628A" w14:textId="564489C1" w:rsidR="0014798C" w:rsidRPr="002B051F" w:rsidRDefault="0014798C">
      <w:pPr>
        <w:pStyle w:val="Textoindependiente"/>
        <w:rPr>
          <w:sz w:val="27"/>
          <w:lang w:val="es-CR"/>
        </w:rPr>
      </w:pPr>
    </w:p>
    <w:p w14:paraId="1FA5336F" w14:textId="77777777" w:rsidR="0014798C" w:rsidRPr="002B051F" w:rsidRDefault="0014798C">
      <w:pPr>
        <w:pStyle w:val="Textoindependiente"/>
        <w:rPr>
          <w:sz w:val="27"/>
          <w:lang w:val="es-CR"/>
        </w:rPr>
      </w:pPr>
    </w:p>
    <w:p w14:paraId="1FB2E100" w14:textId="77777777" w:rsidR="0014798C" w:rsidRPr="002B051F" w:rsidRDefault="0014798C">
      <w:pPr>
        <w:pStyle w:val="Textoindependiente"/>
        <w:rPr>
          <w:sz w:val="27"/>
          <w:lang w:val="es-CR"/>
        </w:rPr>
      </w:pPr>
    </w:p>
    <w:p w14:paraId="2C6E6EE7" w14:textId="77777777" w:rsidR="0014798C" w:rsidRPr="002B051F" w:rsidRDefault="0014798C">
      <w:pPr>
        <w:pStyle w:val="Textoindependiente"/>
        <w:rPr>
          <w:sz w:val="27"/>
          <w:lang w:val="es-CR"/>
        </w:rPr>
      </w:pPr>
    </w:p>
    <w:p w14:paraId="23A16CB6" w14:textId="77777777" w:rsidR="0014798C" w:rsidRPr="002B051F" w:rsidRDefault="0014798C">
      <w:pPr>
        <w:pStyle w:val="Textoindependiente"/>
        <w:rPr>
          <w:sz w:val="27"/>
          <w:lang w:val="es-CR"/>
        </w:rPr>
      </w:pPr>
    </w:p>
    <w:p w14:paraId="02D43EF7" w14:textId="77777777" w:rsidR="0014798C" w:rsidRPr="002B051F" w:rsidRDefault="0014798C">
      <w:pPr>
        <w:pStyle w:val="Textoindependiente"/>
        <w:rPr>
          <w:sz w:val="27"/>
          <w:lang w:val="es-CR"/>
        </w:rPr>
      </w:pPr>
    </w:p>
    <w:p w14:paraId="238029BA" w14:textId="77777777" w:rsidR="0014798C" w:rsidRPr="002B051F" w:rsidRDefault="0014798C">
      <w:pPr>
        <w:pStyle w:val="Textoindependiente"/>
        <w:rPr>
          <w:sz w:val="27"/>
          <w:lang w:val="es-CR"/>
        </w:rPr>
      </w:pPr>
    </w:p>
    <w:p w14:paraId="06CD8D8E" w14:textId="77777777" w:rsidR="0014798C" w:rsidRPr="002B051F" w:rsidRDefault="0014798C">
      <w:pPr>
        <w:pStyle w:val="Textoindependiente"/>
        <w:rPr>
          <w:sz w:val="27"/>
          <w:lang w:val="es-CR"/>
        </w:rPr>
      </w:pPr>
    </w:p>
    <w:p w14:paraId="16BC47EC" w14:textId="77777777" w:rsidR="0014798C" w:rsidRPr="002B051F" w:rsidRDefault="0014798C">
      <w:pPr>
        <w:pStyle w:val="Textoindependiente"/>
        <w:rPr>
          <w:sz w:val="27"/>
          <w:lang w:val="es-CR"/>
        </w:rPr>
      </w:pPr>
    </w:p>
    <w:p w14:paraId="501FD936" w14:textId="77777777" w:rsidR="0014798C" w:rsidRPr="002B051F" w:rsidRDefault="0014798C">
      <w:pPr>
        <w:pStyle w:val="Textoindependiente"/>
        <w:rPr>
          <w:sz w:val="27"/>
          <w:lang w:val="es-CR"/>
        </w:rPr>
      </w:pPr>
    </w:p>
    <w:p w14:paraId="70DCDA76" w14:textId="77777777" w:rsidR="0014798C" w:rsidRPr="002B051F" w:rsidRDefault="0014798C">
      <w:pPr>
        <w:pStyle w:val="Textoindependiente"/>
        <w:rPr>
          <w:sz w:val="27"/>
          <w:lang w:val="es-CR"/>
        </w:rPr>
      </w:pPr>
    </w:p>
    <w:p w14:paraId="63B5C5A5" w14:textId="77777777" w:rsidR="0014798C" w:rsidRPr="002B051F" w:rsidRDefault="0014798C">
      <w:pPr>
        <w:pStyle w:val="Textoindependiente"/>
        <w:rPr>
          <w:sz w:val="27"/>
          <w:lang w:val="es-CR"/>
        </w:rPr>
      </w:pPr>
    </w:p>
    <w:p w14:paraId="4F6C309E" w14:textId="77777777" w:rsidR="0014798C" w:rsidRPr="002B051F" w:rsidRDefault="0014798C">
      <w:pPr>
        <w:pStyle w:val="Textoindependiente"/>
        <w:rPr>
          <w:sz w:val="27"/>
          <w:lang w:val="es-CR"/>
        </w:rPr>
      </w:pPr>
    </w:p>
    <w:p w14:paraId="049209E6" w14:textId="77777777" w:rsidR="0014798C" w:rsidRPr="002B051F" w:rsidRDefault="0014798C">
      <w:pPr>
        <w:pStyle w:val="Textoindependiente"/>
        <w:rPr>
          <w:sz w:val="27"/>
          <w:lang w:val="es-CR"/>
        </w:rPr>
      </w:pPr>
    </w:p>
    <w:p w14:paraId="719270A1" w14:textId="77777777" w:rsidR="0014798C" w:rsidRPr="002B051F" w:rsidRDefault="0014798C">
      <w:pPr>
        <w:pStyle w:val="Textoindependiente"/>
        <w:rPr>
          <w:sz w:val="27"/>
          <w:lang w:val="es-CR"/>
        </w:rPr>
      </w:pPr>
    </w:p>
    <w:p w14:paraId="19F7B38C" w14:textId="77777777" w:rsidR="0014798C" w:rsidRPr="002B051F" w:rsidRDefault="0014798C">
      <w:pPr>
        <w:pStyle w:val="Textoindependiente"/>
        <w:rPr>
          <w:sz w:val="27"/>
          <w:lang w:val="es-CR"/>
        </w:rPr>
      </w:pPr>
    </w:p>
    <w:p w14:paraId="4EAFBA6E" w14:textId="77777777" w:rsidR="0014798C" w:rsidRPr="002B051F" w:rsidRDefault="0014798C">
      <w:pPr>
        <w:pStyle w:val="Textoindependiente"/>
        <w:rPr>
          <w:sz w:val="27"/>
          <w:lang w:val="es-CR"/>
        </w:rPr>
      </w:pPr>
    </w:p>
    <w:p w14:paraId="468FED1F" w14:textId="77777777" w:rsidR="0014798C" w:rsidRPr="002B051F" w:rsidRDefault="0014798C">
      <w:pPr>
        <w:pStyle w:val="Textoindependiente"/>
        <w:rPr>
          <w:sz w:val="27"/>
          <w:lang w:val="es-CR"/>
        </w:rPr>
      </w:pPr>
    </w:p>
    <w:p w14:paraId="1A888BF7" w14:textId="77777777" w:rsidR="0014798C" w:rsidRPr="002B051F" w:rsidRDefault="0014798C">
      <w:pPr>
        <w:pStyle w:val="Textoindependiente"/>
        <w:rPr>
          <w:sz w:val="27"/>
          <w:lang w:val="es-CR"/>
        </w:rPr>
      </w:pPr>
    </w:p>
    <w:p w14:paraId="036E4412" w14:textId="77777777" w:rsidR="0014798C" w:rsidRPr="002B051F" w:rsidRDefault="0014798C">
      <w:pPr>
        <w:pStyle w:val="Textoindependiente"/>
        <w:rPr>
          <w:sz w:val="27"/>
          <w:lang w:val="es-CR"/>
        </w:rPr>
      </w:pPr>
    </w:p>
    <w:p w14:paraId="38362900" w14:textId="77777777" w:rsidR="0014798C" w:rsidRPr="002B051F" w:rsidRDefault="0014798C">
      <w:pPr>
        <w:pStyle w:val="Textoindependiente"/>
        <w:rPr>
          <w:sz w:val="27"/>
          <w:lang w:val="es-CR"/>
        </w:rPr>
      </w:pPr>
    </w:p>
    <w:p w14:paraId="10CFC343" w14:textId="77777777" w:rsidR="0014798C" w:rsidRPr="002B051F" w:rsidRDefault="0014798C">
      <w:pPr>
        <w:pStyle w:val="Textoindependiente"/>
        <w:rPr>
          <w:sz w:val="27"/>
          <w:lang w:val="es-CR"/>
        </w:rPr>
      </w:pPr>
    </w:p>
    <w:p w14:paraId="0D82A827" w14:textId="77777777" w:rsidR="0014798C" w:rsidRPr="002B051F" w:rsidRDefault="0014798C">
      <w:pPr>
        <w:pStyle w:val="Textoindependiente"/>
        <w:rPr>
          <w:sz w:val="27"/>
          <w:lang w:val="es-CR"/>
        </w:rPr>
      </w:pPr>
    </w:p>
    <w:p w14:paraId="6879863B" w14:textId="77777777" w:rsidR="0014798C" w:rsidRPr="002B051F" w:rsidRDefault="0014798C">
      <w:pPr>
        <w:pStyle w:val="Textoindependiente"/>
        <w:rPr>
          <w:sz w:val="27"/>
          <w:lang w:val="es-CR"/>
        </w:rPr>
      </w:pPr>
    </w:p>
    <w:p w14:paraId="191F69C4" w14:textId="77777777" w:rsidR="0014798C" w:rsidRPr="002B051F" w:rsidRDefault="0014798C">
      <w:pPr>
        <w:pStyle w:val="Textoindependiente"/>
        <w:rPr>
          <w:sz w:val="27"/>
          <w:lang w:val="es-CR"/>
        </w:rPr>
      </w:pPr>
    </w:p>
    <w:p w14:paraId="65293FFE" w14:textId="77777777" w:rsidR="0014798C" w:rsidRPr="002B051F" w:rsidRDefault="0014798C">
      <w:pPr>
        <w:pStyle w:val="Textoindependiente"/>
        <w:rPr>
          <w:sz w:val="27"/>
          <w:lang w:val="es-CR"/>
        </w:rPr>
      </w:pPr>
    </w:p>
    <w:p w14:paraId="7A88F186" w14:textId="77777777" w:rsidR="0014798C" w:rsidRPr="002B051F" w:rsidRDefault="0014798C">
      <w:pPr>
        <w:pStyle w:val="Textoindependiente"/>
        <w:rPr>
          <w:sz w:val="27"/>
          <w:lang w:val="es-CR"/>
        </w:rPr>
      </w:pPr>
    </w:p>
    <w:p w14:paraId="72A6A45A" w14:textId="77777777" w:rsidR="0014798C" w:rsidRPr="002B051F" w:rsidRDefault="0014798C">
      <w:pPr>
        <w:pStyle w:val="Textoindependiente"/>
        <w:rPr>
          <w:sz w:val="27"/>
          <w:lang w:val="es-CR"/>
        </w:rPr>
      </w:pPr>
    </w:p>
    <w:p w14:paraId="7DFC0881" w14:textId="77777777" w:rsidR="0014798C" w:rsidRPr="002B051F" w:rsidRDefault="0014798C">
      <w:pPr>
        <w:pStyle w:val="Textoindependiente"/>
        <w:rPr>
          <w:sz w:val="27"/>
          <w:lang w:val="es-CR"/>
        </w:rPr>
      </w:pPr>
    </w:p>
    <w:p w14:paraId="48DF27C9" w14:textId="77777777" w:rsidR="0014798C" w:rsidRPr="002B051F" w:rsidRDefault="0014798C">
      <w:pPr>
        <w:pStyle w:val="Textoindependiente"/>
        <w:rPr>
          <w:sz w:val="27"/>
          <w:lang w:val="es-CR"/>
        </w:rPr>
      </w:pPr>
    </w:p>
    <w:p w14:paraId="34062BA7" w14:textId="77777777" w:rsidR="0014798C" w:rsidRPr="002B051F" w:rsidRDefault="0014798C">
      <w:pPr>
        <w:pStyle w:val="Textoindependiente"/>
        <w:rPr>
          <w:sz w:val="27"/>
          <w:lang w:val="es-CR"/>
        </w:rPr>
      </w:pPr>
    </w:p>
    <w:p w14:paraId="6BC57324" w14:textId="77777777" w:rsidR="0014798C" w:rsidRPr="002B051F" w:rsidRDefault="0014798C">
      <w:pPr>
        <w:pStyle w:val="Textoindependiente"/>
        <w:rPr>
          <w:sz w:val="27"/>
          <w:lang w:val="es-CR"/>
        </w:rPr>
      </w:pPr>
    </w:p>
    <w:p w14:paraId="10DF253E" w14:textId="77777777" w:rsidR="0014798C" w:rsidRPr="002B051F" w:rsidRDefault="0014798C">
      <w:pPr>
        <w:pStyle w:val="Textoindependiente"/>
        <w:rPr>
          <w:sz w:val="27"/>
          <w:lang w:val="es-CR"/>
        </w:rPr>
      </w:pPr>
    </w:p>
    <w:p w14:paraId="5BA4640F" w14:textId="77777777" w:rsidR="0014798C" w:rsidRPr="002B051F" w:rsidRDefault="0014798C">
      <w:pPr>
        <w:pStyle w:val="Textoindependiente"/>
        <w:rPr>
          <w:sz w:val="27"/>
          <w:lang w:val="es-CR"/>
        </w:rPr>
      </w:pPr>
    </w:p>
    <w:p w14:paraId="4C9F778E" w14:textId="77777777" w:rsidR="0014798C" w:rsidRPr="002B051F" w:rsidRDefault="0014798C">
      <w:pPr>
        <w:pStyle w:val="Textoindependiente"/>
        <w:rPr>
          <w:sz w:val="27"/>
          <w:lang w:val="es-CR"/>
        </w:rPr>
      </w:pPr>
    </w:p>
    <w:p w14:paraId="1CBA4FD7" w14:textId="77777777" w:rsidR="0014798C" w:rsidRPr="002B051F" w:rsidRDefault="0014798C">
      <w:pPr>
        <w:pStyle w:val="Textoindependiente"/>
        <w:rPr>
          <w:sz w:val="27"/>
          <w:lang w:val="es-CR"/>
        </w:rPr>
      </w:pPr>
    </w:p>
    <w:p w14:paraId="3295A8FF" w14:textId="77777777" w:rsidR="0014798C" w:rsidRPr="002B051F" w:rsidRDefault="0014798C">
      <w:pPr>
        <w:pStyle w:val="Textoindependiente"/>
        <w:rPr>
          <w:sz w:val="27"/>
          <w:lang w:val="es-CR"/>
        </w:rPr>
      </w:pPr>
    </w:p>
    <w:p w14:paraId="328119D3" w14:textId="77777777" w:rsidR="0014798C" w:rsidRPr="002B051F" w:rsidRDefault="0014798C">
      <w:pPr>
        <w:pStyle w:val="Textoindependiente"/>
        <w:spacing w:before="104"/>
        <w:rPr>
          <w:sz w:val="27"/>
          <w:lang w:val="es-CR"/>
        </w:rPr>
      </w:pPr>
    </w:p>
    <w:p w14:paraId="1638D056" w14:textId="77777777" w:rsidR="00C67DD8" w:rsidRDefault="00C67DD8">
      <w:pPr>
        <w:ind w:left="1188"/>
        <w:rPr>
          <w:color w:val="0075BF"/>
          <w:sz w:val="27"/>
          <w:highlight w:val="blue"/>
        </w:rPr>
      </w:pPr>
    </w:p>
    <w:p w14:paraId="1A338E16" w14:textId="77777777" w:rsidR="00C67DD8" w:rsidRDefault="00C67DD8">
      <w:pPr>
        <w:ind w:left="1188"/>
        <w:rPr>
          <w:color w:val="FFFFFF" w:themeColor="background1"/>
          <w:sz w:val="27"/>
          <w:highlight w:val="blue"/>
        </w:rPr>
      </w:pPr>
    </w:p>
    <w:p w14:paraId="1DC88FAB" w14:textId="0771220A" w:rsidR="0014798C" w:rsidRPr="00AB6303" w:rsidRDefault="004E1F0B" w:rsidP="00AB6303">
      <w:pPr>
        <w:ind w:firstLine="993"/>
        <w:rPr>
          <w:color w:val="FFFFFF" w:themeColor="background1"/>
          <w:sz w:val="44"/>
          <w:szCs w:val="44"/>
          <w:highlight w:val="blue"/>
        </w:rPr>
      </w:pPr>
      <w:bookmarkStart w:id="31" w:name="expresión"/>
      <w:r w:rsidRPr="00AB6303">
        <w:rPr>
          <w:color w:val="FFFFFF" w:themeColor="background1"/>
          <w:sz w:val="44"/>
          <w:szCs w:val="44"/>
          <w:highlight w:val="blue"/>
        </w:rPr>
        <w:t>PARTE</w:t>
      </w:r>
      <w:r w:rsidRPr="00AB6303">
        <w:rPr>
          <w:color w:val="FFFFFF" w:themeColor="background1"/>
          <w:spacing w:val="-5"/>
          <w:sz w:val="44"/>
          <w:szCs w:val="44"/>
          <w:highlight w:val="blue"/>
        </w:rPr>
        <w:t xml:space="preserve"> </w:t>
      </w:r>
      <w:r w:rsidRPr="00AB6303">
        <w:rPr>
          <w:color w:val="FFFFFF" w:themeColor="background1"/>
          <w:spacing w:val="-2"/>
          <w:sz w:val="44"/>
          <w:szCs w:val="44"/>
          <w:highlight w:val="blue"/>
        </w:rPr>
        <w:t>CINCO:</w:t>
      </w:r>
    </w:p>
    <w:p w14:paraId="323C48B2" w14:textId="77777777" w:rsidR="0014798C" w:rsidRPr="00C67DD8" w:rsidRDefault="0014798C">
      <w:pPr>
        <w:pStyle w:val="Textoindependiente"/>
        <w:spacing w:before="8"/>
        <w:rPr>
          <w:sz w:val="27"/>
          <w:highlight w:val="blue"/>
        </w:rPr>
      </w:pPr>
    </w:p>
    <w:p w14:paraId="4DBDA9A2" w14:textId="77777777" w:rsidR="0014798C" w:rsidRPr="00C67DD8" w:rsidRDefault="004E1F0B" w:rsidP="00AB6303">
      <w:pPr>
        <w:pStyle w:val="Ttulo4"/>
        <w:ind w:hanging="139"/>
      </w:pPr>
      <w:r w:rsidRPr="00C67DD8">
        <w:rPr>
          <w:color w:val="FFFFFF"/>
          <w:highlight w:val="blue"/>
        </w:rPr>
        <w:t>DISCRIMINACIÓN</w:t>
      </w:r>
      <w:r w:rsidRPr="00C67DD8">
        <w:rPr>
          <w:color w:val="FFFFFF"/>
          <w:spacing w:val="-10"/>
          <w:highlight w:val="blue"/>
        </w:rPr>
        <w:t xml:space="preserve"> </w:t>
      </w:r>
      <w:r w:rsidRPr="00C67DD8">
        <w:rPr>
          <w:color w:val="FFFFFF"/>
          <w:highlight w:val="blue"/>
        </w:rPr>
        <w:t>Y</w:t>
      </w:r>
      <w:r w:rsidRPr="00C67DD8">
        <w:rPr>
          <w:color w:val="FFFFFF"/>
          <w:spacing w:val="-7"/>
          <w:highlight w:val="blue"/>
        </w:rPr>
        <w:t xml:space="preserve"> </w:t>
      </w:r>
      <w:r w:rsidRPr="00C67DD8">
        <w:rPr>
          <w:color w:val="FFFFFF"/>
          <w:spacing w:val="-2"/>
          <w:highlight w:val="blue"/>
        </w:rPr>
        <w:t>EXPRESIÓN</w:t>
      </w:r>
    </w:p>
    <w:bookmarkEnd w:id="31"/>
    <w:p w14:paraId="002184F2" w14:textId="77777777" w:rsidR="0014798C" w:rsidRDefault="0014798C">
      <w:pPr>
        <w:sectPr w:rsidR="0014798C" w:rsidSect="00F265E4">
          <w:headerReference w:type="default" r:id="rId320"/>
          <w:pgSz w:w="11900" w:h="16820"/>
          <w:pgMar w:top="40" w:right="0" w:bottom="280" w:left="200" w:header="0" w:footer="0" w:gutter="0"/>
          <w:cols w:space="720"/>
        </w:sectPr>
      </w:pPr>
    </w:p>
    <w:p w14:paraId="20F5EA45" w14:textId="77777777" w:rsidR="0014798C" w:rsidRDefault="004E1F0B">
      <w:pPr>
        <w:pStyle w:val="Textoindependiente"/>
        <w:spacing w:before="66"/>
        <w:rPr>
          <w:sz w:val="13"/>
        </w:rPr>
      </w:pPr>
      <w:r>
        <w:rPr>
          <w:noProof/>
        </w:rPr>
        <w:lastRenderedPageBreak/>
        <w:drawing>
          <wp:anchor distT="0" distB="0" distL="0" distR="0" simplePos="0" relativeHeight="251658485" behindDoc="1" locked="0" layoutInCell="1" allowOverlap="1" wp14:anchorId="17BFB201" wp14:editId="301C9F0A">
            <wp:simplePos x="0" y="0"/>
            <wp:positionH relativeFrom="page">
              <wp:posOffset>0</wp:posOffset>
            </wp:positionH>
            <wp:positionV relativeFrom="page">
              <wp:posOffset>930124</wp:posOffset>
            </wp:positionV>
            <wp:extent cx="7556500" cy="9750575"/>
            <wp:effectExtent l="0" t="0" r="0" b="0"/>
            <wp:wrapNone/>
            <wp:docPr id="345" name="Image 34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45" name="Image 345"/>
                    <pic:cNvPicPr/>
                  </pic:nvPicPr>
                  <pic:blipFill>
                    <a:blip r:embed="rId321" cstate="print"/>
                    <a:stretch>
                      <a:fillRect/>
                    </a:stretch>
                  </pic:blipFill>
                  <pic:spPr>
                    <a:xfrm>
                      <a:off x="0" y="0"/>
                      <a:ext cx="7556500" cy="9750575"/>
                    </a:xfrm>
                    <a:prstGeom prst="rect">
                      <a:avLst/>
                    </a:prstGeom>
                  </pic:spPr>
                </pic:pic>
              </a:graphicData>
            </a:graphic>
          </wp:anchor>
        </w:drawing>
      </w:r>
    </w:p>
    <w:p w14:paraId="15290EF2" w14:textId="77777777" w:rsidR="0014798C" w:rsidRDefault="004E1F0B">
      <w:pPr>
        <w:ind w:left="1111"/>
        <w:rPr>
          <w:sz w:val="13"/>
        </w:rPr>
      </w:pPr>
      <w:r>
        <w:rPr>
          <w:color w:val="0075BF"/>
          <w:spacing w:val="-2"/>
          <w:w w:val="105"/>
          <w:sz w:val="13"/>
        </w:rPr>
        <w:t>PARTE</w:t>
      </w:r>
      <w:r>
        <w:rPr>
          <w:color w:val="0075BF"/>
          <w:spacing w:val="1"/>
          <w:w w:val="105"/>
          <w:sz w:val="13"/>
        </w:rPr>
        <w:t xml:space="preserve"> </w:t>
      </w:r>
      <w:r>
        <w:rPr>
          <w:color w:val="0075BF"/>
          <w:spacing w:val="-2"/>
          <w:w w:val="105"/>
          <w:sz w:val="13"/>
        </w:rPr>
        <w:t>QUINTA:</w:t>
      </w:r>
      <w:r>
        <w:rPr>
          <w:color w:val="0075BF"/>
          <w:spacing w:val="2"/>
          <w:w w:val="105"/>
          <w:sz w:val="13"/>
        </w:rPr>
        <w:t xml:space="preserve"> </w:t>
      </w:r>
      <w:r>
        <w:rPr>
          <w:color w:val="0075BF"/>
          <w:spacing w:val="-2"/>
          <w:w w:val="105"/>
          <w:sz w:val="13"/>
        </w:rPr>
        <w:t>DISCRIMINACIÓN</w:t>
      </w:r>
      <w:r>
        <w:rPr>
          <w:color w:val="0075BF"/>
          <w:w w:val="105"/>
          <w:sz w:val="13"/>
        </w:rPr>
        <w:t xml:space="preserve"> </w:t>
      </w:r>
      <w:r>
        <w:rPr>
          <w:color w:val="0075BF"/>
          <w:spacing w:val="-2"/>
          <w:w w:val="105"/>
          <w:sz w:val="13"/>
        </w:rPr>
        <w:t>Y</w:t>
      </w:r>
      <w:r>
        <w:rPr>
          <w:color w:val="0075BF"/>
          <w:spacing w:val="2"/>
          <w:w w:val="105"/>
          <w:sz w:val="13"/>
        </w:rPr>
        <w:t xml:space="preserve"> </w:t>
      </w:r>
      <w:r>
        <w:rPr>
          <w:color w:val="0075BF"/>
          <w:spacing w:val="-2"/>
          <w:w w:val="105"/>
          <w:sz w:val="13"/>
        </w:rPr>
        <w:t>EXPRESIÓN</w:t>
      </w:r>
    </w:p>
    <w:p w14:paraId="632F0C6A" w14:textId="77777777" w:rsidR="0014798C" w:rsidRDefault="0014798C">
      <w:pPr>
        <w:pStyle w:val="Textoindependiente"/>
      </w:pPr>
    </w:p>
    <w:p w14:paraId="1EFC28AF" w14:textId="77777777" w:rsidR="0014798C" w:rsidRDefault="0014798C">
      <w:pPr>
        <w:pStyle w:val="Textoindependiente"/>
      </w:pPr>
    </w:p>
    <w:p w14:paraId="4AB183CF" w14:textId="77777777" w:rsidR="0014798C" w:rsidRDefault="0014798C">
      <w:pPr>
        <w:pStyle w:val="Textoindependiente"/>
      </w:pPr>
    </w:p>
    <w:p w14:paraId="171A8BEC" w14:textId="77777777" w:rsidR="0014798C" w:rsidRDefault="0014798C">
      <w:pPr>
        <w:pStyle w:val="Textoindependiente"/>
      </w:pPr>
    </w:p>
    <w:p w14:paraId="7076898A" w14:textId="77777777" w:rsidR="0014798C" w:rsidRDefault="0014798C">
      <w:pPr>
        <w:pStyle w:val="Textoindependiente"/>
        <w:spacing w:before="18"/>
      </w:pPr>
    </w:p>
    <w:p w14:paraId="0E8764CD" w14:textId="77777777" w:rsidR="0014798C" w:rsidRDefault="004E1F0B">
      <w:pPr>
        <w:pStyle w:val="Textoindependiente"/>
        <w:ind w:left="1335"/>
      </w:pPr>
      <w:r>
        <w:rPr>
          <w:color w:val="FFFFFF"/>
          <w:spacing w:val="-2"/>
        </w:rPr>
        <w:t>RESUMEN</w:t>
      </w:r>
    </w:p>
    <w:p w14:paraId="7B32D513" w14:textId="77777777" w:rsidR="0014798C" w:rsidRDefault="0014798C">
      <w:pPr>
        <w:pStyle w:val="Textoindependiente"/>
        <w:spacing w:before="150"/>
      </w:pPr>
    </w:p>
    <w:p w14:paraId="68253A7A" w14:textId="77777777" w:rsidR="0014798C" w:rsidRDefault="004E1F0B">
      <w:pPr>
        <w:pStyle w:val="Prrafodelista"/>
        <w:numPr>
          <w:ilvl w:val="0"/>
          <w:numId w:val="10"/>
        </w:numPr>
        <w:tabs>
          <w:tab w:val="left" w:pos="1456"/>
          <w:tab w:val="left" w:pos="1565"/>
        </w:tabs>
        <w:spacing w:line="326" w:lineRule="auto"/>
        <w:ind w:right="2746" w:hanging="208"/>
        <w:rPr>
          <w:sz w:val="16"/>
        </w:rPr>
      </w:pPr>
      <w:r>
        <w:rPr>
          <w:sz w:val="16"/>
        </w:rPr>
        <w:t>La</w:t>
      </w:r>
      <w:r>
        <w:rPr>
          <w:spacing w:val="-7"/>
          <w:sz w:val="16"/>
        </w:rPr>
        <w:t xml:space="preserve"> </w:t>
      </w:r>
      <w:r>
        <w:rPr>
          <w:sz w:val="16"/>
        </w:rPr>
        <w:t>expresión</w:t>
      </w:r>
      <w:r>
        <w:rPr>
          <w:spacing w:val="-7"/>
          <w:sz w:val="16"/>
        </w:rPr>
        <w:t xml:space="preserve"> </w:t>
      </w:r>
      <w:r>
        <w:rPr>
          <w:sz w:val="16"/>
        </w:rPr>
        <w:t>y</w:t>
      </w:r>
      <w:r>
        <w:rPr>
          <w:spacing w:val="-7"/>
          <w:sz w:val="16"/>
        </w:rPr>
        <w:t xml:space="preserve"> </w:t>
      </w:r>
      <w:r>
        <w:rPr>
          <w:sz w:val="16"/>
        </w:rPr>
        <w:t>la</w:t>
      </w:r>
      <w:r>
        <w:rPr>
          <w:spacing w:val="-7"/>
          <w:sz w:val="16"/>
        </w:rPr>
        <w:t xml:space="preserve"> </w:t>
      </w:r>
      <w:r>
        <w:rPr>
          <w:sz w:val="16"/>
        </w:rPr>
        <w:t>comunicación</w:t>
      </w:r>
      <w:r>
        <w:rPr>
          <w:spacing w:val="-7"/>
          <w:sz w:val="16"/>
        </w:rPr>
        <w:t xml:space="preserve"> </w:t>
      </w:r>
      <w:r>
        <w:rPr>
          <w:sz w:val="16"/>
        </w:rPr>
        <w:t>pueden</w:t>
      </w:r>
      <w:r>
        <w:rPr>
          <w:spacing w:val="-7"/>
          <w:sz w:val="16"/>
        </w:rPr>
        <w:t xml:space="preserve"> </w:t>
      </w:r>
      <w:r>
        <w:rPr>
          <w:sz w:val="16"/>
        </w:rPr>
        <w:t>ser</w:t>
      </w:r>
      <w:r>
        <w:rPr>
          <w:spacing w:val="-7"/>
          <w:sz w:val="16"/>
        </w:rPr>
        <w:t xml:space="preserve"> </w:t>
      </w:r>
      <w:r>
        <w:rPr>
          <w:sz w:val="16"/>
        </w:rPr>
        <w:t>componentes</w:t>
      </w:r>
      <w:r>
        <w:rPr>
          <w:spacing w:val="-7"/>
          <w:sz w:val="16"/>
        </w:rPr>
        <w:t xml:space="preserve"> </w:t>
      </w:r>
      <w:r>
        <w:rPr>
          <w:sz w:val="16"/>
        </w:rPr>
        <w:t>de</w:t>
      </w:r>
      <w:r>
        <w:rPr>
          <w:spacing w:val="-7"/>
          <w:sz w:val="16"/>
        </w:rPr>
        <w:t xml:space="preserve"> </w:t>
      </w:r>
      <w:r>
        <w:rPr>
          <w:sz w:val="16"/>
        </w:rPr>
        <w:t>una</w:t>
      </w:r>
      <w:r>
        <w:rPr>
          <w:spacing w:val="-7"/>
          <w:sz w:val="16"/>
        </w:rPr>
        <w:t xml:space="preserve"> </w:t>
      </w:r>
      <w:r>
        <w:rPr>
          <w:sz w:val="16"/>
        </w:rPr>
        <w:t>conducta</w:t>
      </w:r>
      <w:r>
        <w:rPr>
          <w:spacing w:val="-7"/>
          <w:sz w:val="16"/>
        </w:rPr>
        <w:t xml:space="preserve"> </w:t>
      </w:r>
      <w:r>
        <w:rPr>
          <w:sz w:val="16"/>
        </w:rPr>
        <w:t>que</w:t>
      </w:r>
      <w:r>
        <w:rPr>
          <w:spacing w:val="-7"/>
          <w:sz w:val="16"/>
        </w:rPr>
        <w:t xml:space="preserve"> </w:t>
      </w:r>
      <w:r>
        <w:rPr>
          <w:sz w:val="16"/>
        </w:rPr>
        <w:t>dé</w:t>
      </w:r>
      <w:r>
        <w:rPr>
          <w:spacing w:val="-7"/>
          <w:sz w:val="16"/>
        </w:rPr>
        <w:t xml:space="preserve"> </w:t>
      </w:r>
      <w:r>
        <w:rPr>
          <w:sz w:val="16"/>
        </w:rPr>
        <w:t>lugar</w:t>
      </w:r>
      <w:r>
        <w:rPr>
          <w:spacing w:val="-7"/>
          <w:sz w:val="16"/>
        </w:rPr>
        <w:t xml:space="preserve"> </w:t>
      </w:r>
      <w:r>
        <w:rPr>
          <w:sz w:val="16"/>
        </w:rPr>
        <w:t>al</w:t>
      </w:r>
      <w:r>
        <w:rPr>
          <w:spacing w:val="-7"/>
          <w:sz w:val="16"/>
        </w:rPr>
        <w:t xml:space="preserve"> </w:t>
      </w:r>
      <w:r>
        <w:rPr>
          <w:sz w:val="16"/>
        </w:rPr>
        <w:t>acoso</w:t>
      </w:r>
      <w:r>
        <w:rPr>
          <w:spacing w:val="-7"/>
          <w:sz w:val="16"/>
        </w:rPr>
        <w:t xml:space="preserve"> </w:t>
      </w:r>
      <w:r>
        <w:rPr>
          <w:sz w:val="16"/>
        </w:rPr>
        <w:t>en</w:t>
      </w:r>
      <w:r>
        <w:rPr>
          <w:spacing w:val="-7"/>
          <w:sz w:val="16"/>
        </w:rPr>
        <w:t xml:space="preserve"> </w:t>
      </w:r>
      <w:r>
        <w:rPr>
          <w:sz w:val="16"/>
        </w:rPr>
        <w:t>tierra. un acto prohibido dentro de la ley sobre prohibición de discriminación.</w:t>
      </w:r>
    </w:p>
    <w:p w14:paraId="77414ED5" w14:textId="77777777" w:rsidR="0014798C" w:rsidRDefault="004E1F0B">
      <w:pPr>
        <w:pStyle w:val="Prrafodelista"/>
        <w:numPr>
          <w:ilvl w:val="0"/>
          <w:numId w:val="10"/>
        </w:numPr>
        <w:tabs>
          <w:tab w:val="left" w:pos="1456"/>
          <w:tab w:val="left" w:pos="1565"/>
        </w:tabs>
        <w:spacing w:before="112" w:line="326" w:lineRule="auto"/>
        <w:ind w:right="1661" w:hanging="208"/>
        <w:rPr>
          <w:sz w:val="16"/>
        </w:rPr>
      </w:pPr>
      <w:r>
        <w:rPr>
          <w:sz w:val="16"/>
        </w:rPr>
        <w:t>La</w:t>
      </w:r>
      <w:r>
        <w:rPr>
          <w:spacing w:val="-1"/>
          <w:sz w:val="16"/>
        </w:rPr>
        <w:t xml:space="preserve"> </w:t>
      </w:r>
      <w:r>
        <w:rPr>
          <w:sz w:val="16"/>
        </w:rPr>
        <w:t>expresión</w:t>
      </w:r>
      <w:r>
        <w:rPr>
          <w:spacing w:val="-1"/>
          <w:sz w:val="16"/>
        </w:rPr>
        <w:t xml:space="preserve"> </w:t>
      </w:r>
      <w:r>
        <w:rPr>
          <w:sz w:val="16"/>
        </w:rPr>
        <w:t>y</w:t>
      </w:r>
      <w:r>
        <w:rPr>
          <w:spacing w:val="-1"/>
          <w:sz w:val="16"/>
        </w:rPr>
        <w:t xml:space="preserve"> </w:t>
      </w:r>
      <w:r>
        <w:rPr>
          <w:sz w:val="16"/>
        </w:rPr>
        <w:t>la</w:t>
      </w:r>
      <w:r>
        <w:rPr>
          <w:spacing w:val="-1"/>
          <w:sz w:val="16"/>
        </w:rPr>
        <w:t xml:space="preserve"> </w:t>
      </w:r>
      <w:r>
        <w:rPr>
          <w:sz w:val="16"/>
        </w:rPr>
        <w:t>comunicación</w:t>
      </w:r>
      <w:r>
        <w:rPr>
          <w:spacing w:val="-1"/>
          <w:sz w:val="16"/>
        </w:rPr>
        <w:t xml:space="preserve"> </w:t>
      </w:r>
      <w:r>
        <w:rPr>
          <w:sz w:val="16"/>
        </w:rPr>
        <w:t>también</w:t>
      </w:r>
      <w:r>
        <w:rPr>
          <w:spacing w:val="-1"/>
          <w:sz w:val="16"/>
        </w:rPr>
        <w:t xml:space="preserve"> </w:t>
      </w:r>
      <w:r>
        <w:rPr>
          <w:sz w:val="16"/>
        </w:rPr>
        <w:t>desempeñan</w:t>
      </w:r>
      <w:r>
        <w:rPr>
          <w:spacing w:val="-1"/>
          <w:sz w:val="16"/>
        </w:rPr>
        <w:t xml:space="preserve"> </w:t>
      </w:r>
      <w:r>
        <w:rPr>
          <w:sz w:val="16"/>
        </w:rPr>
        <w:t>otras</w:t>
      </w:r>
      <w:r>
        <w:rPr>
          <w:spacing w:val="-1"/>
          <w:sz w:val="16"/>
        </w:rPr>
        <w:t xml:space="preserve"> </w:t>
      </w:r>
      <w:r>
        <w:rPr>
          <w:sz w:val="16"/>
        </w:rPr>
        <w:t>funciones</w:t>
      </w:r>
      <w:r>
        <w:rPr>
          <w:spacing w:val="-1"/>
          <w:sz w:val="16"/>
        </w:rPr>
        <w:t xml:space="preserve"> </w:t>
      </w:r>
      <w:r>
        <w:rPr>
          <w:sz w:val="16"/>
        </w:rPr>
        <w:t>en</w:t>
      </w:r>
      <w:r>
        <w:rPr>
          <w:spacing w:val="-1"/>
          <w:sz w:val="16"/>
        </w:rPr>
        <w:t xml:space="preserve"> </w:t>
      </w:r>
      <w:r>
        <w:rPr>
          <w:sz w:val="16"/>
        </w:rPr>
        <w:t>la</w:t>
      </w:r>
      <w:r>
        <w:rPr>
          <w:spacing w:val="-1"/>
          <w:sz w:val="16"/>
        </w:rPr>
        <w:t xml:space="preserve"> </w:t>
      </w:r>
      <w:r>
        <w:rPr>
          <w:sz w:val="16"/>
        </w:rPr>
        <w:t>legislación</w:t>
      </w:r>
      <w:r>
        <w:rPr>
          <w:spacing w:val="-1"/>
          <w:sz w:val="16"/>
        </w:rPr>
        <w:t xml:space="preserve"> </w:t>
      </w:r>
      <w:r>
        <w:rPr>
          <w:sz w:val="16"/>
        </w:rPr>
        <w:t>contra</w:t>
      </w:r>
      <w:r>
        <w:rPr>
          <w:spacing w:val="-1"/>
          <w:sz w:val="16"/>
        </w:rPr>
        <w:t xml:space="preserve"> </w:t>
      </w:r>
      <w:r>
        <w:rPr>
          <w:sz w:val="16"/>
        </w:rPr>
        <w:t>la</w:t>
      </w:r>
      <w:r>
        <w:rPr>
          <w:spacing w:val="-1"/>
          <w:sz w:val="16"/>
        </w:rPr>
        <w:t xml:space="preserve"> </w:t>
      </w:r>
      <w:r>
        <w:rPr>
          <w:sz w:val="16"/>
        </w:rPr>
        <w:t>discriminación, incluso, potencialmente,</w:t>
      </w:r>
      <w:r>
        <w:rPr>
          <w:spacing w:val="-7"/>
          <w:sz w:val="16"/>
        </w:rPr>
        <w:t xml:space="preserve"> </w:t>
      </w:r>
      <w:r>
        <w:rPr>
          <w:sz w:val="16"/>
        </w:rPr>
        <w:t>como</w:t>
      </w:r>
      <w:r>
        <w:rPr>
          <w:spacing w:val="-8"/>
          <w:sz w:val="16"/>
        </w:rPr>
        <w:t xml:space="preserve"> </w:t>
      </w:r>
      <w:r>
        <w:rPr>
          <w:sz w:val="16"/>
        </w:rPr>
        <w:t>prueba</w:t>
      </w:r>
      <w:r>
        <w:rPr>
          <w:spacing w:val="-8"/>
          <w:sz w:val="16"/>
        </w:rPr>
        <w:t xml:space="preserve"> </w:t>
      </w:r>
      <w:r>
        <w:rPr>
          <w:sz w:val="16"/>
        </w:rPr>
        <w:t>de</w:t>
      </w:r>
      <w:r>
        <w:rPr>
          <w:spacing w:val="-8"/>
          <w:sz w:val="16"/>
        </w:rPr>
        <w:t xml:space="preserve"> </w:t>
      </w:r>
      <w:r>
        <w:rPr>
          <w:sz w:val="16"/>
        </w:rPr>
        <w:t>intención</w:t>
      </w:r>
      <w:r>
        <w:rPr>
          <w:spacing w:val="-8"/>
          <w:sz w:val="16"/>
        </w:rPr>
        <w:t xml:space="preserve"> </w:t>
      </w:r>
      <w:r>
        <w:rPr>
          <w:sz w:val="16"/>
        </w:rPr>
        <w:t>o</w:t>
      </w:r>
      <w:r>
        <w:rPr>
          <w:spacing w:val="-8"/>
          <w:sz w:val="16"/>
        </w:rPr>
        <w:t xml:space="preserve"> </w:t>
      </w:r>
      <w:r>
        <w:rPr>
          <w:sz w:val="16"/>
        </w:rPr>
        <w:t>motivo,</w:t>
      </w:r>
      <w:r>
        <w:rPr>
          <w:spacing w:val="-8"/>
          <w:sz w:val="16"/>
        </w:rPr>
        <w:t xml:space="preserve"> </w:t>
      </w:r>
      <w:r>
        <w:rPr>
          <w:sz w:val="16"/>
        </w:rPr>
        <w:t>así</w:t>
      </w:r>
      <w:r>
        <w:rPr>
          <w:spacing w:val="-8"/>
          <w:sz w:val="16"/>
        </w:rPr>
        <w:t xml:space="preserve"> </w:t>
      </w:r>
      <w:r>
        <w:rPr>
          <w:sz w:val="16"/>
        </w:rPr>
        <w:t>como</w:t>
      </w:r>
      <w:r>
        <w:rPr>
          <w:spacing w:val="-8"/>
          <w:sz w:val="16"/>
        </w:rPr>
        <w:t xml:space="preserve"> </w:t>
      </w:r>
      <w:r>
        <w:rPr>
          <w:sz w:val="16"/>
        </w:rPr>
        <w:t>en</w:t>
      </w:r>
      <w:r>
        <w:rPr>
          <w:spacing w:val="-8"/>
          <w:sz w:val="16"/>
        </w:rPr>
        <w:t xml:space="preserve"> </w:t>
      </w:r>
      <w:r>
        <w:rPr>
          <w:sz w:val="16"/>
        </w:rPr>
        <w:t>casos</w:t>
      </w:r>
      <w:r>
        <w:rPr>
          <w:spacing w:val="-8"/>
          <w:sz w:val="16"/>
        </w:rPr>
        <w:t xml:space="preserve"> </w:t>
      </w:r>
      <w:r>
        <w:rPr>
          <w:sz w:val="16"/>
        </w:rPr>
        <w:t>relacionados</w:t>
      </w:r>
      <w:r>
        <w:rPr>
          <w:spacing w:val="-8"/>
          <w:sz w:val="16"/>
        </w:rPr>
        <w:t xml:space="preserve"> </w:t>
      </w:r>
      <w:r>
        <w:rPr>
          <w:sz w:val="16"/>
        </w:rPr>
        <w:t>con</w:t>
      </w:r>
      <w:r>
        <w:rPr>
          <w:spacing w:val="-8"/>
          <w:sz w:val="16"/>
        </w:rPr>
        <w:t xml:space="preserve"> </w:t>
      </w:r>
      <w:r>
        <w:rPr>
          <w:sz w:val="16"/>
        </w:rPr>
        <w:t>una</w:t>
      </w:r>
      <w:r>
        <w:rPr>
          <w:spacing w:val="-8"/>
          <w:sz w:val="16"/>
        </w:rPr>
        <w:t xml:space="preserve"> </w:t>
      </w:r>
      <w:r>
        <w:rPr>
          <w:sz w:val="16"/>
        </w:rPr>
        <w:t>instrucción</w:t>
      </w:r>
      <w:r>
        <w:rPr>
          <w:spacing w:val="-8"/>
          <w:sz w:val="16"/>
        </w:rPr>
        <w:t xml:space="preserve"> </w:t>
      </w:r>
      <w:r>
        <w:rPr>
          <w:sz w:val="16"/>
        </w:rPr>
        <w:t>de</w:t>
      </w:r>
      <w:r>
        <w:rPr>
          <w:spacing w:val="-8"/>
          <w:sz w:val="16"/>
        </w:rPr>
        <w:t xml:space="preserve"> </w:t>
      </w:r>
      <w:r>
        <w:rPr>
          <w:sz w:val="16"/>
        </w:rPr>
        <w:t>discriminar.</w:t>
      </w:r>
    </w:p>
    <w:p w14:paraId="1F7A2C87" w14:textId="77777777" w:rsidR="0014798C" w:rsidRDefault="004E1F0B">
      <w:pPr>
        <w:pStyle w:val="Prrafodelista"/>
        <w:numPr>
          <w:ilvl w:val="0"/>
          <w:numId w:val="10"/>
        </w:numPr>
        <w:tabs>
          <w:tab w:val="left" w:pos="1456"/>
          <w:tab w:val="left" w:pos="1559"/>
        </w:tabs>
        <w:spacing w:before="113" w:line="326" w:lineRule="auto"/>
        <w:ind w:left="1559" w:right="1683" w:hanging="202"/>
        <w:rPr>
          <w:sz w:val="16"/>
        </w:rPr>
      </w:pPr>
      <w:r>
        <w:rPr>
          <w:sz w:val="16"/>
        </w:rPr>
        <w:t>Los Estados deben prohibir la incitación a la violencia, la discriminación y la hostilidad o el odio por todos los motivos reconocidos</w:t>
      </w:r>
      <w:r>
        <w:rPr>
          <w:spacing w:val="-1"/>
          <w:sz w:val="16"/>
        </w:rPr>
        <w:t xml:space="preserve"> </w:t>
      </w:r>
      <w:r>
        <w:rPr>
          <w:sz w:val="16"/>
        </w:rPr>
        <w:t>en</w:t>
      </w:r>
      <w:r>
        <w:rPr>
          <w:spacing w:val="-1"/>
          <w:sz w:val="16"/>
        </w:rPr>
        <w:t xml:space="preserve"> </w:t>
      </w:r>
      <w:r>
        <w:rPr>
          <w:sz w:val="16"/>
        </w:rPr>
        <w:t>el</w:t>
      </w:r>
      <w:r>
        <w:rPr>
          <w:spacing w:val="-1"/>
          <w:sz w:val="16"/>
        </w:rPr>
        <w:t xml:space="preserve"> </w:t>
      </w:r>
      <w:r>
        <w:rPr>
          <w:sz w:val="16"/>
        </w:rPr>
        <w:t>derecho</w:t>
      </w:r>
      <w:r>
        <w:rPr>
          <w:spacing w:val="-1"/>
          <w:sz w:val="16"/>
        </w:rPr>
        <w:t xml:space="preserve"> </w:t>
      </w:r>
      <w:r>
        <w:rPr>
          <w:sz w:val="16"/>
        </w:rPr>
        <w:t>internacional, incluidos, entre</w:t>
      </w:r>
      <w:r>
        <w:rPr>
          <w:spacing w:val="-1"/>
          <w:sz w:val="16"/>
        </w:rPr>
        <w:t xml:space="preserve"> </w:t>
      </w:r>
      <w:r>
        <w:rPr>
          <w:sz w:val="16"/>
        </w:rPr>
        <w:t>otros,</w:t>
      </w:r>
      <w:r>
        <w:rPr>
          <w:spacing w:val="-1"/>
          <w:sz w:val="16"/>
        </w:rPr>
        <w:t xml:space="preserve"> </w:t>
      </w:r>
      <w:r>
        <w:rPr>
          <w:sz w:val="16"/>
        </w:rPr>
        <w:t>la</w:t>
      </w:r>
      <w:r>
        <w:rPr>
          <w:spacing w:val="-1"/>
          <w:sz w:val="16"/>
        </w:rPr>
        <w:t xml:space="preserve"> </w:t>
      </w:r>
      <w:r>
        <w:rPr>
          <w:sz w:val="16"/>
        </w:rPr>
        <w:t>edad,</w:t>
      </w:r>
      <w:r>
        <w:rPr>
          <w:spacing w:val="-1"/>
          <w:sz w:val="16"/>
        </w:rPr>
        <w:t xml:space="preserve"> </w:t>
      </w:r>
      <w:r>
        <w:rPr>
          <w:sz w:val="16"/>
        </w:rPr>
        <w:t>la</w:t>
      </w:r>
      <w:r>
        <w:rPr>
          <w:spacing w:val="-1"/>
          <w:sz w:val="16"/>
        </w:rPr>
        <w:t xml:space="preserve"> </w:t>
      </w:r>
      <w:r>
        <w:rPr>
          <w:sz w:val="16"/>
        </w:rPr>
        <w:t>discapacidad, la</w:t>
      </w:r>
      <w:r>
        <w:rPr>
          <w:spacing w:val="-1"/>
          <w:sz w:val="16"/>
        </w:rPr>
        <w:t xml:space="preserve"> </w:t>
      </w:r>
      <w:r>
        <w:rPr>
          <w:sz w:val="16"/>
        </w:rPr>
        <w:t>expresión</w:t>
      </w:r>
      <w:r>
        <w:rPr>
          <w:spacing w:val="-1"/>
          <w:sz w:val="16"/>
        </w:rPr>
        <w:t xml:space="preserve"> </w:t>
      </w:r>
      <w:r>
        <w:rPr>
          <w:sz w:val="16"/>
        </w:rPr>
        <w:t>e</w:t>
      </w:r>
      <w:r>
        <w:rPr>
          <w:spacing w:val="-1"/>
          <w:sz w:val="16"/>
        </w:rPr>
        <w:t xml:space="preserve"> </w:t>
      </w:r>
      <w:r>
        <w:rPr>
          <w:sz w:val="16"/>
        </w:rPr>
        <w:t>identidad</w:t>
      </w:r>
      <w:r>
        <w:rPr>
          <w:spacing w:val="-1"/>
          <w:sz w:val="16"/>
        </w:rPr>
        <w:t xml:space="preserve"> </w:t>
      </w:r>
      <w:r>
        <w:rPr>
          <w:sz w:val="16"/>
        </w:rPr>
        <w:t>de género,</w:t>
      </w:r>
      <w:r>
        <w:rPr>
          <w:spacing w:val="-6"/>
          <w:sz w:val="16"/>
        </w:rPr>
        <w:t xml:space="preserve"> </w:t>
      </w:r>
      <w:r>
        <w:rPr>
          <w:sz w:val="16"/>
        </w:rPr>
        <w:t>la</w:t>
      </w:r>
      <w:r>
        <w:rPr>
          <w:spacing w:val="-6"/>
          <w:sz w:val="16"/>
        </w:rPr>
        <w:t xml:space="preserve"> </w:t>
      </w:r>
      <w:r>
        <w:rPr>
          <w:sz w:val="16"/>
        </w:rPr>
        <w:t>nacionalidad,</w:t>
      </w:r>
      <w:r>
        <w:rPr>
          <w:spacing w:val="-6"/>
          <w:sz w:val="16"/>
        </w:rPr>
        <w:t xml:space="preserve"> </w:t>
      </w:r>
      <w:r>
        <w:rPr>
          <w:sz w:val="16"/>
        </w:rPr>
        <w:t>la</w:t>
      </w:r>
      <w:r>
        <w:rPr>
          <w:spacing w:val="-6"/>
          <w:sz w:val="16"/>
        </w:rPr>
        <w:t xml:space="preserve"> </w:t>
      </w:r>
      <w:r>
        <w:rPr>
          <w:sz w:val="16"/>
        </w:rPr>
        <w:t>raza</w:t>
      </w:r>
      <w:r>
        <w:rPr>
          <w:spacing w:val="-6"/>
          <w:sz w:val="16"/>
        </w:rPr>
        <w:t xml:space="preserve"> </w:t>
      </w:r>
      <w:r>
        <w:rPr>
          <w:sz w:val="16"/>
        </w:rPr>
        <w:t>o</w:t>
      </w:r>
      <w:r>
        <w:rPr>
          <w:spacing w:val="-6"/>
          <w:sz w:val="16"/>
        </w:rPr>
        <w:t xml:space="preserve"> </w:t>
      </w:r>
      <w:r>
        <w:rPr>
          <w:sz w:val="16"/>
        </w:rPr>
        <w:t>el</w:t>
      </w:r>
      <w:r>
        <w:rPr>
          <w:spacing w:val="-6"/>
          <w:sz w:val="16"/>
        </w:rPr>
        <w:t xml:space="preserve"> </w:t>
      </w:r>
      <w:r>
        <w:rPr>
          <w:sz w:val="16"/>
        </w:rPr>
        <w:t>origen</w:t>
      </w:r>
      <w:r>
        <w:rPr>
          <w:spacing w:val="-6"/>
          <w:sz w:val="16"/>
        </w:rPr>
        <w:t xml:space="preserve"> </w:t>
      </w:r>
      <w:r>
        <w:rPr>
          <w:sz w:val="16"/>
        </w:rPr>
        <w:t>étnico,</w:t>
      </w:r>
      <w:r>
        <w:rPr>
          <w:spacing w:val="-6"/>
          <w:sz w:val="16"/>
        </w:rPr>
        <w:t xml:space="preserve"> </w:t>
      </w:r>
      <w:r>
        <w:rPr>
          <w:sz w:val="16"/>
        </w:rPr>
        <w:t>la</w:t>
      </w:r>
      <w:r>
        <w:rPr>
          <w:spacing w:val="-6"/>
          <w:sz w:val="16"/>
        </w:rPr>
        <w:t xml:space="preserve"> </w:t>
      </w:r>
      <w:r>
        <w:rPr>
          <w:sz w:val="16"/>
        </w:rPr>
        <w:t>religión,</w:t>
      </w:r>
      <w:r>
        <w:rPr>
          <w:spacing w:val="-6"/>
          <w:sz w:val="16"/>
        </w:rPr>
        <w:t xml:space="preserve"> </w:t>
      </w:r>
      <w:r>
        <w:rPr>
          <w:sz w:val="16"/>
        </w:rPr>
        <w:t>el</w:t>
      </w:r>
      <w:r>
        <w:rPr>
          <w:spacing w:val="-6"/>
          <w:sz w:val="16"/>
        </w:rPr>
        <w:t xml:space="preserve"> </w:t>
      </w:r>
      <w:r>
        <w:rPr>
          <w:sz w:val="16"/>
        </w:rPr>
        <w:t>sexo</w:t>
      </w:r>
      <w:r>
        <w:rPr>
          <w:spacing w:val="-6"/>
          <w:sz w:val="16"/>
        </w:rPr>
        <w:t xml:space="preserve"> </w:t>
      </w:r>
      <w:r>
        <w:rPr>
          <w:sz w:val="16"/>
        </w:rPr>
        <w:t>y</w:t>
      </w:r>
      <w:r>
        <w:rPr>
          <w:spacing w:val="-6"/>
          <w:sz w:val="16"/>
        </w:rPr>
        <w:t xml:space="preserve"> </w:t>
      </w:r>
      <w:r>
        <w:rPr>
          <w:sz w:val="16"/>
        </w:rPr>
        <w:t>las</w:t>
      </w:r>
      <w:r>
        <w:rPr>
          <w:spacing w:val="-6"/>
          <w:sz w:val="16"/>
        </w:rPr>
        <w:t xml:space="preserve"> </w:t>
      </w:r>
      <w:r>
        <w:rPr>
          <w:sz w:val="16"/>
        </w:rPr>
        <w:t>características</w:t>
      </w:r>
      <w:r>
        <w:rPr>
          <w:spacing w:val="-7"/>
          <w:sz w:val="16"/>
        </w:rPr>
        <w:t xml:space="preserve"> </w:t>
      </w:r>
      <w:r>
        <w:rPr>
          <w:sz w:val="16"/>
        </w:rPr>
        <w:t>sexuales.</w:t>
      </w:r>
      <w:r>
        <w:rPr>
          <w:spacing w:val="-6"/>
          <w:sz w:val="16"/>
        </w:rPr>
        <w:t xml:space="preserve"> </w:t>
      </w:r>
      <w:r>
        <w:rPr>
          <w:sz w:val="16"/>
        </w:rPr>
        <w:t>y</w:t>
      </w:r>
      <w:r>
        <w:rPr>
          <w:spacing w:val="-6"/>
          <w:sz w:val="16"/>
        </w:rPr>
        <w:t xml:space="preserve"> </w:t>
      </w:r>
      <w:r>
        <w:rPr>
          <w:sz w:val="16"/>
        </w:rPr>
        <w:t>orientación</w:t>
      </w:r>
      <w:r>
        <w:rPr>
          <w:spacing w:val="-6"/>
          <w:sz w:val="16"/>
        </w:rPr>
        <w:t xml:space="preserve"> </w:t>
      </w:r>
      <w:r>
        <w:rPr>
          <w:sz w:val="16"/>
        </w:rPr>
        <w:t>sexual.</w:t>
      </w:r>
    </w:p>
    <w:p w14:paraId="2D0B074B" w14:textId="77777777" w:rsidR="0014798C" w:rsidRDefault="004E1F0B">
      <w:pPr>
        <w:pStyle w:val="Prrafodelista"/>
        <w:numPr>
          <w:ilvl w:val="0"/>
          <w:numId w:val="10"/>
        </w:numPr>
        <w:tabs>
          <w:tab w:val="left" w:pos="1456"/>
          <w:tab w:val="left" w:pos="1560"/>
        </w:tabs>
        <w:spacing w:before="112" w:line="326" w:lineRule="auto"/>
        <w:ind w:left="1560" w:right="1916" w:hanging="203"/>
        <w:rPr>
          <w:sz w:val="16"/>
        </w:rPr>
      </w:pPr>
      <w:r>
        <w:rPr>
          <w:sz w:val="16"/>
        </w:rPr>
        <w:t>El</w:t>
      </w:r>
      <w:r>
        <w:rPr>
          <w:spacing w:val="-7"/>
          <w:sz w:val="16"/>
        </w:rPr>
        <w:t xml:space="preserve"> </w:t>
      </w:r>
      <w:r>
        <w:rPr>
          <w:sz w:val="16"/>
        </w:rPr>
        <w:t>derecho</w:t>
      </w:r>
      <w:r>
        <w:rPr>
          <w:spacing w:val="-7"/>
          <w:sz w:val="16"/>
        </w:rPr>
        <w:t xml:space="preserve"> </w:t>
      </w:r>
      <w:r>
        <w:rPr>
          <w:sz w:val="16"/>
        </w:rPr>
        <w:t>internacional</w:t>
      </w:r>
      <w:r>
        <w:rPr>
          <w:spacing w:val="-7"/>
          <w:sz w:val="16"/>
        </w:rPr>
        <w:t xml:space="preserve"> </w:t>
      </w:r>
      <w:r>
        <w:rPr>
          <w:sz w:val="16"/>
        </w:rPr>
        <w:t>también</w:t>
      </w:r>
      <w:r>
        <w:rPr>
          <w:spacing w:val="-7"/>
          <w:sz w:val="16"/>
        </w:rPr>
        <w:t xml:space="preserve"> </w:t>
      </w:r>
      <w:r>
        <w:rPr>
          <w:sz w:val="16"/>
        </w:rPr>
        <w:t>exige</w:t>
      </w:r>
      <w:r>
        <w:rPr>
          <w:spacing w:val="-7"/>
          <w:sz w:val="16"/>
        </w:rPr>
        <w:t xml:space="preserve"> </w:t>
      </w:r>
      <w:r>
        <w:rPr>
          <w:sz w:val="16"/>
        </w:rPr>
        <w:t>que</w:t>
      </w:r>
      <w:r>
        <w:rPr>
          <w:spacing w:val="-7"/>
          <w:sz w:val="16"/>
        </w:rPr>
        <w:t xml:space="preserve"> </w:t>
      </w:r>
      <w:r>
        <w:rPr>
          <w:sz w:val="16"/>
        </w:rPr>
        <w:t>los</w:t>
      </w:r>
      <w:r>
        <w:rPr>
          <w:spacing w:val="-7"/>
          <w:sz w:val="16"/>
        </w:rPr>
        <w:t xml:space="preserve"> </w:t>
      </w:r>
      <w:r>
        <w:rPr>
          <w:sz w:val="16"/>
        </w:rPr>
        <w:t>Estados</w:t>
      </w:r>
      <w:r>
        <w:rPr>
          <w:spacing w:val="-7"/>
          <w:sz w:val="16"/>
        </w:rPr>
        <w:t xml:space="preserve"> </w:t>
      </w:r>
      <w:r>
        <w:rPr>
          <w:sz w:val="16"/>
        </w:rPr>
        <w:t>condenen</w:t>
      </w:r>
      <w:r>
        <w:rPr>
          <w:spacing w:val="-7"/>
          <w:sz w:val="16"/>
        </w:rPr>
        <w:t xml:space="preserve"> </w:t>
      </w:r>
      <w:r>
        <w:rPr>
          <w:sz w:val="16"/>
        </w:rPr>
        <w:t>toda</w:t>
      </w:r>
      <w:r>
        <w:rPr>
          <w:spacing w:val="-7"/>
          <w:sz w:val="16"/>
        </w:rPr>
        <w:t xml:space="preserve"> </w:t>
      </w:r>
      <w:r>
        <w:rPr>
          <w:sz w:val="16"/>
        </w:rPr>
        <w:t>propaganda</w:t>
      </w:r>
      <w:r>
        <w:rPr>
          <w:spacing w:val="-7"/>
          <w:sz w:val="16"/>
        </w:rPr>
        <w:t xml:space="preserve"> </w:t>
      </w:r>
      <w:r>
        <w:rPr>
          <w:sz w:val="16"/>
        </w:rPr>
        <w:t>y</w:t>
      </w:r>
      <w:r>
        <w:rPr>
          <w:spacing w:val="-7"/>
          <w:sz w:val="16"/>
        </w:rPr>
        <w:t xml:space="preserve"> </w:t>
      </w:r>
      <w:r>
        <w:rPr>
          <w:sz w:val="16"/>
        </w:rPr>
        <w:t>todas</w:t>
      </w:r>
      <w:r>
        <w:rPr>
          <w:spacing w:val="-7"/>
          <w:sz w:val="16"/>
        </w:rPr>
        <w:t xml:space="preserve"> </w:t>
      </w:r>
      <w:r>
        <w:rPr>
          <w:sz w:val="16"/>
        </w:rPr>
        <w:t>las</w:t>
      </w:r>
      <w:r>
        <w:rPr>
          <w:spacing w:val="-7"/>
          <w:sz w:val="16"/>
        </w:rPr>
        <w:t xml:space="preserve"> </w:t>
      </w:r>
      <w:r>
        <w:rPr>
          <w:sz w:val="16"/>
        </w:rPr>
        <w:t>organizaciones</w:t>
      </w:r>
      <w:r>
        <w:rPr>
          <w:spacing w:val="-7"/>
          <w:sz w:val="16"/>
        </w:rPr>
        <w:t xml:space="preserve"> </w:t>
      </w:r>
      <w:r>
        <w:rPr>
          <w:sz w:val="16"/>
        </w:rPr>
        <w:t>que</w:t>
      </w:r>
      <w:r>
        <w:rPr>
          <w:spacing w:val="-7"/>
          <w:sz w:val="16"/>
        </w:rPr>
        <w:t xml:space="preserve"> </w:t>
      </w:r>
      <w:r>
        <w:rPr>
          <w:sz w:val="16"/>
        </w:rPr>
        <w:t>se basen</w:t>
      </w:r>
      <w:r>
        <w:rPr>
          <w:spacing w:val="-3"/>
          <w:sz w:val="16"/>
        </w:rPr>
        <w:t xml:space="preserve"> </w:t>
      </w:r>
      <w:r>
        <w:rPr>
          <w:sz w:val="16"/>
        </w:rPr>
        <w:t>en</w:t>
      </w:r>
      <w:r>
        <w:rPr>
          <w:spacing w:val="-3"/>
          <w:sz w:val="16"/>
        </w:rPr>
        <w:t xml:space="preserve"> </w:t>
      </w:r>
      <w:r>
        <w:rPr>
          <w:sz w:val="16"/>
        </w:rPr>
        <w:t>ideas</w:t>
      </w:r>
      <w:r>
        <w:rPr>
          <w:spacing w:val="-3"/>
          <w:sz w:val="16"/>
        </w:rPr>
        <w:t xml:space="preserve"> </w:t>
      </w:r>
      <w:r>
        <w:rPr>
          <w:sz w:val="16"/>
        </w:rPr>
        <w:t>o</w:t>
      </w:r>
      <w:r>
        <w:rPr>
          <w:spacing w:val="-3"/>
          <w:sz w:val="16"/>
        </w:rPr>
        <w:t xml:space="preserve"> </w:t>
      </w:r>
      <w:r>
        <w:rPr>
          <w:sz w:val="16"/>
        </w:rPr>
        <w:t>teorías</w:t>
      </w:r>
      <w:r>
        <w:rPr>
          <w:spacing w:val="-3"/>
          <w:sz w:val="16"/>
        </w:rPr>
        <w:t xml:space="preserve"> </w:t>
      </w:r>
      <w:r>
        <w:rPr>
          <w:sz w:val="16"/>
        </w:rPr>
        <w:t>de</w:t>
      </w:r>
      <w:r>
        <w:rPr>
          <w:spacing w:val="-3"/>
          <w:sz w:val="16"/>
        </w:rPr>
        <w:t xml:space="preserve"> </w:t>
      </w:r>
      <w:r>
        <w:rPr>
          <w:sz w:val="16"/>
        </w:rPr>
        <w:t>superioridad</w:t>
      </w:r>
      <w:r>
        <w:rPr>
          <w:spacing w:val="-3"/>
          <w:sz w:val="16"/>
        </w:rPr>
        <w:t xml:space="preserve"> </w:t>
      </w:r>
      <w:r>
        <w:rPr>
          <w:sz w:val="16"/>
        </w:rPr>
        <w:t>de</w:t>
      </w:r>
      <w:r>
        <w:rPr>
          <w:spacing w:val="-3"/>
          <w:sz w:val="16"/>
        </w:rPr>
        <w:t xml:space="preserve"> </w:t>
      </w:r>
      <w:r>
        <w:rPr>
          <w:sz w:val="16"/>
        </w:rPr>
        <w:t>una</w:t>
      </w:r>
      <w:r>
        <w:rPr>
          <w:spacing w:val="-3"/>
          <w:sz w:val="16"/>
        </w:rPr>
        <w:t xml:space="preserve"> </w:t>
      </w:r>
      <w:r>
        <w:rPr>
          <w:sz w:val="16"/>
        </w:rPr>
        <w:t>raza</w:t>
      </w:r>
      <w:r>
        <w:rPr>
          <w:spacing w:val="-3"/>
          <w:sz w:val="16"/>
        </w:rPr>
        <w:t xml:space="preserve"> </w:t>
      </w:r>
      <w:r>
        <w:rPr>
          <w:sz w:val="16"/>
        </w:rPr>
        <w:t>o</w:t>
      </w:r>
      <w:r>
        <w:rPr>
          <w:spacing w:val="-3"/>
          <w:sz w:val="16"/>
        </w:rPr>
        <w:t xml:space="preserve"> </w:t>
      </w:r>
      <w:r>
        <w:rPr>
          <w:sz w:val="16"/>
        </w:rPr>
        <w:t>grupo</w:t>
      </w:r>
      <w:r>
        <w:rPr>
          <w:spacing w:val="-3"/>
          <w:sz w:val="16"/>
        </w:rPr>
        <w:t xml:space="preserve"> </w:t>
      </w:r>
      <w:r>
        <w:rPr>
          <w:sz w:val="16"/>
        </w:rPr>
        <w:t>de</w:t>
      </w:r>
      <w:r>
        <w:rPr>
          <w:spacing w:val="-3"/>
          <w:sz w:val="16"/>
        </w:rPr>
        <w:t xml:space="preserve"> </w:t>
      </w:r>
      <w:r>
        <w:rPr>
          <w:sz w:val="16"/>
        </w:rPr>
        <w:t>personas</w:t>
      </w:r>
      <w:r>
        <w:rPr>
          <w:spacing w:val="-3"/>
          <w:sz w:val="16"/>
        </w:rPr>
        <w:t xml:space="preserve"> </w:t>
      </w:r>
      <w:r>
        <w:rPr>
          <w:sz w:val="16"/>
        </w:rPr>
        <w:t>de</w:t>
      </w:r>
      <w:r>
        <w:rPr>
          <w:spacing w:val="-3"/>
          <w:sz w:val="16"/>
        </w:rPr>
        <w:t xml:space="preserve"> </w:t>
      </w:r>
      <w:r>
        <w:rPr>
          <w:sz w:val="16"/>
        </w:rPr>
        <w:t>un</w:t>
      </w:r>
      <w:r>
        <w:rPr>
          <w:spacing w:val="-3"/>
          <w:sz w:val="16"/>
        </w:rPr>
        <w:t xml:space="preserve"> </w:t>
      </w:r>
      <w:r>
        <w:rPr>
          <w:sz w:val="16"/>
        </w:rPr>
        <w:t>mismo</w:t>
      </w:r>
      <w:r>
        <w:rPr>
          <w:spacing w:val="-3"/>
          <w:sz w:val="16"/>
        </w:rPr>
        <w:t xml:space="preserve"> </w:t>
      </w:r>
      <w:r>
        <w:rPr>
          <w:sz w:val="16"/>
        </w:rPr>
        <w:t>color</w:t>
      </w:r>
      <w:r>
        <w:rPr>
          <w:spacing w:val="-3"/>
          <w:sz w:val="16"/>
        </w:rPr>
        <w:t xml:space="preserve"> </w:t>
      </w:r>
      <w:r>
        <w:rPr>
          <w:sz w:val="16"/>
        </w:rPr>
        <w:t>u</w:t>
      </w:r>
      <w:r>
        <w:rPr>
          <w:spacing w:val="-3"/>
          <w:sz w:val="16"/>
        </w:rPr>
        <w:t xml:space="preserve"> </w:t>
      </w:r>
      <w:r>
        <w:rPr>
          <w:sz w:val="16"/>
        </w:rPr>
        <w:t>origen</w:t>
      </w:r>
      <w:r>
        <w:rPr>
          <w:spacing w:val="-3"/>
          <w:sz w:val="16"/>
        </w:rPr>
        <w:t xml:space="preserve"> </w:t>
      </w:r>
      <w:r>
        <w:rPr>
          <w:sz w:val="16"/>
        </w:rPr>
        <w:t>étnico,</w:t>
      </w:r>
      <w:r>
        <w:rPr>
          <w:spacing w:val="-3"/>
          <w:sz w:val="16"/>
        </w:rPr>
        <w:t xml:space="preserve"> </w:t>
      </w:r>
      <w:r>
        <w:rPr>
          <w:sz w:val="16"/>
        </w:rPr>
        <w:t>o</w:t>
      </w:r>
      <w:r>
        <w:rPr>
          <w:spacing w:val="-3"/>
          <w:sz w:val="16"/>
        </w:rPr>
        <w:t xml:space="preserve"> </w:t>
      </w:r>
      <w:r>
        <w:rPr>
          <w:sz w:val="16"/>
        </w:rPr>
        <w:t>que intenten justificar o promover el odio racial y la discriminación en cualquier forma</w:t>
      </w:r>
      <w:proofErr w:type="gramStart"/>
      <w:r>
        <w:rPr>
          <w:sz w:val="16"/>
        </w:rPr>
        <w:t>. .</w:t>
      </w:r>
      <w:proofErr w:type="gramEnd"/>
    </w:p>
    <w:p w14:paraId="1B239054" w14:textId="77777777" w:rsidR="0014798C" w:rsidRDefault="004E1F0B">
      <w:pPr>
        <w:pStyle w:val="Prrafodelista"/>
        <w:numPr>
          <w:ilvl w:val="0"/>
          <w:numId w:val="10"/>
        </w:numPr>
        <w:tabs>
          <w:tab w:val="left" w:pos="1456"/>
          <w:tab w:val="left" w:pos="1560"/>
        </w:tabs>
        <w:spacing w:before="111" w:line="326" w:lineRule="auto"/>
        <w:ind w:left="1560" w:right="1682" w:hanging="203"/>
        <w:jc w:val="both"/>
        <w:rPr>
          <w:sz w:val="16"/>
        </w:rPr>
      </w:pPr>
      <w:r>
        <w:rPr>
          <w:sz w:val="16"/>
        </w:rPr>
        <w:t>La</w:t>
      </w:r>
      <w:r>
        <w:rPr>
          <w:spacing w:val="-7"/>
          <w:sz w:val="16"/>
        </w:rPr>
        <w:t xml:space="preserve"> </w:t>
      </w:r>
      <w:r>
        <w:rPr>
          <w:sz w:val="16"/>
        </w:rPr>
        <w:t>prohibición</w:t>
      </w:r>
      <w:r>
        <w:rPr>
          <w:spacing w:val="-7"/>
          <w:sz w:val="16"/>
        </w:rPr>
        <w:t xml:space="preserve"> </w:t>
      </w:r>
      <w:r>
        <w:rPr>
          <w:sz w:val="16"/>
        </w:rPr>
        <w:t>no</w:t>
      </w:r>
      <w:r>
        <w:rPr>
          <w:spacing w:val="-7"/>
          <w:sz w:val="16"/>
        </w:rPr>
        <w:t xml:space="preserve"> </w:t>
      </w:r>
      <w:r>
        <w:rPr>
          <w:sz w:val="16"/>
        </w:rPr>
        <w:t>significa</w:t>
      </w:r>
      <w:r>
        <w:rPr>
          <w:spacing w:val="-7"/>
          <w:sz w:val="16"/>
        </w:rPr>
        <w:t xml:space="preserve"> </w:t>
      </w:r>
      <w:r>
        <w:rPr>
          <w:sz w:val="16"/>
        </w:rPr>
        <w:t>necesariamente</w:t>
      </w:r>
      <w:r>
        <w:rPr>
          <w:spacing w:val="-7"/>
          <w:sz w:val="16"/>
        </w:rPr>
        <w:t xml:space="preserve"> </w:t>
      </w:r>
      <w:r>
        <w:rPr>
          <w:sz w:val="16"/>
        </w:rPr>
        <w:t>criminalización.</w:t>
      </w:r>
      <w:r>
        <w:rPr>
          <w:spacing w:val="-6"/>
          <w:sz w:val="16"/>
        </w:rPr>
        <w:t xml:space="preserve"> </w:t>
      </w:r>
      <w:r>
        <w:rPr>
          <w:sz w:val="16"/>
        </w:rPr>
        <w:t>Los</w:t>
      </w:r>
      <w:r>
        <w:rPr>
          <w:spacing w:val="-7"/>
          <w:sz w:val="16"/>
        </w:rPr>
        <w:t xml:space="preserve"> </w:t>
      </w:r>
      <w:r>
        <w:rPr>
          <w:sz w:val="16"/>
        </w:rPr>
        <w:t>Estados</w:t>
      </w:r>
      <w:r>
        <w:rPr>
          <w:spacing w:val="-7"/>
          <w:sz w:val="16"/>
        </w:rPr>
        <w:t xml:space="preserve"> </w:t>
      </w:r>
      <w:r>
        <w:rPr>
          <w:sz w:val="16"/>
        </w:rPr>
        <w:t>deben</w:t>
      </w:r>
      <w:r>
        <w:rPr>
          <w:spacing w:val="-7"/>
          <w:sz w:val="16"/>
        </w:rPr>
        <w:t xml:space="preserve"> </w:t>
      </w:r>
      <w:r>
        <w:rPr>
          <w:sz w:val="16"/>
        </w:rPr>
        <w:t>distinguir</w:t>
      </w:r>
      <w:r>
        <w:rPr>
          <w:spacing w:val="-7"/>
          <w:sz w:val="16"/>
        </w:rPr>
        <w:t xml:space="preserve"> </w:t>
      </w:r>
      <w:r>
        <w:rPr>
          <w:sz w:val="16"/>
        </w:rPr>
        <w:t>entre</w:t>
      </w:r>
      <w:r>
        <w:rPr>
          <w:spacing w:val="-7"/>
          <w:sz w:val="16"/>
        </w:rPr>
        <w:t xml:space="preserve"> </w:t>
      </w:r>
      <w:r>
        <w:rPr>
          <w:sz w:val="16"/>
        </w:rPr>
        <w:t>expresiones</w:t>
      </w:r>
      <w:r>
        <w:rPr>
          <w:spacing w:val="-7"/>
          <w:sz w:val="16"/>
        </w:rPr>
        <w:t xml:space="preserve"> </w:t>
      </w:r>
      <w:r>
        <w:rPr>
          <w:sz w:val="16"/>
        </w:rPr>
        <w:t>que</w:t>
      </w:r>
      <w:r>
        <w:rPr>
          <w:spacing w:val="-7"/>
          <w:sz w:val="16"/>
        </w:rPr>
        <w:t xml:space="preserve"> </w:t>
      </w:r>
      <w:r>
        <w:rPr>
          <w:sz w:val="16"/>
        </w:rPr>
        <w:t>requieren penalización,</w:t>
      </w:r>
      <w:r>
        <w:rPr>
          <w:spacing w:val="-8"/>
          <w:sz w:val="16"/>
        </w:rPr>
        <w:t xml:space="preserve"> </w:t>
      </w:r>
      <w:r>
        <w:rPr>
          <w:sz w:val="16"/>
        </w:rPr>
        <w:t>expresiones</w:t>
      </w:r>
      <w:r>
        <w:rPr>
          <w:spacing w:val="-8"/>
          <w:sz w:val="16"/>
        </w:rPr>
        <w:t xml:space="preserve"> </w:t>
      </w:r>
      <w:r>
        <w:rPr>
          <w:sz w:val="16"/>
        </w:rPr>
        <w:t>que</w:t>
      </w:r>
      <w:r>
        <w:rPr>
          <w:spacing w:val="-8"/>
          <w:sz w:val="16"/>
        </w:rPr>
        <w:t xml:space="preserve"> </w:t>
      </w:r>
      <w:r>
        <w:rPr>
          <w:sz w:val="16"/>
        </w:rPr>
        <w:t>requieren</w:t>
      </w:r>
      <w:r>
        <w:rPr>
          <w:spacing w:val="-8"/>
          <w:sz w:val="16"/>
        </w:rPr>
        <w:t xml:space="preserve"> </w:t>
      </w:r>
      <w:r>
        <w:rPr>
          <w:sz w:val="16"/>
        </w:rPr>
        <w:t>sanciones</w:t>
      </w:r>
      <w:r>
        <w:rPr>
          <w:spacing w:val="-8"/>
          <w:sz w:val="16"/>
        </w:rPr>
        <w:t xml:space="preserve"> </w:t>
      </w:r>
      <w:r>
        <w:rPr>
          <w:sz w:val="16"/>
        </w:rPr>
        <w:t>civiles</w:t>
      </w:r>
      <w:r>
        <w:rPr>
          <w:spacing w:val="-8"/>
          <w:sz w:val="16"/>
        </w:rPr>
        <w:t xml:space="preserve"> </w:t>
      </w:r>
      <w:r>
        <w:rPr>
          <w:sz w:val="16"/>
        </w:rPr>
        <w:t>o</w:t>
      </w:r>
      <w:r>
        <w:rPr>
          <w:spacing w:val="-8"/>
          <w:sz w:val="16"/>
        </w:rPr>
        <w:t xml:space="preserve"> </w:t>
      </w:r>
      <w:r>
        <w:rPr>
          <w:sz w:val="16"/>
        </w:rPr>
        <w:t>administrativas</w:t>
      </w:r>
      <w:r>
        <w:rPr>
          <w:spacing w:val="-9"/>
          <w:sz w:val="16"/>
        </w:rPr>
        <w:t xml:space="preserve"> </w:t>
      </w:r>
      <w:r>
        <w:rPr>
          <w:sz w:val="16"/>
        </w:rPr>
        <w:t>y</w:t>
      </w:r>
      <w:r>
        <w:rPr>
          <w:spacing w:val="-8"/>
          <w:sz w:val="16"/>
        </w:rPr>
        <w:t xml:space="preserve"> </w:t>
      </w:r>
      <w:r>
        <w:rPr>
          <w:sz w:val="16"/>
        </w:rPr>
        <w:t>expresiones</w:t>
      </w:r>
      <w:r>
        <w:rPr>
          <w:spacing w:val="-8"/>
          <w:sz w:val="16"/>
        </w:rPr>
        <w:t xml:space="preserve"> </w:t>
      </w:r>
      <w:r>
        <w:rPr>
          <w:sz w:val="16"/>
        </w:rPr>
        <w:t>que</w:t>
      </w:r>
      <w:r>
        <w:rPr>
          <w:spacing w:val="-8"/>
          <w:sz w:val="16"/>
        </w:rPr>
        <w:t xml:space="preserve"> </w:t>
      </w:r>
      <w:r>
        <w:rPr>
          <w:sz w:val="16"/>
        </w:rPr>
        <w:t>ameritan</w:t>
      </w:r>
      <w:r>
        <w:rPr>
          <w:spacing w:val="-8"/>
          <w:sz w:val="16"/>
        </w:rPr>
        <w:t xml:space="preserve"> </w:t>
      </w:r>
      <w:r>
        <w:rPr>
          <w:sz w:val="16"/>
        </w:rPr>
        <w:t>otras</w:t>
      </w:r>
      <w:r>
        <w:rPr>
          <w:spacing w:val="-8"/>
          <w:sz w:val="16"/>
        </w:rPr>
        <w:t xml:space="preserve"> </w:t>
      </w:r>
      <w:r>
        <w:rPr>
          <w:sz w:val="16"/>
        </w:rPr>
        <w:t>formas</w:t>
      </w:r>
      <w:r>
        <w:rPr>
          <w:spacing w:val="-8"/>
          <w:sz w:val="16"/>
        </w:rPr>
        <w:t xml:space="preserve"> </w:t>
      </w:r>
      <w:r>
        <w:rPr>
          <w:sz w:val="16"/>
        </w:rPr>
        <w:t xml:space="preserve">de </w:t>
      </w:r>
      <w:r>
        <w:rPr>
          <w:spacing w:val="-2"/>
          <w:sz w:val="16"/>
        </w:rPr>
        <w:t>respuesta.</w:t>
      </w:r>
    </w:p>
    <w:p w14:paraId="3E64B651" w14:textId="77777777" w:rsidR="0014798C" w:rsidRDefault="004E1F0B">
      <w:pPr>
        <w:pStyle w:val="Prrafodelista"/>
        <w:numPr>
          <w:ilvl w:val="0"/>
          <w:numId w:val="10"/>
        </w:numPr>
        <w:tabs>
          <w:tab w:val="left" w:pos="1456"/>
          <w:tab w:val="left" w:pos="1562"/>
        </w:tabs>
        <w:spacing w:before="112" w:line="326" w:lineRule="auto"/>
        <w:ind w:left="1562" w:right="2181" w:hanging="205"/>
        <w:rPr>
          <w:sz w:val="16"/>
        </w:rPr>
      </w:pPr>
      <w:r>
        <w:rPr>
          <w:sz w:val="16"/>
        </w:rPr>
        <w:t>Los</w:t>
      </w:r>
      <w:r>
        <w:rPr>
          <w:spacing w:val="-6"/>
          <w:sz w:val="16"/>
        </w:rPr>
        <w:t xml:space="preserve"> </w:t>
      </w:r>
      <w:r>
        <w:rPr>
          <w:sz w:val="16"/>
        </w:rPr>
        <w:t>Estados</w:t>
      </w:r>
      <w:r>
        <w:rPr>
          <w:spacing w:val="-6"/>
          <w:sz w:val="16"/>
        </w:rPr>
        <w:t xml:space="preserve"> </w:t>
      </w:r>
      <w:r>
        <w:rPr>
          <w:sz w:val="16"/>
        </w:rPr>
        <w:t>deben</w:t>
      </w:r>
      <w:r>
        <w:rPr>
          <w:spacing w:val="-6"/>
          <w:sz w:val="16"/>
        </w:rPr>
        <w:t xml:space="preserve"> </w:t>
      </w:r>
      <w:r>
        <w:rPr>
          <w:sz w:val="16"/>
        </w:rPr>
        <w:t>garantizar</w:t>
      </w:r>
      <w:r>
        <w:rPr>
          <w:spacing w:val="-6"/>
          <w:sz w:val="16"/>
        </w:rPr>
        <w:t xml:space="preserve"> </w:t>
      </w:r>
      <w:r>
        <w:rPr>
          <w:sz w:val="16"/>
        </w:rPr>
        <w:t>que</w:t>
      </w:r>
      <w:r>
        <w:rPr>
          <w:spacing w:val="-6"/>
          <w:sz w:val="16"/>
        </w:rPr>
        <w:t xml:space="preserve"> </w:t>
      </w:r>
      <w:r>
        <w:rPr>
          <w:sz w:val="16"/>
        </w:rPr>
        <w:t>la</w:t>
      </w:r>
      <w:r>
        <w:rPr>
          <w:spacing w:val="-6"/>
          <w:sz w:val="16"/>
        </w:rPr>
        <w:t xml:space="preserve"> </w:t>
      </w:r>
      <w:r>
        <w:rPr>
          <w:sz w:val="16"/>
        </w:rPr>
        <w:t>aplicación</w:t>
      </w:r>
      <w:r>
        <w:rPr>
          <w:spacing w:val="-6"/>
          <w:sz w:val="16"/>
        </w:rPr>
        <w:t xml:space="preserve"> </w:t>
      </w:r>
      <w:r>
        <w:rPr>
          <w:sz w:val="16"/>
        </w:rPr>
        <w:t>de</w:t>
      </w:r>
      <w:r>
        <w:rPr>
          <w:spacing w:val="-6"/>
          <w:sz w:val="16"/>
        </w:rPr>
        <w:t xml:space="preserve"> </w:t>
      </w:r>
      <w:r>
        <w:rPr>
          <w:sz w:val="16"/>
        </w:rPr>
        <w:t>medidas</w:t>
      </w:r>
      <w:r>
        <w:rPr>
          <w:spacing w:val="-6"/>
          <w:sz w:val="16"/>
        </w:rPr>
        <w:t xml:space="preserve"> </w:t>
      </w:r>
      <w:r>
        <w:rPr>
          <w:sz w:val="16"/>
        </w:rPr>
        <w:t>para</w:t>
      </w:r>
      <w:r>
        <w:rPr>
          <w:spacing w:val="-6"/>
          <w:sz w:val="16"/>
        </w:rPr>
        <w:t xml:space="preserve"> </w:t>
      </w:r>
      <w:r>
        <w:rPr>
          <w:sz w:val="16"/>
        </w:rPr>
        <w:t>combatir</w:t>
      </w:r>
      <w:r>
        <w:rPr>
          <w:spacing w:val="-6"/>
          <w:sz w:val="16"/>
        </w:rPr>
        <w:t xml:space="preserve"> </w:t>
      </w:r>
      <w:r>
        <w:rPr>
          <w:sz w:val="16"/>
        </w:rPr>
        <w:t>el</w:t>
      </w:r>
      <w:r>
        <w:rPr>
          <w:spacing w:val="-6"/>
          <w:sz w:val="16"/>
        </w:rPr>
        <w:t xml:space="preserve"> </w:t>
      </w:r>
      <w:r>
        <w:rPr>
          <w:sz w:val="16"/>
        </w:rPr>
        <w:t>discurso</w:t>
      </w:r>
      <w:r>
        <w:rPr>
          <w:spacing w:val="-6"/>
          <w:sz w:val="16"/>
        </w:rPr>
        <w:t xml:space="preserve"> </w:t>
      </w:r>
      <w:r>
        <w:rPr>
          <w:sz w:val="16"/>
        </w:rPr>
        <w:t>de</w:t>
      </w:r>
      <w:r>
        <w:rPr>
          <w:spacing w:val="-6"/>
          <w:sz w:val="16"/>
        </w:rPr>
        <w:t xml:space="preserve"> </w:t>
      </w:r>
      <w:r>
        <w:rPr>
          <w:sz w:val="16"/>
        </w:rPr>
        <w:t>odio</w:t>
      </w:r>
      <w:r>
        <w:rPr>
          <w:spacing w:val="-6"/>
          <w:sz w:val="16"/>
        </w:rPr>
        <w:t xml:space="preserve"> </w:t>
      </w:r>
      <w:r>
        <w:rPr>
          <w:sz w:val="16"/>
        </w:rPr>
        <w:t>no</w:t>
      </w:r>
      <w:r>
        <w:rPr>
          <w:spacing w:val="-6"/>
          <w:sz w:val="16"/>
        </w:rPr>
        <w:t xml:space="preserve"> </w:t>
      </w:r>
      <w:r>
        <w:rPr>
          <w:sz w:val="16"/>
        </w:rPr>
        <w:t>resulte</w:t>
      </w:r>
      <w:r>
        <w:rPr>
          <w:spacing w:val="-6"/>
          <w:sz w:val="16"/>
        </w:rPr>
        <w:t xml:space="preserve"> </w:t>
      </w:r>
      <w:r>
        <w:rPr>
          <w:sz w:val="16"/>
        </w:rPr>
        <w:t>en</w:t>
      </w:r>
      <w:r>
        <w:rPr>
          <w:spacing w:val="-6"/>
          <w:sz w:val="16"/>
        </w:rPr>
        <w:t xml:space="preserve"> </w:t>
      </w:r>
      <w:r>
        <w:rPr>
          <w:sz w:val="16"/>
        </w:rPr>
        <w:t>ningún forma de discriminación contra cualquier persona o grupo.</w:t>
      </w:r>
    </w:p>
    <w:p w14:paraId="38B30610" w14:textId="77777777" w:rsidR="0014798C" w:rsidRDefault="004E1F0B">
      <w:pPr>
        <w:pStyle w:val="Prrafodelista"/>
        <w:numPr>
          <w:ilvl w:val="0"/>
          <w:numId w:val="10"/>
        </w:numPr>
        <w:tabs>
          <w:tab w:val="left" w:pos="1456"/>
          <w:tab w:val="left" w:pos="1556"/>
        </w:tabs>
        <w:spacing w:before="112" w:line="326" w:lineRule="auto"/>
        <w:ind w:left="1556" w:right="1547" w:hanging="199"/>
        <w:rPr>
          <w:sz w:val="16"/>
        </w:rPr>
      </w:pPr>
      <w:r>
        <w:rPr>
          <w:sz w:val="16"/>
        </w:rPr>
        <w:t>El</w:t>
      </w:r>
      <w:r>
        <w:rPr>
          <w:spacing w:val="-8"/>
          <w:sz w:val="16"/>
        </w:rPr>
        <w:t xml:space="preserve"> </w:t>
      </w:r>
      <w:r>
        <w:rPr>
          <w:sz w:val="16"/>
        </w:rPr>
        <w:t>discurso</w:t>
      </w:r>
      <w:r>
        <w:rPr>
          <w:spacing w:val="-8"/>
          <w:sz w:val="16"/>
        </w:rPr>
        <w:t xml:space="preserve"> </w:t>
      </w:r>
      <w:r>
        <w:rPr>
          <w:sz w:val="16"/>
        </w:rPr>
        <w:t>de</w:t>
      </w:r>
      <w:r>
        <w:rPr>
          <w:spacing w:val="-8"/>
          <w:sz w:val="16"/>
        </w:rPr>
        <w:t xml:space="preserve"> </w:t>
      </w:r>
      <w:r>
        <w:rPr>
          <w:sz w:val="16"/>
        </w:rPr>
        <w:t>odio</w:t>
      </w:r>
      <w:r>
        <w:rPr>
          <w:spacing w:val="-8"/>
          <w:sz w:val="16"/>
        </w:rPr>
        <w:t xml:space="preserve"> </w:t>
      </w:r>
      <w:r>
        <w:rPr>
          <w:sz w:val="16"/>
        </w:rPr>
        <w:t>debe,</w:t>
      </w:r>
      <w:r>
        <w:rPr>
          <w:spacing w:val="-8"/>
          <w:sz w:val="16"/>
        </w:rPr>
        <w:t xml:space="preserve"> </w:t>
      </w:r>
      <w:r>
        <w:rPr>
          <w:sz w:val="16"/>
        </w:rPr>
        <w:t>entre</w:t>
      </w:r>
      <w:r>
        <w:rPr>
          <w:spacing w:val="-8"/>
          <w:sz w:val="16"/>
        </w:rPr>
        <w:t xml:space="preserve"> </w:t>
      </w:r>
      <w:r>
        <w:rPr>
          <w:sz w:val="16"/>
        </w:rPr>
        <w:t>otras</w:t>
      </w:r>
      <w:r>
        <w:rPr>
          <w:spacing w:val="-8"/>
          <w:sz w:val="16"/>
        </w:rPr>
        <w:t xml:space="preserve"> </w:t>
      </w:r>
      <w:r>
        <w:rPr>
          <w:sz w:val="16"/>
        </w:rPr>
        <w:t>cosas,</w:t>
      </w:r>
      <w:r>
        <w:rPr>
          <w:spacing w:val="-8"/>
          <w:sz w:val="16"/>
        </w:rPr>
        <w:t xml:space="preserve"> </w:t>
      </w:r>
      <w:r>
        <w:rPr>
          <w:sz w:val="16"/>
        </w:rPr>
        <w:t>abordarse</w:t>
      </w:r>
      <w:r>
        <w:rPr>
          <w:spacing w:val="-8"/>
          <w:sz w:val="16"/>
        </w:rPr>
        <w:t xml:space="preserve"> </w:t>
      </w:r>
      <w:r>
        <w:rPr>
          <w:sz w:val="16"/>
        </w:rPr>
        <w:t>con</w:t>
      </w:r>
      <w:r>
        <w:rPr>
          <w:spacing w:val="-8"/>
          <w:sz w:val="16"/>
        </w:rPr>
        <w:t xml:space="preserve"> </w:t>
      </w:r>
      <w:r>
        <w:rPr>
          <w:sz w:val="16"/>
        </w:rPr>
        <w:t>intervenciones</w:t>
      </w:r>
      <w:r>
        <w:rPr>
          <w:spacing w:val="-8"/>
          <w:sz w:val="16"/>
        </w:rPr>
        <w:t xml:space="preserve"> </w:t>
      </w:r>
      <w:r>
        <w:rPr>
          <w:sz w:val="16"/>
        </w:rPr>
        <w:t>positivas:</w:t>
      </w:r>
      <w:r>
        <w:rPr>
          <w:spacing w:val="-7"/>
          <w:sz w:val="16"/>
        </w:rPr>
        <w:t xml:space="preserve"> </w:t>
      </w:r>
      <w:r>
        <w:rPr>
          <w:sz w:val="16"/>
        </w:rPr>
        <w:t>educación,</w:t>
      </w:r>
      <w:r>
        <w:rPr>
          <w:spacing w:val="-7"/>
          <w:sz w:val="16"/>
        </w:rPr>
        <w:t xml:space="preserve"> </w:t>
      </w:r>
      <w:r>
        <w:rPr>
          <w:sz w:val="16"/>
        </w:rPr>
        <w:t>sensibilización,</w:t>
      </w:r>
      <w:r>
        <w:rPr>
          <w:spacing w:val="-6"/>
          <w:sz w:val="16"/>
        </w:rPr>
        <w:t xml:space="preserve"> </w:t>
      </w:r>
      <w:r>
        <w:rPr>
          <w:sz w:val="16"/>
        </w:rPr>
        <w:t>apoyo</w:t>
      </w:r>
      <w:r>
        <w:rPr>
          <w:spacing w:val="-8"/>
          <w:sz w:val="16"/>
        </w:rPr>
        <w:t xml:space="preserve"> </w:t>
      </w:r>
      <w:r>
        <w:rPr>
          <w:sz w:val="16"/>
        </w:rPr>
        <w:t>a</w:t>
      </w:r>
      <w:r>
        <w:rPr>
          <w:spacing w:val="-8"/>
          <w:sz w:val="16"/>
        </w:rPr>
        <w:t xml:space="preserve"> </w:t>
      </w:r>
      <w:r>
        <w:rPr>
          <w:sz w:val="16"/>
        </w:rPr>
        <w:t xml:space="preserve">las víctimas para permitir el </w:t>
      </w:r>
      <w:proofErr w:type="spellStart"/>
      <w:r>
        <w:rPr>
          <w:sz w:val="16"/>
        </w:rPr>
        <w:t>contradiscurso</w:t>
      </w:r>
      <w:proofErr w:type="spellEnd"/>
      <w:r>
        <w:rPr>
          <w:sz w:val="16"/>
        </w:rPr>
        <w:t xml:space="preserve"> y la difusión de narrativas positivas, incluso mediante campañas de información pública con mensajes positivos que celebren la diversidad.</w:t>
      </w:r>
    </w:p>
    <w:p w14:paraId="46FC55F9" w14:textId="77777777" w:rsidR="0014798C" w:rsidRDefault="0014798C">
      <w:pPr>
        <w:pStyle w:val="Textoindependiente"/>
        <w:rPr>
          <w:sz w:val="15"/>
        </w:rPr>
      </w:pPr>
    </w:p>
    <w:p w14:paraId="597B1A35" w14:textId="77777777" w:rsidR="0014798C" w:rsidRDefault="0014798C">
      <w:pPr>
        <w:pStyle w:val="Textoindependiente"/>
        <w:spacing w:before="116"/>
        <w:rPr>
          <w:sz w:val="15"/>
        </w:rPr>
      </w:pPr>
    </w:p>
    <w:p w14:paraId="62A93A8B" w14:textId="77777777" w:rsidR="0014798C" w:rsidRDefault="004E1F0B">
      <w:pPr>
        <w:spacing w:before="1"/>
        <w:ind w:left="1114"/>
        <w:rPr>
          <w:sz w:val="15"/>
        </w:rPr>
      </w:pPr>
      <w:r>
        <w:rPr>
          <w:w w:val="105"/>
          <w:sz w:val="15"/>
        </w:rPr>
        <w:t>Un</w:t>
      </w:r>
      <w:r>
        <w:rPr>
          <w:spacing w:val="-8"/>
          <w:w w:val="105"/>
          <w:sz w:val="15"/>
        </w:rPr>
        <w:t xml:space="preserve"> </w:t>
      </w:r>
      <w:r>
        <w:rPr>
          <w:w w:val="105"/>
          <w:sz w:val="15"/>
        </w:rPr>
        <w:t>área</w:t>
      </w:r>
      <w:r>
        <w:rPr>
          <w:spacing w:val="-7"/>
          <w:w w:val="105"/>
          <w:sz w:val="15"/>
        </w:rPr>
        <w:t xml:space="preserve"> </w:t>
      </w:r>
      <w:r>
        <w:rPr>
          <w:w w:val="105"/>
          <w:sz w:val="15"/>
        </w:rPr>
        <w:t>común</w:t>
      </w:r>
      <w:r>
        <w:rPr>
          <w:spacing w:val="-7"/>
          <w:w w:val="105"/>
          <w:sz w:val="15"/>
        </w:rPr>
        <w:t xml:space="preserve"> </w:t>
      </w:r>
      <w:r>
        <w:rPr>
          <w:w w:val="105"/>
          <w:sz w:val="15"/>
        </w:rPr>
        <w:t>de</w:t>
      </w:r>
      <w:r>
        <w:rPr>
          <w:spacing w:val="-7"/>
          <w:w w:val="105"/>
          <w:sz w:val="15"/>
        </w:rPr>
        <w:t xml:space="preserve"> </w:t>
      </w:r>
      <w:r>
        <w:rPr>
          <w:w w:val="105"/>
          <w:sz w:val="15"/>
        </w:rPr>
        <w:t>investigación</w:t>
      </w:r>
      <w:r>
        <w:rPr>
          <w:spacing w:val="-7"/>
          <w:w w:val="105"/>
          <w:sz w:val="15"/>
        </w:rPr>
        <w:t xml:space="preserve"> </w:t>
      </w:r>
      <w:r>
        <w:rPr>
          <w:w w:val="105"/>
          <w:sz w:val="15"/>
        </w:rPr>
        <w:t>por</w:t>
      </w:r>
      <w:r>
        <w:rPr>
          <w:spacing w:val="-7"/>
          <w:w w:val="105"/>
          <w:sz w:val="15"/>
        </w:rPr>
        <w:t xml:space="preserve"> </w:t>
      </w:r>
      <w:r>
        <w:rPr>
          <w:w w:val="105"/>
          <w:sz w:val="15"/>
        </w:rPr>
        <w:t>parte</w:t>
      </w:r>
      <w:r>
        <w:rPr>
          <w:spacing w:val="-7"/>
          <w:w w:val="105"/>
          <w:sz w:val="15"/>
        </w:rPr>
        <w:t xml:space="preserve"> </w:t>
      </w:r>
      <w:r>
        <w:rPr>
          <w:w w:val="105"/>
          <w:sz w:val="15"/>
        </w:rPr>
        <w:t>de</w:t>
      </w:r>
      <w:r>
        <w:rPr>
          <w:spacing w:val="-8"/>
          <w:w w:val="105"/>
          <w:sz w:val="15"/>
        </w:rPr>
        <w:t xml:space="preserve"> </w:t>
      </w:r>
      <w:r>
        <w:rPr>
          <w:w w:val="105"/>
          <w:sz w:val="15"/>
        </w:rPr>
        <w:t>los</w:t>
      </w:r>
      <w:r>
        <w:rPr>
          <w:spacing w:val="-7"/>
          <w:w w:val="105"/>
          <w:sz w:val="15"/>
        </w:rPr>
        <w:t xml:space="preserve"> </w:t>
      </w:r>
      <w:r>
        <w:rPr>
          <w:w w:val="105"/>
          <w:sz w:val="15"/>
        </w:rPr>
        <w:t>legisladores</w:t>
      </w:r>
      <w:r>
        <w:rPr>
          <w:spacing w:val="-7"/>
          <w:w w:val="105"/>
          <w:sz w:val="15"/>
        </w:rPr>
        <w:t xml:space="preserve"> </w:t>
      </w:r>
      <w:r>
        <w:rPr>
          <w:w w:val="105"/>
          <w:sz w:val="15"/>
        </w:rPr>
        <w:t>y</w:t>
      </w:r>
      <w:r>
        <w:rPr>
          <w:spacing w:val="-7"/>
          <w:w w:val="105"/>
          <w:sz w:val="15"/>
        </w:rPr>
        <w:t xml:space="preserve"> </w:t>
      </w:r>
      <w:r>
        <w:rPr>
          <w:w w:val="105"/>
          <w:sz w:val="15"/>
        </w:rPr>
        <w:t>formuladores</w:t>
      </w:r>
      <w:r>
        <w:rPr>
          <w:spacing w:val="-7"/>
          <w:w w:val="105"/>
          <w:sz w:val="15"/>
        </w:rPr>
        <w:t xml:space="preserve"> </w:t>
      </w:r>
      <w:r>
        <w:rPr>
          <w:w w:val="105"/>
          <w:sz w:val="15"/>
        </w:rPr>
        <w:t>de</w:t>
      </w:r>
      <w:r>
        <w:rPr>
          <w:spacing w:val="-7"/>
          <w:w w:val="105"/>
          <w:sz w:val="15"/>
        </w:rPr>
        <w:t xml:space="preserve"> </w:t>
      </w:r>
      <w:r>
        <w:rPr>
          <w:w w:val="105"/>
          <w:sz w:val="15"/>
        </w:rPr>
        <w:t>políticas</w:t>
      </w:r>
      <w:r>
        <w:rPr>
          <w:spacing w:val="-7"/>
          <w:w w:val="105"/>
          <w:sz w:val="15"/>
        </w:rPr>
        <w:t xml:space="preserve"> </w:t>
      </w:r>
      <w:r>
        <w:rPr>
          <w:w w:val="105"/>
          <w:sz w:val="15"/>
        </w:rPr>
        <w:t>que</w:t>
      </w:r>
      <w:r>
        <w:rPr>
          <w:spacing w:val="-8"/>
          <w:w w:val="105"/>
          <w:sz w:val="15"/>
        </w:rPr>
        <w:t xml:space="preserve"> </w:t>
      </w:r>
      <w:r>
        <w:rPr>
          <w:w w:val="105"/>
          <w:sz w:val="15"/>
        </w:rPr>
        <w:t>trabajan</w:t>
      </w:r>
      <w:r>
        <w:rPr>
          <w:spacing w:val="-7"/>
          <w:w w:val="105"/>
          <w:sz w:val="15"/>
        </w:rPr>
        <w:t xml:space="preserve"> </w:t>
      </w:r>
      <w:r>
        <w:rPr>
          <w:w w:val="105"/>
          <w:sz w:val="15"/>
        </w:rPr>
        <w:t>en</w:t>
      </w:r>
      <w:r>
        <w:rPr>
          <w:spacing w:val="-7"/>
          <w:w w:val="105"/>
          <w:sz w:val="15"/>
        </w:rPr>
        <w:t xml:space="preserve"> </w:t>
      </w:r>
      <w:r>
        <w:rPr>
          <w:w w:val="105"/>
          <w:sz w:val="15"/>
        </w:rPr>
        <w:t>leyes</w:t>
      </w:r>
      <w:r>
        <w:rPr>
          <w:spacing w:val="-7"/>
          <w:w w:val="105"/>
          <w:sz w:val="15"/>
        </w:rPr>
        <w:t xml:space="preserve"> </w:t>
      </w:r>
      <w:r>
        <w:rPr>
          <w:w w:val="105"/>
          <w:sz w:val="15"/>
        </w:rPr>
        <w:t>que</w:t>
      </w:r>
      <w:r>
        <w:rPr>
          <w:spacing w:val="-7"/>
          <w:w w:val="105"/>
          <w:sz w:val="15"/>
        </w:rPr>
        <w:t xml:space="preserve"> </w:t>
      </w:r>
      <w:r>
        <w:rPr>
          <w:w w:val="105"/>
          <w:sz w:val="15"/>
        </w:rPr>
        <w:t>prohíben</w:t>
      </w:r>
      <w:r>
        <w:rPr>
          <w:spacing w:val="-7"/>
          <w:w w:val="105"/>
          <w:sz w:val="15"/>
        </w:rPr>
        <w:t xml:space="preserve"> </w:t>
      </w:r>
      <w:r>
        <w:rPr>
          <w:spacing w:val="-5"/>
          <w:w w:val="105"/>
          <w:sz w:val="15"/>
        </w:rPr>
        <w:t>la</w:t>
      </w:r>
    </w:p>
    <w:p w14:paraId="1137D7CA" w14:textId="77777777" w:rsidR="0014798C" w:rsidRDefault="004E1F0B">
      <w:pPr>
        <w:spacing w:before="77" w:line="288" w:lineRule="auto"/>
        <w:ind w:left="1111" w:right="1165" w:hanging="4"/>
        <w:rPr>
          <w:sz w:val="15"/>
        </w:rPr>
      </w:pPr>
      <w:r>
        <w:rPr>
          <w:w w:val="105"/>
          <w:sz w:val="15"/>
        </w:rPr>
        <w:t>discriminación</w:t>
      </w:r>
      <w:r>
        <w:rPr>
          <w:spacing w:val="-5"/>
          <w:w w:val="105"/>
          <w:sz w:val="15"/>
        </w:rPr>
        <w:t xml:space="preserve"> </w:t>
      </w:r>
      <w:r>
        <w:rPr>
          <w:w w:val="105"/>
          <w:sz w:val="15"/>
        </w:rPr>
        <w:t>tiene</w:t>
      </w:r>
      <w:r>
        <w:rPr>
          <w:spacing w:val="-5"/>
          <w:w w:val="105"/>
          <w:sz w:val="15"/>
        </w:rPr>
        <w:t xml:space="preserve"> </w:t>
      </w:r>
      <w:r>
        <w:rPr>
          <w:w w:val="105"/>
          <w:sz w:val="15"/>
        </w:rPr>
        <w:t>que</w:t>
      </w:r>
      <w:r>
        <w:rPr>
          <w:spacing w:val="-5"/>
          <w:w w:val="105"/>
          <w:sz w:val="15"/>
        </w:rPr>
        <w:t xml:space="preserve"> </w:t>
      </w:r>
      <w:r>
        <w:rPr>
          <w:w w:val="105"/>
          <w:sz w:val="15"/>
        </w:rPr>
        <w:t>ver</w:t>
      </w:r>
      <w:r>
        <w:rPr>
          <w:spacing w:val="-5"/>
          <w:w w:val="105"/>
          <w:sz w:val="15"/>
        </w:rPr>
        <w:t xml:space="preserve"> </w:t>
      </w:r>
      <w:r>
        <w:rPr>
          <w:w w:val="105"/>
          <w:sz w:val="15"/>
        </w:rPr>
        <w:t>con</w:t>
      </w:r>
      <w:r>
        <w:rPr>
          <w:spacing w:val="-5"/>
          <w:w w:val="105"/>
          <w:sz w:val="15"/>
        </w:rPr>
        <w:t xml:space="preserve"> </w:t>
      </w:r>
      <w:r>
        <w:rPr>
          <w:w w:val="105"/>
          <w:sz w:val="15"/>
        </w:rPr>
        <w:t>la</w:t>
      </w:r>
      <w:r>
        <w:rPr>
          <w:spacing w:val="-5"/>
          <w:w w:val="105"/>
          <w:sz w:val="15"/>
        </w:rPr>
        <w:t xml:space="preserve"> </w:t>
      </w:r>
      <w:r>
        <w:rPr>
          <w:w w:val="105"/>
          <w:sz w:val="15"/>
        </w:rPr>
        <w:t>línea</w:t>
      </w:r>
      <w:r>
        <w:rPr>
          <w:spacing w:val="-5"/>
          <w:w w:val="105"/>
          <w:sz w:val="15"/>
        </w:rPr>
        <w:t xml:space="preserve"> </w:t>
      </w:r>
      <w:r>
        <w:rPr>
          <w:w w:val="105"/>
          <w:sz w:val="15"/>
        </w:rPr>
        <w:t>entre</w:t>
      </w:r>
      <w:r>
        <w:rPr>
          <w:spacing w:val="-5"/>
          <w:w w:val="105"/>
          <w:sz w:val="15"/>
        </w:rPr>
        <w:t xml:space="preserve"> </w:t>
      </w:r>
      <w:r>
        <w:rPr>
          <w:w w:val="105"/>
          <w:sz w:val="15"/>
        </w:rPr>
        <w:t>las</w:t>
      </w:r>
      <w:r>
        <w:rPr>
          <w:spacing w:val="-5"/>
          <w:w w:val="105"/>
          <w:sz w:val="15"/>
        </w:rPr>
        <w:t xml:space="preserve"> </w:t>
      </w:r>
      <w:r>
        <w:rPr>
          <w:w w:val="105"/>
          <w:sz w:val="15"/>
        </w:rPr>
        <w:t>normas</w:t>
      </w:r>
      <w:r>
        <w:rPr>
          <w:spacing w:val="-5"/>
          <w:w w:val="105"/>
          <w:sz w:val="15"/>
        </w:rPr>
        <w:t xml:space="preserve"> </w:t>
      </w:r>
      <w:r>
        <w:rPr>
          <w:w w:val="105"/>
          <w:sz w:val="15"/>
        </w:rPr>
        <w:t>relativas</w:t>
      </w:r>
      <w:r>
        <w:rPr>
          <w:spacing w:val="-5"/>
          <w:w w:val="105"/>
          <w:sz w:val="15"/>
        </w:rPr>
        <w:t xml:space="preserve"> </w:t>
      </w:r>
      <w:r>
        <w:rPr>
          <w:w w:val="105"/>
          <w:sz w:val="15"/>
        </w:rPr>
        <w:t>al</w:t>
      </w:r>
      <w:r>
        <w:rPr>
          <w:spacing w:val="-5"/>
          <w:w w:val="105"/>
          <w:sz w:val="15"/>
        </w:rPr>
        <w:t xml:space="preserve"> </w:t>
      </w:r>
      <w:r>
        <w:rPr>
          <w:w w:val="105"/>
          <w:sz w:val="15"/>
        </w:rPr>
        <w:t>discurso</w:t>
      </w:r>
      <w:r>
        <w:rPr>
          <w:spacing w:val="-5"/>
          <w:w w:val="105"/>
          <w:sz w:val="15"/>
        </w:rPr>
        <w:t xml:space="preserve"> </w:t>
      </w:r>
      <w:r>
        <w:rPr>
          <w:w w:val="105"/>
          <w:sz w:val="15"/>
        </w:rPr>
        <w:t>de</w:t>
      </w:r>
      <w:r>
        <w:rPr>
          <w:spacing w:val="-5"/>
          <w:w w:val="105"/>
          <w:sz w:val="15"/>
        </w:rPr>
        <w:t xml:space="preserve"> </w:t>
      </w:r>
      <w:r>
        <w:rPr>
          <w:w w:val="105"/>
          <w:sz w:val="15"/>
        </w:rPr>
        <w:t>odio,</w:t>
      </w:r>
      <w:r>
        <w:rPr>
          <w:spacing w:val="-4"/>
          <w:w w:val="105"/>
          <w:sz w:val="15"/>
        </w:rPr>
        <w:t xml:space="preserve"> </w:t>
      </w:r>
      <w:r>
        <w:rPr>
          <w:w w:val="105"/>
          <w:sz w:val="15"/>
        </w:rPr>
        <w:t>por</w:t>
      </w:r>
      <w:r>
        <w:rPr>
          <w:spacing w:val="-5"/>
          <w:w w:val="105"/>
          <w:sz w:val="15"/>
        </w:rPr>
        <w:t xml:space="preserve"> </w:t>
      </w:r>
      <w:r>
        <w:rPr>
          <w:w w:val="105"/>
          <w:sz w:val="15"/>
        </w:rPr>
        <w:t>un</w:t>
      </w:r>
      <w:r>
        <w:rPr>
          <w:spacing w:val="-5"/>
          <w:w w:val="105"/>
          <w:sz w:val="15"/>
        </w:rPr>
        <w:t xml:space="preserve"> </w:t>
      </w:r>
      <w:r>
        <w:rPr>
          <w:w w:val="105"/>
          <w:sz w:val="15"/>
        </w:rPr>
        <w:t>lado,</w:t>
      </w:r>
      <w:r>
        <w:rPr>
          <w:spacing w:val="-4"/>
          <w:w w:val="105"/>
          <w:sz w:val="15"/>
        </w:rPr>
        <w:t xml:space="preserve"> </w:t>
      </w:r>
      <w:r>
        <w:rPr>
          <w:w w:val="105"/>
          <w:sz w:val="15"/>
        </w:rPr>
        <w:t>y</w:t>
      </w:r>
      <w:r>
        <w:rPr>
          <w:spacing w:val="-5"/>
          <w:w w:val="105"/>
          <w:sz w:val="15"/>
        </w:rPr>
        <w:t xml:space="preserve"> </w:t>
      </w:r>
      <w:r>
        <w:rPr>
          <w:w w:val="105"/>
          <w:sz w:val="15"/>
        </w:rPr>
        <w:t>las</w:t>
      </w:r>
      <w:r>
        <w:rPr>
          <w:spacing w:val="-5"/>
          <w:w w:val="105"/>
          <w:sz w:val="15"/>
        </w:rPr>
        <w:t xml:space="preserve"> </w:t>
      </w:r>
      <w:r>
        <w:rPr>
          <w:w w:val="105"/>
          <w:sz w:val="15"/>
        </w:rPr>
        <w:t>leyes</w:t>
      </w:r>
      <w:r>
        <w:rPr>
          <w:spacing w:val="-5"/>
          <w:w w:val="105"/>
          <w:sz w:val="15"/>
        </w:rPr>
        <w:t xml:space="preserve"> </w:t>
      </w:r>
      <w:r>
        <w:rPr>
          <w:w w:val="105"/>
          <w:sz w:val="15"/>
        </w:rPr>
        <w:t>contra</w:t>
      </w:r>
      <w:r>
        <w:rPr>
          <w:spacing w:val="-5"/>
          <w:w w:val="105"/>
          <w:sz w:val="15"/>
        </w:rPr>
        <w:t xml:space="preserve"> </w:t>
      </w:r>
      <w:r>
        <w:rPr>
          <w:w w:val="105"/>
          <w:sz w:val="15"/>
        </w:rPr>
        <w:t>la</w:t>
      </w:r>
      <w:r>
        <w:rPr>
          <w:spacing w:val="-5"/>
          <w:w w:val="105"/>
          <w:sz w:val="15"/>
        </w:rPr>
        <w:t xml:space="preserve"> </w:t>
      </w:r>
      <w:r>
        <w:rPr>
          <w:w w:val="105"/>
          <w:sz w:val="15"/>
        </w:rPr>
        <w:t>discriminación, por el otro.</w:t>
      </w:r>
    </w:p>
    <w:p w14:paraId="265E2C70" w14:textId="77777777" w:rsidR="0014798C" w:rsidRDefault="0014798C">
      <w:pPr>
        <w:pStyle w:val="Textoindependiente"/>
        <w:spacing w:before="62"/>
      </w:pPr>
    </w:p>
    <w:p w14:paraId="05DB862E" w14:textId="77777777" w:rsidR="0014798C" w:rsidRDefault="004E1F0B">
      <w:pPr>
        <w:pStyle w:val="Textoindependiente"/>
        <w:spacing w:line="326" w:lineRule="auto"/>
        <w:ind w:left="1110" w:right="1166" w:hanging="4"/>
      </w:pPr>
      <w:r>
        <w:rPr>
          <w:noProof/>
        </w:rPr>
        <mc:AlternateContent>
          <mc:Choice Requires="wps">
            <w:drawing>
              <wp:anchor distT="0" distB="0" distL="0" distR="0" simplePos="0" relativeHeight="251658327" behindDoc="0" locked="0" layoutInCell="1" allowOverlap="1" wp14:anchorId="550E11D5" wp14:editId="17CEF1FF">
                <wp:simplePos x="0" y="0"/>
                <wp:positionH relativeFrom="page">
                  <wp:posOffset>7309027</wp:posOffset>
                </wp:positionH>
                <wp:positionV relativeFrom="paragraph">
                  <wp:posOffset>491240</wp:posOffset>
                </wp:positionV>
                <wp:extent cx="85090" cy="203835"/>
                <wp:effectExtent l="0" t="0" r="0" b="0"/>
                <wp:wrapNone/>
                <wp:docPr id="346" name="Textbox 34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85090" cy="203835"/>
                        </a:xfrm>
                        <a:prstGeom prst="rect">
                          <a:avLst/>
                        </a:prstGeom>
                      </wps:spPr>
                      <wps:txbx>
                        <w:txbxContent>
                          <w:p w14:paraId="732D5F19" w14:textId="77777777" w:rsidR="0014798C" w:rsidRDefault="004E1F0B">
                            <w:pPr>
                              <w:spacing w:before="21"/>
                              <w:ind w:left="20"/>
                              <w:rPr>
                                <w:sz w:val="8"/>
                              </w:rPr>
                            </w:pPr>
                            <w:r>
                              <w:rPr>
                                <w:color w:val="FFFFFF"/>
                                <w:spacing w:val="-27"/>
                                <w:w w:val="105"/>
                                <w:sz w:val="8"/>
                              </w:rPr>
                              <w:t>CPAINRCTOE</w:t>
                            </w:r>
                          </w:p>
                        </w:txbxContent>
                      </wps:txbx>
                      <wps:bodyPr vert="vert270" wrap="square" lIns="0" tIns="0" rIns="0" bIns="0" rtlCol="0">
                        <a:noAutofit/>
                      </wps:bodyPr>
                    </wps:wsp>
                  </a:graphicData>
                </a:graphic>
              </wp:anchor>
            </w:drawing>
          </mc:Choice>
          <mc:Fallback>
            <w:pict>
              <v:shape w14:anchorId="550E11D5" id="Textbox 346" o:spid="_x0000_s1166" type="#_x0000_t202" style="position:absolute;left:0;text-align:left;margin-left:575.5pt;margin-top:38.7pt;width:6.7pt;height:16.05pt;z-index:251658327;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" filled="f" stroked="f">
                <v:textbox style="layout-flow:vertical;mso-layout-flow-alt:bottom-to-top" inset="0,0,0,0">
                  <w:txbxContent>
                    <w:p w14:paraId="732D5F19" w14:textId="77777777" w:rsidR="0014798C" w:rsidRDefault="004E1F0B">
                      <w:pPr>
                        <w:spacing w:before="21"/>
                        <w:ind w:left="20"/>
                        <w:rPr>
                          <w:sz w:val="8"/>
                        </w:rPr>
                      </w:pPr>
                      <w:r>
                        <w:rPr>
                          <w:color w:val="FFFFFF"/>
                          <w:spacing w:val="-27"/>
                          <w:w w:val="105"/>
                          <w:sz w:val="8"/>
                        </w:rPr>
                        <w:t>CPAINRCTOE</w:t>
                      </w:r>
                    </w:p>
                  </w:txbxContent>
                </v:textbox>
                <w10:wrap anchorx="page"/>
              </v:shape>
            </w:pict>
          </mc:Fallback>
        </mc:AlternateContent>
      </w:r>
      <w:r>
        <w:t>La</w:t>
      </w:r>
      <w:r>
        <w:rPr>
          <w:spacing w:val="-1"/>
        </w:rPr>
        <w:t xml:space="preserve"> </w:t>
      </w:r>
      <w:r>
        <w:t>relación</w:t>
      </w:r>
      <w:r>
        <w:rPr>
          <w:spacing w:val="-1"/>
        </w:rPr>
        <w:t xml:space="preserve"> </w:t>
      </w:r>
      <w:r>
        <w:t>entre</w:t>
      </w:r>
      <w:r>
        <w:rPr>
          <w:spacing w:val="-1"/>
        </w:rPr>
        <w:t xml:space="preserve"> </w:t>
      </w:r>
      <w:r>
        <w:t>el</w:t>
      </w:r>
      <w:r>
        <w:rPr>
          <w:spacing w:val="-1"/>
        </w:rPr>
        <w:t xml:space="preserve"> </w:t>
      </w:r>
      <w:r>
        <w:t>derecho</w:t>
      </w:r>
      <w:r>
        <w:rPr>
          <w:spacing w:val="-1"/>
        </w:rPr>
        <w:t xml:space="preserve"> </w:t>
      </w:r>
      <w:r>
        <w:t>a</w:t>
      </w:r>
      <w:r>
        <w:rPr>
          <w:spacing w:val="-1"/>
        </w:rPr>
        <w:t xml:space="preserve"> </w:t>
      </w:r>
      <w:r>
        <w:t>la</w:t>
      </w:r>
      <w:r>
        <w:rPr>
          <w:spacing w:val="-1"/>
        </w:rPr>
        <w:t xml:space="preserve"> </w:t>
      </w:r>
      <w:r>
        <w:t>no</w:t>
      </w:r>
      <w:r>
        <w:rPr>
          <w:spacing w:val="-1"/>
        </w:rPr>
        <w:t xml:space="preserve"> </w:t>
      </w:r>
      <w:r>
        <w:t>discriminación</w:t>
      </w:r>
      <w:r>
        <w:rPr>
          <w:spacing w:val="-1"/>
        </w:rPr>
        <w:t xml:space="preserve"> </w:t>
      </w:r>
      <w:r>
        <w:t>y</w:t>
      </w:r>
      <w:r>
        <w:rPr>
          <w:spacing w:val="-1"/>
        </w:rPr>
        <w:t xml:space="preserve"> </w:t>
      </w:r>
      <w:r>
        <w:t>los</w:t>
      </w:r>
      <w:r>
        <w:rPr>
          <w:spacing w:val="-1"/>
        </w:rPr>
        <w:t xml:space="preserve"> </w:t>
      </w:r>
      <w:r>
        <w:t>actos</w:t>
      </w:r>
      <w:r>
        <w:rPr>
          <w:spacing w:val="-1"/>
        </w:rPr>
        <w:t xml:space="preserve"> </w:t>
      </w:r>
      <w:r>
        <w:t>de</w:t>
      </w:r>
      <w:r>
        <w:rPr>
          <w:spacing w:val="-1"/>
        </w:rPr>
        <w:t xml:space="preserve"> </w:t>
      </w:r>
      <w:r>
        <w:t>expresión</w:t>
      </w:r>
      <w:r>
        <w:rPr>
          <w:spacing w:val="-1"/>
        </w:rPr>
        <w:t xml:space="preserve"> </w:t>
      </w:r>
      <w:r>
        <w:t>es</w:t>
      </w:r>
      <w:r>
        <w:rPr>
          <w:spacing w:val="-1"/>
        </w:rPr>
        <w:t xml:space="preserve"> </w:t>
      </w:r>
      <w:r>
        <w:t>compleja</w:t>
      </w:r>
      <w:r>
        <w:rPr>
          <w:spacing w:val="-1"/>
        </w:rPr>
        <w:t xml:space="preserve"> </w:t>
      </w:r>
      <w:r>
        <w:t>y</w:t>
      </w:r>
      <w:r>
        <w:rPr>
          <w:spacing w:val="-1"/>
        </w:rPr>
        <w:t xml:space="preserve"> </w:t>
      </w:r>
      <w:proofErr w:type="gramStart"/>
      <w:r>
        <w:t>multifacética</w:t>
      </w:r>
      <w:r>
        <w:rPr>
          <w:spacing w:val="-1"/>
        </w:rPr>
        <w:t xml:space="preserve"> </w:t>
      </w:r>
      <w:r>
        <w:t>.</w:t>
      </w:r>
      <w:proofErr w:type="gramEnd"/>
      <w:r>
        <w:rPr>
          <w:spacing w:val="-1"/>
        </w:rPr>
        <w:t xml:space="preserve"> </w:t>
      </w:r>
      <w:r>
        <w:t>En</w:t>
      </w:r>
      <w:r>
        <w:rPr>
          <w:spacing w:val="-1"/>
        </w:rPr>
        <w:t xml:space="preserve"> </w:t>
      </w:r>
      <w:r>
        <w:t>términos</w:t>
      </w:r>
      <w:r>
        <w:rPr>
          <w:spacing w:val="-1"/>
        </w:rPr>
        <w:t xml:space="preserve"> </w:t>
      </w:r>
      <w:r>
        <w:t>generales, existe</w:t>
      </w:r>
      <w:r>
        <w:rPr>
          <w:spacing w:val="-9"/>
        </w:rPr>
        <w:t xml:space="preserve"> </w:t>
      </w:r>
      <w:r>
        <w:t>una</w:t>
      </w:r>
      <w:r>
        <w:rPr>
          <w:spacing w:val="-9"/>
        </w:rPr>
        <w:t xml:space="preserve"> </w:t>
      </w:r>
      <w:r>
        <w:t>tendencia</w:t>
      </w:r>
      <w:r>
        <w:rPr>
          <w:spacing w:val="-9"/>
        </w:rPr>
        <w:t xml:space="preserve"> </w:t>
      </w:r>
      <w:r>
        <w:t>a</w:t>
      </w:r>
      <w:r>
        <w:rPr>
          <w:spacing w:val="-9"/>
        </w:rPr>
        <w:t xml:space="preserve"> </w:t>
      </w:r>
      <w:r>
        <w:t>intentar</w:t>
      </w:r>
      <w:r>
        <w:rPr>
          <w:spacing w:val="-9"/>
        </w:rPr>
        <w:t xml:space="preserve"> </w:t>
      </w:r>
      <w:r>
        <w:t>crear</w:t>
      </w:r>
      <w:r>
        <w:rPr>
          <w:spacing w:val="-9"/>
        </w:rPr>
        <w:t xml:space="preserve"> </w:t>
      </w:r>
      <w:r>
        <w:t>una</w:t>
      </w:r>
      <w:r>
        <w:rPr>
          <w:spacing w:val="-9"/>
        </w:rPr>
        <w:t xml:space="preserve"> </w:t>
      </w:r>
      <w:r>
        <w:t>categorización</w:t>
      </w:r>
      <w:r>
        <w:rPr>
          <w:spacing w:val="-9"/>
        </w:rPr>
        <w:t xml:space="preserve"> </w:t>
      </w:r>
      <w:r>
        <w:t>que</w:t>
      </w:r>
      <w:r>
        <w:rPr>
          <w:spacing w:val="-9"/>
        </w:rPr>
        <w:t xml:space="preserve"> </w:t>
      </w:r>
      <w:r>
        <w:t>involucre</w:t>
      </w:r>
      <w:r>
        <w:rPr>
          <w:spacing w:val="-9"/>
        </w:rPr>
        <w:t xml:space="preserve"> </w:t>
      </w:r>
      <w:r>
        <w:t>tres</w:t>
      </w:r>
      <w:r>
        <w:rPr>
          <w:spacing w:val="-9"/>
        </w:rPr>
        <w:t xml:space="preserve"> </w:t>
      </w:r>
      <w:r>
        <w:t>dominios</w:t>
      </w:r>
      <w:r>
        <w:rPr>
          <w:spacing w:val="-9"/>
        </w:rPr>
        <w:t xml:space="preserve"> </w:t>
      </w:r>
      <w:r>
        <w:t>supuestamente</w:t>
      </w:r>
      <w:r>
        <w:rPr>
          <w:spacing w:val="-9"/>
        </w:rPr>
        <w:t xml:space="preserve"> </w:t>
      </w:r>
      <w:r>
        <w:t>aislados:</w:t>
      </w:r>
      <w:r>
        <w:rPr>
          <w:spacing w:val="-8"/>
        </w:rPr>
        <w:t xml:space="preserve"> </w:t>
      </w:r>
      <w:r>
        <w:t>(a)</w:t>
      </w:r>
      <w:r>
        <w:rPr>
          <w:spacing w:val="-9"/>
        </w:rPr>
        <w:t xml:space="preserve"> </w:t>
      </w:r>
      <w:r>
        <w:t>pensamiento;</w:t>
      </w:r>
      <w:r>
        <w:rPr>
          <w:spacing w:val="-8"/>
        </w:rPr>
        <w:t xml:space="preserve"> </w:t>
      </w:r>
      <w:r>
        <w:t xml:space="preserve">(b) </w:t>
      </w:r>
      <w:r>
        <w:rPr>
          <w:spacing w:val="-2"/>
        </w:rPr>
        <w:t xml:space="preserve">expresión; </w:t>
      </w:r>
      <w:proofErr w:type="spellStart"/>
      <w:r>
        <w:rPr>
          <w:spacing w:val="-2"/>
        </w:rPr>
        <w:t>yc</w:t>
      </w:r>
      <w:proofErr w:type="spellEnd"/>
      <w:r>
        <w:rPr>
          <w:spacing w:val="-2"/>
        </w:rPr>
        <w:t xml:space="preserve">) acción. Como se expone a continuación, el primer ámbito –el pensamiento– queda absolutamente excluido del ámbito </w:t>
      </w:r>
      <w:r>
        <w:t>de</w:t>
      </w:r>
      <w:r>
        <w:rPr>
          <w:spacing w:val="-1"/>
        </w:rPr>
        <w:t xml:space="preserve"> </w:t>
      </w:r>
      <w:r>
        <w:t>la</w:t>
      </w:r>
      <w:r>
        <w:rPr>
          <w:spacing w:val="-1"/>
        </w:rPr>
        <w:t xml:space="preserve"> </w:t>
      </w:r>
      <w:r>
        <w:t>ley.</w:t>
      </w:r>
      <w:r>
        <w:rPr>
          <w:spacing w:val="-1"/>
        </w:rPr>
        <w:t xml:space="preserve"> </w:t>
      </w:r>
      <w:r>
        <w:t>Lo</w:t>
      </w:r>
      <w:r>
        <w:rPr>
          <w:spacing w:val="-1"/>
        </w:rPr>
        <w:t xml:space="preserve"> </w:t>
      </w:r>
      <w:r>
        <w:t>que</w:t>
      </w:r>
      <w:r>
        <w:rPr>
          <w:spacing w:val="-1"/>
        </w:rPr>
        <w:t xml:space="preserve"> </w:t>
      </w:r>
      <w:r>
        <w:t>ocurre</w:t>
      </w:r>
      <w:r>
        <w:rPr>
          <w:spacing w:val="-1"/>
        </w:rPr>
        <w:t xml:space="preserve"> </w:t>
      </w:r>
      <w:r>
        <w:t>en</w:t>
      </w:r>
      <w:r>
        <w:rPr>
          <w:spacing w:val="-1"/>
        </w:rPr>
        <w:t xml:space="preserve"> </w:t>
      </w:r>
      <w:r>
        <w:t>la</w:t>
      </w:r>
      <w:r>
        <w:rPr>
          <w:spacing w:val="-1"/>
        </w:rPr>
        <w:t xml:space="preserve"> </w:t>
      </w:r>
      <w:r>
        <w:t>mente</w:t>
      </w:r>
      <w:r>
        <w:rPr>
          <w:spacing w:val="-1"/>
        </w:rPr>
        <w:t xml:space="preserve"> </w:t>
      </w:r>
      <w:r>
        <w:t>está</w:t>
      </w:r>
      <w:r>
        <w:rPr>
          <w:spacing w:val="-1"/>
        </w:rPr>
        <w:t xml:space="preserve"> </w:t>
      </w:r>
      <w:r>
        <w:t>absolutamente</w:t>
      </w:r>
      <w:r>
        <w:rPr>
          <w:spacing w:val="-1"/>
        </w:rPr>
        <w:t xml:space="preserve"> </w:t>
      </w:r>
      <w:r>
        <w:t>protegido. En</w:t>
      </w:r>
      <w:r>
        <w:rPr>
          <w:spacing w:val="-1"/>
        </w:rPr>
        <w:t xml:space="preserve"> </w:t>
      </w:r>
      <w:r>
        <w:t>algunas</w:t>
      </w:r>
      <w:r>
        <w:rPr>
          <w:spacing w:val="-1"/>
        </w:rPr>
        <w:t xml:space="preserve"> </w:t>
      </w:r>
      <w:r>
        <w:t>concepciones</w:t>
      </w:r>
      <w:r>
        <w:rPr>
          <w:spacing w:val="-1"/>
        </w:rPr>
        <w:t xml:space="preserve"> </w:t>
      </w:r>
      <w:r>
        <w:t>de</w:t>
      </w:r>
      <w:r>
        <w:rPr>
          <w:spacing w:val="-1"/>
        </w:rPr>
        <w:t xml:space="preserve"> </w:t>
      </w:r>
      <w:r>
        <w:t>la</w:t>
      </w:r>
      <w:r>
        <w:rPr>
          <w:spacing w:val="-1"/>
        </w:rPr>
        <w:t xml:space="preserve"> </w:t>
      </w:r>
      <w:r>
        <w:t>ley</w:t>
      </w:r>
      <w:r>
        <w:rPr>
          <w:spacing w:val="-1"/>
        </w:rPr>
        <w:t xml:space="preserve"> </w:t>
      </w:r>
      <w:r>
        <w:t>antidiscriminación, hay</w:t>
      </w:r>
      <w:r>
        <w:rPr>
          <w:spacing w:val="-1"/>
        </w:rPr>
        <w:t xml:space="preserve"> </w:t>
      </w:r>
      <w:r>
        <w:t>un esfuerzo</w:t>
      </w:r>
      <w:r>
        <w:rPr>
          <w:spacing w:val="-1"/>
        </w:rPr>
        <w:t xml:space="preserve"> </w:t>
      </w:r>
      <w:r>
        <w:t>por</w:t>
      </w:r>
      <w:r>
        <w:rPr>
          <w:spacing w:val="-1"/>
        </w:rPr>
        <w:t xml:space="preserve"> </w:t>
      </w:r>
      <w:r>
        <w:t>identificar</w:t>
      </w:r>
      <w:r>
        <w:rPr>
          <w:spacing w:val="-1"/>
        </w:rPr>
        <w:t xml:space="preserve"> </w:t>
      </w:r>
      <w:r>
        <w:t>un</w:t>
      </w:r>
      <w:r>
        <w:rPr>
          <w:spacing w:val="-1"/>
        </w:rPr>
        <w:t xml:space="preserve"> </w:t>
      </w:r>
      <w:r>
        <w:t>alto</w:t>
      </w:r>
      <w:r>
        <w:rPr>
          <w:spacing w:val="-1"/>
        </w:rPr>
        <w:t xml:space="preserve"> </w:t>
      </w:r>
      <w:r>
        <w:t>muro</w:t>
      </w:r>
      <w:r>
        <w:rPr>
          <w:spacing w:val="-1"/>
        </w:rPr>
        <w:t xml:space="preserve"> </w:t>
      </w:r>
      <w:r>
        <w:t>entre</w:t>
      </w:r>
      <w:r>
        <w:rPr>
          <w:spacing w:val="-1"/>
        </w:rPr>
        <w:t xml:space="preserve"> </w:t>
      </w:r>
      <w:r>
        <w:t>los</w:t>
      </w:r>
      <w:r>
        <w:rPr>
          <w:spacing w:val="-1"/>
        </w:rPr>
        <w:t xml:space="preserve"> </w:t>
      </w:r>
      <w:r>
        <w:t>dos</w:t>
      </w:r>
      <w:r>
        <w:rPr>
          <w:spacing w:val="-1"/>
        </w:rPr>
        <w:t xml:space="preserve"> </w:t>
      </w:r>
      <w:r>
        <w:t>segundos</w:t>
      </w:r>
      <w:r>
        <w:rPr>
          <w:spacing w:val="-1"/>
        </w:rPr>
        <w:t xml:space="preserve"> </w:t>
      </w:r>
      <w:r>
        <w:t>elementos</w:t>
      </w:r>
      <w:r>
        <w:rPr>
          <w:spacing w:val="-1"/>
        </w:rPr>
        <w:t xml:space="preserve"> </w:t>
      </w:r>
      <w:r>
        <w:t>–es</w:t>
      </w:r>
      <w:r>
        <w:rPr>
          <w:spacing w:val="-1"/>
        </w:rPr>
        <w:t xml:space="preserve"> </w:t>
      </w:r>
      <w:r>
        <w:t>decir,</w:t>
      </w:r>
      <w:r>
        <w:rPr>
          <w:spacing w:val="-1"/>
        </w:rPr>
        <w:t xml:space="preserve"> </w:t>
      </w:r>
      <w:r>
        <w:t>entre</w:t>
      </w:r>
      <w:r>
        <w:rPr>
          <w:spacing w:val="-1"/>
        </w:rPr>
        <w:t xml:space="preserve"> </w:t>
      </w:r>
      <w:r>
        <w:t>la</w:t>
      </w:r>
      <w:r>
        <w:rPr>
          <w:spacing w:val="-1"/>
        </w:rPr>
        <w:t xml:space="preserve"> </w:t>
      </w:r>
      <w:r>
        <w:t>expresión, por</w:t>
      </w:r>
      <w:r>
        <w:rPr>
          <w:spacing w:val="-1"/>
        </w:rPr>
        <w:t xml:space="preserve"> </w:t>
      </w:r>
      <w:r>
        <w:t>un</w:t>
      </w:r>
      <w:r>
        <w:rPr>
          <w:spacing w:val="-1"/>
        </w:rPr>
        <w:t xml:space="preserve"> </w:t>
      </w:r>
      <w:r>
        <w:t>lado,</w:t>
      </w:r>
      <w:r>
        <w:rPr>
          <w:spacing w:val="-1"/>
        </w:rPr>
        <w:t xml:space="preserve"> </w:t>
      </w:r>
      <w:r>
        <w:t>y</w:t>
      </w:r>
      <w:r>
        <w:rPr>
          <w:spacing w:val="-1"/>
        </w:rPr>
        <w:t xml:space="preserve"> </w:t>
      </w:r>
      <w:r>
        <w:t>la</w:t>
      </w:r>
      <w:r>
        <w:rPr>
          <w:spacing w:val="-1"/>
        </w:rPr>
        <w:t xml:space="preserve"> </w:t>
      </w:r>
      <w:r>
        <w:t>acción, por</w:t>
      </w:r>
      <w:r>
        <w:rPr>
          <w:spacing w:val="-1"/>
        </w:rPr>
        <w:t xml:space="preserve"> </w:t>
      </w:r>
      <w:r>
        <w:t>el otro.</w:t>
      </w:r>
      <w:r>
        <w:rPr>
          <w:spacing w:val="-2"/>
        </w:rPr>
        <w:t xml:space="preserve"> </w:t>
      </w:r>
      <w:r>
        <w:t>En</w:t>
      </w:r>
      <w:r>
        <w:rPr>
          <w:spacing w:val="-2"/>
        </w:rPr>
        <w:t xml:space="preserve"> </w:t>
      </w:r>
      <w:r>
        <w:t>esta</w:t>
      </w:r>
      <w:r>
        <w:rPr>
          <w:spacing w:val="-2"/>
        </w:rPr>
        <w:t xml:space="preserve"> </w:t>
      </w:r>
      <w:r>
        <w:t>descripción</w:t>
      </w:r>
      <w:r>
        <w:rPr>
          <w:spacing w:val="-2"/>
        </w:rPr>
        <w:t xml:space="preserve"> </w:t>
      </w:r>
      <w:r>
        <w:t>simplificada,</w:t>
      </w:r>
      <w:r>
        <w:rPr>
          <w:spacing w:val="-1"/>
        </w:rPr>
        <w:t xml:space="preserve"> </w:t>
      </w:r>
      <w:r>
        <w:t>la</w:t>
      </w:r>
      <w:r>
        <w:rPr>
          <w:spacing w:val="-2"/>
        </w:rPr>
        <w:t xml:space="preserve"> </w:t>
      </w:r>
      <w:r>
        <w:t>ley</w:t>
      </w:r>
      <w:r>
        <w:rPr>
          <w:spacing w:val="-2"/>
        </w:rPr>
        <w:t xml:space="preserve"> </w:t>
      </w:r>
      <w:r>
        <w:t>antidiscriminatoria</w:t>
      </w:r>
      <w:r>
        <w:rPr>
          <w:spacing w:val="-2"/>
        </w:rPr>
        <w:t xml:space="preserve"> </w:t>
      </w:r>
      <w:r>
        <w:t>cubre</w:t>
      </w:r>
      <w:r>
        <w:rPr>
          <w:spacing w:val="-2"/>
        </w:rPr>
        <w:t xml:space="preserve"> </w:t>
      </w:r>
      <w:r>
        <w:t>un</w:t>
      </w:r>
      <w:r>
        <w:rPr>
          <w:spacing w:val="-2"/>
        </w:rPr>
        <w:t xml:space="preserve"> </w:t>
      </w:r>
      <w:r>
        <w:t>trato</w:t>
      </w:r>
      <w:r>
        <w:rPr>
          <w:spacing w:val="-2"/>
        </w:rPr>
        <w:t xml:space="preserve"> </w:t>
      </w:r>
      <w:r>
        <w:t>o</w:t>
      </w:r>
      <w:r>
        <w:rPr>
          <w:spacing w:val="-2"/>
        </w:rPr>
        <w:t xml:space="preserve"> </w:t>
      </w:r>
      <w:r>
        <w:t>impacto</w:t>
      </w:r>
      <w:r>
        <w:rPr>
          <w:spacing w:val="-2"/>
        </w:rPr>
        <w:t xml:space="preserve"> </w:t>
      </w:r>
      <w:r>
        <w:t>diferente</w:t>
      </w:r>
      <w:r>
        <w:rPr>
          <w:spacing w:val="-2"/>
        </w:rPr>
        <w:t xml:space="preserve"> </w:t>
      </w:r>
      <w:r>
        <w:t>(es</w:t>
      </w:r>
      <w:r>
        <w:rPr>
          <w:spacing w:val="-2"/>
        </w:rPr>
        <w:t xml:space="preserve"> </w:t>
      </w:r>
      <w:r>
        <w:t>decir,</w:t>
      </w:r>
      <w:r>
        <w:rPr>
          <w:spacing w:val="-2"/>
        </w:rPr>
        <w:t xml:space="preserve"> </w:t>
      </w:r>
      <w:r>
        <w:t>la</w:t>
      </w:r>
      <w:r>
        <w:rPr>
          <w:spacing w:val="-2"/>
        </w:rPr>
        <w:t xml:space="preserve"> </w:t>
      </w:r>
      <w:r>
        <w:t>tercera</w:t>
      </w:r>
      <w:r>
        <w:rPr>
          <w:spacing w:val="-2"/>
        </w:rPr>
        <w:t xml:space="preserve"> </w:t>
      </w:r>
      <w:r>
        <w:t>categoría)</w:t>
      </w:r>
      <w:r>
        <w:rPr>
          <w:spacing w:val="-2"/>
        </w:rPr>
        <w:t xml:space="preserve"> </w:t>
      </w:r>
      <w:r>
        <w:t>y</w:t>
      </w:r>
    </w:p>
    <w:p w14:paraId="51B73CBF" w14:textId="77777777" w:rsidR="0014798C" w:rsidRDefault="004E1F0B">
      <w:pPr>
        <w:pStyle w:val="Textoindependiente"/>
        <w:spacing w:line="326" w:lineRule="auto"/>
        <w:ind w:left="1105" w:right="1272" w:firstLine="2"/>
      </w:pPr>
      <w:r>
        <w:t>no</w:t>
      </w:r>
      <w:r>
        <w:rPr>
          <w:spacing w:val="-2"/>
        </w:rPr>
        <w:t xml:space="preserve"> </w:t>
      </w:r>
      <w:r>
        <w:t>la</w:t>
      </w:r>
      <w:r>
        <w:rPr>
          <w:spacing w:val="-2"/>
        </w:rPr>
        <w:t xml:space="preserve"> </w:t>
      </w:r>
      <w:r>
        <w:t>segunda</w:t>
      </w:r>
      <w:r>
        <w:rPr>
          <w:spacing w:val="-2"/>
        </w:rPr>
        <w:t xml:space="preserve"> </w:t>
      </w:r>
      <w:r>
        <w:t>categoría,</w:t>
      </w:r>
      <w:r>
        <w:rPr>
          <w:spacing w:val="-1"/>
        </w:rPr>
        <w:t xml:space="preserve"> </w:t>
      </w:r>
      <w:r>
        <w:t>es</w:t>
      </w:r>
      <w:r>
        <w:rPr>
          <w:spacing w:val="-2"/>
        </w:rPr>
        <w:t xml:space="preserve"> </w:t>
      </w:r>
      <w:r>
        <w:t>decir,</w:t>
      </w:r>
      <w:r>
        <w:rPr>
          <w:spacing w:val="-2"/>
        </w:rPr>
        <w:t xml:space="preserve"> </w:t>
      </w:r>
      <w:r>
        <w:t>la</w:t>
      </w:r>
      <w:r>
        <w:rPr>
          <w:spacing w:val="-2"/>
        </w:rPr>
        <w:t xml:space="preserve"> </w:t>
      </w:r>
      <w:r>
        <w:t>expresión.</w:t>
      </w:r>
      <w:r>
        <w:rPr>
          <w:spacing w:val="-1"/>
        </w:rPr>
        <w:t xml:space="preserve"> </w:t>
      </w:r>
      <w:r>
        <w:t>Como</w:t>
      </w:r>
      <w:r>
        <w:rPr>
          <w:spacing w:val="-2"/>
        </w:rPr>
        <w:t xml:space="preserve"> </w:t>
      </w:r>
      <w:r>
        <w:t>se</w:t>
      </w:r>
      <w:r>
        <w:rPr>
          <w:spacing w:val="-2"/>
        </w:rPr>
        <w:t xml:space="preserve"> </w:t>
      </w:r>
      <w:r>
        <w:t>verá,</w:t>
      </w:r>
      <w:r>
        <w:rPr>
          <w:spacing w:val="-2"/>
        </w:rPr>
        <w:t xml:space="preserve"> </w:t>
      </w:r>
      <w:r>
        <w:t>esto</w:t>
      </w:r>
      <w:r>
        <w:rPr>
          <w:spacing w:val="-2"/>
        </w:rPr>
        <w:t xml:space="preserve"> </w:t>
      </w:r>
      <w:r>
        <w:t>es</w:t>
      </w:r>
      <w:r>
        <w:rPr>
          <w:spacing w:val="-2"/>
        </w:rPr>
        <w:t xml:space="preserve"> </w:t>
      </w:r>
      <w:r>
        <w:t>una</w:t>
      </w:r>
      <w:r>
        <w:rPr>
          <w:spacing w:val="-2"/>
        </w:rPr>
        <w:t xml:space="preserve"> </w:t>
      </w:r>
      <w:r>
        <w:t>simplificación</w:t>
      </w:r>
      <w:r>
        <w:rPr>
          <w:spacing w:val="-2"/>
        </w:rPr>
        <w:t xml:space="preserve"> </w:t>
      </w:r>
      <w:r>
        <w:t>excesiva.</w:t>
      </w:r>
      <w:r>
        <w:rPr>
          <w:spacing w:val="-1"/>
        </w:rPr>
        <w:t xml:space="preserve"> </w:t>
      </w:r>
      <w:r>
        <w:t>La</w:t>
      </w:r>
      <w:r>
        <w:rPr>
          <w:spacing w:val="-2"/>
        </w:rPr>
        <w:t xml:space="preserve"> </w:t>
      </w:r>
      <w:r>
        <w:t>expresión</w:t>
      </w:r>
      <w:r>
        <w:rPr>
          <w:spacing w:val="-2"/>
        </w:rPr>
        <w:t xml:space="preserve"> </w:t>
      </w:r>
      <w:r>
        <w:t>desempeña</w:t>
      </w:r>
      <w:r>
        <w:rPr>
          <w:spacing w:val="-2"/>
        </w:rPr>
        <w:t xml:space="preserve"> </w:t>
      </w:r>
      <w:r>
        <w:t>un papel</w:t>
      </w:r>
      <w:r>
        <w:rPr>
          <w:spacing w:val="-7"/>
        </w:rPr>
        <w:t xml:space="preserve"> </w:t>
      </w:r>
      <w:r>
        <w:t>en</w:t>
      </w:r>
      <w:r>
        <w:rPr>
          <w:spacing w:val="-7"/>
        </w:rPr>
        <w:t xml:space="preserve"> </w:t>
      </w:r>
      <w:r>
        <w:t>varias</w:t>
      </w:r>
      <w:r>
        <w:rPr>
          <w:spacing w:val="-7"/>
        </w:rPr>
        <w:t xml:space="preserve"> </w:t>
      </w:r>
      <w:r>
        <w:t>áreas</w:t>
      </w:r>
      <w:r>
        <w:rPr>
          <w:spacing w:val="-7"/>
        </w:rPr>
        <w:t xml:space="preserve"> </w:t>
      </w:r>
      <w:r>
        <w:t>de</w:t>
      </w:r>
      <w:r>
        <w:rPr>
          <w:spacing w:val="-7"/>
        </w:rPr>
        <w:t xml:space="preserve"> </w:t>
      </w:r>
      <w:r>
        <w:t>la</w:t>
      </w:r>
      <w:r>
        <w:rPr>
          <w:spacing w:val="-7"/>
        </w:rPr>
        <w:t xml:space="preserve"> </w:t>
      </w:r>
      <w:r>
        <w:t>legislación</w:t>
      </w:r>
      <w:r>
        <w:rPr>
          <w:spacing w:val="-7"/>
        </w:rPr>
        <w:t xml:space="preserve"> </w:t>
      </w:r>
      <w:r>
        <w:t>contra</w:t>
      </w:r>
      <w:r>
        <w:rPr>
          <w:spacing w:val="-7"/>
        </w:rPr>
        <w:t xml:space="preserve"> </w:t>
      </w:r>
      <w:r>
        <w:t>la</w:t>
      </w:r>
      <w:r>
        <w:rPr>
          <w:spacing w:val="-7"/>
        </w:rPr>
        <w:t xml:space="preserve"> </w:t>
      </w:r>
      <w:r>
        <w:t>discriminación.</w:t>
      </w:r>
      <w:r>
        <w:rPr>
          <w:spacing w:val="-5"/>
        </w:rPr>
        <w:t xml:space="preserve"> </w:t>
      </w:r>
      <w:r>
        <w:t>El</w:t>
      </w:r>
      <w:r>
        <w:rPr>
          <w:spacing w:val="-7"/>
        </w:rPr>
        <w:t xml:space="preserve"> </w:t>
      </w:r>
      <w:r>
        <w:t>presente</w:t>
      </w:r>
      <w:r>
        <w:rPr>
          <w:spacing w:val="-7"/>
        </w:rPr>
        <w:t xml:space="preserve"> </w:t>
      </w:r>
      <w:r>
        <w:t>capítulo</w:t>
      </w:r>
      <w:r>
        <w:rPr>
          <w:spacing w:val="-7"/>
        </w:rPr>
        <w:t xml:space="preserve"> </w:t>
      </w:r>
      <w:r>
        <w:t>explora</w:t>
      </w:r>
      <w:r>
        <w:rPr>
          <w:spacing w:val="-7"/>
        </w:rPr>
        <w:t xml:space="preserve"> </w:t>
      </w:r>
      <w:r>
        <w:t>algunas</w:t>
      </w:r>
      <w:r>
        <w:rPr>
          <w:spacing w:val="-7"/>
        </w:rPr>
        <w:t xml:space="preserve"> </w:t>
      </w:r>
      <w:r>
        <w:t>de</w:t>
      </w:r>
      <w:r>
        <w:rPr>
          <w:spacing w:val="-7"/>
        </w:rPr>
        <w:t xml:space="preserve"> </w:t>
      </w:r>
      <w:r>
        <w:t>estas</w:t>
      </w:r>
      <w:r>
        <w:rPr>
          <w:spacing w:val="-7"/>
        </w:rPr>
        <w:t xml:space="preserve"> </w:t>
      </w:r>
      <w:r>
        <w:t>áreas</w:t>
      </w:r>
      <w:r>
        <w:rPr>
          <w:spacing w:val="-7"/>
        </w:rPr>
        <w:t xml:space="preserve"> </w:t>
      </w:r>
      <w:r>
        <w:t>y</w:t>
      </w:r>
      <w:r>
        <w:rPr>
          <w:spacing w:val="-7"/>
        </w:rPr>
        <w:t xml:space="preserve"> </w:t>
      </w:r>
      <w:r>
        <w:t>luego</w:t>
      </w:r>
      <w:r>
        <w:rPr>
          <w:spacing w:val="-7"/>
        </w:rPr>
        <w:t xml:space="preserve"> </w:t>
      </w:r>
      <w:r>
        <w:t>examina de</w:t>
      </w:r>
      <w:r>
        <w:rPr>
          <w:spacing w:val="-12"/>
        </w:rPr>
        <w:t xml:space="preserve"> </w:t>
      </w:r>
      <w:r>
        <w:t>manera</w:t>
      </w:r>
      <w:r>
        <w:rPr>
          <w:spacing w:val="-11"/>
        </w:rPr>
        <w:t xml:space="preserve"> </w:t>
      </w:r>
      <w:r>
        <w:t>más</w:t>
      </w:r>
      <w:r>
        <w:rPr>
          <w:spacing w:val="-11"/>
        </w:rPr>
        <w:t xml:space="preserve"> </w:t>
      </w:r>
      <w:r>
        <w:t>amplia</w:t>
      </w:r>
      <w:r>
        <w:rPr>
          <w:spacing w:val="-11"/>
        </w:rPr>
        <w:t xml:space="preserve"> </w:t>
      </w:r>
      <w:r>
        <w:t>cuestiones</w:t>
      </w:r>
      <w:r>
        <w:rPr>
          <w:spacing w:val="-11"/>
        </w:rPr>
        <w:t xml:space="preserve"> </w:t>
      </w:r>
      <w:r>
        <w:t>relacionadas</w:t>
      </w:r>
      <w:r>
        <w:rPr>
          <w:spacing w:val="-11"/>
        </w:rPr>
        <w:t xml:space="preserve"> </w:t>
      </w:r>
      <w:r>
        <w:t>con</w:t>
      </w:r>
      <w:r>
        <w:rPr>
          <w:spacing w:val="-11"/>
        </w:rPr>
        <w:t xml:space="preserve"> </w:t>
      </w:r>
      <w:r>
        <w:t>el</w:t>
      </w:r>
      <w:r>
        <w:rPr>
          <w:spacing w:val="-11"/>
        </w:rPr>
        <w:t xml:space="preserve"> </w:t>
      </w:r>
      <w:r>
        <w:t>discurso</w:t>
      </w:r>
      <w:r>
        <w:rPr>
          <w:spacing w:val="-12"/>
        </w:rPr>
        <w:t xml:space="preserve"> </w:t>
      </w:r>
      <w:r>
        <w:t>de</w:t>
      </w:r>
      <w:r>
        <w:rPr>
          <w:spacing w:val="-11"/>
        </w:rPr>
        <w:t xml:space="preserve"> </w:t>
      </w:r>
      <w:r>
        <w:t>odio;</w:t>
      </w:r>
      <w:r>
        <w:rPr>
          <w:spacing w:val="-11"/>
        </w:rPr>
        <w:t xml:space="preserve"> </w:t>
      </w:r>
      <w:r>
        <w:t>incitación</w:t>
      </w:r>
      <w:r>
        <w:rPr>
          <w:spacing w:val="-11"/>
        </w:rPr>
        <w:t xml:space="preserve"> </w:t>
      </w:r>
      <w:r>
        <w:t>a</w:t>
      </w:r>
      <w:r>
        <w:rPr>
          <w:spacing w:val="-11"/>
        </w:rPr>
        <w:t xml:space="preserve"> </w:t>
      </w:r>
      <w:r>
        <w:t>la</w:t>
      </w:r>
      <w:r>
        <w:rPr>
          <w:spacing w:val="-11"/>
        </w:rPr>
        <w:t xml:space="preserve"> </w:t>
      </w:r>
      <w:r>
        <w:t>hostilidad,</w:t>
      </w:r>
      <w:r>
        <w:rPr>
          <w:spacing w:val="-11"/>
        </w:rPr>
        <w:t xml:space="preserve"> </w:t>
      </w:r>
      <w:r>
        <w:t>la</w:t>
      </w:r>
      <w:r>
        <w:rPr>
          <w:spacing w:val="-11"/>
        </w:rPr>
        <w:t xml:space="preserve"> </w:t>
      </w:r>
      <w:r>
        <w:t>discriminación</w:t>
      </w:r>
      <w:r>
        <w:rPr>
          <w:spacing w:val="-11"/>
        </w:rPr>
        <w:t xml:space="preserve"> </w:t>
      </w:r>
      <w:r>
        <w:t>o</w:t>
      </w:r>
      <w:r>
        <w:rPr>
          <w:spacing w:val="-12"/>
        </w:rPr>
        <w:t xml:space="preserve"> </w:t>
      </w:r>
      <w:r>
        <w:t>la</w:t>
      </w:r>
      <w:r>
        <w:rPr>
          <w:spacing w:val="-11"/>
        </w:rPr>
        <w:t xml:space="preserve"> </w:t>
      </w:r>
      <w:r>
        <w:t>violencia;</w:t>
      </w:r>
      <w:r>
        <w:rPr>
          <w:spacing w:val="-11"/>
        </w:rPr>
        <w:t xml:space="preserve"> </w:t>
      </w:r>
      <w:r>
        <w:t>y cuestiones relacionadas vistas a través del prisma del derecho a la libertad de expresión. Entre ellos se incluyen los recientes acontecimientos mundiales en torno a los debates sobre el discurso de odio.</w:t>
      </w:r>
    </w:p>
    <w:p w14:paraId="7DA24167" w14:textId="77777777" w:rsidR="0014798C" w:rsidRDefault="0014798C">
      <w:pPr>
        <w:pStyle w:val="Textoindependiente"/>
      </w:pPr>
    </w:p>
    <w:p w14:paraId="54B3FA56" w14:textId="77777777" w:rsidR="0014798C" w:rsidRDefault="0014798C">
      <w:pPr>
        <w:pStyle w:val="Textoindependiente"/>
        <w:spacing w:before="46"/>
      </w:pPr>
    </w:p>
    <w:p w14:paraId="1797A111" w14:textId="77777777" w:rsidR="0014798C" w:rsidRDefault="004E1F0B">
      <w:pPr>
        <w:pStyle w:val="Textoindependiente"/>
        <w:spacing w:line="326" w:lineRule="auto"/>
        <w:ind w:left="1108" w:right="1272"/>
      </w:pPr>
      <w:r>
        <w:t>A</w:t>
      </w:r>
      <w:r>
        <w:rPr>
          <w:spacing w:val="-6"/>
        </w:rPr>
        <w:t xml:space="preserve"> </w:t>
      </w:r>
      <w:r>
        <w:t>la</w:t>
      </w:r>
      <w:r>
        <w:rPr>
          <w:spacing w:val="-6"/>
        </w:rPr>
        <w:t xml:space="preserve"> </w:t>
      </w:r>
      <w:r>
        <w:t>luz</w:t>
      </w:r>
      <w:r>
        <w:rPr>
          <w:spacing w:val="-6"/>
        </w:rPr>
        <w:t xml:space="preserve"> </w:t>
      </w:r>
      <w:r>
        <w:t>de</w:t>
      </w:r>
      <w:r>
        <w:rPr>
          <w:spacing w:val="-6"/>
        </w:rPr>
        <w:t xml:space="preserve"> </w:t>
      </w:r>
      <w:r>
        <w:t>esta</w:t>
      </w:r>
      <w:r>
        <w:rPr>
          <w:spacing w:val="-6"/>
        </w:rPr>
        <w:t xml:space="preserve"> </w:t>
      </w:r>
      <w:r>
        <w:t>relación</w:t>
      </w:r>
      <w:r>
        <w:rPr>
          <w:spacing w:val="-6"/>
        </w:rPr>
        <w:t xml:space="preserve"> </w:t>
      </w:r>
      <w:r>
        <w:t>multidimensional</w:t>
      </w:r>
      <w:r>
        <w:rPr>
          <w:spacing w:val="-6"/>
        </w:rPr>
        <w:t xml:space="preserve"> </w:t>
      </w:r>
      <w:r>
        <w:t>entre</w:t>
      </w:r>
      <w:r>
        <w:rPr>
          <w:spacing w:val="-6"/>
        </w:rPr>
        <w:t xml:space="preserve"> </w:t>
      </w:r>
      <w:r>
        <w:t>discriminación</w:t>
      </w:r>
      <w:r>
        <w:rPr>
          <w:spacing w:val="-6"/>
        </w:rPr>
        <w:t xml:space="preserve"> </w:t>
      </w:r>
      <w:r>
        <w:t>y</w:t>
      </w:r>
      <w:r>
        <w:rPr>
          <w:spacing w:val="-6"/>
        </w:rPr>
        <w:t xml:space="preserve"> </w:t>
      </w:r>
      <w:r>
        <w:t>expresión</w:t>
      </w:r>
      <w:r>
        <w:rPr>
          <w:spacing w:val="-6"/>
        </w:rPr>
        <w:t xml:space="preserve"> </w:t>
      </w:r>
      <w:r>
        <w:t>y</w:t>
      </w:r>
      <w:r>
        <w:rPr>
          <w:spacing w:val="-6"/>
        </w:rPr>
        <w:t xml:space="preserve"> </w:t>
      </w:r>
      <w:r>
        <w:t>la</w:t>
      </w:r>
      <w:r>
        <w:rPr>
          <w:spacing w:val="-6"/>
        </w:rPr>
        <w:t xml:space="preserve"> </w:t>
      </w:r>
      <w:r>
        <w:t>ausencia</w:t>
      </w:r>
      <w:r>
        <w:rPr>
          <w:spacing w:val="-6"/>
        </w:rPr>
        <w:t xml:space="preserve"> </w:t>
      </w:r>
      <w:r>
        <w:t>de</w:t>
      </w:r>
      <w:r>
        <w:rPr>
          <w:spacing w:val="-6"/>
        </w:rPr>
        <w:t xml:space="preserve"> </w:t>
      </w:r>
      <w:r>
        <w:t>un</w:t>
      </w:r>
      <w:r>
        <w:rPr>
          <w:spacing w:val="-6"/>
        </w:rPr>
        <w:t xml:space="preserve"> </w:t>
      </w:r>
      <w:r>
        <w:t>consenso</w:t>
      </w:r>
      <w:r>
        <w:rPr>
          <w:spacing w:val="-6"/>
        </w:rPr>
        <w:t xml:space="preserve"> </w:t>
      </w:r>
      <w:r>
        <w:t>global</w:t>
      </w:r>
      <w:r>
        <w:rPr>
          <w:spacing w:val="-6"/>
        </w:rPr>
        <w:t xml:space="preserve"> </w:t>
      </w:r>
      <w:r>
        <w:t>sobre</w:t>
      </w:r>
      <w:r>
        <w:rPr>
          <w:spacing w:val="-6"/>
        </w:rPr>
        <w:t xml:space="preserve"> </w:t>
      </w:r>
      <w:r>
        <w:t>muchas</w:t>
      </w:r>
      <w:r>
        <w:rPr>
          <w:spacing w:val="-6"/>
        </w:rPr>
        <w:t xml:space="preserve"> </w:t>
      </w:r>
      <w:r>
        <w:t>de estas cuestiones, en la presente guía no se intenta sacar conclusiones concretas.</w:t>
      </w:r>
    </w:p>
    <w:p w14:paraId="2F0ACB44" w14:textId="77777777" w:rsidR="0014798C" w:rsidRDefault="004E1F0B">
      <w:pPr>
        <w:pStyle w:val="Textoindependiente"/>
        <w:spacing w:line="326" w:lineRule="auto"/>
        <w:ind w:left="1111" w:right="1272" w:hanging="2"/>
      </w:pPr>
      <w:r>
        <w:t>Más</w:t>
      </w:r>
      <w:r>
        <w:rPr>
          <w:spacing w:val="-6"/>
        </w:rPr>
        <w:t xml:space="preserve"> </w:t>
      </w:r>
      <w:r>
        <w:t>bien,</w:t>
      </w:r>
      <w:r>
        <w:rPr>
          <w:spacing w:val="-6"/>
        </w:rPr>
        <w:t xml:space="preserve"> </w:t>
      </w:r>
      <w:r>
        <w:t>el</w:t>
      </w:r>
      <w:r>
        <w:rPr>
          <w:spacing w:val="-6"/>
        </w:rPr>
        <w:t xml:space="preserve"> </w:t>
      </w:r>
      <w:r>
        <w:t>objetivo</w:t>
      </w:r>
      <w:r>
        <w:rPr>
          <w:spacing w:val="-6"/>
        </w:rPr>
        <w:t xml:space="preserve"> </w:t>
      </w:r>
      <w:r>
        <w:t>de</w:t>
      </w:r>
      <w:r>
        <w:rPr>
          <w:spacing w:val="-6"/>
        </w:rPr>
        <w:t xml:space="preserve"> </w:t>
      </w:r>
      <w:r>
        <w:t>este</w:t>
      </w:r>
      <w:r>
        <w:rPr>
          <w:spacing w:val="-6"/>
        </w:rPr>
        <w:t xml:space="preserve"> </w:t>
      </w:r>
      <w:r>
        <w:t>capítulo</w:t>
      </w:r>
      <w:r>
        <w:rPr>
          <w:spacing w:val="-6"/>
        </w:rPr>
        <w:t xml:space="preserve"> </w:t>
      </w:r>
      <w:r>
        <w:t>es</w:t>
      </w:r>
      <w:r>
        <w:rPr>
          <w:spacing w:val="-6"/>
        </w:rPr>
        <w:t xml:space="preserve"> </w:t>
      </w:r>
      <w:r>
        <w:t>rastrear</w:t>
      </w:r>
      <w:r>
        <w:rPr>
          <w:spacing w:val="-6"/>
        </w:rPr>
        <w:t xml:space="preserve"> </w:t>
      </w:r>
      <w:r>
        <w:t>algunas</w:t>
      </w:r>
      <w:r>
        <w:rPr>
          <w:spacing w:val="-6"/>
        </w:rPr>
        <w:t xml:space="preserve"> </w:t>
      </w:r>
      <w:r>
        <w:t>de</w:t>
      </w:r>
      <w:r>
        <w:rPr>
          <w:spacing w:val="-6"/>
        </w:rPr>
        <w:t xml:space="preserve"> </w:t>
      </w:r>
      <w:r>
        <w:t>las</w:t>
      </w:r>
      <w:r>
        <w:rPr>
          <w:spacing w:val="-6"/>
        </w:rPr>
        <w:t xml:space="preserve"> </w:t>
      </w:r>
      <w:r>
        <w:t>cuestiones</w:t>
      </w:r>
      <w:r>
        <w:rPr>
          <w:spacing w:val="-6"/>
        </w:rPr>
        <w:t xml:space="preserve"> </w:t>
      </w:r>
      <w:r>
        <w:t>jurídicas</w:t>
      </w:r>
      <w:r>
        <w:rPr>
          <w:spacing w:val="-6"/>
        </w:rPr>
        <w:t xml:space="preserve"> </w:t>
      </w:r>
      <w:r>
        <w:t>que</w:t>
      </w:r>
      <w:r>
        <w:rPr>
          <w:spacing w:val="-6"/>
        </w:rPr>
        <w:t xml:space="preserve"> </w:t>
      </w:r>
      <w:r>
        <w:t>surgen</w:t>
      </w:r>
      <w:r>
        <w:rPr>
          <w:spacing w:val="-6"/>
        </w:rPr>
        <w:t xml:space="preserve"> </w:t>
      </w:r>
      <w:r>
        <w:t>en</w:t>
      </w:r>
      <w:r>
        <w:rPr>
          <w:spacing w:val="-6"/>
        </w:rPr>
        <w:t xml:space="preserve"> </w:t>
      </w:r>
      <w:r>
        <w:t>áreas</w:t>
      </w:r>
      <w:r>
        <w:rPr>
          <w:spacing w:val="-6"/>
        </w:rPr>
        <w:t xml:space="preserve"> </w:t>
      </w:r>
      <w:r>
        <w:t>en</w:t>
      </w:r>
      <w:r>
        <w:rPr>
          <w:spacing w:val="-6"/>
        </w:rPr>
        <w:t xml:space="preserve"> </w:t>
      </w:r>
      <w:r>
        <w:t>las</w:t>
      </w:r>
      <w:r>
        <w:rPr>
          <w:spacing w:val="-6"/>
        </w:rPr>
        <w:t xml:space="preserve"> </w:t>
      </w:r>
      <w:r>
        <w:t>que</w:t>
      </w:r>
      <w:r>
        <w:rPr>
          <w:spacing w:val="-6"/>
        </w:rPr>
        <w:t xml:space="preserve"> </w:t>
      </w:r>
      <w:r>
        <w:t>el</w:t>
      </w:r>
      <w:r>
        <w:rPr>
          <w:spacing w:val="-6"/>
        </w:rPr>
        <w:t xml:space="preserve"> </w:t>
      </w:r>
      <w:r>
        <w:t>discurso</w:t>
      </w:r>
      <w:r>
        <w:rPr>
          <w:spacing w:val="-6"/>
        </w:rPr>
        <w:t xml:space="preserve"> </w:t>
      </w:r>
      <w:r>
        <w:t>y otras formas de expresión interactúan con las leyes contra la discriminación.</w:t>
      </w:r>
    </w:p>
    <w:p w14:paraId="4C24AB1F" w14:textId="77777777" w:rsidR="0014798C" w:rsidRDefault="004E1F0B">
      <w:pPr>
        <w:pStyle w:val="Textoindependiente"/>
        <w:spacing w:before="168"/>
        <w:ind w:left="1106"/>
      </w:pPr>
      <w:r>
        <w:t>La</w:t>
      </w:r>
      <w:r>
        <w:rPr>
          <w:spacing w:val="-9"/>
        </w:rPr>
        <w:t xml:space="preserve"> </w:t>
      </w:r>
      <w:r>
        <w:t>presente</w:t>
      </w:r>
      <w:r>
        <w:rPr>
          <w:spacing w:val="-8"/>
        </w:rPr>
        <w:t xml:space="preserve"> </w:t>
      </w:r>
      <w:r>
        <w:t>sección</w:t>
      </w:r>
      <w:r>
        <w:rPr>
          <w:spacing w:val="-9"/>
        </w:rPr>
        <w:t xml:space="preserve"> </w:t>
      </w:r>
      <w:r>
        <w:t>examina</w:t>
      </w:r>
      <w:r>
        <w:rPr>
          <w:spacing w:val="-8"/>
        </w:rPr>
        <w:t xml:space="preserve"> </w:t>
      </w:r>
      <w:r>
        <w:t>aspectos</w:t>
      </w:r>
      <w:r>
        <w:rPr>
          <w:spacing w:val="-9"/>
        </w:rPr>
        <w:t xml:space="preserve"> </w:t>
      </w:r>
      <w:r>
        <w:t>de</w:t>
      </w:r>
      <w:r>
        <w:rPr>
          <w:spacing w:val="-8"/>
        </w:rPr>
        <w:t xml:space="preserve"> </w:t>
      </w:r>
      <w:r>
        <w:t>estas</w:t>
      </w:r>
      <w:r>
        <w:rPr>
          <w:spacing w:val="-9"/>
        </w:rPr>
        <w:t xml:space="preserve"> </w:t>
      </w:r>
      <w:r>
        <w:rPr>
          <w:spacing w:val="-2"/>
        </w:rPr>
        <w:t>cuestiones.</w:t>
      </w:r>
    </w:p>
    <w:p w14:paraId="35C59FAD" w14:textId="77777777" w:rsidR="0014798C" w:rsidRDefault="0014798C">
      <w:pPr>
        <w:pStyle w:val="Textoindependiente"/>
        <w:rPr>
          <w:sz w:val="17"/>
        </w:rPr>
      </w:pPr>
    </w:p>
    <w:p w14:paraId="798B7A66" w14:textId="77777777" w:rsidR="0014798C" w:rsidRDefault="0014798C">
      <w:pPr>
        <w:pStyle w:val="Textoindependiente"/>
        <w:rPr>
          <w:sz w:val="17"/>
        </w:rPr>
      </w:pPr>
    </w:p>
    <w:p w14:paraId="76E390FD" w14:textId="77777777" w:rsidR="0014798C" w:rsidRDefault="0014798C">
      <w:pPr>
        <w:pStyle w:val="Textoindependiente"/>
        <w:rPr>
          <w:sz w:val="17"/>
        </w:rPr>
      </w:pPr>
    </w:p>
    <w:p w14:paraId="133E3685" w14:textId="77777777" w:rsidR="0014798C" w:rsidRDefault="0014798C">
      <w:pPr>
        <w:pStyle w:val="Textoindependiente"/>
        <w:rPr>
          <w:sz w:val="17"/>
        </w:rPr>
      </w:pPr>
    </w:p>
    <w:p w14:paraId="54BE427D" w14:textId="77777777" w:rsidR="0014798C" w:rsidRDefault="0014798C">
      <w:pPr>
        <w:pStyle w:val="Textoindependiente"/>
        <w:rPr>
          <w:sz w:val="17"/>
        </w:rPr>
      </w:pPr>
    </w:p>
    <w:p w14:paraId="22099BC4" w14:textId="77777777" w:rsidR="0014798C" w:rsidRDefault="0014798C">
      <w:pPr>
        <w:pStyle w:val="Textoindependiente"/>
        <w:rPr>
          <w:sz w:val="17"/>
        </w:rPr>
      </w:pPr>
    </w:p>
    <w:p w14:paraId="65A96653" w14:textId="77777777" w:rsidR="0014798C" w:rsidRDefault="0014798C">
      <w:pPr>
        <w:pStyle w:val="Textoindependiente"/>
        <w:rPr>
          <w:sz w:val="17"/>
        </w:rPr>
      </w:pPr>
    </w:p>
    <w:p w14:paraId="2EC759DE" w14:textId="77777777" w:rsidR="0014798C" w:rsidRDefault="0014798C">
      <w:pPr>
        <w:pStyle w:val="Textoindependiente"/>
        <w:rPr>
          <w:sz w:val="17"/>
        </w:rPr>
      </w:pPr>
    </w:p>
    <w:p w14:paraId="30CF59B7" w14:textId="77777777" w:rsidR="0014798C" w:rsidRDefault="0014798C">
      <w:pPr>
        <w:pStyle w:val="Textoindependiente"/>
        <w:rPr>
          <w:sz w:val="17"/>
        </w:rPr>
      </w:pPr>
    </w:p>
    <w:p w14:paraId="1DB18093" w14:textId="77777777" w:rsidR="0014798C" w:rsidRDefault="0014798C">
      <w:pPr>
        <w:pStyle w:val="Textoindependiente"/>
        <w:rPr>
          <w:sz w:val="17"/>
        </w:rPr>
      </w:pPr>
    </w:p>
    <w:p w14:paraId="3D9E38A1" w14:textId="77777777" w:rsidR="0014798C" w:rsidRDefault="0014798C">
      <w:pPr>
        <w:pStyle w:val="Textoindependiente"/>
        <w:rPr>
          <w:sz w:val="17"/>
        </w:rPr>
      </w:pPr>
    </w:p>
    <w:p w14:paraId="79EF5F49" w14:textId="77777777" w:rsidR="0014798C" w:rsidRDefault="0014798C">
      <w:pPr>
        <w:pStyle w:val="Textoindependiente"/>
        <w:rPr>
          <w:sz w:val="17"/>
        </w:rPr>
      </w:pPr>
    </w:p>
    <w:p w14:paraId="6F277BD0" w14:textId="77777777" w:rsidR="0014798C" w:rsidRDefault="0014798C">
      <w:pPr>
        <w:pStyle w:val="Textoindependiente"/>
        <w:rPr>
          <w:sz w:val="17"/>
        </w:rPr>
      </w:pPr>
    </w:p>
    <w:p w14:paraId="58C5C3FC" w14:textId="77777777" w:rsidR="0014798C" w:rsidRDefault="0014798C">
      <w:pPr>
        <w:pStyle w:val="Textoindependiente"/>
        <w:spacing w:before="96"/>
        <w:rPr>
          <w:sz w:val="17"/>
        </w:rPr>
      </w:pPr>
    </w:p>
    <w:p w14:paraId="35FC8A44" w14:textId="77777777" w:rsidR="0014798C" w:rsidRDefault="004E1F0B">
      <w:pPr>
        <w:ind w:right="712"/>
        <w:jc w:val="right"/>
        <w:rPr>
          <w:sz w:val="17"/>
        </w:rPr>
      </w:pPr>
      <w:r>
        <w:rPr>
          <w:spacing w:val="-5"/>
          <w:sz w:val="17"/>
        </w:rPr>
        <w:t>173</w:t>
      </w:r>
    </w:p>
    <w:p w14:paraId="345125E0" w14:textId="77777777" w:rsidR="0014798C" w:rsidRDefault="0014798C">
      <w:pPr>
        <w:jc w:val="right"/>
        <w:rPr>
          <w:sz w:val="17"/>
        </w:rPr>
        <w:sectPr w:rsidR="0014798C" w:rsidSect="00F265E4">
          <w:headerReference w:type="default" r:id="rId322"/>
          <w:pgSz w:w="11900" w:h="16820"/>
          <w:pgMar w:top="340" w:right="0" w:bottom="280" w:left="200" w:header="121" w:footer="0" w:gutter="0"/>
          <w:cols w:space="720"/>
        </w:sectPr>
      </w:pPr>
    </w:p>
    <w:p w14:paraId="2826CDAE" w14:textId="77777777" w:rsidR="0014798C" w:rsidRDefault="0014798C">
      <w:pPr>
        <w:pStyle w:val="Textoindependiente"/>
        <w:spacing w:before="85"/>
        <w:rPr>
          <w:sz w:val="12"/>
        </w:rPr>
      </w:pPr>
    </w:p>
    <w:p w14:paraId="73AD54BD" w14:textId="77777777" w:rsidR="0014798C" w:rsidRDefault="004E1F0B">
      <w:pPr>
        <w:ind w:left="1111"/>
        <w:rPr>
          <w:sz w:val="12"/>
        </w:rPr>
      </w:pPr>
      <w:r>
        <w:rPr>
          <w:color w:val="0075BF"/>
          <w:sz w:val="12"/>
        </w:rPr>
        <w:t>PROTECCIÓN</w:t>
      </w:r>
      <w:r>
        <w:rPr>
          <w:color w:val="0075BF"/>
          <w:spacing w:val="6"/>
          <w:sz w:val="12"/>
        </w:rPr>
        <w:t xml:space="preserve"> </w:t>
      </w:r>
      <w:r>
        <w:rPr>
          <w:color w:val="0075BF"/>
          <w:sz w:val="12"/>
        </w:rPr>
        <w:t>DE</w:t>
      </w:r>
      <w:r>
        <w:rPr>
          <w:color w:val="0075BF"/>
          <w:spacing w:val="7"/>
          <w:sz w:val="12"/>
        </w:rPr>
        <w:t xml:space="preserve"> </w:t>
      </w:r>
      <w:r>
        <w:rPr>
          <w:color w:val="0075BF"/>
          <w:sz w:val="12"/>
        </w:rPr>
        <w:t>LOS</w:t>
      </w:r>
      <w:r>
        <w:rPr>
          <w:color w:val="0075BF"/>
          <w:spacing w:val="8"/>
          <w:sz w:val="12"/>
        </w:rPr>
        <w:t xml:space="preserve"> </w:t>
      </w:r>
      <w:r>
        <w:rPr>
          <w:color w:val="0075BF"/>
          <w:sz w:val="12"/>
        </w:rPr>
        <w:t>DERECHOS</w:t>
      </w:r>
      <w:r>
        <w:rPr>
          <w:color w:val="0075BF"/>
          <w:spacing w:val="8"/>
          <w:sz w:val="12"/>
        </w:rPr>
        <w:t xml:space="preserve"> </w:t>
      </w:r>
      <w:r>
        <w:rPr>
          <w:color w:val="0075BF"/>
          <w:sz w:val="12"/>
        </w:rPr>
        <w:t>DE</w:t>
      </w:r>
      <w:r>
        <w:rPr>
          <w:color w:val="0075BF"/>
          <w:spacing w:val="6"/>
          <w:sz w:val="12"/>
        </w:rPr>
        <w:t xml:space="preserve"> </w:t>
      </w:r>
      <w:r>
        <w:rPr>
          <w:color w:val="0075BF"/>
          <w:sz w:val="12"/>
        </w:rPr>
        <w:t>LAS</w:t>
      </w:r>
      <w:r>
        <w:rPr>
          <w:color w:val="0075BF"/>
          <w:spacing w:val="7"/>
          <w:sz w:val="12"/>
        </w:rPr>
        <w:t xml:space="preserve"> </w:t>
      </w:r>
      <w:r>
        <w:rPr>
          <w:color w:val="0075BF"/>
          <w:sz w:val="12"/>
        </w:rPr>
        <w:t>MINORÍAS:</w:t>
      </w:r>
      <w:r>
        <w:rPr>
          <w:color w:val="0075BF"/>
          <w:spacing w:val="8"/>
          <w:sz w:val="12"/>
        </w:rPr>
        <w:t xml:space="preserve"> </w:t>
      </w:r>
      <w:r>
        <w:rPr>
          <w:color w:val="0075BF"/>
          <w:sz w:val="12"/>
        </w:rPr>
        <w:t>una</w:t>
      </w:r>
      <w:r>
        <w:rPr>
          <w:color w:val="0075BF"/>
          <w:spacing w:val="7"/>
          <w:sz w:val="12"/>
        </w:rPr>
        <w:t xml:space="preserve"> </w:t>
      </w:r>
      <w:r>
        <w:rPr>
          <w:color w:val="0075BF"/>
          <w:sz w:val="12"/>
        </w:rPr>
        <w:t>guía</w:t>
      </w:r>
      <w:r>
        <w:rPr>
          <w:color w:val="0075BF"/>
          <w:spacing w:val="6"/>
          <w:sz w:val="12"/>
        </w:rPr>
        <w:t xml:space="preserve"> </w:t>
      </w:r>
      <w:r>
        <w:rPr>
          <w:color w:val="0075BF"/>
          <w:sz w:val="12"/>
        </w:rPr>
        <w:t>práctica</w:t>
      </w:r>
      <w:r>
        <w:rPr>
          <w:color w:val="0075BF"/>
          <w:spacing w:val="7"/>
          <w:sz w:val="12"/>
        </w:rPr>
        <w:t xml:space="preserve"> </w:t>
      </w:r>
      <w:r>
        <w:rPr>
          <w:color w:val="0075BF"/>
          <w:sz w:val="12"/>
        </w:rPr>
        <w:t>para</w:t>
      </w:r>
      <w:r>
        <w:rPr>
          <w:color w:val="0075BF"/>
          <w:spacing w:val="8"/>
          <w:sz w:val="12"/>
        </w:rPr>
        <w:t xml:space="preserve"> </w:t>
      </w:r>
      <w:r>
        <w:rPr>
          <w:color w:val="0075BF"/>
          <w:sz w:val="12"/>
        </w:rPr>
        <w:t>desarrollar</w:t>
      </w:r>
      <w:r>
        <w:rPr>
          <w:color w:val="0075BF"/>
          <w:spacing w:val="6"/>
          <w:sz w:val="12"/>
        </w:rPr>
        <w:t xml:space="preserve"> </w:t>
      </w:r>
      <w:r>
        <w:rPr>
          <w:color w:val="0075BF"/>
          <w:sz w:val="12"/>
        </w:rPr>
        <w:t>una</w:t>
      </w:r>
      <w:r>
        <w:rPr>
          <w:color w:val="0075BF"/>
          <w:spacing w:val="7"/>
          <w:sz w:val="12"/>
        </w:rPr>
        <w:t xml:space="preserve"> </w:t>
      </w:r>
      <w:r>
        <w:rPr>
          <w:color w:val="0075BF"/>
          <w:sz w:val="12"/>
        </w:rPr>
        <w:t>legislación</w:t>
      </w:r>
      <w:r>
        <w:rPr>
          <w:color w:val="0075BF"/>
          <w:spacing w:val="8"/>
          <w:sz w:val="12"/>
        </w:rPr>
        <w:t xml:space="preserve"> </w:t>
      </w:r>
      <w:r>
        <w:rPr>
          <w:color w:val="0075BF"/>
          <w:sz w:val="12"/>
        </w:rPr>
        <w:t>integral</w:t>
      </w:r>
      <w:r>
        <w:rPr>
          <w:color w:val="0075BF"/>
          <w:spacing w:val="7"/>
          <w:sz w:val="12"/>
        </w:rPr>
        <w:t xml:space="preserve"> </w:t>
      </w:r>
      <w:r>
        <w:rPr>
          <w:color w:val="0075BF"/>
          <w:sz w:val="12"/>
        </w:rPr>
        <w:t>contra</w:t>
      </w:r>
      <w:r>
        <w:rPr>
          <w:color w:val="0075BF"/>
          <w:spacing w:val="6"/>
          <w:sz w:val="12"/>
        </w:rPr>
        <w:t xml:space="preserve"> </w:t>
      </w:r>
      <w:r>
        <w:rPr>
          <w:color w:val="0075BF"/>
          <w:sz w:val="12"/>
        </w:rPr>
        <w:t>la</w:t>
      </w:r>
      <w:r>
        <w:rPr>
          <w:color w:val="0075BF"/>
          <w:spacing w:val="7"/>
          <w:sz w:val="12"/>
        </w:rPr>
        <w:t xml:space="preserve"> </w:t>
      </w:r>
      <w:r>
        <w:rPr>
          <w:color w:val="0075BF"/>
          <w:spacing w:val="-2"/>
          <w:sz w:val="12"/>
        </w:rPr>
        <w:t>discriminación</w:t>
      </w:r>
    </w:p>
    <w:p w14:paraId="5B98D044" w14:textId="77777777" w:rsidR="0014798C" w:rsidRDefault="0014798C">
      <w:pPr>
        <w:pStyle w:val="Textoindependiente"/>
        <w:rPr>
          <w:sz w:val="26"/>
        </w:rPr>
      </w:pPr>
    </w:p>
    <w:p w14:paraId="107AB96A" w14:textId="77777777" w:rsidR="0014798C" w:rsidRDefault="0014798C">
      <w:pPr>
        <w:pStyle w:val="Textoindependiente"/>
        <w:rPr>
          <w:sz w:val="26"/>
        </w:rPr>
      </w:pPr>
    </w:p>
    <w:p w14:paraId="4F27E2E3" w14:textId="77777777" w:rsidR="0014798C" w:rsidRDefault="0014798C">
      <w:pPr>
        <w:pStyle w:val="Textoindependiente"/>
        <w:spacing w:before="95"/>
        <w:rPr>
          <w:sz w:val="26"/>
        </w:rPr>
      </w:pPr>
      <w:bookmarkStart w:id="32" w:name="aspectos"/>
    </w:p>
    <w:p w14:paraId="4837EDF7" w14:textId="77777777" w:rsidR="0014798C" w:rsidRDefault="004E1F0B" w:rsidP="00AB6303">
      <w:pPr>
        <w:numPr>
          <w:ilvl w:val="0"/>
          <w:numId w:val="9"/>
        </w:numPr>
        <w:tabs>
          <w:tab w:val="left" w:pos="1343"/>
          <w:tab w:val="left" w:pos="1583"/>
        </w:tabs>
        <w:spacing w:before="1" w:line="321" w:lineRule="auto"/>
        <w:ind w:right="927" w:hanging="460"/>
        <w:jc w:val="both"/>
        <w:rPr>
          <w:color w:val="0075BF"/>
          <w:sz w:val="26"/>
        </w:rPr>
      </w:pPr>
      <w:r>
        <w:rPr>
          <w:color w:val="0075BF"/>
          <w:sz w:val="26"/>
        </w:rPr>
        <w:t>ASPECTOS DEL DISCURSO Y LA EXPRESIÓN QUE IMPLICAN DIRECTAMENTE EL DERECHO ANTIDISCRIMINACIÓN</w:t>
      </w:r>
    </w:p>
    <w:bookmarkEnd w:id="32"/>
    <w:p w14:paraId="24B0EBDB" w14:textId="77777777" w:rsidR="0014798C" w:rsidRDefault="004E1F0B">
      <w:pPr>
        <w:pStyle w:val="Textoindependiente"/>
        <w:spacing w:before="169" w:line="326" w:lineRule="auto"/>
        <w:ind w:left="1111" w:right="1463"/>
      </w:pPr>
      <w:r>
        <w:t>El discurso y otras formas de expresión interactúan amplia y complejamente con el derecho a la no discriminación. Como se analiza en la sección IA2(c) de la segunda parte de la presente guía sobre formas de discriminación, en algunos casos, el discurso o la expresión pueden constituir un elemento clave de una conducta prohibida: el acoso en el terreno.1130</w:t>
      </w:r>
    </w:p>
    <w:p w14:paraId="32550335" w14:textId="77777777" w:rsidR="0014798C" w:rsidRDefault="004E1F0B">
      <w:pPr>
        <w:pStyle w:val="Textoindependiente"/>
        <w:spacing w:line="326" w:lineRule="auto"/>
        <w:ind w:left="1107" w:right="1335"/>
      </w:pPr>
      <w:r>
        <w:t>Muchos</w:t>
      </w:r>
      <w:r>
        <w:rPr>
          <w:spacing w:val="15"/>
        </w:rPr>
        <w:t xml:space="preserve"> </w:t>
      </w:r>
      <w:r>
        <w:t>casos</w:t>
      </w:r>
      <w:r>
        <w:rPr>
          <w:spacing w:val="15"/>
        </w:rPr>
        <w:t xml:space="preserve"> </w:t>
      </w:r>
      <w:r>
        <w:t>de</w:t>
      </w:r>
      <w:r>
        <w:rPr>
          <w:spacing w:val="15"/>
        </w:rPr>
        <w:t xml:space="preserve"> </w:t>
      </w:r>
      <w:r>
        <w:t>acoso</w:t>
      </w:r>
      <w:r>
        <w:rPr>
          <w:spacing w:val="15"/>
        </w:rPr>
        <w:t xml:space="preserve"> </w:t>
      </w:r>
      <w:r>
        <w:t>terrestre se</w:t>
      </w:r>
      <w:r>
        <w:rPr>
          <w:spacing w:val="15"/>
        </w:rPr>
        <w:t xml:space="preserve"> </w:t>
      </w:r>
      <w:r>
        <w:t>centran</w:t>
      </w:r>
      <w:r>
        <w:rPr>
          <w:spacing w:val="15"/>
        </w:rPr>
        <w:t xml:space="preserve"> </w:t>
      </w:r>
      <w:r>
        <w:t>en</w:t>
      </w:r>
      <w:r>
        <w:rPr>
          <w:spacing w:val="15"/>
        </w:rPr>
        <w:t xml:space="preserve"> </w:t>
      </w:r>
      <w:r>
        <w:t>el</w:t>
      </w:r>
      <w:r>
        <w:rPr>
          <w:spacing w:val="15"/>
        </w:rPr>
        <w:t xml:space="preserve"> </w:t>
      </w:r>
      <w:r>
        <w:t>discurso</w:t>
      </w:r>
      <w:r>
        <w:rPr>
          <w:spacing w:val="15"/>
        </w:rPr>
        <w:t xml:space="preserve"> </w:t>
      </w:r>
      <w:r>
        <w:t>u</w:t>
      </w:r>
      <w:r>
        <w:rPr>
          <w:spacing w:val="15"/>
        </w:rPr>
        <w:t xml:space="preserve"> </w:t>
      </w:r>
      <w:r>
        <w:t>otras formas de</w:t>
      </w:r>
      <w:r>
        <w:rPr>
          <w:spacing w:val="15"/>
        </w:rPr>
        <w:t xml:space="preserve"> </w:t>
      </w:r>
      <w:r>
        <w:t>expresión</w:t>
      </w:r>
      <w:r>
        <w:rPr>
          <w:spacing w:val="15"/>
        </w:rPr>
        <w:t xml:space="preserve"> </w:t>
      </w:r>
      <w:r>
        <w:t>que</w:t>
      </w:r>
      <w:r>
        <w:rPr>
          <w:spacing w:val="15"/>
        </w:rPr>
        <w:t xml:space="preserve"> </w:t>
      </w:r>
      <w:r>
        <w:t>tienen el</w:t>
      </w:r>
      <w:r>
        <w:rPr>
          <w:spacing w:val="15"/>
        </w:rPr>
        <w:t xml:space="preserve"> </w:t>
      </w:r>
      <w:r>
        <w:t>efecto de</w:t>
      </w:r>
      <w:r>
        <w:rPr>
          <w:spacing w:val="15"/>
        </w:rPr>
        <w:t xml:space="preserve"> </w:t>
      </w:r>
      <w:r>
        <w:t>crear</w:t>
      </w:r>
      <w:r>
        <w:rPr>
          <w:spacing w:val="15"/>
        </w:rPr>
        <w:t xml:space="preserve"> </w:t>
      </w:r>
      <w:r>
        <w:t>un ambiente</w:t>
      </w:r>
      <w:r>
        <w:rPr>
          <w:spacing w:val="20"/>
        </w:rPr>
        <w:t xml:space="preserve"> </w:t>
      </w:r>
      <w:r>
        <w:t>hostil,</w:t>
      </w:r>
      <w:r>
        <w:rPr>
          <w:spacing w:val="20"/>
        </w:rPr>
        <w:t xml:space="preserve"> </w:t>
      </w:r>
      <w:r>
        <w:t>degradante</w:t>
      </w:r>
      <w:r>
        <w:rPr>
          <w:spacing w:val="20"/>
        </w:rPr>
        <w:t xml:space="preserve"> </w:t>
      </w:r>
      <w:r>
        <w:t>o</w:t>
      </w:r>
      <w:r>
        <w:rPr>
          <w:spacing w:val="20"/>
        </w:rPr>
        <w:t xml:space="preserve"> </w:t>
      </w:r>
      <w:r>
        <w:t>intimidante</w:t>
      </w:r>
      <w:r>
        <w:rPr>
          <w:spacing w:val="18"/>
        </w:rPr>
        <w:t xml:space="preserve"> </w:t>
      </w:r>
      <w:r>
        <w:t>para</w:t>
      </w:r>
      <w:r>
        <w:rPr>
          <w:spacing w:val="20"/>
        </w:rPr>
        <w:t xml:space="preserve"> </w:t>
      </w:r>
      <w:r>
        <w:t>personas</w:t>
      </w:r>
      <w:r>
        <w:rPr>
          <w:spacing w:val="20"/>
        </w:rPr>
        <w:t xml:space="preserve"> </w:t>
      </w:r>
      <w:r>
        <w:t>con</w:t>
      </w:r>
      <w:r>
        <w:rPr>
          <w:spacing w:val="20"/>
        </w:rPr>
        <w:t xml:space="preserve"> </w:t>
      </w:r>
      <w:r>
        <w:t>una</w:t>
      </w:r>
      <w:r>
        <w:rPr>
          <w:spacing w:val="20"/>
        </w:rPr>
        <w:t xml:space="preserve"> </w:t>
      </w:r>
      <w:r>
        <w:t>característica,</w:t>
      </w:r>
      <w:r>
        <w:rPr>
          <w:spacing w:val="21"/>
        </w:rPr>
        <w:t xml:space="preserve"> </w:t>
      </w:r>
      <w:r>
        <w:t>estatus</w:t>
      </w:r>
      <w:r>
        <w:rPr>
          <w:spacing w:val="18"/>
        </w:rPr>
        <w:t xml:space="preserve"> </w:t>
      </w:r>
      <w:r>
        <w:t>o</w:t>
      </w:r>
      <w:r>
        <w:rPr>
          <w:spacing w:val="20"/>
        </w:rPr>
        <w:t xml:space="preserve"> </w:t>
      </w:r>
      <w:r>
        <w:t>identidad</w:t>
      </w:r>
      <w:r>
        <w:rPr>
          <w:spacing w:val="18"/>
        </w:rPr>
        <w:t xml:space="preserve"> </w:t>
      </w:r>
      <w:r>
        <w:t>particular.</w:t>
      </w:r>
      <w:r>
        <w:rPr>
          <w:spacing w:val="21"/>
        </w:rPr>
        <w:t xml:space="preserve"> </w:t>
      </w:r>
      <w:r>
        <w:t>Como</w:t>
      </w:r>
      <w:r>
        <w:rPr>
          <w:spacing w:val="20"/>
        </w:rPr>
        <w:t xml:space="preserve"> </w:t>
      </w:r>
      <w:r>
        <w:t>ha señalado</w:t>
      </w:r>
      <w:r>
        <w:rPr>
          <w:spacing w:val="16"/>
        </w:rPr>
        <w:t xml:space="preserve"> </w:t>
      </w:r>
      <w:r>
        <w:t>el</w:t>
      </w:r>
      <w:r>
        <w:rPr>
          <w:spacing w:val="16"/>
        </w:rPr>
        <w:t xml:space="preserve"> </w:t>
      </w:r>
      <w:r>
        <w:t>Comité</w:t>
      </w:r>
      <w:r>
        <w:rPr>
          <w:spacing w:val="16"/>
        </w:rPr>
        <w:t xml:space="preserve"> </w:t>
      </w:r>
      <w:r>
        <w:t>sobre</w:t>
      </w:r>
      <w:r>
        <w:rPr>
          <w:spacing w:val="16"/>
        </w:rPr>
        <w:t xml:space="preserve"> </w:t>
      </w:r>
      <w:r>
        <w:t>los</w:t>
      </w:r>
      <w:r>
        <w:rPr>
          <w:spacing w:val="16"/>
        </w:rPr>
        <w:t xml:space="preserve"> </w:t>
      </w:r>
      <w:r>
        <w:t>Derechos</w:t>
      </w:r>
      <w:r>
        <w:rPr>
          <w:spacing w:val="16"/>
        </w:rPr>
        <w:t xml:space="preserve"> </w:t>
      </w:r>
      <w:r>
        <w:t>de</w:t>
      </w:r>
      <w:r>
        <w:rPr>
          <w:spacing w:val="16"/>
        </w:rPr>
        <w:t xml:space="preserve"> </w:t>
      </w:r>
      <w:r>
        <w:t>las</w:t>
      </w:r>
      <w:r>
        <w:rPr>
          <w:spacing w:val="16"/>
        </w:rPr>
        <w:t xml:space="preserve"> </w:t>
      </w:r>
      <w:r>
        <w:t>Personas</w:t>
      </w:r>
      <w:r>
        <w:rPr>
          <w:spacing w:val="15"/>
        </w:rPr>
        <w:t xml:space="preserve"> </w:t>
      </w:r>
      <w:r>
        <w:t>con</w:t>
      </w:r>
      <w:r>
        <w:rPr>
          <w:spacing w:val="16"/>
        </w:rPr>
        <w:t xml:space="preserve"> </w:t>
      </w:r>
      <w:r>
        <w:t>Discapacidad,</w:t>
      </w:r>
      <w:r>
        <w:rPr>
          <w:spacing w:val="18"/>
        </w:rPr>
        <w:t xml:space="preserve"> </w:t>
      </w:r>
      <w:r>
        <w:t>el</w:t>
      </w:r>
      <w:r>
        <w:rPr>
          <w:spacing w:val="16"/>
        </w:rPr>
        <w:t xml:space="preserve"> </w:t>
      </w:r>
      <w:r>
        <w:t>acoso</w:t>
      </w:r>
      <w:r>
        <w:rPr>
          <w:spacing w:val="16"/>
        </w:rPr>
        <w:t xml:space="preserve"> </w:t>
      </w:r>
      <w:r>
        <w:t>es:</w:t>
      </w:r>
      <w:r>
        <w:rPr>
          <w:spacing w:val="16"/>
        </w:rPr>
        <w:t xml:space="preserve"> </w:t>
      </w:r>
      <w:r>
        <w:t>“una</w:t>
      </w:r>
      <w:r>
        <w:rPr>
          <w:spacing w:val="16"/>
        </w:rPr>
        <w:t xml:space="preserve"> </w:t>
      </w:r>
      <w:r>
        <w:t>forma</w:t>
      </w:r>
      <w:r>
        <w:rPr>
          <w:spacing w:val="16"/>
        </w:rPr>
        <w:t xml:space="preserve"> </w:t>
      </w:r>
      <w:r>
        <w:t>de</w:t>
      </w:r>
      <w:r>
        <w:rPr>
          <w:spacing w:val="16"/>
        </w:rPr>
        <w:t xml:space="preserve"> </w:t>
      </w:r>
      <w:r>
        <w:t>discriminación</w:t>
      </w:r>
      <w:r>
        <w:rPr>
          <w:spacing w:val="16"/>
        </w:rPr>
        <w:t xml:space="preserve"> </w:t>
      </w:r>
      <w:r>
        <w:t>cuando se</w:t>
      </w:r>
      <w:r>
        <w:rPr>
          <w:spacing w:val="11"/>
        </w:rPr>
        <w:t xml:space="preserve"> </w:t>
      </w:r>
      <w:r>
        <w:t>lleva</w:t>
      </w:r>
      <w:r>
        <w:rPr>
          <w:spacing w:val="11"/>
        </w:rPr>
        <w:t xml:space="preserve"> </w:t>
      </w:r>
      <w:r>
        <w:t>a</w:t>
      </w:r>
      <w:r>
        <w:rPr>
          <w:spacing w:val="11"/>
        </w:rPr>
        <w:t xml:space="preserve"> </w:t>
      </w:r>
      <w:r>
        <w:t>cabo</w:t>
      </w:r>
      <w:r>
        <w:rPr>
          <w:spacing w:val="11"/>
        </w:rPr>
        <w:t xml:space="preserve"> </w:t>
      </w:r>
      <w:r>
        <w:t>una</w:t>
      </w:r>
      <w:r>
        <w:rPr>
          <w:spacing w:val="11"/>
        </w:rPr>
        <w:t xml:space="preserve"> </w:t>
      </w:r>
      <w:r>
        <w:t>conducta</w:t>
      </w:r>
      <w:r>
        <w:rPr>
          <w:spacing w:val="11"/>
        </w:rPr>
        <w:t xml:space="preserve"> </w:t>
      </w:r>
      <w:r>
        <w:t>no</w:t>
      </w:r>
      <w:r>
        <w:rPr>
          <w:spacing w:val="11"/>
        </w:rPr>
        <w:t xml:space="preserve"> </w:t>
      </w:r>
      <w:r>
        <w:t>deseada</w:t>
      </w:r>
      <w:r>
        <w:rPr>
          <w:spacing w:val="11"/>
        </w:rPr>
        <w:t xml:space="preserve"> </w:t>
      </w:r>
      <w:r>
        <w:t>relacionada</w:t>
      </w:r>
      <w:r>
        <w:rPr>
          <w:spacing w:val="11"/>
        </w:rPr>
        <w:t xml:space="preserve"> </w:t>
      </w:r>
      <w:r>
        <w:t>con</w:t>
      </w:r>
      <w:r>
        <w:rPr>
          <w:spacing w:val="11"/>
        </w:rPr>
        <w:t xml:space="preserve"> </w:t>
      </w:r>
      <w:r>
        <w:t>la</w:t>
      </w:r>
      <w:r>
        <w:rPr>
          <w:spacing w:val="11"/>
        </w:rPr>
        <w:t xml:space="preserve"> </w:t>
      </w:r>
      <w:r>
        <w:t>discapacidad</w:t>
      </w:r>
      <w:r>
        <w:rPr>
          <w:spacing w:val="11"/>
        </w:rPr>
        <w:t xml:space="preserve"> </w:t>
      </w:r>
      <w:r>
        <w:t>u</w:t>
      </w:r>
      <w:r>
        <w:rPr>
          <w:spacing w:val="11"/>
        </w:rPr>
        <w:t xml:space="preserve"> </w:t>
      </w:r>
      <w:r>
        <w:t>otros motivos prohibidos con</w:t>
      </w:r>
      <w:r>
        <w:rPr>
          <w:spacing w:val="11"/>
        </w:rPr>
        <w:t xml:space="preserve"> </w:t>
      </w:r>
      <w:r>
        <w:t>el</w:t>
      </w:r>
      <w:r>
        <w:rPr>
          <w:spacing w:val="11"/>
        </w:rPr>
        <w:t xml:space="preserve"> </w:t>
      </w:r>
      <w:r>
        <w:t>propósito</w:t>
      </w:r>
      <w:r>
        <w:rPr>
          <w:spacing w:val="11"/>
        </w:rPr>
        <w:t xml:space="preserve"> </w:t>
      </w:r>
      <w:r>
        <w:t>o</w:t>
      </w:r>
      <w:r>
        <w:rPr>
          <w:spacing w:val="11"/>
        </w:rPr>
        <w:t xml:space="preserve"> </w:t>
      </w:r>
      <w:r>
        <w:t>efecto de violar la dignidad de una persona y crear un ambiente intimidante”. ambiente hostil, degradante, humillante u ofensivo.</w:t>
      </w:r>
    </w:p>
    <w:p w14:paraId="0268C925" w14:textId="77777777" w:rsidR="0014798C" w:rsidRDefault="004E1F0B">
      <w:pPr>
        <w:pStyle w:val="Textoindependiente"/>
        <w:spacing w:line="326" w:lineRule="auto"/>
        <w:ind w:left="1107" w:right="1463" w:firstLine="4"/>
      </w:pPr>
      <w:r>
        <w:t>Puede ocurrir a través de acciones o palabras que tienen el efecto de perpetuar la diferencia y la opresión de las personas con</w:t>
      </w:r>
      <w:r>
        <w:rPr>
          <w:spacing w:val="40"/>
        </w:rPr>
        <w:t xml:space="preserve"> </w:t>
      </w:r>
      <w:r>
        <w:t>discapacidad”.1131 El Comité ha expresado recientemente la opinión de que se debe entender que el acoso incluye el</w:t>
      </w:r>
      <w:r>
        <w:rPr>
          <w:spacing w:val="80"/>
        </w:rPr>
        <w:t xml:space="preserve"> </w:t>
      </w:r>
      <w:r>
        <w:t>ciberacoso y el ciberodio.1132 En lo que respecta a la discriminación basada en el terreno</w:t>
      </w:r>
      <w:proofErr w:type="gramStart"/>
      <w:r>
        <w:t>. ,</w:t>
      </w:r>
      <w:proofErr w:type="gramEnd"/>
      <w:r>
        <w:t xml:space="preserve"> cualquier respuesta legal debería entenderse dentro del alcance material de la ley de discriminación establecido en la sección IA3 de la segunda parte.</w:t>
      </w:r>
    </w:p>
    <w:p w14:paraId="08F94F76" w14:textId="77777777" w:rsidR="0014798C" w:rsidRDefault="0014798C">
      <w:pPr>
        <w:pStyle w:val="Textoindependiente"/>
      </w:pPr>
    </w:p>
    <w:p w14:paraId="5F6A0C21" w14:textId="77777777" w:rsidR="0014798C" w:rsidRDefault="0014798C">
      <w:pPr>
        <w:pStyle w:val="Textoindependiente"/>
        <w:spacing w:before="45"/>
      </w:pPr>
    </w:p>
    <w:p w14:paraId="0260298C" w14:textId="77777777" w:rsidR="0014798C" w:rsidRDefault="004E1F0B">
      <w:pPr>
        <w:pStyle w:val="Textoindependiente"/>
        <w:spacing w:line="326" w:lineRule="auto"/>
        <w:ind w:left="1108" w:right="1463" w:firstLine="6"/>
      </w:pPr>
      <w:r>
        <w:t>El</w:t>
      </w:r>
      <w:r>
        <w:rPr>
          <w:spacing w:val="13"/>
        </w:rPr>
        <w:t xml:space="preserve"> </w:t>
      </w:r>
      <w:r>
        <w:t>acoso</w:t>
      </w:r>
      <w:r>
        <w:rPr>
          <w:spacing w:val="14"/>
        </w:rPr>
        <w:t xml:space="preserve"> </w:t>
      </w:r>
      <w:r>
        <w:t>terrestre</w:t>
      </w:r>
      <w:r>
        <w:rPr>
          <w:spacing w:val="13"/>
        </w:rPr>
        <w:t xml:space="preserve"> </w:t>
      </w:r>
      <w:r>
        <w:t>es</w:t>
      </w:r>
      <w:r>
        <w:rPr>
          <w:spacing w:val="14"/>
        </w:rPr>
        <w:t xml:space="preserve"> </w:t>
      </w:r>
      <w:r>
        <w:t>sólo</w:t>
      </w:r>
      <w:r>
        <w:rPr>
          <w:spacing w:val="14"/>
        </w:rPr>
        <w:t xml:space="preserve"> </w:t>
      </w:r>
      <w:r>
        <w:t>un</w:t>
      </w:r>
      <w:r>
        <w:rPr>
          <w:spacing w:val="14"/>
        </w:rPr>
        <w:t xml:space="preserve"> </w:t>
      </w:r>
      <w:r>
        <w:t>aspecto</w:t>
      </w:r>
      <w:r>
        <w:rPr>
          <w:spacing w:val="14"/>
        </w:rPr>
        <w:t xml:space="preserve"> </w:t>
      </w:r>
      <w:r>
        <w:t>de</w:t>
      </w:r>
      <w:r>
        <w:rPr>
          <w:spacing w:val="14"/>
        </w:rPr>
        <w:t xml:space="preserve"> </w:t>
      </w:r>
      <w:r>
        <w:t>la</w:t>
      </w:r>
      <w:r>
        <w:rPr>
          <w:spacing w:val="14"/>
        </w:rPr>
        <w:t xml:space="preserve"> </w:t>
      </w:r>
      <w:r>
        <w:t>compleja</w:t>
      </w:r>
      <w:r>
        <w:rPr>
          <w:spacing w:val="14"/>
        </w:rPr>
        <w:t xml:space="preserve"> </w:t>
      </w:r>
      <w:r>
        <w:t>relación</w:t>
      </w:r>
      <w:r>
        <w:rPr>
          <w:spacing w:val="14"/>
        </w:rPr>
        <w:t xml:space="preserve"> </w:t>
      </w:r>
      <w:r>
        <w:t>entre</w:t>
      </w:r>
      <w:r>
        <w:rPr>
          <w:spacing w:val="14"/>
        </w:rPr>
        <w:t xml:space="preserve"> </w:t>
      </w:r>
      <w:r>
        <w:t>la</w:t>
      </w:r>
      <w:r>
        <w:rPr>
          <w:spacing w:val="14"/>
        </w:rPr>
        <w:t xml:space="preserve"> </w:t>
      </w:r>
      <w:r>
        <w:t>expresión</w:t>
      </w:r>
      <w:r>
        <w:rPr>
          <w:spacing w:val="14"/>
        </w:rPr>
        <w:t xml:space="preserve"> </w:t>
      </w:r>
      <w:r>
        <w:t>y</w:t>
      </w:r>
      <w:r>
        <w:rPr>
          <w:spacing w:val="14"/>
        </w:rPr>
        <w:t xml:space="preserve"> </w:t>
      </w:r>
      <w:r>
        <w:t>la</w:t>
      </w:r>
      <w:r>
        <w:rPr>
          <w:spacing w:val="14"/>
        </w:rPr>
        <w:t xml:space="preserve"> </w:t>
      </w:r>
      <w:r>
        <w:t>prohibición</w:t>
      </w:r>
      <w:r>
        <w:rPr>
          <w:spacing w:val="14"/>
        </w:rPr>
        <w:t xml:space="preserve"> </w:t>
      </w:r>
      <w:r>
        <w:t>de</w:t>
      </w:r>
      <w:r>
        <w:rPr>
          <w:spacing w:val="14"/>
        </w:rPr>
        <w:t xml:space="preserve"> </w:t>
      </w:r>
      <w:r>
        <w:t>la</w:t>
      </w:r>
      <w:r>
        <w:rPr>
          <w:spacing w:val="14"/>
        </w:rPr>
        <w:t xml:space="preserve"> </w:t>
      </w:r>
      <w:r>
        <w:t>discriminación.</w:t>
      </w:r>
      <w:r>
        <w:rPr>
          <w:spacing w:val="16"/>
        </w:rPr>
        <w:t xml:space="preserve"> </w:t>
      </w:r>
      <w:r>
        <w:t>La expresión también puede proporcionar el medio por el cual se producen otras formas de discriminación,</w:t>
      </w:r>
      <w:r>
        <w:rPr>
          <w:spacing w:val="18"/>
        </w:rPr>
        <w:t xml:space="preserve"> </w:t>
      </w:r>
      <w:r>
        <w:t>en el caso de que</w:t>
      </w:r>
      <w:r>
        <w:rPr>
          <w:spacing w:val="80"/>
        </w:rPr>
        <w:t xml:space="preserve"> </w:t>
      </w:r>
      <w:r>
        <w:t>quienes se encuentran en una posición de poder, influencia o autoridad impartan instrucciones para discriminar. Tanto el acoso como la instrucción de discriminar son formas de discriminación que deben estar prohibidas por ley, con el efecto de que se</w:t>
      </w:r>
      <w:r>
        <w:rPr>
          <w:spacing w:val="80"/>
        </w:rPr>
        <w:t xml:space="preserve"> </w:t>
      </w:r>
      <w:r>
        <w:t>pueda</w:t>
      </w:r>
      <w:r>
        <w:rPr>
          <w:spacing w:val="17"/>
        </w:rPr>
        <w:t xml:space="preserve"> </w:t>
      </w:r>
      <w:r>
        <w:t>prohibir</w:t>
      </w:r>
      <w:r>
        <w:rPr>
          <w:spacing w:val="15"/>
        </w:rPr>
        <w:t xml:space="preserve"> </w:t>
      </w:r>
      <w:r>
        <w:t>el</w:t>
      </w:r>
      <w:r>
        <w:rPr>
          <w:spacing w:val="17"/>
        </w:rPr>
        <w:t xml:space="preserve"> </w:t>
      </w:r>
      <w:r>
        <w:t>habla</w:t>
      </w:r>
      <w:r>
        <w:rPr>
          <w:spacing w:val="17"/>
        </w:rPr>
        <w:t xml:space="preserve"> </w:t>
      </w:r>
      <w:r>
        <w:t>o</w:t>
      </w:r>
      <w:r>
        <w:rPr>
          <w:spacing w:val="17"/>
        </w:rPr>
        <w:t xml:space="preserve"> </w:t>
      </w:r>
      <w:r>
        <w:t>la</w:t>
      </w:r>
      <w:r>
        <w:rPr>
          <w:spacing w:val="17"/>
        </w:rPr>
        <w:t xml:space="preserve"> </w:t>
      </w:r>
      <w:r>
        <w:t>expresión</w:t>
      </w:r>
      <w:r>
        <w:rPr>
          <w:spacing w:val="17"/>
        </w:rPr>
        <w:t xml:space="preserve"> </w:t>
      </w:r>
      <w:r>
        <w:t>en</w:t>
      </w:r>
      <w:r>
        <w:rPr>
          <w:spacing w:val="17"/>
        </w:rPr>
        <w:t xml:space="preserve"> </w:t>
      </w:r>
      <w:r>
        <w:t>determinados</w:t>
      </w:r>
      <w:r>
        <w:rPr>
          <w:spacing w:val="15"/>
        </w:rPr>
        <w:t xml:space="preserve"> </w:t>
      </w:r>
      <w:r>
        <w:t>contextos.</w:t>
      </w:r>
      <w:r>
        <w:rPr>
          <w:spacing w:val="17"/>
        </w:rPr>
        <w:t xml:space="preserve"> </w:t>
      </w:r>
      <w:r>
        <w:t>En</w:t>
      </w:r>
      <w:r>
        <w:rPr>
          <w:spacing w:val="15"/>
        </w:rPr>
        <w:t xml:space="preserve"> </w:t>
      </w:r>
      <w:r>
        <w:t>el</w:t>
      </w:r>
      <w:r>
        <w:rPr>
          <w:spacing w:val="17"/>
        </w:rPr>
        <w:t xml:space="preserve"> </w:t>
      </w:r>
      <w:r>
        <w:t>caso</w:t>
      </w:r>
      <w:r>
        <w:rPr>
          <w:spacing w:val="17"/>
        </w:rPr>
        <w:t xml:space="preserve"> </w:t>
      </w:r>
      <w:r>
        <w:t>estándar,</w:t>
      </w:r>
      <w:r>
        <w:rPr>
          <w:spacing w:val="17"/>
        </w:rPr>
        <w:t xml:space="preserve"> </w:t>
      </w:r>
      <w:r>
        <w:t>dichos</w:t>
      </w:r>
      <w:r>
        <w:rPr>
          <w:spacing w:val="17"/>
        </w:rPr>
        <w:t xml:space="preserve"> </w:t>
      </w:r>
      <w:r>
        <w:t>actos</w:t>
      </w:r>
      <w:r>
        <w:rPr>
          <w:spacing w:val="15"/>
        </w:rPr>
        <w:t xml:space="preserve"> </w:t>
      </w:r>
      <w:r>
        <w:t>se</w:t>
      </w:r>
      <w:r>
        <w:rPr>
          <w:spacing w:val="17"/>
        </w:rPr>
        <w:t xml:space="preserve"> </w:t>
      </w:r>
      <w:r>
        <w:t>tratan</w:t>
      </w:r>
      <w:r>
        <w:rPr>
          <w:spacing w:val="15"/>
        </w:rPr>
        <w:t xml:space="preserve"> </w:t>
      </w:r>
      <w:r>
        <w:t>dentro</w:t>
      </w:r>
      <w:r>
        <w:rPr>
          <w:spacing w:val="17"/>
        </w:rPr>
        <w:t xml:space="preserve"> </w:t>
      </w:r>
      <w:r>
        <w:t>del derecho civil, administrativo o laboral, y no se consideran asuntos penales. Sin embargo, las instrucciones u órdenes de</w:t>
      </w:r>
      <w:r>
        <w:rPr>
          <w:spacing w:val="40"/>
        </w:rPr>
        <w:t xml:space="preserve"> </w:t>
      </w:r>
      <w:r>
        <w:t>discriminar que tengan como resultado impactos con un alto grado de daño pueden generar responsabilidad penal.1133</w:t>
      </w:r>
    </w:p>
    <w:p w14:paraId="3E2682B4" w14:textId="77777777" w:rsidR="0014798C" w:rsidRDefault="004E1F0B">
      <w:pPr>
        <w:pStyle w:val="Textoindependiente"/>
        <w:spacing w:before="167" w:line="326" w:lineRule="auto"/>
        <w:ind w:left="1108" w:right="1335" w:hanging="1"/>
      </w:pPr>
      <w:r>
        <w:t>Además, el discurso y otras formas de expresión pueden desempeñar un papel importante en la resolución de casos de discriminación, incluso, en particular, como prueba de un motivo o intención discriminatorio. Así, por ejemplo, en su primera conclusión</w:t>
      </w:r>
      <w:r>
        <w:rPr>
          <w:spacing w:val="12"/>
        </w:rPr>
        <w:t xml:space="preserve"> </w:t>
      </w:r>
      <w:r>
        <w:t>sobre</w:t>
      </w:r>
      <w:r>
        <w:rPr>
          <w:spacing w:val="12"/>
        </w:rPr>
        <w:t xml:space="preserve"> </w:t>
      </w:r>
      <w:r>
        <w:t>discriminación</w:t>
      </w:r>
      <w:r>
        <w:rPr>
          <w:spacing w:val="12"/>
        </w:rPr>
        <w:t xml:space="preserve"> </w:t>
      </w:r>
      <w:r>
        <w:t>racial</w:t>
      </w:r>
      <w:r>
        <w:rPr>
          <w:spacing w:val="12"/>
        </w:rPr>
        <w:t xml:space="preserve"> </w:t>
      </w:r>
      <w:r>
        <w:t>en</w:t>
      </w:r>
      <w:r>
        <w:rPr>
          <w:spacing w:val="12"/>
        </w:rPr>
        <w:t xml:space="preserve"> </w:t>
      </w:r>
      <w:r>
        <w:t>un</w:t>
      </w:r>
      <w:r>
        <w:rPr>
          <w:spacing w:val="12"/>
        </w:rPr>
        <w:t xml:space="preserve"> </w:t>
      </w:r>
      <w:r>
        <w:t>caso</w:t>
      </w:r>
      <w:r>
        <w:rPr>
          <w:spacing w:val="12"/>
        </w:rPr>
        <w:t xml:space="preserve"> </w:t>
      </w:r>
      <w:r>
        <w:t>relativo</w:t>
      </w:r>
      <w:r>
        <w:rPr>
          <w:spacing w:val="12"/>
        </w:rPr>
        <w:t xml:space="preserve"> </w:t>
      </w:r>
      <w:r>
        <w:t>a</w:t>
      </w:r>
      <w:r>
        <w:rPr>
          <w:spacing w:val="12"/>
        </w:rPr>
        <w:t xml:space="preserve"> </w:t>
      </w:r>
      <w:r>
        <w:t>la</w:t>
      </w:r>
      <w:r>
        <w:rPr>
          <w:spacing w:val="12"/>
        </w:rPr>
        <w:t xml:space="preserve"> </w:t>
      </w:r>
      <w:r>
        <w:t>aplicación</w:t>
      </w:r>
      <w:r>
        <w:rPr>
          <w:spacing w:val="12"/>
        </w:rPr>
        <w:t xml:space="preserve"> </w:t>
      </w:r>
      <w:r>
        <w:t>de</w:t>
      </w:r>
      <w:r>
        <w:rPr>
          <w:spacing w:val="12"/>
        </w:rPr>
        <w:t xml:space="preserve"> </w:t>
      </w:r>
      <w:r>
        <w:t>la</w:t>
      </w:r>
      <w:r>
        <w:rPr>
          <w:spacing w:val="12"/>
        </w:rPr>
        <w:t xml:space="preserve"> </w:t>
      </w:r>
      <w:r>
        <w:t>ley,</w:t>
      </w:r>
      <w:r>
        <w:rPr>
          <w:spacing w:val="12"/>
        </w:rPr>
        <w:t xml:space="preserve"> </w:t>
      </w:r>
      <w:r>
        <w:t>el</w:t>
      </w:r>
      <w:r>
        <w:rPr>
          <w:spacing w:val="12"/>
        </w:rPr>
        <w:t xml:space="preserve"> </w:t>
      </w:r>
      <w:r>
        <w:t>Tribunal</w:t>
      </w:r>
      <w:r>
        <w:rPr>
          <w:spacing w:val="12"/>
        </w:rPr>
        <w:t xml:space="preserve"> </w:t>
      </w:r>
      <w:r>
        <w:t>Europeo</w:t>
      </w:r>
      <w:r>
        <w:rPr>
          <w:spacing w:val="11"/>
        </w:rPr>
        <w:t xml:space="preserve"> </w:t>
      </w:r>
      <w:r>
        <w:t>de</w:t>
      </w:r>
      <w:r>
        <w:rPr>
          <w:spacing w:val="12"/>
        </w:rPr>
        <w:t xml:space="preserve"> </w:t>
      </w:r>
      <w:r>
        <w:t>Derechos</w:t>
      </w:r>
      <w:r>
        <w:rPr>
          <w:spacing w:val="12"/>
        </w:rPr>
        <w:t xml:space="preserve"> </w:t>
      </w:r>
      <w:r>
        <w:t>Humanos se basó en declaraciones de testigos que indicaban que personal militar había pronunciado epítetos contra los romaníes justo</w:t>
      </w:r>
      <w:r>
        <w:rPr>
          <w:spacing w:val="40"/>
        </w:rPr>
        <w:t xml:space="preserve"> </w:t>
      </w:r>
      <w:r>
        <w:t>después</w:t>
      </w:r>
      <w:r>
        <w:rPr>
          <w:spacing w:val="6"/>
        </w:rPr>
        <w:t xml:space="preserve"> </w:t>
      </w:r>
      <w:r>
        <w:t>de</w:t>
      </w:r>
      <w:r>
        <w:rPr>
          <w:spacing w:val="6"/>
        </w:rPr>
        <w:t xml:space="preserve"> </w:t>
      </w:r>
      <w:r>
        <w:t>matar</w:t>
      </w:r>
      <w:r>
        <w:rPr>
          <w:spacing w:val="6"/>
        </w:rPr>
        <w:t xml:space="preserve"> </w:t>
      </w:r>
      <w:r>
        <w:t>a</w:t>
      </w:r>
      <w:r>
        <w:rPr>
          <w:spacing w:val="6"/>
        </w:rPr>
        <w:t xml:space="preserve"> </w:t>
      </w:r>
      <w:r>
        <w:t>tiros</w:t>
      </w:r>
      <w:r>
        <w:rPr>
          <w:spacing w:val="5"/>
        </w:rPr>
        <w:t xml:space="preserve"> </w:t>
      </w:r>
      <w:r>
        <w:t>a</w:t>
      </w:r>
      <w:r>
        <w:rPr>
          <w:spacing w:val="7"/>
        </w:rPr>
        <w:t xml:space="preserve"> </w:t>
      </w:r>
      <w:r>
        <w:t>dos</w:t>
      </w:r>
      <w:r>
        <w:rPr>
          <w:spacing w:val="6"/>
        </w:rPr>
        <w:t xml:space="preserve"> </w:t>
      </w:r>
      <w:r>
        <w:t>hombres</w:t>
      </w:r>
      <w:r>
        <w:rPr>
          <w:spacing w:val="7"/>
        </w:rPr>
        <w:t xml:space="preserve"> </w:t>
      </w:r>
      <w:r>
        <w:t>romaníes</w:t>
      </w:r>
      <w:proofErr w:type="gramStart"/>
      <w:r>
        <w:t>.</w:t>
      </w:r>
      <w:r>
        <w:rPr>
          <w:spacing w:val="5"/>
        </w:rPr>
        <w:t xml:space="preserve"> </w:t>
      </w:r>
      <w:r>
        <w:t>.</w:t>
      </w:r>
      <w:proofErr w:type="gramEnd"/>
      <w:r>
        <w:rPr>
          <w:spacing w:val="6"/>
        </w:rPr>
        <w:t xml:space="preserve"> </w:t>
      </w:r>
      <w:r>
        <w:t>Mientras</w:t>
      </w:r>
      <w:r>
        <w:rPr>
          <w:spacing w:val="6"/>
        </w:rPr>
        <w:t xml:space="preserve"> </w:t>
      </w:r>
      <w:r>
        <w:t>que</w:t>
      </w:r>
      <w:r>
        <w:rPr>
          <w:spacing w:val="6"/>
        </w:rPr>
        <w:t xml:space="preserve"> </w:t>
      </w:r>
      <w:r>
        <w:t>una</w:t>
      </w:r>
      <w:r>
        <w:rPr>
          <w:spacing w:val="6"/>
        </w:rPr>
        <w:t xml:space="preserve"> </w:t>
      </w:r>
      <w:r>
        <w:t>sala</w:t>
      </w:r>
      <w:r>
        <w:rPr>
          <w:spacing w:val="7"/>
        </w:rPr>
        <w:t xml:space="preserve"> </w:t>
      </w:r>
      <w:r>
        <w:t>inferior</w:t>
      </w:r>
      <w:r>
        <w:rPr>
          <w:spacing w:val="5"/>
        </w:rPr>
        <w:t xml:space="preserve"> </w:t>
      </w:r>
      <w:r>
        <w:t>del</w:t>
      </w:r>
      <w:r>
        <w:rPr>
          <w:spacing w:val="6"/>
        </w:rPr>
        <w:t xml:space="preserve"> </w:t>
      </w:r>
      <w:r>
        <w:t>Tribunal</w:t>
      </w:r>
      <w:r>
        <w:rPr>
          <w:spacing w:val="7"/>
        </w:rPr>
        <w:t xml:space="preserve"> </w:t>
      </w:r>
      <w:r>
        <w:t>sostuvo</w:t>
      </w:r>
      <w:r>
        <w:rPr>
          <w:spacing w:val="6"/>
        </w:rPr>
        <w:t xml:space="preserve"> </w:t>
      </w:r>
      <w:r>
        <w:t>inicialmente</w:t>
      </w:r>
      <w:r>
        <w:rPr>
          <w:spacing w:val="7"/>
        </w:rPr>
        <w:t xml:space="preserve"> </w:t>
      </w:r>
      <w:r>
        <w:t>que</w:t>
      </w:r>
      <w:r>
        <w:rPr>
          <w:spacing w:val="6"/>
        </w:rPr>
        <w:t xml:space="preserve"> </w:t>
      </w:r>
      <w:r>
        <w:t>esa</w:t>
      </w:r>
      <w:r>
        <w:rPr>
          <w:spacing w:val="7"/>
        </w:rPr>
        <w:t xml:space="preserve"> </w:t>
      </w:r>
      <w:r>
        <w:rPr>
          <w:spacing w:val="-10"/>
        </w:rPr>
        <w:t>y</w:t>
      </w:r>
    </w:p>
    <w:p w14:paraId="6670F8A0" w14:textId="77777777" w:rsidR="0014798C" w:rsidRDefault="004E1F0B">
      <w:pPr>
        <w:pStyle w:val="Textoindependiente"/>
        <w:spacing w:line="328" w:lineRule="auto"/>
        <w:ind w:left="1107" w:right="1272" w:firstLine="3"/>
      </w:pPr>
      <w:r>
        <w:t xml:space="preserve">otras pruebas eran indicativas de discriminación, la Gran Sala del Tribunal sostuvo que había discriminación en el procedimiento, pero no en cuanto al fondo, es decir, que las declaraciones </w:t>
      </w:r>
      <w:proofErr w:type="spellStart"/>
      <w:r>
        <w:t>anti-romaníes</w:t>
      </w:r>
      <w:proofErr w:type="spellEnd"/>
      <w:r>
        <w:t xml:space="preserve"> y otras pruebas debían haber sido desencadenó una</w:t>
      </w:r>
      <w:r>
        <w:rPr>
          <w:spacing w:val="40"/>
        </w:rPr>
        <w:t xml:space="preserve"> </w:t>
      </w:r>
      <w:r>
        <w:t>investigación por parte de las autoridades nacionales sobre la posibilidad de que el racismo o la discriminación racial hubieran infectado el proceso.1134</w:t>
      </w:r>
    </w:p>
    <w:p w14:paraId="16FEFCAD" w14:textId="77777777" w:rsidR="0014798C" w:rsidRDefault="004E1F0B">
      <w:pPr>
        <w:pStyle w:val="Textoindependiente"/>
        <w:spacing w:before="158" w:line="326" w:lineRule="auto"/>
        <w:ind w:left="1107" w:right="1234" w:firstLine="2"/>
      </w:pPr>
      <w:r>
        <w:t>Por</w:t>
      </w:r>
      <w:r>
        <w:rPr>
          <w:spacing w:val="12"/>
        </w:rPr>
        <w:t xml:space="preserve"> </w:t>
      </w:r>
      <w:r>
        <w:t>último,</w:t>
      </w:r>
      <w:r>
        <w:rPr>
          <w:spacing w:val="13"/>
        </w:rPr>
        <w:t xml:space="preserve"> </w:t>
      </w:r>
      <w:r>
        <w:t>como</w:t>
      </w:r>
      <w:r>
        <w:rPr>
          <w:spacing w:val="13"/>
        </w:rPr>
        <w:t xml:space="preserve"> </w:t>
      </w:r>
      <w:r>
        <w:t>se</w:t>
      </w:r>
      <w:r>
        <w:rPr>
          <w:spacing w:val="13"/>
        </w:rPr>
        <w:t xml:space="preserve"> </w:t>
      </w:r>
      <w:r>
        <w:t>explora</w:t>
      </w:r>
      <w:r>
        <w:rPr>
          <w:spacing w:val="13"/>
        </w:rPr>
        <w:t xml:space="preserve"> </w:t>
      </w:r>
      <w:r>
        <w:t>con</w:t>
      </w:r>
      <w:r>
        <w:rPr>
          <w:spacing w:val="13"/>
        </w:rPr>
        <w:t xml:space="preserve"> </w:t>
      </w:r>
      <w:r>
        <w:t>más</w:t>
      </w:r>
      <w:r>
        <w:rPr>
          <w:spacing w:val="13"/>
        </w:rPr>
        <w:t xml:space="preserve"> </w:t>
      </w:r>
      <w:r>
        <w:t>detalle</w:t>
      </w:r>
      <w:r>
        <w:rPr>
          <w:spacing w:val="12"/>
        </w:rPr>
        <w:t xml:space="preserve"> </w:t>
      </w:r>
      <w:r>
        <w:t>en</w:t>
      </w:r>
      <w:r>
        <w:rPr>
          <w:spacing w:val="13"/>
        </w:rPr>
        <w:t xml:space="preserve"> </w:t>
      </w:r>
      <w:r>
        <w:t>el</w:t>
      </w:r>
      <w:r>
        <w:rPr>
          <w:spacing w:val="13"/>
        </w:rPr>
        <w:t xml:space="preserve"> </w:t>
      </w:r>
      <w:r>
        <w:t>próximo</w:t>
      </w:r>
      <w:r>
        <w:rPr>
          <w:spacing w:val="13"/>
        </w:rPr>
        <w:t xml:space="preserve"> </w:t>
      </w:r>
      <w:r>
        <w:t>capítulo</w:t>
      </w:r>
      <w:r>
        <w:rPr>
          <w:spacing w:val="12"/>
        </w:rPr>
        <w:t xml:space="preserve"> </w:t>
      </w:r>
      <w:r>
        <w:t>de</w:t>
      </w:r>
      <w:r>
        <w:rPr>
          <w:spacing w:val="13"/>
        </w:rPr>
        <w:t xml:space="preserve"> </w:t>
      </w:r>
      <w:r>
        <w:t>la</w:t>
      </w:r>
      <w:r>
        <w:rPr>
          <w:spacing w:val="13"/>
        </w:rPr>
        <w:t xml:space="preserve"> </w:t>
      </w:r>
      <w:r>
        <w:t>presente</w:t>
      </w:r>
      <w:r>
        <w:rPr>
          <w:spacing w:val="13"/>
        </w:rPr>
        <w:t xml:space="preserve"> </w:t>
      </w:r>
      <w:r>
        <w:t>guía,</w:t>
      </w:r>
      <w:r>
        <w:rPr>
          <w:spacing w:val="13"/>
        </w:rPr>
        <w:t xml:space="preserve"> </w:t>
      </w:r>
      <w:r>
        <w:t>el</w:t>
      </w:r>
      <w:r>
        <w:rPr>
          <w:spacing w:val="13"/>
        </w:rPr>
        <w:t xml:space="preserve"> </w:t>
      </w:r>
      <w:r>
        <w:t>énfasis</w:t>
      </w:r>
      <w:r>
        <w:rPr>
          <w:spacing w:val="12"/>
        </w:rPr>
        <w:t xml:space="preserve"> </w:t>
      </w:r>
      <w:r>
        <w:t>en</w:t>
      </w:r>
      <w:r>
        <w:rPr>
          <w:spacing w:val="13"/>
        </w:rPr>
        <w:t xml:space="preserve"> </w:t>
      </w:r>
      <w:r>
        <w:t>la</w:t>
      </w:r>
      <w:r>
        <w:rPr>
          <w:spacing w:val="13"/>
        </w:rPr>
        <w:t xml:space="preserve"> </w:t>
      </w:r>
      <w:r>
        <w:t>incitación</w:t>
      </w:r>
      <w:r>
        <w:rPr>
          <w:spacing w:val="13"/>
        </w:rPr>
        <w:t xml:space="preserve"> </w:t>
      </w:r>
      <w:r>
        <w:t>y</w:t>
      </w:r>
      <w:r>
        <w:rPr>
          <w:spacing w:val="13"/>
        </w:rPr>
        <w:t xml:space="preserve"> </w:t>
      </w:r>
      <w:r>
        <w:t>el</w:t>
      </w:r>
      <w:r>
        <w:rPr>
          <w:spacing w:val="13"/>
        </w:rPr>
        <w:t xml:space="preserve"> </w:t>
      </w:r>
      <w:r>
        <w:t>discurso de</w:t>
      </w:r>
      <w:r>
        <w:rPr>
          <w:spacing w:val="11"/>
        </w:rPr>
        <w:t xml:space="preserve"> </w:t>
      </w:r>
      <w:r>
        <w:t>odio</w:t>
      </w:r>
      <w:r>
        <w:rPr>
          <w:spacing w:val="11"/>
        </w:rPr>
        <w:t xml:space="preserve"> </w:t>
      </w:r>
      <w:r>
        <w:t>ha</w:t>
      </w:r>
      <w:r>
        <w:rPr>
          <w:spacing w:val="11"/>
        </w:rPr>
        <w:t xml:space="preserve"> </w:t>
      </w:r>
      <w:r>
        <w:t>tendido</w:t>
      </w:r>
      <w:r>
        <w:rPr>
          <w:spacing w:val="10"/>
        </w:rPr>
        <w:t xml:space="preserve"> </w:t>
      </w:r>
      <w:r>
        <w:t>a</w:t>
      </w:r>
      <w:r>
        <w:rPr>
          <w:spacing w:val="11"/>
        </w:rPr>
        <w:t xml:space="preserve"> </w:t>
      </w:r>
      <w:r>
        <w:t>oscurecer</w:t>
      </w:r>
      <w:r>
        <w:rPr>
          <w:spacing w:val="11"/>
        </w:rPr>
        <w:t xml:space="preserve"> </w:t>
      </w:r>
      <w:r>
        <w:t>las</w:t>
      </w:r>
      <w:r>
        <w:rPr>
          <w:spacing w:val="11"/>
        </w:rPr>
        <w:t xml:space="preserve"> </w:t>
      </w:r>
      <w:r>
        <w:t>obligaciones</w:t>
      </w:r>
      <w:r>
        <w:rPr>
          <w:spacing w:val="10"/>
        </w:rPr>
        <w:t xml:space="preserve"> </w:t>
      </w:r>
      <w:r>
        <w:t>positivas</w:t>
      </w:r>
      <w:r>
        <w:rPr>
          <w:spacing w:val="10"/>
        </w:rPr>
        <w:t xml:space="preserve"> </w:t>
      </w:r>
      <w:r>
        <w:t>de</w:t>
      </w:r>
      <w:r>
        <w:rPr>
          <w:spacing w:val="11"/>
        </w:rPr>
        <w:t xml:space="preserve"> </w:t>
      </w:r>
      <w:r>
        <w:t>los</w:t>
      </w:r>
      <w:r>
        <w:rPr>
          <w:spacing w:val="11"/>
        </w:rPr>
        <w:t xml:space="preserve"> </w:t>
      </w:r>
      <w:r>
        <w:t>Estados</w:t>
      </w:r>
      <w:r>
        <w:rPr>
          <w:spacing w:val="10"/>
        </w:rPr>
        <w:t xml:space="preserve"> </w:t>
      </w:r>
      <w:r>
        <w:t>de</w:t>
      </w:r>
      <w:r>
        <w:rPr>
          <w:spacing w:val="11"/>
        </w:rPr>
        <w:t xml:space="preserve"> </w:t>
      </w:r>
      <w:r>
        <w:t>combatir</w:t>
      </w:r>
      <w:r>
        <w:rPr>
          <w:spacing w:val="10"/>
        </w:rPr>
        <w:t xml:space="preserve"> </w:t>
      </w:r>
      <w:r>
        <w:t>los</w:t>
      </w:r>
      <w:r>
        <w:rPr>
          <w:spacing w:val="11"/>
        </w:rPr>
        <w:t xml:space="preserve"> </w:t>
      </w:r>
      <w:r>
        <w:t>estereotipos,</w:t>
      </w:r>
      <w:r>
        <w:rPr>
          <w:spacing w:val="12"/>
        </w:rPr>
        <w:t xml:space="preserve"> </w:t>
      </w:r>
      <w:r>
        <w:t>el</w:t>
      </w:r>
      <w:r>
        <w:rPr>
          <w:spacing w:val="11"/>
        </w:rPr>
        <w:t xml:space="preserve"> </w:t>
      </w:r>
      <w:r>
        <w:t>estigma</w:t>
      </w:r>
      <w:r>
        <w:rPr>
          <w:spacing w:val="11"/>
        </w:rPr>
        <w:t xml:space="preserve"> </w:t>
      </w:r>
      <w:r>
        <w:t>y</w:t>
      </w:r>
      <w:r>
        <w:rPr>
          <w:spacing w:val="11"/>
        </w:rPr>
        <w:t xml:space="preserve"> </w:t>
      </w:r>
      <w:r>
        <w:t>los</w:t>
      </w:r>
      <w:r>
        <w:rPr>
          <w:spacing w:val="11"/>
        </w:rPr>
        <w:t xml:space="preserve"> </w:t>
      </w:r>
      <w:r>
        <w:t>prejuicios y promover la no discriminación, la igualdad, la inclusión y la diversidad.</w:t>
      </w:r>
    </w:p>
    <w:p w14:paraId="4F303790" w14:textId="77777777" w:rsidR="0014798C" w:rsidRDefault="0014798C">
      <w:pPr>
        <w:pStyle w:val="Textoindependiente"/>
        <w:rPr>
          <w:sz w:val="20"/>
        </w:rPr>
      </w:pPr>
    </w:p>
    <w:p w14:paraId="07D06A6E" w14:textId="77777777" w:rsidR="0014798C" w:rsidRDefault="0014798C">
      <w:pPr>
        <w:pStyle w:val="Textoindependiente"/>
        <w:rPr>
          <w:sz w:val="20"/>
        </w:rPr>
      </w:pPr>
    </w:p>
    <w:p w14:paraId="618FACA4" w14:textId="77777777" w:rsidR="0014798C" w:rsidRDefault="0014798C">
      <w:pPr>
        <w:pStyle w:val="Textoindependiente"/>
        <w:rPr>
          <w:sz w:val="20"/>
        </w:rPr>
      </w:pPr>
    </w:p>
    <w:p w14:paraId="5FDEEFA2" w14:textId="77777777" w:rsidR="0014798C" w:rsidRDefault="0014798C">
      <w:pPr>
        <w:pStyle w:val="Textoindependiente"/>
        <w:rPr>
          <w:sz w:val="20"/>
        </w:rPr>
      </w:pPr>
    </w:p>
    <w:p w14:paraId="069C14D0" w14:textId="77777777" w:rsidR="0014798C" w:rsidRDefault="0014798C">
      <w:pPr>
        <w:pStyle w:val="Textoindependiente"/>
        <w:rPr>
          <w:sz w:val="20"/>
        </w:rPr>
      </w:pPr>
    </w:p>
    <w:p w14:paraId="2CD725D0" w14:textId="77777777" w:rsidR="0014798C" w:rsidRDefault="0014798C">
      <w:pPr>
        <w:pStyle w:val="Textoindependiente"/>
        <w:rPr>
          <w:sz w:val="20"/>
        </w:rPr>
      </w:pPr>
    </w:p>
    <w:p w14:paraId="54D26385" w14:textId="77777777" w:rsidR="0014798C" w:rsidRDefault="004E1F0B">
      <w:pPr>
        <w:pStyle w:val="Textoindependiente"/>
        <w:spacing w:before="32"/>
        <w:rPr>
          <w:sz w:val="20"/>
        </w:rPr>
      </w:pPr>
      <w:r>
        <w:rPr>
          <w:noProof/>
        </w:rPr>
        <w:drawing>
          <wp:anchor distT="0" distB="0" distL="0" distR="0" simplePos="0" relativeHeight="251658558" behindDoc="1" locked="0" layoutInCell="1" allowOverlap="1" wp14:anchorId="79268067" wp14:editId="5518D52B">
            <wp:simplePos x="0" y="0"/>
            <wp:positionH relativeFrom="page">
              <wp:posOffset>826632</wp:posOffset>
            </wp:positionH>
            <wp:positionV relativeFrom="paragraph">
              <wp:posOffset>181669</wp:posOffset>
            </wp:positionV>
            <wp:extent cx="931001" cy="71627"/>
            <wp:effectExtent l="0" t="0" r="0" b="0"/>
            <wp:wrapTopAndBottom/>
            <wp:docPr id="347" name="Image 34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47" name="Image 347"/>
                    <pic:cNvPicPr/>
                  </pic:nvPicPr>
                  <pic:blipFill>
                    <a:blip r:embed="rId235" cstate="print"/>
                    <a:stretch>
                      <a:fillRect/>
                    </a:stretch>
                  </pic:blipFill>
                  <pic:spPr>
                    <a:xfrm>
                      <a:off x="0" y="0"/>
                      <a:ext cx="931001" cy="71627"/>
                    </a:xfrm>
                    <a:prstGeom prst="rect">
                      <a:avLst/>
                    </a:prstGeom>
                  </pic:spPr>
                </pic:pic>
              </a:graphicData>
            </a:graphic>
          </wp:anchor>
        </w:drawing>
      </w:r>
    </w:p>
    <w:p w14:paraId="2640BFAF" w14:textId="77777777" w:rsidR="0014798C" w:rsidRDefault="0014798C">
      <w:pPr>
        <w:pStyle w:val="Textoindependiente"/>
        <w:spacing w:before="34"/>
        <w:rPr>
          <w:sz w:val="11"/>
        </w:rPr>
      </w:pPr>
    </w:p>
    <w:p w14:paraId="1D06524D" w14:textId="77777777" w:rsidR="0014798C" w:rsidRDefault="004E1F0B">
      <w:pPr>
        <w:ind w:left="1111"/>
        <w:rPr>
          <w:sz w:val="11"/>
        </w:rPr>
      </w:pPr>
      <w:r>
        <w:rPr>
          <w:sz w:val="11"/>
        </w:rPr>
        <w:t>1130</w:t>
      </w:r>
      <w:r>
        <w:rPr>
          <w:spacing w:val="2"/>
          <w:sz w:val="11"/>
        </w:rPr>
        <w:t xml:space="preserve"> </w:t>
      </w:r>
      <w:r>
        <w:rPr>
          <w:sz w:val="11"/>
        </w:rPr>
        <w:t>Véase</w:t>
      </w:r>
      <w:r>
        <w:rPr>
          <w:spacing w:val="3"/>
          <w:sz w:val="11"/>
        </w:rPr>
        <w:t xml:space="preserve"> </w:t>
      </w:r>
      <w:r>
        <w:rPr>
          <w:sz w:val="11"/>
        </w:rPr>
        <w:t>Comité</w:t>
      </w:r>
      <w:r>
        <w:rPr>
          <w:spacing w:val="2"/>
          <w:sz w:val="11"/>
        </w:rPr>
        <w:t xml:space="preserve"> </w:t>
      </w:r>
      <w:r>
        <w:rPr>
          <w:sz w:val="11"/>
        </w:rPr>
        <w:t>sobre</w:t>
      </w:r>
      <w:r>
        <w:rPr>
          <w:spacing w:val="3"/>
          <w:sz w:val="11"/>
        </w:rPr>
        <w:t xml:space="preserve"> </w:t>
      </w:r>
      <w:r>
        <w:rPr>
          <w:sz w:val="11"/>
        </w:rPr>
        <w:t>los</w:t>
      </w:r>
      <w:r>
        <w:rPr>
          <w:spacing w:val="3"/>
          <w:sz w:val="11"/>
        </w:rPr>
        <w:t xml:space="preserve"> </w:t>
      </w:r>
      <w:r>
        <w:rPr>
          <w:sz w:val="11"/>
        </w:rPr>
        <w:t>Derechos</w:t>
      </w:r>
      <w:r>
        <w:rPr>
          <w:spacing w:val="2"/>
          <w:sz w:val="11"/>
        </w:rPr>
        <w:t xml:space="preserve"> </w:t>
      </w:r>
      <w:r>
        <w:rPr>
          <w:sz w:val="11"/>
        </w:rPr>
        <w:t>de</w:t>
      </w:r>
      <w:r>
        <w:rPr>
          <w:spacing w:val="3"/>
          <w:sz w:val="11"/>
        </w:rPr>
        <w:t xml:space="preserve"> </w:t>
      </w:r>
      <w:r>
        <w:rPr>
          <w:sz w:val="11"/>
        </w:rPr>
        <w:t>las</w:t>
      </w:r>
      <w:r>
        <w:rPr>
          <w:spacing w:val="3"/>
          <w:sz w:val="11"/>
        </w:rPr>
        <w:t xml:space="preserve"> </w:t>
      </w:r>
      <w:r>
        <w:rPr>
          <w:sz w:val="11"/>
        </w:rPr>
        <w:t>Personas</w:t>
      </w:r>
      <w:r>
        <w:rPr>
          <w:spacing w:val="2"/>
          <w:sz w:val="11"/>
        </w:rPr>
        <w:t xml:space="preserve"> </w:t>
      </w:r>
      <w:r>
        <w:rPr>
          <w:sz w:val="11"/>
        </w:rPr>
        <w:t>con</w:t>
      </w:r>
      <w:r>
        <w:rPr>
          <w:spacing w:val="3"/>
          <w:sz w:val="11"/>
        </w:rPr>
        <w:t xml:space="preserve"> </w:t>
      </w:r>
      <w:r>
        <w:rPr>
          <w:sz w:val="11"/>
        </w:rPr>
        <w:t>Discapacidad,</w:t>
      </w:r>
      <w:r>
        <w:rPr>
          <w:spacing w:val="3"/>
          <w:sz w:val="11"/>
        </w:rPr>
        <w:t xml:space="preserve"> </w:t>
      </w:r>
      <w:r>
        <w:rPr>
          <w:sz w:val="11"/>
        </w:rPr>
        <w:t>observación</w:t>
      </w:r>
      <w:r>
        <w:rPr>
          <w:spacing w:val="3"/>
          <w:sz w:val="11"/>
        </w:rPr>
        <w:t xml:space="preserve"> </w:t>
      </w:r>
      <w:r>
        <w:rPr>
          <w:sz w:val="11"/>
        </w:rPr>
        <w:t>general</w:t>
      </w:r>
      <w:r>
        <w:rPr>
          <w:spacing w:val="3"/>
          <w:sz w:val="11"/>
        </w:rPr>
        <w:t xml:space="preserve"> </w:t>
      </w:r>
      <w:r>
        <w:rPr>
          <w:sz w:val="11"/>
        </w:rPr>
        <w:t>núm.</w:t>
      </w:r>
      <w:r>
        <w:rPr>
          <w:spacing w:val="2"/>
          <w:sz w:val="11"/>
        </w:rPr>
        <w:t xml:space="preserve"> </w:t>
      </w:r>
      <w:r>
        <w:rPr>
          <w:sz w:val="11"/>
        </w:rPr>
        <w:t>6</w:t>
      </w:r>
      <w:r>
        <w:rPr>
          <w:spacing w:val="3"/>
          <w:sz w:val="11"/>
        </w:rPr>
        <w:t xml:space="preserve"> </w:t>
      </w:r>
      <w:r>
        <w:rPr>
          <w:sz w:val="11"/>
        </w:rPr>
        <w:t>(2018),</w:t>
      </w:r>
      <w:r>
        <w:rPr>
          <w:spacing w:val="4"/>
          <w:sz w:val="11"/>
        </w:rPr>
        <w:t xml:space="preserve"> </w:t>
      </w:r>
      <w:r>
        <w:rPr>
          <w:sz w:val="11"/>
        </w:rPr>
        <w:t>párr.</w:t>
      </w:r>
      <w:r>
        <w:rPr>
          <w:spacing w:val="2"/>
          <w:sz w:val="11"/>
        </w:rPr>
        <w:t xml:space="preserve"> </w:t>
      </w:r>
      <w:r>
        <w:rPr>
          <w:sz w:val="11"/>
        </w:rPr>
        <w:t>18</w:t>
      </w:r>
      <w:r>
        <w:rPr>
          <w:spacing w:val="3"/>
          <w:sz w:val="11"/>
        </w:rPr>
        <w:t xml:space="preserve"> </w:t>
      </w:r>
      <w:r>
        <w:rPr>
          <w:sz w:val="11"/>
        </w:rPr>
        <w:t>d).</w:t>
      </w:r>
      <w:r>
        <w:rPr>
          <w:spacing w:val="3"/>
          <w:sz w:val="11"/>
        </w:rPr>
        <w:t xml:space="preserve"> </w:t>
      </w:r>
      <w:r>
        <w:rPr>
          <w:sz w:val="11"/>
        </w:rPr>
        <w:t>El</w:t>
      </w:r>
      <w:r>
        <w:rPr>
          <w:spacing w:val="2"/>
          <w:sz w:val="11"/>
        </w:rPr>
        <w:t xml:space="preserve"> </w:t>
      </w:r>
      <w:r>
        <w:rPr>
          <w:sz w:val="11"/>
        </w:rPr>
        <w:t>Comité</w:t>
      </w:r>
      <w:r>
        <w:rPr>
          <w:spacing w:val="3"/>
          <w:sz w:val="11"/>
        </w:rPr>
        <w:t xml:space="preserve"> </w:t>
      </w:r>
      <w:r>
        <w:rPr>
          <w:sz w:val="11"/>
        </w:rPr>
        <w:t>de</w:t>
      </w:r>
      <w:r>
        <w:rPr>
          <w:spacing w:val="2"/>
          <w:sz w:val="11"/>
        </w:rPr>
        <w:t xml:space="preserve"> </w:t>
      </w:r>
      <w:r>
        <w:rPr>
          <w:sz w:val="11"/>
        </w:rPr>
        <w:t>los</w:t>
      </w:r>
      <w:r>
        <w:rPr>
          <w:spacing w:val="3"/>
          <w:sz w:val="11"/>
        </w:rPr>
        <w:t xml:space="preserve"> </w:t>
      </w:r>
      <w:r>
        <w:rPr>
          <w:sz w:val="11"/>
        </w:rPr>
        <w:t>Derechos</w:t>
      </w:r>
      <w:r>
        <w:rPr>
          <w:spacing w:val="3"/>
          <w:sz w:val="11"/>
        </w:rPr>
        <w:t xml:space="preserve"> </w:t>
      </w:r>
      <w:r>
        <w:rPr>
          <w:spacing w:val="-5"/>
          <w:sz w:val="11"/>
        </w:rPr>
        <w:t>de</w:t>
      </w:r>
    </w:p>
    <w:p w14:paraId="16901084" w14:textId="77777777" w:rsidR="0014798C" w:rsidRDefault="004E1F0B">
      <w:pPr>
        <w:spacing w:before="32" w:line="340" w:lineRule="auto"/>
        <w:ind w:left="1369" w:right="1272" w:hanging="3"/>
        <w:rPr>
          <w:sz w:val="11"/>
        </w:rPr>
      </w:pPr>
      <w:r>
        <w:rPr>
          <w:w w:val="105"/>
          <w:sz w:val="11"/>
        </w:rPr>
        <w:t>Personas</w:t>
      </w:r>
      <w:r>
        <w:rPr>
          <w:spacing w:val="-6"/>
          <w:w w:val="105"/>
          <w:sz w:val="11"/>
        </w:rPr>
        <w:t xml:space="preserve"> </w:t>
      </w:r>
      <w:r>
        <w:rPr>
          <w:w w:val="105"/>
          <w:sz w:val="11"/>
        </w:rPr>
        <w:t>con</w:t>
      </w:r>
      <w:r>
        <w:rPr>
          <w:spacing w:val="-5"/>
          <w:w w:val="105"/>
          <w:sz w:val="11"/>
        </w:rPr>
        <w:t xml:space="preserve"> </w:t>
      </w:r>
      <w:r>
        <w:rPr>
          <w:w w:val="105"/>
          <w:sz w:val="11"/>
        </w:rPr>
        <w:t>Discapacidad</w:t>
      </w:r>
      <w:r>
        <w:rPr>
          <w:spacing w:val="-5"/>
          <w:w w:val="105"/>
          <w:sz w:val="11"/>
        </w:rPr>
        <w:t xml:space="preserve"> </w:t>
      </w:r>
      <w:r>
        <w:rPr>
          <w:w w:val="105"/>
          <w:sz w:val="11"/>
        </w:rPr>
        <w:t>señala</w:t>
      </w:r>
      <w:r>
        <w:rPr>
          <w:spacing w:val="-5"/>
          <w:w w:val="105"/>
          <w:sz w:val="11"/>
        </w:rPr>
        <w:t xml:space="preserve"> </w:t>
      </w:r>
      <w:r>
        <w:rPr>
          <w:w w:val="105"/>
          <w:sz w:val="11"/>
        </w:rPr>
        <w:t>además</w:t>
      </w:r>
      <w:r>
        <w:rPr>
          <w:spacing w:val="-6"/>
          <w:w w:val="105"/>
          <w:sz w:val="11"/>
        </w:rPr>
        <w:t xml:space="preserve"> </w:t>
      </w:r>
      <w:r>
        <w:rPr>
          <w:w w:val="105"/>
          <w:sz w:val="11"/>
        </w:rPr>
        <w:t>que:</w:t>
      </w:r>
      <w:r>
        <w:rPr>
          <w:spacing w:val="-5"/>
          <w:w w:val="105"/>
          <w:sz w:val="11"/>
        </w:rPr>
        <w:t xml:space="preserve"> </w:t>
      </w:r>
      <w:r>
        <w:rPr>
          <w:w w:val="105"/>
          <w:sz w:val="11"/>
        </w:rPr>
        <w:t>“Se</w:t>
      </w:r>
      <w:r>
        <w:rPr>
          <w:spacing w:val="-6"/>
          <w:w w:val="105"/>
          <w:sz w:val="11"/>
        </w:rPr>
        <w:t xml:space="preserve"> </w:t>
      </w:r>
      <w:r>
        <w:rPr>
          <w:w w:val="105"/>
          <w:sz w:val="11"/>
        </w:rPr>
        <w:t>debe</w:t>
      </w:r>
      <w:r>
        <w:rPr>
          <w:spacing w:val="-6"/>
          <w:w w:val="105"/>
          <w:sz w:val="11"/>
        </w:rPr>
        <w:t xml:space="preserve"> </w:t>
      </w:r>
      <w:r>
        <w:rPr>
          <w:w w:val="105"/>
          <w:sz w:val="11"/>
        </w:rPr>
        <w:t>prestar</w:t>
      </w:r>
      <w:r>
        <w:rPr>
          <w:spacing w:val="-6"/>
          <w:w w:val="105"/>
          <w:sz w:val="11"/>
        </w:rPr>
        <w:t xml:space="preserve"> </w:t>
      </w:r>
      <w:r>
        <w:rPr>
          <w:w w:val="105"/>
          <w:sz w:val="11"/>
        </w:rPr>
        <w:t>especial</w:t>
      </w:r>
      <w:r>
        <w:rPr>
          <w:spacing w:val="-5"/>
          <w:w w:val="105"/>
          <w:sz w:val="11"/>
        </w:rPr>
        <w:t xml:space="preserve"> </w:t>
      </w:r>
      <w:r>
        <w:rPr>
          <w:w w:val="105"/>
          <w:sz w:val="11"/>
        </w:rPr>
        <w:t>atención</w:t>
      </w:r>
      <w:r>
        <w:rPr>
          <w:spacing w:val="-6"/>
          <w:w w:val="105"/>
          <w:sz w:val="11"/>
        </w:rPr>
        <w:t xml:space="preserve"> </w:t>
      </w:r>
      <w:r>
        <w:rPr>
          <w:w w:val="105"/>
          <w:sz w:val="11"/>
        </w:rPr>
        <w:t>a</w:t>
      </w:r>
      <w:r>
        <w:rPr>
          <w:spacing w:val="-6"/>
          <w:w w:val="105"/>
          <w:sz w:val="11"/>
        </w:rPr>
        <w:t xml:space="preserve"> </w:t>
      </w:r>
      <w:r>
        <w:rPr>
          <w:w w:val="105"/>
          <w:sz w:val="11"/>
        </w:rPr>
        <w:t>las</w:t>
      </w:r>
      <w:r>
        <w:rPr>
          <w:spacing w:val="-6"/>
          <w:w w:val="105"/>
          <w:sz w:val="11"/>
        </w:rPr>
        <w:t xml:space="preserve"> </w:t>
      </w:r>
      <w:r>
        <w:rPr>
          <w:w w:val="105"/>
          <w:sz w:val="11"/>
        </w:rPr>
        <w:t>personas</w:t>
      </w:r>
      <w:r>
        <w:rPr>
          <w:spacing w:val="-6"/>
          <w:w w:val="105"/>
          <w:sz w:val="11"/>
        </w:rPr>
        <w:t xml:space="preserve"> </w:t>
      </w:r>
      <w:r>
        <w:rPr>
          <w:w w:val="105"/>
          <w:sz w:val="11"/>
        </w:rPr>
        <w:t>con</w:t>
      </w:r>
      <w:r>
        <w:rPr>
          <w:spacing w:val="-5"/>
          <w:w w:val="105"/>
          <w:sz w:val="11"/>
        </w:rPr>
        <w:t xml:space="preserve"> </w:t>
      </w:r>
      <w:r>
        <w:rPr>
          <w:w w:val="105"/>
          <w:sz w:val="11"/>
        </w:rPr>
        <w:t>discapacidad</w:t>
      </w:r>
      <w:r>
        <w:rPr>
          <w:spacing w:val="-5"/>
          <w:w w:val="105"/>
          <w:sz w:val="11"/>
        </w:rPr>
        <w:t xml:space="preserve"> </w:t>
      </w:r>
      <w:r>
        <w:rPr>
          <w:w w:val="105"/>
          <w:sz w:val="11"/>
        </w:rPr>
        <w:t>que</w:t>
      </w:r>
      <w:r>
        <w:rPr>
          <w:spacing w:val="-6"/>
          <w:w w:val="105"/>
          <w:sz w:val="11"/>
        </w:rPr>
        <w:t xml:space="preserve"> </w:t>
      </w:r>
      <w:r>
        <w:rPr>
          <w:w w:val="105"/>
          <w:sz w:val="11"/>
        </w:rPr>
        <w:t>viven</w:t>
      </w:r>
      <w:r>
        <w:rPr>
          <w:spacing w:val="-5"/>
          <w:w w:val="105"/>
          <w:sz w:val="11"/>
        </w:rPr>
        <w:t xml:space="preserve"> </w:t>
      </w:r>
      <w:r>
        <w:rPr>
          <w:w w:val="105"/>
          <w:sz w:val="11"/>
        </w:rPr>
        <w:t>en</w:t>
      </w:r>
      <w:r>
        <w:rPr>
          <w:spacing w:val="-6"/>
          <w:w w:val="105"/>
          <w:sz w:val="11"/>
        </w:rPr>
        <w:t xml:space="preserve"> </w:t>
      </w:r>
      <w:r>
        <w:rPr>
          <w:w w:val="105"/>
          <w:sz w:val="11"/>
        </w:rPr>
        <w:t>lugares</w:t>
      </w:r>
      <w:r>
        <w:rPr>
          <w:spacing w:val="-6"/>
          <w:w w:val="105"/>
          <w:sz w:val="11"/>
        </w:rPr>
        <w:t xml:space="preserve"> </w:t>
      </w:r>
      <w:r>
        <w:rPr>
          <w:w w:val="105"/>
          <w:sz w:val="11"/>
        </w:rPr>
        <w:t>segregados,</w:t>
      </w:r>
      <w:r>
        <w:rPr>
          <w:spacing w:val="-5"/>
          <w:w w:val="105"/>
          <w:sz w:val="11"/>
        </w:rPr>
        <w:t xml:space="preserve"> </w:t>
      </w:r>
      <w:r>
        <w:rPr>
          <w:w w:val="105"/>
          <w:sz w:val="11"/>
        </w:rPr>
        <w:t>como</w:t>
      </w:r>
      <w:r>
        <w:rPr>
          <w:spacing w:val="-5"/>
          <w:w w:val="105"/>
          <w:sz w:val="11"/>
        </w:rPr>
        <w:t xml:space="preserve"> </w:t>
      </w:r>
      <w:r>
        <w:rPr>
          <w:w w:val="105"/>
          <w:sz w:val="11"/>
        </w:rPr>
        <w:t>instituciones</w:t>
      </w:r>
      <w:r>
        <w:rPr>
          <w:spacing w:val="40"/>
          <w:w w:val="105"/>
          <w:sz w:val="11"/>
        </w:rPr>
        <w:t xml:space="preserve"> </w:t>
      </w:r>
      <w:r>
        <w:rPr>
          <w:spacing w:val="-2"/>
          <w:w w:val="105"/>
          <w:sz w:val="11"/>
        </w:rPr>
        <w:t>residenciales,</w:t>
      </w:r>
      <w:r>
        <w:rPr>
          <w:spacing w:val="1"/>
          <w:w w:val="105"/>
          <w:sz w:val="11"/>
        </w:rPr>
        <w:t xml:space="preserve"> </w:t>
      </w:r>
      <w:r>
        <w:rPr>
          <w:spacing w:val="-2"/>
          <w:w w:val="105"/>
          <w:sz w:val="11"/>
        </w:rPr>
        <w:t>escuelas</w:t>
      </w:r>
      <w:r>
        <w:rPr>
          <w:spacing w:val="1"/>
          <w:w w:val="105"/>
          <w:sz w:val="11"/>
        </w:rPr>
        <w:t xml:space="preserve"> </w:t>
      </w:r>
      <w:r>
        <w:rPr>
          <w:spacing w:val="-2"/>
          <w:w w:val="105"/>
          <w:sz w:val="11"/>
        </w:rPr>
        <w:t>especiales</w:t>
      </w:r>
      <w:r>
        <w:rPr>
          <w:w w:val="105"/>
          <w:sz w:val="11"/>
        </w:rPr>
        <w:t xml:space="preserve"> </w:t>
      </w:r>
      <w:r>
        <w:rPr>
          <w:spacing w:val="-2"/>
          <w:w w:val="105"/>
          <w:sz w:val="11"/>
        </w:rPr>
        <w:t>u</w:t>
      </w:r>
      <w:r>
        <w:rPr>
          <w:spacing w:val="1"/>
          <w:w w:val="105"/>
          <w:sz w:val="11"/>
        </w:rPr>
        <w:t xml:space="preserve"> </w:t>
      </w:r>
      <w:r>
        <w:rPr>
          <w:spacing w:val="-2"/>
          <w:w w:val="105"/>
          <w:sz w:val="11"/>
        </w:rPr>
        <w:t>hospitales</w:t>
      </w:r>
      <w:r>
        <w:rPr>
          <w:w w:val="105"/>
          <w:sz w:val="11"/>
        </w:rPr>
        <w:t xml:space="preserve"> </w:t>
      </w:r>
      <w:r>
        <w:rPr>
          <w:spacing w:val="-2"/>
          <w:w w:val="105"/>
          <w:sz w:val="11"/>
        </w:rPr>
        <w:t>psiquiátricos,</w:t>
      </w:r>
      <w:r>
        <w:rPr>
          <w:spacing w:val="2"/>
          <w:w w:val="105"/>
          <w:sz w:val="11"/>
        </w:rPr>
        <w:t xml:space="preserve"> </w:t>
      </w:r>
      <w:r>
        <w:rPr>
          <w:spacing w:val="-2"/>
          <w:w w:val="105"/>
          <w:sz w:val="11"/>
        </w:rPr>
        <w:t>donde</w:t>
      </w:r>
      <w:r>
        <w:rPr>
          <w:w w:val="105"/>
          <w:sz w:val="11"/>
        </w:rPr>
        <w:t xml:space="preserve"> </w:t>
      </w:r>
      <w:r>
        <w:rPr>
          <w:spacing w:val="-2"/>
          <w:w w:val="105"/>
          <w:sz w:val="11"/>
        </w:rPr>
        <w:t>es</w:t>
      </w:r>
      <w:r>
        <w:rPr>
          <w:spacing w:val="1"/>
          <w:w w:val="105"/>
          <w:sz w:val="11"/>
        </w:rPr>
        <w:t xml:space="preserve"> </w:t>
      </w:r>
      <w:r>
        <w:rPr>
          <w:spacing w:val="-2"/>
          <w:w w:val="105"/>
          <w:sz w:val="11"/>
        </w:rPr>
        <w:t>más</w:t>
      </w:r>
      <w:r>
        <w:rPr>
          <w:w w:val="105"/>
          <w:sz w:val="11"/>
        </w:rPr>
        <w:t xml:space="preserve"> </w:t>
      </w:r>
      <w:r>
        <w:rPr>
          <w:spacing w:val="-2"/>
          <w:w w:val="105"/>
          <w:sz w:val="11"/>
        </w:rPr>
        <w:t>probable</w:t>
      </w:r>
      <w:r>
        <w:rPr>
          <w:spacing w:val="2"/>
          <w:w w:val="105"/>
          <w:sz w:val="11"/>
        </w:rPr>
        <w:t xml:space="preserve"> </w:t>
      </w:r>
      <w:r>
        <w:rPr>
          <w:spacing w:val="-2"/>
          <w:w w:val="105"/>
          <w:sz w:val="11"/>
        </w:rPr>
        <w:t>que</w:t>
      </w:r>
      <w:r>
        <w:rPr>
          <w:spacing w:val="1"/>
          <w:w w:val="105"/>
          <w:sz w:val="11"/>
        </w:rPr>
        <w:t xml:space="preserve"> </w:t>
      </w:r>
      <w:r>
        <w:rPr>
          <w:spacing w:val="-2"/>
          <w:w w:val="105"/>
          <w:sz w:val="11"/>
        </w:rPr>
        <w:t>se</w:t>
      </w:r>
      <w:r>
        <w:rPr>
          <w:spacing w:val="1"/>
          <w:w w:val="105"/>
          <w:sz w:val="11"/>
        </w:rPr>
        <w:t xml:space="preserve"> </w:t>
      </w:r>
      <w:r>
        <w:rPr>
          <w:spacing w:val="-2"/>
          <w:w w:val="105"/>
          <w:sz w:val="11"/>
        </w:rPr>
        <w:t>produzca</w:t>
      </w:r>
      <w:r>
        <w:rPr>
          <w:spacing w:val="2"/>
          <w:w w:val="105"/>
          <w:sz w:val="11"/>
        </w:rPr>
        <w:t xml:space="preserve"> </w:t>
      </w:r>
      <w:r>
        <w:rPr>
          <w:spacing w:val="-2"/>
          <w:w w:val="105"/>
          <w:sz w:val="11"/>
        </w:rPr>
        <w:t>este</w:t>
      </w:r>
      <w:r>
        <w:rPr>
          <w:w w:val="105"/>
          <w:sz w:val="11"/>
        </w:rPr>
        <w:t xml:space="preserve"> </w:t>
      </w:r>
      <w:r>
        <w:rPr>
          <w:spacing w:val="-2"/>
          <w:w w:val="105"/>
          <w:sz w:val="11"/>
        </w:rPr>
        <w:t>tipo</w:t>
      </w:r>
      <w:r>
        <w:rPr>
          <w:spacing w:val="1"/>
          <w:w w:val="105"/>
          <w:sz w:val="11"/>
        </w:rPr>
        <w:t xml:space="preserve"> </w:t>
      </w:r>
      <w:r>
        <w:rPr>
          <w:spacing w:val="-2"/>
          <w:w w:val="105"/>
          <w:sz w:val="11"/>
        </w:rPr>
        <w:t>de</w:t>
      </w:r>
      <w:r>
        <w:rPr>
          <w:w w:val="105"/>
          <w:sz w:val="11"/>
        </w:rPr>
        <w:t xml:space="preserve"> </w:t>
      </w:r>
      <w:r>
        <w:rPr>
          <w:spacing w:val="-2"/>
          <w:w w:val="105"/>
          <w:sz w:val="11"/>
        </w:rPr>
        <w:t>discriminación</w:t>
      </w:r>
      <w:r>
        <w:rPr>
          <w:spacing w:val="2"/>
          <w:w w:val="105"/>
          <w:sz w:val="11"/>
        </w:rPr>
        <w:t xml:space="preserve"> </w:t>
      </w:r>
      <w:r>
        <w:rPr>
          <w:spacing w:val="-2"/>
          <w:w w:val="105"/>
          <w:sz w:val="11"/>
        </w:rPr>
        <w:t>y</w:t>
      </w:r>
      <w:r>
        <w:rPr>
          <w:spacing w:val="2"/>
          <w:w w:val="105"/>
          <w:sz w:val="11"/>
        </w:rPr>
        <w:t xml:space="preserve"> </w:t>
      </w:r>
      <w:r>
        <w:rPr>
          <w:spacing w:val="-2"/>
          <w:w w:val="105"/>
          <w:sz w:val="11"/>
        </w:rPr>
        <w:t>es</w:t>
      </w:r>
      <w:r>
        <w:rPr>
          <w:w w:val="105"/>
          <w:sz w:val="11"/>
        </w:rPr>
        <w:t xml:space="preserve"> </w:t>
      </w:r>
      <w:r>
        <w:rPr>
          <w:spacing w:val="-2"/>
          <w:w w:val="105"/>
          <w:sz w:val="11"/>
        </w:rPr>
        <w:t>por</w:t>
      </w:r>
      <w:r>
        <w:rPr>
          <w:spacing w:val="1"/>
          <w:w w:val="105"/>
          <w:sz w:val="11"/>
        </w:rPr>
        <w:t xml:space="preserve"> </w:t>
      </w:r>
      <w:r>
        <w:rPr>
          <w:spacing w:val="-2"/>
          <w:w w:val="105"/>
          <w:sz w:val="11"/>
        </w:rPr>
        <w:t>naturaleza</w:t>
      </w:r>
      <w:r>
        <w:rPr>
          <w:w w:val="105"/>
          <w:sz w:val="11"/>
        </w:rPr>
        <w:t xml:space="preserve"> </w:t>
      </w:r>
      <w:r>
        <w:rPr>
          <w:spacing w:val="-2"/>
          <w:w w:val="105"/>
          <w:sz w:val="11"/>
        </w:rPr>
        <w:t>invisible,</w:t>
      </w:r>
      <w:r>
        <w:rPr>
          <w:spacing w:val="2"/>
          <w:w w:val="105"/>
          <w:sz w:val="11"/>
        </w:rPr>
        <w:t xml:space="preserve"> </w:t>
      </w:r>
      <w:r>
        <w:rPr>
          <w:spacing w:val="-2"/>
          <w:w w:val="105"/>
          <w:sz w:val="11"/>
        </w:rPr>
        <w:t>y</w:t>
      </w:r>
      <w:r>
        <w:rPr>
          <w:spacing w:val="1"/>
          <w:w w:val="105"/>
          <w:sz w:val="11"/>
        </w:rPr>
        <w:t xml:space="preserve"> </w:t>
      </w:r>
      <w:r>
        <w:rPr>
          <w:spacing w:val="-2"/>
          <w:w w:val="105"/>
          <w:sz w:val="11"/>
        </w:rPr>
        <w:t>por</w:t>
      </w:r>
      <w:r>
        <w:rPr>
          <w:spacing w:val="1"/>
          <w:w w:val="105"/>
          <w:sz w:val="11"/>
        </w:rPr>
        <w:t xml:space="preserve"> </w:t>
      </w:r>
      <w:r>
        <w:rPr>
          <w:spacing w:val="-2"/>
          <w:w w:val="105"/>
          <w:sz w:val="11"/>
        </w:rPr>
        <w:t>lo</w:t>
      </w:r>
      <w:r>
        <w:rPr>
          <w:w w:val="105"/>
          <w:sz w:val="11"/>
        </w:rPr>
        <w:t xml:space="preserve"> </w:t>
      </w:r>
      <w:r>
        <w:rPr>
          <w:spacing w:val="-2"/>
          <w:w w:val="105"/>
          <w:sz w:val="11"/>
        </w:rPr>
        <w:t>que</w:t>
      </w:r>
      <w:r>
        <w:rPr>
          <w:spacing w:val="1"/>
          <w:w w:val="105"/>
          <w:sz w:val="11"/>
        </w:rPr>
        <w:t xml:space="preserve"> </w:t>
      </w:r>
      <w:r>
        <w:rPr>
          <w:spacing w:val="-5"/>
          <w:w w:val="105"/>
          <w:sz w:val="11"/>
        </w:rPr>
        <w:t>no</w:t>
      </w:r>
    </w:p>
    <w:p w14:paraId="2FD668CD" w14:textId="77777777" w:rsidR="0014798C" w:rsidRDefault="004E1F0B">
      <w:pPr>
        <w:spacing w:line="280" w:lineRule="auto"/>
        <w:ind w:left="1369" w:right="1400" w:hanging="2"/>
        <w:rPr>
          <w:sz w:val="11"/>
        </w:rPr>
      </w:pPr>
      <w:r>
        <w:rPr>
          <w:w w:val="105"/>
          <w:sz w:val="11"/>
        </w:rPr>
        <w:t>es</w:t>
      </w:r>
      <w:r>
        <w:rPr>
          <w:spacing w:val="-7"/>
          <w:w w:val="105"/>
          <w:sz w:val="11"/>
        </w:rPr>
        <w:t xml:space="preserve"> </w:t>
      </w:r>
      <w:r>
        <w:rPr>
          <w:w w:val="105"/>
          <w:sz w:val="11"/>
        </w:rPr>
        <w:t>probable</w:t>
      </w:r>
      <w:r>
        <w:rPr>
          <w:spacing w:val="-6"/>
          <w:w w:val="105"/>
          <w:sz w:val="11"/>
        </w:rPr>
        <w:t xml:space="preserve"> </w:t>
      </w:r>
      <w:r>
        <w:rPr>
          <w:w w:val="105"/>
          <w:sz w:val="11"/>
        </w:rPr>
        <w:t>que</w:t>
      </w:r>
      <w:r>
        <w:rPr>
          <w:spacing w:val="-7"/>
          <w:w w:val="105"/>
          <w:sz w:val="11"/>
        </w:rPr>
        <w:t xml:space="preserve"> </w:t>
      </w:r>
      <w:r>
        <w:rPr>
          <w:w w:val="105"/>
          <w:sz w:val="11"/>
        </w:rPr>
        <w:t>sea</w:t>
      </w:r>
      <w:r>
        <w:rPr>
          <w:spacing w:val="-6"/>
          <w:w w:val="105"/>
          <w:sz w:val="11"/>
        </w:rPr>
        <w:t xml:space="preserve"> </w:t>
      </w:r>
      <w:r>
        <w:rPr>
          <w:w w:val="105"/>
          <w:sz w:val="11"/>
        </w:rPr>
        <w:t>castigado.</w:t>
      </w:r>
      <w:r>
        <w:rPr>
          <w:spacing w:val="-6"/>
          <w:w w:val="105"/>
          <w:sz w:val="11"/>
        </w:rPr>
        <w:t xml:space="preserve"> </w:t>
      </w:r>
      <w:r>
        <w:rPr>
          <w:w w:val="105"/>
          <w:sz w:val="11"/>
        </w:rPr>
        <w:t>El</w:t>
      </w:r>
      <w:r>
        <w:rPr>
          <w:spacing w:val="-7"/>
          <w:w w:val="105"/>
          <w:sz w:val="11"/>
        </w:rPr>
        <w:t xml:space="preserve"> </w:t>
      </w:r>
      <w:r>
        <w:rPr>
          <w:w w:val="105"/>
          <w:sz w:val="11"/>
        </w:rPr>
        <w:t>'</w:t>
      </w:r>
      <w:proofErr w:type="spellStart"/>
      <w:r>
        <w:rPr>
          <w:w w:val="105"/>
          <w:sz w:val="11"/>
        </w:rPr>
        <w:t>bullying</w:t>
      </w:r>
      <w:proofErr w:type="spellEnd"/>
      <w:r>
        <w:rPr>
          <w:w w:val="105"/>
          <w:sz w:val="11"/>
        </w:rPr>
        <w:t>'</w:t>
      </w:r>
      <w:r>
        <w:rPr>
          <w:spacing w:val="-6"/>
          <w:w w:val="105"/>
          <w:sz w:val="11"/>
        </w:rPr>
        <w:t xml:space="preserve"> </w:t>
      </w:r>
      <w:r>
        <w:rPr>
          <w:w w:val="105"/>
          <w:sz w:val="11"/>
        </w:rPr>
        <w:t>y</w:t>
      </w:r>
      <w:r>
        <w:rPr>
          <w:spacing w:val="-6"/>
          <w:w w:val="105"/>
          <w:sz w:val="11"/>
        </w:rPr>
        <w:t xml:space="preserve"> </w:t>
      </w:r>
      <w:r>
        <w:rPr>
          <w:w w:val="105"/>
          <w:sz w:val="11"/>
        </w:rPr>
        <w:t>su</w:t>
      </w:r>
      <w:r>
        <w:rPr>
          <w:spacing w:val="-6"/>
          <w:w w:val="105"/>
          <w:sz w:val="11"/>
        </w:rPr>
        <w:t xml:space="preserve"> </w:t>
      </w:r>
      <w:r>
        <w:rPr>
          <w:w w:val="105"/>
          <w:sz w:val="11"/>
        </w:rPr>
        <w:t>forma</w:t>
      </w:r>
      <w:r>
        <w:rPr>
          <w:spacing w:val="-7"/>
          <w:w w:val="105"/>
          <w:sz w:val="11"/>
        </w:rPr>
        <w:t xml:space="preserve"> </w:t>
      </w:r>
      <w:r>
        <w:rPr>
          <w:w w:val="105"/>
          <w:sz w:val="11"/>
        </w:rPr>
        <w:t>en</w:t>
      </w:r>
      <w:r>
        <w:rPr>
          <w:spacing w:val="-7"/>
          <w:w w:val="105"/>
          <w:sz w:val="11"/>
        </w:rPr>
        <w:t xml:space="preserve"> </w:t>
      </w:r>
      <w:r>
        <w:rPr>
          <w:w w:val="105"/>
          <w:sz w:val="11"/>
        </w:rPr>
        <w:t>línea,</w:t>
      </w:r>
      <w:r>
        <w:rPr>
          <w:spacing w:val="-6"/>
          <w:w w:val="105"/>
          <w:sz w:val="11"/>
        </w:rPr>
        <w:t xml:space="preserve"> </w:t>
      </w:r>
      <w:r>
        <w:rPr>
          <w:w w:val="105"/>
          <w:sz w:val="11"/>
        </w:rPr>
        <w:t>el</w:t>
      </w:r>
      <w:r>
        <w:rPr>
          <w:spacing w:val="-7"/>
          <w:w w:val="105"/>
          <w:sz w:val="11"/>
        </w:rPr>
        <w:t xml:space="preserve"> </w:t>
      </w:r>
      <w:r>
        <w:rPr>
          <w:w w:val="105"/>
          <w:sz w:val="11"/>
        </w:rPr>
        <w:t>ciberbullying</w:t>
      </w:r>
      <w:r>
        <w:rPr>
          <w:spacing w:val="-6"/>
          <w:w w:val="105"/>
          <w:sz w:val="11"/>
        </w:rPr>
        <w:t xml:space="preserve"> </w:t>
      </w:r>
      <w:r>
        <w:rPr>
          <w:w w:val="105"/>
          <w:sz w:val="11"/>
        </w:rPr>
        <w:t>y</w:t>
      </w:r>
      <w:r>
        <w:rPr>
          <w:spacing w:val="-6"/>
          <w:w w:val="105"/>
          <w:sz w:val="11"/>
        </w:rPr>
        <w:t xml:space="preserve"> </w:t>
      </w:r>
      <w:r>
        <w:rPr>
          <w:w w:val="105"/>
          <w:sz w:val="11"/>
        </w:rPr>
        <w:t>el</w:t>
      </w:r>
      <w:r>
        <w:rPr>
          <w:spacing w:val="-7"/>
          <w:w w:val="105"/>
          <w:sz w:val="11"/>
        </w:rPr>
        <w:t xml:space="preserve"> </w:t>
      </w:r>
      <w:r>
        <w:rPr>
          <w:w w:val="105"/>
          <w:sz w:val="11"/>
        </w:rPr>
        <w:t>ciberodio,</w:t>
      </w:r>
      <w:r>
        <w:rPr>
          <w:spacing w:val="-6"/>
          <w:w w:val="105"/>
          <w:sz w:val="11"/>
        </w:rPr>
        <w:t xml:space="preserve"> </w:t>
      </w:r>
      <w:r>
        <w:rPr>
          <w:w w:val="105"/>
          <w:sz w:val="11"/>
        </w:rPr>
        <w:t>también</w:t>
      </w:r>
      <w:r>
        <w:rPr>
          <w:spacing w:val="-7"/>
          <w:w w:val="105"/>
          <w:sz w:val="11"/>
        </w:rPr>
        <w:t xml:space="preserve"> </w:t>
      </w:r>
      <w:r>
        <w:rPr>
          <w:w w:val="105"/>
          <w:sz w:val="11"/>
        </w:rPr>
        <w:t>constituyen</w:t>
      </w:r>
      <w:r>
        <w:rPr>
          <w:spacing w:val="-7"/>
          <w:w w:val="105"/>
          <w:sz w:val="11"/>
        </w:rPr>
        <w:t xml:space="preserve"> </w:t>
      </w:r>
      <w:r>
        <w:rPr>
          <w:w w:val="105"/>
          <w:sz w:val="11"/>
        </w:rPr>
        <w:t>formas</w:t>
      </w:r>
      <w:r>
        <w:rPr>
          <w:spacing w:val="-7"/>
          <w:w w:val="105"/>
          <w:sz w:val="11"/>
        </w:rPr>
        <w:t xml:space="preserve"> </w:t>
      </w:r>
      <w:r>
        <w:rPr>
          <w:w w:val="105"/>
          <w:sz w:val="11"/>
        </w:rPr>
        <w:t>particularmente</w:t>
      </w:r>
      <w:r>
        <w:rPr>
          <w:spacing w:val="-7"/>
          <w:w w:val="105"/>
          <w:sz w:val="11"/>
        </w:rPr>
        <w:t xml:space="preserve"> </w:t>
      </w:r>
      <w:r>
        <w:rPr>
          <w:w w:val="105"/>
          <w:sz w:val="11"/>
        </w:rPr>
        <w:t>violentas</w:t>
      </w:r>
      <w:r>
        <w:rPr>
          <w:spacing w:val="-7"/>
          <w:w w:val="105"/>
          <w:sz w:val="11"/>
        </w:rPr>
        <w:t xml:space="preserve"> </w:t>
      </w:r>
      <w:r>
        <w:rPr>
          <w:w w:val="105"/>
          <w:sz w:val="11"/>
        </w:rPr>
        <w:t>y</w:t>
      </w:r>
      <w:r>
        <w:rPr>
          <w:spacing w:val="-6"/>
          <w:w w:val="105"/>
          <w:sz w:val="11"/>
        </w:rPr>
        <w:t xml:space="preserve"> </w:t>
      </w:r>
      <w:r>
        <w:rPr>
          <w:w w:val="105"/>
          <w:sz w:val="11"/>
        </w:rPr>
        <w:t>dañinas</w:t>
      </w:r>
      <w:r>
        <w:rPr>
          <w:spacing w:val="-7"/>
          <w:w w:val="105"/>
          <w:sz w:val="11"/>
        </w:rPr>
        <w:t xml:space="preserve"> </w:t>
      </w:r>
      <w:r>
        <w:rPr>
          <w:w w:val="105"/>
          <w:sz w:val="11"/>
        </w:rPr>
        <w:t>de</w:t>
      </w:r>
      <w:r>
        <w:rPr>
          <w:spacing w:val="-7"/>
          <w:w w:val="105"/>
          <w:sz w:val="11"/>
        </w:rPr>
        <w:t xml:space="preserve"> </w:t>
      </w:r>
      <w:r>
        <w:rPr>
          <w:w w:val="105"/>
          <w:sz w:val="11"/>
        </w:rPr>
        <w:t>crímenes</w:t>
      </w:r>
      <w:r>
        <w:rPr>
          <w:spacing w:val="-7"/>
          <w:w w:val="105"/>
          <w:sz w:val="11"/>
        </w:rPr>
        <w:t xml:space="preserve"> </w:t>
      </w:r>
      <w:r>
        <w:rPr>
          <w:w w:val="105"/>
          <w:sz w:val="11"/>
        </w:rPr>
        <w:t>de</w:t>
      </w:r>
      <w:r>
        <w:rPr>
          <w:spacing w:val="40"/>
          <w:w w:val="105"/>
          <w:sz w:val="11"/>
        </w:rPr>
        <w:t xml:space="preserve"> </w:t>
      </w:r>
      <w:r>
        <w:rPr>
          <w:spacing w:val="-2"/>
          <w:w w:val="105"/>
          <w:sz w:val="11"/>
        </w:rPr>
        <w:t>odio”.</w:t>
      </w:r>
    </w:p>
    <w:p w14:paraId="4F7F59F0" w14:textId="77777777" w:rsidR="0014798C" w:rsidRDefault="0014798C">
      <w:pPr>
        <w:pStyle w:val="Textoindependiente"/>
        <w:spacing w:before="15"/>
        <w:rPr>
          <w:sz w:val="11"/>
        </w:rPr>
      </w:pPr>
    </w:p>
    <w:p w14:paraId="63AA2161" w14:textId="77777777" w:rsidR="0014798C" w:rsidRDefault="004E1F0B">
      <w:pPr>
        <w:spacing w:line="388" w:lineRule="auto"/>
        <w:ind w:left="1111" w:right="4743"/>
        <w:rPr>
          <w:sz w:val="11"/>
        </w:rPr>
      </w:pPr>
      <w:r>
        <w:rPr>
          <w:sz w:val="11"/>
        </w:rPr>
        <w:t>1131 Comité sobre los Derechos de las Personas con Discapacidad, observación general núm. 6 (2018), párr. 18 d).</w:t>
      </w:r>
      <w:r>
        <w:rPr>
          <w:spacing w:val="40"/>
          <w:sz w:val="11"/>
        </w:rPr>
        <w:t xml:space="preserve"> </w:t>
      </w:r>
      <w:r>
        <w:rPr>
          <w:sz w:val="11"/>
        </w:rPr>
        <w:t>1132</w:t>
      </w:r>
      <w:r>
        <w:rPr>
          <w:spacing w:val="-8"/>
          <w:sz w:val="11"/>
        </w:rPr>
        <w:t xml:space="preserve"> </w:t>
      </w:r>
      <w:proofErr w:type="spellStart"/>
      <w:r>
        <w:rPr>
          <w:sz w:val="11"/>
        </w:rPr>
        <w:t>Ibíd</w:t>
      </w:r>
      <w:proofErr w:type="spellEnd"/>
      <w:r>
        <w:rPr>
          <w:sz w:val="11"/>
        </w:rPr>
        <w:t>.</w:t>
      </w:r>
    </w:p>
    <w:p w14:paraId="10CF743C" w14:textId="77777777" w:rsidR="0014798C" w:rsidRDefault="004E1F0B">
      <w:pPr>
        <w:spacing w:before="42"/>
        <w:ind w:left="1111"/>
        <w:rPr>
          <w:sz w:val="11"/>
        </w:rPr>
      </w:pPr>
      <w:r>
        <w:rPr>
          <w:sz w:val="11"/>
          <w:vertAlign w:val="superscript"/>
        </w:rPr>
        <w:t>1133</w:t>
      </w:r>
      <w:r>
        <w:rPr>
          <w:spacing w:val="43"/>
          <w:sz w:val="11"/>
        </w:rPr>
        <w:t xml:space="preserve"> </w:t>
      </w:r>
      <w:r>
        <w:rPr>
          <w:sz w:val="11"/>
        </w:rPr>
        <w:t>Véase,</w:t>
      </w:r>
      <w:r>
        <w:rPr>
          <w:spacing w:val="3"/>
          <w:sz w:val="11"/>
        </w:rPr>
        <w:t xml:space="preserve"> </w:t>
      </w:r>
      <w:r>
        <w:rPr>
          <w:sz w:val="11"/>
        </w:rPr>
        <w:t>por</w:t>
      </w:r>
      <w:r>
        <w:rPr>
          <w:spacing w:val="2"/>
          <w:sz w:val="11"/>
        </w:rPr>
        <w:t xml:space="preserve"> </w:t>
      </w:r>
      <w:r>
        <w:rPr>
          <w:sz w:val="11"/>
        </w:rPr>
        <w:t>ejemplo,</w:t>
      </w:r>
      <w:r>
        <w:rPr>
          <w:spacing w:val="2"/>
          <w:sz w:val="11"/>
        </w:rPr>
        <w:t xml:space="preserve"> </w:t>
      </w:r>
      <w:r>
        <w:rPr>
          <w:sz w:val="11"/>
        </w:rPr>
        <w:t>Tribunal</w:t>
      </w:r>
      <w:r>
        <w:rPr>
          <w:spacing w:val="2"/>
          <w:sz w:val="11"/>
        </w:rPr>
        <w:t xml:space="preserve"> </w:t>
      </w:r>
      <w:r>
        <w:rPr>
          <w:sz w:val="11"/>
        </w:rPr>
        <w:t>Internacional</w:t>
      </w:r>
      <w:r>
        <w:rPr>
          <w:spacing w:val="2"/>
          <w:sz w:val="11"/>
        </w:rPr>
        <w:t xml:space="preserve"> </w:t>
      </w:r>
      <w:r>
        <w:rPr>
          <w:sz w:val="11"/>
        </w:rPr>
        <w:t>para</w:t>
      </w:r>
      <w:r>
        <w:rPr>
          <w:spacing w:val="3"/>
          <w:sz w:val="11"/>
        </w:rPr>
        <w:t xml:space="preserve"> </w:t>
      </w:r>
      <w:r>
        <w:rPr>
          <w:sz w:val="11"/>
        </w:rPr>
        <w:t>la</w:t>
      </w:r>
      <w:r>
        <w:rPr>
          <w:spacing w:val="2"/>
          <w:sz w:val="11"/>
        </w:rPr>
        <w:t xml:space="preserve"> </w:t>
      </w:r>
      <w:r>
        <w:rPr>
          <w:sz w:val="11"/>
        </w:rPr>
        <w:t>ex</w:t>
      </w:r>
      <w:r>
        <w:rPr>
          <w:spacing w:val="2"/>
          <w:sz w:val="11"/>
        </w:rPr>
        <w:t xml:space="preserve"> </w:t>
      </w:r>
      <w:r>
        <w:rPr>
          <w:sz w:val="11"/>
        </w:rPr>
        <w:t>Yugoslavia,</w:t>
      </w:r>
      <w:r>
        <w:rPr>
          <w:spacing w:val="3"/>
          <w:sz w:val="11"/>
        </w:rPr>
        <w:t xml:space="preserve"> </w:t>
      </w:r>
      <w:proofErr w:type="spellStart"/>
      <w:r>
        <w:rPr>
          <w:sz w:val="11"/>
        </w:rPr>
        <w:t>Prosecutor</w:t>
      </w:r>
      <w:proofErr w:type="spellEnd"/>
      <w:r>
        <w:rPr>
          <w:spacing w:val="2"/>
          <w:sz w:val="11"/>
        </w:rPr>
        <w:t xml:space="preserve"> </w:t>
      </w:r>
      <w:r>
        <w:rPr>
          <w:sz w:val="11"/>
        </w:rPr>
        <w:t>v.</w:t>
      </w:r>
      <w:r>
        <w:rPr>
          <w:spacing w:val="3"/>
          <w:sz w:val="11"/>
        </w:rPr>
        <w:t xml:space="preserve"> </w:t>
      </w:r>
      <w:r>
        <w:rPr>
          <w:sz w:val="11"/>
        </w:rPr>
        <w:t>Radovan</w:t>
      </w:r>
      <w:r>
        <w:rPr>
          <w:spacing w:val="2"/>
          <w:sz w:val="11"/>
        </w:rPr>
        <w:t xml:space="preserve"> </w:t>
      </w:r>
      <w:proofErr w:type="spellStart"/>
      <w:r>
        <w:rPr>
          <w:sz w:val="11"/>
        </w:rPr>
        <w:t>Karadžić</w:t>
      </w:r>
      <w:proofErr w:type="spellEnd"/>
      <w:r>
        <w:rPr>
          <w:sz w:val="11"/>
        </w:rPr>
        <w:t>,</w:t>
      </w:r>
      <w:r>
        <w:rPr>
          <w:spacing w:val="3"/>
          <w:sz w:val="11"/>
        </w:rPr>
        <w:t xml:space="preserve"> </w:t>
      </w:r>
      <w:r>
        <w:rPr>
          <w:sz w:val="11"/>
        </w:rPr>
        <w:t>Caso</w:t>
      </w:r>
      <w:r>
        <w:rPr>
          <w:spacing w:val="3"/>
          <w:sz w:val="11"/>
        </w:rPr>
        <w:t xml:space="preserve"> </w:t>
      </w:r>
      <w:r>
        <w:rPr>
          <w:sz w:val="11"/>
        </w:rPr>
        <w:t>No.</w:t>
      </w:r>
      <w:r>
        <w:rPr>
          <w:spacing w:val="3"/>
          <w:sz w:val="11"/>
        </w:rPr>
        <w:t xml:space="preserve"> </w:t>
      </w:r>
      <w:r>
        <w:rPr>
          <w:sz w:val="11"/>
        </w:rPr>
        <w:t>IT-95-5/18-T,</w:t>
      </w:r>
      <w:r>
        <w:rPr>
          <w:spacing w:val="2"/>
          <w:sz w:val="11"/>
        </w:rPr>
        <w:t xml:space="preserve"> </w:t>
      </w:r>
      <w:r>
        <w:rPr>
          <w:sz w:val="11"/>
        </w:rPr>
        <w:t>Sentencia,</w:t>
      </w:r>
      <w:r>
        <w:rPr>
          <w:spacing w:val="3"/>
          <w:sz w:val="11"/>
        </w:rPr>
        <w:t xml:space="preserve"> </w:t>
      </w:r>
      <w:r>
        <w:rPr>
          <w:sz w:val="11"/>
        </w:rPr>
        <w:t>24</w:t>
      </w:r>
      <w:r>
        <w:rPr>
          <w:spacing w:val="2"/>
          <w:sz w:val="11"/>
        </w:rPr>
        <w:t xml:space="preserve"> </w:t>
      </w:r>
      <w:r>
        <w:rPr>
          <w:sz w:val="11"/>
        </w:rPr>
        <w:t>de</w:t>
      </w:r>
      <w:r>
        <w:rPr>
          <w:spacing w:val="2"/>
          <w:sz w:val="11"/>
        </w:rPr>
        <w:t xml:space="preserve"> </w:t>
      </w:r>
      <w:r>
        <w:rPr>
          <w:sz w:val="11"/>
        </w:rPr>
        <w:t>marzo</w:t>
      </w:r>
      <w:r>
        <w:rPr>
          <w:spacing w:val="3"/>
          <w:sz w:val="11"/>
        </w:rPr>
        <w:t xml:space="preserve"> </w:t>
      </w:r>
      <w:r>
        <w:rPr>
          <w:sz w:val="11"/>
        </w:rPr>
        <w:t>de</w:t>
      </w:r>
      <w:r>
        <w:rPr>
          <w:spacing w:val="2"/>
          <w:sz w:val="11"/>
        </w:rPr>
        <w:t xml:space="preserve"> </w:t>
      </w:r>
      <w:r>
        <w:rPr>
          <w:spacing w:val="-2"/>
          <w:sz w:val="11"/>
        </w:rPr>
        <w:t>2016.</w:t>
      </w:r>
    </w:p>
    <w:p w14:paraId="01AAEE27" w14:textId="77777777" w:rsidR="0014798C" w:rsidRDefault="0014798C">
      <w:pPr>
        <w:pStyle w:val="Textoindependiente"/>
        <w:rPr>
          <w:sz w:val="11"/>
        </w:rPr>
      </w:pPr>
    </w:p>
    <w:p w14:paraId="157F052B" w14:textId="77777777" w:rsidR="0014798C" w:rsidRDefault="0014798C">
      <w:pPr>
        <w:pStyle w:val="Textoindependiente"/>
        <w:spacing w:before="37"/>
        <w:rPr>
          <w:sz w:val="11"/>
        </w:rPr>
      </w:pPr>
    </w:p>
    <w:p w14:paraId="44F6028A" w14:textId="77777777" w:rsidR="0014798C" w:rsidRDefault="004E1F0B">
      <w:pPr>
        <w:ind w:left="1111"/>
        <w:rPr>
          <w:sz w:val="11"/>
        </w:rPr>
      </w:pPr>
      <w:r>
        <w:rPr>
          <w:w w:val="105"/>
          <w:sz w:val="11"/>
          <w:vertAlign w:val="superscript"/>
        </w:rPr>
        <w:t>1134</w:t>
      </w:r>
      <w:r>
        <w:rPr>
          <w:spacing w:val="16"/>
          <w:w w:val="105"/>
          <w:sz w:val="11"/>
        </w:rPr>
        <w:t xml:space="preserve"> </w:t>
      </w:r>
      <w:r>
        <w:rPr>
          <w:w w:val="105"/>
          <w:sz w:val="11"/>
        </w:rPr>
        <w:t>Tribunal</w:t>
      </w:r>
      <w:r>
        <w:rPr>
          <w:spacing w:val="-8"/>
          <w:w w:val="105"/>
          <w:sz w:val="11"/>
        </w:rPr>
        <w:t xml:space="preserve"> </w:t>
      </w:r>
      <w:r>
        <w:rPr>
          <w:w w:val="105"/>
          <w:sz w:val="11"/>
        </w:rPr>
        <w:t>Europeo</w:t>
      </w:r>
      <w:r>
        <w:rPr>
          <w:spacing w:val="-8"/>
          <w:w w:val="105"/>
          <w:sz w:val="11"/>
        </w:rPr>
        <w:t xml:space="preserve"> </w:t>
      </w:r>
      <w:r>
        <w:rPr>
          <w:w w:val="105"/>
          <w:sz w:val="11"/>
        </w:rPr>
        <w:t>de</w:t>
      </w:r>
      <w:r>
        <w:rPr>
          <w:spacing w:val="-8"/>
          <w:w w:val="105"/>
          <w:sz w:val="11"/>
        </w:rPr>
        <w:t xml:space="preserve"> </w:t>
      </w:r>
      <w:r>
        <w:rPr>
          <w:w w:val="105"/>
          <w:sz w:val="11"/>
        </w:rPr>
        <w:t>Derechos</w:t>
      </w:r>
      <w:r>
        <w:rPr>
          <w:spacing w:val="-8"/>
          <w:w w:val="105"/>
          <w:sz w:val="11"/>
        </w:rPr>
        <w:t xml:space="preserve"> </w:t>
      </w:r>
      <w:r>
        <w:rPr>
          <w:w w:val="105"/>
          <w:sz w:val="11"/>
        </w:rPr>
        <w:t>Humanos,</w:t>
      </w:r>
      <w:r>
        <w:rPr>
          <w:spacing w:val="-8"/>
          <w:w w:val="105"/>
          <w:sz w:val="11"/>
        </w:rPr>
        <w:t xml:space="preserve"> </w:t>
      </w:r>
      <w:proofErr w:type="spellStart"/>
      <w:r>
        <w:rPr>
          <w:w w:val="105"/>
          <w:sz w:val="11"/>
        </w:rPr>
        <w:t>Nachova</w:t>
      </w:r>
      <w:proofErr w:type="spellEnd"/>
      <w:r>
        <w:rPr>
          <w:spacing w:val="-8"/>
          <w:w w:val="105"/>
          <w:sz w:val="11"/>
        </w:rPr>
        <w:t xml:space="preserve"> </w:t>
      </w:r>
      <w:r>
        <w:rPr>
          <w:w w:val="105"/>
          <w:sz w:val="11"/>
        </w:rPr>
        <w:t>y</w:t>
      </w:r>
      <w:r>
        <w:rPr>
          <w:spacing w:val="-7"/>
          <w:w w:val="105"/>
          <w:sz w:val="11"/>
        </w:rPr>
        <w:t xml:space="preserve"> </w:t>
      </w:r>
      <w:r>
        <w:rPr>
          <w:w w:val="105"/>
          <w:sz w:val="11"/>
        </w:rPr>
        <w:t>otros</w:t>
      </w:r>
      <w:r>
        <w:rPr>
          <w:spacing w:val="-8"/>
          <w:w w:val="105"/>
          <w:sz w:val="11"/>
        </w:rPr>
        <w:t xml:space="preserve"> </w:t>
      </w:r>
      <w:r>
        <w:rPr>
          <w:w w:val="105"/>
          <w:sz w:val="11"/>
        </w:rPr>
        <w:t>c.</w:t>
      </w:r>
      <w:r>
        <w:rPr>
          <w:spacing w:val="-8"/>
          <w:w w:val="105"/>
          <w:sz w:val="11"/>
        </w:rPr>
        <w:t xml:space="preserve"> </w:t>
      </w:r>
      <w:r>
        <w:rPr>
          <w:w w:val="105"/>
          <w:sz w:val="11"/>
        </w:rPr>
        <w:t>Bulgaria,</w:t>
      </w:r>
      <w:r>
        <w:rPr>
          <w:spacing w:val="-7"/>
          <w:w w:val="105"/>
          <w:sz w:val="11"/>
        </w:rPr>
        <w:t xml:space="preserve"> </w:t>
      </w:r>
      <w:r>
        <w:rPr>
          <w:w w:val="105"/>
          <w:sz w:val="11"/>
        </w:rPr>
        <w:t>solicitudes</w:t>
      </w:r>
      <w:r>
        <w:rPr>
          <w:spacing w:val="-8"/>
          <w:w w:val="105"/>
          <w:sz w:val="11"/>
        </w:rPr>
        <w:t xml:space="preserve"> </w:t>
      </w:r>
      <w:proofErr w:type="spellStart"/>
      <w:r>
        <w:rPr>
          <w:w w:val="105"/>
          <w:sz w:val="11"/>
        </w:rPr>
        <w:t>núms</w:t>
      </w:r>
      <w:proofErr w:type="spellEnd"/>
      <w:r>
        <w:rPr>
          <w:w w:val="105"/>
          <w:sz w:val="11"/>
        </w:rPr>
        <w:t>.</w:t>
      </w:r>
      <w:r>
        <w:rPr>
          <w:spacing w:val="-8"/>
          <w:w w:val="105"/>
          <w:sz w:val="11"/>
        </w:rPr>
        <w:t xml:space="preserve"> </w:t>
      </w:r>
      <w:r>
        <w:rPr>
          <w:w w:val="105"/>
          <w:sz w:val="11"/>
        </w:rPr>
        <w:t>43577/98</w:t>
      </w:r>
      <w:r>
        <w:rPr>
          <w:spacing w:val="-8"/>
          <w:w w:val="105"/>
          <w:sz w:val="11"/>
        </w:rPr>
        <w:t xml:space="preserve"> </w:t>
      </w:r>
      <w:r>
        <w:rPr>
          <w:w w:val="105"/>
          <w:sz w:val="11"/>
        </w:rPr>
        <w:t>y</w:t>
      </w:r>
      <w:r>
        <w:rPr>
          <w:spacing w:val="-8"/>
          <w:w w:val="105"/>
          <w:sz w:val="11"/>
        </w:rPr>
        <w:t xml:space="preserve"> </w:t>
      </w:r>
      <w:r>
        <w:rPr>
          <w:w w:val="105"/>
          <w:sz w:val="11"/>
        </w:rPr>
        <w:t>43579/98,</w:t>
      </w:r>
      <w:r>
        <w:rPr>
          <w:spacing w:val="-7"/>
          <w:w w:val="105"/>
          <w:sz w:val="11"/>
        </w:rPr>
        <w:t xml:space="preserve"> </w:t>
      </w:r>
      <w:r>
        <w:rPr>
          <w:w w:val="105"/>
          <w:sz w:val="11"/>
        </w:rPr>
        <w:t>sentencia</w:t>
      </w:r>
      <w:r>
        <w:rPr>
          <w:spacing w:val="-8"/>
          <w:w w:val="105"/>
          <w:sz w:val="11"/>
        </w:rPr>
        <w:t xml:space="preserve"> </w:t>
      </w:r>
      <w:r>
        <w:rPr>
          <w:w w:val="105"/>
          <w:sz w:val="11"/>
        </w:rPr>
        <w:t>de</w:t>
      </w:r>
      <w:r>
        <w:rPr>
          <w:spacing w:val="-8"/>
          <w:w w:val="105"/>
          <w:sz w:val="11"/>
        </w:rPr>
        <w:t xml:space="preserve"> </w:t>
      </w:r>
      <w:r>
        <w:rPr>
          <w:w w:val="105"/>
          <w:sz w:val="11"/>
        </w:rPr>
        <w:t>6</w:t>
      </w:r>
      <w:r>
        <w:rPr>
          <w:spacing w:val="-8"/>
          <w:w w:val="105"/>
          <w:sz w:val="11"/>
        </w:rPr>
        <w:t xml:space="preserve"> </w:t>
      </w:r>
      <w:r>
        <w:rPr>
          <w:w w:val="105"/>
          <w:sz w:val="11"/>
        </w:rPr>
        <w:t>de</w:t>
      </w:r>
      <w:r>
        <w:rPr>
          <w:spacing w:val="-8"/>
          <w:w w:val="105"/>
          <w:sz w:val="11"/>
        </w:rPr>
        <w:t xml:space="preserve"> </w:t>
      </w:r>
      <w:r>
        <w:rPr>
          <w:w w:val="105"/>
          <w:sz w:val="11"/>
        </w:rPr>
        <w:t>julio</w:t>
      </w:r>
      <w:r>
        <w:rPr>
          <w:spacing w:val="-8"/>
          <w:w w:val="105"/>
          <w:sz w:val="11"/>
        </w:rPr>
        <w:t xml:space="preserve"> </w:t>
      </w:r>
      <w:r>
        <w:rPr>
          <w:w w:val="105"/>
          <w:sz w:val="11"/>
        </w:rPr>
        <w:t>de</w:t>
      </w:r>
      <w:r>
        <w:rPr>
          <w:spacing w:val="-8"/>
          <w:w w:val="105"/>
          <w:sz w:val="11"/>
        </w:rPr>
        <w:t xml:space="preserve"> </w:t>
      </w:r>
      <w:r>
        <w:rPr>
          <w:spacing w:val="-2"/>
          <w:w w:val="105"/>
          <w:sz w:val="11"/>
        </w:rPr>
        <w:t>2005.</w:t>
      </w:r>
    </w:p>
    <w:p w14:paraId="2CCC304A" w14:textId="77777777" w:rsidR="0014798C" w:rsidRDefault="004E1F0B">
      <w:pPr>
        <w:spacing w:before="53" w:line="340" w:lineRule="auto"/>
        <w:ind w:left="1371" w:right="1626" w:hanging="4"/>
        <w:rPr>
          <w:sz w:val="11"/>
        </w:rPr>
      </w:pPr>
      <w:r>
        <w:rPr>
          <w:w w:val="105"/>
          <w:sz w:val="11"/>
        </w:rPr>
        <w:t>Para</w:t>
      </w:r>
      <w:r>
        <w:rPr>
          <w:spacing w:val="-7"/>
          <w:w w:val="105"/>
          <w:sz w:val="11"/>
        </w:rPr>
        <w:t xml:space="preserve"> </w:t>
      </w:r>
      <w:r>
        <w:rPr>
          <w:w w:val="105"/>
          <w:sz w:val="11"/>
        </w:rPr>
        <w:t>un</w:t>
      </w:r>
      <w:r>
        <w:rPr>
          <w:spacing w:val="-7"/>
          <w:w w:val="105"/>
          <w:sz w:val="11"/>
        </w:rPr>
        <w:t xml:space="preserve"> </w:t>
      </w:r>
      <w:r>
        <w:rPr>
          <w:w w:val="105"/>
          <w:sz w:val="11"/>
        </w:rPr>
        <w:t>uso</w:t>
      </w:r>
      <w:r>
        <w:rPr>
          <w:spacing w:val="-6"/>
          <w:w w:val="105"/>
          <w:sz w:val="11"/>
        </w:rPr>
        <w:t xml:space="preserve"> </w:t>
      </w:r>
      <w:r>
        <w:rPr>
          <w:w w:val="105"/>
          <w:sz w:val="11"/>
        </w:rPr>
        <w:t>similar</w:t>
      </w:r>
      <w:r>
        <w:rPr>
          <w:spacing w:val="-7"/>
          <w:w w:val="105"/>
          <w:sz w:val="11"/>
        </w:rPr>
        <w:t xml:space="preserve"> </w:t>
      </w:r>
      <w:r>
        <w:rPr>
          <w:w w:val="105"/>
          <w:sz w:val="11"/>
        </w:rPr>
        <w:t>de</w:t>
      </w:r>
      <w:r>
        <w:rPr>
          <w:spacing w:val="-7"/>
          <w:w w:val="105"/>
          <w:sz w:val="11"/>
        </w:rPr>
        <w:t xml:space="preserve"> </w:t>
      </w:r>
      <w:r>
        <w:rPr>
          <w:w w:val="105"/>
          <w:sz w:val="11"/>
        </w:rPr>
        <w:t>la</w:t>
      </w:r>
      <w:r>
        <w:rPr>
          <w:spacing w:val="-7"/>
          <w:w w:val="105"/>
          <w:sz w:val="11"/>
        </w:rPr>
        <w:t xml:space="preserve"> </w:t>
      </w:r>
      <w:r>
        <w:rPr>
          <w:w w:val="105"/>
          <w:sz w:val="11"/>
        </w:rPr>
        <w:t>expresión</w:t>
      </w:r>
      <w:r>
        <w:rPr>
          <w:spacing w:val="-6"/>
          <w:w w:val="105"/>
          <w:sz w:val="11"/>
        </w:rPr>
        <w:t xml:space="preserve"> </w:t>
      </w:r>
      <w:r>
        <w:rPr>
          <w:w w:val="105"/>
          <w:sz w:val="11"/>
        </w:rPr>
        <w:t>abierta</w:t>
      </w:r>
      <w:r>
        <w:rPr>
          <w:spacing w:val="-7"/>
          <w:w w:val="105"/>
          <w:sz w:val="11"/>
        </w:rPr>
        <w:t xml:space="preserve"> </w:t>
      </w:r>
      <w:r>
        <w:rPr>
          <w:w w:val="105"/>
          <w:sz w:val="11"/>
        </w:rPr>
        <w:t>para</w:t>
      </w:r>
      <w:r>
        <w:rPr>
          <w:spacing w:val="-6"/>
          <w:w w:val="105"/>
          <w:sz w:val="11"/>
        </w:rPr>
        <w:t xml:space="preserve"> </w:t>
      </w:r>
      <w:r>
        <w:rPr>
          <w:w w:val="105"/>
          <w:sz w:val="11"/>
        </w:rPr>
        <w:t>fundamentar</w:t>
      </w:r>
      <w:r>
        <w:rPr>
          <w:spacing w:val="-7"/>
          <w:w w:val="105"/>
          <w:sz w:val="11"/>
        </w:rPr>
        <w:t xml:space="preserve"> </w:t>
      </w:r>
      <w:r>
        <w:rPr>
          <w:w w:val="105"/>
          <w:sz w:val="11"/>
        </w:rPr>
        <w:t>una</w:t>
      </w:r>
      <w:r>
        <w:rPr>
          <w:spacing w:val="-7"/>
          <w:w w:val="105"/>
          <w:sz w:val="11"/>
        </w:rPr>
        <w:t xml:space="preserve"> </w:t>
      </w:r>
      <w:r>
        <w:rPr>
          <w:w w:val="105"/>
          <w:sz w:val="11"/>
        </w:rPr>
        <w:t>conclusión</w:t>
      </w:r>
      <w:r>
        <w:rPr>
          <w:spacing w:val="-6"/>
          <w:w w:val="105"/>
          <w:sz w:val="11"/>
        </w:rPr>
        <w:t xml:space="preserve"> </w:t>
      </w:r>
      <w:r>
        <w:rPr>
          <w:w w:val="105"/>
          <w:sz w:val="11"/>
        </w:rPr>
        <w:t>de</w:t>
      </w:r>
      <w:r>
        <w:rPr>
          <w:spacing w:val="-7"/>
          <w:w w:val="105"/>
          <w:sz w:val="11"/>
        </w:rPr>
        <w:t xml:space="preserve"> </w:t>
      </w:r>
      <w:r>
        <w:rPr>
          <w:w w:val="105"/>
          <w:sz w:val="11"/>
        </w:rPr>
        <w:t>discriminación</w:t>
      </w:r>
      <w:r>
        <w:rPr>
          <w:spacing w:val="-6"/>
          <w:w w:val="105"/>
          <w:sz w:val="11"/>
        </w:rPr>
        <w:t xml:space="preserve"> </w:t>
      </w:r>
      <w:r>
        <w:rPr>
          <w:w w:val="105"/>
          <w:sz w:val="11"/>
        </w:rPr>
        <w:t>en</w:t>
      </w:r>
      <w:r>
        <w:rPr>
          <w:spacing w:val="-7"/>
          <w:w w:val="105"/>
          <w:sz w:val="11"/>
        </w:rPr>
        <w:t xml:space="preserve"> </w:t>
      </w:r>
      <w:r>
        <w:rPr>
          <w:w w:val="105"/>
          <w:sz w:val="11"/>
        </w:rPr>
        <w:t>casos</w:t>
      </w:r>
      <w:r>
        <w:rPr>
          <w:spacing w:val="-7"/>
          <w:w w:val="105"/>
          <w:sz w:val="11"/>
        </w:rPr>
        <w:t xml:space="preserve"> </w:t>
      </w:r>
      <w:r>
        <w:rPr>
          <w:w w:val="105"/>
          <w:sz w:val="11"/>
        </w:rPr>
        <w:t>presentados</w:t>
      </w:r>
      <w:r>
        <w:rPr>
          <w:spacing w:val="-7"/>
          <w:w w:val="105"/>
          <w:sz w:val="11"/>
        </w:rPr>
        <w:t xml:space="preserve"> </w:t>
      </w:r>
      <w:r>
        <w:rPr>
          <w:w w:val="105"/>
          <w:sz w:val="11"/>
        </w:rPr>
        <w:t>ante</w:t>
      </w:r>
      <w:r>
        <w:rPr>
          <w:spacing w:val="-7"/>
          <w:w w:val="105"/>
          <w:sz w:val="11"/>
        </w:rPr>
        <w:t xml:space="preserve"> </w:t>
      </w:r>
      <w:r>
        <w:rPr>
          <w:w w:val="105"/>
          <w:sz w:val="11"/>
        </w:rPr>
        <w:t>el</w:t>
      </w:r>
      <w:r>
        <w:rPr>
          <w:spacing w:val="-7"/>
          <w:w w:val="105"/>
          <w:sz w:val="11"/>
        </w:rPr>
        <w:t xml:space="preserve"> </w:t>
      </w:r>
      <w:r>
        <w:rPr>
          <w:w w:val="105"/>
          <w:sz w:val="11"/>
        </w:rPr>
        <w:t>sistema</w:t>
      </w:r>
      <w:r>
        <w:rPr>
          <w:spacing w:val="-7"/>
          <w:w w:val="105"/>
          <w:sz w:val="11"/>
        </w:rPr>
        <w:t xml:space="preserve"> </w:t>
      </w:r>
      <w:r>
        <w:rPr>
          <w:w w:val="105"/>
          <w:sz w:val="11"/>
        </w:rPr>
        <w:t>de</w:t>
      </w:r>
      <w:r>
        <w:rPr>
          <w:spacing w:val="-7"/>
          <w:w w:val="105"/>
          <w:sz w:val="11"/>
        </w:rPr>
        <w:t xml:space="preserve"> </w:t>
      </w:r>
      <w:r>
        <w:rPr>
          <w:w w:val="105"/>
          <w:sz w:val="11"/>
        </w:rPr>
        <w:t>órganos</w:t>
      </w:r>
      <w:r>
        <w:rPr>
          <w:spacing w:val="-7"/>
          <w:w w:val="105"/>
          <w:sz w:val="11"/>
        </w:rPr>
        <w:t xml:space="preserve"> </w:t>
      </w:r>
      <w:r>
        <w:rPr>
          <w:w w:val="105"/>
          <w:sz w:val="11"/>
        </w:rPr>
        <w:t>creados</w:t>
      </w:r>
      <w:r>
        <w:rPr>
          <w:spacing w:val="-7"/>
          <w:w w:val="105"/>
          <w:sz w:val="11"/>
        </w:rPr>
        <w:t xml:space="preserve"> </w:t>
      </w:r>
      <w:r>
        <w:rPr>
          <w:w w:val="105"/>
          <w:sz w:val="11"/>
        </w:rPr>
        <w:t>en</w:t>
      </w:r>
      <w:r>
        <w:rPr>
          <w:spacing w:val="-7"/>
          <w:w w:val="105"/>
          <w:sz w:val="11"/>
        </w:rPr>
        <w:t xml:space="preserve"> </w:t>
      </w:r>
      <w:r>
        <w:rPr>
          <w:w w:val="105"/>
          <w:sz w:val="11"/>
        </w:rPr>
        <w:t>virtud</w:t>
      </w:r>
      <w:r>
        <w:rPr>
          <w:spacing w:val="-7"/>
          <w:w w:val="105"/>
          <w:sz w:val="11"/>
        </w:rPr>
        <w:t xml:space="preserve"> </w:t>
      </w:r>
      <w:r>
        <w:rPr>
          <w:w w:val="105"/>
          <w:sz w:val="11"/>
        </w:rPr>
        <w:t>de</w:t>
      </w:r>
      <w:r>
        <w:rPr>
          <w:spacing w:val="40"/>
          <w:w w:val="105"/>
          <w:sz w:val="11"/>
        </w:rPr>
        <w:t xml:space="preserve"> </w:t>
      </w:r>
      <w:r>
        <w:rPr>
          <w:w w:val="105"/>
          <w:sz w:val="11"/>
        </w:rPr>
        <w:t>tratados</w:t>
      </w:r>
      <w:r>
        <w:rPr>
          <w:spacing w:val="-7"/>
          <w:w w:val="105"/>
          <w:sz w:val="11"/>
        </w:rPr>
        <w:t xml:space="preserve"> </w:t>
      </w:r>
      <w:r>
        <w:rPr>
          <w:w w:val="105"/>
          <w:sz w:val="11"/>
        </w:rPr>
        <w:t>de</w:t>
      </w:r>
      <w:r>
        <w:rPr>
          <w:spacing w:val="-7"/>
          <w:w w:val="105"/>
          <w:sz w:val="11"/>
        </w:rPr>
        <w:t xml:space="preserve"> </w:t>
      </w:r>
      <w:r>
        <w:rPr>
          <w:w w:val="105"/>
          <w:sz w:val="11"/>
        </w:rPr>
        <w:t>derechos</w:t>
      </w:r>
      <w:r>
        <w:rPr>
          <w:spacing w:val="-7"/>
          <w:w w:val="105"/>
          <w:sz w:val="11"/>
        </w:rPr>
        <w:t xml:space="preserve"> </w:t>
      </w:r>
      <w:r>
        <w:rPr>
          <w:w w:val="105"/>
          <w:sz w:val="11"/>
        </w:rPr>
        <w:t>humanos,</w:t>
      </w:r>
      <w:r>
        <w:rPr>
          <w:spacing w:val="-7"/>
          <w:w w:val="105"/>
          <w:sz w:val="11"/>
        </w:rPr>
        <w:t xml:space="preserve"> </w:t>
      </w:r>
      <w:r>
        <w:rPr>
          <w:w w:val="105"/>
          <w:sz w:val="11"/>
        </w:rPr>
        <w:t>véase</w:t>
      </w:r>
      <w:r>
        <w:rPr>
          <w:spacing w:val="-7"/>
          <w:w w:val="105"/>
          <w:sz w:val="11"/>
        </w:rPr>
        <w:t xml:space="preserve"> </w:t>
      </w:r>
      <w:r>
        <w:rPr>
          <w:w w:val="105"/>
          <w:sz w:val="11"/>
        </w:rPr>
        <w:t>Comité</w:t>
      </w:r>
      <w:r>
        <w:rPr>
          <w:spacing w:val="-7"/>
          <w:w w:val="105"/>
          <w:sz w:val="11"/>
        </w:rPr>
        <w:t xml:space="preserve"> </w:t>
      </w:r>
      <w:r>
        <w:rPr>
          <w:w w:val="105"/>
          <w:sz w:val="11"/>
        </w:rPr>
        <w:t>para</w:t>
      </w:r>
      <w:r>
        <w:rPr>
          <w:spacing w:val="-7"/>
          <w:w w:val="105"/>
          <w:sz w:val="11"/>
        </w:rPr>
        <w:t xml:space="preserve"> </w:t>
      </w:r>
      <w:r>
        <w:rPr>
          <w:w w:val="105"/>
          <w:sz w:val="11"/>
        </w:rPr>
        <w:t>la</w:t>
      </w:r>
      <w:r>
        <w:rPr>
          <w:spacing w:val="-7"/>
          <w:w w:val="105"/>
          <w:sz w:val="11"/>
        </w:rPr>
        <w:t xml:space="preserve"> </w:t>
      </w:r>
      <w:r>
        <w:rPr>
          <w:w w:val="105"/>
          <w:sz w:val="11"/>
        </w:rPr>
        <w:t>Eliminación</w:t>
      </w:r>
      <w:r>
        <w:rPr>
          <w:spacing w:val="-7"/>
          <w:w w:val="105"/>
          <w:sz w:val="11"/>
        </w:rPr>
        <w:t xml:space="preserve"> </w:t>
      </w:r>
      <w:r>
        <w:rPr>
          <w:w w:val="105"/>
          <w:sz w:val="11"/>
        </w:rPr>
        <w:t>de</w:t>
      </w:r>
      <w:r>
        <w:rPr>
          <w:spacing w:val="-7"/>
          <w:w w:val="105"/>
          <w:sz w:val="11"/>
        </w:rPr>
        <w:t xml:space="preserve"> </w:t>
      </w:r>
      <w:r>
        <w:rPr>
          <w:w w:val="105"/>
          <w:sz w:val="11"/>
        </w:rPr>
        <w:t>la</w:t>
      </w:r>
      <w:r>
        <w:rPr>
          <w:spacing w:val="-7"/>
          <w:w w:val="105"/>
          <w:sz w:val="11"/>
        </w:rPr>
        <w:t xml:space="preserve"> </w:t>
      </w:r>
      <w:r>
        <w:rPr>
          <w:w w:val="105"/>
          <w:sz w:val="11"/>
        </w:rPr>
        <w:t>Discriminación</w:t>
      </w:r>
      <w:r>
        <w:rPr>
          <w:spacing w:val="-7"/>
          <w:w w:val="105"/>
          <w:sz w:val="11"/>
        </w:rPr>
        <w:t xml:space="preserve"> </w:t>
      </w:r>
      <w:r>
        <w:rPr>
          <w:w w:val="105"/>
          <w:sz w:val="11"/>
        </w:rPr>
        <w:t>Racial,</w:t>
      </w:r>
      <w:r>
        <w:rPr>
          <w:spacing w:val="-7"/>
          <w:w w:val="105"/>
          <w:sz w:val="11"/>
        </w:rPr>
        <w:t xml:space="preserve"> </w:t>
      </w:r>
      <w:proofErr w:type="spellStart"/>
      <w:r>
        <w:rPr>
          <w:w w:val="105"/>
          <w:sz w:val="11"/>
        </w:rPr>
        <w:t>Koptova</w:t>
      </w:r>
      <w:proofErr w:type="spellEnd"/>
      <w:r>
        <w:rPr>
          <w:spacing w:val="-7"/>
          <w:w w:val="105"/>
          <w:sz w:val="11"/>
        </w:rPr>
        <w:t xml:space="preserve"> </w:t>
      </w:r>
      <w:r>
        <w:rPr>
          <w:w w:val="105"/>
          <w:sz w:val="11"/>
        </w:rPr>
        <w:t>c.</w:t>
      </w:r>
      <w:r>
        <w:rPr>
          <w:spacing w:val="-7"/>
          <w:w w:val="105"/>
          <w:sz w:val="11"/>
        </w:rPr>
        <w:t xml:space="preserve"> </w:t>
      </w:r>
      <w:r>
        <w:rPr>
          <w:w w:val="105"/>
          <w:sz w:val="11"/>
        </w:rPr>
        <w:t>República</w:t>
      </w:r>
      <w:r>
        <w:rPr>
          <w:spacing w:val="-7"/>
          <w:w w:val="105"/>
          <w:sz w:val="11"/>
        </w:rPr>
        <w:t xml:space="preserve"> </w:t>
      </w:r>
      <w:r>
        <w:rPr>
          <w:w w:val="105"/>
          <w:sz w:val="11"/>
        </w:rPr>
        <w:t>Eslovaca,</w:t>
      </w:r>
      <w:r>
        <w:rPr>
          <w:spacing w:val="-7"/>
          <w:w w:val="105"/>
          <w:sz w:val="11"/>
        </w:rPr>
        <w:t xml:space="preserve"> </w:t>
      </w:r>
      <w:r>
        <w:rPr>
          <w:w w:val="105"/>
          <w:sz w:val="11"/>
        </w:rPr>
        <w:t>comunicación</w:t>
      </w:r>
      <w:r>
        <w:rPr>
          <w:spacing w:val="-7"/>
          <w:w w:val="105"/>
          <w:sz w:val="11"/>
        </w:rPr>
        <w:t xml:space="preserve"> </w:t>
      </w:r>
      <w:proofErr w:type="spellStart"/>
      <w:r>
        <w:rPr>
          <w:w w:val="105"/>
          <w:sz w:val="11"/>
        </w:rPr>
        <w:t>Nº</w:t>
      </w:r>
      <w:proofErr w:type="spellEnd"/>
      <w:r>
        <w:rPr>
          <w:spacing w:val="-7"/>
          <w:w w:val="105"/>
          <w:sz w:val="11"/>
        </w:rPr>
        <w:t xml:space="preserve"> </w:t>
      </w:r>
      <w:r>
        <w:rPr>
          <w:w w:val="105"/>
          <w:sz w:val="11"/>
        </w:rPr>
        <w:t>13/1998.</w:t>
      </w:r>
    </w:p>
    <w:p w14:paraId="30655DA7" w14:textId="77777777" w:rsidR="0014798C" w:rsidRDefault="0014798C">
      <w:pPr>
        <w:pStyle w:val="Textoindependiente"/>
        <w:rPr>
          <w:sz w:val="17"/>
        </w:rPr>
      </w:pPr>
    </w:p>
    <w:p w14:paraId="3BC6902F" w14:textId="77777777" w:rsidR="0014798C" w:rsidRDefault="0014798C">
      <w:pPr>
        <w:pStyle w:val="Textoindependiente"/>
        <w:rPr>
          <w:sz w:val="17"/>
        </w:rPr>
      </w:pPr>
    </w:p>
    <w:p w14:paraId="4B961D9C" w14:textId="77777777" w:rsidR="0014798C" w:rsidRDefault="0014798C">
      <w:pPr>
        <w:pStyle w:val="Textoindependiente"/>
        <w:spacing w:before="3"/>
        <w:rPr>
          <w:sz w:val="17"/>
        </w:rPr>
      </w:pPr>
    </w:p>
    <w:p w14:paraId="58FACEE6" w14:textId="77777777" w:rsidR="0014798C" w:rsidRDefault="004E1F0B">
      <w:pPr>
        <w:ind w:left="497"/>
        <w:rPr>
          <w:sz w:val="17"/>
        </w:rPr>
      </w:pPr>
      <w:r>
        <w:rPr>
          <w:spacing w:val="-5"/>
          <w:sz w:val="17"/>
        </w:rPr>
        <w:t>174</w:t>
      </w:r>
    </w:p>
    <w:p w14:paraId="28E0369B" w14:textId="77777777" w:rsidR="0014798C" w:rsidRDefault="0014798C">
      <w:pPr>
        <w:rPr>
          <w:sz w:val="17"/>
        </w:rPr>
        <w:sectPr w:rsidR="0014798C" w:rsidSect="00F265E4">
          <w:pgSz w:w="11900" w:h="16820"/>
          <w:pgMar w:top="340" w:right="0" w:bottom="280" w:left="200" w:header="121" w:footer="0" w:gutter="0"/>
          <w:cols w:space="720"/>
        </w:sectPr>
      </w:pPr>
    </w:p>
    <w:p w14:paraId="3C9BA51C" w14:textId="77777777" w:rsidR="0014798C" w:rsidRDefault="0014798C">
      <w:pPr>
        <w:pStyle w:val="Textoindependiente"/>
        <w:spacing w:before="81"/>
        <w:rPr>
          <w:sz w:val="12"/>
        </w:rPr>
      </w:pPr>
    </w:p>
    <w:p w14:paraId="3A1A03FB" w14:textId="77777777" w:rsidR="0014798C" w:rsidRDefault="004E1F0B">
      <w:pPr>
        <w:spacing w:before="1"/>
        <w:ind w:left="1111"/>
        <w:rPr>
          <w:sz w:val="12"/>
        </w:rPr>
      </w:pPr>
      <w:r>
        <w:rPr>
          <w:color w:val="0075BF"/>
          <w:sz w:val="12"/>
        </w:rPr>
        <w:t>PARTE</w:t>
      </w:r>
      <w:r>
        <w:rPr>
          <w:color w:val="0075BF"/>
          <w:spacing w:val="10"/>
          <w:sz w:val="12"/>
        </w:rPr>
        <w:t xml:space="preserve"> </w:t>
      </w:r>
      <w:r>
        <w:rPr>
          <w:color w:val="0075BF"/>
          <w:sz w:val="12"/>
        </w:rPr>
        <w:t>QUINTA:</w:t>
      </w:r>
      <w:r>
        <w:rPr>
          <w:color w:val="0075BF"/>
          <w:spacing w:val="10"/>
          <w:sz w:val="12"/>
        </w:rPr>
        <w:t xml:space="preserve"> </w:t>
      </w:r>
      <w:r>
        <w:rPr>
          <w:color w:val="0075BF"/>
          <w:sz w:val="12"/>
        </w:rPr>
        <w:t>DISCRIMINACIÓN</w:t>
      </w:r>
      <w:r>
        <w:rPr>
          <w:color w:val="0075BF"/>
          <w:spacing w:val="9"/>
          <w:sz w:val="12"/>
        </w:rPr>
        <w:t xml:space="preserve"> </w:t>
      </w:r>
      <w:r>
        <w:rPr>
          <w:color w:val="0075BF"/>
          <w:sz w:val="12"/>
        </w:rPr>
        <w:t>Y</w:t>
      </w:r>
      <w:r>
        <w:rPr>
          <w:color w:val="0075BF"/>
          <w:spacing w:val="9"/>
          <w:sz w:val="12"/>
        </w:rPr>
        <w:t xml:space="preserve"> </w:t>
      </w:r>
      <w:r>
        <w:rPr>
          <w:color w:val="0075BF"/>
          <w:spacing w:val="-2"/>
          <w:sz w:val="12"/>
        </w:rPr>
        <w:t>EXPRESIÓN</w:t>
      </w:r>
    </w:p>
    <w:p w14:paraId="131781BD" w14:textId="77777777" w:rsidR="0014798C" w:rsidRDefault="0014798C">
      <w:pPr>
        <w:pStyle w:val="Textoindependiente"/>
        <w:rPr>
          <w:sz w:val="24"/>
        </w:rPr>
      </w:pPr>
    </w:p>
    <w:p w14:paraId="07D8E311" w14:textId="77777777" w:rsidR="0014798C" w:rsidRDefault="0014798C">
      <w:pPr>
        <w:pStyle w:val="Textoindependiente"/>
        <w:rPr>
          <w:sz w:val="24"/>
        </w:rPr>
      </w:pPr>
    </w:p>
    <w:p w14:paraId="268BA785" w14:textId="77777777" w:rsidR="0014798C" w:rsidRDefault="0014798C">
      <w:pPr>
        <w:pStyle w:val="Textoindependiente"/>
        <w:spacing w:before="166"/>
        <w:rPr>
          <w:sz w:val="24"/>
        </w:rPr>
      </w:pPr>
    </w:p>
    <w:p w14:paraId="56A65076" w14:textId="77777777" w:rsidR="0014798C" w:rsidRDefault="004E1F0B" w:rsidP="006A75DA">
      <w:pPr>
        <w:numPr>
          <w:ilvl w:val="0"/>
          <w:numId w:val="9"/>
        </w:numPr>
        <w:tabs>
          <w:tab w:val="left" w:pos="1391"/>
          <w:tab w:val="left" w:pos="1583"/>
        </w:tabs>
        <w:spacing w:before="1" w:line="379" w:lineRule="auto"/>
        <w:ind w:right="1352" w:hanging="460"/>
        <w:jc w:val="both"/>
        <w:rPr>
          <w:color w:val="0075BF"/>
          <w:sz w:val="24"/>
        </w:rPr>
      </w:pPr>
      <w:bookmarkStart w:id="33" w:name="hostilidad"/>
      <w:r>
        <w:rPr>
          <w:color w:val="0075BF"/>
          <w:sz w:val="24"/>
        </w:rPr>
        <w:t>DISCURSO DE ODIO Y PROHIBICIÓN DE LA INCITACIÓN A LA DISCRIMINACIÓN, LA HOSTILIDAD O LA VIOLENCIA</w:t>
      </w:r>
    </w:p>
    <w:bookmarkEnd w:id="33"/>
    <w:p w14:paraId="4569B315" w14:textId="77777777" w:rsidR="0014798C" w:rsidRDefault="004E1F0B">
      <w:pPr>
        <w:pStyle w:val="Textoindependiente"/>
        <w:spacing w:before="116" w:line="326" w:lineRule="auto"/>
        <w:ind w:left="1108" w:right="1418"/>
      </w:pPr>
      <w:r>
        <w:t>En la década de 2010 y principios de la de 2020, el problema del discurso de odio –incluso como causa, resultado e impulsor de la discriminación– ha sido objeto de atención de muy alto nivel por parte del sistema de las Naciones Unidas. En 2012, en una reunión organizada por el ACNUDH, los expertos adoptaron el Plan de Acción de Rabat sobre la prohibición de la apología del odio nacional, racial o religioso que constituya incitación a la discriminación, la hostilidad o la violencia (en adelante, “Plan de Acción de Rabat”)1135 siguiendo un largo proceso de consulta y compromiso global. Más recientemente, una movilización de</w:t>
      </w:r>
    </w:p>
    <w:p w14:paraId="0307FBE8" w14:textId="77777777" w:rsidR="0014798C" w:rsidRDefault="004E1F0B">
      <w:pPr>
        <w:pStyle w:val="Textoindependiente"/>
        <w:spacing w:line="326" w:lineRule="auto"/>
        <w:ind w:left="1105" w:right="1272" w:firstLine="5"/>
      </w:pPr>
      <w:r>
        <w:t>2019, encabezada por el Secretario General, llevó a un acuerdo en que las agencias y entidades de las Naciones Unidas deberían tener</w:t>
      </w:r>
      <w:r>
        <w:rPr>
          <w:spacing w:val="8"/>
        </w:rPr>
        <w:t xml:space="preserve"> </w:t>
      </w:r>
      <w:r>
        <w:t>estrategias y</w:t>
      </w:r>
      <w:r>
        <w:rPr>
          <w:spacing w:val="8"/>
        </w:rPr>
        <w:t xml:space="preserve"> </w:t>
      </w:r>
      <w:r>
        <w:t>planes</w:t>
      </w:r>
      <w:r>
        <w:rPr>
          <w:spacing w:val="8"/>
        </w:rPr>
        <w:t xml:space="preserve"> </w:t>
      </w:r>
      <w:r>
        <w:t>de</w:t>
      </w:r>
      <w:r>
        <w:rPr>
          <w:spacing w:val="8"/>
        </w:rPr>
        <w:t xml:space="preserve"> </w:t>
      </w:r>
      <w:r>
        <w:t>acción</w:t>
      </w:r>
      <w:r>
        <w:rPr>
          <w:spacing w:val="8"/>
        </w:rPr>
        <w:t xml:space="preserve"> </w:t>
      </w:r>
      <w:r>
        <w:t>para</w:t>
      </w:r>
      <w:r>
        <w:rPr>
          <w:spacing w:val="8"/>
        </w:rPr>
        <w:t xml:space="preserve"> </w:t>
      </w:r>
      <w:r>
        <w:t>abordar</w:t>
      </w:r>
      <w:r>
        <w:rPr>
          <w:spacing w:val="8"/>
        </w:rPr>
        <w:t xml:space="preserve"> </w:t>
      </w:r>
      <w:r>
        <w:t>el</w:t>
      </w:r>
      <w:r>
        <w:rPr>
          <w:spacing w:val="8"/>
        </w:rPr>
        <w:t xml:space="preserve"> </w:t>
      </w:r>
      <w:r>
        <w:t>discurso</w:t>
      </w:r>
      <w:r>
        <w:rPr>
          <w:spacing w:val="8"/>
        </w:rPr>
        <w:t xml:space="preserve"> </w:t>
      </w:r>
      <w:r>
        <w:t>de</w:t>
      </w:r>
      <w:r>
        <w:rPr>
          <w:spacing w:val="8"/>
        </w:rPr>
        <w:t xml:space="preserve"> </w:t>
      </w:r>
      <w:r>
        <w:t>odio.</w:t>
      </w:r>
      <w:r>
        <w:rPr>
          <w:spacing w:val="8"/>
        </w:rPr>
        <w:t xml:space="preserve"> </w:t>
      </w:r>
      <w:r>
        <w:t>La</w:t>
      </w:r>
      <w:r>
        <w:rPr>
          <w:spacing w:val="8"/>
        </w:rPr>
        <w:t xml:space="preserve"> </w:t>
      </w:r>
      <w:r>
        <w:t>Estrategia</w:t>
      </w:r>
      <w:r>
        <w:rPr>
          <w:spacing w:val="8"/>
        </w:rPr>
        <w:t xml:space="preserve"> </w:t>
      </w:r>
      <w:r>
        <w:t>y</w:t>
      </w:r>
      <w:r>
        <w:rPr>
          <w:spacing w:val="8"/>
        </w:rPr>
        <w:t xml:space="preserve"> </w:t>
      </w:r>
      <w:r>
        <w:t>Plan</w:t>
      </w:r>
      <w:r>
        <w:rPr>
          <w:spacing w:val="8"/>
        </w:rPr>
        <w:t xml:space="preserve"> </w:t>
      </w:r>
      <w:r>
        <w:t>de</w:t>
      </w:r>
      <w:r>
        <w:rPr>
          <w:spacing w:val="8"/>
        </w:rPr>
        <w:t xml:space="preserve"> </w:t>
      </w:r>
      <w:r>
        <w:t>Acción</w:t>
      </w:r>
      <w:r>
        <w:rPr>
          <w:spacing w:val="8"/>
        </w:rPr>
        <w:t xml:space="preserve"> </w:t>
      </w:r>
      <w:r>
        <w:t>de</w:t>
      </w:r>
      <w:r>
        <w:rPr>
          <w:spacing w:val="8"/>
        </w:rPr>
        <w:t xml:space="preserve"> </w:t>
      </w:r>
      <w:r>
        <w:t>las</w:t>
      </w:r>
      <w:r>
        <w:rPr>
          <w:spacing w:val="8"/>
        </w:rPr>
        <w:t xml:space="preserve"> </w:t>
      </w:r>
      <w:r>
        <w:t>Naciones</w:t>
      </w:r>
      <w:r>
        <w:rPr>
          <w:spacing w:val="8"/>
        </w:rPr>
        <w:t xml:space="preserve"> </w:t>
      </w:r>
      <w:r>
        <w:t>Unidas sobre el discurso de odio se desarrolló en respuesta a “una oleada de xenofobia, racismo e intolerancia, misoginia violenta, antisemitismo y odio antimusulmán”.1136 La Estrategia reconoce que durante los 75 años anteriores, El discurso de odio ha sido</w:t>
      </w:r>
      <w:r>
        <w:rPr>
          <w:spacing w:val="80"/>
        </w:rPr>
        <w:t xml:space="preserve"> </w:t>
      </w:r>
      <w:r>
        <w:t>un precursor de crímenes atroces, incluido el genocidio, desde Ruanda hasta Bosnia y Camboya.1137 La Estrategia incluye el compromiso de que las entidades de las Naciones Unidas deben “mostrar solidaridad con las víctimas del discurso de odio e implementar</w:t>
      </w:r>
      <w:r>
        <w:rPr>
          <w:spacing w:val="14"/>
        </w:rPr>
        <w:t xml:space="preserve"> </w:t>
      </w:r>
      <w:r>
        <w:t>medidas</w:t>
      </w:r>
      <w:r>
        <w:rPr>
          <w:spacing w:val="14"/>
        </w:rPr>
        <w:t xml:space="preserve"> </w:t>
      </w:r>
      <w:r>
        <w:t>centradas</w:t>
      </w:r>
      <w:r>
        <w:rPr>
          <w:spacing w:val="14"/>
        </w:rPr>
        <w:t xml:space="preserve"> </w:t>
      </w:r>
      <w:r>
        <w:t>en</w:t>
      </w:r>
      <w:r>
        <w:rPr>
          <w:spacing w:val="14"/>
        </w:rPr>
        <w:t xml:space="preserve"> </w:t>
      </w:r>
      <w:r>
        <w:t>los</w:t>
      </w:r>
      <w:r>
        <w:rPr>
          <w:spacing w:val="14"/>
        </w:rPr>
        <w:t xml:space="preserve"> </w:t>
      </w:r>
      <w:r>
        <w:t>derechos</w:t>
      </w:r>
      <w:r>
        <w:rPr>
          <w:spacing w:val="14"/>
        </w:rPr>
        <w:t xml:space="preserve"> </w:t>
      </w:r>
      <w:r>
        <w:t>humanos</w:t>
      </w:r>
      <w:r>
        <w:rPr>
          <w:spacing w:val="14"/>
        </w:rPr>
        <w:t xml:space="preserve"> </w:t>
      </w:r>
      <w:r>
        <w:t>destinadas</w:t>
      </w:r>
      <w:r>
        <w:rPr>
          <w:spacing w:val="14"/>
        </w:rPr>
        <w:t xml:space="preserve"> </w:t>
      </w:r>
      <w:r>
        <w:t>a</w:t>
      </w:r>
      <w:r>
        <w:rPr>
          <w:spacing w:val="14"/>
        </w:rPr>
        <w:t xml:space="preserve"> </w:t>
      </w:r>
      <w:r>
        <w:t>contrarrestar discursos</w:t>
      </w:r>
      <w:r>
        <w:rPr>
          <w:spacing w:val="14"/>
        </w:rPr>
        <w:t xml:space="preserve"> </w:t>
      </w:r>
      <w:r>
        <w:t>de</w:t>
      </w:r>
      <w:r>
        <w:rPr>
          <w:spacing w:val="14"/>
        </w:rPr>
        <w:t xml:space="preserve"> </w:t>
      </w:r>
      <w:r>
        <w:t>odio</w:t>
      </w:r>
      <w:r>
        <w:rPr>
          <w:spacing w:val="14"/>
        </w:rPr>
        <w:t xml:space="preserve"> </w:t>
      </w:r>
      <w:r>
        <w:t>como</w:t>
      </w:r>
      <w:r>
        <w:rPr>
          <w:spacing w:val="14"/>
        </w:rPr>
        <w:t xml:space="preserve"> </w:t>
      </w:r>
      <w:r>
        <w:t>represalia</w:t>
      </w:r>
      <w:r>
        <w:rPr>
          <w:spacing w:val="14"/>
        </w:rPr>
        <w:t xml:space="preserve"> </w:t>
      </w:r>
      <w:r>
        <w:t>y escalada</w:t>
      </w:r>
      <w:r>
        <w:rPr>
          <w:spacing w:val="11"/>
        </w:rPr>
        <w:t xml:space="preserve"> </w:t>
      </w:r>
      <w:r>
        <w:t>de</w:t>
      </w:r>
      <w:r>
        <w:rPr>
          <w:spacing w:val="11"/>
        </w:rPr>
        <w:t xml:space="preserve"> </w:t>
      </w:r>
      <w:r>
        <w:t>violencia</w:t>
      </w:r>
      <w:r>
        <w:rPr>
          <w:spacing w:val="11"/>
        </w:rPr>
        <w:t xml:space="preserve"> </w:t>
      </w:r>
      <w:r>
        <w:t>y</w:t>
      </w:r>
      <w:r>
        <w:rPr>
          <w:spacing w:val="11"/>
        </w:rPr>
        <w:t xml:space="preserve"> </w:t>
      </w:r>
      <w:r>
        <w:t>para</w:t>
      </w:r>
      <w:r>
        <w:rPr>
          <w:spacing w:val="11"/>
        </w:rPr>
        <w:t xml:space="preserve"> </w:t>
      </w:r>
      <w:r>
        <w:t>empoderar</w:t>
      </w:r>
      <w:r>
        <w:rPr>
          <w:spacing w:val="11"/>
        </w:rPr>
        <w:t xml:space="preserve"> </w:t>
      </w:r>
      <w:r>
        <w:t>a</w:t>
      </w:r>
      <w:r>
        <w:rPr>
          <w:spacing w:val="11"/>
        </w:rPr>
        <w:t xml:space="preserve"> </w:t>
      </w:r>
      <w:r>
        <w:t>las</w:t>
      </w:r>
      <w:r>
        <w:rPr>
          <w:spacing w:val="11"/>
        </w:rPr>
        <w:t xml:space="preserve"> </w:t>
      </w:r>
      <w:r>
        <w:t>personas</w:t>
      </w:r>
      <w:r>
        <w:rPr>
          <w:spacing w:val="11"/>
        </w:rPr>
        <w:t xml:space="preserve"> </w:t>
      </w:r>
      <w:r>
        <w:t>o</w:t>
      </w:r>
      <w:r>
        <w:rPr>
          <w:spacing w:val="11"/>
        </w:rPr>
        <w:t xml:space="preserve"> </w:t>
      </w:r>
      <w:r>
        <w:t>comunidades</w:t>
      </w:r>
      <w:r>
        <w:rPr>
          <w:spacing w:val="11"/>
        </w:rPr>
        <w:t xml:space="preserve"> </w:t>
      </w:r>
      <w:r>
        <w:t>objetivo”.</w:t>
      </w:r>
      <w:r>
        <w:rPr>
          <w:spacing w:val="12"/>
        </w:rPr>
        <w:t xml:space="preserve"> </w:t>
      </w:r>
      <w:r>
        <w:t>También</w:t>
      </w:r>
      <w:r>
        <w:rPr>
          <w:spacing w:val="11"/>
        </w:rPr>
        <w:t xml:space="preserve"> </w:t>
      </w:r>
      <w:r>
        <w:t>señala</w:t>
      </w:r>
      <w:r>
        <w:rPr>
          <w:spacing w:val="11"/>
        </w:rPr>
        <w:t xml:space="preserve"> </w:t>
      </w:r>
      <w:r>
        <w:t>que</w:t>
      </w:r>
      <w:r>
        <w:rPr>
          <w:spacing w:val="11"/>
        </w:rPr>
        <w:t xml:space="preserve"> </w:t>
      </w:r>
      <w:r>
        <w:t>deberían</w:t>
      </w:r>
      <w:r>
        <w:rPr>
          <w:spacing w:val="11"/>
        </w:rPr>
        <w:t xml:space="preserve"> </w:t>
      </w:r>
      <w:r>
        <w:t>“promover medidas para garantizar que se respeten los derechos de las víctimas y que se atiendan sus necesidades, incluso mediante la promoción de recursos, el acceso a la justicia y el asesoramiento psicológico”.1138</w:t>
      </w:r>
    </w:p>
    <w:p w14:paraId="6457AD80" w14:textId="77777777" w:rsidR="0014798C" w:rsidRDefault="004E1F0B">
      <w:pPr>
        <w:pStyle w:val="Textoindependiente"/>
        <w:spacing w:line="326" w:lineRule="auto"/>
        <w:ind w:left="1111" w:right="2004" w:hanging="2"/>
      </w:pPr>
      <w:r>
        <w:t>Las recomendaciones del Plan de Acción incluyen: “Fomentar el fortalecimiento del marco de la legislación contra la discriminación</w:t>
      </w:r>
      <w:r>
        <w:rPr>
          <w:spacing w:val="2"/>
        </w:rPr>
        <w:t xml:space="preserve"> </w:t>
      </w:r>
      <w:r>
        <w:t>para</w:t>
      </w:r>
      <w:r>
        <w:rPr>
          <w:spacing w:val="2"/>
        </w:rPr>
        <w:t xml:space="preserve"> </w:t>
      </w:r>
      <w:r>
        <w:t>garantizar</w:t>
      </w:r>
      <w:r>
        <w:rPr>
          <w:spacing w:val="2"/>
        </w:rPr>
        <w:t xml:space="preserve"> </w:t>
      </w:r>
      <w:r>
        <w:t>que</w:t>
      </w:r>
      <w:r>
        <w:rPr>
          <w:spacing w:val="3"/>
        </w:rPr>
        <w:t xml:space="preserve"> </w:t>
      </w:r>
      <w:r>
        <w:t>cumpla</w:t>
      </w:r>
      <w:r>
        <w:rPr>
          <w:spacing w:val="2"/>
        </w:rPr>
        <w:t xml:space="preserve"> </w:t>
      </w:r>
      <w:r>
        <w:t>con</w:t>
      </w:r>
      <w:r>
        <w:rPr>
          <w:spacing w:val="2"/>
        </w:rPr>
        <w:t xml:space="preserve"> </w:t>
      </w:r>
      <w:r>
        <w:t>el</w:t>
      </w:r>
      <w:r>
        <w:rPr>
          <w:spacing w:val="3"/>
        </w:rPr>
        <w:t xml:space="preserve"> </w:t>
      </w:r>
      <w:r>
        <w:t>derecho</w:t>
      </w:r>
      <w:r>
        <w:rPr>
          <w:spacing w:val="2"/>
        </w:rPr>
        <w:t xml:space="preserve"> </w:t>
      </w:r>
      <w:r>
        <w:t>y</w:t>
      </w:r>
      <w:r>
        <w:rPr>
          <w:spacing w:val="2"/>
        </w:rPr>
        <w:t xml:space="preserve"> </w:t>
      </w:r>
      <w:r>
        <w:t>las</w:t>
      </w:r>
      <w:r>
        <w:rPr>
          <w:spacing w:val="3"/>
        </w:rPr>
        <w:t xml:space="preserve"> </w:t>
      </w:r>
      <w:r>
        <w:t>normas</w:t>
      </w:r>
      <w:r>
        <w:rPr>
          <w:spacing w:val="2"/>
        </w:rPr>
        <w:t xml:space="preserve"> </w:t>
      </w:r>
      <w:r>
        <w:t>internacionales</w:t>
      </w:r>
      <w:r>
        <w:rPr>
          <w:spacing w:val="1"/>
        </w:rPr>
        <w:t xml:space="preserve"> </w:t>
      </w:r>
      <w:r>
        <w:t>de</w:t>
      </w:r>
      <w:r>
        <w:rPr>
          <w:spacing w:val="2"/>
        </w:rPr>
        <w:t xml:space="preserve"> </w:t>
      </w:r>
      <w:r>
        <w:t>derechos</w:t>
      </w:r>
      <w:r>
        <w:rPr>
          <w:spacing w:val="3"/>
        </w:rPr>
        <w:t xml:space="preserve"> </w:t>
      </w:r>
      <w:r>
        <w:rPr>
          <w:spacing w:val="-2"/>
        </w:rPr>
        <w:t>humanos”.1139</w:t>
      </w:r>
    </w:p>
    <w:p w14:paraId="12A7E684" w14:textId="77777777" w:rsidR="0014798C" w:rsidRDefault="004E1F0B">
      <w:pPr>
        <w:pStyle w:val="Textoindependiente"/>
        <w:spacing w:before="161" w:line="326" w:lineRule="auto"/>
        <w:ind w:left="1105" w:right="1335" w:firstLine="6"/>
      </w:pPr>
      <w:r>
        <w:rPr>
          <w:noProof/>
        </w:rPr>
        <w:drawing>
          <wp:anchor distT="0" distB="0" distL="0" distR="0" simplePos="0" relativeHeight="251658486" behindDoc="1" locked="0" layoutInCell="1" allowOverlap="1" wp14:anchorId="34B6C63D" wp14:editId="62DFD00D">
            <wp:simplePos x="0" y="0"/>
            <wp:positionH relativeFrom="page">
              <wp:posOffset>826632</wp:posOffset>
            </wp:positionH>
            <wp:positionV relativeFrom="paragraph">
              <wp:posOffset>1044424</wp:posOffset>
            </wp:positionV>
            <wp:extent cx="6729867" cy="2700505"/>
            <wp:effectExtent l="0" t="0" r="0" b="0"/>
            <wp:wrapNone/>
            <wp:docPr id="348" name="Image 34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48" name="Image 348"/>
                    <pic:cNvPicPr/>
                  </pic:nvPicPr>
                  <pic:blipFill>
                    <a:blip r:embed="rId323" cstate="print"/>
                    <a:stretch>
                      <a:fillRect/>
                    </a:stretch>
                  </pic:blipFill>
                  <pic:spPr>
                    <a:xfrm>
                      <a:off x="0" y="0"/>
                      <a:ext cx="6729867" cy="2700505"/>
                    </a:xfrm>
                    <a:prstGeom prst="rect">
                      <a:avLst/>
                    </a:prstGeom>
                  </pic:spPr>
                </pic:pic>
              </a:graphicData>
            </a:graphic>
          </wp:anchor>
        </w:drawing>
      </w:r>
      <w:r>
        <w:t>Específicamente en</w:t>
      </w:r>
      <w:r>
        <w:rPr>
          <w:spacing w:val="8"/>
        </w:rPr>
        <w:t xml:space="preserve"> </w:t>
      </w:r>
      <w:r>
        <w:t>lo</w:t>
      </w:r>
      <w:r>
        <w:rPr>
          <w:spacing w:val="8"/>
        </w:rPr>
        <w:t xml:space="preserve"> </w:t>
      </w:r>
      <w:r>
        <w:t>que</w:t>
      </w:r>
      <w:r>
        <w:rPr>
          <w:spacing w:val="8"/>
        </w:rPr>
        <w:t xml:space="preserve"> </w:t>
      </w:r>
      <w:r>
        <w:t>respecta</w:t>
      </w:r>
      <w:r>
        <w:rPr>
          <w:spacing w:val="8"/>
        </w:rPr>
        <w:t xml:space="preserve"> </w:t>
      </w:r>
      <w:r>
        <w:t>a</w:t>
      </w:r>
      <w:r>
        <w:rPr>
          <w:spacing w:val="8"/>
        </w:rPr>
        <w:t xml:space="preserve"> </w:t>
      </w:r>
      <w:r>
        <w:t>las</w:t>
      </w:r>
      <w:r>
        <w:rPr>
          <w:spacing w:val="8"/>
        </w:rPr>
        <w:t xml:space="preserve"> </w:t>
      </w:r>
      <w:r>
        <w:t>minorías,</w:t>
      </w:r>
      <w:r>
        <w:rPr>
          <w:spacing w:val="10"/>
        </w:rPr>
        <w:t xml:space="preserve"> </w:t>
      </w:r>
      <w:r>
        <w:t>en</w:t>
      </w:r>
      <w:r>
        <w:rPr>
          <w:spacing w:val="8"/>
        </w:rPr>
        <w:t xml:space="preserve"> </w:t>
      </w:r>
      <w:r>
        <w:t>2021,</w:t>
      </w:r>
      <w:r>
        <w:rPr>
          <w:spacing w:val="8"/>
        </w:rPr>
        <w:t xml:space="preserve"> </w:t>
      </w:r>
      <w:r>
        <w:t>el</w:t>
      </w:r>
      <w:r>
        <w:rPr>
          <w:spacing w:val="8"/>
        </w:rPr>
        <w:t xml:space="preserve"> </w:t>
      </w:r>
      <w:r>
        <w:t>Relator</w:t>
      </w:r>
      <w:r>
        <w:rPr>
          <w:spacing w:val="8"/>
        </w:rPr>
        <w:t xml:space="preserve"> </w:t>
      </w:r>
      <w:r>
        <w:t>Especial</w:t>
      </w:r>
      <w:r>
        <w:rPr>
          <w:spacing w:val="8"/>
        </w:rPr>
        <w:t xml:space="preserve"> </w:t>
      </w:r>
      <w:r>
        <w:t>sobre</w:t>
      </w:r>
      <w:r>
        <w:rPr>
          <w:spacing w:val="8"/>
        </w:rPr>
        <w:t xml:space="preserve"> </w:t>
      </w:r>
      <w:r>
        <w:t>cuestiones</w:t>
      </w:r>
      <w:r>
        <w:rPr>
          <w:spacing w:val="8"/>
        </w:rPr>
        <w:t xml:space="preserve"> </w:t>
      </w:r>
      <w:r>
        <w:t>de</w:t>
      </w:r>
      <w:r>
        <w:rPr>
          <w:spacing w:val="8"/>
        </w:rPr>
        <w:t xml:space="preserve"> </w:t>
      </w:r>
      <w:r>
        <w:t>las</w:t>
      </w:r>
      <w:r>
        <w:rPr>
          <w:spacing w:val="8"/>
        </w:rPr>
        <w:t xml:space="preserve"> </w:t>
      </w:r>
      <w:r>
        <w:t>minorías</w:t>
      </w:r>
      <w:r>
        <w:rPr>
          <w:spacing w:val="8"/>
        </w:rPr>
        <w:t xml:space="preserve"> </w:t>
      </w:r>
      <w:r>
        <w:t>presentó,</w:t>
      </w:r>
      <w:r>
        <w:rPr>
          <w:spacing w:val="10"/>
        </w:rPr>
        <w:t xml:space="preserve"> </w:t>
      </w:r>
      <w:r>
        <w:t>en su informe anual al Consejo de Derechos Humanos, un informe temático sobre los ataques generalizados contra las minorías a través del discurso de odio en las redes sociales. En el informe, el Relator Especial describió fenómenos, entre ellos “la negación generalizada o la incapacidad de las autoridades estatales de reconocer o proteger eficazmente a las minorías contra formas prohibidas de discurso de odio”. Destacó “la responsabilidad de los Estados, la sociedad civil y las plataformas de redes sociales de reconocer que el discurso de odio es principalmente una cuestión minoritaria y, con carácter de urgencia, su deber de tomar medidas adicionales hacia la implementación plena y efectiva de las obligaciones de derechos humanos involucradas”. ”.1140</w:t>
      </w:r>
    </w:p>
    <w:p w14:paraId="4E43065B" w14:textId="77777777" w:rsidR="0014798C" w:rsidRDefault="004E1F0B">
      <w:pPr>
        <w:pStyle w:val="Textoindependiente"/>
        <w:spacing w:before="167" w:line="326" w:lineRule="auto"/>
        <w:ind w:left="1107" w:right="1356" w:hanging="2"/>
      </w:pPr>
      <w:r>
        <w:rPr>
          <w:noProof/>
        </w:rPr>
        <mc:AlternateContent>
          <mc:Choice Requires="wps">
            <w:drawing>
              <wp:anchor distT="0" distB="0" distL="0" distR="0" simplePos="0" relativeHeight="251658328" behindDoc="0" locked="0" layoutInCell="1" allowOverlap="1" wp14:anchorId="3F3D5DE9" wp14:editId="30488FA8">
                <wp:simplePos x="0" y="0"/>
                <wp:positionH relativeFrom="page">
                  <wp:posOffset>7309027</wp:posOffset>
                </wp:positionH>
                <wp:positionV relativeFrom="paragraph">
                  <wp:posOffset>402953</wp:posOffset>
                </wp:positionV>
                <wp:extent cx="85090" cy="203835"/>
                <wp:effectExtent l="0" t="0" r="0" b="0"/>
                <wp:wrapNone/>
                <wp:docPr id="349" name="Textbox 34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85090" cy="203835"/>
                        </a:xfrm>
                        <a:prstGeom prst="rect">
                          <a:avLst/>
                        </a:prstGeom>
                      </wps:spPr>
                      <wps:txbx>
                        <w:txbxContent>
                          <w:p w14:paraId="3713CCB0" w14:textId="77777777" w:rsidR="0014798C" w:rsidRDefault="004E1F0B">
                            <w:pPr>
                              <w:spacing w:before="21"/>
                              <w:ind w:left="20"/>
                              <w:rPr>
                                <w:sz w:val="8"/>
                              </w:rPr>
                            </w:pPr>
                            <w:r>
                              <w:rPr>
                                <w:color w:val="FFFFFF"/>
                                <w:spacing w:val="-27"/>
                                <w:w w:val="105"/>
                                <w:sz w:val="8"/>
                              </w:rPr>
                              <w:t>CPAINRCTOE</w:t>
                            </w:r>
                          </w:p>
                        </w:txbxContent>
                      </wps:txbx>
                      <wps:bodyPr vert="vert270" wrap="square" lIns="0" tIns="0" rIns="0" bIns="0" rtlCol="0">
                        <a:noAutofit/>
                      </wps:bodyPr>
                    </wps:wsp>
                  </a:graphicData>
                </a:graphic>
              </wp:anchor>
            </w:drawing>
          </mc:Choice>
          <mc:Fallback>
            <w:pict>
              <v:shape w14:anchorId="3F3D5DE9" id="Textbox 349" o:spid="_x0000_s1167" type="#_x0000_t202" style="position:absolute;left:0;text-align:left;margin-left:575.5pt;margin-top:31.75pt;width:6.7pt;height:16.05pt;z-index:251658328;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" filled="f" stroked="f">
                <v:textbox style="layout-flow:vertical;mso-layout-flow-alt:bottom-to-top" inset="0,0,0,0">
                  <w:txbxContent>
                    <w:p w14:paraId="3713CCB0" w14:textId="77777777" w:rsidR="0014798C" w:rsidRDefault="004E1F0B">
                      <w:pPr>
                        <w:spacing w:before="21"/>
                        <w:ind w:left="20"/>
                        <w:rPr>
                          <w:sz w:val="8"/>
                        </w:rPr>
                      </w:pPr>
                      <w:r>
                        <w:rPr>
                          <w:color w:val="FFFFFF"/>
                          <w:spacing w:val="-27"/>
                          <w:w w:val="105"/>
                          <w:sz w:val="8"/>
                        </w:rPr>
                        <w:t>CPAINRCTOE</w:t>
                      </w:r>
                    </w:p>
                  </w:txbxContent>
                </v:textbox>
                <w10:wrap anchorx="page"/>
              </v:shape>
            </w:pict>
          </mc:Fallback>
        </mc:AlternateContent>
      </w:r>
      <w:r>
        <w:t xml:space="preserve">El artículo 20 (2) del Pacto Internacional de Derechos Civiles y Políticos obliga a los </w:t>
      </w:r>
      <w:proofErr w:type="gramStart"/>
      <w:r>
        <w:t>Estados partes</w:t>
      </w:r>
      <w:proofErr w:type="gramEnd"/>
      <w:r>
        <w:t xml:space="preserve"> a prohibir, por ley, toda apología del odio nacional, racial o religioso que constituya incitación a la discriminación, la hostilidad o la violencia. Otras disposiciones del Pacto sirven de base para regular el discurso de odio por otros motivos. Específicamente, según el artículo 19 (3), los Estados pueden restringir la libertad de expresión, cuando dichas limitaciones estén previstas por ley y sean necesarias para uno de los seis propósitos específicos, que incluyen la protección de los derechos y libertades de los demás. Como se</w:t>
      </w:r>
      <w:r>
        <w:rPr>
          <w:spacing w:val="80"/>
        </w:rPr>
        <w:t xml:space="preserve"> </w:t>
      </w:r>
      <w:r>
        <w:t>señala en el Plan de Acción de Rabat, “las expresiones etiquetadas como 'discurso de odio' pueden restringirse en virtud de los artículos 18 y 19 del Pacto Internacional de Derechos Civiles y Políticos por diferentes motivos”.1141 De hecho, como se</w:t>
      </w:r>
      <w:r>
        <w:rPr>
          <w:spacing w:val="40"/>
        </w:rPr>
        <w:t xml:space="preserve"> </w:t>
      </w:r>
      <w:r>
        <w:t>establece con más detalle a continuación, Los órganos de tratados y los procedimientos especiales han pedido a los Estados que</w:t>
      </w:r>
    </w:p>
    <w:p w14:paraId="7C57B7EF" w14:textId="77777777" w:rsidR="0014798C" w:rsidRDefault="004E1F0B">
      <w:pPr>
        <w:pStyle w:val="Textoindependiente"/>
        <w:spacing w:line="180" w:lineRule="exact"/>
        <w:ind w:left="1112"/>
      </w:pPr>
      <w:r>
        <w:t>adopten</w:t>
      </w:r>
      <w:r>
        <w:rPr>
          <w:spacing w:val="2"/>
        </w:rPr>
        <w:t xml:space="preserve"> </w:t>
      </w:r>
      <w:r>
        <w:t>medidas</w:t>
      </w:r>
      <w:r>
        <w:rPr>
          <w:spacing w:val="2"/>
        </w:rPr>
        <w:t xml:space="preserve"> </w:t>
      </w:r>
      <w:r>
        <w:t>efectivas</w:t>
      </w:r>
      <w:r>
        <w:rPr>
          <w:spacing w:val="1"/>
        </w:rPr>
        <w:t xml:space="preserve"> </w:t>
      </w:r>
      <w:r>
        <w:t>para</w:t>
      </w:r>
      <w:r>
        <w:rPr>
          <w:spacing w:val="2"/>
        </w:rPr>
        <w:t xml:space="preserve"> </w:t>
      </w:r>
      <w:r>
        <w:t>prohibir</w:t>
      </w:r>
      <w:r>
        <w:rPr>
          <w:spacing w:val="2"/>
        </w:rPr>
        <w:t xml:space="preserve"> </w:t>
      </w:r>
      <w:r>
        <w:t>el</w:t>
      </w:r>
      <w:r>
        <w:rPr>
          <w:spacing w:val="2"/>
        </w:rPr>
        <w:t xml:space="preserve"> </w:t>
      </w:r>
      <w:r>
        <w:t>discurso</w:t>
      </w:r>
      <w:r>
        <w:rPr>
          <w:spacing w:val="2"/>
        </w:rPr>
        <w:t xml:space="preserve"> </w:t>
      </w:r>
      <w:r>
        <w:t>de</w:t>
      </w:r>
      <w:r>
        <w:rPr>
          <w:spacing w:val="2"/>
        </w:rPr>
        <w:t xml:space="preserve"> </w:t>
      </w:r>
      <w:r>
        <w:t>odio</w:t>
      </w:r>
      <w:r>
        <w:rPr>
          <w:spacing w:val="2"/>
        </w:rPr>
        <w:t xml:space="preserve"> </w:t>
      </w:r>
      <w:r>
        <w:t>por</w:t>
      </w:r>
      <w:r>
        <w:rPr>
          <w:spacing w:val="2"/>
        </w:rPr>
        <w:t xml:space="preserve"> </w:t>
      </w:r>
      <w:r>
        <w:t>una</w:t>
      </w:r>
      <w:r>
        <w:rPr>
          <w:spacing w:val="2"/>
        </w:rPr>
        <w:t xml:space="preserve"> </w:t>
      </w:r>
      <w:r>
        <w:t>variedad</w:t>
      </w:r>
      <w:r>
        <w:rPr>
          <w:spacing w:val="2"/>
        </w:rPr>
        <w:t xml:space="preserve"> </w:t>
      </w:r>
      <w:r>
        <w:t>de</w:t>
      </w:r>
      <w:r>
        <w:rPr>
          <w:spacing w:val="2"/>
        </w:rPr>
        <w:t xml:space="preserve"> </w:t>
      </w:r>
      <w:r>
        <w:t>motivos</w:t>
      </w:r>
      <w:r>
        <w:rPr>
          <w:spacing w:val="2"/>
        </w:rPr>
        <w:t xml:space="preserve"> </w:t>
      </w:r>
      <w:r>
        <w:t>además</w:t>
      </w:r>
      <w:r>
        <w:rPr>
          <w:spacing w:val="2"/>
        </w:rPr>
        <w:t xml:space="preserve"> </w:t>
      </w:r>
      <w:r>
        <w:t>de</w:t>
      </w:r>
      <w:r>
        <w:rPr>
          <w:spacing w:val="2"/>
        </w:rPr>
        <w:t xml:space="preserve"> </w:t>
      </w:r>
      <w:r>
        <w:t>los</w:t>
      </w:r>
      <w:r>
        <w:rPr>
          <w:spacing w:val="2"/>
        </w:rPr>
        <w:t xml:space="preserve"> </w:t>
      </w:r>
      <w:r>
        <w:t>enumerados</w:t>
      </w:r>
      <w:r>
        <w:rPr>
          <w:spacing w:val="2"/>
        </w:rPr>
        <w:t xml:space="preserve"> </w:t>
      </w:r>
      <w:r>
        <w:t>en</w:t>
      </w:r>
      <w:r>
        <w:rPr>
          <w:spacing w:val="2"/>
        </w:rPr>
        <w:t xml:space="preserve"> </w:t>
      </w:r>
      <w:r>
        <w:t>el</w:t>
      </w:r>
      <w:r>
        <w:rPr>
          <w:spacing w:val="2"/>
        </w:rPr>
        <w:t xml:space="preserve"> </w:t>
      </w:r>
      <w:r>
        <w:t>artículo</w:t>
      </w:r>
      <w:r>
        <w:rPr>
          <w:spacing w:val="2"/>
        </w:rPr>
        <w:t xml:space="preserve"> </w:t>
      </w:r>
      <w:r>
        <w:rPr>
          <w:spacing w:val="-5"/>
        </w:rPr>
        <w:t>20.</w:t>
      </w:r>
    </w:p>
    <w:p w14:paraId="4C3834B9" w14:textId="77777777" w:rsidR="0014798C" w:rsidRDefault="0014798C">
      <w:pPr>
        <w:pStyle w:val="Textoindependiente"/>
        <w:spacing w:before="9"/>
      </w:pPr>
    </w:p>
    <w:p w14:paraId="234B8270" w14:textId="77777777" w:rsidR="0014798C" w:rsidRDefault="004E1F0B">
      <w:pPr>
        <w:pStyle w:val="Textoindependiente"/>
        <w:ind w:left="1106"/>
      </w:pPr>
      <w:r>
        <w:t>El artículo 4 de</w:t>
      </w:r>
      <w:r>
        <w:rPr>
          <w:spacing w:val="1"/>
        </w:rPr>
        <w:t xml:space="preserve"> </w:t>
      </w:r>
      <w:r>
        <w:t>la Convención Internacional sobre</w:t>
      </w:r>
      <w:r>
        <w:rPr>
          <w:spacing w:val="1"/>
        </w:rPr>
        <w:t xml:space="preserve"> </w:t>
      </w:r>
      <w:r>
        <w:t>la Eliminación de todas</w:t>
      </w:r>
      <w:r>
        <w:rPr>
          <w:spacing w:val="1"/>
        </w:rPr>
        <w:t xml:space="preserve"> </w:t>
      </w:r>
      <w:r>
        <w:t>las Formas de Discriminación</w:t>
      </w:r>
      <w:r>
        <w:rPr>
          <w:spacing w:val="1"/>
        </w:rPr>
        <w:t xml:space="preserve"> </w:t>
      </w:r>
      <w:r>
        <w:t xml:space="preserve">Racial elabora </w:t>
      </w:r>
      <w:r>
        <w:rPr>
          <w:spacing w:val="-5"/>
        </w:rPr>
        <w:t>una</w:t>
      </w:r>
    </w:p>
    <w:p w14:paraId="22D7C560" w14:textId="77777777" w:rsidR="0014798C" w:rsidRDefault="004E1F0B">
      <w:pPr>
        <w:pStyle w:val="Textoindependiente"/>
        <w:spacing w:before="108" w:line="326" w:lineRule="auto"/>
        <w:ind w:left="1108" w:right="1272" w:firstLine="3"/>
      </w:pPr>
      <w:r>
        <w:t>prohibición más detallada del discurso de odio por motivos de raza, color u origen étnico. Compromete a los Estados a “condenar toda</w:t>
      </w:r>
      <w:r>
        <w:rPr>
          <w:spacing w:val="8"/>
        </w:rPr>
        <w:t xml:space="preserve"> </w:t>
      </w:r>
      <w:r>
        <w:t>propaganda</w:t>
      </w:r>
      <w:r>
        <w:rPr>
          <w:spacing w:val="8"/>
        </w:rPr>
        <w:t xml:space="preserve"> </w:t>
      </w:r>
      <w:r>
        <w:t>y</w:t>
      </w:r>
      <w:r>
        <w:rPr>
          <w:spacing w:val="8"/>
        </w:rPr>
        <w:t xml:space="preserve"> </w:t>
      </w:r>
      <w:r>
        <w:t>todas</w:t>
      </w:r>
      <w:r>
        <w:rPr>
          <w:spacing w:val="8"/>
        </w:rPr>
        <w:t xml:space="preserve"> </w:t>
      </w:r>
      <w:r>
        <w:t>las</w:t>
      </w:r>
      <w:r>
        <w:rPr>
          <w:spacing w:val="8"/>
        </w:rPr>
        <w:t xml:space="preserve"> </w:t>
      </w:r>
      <w:r>
        <w:t>organizaciones</w:t>
      </w:r>
      <w:r>
        <w:rPr>
          <w:spacing w:val="8"/>
        </w:rPr>
        <w:t xml:space="preserve"> </w:t>
      </w:r>
      <w:r>
        <w:t>que</w:t>
      </w:r>
      <w:r>
        <w:rPr>
          <w:spacing w:val="8"/>
        </w:rPr>
        <w:t xml:space="preserve"> </w:t>
      </w:r>
      <w:r>
        <w:t>se</w:t>
      </w:r>
      <w:r>
        <w:rPr>
          <w:spacing w:val="8"/>
        </w:rPr>
        <w:t xml:space="preserve"> </w:t>
      </w:r>
      <w:r>
        <w:t>basen</w:t>
      </w:r>
      <w:r>
        <w:rPr>
          <w:spacing w:val="8"/>
        </w:rPr>
        <w:t xml:space="preserve"> </w:t>
      </w:r>
      <w:r>
        <w:t>en</w:t>
      </w:r>
      <w:r>
        <w:rPr>
          <w:spacing w:val="8"/>
        </w:rPr>
        <w:t xml:space="preserve"> </w:t>
      </w:r>
      <w:r>
        <w:t>ideas</w:t>
      </w:r>
      <w:r>
        <w:rPr>
          <w:spacing w:val="8"/>
        </w:rPr>
        <w:t xml:space="preserve"> </w:t>
      </w:r>
      <w:r>
        <w:t>o</w:t>
      </w:r>
      <w:r>
        <w:rPr>
          <w:spacing w:val="8"/>
        </w:rPr>
        <w:t xml:space="preserve"> </w:t>
      </w:r>
      <w:r>
        <w:t>teorías</w:t>
      </w:r>
      <w:r>
        <w:rPr>
          <w:spacing w:val="8"/>
        </w:rPr>
        <w:t xml:space="preserve"> </w:t>
      </w:r>
      <w:r>
        <w:t>de</w:t>
      </w:r>
      <w:r>
        <w:rPr>
          <w:spacing w:val="8"/>
        </w:rPr>
        <w:t xml:space="preserve"> </w:t>
      </w:r>
      <w:r>
        <w:t>superioridad</w:t>
      </w:r>
      <w:r>
        <w:rPr>
          <w:spacing w:val="8"/>
        </w:rPr>
        <w:t xml:space="preserve"> </w:t>
      </w:r>
      <w:r>
        <w:t>de</w:t>
      </w:r>
      <w:r>
        <w:rPr>
          <w:spacing w:val="8"/>
        </w:rPr>
        <w:t xml:space="preserve"> </w:t>
      </w:r>
      <w:r>
        <w:t>una</w:t>
      </w:r>
      <w:r>
        <w:rPr>
          <w:spacing w:val="8"/>
        </w:rPr>
        <w:t xml:space="preserve"> </w:t>
      </w:r>
      <w:r>
        <w:t>raza</w:t>
      </w:r>
      <w:r>
        <w:rPr>
          <w:spacing w:val="8"/>
        </w:rPr>
        <w:t xml:space="preserve"> </w:t>
      </w:r>
      <w:r>
        <w:t>o</w:t>
      </w:r>
      <w:r>
        <w:rPr>
          <w:spacing w:val="8"/>
        </w:rPr>
        <w:t xml:space="preserve"> </w:t>
      </w:r>
      <w:r>
        <w:t>grupo</w:t>
      </w:r>
      <w:r>
        <w:rPr>
          <w:spacing w:val="8"/>
        </w:rPr>
        <w:t xml:space="preserve"> </w:t>
      </w:r>
      <w:r>
        <w:t>de</w:t>
      </w:r>
      <w:r>
        <w:rPr>
          <w:spacing w:val="8"/>
        </w:rPr>
        <w:t xml:space="preserve"> </w:t>
      </w:r>
      <w:r>
        <w:t>personas de un mismo color u origen étnico, o que intenten justificar o promover el odio racial”.</w:t>
      </w:r>
    </w:p>
    <w:p w14:paraId="4ABBC0AD" w14:textId="77777777" w:rsidR="0014798C" w:rsidRDefault="0014798C">
      <w:pPr>
        <w:pStyle w:val="Textoindependiente"/>
        <w:rPr>
          <w:sz w:val="11"/>
        </w:rPr>
      </w:pPr>
    </w:p>
    <w:p w14:paraId="1FDB8DA8" w14:textId="77777777" w:rsidR="0014798C" w:rsidRDefault="0014798C">
      <w:pPr>
        <w:pStyle w:val="Textoindependiente"/>
        <w:rPr>
          <w:sz w:val="11"/>
        </w:rPr>
      </w:pPr>
    </w:p>
    <w:p w14:paraId="44D63395" w14:textId="77777777" w:rsidR="0014798C" w:rsidRDefault="0014798C">
      <w:pPr>
        <w:pStyle w:val="Textoindependiente"/>
        <w:rPr>
          <w:sz w:val="11"/>
        </w:rPr>
      </w:pPr>
    </w:p>
    <w:p w14:paraId="6885B4E4" w14:textId="77777777" w:rsidR="0014798C" w:rsidRDefault="0014798C">
      <w:pPr>
        <w:pStyle w:val="Textoindependiente"/>
        <w:spacing w:before="46"/>
        <w:rPr>
          <w:sz w:val="11"/>
        </w:rPr>
      </w:pPr>
    </w:p>
    <w:p w14:paraId="6C797FE4" w14:textId="77777777" w:rsidR="0014798C" w:rsidRDefault="004E1F0B">
      <w:pPr>
        <w:ind w:left="1111"/>
        <w:rPr>
          <w:sz w:val="11"/>
        </w:rPr>
      </w:pPr>
      <w:r>
        <w:rPr>
          <w:spacing w:val="-2"/>
          <w:w w:val="105"/>
          <w:sz w:val="11"/>
        </w:rPr>
        <w:t>1135</w:t>
      </w:r>
      <w:r>
        <w:rPr>
          <w:spacing w:val="5"/>
          <w:w w:val="105"/>
          <w:sz w:val="11"/>
        </w:rPr>
        <w:t xml:space="preserve"> </w:t>
      </w:r>
      <w:r>
        <w:rPr>
          <w:spacing w:val="-2"/>
          <w:w w:val="105"/>
          <w:sz w:val="11"/>
        </w:rPr>
        <w:t>A/HRC/22/17/Add.4,</w:t>
      </w:r>
      <w:r>
        <w:rPr>
          <w:spacing w:val="6"/>
          <w:w w:val="105"/>
          <w:sz w:val="11"/>
        </w:rPr>
        <w:t xml:space="preserve"> </w:t>
      </w:r>
      <w:r>
        <w:rPr>
          <w:spacing w:val="-2"/>
          <w:w w:val="105"/>
          <w:sz w:val="11"/>
        </w:rPr>
        <w:t>anexo,</w:t>
      </w:r>
      <w:r>
        <w:rPr>
          <w:spacing w:val="5"/>
          <w:w w:val="105"/>
          <w:sz w:val="11"/>
        </w:rPr>
        <w:t xml:space="preserve"> </w:t>
      </w:r>
      <w:r>
        <w:rPr>
          <w:spacing w:val="-2"/>
          <w:w w:val="105"/>
          <w:sz w:val="11"/>
        </w:rPr>
        <w:t>apéndice.</w:t>
      </w:r>
    </w:p>
    <w:p w14:paraId="0C2C51B5" w14:textId="77777777" w:rsidR="0014798C" w:rsidRDefault="004E1F0B">
      <w:pPr>
        <w:spacing w:before="110" w:line="321" w:lineRule="auto"/>
        <w:ind w:left="1365" w:right="1290" w:hanging="254"/>
        <w:rPr>
          <w:sz w:val="12"/>
        </w:rPr>
      </w:pPr>
      <w:r>
        <w:rPr>
          <w:w w:val="105"/>
          <w:sz w:val="11"/>
        </w:rPr>
        <w:t>1136</w:t>
      </w:r>
      <w:r>
        <w:rPr>
          <w:spacing w:val="-5"/>
          <w:w w:val="105"/>
          <w:sz w:val="11"/>
        </w:rPr>
        <w:t xml:space="preserve"> </w:t>
      </w:r>
      <w:r>
        <w:rPr>
          <w:w w:val="105"/>
          <w:sz w:val="11"/>
        </w:rPr>
        <w:t>Secretario</w:t>
      </w:r>
      <w:r>
        <w:rPr>
          <w:spacing w:val="-5"/>
          <w:w w:val="105"/>
          <w:sz w:val="11"/>
        </w:rPr>
        <w:t xml:space="preserve"> </w:t>
      </w:r>
      <w:r>
        <w:rPr>
          <w:w w:val="105"/>
          <w:sz w:val="11"/>
        </w:rPr>
        <w:t>General,</w:t>
      </w:r>
      <w:r>
        <w:rPr>
          <w:spacing w:val="-5"/>
          <w:w w:val="105"/>
          <w:sz w:val="11"/>
        </w:rPr>
        <w:t xml:space="preserve"> </w:t>
      </w:r>
      <w:r>
        <w:rPr>
          <w:w w:val="105"/>
          <w:sz w:val="11"/>
        </w:rPr>
        <w:t>“Observaciones</w:t>
      </w:r>
      <w:r>
        <w:rPr>
          <w:spacing w:val="-6"/>
          <w:w w:val="105"/>
          <w:sz w:val="11"/>
        </w:rPr>
        <w:t xml:space="preserve"> </w:t>
      </w:r>
      <w:r>
        <w:rPr>
          <w:w w:val="105"/>
          <w:sz w:val="11"/>
        </w:rPr>
        <w:t>del</w:t>
      </w:r>
      <w:r>
        <w:rPr>
          <w:spacing w:val="-5"/>
          <w:w w:val="105"/>
          <w:sz w:val="11"/>
        </w:rPr>
        <w:t xml:space="preserve"> </w:t>
      </w:r>
      <w:r>
        <w:rPr>
          <w:w w:val="105"/>
          <w:sz w:val="11"/>
        </w:rPr>
        <w:t>Secretario</w:t>
      </w:r>
      <w:r>
        <w:rPr>
          <w:spacing w:val="-5"/>
          <w:w w:val="105"/>
          <w:sz w:val="11"/>
        </w:rPr>
        <w:t xml:space="preserve"> </w:t>
      </w:r>
      <w:r>
        <w:rPr>
          <w:w w:val="105"/>
          <w:sz w:val="11"/>
        </w:rPr>
        <w:t>General</w:t>
      </w:r>
      <w:r>
        <w:rPr>
          <w:spacing w:val="-5"/>
          <w:w w:val="105"/>
          <w:sz w:val="11"/>
        </w:rPr>
        <w:t xml:space="preserve"> </w:t>
      </w:r>
      <w:r>
        <w:rPr>
          <w:w w:val="105"/>
          <w:sz w:val="11"/>
        </w:rPr>
        <w:t>en</w:t>
      </w:r>
      <w:r>
        <w:rPr>
          <w:spacing w:val="-5"/>
          <w:w w:val="105"/>
          <w:sz w:val="11"/>
        </w:rPr>
        <w:t xml:space="preserve"> </w:t>
      </w:r>
      <w:r>
        <w:rPr>
          <w:w w:val="105"/>
          <w:sz w:val="11"/>
        </w:rPr>
        <w:t>el</w:t>
      </w:r>
      <w:r>
        <w:rPr>
          <w:spacing w:val="-5"/>
          <w:w w:val="105"/>
          <w:sz w:val="11"/>
        </w:rPr>
        <w:t xml:space="preserve"> </w:t>
      </w:r>
      <w:r>
        <w:rPr>
          <w:w w:val="105"/>
          <w:sz w:val="11"/>
        </w:rPr>
        <w:t>lanzamiento</w:t>
      </w:r>
      <w:r>
        <w:rPr>
          <w:spacing w:val="-5"/>
          <w:w w:val="105"/>
          <w:sz w:val="11"/>
        </w:rPr>
        <w:t xml:space="preserve"> </w:t>
      </w:r>
      <w:r>
        <w:rPr>
          <w:w w:val="105"/>
          <w:sz w:val="11"/>
        </w:rPr>
        <w:t>de</w:t>
      </w:r>
      <w:r>
        <w:rPr>
          <w:spacing w:val="-5"/>
          <w:w w:val="105"/>
          <w:sz w:val="11"/>
        </w:rPr>
        <w:t xml:space="preserve"> </w:t>
      </w:r>
      <w:r>
        <w:rPr>
          <w:w w:val="105"/>
          <w:sz w:val="11"/>
        </w:rPr>
        <w:t>la</w:t>
      </w:r>
      <w:r>
        <w:rPr>
          <w:spacing w:val="-5"/>
          <w:w w:val="105"/>
          <w:sz w:val="11"/>
        </w:rPr>
        <w:t xml:space="preserve"> </w:t>
      </w:r>
      <w:r>
        <w:rPr>
          <w:w w:val="105"/>
          <w:sz w:val="11"/>
        </w:rPr>
        <w:t>Estrategia</w:t>
      </w:r>
      <w:r>
        <w:rPr>
          <w:spacing w:val="-6"/>
          <w:w w:val="105"/>
          <w:sz w:val="11"/>
        </w:rPr>
        <w:t xml:space="preserve"> </w:t>
      </w:r>
      <w:r>
        <w:rPr>
          <w:w w:val="105"/>
          <w:sz w:val="11"/>
        </w:rPr>
        <w:t>y</w:t>
      </w:r>
      <w:r>
        <w:rPr>
          <w:spacing w:val="-5"/>
          <w:w w:val="105"/>
          <w:sz w:val="11"/>
        </w:rPr>
        <w:t xml:space="preserve"> </w:t>
      </w:r>
      <w:r>
        <w:rPr>
          <w:w w:val="105"/>
          <w:sz w:val="11"/>
        </w:rPr>
        <w:t>Plan</w:t>
      </w:r>
      <w:r>
        <w:rPr>
          <w:spacing w:val="-5"/>
          <w:w w:val="105"/>
          <w:sz w:val="11"/>
        </w:rPr>
        <w:t xml:space="preserve"> </w:t>
      </w:r>
      <w:r>
        <w:rPr>
          <w:w w:val="105"/>
          <w:sz w:val="11"/>
        </w:rPr>
        <w:t>de</w:t>
      </w:r>
      <w:r>
        <w:rPr>
          <w:spacing w:val="-5"/>
          <w:w w:val="105"/>
          <w:sz w:val="11"/>
        </w:rPr>
        <w:t xml:space="preserve"> </w:t>
      </w:r>
      <w:r>
        <w:rPr>
          <w:w w:val="105"/>
          <w:sz w:val="11"/>
        </w:rPr>
        <w:t>Acción</w:t>
      </w:r>
      <w:r>
        <w:rPr>
          <w:spacing w:val="-5"/>
          <w:w w:val="105"/>
          <w:sz w:val="11"/>
        </w:rPr>
        <w:t xml:space="preserve"> </w:t>
      </w:r>
      <w:r>
        <w:rPr>
          <w:w w:val="105"/>
          <w:sz w:val="11"/>
        </w:rPr>
        <w:t>de</w:t>
      </w:r>
      <w:r>
        <w:rPr>
          <w:spacing w:val="-5"/>
          <w:w w:val="105"/>
          <w:sz w:val="11"/>
        </w:rPr>
        <w:t xml:space="preserve"> </w:t>
      </w:r>
      <w:r>
        <w:rPr>
          <w:w w:val="105"/>
          <w:sz w:val="11"/>
        </w:rPr>
        <w:t>las</w:t>
      </w:r>
      <w:r>
        <w:rPr>
          <w:spacing w:val="-5"/>
          <w:w w:val="105"/>
          <w:sz w:val="11"/>
        </w:rPr>
        <w:t xml:space="preserve"> </w:t>
      </w:r>
      <w:r>
        <w:rPr>
          <w:w w:val="105"/>
          <w:sz w:val="11"/>
        </w:rPr>
        <w:t>Naciones</w:t>
      </w:r>
      <w:r>
        <w:rPr>
          <w:spacing w:val="-5"/>
          <w:w w:val="105"/>
          <w:sz w:val="11"/>
        </w:rPr>
        <w:t xml:space="preserve"> </w:t>
      </w:r>
      <w:r>
        <w:rPr>
          <w:w w:val="105"/>
          <w:sz w:val="11"/>
        </w:rPr>
        <w:t>Unidas</w:t>
      </w:r>
      <w:r>
        <w:rPr>
          <w:spacing w:val="-5"/>
          <w:w w:val="105"/>
          <w:sz w:val="11"/>
        </w:rPr>
        <w:t xml:space="preserve"> </w:t>
      </w:r>
      <w:r>
        <w:rPr>
          <w:w w:val="105"/>
          <w:sz w:val="11"/>
        </w:rPr>
        <w:t>sobre</w:t>
      </w:r>
      <w:r>
        <w:rPr>
          <w:spacing w:val="-5"/>
          <w:w w:val="105"/>
          <w:sz w:val="11"/>
        </w:rPr>
        <w:t xml:space="preserve"> </w:t>
      </w:r>
      <w:r>
        <w:rPr>
          <w:w w:val="105"/>
          <w:sz w:val="11"/>
        </w:rPr>
        <w:t>el</w:t>
      </w:r>
      <w:r>
        <w:rPr>
          <w:spacing w:val="-5"/>
          <w:w w:val="105"/>
          <w:sz w:val="11"/>
        </w:rPr>
        <w:t xml:space="preserve"> </w:t>
      </w:r>
      <w:r>
        <w:rPr>
          <w:w w:val="105"/>
          <w:sz w:val="11"/>
        </w:rPr>
        <w:t>discurso</w:t>
      </w:r>
      <w:r>
        <w:rPr>
          <w:spacing w:val="-5"/>
          <w:w w:val="105"/>
          <w:sz w:val="11"/>
        </w:rPr>
        <w:t xml:space="preserve"> </w:t>
      </w:r>
      <w:r>
        <w:rPr>
          <w:w w:val="105"/>
          <w:sz w:val="11"/>
        </w:rPr>
        <w:t>de</w:t>
      </w:r>
      <w:r>
        <w:rPr>
          <w:spacing w:val="-5"/>
          <w:w w:val="105"/>
          <w:sz w:val="11"/>
        </w:rPr>
        <w:t xml:space="preserve"> </w:t>
      </w:r>
      <w:r>
        <w:rPr>
          <w:w w:val="105"/>
          <w:sz w:val="11"/>
        </w:rPr>
        <w:t>odio</w:t>
      </w:r>
      <w:r>
        <w:rPr>
          <w:spacing w:val="-5"/>
          <w:w w:val="105"/>
          <w:sz w:val="11"/>
        </w:rPr>
        <w:t xml:space="preserve"> </w:t>
      </w:r>
      <w:r>
        <w:rPr>
          <w:w w:val="105"/>
          <w:sz w:val="11"/>
        </w:rPr>
        <w:t>[como</w:t>
      </w:r>
      <w:r>
        <w:rPr>
          <w:spacing w:val="40"/>
          <w:w w:val="105"/>
          <w:sz w:val="11"/>
        </w:rPr>
        <w:t xml:space="preserve"> </w:t>
      </w:r>
      <w:r>
        <w:rPr>
          <w:w w:val="105"/>
          <w:sz w:val="12"/>
        </w:rPr>
        <w:t>entregado]”,</w:t>
      </w:r>
      <w:r>
        <w:rPr>
          <w:spacing w:val="-5"/>
          <w:w w:val="105"/>
          <w:sz w:val="12"/>
        </w:rPr>
        <w:t xml:space="preserve"> </w:t>
      </w:r>
      <w:r>
        <w:rPr>
          <w:w w:val="105"/>
          <w:sz w:val="12"/>
        </w:rPr>
        <w:t>18</w:t>
      </w:r>
      <w:r>
        <w:rPr>
          <w:spacing w:val="-5"/>
          <w:w w:val="105"/>
          <w:sz w:val="12"/>
        </w:rPr>
        <w:t xml:space="preserve"> </w:t>
      </w:r>
      <w:r>
        <w:rPr>
          <w:w w:val="105"/>
          <w:sz w:val="12"/>
        </w:rPr>
        <w:t>de</w:t>
      </w:r>
      <w:r>
        <w:rPr>
          <w:spacing w:val="-5"/>
          <w:w w:val="105"/>
          <w:sz w:val="12"/>
        </w:rPr>
        <w:t xml:space="preserve"> </w:t>
      </w:r>
      <w:r>
        <w:rPr>
          <w:w w:val="105"/>
          <w:sz w:val="12"/>
        </w:rPr>
        <w:t>junio</w:t>
      </w:r>
      <w:r>
        <w:rPr>
          <w:spacing w:val="-5"/>
          <w:w w:val="105"/>
          <w:sz w:val="12"/>
        </w:rPr>
        <w:t xml:space="preserve"> </w:t>
      </w:r>
      <w:r>
        <w:rPr>
          <w:w w:val="105"/>
          <w:sz w:val="12"/>
        </w:rPr>
        <w:t>de</w:t>
      </w:r>
      <w:r>
        <w:rPr>
          <w:spacing w:val="-5"/>
          <w:w w:val="105"/>
          <w:sz w:val="12"/>
        </w:rPr>
        <w:t xml:space="preserve"> </w:t>
      </w:r>
      <w:r>
        <w:rPr>
          <w:w w:val="105"/>
          <w:sz w:val="12"/>
        </w:rPr>
        <w:t>2019.</w:t>
      </w:r>
      <w:r>
        <w:rPr>
          <w:spacing w:val="-5"/>
          <w:w w:val="105"/>
          <w:sz w:val="12"/>
        </w:rPr>
        <w:t xml:space="preserve"> </w:t>
      </w:r>
      <w:r>
        <w:rPr>
          <w:w w:val="105"/>
          <w:sz w:val="12"/>
        </w:rPr>
        <w:t>Véase</w:t>
      </w:r>
      <w:r>
        <w:rPr>
          <w:spacing w:val="-6"/>
          <w:w w:val="105"/>
          <w:sz w:val="12"/>
        </w:rPr>
        <w:t xml:space="preserve"> </w:t>
      </w:r>
      <w:r>
        <w:rPr>
          <w:w w:val="105"/>
          <w:sz w:val="12"/>
        </w:rPr>
        <w:t>también</w:t>
      </w:r>
      <w:r>
        <w:rPr>
          <w:spacing w:val="-6"/>
          <w:w w:val="105"/>
          <w:sz w:val="12"/>
        </w:rPr>
        <w:t xml:space="preserve"> </w:t>
      </w:r>
      <w:r>
        <w:rPr>
          <w:w w:val="105"/>
          <w:sz w:val="12"/>
        </w:rPr>
        <w:t>Naciones</w:t>
      </w:r>
      <w:r>
        <w:rPr>
          <w:spacing w:val="-6"/>
          <w:w w:val="105"/>
          <w:sz w:val="12"/>
        </w:rPr>
        <w:t xml:space="preserve"> </w:t>
      </w:r>
      <w:r>
        <w:rPr>
          <w:w w:val="105"/>
          <w:sz w:val="12"/>
        </w:rPr>
        <w:t>Unidas,</w:t>
      </w:r>
      <w:r>
        <w:rPr>
          <w:spacing w:val="-5"/>
          <w:w w:val="105"/>
          <w:sz w:val="12"/>
        </w:rPr>
        <w:t xml:space="preserve"> </w:t>
      </w:r>
      <w:r>
        <w:rPr>
          <w:w w:val="105"/>
          <w:sz w:val="12"/>
        </w:rPr>
        <w:t>“Estrategia</w:t>
      </w:r>
      <w:r>
        <w:rPr>
          <w:spacing w:val="-6"/>
          <w:w w:val="105"/>
          <w:sz w:val="12"/>
        </w:rPr>
        <w:t xml:space="preserve"> </w:t>
      </w:r>
      <w:r>
        <w:rPr>
          <w:w w:val="105"/>
          <w:sz w:val="12"/>
        </w:rPr>
        <w:t>y</w:t>
      </w:r>
      <w:r>
        <w:rPr>
          <w:spacing w:val="-5"/>
          <w:w w:val="105"/>
          <w:sz w:val="12"/>
        </w:rPr>
        <w:t xml:space="preserve"> </w:t>
      </w:r>
      <w:r>
        <w:rPr>
          <w:w w:val="105"/>
          <w:sz w:val="12"/>
        </w:rPr>
        <w:t>plan</w:t>
      </w:r>
      <w:r>
        <w:rPr>
          <w:spacing w:val="-5"/>
          <w:w w:val="105"/>
          <w:sz w:val="12"/>
        </w:rPr>
        <w:t xml:space="preserve"> </w:t>
      </w:r>
      <w:r>
        <w:rPr>
          <w:w w:val="105"/>
          <w:sz w:val="12"/>
        </w:rPr>
        <w:t>de</w:t>
      </w:r>
      <w:r>
        <w:rPr>
          <w:spacing w:val="-5"/>
          <w:w w:val="105"/>
          <w:sz w:val="12"/>
        </w:rPr>
        <w:t xml:space="preserve"> </w:t>
      </w:r>
      <w:r>
        <w:rPr>
          <w:w w:val="105"/>
          <w:sz w:val="12"/>
        </w:rPr>
        <w:t>acción</w:t>
      </w:r>
      <w:r>
        <w:rPr>
          <w:spacing w:val="-5"/>
          <w:w w:val="105"/>
          <w:sz w:val="12"/>
        </w:rPr>
        <w:t xml:space="preserve"> </w:t>
      </w:r>
      <w:r>
        <w:rPr>
          <w:w w:val="105"/>
          <w:sz w:val="12"/>
        </w:rPr>
        <w:t>de</w:t>
      </w:r>
      <w:r>
        <w:rPr>
          <w:spacing w:val="-5"/>
          <w:w w:val="105"/>
          <w:sz w:val="12"/>
        </w:rPr>
        <w:t xml:space="preserve"> </w:t>
      </w:r>
      <w:r>
        <w:rPr>
          <w:w w:val="105"/>
          <w:sz w:val="12"/>
        </w:rPr>
        <w:t>las</w:t>
      </w:r>
      <w:r>
        <w:rPr>
          <w:spacing w:val="-5"/>
          <w:w w:val="105"/>
          <w:sz w:val="12"/>
        </w:rPr>
        <w:t xml:space="preserve"> </w:t>
      </w:r>
      <w:r>
        <w:rPr>
          <w:w w:val="105"/>
          <w:sz w:val="12"/>
        </w:rPr>
        <w:t>Naciones</w:t>
      </w:r>
      <w:r>
        <w:rPr>
          <w:spacing w:val="-6"/>
          <w:w w:val="105"/>
          <w:sz w:val="12"/>
        </w:rPr>
        <w:t xml:space="preserve"> </w:t>
      </w:r>
      <w:r>
        <w:rPr>
          <w:w w:val="105"/>
          <w:sz w:val="12"/>
        </w:rPr>
        <w:t>Unidas</w:t>
      </w:r>
      <w:r>
        <w:rPr>
          <w:spacing w:val="-6"/>
          <w:w w:val="105"/>
          <w:sz w:val="12"/>
        </w:rPr>
        <w:t xml:space="preserve"> </w:t>
      </w:r>
      <w:r>
        <w:rPr>
          <w:w w:val="105"/>
          <w:sz w:val="12"/>
        </w:rPr>
        <w:t>sobre</w:t>
      </w:r>
      <w:r>
        <w:rPr>
          <w:spacing w:val="-5"/>
          <w:w w:val="105"/>
          <w:sz w:val="12"/>
        </w:rPr>
        <w:t xml:space="preserve"> </w:t>
      </w:r>
      <w:r>
        <w:rPr>
          <w:w w:val="105"/>
          <w:sz w:val="12"/>
        </w:rPr>
        <w:t>el</w:t>
      </w:r>
      <w:r>
        <w:rPr>
          <w:spacing w:val="-5"/>
          <w:w w:val="105"/>
          <w:sz w:val="12"/>
        </w:rPr>
        <w:t xml:space="preserve"> </w:t>
      </w:r>
      <w:r>
        <w:rPr>
          <w:w w:val="105"/>
          <w:sz w:val="12"/>
        </w:rPr>
        <w:t>discurso</w:t>
      </w:r>
      <w:r>
        <w:rPr>
          <w:spacing w:val="-5"/>
          <w:w w:val="105"/>
          <w:sz w:val="12"/>
        </w:rPr>
        <w:t xml:space="preserve"> </w:t>
      </w:r>
      <w:r>
        <w:rPr>
          <w:w w:val="105"/>
          <w:sz w:val="12"/>
        </w:rPr>
        <w:t>de</w:t>
      </w:r>
      <w:r>
        <w:rPr>
          <w:spacing w:val="-5"/>
          <w:w w:val="105"/>
          <w:sz w:val="12"/>
        </w:rPr>
        <w:t xml:space="preserve"> </w:t>
      </w:r>
      <w:r>
        <w:rPr>
          <w:w w:val="105"/>
          <w:sz w:val="12"/>
        </w:rPr>
        <w:t>odio”</w:t>
      </w:r>
      <w:r>
        <w:rPr>
          <w:spacing w:val="-6"/>
          <w:w w:val="105"/>
          <w:sz w:val="12"/>
        </w:rPr>
        <w:t xml:space="preserve"> </w:t>
      </w:r>
      <w:r>
        <w:rPr>
          <w:w w:val="105"/>
          <w:sz w:val="12"/>
        </w:rPr>
        <w:t>(2019).</w:t>
      </w:r>
      <w:r>
        <w:rPr>
          <w:spacing w:val="40"/>
          <w:w w:val="105"/>
          <w:sz w:val="12"/>
        </w:rPr>
        <w:t xml:space="preserve"> </w:t>
      </w:r>
      <w:r>
        <w:rPr>
          <w:w w:val="105"/>
          <w:sz w:val="12"/>
        </w:rPr>
        <w:t>Disponible</w:t>
      </w:r>
      <w:r>
        <w:rPr>
          <w:spacing w:val="-9"/>
          <w:w w:val="105"/>
          <w:sz w:val="12"/>
        </w:rPr>
        <w:t xml:space="preserve"> </w:t>
      </w:r>
      <w:r>
        <w:rPr>
          <w:w w:val="105"/>
          <w:sz w:val="12"/>
        </w:rPr>
        <w:t>en</w:t>
      </w:r>
      <w:r>
        <w:rPr>
          <w:spacing w:val="-9"/>
          <w:w w:val="105"/>
          <w:sz w:val="12"/>
        </w:rPr>
        <w:t xml:space="preserve"> </w:t>
      </w:r>
      <w:hyperlink r:id="rId324">
        <w:r>
          <w:rPr>
            <w:color w:val="0075BF"/>
            <w:w w:val="105"/>
            <w:sz w:val="12"/>
          </w:rPr>
          <w:t>www.un.org/en/genocideprevention/hate-speech-strategy.shtml.</w:t>
        </w:r>
      </w:hyperlink>
    </w:p>
    <w:p w14:paraId="1B47343E" w14:textId="77777777" w:rsidR="0014798C" w:rsidRDefault="004E1F0B">
      <w:pPr>
        <w:spacing w:before="57"/>
        <w:ind w:left="1111"/>
        <w:rPr>
          <w:sz w:val="11"/>
        </w:rPr>
      </w:pPr>
      <w:r>
        <w:rPr>
          <w:w w:val="105"/>
          <w:sz w:val="11"/>
        </w:rPr>
        <w:t>1137</w:t>
      </w:r>
      <w:r>
        <w:rPr>
          <w:spacing w:val="-7"/>
          <w:w w:val="105"/>
          <w:sz w:val="11"/>
        </w:rPr>
        <w:t xml:space="preserve"> </w:t>
      </w:r>
      <w:r>
        <w:rPr>
          <w:w w:val="105"/>
          <w:sz w:val="11"/>
        </w:rPr>
        <w:t>Secretario</w:t>
      </w:r>
      <w:r>
        <w:rPr>
          <w:spacing w:val="-7"/>
          <w:w w:val="105"/>
          <w:sz w:val="11"/>
        </w:rPr>
        <w:t xml:space="preserve"> </w:t>
      </w:r>
      <w:r>
        <w:rPr>
          <w:w w:val="105"/>
          <w:sz w:val="11"/>
        </w:rPr>
        <w:t>General,</w:t>
      </w:r>
      <w:r>
        <w:rPr>
          <w:spacing w:val="-6"/>
          <w:w w:val="105"/>
          <w:sz w:val="11"/>
        </w:rPr>
        <w:t xml:space="preserve"> </w:t>
      </w:r>
      <w:r>
        <w:rPr>
          <w:w w:val="105"/>
          <w:sz w:val="11"/>
        </w:rPr>
        <w:t>“Observaciones</w:t>
      </w:r>
      <w:r>
        <w:rPr>
          <w:spacing w:val="-8"/>
          <w:w w:val="105"/>
          <w:sz w:val="11"/>
        </w:rPr>
        <w:t xml:space="preserve"> </w:t>
      </w:r>
      <w:r>
        <w:rPr>
          <w:w w:val="105"/>
          <w:sz w:val="11"/>
        </w:rPr>
        <w:t>del</w:t>
      </w:r>
      <w:r>
        <w:rPr>
          <w:spacing w:val="-7"/>
          <w:w w:val="105"/>
          <w:sz w:val="11"/>
        </w:rPr>
        <w:t xml:space="preserve"> </w:t>
      </w:r>
      <w:r>
        <w:rPr>
          <w:w w:val="105"/>
          <w:sz w:val="11"/>
        </w:rPr>
        <w:t>Secretario</w:t>
      </w:r>
      <w:r>
        <w:rPr>
          <w:spacing w:val="-6"/>
          <w:w w:val="105"/>
          <w:sz w:val="11"/>
        </w:rPr>
        <w:t xml:space="preserve"> </w:t>
      </w:r>
      <w:r>
        <w:rPr>
          <w:w w:val="105"/>
          <w:sz w:val="11"/>
        </w:rPr>
        <w:t>General</w:t>
      </w:r>
      <w:r>
        <w:rPr>
          <w:spacing w:val="-7"/>
          <w:w w:val="105"/>
          <w:sz w:val="11"/>
        </w:rPr>
        <w:t xml:space="preserve"> </w:t>
      </w:r>
      <w:r>
        <w:rPr>
          <w:w w:val="105"/>
          <w:sz w:val="11"/>
        </w:rPr>
        <w:t>en</w:t>
      </w:r>
      <w:r>
        <w:rPr>
          <w:spacing w:val="-6"/>
          <w:w w:val="105"/>
          <w:sz w:val="11"/>
        </w:rPr>
        <w:t xml:space="preserve"> </w:t>
      </w:r>
      <w:r>
        <w:rPr>
          <w:w w:val="105"/>
          <w:sz w:val="11"/>
        </w:rPr>
        <w:t>el</w:t>
      </w:r>
      <w:r>
        <w:rPr>
          <w:spacing w:val="-7"/>
          <w:w w:val="105"/>
          <w:sz w:val="11"/>
        </w:rPr>
        <w:t xml:space="preserve"> </w:t>
      </w:r>
      <w:r>
        <w:rPr>
          <w:w w:val="105"/>
          <w:sz w:val="11"/>
        </w:rPr>
        <w:t>lanzamiento</w:t>
      </w:r>
      <w:r>
        <w:rPr>
          <w:spacing w:val="-7"/>
          <w:w w:val="105"/>
          <w:sz w:val="11"/>
        </w:rPr>
        <w:t xml:space="preserve"> </w:t>
      </w:r>
      <w:r>
        <w:rPr>
          <w:w w:val="105"/>
          <w:sz w:val="11"/>
        </w:rPr>
        <w:t>de</w:t>
      </w:r>
      <w:r>
        <w:rPr>
          <w:spacing w:val="-6"/>
          <w:w w:val="105"/>
          <w:sz w:val="11"/>
        </w:rPr>
        <w:t xml:space="preserve"> </w:t>
      </w:r>
      <w:r>
        <w:rPr>
          <w:w w:val="105"/>
          <w:sz w:val="11"/>
        </w:rPr>
        <w:t>la</w:t>
      </w:r>
      <w:r>
        <w:rPr>
          <w:spacing w:val="-7"/>
          <w:w w:val="105"/>
          <w:sz w:val="11"/>
        </w:rPr>
        <w:t xml:space="preserve"> </w:t>
      </w:r>
      <w:r>
        <w:rPr>
          <w:w w:val="105"/>
          <w:sz w:val="11"/>
        </w:rPr>
        <w:t>Estrategia</w:t>
      </w:r>
      <w:r>
        <w:rPr>
          <w:spacing w:val="-8"/>
          <w:w w:val="105"/>
          <w:sz w:val="11"/>
        </w:rPr>
        <w:t xml:space="preserve"> </w:t>
      </w:r>
      <w:r>
        <w:rPr>
          <w:w w:val="105"/>
          <w:sz w:val="11"/>
        </w:rPr>
        <w:t>y</w:t>
      </w:r>
      <w:r>
        <w:rPr>
          <w:spacing w:val="-6"/>
          <w:w w:val="105"/>
          <w:sz w:val="11"/>
        </w:rPr>
        <w:t xml:space="preserve"> </w:t>
      </w:r>
      <w:r>
        <w:rPr>
          <w:w w:val="105"/>
          <w:sz w:val="11"/>
        </w:rPr>
        <w:t>Plan</w:t>
      </w:r>
      <w:r>
        <w:rPr>
          <w:spacing w:val="-7"/>
          <w:w w:val="105"/>
          <w:sz w:val="11"/>
        </w:rPr>
        <w:t xml:space="preserve"> </w:t>
      </w:r>
      <w:r>
        <w:rPr>
          <w:w w:val="105"/>
          <w:sz w:val="11"/>
        </w:rPr>
        <w:t>de</w:t>
      </w:r>
      <w:r>
        <w:rPr>
          <w:spacing w:val="-6"/>
          <w:w w:val="105"/>
          <w:sz w:val="11"/>
        </w:rPr>
        <w:t xml:space="preserve"> </w:t>
      </w:r>
      <w:r>
        <w:rPr>
          <w:w w:val="105"/>
          <w:sz w:val="11"/>
        </w:rPr>
        <w:t>Acción</w:t>
      </w:r>
      <w:r>
        <w:rPr>
          <w:spacing w:val="-7"/>
          <w:w w:val="105"/>
          <w:sz w:val="11"/>
        </w:rPr>
        <w:t xml:space="preserve"> </w:t>
      </w:r>
      <w:r>
        <w:rPr>
          <w:w w:val="105"/>
          <w:sz w:val="11"/>
        </w:rPr>
        <w:t>de</w:t>
      </w:r>
      <w:r>
        <w:rPr>
          <w:spacing w:val="-7"/>
          <w:w w:val="105"/>
          <w:sz w:val="11"/>
        </w:rPr>
        <w:t xml:space="preserve"> </w:t>
      </w:r>
      <w:r>
        <w:rPr>
          <w:w w:val="105"/>
          <w:sz w:val="11"/>
        </w:rPr>
        <w:t>las</w:t>
      </w:r>
      <w:r>
        <w:rPr>
          <w:spacing w:val="-6"/>
          <w:w w:val="105"/>
          <w:sz w:val="11"/>
        </w:rPr>
        <w:t xml:space="preserve"> </w:t>
      </w:r>
      <w:r>
        <w:rPr>
          <w:w w:val="105"/>
          <w:sz w:val="11"/>
        </w:rPr>
        <w:t>Naciones</w:t>
      </w:r>
      <w:r>
        <w:rPr>
          <w:spacing w:val="-7"/>
          <w:w w:val="105"/>
          <w:sz w:val="11"/>
        </w:rPr>
        <w:t xml:space="preserve"> </w:t>
      </w:r>
      <w:r>
        <w:rPr>
          <w:w w:val="105"/>
          <w:sz w:val="11"/>
        </w:rPr>
        <w:t>Unidas</w:t>
      </w:r>
      <w:r>
        <w:rPr>
          <w:spacing w:val="-7"/>
          <w:w w:val="105"/>
          <w:sz w:val="11"/>
        </w:rPr>
        <w:t xml:space="preserve"> </w:t>
      </w:r>
      <w:r>
        <w:rPr>
          <w:w w:val="105"/>
          <w:sz w:val="11"/>
        </w:rPr>
        <w:t>sobre</w:t>
      </w:r>
      <w:r>
        <w:rPr>
          <w:spacing w:val="-6"/>
          <w:w w:val="105"/>
          <w:sz w:val="11"/>
        </w:rPr>
        <w:t xml:space="preserve"> </w:t>
      </w:r>
      <w:r>
        <w:rPr>
          <w:w w:val="105"/>
          <w:sz w:val="11"/>
        </w:rPr>
        <w:t>el</w:t>
      </w:r>
      <w:r>
        <w:rPr>
          <w:spacing w:val="-7"/>
          <w:w w:val="105"/>
          <w:sz w:val="11"/>
        </w:rPr>
        <w:t xml:space="preserve"> </w:t>
      </w:r>
      <w:r>
        <w:rPr>
          <w:w w:val="105"/>
          <w:sz w:val="11"/>
        </w:rPr>
        <w:t>discurso</w:t>
      </w:r>
      <w:r>
        <w:rPr>
          <w:spacing w:val="-7"/>
          <w:w w:val="105"/>
          <w:sz w:val="11"/>
        </w:rPr>
        <w:t xml:space="preserve"> </w:t>
      </w:r>
      <w:r>
        <w:rPr>
          <w:w w:val="105"/>
          <w:sz w:val="11"/>
        </w:rPr>
        <w:t>de</w:t>
      </w:r>
      <w:r>
        <w:rPr>
          <w:spacing w:val="-6"/>
          <w:w w:val="105"/>
          <w:sz w:val="11"/>
        </w:rPr>
        <w:t xml:space="preserve"> </w:t>
      </w:r>
      <w:r>
        <w:rPr>
          <w:w w:val="105"/>
          <w:sz w:val="11"/>
        </w:rPr>
        <w:t>odio</w:t>
      </w:r>
      <w:r>
        <w:rPr>
          <w:spacing w:val="-7"/>
          <w:w w:val="105"/>
          <w:sz w:val="11"/>
        </w:rPr>
        <w:t xml:space="preserve"> </w:t>
      </w:r>
      <w:r>
        <w:rPr>
          <w:spacing w:val="-2"/>
          <w:w w:val="105"/>
          <w:sz w:val="11"/>
        </w:rPr>
        <w:t>[como</w:t>
      </w:r>
    </w:p>
    <w:p w14:paraId="15ABFDCD" w14:textId="77777777" w:rsidR="0014798C" w:rsidRDefault="004E1F0B">
      <w:pPr>
        <w:spacing w:before="13"/>
        <w:ind w:left="1369"/>
        <w:rPr>
          <w:sz w:val="12"/>
        </w:rPr>
      </w:pPr>
      <w:r>
        <w:rPr>
          <w:spacing w:val="-2"/>
          <w:sz w:val="12"/>
        </w:rPr>
        <w:t>entregado]".</w:t>
      </w:r>
    </w:p>
    <w:p w14:paraId="02345BB2" w14:textId="77777777" w:rsidR="0014798C" w:rsidRPr="00537489" w:rsidRDefault="004E1F0B">
      <w:pPr>
        <w:spacing w:before="104" w:line="312" w:lineRule="auto"/>
        <w:ind w:left="1366" w:right="1463" w:hanging="255"/>
        <w:rPr>
          <w:sz w:val="12"/>
          <w:lang w:val="en-US"/>
        </w:rPr>
      </w:pPr>
      <w:r>
        <w:rPr>
          <w:sz w:val="12"/>
        </w:rPr>
        <w:t>1138 Naciones Unidas, Estrategia y Plan de Acción de las Naciones Unidas sobre el discurso de odio: Orientación detallada sobre la implementación para las presencias</w:t>
      </w:r>
      <w:r>
        <w:rPr>
          <w:spacing w:val="40"/>
          <w:sz w:val="12"/>
        </w:rPr>
        <w:t xml:space="preserve"> </w:t>
      </w:r>
      <w:r>
        <w:rPr>
          <w:sz w:val="12"/>
        </w:rPr>
        <w:t xml:space="preserve">de las Naciones Unidas sobre el terreno (2020), pág. 30, compromiso 3. </w:t>
      </w:r>
      <w:r w:rsidRPr="00537489">
        <w:rPr>
          <w:sz w:val="12"/>
          <w:lang w:val="en-US"/>
        </w:rPr>
        <w:t xml:space="preserve">Disponible en </w:t>
      </w:r>
      <w:r>
        <w:fldChar w:fldCharType="begin"/>
      </w:r>
      <w:r w:rsidRPr="00C666B0">
        <w:rPr>
          <w:lang w:val="en-US"/>
        </w:rPr>
        <w:instrText>HYPERLINK "http://www.un.org/en/genocideprevention/documents/UN%20Strategy%20and%20" \h</w:instrText>
      </w:r>
      <w:r>
        <w:fldChar w:fldCharType="separate"/>
      </w:r>
      <w:r w:rsidRPr="00537489">
        <w:rPr>
          <w:color w:val="0075BF"/>
          <w:sz w:val="12"/>
          <w:lang w:val="en-US"/>
        </w:rPr>
        <w:t>www.un.org/en/genocideprevention/documents/UN%20Strategy%20and%20</w:t>
      </w:r>
      <w:r>
        <w:fldChar w:fldCharType="end"/>
      </w:r>
      <w:r w:rsidRPr="00537489">
        <w:rPr>
          <w:color w:val="0075BF"/>
          <w:spacing w:val="40"/>
          <w:sz w:val="12"/>
          <w:lang w:val="en-US"/>
        </w:rPr>
        <w:t xml:space="preserve"> </w:t>
      </w:r>
      <w:r w:rsidRPr="00537489">
        <w:rPr>
          <w:color w:val="0075BF"/>
          <w:spacing w:val="-2"/>
          <w:sz w:val="12"/>
          <w:lang w:val="en-US"/>
        </w:rPr>
        <w:t>PoA%20on%20Hate%20Speech_Guidance%20on%20Addressing%20in%20field.pdf.</w:t>
      </w:r>
    </w:p>
    <w:p w14:paraId="2DAE7450" w14:textId="77777777" w:rsidR="0014798C" w:rsidRDefault="004E1F0B">
      <w:pPr>
        <w:spacing w:before="93"/>
        <w:ind w:left="1111"/>
        <w:rPr>
          <w:sz w:val="11"/>
        </w:rPr>
      </w:pPr>
      <w:r>
        <w:rPr>
          <w:w w:val="105"/>
          <w:sz w:val="11"/>
        </w:rPr>
        <w:t>1139</w:t>
      </w:r>
      <w:r>
        <w:rPr>
          <w:spacing w:val="-7"/>
          <w:w w:val="105"/>
          <w:sz w:val="11"/>
        </w:rPr>
        <w:t xml:space="preserve"> </w:t>
      </w:r>
      <w:proofErr w:type="spellStart"/>
      <w:r>
        <w:rPr>
          <w:w w:val="105"/>
          <w:sz w:val="11"/>
        </w:rPr>
        <w:t>Ibíd</w:t>
      </w:r>
      <w:proofErr w:type="spellEnd"/>
      <w:r>
        <w:rPr>
          <w:w w:val="105"/>
          <w:sz w:val="11"/>
        </w:rPr>
        <w:t>.,</w:t>
      </w:r>
      <w:r>
        <w:rPr>
          <w:spacing w:val="-7"/>
          <w:w w:val="105"/>
          <w:sz w:val="11"/>
        </w:rPr>
        <w:t xml:space="preserve"> </w:t>
      </w:r>
      <w:r>
        <w:rPr>
          <w:w w:val="105"/>
          <w:sz w:val="11"/>
        </w:rPr>
        <w:t>pág.</w:t>
      </w:r>
      <w:r>
        <w:rPr>
          <w:spacing w:val="-6"/>
          <w:w w:val="105"/>
          <w:sz w:val="11"/>
        </w:rPr>
        <w:t xml:space="preserve"> </w:t>
      </w:r>
      <w:r>
        <w:rPr>
          <w:spacing w:val="-5"/>
          <w:w w:val="105"/>
          <w:sz w:val="11"/>
        </w:rPr>
        <w:t>31.</w:t>
      </w:r>
    </w:p>
    <w:p w14:paraId="18B0E0D5" w14:textId="77777777" w:rsidR="0014798C" w:rsidRDefault="004E1F0B">
      <w:pPr>
        <w:spacing w:before="78"/>
        <w:ind w:left="1111"/>
        <w:rPr>
          <w:sz w:val="11"/>
        </w:rPr>
      </w:pPr>
      <w:r>
        <w:rPr>
          <w:w w:val="105"/>
          <w:sz w:val="11"/>
        </w:rPr>
        <w:t>1140</w:t>
      </w:r>
      <w:r>
        <w:rPr>
          <w:spacing w:val="-6"/>
          <w:w w:val="105"/>
          <w:sz w:val="11"/>
        </w:rPr>
        <w:t xml:space="preserve"> </w:t>
      </w:r>
      <w:r>
        <w:rPr>
          <w:spacing w:val="-2"/>
          <w:w w:val="105"/>
          <w:sz w:val="11"/>
        </w:rPr>
        <w:t>A/HRC/46/57.</w:t>
      </w:r>
    </w:p>
    <w:p w14:paraId="54AE0599" w14:textId="77777777" w:rsidR="0014798C" w:rsidRDefault="0014798C">
      <w:pPr>
        <w:pStyle w:val="Textoindependiente"/>
        <w:spacing w:before="15"/>
        <w:rPr>
          <w:sz w:val="11"/>
        </w:rPr>
      </w:pPr>
    </w:p>
    <w:p w14:paraId="33199D98" w14:textId="77777777" w:rsidR="0014798C" w:rsidRDefault="004E1F0B">
      <w:pPr>
        <w:ind w:left="1111"/>
        <w:rPr>
          <w:sz w:val="11"/>
        </w:rPr>
      </w:pPr>
      <w:r>
        <w:rPr>
          <w:w w:val="105"/>
          <w:sz w:val="11"/>
        </w:rPr>
        <w:t>1141</w:t>
      </w:r>
      <w:r>
        <w:rPr>
          <w:spacing w:val="-6"/>
          <w:w w:val="105"/>
          <w:sz w:val="11"/>
        </w:rPr>
        <w:t xml:space="preserve"> </w:t>
      </w:r>
      <w:r>
        <w:rPr>
          <w:w w:val="105"/>
          <w:sz w:val="11"/>
        </w:rPr>
        <w:t>Plan</w:t>
      </w:r>
      <w:r>
        <w:rPr>
          <w:spacing w:val="-6"/>
          <w:w w:val="105"/>
          <w:sz w:val="11"/>
        </w:rPr>
        <w:t xml:space="preserve"> </w:t>
      </w:r>
      <w:r>
        <w:rPr>
          <w:w w:val="105"/>
          <w:sz w:val="11"/>
        </w:rPr>
        <w:t>de</w:t>
      </w:r>
      <w:r>
        <w:rPr>
          <w:spacing w:val="-6"/>
          <w:w w:val="105"/>
          <w:sz w:val="11"/>
        </w:rPr>
        <w:t xml:space="preserve"> </w:t>
      </w:r>
      <w:r>
        <w:rPr>
          <w:w w:val="105"/>
          <w:sz w:val="11"/>
        </w:rPr>
        <w:t>Acción</w:t>
      </w:r>
      <w:r>
        <w:rPr>
          <w:spacing w:val="-6"/>
          <w:w w:val="105"/>
          <w:sz w:val="11"/>
        </w:rPr>
        <w:t xml:space="preserve"> </w:t>
      </w:r>
      <w:r>
        <w:rPr>
          <w:w w:val="105"/>
          <w:sz w:val="11"/>
        </w:rPr>
        <w:t>de</w:t>
      </w:r>
      <w:r>
        <w:rPr>
          <w:spacing w:val="-6"/>
          <w:w w:val="105"/>
          <w:sz w:val="11"/>
        </w:rPr>
        <w:t xml:space="preserve"> </w:t>
      </w:r>
      <w:r>
        <w:rPr>
          <w:w w:val="105"/>
          <w:sz w:val="11"/>
        </w:rPr>
        <w:t>Rabat,</w:t>
      </w:r>
      <w:r>
        <w:rPr>
          <w:spacing w:val="-6"/>
          <w:w w:val="105"/>
          <w:sz w:val="11"/>
        </w:rPr>
        <w:t xml:space="preserve"> </w:t>
      </w:r>
      <w:r>
        <w:rPr>
          <w:w w:val="105"/>
          <w:sz w:val="11"/>
        </w:rPr>
        <w:t>párr.</w:t>
      </w:r>
      <w:r>
        <w:rPr>
          <w:spacing w:val="-6"/>
          <w:w w:val="105"/>
          <w:sz w:val="11"/>
        </w:rPr>
        <w:t xml:space="preserve"> </w:t>
      </w:r>
      <w:r>
        <w:rPr>
          <w:spacing w:val="-5"/>
          <w:w w:val="105"/>
          <w:sz w:val="11"/>
        </w:rPr>
        <w:t>14.</w:t>
      </w:r>
    </w:p>
    <w:p w14:paraId="78BF8FFB" w14:textId="77777777" w:rsidR="0014798C" w:rsidRDefault="0014798C">
      <w:pPr>
        <w:pStyle w:val="Textoindependiente"/>
        <w:rPr>
          <w:sz w:val="17"/>
        </w:rPr>
      </w:pPr>
    </w:p>
    <w:p w14:paraId="68038020" w14:textId="77777777" w:rsidR="0014798C" w:rsidRDefault="0014798C">
      <w:pPr>
        <w:pStyle w:val="Textoindependiente"/>
        <w:rPr>
          <w:sz w:val="17"/>
        </w:rPr>
      </w:pPr>
    </w:p>
    <w:p w14:paraId="695733D9" w14:textId="77777777" w:rsidR="0014798C" w:rsidRDefault="0014798C">
      <w:pPr>
        <w:pStyle w:val="Textoindependiente"/>
        <w:spacing w:before="46"/>
        <w:rPr>
          <w:sz w:val="17"/>
        </w:rPr>
      </w:pPr>
    </w:p>
    <w:p w14:paraId="516CFF12" w14:textId="77777777" w:rsidR="0014798C" w:rsidRDefault="004E1F0B">
      <w:pPr>
        <w:ind w:right="711"/>
        <w:jc w:val="right"/>
        <w:rPr>
          <w:sz w:val="17"/>
        </w:rPr>
      </w:pPr>
      <w:r>
        <w:rPr>
          <w:spacing w:val="-5"/>
          <w:sz w:val="17"/>
        </w:rPr>
        <w:t>175</w:t>
      </w:r>
    </w:p>
    <w:p w14:paraId="5D823D50" w14:textId="77777777" w:rsidR="0014798C" w:rsidRDefault="0014798C">
      <w:pPr>
        <w:jc w:val="right"/>
        <w:rPr>
          <w:sz w:val="17"/>
        </w:rPr>
        <w:sectPr w:rsidR="0014798C" w:rsidSect="00F265E4">
          <w:pgSz w:w="11900" w:h="16820"/>
          <w:pgMar w:top="340" w:right="0" w:bottom="280" w:left="200" w:header="121" w:footer="0" w:gutter="0"/>
          <w:cols w:space="720"/>
        </w:sectPr>
      </w:pPr>
    </w:p>
    <w:p w14:paraId="687715DA" w14:textId="77777777" w:rsidR="0014798C" w:rsidRDefault="0014798C">
      <w:pPr>
        <w:pStyle w:val="Textoindependiente"/>
        <w:spacing w:before="85"/>
        <w:rPr>
          <w:sz w:val="12"/>
        </w:rPr>
      </w:pPr>
    </w:p>
    <w:p w14:paraId="3B8E4CB3" w14:textId="77777777" w:rsidR="0014798C" w:rsidRDefault="004E1F0B">
      <w:pPr>
        <w:ind w:left="1111"/>
        <w:rPr>
          <w:sz w:val="12"/>
        </w:rPr>
      </w:pPr>
      <w:r>
        <w:rPr>
          <w:color w:val="0075BF"/>
          <w:sz w:val="12"/>
        </w:rPr>
        <w:t>PROTECCIÓN</w:t>
      </w:r>
      <w:r>
        <w:rPr>
          <w:color w:val="0075BF"/>
          <w:spacing w:val="6"/>
          <w:sz w:val="12"/>
        </w:rPr>
        <w:t xml:space="preserve"> </w:t>
      </w:r>
      <w:r>
        <w:rPr>
          <w:color w:val="0075BF"/>
          <w:sz w:val="12"/>
        </w:rPr>
        <w:t>DE</w:t>
      </w:r>
      <w:r>
        <w:rPr>
          <w:color w:val="0075BF"/>
          <w:spacing w:val="7"/>
          <w:sz w:val="12"/>
        </w:rPr>
        <w:t xml:space="preserve"> </w:t>
      </w:r>
      <w:r>
        <w:rPr>
          <w:color w:val="0075BF"/>
          <w:sz w:val="12"/>
        </w:rPr>
        <w:t>LOS</w:t>
      </w:r>
      <w:r>
        <w:rPr>
          <w:color w:val="0075BF"/>
          <w:spacing w:val="8"/>
          <w:sz w:val="12"/>
        </w:rPr>
        <w:t xml:space="preserve"> </w:t>
      </w:r>
      <w:r>
        <w:rPr>
          <w:color w:val="0075BF"/>
          <w:sz w:val="12"/>
        </w:rPr>
        <w:t>DERECHOS</w:t>
      </w:r>
      <w:r>
        <w:rPr>
          <w:color w:val="0075BF"/>
          <w:spacing w:val="8"/>
          <w:sz w:val="12"/>
        </w:rPr>
        <w:t xml:space="preserve"> </w:t>
      </w:r>
      <w:r>
        <w:rPr>
          <w:color w:val="0075BF"/>
          <w:sz w:val="12"/>
        </w:rPr>
        <w:t>DE</w:t>
      </w:r>
      <w:r>
        <w:rPr>
          <w:color w:val="0075BF"/>
          <w:spacing w:val="6"/>
          <w:sz w:val="12"/>
        </w:rPr>
        <w:t xml:space="preserve"> </w:t>
      </w:r>
      <w:r>
        <w:rPr>
          <w:color w:val="0075BF"/>
          <w:sz w:val="12"/>
        </w:rPr>
        <w:t>LAS</w:t>
      </w:r>
      <w:r>
        <w:rPr>
          <w:color w:val="0075BF"/>
          <w:spacing w:val="7"/>
          <w:sz w:val="12"/>
        </w:rPr>
        <w:t xml:space="preserve"> </w:t>
      </w:r>
      <w:r>
        <w:rPr>
          <w:color w:val="0075BF"/>
          <w:sz w:val="12"/>
        </w:rPr>
        <w:t>MINORÍAS:</w:t>
      </w:r>
      <w:r>
        <w:rPr>
          <w:color w:val="0075BF"/>
          <w:spacing w:val="8"/>
          <w:sz w:val="12"/>
        </w:rPr>
        <w:t xml:space="preserve"> </w:t>
      </w:r>
      <w:r>
        <w:rPr>
          <w:color w:val="0075BF"/>
          <w:sz w:val="12"/>
        </w:rPr>
        <w:t>una</w:t>
      </w:r>
      <w:r>
        <w:rPr>
          <w:color w:val="0075BF"/>
          <w:spacing w:val="7"/>
          <w:sz w:val="12"/>
        </w:rPr>
        <w:t xml:space="preserve"> </w:t>
      </w:r>
      <w:r>
        <w:rPr>
          <w:color w:val="0075BF"/>
          <w:sz w:val="12"/>
        </w:rPr>
        <w:t>guía</w:t>
      </w:r>
      <w:r>
        <w:rPr>
          <w:color w:val="0075BF"/>
          <w:spacing w:val="6"/>
          <w:sz w:val="12"/>
        </w:rPr>
        <w:t xml:space="preserve"> </w:t>
      </w:r>
      <w:r>
        <w:rPr>
          <w:color w:val="0075BF"/>
          <w:sz w:val="12"/>
        </w:rPr>
        <w:t>práctica</w:t>
      </w:r>
      <w:r>
        <w:rPr>
          <w:color w:val="0075BF"/>
          <w:spacing w:val="7"/>
          <w:sz w:val="12"/>
        </w:rPr>
        <w:t xml:space="preserve"> </w:t>
      </w:r>
      <w:r>
        <w:rPr>
          <w:color w:val="0075BF"/>
          <w:sz w:val="12"/>
        </w:rPr>
        <w:t>para</w:t>
      </w:r>
      <w:r>
        <w:rPr>
          <w:color w:val="0075BF"/>
          <w:spacing w:val="8"/>
          <w:sz w:val="12"/>
        </w:rPr>
        <w:t xml:space="preserve"> </w:t>
      </w:r>
      <w:r>
        <w:rPr>
          <w:color w:val="0075BF"/>
          <w:sz w:val="12"/>
        </w:rPr>
        <w:t>desarrollar</w:t>
      </w:r>
      <w:r>
        <w:rPr>
          <w:color w:val="0075BF"/>
          <w:spacing w:val="6"/>
          <w:sz w:val="12"/>
        </w:rPr>
        <w:t xml:space="preserve"> </w:t>
      </w:r>
      <w:r>
        <w:rPr>
          <w:color w:val="0075BF"/>
          <w:sz w:val="12"/>
        </w:rPr>
        <w:t>una</w:t>
      </w:r>
      <w:r>
        <w:rPr>
          <w:color w:val="0075BF"/>
          <w:spacing w:val="7"/>
          <w:sz w:val="12"/>
        </w:rPr>
        <w:t xml:space="preserve"> </w:t>
      </w:r>
      <w:r>
        <w:rPr>
          <w:color w:val="0075BF"/>
          <w:sz w:val="12"/>
        </w:rPr>
        <w:t>legislación</w:t>
      </w:r>
      <w:r>
        <w:rPr>
          <w:color w:val="0075BF"/>
          <w:spacing w:val="8"/>
          <w:sz w:val="12"/>
        </w:rPr>
        <w:t xml:space="preserve"> </w:t>
      </w:r>
      <w:r>
        <w:rPr>
          <w:color w:val="0075BF"/>
          <w:sz w:val="12"/>
        </w:rPr>
        <w:t>integral</w:t>
      </w:r>
      <w:r>
        <w:rPr>
          <w:color w:val="0075BF"/>
          <w:spacing w:val="7"/>
          <w:sz w:val="12"/>
        </w:rPr>
        <w:t xml:space="preserve"> </w:t>
      </w:r>
      <w:r>
        <w:rPr>
          <w:color w:val="0075BF"/>
          <w:sz w:val="12"/>
        </w:rPr>
        <w:t>contra</w:t>
      </w:r>
      <w:r>
        <w:rPr>
          <w:color w:val="0075BF"/>
          <w:spacing w:val="6"/>
          <w:sz w:val="12"/>
        </w:rPr>
        <w:t xml:space="preserve"> </w:t>
      </w:r>
      <w:r>
        <w:rPr>
          <w:color w:val="0075BF"/>
          <w:sz w:val="12"/>
        </w:rPr>
        <w:t>la</w:t>
      </w:r>
      <w:r>
        <w:rPr>
          <w:color w:val="0075BF"/>
          <w:spacing w:val="7"/>
          <w:sz w:val="12"/>
        </w:rPr>
        <w:t xml:space="preserve"> </w:t>
      </w:r>
      <w:r>
        <w:rPr>
          <w:color w:val="0075BF"/>
          <w:spacing w:val="-2"/>
          <w:sz w:val="12"/>
        </w:rPr>
        <w:t>discriminación</w:t>
      </w:r>
    </w:p>
    <w:p w14:paraId="5D213635" w14:textId="77777777" w:rsidR="0014798C" w:rsidRDefault="0014798C">
      <w:pPr>
        <w:pStyle w:val="Textoindependiente"/>
      </w:pPr>
    </w:p>
    <w:p w14:paraId="5E297E85" w14:textId="77777777" w:rsidR="0014798C" w:rsidRDefault="0014798C">
      <w:pPr>
        <w:pStyle w:val="Textoindependiente"/>
      </w:pPr>
    </w:p>
    <w:p w14:paraId="78E7AA66" w14:textId="77777777" w:rsidR="0014798C" w:rsidRDefault="0014798C">
      <w:pPr>
        <w:pStyle w:val="Textoindependiente"/>
      </w:pPr>
    </w:p>
    <w:p w14:paraId="6A811572" w14:textId="77777777" w:rsidR="0014798C" w:rsidRDefault="0014798C">
      <w:pPr>
        <w:pStyle w:val="Textoindependiente"/>
      </w:pPr>
    </w:p>
    <w:p w14:paraId="7520A322" w14:textId="77777777" w:rsidR="0014798C" w:rsidRDefault="0014798C">
      <w:pPr>
        <w:pStyle w:val="Textoindependiente"/>
        <w:spacing w:before="56"/>
      </w:pPr>
    </w:p>
    <w:p w14:paraId="001F3EB3" w14:textId="77777777" w:rsidR="0014798C" w:rsidRDefault="004E1F0B">
      <w:pPr>
        <w:pStyle w:val="Textoindependiente"/>
        <w:spacing w:line="326" w:lineRule="auto"/>
        <w:ind w:left="1107" w:right="1326" w:hanging="2"/>
      </w:pPr>
      <w:r>
        <w:t>Según</w:t>
      </w:r>
      <w:r>
        <w:rPr>
          <w:spacing w:val="-2"/>
        </w:rPr>
        <w:t xml:space="preserve"> </w:t>
      </w:r>
      <w:r>
        <w:t>el</w:t>
      </w:r>
      <w:r>
        <w:rPr>
          <w:spacing w:val="-2"/>
        </w:rPr>
        <w:t xml:space="preserve"> </w:t>
      </w:r>
      <w:r>
        <w:t>artículo</w:t>
      </w:r>
      <w:r>
        <w:rPr>
          <w:spacing w:val="-2"/>
        </w:rPr>
        <w:t xml:space="preserve"> </w:t>
      </w:r>
      <w:r>
        <w:t>4,</w:t>
      </w:r>
      <w:r>
        <w:rPr>
          <w:spacing w:val="-2"/>
        </w:rPr>
        <w:t xml:space="preserve"> </w:t>
      </w:r>
      <w:r>
        <w:t>este</w:t>
      </w:r>
      <w:r>
        <w:rPr>
          <w:spacing w:val="-2"/>
        </w:rPr>
        <w:t xml:space="preserve"> </w:t>
      </w:r>
      <w:r>
        <w:t>requisito</w:t>
      </w:r>
      <w:r>
        <w:rPr>
          <w:spacing w:val="-2"/>
        </w:rPr>
        <w:t xml:space="preserve"> </w:t>
      </w:r>
      <w:r>
        <w:t>se</w:t>
      </w:r>
      <w:r>
        <w:rPr>
          <w:spacing w:val="-2"/>
        </w:rPr>
        <w:t xml:space="preserve"> </w:t>
      </w:r>
      <w:r>
        <w:t>extiende</w:t>
      </w:r>
      <w:r>
        <w:rPr>
          <w:spacing w:val="-2"/>
        </w:rPr>
        <w:t xml:space="preserve"> </w:t>
      </w:r>
      <w:r>
        <w:t>a</w:t>
      </w:r>
      <w:r>
        <w:rPr>
          <w:spacing w:val="-2"/>
        </w:rPr>
        <w:t xml:space="preserve"> </w:t>
      </w:r>
      <w:r>
        <w:t>la</w:t>
      </w:r>
      <w:r>
        <w:rPr>
          <w:spacing w:val="-2"/>
        </w:rPr>
        <w:t xml:space="preserve"> </w:t>
      </w:r>
      <w:r>
        <w:t>propaganda</w:t>
      </w:r>
      <w:r>
        <w:rPr>
          <w:spacing w:val="-2"/>
        </w:rPr>
        <w:t xml:space="preserve"> </w:t>
      </w:r>
      <w:r>
        <w:t>que</w:t>
      </w:r>
      <w:r>
        <w:rPr>
          <w:spacing w:val="-2"/>
        </w:rPr>
        <w:t xml:space="preserve"> </w:t>
      </w:r>
      <w:r>
        <w:t>promueva</w:t>
      </w:r>
      <w:r>
        <w:rPr>
          <w:spacing w:val="-2"/>
        </w:rPr>
        <w:t xml:space="preserve"> </w:t>
      </w:r>
      <w:r>
        <w:t>“la</w:t>
      </w:r>
      <w:r>
        <w:rPr>
          <w:spacing w:val="-2"/>
        </w:rPr>
        <w:t xml:space="preserve"> </w:t>
      </w:r>
      <w:r>
        <w:t>discriminación</w:t>
      </w:r>
      <w:r>
        <w:rPr>
          <w:spacing w:val="-2"/>
        </w:rPr>
        <w:t xml:space="preserve"> </w:t>
      </w:r>
      <w:r>
        <w:t>en</w:t>
      </w:r>
      <w:r>
        <w:rPr>
          <w:spacing w:val="-2"/>
        </w:rPr>
        <w:t xml:space="preserve"> </w:t>
      </w:r>
      <w:r>
        <w:t>cualquier</w:t>
      </w:r>
      <w:r>
        <w:rPr>
          <w:spacing w:val="-2"/>
        </w:rPr>
        <w:t xml:space="preserve"> </w:t>
      </w:r>
      <w:r>
        <w:t>forma”.</w:t>
      </w:r>
      <w:r>
        <w:rPr>
          <w:spacing w:val="-2"/>
        </w:rPr>
        <w:t xml:space="preserve"> </w:t>
      </w:r>
      <w:r>
        <w:t>Además, compromete</w:t>
      </w:r>
      <w:r>
        <w:rPr>
          <w:spacing w:val="-7"/>
        </w:rPr>
        <w:t xml:space="preserve"> </w:t>
      </w:r>
      <w:r>
        <w:t>a</w:t>
      </w:r>
      <w:r>
        <w:rPr>
          <w:spacing w:val="-7"/>
        </w:rPr>
        <w:t xml:space="preserve"> </w:t>
      </w:r>
      <w:r>
        <w:t>los</w:t>
      </w:r>
      <w:r>
        <w:rPr>
          <w:spacing w:val="-7"/>
        </w:rPr>
        <w:t xml:space="preserve"> </w:t>
      </w:r>
      <w:r>
        <w:t>Estados</w:t>
      </w:r>
      <w:r>
        <w:rPr>
          <w:spacing w:val="-7"/>
        </w:rPr>
        <w:t xml:space="preserve"> </w:t>
      </w:r>
      <w:r>
        <w:t>a</w:t>
      </w:r>
      <w:r>
        <w:rPr>
          <w:spacing w:val="-7"/>
        </w:rPr>
        <w:t xml:space="preserve"> </w:t>
      </w:r>
      <w:r>
        <w:t>“comprometerse</w:t>
      </w:r>
      <w:r>
        <w:rPr>
          <w:spacing w:val="-7"/>
        </w:rPr>
        <w:t xml:space="preserve"> </w:t>
      </w:r>
      <w:r>
        <w:t>a</w:t>
      </w:r>
      <w:r>
        <w:rPr>
          <w:spacing w:val="-7"/>
        </w:rPr>
        <w:t xml:space="preserve"> </w:t>
      </w:r>
      <w:r>
        <w:t>adoptar</w:t>
      </w:r>
      <w:r>
        <w:rPr>
          <w:spacing w:val="-7"/>
        </w:rPr>
        <w:t xml:space="preserve"> </w:t>
      </w:r>
      <w:r>
        <w:t>medidas</w:t>
      </w:r>
      <w:r>
        <w:rPr>
          <w:spacing w:val="-7"/>
        </w:rPr>
        <w:t xml:space="preserve"> </w:t>
      </w:r>
      <w:r>
        <w:t>inmediatas</w:t>
      </w:r>
      <w:r>
        <w:rPr>
          <w:spacing w:val="-7"/>
        </w:rPr>
        <w:t xml:space="preserve"> </w:t>
      </w:r>
      <w:r>
        <w:t>y</w:t>
      </w:r>
      <w:r>
        <w:rPr>
          <w:spacing w:val="-7"/>
        </w:rPr>
        <w:t xml:space="preserve"> </w:t>
      </w:r>
      <w:r>
        <w:t>positivas”</w:t>
      </w:r>
      <w:r>
        <w:rPr>
          <w:spacing w:val="-7"/>
        </w:rPr>
        <w:t xml:space="preserve"> </w:t>
      </w:r>
      <w:r>
        <w:t>a</w:t>
      </w:r>
      <w:r>
        <w:rPr>
          <w:spacing w:val="-7"/>
        </w:rPr>
        <w:t xml:space="preserve"> </w:t>
      </w:r>
      <w:r>
        <w:t>este</w:t>
      </w:r>
      <w:r>
        <w:rPr>
          <w:spacing w:val="-7"/>
        </w:rPr>
        <w:t xml:space="preserve"> </w:t>
      </w:r>
      <w:r>
        <w:t>respecto,</w:t>
      </w:r>
      <w:r>
        <w:rPr>
          <w:spacing w:val="-7"/>
        </w:rPr>
        <w:t xml:space="preserve"> </w:t>
      </w:r>
      <w:r>
        <w:t>incluso</w:t>
      </w:r>
      <w:r>
        <w:rPr>
          <w:spacing w:val="-7"/>
        </w:rPr>
        <w:t xml:space="preserve"> </w:t>
      </w:r>
      <w:r>
        <w:t>en</w:t>
      </w:r>
      <w:r>
        <w:rPr>
          <w:spacing w:val="-7"/>
        </w:rPr>
        <w:t xml:space="preserve"> </w:t>
      </w:r>
      <w:r>
        <w:t>lo</w:t>
      </w:r>
      <w:r>
        <w:rPr>
          <w:spacing w:val="-7"/>
        </w:rPr>
        <w:t xml:space="preserve"> </w:t>
      </w:r>
      <w:r>
        <w:t>que</w:t>
      </w:r>
      <w:r>
        <w:rPr>
          <w:spacing w:val="-7"/>
        </w:rPr>
        <w:t xml:space="preserve"> </w:t>
      </w:r>
      <w:r>
        <w:t>respecta a organismos públicos y entidades privadas.1142 Específicamente, el artículo 4 (a) establece que:</w:t>
      </w:r>
    </w:p>
    <w:p w14:paraId="49B50981" w14:textId="77777777" w:rsidR="0014798C" w:rsidRDefault="004E1F0B">
      <w:pPr>
        <w:pStyle w:val="Textoindependiente"/>
        <w:spacing w:before="112" w:line="326" w:lineRule="auto"/>
        <w:ind w:left="1674" w:right="1725" w:firstLine="3"/>
      </w:pPr>
      <w:proofErr w:type="gramStart"/>
      <w:r>
        <w:rPr>
          <w:color w:val="0075BF"/>
        </w:rPr>
        <w:t>Declarará</w:t>
      </w:r>
      <w:r>
        <w:rPr>
          <w:color w:val="0075BF"/>
          <w:spacing w:val="-7"/>
        </w:rPr>
        <w:t xml:space="preserve"> </w:t>
      </w:r>
      <w:r>
        <w:rPr>
          <w:color w:val="0075BF"/>
        </w:rPr>
        <w:t>como</w:t>
      </w:r>
      <w:proofErr w:type="gramEnd"/>
      <w:r>
        <w:rPr>
          <w:color w:val="0075BF"/>
          <w:spacing w:val="-7"/>
        </w:rPr>
        <w:t xml:space="preserve"> </w:t>
      </w:r>
      <w:r>
        <w:rPr>
          <w:color w:val="0075BF"/>
        </w:rPr>
        <w:t>delito</w:t>
      </w:r>
      <w:r>
        <w:rPr>
          <w:color w:val="0075BF"/>
          <w:spacing w:val="-7"/>
        </w:rPr>
        <w:t xml:space="preserve"> </w:t>
      </w:r>
      <w:r>
        <w:rPr>
          <w:color w:val="0075BF"/>
        </w:rPr>
        <w:t>punible</w:t>
      </w:r>
      <w:r>
        <w:rPr>
          <w:color w:val="0075BF"/>
          <w:spacing w:val="-7"/>
        </w:rPr>
        <w:t xml:space="preserve"> </w:t>
      </w:r>
      <w:r>
        <w:rPr>
          <w:color w:val="0075BF"/>
        </w:rPr>
        <w:t>por</w:t>
      </w:r>
      <w:r>
        <w:rPr>
          <w:color w:val="0075BF"/>
          <w:spacing w:val="-7"/>
        </w:rPr>
        <w:t xml:space="preserve"> </w:t>
      </w:r>
      <w:r>
        <w:rPr>
          <w:color w:val="0075BF"/>
        </w:rPr>
        <w:t>la</w:t>
      </w:r>
      <w:r>
        <w:rPr>
          <w:color w:val="0075BF"/>
          <w:spacing w:val="-7"/>
        </w:rPr>
        <w:t xml:space="preserve"> </w:t>
      </w:r>
      <w:r>
        <w:rPr>
          <w:color w:val="0075BF"/>
        </w:rPr>
        <w:t>ley</w:t>
      </w:r>
      <w:r>
        <w:rPr>
          <w:color w:val="0075BF"/>
          <w:spacing w:val="-7"/>
        </w:rPr>
        <w:t xml:space="preserve"> </w:t>
      </w:r>
      <w:r>
        <w:rPr>
          <w:color w:val="0075BF"/>
        </w:rPr>
        <w:t>toda</w:t>
      </w:r>
      <w:r>
        <w:rPr>
          <w:color w:val="0075BF"/>
          <w:spacing w:val="-7"/>
        </w:rPr>
        <w:t xml:space="preserve"> </w:t>
      </w:r>
      <w:r>
        <w:rPr>
          <w:color w:val="0075BF"/>
        </w:rPr>
        <w:t>difusión</w:t>
      </w:r>
      <w:r>
        <w:rPr>
          <w:color w:val="0075BF"/>
          <w:spacing w:val="-7"/>
        </w:rPr>
        <w:t xml:space="preserve"> </w:t>
      </w:r>
      <w:r>
        <w:rPr>
          <w:color w:val="0075BF"/>
        </w:rPr>
        <w:t>de</w:t>
      </w:r>
      <w:r>
        <w:rPr>
          <w:color w:val="0075BF"/>
          <w:spacing w:val="-7"/>
        </w:rPr>
        <w:t xml:space="preserve"> </w:t>
      </w:r>
      <w:r>
        <w:rPr>
          <w:color w:val="0075BF"/>
        </w:rPr>
        <w:t>ideas</w:t>
      </w:r>
      <w:r>
        <w:rPr>
          <w:color w:val="0075BF"/>
          <w:spacing w:val="-7"/>
        </w:rPr>
        <w:t xml:space="preserve"> </w:t>
      </w:r>
      <w:r>
        <w:rPr>
          <w:color w:val="0075BF"/>
        </w:rPr>
        <w:t>basadas</w:t>
      </w:r>
      <w:r>
        <w:rPr>
          <w:color w:val="0075BF"/>
          <w:spacing w:val="-7"/>
        </w:rPr>
        <w:t xml:space="preserve"> </w:t>
      </w:r>
      <w:r>
        <w:rPr>
          <w:color w:val="0075BF"/>
        </w:rPr>
        <w:t>en</w:t>
      </w:r>
      <w:r>
        <w:rPr>
          <w:color w:val="0075BF"/>
          <w:spacing w:val="-7"/>
        </w:rPr>
        <w:t xml:space="preserve"> </w:t>
      </w:r>
      <w:r>
        <w:rPr>
          <w:color w:val="0075BF"/>
        </w:rPr>
        <w:t>la</w:t>
      </w:r>
      <w:r>
        <w:rPr>
          <w:color w:val="0075BF"/>
          <w:spacing w:val="-7"/>
        </w:rPr>
        <w:t xml:space="preserve"> </w:t>
      </w:r>
      <w:r>
        <w:rPr>
          <w:color w:val="0075BF"/>
        </w:rPr>
        <w:t>superioridad</w:t>
      </w:r>
      <w:r>
        <w:rPr>
          <w:color w:val="0075BF"/>
          <w:spacing w:val="-7"/>
        </w:rPr>
        <w:t xml:space="preserve"> </w:t>
      </w:r>
      <w:r>
        <w:rPr>
          <w:color w:val="0075BF"/>
        </w:rPr>
        <w:t>o</w:t>
      </w:r>
      <w:r>
        <w:rPr>
          <w:color w:val="0075BF"/>
          <w:spacing w:val="-7"/>
        </w:rPr>
        <w:t xml:space="preserve"> </w:t>
      </w:r>
      <w:r>
        <w:rPr>
          <w:color w:val="0075BF"/>
        </w:rPr>
        <w:t>el</w:t>
      </w:r>
      <w:r>
        <w:rPr>
          <w:color w:val="0075BF"/>
          <w:spacing w:val="-7"/>
        </w:rPr>
        <w:t xml:space="preserve"> </w:t>
      </w:r>
      <w:r>
        <w:rPr>
          <w:color w:val="0075BF"/>
        </w:rPr>
        <w:t>odio</w:t>
      </w:r>
      <w:r>
        <w:rPr>
          <w:color w:val="0075BF"/>
          <w:spacing w:val="-7"/>
        </w:rPr>
        <w:t xml:space="preserve"> </w:t>
      </w:r>
      <w:r>
        <w:rPr>
          <w:color w:val="0075BF"/>
        </w:rPr>
        <w:t>racial,</w:t>
      </w:r>
      <w:r>
        <w:rPr>
          <w:color w:val="0075BF"/>
          <w:spacing w:val="-6"/>
        </w:rPr>
        <w:t xml:space="preserve"> </w:t>
      </w:r>
      <w:r>
        <w:rPr>
          <w:color w:val="0075BF"/>
        </w:rPr>
        <w:t>la</w:t>
      </w:r>
      <w:r>
        <w:rPr>
          <w:color w:val="0075BF"/>
          <w:spacing w:val="-7"/>
        </w:rPr>
        <w:t xml:space="preserve"> </w:t>
      </w:r>
      <w:r>
        <w:rPr>
          <w:color w:val="0075BF"/>
        </w:rPr>
        <w:t>incitación a</w:t>
      </w:r>
      <w:r>
        <w:rPr>
          <w:color w:val="0075BF"/>
          <w:spacing w:val="-1"/>
        </w:rPr>
        <w:t xml:space="preserve"> </w:t>
      </w:r>
      <w:r>
        <w:rPr>
          <w:color w:val="0075BF"/>
        </w:rPr>
        <w:t>la</w:t>
      </w:r>
      <w:r>
        <w:rPr>
          <w:color w:val="0075BF"/>
          <w:spacing w:val="-1"/>
        </w:rPr>
        <w:t xml:space="preserve"> </w:t>
      </w:r>
      <w:r>
        <w:rPr>
          <w:color w:val="0075BF"/>
        </w:rPr>
        <w:t>discriminación</w:t>
      </w:r>
      <w:r>
        <w:rPr>
          <w:color w:val="0075BF"/>
          <w:spacing w:val="-1"/>
        </w:rPr>
        <w:t xml:space="preserve"> </w:t>
      </w:r>
      <w:r>
        <w:rPr>
          <w:color w:val="0075BF"/>
        </w:rPr>
        <w:t>racial, así</w:t>
      </w:r>
      <w:r>
        <w:rPr>
          <w:color w:val="0075BF"/>
          <w:spacing w:val="-1"/>
        </w:rPr>
        <w:t xml:space="preserve"> </w:t>
      </w:r>
      <w:r>
        <w:rPr>
          <w:color w:val="0075BF"/>
        </w:rPr>
        <w:t>como</w:t>
      </w:r>
      <w:r>
        <w:rPr>
          <w:color w:val="0075BF"/>
          <w:spacing w:val="-1"/>
        </w:rPr>
        <w:t xml:space="preserve"> </w:t>
      </w:r>
      <w:r>
        <w:rPr>
          <w:color w:val="0075BF"/>
        </w:rPr>
        <w:t>todo</w:t>
      </w:r>
      <w:r>
        <w:rPr>
          <w:color w:val="0075BF"/>
          <w:spacing w:val="-1"/>
        </w:rPr>
        <w:t xml:space="preserve"> </w:t>
      </w:r>
      <w:r>
        <w:rPr>
          <w:color w:val="0075BF"/>
        </w:rPr>
        <w:t>acto</w:t>
      </w:r>
      <w:r>
        <w:rPr>
          <w:color w:val="0075BF"/>
          <w:spacing w:val="-1"/>
        </w:rPr>
        <w:t xml:space="preserve"> </w:t>
      </w:r>
      <w:r>
        <w:rPr>
          <w:color w:val="0075BF"/>
        </w:rPr>
        <w:t>de</w:t>
      </w:r>
      <w:r>
        <w:rPr>
          <w:color w:val="0075BF"/>
          <w:spacing w:val="-1"/>
        </w:rPr>
        <w:t xml:space="preserve"> </w:t>
      </w:r>
      <w:r>
        <w:rPr>
          <w:color w:val="0075BF"/>
        </w:rPr>
        <w:t>violencia</w:t>
      </w:r>
      <w:r>
        <w:rPr>
          <w:color w:val="0075BF"/>
          <w:spacing w:val="-1"/>
        </w:rPr>
        <w:t xml:space="preserve"> </w:t>
      </w:r>
      <w:r>
        <w:rPr>
          <w:color w:val="0075BF"/>
        </w:rPr>
        <w:t>o</w:t>
      </w:r>
      <w:r>
        <w:rPr>
          <w:color w:val="0075BF"/>
          <w:spacing w:val="-1"/>
        </w:rPr>
        <w:t xml:space="preserve"> </w:t>
      </w:r>
      <w:r>
        <w:rPr>
          <w:color w:val="0075BF"/>
        </w:rPr>
        <w:t>incitación</w:t>
      </w:r>
      <w:r>
        <w:rPr>
          <w:color w:val="0075BF"/>
          <w:spacing w:val="-1"/>
        </w:rPr>
        <w:t xml:space="preserve"> </w:t>
      </w:r>
      <w:r>
        <w:rPr>
          <w:color w:val="0075BF"/>
        </w:rPr>
        <w:t>a</w:t>
      </w:r>
      <w:r>
        <w:rPr>
          <w:color w:val="0075BF"/>
          <w:spacing w:val="-1"/>
        </w:rPr>
        <w:t xml:space="preserve"> </w:t>
      </w:r>
      <w:r>
        <w:rPr>
          <w:color w:val="0075BF"/>
        </w:rPr>
        <w:t>tales</w:t>
      </w:r>
      <w:r>
        <w:rPr>
          <w:color w:val="0075BF"/>
          <w:spacing w:val="-1"/>
        </w:rPr>
        <w:t xml:space="preserve"> </w:t>
      </w:r>
      <w:r>
        <w:rPr>
          <w:color w:val="0075BF"/>
        </w:rPr>
        <w:t>actos</w:t>
      </w:r>
      <w:r>
        <w:rPr>
          <w:color w:val="0075BF"/>
          <w:spacing w:val="-1"/>
        </w:rPr>
        <w:t xml:space="preserve"> </w:t>
      </w:r>
      <w:r>
        <w:rPr>
          <w:color w:val="0075BF"/>
        </w:rPr>
        <w:t>contra</w:t>
      </w:r>
      <w:r>
        <w:rPr>
          <w:color w:val="0075BF"/>
          <w:spacing w:val="-1"/>
        </w:rPr>
        <w:t xml:space="preserve"> </w:t>
      </w:r>
      <w:r>
        <w:rPr>
          <w:color w:val="0075BF"/>
        </w:rPr>
        <w:t>cualquier</w:t>
      </w:r>
      <w:r>
        <w:rPr>
          <w:color w:val="0075BF"/>
          <w:spacing w:val="-1"/>
        </w:rPr>
        <w:t xml:space="preserve"> </w:t>
      </w:r>
      <w:r>
        <w:rPr>
          <w:color w:val="0075BF"/>
        </w:rPr>
        <w:t>raza</w:t>
      </w:r>
      <w:r>
        <w:rPr>
          <w:color w:val="0075BF"/>
          <w:spacing w:val="-1"/>
        </w:rPr>
        <w:t xml:space="preserve"> </w:t>
      </w:r>
      <w:r>
        <w:rPr>
          <w:color w:val="0075BF"/>
        </w:rPr>
        <w:t>o</w:t>
      </w:r>
      <w:r>
        <w:rPr>
          <w:color w:val="0075BF"/>
          <w:spacing w:val="-1"/>
        </w:rPr>
        <w:t xml:space="preserve"> </w:t>
      </w:r>
      <w:r>
        <w:rPr>
          <w:color w:val="0075BF"/>
        </w:rPr>
        <w:t>grupo</w:t>
      </w:r>
      <w:r>
        <w:rPr>
          <w:color w:val="0075BF"/>
          <w:spacing w:val="-1"/>
        </w:rPr>
        <w:t xml:space="preserve"> </w:t>
      </w:r>
      <w:r>
        <w:rPr>
          <w:color w:val="0075BF"/>
        </w:rPr>
        <w:t>de personas de otro color u</w:t>
      </w:r>
      <w:r>
        <w:rPr>
          <w:color w:val="0075BF"/>
          <w:spacing w:val="-1"/>
        </w:rPr>
        <w:t xml:space="preserve"> </w:t>
      </w:r>
      <w:r>
        <w:rPr>
          <w:color w:val="0075BF"/>
        </w:rPr>
        <w:t>origen étnico, y también la</w:t>
      </w:r>
      <w:r>
        <w:rPr>
          <w:color w:val="0075BF"/>
          <w:spacing w:val="-1"/>
        </w:rPr>
        <w:t xml:space="preserve"> </w:t>
      </w:r>
      <w:r>
        <w:rPr>
          <w:color w:val="0075BF"/>
        </w:rPr>
        <w:t>prestación de cualquier tipo de</w:t>
      </w:r>
      <w:r>
        <w:rPr>
          <w:color w:val="0075BF"/>
          <w:spacing w:val="-1"/>
        </w:rPr>
        <w:t xml:space="preserve"> </w:t>
      </w:r>
      <w:r>
        <w:rPr>
          <w:color w:val="0075BF"/>
        </w:rPr>
        <w:t>asistencia a actividades racistas, incluida su financiación.</w:t>
      </w:r>
    </w:p>
    <w:p w14:paraId="413A87B6" w14:textId="77777777" w:rsidR="0014798C" w:rsidRDefault="004E1F0B">
      <w:pPr>
        <w:pStyle w:val="Textoindependiente"/>
        <w:spacing w:before="111" w:line="326" w:lineRule="auto"/>
        <w:ind w:left="1107" w:right="1348" w:hanging="1"/>
        <w:jc w:val="both"/>
      </w:pPr>
      <w:r>
        <w:t>Ni</w:t>
      </w:r>
      <w:r>
        <w:rPr>
          <w:spacing w:val="-7"/>
        </w:rPr>
        <w:t xml:space="preserve"> </w:t>
      </w:r>
      <w:r>
        <w:t>la</w:t>
      </w:r>
      <w:r>
        <w:rPr>
          <w:spacing w:val="-7"/>
        </w:rPr>
        <w:t xml:space="preserve"> </w:t>
      </w:r>
      <w:r>
        <w:t>Convención</w:t>
      </w:r>
      <w:r>
        <w:rPr>
          <w:spacing w:val="-7"/>
        </w:rPr>
        <w:t xml:space="preserve"> </w:t>
      </w:r>
      <w:r>
        <w:t>sobre</w:t>
      </w:r>
      <w:r>
        <w:rPr>
          <w:spacing w:val="-7"/>
        </w:rPr>
        <w:t xml:space="preserve"> </w:t>
      </w:r>
      <w:r>
        <w:t>la</w:t>
      </w:r>
      <w:r>
        <w:rPr>
          <w:spacing w:val="-7"/>
        </w:rPr>
        <w:t xml:space="preserve"> </w:t>
      </w:r>
      <w:r>
        <w:t>eliminación</w:t>
      </w:r>
      <w:r>
        <w:rPr>
          <w:spacing w:val="-7"/>
        </w:rPr>
        <w:t xml:space="preserve"> </w:t>
      </w:r>
      <w:r>
        <w:t>de</w:t>
      </w:r>
      <w:r>
        <w:rPr>
          <w:spacing w:val="-7"/>
        </w:rPr>
        <w:t xml:space="preserve"> </w:t>
      </w:r>
      <w:r>
        <w:t>todas</w:t>
      </w:r>
      <w:r>
        <w:rPr>
          <w:spacing w:val="-7"/>
        </w:rPr>
        <w:t xml:space="preserve"> </w:t>
      </w:r>
      <w:r>
        <w:t>las</w:t>
      </w:r>
      <w:r>
        <w:rPr>
          <w:spacing w:val="-7"/>
        </w:rPr>
        <w:t xml:space="preserve"> </w:t>
      </w:r>
      <w:r>
        <w:t>formas</w:t>
      </w:r>
      <w:r>
        <w:rPr>
          <w:spacing w:val="-7"/>
        </w:rPr>
        <w:t xml:space="preserve"> </w:t>
      </w:r>
      <w:r>
        <w:t>de</w:t>
      </w:r>
      <w:r>
        <w:rPr>
          <w:spacing w:val="-7"/>
        </w:rPr>
        <w:t xml:space="preserve"> </w:t>
      </w:r>
      <w:r>
        <w:t>discriminación</w:t>
      </w:r>
      <w:r>
        <w:rPr>
          <w:spacing w:val="-7"/>
        </w:rPr>
        <w:t xml:space="preserve"> </w:t>
      </w:r>
      <w:r>
        <w:t>contra</w:t>
      </w:r>
      <w:r>
        <w:rPr>
          <w:spacing w:val="-7"/>
        </w:rPr>
        <w:t xml:space="preserve"> </w:t>
      </w:r>
      <w:r>
        <w:t>la</w:t>
      </w:r>
      <w:r>
        <w:rPr>
          <w:spacing w:val="-7"/>
        </w:rPr>
        <w:t xml:space="preserve"> </w:t>
      </w:r>
      <w:r>
        <w:t>mujer</w:t>
      </w:r>
      <w:r>
        <w:rPr>
          <w:spacing w:val="-7"/>
        </w:rPr>
        <w:t xml:space="preserve"> </w:t>
      </w:r>
      <w:r>
        <w:t>ni</w:t>
      </w:r>
      <w:r>
        <w:rPr>
          <w:spacing w:val="-7"/>
        </w:rPr>
        <w:t xml:space="preserve"> </w:t>
      </w:r>
      <w:r>
        <w:t>la</w:t>
      </w:r>
      <w:r>
        <w:rPr>
          <w:spacing w:val="-7"/>
        </w:rPr>
        <w:t xml:space="preserve"> </w:t>
      </w:r>
      <w:r>
        <w:t>Convención</w:t>
      </w:r>
      <w:r>
        <w:rPr>
          <w:spacing w:val="-7"/>
        </w:rPr>
        <w:t xml:space="preserve"> </w:t>
      </w:r>
      <w:r>
        <w:t>sobre</w:t>
      </w:r>
      <w:r>
        <w:rPr>
          <w:spacing w:val="-7"/>
        </w:rPr>
        <w:t xml:space="preserve"> </w:t>
      </w:r>
      <w:r>
        <w:t>los</w:t>
      </w:r>
      <w:r>
        <w:rPr>
          <w:spacing w:val="-7"/>
        </w:rPr>
        <w:t xml:space="preserve"> </w:t>
      </w:r>
      <w:r>
        <w:t>derechos</w:t>
      </w:r>
      <w:r>
        <w:rPr>
          <w:spacing w:val="-7"/>
        </w:rPr>
        <w:t xml:space="preserve"> </w:t>
      </w:r>
      <w:r>
        <w:t>de las</w:t>
      </w:r>
      <w:r>
        <w:rPr>
          <w:spacing w:val="-6"/>
        </w:rPr>
        <w:t xml:space="preserve"> </w:t>
      </w:r>
      <w:r>
        <w:t>personas</w:t>
      </w:r>
      <w:r>
        <w:rPr>
          <w:spacing w:val="-7"/>
        </w:rPr>
        <w:t xml:space="preserve"> </w:t>
      </w:r>
      <w:r>
        <w:t>con</w:t>
      </w:r>
      <w:r>
        <w:rPr>
          <w:spacing w:val="-6"/>
        </w:rPr>
        <w:t xml:space="preserve"> </w:t>
      </w:r>
      <w:r>
        <w:t>discapacidad</w:t>
      </w:r>
      <w:r>
        <w:rPr>
          <w:spacing w:val="-7"/>
        </w:rPr>
        <w:t xml:space="preserve"> </w:t>
      </w:r>
      <w:r>
        <w:t>exigen</w:t>
      </w:r>
      <w:r>
        <w:rPr>
          <w:spacing w:val="-6"/>
        </w:rPr>
        <w:t xml:space="preserve"> </w:t>
      </w:r>
      <w:r>
        <w:t>específicamente</w:t>
      </w:r>
      <w:r>
        <w:rPr>
          <w:spacing w:val="-7"/>
        </w:rPr>
        <w:t xml:space="preserve"> </w:t>
      </w:r>
      <w:r>
        <w:t>la</w:t>
      </w:r>
      <w:r>
        <w:rPr>
          <w:spacing w:val="-6"/>
        </w:rPr>
        <w:t xml:space="preserve"> </w:t>
      </w:r>
      <w:r>
        <w:t>prohibición</w:t>
      </w:r>
      <w:r>
        <w:rPr>
          <w:spacing w:val="-7"/>
        </w:rPr>
        <w:t xml:space="preserve"> </w:t>
      </w:r>
      <w:r>
        <w:t>de</w:t>
      </w:r>
      <w:r>
        <w:rPr>
          <w:spacing w:val="-6"/>
        </w:rPr>
        <w:t xml:space="preserve"> </w:t>
      </w:r>
      <w:r>
        <w:t>la</w:t>
      </w:r>
      <w:r>
        <w:rPr>
          <w:spacing w:val="-7"/>
        </w:rPr>
        <w:t xml:space="preserve"> </w:t>
      </w:r>
      <w:r>
        <w:t>incitación</w:t>
      </w:r>
      <w:r>
        <w:rPr>
          <w:spacing w:val="-6"/>
        </w:rPr>
        <w:t xml:space="preserve"> </w:t>
      </w:r>
      <w:r>
        <w:t>a</w:t>
      </w:r>
      <w:r>
        <w:rPr>
          <w:spacing w:val="-7"/>
        </w:rPr>
        <w:t xml:space="preserve"> </w:t>
      </w:r>
      <w:r>
        <w:t>la</w:t>
      </w:r>
      <w:r>
        <w:rPr>
          <w:spacing w:val="-6"/>
        </w:rPr>
        <w:t xml:space="preserve"> </w:t>
      </w:r>
      <w:r>
        <w:t>discriminación,</w:t>
      </w:r>
      <w:r>
        <w:rPr>
          <w:spacing w:val="-6"/>
        </w:rPr>
        <w:t xml:space="preserve"> </w:t>
      </w:r>
      <w:r>
        <w:t>la</w:t>
      </w:r>
      <w:r>
        <w:rPr>
          <w:spacing w:val="-6"/>
        </w:rPr>
        <w:t xml:space="preserve"> </w:t>
      </w:r>
      <w:r>
        <w:t>violencia</w:t>
      </w:r>
      <w:r>
        <w:rPr>
          <w:spacing w:val="-7"/>
        </w:rPr>
        <w:t xml:space="preserve"> </w:t>
      </w:r>
      <w:r>
        <w:t>o</w:t>
      </w:r>
      <w:r>
        <w:rPr>
          <w:spacing w:val="-6"/>
        </w:rPr>
        <w:t xml:space="preserve"> </w:t>
      </w:r>
      <w:r>
        <w:t>la</w:t>
      </w:r>
      <w:r>
        <w:rPr>
          <w:spacing w:val="-7"/>
        </w:rPr>
        <w:t xml:space="preserve"> </w:t>
      </w:r>
      <w:r>
        <w:t>hostilidad. Sin embargo, ambos crean obligaciones específicas con respecto a la lucha contra las normas sociales negativas.</w:t>
      </w:r>
    </w:p>
    <w:p w14:paraId="7D751DEA" w14:textId="77777777" w:rsidR="0014798C" w:rsidRDefault="004E1F0B">
      <w:pPr>
        <w:pStyle w:val="Textoindependiente"/>
        <w:spacing w:line="326" w:lineRule="auto"/>
        <w:ind w:left="1111" w:right="1272" w:hanging="3"/>
      </w:pPr>
      <w:r>
        <w:t>Por</w:t>
      </w:r>
      <w:r>
        <w:rPr>
          <w:spacing w:val="-2"/>
        </w:rPr>
        <w:t xml:space="preserve"> </w:t>
      </w:r>
      <w:r>
        <w:t>ejemplo,</w:t>
      </w:r>
      <w:r>
        <w:rPr>
          <w:spacing w:val="-1"/>
        </w:rPr>
        <w:t xml:space="preserve"> </w:t>
      </w:r>
      <w:r>
        <w:t>el</w:t>
      </w:r>
      <w:r>
        <w:rPr>
          <w:spacing w:val="-2"/>
        </w:rPr>
        <w:t xml:space="preserve"> </w:t>
      </w:r>
      <w:r>
        <w:t>artículo</w:t>
      </w:r>
      <w:r>
        <w:rPr>
          <w:spacing w:val="-2"/>
        </w:rPr>
        <w:t xml:space="preserve"> </w:t>
      </w:r>
      <w:r>
        <w:t>5</w:t>
      </w:r>
      <w:r>
        <w:rPr>
          <w:spacing w:val="-2"/>
        </w:rPr>
        <w:t xml:space="preserve"> </w:t>
      </w:r>
      <w:r>
        <w:t>a)</w:t>
      </w:r>
      <w:r>
        <w:rPr>
          <w:spacing w:val="-2"/>
        </w:rPr>
        <w:t xml:space="preserve"> </w:t>
      </w:r>
      <w:r>
        <w:t>de</w:t>
      </w:r>
      <w:r>
        <w:rPr>
          <w:spacing w:val="-2"/>
        </w:rPr>
        <w:t xml:space="preserve"> </w:t>
      </w:r>
      <w:r>
        <w:t>la</w:t>
      </w:r>
      <w:r>
        <w:rPr>
          <w:spacing w:val="-2"/>
        </w:rPr>
        <w:t xml:space="preserve"> </w:t>
      </w:r>
      <w:r>
        <w:t>Convención</w:t>
      </w:r>
      <w:r>
        <w:rPr>
          <w:spacing w:val="-2"/>
        </w:rPr>
        <w:t xml:space="preserve"> </w:t>
      </w:r>
      <w:r>
        <w:t>sobre</w:t>
      </w:r>
      <w:r>
        <w:rPr>
          <w:spacing w:val="-2"/>
        </w:rPr>
        <w:t xml:space="preserve"> </w:t>
      </w:r>
      <w:r>
        <w:t>la</w:t>
      </w:r>
      <w:r>
        <w:rPr>
          <w:spacing w:val="-2"/>
        </w:rPr>
        <w:t xml:space="preserve"> </w:t>
      </w:r>
      <w:r>
        <w:t>eliminación</w:t>
      </w:r>
      <w:r>
        <w:rPr>
          <w:spacing w:val="-2"/>
        </w:rPr>
        <w:t xml:space="preserve"> </w:t>
      </w:r>
      <w:r>
        <w:t>de</w:t>
      </w:r>
      <w:r>
        <w:rPr>
          <w:spacing w:val="-2"/>
        </w:rPr>
        <w:t xml:space="preserve"> </w:t>
      </w:r>
      <w:r>
        <w:t>todas</w:t>
      </w:r>
      <w:r>
        <w:rPr>
          <w:spacing w:val="-2"/>
        </w:rPr>
        <w:t xml:space="preserve"> </w:t>
      </w:r>
      <w:r>
        <w:t>las</w:t>
      </w:r>
      <w:r>
        <w:rPr>
          <w:spacing w:val="-2"/>
        </w:rPr>
        <w:t xml:space="preserve"> </w:t>
      </w:r>
      <w:r>
        <w:t>formas</w:t>
      </w:r>
      <w:r>
        <w:rPr>
          <w:spacing w:val="-2"/>
        </w:rPr>
        <w:t xml:space="preserve"> </w:t>
      </w:r>
      <w:r>
        <w:t>de</w:t>
      </w:r>
      <w:r>
        <w:rPr>
          <w:spacing w:val="-2"/>
        </w:rPr>
        <w:t xml:space="preserve"> </w:t>
      </w:r>
      <w:r>
        <w:t>discriminación</w:t>
      </w:r>
      <w:r>
        <w:rPr>
          <w:spacing w:val="-2"/>
        </w:rPr>
        <w:t xml:space="preserve"> </w:t>
      </w:r>
      <w:r>
        <w:t>contra</w:t>
      </w:r>
      <w:r>
        <w:rPr>
          <w:spacing w:val="-2"/>
        </w:rPr>
        <w:t xml:space="preserve"> </w:t>
      </w:r>
      <w:r>
        <w:t>la</w:t>
      </w:r>
      <w:r>
        <w:rPr>
          <w:spacing w:val="-2"/>
        </w:rPr>
        <w:t xml:space="preserve"> </w:t>
      </w:r>
      <w:r>
        <w:t>mujer</w:t>
      </w:r>
      <w:r>
        <w:rPr>
          <w:spacing w:val="-2"/>
        </w:rPr>
        <w:t xml:space="preserve"> </w:t>
      </w:r>
      <w:r>
        <w:t>dedica amplia</w:t>
      </w:r>
      <w:r>
        <w:rPr>
          <w:spacing w:val="-7"/>
        </w:rPr>
        <w:t xml:space="preserve"> </w:t>
      </w:r>
      <w:r>
        <w:t>atención</w:t>
      </w:r>
      <w:r>
        <w:rPr>
          <w:spacing w:val="-7"/>
        </w:rPr>
        <w:t xml:space="preserve"> </w:t>
      </w:r>
      <w:r>
        <w:t>a</w:t>
      </w:r>
      <w:r>
        <w:rPr>
          <w:spacing w:val="-7"/>
        </w:rPr>
        <w:t xml:space="preserve"> </w:t>
      </w:r>
      <w:r>
        <w:t>las</w:t>
      </w:r>
      <w:r>
        <w:rPr>
          <w:spacing w:val="-7"/>
        </w:rPr>
        <w:t xml:space="preserve"> </w:t>
      </w:r>
      <w:r>
        <w:t>obligaciones</w:t>
      </w:r>
      <w:r>
        <w:rPr>
          <w:spacing w:val="-7"/>
        </w:rPr>
        <w:t xml:space="preserve"> </w:t>
      </w:r>
      <w:r>
        <w:t>positivas</w:t>
      </w:r>
      <w:r>
        <w:rPr>
          <w:spacing w:val="-7"/>
        </w:rPr>
        <w:t xml:space="preserve"> </w:t>
      </w:r>
      <w:r>
        <w:t>de</w:t>
      </w:r>
      <w:r>
        <w:rPr>
          <w:spacing w:val="-7"/>
        </w:rPr>
        <w:t xml:space="preserve"> </w:t>
      </w:r>
      <w:r>
        <w:t>los</w:t>
      </w:r>
      <w:r>
        <w:rPr>
          <w:spacing w:val="-7"/>
        </w:rPr>
        <w:t xml:space="preserve"> </w:t>
      </w:r>
      <w:r>
        <w:t>Estados</w:t>
      </w:r>
      <w:r>
        <w:rPr>
          <w:spacing w:val="-7"/>
        </w:rPr>
        <w:t xml:space="preserve"> </w:t>
      </w:r>
      <w:r>
        <w:t>de</w:t>
      </w:r>
      <w:r>
        <w:rPr>
          <w:spacing w:val="-7"/>
        </w:rPr>
        <w:t xml:space="preserve"> </w:t>
      </w:r>
      <w:r>
        <w:t>“modificar</w:t>
      </w:r>
      <w:r>
        <w:rPr>
          <w:spacing w:val="-7"/>
        </w:rPr>
        <w:t xml:space="preserve"> </w:t>
      </w:r>
      <w:r>
        <w:t>las</w:t>
      </w:r>
      <w:r>
        <w:rPr>
          <w:spacing w:val="-7"/>
        </w:rPr>
        <w:t xml:space="preserve"> </w:t>
      </w:r>
      <w:r>
        <w:t>pautas</w:t>
      </w:r>
      <w:r>
        <w:rPr>
          <w:spacing w:val="-7"/>
        </w:rPr>
        <w:t xml:space="preserve"> </w:t>
      </w:r>
      <w:r>
        <w:t>sociales</w:t>
      </w:r>
      <w:r>
        <w:rPr>
          <w:spacing w:val="-7"/>
        </w:rPr>
        <w:t xml:space="preserve"> </w:t>
      </w:r>
      <w:r>
        <w:t>y</w:t>
      </w:r>
      <w:r>
        <w:rPr>
          <w:spacing w:val="-7"/>
        </w:rPr>
        <w:t xml:space="preserve"> </w:t>
      </w:r>
      <w:r>
        <w:t>culturales</w:t>
      </w:r>
      <w:r>
        <w:rPr>
          <w:spacing w:val="-7"/>
        </w:rPr>
        <w:t xml:space="preserve"> </w:t>
      </w:r>
      <w:r>
        <w:t>de</w:t>
      </w:r>
      <w:r>
        <w:rPr>
          <w:spacing w:val="-7"/>
        </w:rPr>
        <w:t xml:space="preserve"> </w:t>
      </w:r>
      <w:r>
        <w:t>conducta</w:t>
      </w:r>
      <w:r>
        <w:rPr>
          <w:spacing w:val="-7"/>
        </w:rPr>
        <w:t xml:space="preserve"> </w:t>
      </w:r>
      <w:r>
        <w:t>de</w:t>
      </w:r>
      <w:r>
        <w:rPr>
          <w:spacing w:val="-7"/>
        </w:rPr>
        <w:t xml:space="preserve"> </w:t>
      </w:r>
      <w:r>
        <w:t>hombres</w:t>
      </w:r>
      <w:r>
        <w:rPr>
          <w:spacing w:val="-7"/>
        </w:rPr>
        <w:t xml:space="preserve"> </w:t>
      </w:r>
      <w:r>
        <w:t>y mujeres, con miras a lograr la eliminación de prejuicios y prácticas consuetudinarias y de cualquier otra índole que se basen en la idea</w:t>
      </w:r>
      <w:r>
        <w:rPr>
          <w:spacing w:val="-1"/>
        </w:rPr>
        <w:t xml:space="preserve"> </w:t>
      </w:r>
      <w:r>
        <w:t>de</w:t>
      </w:r>
      <w:r>
        <w:rPr>
          <w:spacing w:val="-1"/>
        </w:rPr>
        <w:t xml:space="preserve"> </w:t>
      </w:r>
      <w:r>
        <w:t>la</w:t>
      </w:r>
      <w:r>
        <w:rPr>
          <w:spacing w:val="-1"/>
        </w:rPr>
        <w:t xml:space="preserve"> </w:t>
      </w:r>
      <w:r>
        <w:t>inferioridad</w:t>
      </w:r>
      <w:r>
        <w:rPr>
          <w:spacing w:val="-1"/>
        </w:rPr>
        <w:t xml:space="preserve"> </w:t>
      </w:r>
      <w:r>
        <w:t>o</w:t>
      </w:r>
      <w:r>
        <w:rPr>
          <w:spacing w:val="-1"/>
        </w:rPr>
        <w:t xml:space="preserve"> </w:t>
      </w:r>
      <w:r>
        <w:t>superioridad</w:t>
      </w:r>
      <w:r>
        <w:rPr>
          <w:spacing w:val="-1"/>
        </w:rPr>
        <w:t xml:space="preserve"> </w:t>
      </w:r>
      <w:r>
        <w:t>de</w:t>
      </w:r>
      <w:r>
        <w:rPr>
          <w:spacing w:val="-1"/>
        </w:rPr>
        <w:t xml:space="preserve"> </w:t>
      </w:r>
      <w:r>
        <w:t>cualquiera</w:t>
      </w:r>
      <w:r>
        <w:rPr>
          <w:spacing w:val="-1"/>
        </w:rPr>
        <w:t xml:space="preserve"> </w:t>
      </w:r>
      <w:r>
        <w:t>de</w:t>
      </w:r>
      <w:r>
        <w:rPr>
          <w:spacing w:val="-1"/>
        </w:rPr>
        <w:t xml:space="preserve"> </w:t>
      </w:r>
      <w:r>
        <w:t>los</w:t>
      </w:r>
      <w:r>
        <w:rPr>
          <w:spacing w:val="-1"/>
        </w:rPr>
        <w:t xml:space="preserve"> </w:t>
      </w:r>
      <w:r>
        <w:t>sexos</w:t>
      </w:r>
      <w:r>
        <w:rPr>
          <w:spacing w:val="-1"/>
        </w:rPr>
        <w:t xml:space="preserve"> </w:t>
      </w:r>
      <w:r>
        <w:t>o</w:t>
      </w:r>
      <w:r>
        <w:rPr>
          <w:spacing w:val="-1"/>
        </w:rPr>
        <w:t xml:space="preserve"> </w:t>
      </w:r>
      <w:r>
        <w:t>en</w:t>
      </w:r>
      <w:r>
        <w:rPr>
          <w:spacing w:val="-1"/>
        </w:rPr>
        <w:t xml:space="preserve"> </w:t>
      </w:r>
      <w:r>
        <w:t>roles</w:t>
      </w:r>
      <w:r>
        <w:rPr>
          <w:spacing w:val="-1"/>
        </w:rPr>
        <w:t xml:space="preserve"> </w:t>
      </w:r>
      <w:r>
        <w:t>estereotipados</w:t>
      </w:r>
      <w:r>
        <w:rPr>
          <w:spacing w:val="-2"/>
        </w:rPr>
        <w:t xml:space="preserve"> </w:t>
      </w:r>
      <w:r>
        <w:t>de</w:t>
      </w:r>
      <w:r>
        <w:rPr>
          <w:spacing w:val="-1"/>
        </w:rPr>
        <w:t xml:space="preserve"> </w:t>
      </w:r>
      <w:r>
        <w:t>hombres</w:t>
      </w:r>
      <w:r>
        <w:rPr>
          <w:spacing w:val="-1"/>
        </w:rPr>
        <w:t xml:space="preserve"> </w:t>
      </w:r>
      <w:r>
        <w:t>y</w:t>
      </w:r>
      <w:r>
        <w:rPr>
          <w:spacing w:val="-1"/>
        </w:rPr>
        <w:t xml:space="preserve"> </w:t>
      </w:r>
      <w:r>
        <w:t>mujeres”.1143</w:t>
      </w:r>
      <w:r>
        <w:rPr>
          <w:spacing w:val="-1"/>
        </w:rPr>
        <w:t xml:space="preserve"> </w:t>
      </w:r>
      <w:r>
        <w:t>Estas cuestiones</w:t>
      </w:r>
      <w:r>
        <w:rPr>
          <w:spacing w:val="-1"/>
        </w:rPr>
        <w:t xml:space="preserve"> </w:t>
      </w:r>
      <w:r>
        <w:t>implican</w:t>
      </w:r>
      <w:r>
        <w:rPr>
          <w:spacing w:val="-2"/>
        </w:rPr>
        <w:t xml:space="preserve"> </w:t>
      </w:r>
      <w:r>
        <w:t>el</w:t>
      </w:r>
      <w:r>
        <w:rPr>
          <w:spacing w:val="-1"/>
        </w:rPr>
        <w:t xml:space="preserve"> </w:t>
      </w:r>
      <w:r>
        <w:t>habla</w:t>
      </w:r>
      <w:r>
        <w:rPr>
          <w:spacing w:val="-2"/>
        </w:rPr>
        <w:t xml:space="preserve"> </w:t>
      </w:r>
      <w:r>
        <w:t>y</w:t>
      </w:r>
      <w:r>
        <w:rPr>
          <w:spacing w:val="-1"/>
        </w:rPr>
        <w:t xml:space="preserve"> </w:t>
      </w:r>
      <w:r>
        <w:t>otras</w:t>
      </w:r>
      <w:r>
        <w:rPr>
          <w:spacing w:val="-2"/>
        </w:rPr>
        <w:t xml:space="preserve"> </w:t>
      </w:r>
      <w:r>
        <w:t>formas</w:t>
      </w:r>
      <w:r>
        <w:rPr>
          <w:spacing w:val="-1"/>
        </w:rPr>
        <w:t xml:space="preserve"> </w:t>
      </w:r>
      <w:r>
        <w:t>de</w:t>
      </w:r>
      <w:r>
        <w:rPr>
          <w:spacing w:val="-2"/>
        </w:rPr>
        <w:t xml:space="preserve"> </w:t>
      </w:r>
      <w:r>
        <w:t>expresión</w:t>
      </w:r>
      <w:r>
        <w:rPr>
          <w:spacing w:val="-1"/>
        </w:rPr>
        <w:t xml:space="preserve"> </w:t>
      </w:r>
      <w:r>
        <w:t>y</w:t>
      </w:r>
      <w:r>
        <w:rPr>
          <w:spacing w:val="-2"/>
        </w:rPr>
        <w:t xml:space="preserve"> </w:t>
      </w:r>
      <w:r>
        <w:t>comunicación, en</w:t>
      </w:r>
      <w:r>
        <w:rPr>
          <w:spacing w:val="-2"/>
        </w:rPr>
        <w:t xml:space="preserve"> </w:t>
      </w:r>
      <w:r>
        <w:t>particular</w:t>
      </w:r>
      <w:r>
        <w:rPr>
          <w:spacing w:val="-1"/>
        </w:rPr>
        <w:t xml:space="preserve"> </w:t>
      </w:r>
      <w:r>
        <w:t>–en</w:t>
      </w:r>
      <w:r>
        <w:rPr>
          <w:spacing w:val="-2"/>
        </w:rPr>
        <w:t xml:space="preserve"> </w:t>
      </w:r>
      <w:r>
        <w:t>este</w:t>
      </w:r>
      <w:r>
        <w:rPr>
          <w:spacing w:val="-1"/>
        </w:rPr>
        <w:t xml:space="preserve"> </w:t>
      </w:r>
      <w:r>
        <w:t>contexto–</w:t>
      </w:r>
      <w:r>
        <w:rPr>
          <w:spacing w:val="-2"/>
        </w:rPr>
        <w:t xml:space="preserve"> </w:t>
      </w:r>
      <w:r>
        <w:t>el</w:t>
      </w:r>
      <w:r>
        <w:rPr>
          <w:spacing w:val="-1"/>
        </w:rPr>
        <w:t xml:space="preserve"> </w:t>
      </w:r>
      <w:r>
        <w:t>discurso</w:t>
      </w:r>
      <w:r>
        <w:rPr>
          <w:spacing w:val="-2"/>
        </w:rPr>
        <w:t xml:space="preserve"> </w:t>
      </w:r>
      <w:r>
        <w:t>misógino.</w:t>
      </w:r>
    </w:p>
    <w:p w14:paraId="1109A12E" w14:textId="77777777" w:rsidR="0014798C" w:rsidRDefault="0014798C">
      <w:pPr>
        <w:pStyle w:val="Textoindependiente"/>
      </w:pPr>
    </w:p>
    <w:p w14:paraId="39792F43" w14:textId="77777777" w:rsidR="0014798C" w:rsidRDefault="0014798C">
      <w:pPr>
        <w:pStyle w:val="Textoindependiente"/>
        <w:spacing w:before="48"/>
      </w:pPr>
    </w:p>
    <w:p w14:paraId="7916F71A" w14:textId="77777777" w:rsidR="0014798C" w:rsidRDefault="004E1F0B">
      <w:pPr>
        <w:pStyle w:val="Textoindependiente"/>
        <w:spacing w:line="326" w:lineRule="auto"/>
        <w:ind w:left="1111" w:right="1272" w:hanging="6"/>
      </w:pPr>
      <w:r>
        <w:t>Generalmente</w:t>
      </w:r>
      <w:r>
        <w:rPr>
          <w:spacing w:val="-8"/>
        </w:rPr>
        <w:t xml:space="preserve"> </w:t>
      </w:r>
      <w:r>
        <w:t>se</w:t>
      </w:r>
      <w:r>
        <w:rPr>
          <w:spacing w:val="-8"/>
        </w:rPr>
        <w:t xml:space="preserve"> </w:t>
      </w:r>
      <w:r>
        <w:t>considera</w:t>
      </w:r>
      <w:r>
        <w:rPr>
          <w:spacing w:val="-8"/>
        </w:rPr>
        <w:t xml:space="preserve"> </w:t>
      </w:r>
      <w:r>
        <w:t>que</w:t>
      </w:r>
      <w:r>
        <w:rPr>
          <w:spacing w:val="-8"/>
        </w:rPr>
        <w:t xml:space="preserve"> </w:t>
      </w:r>
      <w:r>
        <w:t>los</w:t>
      </w:r>
      <w:r>
        <w:rPr>
          <w:spacing w:val="-8"/>
        </w:rPr>
        <w:t xml:space="preserve"> </w:t>
      </w:r>
      <w:r>
        <w:t>derechos</w:t>
      </w:r>
      <w:r>
        <w:rPr>
          <w:spacing w:val="-8"/>
        </w:rPr>
        <w:t xml:space="preserve"> </w:t>
      </w:r>
      <w:r>
        <w:t>establecidos</w:t>
      </w:r>
      <w:r>
        <w:rPr>
          <w:spacing w:val="-8"/>
        </w:rPr>
        <w:t xml:space="preserve"> </w:t>
      </w:r>
      <w:r>
        <w:t>en</w:t>
      </w:r>
      <w:r>
        <w:rPr>
          <w:spacing w:val="-8"/>
        </w:rPr>
        <w:t xml:space="preserve"> </w:t>
      </w:r>
      <w:r>
        <w:t>el</w:t>
      </w:r>
      <w:r>
        <w:rPr>
          <w:spacing w:val="-8"/>
        </w:rPr>
        <w:t xml:space="preserve"> </w:t>
      </w:r>
      <w:r>
        <w:t>artículo</w:t>
      </w:r>
      <w:r>
        <w:rPr>
          <w:spacing w:val="-8"/>
        </w:rPr>
        <w:t xml:space="preserve"> </w:t>
      </w:r>
      <w:r>
        <w:t>20</w:t>
      </w:r>
      <w:r>
        <w:rPr>
          <w:spacing w:val="-8"/>
        </w:rPr>
        <w:t xml:space="preserve"> </w:t>
      </w:r>
      <w:r>
        <w:t>del</w:t>
      </w:r>
      <w:r>
        <w:rPr>
          <w:spacing w:val="-8"/>
        </w:rPr>
        <w:t xml:space="preserve"> </w:t>
      </w:r>
      <w:r>
        <w:t>Pacto</w:t>
      </w:r>
      <w:r>
        <w:rPr>
          <w:spacing w:val="-8"/>
        </w:rPr>
        <w:t xml:space="preserve"> </w:t>
      </w:r>
      <w:r>
        <w:t>Internacional</w:t>
      </w:r>
      <w:r>
        <w:rPr>
          <w:spacing w:val="-8"/>
        </w:rPr>
        <w:t xml:space="preserve"> </w:t>
      </w:r>
      <w:r>
        <w:t>de</w:t>
      </w:r>
      <w:r>
        <w:rPr>
          <w:spacing w:val="-8"/>
        </w:rPr>
        <w:t xml:space="preserve"> </w:t>
      </w:r>
      <w:r>
        <w:t>Derechos</w:t>
      </w:r>
      <w:r>
        <w:rPr>
          <w:spacing w:val="-8"/>
        </w:rPr>
        <w:t xml:space="preserve"> </w:t>
      </w:r>
      <w:r>
        <w:t>Civiles</w:t>
      </w:r>
      <w:r>
        <w:rPr>
          <w:spacing w:val="-8"/>
        </w:rPr>
        <w:t xml:space="preserve"> </w:t>
      </w:r>
      <w:r>
        <w:t>y</w:t>
      </w:r>
      <w:r>
        <w:rPr>
          <w:spacing w:val="-8"/>
        </w:rPr>
        <w:t xml:space="preserve"> </w:t>
      </w:r>
      <w:r>
        <w:t>Políticos guardan una relación compleja con otros derechos, en particular (aunque no exclusivamente) los derechos establecidos en el artículo 19 a tener opiniones sin injerencias y a libertad de expresión. El artículo 19 establece:</w:t>
      </w:r>
    </w:p>
    <w:p w14:paraId="01129184" w14:textId="77777777" w:rsidR="0014798C" w:rsidRDefault="004E1F0B">
      <w:pPr>
        <w:pStyle w:val="Prrafodelista"/>
        <w:numPr>
          <w:ilvl w:val="1"/>
          <w:numId w:val="9"/>
        </w:numPr>
        <w:tabs>
          <w:tab w:val="left" w:pos="1860"/>
        </w:tabs>
        <w:spacing w:before="112"/>
        <w:ind w:left="1860" w:hanging="174"/>
        <w:rPr>
          <w:sz w:val="16"/>
        </w:rPr>
      </w:pPr>
      <w:r>
        <w:rPr>
          <w:color w:val="0075BF"/>
          <w:sz w:val="16"/>
        </w:rPr>
        <w:t>Toda</w:t>
      </w:r>
      <w:r>
        <w:rPr>
          <w:color w:val="0075BF"/>
          <w:spacing w:val="-9"/>
          <w:sz w:val="16"/>
        </w:rPr>
        <w:t xml:space="preserve"> </w:t>
      </w:r>
      <w:r>
        <w:rPr>
          <w:color w:val="0075BF"/>
          <w:sz w:val="16"/>
        </w:rPr>
        <w:t>persona</w:t>
      </w:r>
      <w:r>
        <w:rPr>
          <w:color w:val="0075BF"/>
          <w:spacing w:val="-8"/>
          <w:sz w:val="16"/>
        </w:rPr>
        <w:t xml:space="preserve"> </w:t>
      </w:r>
      <w:r>
        <w:rPr>
          <w:color w:val="0075BF"/>
          <w:sz w:val="16"/>
        </w:rPr>
        <w:t>tendrá</w:t>
      </w:r>
      <w:r>
        <w:rPr>
          <w:color w:val="0075BF"/>
          <w:spacing w:val="-8"/>
          <w:sz w:val="16"/>
        </w:rPr>
        <w:t xml:space="preserve"> </w:t>
      </w:r>
      <w:r>
        <w:rPr>
          <w:color w:val="0075BF"/>
          <w:sz w:val="16"/>
        </w:rPr>
        <w:t>derecho</w:t>
      </w:r>
      <w:r>
        <w:rPr>
          <w:color w:val="0075BF"/>
          <w:spacing w:val="-8"/>
          <w:sz w:val="16"/>
        </w:rPr>
        <w:t xml:space="preserve"> </w:t>
      </w:r>
      <w:r>
        <w:rPr>
          <w:color w:val="0075BF"/>
          <w:sz w:val="16"/>
        </w:rPr>
        <w:t>a</w:t>
      </w:r>
      <w:r>
        <w:rPr>
          <w:color w:val="0075BF"/>
          <w:spacing w:val="-8"/>
          <w:sz w:val="16"/>
        </w:rPr>
        <w:t xml:space="preserve"> </w:t>
      </w:r>
      <w:r>
        <w:rPr>
          <w:color w:val="0075BF"/>
          <w:sz w:val="16"/>
        </w:rPr>
        <w:t>opinar</w:t>
      </w:r>
      <w:r>
        <w:rPr>
          <w:color w:val="0075BF"/>
          <w:spacing w:val="-8"/>
          <w:sz w:val="16"/>
        </w:rPr>
        <w:t xml:space="preserve"> </w:t>
      </w:r>
      <w:r>
        <w:rPr>
          <w:color w:val="0075BF"/>
          <w:sz w:val="16"/>
        </w:rPr>
        <w:t>sin</w:t>
      </w:r>
      <w:r>
        <w:rPr>
          <w:color w:val="0075BF"/>
          <w:spacing w:val="-8"/>
          <w:sz w:val="16"/>
        </w:rPr>
        <w:t xml:space="preserve"> </w:t>
      </w:r>
      <w:r>
        <w:rPr>
          <w:color w:val="0075BF"/>
          <w:spacing w:val="-2"/>
          <w:sz w:val="16"/>
        </w:rPr>
        <w:t>injerencias.</w:t>
      </w:r>
    </w:p>
    <w:p w14:paraId="40652C2D" w14:textId="77777777" w:rsidR="0014798C" w:rsidRDefault="004E1F0B">
      <w:pPr>
        <w:pStyle w:val="Prrafodelista"/>
        <w:numPr>
          <w:ilvl w:val="1"/>
          <w:numId w:val="9"/>
        </w:numPr>
        <w:tabs>
          <w:tab w:val="left" w:pos="1848"/>
          <w:tab w:val="left" w:pos="1956"/>
        </w:tabs>
        <w:spacing w:before="122" w:line="326" w:lineRule="auto"/>
        <w:ind w:left="1956" w:right="1634" w:hanging="282"/>
        <w:rPr>
          <w:sz w:val="16"/>
        </w:rPr>
      </w:pPr>
      <w:r>
        <w:rPr>
          <w:color w:val="0075BF"/>
          <w:sz w:val="16"/>
        </w:rPr>
        <w:t>Toda</w:t>
      </w:r>
      <w:r>
        <w:rPr>
          <w:color w:val="0075BF"/>
          <w:spacing w:val="-9"/>
          <w:sz w:val="16"/>
        </w:rPr>
        <w:t xml:space="preserve"> </w:t>
      </w:r>
      <w:r>
        <w:rPr>
          <w:color w:val="0075BF"/>
          <w:sz w:val="16"/>
        </w:rPr>
        <w:t>persona</w:t>
      </w:r>
      <w:r>
        <w:rPr>
          <w:color w:val="0075BF"/>
          <w:spacing w:val="-9"/>
          <w:sz w:val="16"/>
        </w:rPr>
        <w:t xml:space="preserve"> </w:t>
      </w:r>
      <w:r>
        <w:rPr>
          <w:color w:val="0075BF"/>
          <w:sz w:val="16"/>
        </w:rPr>
        <w:t>tendrá</w:t>
      </w:r>
      <w:r>
        <w:rPr>
          <w:color w:val="0075BF"/>
          <w:spacing w:val="-9"/>
          <w:sz w:val="16"/>
        </w:rPr>
        <w:t xml:space="preserve"> </w:t>
      </w:r>
      <w:r>
        <w:rPr>
          <w:color w:val="0075BF"/>
          <w:sz w:val="16"/>
        </w:rPr>
        <w:t>derecho</w:t>
      </w:r>
      <w:r>
        <w:rPr>
          <w:color w:val="0075BF"/>
          <w:spacing w:val="-9"/>
          <w:sz w:val="16"/>
        </w:rPr>
        <w:t xml:space="preserve"> </w:t>
      </w:r>
      <w:r>
        <w:rPr>
          <w:color w:val="0075BF"/>
          <w:sz w:val="16"/>
        </w:rPr>
        <w:t>a</w:t>
      </w:r>
      <w:r>
        <w:rPr>
          <w:color w:val="0075BF"/>
          <w:spacing w:val="-9"/>
          <w:sz w:val="16"/>
        </w:rPr>
        <w:t xml:space="preserve"> </w:t>
      </w:r>
      <w:r>
        <w:rPr>
          <w:color w:val="0075BF"/>
          <w:sz w:val="16"/>
        </w:rPr>
        <w:t>la</w:t>
      </w:r>
      <w:r>
        <w:rPr>
          <w:color w:val="0075BF"/>
          <w:spacing w:val="-9"/>
          <w:sz w:val="16"/>
        </w:rPr>
        <w:t xml:space="preserve"> </w:t>
      </w:r>
      <w:r>
        <w:rPr>
          <w:color w:val="0075BF"/>
          <w:sz w:val="16"/>
        </w:rPr>
        <w:t>libertad</w:t>
      </w:r>
      <w:r>
        <w:rPr>
          <w:color w:val="0075BF"/>
          <w:spacing w:val="-9"/>
          <w:sz w:val="16"/>
        </w:rPr>
        <w:t xml:space="preserve"> </w:t>
      </w:r>
      <w:r>
        <w:rPr>
          <w:color w:val="0075BF"/>
          <w:sz w:val="16"/>
        </w:rPr>
        <w:t>de</w:t>
      </w:r>
      <w:r>
        <w:rPr>
          <w:color w:val="0075BF"/>
          <w:spacing w:val="-9"/>
          <w:sz w:val="16"/>
        </w:rPr>
        <w:t xml:space="preserve"> </w:t>
      </w:r>
      <w:r>
        <w:rPr>
          <w:color w:val="0075BF"/>
          <w:sz w:val="16"/>
        </w:rPr>
        <w:t>expresión;</w:t>
      </w:r>
      <w:r>
        <w:rPr>
          <w:color w:val="0075BF"/>
          <w:spacing w:val="-8"/>
          <w:sz w:val="16"/>
        </w:rPr>
        <w:t xml:space="preserve"> </w:t>
      </w:r>
      <w:r>
        <w:rPr>
          <w:color w:val="0075BF"/>
          <w:sz w:val="16"/>
        </w:rPr>
        <w:t>este</w:t>
      </w:r>
      <w:r>
        <w:rPr>
          <w:color w:val="0075BF"/>
          <w:spacing w:val="-9"/>
          <w:sz w:val="16"/>
        </w:rPr>
        <w:t xml:space="preserve"> </w:t>
      </w:r>
      <w:r>
        <w:rPr>
          <w:color w:val="0075BF"/>
          <w:sz w:val="16"/>
        </w:rPr>
        <w:t>derecho</w:t>
      </w:r>
      <w:r>
        <w:rPr>
          <w:color w:val="0075BF"/>
          <w:spacing w:val="-9"/>
          <w:sz w:val="16"/>
        </w:rPr>
        <w:t xml:space="preserve"> </w:t>
      </w:r>
      <w:r>
        <w:rPr>
          <w:color w:val="0075BF"/>
          <w:sz w:val="16"/>
        </w:rPr>
        <w:t>incluirá</w:t>
      </w:r>
      <w:r>
        <w:rPr>
          <w:color w:val="0075BF"/>
          <w:spacing w:val="-9"/>
          <w:sz w:val="16"/>
        </w:rPr>
        <w:t xml:space="preserve"> </w:t>
      </w:r>
      <w:r>
        <w:rPr>
          <w:color w:val="0075BF"/>
          <w:sz w:val="16"/>
        </w:rPr>
        <w:t>la</w:t>
      </w:r>
      <w:r>
        <w:rPr>
          <w:color w:val="0075BF"/>
          <w:spacing w:val="-9"/>
          <w:sz w:val="16"/>
        </w:rPr>
        <w:t xml:space="preserve"> </w:t>
      </w:r>
      <w:r>
        <w:rPr>
          <w:color w:val="0075BF"/>
          <w:sz w:val="16"/>
        </w:rPr>
        <w:t>libertad</w:t>
      </w:r>
      <w:r>
        <w:rPr>
          <w:color w:val="0075BF"/>
          <w:spacing w:val="-9"/>
          <w:sz w:val="16"/>
        </w:rPr>
        <w:t xml:space="preserve"> </w:t>
      </w:r>
      <w:r>
        <w:rPr>
          <w:color w:val="0075BF"/>
          <w:sz w:val="16"/>
        </w:rPr>
        <w:t>de</w:t>
      </w:r>
      <w:r>
        <w:rPr>
          <w:color w:val="0075BF"/>
          <w:spacing w:val="-9"/>
          <w:sz w:val="16"/>
        </w:rPr>
        <w:t xml:space="preserve"> </w:t>
      </w:r>
      <w:r>
        <w:rPr>
          <w:color w:val="0075BF"/>
          <w:sz w:val="16"/>
        </w:rPr>
        <w:t>buscar,</w:t>
      </w:r>
      <w:r>
        <w:rPr>
          <w:color w:val="0075BF"/>
          <w:spacing w:val="-8"/>
          <w:sz w:val="16"/>
        </w:rPr>
        <w:t xml:space="preserve"> </w:t>
      </w:r>
      <w:r>
        <w:rPr>
          <w:color w:val="0075BF"/>
          <w:sz w:val="16"/>
        </w:rPr>
        <w:t>recibir</w:t>
      </w:r>
      <w:r>
        <w:rPr>
          <w:color w:val="0075BF"/>
          <w:spacing w:val="-9"/>
          <w:sz w:val="16"/>
        </w:rPr>
        <w:t xml:space="preserve"> </w:t>
      </w:r>
      <w:r>
        <w:rPr>
          <w:color w:val="0075BF"/>
          <w:sz w:val="16"/>
        </w:rPr>
        <w:t>y</w:t>
      </w:r>
      <w:r>
        <w:rPr>
          <w:color w:val="0075BF"/>
          <w:spacing w:val="-9"/>
          <w:sz w:val="16"/>
        </w:rPr>
        <w:t xml:space="preserve"> </w:t>
      </w:r>
      <w:r>
        <w:rPr>
          <w:color w:val="0075BF"/>
          <w:sz w:val="16"/>
        </w:rPr>
        <w:t>difundir información</w:t>
      </w:r>
      <w:r>
        <w:rPr>
          <w:color w:val="0075BF"/>
          <w:spacing w:val="-7"/>
          <w:sz w:val="16"/>
        </w:rPr>
        <w:t xml:space="preserve"> </w:t>
      </w:r>
      <w:r>
        <w:rPr>
          <w:color w:val="0075BF"/>
          <w:sz w:val="16"/>
        </w:rPr>
        <w:t>e</w:t>
      </w:r>
      <w:r>
        <w:rPr>
          <w:color w:val="0075BF"/>
          <w:spacing w:val="-7"/>
          <w:sz w:val="16"/>
        </w:rPr>
        <w:t xml:space="preserve"> </w:t>
      </w:r>
      <w:r>
        <w:rPr>
          <w:color w:val="0075BF"/>
          <w:sz w:val="16"/>
        </w:rPr>
        <w:t>ideas</w:t>
      </w:r>
      <w:r>
        <w:rPr>
          <w:color w:val="0075BF"/>
          <w:spacing w:val="-7"/>
          <w:sz w:val="16"/>
        </w:rPr>
        <w:t xml:space="preserve"> </w:t>
      </w:r>
      <w:r>
        <w:rPr>
          <w:color w:val="0075BF"/>
          <w:sz w:val="16"/>
        </w:rPr>
        <w:t>de</w:t>
      </w:r>
      <w:r>
        <w:rPr>
          <w:color w:val="0075BF"/>
          <w:spacing w:val="-7"/>
          <w:sz w:val="16"/>
        </w:rPr>
        <w:t xml:space="preserve"> </w:t>
      </w:r>
      <w:r>
        <w:rPr>
          <w:color w:val="0075BF"/>
          <w:sz w:val="16"/>
        </w:rPr>
        <w:t>todo</w:t>
      </w:r>
      <w:r>
        <w:rPr>
          <w:color w:val="0075BF"/>
          <w:spacing w:val="-7"/>
          <w:sz w:val="16"/>
        </w:rPr>
        <w:t xml:space="preserve"> </w:t>
      </w:r>
      <w:r>
        <w:rPr>
          <w:color w:val="0075BF"/>
          <w:sz w:val="16"/>
        </w:rPr>
        <w:t>tipo,</w:t>
      </w:r>
      <w:r>
        <w:rPr>
          <w:color w:val="0075BF"/>
          <w:spacing w:val="-7"/>
          <w:sz w:val="16"/>
        </w:rPr>
        <w:t xml:space="preserve"> </w:t>
      </w:r>
      <w:r>
        <w:rPr>
          <w:color w:val="0075BF"/>
          <w:sz w:val="16"/>
        </w:rPr>
        <w:t>sin</w:t>
      </w:r>
      <w:r>
        <w:rPr>
          <w:color w:val="0075BF"/>
          <w:spacing w:val="-7"/>
          <w:sz w:val="16"/>
        </w:rPr>
        <w:t xml:space="preserve"> </w:t>
      </w:r>
      <w:r>
        <w:rPr>
          <w:color w:val="0075BF"/>
          <w:sz w:val="16"/>
        </w:rPr>
        <w:t>consideración</w:t>
      </w:r>
      <w:r>
        <w:rPr>
          <w:color w:val="0075BF"/>
          <w:spacing w:val="-7"/>
          <w:sz w:val="16"/>
        </w:rPr>
        <w:t xml:space="preserve"> </w:t>
      </w:r>
      <w:r>
        <w:rPr>
          <w:color w:val="0075BF"/>
          <w:sz w:val="16"/>
        </w:rPr>
        <w:t>de</w:t>
      </w:r>
      <w:r>
        <w:rPr>
          <w:color w:val="0075BF"/>
          <w:spacing w:val="-7"/>
          <w:sz w:val="16"/>
        </w:rPr>
        <w:t xml:space="preserve"> </w:t>
      </w:r>
      <w:r>
        <w:rPr>
          <w:color w:val="0075BF"/>
          <w:sz w:val="16"/>
        </w:rPr>
        <w:t>fronteras,</w:t>
      </w:r>
      <w:r>
        <w:rPr>
          <w:color w:val="0075BF"/>
          <w:spacing w:val="-6"/>
          <w:sz w:val="16"/>
        </w:rPr>
        <w:t xml:space="preserve"> </w:t>
      </w:r>
      <w:r>
        <w:rPr>
          <w:color w:val="0075BF"/>
          <w:sz w:val="16"/>
        </w:rPr>
        <w:t>ya</w:t>
      </w:r>
      <w:r>
        <w:rPr>
          <w:color w:val="0075BF"/>
          <w:spacing w:val="-7"/>
          <w:sz w:val="16"/>
        </w:rPr>
        <w:t xml:space="preserve"> </w:t>
      </w:r>
      <w:r>
        <w:rPr>
          <w:color w:val="0075BF"/>
          <w:sz w:val="16"/>
        </w:rPr>
        <w:t>sea</w:t>
      </w:r>
      <w:r>
        <w:rPr>
          <w:color w:val="0075BF"/>
          <w:spacing w:val="-7"/>
          <w:sz w:val="16"/>
        </w:rPr>
        <w:t xml:space="preserve"> </w:t>
      </w:r>
      <w:r>
        <w:rPr>
          <w:color w:val="0075BF"/>
          <w:sz w:val="16"/>
        </w:rPr>
        <w:t>oralmente,</w:t>
      </w:r>
      <w:r>
        <w:rPr>
          <w:color w:val="0075BF"/>
          <w:spacing w:val="-6"/>
          <w:sz w:val="16"/>
        </w:rPr>
        <w:t xml:space="preserve"> </w:t>
      </w:r>
      <w:r>
        <w:rPr>
          <w:color w:val="0075BF"/>
          <w:sz w:val="16"/>
        </w:rPr>
        <w:t>por</w:t>
      </w:r>
      <w:r>
        <w:rPr>
          <w:color w:val="0075BF"/>
          <w:spacing w:val="-7"/>
          <w:sz w:val="16"/>
        </w:rPr>
        <w:t xml:space="preserve"> </w:t>
      </w:r>
      <w:r>
        <w:rPr>
          <w:color w:val="0075BF"/>
          <w:sz w:val="16"/>
        </w:rPr>
        <w:t>escrito</w:t>
      </w:r>
      <w:r>
        <w:rPr>
          <w:color w:val="0075BF"/>
          <w:spacing w:val="-7"/>
          <w:sz w:val="16"/>
        </w:rPr>
        <w:t xml:space="preserve"> </w:t>
      </w:r>
      <w:r>
        <w:rPr>
          <w:color w:val="0075BF"/>
          <w:sz w:val="16"/>
        </w:rPr>
        <w:t>o</w:t>
      </w:r>
      <w:r>
        <w:rPr>
          <w:color w:val="0075BF"/>
          <w:spacing w:val="-7"/>
          <w:sz w:val="16"/>
        </w:rPr>
        <w:t xml:space="preserve"> </w:t>
      </w:r>
      <w:r>
        <w:rPr>
          <w:color w:val="0075BF"/>
          <w:sz w:val="16"/>
        </w:rPr>
        <w:t>impresas,</w:t>
      </w:r>
      <w:r>
        <w:rPr>
          <w:color w:val="0075BF"/>
          <w:spacing w:val="-6"/>
          <w:sz w:val="16"/>
        </w:rPr>
        <w:t xml:space="preserve"> </w:t>
      </w:r>
      <w:r>
        <w:rPr>
          <w:color w:val="0075BF"/>
          <w:sz w:val="16"/>
        </w:rPr>
        <w:t>en</w:t>
      </w:r>
      <w:r>
        <w:rPr>
          <w:color w:val="0075BF"/>
          <w:spacing w:val="-7"/>
          <w:sz w:val="16"/>
        </w:rPr>
        <w:t xml:space="preserve"> </w:t>
      </w:r>
      <w:r>
        <w:rPr>
          <w:color w:val="0075BF"/>
          <w:sz w:val="16"/>
        </w:rPr>
        <w:t>forma artística o por cualquier otro medio de su elección.</w:t>
      </w:r>
    </w:p>
    <w:p w14:paraId="045C8F2C" w14:textId="77777777" w:rsidR="0014798C" w:rsidRDefault="004E1F0B">
      <w:pPr>
        <w:pStyle w:val="Prrafodelista"/>
        <w:numPr>
          <w:ilvl w:val="1"/>
          <w:numId w:val="9"/>
        </w:numPr>
        <w:tabs>
          <w:tab w:val="left" w:pos="1852"/>
          <w:tab w:val="left" w:pos="1962"/>
        </w:tabs>
        <w:spacing w:before="55" w:line="326" w:lineRule="auto"/>
        <w:ind w:left="1962" w:right="1576" w:hanging="284"/>
        <w:rPr>
          <w:sz w:val="16"/>
        </w:rPr>
      </w:pPr>
      <w:r>
        <w:rPr>
          <w:color w:val="0075BF"/>
          <w:sz w:val="16"/>
        </w:rPr>
        <w:t>El ejercicio de los derechos previstos en el apartado 2 de este artículo conlleva deberes y responsabilidades especiales.</w:t>
      </w:r>
      <w:r>
        <w:rPr>
          <w:color w:val="0075BF"/>
          <w:spacing w:val="-7"/>
          <w:sz w:val="16"/>
        </w:rPr>
        <w:t xml:space="preserve"> </w:t>
      </w:r>
      <w:r>
        <w:rPr>
          <w:color w:val="0075BF"/>
          <w:sz w:val="16"/>
        </w:rPr>
        <w:t>Podrá,</w:t>
      </w:r>
      <w:r>
        <w:rPr>
          <w:color w:val="0075BF"/>
          <w:spacing w:val="-8"/>
          <w:sz w:val="16"/>
        </w:rPr>
        <w:t xml:space="preserve"> </w:t>
      </w:r>
      <w:r>
        <w:rPr>
          <w:color w:val="0075BF"/>
          <w:sz w:val="16"/>
        </w:rPr>
        <w:t>por</w:t>
      </w:r>
      <w:r>
        <w:rPr>
          <w:color w:val="0075BF"/>
          <w:spacing w:val="-8"/>
          <w:sz w:val="16"/>
        </w:rPr>
        <w:t xml:space="preserve"> </w:t>
      </w:r>
      <w:r>
        <w:rPr>
          <w:color w:val="0075BF"/>
          <w:sz w:val="16"/>
        </w:rPr>
        <w:t>tanto,</w:t>
      </w:r>
      <w:r>
        <w:rPr>
          <w:color w:val="0075BF"/>
          <w:spacing w:val="-8"/>
          <w:sz w:val="16"/>
        </w:rPr>
        <w:t xml:space="preserve"> </w:t>
      </w:r>
      <w:r>
        <w:rPr>
          <w:color w:val="0075BF"/>
          <w:sz w:val="16"/>
        </w:rPr>
        <w:t>estar</w:t>
      </w:r>
      <w:r>
        <w:rPr>
          <w:color w:val="0075BF"/>
          <w:spacing w:val="-8"/>
          <w:sz w:val="16"/>
        </w:rPr>
        <w:t xml:space="preserve"> </w:t>
      </w:r>
      <w:r>
        <w:rPr>
          <w:color w:val="0075BF"/>
          <w:sz w:val="16"/>
        </w:rPr>
        <w:t>sujeto</w:t>
      </w:r>
      <w:r>
        <w:rPr>
          <w:color w:val="0075BF"/>
          <w:spacing w:val="-8"/>
          <w:sz w:val="16"/>
        </w:rPr>
        <w:t xml:space="preserve"> </w:t>
      </w:r>
      <w:r>
        <w:rPr>
          <w:color w:val="0075BF"/>
          <w:sz w:val="16"/>
        </w:rPr>
        <w:t>a</w:t>
      </w:r>
      <w:r>
        <w:rPr>
          <w:color w:val="0075BF"/>
          <w:spacing w:val="-8"/>
          <w:sz w:val="16"/>
        </w:rPr>
        <w:t xml:space="preserve"> </w:t>
      </w:r>
      <w:r>
        <w:rPr>
          <w:color w:val="0075BF"/>
          <w:sz w:val="16"/>
        </w:rPr>
        <w:t>determinadas</w:t>
      </w:r>
      <w:r>
        <w:rPr>
          <w:color w:val="0075BF"/>
          <w:spacing w:val="-8"/>
          <w:sz w:val="16"/>
        </w:rPr>
        <w:t xml:space="preserve"> </w:t>
      </w:r>
      <w:r>
        <w:rPr>
          <w:color w:val="0075BF"/>
          <w:sz w:val="16"/>
        </w:rPr>
        <w:t>restricciones,</w:t>
      </w:r>
      <w:r>
        <w:rPr>
          <w:color w:val="0075BF"/>
          <w:spacing w:val="-7"/>
          <w:sz w:val="16"/>
        </w:rPr>
        <w:t xml:space="preserve"> </w:t>
      </w:r>
      <w:r>
        <w:rPr>
          <w:color w:val="0075BF"/>
          <w:sz w:val="16"/>
        </w:rPr>
        <w:t>pero</w:t>
      </w:r>
      <w:r>
        <w:rPr>
          <w:color w:val="0075BF"/>
          <w:spacing w:val="-8"/>
          <w:sz w:val="16"/>
        </w:rPr>
        <w:t xml:space="preserve"> </w:t>
      </w:r>
      <w:r>
        <w:rPr>
          <w:color w:val="0075BF"/>
          <w:sz w:val="16"/>
        </w:rPr>
        <w:t>éstas</w:t>
      </w:r>
      <w:r>
        <w:rPr>
          <w:color w:val="0075BF"/>
          <w:spacing w:val="-8"/>
          <w:sz w:val="16"/>
        </w:rPr>
        <w:t xml:space="preserve"> </w:t>
      </w:r>
      <w:r>
        <w:rPr>
          <w:color w:val="0075BF"/>
          <w:sz w:val="16"/>
        </w:rPr>
        <w:t>sólo</w:t>
      </w:r>
      <w:r>
        <w:rPr>
          <w:color w:val="0075BF"/>
          <w:spacing w:val="-8"/>
          <w:sz w:val="16"/>
        </w:rPr>
        <w:t xml:space="preserve"> </w:t>
      </w:r>
      <w:r>
        <w:rPr>
          <w:color w:val="0075BF"/>
          <w:sz w:val="16"/>
        </w:rPr>
        <w:t>serán</w:t>
      </w:r>
      <w:r>
        <w:rPr>
          <w:color w:val="0075BF"/>
          <w:spacing w:val="-8"/>
          <w:sz w:val="16"/>
        </w:rPr>
        <w:t xml:space="preserve"> </w:t>
      </w:r>
      <w:r>
        <w:rPr>
          <w:color w:val="0075BF"/>
          <w:sz w:val="16"/>
        </w:rPr>
        <w:t>las</w:t>
      </w:r>
      <w:r>
        <w:rPr>
          <w:color w:val="0075BF"/>
          <w:spacing w:val="-8"/>
          <w:sz w:val="16"/>
        </w:rPr>
        <w:t xml:space="preserve"> </w:t>
      </w:r>
      <w:r>
        <w:rPr>
          <w:color w:val="0075BF"/>
          <w:sz w:val="16"/>
        </w:rPr>
        <w:t>previstas</w:t>
      </w:r>
      <w:r>
        <w:rPr>
          <w:color w:val="0075BF"/>
          <w:spacing w:val="-8"/>
          <w:sz w:val="16"/>
        </w:rPr>
        <w:t xml:space="preserve"> </w:t>
      </w:r>
      <w:r>
        <w:rPr>
          <w:color w:val="0075BF"/>
          <w:sz w:val="16"/>
        </w:rPr>
        <w:t>por</w:t>
      </w:r>
      <w:r>
        <w:rPr>
          <w:color w:val="0075BF"/>
          <w:spacing w:val="-8"/>
          <w:sz w:val="16"/>
        </w:rPr>
        <w:t xml:space="preserve"> </w:t>
      </w:r>
      <w:r>
        <w:rPr>
          <w:color w:val="0075BF"/>
          <w:sz w:val="16"/>
        </w:rPr>
        <w:t>la</w:t>
      </w:r>
      <w:r>
        <w:rPr>
          <w:color w:val="0075BF"/>
          <w:spacing w:val="-8"/>
          <w:sz w:val="16"/>
        </w:rPr>
        <w:t xml:space="preserve"> </w:t>
      </w:r>
      <w:r>
        <w:rPr>
          <w:color w:val="0075BF"/>
          <w:sz w:val="16"/>
        </w:rPr>
        <w:t>ley y sean necesarias:</w:t>
      </w:r>
    </w:p>
    <w:p w14:paraId="6DED3B3C" w14:textId="77777777" w:rsidR="0014798C" w:rsidRDefault="004E1F0B">
      <w:pPr>
        <w:pStyle w:val="Prrafodelista"/>
        <w:numPr>
          <w:ilvl w:val="2"/>
          <w:numId w:val="9"/>
        </w:numPr>
        <w:tabs>
          <w:tab w:val="left" w:pos="2214"/>
        </w:tabs>
        <w:spacing w:before="55"/>
        <w:ind w:hanging="237"/>
        <w:jc w:val="left"/>
        <w:rPr>
          <w:color w:val="0075BF"/>
          <w:sz w:val="16"/>
        </w:rPr>
      </w:pPr>
      <w:r>
        <w:rPr>
          <w:color w:val="0075BF"/>
          <w:sz w:val="16"/>
        </w:rPr>
        <w:t>Por</w:t>
      </w:r>
      <w:r>
        <w:rPr>
          <w:color w:val="0075BF"/>
          <w:spacing w:val="-7"/>
          <w:sz w:val="16"/>
        </w:rPr>
        <w:t xml:space="preserve"> </w:t>
      </w:r>
      <w:r>
        <w:rPr>
          <w:color w:val="0075BF"/>
          <w:sz w:val="16"/>
        </w:rPr>
        <w:t>respeto</w:t>
      </w:r>
      <w:r>
        <w:rPr>
          <w:color w:val="0075BF"/>
          <w:spacing w:val="-6"/>
          <w:sz w:val="16"/>
        </w:rPr>
        <w:t xml:space="preserve"> </w:t>
      </w:r>
      <w:r>
        <w:rPr>
          <w:color w:val="0075BF"/>
          <w:sz w:val="16"/>
        </w:rPr>
        <w:t>a</w:t>
      </w:r>
      <w:r>
        <w:rPr>
          <w:color w:val="0075BF"/>
          <w:spacing w:val="-6"/>
          <w:sz w:val="16"/>
        </w:rPr>
        <w:t xml:space="preserve"> </w:t>
      </w:r>
      <w:r>
        <w:rPr>
          <w:color w:val="0075BF"/>
          <w:sz w:val="16"/>
        </w:rPr>
        <w:t>los</w:t>
      </w:r>
      <w:r>
        <w:rPr>
          <w:color w:val="0075BF"/>
          <w:spacing w:val="-6"/>
          <w:sz w:val="16"/>
        </w:rPr>
        <w:t xml:space="preserve"> </w:t>
      </w:r>
      <w:r>
        <w:rPr>
          <w:color w:val="0075BF"/>
          <w:sz w:val="16"/>
        </w:rPr>
        <w:t>derechos</w:t>
      </w:r>
      <w:r>
        <w:rPr>
          <w:color w:val="0075BF"/>
          <w:spacing w:val="-6"/>
          <w:sz w:val="16"/>
        </w:rPr>
        <w:t xml:space="preserve"> </w:t>
      </w:r>
      <w:r>
        <w:rPr>
          <w:color w:val="0075BF"/>
          <w:sz w:val="16"/>
        </w:rPr>
        <w:t>o</w:t>
      </w:r>
      <w:r>
        <w:rPr>
          <w:color w:val="0075BF"/>
          <w:spacing w:val="-6"/>
          <w:sz w:val="16"/>
        </w:rPr>
        <w:t xml:space="preserve"> </w:t>
      </w:r>
      <w:r>
        <w:rPr>
          <w:color w:val="0075BF"/>
          <w:sz w:val="16"/>
        </w:rPr>
        <w:t>la</w:t>
      </w:r>
      <w:r>
        <w:rPr>
          <w:color w:val="0075BF"/>
          <w:spacing w:val="-6"/>
          <w:sz w:val="16"/>
        </w:rPr>
        <w:t xml:space="preserve"> </w:t>
      </w:r>
      <w:r>
        <w:rPr>
          <w:color w:val="0075BF"/>
          <w:sz w:val="16"/>
        </w:rPr>
        <w:t>reputación</w:t>
      </w:r>
      <w:r>
        <w:rPr>
          <w:color w:val="0075BF"/>
          <w:spacing w:val="-6"/>
          <w:sz w:val="16"/>
        </w:rPr>
        <w:t xml:space="preserve"> </w:t>
      </w:r>
      <w:r>
        <w:rPr>
          <w:color w:val="0075BF"/>
          <w:sz w:val="16"/>
        </w:rPr>
        <w:t>de</w:t>
      </w:r>
      <w:r>
        <w:rPr>
          <w:color w:val="0075BF"/>
          <w:spacing w:val="-6"/>
          <w:sz w:val="16"/>
        </w:rPr>
        <w:t xml:space="preserve"> </w:t>
      </w:r>
      <w:r>
        <w:rPr>
          <w:color w:val="0075BF"/>
          <w:spacing w:val="-2"/>
          <w:sz w:val="16"/>
        </w:rPr>
        <w:t>otros;</w:t>
      </w:r>
    </w:p>
    <w:p w14:paraId="41066C1A" w14:textId="77777777" w:rsidR="0014798C" w:rsidRDefault="004E1F0B">
      <w:pPr>
        <w:pStyle w:val="Prrafodelista"/>
        <w:numPr>
          <w:ilvl w:val="1"/>
          <w:numId w:val="68"/>
        </w:numPr>
        <w:tabs>
          <w:tab w:val="left" w:pos="2160"/>
          <w:tab w:val="left" w:pos="2250"/>
        </w:tabs>
        <w:spacing w:before="125" w:line="268" w:lineRule="auto"/>
        <w:ind w:left="2250" w:right="3673" w:hanging="274"/>
        <w:jc w:val="left"/>
        <w:rPr>
          <w:color w:val="0075BF"/>
          <w:sz w:val="16"/>
        </w:rPr>
      </w:pPr>
      <w:r>
        <w:rPr>
          <w:color w:val="0075BF"/>
          <w:sz w:val="16"/>
        </w:rPr>
        <w:t>Para</w:t>
      </w:r>
      <w:r>
        <w:rPr>
          <w:color w:val="0075BF"/>
          <w:spacing w:val="-7"/>
          <w:sz w:val="16"/>
        </w:rPr>
        <w:t xml:space="preserve"> </w:t>
      </w:r>
      <w:r>
        <w:rPr>
          <w:color w:val="0075BF"/>
          <w:sz w:val="16"/>
        </w:rPr>
        <w:t>la</w:t>
      </w:r>
      <w:r>
        <w:rPr>
          <w:color w:val="0075BF"/>
          <w:spacing w:val="-7"/>
          <w:sz w:val="16"/>
        </w:rPr>
        <w:t xml:space="preserve"> </w:t>
      </w:r>
      <w:r>
        <w:rPr>
          <w:color w:val="0075BF"/>
          <w:sz w:val="16"/>
        </w:rPr>
        <w:t>protección</w:t>
      </w:r>
      <w:r>
        <w:rPr>
          <w:color w:val="0075BF"/>
          <w:spacing w:val="-7"/>
          <w:sz w:val="16"/>
        </w:rPr>
        <w:t xml:space="preserve"> </w:t>
      </w:r>
      <w:r>
        <w:rPr>
          <w:color w:val="0075BF"/>
          <w:sz w:val="16"/>
        </w:rPr>
        <w:t>de</w:t>
      </w:r>
      <w:r>
        <w:rPr>
          <w:color w:val="0075BF"/>
          <w:spacing w:val="-8"/>
          <w:sz w:val="16"/>
        </w:rPr>
        <w:t xml:space="preserve"> </w:t>
      </w:r>
      <w:r>
        <w:rPr>
          <w:color w:val="0075BF"/>
          <w:sz w:val="16"/>
        </w:rPr>
        <w:t>la</w:t>
      </w:r>
      <w:r>
        <w:rPr>
          <w:color w:val="0075BF"/>
          <w:spacing w:val="-7"/>
          <w:sz w:val="16"/>
        </w:rPr>
        <w:t xml:space="preserve"> </w:t>
      </w:r>
      <w:r>
        <w:rPr>
          <w:color w:val="0075BF"/>
          <w:sz w:val="16"/>
        </w:rPr>
        <w:t>seguridad</w:t>
      </w:r>
      <w:r>
        <w:rPr>
          <w:color w:val="0075BF"/>
          <w:spacing w:val="-7"/>
          <w:sz w:val="16"/>
        </w:rPr>
        <w:t xml:space="preserve"> </w:t>
      </w:r>
      <w:r>
        <w:rPr>
          <w:color w:val="0075BF"/>
          <w:sz w:val="16"/>
        </w:rPr>
        <w:t>nacional,</w:t>
      </w:r>
      <w:r>
        <w:rPr>
          <w:color w:val="0075BF"/>
          <w:spacing w:val="-7"/>
          <w:sz w:val="16"/>
        </w:rPr>
        <w:t xml:space="preserve"> </w:t>
      </w:r>
      <w:r>
        <w:rPr>
          <w:color w:val="0075BF"/>
          <w:sz w:val="16"/>
        </w:rPr>
        <w:t>del</w:t>
      </w:r>
      <w:r>
        <w:rPr>
          <w:color w:val="0075BF"/>
          <w:spacing w:val="-7"/>
          <w:sz w:val="16"/>
        </w:rPr>
        <w:t xml:space="preserve"> </w:t>
      </w:r>
      <w:r>
        <w:rPr>
          <w:color w:val="0075BF"/>
          <w:sz w:val="16"/>
        </w:rPr>
        <w:t>orden</w:t>
      </w:r>
      <w:r>
        <w:rPr>
          <w:color w:val="0075BF"/>
          <w:spacing w:val="-7"/>
          <w:sz w:val="16"/>
        </w:rPr>
        <w:t xml:space="preserve"> </w:t>
      </w:r>
      <w:r>
        <w:rPr>
          <w:color w:val="0075BF"/>
          <w:sz w:val="16"/>
        </w:rPr>
        <w:t>público</w:t>
      </w:r>
      <w:r>
        <w:rPr>
          <w:color w:val="0075BF"/>
          <w:spacing w:val="-7"/>
          <w:sz w:val="16"/>
        </w:rPr>
        <w:t xml:space="preserve"> </w:t>
      </w:r>
      <w:r>
        <w:rPr>
          <w:color w:val="0075BF"/>
          <w:sz w:val="16"/>
        </w:rPr>
        <w:t>o</w:t>
      </w:r>
      <w:r>
        <w:rPr>
          <w:color w:val="0075BF"/>
          <w:spacing w:val="-8"/>
          <w:sz w:val="16"/>
        </w:rPr>
        <w:t xml:space="preserve"> </w:t>
      </w:r>
      <w:r>
        <w:rPr>
          <w:color w:val="0075BF"/>
          <w:sz w:val="16"/>
        </w:rPr>
        <w:t>de</w:t>
      </w:r>
      <w:r>
        <w:rPr>
          <w:color w:val="0075BF"/>
          <w:spacing w:val="-7"/>
          <w:sz w:val="16"/>
        </w:rPr>
        <w:t xml:space="preserve"> </w:t>
      </w:r>
      <w:r>
        <w:rPr>
          <w:color w:val="0075BF"/>
          <w:sz w:val="16"/>
        </w:rPr>
        <w:t>la</w:t>
      </w:r>
      <w:r>
        <w:rPr>
          <w:color w:val="0075BF"/>
          <w:spacing w:val="-7"/>
          <w:sz w:val="16"/>
        </w:rPr>
        <w:t xml:space="preserve"> </w:t>
      </w:r>
      <w:r>
        <w:rPr>
          <w:color w:val="0075BF"/>
          <w:sz w:val="16"/>
        </w:rPr>
        <w:t>salud</w:t>
      </w:r>
      <w:r>
        <w:rPr>
          <w:color w:val="0075BF"/>
          <w:spacing w:val="-7"/>
          <w:sz w:val="16"/>
        </w:rPr>
        <w:t xml:space="preserve"> </w:t>
      </w:r>
      <w:r>
        <w:rPr>
          <w:color w:val="0075BF"/>
          <w:sz w:val="16"/>
        </w:rPr>
        <w:t>pública. o la moral.</w:t>
      </w:r>
    </w:p>
    <w:p w14:paraId="2E6DEC4D" w14:textId="77777777" w:rsidR="0014798C" w:rsidRDefault="0014798C">
      <w:pPr>
        <w:pStyle w:val="Textoindependiente"/>
        <w:spacing w:before="14"/>
      </w:pPr>
    </w:p>
    <w:p w14:paraId="4A0F0B0E" w14:textId="77777777" w:rsidR="0014798C" w:rsidRDefault="004E1F0B">
      <w:pPr>
        <w:pStyle w:val="Textoindependiente"/>
        <w:ind w:left="1107"/>
      </w:pPr>
      <w:r>
        <w:t>En</w:t>
      </w:r>
      <w:r>
        <w:rPr>
          <w:spacing w:val="3"/>
        </w:rPr>
        <w:t xml:space="preserve"> </w:t>
      </w:r>
      <w:r>
        <w:t>lo</w:t>
      </w:r>
      <w:r>
        <w:rPr>
          <w:spacing w:val="4"/>
        </w:rPr>
        <w:t xml:space="preserve"> </w:t>
      </w:r>
      <w:r>
        <w:t>que</w:t>
      </w:r>
      <w:r>
        <w:rPr>
          <w:spacing w:val="4"/>
        </w:rPr>
        <w:t xml:space="preserve"> </w:t>
      </w:r>
      <w:r>
        <w:t>respecta</w:t>
      </w:r>
      <w:r>
        <w:rPr>
          <w:spacing w:val="3"/>
        </w:rPr>
        <w:t xml:space="preserve"> </w:t>
      </w:r>
      <w:r>
        <w:t>a</w:t>
      </w:r>
      <w:r>
        <w:rPr>
          <w:spacing w:val="4"/>
        </w:rPr>
        <w:t xml:space="preserve"> </w:t>
      </w:r>
      <w:r>
        <w:t>los</w:t>
      </w:r>
      <w:r>
        <w:rPr>
          <w:spacing w:val="4"/>
        </w:rPr>
        <w:t xml:space="preserve"> </w:t>
      </w:r>
      <w:r>
        <w:t>derechos</w:t>
      </w:r>
      <w:r>
        <w:rPr>
          <w:spacing w:val="4"/>
        </w:rPr>
        <w:t xml:space="preserve"> </w:t>
      </w:r>
      <w:r>
        <w:t>a</w:t>
      </w:r>
      <w:r>
        <w:rPr>
          <w:spacing w:val="3"/>
        </w:rPr>
        <w:t xml:space="preserve"> </w:t>
      </w:r>
      <w:r>
        <w:t>la</w:t>
      </w:r>
      <w:r>
        <w:rPr>
          <w:spacing w:val="4"/>
        </w:rPr>
        <w:t xml:space="preserve"> </w:t>
      </w:r>
      <w:r>
        <w:t>libertad</w:t>
      </w:r>
      <w:r>
        <w:rPr>
          <w:spacing w:val="4"/>
        </w:rPr>
        <w:t xml:space="preserve"> </w:t>
      </w:r>
      <w:r>
        <w:t>de</w:t>
      </w:r>
      <w:r>
        <w:rPr>
          <w:spacing w:val="3"/>
        </w:rPr>
        <w:t xml:space="preserve"> </w:t>
      </w:r>
      <w:r>
        <w:t>opinión</w:t>
      </w:r>
      <w:r>
        <w:rPr>
          <w:spacing w:val="4"/>
        </w:rPr>
        <w:t xml:space="preserve"> </w:t>
      </w:r>
      <w:r>
        <w:t>y</w:t>
      </w:r>
      <w:r>
        <w:rPr>
          <w:spacing w:val="4"/>
        </w:rPr>
        <w:t xml:space="preserve"> </w:t>
      </w:r>
      <w:r>
        <w:t>de</w:t>
      </w:r>
      <w:r>
        <w:rPr>
          <w:spacing w:val="4"/>
        </w:rPr>
        <w:t xml:space="preserve"> </w:t>
      </w:r>
      <w:r>
        <w:t>expresión,</w:t>
      </w:r>
      <w:r>
        <w:rPr>
          <w:spacing w:val="4"/>
        </w:rPr>
        <w:t xml:space="preserve"> </w:t>
      </w:r>
      <w:r>
        <w:t>la</w:t>
      </w:r>
      <w:r>
        <w:rPr>
          <w:spacing w:val="4"/>
        </w:rPr>
        <w:t xml:space="preserve"> </w:t>
      </w:r>
      <w:r>
        <w:t>libertad</w:t>
      </w:r>
      <w:r>
        <w:rPr>
          <w:spacing w:val="4"/>
        </w:rPr>
        <w:t xml:space="preserve"> </w:t>
      </w:r>
      <w:r>
        <w:t>de</w:t>
      </w:r>
      <w:r>
        <w:rPr>
          <w:spacing w:val="4"/>
        </w:rPr>
        <w:t xml:space="preserve"> </w:t>
      </w:r>
      <w:r>
        <w:t>opinión</w:t>
      </w:r>
      <w:r>
        <w:rPr>
          <w:spacing w:val="3"/>
        </w:rPr>
        <w:t xml:space="preserve"> </w:t>
      </w:r>
      <w:r>
        <w:t>es</w:t>
      </w:r>
      <w:r>
        <w:rPr>
          <w:spacing w:val="4"/>
        </w:rPr>
        <w:t xml:space="preserve"> </w:t>
      </w:r>
      <w:r>
        <w:t>absoluta.1144</w:t>
      </w:r>
      <w:r>
        <w:rPr>
          <w:spacing w:val="4"/>
        </w:rPr>
        <w:t xml:space="preserve"> </w:t>
      </w:r>
      <w:r>
        <w:t>No</w:t>
      </w:r>
      <w:r>
        <w:rPr>
          <w:spacing w:val="4"/>
        </w:rPr>
        <w:t xml:space="preserve"> </w:t>
      </w:r>
      <w:r>
        <w:rPr>
          <w:spacing w:val="-2"/>
        </w:rPr>
        <w:t>puede</w:t>
      </w:r>
    </w:p>
    <w:p w14:paraId="3E28040F" w14:textId="77777777" w:rsidR="0014798C" w:rsidRDefault="004E1F0B">
      <w:pPr>
        <w:pStyle w:val="Textoindependiente"/>
        <w:spacing w:before="67" w:line="271" w:lineRule="auto"/>
        <w:ind w:left="1108" w:right="1335" w:firstLine="3"/>
      </w:pPr>
      <w:r>
        <w:t>haber ninguna restricción (legal o de otro tipo) únicamente para mantener una opinión. La libertad de expresión, por el contrario,</w:t>
      </w:r>
      <w:r>
        <w:rPr>
          <w:spacing w:val="40"/>
        </w:rPr>
        <w:t xml:space="preserve"> </w:t>
      </w:r>
      <w:r>
        <w:t>no es absoluta.1145</w:t>
      </w:r>
    </w:p>
    <w:p w14:paraId="2030837A" w14:textId="77777777" w:rsidR="0014798C" w:rsidRDefault="0014798C">
      <w:pPr>
        <w:pStyle w:val="Textoindependiente"/>
        <w:spacing w:before="69"/>
      </w:pPr>
    </w:p>
    <w:p w14:paraId="00309280" w14:textId="77777777" w:rsidR="0014798C" w:rsidRDefault="004E1F0B">
      <w:pPr>
        <w:pStyle w:val="Textoindependiente"/>
        <w:spacing w:line="326" w:lineRule="auto"/>
        <w:ind w:left="1107" w:right="1272" w:hanging="1"/>
      </w:pPr>
      <w:r>
        <w:t>Como</w:t>
      </w:r>
      <w:r>
        <w:rPr>
          <w:spacing w:val="-2"/>
        </w:rPr>
        <w:t xml:space="preserve"> </w:t>
      </w:r>
      <w:r>
        <w:t>resultado</w:t>
      </w:r>
      <w:r>
        <w:rPr>
          <w:spacing w:val="-2"/>
        </w:rPr>
        <w:t xml:space="preserve"> </w:t>
      </w:r>
      <w:r>
        <w:t>del</w:t>
      </w:r>
      <w:r>
        <w:rPr>
          <w:spacing w:val="-2"/>
        </w:rPr>
        <w:t xml:space="preserve"> </w:t>
      </w:r>
      <w:r>
        <w:t>artículo</w:t>
      </w:r>
      <w:r>
        <w:rPr>
          <w:spacing w:val="-2"/>
        </w:rPr>
        <w:t xml:space="preserve"> </w:t>
      </w:r>
      <w:r>
        <w:t>19</w:t>
      </w:r>
      <w:r>
        <w:rPr>
          <w:spacing w:val="-2"/>
        </w:rPr>
        <w:t xml:space="preserve"> </w:t>
      </w:r>
      <w:r>
        <w:t>(3)</w:t>
      </w:r>
      <w:r>
        <w:rPr>
          <w:spacing w:val="-2"/>
        </w:rPr>
        <w:t xml:space="preserve"> </w:t>
      </w:r>
      <w:r>
        <w:t>del</w:t>
      </w:r>
      <w:r>
        <w:rPr>
          <w:spacing w:val="-2"/>
        </w:rPr>
        <w:t xml:space="preserve"> </w:t>
      </w:r>
      <w:r>
        <w:t>Pacto</w:t>
      </w:r>
      <w:r>
        <w:rPr>
          <w:spacing w:val="-2"/>
        </w:rPr>
        <w:t xml:space="preserve"> </w:t>
      </w:r>
      <w:r>
        <w:t>Internacional</w:t>
      </w:r>
      <w:r>
        <w:rPr>
          <w:spacing w:val="-2"/>
        </w:rPr>
        <w:t xml:space="preserve"> </w:t>
      </w:r>
      <w:r>
        <w:t>de</w:t>
      </w:r>
      <w:r>
        <w:rPr>
          <w:spacing w:val="-2"/>
        </w:rPr>
        <w:t xml:space="preserve"> </w:t>
      </w:r>
      <w:r>
        <w:t>Derechos</w:t>
      </w:r>
      <w:r>
        <w:rPr>
          <w:spacing w:val="-2"/>
        </w:rPr>
        <w:t xml:space="preserve"> </w:t>
      </w:r>
      <w:r>
        <w:t>Civiles</w:t>
      </w:r>
      <w:r>
        <w:rPr>
          <w:spacing w:val="-2"/>
        </w:rPr>
        <w:t xml:space="preserve"> </w:t>
      </w:r>
      <w:r>
        <w:t>y</w:t>
      </w:r>
      <w:r>
        <w:rPr>
          <w:spacing w:val="-2"/>
        </w:rPr>
        <w:t xml:space="preserve"> </w:t>
      </w:r>
      <w:r>
        <w:t>Políticos,</w:t>
      </w:r>
      <w:r>
        <w:rPr>
          <w:spacing w:val="-2"/>
        </w:rPr>
        <w:t xml:space="preserve"> </w:t>
      </w:r>
      <w:r>
        <w:t>el</w:t>
      </w:r>
      <w:r>
        <w:rPr>
          <w:spacing w:val="-2"/>
        </w:rPr>
        <w:t xml:space="preserve"> </w:t>
      </w:r>
      <w:r>
        <w:t>derecho</w:t>
      </w:r>
      <w:r>
        <w:rPr>
          <w:spacing w:val="-2"/>
        </w:rPr>
        <w:t xml:space="preserve"> </w:t>
      </w:r>
      <w:r>
        <w:t>a</w:t>
      </w:r>
      <w:r>
        <w:rPr>
          <w:spacing w:val="-2"/>
        </w:rPr>
        <w:t xml:space="preserve"> </w:t>
      </w:r>
      <w:r>
        <w:t>la</w:t>
      </w:r>
      <w:r>
        <w:rPr>
          <w:spacing w:val="-2"/>
        </w:rPr>
        <w:t xml:space="preserve"> </w:t>
      </w:r>
      <w:r>
        <w:t>libertad</w:t>
      </w:r>
      <w:r>
        <w:rPr>
          <w:spacing w:val="-2"/>
        </w:rPr>
        <w:t xml:space="preserve"> </w:t>
      </w:r>
      <w:r>
        <w:t>de</w:t>
      </w:r>
      <w:r>
        <w:rPr>
          <w:spacing w:val="-2"/>
        </w:rPr>
        <w:t xml:space="preserve"> </w:t>
      </w:r>
      <w:r>
        <w:t>expresión</w:t>
      </w:r>
      <w:r>
        <w:rPr>
          <w:spacing w:val="-2"/>
        </w:rPr>
        <w:t xml:space="preserve"> </w:t>
      </w:r>
      <w:r>
        <w:t>es un</w:t>
      </w:r>
      <w:r>
        <w:rPr>
          <w:spacing w:val="-2"/>
        </w:rPr>
        <w:t xml:space="preserve"> </w:t>
      </w:r>
      <w:r>
        <w:t>derecho</w:t>
      </w:r>
      <w:r>
        <w:rPr>
          <w:spacing w:val="-2"/>
        </w:rPr>
        <w:t xml:space="preserve"> </w:t>
      </w:r>
      <w:r>
        <w:t>calificado</w:t>
      </w:r>
      <w:r>
        <w:rPr>
          <w:spacing w:val="-2"/>
        </w:rPr>
        <w:t xml:space="preserve"> </w:t>
      </w:r>
      <w:r>
        <w:t>que</w:t>
      </w:r>
      <w:r>
        <w:rPr>
          <w:spacing w:val="-2"/>
        </w:rPr>
        <w:t xml:space="preserve"> </w:t>
      </w:r>
      <w:r>
        <w:t>puede</w:t>
      </w:r>
      <w:r>
        <w:rPr>
          <w:spacing w:val="-2"/>
        </w:rPr>
        <w:t xml:space="preserve"> </w:t>
      </w:r>
      <w:r>
        <w:t>limitarse</w:t>
      </w:r>
      <w:r>
        <w:rPr>
          <w:spacing w:val="-2"/>
        </w:rPr>
        <w:t xml:space="preserve"> </w:t>
      </w:r>
      <w:r>
        <w:t>por</w:t>
      </w:r>
      <w:r>
        <w:rPr>
          <w:spacing w:val="-2"/>
        </w:rPr>
        <w:t xml:space="preserve"> </w:t>
      </w:r>
      <w:r>
        <w:t>determinadas</w:t>
      </w:r>
      <w:r>
        <w:rPr>
          <w:spacing w:val="-2"/>
        </w:rPr>
        <w:t xml:space="preserve"> </w:t>
      </w:r>
      <w:r>
        <w:t>restricciones.</w:t>
      </w:r>
      <w:r>
        <w:rPr>
          <w:spacing w:val="-1"/>
        </w:rPr>
        <w:t xml:space="preserve"> </w:t>
      </w:r>
      <w:r>
        <w:t>Al</w:t>
      </w:r>
      <w:r>
        <w:rPr>
          <w:spacing w:val="-2"/>
        </w:rPr>
        <w:t xml:space="preserve"> </w:t>
      </w:r>
      <w:r>
        <w:t>interpretar</w:t>
      </w:r>
      <w:r>
        <w:rPr>
          <w:spacing w:val="-2"/>
        </w:rPr>
        <w:t xml:space="preserve"> </w:t>
      </w:r>
      <w:r>
        <w:t>los</w:t>
      </w:r>
      <w:r>
        <w:rPr>
          <w:spacing w:val="-2"/>
        </w:rPr>
        <w:t xml:space="preserve"> </w:t>
      </w:r>
      <w:r>
        <w:t>requisitos</w:t>
      </w:r>
      <w:r>
        <w:rPr>
          <w:spacing w:val="-2"/>
        </w:rPr>
        <w:t xml:space="preserve"> </w:t>
      </w:r>
      <w:r>
        <w:t>del</w:t>
      </w:r>
      <w:r>
        <w:rPr>
          <w:spacing w:val="-2"/>
        </w:rPr>
        <w:t xml:space="preserve"> </w:t>
      </w:r>
      <w:r>
        <w:t>artículo</w:t>
      </w:r>
      <w:r>
        <w:rPr>
          <w:spacing w:val="-2"/>
        </w:rPr>
        <w:t xml:space="preserve"> </w:t>
      </w:r>
      <w:r>
        <w:t>19</w:t>
      </w:r>
      <w:r>
        <w:rPr>
          <w:spacing w:val="-2"/>
        </w:rPr>
        <w:t xml:space="preserve"> </w:t>
      </w:r>
      <w:r>
        <w:t>(3),</w:t>
      </w:r>
      <w:r>
        <w:rPr>
          <w:spacing w:val="-2"/>
        </w:rPr>
        <w:t xml:space="preserve"> </w:t>
      </w:r>
      <w:r>
        <w:t>el</w:t>
      </w:r>
      <w:r>
        <w:rPr>
          <w:spacing w:val="-2"/>
        </w:rPr>
        <w:t xml:space="preserve"> </w:t>
      </w:r>
      <w:r>
        <w:t>Comité de</w:t>
      </w:r>
      <w:r>
        <w:rPr>
          <w:spacing w:val="-3"/>
        </w:rPr>
        <w:t xml:space="preserve"> </w:t>
      </w:r>
      <w:r>
        <w:t>Derechos</w:t>
      </w:r>
      <w:r>
        <w:rPr>
          <w:spacing w:val="-3"/>
        </w:rPr>
        <w:t xml:space="preserve"> </w:t>
      </w:r>
      <w:r>
        <w:t>Humanos</w:t>
      </w:r>
      <w:r>
        <w:rPr>
          <w:spacing w:val="-3"/>
        </w:rPr>
        <w:t xml:space="preserve"> </w:t>
      </w:r>
      <w:r>
        <w:t>ha</w:t>
      </w:r>
      <w:r>
        <w:rPr>
          <w:spacing w:val="-3"/>
        </w:rPr>
        <w:t xml:space="preserve"> </w:t>
      </w:r>
      <w:r>
        <w:t>declarado</w:t>
      </w:r>
      <w:r>
        <w:rPr>
          <w:spacing w:val="-3"/>
        </w:rPr>
        <w:t xml:space="preserve"> </w:t>
      </w:r>
      <w:r>
        <w:t>que</w:t>
      </w:r>
      <w:r>
        <w:rPr>
          <w:spacing w:val="-3"/>
        </w:rPr>
        <w:t xml:space="preserve"> </w:t>
      </w:r>
      <w:r>
        <w:t>estas</w:t>
      </w:r>
      <w:r>
        <w:rPr>
          <w:spacing w:val="-3"/>
        </w:rPr>
        <w:t xml:space="preserve"> </w:t>
      </w:r>
      <w:r>
        <w:t>restricciones</w:t>
      </w:r>
      <w:r>
        <w:rPr>
          <w:spacing w:val="-3"/>
        </w:rPr>
        <w:t xml:space="preserve"> </w:t>
      </w:r>
      <w:r>
        <w:t>deben</w:t>
      </w:r>
      <w:r>
        <w:rPr>
          <w:spacing w:val="-3"/>
        </w:rPr>
        <w:t xml:space="preserve"> </w:t>
      </w:r>
      <w:r>
        <w:t>interpretarse</w:t>
      </w:r>
      <w:r>
        <w:rPr>
          <w:spacing w:val="-3"/>
        </w:rPr>
        <w:t xml:space="preserve"> </w:t>
      </w:r>
      <w:r>
        <w:t>de</w:t>
      </w:r>
      <w:r>
        <w:rPr>
          <w:spacing w:val="-3"/>
        </w:rPr>
        <w:t xml:space="preserve"> </w:t>
      </w:r>
      <w:r>
        <w:t>manera</w:t>
      </w:r>
      <w:r>
        <w:rPr>
          <w:spacing w:val="-3"/>
        </w:rPr>
        <w:t xml:space="preserve"> </w:t>
      </w:r>
      <w:r>
        <w:t>restrictiva</w:t>
      </w:r>
      <w:r>
        <w:rPr>
          <w:spacing w:val="-3"/>
        </w:rPr>
        <w:t xml:space="preserve"> </w:t>
      </w:r>
      <w:r>
        <w:t>y</w:t>
      </w:r>
      <w:r>
        <w:rPr>
          <w:spacing w:val="-3"/>
        </w:rPr>
        <w:t xml:space="preserve"> </w:t>
      </w:r>
      <w:r>
        <w:t>ha</w:t>
      </w:r>
      <w:r>
        <w:rPr>
          <w:spacing w:val="-3"/>
        </w:rPr>
        <w:t xml:space="preserve"> </w:t>
      </w:r>
      <w:r>
        <w:t>sostenido</w:t>
      </w:r>
      <w:r>
        <w:rPr>
          <w:spacing w:val="-3"/>
        </w:rPr>
        <w:t xml:space="preserve"> </w:t>
      </w:r>
      <w:r>
        <w:t>que</w:t>
      </w:r>
      <w:r>
        <w:rPr>
          <w:spacing w:val="-3"/>
        </w:rPr>
        <w:t xml:space="preserve"> </w:t>
      </w:r>
      <w:r>
        <w:t>“cuando un</w:t>
      </w:r>
      <w:r>
        <w:rPr>
          <w:spacing w:val="-1"/>
        </w:rPr>
        <w:t xml:space="preserve"> </w:t>
      </w:r>
      <w:r>
        <w:t>Estado</w:t>
      </w:r>
      <w:r>
        <w:rPr>
          <w:spacing w:val="-1"/>
        </w:rPr>
        <w:t xml:space="preserve"> </w:t>
      </w:r>
      <w:r>
        <w:t>parte</w:t>
      </w:r>
      <w:r>
        <w:rPr>
          <w:spacing w:val="-1"/>
        </w:rPr>
        <w:t xml:space="preserve"> </w:t>
      </w:r>
      <w:r>
        <w:t>impone</w:t>
      </w:r>
      <w:r>
        <w:rPr>
          <w:spacing w:val="-1"/>
        </w:rPr>
        <w:t xml:space="preserve"> </w:t>
      </w:r>
      <w:r>
        <w:t>restricciones</w:t>
      </w:r>
      <w:r>
        <w:rPr>
          <w:spacing w:val="-1"/>
        </w:rPr>
        <w:t xml:space="preserve"> </w:t>
      </w:r>
      <w:r>
        <w:t>al</w:t>
      </w:r>
      <w:r>
        <w:rPr>
          <w:spacing w:val="-1"/>
        </w:rPr>
        <w:t xml:space="preserve"> </w:t>
      </w:r>
      <w:r>
        <w:t>ejercicio</w:t>
      </w:r>
      <w:r>
        <w:rPr>
          <w:spacing w:val="-1"/>
        </w:rPr>
        <w:t xml:space="preserve"> </w:t>
      </w:r>
      <w:r>
        <w:t>de</w:t>
      </w:r>
      <w:r>
        <w:rPr>
          <w:spacing w:val="-1"/>
        </w:rPr>
        <w:t xml:space="preserve"> </w:t>
      </w:r>
      <w:r>
        <w:t>la</w:t>
      </w:r>
      <w:r>
        <w:rPr>
          <w:spacing w:val="-1"/>
        </w:rPr>
        <w:t xml:space="preserve"> </w:t>
      </w:r>
      <w:r>
        <w:t>libertad</w:t>
      </w:r>
      <w:r>
        <w:rPr>
          <w:spacing w:val="-1"/>
        </w:rPr>
        <w:t xml:space="preserve"> </w:t>
      </w:r>
      <w:r>
        <w:t>de</w:t>
      </w:r>
      <w:r>
        <w:rPr>
          <w:spacing w:val="-1"/>
        </w:rPr>
        <w:t xml:space="preserve"> </w:t>
      </w:r>
      <w:r>
        <w:t>expresión, éstas</w:t>
      </w:r>
      <w:r>
        <w:rPr>
          <w:spacing w:val="-1"/>
        </w:rPr>
        <w:t xml:space="preserve"> </w:t>
      </w:r>
      <w:r>
        <w:t>no</w:t>
      </w:r>
      <w:r>
        <w:rPr>
          <w:spacing w:val="-1"/>
        </w:rPr>
        <w:t xml:space="preserve"> </w:t>
      </w:r>
      <w:r>
        <w:t>pueden</w:t>
      </w:r>
      <w:r>
        <w:rPr>
          <w:spacing w:val="-1"/>
        </w:rPr>
        <w:t xml:space="preserve"> </w:t>
      </w:r>
      <w:r>
        <w:t>poner</w:t>
      </w:r>
      <w:r>
        <w:rPr>
          <w:spacing w:val="-1"/>
        </w:rPr>
        <w:t xml:space="preserve"> </w:t>
      </w:r>
      <w:r>
        <w:t>en</w:t>
      </w:r>
      <w:r>
        <w:rPr>
          <w:spacing w:val="-1"/>
        </w:rPr>
        <w:t xml:space="preserve"> </w:t>
      </w:r>
      <w:r>
        <w:t>peligro</w:t>
      </w:r>
      <w:r>
        <w:rPr>
          <w:spacing w:val="-1"/>
        </w:rPr>
        <w:t xml:space="preserve"> </w:t>
      </w:r>
      <w:r>
        <w:t>la</w:t>
      </w:r>
      <w:r>
        <w:rPr>
          <w:spacing w:val="-1"/>
        </w:rPr>
        <w:t xml:space="preserve"> </w:t>
      </w:r>
      <w:r>
        <w:t>libertad</w:t>
      </w:r>
      <w:r>
        <w:rPr>
          <w:spacing w:val="-1"/>
        </w:rPr>
        <w:t xml:space="preserve"> </w:t>
      </w:r>
      <w:r>
        <w:t>de expresión”.</w:t>
      </w:r>
      <w:r>
        <w:rPr>
          <w:spacing w:val="-7"/>
        </w:rPr>
        <w:t xml:space="preserve"> </w:t>
      </w:r>
      <w:r>
        <w:t>derecho</w:t>
      </w:r>
      <w:r>
        <w:rPr>
          <w:spacing w:val="-7"/>
        </w:rPr>
        <w:t xml:space="preserve"> </w:t>
      </w:r>
      <w:r>
        <w:t>mismo”.1146</w:t>
      </w:r>
      <w:r>
        <w:rPr>
          <w:spacing w:val="-7"/>
        </w:rPr>
        <w:t xml:space="preserve"> </w:t>
      </w:r>
      <w:r>
        <w:t>El</w:t>
      </w:r>
      <w:r>
        <w:rPr>
          <w:spacing w:val="-7"/>
        </w:rPr>
        <w:t xml:space="preserve"> </w:t>
      </w:r>
      <w:r>
        <w:t>Comité</w:t>
      </w:r>
      <w:r>
        <w:rPr>
          <w:spacing w:val="-7"/>
        </w:rPr>
        <w:t xml:space="preserve"> </w:t>
      </w:r>
      <w:r>
        <w:t>ha</w:t>
      </w:r>
      <w:r>
        <w:rPr>
          <w:spacing w:val="-7"/>
        </w:rPr>
        <w:t xml:space="preserve"> </w:t>
      </w:r>
      <w:r>
        <w:t>observado</w:t>
      </w:r>
      <w:r>
        <w:rPr>
          <w:spacing w:val="-7"/>
        </w:rPr>
        <w:t xml:space="preserve"> </w:t>
      </w:r>
      <w:r>
        <w:t>que</w:t>
      </w:r>
      <w:r>
        <w:rPr>
          <w:spacing w:val="-7"/>
        </w:rPr>
        <w:t xml:space="preserve"> </w:t>
      </w:r>
      <w:r>
        <w:t>“la</w:t>
      </w:r>
      <w:r>
        <w:rPr>
          <w:spacing w:val="-7"/>
        </w:rPr>
        <w:t xml:space="preserve"> </w:t>
      </w:r>
      <w:r>
        <w:t>relación</w:t>
      </w:r>
      <w:r>
        <w:rPr>
          <w:spacing w:val="-7"/>
        </w:rPr>
        <w:t xml:space="preserve"> </w:t>
      </w:r>
      <w:r>
        <w:t>entre</w:t>
      </w:r>
      <w:r>
        <w:rPr>
          <w:spacing w:val="-7"/>
        </w:rPr>
        <w:t xml:space="preserve"> </w:t>
      </w:r>
      <w:r>
        <w:t>derecho</w:t>
      </w:r>
      <w:r>
        <w:rPr>
          <w:spacing w:val="-7"/>
        </w:rPr>
        <w:t xml:space="preserve"> </w:t>
      </w:r>
      <w:r>
        <w:t>y</w:t>
      </w:r>
      <w:r>
        <w:rPr>
          <w:spacing w:val="-7"/>
        </w:rPr>
        <w:t xml:space="preserve"> </w:t>
      </w:r>
      <w:r>
        <w:t>restricción</w:t>
      </w:r>
      <w:r>
        <w:rPr>
          <w:spacing w:val="-7"/>
        </w:rPr>
        <w:t xml:space="preserve"> </w:t>
      </w:r>
      <w:r>
        <w:t>y</w:t>
      </w:r>
      <w:r>
        <w:rPr>
          <w:spacing w:val="-7"/>
        </w:rPr>
        <w:t xml:space="preserve"> </w:t>
      </w:r>
      <w:r>
        <w:t>entre</w:t>
      </w:r>
      <w:r>
        <w:rPr>
          <w:spacing w:val="-7"/>
        </w:rPr>
        <w:t xml:space="preserve"> </w:t>
      </w:r>
      <w:r>
        <w:t>norma</w:t>
      </w:r>
      <w:r>
        <w:rPr>
          <w:spacing w:val="-7"/>
        </w:rPr>
        <w:t xml:space="preserve"> </w:t>
      </w:r>
      <w:r>
        <w:t>y</w:t>
      </w:r>
      <w:r>
        <w:rPr>
          <w:spacing w:val="-7"/>
        </w:rPr>
        <w:t xml:space="preserve"> </w:t>
      </w:r>
      <w:r>
        <w:t>excepción</w:t>
      </w:r>
      <w:r>
        <w:rPr>
          <w:spacing w:val="-7"/>
        </w:rPr>
        <w:t xml:space="preserve"> </w:t>
      </w:r>
      <w:r>
        <w:t>no debe invertirse” y subrayó la</w:t>
      </w:r>
    </w:p>
    <w:p w14:paraId="6270EE4C" w14:textId="77777777" w:rsidR="0014798C" w:rsidRDefault="004E1F0B">
      <w:pPr>
        <w:pStyle w:val="Textoindependiente"/>
        <w:spacing w:before="49"/>
        <w:rPr>
          <w:sz w:val="20"/>
        </w:rPr>
      </w:pPr>
      <w:r>
        <w:rPr>
          <w:noProof/>
        </w:rPr>
        <w:drawing>
          <wp:anchor distT="0" distB="0" distL="0" distR="0" simplePos="0" relativeHeight="251658559" behindDoc="1" locked="0" layoutInCell="1" allowOverlap="1" wp14:anchorId="6ABBFBF7" wp14:editId="48BE2E10">
            <wp:simplePos x="0" y="0"/>
            <wp:positionH relativeFrom="page">
              <wp:posOffset>826632</wp:posOffset>
            </wp:positionH>
            <wp:positionV relativeFrom="paragraph">
              <wp:posOffset>192596</wp:posOffset>
            </wp:positionV>
            <wp:extent cx="931001" cy="35813"/>
            <wp:effectExtent l="0" t="0" r="0" b="0"/>
            <wp:wrapTopAndBottom/>
            <wp:docPr id="350" name="Image 35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50" name="Image 350"/>
                    <pic:cNvPicPr/>
                  </pic:nvPicPr>
                  <pic:blipFill>
                    <a:blip r:embed="rId137" cstate="print"/>
                    <a:stretch>
                      <a:fillRect/>
                    </a:stretch>
                  </pic:blipFill>
                  <pic:spPr>
                    <a:xfrm>
                      <a:off x="0" y="0"/>
                      <a:ext cx="931001" cy="35813"/>
                    </a:xfrm>
                    <a:prstGeom prst="rect">
                      <a:avLst/>
                    </a:prstGeom>
                  </pic:spPr>
                </pic:pic>
              </a:graphicData>
            </a:graphic>
          </wp:anchor>
        </w:drawing>
      </w:r>
    </w:p>
    <w:p w14:paraId="2172C37D" w14:textId="77777777" w:rsidR="0014798C" w:rsidRDefault="0014798C">
      <w:pPr>
        <w:pStyle w:val="Textoindependiente"/>
        <w:spacing w:before="14"/>
        <w:rPr>
          <w:sz w:val="12"/>
        </w:rPr>
      </w:pPr>
    </w:p>
    <w:p w14:paraId="4AC24729" w14:textId="77777777" w:rsidR="0014798C" w:rsidRDefault="004E1F0B">
      <w:pPr>
        <w:spacing w:before="1"/>
        <w:ind w:left="1111"/>
        <w:rPr>
          <w:sz w:val="12"/>
        </w:rPr>
      </w:pPr>
      <w:r>
        <w:rPr>
          <w:sz w:val="12"/>
        </w:rPr>
        <w:t>1142</w:t>
      </w:r>
      <w:r>
        <w:rPr>
          <w:spacing w:val="2"/>
          <w:sz w:val="12"/>
        </w:rPr>
        <w:t xml:space="preserve"> </w:t>
      </w:r>
      <w:r>
        <w:rPr>
          <w:sz w:val="12"/>
        </w:rPr>
        <w:t>Los</w:t>
      </w:r>
      <w:r>
        <w:rPr>
          <w:spacing w:val="3"/>
          <w:sz w:val="12"/>
        </w:rPr>
        <w:t xml:space="preserve"> </w:t>
      </w:r>
      <w:r>
        <w:rPr>
          <w:sz w:val="12"/>
        </w:rPr>
        <w:t>requisitos</w:t>
      </w:r>
      <w:r>
        <w:rPr>
          <w:spacing w:val="3"/>
          <w:sz w:val="12"/>
        </w:rPr>
        <w:t xml:space="preserve"> </w:t>
      </w:r>
      <w:r>
        <w:rPr>
          <w:sz w:val="12"/>
        </w:rPr>
        <w:t>detallados</w:t>
      </w:r>
      <w:r>
        <w:rPr>
          <w:spacing w:val="3"/>
          <w:sz w:val="12"/>
        </w:rPr>
        <w:t xml:space="preserve"> </w:t>
      </w:r>
      <w:r>
        <w:rPr>
          <w:sz w:val="12"/>
        </w:rPr>
        <w:t>en</w:t>
      </w:r>
      <w:r>
        <w:rPr>
          <w:spacing w:val="2"/>
          <w:sz w:val="12"/>
        </w:rPr>
        <w:t xml:space="preserve"> </w:t>
      </w:r>
      <w:r>
        <w:rPr>
          <w:sz w:val="12"/>
        </w:rPr>
        <w:t>esta</w:t>
      </w:r>
      <w:r>
        <w:rPr>
          <w:spacing w:val="3"/>
          <w:sz w:val="12"/>
        </w:rPr>
        <w:t xml:space="preserve"> </w:t>
      </w:r>
      <w:r>
        <w:rPr>
          <w:sz w:val="12"/>
        </w:rPr>
        <w:t>área</w:t>
      </w:r>
      <w:r>
        <w:rPr>
          <w:spacing w:val="3"/>
          <w:sz w:val="12"/>
        </w:rPr>
        <w:t xml:space="preserve"> </w:t>
      </w:r>
      <w:r>
        <w:rPr>
          <w:sz w:val="12"/>
        </w:rPr>
        <w:t>se</w:t>
      </w:r>
      <w:r>
        <w:rPr>
          <w:spacing w:val="3"/>
          <w:sz w:val="12"/>
        </w:rPr>
        <w:t xml:space="preserve"> </w:t>
      </w:r>
      <w:r>
        <w:rPr>
          <w:sz w:val="12"/>
        </w:rPr>
        <w:t>establecen</w:t>
      </w:r>
      <w:r>
        <w:rPr>
          <w:spacing w:val="2"/>
          <w:sz w:val="12"/>
        </w:rPr>
        <w:t xml:space="preserve"> </w:t>
      </w:r>
      <w:r>
        <w:rPr>
          <w:sz w:val="12"/>
        </w:rPr>
        <w:t>en</w:t>
      </w:r>
      <w:r>
        <w:rPr>
          <w:spacing w:val="3"/>
          <w:sz w:val="12"/>
        </w:rPr>
        <w:t xml:space="preserve"> </w:t>
      </w:r>
      <w:r>
        <w:rPr>
          <w:sz w:val="12"/>
        </w:rPr>
        <w:t>la</w:t>
      </w:r>
      <w:r>
        <w:rPr>
          <w:spacing w:val="3"/>
          <w:sz w:val="12"/>
        </w:rPr>
        <w:t xml:space="preserve"> </w:t>
      </w:r>
      <w:r>
        <w:rPr>
          <w:sz w:val="12"/>
        </w:rPr>
        <w:t>recomendación</w:t>
      </w:r>
      <w:r>
        <w:rPr>
          <w:spacing w:val="3"/>
          <w:sz w:val="12"/>
        </w:rPr>
        <w:t xml:space="preserve"> </w:t>
      </w:r>
      <w:r>
        <w:rPr>
          <w:sz w:val="12"/>
        </w:rPr>
        <w:t>general</w:t>
      </w:r>
      <w:r>
        <w:rPr>
          <w:spacing w:val="2"/>
          <w:sz w:val="12"/>
        </w:rPr>
        <w:t xml:space="preserve"> </w:t>
      </w:r>
      <w:r>
        <w:rPr>
          <w:sz w:val="12"/>
        </w:rPr>
        <w:t>núm.</w:t>
      </w:r>
      <w:r>
        <w:rPr>
          <w:spacing w:val="3"/>
          <w:sz w:val="12"/>
        </w:rPr>
        <w:t xml:space="preserve"> </w:t>
      </w:r>
      <w:r>
        <w:rPr>
          <w:sz w:val="12"/>
        </w:rPr>
        <w:t>35</w:t>
      </w:r>
      <w:r>
        <w:rPr>
          <w:spacing w:val="3"/>
          <w:sz w:val="12"/>
        </w:rPr>
        <w:t xml:space="preserve"> </w:t>
      </w:r>
      <w:r>
        <w:rPr>
          <w:sz w:val="12"/>
        </w:rPr>
        <w:t>del</w:t>
      </w:r>
      <w:r>
        <w:rPr>
          <w:spacing w:val="3"/>
          <w:sz w:val="12"/>
        </w:rPr>
        <w:t xml:space="preserve"> </w:t>
      </w:r>
      <w:r>
        <w:rPr>
          <w:sz w:val="12"/>
        </w:rPr>
        <w:t>Comité</w:t>
      </w:r>
      <w:r>
        <w:rPr>
          <w:spacing w:val="2"/>
          <w:sz w:val="12"/>
        </w:rPr>
        <w:t xml:space="preserve"> </w:t>
      </w:r>
      <w:r>
        <w:rPr>
          <w:sz w:val="12"/>
        </w:rPr>
        <w:t>para</w:t>
      </w:r>
      <w:r>
        <w:rPr>
          <w:spacing w:val="3"/>
          <w:sz w:val="12"/>
        </w:rPr>
        <w:t xml:space="preserve"> </w:t>
      </w:r>
      <w:r>
        <w:rPr>
          <w:sz w:val="12"/>
        </w:rPr>
        <w:t>la</w:t>
      </w:r>
      <w:r>
        <w:rPr>
          <w:spacing w:val="3"/>
          <w:sz w:val="12"/>
        </w:rPr>
        <w:t xml:space="preserve"> </w:t>
      </w:r>
      <w:r>
        <w:rPr>
          <w:sz w:val="12"/>
        </w:rPr>
        <w:t>Eliminación</w:t>
      </w:r>
      <w:r>
        <w:rPr>
          <w:spacing w:val="3"/>
          <w:sz w:val="12"/>
        </w:rPr>
        <w:t xml:space="preserve"> </w:t>
      </w:r>
      <w:r>
        <w:rPr>
          <w:sz w:val="12"/>
        </w:rPr>
        <w:t>de</w:t>
      </w:r>
      <w:r>
        <w:rPr>
          <w:spacing w:val="2"/>
          <w:sz w:val="12"/>
        </w:rPr>
        <w:t xml:space="preserve"> </w:t>
      </w:r>
      <w:r>
        <w:rPr>
          <w:sz w:val="12"/>
        </w:rPr>
        <w:t>la</w:t>
      </w:r>
      <w:r>
        <w:rPr>
          <w:spacing w:val="3"/>
          <w:sz w:val="12"/>
        </w:rPr>
        <w:t xml:space="preserve"> </w:t>
      </w:r>
      <w:r>
        <w:rPr>
          <w:sz w:val="12"/>
        </w:rPr>
        <w:t>Discriminación</w:t>
      </w:r>
      <w:r>
        <w:rPr>
          <w:spacing w:val="3"/>
          <w:sz w:val="12"/>
        </w:rPr>
        <w:t xml:space="preserve"> </w:t>
      </w:r>
      <w:r>
        <w:rPr>
          <w:spacing w:val="-2"/>
          <w:sz w:val="12"/>
        </w:rPr>
        <w:t>Racial.</w:t>
      </w:r>
    </w:p>
    <w:p w14:paraId="1A30C4F1" w14:textId="77777777" w:rsidR="0014798C" w:rsidRDefault="004E1F0B">
      <w:pPr>
        <w:spacing w:before="29"/>
        <w:ind w:left="1375"/>
        <w:rPr>
          <w:sz w:val="14"/>
        </w:rPr>
      </w:pPr>
      <w:r>
        <w:rPr>
          <w:spacing w:val="-2"/>
          <w:sz w:val="14"/>
        </w:rPr>
        <w:t>(2013).</w:t>
      </w:r>
    </w:p>
    <w:p w14:paraId="5C000B3F" w14:textId="77777777" w:rsidR="0014798C" w:rsidRDefault="004E1F0B">
      <w:pPr>
        <w:spacing w:before="88" w:line="312" w:lineRule="auto"/>
        <w:ind w:left="1370" w:right="1768" w:hanging="259"/>
        <w:rPr>
          <w:sz w:val="12"/>
        </w:rPr>
      </w:pPr>
      <w:r>
        <w:rPr>
          <w:sz w:val="12"/>
        </w:rPr>
        <w:t>1143</w:t>
      </w:r>
      <w:r>
        <w:rPr>
          <w:spacing w:val="7"/>
          <w:sz w:val="12"/>
        </w:rPr>
        <w:t xml:space="preserve"> </w:t>
      </w:r>
      <w:r>
        <w:rPr>
          <w:sz w:val="12"/>
        </w:rPr>
        <w:t>El</w:t>
      </w:r>
      <w:r>
        <w:rPr>
          <w:spacing w:val="7"/>
          <w:sz w:val="12"/>
        </w:rPr>
        <w:t xml:space="preserve"> </w:t>
      </w:r>
      <w:r>
        <w:rPr>
          <w:sz w:val="12"/>
        </w:rPr>
        <w:t>Comité</w:t>
      </w:r>
      <w:r>
        <w:rPr>
          <w:spacing w:val="7"/>
          <w:sz w:val="12"/>
        </w:rPr>
        <w:t xml:space="preserve"> </w:t>
      </w:r>
      <w:r>
        <w:rPr>
          <w:sz w:val="12"/>
        </w:rPr>
        <w:t>para</w:t>
      </w:r>
      <w:r>
        <w:rPr>
          <w:spacing w:val="7"/>
          <w:sz w:val="12"/>
        </w:rPr>
        <w:t xml:space="preserve"> </w:t>
      </w:r>
      <w:r>
        <w:rPr>
          <w:sz w:val="12"/>
        </w:rPr>
        <w:t>la</w:t>
      </w:r>
      <w:r>
        <w:rPr>
          <w:spacing w:val="7"/>
          <w:sz w:val="12"/>
        </w:rPr>
        <w:t xml:space="preserve"> </w:t>
      </w:r>
      <w:r>
        <w:rPr>
          <w:sz w:val="12"/>
        </w:rPr>
        <w:t>Eliminación</w:t>
      </w:r>
      <w:r>
        <w:rPr>
          <w:spacing w:val="7"/>
          <w:sz w:val="12"/>
        </w:rPr>
        <w:t xml:space="preserve"> </w:t>
      </w:r>
      <w:r>
        <w:rPr>
          <w:sz w:val="12"/>
        </w:rPr>
        <w:t>de</w:t>
      </w:r>
      <w:r>
        <w:rPr>
          <w:spacing w:val="7"/>
          <w:sz w:val="12"/>
        </w:rPr>
        <w:t xml:space="preserve"> </w:t>
      </w:r>
      <w:r>
        <w:rPr>
          <w:sz w:val="12"/>
        </w:rPr>
        <w:t>la</w:t>
      </w:r>
      <w:r>
        <w:rPr>
          <w:spacing w:val="7"/>
          <w:sz w:val="12"/>
        </w:rPr>
        <w:t xml:space="preserve"> </w:t>
      </w:r>
      <w:r>
        <w:rPr>
          <w:sz w:val="12"/>
        </w:rPr>
        <w:t>Discriminación</w:t>
      </w:r>
      <w:r>
        <w:rPr>
          <w:spacing w:val="7"/>
          <w:sz w:val="12"/>
        </w:rPr>
        <w:t xml:space="preserve"> </w:t>
      </w:r>
      <w:r>
        <w:rPr>
          <w:sz w:val="12"/>
        </w:rPr>
        <w:t>contra</w:t>
      </w:r>
      <w:r>
        <w:rPr>
          <w:spacing w:val="7"/>
          <w:sz w:val="12"/>
        </w:rPr>
        <w:t xml:space="preserve"> </w:t>
      </w:r>
      <w:r>
        <w:rPr>
          <w:sz w:val="12"/>
        </w:rPr>
        <w:t>la</w:t>
      </w:r>
      <w:r>
        <w:rPr>
          <w:spacing w:val="7"/>
          <w:sz w:val="12"/>
        </w:rPr>
        <w:t xml:space="preserve"> </w:t>
      </w:r>
      <w:r>
        <w:rPr>
          <w:sz w:val="12"/>
        </w:rPr>
        <w:t>Mujer,</w:t>
      </w:r>
      <w:r>
        <w:rPr>
          <w:spacing w:val="8"/>
          <w:sz w:val="12"/>
        </w:rPr>
        <w:t xml:space="preserve"> </w:t>
      </w:r>
      <w:r>
        <w:rPr>
          <w:sz w:val="12"/>
        </w:rPr>
        <w:t>en</w:t>
      </w:r>
      <w:r>
        <w:rPr>
          <w:spacing w:val="7"/>
          <w:sz w:val="12"/>
        </w:rPr>
        <w:t xml:space="preserve"> </w:t>
      </w:r>
      <w:r>
        <w:rPr>
          <w:sz w:val="12"/>
        </w:rPr>
        <w:t>su</w:t>
      </w:r>
      <w:r>
        <w:rPr>
          <w:spacing w:val="7"/>
          <w:sz w:val="12"/>
        </w:rPr>
        <w:t xml:space="preserve"> </w:t>
      </w:r>
      <w:r>
        <w:rPr>
          <w:sz w:val="12"/>
        </w:rPr>
        <w:t>tercera</w:t>
      </w:r>
      <w:r>
        <w:rPr>
          <w:spacing w:val="7"/>
          <w:sz w:val="12"/>
        </w:rPr>
        <w:t xml:space="preserve"> </w:t>
      </w:r>
      <w:r>
        <w:rPr>
          <w:sz w:val="12"/>
        </w:rPr>
        <w:t>y</w:t>
      </w:r>
      <w:r>
        <w:rPr>
          <w:spacing w:val="7"/>
          <w:sz w:val="12"/>
        </w:rPr>
        <w:t xml:space="preserve"> </w:t>
      </w:r>
      <w:r>
        <w:rPr>
          <w:sz w:val="12"/>
        </w:rPr>
        <w:t>más</w:t>
      </w:r>
      <w:r>
        <w:rPr>
          <w:spacing w:val="7"/>
          <w:sz w:val="12"/>
        </w:rPr>
        <w:t xml:space="preserve"> </w:t>
      </w:r>
      <w:r>
        <w:rPr>
          <w:sz w:val="12"/>
        </w:rPr>
        <w:t>reciente</w:t>
      </w:r>
      <w:r>
        <w:rPr>
          <w:spacing w:val="7"/>
          <w:sz w:val="12"/>
        </w:rPr>
        <w:t xml:space="preserve"> </w:t>
      </w:r>
      <w:r>
        <w:rPr>
          <w:sz w:val="12"/>
        </w:rPr>
        <w:t>recomendación</w:t>
      </w:r>
      <w:r>
        <w:rPr>
          <w:spacing w:val="7"/>
          <w:sz w:val="12"/>
        </w:rPr>
        <w:t xml:space="preserve"> </w:t>
      </w:r>
      <w:r>
        <w:rPr>
          <w:sz w:val="12"/>
        </w:rPr>
        <w:t>general</w:t>
      </w:r>
      <w:r>
        <w:rPr>
          <w:spacing w:val="7"/>
          <w:sz w:val="12"/>
        </w:rPr>
        <w:t xml:space="preserve"> </w:t>
      </w:r>
      <w:r>
        <w:rPr>
          <w:sz w:val="12"/>
        </w:rPr>
        <w:t>sobre</w:t>
      </w:r>
      <w:r>
        <w:rPr>
          <w:spacing w:val="7"/>
          <w:sz w:val="12"/>
        </w:rPr>
        <w:t xml:space="preserve"> </w:t>
      </w:r>
      <w:r>
        <w:rPr>
          <w:sz w:val="12"/>
        </w:rPr>
        <w:t>la</w:t>
      </w:r>
      <w:r>
        <w:rPr>
          <w:spacing w:val="7"/>
          <w:sz w:val="12"/>
        </w:rPr>
        <w:t xml:space="preserve"> </w:t>
      </w:r>
      <w:r>
        <w:rPr>
          <w:sz w:val="12"/>
        </w:rPr>
        <w:t>violencia</w:t>
      </w:r>
      <w:r>
        <w:rPr>
          <w:spacing w:val="7"/>
          <w:sz w:val="12"/>
        </w:rPr>
        <w:t xml:space="preserve"> </w:t>
      </w:r>
      <w:r>
        <w:rPr>
          <w:sz w:val="12"/>
        </w:rPr>
        <w:t>de</w:t>
      </w:r>
      <w:r>
        <w:rPr>
          <w:spacing w:val="7"/>
          <w:sz w:val="12"/>
        </w:rPr>
        <w:t xml:space="preserve"> </w:t>
      </w:r>
      <w:r>
        <w:rPr>
          <w:sz w:val="12"/>
        </w:rPr>
        <w:t>género</w:t>
      </w:r>
      <w:r>
        <w:rPr>
          <w:spacing w:val="7"/>
          <w:sz w:val="12"/>
        </w:rPr>
        <w:t xml:space="preserve"> </w:t>
      </w:r>
      <w:r>
        <w:rPr>
          <w:sz w:val="12"/>
        </w:rPr>
        <w:t>contra</w:t>
      </w:r>
      <w:r>
        <w:rPr>
          <w:spacing w:val="40"/>
          <w:sz w:val="12"/>
        </w:rPr>
        <w:t xml:space="preserve"> </w:t>
      </w:r>
      <w:r>
        <w:rPr>
          <w:sz w:val="12"/>
        </w:rPr>
        <w:t>la mujer,</w:t>
      </w:r>
      <w:r>
        <w:rPr>
          <w:spacing w:val="11"/>
          <w:sz w:val="12"/>
        </w:rPr>
        <w:t xml:space="preserve"> </w:t>
      </w:r>
      <w:r>
        <w:rPr>
          <w:sz w:val="12"/>
        </w:rPr>
        <w:t>ha expresado preocupación,</w:t>
      </w:r>
      <w:r>
        <w:rPr>
          <w:spacing w:val="11"/>
          <w:sz w:val="12"/>
        </w:rPr>
        <w:t xml:space="preserve"> </w:t>
      </w:r>
      <w:r>
        <w:rPr>
          <w:sz w:val="12"/>
        </w:rPr>
        <w:t>entre otras cosas,</w:t>
      </w:r>
      <w:r>
        <w:rPr>
          <w:spacing w:val="11"/>
          <w:sz w:val="12"/>
        </w:rPr>
        <w:t xml:space="preserve"> </w:t>
      </w:r>
      <w:r>
        <w:rPr>
          <w:sz w:val="12"/>
        </w:rPr>
        <w:t>por “las formas contemporáneas de violencia que ocurren en línea y en otros entornos digitales”.</w:t>
      </w:r>
    </w:p>
    <w:p w14:paraId="08BC447C" w14:textId="77777777" w:rsidR="0014798C" w:rsidRDefault="004E1F0B">
      <w:pPr>
        <w:spacing w:before="1" w:line="312" w:lineRule="auto"/>
        <w:ind w:left="1365" w:right="1626" w:firstLine="4"/>
        <w:rPr>
          <w:sz w:val="12"/>
        </w:rPr>
      </w:pPr>
      <w:r>
        <w:rPr>
          <w:sz w:val="12"/>
        </w:rPr>
        <w:t>El</w:t>
      </w:r>
      <w:r>
        <w:rPr>
          <w:spacing w:val="7"/>
          <w:sz w:val="12"/>
        </w:rPr>
        <w:t xml:space="preserve"> </w:t>
      </w:r>
      <w:r>
        <w:rPr>
          <w:sz w:val="12"/>
        </w:rPr>
        <w:t>Secretario</w:t>
      </w:r>
      <w:r>
        <w:rPr>
          <w:spacing w:val="7"/>
          <w:sz w:val="12"/>
        </w:rPr>
        <w:t xml:space="preserve"> </w:t>
      </w:r>
      <w:r>
        <w:rPr>
          <w:sz w:val="12"/>
        </w:rPr>
        <w:t>General</w:t>
      </w:r>
      <w:r>
        <w:rPr>
          <w:spacing w:val="7"/>
          <w:sz w:val="12"/>
        </w:rPr>
        <w:t xml:space="preserve"> </w:t>
      </w:r>
      <w:r>
        <w:rPr>
          <w:sz w:val="12"/>
        </w:rPr>
        <w:t>ha</w:t>
      </w:r>
      <w:r>
        <w:rPr>
          <w:spacing w:val="7"/>
          <w:sz w:val="12"/>
        </w:rPr>
        <w:t xml:space="preserve"> </w:t>
      </w:r>
      <w:r>
        <w:rPr>
          <w:sz w:val="12"/>
        </w:rPr>
        <w:t>establecido</w:t>
      </w:r>
      <w:r>
        <w:rPr>
          <w:spacing w:val="7"/>
          <w:sz w:val="12"/>
        </w:rPr>
        <w:t xml:space="preserve"> </w:t>
      </w:r>
      <w:r>
        <w:rPr>
          <w:sz w:val="12"/>
        </w:rPr>
        <w:t>vínculos</w:t>
      </w:r>
      <w:r>
        <w:rPr>
          <w:spacing w:val="7"/>
          <w:sz w:val="12"/>
        </w:rPr>
        <w:t xml:space="preserve"> </w:t>
      </w:r>
      <w:r>
        <w:rPr>
          <w:sz w:val="12"/>
        </w:rPr>
        <w:t>directos</w:t>
      </w:r>
      <w:r>
        <w:rPr>
          <w:spacing w:val="7"/>
          <w:sz w:val="12"/>
        </w:rPr>
        <w:t xml:space="preserve"> </w:t>
      </w:r>
      <w:r>
        <w:rPr>
          <w:sz w:val="12"/>
        </w:rPr>
        <w:t>entre</w:t>
      </w:r>
      <w:r>
        <w:rPr>
          <w:spacing w:val="7"/>
          <w:sz w:val="12"/>
        </w:rPr>
        <w:t xml:space="preserve"> </w:t>
      </w:r>
      <w:r>
        <w:rPr>
          <w:sz w:val="12"/>
        </w:rPr>
        <w:t>el</w:t>
      </w:r>
      <w:r>
        <w:rPr>
          <w:spacing w:val="7"/>
          <w:sz w:val="12"/>
        </w:rPr>
        <w:t xml:space="preserve"> </w:t>
      </w:r>
      <w:r>
        <w:rPr>
          <w:sz w:val="12"/>
        </w:rPr>
        <w:t>discurso</w:t>
      </w:r>
      <w:r>
        <w:rPr>
          <w:spacing w:val="7"/>
          <w:sz w:val="12"/>
        </w:rPr>
        <w:t xml:space="preserve"> </w:t>
      </w:r>
      <w:r>
        <w:rPr>
          <w:sz w:val="12"/>
        </w:rPr>
        <w:t>de</w:t>
      </w:r>
      <w:r>
        <w:rPr>
          <w:spacing w:val="7"/>
          <w:sz w:val="12"/>
        </w:rPr>
        <w:t xml:space="preserve"> </w:t>
      </w:r>
      <w:r>
        <w:rPr>
          <w:sz w:val="12"/>
        </w:rPr>
        <w:t>odio</w:t>
      </w:r>
      <w:r>
        <w:rPr>
          <w:spacing w:val="7"/>
          <w:sz w:val="12"/>
        </w:rPr>
        <w:t xml:space="preserve"> </w:t>
      </w:r>
      <w:r>
        <w:rPr>
          <w:sz w:val="12"/>
        </w:rPr>
        <w:t>misógino</w:t>
      </w:r>
      <w:r>
        <w:rPr>
          <w:spacing w:val="7"/>
          <w:sz w:val="12"/>
        </w:rPr>
        <w:t xml:space="preserve"> </w:t>
      </w:r>
      <w:r>
        <w:rPr>
          <w:sz w:val="12"/>
        </w:rPr>
        <w:t>y</w:t>
      </w:r>
      <w:r>
        <w:rPr>
          <w:spacing w:val="7"/>
          <w:sz w:val="12"/>
        </w:rPr>
        <w:t xml:space="preserve"> </w:t>
      </w:r>
      <w:r>
        <w:rPr>
          <w:sz w:val="12"/>
        </w:rPr>
        <w:t>la</w:t>
      </w:r>
      <w:r>
        <w:rPr>
          <w:spacing w:val="7"/>
          <w:sz w:val="12"/>
        </w:rPr>
        <w:t xml:space="preserve"> </w:t>
      </w:r>
      <w:r>
        <w:rPr>
          <w:sz w:val="12"/>
        </w:rPr>
        <w:t>violencia</w:t>
      </w:r>
      <w:r>
        <w:rPr>
          <w:spacing w:val="7"/>
          <w:sz w:val="12"/>
        </w:rPr>
        <w:t xml:space="preserve"> </w:t>
      </w:r>
      <w:r>
        <w:rPr>
          <w:sz w:val="12"/>
        </w:rPr>
        <w:t>de</w:t>
      </w:r>
      <w:r>
        <w:rPr>
          <w:spacing w:val="7"/>
          <w:sz w:val="12"/>
        </w:rPr>
        <w:t xml:space="preserve"> </w:t>
      </w:r>
      <w:r>
        <w:rPr>
          <w:sz w:val="12"/>
        </w:rPr>
        <w:t>género</w:t>
      </w:r>
      <w:r>
        <w:rPr>
          <w:spacing w:val="7"/>
          <w:sz w:val="12"/>
        </w:rPr>
        <w:t xml:space="preserve"> </w:t>
      </w:r>
      <w:r>
        <w:rPr>
          <w:sz w:val="12"/>
        </w:rPr>
        <w:t>contra</w:t>
      </w:r>
      <w:r>
        <w:rPr>
          <w:spacing w:val="7"/>
          <w:sz w:val="12"/>
        </w:rPr>
        <w:t xml:space="preserve"> </w:t>
      </w:r>
      <w:r>
        <w:rPr>
          <w:sz w:val="12"/>
        </w:rPr>
        <w:t>las</w:t>
      </w:r>
      <w:r>
        <w:rPr>
          <w:spacing w:val="7"/>
          <w:sz w:val="12"/>
        </w:rPr>
        <w:t xml:space="preserve"> </w:t>
      </w:r>
      <w:r>
        <w:rPr>
          <w:sz w:val="12"/>
        </w:rPr>
        <w:t>mujeres,</w:t>
      </w:r>
      <w:r>
        <w:rPr>
          <w:spacing w:val="8"/>
          <w:sz w:val="12"/>
        </w:rPr>
        <w:t xml:space="preserve"> </w:t>
      </w:r>
      <w:r>
        <w:rPr>
          <w:sz w:val="12"/>
        </w:rPr>
        <w:t>señalando</w:t>
      </w:r>
      <w:r>
        <w:rPr>
          <w:spacing w:val="7"/>
          <w:sz w:val="12"/>
        </w:rPr>
        <w:t xml:space="preserve"> </w:t>
      </w:r>
      <w:r>
        <w:rPr>
          <w:sz w:val="12"/>
        </w:rPr>
        <w:t>que</w:t>
      </w:r>
      <w:r>
        <w:rPr>
          <w:spacing w:val="7"/>
          <w:sz w:val="12"/>
        </w:rPr>
        <w:t xml:space="preserve"> </w:t>
      </w:r>
      <w:r>
        <w:rPr>
          <w:sz w:val="12"/>
        </w:rPr>
        <w:t>“el</w:t>
      </w:r>
      <w:r>
        <w:rPr>
          <w:spacing w:val="7"/>
          <w:sz w:val="12"/>
        </w:rPr>
        <w:t xml:space="preserve"> </w:t>
      </w:r>
      <w:r>
        <w:rPr>
          <w:sz w:val="12"/>
        </w:rPr>
        <w:t>uso</w:t>
      </w:r>
      <w:r>
        <w:rPr>
          <w:spacing w:val="7"/>
          <w:sz w:val="12"/>
        </w:rPr>
        <w:t xml:space="preserve"> </w:t>
      </w:r>
      <w:r>
        <w:rPr>
          <w:sz w:val="12"/>
        </w:rPr>
        <w:t>de</w:t>
      </w:r>
      <w:r>
        <w:rPr>
          <w:spacing w:val="40"/>
          <w:sz w:val="12"/>
        </w:rPr>
        <w:t xml:space="preserve"> </w:t>
      </w:r>
      <w:r>
        <w:rPr>
          <w:sz w:val="12"/>
        </w:rPr>
        <w:t>la violación y otras formas de violencia sexual en Kosovo (ex Serbia y Montenegro) en 1999 como armas de guerra y métodos de La limpieza étnica había sido</w:t>
      </w:r>
      <w:r>
        <w:rPr>
          <w:spacing w:val="40"/>
          <w:sz w:val="12"/>
        </w:rPr>
        <w:t xml:space="preserve"> </w:t>
      </w:r>
      <w:r>
        <w:rPr>
          <w:sz w:val="12"/>
        </w:rPr>
        <w:t>precedida por propaganda oficial del Estado y relatos en los medios de comunicación que estereotipaban a las mujeres albanokosovares como sexualmente</w:t>
      </w:r>
      <w:r>
        <w:rPr>
          <w:spacing w:val="40"/>
          <w:sz w:val="12"/>
        </w:rPr>
        <w:t xml:space="preserve"> </w:t>
      </w:r>
      <w:r>
        <w:rPr>
          <w:sz w:val="12"/>
        </w:rPr>
        <w:t>promiscuas y explotaban los temores de los serbios sobre el crecimiento de la población albanesa”. Véase, respectivamente, Comité para la Eliminación de la</w:t>
      </w:r>
      <w:r>
        <w:rPr>
          <w:spacing w:val="40"/>
          <w:sz w:val="12"/>
        </w:rPr>
        <w:t xml:space="preserve"> </w:t>
      </w:r>
      <w:r>
        <w:rPr>
          <w:sz w:val="12"/>
        </w:rPr>
        <w:t>Discriminación contra la Mujer, recomendación general núm. 35 (2017), párr. 20; y A/61/122/Add.1 y Corr.1, párr. 94.</w:t>
      </w:r>
    </w:p>
    <w:p w14:paraId="399BFF4C" w14:textId="77777777" w:rsidR="0014798C" w:rsidRDefault="004E1F0B">
      <w:pPr>
        <w:spacing w:before="59" w:line="312" w:lineRule="auto"/>
        <w:ind w:left="1369" w:right="1626" w:hanging="259"/>
        <w:rPr>
          <w:sz w:val="12"/>
        </w:rPr>
      </w:pPr>
      <w:r>
        <w:rPr>
          <w:sz w:val="12"/>
        </w:rPr>
        <w:t>1144 Comité de Derechos Humanos, observación general núm. 34 (2011), párr. 9. La libertad de pensamiento y de conciencia y la libertad de tener o adoptar una</w:t>
      </w:r>
      <w:r>
        <w:rPr>
          <w:spacing w:val="40"/>
          <w:sz w:val="12"/>
        </w:rPr>
        <w:t xml:space="preserve"> </w:t>
      </w:r>
      <w:r>
        <w:rPr>
          <w:sz w:val="12"/>
        </w:rPr>
        <w:t>religión o creencia de su elección también están protegidas incondicionalmente, al igual que el derecho de toda persona a tener opiniones. Véase Comité de</w:t>
      </w:r>
      <w:r>
        <w:rPr>
          <w:spacing w:val="40"/>
          <w:sz w:val="12"/>
        </w:rPr>
        <w:t xml:space="preserve"> </w:t>
      </w:r>
      <w:r>
        <w:rPr>
          <w:sz w:val="12"/>
        </w:rPr>
        <w:t>Derechos Humanos, observación general núm. 22 (1993), párr. 3.</w:t>
      </w:r>
    </w:p>
    <w:p w14:paraId="309DCD91" w14:textId="77777777" w:rsidR="0014798C" w:rsidRDefault="004E1F0B">
      <w:pPr>
        <w:spacing w:before="57"/>
        <w:ind w:left="1111"/>
        <w:rPr>
          <w:sz w:val="12"/>
        </w:rPr>
      </w:pPr>
      <w:r>
        <w:rPr>
          <w:sz w:val="12"/>
        </w:rPr>
        <w:t>1145</w:t>
      </w:r>
      <w:r>
        <w:rPr>
          <w:spacing w:val="2"/>
          <w:sz w:val="12"/>
        </w:rPr>
        <w:t xml:space="preserve"> </w:t>
      </w:r>
      <w:r>
        <w:rPr>
          <w:sz w:val="12"/>
        </w:rPr>
        <w:t>Comité</w:t>
      </w:r>
      <w:r>
        <w:rPr>
          <w:spacing w:val="3"/>
          <w:sz w:val="12"/>
        </w:rPr>
        <w:t xml:space="preserve"> </w:t>
      </w:r>
      <w:r>
        <w:rPr>
          <w:sz w:val="12"/>
        </w:rPr>
        <w:t>de</w:t>
      </w:r>
      <w:r>
        <w:rPr>
          <w:spacing w:val="3"/>
          <w:sz w:val="12"/>
        </w:rPr>
        <w:t xml:space="preserve"> </w:t>
      </w:r>
      <w:r>
        <w:rPr>
          <w:sz w:val="12"/>
        </w:rPr>
        <w:t>Derechos</w:t>
      </w:r>
      <w:r>
        <w:rPr>
          <w:spacing w:val="3"/>
          <w:sz w:val="12"/>
        </w:rPr>
        <w:t xml:space="preserve"> </w:t>
      </w:r>
      <w:r>
        <w:rPr>
          <w:sz w:val="12"/>
        </w:rPr>
        <w:t>Humanos,</w:t>
      </w:r>
      <w:r>
        <w:rPr>
          <w:spacing w:val="4"/>
          <w:sz w:val="12"/>
        </w:rPr>
        <w:t xml:space="preserve"> </w:t>
      </w:r>
      <w:r>
        <w:rPr>
          <w:sz w:val="12"/>
        </w:rPr>
        <w:t>observación</w:t>
      </w:r>
      <w:r>
        <w:rPr>
          <w:spacing w:val="3"/>
          <w:sz w:val="12"/>
        </w:rPr>
        <w:t xml:space="preserve"> </w:t>
      </w:r>
      <w:r>
        <w:rPr>
          <w:sz w:val="12"/>
        </w:rPr>
        <w:t>general</w:t>
      </w:r>
      <w:r>
        <w:rPr>
          <w:spacing w:val="3"/>
          <w:sz w:val="12"/>
        </w:rPr>
        <w:t xml:space="preserve"> </w:t>
      </w:r>
      <w:r>
        <w:rPr>
          <w:sz w:val="12"/>
        </w:rPr>
        <w:t>núm.</w:t>
      </w:r>
      <w:r>
        <w:rPr>
          <w:spacing w:val="3"/>
          <w:sz w:val="12"/>
        </w:rPr>
        <w:t xml:space="preserve"> </w:t>
      </w:r>
      <w:r>
        <w:rPr>
          <w:sz w:val="12"/>
        </w:rPr>
        <w:t>34</w:t>
      </w:r>
      <w:r>
        <w:rPr>
          <w:spacing w:val="3"/>
          <w:sz w:val="12"/>
        </w:rPr>
        <w:t xml:space="preserve"> </w:t>
      </w:r>
      <w:r>
        <w:rPr>
          <w:sz w:val="12"/>
        </w:rPr>
        <w:t>(2011),</w:t>
      </w:r>
      <w:r>
        <w:rPr>
          <w:spacing w:val="4"/>
          <w:sz w:val="12"/>
        </w:rPr>
        <w:t xml:space="preserve"> </w:t>
      </w:r>
      <w:r>
        <w:rPr>
          <w:sz w:val="12"/>
        </w:rPr>
        <w:t>párr.</w:t>
      </w:r>
      <w:r>
        <w:rPr>
          <w:spacing w:val="4"/>
          <w:sz w:val="12"/>
        </w:rPr>
        <w:t xml:space="preserve"> </w:t>
      </w:r>
      <w:r>
        <w:rPr>
          <w:spacing w:val="-5"/>
          <w:sz w:val="12"/>
        </w:rPr>
        <w:t>21.</w:t>
      </w:r>
    </w:p>
    <w:p w14:paraId="30E40E0A" w14:textId="77777777" w:rsidR="0014798C" w:rsidRDefault="004E1F0B">
      <w:pPr>
        <w:spacing w:before="67"/>
        <w:ind w:left="1111"/>
        <w:rPr>
          <w:sz w:val="12"/>
        </w:rPr>
      </w:pPr>
      <w:r>
        <w:rPr>
          <w:sz w:val="12"/>
        </w:rPr>
        <w:t>1146</w:t>
      </w:r>
      <w:r>
        <w:rPr>
          <w:spacing w:val="2"/>
          <w:sz w:val="12"/>
        </w:rPr>
        <w:t xml:space="preserve"> </w:t>
      </w:r>
      <w:proofErr w:type="spellStart"/>
      <w:r>
        <w:rPr>
          <w:spacing w:val="-2"/>
          <w:sz w:val="12"/>
        </w:rPr>
        <w:t>Ibíd</w:t>
      </w:r>
      <w:proofErr w:type="spellEnd"/>
      <w:r>
        <w:rPr>
          <w:spacing w:val="-2"/>
          <w:sz w:val="12"/>
        </w:rPr>
        <w:t>.</w:t>
      </w:r>
    </w:p>
    <w:p w14:paraId="37FB71B8" w14:textId="77777777" w:rsidR="0014798C" w:rsidRDefault="0014798C">
      <w:pPr>
        <w:pStyle w:val="Textoindependiente"/>
        <w:rPr>
          <w:sz w:val="17"/>
        </w:rPr>
      </w:pPr>
    </w:p>
    <w:p w14:paraId="444682C0" w14:textId="77777777" w:rsidR="0014798C" w:rsidRDefault="0014798C">
      <w:pPr>
        <w:pStyle w:val="Textoindependiente"/>
        <w:rPr>
          <w:sz w:val="17"/>
        </w:rPr>
      </w:pPr>
    </w:p>
    <w:p w14:paraId="6012D099" w14:textId="77777777" w:rsidR="0014798C" w:rsidRDefault="0014798C">
      <w:pPr>
        <w:pStyle w:val="Textoindependiente"/>
        <w:spacing w:before="101"/>
        <w:rPr>
          <w:sz w:val="17"/>
        </w:rPr>
      </w:pPr>
    </w:p>
    <w:p w14:paraId="4CD9570C" w14:textId="77777777" w:rsidR="0014798C" w:rsidRDefault="004E1F0B">
      <w:pPr>
        <w:ind w:left="493"/>
        <w:rPr>
          <w:sz w:val="17"/>
        </w:rPr>
      </w:pPr>
      <w:r>
        <w:rPr>
          <w:spacing w:val="-5"/>
          <w:sz w:val="17"/>
        </w:rPr>
        <w:t>176</w:t>
      </w:r>
    </w:p>
    <w:p w14:paraId="48ED3C8D" w14:textId="77777777" w:rsidR="0014798C" w:rsidRDefault="0014798C">
      <w:pPr>
        <w:rPr>
          <w:sz w:val="17"/>
        </w:rPr>
        <w:sectPr w:rsidR="0014798C" w:rsidSect="00F265E4">
          <w:pgSz w:w="11900" w:h="16820"/>
          <w:pgMar w:top="340" w:right="0" w:bottom="280" w:left="200" w:header="121" w:footer="0" w:gutter="0"/>
          <w:cols w:space="720"/>
        </w:sectPr>
      </w:pPr>
    </w:p>
    <w:p w14:paraId="5038DB37" w14:textId="77777777" w:rsidR="0014798C" w:rsidRDefault="0014798C">
      <w:pPr>
        <w:pStyle w:val="Textoindependiente"/>
        <w:spacing w:before="66"/>
        <w:rPr>
          <w:sz w:val="13"/>
        </w:rPr>
      </w:pPr>
    </w:p>
    <w:p w14:paraId="303EBFB2" w14:textId="77777777" w:rsidR="0014798C" w:rsidRDefault="004E1F0B">
      <w:pPr>
        <w:ind w:left="1111"/>
        <w:rPr>
          <w:sz w:val="13"/>
        </w:rPr>
      </w:pPr>
      <w:r>
        <w:rPr>
          <w:color w:val="0075BF"/>
          <w:spacing w:val="-2"/>
          <w:w w:val="105"/>
          <w:sz w:val="13"/>
        </w:rPr>
        <w:t>PARTE</w:t>
      </w:r>
      <w:r>
        <w:rPr>
          <w:color w:val="0075BF"/>
          <w:spacing w:val="1"/>
          <w:w w:val="105"/>
          <w:sz w:val="13"/>
        </w:rPr>
        <w:t xml:space="preserve"> </w:t>
      </w:r>
      <w:r>
        <w:rPr>
          <w:color w:val="0075BF"/>
          <w:spacing w:val="-2"/>
          <w:w w:val="105"/>
          <w:sz w:val="13"/>
        </w:rPr>
        <w:t>QUINTA:</w:t>
      </w:r>
      <w:r>
        <w:rPr>
          <w:color w:val="0075BF"/>
          <w:spacing w:val="2"/>
          <w:w w:val="105"/>
          <w:sz w:val="13"/>
        </w:rPr>
        <w:t xml:space="preserve"> </w:t>
      </w:r>
      <w:r>
        <w:rPr>
          <w:color w:val="0075BF"/>
          <w:spacing w:val="-2"/>
          <w:w w:val="105"/>
          <w:sz w:val="13"/>
        </w:rPr>
        <w:t>DISCRIMINACIÓN</w:t>
      </w:r>
      <w:r>
        <w:rPr>
          <w:color w:val="0075BF"/>
          <w:w w:val="105"/>
          <w:sz w:val="13"/>
        </w:rPr>
        <w:t xml:space="preserve"> </w:t>
      </w:r>
      <w:r>
        <w:rPr>
          <w:color w:val="0075BF"/>
          <w:spacing w:val="-2"/>
          <w:w w:val="105"/>
          <w:sz w:val="13"/>
        </w:rPr>
        <w:t>Y</w:t>
      </w:r>
      <w:r>
        <w:rPr>
          <w:color w:val="0075BF"/>
          <w:spacing w:val="2"/>
          <w:w w:val="105"/>
          <w:sz w:val="13"/>
        </w:rPr>
        <w:t xml:space="preserve"> </w:t>
      </w:r>
      <w:r>
        <w:rPr>
          <w:color w:val="0075BF"/>
          <w:spacing w:val="-2"/>
          <w:w w:val="105"/>
          <w:sz w:val="13"/>
        </w:rPr>
        <w:t>EXPRESIÓN</w:t>
      </w:r>
    </w:p>
    <w:p w14:paraId="724CED06" w14:textId="77777777" w:rsidR="0014798C" w:rsidRDefault="0014798C">
      <w:pPr>
        <w:pStyle w:val="Textoindependiente"/>
      </w:pPr>
    </w:p>
    <w:p w14:paraId="0C2DE576" w14:textId="77777777" w:rsidR="0014798C" w:rsidRDefault="0014798C">
      <w:pPr>
        <w:pStyle w:val="Textoindependiente"/>
      </w:pPr>
    </w:p>
    <w:p w14:paraId="57C89118" w14:textId="77777777" w:rsidR="0014798C" w:rsidRDefault="0014798C">
      <w:pPr>
        <w:pStyle w:val="Textoindependiente"/>
      </w:pPr>
    </w:p>
    <w:p w14:paraId="44732C85" w14:textId="77777777" w:rsidR="0014798C" w:rsidRDefault="0014798C">
      <w:pPr>
        <w:pStyle w:val="Textoindependiente"/>
      </w:pPr>
    </w:p>
    <w:p w14:paraId="117FCC40" w14:textId="77777777" w:rsidR="0014798C" w:rsidRDefault="0014798C">
      <w:pPr>
        <w:pStyle w:val="Textoindependiente"/>
        <w:spacing w:before="49"/>
      </w:pPr>
    </w:p>
    <w:p w14:paraId="6ECB763C" w14:textId="77777777" w:rsidR="0014798C" w:rsidRDefault="004E1F0B">
      <w:pPr>
        <w:pStyle w:val="Textoindependiente"/>
        <w:spacing w:line="326" w:lineRule="auto"/>
        <w:ind w:left="1109" w:right="1283"/>
      </w:pPr>
      <w:r>
        <w:rPr>
          <w:w w:val="105"/>
        </w:rPr>
        <w:t>hecho de que el artículo 5 (1) del Pacto dispone que: “Nada en el presente Pacto podrá interpretarse en el sentido de que implica para ningún Estado, grupo o persona el derecho a realizar ninguna actividad o realizar cualquier acto encaminado a la</w:t>
      </w:r>
      <w:r>
        <w:rPr>
          <w:spacing w:val="-4"/>
          <w:w w:val="105"/>
        </w:rPr>
        <w:t xml:space="preserve"> </w:t>
      </w:r>
      <w:r>
        <w:rPr>
          <w:w w:val="105"/>
        </w:rPr>
        <w:t>destrucción</w:t>
      </w:r>
      <w:r>
        <w:rPr>
          <w:spacing w:val="-4"/>
          <w:w w:val="105"/>
        </w:rPr>
        <w:t xml:space="preserve"> </w:t>
      </w:r>
      <w:r>
        <w:rPr>
          <w:w w:val="105"/>
        </w:rPr>
        <w:t>de</w:t>
      </w:r>
      <w:r>
        <w:rPr>
          <w:spacing w:val="-4"/>
          <w:w w:val="105"/>
        </w:rPr>
        <w:t xml:space="preserve"> </w:t>
      </w:r>
      <w:r>
        <w:rPr>
          <w:w w:val="105"/>
        </w:rPr>
        <w:t>cualquiera</w:t>
      </w:r>
      <w:r>
        <w:rPr>
          <w:spacing w:val="-3"/>
          <w:w w:val="105"/>
        </w:rPr>
        <w:t xml:space="preserve"> </w:t>
      </w:r>
      <w:r>
        <w:rPr>
          <w:w w:val="105"/>
        </w:rPr>
        <w:t>de</w:t>
      </w:r>
      <w:r>
        <w:rPr>
          <w:spacing w:val="-4"/>
          <w:w w:val="105"/>
        </w:rPr>
        <w:t xml:space="preserve"> </w:t>
      </w:r>
      <w:r>
        <w:rPr>
          <w:w w:val="105"/>
        </w:rPr>
        <w:t>los</w:t>
      </w:r>
      <w:r>
        <w:rPr>
          <w:spacing w:val="-4"/>
          <w:w w:val="105"/>
        </w:rPr>
        <w:t xml:space="preserve"> </w:t>
      </w:r>
      <w:r>
        <w:rPr>
          <w:w w:val="105"/>
        </w:rPr>
        <w:t>derechos</w:t>
      </w:r>
      <w:r>
        <w:rPr>
          <w:spacing w:val="-4"/>
          <w:w w:val="105"/>
        </w:rPr>
        <w:t xml:space="preserve"> </w:t>
      </w:r>
      <w:r>
        <w:rPr>
          <w:w w:val="105"/>
        </w:rPr>
        <w:t>y</w:t>
      </w:r>
      <w:r>
        <w:rPr>
          <w:spacing w:val="-3"/>
          <w:w w:val="105"/>
        </w:rPr>
        <w:t xml:space="preserve"> </w:t>
      </w:r>
      <w:r>
        <w:rPr>
          <w:w w:val="105"/>
        </w:rPr>
        <w:t>libertades</w:t>
      </w:r>
      <w:r>
        <w:rPr>
          <w:spacing w:val="-4"/>
          <w:w w:val="105"/>
        </w:rPr>
        <w:t xml:space="preserve"> </w:t>
      </w:r>
      <w:r>
        <w:rPr>
          <w:w w:val="105"/>
        </w:rPr>
        <w:t>aquí</w:t>
      </w:r>
      <w:r>
        <w:rPr>
          <w:spacing w:val="-3"/>
          <w:w w:val="105"/>
        </w:rPr>
        <w:t xml:space="preserve"> </w:t>
      </w:r>
      <w:r>
        <w:rPr>
          <w:w w:val="105"/>
        </w:rPr>
        <w:t>reconocidos</w:t>
      </w:r>
      <w:r>
        <w:rPr>
          <w:spacing w:val="-4"/>
          <w:w w:val="105"/>
        </w:rPr>
        <w:t xml:space="preserve"> </w:t>
      </w:r>
      <w:r>
        <w:rPr>
          <w:w w:val="105"/>
        </w:rPr>
        <w:t>o</w:t>
      </w:r>
      <w:r>
        <w:rPr>
          <w:spacing w:val="-4"/>
          <w:w w:val="105"/>
        </w:rPr>
        <w:t xml:space="preserve"> </w:t>
      </w:r>
      <w:r>
        <w:rPr>
          <w:w w:val="105"/>
        </w:rPr>
        <w:t>a</w:t>
      </w:r>
      <w:r>
        <w:rPr>
          <w:spacing w:val="-4"/>
          <w:w w:val="105"/>
        </w:rPr>
        <w:t xml:space="preserve"> </w:t>
      </w:r>
      <w:r>
        <w:rPr>
          <w:w w:val="105"/>
        </w:rPr>
        <w:t>su</w:t>
      </w:r>
      <w:r>
        <w:rPr>
          <w:spacing w:val="-3"/>
          <w:w w:val="105"/>
        </w:rPr>
        <w:t xml:space="preserve"> </w:t>
      </w:r>
      <w:r>
        <w:rPr>
          <w:w w:val="105"/>
        </w:rPr>
        <w:t>limitación</w:t>
      </w:r>
      <w:r>
        <w:rPr>
          <w:spacing w:val="-4"/>
          <w:w w:val="105"/>
        </w:rPr>
        <w:t xml:space="preserve"> </w:t>
      </w:r>
      <w:r>
        <w:rPr>
          <w:w w:val="105"/>
        </w:rPr>
        <w:t>en</w:t>
      </w:r>
      <w:r>
        <w:rPr>
          <w:spacing w:val="-4"/>
          <w:w w:val="105"/>
        </w:rPr>
        <w:t xml:space="preserve"> </w:t>
      </w:r>
      <w:r>
        <w:rPr>
          <w:w w:val="105"/>
        </w:rPr>
        <w:t>mayor</w:t>
      </w:r>
      <w:r>
        <w:rPr>
          <w:spacing w:val="-4"/>
          <w:w w:val="105"/>
        </w:rPr>
        <w:t xml:space="preserve"> </w:t>
      </w:r>
      <w:r>
        <w:rPr>
          <w:w w:val="105"/>
        </w:rPr>
        <w:t>medida</w:t>
      </w:r>
      <w:r>
        <w:rPr>
          <w:spacing w:val="-3"/>
          <w:w w:val="105"/>
        </w:rPr>
        <w:t xml:space="preserve"> </w:t>
      </w:r>
      <w:r>
        <w:rPr>
          <w:w w:val="105"/>
        </w:rPr>
        <w:t>que</w:t>
      </w:r>
      <w:r>
        <w:rPr>
          <w:spacing w:val="-4"/>
          <w:w w:val="105"/>
        </w:rPr>
        <w:t xml:space="preserve"> </w:t>
      </w:r>
      <w:r>
        <w:rPr>
          <w:w w:val="105"/>
        </w:rPr>
        <w:t>la</w:t>
      </w:r>
      <w:r>
        <w:rPr>
          <w:spacing w:val="-4"/>
          <w:w w:val="105"/>
        </w:rPr>
        <w:t xml:space="preserve"> </w:t>
      </w:r>
      <w:r>
        <w:rPr>
          <w:w w:val="105"/>
        </w:rPr>
        <w:t>prevista en el presente Pacto.”1147</w:t>
      </w:r>
    </w:p>
    <w:p w14:paraId="0E83C47A" w14:textId="77777777" w:rsidR="0014798C" w:rsidRDefault="004E1F0B">
      <w:pPr>
        <w:pStyle w:val="Textoindependiente"/>
        <w:spacing w:before="168" w:line="326" w:lineRule="auto"/>
        <w:ind w:left="1107" w:right="1185" w:firstLine="1"/>
      </w:pPr>
      <w:r>
        <w:rPr>
          <w:w w:val="105"/>
        </w:rPr>
        <w:t xml:space="preserve">Sin embargo, cualquier restricción del derecho a la libertad de expresión debe estar prevista por ley (articulada de manera </w:t>
      </w:r>
      <w:proofErr w:type="gramStart"/>
      <w:r>
        <w:rPr>
          <w:w w:val="105"/>
        </w:rPr>
        <w:t>clara);</w:t>
      </w:r>
      <w:proofErr w:type="gramEnd"/>
      <w:r>
        <w:rPr>
          <w:w w:val="105"/>
        </w:rPr>
        <w:t>1148</w:t>
      </w:r>
      <w:r>
        <w:rPr>
          <w:spacing w:val="-12"/>
          <w:w w:val="105"/>
        </w:rPr>
        <w:t xml:space="preserve"> </w:t>
      </w:r>
      <w:r>
        <w:rPr>
          <w:w w:val="105"/>
        </w:rPr>
        <w:t>necesaria</w:t>
      </w:r>
      <w:r>
        <w:rPr>
          <w:spacing w:val="-12"/>
          <w:w w:val="105"/>
        </w:rPr>
        <w:t xml:space="preserve"> </w:t>
      </w:r>
      <w:r>
        <w:rPr>
          <w:w w:val="105"/>
        </w:rPr>
        <w:t>y</w:t>
      </w:r>
      <w:r>
        <w:rPr>
          <w:spacing w:val="-11"/>
          <w:w w:val="105"/>
        </w:rPr>
        <w:t xml:space="preserve"> </w:t>
      </w:r>
      <w:r>
        <w:rPr>
          <w:w w:val="105"/>
        </w:rPr>
        <w:t>proporcionada;1149</w:t>
      </w:r>
      <w:r>
        <w:rPr>
          <w:spacing w:val="-12"/>
          <w:w w:val="105"/>
        </w:rPr>
        <w:t xml:space="preserve"> </w:t>
      </w:r>
      <w:r>
        <w:rPr>
          <w:w w:val="105"/>
        </w:rPr>
        <w:t>y</w:t>
      </w:r>
      <w:r>
        <w:rPr>
          <w:spacing w:val="-12"/>
          <w:w w:val="105"/>
        </w:rPr>
        <w:t xml:space="preserve"> </w:t>
      </w:r>
      <w:r>
        <w:rPr>
          <w:w w:val="105"/>
        </w:rPr>
        <w:t>adoptada</w:t>
      </w:r>
      <w:r>
        <w:rPr>
          <w:spacing w:val="-12"/>
          <w:w w:val="105"/>
        </w:rPr>
        <w:t xml:space="preserve"> </w:t>
      </w:r>
      <w:r>
        <w:rPr>
          <w:w w:val="105"/>
        </w:rPr>
        <w:t>para</w:t>
      </w:r>
      <w:r>
        <w:rPr>
          <w:spacing w:val="-11"/>
          <w:w w:val="105"/>
        </w:rPr>
        <w:t xml:space="preserve"> </w:t>
      </w:r>
      <w:r>
        <w:rPr>
          <w:w w:val="105"/>
        </w:rPr>
        <w:t>respetar</w:t>
      </w:r>
      <w:r>
        <w:rPr>
          <w:spacing w:val="-12"/>
          <w:w w:val="105"/>
        </w:rPr>
        <w:t xml:space="preserve"> </w:t>
      </w:r>
      <w:r>
        <w:rPr>
          <w:w w:val="105"/>
        </w:rPr>
        <w:t>los</w:t>
      </w:r>
      <w:r>
        <w:rPr>
          <w:spacing w:val="-12"/>
          <w:w w:val="105"/>
        </w:rPr>
        <w:t xml:space="preserve"> </w:t>
      </w:r>
      <w:r>
        <w:rPr>
          <w:w w:val="105"/>
        </w:rPr>
        <w:t>derechos</w:t>
      </w:r>
      <w:r>
        <w:rPr>
          <w:spacing w:val="-11"/>
          <w:w w:val="105"/>
        </w:rPr>
        <w:t xml:space="preserve"> </w:t>
      </w:r>
      <w:r>
        <w:rPr>
          <w:w w:val="105"/>
        </w:rPr>
        <w:t>o</w:t>
      </w:r>
      <w:r>
        <w:rPr>
          <w:spacing w:val="-12"/>
          <w:w w:val="105"/>
        </w:rPr>
        <w:t xml:space="preserve"> </w:t>
      </w:r>
      <w:r>
        <w:rPr>
          <w:w w:val="105"/>
        </w:rPr>
        <w:t>la</w:t>
      </w:r>
      <w:r>
        <w:rPr>
          <w:spacing w:val="-12"/>
          <w:w w:val="105"/>
        </w:rPr>
        <w:t xml:space="preserve"> </w:t>
      </w:r>
      <w:r>
        <w:rPr>
          <w:w w:val="105"/>
        </w:rPr>
        <w:t>reputación</w:t>
      </w:r>
      <w:r>
        <w:rPr>
          <w:spacing w:val="-11"/>
          <w:w w:val="105"/>
        </w:rPr>
        <w:t xml:space="preserve"> </w:t>
      </w:r>
      <w:r>
        <w:rPr>
          <w:w w:val="105"/>
        </w:rPr>
        <w:t>de</w:t>
      </w:r>
      <w:r>
        <w:rPr>
          <w:spacing w:val="-12"/>
          <w:w w:val="105"/>
        </w:rPr>
        <w:t xml:space="preserve"> </w:t>
      </w:r>
      <w:r>
        <w:rPr>
          <w:w w:val="105"/>
        </w:rPr>
        <w:t>otros,</w:t>
      </w:r>
      <w:r>
        <w:rPr>
          <w:spacing w:val="-12"/>
          <w:w w:val="105"/>
        </w:rPr>
        <w:t xml:space="preserve"> </w:t>
      </w:r>
      <w:r>
        <w:rPr>
          <w:w w:val="105"/>
        </w:rPr>
        <w:t>o</w:t>
      </w:r>
      <w:r>
        <w:rPr>
          <w:spacing w:val="-11"/>
          <w:w w:val="105"/>
        </w:rPr>
        <w:t xml:space="preserve"> </w:t>
      </w:r>
      <w:r>
        <w:rPr>
          <w:w w:val="105"/>
        </w:rPr>
        <w:t>la</w:t>
      </w:r>
      <w:r>
        <w:rPr>
          <w:spacing w:val="-12"/>
          <w:w w:val="105"/>
        </w:rPr>
        <w:t xml:space="preserve"> </w:t>
      </w:r>
      <w:r>
        <w:rPr>
          <w:w w:val="105"/>
        </w:rPr>
        <w:t>seguridad nacional, el orden público o la seguridad pública. salud o moral.1150 Al interpretar este último requisito, el Comité de Derechos</w:t>
      </w:r>
      <w:r>
        <w:rPr>
          <w:spacing w:val="-4"/>
          <w:w w:val="105"/>
        </w:rPr>
        <w:t xml:space="preserve"> </w:t>
      </w:r>
      <w:r>
        <w:rPr>
          <w:w w:val="105"/>
        </w:rPr>
        <w:t>Humanos</w:t>
      </w:r>
      <w:r>
        <w:rPr>
          <w:spacing w:val="-4"/>
          <w:w w:val="105"/>
        </w:rPr>
        <w:t xml:space="preserve"> </w:t>
      </w:r>
      <w:r>
        <w:rPr>
          <w:w w:val="105"/>
        </w:rPr>
        <w:t>ha</w:t>
      </w:r>
      <w:r>
        <w:rPr>
          <w:spacing w:val="-4"/>
          <w:w w:val="105"/>
        </w:rPr>
        <w:t xml:space="preserve"> </w:t>
      </w:r>
      <w:r>
        <w:rPr>
          <w:w w:val="105"/>
        </w:rPr>
        <w:t>sostenido</w:t>
      </w:r>
      <w:r>
        <w:rPr>
          <w:spacing w:val="-4"/>
          <w:w w:val="105"/>
        </w:rPr>
        <w:t xml:space="preserve"> </w:t>
      </w:r>
      <w:r>
        <w:rPr>
          <w:w w:val="105"/>
        </w:rPr>
        <w:t>que:</w:t>
      </w:r>
      <w:r>
        <w:rPr>
          <w:spacing w:val="-4"/>
          <w:w w:val="105"/>
        </w:rPr>
        <w:t xml:space="preserve"> </w:t>
      </w:r>
      <w:r>
        <w:rPr>
          <w:w w:val="105"/>
        </w:rPr>
        <w:t>“'el</w:t>
      </w:r>
      <w:r>
        <w:rPr>
          <w:spacing w:val="-4"/>
          <w:w w:val="105"/>
        </w:rPr>
        <w:t xml:space="preserve"> </w:t>
      </w:r>
      <w:r>
        <w:rPr>
          <w:w w:val="105"/>
        </w:rPr>
        <w:t>concepto</w:t>
      </w:r>
      <w:r>
        <w:rPr>
          <w:spacing w:val="-4"/>
          <w:w w:val="105"/>
        </w:rPr>
        <w:t xml:space="preserve"> </w:t>
      </w:r>
      <w:r>
        <w:rPr>
          <w:w w:val="105"/>
        </w:rPr>
        <w:t>de</w:t>
      </w:r>
      <w:r>
        <w:rPr>
          <w:spacing w:val="-4"/>
          <w:w w:val="105"/>
        </w:rPr>
        <w:t xml:space="preserve"> </w:t>
      </w:r>
      <w:r>
        <w:rPr>
          <w:w w:val="105"/>
        </w:rPr>
        <w:t>moral</w:t>
      </w:r>
      <w:r>
        <w:rPr>
          <w:spacing w:val="-4"/>
          <w:w w:val="105"/>
        </w:rPr>
        <w:t xml:space="preserve"> </w:t>
      </w:r>
      <w:r>
        <w:rPr>
          <w:w w:val="105"/>
        </w:rPr>
        <w:t>deriva</w:t>
      </w:r>
      <w:r>
        <w:rPr>
          <w:spacing w:val="-4"/>
          <w:w w:val="105"/>
        </w:rPr>
        <w:t xml:space="preserve"> </w:t>
      </w:r>
      <w:r>
        <w:rPr>
          <w:w w:val="105"/>
        </w:rPr>
        <w:t>de</w:t>
      </w:r>
      <w:r>
        <w:rPr>
          <w:spacing w:val="-4"/>
          <w:w w:val="105"/>
        </w:rPr>
        <w:t xml:space="preserve"> </w:t>
      </w:r>
      <w:r>
        <w:rPr>
          <w:w w:val="105"/>
        </w:rPr>
        <w:t>muchas</w:t>
      </w:r>
      <w:r>
        <w:rPr>
          <w:spacing w:val="-4"/>
          <w:w w:val="105"/>
        </w:rPr>
        <w:t xml:space="preserve"> </w:t>
      </w:r>
      <w:r>
        <w:rPr>
          <w:w w:val="105"/>
        </w:rPr>
        <w:t>tradiciones</w:t>
      </w:r>
      <w:r>
        <w:rPr>
          <w:spacing w:val="-4"/>
          <w:w w:val="105"/>
        </w:rPr>
        <w:t xml:space="preserve"> </w:t>
      </w:r>
      <w:r>
        <w:rPr>
          <w:w w:val="105"/>
        </w:rPr>
        <w:t>sociales,</w:t>
      </w:r>
      <w:r>
        <w:rPr>
          <w:spacing w:val="-4"/>
          <w:w w:val="105"/>
        </w:rPr>
        <w:t xml:space="preserve"> </w:t>
      </w:r>
      <w:r>
        <w:rPr>
          <w:w w:val="105"/>
        </w:rPr>
        <w:t>filosóficas</w:t>
      </w:r>
      <w:r>
        <w:rPr>
          <w:spacing w:val="-4"/>
          <w:w w:val="105"/>
        </w:rPr>
        <w:t xml:space="preserve"> </w:t>
      </w:r>
      <w:r>
        <w:rPr>
          <w:w w:val="105"/>
        </w:rPr>
        <w:t>y</w:t>
      </w:r>
      <w:r>
        <w:rPr>
          <w:spacing w:val="-4"/>
          <w:w w:val="105"/>
        </w:rPr>
        <w:t xml:space="preserve"> </w:t>
      </w:r>
      <w:r>
        <w:rPr>
          <w:w w:val="105"/>
        </w:rPr>
        <w:t>religiosas; en</w:t>
      </w:r>
      <w:r>
        <w:rPr>
          <w:spacing w:val="-4"/>
          <w:w w:val="105"/>
        </w:rPr>
        <w:t xml:space="preserve"> </w:t>
      </w:r>
      <w:r>
        <w:rPr>
          <w:w w:val="105"/>
        </w:rPr>
        <w:t>consecuencia,</w:t>
      </w:r>
      <w:r>
        <w:rPr>
          <w:spacing w:val="-2"/>
          <w:w w:val="105"/>
        </w:rPr>
        <w:t xml:space="preserve"> </w:t>
      </w:r>
      <w:r>
        <w:rPr>
          <w:w w:val="105"/>
        </w:rPr>
        <w:t>las</w:t>
      </w:r>
      <w:r>
        <w:rPr>
          <w:spacing w:val="-4"/>
          <w:w w:val="105"/>
        </w:rPr>
        <w:t xml:space="preserve"> </w:t>
      </w:r>
      <w:r>
        <w:rPr>
          <w:w w:val="105"/>
        </w:rPr>
        <w:t>limitaciones...</w:t>
      </w:r>
      <w:r>
        <w:rPr>
          <w:spacing w:val="-2"/>
          <w:w w:val="105"/>
        </w:rPr>
        <w:t xml:space="preserve"> </w:t>
      </w:r>
      <w:r>
        <w:rPr>
          <w:w w:val="105"/>
        </w:rPr>
        <w:t>a</w:t>
      </w:r>
      <w:r>
        <w:rPr>
          <w:spacing w:val="-4"/>
          <w:w w:val="105"/>
        </w:rPr>
        <w:t xml:space="preserve"> </w:t>
      </w:r>
      <w:r>
        <w:rPr>
          <w:w w:val="105"/>
        </w:rPr>
        <w:t>efectos</w:t>
      </w:r>
      <w:r>
        <w:rPr>
          <w:spacing w:val="-4"/>
          <w:w w:val="105"/>
        </w:rPr>
        <w:t xml:space="preserve"> </w:t>
      </w:r>
      <w:r>
        <w:rPr>
          <w:w w:val="105"/>
        </w:rPr>
        <w:t>de</w:t>
      </w:r>
      <w:r>
        <w:rPr>
          <w:spacing w:val="-4"/>
          <w:w w:val="105"/>
        </w:rPr>
        <w:t xml:space="preserve"> </w:t>
      </w:r>
      <w:r>
        <w:rPr>
          <w:w w:val="105"/>
        </w:rPr>
        <w:t>proteger</w:t>
      </w:r>
      <w:r>
        <w:rPr>
          <w:spacing w:val="-4"/>
          <w:w w:val="105"/>
        </w:rPr>
        <w:t xml:space="preserve"> </w:t>
      </w:r>
      <w:r>
        <w:rPr>
          <w:w w:val="105"/>
        </w:rPr>
        <w:t>la</w:t>
      </w:r>
      <w:r>
        <w:rPr>
          <w:spacing w:val="-4"/>
          <w:w w:val="105"/>
        </w:rPr>
        <w:t xml:space="preserve"> </w:t>
      </w:r>
      <w:r>
        <w:rPr>
          <w:w w:val="105"/>
        </w:rPr>
        <w:t>moral</w:t>
      </w:r>
      <w:r>
        <w:rPr>
          <w:spacing w:val="-3"/>
          <w:w w:val="105"/>
        </w:rPr>
        <w:t xml:space="preserve"> </w:t>
      </w:r>
      <w:r>
        <w:rPr>
          <w:w w:val="105"/>
        </w:rPr>
        <w:t>deben</w:t>
      </w:r>
      <w:r>
        <w:rPr>
          <w:spacing w:val="-4"/>
          <w:w w:val="105"/>
        </w:rPr>
        <w:t xml:space="preserve"> </w:t>
      </w:r>
      <w:r>
        <w:rPr>
          <w:w w:val="105"/>
        </w:rPr>
        <w:t>basarse</w:t>
      </w:r>
      <w:r>
        <w:rPr>
          <w:spacing w:val="-3"/>
          <w:w w:val="105"/>
        </w:rPr>
        <w:t xml:space="preserve"> </w:t>
      </w:r>
      <w:r>
        <w:rPr>
          <w:w w:val="105"/>
        </w:rPr>
        <w:t>en</w:t>
      </w:r>
      <w:r>
        <w:rPr>
          <w:spacing w:val="-4"/>
          <w:w w:val="105"/>
        </w:rPr>
        <w:t xml:space="preserve"> </w:t>
      </w:r>
      <w:r>
        <w:rPr>
          <w:w w:val="105"/>
        </w:rPr>
        <w:t>principios</w:t>
      </w:r>
      <w:r>
        <w:rPr>
          <w:spacing w:val="-4"/>
          <w:w w:val="105"/>
        </w:rPr>
        <w:t xml:space="preserve"> </w:t>
      </w:r>
      <w:r>
        <w:rPr>
          <w:w w:val="105"/>
        </w:rPr>
        <w:t>que</w:t>
      </w:r>
      <w:r>
        <w:rPr>
          <w:spacing w:val="-4"/>
          <w:w w:val="105"/>
        </w:rPr>
        <w:t xml:space="preserve"> </w:t>
      </w:r>
      <w:r>
        <w:rPr>
          <w:w w:val="105"/>
        </w:rPr>
        <w:t>no</w:t>
      </w:r>
      <w:r>
        <w:rPr>
          <w:spacing w:val="-4"/>
          <w:w w:val="105"/>
        </w:rPr>
        <w:t xml:space="preserve"> </w:t>
      </w:r>
      <w:r>
        <w:rPr>
          <w:w w:val="105"/>
        </w:rPr>
        <w:t>deriven</w:t>
      </w:r>
      <w:r>
        <w:rPr>
          <w:spacing w:val="-3"/>
          <w:w w:val="105"/>
        </w:rPr>
        <w:t xml:space="preserve"> </w:t>
      </w:r>
      <w:r>
        <w:rPr>
          <w:w w:val="105"/>
        </w:rPr>
        <w:t>exclusivamente de una sola tradición'. Cualquier limitación de este tipo debe entenderse a la luz de la universalidad de los derechos humanos y el principio de no discriminación.”1151</w:t>
      </w:r>
    </w:p>
    <w:p w14:paraId="7015265A" w14:textId="77777777" w:rsidR="0014798C" w:rsidRDefault="004E1F0B">
      <w:pPr>
        <w:pStyle w:val="Textoindependiente"/>
        <w:spacing w:before="167" w:line="326" w:lineRule="auto"/>
        <w:ind w:left="1107" w:right="1272" w:firstLine="2"/>
      </w:pPr>
      <w:r>
        <w:rPr>
          <w:w w:val="105"/>
        </w:rPr>
        <w:t>Al</w:t>
      </w:r>
      <w:r>
        <w:rPr>
          <w:spacing w:val="-3"/>
          <w:w w:val="105"/>
        </w:rPr>
        <w:t xml:space="preserve"> </w:t>
      </w:r>
      <w:r>
        <w:rPr>
          <w:w w:val="105"/>
        </w:rPr>
        <w:t>examinar</w:t>
      </w:r>
      <w:r>
        <w:rPr>
          <w:spacing w:val="-3"/>
          <w:w w:val="105"/>
        </w:rPr>
        <w:t xml:space="preserve"> </w:t>
      </w:r>
      <w:r>
        <w:rPr>
          <w:w w:val="105"/>
        </w:rPr>
        <w:t>la</w:t>
      </w:r>
      <w:r>
        <w:rPr>
          <w:spacing w:val="-3"/>
          <w:w w:val="105"/>
        </w:rPr>
        <w:t xml:space="preserve"> </w:t>
      </w:r>
      <w:r>
        <w:rPr>
          <w:w w:val="105"/>
        </w:rPr>
        <w:t>interacción</w:t>
      </w:r>
      <w:r>
        <w:rPr>
          <w:spacing w:val="-3"/>
          <w:w w:val="105"/>
        </w:rPr>
        <w:t xml:space="preserve"> </w:t>
      </w:r>
      <w:r>
        <w:rPr>
          <w:w w:val="105"/>
        </w:rPr>
        <w:t>entre</w:t>
      </w:r>
      <w:r>
        <w:rPr>
          <w:spacing w:val="-3"/>
          <w:w w:val="105"/>
        </w:rPr>
        <w:t xml:space="preserve"> </w:t>
      </w:r>
      <w:r>
        <w:rPr>
          <w:w w:val="105"/>
        </w:rPr>
        <w:t>los</w:t>
      </w:r>
      <w:r>
        <w:rPr>
          <w:spacing w:val="-3"/>
          <w:w w:val="105"/>
        </w:rPr>
        <w:t xml:space="preserve"> </w:t>
      </w:r>
      <w:r>
        <w:rPr>
          <w:w w:val="105"/>
        </w:rPr>
        <w:t>artículos</w:t>
      </w:r>
      <w:r>
        <w:rPr>
          <w:spacing w:val="-3"/>
          <w:w w:val="105"/>
        </w:rPr>
        <w:t xml:space="preserve"> </w:t>
      </w:r>
      <w:r>
        <w:rPr>
          <w:w w:val="105"/>
        </w:rPr>
        <w:t>19</w:t>
      </w:r>
      <w:r>
        <w:rPr>
          <w:spacing w:val="-3"/>
          <w:w w:val="105"/>
        </w:rPr>
        <w:t xml:space="preserve"> </w:t>
      </w:r>
      <w:r>
        <w:rPr>
          <w:w w:val="105"/>
        </w:rPr>
        <w:t>(3)</w:t>
      </w:r>
      <w:r>
        <w:rPr>
          <w:spacing w:val="-3"/>
          <w:w w:val="105"/>
        </w:rPr>
        <w:t xml:space="preserve"> </w:t>
      </w:r>
      <w:r>
        <w:rPr>
          <w:w w:val="105"/>
        </w:rPr>
        <w:t>y</w:t>
      </w:r>
      <w:r>
        <w:rPr>
          <w:spacing w:val="-2"/>
          <w:w w:val="105"/>
        </w:rPr>
        <w:t xml:space="preserve"> </w:t>
      </w:r>
      <w:r>
        <w:rPr>
          <w:w w:val="105"/>
        </w:rPr>
        <w:t>20</w:t>
      </w:r>
      <w:r>
        <w:rPr>
          <w:spacing w:val="-3"/>
          <w:w w:val="105"/>
        </w:rPr>
        <w:t xml:space="preserve"> </w:t>
      </w:r>
      <w:r>
        <w:rPr>
          <w:w w:val="105"/>
        </w:rPr>
        <w:t>en</w:t>
      </w:r>
      <w:r>
        <w:rPr>
          <w:spacing w:val="-3"/>
          <w:w w:val="105"/>
        </w:rPr>
        <w:t xml:space="preserve"> </w:t>
      </w:r>
      <w:r>
        <w:rPr>
          <w:w w:val="105"/>
        </w:rPr>
        <w:t>particular,</w:t>
      </w:r>
      <w:r>
        <w:rPr>
          <w:spacing w:val="-2"/>
          <w:w w:val="105"/>
        </w:rPr>
        <w:t xml:space="preserve"> </w:t>
      </w:r>
      <w:r>
        <w:rPr>
          <w:w w:val="105"/>
        </w:rPr>
        <w:t>el</w:t>
      </w:r>
      <w:r>
        <w:rPr>
          <w:spacing w:val="-3"/>
          <w:w w:val="105"/>
        </w:rPr>
        <w:t xml:space="preserve"> </w:t>
      </w:r>
      <w:r>
        <w:rPr>
          <w:w w:val="105"/>
        </w:rPr>
        <w:t>Comité</w:t>
      </w:r>
      <w:r>
        <w:rPr>
          <w:spacing w:val="-3"/>
          <w:w w:val="105"/>
        </w:rPr>
        <w:t xml:space="preserve"> </w:t>
      </w:r>
      <w:r>
        <w:rPr>
          <w:w w:val="105"/>
        </w:rPr>
        <w:t>ha</w:t>
      </w:r>
      <w:r>
        <w:rPr>
          <w:spacing w:val="-3"/>
          <w:w w:val="105"/>
        </w:rPr>
        <w:t xml:space="preserve"> </w:t>
      </w:r>
      <w:r>
        <w:rPr>
          <w:w w:val="105"/>
        </w:rPr>
        <w:t>llegado</w:t>
      </w:r>
      <w:r>
        <w:rPr>
          <w:spacing w:val="-3"/>
          <w:w w:val="105"/>
        </w:rPr>
        <w:t xml:space="preserve"> </w:t>
      </w:r>
      <w:r>
        <w:rPr>
          <w:w w:val="105"/>
        </w:rPr>
        <w:t>a</w:t>
      </w:r>
      <w:r>
        <w:rPr>
          <w:spacing w:val="-3"/>
          <w:w w:val="105"/>
        </w:rPr>
        <w:t xml:space="preserve"> </w:t>
      </w:r>
      <w:r>
        <w:rPr>
          <w:w w:val="105"/>
        </w:rPr>
        <w:t>la</w:t>
      </w:r>
      <w:r>
        <w:rPr>
          <w:spacing w:val="-3"/>
          <w:w w:val="105"/>
        </w:rPr>
        <w:t xml:space="preserve"> </w:t>
      </w:r>
      <w:r>
        <w:rPr>
          <w:w w:val="105"/>
        </w:rPr>
        <w:t>conclusión</w:t>
      </w:r>
      <w:r>
        <w:rPr>
          <w:spacing w:val="-2"/>
          <w:w w:val="105"/>
        </w:rPr>
        <w:t xml:space="preserve"> </w:t>
      </w:r>
      <w:r>
        <w:rPr>
          <w:w w:val="105"/>
        </w:rPr>
        <w:t>de</w:t>
      </w:r>
      <w:r>
        <w:rPr>
          <w:spacing w:val="-3"/>
          <w:w w:val="105"/>
        </w:rPr>
        <w:t xml:space="preserve"> </w:t>
      </w:r>
      <w:r>
        <w:rPr>
          <w:w w:val="105"/>
        </w:rPr>
        <w:t>que</w:t>
      </w:r>
      <w:r>
        <w:rPr>
          <w:spacing w:val="-3"/>
          <w:w w:val="105"/>
        </w:rPr>
        <w:t xml:space="preserve"> </w:t>
      </w:r>
      <w:r>
        <w:rPr>
          <w:w w:val="105"/>
        </w:rPr>
        <w:t>ambas disposiciones son “compatibles y se complementan entre sí”, afirmando además que:</w:t>
      </w:r>
    </w:p>
    <w:p w14:paraId="766D4713" w14:textId="77777777" w:rsidR="0014798C" w:rsidRDefault="004E1F0B">
      <w:pPr>
        <w:pStyle w:val="Textoindependiente"/>
        <w:spacing w:before="112" w:line="326" w:lineRule="auto"/>
        <w:ind w:left="1672" w:right="1642"/>
      </w:pPr>
      <w:r>
        <w:rPr>
          <w:color w:val="0075BF"/>
          <w:w w:val="105"/>
        </w:rPr>
        <w:t>Todos los actos a que se refiere el artículo 20 están sujetos a restricción de conformidad con el párrafo 3 del artículo 19. Como tal, una limitación que esté justificada sobre la base del artículo 20 también debe cumplir con el párrafo 3 del artículo 19... ¿Qué distingue los actos? Lo que se aborda en el artículo 20 de otros actos que pueden</w:t>
      </w:r>
      <w:r>
        <w:rPr>
          <w:color w:val="0075BF"/>
          <w:spacing w:val="-3"/>
          <w:w w:val="105"/>
        </w:rPr>
        <w:t xml:space="preserve"> </w:t>
      </w:r>
      <w:r>
        <w:rPr>
          <w:color w:val="0075BF"/>
          <w:w w:val="105"/>
        </w:rPr>
        <w:t>estar</w:t>
      </w:r>
      <w:r>
        <w:rPr>
          <w:color w:val="0075BF"/>
          <w:spacing w:val="-3"/>
          <w:w w:val="105"/>
        </w:rPr>
        <w:t xml:space="preserve"> </w:t>
      </w:r>
      <w:r>
        <w:rPr>
          <w:color w:val="0075BF"/>
          <w:w w:val="105"/>
        </w:rPr>
        <w:t>sujetos</w:t>
      </w:r>
      <w:r>
        <w:rPr>
          <w:color w:val="0075BF"/>
          <w:spacing w:val="-3"/>
          <w:w w:val="105"/>
        </w:rPr>
        <w:t xml:space="preserve"> </w:t>
      </w:r>
      <w:r>
        <w:rPr>
          <w:color w:val="0075BF"/>
          <w:w w:val="105"/>
        </w:rPr>
        <w:t>a</w:t>
      </w:r>
      <w:r>
        <w:rPr>
          <w:color w:val="0075BF"/>
          <w:spacing w:val="-3"/>
          <w:w w:val="105"/>
        </w:rPr>
        <w:t xml:space="preserve"> </w:t>
      </w:r>
      <w:r>
        <w:rPr>
          <w:color w:val="0075BF"/>
          <w:w w:val="105"/>
        </w:rPr>
        <w:t>restricción</w:t>
      </w:r>
      <w:r>
        <w:rPr>
          <w:color w:val="0075BF"/>
          <w:spacing w:val="-3"/>
          <w:w w:val="105"/>
        </w:rPr>
        <w:t xml:space="preserve"> </w:t>
      </w:r>
      <w:r>
        <w:rPr>
          <w:color w:val="0075BF"/>
          <w:w w:val="105"/>
        </w:rPr>
        <w:t>en</w:t>
      </w:r>
      <w:r>
        <w:rPr>
          <w:color w:val="0075BF"/>
          <w:spacing w:val="-3"/>
          <w:w w:val="105"/>
        </w:rPr>
        <w:t xml:space="preserve"> </w:t>
      </w:r>
      <w:r>
        <w:rPr>
          <w:color w:val="0075BF"/>
          <w:w w:val="105"/>
        </w:rPr>
        <w:t>virtud</w:t>
      </w:r>
      <w:r>
        <w:rPr>
          <w:color w:val="0075BF"/>
          <w:spacing w:val="-3"/>
          <w:w w:val="105"/>
        </w:rPr>
        <w:t xml:space="preserve"> </w:t>
      </w:r>
      <w:r>
        <w:rPr>
          <w:color w:val="0075BF"/>
          <w:w w:val="105"/>
        </w:rPr>
        <w:t>del</w:t>
      </w:r>
      <w:r>
        <w:rPr>
          <w:color w:val="0075BF"/>
          <w:spacing w:val="-3"/>
          <w:w w:val="105"/>
        </w:rPr>
        <w:t xml:space="preserve"> </w:t>
      </w:r>
      <w:r>
        <w:rPr>
          <w:color w:val="0075BF"/>
          <w:w w:val="105"/>
        </w:rPr>
        <w:t>párrafo</w:t>
      </w:r>
      <w:r>
        <w:rPr>
          <w:color w:val="0075BF"/>
          <w:spacing w:val="-3"/>
          <w:w w:val="105"/>
        </w:rPr>
        <w:t xml:space="preserve"> </w:t>
      </w:r>
      <w:r>
        <w:rPr>
          <w:color w:val="0075BF"/>
          <w:w w:val="105"/>
        </w:rPr>
        <w:t>3</w:t>
      </w:r>
      <w:r>
        <w:rPr>
          <w:color w:val="0075BF"/>
          <w:spacing w:val="-3"/>
          <w:w w:val="105"/>
        </w:rPr>
        <w:t xml:space="preserve"> </w:t>
      </w:r>
      <w:r>
        <w:rPr>
          <w:color w:val="0075BF"/>
          <w:w w:val="105"/>
        </w:rPr>
        <w:t>del</w:t>
      </w:r>
      <w:r>
        <w:rPr>
          <w:color w:val="0075BF"/>
          <w:spacing w:val="-3"/>
          <w:w w:val="105"/>
        </w:rPr>
        <w:t xml:space="preserve"> </w:t>
      </w:r>
      <w:r>
        <w:rPr>
          <w:color w:val="0075BF"/>
          <w:w w:val="105"/>
        </w:rPr>
        <w:t>artículo</w:t>
      </w:r>
      <w:r>
        <w:rPr>
          <w:color w:val="0075BF"/>
          <w:spacing w:val="-3"/>
          <w:w w:val="105"/>
        </w:rPr>
        <w:t xml:space="preserve"> </w:t>
      </w:r>
      <w:r>
        <w:rPr>
          <w:color w:val="0075BF"/>
          <w:w w:val="105"/>
        </w:rPr>
        <w:t>19</w:t>
      </w:r>
      <w:r>
        <w:rPr>
          <w:color w:val="0075BF"/>
          <w:spacing w:val="-3"/>
          <w:w w:val="105"/>
        </w:rPr>
        <w:t xml:space="preserve"> </w:t>
      </w:r>
      <w:r>
        <w:rPr>
          <w:color w:val="0075BF"/>
          <w:w w:val="105"/>
        </w:rPr>
        <w:t>es</w:t>
      </w:r>
      <w:r>
        <w:rPr>
          <w:color w:val="0075BF"/>
          <w:spacing w:val="-3"/>
          <w:w w:val="105"/>
        </w:rPr>
        <w:t xml:space="preserve"> </w:t>
      </w:r>
      <w:r>
        <w:rPr>
          <w:color w:val="0075BF"/>
          <w:w w:val="105"/>
        </w:rPr>
        <w:t>que,</w:t>
      </w:r>
      <w:r>
        <w:rPr>
          <w:color w:val="0075BF"/>
          <w:spacing w:val="-2"/>
          <w:w w:val="105"/>
        </w:rPr>
        <w:t xml:space="preserve"> </w:t>
      </w:r>
      <w:r>
        <w:rPr>
          <w:color w:val="0075BF"/>
          <w:w w:val="105"/>
        </w:rPr>
        <w:t>para</w:t>
      </w:r>
      <w:r>
        <w:rPr>
          <w:color w:val="0075BF"/>
          <w:spacing w:val="-2"/>
          <w:w w:val="105"/>
        </w:rPr>
        <w:t xml:space="preserve"> </w:t>
      </w:r>
      <w:r>
        <w:rPr>
          <w:color w:val="0075BF"/>
          <w:w w:val="105"/>
        </w:rPr>
        <w:t>los</w:t>
      </w:r>
      <w:r>
        <w:rPr>
          <w:color w:val="0075BF"/>
          <w:spacing w:val="-3"/>
          <w:w w:val="105"/>
        </w:rPr>
        <w:t xml:space="preserve"> </w:t>
      </w:r>
      <w:r>
        <w:rPr>
          <w:color w:val="0075BF"/>
          <w:w w:val="105"/>
        </w:rPr>
        <w:t>actos</w:t>
      </w:r>
      <w:r>
        <w:rPr>
          <w:color w:val="0075BF"/>
          <w:spacing w:val="-3"/>
          <w:w w:val="105"/>
        </w:rPr>
        <w:t xml:space="preserve"> </w:t>
      </w:r>
      <w:r>
        <w:rPr>
          <w:color w:val="0075BF"/>
          <w:w w:val="105"/>
        </w:rPr>
        <w:t>a</w:t>
      </w:r>
      <w:r>
        <w:rPr>
          <w:color w:val="0075BF"/>
          <w:spacing w:val="-3"/>
          <w:w w:val="105"/>
        </w:rPr>
        <w:t xml:space="preserve"> </w:t>
      </w:r>
      <w:r>
        <w:rPr>
          <w:color w:val="0075BF"/>
          <w:w w:val="105"/>
        </w:rPr>
        <w:t>que</w:t>
      </w:r>
      <w:r>
        <w:rPr>
          <w:color w:val="0075BF"/>
          <w:spacing w:val="-3"/>
          <w:w w:val="105"/>
        </w:rPr>
        <w:t xml:space="preserve"> </w:t>
      </w:r>
      <w:r>
        <w:rPr>
          <w:color w:val="0075BF"/>
          <w:w w:val="105"/>
        </w:rPr>
        <w:t>se</w:t>
      </w:r>
      <w:r>
        <w:rPr>
          <w:color w:val="0075BF"/>
          <w:spacing w:val="-2"/>
          <w:w w:val="105"/>
        </w:rPr>
        <w:t xml:space="preserve"> </w:t>
      </w:r>
      <w:r>
        <w:rPr>
          <w:color w:val="0075BF"/>
          <w:w w:val="105"/>
        </w:rPr>
        <w:t>refiere</w:t>
      </w:r>
      <w:r>
        <w:rPr>
          <w:color w:val="0075BF"/>
          <w:spacing w:val="-3"/>
          <w:w w:val="105"/>
        </w:rPr>
        <w:t xml:space="preserve"> </w:t>
      </w:r>
      <w:r>
        <w:rPr>
          <w:color w:val="0075BF"/>
          <w:w w:val="105"/>
        </w:rPr>
        <w:t>el artículo 20, el Pacto indica la respuesta específica que se requiere del Estado: su prohibición por ley. Sólo en esta</w:t>
      </w:r>
      <w:r>
        <w:rPr>
          <w:color w:val="0075BF"/>
          <w:spacing w:val="-2"/>
          <w:w w:val="105"/>
        </w:rPr>
        <w:t xml:space="preserve"> </w:t>
      </w:r>
      <w:r>
        <w:rPr>
          <w:color w:val="0075BF"/>
          <w:w w:val="105"/>
        </w:rPr>
        <w:t>medida</w:t>
      </w:r>
      <w:r>
        <w:rPr>
          <w:color w:val="0075BF"/>
          <w:spacing w:val="-1"/>
          <w:w w:val="105"/>
        </w:rPr>
        <w:t xml:space="preserve"> </w:t>
      </w:r>
      <w:r>
        <w:rPr>
          <w:color w:val="0075BF"/>
          <w:w w:val="105"/>
        </w:rPr>
        <w:t>el</w:t>
      </w:r>
      <w:r>
        <w:rPr>
          <w:color w:val="0075BF"/>
          <w:spacing w:val="-2"/>
          <w:w w:val="105"/>
        </w:rPr>
        <w:t xml:space="preserve"> </w:t>
      </w:r>
      <w:r>
        <w:rPr>
          <w:color w:val="0075BF"/>
          <w:w w:val="105"/>
        </w:rPr>
        <w:t>artículo</w:t>
      </w:r>
      <w:r>
        <w:rPr>
          <w:color w:val="0075BF"/>
          <w:spacing w:val="-2"/>
          <w:w w:val="105"/>
        </w:rPr>
        <w:t xml:space="preserve"> </w:t>
      </w:r>
      <w:r>
        <w:rPr>
          <w:color w:val="0075BF"/>
          <w:w w:val="105"/>
        </w:rPr>
        <w:t>20</w:t>
      </w:r>
      <w:r>
        <w:rPr>
          <w:color w:val="0075BF"/>
          <w:spacing w:val="-2"/>
          <w:w w:val="105"/>
        </w:rPr>
        <w:t xml:space="preserve"> </w:t>
      </w:r>
      <w:r>
        <w:rPr>
          <w:color w:val="0075BF"/>
          <w:w w:val="105"/>
        </w:rPr>
        <w:t>puede</w:t>
      </w:r>
      <w:r>
        <w:rPr>
          <w:color w:val="0075BF"/>
          <w:spacing w:val="-2"/>
          <w:w w:val="105"/>
        </w:rPr>
        <w:t xml:space="preserve"> </w:t>
      </w:r>
      <w:r>
        <w:rPr>
          <w:color w:val="0075BF"/>
          <w:w w:val="105"/>
        </w:rPr>
        <w:t>considerarse</w:t>
      </w:r>
      <w:r>
        <w:rPr>
          <w:color w:val="0075BF"/>
          <w:spacing w:val="-1"/>
          <w:w w:val="105"/>
        </w:rPr>
        <w:t xml:space="preserve"> </w:t>
      </w:r>
      <w:r>
        <w:rPr>
          <w:color w:val="0075BF"/>
          <w:w w:val="105"/>
        </w:rPr>
        <w:t>lex</w:t>
      </w:r>
      <w:r>
        <w:rPr>
          <w:color w:val="0075BF"/>
          <w:spacing w:val="-2"/>
          <w:w w:val="105"/>
        </w:rPr>
        <w:t xml:space="preserve"> </w:t>
      </w:r>
      <w:proofErr w:type="spellStart"/>
      <w:r>
        <w:rPr>
          <w:color w:val="0075BF"/>
          <w:w w:val="105"/>
        </w:rPr>
        <w:t>specialis</w:t>
      </w:r>
      <w:proofErr w:type="spellEnd"/>
      <w:r>
        <w:rPr>
          <w:color w:val="0075BF"/>
          <w:spacing w:val="-2"/>
          <w:w w:val="105"/>
        </w:rPr>
        <w:t xml:space="preserve"> </w:t>
      </w:r>
      <w:r>
        <w:rPr>
          <w:color w:val="0075BF"/>
          <w:w w:val="105"/>
        </w:rPr>
        <w:t>con</w:t>
      </w:r>
      <w:r>
        <w:rPr>
          <w:color w:val="0075BF"/>
          <w:spacing w:val="-1"/>
          <w:w w:val="105"/>
        </w:rPr>
        <w:t xml:space="preserve"> </w:t>
      </w:r>
      <w:r>
        <w:rPr>
          <w:color w:val="0075BF"/>
          <w:w w:val="105"/>
        </w:rPr>
        <w:t>respecto</w:t>
      </w:r>
      <w:r>
        <w:rPr>
          <w:color w:val="0075BF"/>
          <w:spacing w:val="-2"/>
          <w:w w:val="105"/>
        </w:rPr>
        <w:t xml:space="preserve"> </w:t>
      </w:r>
      <w:r>
        <w:rPr>
          <w:color w:val="0075BF"/>
          <w:w w:val="105"/>
        </w:rPr>
        <w:t>al</w:t>
      </w:r>
      <w:r>
        <w:rPr>
          <w:color w:val="0075BF"/>
          <w:spacing w:val="-2"/>
          <w:w w:val="105"/>
        </w:rPr>
        <w:t xml:space="preserve"> </w:t>
      </w:r>
      <w:r>
        <w:rPr>
          <w:color w:val="0075BF"/>
          <w:w w:val="105"/>
        </w:rPr>
        <w:t>artículo</w:t>
      </w:r>
      <w:r>
        <w:rPr>
          <w:color w:val="0075BF"/>
          <w:spacing w:val="-2"/>
          <w:w w:val="105"/>
        </w:rPr>
        <w:t xml:space="preserve"> </w:t>
      </w:r>
      <w:r>
        <w:rPr>
          <w:color w:val="0075BF"/>
          <w:w w:val="105"/>
        </w:rPr>
        <w:t>19...</w:t>
      </w:r>
      <w:r>
        <w:rPr>
          <w:color w:val="0075BF"/>
          <w:spacing w:val="-1"/>
          <w:w w:val="105"/>
        </w:rPr>
        <w:t xml:space="preserve"> </w:t>
      </w:r>
      <w:r>
        <w:rPr>
          <w:color w:val="0075BF"/>
          <w:w w:val="105"/>
        </w:rPr>
        <w:t>Sólo</w:t>
      </w:r>
      <w:r>
        <w:rPr>
          <w:color w:val="0075BF"/>
          <w:spacing w:val="-2"/>
          <w:w w:val="105"/>
        </w:rPr>
        <w:t xml:space="preserve"> </w:t>
      </w:r>
      <w:r>
        <w:rPr>
          <w:color w:val="0075BF"/>
          <w:w w:val="105"/>
        </w:rPr>
        <w:t>con</w:t>
      </w:r>
      <w:r>
        <w:rPr>
          <w:color w:val="0075BF"/>
          <w:spacing w:val="-1"/>
          <w:w w:val="105"/>
        </w:rPr>
        <w:t xml:space="preserve"> </w:t>
      </w:r>
      <w:r>
        <w:rPr>
          <w:color w:val="0075BF"/>
          <w:w w:val="105"/>
        </w:rPr>
        <w:t>respecto</w:t>
      </w:r>
      <w:r>
        <w:rPr>
          <w:color w:val="0075BF"/>
          <w:spacing w:val="-2"/>
          <w:w w:val="105"/>
        </w:rPr>
        <w:t xml:space="preserve"> </w:t>
      </w:r>
      <w:r>
        <w:rPr>
          <w:color w:val="0075BF"/>
          <w:w w:val="105"/>
        </w:rPr>
        <w:t>a</w:t>
      </w:r>
      <w:r>
        <w:rPr>
          <w:color w:val="0075BF"/>
          <w:spacing w:val="-2"/>
          <w:w w:val="105"/>
        </w:rPr>
        <w:t xml:space="preserve"> </w:t>
      </w:r>
      <w:r>
        <w:rPr>
          <w:color w:val="0075BF"/>
          <w:w w:val="105"/>
        </w:rPr>
        <w:t xml:space="preserve">las formas específicas de expresión indicadas en el artículo 20 los </w:t>
      </w:r>
      <w:proofErr w:type="gramStart"/>
      <w:r>
        <w:rPr>
          <w:color w:val="0075BF"/>
          <w:w w:val="105"/>
        </w:rPr>
        <w:t>Estados partes</w:t>
      </w:r>
      <w:proofErr w:type="gramEnd"/>
      <w:r>
        <w:rPr>
          <w:color w:val="0075BF"/>
          <w:w w:val="105"/>
        </w:rPr>
        <w:t xml:space="preserve"> están obligados a establecer prohibiciones legales. En todo caso en que el Estado restrinja la libertad de expresión es necesario justificar las prohibiciones y sus disposiciones en estricta conformidad con el artículo 19.1152.</w:t>
      </w:r>
    </w:p>
    <w:p w14:paraId="594C91D2" w14:textId="77777777" w:rsidR="0014798C" w:rsidRDefault="004E1F0B">
      <w:pPr>
        <w:pStyle w:val="Textoindependiente"/>
        <w:spacing w:before="109" w:line="326" w:lineRule="auto"/>
        <w:ind w:left="1110" w:right="1479" w:hanging="4"/>
        <w:jc w:val="both"/>
      </w:pPr>
      <w:r>
        <w:rPr>
          <w:noProof/>
        </w:rPr>
        <mc:AlternateContent>
          <mc:Choice Requires="wpg">
            <w:drawing>
              <wp:anchor distT="0" distB="0" distL="0" distR="0" simplePos="0" relativeHeight="251658329" behindDoc="0" locked="0" layoutInCell="1" allowOverlap="1" wp14:anchorId="42F9F4E7" wp14:editId="0A351AA3">
                <wp:simplePos x="0" y="0"/>
                <wp:positionH relativeFrom="page">
                  <wp:posOffset>826632</wp:posOffset>
                </wp:positionH>
                <wp:positionV relativeFrom="paragraph">
                  <wp:posOffset>605641</wp:posOffset>
                </wp:positionV>
                <wp:extent cx="6730365" cy="2880360"/>
                <wp:effectExtent l="0" t="0" r="0" b="0"/>
                <wp:wrapNone/>
                <wp:docPr id="351" name="Group 35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730365" cy="2880360"/>
                          <a:chOff x="0" y="0"/>
                          <a:chExt cx="6730365" cy="2880360"/>
                        </a:xfrm>
                      </wpg:grpSpPr>
                      <pic:pic xmlns:pic="http://schemas.openxmlformats.org/drawingml/2006/picture">
                        <pic:nvPicPr>
                          <pic:cNvPr id="352" name="Image 352"/>
                          <pic:cNvPicPr/>
                        </pic:nvPicPr>
                        <pic:blipFill>
                          <a:blip r:embed="rId325" cstate="print"/>
                          <a:stretch>
                            <a:fillRect/>
                          </a:stretch>
                        </pic:blipFill>
                        <pic:spPr>
                          <a:xfrm>
                            <a:off x="0" y="0"/>
                            <a:ext cx="6729867" cy="2880239"/>
                          </a:xfrm>
                          <a:prstGeom prst="rect">
                            <a:avLst/>
                          </a:prstGeom>
                        </pic:spPr>
                      </pic:pic>
                      <wps:wsp>
                        <wps:cNvPr id="353" name="Textbox 353"/>
                        <wps:cNvSpPr txBox="1"/>
                        <wps:spPr>
                          <a:xfrm>
                            <a:off x="0" y="0"/>
                            <a:ext cx="6730365" cy="2880360"/>
                          </a:xfrm>
                          <a:prstGeom prst="rect">
                            <a:avLst/>
                          </a:prstGeom>
                        </wps:spPr>
                        <wps:txbx>
                          <w:txbxContent>
                            <w:p w14:paraId="5C9712FD" w14:textId="77777777" w:rsidR="0014798C" w:rsidRDefault="004E1F0B">
                              <w:pPr>
                                <w:spacing w:before="74" w:line="326" w:lineRule="auto"/>
                                <w:ind w:left="4" w:right="1337" w:firstLine="4"/>
                                <w:rPr>
                                  <w:sz w:val="16"/>
                                </w:rPr>
                              </w:pPr>
                              <w:r>
                                <w:rPr>
                                  <w:w w:val="105"/>
                                  <w:sz w:val="16"/>
                                </w:rPr>
                                <w:t>Los</w:t>
                              </w:r>
                              <w:r>
                                <w:rPr>
                                  <w:spacing w:val="-4"/>
                                  <w:w w:val="105"/>
                                  <w:sz w:val="16"/>
                                </w:rPr>
                                <w:t xml:space="preserve"> </w:t>
                              </w:r>
                              <w:r>
                                <w:rPr>
                                  <w:w w:val="105"/>
                                  <w:sz w:val="16"/>
                                </w:rPr>
                                <w:t>sistemas</w:t>
                              </w:r>
                              <w:r>
                                <w:rPr>
                                  <w:spacing w:val="-4"/>
                                  <w:w w:val="105"/>
                                  <w:sz w:val="16"/>
                                </w:rPr>
                                <w:t xml:space="preserve"> </w:t>
                              </w:r>
                              <w:r>
                                <w:rPr>
                                  <w:w w:val="105"/>
                                  <w:sz w:val="16"/>
                                </w:rPr>
                                <w:t>regionales</w:t>
                              </w:r>
                              <w:r>
                                <w:rPr>
                                  <w:spacing w:val="-4"/>
                                  <w:w w:val="105"/>
                                  <w:sz w:val="16"/>
                                </w:rPr>
                                <w:t xml:space="preserve"> </w:t>
                              </w:r>
                              <w:r>
                                <w:rPr>
                                  <w:w w:val="105"/>
                                  <w:sz w:val="16"/>
                                </w:rPr>
                                <w:t>de</w:t>
                              </w:r>
                              <w:r>
                                <w:rPr>
                                  <w:spacing w:val="-4"/>
                                  <w:w w:val="105"/>
                                  <w:sz w:val="16"/>
                                </w:rPr>
                                <w:t xml:space="preserve"> </w:t>
                              </w:r>
                              <w:r>
                                <w:rPr>
                                  <w:w w:val="105"/>
                                  <w:sz w:val="16"/>
                                </w:rPr>
                                <w:t>derechos</w:t>
                              </w:r>
                              <w:r>
                                <w:rPr>
                                  <w:spacing w:val="-4"/>
                                  <w:w w:val="105"/>
                                  <w:sz w:val="16"/>
                                </w:rPr>
                                <w:t xml:space="preserve"> </w:t>
                              </w:r>
                              <w:r>
                                <w:rPr>
                                  <w:w w:val="105"/>
                                  <w:sz w:val="16"/>
                                </w:rPr>
                                <w:t>humanos</w:t>
                              </w:r>
                              <w:r>
                                <w:rPr>
                                  <w:spacing w:val="-4"/>
                                  <w:w w:val="105"/>
                                  <w:sz w:val="16"/>
                                </w:rPr>
                                <w:t xml:space="preserve"> </w:t>
                              </w:r>
                              <w:r>
                                <w:rPr>
                                  <w:w w:val="105"/>
                                  <w:sz w:val="16"/>
                                </w:rPr>
                                <w:t>han</w:t>
                              </w:r>
                              <w:r>
                                <w:rPr>
                                  <w:spacing w:val="-4"/>
                                  <w:w w:val="105"/>
                                  <w:sz w:val="16"/>
                                </w:rPr>
                                <w:t xml:space="preserve"> </w:t>
                              </w:r>
                              <w:r>
                                <w:rPr>
                                  <w:w w:val="105"/>
                                  <w:sz w:val="16"/>
                                </w:rPr>
                                <w:t>desarrollado</w:t>
                              </w:r>
                              <w:r>
                                <w:rPr>
                                  <w:spacing w:val="-3"/>
                                  <w:w w:val="105"/>
                                  <w:sz w:val="16"/>
                                </w:rPr>
                                <w:t xml:space="preserve"> </w:t>
                              </w:r>
                              <w:r>
                                <w:rPr>
                                  <w:w w:val="105"/>
                                  <w:sz w:val="16"/>
                                </w:rPr>
                                <w:t>enfoques</w:t>
                              </w:r>
                              <w:r>
                                <w:rPr>
                                  <w:spacing w:val="-4"/>
                                  <w:w w:val="105"/>
                                  <w:sz w:val="16"/>
                                </w:rPr>
                                <w:t xml:space="preserve"> </w:t>
                              </w:r>
                              <w:r>
                                <w:rPr>
                                  <w:w w:val="105"/>
                                  <w:sz w:val="16"/>
                                </w:rPr>
                                <w:t>para</w:t>
                              </w:r>
                              <w:r>
                                <w:rPr>
                                  <w:spacing w:val="-3"/>
                                  <w:w w:val="105"/>
                                  <w:sz w:val="16"/>
                                </w:rPr>
                                <w:t xml:space="preserve"> </w:t>
                              </w:r>
                              <w:r>
                                <w:rPr>
                                  <w:w w:val="105"/>
                                  <w:sz w:val="16"/>
                                </w:rPr>
                                <w:t>conciliar</w:t>
                              </w:r>
                              <w:r>
                                <w:rPr>
                                  <w:spacing w:val="-4"/>
                                  <w:w w:val="105"/>
                                  <w:sz w:val="16"/>
                                </w:rPr>
                                <w:t xml:space="preserve"> </w:t>
                              </w:r>
                              <w:r>
                                <w:rPr>
                                  <w:w w:val="105"/>
                                  <w:sz w:val="16"/>
                                </w:rPr>
                                <w:t>sus</w:t>
                              </w:r>
                              <w:r>
                                <w:rPr>
                                  <w:spacing w:val="-4"/>
                                  <w:w w:val="105"/>
                                  <w:sz w:val="16"/>
                                </w:rPr>
                                <w:t xml:space="preserve"> </w:t>
                              </w:r>
                              <w:r>
                                <w:rPr>
                                  <w:w w:val="105"/>
                                  <w:sz w:val="16"/>
                                </w:rPr>
                                <w:t>enfoques</w:t>
                              </w:r>
                              <w:r>
                                <w:rPr>
                                  <w:spacing w:val="-4"/>
                                  <w:w w:val="105"/>
                                  <w:sz w:val="16"/>
                                </w:rPr>
                                <w:t xml:space="preserve"> </w:t>
                              </w:r>
                              <w:r>
                                <w:rPr>
                                  <w:w w:val="105"/>
                                  <w:sz w:val="16"/>
                                </w:rPr>
                                <w:t>sobre</w:t>
                              </w:r>
                              <w:r>
                                <w:rPr>
                                  <w:spacing w:val="-3"/>
                                  <w:w w:val="105"/>
                                  <w:sz w:val="16"/>
                                </w:rPr>
                                <w:t xml:space="preserve"> </w:t>
                              </w:r>
                              <w:r>
                                <w:rPr>
                                  <w:w w:val="105"/>
                                  <w:sz w:val="16"/>
                                </w:rPr>
                                <w:t>el</w:t>
                              </w:r>
                              <w:r>
                                <w:rPr>
                                  <w:spacing w:val="-4"/>
                                  <w:w w:val="105"/>
                                  <w:sz w:val="16"/>
                                </w:rPr>
                                <w:t xml:space="preserve"> </w:t>
                              </w:r>
                              <w:r>
                                <w:rPr>
                                  <w:w w:val="105"/>
                                  <w:sz w:val="16"/>
                                </w:rPr>
                                <w:t>discurso</w:t>
                              </w:r>
                              <w:r>
                                <w:rPr>
                                  <w:spacing w:val="-3"/>
                                  <w:w w:val="105"/>
                                  <w:sz w:val="16"/>
                                </w:rPr>
                                <w:t xml:space="preserve"> </w:t>
                              </w:r>
                              <w:r>
                                <w:rPr>
                                  <w:w w:val="105"/>
                                  <w:sz w:val="16"/>
                                </w:rPr>
                                <w:t>de odio con los requisitos de libertad de expresión. Así, la Comisión Interamericana de Derechos Humanos y la Corte Interamericana</w:t>
                              </w:r>
                              <w:r>
                                <w:rPr>
                                  <w:spacing w:val="-2"/>
                                  <w:w w:val="105"/>
                                  <w:sz w:val="16"/>
                                </w:rPr>
                                <w:t xml:space="preserve"> </w:t>
                              </w:r>
                              <w:r>
                                <w:rPr>
                                  <w:w w:val="105"/>
                                  <w:sz w:val="16"/>
                                </w:rPr>
                                <w:t>de</w:t>
                              </w:r>
                              <w:r>
                                <w:rPr>
                                  <w:spacing w:val="-2"/>
                                  <w:w w:val="105"/>
                                  <w:sz w:val="16"/>
                                </w:rPr>
                                <w:t xml:space="preserve"> </w:t>
                              </w:r>
                              <w:r>
                                <w:rPr>
                                  <w:w w:val="105"/>
                                  <w:sz w:val="16"/>
                                </w:rPr>
                                <w:t>Derechos</w:t>
                              </w:r>
                              <w:r>
                                <w:rPr>
                                  <w:spacing w:val="-2"/>
                                  <w:w w:val="105"/>
                                  <w:sz w:val="16"/>
                                </w:rPr>
                                <w:t xml:space="preserve"> </w:t>
                              </w:r>
                              <w:r>
                                <w:rPr>
                                  <w:w w:val="105"/>
                                  <w:sz w:val="16"/>
                                </w:rPr>
                                <w:t>Humanos</w:t>
                              </w:r>
                              <w:r>
                                <w:rPr>
                                  <w:spacing w:val="-2"/>
                                  <w:w w:val="105"/>
                                  <w:sz w:val="16"/>
                                </w:rPr>
                                <w:t xml:space="preserve"> </w:t>
                              </w:r>
                              <w:r>
                                <w:rPr>
                                  <w:w w:val="105"/>
                                  <w:sz w:val="16"/>
                                </w:rPr>
                                <w:t>han</w:t>
                              </w:r>
                              <w:r>
                                <w:rPr>
                                  <w:spacing w:val="-2"/>
                                  <w:w w:val="105"/>
                                  <w:sz w:val="16"/>
                                </w:rPr>
                                <w:t xml:space="preserve"> </w:t>
                              </w:r>
                              <w:r>
                                <w:rPr>
                                  <w:w w:val="105"/>
                                  <w:sz w:val="16"/>
                                </w:rPr>
                                <w:t>sostenido</w:t>
                              </w:r>
                              <w:r>
                                <w:rPr>
                                  <w:spacing w:val="-2"/>
                                  <w:w w:val="105"/>
                                  <w:sz w:val="16"/>
                                </w:rPr>
                                <w:t xml:space="preserve"> </w:t>
                              </w:r>
                              <w:r>
                                <w:rPr>
                                  <w:w w:val="105"/>
                                  <w:sz w:val="16"/>
                                </w:rPr>
                                <w:t>consistentemente</w:t>
                              </w:r>
                              <w:r>
                                <w:rPr>
                                  <w:spacing w:val="-2"/>
                                  <w:w w:val="105"/>
                                  <w:sz w:val="16"/>
                                </w:rPr>
                                <w:t xml:space="preserve"> </w:t>
                              </w:r>
                              <w:r>
                                <w:rPr>
                                  <w:w w:val="105"/>
                                  <w:sz w:val="16"/>
                                </w:rPr>
                                <w:t>que</w:t>
                              </w:r>
                              <w:r>
                                <w:rPr>
                                  <w:spacing w:val="-2"/>
                                  <w:w w:val="105"/>
                                  <w:sz w:val="16"/>
                                </w:rPr>
                                <w:t xml:space="preserve"> </w:t>
                              </w:r>
                              <w:r>
                                <w:rPr>
                                  <w:w w:val="105"/>
                                  <w:sz w:val="16"/>
                                </w:rPr>
                                <w:t>“la</w:t>
                              </w:r>
                              <w:r>
                                <w:rPr>
                                  <w:spacing w:val="-1"/>
                                  <w:w w:val="105"/>
                                  <w:sz w:val="16"/>
                                </w:rPr>
                                <w:t xml:space="preserve"> </w:t>
                              </w:r>
                              <w:r>
                                <w:rPr>
                                  <w:w w:val="105"/>
                                  <w:sz w:val="16"/>
                                </w:rPr>
                                <w:t>libertad</w:t>
                              </w:r>
                              <w:r>
                                <w:rPr>
                                  <w:spacing w:val="-2"/>
                                  <w:w w:val="105"/>
                                  <w:sz w:val="16"/>
                                </w:rPr>
                                <w:t xml:space="preserve"> </w:t>
                              </w:r>
                              <w:r>
                                <w:rPr>
                                  <w:w w:val="105"/>
                                  <w:sz w:val="16"/>
                                </w:rPr>
                                <w:t>de</w:t>
                              </w:r>
                              <w:r>
                                <w:rPr>
                                  <w:spacing w:val="-2"/>
                                  <w:w w:val="105"/>
                                  <w:sz w:val="16"/>
                                </w:rPr>
                                <w:t xml:space="preserve"> </w:t>
                              </w:r>
                              <w:r>
                                <w:rPr>
                                  <w:w w:val="105"/>
                                  <w:sz w:val="16"/>
                                </w:rPr>
                                <w:t>expresión</w:t>
                              </w:r>
                              <w:r>
                                <w:rPr>
                                  <w:spacing w:val="-1"/>
                                  <w:w w:val="105"/>
                                  <w:sz w:val="16"/>
                                </w:rPr>
                                <w:t xml:space="preserve"> </w:t>
                              </w:r>
                              <w:r>
                                <w:rPr>
                                  <w:w w:val="105"/>
                                  <w:sz w:val="16"/>
                                </w:rPr>
                                <w:t>no</w:t>
                              </w:r>
                              <w:r>
                                <w:rPr>
                                  <w:spacing w:val="-2"/>
                                  <w:w w:val="105"/>
                                  <w:sz w:val="16"/>
                                </w:rPr>
                                <w:t xml:space="preserve"> </w:t>
                              </w:r>
                              <w:r>
                                <w:rPr>
                                  <w:w w:val="105"/>
                                  <w:sz w:val="16"/>
                                </w:rPr>
                                <w:t>es</w:t>
                              </w:r>
                              <w:r>
                                <w:rPr>
                                  <w:spacing w:val="-2"/>
                                  <w:w w:val="105"/>
                                  <w:sz w:val="16"/>
                                </w:rPr>
                                <w:t xml:space="preserve"> </w:t>
                              </w:r>
                              <w:r>
                                <w:rPr>
                                  <w:w w:val="105"/>
                                  <w:sz w:val="16"/>
                                </w:rPr>
                                <w:t>absoluta”</w:t>
                              </w:r>
                              <w:r>
                                <w:rPr>
                                  <w:spacing w:val="-2"/>
                                  <w:w w:val="105"/>
                                  <w:sz w:val="16"/>
                                </w:rPr>
                                <w:t xml:space="preserve"> </w:t>
                              </w:r>
                              <w:r>
                                <w:rPr>
                                  <w:w w:val="105"/>
                                  <w:sz w:val="16"/>
                                </w:rPr>
                                <w:t>y</w:t>
                              </w:r>
                              <w:r>
                                <w:rPr>
                                  <w:spacing w:val="-1"/>
                                  <w:w w:val="105"/>
                                  <w:sz w:val="16"/>
                                </w:rPr>
                                <w:t xml:space="preserve"> </w:t>
                              </w:r>
                              <w:r>
                                <w:rPr>
                                  <w:w w:val="105"/>
                                  <w:sz w:val="16"/>
                                </w:rPr>
                                <w:t>que “las restricciones pueden considerarse permisibles incluso si el discurso en cuestión es de naturaleza política” .1154 En Europa, donde</w:t>
                              </w:r>
                              <w:r>
                                <w:rPr>
                                  <w:spacing w:val="-1"/>
                                  <w:w w:val="105"/>
                                  <w:sz w:val="16"/>
                                </w:rPr>
                                <w:t xml:space="preserve"> </w:t>
                              </w:r>
                              <w:r>
                                <w:rPr>
                                  <w:w w:val="105"/>
                                  <w:sz w:val="16"/>
                                </w:rPr>
                                <w:t>el</w:t>
                              </w:r>
                              <w:r>
                                <w:rPr>
                                  <w:spacing w:val="-1"/>
                                  <w:w w:val="105"/>
                                  <w:sz w:val="16"/>
                                </w:rPr>
                                <w:t xml:space="preserve"> </w:t>
                              </w:r>
                              <w:r>
                                <w:rPr>
                                  <w:w w:val="105"/>
                                  <w:sz w:val="16"/>
                                </w:rPr>
                                <w:t>Tribunal</w:t>
                              </w:r>
                              <w:r>
                                <w:rPr>
                                  <w:spacing w:val="-1"/>
                                  <w:w w:val="105"/>
                                  <w:sz w:val="16"/>
                                </w:rPr>
                                <w:t xml:space="preserve"> </w:t>
                              </w:r>
                              <w:r>
                                <w:rPr>
                                  <w:w w:val="105"/>
                                  <w:sz w:val="16"/>
                                </w:rPr>
                                <w:t>Europeo</w:t>
                              </w:r>
                              <w:r>
                                <w:rPr>
                                  <w:spacing w:val="-1"/>
                                  <w:w w:val="105"/>
                                  <w:sz w:val="16"/>
                                </w:rPr>
                                <w:t xml:space="preserve"> </w:t>
                              </w:r>
                              <w:r>
                                <w:rPr>
                                  <w:w w:val="105"/>
                                  <w:sz w:val="16"/>
                                </w:rPr>
                                <w:t>de</w:t>
                              </w:r>
                              <w:r>
                                <w:rPr>
                                  <w:spacing w:val="-1"/>
                                  <w:w w:val="105"/>
                                  <w:sz w:val="16"/>
                                </w:rPr>
                                <w:t xml:space="preserve"> </w:t>
                              </w:r>
                              <w:r>
                                <w:rPr>
                                  <w:w w:val="105"/>
                                  <w:sz w:val="16"/>
                                </w:rPr>
                                <w:t>Derechos</w:t>
                              </w:r>
                              <w:r>
                                <w:rPr>
                                  <w:spacing w:val="-1"/>
                                  <w:w w:val="105"/>
                                  <w:sz w:val="16"/>
                                </w:rPr>
                                <w:t xml:space="preserve"> </w:t>
                              </w:r>
                              <w:r>
                                <w:rPr>
                                  <w:w w:val="105"/>
                                  <w:sz w:val="16"/>
                                </w:rPr>
                                <w:t>Humanos</w:t>
                              </w:r>
                              <w:r>
                                <w:rPr>
                                  <w:spacing w:val="-1"/>
                                  <w:w w:val="105"/>
                                  <w:sz w:val="16"/>
                                </w:rPr>
                                <w:t xml:space="preserve"> </w:t>
                              </w:r>
                              <w:r>
                                <w:rPr>
                                  <w:w w:val="105"/>
                                  <w:sz w:val="16"/>
                                </w:rPr>
                                <w:t>ha</w:t>
                              </w:r>
                              <w:r>
                                <w:rPr>
                                  <w:spacing w:val="-1"/>
                                  <w:w w:val="105"/>
                                  <w:sz w:val="16"/>
                                </w:rPr>
                                <w:t xml:space="preserve"> </w:t>
                              </w:r>
                              <w:r>
                                <w:rPr>
                                  <w:w w:val="105"/>
                                  <w:sz w:val="16"/>
                                </w:rPr>
                                <w:t>visto</w:t>
                              </w:r>
                              <w:r>
                                <w:rPr>
                                  <w:spacing w:val="-1"/>
                                  <w:w w:val="105"/>
                                  <w:sz w:val="16"/>
                                </w:rPr>
                                <w:t xml:space="preserve"> </w:t>
                              </w:r>
                              <w:r>
                                <w:rPr>
                                  <w:w w:val="105"/>
                                  <w:sz w:val="16"/>
                                </w:rPr>
                                <w:t>en</w:t>
                              </w:r>
                              <w:r>
                                <w:rPr>
                                  <w:spacing w:val="-1"/>
                                  <w:w w:val="105"/>
                                  <w:sz w:val="16"/>
                                </w:rPr>
                                <w:t xml:space="preserve"> </w:t>
                              </w:r>
                              <w:r>
                                <w:rPr>
                                  <w:w w:val="105"/>
                                  <w:sz w:val="16"/>
                                </w:rPr>
                                <w:t>repetidas</w:t>
                              </w:r>
                              <w:r>
                                <w:rPr>
                                  <w:spacing w:val="-1"/>
                                  <w:w w:val="105"/>
                                  <w:sz w:val="16"/>
                                </w:rPr>
                                <w:t xml:space="preserve"> </w:t>
                              </w:r>
                              <w:r>
                                <w:rPr>
                                  <w:w w:val="105"/>
                                  <w:sz w:val="16"/>
                                </w:rPr>
                                <w:t>ocasiones</w:t>
                              </w:r>
                              <w:r>
                                <w:rPr>
                                  <w:spacing w:val="-1"/>
                                  <w:w w:val="105"/>
                                  <w:sz w:val="16"/>
                                </w:rPr>
                                <w:t xml:space="preserve"> </w:t>
                              </w:r>
                              <w:r>
                                <w:rPr>
                                  <w:w w:val="105"/>
                                  <w:sz w:val="16"/>
                                </w:rPr>
                                <w:t>casos</w:t>
                              </w:r>
                              <w:r>
                                <w:rPr>
                                  <w:spacing w:val="-1"/>
                                  <w:w w:val="105"/>
                                  <w:sz w:val="16"/>
                                </w:rPr>
                                <w:t xml:space="preserve"> </w:t>
                              </w:r>
                              <w:r>
                                <w:rPr>
                                  <w:w w:val="105"/>
                                  <w:sz w:val="16"/>
                                </w:rPr>
                                <w:t>en</w:t>
                              </w:r>
                              <w:r>
                                <w:rPr>
                                  <w:spacing w:val="-1"/>
                                  <w:w w:val="105"/>
                                  <w:sz w:val="16"/>
                                </w:rPr>
                                <w:t xml:space="preserve"> </w:t>
                              </w:r>
                              <w:r>
                                <w:rPr>
                                  <w:w w:val="105"/>
                                  <w:sz w:val="16"/>
                                </w:rPr>
                                <w:t>los</w:t>
                              </w:r>
                              <w:r>
                                <w:rPr>
                                  <w:spacing w:val="-1"/>
                                  <w:w w:val="105"/>
                                  <w:sz w:val="16"/>
                                </w:rPr>
                                <w:t xml:space="preserve"> </w:t>
                              </w:r>
                              <w:r>
                                <w:rPr>
                                  <w:w w:val="105"/>
                                  <w:sz w:val="16"/>
                                </w:rPr>
                                <w:t>que</w:t>
                              </w:r>
                              <w:r>
                                <w:rPr>
                                  <w:spacing w:val="-1"/>
                                  <w:w w:val="105"/>
                                  <w:sz w:val="16"/>
                                </w:rPr>
                                <w:t xml:space="preserve"> </w:t>
                              </w:r>
                              <w:r>
                                <w:rPr>
                                  <w:w w:val="105"/>
                                  <w:sz w:val="16"/>
                                </w:rPr>
                                <w:t>personas</w:t>
                              </w:r>
                              <w:r>
                                <w:rPr>
                                  <w:spacing w:val="-1"/>
                                  <w:w w:val="105"/>
                                  <w:sz w:val="16"/>
                                </w:rPr>
                                <w:t xml:space="preserve"> </w:t>
                              </w:r>
                              <w:r>
                                <w:rPr>
                                  <w:w w:val="105"/>
                                  <w:sz w:val="16"/>
                                </w:rPr>
                                <w:t>que</w:t>
                              </w:r>
                            </w:p>
                            <w:p w14:paraId="2AC04FEC" w14:textId="77777777" w:rsidR="0014798C" w:rsidRDefault="004E1F0B">
                              <w:pPr>
                                <w:spacing w:line="182" w:lineRule="exact"/>
                                <w:ind w:left="6"/>
                                <w:rPr>
                                  <w:sz w:val="16"/>
                                </w:rPr>
                              </w:pPr>
                              <w:r>
                                <w:rPr>
                                  <w:w w:val="105"/>
                                  <w:sz w:val="16"/>
                                </w:rPr>
                                <w:t>incitaban</w:t>
                              </w:r>
                              <w:r>
                                <w:rPr>
                                  <w:spacing w:val="-8"/>
                                  <w:w w:val="105"/>
                                  <w:sz w:val="16"/>
                                </w:rPr>
                                <w:t xml:space="preserve"> </w:t>
                              </w:r>
                              <w:r>
                                <w:rPr>
                                  <w:w w:val="105"/>
                                  <w:sz w:val="16"/>
                                </w:rPr>
                                <w:t>al</w:t>
                              </w:r>
                              <w:r>
                                <w:rPr>
                                  <w:spacing w:val="-8"/>
                                  <w:w w:val="105"/>
                                  <w:sz w:val="16"/>
                                </w:rPr>
                                <w:t xml:space="preserve"> </w:t>
                              </w:r>
                              <w:r>
                                <w:rPr>
                                  <w:w w:val="105"/>
                                  <w:sz w:val="16"/>
                                </w:rPr>
                                <w:t>odio</w:t>
                              </w:r>
                              <w:r>
                                <w:rPr>
                                  <w:spacing w:val="-8"/>
                                  <w:w w:val="105"/>
                                  <w:sz w:val="16"/>
                                </w:rPr>
                                <w:t xml:space="preserve"> </w:t>
                              </w:r>
                              <w:r>
                                <w:rPr>
                                  <w:w w:val="105"/>
                                  <w:sz w:val="16"/>
                                </w:rPr>
                                <w:t>racial</w:t>
                              </w:r>
                              <w:r>
                                <w:rPr>
                                  <w:spacing w:val="-7"/>
                                  <w:w w:val="105"/>
                                  <w:sz w:val="16"/>
                                </w:rPr>
                                <w:t xml:space="preserve"> </w:t>
                              </w:r>
                              <w:r>
                                <w:rPr>
                                  <w:w w:val="105"/>
                                  <w:sz w:val="16"/>
                                </w:rPr>
                                <w:t>o</w:t>
                              </w:r>
                              <w:r>
                                <w:rPr>
                                  <w:spacing w:val="-8"/>
                                  <w:w w:val="105"/>
                                  <w:sz w:val="16"/>
                                </w:rPr>
                                <w:t xml:space="preserve"> </w:t>
                              </w:r>
                              <w:r>
                                <w:rPr>
                                  <w:w w:val="105"/>
                                  <w:sz w:val="16"/>
                                </w:rPr>
                                <w:t>de</w:t>
                              </w:r>
                              <w:r>
                                <w:rPr>
                                  <w:spacing w:val="-7"/>
                                  <w:w w:val="105"/>
                                  <w:sz w:val="16"/>
                                </w:rPr>
                                <w:t xml:space="preserve"> </w:t>
                              </w:r>
                              <w:r>
                                <w:rPr>
                                  <w:w w:val="105"/>
                                  <w:sz w:val="16"/>
                                </w:rPr>
                                <w:t>otro</w:t>
                              </w:r>
                              <w:r>
                                <w:rPr>
                                  <w:spacing w:val="-8"/>
                                  <w:w w:val="105"/>
                                  <w:sz w:val="16"/>
                                </w:rPr>
                                <w:t xml:space="preserve"> </w:t>
                              </w:r>
                              <w:r>
                                <w:rPr>
                                  <w:w w:val="105"/>
                                  <w:sz w:val="16"/>
                                </w:rPr>
                                <w:t>tipo</w:t>
                              </w:r>
                              <w:r>
                                <w:rPr>
                                  <w:spacing w:val="-8"/>
                                  <w:w w:val="105"/>
                                  <w:sz w:val="16"/>
                                </w:rPr>
                                <w:t xml:space="preserve"> </w:t>
                              </w:r>
                              <w:r>
                                <w:rPr>
                                  <w:w w:val="105"/>
                                  <w:sz w:val="16"/>
                                </w:rPr>
                                <w:t>han</w:t>
                              </w:r>
                              <w:r>
                                <w:rPr>
                                  <w:spacing w:val="-8"/>
                                  <w:w w:val="105"/>
                                  <w:sz w:val="16"/>
                                </w:rPr>
                                <w:t xml:space="preserve"> </w:t>
                              </w:r>
                              <w:r>
                                <w:rPr>
                                  <w:w w:val="105"/>
                                  <w:sz w:val="16"/>
                                </w:rPr>
                                <w:t>apelado</w:t>
                              </w:r>
                              <w:r>
                                <w:rPr>
                                  <w:spacing w:val="-8"/>
                                  <w:w w:val="105"/>
                                  <w:sz w:val="16"/>
                                </w:rPr>
                                <w:t xml:space="preserve"> </w:t>
                              </w:r>
                              <w:r>
                                <w:rPr>
                                  <w:w w:val="105"/>
                                  <w:sz w:val="16"/>
                                </w:rPr>
                                <w:t>ante</w:t>
                              </w:r>
                              <w:r>
                                <w:rPr>
                                  <w:spacing w:val="-7"/>
                                  <w:w w:val="105"/>
                                  <w:sz w:val="16"/>
                                </w:rPr>
                                <w:t xml:space="preserve"> </w:t>
                              </w:r>
                              <w:r>
                                <w:rPr>
                                  <w:w w:val="105"/>
                                  <w:sz w:val="16"/>
                                </w:rPr>
                                <w:t>el</w:t>
                              </w:r>
                              <w:r>
                                <w:rPr>
                                  <w:spacing w:val="-8"/>
                                  <w:w w:val="105"/>
                                  <w:sz w:val="16"/>
                                </w:rPr>
                                <w:t xml:space="preserve"> </w:t>
                              </w:r>
                              <w:r>
                                <w:rPr>
                                  <w:w w:val="105"/>
                                  <w:sz w:val="16"/>
                                </w:rPr>
                                <w:t>Tribunal</w:t>
                              </w:r>
                              <w:r>
                                <w:rPr>
                                  <w:spacing w:val="-8"/>
                                  <w:w w:val="105"/>
                                  <w:sz w:val="16"/>
                                </w:rPr>
                                <w:t xml:space="preserve"> </w:t>
                              </w:r>
                              <w:r>
                                <w:rPr>
                                  <w:w w:val="105"/>
                                  <w:sz w:val="16"/>
                                </w:rPr>
                                <w:t>después</w:t>
                              </w:r>
                              <w:r>
                                <w:rPr>
                                  <w:spacing w:val="-8"/>
                                  <w:w w:val="105"/>
                                  <w:sz w:val="16"/>
                                </w:rPr>
                                <w:t xml:space="preserve"> </w:t>
                              </w:r>
                              <w:r>
                                <w:rPr>
                                  <w:w w:val="105"/>
                                  <w:sz w:val="16"/>
                                </w:rPr>
                                <w:t>de</w:t>
                              </w:r>
                              <w:r>
                                <w:rPr>
                                  <w:spacing w:val="-8"/>
                                  <w:w w:val="105"/>
                                  <w:sz w:val="16"/>
                                </w:rPr>
                                <w:t xml:space="preserve"> </w:t>
                              </w:r>
                              <w:r>
                                <w:rPr>
                                  <w:w w:val="105"/>
                                  <w:sz w:val="16"/>
                                </w:rPr>
                                <w:t>que</w:t>
                              </w:r>
                              <w:r>
                                <w:rPr>
                                  <w:spacing w:val="-8"/>
                                  <w:w w:val="105"/>
                                  <w:sz w:val="16"/>
                                </w:rPr>
                                <w:t xml:space="preserve"> </w:t>
                              </w:r>
                              <w:r>
                                <w:rPr>
                                  <w:w w:val="105"/>
                                  <w:sz w:val="16"/>
                                </w:rPr>
                                <w:t>las</w:t>
                              </w:r>
                              <w:r>
                                <w:rPr>
                                  <w:spacing w:val="-7"/>
                                  <w:w w:val="105"/>
                                  <w:sz w:val="16"/>
                                </w:rPr>
                                <w:t xml:space="preserve"> </w:t>
                              </w:r>
                              <w:r>
                                <w:rPr>
                                  <w:w w:val="105"/>
                                  <w:sz w:val="16"/>
                                </w:rPr>
                                <w:t>autoridades</w:t>
                              </w:r>
                              <w:r>
                                <w:rPr>
                                  <w:spacing w:val="-8"/>
                                  <w:w w:val="105"/>
                                  <w:sz w:val="16"/>
                                </w:rPr>
                                <w:t xml:space="preserve"> </w:t>
                              </w:r>
                              <w:r>
                                <w:rPr>
                                  <w:w w:val="105"/>
                                  <w:sz w:val="16"/>
                                </w:rPr>
                                <w:t>nacionales</w:t>
                              </w:r>
                              <w:r>
                                <w:rPr>
                                  <w:spacing w:val="-8"/>
                                  <w:w w:val="105"/>
                                  <w:sz w:val="16"/>
                                </w:rPr>
                                <w:t xml:space="preserve"> </w:t>
                              </w:r>
                              <w:r>
                                <w:rPr>
                                  <w:w w:val="105"/>
                                  <w:sz w:val="16"/>
                                </w:rPr>
                                <w:t>tomaron</w:t>
                              </w:r>
                              <w:r>
                                <w:rPr>
                                  <w:spacing w:val="-8"/>
                                  <w:w w:val="105"/>
                                  <w:sz w:val="16"/>
                                </w:rPr>
                                <w:t xml:space="preserve"> </w:t>
                              </w:r>
                              <w:r>
                                <w:rPr>
                                  <w:w w:val="105"/>
                                  <w:sz w:val="16"/>
                                </w:rPr>
                                <w:t>medidas</w:t>
                              </w:r>
                              <w:r>
                                <w:rPr>
                                  <w:spacing w:val="-8"/>
                                  <w:w w:val="105"/>
                                  <w:sz w:val="16"/>
                                </w:rPr>
                                <w:t xml:space="preserve"> </w:t>
                              </w:r>
                              <w:r>
                                <w:rPr>
                                  <w:w w:val="105"/>
                                  <w:sz w:val="16"/>
                                </w:rPr>
                                <w:t>contra</w:t>
                              </w:r>
                              <w:r>
                                <w:rPr>
                                  <w:spacing w:val="-7"/>
                                  <w:w w:val="105"/>
                                  <w:sz w:val="16"/>
                                </w:rPr>
                                <w:t xml:space="preserve"> </w:t>
                              </w:r>
                              <w:r>
                                <w:rPr>
                                  <w:w w:val="105"/>
                                  <w:sz w:val="16"/>
                                </w:rPr>
                                <w:t>ellos,</w:t>
                              </w:r>
                              <w:r>
                                <w:rPr>
                                  <w:spacing w:val="-7"/>
                                  <w:w w:val="105"/>
                                  <w:sz w:val="16"/>
                                </w:rPr>
                                <w:t xml:space="preserve"> </w:t>
                              </w:r>
                              <w:r>
                                <w:rPr>
                                  <w:spacing w:val="-10"/>
                                  <w:w w:val="105"/>
                                  <w:sz w:val="16"/>
                                </w:rPr>
                                <w:t>h</w:t>
                              </w:r>
                            </w:p>
                          </w:txbxContent>
                        </wps:txbx>
                        <wps:bodyPr wrap="square" lIns="0" tIns="0" rIns="0" bIns="0" rtlCol="0">
                          <a:noAutofit/>
                        </wps:bodyPr>
                      </wps:wsp>
                    </wpg:wgp>
                  </a:graphicData>
                </a:graphic>
              </wp:anchor>
            </w:drawing>
          </mc:Choice>
          <mc:Fallback>
            <w:pict>
              <v:group w14:anchorId="42F9F4E7" id="Group 351" o:spid="_x0000_s1168" style="position:absolute;left:0;text-align:left;margin-left:65.1pt;margin-top:47.7pt;width:529.95pt;height:226.8pt;z-index:251658329;mso-wrap-distance-left:0;mso-wrap-distance-right:0;mso-position-horizontal-relative:page" coordsize="67303,28803"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">
                <v:shape id="Image 352" o:spid="_x0000_s1169" type="#_x0000_t75" style="position:absolute;width:67298;height:2880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">
                  <v:imagedata r:id="rId326" o:title=""/>
                </v:shape>
                <v:shape id="Textbox 353" o:spid="_x0000_s1170" type="#_x0000_t202" style="position:absolute;width:67303;height:2880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" filled="f" stroked="f">
                  <v:textbox inset="0,0,0,0">
                    <w:txbxContent>
                      <w:p w14:paraId="5C9712FD" w14:textId="77777777" w:rsidR="0014798C" w:rsidRDefault="004E1F0B">
                        <w:pPr>
                          <w:spacing w:before="74" w:line="326" w:lineRule="auto"/>
                          <w:ind w:left="4" w:right="1337" w:firstLine="4"/>
                          <w:rPr>
                            <w:sz w:val="16"/>
                          </w:rPr>
                        </w:pPr>
                        <w:r>
                          <w:rPr>
                            <w:w w:val="105"/>
                            <w:sz w:val="16"/>
                          </w:rPr>
                          <w:t>Los</w:t>
                        </w:r>
                        <w:r>
                          <w:rPr>
                            <w:spacing w:val="-4"/>
                            <w:w w:val="105"/>
                            <w:sz w:val="16"/>
                          </w:rPr>
                          <w:t xml:space="preserve"> </w:t>
                        </w:r>
                        <w:r>
                          <w:rPr>
                            <w:w w:val="105"/>
                            <w:sz w:val="16"/>
                          </w:rPr>
                          <w:t>sistemas</w:t>
                        </w:r>
                        <w:r>
                          <w:rPr>
                            <w:spacing w:val="-4"/>
                            <w:w w:val="105"/>
                            <w:sz w:val="16"/>
                          </w:rPr>
                          <w:t xml:space="preserve"> </w:t>
                        </w:r>
                        <w:r>
                          <w:rPr>
                            <w:w w:val="105"/>
                            <w:sz w:val="16"/>
                          </w:rPr>
                          <w:t>regionales</w:t>
                        </w:r>
                        <w:r>
                          <w:rPr>
                            <w:spacing w:val="-4"/>
                            <w:w w:val="105"/>
                            <w:sz w:val="16"/>
                          </w:rPr>
                          <w:t xml:space="preserve"> </w:t>
                        </w:r>
                        <w:r>
                          <w:rPr>
                            <w:w w:val="105"/>
                            <w:sz w:val="16"/>
                          </w:rPr>
                          <w:t>de</w:t>
                        </w:r>
                        <w:r>
                          <w:rPr>
                            <w:spacing w:val="-4"/>
                            <w:w w:val="105"/>
                            <w:sz w:val="16"/>
                          </w:rPr>
                          <w:t xml:space="preserve"> </w:t>
                        </w:r>
                        <w:r>
                          <w:rPr>
                            <w:w w:val="105"/>
                            <w:sz w:val="16"/>
                          </w:rPr>
                          <w:t>derechos</w:t>
                        </w:r>
                        <w:r>
                          <w:rPr>
                            <w:spacing w:val="-4"/>
                            <w:w w:val="105"/>
                            <w:sz w:val="16"/>
                          </w:rPr>
                          <w:t xml:space="preserve"> </w:t>
                        </w:r>
                        <w:r>
                          <w:rPr>
                            <w:w w:val="105"/>
                            <w:sz w:val="16"/>
                          </w:rPr>
                          <w:t>humanos</w:t>
                        </w:r>
                        <w:r>
                          <w:rPr>
                            <w:spacing w:val="-4"/>
                            <w:w w:val="105"/>
                            <w:sz w:val="16"/>
                          </w:rPr>
                          <w:t xml:space="preserve"> </w:t>
                        </w:r>
                        <w:r>
                          <w:rPr>
                            <w:w w:val="105"/>
                            <w:sz w:val="16"/>
                          </w:rPr>
                          <w:t>han</w:t>
                        </w:r>
                        <w:r>
                          <w:rPr>
                            <w:spacing w:val="-4"/>
                            <w:w w:val="105"/>
                            <w:sz w:val="16"/>
                          </w:rPr>
                          <w:t xml:space="preserve"> </w:t>
                        </w:r>
                        <w:r>
                          <w:rPr>
                            <w:w w:val="105"/>
                            <w:sz w:val="16"/>
                          </w:rPr>
                          <w:t>desarrollado</w:t>
                        </w:r>
                        <w:r>
                          <w:rPr>
                            <w:spacing w:val="-3"/>
                            <w:w w:val="105"/>
                            <w:sz w:val="16"/>
                          </w:rPr>
                          <w:t xml:space="preserve"> </w:t>
                        </w:r>
                        <w:r>
                          <w:rPr>
                            <w:w w:val="105"/>
                            <w:sz w:val="16"/>
                          </w:rPr>
                          <w:t>enfoques</w:t>
                        </w:r>
                        <w:r>
                          <w:rPr>
                            <w:spacing w:val="-4"/>
                            <w:w w:val="105"/>
                            <w:sz w:val="16"/>
                          </w:rPr>
                          <w:t xml:space="preserve"> </w:t>
                        </w:r>
                        <w:r>
                          <w:rPr>
                            <w:w w:val="105"/>
                            <w:sz w:val="16"/>
                          </w:rPr>
                          <w:t>para</w:t>
                        </w:r>
                        <w:r>
                          <w:rPr>
                            <w:spacing w:val="-3"/>
                            <w:w w:val="105"/>
                            <w:sz w:val="16"/>
                          </w:rPr>
                          <w:t xml:space="preserve"> </w:t>
                        </w:r>
                        <w:r>
                          <w:rPr>
                            <w:w w:val="105"/>
                            <w:sz w:val="16"/>
                          </w:rPr>
                          <w:t>conciliar</w:t>
                        </w:r>
                        <w:r>
                          <w:rPr>
                            <w:spacing w:val="-4"/>
                            <w:w w:val="105"/>
                            <w:sz w:val="16"/>
                          </w:rPr>
                          <w:t xml:space="preserve"> </w:t>
                        </w:r>
                        <w:r>
                          <w:rPr>
                            <w:w w:val="105"/>
                            <w:sz w:val="16"/>
                          </w:rPr>
                          <w:t>sus</w:t>
                        </w:r>
                        <w:r>
                          <w:rPr>
                            <w:spacing w:val="-4"/>
                            <w:w w:val="105"/>
                            <w:sz w:val="16"/>
                          </w:rPr>
                          <w:t xml:space="preserve"> </w:t>
                        </w:r>
                        <w:r>
                          <w:rPr>
                            <w:w w:val="105"/>
                            <w:sz w:val="16"/>
                          </w:rPr>
                          <w:t>enfoques</w:t>
                        </w:r>
                        <w:r>
                          <w:rPr>
                            <w:spacing w:val="-4"/>
                            <w:w w:val="105"/>
                            <w:sz w:val="16"/>
                          </w:rPr>
                          <w:t xml:space="preserve"> </w:t>
                        </w:r>
                        <w:r>
                          <w:rPr>
                            <w:w w:val="105"/>
                            <w:sz w:val="16"/>
                          </w:rPr>
                          <w:t>sobre</w:t>
                        </w:r>
                        <w:r>
                          <w:rPr>
                            <w:spacing w:val="-3"/>
                            <w:w w:val="105"/>
                            <w:sz w:val="16"/>
                          </w:rPr>
                          <w:t xml:space="preserve"> </w:t>
                        </w:r>
                        <w:r>
                          <w:rPr>
                            <w:w w:val="105"/>
                            <w:sz w:val="16"/>
                          </w:rPr>
                          <w:t>el</w:t>
                        </w:r>
                        <w:r>
                          <w:rPr>
                            <w:spacing w:val="-4"/>
                            <w:w w:val="105"/>
                            <w:sz w:val="16"/>
                          </w:rPr>
                          <w:t xml:space="preserve"> </w:t>
                        </w:r>
                        <w:r>
                          <w:rPr>
                            <w:w w:val="105"/>
                            <w:sz w:val="16"/>
                          </w:rPr>
                          <w:t>discurso</w:t>
                        </w:r>
                        <w:r>
                          <w:rPr>
                            <w:spacing w:val="-3"/>
                            <w:w w:val="105"/>
                            <w:sz w:val="16"/>
                          </w:rPr>
                          <w:t xml:space="preserve"> </w:t>
                        </w:r>
                        <w:r>
                          <w:rPr>
                            <w:w w:val="105"/>
                            <w:sz w:val="16"/>
                          </w:rPr>
                          <w:t>de odio con los requisitos de libertad de expresión. Así, la Comisión Interamericana de Derechos Humanos y la Corte Interamericana</w:t>
                        </w:r>
                        <w:r>
                          <w:rPr>
                            <w:spacing w:val="-2"/>
                            <w:w w:val="105"/>
                            <w:sz w:val="16"/>
                          </w:rPr>
                          <w:t xml:space="preserve"> </w:t>
                        </w:r>
                        <w:r>
                          <w:rPr>
                            <w:w w:val="105"/>
                            <w:sz w:val="16"/>
                          </w:rPr>
                          <w:t>de</w:t>
                        </w:r>
                        <w:r>
                          <w:rPr>
                            <w:spacing w:val="-2"/>
                            <w:w w:val="105"/>
                            <w:sz w:val="16"/>
                          </w:rPr>
                          <w:t xml:space="preserve"> </w:t>
                        </w:r>
                        <w:r>
                          <w:rPr>
                            <w:w w:val="105"/>
                            <w:sz w:val="16"/>
                          </w:rPr>
                          <w:t>Derechos</w:t>
                        </w:r>
                        <w:r>
                          <w:rPr>
                            <w:spacing w:val="-2"/>
                            <w:w w:val="105"/>
                            <w:sz w:val="16"/>
                          </w:rPr>
                          <w:t xml:space="preserve"> </w:t>
                        </w:r>
                        <w:r>
                          <w:rPr>
                            <w:w w:val="105"/>
                            <w:sz w:val="16"/>
                          </w:rPr>
                          <w:t>Humanos</w:t>
                        </w:r>
                        <w:r>
                          <w:rPr>
                            <w:spacing w:val="-2"/>
                            <w:w w:val="105"/>
                            <w:sz w:val="16"/>
                          </w:rPr>
                          <w:t xml:space="preserve"> </w:t>
                        </w:r>
                        <w:r>
                          <w:rPr>
                            <w:w w:val="105"/>
                            <w:sz w:val="16"/>
                          </w:rPr>
                          <w:t>han</w:t>
                        </w:r>
                        <w:r>
                          <w:rPr>
                            <w:spacing w:val="-2"/>
                            <w:w w:val="105"/>
                            <w:sz w:val="16"/>
                          </w:rPr>
                          <w:t xml:space="preserve"> </w:t>
                        </w:r>
                        <w:r>
                          <w:rPr>
                            <w:w w:val="105"/>
                            <w:sz w:val="16"/>
                          </w:rPr>
                          <w:t>sostenido</w:t>
                        </w:r>
                        <w:r>
                          <w:rPr>
                            <w:spacing w:val="-2"/>
                            <w:w w:val="105"/>
                            <w:sz w:val="16"/>
                          </w:rPr>
                          <w:t xml:space="preserve"> </w:t>
                        </w:r>
                        <w:r>
                          <w:rPr>
                            <w:w w:val="105"/>
                            <w:sz w:val="16"/>
                          </w:rPr>
                          <w:t>consistentemente</w:t>
                        </w:r>
                        <w:r>
                          <w:rPr>
                            <w:spacing w:val="-2"/>
                            <w:w w:val="105"/>
                            <w:sz w:val="16"/>
                          </w:rPr>
                          <w:t xml:space="preserve"> </w:t>
                        </w:r>
                        <w:r>
                          <w:rPr>
                            <w:w w:val="105"/>
                            <w:sz w:val="16"/>
                          </w:rPr>
                          <w:t>que</w:t>
                        </w:r>
                        <w:r>
                          <w:rPr>
                            <w:spacing w:val="-2"/>
                            <w:w w:val="105"/>
                            <w:sz w:val="16"/>
                          </w:rPr>
                          <w:t xml:space="preserve"> </w:t>
                        </w:r>
                        <w:r>
                          <w:rPr>
                            <w:w w:val="105"/>
                            <w:sz w:val="16"/>
                          </w:rPr>
                          <w:t>“la</w:t>
                        </w:r>
                        <w:r>
                          <w:rPr>
                            <w:spacing w:val="-1"/>
                            <w:w w:val="105"/>
                            <w:sz w:val="16"/>
                          </w:rPr>
                          <w:t xml:space="preserve"> </w:t>
                        </w:r>
                        <w:r>
                          <w:rPr>
                            <w:w w:val="105"/>
                            <w:sz w:val="16"/>
                          </w:rPr>
                          <w:t>libertad</w:t>
                        </w:r>
                        <w:r>
                          <w:rPr>
                            <w:spacing w:val="-2"/>
                            <w:w w:val="105"/>
                            <w:sz w:val="16"/>
                          </w:rPr>
                          <w:t xml:space="preserve"> </w:t>
                        </w:r>
                        <w:r>
                          <w:rPr>
                            <w:w w:val="105"/>
                            <w:sz w:val="16"/>
                          </w:rPr>
                          <w:t>de</w:t>
                        </w:r>
                        <w:r>
                          <w:rPr>
                            <w:spacing w:val="-2"/>
                            <w:w w:val="105"/>
                            <w:sz w:val="16"/>
                          </w:rPr>
                          <w:t xml:space="preserve"> </w:t>
                        </w:r>
                        <w:r>
                          <w:rPr>
                            <w:w w:val="105"/>
                            <w:sz w:val="16"/>
                          </w:rPr>
                          <w:t>expresión</w:t>
                        </w:r>
                        <w:r>
                          <w:rPr>
                            <w:spacing w:val="-1"/>
                            <w:w w:val="105"/>
                            <w:sz w:val="16"/>
                          </w:rPr>
                          <w:t xml:space="preserve"> </w:t>
                        </w:r>
                        <w:r>
                          <w:rPr>
                            <w:w w:val="105"/>
                            <w:sz w:val="16"/>
                          </w:rPr>
                          <w:t>no</w:t>
                        </w:r>
                        <w:r>
                          <w:rPr>
                            <w:spacing w:val="-2"/>
                            <w:w w:val="105"/>
                            <w:sz w:val="16"/>
                          </w:rPr>
                          <w:t xml:space="preserve"> </w:t>
                        </w:r>
                        <w:r>
                          <w:rPr>
                            <w:w w:val="105"/>
                            <w:sz w:val="16"/>
                          </w:rPr>
                          <w:t>es</w:t>
                        </w:r>
                        <w:r>
                          <w:rPr>
                            <w:spacing w:val="-2"/>
                            <w:w w:val="105"/>
                            <w:sz w:val="16"/>
                          </w:rPr>
                          <w:t xml:space="preserve"> </w:t>
                        </w:r>
                        <w:r>
                          <w:rPr>
                            <w:w w:val="105"/>
                            <w:sz w:val="16"/>
                          </w:rPr>
                          <w:t>absoluta”</w:t>
                        </w:r>
                        <w:r>
                          <w:rPr>
                            <w:spacing w:val="-2"/>
                            <w:w w:val="105"/>
                            <w:sz w:val="16"/>
                          </w:rPr>
                          <w:t xml:space="preserve"> </w:t>
                        </w:r>
                        <w:r>
                          <w:rPr>
                            <w:w w:val="105"/>
                            <w:sz w:val="16"/>
                          </w:rPr>
                          <w:t>y</w:t>
                        </w:r>
                        <w:r>
                          <w:rPr>
                            <w:spacing w:val="-1"/>
                            <w:w w:val="105"/>
                            <w:sz w:val="16"/>
                          </w:rPr>
                          <w:t xml:space="preserve"> </w:t>
                        </w:r>
                        <w:r>
                          <w:rPr>
                            <w:w w:val="105"/>
                            <w:sz w:val="16"/>
                          </w:rPr>
                          <w:t>que “las restricciones pueden considerarse permisibles incluso si el discurso en cuestión es de naturaleza política” .1154 En Europa, donde</w:t>
                        </w:r>
                        <w:r>
                          <w:rPr>
                            <w:spacing w:val="-1"/>
                            <w:w w:val="105"/>
                            <w:sz w:val="16"/>
                          </w:rPr>
                          <w:t xml:space="preserve"> </w:t>
                        </w:r>
                        <w:r>
                          <w:rPr>
                            <w:w w:val="105"/>
                            <w:sz w:val="16"/>
                          </w:rPr>
                          <w:t>el</w:t>
                        </w:r>
                        <w:r>
                          <w:rPr>
                            <w:spacing w:val="-1"/>
                            <w:w w:val="105"/>
                            <w:sz w:val="16"/>
                          </w:rPr>
                          <w:t xml:space="preserve"> </w:t>
                        </w:r>
                        <w:r>
                          <w:rPr>
                            <w:w w:val="105"/>
                            <w:sz w:val="16"/>
                          </w:rPr>
                          <w:t>Tribunal</w:t>
                        </w:r>
                        <w:r>
                          <w:rPr>
                            <w:spacing w:val="-1"/>
                            <w:w w:val="105"/>
                            <w:sz w:val="16"/>
                          </w:rPr>
                          <w:t xml:space="preserve"> </w:t>
                        </w:r>
                        <w:r>
                          <w:rPr>
                            <w:w w:val="105"/>
                            <w:sz w:val="16"/>
                          </w:rPr>
                          <w:t>Europeo</w:t>
                        </w:r>
                        <w:r>
                          <w:rPr>
                            <w:spacing w:val="-1"/>
                            <w:w w:val="105"/>
                            <w:sz w:val="16"/>
                          </w:rPr>
                          <w:t xml:space="preserve"> </w:t>
                        </w:r>
                        <w:r>
                          <w:rPr>
                            <w:w w:val="105"/>
                            <w:sz w:val="16"/>
                          </w:rPr>
                          <w:t>de</w:t>
                        </w:r>
                        <w:r>
                          <w:rPr>
                            <w:spacing w:val="-1"/>
                            <w:w w:val="105"/>
                            <w:sz w:val="16"/>
                          </w:rPr>
                          <w:t xml:space="preserve"> </w:t>
                        </w:r>
                        <w:r>
                          <w:rPr>
                            <w:w w:val="105"/>
                            <w:sz w:val="16"/>
                          </w:rPr>
                          <w:t>Derechos</w:t>
                        </w:r>
                        <w:r>
                          <w:rPr>
                            <w:spacing w:val="-1"/>
                            <w:w w:val="105"/>
                            <w:sz w:val="16"/>
                          </w:rPr>
                          <w:t xml:space="preserve"> </w:t>
                        </w:r>
                        <w:r>
                          <w:rPr>
                            <w:w w:val="105"/>
                            <w:sz w:val="16"/>
                          </w:rPr>
                          <w:t>Humanos</w:t>
                        </w:r>
                        <w:r>
                          <w:rPr>
                            <w:spacing w:val="-1"/>
                            <w:w w:val="105"/>
                            <w:sz w:val="16"/>
                          </w:rPr>
                          <w:t xml:space="preserve"> </w:t>
                        </w:r>
                        <w:r>
                          <w:rPr>
                            <w:w w:val="105"/>
                            <w:sz w:val="16"/>
                          </w:rPr>
                          <w:t>ha</w:t>
                        </w:r>
                        <w:r>
                          <w:rPr>
                            <w:spacing w:val="-1"/>
                            <w:w w:val="105"/>
                            <w:sz w:val="16"/>
                          </w:rPr>
                          <w:t xml:space="preserve"> </w:t>
                        </w:r>
                        <w:r>
                          <w:rPr>
                            <w:w w:val="105"/>
                            <w:sz w:val="16"/>
                          </w:rPr>
                          <w:t>visto</w:t>
                        </w:r>
                        <w:r>
                          <w:rPr>
                            <w:spacing w:val="-1"/>
                            <w:w w:val="105"/>
                            <w:sz w:val="16"/>
                          </w:rPr>
                          <w:t xml:space="preserve"> </w:t>
                        </w:r>
                        <w:r>
                          <w:rPr>
                            <w:w w:val="105"/>
                            <w:sz w:val="16"/>
                          </w:rPr>
                          <w:t>en</w:t>
                        </w:r>
                        <w:r>
                          <w:rPr>
                            <w:spacing w:val="-1"/>
                            <w:w w:val="105"/>
                            <w:sz w:val="16"/>
                          </w:rPr>
                          <w:t xml:space="preserve"> </w:t>
                        </w:r>
                        <w:r>
                          <w:rPr>
                            <w:w w:val="105"/>
                            <w:sz w:val="16"/>
                          </w:rPr>
                          <w:t>repetidas</w:t>
                        </w:r>
                        <w:r>
                          <w:rPr>
                            <w:spacing w:val="-1"/>
                            <w:w w:val="105"/>
                            <w:sz w:val="16"/>
                          </w:rPr>
                          <w:t xml:space="preserve"> </w:t>
                        </w:r>
                        <w:r>
                          <w:rPr>
                            <w:w w:val="105"/>
                            <w:sz w:val="16"/>
                          </w:rPr>
                          <w:t>ocasiones</w:t>
                        </w:r>
                        <w:r>
                          <w:rPr>
                            <w:spacing w:val="-1"/>
                            <w:w w:val="105"/>
                            <w:sz w:val="16"/>
                          </w:rPr>
                          <w:t xml:space="preserve"> </w:t>
                        </w:r>
                        <w:r>
                          <w:rPr>
                            <w:w w:val="105"/>
                            <w:sz w:val="16"/>
                          </w:rPr>
                          <w:t>casos</w:t>
                        </w:r>
                        <w:r>
                          <w:rPr>
                            <w:spacing w:val="-1"/>
                            <w:w w:val="105"/>
                            <w:sz w:val="16"/>
                          </w:rPr>
                          <w:t xml:space="preserve"> </w:t>
                        </w:r>
                        <w:r>
                          <w:rPr>
                            <w:w w:val="105"/>
                            <w:sz w:val="16"/>
                          </w:rPr>
                          <w:t>en</w:t>
                        </w:r>
                        <w:r>
                          <w:rPr>
                            <w:spacing w:val="-1"/>
                            <w:w w:val="105"/>
                            <w:sz w:val="16"/>
                          </w:rPr>
                          <w:t xml:space="preserve"> </w:t>
                        </w:r>
                        <w:r>
                          <w:rPr>
                            <w:w w:val="105"/>
                            <w:sz w:val="16"/>
                          </w:rPr>
                          <w:t>los</w:t>
                        </w:r>
                        <w:r>
                          <w:rPr>
                            <w:spacing w:val="-1"/>
                            <w:w w:val="105"/>
                            <w:sz w:val="16"/>
                          </w:rPr>
                          <w:t xml:space="preserve"> </w:t>
                        </w:r>
                        <w:r>
                          <w:rPr>
                            <w:w w:val="105"/>
                            <w:sz w:val="16"/>
                          </w:rPr>
                          <w:t>que</w:t>
                        </w:r>
                        <w:r>
                          <w:rPr>
                            <w:spacing w:val="-1"/>
                            <w:w w:val="105"/>
                            <w:sz w:val="16"/>
                          </w:rPr>
                          <w:t xml:space="preserve"> </w:t>
                        </w:r>
                        <w:r>
                          <w:rPr>
                            <w:w w:val="105"/>
                            <w:sz w:val="16"/>
                          </w:rPr>
                          <w:t>personas</w:t>
                        </w:r>
                        <w:r>
                          <w:rPr>
                            <w:spacing w:val="-1"/>
                            <w:w w:val="105"/>
                            <w:sz w:val="16"/>
                          </w:rPr>
                          <w:t xml:space="preserve"> </w:t>
                        </w:r>
                        <w:r>
                          <w:rPr>
                            <w:w w:val="105"/>
                            <w:sz w:val="16"/>
                          </w:rPr>
                          <w:t>que</w:t>
                        </w:r>
                      </w:p>
                      <w:p w14:paraId="2AC04FEC" w14:textId="77777777" w:rsidR="0014798C" w:rsidRDefault="004E1F0B">
                        <w:pPr>
                          <w:spacing w:line="182" w:lineRule="exact"/>
                          <w:ind w:left="6"/>
                          <w:rPr>
                            <w:sz w:val="16"/>
                          </w:rPr>
                        </w:pPr>
                        <w:r>
                          <w:rPr>
                            <w:w w:val="105"/>
                            <w:sz w:val="16"/>
                          </w:rPr>
                          <w:t>incitaban</w:t>
                        </w:r>
                        <w:r>
                          <w:rPr>
                            <w:spacing w:val="-8"/>
                            <w:w w:val="105"/>
                            <w:sz w:val="16"/>
                          </w:rPr>
                          <w:t xml:space="preserve"> </w:t>
                        </w:r>
                        <w:r>
                          <w:rPr>
                            <w:w w:val="105"/>
                            <w:sz w:val="16"/>
                          </w:rPr>
                          <w:t>al</w:t>
                        </w:r>
                        <w:r>
                          <w:rPr>
                            <w:spacing w:val="-8"/>
                            <w:w w:val="105"/>
                            <w:sz w:val="16"/>
                          </w:rPr>
                          <w:t xml:space="preserve"> </w:t>
                        </w:r>
                        <w:r>
                          <w:rPr>
                            <w:w w:val="105"/>
                            <w:sz w:val="16"/>
                          </w:rPr>
                          <w:t>odio</w:t>
                        </w:r>
                        <w:r>
                          <w:rPr>
                            <w:spacing w:val="-8"/>
                            <w:w w:val="105"/>
                            <w:sz w:val="16"/>
                          </w:rPr>
                          <w:t xml:space="preserve"> </w:t>
                        </w:r>
                        <w:r>
                          <w:rPr>
                            <w:w w:val="105"/>
                            <w:sz w:val="16"/>
                          </w:rPr>
                          <w:t>racial</w:t>
                        </w:r>
                        <w:r>
                          <w:rPr>
                            <w:spacing w:val="-7"/>
                            <w:w w:val="105"/>
                            <w:sz w:val="16"/>
                          </w:rPr>
                          <w:t xml:space="preserve"> </w:t>
                        </w:r>
                        <w:r>
                          <w:rPr>
                            <w:w w:val="105"/>
                            <w:sz w:val="16"/>
                          </w:rPr>
                          <w:t>o</w:t>
                        </w:r>
                        <w:r>
                          <w:rPr>
                            <w:spacing w:val="-8"/>
                            <w:w w:val="105"/>
                            <w:sz w:val="16"/>
                          </w:rPr>
                          <w:t xml:space="preserve"> </w:t>
                        </w:r>
                        <w:r>
                          <w:rPr>
                            <w:w w:val="105"/>
                            <w:sz w:val="16"/>
                          </w:rPr>
                          <w:t>de</w:t>
                        </w:r>
                        <w:r>
                          <w:rPr>
                            <w:spacing w:val="-7"/>
                            <w:w w:val="105"/>
                            <w:sz w:val="16"/>
                          </w:rPr>
                          <w:t xml:space="preserve"> </w:t>
                        </w:r>
                        <w:r>
                          <w:rPr>
                            <w:w w:val="105"/>
                            <w:sz w:val="16"/>
                          </w:rPr>
                          <w:t>otro</w:t>
                        </w:r>
                        <w:r>
                          <w:rPr>
                            <w:spacing w:val="-8"/>
                            <w:w w:val="105"/>
                            <w:sz w:val="16"/>
                          </w:rPr>
                          <w:t xml:space="preserve"> </w:t>
                        </w:r>
                        <w:r>
                          <w:rPr>
                            <w:w w:val="105"/>
                            <w:sz w:val="16"/>
                          </w:rPr>
                          <w:t>tipo</w:t>
                        </w:r>
                        <w:r>
                          <w:rPr>
                            <w:spacing w:val="-8"/>
                            <w:w w:val="105"/>
                            <w:sz w:val="16"/>
                          </w:rPr>
                          <w:t xml:space="preserve"> </w:t>
                        </w:r>
                        <w:r>
                          <w:rPr>
                            <w:w w:val="105"/>
                            <w:sz w:val="16"/>
                          </w:rPr>
                          <w:t>han</w:t>
                        </w:r>
                        <w:r>
                          <w:rPr>
                            <w:spacing w:val="-8"/>
                            <w:w w:val="105"/>
                            <w:sz w:val="16"/>
                          </w:rPr>
                          <w:t xml:space="preserve"> </w:t>
                        </w:r>
                        <w:r>
                          <w:rPr>
                            <w:w w:val="105"/>
                            <w:sz w:val="16"/>
                          </w:rPr>
                          <w:t>apelado</w:t>
                        </w:r>
                        <w:r>
                          <w:rPr>
                            <w:spacing w:val="-8"/>
                            <w:w w:val="105"/>
                            <w:sz w:val="16"/>
                          </w:rPr>
                          <w:t xml:space="preserve"> </w:t>
                        </w:r>
                        <w:r>
                          <w:rPr>
                            <w:w w:val="105"/>
                            <w:sz w:val="16"/>
                          </w:rPr>
                          <w:t>ante</w:t>
                        </w:r>
                        <w:r>
                          <w:rPr>
                            <w:spacing w:val="-7"/>
                            <w:w w:val="105"/>
                            <w:sz w:val="16"/>
                          </w:rPr>
                          <w:t xml:space="preserve"> </w:t>
                        </w:r>
                        <w:r>
                          <w:rPr>
                            <w:w w:val="105"/>
                            <w:sz w:val="16"/>
                          </w:rPr>
                          <w:t>el</w:t>
                        </w:r>
                        <w:r>
                          <w:rPr>
                            <w:spacing w:val="-8"/>
                            <w:w w:val="105"/>
                            <w:sz w:val="16"/>
                          </w:rPr>
                          <w:t xml:space="preserve"> </w:t>
                        </w:r>
                        <w:r>
                          <w:rPr>
                            <w:w w:val="105"/>
                            <w:sz w:val="16"/>
                          </w:rPr>
                          <w:t>Tribunal</w:t>
                        </w:r>
                        <w:r>
                          <w:rPr>
                            <w:spacing w:val="-8"/>
                            <w:w w:val="105"/>
                            <w:sz w:val="16"/>
                          </w:rPr>
                          <w:t xml:space="preserve"> </w:t>
                        </w:r>
                        <w:r>
                          <w:rPr>
                            <w:w w:val="105"/>
                            <w:sz w:val="16"/>
                          </w:rPr>
                          <w:t>después</w:t>
                        </w:r>
                        <w:r>
                          <w:rPr>
                            <w:spacing w:val="-8"/>
                            <w:w w:val="105"/>
                            <w:sz w:val="16"/>
                          </w:rPr>
                          <w:t xml:space="preserve"> </w:t>
                        </w:r>
                        <w:r>
                          <w:rPr>
                            <w:w w:val="105"/>
                            <w:sz w:val="16"/>
                          </w:rPr>
                          <w:t>de</w:t>
                        </w:r>
                        <w:r>
                          <w:rPr>
                            <w:spacing w:val="-8"/>
                            <w:w w:val="105"/>
                            <w:sz w:val="16"/>
                          </w:rPr>
                          <w:t xml:space="preserve"> </w:t>
                        </w:r>
                        <w:r>
                          <w:rPr>
                            <w:w w:val="105"/>
                            <w:sz w:val="16"/>
                          </w:rPr>
                          <w:t>que</w:t>
                        </w:r>
                        <w:r>
                          <w:rPr>
                            <w:spacing w:val="-8"/>
                            <w:w w:val="105"/>
                            <w:sz w:val="16"/>
                          </w:rPr>
                          <w:t xml:space="preserve"> </w:t>
                        </w:r>
                        <w:r>
                          <w:rPr>
                            <w:w w:val="105"/>
                            <w:sz w:val="16"/>
                          </w:rPr>
                          <w:t>las</w:t>
                        </w:r>
                        <w:r>
                          <w:rPr>
                            <w:spacing w:val="-7"/>
                            <w:w w:val="105"/>
                            <w:sz w:val="16"/>
                          </w:rPr>
                          <w:t xml:space="preserve"> </w:t>
                        </w:r>
                        <w:r>
                          <w:rPr>
                            <w:w w:val="105"/>
                            <w:sz w:val="16"/>
                          </w:rPr>
                          <w:t>autoridades</w:t>
                        </w:r>
                        <w:r>
                          <w:rPr>
                            <w:spacing w:val="-8"/>
                            <w:w w:val="105"/>
                            <w:sz w:val="16"/>
                          </w:rPr>
                          <w:t xml:space="preserve"> </w:t>
                        </w:r>
                        <w:r>
                          <w:rPr>
                            <w:w w:val="105"/>
                            <w:sz w:val="16"/>
                          </w:rPr>
                          <w:t>nacionales</w:t>
                        </w:r>
                        <w:r>
                          <w:rPr>
                            <w:spacing w:val="-8"/>
                            <w:w w:val="105"/>
                            <w:sz w:val="16"/>
                          </w:rPr>
                          <w:t xml:space="preserve"> </w:t>
                        </w:r>
                        <w:r>
                          <w:rPr>
                            <w:w w:val="105"/>
                            <w:sz w:val="16"/>
                          </w:rPr>
                          <w:t>tomaron</w:t>
                        </w:r>
                        <w:r>
                          <w:rPr>
                            <w:spacing w:val="-8"/>
                            <w:w w:val="105"/>
                            <w:sz w:val="16"/>
                          </w:rPr>
                          <w:t xml:space="preserve"> </w:t>
                        </w:r>
                        <w:r>
                          <w:rPr>
                            <w:w w:val="105"/>
                            <w:sz w:val="16"/>
                          </w:rPr>
                          <w:t>medidas</w:t>
                        </w:r>
                        <w:r>
                          <w:rPr>
                            <w:spacing w:val="-8"/>
                            <w:w w:val="105"/>
                            <w:sz w:val="16"/>
                          </w:rPr>
                          <w:t xml:space="preserve"> </w:t>
                        </w:r>
                        <w:r>
                          <w:rPr>
                            <w:w w:val="105"/>
                            <w:sz w:val="16"/>
                          </w:rPr>
                          <w:t>contra</w:t>
                        </w:r>
                        <w:r>
                          <w:rPr>
                            <w:spacing w:val="-7"/>
                            <w:w w:val="105"/>
                            <w:sz w:val="16"/>
                          </w:rPr>
                          <w:t xml:space="preserve"> </w:t>
                        </w:r>
                        <w:r>
                          <w:rPr>
                            <w:w w:val="105"/>
                            <w:sz w:val="16"/>
                          </w:rPr>
                          <w:t>ellos,</w:t>
                        </w:r>
                        <w:r>
                          <w:rPr>
                            <w:spacing w:val="-7"/>
                            <w:w w:val="105"/>
                            <w:sz w:val="16"/>
                          </w:rPr>
                          <w:t xml:space="preserve"> </w:t>
                        </w:r>
                        <w:r>
                          <w:rPr>
                            <w:spacing w:val="-10"/>
                            <w:w w:val="105"/>
                            <w:sz w:val="16"/>
                          </w:rPr>
                          <w:t>h</w:t>
                        </w:r>
                      </w:p>
                    </w:txbxContent>
                  </v:textbox>
                </v:shape>
                <w10:wrap anchorx="page"/>
              </v:group>
            </w:pict>
          </mc:Fallback>
        </mc:AlternateContent>
      </w:r>
      <w:r>
        <w:rPr>
          <w:noProof/>
        </w:rPr>
        <mc:AlternateContent>
          <mc:Choice Requires="wps">
            <w:drawing>
              <wp:anchor distT="0" distB="0" distL="0" distR="0" simplePos="0" relativeHeight="251658330" behindDoc="0" locked="0" layoutInCell="1" allowOverlap="1" wp14:anchorId="324B9517" wp14:editId="18A35DD6">
                <wp:simplePos x="0" y="0"/>
                <wp:positionH relativeFrom="page">
                  <wp:posOffset>7309027</wp:posOffset>
                </wp:positionH>
                <wp:positionV relativeFrom="paragraph">
                  <wp:posOffset>1178627</wp:posOffset>
                </wp:positionV>
                <wp:extent cx="85090" cy="203835"/>
                <wp:effectExtent l="0" t="0" r="0" b="0"/>
                <wp:wrapNone/>
                <wp:docPr id="354" name="Textbox 35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85090" cy="203835"/>
                        </a:xfrm>
                        <a:prstGeom prst="rect">
                          <a:avLst/>
                        </a:prstGeom>
                      </wps:spPr>
                      <wps:txbx>
                        <w:txbxContent>
                          <w:p w14:paraId="20725775" w14:textId="77777777" w:rsidR="0014798C" w:rsidRDefault="004E1F0B">
                            <w:pPr>
                              <w:spacing w:before="21"/>
                              <w:ind w:left="20"/>
                              <w:rPr>
                                <w:sz w:val="8"/>
                              </w:rPr>
                            </w:pPr>
                            <w:r>
                              <w:rPr>
                                <w:color w:val="FFFFFF"/>
                                <w:spacing w:val="-27"/>
                                <w:w w:val="105"/>
                                <w:sz w:val="8"/>
                              </w:rPr>
                              <w:t>CPAINRCTOE</w:t>
                            </w:r>
                          </w:p>
                        </w:txbxContent>
                      </wps:txbx>
                      <wps:bodyPr vert="vert270" wrap="square" lIns="0" tIns="0" rIns="0" bIns="0" rtlCol="0">
                        <a:noAutofit/>
                      </wps:bodyPr>
                    </wps:wsp>
                  </a:graphicData>
                </a:graphic>
              </wp:anchor>
            </w:drawing>
          </mc:Choice>
          <mc:Fallback>
            <w:pict>
              <v:shape w14:anchorId="324B9517" id="Textbox 354" o:spid="_x0000_s1171" type="#_x0000_t202" style="position:absolute;left:0;text-align:left;margin-left:575.5pt;margin-top:92.8pt;width:6.7pt;height:16.05pt;z-index:251658330;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" filled="f" stroked="f">
                <v:textbox style="layout-flow:vertical;mso-layout-flow-alt:bottom-to-top" inset="0,0,0,0">
                  <w:txbxContent>
                    <w:p w14:paraId="20725775" w14:textId="77777777" w:rsidR="0014798C" w:rsidRDefault="004E1F0B">
                      <w:pPr>
                        <w:spacing w:before="21"/>
                        <w:ind w:left="20"/>
                        <w:rPr>
                          <w:sz w:val="8"/>
                        </w:rPr>
                      </w:pPr>
                      <w:r>
                        <w:rPr>
                          <w:color w:val="FFFFFF"/>
                          <w:spacing w:val="-27"/>
                          <w:w w:val="105"/>
                          <w:sz w:val="8"/>
                        </w:rPr>
                        <w:t>CPAINRCTOE</w:t>
                      </w:r>
                    </w:p>
                  </w:txbxContent>
                </v:textbox>
                <w10:wrap anchorx="page"/>
              </v:shape>
            </w:pict>
          </mc:Fallback>
        </mc:AlternateContent>
      </w:r>
      <w:r>
        <w:rPr>
          <w:w w:val="105"/>
        </w:rPr>
        <w:t>El</w:t>
      </w:r>
      <w:r>
        <w:rPr>
          <w:spacing w:val="-4"/>
          <w:w w:val="105"/>
        </w:rPr>
        <w:t xml:space="preserve"> </w:t>
      </w:r>
      <w:r>
        <w:rPr>
          <w:w w:val="105"/>
        </w:rPr>
        <w:t>Comité</w:t>
      </w:r>
      <w:r>
        <w:rPr>
          <w:spacing w:val="-4"/>
          <w:w w:val="105"/>
        </w:rPr>
        <w:t xml:space="preserve"> </w:t>
      </w:r>
      <w:r>
        <w:rPr>
          <w:w w:val="105"/>
        </w:rPr>
        <w:t>de</w:t>
      </w:r>
      <w:r>
        <w:rPr>
          <w:spacing w:val="-4"/>
          <w:w w:val="105"/>
        </w:rPr>
        <w:t xml:space="preserve"> </w:t>
      </w:r>
      <w:r>
        <w:rPr>
          <w:w w:val="105"/>
        </w:rPr>
        <w:t>Derechos</w:t>
      </w:r>
      <w:r>
        <w:rPr>
          <w:spacing w:val="-4"/>
          <w:w w:val="105"/>
        </w:rPr>
        <w:t xml:space="preserve"> </w:t>
      </w:r>
      <w:r>
        <w:rPr>
          <w:w w:val="105"/>
        </w:rPr>
        <w:t>Humanos</w:t>
      </w:r>
      <w:r>
        <w:rPr>
          <w:spacing w:val="-4"/>
          <w:w w:val="105"/>
        </w:rPr>
        <w:t xml:space="preserve"> </w:t>
      </w:r>
      <w:r>
        <w:rPr>
          <w:w w:val="105"/>
        </w:rPr>
        <w:t>ha</w:t>
      </w:r>
      <w:r>
        <w:rPr>
          <w:spacing w:val="-4"/>
          <w:w w:val="105"/>
        </w:rPr>
        <w:t xml:space="preserve"> </w:t>
      </w:r>
      <w:r>
        <w:rPr>
          <w:w w:val="105"/>
        </w:rPr>
        <w:t>respaldado</w:t>
      </w:r>
      <w:r>
        <w:rPr>
          <w:spacing w:val="-3"/>
          <w:w w:val="105"/>
        </w:rPr>
        <w:t xml:space="preserve"> </w:t>
      </w:r>
      <w:r>
        <w:rPr>
          <w:w w:val="105"/>
        </w:rPr>
        <w:t>la</w:t>
      </w:r>
      <w:r>
        <w:rPr>
          <w:spacing w:val="-4"/>
          <w:w w:val="105"/>
        </w:rPr>
        <w:t xml:space="preserve"> </w:t>
      </w:r>
      <w:r>
        <w:rPr>
          <w:w w:val="105"/>
        </w:rPr>
        <w:t>acción</w:t>
      </w:r>
      <w:r>
        <w:rPr>
          <w:spacing w:val="-3"/>
          <w:w w:val="105"/>
        </w:rPr>
        <w:t xml:space="preserve"> </w:t>
      </w:r>
      <w:r>
        <w:rPr>
          <w:w w:val="105"/>
        </w:rPr>
        <w:t>de</w:t>
      </w:r>
      <w:r>
        <w:rPr>
          <w:spacing w:val="-4"/>
          <w:w w:val="105"/>
        </w:rPr>
        <w:t xml:space="preserve"> </w:t>
      </w:r>
      <w:r>
        <w:rPr>
          <w:w w:val="105"/>
        </w:rPr>
        <w:t>los</w:t>
      </w:r>
      <w:r>
        <w:rPr>
          <w:spacing w:val="-4"/>
          <w:w w:val="105"/>
        </w:rPr>
        <w:t xml:space="preserve"> </w:t>
      </w:r>
      <w:r>
        <w:rPr>
          <w:w w:val="105"/>
        </w:rPr>
        <w:t>Estados</w:t>
      </w:r>
      <w:r>
        <w:rPr>
          <w:spacing w:val="-4"/>
          <w:w w:val="105"/>
        </w:rPr>
        <w:t xml:space="preserve"> </w:t>
      </w:r>
      <w:r>
        <w:rPr>
          <w:w w:val="105"/>
        </w:rPr>
        <w:t>respecto</w:t>
      </w:r>
      <w:r>
        <w:rPr>
          <w:spacing w:val="-4"/>
          <w:w w:val="105"/>
        </w:rPr>
        <w:t xml:space="preserve"> </w:t>
      </w:r>
      <w:r>
        <w:rPr>
          <w:w w:val="105"/>
        </w:rPr>
        <w:t>del</w:t>
      </w:r>
      <w:r>
        <w:rPr>
          <w:spacing w:val="-4"/>
          <w:w w:val="105"/>
        </w:rPr>
        <w:t xml:space="preserve"> </w:t>
      </w:r>
      <w:r>
        <w:rPr>
          <w:w w:val="105"/>
        </w:rPr>
        <w:t>discurso</w:t>
      </w:r>
      <w:r>
        <w:rPr>
          <w:spacing w:val="-3"/>
          <w:w w:val="105"/>
        </w:rPr>
        <w:t xml:space="preserve"> </w:t>
      </w:r>
      <w:r>
        <w:rPr>
          <w:w w:val="105"/>
        </w:rPr>
        <w:t>de</w:t>
      </w:r>
      <w:r>
        <w:rPr>
          <w:spacing w:val="-4"/>
          <w:w w:val="105"/>
        </w:rPr>
        <w:t xml:space="preserve"> </w:t>
      </w:r>
      <w:r>
        <w:rPr>
          <w:w w:val="105"/>
        </w:rPr>
        <w:t>odio,</w:t>
      </w:r>
      <w:r>
        <w:rPr>
          <w:spacing w:val="-3"/>
          <w:w w:val="105"/>
        </w:rPr>
        <w:t xml:space="preserve"> </w:t>
      </w:r>
      <w:r>
        <w:rPr>
          <w:w w:val="105"/>
        </w:rPr>
        <w:t>llegando</w:t>
      </w:r>
      <w:r>
        <w:rPr>
          <w:spacing w:val="-4"/>
          <w:w w:val="105"/>
        </w:rPr>
        <w:t xml:space="preserve"> </w:t>
      </w:r>
      <w:r>
        <w:rPr>
          <w:w w:val="105"/>
        </w:rPr>
        <w:t>incluso</w:t>
      </w:r>
      <w:r>
        <w:rPr>
          <w:spacing w:val="-3"/>
          <w:w w:val="105"/>
        </w:rPr>
        <w:t xml:space="preserve"> </w:t>
      </w:r>
      <w:r>
        <w:rPr>
          <w:w w:val="105"/>
        </w:rPr>
        <w:t>a perdonar</w:t>
      </w:r>
      <w:r>
        <w:rPr>
          <w:spacing w:val="-3"/>
          <w:w w:val="105"/>
        </w:rPr>
        <w:t xml:space="preserve"> </w:t>
      </w:r>
      <w:r>
        <w:rPr>
          <w:w w:val="105"/>
        </w:rPr>
        <w:t>la</w:t>
      </w:r>
      <w:r>
        <w:rPr>
          <w:spacing w:val="-3"/>
          <w:w w:val="105"/>
        </w:rPr>
        <w:t xml:space="preserve"> </w:t>
      </w:r>
      <w:r>
        <w:rPr>
          <w:w w:val="105"/>
        </w:rPr>
        <w:t>pérdida</w:t>
      </w:r>
      <w:r>
        <w:rPr>
          <w:spacing w:val="-2"/>
          <w:w w:val="105"/>
        </w:rPr>
        <w:t xml:space="preserve"> </w:t>
      </w:r>
      <w:r>
        <w:rPr>
          <w:w w:val="105"/>
        </w:rPr>
        <w:t>de</w:t>
      </w:r>
      <w:r>
        <w:rPr>
          <w:spacing w:val="-3"/>
          <w:w w:val="105"/>
        </w:rPr>
        <w:t xml:space="preserve"> </w:t>
      </w:r>
      <w:r>
        <w:rPr>
          <w:w w:val="105"/>
        </w:rPr>
        <w:t>empleo</w:t>
      </w:r>
      <w:r>
        <w:rPr>
          <w:spacing w:val="-2"/>
          <w:w w:val="105"/>
        </w:rPr>
        <w:t xml:space="preserve"> </w:t>
      </w:r>
      <w:r>
        <w:rPr>
          <w:w w:val="105"/>
        </w:rPr>
        <w:t>de</w:t>
      </w:r>
      <w:r>
        <w:rPr>
          <w:spacing w:val="-3"/>
          <w:w w:val="105"/>
        </w:rPr>
        <w:t xml:space="preserve"> </w:t>
      </w:r>
      <w:r>
        <w:rPr>
          <w:w w:val="105"/>
        </w:rPr>
        <w:t>quienes</w:t>
      </w:r>
      <w:r>
        <w:rPr>
          <w:spacing w:val="-3"/>
          <w:w w:val="105"/>
        </w:rPr>
        <w:t xml:space="preserve"> </w:t>
      </w:r>
      <w:r>
        <w:rPr>
          <w:w w:val="105"/>
        </w:rPr>
        <w:t>incitan</w:t>
      </w:r>
      <w:r>
        <w:rPr>
          <w:spacing w:val="-3"/>
          <w:w w:val="105"/>
        </w:rPr>
        <w:t xml:space="preserve"> </w:t>
      </w:r>
      <w:r>
        <w:rPr>
          <w:w w:val="105"/>
        </w:rPr>
        <w:t>al</w:t>
      </w:r>
      <w:r>
        <w:rPr>
          <w:spacing w:val="-3"/>
          <w:w w:val="105"/>
        </w:rPr>
        <w:t xml:space="preserve"> </w:t>
      </w:r>
      <w:r>
        <w:rPr>
          <w:w w:val="105"/>
        </w:rPr>
        <w:t>odio,</w:t>
      </w:r>
      <w:r>
        <w:rPr>
          <w:spacing w:val="-2"/>
          <w:w w:val="105"/>
        </w:rPr>
        <w:t xml:space="preserve"> </w:t>
      </w:r>
      <w:r>
        <w:rPr>
          <w:w w:val="105"/>
        </w:rPr>
        <w:t>en</w:t>
      </w:r>
      <w:r>
        <w:rPr>
          <w:spacing w:val="-3"/>
          <w:w w:val="105"/>
        </w:rPr>
        <w:t xml:space="preserve"> </w:t>
      </w:r>
      <w:r>
        <w:rPr>
          <w:w w:val="105"/>
        </w:rPr>
        <w:t>particular</w:t>
      </w:r>
      <w:r>
        <w:rPr>
          <w:spacing w:val="-3"/>
          <w:w w:val="105"/>
        </w:rPr>
        <w:t xml:space="preserve"> </w:t>
      </w:r>
      <w:r>
        <w:rPr>
          <w:w w:val="105"/>
        </w:rPr>
        <w:t>en</w:t>
      </w:r>
      <w:r>
        <w:rPr>
          <w:spacing w:val="-3"/>
          <w:w w:val="105"/>
        </w:rPr>
        <w:t xml:space="preserve"> </w:t>
      </w:r>
      <w:r>
        <w:rPr>
          <w:w w:val="105"/>
        </w:rPr>
        <w:t>casos</w:t>
      </w:r>
      <w:r>
        <w:rPr>
          <w:spacing w:val="-3"/>
          <w:w w:val="105"/>
        </w:rPr>
        <w:t xml:space="preserve"> </w:t>
      </w:r>
      <w:r>
        <w:rPr>
          <w:w w:val="105"/>
        </w:rPr>
        <w:t>en</w:t>
      </w:r>
      <w:r>
        <w:rPr>
          <w:spacing w:val="-3"/>
          <w:w w:val="105"/>
        </w:rPr>
        <w:t xml:space="preserve"> </w:t>
      </w:r>
      <w:r>
        <w:rPr>
          <w:w w:val="105"/>
        </w:rPr>
        <w:t>los</w:t>
      </w:r>
      <w:r>
        <w:rPr>
          <w:spacing w:val="-3"/>
          <w:w w:val="105"/>
        </w:rPr>
        <w:t xml:space="preserve"> </w:t>
      </w:r>
      <w:r>
        <w:rPr>
          <w:w w:val="105"/>
        </w:rPr>
        <w:t>que</w:t>
      </w:r>
      <w:r>
        <w:rPr>
          <w:spacing w:val="-3"/>
          <w:w w:val="105"/>
        </w:rPr>
        <w:t xml:space="preserve"> </w:t>
      </w:r>
      <w:r>
        <w:rPr>
          <w:w w:val="105"/>
        </w:rPr>
        <w:t>se</w:t>
      </w:r>
      <w:r>
        <w:rPr>
          <w:spacing w:val="-2"/>
          <w:w w:val="105"/>
        </w:rPr>
        <w:t xml:space="preserve"> </w:t>
      </w:r>
      <w:r>
        <w:rPr>
          <w:w w:val="105"/>
        </w:rPr>
        <w:t>otorgaban</w:t>
      </w:r>
      <w:r>
        <w:rPr>
          <w:spacing w:val="-3"/>
          <w:w w:val="105"/>
        </w:rPr>
        <w:t xml:space="preserve"> </w:t>
      </w:r>
      <w:r>
        <w:rPr>
          <w:w w:val="105"/>
        </w:rPr>
        <w:t>fuertes</w:t>
      </w:r>
      <w:r>
        <w:rPr>
          <w:spacing w:val="-3"/>
          <w:w w:val="105"/>
        </w:rPr>
        <w:t xml:space="preserve"> </w:t>
      </w:r>
      <w:r>
        <w:rPr>
          <w:w w:val="105"/>
        </w:rPr>
        <w:t>garantías procesales al hablante.1153</w:t>
      </w:r>
    </w:p>
    <w:p w14:paraId="6983111C" w14:textId="77777777" w:rsidR="0014798C" w:rsidRDefault="0014798C">
      <w:pPr>
        <w:pStyle w:val="Textoindependiente"/>
        <w:rPr>
          <w:sz w:val="10"/>
        </w:rPr>
      </w:pPr>
    </w:p>
    <w:p w14:paraId="6434479F" w14:textId="77777777" w:rsidR="0014798C" w:rsidRDefault="0014798C">
      <w:pPr>
        <w:pStyle w:val="Textoindependiente"/>
        <w:rPr>
          <w:sz w:val="10"/>
        </w:rPr>
      </w:pPr>
    </w:p>
    <w:p w14:paraId="44AC808B" w14:textId="77777777" w:rsidR="0014798C" w:rsidRDefault="0014798C">
      <w:pPr>
        <w:pStyle w:val="Textoindependiente"/>
        <w:rPr>
          <w:sz w:val="10"/>
        </w:rPr>
      </w:pPr>
    </w:p>
    <w:p w14:paraId="28CC2FE9" w14:textId="77777777" w:rsidR="0014798C" w:rsidRDefault="0014798C">
      <w:pPr>
        <w:pStyle w:val="Textoindependiente"/>
        <w:rPr>
          <w:sz w:val="10"/>
        </w:rPr>
      </w:pPr>
    </w:p>
    <w:p w14:paraId="3C56C833" w14:textId="77777777" w:rsidR="0014798C" w:rsidRDefault="0014798C">
      <w:pPr>
        <w:pStyle w:val="Textoindependiente"/>
        <w:rPr>
          <w:sz w:val="10"/>
        </w:rPr>
      </w:pPr>
    </w:p>
    <w:p w14:paraId="684B1C19" w14:textId="77777777" w:rsidR="0014798C" w:rsidRDefault="0014798C">
      <w:pPr>
        <w:pStyle w:val="Textoindependiente"/>
        <w:rPr>
          <w:sz w:val="10"/>
        </w:rPr>
      </w:pPr>
    </w:p>
    <w:p w14:paraId="2481E78A" w14:textId="77777777" w:rsidR="0014798C" w:rsidRDefault="0014798C">
      <w:pPr>
        <w:pStyle w:val="Textoindependiente"/>
        <w:rPr>
          <w:sz w:val="10"/>
        </w:rPr>
      </w:pPr>
    </w:p>
    <w:p w14:paraId="269C67A9" w14:textId="77777777" w:rsidR="0014798C" w:rsidRDefault="0014798C">
      <w:pPr>
        <w:pStyle w:val="Textoindependiente"/>
        <w:rPr>
          <w:sz w:val="10"/>
        </w:rPr>
      </w:pPr>
    </w:p>
    <w:p w14:paraId="59417FA8" w14:textId="77777777" w:rsidR="0014798C" w:rsidRDefault="0014798C">
      <w:pPr>
        <w:pStyle w:val="Textoindependiente"/>
        <w:rPr>
          <w:sz w:val="10"/>
        </w:rPr>
      </w:pPr>
    </w:p>
    <w:p w14:paraId="40CB31E3" w14:textId="77777777" w:rsidR="0014798C" w:rsidRDefault="0014798C">
      <w:pPr>
        <w:pStyle w:val="Textoindependiente"/>
        <w:rPr>
          <w:sz w:val="10"/>
        </w:rPr>
      </w:pPr>
    </w:p>
    <w:p w14:paraId="4E45B3D8" w14:textId="77777777" w:rsidR="0014798C" w:rsidRDefault="0014798C">
      <w:pPr>
        <w:pStyle w:val="Textoindependiente"/>
        <w:rPr>
          <w:sz w:val="10"/>
        </w:rPr>
      </w:pPr>
    </w:p>
    <w:p w14:paraId="63115243" w14:textId="77777777" w:rsidR="0014798C" w:rsidRDefault="0014798C">
      <w:pPr>
        <w:pStyle w:val="Textoindependiente"/>
        <w:rPr>
          <w:sz w:val="10"/>
        </w:rPr>
      </w:pPr>
    </w:p>
    <w:p w14:paraId="2A8DCAA7" w14:textId="77777777" w:rsidR="0014798C" w:rsidRDefault="0014798C">
      <w:pPr>
        <w:pStyle w:val="Textoindependiente"/>
        <w:rPr>
          <w:sz w:val="10"/>
        </w:rPr>
      </w:pPr>
    </w:p>
    <w:p w14:paraId="1CA43B3E" w14:textId="77777777" w:rsidR="0014798C" w:rsidRDefault="0014798C">
      <w:pPr>
        <w:pStyle w:val="Textoindependiente"/>
        <w:rPr>
          <w:sz w:val="10"/>
        </w:rPr>
      </w:pPr>
    </w:p>
    <w:p w14:paraId="63817371" w14:textId="77777777" w:rsidR="0014798C" w:rsidRDefault="0014798C">
      <w:pPr>
        <w:pStyle w:val="Textoindependiente"/>
        <w:rPr>
          <w:sz w:val="10"/>
        </w:rPr>
      </w:pPr>
    </w:p>
    <w:p w14:paraId="78369F8C" w14:textId="77777777" w:rsidR="0014798C" w:rsidRDefault="0014798C">
      <w:pPr>
        <w:pStyle w:val="Textoindependiente"/>
        <w:rPr>
          <w:sz w:val="10"/>
        </w:rPr>
      </w:pPr>
    </w:p>
    <w:p w14:paraId="6293B478" w14:textId="77777777" w:rsidR="0014798C" w:rsidRDefault="0014798C">
      <w:pPr>
        <w:pStyle w:val="Textoindependiente"/>
        <w:rPr>
          <w:sz w:val="10"/>
        </w:rPr>
      </w:pPr>
    </w:p>
    <w:p w14:paraId="577F4E1D" w14:textId="77777777" w:rsidR="0014798C" w:rsidRDefault="0014798C">
      <w:pPr>
        <w:pStyle w:val="Textoindependiente"/>
        <w:rPr>
          <w:sz w:val="10"/>
        </w:rPr>
      </w:pPr>
    </w:p>
    <w:p w14:paraId="49E4854D" w14:textId="77777777" w:rsidR="0014798C" w:rsidRDefault="0014798C">
      <w:pPr>
        <w:pStyle w:val="Textoindependiente"/>
        <w:rPr>
          <w:sz w:val="10"/>
        </w:rPr>
      </w:pPr>
    </w:p>
    <w:p w14:paraId="5EDAC1D9" w14:textId="77777777" w:rsidR="0014798C" w:rsidRDefault="0014798C">
      <w:pPr>
        <w:pStyle w:val="Textoindependiente"/>
        <w:rPr>
          <w:sz w:val="10"/>
        </w:rPr>
      </w:pPr>
    </w:p>
    <w:p w14:paraId="094B8ABC" w14:textId="77777777" w:rsidR="0014798C" w:rsidRDefault="0014798C">
      <w:pPr>
        <w:pStyle w:val="Textoindependiente"/>
        <w:rPr>
          <w:sz w:val="10"/>
        </w:rPr>
      </w:pPr>
    </w:p>
    <w:p w14:paraId="32160D2A" w14:textId="77777777" w:rsidR="0014798C" w:rsidRDefault="0014798C">
      <w:pPr>
        <w:pStyle w:val="Textoindependiente"/>
        <w:rPr>
          <w:sz w:val="10"/>
        </w:rPr>
      </w:pPr>
    </w:p>
    <w:p w14:paraId="1303C6F2" w14:textId="77777777" w:rsidR="0014798C" w:rsidRDefault="0014798C">
      <w:pPr>
        <w:pStyle w:val="Textoindependiente"/>
        <w:rPr>
          <w:sz w:val="10"/>
        </w:rPr>
      </w:pPr>
    </w:p>
    <w:p w14:paraId="12F3FEB8" w14:textId="77777777" w:rsidR="0014798C" w:rsidRDefault="0014798C">
      <w:pPr>
        <w:pStyle w:val="Textoindependiente"/>
        <w:rPr>
          <w:sz w:val="10"/>
        </w:rPr>
      </w:pPr>
    </w:p>
    <w:p w14:paraId="357F934A" w14:textId="77777777" w:rsidR="0014798C" w:rsidRDefault="0014798C">
      <w:pPr>
        <w:pStyle w:val="Textoindependiente"/>
        <w:rPr>
          <w:sz w:val="10"/>
        </w:rPr>
      </w:pPr>
    </w:p>
    <w:p w14:paraId="7A424B6E" w14:textId="77777777" w:rsidR="0014798C" w:rsidRDefault="0014798C">
      <w:pPr>
        <w:pStyle w:val="Textoindependiente"/>
        <w:rPr>
          <w:sz w:val="10"/>
        </w:rPr>
      </w:pPr>
    </w:p>
    <w:p w14:paraId="5C54BB16" w14:textId="77777777" w:rsidR="0014798C" w:rsidRDefault="0014798C">
      <w:pPr>
        <w:pStyle w:val="Textoindependiente"/>
        <w:rPr>
          <w:sz w:val="10"/>
        </w:rPr>
      </w:pPr>
    </w:p>
    <w:p w14:paraId="399A2C36" w14:textId="77777777" w:rsidR="0014798C" w:rsidRDefault="0014798C">
      <w:pPr>
        <w:pStyle w:val="Textoindependiente"/>
        <w:rPr>
          <w:sz w:val="10"/>
        </w:rPr>
      </w:pPr>
    </w:p>
    <w:p w14:paraId="6A9ED8B3" w14:textId="77777777" w:rsidR="0014798C" w:rsidRDefault="0014798C">
      <w:pPr>
        <w:pStyle w:val="Textoindependiente"/>
        <w:rPr>
          <w:sz w:val="10"/>
        </w:rPr>
      </w:pPr>
    </w:p>
    <w:p w14:paraId="6AEC36FF" w14:textId="77777777" w:rsidR="0014798C" w:rsidRDefault="0014798C">
      <w:pPr>
        <w:pStyle w:val="Textoindependiente"/>
        <w:rPr>
          <w:sz w:val="10"/>
        </w:rPr>
      </w:pPr>
    </w:p>
    <w:p w14:paraId="0306CB07" w14:textId="77777777" w:rsidR="0014798C" w:rsidRDefault="0014798C">
      <w:pPr>
        <w:pStyle w:val="Textoindependiente"/>
        <w:rPr>
          <w:sz w:val="10"/>
        </w:rPr>
      </w:pPr>
    </w:p>
    <w:p w14:paraId="36A77EB8" w14:textId="77777777" w:rsidR="0014798C" w:rsidRDefault="0014798C">
      <w:pPr>
        <w:pStyle w:val="Textoindependiente"/>
        <w:rPr>
          <w:sz w:val="10"/>
        </w:rPr>
      </w:pPr>
    </w:p>
    <w:p w14:paraId="52B53502" w14:textId="77777777" w:rsidR="0014798C" w:rsidRDefault="0014798C">
      <w:pPr>
        <w:pStyle w:val="Textoindependiente"/>
        <w:rPr>
          <w:sz w:val="10"/>
        </w:rPr>
      </w:pPr>
    </w:p>
    <w:p w14:paraId="0CBF683E" w14:textId="77777777" w:rsidR="0014798C" w:rsidRDefault="0014798C">
      <w:pPr>
        <w:pStyle w:val="Textoindependiente"/>
        <w:rPr>
          <w:sz w:val="10"/>
        </w:rPr>
      </w:pPr>
    </w:p>
    <w:p w14:paraId="260ED630" w14:textId="77777777" w:rsidR="0014798C" w:rsidRDefault="0014798C">
      <w:pPr>
        <w:pStyle w:val="Textoindependiente"/>
        <w:rPr>
          <w:sz w:val="10"/>
        </w:rPr>
      </w:pPr>
    </w:p>
    <w:p w14:paraId="223BA3BD" w14:textId="77777777" w:rsidR="0014798C" w:rsidRDefault="0014798C">
      <w:pPr>
        <w:pStyle w:val="Textoindependiente"/>
        <w:rPr>
          <w:sz w:val="10"/>
        </w:rPr>
      </w:pPr>
    </w:p>
    <w:p w14:paraId="65055B41" w14:textId="77777777" w:rsidR="0014798C" w:rsidRDefault="0014798C">
      <w:pPr>
        <w:pStyle w:val="Textoindependiente"/>
        <w:rPr>
          <w:sz w:val="10"/>
        </w:rPr>
      </w:pPr>
    </w:p>
    <w:p w14:paraId="198AC566" w14:textId="77777777" w:rsidR="0014798C" w:rsidRDefault="0014798C">
      <w:pPr>
        <w:pStyle w:val="Textoindependiente"/>
        <w:rPr>
          <w:sz w:val="10"/>
        </w:rPr>
      </w:pPr>
    </w:p>
    <w:p w14:paraId="7BC3AC66" w14:textId="77777777" w:rsidR="0014798C" w:rsidRDefault="0014798C">
      <w:pPr>
        <w:pStyle w:val="Textoindependiente"/>
        <w:rPr>
          <w:sz w:val="10"/>
        </w:rPr>
      </w:pPr>
    </w:p>
    <w:p w14:paraId="1CB9B6CC" w14:textId="77777777" w:rsidR="0014798C" w:rsidRDefault="0014798C">
      <w:pPr>
        <w:pStyle w:val="Textoindependiente"/>
        <w:rPr>
          <w:sz w:val="10"/>
        </w:rPr>
      </w:pPr>
    </w:p>
    <w:p w14:paraId="1BA67FC3" w14:textId="77777777" w:rsidR="0014798C" w:rsidRDefault="0014798C">
      <w:pPr>
        <w:pStyle w:val="Textoindependiente"/>
        <w:spacing w:before="50"/>
        <w:rPr>
          <w:sz w:val="10"/>
        </w:rPr>
      </w:pPr>
    </w:p>
    <w:p w14:paraId="5D801289" w14:textId="77777777" w:rsidR="0014798C" w:rsidRDefault="004E1F0B">
      <w:pPr>
        <w:ind w:left="1111"/>
        <w:rPr>
          <w:sz w:val="10"/>
        </w:rPr>
      </w:pPr>
      <w:r>
        <w:rPr>
          <w:w w:val="105"/>
          <w:sz w:val="10"/>
        </w:rPr>
        <w:t>1147</w:t>
      </w:r>
      <w:r>
        <w:rPr>
          <w:spacing w:val="-4"/>
          <w:w w:val="105"/>
          <w:sz w:val="10"/>
        </w:rPr>
        <w:t xml:space="preserve"> </w:t>
      </w:r>
      <w:proofErr w:type="spellStart"/>
      <w:r>
        <w:rPr>
          <w:spacing w:val="-2"/>
          <w:w w:val="105"/>
          <w:sz w:val="10"/>
        </w:rPr>
        <w:t>Ibíd</w:t>
      </w:r>
      <w:proofErr w:type="spellEnd"/>
      <w:r>
        <w:rPr>
          <w:spacing w:val="-2"/>
          <w:w w:val="105"/>
          <w:sz w:val="10"/>
        </w:rPr>
        <w:t>.</w:t>
      </w:r>
    </w:p>
    <w:p w14:paraId="1554028A" w14:textId="77777777" w:rsidR="0014798C" w:rsidRDefault="0014798C">
      <w:pPr>
        <w:pStyle w:val="Textoindependiente"/>
        <w:spacing w:before="3"/>
        <w:rPr>
          <w:sz w:val="10"/>
        </w:rPr>
      </w:pPr>
    </w:p>
    <w:p w14:paraId="52F229C5" w14:textId="77777777" w:rsidR="0014798C" w:rsidRDefault="004E1F0B">
      <w:pPr>
        <w:spacing w:before="1"/>
        <w:ind w:left="1111"/>
        <w:rPr>
          <w:sz w:val="13"/>
        </w:rPr>
      </w:pPr>
      <w:r>
        <w:rPr>
          <w:spacing w:val="-2"/>
          <w:w w:val="105"/>
          <w:sz w:val="13"/>
          <w:vertAlign w:val="superscript"/>
        </w:rPr>
        <w:t>1148</w:t>
      </w:r>
      <w:r>
        <w:rPr>
          <w:spacing w:val="30"/>
          <w:w w:val="105"/>
          <w:sz w:val="13"/>
        </w:rPr>
        <w:t xml:space="preserve"> </w:t>
      </w:r>
      <w:r>
        <w:rPr>
          <w:spacing w:val="-2"/>
          <w:w w:val="105"/>
          <w:sz w:val="13"/>
        </w:rPr>
        <w:t>E/CN.4/1995/32,</w:t>
      </w:r>
      <w:r>
        <w:rPr>
          <w:w w:val="105"/>
          <w:sz w:val="13"/>
        </w:rPr>
        <w:t xml:space="preserve"> </w:t>
      </w:r>
      <w:proofErr w:type="spellStart"/>
      <w:r>
        <w:rPr>
          <w:spacing w:val="-2"/>
          <w:w w:val="105"/>
          <w:sz w:val="13"/>
        </w:rPr>
        <w:t>párrs</w:t>
      </w:r>
      <w:proofErr w:type="spellEnd"/>
      <w:r>
        <w:rPr>
          <w:spacing w:val="-2"/>
          <w:w w:val="105"/>
          <w:sz w:val="13"/>
        </w:rPr>
        <w:t>.</w:t>
      </w:r>
      <w:r>
        <w:rPr>
          <w:w w:val="105"/>
          <w:sz w:val="13"/>
        </w:rPr>
        <w:t xml:space="preserve"> </w:t>
      </w:r>
      <w:r>
        <w:rPr>
          <w:spacing w:val="-2"/>
          <w:w w:val="105"/>
          <w:sz w:val="13"/>
        </w:rPr>
        <w:t>38–55.</w:t>
      </w:r>
    </w:p>
    <w:p w14:paraId="2F3948E7" w14:textId="77777777" w:rsidR="0014798C" w:rsidRDefault="004E1F0B">
      <w:pPr>
        <w:spacing w:before="87" w:line="288" w:lineRule="auto"/>
        <w:ind w:left="1369" w:right="1668" w:hanging="259"/>
        <w:rPr>
          <w:sz w:val="13"/>
        </w:rPr>
      </w:pPr>
      <w:r>
        <w:rPr>
          <w:sz w:val="13"/>
          <w:vertAlign w:val="superscript"/>
        </w:rPr>
        <w:t>1149</w:t>
      </w:r>
      <w:r>
        <w:rPr>
          <w:spacing w:val="40"/>
          <w:sz w:val="13"/>
        </w:rPr>
        <w:t xml:space="preserve"> </w:t>
      </w:r>
      <w:r>
        <w:rPr>
          <w:sz w:val="13"/>
        </w:rPr>
        <w:t>“Adecuadas para cumplir su función protectora; deben ser el instrumento menos intrusivo entre los que podrían lograr el resultado deseado; y</w:t>
      </w:r>
      <w:r>
        <w:rPr>
          <w:spacing w:val="40"/>
          <w:sz w:val="13"/>
        </w:rPr>
        <w:t xml:space="preserve"> </w:t>
      </w:r>
      <w:r>
        <w:rPr>
          <w:sz w:val="13"/>
        </w:rPr>
        <w:t>deben ser proporcionales al interés que se desea proteger”. Véase Comité de Derechos Humanos, observación general núm. 27 (1999), párr. 14; y</w:t>
      </w:r>
      <w:r>
        <w:rPr>
          <w:spacing w:val="40"/>
          <w:sz w:val="13"/>
        </w:rPr>
        <w:t xml:space="preserve"> </w:t>
      </w:r>
      <w:r>
        <w:rPr>
          <w:sz w:val="13"/>
        </w:rPr>
        <w:t>observación general núm. 34 (2011), párr. 34.</w:t>
      </w:r>
    </w:p>
    <w:p w14:paraId="43AE93B2" w14:textId="77777777" w:rsidR="0014798C" w:rsidRDefault="004E1F0B">
      <w:pPr>
        <w:spacing w:before="57"/>
        <w:ind w:left="1111"/>
        <w:rPr>
          <w:sz w:val="13"/>
        </w:rPr>
      </w:pPr>
      <w:r>
        <w:rPr>
          <w:w w:val="105"/>
          <w:sz w:val="13"/>
          <w:vertAlign w:val="superscript"/>
        </w:rPr>
        <w:t>1150</w:t>
      </w:r>
      <w:r>
        <w:rPr>
          <w:spacing w:val="14"/>
          <w:w w:val="105"/>
          <w:sz w:val="13"/>
        </w:rPr>
        <w:t xml:space="preserve"> </w:t>
      </w:r>
      <w:r>
        <w:rPr>
          <w:w w:val="105"/>
          <w:sz w:val="13"/>
        </w:rPr>
        <w:t>A/74/486,</w:t>
      </w:r>
      <w:r>
        <w:rPr>
          <w:spacing w:val="-8"/>
          <w:w w:val="105"/>
          <w:sz w:val="13"/>
        </w:rPr>
        <w:t xml:space="preserve"> </w:t>
      </w:r>
      <w:r>
        <w:rPr>
          <w:w w:val="105"/>
          <w:sz w:val="13"/>
        </w:rPr>
        <w:t>párr.</w:t>
      </w:r>
      <w:r>
        <w:rPr>
          <w:spacing w:val="-8"/>
          <w:w w:val="105"/>
          <w:sz w:val="13"/>
        </w:rPr>
        <w:t xml:space="preserve"> </w:t>
      </w:r>
      <w:r>
        <w:rPr>
          <w:spacing w:val="-5"/>
          <w:w w:val="105"/>
          <w:sz w:val="13"/>
        </w:rPr>
        <w:t>6.</w:t>
      </w:r>
    </w:p>
    <w:p w14:paraId="1B64DBF9" w14:textId="77777777" w:rsidR="0014798C" w:rsidRDefault="0014798C">
      <w:pPr>
        <w:pStyle w:val="Textoindependiente"/>
        <w:spacing w:before="7"/>
        <w:rPr>
          <w:sz w:val="10"/>
        </w:rPr>
      </w:pPr>
    </w:p>
    <w:p w14:paraId="07579DCD" w14:textId="77777777" w:rsidR="0014798C" w:rsidRDefault="004E1F0B">
      <w:pPr>
        <w:ind w:left="1111"/>
        <w:rPr>
          <w:sz w:val="10"/>
        </w:rPr>
      </w:pPr>
      <w:r>
        <w:rPr>
          <w:w w:val="105"/>
          <w:sz w:val="10"/>
        </w:rPr>
        <w:t>1151</w:t>
      </w:r>
      <w:r>
        <w:rPr>
          <w:spacing w:val="-5"/>
          <w:w w:val="105"/>
          <w:sz w:val="10"/>
        </w:rPr>
        <w:t xml:space="preserve"> </w:t>
      </w:r>
      <w:r>
        <w:rPr>
          <w:w w:val="105"/>
          <w:sz w:val="10"/>
        </w:rPr>
        <w:t>Comité</w:t>
      </w:r>
      <w:r>
        <w:rPr>
          <w:spacing w:val="-5"/>
          <w:w w:val="105"/>
          <w:sz w:val="10"/>
        </w:rPr>
        <w:t xml:space="preserve"> </w:t>
      </w:r>
      <w:r>
        <w:rPr>
          <w:w w:val="105"/>
          <w:sz w:val="10"/>
        </w:rPr>
        <w:t>de</w:t>
      </w:r>
      <w:r>
        <w:rPr>
          <w:spacing w:val="-4"/>
          <w:w w:val="105"/>
          <w:sz w:val="10"/>
        </w:rPr>
        <w:t xml:space="preserve"> </w:t>
      </w:r>
      <w:r>
        <w:rPr>
          <w:w w:val="105"/>
          <w:sz w:val="10"/>
        </w:rPr>
        <w:t>Derechos</w:t>
      </w:r>
      <w:r>
        <w:rPr>
          <w:spacing w:val="-5"/>
          <w:w w:val="105"/>
          <w:sz w:val="10"/>
        </w:rPr>
        <w:t xml:space="preserve"> </w:t>
      </w:r>
      <w:r>
        <w:rPr>
          <w:w w:val="105"/>
          <w:sz w:val="10"/>
        </w:rPr>
        <w:t>Humanos,</w:t>
      </w:r>
      <w:r>
        <w:rPr>
          <w:spacing w:val="-4"/>
          <w:w w:val="105"/>
          <w:sz w:val="10"/>
        </w:rPr>
        <w:t xml:space="preserve"> </w:t>
      </w:r>
      <w:r>
        <w:rPr>
          <w:w w:val="105"/>
          <w:sz w:val="10"/>
        </w:rPr>
        <w:t>observación</w:t>
      </w:r>
      <w:r>
        <w:rPr>
          <w:spacing w:val="-5"/>
          <w:w w:val="105"/>
          <w:sz w:val="10"/>
        </w:rPr>
        <w:t xml:space="preserve"> </w:t>
      </w:r>
      <w:r>
        <w:rPr>
          <w:w w:val="105"/>
          <w:sz w:val="10"/>
        </w:rPr>
        <w:t>general</w:t>
      </w:r>
      <w:r>
        <w:rPr>
          <w:spacing w:val="-4"/>
          <w:w w:val="105"/>
          <w:sz w:val="10"/>
        </w:rPr>
        <w:t xml:space="preserve"> </w:t>
      </w:r>
      <w:r>
        <w:rPr>
          <w:w w:val="105"/>
          <w:sz w:val="10"/>
        </w:rPr>
        <w:t>núm.</w:t>
      </w:r>
      <w:r>
        <w:rPr>
          <w:spacing w:val="-5"/>
          <w:w w:val="105"/>
          <w:sz w:val="10"/>
        </w:rPr>
        <w:t xml:space="preserve"> </w:t>
      </w:r>
      <w:r>
        <w:rPr>
          <w:w w:val="105"/>
          <w:sz w:val="10"/>
        </w:rPr>
        <w:t>34</w:t>
      </w:r>
      <w:r>
        <w:rPr>
          <w:spacing w:val="-5"/>
          <w:w w:val="105"/>
          <w:sz w:val="10"/>
        </w:rPr>
        <w:t xml:space="preserve"> </w:t>
      </w:r>
      <w:r>
        <w:rPr>
          <w:w w:val="105"/>
          <w:sz w:val="10"/>
        </w:rPr>
        <w:t>(2011),</w:t>
      </w:r>
      <w:r>
        <w:rPr>
          <w:spacing w:val="-4"/>
          <w:w w:val="105"/>
          <w:sz w:val="10"/>
        </w:rPr>
        <w:t xml:space="preserve"> </w:t>
      </w:r>
      <w:r>
        <w:rPr>
          <w:w w:val="105"/>
          <w:sz w:val="10"/>
        </w:rPr>
        <w:t>párr.</w:t>
      </w:r>
      <w:r>
        <w:rPr>
          <w:spacing w:val="-5"/>
          <w:w w:val="105"/>
          <w:sz w:val="10"/>
        </w:rPr>
        <w:t xml:space="preserve"> 32.</w:t>
      </w:r>
    </w:p>
    <w:p w14:paraId="474D79BE" w14:textId="77777777" w:rsidR="0014798C" w:rsidRDefault="0014798C">
      <w:pPr>
        <w:pStyle w:val="Textoindependiente"/>
        <w:spacing w:before="7"/>
        <w:rPr>
          <w:sz w:val="10"/>
        </w:rPr>
      </w:pPr>
    </w:p>
    <w:p w14:paraId="024457AD" w14:textId="77777777" w:rsidR="0014798C" w:rsidRDefault="004E1F0B">
      <w:pPr>
        <w:ind w:left="1111"/>
        <w:rPr>
          <w:sz w:val="10"/>
        </w:rPr>
      </w:pPr>
      <w:r>
        <w:rPr>
          <w:w w:val="105"/>
          <w:sz w:val="10"/>
        </w:rPr>
        <w:t>1152</w:t>
      </w:r>
      <w:r>
        <w:rPr>
          <w:spacing w:val="-4"/>
          <w:w w:val="105"/>
          <w:sz w:val="10"/>
        </w:rPr>
        <w:t xml:space="preserve"> </w:t>
      </w:r>
      <w:proofErr w:type="spellStart"/>
      <w:r>
        <w:rPr>
          <w:w w:val="105"/>
          <w:sz w:val="10"/>
        </w:rPr>
        <w:t>Ibíd</w:t>
      </w:r>
      <w:proofErr w:type="spellEnd"/>
      <w:r>
        <w:rPr>
          <w:w w:val="105"/>
          <w:sz w:val="10"/>
        </w:rPr>
        <w:t>.,</w:t>
      </w:r>
      <w:r>
        <w:rPr>
          <w:spacing w:val="-4"/>
          <w:w w:val="105"/>
          <w:sz w:val="10"/>
        </w:rPr>
        <w:t xml:space="preserve"> </w:t>
      </w:r>
      <w:proofErr w:type="spellStart"/>
      <w:r>
        <w:rPr>
          <w:w w:val="105"/>
          <w:sz w:val="10"/>
        </w:rPr>
        <w:t>párrs</w:t>
      </w:r>
      <w:proofErr w:type="spellEnd"/>
      <w:r>
        <w:rPr>
          <w:w w:val="105"/>
          <w:sz w:val="10"/>
        </w:rPr>
        <w:t>.</w:t>
      </w:r>
      <w:r>
        <w:rPr>
          <w:spacing w:val="-3"/>
          <w:w w:val="105"/>
          <w:sz w:val="10"/>
        </w:rPr>
        <w:t xml:space="preserve"> </w:t>
      </w:r>
      <w:r>
        <w:rPr>
          <w:w w:val="105"/>
          <w:sz w:val="10"/>
        </w:rPr>
        <w:t>50–52</w:t>
      </w:r>
      <w:r>
        <w:rPr>
          <w:spacing w:val="-4"/>
          <w:w w:val="105"/>
          <w:sz w:val="10"/>
        </w:rPr>
        <w:t xml:space="preserve"> </w:t>
      </w:r>
      <w:r>
        <w:rPr>
          <w:w w:val="105"/>
          <w:sz w:val="10"/>
        </w:rPr>
        <w:t>(nota</w:t>
      </w:r>
      <w:r>
        <w:rPr>
          <w:spacing w:val="-4"/>
          <w:w w:val="105"/>
          <w:sz w:val="10"/>
        </w:rPr>
        <w:t xml:space="preserve"> </w:t>
      </w:r>
      <w:r>
        <w:rPr>
          <w:w w:val="105"/>
          <w:sz w:val="10"/>
        </w:rPr>
        <w:t>a</w:t>
      </w:r>
      <w:r>
        <w:rPr>
          <w:spacing w:val="-3"/>
          <w:w w:val="105"/>
          <w:sz w:val="10"/>
        </w:rPr>
        <w:t xml:space="preserve"> </w:t>
      </w:r>
      <w:r>
        <w:rPr>
          <w:w w:val="105"/>
          <w:sz w:val="10"/>
        </w:rPr>
        <w:t>pie</w:t>
      </w:r>
      <w:r>
        <w:rPr>
          <w:spacing w:val="-4"/>
          <w:w w:val="105"/>
          <w:sz w:val="10"/>
        </w:rPr>
        <w:t xml:space="preserve"> </w:t>
      </w:r>
      <w:r>
        <w:rPr>
          <w:w w:val="105"/>
          <w:sz w:val="10"/>
        </w:rPr>
        <w:t>de</w:t>
      </w:r>
      <w:r>
        <w:rPr>
          <w:spacing w:val="-3"/>
          <w:w w:val="105"/>
          <w:sz w:val="10"/>
        </w:rPr>
        <w:t xml:space="preserve"> </w:t>
      </w:r>
      <w:r>
        <w:rPr>
          <w:w w:val="105"/>
          <w:sz w:val="10"/>
        </w:rPr>
        <w:t>página</w:t>
      </w:r>
      <w:r>
        <w:rPr>
          <w:spacing w:val="-4"/>
          <w:w w:val="105"/>
          <w:sz w:val="10"/>
        </w:rPr>
        <w:t xml:space="preserve"> </w:t>
      </w:r>
      <w:r>
        <w:rPr>
          <w:spacing w:val="-2"/>
          <w:w w:val="105"/>
          <w:sz w:val="10"/>
        </w:rPr>
        <w:t>omitida).</w:t>
      </w:r>
    </w:p>
    <w:p w14:paraId="12E43FAC" w14:textId="77777777" w:rsidR="0014798C" w:rsidRDefault="004E1F0B">
      <w:pPr>
        <w:spacing w:before="86"/>
        <w:ind w:left="1111"/>
        <w:rPr>
          <w:sz w:val="13"/>
        </w:rPr>
      </w:pPr>
      <w:r>
        <w:rPr>
          <w:sz w:val="13"/>
        </w:rPr>
        <w:t>1153</w:t>
      </w:r>
      <w:r>
        <w:rPr>
          <w:spacing w:val="4"/>
          <w:sz w:val="13"/>
        </w:rPr>
        <w:t xml:space="preserve"> </w:t>
      </w:r>
      <w:r>
        <w:rPr>
          <w:sz w:val="13"/>
        </w:rPr>
        <w:t>Comité</w:t>
      </w:r>
      <w:r>
        <w:rPr>
          <w:spacing w:val="4"/>
          <w:sz w:val="13"/>
        </w:rPr>
        <w:t xml:space="preserve"> </w:t>
      </w:r>
      <w:r>
        <w:rPr>
          <w:sz w:val="13"/>
        </w:rPr>
        <w:t>de</w:t>
      </w:r>
      <w:r>
        <w:rPr>
          <w:spacing w:val="5"/>
          <w:sz w:val="13"/>
        </w:rPr>
        <w:t xml:space="preserve"> </w:t>
      </w:r>
      <w:r>
        <w:rPr>
          <w:sz w:val="13"/>
        </w:rPr>
        <w:t>Derechos</w:t>
      </w:r>
      <w:r>
        <w:rPr>
          <w:spacing w:val="4"/>
          <w:sz w:val="13"/>
        </w:rPr>
        <w:t xml:space="preserve"> </w:t>
      </w:r>
      <w:r>
        <w:rPr>
          <w:sz w:val="13"/>
        </w:rPr>
        <w:t>Humanos,</w:t>
      </w:r>
      <w:r>
        <w:rPr>
          <w:spacing w:val="5"/>
          <w:sz w:val="13"/>
        </w:rPr>
        <w:t xml:space="preserve"> </w:t>
      </w:r>
      <w:r>
        <w:rPr>
          <w:sz w:val="13"/>
        </w:rPr>
        <w:t>Ross</w:t>
      </w:r>
      <w:r>
        <w:rPr>
          <w:spacing w:val="5"/>
          <w:sz w:val="13"/>
        </w:rPr>
        <w:t xml:space="preserve"> </w:t>
      </w:r>
      <w:r>
        <w:rPr>
          <w:sz w:val="13"/>
        </w:rPr>
        <w:t>c.</w:t>
      </w:r>
      <w:r>
        <w:rPr>
          <w:spacing w:val="4"/>
          <w:sz w:val="13"/>
        </w:rPr>
        <w:t xml:space="preserve"> </w:t>
      </w:r>
      <w:r>
        <w:rPr>
          <w:sz w:val="13"/>
        </w:rPr>
        <w:t>Canadá</w:t>
      </w:r>
      <w:r>
        <w:rPr>
          <w:spacing w:val="4"/>
          <w:sz w:val="13"/>
        </w:rPr>
        <w:t xml:space="preserve"> </w:t>
      </w:r>
      <w:r>
        <w:rPr>
          <w:spacing w:val="-2"/>
          <w:sz w:val="13"/>
        </w:rPr>
        <w:t>(CCPR/C/70/D/736/1997).</w:t>
      </w:r>
    </w:p>
    <w:p w14:paraId="596B6953" w14:textId="77777777" w:rsidR="0014798C" w:rsidRDefault="004E1F0B">
      <w:pPr>
        <w:spacing w:before="87"/>
        <w:ind w:left="1111"/>
        <w:rPr>
          <w:sz w:val="13"/>
        </w:rPr>
      </w:pPr>
      <w:r>
        <w:rPr>
          <w:sz w:val="13"/>
        </w:rPr>
        <w:t>1154</w:t>
      </w:r>
      <w:r>
        <w:rPr>
          <w:spacing w:val="3"/>
          <w:sz w:val="13"/>
        </w:rPr>
        <w:t xml:space="preserve"> </w:t>
      </w:r>
      <w:r>
        <w:rPr>
          <w:sz w:val="13"/>
        </w:rPr>
        <w:t>Corte</w:t>
      </w:r>
      <w:r>
        <w:rPr>
          <w:spacing w:val="3"/>
          <w:sz w:val="13"/>
        </w:rPr>
        <w:t xml:space="preserve"> </w:t>
      </w:r>
      <w:r>
        <w:rPr>
          <w:sz w:val="13"/>
        </w:rPr>
        <w:t>Interamericana</w:t>
      </w:r>
      <w:r>
        <w:rPr>
          <w:spacing w:val="3"/>
          <w:sz w:val="13"/>
        </w:rPr>
        <w:t xml:space="preserve"> </w:t>
      </w:r>
      <w:r>
        <w:rPr>
          <w:sz w:val="13"/>
        </w:rPr>
        <w:t>de</w:t>
      </w:r>
      <w:r>
        <w:rPr>
          <w:spacing w:val="4"/>
          <w:sz w:val="13"/>
        </w:rPr>
        <w:t xml:space="preserve"> </w:t>
      </w:r>
      <w:r>
        <w:rPr>
          <w:sz w:val="13"/>
        </w:rPr>
        <w:t>Derechos</w:t>
      </w:r>
      <w:r>
        <w:rPr>
          <w:spacing w:val="3"/>
          <w:sz w:val="13"/>
        </w:rPr>
        <w:t xml:space="preserve"> </w:t>
      </w:r>
      <w:r>
        <w:rPr>
          <w:sz w:val="13"/>
        </w:rPr>
        <w:t>Humanos,</w:t>
      </w:r>
      <w:r>
        <w:rPr>
          <w:spacing w:val="4"/>
          <w:sz w:val="13"/>
        </w:rPr>
        <w:t xml:space="preserve"> </w:t>
      </w:r>
      <w:r>
        <w:rPr>
          <w:sz w:val="13"/>
        </w:rPr>
        <w:t>Granier</w:t>
      </w:r>
      <w:r>
        <w:rPr>
          <w:spacing w:val="4"/>
          <w:sz w:val="13"/>
        </w:rPr>
        <w:t xml:space="preserve"> </w:t>
      </w:r>
      <w:r>
        <w:rPr>
          <w:sz w:val="13"/>
        </w:rPr>
        <w:t>y</w:t>
      </w:r>
      <w:r>
        <w:rPr>
          <w:spacing w:val="3"/>
          <w:sz w:val="13"/>
        </w:rPr>
        <w:t xml:space="preserve"> </w:t>
      </w:r>
      <w:r>
        <w:rPr>
          <w:sz w:val="13"/>
        </w:rPr>
        <w:t>otros.</w:t>
      </w:r>
      <w:r>
        <w:rPr>
          <w:spacing w:val="3"/>
          <w:sz w:val="13"/>
        </w:rPr>
        <w:t xml:space="preserve"> </w:t>
      </w:r>
      <w:r>
        <w:rPr>
          <w:sz w:val="13"/>
        </w:rPr>
        <w:t>Venezuela,</w:t>
      </w:r>
      <w:r>
        <w:rPr>
          <w:spacing w:val="4"/>
          <w:sz w:val="13"/>
        </w:rPr>
        <w:t xml:space="preserve"> </w:t>
      </w:r>
      <w:r>
        <w:rPr>
          <w:sz w:val="13"/>
        </w:rPr>
        <w:t>Caso</w:t>
      </w:r>
      <w:r>
        <w:rPr>
          <w:spacing w:val="4"/>
          <w:sz w:val="13"/>
        </w:rPr>
        <w:t xml:space="preserve"> </w:t>
      </w:r>
      <w:r>
        <w:rPr>
          <w:sz w:val="13"/>
        </w:rPr>
        <w:t>12.828,</w:t>
      </w:r>
      <w:r>
        <w:rPr>
          <w:spacing w:val="4"/>
          <w:sz w:val="13"/>
        </w:rPr>
        <w:t xml:space="preserve"> </w:t>
      </w:r>
      <w:r>
        <w:rPr>
          <w:sz w:val="13"/>
        </w:rPr>
        <w:t>Informe</w:t>
      </w:r>
      <w:r>
        <w:rPr>
          <w:spacing w:val="3"/>
          <w:sz w:val="13"/>
        </w:rPr>
        <w:t xml:space="preserve"> </w:t>
      </w:r>
      <w:r>
        <w:rPr>
          <w:sz w:val="13"/>
        </w:rPr>
        <w:t>No.</w:t>
      </w:r>
      <w:r>
        <w:rPr>
          <w:spacing w:val="4"/>
          <w:sz w:val="13"/>
        </w:rPr>
        <w:t xml:space="preserve"> </w:t>
      </w:r>
      <w:r>
        <w:rPr>
          <w:sz w:val="13"/>
        </w:rPr>
        <w:t>112/12,</w:t>
      </w:r>
      <w:r>
        <w:rPr>
          <w:spacing w:val="4"/>
          <w:sz w:val="13"/>
        </w:rPr>
        <w:t xml:space="preserve"> </w:t>
      </w:r>
      <w:r>
        <w:rPr>
          <w:sz w:val="13"/>
        </w:rPr>
        <w:t>Fondo,</w:t>
      </w:r>
      <w:r>
        <w:rPr>
          <w:spacing w:val="3"/>
          <w:sz w:val="13"/>
        </w:rPr>
        <w:t xml:space="preserve"> </w:t>
      </w:r>
      <w:r>
        <w:rPr>
          <w:sz w:val="13"/>
        </w:rPr>
        <w:t>9</w:t>
      </w:r>
      <w:r>
        <w:rPr>
          <w:spacing w:val="4"/>
          <w:sz w:val="13"/>
        </w:rPr>
        <w:t xml:space="preserve"> </w:t>
      </w:r>
      <w:r>
        <w:rPr>
          <w:sz w:val="13"/>
        </w:rPr>
        <w:t>de</w:t>
      </w:r>
      <w:r>
        <w:rPr>
          <w:spacing w:val="3"/>
          <w:sz w:val="13"/>
        </w:rPr>
        <w:t xml:space="preserve"> </w:t>
      </w:r>
      <w:r>
        <w:rPr>
          <w:sz w:val="13"/>
        </w:rPr>
        <w:t>noviembre</w:t>
      </w:r>
      <w:r>
        <w:rPr>
          <w:spacing w:val="3"/>
          <w:sz w:val="13"/>
        </w:rPr>
        <w:t xml:space="preserve"> </w:t>
      </w:r>
      <w:r>
        <w:rPr>
          <w:sz w:val="13"/>
        </w:rPr>
        <w:t>de</w:t>
      </w:r>
      <w:r>
        <w:rPr>
          <w:spacing w:val="3"/>
          <w:sz w:val="13"/>
        </w:rPr>
        <w:t xml:space="preserve"> </w:t>
      </w:r>
      <w:r>
        <w:rPr>
          <w:sz w:val="13"/>
        </w:rPr>
        <w:t>2012,</w:t>
      </w:r>
      <w:r>
        <w:rPr>
          <w:spacing w:val="4"/>
          <w:sz w:val="13"/>
        </w:rPr>
        <w:t xml:space="preserve"> </w:t>
      </w:r>
      <w:r>
        <w:rPr>
          <w:sz w:val="13"/>
        </w:rPr>
        <w:t>párr.</w:t>
      </w:r>
      <w:r>
        <w:rPr>
          <w:spacing w:val="3"/>
          <w:sz w:val="13"/>
        </w:rPr>
        <w:t xml:space="preserve"> </w:t>
      </w:r>
      <w:r>
        <w:rPr>
          <w:spacing w:val="-4"/>
          <w:sz w:val="13"/>
        </w:rPr>
        <w:t>124.</w:t>
      </w:r>
    </w:p>
    <w:p w14:paraId="08B47CB5" w14:textId="77777777" w:rsidR="0014798C" w:rsidRDefault="0014798C">
      <w:pPr>
        <w:pStyle w:val="Textoindependiente"/>
        <w:rPr>
          <w:sz w:val="19"/>
        </w:rPr>
      </w:pPr>
    </w:p>
    <w:p w14:paraId="0F20E048" w14:textId="77777777" w:rsidR="0014798C" w:rsidRDefault="0014798C">
      <w:pPr>
        <w:pStyle w:val="Textoindependiente"/>
        <w:spacing w:before="201"/>
        <w:rPr>
          <w:sz w:val="19"/>
        </w:rPr>
      </w:pPr>
    </w:p>
    <w:p w14:paraId="7B48EA4B" w14:textId="77777777" w:rsidR="0014798C" w:rsidRDefault="004E1F0B">
      <w:pPr>
        <w:ind w:right="696"/>
        <w:jc w:val="right"/>
        <w:rPr>
          <w:sz w:val="19"/>
        </w:rPr>
      </w:pPr>
      <w:r>
        <w:rPr>
          <w:spacing w:val="-5"/>
          <w:sz w:val="19"/>
        </w:rPr>
        <w:t>177</w:t>
      </w:r>
    </w:p>
    <w:p w14:paraId="37512BAB" w14:textId="77777777" w:rsidR="0014798C" w:rsidRDefault="0014798C">
      <w:pPr>
        <w:jc w:val="right"/>
        <w:rPr>
          <w:sz w:val="19"/>
        </w:rPr>
        <w:sectPr w:rsidR="0014798C" w:rsidSect="00F265E4">
          <w:pgSz w:w="11900" w:h="16820"/>
          <w:pgMar w:top="340" w:right="0" w:bottom="280" w:left="200" w:header="121" w:footer="0" w:gutter="0"/>
          <w:cols w:space="720"/>
        </w:sectPr>
      </w:pPr>
    </w:p>
    <w:p w14:paraId="400512AB" w14:textId="77777777" w:rsidR="0014798C" w:rsidRDefault="0014798C">
      <w:pPr>
        <w:pStyle w:val="Textoindependiente"/>
        <w:spacing w:before="85"/>
        <w:rPr>
          <w:sz w:val="12"/>
        </w:rPr>
      </w:pPr>
    </w:p>
    <w:p w14:paraId="1DA9F1E8" w14:textId="77777777" w:rsidR="0014798C" w:rsidRDefault="004E1F0B">
      <w:pPr>
        <w:ind w:left="1111"/>
        <w:rPr>
          <w:sz w:val="12"/>
        </w:rPr>
      </w:pPr>
      <w:r>
        <w:rPr>
          <w:color w:val="0075BF"/>
          <w:sz w:val="12"/>
        </w:rPr>
        <w:t>PROTECCIÓN</w:t>
      </w:r>
      <w:r>
        <w:rPr>
          <w:color w:val="0075BF"/>
          <w:spacing w:val="6"/>
          <w:sz w:val="12"/>
        </w:rPr>
        <w:t xml:space="preserve"> </w:t>
      </w:r>
      <w:r>
        <w:rPr>
          <w:color w:val="0075BF"/>
          <w:sz w:val="12"/>
        </w:rPr>
        <w:t>DE</w:t>
      </w:r>
      <w:r>
        <w:rPr>
          <w:color w:val="0075BF"/>
          <w:spacing w:val="7"/>
          <w:sz w:val="12"/>
        </w:rPr>
        <w:t xml:space="preserve"> </w:t>
      </w:r>
      <w:r>
        <w:rPr>
          <w:color w:val="0075BF"/>
          <w:sz w:val="12"/>
        </w:rPr>
        <w:t>LOS</w:t>
      </w:r>
      <w:r>
        <w:rPr>
          <w:color w:val="0075BF"/>
          <w:spacing w:val="8"/>
          <w:sz w:val="12"/>
        </w:rPr>
        <w:t xml:space="preserve"> </w:t>
      </w:r>
      <w:r>
        <w:rPr>
          <w:color w:val="0075BF"/>
          <w:sz w:val="12"/>
        </w:rPr>
        <w:t>DERECHOS</w:t>
      </w:r>
      <w:r>
        <w:rPr>
          <w:color w:val="0075BF"/>
          <w:spacing w:val="8"/>
          <w:sz w:val="12"/>
        </w:rPr>
        <w:t xml:space="preserve"> </w:t>
      </w:r>
      <w:r>
        <w:rPr>
          <w:color w:val="0075BF"/>
          <w:sz w:val="12"/>
        </w:rPr>
        <w:t>DE</w:t>
      </w:r>
      <w:r>
        <w:rPr>
          <w:color w:val="0075BF"/>
          <w:spacing w:val="6"/>
          <w:sz w:val="12"/>
        </w:rPr>
        <w:t xml:space="preserve"> </w:t>
      </w:r>
      <w:r>
        <w:rPr>
          <w:color w:val="0075BF"/>
          <w:sz w:val="12"/>
        </w:rPr>
        <w:t>LAS</w:t>
      </w:r>
      <w:r>
        <w:rPr>
          <w:color w:val="0075BF"/>
          <w:spacing w:val="7"/>
          <w:sz w:val="12"/>
        </w:rPr>
        <w:t xml:space="preserve"> </w:t>
      </w:r>
      <w:r>
        <w:rPr>
          <w:color w:val="0075BF"/>
          <w:sz w:val="12"/>
        </w:rPr>
        <w:t>MINORÍAS:</w:t>
      </w:r>
      <w:r>
        <w:rPr>
          <w:color w:val="0075BF"/>
          <w:spacing w:val="8"/>
          <w:sz w:val="12"/>
        </w:rPr>
        <w:t xml:space="preserve"> </w:t>
      </w:r>
      <w:r>
        <w:rPr>
          <w:color w:val="0075BF"/>
          <w:sz w:val="12"/>
        </w:rPr>
        <w:t>una</w:t>
      </w:r>
      <w:r>
        <w:rPr>
          <w:color w:val="0075BF"/>
          <w:spacing w:val="7"/>
          <w:sz w:val="12"/>
        </w:rPr>
        <w:t xml:space="preserve"> </w:t>
      </w:r>
      <w:r>
        <w:rPr>
          <w:color w:val="0075BF"/>
          <w:sz w:val="12"/>
        </w:rPr>
        <w:t>guía</w:t>
      </w:r>
      <w:r>
        <w:rPr>
          <w:color w:val="0075BF"/>
          <w:spacing w:val="6"/>
          <w:sz w:val="12"/>
        </w:rPr>
        <w:t xml:space="preserve"> </w:t>
      </w:r>
      <w:r>
        <w:rPr>
          <w:color w:val="0075BF"/>
          <w:sz w:val="12"/>
        </w:rPr>
        <w:t>práctica</w:t>
      </w:r>
      <w:r>
        <w:rPr>
          <w:color w:val="0075BF"/>
          <w:spacing w:val="7"/>
          <w:sz w:val="12"/>
        </w:rPr>
        <w:t xml:space="preserve"> </w:t>
      </w:r>
      <w:r>
        <w:rPr>
          <w:color w:val="0075BF"/>
          <w:sz w:val="12"/>
        </w:rPr>
        <w:t>para</w:t>
      </w:r>
      <w:r>
        <w:rPr>
          <w:color w:val="0075BF"/>
          <w:spacing w:val="8"/>
          <w:sz w:val="12"/>
        </w:rPr>
        <w:t xml:space="preserve"> </w:t>
      </w:r>
      <w:r>
        <w:rPr>
          <w:color w:val="0075BF"/>
          <w:sz w:val="12"/>
        </w:rPr>
        <w:t>desarrollar</w:t>
      </w:r>
      <w:r>
        <w:rPr>
          <w:color w:val="0075BF"/>
          <w:spacing w:val="6"/>
          <w:sz w:val="12"/>
        </w:rPr>
        <w:t xml:space="preserve"> </w:t>
      </w:r>
      <w:r>
        <w:rPr>
          <w:color w:val="0075BF"/>
          <w:sz w:val="12"/>
        </w:rPr>
        <w:t>una</w:t>
      </w:r>
      <w:r>
        <w:rPr>
          <w:color w:val="0075BF"/>
          <w:spacing w:val="7"/>
          <w:sz w:val="12"/>
        </w:rPr>
        <w:t xml:space="preserve"> </w:t>
      </w:r>
      <w:r>
        <w:rPr>
          <w:color w:val="0075BF"/>
          <w:sz w:val="12"/>
        </w:rPr>
        <w:t>legislación</w:t>
      </w:r>
      <w:r>
        <w:rPr>
          <w:color w:val="0075BF"/>
          <w:spacing w:val="8"/>
          <w:sz w:val="12"/>
        </w:rPr>
        <w:t xml:space="preserve"> </w:t>
      </w:r>
      <w:r>
        <w:rPr>
          <w:color w:val="0075BF"/>
          <w:sz w:val="12"/>
        </w:rPr>
        <w:t>integral</w:t>
      </w:r>
      <w:r>
        <w:rPr>
          <w:color w:val="0075BF"/>
          <w:spacing w:val="7"/>
          <w:sz w:val="12"/>
        </w:rPr>
        <w:t xml:space="preserve"> </w:t>
      </w:r>
      <w:r>
        <w:rPr>
          <w:color w:val="0075BF"/>
          <w:sz w:val="12"/>
        </w:rPr>
        <w:t>contra</w:t>
      </w:r>
      <w:r>
        <w:rPr>
          <w:color w:val="0075BF"/>
          <w:spacing w:val="6"/>
          <w:sz w:val="12"/>
        </w:rPr>
        <w:t xml:space="preserve"> </w:t>
      </w:r>
      <w:r>
        <w:rPr>
          <w:color w:val="0075BF"/>
          <w:sz w:val="12"/>
        </w:rPr>
        <w:t>la</w:t>
      </w:r>
      <w:r>
        <w:rPr>
          <w:color w:val="0075BF"/>
          <w:spacing w:val="7"/>
          <w:sz w:val="12"/>
        </w:rPr>
        <w:t xml:space="preserve"> </w:t>
      </w:r>
      <w:r>
        <w:rPr>
          <w:color w:val="0075BF"/>
          <w:spacing w:val="-2"/>
          <w:sz w:val="12"/>
        </w:rPr>
        <w:t>discriminación</w:t>
      </w:r>
    </w:p>
    <w:p w14:paraId="1BB20536" w14:textId="77777777" w:rsidR="0014798C" w:rsidRDefault="0014798C">
      <w:pPr>
        <w:pStyle w:val="Textoindependiente"/>
        <w:rPr>
          <w:sz w:val="15"/>
        </w:rPr>
      </w:pPr>
    </w:p>
    <w:p w14:paraId="177E9760" w14:textId="77777777" w:rsidR="0014798C" w:rsidRDefault="0014798C">
      <w:pPr>
        <w:pStyle w:val="Textoindependiente"/>
        <w:rPr>
          <w:sz w:val="15"/>
        </w:rPr>
      </w:pPr>
    </w:p>
    <w:p w14:paraId="6E81FE89" w14:textId="77777777" w:rsidR="0014798C" w:rsidRDefault="0014798C">
      <w:pPr>
        <w:pStyle w:val="Textoindependiente"/>
        <w:rPr>
          <w:sz w:val="15"/>
        </w:rPr>
      </w:pPr>
    </w:p>
    <w:p w14:paraId="0C0EC49C" w14:textId="77777777" w:rsidR="0014798C" w:rsidRDefault="0014798C">
      <w:pPr>
        <w:pStyle w:val="Textoindependiente"/>
        <w:rPr>
          <w:sz w:val="15"/>
        </w:rPr>
      </w:pPr>
    </w:p>
    <w:p w14:paraId="2D994B72" w14:textId="77777777" w:rsidR="0014798C" w:rsidRDefault="0014798C">
      <w:pPr>
        <w:pStyle w:val="Textoindependiente"/>
        <w:spacing w:before="137"/>
        <w:rPr>
          <w:sz w:val="15"/>
        </w:rPr>
      </w:pPr>
    </w:p>
    <w:p w14:paraId="6CF025C9" w14:textId="77777777" w:rsidR="0014798C" w:rsidRDefault="004E1F0B">
      <w:pPr>
        <w:spacing w:line="348" w:lineRule="auto"/>
        <w:ind w:left="1111" w:right="1463"/>
        <w:rPr>
          <w:sz w:val="15"/>
        </w:rPr>
      </w:pPr>
      <w:r>
        <w:rPr>
          <w:sz w:val="15"/>
        </w:rPr>
        <w:t>desarrolló doctrinas en el sentido de que no es posible invocar las disposiciones del Convenio Europeo de Derechos Humanos en casos en los que el recurrente pretende destruir los derechos humanos.1155</w:t>
      </w:r>
    </w:p>
    <w:p w14:paraId="53E673E6" w14:textId="77777777" w:rsidR="0014798C" w:rsidRDefault="0014798C">
      <w:pPr>
        <w:pStyle w:val="Textoindependiente"/>
        <w:rPr>
          <w:sz w:val="15"/>
        </w:rPr>
      </w:pPr>
    </w:p>
    <w:p w14:paraId="4AF91D57" w14:textId="77777777" w:rsidR="0014798C" w:rsidRDefault="0014798C">
      <w:pPr>
        <w:pStyle w:val="Textoindependiente"/>
        <w:spacing w:before="123"/>
        <w:rPr>
          <w:sz w:val="15"/>
        </w:rPr>
      </w:pPr>
    </w:p>
    <w:p w14:paraId="51E763D4" w14:textId="77777777" w:rsidR="0014798C" w:rsidRDefault="004E1F0B">
      <w:pPr>
        <w:spacing w:before="1" w:line="348" w:lineRule="auto"/>
        <w:ind w:left="1342" w:right="2004"/>
        <w:rPr>
          <w:sz w:val="15"/>
        </w:rPr>
      </w:pPr>
      <w:r>
        <w:rPr>
          <w:noProof/>
        </w:rPr>
        <w:drawing>
          <wp:anchor distT="0" distB="0" distL="0" distR="0" simplePos="0" relativeHeight="251658487" behindDoc="1" locked="0" layoutInCell="1" allowOverlap="1" wp14:anchorId="4E53A359" wp14:editId="79AE678B">
            <wp:simplePos x="0" y="0"/>
            <wp:positionH relativeFrom="page">
              <wp:posOffset>817647</wp:posOffset>
            </wp:positionH>
            <wp:positionV relativeFrom="paragraph">
              <wp:posOffset>-200733</wp:posOffset>
            </wp:positionV>
            <wp:extent cx="5943667" cy="6007612"/>
            <wp:effectExtent l="0" t="0" r="0" b="0"/>
            <wp:wrapNone/>
            <wp:docPr id="355" name="Image 35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55" name="Image 355"/>
                    <pic:cNvPicPr/>
                  </pic:nvPicPr>
                  <pic:blipFill>
                    <a:blip r:embed="rId327" cstate="print"/>
                    <a:stretch>
                      <a:fillRect/>
                    </a:stretch>
                  </pic:blipFill>
                  <pic:spPr>
                    <a:xfrm>
                      <a:off x="0" y="0"/>
                      <a:ext cx="5943667" cy="6007612"/>
                    </a:xfrm>
                    <a:prstGeom prst="rect">
                      <a:avLst/>
                    </a:prstGeom>
                  </pic:spPr>
                </pic:pic>
              </a:graphicData>
            </a:graphic>
          </wp:anchor>
        </w:drawing>
      </w:r>
      <w:r>
        <w:rPr>
          <w:sz w:val="15"/>
        </w:rPr>
        <w:t>DISCURSO DE ODIO COMO DISCRIMINACIÓN: ABORDANDO LA RESPONSABILIDAD DE LOS ESTADOS HACIA PROTEGER A LAS PERSONAS DEL DISCURSO DE ODIO HOMOFÓBICO</w:t>
      </w:r>
    </w:p>
    <w:p w14:paraId="34ED91F6" w14:textId="77777777" w:rsidR="0014798C" w:rsidRDefault="004E1F0B">
      <w:pPr>
        <w:spacing w:before="153" w:line="348" w:lineRule="auto"/>
        <w:ind w:left="1334" w:right="1590" w:hanging="2"/>
        <w:rPr>
          <w:sz w:val="15"/>
        </w:rPr>
      </w:pPr>
      <w:r>
        <w:rPr>
          <w:sz w:val="15"/>
        </w:rPr>
        <w:t xml:space="preserve">En enero de 2020, el Tribunal Europeo de Derechos Humanos examinó la negativa de las autoridades lituanas a investigar y sancionar los comentarios de incitación al odio en línea. El caso surgió después de que se publicara en Facebook en Lituania una fotografía que mostraba un beso entre personas del mismo sexo. </w:t>
      </w:r>
      <w:proofErr w:type="spellStart"/>
      <w:r>
        <w:rPr>
          <w:sz w:val="15"/>
        </w:rPr>
        <w:t>Pijus</w:t>
      </w:r>
      <w:proofErr w:type="spellEnd"/>
      <w:r>
        <w:rPr>
          <w:sz w:val="15"/>
        </w:rPr>
        <w:t xml:space="preserve"> </w:t>
      </w:r>
      <w:proofErr w:type="spellStart"/>
      <w:r>
        <w:rPr>
          <w:sz w:val="15"/>
        </w:rPr>
        <w:t>Beizaras</w:t>
      </w:r>
      <w:proofErr w:type="spellEnd"/>
      <w:r>
        <w:rPr>
          <w:sz w:val="15"/>
        </w:rPr>
        <w:t xml:space="preserve"> y </w:t>
      </w:r>
      <w:proofErr w:type="spellStart"/>
      <w:r>
        <w:rPr>
          <w:sz w:val="15"/>
        </w:rPr>
        <w:t>Mangirdas</w:t>
      </w:r>
      <w:proofErr w:type="spellEnd"/>
      <w:r>
        <w:rPr>
          <w:sz w:val="15"/>
        </w:rPr>
        <w:t xml:space="preserve"> </w:t>
      </w:r>
      <w:proofErr w:type="spellStart"/>
      <w:r>
        <w:rPr>
          <w:sz w:val="15"/>
        </w:rPr>
        <w:t>Levickas</w:t>
      </w:r>
      <w:proofErr w:type="spellEnd"/>
      <w:r>
        <w:rPr>
          <w:sz w:val="15"/>
        </w:rPr>
        <w:t xml:space="preserve"> habían recibido cientos de comentarios de odio en línea. Estas tenían como objetivo incitar al odio y la violencia contra las personas lesbianas, </w:t>
      </w:r>
      <w:proofErr w:type="spellStart"/>
      <w:r>
        <w:rPr>
          <w:sz w:val="15"/>
        </w:rPr>
        <w:t>gays</w:t>
      </w:r>
      <w:proofErr w:type="spellEnd"/>
      <w:r>
        <w:rPr>
          <w:sz w:val="15"/>
        </w:rPr>
        <w:t>, bisexuales y transgénero en general, así como personalmente contra los dos hombres.</w:t>
      </w:r>
    </w:p>
    <w:p w14:paraId="19054AF5" w14:textId="77777777" w:rsidR="0014798C" w:rsidRDefault="004E1F0B">
      <w:pPr>
        <w:spacing w:before="111" w:line="348" w:lineRule="auto"/>
        <w:ind w:left="1334" w:right="1590" w:hanging="2"/>
        <w:rPr>
          <w:sz w:val="15"/>
        </w:rPr>
      </w:pPr>
      <w:r>
        <w:rPr>
          <w:sz w:val="15"/>
        </w:rPr>
        <w:t xml:space="preserve">En diciembre de 2014, la Asociación Nacional de Derechos de Lesbianas, </w:t>
      </w:r>
      <w:proofErr w:type="spellStart"/>
      <w:r>
        <w:rPr>
          <w:sz w:val="15"/>
        </w:rPr>
        <w:t>Gays</w:t>
      </w:r>
      <w:proofErr w:type="spellEnd"/>
      <w:r>
        <w:rPr>
          <w:sz w:val="15"/>
        </w:rPr>
        <w:t>, Bisexuales y Transgénero presentó una denuncia ante la fiscalía general alegando violación del artículo 170 del Código Penal (incitación contra cualquier grupo nacional, racial, étnico, religioso o de otro tipo) y el artículo 19 de la Ley de Información al Público, que igualmente prohíbe la incitación al odio o la violencia en los medios de comunicación.</w:t>
      </w:r>
    </w:p>
    <w:p w14:paraId="7B196281" w14:textId="77777777" w:rsidR="0014798C" w:rsidRDefault="0014798C">
      <w:pPr>
        <w:pStyle w:val="Textoindependiente"/>
        <w:rPr>
          <w:sz w:val="15"/>
        </w:rPr>
      </w:pPr>
    </w:p>
    <w:p w14:paraId="17E4F656" w14:textId="77777777" w:rsidR="0014798C" w:rsidRDefault="0014798C">
      <w:pPr>
        <w:pStyle w:val="Textoindependiente"/>
        <w:spacing w:before="16"/>
        <w:rPr>
          <w:sz w:val="15"/>
        </w:rPr>
      </w:pPr>
    </w:p>
    <w:p w14:paraId="45CB044E" w14:textId="77777777" w:rsidR="0014798C" w:rsidRDefault="004E1F0B">
      <w:pPr>
        <w:spacing w:before="1" w:line="348" w:lineRule="auto"/>
        <w:ind w:left="1329" w:right="1553" w:firstLine="2"/>
        <w:rPr>
          <w:sz w:val="15"/>
        </w:rPr>
      </w:pPr>
      <w:r>
        <w:rPr>
          <w:sz w:val="15"/>
        </w:rPr>
        <w:t xml:space="preserve">Los tribunales nacionales decidieron no iniciar una investigación. El Tribunal de Distrito de la ciudad de </w:t>
      </w:r>
      <w:proofErr w:type="spellStart"/>
      <w:r>
        <w:rPr>
          <w:sz w:val="15"/>
        </w:rPr>
        <w:t>Klaipėda</w:t>
      </w:r>
      <w:proofErr w:type="spellEnd"/>
      <w:r>
        <w:rPr>
          <w:sz w:val="15"/>
        </w:rPr>
        <w:t>, por ejemplo, desestimó</w:t>
      </w:r>
      <w:r>
        <w:rPr>
          <w:spacing w:val="10"/>
          <w:sz w:val="15"/>
        </w:rPr>
        <w:t xml:space="preserve"> </w:t>
      </w:r>
      <w:r>
        <w:rPr>
          <w:sz w:val="15"/>
        </w:rPr>
        <w:t>una</w:t>
      </w:r>
      <w:r>
        <w:rPr>
          <w:spacing w:val="10"/>
          <w:sz w:val="15"/>
        </w:rPr>
        <w:t xml:space="preserve"> </w:t>
      </w:r>
      <w:r>
        <w:rPr>
          <w:sz w:val="15"/>
        </w:rPr>
        <w:t>apelación</w:t>
      </w:r>
      <w:r>
        <w:rPr>
          <w:spacing w:val="10"/>
          <w:sz w:val="15"/>
        </w:rPr>
        <w:t xml:space="preserve"> </w:t>
      </w:r>
      <w:r>
        <w:rPr>
          <w:sz w:val="15"/>
        </w:rPr>
        <w:t>de</w:t>
      </w:r>
      <w:r>
        <w:rPr>
          <w:spacing w:val="10"/>
          <w:sz w:val="15"/>
        </w:rPr>
        <w:t xml:space="preserve"> </w:t>
      </w:r>
      <w:r>
        <w:rPr>
          <w:sz w:val="15"/>
        </w:rPr>
        <w:t>la</w:t>
      </w:r>
      <w:r>
        <w:rPr>
          <w:spacing w:val="10"/>
          <w:sz w:val="15"/>
        </w:rPr>
        <w:t xml:space="preserve"> </w:t>
      </w:r>
      <w:r>
        <w:rPr>
          <w:sz w:val="15"/>
        </w:rPr>
        <w:t>Asociación</w:t>
      </w:r>
      <w:r>
        <w:rPr>
          <w:spacing w:val="10"/>
          <w:sz w:val="15"/>
        </w:rPr>
        <w:t xml:space="preserve"> </w:t>
      </w:r>
      <w:r>
        <w:rPr>
          <w:sz w:val="15"/>
        </w:rPr>
        <w:t>Nacional</w:t>
      </w:r>
      <w:r>
        <w:rPr>
          <w:spacing w:val="10"/>
          <w:sz w:val="15"/>
        </w:rPr>
        <w:t xml:space="preserve"> </w:t>
      </w:r>
      <w:r>
        <w:rPr>
          <w:sz w:val="15"/>
        </w:rPr>
        <w:t>de</w:t>
      </w:r>
      <w:r>
        <w:rPr>
          <w:spacing w:val="10"/>
          <w:sz w:val="15"/>
        </w:rPr>
        <w:t xml:space="preserve"> </w:t>
      </w:r>
      <w:r>
        <w:rPr>
          <w:sz w:val="15"/>
        </w:rPr>
        <w:t>Derechos</w:t>
      </w:r>
      <w:r>
        <w:rPr>
          <w:spacing w:val="10"/>
          <w:sz w:val="15"/>
        </w:rPr>
        <w:t xml:space="preserve"> </w:t>
      </w:r>
      <w:r>
        <w:rPr>
          <w:sz w:val="15"/>
        </w:rPr>
        <w:t>de</w:t>
      </w:r>
      <w:r>
        <w:rPr>
          <w:spacing w:val="10"/>
          <w:sz w:val="15"/>
        </w:rPr>
        <w:t xml:space="preserve"> </w:t>
      </w:r>
      <w:r>
        <w:rPr>
          <w:sz w:val="15"/>
        </w:rPr>
        <w:t>Lesbianas,</w:t>
      </w:r>
      <w:r>
        <w:rPr>
          <w:spacing w:val="11"/>
          <w:sz w:val="15"/>
        </w:rPr>
        <w:t xml:space="preserve"> </w:t>
      </w:r>
      <w:proofErr w:type="spellStart"/>
      <w:r>
        <w:rPr>
          <w:sz w:val="15"/>
        </w:rPr>
        <w:t>Gays</w:t>
      </w:r>
      <w:proofErr w:type="spellEnd"/>
      <w:r>
        <w:rPr>
          <w:sz w:val="15"/>
        </w:rPr>
        <w:t>,</w:t>
      </w:r>
      <w:r>
        <w:rPr>
          <w:spacing w:val="10"/>
          <w:sz w:val="15"/>
        </w:rPr>
        <w:t xml:space="preserve"> </w:t>
      </w:r>
      <w:r>
        <w:rPr>
          <w:sz w:val="15"/>
        </w:rPr>
        <w:t>Bisexuales</w:t>
      </w:r>
      <w:r>
        <w:rPr>
          <w:spacing w:val="10"/>
          <w:sz w:val="15"/>
        </w:rPr>
        <w:t xml:space="preserve"> </w:t>
      </w:r>
      <w:r>
        <w:rPr>
          <w:sz w:val="15"/>
        </w:rPr>
        <w:t>y</w:t>
      </w:r>
      <w:r>
        <w:rPr>
          <w:spacing w:val="10"/>
          <w:sz w:val="15"/>
        </w:rPr>
        <w:t xml:space="preserve"> </w:t>
      </w:r>
      <w:r>
        <w:rPr>
          <w:sz w:val="15"/>
        </w:rPr>
        <w:t>Transgénero</w:t>
      </w:r>
      <w:r>
        <w:rPr>
          <w:spacing w:val="10"/>
          <w:sz w:val="15"/>
        </w:rPr>
        <w:t xml:space="preserve"> </w:t>
      </w:r>
      <w:r>
        <w:rPr>
          <w:sz w:val="15"/>
        </w:rPr>
        <w:t>al</w:t>
      </w:r>
      <w:r>
        <w:rPr>
          <w:spacing w:val="10"/>
          <w:sz w:val="15"/>
        </w:rPr>
        <w:t xml:space="preserve"> </w:t>
      </w:r>
      <w:r>
        <w:rPr>
          <w:sz w:val="15"/>
        </w:rPr>
        <w:t>señalar</w:t>
      </w:r>
      <w:r>
        <w:rPr>
          <w:spacing w:val="10"/>
          <w:sz w:val="15"/>
        </w:rPr>
        <w:t xml:space="preserve"> </w:t>
      </w:r>
      <w:r>
        <w:rPr>
          <w:sz w:val="15"/>
        </w:rPr>
        <w:t>que “una imagen 'de dos hombres besándose' debería y debe haber previsto que tal 'comportamiento excéntrico realmente no contribuir</w:t>
      </w:r>
      <w:r>
        <w:rPr>
          <w:spacing w:val="40"/>
          <w:sz w:val="15"/>
        </w:rPr>
        <w:t xml:space="preserve"> </w:t>
      </w:r>
      <w:r>
        <w:rPr>
          <w:sz w:val="15"/>
        </w:rPr>
        <w:t>a la cohesión social de quienes tenían opiniones diferentes o a la promoción de la tolerancia” y “'la mayoría de la sociedad lituana apreciaba mucho los valores familiares tradicionales'”.</w:t>
      </w:r>
    </w:p>
    <w:p w14:paraId="1870ED9E" w14:textId="77777777" w:rsidR="0014798C" w:rsidRDefault="0014798C">
      <w:pPr>
        <w:pStyle w:val="Textoindependiente"/>
        <w:rPr>
          <w:sz w:val="15"/>
        </w:rPr>
      </w:pPr>
    </w:p>
    <w:p w14:paraId="3F58929A" w14:textId="77777777" w:rsidR="0014798C" w:rsidRDefault="0014798C">
      <w:pPr>
        <w:pStyle w:val="Textoindependiente"/>
        <w:spacing w:before="16"/>
        <w:rPr>
          <w:sz w:val="15"/>
        </w:rPr>
      </w:pPr>
    </w:p>
    <w:p w14:paraId="43FCED5F" w14:textId="77777777" w:rsidR="0014798C" w:rsidRDefault="004E1F0B">
      <w:pPr>
        <w:spacing w:line="348" w:lineRule="auto"/>
        <w:ind w:left="1335" w:right="1463" w:hanging="4"/>
        <w:rPr>
          <w:sz w:val="15"/>
        </w:rPr>
      </w:pPr>
      <w:r>
        <w:rPr>
          <w:sz w:val="15"/>
        </w:rPr>
        <w:t>En su fallo en el caso, el Tribunal Europeo de Derechos Humanos sostuvo que Lituania había violado el artículo 14 (prohibición de discriminación) del Convenio en relación con el artículo 8 (derecho al respeto de la vida privada y familiar) y que el artículo 13 (derecho a un recurso efectivo) también habían sido violados por las autoridades lituanas.</w:t>
      </w:r>
    </w:p>
    <w:p w14:paraId="592B1DAB" w14:textId="77777777" w:rsidR="0014798C" w:rsidRDefault="0014798C">
      <w:pPr>
        <w:pStyle w:val="Textoindependiente"/>
        <w:rPr>
          <w:sz w:val="15"/>
        </w:rPr>
      </w:pPr>
    </w:p>
    <w:p w14:paraId="661DFFE3" w14:textId="77777777" w:rsidR="0014798C" w:rsidRDefault="0014798C">
      <w:pPr>
        <w:pStyle w:val="Textoindependiente"/>
        <w:spacing w:before="17"/>
        <w:rPr>
          <w:sz w:val="15"/>
        </w:rPr>
      </w:pPr>
    </w:p>
    <w:p w14:paraId="27EE8E58" w14:textId="77777777" w:rsidR="0014798C" w:rsidRDefault="004E1F0B">
      <w:pPr>
        <w:spacing w:line="348" w:lineRule="auto"/>
        <w:ind w:left="1329" w:right="1626" w:firstLine="2"/>
        <w:rPr>
          <w:sz w:val="15"/>
        </w:rPr>
      </w:pPr>
      <w:r>
        <w:rPr>
          <w:sz w:val="15"/>
        </w:rPr>
        <w:t>En el curso de su fallo, la Corte recordó una extensa lista de principios dentro de su jurisprudencia establecida , incluido el de que “las características distintivas de una 'sociedad democrática'” incluyen “el pluralismo, la tolerancia y la amplitud de miras”; que “el pluralismo y la democracia se basan en el reconocimiento y el respeto genuinos de la diversidad”; y que “las sanciones penales, incluso contra los individuos responsables de las expresiones más graves de odio, incitando a otros a la violencia, sólo podrían invocarse como una medida de última ratio …. Siendo así, también ha sostenido que cuando actos que constituyen delitos graves están dirigidos contra la integridad física o mental de una persona, sólo mecanismos penales eficientes pueden garantizar una protección adecuada y servir como factor disuasivo... Asimismo, la Corte ha aceptado que se requerían medidas penales respecto de agresiones verbales directas y amenazas físicas motivadas por actitudes discriminatorias”1156.</w:t>
      </w:r>
    </w:p>
    <w:p w14:paraId="05D78882" w14:textId="77777777" w:rsidR="0014798C" w:rsidRDefault="0014798C">
      <w:pPr>
        <w:pStyle w:val="Textoindependiente"/>
        <w:rPr>
          <w:sz w:val="12"/>
        </w:rPr>
      </w:pPr>
    </w:p>
    <w:p w14:paraId="389CA218" w14:textId="77777777" w:rsidR="0014798C" w:rsidRDefault="0014798C">
      <w:pPr>
        <w:pStyle w:val="Textoindependiente"/>
        <w:rPr>
          <w:sz w:val="12"/>
        </w:rPr>
      </w:pPr>
    </w:p>
    <w:p w14:paraId="6C033567" w14:textId="77777777" w:rsidR="0014798C" w:rsidRDefault="0014798C">
      <w:pPr>
        <w:pStyle w:val="Textoindependiente"/>
        <w:rPr>
          <w:sz w:val="12"/>
        </w:rPr>
      </w:pPr>
    </w:p>
    <w:p w14:paraId="5224A395" w14:textId="77777777" w:rsidR="0014798C" w:rsidRDefault="0014798C">
      <w:pPr>
        <w:pStyle w:val="Textoindependiente"/>
        <w:rPr>
          <w:sz w:val="12"/>
        </w:rPr>
      </w:pPr>
    </w:p>
    <w:p w14:paraId="62A46C02" w14:textId="77777777" w:rsidR="0014798C" w:rsidRDefault="0014798C">
      <w:pPr>
        <w:pStyle w:val="Textoindependiente"/>
        <w:rPr>
          <w:sz w:val="12"/>
        </w:rPr>
      </w:pPr>
    </w:p>
    <w:p w14:paraId="58D0839C" w14:textId="77777777" w:rsidR="0014798C" w:rsidRDefault="0014798C">
      <w:pPr>
        <w:pStyle w:val="Textoindependiente"/>
        <w:rPr>
          <w:sz w:val="12"/>
        </w:rPr>
      </w:pPr>
    </w:p>
    <w:p w14:paraId="5255CD50" w14:textId="77777777" w:rsidR="0014798C" w:rsidRDefault="0014798C">
      <w:pPr>
        <w:pStyle w:val="Textoindependiente"/>
        <w:rPr>
          <w:sz w:val="12"/>
        </w:rPr>
      </w:pPr>
    </w:p>
    <w:p w14:paraId="40B26781" w14:textId="77777777" w:rsidR="0014798C" w:rsidRDefault="0014798C">
      <w:pPr>
        <w:pStyle w:val="Textoindependiente"/>
        <w:spacing w:before="97"/>
        <w:rPr>
          <w:sz w:val="12"/>
        </w:rPr>
      </w:pPr>
    </w:p>
    <w:p w14:paraId="173999DB" w14:textId="77777777" w:rsidR="0014798C" w:rsidRDefault="004E1F0B">
      <w:pPr>
        <w:spacing w:line="312" w:lineRule="auto"/>
        <w:ind w:left="1366" w:right="1369" w:hanging="255"/>
        <w:rPr>
          <w:sz w:val="12"/>
        </w:rPr>
      </w:pPr>
      <w:r>
        <w:rPr>
          <w:w w:val="105"/>
          <w:sz w:val="12"/>
          <w:vertAlign w:val="superscript"/>
        </w:rPr>
        <w:t>1155</w:t>
      </w:r>
      <w:r>
        <w:rPr>
          <w:spacing w:val="40"/>
          <w:w w:val="105"/>
          <w:sz w:val="12"/>
        </w:rPr>
        <w:t xml:space="preserve"> </w:t>
      </w:r>
      <w:r>
        <w:rPr>
          <w:w w:val="105"/>
          <w:sz w:val="12"/>
        </w:rPr>
        <w:t>Véase, por ejemplo, la decisión unánime del Tribunal Europeo de Derechos Humanos al declarar inadmisible una petición de Jean-Marie Le Pen tras su</w:t>
      </w:r>
      <w:r>
        <w:rPr>
          <w:spacing w:val="40"/>
          <w:w w:val="105"/>
          <w:sz w:val="12"/>
        </w:rPr>
        <w:t xml:space="preserve"> </w:t>
      </w:r>
      <w:r>
        <w:rPr>
          <w:w w:val="105"/>
          <w:sz w:val="12"/>
        </w:rPr>
        <w:t>condena</w:t>
      </w:r>
      <w:r>
        <w:rPr>
          <w:spacing w:val="2"/>
          <w:w w:val="105"/>
          <w:sz w:val="12"/>
        </w:rPr>
        <w:t xml:space="preserve"> </w:t>
      </w:r>
      <w:r>
        <w:rPr>
          <w:w w:val="105"/>
          <w:sz w:val="12"/>
        </w:rPr>
        <w:t>penal</w:t>
      </w:r>
      <w:r>
        <w:rPr>
          <w:spacing w:val="2"/>
          <w:w w:val="105"/>
          <w:sz w:val="12"/>
        </w:rPr>
        <w:t xml:space="preserve"> </w:t>
      </w:r>
      <w:r>
        <w:rPr>
          <w:w w:val="105"/>
          <w:sz w:val="12"/>
        </w:rPr>
        <w:t>por</w:t>
      </w:r>
      <w:r>
        <w:rPr>
          <w:spacing w:val="2"/>
          <w:w w:val="105"/>
          <w:sz w:val="12"/>
        </w:rPr>
        <w:t xml:space="preserve"> </w:t>
      </w:r>
      <w:r>
        <w:rPr>
          <w:w w:val="105"/>
          <w:sz w:val="12"/>
        </w:rPr>
        <w:t>un</w:t>
      </w:r>
      <w:r>
        <w:rPr>
          <w:spacing w:val="2"/>
          <w:w w:val="105"/>
          <w:sz w:val="12"/>
        </w:rPr>
        <w:t xml:space="preserve"> </w:t>
      </w:r>
      <w:r>
        <w:rPr>
          <w:w w:val="105"/>
          <w:sz w:val="12"/>
        </w:rPr>
        <w:t>tribunal</w:t>
      </w:r>
      <w:r>
        <w:rPr>
          <w:spacing w:val="2"/>
          <w:w w:val="105"/>
          <w:sz w:val="12"/>
        </w:rPr>
        <w:t xml:space="preserve"> </w:t>
      </w:r>
      <w:r>
        <w:rPr>
          <w:w w:val="105"/>
          <w:sz w:val="12"/>
        </w:rPr>
        <w:t>francés</w:t>
      </w:r>
      <w:r>
        <w:rPr>
          <w:spacing w:val="2"/>
          <w:w w:val="105"/>
          <w:sz w:val="12"/>
        </w:rPr>
        <w:t xml:space="preserve"> </w:t>
      </w:r>
      <w:r>
        <w:rPr>
          <w:w w:val="105"/>
          <w:sz w:val="12"/>
        </w:rPr>
        <w:t>y</w:t>
      </w:r>
      <w:r>
        <w:rPr>
          <w:spacing w:val="2"/>
          <w:w w:val="105"/>
          <w:sz w:val="12"/>
        </w:rPr>
        <w:t xml:space="preserve"> </w:t>
      </w:r>
      <w:r>
        <w:rPr>
          <w:w w:val="105"/>
          <w:sz w:val="12"/>
        </w:rPr>
        <w:t>una</w:t>
      </w:r>
      <w:r>
        <w:rPr>
          <w:spacing w:val="2"/>
          <w:w w:val="105"/>
          <w:sz w:val="12"/>
        </w:rPr>
        <w:t xml:space="preserve"> </w:t>
      </w:r>
      <w:r>
        <w:rPr>
          <w:w w:val="105"/>
          <w:sz w:val="12"/>
        </w:rPr>
        <w:t>multa</w:t>
      </w:r>
      <w:r>
        <w:rPr>
          <w:spacing w:val="2"/>
          <w:w w:val="105"/>
          <w:sz w:val="12"/>
        </w:rPr>
        <w:t xml:space="preserve"> </w:t>
      </w:r>
      <w:r>
        <w:rPr>
          <w:w w:val="105"/>
          <w:sz w:val="12"/>
        </w:rPr>
        <w:t>de</w:t>
      </w:r>
      <w:r>
        <w:rPr>
          <w:spacing w:val="2"/>
          <w:w w:val="105"/>
          <w:sz w:val="12"/>
        </w:rPr>
        <w:t xml:space="preserve"> </w:t>
      </w:r>
      <w:r>
        <w:rPr>
          <w:w w:val="105"/>
          <w:sz w:val="12"/>
        </w:rPr>
        <w:t>10.000</w:t>
      </w:r>
      <w:r>
        <w:rPr>
          <w:spacing w:val="2"/>
          <w:w w:val="105"/>
          <w:sz w:val="12"/>
        </w:rPr>
        <w:t xml:space="preserve"> </w:t>
      </w:r>
      <w:r>
        <w:rPr>
          <w:w w:val="105"/>
          <w:sz w:val="12"/>
        </w:rPr>
        <w:t>euros</w:t>
      </w:r>
      <w:r>
        <w:rPr>
          <w:spacing w:val="2"/>
          <w:w w:val="105"/>
          <w:sz w:val="12"/>
        </w:rPr>
        <w:t xml:space="preserve"> </w:t>
      </w:r>
      <w:r>
        <w:rPr>
          <w:w w:val="105"/>
          <w:sz w:val="12"/>
        </w:rPr>
        <w:t>por</w:t>
      </w:r>
      <w:r>
        <w:rPr>
          <w:spacing w:val="2"/>
          <w:w w:val="105"/>
          <w:sz w:val="12"/>
        </w:rPr>
        <w:t xml:space="preserve"> </w:t>
      </w:r>
      <w:r>
        <w:rPr>
          <w:w w:val="105"/>
          <w:sz w:val="12"/>
        </w:rPr>
        <w:t>incitación</w:t>
      </w:r>
      <w:r>
        <w:rPr>
          <w:spacing w:val="2"/>
          <w:w w:val="105"/>
          <w:sz w:val="12"/>
        </w:rPr>
        <w:t xml:space="preserve"> </w:t>
      </w:r>
      <w:r>
        <w:rPr>
          <w:w w:val="105"/>
          <w:sz w:val="12"/>
        </w:rPr>
        <w:t>a</w:t>
      </w:r>
      <w:r>
        <w:rPr>
          <w:spacing w:val="2"/>
          <w:w w:val="105"/>
          <w:sz w:val="12"/>
        </w:rPr>
        <w:t xml:space="preserve"> </w:t>
      </w:r>
      <w:r>
        <w:rPr>
          <w:w w:val="105"/>
          <w:sz w:val="12"/>
        </w:rPr>
        <w:t>la</w:t>
      </w:r>
      <w:r>
        <w:rPr>
          <w:spacing w:val="2"/>
          <w:w w:val="105"/>
          <w:sz w:val="12"/>
        </w:rPr>
        <w:t xml:space="preserve"> </w:t>
      </w:r>
      <w:r>
        <w:rPr>
          <w:w w:val="105"/>
          <w:sz w:val="12"/>
        </w:rPr>
        <w:t>discriminación,</w:t>
      </w:r>
      <w:r>
        <w:rPr>
          <w:spacing w:val="4"/>
          <w:w w:val="105"/>
          <w:sz w:val="12"/>
        </w:rPr>
        <w:t xml:space="preserve"> </w:t>
      </w:r>
      <w:r>
        <w:rPr>
          <w:w w:val="105"/>
          <w:sz w:val="12"/>
        </w:rPr>
        <w:t>el</w:t>
      </w:r>
      <w:r>
        <w:rPr>
          <w:spacing w:val="2"/>
          <w:w w:val="105"/>
          <w:sz w:val="12"/>
        </w:rPr>
        <w:t xml:space="preserve"> </w:t>
      </w:r>
      <w:r>
        <w:rPr>
          <w:w w:val="105"/>
          <w:sz w:val="12"/>
        </w:rPr>
        <w:t>odio</w:t>
      </w:r>
      <w:r>
        <w:rPr>
          <w:spacing w:val="2"/>
          <w:w w:val="105"/>
          <w:sz w:val="12"/>
        </w:rPr>
        <w:t xml:space="preserve"> </w:t>
      </w:r>
      <w:r>
        <w:rPr>
          <w:w w:val="105"/>
          <w:sz w:val="12"/>
        </w:rPr>
        <w:t>y</w:t>
      </w:r>
      <w:r>
        <w:rPr>
          <w:spacing w:val="2"/>
          <w:w w:val="105"/>
          <w:sz w:val="12"/>
        </w:rPr>
        <w:t xml:space="preserve"> </w:t>
      </w:r>
      <w:r>
        <w:rPr>
          <w:w w:val="105"/>
          <w:sz w:val="12"/>
        </w:rPr>
        <w:t>la</w:t>
      </w:r>
      <w:r>
        <w:rPr>
          <w:spacing w:val="2"/>
          <w:w w:val="105"/>
          <w:sz w:val="12"/>
        </w:rPr>
        <w:t xml:space="preserve"> </w:t>
      </w:r>
      <w:r>
        <w:rPr>
          <w:w w:val="105"/>
          <w:sz w:val="12"/>
        </w:rPr>
        <w:t>violencia</w:t>
      </w:r>
      <w:r>
        <w:rPr>
          <w:spacing w:val="2"/>
          <w:w w:val="105"/>
          <w:sz w:val="12"/>
        </w:rPr>
        <w:t xml:space="preserve"> </w:t>
      </w:r>
      <w:r>
        <w:rPr>
          <w:w w:val="105"/>
          <w:sz w:val="12"/>
        </w:rPr>
        <w:t>hacia</w:t>
      </w:r>
      <w:r>
        <w:rPr>
          <w:spacing w:val="2"/>
          <w:w w:val="105"/>
          <w:sz w:val="12"/>
        </w:rPr>
        <w:t xml:space="preserve"> </w:t>
      </w:r>
      <w:r>
        <w:rPr>
          <w:w w:val="105"/>
          <w:sz w:val="12"/>
        </w:rPr>
        <w:t>un</w:t>
      </w:r>
      <w:r>
        <w:rPr>
          <w:spacing w:val="2"/>
          <w:w w:val="105"/>
          <w:sz w:val="12"/>
        </w:rPr>
        <w:t xml:space="preserve"> </w:t>
      </w:r>
      <w:r>
        <w:rPr>
          <w:w w:val="105"/>
          <w:sz w:val="12"/>
        </w:rPr>
        <w:t>grupo.</w:t>
      </w:r>
      <w:r>
        <w:rPr>
          <w:spacing w:val="3"/>
          <w:w w:val="105"/>
          <w:sz w:val="12"/>
        </w:rPr>
        <w:t xml:space="preserve"> </w:t>
      </w:r>
      <w:r>
        <w:rPr>
          <w:w w:val="105"/>
          <w:sz w:val="12"/>
        </w:rPr>
        <w:t>de</w:t>
      </w:r>
      <w:r>
        <w:rPr>
          <w:spacing w:val="2"/>
          <w:w w:val="105"/>
          <w:sz w:val="12"/>
        </w:rPr>
        <w:t xml:space="preserve"> </w:t>
      </w:r>
      <w:r>
        <w:rPr>
          <w:w w:val="105"/>
          <w:sz w:val="12"/>
        </w:rPr>
        <w:t>personas</w:t>
      </w:r>
      <w:r>
        <w:rPr>
          <w:spacing w:val="2"/>
          <w:w w:val="105"/>
          <w:sz w:val="12"/>
        </w:rPr>
        <w:t xml:space="preserve"> </w:t>
      </w:r>
      <w:r>
        <w:rPr>
          <w:w w:val="105"/>
          <w:sz w:val="12"/>
        </w:rPr>
        <w:t>debido</w:t>
      </w:r>
      <w:r>
        <w:rPr>
          <w:spacing w:val="40"/>
          <w:w w:val="105"/>
          <w:sz w:val="12"/>
        </w:rPr>
        <w:t xml:space="preserve"> </w:t>
      </w:r>
      <w:r>
        <w:rPr>
          <w:w w:val="105"/>
          <w:sz w:val="12"/>
        </w:rPr>
        <w:t>a su origen o su pertenencia o no a un grupo étnico, nación, raza o religión específica: “La injerencia de las autoridades en la libertad de expresión del señor Le</w:t>
      </w:r>
      <w:r>
        <w:rPr>
          <w:spacing w:val="40"/>
          <w:w w:val="105"/>
          <w:sz w:val="12"/>
        </w:rPr>
        <w:t xml:space="preserve"> </w:t>
      </w:r>
      <w:r>
        <w:rPr>
          <w:w w:val="105"/>
          <w:sz w:val="12"/>
        </w:rPr>
        <w:t>Pen, en forma de condena penal, había sido prescrita por ley y perseguía el objetivo legítimo de proteger la reputación o los derechos de otros. El Tribunal</w:t>
      </w:r>
      <w:r>
        <w:rPr>
          <w:spacing w:val="40"/>
          <w:w w:val="105"/>
          <w:sz w:val="12"/>
        </w:rPr>
        <w:t xml:space="preserve"> </w:t>
      </w:r>
      <w:r>
        <w:rPr>
          <w:w w:val="105"/>
          <w:sz w:val="12"/>
        </w:rPr>
        <w:t>reiteró que otorgaba la máxima importancia a la libertad de expresión en el contexto del debate político en una sociedad democrática, y que la libertad de</w:t>
      </w:r>
      <w:r>
        <w:rPr>
          <w:spacing w:val="40"/>
          <w:w w:val="105"/>
          <w:sz w:val="12"/>
        </w:rPr>
        <w:t xml:space="preserve"> </w:t>
      </w:r>
      <w:r>
        <w:rPr>
          <w:w w:val="105"/>
          <w:sz w:val="12"/>
        </w:rPr>
        <w:t>expresión se aplicaba no sólo a la "información" o las "ideas" que eran recibidas favorablemente, sino también a aquellas que ofendido, sorprendido o</w:t>
      </w:r>
    </w:p>
    <w:p w14:paraId="17D01FCE" w14:textId="77777777" w:rsidR="0014798C" w:rsidRDefault="004E1F0B">
      <w:pPr>
        <w:tabs>
          <w:tab w:val="left" w:pos="8589"/>
        </w:tabs>
        <w:spacing w:line="147" w:lineRule="exact"/>
        <w:ind w:left="1372"/>
        <w:rPr>
          <w:sz w:val="12"/>
        </w:rPr>
      </w:pPr>
      <w:r>
        <w:rPr>
          <w:spacing w:val="-2"/>
          <w:w w:val="105"/>
          <w:sz w:val="12"/>
        </w:rPr>
        <w:t>perturbado.</w:t>
      </w:r>
      <w:r>
        <w:rPr>
          <w:spacing w:val="12"/>
          <w:w w:val="105"/>
          <w:sz w:val="12"/>
        </w:rPr>
        <w:t xml:space="preserve"> </w:t>
      </w:r>
      <w:r>
        <w:rPr>
          <w:spacing w:val="-10"/>
          <w:w w:val="105"/>
          <w:sz w:val="12"/>
        </w:rPr>
        <w:t>…</w:t>
      </w:r>
      <w:r>
        <w:rPr>
          <w:sz w:val="12"/>
        </w:rPr>
        <w:tab/>
      </w:r>
      <w:r>
        <w:rPr>
          <w:w w:val="105"/>
          <w:position w:val="1"/>
          <w:sz w:val="12"/>
        </w:rPr>
        <w:t>En</w:t>
      </w:r>
      <w:r>
        <w:rPr>
          <w:spacing w:val="-6"/>
          <w:w w:val="105"/>
          <w:position w:val="1"/>
          <w:sz w:val="12"/>
        </w:rPr>
        <w:t xml:space="preserve"> </w:t>
      </w:r>
      <w:r>
        <w:rPr>
          <w:w w:val="105"/>
          <w:position w:val="1"/>
          <w:sz w:val="12"/>
        </w:rPr>
        <w:t>este</w:t>
      </w:r>
      <w:r>
        <w:rPr>
          <w:spacing w:val="-3"/>
          <w:w w:val="105"/>
          <w:position w:val="1"/>
          <w:sz w:val="12"/>
        </w:rPr>
        <w:t xml:space="preserve"> </w:t>
      </w:r>
      <w:r>
        <w:rPr>
          <w:w w:val="105"/>
          <w:position w:val="1"/>
          <w:sz w:val="12"/>
        </w:rPr>
        <w:t>caso,</w:t>
      </w:r>
      <w:r>
        <w:rPr>
          <w:spacing w:val="-2"/>
          <w:w w:val="105"/>
          <w:position w:val="1"/>
          <w:sz w:val="12"/>
        </w:rPr>
        <w:t xml:space="preserve"> </w:t>
      </w:r>
      <w:r>
        <w:rPr>
          <w:spacing w:val="-5"/>
          <w:w w:val="105"/>
          <w:position w:val="1"/>
          <w:sz w:val="12"/>
        </w:rPr>
        <w:t>sin</w:t>
      </w:r>
    </w:p>
    <w:p w14:paraId="2660F2FC" w14:textId="77777777" w:rsidR="0014798C" w:rsidRDefault="004E1F0B">
      <w:pPr>
        <w:spacing w:before="42" w:line="312" w:lineRule="auto"/>
        <w:ind w:left="1366" w:right="1626" w:hanging="1"/>
        <w:rPr>
          <w:sz w:val="12"/>
        </w:rPr>
      </w:pPr>
      <w:r>
        <w:rPr>
          <w:w w:val="105"/>
          <w:sz w:val="12"/>
        </w:rPr>
        <w:t>embargo, los comentarios del señor Le Pen ciertamente presentaron a la "comunidad musulmana" en su conjunto bajo una luz inquietante que</w:t>
      </w:r>
      <w:r>
        <w:rPr>
          <w:spacing w:val="40"/>
          <w:w w:val="105"/>
          <w:sz w:val="12"/>
        </w:rPr>
        <w:t xml:space="preserve"> </w:t>
      </w:r>
      <w:r>
        <w:rPr>
          <w:w w:val="105"/>
          <w:sz w:val="12"/>
        </w:rPr>
        <w:t>probablemente suscitaría sentimientos de rechazo y hostilidad. Por un lado, había enfrentado a los franceses contra una comunidad cuyas convicciones</w:t>
      </w:r>
    </w:p>
    <w:p w14:paraId="70567C85" w14:textId="77777777" w:rsidR="0014798C" w:rsidRDefault="004E1F0B">
      <w:pPr>
        <w:spacing w:line="312" w:lineRule="auto"/>
        <w:ind w:left="1369" w:right="1272"/>
        <w:rPr>
          <w:sz w:val="12"/>
        </w:rPr>
      </w:pPr>
      <w:r>
        <w:rPr>
          <w:w w:val="105"/>
          <w:sz w:val="12"/>
        </w:rPr>
        <w:t>religiosas se mencionaban explícitamente y cuyo rápido crecimiento se presentaba como una amenaza ya latente a la dignidad y seguridad del pueblo francés.</w:t>
      </w:r>
      <w:r>
        <w:rPr>
          <w:spacing w:val="40"/>
          <w:w w:val="105"/>
          <w:sz w:val="12"/>
        </w:rPr>
        <w:t xml:space="preserve"> </w:t>
      </w:r>
      <w:r>
        <w:rPr>
          <w:w w:val="105"/>
          <w:sz w:val="12"/>
        </w:rPr>
        <w:t>Las razones dadas por los tribunales nacionales para condenar al demandante fueron, por tanto, pertinentes y suficientes. La pena impuesta tampoco fue</w:t>
      </w:r>
      <w:r>
        <w:rPr>
          <w:spacing w:val="40"/>
          <w:w w:val="105"/>
          <w:sz w:val="12"/>
        </w:rPr>
        <w:t xml:space="preserve"> </w:t>
      </w:r>
      <w:r>
        <w:rPr>
          <w:w w:val="105"/>
          <w:sz w:val="12"/>
        </w:rPr>
        <w:t>desproporcionada. El Tribunal consideró que la interferencia en el disfrute por parte del demandante de su derecho a la libertad de expresión había sido</w:t>
      </w:r>
      <w:r>
        <w:rPr>
          <w:spacing w:val="40"/>
          <w:w w:val="105"/>
          <w:sz w:val="12"/>
        </w:rPr>
        <w:t xml:space="preserve"> </w:t>
      </w:r>
      <w:r>
        <w:rPr>
          <w:w w:val="105"/>
          <w:sz w:val="12"/>
        </w:rPr>
        <w:t>"necesaria en una sociedad democrática". En consecuencia, su denuncia fue rechazada”. Véase Tribunal Europeo de Derechos Humanos, Le Pen v.</w:t>
      </w:r>
    </w:p>
    <w:p w14:paraId="40F3E564" w14:textId="77777777" w:rsidR="0014798C" w:rsidRDefault="004E1F0B">
      <w:pPr>
        <w:spacing w:before="2" w:line="312" w:lineRule="auto"/>
        <w:ind w:left="1366" w:right="1725"/>
        <w:rPr>
          <w:sz w:val="12"/>
        </w:rPr>
      </w:pPr>
      <w:r>
        <w:rPr>
          <w:w w:val="105"/>
          <w:sz w:val="12"/>
        </w:rPr>
        <w:t>France, Solicitud No. 18788/09, Decisión, 20 de abril de 2010 (aunque la versión oficial de la decisión sólo está disponible en francés, la cita anterior</w:t>
      </w:r>
      <w:r>
        <w:rPr>
          <w:spacing w:val="40"/>
          <w:w w:val="105"/>
          <w:sz w:val="12"/>
        </w:rPr>
        <w:t xml:space="preserve"> </w:t>
      </w:r>
      <w:r>
        <w:rPr>
          <w:w w:val="105"/>
          <w:sz w:val="12"/>
        </w:rPr>
        <w:t>aparece en un comunicado de prensa emitido por el Secretario del Tribunal). Este enfoque se basa generalmente en el artículo 17 del Convenio Europeo</w:t>
      </w:r>
      <w:r>
        <w:rPr>
          <w:spacing w:val="40"/>
          <w:w w:val="105"/>
          <w:sz w:val="12"/>
        </w:rPr>
        <w:t xml:space="preserve"> </w:t>
      </w:r>
      <w:r>
        <w:rPr>
          <w:w w:val="105"/>
          <w:sz w:val="12"/>
        </w:rPr>
        <w:t>de</w:t>
      </w:r>
      <w:r>
        <w:rPr>
          <w:spacing w:val="-5"/>
          <w:w w:val="105"/>
          <w:sz w:val="12"/>
        </w:rPr>
        <w:t xml:space="preserve"> </w:t>
      </w:r>
      <w:r>
        <w:rPr>
          <w:w w:val="105"/>
          <w:sz w:val="12"/>
        </w:rPr>
        <w:t>Derechos</w:t>
      </w:r>
      <w:r>
        <w:rPr>
          <w:spacing w:val="-4"/>
          <w:w w:val="105"/>
          <w:sz w:val="12"/>
        </w:rPr>
        <w:t xml:space="preserve"> </w:t>
      </w:r>
      <w:r>
        <w:rPr>
          <w:w w:val="105"/>
          <w:sz w:val="12"/>
        </w:rPr>
        <w:t>Humanos,</w:t>
      </w:r>
      <w:r>
        <w:rPr>
          <w:spacing w:val="-4"/>
          <w:w w:val="105"/>
          <w:sz w:val="12"/>
        </w:rPr>
        <w:t xml:space="preserve"> </w:t>
      </w:r>
      <w:r>
        <w:rPr>
          <w:w w:val="105"/>
          <w:sz w:val="12"/>
        </w:rPr>
        <w:t>que</w:t>
      </w:r>
      <w:r>
        <w:rPr>
          <w:spacing w:val="-4"/>
          <w:w w:val="105"/>
          <w:sz w:val="12"/>
        </w:rPr>
        <w:t xml:space="preserve"> </w:t>
      </w:r>
      <w:r>
        <w:rPr>
          <w:w w:val="105"/>
          <w:sz w:val="12"/>
        </w:rPr>
        <w:t>establece</w:t>
      </w:r>
      <w:r>
        <w:rPr>
          <w:spacing w:val="-5"/>
          <w:w w:val="105"/>
          <w:sz w:val="12"/>
        </w:rPr>
        <w:t xml:space="preserve"> </w:t>
      </w:r>
      <w:r>
        <w:rPr>
          <w:w w:val="105"/>
          <w:sz w:val="12"/>
        </w:rPr>
        <w:t>que</w:t>
      </w:r>
      <w:r>
        <w:rPr>
          <w:spacing w:val="-4"/>
          <w:w w:val="105"/>
          <w:sz w:val="12"/>
        </w:rPr>
        <w:t xml:space="preserve"> </w:t>
      </w:r>
      <w:r>
        <w:rPr>
          <w:w w:val="105"/>
          <w:sz w:val="12"/>
        </w:rPr>
        <w:t>“nada</w:t>
      </w:r>
      <w:r>
        <w:rPr>
          <w:spacing w:val="-4"/>
          <w:w w:val="105"/>
          <w:sz w:val="12"/>
        </w:rPr>
        <w:t xml:space="preserve"> </w:t>
      </w:r>
      <w:r>
        <w:rPr>
          <w:w w:val="105"/>
          <w:sz w:val="12"/>
        </w:rPr>
        <w:t>de</w:t>
      </w:r>
      <w:r>
        <w:rPr>
          <w:spacing w:val="-5"/>
          <w:w w:val="105"/>
          <w:sz w:val="12"/>
        </w:rPr>
        <w:t xml:space="preserve"> </w:t>
      </w:r>
      <w:r>
        <w:rPr>
          <w:w w:val="105"/>
          <w:sz w:val="12"/>
        </w:rPr>
        <w:t>lo</w:t>
      </w:r>
      <w:r>
        <w:rPr>
          <w:spacing w:val="-4"/>
          <w:w w:val="105"/>
          <w:sz w:val="12"/>
        </w:rPr>
        <w:t xml:space="preserve"> </w:t>
      </w:r>
      <w:r>
        <w:rPr>
          <w:w w:val="105"/>
          <w:sz w:val="12"/>
        </w:rPr>
        <w:t>dispuesto</w:t>
      </w:r>
      <w:r>
        <w:rPr>
          <w:spacing w:val="-5"/>
          <w:w w:val="105"/>
          <w:sz w:val="12"/>
        </w:rPr>
        <w:t xml:space="preserve"> </w:t>
      </w:r>
      <w:r>
        <w:rPr>
          <w:w w:val="105"/>
          <w:sz w:val="12"/>
        </w:rPr>
        <w:t>en</w:t>
      </w:r>
      <w:r>
        <w:rPr>
          <w:spacing w:val="-4"/>
          <w:w w:val="105"/>
          <w:sz w:val="12"/>
        </w:rPr>
        <w:t xml:space="preserve"> </w:t>
      </w:r>
      <w:r>
        <w:rPr>
          <w:w w:val="105"/>
          <w:sz w:val="12"/>
        </w:rPr>
        <w:t>el</w:t>
      </w:r>
      <w:r>
        <w:rPr>
          <w:spacing w:val="-4"/>
          <w:w w:val="105"/>
          <w:sz w:val="12"/>
        </w:rPr>
        <w:t xml:space="preserve"> </w:t>
      </w:r>
      <w:r>
        <w:rPr>
          <w:w w:val="105"/>
          <w:sz w:val="12"/>
        </w:rPr>
        <w:t>presente</w:t>
      </w:r>
      <w:r>
        <w:rPr>
          <w:spacing w:val="-5"/>
          <w:w w:val="105"/>
          <w:sz w:val="12"/>
        </w:rPr>
        <w:t xml:space="preserve"> </w:t>
      </w:r>
      <w:r>
        <w:rPr>
          <w:w w:val="105"/>
          <w:sz w:val="12"/>
        </w:rPr>
        <w:t>Convenio</w:t>
      </w:r>
      <w:r>
        <w:rPr>
          <w:spacing w:val="-4"/>
          <w:w w:val="105"/>
          <w:sz w:val="12"/>
        </w:rPr>
        <w:t xml:space="preserve"> </w:t>
      </w:r>
      <w:r>
        <w:rPr>
          <w:w w:val="105"/>
          <w:sz w:val="12"/>
        </w:rPr>
        <w:t>podrá</w:t>
      </w:r>
      <w:r>
        <w:rPr>
          <w:spacing w:val="-5"/>
          <w:w w:val="105"/>
          <w:sz w:val="12"/>
        </w:rPr>
        <w:t xml:space="preserve"> </w:t>
      </w:r>
      <w:r>
        <w:rPr>
          <w:w w:val="105"/>
          <w:sz w:val="12"/>
        </w:rPr>
        <w:t>interpretarse</w:t>
      </w:r>
      <w:r>
        <w:rPr>
          <w:spacing w:val="-4"/>
          <w:w w:val="105"/>
          <w:sz w:val="12"/>
        </w:rPr>
        <w:t xml:space="preserve"> </w:t>
      </w:r>
      <w:r>
        <w:rPr>
          <w:w w:val="105"/>
          <w:sz w:val="12"/>
        </w:rPr>
        <w:t>en</w:t>
      </w:r>
      <w:r>
        <w:rPr>
          <w:spacing w:val="-4"/>
          <w:w w:val="105"/>
          <w:sz w:val="12"/>
        </w:rPr>
        <w:t xml:space="preserve"> </w:t>
      </w:r>
      <w:r>
        <w:rPr>
          <w:w w:val="105"/>
          <w:sz w:val="12"/>
        </w:rPr>
        <w:t>el</w:t>
      </w:r>
      <w:r>
        <w:rPr>
          <w:spacing w:val="-5"/>
          <w:w w:val="105"/>
          <w:sz w:val="12"/>
        </w:rPr>
        <w:t xml:space="preserve"> </w:t>
      </w:r>
      <w:r>
        <w:rPr>
          <w:w w:val="105"/>
          <w:sz w:val="12"/>
        </w:rPr>
        <w:t>sentido</w:t>
      </w:r>
      <w:r>
        <w:rPr>
          <w:spacing w:val="-4"/>
          <w:w w:val="105"/>
          <w:sz w:val="12"/>
        </w:rPr>
        <w:t xml:space="preserve"> </w:t>
      </w:r>
      <w:r>
        <w:rPr>
          <w:w w:val="105"/>
          <w:sz w:val="12"/>
        </w:rPr>
        <w:t>de</w:t>
      </w:r>
      <w:r>
        <w:rPr>
          <w:spacing w:val="-5"/>
          <w:w w:val="105"/>
          <w:sz w:val="12"/>
        </w:rPr>
        <w:t xml:space="preserve"> </w:t>
      </w:r>
      <w:r>
        <w:rPr>
          <w:w w:val="105"/>
          <w:sz w:val="12"/>
        </w:rPr>
        <w:t>que</w:t>
      </w:r>
      <w:r>
        <w:rPr>
          <w:spacing w:val="-4"/>
          <w:w w:val="105"/>
          <w:sz w:val="12"/>
        </w:rPr>
        <w:t xml:space="preserve"> </w:t>
      </w:r>
      <w:r>
        <w:rPr>
          <w:w w:val="105"/>
          <w:sz w:val="12"/>
        </w:rPr>
        <w:t>implica</w:t>
      </w:r>
      <w:r>
        <w:rPr>
          <w:spacing w:val="-4"/>
          <w:w w:val="105"/>
          <w:sz w:val="12"/>
        </w:rPr>
        <w:t xml:space="preserve"> </w:t>
      </w:r>
      <w:r>
        <w:rPr>
          <w:w w:val="105"/>
          <w:sz w:val="12"/>
        </w:rPr>
        <w:t>para</w:t>
      </w:r>
      <w:r>
        <w:rPr>
          <w:spacing w:val="-5"/>
          <w:w w:val="105"/>
          <w:sz w:val="12"/>
        </w:rPr>
        <w:t xml:space="preserve"> </w:t>
      </w:r>
      <w:r>
        <w:rPr>
          <w:spacing w:val="-2"/>
          <w:w w:val="105"/>
          <w:sz w:val="12"/>
        </w:rPr>
        <w:t>cualquier</w:t>
      </w:r>
    </w:p>
    <w:p w14:paraId="67B3F688" w14:textId="77777777" w:rsidR="0014798C" w:rsidRDefault="004E1F0B">
      <w:pPr>
        <w:spacing w:before="1"/>
        <w:ind w:left="1368"/>
        <w:rPr>
          <w:sz w:val="12"/>
        </w:rPr>
      </w:pPr>
      <w:r>
        <w:rPr>
          <w:w w:val="105"/>
          <w:sz w:val="12"/>
        </w:rPr>
        <w:t>Estado,</w:t>
      </w:r>
      <w:r>
        <w:rPr>
          <w:spacing w:val="-3"/>
          <w:w w:val="105"/>
          <w:sz w:val="12"/>
        </w:rPr>
        <w:t xml:space="preserve"> </w:t>
      </w:r>
      <w:r>
        <w:rPr>
          <w:w w:val="105"/>
          <w:sz w:val="12"/>
        </w:rPr>
        <w:t>grupo</w:t>
      </w:r>
      <w:r>
        <w:rPr>
          <w:spacing w:val="-3"/>
          <w:w w:val="105"/>
          <w:sz w:val="12"/>
        </w:rPr>
        <w:t xml:space="preserve"> </w:t>
      </w:r>
      <w:r>
        <w:rPr>
          <w:w w:val="105"/>
          <w:sz w:val="12"/>
        </w:rPr>
        <w:t>o</w:t>
      </w:r>
      <w:r>
        <w:rPr>
          <w:spacing w:val="-3"/>
          <w:w w:val="105"/>
          <w:sz w:val="12"/>
        </w:rPr>
        <w:t xml:space="preserve"> </w:t>
      </w:r>
      <w:r>
        <w:rPr>
          <w:w w:val="105"/>
          <w:sz w:val="12"/>
        </w:rPr>
        <w:t>persona</w:t>
      </w:r>
      <w:r>
        <w:rPr>
          <w:spacing w:val="-4"/>
          <w:w w:val="105"/>
          <w:sz w:val="12"/>
        </w:rPr>
        <w:t xml:space="preserve"> </w:t>
      </w:r>
      <w:r>
        <w:rPr>
          <w:w w:val="105"/>
          <w:sz w:val="12"/>
        </w:rPr>
        <w:t>el</w:t>
      </w:r>
      <w:r>
        <w:rPr>
          <w:spacing w:val="-3"/>
          <w:w w:val="105"/>
          <w:sz w:val="12"/>
        </w:rPr>
        <w:t xml:space="preserve"> </w:t>
      </w:r>
      <w:r>
        <w:rPr>
          <w:w w:val="105"/>
          <w:sz w:val="12"/>
        </w:rPr>
        <w:t>derecho</w:t>
      </w:r>
      <w:r>
        <w:rPr>
          <w:spacing w:val="-3"/>
          <w:w w:val="105"/>
          <w:sz w:val="12"/>
        </w:rPr>
        <w:t xml:space="preserve"> </w:t>
      </w:r>
      <w:r>
        <w:rPr>
          <w:w w:val="105"/>
          <w:sz w:val="12"/>
        </w:rPr>
        <w:t>a</w:t>
      </w:r>
      <w:r>
        <w:rPr>
          <w:spacing w:val="-4"/>
          <w:w w:val="105"/>
          <w:sz w:val="12"/>
        </w:rPr>
        <w:t xml:space="preserve"> </w:t>
      </w:r>
      <w:r>
        <w:rPr>
          <w:w w:val="105"/>
          <w:sz w:val="12"/>
        </w:rPr>
        <w:t>realizar</w:t>
      </w:r>
      <w:r>
        <w:rPr>
          <w:spacing w:val="-3"/>
          <w:w w:val="105"/>
          <w:sz w:val="12"/>
        </w:rPr>
        <w:t xml:space="preserve"> </w:t>
      </w:r>
      <w:r>
        <w:rPr>
          <w:w w:val="105"/>
          <w:sz w:val="12"/>
        </w:rPr>
        <w:t>cualquier</w:t>
      </w:r>
      <w:r>
        <w:rPr>
          <w:spacing w:val="-3"/>
          <w:w w:val="105"/>
          <w:sz w:val="12"/>
        </w:rPr>
        <w:t xml:space="preserve"> </w:t>
      </w:r>
      <w:r>
        <w:rPr>
          <w:w w:val="105"/>
          <w:sz w:val="12"/>
        </w:rPr>
        <w:t>actividad</w:t>
      </w:r>
      <w:r>
        <w:rPr>
          <w:spacing w:val="-3"/>
          <w:w w:val="105"/>
          <w:sz w:val="12"/>
        </w:rPr>
        <w:t xml:space="preserve"> </w:t>
      </w:r>
      <w:r>
        <w:rPr>
          <w:w w:val="105"/>
          <w:sz w:val="12"/>
        </w:rPr>
        <w:t>o</w:t>
      </w:r>
      <w:r>
        <w:rPr>
          <w:spacing w:val="-4"/>
          <w:w w:val="105"/>
          <w:sz w:val="12"/>
        </w:rPr>
        <w:t xml:space="preserve"> </w:t>
      </w:r>
      <w:r>
        <w:rPr>
          <w:w w:val="105"/>
          <w:sz w:val="12"/>
        </w:rPr>
        <w:t>realizar</w:t>
      </w:r>
      <w:r>
        <w:rPr>
          <w:spacing w:val="-3"/>
          <w:w w:val="105"/>
          <w:sz w:val="12"/>
        </w:rPr>
        <w:t xml:space="preserve"> </w:t>
      </w:r>
      <w:r>
        <w:rPr>
          <w:w w:val="105"/>
          <w:sz w:val="12"/>
        </w:rPr>
        <w:t>cualquier</w:t>
      </w:r>
      <w:r>
        <w:rPr>
          <w:spacing w:val="-3"/>
          <w:w w:val="105"/>
          <w:sz w:val="12"/>
        </w:rPr>
        <w:t xml:space="preserve"> </w:t>
      </w:r>
      <w:r>
        <w:rPr>
          <w:w w:val="105"/>
          <w:sz w:val="12"/>
        </w:rPr>
        <w:t>acto</w:t>
      </w:r>
      <w:r>
        <w:rPr>
          <w:spacing w:val="-3"/>
          <w:w w:val="105"/>
          <w:sz w:val="12"/>
        </w:rPr>
        <w:t xml:space="preserve"> </w:t>
      </w:r>
      <w:r>
        <w:rPr>
          <w:w w:val="105"/>
          <w:sz w:val="12"/>
        </w:rPr>
        <w:t>encaminado</w:t>
      </w:r>
      <w:r>
        <w:rPr>
          <w:spacing w:val="-4"/>
          <w:w w:val="105"/>
          <w:sz w:val="12"/>
        </w:rPr>
        <w:t xml:space="preserve"> </w:t>
      </w:r>
      <w:r>
        <w:rPr>
          <w:w w:val="105"/>
          <w:sz w:val="12"/>
        </w:rPr>
        <w:t>a</w:t>
      </w:r>
      <w:r>
        <w:rPr>
          <w:spacing w:val="-3"/>
          <w:w w:val="105"/>
          <w:sz w:val="12"/>
        </w:rPr>
        <w:t xml:space="preserve"> </w:t>
      </w:r>
      <w:r>
        <w:rPr>
          <w:w w:val="105"/>
          <w:sz w:val="12"/>
        </w:rPr>
        <w:t>la</w:t>
      </w:r>
      <w:r>
        <w:rPr>
          <w:spacing w:val="-3"/>
          <w:w w:val="105"/>
          <w:sz w:val="12"/>
        </w:rPr>
        <w:t xml:space="preserve"> </w:t>
      </w:r>
      <w:r>
        <w:rPr>
          <w:w w:val="105"/>
          <w:sz w:val="12"/>
        </w:rPr>
        <w:t>destrucción</w:t>
      </w:r>
      <w:r>
        <w:rPr>
          <w:spacing w:val="-4"/>
          <w:w w:val="105"/>
          <w:sz w:val="12"/>
        </w:rPr>
        <w:t xml:space="preserve"> </w:t>
      </w:r>
      <w:r>
        <w:rPr>
          <w:w w:val="105"/>
          <w:sz w:val="12"/>
        </w:rPr>
        <w:t>de</w:t>
      </w:r>
      <w:r>
        <w:rPr>
          <w:spacing w:val="-3"/>
          <w:w w:val="105"/>
          <w:sz w:val="12"/>
        </w:rPr>
        <w:t xml:space="preserve"> </w:t>
      </w:r>
      <w:r>
        <w:rPr>
          <w:w w:val="105"/>
          <w:sz w:val="12"/>
        </w:rPr>
        <w:t>cualquiera</w:t>
      </w:r>
      <w:r>
        <w:rPr>
          <w:spacing w:val="-3"/>
          <w:w w:val="105"/>
          <w:sz w:val="12"/>
        </w:rPr>
        <w:t xml:space="preserve"> </w:t>
      </w:r>
      <w:r>
        <w:rPr>
          <w:w w:val="105"/>
          <w:sz w:val="12"/>
        </w:rPr>
        <w:t>de</w:t>
      </w:r>
      <w:r>
        <w:rPr>
          <w:spacing w:val="-3"/>
          <w:w w:val="105"/>
          <w:sz w:val="12"/>
        </w:rPr>
        <w:t xml:space="preserve"> </w:t>
      </w:r>
      <w:r>
        <w:rPr>
          <w:w w:val="105"/>
          <w:sz w:val="12"/>
        </w:rPr>
        <w:t>los</w:t>
      </w:r>
      <w:r>
        <w:rPr>
          <w:spacing w:val="-4"/>
          <w:w w:val="105"/>
          <w:sz w:val="12"/>
        </w:rPr>
        <w:t xml:space="preserve"> </w:t>
      </w:r>
      <w:r>
        <w:rPr>
          <w:w w:val="105"/>
          <w:sz w:val="12"/>
        </w:rPr>
        <w:t>derechos</w:t>
      </w:r>
      <w:r>
        <w:rPr>
          <w:spacing w:val="-3"/>
          <w:w w:val="105"/>
          <w:sz w:val="12"/>
        </w:rPr>
        <w:t xml:space="preserve"> </w:t>
      </w:r>
      <w:r>
        <w:rPr>
          <w:w w:val="105"/>
          <w:sz w:val="12"/>
        </w:rPr>
        <w:t>y</w:t>
      </w:r>
      <w:r>
        <w:rPr>
          <w:spacing w:val="-3"/>
          <w:w w:val="105"/>
          <w:sz w:val="12"/>
        </w:rPr>
        <w:t xml:space="preserve"> </w:t>
      </w:r>
      <w:r>
        <w:rPr>
          <w:w w:val="105"/>
          <w:sz w:val="12"/>
        </w:rPr>
        <w:t>libertades</w:t>
      </w:r>
      <w:r>
        <w:rPr>
          <w:spacing w:val="-3"/>
          <w:w w:val="105"/>
          <w:sz w:val="12"/>
        </w:rPr>
        <w:t xml:space="preserve"> </w:t>
      </w:r>
      <w:r>
        <w:rPr>
          <w:w w:val="105"/>
          <w:sz w:val="12"/>
        </w:rPr>
        <w:t>aquí</w:t>
      </w:r>
      <w:r>
        <w:rPr>
          <w:spacing w:val="-3"/>
          <w:w w:val="105"/>
          <w:sz w:val="12"/>
        </w:rPr>
        <w:t xml:space="preserve"> </w:t>
      </w:r>
      <w:r>
        <w:rPr>
          <w:spacing w:val="-2"/>
          <w:w w:val="105"/>
          <w:sz w:val="12"/>
        </w:rPr>
        <w:t>establecidos”.</w:t>
      </w:r>
    </w:p>
    <w:p w14:paraId="7E05AB00" w14:textId="77777777" w:rsidR="0014798C" w:rsidRDefault="004E1F0B">
      <w:pPr>
        <w:spacing w:before="99" w:line="312" w:lineRule="auto"/>
        <w:ind w:left="1366" w:right="2182" w:hanging="255"/>
        <w:rPr>
          <w:sz w:val="12"/>
        </w:rPr>
      </w:pPr>
      <w:r>
        <w:rPr>
          <w:w w:val="105"/>
          <w:sz w:val="12"/>
          <w:vertAlign w:val="superscript"/>
        </w:rPr>
        <w:t>1156</w:t>
      </w:r>
      <w:r>
        <w:rPr>
          <w:spacing w:val="35"/>
          <w:w w:val="105"/>
          <w:sz w:val="12"/>
        </w:rPr>
        <w:t xml:space="preserve"> </w:t>
      </w:r>
      <w:r>
        <w:rPr>
          <w:w w:val="105"/>
          <w:sz w:val="12"/>
        </w:rPr>
        <w:t xml:space="preserve">Tribunal Europeo de Derechos Humanos, </w:t>
      </w:r>
      <w:proofErr w:type="spellStart"/>
      <w:r>
        <w:rPr>
          <w:w w:val="105"/>
          <w:sz w:val="12"/>
        </w:rPr>
        <w:t>Beizaras</w:t>
      </w:r>
      <w:proofErr w:type="spellEnd"/>
      <w:r>
        <w:rPr>
          <w:w w:val="105"/>
          <w:sz w:val="12"/>
        </w:rPr>
        <w:t xml:space="preserve"> y </w:t>
      </w:r>
      <w:proofErr w:type="spellStart"/>
      <w:r>
        <w:rPr>
          <w:w w:val="105"/>
          <w:sz w:val="12"/>
        </w:rPr>
        <w:t>Levickas</w:t>
      </w:r>
      <w:proofErr w:type="spellEnd"/>
      <w:r>
        <w:rPr>
          <w:w w:val="105"/>
          <w:sz w:val="12"/>
        </w:rPr>
        <w:t xml:space="preserve"> c. Lituania, solicitud n.º 41288/15, sentencia de 14 de enero de 2020, </w:t>
      </w:r>
      <w:proofErr w:type="spellStart"/>
      <w:r>
        <w:rPr>
          <w:w w:val="105"/>
          <w:sz w:val="12"/>
        </w:rPr>
        <w:t>párrs</w:t>
      </w:r>
      <w:proofErr w:type="spellEnd"/>
      <w:r>
        <w:rPr>
          <w:w w:val="105"/>
          <w:sz w:val="12"/>
        </w:rPr>
        <w:t>. 106–</w:t>
      </w:r>
      <w:r>
        <w:rPr>
          <w:spacing w:val="40"/>
          <w:w w:val="105"/>
          <w:sz w:val="12"/>
        </w:rPr>
        <w:t xml:space="preserve"> </w:t>
      </w:r>
      <w:r>
        <w:rPr>
          <w:spacing w:val="-4"/>
          <w:w w:val="105"/>
          <w:sz w:val="12"/>
        </w:rPr>
        <w:t>111.</w:t>
      </w:r>
    </w:p>
    <w:p w14:paraId="3A7E18E9" w14:textId="77777777" w:rsidR="0014798C" w:rsidRDefault="0014798C">
      <w:pPr>
        <w:pStyle w:val="Textoindependiente"/>
        <w:rPr>
          <w:sz w:val="17"/>
        </w:rPr>
      </w:pPr>
    </w:p>
    <w:p w14:paraId="128E6A81" w14:textId="77777777" w:rsidR="0014798C" w:rsidRDefault="0014798C">
      <w:pPr>
        <w:pStyle w:val="Textoindependiente"/>
        <w:rPr>
          <w:sz w:val="17"/>
        </w:rPr>
      </w:pPr>
    </w:p>
    <w:p w14:paraId="7C9891C1" w14:textId="77777777" w:rsidR="0014798C" w:rsidRDefault="0014798C">
      <w:pPr>
        <w:pStyle w:val="Textoindependiente"/>
        <w:spacing w:before="24"/>
        <w:rPr>
          <w:sz w:val="17"/>
        </w:rPr>
      </w:pPr>
    </w:p>
    <w:p w14:paraId="041C907A" w14:textId="77777777" w:rsidR="0014798C" w:rsidRDefault="004E1F0B">
      <w:pPr>
        <w:ind w:left="481"/>
        <w:rPr>
          <w:sz w:val="17"/>
        </w:rPr>
      </w:pPr>
      <w:r>
        <w:rPr>
          <w:spacing w:val="-5"/>
          <w:w w:val="105"/>
          <w:sz w:val="17"/>
        </w:rPr>
        <w:t>178</w:t>
      </w:r>
    </w:p>
    <w:p w14:paraId="56DF596F" w14:textId="77777777" w:rsidR="0014798C" w:rsidRDefault="0014798C">
      <w:pPr>
        <w:rPr>
          <w:sz w:val="17"/>
        </w:rPr>
        <w:sectPr w:rsidR="0014798C" w:rsidSect="00F265E4">
          <w:pgSz w:w="11900" w:h="16820"/>
          <w:pgMar w:top="340" w:right="0" w:bottom="280" w:left="200" w:header="121" w:footer="0" w:gutter="0"/>
          <w:cols w:space="720"/>
        </w:sectPr>
      </w:pPr>
    </w:p>
    <w:p w14:paraId="5176CB3E" w14:textId="77777777" w:rsidR="0014798C" w:rsidRDefault="0014798C">
      <w:pPr>
        <w:pStyle w:val="Textoindependiente"/>
        <w:spacing w:before="66"/>
        <w:rPr>
          <w:sz w:val="13"/>
        </w:rPr>
      </w:pPr>
    </w:p>
    <w:p w14:paraId="555FF425" w14:textId="77777777" w:rsidR="0014798C" w:rsidRDefault="004E1F0B">
      <w:pPr>
        <w:ind w:left="1111"/>
        <w:rPr>
          <w:sz w:val="13"/>
        </w:rPr>
      </w:pPr>
      <w:r>
        <w:rPr>
          <w:color w:val="0075BF"/>
          <w:spacing w:val="-2"/>
          <w:w w:val="105"/>
          <w:sz w:val="13"/>
        </w:rPr>
        <w:t>PARTE</w:t>
      </w:r>
      <w:r>
        <w:rPr>
          <w:color w:val="0075BF"/>
          <w:spacing w:val="1"/>
          <w:w w:val="105"/>
          <w:sz w:val="13"/>
        </w:rPr>
        <w:t xml:space="preserve"> </w:t>
      </w:r>
      <w:r>
        <w:rPr>
          <w:color w:val="0075BF"/>
          <w:spacing w:val="-2"/>
          <w:w w:val="105"/>
          <w:sz w:val="13"/>
        </w:rPr>
        <w:t>QUINTA:</w:t>
      </w:r>
      <w:r>
        <w:rPr>
          <w:color w:val="0075BF"/>
          <w:spacing w:val="2"/>
          <w:w w:val="105"/>
          <w:sz w:val="13"/>
        </w:rPr>
        <w:t xml:space="preserve"> </w:t>
      </w:r>
      <w:r>
        <w:rPr>
          <w:color w:val="0075BF"/>
          <w:spacing w:val="-2"/>
          <w:w w:val="105"/>
          <w:sz w:val="13"/>
        </w:rPr>
        <w:t>DISCRIMINACIÓN</w:t>
      </w:r>
      <w:r>
        <w:rPr>
          <w:color w:val="0075BF"/>
          <w:w w:val="105"/>
          <w:sz w:val="13"/>
        </w:rPr>
        <w:t xml:space="preserve"> </w:t>
      </w:r>
      <w:r>
        <w:rPr>
          <w:color w:val="0075BF"/>
          <w:spacing w:val="-2"/>
          <w:w w:val="105"/>
          <w:sz w:val="13"/>
        </w:rPr>
        <w:t>Y</w:t>
      </w:r>
      <w:r>
        <w:rPr>
          <w:color w:val="0075BF"/>
          <w:spacing w:val="2"/>
          <w:w w:val="105"/>
          <w:sz w:val="13"/>
        </w:rPr>
        <w:t xml:space="preserve"> </w:t>
      </w:r>
      <w:r>
        <w:rPr>
          <w:color w:val="0075BF"/>
          <w:spacing w:val="-2"/>
          <w:w w:val="105"/>
          <w:sz w:val="13"/>
        </w:rPr>
        <w:t>EXPRESIÓN</w:t>
      </w:r>
    </w:p>
    <w:p w14:paraId="5D261B7D" w14:textId="77777777" w:rsidR="0014798C" w:rsidRDefault="0014798C">
      <w:pPr>
        <w:pStyle w:val="Textoindependiente"/>
      </w:pPr>
    </w:p>
    <w:p w14:paraId="19F96168" w14:textId="77777777" w:rsidR="0014798C" w:rsidRDefault="0014798C">
      <w:pPr>
        <w:pStyle w:val="Textoindependiente"/>
      </w:pPr>
    </w:p>
    <w:p w14:paraId="0F1A81D7" w14:textId="77777777" w:rsidR="0014798C" w:rsidRDefault="0014798C">
      <w:pPr>
        <w:pStyle w:val="Textoindependiente"/>
      </w:pPr>
    </w:p>
    <w:p w14:paraId="06F3CB48" w14:textId="77777777" w:rsidR="0014798C" w:rsidRDefault="0014798C">
      <w:pPr>
        <w:pStyle w:val="Textoindependiente"/>
      </w:pPr>
    </w:p>
    <w:p w14:paraId="51CA4925" w14:textId="77777777" w:rsidR="0014798C" w:rsidRDefault="0014798C">
      <w:pPr>
        <w:pStyle w:val="Textoindependiente"/>
        <w:spacing w:before="47"/>
      </w:pPr>
    </w:p>
    <w:p w14:paraId="5864EEED" w14:textId="77777777" w:rsidR="0014798C" w:rsidRDefault="004E1F0B">
      <w:pPr>
        <w:pStyle w:val="Textoindependiente"/>
        <w:spacing w:line="326" w:lineRule="auto"/>
        <w:ind w:left="1332" w:right="1626"/>
      </w:pPr>
      <w:r>
        <w:rPr>
          <w:noProof/>
        </w:rPr>
        <w:drawing>
          <wp:anchor distT="0" distB="0" distL="0" distR="0" simplePos="0" relativeHeight="251658488" behindDoc="1" locked="0" layoutInCell="1" allowOverlap="1" wp14:anchorId="32C73403" wp14:editId="1F231BF4">
            <wp:simplePos x="0" y="0"/>
            <wp:positionH relativeFrom="page">
              <wp:posOffset>795184</wp:posOffset>
            </wp:positionH>
            <wp:positionV relativeFrom="paragraph">
              <wp:posOffset>-142987</wp:posOffset>
            </wp:positionV>
            <wp:extent cx="6761315" cy="6438974"/>
            <wp:effectExtent l="0" t="0" r="0" b="0"/>
            <wp:wrapNone/>
            <wp:docPr id="356" name="Image 35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56" name="Image 356"/>
                    <pic:cNvPicPr/>
                  </pic:nvPicPr>
                  <pic:blipFill>
                    <a:blip r:embed="rId328" cstate="print"/>
                    <a:stretch>
                      <a:fillRect/>
                    </a:stretch>
                  </pic:blipFill>
                  <pic:spPr>
                    <a:xfrm>
                      <a:off x="0" y="0"/>
                      <a:ext cx="6761315" cy="6438974"/>
                    </a:xfrm>
                    <a:prstGeom prst="rect">
                      <a:avLst/>
                    </a:prstGeom>
                  </pic:spPr>
                </pic:pic>
              </a:graphicData>
            </a:graphic>
          </wp:anchor>
        </w:drawing>
      </w:r>
      <w:r>
        <w:t>El</w:t>
      </w:r>
      <w:r>
        <w:rPr>
          <w:spacing w:val="-6"/>
        </w:rPr>
        <w:t xml:space="preserve"> </w:t>
      </w:r>
      <w:r>
        <w:t>Tribunal</w:t>
      </w:r>
      <w:r>
        <w:rPr>
          <w:spacing w:val="-6"/>
        </w:rPr>
        <w:t xml:space="preserve"> </w:t>
      </w:r>
      <w:r>
        <w:t>concluyó</w:t>
      </w:r>
      <w:r>
        <w:rPr>
          <w:spacing w:val="-6"/>
        </w:rPr>
        <w:t xml:space="preserve"> </w:t>
      </w:r>
      <w:r>
        <w:t>que</w:t>
      </w:r>
      <w:r>
        <w:rPr>
          <w:spacing w:val="-6"/>
        </w:rPr>
        <w:t xml:space="preserve"> </w:t>
      </w:r>
      <w:r>
        <w:t>la</w:t>
      </w:r>
      <w:r>
        <w:rPr>
          <w:spacing w:val="-6"/>
        </w:rPr>
        <w:t xml:space="preserve"> </w:t>
      </w:r>
      <w:r>
        <w:t>jurisprudencia</w:t>
      </w:r>
      <w:r>
        <w:rPr>
          <w:spacing w:val="-6"/>
        </w:rPr>
        <w:t xml:space="preserve"> </w:t>
      </w:r>
      <w:r>
        <w:t>del</w:t>
      </w:r>
      <w:r>
        <w:rPr>
          <w:spacing w:val="-6"/>
        </w:rPr>
        <w:t xml:space="preserve"> </w:t>
      </w:r>
      <w:r>
        <w:t>Tribunal</w:t>
      </w:r>
      <w:r>
        <w:rPr>
          <w:spacing w:val="-6"/>
        </w:rPr>
        <w:t xml:space="preserve"> </w:t>
      </w:r>
      <w:r>
        <w:t>Supremo</w:t>
      </w:r>
      <w:r>
        <w:rPr>
          <w:spacing w:val="-6"/>
        </w:rPr>
        <w:t xml:space="preserve"> </w:t>
      </w:r>
      <w:r>
        <w:t>de</w:t>
      </w:r>
      <w:r>
        <w:rPr>
          <w:spacing w:val="-6"/>
        </w:rPr>
        <w:t xml:space="preserve"> </w:t>
      </w:r>
      <w:r>
        <w:t>Lituania,</w:t>
      </w:r>
      <w:r>
        <w:rPr>
          <w:spacing w:val="-5"/>
        </w:rPr>
        <w:t xml:space="preserve"> </w:t>
      </w:r>
      <w:r>
        <w:t>tal</w:t>
      </w:r>
      <w:r>
        <w:rPr>
          <w:spacing w:val="-6"/>
        </w:rPr>
        <w:t xml:space="preserve"> </w:t>
      </w:r>
      <w:r>
        <w:t>como</w:t>
      </w:r>
      <w:r>
        <w:rPr>
          <w:spacing w:val="-6"/>
        </w:rPr>
        <w:t xml:space="preserve"> </w:t>
      </w:r>
      <w:r>
        <w:t>la</w:t>
      </w:r>
      <w:r>
        <w:rPr>
          <w:spacing w:val="-6"/>
        </w:rPr>
        <w:t xml:space="preserve"> </w:t>
      </w:r>
      <w:r>
        <w:t>aplicó</w:t>
      </w:r>
      <w:r>
        <w:rPr>
          <w:spacing w:val="-6"/>
        </w:rPr>
        <w:t xml:space="preserve"> </w:t>
      </w:r>
      <w:r>
        <w:t>el</w:t>
      </w:r>
      <w:r>
        <w:rPr>
          <w:spacing w:val="-6"/>
        </w:rPr>
        <w:t xml:space="preserve"> </w:t>
      </w:r>
      <w:r>
        <w:t>fiscal,</w:t>
      </w:r>
      <w:r>
        <w:rPr>
          <w:spacing w:val="-6"/>
        </w:rPr>
        <w:t xml:space="preserve"> </w:t>
      </w:r>
      <w:r>
        <w:t>cuya</w:t>
      </w:r>
      <w:r>
        <w:rPr>
          <w:spacing w:val="-6"/>
        </w:rPr>
        <w:t xml:space="preserve"> </w:t>
      </w:r>
      <w:r>
        <w:t>decisión</w:t>
      </w:r>
      <w:r>
        <w:rPr>
          <w:spacing w:val="-6"/>
        </w:rPr>
        <w:t xml:space="preserve"> </w:t>
      </w:r>
      <w:r>
        <w:t>fue luego confirmada por los tribunales nacionales, no había previsto un recurso interno efectivo para las denuncias de discriminación</w:t>
      </w:r>
      <w:r>
        <w:rPr>
          <w:spacing w:val="-3"/>
        </w:rPr>
        <w:t xml:space="preserve"> </w:t>
      </w:r>
      <w:r>
        <w:t>homofóbica.</w:t>
      </w:r>
      <w:r>
        <w:rPr>
          <w:spacing w:val="-2"/>
        </w:rPr>
        <w:t xml:space="preserve"> </w:t>
      </w:r>
      <w:r>
        <w:t>El</w:t>
      </w:r>
      <w:r>
        <w:rPr>
          <w:spacing w:val="-3"/>
        </w:rPr>
        <w:t xml:space="preserve"> </w:t>
      </w:r>
      <w:r>
        <w:t>caso</w:t>
      </w:r>
      <w:r>
        <w:rPr>
          <w:spacing w:val="-3"/>
        </w:rPr>
        <w:t xml:space="preserve"> </w:t>
      </w:r>
      <w:r>
        <w:t>es</w:t>
      </w:r>
      <w:r>
        <w:rPr>
          <w:spacing w:val="-3"/>
        </w:rPr>
        <w:t xml:space="preserve"> </w:t>
      </w:r>
      <w:r>
        <w:t>un</w:t>
      </w:r>
      <w:r>
        <w:rPr>
          <w:spacing w:val="-3"/>
        </w:rPr>
        <w:t xml:space="preserve"> </w:t>
      </w:r>
      <w:r>
        <w:t>ejemplo</w:t>
      </w:r>
      <w:r>
        <w:rPr>
          <w:spacing w:val="-3"/>
        </w:rPr>
        <w:t xml:space="preserve"> </w:t>
      </w:r>
      <w:r>
        <w:t>reciente</w:t>
      </w:r>
      <w:r>
        <w:rPr>
          <w:spacing w:val="-3"/>
        </w:rPr>
        <w:t xml:space="preserve"> </w:t>
      </w:r>
      <w:r>
        <w:t>e</w:t>
      </w:r>
      <w:r>
        <w:rPr>
          <w:spacing w:val="-3"/>
        </w:rPr>
        <w:t xml:space="preserve"> </w:t>
      </w:r>
      <w:r>
        <w:t>importante</w:t>
      </w:r>
      <w:r>
        <w:rPr>
          <w:spacing w:val="-3"/>
        </w:rPr>
        <w:t xml:space="preserve"> </w:t>
      </w:r>
      <w:r>
        <w:t>de</w:t>
      </w:r>
      <w:r>
        <w:rPr>
          <w:spacing w:val="-3"/>
        </w:rPr>
        <w:t xml:space="preserve"> </w:t>
      </w:r>
      <w:r>
        <w:t>tribunales</w:t>
      </w:r>
      <w:r>
        <w:rPr>
          <w:spacing w:val="-3"/>
        </w:rPr>
        <w:t xml:space="preserve"> </w:t>
      </w:r>
      <w:r>
        <w:t>que</w:t>
      </w:r>
      <w:r>
        <w:rPr>
          <w:spacing w:val="-3"/>
        </w:rPr>
        <w:t xml:space="preserve"> </w:t>
      </w:r>
      <w:r>
        <w:t>fallan</w:t>
      </w:r>
      <w:r>
        <w:rPr>
          <w:spacing w:val="-3"/>
        </w:rPr>
        <w:t xml:space="preserve"> </w:t>
      </w:r>
      <w:r>
        <w:t>sobre</w:t>
      </w:r>
      <w:r>
        <w:rPr>
          <w:spacing w:val="-3"/>
        </w:rPr>
        <w:t xml:space="preserve"> </w:t>
      </w:r>
      <w:r>
        <w:t>discursos</w:t>
      </w:r>
      <w:r>
        <w:rPr>
          <w:spacing w:val="-3"/>
        </w:rPr>
        <w:t xml:space="preserve"> </w:t>
      </w:r>
      <w:r>
        <w:t>de</w:t>
      </w:r>
      <w:r>
        <w:rPr>
          <w:spacing w:val="-3"/>
        </w:rPr>
        <w:t xml:space="preserve"> </w:t>
      </w:r>
      <w:r>
        <w:t>odio basándose en la ley que prohíbe la discriminación.</w:t>
      </w:r>
    </w:p>
    <w:p w14:paraId="332ED5D0" w14:textId="77777777" w:rsidR="0014798C" w:rsidRDefault="0014798C">
      <w:pPr>
        <w:pStyle w:val="Textoindependiente"/>
      </w:pPr>
    </w:p>
    <w:p w14:paraId="26CD4CA1" w14:textId="77777777" w:rsidR="0014798C" w:rsidRDefault="0014798C">
      <w:pPr>
        <w:pStyle w:val="Textoindependiente"/>
        <w:spacing w:before="83"/>
      </w:pPr>
    </w:p>
    <w:p w14:paraId="2D017B94" w14:textId="77777777" w:rsidR="0014798C" w:rsidRDefault="004E1F0B">
      <w:pPr>
        <w:pStyle w:val="Textoindependiente"/>
        <w:spacing w:line="326" w:lineRule="auto"/>
        <w:ind w:left="1107" w:right="1272" w:firstLine="7"/>
      </w:pPr>
      <w:r>
        <w:t>Los</w:t>
      </w:r>
      <w:r>
        <w:rPr>
          <w:spacing w:val="-5"/>
        </w:rPr>
        <w:t xml:space="preserve"> </w:t>
      </w:r>
      <w:r>
        <w:t>tribunales</w:t>
      </w:r>
      <w:r>
        <w:rPr>
          <w:spacing w:val="-5"/>
        </w:rPr>
        <w:t xml:space="preserve"> </w:t>
      </w:r>
      <w:r>
        <w:t>a</w:t>
      </w:r>
      <w:r>
        <w:rPr>
          <w:spacing w:val="-5"/>
        </w:rPr>
        <w:t xml:space="preserve"> </w:t>
      </w:r>
      <w:r>
        <w:t>nivel</w:t>
      </w:r>
      <w:r>
        <w:rPr>
          <w:spacing w:val="-5"/>
        </w:rPr>
        <w:t xml:space="preserve"> </w:t>
      </w:r>
      <w:r>
        <w:t>nacional</w:t>
      </w:r>
      <w:r>
        <w:rPr>
          <w:spacing w:val="-5"/>
        </w:rPr>
        <w:t xml:space="preserve"> </w:t>
      </w:r>
      <w:r>
        <w:t>y</w:t>
      </w:r>
      <w:r>
        <w:rPr>
          <w:spacing w:val="-5"/>
        </w:rPr>
        <w:t xml:space="preserve"> </w:t>
      </w:r>
      <w:r>
        <w:t>regional</w:t>
      </w:r>
      <w:r>
        <w:rPr>
          <w:spacing w:val="-5"/>
        </w:rPr>
        <w:t xml:space="preserve"> </w:t>
      </w:r>
      <w:r>
        <w:t>se</w:t>
      </w:r>
      <w:r>
        <w:rPr>
          <w:spacing w:val="-5"/>
        </w:rPr>
        <w:t xml:space="preserve"> </w:t>
      </w:r>
      <w:r>
        <w:t>han</w:t>
      </w:r>
      <w:r>
        <w:rPr>
          <w:spacing w:val="-5"/>
        </w:rPr>
        <w:t xml:space="preserve"> </w:t>
      </w:r>
      <w:r>
        <w:t>pronunciado</w:t>
      </w:r>
      <w:r>
        <w:rPr>
          <w:spacing w:val="-5"/>
        </w:rPr>
        <w:t xml:space="preserve"> </w:t>
      </w:r>
      <w:r>
        <w:t>cada</w:t>
      </w:r>
      <w:r>
        <w:rPr>
          <w:spacing w:val="-5"/>
        </w:rPr>
        <w:t xml:space="preserve"> </w:t>
      </w:r>
      <w:r>
        <w:t>vez</w:t>
      </w:r>
      <w:r>
        <w:rPr>
          <w:spacing w:val="-5"/>
        </w:rPr>
        <w:t xml:space="preserve"> </w:t>
      </w:r>
      <w:r>
        <w:t>más</w:t>
      </w:r>
      <w:r>
        <w:rPr>
          <w:spacing w:val="-5"/>
        </w:rPr>
        <w:t xml:space="preserve"> </w:t>
      </w:r>
      <w:r>
        <w:t>sobre</w:t>
      </w:r>
      <w:r>
        <w:rPr>
          <w:spacing w:val="-5"/>
        </w:rPr>
        <w:t xml:space="preserve"> </w:t>
      </w:r>
      <w:r>
        <w:t>casos</w:t>
      </w:r>
      <w:r>
        <w:rPr>
          <w:spacing w:val="-5"/>
        </w:rPr>
        <w:t xml:space="preserve"> </w:t>
      </w:r>
      <w:r>
        <w:t>de</w:t>
      </w:r>
      <w:r>
        <w:rPr>
          <w:spacing w:val="-5"/>
        </w:rPr>
        <w:t xml:space="preserve"> </w:t>
      </w:r>
      <w:r>
        <w:t>incitación</w:t>
      </w:r>
      <w:r>
        <w:rPr>
          <w:spacing w:val="-5"/>
        </w:rPr>
        <w:t xml:space="preserve"> </w:t>
      </w:r>
      <w:r>
        <w:t>al</w:t>
      </w:r>
      <w:r>
        <w:rPr>
          <w:spacing w:val="-5"/>
        </w:rPr>
        <w:t xml:space="preserve"> </w:t>
      </w:r>
      <w:r>
        <w:t>odio</w:t>
      </w:r>
      <w:r>
        <w:rPr>
          <w:spacing w:val="-5"/>
        </w:rPr>
        <w:t xml:space="preserve"> </w:t>
      </w:r>
      <w:r>
        <w:t>a</w:t>
      </w:r>
      <w:r>
        <w:rPr>
          <w:spacing w:val="-5"/>
        </w:rPr>
        <w:t xml:space="preserve"> </w:t>
      </w:r>
      <w:r>
        <w:t>través</w:t>
      </w:r>
      <w:r>
        <w:rPr>
          <w:spacing w:val="-5"/>
        </w:rPr>
        <w:t xml:space="preserve"> </w:t>
      </w:r>
      <w:r>
        <w:t>del</w:t>
      </w:r>
      <w:r>
        <w:rPr>
          <w:spacing w:val="-5"/>
        </w:rPr>
        <w:t xml:space="preserve"> </w:t>
      </w:r>
      <w:r>
        <w:t>prisma</w:t>
      </w:r>
      <w:r>
        <w:rPr>
          <w:spacing w:val="-5"/>
        </w:rPr>
        <w:t xml:space="preserve"> </w:t>
      </w:r>
      <w:r>
        <w:t>de la</w:t>
      </w:r>
      <w:r>
        <w:rPr>
          <w:spacing w:val="-1"/>
        </w:rPr>
        <w:t xml:space="preserve"> </w:t>
      </w:r>
      <w:r>
        <w:t>prohibición</w:t>
      </w:r>
      <w:r>
        <w:rPr>
          <w:spacing w:val="-1"/>
        </w:rPr>
        <w:t xml:space="preserve"> </w:t>
      </w:r>
      <w:r>
        <w:t>de</w:t>
      </w:r>
      <w:r>
        <w:rPr>
          <w:spacing w:val="-1"/>
        </w:rPr>
        <w:t xml:space="preserve"> </w:t>
      </w:r>
      <w:r>
        <w:t>la</w:t>
      </w:r>
      <w:r>
        <w:rPr>
          <w:spacing w:val="-1"/>
        </w:rPr>
        <w:t xml:space="preserve"> </w:t>
      </w:r>
      <w:r>
        <w:t>discriminación, incluso</w:t>
      </w:r>
      <w:r>
        <w:rPr>
          <w:spacing w:val="-1"/>
        </w:rPr>
        <w:t xml:space="preserve"> </w:t>
      </w:r>
      <w:r>
        <w:t>determinando</w:t>
      </w:r>
      <w:r>
        <w:rPr>
          <w:spacing w:val="-1"/>
        </w:rPr>
        <w:t xml:space="preserve"> </w:t>
      </w:r>
      <w:r>
        <w:t>que</w:t>
      </w:r>
      <w:r>
        <w:rPr>
          <w:spacing w:val="-1"/>
        </w:rPr>
        <w:t xml:space="preserve"> </w:t>
      </w:r>
      <w:r>
        <w:t>los</w:t>
      </w:r>
      <w:r>
        <w:rPr>
          <w:spacing w:val="-1"/>
        </w:rPr>
        <w:t xml:space="preserve"> </w:t>
      </w:r>
      <w:r>
        <w:t>Estados</w:t>
      </w:r>
      <w:r>
        <w:rPr>
          <w:spacing w:val="-1"/>
        </w:rPr>
        <w:t xml:space="preserve"> </w:t>
      </w:r>
      <w:r>
        <w:t>violan</w:t>
      </w:r>
      <w:r>
        <w:rPr>
          <w:spacing w:val="-1"/>
        </w:rPr>
        <w:t xml:space="preserve"> </w:t>
      </w:r>
      <w:r>
        <w:t>el</w:t>
      </w:r>
      <w:r>
        <w:rPr>
          <w:spacing w:val="-1"/>
        </w:rPr>
        <w:t xml:space="preserve"> </w:t>
      </w:r>
      <w:r>
        <w:t>derecho</w:t>
      </w:r>
      <w:r>
        <w:rPr>
          <w:spacing w:val="-1"/>
        </w:rPr>
        <w:t xml:space="preserve"> </w:t>
      </w:r>
      <w:r>
        <w:t>internacional</w:t>
      </w:r>
      <w:r>
        <w:rPr>
          <w:spacing w:val="-1"/>
        </w:rPr>
        <w:t xml:space="preserve"> </w:t>
      </w:r>
      <w:r>
        <w:t>por</w:t>
      </w:r>
      <w:r>
        <w:rPr>
          <w:spacing w:val="-1"/>
        </w:rPr>
        <w:t xml:space="preserve"> </w:t>
      </w:r>
      <w:r>
        <w:t>no</w:t>
      </w:r>
      <w:r>
        <w:rPr>
          <w:spacing w:val="-1"/>
        </w:rPr>
        <w:t xml:space="preserve"> </w:t>
      </w:r>
      <w:r>
        <w:t>tomar</w:t>
      </w:r>
      <w:r>
        <w:rPr>
          <w:spacing w:val="-1"/>
        </w:rPr>
        <w:t xml:space="preserve"> </w:t>
      </w:r>
      <w:r>
        <w:t>medidas adecuadas contra la incitación al odio. A nivel nacional, por ejemplo, los tribunales de Italia han aplicado disposiciones legales relacionadas</w:t>
      </w:r>
      <w:r>
        <w:rPr>
          <w:spacing w:val="-1"/>
        </w:rPr>
        <w:t xml:space="preserve"> </w:t>
      </w:r>
      <w:r>
        <w:t>con</w:t>
      </w:r>
      <w:r>
        <w:rPr>
          <w:spacing w:val="-1"/>
        </w:rPr>
        <w:t xml:space="preserve"> </w:t>
      </w:r>
      <w:r>
        <w:t>el</w:t>
      </w:r>
      <w:r>
        <w:rPr>
          <w:spacing w:val="-1"/>
        </w:rPr>
        <w:t xml:space="preserve"> </w:t>
      </w:r>
      <w:r>
        <w:t>acoso</w:t>
      </w:r>
      <w:r>
        <w:rPr>
          <w:spacing w:val="-1"/>
        </w:rPr>
        <w:t xml:space="preserve"> </w:t>
      </w:r>
      <w:r>
        <w:t>–es</w:t>
      </w:r>
      <w:r>
        <w:rPr>
          <w:spacing w:val="-1"/>
        </w:rPr>
        <w:t xml:space="preserve"> </w:t>
      </w:r>
      <w:r>
        <w:t>decir,</w:t>
      </w:r>
      <w:r>
        <w:rPr>
          <w:spacing w:val="-1"/>
        </w:rPr>
        <w:t xml:space="preserve"> </w:t>
      </w:r>
      <w:r>
        <w:t>la</w:t>
      </w:r>
      <w:r>
        <w:rPr>
          <w:spacing w:val="-1"/>
        </w:rPr>
        <w:t xml:space="preserve"> </w:t>
      </w:r>
      <w:r>
        <w:t>creación</w:t>
      </w:r>
      <w:r>
        <w:rPr>
          <w:spacing w:val="-1"/>
        </w:rPr>
        <w:t xml:space="preserve"> </w:t>
      </w:r>
      <w:r>
        <w:t>de</w:t>
      </w:r>
      <w:r>
        <w:rPr>
          <w:spacing w:val="-1"/>
        </w:rPr>
        <w:t xml:space="preserve"> </w:t>
      </w:r>
      <w:r>
        <w:t>una</w:t>
      </w:r>
      <w:r>
        <w:rPr>
          <w:spacing w:val="-1"/>
        </w:rPr>
        <w:t xml:space="preserve"> </w:t>
      </w:r>
      <w:r>
        <w:t>atmósfera</w:t>
      </w:r>
      <w:r>
        <w:rPr>
          <w:spacing w:val="-1"/>
        </w:rPr>
        <w:t xml:space="preserve"> </w:t>
      </w:r>
      <w:r>
        <w:t>degradante–</w:t>
      </w:r>
      <w:r>
        <w:rPr>
          <w:spacing w:val="-1"/>
        </w:rPr>
        <w:t xml:space="preserve"> </w:t>
      </w:r>
      <w:r>
        <w:t>a</w:t>
      </w:r>
      <w:r>
        <w:rPr>
          <w:spacing w:val="-1"/>
        </w:rPr>
        <w:t xml:space="preserve"> </w:t>
      </w:r>
      <w:r>
        <w:t>las</w:t>
      </w:r>
      <w:r>
        <w:rPr>
          <w:spacing w:val="-1"/>
        </w:rPr>
        <w:t xml:space="preserve"> </w:t>
      </w:r>
      <w:r>
        <w:t>transmisiones</w:t>
      </w:r>
      <w:r>
        <w:rPr>
          <w:spacing w:val="-1"/>
        </w:rPr>
        <w:t xml:space="preserve"> </w:t>
      </w:r>
      <w:r>
        <w:t>de</w:t>
      </w:r>
      <w:r>
        <w:rPr>
          <w:spacing w:val="-1"/>
        </w:rPr>
        <w:t xml:space="preserve"> </w:t>
      </w:r>
      <w:r>
        <w:t>radio</w:t>
      </w:r>
      <w:r>
        <w:rPr>
          <w:spacing w:val="-1"/>
        </w:rPr>
        <w:t xml:space="preserve"> </w:t>
      </w:r>
      <w:r>
        <w:t>antiinmigrantes.1157 En</w:t>
      </w:r>
      <w:r>
        <w:rPr>
          <w:spacing w:val="-1"/>
        </w:rPr>
        <w:t xml:space="preserve"> </w:t>
      </w:r>
      <w:r>
        <w:t>un</w:t>
      </w:r>
      <w:r>
        <w:rPr>
          <w:spacing w:val="-1"/>
        </w:rPr>
        <w:t xml:space="preserve"> </w:t>
      </w:r>
      <w:r>
        <w:t>caso</w:t>
      </w:r>
      <w:r>
        <w:rPr>
          <w:spacing w:val="-1"/>
        </w:rPr>
        <w:t xml:space="preserve"> </w:t>
      </w:r>
      <w:r>
        <w:t>reciente</w:t>
      </w:r>
      <w:r>
        <w:rPr>
          <w:spacing w:val="-1"/>
        </w:rPr>
        <w:t xml:space="preserve"> </w:t>
      </w:r>
      <w:r>
        <w:t>,</w:t>
      </w:r>
      <w:r>
        <w:rPr>
          <w:spacing w:val="-1"/>
        </w:rPr>
        <w:t xml:space="preserve"> </w:t>
      </w:r>
      <w:r>
        <w:t>también</w:t>
      </w:r>
      <w:r>
        <w:rPr>
          <w:spacing w:val="-1"/>
        </w:rPr>
        <w:t xml:space="preserve"> </w:t>
      </w:r>
      <w:r>
        <w:t>relacionado</w:t>
      </w:r>
      <w:r>
        <w:rPr>
          <w:spacing w:val="-1"/>
        </w:rPr>
        <w:t xml:space="preserve"> </w:t>
      </w:r>
      <w:r>
        <w:t>con</w:t>
      </w:r>
      <w:r>
        <w:rPr>
          <w:spacing w:val="-1"/>
        </w:rPr>
        <w:t xml:space="preserve"> </w:t>
      </w:r>
      <w:r>
        <w:t>Italia,</w:t>
      </w:r>
      <w:r>
        <w:rPr>
          <w:spacing w:val="-1"/>
        </w:rPr>
        <w:t xml:space="preserve"> </w:t>
      </w:r>
      <w:r>
        <w:t>el</w:t>
      </w:r>
      <w:r>
        <w:rPr>
          <w:spacing w:val="-1"/>
        </w:rPr>
        <w:t xml:space="preserve"> </w:t>
      </w:r>
      <w:r>
        <w:t>Tribunal</w:t>
      </w:r>
      <w:r>
        <w:rPr>
          <w:spacing w:val="-1"/>
        </w:rPr>
        <w:t xml:space="preserve"> </w:t>
      </w:r>
      <w:r>
        <w:t>de</w:t>
      </w:r>
      <w:r>
        <w:rPr>
          <w:spacing w:val="-1"/>
        </w:rPr>
        <w:t xml:space="preserve"> </w:t>
      </w:r>
      <w:r>
        <w:t>Justicia</w:t>
      </w:r>
      <w:r>
        <w:rPr>
          <w:spacing w:val="-1"/>
        </w:rPr>
        <w:t xml:space="preserve"> </w:t>
      </w:r>
      <w:r>
        <w:t>de</w:t>
      </w:r>
      <w:r>
        <w:rPr>
          <w:spacing w:val="-1"/>
        </w:rPr>
        <w:t xml:space="preserve"> </w:t>
      </w:r>
      <w:r>
        <w:t>la</w:t>
      </w:r>
      <w:r>
        <w:rPr>
          <w:spacing w:val="-1"/>
        </w:rPr>
        <w:t xml:space="preserve"> </w:t>
      </w:r>
      <w:r>
        <w:t>Unión</w:t>
      </w:r>
      <w:r>
        <w:rPr>
          <w:spacing w:val="-1"/>
        </w:rPr>
        <w:t xml:space="preserve"> </w:t>
      </w:r>
      <w:r>
        <w:t>Europea</w:t>
      </w:r>
      <w:r>
        <w:rPr>
          <w:spacing w:val="-1"/>
        </w:rPr>
        <w:t xml:space="preserve"> </w:t>
      </w:r>
      <w:proofErr w:type="spellStart"/>
      <w:r>
        <w:t>Union</w:t>
      </w:r>
      <w:proofErr w:type="spellEnd"/>
      <w:r>
        <w:rPr>
          <w:spacing w:val="-1"/>
        </w:rPr>
        <w:t xml:space="preserve"> </w:t>
      </w:r>
      <w:r>
        <w:t>dictaminó</w:t>
      </w:r>
      <w:r>
        <w:rPr>
          <w:spacing w:val="-1"/>
        </w:rPr>
        <w:t xml:space="preserve"> </w:t>
      </w:r>
      <w:r>
        <w:t>que</w:t>
      </w:r>
      <w:r>
        <w:rPr>
          <w:spacing w:val="-1"/>
        </w:rPr>
        <w:t xml:space="preserve"> </w:t>
      </w:r>
      <w:r>
        <w:t>las declaraciones hechas por un destacado abogado en un programa de radio, en el sentido de que su empresa nunca contrataría a una</w:t>
      </w:r>
      <w:r>
        <w:rPr>
          <w:spacing w:val="-1"/>
        </w:rPr>
        <w:t xml:space="preserve"> </w:t>
      </w:r>
      <w:r>
        <w:t>persona</w:t>
      </w:r>
      <w:r>
        <w:rPr>
          <w:spacing w:val="-1"/>
        </w:rPr>
        <w:t xml:space="preserve"> </w:t>
      </w:r>
      <w:r>
        <w:t>gay,</w:t>
      </w:r>
      <w:r>
        <w:rPr>
          <w:spacing w:val="-1"/>
        </w:rPr>
        <w:t xml:space="preserve"> </w:t>
      </w:r>
      <w:r>
        <w:t>constituían</w:t>
      </w:r>
      <w:r>
        <w:rPr>
          <w:spacing w:val="-1"/>
        </w:rPr>
        <w:t xml:space="preserve"> </w:t>
      </w:r>
      <w:r>
        <w:t>discriminación</w:t>
      </w:r>
      <w:r>
        <w:rPr>
          <w:spacing w:val="-1"/>
        </w:rPr>
        <w:t xml:space="preserve"> </w:t>
      </w:r>
      <w:r>
        <w:t>en</w:t>
      </w:r>
      <w:r>
        <w:rPr>
          <w:spacing w:val="-1"/>
        </w:rPr>
        <w:t xml:space="preserve"> </w:t>
      </w:r>
      <w:r>
        <w:t>el</w:t>
      </w:r>
      <w:r>
        <w:rPr>
          <w:spacing w:val="-1"/>
        </w:rPr>
        <w:t xml:space="preserve"> </w:t>
      </w:r>
      <w:r>
        <w:t>ámbito</w:t>
      </w:r>
      <w:r>
        <w:rPr>
          <w:spacing w:val="-1"/>
        </w:rPr>
        <w:t xml:space="preserve"> </w:t>
      </w:r>
      <w:r>
        <w:t>laboral, a</w:t>
      </w:r>
      <w:r>
        <w:rPr>
          <w:spacing w:val="-1"/>
        </w:rPr>
        <w:t xml:space="preserve"> </w:t>
      </w:r>
      <w:r>
        <w:t>pesar</w:t>
      </w:r>
      <w:r>
        <w:rPr>
          <w:spacing w:val="-1"/>
        </w:rPr>
        <w:t xml:space="preserve"> </w:t>
      </w:r>
      <w:r>
        <w:t>de</w:t>
      </w:r>
      <w:r>
        <w:rPr>
          <w:spacing w:val="-1"/>
        </w:rPr>
        <w:t xml:space="preserve"> </w:t>
      </w:r>
      <w:r>
        <w:t>que</w:t>
      </w:r>
      <w:r>
        <w:rPr>
          <w:spacing w:val="-1"/>
        </w:rPr>
        <w:t xml:space="preserve"> </w:t>
      </w:r>
      <w:r>
        <w:t>la</w:t>
      </w:r>
      <w:r>
        <w:rPr>
          <w:spacing w:val="-1"/>
        </w:rPr>
        <w:t xml:space="preserve"> </w:t>
      </w:r>
      <w:r>
        <w:t>empresa</w:t>
      </w:r>
      <w:r>
        <w:rPr>
          <w:spacing w:val="-1"/>
        </w:rPr>
        <w:t xml:space="preserve"> </w:t>
      </w:r>
      <w:r>
        <w:t>en</w:t>
      </w:r>
      <w:r>
        <w:rPr>
          <w:spacing w:val="-1"/>
        </w:rPr>
        <w:t xml:space="preserve"> </w:t>
      </w:r>
      <w:r>
        <w:t>cuestión</w:t>
      </w:r>
      <w:r>
        <w:rPr>
          <w:spacing w:val="-1"/>
        </w:rPr>
        <w:t xml:space="preserve"> </w:t>
      </w:r>
      <w:r>
        <w:t>en</w:t>
      </w:r>
      <w:r>
        <w:rPr>
          <w:spacing w:val="-1"/>
        </w:rPr>
        <w:t xml:space="preserve"> </w:t>
      </w:r>
      <w:r>
        <w:t>realidad</w:t>
      </w:r>
      <w:r>
        <w:rPr>
          <w:spacing w:val="-1"/>
        </w:rPr>
        <w:t xml:space="preserve"> </w:t>
      </w:r>
      <w:r>
        <w:t>no</w:t>
      </w:r>
      <w:r>
        <w:rPr>
          <w:spacing w:val="-1"/>
        </w:rPr>
        <w:t xml:space="preserve"> </w:t>
      </w:r>
      <w:r>
        <w:t xml:space="preserve">estaba contratando a una persona gay. ese momento.1158 En una serie de casos recientes relacionados con discursos de odio contra personas lesbianas, </w:t>
      </w:r>
      <w:proofErr w:type="spellStart"/>
      <w:r>
        <w:t>gays</w:t>
      </w:r>
      <w:proofErr w:type="spellEnd"/>
      <w:r>
        <w:t>, bisexuales y transgénero, discursos de odio antisemitas y discursos de odio contra los romaníes, el Tribunal Europeo de Derechos Humanos ha sostenido que la falta de intervención efectiva de las autoridades en Los casos</w:t>
      </w:r>
    </w:p>
    <w:p w14:paraId="2CEEB45C" w14:textId="77777777" w:rsidR="0014798C" w:rsidRDefault="004E1F0B">
      <w:pPr>
        <w:pStyle w:val="Textoindependiente"/>
        <w:spacing w:line="179" w:lineRule="exact"/>
        <w:ind w:left="1108" w:right="-44"/>
      </w:pPr>
      <w:r>
        <w:t>relacionados,</w:t>
      </w:r>
      <w:r>
        <w:rPr>
          <w:spacing w:val="-9"/>
        </w:rPr>
        <w:t xml:space="preserve"> </w:t>
      </w:r>
      <w:r>
        <w:t>entre</w:t>
      </w:r>
      <w:r>
        <w:rPr>
          <w:spacing w:val="-8"/>
        </w:rPr>
        <w:t xml:space="preserve"> </w:t>
      </w:r>
      <w:r>
        <w:t>otros,</w:t>
      </w:r>
      <w:r>
        <w:rPr>
          <w:spacing w:val="-9"/>
        </w:rPr>
        <w:t xml:space="preserve"> </w:t>
      </w:r>
      <w:r>
        <w:t>con</w:t>
      </w:r>
      <w:r>
        <w:rPr>
          <w:spacing w:val="-9"/>
        </w:rPr>
        <w:t xml:space="preserve"> </w:t>
      </w:r>
      <w:r>
        <w:t>discursos</w:t>
      </w:r>
      <w:r>
        <w:rPr>
          <w:spacing w:val="-9"/>
        </w:rPr>
        <w:t xml:space="preserve"> </w:t>
      </w:r>
      <w:r>
        <w:t>de</w:t>
      </w:r>
      <w:r>
        <w:rPr>
          <w:spacing w:val="-9"/>
        </w:rPr>
        <w:t xml:space="preserve"> </w:t>
      </w:r>
      <w:r>
        <w:t>odio</w:t>
      </w:r>
      <w:r>
        <w:rPr>
          <w:spacing w:val="-9"/>
        </w:rPr>
        <w:t xml:space="preserve"> </w:t>
      </w:r>
      <w:r>
        <w:t>en</w:t>
      </w:r>
      <w:r>
        <w:rPr>
          <w:spacing w:val="-8"/>
        </w:rPr>
        <w:t xml:space="preserve"> </w:t>
      </w:r>
      <w:r>
        <w:t>línea</w:t>
      </w:r>
      <w:r>
        <w:rPr>
          <w:spacing w:val="-9"/>
        </w:rPr>
        <w:t xml:space="preserve"> </w:t>
      </w:r>
      <w:r>
        <w:t>constituyen</w:t>
      </w:r>
      <w:r>
        <w:rPr>
          <w:spacing w:val="-9"/>
        </w:rPr>
        <w:t xml:space="preserve"> </w:t>
      </w:r>
      <w:r>
        <w:t>discriminación</w:t>
      </w:r>
      <w:r>
        <w:rPr>
          <w:spacing w:val="-9"/>
        </w:rPr>
        <w:t xml:space="preserve"> </w:t>
      </w:r>
      <w:r>
        <w:t>en</w:t>
      </w:r>
      <w:r>
        <w:rPr>
          <w:spacing w:val="-9"/>
        </w:rPr>
        <w:t xml:space="preserve"> </w:t>
      </w:r>
      <w:r>
        <w:t>relación</w:t>
      </w:r>
      <w:r>
        <w:rPr>
          <w:spacing w:val="-9"/>
        </w:rPr>
        <w:t xml:space="preserve"> </w:t>
      </w:r>
      <w:r>
        <w:t>con</w:t>
      </w:r>
      <w:r>
        <w:rPr>
          <w:spacing w:val="-8"/>
        </w:rPr>
        <w:t xml:space="preserve"> </w:t>
      </w:r>
      <w:r>
        <w:t>el</w:t>
      </w:r>
      <w:r>
        <w:rPr>
          <w:spacing w:val="-9"/>
        </w:rPr>
        <w:t xml:space="preserve"> </w:t>
      </w:r>
      <w:r>
        <w:t>derecho</w:t>
      </w:r>
      <w:r>
        <w:rPr>
          <w:spacing w:val="-9"/>
        </w:rPr>
        <w:t xml:space="preserve"> </w:t>
      </w:r>
      <w:r>
        <w:t>al</w:t>
      </w:r>
      <w:r>
        <w:rPr>
          <w:spacing w:val="-9"/>
        </w:rPr>
        <w:t xml:space="preserve"> </w:t>
      </w:r>
      <w:r>
        <w:t>respeto</w:t>
      </w:r>
      <w:r>
        <w:rPr>
          <w:spacing w:val="-9"/>
        </w:rPr>
        <w:t xml:space="preserve"> </w:t>
      </w:r>
      <w:r>
        <w:t>de</w:t>
      </w:r>
      <w:r>
        <w:rPr>
          <w:spacing w:val="-9"/>
        </w:rPr>
        <w:t xml:space="preserve"> </w:t>
      </w:r>
      <w:r>
        <w:t>la</w:t>
      </w:r>
      <w:r>
        <w:rPr>
          <w:spacing w:val="-8"/>
        </w:rPr>
        <w:t xml:space="preserve"> </w:t>
      </w:r>
      <w:r>
        <w:t>vida</w:t>
      </w:r>
      <w:r>
        <w:rPr>
          <w:spacing w:val="-9"/>
        </w:rPr>
        <w:t xml:space="preserve"> </w:t>
      </w:r>
      <w:r>
        <w:t>privada</w:t>
      </w:r>
      <w:r>
        <w:rPr>
          <w:spacing w:val="-9"/>
        </w:rPr>
        <w:t xml:space="preserve"> </w:t>
      </w:r>
      <w:r>
        <w:t>y</w:t>
      </w:r>
      <w:r>
        <w:rPr>
          <w:spacing w:val="-9"/>
        </w:rPr>
        <w:t xml:space="preserve"> </w:t>
      </w:r>
      <w:r>
        <w:rPr>
          <w:spacing w:val="-2"/>
        </w:rPr>
        <w:t>familiar.1</w:t>
      </w:r>
    </w:p>
    <w:p w14:paraId="5C89EDDC" w14:textId="77777777" w:rsidR="0014798C" w:rsidRDefault="0014798C">
      <w:pPr>
        <w:pStyle w:val="Textoindependiente"/>
        <w:spacing w:before="57"/>
        <w:rPr>
          <w:sz w:val="28"/>
        </w:rPr>
      </w:pPr>
    </w:p>
    <w:p w14:paraId="3276F2DB" w14:textId="77777777" w:rsidR="0014798C" w:rsidRDefault="004E1F0B">
      <w:pPr>
        <w:numPr>
          <w:ilvl w:val="0"/>
          <w:numId w:val="8"/>
        </w:numPr>
        <w:tabs>
          <w:tab w:val="left" w:pos="1446"/>
          <w:tab w:val="left" w:pos="1506"/>
        </w:tabs>
        <w:spacing w:before="1" w:line="297" w:lineRule="auto"/>
        <w:ind w:right="1934" w:hanging="406"/>
        <w:jc w:val="both"/>
        <w:rPr>
          <w:color w:val="0075BF"/>
          <w:sz w:val="28"/>
        </w:rPr>
      </w:pPr>
      <w:r>
        <w:rPr>
          <w:color w:val="0075BF"/>
          <w:sz w:val="28"/>
        </w:rPr>
        <w:t>Defensa del odio nacional, racial o religioso, así como en relación con la discapacidad, la expresión e identidad de género, el sexo, la orientación sexual, las características sexuales u otros motivos</w:t>
      </w:r>
    </w:p>
    <w:p w14:paraId="184F7E8C" w14:textId="77777777" w:rsidR="0014798C" w:rsidRDefault="004E1F0B">
      <w:pPr>
        <w:pStyle w:val="Textoindependiente"/>
        <w:spacing w:before="140" w:line="326" w:lineRule="auto"/>
        <w:ind w:left="1107" w:right="1319" w:hanging="1"/>
      </w:pPr>
      <w:r>
        <w:rPr>
          <w:noProof/>
        </w:rPr>
        <mc:AlternateContent>
          <mc:Choice Requires="wps">
            <w:drawing>
              <wp:anchor distT="0" distB="0" distL="0" distR="0" simplePos="0" relativeHeight="251658331" behindDoc="0" locked="0" layoutInCell="1" allowOverlap="1" wp14:anchorId="20F41059" wp14:editId="4E23DC5B">
                <wp:simplePos x="0" y="0"/>
                <wp:positionH relativeFrom="page">
                  <wp:posOffset>7309027</wp:posOffset>
                </wp:positionH>
                <wp:positionV relativeFrom="paragraph">
                  <wp:posOffset>1332916</wp:posOffset>
                </wp:positionV>
                <wp:extent cx="85090" cy="203835"/>
                <wp:effectExtent l="0" t="0" r="0" b="0"/>
                <wp:wrapNone/>
                <wp:docPr id="357" name="Textbox 35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85090" cy="203835"/>
                        </a:xfrm>
                        <a:prstGeom prst="rect">
                          <a:avLst/>
                        </a:prstGeom>
                      </wps:spPr>
                      <wps:txbx>
                        <w:txbxContent>
                          <w:p w14:paraId="3ED46E26" w14:textId="77777777" w:rsidR="0014798C" w:rsidRDefault="004E1F0B">
                            <w:pPr>
                              <w:spacing w:before="21"/>
                              <w:ind w:left="20"/>
                              <w:rPr>
                                <w:sz w:val="8"/>
                              </w:rPr>
                            </w:pPr>
                            <w:r>
                              <w:rPr>
                                <w:color w:val="FFFFFF"/>
                                <w:spacing w:val="-27"/>
                                <w:w w:val="105"/>
                                <w:sz w:val="8"/>
                              </w:rPr>
                              <w:t>CPAINRCTOE</w:t>
                            </w:r>
                          </w:p>
                        </w:txbxContent>
                      </wps:txbx>
                      <wps:bodyPr vert="vert270" wrap="square" lIns="0" tIns="0" rIns="0" bIns="0" rtlCol="0">
                        <a:noAutofit/>
                      </wps:bodyPr>
                    </wps:wsp>
                  </a:graphicData>
                </a:graphic>
              </wp:anchor>
            </w:drawing>
          </mc:Choice>
          <mc:Fallback>
            <w:pict>
              <v:shape w14:anchorId="20F41059" id="Textbox 357" o:spid="_x0000_s1172" type="#_x0000_t202" style="position:absolute;left:0;text-align:left;margin-left:575.5pt;margin-top:104.95pt;width:6.7pt;height:16.05pt;z-index:251658331;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" filled="f" stroked="f">
                <v:textbox style="layout-flow:vertical;mso-layout-flow-alt:bottom-to-top" inset="0,0,0,0">
                  <w:txbxContent>
                    <w:p w14:paraId="3ED46E26" w14:textId="77777777" w:rsidR="0014798C" w:rsidRDefault="004E1F0B">
                      <w:pPr>
                        <w:spacing w:before="21"/>
                        <w:ind w:left="20"/>
                        <w:rPr>
                          <w:sz w:val="8"/>
                        </w:rPr>
                      </w:pPr>
                      <w:r>
                        <w:rPr>
                          <w:color w:val="FFFFFF"/>
                          <w:spacing w:val="-27"/>
                          <w:w w:val="105"/>
                          <w:sz w:val="8"/>
                        </w:rPr>
                        <w:t>CPAINRCTOE</w:t>
                      </w:r>
                    </w:p>
                  </w:txbxContent>
                </v:textbox>
                <w10:wrap anchorx="page"/>
              </v:shape>
            </w:pict>
          </mc:Fallback>
        </mc:AlternateContent>
      </w:r>
      <w:r>
        <w:t>La</w:t>
      </w:r>
      <w:r>
        <w:rPr>
          <w:spacing w:val="-2"/>
        </w:rPr>
        <w:t xml:space="preserve"> </w:t>
      </w:r>
      <w:r>
        <w:t>apología</w:t>
      </w:r>
      <w:r>
        <w:rPr>
          <w:spacing w:val="-2"/>
        </w:rPr>
        <w:t xml:space="preserve"> </w:t>
      </w:r>
      <w:r>
        <w:t>del</w:t>
      </w:r>
      <w:r>
        <w:rPr>
          <w:spacing w:val="-2"/>
        </w:rPr>
        <w:t xml:space="preserve"> </w:t>
      </w:r>
      <w:r>
        <w:t>odio</w:t>
      </w:r>
      <w:r>
        <w:rPr>
          <w:spacing w:val="-2"/>
        </w:rPr>
        <w:t xml:space="preserve"> </w:t>
      </w:r>
      <w:r>
        <w:t>nacional,</w:t>
      </w:r>
      <w:r>
        <w:rPr>
          <w:spacing w:val="-1"/>
        </w:rPr>
        <w:t xml:space="preserve"> </w:t>
      </w:r>
      <w:r>
        <w:t>racial</w:t>
      </w:r>
      <w:r>
        <w:rPr>
          <w:spacing w:val="-2"/>
        </w:rPr>
        <w:t xml:space="preserve"> </w:t>
      </w:r>
      <w:r>
        <w:t>o</w:t>
      </w:r>
      <w:r>
        <w:rPr>
          <w:spacing w:val="-2"/>
        </w:rPr>
        <w:t xml:space="preserve"> </w:t>
      </w:r>
      <w:r>
        <w:t>religioso1160</w:t>
      </w:r>
      <w:r>
        <w:rPr>
          <w:spacing w:val="-2"/>
        </w:rPr>
        <w:t xml:space="preserve"> </w:t>
      </w:r>
      <w:r>
        <w:t>que</w:t>
      </w:r>
      <w:r>
        <w:rPr>
          <w:spacing w:val="-2"/>
        </w:rPr>
        <w:t xml:space="preserve"> </w:t>
      </w:r>
      <w:r>
        <w:t>constituya</w:t>
      </w:r>
      <w:r>
        <w:rPr>
          <w:spacing w:val="-2"/>
        </w:rPr>
        <w:t xml:space="preserve"> </w:t>
      </w:r>
      <w:r>
        <w:t>incitación</w:t>
      </w:r>
      <w:r>
        <w:rPr>
          <w:spacing w:val="-2"/>
        </w:rPr>
        <w:t xml:space="preserve"> </w:t>
      </w:r>
      <w:r>
        <w:t>a</w:t>
      </w:r>
      <w:r>
        <w:rPr>
          <w:spacing w:val="-2"/>
        </w:rPr>
        <w:t xml:space="preserve"> </w:t>
      </w:r>
      <w:r>
        <w:t>la</w:t>
      </w:r>
      <w:r>
        <w:rPr>
          <w:spacing w:val="-2"/>
        </w:rPr>
        <w:t xml:space="preserve"> </w:t>
      </w:r>
      <w:r>
        <w:t>discriminación, la</w:t>
      </w:r>
      <w:r>
        <w:rPr>
          <w:spacing w:val="-2"/>
        </w:rPr>
        <w:t xml:space="preserve"> </w:t>
      </w:r>
      <w:r>
        <w:t>hostilidad</w:t>
      </w:r>
      <w:r>
        <w:rPr>
          <w:spacing w:val="-2"/>
        </w:rPr>
        <w:t xml:space="preserve"> </w:t>
      </w:r>
      <w:r>
        <w:t>o</w:t>
      </w:r>
      <w:r>
        <w:rPr>
          <w:spacing w:val="-2"/>
        </w:rPr>
        <w:t xml:space="preserve"> </w:t>
      </w:r>
      <w:r>
        <w:t>la</w:t>
      </w:r>
      <w:r>
        <w:rPr>
          <w:spacing w:val="-2"/>
        </w:rPr>
        <w:t xml:space="preserve"> </w:t>
      </w:r>
      <w:r>
        <w:t>violencia</w:t>
      </w:r>
      <w:r>
        <w:rPr>
          <w:spacing w:val="-2"/>
        </w:rPr>
        <w:t xml:space="preserve"> </w:t>
      </w:r>
      <w:r>
        <w:t>está prohibida</w:t>
      </w:r>
      <w:r>
        <w:rPr>
          <w:spacing w:val="-1"/>
        </w:rPr>
        <w:t xml:space="preserve"> </w:t>
      </w:r>
      <w:r>
        <w:t>en</w:t>
      </w:r>
      <w:r>
        <w:rPr>
          <w:spacing w:val="-1"/>
        </w:rPr>
        <w:t xml:space="preserve"> </w:t>
      </w:r>
      <w:r>
        <w:t>virtud</w:t>
      </w:r>
      <w:r>
        <w:rPr>
          <w:spacing w:val="-1"/>
        </w:rPr>
        <w:t xml:space="preserve"> </w:t>
      </w:r>
      <w:r>
        <w:t>del</w:t>
      </w:r>
      <w:r>
        <w:rPr>
          <w:spacing w:val="-1"/>
        </w:rPr>
        <w:t xml:space="preserve"> </w:t>
      </w:r>
      <w:r>
        <w:t>artículo</w:t>
      </w:r>
      <w:r>
        <w:rPr>
          <w:spacing w:val="-1"/>
        </w:rPr>
        <w:t xml:space="preserve"> </w:t>
      </w:r>
      <w:r>
        <w:t>20</w:t>
      </w:r>
      <w:r>
        <w:rPr>
          <w:spacing w:val="-1"/>
        </w:rPr>
        <w:t xml:space="preserve"> </w:t>
      </w:r>
      <w:r>
        <w:t>del</w:t>
      </w:r>
      <w:r>
        <w:rPr>
          <w:spacing w:val="-1"/>
        </w:rPr>
        <w:t xml:space="preserve"> </w:t>
      </w:r>
      <w:r>
        <w:t>Pacto</w:t>
      </w:r>
      <w:r>
        <w:rPr>
          <w:spacing w:val="-1"/>
        </w:rPr>
        <w:t xml:space="preserve"> </w:t>
      </w:r>
      <w:r>
        <w:t>Internacional</w:t>
      </w:r>
      <w:r>
        <w:rPr>
          <w:spacing w:val="-1"/>
        </w:rPr>
        <w:t xml:space="preserve"> </w:t>
      </w:r>
      <w:r>
        <w:t>de</w:t>
      </w:r>
      <w:r>
        <w:rPr>
          <w:spacing w:val="-1"/>
        </w:rPr>
        <w:t xml:space="preserve"> </w:t>
      </w:r>
      <w:r>
        <w:t>Derechos</w:t>
      </w:r>
      <w:r>
        <w:rPr>
          <w:spacing w:val="-1"/>
        </w:rPr>
        <w:t xml:space="preserve"> </w:t>
      </w:r>
      <w:r>
        <w:t>Civiles</w:t>
      </w:r>
      <w:r>
        <w:rPr>
          <w:spacing w:val="-1"/>
        </w:rPr>
        <w:t xml:space="preserve"> </w:t>
      </w:r>
      <w:r>
        <w:t>y</w:t>
      </w:r>
      <w:r>
        <w:rPr>
          <w:spacing w:val="-1"/>
        </w:rPr>
        <w:t xml:space="preserve"> </w:t>
      </w:r>
      <w:r>
        <w:t>Políticos. Sin</w:t>
      </w:r>
      <w:r>
        <w:rPr>
          <w:spacing w:val="-1"/>
        </w:rPr>
        <w:t xml:space="preserve"> </w:t>
      </w:r>
      <w:r>
        <w:t>embargo, además, la</w:t>
      </w:r>
      <w:r>
        <w:rPr>
          <w:spacing w:val="-1"/>
        </w:rPr>
        <w:t xml:space="preserve"> </w:t>
      </w:r>
      <w:r>
        <w:t>protección</w:t>
      </w:r>
      <w:r>
        <w:rPr>
          <w:spacing w:val="-1"/>
        </w:rPr>
        <w:t xml:space="preserve"> </w:t>
      </w:r>
      <w:r>
        <w:t>del derecho</w:t>
      </w:r>
      <w:r>
        <w:rPr>
          <w:spacing w:val="-1"/>
        </w:rPr>
        <w:t xml:space="preserve"> </w:t>
      </w:r>
      <w:r>
        <w:t>a</w:t>
      </w:r>
      <w:r>
        <w:rPr>
          <w:spacing w:val="-1"/>
        </w:rPr>
        <w:t xml:space="preserve"> </w:t>
      </w:r>
      <w:r>
        <w:t>la</w:t>
      </w:r>
      <w:r>
        <w:rPr>
          <w:spacing w:val="-1"/>
        </w:rPr>
        <w:t xml:space="preserve"> </w:t>
      </w:r>
      <w:r>
        <w:t>no</w:t>
      </w:r>
      <w:r>
        <w:rPr>
          <w:spacing w:val="-1"/>
        </w:rPr>
        <w:t xml:space="preserve"> </w:t>
      </w:r>
      <w:r>
        <w:t>discriminación</w:t>
      </w:r>
      <w:r>
        <w:rPr>
          <w:spacing w:val="-1"/>
        </w:rPr>
        <w:t xml:space="preserve"> </w:t>
      </w:r>
      <w:r>
        <w:t>–y</w:t>
      </w:r>
      <w:r>
        <w:rPr>
          <w:spacing w:val="-1"/>
        </w:rPr>
        <w:t xml:space="preserve"> </w:t>
      </w:r>
      <w:r>
        <w:t>a</w:t>
      </w:r>
      <w:r>
        <w:rPr>
          <w:spacing w:val="-1"/>
        </w:rPr>
        <w:t xml:space="preserve"> </w:t>
      </w:r>
      <w:r>
        <w:t>no</w:t>
      </w:r>
      <w:r>
        <w:rPr>
          <w:spacing w:val="-1"/>
        </w:rPr>
        <w:t xml:space="preserve"> </w:t>
      </w:r>
      <w:r>
        <w:t>sufrir</w:t>
      </w:r>
      <w:r>
        <w:rPr>
          <w:spacing w:val="-1"/>
        </w:rPr>
        <w:t xml:space="preserve"> </w:t>
      </w:r>
      <w:r>
        <w:t>violencia</w:t>
      </w:r>
      <w:r>
        <w:rPr>
          <w:spacing w:val="-1"/>
        </w:rPr>
        <w:t xml:space="preserve"> </w:t>
      </w:r>
      <w:r>
        <w:t>discriminatoria–</w:t>
      </w:r>
      <w:r>
        <w:rPr>
          <w:spacing w:val="-1"/>
        </w:rPr>
        <w:t xml:space="preserve"> </w:t>
      </w:r>
      <w:r>
        <w:t>requiere</w:t>
      </w:r>
      <w:r>
        <w:rPr>
          <w:spacing w:val="-1"/>
        </w:rPr>
        <w:t xml:space="preserve"> </w:t>
      </w:r>
      <w:r>
        <w:t>protección</w:t>
      </w:r>
      <w:r>
        <w:rPr>
          <w:spacing w:val="-1"/>
        </w:rPr>
        <w:t xml:space="preserve"> </w:t>
      </w:r>
      <w:r>
        <w:t>contra</w:t>
      </w:r>
      <w:r>
        <w:rPr>
          <w:spacing w:val="-1"/>
        </w:rPr>
        <w:t xml:space="preserve"> </w:t>
      </w:r>
      <w:r>
        <w:t>el</w:t>
      </w:r>
      <w:r>
        <w:rPr>
          <w:spacing w:val="-1"/>
        </w:rPr>
        <w:t xml:space="preserve"> </w:t>
      </w:r>
      <w:r>
        <w:t>discurso</w:t>
      </w:r>
      <w:r>
        <w:rPr>
          <w:spacing w:val="-1"/>
        </w:rPr>
        <w:t xml:space="preserve"> </w:t>
      </w:r>
      <w:r>
        <w:t>de</w:t>
      </w:r>
      <w:r>
        <w:rPr>
          <w:spacing w:val="-1"/>
        </w:rPr>
        <w:t xml:space="preserve"> </w:t>
      </w:r>
      <w:r>
        <w:t>odio</w:t>
      </w:r>
      <w:r>
        <w:rPr>
          <w:spacing w:val="-1"/>
        </w:rPr>
        <w:t xml:space="preserve"> </w:t>
      </w:r>
      <w:r>
        <w:t>por</w:t>
      </w:r>
      <w:r>
        <w:rPr>
          <w:spacing w:val="-1"/>
        </w:rPr>
        <w:t xml:space="preserve"> </w:t>
      </w:r>
      <w:r>
        <w:t>otros motivos.</w:t>
      </w:r>
      <w:r>
        <w:rPr>
          <w:spacing w:val="-5"/>
        </w:rPr>
        <w:t xml:space="preserve"> </w:t>
      </w:r>
      <w:r>
        <w:t>Este</w:t>
      </w:r>
      <w:r>
        <w:rPr>
          <w:spacing w:val="-5"/>
        </w:rPr>
        <w:t xml:space="preserve"> </w:t>
      </w:r>
      <w:r>
        <w:t>enfoque</w:t>
      </w:r>
      <w:r>
        <w:rPr>
          <w:spacing w:val="-6"/>
        </w:rPr>
        <w:t xml:space="preserve"> </w:t>
      </w:r>
      <w:r>
        <w:t>es</w:t>
      </w:r>
      <w:r>
        <w:rPr>
          <w:spacing w:val="-5"/>
        </w:rPr>
        <w:t xml:space="preserve"> </w:t>
      </w:r>
      <w:r>
        <w:t>consistente</w:t>
      </w:r>
      <w:r>
        <w:rPr>
          <w:spacing w:val="-6"/>
        </w:rPr>
        <w:t xml:space="preserve"> </w:t>
      </w:r>
      <w:r>
        <w:t>con</w:t>
      </w:r>
      <w:r>
        <w:rPr>
          <w:spacing w:val="-5"/>
        </w:rPr>
        <w:t xml:space="preserve"> </w:t>
      </w:r>
      <w:r>
        <w:t>–de</w:t>
      </w:r>
      <w:r>
        <w:rPr>
          <w:spacing w:val="-6"/>
        </w:rPr>
        <w:t xml:space="preserve"> </w:t>
      </w:r>
      <w:r>
        <w:t>hecho</w:t>
      </w:r>
      <w:r>
        <w:rPr>
          <w:spacing w:val="-5"/>
        </w:rPr>
        <w:t xml:space="preserve"> </w:t>
      </w:r>
      <w:r>
        <w:t>previsto</w:t>
      </w:r>
      <w:r>
        <w:rPr>
          <w:spacing w:val="-6"/>
        </w:rPr>
        <w:t xml:space="preserve"> </w:t>
      </w:r>
      <w:r>
        <w:t>por–</w:t>
      </w:r>
      <w:r>
        <w:rPr>
          <w:spacing w:val="-5"/>
        </w:rPr>
        <w:t xml:space="preserve"> </w:t>
      </w:r>
      <w:r>
        <w:t>el</w:t>
      </w:r>
      <w:r>
        <w:rPr>
          <w:spacing w:val="-6"/>
        </w:rPr>
        <w:t xml:space="preserve"> </w:t>
      </w:r>
      <w:r>
        <w:t>reconocimiento</w:t>
      </w:r>
      <w:r>
        <w:rPr>
          <w:spacing w:val="-5"/>
        </w:rPr>
        <w:t xml:space="preserve"> </w:t>
      </w:r>
      <w:r>
        <w:t>en</w:t>
      </w:r>
      <w:r>
        <w:rPr>
          <w:spacing w:val="-6"/>
        </w:rPr>
        <w:t xml:space="preserve"> </w:t>
      </w:r>
      <w:r>
        <w:t>el</w:t>
      </w:r>
      <w:r>
        <w:rPr>
          <w:spacing w:val="-5"/>
        </w:rPr>
        <w:t xml:space="preserve"> </w:t>
      </w:r>
      <w:r>
        <w:t>artículo</w:t>
      </w:r>
      <w:r>
        <w:rPr>
          <w:spacing w:val="-6"/>
        </w:rPr>
        <w:t xml:space="preserve"> </w:t>
      </w:r>
      <w:r>
        <w:t>19</w:t>
      </w:r>
      <w:r>
        <w:rPr>
          <w:spacing w:val="-5"/>
        </w:rPr>
        <w:t xml:space="preserve"> </w:t>
      </w:r>
      <w:r>
        <w:t>(3)</w:t>
      </w:r>
      <w:r>
        <w:rPr>
          <w:spacing w:val="-6"/>
        </w:rPr>
        <w:t xml:space="preserve"> </w:t>
      </w:r>
      <w:r>
        <w:t>del</w:t>
      </w:r>
      <w:r>
        <w:rPr>
          <w:spacing w:val="-5"/>
        </w:rPr>
        <w:t xml:space="preserve"> </w:t>
      </w:r>
      <w:r>
        <w:t>Pacto</w:t>
      </w:r>
      <w:r>
        <w:rPr>
          <w:spacing w:val="-6"/>
        </w:rPr>
        <w:t xml:space="preserve"> </w:t>
      </w:r>
      <w:r>
        <w:t>Internacional</w:t>
      </w:r>
      <w:r>
        <w:rPr>
          <w:spacing w:val="-5"/>
        </w:rPr>
        <w:t xml:space="preserve"> </w:t>
      </w:r>
      <w:r>
        <w:t>de Derechos</w:t>
      </w:r>
      <w:r>
        <w:rPr>
          <w:spacing w:val="-1"/>
        </w:rPr>
        <w:t xml:space="preserve"> </w:t>
      </w:r>
      <w:r>
        <w:t>Civiles</w:t>
      </w:r>
      <w:r>
        <w:rPr>
          <w:spacing w:val="-1"/>
        </w:rPr>
        <w:t xml:space="preserve"> </w:t>
      </w:r>
      <w:r>
        <w:t>y</w:t>
      </w:r>
      <w:r>
        <w:rPr>
          <w:spacing w:val="-1"/>
        </w:rPr>
        <w:t xml:space="preserve"> </w:t>
      </w:r>
      <w:r>
        <w:t>Políticos</w:t>
      </w:r>
      <w:r>
        <w:rPr>
          <w:spacing w:val="-1"/>
        </w:rPr>
        <w:t xml:space="preserve"> </w:t>
      </w:r>
      <w:r>
        <w:t>del</w:t>
      </w:r>
      <w:r>
        <w:rPr>
          <w:spacing w:val="-1"/>
        </w:rPr>
        <w:t xml:space="preserve"> </w:t>
      </w:r>
      <w:r>
        <w:t>hecho</w:t>
      </w:r>
      <w:r>
        <w:rPr>
          <w:spacing w:val="-1"/>
        </w:rPr>
        <w:t xml:space="preserve"> </w:t>
      </w:r>
      <w:r>
        <w:t>de</w:t>
      </w:r>
      <w:r>
        <w:rPr>
          <w:spacing w:val="-1"/>
        </w:rPr>
        <w:t xml:space="preserve"> </w:t>
      </w:r>
      <w:r>
        <w:t>que</w:t>
      </w:r>
      <w:r>
        <w:rPr>
          <w:spacing w:val="-1"/>
        </w:rPr>
        <w:t xml:space="preserve"> </w:t>
      </w:r>
      <w:r>
        <w:t>la</w:t>
      </w:r>
      <w:r>
        <w:rPr>
          <w:spacing w:val="-1"/>
        </w:rPr>
        <w:t xml:space="preserve"> </w:t>
      </w:r>
      <w:r>
        <w:t>libertad</w:t>
      </w:r>
      <w:r>
        <w:rPr>
          <w:spacing w:val="-1"/>
        </w:rPr>
        <w:t xml:space="preserve"> </w:t>
      </w:r>
      <w:r>
        <w:t>de</w:t>
      </w:r>
      <w:r>
        <w:rPr>
          <w:spacing w:val="-1"/>
        </w:rPr>
        <w:t xml:space="preserve"> </w:t>
      </w:r>
      <w:r>
        <w:t>expresión</w:t>
      </w:r>
      <w:r>
        <w:rPr>
          <w:spacing w:val="-1"/>
        </w:rPr>
        <w:t xml:space="preserve"> </w:t>
      </w:r>
      <w:r>
        <w:t>puede</w:t>
      </w:r>
      <w:r>
        <w:rPr>
          <w:spacing w:val="-1"/>
        </w:rPr>
        <w:t xml:space="preserve"> </w:t>
      </w:r>
      <w:r>
        <w:t>ser</w:t>
      </w:r>
      <w:r>
        <w:rPr>
          <w:spacing w:val="-1"/>
        </w:rPr>
        <w:t xml:space="preserve"> </w:t>
      </w:r>
      <w:r>
        <w:t>restringida, por</w:t>
      </w:r>
      <w:r>
        <w:rPr>
          <w:spacing w:val="-1"/>
        </w:rPr>
        <w:t xml:space="preserve"> </w:t>
      </w:r>
      <w:r>
        <w:t>ley,</w:t>
      </w:r>
      <w:r>
        <w:rPr>
          <w:spacing w:val="-1"/>
        </w:rPr>
        <w:t xml:space="preserve"> </w:t>
      </w:r>
      <w:r>
        <w:t>cuando</w:t>
      </w:r>
      <w:r>
        <w:rPr>
          <w:spacing w:val="-1"/>
        </w:rPr>
        <w:t xml:space="preserve"> </w:t>
      </w:r>
      <w:r>
        <w:t>sea</w:t>
      </w:r>
      <w:r>
        <w:rPr>
          <w:spacing w:val="-1"/>
        </w:rPr>
        <w:t xml:space="preserve"> </w:t>
      </w:r>
      <w:r>
        <w:t>necesario</w:t>
      </w:r>
      <w:r>
        <w:rPr>
          <w:spacing w:val="-1"/>
        </w:rPr>
        <w:t xml:space="preserve"> </w:t>
      </w:r>
      <w:r>
        <w:t>para</w:t>
      </w:r>
      <w:r>
        <w:rPr>
          <w:spacing w:val="-1"/>
        </w:rPr>
        <w:t xml:space="preserve"> </w:t>
      </w:r>
      <w:r>
        <w:t>la protección</w:t>
      </w:r>
      <w:r>
        <w:rPr>
          <w:spacing w:val="-1"/>
        </w:rPr>
        <w:t xml:space="preserve"> </w:t>
      </w:r>
      <w:r>
        <w:t>de</w:t>
      </w:r>
      <w:r>
        <w:rPr>
          <w:spacing w:val="-1"/>
        </w:rPr>
        <w:t xml:space="preserve"> </w:t>
      </w:r>
      <w:r>
        <w:t>los</w:t>
      </w:r>
      <w:r>
        <w:rPr>
          <w:spacing w:val="-1"/>
        </w:rPr>
        <w:t xml:space="preserve"> </w:t>
      </w:r>
      <w:r>
        <w:t>derechos</w:t>
      </w:r>
      <w:r>
        <w:rPr>
          <w:spacing w:val="-1"/>
        </w:rPr>
        <w:t xml:space="preserve"> </w:t>
      </w:r>
      <w:r>
        <w:t>de</w:t>
      </w:r>
      <w:r>
        <w:rPr>
          <w:spacing w:val="-1"/>
        </w:rPr>
        <w:t xml:space="preserve"> </w:t>
      </w:r>
      <w:r>
        <w:t>las</w:t>
      </w:r>
      <w:r>
        <w:rPr>
          <w:spacing w:val="-1"/>
        </w:rPr>
        <w:t xml:space="preserve"> </w:t>
      </w:r>
      <w:r>
        <w:t>personas. otros.1161</w:t>
      </w:r>
      <w:r>
        <w:rPr>
          <w:spacing w:val="-1"/>
        </w:rPr>
        <w:t xml:space="preserve"> </w:t>
      </w:r>
      <w:r>
        <w:t>Como</w:t>
      </w:r>
      <w:r>
        <w:rPr>
          <w:spacing w:val="-1"/>
        </w:rPr>
        <w:t xml:space="preserve"> </w:t>
      </w:r>
      <w:r>
        <w:t>tal,</w:t>
      </w:r>
      <w:r>
        <w:rPr>
          <w:spacing w:val="-1"/>
        </w:rPr>
        <w:t xml:space="preserve"> </w:t>
      </w:r>
      <w:r>
        <w:t>el</w:t>
      </w:r>
      <w:r>
        <w:rPr>
          <w:spacing w:val="-1"/>
        </w:rPr>
        <w:t xml:space="preserve"> </w:t>
      </w:r>
      <w:r>
        <w:t>Relator</w:t>
      </w:r>
      <w:r>
        <w:rPr>
          <w:spacing w:val="-1"/>
        </w:rPr>
        <w:t xml:space="preserve"> </w:t>
      </w:r>
      <w:r>
        <w:t>Especial</w:t>
      </w:r>
      <w:r>
        <w:rPr>
          <w:spacing w:val="-1"/>
        </w:rPr>
        <w:t xml:space="preserve"> </w:t>
      </w:r>
      <w:r>
        <w:t>sobre</w:t>
      </w:r>
      <w:r>
        <w:rPr>
          <w:spacing w:val="-1"/>
        </w:rPr>
        <w:t xml:space="preserve"> </w:t>
      </w:r>
      <w:r>
        <w:t>la</w:t>
      </w:r>
      <w:r>
        <w:rPr>
          <w:spacing w:val="-1"/>
        </w:rPr>
        <w:t xml:space="preserve"> </w:t>
      </w:r>
      <w:r>
        <w:t>promoción</w:t>
      </w:r>
      <w:r>
        <w:rPr>
          <w:spacing w:val="-1"/>
        </w:rPr>
        <w:t xml:space="preserve"> </w:t>
      </w:r>
      <w:r>
        <w:t>y</w:t>
      </w:r>
      <w:r>
        <w:rPr>
          <w:spacing w:val="-1"/>
        </w:rPr>
        <w:t xml:space="preserve"> </w:t>
      </w:r>
      <w:r>
        <w:t>protección</w:t>
      </w:r>
      <w:r>
        <w:rPr>
          <w:spacing w:val="-1"/>
        </w:rPr>
        <w:t xml:space="preserve"> </w:t>
      </w:r>
      <w:r>
        <w:t>del</w:t>
      </w:r>
      <w:r>
        <w:rPr>
          <w:spacing w:val="-1"/>
        </w:rPr>
        <w:t xml:space="preserve"> </w:t>
      </w:r>
      <w:r>
        <w:t>derecho a</w:t>
      </w:r>
      <w:r>
        <w:rPr>
          <w:spacing w:val="-2"/>
        </w:rPr>
        <w:t xml:space="preserve"> </w:t>
      </w:r>
      <w:r>
        <w:t>la</w:t>
      </w:r>
      <w:r>
        <w:rPr>
          <w:spacing w:val="-2"/>
        </w:rPr>
        <w:t xml:space="preserve"> </w:t>
      </w:r>
      <w:r>
        <w:t>libertad</w:t>
      </w:r>
      <w:r>
        <w:rPr>
          <w:spacing w:val="-2"/>
        </w:rPr>
        <w:t xml:space="preserve"> </w:t>
      </w:r>
      <w:r>
        <w:t>de</w:t>
      </w:r>
      <w:r>
        <w:rPr>
          <w:spacing w:val="-2"/>
        </w:rPr>
        <w:t xml:space="preserve"> </w:t>
      </w:r>
      <w:r>
        <w:t>opinión</w:t>
      </w:r>
      <w:r>
        <w:rPr>
          <w:spacing w:val="-2"/>
        </w:rPr>
        <w:t xml:space="preserve"> </w:t>
      </w:r>
      <w:r>
        <w:t>y</w:t>
      </w:r>
      <w:r>
        <w:rPr>
          <w:spacing w:val="-2"/>
        </w:rPr>
        <w:t xml:space="preserve"> </w:t>
      </w:r>
      <w:r>
        <w:t>expresión</w:t>
      </w:r>
      <w:r>
        <w:rPr>
          <w:spacing w:val="-2"/>
        </w:rPr>
        <w:t xml:space="preserve"> </w:t>
      </w:r>
      <w:r>
        <w:t>ha</w:t>
      </w:r>
      <w:r>
        <w:rPr>
          <w:spacing w:val="-2"/>
        </w:rPr>
        <w:t xml:space="preserve"> </w:t>
      </w:r>
      <w:r>
        <w:t>señalado</w:t>
      </w:r>
      <w:r>
        <w:rPr>
          <w:spacing w:val="-2"/>
        </w:rPr>
        <w:t xml:space="preserve"> </w:t>
      </w:r>
      <w:r>
        <w:t>que:</w:t>
      </w:r>
      <w:r>
        <w:rPr>
          <w:spacing w:val="-2"/>
        </w:rPr>
        <w:t xml:space="preserve"> </w:t>
      </w:r>
      <w:r>
        <w:t>“Dada</w:t>
      </w:r>
      <w:r>
        <w:rPr>
          <w:spacing w:val="-2"/>
        </w:rPr>
        <w:t xml:space="preserve"> </w:t>
      </w:r>
      <w:r>
        <w:t>la</w:t>
      </w:r>
      <w:r>
        <w:rPr>
          <w:spacing w:val="-2"/>
        </w:rPr>
        <w:t xml:space="preserve"> </w:t>
      </w:r>
      <w:r>
        <w:t>expansión</w:t>
      </w:r>
      <w:r>
        <w:rPr>
          <w:spacing w:val="-2"/>
        </w:rPr>
        <w:t xml:space="preserve"> </w:t>
      </w:r>
      <w:r>
        <w:t>de</w:t>
      </w:r>
      <w:r>
        <w:rPr>
          <w:spacing w:val="-2"/>
        </w:rPr>
        <w:t xml:space="preserve"> </w:t>
      </w:r>
      <w:r>
        <w:t>la</w:t>
      </w:r>
      <w:r>
        <w:rPr>
          <w:spacing w:val="-2"/>
        </w:rPr>
        <w:t xml:space="preserve"> </w:t>
      </w:r>
      <w:r>
        <w:t>protección</w:t>
      </w:r>
      <w:r>
        <w:rPr>
          <w:spacing w:val="-2"/>
        </w:rPr>
        <w:t xml:space="preserve"> </w:t>
      </w:r>
      <w:r>
        <w:t>en</w:t>
      </w:r>
      <w:r>
        <w:rPr>
          <w:spacing w:val="-2"/>
        </w:rPr>
        <w:t xml:space="preserve"> </w:t>
      </w:r>
      <w:r>
        <w:t>todo</w:t>
      </w:r>
      <w:r>
        <w:rPr>
          <w:spacing w:val="-2"/>
        </w:rPr>
        <w:t xml:space="preserve"> </w:t>
      </w:r>
      <w:r>
        <w:t>el</w:t>
      </w:r>
      <w:r>
        <w:rPr>
          <w:spacing w:val="-2"/>
        </w:rPr>
        <w:t xml:space="preserve"> </w:t>
      </w:r>
      <w:r>
        <w:t>mundo,</w:t>
      </w:r>
      <w:r>
        <w:rPr>
          <w:spacing w:val="-2"/>
        </w:rPr>
        <w:t xml:space="preserve"> </w:t>
      </w:r>
      <w:r>
        <w:t>se</w:t>
      </w:r>
      <w:r>
        <w:rPr>
          <w:spacing w:val="-2"/>
        </w:rPr>
        <w:t xml:space="preserve"> </w:t>
      </w:r>
      <w:r>
        <w:t>debe</w:t>
      </w:r>
      <w:r>
        <w:rPr>
          <w:spacing w:val="-2"/>
        </w:rPr>
        <w:t xml:space="preserve"> </w:t>
      </w:r>
      <w:r>
        <w:t>entender</w:t>
      </w:r>
      <w:r>
        <w:rPr>
          <w:spacing w:val="-2"/>
        </w:rPr>
        <w:t xml:space="preserve"> </w:t>
      </w:r>
      <w:r>
        <w:t>que la</w:t>
      </w:r>
      <w:r>
        <w:rPr>
          <w:spacing w:val="-6"/>
        </w:rPr>
        <w:t xml:space="preserve"> </w:t>
      </w:r>
      <w:r>
        <w:t>prohibición</w:t>
      </w:r>
      <w:r>
        <w:rPr>
          <w:spacing w:val="-6"/>
        </w:rPr>
        <w:t xml:space="preserve"> </w:t>
      </w:r>
      <w:r>
        <w:t>de</w:t>
      </w:r>
      <w:r>
        <w:rPr>
          <w:spacing w:val="-6"/>
        </w:rPr>
        <w:t xml:space="preserve"> </w:t>
      </w:r>
      <w:r>
        <w:t>la</w:t>
      </w:r>
      <w:r>
        <w:rPr>
          <w:spacing w:val="-6"/>
        </w:rPr>
        <w:t xml:space="preserve"> </w:t>
      </w:r>
      <w:r>
        <w:t>incitación</w:t>
      </w:r>
      <w:r>
        <w:rPr>
          <w:spacing w:val="-6"/>
        </w:rPr>
        <w:t xml:space="preserve"> </w:t>
      </w:r>
      <w:r>
        <w:t>se</w:t>
      </w:r>
      <w:r>
        <w:rPr>
          <w:spacing w:val="-6"/>
        </w:rPr>
        <w:t xml:space="preserve"> </w:t>
      </w:r>
      <w:r>
        <w:t>aplica</w:t>
      </w:r>
      <w:r>
        <w:rPr>
          <w:spacing w:val="-6"/>
        </w:rPr>
        <w:t xml:space="preserve"> </w:t>
      </w:r>
      <w:r>
        <w:t>a</w:t>
      </w:r>
      <w:r>
        <w:rPr>
          <w:spacing w:val="-6"/>
        </w:rPr>
        <w:t xml:space="preserve"> </w:t>
      </w:r>
      <w:r>
        <w:t>las</w:t>
      </w:r>
      <w:r>
        <w:rPr>
          <w:spacing w:val="-6"/>
        </w:rPr>
        <w:t xml:space="preserve"> </w:t>
      </w:r>
      <w:r>
        <w:t>categorías</w:t>
      </w:r>
      <w:r>
        <w:rPr>
          <w:spacing w:val="-6"/>
        </w:rPr>
        <w:t xml:space="preserve"> </w:t>
      </w:r>
      <w:r>
        <w:t>más</w:t>
      </w:r>
      <w:r>
        <w:rPr>
          <w:spacing w:val="-6"/>
        </w:rPr>
        <w:t xml:space="preserve"> </w:t>
      </w:r>
      <w:r>
        <w:t>amplias</w:t>
      </w:r>
      <w:r>
        <w:rPr>
          <w:spacing w:val="-6"/>
        </w:rPr>
        <w:t xml:space="preserve"> </w:t>
      </w:r>
      <w:r>
        <w:t>que</w:t>
      </w:r>
      <w:r>
        <w:rPr>
          <w:spacing w:val="-6"/>
        </w:rPr>
        <w:t xml:space="preserve"> </w:t>
      </w:r>
      <w:r>
        <w:t>ahora</w:t>
      </w:r>
      <w:r>
        <w:rPr>
          <w:spacing w:val="-6"/>
        </w:rPr>
        <w:t xml:space="preserve"> </w:t>
      </w:r>
      <w:r>
        <w:t>abarcan”.</w:t>
      </w:r>
      <w:r>
        <w:rPr>
          <w:spacing w:val="-5"/>
        </w:rPr>
        <w:t xml:space="preserve"> </w:t>
      </w:r>
      <w:r>
        <w:t>bajo</w:t>
      </w:r>
      <w:r>
        <w:rPr>
          <w:spacing w:val="-6"/>
        </w:rPr>
        <w:t xml:space="preserve"> </w:t>
      </w:r>
      <w:r>
        <w:t>el</w:t>
      </w:r>
      <w:r>
        <w:rPr>
          <w:spacing w:val="-6"/>
        </w:rPr>
        <w:t xml:space="preserve"> </w:t>
      </w:r>
      <w:r>
        <w:t>derecho</w:t>
      </w:r>
      <w:r>
        <w:rPr>
          <w:spacing w:val="-6"/>
        </w:rPr>
        <w:t xml:space="preserve"> </w:t>
      </w:r>
      <w:r>
        <w:t>internacional</w:t>
      </w:r>
      <w:r>
        <w:rPr>
          <w:spacing w:val="-6"/>
        </w:rPr>
        <w:t xml:space="preserve"> </w:t>
      </w:r>
      <w:r>
        <w:t>de</w:t>
      </w:r>
      <w:r>
        <w:rPr>
          <w:spacing w:val="-6"/>
        </w:rPr>
        <w:t xml:space="preserve"> </w:t>
      </w:r>
      <w:r>
        <w:t>derechos humanos.”1162</w:t>
      </w:r>
      <w:r>
        <w:rPr>
          <w:spacing w:val="-4"/>
        </w:rPr>
        <w:t xml:space="preserve"> </w:t>
      </w:r>
      <w:r>
        <w:t>Los</w:t>
      </w:r>
      <w:r>
        <w:rPr>
          <w:spacing w:val="-4"/>
        </w:rPr>
        <w:t xml:space="preserve"> </w:t>
      </w:r>
      <w:r>
        <w:t>órganos</w:t>
      </w:r>
      <w:r>
        <w:rPr>
          <w:spacing w:val="-4"/>
        </w:rPr>
        <w:t xml:space="preserve"> </w:t>
      </w:r>
      <w:r>
        <w:t>de</w:t>
      </w:r>
      <w:r>
        <w:rPr>
          <w:spacing w:val="-4"/>
        </w:rPr>
        <w:t xml:space="preserve"> </w:t>
      </w:r>
      <w:r>
        <w:t>tratados</w:t>
      </w:r>
      <w:r>
        <w:rPr>
          <w:spacing w:val="-4"/>
        </w:rPr>
        <w:t xml:space="preserve"> </w:t>
      </w:r>
      <w:r>
        <w:t>han</w:t>
      </w:r>
      <w:r>
        <w:rPr>
          <w:spacing w:val="-4"/>
        </w:rPr>
        <w:t xml:space="preserve"> </w:t>
      </w:r>
      <w:r>
        <w:t>pedido</w:t>
      </w:r>
      <w:r>
        <w:rPr>
          <w:spacing w:val="-4"/>
        </w:rPr>
        <w:t xml:space="preserve"> </w:t>
      </w:r>
      <w:r>
        <w:t>a</w:t>
      </w:r>
      <w:r>
        <w:rPr>
          <w:spacing w:val="-4"/>
        </w:rPr>
        <w:t xml:space="preserve"> </w:t>
      </w:r>
      <w:r>
        <w:t>los</w:t>
      </w:r>
      <w:r>
        <w:rPr>
          <w:spacing w:val="-4"/>
        </w:rPr>
        <w:t xml:space="preserve"> </w:t>
      </w:r>
      <w:r>
        <w:t>Estados</w:t>
      </w:r>
      <w:r>
        <w:rPr>
          <w:spacing w:val="-4"/>
        </w:rPr>
        <w:t xml:space="preserve"> </w:t>
      </w:r>
      <w:r>
        <w:t>que</w:t>
      </w:r>
      <w:r>
        <w:rPr>
          <w:spacing w:val="-4"/>
        </w:rPr>
        <w:t xml:space="preserve"> </w:t>
      </w:r>
      <w:r>
        <w:t>tomen</w:t>
      </w:r>
      <w:r>
        <w:rPr>
          <w:spacing w:val="-4"/>
        </w:rPr>
        <w:t xml:space="preserve"> </w:t>
      </w:r>
      <w:r>
        <w:t>medidas</w:t>
      </w:r>
      <w:r>
        <w:rPr>
          <w:spacing w:val="-4"/>
        </w:rPr>
        <w:t xml:space="preserve"> </w:t>
      </w:r>
      <w:r>
        <w:t>efectivas</w:t>
      </w:r>
      <w:r>
        <w:rPr>
          <w:spacing w:val="-4"/>
        </w:rPr>
        <w:t xml:space="preserve"> </w:t>
      </w:r>
      <w:r>
        <w:t>para</w:t>
      </w:r>
      <w:r>
        <w:rPr>
          <w:spacing w:val="-4"/>
        </w:rPr>
        <w:t xml:space="preserve"> </w:t>
      </w:r>
      <w:r>
        <w:t>prohibir</w:t>
      </w:r>
      <w:r>
        <w:rPr>
          <w:spacing w:val="-4"/>
        </w:rPr>
        <w:t xml:space="preserve"> </w:t>
      </w:r>
      <w:r>
        <w:t>el</w:t>
      </w:r>
      <w:r>
        <w:rPr>
          <w:spacing w:val="-4"/>
        </w:rPr>
        <w:t xml:space="preserve"> </w:t>
      </w:r>
      <w:r>
        <w:t>discurso</w:t>
      </w:r>
      <w:r>
        <w:rPr>
          <w:spacing w:val="-4"/>
        </w:rPr>
        <w:t xml:space="preserve"> </w:t>
      </w:r>
      <w:r>
        <w:t>de</w:t>
      </w:r>
      <w:r>
        <w:rPr>
          <w:spacing w:val="-4"/>
        </w:rPr>
        <w:t xml:space="preserve"> </w:t>
      </w:r>
      <w:r>
        <w:t>odio</w:t>
      </w:r>
      <w:r>
        <w:rPr>
          <w:spacing w:val="-4"/>
        </w:rPr>
        <w:t xml:space="preserve"> </w:t>
      </w:r>
      <w:r>
        <w:t>a nivel nacional.</w:t>
      </w:r>
    </w:p>
    <w:p w14:paraId="3CB6832C" w14:textId="77777777" w:rsidR="0014798C" w:rsidRDefault="0014798C">
      <w:pPr>
        <w:pStyle w:val="Textoindependiente"/>
        <w:rPr>
          <w:sz w:val="12"/>
        </w:rPr>
      </w:pPr>
    </w:p>
    <w:p w14:paraId="40D2FF4F" w14:textId="77777777" w:rsidR="0014798C" w:rsidRDefault="0014798C">
      <w:pPr>
        <w:pStyle w:val="Textoindependiente"/>
        <w:rPr>
          <w:sz w:val="12"/>
        </w:rPr>
      </w:pPr>
    </w:p>
    <w:p w14:paraId="799948BF" w14:textId="77777777" w:rsidR="0014798C" w:rsidRDefault="0014798C">
      <w:pPr>
        <w:pStyle w:val="Textoindependiente"/>
        <w:rPr>
          <w:sz w:val="12"/>
        </w:rPr>
      </w:pPr>
    </w:p>
    <w:p w14:paraId="0888B96E" w14:textId="77777777" w:rsidR="0014798C" w:rsidRDefault="0014798C">
      <w:pPr>
        <w:pStyle w:val="Textoindependiente"/>
        <w:rPr>
          <w:sz w:val="12"/>
        </w:rPr>
      </w:pPr>
    </w:p>
    <w:p w14:paraId="003E7620" w14:textId="77777777" w:rsidR="0014798C" w:rsidRDefault="0014798C">
      <w:pPr>
        <w:pStyle w:val="Textoindependiente"/>
        <w:rPr>
          <w:sz w:val="12"/>
        </w:rPr>
      </w:pPr>
    </w:p>
    <w:p w14:paraId="77464FD6" w14:textId="77777777" w:rsidR="0014798C" w:rsidRDefault="0014798C">
      <w:pPr>
        <w:pStyle w:val="Textoindependiente"/>
        <w:rPr>
          <w:sz w:val="12"/>
        </w:rPr>
      </w:pPr>
    </w:p>
    <w:p w14:paraId="5F71B702" w14:textId="77777777" w:rsidR="0014798C" w:rsidRDefault="0014798C">
      <w:pPr>
        <w:pStyle w:val="Textoindependiente"/>
        <w:rPr>
          <w:sz w:val="12"/>
        </w:rPr>
      </w:pPr>
    </w:p>
    <w:p w14:paraId="2886B01A" w14:textId="77777777" w:rsidR="0014798C" w:rsidRDefault="0014798C">
      <w:pPr>
        <w:pStyle w:val="Textoindependiente"/>
        <w:rPr>
          <w:sz w:val="12"/>
        </w:rPr>
      </w:pPr>
    </w:p>
    <w:p w14:paraId="521EB042" w14:textId="77777777" w:rsidR="0014798C" w:rsidRDefault="0014798C">
      <w:pPr>
        <w:pStyle w:val="Textoindependiente"/>
        <w:rPr>
          <w:sz w:val="12"/>
        </w:rPr>
      </w:pPr>
    </w:p>
    <w:p w14:paraId="7E5CB382" w14:textId="77777777" w:rsidR="0014798C" w:rsidRDefault="0014798C">
      <w:pPr>
        <w:pStyle w:val="Textoindependiente"/>
        <w:rPr>
          <w:sz w:val="12"/>
        </w:rPr>
      </w:pPr>
    </w:p>
    <w:p w14:paraId="455F72C5" w14:textId="77777777" w:rsidR="0014798C" w:rsidRDefault="0014798C">
      <w:pPr>
        <w:pStyle w:val="Textoindependiente"/>
        <w:rPr>
          <w:sz w:val="12"/>
        </w:rPr>
      </w:pPr>
    </w:p>
    <w:p w14:paraId="79C2C2CF" w14:textId="77777777" w:rsidR="0014798C" w:rsidRDefault="0014798C">
      <w:pPr>
        <w:pStyle w:val="Textoindependiente"/>
        <w:spacing w:before="68"/>
        <w:rPr>
          <w:sz w:val="12"/>
        </w:rPr>
      </w:pPr>
    </w:p>
    <w:p w14:paraId="3FB877D6" w14:textId="77777777" w:rsidR="0014798C" w:rsidRDefault="004E1F0B">
      <w:pPr>
        <w:spacing w:before="1" w:line="312" w:lineRule="auto"/>
        <w:ind w:left="1365" w:right="1463" w:hanging="255"/>
        <w:rPr>
          <w:sz w:val="12"/>
        </w:rPr>
      </w:pPr>
      <w:r>
        <w:rPr>
          <w:sz w:val="12"/>
        </w:rPr>
        <w:t xml:space="preserve">1157 Además, en casos que involucran a la ex Ministra de Integración Cécile </w:t>
      </w:r>
      <w:proofErr w:type="spellStart"/>
      <w:r>
        <w:rPr>
          <w:sz w:val="12"/>
        </w:rPr>
        <w:t>Kyenge</w:t>
      </w:r>
      <w:proofErr w:type="spellEnd"/>
      <w:r>
        <w:rPr>
          <w:sz w:val="12"/>
        </w:rPr>
        <w:t>, los tribunales italianos han dictaminado que las declaraciones de un concejal de</w:t>
      </w:r>
      <w:r>
        <w:rPr>
          <w:spacing w:val="40"/>
          <w:sz w:val="12"/>
        </w:rPr>
        <w:t xml:space="preserve"> </w:t>
      </w:r>
      <w:r>
        <w:rPr>
          <w:sz w:val="12"/>
        </w:rPr>
        <w:t>distrito en Facebook de “regresar a la jungla” constituían una incitación al odio racial (Tribunal de Apelaciones de Trento, Sección Penal, Italia v. Serafini, Caso No.</w:t>
      </w:r>
      <w:r>
        <w:rPr>
          <w:spacing w:val="40"/>
          <w:sz w:val="12"/>
        </w:rPr>
        <w:t xml:space="preserve"> </w:t>
      </w:r>
      <w:r>
        <w:rPr>
          <w:sz w:val="12"/>
        </w:rPr>
        <w:t>315/2015,</w:t>
      </w:r>
      <w:r>
        <w:rPr>
          <w:spacing w:val="10"/>
          <w:sz w:val="12"/>
        </w:rPr>
        <w:t xml:space="preserve"> </w:t>
      </w:r>
      <w:r>
        <w:rPr>
          <w:sz w:val="12"/>
        </w:rPr>
        <w:t>Sentencia,</w:t>
      </w:r>
      <w:r>
        <w:rPr>
          <w:spacing w:val="10"/>
          <w:sz w:val="12"/>
        </w:rPr>
        <w:t xml:space="preserve"> </w:t>
      </w:r>
      <w:r>
        <w:rPr>
          <w:sz w:val="12"/>
        </w:rPr>
        <w:t>11</w:t>
      </w:r>
      <w:r>
        <w:rPr>
          <w:spacing w:val="8"/>
          <w:sz w:val="12"/>
        </w:rPr>
        <w:t xml:space="preserve"> </w:t>
      </w:r>
      <w:r>
        <w:rPr>
          <w:sz w:val="12"/>
        </w:rPr>
        <w:t>de</w:t>
      </w:r>
      <w:r>
        <w:rPr>
          <w:spacing w:val="8"/>
          <w:sz w:val="12"/>
        </w:rPr>
        <w:t xml:space="preserve"> </w:t>
      </w:r>
      <w:r>
        <w:rPr>
          <w:sz w:val="12"/>
        </w:rPr>
        <w:t>octubre</w:t>
      </w:r>
      <w:r>
        <w:rPr>
          <w:spacing w:val="8"/>
          <w:sz w:val="12"/>
        </w:rPr>
        <w:t xml:space="preserve"> </w:t>
      </w:r>
      <w:r>
        <w:rPr>
          <w:sz w:val="12"/>
        </w:rPr>
        <w:t>de</w:t>
      </w:r>
      <w:r>
        <w:rPr>
          <w:spacing w:val="8"/>
          <w:sz w:val="12"/>
        </w:rPr>
        <w:t xml:space="preserve"> </w:t>
      </w:r>
      <w:r>
        <w:rPr>
          <w:sz w:val="12"/>
        </w:rPr>
        <w:t>2015),</w:t>
      </w:r>
      <w:r>
        <w:rPr>
          <w:spacing w:val="10"/>
          <w:sz w:val="12"/>
        </w:rPr>
        <w:t xml:space="preserve"> </w:t>
      </w:r>
      <w:r>
        <w:rPr>
          <w:sz w:val="12"/>
        </w:rPr>
        <w:t>y</w:t>
      </w:r>
      <w:r>
        <w:rPr>
          <w:spacing w:val="8"/>
          <w:sz w:val="12"/>
        </w:rPr>
        <w:t xml:space="preserve"> </w:t>
      </w:r>
      <w:r>
        <w:rPr>
          <w:sz w:val="12"/>
        </w:rPr>
        <w:t>que</w:t>
      </w:r>
      <w:r>
        <w:rPr>
          <w:spacing w:val="8"/>
          <w:sz w:val="12"/>
        </w:rPr>
        <w:t xml:space="preserve"> </w:t>
      </w:r>
      <w:r>
        <w:rPr>
          <w:sz w:val="12"/>
        </w:rPr>
        <w:t>los</w:t>
      </w:r>
      <w:r>
        <w:rPr>
          <w:spacing w:val="8"/>
          <w:sz w:val="12"/>
        </w:rPr>
        <w:t xml:space="preserve"> </w:t>
      </w:r>
      <w:r>
        <w:rPr>
          <w:sz w:val="12"/>
        </w:rPr>
        <w:t>comentarios</w:t>
      </w:r>
      <w:r>
        <w:rPr>
          <w:spacing w:val="8"/>
          <w:sz w:val="12"/>
        </w:rPr>
        <w:t xml:space="preserve"> </w:t>
      </w:r>
      <w:r>
        <w:rPr>
          <w:sz w:val="12"/>
        </w:rPr>
        <w:t>en</w:t>
      </w:r>
      <w:r>
        <w:rPr>
          <w:spacing w:val="8"/>
          <w:sz w:val="12"/>
        </w:rPr>
        <w:t xml:space="preserve"> </w:t>
      </w:r>
      <w:r>
        <w:rPr>
          <w:sz w:val="12"/>
        </w:rPr>
        <w:t>un</w:t>
      </w:r>
      <w:r>
        <w:rPr>
          <w:spacing w:val="8"/>
          <w:sz w:val="12"/>
        </w:rPr>
        <w:t xml:space="preserve"> </w:t>
      </w:r>
      <w:r>
        <w:rPr>
          <w:sz w:val="12"/>
        </w:rPr>
        <w:t>programa</w:t>
      </w:r>
      <w:r>
        <w:rPr>
          <w:spacing w:val="8"/>
          <w:sz w:val="12"/>
        </w:rPr>
        <w:t xml:space="preserve"> </w:t>
      </w:r>
      <w:r>
        <w:rPr>
          <w:sz w:val="12"/>
        </w:rPr>
        <w:t>de</w:t>
      </w:r>
      <w:r>
        <w:rPr>
          <w:spacing w:val="8"/>
          <w:sz w:val="12"/>
        </w:rPr>
        <w:t xml:space="preserve"> </w:t>
      </w:r>
      <w:r>
        <w:rPr>
          <w:sz w:val="12"/>
        </w:rPr>
        <w:t>radio</w:t>
      </w:r>
      <w:r>
        <w:rPr>
          <w:spacing w:val="8"/>
          <w:sz w:val="12"/>
        </w:rPr>
        <w:t xml:space="preserve"> </w:t>
      </w:r>
      <w:r>
        <w:rPr>
          <w:sz w:val="12"/>
        </w:rPr>
        <w:t>de</w:t>
      </w:r>
      <w:r>
        <w:rPr>
          <w:spacing w:val="8"/>
          <w:sz w:val="12"/>
        </w:rPr>
        <w:t xml:space="preserve"> </w:t>
      </w:r>
      <w:r>
        <w:rPr>
          <w:sz w:val="12"/>
        </w:rPr>
        <w:t>un</w:t>
      </w:r>
      <w:r>
        <w:rPr>
          <w:spacing w:val="8"/>
          <w:sz w:val="12"/>
        </w:rPr>
        <w:t xml:space="preserve"> </w:t>
      </w:r>
      <w:r>
        <w:rPr>
          <w:sz w:val="12"/>
        </w:rPr>
        <w:t>miembro</w:t>
      </w:r>
      <w:r>
        <w:rPr>
          <w:spacing w:val="8"/>
          <w:sz w:val="12"/>
        </w:rPr>
        <w:t xml:space="preserve"> </w:t>
      </w:r>
      <w:r>
        <w:rPr>
          <w:sz w:val="12"/>
        </w:rPr>
        <w:t>italiano</w:t>
      </w:r>
      <w:r>
        <w:rPr>
          <w:spacing w:val="8"/>
          <w:sz w:val="12"/>
        </w:rPr>
        <w:t xml:space="preserve"> </w:t>
      </w:r>
      <w:r>
        <w:rPr>
          <w:sz w:val="12"/>
        </w:rPr>
        <w:t>del</w:t>
      </w:r>
      <w:r>
        <w:rPr>
          <w:spacing w:val="8"/>
          <w:sz w:val="12"/>
        </w:rPr>
        <w:t xml:space="preserve"> </w:t>
      </w:r>
      <w:r>
        <w:rPr>
          <w:sz w:val="12"/>
        </w:rPr>
        <w:t>Parlamento</w:t>
      </w:r>
      <w:r>
        <w:rPr>
          <w:spacing w:val="8"/>
          <w:sz w:val="12"/>
        </w:rPr>
        <w:t xml:space="preserve"> </w:t>
      </w:r>
      <w:r>
        <w:rPr>
          <w:sz w:val="12"/>
        </w:rPr>
        <w:t>Europeo,</w:t>
      </w:r>
      <w:r>
        <w:rPr>
          <w:spacing w:val="10"/>
          <w:sz w:val="12"/>
        </w:rPr>
        <w:t xml:space="preserve"> </w:t>
      </w:r>
      <w:r>
        <w:rPr>
          <w:sz w:val="12"/>
        </w:rPr>
        <w:t>incluyendo</w:t>
      </w:r>
      <w:r>
        <w:rPr>
          <w:spacing w:val="8"/>
          <w:sz w:val="12"/>
        </w:rPr>
        <w:t xml:space="preserve"> </w:t>
      </w:r>
      <w:r>
        <w:rPr>
          <w:sz w:val="12"/>
        </w:rPr>
        <w:t>que</w:t>
      </w:r>
      <w:r>
        <w:rPr>
          <w:spacing w:val="8"/>
          <w:sz w:val="12"/>
        </w:rPr>
        <w:t xml:space="preserve"> </w:t>
      </w:r>
      <w:r>
        <w:rPr>
          <w:sz w:val="12"/>
        </w:rPr>
        <w:t>la</w:t>
      </w:r>
      <w:r>
        <w:rPr>
          <w:spacing w:val="40"/>
          <w:sz w:val="12"/>
        </w:rPr>
        <w:t xml:space="preserve"> </w:t>
      </w:r>
      <w:r>
        <w:rPr>
          <w:sz w:val="12"/>
        </w:rPr>
        <w:t xml:space="preserve">Sra. </w:t>
      </w:r>
      <w:proofErr w:type="spellStart"/>
      <w:r>
        <w:rPr>
          <w:sz w:val="12"/>
        </w:rPr>
        <w:t>Kyenge</w:t>
      </w:r>
      <w:proofErr w:type="spellEnd"/>
      <w:r>
        <w:rPr>
          <w:sz w:val="12"/>
        </w:rPr>
        <w:t xml:space="preserve"> provenía de “tradiciones tribales”, constituían delitos basados en discriminación ( Tribunal de Milán, </w:t>
      </w:r>
      <w:proofErr w:type="spellStart"/>
      <w:r>
        <w:rPr>
          <w:sz w:val="12"/>
        </w:rPr>
        <w:t>Borghezio</w:t>
      </w:r>
      <w:proofErr w:type="spellEnd"/>
      <w:r>
        <w:rPr>
          <w:sz w:val="12"/>
        </w:rPr>
        <w:t xml:space="preserve"> v.</w:t>
      </w:r>
    </w:p>
    <w:p w14:paraId="22DA114E" w14:textId="77777777" w:rsidR="0014798C" w:rsidRDefault="004E1F0B">
      <w:pPr>
        <w:spacing w:before="1" w:line="312" w:lineRule="auto"/>
        <w:ind w:left="1366" w:right="1272" w:hanging="1"/>
        <w:rPr>
          <w:sz w:val="12"/>
        </w:rPr>
      </w:pPr>
      <w:proofErr w:type="spellStart"/>
      <w:r>
        <w:rPr>
          <w:sz w:val="12"/>
        </w:rPr>
        <w:t>Kyenge</w:t>
      </w:r>
      <w:proofErr w:type="spellEnd"/>
      <w:r>
        <w:rPr>
          <w:sz w:val="12"/>
        </w:rPr>
        <w:t>, sentencia de 18 de mayo de 2017). El Tribunal Supremo de Italia ha declarado que las declaraciones de los concejales municipales contra los romaníes</w:t>
      </w:r>
      <w:r>
        <w:rPr>
          <w:spacing w:val="40"/>
          <w:sz w:val="12"/>
        </w:rPr>
        <w:t xml:space="preserve"> </w:t>
      </w:r>
      <w:r>
        <w:rPr>
          <w:sz w:val="12"/>
        </w:rPr>
        <w:t>constituyen difamación penal (Tribunal Supremo, Sección Penal, caso núm. 47894, sentencia de 22 de noviembre de 2012).</w:t>
      </w:r>
    </w:p>
    <w:p w14:paraId="22D69888" w14:textId="77777777" w:rsidR="0014798C" w:rsidRDefault="004E1F0B">
      <w:pPr>
        <w:spacing w:before="58" w:line="312" w:lineRule="auto"/>
        <w:ind w:left="1366" w:right="2620" w:hanging="256"/>
        <w:rPr>
          <w:sz w:val="12"/>
        </w:rPr>
      </w:pPr>
      <w:r>
        <w:rPr>
          <w:sz w:val="12"/>
        </w:rPr>
        <w:t>1158</w:t>
      </w:r>
      <w:r>
        <w:rPr>
          <w:spacing w:val="-4"/>
          <w:sz w:val="12"/>
        </w:rPr>
        <w:t xml:space="preserve"> </w:t>
      </w:r>
      <w:r>
        <w:rPr>
          <w:sz w:val="12"/>
        </w:rPr>
        <w:t>Tribunal</w:t>
      </w:r>
      <w:r>
        <w:rPr>
          <w:spacing w:val="-4"/>
          <w:sz w:val="12"/>
        </w:rPr>
        <w:t xml:space="preserve"> </w:t>
      </w:r>
      <w:r>
        <w:rPr>
          <w:sz w:val="12"/>
        </w:rPr>
        <w:t>de</w:t>
      </w:r>
      <w:r>
        <w:rPr>
          <w:spacing w:val="-4"/>
          <w:sz w:val="12"/>
        </w:rPr>
        <w:t xml:space="preserve"> </w:t>
      </w:r>
      <w:r>
        <w:rPr>
          <w:sz w:val="12"/>
        </w:rPr>
        <w:t>Justicia</w:t>
      </w:r>
      <w:r>
        <w:rPr>
          <w:spacing w:val="-4"/>
          <w:sz w:val="12"/>
        </w:rPr>
        <w:t xml:space="preserve"> </w:t>
      </w:r>
      <w:r>
        <w:rPr>
          <w:sz w:val="12"/>
        </w:rPr>
        <w:t>de</w:t>
      </w:r>
      <w:r>
        <w:rPr>
          <w:spacing w:val="-4"/>
          <w:sz w:val="12"/>
        </w:rPr>
        <w:t xml:space="preserve"> </w:t>
      </w:r>
      <w:r>
        <w:rPr>
          <w:sz w:val="12"/>
        </w:rPr>
        <w:t>la</w:t>
      </w:r>
      <w:r>
        <w:rPr>
          <w:spacing w:val="-4"/>
          <w:sz w:val="12"/>
        </w:rPr>
        <w:t xml:space="preserve"> </w:t>
      </w:r>
      <w:r>
        <w:rPr>
          <w:sz w:val="12"/>
        </w:rPr>
        <w:t>Unión</w:t>
      </w:r>
      <w:r>
        <w:rPr>
          <w:spacing w:val="-4"/>
          <w:sz w:val="12"/>
        </w:rPr>
        <w:t xml:space="preserve"> </w:t>
      </w:r>
      <w:r>
        <w:rPr>
          <w:sz w:val="12"/>
        </w:rPr>
        <w:t>Europea,</w:t>
      </w:r>
      <w:r>
        <w:rPr>
          <w:spacing w:val="-3"/>
          <w:sz w:val="12"/>
        </w:rPr>
        <w:t xml:space="preserve"> </w:t>
      </w:r>
      <w:proofErr w:type="spellStart"/>
      <w:r>
        <w:rPr>
          <w:sz w:val="12"/>
        </w:rPr>
        <w:t>Asociaţia</w:t>
      </w:r>
      <w:proofErr w:type="spellEnd"/>
      <w:r>
        <w:rPr>
          <w:spacing w:val="-4"/>
          <w:sz w:val="12"/>
        </w:rPr>
        <w:t xml:space="preserve"> </w:t>
      </w:r>
      <w:proofErr w:type="spellStart"/>
      <w:r>
        <w:rPr>
          <w:sz w:val="12"/>
        </w:rPr>
        <w:t>Accept</w:t>
      </w:r>
      <w:proofErr w:type="spellEnd"/>
      <w:r>
        <w:rPr>
          <w:spacing w:val="-3"/>
          <w:sz w:val="12"/>
        </w:rPr>
        <w:t xml:space="preserve"> </w:t>
      </w:r>
      <w:r>
        <w:rPr>
          <w:sz w:val="12"/>
        </w:rPr>
        <w:t>v.</w:t>
      </w:r>
      <w:r>
        <w:rPr>
          <w:spacing w:val="-4"/>
          <w:sz w:val="12"/>
        </w:rPr>
        <w:t xml:space="preserve"> </w:t>
      </w:r>
      <w:proofErr w:type="spellStart"/>
      <w:r>
        <w:rPr>
          <w:sz w:val="12"/>
        </w:rPr>
        <w:t>Consiliul</w:t>
      </w:r>
      <w:proofErr w:type="spellEnd"/>
      <w:r>
        <w:rPr>
          <w:spacing w:val="-4"/>
          <w:sz w:val="12"/>
        </w:rPr>
        <w:t xml:space="preserve"> </w:t>
      </w:r>
      <w:proofErr w:type="spellStart"/>
      <w:r>
        <w:rPr>
          <w:sz w:val="12"/>
        </w:rPr>
        <w:t>Naţional</w:t>
      </w:r>
      <w:proofErr w:type="spellEnd"/>
      <w:r>
        <w:rPr>
          <w:spacing w:val="-4"/>
          <w:sz w:val="12"/>
        </w:rPr>
        <w:t xml:space="preserve"> </w:t>
      </w:r>
      <w:proofErr w:type="spellStart"/>
      <w:r>
        <w:rPr>
          <w:sz w:val="12"/>
        </w:rPr>
        <w:t>pentru</w:t>
      </w:r>
      <w:proofErr w:type="spellEnd"/>
      <w:r>
        <w:rPr>
          <w:spacing w:val="-4"/>
          <w:sz w:val="12"/>
        </w:rPr>
        <w:t xml:space="preserve"> </w:t>
      </w:r>
      <w:proofErr w:type="spellStart"/>
      <w:r>
        <w:rPr>
          <w:sz w:val="12"/>
        </w:rPr>
        <w:t>Combaterea</w:t>
      </w:r>
      <w:proofErr w:type="spellEnd"/>
      <w:r>
        <w:rPr>
          <w:spacing w:val="-4"/>
          <w:sz w:val="12"/>
        </w:rPr>
        <w:t xml:space="preserve"> </w:t>
      </w:r>
      <w:proofErr w:type="spellStart"/>
      <w:r>
        <w:rPr>
          <w:sz w:val="12"/>
        </w:rPr>
        <w:t>Discriminării</w:t>
      </w:r>
      <w:proofErr w:type="spellEnd"/>
      <w:r>
        <w:rPr>
          <w:sz w:val="12"/>
        </w:rPr>
        <w:t>,</w:t>
      </w:r>
      <w:r>
        <w:rPr>
          <w:spacing w:val="-3"/>
          <w:sz w:val="12"/>
        </w:rPr>
        <w:t xml:space="preserve"> </w:t>
      </w:r>
      <w:r>
        <w:rPr>
          <w:sz w:val="12"/>
        </w:rPr>
        <w:t>Caso</w:t>
      </w:r>
      <w:r>
        <w:rPr>
          <w:spacing w:val="-4"/>
          <w:sz w:val="12"/>
        </w:rPr>
        <w:t xml:space="preserve"> </w:t>
      </w:r>
      <w:r>
        <w:rPr>
          <w:sz w:val="12"/>
        </w:rPr>
        <w:t>C-81/12,</w:t>
      </w:r>
      <w:r>
        <w:rPr>
          <w:spacing w:val="-3"/>
          <w:sz w:val="12"/>
        </w:rPr>
        <w:t xml:space="preserve"> </w:t>
      </w:r>
      <w:r>
        <w:rPr>
          <w:sz w:val="12"/>
        </w:rPr>
        <w:t>Sentencia,</w:t>
      </w:r>
      <w:r>
        <w:rPr>
          <w:spacing w:val="40"/>
          <w:sz w:val="12"/>
        </w:rPr>
        <w:t xml:space="preserve"> </w:t>
      </w:r>
      <w:r>
        <w:rPr>
          <w:sz w:val="12"/>
        </w:rPr>
        <w:t xml:space="preserve">25 de abril de 2013; y NH contra </w:t>
      </w:r>
      <w:proofErr w:type="spellStart"/>
      <w:r>
        <w:rPr>
          <w:sz w:val="12"/>
        </w:rPr>
        <w:t>Associazione</w:t>
      </w:r>
      <w:proofErr w:type="spellEnd"/>
      <w:r>
        <w:rPr>
          <w:sz w:val="12"/>
        </w:rPr>
        <w:t xml:space="preserve"> </w:t>
      </w:r>
      <w:proofErr w:type="spellStart"/>
      <w:r>
        <w:rPr>
          <w:sz w:val="12"/>
        </w:rPr>
        <w:t>Avvocatura</w:t>
      </w:r>
      <w:proofErr w:type="spellEnd"/>
      <w:r>
        <w:rPr>
          <w:sz w:val="12"/>
        </w:rPr>
        <w:t xml:space="preserve"> </w:t>
      </w:r>
      <w:proofErr w:type="gramStart"/>
      <w:r>
        <w:rPr>
          <w:sz w:val="12"/>
        </w:rPr>
        <w:t>per i</w:t>
      </w:r>
      <w:proofErr w:type="gramEnd"/>
      <w:r>
        <w:rPr>
          <w:sz w:val="12"/>
        </w:rPr>
        <w:t xml:space="preserve"> </w:t>
      </w:r>
      <w:proofErr w:type="spellStart"/>
      <w:r>
        <w:rPr>
          <w:sz w:val="12"/>
        </w:rPr>
        <w:t>diritti</w:t>
      </w:r>
      <w:proofErr w:type="spellEnd"/>
      <w:r>
        <w:rPr>
          <w:sz w:val="12"/>
        </w:rPr>
        <w:t xml:space="preserve"> LGBTI, Caso C-507/18, Sentencia de 23 de abril de 2020.</w:t>
      </w:r>
    </w:p>
    <w:p w14:paraId="1DA65FEB" w14:textId="77777777" w:rsidR="0014798C" w:rsidRDefault="004E1F0B">
      <w:pPr>
        <w:spacing w:before="57" w:line="312" w:lineRule="auto"/>
        <w:ind w:left="1365" w:right="1463" w:hanging="254"/>
        <w:rPr>
          <w:sz w:val="12"/>
        </w:rPr>
      </w:pPr>
      <w:r>
        <w:rPr>
          <w:sz w:val="12"/>
          <w:vertAlign w:val="superscript"/>
        </w:rPr>
        <w:t>1159</w:t>
      </w:r>
      <w:r>
        <w:rPr>
          <w:spacing w:val="40"/>
          <w:sz w:val="12"/>
        </w:rPr>
        <w:t xml:space="preserve"> </w:t>
      </w:r>
      <w:r>
        <w:rPr>
          <w:sz w:val="12"/>
        </w:rPr>
        <w:t xml:space="preserve">Tribunal Europeo de Derechos Humanos, </w:t>
      </w:r>
      <w:proofErr w:type="spellStart"/>
      <w:r>
        <w:rPr>
          <w:sz w:val="12"/>
        </w:rPr>
        <w:t>Beizaras</w:t>
      </w:r>
      <w:proofErr w:type="spellEnd"/>
      <w:r>
        <w:rPr>
          <w:sz w:val="12"/>
        </w:rPr>
        <w:t xml:space="preserve"> y </w:t>
      </w:r>
      <w:proofErr w:type="spellStart"/>
      <w:r>
        <w:rPr>
          <w:sz w:val="12"/>
        </w:rPr>
        <w:t>Levickas</w:t>
      </w:r>
      <w:proofErr w:type="spellEnd"/>
      <w:r>
        <w:rPr>
          <w:sz w:val="12"/>
        </w:rPr>
        <w:t xml:space="preserve"> c. Lituania, Solicitud n.º 41288/15, Sentencia, 14 de enero de 2020; Behar y Gutman c. Bulgaria,</w:t>
      </w:r>
      <w:r>
        <w:rPr>
          <w:spacing w:val="40"/>
          <w:sz w:val="12"/>
        </w:rPr>
        <w:t xml:space="preserve"> </w:t>
      </w:r>
      <w:r>
        <w:rPr>
          <w:sz w:val="12"/>
        </w:rPr>
        <w:t xml:space="preserve">solicitud n.º 29335/13, sentencia de 16 de febrero de 2021; y </w:t>
      </w:r>
      <w:proofErr w:type="spellStart"/>
      <w:r>
        <w:rPr>
          <w:sz w:val="12"/>
        </w:rPr>
        <w:t>Budinova</w:t>
      </w:r>
      <w:proofErr w:type="spellEnd"/>
      <w:r>
        <w:rPr>
          <w:sz w:val="12"/>
        </w:rPr>
        <w:t xml:space="preserve"> y </w:t>
      </w:r>
      <w:proofErr w:type="spellStart"/>
      <w:r>
        <w:rPr>
          <w:sz w:val="12"/>
        </w:rPr>
        <w:t>Chaprazov</w:t>
      </w:r>
      <w:proofErr w:type="spellEnd"/>
      <w:r>
        <w:rPr>
          <w:sz w:val="12"/>
        </w:rPr>
        <w:t xml:space="preserve"> c. Bulgaria, solicitud n.º 12567/13, sentencia de 16 de febrero de 2021.</w:t>
      </w:r>
    </w:p>
    <w:p w14:paraId="12BA6AED" w14:textId="77777777" w:rsidR="0014798C" w:rsidRDefault="0014798C">
      <w:pPr>
        <w:pStyle w:val="Textoindependiente"/>
        <w:rPr>
          <w:sz w:val="11"/>
        </w:rPr>
      </w:pPr>
    </w:p>
    <w:p w14:paraId="14A4D48D" w14:textId="77777777" w:rsidR="0014798C" w:rsidRDefault="0014798C">
      <w:pPr>
        <w:pStyle w:val="Textoindependiente"/>
        <w:spacing w:before="28"/>
        <w:rPr>
          <w:sz w:val="11"/>
        </w:rPr>
      </w:pPr>
    </w:p>
    <w:p w14:paraId="127ADF85" w14:textId="77777777" w:rsidR="0014798C" w:rsidRDefault="004E1F0B">
      <w:pPr>
        <w:ind w:left="1111"/>
        <w:rPr>
          <w:sz w:val="11"/>
        </w:rPr>
      </w:pPr>
      <w:r>
        <w:rPr>
          <w:spacing w:val="-2"/>
          <w:w w:val="105"/>
          <w:sz w:val="11"/>
        </w:rPr>
        <w:t>1160</w:t>
      </w:r>
      <w:r>
        <w:rPr>
          <w:spacing w:val="2"/>
          <w:w w:val="105"/>
          <w:sz w:val="11"/>
        </w:rPr>
        <w:t xml:space="preserve"> </w:t>
      </w:r>
      <w:r>
        <w:rPr>
          <w:spacing w:val="-2"/>
          <w:w w:val="105"/>
          <w:sz w:val="11"/>
        </w:rPr>
        <w:t>“Los</w:t>
      </w:r>
      <w:r>
        <w:rPr>
          <w:spacing w:val="1"/>
          <w:w w:val="105"/>
          <w:sz w:val="11"/>
        </w:rPr>
        <w:t xml:space="preserve"> </w:t>
      </w:r>
      <w:r>
        <w:rPr>
          <w:spacing w:val="-2"/>
          <w:w w:val="105"/>
          <w:sz w:val="11"/>
        </w:rPr>
        <w:t>términos</w:t>
      </w:r>
      <w:r>
        <w:rPr>
          <w:spacing w:val="1"/>
          <w:w w:val="105"/>
          <w:sz w:val="11"/>
        </w:rPr>
        <w:t xml:space="preserve"> </w:t>
      </w:r>
      <w:r>
        <w:rPr>
          <w:spacing w:val="-2"/>
          <w:w w:val="105"/>
          <w:sz w:val="11"/>
        </w:rPr>
        <w:t>'odio'</w:t>
      </w:r>
      <w:r>
        <w:rPr>
          <w:spacing w:val="2"/>
          <w:w w:val="105"/>
          <w:sz w:val="11"/>
        </w:rPr>
        <w:t xml:space="preserve"> </w:t>
      </w:r>
      <w:r>
        <w:rPr>
          <w:spacing w:val="-2"/>
          <w:w w:val="105"/>
          <w:sz w:val="11"/>
        </w:rPr>
        <w:t>y</w:t>
      </w:r>
      <w:r>
        <w:rPr>
          <w:spacing w:val="2"/>
          <w:w w:val="105"/>
          <w:sz w:val="11"/>
        </w:rPr>
        <w:t xml:space="preserve"> </w:t>
      </w:r>
      <w:r>
        <w:rPr>
          <w:spacing w:val="-2"/>
          <w:w w:val="105"/>
          <w:sz w:val="11"/>
        </w:rPr>
        <w:t>'hostilidad'</w:t>
      </w:r>
      <w:r>
        <w:rPr>
          <w:spacing w:val="3"/>
          <w:w w:val="105"/>
          <w:sz w:val="11"/>
        </w:rPr>
        <w:t xml:space="preserve"> </w:t>
      </w:r>
      <w:r>
        <w:rPr>
          <w:spacing w:val="-2"/>
          <w:w w:val="105"/>
          <w:sz w:val="11"/>
        </w:rPr>
        <w:t>se</w:t>
      </w:r>
      <w:r>
        <w:rPr>
          <w:spacing w:val="2"/>
          <w:w w:val="105"/>
          <w:sz w:val="11"/>
        </w:rPr>
        <w:t xml:space="preserve"> </w:t>
      </w:r>
      <w:r>
        <w:rPr>
          <w:spacing w:val="-2"/>
          <w:w w:val="105"/>
          <w:sz w:val="11"/>
        </w:rPr>
        <w:t>refieren</w:t>
      </w:r>
      <w:r>
        <w:rPr>
          <w:spacing w:val="1"/>
          <w:w w:val="105"/>
          <w:sz w:val="11"/>
        </w:rPr>
        <w:t xml:space="preserve"> </w:t>
      </w:r>
      <w:r>
        <w:rPr>
          <w:spacing w:val="-2"/>
          <w:w w:val="105"/>
          <w:sz w:val="11"/>
        </w:rPr>
        <w:t>a</w:t>
      </w:r>
      <w:r>
        <w:rPr>
          <w:spacing w:val="2"/>
          <w:w w:val="105"/>
          <w:sz w:val="11"/>
        </w:rPr>
        <w:t xml:space="preserve"> </w:t>
      </w:r>
      <w:r>
        <w:rPr>
          <w:spacing w:val="-2"/>
          <w:w w:val="105"/>
          <w:sz w:val="11"/>
        </w:rPr>
        <w:t>emociones</w:t>
      </w:r>
      <w:r>
        <w:rPr>
          <w:spacing w:val="1"/>
          <w:w w:val="105"/>
          <w:sz w:val="11"/>
        </w:rPr>
        <w:t xml:space="preserve"> </w:t>
      </w:r>
      <w:r>
        <w:rPr>
          <w:spacing w:val="-2"/>
          <w:w w:val="105"/>
          <w:sz w:val="11"/>
        </w:rPr>
        <w:t>intensas</w:t>
      </w:r>
      <w:r>
        <w:rPr>
          <w:spacing w:val="1"/>
          <w:w w:val="105"/>
          <w:sz w:val="11"/>
        </w:rPr>
        <w:t xml:space="preserve"> </w:t>
      </w:r>
      <w:r>
        <w:rPr>
          <w:spacing w:val="-2"/>
          <w:w w:val="105"/>
          <w:sz w:val="11"/>
        </w:rPr>
        <w:t>e</w:t>
      </w:r>
      <w:r>
        <w:rPr>
          <w:spacing w:val="3"/>
          <w:w w:val="105"/>
          <w:sz w:val="11"/>
        </w:rPr>
        <w:t xml:space="preserve"> </w:t>
      </w:r>
      <w:r>
        <w:rPr>
          <w:spacing w:val="-2"/>
          <w:w w:val="105"/>
          <w:sz w:val="11"/>
        </w:rPr>
        <w:t>irracionales</w:t>
      </w:r>
      <w:r>
        <w:rPr>
          <w:spacing w:val="1"/>
          <w:w w:val="105"/>
          <w:sz w:val="11"/>
        </w:rPr>
        <w:t xml:space="preserve"> </w:t>
      </w:r>
      <w:r>
        <w:rPr>
          <w:spacing w:val="-2"/>
          <w:w w:val="105"/>
          <w:sz w:val="11"/>
        </w:rPr>
        <w:t>de</w:t>
      </w:r>
      <w:r>
        <w:rPr>
          <w:spacing w:val="2"/>
          <w:w w:val="105"/>
          <w:sz w:val="11"/>
        </w:rPr>
        <w:t xml:space="preserve"> </w:t>
      </w:r>
      <w:r>
        <w:rPr>
          <w:spacing w:val="-2"/>
          <w:w w:val="105"/>
          <w:sz w:val="11"/>
        </w:rPr>
        <w:t>oprobio,</w:t>
      </w:r>
      <w:r>
        <w:rPr>
          <w:spacing w:val="2"/>
          <w:w w:val="105"/>
          <w:sz w:val="11"/>
        </w:rPr>
        <w:t xml:space="preserve"> </w:t>
      </w:r>
      <w:r>
        <w:rPr>
          <w:spacing w:val="-2"/>
          <w:w w:val="105"/>
          <w:sz w:val="11"/>
        </w:rPr>
        <w:t>enemistad</w:t>
      </w:r>
      <w:r>
        <w:rPr>
          <w:spacing w:val="1"/>
          <w:w w:val="105"/>
          <w:sz w:val="11"/>
        </w:rPr>
        <w:t xml:space="preserve"> </w:t>
      </w:r>
      <w:r>
        <w:rPr>
          <w:spacing w:val="-2"/>
          <w:w w:val="105"/>
          <w:sz w:val="11"/>
        </w:rPr>
        <w:t>y</w:t>
      </w:r>
      <w:r>
        <w:rPr>
          <w:spacing w:val="2"/>
          <w:w w:val="105"/>
          <w:sz w:val="11"/>
        </w:rPr>
        <w:t xml:space="preserve"> </w:t>
      </w:r>
      <w:r>
        <w:rPr>
          <w:spacing w:val="-2"/>
          <w:w w:val="105"/>
          <w:sz w:val="11"/>
        </w:rPr>
        <w:t>odio</w:t>
      </w:r>
      <w:r>
        <w:rPr>
          <w:spacing w:val="3"/>
          <w:w w:val="105"/>
          <w:sz w:val="11"/>
        </w:rPr>
        <w:t xml:space="preserve"> </w:t>
      </w:r>
      <w:r>
        <w:rPr>
          <w:spacing w:val="-2"/>
          <w:w w:val="105"/>
          <w:sz w:val="11"/>
        </w:rPr>
        <w:t>hacia</w:t>
      </w:r>
      <w:r>
        <w:rPr>
          <w:spacing w:val="2"/>
          <w:w w:val="105"/>
          <w:sz w:val="11"/>
        </w:rPr>
        <w:t xml:space="preserve"> </w:t>
      </w:r>
      <w:r>
        <w:rPr>
          <w:spacing w:val="-2"/>
          <w:w w:val="105"/>
          <w:sz w:val="11"/>
        </w:rPr>
        <w:t>el</w:t>
      </w:r>
      <w:r>
        <w:rPr>
          <w:spacing w:val="2"/>
          <w:w w:val="105"/>
          <w:sz w:val="11"/>
        </w:rPr>
        <w:t xml:space="preserve"> </w:t>
      </w:r>
      <w:r>
        <w:rPr>
          <w:spacing w:val="-2"/>
          <w:w w:val="105"/>
          <w:sz w:val="11"/>
        </w:rPr>
        <w:t>objetivo.</w:t>
      </w:r>
    </w:p>
    <w:p w14:paraId="0EDDB0EF" w14:textId="77777777" w:rsidR="0014798C" w:rsidRDefault="004E1F0B">
      <w:pPr>
        <w:spacing w:before="10" w:line="312" w:lineRule="auto"/>
        <w:ind w:left="1366" w:right="1840" w:hanging="1"/>
        <w:rPr>
          <w:sz w:val="12"/>
        </w:rPr>
      </w:pPr>
      <w:r>
        <w:rPr>
          <w:sz w:val="12"/>
        </w:rPr>
        <w:t>grupo” (Plan de Acción de Rabat, párr. 21, nota 5). El Comité de Derechos Humanos ha declarado, en lo que respecta al Pacto Internacional de Derechos</w:t>
      </w:r>
      <w:r>
        <w:rPr>
          <w:spacing w:val="40"/>
          <w:sz w:val="12"/>
        </w:rPr>
        <w:t xml:space="preserve"> </w:t>
      </w:r>
      <w:r>
        <w:rPr>
          <w:sz w:val="12"/>
        </w:rPr>
        <w:t>Civiles y Políticos que: “Los artículos 19 y 20 son compatibles y se complementan entre sí. Todos los actos a que se refiere el artículo 20 están sujetos a</w:t>
      </w:r>
      <w:r>
        <w:rPr>
          <w:spacing w:val="40"/>
          <w:sz w:val="12"/>
        </w:rPr>
        <w:t xml:space="preserve"> </w:t>
      </w:r>
      <w:r>
        <w:rPr>
          <w:sz w:val="12"/>
        </w:rPr>
        <w:t>restricciones de conformidad con el párrafo 3 del artículo 19. Como tal, una limitación que esté justificada sobre la base del artículo 20 también debe cumplir</w:t>
      </w:r>
      <w:r>
        <w:rPr>
          <w:spacing w:val="80"/>
          <w:sz w:val="12"/>
        </w:rPr>
        <w:t xml:space="preserve"> </w:t>
      </w:r>
      <w:r>
        <w:rPr>
          <w:sz w:val="12"/>
        </w:rPr>
        <w:t>con el párrafo 3 del artículo 19. Véase Comité de Derechos Humanos, Observación general núm. 34 (2011), párr. 50. Ver también</w:t>
      </w:r>
    </w:p>
    <w:p w14:paraId="69D97C77" w14:textId="77777777" w:rsidR="0014798C" w:rsidRDefault="004E1F0B">
      <w:pPr>
        <w:spacing w:before="2"/>
        <w:ind w:left="1365"/>
        <w:rPr>
          <w:sz w:val="12"/>
        </w:rPr>
      </w:pPr>
      <w:r>
        <w:rPr>
          <w:sz w:val="12"/>
        </w:rPr>
        <w:t>A/HRC/40/58,</w:t>
      </w:r>
      <w:r>
        <w:rPr>
          <w:spacing w:val="4"/>
          <w:sz w:val="12"/>
        </w:rPr>
        <w:t xml:space="preserve"> </w:t>
      </w:r>
      <w:r>
        <w:rPr>
          <w:sz w:val="12"/>
        </w:rPr>
        <w:t>párr.</w:t>
      </w:r>
      <w:r>
        <w:rPr>
          <w:spacing w:val="4"/>
          <w:sz w:val="12"/>
        </w:rPr>
        <w:t xml:space="preserve"> </w:t>
      </w:r>
      <w:r>
        <w:rPr>
          <w:spacing w:val="-5"/>
          <w:sz w:val="12"/>
        </w:rPr>
        <w:t>57.</w:t>
      </w:r>
    </w:p>
    <w:p w14:paraId="5788D18C" w14:textId="77777777" w:rsidR="0014798C" w:rsidRDefault="0014798C">
      <w:pPr>
        <w:pStyle w:val="Textoindependiente"/>
        <w:spacing w:before="15"/>
        <w:rPr>
          <w:sz w:val="11"/>
        </w:rPr>
      </w:pPr>
    </w:p>
    <w:p w14:paraId="36DBCC6A" w14:textId="77777777" w:rsidR="0014798C" w:rsidRDefault="004E1F0B">
      <w:pPr>
        <w:ind w:left="1111"/>
        <w:rPr>
          <w:sz w:val="11"/>
        </w:rPr>
      </w:pPr>
      <w:r>
        <w:rPr>
          <w:spacing w:val="-2"/>
          <w:w w:val="105"/>
          <w:sz w:val="11"/>
        </w:rPr>
        <w:t>1161</w:t>
      </w:r>
      <w:r>
        <w:rPr>
          <w:w w:val="105"/>
          <w:sz w:val="11"/>
        </w:rPr>
        <w:t xml:space="preserve"> </w:t>
      </w:r>
      <w:r>
        <w:rPr>
          <w:spacing w:val="-2"/>
          <w:w w:val="105"/>
          <w:sz w:val="11"/>
        </w:rPr>
        <w:t>Comité</w:t>
      </w:r>
      <w:r>
        <w:rPr>
          <w:spacing w:val="-1"/>
          <w:w w:val="105"/>
          <w:sz w:val="11"/>
        </w:rPr>
        <w:t xml:space="preserve"> </w:t>
      </w:r>
      <w:r>
        <w:rPr>
          <w:spacing w:val="-2"/>
          <w:w w:val="105"/>
          <w:sz w:val="11"/>
        </w:rPr>
        <w:t>de</w:t>
      </w:r>
      <w:r>
        <w:rPr>
          <w:spacing w:val="1"/>
          <w:w w:val="105"/>
          <w:sz w:val="11"/>
        </w:rPr>
        <w:t xml:space="preserve"> </w:t>
      </w:r>
      <w:r>
        <w:rPr>
          <w:spacing w:val="-2"/>
          <w:w w:val="105"/>
          <w:sz w:val="11"/>
        </w:rPr>
        <w:t>Derechos</w:t>
      </w:r>
      <w:r>
        <w:rPr>
          <w:spacing w:val="-1"/>
          <w:w w:val="105"/>
          <w:sz w:val="11"/>
        </w:rPr>
        <w:t xml:space="preserve"> </w:t>
      </w:r>
      <w:r>
        <w:rPr>
          <w:spacing w:val="-2"/>
          <w:w w:val="105"/>
          <w:sz w:val="11"/>
        </w:rPr>
        <w:t>Humanos,</w:t>
      </w:r>
      <w:r>
        <w:rPr>
          <w:w w:val="105"/>
          <w:sz w:val="11"/>
        </w:rPr>
        <w:t xml:space="preserve"> </w:t>
      </w:r>
      <w:r>
        <w:rPr>
          <w:spacing w:val="-2"/>
          <w:w w:val="105"/>
          <w:sz w:val="11"/>
        </w:rPr>
        <w:t>observación</w:t>
      </w:r>
      <w:r>
        <w:rPr>
          <w:spacing w:val="1"/>
          <w:w w:val="105"/>
          <w:sz w:val="11"/>
        </w:rPr>
        <w:t xml:space="preserve"> </w:t>
      </w:r>
      <w:r>
        <w:rPr>
          <w:spacing w:val="-2"/>
          <w:w w:val="105"/>
          <w:sz w:val="11"/>
        </w:rPr>
        <w:t>general</w:t>
      </w:r>
      <w:r>
        <w:rPr>
          <w:w w:val="105"/>
          <w:sz w:val="11"/>
        </w:rPr>
        <w:t xml:space="preserve"> </w:t>
      </w:r>
      <w:r>
        <w:rPr>
          <w:spacing w:val="-2"/>
          <w:w w:val="105"/>
          <w:sz w:val="11"/>
        </w:rPr>
        <w:t>núm.</w:t>
      </w:r>
      <w:r>
        <w:rPr>
          <w:spacing w:val="1"/>
          <w:w w:val="105"/>
          <w:sz w:val="11"/>
        </w:rPr>
        <w:t xml:space="preserve"> </w:t>
      </w:r>
      <w:r>
        <w:rPr>
          <w:spacing w:val="-2"/>
          <w:w w:val="105"/>
          <w:sz w:val="11"/>
        </w:rPr>
        <w:t>34</w:t>
      </w:r>
      <w:r>
        <w:rPr>
          <w:w w:val="105"/>
          <w:sz w:val="11"/>
        </w:rPr>
        <w:t xml:space="preserve"> </w:t>
      </w:r>
      <w:r>
        <w:rPr>
          <w:spacing w:val="-2"/>
          <w:w w:val="105"/>
          <w:sz w:val="11"/>
        </w:rPr>
        <w:t>(2011),</w:t>
      </w:r>
      <w:r>
        <w:rPr>
          <w:spacing w:val="1"/>
          <w:w w:val="105"/>
          <w:sz w:val="11"/>
        </w:rPr>
        <w:t xml:space="preserve"> </w:t>
      </w:r>
      <w:r>
        <w:rPr>
          <w:spacing w:val="-2"/>
          <w:w w:val="105"/>
          <w:sz w:val="11"/>
        </w:rPr>
        <w:t>párr.</w:t>
      </w:r>
      <w:r>
        <w:rPr>
          <w:w w:val="105"/>
          <w:sz w:val="11"/>
        </w:rPr>
        <w:t xml:space="preserve"> </w:t>
      </w:r>
      <w:r>
        <w:rPr>
          <w:spacing w:val="-5"/>
          <w:w w:val="105"/>
          <w:sz w:val="11"/>
        </w:rPr>
        <w:t>11.</w:t>
      </w:r>
    </w:p>
    <w:p w14:paraId="293DCF35" w14:textId="77777777" w:rsidR="0014798C" w:rsidRDefault="004E1F0B">
      <w:pPr>
        <w:spacing w:before="67"/>
        <w:ind w:left="1111"/>
        <w:rPr>
          <w:sz w:val="12"/>
        </w:rPr>
      </w:pPr>
      <w:r>
        <w:rPr>
          <w:w w:val="105"/>
          <w:sz w:val="12"/>
          <w:vertAlign w:val="superscript"/>
        </w:rPr>
        <w:t>1162</w:t>
      </w:r>
      <w:r>
        <w:rPr>
          <w:spacing w:val="20"/>
          <w:w w:val="105"/>
          <w:sz w:val="12"/>
        </w:rPr>
        <w:t xml:space="preserve"> </w:t>
      </w:r>
      <w:r>
        <w:rPr>
          <w:w w:val="105"/>
          <w:sz w:val="12"/>
        </w:rPr>
        <w:t>A/74/486,</w:t>
      </w:r>
      <w:r>
        <w:rPr>
          <w:spacing w:val="-6"/>
          <w:w w:val="105"/>
          <w:sz w:val="12"/>
        </w:rPr>
        <w:t xml:space="preserve"> </w:t>
      </w:r>
      <w:proofErr w:type="spellStart"/>
      <w:r>
        <w:rPr>
          <w:w w:val="105"/>
          <w:sz w:val="12"/>
        </w:rPr>
        <w:t>párrs</w:t>
      </w:r>
      <w:proofErr w:type="spellEnd"/>
      <w:r>
        <w:rPr>
          <w:w w:val="105"/>
          <w:sz w:val="12"/>
        </w:rPr>
        <w:t>.</w:t>
      </w:r>
      <w:r>
        <w:rPr>
          <w:spacing w:val="-6"/>
          <w:w w:val="105"/>
          <w:sz w:val="12"/>
        </w:rPr>
        <w:t xml:space="preserve"> </w:t>
      </w:r>
      <w:r>
        <w:rPr>
          <w:w w:val="105"/>
          <w:sz w:val="12"/>
        </w:rPr>
        <w:t>9</w:t>
      </w:r>
      <w:r>
        <w:rPr>
          <w:spacing w:val="-7"/>
          <w:w w:val="105"/>
          <w:sz w:val="12"/>
        </w:rPr>
        <w:t xml:space="preserve"> </w:t>
      </w:r>
      <w:r>
        <w:rPr>
          <w:w w:val="105"/>
          <w:sz w:val="12"/>
        </w:rPr>
        <w:t>y</w:t>
      </w:r>
      <w:r>
        <w:rPr>
          <w:spacing w:val="-7"/>
          <w:w w:val="105"/>
          <w:sz w:val="12"/>
        </w:rPr>
        <w:t xml:space="preserve"> </w:t>
      </w:r>
      <w:r>
        <w:rPr>
          <w:spacing w:val="-5"/>
          <w:w w:val="105"/>
          <w:sz w:val="12"/>
        </w:rPr>
        <w:t>12.</w:t>
      </w:r>
    </w:p>
    <w:p w14:paraId="4342EFC8" w14:textId="77777777" w:rsidR="0014798C" w:rsidRDefault="0014798C">
      <w:pPr>
        <w:pStyle w:val="Textoindependiente"/>
        <w:rPr>
          <w:sz w:val="18"/>
        </w:rPr>
      </w:pPr>
    </w:p>
    <w:p w14:paraId="79F5A917" w14:textId="77777777" w:rsidR="0014798C" w:rsidRDefault="0014798C">
      <w:pPr>
        <w:pStyle w:val="Textoindependiente"/>
        <w:rPr>
          <w:sz w:val="18"/>
        </w:rPr>
      </w:pPr>
    </w:p>
    <w:p w14:paraId="6064C499" w14:textId="77777777" w:rsidR="0014798C" w:rsidRDefault="0014798C">
      <w:pPr>
        <w:pStyle w:val="Textoindependiente"/>
        <w:spacing w:before="25"/>
        <w:rPr>
          <w:sz w:val="18"/>
        </w:rPr>
      </w:pPr>
    </w:p>
    <w:p w14:paraId="14D71B7E" w14:textId="77777777" w:rsidR="0014798C" w:rsidRDefault="004E1F0B">
      <w:pPr>
        <w:ind w:right="702"/>
        <w:jc w:val="right"/>
        <w:rPr>
          <w:sz w:val="18"/>
        </w:rPr>
      </w:pPr>
      <w:r>
        <w:rPr>
          <w:spacing w:val="-5"/>
          <w:sz w:val="18"/>
        </w:rPr>
        <w:t>179</w:t>
      </w:r>
    </w:p>
    <w:p w14:paraId="1B46788F" w14:textId="77777777" w:rsidR="0014798C" w:rsidRDefault="0014798C">
      <w:pPr>
        <w:jc w:val="right"/>
        <w:rPr>
          <w:sz w:val="18"/>
        </w:rPr>
        <w:sectPr w:rsidR="0014798C" w:rsidSect="00F265E4">
          <w:pgSz w:w="11900" w:h="16820"/>
          <w:pgMar w:top="340" w:right="0" w:bottom="280" w:left="200" w:header="121" w:footer="0" w:gutter="0"/>
          <w:cols w:space="720"/>
        </w:sectPr>
      </w:pPr>
    </w:p>
    <w:p w14:paraId="798BB9DF" w14:textId="77777777" w:rsidR="0014798C" w:rsidRDefault="0014798C">
      <w:pPr>
        <w:pStyle w:val="Textoindependiente"/>
        <w:spacing w:before="88"/>
        <w:rPr>
          <w:sz w:val="12"/>
        </w:rPr>
      </w:pPr>
    </w:p>
    <w:p w14:paraId="00669B7F" w14:textId="77777777" w:rsidR="0014798C" w:rsidRDefault="004E1F0B">
      <w:pPr>
        <w:ind w:left="1111"/>
        <w:rPr>
          <w:sz w:val="12"/>
        </w:rPr>
      </w:pPr>
      <w:r>
        <w:rPr>
          <w:color w:val="0075BF"/>
          <w:sz w:val="12"/>
        </w:rPr>
        <w:t>PROTECCIÓN</w:t>
      </w:r>
      <w:r>
        <w:rPr>
          <w:color w:val="0075BF"/>
          <w:spacing w:val="6"/>
          <w:sz w:val="12"/>
        </w:rPr>
        <w:t xml:space="preserve"> </w:t>
      </w:r>
      <w:r>
        <w:rPr>
          <w:color w:val="0075BF"/>
          <w:sz w:val="12"/>
        </w:rPr>
        <w:t>DE</w:t>
      </w:r>
      <w:r>
        <w:rPr>
          <w:color w:val="0075BF"/>
          <w:spacing w:val="7"/>
          <w:sz w:val="12"/>
        </w:rPr>
        <w:t xml:space="preserve"> </w:t>
      </w:r>
      <w:r>
        <w:rPr>
          <w:color w:val="0075BF"/>
          <w:sz w:val="12"/>
        </w:rPr>
        <w:t>LOS</w:t>
      </w:r>
      <w:r>
        <w:rPr>
          <w:color w:val="0075BF"/>
          <w:spacing w:val="8"/>
          <w:sz w:val="12"/>
        </w:rPr>
        <w:t xml:space="preserve"> </w:t>
      </w:r>
      <w:r>
        <w:rPr>
          <w:color w:val="0075BF"/>
          <w:sz w:val="12"/>
        </w:rPr>
        <w:t>DERECHOS</w:t>
      </w:r>
      <w:r>
        <w:rPr>
          <w:color w:val="0075BF"/>
          <w:spacing w:val="8"/>
          <w:sz w:val="12"/>
        </w:rPr>
        <w:t xml:space="preserve"> </w:t>
      </w:r>
      <w:r>
        <w:rPr>
          <w:color w:val="0075BF"/>
          <w:sz w:val="12"/>
        </w:rPr>
        <w:t>DE</w:t>
      </w:r>
      <w:r>
        <w:rPr>
          <w:color w:val="0075BF"/>
          <w:spacing w:val="6"/>
          <w:sz w:val="12"/>
        </w:rPr>
        <w:t xml:space="preserve"> </w:t>
      </w:r>
      <w:r>
        <w:rPr>
          <w:color w:val="0075BF"/>
          <w:sz w:val="12"/>
        </w:rPr>
        <w:t>LAS</w:t>
      </w:r>
      <w:r>
        <w:rPr>
          <w:color w:val="0075BF"/>
          <w:spacing w:val="7"/>
          <w:sz w:val="12"/>
        </w:rPr>
        <w:t xml:space="preserve"> </w:t>
      </w:r>
      <w:r>
        <w:rPr>
          <w:color w:val="0075BF"/>
          <w:sz w:val="12"/>
        </w:rPr>
        <w:t>MINORÍAS:</w:t>
      </w:r>
      <w:r>
        <w:rPr>
          <w:color w:val="0075BF"/>
          <w:spacing w:val="8"/>
          <w:sz w:val="12"/>
        </w:rPr>
        <w:t xml:space="preserve"> </w:t>
      </w:r>
      <w:r>
        <w:rPr>
          <w:color w:val="0075BF"/>
          <w:sz w:val="12"/>
        </w:rPr>
        <w:t>una</w:t>
      </w:r>
      <w:r>
        <w:rPr>
          <w:color w:val="0075BF"/>
          <w:spacing w:val="7"/>
          <w:sz w:val="12"/>
        </w:rPr>
        <w:t xml:space="preserve"> </w:t>
      </w:r>
      <w:r>
        <w:rPr>
          <w:color w:val="0075BF"/>
          <w:sz w:val="12"/>
        </w:rPr>
        <w:t>guía</w:t>
      </w:r>
      <w:r>
        <w:rPr>
          <w:color w:val="0075BF"/>
          <w:spacing w:val="6"/>
          <w:sz w:val="12"/>
        </w:rPr>
        <w:t xml:space="preserve"> </w:t>
      </w:r>
      <w:r>
        <w:rPr>
          <w:color w:val="0075BF"/>
          <w:sz w:val="12"/>
        </w:rPr>
        <w:t>práctica</w:t>
      </w:r>
      <w:r>
        <w:rPr>
          <w:color w:val="0075BF"/>
          <w:spacing w:val="7"/>
          <w:sz w:val="12"/>
        </w:rPr>
        <w:t xml:space="preserve"> </w:t>
      </w:r>
      <w:r>
        <w:rPr>
          <w:color w:val="0075BF"/>
          <w:sz w:val="12"/>
        </w:rPr>
        <w:t>para</w:t>
      </w:r>
      <w:r>
        <w:rPr>
          <w:color w:val="0075BF"/>
          <w:spacing w:val="8"/>
          <w:sz w:val="12"/>
        </w:rPr>
        <w:t xml:space="preserve"> </w:t>
      </w:r>
      <w:r>
        <w:rPr>
          <w:color w:val="0075BF"/>
          <w:sz w:val="12"/>
        </w:rPr>
        <w:t>desarrollar</w:t>
      </w:r>
      <w:r>
        <w:rPr>
          <w:color w:val="0075BF"/>
          <w:spacing w:val="6"/>
          <w:sz w:val="12"/>
        </w:rPr>
        <w:t xml:space="preserve"> </w:t>
      </w:r>
      <w:r>
        <w:rPr>
          <w:color w:val="0075BF"/>
          <w:sz w:val="12"/>
        </w:rPr>
        <w:t>una</w:t>
      </w:r>
      <w:r>
        <w:rPr>
          <w:color w:val="0075BF"/>
          <w:spacing w:val="7"/>
          <w:sz w:val="12"/>
        </w:rPr>
        <w:t xml:space="preserve"> </w:t>
      </w:r>
      <w:r>
        <w:rPr>
          <w:color w:val="0075BF"/>
          <w:sz w:val="12"/>
        </w:rPr>
        <w:t>legislación</w:t>
      </w:r>
      <w:r>
        <w:rPr>
          <w:color w:val="0075BF"/>
          <w:spacing w:val="8"/>
          <w:sz w:val="12"/>
        </w:rPr>
        <w:t xml:space="preserve"> </w:t>
      </w:r>
      <w:r>
        <w:rPr>
          <w:color w:val="0075BF"/>
          <w:sz w:val="12"/>
        </w:rPr>
        <w:t>integral</w:t>
      </w:r>
      <w:r>
        <w:rPr>
          <w:color w:val="0075BF"/>
          <w:spacing w:val="7"/>
          <w:sz w:val="12"/>
        </w:rPr>
        <w:t xml:space="preserve"> </w:t>
      </w:r>
      <w:r>
        <w:rPr>
          <w:color w:val="0075BF"/>
          <w:sz w:val="12"/>
        </w:rPr>
        <w:t>contra</w:t>
      </w:r>
      <w:r>
        <w:rPr>
          <w:color w:val="0075BF"/>
          <w:spacing w:val="6"/>
          <w:sz w:val="12"/>
        </w:rPr>
        <w:t xml:space="preserve"> </w:t>
      </w:r>
      <w:r>
        <w:rPr>
          <w:color w:val="0075BF"/>
          <w:sz w:val="12"/>
        </w:rPr>
        <w:t>la</w:t>
      </w:r>
      <w:r>
        <w:rPr>
          <w:color w:val="0075BF"/>
          <w:spacing w:val="7"/>
          <w:sz w:val="12"/>
        </w:rPr>
        <w:t xml:space="preserve"> </w:t>
      </w:r>
      <w:r>
        <w:rPr>
          <w:color w:val="0075BF"/>
          <w:spacing w:val="-2"/>
          <w:sz w:val="12"/>
        </w:rPr>
        <w:t>discriminación</w:t>
      </w:r>
    </w:p>
    <w:p w14:paraId="7B6817CC" w14:textId="77777777" w:rsidR="0014798C" w:rsidRDefault="0014798C">
      <w:pPr>
        <w:pStyle w:val="Textoindependiente"/>
        <w:rPr>
          <w:sz w:val="15"/>
        </w:rPr>
      </w:pPr>
    </w:p>
    <w:p w14:paraId="6365E3F2" w14:textId="77777777" w:rsidR="0014798C" w:rsidRDefault="0014798C">
      <w:pPr>
        <w:pStyle w:val="Textoindependiente"/>
        <w:rPr>
          <w:sz w:val="15"/>
        </w:rPr>
      </w:pPr>
    </w:p>
    <w:p w14:paraId="56E6A649" w14:textId="77777777" w:rsidR="0014798C" w:rsidRDefault="0014798C">
      <w:pPr>
        <w:pStyle w:val="Textoindependiente"/>
        <w:rPr>
          <w:sz w:val="15"/>
        </w:rPr>
      </w:pPr>
    </w:p>
    <w:p w14:paraId="69862385" w14:textId="77777777" w:rsidR="0014798C" w:rsidRDefault="0014798C">
      <w:pPr>
        <w:pStyle w:val="Textoindependiente"/>
        <w:rPr>
          <w:sz w:val="15"/>
        </w:rPr>
      </w:pPr>
    </w:p>
    <w:p w14:paraId="5A0D9FD3" w14:textId="77777777" w:rsidR="0014798C" w:rsidRDefault="0014798C">
      <w:pPr>
        <w:pStyle w:val="Textoindependiente"/>
        <w:spacing w:before="133"/>
        <w:rPr>
          <w:sz w:val="15"/>
        </w:rPr>
      </w:pPr>
    </w:p>
    <w:p w14:paraId="57B93AD1" w14:textId="77777777" w:rsidR="0014798C" w:rsidRDefault="004E1F0B">
      <w:pPr>
        <w:spacing w:before="1" w:line="288" w:lineRule="auto"/>
        <w:ind w:left="1111" w:right="1335" w:hanging="6"/>
        <w:rPr>
          <w:sz w:val="15"/>
        </w:rPr>
      </w:pPr>
      <w:r>
        <w:rPr>
          <w:sz w:val="15"/>
        </w:rPr>
        <w:t>una</w:t>
      </w:r>
      <w:r>
        <w:rPr>
          <w:spacing w:val="-2"/>
          <w:sz w:val="15"/>
        </w:rPr>
        <w:t xml:space="preserve"> </w:t>
      </w:r>
      <w:r>
        <w:rPr>
          <w:sz w:val="15"/>
        </w:rPr>
        <w:t>amplia</w:t>
      </w:r>
      <w:r>
        <w:rPr>
          <w:spacing w:val="-2"/>
          <w:sz w:val="15"/>
        </w:rPr>
        <w:t xml:space="preserve"> </w:t>
      </w:r>
      <w:r>
        <w:rPr>
          <w:sz w:val="15"/>
        </w:rPr>
        <w:t>gama</w:t>
      </w:r>
      <w:r>
        <w:rPr>
          <w:spacing w:val="-2"/>
          <w:sz w:val="15"/>
        </w:rPr>
        <w:t xml:space="preserve"> </w:t>
      </w:r>
      <w:r>
        <w:rPr>
          <w:sz w:val="15"/>
        </w:rPr>
        <w:t>de</w:t>
      </w:r>
      <w:r>
        <w:rPr>
          <w:spacing w:val="-2"/>
          <w:sz w:val="15"/>
        </w:rPr>
        <w:t xml:space="preserve"> </w:t>
      </w:r>
      <w:r>
        <w:rPr>
          <w:sz w:val="15"/>
        </w:rPr>
        <w:t>motivos,</w:t>
      </w:r>
      <w:r>
        <w:rPr>
          <w:spacing w:val="-1"/>
          <w:sz w:val="15"/>
        </w:rPr>
        <w:t xml:space="preserve"> </w:t>
      </w:r>
      <w:r>
        <w:rPr>
          <w:sz w:val="15"/>
        </w:rPr>
        <w:t>incluida</w:t>
      </w:r>
      <w:r>
        <w:rPr>
          <w:spacing w:val="-2"/>
          <w:sz w:val="15"/>
        </w:rPr>
        <w:t xml:space="preserve"> </w:t>
      </w:r>
      <w:r>
        <w:rPr>
          <w:sz w:val="15"/>
        </w:rPr>
        <w:t>la</w:t>
      </w:r>
      <w:r>
        <w:rPr>
          <w:spacing w:val="-2"/>
          <w:sz w:val="15"/>
        </w:rPr>
        <w:t xml:space="preserve"> </w:t>
      </w:r>
      <w:r>
        <w:rPr>
          <w:sz w:val="15"/>
        </w:rPr>
        <w:t>discapacidad, la</w:t>
      </w:r>
      <w:r>
        <w:rPr>
          <w:spacing w:val="-2"/>
          <w:sz w:val="15"/>
        </w:rPr>
        <w:t xml:space="preserve"> </w:t>
      </w:r>
      <w:r>
        <w:rPr>
          <w:sz w:val="15"/>
        </w:rPr>
        <w:t>expresión</w:t>
      </w:r>
      <w:r>
        <w:rPr>
          <w:spacing w:val="-1"/>
          <w:sz w:val="15"/>
        </w:rPr>
        <w:t xml:space="preserve"> </w:t>
      </w:r>
      <w:r>
        <w:rPr>
          <w:sz w:val="15"/>
        </w:rPr>
        <w:t>de</w:t>
      </w:r>
      <w:r>
        <w:rPr>
          <w:spacing w:val="-2"/>
          <w:sz w:val="15"/>
        </w:rPr>
        <w:t xml:space="preserve"> </w:t>
      </w:r>
      <w:r>
        <w:rPr>
          <w:sz w:val="15"/>
        </w:rPr>
        <w:t>género,</w:t>
      </w:r>
      <w:r>
        <w:rPr>
          <w:spacing w:val="-1"/>
          <w:sz w:val="15"/>
        </w:rPr>
        <w:t xml:space="preserve"> </w:t>
      </w:r>
      <w:r>
        <w:rPr>
          <w:sz w:val="15"/>
        </w:rPr>
        <w:t>la</w:t>
      </w:r>
      <w:r>
        <w:rPr>
          <w:spacing w:val="-2"/>
          <w:sz w:val="15"/>
        </w:rPr>
        <w:t xml:space="preserve"> </w:t>
      </w:r>
      <w:r>
        <w:rPr>
          <w:sz w:val="15"/>
        </w:rPr>
        <w:t>identidad</w:t>
      </w:r>
      <w:r>
        <w:rPr>
          <w:spacing w:val="-2"/>
          <w:sz w:val="15"/>
        </w:rPr>
        <w:t xml:space="preserve"> </w:t>
      </w:r>
      <w:r>
        <w:rPr>
          <w:sz w:val="15"/>
        </w:rPr>
        <w:t>de</w:t>
      </w:r>
      <w:r>
        <w:rPr>
          <w:spacing w:val="-2"/>
          <w:sz w:val="15"/>
        </w:rPr>
        <w:t xml:space="preserve"> </w:t>
      </w:r>
      <w:r>
        <w:rPr>
          <w:sz w:val="15"/>
        </w:rPr>
        <w:t>género,</w:t>
      </w:r>
      <w:r>
        <w:rPr>
          <w:spacing w:val="-1"/>
          <w:sz w:val="15"/>
        </w:rPr>
        <w:t xml:space="preserve"> </w:t>
      </w:r>
      <w:r>
        <w:rPr>
          <w:sz w:val="15"/>
        </w:rPr>
        <w:t>el</w:t>
      </w:r>
      <w:r>
        <w:rPr>
          <w:spacing w:val="-2"/>
          <w:sz w:val="15"/>
        </w:rPr>
        <w:t xml:space="preserve"> </w:t>
      </w:r>
      <w:r>
        <w:rPr>
          <w:sz w:val="15"/>
        </w:rPr>
        <w:t>sexo,</w:t>
      </w:r>
      <w:r>
        <w:rPr>
          <w:spacing w:val="-1"/>
          <w:sz w:val="15"/>
        </w:rPr>
        <w:t xml:space="preserve"> </w:t>
      </w:r>
      <w:r>
        <w:rPr>
          <w:sz w:val="15"/>
        </w:rPr>
        <w:t>las</w:t>
      </w:r>
      <w:r>
        <w:rPr>
          <w:spacing w:val="-2"/>
          <w:sz w:val="15"/>
        </w:rPr>
        <w:t xml:space="preserve"> </w:t>
      </w:r>
      <w:r>
        <w:rPr>
          <w:sz w:val="15"/>
        </w:rPr>
        <w:t>características</w:t>
      </w:r>
      <w:r>
        <w:rPr>
          <w:spacing w:val="-2"/>
          <w:sz w:val="15"/>
        </w:rPr>
        <w:t xml:space="preserve"> </w:t>
      </w:r>
      <w:r>
        <w:rPr>
          <w:sz w:val="15"/>
        </w:rPr>
        <w:t>sexuales y la orientación sexual.1163</w:t>
      </w:r>
    </w:p>
    <w:p w14:paraId="7812439B" w14:textId="77777777" w:rsidR="0014798C" w:rsidRDefault="0014798C">
      <w:pPr>
        <w:pStyle w:val="Textoindependiente"/>
        <w:spacing w:before="82"/>
        <w:rPr>
          <w:sz w:val="15"/>
        </w:rPr>
      </w:pPr>
    </w:p>
    <w:p w14:paraId="6FB88FC9" w14:textId="77777777" w:rsidR="0014798C" w:rsidRDefault="004E1F0B">
      <w:pPr>
        <w:spacing w:line="348" w:lineRule="auto"/>
        <w:ind w:left="1105" w:right="1369" w:firstLine="3"/>
        <w:rPr>
          <w:sz w:val="15"/>
        </w:rPr>
      </w:pPr>
      <w:r>
        <w:rPr>
          <w:sz w:val="15"/>
        </w:rPr>
        <w:t>Se</w:t>
      </w:r>
      <w:r>
        <w:rPr>
          <w:spacing w:val="-2"/>
          <w:sz w:val="15"/>
        </w:rPr>
        <w:t xml:space="preserve"> </w:t>
      </w:r>
      <w:r>
        <w:rPr>
          <w:sz w:val="15"/>
        </w:rPr>
        <w:t>ha</w:t>
      </w:r>
      <w:r>
        <w:rPr>
          <w:spacing w:val="-2"/>
          <w:sz w:val="15"/>
        </w:rPr>
        <w:t xml:space="preserve"> </w:t>
      </w:r>
      <w:r>
        <w:rPr>
          <w:sz w:val="15"/>
        </w:rPr>
        <w:t>llevado</w:t>
      </w:r>
      <w:r>
        <w:rPr>
          <w:spacing w:val="-2"/>
          <w:sz w:val="15"/>
        </w:rPr>
        <w:t xml:space="preserve"> </w:t>
      </w:r>
      <w:r>
        <w:rPr>
          <w:sz w:val="15"/>
        </w:rPr>
        <w:t>a</w:t>
      </w:r>
      <w:r>
        <w:rPr>
          <w:spacing w:val="-2"/>
          <w:sz w:val="15"/>
        </w:rPr>
        <w:t xml:space="preserve"> </w:t>
      </w:r>
      <w:r>
        <w:rPr>
          <w:sz w:val="15"/>
        </w:rPr>
        <w:t>cabo</w:t>
      </w:r>
      <w:r>
        <w:rPr>
          <w:spacing w:val="-2"/>
          <w:sz w:val="15"/>
        </w:rPr>
        <w:t xml:space="preserve"> </w:t>
      </w:r>
      <w:r>
        <w:rPr>
          <w:sz w:val="15"/>
        </w:rPr>
        <w:t>una</w:t>
      </w:r>
      <w:r>
        <w:rPr>
          <w:spacing w:val="-2"/>
          <w:sz w:val="15"/>
        </w:rPr>
        <w:t xml:space="preserve"> </w:t>
      </w:r>
      <w:r>
        <w:rPr>
          <w:sz w:val="15"/>
        </w:rPr>
        <w:t>extensa</w:t>
      </w:r>
      <w:r>
        <w:rPr>
          <w:spacing w:val="-2"/>
          <w:sz w:val="15"/>
        </w:rPr>
        <w:t xml:space="preserve"> </w:t>
      </w:r>
      <w:r>
        <w:rPr>
          <w:sz w:val="15"/>
        </w:rPr>
        <w:t>labor</w:t>
      </w:r>
      <w:r>
        <w:rPr>
          <w:spacing w:val="-2"/>
          <w:sz w:val="15"/>
        </w:rPr>
        <w:t xml:space="preserve"> </w:t>
      </w:r>
      <w:r>
        <w:rPr>
          <w:sz w:val="15"/>
        </w:rPr>
        <w:t>para</w:t>
      </w:r>
      <w:r>
        <w:rPr>
          <w:spacing w:val="-2"/>
          <w:sz w:val="15"/>
        </w:rPr>
        <w:t xml:space="preserve"> </w:t>
      </w:r>
      <w:r>
        <w:rPr>
          <w:sz w:val="15"/>
        </w:rPr>
        <w:t>proporcionar</w:t>
      </w:r>
      <w:r>
        <w:rPr>
          <w:spacing w:val="-2"/>
          <w:sz w:val="15"/>
        </w:rPr>
        <w:t xml:space="preserve"> </w:t>
      </w:r>
      <w:r>
        <w:rPr>
          <w:sz w:val="15"/>
        </w:rPr>
        <w:t>orientación</w:t>
      </w:r>
      <w:r>
        <w:rPr>
          <w:spacing w:val="-2"/>
          <w:sz w:val="15"/>
        </w:rPr>
        <w:t xml:space="preserve"> </w:t>
      </w:r>
      <w:r>
        <w:rPr>
          <w:sz w:val="15"/>
        </w:rPr>
        <w:t>sobre</w:t>
      </w:r>
      <w:r>
        <w:rPr>
          <w:spacing w:val="-2"/>
          <w:sz w:val="15"/>
        </w:rPr>
        <w:t xml:space="preserve"> </w:t>
      </w:r>
      <w:r>
        <w:rPr>
          <w:sz w:val="15"/>
        </w:rPr>
        <w:t>cómo</w:t>
      </w:r>
      <w:r>
        <w:rPr>
          <w:spacing w:val="-2"/>
          <w:sz w:val="15"/>
        </w:rPr>
        <w:t xml:space="preserve"> </w:t>
      </w:r>
      <w:r>
        <w:rPr>
          <w:sz w:val="15"/>
        </w:rPr>
        <w:t>deben</w:t>
      </w:r>
      <w:r>
        <w:rPr>
          <w:spacing w:val="-2"/>
          <w:sz w:val="15"/>
        </w:rPr>
        <w:t xml:space="preserve"> </w:t>
      </w:r>
      <w:r>
        <w:rPr>
          <w:sz w:val="15"/>
        </w:rPr>
        <w:t>entender</w:t>
      </w:r>
      <w:r>
        <w:rPr>
          <w:spacing w:val="-2"/>
          <w:sz w:val="15"/>
        </w:rPr>
        <w:t xml:space="preserve"> </w:t>
      </w:r>
      <w:r>
        <w:rPr>
          <w:sz w:val="15"/>
        </w:rPr>
        <w:t>los</w:t>
      </w:r>
      <w:r>
        <w:rPr>
          <w:spacing w:val="-2"/>
          <w:sz w:val="15"/>
        </w:rPr>
        <w:t xml:space="preserve"> </w:t>
      </w:r>
      <w:r>
        <w:rPr>
          <w:sz w:val="15"/>
        </w:rPr>
        <w:t>Estados</w:t>
      </w:r>
      <w:r>
        <w:rPr>
          <w:spacing w:val="-2"/>
          <w:sz w:val="15"/>
        </w:rPr>
        <w:t xml:space="preserve"> </w:t>
      </w:r>
      <w:r>
        <w:rPr>
          <w:sz w:val="15"/>
        </w:rPr>
        <w:t>si,</w:t>
      </w:r>
      <w:r>
        <w:rPr>
          <w:spacing w:val="-1"/>
          <w:sz w:val="15"/>
        </w:rPr>
        <w:t xml:space="preserve"> </w:t>
      </w:r>
      <w:r>
        <w:rPr>
          <w:sz w:val="15"/>
        </w:rPr>
        <w:t>y</w:t>
      </w:r>
      <w:r>
        <w:rPr>
          <w:spacing w:val="-2"/>
          <w:sz w:val="15"/>
        </w:rPr>
        <w:t xml:space="preserve"> </w:t>
      </w:r>
      <w:r>
        <w:rPr>
          <w:sz w:val="15"/>
        </w:rPr>
        <w:t>en</w:t>
      </w:r>
      <w:r>
        <w:rPr>
          <w:spacing w:val="-2"/>
          <w:sz w:val="15"/>
        </w:rPr>
        <w:t xml:space="preserve"> </w:t>
      </w:r>
      <w:r>
        <w:rPr>
          <w:sz w:val="15"/>
        </w:rPr>
        <w:t>qué</w:t>
      </w:r>
      <w:r>
        <w:rPr>
          <w:spacing w:val="-2"/>
          <w:sz w:val="15"/>
        </w:rPr>
        <w:t xml:space="preserve"> </w:t>
      </w:r>
      <w:r>
        <w:rPr>
          <w:sz w:val="15"/>
        </w:rPr>
        <w:t>circunstancias, el discurso u otras expresiones pueden constituir incitación a la violencia, la discriminación o el odio, lo que dio lugar en particular al Plan de Acción de Rabat.</w:t>
      </w:r>
    </w:p>
    <w:p w14:paraId="1671033D" w14:textId="77777777" w:rsidR="0014798C" w:rsidRDefault="004E1F0B">
      <w:pPr>
        <w:spacing w:before="121" w:line="273" w:lineRule="auto"/>
        <w:ind w:left="1111" w:right="1166" w:hanging="6"/>
        <w:rPr>
          <w:sz w:val="19"/>
        </w:rPr>
      </w:pPr>
      <w:r>
        <w:rPr>
          <w:sz w:val="19"/>
        </w:rPr>
        <w:t>El Plan de Acción de Rabat define los términos “defensa”, “odio” e “incitación” con referencia a las definiciones desarrolladas en los Principios</w:t>
      </w:r>
      <w:r>
        <w:rPr>
          <w:spacing w:val="-1"/>
          <w:sz w:val="19"/>
        </w:rPr>
        <w:t xml:space="preserve"> </w:t>
      </w:r>
      <w:r>
        <w:rPr>
          <w:sz w:val="19"/>
        </w:rPr>
        <w:t>de Camden sobre la libertad de expresión y la igualdad,1164 un documento de mejores</w:t>
      </w:r>
      <w:r>
        <w:rPr>
          <w:spacing w:val="-10"/>
          <w:sz w:val="19"/>
        </w:rPr>
        <w:t xml:space="preserve"> </w:t>
      </w:r>
      <w:r>
        <w:rPr>
          <w:sz w:val="19"/>
        </w:rPr>
        <w:t>prácticas</w:t>
      </w:r>
      <w:r>
        <w:rPr>
          <w:spacing w:val="-10"/>
          <w:sz w:val="19"/>
        </w:rPr>
        <w:t xml:space="preserve"> </w:t>
      </w:r>
      <w:r>
        <w:rPr>
          <w:sz w:val="19"/>
        </w:rPr>
        <w:t>internacionales</w:t>
      </w:r>
      <w:r>
        <w:rPr>
          <w:spacing w:val="-11"/>
          <w:sz w:val="19"/>
        </w:rPr>
        <w:t xml:space="preserve"> </w:t>
      </w:r>
      <w:r>
        <w:rPr>
          <w:sz w:val="19"/>
        </w:rPr>
        <w:t>desarrollado</w:t>
      </w:r>
      <w:r>
        <w:rPr>
          <w:spacing w:val="-10"/>
          <w:sz w:val="19"/>
        </w:rPr>
        <w:t xml:space="preserve"> </w:t>
      </w:r>
      <w:r>
        <w:rPr>
          <w:sz w:val="19"/>
        </w:rPr>
        <w:t>por</w:t>
      </w:r>
      <w:r>
        <w:rPr>
          <w:spacing w:val="-10"/>
          <w:sz w:val="19"/>
        </w:rPr>
        <w:t xml:space="preserve"> </w:t>
      </w:r>
      <w:r>
        <w:rPr>
          <w:sz w:val="19"/>
        </w:rPr>
        <w:t>expertos</w:t>
      </w:r>
      <w:r>
        <w:rPr>
          <w:spacing w:val="-10"/>
          <w:sz w:val="19"/>
        </w:rPr>
        <w:t xml:space="preserve"> </w:t>
      </w:r>
      <w:r>
        <w:rPr>
          <w:sz w:val="19"/>
        </w:rPr>
        <w:t>en</w:t>
      </w:r>
      <w:r>
        <w:rPr>
          <w:spacing w:val="-10"/>
          <w:sz w:val="19"/>
        </w:rPr>
        <w:t xml:space="preserve"> </w:t>
      </w:r>
      <w:r>
        <w:rPr>
          <w:sz w:val="19"/>
        </w:rPr>
        <w:t>los</w:t>
      </w:r>
      <w:r>
        <w:rPr>
          <w:spacing w:val="-10"/>
          <w:sz w:val="19"/>
        </w:rPr>
        <w:t xml:space="preserve"> </w:t>
      </w:r>
      <w:r>
        <w:rPr>
          <w:sz w:val="19"/>
        </w:rPr>
        <w:t>derechos</w:t>
      </w:r>
      <w:r>
        <w:rPr>
          <w:spacing w:val="-10"/>
          <w:sz w:val="19"/>
        </w:rPr>
        <w:t xml:space="preserve"> </w:t>
      </w:r>
      <w:r>
        <w:rPr>
          <w:sz w:val="19"/>
        </w:rPr>
        <w:t>de</w:t>
      </w:r>
      <w:r>
        <w:rPr>
          <w:spacing w:val="-10"/>
          <w:sz w:val="19"/>
        </w:rPr>
        <w:t xml:space="preserve"> </w:t>
      </w:r>
      <w:r>
        <w:rPr>
          <w:sz w:val="19"/>
        </w:rPr>
        <w:t>igualdad</w:t>
      </w:r>
      <w:r>
        <w:rPr>
          <w:spacing w:val="-10"/>
          <w:sz w:val="19"/>
        </w:rPr>
        <w:t xml:space="preserve"> </w:t>
      </w:r>
      <w:r>
        <w:rPr>
          <w:sz w:val="19"/>
        </w:rPr>
        <w:t>y</w:t>
      </w:r>
      <w:r>
        <w:rPr>
          <w:spacing w:val="-10"/>
          <w:sz w:val="19"/>
        </w:rPr>
        <w:t xml:space="preserve"> </w:t>
      </w:r>
      <w:r>
        <w:rPr>
          <w:sz w:val="19"/>
        </w:rPr>
        <w:t>libertad</w:t>
      </w:r>
      <w:r>
        <w:rPr>
          <w:spacing w:val="-10"/>
          <w:sz w:val="19"/>
        </w:rPr>
        <w:t xml:space="preserve"> </w:t>
      </w:r>
      <w:r>
        <w:rPr>
          <w:sz w:val="19"/>
        </w:rPr>
        <w:t>de</w:t>
      </w:r>
      <w:r>
        <w:rPr>
          <w:spacing w:val="-10"/>
          <w:sz w:val="19"/>
        </w:rPr>
        <w:t xml:space="preserve"> </w:t>
      </w:r>
      <w:r>
        <w:rPr>
          <w:sz w:val="19"/>
        </w:rPr>
        <w:t>expresión.</w:t>
      </w:r>
    </w:p>
    <w:p w14:paraId="08960053" w14:textId="77777777" w:rsidR="0014798C" w:rsidRDefault="004E1F0B">
      <w:pPr>
        <w:spacing w:before="50" w:line="348" w:lineRule="auto"/>
        <w:ind w:left="1107" w:right="1272" w:hanging="1"/>
        <w:rPr>
          <w:sz w:val="15"/>
        </w:rPr>
      </w:pPr>
      <w:r>
        <w:rPr>
          <w:sz w:val="15"/>
        </w:rPr>
        <w:t>En consecuencia, señala que “odio” y “hostilidad” se refieren a “emociones intensas e irracionales de oprobio, enemistad y odio hacia el grupo</w:t>
      </w:r>
      <w:r>
        <w:rPr>
          <w:spacing w:val="-10"/>
          <w:sz w:val="15"/>
        </w:rPr>
        <w:t xml:space="preserve"> </w:t>
      </w:r>
      <w:proofErr w:type="gramStart"/>
      <w:r>
        <w:rPr>
          <w:sz w:val="15"/>
        </w:rPr>
        <w:t>objetivo”;</w:t>
      </w:r>
      <w:proofErr w:type="gramEnd"/>
      <w:r>
        <w:rPr>
          <w:spacing w:val="-9"/>
          <w:sz w:val="15"/>
        </w:rPr>
        <w:t xml:space="preserve"> </w:t>
      </w:r>
      <w:r>
        <w:rPr>
          <w:sz w:val="15"/>
        </w:rPr>
        <w:t>“debe</w:t>
      </w:r>
      <w:r>
        <w:rPr>
          <w:spacing w:val="-10"/>
          <w:sz w:val="15"/>
        </w:rPr>
        <w:t xml:space="preserve"> </w:t>
      </w:r>
      <w:r>
        <w:rPr>
          <w:sz w:val="15"/>
        </w:rPr>
        <w:t>entenderse</w:t>
      </w:r>
      <w:r>
        <w:rPr>
          <w:spacing w:val="-10"/>
          <w:sz w:val="15"/>
        </w:rPr>
        <w:t xml:space="preserve"> </w:t>
      </w:r>
      <w:r>
        <w:rPr>
          <w:sz w:val="15"/>
        </w:rPr>
        <w:t>que</w:t>
      </w:r>
      <w:r>
        <w:rPr>
          <w:spacing w:val="-10"/>
          <w:sz w:val="15"/>
        </w:rPr>
        <w:t xml:space="preserve"> </w:t>
      </w:r>
      <w:r>
        <w:rPr>
          <w:sz w:val="15"/>
        </w:rPr>
        <w:t>“defensa”</w:t>
      </w:r>
      <w:r>
        <w:rPr>
          <w:spacing w:val="-10"/>
          <w:sz w:val="15"/>
        </w:rPr>
        <w:t xml:space="preserve"> </w:t>
      </w:r>
      <w:r>
        <w:rPr>
          <w:sz w:val="15"/>
        </w:rPr>
        <w:t>requiere</w:t>
      </w:r>
      <w:r>
        <w:rPr>
          <w:spacing w:val="-10"/>
          <w:sz w:val="15"/>
        </w:rPr>
        <w:t xml:space="preserve"> </w:t>
      </w:r>
      <w:r>
        <w:rPr>
          <w:sz w:val="15"/>
        </w:rPr>
        <w:t>una</w:t>
      </w:r>
      <w:r>
        <w:rPr>
          <w:spacing w:val="-10"/>
          <w:sz w:val="15"/>
        </w:rPr>
        <w:t xml:space="preserve"> </w:t>
      </w:r>
      <w:r>
        <w:rPr>
          <w:sz w:val="15"/>
        </w:rPr>
        <w:t>intención</w:t>
      </w:r>
      <w:r>
        <w:rPr>
          <w:spacing w:val="-10"/>
          <w:sz w:val="15"/>
        </w:rPr>
        <w:t xml:space="preserve"> </w:t>
      </w:r>
      <w:r>
        <w:rPr>
          <w:sz w:val="15"/>
        </w:rPr>
        <w:t>de</w:t>
      </w:r>
      <w:r>
        <w:rPr>
          <w:spacing w:val="-10"/>
          <w:sz w:val="15"/>
        </w:rPr>
        <w:t xml:space="preserve"> </w:t>
      </w:r>
      <w:r>
        <w:rPr>
          <w:sz w:val="15"/>
        </w:rPr>
        <w:t>promover</w:t>
      </w:r>
      <w:r>
        <w:rPr>
          <w:spacing w:val="-10"/>
          <w:sz w:val="15"/>
        </w:rPr>
        <w:t xml:space="preserve"> </w:t>
      </w:r>
      <w:r>
        <w:rPr>
          <w:sz w:val="15"/>
        </w:rPr>
        <w:t>públicamente</w:t>
      </w:r>
      <w:r>
        <w:rPr>
          <w:spacing w:val="-10"/>
          <w:sz w:val="15"/>
        </w:rPr>
        <w:t xml:space="preserve"> </w:t>
      </w:r>
      <w:r>
        <w:rPr>
          <w:sz w:val="15"/>
        </w:rPr>
        <w:t>el</w:t>
      </w:r>
      <w:r>
        <w:rPr>
          <w:spacing w:val="-10"/>
          <w:sz w:val="15"/>
        </w:rPr>
        <w:t xml:space="preserve"> </w:t>
      </w:r>
      <w:r>
        <w:rPr>
          <w:sz w:val="15"/>
        </w:rPr>
        <w:t>odio</w:t>
      </w:r>
      <w:r>
        <w:rPr>
          <w:spacing w:val="-10"/>
          <w:sz w:val="15"/>
        </w:rPr>
        <w:t xml:space="preserve"> </w:t>
      </w:r>
      <w:r>
        <w:rPr>
          <w:sz w:val="15"/>
        </w:rPr>
        <w:t>hacia</w:t>
      </w:r>
      <w:r>
        <w:rPr>
          <w:spacing w:val="-10"/>
          <w:sz w:val="15"/>
        </w:rPr>
        <w:t xml:space="preserve"> </w:t>
      </w:r>
      <w:r>
        <w:rPr>
          <w:sz w:val="15"/>
        </w:rPr>
        <w:t>el</w:t>
      </w:r>
      <w:r>
        <w:rPr>
          <w:spacing w:val="-10"/>
          <w:sz w:val="15"/>
        </w:rPr>
        <w:t xml:space="preserve"> </w:t>
      </w:r>
      <w:r>
        <w:rPr>
          <w:sz w:val="15"/>
        </w:rPr>
        <w:t>grupo</w:t>
      </w:r>
      <w:r>
        <w:rPr>
          <w:spacing w:val="-10"/>
          <w:sz w:val="15"/>
        </w:rPr>
        <w:t xml:space="preserve"> </w:t>
      </w:r>
      <w:r>
        <w:rPr>
          <w:sz w:val="15"/>
        </w:rPr>
        <w:t>objetivo”;</w:t>
      </w:r>
      <w:r>
        <w:rPr>
          <w:spacing w:val="-9"/>
          <w:sz w:val="15"/>
        </w:rPr>
        <w:t xml:space="preserve"> </w:t>
      </w:r>
      <w:r>
        <w:rPr>
          <w:sz w:val="15"/>
        </w:rPr>
        <w:t>e “incitación” se refiere a “declaraciones sobre grupos nacionales, raciales o religiosos que crean un riesgo inminente de discriminación, hostilidad</w:t>
      </w:r>
      <w:r>
        <w:rPr>
          <w:spacing w:val="-2"/>
          <w:sz w:val="15"/>
        </w:rPr>
        <w:t xml:space="preserve"> </w:t>
      </w:r>
      <w:r>
        <w:rPr>
          <w:sz w:val="15"/>
        </w:rPr>
        <w:t>o</w:t>
      </w:r>
      <w:r>
        <w:rPr>
          <w:spacing w:val="-2"/>
          <w:sz w:val="15"/>
        </w:rPr>
        <w:t xml:space="preserve"> </w:t>
      </w:r>
      <w:r>
        <w:rPr>
          <w:sz w:val="15"/>
        </w:rPr>
        <w:t>violencia</w:t>
      </w:r>
      <w:r>
        <w:rPr>
          <w:spacing w:val="-2"/>
          <w:sz w:val="15"/>
        </w:rPr>
        <w:t xml:space="preserve"> </w:t>
      </w:r>
      <w:r>
        <w:rPr>
          <w:sz w:val="15"/>
        </w:rPr>
        <w:t>contra</w:t>
      </w:r>
      <w:r>
        <w:rPr>
          <w:spacing w:val="-2"/>
          <w:sz w:val="15"/>
        </w:rPr>
        <w:t xml:space="preserve"> </w:t>
      </w:r>
      <w:r>
        <w:rPr>
          <w:sz w:val="15"/>
        </w:rPr>
        <w:t>personas</w:t>
      </w:r>
      <w:r>
        <w:rPr>
          <w:spacing w:val="-2"/>
          <w:sz w:val="15"/>
        </w:rPr>
        <w:t xml:space="preserve"> </w:t>
      </w:r>
      <w:r>
        <w:rPr>
          <w:sz w:val="15"/>
        </w:rPr>
        <w:t>pertenecientes</w:t>
      </w:r>
      <w:r>
        <w:rPr>
          <w:spacing w:val="-2"/>
          <w:sz w:val="15"/>
        </w:rPr>
        <w:t xml:space="preserve"> </w:t>
      </w:r>
      <w:r>
        <w:rPr>
          <w:sz w:val="15"/>
        </w:rPr>
        <w:t>a</w:t>
      </w:r>
      <w:r>
        <w:rPr>
          <w:spacing w:val="-2"/>
          <w:sz w:val="15"/>
        </w:rPr>
        <w:t xml:space="preserve"> </w:t>
      </w:r>
      <w:r>
        <w:rPr>
          <w:sz w:val="15"/>
        </w:rPr>
        <w:t>esos</w:t>
      </w:r>
      <w:r>
        <w:rPr>
          <w:spacing w:val="-2"/>
          <w:sz w:val="15"/>
        </w:rPr>
        <w:t xml:space="preserve"> </w:t>
      </w:r>
      <w:r>
        <w:rPr>
          <w:sz w:val="15"/>
        </w:rPr>
        <w:t>grupos”.1165</w:t>
      </w:r>
      <w:r>
        <w:rPr>
          <w:spacing w:val="-2"/>
          <w:sz w:val="15"/>
        </w:rPr>
        <w:t xml:space="preserve"> </w:t>
      </w:r>
      <w:r>
        <w:rPr>
          <w:sz w:val="15"/>
        </w:rPr>
        <w:t>El</w:t>
      </w:r>
      <w:r>
        <w:rPr>
          <w:spacing w:val="-2"/>
          <w:sz w:val="15"/>
        </w:rPr>
        <w:t xml:space="preserve"> </w:t>
      </w:r>
      <w:r>
        <w:rPr>
          <w:sz w:val="15"/>
        </w:rPr>
        <w:t>Plan</w:t>
      </w:r>
      <w:r>
        <w:rPr>
          <w:spacing w:val="-2"/>
          <w:sz w:val="15"/>
        </w:rPr>
        <w:t xml:space="preserve"> </w:t>
      </w:r>
      <w:r>
        <w:rPr>
          <w:sz w:val="15"/>
        </w:rPr>
        <w:t>de</w:t>
      </w:r>
      <w:r>
        <w:rPr>
          <w:spacing w:val="-2"/>
          <w:sz w:val="15"/>
        </w:rPr>
        <w:t xml:space="preserve"> </w:t>
      </w:r>
      <w:r>
        <w:rPr>
          <w:sz w:val="15"/>
        </w:rPr>
        <w:t>Acción</w:t>
      </w:r>
      <w:r>
        <w:rPr>
          <w:spacing w:val="-2"/>
          <w:sz w:val="15"/>
        </w:rPr>
        <w:t xml:space="preserve"> </w:t>
      </w:r>
      <w:r>
        <w:rPr>
          <w:sz w:val="15"/>
        </w:rPr>
        <w:t>de</w:t>
      </w:r>
      <w:r>
        <w:rPr>
          <w:spacing w:val="-2"/>
          <w:sz w:val="15"/>
        </w:rPr>
        <w:t xml:space="preserve"> </w:t>
      </w:r>
      <w:r>
        <w:rPr>
          <w:sz w:val="15"/>
        </w:rPr>
        <w:t>Rabat</w:t>
      </w:r>
      <w:r>
        <w:rPr>
          <w:spacing w:val="-1"/>
          <w:sz w:val="15"/>
        </w:rPr>
        <w:t xml:space="preserve"> </w:t>
      </w:r>
      <w:r>
        <w:rPr>
          <w:sz w:val="15"/>
        </w:rPr>
        <w:t>establece</w:t>
      </w:r>
      <w:r>
        <w:rPr>
          <w:spacing w:val="-2"/>
          <w:sz w:val="15"/>
        </w:rPr>
        <w:t xml:space="preserve"> </w:t>
      </w:r>
      <w:r>
        <w:rPr>
          <w:sz w:val="15"/>
        </w:rPr>
        <w:t>además</w:t>
      </w:r>
      <w:r>
        <w:rPr>
          <w:spacing w:val="-2"/>
          <w:sz w:val="15"/>
        </w:rPr>
        <w:t xml:space="preserve"> </w:t>
      </w:r>
      <w:r>
        <w:rPr>
          <w:sz w:val="15"/>
        </w:rPr>
        <w:t>que:</w:t>
      </w:r>
      <w:r>
        <w:rPr>
          <w:spacing w:val="-1"/>
          <w:sz w:val="15"/>
        </w:rPr>
        <w:t xml:space="preserve"> </w:t>
      </w:r>
      <w:r>
        <w:rPr>
          <w:sz w:val="15"/>
        </w:rPr>
        <w:t>“Los</w:t>
      </w:r>
      <w:r>
        <w:rPr>
          <w:spacing w:val="-2"/>
          <w:sz w:val="15"/>
        </w:rPr>
        <w:t xml:space="preserve"> </w:t>
      </w:r>
      <w:r>
        <w:rPr>
          <w:sz w:val="15"/>
        </w:rPr>
        <w:t>Estados deben adoptar medidas integrales contra -legislación contra la discriminación que incluya medidas preventivas y punitivas para combatir eficazmente la incitación al odio.”1166</w:t>
      </w:r>
    </w:p>
    <w:p w14:paraId="7D97165D" w14:textId="77777777" w:rsidR="0014798C" w:rsidRDefault="0014798C">
      <w:pPr>
        <w:pStyle w:val="Textoindependiente"/>
        <w:rPr>
          <w:sz w:val="15"/>
        </w:rPr>
      </w:pPr>
    </w:p>
    <w:p w14:paraId="2841E00D" w14:textId="77777777" w:rsidR="0014798C" w:rsidRDefault="0014798C">
      <w:pPr>
        <w:pStyle w:val="Textoindependiente"/>
        <w:rPr>
          <w:sz w:val="15"/>
        </w:rPr>
      </w:pPr>
    </w:p>
    <w:p w14:paraId="023D2CB7" w14:textId="77777777" w:rsidR="0014798C" w:rsidRDefault="0014798C">
      <w:pPr>
        <w:pStyle w:val="Textoindependiente"/>
        <w:rPr>
          <w:sz w:val="15"/>
        </w:rPr>
      </w:pPr>
    </w:p>
    <w:p w14:paraId="7FE921B9" w14:textId="77777777" w:rsidR="0014798C" w:rsidRDefault="0014798C">
      <w:pPr>
        <w:pStyle w:val="Textoindependiente"/>
        <w:spacing w:before="27"/>
        <w:rPr>
          <w:sz w:val="15"/>
        </w:rPr>
      </w:pPr>
    </w:p>
    <w:p w14:paraId="2DBFADB9" w14:textId="77777777" w:rsidR="0014798C" w:rsidRDefault="004E1F0B">
      <w:pPr>
        <w:ind w:left="1331"/>
        <w:rPr>
          <w:sz w:val="15"/>
        </w:rPr>
      </w:pPr>
      <w:r>
        <w:rPr>
          <w:noProof/>
        </w:rPr>
        <w:drawing>
          <wp:anchor distT="0" distB="0" distL="0" distR="0" simplePos="0" relativeHeight="251658489" behindDoc="1" locked="0" layoutInCell="1" allowOverlap="1" wp14:anchorId="50C96779" wp14:editId="599373AF">
            <wp:simplePos x="0" y="0"/>
            <wp:positionH relativeFrom="page">
              <wp:posOffset>813154</wp:posOffset>
            </wp:positionH>
            <wp:positionV relativeFrom="paragraph">
              <wp:posOffset>-172978</wp:posOffset>
            </wp:positionV>
            <wp:extent cx="5943667" cy="4565246"/>
            <wp:effectExtent l="0" t="0" r="0" b="0"/>
            <wp:wrapNone/>
            <wp:docPr id="358" name="Image 35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58" name="Image 358"/>
                    <pic:cNvPicPr/>
                  </pic:nvPicPr>
                  <pic:blipFill>
                    <a:blip r:embed="rId329" cstate="print"/>
                    <a:stretch>
                      <a:fillRect/>
                    </a:stretch>
                  </pic:blipFill>
                  <pic:spPr>
                    <a:xfrm>
                      <a:off x="0" y="0"/>
                      <a:ext cx="5943667" cy="4565246"/>
                    </a:xfrm>
                    <a:prstGeom prst="rect">
                      <a:avLst/>
                    </a:prstGeom>
                  </pic:spPr>
                </pic:pic>
              </a:graphicData>
            </a:graphic>
          </wp:anchor>
        </w:drawing>
      </w:r>
      <w:r>
        <w:rPr>
          <w:sz w:val="15"/>
        </w:rPr>
        <w:t>LA</w:t>
      </w:r>
      <w:r>
        <w:rPr>
          <w:spacing w:val="-6"/>
          <w:sz w:val="15"/>
        </w:rPr>
        <w:t xml:space="preserve"> </w:t>
      </w:r>
      <w:r>
        <w:rPr>
          <w:sz w:val="15"/>
        </w:rPr>
        <w:t>PRUEBA</w:t>
      </w:r>
      <w:r>
        <w:rPr>
          <w:spacing w:val="-3"/>
          <w:sz w:val="15"/>
        </w:rPr>
        <w:t xml:space="preserve"> </w:t>
      </w:r>
      <w:r>
        <w:rPr>
          <w:sz w:val="15"/>
        </w:rPr>
        <w:t>DE</w:t>
      </w:r>
      <w:r>
        <w:rPr>
          <w:spacing w:val="-4"/>
          <w:sz w:val="15"/>
        </w:rPr>
        <w:t xml:space="preserve"> </w:t>
      </w:r>
      <w:r>
        <w:rPr>
          <w:sz w:val="15"/>
        </w:rPr>
        <w:t>UMBRAL</w:t>
      </w:r>
      <w:r>
        <w:rPr>
          <w:spacing w:val="-4"/>
          <w:sz w:val="15"/>
        </w:rPr>
        <w:t xml:space="preserve"> </w:t>
      </w:r>
      <w:r>
        <w:rPr>
          <w:sz w:val="15"/>
        </w:rPr>
        <w:t>EN</w:t>
      </w:r>
      <w:r>
        <w:rPr>
          <w:spacing w:val="-3"/>
          <w:sz w:val="15"/>
        </w:rPr>
        <w:t xml:space="preserve"> </w:t>
      </w:r>
      <w:r>
        <w:rPr>
          <w:sz w:val="15"/>
        </w:rPr>
        <w:t>SEIS</w:t>
      </w:r>
      <w:r>
        <w:rPr>
          <w:spacing w:val="-4"/>
          <w:sz w:val="15"/>
        </w:rPr>
        <w:t xml:space="preserve"> </w:t>
      </w:r>
      <w:r>
        <w:rPr>
          <w:sz w:val="15"/>
        </w:rPr>
        <w:t>PARTES</w:t>
      </w:r>
      <w:r>
        <w:rPr>
          <w:spacing w:val="-4"/>
          <w:sz w:val="15"/>
        </w:rPr>
        <w:t xml:space="preserve"> </w:t>
      </w:r>
      <w:r>
        <w:rPr>
          <w:sz w:val="15"/>
        </w:rPr>
        <w:t>DEL</w:t>
      </w:r>
      <w:r>
        <w:rPr>
          <w:spacing w:val="-4"/>
          <w:sz w:val="15"/>
        </w:rPr>
        <w:t xml:space="preserve"> </w:t>
      </w:r>
      <w:r>
        <w:rPr>
          <w:sz w:val="15"/>
        </w:rPr>
        <w:t>PLAN</w:t>
      </w:r>
      <w:r>
        <w:rPr>
          <w:spacing w:val="-3"/>
          <w:sz w:val="15"/>
        </w:rPr>
        <w:t xml:space="preserve"> </w:t>
      </w:r>
      <w:r>
        <w:rPr>
          <w:sz w:val="15"/>
        </w:rPr>
        <w:t>DE</w:t>
      </w:r>
      <w:r>
        <w:rPr>
          <w:spacing w:val="-4"/>
          <w:sz w:val="15"/>
        </w:rPr>
        <w:t xml:space="preserve"> </w:t>
      </w:r>
      <w:r>
        <w:rPr>
          <w:sz w:val="15"/>
        </w:rPr>
        <w:t>ACCIÓN</w:t>
      </w:r>
      <w:r>
        <w:rPr>
          <w:spacing w:val="-4"/>
          <w:sz w:val="15"/>
        </w:rPr>
        <w:t xml:space="preserve"> </w:t>
      </w:r>
      <w:r>
        <w:rPr>
          <w:sz w:val="15"/>
        </w:rPr>
        <w:t>DE</w:t>
      </w:r>
      <w:r>
        <w:rPr>
          <w:spacing w:val="-3"/>
          <w:sz w:val="15"/>
        </w:rPr>
        <w:t xml:space="preserve"> </w:t>
      </w:r>
      <w:r>
        <w:rPr>
          <w:spacing w:val="-2"/>
          <w:sz w:val="15"/>
        </w:rPr>
        <w:t>RABAT</w:t>
      </w:r>
    </w:p>
    <w:p w14:paraId="2D7851D3" w14:textId="77777777" w:rsidR="0014798C" w:rsidRDefault="0014798C">
      <w:pPr>
        <w:pStyle w:val="Textoindependiente"/>
        <w:spacing w:before="58"/>
        <w:rPr>
          <w:sz w:val="15"/>
        </w:rPr>
      </w:pPr>
    </w:p>
    <w:p w14:paraId="7BE7C74B" w14:textId="77777777" w:rsidR="0014798C" w:rsidRDefault="004E1F0B">
      <w:pPr>
        <w:spacing w:before="1" w:line="348" w:lineRule="auto"/>
        <w:ind w:left="1337" w:right="1463" w:hanging="5"/>
        <w:rPr>
          <w:sz w:val="15"/>
        </w:rPr>
      </w:pPr>
      <w:r>
        <w:rPr>
          <w:sz w:val="15"/>
        </w:rPr>
        <w:t>El</w:t>
      </w:r>
      <w:r>
        <w:rPr>
          <w:spacing w:val="-2"/>
          <w:sz w:val="15"/>
        </w:rPr>
        <w:t xml:space="preserve"> </w:t>
      </w:r>
      <w:r>
        <w:rPr>
          <w:sz w:val="15"/>
        </w:rPr>
        <w:t>Plan</w:t>
      </w:r>
      <w:r>
        <w:rPr>
          <w:spacing w:val="-2"/>
          <w:sz w:val="15"/>
        </w:rPr>
        <w:t xml:space="preserve"> </w:t>
      </w:r>
      <w:r>
        <w:rPr>
          <w:sz w:val="15"/>
        </w:rPr>
        <w:t>de</w:t>
      </w:r>
      <w:r>
        <w:rPr>
          <w:spacing w:val="-2"/>
          <w:sz w:val="15"/>
        </w:rPr>
        <w:t xml:space="preserve"> </w:t>
      </w:r>
      <w:r>
        <w:rPr>
          <w:sz w:val="15"/>
        </w:rPr>
        <w:t>Acción</w:t>
      </w:r>
      <w:r>
        <w:rPr>
          <w:spacing w:val="-2"/>
          <w:sz w:val="15"/>
        </w:rPr>
        <w:t xml:space="preserve"> </w:t>
      </w:r>
      <w:r>
        <w:rPr>
          <w:sz w:val="15"/>
        </w:rPr>
        <w:t>de</w:t>
      </w:r>
      <w:r>
        <w:rPr>
          <w:spacing w:val="-2"/>
          <w:sz w:val="15"/>
        </w:rPr>
        <w:t xml:space="preserve"> </w:t>
      </w:r>
      <w:r>
        <w:rPr>
          <w:sz w:val="15"/>
        </w:rPr>
        <w:t>Rabat</w:t>
      </w:r>
      <w:r>
        <w:rPr>
          <w:spacing w:val="-1"/>
          <w:sz w:val="15"/>
        </w:rPr>
        <w:t xml:space="preserve"> </w:t>
      </w:r>
      <w:r>
        <w:rPr>
          <w:sz w:val="15"/>
        </w:rPr>
        <w:t>señala</w:t>
      </w:r>
      <w:r>
        <w:rPr>
          <w:spacing w:val="-2"/>
          <w:sz w:val="15"/>
        </w:rPr>
        <w:t xml:space="preserve"> </w:t>
      </w:r>
      <w:r>
        <w:rPr>
          <w:sz w:val="15"/>
        </w:rPr>
        <w:t>“que</w:t>
      </w:r>
      <w:r>
        <w:rPr>
          <w:spacing w:val="-2"/>
          <w:sz w:val="15"/>
        </w:rPr>
        <w:t xml:space="preserve"> </w:t>
      </w:r>
      <w:r>
        <w:rPr>
          <w:sz w:val="15"/>
        </w:rPr>
        <w:t>se</w:t>
      </w:r>
      <w:r>
        <w:rPr>
          <w:spacing w:val="-2"/>
          <w:sz w:val="15"/>
        </w:rPr>
        <w:t xml:space="preserve"> </w:t>
      </w:r>
      <w:r>
        <w:rPr>
          <w:sz w:val="15"/>
        </w:rPr>
        <w:t>busque</w:t>
      </w:r>
      <w:r>
        <w:rPr>
          <w:spacing w:val="-2"/>
          <w:sz w:val="15"/>
        </w:rPr>
        <w:t xml:space="preserve"> </w:t>
      </w:r>
      <w:r>
        <w:rPr>
          <w:sz w:val="15"/>
        </w:rPr>
        <w:t>un</w:t>
      </w:r>
      <w:r>
        <w:rPr>
          <w:spacing w:val="-2"/>
          <w:sz w:val="15"/>
        </w:rPr>
        <w:t xml:space="preserve"> </w:t>
      </w:r>
      <w:r>
        <w:rPr>
          <w:sz w:val="15"/>
        </w:rPr>
        <w:t>umbral</w:t>
      </w:r>
      <w:r>
        <w:rPr>
          <w:spacing w:val="-2"/>
          <w:sz w:val="15"/>
        </w:rPr>
        <w:t xml:space="preserve"> </w:t>
      </w:r>
      <w:r>
        <w:rPr>
          <w:sz w:val="15"/>
        </w:rPr>
        <w:t>elevado</w:t>
      </w:r>
      <w:r>
        <w:rPr>
          <w:spacing w:val="-2"/>
          <w:sz w:val="15"/>
        </w:rPr>
        <w:t xml:space="preserve"> </w:t>
      </w:r>
      <w:r>
        <w:rPr>
          <w:sz w:val="15"/>
        </w:rPr>
        <w:t>para</w:t>
      </w:r>
      <w:r>
        <w:rPr>
          <w:spacing w:val="-2"/>
          <w:sz w:val="15"/>
        </w:rPr>
        <w:t xml:space="preserve"> </w:t>
      </w:r>
      <w:r>
        <w:rPr>
          <w:sz w:val="15"/>
        </w:rPr>
        <w:t>definir</w:t>
      </w:r>
      <w:r>
        <w:rPr>
          <w:spacing w:val="-2"/>
          <w:sz w:val="15"/>
        </w:rPr>
        <w:t xml:space="preserve"> </w:t>
      </w:r>
      <w:r>
        <w:rPr>
          <w:sz w:val="15"/>
        </w:rPr>
        <w:t>las</w:t>
      </w:r>
      <w:r>
        <w:rPr>
          <w:spacing w:val="-2"/>
          <w:sz w:val="15"/>
        </w:rPr>
        <w:t xml:space="preserve"> </w:t>
      </w:r>
      <w:r>
        <w:rPr>
          <w:sz w:val="15"/>
        </w:rPr>
        <w:t>restricciones</w:t>
      </w:r>
      <w:r>
        <w:rPr>
          <w:spacing w:val="-2"/>
          <w:sz w:val="15"/>
        </w:rPr>
        <w:t xml:space="preserve"> </w:t>
      </w:r>
      <w:r>
        <w:rPr>
          <w:sz w:val="15"/>
        </w:rPr>
        <w:t>a</w:t>
      </w:r>
      <w:r>
        <w:rPr>
          <w:spacing w:val="-2"/>
          <w:sz w:val="15"/>
        </w:rPr>
        <w:t xml:space="preserve"> </w:t>
      </w:r>
      <w:r>
        <w:rPr>
          <w:sz w:val="15"/>
        </w:rPr>
        <w:t>la</w:t>
      </w:r>
      <w:r>
        <w:rPr>
          <w:spacing w:val="-2"/>
          <w:sz w:val="15"/>
        </w:rPr>
        <w:t xml:space="preserve"> </w:t>
      </w:r>
      <w:r>
        <w:rPr>
          <w:sz w:val="15"/>
        </w:rPr>
        <w:t>libertad</w:t>
      </w:r>
      <w:r>
        <w:rPr>
          <w:spacing w:val="-2"/>
          <w:sz w:val="15"/>
        </w:rPr>
        <w:t xml:space="preserve"> </w:t>
      </w:r>
      <w:r>
        <w:rPr>
          <w:sz w:val="15"/>
        </w:rPr>
        <w:t>de</w:t>
      </w:r>
      <w:r>
        <w:rPr>
          <w:spacing w:val="-2"/>
          <w:sz w:val="15"/>
        </w:rPr>
        <w:t xml:space="preserve"> </w:t>
      </w:r>
      <w:r>
        <w:rPr>
          <w:sz w:val="15"/>
        </w:rPr>
        <w:t>expresión,</w:t>
      </w:r>
      <w:r>
        <w:rPr>
          <w:spacing w:val="-1"/>
          <w:sz w:val="15"/>
        </w:rPr>
        <w:t xml:space="preserve"> </w:t>
      </w:r>
      <w:r>
        <w:rPr>
          <w:sz w:val="15"/>
        </w:rPr>
        <w:t>la incitación al odio y la aplicación del artículo 20”. En este sentido, establece una “prueba de umbral de seis partes… para las expresiones consideradas delitos penales”, que establece lo siguiente:</w:t>
      </w:r>
    </w:p>
    <w:p w14:paraId="05D57891" w14:textId="77777777" w:rsidR="0014798C" w:rsidRDefault="004E1F0B">
      <w:pPr>
        <w:pStyle w:val="Prrafodelista"/>
        <w:numPr>
          <w:ilvl w:val="1"/>
          <w:numId w:val="8"/>
        </w:numPr>
        <w:tabs>
          <w:tab w:val="left" w:pos="1744"/>
          <w:tab w:val="left" w:pos="1896"/>
        </w:tabs>
        <w:spacing w:before="112" w:line="348" w:lineRule="auto"/>
        <w:ind w:right="2187" w:hanging="326"/>
        <w:rPr>
          <w:sz w:val="15"/>
        </w:rPr>
      </w:pPr>
      <w:r>
        <w:rPr>
          <w:sz w:val="15"/>
        </w:rPr>
        <w:t>Contexto: el contexto es de gran importancia a la hora de evaluar si determinadas declaraciones pueden incitar a la discriminación, la hostilidad o la violencia contra el grupo objetivo, y puede tener una relación directa tanto con la intención</w:t>
      </w:r>
      <w:r>
        <w:rPr>
          <w:spacing w:val="-2"/>
          <w:sz w:val="15"/>
        </w:rPr>
        <w:t xml:space="preserve"> </w:t>
      </w:r>
      <w:r>
        <w:rPr>
          <w:sz w:val="15"/>
        </w:rPr>
        <w:t>como</w:t>
      </w:r>
      <w:r>
        <w:rPr>
          <w:spacing w:val="-2"/>
          <w:sz w:val="15"/>
        </w:rPr>
        <w:t xml:space="preserve"> </w:t>
      </w:r>
      <w:r>
        <w:rPr>
          <w:sz w:val="15"/>
        </w:rPr>
        <w:t>con</w:t>
      </w:r>
      <w:r>
        <w:rPr>
          <w:spacing w:val="-2"/>
          <w:sz w:val="15"/>
        </w:rPr>
        <w:t xml:space="preserve"> </w:t>
      </w:r>
      <w:r>
        <w:rPr>
          <w:sz w:val="15"/>
        </w:rPr>
        <w:t>la</w:t>
      </w:r>
      <w:r>
        <w:rPr>
          <w:spacing w:val="-2"/>
          <w:sz w:val="15"/>
        </w:rPr>
        <w:t xml:space="preserve"> </w:t>
      </w:r>
      <w:r>
        <w:rPr>
          <w:sz w:val="15"/>
        </w:rPr>
        <w:t>causalidad.</w:t>
      </w:r>
      <w:r>
        <w:rPr>
          <w:spacing w:val="-1"/>
          <w:sz w:val="15"/>
        </w:rPr>
        <w:t xml:space="preserve"> </w:t>
      </w:r>
      <w:r>
        <w:rPr>
          <w:sz w:val="15"/>
        </w:rPr>
        <w:t>El</w:t>
      </w:r>
      <w:r>
        <w:rPr>
          <w:spacing w:val="-2"/>
          <w:sz w:val="15"/>
        </w:rPr>
        <w:t xml:space="preserve"> </w:t>
      </w:r>
      <w:r>
        <w:rPr>
          <w:sz w:val="15"/>
        </w:rPr>
        <w:t>análisis</w:t>
      </w:r>
      <w:r>
        <w:rPr>
          <w:spacing w:val="-2"/>
          <w:sz w:val="15"/>
        </w:rPr>
        <w:t xml:space="preserve"> </w:t>
      </w:r>
      <w:r>
        <w:rPr>
          <w:sz w:val="15"/>
        </w:rPr>
        <w:t>del</w:t>
      </w:r>
      <w:r>
        <w:rPr>
          <w:spacing w:val="-2"/>
          <w:sz w:val="15"/>
        </w:rPr>
        <w:t xml:space="preserve"> </w:t>
      </w:r>
      <w:r>
        <w:rPr>
          <w:sz w:val="15"/>
        </w:rPr>
        <w:t>contexto</w:t>
      </w:r>
      <w:r>
        <w:rPr>
          <w:spacing w:val="-2"/>
          <w:sz w:val="15"/>
        </w:rPr>
        <w:t xml:space="preserve"> </w:t>
      </w:r>
      <w:r>
        <w:rPr>
          <w:sz w:val="15"/>
        </w:rPr>
        <w:t>debe</w:t>
      </w:r>
      <w:r>
        <w:rPr>
          <w:spacing w:val="-2"/>
          <w:sz w:val="15"/>
        </w:rPr>
        <w:t xml:space="preserve"> </w:t>
      </w:r>
      <w:r>
        <w:rPr>
          <w:sz w:val="15"/>
        </w:rPr>
        <w:t>ubicar</w:t>
      </w:r>
      <w:r>
        <w:rPr>
          <w:spacing w:val="-2"/>
          <w:sz w:val="15"/>
        </w:rPr>
        <w:t xml:space="preserve"> </w:t>
      </w:r>
      <w:r>
        <w:rPr>
          <w:sz w:val="15"/>
        </w:rPr>
        <w:t>el</w:t>
      </w:r>
      <w:r>
        <w:rPr>
          <w:spacing w:val="-2"/>
          <w:sz w:val="15"/>
        </w:rPr>
        <w:t xml:space="preserve"> </w:t>
      </w:r>
      <w:r>
        <w:rPr>
          <w:sz w:val="15"/>
        </w:rPr>
        <w:t>acto</w:t>
      </w:r>
      <w:r>
        <w:rPr>
          <w:spacing w:val="-2"/>
          <w:sz w:val="15"/>
        </w:rPr>
        <w:t xml:space="preserve"> </w:t>
      </w:r>
      <w:r>
        <w:rPr>
          <w:sz w:val="15"/>
        </w:rPr>
        <w:t>de</w:t>
      </w:r>
      <w:r>
        <w:rPr>
          <w:spacing w:val="-2"/>
          <w:sz w:val="15"/>
        </w:rPr>
        <w:t xml:space="preserve"> </w:t>
      </w:r>
      <w:r>
        <w:rPr>
          <w:sz w:val="15"/>
        </w:rPr>
        <w:t>habla</w:t>
      </w:r>
      <w:r>
        <w:rPr>
          <w:spacing w:val="-2"/>
          <w:sz w:val="15"/>
        </w:rPr>
        <w:t xml:space="preserve"> </w:t>
      </w:r>
      <w:r>
        <w:rPr>
          <w:sz w:val="15"/>
        </w:rPr>
        <w:t>dentro</w:t>
      </w:r>
      <w:r>
        <w:rPr>
          <w:spacing w:val="-2"/>
          <w:sz w:val="15"/>
        </w:rPr>
        <w:t xml:space="preserve"> </w:t>
      </w:r>
      <w:r>
        <w:rPr>
          <w:sz w:val="15"/>
        </w:rPr>
        <w:t>del</w:t>
      </w:r>
      <w:r>
        <w:rPr>
          <w:spacing w:val="-2"/>
          <w:sz w:val="15"/>
        </w:rPr>
        <w:t xml:space="preserve"> </w:t>
      </w:r>
      <w:r>
        <w:rPr>
          <w:sz w:val="15"/>
        </w:rPr>
        <w:t>contexto</w:t>
      </w:r>
      <w:r>
        <w:rPr>
          <w:spacing w:val="-2"/>
          <w:sz w:val="15"/>
        </w:rPr>
        <w:t xml:space="preserve"> </w:t>
      </w:r>
      <w:r>
        <w:rPr>
          <w:sz w:val="15"/>
        </w:rPr>
        <w:t>social</w:t>
      </w:r>
      <w:r>
        <w:rPr>
          <w:spacing w:val="-2"/>
          <w:sz w:val="15"/>
        </w:rPr>
        <w:t xml:space="preserve"> </w:t>
      </w:r>
      <w:r>
        <w:rPr>
          <w:sz w:val="15"/>
        </w:rPr>
        <w:t>y político</w:t>
      </w:r>
      <w:r>
        <w:rPr>
          <w:spacing w:val="-3"/>
          <w:sz w:val="15"/>
        </w:rPr>
        <w:t xml:space="preserve"> </w:t>
      </w:r>
      <w:r>
        <w:rPr>
          <w:sz w:val="15"/>
        </w:rPr>
        <w:t>prevaleciente</w:t>
      </w:r>
      <w:r>
        <w:rPr>
          <w:spacing w:val="-3"/>
          <w:sz w:val="15"/>
        </w:rPr>
        <w:t xml:space="preserve"> </w:t>
      </w:r>
      <w:r>
        <w:rPr>
          <w:sz w:val="15"/>
        </w:rPr>
        <w:t>en</w:t>
      </w:r>
      <w:r>
        <w:rPr>
          <w:spacing w:val="-3"/>
          <w:sz w:val="15"/>
        </w:rPr>
        <w:t xml:space="preserve"> </w:t>
      </w:r>
      <w:r>
        <w:rPr>
          <w:sz w:val="15"/>
        </w:rPr>
        <w:t>el</w:t>
      </w:r>
      <w:r>
        <w:rPr>
          <w:spacing w:val="-3"/>
          <w:sz w:val="15"/>
        </w:rPr>
        <w:t xml:space="preserve"> </w:t>
      </w:r>
      <w:r>
        <w:rPr>
          <w:sz w:val="15"/>
        </w:rPr>
        <w:t>momento</w:t>
      </w:r>
      <w:r>
        <w:rPr>
          <w:spacing w:val="-3"/>
          <w:sz w:val="15"/>
        </w:rPr>
        <w:t xml:space="preserve"> </w:t>
      </w:r>
      <w:r>
        <w:rPr>
          <w:sz w:val="15"/>
        </w:rPr>
        <w:t>en</w:t>
      </w:r>
      <w:r>
        <w:rPr>
          <w:spacing w:val="-3"/>
          <w:sz w:val="15"/>
        </w:rPr>
        <w:t xml:space="preserve"> </w:t>
      </w:r>
      <w:r>
        <w:rPr>
          <w:sz w:val="15"/>
        </w:rPr>
        <w:t>que</w:t>
      </w:r>
      <w:r>
        <w:rPr>
          <w:spacing w:val="-3"/>
          <w:sz w:val="15"/>
        </w:rPr>
        <w:t xml:space="preserve"> </w:t>
      </w:r>
      <w:r>
        <w:rPr>
          <w:sz w:val="15"/>
        </w:rPr>
        <w:t>se</w:t>
      </w:r>
      <w:r>
        <w:rPr>
          <w:spacing w:val="-3"/>
          <w:sz w:val="15"/>
        </w:rPr>
        <w:t xml:space="preserve"> </w:t>
      </w:r>
      <w:r>
        <w:rPr>
          <w:sz w:val="15"/>
        </w:rPr>
        <w:t>pronunció</w:t>
      </w:r>
      <w:r>
        <w:rPr>
          <w:spacing w:val="-3"/>
          <w:sz w:val="15"/>
        </w:rPr>
        <w:t xml:space="preserve"> </w:t>
      </w:r>
      <w:r>
        <w:rPr>
          <w:sz w:val="15"/>
        </w:rPr>
        <w:t>y</w:t>
      </w:r>
      <w:r>
        <w:rPr>
          <w:spacing w:val="-3"/>
          <w:sz w:val="15"/>
        </w:rPr>
        <w:t xml:space="preserve"> </w:t>
      </w:r>
      <w:r>
        <w:rPr>
          <w:sz w:val="15"/>
        </w:rPr>
        <w:t>difundió</w:t>
      </w:r>
      <w:r>
        <w:rPr>
          <w:spacing w:val="-3"/>
          <w:sz w:val="15"/>
        </w:rPr>
        <w:t xml:space="preserve"> </w:t>
      </w:r>
      <w:r>
        <w:rPr>
          <w:sz w:val="15"/>
        </w:rPr>
        <w:t>el</w:t>
      </w:r>
      <w:r>
        <w:rPr>
          <w:spacing w:val="-3"/>
          <w:sz w:val="15"/>
        </w:rPr>
        <w:t xml:space="preserve"> </w:t>
      </w:r>
      <w:r>
        <w:rPr>
          <w:sz w:val="15"/>
        </w:rPr>
        <w:t>discurso;</w:t>
      </w:r>
    </w:p>
    <w:p w14:paraId="697F10F0" w14:textId="77777777" w:rsidR="0014798C" w:rsidRDefault="004E1F0B">
      <w:pPr>
        <w:pStyle w:val="Prrafodelista"/>
        <w:numPr>
          <w:ilvl w:val="2"/>
          <w:numId w:val="9"/>
        </w:numPr>
        <w:tabs>
          <w:tab w:val="left" w:pos="1794"/>
          <w:tab w:val="left" w:pos="1901"/>
        </w:tabs>
        <w:spacing w:before="118" w:line="338" w:lineRule="auto"/>
        <w:ind w:left="1901" w:right="1987" w:hanging="331"/>
        <w:jc w:val="both"/>
        <w:rPr>
          <w:sz w:val="15"/>
        </w:rPr>
      </w:pPr>
      <w:r>
        <w:rPr>
          <w:sz w:val="15"/>
        </w:rPr>
        <w:t>Orador:</w:t>
      </w:r>
      <w:r>
        <w:rPr>
          <w:spacing w:val="-1"/>
          <w:sz w:val="15"/>
        </w:rPr>
        <w:t xml:space="preserve"> </w:t>
      </w:r>
      <w:r>
        <w:rPr>
          <w:sz w:val="15"/>
        </w:rPr>
        <w:t>Se</w:t>
      </w:r>
      <w:r>
        <w:rPr>
          <w:spacing w:val="-2"/>
          <w:sz w:val="15"/>
        </w:rPr>
        <w:t xml:space="preserve"> </w:t>
      </w:r>
      <w:r>
        <w:rPr>
          <w:sz w:val="15"/>
        </w:rPr>
        <w:t>debe</w:t>
      </w:r>
      <w:r>
        <w:rPr>
          <w:spacing w:val="-2"/>
          <w:sz w:val="15"/>
        </w:rPr>
        <w:t xml:space="preserve"> </w:t>
      </w:r>
      <w:r>
        <w:rPr>
          <w:sz w:val="15"/>
        </w:rPr>
        <w:t>considerar</w:t>
      </w:r>
      <w:r>
        <w:rPr>
          <w:spacing w:val="-2"/>
          <w:sz w:val="15"/>
        </w:rPr>
        <w:t xml:space="preserve"> </w:t>
      </w:r>
      <w:r>
        <w:rPr>
          <w:sz w:val="15"/>
        </w:rPr>
        <w:t>la</w:t>
      </w:r>
      <w:r>
        <w:rPr>
          <w:spacing w:val="-2"/>
          <w:sz w:val="15"/>
        </w:rPr>
        <w:t xml:space="preserve"> </w:t>
      </w:r>
      <w:r>
        <w:rPr>
          <w:sz w:val="15"/>
        </w:rPr>
        <w:t>posición</w:t>
      </w:r>
      <w:r>
        <w:rPr>
          <w:spacing w:val="-2"/>
          <w:sz w:val="15"/>
        </w:rPr>
        <w:t xml:space="preserve"> </w:t>
      </w:r>
      <w:r>
        <w:rPr>
          <w:sz w:val="15"/>
        </w:rPr>
        <w:t>o</w:t>
      </w:r>
      <w:r>
        <w:rPr>
          <w:spacing w:val="-2"/>
          <w:sz w:val="15"/>
        </w:rPr>
        <w:t xml:space="preserve"> </w:t>
      </w:r>
      <w:r>
        <w:rPr>
          <w:sz w:val="15"/>
        </w:rPr>
        <w:t>estatus</w:t>
      </w:r>
      <w:r>
        <w:rPr>
          <w:spacing w:val="-2"/>
          <w:sz w:val="15"/>
        </w:rPr>
        <w:t xml:space="preserve"> </w:t>
      </w:r>
      <w:r>
        <w:rPr>
          <w:sz w:val="15"/>
        </w:rPr>
        <w:t>del</w:t>
      </w:r>
      <w:r>
        <w:rPr>
          <w:spacing w:val="-2"/>
          <w:sz w:val="15"/>
        </w:rPr>
        <w:t xml:space="preserve"> </w:t>
      </w:r>
      <w:r>
        <w:rPr>
          <w:sz w:val="15"/>
        </w:rPr>
        <w:t>orador</w:t>
      </w:r>
      <w:r>
        <w:rPr>
          <w:spacing w:val="-2"/>
          <w:sz w:val="15"/>
        </w:rPr>
        <w:t xml:space="preserve"> </w:t>
      </w:r>
      <w:r>
        <w:rPr>
          <w:sz w:val="15"/>
        </w:rPr>
        <w:t>en</w:t>
      </w:r>
      <w:r>
        <w:rPr>
          <w:spacing w:val="-2"/>
          <w:sz w:val="15"/>
        </w:rPr>
        <w:t xml:space="preserve"> </w:t>
      </w:r>
      <w:r>
        <w:rPr>
          <w:sz w:val="15"/>
        </w:rPr>
        <w:t>la</w:t>
      </w:r>
      <w:r>
        <w:rPr>
          <w:spacing w:val="-2"/>
          <w:sz w:val="15"/>
        </w:rPr>
        <w:t xml:space="preserve"> </w:t>
      </w:r>
      <w:r>
        <w:rPr>
          <w:sz w:val="15"/>
        </w:rPr>
        <w:t>sociedad,</w:t>
      </w:r>
      <w:r>
        <w:rPr>
          <w:spacing w:val="-1"/>
          <w:sz w:val="15"/>
        </w:rPr>
        <w:t xml:space="preserve"> </w:t>
      </w:r>
      <w:r>
        <w:rPr>
          <w:sz w:val="15"/>
        </w:rPr>
        <w:t>específicamente</w:t>
      </w:r>
      <w:r>
        <w:rPr>
          <w:spacing w:val="-2"/>
          <w:sz w:val="15"/>
        </w:rPr>
        <w:t xml:space="preserve"> </w:t>
      </w:r>
      <w:r>
        <w:rPr>
          <w:sz w:val="15"/>
        </w:rPr>
        <w:t>la</w:t>
      </w:r>
      <w:r>
        <w:rPr>
          <w:spacing w:val="-2"/>
          <w:sz w:val="15"/>
        </w:rPr>
        <w:t xml:space="preserve"> </w:t>
      </w:r>
      <w:r>
        <w:rPr>
          <w:sz w:val="15"/>
        </w:rPr>
        <w:t>posición</w:t>
      </w:r>
      <w:r>
        <w:rPr>
          <w:spacing w:val="-2"/>
          <w:sz w:val="15"/>
        </w:rPr>
        <w:t xml:space="preserve"> </w:t>
      </w:r>
      <w:r>
        <w:rPr>
          <w:sz w:val="15"/>
        </w:rPr>
        <w:t>del</w:t>
      </w:r>
      <w:r>
        <w:rPr>
          <w:spacing w:val="-2"/>
          <w:sz w:val="15"/>
        </w:rPr>
        <w:t xml:space="preserve"> </w:t>
      </w:r>
      <w:r>
        <w:rPr>
          <w:sz w:val="15"/>
        </w:rPr>
        <w:t>individuo</w:t>
      </w:r>
      <w:r>
        <w:rPr>
          <w:spacing w:val="-2"/>
          <w:sz w:val="15"/>
        </w:rPr>
        <w:t xml:space="preserve"> </w:t>
      </w:r>
      <w:r>
        <w:rPr>
          <w:sz w:val="15"/>
        </w:rPr>
        <w:t>u organización</w:t>
      </w:r>
      <w:r>
        <w:rPr>
          <w:spacing w:val="-2"/>
          <w:sz w:val="15"/>
        </w:rPr>
        <w:t xml:space="preserve"> </w:t>
      </w:r>
      <w:r>
        <w:rPr>
          <w:sz w:val="15"/>
        </w:rPr>
        <w:t>en</w:t>
      </w:r>
      <w:r>
        <w:rPr>
          <w:spacing w:val="-3"/>
          <w:sz w:val="15"/>
        </w:rPr>
        <w:t xml:space="preserve"> </w:t>
      </w:r>
      <w:r>
        <w:rPr>
          <w:sz w:val="15"/>
        </w:rPr>
        <w:t>el</w:t>
      </w:r>
      <w:r>
        <w:rPr>
          <w:spacing w:val="-3"/>
          <w:sz w:val="15"/>
        </w:rPr>
        <w:t xml:space="preserve"> </w:t>
      </w:r>
      <w:r>
        <w:rPr>
          <w:sz w:val="15"/>
        </w:rPr>
        <w:t>contexto</w:t>
      </w:r>
      <w:r>
        <w:rPr>
          <w:spacing w:val="-3"/>
          <w:sz w:val="15"/>
        </w:rPr>
        <w:t xml:space="preserve"> </w:t>
      </w:r>
      <w:r>
        <w:rPr>
          <w:sz w:val="15"/>
        </w:rPr>
        <w:t>de</w:t>
      </w:r>
      <w:r>
        <w:rPr>
          <w:spacing w:val="-3"/>
          <w:sz w:val="15"/>
        </w:rPr>
        <w:t xml:space="preserve"> </w:t>
      </w:r>
      <w:r>
        <w:rPr>
          <w:sz w:val="15"/>
        </w:rPr>
        <w:t>la</w:t>
      </w:r>
      <w:r>
        <w:rPr>
          <w:spacing w:val="-3"/>
          <w:sz w:val="15"/>
        </w:rPr>
        <w:t xml:space="preserve"> </w:t>
      </w:r>
      <w:r>
        <w:rPr>
          <w:sz w:val="15"/>
        </w:rPr>
        <w:t>audiencia</w:t>
      </w:r>
      <w:r>
        <w:rPr>
          <w:spacing w:val="-3"/>
          <w:sz w:val="15"/>
        </w:rPr>
        <w:t xml:space="preserve"> </w:t>
      </w:r>
      <w:r>
        <w:rPr>
          <w:sz w:val="15"/>
        </w:rPr>
        <w:t>a</w:t>
      </w:r>
      <w:r>
        <w:rPr>
          <w:spacing w:val="-3"/>
          <w:sz w:val="15"/>
        </w:rPr>
        <w:t xml:space="preserve"> </w:t>
      </w:r>
      <w:r>
        <w:rPr>
          <w:sz w:val="15"/>
        </w:rPr>
        <w:t>la</w:t>
      </w:r>
      <w:r>
        <w:rPr>
          <w:spacing w:val="-3"/>
          <w:sz w:val="15"/>
        </w:rPr>
        <w:t xml:space="preserve"> </w:t>
      </w:r>
      <w:r>
        <w:rPr>
          <w:sz w:val="15"/>
        </w:rPr>
        <w:t>que</w:t>
      </w:r>
      <w:r>
        <w:rPr>
          <w:spacing w:val="-3"/>
          <w:sz w:val="15"/>
        </w:rPr>
        <w:t xml:space="preserve"> </w:t>
      </w:r>
      <w:r>
        <w:rPr>
          <w:sz w:val="15"/>
        </w:rPr>
        <w:t>se</w:t>
      </w:r>
      <w:r>
        <w:rPr>
          <w:spacing w:val="-3"/>
          <w:sz w:val="15"/>
        </w:rPr>
        <w:t xml:space="preserve"> </w:t>
      </w:r>
      <w:r>
        <w:rPr>
          <w:sz w:val="15"/>
        </w:rPr>
        <w:t>dirige</w:t>
      </w:r>
      <w:r>
        <w:rPr>
          <w:spacing w:val="-3"/>
          <w:sz w:val="15"/>
        </w:rPr>
        <w:t xml:space="preserve"> </w:t>
      </w:r>
      <w:r>
        <w:rPr>
          <w:sz w:val="15"/>
        </w:rPr>
        <w:t>el</w:t>
      </w:r>
      <w:r>
        <w:rPr>
          <w:spacing w:val="-3"/>
          <w:sz w:val="15"/>
        </w:rPr>
        <w:t xml:space="preserve"> </w:t>
      </w:r>
      <w:r>
        <w:rPr>
          <w:sz w:val="15"/>
        </w:rPr>
        <w:t>discurso;</w:t>
      </w:r>
    </w:p>
    <w:p w14:paraId="4AB9C537" w14:textId="77777777" w:rsidR="0014798C" w:rsidRDefault="0014798C">
      <w:pPr>
        <w:pStyle w:val="Textoindependiente"/>
        <w:rPr>
          <w:sz w:val="15"/>
        </w:rPr>
      </w:pPr>
    </w:p>
    <w:p w14:paraId="53CFBCC0" w14:textId="77777777" w:rsidR="0014798C" w:rsidRDefault="0014798C">
      <w:pPr>
        <w:pStyle w:val="Textoindependiente"/>
        <w:spacing w:before="25"/>
        <w:rPr>
          <w:sz w:val="15"/>
        </w:rPr>
      </w:pPr>
    </w:p>
    <w:p w14:paraId="6388EF8F" w14:textId="77777777" w:rsidR="0014798C" w:rsidRDefault="004E1F0B">
      <w:pPr>
        <w:pStyle w:val="Prrafodelista"/>
        <w:numPr>
          <w:ilvl w:val="2"/>
          <w:numId w:val="9"/>
        </w:numPr>
        <w:tabs>
          <w:tab w:val="left" w:pos="1785"/>
        </w:tabs>
        <w:ind w:left="1785" w:hanging="215"/>
        <w:jc w:val="left"/>
        <w:rPr>
          <w:sz w:val="15"/>
        </w:rPr>
      </w:pPr>
      <w:r>
        <w:rPr>
          <w:sz w:val="15"/>
        </w:rPr>
        <w:t>Intención:</w:t>
      </w:r>
      <w:r>
        <w:rPr>
          <w:spacing w:val="-6"/>
          <w:sz w:val="15"/>
        </w:rPr>
        <w:t xml:space="preserve"> </w:t>
      </w:r>
      <w:r>
        <w:rPr>
          <w:sz w:val="15"/>
        </w:rPr>
        <w:t>El</w:t>
      </w:r>
      <w:r>
        <w:rPr>
          <w:spacing w:val="-4"/>
          <w:sz w:val="15"/>
        </w:rPr>
        <w:t xml:space="preserve"> </w:t>
      </w:r>
      <w:r>
        <w:rPr>
          <w:sz w:val="15"/>
        </w:rPr>
        <w:t>artículo</w:t>
      </w:r>
      <w:r>
        <w:rPr>
          <w:spacing w:val="-4"/>
          <w:sz w:val="15"/>
        </w:rPr>
        <w:t xml:space="preserve"> </w:t>
      </w:r>
      <w:r>
        <w:rPr>
          <w:sz w:val="15"/>
        </w:rPr>
        <w:t>20</w:t>
      </w:r>
      <w:r>
        <w:rPr>
          <w:spacing w:val="-4"/>
          <w:sz w:val="15"/>
        </w:rPr>
        <w:t xml:space="preserve"> </w:t>
      </w:r>
      <w:r>
        <w:rPr>
          <w:sz w:val="15"/>
        </w:rPr>
        <w:t>del</w:t>
      </w:r>
      <w:r>
        <w:rPr>
          <w:spacing w:val="-5"/>
          <w:sz w:val="15"/>
        </w:rPr>
        <w:t xml:space="preserve"> </w:t>
      </w:r>
      <w:r>
        <w:rPr>
          <w:sz w:val="15"/>
        </w:rPr>
        <w:t>Pacto</w:t>
      </w:r>
      <w:r>
        <w:rPr>
          <w:spacing w:val="-4"/>
          <w:sz w:val="15"/>
        </w:rPr>
        <w:t xml:space="preserve"> </w:t>
      </w:r>
      <w:r>
        <w:rPr>
          <w:sz w:val="15"/>
        </w:rPr>
        <w:t>Internacional</w:t>
      </w:r>
      <w:r>
        <w:rPr>
          <w:spacing w:val="-4"/>
          <w:sz w:val="15"/>
        </w:rPr>
        <w:t xml:space="preserve"> </w:t>
      </w:r>
      <w:r>
        <w:rPr>
          <w:sz w:val="15"/>
        </w:rPr>
        <w:t>de</w:t>
      </w:r>
      <w:r>
        <w:rPr>
          <w:spacing w:val="-4"/>
          <w:sz w:val="15"/>
        </w:rPr>
        <w:t xml:space="preserve"> </w:t>
      </w:r>
      <w:r>
        <w:rPr>
          <w:sz w:val="15"/>
        </w:rPr>
        <w:t>Derechos</w:t>
      </w:r>
      <w:r>
        <w:rPr>
          <w:spacing w:val="-4"/>
          <w:sz w:val="15"/>
        </w:rPr>
        <w:t xml:space="preserve"> </w:t>
      </w:r>
      <w:r>
        <w:rPr>
          <w:sz w:val="15"/>
        </w:rPr>
        <w:t>Civiles</w:t>
      </w:r>
      <w:r>
        <w:rPr>
          <w:spacing w:val="-5"/>
          <w:sz w:val="15"/>
        </w:rPr>
        <w:t xml:space="preserve"> </w:t>
      </w:r>
      <w:r>
        <w:rPr>
          <w:sz w:val="15"/>
        </w:rPr>
        <w:t>y</w:t>
      </w:r>
      <w:r>
        <w:rPr>
          <w:spacing w:val="-4"/>
          <w:sz w:val="15"/>
        </w:rPr>
        <w:t xml:space="preserve"> </w:t>
      </w:r>
      <w:r>
        <w:rPr>
          <w:sz w:val="15"/>
        </w:rPr>
        <w:t>Políticos</w:t>
      </w:r>
      <w:r>
        <w:rPr>
          <w:spacing w:val="-4"/>
          <w:sz w:val="15"/>
        </w:rPr>
        <w:t xml:space="preserve"> </w:t>
      </w:r>
      <w:r>
        <w:rPr>
          <w:sz w:val="15"/>
        </w:rPr>
        <w:t>anticipa</w:t>
      </w:r>
      <w:r>
        <w:rPr>
          <w:spacing w:val="-4"/>
          <w:sz w:val="15"/>
        </w:rPr>
        <w:t xml:space="preserve"> </w:t>
      </w:r>
      <w:r>
        <w:rPr>
          <w:sz w:val="15"/>
        </w:rPr>
        <w:t>la</w:t>
      </w:r>
      <w:r>
        <w:rPr>
          <w:spacing w:val="-4"/>
          <w:sz w:val="15"/>
        </w:rPr>
        <w:t xml:space="preserve"> </w:t>
      </w:r>
      <w:r>
        <w:rPr>
          <w:spacing w:val="-2"/>
          <w:sz w:val="15"/>
        </w:rPr>
        <w:t>intención.</w:t>
      </w:r>
    </w:p>
    <w:p w14:paraId="175B2AAD" w14:textId="77777777" w:rsidR="0014798C" w:rsidRDefault="004E1F0B">
      <w:pPr>
        <w:spacing w:before="77" w:line="348" w:lineRule="auto"/>
        <w:ind w:left="1899" w:right="1626" w:hanging="1"/>
        <w:rPr>
          <w:sz w:val="15"/>
        </w:rPr>
      </w:pPr>
      <w:r>
        <w:rPr>
          <w:sz w:val="15"/>
        </w:rPr>
        <w:t>La negligencia y la imprudencia no son suficientes para que un acto sea un delito según el artículo 20 del Pacto, ya que este</w:t>
      </w:r>
      <w:r>
        <w:rPr>
          <w:spacing w:val="-2"/>
          <w:sz w:val="15"/>
        </w:rPr>
        <w:t xml:space="preserve"> </w:t>
      </w:r>
      <w:r>
        <w:rPr>
          <w:sz w:val="15"/>
        </w:rPr>
        <w:t>artículo</w:t>
      </w:r>
      <w:r>
        <w:rPr>
          <w:spacing w:val="-2"/>
          <w:sz w:val="15"/>
        </w:rPr>
        <w:t xml:space="preserve"> </w:t>
      </w:r>
      <w:r>
        <w:rPr>
          <w:sz w:val="15"/>
        </w:rPr>
        <w:t>prevé</w:t>
      </w:r>
      <w:r>
        <w:rPr>
          <w:spacing w:val="-2"/>
          <w:sz w:val="15"/>
        </w:rPr>
        <w:t xml:space="preserve"> </w:t>
      </w:r>
      <w:r>
        <w:rPr>
          <w:sz w:val="15"/>
        </w:rPr>
        <w:t>la</w:t>
      </w:r>
      <w:r>
        <w:rPr>
          <w:spacing w:val="-2"/>
          <w:sz w:val="15"/>
        </w:rPr>
        <w:t xml:space="preserve"> </w:t>
      </w:r>
      <w:r>
        <w:rPr>
          <w:sz w:val="15"/>
        </w:rPr>
        <w:t>“defensa”</w:t>
      </w:r>
      <w:r>
        <w:rPr>
          <w:spacing w:val="-2"/>
          <w:sz w:val="15"/>
        </w:rPr>
        <w:t xml:space="preserve"> </w:t>
      </w:r>
      <w:r>
        <w:rPr>
          <w:sz w:val="15"/>
        </w:rPr>
        <w:t>y</w:t>
      </w:r>
      <w:r>
        <w:rPr>
          <w:spacing w:val="-2"/>
          <w:sz w:val="15"/>
        </w:rPr>
        <w:t xml:space="preserve"> </w:t>
      </w:r>
      <w:r>
        <w:rPr>
          <w:sz w:val="15"/>
        </w:rPr>
        <w:t>la</w:t>
      </w:r>
      <w:r>
        <w:rPr>
          <w:spacing w:val="-2"/>
          <w:sz w:val="15"/>
        </w:rPr>
        <w:t xml:space="preserve"> </w:t>
      </w:r>
      <w:r>
        <w:rPr>
          <w:sz w:val="15"/>
        </w:rPr>
        <w:t>“incitación”</w:t>
      </w:r>
      <w:r>
        <w:rPr>
          <w:spacing w:val="-2"/>
          <w:sz w:val="15"/>
        </w:rPr>
        <w:t xml:space="preserve"> </w:t>
      </w:r>
      <w:r>
        <w:rPr>
          <w:sz w:val="15"/>
        </w:rPr>
        <w:t>en</w:t>
      </w:r>
      <w:r>
        <w:rPr>
          <w:spacing w:val="-2"/>
          <w:sz w:val="15"/>
        </w:rPr>
        <w:t xml:space="preserve"> </w:t>
      </w:r>
      <w:r>
        <w:rPr>
          <w:sz w:val="15"/>
        </w:rPr>
        <w:t>lugar</w:t>
      </w:r>
      <w:r>
        <w:rPr>
          <w:spacing w:val="-2"/>
          <w:sz w:val="15"/>
        </w:rPr>
        <w:t xml:space="preserve"> </w:t>
      </w:r>
      <w:r>
        <w:rPr>
          <w:sz w:val="15"/>
        </w:rPr>
        <w:t>de</w:t>
      </w:r>
      <w:r>
        <w:rPr>
          <w:spacing w:val="-2"/>
          <w:sz w:val="15"/>
        </w:rPr>
        <w:t xml:space="preserve"> </w:t>
      </w:r>
      <w:r>
        <w:rPr>
          <w:sz w:val="15"/>
        </w:rPr>
        <w:t>la</w:t>
      </w:r>
      <w:r>
        <w:rPr>
          <w:spacing w:val="-2"/>
          <w:sz w:val="15"/>
        </w:rPr>
        <w:t xml:space="preserve"> </w:t>
      </w:r>
      <w:r>
        <w:rPr>
          <w:sz w:val="15"/>
        </w:rPr>
        <w:t>mera</w:t>
      </w:r>
      <w:r>
        <w:rPr>
          <w:spacing w:val="-2"/>
          <w:sz w:val="15"/>
        </w:rPr>
        <w:t xml:space="preserve"> </w:t>
      </w:r>
      <w:r>
        <w:rPr>
          <w:sz w:val="15"/>
        </w:rPr>
        <w:t>distribución</w:t>
      </w:r>
      <w:r>
        <w:rPr>
          <w:spacing w:val="-2"/>
          <w:sz w:val="15"/>
        </w:rPr>
        <w:t xml:space="preserve"> </w:t>
      </w:r>
      <w:r>
        <w:rPr>
          <w:sz w:val="15"/>
        </w:rPr>
        <w:t>o</w:t>
      </w:r>
      <w:r>
        <w:rPr>
          <w:spacing w:val="-2"/>
          <w:sz w:val="15"/>
        </w:rPr>
        <w:t xml:space="preserve"> </w:t>
      </w:r>
      <w:r>
        <w:rPr>
          <w:sz w:val="15"/>
        </w:rPr>
        <w:t>circulación</w:t>
      </w:r>
      <w:r>
        <w:rPr>
          <w:spacing w:val="-1"/>
          <w:sz w:val="15"/>
        </w:rPr>
        <w:t xml:space="preserve"> </w:t>
      </w:r>
      <w:r>
        <w:rPr>
          <w:sz w:val="15"/>
        </w:rPr>
        <w:t>de</w:t>
      </w:r>
      <w:r>
        <w:rPr>
          <w:spacing w:val="-2"/>
          <w:sz w:val="15"/>
        </w:rPr>
        <w:t xml:space="preserve"> </w:t>
      </w:r>
      <w:r>
        <w:rPr>
          <w:sz w:val="15"/>
        </w:rPr>
        <w:t>material.</w:t>
      </w:r>
      <w:r>
        <w:rPr>
          <w:spacing w:val="-1"/>
          <w:sz w:val="15"/>
        </w:rPr>
        <w:t xml:space="preserve"> </w:t>
      </w:r>
      <w:r>
        <w:rPr>
          <w:sz w:val="15"/>
        </w:rPr>
        <w:t>En</w:t>
      </w:r>
      <w:r>
        <w:rPr>
          <w:spacing w:val="-2"/>
          <w:sz w:val="15"/>
        </w:rPr>
        <w:t xml:space="preserve"> </w:t>
      </w:r>
      <w:r>
        <w:rPr>
          <w:sz w:val="15"/>
        </w:rPr>
        <w:t>este</w:t>
      </w:r>
      <w:r>
        <w:rPr>
          <w:spacing w:val="-2"/>
          <w:sz w:val="15"/>
        </w:rPr>
        <w:t xml:space="preserve"> </w:t>
      </w:r>
      <w:r>
        <w:rPr>
          <w:sz w:val="15"/>
        </w:rPr>
        <w:t>sentido, requiere</w:t>
      </w:r>
      <w:r>
        <w:rPr>
          <w:spacing w:val="-3"/>
          <w:sz w:val="15"/>
        </w:rPr>
        <w:t xml:space="preserve"> </w:t>
      </w:r>
      <w:r>
        <w:rPr>
          <w:sz w:val="15"/>
        </w:rPr>
        <w:t>la</w:t>
      </w:r>
      <w:r>
        <w:rPr>
          <w:spacing w:val="-3"/>
          <w:sz w:val="15"/>
        </w:rPr>
        <w:t xml:space="preserve"> </w:t>
      </w:r>
      <w:r>
        <w:rPr>
          <w:sz w:val="15"/>
        </w:rPr>
        <w:t>activación</w:t>
      </w:r>
      <w:r>
        <w:rPr>
          <w:spacing w:val="-3"/>
          <w:sz w:val="15"/>
        </w:rPr>
        <w:t xml:space="preserve"> </w:t>
      </w:r>
      <w:r>
        <w:rPr>
          <w:sz w:val="15"/>
        </w:rPr>
        <w:t>de</w:t>
      </w:r>
      <w:r>
        <w:rPr>
          <w:spacing w:val="-3"/>
          <w:sz w:val="15"/>
        </w:rPr>
        <w:t xml:space="preserve"> </w:t>
      </w:r>
      <w:r>
        <w:rPr>
          <w:sz w:val="15"/>
        </w:rPr>
        <w:t>una</w:t>
      </w:r>
      <w:r>
        <w:rPr>
          <w:spacing w:val="-3"/>
          <w:sz w:val="15"/>
        </w:rPr>
        <w:t xml:space="preserve"> </w:t>
      </w:r>
      <w:r>
        <w:rPr>
          <w:sz w:val="15"/>
        </w:rPr>
        <w:t>relación</w:t>
      </w:r>
      <w:r>
        <w:rPr>
          <w:spacing w:val="-3"/>
          <w:sz w:val="15"/>
        </w:rPr>
        <w:t xml:space="preserve"> </w:t>
      </w:r>
      <w:r>
        <w:rPr>
          <w:sz w:val="15"/>
        </w:rPr>
        <w:t>triangular</w:t>
      </w:r>
      <w:r>
        <w:rPr>
          <w:spacing w:val="-3"/>
          <w:sz w:val="15"/>
        </w:rPr>
        <w:t xml:space="preserve"> </w:t>
      </w:r>
      <w:r>
        <w:rPr>
          <w:sz w:val="15"/>
        </w:rPr>
        <w:t>entre</w:t>
      </w:r>
      <w:r>
        <w:rPr>
          <w:spacing w:val="-3"/>
          <w:sz w:val="15"/>
        </w:rPr>
        <w:t xml:space="preserve"> </w:t>
      </w:r>
      <w:r>
        <w:rPr>
          <w:sz w:val="15"/>
        </w:rPr>
        <w:t>el</w:t>
      </w:r>
      <w:r>
        <w:rPr>
          <w:spacing w:val="-3"/>
          <w:sz w:val="15"/>
        </w:rPr>
        <w:t xml:space="preserve"> </w:t>
      </w:r>
      <w:r>
        <w:rPr>
          <w:sz w:val="15"/>
        </w:rPr>
        <w:t>objeto</w:t>
      </w:r>
      <w:r>
        <w:rPr>
          <w:spacing w:val="-3"/>
          <w:sz w:val="15"/>
        </w:rPr>
        <w:t xml:space="preserve"> </w:t>
      </w:r>
      <w:r>
        <w:rPr>
          <w:sz w:val="15"/>
        </w:rPr>
        <w:t>y</w:t>
      </w:r>
      <w:r>
        <w:rPr>
          <w:spacing w:val="-3"/>
          <w:sz w:val="15"/>
        </w:rPr>
        <w:t xml:space="preserve"> </w:t>
      </w:r>
      <w:r>
        <w:rPr>
          <w:sz w:val="15"/>
        </w:rPr>
        <w:t>sujeto</w:t>
      </w:r>
      <w:r>
        <w:rPr>
          <w:spacing w:val="-3"/>
          <w:sz w:val="15"/>
        </w:rPr>
        <w:t xml:space="preserve"> </w:t>
      </w:r>
      <w:r>
        <w:rPr>
          <w:sz w:val="15"/>
        </w:rPr>
        <w:t>del</w:t>
      </w:r>
      <w:r>
        <w:rPr>
          <w:spacing w:val="-3"/>
          <w:sz w:val="15"/>
        </w:rPr>
        <w:t xml:space="preserve"> </w:t>
      </w:r>
      <w:r>
        <w:rPr>
          <w:sz w:val="15"/>
        </w:rPr>
        <w:t>acto</w:t>
      </w:r>
      <w:r>
        <w:rPr>
          <w:spacing w:val="-3"/>
          <w:sz w:val="15"/>
        </w:rPr>
        <w:t xml:space="preserve"> </w:t>
      </w:r>
      <w:r>
        <w:rPr>
          <w:sz w:val="15"/>
        </w:rPr>
        <w:t>de</w:t>
      </w:r>
      <w:r>
        <w:rPr>
          <w:spacing w:val="-3"/>
          <w:sz w:val="15"/>
        </w:rPr>
        <w:t xml:space="preserve"> </w:t>
      </w:r>
      <w:r>
        <w:rPr>
          <w:sz w:val="15"/>
        </w:rPr>
        <w:t>habla</w:t>
      </w:r>
      <w:r>
        <w:rPr>
          <w:spacing w:val="-3"/>
          <w:sz w:val="15"/>
        </w:rPr>
        <w:t xml:space="preserve"> </w:t>
      </w:r>
      <w:r>
        <w:rPr>
          <w:sz w:val="15"/>
        </w:rPr>
        <w:t>así</w:t>
      </w:r>
      <w:r>
        <w:rPr>
          <w:spacing w:val="-2"/>
          <w:sz w:val="15"/>
        </w:rPr>
        <w:t xml:space="preserve"> </w:t>
      </w:r>
      <w:r>
        <w:rPr>
          <w:sz w:val="15"/>
        </w:rPr>
        <w:t>como</w:t>
      </w:r>
      <w:r>
        <w:rPr>
          <w:spacing w:val="-3"/>
          <w:sz w:val="15"/>
        </w:rPr>
        <w:t xml:space="preserve"> </w:t>
      </w:r>
      <w:r>
        <w:rPr>
          <w:sz w:val="15"/>
        </w:rPr>
        <w:t>la</w:t>
      </w:r>
      <w:r>
        <w:rPr>
          <w:spacing w:val="-3"/>
          <w:sz w:val="15"/>
        </w:rPr>
        <w:t xml:space="preserve"> </w:t>
      </w:r>
      <w:r>
        <w:rPr>
          <w:sz w:val="15"/>
        </w:rPr>
        <w:t>audiencia;</w:t>
      </w:r>
      <w:r>
        <w:rPr>
          <w:spacing w:val="-2"/>
          <w:sz w:val="15"/>
        </w:rPr>
        <w:t xml:space="preserve"> </w:t>
      </w:r>
      <w:r>
        <w:rPr>
          <w:sz w:val="15"/>
        </w:rPr>
        <w:t>(d)</w:t>
      </w:r>
    </w:p>
    <w:p w14:paraId="1F80EDA4" w14:textId="77777777" w:rsidR="0014798C" w:rsidRDefault="004E1F0B">
      <w:pPr>
        <w:spacing w:line="171" w:lineRule="exact"/>
        <w:ind w:left="1899"/>
        <w:rPr>
          <w:sz w:val="15"/>
        </w:rPr>
      </w:pPr>
      <w:r>
        <w:rPr>
          <w:sz w:val="15"/>
        </w:rPr>
        <w:t>Contenido</w:t>
      </w:r>
      <w:r>
        <w:rPr>
          <w:spacing w:val="-6"/>
          <w:sz w:val="15"/>
        </w:rPr>
        <w:t xml:space="preserve"> </w:t>
      </w:r>
      <w:r>
        <w:rPr>
          <w:sz w:val="15"/>
        </w:rPr>
        <w:t>y</w:t>
      </w:r>
      <w:r>
        <w:rPr>
          <w:spacing w:val="-4"/>
          <w:sz w:val="15"/>
        </w:rPr>
        <w:t xml:space="preserve"> </w:t>
      </w:r>
      <w:r>
        <w:rPr>
          <w:sz w:val="15"/>
        </w:rPr>
        <w:t>forma:</w:t>
      </w:r>
      <w:r>
        <w:rPr>
          <w:spacing w:val="-4"/>
          <w:sz w:val="15"/>
        </w:rPr>
        <w:t xml:space="preserve"> </w:t>
      </w:r>
      <w:r>
        <w:rPr>
          <w:sz w:val="15"/>
        </w:rPr>
        <w:t>El</w:t>
      </w:r>
      <w:r>
        <w:rPr>
          <w:spacing w:val="-4"/>
          <w:sz w:val="15"/>
        </w:rPr>
        <w:t xml:space="preserve"> </w:t>
      </w:r>
      <w:r>
        <w:rPr>
          <w:sz w:val="15"/>
        </w:rPr>
        <w:t>contenido</w:t>
      </w:r>
      <w:r>
        <w:rPr>
          <w:spacing w:val="-4"/>
          <w:sz w:val="15"/>
        </w:rPr>
        <w:t xml:space="preserve"> </w:t>
      </w:r>
      <w:r>
        <w:rPr>
          <w:sz w:val="15"/>
        </w:rPr>
        <w:t>del</w:t>
      </w:r>
      <w:r>
        <w:rPr>
          <w:spacing w:val="-4"/>
          <w:sz w:val="15"/>
        </w:rPr>
        <w:t xml:space="preserve"> </w:t>
      </w:r>
      <w:r>
        <w:rPr>
          <w:sz w:val="15"/>
        </w:rPr>
        <w:t>discurso</w:t>
      </w:r>
      <w:r>
        <w:rPr>
          <w:spacing w:val="-3"/>
          <w:sz w:val="15"/>
        </w:rPr>
        <w:t xml:space="preserve"> </w:t>
      </w:r>
      <w:r>
        <w:rPr>
          <w:sz w:val="15"/>
        </w:rPr>
        <w:t>constituye</w:t>
      </w:r>
      <w:r>
        <w:rPr>
          <w:spacing w:val="-4"/>
          <w:sz w:val="15"/>
        </w:rPr>
        <w:t xml:space="preserve"> </w:t>
      </w:r>
      <w:r>
        <w:rPr>
          <w:sz w:val="15"/>
        </w:rPr>
        <w:t>uno</w:t>
      </w:r>
      <w:r>
        <w:rPr>
          <w:spacing w:val="-4"/>
          <w:sz w:val="15"/>
        </w:rPr>
        <w:t xml:space="preserve"> </w:t>
      </w:r>
      <w:r>
        <w:rPr>
          <w:sz w:val="15"/>
        </w:rPr>
        <w:t>de</w:t>
      </w:r>
      <w:r>
        <w:rPr>
          <w:spacing w:val="-4"/>
          <w:sz w:val="15"/>
        </w:rPr>
        <w:t xml:space="preserve"> </w:t>
      </w:r>
      <w:r>
        <w:rPr>
          <w:sz w:val="15"/>
        </w:rPr>
        <w:t>los</w:t>
      </w:r>
      <w:r>
        <w:rPr>
          <w:spacing w:val="-4"/>
          <w:sz w:val="15"/>
        </w:rPr>
        <w:t xml:space="preserve"> </w:t>
      </w:r>
      <w:r>
        <w:rPr>
          <w:sz w:val="15"/>
        </w:rPr>
        <w:t>focos</w:t>
      </w:r>
      <w:r>
        <w:rPr>
          <w:spacing w:val="-4"/>
          <w:sz w:val="15"/>
        </w:rPr>
        <w:t xml:space="preserve"> </w:t>
      </w:r>
      <w:r>
        <w:rPr>
          <w:sz w:val="15"/>
        </w:rPr>
        <w:t>clave</w:t>
      </w:r>
      <w:r>
        <w:rPr>
          <w:spacing w:val="-4"/>
          <w:sz w:val="15"/>
        </w:rPr>
        <w:t xml:space="preserve"> </w:t>
      </w:r>
      <w:r>
        <w:rPr>
          <w:sz w:val="15"/>
        </w:rPr>
        <w:t>de</w:t>
      </w:r>
      <w:r>
        <w:rPr>
          <w:spacing w:val="-4"/>
          <w:sz w:val="15"/>
        </w:rPr>
        <w:t xml:space="preserve"> </w:t>
      </w:r>
      <w:r>
        <w:rPr>
          <w:sz w:val="15"/>
        </w:rPr>
        <w:t>las</w:t>
      </w:r>
      <w:r>
        <w:rPr>
          <w:spacing w:val="-3"/>
          <w:sz w:val="15"/>
        </w:rPr>
        <w:t xml:space="preserve"> </w:t>
      </w:r>
      <w:r>
        <w:rPr>
          <w:sz w:val="15"/>
        </w:rPr>
        <w:t>deliberaciones</w:t>
      </w:r>
      <w:r>
        <w:rPr>
          <w:spacing w:val="-4"/>
          <w:sz w:val="15"/>
        </w:rPr>
        <w:t xml:space="preserve"> </w:t>
      </w:r>
      <w:r>
        <w:rPr>
          <w:spacing w:val="-5"/>
          <w:sz w:val="15"/>
        </w:rPr>
        <w:t>del</w:t>
      </w:r>
    </w:p>
    <w:p w14:paraId="3029684C" w14:textId="77777777" w:rsidR="0014798C" w:rsidRDefault="0014798C">
      <w:pPr>
        <w:pStyle w:val="Textoindependiente"/>
        <w:spacing w:before="18"/>
        <w:rPr>
          <w:sz w:val="15"/>
        </w:rPr>
      </w:pPr>
    </w:p>
    <w:p w14:paraId="3F92FC88" w14:textId="77777777" w:rsidR="0014798C" w:rsidRDefault="004E1F0B">
      <w:pPr>
        <w:spacing w:line="348" w:lineRule="auto"/>
        <w:ind w:left="1900" w:right="1668" w:hanging="330"/>
        <w:rPr>
          <w:sz w:val="15"/>
        </w:rPr>
      </w:pPr>
      <w:r>
        <w:rPr>
          <w:sz w:val="15"/>
        </w:rPr>
        <w:t>tribunal</w:t>
      </w:r>
      <w:r>
        <w:rPr>
          <w:spacing w:val="-2"/>
          <w:sz w:val="15"/>
        </w:rPr>
        <w:t xml:space="preserve"> </w:t>
      </w:r>
      <w:r>
        <w:rPr>
          <w:sz w:val="15"/>
        </w:rPr>
        <w:t>y</w:t>
      </w:r>
      <w:r>
        <w:rPr>
          <w:spacing w:val="-2"/>
          <w:sz w:val="15"/>
        </w:rPr>
        <w:t xml:space="preserve"> </w:t>
      </w:r>
      <w:r>
        <w:rPr>
          <w:sz w:val="15"/>
        </w:rPr>
        <w:t>es</w:t>
      </w:r>
      <w:r>
        <w:rPr>
          <w:spacing w:val="-2"/>
          <w:sz w:val="15"/>
        </w:rPr>
        <w:t xml:space="preserve"> </w:t>
      </w:r>
      <w:r>
        <w:rPr>
          <w:sz w:val="15"/>
        </w:rPr>
        <w:t>un</w:t>
      </w:r>
      <w:r>
        <w:rPr>
          <w:spacing w:val="-2"/>
          <w:sz w:val="15"/>
        </w:rPr>
        <w:t xml:space="preserve"> </w:t>
      </w:r>
      <w:r>
        <w:rPr>
          <w:sz w:val="15"/>
        </w:rPr>
        <w:t>elemento</w:t>
      </w:r>
      <w:r>
        <w:rPr>
          <w:spacing w:val="-2"/>
          <w:sz w:val="15"/>
        </w:rPr>
        <w:t xml:space="preserve"> </w:t>
      </w:r>
      <w:r>
        <w:rPr>
          <w:sz w:val="15"/>
        </w:rPr>
        <w:t>crítico</w:t>
      </w:r>
      <w:r>
        <w:rPr>
          <w:spacing w:val="-2"/>
          <w:sz w:val="15"/>
        </w:rPr>
        <w:t xml:space="preserve"> </w:t>
      </w:r>
      <w:r>
        <w:rPr>
          <w:sz w:val="15"/>
        </w:rPr>
        <w:t>de</w:t>
      </w:r>
      <w:r>
        <w:rPr>
          <w:spacing w:val="-2"/>
          <w:sz w:val="15"/>
        </w:rPr>
        <w:t xml:space="preserve"> </w:t>
      </w:r>
      <w:r>
        <w:rPr>
          <w:sz w:val="15"/>
        </w:rPr>
        <w:t>incitación.</w:t>
      </w:r>
      <w:r>
        <w:rPr>
          <w:spacing w:val="-1"/>
          <w:sz w:val="15"/>
        </w:rPr>
        <w:t xml:space="preserve"> </w:t>
      </w:r>
      <w:r>
        <w:rPr>
          <w:sz w:val="15"/>
        </w:rPr>
        <w:t>El</w:t>
      </w:r>
      <w:r>
        <w:rPr>
          <w:spacing w:val="-2"/>
          <w:sz w:val="15"/>
        </w:rPr>
        <w:t xml:space="preserve"> </w:t>
      </w:r>
      <w:r>
        <w:rPr>
          <w:sz w:val="15"/>
        </w:rPr>
        <w:t>análisis</w:t>
      </w:r>
      <w:r>
        <w:rPr>
          <w:spacing w:val="-2"/>
          <w:sz w:val="15"/>
        </w:rPr>
        <w:t xml:space="preserve"> </w:t>
      </w:r>
      <w:r>
        <w:rPr>
          <w:sz w:val="15"/>
        </w:rPr>
        <w:t>de</w:t>
      </w:r>
      <w:r>
        <w:rPr>
          <w:spacing w:val="-2"/>
          <w:sz w:val="15"/>
        </w:rPr>
        <w:t xml:space="preserve"> </w:t>
      </w:r>
      <w:r>
        <w:rPr>
          <w:sz w:val="15"/>
        </w:rPr>
        <w:t>contenido</w:t>
      </w:r>
      <w:r>
        <w:rPr>
          <w:spacing w:val="-2"/>
          <w:sz w:val="15"/>
        </w:rPr>
        <w:t xml:space="preserve"> </w:t>
      </w:r>
      <w:r>
        <w:rPr>
          <w:sz w:val="15"/>
        </w:rPr>
        <w:t>puede</w:t>
      </w:r>
      <w:r>
        <w:rPr>
          <w:spacing w:val="-2"/>
          <w:sz w:val="15"/>
        </w:rPr>
        <w:t xml:space="preserve"> </w:t>
      </w:r>
      <w:r>
        <w:rPr>
          <w:sz w:val="15"/>
        </w:rPr>
        <w:t>incluir</w:t>
      </w:r>
      <w:r>
        <w:rPr>
          <w:spacing w:val="-2"/>
          <w:sz w:val="15"/>
        </w:rPr>
        <w:t xml:space="preserve"> </w:t>
      </w:r>
      <w:r>
        <w:rPr>
          <w:sz w:val="15"/>
        </w:rPr>
        <w:t>el</w:t>
      </w:r>
      <w:r>
        <w:rPr>
          <w:spacing w:val="-2"/>
          <w:sz w:val="15"/>
        </w:rPr>
        <w:t xml:space="preserve"> </w:t>
      </w:r>
      <w:r>
        <w:rPr>
          <w:sz w:val="15"/>
        </w:rPr>
        <w:t>grado</w:t>
      </w:r>
      <w:r>
        <w:rPr>
          <w:spacing w:val="-2"/>
          <w:sz w:val="15"/>
        </w:rPr>
        <w:t xml:space="preserve"> </w:t>
      </w:r>
      <w:r>
        <w:rPr>
          <w:sz w:val="15"/>
        </w:rPr>
        <w:t>en</w:t>
      </w:r>
      <w:r>
        <w:rPr>
          <w:spacing w:val="-2"/>
          <w:sz w:val="15"/>
        </w:rPr>
        <w:t xml:space="preserve"> </w:t>
      </w:r>
      <w:r>
        <w:rPr>
          <w:sz w:val="15"/>
        </w:rPr>
        <w:t>que</w:t>
      </w:r>
      <w:r>
        <w:rPr>
          <w:spacing w:val="-2"/>
          <w:sz w:val="15"/>
        </w:rPr>
        <w:t xml:space="preserve"> </w:t>
      </w:r>
      <w:r>
        <w:rPr>
          <w:sz w:val="15"/>
        </w:rPr>
        <w:t>el</w:t>
      </w:r>
      <w:r>
        <w:rPr>
          <w:spacing w:val="-2"/>
          <w:sz w:val="15"/>
        </w:rPr>
        <w:t xml:space="preserve"> </w:t>
      </w:r>
      <w:r>
        <w:rPr>
          <w:sz w:val="15"/>
        </w:rPr>
        <w:t>discurso</w:t>
      </w:r>
      <w:r>
        <w:rPr>
          <w:spacing w:val="-1"/>
          <w:sz w:val="15"/>
        </w:rPr>
        <w:t xml:space="preserve"> </w:t>
      </w:r>
      <w:r>
        <w:rPr>
          <w:sz w:val="15"/>
        </w:rPr>
        <w:t>fue</w:t>
      </w:r>
      <w:r>
        <w:rPr>
          <w:spacing w:val="-2"/>
          <w:sz w:val="15"/>
        </w:rPr>
        <w:t xml:space="preserve"> </w:t>
      </w:r>
      <w:r>
        <w:rPr>
          <w:sz w:val="15"/>
        </w:rPr>
        <w:t>provocativo y directo, así como la forma, el estilo, la naturaleza de los argumentos desplegados en el discurso o el equilibrio logrado entre los argumentos desplegados;</w:t>
      </w:r>
    </w:p>
    <w:p w14:paraId="04EECDD8" w14:textId="77777777" w:rsidR="0014798C" w:rsidRDefault="0014798C">
      <w:pPr>
        <w:pStyle w:val="Textoindependiente"/>
        <w:rPr>
          <w:sz w:val="15"/>
        </w:rPr>
      </w:pPr>
    </w:p>
    <w:p w14:paraId="585B822D" w14:textId="77777777" w:rsidR="0014798C" w:rsidRDefault="0014798C">
      <w:pPr>
        <w:pStyle w:val="Textoindependiente"/>
        <w:spacing w:before="24"/>
        <w:rPr>
          <w:sz w:val="15"/>
        </w:rPr>
      </w:pPr>
    </w:p>
    <w:p w14:paraId="499DE6B7" w14:textId="77777777" w:rsidR="0014798C" w:rsidRDefault="004E1F0B">
      <w:pPr>
        <w:spacing w:line="343" w:lineRule="auto"/>
        <w:ind w:left="1900" w:right="1933" w:hanging="331"/>
        <w:jc w:val="both"/>
        <w:rPr>
          <w:sz w:val="15"/>
        </w:rPr>
      </w:pPr>
      <w:r>
        <w:rPr>
          <w:sz w:val="15"/>
        </w:rPr>
        <w:t>(e)</w:t>
      </w:r>
      <w:r>
        <w:rPr>
          <w:spacing w:val="-1"/>
          <w:sz w:val="15"/>
        </w:rPr>
        <w:t xml:space="preserve"> </w:t>
      </w:r>
      <w:r>
        <w:rPr>
          <w:sz w:val="15"/>
        </w:rPr>
        <w:t>Alcance</w:t>
      </w:r>
      <w:r>
        <w:rPr>
          <w:spacing w:val="-1"/>
          <w:sz w:val="15"/>
        </w:rPr>
        <w:t xml:space="preserve"> </w:t>
      </w:r>
      <w:r>
        <w:rPr>
          <w:sz w:val="15"/>
        </w:rPr>
        <w:t>del</w:t>
      </w:r>
      <w:r>
        <w:rPr>
          <w:spacing w:val="-1"/>
          <w:sz w:val="15"/>
        </w:rPr>
        <w:t xml:space="preserve"> </w:t>
      </w:r>
      <w:r>
        <w:rPr>
          <w:sz w:val="15"/>
        </w:rPr>
        <w:t>acto</w:t>
      </w:r>
      <w:r>
        <w:rPr>
          <w:spacing w:val="-1"/>
          <w:sz w:val="15"/>
        </w:rPr>
        <w:t xml:space="preserve"> </w:t>
      </w:r>
      <w:r>
        <w:rPr>
          <w:sz w:val="15"/>
        </w:rPr>
        <w:t>de</w:t>
      </w:r>
      <w:r>
        <w:rPr>
          <w:spacing w:val="-1"/>
          <w:sz w:val="15"/>
        </w:rPr>
        <w:t xml:space="preserve"> </w:t>
      </w:r>
      <w:r>
        <w:rPr>
          <w:sz w:val="15"/>
        </w:rPr>
        <w:t>habla: El</w:t>
      </w:r>
      <w:r>
        <w:rPr>
          <w:spacing w:val="-1"/>
          <w:sz w:val="15"/>
        </w:rPr>
        <w:t xml:space="preserve"> </w:t>
      </w:r>
      <w:r>
        <w:rPr>
          <w:sz w:val="15"/>
        </w:rPr>
        <w:t>alcance</w:t>
      </w:r>
      <w:r>
        <w:rPr>
          <w:spacing w:val="-1"/>
          <w:sz w:val="15"/>
        </w:rPr>
        <w:t xml:space="preserve"> </w:t>
      </w:r>
      <w:r>
        <w:rPr>
          <w:sz w:val="15"/>
        </w:rPr>
        <w:t>incluye</w:t>
      </w:r>
      <w:r>
        <w:rPr>
          <w:spacing w:val="-1"/>
          <w:sz w:val="15"/>
        </w:rPr>
        <w:t xml:space="preserve"> </w:t>
      </w:r>
      <w:r>
        <w:rPr>
          <w:sz w:val="15"/>
        </w:rPr>
        <w:t>elementos</w:t>
      </w:r>
      <w:r>
        <w:rPr>
          <w:spacing w:val="-1"/>
          <w:sz w:val="15"/>
        </w:rPr>
        <w:t xml:space="preserve"> </w:t>
      </w:r>
      <w:r>
        <w:rPr>
          <w:sz w:val="15"/>
        </w:rPr>
        <w:t>tales</w:t>
      </w:r>
      <w:r>
        <w:rPr>
          <w:spacing w:val="-1"/>
          <w:sz w:val="15"/>
        </w:rPr>
        <w:t xml:space="preserve"> </w:t>
      </w:r>
      <w:r>
        <w:rPr>
          <w:sz w:val="15"/>
        </w:rPr>
        <w:t>como</w:t>
      </w:r>
      <w:r>
        <w:rPr>
          <w:spacing w:val="-1"/>
          <w:sz w:val="15"/>
        </w:rPr>
        <w:t xml:space="preserve"> </w:t>
      </w:r>
      <w:r>
        <w:rPr>
          <w:sz w:val="15"/>
        </w:rPr>
        <w:t>el</w:t>
      </w:r>
      <w:r>
        <w:rPr>
          <w:spacing w:val="-1"/>
          <w:sz w:val="15"/>
        </w:rPr>
        <w:t xml:space="preserve"> </w:t>
      </w:r>
      <w:r>
        <w:rPr>
          <w:sz w:val="15"/>
        </w:rPr>
        <w:t>alcance</w:t>
      </w:r>
      <w:r>
        <w:rPr>
          <w:spacing w:val="-1"/>
          <w:sz w:val="15"/>
        </w:rPr>
        <w:t xml:space="preserve"> </w:t>
      </w:r>
      <w:r>
        <w:rPr>
          <w:sz w:val="15"/>
        </w:rPr>
        <w:t>del</w:t>
      </w:r>
      <w:r>
        <w:rPr>
          <w:spacing w:val="-1"/>
          <w:sz w:val="15"/>
        </w:rPr>
        <w:t xml:space="preserve"> </w:t>
      </w:r>
      <w:r>
        <w:rPr>
          <w:sz w:val="15"/>
        </w:rPr>
        <w:t>acto</w:t>
      </w:r>
      <w:r>
        <w:rPr>
          <w:spacing w:val="-1"/>
          <w:sz w:val="15"/>
        </w:rPr>
        <w:t xml:space="preserve"> </w:t>
      </w:r>
      <w:r>
        <w:rPr>
          <w:sz w:val="15"/>
        </w:rPr>
        <w:t>de</w:t>
      </w:r>
      <w:r>
        <w:rPr>
          <w:spacing w:val="-1"/>
          <w:sz w:val="15"/>
        </w:rPr>
        <w:t xml:space="preserve"> </w:t>
      </w:r>
      <w:r>
        <w:rPr>
          <w:sz w:val="15"/>
        </w:rPr>
        <w:t>habla, su</w:t>
      </w:r>
      <w:r>
        <w:rPr>
          <w:spacing w:val="-1"/>
          <w:sz w:val="15"/>
        </w:rPr>
        <w:t xml:space="preserve"> </w:t>
      </w:r>
      <w:r>
        <w:rPr>
          <w:sz w:val="15"/>
        </w:rPr>
        <w:t>naturaleza</w:t>
      </w:r>
      <w:r>
        <w:rPr>
          <w:spacing w:val="-1"/>
          <w:sz w:val="15"/>
        </w:rPr>
        <w:t xml:space="preserve"> </w:t>
      </w:r>
      <w:r>
        <w:rPr>
          <w:sz w:val="15"/>
        </w:rPr>
        <w:t>pública, su</w:t>
      </w:r>
      <w:r>
        <w:rPr>
          <w:spacing w:val="-2"/>
          <w:sz w:val="15"/>
        </w:rPr>
        <w:t xml:space="preserve"> </w:t>
      </w:r>
      <w:r>
        <w:rPr>
          <w:sz w:val="15"/>
        </w:rPr>
        <w:t>magnitud</w:t>
      </w:r>
      <w:r>
        <w:rPr>
          <w:spacing w:val="-2"/>
          <w:sz w:val="15"/>
        </w:rPr>
        <w:t xml:space="preserve"> </w:t>
      </w:r>
      <w:r>
        <w:rPr>
          <w:sz w:val="15"/>
        </w:rPr>
        <w:t>y</w:t>
      </w:r>
      <w:r>
        <w:rPr>
          <w:spacing w:val="-2"/>
          <w:sz w:val="15"/>
        </w:rPr>
        <w:t xml:space="preserve"> </w:t>
      </w:r>
      <w:r>
        <w:rPr>
          <w:sz w:val="15"/>
        </w:rPr>
        <w:t>el</w:t>
      </w:r>
      <w:r>
        <w:rPr>
          <w:spacing w:val="-2"/>
          <w:sz w:val="15"/>
        </w:rPr>
        <w:t xml:space="preserve"> </w:t>
      </w:r>
      <w:r>
        <w:rPr>
          <w:sz w:val="15"/>
        </w:rPr>
        <w:t>tamaño</w:t>
      </w:r>
      <w:r>
        <w:rPr>
          <w:spacing w:val="-2"/>
          <w:sz w:val="15"/>
        </w:rPr>
        <w:t xml:space="preserve"> </w:t>
      </w:r>
      <w:r>
        <w:rPr>
          <w:sz w:val="15"/>
        </w:rPr>
        <w:t>de</w:t>
      </w:r>
      <w:r>
        <w:rPr>
          <w:spacing w:val="-2"/>
          <w:sz w:val="15"/>
        </w:rPr>
        <w:t xml:space="preserve"> </w:t>
      </w:r>
      <w:r>
        <w:rPr>
          <w:sz w:val="15"/>
        </w:rPr>
        <w:t>su</w:t>
      </w:r>
      <w:r>
        <w:rPr>
          <w:spacing w:val="-2"/>
          <w:sz w:val="15"/>
        </w:rPr>
        <w:t xml:space="preserve"> </w:t>
      </w:r>
      <w:r>
        <w:rPr>
          <w:sz w:val="15"/>
        </w:rPr>
        <w:t>audiencia.</w:t>
      </w:r>
      <w:r>
        <w:rPr>
          <w:spacing w:val="-1"/>
          <w:sz w:val="15"/>
        </w:rPr>
        <w:t xml:space="preserve"> </w:t>
      </w:r>
      <w:proofErr w:type="gramStart"/>
      <w:r>
        <w:rPr>
          <w:sz w:val="15"/>
        </w:rPr>
        <w:t>Otros</w:t>
      </w:r>
      <w:r>
        <w:rPr>
          <w:spacing w:val="-2"/>
          <w:sz w:val="15"/>
        </w:rPr>
        <w:t xml:space="preserve"> </w:t>
      </w:r>
      <w:r>
        <w:rPr>
          <w:sz w:val="15"/>
        </w:rPr>
        <w:t>elementos</w:t>
      </w:r>
      <w:r>
        <w:rPr>
          <w:spacing w:val="-2"/>
          <w:sz w:val="15"/>
        </w:rPr>
        <w:t xml:space="preserve"> </w:t>
      </w:r>
      <w:r>
        <w:rPr>
          <w:sz w:val="15"/>
        </w:rPr>
        <w:t>a</w:t>
      </w:r>
      <w:r>
        <w:rPr>
          <w:spacing w:val="-2"/>
          <w:sz w:val="15"/>
        </w:rPr>
        <w:t xml:space="preserve"> </w:t>
      </w:r>
      <w:r>
        <w:rPr>
          <w:sz w:val="15"/>
        </w:rPr>
        <w:t>considerar</w:t>
      </w:r>
      <w:proofErr w:type="gramEnd"/>
      <w:r>
        <w:rPr>
          <w:spacing w:val="-2"/>
          <w:sz w:val="15"/>
        </w:rPr>
        <w:t xml:space="preserve"> </w:t>
      </w:r>
      <w:r>
        <w:rPr>
          <w:sz w:val="15"/>
        </w:rPr>
        <w:t>incluyen</w:t>
      </w:r>
      <w:r>
        <w:rPr>
          <w:spacing w:val="-2"/>
          <w:sz w:val="15"/>
        </w:rPr>
        <w:t xml:space="preserve"> </w:t>
      </w:r>
      <w:r>
        <w:rPr>
          <w:sz w:val="15"/>
        </w:rPr>
        <w:t>si</w:t>
      </w:r>
      <w:r>
        <w:rPr>
          <w:spacing w:val="-2"/>
          <w:sz w:val="15"/>
        </w:rPr>
        <w:t xml:space="preserve"> </w:t>
      </w:r>
      <w:r>
        <w:rPr>
          <w:sz w:val="15"/>
        </w:rPr>
        <w:t>el</w:t>
      </w:r>
      <w:r>
        <w:rPr>
          <w:spacing w:val="-2"/>
          <w:sz w:val="15"/>
        </w:rPr>
        <w:t xml:space="preserve"> </w:t>
      </w:r>
      <w:r>
        <w:rPr>
          <w:sz w:val="15"/>
        </w:rPr>
        <w:t>discurso</w:t>
      </w:r>
      <w:r>
        <w:rPr>
          <w:spacing w:val="-1"/>
          <w:sz w:val="15"/>
        </w:rPr>
        <w:t xml:space="preserve"> </w:t>
      </w:r>
      <w:r>
        <w:rPr>
          <w:sz w:val="15"/>
        </w:rPr>
        <w:t>es</w:t>
      </w:r>
      <w:r>
        <w:rPr>
          <w:spacing w:val="-2"/>
          <w:sz w:val="15"/>
        </w:rPr>
        <w:t xml:space="preserve"> </w:t>
      </w:r>
      <w:r>
        <w:rPr>
          <w:sz w:val="15"/>
        </w:rPr>
        <w:t>público,</w:t>
      </w:r>
      <w:r>
        <w:rPr>
          <w:spacing w:val="-1"/>
          <w:sz w:val="15"/>
        </w:rPr>
        <w:t xml:space="preserve"> </w:t>
      </w:r>
      <w:r>
        <w:rPr>
          <w:sz w:val="15"/>
        </w:rPr>
        <w:t>qué</w:t>
      </w:r>
      <w:r>
        <w:rPr>
          <w:spacing w:val="-2"/>
          <w:sz w:val="15"/>
        </w:rPr>
        <w:t xml:space="preserve"> </w:t>
      </w:r>
      <w:r>
        <w:rPr>
          <w:sz w:val="15"/>
        </w:rPr>
        <w:t>medios de difusión se utilizan, por ejemplo mediante un solo folleto o</w:t>
      </w:r>
    </w:p>
    <w:p w14:paraId="49A8E9AC" w14:textId="77777777" w:rsidR="0014798C" w:rsidRDefault="0014798C">
      <w:pPr>
        <w:pStyle w:val="Textoindependiente"/>
        <w:rPr>
          <w:sz w:val="12"/>
        </w:rPr>
      </w:pPr>
    </w:p>
    <w:p w14:paraId="70195A9A" w14:textId="77777777" w:rsidR="0014798C" w:rsidRDefault="0014798C">
      <w:pPr>
        <w:pStyle w:val="Textoindependiente"/>
        <w:rPr>
          <w:sz w:val="12"/>
        </w:rPr>
      </w:pPr>
    </w:p>
    <w:p w14:paraId="17B5AE19" w14:textId="77777777" w:rsidR="0014798C" w:rsidRDefault="0014798C">
      <w:pPr>
        <w:pStyle w:val="Textoindependiente"/>
        <w:rPr>
          <w:sz w:val="12"/>
        </w:rPr>
      </w:pPr>
    </w:p>
    <w:p w14:paraId="2FE4BB24" w14:textId="77777777" w:rsidR="0014798C" w:rsidRDefault="0014798C">
      <w:pPr>
        <w:pStyle w:val="Textoindependiente"/>
        <w:spacing w:before="33"/>
        <w:rPr>
          <w:sz w:val="12"/>
        </w:rPr>
      </w:pPr>
    </w:p>
    <w:p w14:paraId="74EC278C" w14:textId="77777777" w:rsidR="0014798C" w:rsidRDefault="004E1F0B">
      <w:pPr>
        <w:ind w:left="1111"/>
        <w:rPr>
          <w:sz w:val="12"/>
        </w:rPr>
      </w:pPr>
      <w:r w:rsidRPr="00537489">
        <w:rPr>
          <w:spacing w:val="-2"/>
          <w:sz w:val="12"/>
          <w:vertAlign w:val="superscript"/>
          <w:lang w:val="en-US"/>
        </w:rPr>
        <w:t>1163</w:t>
      </w:r>
      <w:r w:rsidRPr="00537489">
        <w:rPr>
          <w:spacing w:val="37"/>
          <w:sz w:val="12"/>
          <w:lang w:val="en-US"/>
        </w:rPr>
        <w:t xml:space="preserve"> </w:t>
      </w:r>
      <w:r w:rsidRPr="00537489">
        <w:rPr>
          <w:spacing w:val="-2"/>
          <w:sz w:val="12"/>
          <w:lang w:val="en-US"/>
        </w:rPr>
        <w:t>CCPR/C/BIH/CO/3,</w:t>
      </w:r>
      <w:r w:rsidRPr="00537489">
        <w:rPr>
          <w:sz w:val="12"/>
          <w:lang w:val="en-US"/>
        </w:rPr>
        <w:t xml:space="preserve"> </w:t>
      </w:r>
      <w:proofErr w:type="spellStart"/>
      <w:r w:rsidRPr="00537489">
        <w:rPr>
          <w:spacing w:val="-2"/>
          <w:sz w:val="12"/>
          <w:lang w:val="en-US"/>
        </w:rPr>
        <w:t>párr</w:t>
      </w:r>
      <w:proofErr w:type="spellEnd"/>
      <w:r w:rsidRPr="00537489">
        <w:rPr>
          <w:spacing w:val="-2"/>
          <w:sz w:val="12"/>
          <w:lang w:val="en-US"/>
        </w:rPr>
        <w:t>.</w:t>
      </w:r>
      <w:r w:rsidRPr="00537489">
        <w:rPr>
          <w:sz w:val="12"/>
          <w:lang w:val="en-US"/>
        </w:rPr>
        <w:t xml:space="preserve"> </w:t>
      </w:r>
      <w:r>
        <w:rPr>
          <w:spacing w:val="-2"/>
          <w:sz w:val="12"/>
        </w:rPr>
        <w:t>22;</w:t>
      </w:r>
      <w:r>
        <w:rPr>
          <w:sz w:val="12"/>
        </w:rPr>
        <w:t xml:space="preserve"> </w:t>
      </w:r>
      <w:r>
        <w:rPr>
          <w:spacing w:val="-2"/>
          <w:sz w:val="12"/>
        </w:rPr>
        <w:t>y</w:t>
      </w:r>
      <w:r>
        <w:rPr>
          <w:sz w:val="12"/>
        </w:rPr>
        <w:t xml:space="preserve"> </w:t>
      </w:r>
      <w:r>
        <w:rPr>
          <w:spacing w:val="-2"/>
          <w:sz w:val="12"/>
        </w:rPr>
        <w:t>A/HRC/38/43,</w:t>
      </w:r>
      <w:r>
        <w:rPr>
          <w:sz w:val="12"/>
        </w:rPr>
        <w:t xml:space="preserve"> </w:t>
      </w:r>
      <w:r>
        <w:rPr>
          <w:spacing w:val="-2"/>
          <w:sz w:val="12"/>
        </w:rPr>
        <w:t>párr.</w:t>
      </w:r>
      <w:r>
        <w:rPr>
          <w:sz w:val="12"/>
        </w:rPr>
        <w:t xml:space="preserve"> </w:t>
      </w:r>
      <w:r>
        <w:rPr>
          <w:spacing w:val="-2"/>
          <w:sz w:val="12"/>
        </w:rPr>
        <w:t>93.</w:t>
      </w:r>
      <w:r>
        <w:rPr>
          <w:sz w:val="12"/>
        </w:rPr>
        <w:t xml:space="preserve"> </w:t>
      </w:r>
      <w:r>
        <w:rPr>
          <w:spacing w:val="-2"/>
          <w:sz w:val="12"/>
        </w:rPr>
        <w:t>Véanse</w:t>
      </w:r>
      <w:r>
        <w:rPr>
          <w:sz w:val="12"/>
        </w:rPr>
        <w:t xml:space="preserve"> </w:t>
      </w:r>
      <w:r>
        <w:rPr>
          <w:spacing w:val="-2"/>
          <w:sz w:val="12"/>
        </w:rPr>
        <w:t>también</w:t>
      </w:r>
      <w:r>
        <w:rPr>
          <w:sz w:val="12"/>
        </w:rPr>
        <w:t xml:space="preserve"> </w:t>
      </w:r>
      <w:r>
        <w:rPr>
          <w:spacing w:val="-2"/>
          <w:sz w:val="12"/>
        </w:rPr>
        <w:t>A/74/486;</w:t>
      </w:r>
      <w:r>
        <w:rPr>
          <w:sz w:val="12"/>
        </w:rPr>
        <w:t xml:space="preserve"> </w:t>
      </w:r>
      <w:r>
        <w:rPr>
          <w:spacing w:val="-2"/>
          <w:sz w:val="12"/>
        </w:rPr>
        <w:t>y,</w:t>
      </w:r>
      <w:r>
        <w:rPr>
          <w:sz w:val="12"/>
        </w:rPr>
        <w:t xml:space="preserve"> </w:t>
      </w:r>
      <w:r>
        <w:rPr>
          <w:spacing w:val="-2"/>
          <w:sz w:val="12"/>
        </w:rPr>
        <w:t>en</w:t>
      </w:r>
      <w:r>
        <w:rPr>
          <w:sz w:val="12"/>
        </w:rPr>
        <w:t xml:space="preserve"> </w:t>
      </w:r>
      <w:r>
        <w:rPr>
          <w:spacing w:val="-2"/>
          <w:sz w:val="12"/>
        </w:rPr>
        <w:t>lo</w:t>
      </w:r>
      <w:r>
        <w:rPr>
          <w:sz w:val="12"/>
        </w:rPr>
        <w:t xml:space="preserve"> </w:t>
      </w:r>
      <w:r>
        <w:rPr>
          <w:spacing w:val="-2"/>
          <w:sz w:val="12"/>
        </w:rPr>
        <w:t>que</w:t>
      </w:r>
      <w:r>
        <w:rPr>
          <w:sz w:val="12"/>
        </w:rPr>
        <w:t xml:space="preserve"> </w:t>
      </w:r>
      <w:r>
        <w:rPr>
          <w:spacing w:val="-2"/>
          <w:sz w:val="12"/>
        </w:rPr>
        <w:t>respecta</w:t>
      </w:r>
      <w:r>
        <w:rPr>
          <w:sz w:val="12"/>
        </w:rPr>
        <w:t xml:space="preserve"> </w:t>
      </w:r>
      <w:r>
        <w:rPr>
          <w:spacing w:val="-2"/>
          <w:sz w:val="12"/>
        </w:rPr>
        <w:t>al</w:t>
      </w:r>
      <w:r>
        <w:rPr>
          <w:sz w:val="12"/>
        </w:rPr>
        <w:t xml:space="preserve"> </w:t>
      </w:r>
      <w:r>
        <w:rPr>
          <w:spacing w:val="-2"/>
          <w:sz w:val="12"/>
        </w:rPr>
        <w:t>sexo</w:t>
      </w:r>
      <w:r>
        <w:rPr>
          <w:sz w:val="12"/>
        </w:rPr>
        <w:t xml:space="preserve"> </w:t>
      </w:r>
      <w:r>
        <w:rPr>
          <w:spacing w:val="-2"/>
          <w:sz w:val="12"/>
        </w:rPr>
        <w:t>y</w:t>
      </w:r>
      <w:r>
        <w:rPr>
          <w:spacing w:val="-1"/>
          <w:sz w:val="12"/>
        </w:rPr>
        <w:t xml:space="preserve"> </w:t>
      </w:r>
      <w:r>
        <w:rPr>
          <w:spacing w:val="-2"/>
          <w:sz w:val="12"/>
        </w:rPr>
        <w:t>el</w:t>
      </w:r>
      <w:r>
        <w:rPr>
          <w:sz w:val="12"/>
        </w:rPr>
        <w:t xml:space="preserve"> </w:t>
      </w:r>
      <w:r>
        <w:rPr>
          <w:spacing w:val="-2"/>
          <w:sz w:val="12"/>
        </w:rPr>
        <w:t>género,</w:t>
      </w:r>
      <w:r>
        <w:rPr>
          <w:sz w:val="12"/>
        </w:rPr>
        <w:t xml:space="preserve"> </w:t>
      </w:r>
      <w:r>
        <w:rPr>
          <w:spacing w:val="-2"/>
          <w:sz w:val="12"/>
        </w:rPr>
        <w:t>A/HRC/38/47,</w:t>
      </w:r>
      <w:r>
        <w:rPr>
          <w:sz w:val="12"/>
        </w:rPr>
        <w:t xml:space="preserve"> </w:t>
      </w:r>
      <w:r>
        <w:rPr>
          <w:spacing w:val="-2"/>
          <w:sz w:val="12"/>
        </w:rPr>
        <w:t>párr.</w:t>
      </w:r>
      <w:r>
        <w:rPr>
          <w:sz w:val="12"/>
        </w:rPr>
        <w:t xml:space="preserve"> </w:t>
      </w:r>
      <w:r>
        <w:rPr>
          <w:spacing w:val="-5"/>
          <w:sz w:val="12"/>
        </w:rPr>
        <w:t>52.</w:t>
      </w:r>
    </w:p>
    <w:p w14:paraId="22B60D0A" w14:textId="77777777" w:rsidR="0014798C" w:rsidRPr="00537489" w:rsidRDefault="004E1F0B">
      <w:pPr>
        <w:spacing w:before="42" w:line="312" w:lineRule="auto"/>
        <w:ind w:left="1366" w:right="1272" w:firstLine="4"/>
        <w:rPr>
          <w:sz w:val="12"/>
          <w:lang w:val="en-US"/>
        </w:rPr>
      </w:pPr>
      <w:r>
        <w:rPr>
          <w:sz w:val="12"/>
        </w:rPr>
        <w:t>ACNUDH, en Vivir libres e iguales, pág. 30, establece que: “Los Estados deben incluir la orientación sexual, la identidad de género, la expresión de género y las</w:t>
      </w:r>
      <w:r>
        <w:rPr>
          <w:spacing w:val="40"/>
          <w:sz w:val="12"/>
        </w:rPr>
        <w:t xml:space="preserve"> </w:t>
      </w:r>
      <w:r>
        <w:rPr>
          <w:sz w:val="12"/>
        </w:rPr>
        <w:t>características sexuales como características protegidas en las leyes contra los delitos de odio y el discurso de odio/incitación al odio o la violencia”. Ver también</w:t>
      </w:r>
      <w:r>
        <w:rPr>
          <w:spacing w:val="40"/>
          <w:sz w:val="12"/>
        </w:rPr>
        <w:t xml:space="preserve"> </w:t>
      </w:r>
      <w:r>
        <w:rPr>
          <w:spacing w:val="-2"/>
          <w:sz w:val="12"/>
        </w:rPr>
        <w:t>CCPR/C/LTU/CO/4,</w:t>
      </w:r>
      <w:r>
        <w:rPr>
          <w:spacing w:val="-6"/>
          <w:sz w:val="12"/>
        </w:rPr>
        <w:t xml:space="preserve"> </w:t>
      </w:r>
      <w:r>
        <w:rPr>
          <w:spacing w:val="-2"/>
          <w:sz w:val="12"/>
        </w:rPr>
        <w:t>párr.</w:t>
      </w:r>
      <w:r>
        <w:rPr>
          <w:spacing w:val="-6"/>
          <w:sz w:val="12"/>
        </w:rPr>
        <w:t xml:space="preserve"> </w:t>
      </w:r>
      <w:r>
        <w:rPr>
          <w:spacing w:val="-2"/>
          <w:sz w:val="12"/>
        </w:rPr>
        <w:t>12</w:t>
      </w:r>
      <w:r>
        <w:rPr>
          <w:spacing w:val="-6"/>
          <w:sz w:val="12"/>
        </w:rPr>
        <w:t xml:space="preserve"> </w:t>
      </w:r>
      <w:r>
        <w:rPr>
          <w:spacing w:val="-2"/>
          <w:sz w:val="12"/>
        </w:rPr>
        <w:t>(a);</w:t>
      </w:r>
      <w:r>
        <w:rPr>
          <w:spacing w:val="-6"/>
          <w:sz w:val="12"/>
        </w:rPr>
        <w:t xml:space="preserve"> </w:t>
      </w:r>
      <w:r>
        <w:rPr>
          <w:spacing w:val="-2"/>
          <w:sz w:val="12"/>
        </w:rPr>
        <w:t>CCPR/C/CZE/CO/4,</w:t>
      </w:r>
      <w:r>
        <w:rPr>
          <w:spacing w:val="-6"/>
          <w:sz w:val="12"/>
        </w:rPr>
        <w:t xml:space="preserve"> </w:t>
      </w:r>
      <w:r>
        <w:rPr>
          <w:spacing w:val="-2"/>
          <w:sz w:val="12"/>
        </w:rPr>
        <w:t>párr.</w:t>
      </w:r>
      <w:r>
        <w:rPr>
          <w:spacing w:val="-6"/>
          <w:sz w:val="12"/>
        </w:rPr>
        <w:t xml:space="preserve"> </w:t>
      </w:r>
      <w:r w:rsidRPr="00537489">
        <w:rPr>
          <w:spacing w:val="-2"/>
          <w:sz w:val="12"/>
          <w:lang w:val="en-US"/>
        </w:rPr>
        <w:t>17</w:t>
      </w:r>
      <w:r>
        <w:rPr>
          <w:spacing w:val="-2"/>
          <w:sz w:val="12"/>
        </w:rPr>
        <w:t>;</w:t>
      </w:r>
      <w:r w:rsidRPr="00537489">
        <w:rPr>
          <w:spacing w:val="-6"/>
          <w:sz w:val="12"/>
          <w:lang w:val="en-US"/>
        </w:rPr>
        <w:t xml:space="preserve"> </w:t>
      </w:r>
      <w:r w:rsidRPr="00537489">
        <w:rPr>
          <w:spacing w:val="-2"/>
          <w:sz w:val="12"/>
          <w:lang w:val="en-US"/>
        </w:rPr>
        <w:t>CCPR/C/UKR/CO/7,</w:t>
      </w:r>
      <w:r w:rsidRPr="00537489">
        <w:rPr>
          <w:spacing w:val="-6"/>
          <w:sz w:val="12"/>
          <w:lang w:val="en-US"/>
        </w:rPr>
        <w:t xml:space="preserve"> </w:t>
      </w:r>
      <w:proofErr w:type="spellStart"/>
      <w:r w:rsidRPr="00537489">
        <w:rPr>
          <w:spacing w:val="-2"/>
          <w:sz w:val="12"/>
          <w:lang w:val="en-US"/>
        </w:rPr>
        <w:t>párr</w:t>
      </w:r>
      <w:proofErr w:type="spellEnd"/>
      <w:r w:rsidRPr="00537489">
        <w:rPr>
          <w:spacing w:val="-2"/>
          <w:sz w:val="12"/>
          <w:lang w:val="en-US"/>
        </w:rPr>
        <w:t>.</w:t>
      </w:r>
      <w:r w:rsidRPr="00537489">
        <w:rPr>
          <w:spacing w:val="-6"/>
          <w:sz w:val="12"/>
          <w:lang w:val="en-US"/>
        </w:rPr>
        <w:t xml:space="preserve"> </w:t>
      </w:r>
      <w:r w:rsidRPr="00537489">
        <w:rPr>
          <w:spacing w:val="-2"/>
          <w:sz w:val="12"/>
          <w:lang w:val="en-US"/>
        </w:rPr>
        <w:t>10</w:t>
      </w:r>
      <w:r>
        <w:rPr>
          <w:spacing w:val="-2"/>
          <w:sz w:val="12"/>
        </w:rPr>
        <w:t>;</w:t>
      </w:r>
      <w:r w:rsidRPr="00537489">
        <w:rPr>
          <w:spacing w:val="-6"/>
          <w:sz w:val="12"/>
          <w:lang w:val="en-US"/>
        </w:rPr>
        <w:t xml:space="preserve"> </w:t>
      </w:r>
      <w:r w:rsidRPr="00537489">
        <w:rPr>
          <w:spacing w:val="-2"/>
          <w:sz w:val="12"/>
          <w:lang w:val="en-US"/>
        </w:rPr>
        <w:t>CCPR/C/BLR/CO/5,</w:t>
      </w:r>
      <w:r w:rsidRPr="00537489">
        <w:rPr>
          <w:spacing w:val="-6"/>
          <w:sz w:val="12"/>
          <w:lang w:val="en-US"/>
        </w:rPr>
        <w:t xml:space="preserve"> </w:t>
      </w:r>
      <w:proofErr w:type="spellStart"/>
      <w:r w:rsidRPr="00537489">
        <w:rPr>
          <w:spacing w:val="-2"/>
          <w:sz w:val="12"/>
          <w:lang w:val="en-US"/>
        </w:rPr>
        <w:t>párr</w:t>
      </w:r>
      <w:proofErr w:type="spellEnd"/>
      <w:r w:rsidRPr="00537489">
        <w:rPr>
          <w:spacing w:val="-2"/>
          <w:sz w:val="12"/>
          <w:lang w:val="en-US"/>
        </w:rPr>
        <w:t>.</w:t>
      </w:r>
      <w:r w:rsidRPr="00537489">
        <w:rPr>
          <w:spacing w:val="-6"/>
          <w:sz w:val="12"/>
          <w:lang w:val="en-US"/>
        </w:rPr>
        <w:t xml:space="preserve"> </w:t>
      </w:r>
      <w:r w:rsidRPr="00537489">
        <w:rPr>
          <w:spacing w:val="-2"/>
          <w:sz w:val="12"/>
          <w:lang w:val="en-US"/>
        </w:rPr>
        <w:t>18</w:t>
      </w:r>
      <w:r>
        <w:rPr>
          <w:spacing w:val="-2"/>
          <w:sz w:val="12"/>
        </w:rPr>
        <w:t>;</w:t>
      </w:r>
    </w:p>
    <w:p w14:paraId="3D1EF0C1" w14:textId="77777777" w:rsidR="0014798C" w:rsidRDefault="004E1F0B">
      <w:pPr>
        <w:spacing w:before="1" w:line="312" w:lineRule="auto"/>
        <w:ind w:left="1366" w:right="1463" w:firstLine="5"/>
        <w:rPr>
          <w:sz w:val="12"/>
        </w:rPr>
      </w:pPr>
      <w:r w:rsidRPr="00537489">
        <w:rPr>
          <w:spacing w:val="-2"/>
          <w:sz w:val="12"/>
          <w:lang w:val="en-US"/>
        </w:rPr>
        <w:t>CCPR/C/SEN/CO/5,</w:t>
      </w:r>
      <w:r w:rsidRPr="00537489">
        <w:rPr>
          <w:spacing w:val="-4"/>
          <w:sz w:val="12"/>
          <w:lang w:val="en-US"/>
        </w:rPr>
        <w:t xml:space="preserve"> </w:t>
      </w:r>
      <w:proofErr w:type="spellStart"/>
      <w:r w:rsidRPr="00537489">
        <w:rPr>
          <w:spacing w:val="-2"/>
          <w:sz w:val="12"/>
          <w:lang w:val="en-US"/>
        </w:rPr>
        <w:t>párrs</w:t>
      </w:r>
      <w:proofErr w:type="spellEnd"/>
      <w:r w:rsidRPr="00537489">
        <w:rPr>
          <w:spacing w:val="-2"/>
          <w:sz w:val="12"/>
          <w:lang w:val="en-US"/>
        </w:rPr>
        <w:t>.</w:t>
      </w:r>
      <w:r w:rsidRPr="00537489">
        <w:rPr>
          <w:spacing w:val="-4"/>
          <w:sz w:val="12"/>
          <w:lang w:val="en-US"/>
        </w:rPr>
        <w:t xml:space="preserve"> </w:t>
      </w:r>
      <w:r w:rsidRPr="00537489">
        <w:rPr>
          <w:spacing w:val="-2"/>
          <w:sz w:val="12"/>
          <w:lang w:val="en-US"/>
        </w:rPr>
        <w:t>14-15</w:t>
      </w:r>
      <w:r>
        <w:rPr>
          <w:spacing w:val="-2"/>
          <w:sz w:val="12"/>
        </w:rPr>
        <w:t>;</w:t>
      </w:r>
      <w:r w:rsidRPr="00537489">
        <w:rPr>
          <w:spacing w:val="-4"/>
          <w:sz w:val="12"/>
          <w:lang w:val="en-US"/>
        </w:rPr>
        <w:t xml:space="preserve"> </w:t>
      </w:r>
      <w:r w:rsidRPr="00537489">
        <w:rPr>
          <w:spacing w:val="-2"/>
          <w:sz w:val="12"/>
          <w:lang w:val="en-US"/>
        </w:rPr>
        <w:t>CERD/C/SWE/CO/22-23,</w:t>
      </w:r>
      <w:r w:rsidRPr="00537489">
        <w:rPr>
          <w:spacing w:val="-4"/>
          <w:sz w:val="12"/>
          <w:lang w:val="en-US"/>
        </w:rPr>
        <w:t xml:space="preserve"> </w:t>
      </w:r>
      <w:proofErr w:type="spellStart"/>
      <w:r w:rsidRPr="00537489">
        <w:rPr>
          <w:spacing w:val="-2"/>
          <w:sz w:val="12"/>
          <w:lang w:val="en-US"/>
        </w:rPr>
        <w:t>párrs</w:t>
      </w:r>
      <w:proofErr w:type="spellEnd"/>
      <w:r w:rsidRPr="00537489">
        <w:rPr>
          <w:spacing w:val="-2"/>
          <w:sz w:val="12"/>
          <w:lang w:val="en-US"/>
        </w:rPr>
        <w:t>.</w:t>
      </w:r>
      <w:r w:rsidRPr="00537489">
        <w:rPr>
          <w:spacing w:val="-4"/>
          <w:sz w:val="12"/>
          <w:lang w:val="en-US"/>
        </w:rPr>
        <w:t xml:space="preserve"> </w:t>
      </w:r>
      <w:r w:rsidRPr="00537489">
        <w:rPr>
          <w:spacing w:val="-2"/>
          <w:sz w:val="12"/>
          <w:lang w:val="en-US"/>
        </w:rPr>
        <w:t>10–11</w:t>
      </w:r>
      <w:r>
        <w:rPr>
          <w:spacing w:val="-2"/>
          <w:sz w:val="12"/>
        </w:rPr>
        <w:t>;</w:t>
      </w:r>
      <w:r w:rsidRPr="00537489">
        <w:rPr>
          <w:spacing w:val="-4"/>
          <w:sz w:val="12"/>
          <w:lang w:val="en-US"/>
        </w:rPr>
        <w:t xml:space="preserve"> </w:t>
      </w:r>
      <w:r w:rsidRPr="00537489">
        <w:rPr>
          <w:spacing w:val="-2"/>
          <w:sz w:val="12"/>
          <w:lang w:val="en-US"/>
        </w:rPr>
        <w:t>CEDAW/C/MUS/CO/8,</w:t>
      </w:r>
      <w:r w:rsidRPr="00537489">
        <w:rPr>
          <w:spacing w:val="-4"/>
          <w:sz w:val="12"/>
          <w:lang w:val="en-US"/>
        </w:rPr>
        <w:t xml:space="preserve"> </w:t>
      </w:r>
      <w:proofErr w:type="spellStart"/>
      <w:r w:rsidRPr="00537489">
        <w:rPr>
          <w:spacing w:val="-2"/>
          <w:sz w:val="12"/>
          <w:lang w:val="en-US"/>
        </w:rPr>
        <w:t>párr</w:t>
      </w:r>
      <w:proofErr w:type="spellEnd"/>
      <w:r w:rsidRPr="00537489">
        <w:rPr>
          <w:spacing w:val="-2"/>
          <w:sz w:val="12"/>
          <w:lang w:val="en-US"/>
        </w:rPr>
        <w:t>.</w:t>
      </w:r>
      <w:r w:rsidRPr="00537489">
        <w:rPr>
          <w:spacing w:val="-4"/>
          <w:sz w:val="12"/>
          <w:lang w:val="en-US"/>
        </w:rPr>
        <w:t xml:space="preserve"> </w:t>
      </w:r>
      <w:r w:rsidRPr="00537489">
        <w:rPr>
          <w:spacing w:val="-2"/>
          <w:sz w:val="12"/>
          <w:lang w:val="en-US"/>
        </w:rPr>
        <w:t>34</w:t>
      </w:r>
      <w:r>
        <w:rPr>
          <w:spacing w:val="-2"/>
          <w:sz w:val="12"/>
        </w:rPr>
        <w:t>;</w:t>
      </w:r>
      <w:r w:rsidRPr="00537489">
        <w:rPr>
          <w:spacing w:val="-4"/>
          <w:sz w:val="12"/>
          <w:lang w:val="en-US"/>
        </w:rPr>
        <w:t xml:space="preserve"> </w:t>
      </w:r>
      <w:r w:rsidRPr="00537489">
        <w:rPr>
          <w:spacing w:val="-2"/>
          <w:sz w:val="12"/>
          <w:lang w:val="en-US"/>
        </w:rPr>
        <w:t>CEDAW/C/SUR/CO/4-6,</w:t>
      </w:r>
      <w:r w:rsidRPr="00537489">
        <w:rPr>
          <w:spacing w:val="-4"/>
          <w:sz w:val="12"/>
          <w:lang w:val="en-US"/>
        </w:rPr>
        <w:t xml:space="preserve"> </w:t>
      </w:r>
      <w:proofErr w:type="spellStart"/>
      <w:r w:rsidRPr="00537489">
        <w:rPr>
          <w:spacing w:val="-2"/>
          <w:sz w:val="12"/>
          <w:lang w:val="en-US"/>
        </w:rPr>
        <w:t>párrs</w:t>
      </w:r>
      <w:proofErr w:type="spellEnd"/>
      <w:r w:rsidRPr="00537489">
        <w:rPr>
          <w:spacing w:val="-2"/>
          <w:sz w:val="12"/>
          <w:lang w:val="en-US"/>
        </w:rPr>
        <w:t>.</w:t>
      </w:r>
      <w:r w:rsidRPr="00537489">
        <w:rPr>
          <w:spacing w:val="-4"/>
          <w:sz w:val="12"/>
          <w:lang w:val="en-US"/>
        </w:rPr>
        <w:t xml:space="preserve"> </w:t>
      </w:r>
      <w:r w:rsidRPr="00537489">
        <w:rPr>
          <w:spacing w:val="-2"/>
          <w:sz w:val="12"/>
          <w:lang w:val="en-US"/>
        </w:rPr>
        <w:t>50–51</w:t>
      </w:r>
      <w:r>
        <w:rPr>
          <w:spacing w:val="-2"/>
          <w:sz w:val="12"/>
        </w:rPr>
        <w:t>;</w:t>
      </w:r>
      <w:r w:rsidRPr="00537489">
        <w:rPr>
          <w:spacing w:val="-4"/>
          <w:sz w:val="12"/>
          <w:lang w:val="en-US"/>
        </w:rPr>
        <w:t xml:space="preserve"> </w:t>
      </w:r>
      <w:r w:rsidRPr="00537489">
        <w:rPr>
          <w:spacing w:val="-2"/>
          <w:sz w:val="12"/>
          <w:lang w:val="en-US"/>
        </w:rPr>
        <w:t>y</w:t>
      </w:r>
      <w:r w:rsidRPr="00537489">
        <w:rPr>
          <w:spacing w:val="-4"/>
          <w:sz w:val="12"/>
          <w:lang w:val="en-US"/>
        </w:rPr>
        <w:t xml:space="preserve"> </w:t>
      </w:r>
      <w:r w:rsidRPr="00537489">
        <w:rPr>
          <w:spacing w:val="-2"/>
          <w:sz w:val="12"/>
          <w:lang w:val="en-US"/>
        </w:rPr>
        <w:t>CEDAW/C/FJI/</w:t>
      </w:r>
      <w:r w:rsidRPr="00537489">
        <w:rPr>
          <w:spacing w:val="40"/>
          <w:sz w:val="12"/>
          <w:lang w:val="en-US"/>
        </w:rPr>
        <w:t xml:space="preserve"> </w:t>
      </w:r>
      <w:r w:rsidRPr="00537489">
        <w:rPr>
          <w:spacing w:val="-2"/>
          <w:sz w:val="12"/>
          <w:lang w:val="en-US"/>
        </w:rPr>
        <w:t xml:space="preserve">CO/5, </w:t>
      </w:r>
      <w:proofErr w:type="spellStart"/>
      <w:r w:rsidRPr="00537489">
        <w:rPr>
          <w:spacing w:val="-2"/>
          <w:sz w:val="12"/>
          <w:lang w:val="en-US"/>
        </w:rPr>
        <w:t>párr</w:t>
      </w:r>
      <w:proofErr w:type="spellEnd"/>
      <w:r w:rsidRPr="00537489">
        <w:rPr>
          <w:spacing w:val="-2"/>
          <w:sz w:val="12"/>
          <w:lang w:val="en-US"/>
        </w:rPr>
        <w:t>. 52</w:t>
      </w:r>
      <w:r>
        <w:rPr>
          <w:spacing w:val="-2"/>
          <w:sz w:val="12"/>
        </w:rPr>
        <w:t>;</w:t>
      </w:r>
      <w:r w:rsidRPr="00537489">
        <w:rPr>
          <w:spacing w:val="-2"/>
          <w:sz w:val="12"/>
          <w:lang w:val="en-US"/>
        </w:rPr>
        <w:t xml:space="preserve"> CAT/C/POL/CO/7, </w:t>
      </w:r>
      <w:proofErr w:type="spellStart"/>
      <w:r w:rsidRPr="00537489">
        <w:rPr>
          <w:spacing w:val="-2"/>
          <w:sz w:val="12"/>
          <w:lang w:val="en-US"/>
        </w:rPr>
        <w:t>párrs</w:t>
      </w:r>
      <w:proofErr w:type="spellEnd"/>
      <w:r w:rsidRPr="00537489">
        <w:rPr>
          <w:spacing w:val="-2"/>
          <w:sz w:val="12"/>
          <w:lang w:val="en-US"/>
        </w:rPr>
        <w:t>. 35–36</w:t>
      </w:r>
      <w:r>
        <w:rPr>
          <w:spacing w:val="-2"/>
          <w:sz w:val="12"/>
        </w:rPr>
        <w:t>;</w:t>
      </w:r>
      <w:r w:rsidRPr="00537489">
        <w:rPr>
          <w:spacing w:val="-2"/>
          <w:sz w:val="12"/>
          <w:lang w:val="en-US"/>
        </w:rPr>
        <w:t xml:space="preserve"> CAT/C/RUS/CO/6, </w:t>
      </w:r>
      <w:proofErr w:type="spellStart"/>
      <w:r w:rsidRPr="00537489">
        <w:rPr>
          <w:spacing w:val="-2"/>
          <w:sz w:val="12"/>
          <w:lang w:val="en-US"/>
        </w:rPr>
        <w:t>párrs</w:t>
      </w:r>
      <w:proofErr w:type="spellEnd"/>
      <w:r w:rsidRPr="00537489">
        <w:rPr>
          <w:spacing w:val="-2"/>
          <w:sz w:val="12"/>
          <w:lang w:val="en-US"/>
        </w:rPr>
        <w:t xml:space="preserve">. </w:t>
      </w:r>
      <w:r>
        <w:rPr>
          <w:spacing w:val="-2"/>
          <w:sz w:val="12"/>
        </w:rPr>
        <w:t xml:space="preserve">32–33; CRC/C/CRI/CO/5-6, </w:t>
      </w:r>
      <w:proofErr w:type="spellStart"/>
      <w:r>
        <w:rPr>
          <w:spacing w:val="-2"/>
          <w:sz w:val="12"/>
        </w:rPr>
        <w:t>párrs</w:t>
      </w:r>
      <w:proofErr w:type="spellEnd"/>
      <w:r>
        <w:rPr>
          <w:spacing w:val="-2"/>
          <w:sz w:val="12"/>
        </w:rPr>
        <w:t xml:space="preserve">. 16–17; y CRC/C/POL/CO/3-4, </w:t>
      </w:r>
      <w:proofErr w:type="spellStart"/>
      <w:r>
        <w:rPr>
          <w:spacing w:val="-2"/>
          <w:sz w:val="12"/>
        </w:rPr>
        <w:t>párrs</w:t>
      </w:r>
      <w:proofErr w:type="spellEnd"/>
      <w:r>
        <w:rPr>
          <w:spacing w:val="-2"/>
          <w:sz w:val="12"/>
        </w:rPr>
        <w:t>. 16–17.</w:t>
      </w:r>
    </w:p>
    <w:p w14:paraId="6706F7D3" w14:textId="77777777" w:rsidR="0014798C" w:rsidRDefault="0014798C">
      <w:pPr>
        <w:pStyle w:val="Textoindependiente"/>
        <w:spacing w:before="92"/>
        <w:rPr>
          <w:sz w:val="12"/>
        </w:rPr>
      </w:pPr>
    </w:p>
    <w:p w14:paraId="115E4015" w14:textId="77777777" w:rsidR="0014798C" w:rsidRDefault="004E1F0B">
      <w:pPr>
        <w:spacing w:before="1"/>
        <w:ind w:left="1111"/>
        <w:rPr>
          <w:sz w:val="12"/>
        </w:rPr>
      </w:pPr>
      <w:r>
        <w:rPr>
          <w:spacing w:val="-2"/>
          <w:w w:val="105"/>
          <w:sz w:val="12"/>
        </w:rPr>
        <w:t>1164</w:t>
      </w:r>
      <w:r>
        <w:rPr>
          <w:spacing w:val="-1"/>
          <w:w w:val="105"/>
          <w:sz w:val="12"/>
        </w:rPr>
        <w:t xml:space="preserve"> </w:t>
      </w:r>
      <w:r>
        <w:rPr>
          <w:spacing w:val="-2"/>
          <w:w w:val="105"/>
          <w:sz w:val="12"/>
        </w:rPr>
        <w:t>Artículo</w:t>
      </w:r>
      <w:r>
        <w:rPr>
          <w:w w:val="105"/>
          <w:sz w:val="12"/>
        </w:rPr>
        <w:t xml:space="preserve"> </w:t>
      </w:r>
      <w:r>
        <w:rPr>
          <w:spacing w:val="-2"/>
          <w:w w:val="105"/>
          <w:sz w:val="12"/>
        </w:rPr>
        <w:t>19,</w:t>
      </w:r>
      <w:r>
        <w:rPr>
          <w:w w:val="105"/>
          <w:sz w:val="12"/>
        </w:rPr>
        <w:t xml:space="preserve"> </w:t>
      </w:r>
      <w:r>
        <w:rPr>
          <w:spacing w:val="-2"/>
          <w:w w:val="105"/>
          <w:sz w:val="12"/>
        </w:rPr>
        <w:t>“Los</w:t>
      </w:r>
      <w:r>
        <w:rPr>
          <w:w w:val="105"/>
          <w:sz w:val="12"/>
        </w:rPr>
        <w:t xml:space="preserve"> </w:t>
      </w:r>
      <w:r>
        <w:rPr>
          <w:spacing w:val="-2"/>
          <w:w w:val="105"/>
          <w:sz w:val="12"/>
        </w:rPr>
        <w:t>Principios</w:t>
      </w:r>
      <w:r>
        <w:rPr>
          <w:spacing w:val="-1"/>
          <w:w w:val="105"/>
          <w:sz w:val="12"/>
        </w:rPr>
        <w:t xml:space="preserve"> </w:t>
      </w:r>
      <w:r>
        <w:rPr>
          <w:spacing w:val="-2"/>
          <w:w w:val="105"/>
          <w:sz w:val="12"/>
        </w:rPr>
        <w:t>de</w:t>
      </w:r>
      <w:r>
        <w:rPr>
          <w:w w:val="105"/>
          <w:sz w:val="12"/>
        </w:rPr>
        <w:t xml:space="preserve"> </w:t>
      </w:r>
      <w:r>
        <w:rPr>
          <w:spacing w:val="-2"/>
          <w:w w:val="105"/>
          <w:sz w:val="12"/>
        </w:rPr>
        <w:t>Camden</w:t>
      </w:r>
      <w:r>
        <w:rPr>
          <w:spacing w:val="1"/>
          <w:w w:val="105"/>
          <w:sz w:val="12"/>
        </w:rPr>
        <w:t xml:space="preserve"> </w:t>
      </w:r>
      <w:r>
        <w:rPr>
          <w:spacing w:val="-2"/>
          <w:w w:val="105"/>
          <w:sz w:val="12"/>
        </w:rPr>
        <w:t>sobre</w:t>
      </w:r>
      <w:r>
        <w:rPr>
          <w:w w:val="105"/>
          <w:sz w:val="12"/>
        </w:rPr>
        <w:t xml:space="preserve"> </w:t>
      </w:r>
      <w:r>
        <w:rPr>
          <w:spacing w:val="-2"/>
          <w:w w:val="105"/>
          <w:sz w:val="12"/>
        </w:rPr>
        <w:t>Libertad</w:t>
      </w:r>
      <w:r>
        <w:rPr>
          <w:w w:val="105"/>
          <w:sz w:val="12"/>
        </w:rPr>
        <w:t xml:space="preserve"> </w:t>
      </w:r>
      <w:r>
        <w:rPr>
          <w:spacing w:val="-2"/>
          <w:w w:val="105"/>
          <w:sz w:val="12"/>
        </w:rPr>
        <w:t>de</w:t>
      </w:r>
      <w:r>
        <w:rPr>
          <w:spacing w:val="-1"/>
          <w:w w:val="105"/>
          <w:sz w:val="12"/>
        </w:rPr>
        <w:t xml:space="preserve"> </w:t>
      </w:r>
      <w:r>
        <w:rPr>
          <w:spacing w:val="-2"/>
          <w:w w:val="105"/>
          <w:sz w:val="12"/>
        </w:rPr>
        <w:t>Expresión</w:t>
      </w:r>
      <w:r>
        <w:rPr>
          <w:w w:val="105"/>
          <w:sz w:val="12"/>
        </w:rPr>
        <w:t xml:space="preserve"> </w:t>
      </w:r>
      <w:r>
        <w:rPr>
          <w:spacing w:val="-2"/>
          <w:w w:val="105"/>
          <w:sz w:val="12"/>
        </w:rPr>
        <w:t>e</w:t>
      </w:r>
      <w:r>
        <w:rPr>
          <w:spacing w:val="-1"/>
          <w:w w:val="105"/>
          <w:sz w:val="12"/>
        </w:rPr>
        <w:t xml:space="preserve"> </w:t>
      </w:r>
      <w:r>
        <w:rPr>
          <w:spacing w:val="-2"/>
          <w:w w:val="105"/>
          <w:sz w:val="12"/>
        </w:rPr>
        <w:t>Igualdad”</w:t>
      </w:r>
      <w:r>
        <w:rPr>
          <w:w w:val="105"/>
          <w:sz w:val="12"/>
        </w:rPr>
        <w:t xml:space="preserve"> </w:t>
      </w:r>
      <w:r>
        <w:rPr>
          <w:spacing w:val="-2"/>
          <w:w w:val="105"/>
          <w:sz w:val="12"/>
        </w:rPr>
        <w:t>(Londres,</w:t>
      </w:r>
      <w:r>
        <w:rPr>
          <w:spacing w:val="1"/>
          <w:w w:val="105"/>
          <w:sz w:val="12"/>
        </w:rPr>
        <w:t xml:space="preserve"> </w:t>
      </w:r>
      <w:r>
        <w:rPr>
          <w:spacing w:val="-2"/>
          <w:w w:val="105"/>
          <w:sz w:val="12"/>
        </w:rPr>
        <w:t>2009).</w:t>
      </w:r>
      <w:r>
        <w:rPr>
          <w:w w:val="105"/>
          <w:sz w:val="12"/>
        </w:rPr>
        <w:t xml:space="preserve"> </w:t>
      </w:r>
      <w:r>
        <w:rPr>
          <w:spacing w:val="-2"/>
          <w:w w:val="105"/>
          <w:sz w:val="12"/>
        </w:rPr>
        <w:t>Disponible</w:t>
      </w:r>
      <w:r>
        <w:rPr>
          <w:spacing w:val="1"/>
          <w:w w:val="105"/>
          <w:sz w:val="12"/>
        </w:rPr>
        <w:t xml:space="preserve"> </w:t>
      </w:r>
      <w:r>
        <w:rPr>
          <w:spacing w:val="-2"/>
          <w:w w:val="105"/>
          <w:sz w:val="12"/>
        </w:rPr>
        <w:t>en</w:t>
      </w:r>
      <w:r>
        <w:rPr>
          <w:spacing w:val="-1"/>
          <w:w w:val="105"/>
          <w:sz w:val="12"/>
        </w:rPr>
        <w:t xml:space="preserve"> </w:t>
      </w:r>
      <w:hyperlink r:id="rId330">
        <w:r>
          <w:rPr>
            <w:color w:val="0075BF"/>
            <w:spacing w:val="-2"/>
            <w:w w:val="105"/>
            <w:sz w:val="12"/>
          </w:rPr>
          <w:t>www.article19.org/data/files/</w:t>
        </w:r>
      </w:hyperlink>
    </w:p>
    <w:p w14:paraId="67CD24B7" w14:textId="77777777" w:rsidR="0014798C" w:rsidRDefault="004E1F0B">
      <w:pPr>
        <w:spacing w:before="48"/>
        <w:ind w:left="1366"/>
        <w:rPr>
          <w:sz w:val="12"/>
        </w:rPr>
      </w:pPr>
      <w:r>
        <w:rPr>
          <w:color w:val="0075BF"/>
          <w:spacing w:val="-2"/>
          <w:sz w:val="12"/>
        </w:rPr>
        <w:t>pdfs/standards/the-camden-principles-on-freedom-of-expression-and-equality.pdf.</w:t>
      </w:r>
    </w:p>
    <w:p w14:paraId="44067E6F" w14:textId="77777777" w:rsidR="0014798C" w:rsidRDefault="004E1F0B">
      <w:pPr>
        <w:spacing w:before="98" w:line="410" w:lineRule="auto"/>
        <w:ind w:left="1111" w:right="7508"/>
        <w:rPr>
          <w:sz w:val="12"/>
        </w:rPr>
      </w:pPr>
      <w:r>
        <w:rPr>
          <w:sz w:val="12"/>
        </w:rPr>
        <w:t>1165</w:t>
      </w:r>
      <w:r>
        <w:rPr>
          <w:spacing w:val="-2"/>
          <w:sz w:val="12"/>
        </w:rPr>
        <w:t xml:space="preserve"> </w:t>
      </w:r>
      <w:r>
        <w:rPr>
          <w:sz w:val="12"/>
        </w:rPr>
        <w:t>Plan</w:t>
      </w:r>
      <w:r>
        <w:rPr>
          <w:spacing w:val="-2"/>
          <w:sz w:val="12"/>
        </w:rPr>
        <w:t xml:space="preserve"> </w:t>
      </w:r>
      <w:r>
        <w:rPr>
          <w:sz w:val="12"/>
        </w:rPr>
        <w:t>de</w:t>
      </w:r>
      <w:r>
        <w:rPr>
          <w:spacing w:val="-2"/>
          <w:sz w:val="12"/>
        </w:rPr>
        <w:t xml:space="preserve"> </w:t>
      </w:r>
      <w:r>
        <w:rPr>
          <w:sz w:val="12"/>
        </w:rPr>
        <w:t>Acción</w:t>
      </w:r>
      <w:r>
        <w:rPr>
          <w:spacing w:val="-2"/>
          <w:sz w:val="12"/>
        </w:rPr>
        <w:t xml:space="preserve"> </w:t>
      </w:r>
      <w:r>
        <w:rPr>
          <w:sz w:val="12"/>
        </w:rPr>
        <w:t>de</w:t>
      </w:r>
      <w:r>
        <w:rPr>
          <w:spacing w:val="-2"/>
          <w:sz w:val="12"/>
        </w:rPr>
        <w:t xml:space="preserve"> </w:t>
      </w:r>
      <w:r>
        <w:rPr>
          <w:sz w:val="12"/>
        </w:rPr>
        <w:t>Rabat,</w:t>
      </w:r>
      <w:r>
        <w:rPr>
          <w:spacing w:val="-2"/>
          <w:sz w:val="12"/>
        </w:rPr>
        <w:t xml:space="preserve"> </w:t>
      </w:r>
      <w:r>
        <w:rPr>
          <w:sz w:val="12"/>
        </w:rPr>
        <w:t>párr.</w:t>
      </w:r>
      <w:r>
        <w:rPr>
          <w:spacing w:val="-2"/>
          <w:sz w:val="12"/>
        </w:rPr>
        <w:t xml:space="preserve"> </w:t>
      </w:r>
      <w:r>
        <w:rPr>
          <w:sz w:val="12"/>
        </w:rPr>
        <w:t>21,</w:t>
      </w:r>
      <w:r>
        <w:rPr>
          <w:spacing w:val="-2"/>
          <w:sz w:val="12"/>
        </w:rPr>
        <w:t xml:space="preserve"> </w:t>
      </w:r>
      <w:r>
        <w:rPr>
          <w:sz w:val="12"/>
        </w:rPr>
        <w:t>nota</w:t>
      </w:r>
      <w:r>
        <w:rPr>
          <w:spacing w:val="-2"/>
          <w:sz w:val="12"/>
        </w:rPr>
        <w:t xml:space="preserve"> </w:t>
      </w:r>
      <w:r>
        <w:rPr>
          <w:sz w:val="12"/>
        </w:rPr>
        <w:t>al</w:t>
      </w:r>
      <w:r>
        <w:rPr>
          <w:spacing w:val="-2"/>
          <w:sz w:val="12"/>
        </w:rPr>
        <w:t xml:space="preserve"> </w:t>
      </w:r>
      <w:r>
        <w:rPr>
          <w:sz w:val="12"/>
        </w:rPr>
        <w:t>pie</w:t>
      </w:r>
      <w:r>
        <w:rPr>
          <w:spacing w:val="-2"/>
          <w:sz w:val="12"/>
        </w:rPr>
        <w:t xml:space="preserve"> </w:t>
      </w:r>
      <w:r>
        <w:rPr>
          <w:sz w:val="12"/>
        </w:rPr>
        <w:t>5.</w:t>
      </w:r>
      <w:r>
        <w:rPr>
          <w:spacing w:val="40"/>
          <w:sz w:val="12"/>
        </w:rPr>
        <w:t xml:space="preserve"> </w:t>
      </w:r>
      <w:r>
        <w:rPr>
          <w:sz w:val="12"/>
        </w:rPr>
        <w:t xml:space="preserve">1166 </w:t>
      </w:r>
      <w:proofErr w:type="spellStart"/>
      <w:r>
        <w:rPr>
          <w:sz w:val="12"/>
        </w:rPr>
        <w:t>Ibíd</w:t>
      </w:r>
      <w:proofErr w:type="spellEnd"/>
      <w:r>
        <w:rPr>
          <w:sz w:val="12"/>
        </w:rPr>
        <w:t>., párr. 26.</w:t>
      </w:r>
    </w:p>
    <w:p w14:paraId="482D4F20" w14:textId="77777777" w:rsidR="0014798C" w:rsidRDefault="0014798C">
      <w:pPr>
        <w:pStyle w:val="Textoindependiente"/>
        <w:rPr>
          <w:sz w:val="18"/>
        </w:rPr>
      </w:pPr>
    </w:p>
    <w:p w14:paraId="0D41608F" w14:textId="77777777" w:rsidR="0014798C" w:rsidRDefault="0014798C">
      <w:pPr>
        <w:pStyle w:val="Textoindependiente"/>
        <w:spacing w:before="137"/>
        <w:rPr>
          <w:sz w:val="18"/>
        </w:rPr>
      </w:pPr>
    </w:p>
    <w:p w14:paraId="202210F0" w14:textId="77777777" w:rsidR="0014798C" w:rsidRDefault="004E1F0B">
      <w:pPr>
        <w:ind w:left="473"/>
        <w:rPr>
          <w:sz w:val="18"/>
        </w:rPr>
      </w:pPr>
      <w:r>
        <w:rPr>
          <w:spacing w:val="-5"/>
          <w:w w:val="105"/>
          <w:sz w:val="18"/>
        </w:rPr>
        <w:t>180</w:t>
      </w:r>
    </w:p>
    <w:p w14:paraId="55F0897F" w14:textId="77777777" w:rsidR="0014798C" w:rsidRDefault="0014798C">
      <w:pPr>
        <w:rPr>
          <w:sz w:val="18"/>
        </w:rPr>
        <w:sectPr w:rsidR="0014798C" w:rsidSect="00F265E4">
          <w:pgSz w:w="11900" w:h="16820"/>
          <w:pgMar w:top="340" w:right="0" w:bottom="280" w:left="200" w:header="121" w:footer="0" w:gutter="0"/>
          <w:cols w:space="720"/>
        </w:sectPr>
      </w:pPr>
    </w:p>
    <w:p w14:paraId="07D7C3D4" w14:textId="77777777" w:rsidR="0014798C" w:rsidRDefault="0014798C">
      <w:pPr>
        <w:pStyle w:val="Textoindependiente"/>
        <w:spacing w:before="66"/>
        <w:rPr>
          <w:sz w:val="13"/>
        </w:rPr>
      </w:pPr>
    </w:p>
    <w:p w14:paraId="7B8044B3" w14:textId="77777777" w:rsidR="0014798C" w:rsidRDefault="004E1F0B">
      <w:pPr>
        <w:ind w:left="1111"/>
        <w:rPr>
          <w:sz w:val="13"/>
        </w:rPr>
      </w:pPr>
      <w:r>
        <w:rPr>
          <w:color w:val="0075BF"/>
          <w:spacing w:val="-2"/>
          <w:w w:val="105"/>
          <w:sz w:val="13"/>
        </w:rPr>
        <w:t>PARTE</w:t>
      </w:r>
      <w:r>
        <w:rPr>
          <w:color w:val="0075BF"/>
          <w:spacing w:val="1"/>
          <w:w w:val="105"/>
          <w:sz w:val="13"/>
        </w:rPr>
        <w:t xml:space="preserve"> </w:t>
      </w:r>
      <w:r>
        <w:rPr>
          <w:color w:val="0075BF"/>
          <w:spacing w:val="-2"/>
          <w:w w:val="105"/>
          <w:sz w:val="13"/>
        </w:rPr>
        <w:t>QUINTA:</w:t>
      </w:r>
      <w:r>
        <w:rPr>
          <w:color w:val="0075BF"/>
          <w:spacing w:val="2"/>
          <w:w w:val="105"/>
          <w:sz w:val="13"/>
        </w:rPr>
        <w:t xml:space="preserve"> </w:t>
      </w:r>
      <w:r>
        <w:rPr>
          <w:color w:val="0075BF"/>
          <w:spacing w:val="-2"/>
          <w:w w:val="105"/>
          <w:sz w:val="13"/>
        </w:rPr>
        <w:t>DISCRIMINACIÓN</w:t>
      </w:r>
      <w:r>
        <w:rPr>
          <w:color w:val="0075BF"/>
          <w:w w:val="105"/>
          <w:sz w:val="13"/>
        </w:rPr>
        <w:t xml:space="preserve"> </w:t>
      </w:r>
      <w:r>
        <w:rPr>
          <w:color w:val="0075BF"/>
          <w:spacing w:val="-2"/>
          <w:w w:val="105"/>
          <w:sz w:val="13"/>
        </w:rPr>
        <w:t>Y</w:t>
      </w:r>
      <w:r>
        <w:rPr>
          <w:color w:val="0075BF"/>
          <w:spacing w:val="2"/>
          <w:w w:val="105"/>
          <w:sz w:val="13"/>
        </w:rPr>
        <w:t xml:space="preserve"> </w:t>
      </w:r>
      <w:r>
        <w:rPr>
          <w:color w:val="0075BF"/>
          <w:spacing w:val="-2"/>
          <w:w w:val="105"/>
          <w:sz w:val="13"/>
        </w:rPr>
        <w:t>EXPRESIÓN</w:t>
      </w:r>
    </w:p>
    <w:p w14:paraId="02D87913" w14:textId="77777777" w:rsidR="0014798C" w:rsidRDefault="0014798C">
      <w:pPr>
        <w:pStyle w:val="Textoindependiente"/>
        <w:rPr>
          <w:sz w:val="14"/>
        </w:rPr>
      </w:pPr>
    </w:p>
    <w:p w14:paraId="45A96CB3" w14:textId="77777777" w:rsidR="0014798C" w:rsidRDefault="0014798C">
      <w:pPr>
        <w:pStyle w:val="Textoindependiente"/>
        <w:rPr>
          <w:sz w:val="14"/>
        </w:rPr>
      </w:pPr>
    </w:p>
    <w:p w14:paraId="0FBBDB9C" w14:textId="77777777" w:rsidR="0014798C" w:rsidRDefault="0014798C">
      <w:pPr>
        <w:pStyle w:val="Textoindependiente"/>
        <w:rPr>
          <w:sz w:val="14"/>
        </w:rPr>
      </w:pPr>
    </w:p>
    <w:p w14:paraId="34E4AC37" w14:textId="77777777" w:rsidR="0014798C" w:rsidRDefault="0014798C">
      <w:pPr>
        <w:pStyle w:val="Textoindependiente"/>
        <w:rPr>
          <w:sz w:val="14"/>
        </w:rPr>
      </w:pPr>
    </w:p>
    <w:p w14:paraId="43AF8AD4" w14:textId="77777777" w:rsidR="0014798C" w:rsidRDefault="0014798C">
      <w:pPr>
        <w:pStyle w:val="Textoindependiente"/>
        <w:rPr>
          <w:sz w:val="14"/>
        </w:rPr>
      </w:pPr>
    </w:p>
    <w:p w14:paraId="406DC07B" w14:textId="77777777" w:rsidR="0014798C" w:rsidRDefault="0014798C">
      <w:pPr>
        <w:pStyle w:val="Textoindependiente"/>
        <w:spacing w:before="39"/>
        <w:rPr>
          <w:sz w:val="14"/>
        </w:rPr>
      </w:pPr>
    </w:p>
    <w:p w14:paraId="4D7E03E0" w14:textId="77777777" w:rsidR="0014798C" w:rsidRDefault="004E1F0B">
      <w:pPr>
        <w:spacing w:line="372" w:lineRule="auto"/>
        <w:ind w:left="1899" w:right="2004" w:hanging="3"/>
        <w:rPr>
          <w:sz w:val="14"/>
        </w:rPr>
      </w:pPr>
      <w:r>
        <w:rPr>
          <w:noProof/>
        </w:rPr>
        <w:drawing>
          <wp:anchor distT="0" distB="0" distL="0" distR="0" simplePos="0" relativeHeight="251658490" behindDoc="1" locked="0" layoutInCell="1" allowOverlap="1" wp14:anchorId="08C9DB8A" wp14:editId="42F8043D">
            <wp:simplePos x="0" y="0"/>
            <wp:positionH relativeFrom="page">
              <wp:posOffset>795184</wp:posOffset>
            </wp:positionH>
            <wp:positionV relativeFrom="paragraph">
              <wp:posOffset>-167115</wp:posOffset>
            </wp:positionV>
            <wp:extent cx="6761315" cy="6762496"/>
            <wp:effectExtent l="0" t="0" r="0" b="0"/>
            <wp:wrapNone/>
            <wp:docPr id="359" name="Image 35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59" name="Image 359"/>
                    <pic:cNvPicPr/>
                  </pic:nvPicPr>
                  <pic:blipFill>
                    <a:blip r:embed="rId331" cstate="print"/>
                    <a:stretch>
                      <a:fillRect/>
                    </a:stretch>
                  </pic:blipFill>
                  <pic:spPr>
                    <a:xfrm>
                      <a:off x="0" y="0"/>
                      <a:ext cx="6761315" cy="6762496"/>
                    </a:xfrm>
                    <a:prstGeom prst="rect">
                      <a:avLst/>
                    </a:prstGeom>
                  </pic:spPr>
                </pic:pic>
              </a:graphicData>
            </a:graphic>
          </wp:anchor>
        </w:drawing>
      </w:r>
      <w:r>
        <w:rPr>
          <w:sz w:val="14"/>
        </w:rPr>
        <w:t>transmitidos en los principales medios de comunicación o a través de Internet, la frecuencia, la cantidad y el alcance de las</w:t>
      </w:r>
      <w:r>
        <w:rPr>
          <w:spacing w:val="40"/>
          <w:sz w:val="14"/>
        </w:rPr>
        <w:t xml:space="preserve"> </w:t>
      </w:r>
      <w:r>
        <w:rPr>
          <w:sz w:val="14"/>
        </w:rPr>
        <w:t>comunicaciones, si la audiencia tenía los medios para actuar ante la incitación, si la declaración (o el trabajo) circula en un</w:t>
      </w:r>
      <w:r>
        <w:rPr>
          <w:spacing w:val="40"/>
          <w:sz w:val="14"/>
        </w:rPr>
        <w:t xml:space="preserve"> </w:t>
      </w:r>
      <w:r>
        <w:rPr>
          <w:sz w:val="14"/>
        </w:rPr>
        <w:t>entorno</w:t>
      </w:r>
      <w:r>
        <w:rPr>
          <w:spacing w:val="-1"/>
          <w:sz w:val="14"/>
        </w:rPr>
        <w:t xml:space="preserve"> </w:t>
      </w:r>
      <w:r>
        <w:rPr>
          <w:sz w:val="14"/>
        </w:rPr>
        <w:t>restringido</w:t>
      </w:r>
      <w:r>
        <w:rPr>
          <w:spacing w:val="-1"/>
          <w:sz w:val="14"/>
        </w:rPr>
        <w:t xml:space="preserve"> </w:t>
      </w:r>
      <w:r>
        <w:rPr>
          <w:sz w:val="14"/>
        </w:rPr>
        <w:t>o</w:t>
      </w:r>
      <w:r>
        <w:rPr>
          <w:spacing w:val="-1"/>
          <w:sz w:val="14"/>
        </w:rPr>
        <w:t xml:space="preserve"> </w:t>
      </w:r>
      <w:r>
        <w:rPr>
          <w:sz w:val="14"/>
        </w:rPr>
        <w:t>ampliamente</w:t>
      </w:r>
      <w:r>
        <w:rPr>
          <w:spacing w:val="-1"/>
          <w:sz w:val="14"/>
        </w:rPr>
        <w:t xml:space="preserve"> </w:t>
      </w:r>
      <w:r>
        <w:rPr>
          <w:sz w:val="14"/>
        </w:rPr>
        <w:t>accesible</w:t>
      </w:r>
      <w:r>
        <w:rPr>
          <w:spacing w:val="-1"/>
          <w:sz w:val="14"/>
        </w:rPr>
        <w:t xml:space="preserve"> </w:t>
      </w:r>
      <w:r>
        <w:rPr>
          <w:sz w:val="14"/>
        </w:rPr>
        <w:t>al</w:t>
      </w:r>
      <w:r>
        <w:rPr>
          <w:spacing w:val="-1"/>
          <w:sz w:val="14"/>
        </w:rPr>
        <w:t xml:space="preserve"> </w:t>
      </w:r>
      <w:r>
        <w:rPr>
          <w:sz w:val="14"/>
        </w:rPr>
        <w:t>público</w:t>
      </w:r>
      <w:r>
        <w:rPr>
          <w:spacing w:val="-1"/>
          <w:sz w:val="14"/>
        </w:rPr>
        <w:t xml:space="preserve"> </w:t>
      </w:r>
      <w:r>
        <w:rPr>
          <w:sz w:val="14"/>
        </w:rPr>
        <w:t>en</w:t>
      </w:r>
      <w:r>
        <w:rPr>
          <w:spacing w:val="-1"/>
          <w:sz w:val="14"/>
        </w:rPr>
        <w:t xml:space="preserve"> </w:t>
      </w:r>
      <w:r>
        <w:rPr>
          <w:sz w:val="14"/>
        </w:rPr>
        <w:t>general;</w:t>
      </w:r>
      <w:r>
        <w:rPr>
          <w:spacing w:val="-1"/>
          <w:sz w:val="14"/>
        </w:rPr>
        <w:t xml:space="preserve"> </w:t>
      </w:r>
      <w:r>
        <w:rPr>
          <w:sz w:val="14"/>
        </w:rPr>
        <w:t>f)</w:t>
      </w:r>
      <w:r>
        <w:rPr>
          <w:spacing w:val="-1"/>
          <w:sz w:val="14"/>
        </w:rPr>
        <w:t xml:space="preserve"> </w:t>
      </w:r>
      <w:r>
        <w:rPr>
          <w:sz w:val="14"/>
        </w:rPr>
        <w:t>Probabilidad, incluida</w:t>
      </w:r>
      <w:r>
        <w:rPr>
          <w:spacing w:val="-1"/>
          <w:sz w:val="14"/>
        </w:rPr>
        <w:t xml:space="preserve"> </w:t>
      </w:r>
      <w:r>
        <w:rPr>
          <w:sz w:val="14"/>
        </w:rPr>
        <w:t>la</w:t>
      </w:r>
      <w:r>
        <w:rPr>
          <w:spacing w:val="-1"/>
          <w:sz w:val="14"/>
        </w:rPr>
        <w:t xml:space="preserve"> </w:t>
      </w:r>
      <w:r>
        <w:rPr>
          <w:sz w:val="14"/>
        </w:rPr>
        <w:t>inminencia: la</w:t>
      </w:r>
      <w:r>
        <w:rPr>
          <w:spacing w:val="-1"/>
          <w:sz w:val="14"/>
        </w:rPr>
        <w:t xml:space="preserve"> </w:t>
      </w:r>
      <w:r>
        <w:rPr>
          <w:sz w:val="14"/>
        </w:rPr>
        <w:t>incitación, por</w:t>
      </w:r>
      <w:r>
        <w:rPr>
          <w:spacing w:val="40"/>
          <w:sz w:val="14"/>
        </w:rPr>
        <w:t xml:space="preserve"> </w:t>
      </w:r>
      <w:r>
        <w:rPr>
          <w:sz w:val="14"/>
        </w:rPr>
        <w:t>definición, es un delito</w:t>
      </w:r>
    </w:p>
    <w:p w14:paraId="7667965E" w14:textId="77777777" w:rsidR="0014798C" w:rsidRDefault="004E1F0B">
      <w:pPr>
        <w:spacing w:before="121" w:line="369" w:lineRule="auto"/>
        <w:ind w:left="1899" w:right="1807" w:hanging="329"/>
        <w:rPr>
          <w:sz w:val="14"/>
        </w:rPr>
      </w:pPr>
      <w:r>
        <w:rPr>
          <w:sz w:val="14"/>
        </w:rPr>
        <w:t>incipiente. La acción propugnada a través del discurso de incitación no tiene que cometerse necesariamente para que dicho discurso</w:t>
      </w:r>
      <w:r>
        <w:rPr>
          <w:spacing w:val="40"/>
          <w:sz w:val="14"/>
        </w:rPr>
        <w:t xml:space="preserve"> </w:t>
      </w:r>
      <w:r>
        <w:rPr>
          <w:sz w:val="14"/>
        </w:rPr>
        <w:t>constituya un delito. Sin embargo, es necesario identificar cierto grado de riesgo de daño. Significa que los tribunales tendrán</w:t>
      </w:r>
      <w:r>
        <w:rPr>
          <w:spacing w:val="40"/>
          <w:sz w:val="14"/>
        </w:rPr>
        <w:t xml:space="preserve"> </w:t>
      </w:r>
      <w:r>
        <w:rPr>
          <w:sz w:val="14"/>
        </w:rPr>
        <w:t>que determinar que había una probabilidad razonable de que el discurso lograra incitar a acciones reales contra el grupo</w:t>
      </w:r>
      <w:r>
        <w:rPr>
          <w:spacing w:val="40"/>
          <w:sz w:val="14"/>
        </w:rPr>
        <w:t xml:space="preserve"> </w:t>
      </w:r>
      <w:r>
        <w:rPr>
          <w:sz w:val="14"/>
        </w:rPr>
        <w:t>objetivo, reconociendo que dicha causalidad debería ser más bien directa.1167</w:t>
      </w:r>
    </w:p>
    <w:p w14:paraId="7F0086DC" w14:textId="77777777" w:rsidR="0014798C" w:rsidRDefault="0014798C">
      <w:pPr>
        <w:pStyle w:val="Textoindependiente"/>
        <w:rPr>
          <w:sz w:val="14"/>
        </w:rPr>
      </w:pPr>
    </w:p>
    <w:p w14:paraId="5242A9B8" w14:textId="77777777" w:rsidR="0014798C" w:rsidRDefault="0014798C">
      <w:pPr>
        <w:pStyle w:val="Textoindependiente"/>
        <w:rPr>
          <w:sz w:val="14"/>
        </w:rPr>
      </w:pPr>
    </w:p>
    <w:p w14:paraId="6275E52A" w14:textId="77777777" w:rsidR="0014798C" w:rsidRDefault="0014798C">
      <w:pPr>
        <w:pStyle w:val="Textoindependiente"/>
        <w:rPr>
          <w:sz w:val="14"/>
        </w:rPr>
      </w:pPr>
    </w:p>
    <w:p w14:paraId="5FE5569F" w14:textId="77777777" w:rsidR="0014798C" w:rsidRDefault="0014798C">
      <w:pPr>
        <w:pStyle w:val="Textoindependiente"/>
        <w:rPr>
          <w:sz w:val="14"/>
        </w:rPr>
      </w:pPr>
    </w:p>
    <w:p w14:paraId="7C38EDD8" w14:textId="77777777" w:rsidR="0014798C" w:rsidRDefault="0014798C">
      <w:pPr>
        <w:pStyle w:val="Textoindependiente"/>
        <w:spacing w:before="148"/>
        <w:rPr>
          <w:sz w:val="14"/>
        </w:rPr>
      </w:pPr>
    </w:p>
    <w:p w14:paraId="2F0980BD" w14:textId="77777777" w:rsidR="0014798C" w:rsidRDefault="004E1F0B">
      <w:pPr>
        <w:spacing w:line="372" w:lineRule="auto"/>
        <w:ind w:left="1105" w:right="1372"/>
        <w:rPr>
          <w:sz w:val="14"/>
        </w:rPr>
      </w:pPr>
      <w:r>
        <w:rPr>
          <w:sz w:val="14"/>
        </w:rPr>
        <w:t>El Plan de Acción de Rabat establece además que se deben hacer distinciones con respecto a las sanciones internas entre (a) expresión que</w:t>
      </w:r>
      <w:r>
        <w:rPr>
          <w:spacing w:val="40"/>
          <w:sz w:val="14"/>
        </w:rPr>
        <w:t xml:space="preserve"> </w:t>
      </w:r>
      <w:r>
        <w:rPr>
          <w:sz w:val="14"/>
        </w:rPr>
        <w:t>constituye</w:t>
      </w:r>
      <w:r>
        <w:rPr>
          <w:spacing w:val="-8"/>
          <w:sz w:val="14"/>
        </w:rPr>
        <w:t xml:space="preserve"> </w:t>
      </w:r>
      <w:r>
        <w:rPr>
          <w:sz w:val="14"/>
        </w:rPr>
        <w:t>un</w:t>
      </w:r>
      <w:r>
        <w:rPr>
          <w:spacing w:val="-8"/>
          <w:sz w:val="14"/>
        </w:rPr>
        <w:t xml:space="preserve"> </w:t>
      </w:r>
      <w:r>
        <w:rPr>
          <w:sz w:val="14"/>
        </w:rPr>
        <w:t>delito</w:t>
      </w:r>
      <w:r>
        <w:rPr>
          <w:spacing w:val="-8"/>
          <w:sz w:val="14"/>
        </w:rPr>
        <w:t xml:space="preserve"> </w:t>
      </w:r>
      <w:r>
        <w:rPr>
          <w:sz w:val="14"/>
        </w:rPr>
        <w:t>penal;</w:t>
      </w:r>
      <w:r>
        <w:rPr>
          <w:spacing w:val="-8"/>
          <w:sz w:val="14"/>
        </w:rPr>
        <w:t xml:space="preserve"> </w:t>
      </w:r>
      <w:r>
        <w:rPr>
          <w:sz w:val="14"/>
        </w:rPr>
        <w:t>(b)</w:t>
      </w:r>
      <w:r>
        <w:rPr>
          <w:spacing w:val="-8"/>
          <w:sz w:val="14"/>
        </w:rPr>
        <w:t xml:space="preserve"> </w:t>
      </w:r>
      <w:r>
        <w:rPr>
          <w:sz w:val="14"/>
        </w:rPr>
        <w:t>expresión</w:t>
      </w:r>
      <w:r>
        <w:rPr>
          <w:spacing w:val="-8"/>
          <w:sz w:val="14"/>
        </w:rPr>
        <w:t xml:space="preserve"> </w:t>
      </w:r>
      <w:r>
        <w:rPr>
          <w:sz w:val="14"/>
        </w:rPr>
        <w:t>que</w:t>
      </w:r>
      <w:r>
        <w:rPr>
          <w:spacing w:val="-8"/>
          <w:sz w:val="14"/>
        </w:rPr>
        <w:t xml:space="preserve"> </w:t>
      </w:r>
      <w:r>
        <w:rPr>
          <w:sz w:val="14"/>
        </w:rPr>
        <w:t>no</w:t>
      </w:r>
      <w:r>
        <w:rPr>
          <w:spacing w:val="-8"/>
          <w:sz w:val="14"/>
        </w:rPr>
        <w:t xml:space="preserve"> </w:t>
      </w:r>
      <w:r>
        <w:rPr>
          <w:sz w:val="14"/>
        </w:rPr>
        <w:t>es</w:t>
      </w:r>
      <w:r>
        <w:rPr>
          <w:spacing w:val="-8"/>
          <w:sz w:val="14"/>
        </w:rPr>
        <w:t xml:space="preserve"> </w:t>
      </w:r>
      <w:r>
        <w:rPr>
          <w:sz w:val="14"/>
        </w:rPr>
        <w:t>punible</w:t>
      </w:r>
      <w:r>
        <w:rPr>
          <w:spacing w:val="-8"/>
          <w:sz w:val="14"/>
        </w:rPr>
        <w:t xml:space="preserve"> </w:t>
      </w:r>
      <w:r>
        <w:rPr>
          <w:sz w:val="14"/>
        </w:rPr>
        <w:t>penalmente,</w:t>
      </w:r>
      <w:r>
        <w:rPr>
          <w:spacing w:val="-7"/>
          <w:sz w:val="14"/>
        </w:rPr>
        <w:t xml:space="preserve"> </w:t>
      </w:r>
      <w:r>
        <w:rPr>
          <w:sz w:val="14"/>
        </w:rPr>
        <w:t>pero</w:t>
      </w:r>
      <w:r>
        <w:rPr>
          <w:spacing w:val="-8"/>
          <w:sz w:val="14"/>
        </w:rPr>
        <w:t xml:space="preserve"> </w:t>
      </w:r>
      <w:r>
        <w:rPr>
          <w:sz w:val="14"/>
        </w:rPr>
        <w:t>que</w:t>
      </w:r>
      <w:r>
        <w:rPr>
          <w:spacing w:val="-8"/>
          <w:sz w:val="14"/>
        </w:rPr>
        <w:t xml:space="preserve"> </w:t>
      </w:r>
      <w:r>
        <w:rPr>
          <w:sz w:val="14"/>
        </w:rPr>
        <w:t>puede</w:t>
      </w:r>
      <w:r>
        <w:rPr>
          <w:spacing w:val="-8"/>
          <w:sz w:val="14"/>
        </w:rPr>
        <w:t xml:space="preserve"> </w:t>
      </w:r>
      <w:r>
        <w:rPr>
          <w:sz w:val="14"/>
        </w:rPr>
        <w:t>justificar</w:t>
      </w:r>
      <w:r>
        <w:rPr>
          <w:spacing w:val="-9"/>
          <w:sz w:val="14"/>
        </w:rPr>
        <w:t xml:space="preserve"> </w:t>
      </w:r>
      <w:r>
        <w:rPr>
          <w:sz w:val="14"/>
        </w:rPr>
        <w:t>una</w:t>
      </w:r>
      <w:r>
        <w:rPr>
          <w:spacing w:val="-8"/>
          <w:sz w:val="14"/>
        </w:rPr>
        <w:t xml:space="preserve"> </w:t>
      </w:r>
      <w:r>
        <w:rPr>
          <w:sz w:val="14"/>
        </w:rPr>
        <w:t>demanda</w:t>
      </w:r>
      <w:r>
        <w:rPr>
          <w:spacing w:val="-8"/>
          <w:sz w:val="14"/>
        </w:rPr>
        <w:t xml:space="preserve"> </w:t>
      </w:r>
      <w:r>
        <w:rPr>
          <w:sz w:val="14"/>
        </w:rPr>
        <w:t>civil</w:t>
      </w:r>
      <w:r>
        <w:rPr>
          <w:spacing w:val="-8"/>
          <w:sz w:val="14"/>
        </w:rPr>
        <w:t xml:space="preserve"> </w:t>
      </w:r>
      <w:r>
        <w:rPr>
          <w:sz w:val="14"/>
        </w:rPr>
        <w:t>o</w:t>
      </w:r>
      <w:r>
        <w:rPr>
          <w:spacing w:val="-8"/>
          <w:sz w:val="14"/>
        </w:rPr>
        <w:t xml:space="preserve"> </w:t>
      </w:r>
      <w:r>
        <w:rPr>
          <w:sz w:val="14"/>
        </w:rPr>
        <w:t>sanciones</w:t>
      </w:r>
      <w:r>
        <w:rPr>
          <w:spacing w:val="-8"/>
          <w:sz w:val="14"/>
        </w:rPr>
        <w:t xml:space="preserve"> </w:t>
      </w:r>
      <w:r>
        <w:rPr>
          <w:sz w:val="14"/>
        </w:rPr>
        <w:t>administrativas;</w:t>
      </w:r>
      <w:r>
        <w:rPr>
          <w:spacing w:val="-7"/>
          <w:sz w:val="14"/>
        </w:rPr>
        <w:t xml:space="preserve"> </w:t>
      </w:r>
      <w:r>
        <w:rPr>
          <w:sz w:val="14"/>
        </w:rPr>
        <w:t>(c)</w:t>
      </w:r>
      <w:r>
        <w:rPr>
          <w:spacing w:val="40"/>
          <w:sz w:val="14"/>
        </w:rPr>
        <w:t xml:space="preserve"> </w:t>
      </w:r>
      <w:r>
        <w:rPr>
          <w:sz w:val="14"/>
        </w:rPr>
        <w:t>expresión que no da lugar a sanciones penales, civiles o administrativas,</w:t>
      </w:r>
      <w:r>
        <w:rPr>
          <w:spacing w:val="5"/>
          <w:sz w:val="14"/>
        </w:rPr>
        <w:t xml:space="preserve"> </w:t>
      </w:r>
      <w:r>
        <w:rPr>
          <w:sz w:val="14"/>
        </w:rPr>
        <w:t>pero que aun así suscita preocupación en términos de tolerancia,</w:t>
      </w:r>
      <w:r>
        <w:rPr>
          <w:spacing w:val="5"/>
          <w:sz w:val="14"/>
        </w:rPr>
        <w:t xml:space="preserve"> </w:t>
      </w:r>
      <w:r>
        <w:rPr>
          <w:sz w:val="14"/>
        </w:rPr>
        <w:t>civismo</w:t>
      </w:r>
      <w:r>
        <w:rPr>
          <w:spacing w:val="80"/>
          <w:sz w:val="14"/>
        </w:rPr>
        <w:t xml:space="preserve"> </w:t>
      </w:r>
      <w:r>
        <w:rPr>
          <w:sz w:val="14"/>
        </w:rPr>
        <w:t>y respeto por los derechos de los demás.1168 El Plan de Acción de Rabat observa con preocupación que los autores de incidentes que de hecho</w:t>
      </w:r>
      <w:r>
        <w:rPr>
          <w:spacing w:val="40"/>
          <w:sz w:val="14"/>
        </w:rPr>
        <w:t xml:space="preserve"> </w:t>
      </w:r>
      <w:r>
        <w:rPr>
          <w:sz w:val="14"/>
        </w:rPr>
        <w:t>alcanzan el umbral del artículo 20 del Pacto Internacional de Derechos Civiles y Políticos por lo general no son procesados, mientras que los</w:t>
      </w:r>
      <w:r>
        <w:rPr>
          <w:spacing w:val="40"/>
          <w:sz w:val="14"/>
        </w:rPr>
        <w:t xml:space="preserve"> </w:t>
      </w:r>
      <w:r>
        <w:rPr>
          <w:sz w:val="14"/>
        </w:rPr>
        <w:t>miembros de minorías suelen ser perseguidos de facto, con un efecto paralizador en otros, a través del abuso de legislación, jurisprudencia y</w:t>
      </w:r>
      <w:r>
        <w:rPr>
          <w:spacing w:val="40"/>
          <w:sz w:val="14"/>
        </w:rPr>
        <w:t xml:space="preserve"> </w:t>
      </w:r>
      <w:r>
        <w:rPr>
          <w:sz w:val="14"/>
        </w:rPr>
        <w:t>políticas nacionales vagas.1169</w:t>
      </w:r>
    </w:p>
    <w:p w14:paraId="1A9CA383" w14:textId="77777777" w:rsidR="0014798C" w:rsidRDefault="0014798C">
      <w:pPr>
        <w:pStyle w:val="Textoindependiente"/>
        <w:rPr>
          <w:sz w:val="14"/>
        </w:rPr>
      </w:pPr>
    </w:p>
    <w:p w14:paraId="06398BB2" w14:textId="77777777" w:rsidR="0014798C" w:rsidRDefault="0014798C">
      <w:pPr>
        <w:pStyle w:val="Textoindependiente"/>
        <w:spacing w:before="99"/>
        <w:rPr>
          <w:sz w:val="14"/>
        </w:rPr>
      </w:pPr>
    </w:p>
    <w:p w14:paraId="68B0DA7E" w14:textId="77777777" w:rsidR="0014798C" w:rsidRDefault="004E1F0B">
      <w:pPr>
        <w:spacing w:line="372" w:lineRule="auto"/>
        <w:ind w:left="1107" w:right="1418" w:hanging="1"/>
        <w:rPr>
          <w:sz w:val="14"/>
        </w:rPr>
      </w:pPr>
      <w:r>
        <w:rPr>
          <w:sz w:val="14"/>
        </w:rPr>
        <w:t>Centrarse en la prohibición ha llevado, en varios países y contextos, a que expresiones protegidas por el derecho internacional de los derechos</w:t>
      </w:r>
      <w:r>
        <w:rPr>
          <w:spacing w:val="40"/>
          <w:sz w:val="14"/>
        </w:rPr>
        <w:t xml:space="preserve"> </w:t>
      </w:r>
      <w:r>
        <w:rPr>
          <w:sz w:val="14"/>
        </w:rPr>
        <w:t>humanos se consideren “discurso de odio” porque es políticamente inconveniente o polémico, o porque no es aceptable desde el punto de vista de</w:t>
      </w:r>
      <w:r>
        <w:rPr>
          <w:spacing w:val="40"/>
          <w:sz w:val="14"/>
        </w:rPr>
        <w:t xml:space="preserve"> </w:t>
      </w:r>
      <w:r>
        <w:rPr>
          <w:sz w:val="14"/>
        </w:rPr>
        <w:t>la opinión pública. mayoría. Este es un problema que afecta desproporcionadamente a grupos en riesgo de discriminación y que puede ser parte</w:t>
      </w:r>
      <w:r>
        <w:rPr>
          <w:spacing w:val="40"/>
          <w:sz w:val="14"/>
        </w:rPr>
        <w:t xml:space="preserve"> </w:t>
      </w:r>
      <w:r>
        <w:rPr>
          <w:sz w:val="14"/>
        </w:rPr>
        <w:t>integral del trato negativo que afecta a las minorías.</w:t>
      </w:r>
    </w:p>
    <w:p w14:paraId="63BB01C4" w14:textId="77777777" w:rsidR="0014798C" w:rsidRDefault="004E1F0B">
      <w:pPr>
        <w:spacing w:line="144" w:lineRule="exact"/>
        <w:ind w:left="1106"/>
        <w:rPr>
          <w:sz w:val="15"/>
        </w:rPr>
      </w:pPr>
      <w:r>
        <w:rPr>
          <w:w w:val="105"/>
          <w:sz w:val="15"/>
        </w:rPr>
        <w:t>Al</w:t>
      </w:r>
      <w:r>
        <w:rPr>
          <w:spacing w:val="-8"/>
          <w:w w:val="105"/>
          <w:sz w:val="15"/>
        </w:rPr>
        <w:t xml:space="preserve"> </w:t>
      </w:r>
      <w:r>
        <w:rPr>
          <w:w w:val="105"/>
          <w:sz w:val="15"/>
        </w:rPr>
        <w:t>mismo</w:t>
      </w:r>
      <w:r>
        <w:rPr>
          <w:spacing w:val="-8"/>
          <w:w w:val="105"/>
          <w:sz w:val="15"/>
        </w:rPr>
        <w:t xml:space="preserve"> </w:t>
      </w:r>
      <w:r>
        <w:rPr>
          <w:w w:val="105"/>
          <w:sz w:val="15"/>
        </w:rPr>
        <w:t>tiempo,</w:t>
      </w:r>
      <w:r>
        <w:rPr>
          <w:spacing w:val="-6"/>
          <w:w w:val="105"/>
          <w:sz w:val="15"/>
        </w:rPr>
        <w:t xml:space="preserve"> </w:t>
      </w:r>
      <w:r>
        <w:rPr>
          <w:w w:val="105"/>
          <w:sz w:val="15"/>
        </w:rPr>
        <w:t>a</w:t>
      </w:r>
      <w:r>
        <w:rPr>
          <w:spacing w:val="-8"/>
          <w:w w:val="105"/>
          <w:sz w:val="15"/>
        </w:rPr>
        <w:t xml:space="preserve"> </w:t>
      </w:r>
      <w:r>
        <w:rPr>
          <w:w w:val="105"/>
          <w:sz w:val="15"/>
        </w:rPr>
        <w:t>menudo</w:t>
      </w:r>
      <w:r>
        <w:rPr>
          <w:spacing w:val="-8"/>
          <w:w w:val="105"/>
          <w:sz w:val="15"/>
        </w:rPr>
        <w:t xml:space="preserve"> </w:t>
      </w:r>
      <w:r>
        <w:rPr>
          <w:w w:val="105"/>
          <w:sz w:val="15"/>
        </w:rPr>
        <w:t>se</w:t>
      </w:r>
      <w:r>
        <w:rPr>
          <w:spacing w:val="-7"/>
          <w:w w:val="105"/>
          <w:sz w:val="15"/>
        </w:rPr>
        <w:t xml:space="preserve"> </w:t>
      </w:r>
      <w:r>
        <w:rPr>
          <w:w w:val="105"/>
          <w:sz w:val="15"/>
        </w:rPr>
        <w:t>niega</w:t>
      </w:r>
      <w:r>
        <w:rPr>
          <w:spacing w:val="-8"/>
          <w:w w:val="105"/>
          <w:sz w:val="15"/>
        </w:rPr>
        <w:t xml:space="preserve"> </w:t>
      </w:r>
      <w:r>
        <w:rPr>
          <w:w w:val="105"/>
          <w:sz w:val="15"/>
        </w:rPr>
        <w:t>que</w:t>
      </w:r>
      <w:r>
        <w:rPr>
          <w:spacing w:val="-8"/>
          <w:w w:val="105"/>
          <w:sz w:val="15"/>
        </w:rPr>
        <w:t xml:space="preserve"> </w:t>
      </w:r>
      <w:r>
        <w:rPr>
          <w:w w:val="105"/>
          <w:sz w:val="15"/>
        </w:rPr>
        <w:t>el</w:t>
      </w:r>
      <w:r>
        <w:rPr>
          <w:spacing w:val="-7"/>
          <w:w w:val="105"/>
          <w:sz w:val="15"/>
        </w:rPr>
        <w:t xml:space="preserve"> </w:t>
      </w:r>
      <w:r>
        <w:rPr>
          <w:w w:val="105"/>
          <w:sz w:val="15"/>
        </w:rPr>
        <w:t>discurso</w:t>
      </w:r>
      <w:r>
        <w:rPr>
          <w:spacing w:val="-8"/>
          <w:w w:val="105"/>
          <w:sz w:val="15"/>
        </w:rPr>
        <w:t xml:space="preserve"> </w:t>
      </w:r>
      <w:r>
        <w:rPr>
          <w:w w:val="105"/>
          <w:sz w:val="15"/>
        </w:rPr>
        <w:t>de</w:t>
      </w:r>
      <w:r>
        <w:rPr>
          <w:spacing w:val="-7"/>
          <w:w w:val="105"/>
          <w:sz w:val="15"/>
        </w:rPr>
        <w:t xml:space="preserve"> </w:t>
      </w:r>
      <w:r>
        <w:rPr>
          <w:w w:val="105"/>
          <w:sz w:val="15"/>
        </w:rPr>
        <w:t>odio</w:t>
      </w:r>
      <w:r>
        <w:rPr>
          <w:spacing w:val="-8"/>
          <w:w w:val="105"/>
          <w:sz w:val="15"/>
        </w:rPr>
        <w:t xml:space="preserve"> </w:t>
      </w:r>
      <w:r>
        <w:rPr>
          <w:w w:val="105"/>
          <w:sz w:val="15"/>
        </w:rPr>
        <w:t>afecte</w:t>
      </w:r>
      <w:r>
        <w:rPr>
          <w:spacing w:val="-8"/>
          <w:w w:val="105"/>
          <w:sz w:val="15"/>
        </w:rPr>
        <w:t xml:space="preserve"> </w:t>
      </w:r>
      <w:r>
        <w:rPr>
          <w:w w:val="105"/>
          <w:sz w:val="15"/>
        </w:rPr>
        <w:t>a</w:t>
      </w:r>
      <w:r>
        <w:rPr>
          <w:spacing w:val="-7"/>
          <w:w w:val="105"/>
          <w:sz w:val="15"/>
        </w:rPr>
        <w:t xml:space="preserve"> </w:t>
      </w:r>
      <w:r>
        <w:rPr>
          <w:w w:val="105"/>
          <w:sz w:val="15"/>
        </w:rPr>
        <w:t>grupos</w:t>
      </w:r>
      <w:r>
        <w:rPr>
          <w:spacing w:val="-8"/>
          <w:w w:val="105"/>
          <w:sz w:val="15"/>
        </w:rPr>
        <w:t xml:space="preserve"> </w:t>
      </w:r>
      <w:r>
        <w:rPr>
          <w:w w:val="105"/>
          <w:sz w:val="15"/>
        </w:rPr>
        <w:t>específicos,</w:t>
      </w:r>
      <w:r>
        <w:rPr>
          <w:spacing w:val="-7"/>
          <w:w w:val="105"/>
          <w:sz w:val="15"/>
        </w:rPr>
        <w:t xml:space="preserve"> </w:t>
      </w:r>
      <w:r>
        <w:rPr>
          <w:w w:val="105"/>
          <w:sz w:val="15"/>
        </w:rPr>
        <w:t>en</w:t>
      </w:r>
      <w:r>
        <w:rPr>
          <w:spacing w:val="-7"/>
          <w:w w:val="105"/>
          <w:sz w:val="15"/>
        </w:rPr>
        <w:t xml:space="preserve"> </w:t>
      </w:r>
      <w:r>
        <w:rPr>
          <w:w w:val="105"/>
          <w:sz w:val="15"/>
        </w:rPr>
        <w:t>particular</w:t>
      </w:r>
      <w:r>
        <w:rPr>
          <w:spacing w:val="-8"/>
          <w:w w:val="105"/>
          <w:sz w:val="15"/>
        </w:rPr>
        <w:t xml:space="preserve"> </w:t>
      </w:r>
      <w:r>
        <w:rPr>
          <w:w w:val="105"/>
          <w:sz w:val="15"/>
        </w:rPr>
        <w:t>a</w:t>
      </w:r>
      <w:r>
        <w:rPr>
          <w:spacing w:val="-7"/>
          <w:w w:val="105"/>
          <w:sz w:val="15"/>
        </w:rPr>
        <w:t xml:space="preserve"> </w:t>
      </w:r>
      <w:r>
        <w:rPr>
          <w:w w:val="105"/>
          <w:sz w:val="15"/>
        </w:rPr>
        <w:t>las</w:t>
      </w:r>
      <w:r>
        <w:rPr>
          <w:spacing w:val="-8"/>
          <w:w w:val="105"/>
          <w:sz w:val="15"/>
        </w:rPr>
        <w:t xml:space="preserve"> </w:t>
      </w:r>
      <w:r>
        <w:rPr>
          <w:w w:val="105"/>
          <w:sz w:val="15"/>
        </w:rPr>
        <w:t>minorías.1170</w:t>
      </w:r>
      <w:r>
        <w:rPr>
          <w:spacing w:val="-8"/>
          <w:w w:val="105"/>
          <w:sz w:val="15"/>
        </w:rPr>
        <w:t xml:space="preserve"> </w:t>
      </w:r>
      <w:r>
        <w:rPr>
          <w:spacing w:val="-5"/>
          <w:w w:val="105"/>
          <w:sz w:val="15"/>
        </w:rPr>
        <w:t>El</w:t>
      </w:r>
    </w:p>
    <w:p w14:paraId="183FAEEC" w14:textId="77777777" w:rsidR="0014798C" w:rsidRDefault="004E1F0B">
      <w:pPr>
        <w:spacing w:before="77" w:line="348" w:lineRule="auto"/>
        <w:ind w:left="1108" w:right="1272" w:hanging="1"/>
        <w:rPr>
          <w:sz w:val="15"/>
        </w:rPr>
      </w:pPr>
      <w:r>
        <w:rPr>
          <w:w w:val="105"/>
          <w:sz w:val="15"/>
        </w:rPr>
        <w:t>resultado es una situación en la que “por un lado, los casos de incitación 'reales' no son procesados, mientras que, por el otro, los críticos</w:t>
      </w:r>
      <w:r>
        <w:rPr>
          <w:spacing w:val="-6"/>
          <w:w w:val="105"/>
          <w:sz w:val="15"/>
        </w:rPr>
        <w:t xml:space="preserve"> </w:t>
      </w:r>
      <w:r>
        <w:rPr>
          <w:w w:val="105"/>
          <w:sz w:val="15"/>
        </w:rPr>
        <w:t>pacíficos</w:t>
      </w:r>
      <w:r>
        <w:rPr>
          <w:spacing w:val="-6"/>
          <w:w w:val="105"/>
          <w:sz w:val="15"/>
        </w:rPr>
        <w:t xml:space="preserve"> </w:t>
      </w:r>
      <w:r>
        <w:rPr>
          <w:w w:val="105"/>
          <w:sz w:val="15"/>
        </w:rPr>
        <w:t>no</w:t>
      </w:r>
      <w:r>
        <w:rPr>
          <w:spacing w:val="-6"/>
          <w:w w:val="105"/>
          <w:sz w:val="15"/>
        </w:rPr>
        <w:t xml:space="preserve"> </w:t>
      </w:r>
      <w:r>
        <w:rPr>
          <w:w w:val="105"/>
          <w:sz w:val="15"/>
        </w:rPr>
        <w:t>son</w:t>
      </w:r>
      <w:r>
        <w:rPr>
          <w:spacing w:val="-6"/>
          <w:w w:val="105"/>
          <w:sz w:val="15"/>
        </w:rPr>
        <w:t xml:space="preserve"> </w:t>
      </w:r>
      <w:r>
        <w:rPr>
          <w:w w:val="105"/>
          <w:sz w:val="15"/>
        </w:rPr>
        <w:t>procesados".</w:t>
      </w:r>
      <w:r>
        <w:rPr>
          <w:spacing w:val="-5"/>
          <w:w w:val="105"/>
          <w:sz w:val="15"/>
        </w:rPr>
        <w:t xml:space="preserve"> </w:t>
      </w:r>
      <w:r>
        <w:rPr>
          <w:w w:val="105"/>
          <w:sz w:val="15"/>
        </w:rPr>
        <w:t>son</w:t>
      </w:r>
      <w:r>
        <w:rPr>
          <w:spacing w:val="-6"/>
          <w:w w:val="105"/>
          <w:sz w:val="15"/>
        </w:rPr>
        <w:t xml:space="preserve"> </w:t>
      </w:r>
      <w:r>
        <w:rPr>
          <w:w w:val="105"/>
          <w:sz w:val="15"/>
        </w:rPr>
        <w:t>perseguidos</w:t>
      </w:r>
      <w:r>
        <w:rPr>
          <w:spacing w:val="-6"/>
          <w:w w:val="105"/>
          <w:sz w:val="15"/>
        </w:rPr>
        <w:t xml:space="preserve"> </w:t>
      </w:r>
      <w:r>
        <w:rPr>
          <w:w w:val="105"/>
          <w:sz w:val="15"/>
        </w:rPr>
        <w:t>como</w:t>
      </w:r>
      <w:r>
        <w:rPr>
          <w:spacing w:val="-6"/>
          <w:w w:val="105"/>
          <w:sz w:val="15"/>
        </w:rPr>
        <w:t xml:space="preserve"> </w:t>
      </w:r>
      <w:r>
        <w:rPr>
          <w:w w:val="105"/>
          <w:sz w:val="15"/>
        </w:rPr>
        <w:t>'predicadores</w:t>
      </w:r>
      <w:r>
        <w:rPr>
          <w:spacing w:val="-6"/>
          <w:w w:val="105"/>
          <w:sz w:val="15"/>
        </w:rPr>
        <w:t xml:space="preserve"> </w:t>
      </w:r>
      <w:r>
        <w:rPr>
          <w:w w:val="105"/>
          <w:sz w:val="15"/>
        </w:rPr>
        <w:t>del</w:t>
      </w:r>
      <w:r>
        <w:rPr>
          <w:spacing w:val="-6"/>
          <w:w w:val="105"/>
          <w:sz w:val="15"/>
        </w:rPr>
        <w:t xml:space="preserve"> </w:t>
      </w:r>
      <w:r>
        <w:rPr>
          <w:w w:val="105"/>
          <w:sz w:val="15"/>
        </w:rPr>
        <w:t>odio'”.1171</w:t>
      </w:r>
      <w:r>
        <w:rPr>
          <w:spacing w:val="-6"/>
          <w:w w:val="105"/>
          <w:sz w:val="15"/>
        </w:rPr>
        <w:t xml:space="preserve"> </w:t>
      </w:r>
      <w:r>
        <w:rPr>
          <w:w w:val="105"/>
          <w:sz w:val="15"/>
        </w:rPr>
        <w:t>Estos</w:t>
      </w:r>
      <w:r>
        <w:rPr>
          <w:spacing w:val="-6"/>
          <w:w w:val="105"/>
          <w:sz w:val="15"/>
        </w:rPr>
        <w:t xml:space="preserve"> </w:t>
      </w:r>
      <w:r>
        <w:rPr>
          <w:w w:val="105"/>
          <w:sz w:val="15"/>
        </w:rPr>
        <w:t>son</w:t>
      </w:r>
      <w:r>
        <w:rPr>
          <w:spacing w:val="-6"/>
          <w:w w:val="105"/>
          <w:sz w:val="15"/>
        </w:rPr>
        <w:t xml:space="preserve"> </w:t>
      </w:r>
      <w:r>
        <w:rPr>
          <w:w w:val="105"/>
          <w:sz w:val="15"/>
        </w:rPr>
        <w:t>acontecimientos</w:t>
      </w:r>
      <w:r>
        <w:rPr>
          <w:spacing w:val="-6"/>
          <w:w w:val="105"/>
          <w:sz w:val="15"/>
        </w:rPr>
        <w:t xml:space="preserve"> </w:t>
      </w:r>
      <w:r>
        <w:rPr>
          <w:w w:val="105"/>
          <w:sz w:val="15"/>
        </w:rPr>
        <w:t>preocupantes</w:t>
      </w:r>
    </w:p>
    <w:p w14:paraId="5E264ABB" w14:textId="77777777" w:rsidR="0014798C" w:rsidRDefault="004E1F0B">
      <w:pPr>
        <w:spacing w:line="172" w:lineRule="exact"/>
        <w:ind w:left="1111"/>
        <w:rPr>
          <w:sz w:val="15"/>
        </w:rPr>
      </w:pPr>
      <w:r>
        <w:rPr>
          <w:w w:val="105"/>
          <w:sz w:val="15"/>
        </w:rPr>
        <w:t>y</w:t>
      </w:r>
      <w:r>
        <w:rPr>
          <w:spacing w:val="-8"/>
          <w:w w:val="105"/>
          <w:sz w:val="15"/>
        </w:rPr>
        <w:t xml:space="preserve"> </w:t>
      </w:r>
      <w:r>
        <w:rPr>
          <w:w w:val="105"/>
          <w:sz w:val="15"/>
        </w:rPr>
        <w:t>problemáticos</w:t>
      </w:r>
      <w:r>
        <w:rPr>
          <w:spacing w:val="-7"/>
          <w:w w:val="105"/>
          <w:sz w:val="15"/>
        </w:rPr>
        <w:t xml:space="preserve"> </w:t>
      </w:r>
      <w:r>
        <w:rPr>
          <w:w w:val="105"/>
          <w:sz w:val="15"/>
        </w:rPr>
        <w:t>y</w:t>
      </w:r>
      <w:r>
        <w:rPr>
          <w:spacing w:val="-8"/>
          <w:w w:val="105"/>
          <w:sz w:val="15"/>
        </w:rPr>
        <w:t xml:space="preserve"> </w:t>
      </w:r>
      <w:r>
        <w:rPr>
          <w:w w:val="105"/>
          <w:sz w:val="15"/>
        </w:rPr>
        <w:t>son</w:t>
      </w:r>
      <w:r>
        <w:rPr>
          <w:spacing w:val="-7"/>
          <w:w w:val="105"/>
          <w:sz w:val="15"/>
        </w:rPr>
        <w:t xml:space="preserve"> </w:t>
      </w:r>
      <w:r>
        <w:rPr>
          <w:w w:val="105"/>
          <w:sz w:val="15"/>
        </w:rPr>
        <w:t>parte</w:t>
      </w:r>
      <w:r>
        <w:rPr>
          <w:spacing w:val="-7"/>
          <w:w w:val="105"/>
          <w:sz w:val="15"/>
        </w:rPr>
        <w:t xml:space="preserve"> </w:t>
      </w:r>
      <w:r>
        <w:rPr>
          <w:w w:val="105"/>
          <w:sz w:val="15"/>
        </w:rPr>
        <w:t>de</w:t>
      </w:r>
      <w:r>
        <w:rPr>
          <w:spacing w:val="-8"/>
          <w:w w:val="105"/>
          <w:sz w:val="15"/>
        </w:rPr>
        <w:t xml:space="preserve"> </w:t>
      </w:r>
      <w:r>
        <w:rPr>
          <w:w w:val="105"/>
          <w:sz w:val="15"/>
        </w:rPr>
        <w:t>amenazas</w:t>
      </w:r>
      <w:r>
        <w:rPr>
          <w:spacing w:val="-7"/>
          <w:w w:val="105"/>
          <w:sz w:val="15"/>
        </w:rPr>
        <w:t xml:space="preserve"> </w:t>
      </w:r>
      <w:r>
        <w:rPr>
          <w:w w:val="105"/>
          <w:sz w:val="15"/>
        </w:rPr>
        <w:t>más</w:t>
      </w:r>
      <w:r>
        <w:rPr>
          <w:spacing w:val="-7"/>
          <w:w w:val="105"/>
          <w:sz w:val="15"/>
        </w:rPr>
        <w:t xml:space="preserve"> </w:t>
      </w:r>
      <w:r>
        <w:rPr>
          <w:w w:val="105"/>
          <w:sz w:val="15"/>
        </w:rPr>
        <w:t>amplias</w:t>
      </w:r>
      <w:r>
        <w:rPr>
          <w:spacing w:val="-8"/>
          <w:w w:val="105"/>
          <w:sz w:val="15"/>
        </w:rPr>
        <w:t xml:space="preserve"> </w:t>
      </w:r>
      <w:r>
        <w:rPr>
          <w:w w:val="105"/>
          <w:sz w:val="15"/>
        </w:rPr>
        <w:t>al</w:t>
      </w:r>
      <w:r>
        <w:rPr>
          <w:spacing w:val="-7"/>
          <w:w w:val="105"/>
          <w:sz w:val="15"/>
        </w:rPr>
        <w:t xml:space="preserve"> </w:t>
      </w:r>
      <w:r>
        <w:rPr>
          <w:w w:val="105"/>
          <w:sz w:val="15"/>
        </w:rPr>
        <w:t>espacio</w:t>
      </w:r>
      <w:r>
        <w:rPr>
          <w:spacing w:val="-7"/>
          <w:w w:val="105"/>
          <w:sz w:val="15"/>
        </w:rPr>
        <w:t xml:space="preserve"> </w:t>
      </w:r>
      <w:r>
        <w:rPr>
          <w:w w:val="105"/>
          <w:sz w:val="15"/>
        </w:rPr>
        <w:t>cívico,</w:t>
      </w:r>
      <w:r>
        <w:rPr>
          <w:spacing w:val="-7"/>
          <w:w w:val="105"/>
          <w:sz w:val="15"/>
        </w:rPr>
        <w:t xml:space="preserve"> </w:t>
      </w:r>
      <w:r>
        <w:rPr>
          <w:w w:val="105"/>
          <w:sz w:val="15"/>
        </w:rPr>
        <w:t>cuya</w:t>
      </w:r>
      <w:r>
        <w:rPr>
          <w:spacing w:val="-7"/>
          <w:w w:val="105"/>
          <w:sz w:val="15"/>
        </w:rPr>
        <w:t xml:space="preserve"> </w:t>
      </w:r>
      <w:r>
        <w:rPr>
          <w:w w:val="105"/>
          <w:sz w:val="15"/>
        </w:rPr>
        <w:t>consideración</w:t>
      </w:r>
      <w:r>
        <w:rPr>
          <w:spacing w:val="-8"/>
          <w:w w:val="105"/>
          <w:sz w:val="15"/>
        </w:rPr>
        <w:t xml:space="preserve"> </w:t>
      </w:r>
      <w:r>
        <w:rPr>
          <w:w w:val="105"/>
          <w:sz w:val="15"/>
        </w:rPr>
        <w:t>está</w:t>
      </w:r>
      <w:r>
        <w:rPr>
          <w:spacing w:val="-7"/>
          <w:w w:val="105"/>
          <w:sz w:val="15"/>
        </w:rPr>
        <w:t xml:space="preserve"> </w:t>
      </w:r>
      <w:r>
        <w:rPr>
          <w:w w:val="105"/>
          <w:sz w:val="15"/>
        </w:rPr>
        <w:t>más</w:t>
      </w:r>
      <w:r>
        <w:rPr>
          <w:spacing w:val="-7"/>
          <w:w w:val="105"/>
          <w:sz w:val="15"/>
        </w:rPr>
        <w:t xml:space="preserve"> </w:t>
      </w:r>
      <w:r>
        <w:rPr>
          <w:w w:val="105"/>
          <w:sz w:val="15"/>
        </w:rPr>
        <w:t>allá</w:t>
      </w:r>
      <w:r>
        <w:rPr>
          <w:spacing w:val="-8"/>
          <w:w w:val="105"/>
          <w:sz w:val="15"/>
        </w:rPr>
        <w:t xml:space="preserve"> </w:t>
      </w:r>
      <w:r>
        <w:rPr>
          <w:w w:val="105"/>
          <w:sz w:val="15"/>
        </w:rPr>
        <w:t>del</w:t>
      </w:r>
      <w:r>
        <w:rPr>
          <w:spacing w:val="-7"/>
          <w:w w:val="105"/>
          <w:sz w:val="15"/>
        </w:rPr>
        <w:t xml:space="preserve"> </w:t>
      </w:r>
      <w:r>
        <w:rPr>
          <w:w w:val="105"/>
          <w:sz w:val="15"/>
        </w:rPr>
        <w:t>alcance</w:t>
      </w:r>
      <w:r>
        <w:rPr>
          <w:spacing w:val="-7"/>
          <w:w w:val="105"/>
          <w:sz w:val="15"/>
        </w:rPr>
        <w:t xml:space="preserve"> </w:t>
      </w:r>
      <w:r>
        <w:rPr>
          <w:w w:val="105"/>
          <w:sz w:val="15"/>
        </w:rPr>
        <w:t>de</w:t>
      </w:r>
      <w:r>
        <w:rPr>
          <w:spacing w:val="-8"/>
          <w:w w:val="105"/>
          <w:sz w:val="15"/>
        </w:rPr>
        <w:t xml:space="preserve"> </w:t>
      </w:r>
      <w:r>
        <w:rPr>
          <w:w w:val="105"/>
          <w:sz w:val="15"/>
        </w:rPr>
        <w:t>la</w:t>
      </w:r>
      <w:r>
        <w:rPr>
          <w:spacing w:val="-7"/>
          <w:w w:val="105"/>
          <w:sz w:val="15"/>
        </w:rPr>
        <w:t xml:space="preserve"> </w:t>
      </w:r>
      <w:r>
        <w:rPr>
          <w:w w:val="105"/>
          <w:sz w:val="15"/>
        </w:rPr>
        <w:t>presente</w:t>
      </w:r>
      <w:r>
        <w:rPr>
          <w:spacing w:val="-7"/>
          <w:w w:val="105"/>
          <w:sz w:val="15"/>
        </w:rPr>
        <w:t xml:space="preserve"> </w:t>
      </w:r>
      <w:r>
        <w:rPr>
          <w:spacing w:val="-2"/>
          <w:w w:val="105"/>
          <w:sz w:val="15"/>
        </w:rPr>
        <w:t>guía.1172</w:t>
      </w:r>
    </w:p>
    <w:p w14:paraId="7E0DCE35" w14:textId="77777777" w:rsidR="0014798C" w:rsidRDefault="0014798C">
      <w:pPr>
        <w:pStyle w:val="Textoindependiente"/>
        <w:spacing w:before="115"/>
        <w:rPr>
          <w:sz w:val="14"/>
        </w:rPr>
      </w:pPr>
    </w:p>
    <w:p w14:paraId="72ACC521" w14:textId="77777777" w:rsidR="0014798C" w:rsidRDefault="004E1F0B">
      <w:pPr>
        <w:spacing w:line="372" w:lineRule="auto"/>
        <w:ind w:left="1108" w:right="1463" w:hanging="2"/>
        <w:rPr>
          <w:sz w:val="14"/>
        </w:rPr>
      </w:pPr>
      <w:r>
        <w:rPr>
          <w:noProof/>
        </w:rPr>
        <mc:AlternateContent>
          <mc:Choice Requires="wps">
            <w:drawing>
              <wp:anchor distT="0" distB="0" distL="0" distR="0" simplePos="0" relativeHeight="251658332" behindDoc="0" locked="0" layoutInCell="1" allowOverlap="1" wp14:anchorId="3FC78076" wp14:editId="639802B6">
                <wp:simplePos x="0" y="0"/>
                <wp:positionH relativeFrom="page">
                  <wp:posOffset>7309027</wp:posOffset>
                </wp:positionH>
                <wp:positionV relativeFrom="paragraph">
                  <wp:posOffset>236967</wp:posOffset>
                </wp:positionV>
                <wp:extent cx="85090" cy="203835"/>
                <wp:effectExtent l="0" t="0" r="0" b="0"/>
                <wp:wrapNone/>
                <wp:docPr id="360" name="Textbox 36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85090" cy="203835"/>
                        </a:xfrm>
                        <a:prstGeom prst="rect">
                          <a:avLst/>
                        </a:prstGeom>
                      </wps:spPr>
                      <wps:txbx>
                        <w:txbxContent>
                          <w:p w14:paraId="6DE06479" w14:textId="77777777" w:rsidR="0014798C" w:rsidRDefault="004E1F0B">
                            <w:pPr>
                              <w:spacing w:before="21"/>
                              <w:ind w:left="20"/>
                              <w:rPr>
                                <w:sz w:val="8"/>
                              </w:rPr>
                            </w:pPr>
                            <w:r>
                              <w:rPr>
                                <w:color w:val="FFFFFF"/>
                                <w:spacing w:val="-27"/>
                                <w:w w:val="105"/>
                                <w:sz w:val="8"/>
                              </w:rPr>
                              <w:t>CPAINRCTOE</w:t>
                            </w:r>
                          </w:p>
                        </w:txbxContent>
                      </wps:txbx>
                      <wps:bodyPr vert="vert270" wrap="square" lIns="0" tIns="0" rIns="0" bIns="0" rtlCol="0">
                        <a:noAutofit/>
                      </wps:bodyPr>
                    </wps:wsp>
                  </a:graphicData>
                </a:graphic>
              </wp:anchor>
            </w:drawing>
          </mc:Choice>
          <mc:Fallback>
            <w:pict>
              <v:shape w14:anchorId="3FC78076" id="Textbox 360" o:spid="_x0000_s1173" type="#_x0000_t202" style="position:absolute;left:0;text-align:left;margin-left:575.5pt;margin-top:18.65pt;width:6.7pt;height:16.05pt;z-index:251658332;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" filled="f" stroked="f">
                <v:textbox style="layout-flow:vertical;mso-layout-flow-alt:bottom-to-top" inset="0,0,0,0">
                  <w:txbxContent>
                    <w:p w14:paraId="6DE06479" w14:textId="77777777" w:rsidR="0014798C" w:rsidRDefault="004E1F0B">
                      <w:pPr>
                        <w:spacing w:before="21"/>
                        <w:ind w:left="20"/>
                        <w:rPr>
                          <w:sz w:val="8"/>
                        </w:rPr>
                      </w:pPr>
                      <w:r>
                        <w:rPr>
                          <w:color w:val="FFFFFF"/>
                          <w:spacing w:val="-27"/>
                          <w:w w:val="105"/>
                          <w:sz w:val="8"/>
                        </w:rPr>
                        <w:t>CPAINRCTOE</w:t>
                      </w:r>
                    </w:p>
                  </w:txbxContent>
                </v:textbox>
                <w10:wrap anchorx="page"/>
              </v:shape>
            </w:pict>
          </mc:Fallback>
        </mc:AlternateContent>
      </w:r>
      <w:r>
        <w:rPr>
          <w:sz w:val="14"/>
        </w:rPr>
        <w:t>Al mismo tiempo, hay un aumento de las acciones judiciales y de otros órganos judiciales contra el discurso de odio, debido al rápido aumento de</w:t>
      </w:r>
      <w:r>
        <w:rPr>
          <w:spacing w:val="40"/>
          <w:sz w:val="14"/>
        </w:rPr>
        <w:t xml:space="preserve"> </w:t>
      </w:r>
      <w:r>
        <w:rPr>
          <w:sz w:val="14"/>
        </w:rPr>
        <w:t>las preocupaciones en esta área, en particular debido a la difusión del odio en línea debido a la difusión del discurso de odio por parte del clero y</w:t>
      </w:r>
      <w:r>
        <w:rPr>
          <w:spacing w:val="40"/>
          <w:sz w:val="14"/>
        </w:rPr>
        <w:t xml:space="preserve"> </w:t>
      </w:r>
      <w:r>
        <w:rPr>
          <w:sz w:val="14"/>
        </w:rPr>
        <w:t>otras figuras religiosas. 1173</w:t>
      </w:r>
    </w:p>
    <w:p w14:paraId="6913892F" w14:textId="77777777" w:rsidR="0014798C" w:rsidRDefault="0014798C">
      <w:pPr>
        <w:pStyle w:val="Textoindependiente"/>
        <w:spacing w:before="62"/>
        <w:rPr>
          <w:sz w:val="19"/>
        </w:rPr>
      </w:pPr>
    </w:p>
    <w:p w14:paraId="2D82B634" w14:textId="77777777" w:rsidR="0014798C" w:rsidRDefault="004E1F0B">
      <w:pPr>
        <w:numPr>
          <w:ilvl w:val="0"/>
          <w:numId w:val="7"/>
        </w:numPr>
        <w:tabs>
          <w:tab w:val="left" w:pos="1346"/>
        </w:tabs>
        <w:spacing w:before="1"/>
        <w:ind w:left="1346" w:hanging="211"/>
        <w:rPr>
          <w:color w:val="0075BF"/>
          <w:sz w:val="19"/>
        </w:rPr>
      </w:pPr>
      <w:r>
        <w:rPr>
          <w:color w:val="0075BF"/>
          <w:sz w:val="19"/>
        </w:rPr>
        <w:t xml:space="preserve">Evaluación del </w:t>
      </w:r>
      <w:r>
        <w:rPr>
          <w:color w:val="0075BF"/>
          <w:spacing w:val="-2"/>
          <w:sz w:val="19"/>
        </w:rPr>
        <w:t>contexto</w:t>
      </w:r>
    </w:p>
    <w:p w14:paraId="0A94B279" w14:textId="77777777" w:rsidR="0014798C" w:rsidRDefault="0014798C">
      <w:pPr>
        <w:pStyle w:val="Textoindependiente"/>
        <w:spacing w:before="93"/>
        <w:rPr>
          <w:sz w:val="14"/>
        </w:rPr>
      </w:pPr>
    </w:p>
    <w:p w14:paraId="058F8DAC" w14:textId="77777777" w:rsidR="0014798C" w:rsidRDefault="004E1F0B">
      <w:pPr>
        <w:spacing w:line="372" w:lineRule="auto"/>
        <w:ind w:left="1107" w:right="1272" w:firstLine="7"/>
        <w:rPr>
          <w:sz w:val="14"/>
        </w:rPr>
      </w:pPr>
      <w:r>
        <w:rPr>
          <w:sz w:val="14"/>
        </w:rPr>
        <w:t>Algunos de los criterios establecidos en la prueba del umbral de Rabat merecen comentarios, en particular porque existe jurisprudencia internacional</w:t>
      </w:r>
      <w:r>
        <w:rPr>
          <w:spacing w:val="40"/>
          <w:sz w:val="14"/>
        </w:rPr>
        <w:t xml:space="preserve"> </w:t>
      </w:r>
      <w:r>
        <w:rPr>
          <w:sz w:val="14"/>
        </w:rPr>
        <w:t>en casos particulares o comentarios que detallan aspectos de su significado. Por ejemplo, el Comité para la Eliminación de la Discriminación Racial</w:t>
      </w:r>
      <w:r>
        <w:rPr>
          <w:spacing w:val="40"/>
          <w:sz w:val="14"/>
        </w:rPr>
        <w:t xml:space="preserve"> </w:t>
      </w:r>
      <w:r>
        <w:rPr>
          <w:sz w:val="14"/>
        </w:rPr>
        <w:t>también ha determinado que los Estados han violado la Convención pertinente en casos relacionados con señalización pública ofensiva. En el caso</w:t>
      </w:r>
      <w:r>
        <w:rPr>
          <w:spacing w:val="40"/>
          <w:sz w:val="14"/>
        </w:rPr>
        <w:t xml:space="preserve"> </w:t>
      </w:r>
      <w:r>
        <w:rPr>
          <w:sz w:val="14"/>
        </w:rPr>
        <w:t>Hagan contra Australia, un</w:t>
      </w:r>
    </w:p>
    <w:p w14:paraId="6F3ABE6C" w14:textId="77777777" w:rsidR="0014798C" w:rsidRDefault="0014798C">
      <w:pPr>
        <w:pStyle w:val="Textoindependiente"/>
        <w:rPr>
          <w:sz w:val="12"/>
        </w:rPr>
      </w:pPr>
    </w:p>
    <w:p w14:paraId="3BA82541" w14:textId="77777777" w:rsidR="0014798C" w:rsidRDefault="0014798C">
      <w:pPr>
        <w:pStyle w:val="Textoindependiente"/>
        <w:rPr>
          <w:sz w:val="12"/>
        </w:rPr>
      </w:pPr>
    </w:p>
    <w:p w14:paraId="3CA9F75F" w14:textId="77777777" w:rsidR="0014798C" w:rsidRDefault="0014798C">
      <w:pPr>
        <w:pStyle w:val="Textoindependiente"/>
        <w:rPr>
          <w:sz w:val="12"/>
        </w:rPr>
      </w:pPr>
    </w:p>
    <w:p w14:paraId="5F83B94C" w14:textId="77777777" w:rsidR="0014798C" w:rsidRDefault="0014798C">
      <w:pPr>
        <w:pStyle w:val="Textoindependiente"/>
        <w:spacing w:before="72"/>
        <w:rPr>
          <w:sz w:val="12"/>
        </w:rPr>
      </w:pPr>
    </w:p>
    <w:p w14:paraId="5B6884E1" w14:textId="77777777" w:rsidR="0014798C" w:rsidRDefault="004E1F0B">
      <w:pPr>
        <w:spacing w:before="1"/>
        <w:ind w:left="1111"/>
        <w:rPr>
          <w:sz w:val="12"/>
        </w:rPr>
      </w:pPr>
      <w:r>
        <w:rPr>
          <w:sz w:val="12"/>
        </w:rPr>
        <w:t>1167</w:t>
      </w:r>
      <w:r>
        <w:rPr>
          <w:spacing w:val="-4"/>
          <w:sz w:val="12"/>
        </w:rPr>
        <w:t xml:space="preserve"> </w:t>
      </w:r>
      <w:proofErr w:type="spellStart"/>
      <w:r>
        <w:rPr>
          <w:sz w:val="12"/>
        </w:rPr>
        <w:t>Ibíd</w:t>
      </w:r>
      <w:proofErr w:type="spellEnd"/>
      <w:r>
        <w:rPr>
          <w:sz w:val="12"/>
        </w:rPr>
        <w:t>.,</w:t>
      </w:r>
      <w:r>
        <w:rPr>
          <w:spacing w:val="-4"/>
          <w:sz w:val="12"/>
        </w:rPr>
        <w:t xml:space="preserve"> </w:t>
      </w:r>
      <w:r>
        <w:rPr>
          <w:sz w:val="12"/>
        </w:rPr>
        <w:t>párr.</w:t>
      </w:r>
      <w:r>
        <w:rPr>
          <w:spacing w:val="-4"/>
          <w:sz w:val="12"/>
        </w:rPr>
        <w:t xml:space="preserve"> </w:t>
      </w:r>
      <w:r>
        <w:rPr>
          <w:spacing w:val="-5"/>
          <w:sz w:val="12"/>
        </w:rPr>
        <w:t>29.</w:t>
      </w:r>
    </w:p>
    <w:p w14:paraId="53BE97A2" w14:textId="77777777" w:rsidR="0014798C" w:rsidRDefault="004E1F0B">
      <w:pPr>
        <w:spacing w:before="98"/>
        <w:ind w:left="1111"/>
        <w:rPr>
          <w:sz w:val="12"/>
        </w:rPr>
      </w:pPr>
      <w:r>
        <w:rPr>
          <w:sz w:val="12"/>
        </w:rPr>
        <w:t>1168</w:t>
      </w:r>
      <w:r>
        <w:rPr>
          <w:spacing w:val="-4"/>
          <w:sz w:val="12"/>
        </w:rPr>
        <w:t xml:space="preserve"> </w:t>
      </w:r>
      <w:proofErr w:type="spellStart"/>
      <w:r>
        <w:rPr>
          <w:sz w:val="12"/>
        </w:rPr>
        <w:t>Ibíd</w:t>
      </w:r>
      <w:proofErr w:type="spellEnd"/>
      <w:r>
        <w:rPr>
          <w:sz w:val="12"/>
        </w:rPr>
        <w:t>.,</w:t>
      </w:r>
      <w:r>
        <w:rPr>
          <w:spacing w:val="-4"/>
          <w:sz w:val="12"/>
        </w:rPr>
        <w:t xml:space="preserve"> </w:t>
      </w:r>
      <w:r>
        <w:rPr>
          <w:sz w:val="12"/>
        </w:rPr>
        <w:t>párr.</w:t>
      </w:r>
      <w:r>
        <w:rPr>
          <w:spacing w:val="-4"/>
          <w:sz w:val="12"/>
        </w:rPr>
        <w:t xml:space="preserve"> </w:t>
      </w:r>
      <w:r>
        <w:rPr>
          <w:spacing w:val="-5"/>
          <w:sz w:val="12"/>
        </w:rPr>
        <w:t>20.</w:t>
      </w:r>
    </w:p>
    <w:p w14:paraId="51CC1145" w14:textId="77777777" w:rsidR="0014798C" w:rsidRDefault="004E1F0B">
      <w:pPr>
        <w:spacing w:before="98"/>
        <w:ind w:left="1111"/>
        <w:rPr>
          <w:sz w:val="12"/>
        </w:rPr>
      </w:pPr>
      <w:r>
        <w:rPr>
          <w:sz w:val="12"/>
        </w:rPr>
        <w:t>1169</w:t>
      </w:r>
      <w:r>
        <w:rPr>
          <w:spacing w:val="-4"/>
          <w:sz w:val="12"/>
        </w:rPr>
        <w:t xml:space="preserve"> </w:t>
      </w:r>
      <w:proofErr w:type="spellStart"/>
      <w:r>
        <w:rPr>
          <w:sz w:val="12"/>
        </w:rPr>
        <w:t>Ibíd</w:t>
      </w:r>
      <w:proofErr w:type="spellEnd"/>
      <w:r>
        <w:rPr>
          <w:sz w:val="12"/>
        </w:rPr>
        <w:t>.,</w:t>
      </w:r>
      <w:r>
        <w:rPr>
          <w:spacing w:val="-4"/>
          <w:sz w:val="12"/>
        </w:rPr>
        <w:t xml:space="preserve"> </w:t>
      </w:r>
      <w:r>
        <w:rPr>
          <w:sz w:val="12"/>
        </w:rPr>
        <w:t>párr.</w:t>
      </w:r>
      <w:r>
        <w:rPr>
          <w:spacing w:val="-4"/>
          <w:sz w:val="12"/>
        </w:rPr>
        <w:t xml:space="preserve"> </w:t>
      </w:r>
      <w:r>
        <w:rPr>
          <w:spacing w:val="-5"/>
          <w:sz w:val="12"/>
        </w:rPr>
        <w:t>11.</w:t>
      </w:r>
    </w:p>
    <w:p w14:paraId="1CBF61BB" w14:textId="77777777" w:rsidR="0014798C" w:rsidRDefault="004E1F0B">
      <w:pPr>
        <w:spacing w:before="99" w:line="312" w:lineRule="auto"/>
        <w:ind w:left="1366" w:right="1553" w:hanging="255"/>
        <w:rPr>
          <w:sz w:val="12"/>
        </w:rPr>
      </w:pPr>
      <w:r>
        <w:rPr>
          <w:sz w:val="12"/>
        </w:rPr>
        <w:t>1170 El</w:t>
      </w:r>
      <w:r>
        <w:rPr>
          <w:spacing w:val="-1"/>
          <w:sz w:val="12"/>
        </w:rPr>
        <w:t xml:space="preserve"> </w:t>
      </w:r>
      <w:r>
        <w:rPr>
          <w:sz w:val="12"/>
        </w:rPr>
        <w:t>Relator</w:t>
      </w:r>
      <w:r>
        <w:rPr>
          <w:spacing w:val="-1"/>
          <w:sz w:val="12"/>
        </w:rPr>
        <w:t xml:space="preserve"> </w:t>
      </w:r>
      <w:r>
        <w:rPr>
          <w:sz w:val="12"/>
        </w:rPr>
        <w:t>Especial</w:t>
      </w:r>
      <w:r>
        <w:rPr>
          <w:spacing w:val="-1"/>
          <w:sz w:val="12"/>
        </w:rPr>
        <w:t xml:space="preserve"> </w:t>
      </w:r>
      <w:r>
        <w:rPr>
          <w:sz w:val="12"/>
        </w:rPr>
        <w:t>sobre cuestiones</w:t>
      </w:r>
      <w:r>
        <w:rPr>
          <w:spacing w:val="-1"/>
          <w:sz w:val="12"/>
        </w:rPr>
        <w:t xml:space="preserve"> </w:t>
      </w:r>
      <w:r>
        <w:rPr>
          <w:sz w:val="12"/>
        </w:rPr>
        <w:t>de las minorías</w:t>
      </w:r>
      <w:r>
        <w:rPr>
          <w:spacing w:val="-1"/>
          <w:sz w:val="12"/>
        </w:rPr>
        <w:t xml:space="preserve"> </w:t>
      </w:r>
      <w:r>
        <w:rPr>
          <w:sz w:val="12"/>
        </w:rPr>
        <w:t>ha señalado que: “La amenaza del discurso de odio afecta</w:t>
      </w:r>
      <w:r>
        <w:rPr>
          <w:spacing w:val="-1"/>
          <w:sz w:val="12"/>
        </w:rPr>
        <w:t xml:space="preserve"> </w:t>
      </w:r>
      <w:r>
        <w:rPr>
          <w:sz w:val="12"/>
        </w:rPr>
        <w:t>ante</w:t>
      </w:r>
      <w:r>
        <w:rPr>
          <w:spacing w:val="-1"/>
          <w:sz w:val="12"/>
        </w:rPr>
        <w:t xml:space="preserve"> </w:t>
      </w:r>
      <w:r>
        <w:rPr>
          <w:sz w:val="12"/>
        </w:rPr>
        <w:t>todo</w:t>
      </w:r>
      <w:r>
        <w:rPr>
          <w:spacing w:val="-1"/>
          <w:sz w:val="12"/>
        </w:rPr>
        <w:t xml:space="preserve"> </w:t>
      </w:r>
      <w:r>
        <w:rPr>
          <w:sz w:val="12"/>
        </w:rPr>
        <w:t>a las minorías. Ya</w:t>
      </w:r>
      <w:r>
        <w:rPr>
          <w:spacing w:val="-1"/>
          <w:sz w:val="12"/>
        </w:rPr>
        <w:t xml:space="preserve"> </w:t>
      </w:r>
      <w:r>
        <w:rPr>
          <w:sz w:val="12"/>
        </w:rPr>
        <w:t>sea por omisión o no,</w:t>
      </w:r>
      <w:r>
        <w:rPr>
          <w:spacing w:val="40"/>
          <w:sz w:val="12"/>
        </w:rPr>
        <w:t xml:space="preserve"> </w:t>
      </w:r>
      <w:r>
        <w:rPr>
          <w:sz w:val="12"/>
        </w:rPr>
        <w:t>muchos actores en este campo no reconocen sistemáticamente ni admiten nominalmente quiénes son los principales objetivos del racismo, los prejuicios, la</w:t>
      </w:r>
      <w:r>
        <w:rPr>
          <w:spacing w:val="40"/>
          <w:sz w:val="12"/>
        </w:rPr>
        <w:t xml:space="preserve"> </w:t>
      </w:r>
      <w:r>
        <w:rPr>
          <w:sz w:val="12"/>
        </w:rPr>
        <w:t>búsqueda de chivos expiatorios</w:t>
      </w:r>
      <w:r>
        <w:rPr>
          <w:spacing w:val="-1"/>
          <w:sz w:val="12"/>
        </w:rPr>
        <w:t xml:space="preserve"> </w:t>
      </w:r>
      <w:r>
        <w:rPr>
          <w:sz w:val="12"/>
        </w:rPr>
        <w:t>e incluso la incitación</w:t>
      </w:r>
      <w:r>
        <w:rPr>
          <w:spacing w:val="-1"/>
          <w:sz w:val="12"/>
        </w:rPr>
        <w:t xml:space="preserve"> </w:t>
      </w:r>
      <w:r>
        <w:rPr>
          <w:sz w:val="12"/>
        </w:rPr>
        <w:t>a la violencia en las redes sociales. Al</w:t>
      </w:r>
      <w:r>
        <w:rPr>
          <w:spacing w:val="-1"/>
          <w:sz w:val="12"/>
        </w:rPr>
        <w:t xml:space="preserve"> </w:t>
      </w:r>
      <w:r>
        <w:rPr>
          <w:sz w:val="12"/>
        </w:rPr>
        <w:t>no mencionar</w:t>
      </w:r>
      <w:r>
        <w:rPr>
          <w:spacing w:val="-1"/>
          <w:sz w:val="12"/>
        </w:rPr>
        <w:t xml:space="preserve"> </w:t>
      </w:r>
      <w:r>
        <w:rPr>
          <w:sz w:val="12"/>
        </w:rPr>
        <w:t>específicamente</w:t>
      </w:r>
      <w:r>
        <w:rPr>
          <w:spacing w:val="-1"/>
          <w:sz w:val="12"/>
        </w:rPr>
        <w:t xml:space="preserve"> </w:t>
      </w:r>
      <w:r>
        <w:rPr>
          <w:sz w:val="12"/>
        </w:rPr>
        <w:t>a las minorías, se ignora el alcance y la</w:t>
      </w:r>
      <w:r>
        <w:rPr>
          <w:spacing w:val="40"/>
          <w:sz w:val="12"/>
        </w:rPr>
        <w:t xml:space="preserve"> </w:t>
      </w:r>
      <w:r>
        <w:rPr>
          <w:sz w:val="12"/>
        </w:rPr>
        <w:t>brutalidad</w:t>
      </w:r>
      <w:r>
        <w:rPr>
          <w:spacing w:val="-1"/>
          <w:sz w:val="12"/>
        </w:rPr>
        <w:t xml:space="preserve"> </w:t>
      </w:r>
      <w:r>
        <w:rPr>
          <w:sz w:val="12"/>
        </w:rPr>
        <w:t>del discurso de odio, e incluso se camufla</w:t>
      </w:r>
      <w:r>
        <w:rPr>
          <w:spacing w:val="-1"/>
          <w:sz w:val="12"/>
        </w:rPr>
        <w:t xml:space="preserve"> </w:t>
      </w:r>
      <w:r>
        <w:rPr>
          <w:sz w:val="12"/>
        </w:rPr>
        <w:t>en una niebla de generalidades. En</w:t>
      </w:r>
      <w:r>
        <w:rPr>
          <w:spacing w:val="-1"/>
          <w:sz w:val="12"/>
        </w:rPr>
        <w:t xml:space="preserve"> </w:t>
      </w:r>
      <w:r>
        <w:rPr>
          <w:sz w:val="12"/>
        </w:rPr>
        <w:t>cierto</w:t>
      </w:r>
      <w:r>
        <w:rPr>
          <w:spacing w:val="-1"/>
          <w:sz w:val="12"/>
        </w:rPr>
        <w:t xml:space="preserve"> </w:t>
      </w:r>
      <w:r>
        <w:rPr>
          <w:sz w:val="12"/>
        </w:rPr>
        <w:t>sentido, todo</w:t>
      </w:r>
      <w:r>
        <w:rPr>
          <w:spacing w:val="-1"/>
          <w:sz w:val="12"/>
        </w:rPr>
        <w:t xml:space="preserve"> </w:t>
      </w:r>
      <w:r>
        <w:rPr>
          <w:sz w:val="12"/>
        </w:rPr>
        <w:t>el mundo se convierte en cómplice del odio cuando</w:t>
      </w:r>
    </w:p>
    <w:p w14:paraId="7514F85B" w14:textId="77777777" w:rsidR="0014798C" w:rsidRDefault="004E1F0B">
      <w:pPr>
        <w:spacing w:before="2"/>
        <w:ind w:left="1366"/>
        <w:rPr>
          <w:sz w:val="12"/>
        </w:rPr>
      </w:pPr>
      <w:r>
        <w:rPr>
          <w:sz w:val="12"/>
        </w:rPr>
        <w:t>las</w:t>
      </w:r>
      <w:r>
        <w:rPr>
          <w:spacing w:val="-6"/>
          <w:sz w:val="12"/>
        </w:rPr>
        <w:t xml:space="preserve"> </w:t>
      </w:r>
      <w:r>
        <w:rPr>
          <w:sz w:val="12"/>
        </w:rPr>
        <w:t>principales</w:t>
      </w:r>
      <w:r>
        <w:rPr>
          <w:spacing w:val="-3"/>
          <w:sz w:val="12"/>
        </w:rPr>
        <w:t xml:space="preserve"> </w:t>
      </w:r>
      <w:r>
        <w:rPr>
          <w:sz w:val="12"/>
        </w:rPr>
        <w:t>víctimas</w:t>
      </w:r>
      <w:r>
        <w:rPr>
          <w:spacing w:val="-4"/>
          <w:sz w:val="12"/>
        </w:rPr>
        <w:t xml:space="preserve"> </w:t>
      </w:r>
      <w:r>
        <w:rPr>
          <w:sz w:val="12"/>
        </w:rPr>
        <w:t>permanecen</w:t>
      </w:r>
      <w:r>
        <w:rPr>
          <w:spacing w:val="-3"/>
          <w:sz w:val="12"/>
        </w:rPr>
        <w:t xml:space="preserve"> </w:t>
      </w:r>
      <w:r>
        <w:rPr>
          <w:sz w:val="12"/>
        </w:rPr>
        <w:t>en</w:t>
      </w:r>
      <w:r>
        <w:rPr>
          <w:spacing w:val="-3"/>
          <w:sz w:val="12"/>
        </w:rPr>
        <w:t xml:space="preserve"> </w:t>
      </w:r>
      <w:r>
        <w:rPr>
          <w:sz w:val="12"/>
        </w:rPr>
        <w:t>el</w:t>
      </w:r>
      <w:r>
        <w:rPr>
          <w:spacing w:val="-4"/>
          <w:sz w:val="12"/>
        </w:rPr>
        <w:t xml:space="preserve"> </w:t>
      </w:r>
      <w:r>
        <w:rPr>
          <w:sz w:val="12"/>
        </w:rPr>
        <w:t>anonimato.</w:t>
      </w:r>
      <w:r>
        <w:rPr>
          <w:spacing w:val="-3"/>
          <w:sz w:val="12"/>
        </w:rPr>
        <w:t xml:space="preserve"> </w:t>
      </w:r>
      <w:r>
        <w:rPr>
          <w:sz w:val="12"/>
        </w:rPr>
        <w:t>El</w:t>
      </w:r>
      <w:r>
        <w:rPr>
          <w:spacing w:val="-3"/>
          <w:sz w:val="12"/>
        </w:rPr>
        <w:t xml:space="preserve"> </w:t>
      </w:r>
      <w:r>
        <w:rPr>
          <w:sz w:val="12"/>
        </w:rPr>
        <w:t>resultado</w:t>
      </w:r>
      <w:r>
        <w:rPr>
          <w:spacing w:val="-4"/>
          <w:sz w:val="12"/>
        </w:rPr>
        <w:t xml:space="preserve"> </w:t>
      </w:r>
      <w:r>
        <w:rPr>
          <w:sz w:val="12"/>
        </w:rPr>
        <w:t>es</w:t>
      </w:r>
      <w:r>
        <w:rPr>
          <w:spacing w:val="-3"/>
          <w:sz w:val="12"/>
        </w:rPr>
        <w:t xml:space="preserve"> </w:t>
      </w:r>
      <w:r>
        <w:rPr>
          <w:sz w:val="12"/>
        </w:rPr>
        <w:t>un</w:t>
      </w:r>
      <w:r>
        <w:rPr>
          <w:spacing w:val="-3"/>
          <w:sz w:val="12"/>
        </w:rPr>
        <w:t xml:space="preserve"> </w:t>
      </w:r>
      <w:r>
        <w:rPr>
          <w:sz w:val="12"/>
        </w:rPr>
        <w:t>terreno</w:t>
      </w:r>
      <w:r>
        <w:rPr>
          <w:spacing w:val="-4"/>
          <w:sz w:val="12"/>
        </w:rPr>
        <w:t xml:space="preserve"> </w:t>
      </w:r>
      <w:r>
        <w:rPr>
          <w:sz w:val="12"/>
        </w:rPr>
        <w:t>fértil</w:t>
      </w:r>
      <w:r>
        <w:rPr>
          <w:spacing w:val="-4"/>
          <w:sz w:val="12"/>
        </w:rPr>
        <w:t xml:space="preserve"> </w:t>
      </w:r>
      <w:r>
        <w:rPr>
          <w:sz w:val="12"/>
        </w:rPr>
        <w:t>para</w:t>
      </w:r>
      <w:r>
        <w:rPr>
          <w:spacing w:val="-3"/>
          <w:sz w:val="12"/>
        </w:rPr>
        <w:t xml:space="preserve"> </w:t>
      </w:r>
      <w:r>
        <w:rPr>
          <w:sz w:val="12"/>
        </w:rPr>
        <w:t>alimentar</w:t>
      </w:r>
      <w:r>
        <w:rPr>
          <w:spacing w:val="-4"/>
          <w:sz w:val="12"/>
        </w:rPr>
        <w:t xml:space="preserve"> </w:t>
      </w:r>
      <w:r>
        <w:rPr>
          <w:sz w:val="12"/>
        </w:rPr>
        <w:t>la</w:t>
      </w:r>
      <w:r>
        <w:rPr>
          <w:spacing w:val="-3"/>
          <w:sz w:val="12"/>
        </w:rPr>
        <w:t xml:space="preserve"> </w:t>
      </w:r>
      <w:r>
        <w:rPr>
          <w:sz w:val="12"/>
        </w:rPr>
        <w:t>intolerancia</w:t>
      </w:r>
      <w:r>
        <w:rPr>
          <w:spacing w:val="-4"/>
          <w:sz w:val="12"/>
        </w:rPr>
        <w:t xml:space="preserve"> </w:t>
      </w:r>
      <w:r>
        <w:rPr>
          <w:sz w:val="12"/>
        </w:rPr>
        <w:t>y</w:t>
      </w:r>
      <w:r>
        <w:rPr>
          <w:spacing w:val="-3"/>
          <w:sz w:val="12"/>
        </w:rPr>
        <w:t xml:space="preserve"> </w:t>
      </w:r>
      <w:r>
        <w:rPr>
          <w:sz w:val="12"/>
        </w:rPr>
        <w:t>la</w:t>
      </w:r>
      <w:r>
        <w:rPr>
          <w:spacing w:val="-3"/>
          <w:sz w:val="12"/>
        </w:rPr>
        <w:t xml:space="preserve"> </w:t>
      </w:r>
      <w:r>
        <w:rPr>
          <w:sz w:val="12"/>
        </w:rPr>
        <w:t>exclusión,</w:t>
      </w:r>
      <w:r>
        <w:rPr>
          <w:spacing w:val="-3"/>
          <w:sz w:val="12"/>
        </w:rPr>
        <w:t xml:space="preserve"> </w:t>
      </w:r>
      <w:r>
        <w:rPr>
          <w:sz w:val="12"/>
        </w:rPr>
        <w:t>padrinos</w:t>
      </w:r>
      <w:r>
        <w:rPr>
          <w:spacing w:val="-4"/>
          <w:sz w:val="12"/>
        </w:rPr>
        <w:t xml:space="preserve"> </w:t>
      </w:r>
      <w:r>
        <w:rPr>
          <w:sz w:val="12"/>
        </w:rPr>
        <w:t>del</w:t>
      </w:r>
      <w:r>
        <w:rPr>
          <w:spacing w:val="-3"/>
          <w:sz w:val="12"/>
        </w:rPr>
        <w:t xml:space="preserve"> </w:t>
      </w:r>
      <w:r>
        <w:rPr>
          <w:sz w:val="12"/>
        </w:rPr>
        <w:t>odio</w:t>
      </w:r>
      <w:r>
        <w:rPr>
          <w:spacing w:val="-3"/>
          <w:sz w:val="12"/>
        </w:rPr>
        <w:t xml:space="preserve"> </w:t>
      </w:r>
      <w:r>
        <w:rPr>
          <w:sz w:val="12"/>
        </w:rPr>
        <w:t>hacia</w:t>
      </w:r>
      <w:r>
        <w:rPr>
          <w:spacing w:val="-3"/>
          <w:sz w:val="12"/>
        </w:rPr>
        <w:t xml:space="preserve"> </w:t>
      </w:r>
      <w:r>
        <w:rPr>
          <w:sz w:val="12"/>
        </w:rPr>
        <w:t>las</w:t>
      </w:r>
      <w:r>
        <w:rPr>
          <w:spacing w:val="-3"/>
          <w:sz w:val="12"/>
        </w:rPr>
        <w:t xml:space="preserve"> </w:t>
      </w:r>
      <w:r>
        <w:rPr>
          <w:spacing w:val="-2"/>
          <w:sz w:val="12"/>
        </w:rPr>
        <w:t>minorías”.</w:t>
      </w:r>
    </w:p>
    <w:p w14:paraId="4088A874" w14:textId="77777777" w:rsidR="0014798C" w:rsidRDefault="004E1F0B">
      <w:pPr>
        <w:spacing w:before="41"/>
        <w:ind w:left="1370"/>
        <w:rPr>
          <w:sz w:val="12"/>
        </w:rPr>
      </w:pPr>
      <w:r>
        <w:rPr>
          <w:w w:val="105"/>
          <w:sz w:val="12"/>
        </w:rPr>
        <w:t>Véase</w:t>
      </w:r>
      <w:r>
        <w:rPr>
          <w:spacing w:val="-9"/>
          <w:w w:val="105"/>
          <w:sz w:val="12"/>
        </w:rPr>
        <w:t xml:space="preserve"> </w:t>
      </w:r>
      <w:r>
        <w:rPr>
          <w:w w:val="105"/>
          <w:sz w:val="12"/>
        </w:rPr>
        <w:t>A/HRC/46/57,</w:t>
      </w:r>
      <w:r>
        <w:rPr>
          <w:spacing w:val="-6"/>
          <w:w w:val="105"/>
          <w:sz w:val="12"/>
        </w:rPr>
        <w:t xml:space="preserve"> </w:t>
      </w:r>
      <w:r>
        <w:rPr>
          <w:w w:val="105"/>
          <w:sz w:val="12"/>
        </w:rPr>
        <w:t>párr.</w:t>
      </w:r>
      <w:r>
        <w:rPr>
          <w:spacing w:val="-5"/>
          <w:w w:val="105"/>
          <w:sz w:val="12"/>
        </w:rPr>
        <w:t xml:space="preserve"> 22.</w:t>
      </w:r>
    </w:p>
    <w:p w14:paraId="55B34B79" w14:textId="77777777" w:rsidR="0014798C" w:rsidRPr="00537489" w:rsidRDefault="004E1F0B">
      <w:pPr>
        <w:spacing w:before="98" w:line="312" w:lineRule="auto"/>
        <w:ind w:left="1367" w:right="1602" w:hanging="256"/>
        <w:rPr>
          <w:sz w:val="12"/>
          <w:lang w:val="en-US"/>
        </w:rPr>
      </w:pPr>
      <w:r>
        <w:rPr>
          <w:w w:val="105"/>
          <w:sz w:val="12"/>
          <w:vertAlign w:val="superscript"/>
        </w:rPr>
        <w:t>1171</w:t>
      </w:r>
      <w:r>
        <w:rPr>
          <w:spacing w:val="35"/>
          <w:w w:val="105"/>
          <w:sz w:val="12"/>
        </w:rPr>
        <w:t xml:space="preserve"> </w:t>
      </w:r>
      <w:r>
        <w:rPr>
          <w:w w:val="105"/>
          <w:sz w:val="12"/>
        </w:rPr>
        <w:t xml:space="preserve">ACNUDH, “Prueba de umbral sobre discurso de odio ahora disponible en 32 idiomas”, 15 de mayo de 2020. </w:t>
      </w:r>
      <w:r w:rsidRPr="00537489">
        <w:rPr>
          <w:w w:val="105"/>
          <w:sz w:val="12"/>
          <w:lang w:val="en-US"/>
        </w:rPr>
        <w:t xml:space="preserve">Disponible en </w:t>
      </w:r>
      <w:r>
        <w:fldChar w:fldCharType="begin"/>
      </w:r>
      <w:r w:rsidRPr="00C666B0">
        <w:rPr>
          <w:lang w:val="en-US"/>
        </w:rPr>
        <w:instrText>HYPERLINK "http://www.ohchr.org/EN/NewsEvents/Pages/Hate-speech-threshold-test.aspx" \h</w:instrText>
      </w:r>
      <w:r>
        <w:fldChar w:fldCharType="separate"/>
      </w:r>
      <w:r w:rsidRPr="00537489">
        <w:rPr>
          <w:color w:val="0075BF"/>
          <w:w w:val="105"/>
          <w:sz w:val="12"/>
          <w:lang w:val="en-US"/>
        </w:rPr>
        <w:t>www.ohchr.org/EN/NewsEvents/</w:t>
      </w:r>
      <w:r>
        <w:fldChar w:fldCharType="end"/>
      </w:r>
      <w:r w:rsidRPr="00537489">
        <w:rPr>
          <w:color w:val="0075BF"/>
          <w:spacing w:val="40"/>
          <w:w w:val="105"/>
          <w:sz w:val="12"/>
          <w:lang w:val="en-US"/>
        </w:rPr>
        <w:t xml:space="preserve"> </w:t>
      </w:r>
      <w:proofErr w:type="spellStart"/>
      <w:r w:rsidRPr="00537489">
        <w:rPr>
          <w:color w:val="0075BF"/>
          <w:spacing w:val="-2"/>
          <w:w w:val="105"/>
          <w:sz w:val="12"/>
          <w:lang w:val="en-US"/>
        </w:rPr>
        <w:t>Páginas</w:t>
      </w:r>
      <w:proofErr w:type="spellEnd"/>
      <w:r w:rsidRPr="00537489">
        <w:rPr>
          <w:color w:val="0075BF"/>
          <w:spacing w:val="-2"/>
          <w:w w:val="105"/>
          <w:sz w:val="12"/>
          <w:lang w:val="en-US"/>
        </w:rPr>
        <w:t>/Hate-speech-threshold-test.aspx.</w:t>
      </w:r>
    </w:p>
    <w:p w14:paraId="5A6338EC" w14:textId="77777777" w:rsidR="0014798C" w:rsidRDefault="004E1F0B">
      <w:pPr>
        <w:spacing w:before="46"/>
        <w:ind w:left="1111"/>
        <w:rPr>
          <w:sz w:val="13"/>
        </w:rPr>
      </w:pPr>
      <w:r>
        <w:rPr>
          <w:sz w:val="13"/>
        </w:rPr>
        <w:t>1172</w:t>
      </w:r>
      <w:r>
        <w:rPr>
          <w:spacing w:val="3"/>
          <w:sz w:val="13"/>
        </w:rPr>
        <w:t xml:space="preserve"> </w:t>
      </w:r>
      <w:r>
        <w:rPr>
          <w:sz w:val="13"/>
        </w:rPr>
        <w:t>Naciones</w:t>
      </w:r>
      <w:r>
        <w:rPr>
          <w:spacing w:val="4"/>
          <w:sz w:val="13"/>
        </w:rPr>
        <w:t xml:space="preserve"> </w:t>
      </w:r>
      <w:r>
        <w:rPr>
          <w:sz w:val="13"/>
        </w:rPr>
        <w:t>Unidas,</w:t>
      </w:r>
      <w:r>
        <w:rPr>
          <w:spacing w:val="5"/>
          <w:sz w:val="13"/>
        </w:rPr>
        <w:t xml:space="preserve"> </w:t>
      </w:r>
      <w:r>
        <w:rPr>
          <w:sz w:val="13"/>
        </w:rPr>
        <w:t>“Nota</w:t>
      </w:r>
      <w:r>
        <w:rPr>
          <w:spacing w:val="4"/>
          <w:sz w:val="13"/>
        </w:rPr>
        <w:t xml:space="preserve"> </w:t>
      </w:r>
      <w:r>
        <w:rPr>
          <w:sz w:val="13"/>
        </w:rPr>
        <w:t>orientativa</w:t>
      </w:r>
      <w:r>
        <w:rPr>
          <w:spacing w:val="3"/>
          <w:sz w:val="13"/>
        </w:rPr>
        <w:t xml:space="preserve"> </w:t>
      </w:r>
      <w:r>
        <w:rPr>
          <w:sz w:val="13"/>
        </w:rPr>
        <w:t>de</w:t>
      </w:r>
      <w:r>
        <w:rPr>
          <w:spacing w:val="4"/>
          <w:sz w:val="13"/>
        </w:rPr>
        <w:t xml:space="preserve"> </w:t>
      </w:r>
      <w:r>
        <w:rPr>
          <w:sz w:val="13"/>
        </w:rPr>
        <w:t>las</w:t>
      </w:r>
      <w:r>
        <w:rPr>
          <w:spacing w:val="4"/>
          <w:sz w:val="13"/>
        </w:rPr>
        <w:t xml:space="preserve"> </w:t>
      </w:r>
      <w:r>
        <w:rPr>
          <w:sz w:val="13"/>
        </w:rPr>
        <w:t>Naciones</w:t>
      </w:r>
      <w:r>
        <w:rPr>
          <w:spacing w:val="4"/>
          <w:sz w:val="13"/>
        </w:rPr>
        <w:t xml:space="preserve"> </w:t>
      </w:r>
      <w:r>
        <w:rPr>
          <w:sz w:val="13"/>
        </w:rPr>
        <w:t>Unidas:</w:t>
      </w:r>
      <w:r>
        <w:rPr>
          <w:spacing w:val="4"/>
          <w:sz w:val="13"/>
        </w:rPr>
        <w:t xml:space="preserve"> </w:t>
      </w:r>
      <w:r>
        <w:rPr>
          <w:sz w:val="13"/>
        </w:rPr>
        <w:t>Protección</w:t>
      </w:r>
      <w:r>
        <w:rPr>
          <w:spacing w:val="4"/>
          <w:sz w:val="13"/>
        </w:rPr>
        <w:t xml:space="preserve"> </w:t>
      </w:r>
      <w:r>
        <w:rPr>
          <w:sz w:val="13"/>
        </w:rPr>
        <w:t>y</w:t>
      </w:r>
      <w:r>
        <w:rPr>
          <w:spacing w:val="4"/>
          <w:sz w:val="13"/>
        </w:rPr>
        <w:t xml:space="preserve"> </w:t>
      </w:r>
      <w:r>
        <w:rPr>
          <w:sz w:val="13"/>
        </w:rPr>
        <w:t>promoción</w:t>
      </w:r>
      <w:r>
        <w:rPr>
          <w:spacing w:val="4"/>
          <w:sz w:val="13"/>
        </w:rPr>
        <w:t xml:space="preserve"> </w:t>
      </w:r>
      <w:r>
        <w:rPr>
          <w:sz w:val="13"/>
        </w:rPr>
        <w:t>del</w:t>
      </w:r>
      <w:r>
        <w:rPr>
          <w:spacing w:val="3"/>
          <w:sz w:val="13"/>
        </w:rPr>
        <w:t xml:space="preserve"> </w:t>
      </w:r>
      <w:r>
        <w:rPr>
          <w:sz w:val="13"/>
        </w:rPr>
        <w:t>espacio</w:t>
      </w:r>
      <w:r>
        <w:rPr>
          <w:spacing w:val="4"/>
          <w:sz w:val="13"/>
        </w:rPr>
        <w:t xml:space="preserve"> </w:t>
      </w:r>
      <w:r>
        <w:rPr>
          <w:sz w:val="13"/>
        </w:rPr>
        <w:t>cívico”</w:t>
      </w:r>
      <w:r>
        <w:rPr>
          <w:spacing w:val="4"/>
          <w:sz w:val="13"/>
        </w:rPr>
        <w:t xml:space="preserve"> </w:t>
      </w:r>
      <w:r>
        <w:rPr>
          <w:sz w:val="13"/>
        </w:rPr>
        <w:t>(2020).</w:t>
      </w:r>
      <w:r>
        <w:rPr>
          <w:spacing w:val="5"/>
          <w:sz w:val="13"/>
        </w:rPr>
        <w:t xml:space="preserve"> </w:t>
      </w:r>
      <w:r>
        <w:rPr>
          <w:sz w:val="13"/>
        </w:rPr>
        <w:t>Disponible</w:t>
      </w:r>
      <w:r>
        <w:rPr>
          <w:spacing w:val="3"/>
          <w:sz w:val="13"/>
        </w:rPr>
        <w:t xml:space="preserve"> </w:t>
      </w:r>
      <w:r>
        <w:rPr>
          <w:sz w:val="13"/>
        </w:rPr>
        <w:t>en</w:t>
      </w:r>
      <w:r>
        <w:rPr>
          <w:spacing w:val="4"/>
          <w:sz w:val="13"/>
        </w:rPr>
        <w:t xml:space="preserve"> </w:t>
      </w:r>
      <w:hyperlink r:id="rId332">
        <w:r>
          <w:rPr>
            <w:color w:val="0075BF"/>
            <w:spacing w:val="-2"/>
            <w:sz w:val="13"/>
          </w:rPr>
          <w:t>www.ohchr.org/</w:t>
        </w:r>
      </w:hyperlink>
    </w:p>
    <w:p w14:paraId="2B8B9904" w14:textId="77777777" w:rsidR="0014798C" w:rsidRDefault="004E1F0B">
      <w:pPr>
        <w:spacing w:before="23"/>
        <w:ind w:left="1367"/>
        <w:rPr>
          <w:sz w:val="14"/>
        </w:rPr>
      </w:pPr>
      <w:hyperlink r:id="rId333">
        <w:r>
          <w:rPr>
            <w:color w:val="0075BF"/>
            <w:spacing w:val="-2"/>
            <w:sz w:val="14"/>
          </w:rPr>
          <w:t>Documentos/Issues/</w:t>
        </w:r>
        <w:proofErr w:type="spellStart"/>
        <w:r>
          <w:rPr>
            <w:color w:val="0075BF"/>
            <w:spacing w:val="-2"/>
            <w:sz w:val="14"/>
          </w:rPr>
          <w:t>CivicSpace</w:t>
        </w:r>
        <w:proofErr w:type="spellEnd"/>
        <w:r>
          <w:rPr>
            <w:color w:val="0075BF"/>
            <w:spacing w:val="-2"/>
            <w:sz w:val="14"/>
          </w:rPr>
          <w:t>/UN_Guidance_Note.pdf.</w:t>
        </w:r>
      </w:hyperlink>
    </w:p>
    <w:p w14:paraId="2579FBC8" w14:textId="77777777" w:rsidR="0014798C" w:rsidRDefault="004E1F0B">
      <w:pPr>
        <w:spacing w:before="95" w:line="312" w:lineRule="auto"/>
        <w:ind w:left="1369" w:right="1272" w:hanging="259"/>
        <w:rPr>
          <w:sz w:val="12"/>
        </w:rPr>
      </w:pPr>
      <w:r>
        <w:rPr>
          <w:w w:val="105"/>
          <w:sz w:val="12"/>
        </w:rPr>
        <w:t>1173</w:t>
      </w:r>
      <w:r>
        <w:rPr>
          <w:spacing w:val="-2"/>
          <w:w w:val="105"/>
          <w:sz w:val="12"/>
        </w:rPr>
        <w:t xml:space="preserve"> </w:t>
      </w:r>
      <w:r>
        <w:rPr>
          <w:w w:val="105"/>
          <w:sz w:val="12"/>
        </w:rPr>
        <w:t>Naciones</w:t>
      </w:r>
      <w:r>
        <w:rPr>
          <w:spacing w:val="-2"/>
          <w:w w:val="105"/>
          <w:sz w:val="12"/>
        </w:rPr>
        <w:t xml:space="preserve"> </w:t>
      </w:r>
      <w:r>
        <w:rPr>
          <w:w w:val="105"/>
          <w:sz w:val="12"/>
        </w:rPr>
        <w:t>Unidas,</w:t>
      </w:r>
      <w:r>
        <w:rPr>
          <w:spacing w:val="-1"/>
          <w:w w:val="105"/>
          <w:sz w:val="12"/>
        </w:rPr>
        <w:t xml:space="preserve"> </w:t>
      </w:r>
      <w:r>
        <w:rPr>
          <w:w w:val="105"/>
          <w:sz w:val="12"/>
        </w:rPr>
        <w:t>“Estrategia</w:t>
      </w:r>
      <w:r>
        <w:rPr>
          <w:spacing w:val="-2"/>
          <w:w w:val="105"/>
          <w:sz w:val="12"/>
        </w:rPr>
        <w:t xml:space="preserve"> </w:t>
      </w:r>
      <w:r>
        <w:rPr>
          <w:w w:val="105"/>
          <w:sz w:val="12"/>
        </w:rPr>
        <w:t>y</w:t>
      </w:r>
      <w:r>
        <w:rPr>
          <w:spacing w:val="-2"/>
          <w:w w:val="105"/>
          <w:sz w:val="12"/>
        </w:rPr>
        <w:t xml:space="preserve"> </w:t>
      </w:r>
      <w:r>
        <w:rPr>
          <w:w w:val="105"/>
          <w:sz w:val="12"/>
        </w:rPr>
        <w:t>plan</w:t>
      </w:r>
      <w:r>
        <w:rPr>
          <w:spacing w:val="-2"/>
          <w:w w:val="105"/>
          <w:sz w:val="12"/>
        </w:rPr>
        <w:t xml:space="preserve"> </w:t>
      </w:r>
      <w:r>
        <w:rPr>
          <w:w w:val="105"/>
          <w:sz w:val="12"/>
        </w:rPr>
        <w:t>de</w:t>
      </w:r>
      <w:r>
        <w:rPr>
          <w:spacing w:val="-2"/>
          <w:w w:val="105"/>
          <w:sz w:val="12"/>
        </w:rPr>
        <w:t xml:space="preserve"> </w:t>
      </w:r>
      <w:r>
        <w:rPr>
          <w:w w:val="105"/>
          <w:sz w:val="12"/>
        </w:rPr>
        <w:t>acción</w:t>
      </w:r>
      <w:r>
        <w:rPr>
          <w:spacing w:val="-2"/>
          <w:w w:val="105"/>
          <w:sz w:val="12"/>
        </w:rPr>
        <w:t xml:space="preserve"> </w:t>
      </w:r>
      <w:r>
        <w:rPr>
          <w:w w:val="105"/>
          <w:sz w:val="12"/>
        </w:rPr>
        <w:t>sobre</w:t>
      </w:r>
      <w:r>
        <w:rPr>
          <w:spacing w:val="-2"/>
          <w:w w:val="105"/>
          <w:sz w:val="12"/>
        </w:rPr>
        <w:t xml:space="preserve"> </w:t>
      </w:r>
      <w:r>
        <w:rPr>
          <w:w w:val="105"/>
          <w:sz w:val="12"/>
        </w:rPr>
        <w:t>el</w:t>
      </w:r>
      <w:r>
        <w:rPr>
          <w:spacing w:val="-2"/>
          <w:w w:val="105"/>
          <w:sz w:val="12"/>
        </w:rPr>
        <w:t xml:space="preserve"> </w:t>
      </w:r>
      <w:r>
        <w:rPr>
          <w:w w:val="105"/>
          <w:sz w:val="12"/>
        </w:rPr>
        <w:t>discurso</w:t>
      </w:r>
      <w:r>
        <w:rPr>
          <w:spacing w:val="-2"/>
          <w:w w:val="105"/>
          <w:sz w:val="12"/>
        </w:rPr>
        <w:t xml:space="preserve"> </w:t>
      </w:r>
      <w:r>
        <w:rPr>
          <w:w w:val="105"/>
          <w:sz w:val="12"/>
        </w:rPr>
        <w:t>de</w:t>
      </w:r>
      <w:r>
        <w:rPr>
          <w:spacing w:val="-2"/>
          <w:w w:val="105"/>
          <w:sz w:val="12"/>
        </w:rPr>
        <w:t xml:space="preserve"> </w:t>
      </w:r>
      <w:proofErr w:type="gramStart"/>
      <w:r>
        <w:rPr>
          <w:w w:val="105"/>
          <w:sz w:val="12"/>
        </w:rPr>
        <w:t>odio”;</w:t>
      </w:r>
      <w:proofErr w:type="gramEnd"/>
      <w:r>
        <w:rPr>
          <w:spacing w:val="-1"/>
          <w:w w:val="105"/>
          <w:sz w:val="12"/>
        </w:rPr>
        <w:t xml:space="preserve"> </w:t>
      </w:r>
      <w:r>
        <w:rPr>
          <w:w w:val="105"/>
          <w:sz w:val="12"/>
        </w:rPr>
        <w:t>y</w:t>
      </w:r>
      <w:r>
        <w:rPr>
          <w:spacing w:val="-2"/>
          <w:w w:val="105"/>
          <w:sz w:val="12"/>
        </w:rPr>
        <w:t xml:space="preserve"> </w:t>
      </w:r>
      <w:r>
        <w:rPr>
          <w:w w:val="105"/>
          <w:sz w:val="12"/>
        </w:rPr>
        <w:t>ACNUDH,</w:t>
      </w:r>
      <w:r>
        <w:rPr>
          <w:spacing w:val="-1"/>
          <w:w w:val="105"/>
          <w:sz w:val="12"/>
        </w:rPr>
        <w:t xml:space="preserve"> </w:t>
      </w:r>
      <w:r>
        <w:rPr>
          <w:w w:val="105"/>
          <w:sz w:val="12"/>
        </w:rPr>
        <w:t>#Faith4Rights</w:t>
      </w:r>
      <w:r>
        <w:rPr>
          <w:spacing w:val="-2"/>
          <w:w w:val="105"/>
          <w:sz w:val="12"/>
        </w:rPr>
        <w:t xml:space="preserve"> </w:t>
      </w:r>
      <w:proofErr w:type="spellStart"/>
      <w:r>
        <w:rPr>
          <w:w w:val="105"/>
          <w:sz w:val="12"/>
        </w:rPr>
        <w:t>Toolkit</w:t>
      </w:r>
      <w:proofErr w:type="spellEnd"/>
      <w:r>
        <w:rPr>
          <w:w w:val="105"/>
          <w:sz w:val="12"/>
        </w:rPr>
        <w:t>,</w:t>
      </w:r>
      <w:r>
        <w:rPr>
          <w:spacing w:val="-1"/>
          <w:w w:val="105"/>
          <w:sz w:val="12"/>
        </w:rPr>
        <w:t xml:space="preserve"> </w:t>
      </w:r>
      <w:r>
        <w:rPr>
          <w:w w:val="105"/>
          <w:sz w:val="12"/>
        </w:rPr>
        <w:t>módulo</w:t>
      </w:r>
      <w:r>
        <w:rPr>
          <w:spacing w:val="-2"/>
          <w:w w:val="105"/>
          <w:sz w:val="12"/>
        </w:rPr>
        <w:t xml:space="preserve"> </w:t>
      </w:r>
      <w:r>
        <w:rPr>
          <w:w w:val="105"/>
          <w:sz w:val="12"/>
        </w:rPr>
        <w:t>7.</w:t>
      </w:r>
      <w:r>
        <w:rPr>
          <w:spacing w:val="-2"/>
          <w:w w:val="105"/>
          <w:sz w:val="12"/>
        </w:rPr>
        <w:t xml:space="preserve"> </w:t>
      </w:r>
      <w:r>
        <w:rPr>
          <w:w w:val="105"/>
          <w:sz w:val="12"/>
        </w:rPr>
        <w:t>Sobre</w:t>
      </w:r>
      <w:r>
        <w:rPr>
          <w:spacing w:val="-2"/>
          <w:w w:val="105"/>
          <w:sz w:val="12"/>
        </w:rPr>
        <w:t xml:space="preserve"> </w:t>
      </w:r>
      <w:r>
        <w:rPr>
          <w:w w:val="105"/>
          <w:sz w:val="12"/>
        </w:rPr>
        <w:t>los</w:t>
      </w:r>
      <w:r>
        <w:rPr>
          <w:spacing w:val="-2"/>
          <w:w w:val="105"/>
          <w:sz w:val="12"/>
        </w:rPr>
        <w:t xml:space="preserve"> </w:t>
      </w:r>
      <w:r>
        <w:rPr>
          <w:w w:val="105"/>
          <w:sz w:val="12"/>
        </w:rPr>
        <w:t>derechos</w:t>
      </w:r>
      <w:r>
        <w:rPr>
          <w:spacing w:val="-2"/>
          <w:w w:val="105"/>
          <w:sz w:val="12"/>
        </w:rPr>
        <w:t xml:space="preserve"> </w:t>
      </w:r>
      <w:r>
        <w:rPr>
          <w:w w:val="105"/>
          <w:sz w:val="12"/>
        </w:rPr>
        <w:t>humanos</w:t>
      </w:r>
      <w:r>
        <w:rPr>
          <w:spacing w:val="-2"/>
          <w:w w:val="105"/>
          <w:sz w:val="12"/>
        </w:rPr>
        <w:t xml:space="preserve"> </w:t>
      </w:r>
      <w:r>
        <w:rPr>
          <w:w w:val="105"/>
          <w:sz w:val="12"/>
        </w:rPr>
        <w:t>y</w:t>
      </w:r>
      <w:r>
        <w:rPr>
          <w:spacing w:val="-2"/>
          <w:w w:val="105"/>
          <w:sz w:val="12"/>
        </w:rPr>
        <w:t xml:space="preserve"> </w:t>
      </w:r>
      <w:r>
        <w:rPr>
          <w:w w:val="105"/>
          <w:sz w:val="12"/>
        </w:rPr>
        <w:t>el</w:t>
      </w:r>
      <w:r>
        <w:rPr>
          <w:spacing w:val="40"/>
          <w:w w:val="105"/>
          <w:sz w:val="12"/>
        </w:rPr>
        <w:t xml:space="preserve"> </w:t>
      </w:r>
      <w:r>
        <w:rPr>
          <w:w w:val="105"/>
          <w:sz w:val="12"/>
        </w:rPr>
        <w:t xml:space="preserve">discurso de odio por parte del clero, véase </w:t>
      </w:r>
      <w:proofErr w:type="spellStart"/>
      <w:r>
        <w:rPr>
          <w:w w:val="105"/>
          <w:sz w:val="12"/>
        </w:rPr>
        <w:t>Tamas</w:t>
      </w:r>
      <w:proofErr w:type="spellEnd"/>
      <w:r>
        <w:rPr>
          <w:w w:val="105"/>
          <w:sz w:val="12"/>
        </w:rPr>
        <w:t xml:space="preserve"> </w:t>
      </w:r>
      <w:proofErr w:type="spellStart"/>
      <w:r>
        <w:rPr>
          <w:w w:val="105"/>
          <w:sz w:val="12"/>
        </w:rPr>
        <w:t>Kadar</w:t>
      </w:r>
      <w:proofErr w:type="spellEnd"/>
      <w:r>
        <w:rPr>
          <w:w w:val="105"/>
          <w:sz w:val="12"/>
        </w:rPr>
        <w:t>, “</w:t>
      </w:r>
      <w:proofErr w:type="spellStart"/>
      <w:r>
        <w:rPr>
          <w:w w:val="105"/>
          <w:sz w:val="12"/>
        </w:rPr>
        <w:t>Dealing</w:t>
      </w:r>
      <w:proofErr w:type="spellEnd"/>
      <w:r>
        <w:rPr>
          <w:w w:val="105"/>
          <w:sz w:val="12"/>
        </w:rPr>
        <w:t xml:space="preserve"> </w:t>
      </w:r>
      <w:proofErr w:type="spellStart"/>
      <w:r>
        <w:rPr>
          <w:w w:val="105"/>
          <w:sz w:val="12"/>
        </w:rPr>
        <w:t>with</w:t>
      </w:r>
      <w:proofErr w:type="spellEnd"/>
      <w:r>
        <w:rPr>
          <w:w w:val="105"/>
          <w:sz w:val="12"/>
        </w:rPr>
        <w:t xml:space="preserve"> cases </w:t>
      </w:r>
      <w:proofErr w:type="spellStart"/>
      <w:r>
        <w:rPr>
          <w:w w:val="105"/>
          <w:sz w:val="12"/>
        </w:rPr>
        <w:t>related</w:t>
      </w:r>
      <w:proofErr w:type="spellEnd"/>
      <w:r>
        <w:rPr>
          <w:w w:val="105"/>
          <w:sz w:val="12"/>
        </w:rPr>
        <w:t xml:space="preserve"> </w:t>
      </w:r>
      <w:proofErr w:type="spellStart"/>
      <w:r>
        <w:rPr>
          <w:w w:val="105"/>
          <w:sz w:val="12"/>
        </w:rPr>
        <w:t>hate</w:t>
      </w:r>
      <w:proofErr w:type="spellEnd"/>
      <w:r>
        <w:rPr>
          <w:w w:val="105"/>
          <w:sz w:val="12"/>
        </w:rPr>
        <w:t xml:space="preserve"> discurso and </w:t>
      </w:r>
      <w:proofErr w:type="spellStart"/>
      <w:r>
        <w:rPr>
          <w:w w:val="105"/>
          <w:sz w:val="12"/>
        </w:rPr>
        <w:t>incitement</w:t>
      </w:r>
      <w:proofErr w:type="spellEnd"/>
      <w:r>
        <w:rPr>
          <w:w w:val="105"/>
          <w:sz w:val="12"/>
        </w:rPr>
        <w:t xml:space="preserve"> </w:t>
      </w:r>
      <w:proofErr w:type="spellStart"/>
      <w:r>
        <w:rPr>
          <w:w w:val="105"/>
          <w:sz w:val="12"/>
        </w:rPr>
        <w:t>to</w:t>
      </w:r>
      <w:proofErr w:type="spellEnd"/>
      <w:r>
        <w:rPr>
          <w:w w:val="105"/>
          <w:sz w:val="12"/>
        </w:rPr>
        <w:t xml:space="preserve"> </w:t>
      </w:r>
      <w:proofErr w:type="spellStart"/>
      <w:r>
        <w:rPr>
          <w:w w:val="105"/>
          <w:sz w:val="12"/>
        </w:rPr>
        <w:t>discrimination</w:t>
      </w:r>
      <w:proofErr w:type="spellEnd"/>
      <w:r>
        <w:rPr>
          <w:w w:val="105"/>
          <w:sz w:val="12"/>
        </w:rPr>
        <w:t xml:space="preserve"> </w:t>
      </w:r>
      <w:proofErr w:type="spellStart"/>
      <w:r>
        <w:rPr>
          <w:w w:val="105"/>
          <w:sz w:val="12"/>
        </w:rPr>
        <w:t>by</w:t>
      </w:r>
      <w:proofErr w:type="spellEnd"/>
      <w:r>
        <w:rPr>
          <w:w w:val="105"/>
          <w:sz w:val="12"/>
        </w:rPr>
        <w:t xml:space="preserve"> </w:t>
      </w:r>
      <w:proofErr w:type="spellStart"/>
      <w:r>
        <w:rPr>
          <w:w w:val="105"/>
          <w:sz w:val="12"/>
        </w:rPr>
        <w:t>the</w:t>
      </w:r>
      <w:proofErr w:type="spellEnd"/>
      <w:r>
        <w:rPr>
          <w:w w:val="105"/>
          <w:sz w:val="12"/>
        </w:rPr>
        <w:t xml:space="preserve"> </w:t>
      </w:r>
      <w:proofErr w:type="spellStart"/>
      <w:r>
        <w:rPr>
          <w:w w:val="105"/>
          <w:sz w:val="12"/>
        </w:rPr>
        <w:t>clergy</w:t>
      </w:r>
      <w:proofErr w:type="spellEnd"/>
      <w:r>
        <w:rPr>
          <w:w w:val="105"/>
          <w:sz w:val="12"/>
        </w:rPr>
        <w:t>” (Estrasburgo,</w:t>
      </w:r>
      <w:r>
        <w:rPr>
          <w:spacing w:val="40"/>
          <w:w w:val="105"/>
          <w:sz w:val="12"/>
        </w:rPr>
        <w:t xml:space="preserve"> </w:t>
      </w:r>
      <w:r>
        <w:rPr>
          <w:w w:val="105"/>
          <w:sz w:val="12"/>
        </w:rPr>
        <w:t xml:space="preserve">Council of </w:t>
      </w:r>
      <w:proofErr w:type="spellStart"/>
      <w:r>
        <w:rPr>
          <w:w w:val="105"/>
          <w:sz w:val="12"/>
        </w:rPr>
        <w:t>Europe</w:t>
      </w:r>
      <w:proofErr w:type="spellEnd"/>
      <w:r>
        <w:rPr>
          <w:w w:val="105"/>
          <w:sz w:val="12"/>
        </w:rPr>
        <w:t xml:space="preserve"> </w:t>
      </w:r>
      <w:proofErr w:type="spellStart"/>
      <w:r>
        <w:rPr>
          <w:w w:val="105"/>
          <w:sz w:val="12"/>
        </w:rPr>
        <w:t>Press</w:t>
      </w:r>
      <w:proofErr w:type="spellEnd"/>
      <w:r>
        <w:rPr>
          <w:w w:val="105"/>
          <w:sz w:val="12"/>
        </w:rPr>
        <w:t>, 2021).</w:t>
      </w:r>
    </w:p>
    <w:p w14:paraId="53BCEC84" w14:textId="77777777" w:rsidR="0014798C" w:rsidRDefault="0014798C">
      <w:pPr>
        <w:pStyle w:val="Textoindependiente"/>
      </w:pPr>
    </w:p>
    <w:p w14:paraId="11CA5B06" w14:textId="77777777" w:rsidR="0014798C" w:rsidRDefault="0014798C">
      <w:pPr>
        <w:pStyle w:val="Textoindependiente"/>
      </w:pPr>
    </w:p>
    <w:p w14:paraId="1B12AB35" w14:textId="77777777" w:rsidR="0014798C" w:rsidRDefault="0014798C">
      <w:pPr>
        <w:pStyle w:val="Textoindependiente"/>
        <w:spacing w:before="66"/>
      </w:pPr>
    </w:p>
    <w:p w14:paraId="363EC24F" w14:textId="77777777" w:rsidR="0014798C" w:rsidRDefault="004E1F0B">
      <w:pPr>
        <w:pStyle w:val="Textoindependiente"/>
        <w:ind w:right="717"/>
        <w:jc w:val="right"/>
      </w:pPr>
      <w:r>
        <w:rPr>
          <w:spacing w:val="-5"/>
          <w:w w:val="105"/>
        </w:rPr>
        <w:t>181</w:t>
      </w:r>
    </w:p>
    <w:p w14:paraId="20B11111" w14:textId="77777777" w:rsidR="0014798C" w:rsidRDefault="0014798C">
      <w:pPr>
        <w:jc w:val="right"/>
        <w:sectPr w:rsidR="0014798C" w:rsidSect="00F265E4">
          <w:pgSz w:w="11900" w:h="16820"/>
          <w:pgMar w:top="340" w:right="0" w:bottom="280" w:left="200" w:header="121" w:footer="0" w:gutter="0"/>
          <w:cols w:space="720"/>
        </w:sectPr>
      </w:pPr>
    </w:p>
    <w:p w14:paraId="43E86DC7" w14:textId="77777777" w:rsidR="0014798C" w:rsidRDefault="0014798C">
      <w:pPr>
        <w:pStyle w:val="Textoindependiente"/>
        <w:spacing w:before="85"/>
        <w:rPr>
          <w:sz w:val="12"/>
        </w:rPr>
      </w:pPr>
    </w:p>
    <w:p w14:paraId="46C83266" w14:textId="77777777" w:rsidR="0014798C" w:rsidRDefault="004E1F0B">
      <w:pPr>
        <w:ind w:left="1111"/>
        <w:rPr>
          <w:sz w:val="12"/>
        </w:rPr>
      </w:pPr>
      <w:r>
        <w:rPr>
          <w:color w:val="0075BF"/>
          <w:sz w:val="12"/>
        </w:rPr>
        <w:t>PROTECCIÓN</w:t>
      </w:r>
      <w:r>
        <w:rPr>
          <w:color w:val="0075BF"/>
          <w:spacing w:val="6"/>
          <w:sz w:val="12"/>
        </w:rPr>
        <w:t xml:space="preserve"> </w:t>
      </w:r>
      <w:r>
        <w:rPr>
          <w:color w:val="0075BF"/>
          <w:sz w:val="12"/>
        </w:rPr>
        <w:t>DE</w:t>
      </w:r>
      <w:r>
        <w:rPr>
          <w:color w:val="0075BF"/>
          <w:spacing w:val="7"/>
          <w:sz w:val="12"/>
        </w:rPr>
        <w:t xml:space="preserve"> </w:t>
      </w:r>
      <w:r>
        <w:rPr>
          <w:color w:val="0075BF"/>
          <w:sz w:val="12"/>
        </w:rPr>
        <w:t>LOS</w:t>
      </w:r>
      <w:r>
        <w:rPr>
          <w:color w:val="0075BF"/>
          <w:spacing w:val="8"/>
          <w:sz w:val="12"/>
        </w:rPr>
        <w:t xml:space="preserve"> </w:t>
      </w:r>
      <w:r>
        <w:rPr>
          <w:color w:val="0075BF"/>
          <w:sz w:val="12"/>
        </w:rPr>
        <w:t>DERECHOS</w:t>
      </w:r>
      <w:r>
        <w:rPr>
          <w:color w:val="0075BF"/>
          <w:spacing w:val="8"/>
          <w:sz w:val="12"/>
        </w:rPr>
        <w:t xml:space="preserve"> </w:t>
      </w:r>
      <w:r>
        <w:rPr>
          <w:color w:val="0075BF"/>
          <w:sz w:val="12"/>
        </w:rPr>
        <w:t>DE</w:t>
      </w:r>
      <w:r>
        <w:rPr>
          <w:color w:val="0075BF"/>
          <w:spacing w:val="6"/>
          <w:sz w:val="12"/>
        </w:rPr>
        <w:t xml:space="preserve"> </w:t>
      </w:r>
      <w:r>
        <w:rPr>
          <w:color w:val="0075BF"/>
          <w:sz w:val="12"/>
        </w:rPr>
        <w:t>LAS</w:t>
      </w:r>
      <w:r>
        <w:rPr>
          <w:color w:val="0075BF"/>
          <w:spacing w:val="7"/>
          <w:sz w:val="12"/>
        </w:rPr>
        <w:t xml:space="preserve"> </w:t>
      </w:r>
      <w:r>
        <w:rPr>
          <w:color w:val="0075BF"/>
          <w:sz w:val="12"/>
        </w:rPr>
        <w:t>MINORÍAS:</w:t>
      </w:r>
      <w:r>
        <w:rPr>
          <w:color w:val="0075BF"/>
          <w:spacing w:val="8"/>
          <w:sz w:val="12"/>
        </w:rPr>
        <w:t xml:space="preserve"> </w:t>
      </w:r>
      <w:r>
        <w:rPr>
          <w:color w:val="0075BF"/>
          <w:sz w:val="12"/>
        </w:rPr>
        <w:t>una</w:t>
      </w:r>
      <w:r>
        <w:rPr>
          <w:color w:val="0075BF"/>
          <w:spacing w:val="7"/>
          <w:sz w:val="12"/>
        </w:rPr>
        <w:t xml:space="preserve"> </w:t>
      </w:r>
      <w:r>
        <w:rPr>
          <w:color w:val="0075BF"/>
          <w:sz w:val="12"/>
        </w:rPr>
        <w:t>guía</w:t>
      </w:r>
      <w:r>
        <w:rPr>
          <w:color w:val="0075BF"/>
          <w:spacing w:val="6"/>
          <w:sz w:val="12"/>
        </w:rPr>
        <w:t xml:space="preserve"> </w:t>
      </w:r>
      <w:r>
        <w:rPr>
          <w:color w:val="0075BF"/>
          <w:sz w:val="12"/>
        </w:rPr>
        <w:t>práctica</w:t>
      </w:r>
      <w:r>
        <w:rPr>
          <w:color w:val="0075BF"/>
          <w:spacing w:val="7"/>
          <w:sz w:val="12"/>
        </w:rPr>
        <w:t xml:space="preserve"> </w:t>
      </w:r>
      <w:r>
        <w:rPr>
          <w:color w:val="0075BF"/>
          <w:sz w:val="12"/>
        </w:rPr>
        <w:t>para</w:t>
      </w:r>
      <w:r>
        <w:rPr>
          <w:color w:val="0075BF"/>
          <w:spacing w:val="8"/>
          <w:sz w:val="12"/>
        </w:rPr>
        <w:t xml:space="preserve"> </w:t>
      </w:r>
      <w:r>
        <w:rPr>
          <w:color w:val="0075BF"/>
          <w:sz w:val="12"/>
        </w:rPr>
        <w:t>desarrollar</w:t>
      </w:r>
      <w:r>
        <w:rPr>
          <w:color w:val="0075BF"/>
          <w:spacing w:val="6"/>
          <w:sz w:val="12"/>
        </w:rPr>
        <w:t xml:space="preserve"> </w:t>
      </w:r>
      <w:r>
        <w:rPr>
          <w:color w:val="0075BF"/>
          <w:sz w:val="12"/>
        </w:rPr>
        <w:t>una</w:t>
      </w:r>
      <w:r>
        <w:rPr>
          <w:color w:val="0075BF"/>
          <w:spacing w:val="7"/>
          <w:sz w:val="12"/>
        </w:rPr>
        <w:t xml:space="preserve"> </w:t>
      </w:r>
      <w:r>
        <w:rPr>
          <w:color w:val="0075BF"/>
          <w:sz w:val="12"/>
        </w:rPr>
        <w:t>legislación</w:t>
      </w:r>
      <w:r>
        <w:rPr>
          <w:color w:val="0075BF"/>
          <w:spacing w:val="8"/>
          <w:sz w:val="12"/>
        </w:rPr>
        <w:t xml:space="preserve"> </w:t>
      </w:r>
      <w:r>
        <w:rPr>
          <w:color w:val="0075BF"/>
          <w:sz w:val="12"/>
        </w:rPr>
        <w:t>integral</w:t>
      </w:r>
      <w:r>
        <w:rPr>
          <w:color w:val="0075BF"/>
          <w:spacing w:val="7"/>
          <w:sz w:val="12"/>
        </w:rPr>
        <w:t xml:space="preserve"> </w:t>
      </w:r>
      <w:r>
        <w:rPr>
          <w:color w:val="0075BF"/>
          <w:sz w:val="12"/>
        </w:rPr>
        <w:t>contra</w:t>
      </w:r>
      <w:r>
        <w:rPr>
          <w:color w:val="0075BF"/>
          <w:spacing w:val="6"/>
          <w:sz w:val="12"/>
        </w:rPr>
        <w:t xml:space="preserve"> </w:t>
      </w:r>
      <w:r>
        <w:rPr>
          <w:color w:val="0075BF"/>
          <w:sz w:val="12"/>
        </w:rPr>
        <w:t>la</w:t>
      </w:r>
      <w:r>
        <w:rPr>
          <w:color w:val="0075BF"/>
          <w:spacing w:val="7"/>
          <w:sz w:val="12"/>
        </w:rPr>
        <w:t xml:space="preserve"> </w:t>
      </w:r>
      <w:r>
        <w:rPr>
          <w:color w:val="0075BF"/>
          <w:spacing w:val="-2"/>
          <w:sz w:val="12"/>
        </w:rPr>
        <w:t>discriminación</w:t>
      </w:r>
    </w:p>
    <w:p w14:paraId="09425B5C" w14:textId="77777777" w:rsidR="0014798C" w:rsidRDefault="0014798C">
      <w:pPr>
        <w:pStyle w:val="Textoindependiente"/>
        <w:rPr>
          <w:sz w:val="14"/>
        </w:rPr>
      </w:pPr>
    </w:p>
    <w:p w14:paraId="51B785E7" w14:textId="77777777" w:rsidR="0014798C" w:rsidRDefault="0014798C">
      <w:pPr>
        <w:pStyle w:val="Textoindependiente"/>
        <w:rPr>
          <w:sz w:val="14"/>
        </w:rPr>
      </w:pPr>
    </w:p>
    <w:p w14:paraId="0898D294" w14:textId="77777777" w:rsidR="0014798C" w:rsidRDefault="0014798C">
      <w:pPr>
        <w:pStyle w:val="Textoindependiente"/>
        <w:rPr>
          <w:sz w:val="14"/>
        </w:rPr>
      </w:pPr>
    </w:p>
    <w:p w14:paraId="69D31B34" w14:textId="77777777" w:rsidR="0014798C" w:rsidRDefault="0014798C">
      <w:pPr>
        <w:pStyle w:val="Textoindependiente"/>
        <w:rPr>
          <w:sz w:val="14"/>
        </w:rPr>
      </w:pPr>
    </w:p>
    <w:p w14:paraId="62C796DF" w14:textId="77777777" w:rsidR="0014798C" w:rsidRDefault="0014798C">
      <w:pPr>
        <w:pStyle w:val="Textoindependiente"/>
        <w:rPr>
          <w:sz w:val="14"/>
        </w:rPr>
      </w:pPr>
    </w:p>
    <w:p w14:paraId="1DF3C1F4" w14:textId="77777777" w:rsidR="0014798C" w:rsidRDefault="0014798C">
      <w:pPr>
        <w:pStyle w:val="Textoindependiente"/>
        <w:spacing w:before="32"/>
        <w:rPr>
          <w:sz w:val="14"/>
        </w:rPr>
      </w:pPr>
    </w:p>
    <w:p w14:paraId="2B64786C" w14:textId="77777777" w:rsidR="0014798C" w:rsidRDefault="004E1F0B">
      <w:pPr>
        <w:spacing w:line="372" w:lineRule="auto"/>
        <w:ind w:left="1105" w:right="1272" w:firstLine="5"/>
        <w:rPr>
          <w:sz w:val="14"/>
        </w:rPr>
      </w:pPr>
      <w:r>
        <w:rPr>
          <w:w w:val="105"/>
          <w:sz w:val="14"/>
        </w:rPr>
        <w:t>hombre</w:t>
      </w:r>
      <w:r>
        <w:rPr>
          <w:spacing w:val="-5"/>
          <w:w w:val="105"/>
          <w:sz w:val="14"/>
        </w:rPr>
        <w:t xml:space="preserve"> </w:t>
      </w:r>
      <w:r>
        <w:rPr>
          <w:w w:val="105"/>
          <w:sz w:val="14"/>
        </w:rPr>
        <w:t>aborigen</w:t>
      </w:r>
      <w:r>
        <w:rPr>
          <w:spacing w:val="-5"/>
          <w:w w:val="105"/>
          <w:sz w:val="14"/>
        </w:rPr>
        <w:t xml:space="preserve"> </w:t>
      </w:r>
      <w:r>
        <w:rPr>
          <w:w w:val="105"/>
          <w:sz w:val="14"/>
        </w:rPr>
        <w:t>alegó</w:t>
      </w:r>
      <w:r>
        <w:rPr>
          <w:spacing w:val="-5"/>
          <w:w w:val="105"/>
          <w:sz w:val="14"/>
        </w:rPr>
        <w:t xml:space="preserve"> </w:t>
      </w:r>
      <w:r>
        <w:rPr>
          <w:w w:val="105"/>
          <w:sz w:val="14"/>
        </w:rPr>
        <w:t>violaciones</w:t>
      </w:r>
      <w:r>
        <w:rPr>
          <w:spacing w:val="-5"/>
          <w:w w:val="105"/>
          <w:sz w:val="14"/>
        </w:rPr>
        <w:t xml:space="preserve"> </w:t>
      </w:r>
      <w:r>
        <w:rPr>
          <w:w w:val="105"/>
          <w:sz w:val="14"/>
        </w:rPr>
        <w:t>del</w:t>
      </w:r>
      <w:r>
        <w:rPr>
          <w:spacing w:val="-5"/>
          <w:w w:val="105"/>
          <w:sz w:val="14"/>
        </w:rPr>
        <w:t xml:space="preserve"> </w:t>
      </w:r>
      <w:r>
        <w:rPr>
          <w:w w:val="105"/>
          <w:sz w:val="14"/>
        </w:rPr>
        <w:t>artículo</w:t>
      </w:r>
      <w:r>
        <w:rPr>
          <w:spacing w:val="-5"/>
          <w:w w:val="105"/>
          <w:sz w:val="14"/>
        </w:rPr>
        <w:t xml:space="preserve"> </w:t>
      </w:r>
      <w:r>
        <w:rPr>
          <w:w w:val="105"/>
          <w:sz w:val="14"/>
        </w:rPr>
        <w:t>2,</w:t>
      </w:r>
      <w:r>
        <w:rPr>
          <w:spacing w:val="-5"/>
          <w:w w:val="105"/>
          <w:sz w:val="14"/>
        </w:rPr>
        <w:t xml:space="preserve"> </w:t>
      </w:r>
      <w:r>
        <w:rPr>
          <w:w w:val="105"/>
          <w:sz w:val="14"/>
        </w:rPr>
        <w:t>en</w:t>
      </w:r>
      <w:r>
        <w:rPr>
          <w:spacing w:val="-5"/>
          <w:w w:val="105"/>
          <w:sz w:val="14"/>
        </w:rPr>
        <w:t xml:space="preserve"> </w:t>
      </w:r>
      <w:r>
        <w:rPr>
          <w:w w:val="105"/>
          <w:sz w:val="14"/>
        </w:rPr>
        <w:t>particular,</w:t>
      </w:r>
      <w:r>
        <w:rPr>
          <w:spacing w:val="-5"/>
          <w:w w:val="105"/>
          <w:sz w:val="14"/>
        </w:rPr>
        <w:t xml:space="preserve"> </w:t>
      </w:r>
      <w:r>
        <w:rPr>
          <w:w w:val="105"/>
          <w:sz w:val="14"/>
        </w:rPr>
        <w:t>del</w:t>
      </w:r>
      <w:r>
        <w:rPr>
          <w:spacing w:val="-5"/>
          <w:w w:val="105"/>
          <w:sz w:val="14"/>
        </w:rPr>
        <w:t xml:space="preserve"> </w:t>
      </w:r>
      <w:r>
        <w:rPr>
          <w:w w:val="105"/>
          <w:sz w:val="14"/>
        </w:rPr>
        <w:t>artículo</w:t>
      </w:r>
      <w:r>
        <w:rPr>
          <w:spacing w:val="-5"/>
          <w:w w:val="105"/>
          <w:sz w:val="14"/>
        </w:rPr>
        <w:t xml:space="preserve"> </w:t>
      </w:r>
      <w:r>
        <w:rPr>
          <w:w w:val="105"/>
          <w:sz w:val="14"/>
        </w:rPr>
        <w:t>2</w:t>
      </w:r>
      <w:r>
        <w:rPr>
          <w:spacing w:val="-5"/>
          <w:w w:val="105"/>
          <w:sz w:val="14"/>
        </w:rPr>
        <w:t xml:space="preserve"> </w:t>
      </w:r>
      <w:r>
        <w:rPr>
          <w:w w:val="105"/>
          <w:sz w:val="14"/>
        </w:rPr>
        <w:t>(1)</w:t>
      </w:r>
      <w:r>
        <w:rPr>
          <w:spacing w:val="-5"/>
          <w:w w:val="105"/>
          <w:sz w:val="14"/>
        </w:rPr>
        <w:t xml:space="preserve"> </w:t>
      </w:r>
      <w:r>
        <w:rPr>
          <w:w w:val="105"/>
          <w:sz w:val="14"/>
        </w:rPr>
        <w:t>(c),</w:t>
      </w:r>
      <w:r>
        <w:rPr>
          <w:spacing w:val="-5"/>
          <w:w w:val="105"/>
          <w:sz w:val="14"/>
        </w:rPr>
        <w:t xml:space="preserve"> </w:t>
      </w:r>
      <w:r>
        <w:rPr>
          <w:w w:val="105"/>
          <w:sz w:val="14"/>
        </w:rPr>
        <w:t>del</w:t>
      </w:r>
      <w:r>
        <w:rPr>
          <w:spacing w:val="-5"/>
          <w:w w:val="105"/>
          <w:sz w:val="14"/>
        </w:rPr>
        <w:t xml:space="preserve"> </w:t>
      </w:r>
      <w:r>
        <w:rPr>
          <w:w w:val="105"/>
          <w:sz w:val="14"/>
        </w:rPr>
        <w:t>artículo</w:t>
      </w:r>
      <w:r>
        <w:rPr>
          <w:spacing w:val="-5"/>
          <w:w w:val="105"/>
          <w:sz w:val="14"/>
        </w:rPr>
        <w:t xml:space="preserve"> </w:t>
      </w:r>
      <w:r>
        <w:rPr>
          <w:w w:val="105"/>
          <w:sz w:val="14"/>
        </w:rPr>
        <w:t>4,</w:t>
      </w:r>
      <w:r>
        <w:rPr>
          <w:spacing w:val="-5"/>
          <w:w w:val="105"/>
          <w:sz w:val="14"/>
        </w:rPr>
        <w:t xml:space="preserve"> </w:t>
      </w:r>
      <w:r>
        <w:rPr>
          <w:w w:val="105"/>
          <w:sz w:val="14"/>
        </w:rPr>
        <w:t>del</w:t>
      </w:r>
      <w:r>
        <w:rPr>
          <w:spacing w:val="-5"/>
          <w:w w:val="105"/>
          <w:sz w:val="14"/>
        </w:rPr>
        <w:t xml:space="preserve"> </w:t>
      </w:r>
      <w:r>
        <w:rPr>
          <w:w w:val="105"/>
          <w:sz w:val="14"/>
        </w:rPr>
        <w:t>artículo</w:t>
      </w:r>
      <w:r>
        <w:rPr>
          <w:spacing w:val="-5"/>
          <w:w w:val="105"/>
          <w:sz w:val="14"/>
        </w:rPr>
        <w:t xml:space="preserve"> </w:t>
      </w:r>
      <w:r>
        <w:rPr>
          <w:w w:val="105"/>
          <w:sz w:val="14"/>
        </w:rPr>
        <w:t>5</w:t>
      </w:r>
      <w:r>
        <w:rPr>
          <w:spacing w:val="-5"/>
          <w:w w:val="105"/>
          <w:sz w:val="14"/>
        </w:rPr>
        <w:t xml:space="preserve"> </w:t>
      </w:r>
      <w:r>
        <w:rPr>
          <w:w w:val="105"/>
          <w:sz w:val="14"/>
        </w:rPr>
        <w:t>(d)</w:t>
      </w:r>
      <w:r>
        <w:rPr>
          <w:spacing w:val="-5"/>
          <w:w w:val="105"/>
          <w:sz w:val="14"/>
        </w:rPr>
        <w:t xml:space="preserve"> </w:t>
      </w:r>
      <w:r>
        <w:rPr>
          <w:w w:val="105"/>
          <w:sz w:val="14"/>
        </w:rPr>
        <w:t>(i)</w:t>
      </w:r>
      <w:r>
        <w:rPr>
          <w:spacing w:val="-5"/>
          <w:w w:val="105"/>
          <w:sz w:val="14"/>
        </w:rPr>
        <w:t xml:space="preserve"> </w:t>
      </w:r>
      <w:r>
        <w:rPr>
          <w:w w:val="105"/>
          <w:sz w:val="14"/>
        </w:rPr>
        <w:t>y</w:t>
      </w:r>
      <w:r>
        <w:rPr>
          <w:spacing w:val="-5"/>
          <w:w w:val="105"/>
          <w:sz w:val="14"/>
        </w:rPr>
        <w:t xml:space="preserve"> </w:t>
      </w:r>
      <w:r>
        <w:rPr>
          <w:w w:val="105"/>
          <w:sz w:val="14"/>
        </w:rPr>
        <w:t>(</w:t>
      </w:r>
      <w:proofErr w:type="spellStart"/>
      <w:r>
        <w:rPr>
          <w:w w:val="105"/>
          <w:sz w:val="14"/>
        </w:rPr>
        <w:t>ix</w:t>
      </w:r>
      <w:proofErr w:type="spellEnd"/>
      <w:r>
        <w:rPr>
          <w:w w:val="105"/>
          <w:sz w:val="14"/>
        </w:rPr>
        <w:t>),</w:t>
      </w:r>
      <w:r>
        <w:rPr>
          <w:spacing w:val="-5"/>
          <w:w w:val="105"/>
          <w:sz w:val="14"/>
        </w:rPr>
        <w:t xml:space="preserve"> </w:t>
      </w:r>
      <w:r>
        <w:rPr>
          <w:w w:val="105"/>
          <w:sz w:val="14"/>
        </w:rPr>
        <w:t>(e)</w:t>
      </w:r>
      <w:r>
        <w:rPr>
          <w:spacing w:val="-5"/>
          <w:w w:val="105"/>
          <w:sz w:val="14"/>
        </w:rPr>
        <w:t xml:space="preserve"> </w:t>
      </w:r>
      <w:r>
        <w:rPr>
          <w:w w:val="105"/>
          <w:sz w:val="14"/>
        </w:rPr>
        <w:t>(vi)</w:t>
      </w:r>
      <w:r>
        <w:rPr>
          <w:spacing w:val="-5"/>
          <w:w w:val="105"/>
          <w:sz w:val="14"/>
        </w:rPr>
        <w:t xml:space="preserve"> </w:t>
      </w:r>
      <w:r>
        <w:rPr>
          <w:w w:val="105"/>
          <w:sz w:val="14"/>
        </w:rPr>
        <w:t>y</w:t>
      </w:r>
      <w:r>
        <w:rPr>
          <w:spacing w:val="-5"/>
          <w:w w:val="105"/>
          <w:sz w:val="14"/>
        </w:rPr>
        <w:t xml:space="preserve"> </w:t>
      </w:r>
      <w:r>
        <w:rPr>
          <w:w w:val="105"/>
          <w:sz w:val="14"/>
        </w:rPr>
        <w:t>(f),</w:t>
      </w:r>
      <w:r>
        <w:rPr>
          <w:spacing w:val="-5"/>
          <w:w w:val="105"/>
          <w:sz w:val="14"/>
        </w:rPr>
        <w:t xml:space="preserve"> </w:t>
      </w:r>
      <w:r>
        <w:rPr>
          <w:w w:val="105"/>
          <w:sz w:val="14"/>
        </w:rPr>
        <w:t>del artículo</w:t>
      </w:r>
      <w:r>
        <w:rPr>
          <w:spacing w:val="-9"/>
          <w:w w:val="105"/>
          <w:sz w:val="14"/>
        </w:rPr>
        <w:t xml:space="preserve"> </w:t>
      </w:r>
      <w:r>
        <w:rPr>
          <w:w w:val="105"/>
          <w:sz w:val="14"/>
        </w:rPr>
        <w:t>6</w:t>
      </w:r>
      <w:r>
        <w:rPr>
          <w:spacing w:val="-8"/>
          <w:w w:val="105"/>
          <w:sz w:val="14"/>
        </w:rPr>
        <w:t xml:space="preserve"> </w:t>
      </w:r>
      <w:r>
        <w:rPr>
          <w:w w:val="105"/>
          <w:sz w:val="14"/>
        </w:rPr>
        <w:t>y</w:t>
      </w:r>
      <w:r>
        <w:rPr>
          <w:spacing w:val="-8"/>
          <w:w w:val="105"/>
          <w:sz w:val="14"/>
        </w:rPr>
        <w:t xml:space="preserve"> </w:t>
      </w:r>
      <w:r>
        <w:rPr>
          <w:w w:val="105"/>
          <w:sz w:val="14"/>
        </w:rPr>
        <w:t>del</w:t>
      </w:r>
      <w:r>
        <w:rPr>
          <w:spacing w:val="-8"/>
          <w:w w:val="105"/>
          <w:sz w:val="14"/>
        </w:rPr>
        <w:t xml:space="preserve"> </w:t>
      </w:r>
      <w:r>
        <w:rPr>
          <w:w w:val="105"/>
          <w:sz w:val="14"/>
        </w:rPr>
        <w:t>artículo</w:t>
      </w:r>
      <w:r>
        <w:rPr>
          <w:spacing w:val="-9"/>
          <w:w w:val="105"/>
          <w:sz w:val="14"/>
        </w:rPr>
        <w:t xml:space="preserve"> </w:t>
      </w:r>
      <w:r>
        <w:rPr>
          <w:w w:val="105"/>
          <w:sz w:val="14"/>
        </w:rPr>
        <w:t>7</w:t>
      </w:r>
      <w:r>
        <w:rPr>
          <w:spacing w:val="-8"/>
          <w:w w:val="105"/>
          <w:sz w:val="14"/>
        </w:rPr>
        <w:t xml:space="preserve"> </w:t>
      </w:r>
      <w:r>
        <w:rPr>
          <w:w w:val="105"/>
          <w:sz w:val="14"/>
        </w:rPr>
        <w:t>de</w:t>
      </w:r>
      <w:r>
        <w:rPr>
          <w:spacing w:val="-8"/>
          <w:w w:val="105"/>
          <w:sz w:val="14"/>
        </w:rPr>
        <w:t xml:space="preserve"> </w:t>
      </w:r>
      <w:r>
        <w:rPr>
          <w:w w:val="105"/>
          <w:sz w:val="14"/>
        </w:rPr>
        <w:t>la</w:t>
      </w:r>
      <w:r>
        <w:rPr>
          <w:spacing w:val="-8"/>
          <w:w w:val="105"/>
          <w:sz w:val="14"/>
        </w:rPr>
        <w:t xml:space="preserve"> </w:t>
      </w:r>
      <w:r>
        <w:rPr>
          <w:w w:val="105"/>
          <w:sz w:val="14"/>
        </w:rPr>
        <w:t>Convención,</w:t>
      </w:r>
      <w:r>
        <w:rPr>
          <w:spacing w:val="-7"/>
          <w:w w:val="105"/>
          <w:sz w:val="14"/>
        </w:rPr>
        <w:t xml:space="preserve"> </w:t>
      </w:r>
      <w:r>
        <w:rPr>
          <w:w w:val="105"/>
          <w:sz w:val="14"/>
        </w:rPr>
        <w:t>en</w:t>
      </w:r>
      <w:r>
        <w:rPr>
          <w:spacing w:val="-8"/>
          <w:w w:val="105"/>
          <w:sz w:val="14"/>
        </w:rPr>
        <w:t xml:space="preserve"> </w:t>
      </w:r>
      <w:r>
        <w:rPr>
          <w:w w:val="105"/>
          <w:sz w:val="14"/>
        </w:rPr>
        <w:t>relación</w:t>
      </w:r>
      <w:r>
        <w:rPr>
          <w:spacing w:val="-8"/>
          <w:w w:val="105"/>
          <w:sz w:val="14"/>
        </w:rPr>
        <w:t xml:space="preserve"> </w:t>
      </w:r>
      <w:r>
        <w:rPr>
          <w:w w:val="105"/>
          <w:sz w:val="14"/>
        </w:rPr>
        <w:t>con</w:t>
      </w:r>
      <w:r>
        <w:rPr>
          <w:spacing w:val="-8"/>
          <w:w w:val="105"/>
          <w:sz w:val="14"/>
        </w:rPr>
        <w:t xml:space="preserve"> </w:t>
      </w:r>
      <w:r>
        <w:rPr>
          <w:w w:val="105"/>
          <w:sz w:val="14"/>
        </w:rPr>
        <w:t>el</w:t>
      </w:r>
      <w:r>
        <w:rPr>
          <w:spacing w:val="-8"/>
          <w:w w:val="105"/>
          <w:sz w:val="14"/>
        </w:rPr>
        <w:t xml:space="preserve"> </w:t>
      </w:r>
      <w:r>
        <w:rPr>
          <w:w w:val="105"/>
          <w:sz w:val="14"/>
        </w:rPr>
        <w:t>nombre,</w:t>
      </w:r>
      <w:r>
        <w:rPr>
          <w:spacing w:val="-8"/>
          <w:w w:val="105"/>
          <w:sz w:val="14"/>
        </w:rPr>
        <w:t xml:space="preserve"> </w:t>
      </w:r>
      <w:r>
        <w:rPr>
          <w:w w:val="105"/>
          <w:sz w:val="14"/>
        </w:rPr>
        <w:t>hoy</w:t>
      </w:r>
      <w:r>
        <w:rPr>
          <w:spacing w:val="-8"/>
          <w:w w:val="105"/>
          <w:sz w:val="14"/>
        </w:rPr>
        <w:t xml:space="preserve"> </w:t>
      </w:r>
      <w:r>
        <w:rPr>
          <w:w w:val="105"/>
          <w:sz w:val="14"/>
        </w:rPr>
        <w:t>considerado</w:t>
      </w:r>
      <w:r>
        <w:rPr>
          <w:spacing w:val="-8"/>
          <w:w w:val="105"/>
          <w:sz w:val="14"/>
        </w:rPr>
        <w:t xml:space="preserve"> </w:t>
      </w:r>
      <w:r>
        <w:rPr>
          <w:w w:val="105"/>
          <w:sz w:val="14"/>
        </w:rPr>
        <w:t>un</w:t>
      </w:r>
      <w:r>
        <w:rPr>
          <w:spacing w:val="-8"/>
          <w:w w:val="105"/>
          <w:sz w:val="14"/>
        </w:rPr>
        <w:t xml:space="preserve"> </w:t>
      </w:r>
      <w:r>
        <w:rPr>
          <w:w w:val="105"/>
          <w:sz w:val="14"/>
        </w:rPr>
        <w:t>grave</w:t>
      </w:r>
      <w:r>
        <w:rPr>
          <w:spacing w:val="-8"/>
          <w:w w:val="105"/>
          <w:sz w:val="14"/>
        </w:rPr>
        <w:t xml:space="preserve"> </w:t>
      </w:r>
      <w:r>
        <w:rPr>
          <w:w w:val="105"/>
          <w:sz w:val="14"/>
        </w:rPr>
        <w:t>epíteto</w:t>
      </w:r>
      <w:r>
        <w:rPr>
          <w:spacing w:val="-9"/>
          <w:w w:val="105"/>
          <w:sz w:val="14"/>
        </w:rPr>
        <w:t xml:space="preserve"> </w:t>
      </w:r>
      <w:r>
        <w:rPr>
          <w:w w:val="105"/>
          <w:sz w:val="14"/>
        </w:rPr>
        <w:t>racial,</w:t>
      </w:r>
      <w:r>
        <w:rPr>
          <w:spacing w:val="-8"/>
          <w:w w:val="105"/>
          <w:sz w:val="14"/>
        </w:rPr>
        <w:t xml:space="preserve"> </w:t>
      </w:r>
      <w:r>
        <w:rPr>
          <w:w w:val="105"/>
          <w:sz w:val="14"/>
        </w:rPr>
        <w:t>de</w:t>
      </w:r>
      <w:r>
        <w:rPr>
          <w:spacing w:val="-8"/>
          <w:w w:val="105"/>
          <w:sz w:val="14"/>
        </w:rPr>
        <w:t xml:space="preserve"> </w:t>
      </w:r>
      <w:r>
        <w:rPr>
          <w:w w:val="105"/>
          <w:sz w:val="14"/>
        </w:rPr>
        <w:t>la</w:t>
      </w:r>
      <w:r>
        <w:rPr>
          <w:spacing w:val="-8"/>
          <w:w w:val="105"/>
          <w:sz w:val="14"/>
        </w:rPr>
        <w:t xml:space="preserve"> </w:t>
      </w:r>
      <w:r>
        <w:rPr>
          <w:w w:val="105"/>
          <w:sz w:val="14"/>
        </w:rPr>
        <w:t>tribuna</w:t>
      </w:r>
      <w:r>
        <w:rPr>
          <w:spacing w:val="-8"/>
          <w:w w:val="105"/>
          <w:sz w:val="14"/>
        </w:rPr>
        <w:t xml:space="preserve"> </w:t>
      </w:r>
      <w:r>
        <w:rPr>
          <w:w w:val="105"/>
          <w:sz w:val="14"/>
        </w:rPr>
        <w:t>de</w:t>
      </w:r>
      <w:r>
        <w:rPr>
          <w:spacing w:val="-8"/>
          <w:w w:val="105"/>
          <w:sz w:val="14"/>
        </w:rPr>
        <w:t xml:space="preserve"> </w:t>
      </w:r>
      <w:r>
        <w:rPr>
          <w:w w:val="105"/>
          <w:sz w:val="14"/>
        </w:rPr>
        <w:t>un</w:t>
      </w:r>
      <w:r>
        <w:rPr>
          <w:spacing w:val="-8"/>
          <w:w w:val="105"/>
          <w:sz w:val="14"/>
        </w:rPr>
        <w:t xml:space="preserve"> </w:t>
      </w:r>
      <w:r>
        <w:rPr>
          <w:w w:val="105"/>
          <w:sz w:val="14"/>
        </w:rPr>
        <w:t>importante campo</w:t>
      </w:r>
      <w:r>
        <w:rPr>
          <w:spacing w:val="-9"/>
          <w:w w:val="105"/>
          <w:sz w:val="14"/>
        </w:rPr>
        <w:t xml:space="preserve"> </w:t>
      </w:r>
      <w:r>
        <w:rPr>
          <w:w w:val="105"/>
          <w:sz w:val="14"/>
        </w:rPr>
        <w:t>deportivo</w:t>
      </w:r>
      <w:r>
        <w:rPr>
          <w:spacing w:val="-9"/>
          <w:w w:val="105"/>
          <w:sz w:val="14"/>
        </w:rPr>
        <w:t xml:space="preserve"> </w:t>
      </w:r>
      <w:r>
        <w:rPr>
          <w:w w:val="105"/>
          <w:sz w:val="14"/>
        </w:rPr>
        <w:t>en</w:t>
      </w:r>
      <w:r>
        <w:rPr>
          <w:spacing w:val="-9"/>
          <w:w w:val="105"/>
          <w:sz w:val="14"/>
        </w:rPr>
        <w:t xml:space="preserve"> </w:t>
      </w:r>
      <w:proofErr w:type="spellStart"/>
      <w:r>
        <w:rPr>
          <w:w w:val="105"/>
          <w:sz w:val="14"/>
        </w:rPr>
        <w:t>Toowoomba</w:t>
      </w:r>
      <w:proofErr w:type="spellEnd"/>
      <w:r>
        <w:rPr>
          <w:w w:val="105"/>
          <w:sz w:val="14"/>
        </w:rPr>
        <w:t>,</w:t>
      </w:r>
      <w:r>
        <w:rPr>
          <w:spacing w:val="-9"/>
          <w:w w:val="105"/>
          <w:sz w:val="14"/>
        </w:rPr>
        <w:t xml:space="preserve"> </w:t>
      </w:r>
      <w:r>
        <w:rPr>
          <w:w w:val="105"/>
          <w:sz w:val="14"/>
        </w:rPr>
        <w:t>Queensland,</w:t>
      </w:r>
      <w:r>
        <w:rPr>
          <w:spacing w:val="-9"/>
          <w:w w:val="105"/>
          <w:sz w:val="14"/>
        </w:rPr>
        <w:t xml:space="preserve"> </w:t>
      </w:r>
      <w:r>
        <w:rPr>
          <w:w w:val="105"/>
          <w:sz w:val="14"/>
        </w:rPr>
        <w:t>donde</w:t>
      </w:r>
      <w:r>
        <w:rPr>
          <w:spacing w:val="-9"/>
          <w:w w:val="105"/>
          <w:sz w:val="14"/>
        </w:rPr>
        <w:t xml:space="preserve"> </w:t>
      </w:r>
      <w:r>
        <w:rPr>
          <w:w w:val="105"/>
          <w:sz w:val="14"/>
        </w:rPr>
        <w:t>vivía,</w:t>
      </w:r>
      <w:r>
        <w:rPr>
          <w:spacing w:val="-9"/>
          <w:w w:val="105"/>
          <w:sz w:val="14"/>
        </w:rPr>
        <w:t xml:space="preserve"> </w:t>
      </w:r>
      <w:r>
        <w:rPr>
          <w:w w:val="105"/>
          <w:sz w:val="14"/>
        </w:rPr>
        <w:t>nombrado</w:t>
      </w:r>
      <w:r>
        <w:rPr>
          <w:spacing w:val="-9"/>
          <w:w w:val="105"/>
          <w:sz w:val="14"/>
        </w:rPr>
        <w:t xml:space="preserve"> </w:t>
      </w:r>
      <w:r>
        <w:rPr>
          <w:w w:val="105"/>
          <w:sz w:val="14"/>
        </w:rPr>
        <w:t>en</w:t>
      </w:r>
      <w:r>
        <w:rPr>
          <w:spacing w:val="-9"/>
          <w:w w:val="105"/>
          <w:sz w:val="14"/>
        </w:rPr>
        <w:t xml:space="preserve"> </w:t>
      </w:r>
      <w:r>
        <w:rPr>
          <w:w w:val="105"/>
          <w:sz w:val="14"/>
        </w:rPr>
        <w:t>honor</w:t>
      </w:r>
      <w:r>
        <w:rPr>
          <w:spacing w:val="-9"/>
          <w:w w:val="105"/>
          <w:sz w:val="14"/>
        </w:rPr>
        <w:t xml:space="preserve"> </w:t>
      </w:r>
      <w:r>
        <w:rPr>
          <w:w w:val="105"/>
          <w:sz w:val="14"/>
        </w:rPr>
        <w:t>de</w:t>
      </w:r>
      <w:r>
        <w:rPr>
          <w:spacing w:val="-9"/>
          <w:w w:val="105"/>
          <w:sz w:val="14"/>
        </w:rPr>
        <w:t xml:space="preserve"> </w:t>
      </w:r>
      <w:r>
        <w:rPr>
          <w:w w:val="105"/>
          <w:sz w:val="14"/>
        </w:rPr>
        <w:t>una</w:t>
      </w:r>
      <w:r>
        <w:rPr>
          <w:spacing w:val="-9"/>
          <w:w w:val="105"/>
          <w:sz w:val="14"/>
        </w:rPr>
        <w:t xml:space="preserve"> </w:t>
      </w:r>
      <w:r>
        <w:rPr>
          <w:w w:val="105"/>
          <w:sz w:val="14"/>
        </w:rPr>
        <w:t>personalidad</w:t>
      </w:r>
      <w:r>
        <w:rPr>
          <w:spacing w:val="-9"/>
          <w:w w:val="105"/>
          <w:sz w:val="14"/>
        </w:rPr>
        <w:t xml:space="preserve"> </w:t>
      </w:r>
      <w:r>
        <w:rPr>
          <w:w w:val="105"/>
          <w:sz w:val="14"/>
        </w:rPr>
        <w:t>deportiva</w:t>
      </w:r>
      <w:r>
        <w:rPr>
          <w:spacing w:val="-9"/>
          <w:w w:val="105"/>
          <w:sz w:val="14"/>
        </w:rPr>
        <w:t xml:space="preserve"> </w:t>
      </w:r>
      <w:r>
        <w:rPr>
          <w:w w:val="105"/>
          <w:sz w:val="14"/>
        </w:rPr>
        <w:t>del</w:t>
      </w:r>
      <w:r>
        <w:rPr>
          <w:spacing w:val="-9"/>
          <w:w w:val="105"/>
          <w:sz w:val="14"/>
        </w:rPr>
        <w:t xml:space="preserve"> </w:t>
      </w:r>
      <w:r>
        <w:rPr>
          <w:w w:val="105"/>
          <w:sz w:val="14"/>
        </w:rPr>
        <w:t>pasado.</w:t>
      </w:r>
      <w:r>
        <w:rPr>
          <w:spacing w:val="-9"/>
          <w:w w:val="105"/>
          <w:sz w:val="14"/>
        </w:rPr>
        <w:t xml:space="preserve"> </w:t>
      </w:r>
      <w:r>
        <w:rPr>
          <w:w w:val="105"/>
          <w:sz w:val="14"/>
        </w:rPr>
        <w:t>Al</w:t>
      </w:r>
      <w:r>
        <w:rPr>
          <w:spacing w:val="-9"/>
          <w:w w:val="105"/>
          <w:sz w:val="14"/>
        </w:rPr>
        <w:t xml:space="preserve"> </w:t>
      </w:r>
      <w:r>
        <w:rPr>
          <w:w w:val="105"/>
          <w:sz w:val="14"/>
        </w:rPr>
        <w:t>considerar</w:t>
      </w:r>
      <w:r>
        <w:rPr>
          <w:spacing w:val="-9"/>
          <w:w w:val="105"/>
          <w:sz w:val="14"/>
        </w:rPr>
        <w:t xml:space="preserve"> </w:t>
      </w:r>
      <w:r>
        <w:rPr>
          <w:w w:val="105"/>
          <w:sz w:val="14"/>
        </w:rPr>
        <w:t>que Australia</w:t>
      </w:r>
      <w:r>
        <w:rPr>
          <w:spacing w:val="-1"/>
          <w:w w:val="105"/>
          <w:sz w:val="14"/>
        </w:rPr>
        <w:t xml:space="preserve"> </w:t>
      </w:r>
      <w:r>
        <w:rPr>
          <w:w w:val="105"/>
          <w:sz w:val="14"/>
        </w:rPr>
        <w:t>había violado la Convención, el Comité sostuvo que:</w:t>
      </w:r>
    </w:p>
    <w:p w14:paraId="486C855A" w14:textId="77777777" w:rsidR="0014798C" w:rsidRDefault="0014798C">
      <w:pPr>
        <w:pStyle w:val="Textoindependiente"/>
        <w:spacing w:before="100"/>
        <w:rPr>
          <w:sz w:val="19"/>
        </w:rPr>
      </w:pPr>
    </w:p>
    <w:p w14:paraId="0644976E" w14:textId="77777777" w:rsidR="0014798C" w:rsidRDefault="004E1F0B">
      <w:pPr>
        <w:spacing w:line="273" w:lineRule="auto"/>
        <w:ind w:left="1674" w:right="1463" w:hanging="1"/>
        <w:rPr>
          <w:sz w:val="19"/>
        </w:rPr>
      </w:pPr>
      <w:r>
        <w:rPr>
          <w:color w:val="0075BF"/>
          <w:w w:val="105"/>
          <w:sz w:val="19"/>
        </w:rPr>
        <w:t>El</w:t>
      </w:r>
      <w:r>
        <w:rPr>
          <w:color w:val="0075BF"/>
          <w:spacing w:val="-5"/>
          <w:w w:val="105"/>
          <w:sz w:val="19"/>
        </w:rPr>
        <w:t xml:space="preserve"> </w:t>
      </w:r>
      <w:r>
        <w:rPr>
          <w:color w:val="0075BF"/>
          <w:w w:val="105"/>
          <w:sz w:val="19"/>
        </w:rPr>
        <w:t>uso</w:t>
      </w:r>
      <w:r>
        <w:rPr>
          <w:color w:val="0075BF"/>
          <w:spacing w:val="-5"/>
          <w:w w:val="105"/>
          <w:sz w:val="19"/>
        </w:rPr>
        <w:t xml:space="preserve"> </w:t>
      </w:r>
      <w:r>
        <w:rPr>
          <w:color w:val="0075BF"/>
          <w:w w:val="105"/>
          <w:sz w:val="19"/>
        </w:rPr>
        <w:t>y</w:t>
      </w:r>
      <w:r>
        <w:rPr>
          <w:color w:val="0075BF"/>
          <w:spacing w:val="-5"/>
          <w:w w:val="105"/>
          <w:sz w:val="19"/>
        </w:rPr>
        <w:t xml:space="preserve"> </w:t>
      </w:r>
      <w:r>
        <w:rPr>
          <w:color w:val="0075BF"/>
          <w:w w:val="105"/>
          <w:sz w:val="19"/>
        </w:rPr>
        <w:t>mantenimiento</w:t>
      </w:r>
      <w:r>
        <w:rPr>
          <w:color w:val="0075BF"/>
          <w:spacing w:val="-5"/>
          <w:w w:val="105"/>
          <w:sz w:val="19"/>
        </w:rPr>
        <w:t xml:space="preserve"> </w:t>
      </w:r>
      <w:r>
        <w:rPr>
          <w:color w:val="0075BF"/>
          <w:w w:val="105"/>
          <w:sz w:val="19"/>
        </w:rPr>
        <w:t>del</w:t>
      </w:r>
      <w:r>
        <w:rPr>
          <w:color w:val="0075BF"/>
          <w:spacing w:val="-5"/>
          <w:w w:val="105"/>
          <w:sz w:val="19"/>
        </w:rPr>
        <w:t xml:space="preserve"> </w:t>
      </w:r>
      <w:r>
        <w:rPr>
          <w:color w:val="0075BF"/>
          <w:w w:val="105"/>
          <w:sz w:val="19"/>
        </w:rPr>
        <w:t>término</w:t>
      </w:r>
      <w:r>
        <w:rPr>
          <w:color w:val="0075BF"/>
          <w:spacing w:val="-5"/>
          <w:w w:val="105"/>
          <w:sz w:val="19"/>
        </w:rPr>
        <w:t xml:space="preserve"> </w:t>
      </w:r>
      <w:r>
        <w:rPr>
          <w:color w:val="0075BF"/>
          <w:w w:val="105"/>
          <w:sz w:val="19"/>
        </w:rPr>
        <w:t>ofensivo</w:t>
      </w:r>
      <w:r>
        <w:rPr>
          <w:color w:val="0075BF"/>
          <w:spacing w:val="-5"/>
          <w:w w:val="105"/>
          <w:sz w:val="19"/>
        </w:rPr>
        <w:t xml:space="preserve"> </w:t>
      </w:r>
      <w:r>
        <w:rPr>
          <w:color w:val="0075BF"/>
          <w:w w:val="105"/>
          <w:sz w:val="19"/>
        </w:rPr>
        <w:t>puede</w:t>
      </w:r>
      <w:r>
        <w:rPr>
          <w:color w:val="0075BF"/>
          <w:spacing w:val="-5"/>
          <w:w w:val="105"/>
          <w:sz w:val="19"/>
        </w:rPr>
        <w:t xml:space="preserve"> </w:t>
      </w:r>
      <w:r>
        <w:rPr>
          <w:color w:val="0075BF"/>
          <w:w w:val="105"/>
          <w:sz w:val="19"/>
        </w:rPr>
        <w:t>considerarse</w:t>
      </w:r>
      <w:r>
        <w:rPr>
          <w:color w:val="0075BF"/>
          <w:spacing w:val="-5"/>
          <w:w w:val="105"/>
          <w:sz w:val="19"/>
        </w:rPr>
        <w:t xml:space="preserve"> </w:t>
      </w:r>
      <w:r>
        <w:rPr>
          <w:color w:val="0075BF"/>
          <w:w w:val="105"/>
          <w:sz w:val="19"/>
        </w:rPr>
        <w:t>actualmente</w:t>
      </w:r>
      <w:r>
        <w:rPr>
          <w:color w:val="0075BF"/>
          <w:spacing w:val="-5"/>
          <w:w w:val="105"/>
          <w:sz w:val="19"/>
        </w:rPr>
        <w:t xml:space="preserve"> </w:t>
      </w:r>
      <w:r>
        <w:rPr>
          <w:color w:val="0075BF"/>
          <w:w w:val="105"/>
          <w:sz w:val="19"/>
        </w:rPr>
        <w:t>ofensivo</w:t>
      </w:r>
      <w:r>
        <w:rPr>
          <w:color w:val="0075BF"/>
          <w:spacing w:val="-5"/>
          <w:w w:val="105"/>
          <w:sz w:val="19"/>
        </w:rPr>
        <w:t xml:space="preserve"> </w:t>
      </w:r>
      <w:r>
        <w:rPr>
          <w:color w:val="0075BF"/>
          <w:w w:val="105"/>
          <w:sz w:val="19"/>
        </w:rPr>
        <w:t>e insultante,</w:t>
      </w:r>
      <w:r>
        <w:rPr>
          <w:color w:val="0075BF"/>
          <w:spacing w:val="-4"/>
          <w:w w:val="105"/>
          <w:sz w:val="19"/>
        </w:rPr>
        <w:t xml:space="preserve"> </w:t>
      </w:r>
      <w:r>
        <w:rPr>
          <w:color w:val="0075BF"/>
          <w:w w:val="105"/>
          <w:sz w:val="19"/>
        </w:rPr>
        <w:t>incluso</w:t>
      </w:r>
      <w:r>
        <w:rPr>
          <w:color w:val="0075BF"/>
          <w:spacing w:val="-5"/>
          <w:w w:val="105"/>
          <w:sz w:val="19"/>
        </w:rPr>
        <w:t xml:space="preserve"> </w:t>
      </w:r>
      <w:r>
        <w:rPr>
          <w:color w:val="0075BF"/>
          <w:w w:val="105"/>
          <w:sz w:val="19"/>
        </w:rPr>
        <w:t>si</w:t>
      </w:r>
      <w:r>
        <w:rPr>
          <w:color w:val="0075BF"/>
          <w:spacing w:val="-5"/>
          <w:w w:val="105"/>
          <w:sz w:val="19"/>
        </w:rPr>
        <w:t xml:space="preserve"> </w:t>
      </w:r>
      <w:r>
        <w:rPr>
          <w:color w:val="0075BF"/>
          <w:w w:val="105"/>
          <w:sz w:val="19"/>
        </w:rPr>
        <w:t>durante</w:t>
      </w:r>
      <w:r>
        <w:rPr>
          <w:color w:val="0075BF"/>
          <w:spacing w:val="-5"/>
          <w:w w:val="105"/>
          <w:sz w:val="19"/>
        </w:rPr>
        <w:t xml:space="preserve"> </w:t>
      </w:r>
      <w:r>
        <w:rPr>
          <w:color w:val="0075BF"/>
          <w:w w:val="105"/>
          <w:sz w:val="19"/>
        </w:rPr>
        <w:t>un</w:t>
      </w:r>
      <w:r>
        <w:rPr>
          <w:color w:val="0075BF"/>
          <w:spacing w:val="-5"/>
          <w:w w:val="105"/>
          <w:sz w:val="19"/>
        </w:rPr>
        <w:t xml:space="preserve"> </w:t>
      </w:r>
      <w:r>
        <w:rPr>
          <w:color w:val="0075BF"/>
          <w:w w:val="105"/>
          <w:sz w:val="19"/>
        </w:rPr>
        <w:t>período</w:t>
      </w:r>
      <w:r>
        <w:rPr>
          <w:color w:val="0075BF"/>
          <w:spacing w:val="-5"/>
          <w:w w:val="105"/>
          <w:sz w:val="19"/>
        </w:rPr>
        <w:t xml:space="preserve"> </w:t>
      </w:r>
      <w:r>
        <w:rPr>
          <w:color w:val="0075BF"/>
          <w:w w:val="105"/>
          <w:sz w:val="19"/>
        </w:rPr>
        <w:t>prolongado</w:t>
      </w:r>
      <w:r>
        <w:rPr>
          <w:color w:val="0075BF"/>
          <w:spacing w:val="-5"/>
          <w:w w:val="105"/>
          <w:sz w:val="19"/>
        </w:rPr>
        <w:t xml:space="preserve"> </w:t>
      </w:r>
      <w:r>
        <w:rPr>
          <w:color w:val="0075BF"/>
          <w:w w:val="105"/>
          <w:sz w:val="19"/>
        </w:rPr>
        <w:t>no</w:t>
      </w:r>
      <w:r>
        <w:rPr>
          <w:color w:val="0075BF"/>
          <w:spacing w:val="-5"/>
          <w:w w:val="105"/>
          <w:sz w:val="19"/>
        </w:rPr>
        <w:t xml:space="preserve"> </w:t>
      </w:r>
      <w:r>
        <w:rPr>
          <w:color w:val="0075BF"/>
          <w:w w:val="105"/>
          <w:sz w:val="19"/>
        </w:rPr>
        <w:t>necesariamente</w:t>
      </w:r>
      <w:r>
        <w:rPr>
          <w:color w:val="0075BF"/>
          <w:spacing w:val="-5"/>
          <w:w w:val="105"/>
          <w:sz w:val="19"/>
        </w:rPr>
        <w:t xml:space="preserve"> </w:t>
      </w:r>
      <w:r>
        <w:rPr>
          <w:color w:val="0075BF"/>
          <w:w w:val="105"/>
          <w:sz w:val="19"/>
        </w:rPr>
        <w:t>lo</w:t>
      </w:r>
      <w:r>
        <w:rPr>
          <w:color w:val="0075BF"/>
          <w:spacing w:val="-5"/>
          <w:w w:val="105"/>
          <w:sz w:val="19"/>
        </w:rPr>
        <w:t xml:space="preserve"> </w:t>
      </w:r>
      <w:r>
        <w:rPr>
          <w:color w:val="0075BF"/>
          <w:w w:val="105"/>
          <w:sz w:val="19"/>
        </w:rPr>
        <w:t>ha</w:t>
      </w:r>
      <w:r>
        <w:rPr>
          <w:color w:val="0075BF"/>
          <w:spacing w:val="-5"/>
          <w:w w:val="105"/>
          <w:sz w:val="19"/>
        </w:rPr>
        <w:t xml:space="preserve"> </w:t>
      </w:r>
      <w:r>
        <w:rPr>
          <w:color w:val="0075BF"/>
          <w:w w:val="105"/>
          <w:sz w:val="19"/>
        </w:rPr>
        <w:t>sido.</w:t>
      </w:r>
      <w:r>
        <w:rPr>
          <w:color w:val="0075BF"/>
          <w:spacing w:val="-5"/>
          <w:w w:val="105"/>
          <w:sz w:val="19"/>
        </w:rPr>
        <w:t xml:space="preserve"> </w:t>
      </w:r>
      <w:r>
        <w:rPr>
          <w:w w:val="105"/>
          <w:sz w:val="19"/>
        </w:rPr>
        <w:t>En</w:t>
      </w:r>
      <w:r>
        <w:rPr>
          <w:spacing w:val="-5"/>
          <w:w w:val="105"/>
          <w:sz w:val="19"/>
        </w:rPr>
        <w:t xml:space="preserve"> </w:t>
      </w:r>
      <w:r>
        <w:rPr>
          <w:w w:val="105"/>
          <w:sz w:val="19"/>
        </w:rPr>
        <w:t>efecto,</w:t>
      </w:r>
      <w:r>
        <w:rPr>
          <w:spacing w:val="-5"/>
          <w:w w:val="105"/>
          <w:sz w:val="19"/>
        </w:rPr>
        <w:t xml:space="preserve"> </w:t>
      </w:r>
      <w:r>
        <w:rPr>
          <w:color w:val="0075BF"/>
          <w:w w:val="105"/>
          <w:sz w:val="19"/>
        </w:rPr>
        <w:t>el Comité</w:t>
      </w:r>
      <w:r>
        <w:rPr>
          <w:color w:val="0075BF"/>
          <w:spacing w:val="-5"/>
          <w:w w:val="105"/>
          <w:sz w:val="19"/>
        </w:rPr>
        <w:t xml:space="preserve"> </w:t>
      </w:r>
      <w:r>
        <w:rPr>
          <w:color w:val="0075BF"/>
          <w:w w:val="105"/>
          <w:sz w:val="19"/>
        </w:rPr>
        <w:t>considera</w:t>
      </w:r>
      <w:r>
        <w:rPr>
          <w:color w:val="0075BF"/>
          <w:spacing w:val="-5"/>
          <w:w w:val="105"/>
          <w:sz w:val="19"/>
        </w:rPr>
        <w:t xml:space="preserve"> </w:t>
      </w:r>
      <w:r>
        <w:rPr>
          <w:color w:val="0075BF"/>
          <w:w w:val="105"/>
          <w:sz w:val="19"/>
        </w:rPr>
        <w:t>que</w:t>
      </w:r>
      <w:r>
        <w:rPr>
          <w:color w:val="0075BF"/>
          <w:spacing w:val="-5"/>
          <w:w w:val="105"/>
          <w:sz w:val="19"/>
        </w:rPr>
        <w:t xml:space="preserve"> </w:t>
      </w:r>
      <w:r>
        <w:rPr>
          <w:color w:val="0075BF"/>
          <w:w w:val="105"/>
          <w:sz w:val="19"/>
        </w:rPr>
        <w:t>el</w:t>
      </w:r>
      <w:r>
        <w:rPr>
          <w:color w:val="0075BF"/>
          <w:spacing w:val="-5"/>
          <w:w w:val="105"/>
          <w:sz w:val="19"/>
        </w:rPr>
        <w:t xml:space="preserve"> </w:t>
      </w:r>
      <w:r>
        <w:rPr>
          <w:color w:val="0075BF"/>
          <w:w w:val="105"/>
          <w:sz w:val="19"/>
        </w:rPr>
        <w:t>Convenio,</w:t>
      </w:r>
      <w:r>
        <w:rPr>
          <w:color w:val="0075BF"/>
          <w:spacing w:val="-4"/>
          <w:w w:val="105"/>
          <w:sz w:val="19"/>
        </w:rPr>
        <w:t xml:space="preserve"> </w:t>
      </w:r>
      <w:r>
        <w:rPr>
          <w:color w:val="0075BF"/>
          <w:w w:val="105"/>
          <w:sz w:val="19"/>
        </w:rPr>
        <w:t>como</w:t>
      </w:r>
      <w:r>
        <w:rPr>
          <w:color w:val="0075BF"/>
          <w:spacing w:val="-5"/>
          <w:w w:val="105"/>
          <w:sz w:val="19"/>
        </w:rPr>
        <w:t xml:space="preserve"> </w:t>
      </w:r>
      <w:r>
        <w:rPr>
          <w:color w:val="0075BF"/>
          <w:w w:val="105"/>
          <w:sz w:val="19"/>
        </w:rPr>
        <w:t>instrumento</w:t>
      </w:r>
      <w:r>
        <w:rPr>
          <w:color w:val="0075BF"/>
          <w:spacing w:val="-5"/>
          <w:w w:val="105"/>
          <w:sz w:val="19"/>
        </w:rPr>
        <w:t xml:space="preserve"> </w:t>
      </w:r>
      <w:r>
        <w:rPr>
          <w:color w:val="0075BF"/>
          <w:w w:val="105"/>
          <w:sz w:val="19"/>
        </w:rPr>
        <w:t>vivo,</w:t>
      </w:r>
      <w:r>
        <w:rPr>
          <w:color w:val="0075BF"/>
          <w:spacing w:val="-5"/>
          <w:w w:val="105"/>
          <w:sz w:val="19"/>
        </w:rPr>
        <w:t xml:space="preserve"> </w:t>
      </w:r>
      <w:r>
        <w:rPr>
          <w:color w:val="0075BF"/>
          <w:w w:val="105"/>
          <w:sz w:val="19"/>
        </w:rPr>
        <w:t>debe</w:t>
      </w:r>
      <w:r>
        <w:rPr>
          <w:color w:val="0075BF"/>
          <w:spacing w:val="-5"/>
          <w:w w:val="105"/>
          <w:sz w:val="19"/>
        </w:rPr>
        <w:t xml:space="preserve"> </w:t>
      </w:r>
      <w:r>
        <w:rPr>
          <w:color w:val="0075BF"/>
          <w:w w:val="105"/>
          <w:sz w:val="19"/>
        </w:rPr>
        <w:t>interpretarse</w:t>
      </w:r>
      <w:r>
        <w:rPr>
          <w:color w:val="0075BF"/>
          <w:spacing w:val="-5"/>
          <w:w w:val="105"/>
          <w:sz w:val="19"/>
        </w:rPr>
        <w:t xml:space="preserve"> </w:t>
      </w:r>
      <w:r>
        <w:rPr>
          <w:color w:val="0075BF"/>
          <w:w w:val="105"/>
          <w:sz w:val="19"/>
        </w:rPr>
        <w:t>y</w:t>
      </w:r>
      <w:r>
        <w:rPr>
          <w:color w:val="0075BF"/>
          <w:spacing w:val="-5"/>
          <w:w w:val="105"/>
          <w:sz w:val="19"/>
        </w:rPr>
        <w:t xml:space="preserve"> </w:t>
      </w:r>
      <w:r>
        <w:rPr>
          <w:color w:val="0075BF"/>
          <w:w w:val="105"/>
          <w:sz w:val="19"/>
        </w:rPr>
        <w:t>aplicarse teniendo</w:t>
      </w:r>
      <w:r>
        <w:rPr>
          <w:color w:val="0075BF"/>
          <w:spacing w:val="-14"/>
          <w:w w:val="105"/>
          <w:sz w:val="19"/>
        </w:rPr>
        <w:t xml:space="preserve"> </w:t>
      </w:r>
      <w:r>
        <w:rPr>
          <w:color w:val="0075BF"/>
          <w:w w:val="105"/>
          <w:sz w:val="19"/>
        </w:rPr>
        <w:t>en</w:t>
      </w:r>
      <w:r>
        <w:rPr>
          <w:color w:val="0075BF"/>
          <w:spacing w:val="-14"/>
          <w:w w:val="105"/>
          <w:sz w:val="19"/>
        </w:rPr>
        <w:t xml:space="preserve"> </w:t>
      </w:r>
      <w:r>
        <w:rPr>
          <w:color w:val="0075BF"/>
          <w:w w:val="105"/>
          <w:sz w:val="19"/>
        </w:rPr>
        <w:t>cuenta</w:t>
      </w:r>
      <w:r>
        <w:rPr>
          <w:color w:val="0075BF"/>
          <w:spacing w:val="-14"/>
          <w:w w:val="105"/>
          <w:sz w:val="19"/>
        </w:rPr>
        <w:t xml:space="preserve"> </w:t>
      </w:r>
      <w:r>
        <w:rPr>
          <w:color w:val="0075BF"/>
          <w:w w:val="105"/>
          <w:sz w:val="19"/>
        </w:rPr>
        <w:t>las</w:t>
      </w:r>
      <w:r>
        <w:rPr>
          <w:color w:val="0075BF"/>
          <w:spacing w:val="-14"/>
          <w:w w:val="105"/>
          <w:sz w:val="19"/>
        </w:rPr>
        <w:t xml:space="preserve"> </w:t>
      </w:r>
      <w:r>
        <w:rPr>
          <w:color w:val="0075BF"/>
          <w:w w:val="105"/>
          <w:sz w:val="19"/>
        </w:rPr>
        <w:t>circunstancias</w:t>
      </w:r>
      <w:r>
        <w:rPr>
          <w:color w:val="0075BF"/>
          <w:spacing w:val="-14"/>
          <w:w w:val="105"/>
          <w:sz w:val="19"/>
        </w:rPr>
        <w:t xml:space="preserve"> </w:t>
      </w:r>
      <w:r>
        <w:rPr>
          <w:color w:val="0075BF"/>
          <w:w w:val="105"/>
          <w:sz w:val="19"/>
        </w:rPr>
        <w:t>de</w:t>
      </w:r>
      <w:r>
        <w:rPr>
          <w:color w:val="0075BF"/>
          <w:spacing w:val="-14"/>
          <w:w w:val="105"/>
          <w:sz w:val="19"/>
        </w:rPr>
        <w:t xml:space="preserve"> </w:t>
      </w:r>
      <w:r>
        <w:rPr>
          <w:color w:val="0075BF"/>
          <w:w w:val="105"/>
          <w:sz w:val="19"/>
        </w:rPr>
        <w:t>la</w:t>
      </w:r>
      <w:r>
        <w:rPr>
          <w:color w:val="0075BF"/>
          <w:spacing w:val="-13"/>
          <w:w w:val="105"/>
          <w:sz w:val="19"/>
        </w:rPr>
        <w:t xml:space="preserve"> </w:t>
      </w:r>
      <w:r>
        <w:rPr>
          <w:color w:val="0075BF"/>
          <w:w w:val="105"/>
          <w:sz w:val="19"/>
        </w:rPr>
        <w:t>sociedad</w:t>
      </w:r>
      <w:r>
        <w:rPr>
          <w:color w:val="0075BF"/>
          <w:spacing w:val="-14"/>
          <w:w w:val="105"/>
          <w:sz w:val="19"/>
        </w:rPr>
        <w:t xml:space="preserve"> </w:t>
      </w:r>
      <w:r>
        <w:rPr>
          <w:color w:val="0075BF"/>
          <w:w w:val="105"/>
          <w:sz w:val="19"/>
        </w:rPr>
        <w:t>contemporánea.</w:t>
      </w:r>
      <w:r>
        <w:rPr>
          <w:color w:val="0075BF"/>
          <w:spacing w:val="-14"/>
          <w:w w:val="105"/>
          <w:sz w:val="19"/>
        </w:rPr>
        <w:t xml:space="preserve"> </w:t>
      </w:r>
      <w:r>
        <w:rPr>
          <w:color w:val="0075BF"/>
          <w:w w:val="105"/>
          <w:sz w:val="19"/>
        </w:rPr>
        <w:t>En</w:t>
      </w:r>
      <w:r>
        <w:rPr>
          <w:color w:val="0075BF"/>
          <w:spacing w:val="-14"/>
          <w:w w:val="105"/>
          <w:sz w:val="19"/>
        </w:rPr>
        <w:t xml:space="preserve"> </w:t>
      </w:r>
      <w:r>
        <w:rPr>
          <w:color w:val="0075BF"/>
          <w:w w:val="105"/>
          <w:sz w:val="19"/>
        </w:rPr>
        <w:t>este</w:t>
      </w:r>
      <w:r>
        <w:rPr>
          <w:color w:val="0075BF"/>
          <w:spacing w:val="-14"/>
          <w:w w:val="105"/>
          <w:sz w:val="19"/>
        </w:rPr>
        <w:t xml:space="preserve"> </w:t>
      </w:r>
      <w:r>
        <w:rPr>
          <w:color w:val="0075BF"/>
          <w:w w:val="105"/>
          <w:sz w:val="19"/>
        </w:rPr>
        <w:t>contexto,</w:t>
      </w:r>
      <w:r>
        <w:rPr>
          <w:color w:val="0075BF"/>
          <w:spacing w:val="-14"/>
          <w:w w:val="105"/>
          <w:sz w:val="19"/>
        </w:rPr>
        <w:t xml:space="preserve"> </w:t>
      </w:r>
      <w:r>
        <w:rPr>
          <w:color w:val="0075BF"/>
          <w:w w:val="105"/>
          <w:sz w:val="19"/>
        </w:rPr>
        <w:t>el</w:t>
      </w:r>
      <w:r>
        <w:rPr>
          <w:color w:val="0075BF"/>
          <w:spacing w:val="-14"/>
          <w:w w:val="105"/>
          <w:sz w:val="19"/>
        </w:rPr>
        <w:t xml:space="preserve"> </w:t>
      </w:r>
      <w:r>
        <w:rPr>
          <w:color w:val="0075BF"/>
          <w:w w:val="105"/>
          <w:sz w:val="19"/>
        </w:rPr>
        <w:t>Comité considera</w:t>
      </w:r>
      <w:r>
        <w:rPr>
          <w:color w:val="0075BF"/>
          <w:spacing w:val="-3"/>
          <w:w w:val="105"/>
          <w:sz w:val="19"/>
        </w:rPr>
        <w:t xml:space="preserve"> </w:t>
      </w:r>
      <w:r>
        <w:rPr>
          <w:color w:val="0075BF"/>
          <w:w w:val="105"/>
          <w:sz w:val="19"/>
        </w:rPr>
        <w:t>que</w:t>
      </w:r>
      <w:r>
        <w:rPr>
          <w:color w:val="0075BF"/>
          <w:spacing w:val="-3"/>
          <w:w w:val="105"/>
          <w:sz w:val="19"/>
        </w:rPr>
        <w:t xml:space="preserve"> </w:t>
      </w:r>
      <w:r>
        <w:rPr>
          <w:color w:val="0075BF"/>
          <w:w w:val="105"/>
          <w:sz w:val="19"/>
        </w:rPr>
        <w:t>es</w:t>
      </w:r>
      <w:r>
        <w:rPr>
          <w:color w:val="0075BF"/>
          <w:spacing w:val="-3"/>
          <w:w w:val="105"/>
          <w:sz w:val="19"/>
        </w:rPr>
        <w:t xml:space="preserve"> </w:t>
      </w:r>
      <w:r>
        <w:rPr>
          <w:color w:val="0075BF"/>
          <w:w w:val="105"/>
          <w:sz w:val="19"/>
        </w:rPr>
        <w:t>su</w:t>
      </w:r>
      <w:r>
        <w:rPr>
          <w:color w:val="0075BF"/>
          <w:spacing w:val="-3"/>
          <w:w w:val="105"/>
          <w:sz w:val="19"/>
        </w:rPr>
        <w:t xml:space="preserve"> </w:t>
      </w:r>
      <w:r>
        <w:rPr>
          <w:color w:val="0075BF"/>
          <w:w w:val="105"/>
          <w:sz w:val="19"/>
        </w:rPr>
        <w:t>deber</w:t>
      </w:r>
      <w:r>
        <w:rPr>
          <w:color w:val="0075BF"/>
          <w:spacing w:val="-3"/>
          <w:w w:val="105"/>
          <w:sz w:val="19"/>
        </w:rPr>
        <w:t xml:space="preserve"> </w:t>
      </w:r>
      <w:r>
        <w:rPr>
          <w:color w:val="0075BF"/>
          <w:w w:val="105"/>
          <w:sz w:val="19"/>
        </w:rPr>
        <w:t>recordar</w:t>
      </w:r>
      <w:r>
        <w:rPr>
          <w:color w:val="0075BF"/>
          <w:spacing w:val="-3"/>
          <w:w w:val="105"/>
          <w:sz w:val="19"/>
        </w:rPr>
        <w:t xml:space="preserve"> </w:t>
      </w:r>
      <w:r>
        <w:rPr>
          <w:color w:val="0075BF"/>
          <w:w w:val="105"/>
          <w:sz w:val="19"/>
        </w:rPr>
        <w:t>la</w:t>
      </w:r>
      <w:r>
        <w:rPr>
          <w:color w:val="0075BF"/>
          <w:spacing w:val="-3"/>
          <w:w w:val="105"/>
          <w:sz w:val="19"/>
        </w:rPr>
        <w:t xml:space="preserve"> </w:t>
      </w:r>
      <w:r>
        <w:rPr>
          <w:color w:val="0075BF"/>
          <w:w w:val="105"/>
          <w:sz w:val="19"/>
        </w:rPr>
        <w:t>creciente</w:t>
      </w:r>
      <w:r>
        <w:rPr>
          <w:color w:val="0075BF"/>
          <w:spacing w:val="-3"/>
          <w:w w:val="105"/>
          <w:sz w:val="19"/>
        </w:rPr>
        <w:t xml:space="preserve"> </w:t>
      </w:r>
      <w:r>
        <w:rPr>
          <w:color w:val="0075BF"/>
          <w:w w:val="105"/>
          <w:sz w:val="19"/>
        </w:rPr>
        <w:t>sensibilidad</w:t>
      </w:r>
      <w:r>
        <w:rPr>
          <w:color w:val="0075BF"/>
          <w:spacing w:val="-3"/>
          <w:w w:val="105"/>
          <w:sz w:val="19"/>
        </w:rPr>
        <w:t xml:space="preserve"> </w:t>
      </w:r>
      <w:r>
        <w:rPr>
          <w:color w:val="0075BF"/>
          <w:w w:val="105"/>
          <w:sz w:val="19"/>
        </w:rPr>
        <w:t>con</w:t>
      </w:r>
      <w:r>
        <w:rPr>
          <w:color w:val="0075BF"/>
          <w:spacing w:val="-3"/>
          <w:w w:val="105"/>
          <w:sz w:val="19"/>
        </w:rPr>
        <w:t xml:space="preserve"> </w:t>
      </w:r>
      <w:r>
        <w:rPr>
          <w:color w:val="0075BF"/>
          <w:w w:val="105"/>
          <w:sz w:val="19"/>
        </w:rPr>
        <w:t>respecto</w:t>
      </w:r>
      <w:r>
        <w:rPr>
          <w:color w:val="0075BF"/>
          <w:spacing w:val="-3"/>
          <w:w w:val="105"/>
          <w:sz w:val="19"/>
        </w:rPr>
        <w:t xml:space="preserve"> </w:t>
      </w:r>
      <w:r>
        <w:rPr>
          <w:color w:val="0075BF"/>
          <w:w w:val="105"/>
          <w:sz w:val="19"/>
        </w:rPr>
        <w:t>a</w:t>
      </w:r>
      <w:r>
        <w:rPr>
          <w:color w:val="0075BF"/>
          <w:spacing w:val="-3"/>
          <w:w w:val="105"/>
          <w:sz w:val="19"/>
        </w:rPr>
        <w:t xml:space="preserve"> </w:t>
      </w:r>
      <w:r>
        <w:rPr>
          <w:color w:val="0075BF"/>
          <w:w w:val="105"/>
          <w:sz w:val="19"/>
        </w:rPr>
        <w:t>palabras</w:t>
      </w:r>
      <w:r>
        <w:rPr>
          <w:color w:val="0075BF"/>
          <w:spacing w:val="-3"/>
          <w:w w:val="105"/>
          <w:sz w:val="19"/>
        </w:rPr>
        <w:t xml:space="preserve"> </w:t>
      </w:r>
      <w:r>
        <w:rPr>
          <w:color w:val="0075BF"/>
          <w:w w:val="105"/>
          <w:sz w:val="19"/>
        </w:rPr>
        <w:t>como</w:t>
      </w:r>
      <w:r>
        <w:rPr>
          <w:color w:val="0075BF"/>
          <w:spacing w:val="-3"/>
          <w:w w:val="105"/>
          <w:sz w:val="19"/>
        </w:rPr>
        <w:t xml:space="preserve"> </w:t>
      </w:r>
      <w:r>
        <w:rPr>
          <w:color w:val="0075BF"/>
          <w:w w:val="105"/>
          <w:sz w:val="19"/>
        </w:rPr>
        <w:t>el término ofensivo que se utiliza hoy.1174</w:t>
      </w:r>
    </w:p>
    <w:p w14:paraId="10720040" w14:textId="77777777" w:rsidR="0014798C" w:rsidRDefault="0014798C">
      <w:pPr>
        <w:pStyle w:val="Textoindependiente"/>
        <w:spacing w:before="2"/>
        <w:rPr>
          <w:sz w:val="14"/>
        </w:rPr>
      </w:pPr>
    </w:p>
    <w:p w14:paraId="00804DF4" w14:textId="77777777" w:rsidR="0014798C" w:rsidRDefault="004E1F0B">
      <w:pPr>
        <w:spacing w:line="372" w:lineRule="auto"/>
        <w:ind w:left="1111" w:right="1290" w:hanging="4"/>
        <w:rPr>
          <w:sz w:val="14"/>
        </w:rPr>
      </w:pPr>
      <w:r>
        <w:rPr>
          <w:w w:val="105"/>
          <w:sz w:val="14"/>
        </w:rPr>
        <w:t>En</w:t>
      </w:r>
      <w:r>
        <w:rPr>
          <w:spacing w:val="-9"/>
          <w:w w:val="105"/>
          <w:sz w:val="14"/>
        </w:rPr>
        <w:t xml:space="preserve"> </w:t>
      </w:r>
      <w:r>
        <w:rPr>
          <w:w w:val="105"/>
          <w:sz w:val="14"/>
        </w:rPr>
        <w:t>su</w:t>
      </w:r>
      <w:r>
        <w:rPr>
          <w:spacing w:val="-9"/>
          <w:w w:val="105"/>
          <w:sz w:val="14"/>
        </w:rPr>
        <w:t xml:space="preserve"> </w:t>
      </w:r>
      <w:r>
        <w:rPr>
          <w:w w:val="105"/>
          <w:sz w:val="14"/>
        </w:rPr>
        <w:t>conjunto</w:t>
      </w:r>
      <w:r>
        <w:rPr>
          <w:spacing w:val="-9"/>
          <w:w w:val="105"/>
          <w:sz w:val="14"/>
        </w:rPr>
        <w:t xml:space="preserve"> </w:t>
      </w:r>
      <w:r>
        <w:rPr>
          <w:w w:val="105"/>
          <w:sz w:val="14"/>
        </w:rPr>
        <w:t>de</w:t>
      </w:r>
      <w:r>
        <w:rPr>
          <w:spacing w:val="-9"/>
          <w:w w:val="105"/>
          <w:sz w:val="14"/>
        </w:rPr>
        <w:t xml:space="preserve"> </w:t>
      </w:r>
      <w:r>
        <w:rPr>
          <w:w w:val="105"/>
          <w:sz w:val="14"/>
        </w:rPr>
        <w:t>herramientas</w:t>
      </w:r>
      <w:r>
        <w:rPr>
          <w:spacing w:val="-10"/>
          <w:w w:val="105"/>
          <w:sz w:val="14"/>
        </w:rPr>
        <w:t xml:space="preserve"> </w:t>
      </w:r>
      <w:r>
        <w:rPr>
          <w:w w:val="105"/>
          <w:sz w:val="14"/>
        </w:rPr>
        <w:t>sobre</w:t>
      </w:r>
      <w:r>
        <w:rPr>
          <w:spacing w:val="-9"/>
          <w:w w:val="105"/>
          <w:sz w:val="14"/>
        </w:rPr>
        <w:t xml:space="preserve"> </w:t>
      </w:r>
      <w:r>
        <w:rPr>
          <w:w w:val="105"/>
          <w:sz w:val="14"/>
        </w:rPr>
        <w:t>discurso</w:t>
      </w:r>
      <w:r>
        <w:rPr>
          <w:spacing w:val="-9"/>
          <w:w w:val="105"/>
          <w:sz w:val="14"/>
        </w:rPr>
        <w:t xml:space="preserve"> </w:t>
      </w:r>
      <w:r>
        <w:rPr>
          <w:w w:val="105"/>
          <w:sz w:val="14"/>
        </w:rPr>
        <w:t>de</w:t>
      </w:r>
      <w:r>
        <w:rPr>
          <w:spacing w:val="-9"/>
          <w:w w:val="105"/>
          <w:sz w:val="14"/>
        </w:rPr>
        <w:t xml:space="preserve"> </w:t>
      </w:r>
      <w:r>
        <w:rPr>
          <w:w w:val="105"/>
          <w:sz w:val="14"/>
        </w:rPr>
        <w:t>odio,</w:t>
      </w:r>
      <w:r>
        <w:rPr>
          <w:spacing w:val="-9"/>
          <w:w w:val="105"/>
          <w:sz w:val="14"/>
        </w:rPr>
        <w:t xml:space="preserve"> </w:t>
      </w:r>
      <w:r>
        <w:rPr>
          <w:w w:val="105"/>
          <w:sz w:val="14"/>
        </w:rPr>
        <w:t>la</w:t>
      </w:r>
      <w:r>
        <w:rPr>
          <w:spacing w:val="-9"/>
          <w:w w:val="105"/>
          <w:sz w:val="14"/>
        </w:rPr>
        <w:t xml:space="preserve"> </w:t>
      </w:r>
      <w:r>
        <w:rPr>
          <w:w w:val="105"/>
          <w:sz w:val="14"/>
        </w:rPr>
        <w:t>organización</w:t>
      </w:r>
      <w:r>
        <w:rPr>
          <w:spacing w:val="-9"/>
          <w:w w:val="105"/>
          <w:sz w:val="14"/>
        </w:rPr>
        <w:t xml:space="preserve"> </w:t>
      </w:r>
      <w:r>
        <w:rPr>
          <w:w w:val="105"/>
          <w:sz w:val="14"/>
        </w:rPr>
        <w:t>de</w:t>
      </w:r>
      <w:r>
        <w:rPr>
          <w:spacing w:val="-9"/>
          <w:w w:val="105"/>
          <w:sz w:val="14"/>
        </w:rPr>
        <w:t xml:space="preserve"> </w:t>
      </w:r>
      <w:r>
        <w:rPr>
          <w:w w:val="105"/>
          <w:sz w:val="14"/>
        </w:rPr>
        <w:t>la</w:t>
      </w:r>
      <w:r>
        <w:rPr>
          <w:spacing w:val="-9"/>
          <w:w w:val="105"/>
          <w:sz w:val="14"/>
        </w:rPr>
        <w:t xml:space="preserve"> </w:t>
      </w:r>
      <w:r>
        <w:rPr>
          <w:w w:val="105"/>
          <w:sz w:val="14"/>
        </w:rPr>
        <w:t>sociedad</w:t>
      </w:r>
      <w:r>
        <w:rPr>
          <w:spacing w:val="-9"/>
          <w:w w:val="105"/>
          <w:sz w:val="14"/>
        </w:rPr>
        <w:t xml:space="preserve"> </w:t>
      </w:r>
      <w:r>
        <w:rPr>
          <w:w w:val="105"/>
          <w:sz w:val="14"/>
        </w:rPr>
        <w:t>civil</w:t>
      </w:r>
      <w:r>
        <w:rPr>
          <w:spacing w:val="-9"/>
          <w:w w:val="105"/>
          <w:sz w:val="14"/>
        </w:rPr>
        <w:t xml:space="preserve"> </w:t>
      </w:r>
      <w:r>
        <w:rPr>
          <w:w w:val="105"/>
          <w:sz w:val="14"/>
        </w:rPr>
        <w:t>Artículo</w:t>
      </w:r>
      <w:r>
        <w:rPr>
          <w:spacing w:val="-10"/>
          <w:w w:val="105"/>
          <w:sz w:val="14"/>
        </w:rPr>
        <w:t xml:space="preserve"> </w:t>
      </w:r>
      <w:r>
        <w:rPr>
          <w:w w:val="105"/>
          <w:sz w:val="14"/>
        </w:rPr>
        <w:t>19</w:t>
      </w:r>
      <w:r>
        <w:rPr>
          <w:spacing w:val="-9"/>
          <w:w w:val="105"/>
          <w:sz w:val="14"/>
        </w:rPr>
        <w:t xml:space="preserve"> </w:t>
      </w:r>
      <w:r>
        <w:rPr>
          <w:w w:val="105"/>
          <w:sz w:val="14"/>
        </w:rPr>
        <w:t>ha</w:t>
      </w:r>
      <w:r>
        <w:rPr>
          <w:spacing w:val="-9"/>
          <w:w w:val="105"/>
          <w:sz w:val="14"/>
        </w:rPr>
        <w:t xml:space="preserve"> </w:t>
      </w:r>
      <w:r>
        <w:rPr>
          <w:w w:val="105"/>
          <w:sz w:val="14"/>
        </w:rPr>
        <w:t>ofrecido</w:t>
      </w:r>
      <w:r>
        <w:rPr>
          <w:spacing w:val="-9"/>
          <w:w w:val="105"/>
          <w:sz w:val="14"/>
        </w:rPr>
        <w:t xml:space="preserve"> </w:t>
      </w:r>
      <w:r>
        <w:rPr>
          <w:w w:val="105"/>
          <w:sz w:val="14"/>
        </w:rPr>
        <w:t>la</w:t>
      </w:r>
      <w:r>
        <w:rPr>
          <w:spacing w:val="-9"/>
          <w:w w:val="105"/>
          <w:sz w:val="14"/>
        </w:rPr>
        <w:t xml:space="preserve"> </w:t>
      </w:r>
      <w:r>
        <w:rPr>
          <w:w w:val="105"/>
          <w:sz w:val="14"/>
        </w:rPr>
        <w:t>siguiente</w:t>
      </w:r>
      <w:r>
        <w:rPr>
          <w:spacing w:val="-9"/>
          <w:w w:val="105"/>
          <w:sz w:val="14"/>
        </w:rPr>
        <w:t xml:space="preserve"> </w:t>
      </w:r>
      <w:r>
        <w:rPr>
          <w:w w:val="105"/>
          <w:sz w:val="14"/>
        </w:rPr>
        <w:t>orientación</w:t>
      </w:r>
      <w:r>
        <w:rPr>
          <w:spacing w:val="-9"/>
          <w:w w:val="105"/>
          <w:sz w:val="14"/>
        </w:rPr>
        <w:t xml:space="preserve"> </w:t>
      </w:r>
      <w:r>
        <w:rPr>
          <w:w w:val="105"/>
          <w:sz w:val="14"/>
        </w:rPr>
        <w:t>para evaluar el contexto:</w:t>
      </w:r>
    </w:p>
    <w:p w14:paraId="553B2DAE" w14:textId="77777777" w:rsidR="0014798C" w:rsidRDefault="004E1F0B">
      <w:pPr>
        <w:spacing w:before="113" w:line="372" w:lineRule="auto"/>
        <w:ind w:left="1674" w:right="1590" w:hanging="2"/>
        <w:rPr>
          <w:sz w:val="14"/>
        </w:rPr>
      </w:pPr>
      <w:r>
        <w:rPr>
          <w:color w:val="0075BF"/>
          <w:w w:val="105"/>
          <w:sz w:val="14"/>
        </w:rPr>
        <w:t>La</w:t>
      </w:r>
      <w:r>
        <w:rPr>
          <w:color w:val="0075BF"/>
          <w:spacing w:val="-9"/>
          <w:w w:val="105"/>
          <w:sz w:val="14"/>
        </w:rPr>
        <w:t xml:space="preserve"> </w:t>
      </w:r>
      <w:r>
        <w:rPr>
          <w:color w:val="0075BF"/>
          <w:w w:val="105"/>
          <w:sz w:val="14"/>
        </w:rPr>
        <w:t>expresión</w:t>
      </w:r>
      <w:r>
        <w:rPr>
          <w:color w:val="0075BF"/>
          <w:spacing w:val="-9"/>
          <w:w w:val="105"/>
          <w:sz w:val="14"/>
        </w:rPr>
        <w:t xml:space="preserve"> </w:t>
      </w:r>
      <w:r>
        <w:rPr>
          <w:color w:val="0075BF"/>
          <w:w w:val="105"/>
          <w:sz w:val="14"/>
        </w:rPr>
        <w:t>debe</w:t>
      </w:r>
      <w:r>
        <w:rPr>
          <w:color w:val="0075BF"/>
          <w:spacing w:val="-9"/>
          <w:w w:val="105"/>
          <w:sz w:val="14"/>
        </w:rPr>
        <w:t xml:space="preserve"> </w:t>
      </w:r>
      <w:r>
        <w:rPr>
          <w:color w:val="0075BF"/>
          <w:w w:val="105"/>
          <w:sz w:val="14"/>
        </w:rPr>
        <w:t>considerarse</w:t>
      </w:r>
      <w:r>
        <w:rPr>
          <w:color w:val="0075BF"/>
          <w:spacing w:val="-9"/>
          <w:w w:val="105"/>
          <w:sz w:val="14"/>
        </w:rPr>
        <w:t xml:space="preserve"> </w:t>
      </w:r>
      <w:r>
        <w:rPr>
          <w:color w:val="0075BF"/>
          <w:w w:val="105"/>
          <w:sz w:val="14"/>
        </w:rPr>
        <w:t>dentro</w:t>
      </w:r>
      <w:r>
        <w:rPr>
          <w:color w:val="0075BF"/>
          <w:spacing w:val="-9"/>
          <w:w w:val="105"/>
          <w:sz w:val="14"/>
        </w:rPr>
        <w:t xml:space="preserve"> </w:t>
      </w:r>
      <w:r>
        <w:rPr>
          <w:color w:val="0075BF"/>
          <w:w w:val="105"/>
          <w:sz w:val="14"/>
        </w:rPr>
        <w:t>del</w:t>
      </w:r>
      <w:r>
        <w:rPr>
          <w:color w:val="0075BF"/>
          <w:spacing w:val="-9"/>
          <w:w w:val="105"/>
          <w:sz w:val="14"/>
        </w:rPr>
        <w:t xml:space="preserve"> </w:t>
      </w:r>
      <w:r>
        <w:rPr>
          <w:color w:val="0075BF"/>
          <w:w w:val="105"/>
          <w:sz w:val="14"/>
        </w:rPr>
        <w:t>contexto</w:t>
      </w:r>
      <w:r>
        <w:rPr>
          <w:color w:val="0075BF"/>
          <w:spacing w:val="-10"/>
          <w:w w:val="105"/>
          <w:sz w:val="14"/>
        </w:rPr>
        <w:t xml:space="preserve"> </w:t>
      </w:r>
      <w:r>
        <w:rPr>
          <w:color w:val="0075BF"/>
          <w:w w:val="105"/>
          <w:sz w:val="14"/>
        </w:rPr>
        <w:t>político,</w:t>
      </w:r>
      <w:r>
        <w:rPr>
          <w:color w:val="0075BF"/>
          <w:spacing w:val="-9"/>
          <w:w w:val="105"/>
          <w:sz w:val="14"/>
        </w:rPr>
        <w:t xml:space="preserve"> </w:t>
      </w:r>
      <w:r>
        <w:rPr>
          <w:color w:val="0075BF"/>
          <w:w w:val="105"/>
          <w:sz w:val="14"/>
        </w:rPr>
        <w:t>económico</w:t>
      </w:r>
      <w:r>
        <w:rPr>
          <w:color w:val="0075BF"/>
          <w:spacing w:val="-9"/>
          <w:w w:val="105"/>
          <w:sz w:val="14"/>
        </w:rPr>
        <w:t xml:space="preserve"> </w:t>
      </w:r>
      <w:r>
        <w:rPr>
          <w:color w:val="0075BF"/>
          <w:w w:val="105"/>
          <w:sz w:val="14"/>
        </w:rPr>
        <w:t>y</w:t>
      </w:r>
      <w:r>
        <w:rPr>
          <w:color w:val="0075BF"/>
          <w:spacing w:val="-9"/>
          <w:w w:val="105"/>
          <w:sz w:val="14"/>
        </w:rPr>
        <w:t xml:space="preserve"> </w:t>
      </w:r>
      <w:r>
        <w:rPr>
          <w:color w:val="0075BF"/>
          <w:w w:val="105"/>
          <w:sz w:val="14"/>
        </w:rPr>
        <w:t>social</w:t>
      </w:r>
      <w:r>
        <w:rPr>
          <w:color w:val="0075BF"/>
          <w:spacing w:val="-9"/>
          <w:w w:val="105"/>
          <w:sz w:val="14"/>
        </w:rPr>
        <w:t xml:space="preserve"> </w:t>
      </w:r>
      <w:r>
        <w:rPr>
          <w:color w:val="0075BF"/>
          <w:w w:val="105"/>
          <w:sz w:val="14"/>
        </w:rPr>
        <w:t>en</w:t>
      </w:r>
      <w:r>
        <w:rPr>
          <w:color w:val="0075BF"/>
          <w:spacing w:val="-9"/>
          <w:w w:val="105"/>
          <w:sz w:val="14"/>
        </w:rPr>
        <w:t xml:space="preserve"> </w:t>
      </w:r>
      <w:r>
        <w:rPr>
          <w:color w:val="0075BF"/>
          <w:w w:val="105"/>
          <w:sz w:val="14"/>
        </w:rPr>
        <w:t>el</w:t>
      </w:r>
      <w:r>
        <w:rPr>
          <w:color w:val="0075BF"/>
          <w:spacing w:val="-9"/>
          <w:w w:val="105"/>
          <w:sz w:val="14"/>
        </w:rPr>
        <w:t xml:space="preserve"> </w:t>
      </w:r>
      <w:r>
        <w:rPr>
          <w:color w:val="0075BF"/>
          <w:w w:val="105"/>
          <w:sz w:val="14"/>
        </w:rPr>
        <w:t>que</w:t>
      </w:r>
      <w:r>
        <w:rPr>
          <w:color w:val="0075BF"/>
          <w:spacing w:val="-9"/>
          <w:w w:val="105"/>
          <w:sz w:val="14"/>
        </w:rPr>
        <w:t xml:space="preserve"> </w:t>
      </w:r>
      <w:r>
        <w:rPr>
          <w:color w:val="0075BF"/>
          <w:w w:val="105"/>
          <w:sz w:val="14"/>
        </w:rPr>
        <w:t>se</w:t>
      </w:r>
      <w:r>
        <w:rPr>
          <w:color w:val="0075BF"/>
          <w:spacing w:val="-9"/>
          <w:w w:val="105"/>
          <w:sz w:val="14"/>
        </w:rPr>
        <w:t xml:space="preserve"> </w:t>
      </w:r>
      <w:r>
        <w:rPr>
          <w:color w:val="0075BF"/>
          <w:w w:val="105"/>
          <w:sz w:val="14"/>
        </w:rPr>
        <w:t>comunicó,</w:t>
      </w:r>
      <w:r>
        <w:rPr>
          <w:color w:val="0075BF"/>
          <w:spacing w:val="-9"/>
          <w:w w:val="105"/>
          <w:sz w:val="14"/>
        </w:rPr>
        <w:t xml:space="preserve"> </w:t>
      </w:r>
      <w:r>
        <w:rPr>
          <w:color w:val="0075BF"/>
          <w:w w:val="105"/>
          <w:sz w:val="14"/>
        </w:rPr>
        <w:t>ya</w:t>
      </w:r>
      <w:r>
        <w:rPr>
          <w:color w:val="0075BF"/>
          <w:spacing w:val="-9"/>
          <w:w w:val="105"/>
          <w:sz w:val="14"/>
        </w:rPr>
        <w:t xml:space="preserve"> </w:t>
      </w:r>
      <w:r>
        <w:rPr>
          <w:color w:val="0075BF"/>
          <w:w w:val="105"/>
          <w:sz w:val="14"/>
        </w:rPr>
        <w:t>que</w:t>
      </w:r>
      <w:r>
        <w:rPr>
          <w:color w:val="0075BF"/>
          <w:spacing w:val="-9"/>
          <w:w w:val="105"/>
          <w:sz w:val="14"/>
        </w:rPr>
        <w:t xml:space="preserve"> </w:t>
      </w:r>
      <w:r>
        <w:rPr>
          <w:color w:val="0075BF"/>
          <w:w w:val="105"/>
          <w:sz w:val="14"/>
        </w:rPr>
        <w:t>esto</w:t>
      </w:r>
      <w:r>
        <w:rPr>
          <w:color w:val="0075BF"/>
          <w:spacing w:val="-9"/>
          <w:w w:val="105"/>
          <w:sz w:val="14"/>
        </w:rPr>
        <w:t xml:space="preserve"> </w:t>
      </w:r>
      <w:r>
        <w:rPr>
          <w:color w:val="0075BF"/>
          <w:w w:val="105"/>
          <w:sz w:val="14"/>
        </w:rPr>
        <w:t>tendrá</w:t>
      </w:r>
      <w:r>
        <w:rPr>
          <w:color w:val="0075BF"/>
          <w:spacing w:val="-9"/>
          <w:w w:val="105"/>
          <w:sz w:val="14"/>
        </w:rPr>
        <w:t xml:space="preserve"> </w:t>
      </w:r>
      <w:r>
        <w:rPr>
          <w:color w:val="0075BF"/>
          <w:w w:val="105"/>
          <w:sz w:val="14"/>
        </w:rPr>
        <w:t xml:space="preserve">una </w:t>
      </w:r>
      <w:r>
        <w:rPr>
          <w:color w:val="0075BF"/>
          <w:spacing w:val="-2"/>
          <w:w w:val="105"/>
          <w:sz w:val="14"/>
        </w:rPr>
        <w:t>relación</w:t>
      </w:r>
      <w:r>
        <w:rPr>
          <w:color w:val="0075BF"/>
          <w:spacing w:val="-1"/>
          <w:w w:val="105"/>
          <w:sz w:val="14"/>
        </w:rPr>
        <w:t xml:space="preserve"> </w:t>
      </w:r>
      <w:r>
        <w:rPr>
          <w:color w:val="0075BF"/>
          <w:spacing w:val="-2"/>
          <w:w w:val="105"/>
          <w:sz w:val="14"/>
        </w:rPr>
        <w:t>directa</w:t>
      </w:r>
      <w:r>
        <w:rPr>
          <w:color w:val="0075BF"/>
          <w:spacing w:val="-1"/>
          <w:w w:val="105"/>
          <w:sz w:val="14"/>
        </w:rPr>
        <w:t xml:space="preserve"> </w:t>
      </w:r>
      <w:r>
        <w:rPr>
          <w:color w:val="0075BF"/>
          <w:spacing w:val="-2"/>
          <w:w w:val="105"/>
          <w:sz w:val="14"/>
        </w:rPr>
        <w:t>tanto con</w:t>
      </w:r>
      <w:r>
        <w:rPr>
          <w:color w:val="0075BF"/>
          <w:spacing w:val="-1"/>
          <w:w w:val="105"/>
          <w:sz w:val="14"/>
        </w:rPr>
        <w:t xml:space="preserve"> </w:t>
      </w:r>
      <w:r>
        <w:rPr>
          <w:color w:val="0075BF"/>
          <w:spacing w:val="-2"/>
          <w:w w:val="105"/>
          <w:sz w:val="14"/>
        </w:rPr>
        <w:t>la</w:t>
      </w:r>
      <w:r>
        <w:rPr>
          <w:color w:val="0075BF"/>
          <w:w w:val="105"/>
          <w:sz w:val="14"/>
        </w:rPr>
        <w:t xml:space="preserve"> </w:t>
      </w:r>
      <w:r>
        <w:rPr>
          <w:color w:val="0075BF"/>
          <w:spacing w:val="-2"/>
          <w:w w:val="105"/>
          <w:sz w:val="14"/>
        </w:rPr>
        <w:t>intención</w:t>
      </w:r>
      <w:r>
        <w:rPr>
          <w:color w:val="0075BF"/>
          <w:spacing w:val="-1"/>
          <w:w w:val="105"/>
          <w:sz w:val="14"/>
        </w:rPr>
        <w:t xml:space="preserve"> </w:t>
      </w:r>
      <w:r>
        <w:rPr>
          <w:color w:val="0075BF"/>
          <w:spacing w:val="-2"/>
          <w:w w:val="105"/>
          <w:sz w:val="14"/>
        </w:rPr>
        <w:t>como</w:t>
      </w:r>
      <w:r>
        <w:rPr>
          <w:color w:val="0075BF"/>
          <w:spacing w:val="-1"/>
          <w:w w:val="105"/>
          <w:sz w:val="14"/>
        </w:rPr>
        <w:t xml:space="preserve"> </w:t>
      </w:r>
      <w:r>
        <w:rPr>
          <w:color w:val="0075BF"/>
          <w:spacing w:val="-2"/>
          <w:w w:val="105"/>
          <w:sz w:val="14"/>
        </w:rPr>
        <w:t>con</w:t>
      </w:r>
      <w:r>
        <w:rPr>
          <w:color w:val="0075BF"/>
          <w:spacing w:val="-1"/>
          <w:w w:val="105"/>
          <w:sz w:val="14"/>
        </w:rPr>
        <w:t xml:space="preserve"> </w:t>
      </w:r>
      <w:r>
        <w:rPr>
          <w:color w:val="0075BF"/>
          <w:spacing w:val="-2"/>
          <w:w w:val="105"/>
          <w:sz w:val="14"/>
        </w:rPr>
        <w:t>la</w:t>
      </w:r>
      <w:r>
        <w:rPr>
          <w:color w:val="0075BF"/>
          <w:w w:val="105"/>
          <w:sz w:val="14"/>
        </w:rPr>
        <w:t xml:space="preserve"> </w:t>
      </w:r>
      <w:r>
        <w:rPr>
          <w:color w:val="0075BF"/>
          <w:spacing w:val="-2"/>
          <w:w w:val="105"/>
          <w:sz w:val="14"/>
        </w:rPr>
        <w:t>causalidad.</w:t>
      </w:r>
      <w:r>
        <w:rPr>
          <w:color w:val="0075BF"/>
          <w:w w:val="105"/>
          <w:sz w:val="14"/>
        </w:rPr>
        <w:t xml:space="preserve"> </w:t>
      </w:r>
      <w:r>
        <w:rPr>
          <w:color w:val="0075BF"/>
          <w:spacing w:val="-2"/>
          <w:w w:val="105"/>
          <w:sz w:val="14"/>
        </w:rPr>
        <w:t>El</w:t>
      </w:r>
      <w:r>
        <w:rPr>
          <w:color w:val="0075BF"/>
          <w:spacing w:val="-1"/>
          <w:w w:val="105"/>
          <w:sz w:val="14"/>
        </w:rPr>
        <w:t xml:space="preserve"> </w:t>
      </w:r>
      <w:r>
        <w:rPr>
          <w:color w:val="0075BF"/>
          <w:spacing w:val="-2"/>
          <w:w w:val="105"/>
          <w:sz w:val="14"/>
        </w:rPr>
        <w:t>análisis</w:t>
      </w:r>
      <w:r>
        <w:rPr>
          <w:color w:val="0075BF"/>
          <w:spacing w:val="-1"/>
          <w:w w:val="105"/>
          <w:sz w:val="14"/>
        </w:rPr>
        <w:t xml:space="preserve"> </w:t>
      </w:r>
      <w:r>
        <w:rPr>
          <w:color w:val="0075BF"/>
          <w:spacing w:val="-2"/>
          <w:w w:val="105"/>
          <w:sz w:val="14"/>
        </w:rPr>
        <w:t>contextual</w:t>
      </w:r>
      <w:r>
        <w:rPr>
          <w:color w:val="0075BF"/>
          <w:w w:val="105"/>
          <w:sz w:val="14"/>
        </w:rPr>
        <w:t xml:space="preserve"> </w:t>
      </w:r>
      <w:r>
        <w:rPr>
          <w:color w:val="0075BF"/>
          <w:spacing w:val="-2"/>
          <w:w w:val="105"/>
          <w:sz w:val="14"/>
        </w:rPr>
        <w:t>debería</w:t>
      </w:r>
      <w:r>
        <w:rPr>
          <w:color w:val="0075BF"/>
          <w:spacing w:val="-1"/>
          <w:w w:val="105"/>
          <w:sz w:val="14"/>
        </w:rPr>
        <w:t xml:space="preserve"> </w:t>
      </w:r>
      <w:r>
        <w:rPr>
          <w:color w:val="0075BF"/>
          <w:spacing w:val="-2"/>
          <w:w w:val="105"/>
          <w:sz w:val="14"/>
        </w:rPr>
        <w:t>tener en</w:t>
      </w:r>
      <w:r>
        <w:rPr>
          <w:color w:val="0075BF"/>
          <w:spacing w:val="-1"/>
          <w:w w:val="105"/>
          <w:sz w:val="14"/>
        </w:rPr>
        <w:t xml:space="preserve"> </w:t>
      </w:r>
      <w:r>
        <w:rPr>
          <w:color w:val="0075BF"/>
          <w:spacing w:val="-2"/>
          <w:w w:val="105"/>
          <w:sz w:val="14"/>
        </w:rPr>
        <w:t>cuenta,</w:t>
      </w:r>
      <w:r>
        <w:rPr>
          <w:color w:val="0075BF"/>
          <w:w w:val="105"/>
          <w:sz w:val="14"/>
        </w:rPr>
        <w:t xml:space="preserve"> </w:t>
      </w:r>
      <w:r>
        <w:rPr>
          <w:color w:val="0075BF"/>
          <w:spacing w:val="-2"/>
          <w:w w:val="105"/>
          <w:sz w:val="14"/>
        </w:rPr>
        <w:t>entre</w:t>
      </w:r>
      <w:r>
        <w:rPr>
          <w:color w:val="0075BF"/>
          <w:spacing w:val="-1"/>
          <w:w w:val="105"/>
          <w:sz w:val="14"/>
        </w:rPr>
        <w:t xml:space="preserve"> </w:t>
      </w:r>
      <w:r>
        <w:rPr>
          <w:color w:val="0075BF"/>
          <w:spacing w:val="-2"/>
          <w:w w:val="105"/>
          <w:sz w:val="14"/>
        </w:rPr>
        <w:t>otras cosas:</w:t>
      </w:r>
    </w:p>
    <w:p w14:paraId="5A545436" w14:textId="77777777" w:rsidR="0014798C" w:rsidRDefault="0014798C">
      <w:pPr>
        <w:pStyle w:val="Textoindependiente"/>
        <w:spacing w:before="146"/>
        <w:rPr>
          <w:sz w:val="14"/>
        </w:rPr>
      </w:pPr>
    </w:p>
    <w:p w14:paraId="702F856A" w14:textId="77777777" w:rsidR="0014798C" w:rsidRDefault="004E1F0B">
      <w:pPr>
        <w:pStyle w:val="Prrafodelista"/>
        <w:numPr>
          <w:ilvl w:val="0"/>
          <w:numId w:val="6"/>
        </w:numPr>
        <w:tabs>
          <w:tab w:val="left" w:pos="2016"/>
          <w:tab w:val="left" w:pos="2128"/>
        </w:tabs>
        <w:spacing w:line="372" w:lineRule="auto"/>
        <w:ind w:right="2234" w:hanging="232"/>
        <w:rPr>
          <w:sz w:val="14"/>
        </w:rPr>
      </w:pPr>
      <w:r>
        <w:rPr>
          <w:color w:val="0075BF"/>
          <w:w w:val="105"/>
          <w:sz w:val="14"/>
        </w:rPr>
        <w:t>la</w:t>
      </w:r>
      <w:r>
        <w:rPr>
          <w:color w:val="0075BF"/>
          <w:spacing w:val="-11"/>
          <w:w w:val="105"/>
          <w:sz w:val="14"/>
        </w:rPr>
        <w:t xml:space="preserve"> </w:t>
      </w:r>
      <w:r>
        <w:rPr>
          <w:color w:val="0075BF"/>
          <w:w w:val="105"/>
          <w:sz w:val="14"/>
        </w:rPr>
        <w:t>existencia</w:t>
      </w:r>
      <w:r>
        <w:rPr>
          <w:color w:val="0075BF"/>
          <w:spacing w:val="-10"/>
          <w:w w:val="105"/>
          <w:sz w:val="14"/>
        </w:rPr>
        <w:t xml:space="preserve"> </w:t>
      </w:r>
      <w:r>
        <w:rPr>
          <w:color w:val="0075BF"/>
          <w:w w:val="105"/>
          <w:sz w:val="14"/>
        </w:rPr>
        <w:t>de</w:t>
      </w:r>
      <w:r>
        <w:rPr>
          <w:color w:val="0075BF"/>
          <w:spacing w:val="-10"/>
          <w:w w:val="105"/>
          <w:sz w:val="14"/>
        </w:rPr>
        <w:t xml:space="preserve"> </w:t>
      </w:r>
      <w:r>
        <w:rPr>
          <w:color w:val="0075BF"/>
          <w:w w:val="105"/>
          <w:sz w:val="14"/>
        </w:rPr>
        <w:t>conflictos</w:t>
      </w:r>
      <w:r>
        <w:rPr>
          <w:color w:val="0075BF"/>
          <w:spacing w:val="-10"/>
          <w:w w:val="105"/>
          <w:sz w:val="14"/>
        </w:rPr>
        <w:t xml:space="preserve"> </w:t>
      </w:r>
      <w:r>
        <w:rPr>
          <w:color w:val="0075BF"/>
          <w:w w:val="105"/>
          <w:sz w:val="14"/>
        </w:rPr>
        <w:t>en</w:t>
      </w:r>
      <w:r>
        <w:rPr>
          <w:color w:val="0075BF"/>
          <w:spacing w:val="-11"/>
          <w:w w:val="105"/>
          <w:sz w:val="14"/>
        </w:rPr>
        <w:t xml:space="preserve"> </w:t>
      </w:r>
      <w:r>
        <w:rPr>
          <w:color w:val="0075BF"/>
          <w:w w:val="105"/>
          <w:sz w:val="14"/>
        </w:rPr>
        <w:t>la</w:t>
      </w:r>
      <w:r>
        <w:rPr>
          <w:color w:val="0075BF"/>
          <w:spacing w:val="-10"/>
          <w:w w:val="105"/>
          <w:sz w:val="14"/>
        </w:rPr>
        <w:t xml:space="preserve"> </w:t>
      </w:r>
      <w:r>
        <w:rPr>
          <w:color w:val="0075BF"/>
          <w:w w:val="105"/>
          <w:sz w:val="14"/>
        </w:rPr>
        <w:t>sociedad,</w:t>
      </w:r>
      <w:r>
        <w:rPr>
          <w:color w:val="0075BF"/>
          <w:spacing w:val="-10"/>
          <w:w w:val="105"/>
          <w:sz w:val="14"/>
        </w:rPr>
        <w:t xml:space="preserve"> </w:t>
      </w:r>
      <w:r>
        <w:rPr>
          <w:color w:val="0075BF"/>
          <w:w w:val="105"/>
          <w:sz w:val="14"/>
        </w:rPr>
        <w:t>por</w:t>
      </w:r>
      <w:r>
        <w:rPr>
          <w:color w:val="0075BF"/>
          <w:spacing w:val="-10"/>
          <w:w w:val="105"/>
          <w:sz w:val="14"/>
        </w:rPr>
        <w:t xml:space="preserve"> </w:t>
      </w:r>
      <w:r>
        <w:rPr>
          <w:color w:val="0075BF"/>
          <w:w w:val="105"/>
          <w:sz w:val="14"/>
        </w:rPr>
        <w:t>ejemplo,</w:t>
      </w:r>
      <w:r>
        <w:rPr>
          <w:color w:val="0075BF"/>
          <w:spacing w:val="-10"/>
          <w:w w:val="105"/>
          <w:sz w:val="14"/>
        </w:rPr>
        <w:t xml:space="preserve"> </w:t>
      </w:r>
      <w:r>
        <w:rPr>
          <w:color w:val="0075BF"/>
          <w:w w:val="105"/>
          <w:sz w:val="14"/>
        </w:rPr>
        <w:t>incidentes</w:t>
      </w:r>
      <w:r>
        <w:rPr>
          <w:color w:val="0075BF"/>
          <w:spacing w:val="-11"/>
          <w:w w:val="105"/>
          <w:sz w:val="14"/>
        </w:rPr>
        <w:t xml:space="preserve"> </w:t>
      </w:r>
      <w:r>
        <w:rPr>
          <w:color w:val="0075BF"/>
          <w:w w:val="105"/>
          <w:sz w:val="14"/>
        </w:rPr>
        <w:t>recientes</w:t>
      </w:r>
      <w:r>
        <w:rPr>
          <w:color w:val="0075BF"/>
          <w:spacing w:val="-10"/>
          <w:w w:val="105"/>
          <w:sz w:val="14"/>
        </w:rPr>
        <w:t xml:space="preserve"> </w:t>
      </w:r>
      <w:r>
        <w:rPr>
          <w:color w:val="0075BF"/>
          <w:w w:val="105"/>
          <w:sz w:val="14"/>
        </w:rPr>
        <w:t>de</w:t>
      </w:r>
      <w:r>
        <w:rPr>
          <w:color w:val="0075BF"/>
          <w:spacing w:val="-10"/>
          <w:w w:val="105"/>
          <w:sz w:val="14"/>
        </w:rPr>
        <w:t xml:space="preserve"> </w:t>
      </w:r>
      <w:r>
        <w:rPr>
          <w:color w:val="0075BF"/>
          <w:w w:val="105"/>
          <w:sz w:val="14"/>
        </w:rPr>
        <w:t>violencia</w:t>
      </w:r>
      <w:r>
        <w:rPr>
          <w:color w:val="0075BF"/>
          <w:spacing w:val="-10"/>
          <w:w w:val="105"/>
          <w:sz w:val="14"/>
        </w:rPr>
        <w:t xml:space="preserve"> </w:t>
      </w:r>
      <w:r>
        <w:rPr>
          <w:color w:val="0075BF"/>
          <w:w w:val="105"/>
          <w:sz w:val="14"/>
        </w:rPr>
        <w:t>contra</w:t>
      </w:r>
      <w:r>
        <w:rPr>
          <w:color w:val="0075BF"/>
          <w:spacing w:val="-10"/>
          <w:w w:val="105"/>
          <w:sz w:val="14"/>
        </w:rPr>
        <w:t xml:space="preserve"> </w:t>
      </w:r>
      <w:r>
        <w:rPr>
          <w:color w:val="0075BF"/>
          <w:w w:val="105"/>
          <w:sz w:val="14"/>
        </w:rPr>
        <w:t>las</w:t>
      </w:r>
      <w:r>
        <w:rPr>
          <w:color w:val="0075BF"/>
          <w:spacing w:val="-11"/>
          <w:w w:val="105"/>
          <w:sz w:val="14"/>
        </w:rPr>
        <w:t xml:space="preserve"> </w:t>
      </w:r>
      <w:r>
        <w:rPr>
          <w:color w:val="0075BF"/>
          <w:w w:val="105"/>
          <w:sz w:val="14"/>
        </w:rPr>
        <w:t>personas</w:t>
      </w:r>
      <w:r>
        <w:rPr>
          <w:color w:val="0075BF"/>
          <w:spacing w:val="-10"/>
          <w:w w:val="105"/>
          <w:sz w:val="14"/>
        </w:rPr>
        <w:t xml:space="preserve"> </w:t>
      </w:r>
      <w:r>
        <w:rPr>
          <w:color w:val="0075BF"/>
          <w:w w:val="105"/>
          <w:sz w:val="14"/>
        </w:rPr>
        <w:t xml:space="preserve">objetivo </w:t>
      </w:r>
      <w:r>
        <w:rPr>
          <w:color w:val="0075BF"/>
          <w:spacing w:val="-2"/>
          <w:w w:val="105"/>
          <w:sz w:val="14"/>
        </w:rPr>
        <w:t>grupo;</w:t>
      </w:r>
    </w:p>
    <w:p w14:paraId="6A1E1FA1" w14:textId="77777777" w:rsidR="0014798C" w:rsidRDefault="004E1F0B">
      <w:pPr>
        <w:pStyle w:val="Prrafodelista"/>
        <w:numPr>
          <w:ilvl w:val="0"/>
          <w:numId w:val="6"/>
        </w:numPr>
        <w:tabs>
          <w:tab w:val="left" w:pos="2016"/>
          <w:tab w:val="left" w:pos="2132"/>
        </w:tabs>
        <w:spacing w:before="57" w:line="372" w:lineRule="auto"/>
        <w:ind w:left="2132" w:right="3215" w:hanging="236"/>
        <w:rPr>
          <w:sz w:val="14"/>
        </w:rPr>
      </w:pPr>
      <w:r>
        <w:rPr>
          <w:color w:val="0075BF"/>
          <w:w w:val="105"/>
          <w:sz w:val="14"/>
        </w:rPr>
        <w:t>la</w:t>
      </w:r>
      <w:r>
        <w:rPr>
          <w:color w:val="0075BF"/>
          <w:spacing w:val="-10"/>
          <w:w w:val="105"/>
          <w:sz w:val="14"/>
        </w:rPr>
        <w:t xml:space="preserve"> </w:t>
      </w:r>
      <w:r>
        <w:rPr>
          <w:color w:val="0075BF"/>
          <w:w w:val="105"/>
          <w:sz w:val="14"/>
        </w:rPr>
        <w:t>existencia</w:t>
      </w:r>
      <w:r>
        <w:rPr>
          <w:color w:val="0075BF"/>
          <w:spacing w:val="-10"/>
          <w:w w:val="105"/>
          <w:sz w:val="14"/>
        </w:rPr>
        <w:t xml:space="preserve"> </w:t>
      </w:r>
      <w:r>
        <w:rPr>
          <w:color w:val="0075BF"/>
          <w:w w:val="105"/>
          <w:sz w:val="14"/>
        </w:rPr>
        <w:t>y</w:t>
      </w:r>
      <w:r>
        <w:rPr>
          <w:color w:val="0075BF"/>
          <w:spacing w:val="-10"/>
          <w:w w:val="105"/>
          <w:sz w:val="14"/>
        </w:rPr>
        <w:t xml:space="preserve"> </w:t>
      </w:r>
      <w:r>
        <w:rPr>
          <w:color w:val="0075BF"/>
          <w:w w:val="105"/>
          <w:sz w:val="14"/>
        </w:rPr>
        <w:t>la</w:t>
      </w:r>
      <w:r>
        <w:rPr>
          <w:color w:val="0075BF"/>
          <w:spacing w:val="-10"/>
          <w:w w:val="105"/>
          <w:sz w:val="14"/>
        </w:rPr>
        <w:t xml:space="preserve"> </w:t>
      </w:r>
      <w:r>
        <w:rPr>
          <w:color w:val="0075BF"/>
          <w:w w:val="105"/>
          <w:sz w:val="14"/>
        </w:rPr>
        <w:t>historia</w:t>
      </w:r>
      <w:r>
        <w:rPr>
          <w:color w:val="0075BF"/>
          <w:spacing w:val="-10"/>
          <w:w w:val="105"/>
          <w:sz w:val="14"/>
        </w:rPr>
        <w:t xml:space="preserve"> </w:t>
      </w:r>
      <w:r>
        <w:rPr>
          <w:color w:val="0075BF"/>
          <w:w w:val="105"/>
          <w:sz w:val="14"/>
        </w:rPr>
        <w:t>de</w:t>
      </w:r>
      <w:r>
        <w:rPr>
          <w:color w:val="0075BF"/>
          <w:spacing w:val="-10"/>
          <w:w w:val="105"/>
          <w:sz w:val="14"/>
        </w:rPr>
        <w:t xml:space="preserve"> </w:t>
      </w:r>
      <w:r>
        <w:rPr>
          <w:color w:val="0075BF"/>
          <w:w w:val="105"/>
          <w:sz w:val="14"/>
        </w:rPr>
        <w:t>la</w:t>
      </w:r>
      <w:r>
        <w:rPr>
          <w:color w:val="0075BF"/>
          <w:spacing w:val="-10"/>
          <w:w w:val="105"/>
          <w:sz w:val="14"/>
        </w:rPr>
        <w:t xml:space="preserve"> </w:t>
      </w:r>
      <w:r>
        <w:rPr>
          <w:color w:val="0075BF"/>
          <w:w w:val="105"/>
          <w:sz w:val="14"/>
        </w:rPr>
        <w:t>discriminación</w:t>
      </w:r>
      <w:r>
        <w:rPr>
          <w:color w:val="0075BF"/>
          <w:spacing w:val="-10"/>
          <w:w w:val="105"/>
          <w:sz w:val="14"/>
        </w:rPr>
        <w:t xml:space="preserve"> </w:t>
      </w:r>
      <w:r>
        <w:rPr>
          <w:color w:val="0075BF"/>
          <w:w w:val="105"/>
          <w:sz w:val="14"/>
        </w:rPr>
        <w:t>institucionalizada,</w:t>
      </w:r>
      <w:r>
        <w:rPr>
          <w:color w:val="0075BF"/>
          <w:spacing w:val="-9"/>
          <w:w w:val="105"/>
          <w:sz w:val="14"/>
        </w:rPr>
        <w:t xml:space="preserve"> </w:t>
      </w:r>
      <w:r>
        <w:rPr>
          <w:color w:val="0075BF"/>
          <w:w w:val="105"/>
          <w:sz w:val="14"/>
        </w:rPr>
        <w:t>por</w:t>
      </w:r>
      <w:r>
        <w:rPr>
          <w:color w:val="0075BF"/>
          <w:spacing w:val="-10"/>
          <w:w w:val="105"/>
          <w:sz w:val="14"/>
        </w:rPr>
        <w:t xml:space="preserve"> </w:t>
      </w:r>
      <w:r>
        <w:rPr>
          <w:color w:val="0075BF"/>
          <w:w w:val="105"/>
          <w:sz w:val="14"/>
        </w:rPr>
        <w:t>ejemplo</w:t>
      </w:r>
      <w:r>
        <w:rPr>
          <w:color w:val="0075BF"/>
          <w:spacing w:val="-10"/>
          <w:w w:val="105"/>
          <w:sz w:val="14"/>
        </w:rPr>
        <w:t xml:space="preserve"> </w:t>
      </w:r>
      <w:r>
        <w:rPr>
          <w:color w:val="0075BF"/>
          <w:w w:val="105"/>
          <w:sz w:val="14"/>
        </w:rPr>
        <w:t>en</w:t>
      </w:r>
      <w:r>
        <w:rPr>
          <w:color w:val="0075BF"/>
          <w:spacing w:val="-10"/>
          <w:w w:val="105"/>
          <w:sz w:val="14"/>
        </w:rPr>
        <w:t xml:space="preserve"> </w:t>
      </w:r>
      <w:r>
        <w:rPr>
          <w:color w:val="0075BF"/>
          <w:w w:val="105"/>
          <w:sz w:val="14"/>
        </w:rPr>
        <w:t>la</w:t>
      </w:r>
      <w:r>
        <w:rPr>
          <w:color w:val="0075BF"/>
          <w:spacing w:val="-10"/>
          <w:w w:val="105"/>
          <w:sz w:val="14"/>
        </w:rPr>
        <w:t xml:space="preserve"> </w:t>
      </w:r>
      <w:r>
        <w:rPr>
          <w:color w:val="0075BF"/>
          <w:w w:val="105"/>
          <w:sz w:val="14"/>
        </w:rPr>
        <w:t>aplicación</w:t>
      </w:r>
      <w:r>
        <w:rPr>
          <w:color w:val="0075BF"/>
          <w:spacing w:val="-10"/>
          <w:w w:val="105"/>
          <w:sz w:val="14"/>
        </w:rPr>
        <w:t xml:space="preserve"> </w:t>
      </w:r>
      <w:r>
        <w:rPr>
          <w:color w:val="0075BF"/>
          <w:w w:val="105"/>
          <w:sz w:val="14"/>
        </w:rPr>
        <w:t>de</w:t>
      </w:r>
      <w:r>
        <w:rPr>
          <w:color w:val="0075BF"/>
          <w:spacing w:val="-10"/>
          <w:w w:val="105"/>
          <w:sz w:val="14"/>
        </w:rPr>
        <w:t xml:space="preserve"> </w:t>
      </w:r>
      <w:r>
        <w:rPr>
          <w:color w:val="0075BF"/>
          <w:w w:val="105"/>
          <w:sz w:val="14"/>
        </w:rPr>
        <w:t>la</w:t>
      </w:r>
      <w:r>
        <w:rPr>
          <w:color w:val="0075BF"/>
          <w:spacing w:val="-10"/>
          <w:w w:val="105"/>
          <w:sz w:val="14"/>
        </w:rPr>
        <w:t xml:space="preserve"> </w:t>
      </w:r>
      <w:r>
        <w:rPr>
          <w:color w:val="0075BF"/>
          <w:w w:val="105"/>
          <w:sz w:val="14"/>
        </w:rPr>
        <w:t>ley y</w:t>
      </w:r>
      <w:r>
        <w:rPr>
          <w:color w:val="0075BF"/>
          <w:spacing w:val="-6"/>
          <w:w w:val="105"/>
          <w:sz w:val="14"/>
        </w:rPr>
        <w:t xml:space="preserve"> </w:t>
      </w:r>
      <w:r>
        <w:rPr>
          <w:color w:val="0075BF"/>
          <w:w w:val="105"/>
          <w:sz w:val="14"/>
        </w:rPr>
        <w:t>el</w:t>
      </w:r>
      <w:r>
        <w:rPr>
          <w:color w:val="0075BF"/>
          <w:spacing w:val="-6"/>
          <w:w w:val="105"/>
          <w:sz w:val="14"/>
        </w:rPr>
        <w:t xml:space="preserve"> </w:t>
      </w:r>
      <w:r>
        <w:rPr>
          <w:color w:val="0075BF"/>
          <w:w w:val="105"/>
          <w:sz w:val="14"/>
        </w:rPr>
        <w:t>poder</w:t>
      </w:r>
      <w:r>
        <w:rPr>
          <w:color w:val="0075BF"/>
          <w:spacing w:val="-6"/>
          <w:w w:val="105"/>
          <w:sz w:val="14"/>
        </w:rPr>
        <w:t xml:space="preserve"> </w:t>
      </w:r>
      <w:r>
        <w:rPr>
          <w:color w:val="0075BF"/>
          <w:w w:val="105"/>
          <w:sz w:val="14"/>
        </w:rPr>
        <w:t>judicial;</w:t>
      </w:r>
    </w:p>
    <w:p w14:paraId="20B04187" w14:textId="77777777" w:rsidR="0014798C" w:rsidRDefault="004E1F0B">
      <w:pPr>
        <w:pStyle w:val="Prrafodelista"/>
        <w:numPr>
          <w:ilvl w:val="0"/>
          <w:numId w:val="6"/>
        </w:numPr>
        <w:tabs>
          <w:tab w:val="left" w:pos="2015"/>
          <w:tab w:val="left" w:pos="2127"/>
        </w:tabs>
        <w:spacing w:before="57" w:line="372" w:lineRule="auto"/>
        <w:ind w:left="2127" w:right="3961" w:hanging="232"/>
        <w:rPr>
          <w:sz w:val="14"/>
        </w:rPr>
      </w:pPr>
      <w:r>
        <w:rPr>
          <w:color w:val="0075BF"/>
          <w:sz w:val="14"/>
        </w:rPr>
        <w:t>el marco legal, incluido el reconocimiento de la característica protegida del grupo objetivo</w:t>
      </w:r>
      <w:r>
        <w:rPr>
          <w:color w:val="0075BF"/>
          <w:spacing w:val="40"/>
          <w:sz w:val="14"/>
        </w:rPr>
        <w:t xml:space="preserve"> </w:t>
      </w:r>
      <w:r>
        <w:rPr>
          <w:color w:val="0075BF"/>
          <w:sz w:val="14"/>
        </w:rPr>
        <w:t>en cualquier disposición contra la discriminación o la falta de ella;</w:t>
      </w:r>
    </w:p>
    <w:p w14:paraId="24CE89F2" w14:textId="77777777" w:rsidR="0014798C" w:rsidRDefault="004E1F0B">
      <w:pPr>
        <w:pStyle w:val="Prrafodelista"/>
        <w:numPr>
          <w:ilvl w:val="0"/>
          <w:numId w:val="6"/>
        </w:numPr>
        <w:tabs>
          <w:tab w:val="left" w:pos="2015"/>
          <w:tab w:val="left" w:pos="2125"/>
        </w:tabs>
        <w:spacing w:before="57" w:line="355" w:lineRule="auto"/>
        <w:ind w:left="2125" w:right="1583" w:hanging="230"/>
        <w:rPr>
          <w:sz w:val="14"/>
        </w:rPr>
      </w:pPr>
      <w:r>
        <w:rPr>
          <w:color w:val="0075BF"/>
          <w:w w:val="105"/>
          <w:sz w:val="14"/>
        </w:rPr>
        <w:t>el</w:t>
      </w:r>
      <w:r>
        <w:rPr>
          <w:color w:val="0075BF"/>
          <w:spacing w:val="-11"/>
          <w:w w:val="105"/>
          <w:sz w:val="14"/>
        </w:rPr>
        <w:t xml:space="preserve"> </w:t>
      </w:r>
      <w:r>
        <w:rPr>
          <w:color w:val="0075BF"/>
          <w:w w:val="105"/>
          <w:sz w:val="14"/>
        </w:rPr>
        <w:t>panorama</w:t>
      </w:r>
      <w:r>
        <w:rPr>
          <w:color w:val="0075BF"/>
          <w:spacing w:val="-10"/>
          <w:w w:val="105"/>
          <w:sz w:val="14"/>
        </w:rPr>
        <w:t xml:space="preserve"> </w:t>
      </w:r>
      <w:r>
        <w:rPr>
          <w:color w:val="0075BF"/>
          <w:w w:val="105"/>
          <w:sz w:val="14"/>
        </w:rPr>
        <w:t>de</w:t>
      </w:r>
      <w:r>
        <w:rPr>
          <w:color w:val="0075BF"/>
          <w:spacing w:val="-10"/>
          <w:w w:val="105"/>
          <w:sz w:val="14"/>
        </w:rPr>
        <w:t xml:space="preserve"> </w:t>
      </w:r>
      <w:r>
        <w:rPr>
          <w:color w:val="0075BF"/>
          <w:w w:val="105"/>
          <w:sz w:val="14"/>
        </w:rPr>
        <w:t>los</w:t>
      </w:r>
      <w:r>
        <w:rPr>
          <w:color w:val="0075BF"/>
          <w:spacing w:val="-10"/>
          <w:w w:val="105"/>
          <w:sz w:val="14"/>
        </w:rPr>
        <w:t xml:space="preserve"> </w:t>
      </w:r>
      <w:r>
        <w:rPr>
          <w:color w:val="0075BF"/>
          <w:w w:val="105"/>
          <w:sz w:val="14"/>
        </w:rPr>
        <w:t>medios</w:t>
      </w:r>
      <w:r>
        <w:rPr>
          <w:color w:val="0075BF"/>
          <w:spacing w:val="-11"/>
          <w:w w:val="105"/>
          <w:sz w:val="14"/>
        </w:rPr>
        <w:t xml:space="preserve"> </w:t>
      </w:r>
      <w:r>
        <w:rPr>
          <w:color w:val="0075BF"/>
          <w:w w:val="105"/>
          <w:sz w:val="14"/>
        </w:rPr>
        <w:t>de</w:t>
      </w:r>
      <w:r>
        <w:rPr>
          <w:color w:val="0075BF"/>
          <w:spacing w:val="-10"/>
          <w:w w:val="105"/>
          <w:sz w:val="14"/>
        </w:rPr>
        <w:t xml:space="preserve"> </w:t>
      </w:r>
      <w:r>
        <w:rPr>
          <w:color w:val="0075BF"/>
          <w:w w:val="105"/>
          <w:sz w:val="14"/>
        </w:rPr>
        <w:t>comunicación,</w:t>
      </w:r>
      <w:r>
        <w:rPr>
          <w:color w:val="0075BF"/>
          <w:spacing w:val="-10"/>
          <w:w w:val="105"/>
          <w:sz w:val="14"/>
        </w:rPr>
        <w:t xml:space="preserve"> </w:t>
      </w:r>
      <w:r>
        <w:rPr>
          <w:color w:val="0075BF"/>
          <w:w w:val="105"/>
          <w:sz w:val="14"/>
        </w:rPr>
        <w:t>por</w:t>
      </w:r>
      <w:r>
        <w:rPr>
          <w:color w:val="0075BF"/>
          <w:spacing w:val="-10"/>
          <w:w w:val="105"/>
          <w:sz w:val="14"/>
        </w:rPr>
        <w:t xml:space="preserve"> </w:t>
      </w:r>
      <w:r>
        <w:rPr>
          <w:color w:val="0075BF"/>
          <w:w w:val="105"/>
          <w:sz w:val="14"/>
        </w:rPr>
        <w:t>ejemplo,</w:t>
      </w:r>
      <w:r>
        <w:rPr>
          <w:color w:val="0075BF"/>
          <w:spacing w:val="-10"/>
          <w:w w:val="105"/>
          <w:sz w:val="14"/>
        </w:rPr>
        <w:t xml:space="preserve"> </w:t>
      </w:r>
      <w:r>
        <w:rPr>
          <w:color w:val="0075BF"/>
          <w:w w:val="105"/>
          <w:sz w:val="14"/>
        </w:rPr>
        <w:t>informes</w:t>
      </w:r>
      <w:r>
        <w:rPr>
          <w:color w:val="0075BF"/>
          <w:spacing w:val="-11"/>
          <w:w w:val="105"/>
          <w:sz w:val="14"/>
        </w:rPr>
        <w:t xml:space="preserve"> </w:t>
      </w:r>
      <w:r>
        <w:rPr>
          <w:color w:val="0075BF"/>
          <w:w w:val="105"/>
          <w:sz w:val="14"/>
        </w:rPr>
        <w:t>periodísticos</w:t>
      </w:r>
      <w:r>
        <w:rPr>
          <w:color w:val="0075BF"/>
          <w:spacing w:val="-10"/>
          <w:w w:val="105"/>
          <w:sz w:val="14"/>
        </w:rPr>
        <w:t xml:space="preserve"> </w:t>
      </w:r>
      <w:r>
        <w:rPr>
          <w:color w:val="0075BF"/>
          <w:w w:val="105"/>
          <w:sz w:val="14"/>
        </w:rPr>
        <w:t>regulares</w:t>
      </w:r>
      <w:r>
        <w:rPr>
          <w:color w:val="0075BF"/>
          <w:spacing w:val="-10"/>
          <w:w w:val="105"/>
          <w:sz w:val="14"/>
        </w:rPr>
        <w:t xml:space="preserve"> </w:t>
      </w:r>
      <w:r>
        <w:rPr>
          <w:color w:val="0075BF"/>
          <w:w w:val="105"/>
          <w:sz w:val="14"/>
        </w:rPr>
        <w:t>y</w:t>
      </w:r>
      <w:r>
        <w:rPr>
          <w:color w:val="0075BF"/>
          <w:spacing w:val="-10"/>
          <w:w w:val="105"/>
          <w:sz w:val="14"/>
        </w:rPr>
        <w:t xml:space="preserve"> </w:t>
      </w:r>
      <w:r>
        <w:rPr>
          <w:color w:val="0075BF"/>
          <w:w w:val="105"/>
          <w:sz w:val="14"/>
        </w:rPr>
        <w:t>negativos</w:t>
      </w:r>
      <w:r>
        <w:rPr>
          <w:color w:val="0075BF"/>
          <w:spacing w:val="-10"/>
          <w:w w:val="105"/>
          <w:sz w:val="14"/>
        </w:rPr>
        <w:t xml:space="preserve"> </w:t>
      </w:r>
      <w:r>
        <w:rPr>
          <w:color w:val="0075BF"/>
          <w:w w:val="105"/>
          <w:sz w:val="14"/>
        </w:rPr>
        <w:t>sobre</w:t>
      </w:r>
      <w:r>
        <w:rPr>
          <w:color w:val="0075BF"/>
          <w:spacing w:val="-11"/>
          <w:w w:val="105"/>
          <w:sz w:val="14"/>
        </w:rPr>
        <w:t xml:space="preserve"> </w:t>
      </w:r>
      <w:r>
        <w:rPr>
          <w:color w:val="0075BF"/>
          <w:w w:val="105"/>
          <w:sz w:val="14"/>
        </w:rPr>
        <w:t>el</w:t>
      </w:r>
      <w:r>
        <w:rPr>
          <w:color w:val="0075BF"/>
          <w:spacing w:val="-10"/>
          <w:w w:val="105"/>
          <w:sz w:val="14"/>
        </w:rPr>
        <w:t xml:space="preserve"> </w:t>
      </w:r>
      <w:r>
        <w:rPr>
          <w:color w:val="0075BF"/>
          <w:w w:val="105"/>
          <w:sz w:val="14"/>
        </w:rPr>
        <w:t>grupo</w:t>
      </w:r>
      <w:r>
        <w:rPr>
          <w:color w:val="0075BF"/>
          <w:spacing w:val="-10"/>
          <w:w w:val="105"/>
          <w:sz w:val="14"/>
        </w:rPr>
        <w:t xml:space="preserve"> </w:t>
      </w:r>
      <w:r>
        <w:rPr>
          <w:color w:val="0075BF"/>
          <w:w w:val="105"/>
          <w:sz w:val="14"/>
        </w:rPr>
        <w:t>objetivo con</w:t>
      </w:r>
      <w:r>
        <w:rPr>
          <w:color w:val="0075BF"/>
          <w:spacing w:val="-9"/>
          <w:w w:val="105"/>
          <w:sz w:val="14"/>
        </w:rPr>
        <w:t xml:space="preserve"> </w:t>
      </w:r>
      <w:r>
        <w:rPr>
          <w:color w:val="0075BF"/>
          <w:w w:val="105"/>
          <w:sz w:val="14"/>
        </w:rPr>
        <w:t>falta</w:t>
      </w:r>
      <w:r>
        <w:rPr>
          <w:color w:val="0075BF"/>
          <w:spacing w:val="-10"/>
          <w:w w:val="105"/>
          <w:sz w:val="14"/>
        </w:rPr>
        <w:t xml:space="preserve"> </w:t>
      </w:r>
      <w:r>
        <w:rPr>
          <w:color w:val="0075BF"/>
          <w:w w:val="105"/>
          <w:sz w:val="14"/>
        </w:rPr>
        <w:t>de</w:t>
      </w:r>
      <w:r>
        <w:rPr>
          <w:color w:val="0075BF"/>
          <w:spacing w:val="-9"/>
          <w:w w:val="105"/>
          <w:sz w:val="14"/>
        </w:rPr>
        <w:t xml:space="preserve"> </w:t>
      </w:r>
      <w:r>
        <w:rPr>
          <w:color w:val="0075BF"/>
          <w:w w:val="105"/>
          <w:sz w:val="14"/>
        </w:rPr>
        <w:t>fuentes</w:t>
      </w:r>
      <w:r>
        <w:rPr>
          <w:color w:val="0075BF"/>
          <w:spacing w:val="-10"/>
          <w:w w:val="105"/>
          <w:sz w:val="14"/>
        </w:rPr>
        <w:t xml:space="preserve"> </w:t>
      </w:r>
      <w:r>
        <w:rPr>
          <w:color w:val="0075BF"/>
          <w:w w:val="105"/>
          <w:sz w:val="14"/>
        </w:rPr>
        <w:t>alternativas</w:t>
      </w:r>
      <w:r>
        <w:rPr>
          <w:color w:val="0075BF"/>
          <w:spacing w:val="-10"/>
          <w:w w:val="105"/>
          <w:sz w:val="14"/>
        </w:rPr>
        <w:t xml:space="preserve"> </w:t>
      </w:r>
      <w:r>
        <w:rPr>
          <w:color w:val="0075BF"/>
          <w:w w:val="105"/>
          <w:sz w:val="14"/>
        </w:rPr>
        <w:t>de</w:t>
      </w:r>
      <w:r>
        <w:rPr>
          <w:color w:val="0075BF"/>
          <w:spacing w:val="-9"/>
          <w:w w:val="105"/>
          <w:sz w:val="14"/>
        </w:rPr>
        <w:t xml:space="preserve"> </w:t>
      </w:r>
      <w:r>
        <w:rPr>
          <w:color w:val="0075BF"/>
          <w:w w:val="105"/>
          <w:sz w:val="14"/>
        </w:rPr>
        <w:t>información;</w:t>
      </w:r>
      <w:r>
        <w:rPr>
          <w:color w:val="0075BF"/>
          <w:spacing w:val="-8"/>
          <w:w w:val="105"/>
          <w:sz w:val="14"/>
        </w:rPr>
        <w:t xml:space="preserve"> </w:t>
      </w:r>
      <w:r>
        <w:rPr>
          <w:color w:val="0075BF"/>
          <w:w w:val="105"/>
          <w:sz w:val="14"/>
        </w:rPr>
        <w:t>y</w:t>
      </w:r>
    </w:p>
    <w:p w14:paraId="228EE1B5" w14:textId="77777777" w:rsidR="0014798C" w:rsidRDefault="004E1F0B">
      <w:pPr>
        <w:pStyle w:val="Prrafodelista"/>
        <w:numPr>
          <w:ilvl w:val="0"/>
          <w:numId w:val="6"/>
        </w:numPr>
        <w:tabs>
          <w:tab w:val="left" w:pos="2015"/>
          <w:tab w:val="left" w:pos="2127"/>
        </w:tabs>
        <w:spacing w:before="80" w:line="372" w:lineRule="auto"/>
        <w:ind w:left="2127" w:right="1641" w:hanging="232"/>
        <w:rPr>
          <w:sz w:val="14"/>
        </w:rPr>
      </w:pPr>
      <w:r>
        <w:rPr>
          <w:color w:val="0075BF"/>
          <w:w w:val="105"/>
          <w:sz w:val="14"/>
        </w:rPr>
        <w:t>el</w:t>
      </w:r>
      <w:r>
        <w:rPr>
          <w:color w:val="0075BF"/>
          <w:spacing w:val="-9"/>
          <w:w w:val="105"/>
          <w:sz w:val="14"/>
        </w:rPr>
        <w:t xml:space="preserve"> </w:t>
      </w:r>
      <w:r>
        <w:rPr>
          <w:color w:val="0075BF"/>
          <w:w w:val="105"/>
          <w:sz w:val="14"/>
        </w:rPr>
        <w:t>panorama</w:t>
      </w:r>
      <w:r>
        <w:rPr>
          <w:color w:val="0075BF"/>
          <w:spacing w:val="-9"/>
          <w:w w:val="105"/>
          <w:sz w:val="14"/>
        </w:rPr>
        <w:t xml:space="preserve"> </w:t>
      </w:r>
      <w:r>
        <w:rPr>
          <w:color w:val="0075BF"/>
          <w:w w:val="105"/>
          <w:sz w:val="14"/>
        </w:rPr>
        <w:t>político,</w:t>
      </w:r>
      <w:r>
        <w:rPr>
          <w:color w:val="0075BF"/>
          <w:spacing w:val="-9"/>
          <w:w w:val="105"/>
          <w:sz w:val="14"/>
        </w:rPr>
        <w:t xml:space="preserve"> </w:t>
      </w:r>
      <w:r>
        <w:rPr>
          <w:color w:val="0075BF"/>
          <w:w w:val="105"/>
          <w:sz w:val="14"/>
        </w:rPr>
        <w:t>en</w:t>
      </w:r>
      <w:r>
        <w:rPr>
          <w:color w:val="0075BF"/>
          <w:spacing w:val="-9"/>
          <w:w w:val="105"/>
          <w:sz w:val="14"/>
        </w:rPr>
        <w:t xml:space="preserve"> </w:t>
      </w:r>
      <w:r>
        <w:rPr>
          <w:color w:val="0075BF"/>
          <w:w w:val="105"/>
          <w:sz w:val="14"/>
        </w:rPr>
        <w:t>particular</w:t>
      </w:r>
      <w:r>
        <w:rPr>
          <w:color w:val="0075BF"/>
          <w:spacing w:val="-10"/>
          <w:w w:val="105"/>
          <w:sz w:val="14"/>
        </w:rPr>
        <w:t xml:space="preserve"> </w:t>
      </w:r>
      <w:r>
        <w:rPr>
          <w:color w:val="0075BF"/>
          <w:w w:val="105"/>
          <w:sz w:val="14"/>
        </w:rPr>
        <w:t>la</w:t>
      </w:r>
      <w:r>
        <w:rPr>
          <w:color w:val="0075BF"/>
          <w:spacing w:val="-9"/>
          <w:w w:val="105"/>
          <w:sz w:val="14"/>
        </w:rPr>
        <w:t xml:space="preserve"> </w:t>
      </w:r>
      <w:r>
        <w:rPr>
          <w:color w:val="0075BF"/>
          <w:w w:val="105"/>
          <w:sz w:val="14"/>
        </w:rPr>
        <w:t>proximidad</w:t>
      </w:r>
      <w:r>
        <w:rPr>
          <w:color w:val="0075BF"/>
          <w:spacing w:val="-9"/>
          <w:w w:val="105"/>
          <w:sz w:val="14"/>
        </w:rPr>
        <w:t xml:space="preserve"> </w:t>
      </w:r>
      <w:r>
        <w:rPr>
          <w:color w:val="0075BF"/>
          <w:w w:val="105"/>
          <w:sz w:val="14"/>
        </w:rPr>
        <w:t>de</w:t>
      </w:r>
      <w:r>
        <w:rPr>
          <w:color w:val="0075BF"/>
          <w:spacing w:val="-9"/>
          <w:w w:val="105"/>
          <w:sz w:val="14"/>
        </w:rPr>
        <w:t xml:space="preserve"> </w:t>
      </w:r>
      <w:r>
        <w:rPr>
          <w:color w:val="0075BF"/>
          <w:w w:val="105"/>
          <w:sz w:val="14"/>
        </w:rPr>
        <w:t>las</w:t>
      </w:r>
      <w:r>
        <w:rPr>
          <w:color w:val="0075BF"/>
          <w:spacing w:val="-9"/>
          <w:w w:val="105"/>
          <w:sz w:val="14"/>
        </w:rPr>
        <w:t xml:space="preserve"> </w:t>
      </w:r>
      <w:r>
        <w:rPr>
          <w:color w:val="0075BF"/>
          <w:w w:val="105"/>
          <w:sz w:val="14"/>
        </w:rPr>
        <w:t>elecciones</w:t>
      </w:r>
      <w:r>
        <w:rPr>
          <w:color w:val="0075BF"/>
          <w:spacing w:val="-9"/>
          <w:w w:val="105"/>
          <w:sz w:val="14"/>
        </w:rPr>
        <w:t xml:space="preserve"> </w:t>
      </w:r>
      <w:r>
        <w:rPr>
          <w:color w:val="0075BF"/>
          <w:w w:val="105"/>
          <w:sz w:val="14"/>
        </w:rPr>
        <w:t>y</w:t>
      </w:r>
      <w:r>
        <w:rPr>
          <w:color w:val="0075BF"/>
          <w:spacing w:val="-9"/>
          <w:w w:val="105"/>
          <w:sz w:val="14"/>
        </w:rPr>
        <w:t xml:space="preserve"> </w:t>
      </w:r>
      <w:r>
        <w:rPr>
          <w:color w:val="0075BF"/>
          <w:w w:val="105"/>
          <w:sz w:val="14"/>
        </w:rPr>
        <w:t>el</w:t>
      </w:r>
      <w:r>
        <w:rPr>
          <w:color w:val="0075BF"/>
          <w:spacing w:val="-9"/>
          <w:w w:val="105"/>
          <w:sz w:val="14"/>
        </w:rPr>
        <w:t xml:space="preserve"> </w:t>
      </w:r>
      <w:r>
        <w:rPr>
          <w:color w:val="0075BF"/>
          <w:w w:val="105"/>
          <w:sz w:val="14"/>
        </w:rPr>
        <w:t>papel</w:t>
      </w:r>
      <w:r>
        <w:rPr>
          <w:color w:val="0075BF"/>
          <w:spacing w:val="-9"/>
          <w:w w:val="105"/>
          <w:sz w:val="14"/>
        </w:rPr>
        <w:t xml:space="preserve"> </w:t>
      </w:r>
      <w:r>
        <w:rPr>
          <w:color w:val="0075BF"/>
          <w:w w:val="105"/>
          <w:sz w:val="14"/>
        </w:rPr>
        <w:t>de</w:t>
      </w:r>
      <w:r>
        <w:rPr>
          <w:color w:val="0075BF"/>
          <w:spacing w:val="-9"/>
          <w:w w:val="105"/>
          <w:sz w:val="14"/>
        </w:rPr>
        <w:t xml:space="preserve"> </w:t>
      </w:r>
      <w:r>
        <w:rPr>
          <w:color w:val="0075BF"/>
          <w:w w:val="105"/>
          <w:sz w:val="14"/>
        </w:rPr>
        <w:t>las</w:t>
      </w:r>
      <w:r>
        <w:rPr>
          <w:color w:val="0075BF"/>
          <w:spacing w:val="-9"/>
          <w:w w:val="105"/>
          <w:sz w:val="14"/>
        </w:rPr>
        <w:t xml:space="preserve"> </w:t>
      </w:r>
      <w:r>
        <w:rPr>
          <w:color w:val="0075BF"/>
          <w:w w:val="105"/>
          <w:sz w:val="14"/>
        </w:rPr>
        <w:t>políticas</w:t>
      </w:r>
      <w:r>
        <w:rPr>
          <w:color w:val="0075BF"/>
          <w:spacing w:val="-10"/>
          <w:w w:val="105"/>
          <w:sz w:val="14"/>
        </w:rPr>
        <w:t xml:space="preserve"> </w:t>
      </w:r>
      <w:r>
        <w:rPr>
          <w:color w:val="0075BF"/>
          <w:w w:val="105"/>
          <w:sz w:val="14"/>
        </w:rPr>
        <w:t>de</w:t>
      </w:r>
      <w:r>
        <w:rPr>
          <w:color w:val="0075BF"/>
          <w:spacing w:val="-9"/>
          <w:w w:val="105"/>
          <w:sz w:val="14"/>
        </w:rPr>
        <w:t xml:space="preserve"> </w:t>
      </w:r>
      <w:r>
        <w:rPr>
          <w:color w:val="0075BF"/>
          <w:w w:val="105"/>
          <w:sz w:val="14"/>
        </w:rPr>
        <w:t>identidad</w:t>
      </w:r>
      <w:r>
        <w:rPr>
          <w:color w:val="0075BF"/>
          <w:spacing w:val="-9"/>
          <w:w w:val="105"/>
          <w:sz w:val="14"/>
        </w:rPr>
        <w:t xml:space="preserve"> </w:t>
      </w:r>
      <w:r>
        <w:rPr>
          <w:color w:val="0075BF"/>
          <w:w w:val="105"/>
          <w:sz w:val="14"/>
        </w:rPr>
        <w:t>en</w:t>
      </w:r>
      <w:r>
        <w:rPr>
          <w:color w:val="0075BF"/>
          <w:spacing w:val="-9"/>
          <w:w w:val="105"/>
          <w:sz w:val="14"/>
        </w:rPr>
        <w:t xml:space="preserve"> </w:t>
      </w:r>
      <w:r>
        <w:rPr>
          <w:color w:val="0075BF"/>
          <w:w w:val="105"/>
          <w:sz w:val="14"/>
        </w:rPr>
        <w:t>ese</w:t>
      </w:r>
      <w:r>
        <w:rPr>
          <w:color w:val="0075BF"/>
          <w:spacing w:val="-9"/>
          <w:w w:val="105"/>
          <w:sz w:val="14"/>
        </w:rPr>
        <w:t xml:space="preserve"> </w:t>
      </w:r>
      <w:r>
        <w:rPr>
          <w:color w:val="0075BF"/>
          <w:w w:val="105"/>
          <w:sz w:val="14"/>
        </w:rPr>
        <w:t>contexto,</w:t>
      </w:r>
      <w:r>
        <w:rPr>
          <w:color w:val="0075BF"/>
          <w:spacing w:val="-9"/>
          <w:w w:val="105"/>
          <w:sz w:val="14"/>
        </w:rPr>
        <w:t xml:space="preserve"> </w:t>
      </w:r>
      <w:r>
        <w:rPr>
          <w:color w:val="0075BF"/>
          <w:w w:val="105"/>
          <w:sz w:val="14"/>
        </w:rPr>
        <w:t>así como</w:t>
      </w:r>
      <w:r>
        <w:rPr>
          <w:color w:val="0075BF"/>
          <w:spacing w:val="-4"/>
          <w:w w:val="105"/>
          <w:sz w:val="14"/>
        </w:rPr>
        <w:t xml:space="preserve"> </w:t>
      </w:r>
      <w:r>
        <w:rPr>
          <w:color w:val="0075BF"/>
          <w:w w:val="105"/>
          <w:sz w:val="14"/>
        </w:rPr>
        <w:t>el</w:t>
      </w:r>
      <w:r>
        <w:rPr>
          <w:color w:val="0075BF"/>
          <w:spacing w:val="-4"/>
          <w:w w:val="105"/>
          <w:sz w:val="14"/>
        </w:rPr>
        <w:t xml:space="preserve"> </w:t>
      </w:r>
      <w:r>
        <w:rPr>
          <w:color w:val="0075BF"/>
          <w:w w:val="105"/>
          <w:sz w:val="14"/>
        </w:rPr>
        <w:t>grado</w:t>
      </w:r>
      <w:r>
        <w:rPr>
          <w:color w:val="0075BF"/>
          <w:spacing w:val="-4"/>
          <w:w w:val="105"/>
          <w:sz w:val="14"/>
        </w:rPr>
        <w:t xml:space="preserve"> </w:t>
      </w:r>
      <w:r>
        <w:rPr>
          <w:color w:val="0075BF"/>
          <w:w w:val="105"/>
          <w:sz w:val="14"/>
        </w:rPr>
        <w:t>en</w:t>
      </w:r>
      <w:r>
        <w:rPr>
          <w:color w:val="0075BF"/>
          <w:spacing w:val="-4"/>
          <w:w w:val="105"/>
          <w:sz w:val="14"/>
        </w:rPr>
        <w:t xml:space="preserve"> </w:t>
      </w:r>
      <w:r>
        <w:rPr>
          <w:color w:val="0075BF"/>
          <w:w w:val="105"/>
          <w:sz w:val="14"/>
        </w:rPr>
        <w:t>que</w:t>
      </w:r>
      <w:r>
        <w:rPr>
          <w:color w:val="0075BF"/>
          <w:spacing w:val="-4"/>
          <w:w w:val="105"/>
          <w:sz w:val="14"/>
        </w:rPr>
        <w:t xml:space="preserve"> </w:t>
      </w:r>
      <w:r>
        <w:rPr>
          <w:color w:val="0075BF"/>
          <w:w w:val="105"/>
          <w:sz w:val="14"/>
        </w:rPr>
        <w:t>las</w:t>
      </w:r>
      <w:r>
        <w:rPr>
          <w:color w:val="0075BF"/>
          <w:spacing w:val="-4"/>
          <w:w w:val="105"/>
          <w:sz w:val="14"/>
        </w:rPr>
        <w:t xml:space="preserve"> </w:t>
      </w:r>
      <w:r>
        <w:rPr>
          <w:color w:val="0075BF"/>
          <w:w w:val="105"/>
          <w:sz w:val="14"/>
        </w:rPr>
        <w:t>opiniones</w:t>
      </w:r>
      <w:r>
        <w:rPr>
          <w:color w:val="0075BF"/>
          <w:spacing w:val="-5"/>
          <w:w w:val="105"/>
          <w:sz w:val="14"/>
        </w:rPr>
        <w:t xml:space="preserve"> </w:t>
      </w:r>
      <w:r>
        <w:rPr>
          <w:color w:val="0075BF"/>
          <w:w w:val="105"/>
          <w:sz w:val="14"/>
        </w:rPr>
        <w:t>del</w:t>
      </w:r>
      <w:r>
        <w:rPr>
          <w:color w:val="0075BF"/>
          <w:spacing w:val="-4"/>
          <w:w w:val="105"/>
          <w:sz w:val="14"/>
        </w:rPr>
        <w:t xml:space="preserve"> </w:t>
      </w:r>
      <w:r>
        <w:rPr>
          <w:color w:val="0075BF"/>
          <w:w w:val="105"/>
          <w:sz w:val="14"/>
        </w:rPr>
        <w:t>grupo</w:t>
      </w:r>
      <w:r>
        <w:rPr>
          <w:color w:val="0075BF"/>
          <w:spacing w:val="-4"/>
          <w:w w:val="105"/>
          <w:sz w:val="14"/>
        </w:rPr>
        <w:t xml:space="preserve"> </w:t>
      </w:r>
      <w:r>
        <w:rPr>
          <w:color w:val="0075BF"/>
          <w:w w:val="105"/>
          <w:sz w:val="14"/>
        </w:rPr>
        <w:t>objetivo</w:t>
      </w:r>
      <w:r>
        <w:rPr>
          <w:color w:val="0075BF"/>
          <w:spacing w:val="-4"/>
          <w:w w:val="105"/>
          <w:sz w:val="14"/>
        </w:rPr>
        <w:t xml:space="preserve"> </w:t>
      </w:r>
      <w:r>
        <w:rPr>
          <w:color w:val="0075BF"/>
          <w:w w:val="105"/>
          <w:sz w:val="14"/>
        </w:rPr>
        <w:t>están</w:t>
      </w:r>
      <w:r>
        <w:rPr>
          <w:color w:val="0075BF"/>
          <w:spacing w:val="-4"/>
          <w:w w:val="105"/>
          <w:sz w:val="14"/>
        </w:rPr>
        <w:t xml:space="preserve"> </w:t>
      </w:r>
      <w:r>
        <w:rPr>
          <w:color w:val="0075BF"/>
          <w:w w:val="105"/>
          <w:sz w:val="14"/>
        </w:rPr>
        <w:t>representadas</w:t>
      </w:r>
      <w:r>
        <w:rPr>
          <w:color w:val="0075BF"/>
          <w:spacing w:val="-5"/>
          <w:w w:val="105"/>
          <w:sz w:val="14"/>
        </w:rPr>
        <w:t xml:space="preserve"> </w:t>
      </w:r>
      <w:r>
        <w:rPr>
          <w:color w:val="0075BF"/>
          <w:w w:val="105"/>
          <w:sz w:val="14"/>
        </w:rPr>
        <w:t>en</w:t>
      </w:r>
      <w:r>
        <w:rPr>
          <w:color w:val="0075BF"/>
          <w:spacing w:val="-4"/>
          <w:w w:val="105"/>
          <w:sz w:val="14"/>
        </w:rPr>
        <w:t xml:space="preserve"> </w:t>
      </w:r>
      <w:r>
        <w:rPr>
          <w:color w:val="0075BF"/>
          <w:w w:val="105"/>
          <w:sz w:val="14"/>
        </w:rPr>
        <w:t>los</w:t>
      </w:r>
      <w:r>
        <w:rPr>
          <w:color w:val="0075BF"/>
          <w:spacing w:val="-4"/>
          <w:w w:val="105"/>
          <w:sz w:val="14"/>
        </w:rPr>
        <w:t xml:space="preserve"> </w:t>
      </w:r>
      <w:r>
        <w:rPr>
          <w:color w:val="0075BF"/>
          <w:w w:val="105"/>
          <w:sz w:val="14"/>
        </w:rPr>
        <w:t>procesos</w:t>
      </w:r>
      <w:r>
        <w:rPr>
          <w:color w:val="0075BF"/>
          <w:spacing w:val="-4"/>
          <w:w w:val="105"/>
          <w:sz w:val="14"/>
        </w:rPr>
        <w:t xml:space="preserve"> </w:t>
      </w:r>
      <w:r>
        <w:rPr>
          <w:color w:val="0075BF"/>
          <w:w w:val="105"/>
          <w:sz w:val="14"/>
        </w:rPr>
        <w:t>políticos</w:t>
      </w:r>
      <w:r>
        <w:rPr>
          <w:color w:val="0075BF"/>
          <w:spacing w:val="-5"/>
          <w:w w:val="105"/>
          <w:sz w:val="14"/>
        </w:rPr>
        <w:t xml:space="preserve"> </w:t>
      </w:r>
      <w:r>
        <w:rPr>
          <w:color w:val="0075BF"/>
          <w:w w:val="105"/>
          <w:sz w:val="14"/>
        </w:rPr>
        <w:t>formales.1175</w:t>
      </w:r>
    </w:p>
    <w:p w14:paraId="5E759998" w14:textId="77777777" w:rsidR="0014798C" w:rsidRDefault="0014798C">
      <w:pPr>
        <w:pStyle w:val="Textoindependiente"/>
        <w:spacing w:before="36"/>
        <w:rPr>
          <w:sz w:val="30"/>
        </w:rPr>
      </w:pPr>
    </w:p>
    <w:p w14:paraId="609248F0" w14:textId="77777777" w:rsidR="0014798C" w:rsidRDefault="004E1F0B">
      <w:pPr>
        <w:pStyle w:val="Ttulo7"/>
        <w:numPr>
          <w:ilvl w:val="0"/>
          <w:numId w:val="7"/>
        </w:numPr>
        <w:tabs>
          <w:tab w:val="left" w:pos="1454"/>
        </w:tabs>
        <w:spacing w:before="1"/>
        <w:ind w:left="1454" w:hanging="339"/>
        <w:rPr>
          <w:color w:val="0075BF"/>
        </w:rPr>
      </w:pPr>
      <w:r>
        <w:rPr>
          <w:color w:val="0075BF"/>
        </w:rPr>
        <w:t>Distinguir</w:t>
      </w:r>
      <w:r>
        <w:rPr>
          <w:color w:val="0075BF"/>
          <w:spacing w:val="15"/>
        </w:rPr>
        <w:t xml:space="preserve"> </w:t>
      </w:r>
      <w:r>
        <w:rPr>
          <w:color w:val="0075BF"/>
        </w:rPr>
        <w:t>al</w:t>
      </w:r>
      <w:r>
        <w:rPr>
          <w:color w:val="0075BF"/>
          <w:spacing w:val="15"/>
        </w:rPr>
        <w:t xml:space="preserve"> </w:t>
      </w:r>
      <w:r>
        <w:rPr>
          <w:color w:val="0075BF"/>
          <w:spacing w:val="-2"/>
        </w:rPr>
        <w:t>hablante</w:t>
      </w:r>
    </w:p>
    <w:p w14:paraId="67050E87" w14:textId="77777777" w:rsidR="0014798C" w:rsidRDefault="0014798C">
      <w:pPr>
        <w:pStyle w:val="Textoindependiente"/>
        <w:spacing w:before="58"/>
        <w:rPr>
          <w:sz w:val="14"/>
        </w:rPr>
      </w:pPr>
    </w:p>
    <w:p w14:paraId="480B4E19" w14:textId="77777777" w:rsidR="0014798C" w:rsidRDefault="004E1F0B">
      <w:pPr>
        <w:spacing w:line="372" w:lineRule="auto"/>
        <w:ind w:left="1107" w:right="1166" w:firstLine="5"/>
        <w:rPr>
          <w:sz w:val="14"/>
        </w:rPr>
      </w:pPr>
      <w:r>
        <w:rPr>
          <w:w w:val="105"/>
          <w:sz w:val="14"/>
        </w:rPr>
        <w:t>Algunos</w:t>
      </w:r>
      <w:r>
        <w:rPr>
          <w:spacing w:val="-11"/>
          <w:w w:val="105"/>
          <w:sz w:val="14"/>
        </w:rPr>
        <w:t xml:space="preserve"> </w:t>
      </w:r>
      <w:r>
        <w:rPr>
          <w:w w:val="105"/>
          <w:sz w:val="14"/>
        </w:rPr>
        <w:t>jueces</w:t>
      </w:r>
      <w:r>
        <w:rPr>
          <w:spacing w:val="-10"/>
          <w:w w:val="105"/>
          <w:sz w:val="14"/>
        </w:rPr>
        <w:t xml:space="preserve"> </w:t>
      </w:r>
      <w:r>
        <w:rPr>
          <w:w w:val="105"/>
          <w:sz w:val="14"/>
        </w:rPr>
        <w:t>han</w:t>
      </w:r>
      <w:r>
        <w:rPr>
          <w:spacing w:val="-10"/>
          <w:w w:val="105"/>
          <w:sz w:val="14"/>
        </w:rPr>
        <w:t xml:space="preserve"> </w:t>
      </w:r>
      <w:r>
        <w:rPr>
          <w:w w:val="105"/>
          <w:sz w:val="14"/>
        </w:rPr>
        <w:t>establecido</w:t>
      </w:r>
      <w:r>
        <w:rPr>
          <w:spacing w:val="-10"/>
          <w:w w:val="105"/>
          <w:sz w:val="14"/>
        </w:rPr>
        <w:t xml:space="preserve"> </w:t>
      </w:r>
      <w:r>
        <w:rPr>
          <w:w w:val="105"/>
          <w:sz w:val="14"/>
        </w:rPr>
        <w:t>distinciones</w:t>
      </w:r>
      <w:r>
        <w:rPr>
          <w:spacing w:val="-10"/>
          <w:w w:val="105"/>
          <w:sz w:val="14"/>
        </w:rPr>
        <w:t xml:space="preserve"> </w:t>
      </w:r>
      <w:r>
        <w:rPr>
          <w:w w:val="105"/>
          <w:sz w:val="14"/>
        </w:rPr>
        <w:t>entre</w:t>
      </w:r>
      <w:r>
        <w:rPr>
          <w:spacing w:val="-10"/>
          <w:w w:val="105"/>
          <w:sz w:val="14"/>
        </w:rPr>
        <w:t xml:space="preserve"> </w:t>
      </w:r>
      <w:r>
        <w:rPr>
          <w:w w:val="105"/>
          <w:sz w:val="14"/>
        </w:rPr>
        <w:t>entidades</w:t>
      </w:r>
      <w:r>
        <w:rPr>
          <w:spacing w:val="-11"/>
          <w:w w:val="105"/>
          <w:sz w:val="14"/>
        </w:rPr>
        <w:t xml:space="preserve"> </w:t>
      </w:r>
      <w:r>
        <w:rPr>
          <w:w w:val="105"/>
          <w:sz w:val="14"/>
        </w:rPr>
        <w:t>que</w:t>
      </w:r>
      <w:r>
        <w:rPr>
          <w:spacing w:val="-9"/>
          <w:w w:val="105"/>
          <w:sz w:val="14"/>
        </w:rPr>
        <w:t xml:space="preserve"> </w:t>
      </w:r>
      <w:r>
        <w:rPr>
          <w:w w:val="105"/>
          <w:sz w:val="14"/>
        </w:rPr>
        <w:t>difunden</w:t>
      </w:r>
      <w:r>
        <w:rPr>
          <w:spacing w:val="-10"/>
          <w:w w:val="105"/>
          <w:sz w:val="14"/>
        </w:rPr>
        <w:t xml:space="preserve"> </w:t>
      </w:r>
      <w:r>
        <w:rPr>
          <w:w w:val="105"/>
          <w:sz w:val="14"/>
        </w:rPr>
        <w:t>discursos</w:t>
      </w:r>
      <w:r>
        <w:rPr>
          <w:spacing w:val="-10"/>
          <w:w w:val="105"/>
          <w:sz w:val="14"/>
        </w:rPr>
        <w:t xml:space="preserve"> </w:t>
      </w:r>
      <w:r>
        <w:rPr>
          <w:w w:val="105"/>
          <w:sz w:val="14"/>
        </w:rPr>
        <w:t>de</w:t>
      </w:r>
      <w:r>
        <w:rPr>
          <w:spacing w:val="-10"/>
          <w:w w:val="105"/>
          <w:sz w:val="14"/>
        </w:rPr>
        <w:t xml:space="preserve"> </w:t>
      </w:r>
      <w:r>
        <w:rPr>
          <w:w w:val="105"/>
          <w:sz w:val="14"/>
        </w:rPr>
        <w:t>odio.</w:t>
      </w:r>
      <w:r>
        <w:rPr>
          <w:spacing w:val="-10"/>
          <w:w w:val="105"/>
          <w:sz w:val="14"/>
        </w:rPr>
        <w:t xml:space="preserve"> </w:t>
      </w:r>
      <w:r>
        <w:rPr>
          <w:w w:val="105"/>
          <w:sz w:val="14"/>
        </w:rPr>
        <w:t>Por</w:t>
      </w:r>
      <w:r>
        <w:rPr>
          <w:spacing w:val="-10"/>
          <w:w w:val="105"/>
          <w:sz w:val="14"/>
        </w:rPr>
        <w:t xml:space="preserve"> </w:t>
      </w:r>
      <w:r>
        <w:rPr>
          <w:w w:val="105"/>
          <w:sz w:val="14"/>
        </w:rPr>
        <w:t>ejemplo,</w:t>
      </w:r>
      <w:r>
        <w:rPr>
          <w:spacing w:val="-10"/>
          <w:w w:val="105"/>
          <w:sz w:val="14"/>
        </w:rPr>
        <w:t xml:space="preserve"> </w:t>
      </w:r>
      <w:r>
        <w:rPr>
          <w:w w:val="105"/>
          <w:sz w:val="14"/>
        </w:rPr>
        <w:t>en</w:t>
      </w:r>
      <w:r>
        <w:rPr>
          <w:spacing w:val="-10"/>
          <w:w w:val="105"/>
          <w:sz w:val="14"/>
        </w:rPr>
        <w:t xml:space="preserve"> </w:t>
      </w:r>
      <w:r>
        <w:rPr>
          <w:w w:val="105"/>
          <w:sz w:val="14"/>
        </w:rPr>
        <w:t>un</w:t>
      </w:r>
      <w:r>
        <w:rPr>
          <w:spacing w:val="-10"/>
          <w:w w:val="105"/>
          <w:sz w:val="14"/>
        </w:rPr>
        <w:t xml:space="preserve"> </w:t>
      </w:r>
      <w:r>
        <w:rPr>
          <w:w w:val="105"/>
          <w:sz w:val="14"/>
        </w:rPr>
        <w:t>caso</w:t>
      </w:r>
      <w:r>
        <w:rPr>
          <w:spacing w:val="-10"/>
          <w:w w:val="105"/>
          <w:sz w:val="14"/>
        </w:rPr>
        <w:t xml:space="preserve"> </w:t>
      </w:r>
      <w:r>
        <w:rPr>
          <w:w w:val="105"/>
          <w:sz w:val="14"/>
        </w:rPr>
        <w:t>presentado</w:t>
      </w:r>
      <w:r>
        <w:rPr>
          <w:spacing w:val="-10"/>
          <w:w w:val="105"/>
          <w:sz w:val="14"/>
        </w:rPr>
        <w:t xml:space="preserve"> </w:t>
      </w:r>
      <w:r>
        <w:rPr>
          <w:w w:val="105"/>
          <w:sz w:val="14"/>
        </w:rPr>
        <w:t>ante</w:t>
      </w:r>
      <w:r>
        <w:rPr>
          <w:spacing w:val="-10"/>
          <w:w w:val="105"/>
          <w:sz w:val="14"/>
        </w:rPr>
        <w:t xml:space="preserve"> </w:t>
      </w:r>
      <w:r>
        <w:rPr>
          <w:w w:val="105"/>
          <w:sz w:val="14"/>
        </w:rPr>
        <w:t>el</w:t>
      </w:r>
      <w:r>
        <w:rPr>
          <w:spacing w:val="-10"/>
          <w:w w:val="105"/>
          <w:sz w:val="14"/>
        </w:rPr>
        <w:t xml:space="preserve"> </w:t>
      </w:r>
      <w:r>
        <w:rPr>
          <w:w w:val="105"/>
          <w:sz w:val="14"/>
        </w:rPr>
        <w:t>Tribunal Europeo</w:t>
      </w:r>
      <w:r>
        <w:rPr>
          <w:spacing w:val="-8"/>
          <w:w w:val="105"/>
          <w:sz w:val="14"/>
        </w:rPr>
        <w:t xml:space="preserve"> </w:t>
      </w:r>
      <w:r>
        <w:rPr>
          <w:w w:val="105"/>
          <w:sz w:val="14"/>
        </w:rPr>
        <w:t>de</w:t>
      </w:r>
      <w:r>
        <w:rPr>
          <w:spacing w:val="-8"/>
          <w:w w:val="105"/>
          <w:sz w:val="14"/>
        </w:rPr>
        <w:t xml:space="preserve"> </w:t>
      </w:r>
      <w:r>
        <w:rPr>
          <w:w w:val="105"/>
          <w:sz w:val="14"/>
        </w:rPr>
        <w:t>Derechos</w:t>
      </w:r>
      <w:r>
        <w:rPr>
          <w:spacing w:val="-8"/>
          <w:w w:val="105"/>
          <w:sz w:val="14"/>
        </w:rPr>
        <w:t xml:space="preserve"> </w:t>
      </w:r>
      <w:r>
        <w:rPr>
          <w:w w:val="105"/>
          <w:sz w:val="14"/>
        </w:rPr>
        <w:t>Humanos,</w:t>
      </w:r>
      <w:r>
        <w:rPr>
          <w:spacing w:val="-8"/>
          <w:w w:val="105"/>
          <w:sz w:val="14"/>
        </w:rPr>
        <w:t xml:space="preserve"> </w:t>
      </w:r>
      <w:r>
        <w:rPr>
          <w:w w:val="105"/>
          <w:sz w:val="14"/>
        </w:rPr>
        <w:t>Jens</w:t>
      </w:r>
      <w:r>
        <w:rPr>
          <w:spacing w:val="-8"/>
          <w:w w:val="105"/>
          <w:sz w:val="14"/>
        </w:rPr>
        <w:t xml:space="preserve"> </w:t>
      </w:r>
      <w:r>
        <w:rPr>
          <w:w w:val="105"/>
          <w:sz w:val="14"/>
        </w:rPr>
        <w:t>Olaf</w:t>
      </w:r>
      <w:r>
        <w:rPr>
          <w:spacing w:val="-8"/>
          <w:w w:val="105"/>
          <w:sz w:val="14"/>
        </w:rPr>
        <w:t xml:space="preserve"> </w:t>
      </w:r>
      <w:proofErr w:type="spellStart"/>
      <w:r>
        <w:rPr>
          <w:w w:val="105"/>
          <w:sz w:val="14"/>
        </w:rPr>
        <w:t>Jersild</w:t>
      </w:r>
      <w:proofErr w:type="spellEnd"/>
      <w:r>
        <w:rPr>
          <w:w w:val="105"/>
          <w:sz w:val="14"/>
        </w:rPr>
        <w:t>,</w:t>
      </w:r>
      <w:r>
        <w:rPr>
          <w:spacing w:val="-8"/>
          <w:w w:val="105"/>
          <w:sz w:val="14"/>
        </w:rPr>
        <w:t xml:space="preserve"> </w:t>
      </w:r>
      <w:r>
        <w:rPr>
          <w:w w:val="105"/>
          <w:sz w:val="14"/>
        </w:rPr>
        <w:t>periodista</w:t>
      </w:r>
      <w:r>
        <w:rPr>
          <w:spacing w:val="-8"/>
          <w:w w:val="105"/>
          <w:sz w:val="14"/>
        </w:rPr>
        <w:t xml:space="preserve"> </w:t>
      </w:r>
      <w:r>
        <w:rPr>
          <w:w w:val="105"/>
          <w:sz w:val="14"/>
        </w:rPr>
        <w:t>documental</w:t>
      </w:r>
      <w:r>
        <w:rPr>
          <w:spacing w:val="-8"/>
          <w:w w:val="105"/>
          <w:sz w:val="14"/>
        </w:rPr>
        <w:t xml:space="preserve"> </w:t>
      </w:r>
      <w:r>
        <w:rPr>
          <w:w w:val="105"/>
          <w:sz w:val="14"/>
        </w:rPr>
        <w:t>de</w:t>
      </w:r>
      <w:r>
        <w:rPr>
          <w:spacing w:val="-8"/>
          <w:w w:val="105"/>
          <w:sz w:val="14"/>
        </w:rPr>
        <w:t xml:space="preserve"> </w:t>
      </w:r>
      <w:r>
        <w:rPr>
          <w:w w:val="105"/>
          <w:sz w:val="14"/>
        </w:rPr>
        <w:t>la</w:t>
      </w:r>
      <w:r>
        <w:rPr>
          <w:spacing w:val="-8"/>
          <w:w w:val="105"/>
          <w:sz w:val="14"/>
        </w:rPr>
        <w:t xml:space="preserve"> </w:t>
      </w:r>
      <w:proofErr w:type="spellStart"/>
      <w:r>
        <w:rPr>
          <w:w w:val="105"/>
          <w:sz w:val="14"/>
        </w:rPr>
        <w:t>Danish</w:t>
      </w:r>
      <w:proofErr w:type="spellEnd"/>
      <w:r>
        <w:rPr>
          <w:spacing w:val="-8"/>
          <w:w w:val="105"/>
          <w:sz w:val="14"/>
        </w:rPr>
        <w:t xml:space="preserve"> </w:t>
      </w:r>
      <w:proofErr w:type="spellStart"/>
      <w:r>
        <w:rPr>
          <w:w w:val="105"/>
          <w:sz w:val="14"/>
        </w:rPr>
        <w:t>Broadcasting</w:t>
      </w:r>
      <w:proofErr w:type="spellEnd"/>
      <w:r>
        <w:rPr>
          <w:spacing w:val="-9"/>
          <w:w w:val="105"/>
          <w:sz w:val="14"/>
        </w:rPr>
        <w:t xml:space="preserve"> </w:t>
      </w:r>
      <w:proofErr w:type="spellStart"/>
      <w:r>
        <w:rPr>
          <w:w w:val="105"/>
          <w:sz w:val="14"/>
        </w:rPr>
        <w:t>Corporation</w:t>
      </w:r>
      <w:proofErr w:type="spellEnd"/>
      <w:r>
        <w:rPr>
          <w:w w:val="105"/>
          <w:sz w:val="14"/>
        </w:rPr>
        <w:t>,</w:t>
      </w:r>
      <w:r>
        <w:rPr>
          <w:spacing w:val="-7"/>
          <w:w w:val="105"/>
          <w:sz w:val="14"/>
        </w:rPr>
        <w:t xml:space="preserve"> </w:t>
      </w:r>
      <w:r>
        <w:rPr>
          <w:w w:val="105"/>
          <w:sz w:val="14"/>
        </w:rPr>
        <w:t>cuestionó</w:t>
      </w:r>
      <w:r>
        <w:rPr>
          <w:spacing w:val="-8"/>
          <w:w w:val="105"/>
          <w:sz w:val="14"/>
        </w:rPr>
        <w:t xml:space="preserve"> </w:t>
      </w:r>
      <w:r>
        <w:rPr>
          <w:w w:val="105"/>
          <w:sz w:val="14"/>
        </w:rPr>
        <w:t>la</w:t>
      </w:r>
      <w:r>
        <w:rPr>
          <w:spacing w:val="-8"/>
          <w:w w:val="105"/>
          <w:sz w:val="14"/>
        </w:rPr>
        <w:t xml:space="preserve"> </w:t>
      </w:r>
      <w:r>
        <w:rPr>
          <w:w w:val="105"/>
          <w:sz w:val="14"/>
        </w:rPr>
        <w:t>legitimidad</w:t>
      </w:r>
      <w:r>
        <w:rPr>
          <w:spacing w:val="-8"/>
          <w:w w:val="105"/>
          <w:sz w:val="14"/>
        </w:rPr>
        <w:t xml:space="preserve"> </w:t>
      </w:r>
      <w:r>
        <w:rPr>
          <w:w w:val="105"/>
          <w:sz w:val="14"/>
        </w:rPr>
        <w:t>de</w:t>
      </w:r>
      <w:r>
        <w:rPr>
          <w:spacing w:val="-8"/>
          <w:w w:val="105"/>
          <w:sz w:val="14"/>
        </w:rPr>
        <w:t xml:space="preserve"> </w:t>
      </w:r>
      <w:r>
        <w:rPr>
          <w:w w:val="105"/>
          <w:sz w:val="14"/>
        </w:rPr>
        <w:t>las multas</w:t>
      </w:r>
      <w:r>
        <w:rPr>
          <w:spacing w:val="-7"/>
          <w:w w:val="105"/>
          <w:sz w:val="14"/>
        </w:rPr>
        <w:t xml:space="preserve"> </w:t>
      </w:r>
      <w:r>
        <w:rPr>
          <w:w w:val="105"/>
          <w:sz w:val="14"/>
        </w:rPr>
        <w:t>que</w:t>
      </w:r>
      <w:r>
        <w:rPr>
          <w:spacing w:val="-6"/>
          <w:w w:val="105"/>
          <w:sz w:val="14"/>
        </w:rPr>
        <w:t xml:space="preserve"> </w:t>
      </w:r>
      <w:r>
        <w:rPr>
          <w:w w:val="105"/>
          <w:sz w:val="14"/>
        </w:rPr>
        <w:t>había</w:t>
      </w:r>
      <w:r>
        <w:rPr>
          <w:spacing w:val="-6"/>
          <w:w w:val="105"/>
          <w:sz w:val="14"/>
        </w:rPr>
        <w:t xml:space="preserve"> </w:t>
      </w:r>
      <w:r>
        <w:rPr>
          <w:w w:val="105"/>
          <w:sz w:val="14"/>
        </w:rPr>
        <w:t>recibido</w:t>
      </w:r>
      <w:r>
        <w:rPr>
          <w:spacing w:val="-6"/>
          <w:w w:val="105"/>
          <w:sz w:val="14"/>
        </w:rPr>
        <w:t xml:space="preserve"> </w:t>
      </w:r>
      <w:r>
        <w:rPr>
          <w:w w:val="105"/>
          <w:sz w:val="14"/>
        </w:rPr>
        <w:t>de</w:t>
      </w:r>
      <w:r>
        <w:rPr>
          <w:spacing w:val="-6"/>
          <w:w w:val="105"/>
          <w:sz w:val="14"/>
        </w:rPr>
        <w:t xml:space="preserve"> </w:t>
      </w:r>
      <w:r>
        <w:rPr>
          <w:w w:val="105"/>
          <w:sz w:val="14"/>
        </w:rPr>
        <w:t>las</w:t>
      </w:r>
      <w:r>
        <w:rPr>
          <w:spacing w:val="-6"/>
          <w:w w:val="105"/>
          <w:sz w:val="14"/>
        </w:rPr>
        <w:t xml:space="preserve"> </w:t>
      </w:r>
      <w:r>
        <w:rPr>
          <w:w w:val="105"/>
          <w:sz w:val="14"/>
        </w:rPr>
        <w:t>autoridades</w:t>
      </w:r>
      <w:r>
        <w:rPr>
          <w:spacing w:val="-7"/>
          <w:w w:val="105"/>
          <w:sz w:val="14"/>
        </w:rPr>
        <w:t xml:space="preserve"> </w:t>
      </w:r>
      <w:r>
        <w:rPr>
          <w:w w:val="105"/>
          <w:sz w:val="14"/>
        </w:rPr>
        <w:t>de</w:t>
      </w:r>
      <w:r>
        <w:rPr>
          <w:spacing w:val="-6"/>
          <w:w w:val="105"/>
          <w:sz w:val="14"/>
        </w:rPr>
        <w:t xml:space="preserve"> </w:t>
      </w:r>
      <w:r>
        <w:rPr>
          <w:w w:val="105"/>
          <w:sz w:val="14"/>
        </w:rPr>
        <w:t>Dinamarca</w:t>
      </w:r>
      <w:r>
        <w:rPr>
          <w:spacing w:val="-6"/>
          <w:w w:val="105"/>
          <w:sz w:val="14"/>
        </w:rPr>
        <w:t xml:space="preserve"> </w:t>
      </w:r>
      <w:r>
        <w:rPr>
          <w:w w:val="105"/>
          <w:sz w:val="14"/>
        </w:rPr>
        <w:t>en</w:t>
      </w:r>
      <w:r>
        <w:rPr>
          <w:spacing w:val="-6"/>
          <w:w w:val="105"/>
          <w:sz w:val="14"/>
        </w:rPr>
        <w:t xml:space="preserve"> </w:t>
      </w:r>
      <w:r>
        <w:rPr>
          <w:w w:val="105"/>
          <w:sz w:val="14"/>
        </w:rPr>
        <w:t>relación</w:t>
      </w:r>
      <w:r>
        <w:rPr>
          <w:spacing w:val="-6"/>
          <w:w w:val="105"/>
          <w:sz w:val="14"/>
        </w:rPr>
        <w:t xml:space="preserve"> </w:t>
      </w:r>
      <w:r>
        <w:rPr>
          <w:w w:val="105"/>
          <w:sz w:val="14"/>
        </w:rPr>
        <w:t>con</w:t>
      </w:r>
      <w:r>
        <w:rPr>
          <w:spacing w:val="-6"/>
          <w:w w:val="105"/>
          <w:sz w:val="14"/>
        </w:rPr>
        <w:t xml:space="preserve"> </w:t>
      </w:r>
      <w:r>
        <w:rPr>
          <w:w w:val="105"/>
          <w:sz w:val="14"/>
        </w:rPr>
        <w:t>un</w:t>
      </w:r>
      <w:r>
        <w:rPr>
          <w:spacing w:val="-6"/>
          <w:w w:val="105"/>
          <w:sz w:val="14"/>
        </w:rPr>
        <w:t xml:space="preserve"> </w:t>
      </w:r>
      <w:r>
        <w:rPr>
          <w:w w:val="105"/>
          <w:sz w:val="14"/>
        </w:rPr>
        <w:t>documental</w:t>
      </w:r>
      <w:r>
        <w:rPr>
          <w:spacing w:val="-6"/>
          <w:w w:val="105"/>
          <w:sz w:val="14"/>
        </w:rPr>
        <w:t xml:space="preserve"> </w:t>
      </w:r>
      <w:r>
        <w:rPr>
          <w:w w:val="105"/>
          <w:sz w:val="14"/>
        </w:rPr>
        <w:t>que</w:t>
      </w:r>
      <w:r>
        <w:rPr>
          <w:spacing w:val="-6"/>
          <w:w w:val="105"/>
          <w:sz w:val="14"/>
        </w:rPr>
        <w:t xml:space="preserve"> </w:t>
      </w:r>
      <w:r>
        <w:rPr>
          <w:w w:val="105"/>
          <w:sz w:val="14"/>
        </w:rPr>
        <w:t>había</w:t>
      </w:r>
      <w:r>
        <w:rPr>
          <w:spacing w:val="-6"/>
          <w:w w:val="105"/>
          <w:sz w:val="14"/>
        </w:rPr>
        <w:t xml:space="preserve"> </w:t>
      </w:r>
      <w:r>
        <w:rPr>
          <w:w w:val="105"/>
          <w:sz w:val="14"/>
        </w:rPr>
        <w:t>producido.</w:t>
      </w:r>
      <w:r>
        <w:rPr>
          <w:spacing w:val="-6"/>
          <w:w w:val="105"/>
          <w:sz w:val="14"/>
        </w:rPr>
        <w:t xml:space="preserve"> </w:t>
      </w:r>
      <w:r>
        <w:rPr>
          <w:w w:val="105"/>
          <w:sz w:val="14"/>
        </w:rPr>
        <w:t>y</w:t>
      </w:r>
      <w:r>
        <w:rPr>
          <w:spacing w:val="-6"/>
          <w:w w:val="105"/>
          <w:sz w:val="14"/>
        </w:rPr>
        <w:t xml:space="preserve"> </w:t>
      </w:r>
      <w:r>
        <w:rPr>
          <w:w w:val="105"/>
          <w:sz w:val="14"/>
        </w:rPr>
        <w:t>transmitido</w:t>
      </w:r>
      <w:r>
        <w:rPr>
          <w:spacing w:val="-6"/>
          <w:w w:val="105"/>
          <w:sz w:val="14"/>
        </w:rPr>
        <w:t xml:space="preserve"> </w:t>
      </w:r>
      <w:r>
        <w:rPr>
          <w:w w:val="105"/>
          <w:sz w:val="14"/>
        </w:rPr>
        <w:t>por</w:t>
      </w:r>
      <w:r>
        <w:rPr>
          <w:spacing w:val="-6"/>
          <w:w w:val="105"/>
          <w:sz w:val="14"/>
        </w:rPr>
        <w:t xml:space="preserve"> </w:t>
      </w:r>
      <w:r>
        <w:rPr>
          <w:w w:val="105"/>
          <w:sz w:val="14"/>
        </w:rPr>
        <w:t>la</w:t>
      </w:r>
      <w:r>
        <w:rPr>
          <w:spacing w:val="-6"/>
          <w:w w:val="105"/>
          <w:sz w:val="14"/>
        </w:rPr>
        <w:t xml:space="preserve"> </w:t>
      </w:r>
      <w:r>
        <w:rPr>
          <w:w w:val="105"/>
          <w:sz w:val="14"/>
        </w:rPr>
        <w:t>televisión nacional,</w:t>
      </w:r>
      <w:r>
        <w:rPr>
          <w:spacing w:val="-5"/>
          <w:w w:val="105"/>
          <w:sz w:val="14"/>
        </w:rPr>
        <w:t xml:space="preserve"> </w:t>
      </w:r>
      <w:r>
        <w:rPr>
          <w:w w:val="105"/>
          <w:sz w:val="14"/>
        </w:rPr>
        <w:t>en</w:t>
      </w:r>
      <w:r>
        <w:rPr>
          <w:spacing w:val="-5"/>
          <w:w w:val="105"/>
          <w:sz w:val="14"/>
        </w:rPr>
        <w:t xml:space="preserve"> </w:t>
      </w:r>
      <w:r>
        <w:rPr>
          <w:w w:val="105"/>
          <w:sz w:val="14"/>
        </w:rPr>
        <w:t>el</w:t>
      </w:r>
      <w:r>
        <w:rPr>
          <w:spacing w:val="-5"/>
          <w:w w:val="105"/>
          <w:sz w:val="14"/>
        </w:rPr>
        <w:t xml:space="preserve"> </w:t>
      </w:r>
      <w:r>
        <w:rPr>
          <w:w w:val="105"/>
          <w:sz w:val="14"/>
        </w:rPr>
        <w:t>que</w:t>
      </w:r>
      <w:r>
        <w:rPr>
          <w:spacing w:val="-5"/>
          <w:w w:val="105"/>
          <w:sz w:val="14"/>
        </w:rPr>
        <w:t xml:space="preserve"> </w:t>
      </w:r>
      <w:r>
        <w:rPr>
          <w:w w:val="105"/>
          <w:sz w:val="14"/>
        </w:rPr>
        <w:t>entrevistó</w:t>
      </w:r>
      <w:r>
        <w:rPr>
          <w:spacing w:val="-5"/>
          <w:w w:val="105"/>
          <w:sz w:val="14"/>
        </w:rPr>
        <w:t xml:space="preserve"> </w:t>
      </w:r>
      <w:r>
        <w:rPr>
          <w:w w:val="105"/>
          <w:sz w:val="14"/>
        </w:rPr>
        <w:t>a</w:t>
      </w:r>
      <w:r>
        <w:rPr>
          <w:spacing w:val="-5"/>
          <w:w w:val="105"/>
          <w:sz w:val="14"/>
        </w:rPr>
        <w:t xml:space="preserve"> </w:t>
      </w:r>
      <w:r>
        <w:rPr>
          <w:w w:val="105"/>
          <w:sz w:val="14"/>
        </w:rPr>
        <w:t>miembros</w:t>
      </w:r>
      <w:r>
        <w:rPr>
          <w:spacing w:val="-5"/>
          <w:w w:val="105"/>
          <w:sz w:val="14"/>
        </w:rPr>
        <w:t xml:space="preserve"> </w:t>
      </w:r>
      <w:r>
        <w:rPr>
          <w:w w:val="105"/>
          <w:sz w:val="14"/>
        </w:rPr>
        <w:t>de</w:t>
      </w:r>
      <w:r>
        <w:rPr>
          <w:spacing w:val="-5"/>
          <w:w w:val="105"/>
          <w:sz w:val="14"/>
        </w:rPr>
        <w:t xml:space="preserve"> </w:t>
      </w:r>
      <w:r>
        <w:rPr>
          <w:w w:val="105"/>
          <w:sz w:val="14"/>
        </w:rPr>
        <w:t>un</w:t>
      </w:r>
      <w:r>
        <w:rPr>
          <w:spacing w:val="-5"/>
          <w:w w:val="105"/>
          <w:sz w:val="14"/>
        </w:rPr>
        <w:t xml:space="preserve"> </w:t>
      </w:r>
      <w:r>
        <w:rPr>
          <w:w w:val="105"/>
          <w:sz w:val="14"/>
        </w:rPr>
        <w:t>grupo</w:t>
      </w:r>
      <w:r>
        <w:rPr>
          <w:spacing w:val="-5"/>
          <w:w w:val="105"/>
          <w:sz w:val="14"/>
        </w:rPr>
        <w:t xml:space="preserve"> </w:t>
      </w:r>
      <w:r>
        <w:rPr>
          <w:w w:val="105"/>
          <w:sz w:val="14"/>
        </w:rPr>
        <w:t>de</w:t>
      </w:r>
      <w:r>
        <w:rPr>
          <w:spacing w:val="-5"/>
          <w:w w:val="105"/>
          <w:sz w:val="14"/>
        </w:rPr>
        <w:t xml:space="preserve"> </w:t>
      </w:r>
      <w:r>
        <w:rPr>
          <w:w w:val="105"/>
          <w:sz w:val="14"/>
        </w:rPr>
        <w:t>jóvenes</w:t>
      </w:r>
      <w:r>
        <w:rPr>
          <w:spacing w:val="-5"/>
          <w:w w:val="105"/>
          <w:sz w:val="14"/>
        </w:rPr>
        <w:t xml:space="preserve"> </w:t>
      </w:r>
      <w:r>
        <w:rPr>
          <w:w w:val="105"/>
          <w:sz w:val="14"/>
        </w:rPr>
        <w:t>en</w:t>
      </w:r>
      <w:r>
        <w:rPr>
          <w:spacing w:val="-5"/>
          <w:w w:val="105"/>
          <w:sz w:val="14"/>
        </w:rPr>
        <w:t xml:space="preserve"> </w:t>
      </w:r>
      <w:r>
        <w:rPr>
          <w:w w:val="105"/>
          <w:sz w:val="14"/>
        </w:rPr>
        <w:t>Copenhague,</w:t>
      </w:r>
      <w:r>
        <w:rPr>
          <w:spacing w:val="-4"/>
          <w:w w:val="105"/>
          <w:sz w:val="14"/>
        </w:rPr>
        <w:t xml:space="preserve"> </w:t>
      </w:r>
      <w:r>
        <w:rPr>
          <w:w w:val="105"/>
          <w:sz w:val="14"/>
        </w:rPr>
        <w:t>autodenominados</w:t>
      </w:r>
      <w:r>
        <w:rPr>
          <w:spacing w:val="-6"/>
          <w:w w:val="105"/>
          <w:sz w:val="14"/>
        </w:rPr>
        <w:t xml:space="preserve"> </w:t>
      </w:r>
      <w:r>
        <w:rPr>
          <w:w w:val="105"/>
          <w:sz w:val="14"/>
        </w:rPr>
        <w:t>“los</w:t>
      </w:r>
      <w:r>
        <w:rPr>
          <w:spacing w:val="-5"/>
          <w:w w:val="105"/>
          <w:sz w:val="14"/>
        </w:rPr>
        <w:t xml:space="preserve"> </w:t>
      </w:r>
      <w:proofErr w:type="spellStart"/>
      <w:r>
        <w:rPr>
          <w:w w:val="105"/>
          <w:sz w:val="14"/>
        </w:rPr>
        <w:t>Greenjackets</w:t>
      </w:r>
      <w:proofErr w:type="spellEnd"/>
      <w:r>
        <w:rPr>
          <w:w w:val="105"/>
          <w:sz w:val="14"/>
        </w:rPr>
        <w:t>”.</w:t>
      </w:r>
      <w:r>
        <w:rPr>
          <w:spacing w:val="-4"/>
          <w:w w:val="105"/>
          <w:sz w:val="14"/>
        </w:rPr>
        <w:t xml:space="preserve"> </w:t>
      </w:r>
      <w:r>
        <w:rPr>
          <w:w w:val="105"/>
          <w:sz w:val="14"/>
        </w:rPr>
        <w:t>Estos</w:t>
      </w:r>
      <w:r>
        <w:rPr>
          <w:spacing w:val="-6"/>
          <w:w w:val="105"/>
          <w:sz w:val="14"/>
        </w:rPr>
        <w:t xml:space="preserve"> </w:t>
      </w:r>
      <w:r>
        <w:rPr>
          <w:w w:val="105"/>
          <w:sz w:val="14"/>
        </w:rPr>
        <w:t>entrevistados habían</w:t>
      </w:r>
      <w:r>
        <w:rPr>
          <w:spacing w:val="-6"/>
          <w:w w:val="105"/>
          <w:sz w:val="14"/>
        </w:rPr>
        <w:t xml:space="preserve"> </w:t>
      </w:r>
      <w:r>
        <w:rPr>
          <w:w w:val="105"/>
          <w:sz w:val="14"/>
        </w:rPr>
        <w:t>expresado</w:t>
      </w:r>
      <w:r>
        <w:rPr>
          <w:spacing w:val="-6"/>
          <w:w w:val="105"/>
          <w:sz w:val="14"/>
        </w:rPr>
        <w:t xml:space="preserve"> </w:t>
      </w:r>
      <w:r>
        <w:rPr>
          <w:w w:val="105"/>
          <w:sz w:val="14"/>
        </w:rPr>
        <w:t>ideas</w:t>
      </w:r>
      <w:r>
        <w:rPr>
          <w:spacing w:val="-6"/>
          <w:w w:val="105"/>
          <w:sz w:val="14"/>
        </w:rPr>
        <w:t xml:space="preserve"> </w:t>
      </w:r>
      <w:r>
        <w:rPr>
          <w:w w:val="105"/>
          <w:sz w:val="14"/>
        </w:rPr>
        <w:t>de</w:t>
      </w:r>
      <w:r>
        <w:rPr>
          <w:spacing w:val="-6"/>
          <w:w w:val="105"/>
          <w:sz w:val="14"/>
        </w:rPr>
        <w:t xml:space="preserve"> </w:t>
      </w:r>
      <w:r>
        <w:rPr>
          <w:w w:val="105"/>
          <w:sz w:val="14"/>
        </w:rPr>
        <w:t>superioridad</w:t>
      </w:r>
      <w:r>
        <w:rPr>
          <w:spacing w:val="-6"/>
          <w:w w:val="105"/>
          <w:sz w:val="14"/>
        </w:rPr>
        <w:t xml:space="preserve"> </w:t>
      </w:r>
      <w:r>
        <w:rPr>
          <w:w w:val="105"/>
          <w:sz w:val="14"/>
        </w:rPr>
        <w:t>racial</w:t>
      </w:r>
      <w:r>
        <w:rPr>
          <w:spacing w:val="-6"/>
          <w:w w:val="105"/>
          <w:sz w:val="14"/>
        </w:rPr>
        <w:t xml:space="preserve"> </w:t>
      </w:r>
      <w:r>
        <w:rPr>
          <w:w w:val="105"/>
          <w:sz w:val="14"/>
        </w:rPr>
        <w:t>o</w:t>
      </w:r>
      <w:r>
        <w:rPr>
          <w:spacing w:val="-6"/>
          <w:w w:val="105"/>
          <w:sz w:val="14"/>
        </w:rPr>
        <w:t xml:space="preserve"> </w:t>
      </w:r>
      <w:r>
        <w:rPr>
          <w:w w:val="105"/>
          <w:sz w:val="14"/>
        </w:rPr>
        <w:t>étnica</w:t>
      </w:r>
      <w:r>
        <w:rPr>
          <w:spacing w:val="-6"/>
          <w:w w:val="105"/>
          <w:sz w:val="14"/>
        </w:rPr>
        <w:t xml:space="preserve"> </w:t>
      </w:r>
      <w:r>
        <w:rPr>
          <w:w w:val="105"/>
          <w:sz w:val="14"/>
        </w:rPr>
        <w:t>ante</w:t>
      </w:r>
      <w:r>
        <w:rPr>
          <w:spacing w:val="-6"/>
          <w:w w:val="105"/>
          <w:sz w:val="14"/>
        </w:rPr>
        <w:t xml:space="preserve"> </w:t>
      </w:r>
      <w:r>
        <w:rPr>
          <w:w w:val="105"/>
          <w:sz w:val="14"/>
        </w:rPr>
        <w:t>la</w:t>
      </w:r>
      <w:r>
        <w:rPr>
          <w:spacing w:val="-6"/>
          <w:w w:val="105"/>
          <w:sz w:val="14"/>
        </w:rPr>
        <w:t xml:space="preserve"> </w:t>
      </w:r>
      <w:r>
        <w:rPr>
          <w:w w:val="105"/>
          <w:sz w:val="14"/>
        </w:rPr>
        <w:t>cámara,</w:t>
      </w:r>
      <w:r>
        <w:rPr>
          <w:spacing w:val="-6"/>
          <w:w w:val="105"/>
          <w:sz w:val="14"/>
        </w:rPr>
        <w:t xml:space="preserve"> </w:t>
      </w:r>
      <w:r>
        <w:rPr>
          <w:w w:val="105"/>
          <w:sz w:val="14"/>
        </w:rPr>
        <w:t>además</w:t>
      </w:r>
      <w:r>
        <w:rPr>
          <w:spacing w:val="-6"/>
          <w:w w:val="105"/>
          <w:sz w:val="14"/>
        </w:rPr>
        <w:t xml:space="preserve"> </w:t>
      </w:r>
      <w:r>
        <w:rPr>
          <w:w w:val="105"/>
          <w:sz w:val="14"/>
        </w:rPr>
        <w:t>de</w:t>
      </w:r>
      <w:r>
        <w:rPr>
          <w:spacing w:val="-6"/>
          <w:w w:val="105"/>
          <w:sz w:val="14"/>
        </w:rPr>
        <w:t xml:space="preserve"> </w:t>
      </w:r>
      <w:r>
        <w:rPr>
          <w:w w:val="105"/>
          <w:sz w:val="14"/>
        </w:rPr>
        <w:t>confesar</w:t>
      </w:r>
      <w:r>
        <w:rPr>
          <w:spacing w:val="-7"/>
          <w:w w:val="105"/>
          <w:sz w:val="14"/>
        </w:rPr>
        <w:t xml:space="preserve"> </w:t>
      </w:r>
      <w:r>
        <w:rPr>
          <w:w w:val="105"/>
          <w:sz w:val="14"/>
        </w:rPr>
        <w:t>casos</w:t>
      </w:r>
      <w:r>
        <w:rPr>
          <w:spacing w:val="-6"/>
          <w:w w:val="105"/>
          <w:sz w:val="14"/>
        </w:rPr>
        <w:t xml:space="preserve"> </w:t>
      </w:r>
      <w:r>
        <w:rPr>
          <w:w w:val="105"/>
          <w:sz w:val="14"/>
        </w:rPr>
        <w:t>de</w:t>
      </w:r>
      <w:r>
        <w:rPr>
          <w:spacing w:val="-6"/>
          <w:w w:val="105"/>
          <w:sz w:val="14"/>
        </w:rPr>
        <w:t xml:space="preserve"> </w:t>
      </w:r>
      <w:r>
        <w:rPr>
          <w:w w:val="105"/>
          <w:sz w:val="14"/>
        </w:rPr>
        <w:t>agresión</w:t>
      </w:r>
      <w:r>
        <w:rPr>
          <w:spacing w:val="-6"/>
          <w:w w:val="105"/>
          <w:sz w:val="14"/>
        </w:rPr>
        <w:t xml:space="preserve"> </w:t>
      </w:r>
      <w:r>
        <w:rPr>
          <w:w w:val="105"/>
          <w:sz w:val="14"/>
        </w:rPr>
        <w:t>a</w:t>
      </w:r>
      <w:r>
        <w:rPr>
          <w:spacing w:val="-6"/>
          <w:w w:val="105"/>
          <w:sz w:val="14"/>
        </w:rPr>
        <w:t xml:space="preserve"> </w:t>
      </w:r>
      <w:r>
        <w:rPr>
          <w:w w:val="105"/>
          <w:sz w:val="14"/>
        </w:rPr>
        <w:t>minorías.</w:t>
      </w:r>
      <w:r>
        <w:rPr>
          <w:spacing w:val="-6"/>
          <w:w w:val="105"/>
          <w:sz w:val="14"/>
        </w:rPr>
        <w:t xml:space="preserve"> </w:t>
      </w:r>
      <w:r>
        <w:rPr>
          <w:w w:val="105"/>
          <w:sz w:val="14"/>
        </w:rPr>
        <w:t>Basándose</w:t>
      </w:r>
      <w:r>
        <w:rPr>
          <w:spacing w:val="-6"/>
          <w:w w:val="105"/>
          <w:sz w:val="14"/>
        </w:rPr>
        <w:t xml:space="preserve"> </w:t>
      </w:r>
      <w:r>
        <w:rPr>
          <w:w w:val="105"/>
          <w:sz w:val="14"/>
        </w:rPr>
        <w:t>en</w:t>
      </w:r>
      <w:r>
        <w:rPr>
          <w:spacing w:val="-6"/>
          <w:w w:val="105"/>
          <w:sz w:val="14"/>
        </w:rPr>
        <w:t xml:space="preserve"> </w:t>
      </w:r>
      <w:r>
        <w:rPr>
          <w:w w:val="105"/>
          <w:sz w:val="14"/>
        </w:rPr>
        <w:t>el programa</w:t>
      </w:r>
      <w:r>
        <w:rPr>
          <w:spacing w:val="-5"/>
          <w:w w:val="105"/>
          <w:sz w:val="14"/>
        </w:rPr>
        <w:t xml:space="preserve"> </w:t>
      </w:r>
      <w:r>
        <w:rPr>
          <w:w w:val="105"/>
          <w:sz w:val="14"/>
        </w:rPr>
        <w:t>de</w:t>
      </w:r>
      <w:r>
        <w:rPr>
          <w:spacing w:val="-5"/>
          <w:w w:val="105"/>
          <w:sz w:val="14"/>
        </w:rPr>
        <w:t xml:space="preserve"> </w:t>
      </w:r>
      <w:r>
        <w:rPr>
          <w:w w:val="105"/>
          <w:sz w:val="14"/>
        </w:rPr>
        <w:t>televisión,</w:t>
      </w:r>
      <w:r>
        <w:rPr>
          <w:spacing w:val="-5"/>
          <w:w w:val="105"/>
          <w:sz w:val="14"/>
        </w:rPr>
        <w:t xml:space="preserve"> </w:t>
      </w:r>
      <w:r>
        <w:rPr>
          <w:w w:val="105"/>
          <w:sz w:val="14"/>
        </w:rPr>
        <w:t>las</w:t>
      </w:r>
      <w:r>
        <w:rPr>
          <w:spacing w:val="-5"/>
          <w:w w:val="105"/>
          <w:sz w:val="14"/>
        </w:rPr>
        <w:t xml:space="preserve"> </w:t>
      </w:r>
      <w:r>
        <w:rPr>
          <w:w w:val="105"/>
          <w:sz w:val="14"/>
        </w:rPr>
        <w:t>autoridades</w:t>
      </w:r>
      <w:r>
        <w:rPr>
          <w:spacing w:val="-6"/>
          <w:w w:val="105"/>
          <w:sz w:val="14"/>
        </w:rPr>
        <w:t xml:space="preserve"> </w:t>
      </w:r>
      <w:r>
        <w:rPr>
          <w:w w:val="105"/>
          <w:sz w:val="14"/>
        </w:rPr>
        <w:t>danesas</w:t>
      </w:r>
      <w:r>
        <w:rPr>
          <w:spacing w:val="-5"/>
          <w:w w:val="105"/>
          <w:sz w:val="14"/>
        </w:rPr>
        <w:t xml:space="preserve"> </w:t>
      </w:r>
      <w:r>
        <w:rPr>
          <w:w w:val="105"/>
          <w:sz w:val="14"/>
        </w:rPr>
        <w:t>presentaron</w:t>
      </w:r>
      <w:r>
        <w:rPr>
          <w:spacing w:val="-5"/>
          <w:w w:val="105"/>
          <w:sz w:val="14"/>
        </w:rPr>
        <w:t xml:space="preserve"> </w:t>
      </w:r>
      <w:r>
        <w:rPr>
          <w:w w:val="105"/>
          <w:sz w:val="14"/>
        </w:rPr>
        <w:t>cargos</w:t>
      </w:r>
      <w:r>
        <w:rPr>
          <w:spacing w:val="-5"/>
          <w:w w:val="105"/>
          <w:sz w:val="14"/>
        </w:rPr>
        <w:t xml:space="preserve"> </w:t>
      </w:r>
      <w:r>
        <w:rPr>
          <w:w w:val="105"/>
          <w:sz w:val="14"/>
        </w:rPr>
        <w:t>contra</w:t>
      </w:r>
      <w:r>
        <w:rPr>
          <w:spacing w:val="-5"/>
          <w:w w:val="105"/>
          <w:sz w:val="14"/>
        </w:rPr>
        <w:t xml:space="preserve"> </w:t>
      </w:r>
      <w:r>
        <w:rPr>
          <w:w w:val="105"/>
          <w:sz w:val="14"/>
        </w:rPr>
        <w:t>los</w:t>
      </w:r>
      <w:r>
        <w:rPr>
          <w:spacing w:val="-5"/>
          <w:w w:val="105"/>
          <w:sz w:val="14"/>
        </w:rPr>
        <w:t xml:space="preserve"> </w:t>
      </w:r>
      <w:proofErr w:type="spellStart"/>
      <w:r>
        <w:rPr>
          <w:w w:val="105"/>
          <w:sz w:val="14"/>
        </w:rPr>
        <w:t>Greenjackets</w:t>
      </w:r>
      <w:proofErr w:type="spellEnd"/>
      <w:r>
        <w:rPr>
          <w:spacing w:val="-6"/>
          <w:w w:val="105"/>
          <w:sz w:val="14"/>
        </w:rPr>
        <w:t xml:space="preserve"> </w:t>
      </w:r>
      <w:r>
        <w:rPr>
          <w:w w:val="105"/>
          <w:sz w:val="14"/>
        </w:rPr>
        <w:t>entrevistados</w:t>
      </w:r>
      <w:r>
        <w:rPr>
          <w:spacing w:val="-6"/>
          <w:w w:val="105"/>
          <w:sz w:val="14"/>
        </w:rPr>
        <w:t xml:space="preserve"> </w:t>
      </w:r>
      <w:r>
        <w:rPr>
          <w:w w:val="105"/>
          <w:sz w:val="14"/>
        </w:rPr>
        <w:t>por</w:t>
      </w:r>
      <w:r>
        <w:rPr>
          <w:spacing w:val="-5"/>
          <w:w w:val="105"/>
          <w:sz w:val="14"/>
        </w:rPr>
        <w:t xml:space="preserve"> </w:t>
      </w:r>
      <w:r>
        <w:rPr>
          <w:w w:val="105"/>
          <w:sz w:val="14"/>
        </w:rPr>
        <w:t>el</w:t>
      </w:r>
      <w:r>
        <w:rPr>
          <w:spacing w:val="-5"/>
          <w:w w:val="105"/>
          <w:sz w:val="14"/>
        </w:rPr>
        <w:t xml:space="preserve"> </w:t>
      </w:r>
      <w:r>
        <w:rPr>
          <w:w w:val="105"/>
          <w:sz w:val="14"/>
        </w:rPr>
        <w:t>Sr.</w:t>
      </w:r>
      <w:r>
        <w:rPr>
          <w:spacing w:val="-5"/>
          <w:w w:val="105"/>
          <w:sz w:val="14"/>
        </w:rPr>
        <w:t xml:space="preserve"> </w:t>
      </w:r>
      <w:proofErr w:type="spellStart"/>
      <w:r>
        <w:rPr>
          <w:w w:val="105"/>
          <w:sz w:val="14"/>
        </w:rPr>
        <w:t>Jersild</w:t>
      </w:r>
      <w:proofErr w:type="spellEnd"/>
      <w:r>
        <w:rPr>
          <w:w w:val="105"/>
          <w:sz w:val="14"/>
        </w:rPr>
        <w:t>.</w:t>
      </w:r>
      <w:r>
        <w:rPr>
          <w:spacing w:val="-5"/>
          <w:w w:val="105"/>
          <w:sz w:val="14"/>
        </w:rPr>
        <w:t xml:space="preserve"> </w:t>
      </w:r>
      <w:r>
        <w:rPr>
          <w:w w:val="105"/>
          <w:sz w:val="14"/>
        </w:rPr>
        <w:t>Sin</w:t>
      </w:r>
      <w:r>
        <w:rPr>
          <w:spacing w:val="-5"/>
          <w:w w:val="105"/>
          <w:sz w:val="14"/>
        </w:rPr>
        <w:t xml:space="preserve"> </w:t>
      </w:r>
      <w:r>
        <w:rPr>
          <w:w w:val="105"/>
          <w:sz w:val="14"/>
        </w:rPr>
        <w:t>embargo,</w:t>
      </w:r>
      <w:r>
        <w:rPr>
          <w:spacing w:val="-5"/>
          <w:w w:val="105"/>
          <w:sz w:val="14"/>
        </w:rPr>
        <w:t xml:space="preserve"> </w:t>
      </w:r>
      <w:r>
        <w:rPr>
          <w:w w:val="105"/>
          <w:sz w:val="14"/>
        </w:rPr>
        <w:t>en referencia</w:t>
      </w:r>
      <w:r>
        <w:rPr>
          <w:spacing w:val="-7"/>
          <w:w w:val="105"/>
          <w:sz w:val="14"/>
        </w:rPr>
        <w:t xml:space="preserve"> </w:t>
      </w:r>
      <w:r>
        <w:rPr>
          <w:w w:val="105"/>
          <w:sz w:val="14"/>
        </w:rPr>
        <w:t>al</w:t>
      </w:r>
      <w:r>
        <w:rPr>
          <w:spacing w:val="-7"/>
          <w:w w:val="105"/>
          <w:sz w:val="14"/>
        </w:rPr>
        <w:t xml:space="preserve"> </w:t>
      </w:r>
      <w:r>
        <w:rPr>
          <w:w w:val="105"/>
          <w:sz w:val="14"/>
        </w:rPr>
        <w:t>artículo</w:t>
      </w:r>
      <w:r>
        <w:rPr>
          <w:spacing w:val="-8"/>
          <w:w w:val="105"/>
          <w:sz w:val="14"/>
        </w:rPr>
        <w:t xml:space="preserve"> </w:t>
      </w:r>
      <w:r>
        <w:rPr>
          <w:w w:val="105"/>
          <w:sz w:val="14"/>
        </w:rPr>
        <w:t>4</w:t>
      </w:r>
      <w:r>
        <w:rPr>
          <w:spacing w:val="-7"/>
          <w:w w:val="105"/>
          <w:sz w:val="14"/>
        </w:rPr>
        <w:t xml:space="preserve"> </w:t>
      </w:r>
      <w:r>
        <w:rPr>
          <w:w w:val="105"/>
          <w:sz w:val="14"/>
        </w:rPr>
        <w:t>de</w:t>
      </w:r>
      <w:r>
        <w:rPr>
          <w:spacing w:val="-7"/>
          <w:w w:val="105"/>
          <w:sz w:val="14"/>
        </w:rPr>
        <w:t xml:space="preserve"> </w:t>
      </w:r>
      <w:r>
        <w:rPr>
          <w:w w:val="105"/>
          <w:sz w:val="14"/>
        </w:rPr>
        <w:t>la</w:t>
      </w:r>
      <w:r>
        <w:rPr>
          <w:spacing w:val="-7"/>
          <w:w w:val="105"/>
          <w:sz w:val="14"/>
        </w:rPr>
        <w:t xml:space="preserve"> </w:t>
      </w:r>
      <w:r>
        <w:rPr>
          <w:w w:val="105"/>
          <w:sz w:val="14"/>
        </w:rPr>
        <w:t>Convención</w:t>
      </w:r>
      <w:r>
        <w:rPr>
          <w:spacing w:val="-7"/>
          <w:w w:val="105"/>
          <w:sz w:val="14"/>
        </w:rPr>
        <w:t xml:space="preserve"> </w:t>
      </w:r>
      <w:r>
        <w:rPr>
          <w:w w:val="105"/>
          <w:sz w:val="14"/>
        </w:rPr>
        <w:t>Internacional</w:t>
      </w:r>
      <w:r>
        <w:rPr>
          <w:spacing w:val="-7"/>
          <w:w w:val="105"/>
          <w:sz w:val="14"/>
        </w:rPr>
        <w:t xml:space="preserve"> </w:t>
      </w:r>
      <w:r>
        <w:rPr>
          <w:w w:val="105"/>
          <w:sz w:val="14"/>
        </w:rPr>
        <w:t>sobre</w:t>
      </w:r>
      <w:r>
        <w:rPr>
          <w:spacing w:val="-7"/>
          <w:w w:val="105"/>
          <w:sz w:val="14"/>
        </w:rPr>
        <w:t xml:space="preserve"> </w:t>
      </w:r>
      <w:r>
        <w:rPr>
          <w:w w:val="105"/>
          <w:sz w:val="14"/>
        </w:rPr>
        <w:t>la</w:t>
      </w:r>
      <w:r>
        <w:rPr>
          <w:spacing w:val="-7"/>
          <w:w w:val="105"/>
          <w:sz w:val="14"/>
        </w:rPr>
        <w:t xml:space="preserve"> </w:t>
      </w:r>
      <w:r>
        <w:rPr>
          <w:w w:val="105"/>
          <w:sz w:val="14"/>
        </w:rPr>
        <w:t>Eliminación</w:t>
      </w:r>
      <w:r>
        <w:rPr>
          <w:spacing w:val="-7"/>
          <w:w w:val="105"/>
          <w:sz w:val="14"/>
        </w:rPr>
        <w:t xml:space="preserve"> </w:t>
      </w:r>
      <w:r>
        <w:rPr>
          <w:w w:val="105"/>
          <w:sz w:val="14"/>
        </w:rPr>
        <w:t>de</w:t>
      </w:r>
      <w:r>
        <w:rPr>
          <w:spacing w:val="-7"/>
          <w:w w:val="105"/>
          <w:sz w:val="14"/>
        </w:rPr>
        <w:t xml:space="preserve"> </w:t>
      </w:r>
      <w:r>
        <w:rPr>
          <w:w w:val="105"/>
          <w:sz w:val="14"/>
        </w:rPr>
        <w:t>todas</w:t>
      </w:r>
      <w:r>
        <w:rPr>
          <w:spacing w:val="-8"/>
          <w:w w:val="105"/>
          <w:sz w:val="14"/>
        </w:rPr>
        <w:t xml:space="preserve"> </w:t>
      </w:r>
      <w:r>
        <w:rPr>
          <w:w w:val="105"/>
          <w:sz w:val="14"/>
        </w:rPr>
        <w:t>las</w:t>
      </w:r>
      <w:r>
        <w:rPr>
          <w:spacing w:val="-7"/>
          <w:w w:val="105"/>
          <w:sz w:val="14"/>
        </w:rPr>
        <w:t xml:space="preserve"> </w:t>
      </w:r>
      <w:r>
        <w:rPr>
          <w:w w:val="105"/>
          <w:sz w:val="14"/>
        </w:rPr>
        <w:t>Formas</w:t>
      </w:r>
      <w:r>
        <w:rPr>
          <w:spacing w:val="-8"/>
          <w:w w:val="105"/>
          <w:sz w:val="14"/>
        </w:rPr>
        <w:t xml:space="preserve"> </w:t>
      </w:r>
      <w:r>
        <w:rPr>
          <w:w w:val="105"/>
          <w:sz w:val="14"/>
        </w:rPr>
        <w:t>de</w:t>
      </w:r>
      <w:r>
        <w:rPr>
          <w:spacing w:val="-7"/>
          <w:w w:val="105"/>
          <w:sz w:val="14"/>
        </w:rPr>
        <w:t xml:space="preserve"> </w:t>
      </w:r>
      <w:r>
        <w:rPr>
          <w:w w:val="105"/>
          <w:sz w:val="14"/>
        </w:rPr>
        <w:t>Discriminación</w:t>
      </w:r>
      <w:r>
        <w:rPr>
          <w:spacing w:val="-7"/>
          <w:w w:val="105"/>
          <w:sz w:val="14"/>
        </w:rPr>
        <w:t xml:space="preserve"> </w:t>
      </w:r>
      <w:r>
        <w:rPr>
          <w:w w:val="105"/>
          <w:sz w:val="14"/>
        </w:rPr>
        <w:t>Racial,</w:t>
      </w:r>
      <w:r>
        <w:rPr>
          <w:spacing w:val="-7"/>
          <w:w w:val="105"/>
          <w:sz w:val="14"/>
        </w:rPr>
        <w:t xml:space="preserve"> </w:t>
      </w:r>
      <w:r>
        <w:rPr>
          <w:w w:val="105"/>
          <w:sz w:val="14"/>
        </w:rPr>
        <w:t>también</w:t>
      </w:r>
      <w:r>
        <w:rPr>
          <w:spacing w:val="-7"/>
          <w:w w:val="105"/>
          <w:sz w:val="14"/>
        </w:rPr>
        <w:t xml:space="preserve"> </w:t>
      </w:r>
      <w:r>
        <w:rPr>
          <w:w w:val="105"/>
          <w:sz w:val="14"/>
        </w:rPr>
        <w:t>sancionaron</w:t>
      </w:r>
    </w:p>
    <w:p w14:paraId="74BFF4FD" w14:textId="77777777" w:rsidR="0014798C" w:rsidRDefault="004E1F0B">
      <w:pPr>
        <w:spacing w:before="2" w:line="372" w:lineRule="auto"/>
        <w:ind w:left="1107" w:right="1335" w:firstLine="5"/>
        <w:rPr>
          <w:sz w:val="14"/>
        </w:rPr>
      </w:pPr>
      <w:r>
        <w:rPr>
          <w:w w:val="105"/>
          <w:sz w:val="14"/>
        </w:rPr>
        <w:t>al</w:t>
      </w:r>
      <w:r>
        <w:rPr>
          <w:spacing w:val="-9"/>
          <w:w w:val="105"/>
          <w:sz w:val="14"/>
        </w:rPr>
        <w:t xml:space="preserve"> </w:t>
      </w:r>
      <w:r>
        <w:rPr>
          <w:w w:val="105"/>
          <w:sz w:val="14"/>
        </w:rPr>
        <w:t>Sr.</w:t>
      </w:r>
      <w:r>
        <w:rPr>
          <w:spacing w:val="-9"/>
          <w:w w:val="105"/>
          <w:sz w:val="14"/>
        </w:rPr>
        <w:t xml:space="preserve"> </w:t>
      </w:r>
      <w:proofErr w:type="spellStart"/>
      <w:r>
        <w:rPr>
          <w:w w:val="105"/>
          <w:sz w:val="14"/>
        </w:rPr>
        <w:t>Jersild</w:t>
      </w:r>
      <w:proofErr w:type="spellEnd"/>
      <w:r>
        <w:rPr>
          <w:spacing w:val="-9"/>
          <w:w w:val="105"/>
          <w:sz w:val="14"/>
        </w:rPr>
        <w:t xml:space="preserve"> </w:t>
      </w:r>
      <w:r>
        <w:rPr>
          <w:w w:val="105"/>
          <w:sz w:val="14"/>
        </w:rPr>
        <w:t>por</w:t>
      </w:r>
      <w:r>
        <w:rPr>
          <w:spacing w:val="-9"/>
          <w:w w:val="105"/>
          <w:sz w:val="14"/>
        </w:rPr>
        <w:t xml:space="preserve"> </w:t>
      </w:r>
      <w:r>
        <w:rPr>
          <w:w w:val="105"/>
          <w:sz w:val="14"/>
        </w:rPr>
        <w:t>proporcionar</w:t>
      </w:r>
      <w:r>
        <w:rPr>
          <w:spacing w:val="-10"/>
          <w:w w:val="105"/>
          <w:sz w:val="14"/>
        </w:rPr>
        <w:t xml:space="preserve"> </w:t>
      </w:r>
      <w:r>
        <w:rPr>
          <w:w w:val="105"/>
          <w:sz w:val="14"/>
        </w:rPr>
        <w:t>a</w:t>
      </w:r>
      <w:r>
        <w:rPr>
          <w:spacing w:val="-9"/>
          <w:w w:val="105"/>
          <w:sz w:val="14"/>
        </w:rPr>
        <w:t xml:space="preserve"> </w:t>
      </w:r>
      <w:r>
        <w:rPr>
          <w:w w:val="105"/>
          <w:sz w:val="14"/>
        </w:rPr>
        <w:t>los</w:t>
      </w:r>
      <w:r>
        <w:rPr>
          <w:spacing w:val="-9"/>
          <w:w w:val="105"/>
          <w:sz w:val="14"/>
        </w:rPr>
        <w:t xml:space="preserve"> </w:t>
      </w:r>
      <w:r>
        <w:rPr>
          <w:w w:val="105"/>
          <w:sz w:val="14"/>
        </w:rPr>
        <w:t>skinheads</w:t>
      </w:r>
      <w:r>
        <w:rPr>
          <w:spacing w:val="-9"/>
          <w:w w:val="105"/>
          <w:sz w:val="14"/>
        </w:rPr>
        <w:t xml:space="preserve"> </w:t>
      </w:r>
      <w:r>
        <w:rPr>
          <w:w w:val="105"/>
          <w:sz w:val="14"/>
        </w:rPr>
        <w:t>un</w:t>
      </w:r>
      <w:r>
        <w:rPr>
          <w:spacing w:val="-9"/>
          <w:w w:val="105"/>
          <w:sz w:val="14"/>
        </w:rPr>
        <w:t xml:space="preserve"> </w:t>
      </w:r>
      <w:r>
        <w:rPr>
          <w:w w:val="105"/>
          <w:sz w:val="14"/>
        </w:rPr>
        <w:t>medio</w:t>
      </w:r>
      <w:r>
        <w:rPr>
          <w:spacing w:val="-9"/>
          <w:w w:val="105"/>
          <w:sz w:val="14"/>
        </w:rPr>
        <w:t xml:space="preserve"> </w:t>
      </w:r>
      <w:r>
        <w:rPr>
          <w:w w:val="105"/>
          <w:sz w:val="14"/>
        </w:rPr>
        <w:t>para</w:t>
      </w:r>
      <w:r>
        <w:rPr>
          <w:spacing w:val="-9"/>
          <w:w w:val="105"/>
          <w:sz w:val="14"/>
        </w:rPr>
        <w:t xml:space="preserve"> </w:t>
      </w:r>
      <w:r>
        <w:rPr>
          <w:w w:val="105"/>
          <w:sz w:val="14"/>
        </w:rPr>
        <w:t>difundir</w:t>
      </w:r>
      <w:r>
        <w:rPr>
          <w:spacing w:val="-10"/>
          <w:w w:val="105"/>
          <w:sz w:val="14"/>
        </w:rPr>
        <w:t xml:space="preserve"> </w:t>
      </w:r>
      <w:r>
        <w:rPr>
          <w:w w:val="105"/>
          <w:sz w:val="14"/>
        </w:rPr>
        <w:t>ampliamente</w:t>
      </w:r>
      <w:r>
        <w:rPr>
          <w:spacing w:val="-9"/>
          <w:w w:val="105"/>
          <w:sz w:val="14"/>
        </w:rPr>
        <w:t xml:space="preserve"> </w:t>
      </w:r>
      <w:r>
        <w:rPr>
          <w:w w:val="105"/>
          <w:sz w:val="14"/>
        </w:rPr>
        <w:t>el</w:t>
      </w:r>
      <w:r>
        <w:rPr>
          <w:spacing w:val="-9"/>
          <w:w w:val="105"/>
          <w:sz w:val="14"/>
        </w:rPr>
        <w:t xml:space="preserve"> </w:t>
      </w:r>
      <w:r>
        <w:rPr>
          <w:w w:val="105"/>
          <w:sz w:val="14"/>
        </w:rPr>
        <w:t>discurso</w:t>
      </w:r>
      <w:r>
        <w:rPr>
          <w:spacing w:val="-9"/>
          <w:w w:val="105"/>
          <w:sz w:val="14"/>
        </w:rPr>
        <w:t xml:space="preserve"> </w:t>
      </w:r>
      <w:r>
        <w:rPr>
          <w:w w:val="105"/>
          <w:sz w:val="14"/>
        </w:rPr>
        <w:t>de</w:t>
      </w:r>
      <w:r>
        <w:rPr>
          <w:spacing w:val="-9"/>
          <w:w w:val="105"/>
          <w:sz w:val="14"/>
        </w:rPr>
        <w:t xml:space="preserve"> </w:t>
      </w:r>
      <w:r>
        <w:rPr>
          <w:w w:val="105"/>
          <w:sz w:val="14"/>
        </w:rPr>
        <w:t>odio</w:t>
      </w:r>
      <w:r>
        <w:rPr>
          <w:spacing w:val="-9"/>
          <w:w w:val="105"/>
          <w:sz w:val="14"/>
        </w:rPr>
        <w:t xml:space="preserve"> </w:t>
      </w:r>
      <w:r>
        <w:rPr>
          <w:w w:val="105"/>
          <w:sz w:val="14"/>
        </w:rPr>
        <w:t>(es</w:t>
      </w:r>
      <w:r>
        <w:rPr>
          <w:spacing w:val="-9"/>
          <w:w w:val="105"/>
          <w:sz w:val="14"/>
        </w:rPr>
        <w:t xml:space="preserve"> </w:t>
      </w:r>
      <w:r>
        <w:rPr>
          <w:w w:val="105"/>
          <w:sz w:val="14"/>
        </w:rPr>
        <w:t>decir,</w:t>
      </w:r>
      <w:r>
        <w:rPr>
          <w:spacing w:val="-9"/>
          <w:w w:val="105"/>
          <w:sz w:val="14"/>
        </w:rPr>
        <w:t xml:space="preserve"> </w:t>
      </w:r>
      <w:r>
        <w:rPr>
          <w:w w:val="105"/>
          <w:sz w:val="14"/>
        </w:rPr>
        <w:t>un</w:t>
      </w:r>
      <w:r>
        <w:rPr>
          <w:spacing w:val="-9"/>
          <w:w w:val="105"/>
          <w:sz w:val="14"/>
        </w:rPr>
        <w:t xml:space="preserve"> </w:t>
      </w:r>
      <w:r>
        <w:rPr>
          <w:w w:val="105"/>
          <w:sz w:val="14"/>
        </w:rPr>
        <w:t>espacio</w:t>
      </w:r>
      <w:r>
        <w:rPr>
          <w:spacing w:val="-9"/>
          <w:w w:val="105"/>
          <w:sz w:val="14"/>
        </w:rPr>
        <w:t xml:space="preserve"> </w:t>
      </w:r>
      <w:r>
        <w:rPr>
          <w:w w:val="105"/>
          <w:sz w:val="14"/>
        </w:rPr>
        <w:t>televisivo</w:t>
      </w:r>
      <w:r>
        <w:rPr>
          <w:spacing w:val="-9"/>
          <w:w w:val="105"/>
          <w:sz w:val="14"/>
        </w:rPr>
        <w:t xml:space="preserve"> </w:t>
      </w:r>
      <w:r>
        <w:rPr>
          <w:w w:val="105"/>
          <w:sz w:val="14"/>
        </w:rPr>
        <w:t>en</w:t>
      </w:r>
      <w:r>
        <w:rPr>
          <w:spacing w:val="-9"/>
          <w:w w:val="105"/>
          <w:sz w:val="14"/>
        </w:rPr>
        <w:t xml:space="preserve"> </w:t>
      </w:r>
      <w:r>
        <w:rPr>
          <w:w w:val="105"/>
          <w:sz w:val="14"/>
        </w:rPr>
        <w:t>horario de</w:t>
      </w:r>
      <w:r>
        <w:rPr>
          <w:spacing w:val="-4"/>
          <w:w w:val="105"/>
          <w:sz w:val="14"/>
        </w:rPr>
        <w:t xml:space="preserve"> </w:t>
      </w:r>
      <w:r>
        <w:rPr>
          <w:w w:val="105"/>
          <w:sz w:val="14"/>
        </w:rPr>
        <w:t>máxima</w:t>
      </w:r>
      <w:r>
        <w:rPr>
          <w:spacing w:val="-4"/>
          <w:w w:val="105"/>
          <w:sz w:val="14"/>
        </w:rPr>
        <w:t xml:space="preserve"> </w:t>
      </w:r>
      <w:r>
        <w:rPr>
          <w:w w:val="105"/>
          <w:sz w:val="14"/>
        </w:rPr>
        <w:t>audiencia)</w:t>
      </w:r>
      <w:r>
        <w:rPr>
          <w:spacing w:val="-5"/>
          <w:w w:val="105"/>
          <w:sz w:val="14"/>
        </w:rPr>
        <w:t xml:space="preserve"> </w:t>
      </w:r>
      <w:r>
        <w:rPr>
          <w:w w:val="105"/>
          <w:sz w:val="14"/>
        </w:rPr>
        <w:t>y,</w:t>
      </w:r>
      <w:r>
        <w:rPr>
          <w:spacing w:val="-4"/>
          <w:w w:val="105"/>
          <w:sz w:val="14"/>
        </w:rPr>
        <w:t xml:space="preserve"> </w:t>
      </w:r>
      <w:r>
        <w:rPr>
          <w:w w:val="105"/>
          <w:sz w:val="14"/>
        </w:rPr>
        <w:t>por</w:t>
      </w:r>
      <w:r>
        <w:rPr>
          <w:spacing w:val="-4"/>
          <w:w w:val="105"/>
          <w:sz w:val="14"/>
        </w:rPr>
        <w:t xml:space="preserve"> </w:t>
      </w:r>
      <w:r>
        <w:rPr>
          <w:w w:val="105"/>
          <w:sz w:val="14"/>
        </w:rPr>
        <w:t>tanto,</w:t>
      </w:r>
      <w:r>
        <w:rPr>
          <w:spacing w:val="-4"/>
          <w:w w:val="105"/>
          <w:sz w:val="14"/>
        </w:rPr>
        <w:t xml:space="preserve"> </w:t>
      </w:r>
      <w:r>
        <w:rPr>
          <w:w w:val="105"/>
          <w:sz w:val="14"/>
        </w:rPr>
        <w:t>difundir</w:t>
      </w:r>
      <w:r>
        <w:rPr>
          <w:spacing w:val="-5"/>
          <w:w w:val="105"/>
          <w:sz w:val="14"/>
        </w:rPr>
        <w:t xml:space="preserve"> </w:t>
      </w:r>
      <w:r>
        <w:rPr>
          <w:w w:val="105"/>
          <w:sz w:val="14"/>
        </w:rPr>
        <w:t>ideas</w:t>
      </w:r>
      <w:r>
        <w:rPr>
          <w:spacing w:val="-4"/>
          <w:w w:val="105"/>
          <w:sz w:val="14"/>
        </w:rPr>
        <w:t xml:space="preserve"> </w:t>
      </w:r>
      <w:r>
        <w:rPr>
          <w:w w:val="105"/>
          <w:sz w:val="14"/>
        </w:rPr>
        <w:t>de</w:t>
      </w:r>
      <w:r>
        <w:rPr>
          <w:spacing w:val="-4"/>
          <w:w w:val="105"/>
          <w:sz w:val="14"/>
        </w:rPr>
        <w:t xml:space="preserve"> </w:t>
      </w:r>
      <w:r>
        <w:rPr>
          <w:w w:val="105"/>
          <w:sz w:val="14"/>
        </w:rPr>
        <w:t>superioridad</w:t>
      </w:r>
      <w:r>
        <w:rPr>
          <w:spacing w:val="-4"/>
          <w:w w:val="105"/>
          <w:sz w:val="14"/>
        </w:rPr>
        <w:t xml:space="preserve"> </w:t>
      </w:r>
      <w:r>
        <w:rPr>
          <w:w w:val="105"/>
          <w:sz w:val="14"/>
        </w:rPr>
        <w:t>racial</w:t>
      </w:r>
      <w:r>
        <w:rPr>
          <w:spacing w:val="-4"/>
          <w:w w:val="105"/>
          <w:sz w:val="14"/>
        </w:rPr>
        <w:t xml:space="preserve"> </w:t>
      </w:r>
      <w:r>
        <w:rPr>
          <w:w w:val="105"/>
          <w:sz w:val="14"/>
        </w:rPr>
        <w:t>o</w:t>
      </w:r>
      <w:r>
        <w:rPr>
          <w:spacing w:val="-4"/>
          <w:w w:val="105"/>
          <w:sz w:val="14"/>
        </w:rPr>
        <w:t xml:space="preserve"> </w:t>
      </w:r>
      <w:r>
        <w:rPr>
          <w:w w:val="105"/>
          <w:sz w:val="14"/>
        </w:rPr>
        <w:t>étnica.</w:t>
      </w:r>
      <w:r>
        <w:rPr>
          <w:spacing w:val="-4"/>
          <w:w w:val="105"/>
          <w:sz w:val="14"/>
        </w:rPr>
        <w:t xml:space="preserve"> </w:t>
      </w:r>
      <w:proofErr w:type="spellStart"/>
      <w:r>
        <w:rPr>
          <w:w w:val="105"/>
          <w:sz w:val="14"/>
        </w:rPr>
        <w:t>Jersild</w:t>
      </w:r>
      <w:proofErr w:type="spellEnd"/>
      <w:r>
        <w:rPr>
          <w:spacing w:val="-4"/>
          <w:w w:val="105"/>
          <w:sz w:val="14"/>
        </w:rPr>
        <w:t xml:space="preserve"> </w:t>
      </w:r>
      <w:r>
        <w:rPr>
          <w:w w:val="105"/>
          <w:sz w:val="14"/>
        </w:rPr>
        <w:t>impugnó</w:t>
      </w:r>
      <w:r>
        <w:rPr>
          <w:spacing w:val="-4"/>
          <w:w w:val="105"/>
          <w:sz w:val="14"/>
        </w:rPr>
        <w:t xml:space="preserve"> </w:t>
      </w:r>
      <w:r>
        <w:rPr>
          <w:w w:val="105"/>
          <w:sz w:val="14"/>
        </w:rPr>
        <w:t>las</w:t>
      </w:r>
      <w:r>
        <w:rPr>
          <w:spacing w:val="-4"/>
          <w:w w:val="105"/>
          <w:sz w:val="14"/>
        </w:rPr>
        <w:t xml:space="preserve"> </w:t>
      </w:r>
      <w:r>
        <w:rPr>
          <w:w w:val="105"/>
          <w:sz w:val="14"/>
        </w:rPr>
        <w:t>multas</w:t>
      </w:r>
      <w:r>
        <w:rPr>
          <w:spacing w:val="-5"/>
          <w:w w:val="105"/>
          <w:sz w:val="14"/>
        </w:rPr>
        <w:t xml:space="preserve"> </w:t>
      </w:r>
      <w:r>
        <w:rPr>
          <w:w w:val="105"/>
          <w:sz w:val="14"/>
        </w:rPr>
        <w:t>y</w:t>
      </w:r>
      <w:r>
        <w:rPr>
          <w:spacing w:val="-4"/>
          <w:w w:val="105"/>
          <w:sz w:val="14"/>
        </w:rPr>
        <w:t xml:space="preserve"> </w:t>
      </w:r>
      <w:r>
        <w:rPr>
          <w:w w:val="105"/>
          <w:sz w:val="14"/>
        </w:rPr>
        <w:t>señaló</w:t>
      </w:r>
      <w:r>
        <w:rPr>
          <w:spacing w:val="-4"/>
          <w:w w:val="105"/>
          <w:sz w:val="14"/>
        </w:rPr>
        <w:t xml:space="preserve"> </w:t>
      </w:r>
      <w:r>
        <w:rPr>
          <w:w w:val="105"/>
          <w:sz w:val="14"/>
        </w:rPr>
        <w:t>que</w:t>
      </w:r>
      <w:r>
        <w:rPr>
          <w:spacing w:val="-4"/>
          <w:w w:val="105"/>
          <w:sz w:val="14"/>
        </w:rPr>
        <w:t xml:space="preserve"> </w:t>
      </w:r>
      <w:r>
        <w:rPr>
          <w:w w:val="105"/>
          <w:sz w:val="14"/>
        </w:rPr>
        <w:t>el</w:t>
      </w:r>
      <w:r>
        <w:rPr>
          <w:spacing w:val="-4"/>
          <w:w w:val="105"/>
          <w:sz w:val="14"/>
        </w:rPr>
        <w:t xml:space="preserve"> </w:t>
      </w:r>
      <w:r>
        <w:rPr>
          <w:w w:val="105"/>
          <w:sz w:val="14"/>
        </w:rPr>
        <w:t>papel</w:t>
      </w:r>
      <w:r>
        <w:rPr>
          <w:spacing w:val="-4"/>
          <w:w w:val="105"/>
          <w:sz w:val="14"/>
        </w:rPr>
        <w:t xml:space="preserve"> </w:t>
      </w:r>
      <w:r>
        <w:rPr>
          <w:w w:val="105"/>
          <w:sz w:val="14"/>
        </w:rPr>
        <w:t>de</w:t>
      </w:r>
      <w:r>
        <w:rPr>
          <w:spacing w:val="-4"/>
          <w:w w:val="105"/>
          <w:sz w:val="14"/>
        </w:rPr>
        <w:t xml:space="preserve"> </w:t>
      </w:r>
      <w:r>
        <w:rPr>
          <w:w w:val="105"/>
          <w:sz w:val="14"/>
        </w:rPr>
        <w:t>los periodistas</w:t>
      </w:r>
      <w:r>
        <w:rPr>
          <w:spacing w:val="-6"/>
          <w:w w:val="105"/>
          <w:sz w:val="14"/>
        </w:rPr>
        <w:t xml:space="preserve"> </w:t>
      </w:r>
      <w:r>
        <w:rPr>
          <w:w w:val="105"/>
          <w:sz w:val="14"/>
        </w:rPr>
        <w:t>y</w:t>
      </w:r>
      <w:r>
        <w:rPr>
          <w:spacing w:val="-5"/>
          <w:w w:val="105"/>
          <w:sz w:val="14"/>
        </w:rPr>
        <w:t xml:space="preserve"> </w:t>
      </w:r>
      <w:r>
        <w:rPr>
          <w:w w:val="105"/>
          <w:sz w:val="14"/>
        </w:rPr>
        <w:t>los</w:t>
      </w:r>
      <w:r>
        <w:rPr>
          <w:spacing w:val="-5"/>
          <w:w w:val="105"/>
          <w:sz w:val="14"/>
        </w:rPr>
        <w:t xml:space="preserve"> </w:t>
      </w:r>
      <w:r>
        <w:rPr>
          <w:w w:val="105"/>
          <w:sz w:val="14"/>
        </w:rPr>
        <w:t>medios</w:t>
      </w:r>
      <w:r>
        <w:rPr>
          <w:spacing w:val="-5"/>
          <w:w w:val="105"/>
          <w:sz w:val="14"/>
        </w:rPr>
        <w:t xml:space="preserve"> </w:t>
      </w:r>
      <w:r>
        <w:rPr>
          <w:w w:val="105"/>
          <w:sz w:val="14"/>
        </w:rPr>
        <w:t>de</w:t>
      </w:r>
      <w:r>
        <w:rPr>
          <w:spacing w:val="-5"/>
          <w:w w:val="105"/>
          <w:sz w:val="14"/>
        </w:rPr>
        <w:t xml:space="preserve"> </w:t>
      </w:r>
      <w:r>
        <w:rPr>
          <w:w w:val="105"/>
          <w:sz w:val="14"/>
        </w:rPr>
        <w:t>comunicación</w:t>
      </w:r>
      <w:r>
        <w:rPr>
          <w:spacing w:val="-5"/>
          <w:w w:val="105"/>
          <w:sz w:val="14"/>
        </w:rPr>
        <w:t xml:space="preserve"> </w:t>
      </w:r>
      <w:r>
        <w:rPr>
          <w:w w:val="105"/>
          <w:sz w:val="14"/>
        </w:rPr>
        <w:t>era</w:t>
      </w:r>
      <w:r>
        <w:rPr>
          <w:spacing w:val="-5"/>
          <w:w w:val="105"/>
          <w:sz w:val="14"/>
        </w:rPr>
        <w:t xml:space="preserve"> </w:t>
      </w:r>
      <w:r>
        <w:rPr>
          <w:w w:val="105"/>
          <w:sz w:val="14"/>
        </w:rPr>
        <w:t>documentar</w:t>
      </w:r>
      <w:r>
        <w:rPr>
          <w:spacing w:val="-6"/>
          <w:w w:val="105"/>
          <w:sz w:val="14"/>
        </w:rPr>
        <w:t xml:space="preserve"> </w:t>
      </w:r>
      <w:r>
        <w:rPr>
          <w:w w:val="105"/>
          <w:sz w:val="14"/>
        </w:rPr>
        <w:t>y</w:t>
      </w:r>
      <w:r>
        <w:rPr>
          <w:spacing w:val="-5"/>
          <w:w w:val="105"/>
          <w:sz w:val="14"/>
        </w:rPr>
        <w:t xml:space="preserve"> </w:t>
      </w:r>
      <w:r>
        <w:rPr>
          <w:w w:val="105"/>
          <w:sz w:val="14"/>
        </w:rPr>
        <w:t>llamar</w:t>
      </w:r>
      <w:r>
        <w:rPr>
          <w:spacing w:val="-5"/>
          <w:w w:val="105"/>
          <w:sz w:val="14"/>
        </w:rPr>
        <w:t xml:space="preserve"> </w:t>
      </w:r>
      <w:r>
        <w:rPr>
          <w:w w:val="105"/>
          <w:sz w:val="14"/>
        </w:rPr>
        <w:t>la</w:t>
      </w:r>
      <w:r>
        <w:rPr>
          <w:spacing w:val="-5"/>
          <w:w w:val="105"/>
          <w:sz w:val="14"/>
        </w:rPr>
        <w:t xml:space="preserve"> </w:t>
      </w:r>
      <w:r>
        <w:rPr>
          <w:w w:val="105"/>
          <w:sz w:val="14"/>
        </w:rPr>
        <w:t>atención</w:t>
      </w:r>
      <w:r>
        <w:rPr>
          <w:spacing w:val="-5"/>
          <w:w w:val="105"/>
          <w:sz w:val="14"/>
        </w:rPr>
        <w:t xml:space="preserve"> </w:t>
      </w:r>
      <w:r>
        <w:rPr>
          <w:w w:val="105"/>
          <w:sz w:val="14"/>
        </w:rPr>
        <w:t>sobre</w:t>
      </w:r>
      <w:r>
        <w:rPr>
          <w:spacing w:val="-5"/>
          <w:w w:val="105"/>
          <w:sz w:val="14"/>
        </w:rPr>
        <w:t xml:space="preserve"> </w:t>
      </w:r>
      <w:r>
        <w:rPr>
          <w:w w:val="105"/>
          <w:sz w:val="14"/>
        </w:rPr>
        <w:t>problemas</w:t>
      </w:r>
      <w:r>
        <w:rPr>
          <w:spacing w:val="-5"/>
          <w:w w:val="105"/>
          <w:sz w:val="14"/>
        </w:rPr>
        <w:t xml:space="preserve"> </w:t>
      </w:r>
      <w:r>
        <w:rPr>
          <w:w w:val="105"/>
          <w:sz w:val="14"/>
        </w:rPr>
        <w:t>graves</w:t>
      </w:r>
      <w:r>
        <w:rPr>
          <w:spacing w:val="-5"/>
          <w:w w:val="105"/>
          <w:sz w:val="14"/>
        </w:rPr>
        <w:t xml:space="preserve"> </w:t>
      </w:r>
      <w:r>
        <w:rPr>
          <w:w w:val="105"/>
          <w:sz w:val="14"/>
        </w:rPr>
        <w:t>de</w:t>
      </w:r>
      <w:r>
        <w:rPr>
          <w:spacing w:val="-5"/>
          <w:w w:val="105"/>
          <w:sz w:val="14"/>
        </w:rPr>
        <w:t xml:space="preserve"> </w:t>
      </w:r>
      <w:r>
        <w:rPr>
          <w:w w:val="105"/>
          <w:sz w:val="14"/>
        </w:rPr>
        <w:t>la</w:t>
      </w:r>
      <w:r>
        <w:rPr>
          <w:spacing w:val="-5"/>
          <w:w w:val="105"/>
          <w:sz w:val="14"/>
        </w:rPr>
        <w:t xml:space="preserve"> </w:t>
      </w:r>
      <w:r>
        <w:rPr>
          <w:w w:val="105"/>
          <w:sz w:val="14"/>
        </w:rPr>
        <w:t>sociedad.</w:t>
      </w:r>
      <w:r>
        <w:rPr>
          <w:spacing w:val="-5"/>
          <w:w w:val="105"/>
          <w:sz w:val="14"/>
        </w:rPr>
        <w:t xml:space="preserve"> </w:t>
      </w:r>
      <w:r>
        <w:rPr>
          <w:w w:val="105"/>
          <w:sz w:val="14"/>
        </w:rPr>
        <w:t>Fallando</w:t>
      </w:r>
      <w:r>
        <w:rPr>
          <w:spacing w:val="-5"/>
          <w:w w:val="105"/>
          <w:sz w:val="14"/>
        </w:rPr>
        <w:t xml:space="preserve"> </w:t>
      </w:r>
      <w:r>
        <w:rPr>
          <w:w w:val="105"/>
          <w:sz w:val="14"/>
        </w:rPr>
        <w:t>a</w:t>
      </w:r>
      <w:r>
        <w:rPr>
          <w:spacing w:val="-5"/>
          <w:w w:val="105"/>
          <w:sz w:val="14"/>
        </w:rPr>
        <w:t xml:space="preserve"> </w:t>
      </w:r>
      <w:r>
        <w:rPr>
          <w:w w:val="105"/>
          <w:sz w:val="14"/>
        </w:rPr>
        <w:t>favor</w:t>
      </w:r>
      <w:r>
        <w:rPr>
          <w:spacing w:val="-5"/>
          <w:w w:val="105"/>
          <w:sz w:val="14"/>
        </w:rPr>
        <w:t xml:space="preserve"> </w:t>
      </w:r>
      <w:r>
        <w:rPr>
          <w:w w:val="105"/>
          <w:sz w:val="14"/>
        </w:rPr>
        <w:t>del</w:t>
      </w:r>
      <w:r>
        <w:rPr>
          <w:spacing w:val="-5"/>
          <w:w w:val="105"/>
          <w:sz w:val="14"/>
        </w:rPr>
        <w:t xml:space="preserve"> </w:t>
      </w:r>
      <w:r>
        <w:rPr>
          <w:w w:val="105"/>
          <w:sz w:val="14"/>
        </w:rPr>
        <w:t xml:space="preserve">Sr. </w:t>
      </w:r>
      <w:proofErr w:type="spellStart"/>
      <w:r>
        <w:rPr>
          <w:w w:val="105"/>
          <w:sz w:val="14"/>
        </w:rPr>
        <w:t>Jersild</w:t>
      </w:r>
      <w:proofErr w:type="spellEnd"/>
      <w:r>
        <w:rPr>
          <w:spacing w:val="-7"/>
          <w:w w:val="105"/>
          <w:sz w:val="14"/>
        </w:rPr>
        <w:t xml:space="preserve"> </w:t>
      </w:r>
      <w:r>
        <w:rPr>
          <w:w w:val="105"/>
          <w:sz w:val="14"/>
        </w:rPr>
        <w:t>–</w:t>
      </w:r>
      <w:r>
        <w:rPr>
          <w:spacing w:val="-7"/>
          <w:w w:val="105"/>
          <w:sz w:val="14"/>
        </w:rPr>
        <w:t xml:space="preserve"> </w:t>
      </w:r>
      <w:r>
        <w:rPr>
          <w:w w:val="105"/>
          <w:sz w:val="14"/>
        </w:rPr>
        <w:t>y</w:t>
      </w:r>
      <w:r>
        <w:rPr>
          <w:spacing w:val="-7"/>
          <w:w w:val="105"/>
          <w:sz w:val="14"/>
        </w:rPr>
        <w:t xml:space="preserve"> </w:t>
      </w:r>
      <w:r>
        <w:rPr>
          <w:w w:val="105"/>
          <w:sz w:val="14"/>
        </w:rPr>
        <w:t>anulando</w:t>
      </w:r>
      <w:r>
        <w:rPr>
          <w:spacing w:val="-7"/>
          <w:w w:val="105"/>
          <w:sz w:val="14"/>
        </w:rPr>
        <w:t xml:space="preserve"> </w:t>
      </w:r>
      <w:r>
        <w:rPr>
          <w:w w:val="105"/>
          <w:sz w:val="14"/>
        </w:rPr>
        <w:t>las</w:t>
      </w:r>
      <w:r>
        <w:rPr>
          <w:spacing w:val="-7"/>
          <w:w w:val="105"/>
          <w:sz w:val="14"/>
        </w:rPr>
        <w:t xml:space="preserve"> </w:t>
      </w:r>
      <w:r>
        <w:rPr>
          <w:w w:val="105"/>
          <w:sz w:val="14"/>
        </w:rPr>
        <w:t>multas</w:t>
      </w:r>
      <w:r>
        <w:rPr>
          <w:spacing w:val="-7"/>
          <w:w w:val="105"/>
          <w:sz w:val="14"/>
        </w:rPr>
        <w:t xml:space="preserve"> </w:t>
      </w:r>
      <w:r>
        <w:rPr>
          <w:w w:val="105"/>
          <w:sz w:val="14"/>
        </w:rPr>
        <w:t>–</w:t>
      </w:r>
      <w:r>
        <w:rPr>
          <w:spacing w:val="-7"/>
          <w:w w:val="105"/>
          <w:sz w:val="14"/>
        </w:rPr>
        <w:t xml:space="preserve"> </w:t>
      </w:r>
      <w:r>
        <w:rPr>
          <w:w w:val="105"/>
          <w:sz w:val="14"/>
        </w:rPr>
        <w:t>el</w:t>
      </w:r>
      <w:r>
        <w:rPr>
          <w:spacing w:val="-7"/>
          <w:w w:val="105"/>
          <w:sz w:val="14"/>
        </w:rPr>
        <w:t xml:space="preserve"> </w:t>
      </w:r>
      <w:r>
        <w:rPr>
          <w:w w:val="105"/>
          <w:sz w:val="14"/>
        </w:rPr>
        <w:t>Tribunal</w:t>
      </w:r>
      <w:r>
        <w:rPr>
          <w:spacing w:val="-7"/>
          <w:w w:val="105"/>
          <w:sz w:val="14"/>
        </w:rPr>
        <w:t xml:space="preserve"> </w:t>
      </w:r>
      <w:r>
        <w:rPr>
          <w:w w:val="105"/>
          <w:sz w:val="14"/>
        </w:rPr>
        <w:t>Europeo</w:t>
      </w:r>
      <w:r>
        <w:rPr>
          <w:spacing w:val="-7"/>
          <w:w w:val="105"/>
          <w:sz w:val="14"/>
        </w:rPr>
        <w:t xml:space="preserve"> </w:t>
      </w:r>
      <w:r>
        <w:rPr>
          <w:w w:val="105"/>
          <w:sz w:val="14"/>
        </w:rPr>
        <w:t>de</w:t>
      </w:r>
      <w:r>
        <w:rPr>
          <w:spacing w:val="-7"/>
          <w:w w:val="105"/>
          <w:sz w:val="14"/>
        </w:rPr>
        <w:t xml:space="preserve"> </w:t>
      </w:r>
      <w:r>
        <w:rPr>
          <w:w w:val="105"/>
          <w:sz w:val="14"/>
        </w:rPr>
        <w:t>Derechos</w:t>
      </w:r>
      <w:r>
        <w:rPr>
          <w:spacing w:val="-7"/>
          <w:w w:val="105"/>
          <w:sz w:val="14"/>
        </w:rPr>
        <w:t xml:space="preserve"> </w:t>
      </w:r>
      <w:r>
        <w:rPr>
          <w:w w:val="105"/>
          <w:sz w:val="14"/>
        </w:rPr>
        <w:t>Humanos,</w:t>
      </w:r>
      <w:r>
        <w:rPr>
          <w:spacing w:val="-7"/>
          <w:w w:val="105"/>
          <w:sz w:val="14"/>
        </w:rPr>
        <w:t xml:space="preserve"> </w:t>
      </w:r>
      <w:r>
        <w:rPr>
          <w:w w:val="105"/>
          <w:sz w:val="14"/>
        </w:rPr>
        <w:t>entre</w:t>
      </w:r>
      <w:r>
        <w:rPr>
          <w:spacing w:val="-7"/>
          <w:w w:val="105"/>
          <w:sz w:val="14"/>
        </w:rPr>
        <w:t xml:space="preserve"> </w:t>
      </w:r>
      <w:r>
        <w:rPr>
          <w:w w:val="105"/>
          <w:sz w:val="14"/>
        </w:rPr>
        <w:t>otras</w:t>
      </w:r>
      <w:r>
        <w:rPr>
          <w:spacing w:val="-7"/>
          <w:w w:val="105"/>
          <w:sz w:val="14"/>
        </w:rPr>
        <w:t xml:space="preserve"> </w:t>
      </w:r>
      <w:r>
        <w:rPr>
          <w:w w:val="105"/>
          <w:sz w:val="14"/>
        </w:rPr>
        <w:t>cosas,</w:t>
      </w:r>
      <w:r>
        <w:rPr>
          <w:spacing w:val="-7"/>
          <w:w w:val="105"/>
          <w:sz w:val="14"/>
        </w:rPr>
        <w:t xml:space="preserve"> </w:t>
      </w:r>
      <w:r>
        <w:rPr>
          <w:w w:val="105"/>
          <w:sz w:val="14"/>
        </w:rPr>
        <w:t>reafirmó</w:t>
      </w:r>
      <w:r>
        <w:rPr>
          <w:spacing w:val="-7"/>
          <w:w w:val="105"/>
          <w:sz w:val="14"/>
        </w:rPr>
        <w:t xml:space="preserve"> </w:t>
      </w:r>
      <w:r>
        <w:rPr>
          <w:w w:val="105"/>
          <w:sz w:val="14"/>
        </w:rPr>
        <w:t>el</w:t>
      </w:r>
      <w:r>
        <w:rPr>
          <w:spacing w:val="-7"/>
          <w:w w:val="105"/>
          <w:sz w:val="14"/>
        </w:rPr>
        <w:t xml:space="preserve"> </w:t>
      </w:r>
      <w:r>
        <w:rPr>
          <w:w w:val="105"/>
          <w:sz w:val="14"/>
        </w:rPr>
        <w:t>papel</w:t>
      </w:r>
      <w:r>
        <w:rPr>
          <w:spacing w:val="-7"/>
          <w:w w:val="105"/>
          <w:sz w:val="14"/>
        </w:rPr>
        <w:t xml:space="preserve"> </w:t>
      </w:r>
      <w:r>
        <w:rPr>
          <w:w w:val="105"/>
          <w:sz w:val="14"/>
        </w:rPr>
        <w:t>particular</w:t>
      </w:r>
      <w:r>
        <w:rPr>
          <w:spacing w:val="-7"/>
          <w:w w:val="105"/>
          <w:sz w:val="14"/>
        </w:rPr>
        <w:t xml:space="preserve"> </w:t>
      </w:r>
      <w:r>
        <w:rPr>
          <w:w w:val="105"/>
          <w:sz w:val="14"/>
        </w:rPr>
        <w:t>de</w:t>
      </w:r>
      <w:r>
        <w:rPr>
          <w:spacing w:val="-7"/>
          <w:w w:val="105"/>
          <w:sz w:val="14"/>
        </w:rPr>
        <w:t xml:space="preserve"> </w:t>
      </w:r>
      <w:r>
        <w:rPr>
          <w:w w:val="105"/>
          <w:sz w:val="14"/>
        </w:rPr>
        <w:t>los</w:t>
      </w:r>
      <w:r>
        <w:rPr>
          <w:spacing w:val="-7"/>
          <w:w w:val="105"/>
          <w:sz w:val="14"/>
        </w:rPr>
        <w:t xml:space="preserve"> </w:t>
      </w:r>
      <w:r>
        <w:rPr>
          <w:w w:val="105"/>
          <w:sz w:val="14"/>
        </w:rPr>
        <w:t>periodistas</w:t>
      </w:r>
      <w:r>
        <w:rPr>
          <w:spacing w:val="-7"/>
          <w:w w:val="105"/>
          <w:sz w:val="14"/>
        </w:rPr>
        <w:t xml:space="preserve"> </w:t>
      </w:r>
      <w:r>
        <w:rPr>
          <w:w w:val="105"/>
          <w:sz w:val="14"/>
        </w:rPr>
        <w:t>y los</w:t>
      </w:r>
      <w:r>
        <w:rPr>
          <w:spacing w:val="-8"/>
          <w:w w:val="105"/>
          <w:sz w:val="14"/>
        </w:rPr>
        <w:t xml:space="preserve"> </w:t>
      </w:r>
      <w:r>
        <w:rPr>
          <w:w w:val="105"/>
          <w:sz w:val="14"/>
        </w:rPr>
        <w:t>medios</w:t>
      </w:r>
      <w:r>
        <w:rPr>
          <w:spacing w:val="-8"/>
          <w:w w:val="105"/>
          <w:sz w:val="14"/>
        </w:rPr>
        <w:t xml:space="preserve"> </w:t>
      </w:r>
      <w:r>
        <w:rPr>
          <w:w w:val="105"/>
          <w:sz w:val="14"/>
        </w:rPr>
        <w:t>de</w:t>
      </w:r>
      <w:r>
        <w:rPr>
          <w:spacing w:val="-8"/>
          <w:w w:val="105"/>
          <w:sz w:val="14"/>
        </w:rPr>
        <w:t xml:space="preserve"> </w:t>
      </w:r>
      <w:r>
        <w:rPr>
          <w:w w:val="105"/>
          <w:sz w:val="14"/>
        </w:rPr>
        <w:t>comunicación</w:t>
      </w:r>
      <w:r>
        <w:rPr>
          <w:spacing w:val="-8"/>
          <w:w w:val="105"/>
          <w:sz w:val="14"/>
        </w:rPr>
        <w:t xml:space="preserve"> </w:t>
      </w:r>
      <w:r>
        <w:rPr>
          <w:w w:val="105"/>
          <w:sz w:val="14"/>
        </w:rPr>
        <w:t>para</w:t>
      </w:r>
      <w:r>
        <w:rPr>
          <w:spacing w:val="-8"/>
          <w:w w:val="105"/>
          <w:sz w:val="14"/>
        </w:rPr>
        <w:t xml:space="preserve"> </w:t>
      </w:r>
      <w:r>
        <w:rPr>
          <w:w w:val="105"/>
          <w:sz w:val="14"/>
        </w:rPr>
        <w:t>llamar</w:t>
      </w:r>
      <w:r>
        <w:rPr>
          <w:spacing w:val="-8"/>
          <w:w w:val="105"/>
          <w:sz w:val="14"/>
        </w:rPr>
        <w:t xml:space="preserve"> </w:t>
      </w:r>
      <w:r>
        <w:rPr>
          <w:w w:val="105"/>
          <w:sz w:val="14"/>
        </w:rPr>
        <w:t>la</w:t>
      </w:r>
      <w:r>
        <w:rPr>
          <w:spacing w:val="-8"/>
          <w:w w:val="105"/>
          <w:sz w:val="14"/>
        </w:rPr>
        <w:t xml:space="preserve"> </w:t>
      </w:r>
      <w:r>
        <w:rPr>
          <w:w w:val="105"/>
          <w:sz w:val="14"/>
        </w:rPr>
        <w:t>atención</w:t>
      </w:r>
      <w:r>
        <w:rPr>
          <w:spacing w:val="-8"/>
          <w:w w:val="105"/>
          <w:sz w:val="14"/>
        </w:rPr>
        <w:t xml:space="preserve"> </w:t>
      </w:r>
      <w:r>
        <w:rPr>
          <w:w w:val="105"/>
          <w:sz w:val="14"/>
        </w:rPr>
        <w:t>del</w:t>
      </w:r>
      <w:r>
        <w:rPr>
          <w:spacing w:val="-8"/>
          <w:w w:val="105"/>
          <w:sz w:val="14"/>
        </w:rPr>
        <w:t xml:space="preserve"> </w:t>
      </w:r>
      <w:r>
        <w:rPr>
          <w:w w:val="105"/>
          <w:sz w:val="14"/>
        </w:rPr>
        <w:t>público</w:t>
      </w:r>
      <w:r>
        <w:rPr>
          <w:spacing w:val="-8"/>
          <w:w w:val="105"/>
          <w:sz w:val="14"/>
        </w:rPr>
        <w:t xml:space="preserve"> </w:t>
      </w:r>
      <w:r>
        <w:rPr>
          <w:w w:val="105"/>
          <w:sz w:val="14"/>
        </w:rPr>
        <w:t>sobre</w:t>
      </w:r>
      <w:r>
        <w:rPr>
          <w:spacing w:val="-8"/>
          <w:w w:val="105"/>
          <w:sz w:val="14"/>
        </w:rPr>
        <w:t xml:space="preserve"> </w:t>
      </w:r>
      <w:r>
        <w:rPr>
          <w:w w:val="105"/>
          <w:sz w:val="14"/>
        </w:rPr>
        <w:t>problemas</w:t>
      </w:r>
      <w:r>
        <w:rPr>
          <w:spacing w:val="-8"/>
          <w:w w:val="105"/>
          <w:sz w:val="14"/>
        </w:rPr>
        <w:t xml:space="preserve"> </w:t>
      </w:r>
      <w:r>
        <w:rPr>
          <w:w w:val="105"/>
          <w:sz w:val="14"/>
        </w:rPr>
        <w:t>graves</w:t>
      </w:r>
      <w:r>
        <w:rPr>
          <w:spacing w:val="-8"/>
          <w:w w:val="105"/>
          <w:sz w:val="14"/>
        </w:rPr>
        <w:t xml:space="preserve"> </w:t>
      </w:r>
      <w:r>
        <w:rPr>
          <w:w w:val="105"/>
          <w:sz w:val="14"/>
        </w:rPr>
        <w:t>de</w:t>
      </w:r>
      <w:r>
        <w:rPr>
          <w:spacing w:val="-8"/>
          <w:w w:val="105"/>
          <w:sz w:val="14"/>
        </w:rPr>
        <w:t xml:space="preserve"> </w:t>
      </w:r>
      <w:r>
        <w:rPr>
          <w:w w:val="105"/>
          <w:sz w:val="14"/>
        </w:rPr>
        <w:t>la</w:t>
      </w:r>
      <w:r>
        <w:rPr>
          <w:spacing w:val="-8"/>
          <w:w w:val="105"/>
          <w:sz w:val="14"/>
        </w:rPr>
        <w:t xml:space="preserve"> </w:t>
      </w:r>
      <w:r>
        <w:rPr>
          <w:w w:val="105"/>
          <w:sz w:val="14"/>
        </w:rPr>
        <w:t>sociedad.1176</w:t>
      </w:r>
      <w:r>
        <w:rPr>
          <w:spacing w:val="-8"/>
          <w:w w:val="105"/>
          <w:sz w:val="14"/>
        </w:rPr>
        <w:t xml:space="preserve"> </w:t>
      </w:r>
      <w:r>
        <w:rPr>
          <w:w w:val="105"/>
          <w:sz w:val="14"/>
        </w:rPr>
        <w:t>La</w:t>
      </w:r>
      <w:r>
        <w:rPr>
          <w:spacing w:val="-8"/>
          <w:w w:val="105"/>
          <w:sz w:val="14"/>
        </w:rPr>
        <w:t xml:space="preserve"> </w:t>
      </w:r>
      <w:r>
        <w:rPr>
          <w:w w:val="105"/>
          <w:sz w:val="14"/>
        </w:rPr>
        <w:t>presencia</w:t>
      </w:r>
      <w:r>
        <w:rPr>
          <w:spacing w:val="-8"/>
          <w:w w:val="105"/>
          <w:sz w:val="14"/>
        </w:rPr>
        <w:t xml:space="preserve"> </w:t>
      </w:r>
      <w:r>
        <w:rPr>
          <w:w w:val="105"/>
          <w:sz w:val="14"/>
        </w:rPr>
        <w:t>de</w:t>
      </w:r>
      <w:r>
        <w:rPr>
          <w:spacing w:val="-8"/>
          <w:w w:val="105"/>
          <w:sz w:val="14"/>
        </w:rPr>
        <w:t xml:space="preserve"> </w:t>
      </w:r>
      <w:r>
        <w:rPr>
          <w:w w:val="105"/>
          <w:sz w:val="14"/>
        </w:rPr>
        <w:t>racistas</w:t>
      </w:r>
      <w:r>
        <w:rPr>
          <w:spacing w:val="-9"/>
          <w:w w:val="105"/>
          <w:sz w:val="14"/>
        </w:rPr>
        <w:t xml:space="preserve"> </w:t>
      </w:r>
      <w:r>
        <w:rPr>
          <w:w w:val="105"/>
          <w:sz w:val="14"/>
        </w:rPr>
        <w:t>violentos en una sociedad parecería ejemplar en este sentido. Un acercamiento</w:t>
      </w:r>
    </w:p>
    <w:p w14:paraId="03267AEF" w14:textId="77777777" w:rsidR="0014798C" w:rsidRDefault="0014798C">
      <w:pPr>
        <w:pStyle w:val="Textoindependiente"/>
        <w:rPr>
          <w:sz w:val="20"/>
        </w:rPr>
      </w:pPr>
    </w:p>
    <w:p w14:paraId="7646E163" w14:textId="77777777" w:rsidR="0014798C" w:rsidRDefault="0014798C">
      <w:pPr>
        <w:pStyle w:val="Textoindependiente"/>
        <w:rPr>
          <w:sz w:val="20"/>
        </w:rPr>
      </w:pPr>
    </w:p>
    <w:p w14:paraId="18418682" w14:textId="77777777" w:rsidR="0014798C" w:rsidRDefault="004E1F0B">
      <w:pPr>
        <w:pStyle w:val="Textoindependiente"/>
        <w:spacing w:before="130"/>
        <w:rPr>
          <w:sz w:val="20"/>
        </w:rPr>
      </w:pPr>
      <w:r>
        <w:rPr>
          <w:noProof/>
        </w:rPr>
        <w:drawing>
          <wp:anchor distT="0" distB="0" distL="0" distR="0" simplePos="0" relativeHeight="251658560" behindDoc="1" locked="0" layoutInCell="1" allowOverlap="1" wp14:anchorId="59ACE3C5" wp14:editId="58AAECBC">
            <wp:simplePos x="0" y="0"/>
            <wp:positionH relativeFrom="page">
              <wp:posOffset>826632</wp:posOffset>
            </wp:positionH>
            <wp:positionV relativeFrom="paragraph">
              <wp:posOffset>244283</wp:posOffset>
            </wp:positionV>
            <wp:extent cx="931001" cy="35813"/>
            <wp:effectExtent l="0" t="0" r="0" b="0"/>
            <wp:wrapTopAndBottom/>
            <wp:docPr id="361" name="Image 36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61" name="Image 361"/>
                    <pic:cNvPicPr/>
                  </pic:nvPicPr>
                  <pic:blipFill>
                    <a:blip r:embed="rId135" cstate="print"/>
                    <a:stretch>
                      <a:fillRect/>
                    </a:stretch>
                  </pic:blipFill>
                  <pic:spPr>
                    <a:xfrm>
                      <a:off x="0" y="0"/>
                      <a:ext cx="931001" cy="35813"/>
                    </a:xfrm>
                    <a:prstGeom prst="rect">
                      <a:avLst/>
                    </a:prstGeom>
                  </pic:spPr>
                </pic:pic>
              </a:graphicData>
            </a:graphic>
          </wp:anchor>
        </w:drawing>
      </w:r>
    </w:p>
    <w:p w14:paraId="24D1F73B" w14:textId="77777777" w:rsidR="0014798C" w:rsidRDefault="0014798C">
      <w:pPr>
        <w:pStyle w:val="Textoindependiente"/>
        <w:spacing w:before="29"/>
        <w:rPr>
          <w:sz w:val="12"/>
        </w:rPr>
      </w:pPr>
    </w:p>
    <w:p w14:paraId="26064948" w14:textId="77777777" w:rsidR="0014798C" w:rsidRDefault="004E1F0B">
      <w:pPr>
        <w:spacing w:before="1"/>
        <w:ind w:left="1111"/>
        <w:rPr>
          <w:sz w:val="12"/>
        </w:rPr>
      </w:pPr>
      <w:r>
        <w:rPr>
          <w:sz w:val="12"/>
        </w:rPr>
        <w:t>1174</w:t>
      </w:r>
      <w:r>
        <w:rPr>
          <w:spacing w:val="6"/>
          <w:sz w:val="12"/>
        </w:rPr>
        <w:t xml:space="preserve"> </w:t>
      </w:r>
      <w:r>
        <w:rPr>
          <w:sz w:val="12"/>
        </w:rPr>
        <w:t>Comité</w:t>
      </w:r>
      <w:r>
        <w:rPr>
          <w:spacing w:val="6"/>
          <w:sz w:val="12"/>
        </w:rPr>
        <w:t xml:space="preserve"> </w:t>
      </w:r>
      <w:r>
        <w:rPr>
          <w:sz w:val="12"/>
        </w:rPr>
        <w:t>para</w:t>
      </w:r>
      <w:r>
        <w:rPr>
          <w:spacing w:val="6"/>
          <w:sz w:val="12"/>
        </w:rPr>
        <w:t xml:space="preserve"> </w:t>
      </w:r>
      <w:r>
        <w:rPr>
          <w:sz w:val="12"/>
        </w:rPr>
        <w:t>la</w:t>
      </w:r>
      <w:r>
        <w:rPr>
          <w:spacing w:val="6"/>
          <w:sz w:val="12"/>
        </w:rPr>
        <w:t xml:space="preserve"> </w:t>
      </w:r>
      <w:r>
        <w:rPr>
          <w:sz w:val="12"/>
        </w:rPr>
        <w:t>Eliminación</w:t>
      </w:r>
      <w:r>
        <w:rPr>
          <w:spacing w:val="6"/>
          <w:sz w:val="12"/>
        </w:rPr>
        <w:t xml:space="preserve"> </w:t>
      </w:r>
      <w:r>
        <w:rPr>
          <w:sz w:val="12"/>
        </w:rPr>
        <w:t>de</w:t>
      </w:r>
      <w:r>
        <w:rPr>
          <w:spacing w:val="6"/>
          <w:sz w:val="12"/>
        </w:rPr>
        <w:t xml:space="preserve"> </w:t>
      </w:r>
      <w:r>
        <w:rPr>
          <w:sz w:val="12"/>
        </w:rPr>
        <w:t>la</w:t>
      </w:r>
      <w:r>
        <w:rPr>
          <w:spacing w:val="7"/>
          <w:sz w:val="12"/>
        </w:rPr>
        <w:t xml:space="preserve"> </w:t>
      </w:r>
      <w:r>
        <w:rPr>
          <w:sz w:val="12"/>
        </w:rPr>
        <w:t>Discriminación</w:t>
      </w:r>
      <w:r>
        <w:rPr>
          <w:spacing w:val="6"/>
          <w:sz w:val="12"/>
        </w:rPr>
        <w:t xml:space="preserve"> </w:t>
      </w:r>
      <w:r>
        <w:rPr>
          <w:sz w:val="12"/>
        </w:rPr>
        <w:t>Racial,</w:t>
      </w:r>
      <w:r>
        <w:rPr>
          <w:spacing w:val="7"/>
          <w:sz w:val="12"/>
        </w:rPr>
        <w:t xml:space="preserve"> </w:t>
      </w:r>
      <w:r>
        <w:rPr>
          <w:sz w:val="12"/>
        </w:rPr>
        <w:t>Hagan</w:t>
      </w:r>
      <w:r>
        <w:rPr>
          <w:spacing w:val="6"/>
          <w:sz w:val="12"/>
        </w:rPr>
        <w:t xml:space="preserve"> </w:t>
      </w:r>
      <w:r>
        <w:rPr>
          <w:sz w:val="12"/>
        </w:rPr>
        <w:t>c.</w:t>
      </w:r>
      <w:r>
        <w:rPr>
          <w:spacing w:val="6"/>
          <w:sz w:val="12"/>
        </w:rPr>
        <w:t xml:space="preserve"> </w:t>
      </w:r>
      <w:r>
        <w:rPr>
          <w:sz w:val="12"/>
        </w:rPr>
        <w:t>Australia</w:t>
      </w:r>
      <w:r>
        <w:rPr>
          <w:spacing w:val="7"/>
          <w:sz w:val="12"/>
        </w:rPr>
        <w:t xml:space="preserve"> </w:t>
      </w:r>
      <w:r>
        <w:rPr>
          <w:sz w:val="12"/>
        </w:rPr>
        <w:t>(CERD/C/62/D/26/2002),</w:t>
      </w:r>
      <w:r>
        <w:rPr>
          <w:spacing w:val="7"/>
          <w:sz w:val="12"/>
        </w:rPr>
        <w:t xml:space="preserve"> </w:t>
      </w:r>
      <w:r>
        <w:rPr>
          <w:sz w:val="12"/>
        </w:rPr>
        <w:t>párr.</w:t>
      </w:r>
      <w:r>
        <w:rPr>
          <w:spacing w:val="7"/>
          <w:sz w:val="12"/>
        </w:rPr>
        <w:t xml:space="preserve"> </w:t>
      </w:r>
      <w:r>
        <w:rPr>
          <w:spacing w:val="-4"/>
          <w:sz w:val="12"/>
        </w:rPr>
        <w:t>7.3.</w:t>
      </w:r>
    </w:p>
    <w:p w14:paraId="5A36277F" w14:textId="77777777" w:rsidR="0014798C" w:rsidRDefault="004E1F0B">
      <w:pPr>
        <w:spacing w:before="98" w:line="312" w:lineRule="auto"/>
        <w:ind w:left="1366" w:right="1501" w:hanging="256"/>
        <w:rPr>
          <w:sz w:val="12"/>
        </w:rPr>
      </w:pPr>
      <w:r>
        <w:rPr>
          <w:w w:val="105"/>
          <w:sz w:val="12"/>
        </w:rPr>
        <w:t>1175</w:t>
      </w:r>
      <w:r>
        <w:rPr>
          <w:spacing w:val="-9"/>
          <w:w w:val="105"/>
          <w:sz w:val="12"/>
        </w:rPr>
        <w:t xml:space="preserve"> </w:t>
      </w:r>
      <w:r>
        <w:rPr>
          <w:w w:val="105"/>
          <w:sz w:val="12"/>
        </w:rPr>
        <w:t>Artículo</w:t>
      </w:r>
      <w:r>
        <w:rPr>
          <w:spacing w:val="-9"/>
          <w:w w:val="105"/>
          <w:sz w:val="12"/>
        </w:rPr>
        <w:t xml:space="preserve"> </w:t>
      </w:r>
      <w:r>
        <w:rPr>
          <w:w w:val="105"/>
          <w:sz w:val="12"/>
        </w:rPr>
        <w:t>19,</w:t>
      </w:r>
      <w:r>
        <w:rPr>
          <w:spacing w:val="-9"/>
          <w:w w:val="105"/>
          <w:sz w:val="12"/>
        </w:rPr>
        <w:t xml:space="preserve"> </w:t>
      </w:r>
      <w:r>
        <w:rPr>
          <w:w w:val="105"/>
          <w:sz w:val="12"/>
        </w:rPr>
        <w:t>“Discurso</w:t>
      </w:r>
      <w:r>
        <w:rPr>
          <w:spacing w:val="-8"/>
          <w:w w:val="105"/>
          <w:sz w:val="12"/>
        </w:rPr>
        <w:t xml:space="preserve"> </w:t>
      </w:r>
      <w:r>
        <w:rPr>
          <w:w w:val="105"/>
          <w:sz w:val="12"/>
        </w:rPr>
        <w:t>de</w:t>
      </w:r>
      <w:r>
        <w:rPr>
          <w:spacing w:val="-9"/>
          <w:w w:val="105"/>
          <w:sz w:val="12"/>
        </w:rPr>
        <w:t xml:space="preserve"> </w:t>
      </w:r>
      <w:r>
        <w:rPr>
          <w:w w:val="105"/>
          <w:sz w:val="12"/>
        </w:rPr>
        <w:t>odio”</w:t>
      </w:r>
      <w:r>
        <w:rPr>
          <w:spacing w:val="-9"/>
          <w:w w:val="105"/>
          <w:sz w:val="12"/>
        </w:rPr>
        <w:t xml:space="preserve"> </w:t>
      </w:r>
      <w:r>
        <w:rPr>
          <w:w w:val="105"/>
          <w:sz w:val="12"/>
        </w:rPr>
        <w:t>explicado:</w:t>
      </w:r>
      <w:r>
        <w:rPr>
          <w:spacing w:val="-9"/>
          <w:w w:val="105"/>
          <w:sz w:val="12"/>
        </w:rPr>
        <w:t xml:space="preserve"> </w:t>
      </w:r>
      <w:r>
        <w:rPr>
          <w:w w:val="105"/>
          <w:sz w:val="12"/>
        </w:rPr>
        <w:t>un</w:t>
      </w:r>
      <w:r>
        <w:rPr>
          <w:spacing w:val="-9"/>
          <w:w w:val="105"/>
          <w:sz w:val="12"/>
        </w:rPr>
        <w:t xml:space="preserve"> </w:t>
      </w:r>
      <w:r>
        <w:rPr>
          <w:w w:val="105"/>
          <w:sz w:val="12"/>
        </w:rPr>
        <w:t>conjunto</w:t>
      </w:r>
      <w:r>
        <w:rPr>
          <w:spacing w:val="-8"/>
          <w:w w:val="105"/>
          <w:sz w:val="12"/>
        </w:rPr>
        <w:t xml:space="preserve"> </w:t>
      </w:r>
      <w:r>
        <w:rPr>
          <w:w w:val="105"/>
          <w:sz w:val="12"/>
        </w:rPr>
        <w:t>de</w:t>
      </w:r>
      <w:r>
        <w:rPr>
          <w:spacing w:val="-9"/>
          <w:w w:val="105"/>
          <w:sz w:val="12"/>
        </w:rPr>
        <w:t xml:space="preserve"> </w:t>
      </w:r>
      <w:r>
        <w:rPr>
          <w:w w:val="105"/>
          <w:sz w:val="12"/>
        </w:rPr>
        <w:t>herramientas</w:t>
      </w:r>
      <w:r>
        <w:rPr>
          <w:spacing w:val="-9"/>
          <w:w w:val="105"/>
          <w:sz w:val="12"/>
        </w:rPr>
        <w:t xml:space="preserve"> </w:t>
      </w:r>
      <w:r>
        <w:rPr>
          <w:w w:val="105"/>
          <w:sz w:val="12"/>
        </w:rPr>
        <w:t>(Londres,</w:t>
      </w:r>
      <w:r>
        <w:rPr>
          <w:spacing w:val="-9"/>
          <w:w w:val="105"/>
          <w:sz w:val="12"/>
        </w:rPr>
        <w:t xml:space="preserve"> </w:t>
      </w:r>
      <w:r>
        <w:rPr>
          <w:w w:val="105"/>
          <w:sz w:val="12"/>
        </w:rPr>
        <w:t>2015),</w:t>
      </w:r>
      <w:r>
        <w:rPr>
          <w:spacing w:val="-8"/>
          <w:w w:val="105"/>
          <w:sz w:val="12"/>
        </w:rPr>
        <w:t xml:space="preserve"> </w:t>
      </w:r>
      <w:r>
        <w:rPr>
          <w:w w:val="105"/>
          <w:sz w:val="12"/>
        </w:rPr>
        <w:t>pág.</w:t>
      </w:r>
      <w:r>
        <w:rPr>
          <w:spacing w:val="-9"/>
          <w:w w:val="105"/>
          <w:sz w:val="12"/>
        </w:rPr>
        <w:t xml:space="preserve"> </w:t>
      </w:r>
      <w:r>
        <w:rPr>
          <w:w w:val="105"/>
          <w:sz w:val="12"/>
        </w:rPr>
        <w:t>78</w:t>
      </w:r>
      <w:r>
        <w:rPr>
          <w:spacing w:val="-9"/>
          <w:w w:val="105"/>
          <w:sz w:val="12"/>
        </w:rPr>
        <w:t xml:space="preserve"> </w:t>
      </w:r>
      <w:r>
        <w:rPr>
          <w:w w:val="105"/>
          <w:sz w:val="12"/>
        </w:rPr>
        <w:t>(nota</w:t>
      </w:r>
      <w:r>
        <w:rPr>
          <w:spacing w:val="-9"/>
          <w:w w:val="105"/>
          <w:sz w:val="12"/>
        </w:rPr>
        <w:t xml:space="preserve"> </w:t>
      </w:r>
      <w:r>
        <w:rPr>
          <w:w w:val="105"/>
          <w:sz w:val="12"/>
        </w:rPr>
        <w:t>a</w:t>
      </w:r>
      <w:r>
        <w:rPr>
          <w:spacing w:val="-8"/>
          <w:w w:val="105"/>
          <w:sz w:val="12"/>
        </w:rPr>
        <w:t xml:space="preserve"> </w:t>
      </w:r>
      <w:r>
        <w:rPr>
          <w:w w:val="105"/>
          <w:sz w:val="12"/>
        </w:rPr>
        <w:t>pie</w:t>
      </w:r>
      <w:r>
        <w:rPr>
          <w:spacing w:val="-9"/>
          <w:w w:val="105"/>
          <w:sz w:val="12"/>
        </w:rPr>
        <w:t xml:space="preserve"> </w:t>
      </w:r>
      <w:r>
        <w:rPr>
          <w:w w:val="105"/>
          <w:sz w:val="12"/>
        </w:rPr>
        <w:t>de</w:t>
      </w:r>
      <w:r>
        <w:rPr>
          <w:spacing w:val="-9"/>
          <w:w w:val="105"/>
          <w:sz w:val="12"/>
        </w:rPr>
        <w:t xml:space="preserve"> </w:t>
      </w:r>
      <w:r>
        <w:rPr>
          <w:w w:val="105"/>
          <w:sz w:val="12"/>
        </w:rPr>
        <w:t>página</w:t>
      </w:r>
      <w:r>
        <w:rPr>
          <w:spacing w:val="-9"/>
          <w:w w:val="105"/>
          <w:sz w:val="12"/>
        </w:rPr>
        <w:t xml:space="preserve"> </w:t>
      </w:r>
      <w:r>
        <w:rPr>
          <w:w w:val="105"/>
          <w:sz w:val="12"/>
        </w:rPr>
        <w:t>omitida).</w:t>
      </w:r>
      <w:r>
        <w:rPr>
          <w:spacing w:val="-8"/>
          <w:w w:val="105"/>
          <w:sz w:val="12"/>
        </w:rPr>
        <w:t xml:space="preserve"> </w:t>
      </w:r>
      <w:r w:rsidRPr="00537489">
        <w:rPr>
          <w:w w:val="105"/>
          <w:sz w:val="12"/>
          <w:lang w:val="en-US"/>
        </w:rPr>
        <w:t>Disponible</w:t>
      </w:r>
      <w:r w:rsidRPr="00537489">
        <w:rPr>
          <w:spacing w:val="-9"/>
          <w:w w:val="105"/>
          <w:sz w:val="12"/>
          <w:lang w:val="en-US"/>
        </w:rPr>
        <w:t xml:space="preserve"> </w:t>
      </w:r>
      <w:r w:rsidRPr="00537489">
        <w:rPr>
          <w:w w:val="105"/>
          <w:sz w:val="12"/>
          <w:lang w:val="en-US"/>
        </w:rPr>
        <w:t>en</w:t>
      </w:r>
      <w:r w:rsidRPr="00537489">
        <w:rPr>
          <w:spacing w:val="-9"/>
          <w:w w:val="105"/>
          <w:sz w:val="12"/>
          <w:lang w:val="en-US"/>
        </w:rPr>
        <w:t xml:space="preserve"> </w:t>
      </w:r>
      <w:r>
        <w:fldChar w:fldCharType="begin"/>
      </w:r>
      <w:r w:rsidRPr="00C666B0">
        <w:rPr>
          <w:lang w:val="en-US"/>
        </w:rPr>
        <w:instrText>HYPERLINK "http://www.article19.org/" \h</w:instrText>
      </w:r>
      <w:r>
        <w:fldChar w:fldCharType="separate"/>
      </w:r>
      <w:r w:rsidRPr="00537489">
        <w:rPr>
          <w:color w:val="0075BF"/>
          <w:w w:val="105"/>
          <w:sz w:val="12"/>
          <w:lang w:val="en-US"/>
        </w:rPr>
        <w:t>www.article19.org/</w:t>
      </w:r>
      <w:r>
        <w:fldChar w:fldCharType="end"/>
      </w:r>
      <w:r w:rsidRPr="00537489">
        <w:rPr>
          <w:color w:val="0075BF"/>
          <w:spacing w:val="40"/>
          <w:w w:val="105"/>
          <w:sz w:val="12"/>
          <w:lang w:val="en-US"/>
        </w:rPr>
        <w:t xml:space="preserve"> </w:t>
      </w:r>
      <w:r w:rsidRPr="00537489">
        <w:rPr>
          <w:color w:val="0075BF"/>
          <w:w w:val="105"/>
          <w:sz w:val="12"/>
          <w:lang w:val="en-US"/>
        </w:rPr>
        <w:t>resources/hate-speech-explained-a-toolkit.</w:t>
      </w:r>
      <w:r w:rsidRPr="00537489">
        <w:rPr>
          <w:color w:val="0075BF"/>
          <w:spacing w:val="-9"/>
          <w:w w:val="105"/>
          <w:sz w:val="12"/>
          <w:lang w:val="en-US"/>
        </w:rPr>
        <w:t xml:space="preserve"> </w:t>
      </w:r>
      <w:r>
        <w:rPr>
          <w:w w:val="105"/>
          <w:sz w:val="12"/>
        </w:rPr>
        <w:t>Véase</w:t>
      </w:r>
      <w:r>
        <w:rPr>
          <w:spacing w:val="-9"/>
          <w:w w:val="105"/>
          <w:sz w:val="12"/>
        </w:rPr>
        <w:t xml:space="preserve"> </w:t>
      </w:r>
      <w:r>
        <w:rPr>
          <w:w w:val="105"/>
          <w:sz w:val="12"/>
        </w:rPr>
        <w:t>también</w:t>
      </w:r>
      <w:r>
        <w:rPr>
          <w:spacing w:val="-9"/>
          <w:w w:val="105"/>
          <w:sz w:val="12"/>
        </w:rPr>
        <w:t xml:space="preserve"> </w:t>
      </w:r>
      <w:r>
        <w:rPr>
          <w:w w:val="105"/>
          <w:sz w:val="12"/>
        </w:rPr>
        <w:t>A/67/357,</w:t>
      </w:r>
      <w:r>
        <w:rPr>
          <w:spacing w:val="-8"/>
          <w:w w:val="105"/>
          <w:sz w:val="12"/>
        </w:rPr>
        <w:t xml:space="preserve"> </w:t>
      </w:r>
      <w:r>
        <w:rPr>
          <w:w w:val="105"/>
          <w:sz w:val="12"/>
        </w:rPr>
        <w:t>párr.</w:t>
      </w:r>
      <w:r>
        <w:rPr>
          <w:spacing w:val="-9"/>
          <w:w w:val="105"/>
          <w:sz w:val="12"/>
        </w:rPr>
        <w:t xml:space="preserve"> </w:t>
      </w:r>
      <w:r>
        <w:rPr>
          <w:w w:val="105"/>
          <w:sz w:val="12"/>
        </w:rPr>
        <w:t>45,</w:t>
      </w:r>
      <w:r>
        <w:rPr>
          <w:spacing w:val="-9"/>
          <w:w w:val="105"/>
          <w:sz w:val="12"/>
        </w:rPr>
        <w:t xml:space="preserve"> </w:t>
      </w:r>
      <w:r>
        <w:rPr>
          <w:w w:val="105"/>
          <w:sz w:val="12"/>
        </w:rPr>
        <w:t>refiriéndose</w:t>
      </w:r>
      <w:r>
        <w:rPr>
          <w:spacing w:val="-9"/>
          <w:w w:val="105"/>
          <w:sz w:val="12"/>
        </w:rPr>
        <w:t xml:space="preserve"> </w:t>
      </w:r>
      <w:r>
        <w:rPr>
          <w:w w:val="105"/>
          <w:sz w:val="12"/>
        </w:rPr>
        <w:t>a</w:t>
      </w:r>
      <w:r>
        <w:rPr>
          <w:spacing w:val="-9"/>
          <w:w w:val="105"/>
          <w:sz w:val="12"/>
        </w:rPr>
        <w:t xml:space="preserve"> </w:t>
      </w:r>
      <w:r>
        <w:rPr>
          <w:w w:val="105"/>
          <w:sz w:val="12"/>
        </w:rPr>
        <w:t>“la</w:t>
      </w:r>
      <w:r>
        <w:rPr>
          <w:spacing w:val="-8"/>
          <w:w w:val="105"/>
          <w:sz w:val="12"/>
        </w:rPr>
        <w:t xml:space="preserve"> </w:t>
      </w:r>
      <w:r>
        <w:rPr>
          <w:w w:val="105"/>
          <w:sz w:val="12"/>
        </w:rPr>
        <w:t>audiencia…</w:t>
      </w:r>
      <w:r>
        <w:rPr>
          <w:spacing w:val="-9"/>
          <w:w w:val="105"/>
          <w:sz w:val="12"/>
        </w:rPr>
        <w:t xml:space="preserve"> </w:t>
      </w:r>
      <w:r>
        <w:rPr>
          <w:w w:val="105"/>
          <w:sz w:val="12"/>
        </w:rPr>
        <w:t>existencia</w:t>
      </w:r>
      <w:r>
        <w:rPr>
          <w:spacing w:val="-9"/>
          <w:w w:val="105"/>
          <w:sz w:val="12"/>
        </w:rPr>
        <w:t xml:space="preserve"> </w:t>
      </w:r>
      <w:r>
        <w:rPr>
          <w:w w:val="105"/>
          <w:sz w:val="12"/>
        </w:rPr>
        <w:t>de</w:t>
      </w:r>
      <w:r>
        <w:rPr>
          <w:spacing w:val="-9"/>
          <w:w w:val="105"/>
          <w:sz w:val="12"/>
        </w:rPr>
        <w:t xml:space="preserve"> </w:t>
      </w:r>
      <w:r>
        <w:rPr>
          <w:w w:val="105"/>
          <w:sz w:val="12"/>
        </w:rPr>
        <w:t>barreras</w:t>
      </w:r>
      <w:r>
        <w:rPr>
          <w:spacing w:val="-8"/>
          <w:w w:val="105"/>
          <w:sz w:val="12"/>
        </w:rPr>
        <w:t xml:space="preserve"> </w:t>
      </w:r>
      <w:r>
        <w:rPr>
          <w:w w:val="105"/>
          <w:sz w:val="12"/>
        </w:rPr>
        <w:t>para</w:t>
      </w:r>
      <w:r>
        <w:rPr>
          <w:spacing w:val="-9"/>
          <w:w w:val="105"/>
          <w:sz w:val="12"/>
        </w:rPr>
        <w:t xml:space="preserve"> </w:t>
      </w:r>
      <w:r>
        <w:rPr>
          <w:w w:val="105"/>
          <w:sz w:val="12"/>
        </w:rPr>
        <w:t>establecer</w:t>
      </w:r>
      <w:r>
        <w:rPr>
          <w:spacing w:val="-9"/>
          <w:w w:val="105"/>
          <w:sz w:val="12"/>
        </w:rPr>
        <w:t xml:space="preserve"> </w:t>
      </w:r>
      <w:r>
        <w:rPr>
          <w:w w:val="105"/>
          <w:sz w:val="12"/>
        </w:rPr>
        <w:t>medios</w:t>
      </w:r>
      <w:r>
        <w:rPr>
          <w:spacing w:val="-9"/>
          <w:w w:val="105"/>
          <w:sz w:val="12"/>
        </w:rPr>
        <w:t xml:space="preserve"> </w:t>
      </w:r>
      <w:r>
        <w:rPr>
          <w:w w:val="105"/>
          <w:sz w:val="12"/>
        </w:rPr>
        <w:t>de</w:t>
      </w:r>
      <w:r>
        <w:rPr>
          <w:spacing w:val="40"/>
          <w:w w:val="105"/>
          <w:sz w:val="12"/>
        </w:rPr>
        <w:t xml:space="preserve"> </w:t>
      </w:r>
      <w:r>
        <w:rPr>
          <w:spacing w:val="-2"/>
          <w:w w:val="105"/>
          <w:sz w:val="12"/>
        </w:rPr>
        <w:t>comunicación, restricciones amplias y poco claras sobre el contenido de lo que puede publicarse o transmitirse; ausencia de críticas al Gobierno o de debates</w:t>
      </w:r>
      <w:r>
        <w:rPr>
          <w:spacing w:val="40"/>
          <w:w w:val="105"/>
          <w:sz w:val="12"/>
        </w:rPr>
        <w:t xml:space="preserve"> </w:t>
      </w:r>
      <w:r>
        <w:rPr>
          <w:spacing w:val="-2"/>
          <w:w w:val="105"/>
          <w:sz w:val="12"/>
        </w:rPr>
        <w:t>políticos de amplio alcance en los medios de comunicación y otras formas de comunicación; y la ausencia de una amplia condena social de las declaraciones de</w:t>
      </w:r>
      <w:r>
        <w:rPr>
          <w:spacing w:val="40"/>
          <w:w w:val="105"/>
          <w:sz w:val="12"/>
        </w:rPr>
        <w:t xml:space="preserve"> </w:t>
      </w:r>
      <w:r>
        <w:rPr>
          <w:w w:val="105"/>
          <w:sz w:val="12"/>
        </w:rPr>
        <w:t>odio por motivos específicos cuando se difunden”.</w:t>
      </w:r>
    </w:p>
    <w:p w14:paraId="6A9612E5" w14:textId="77777777" w:rsidR="0014798C" w:rsidRDefault="004E1F0B">
      <w:pPr>
        <w:spacing w:before="56"/>
        <w:ind w:left="1111"/>
        <w:rPr>
          <w:sz w:val="12"/>
        </w:rPr>
      </w:pPr>
      <w:r>
        <w:rPr>
          <w:spacing w:val="-2"/>
          <w:w w:val="105"/>
          <w:position w:val="4"/>
          <w:sz w:val="8"/>
        </w:rPr>
        <w:t>1176</w:t>
      </w:r>
      <w:r>
        <w:rPr>
          <w:spacing w:val="44"/>
          <w:w w:val="105"/>
          <w:position w:val="4"/>
          <w:sz w:val="8"/>
        </w:rPr>
        <w:t xml:space="preserve"> </w:t>
      </w:r>
      <w:r>
        <w:rPr>
          <w:spacing w:val="-2"/>
          <w:w w:val="105"/>
          <w:sz w:val="12"/>
        </w:rPr>
        <w:t>Tribunal</w:t>
      </w:r>
      <w:r>
        <w:rPr>
          <w:spacing w:val="-1"/>
          <w:w w:val="105"/>
          <w:sz w:val="12"/>
        </w:rPr>
        <w:t xml:space="preserve"> </w:t>
      </w:r>
      <w:r>
        <w:rPr>
          <w:spacing w:val="-2"/>
          <w:w w:val="105"/>
          <w:sz w:val="12"/>
        </w:rPr>
        <w:t>Europeo</w:t>
      </w:r>
      <w:r>
        <w:rPr>
          <w:spacing w:val="-1"/>
          <w:w w:val="105"/>
          <w:sz w:val="12"/>
        </w:rPr>
        <w:t xml:space="preserve"> </w:t>
      </w:r>
      <w:r>
        <w:rPr>
          <w:spacing w:val="-2"/>
          <w:w w:val="105"/>
          <w:sz w:val="12"/>
        </w:rPr>
        <w:t>de</w:t>
      </w:r>
      <w:r>
        <w:rPr>
          <w:spacing w:val="-1"/>
          <w:w w:val="105"/>
          <w:sz w:val="12"/>
        </w:rPr>
        <w:t xml:space="preserve"> </w:t>
      </w:r>
      <w:r>
        <w:rPr>
          <w:spacing w:val="-2"/>
          <w:w w:val="105"/>
          <w:sz w:val="12"/>
        </w:rPr>
        <w:t>Derechos</w:t>
      </w:r>
      <w:r>
        <w:rPr>
          <w:spacing w:val="-1"/>
          <w:w w:val="105"/>
          <w:sz w:val="12"/>
        </w:rPr>
        <w:t xml:space="preserve"> </w:t>
      </w:r>
      <w:r>
        <w:rPr>
          <w:spacing w:val="-2"/>
          <w:w w:val="105"/>
          <w:sz w:val="12"/>
        </w:rPr>
        <w:t>Humanos,</w:t>
      </w:r>
      <w:r>
        <w:rPr>
          <w:w w:val="105"/>
          <w:sz w:val="12"/>
        </w:rPr>
        <w:t xml:space="preserve"> </w:t>
      </w:r>
      <w:proofErr w:type="spellStart"/>
      <w:r>
        <w:rPr>
          <w:spacing w:val="-2"/>
          <w:w w:val="105"/>
          <w:sz w:val="12"/>
        </w:rPr>
        <w:t>Jersild</w:t>
      </w:r>
      <w:proofErr w:type="spellEnd"/>
      <w:r>
        <w:rPr>
          <w:spacing w:val="-1"/>
          <w:w w:val="105"/>
          <w:sz w:val="12"/>
        </w:rPr>
        <w:t xml:space="preserve"> </w:t>
      </w:r>
      <w:r>
        <w:rPr>
          <w:spacing w:val="-2"/>
          <w:w w:val="105"/>
          <w:sz w:val="12"/>
        </w:rPr>
        <w:t>c. Dinamarca,</w:t>
      </w:r>
      <w:r>
        <w:rPr>
          <w:w w:val="105"/>
          <w:sz w:val="12"/>
        </w:rPr>
        <w:t xml:space="preserve"> </w:t>
      </w:r>
      <w:r>
        <w:rPr>
          <w:spacing w:val="-2"/>
          <w:w w:val="105"/>
          <w:sz w:val="12"/>
        </w:rPr>
        <w:t>solicitud</w:t>
      </w:r>
      <w:r>
        <w:rPr>
          <w:spacing w:val="-1"/>
          <w:w w:val="105"/>
          <w:sz w:val="12"/>
        </w:rPr>
        <w:t xml:space="preserve"> </w:t>
      </w:r>
      <w:r>
        <w:rPr>
          <w:spacing w:val="-2"/>
          <w:w w:val="105"/>
          <w:sz w:val="12"/>
        </w:rPr>
        <w:t>núm.</w:t>
      </w:r>
      <w:r>
        <w:rPr>
          <w:w w:val="105"/>
          <w:sz w:val="12"/>
        </w:rPr>
        <w:t xml:space="preserve"> </w:t>
      </w:r>
      <w:r>
        <w:rPr>
          <w:spacing w:val="-2"/>
          <w:w w:val="105"/>
          <w:sz w:val="12"/>
        </w:rPr>
        <w:t>15890/89,</w:t>
      </w:r>
      <w:r>
        <w:rPr>
          <w:w w:val="105"/>
          <w:sz w:val="12"/>
        </w:rPr>
        <w:t xml:space="preserve"> </w:t>
      </w:r>
      <w:r>
        <w:rPr>
          <w:spacing w:val="-2"/>
          <w:w w:val="105"/>
          <w:sz w:val="12"/>
        </w:rPr>
        <w:t>sentencia</w:t>
      </w:r>
      <w:r>
        <w:rPr>
          <w:spacing w:val="-1"/>
          <w:w w:val="105"/>
          <w:sz w:val="12"/>
        </w:rPr>
        <w:t xml:space="preserve"> </w:t>
      </w:r>
      <w:r>
        <w:rPr>
          <w:spacing w:val="-2"/>
          <w:w w:val="105"/>
          <w:sz w:val="12"/>
        </w:rPr>
        <w:t>de 23</w:t>
      </w:r>
      <w:r>
        <w:rPr>
          <w:spacing w:val="-1"/>
          <w:w w:val="105"/>
          <w:sz w:val="12"/>
        </w:rPr>
        <w:t xml:space="preserve"> </w:t>
      </w:r>
      <w:r>
        <w:rPr>
          <w:spacing w:val="-2"/>
          <w:w w:val="105"/>
          <w:sz w:val="12"/>
        </w:rPr>
        <w:t>de</w:t>
      </w:r>
      <w:r>
        <w:rPr>
          <w:spacing w:val="-1"/>
          <w:w w:val="105"/>
          <w:sz w:val="12"/>
        </w:rPr>
        <w:t xml:space="preserve"> </w:t>
      </w:r>
      <w:r>
        <w:rPr>
          <w:spacing w:val="-2"/>
          <w:w w:val="105"/>
          <w:sz w:val="12"/>
        </w:rPr>
        <w:t>septiembre</w:t>
      </w:r>
      <w:r>
        <w:rPr>
          <w:spacing w:val="-1"/>
          <w:w w:val="105"/>
          <w:sz w:val="12"/>
        </w:rPr>
        <w:t xml:space="preserve"> </w:t>
      </w:r>
      <w:r>
        <w:rPr>
          <w:spacing w:val="-2"/>
          <w:w w:val="105"/>
          <w:sz w:val="12"/>
        </w:rPr>
        <w:t>de</w:t>
      </w:r>
      <w:r>
        <w:rPr>
          <w:spacing w:val="-1"/>
          <w:w w:val="105"/>
          <w:sz w:val="12"/>
        </w:rPr>
        <w:t xml:space="preserve"> </w:t>
      </w:r>
      <w:r>
        <w:rPr>
          <w:spacing w:val="-2"/>
          <w:w w:val="105"/>
          <w:sz w:val="12"/>
        </w:rPr>
        <w:t>1994.</w:t>
      </w:r>
    </w:p>
    <w:p w14:paraId="1A5FBA47" w14:textId="77777777" w:rsidR="0014798C" w:rsidRDefault="0014798C">
      <w:pPr>
        <w:pStyle w:val="Textoindependiente"/>
        <w:rPr>
          <w:sz w:val="18"/>
        </w:rPr>
      </w:pPr>
    </w:p>
    <w:p w14:paraId="6579FC86" w14:textId="77777777" w:rsidR="0014798C" w:rsidRDefault="0014798C">
      <w:pPr>
        <w:pStyle w:val="Textoindependiente"/>
        <w:rPr>
          <w:sz w:val="18"/>
        </w:rPr>
      </w:pPr>
    </w:p>
    <w:p w14:paraId="13D98C81" w14:textId="77777777" w:rsidR="0014798C" w:rsidRDefault="0014798C">
      <w:pPr>
        <w:pStyle w:val="Textoindependiente"/>
        <w:spacing w:before="26"/>
        <w:rPr>
          <w:sz w:val="18"/>
        </w:rPr>
      </w:pPr>
    </w:p>
    <w:p w14:paraId="1BEFF2F4" w14:textId="77777777" w:rsidR="0014798C" w:rsidRDefault="004E1F0B">
      <w:pPr>
        <w:spacing w:before="1"/>
        <w:ind w:left="478"/>
        <w:rPr>
          <w:sz w:val="18"/>
        </w:rPr>
      </w:pPr>
      <w:r>
        <w:rPr>
          <w:spacing w:val="-5"/>
          <w:sz w:val="18"/>
        </w:rPr>
        <w:t>182</w:t>
      </w:r>
    </w:p>
    <w:p w14:paraId="5F48360F" w14:textId="77777777" w:rsidR="0014798C" w:rsidRDefault="0014798C">
      <w:pPr>
        <w:rPr>
          <w:sz w:val="18"/>
        </w:rPr>
        <w:sectPr w:rsidR="0014798C" w:rsidSect="00F265E4">
          <w:pgSz w:w="11900" w:h="16820"/>
          <w:pgMar w:top="340" w:right="0" w:bottom="280" w:left="200" w:header="121" w:footer="0" w:gutter="0"/>
          <w:cols w:space="720"/>
        </w:sectPr>
      </w:pPr>
    </w:p>
    <w:p w14:paraId="704EB8DC" w14:textId="77777777" w:rsidR="0014798C" w:rsidRDefault="0014798C">
      <w:pPr>
        <w:pStyle w:val="Textoindependiente"/>
        <w:spacing w:before="66"/>
        <w:rPr>
          <w:sz w:val="13"/>
        </w:rPr>
      </w:pPr>
    </w:p>
    <w:p w14:paraId="1716C0D7" w14:textId="77777777" w:rsidR="0014798C" w:rsidRDefault="004E1F0B">
      <w:pPr>
        <w:ind w:left="1111"/>
        <w:rPr>
          <w:sz w:val="13"/>
        </w:rPr>
      </w:pPr>
      <w:r>
        <w:rPr>
          <w:color w:val="0075BF"/>
          <w:spacing w:val="-2"/>
          <w:w w:val="105"/>
          <w:sz w:val="13"/>
        </w:rPr>
        <w:t>PARTE</w:t>
      </w:r>
      <w:r>
        <w:rPr>
          <w:color w:val="0075BF"/>
          <w:spacing w:val="1"/>
          <w:w w:val="105"/>
          <w:sz w:val="13"/>
        </w:rPr>
        <w:t xml:space="preserve"> </w:t>
      </w:r>
      <w:r>
        <w:rPr>
          <w:color w:val="0075BF"/>
          <w:spacing w:val="-2"/>
          <w:w w:val="105"/>
          <w:sz w:val="13"/>
        </w:rPr>
        <w:t>QUINTA:</w:t>
      </w:r>
      <w:r>
        <w:rPr>
          <w:color w:val="0075BF"/>
          <w:spacing w:val="2"/>
          <w:w w:val="105"/>
          <w:sz w:val="13"/>
        </w:rPr>
        <w:t xml:space="preserve"> </w:t>
      </w:r>
      <w:r>
        <w:rPr>
          <w:color w:val="0075BF"/>
          <w:spacing w:val="-2"/>
          <w:w w:val="105"/>
          <w:sz w:val="13"/>
        </w:rPr>
        <w:t>DISCRIMINACIÓN</w:t>
      </w:r>
      <w:r>
        <w:rPr>
          <w:color w:val="0075BF"/>
          <w:w w:val="105"/>
          <w:sz w:val="13"/>
        </w:rPr>
        <w:t xml:space="preserve"> </w:t>
      </w:r>
      <w:r>
        <w:rPr>
          <w:color w:val="0075BF"/>
          <w:spacing w:val="-2"/>
          <w:w w:val="105"/>
          <w:sz w:val="13"/>
        </w:rPr>
        <w:t>Y</w:t>
      </w:r>
      <w:r>
        <w:rPr>
          <w:color w:val="0075BF"/>
          <w:spacing w:val="2"/>
          <w:w w:val="105"/>
          <w:sz w:val="13"/>
        </w:rPr>
        <w:t xml:space="preserve"> </w:t>
      </w:r>
      <w:r>
        <w:rPr>
          <w:color w:val="0075BF"/>
          <w:spacing w:val="-2"/>
          <w:w w:val="105"/>
          <w:sz w:val="13"/>
        </w:rPr>
        <w:t>EXPRESIÓN</w:t>
      </w:r>
    </w:p>
    <w:p w14:paraId="5EF0C7C1" w14:textId="77777777" w:rsidR="0014798C" w:rsidRDefault="0014798C">
      <w:pPr>
        <w:pStyle w:val="Textoindependiente"/>
      </w:pPr>
    </w:p>
    <w:p w14:paraId="562C142C" w14:textId="77777777" w:rsidR="0014798C" w:rsidRDefault="0014798C">
      <w:pPr>
        <w:pStyle w:val="Textoindependiente"/>
      </w:pPr>
    </w:p>
    <w:p w14:paraId="740ECCC0" w14:textId="77777777" w:rsidR="0014798C" w:rsidRDefault="0014798C">
      <w:pPr>
        <w:pStyle w:val="Textoindependiente"/>
      </w:pPr>
    </w:p>
    <w:p w14:paraId="76D1C9BF" w14:textId="77777777" w:rsidR="0014798C" w:rsidRDefault="0014798C">
      <w:pPr>
        <w:pStyle w:val="Textoindependiente"/>
      </w:pPr>
    </w:p>
    <w:p w14:paraId="6935A915" w14:textId="77777777" w:rsidR="0014798C" w:rsidRDefault="0014798C">
      <w:pPr>
        <w:pStyle w:val="Textoindependiente"/>
        <w:spacing w:before="69"/>
      </w:pPr>
    </w:p>
    <w:p w14:paraId="4AA47ED8" w14:textId="77777777" w:rsidR="0014798C" w:rsidRDefault="004E1F0B">
      <w:pPr>
        <w:pStyle w:val="Textoindependiente"/>
        <w:ind w:left="1107"/>
      </w:pPr>
      <w:r>
        <w:t>que tiene en cuenta la posición del hablante</w:t>
      </w:r>
      <w:r>
        <w:rPr>
          <w:spacing w:val="1"/>
        </w:rPr>
        <w:t xml:space="preserve"> </w:t>
      </w:r>
      <w:r>
        <w:t>es adoptado por el Tribunal en su</w:t>
      </w:r>
      <w:r>
        <w:rPr>
          <w:spacing w:val="1"/>
        </w:rPr>
        <w:t xml:space="preserve"> </w:t>
      </w:r>
      <w:r>
        <w:t xml:space="preserve">sentencia </w:t>
      </w:r>
      <w:proofErr w:type="spellStart"/>
      <w:r>
        <w:rPr>
          <w:spacing w:val="-2"/>
        </w:rPr>
        <w:t>Jersild</w:t>
      </w:r>
      <w:proofErr w:type="spellEnd"/>
    </w:p>
    <w:p w14:paraId="23A2F3BF" w14:textId="77777777" w:rsidR="0014798C" w:rsidRDefault="004E1F0B">
      <w:pPr>
        <w:pStyle w:val="Textoindependiente"/>
        <w:spacing w:before="66" w:line="326" w:lineRule="auto"/>
        <w:ind w:left="1108" w:right="1378"/>
      </w:pPr>
      <w:r>
        <w:t>caso,</w:t>
      </w:r>
      <w:r>
        <w:rPr>
          <w:spacing w:val="6"/>
        </w:rPr>
        <w:t xml:space="preserve"> </w:t>
      </w:r>
      <w:r>
        <w:t>que refleja este criterio clave del Plan de Acción de Rabat. El Relator Especial sobre la promoción y protección del derecho</w:t>
      </w:r>
      <w:r>
        <w:rPr>
          <w:spacing w:val="80"/>
        </w:rPr>
        <w:t xml:space="preserve"> </w:t>
      </w:r>
      <w:r>
        <w:t>a la libertad de opinión y de expresión ha ofrecido la siguiente orientación a este respecto, en particular en lo que respecta al discurso de odio en línea:</w:t>
      </w:r>
    </w:p>
    <w:p w14:paraId="3D6DA09B" w14:textId="77777777" w:rsidR="0014798C" w:rsidRDefault="004E1F0B">
      <w:pPr>
        <w:pStyle w:val="Textoindependiente"/>
        <w:spacing w:before="112" w:line="326" w:lineRule="auto"/>
        <w:ind w:left="1673" w:right="1476" w:hanging="1"/>
      </w:pPr>
      <w:r>
        <w:rPr>
          <w:color w:val="0075BF"/>
        </w:rPr>
        <w:t>¿Existen categorías de usuarios a quienes no se aplican las normas sobre incitación al odio? Los estándares internacionales son claros en cuanto a que los periodistas y otras personas que informan sobre discursos de odio</w:t>
      </w:r>
      <w:r>
        <w:rPr>
          <w:color w:val="0075BF"/>
          <w:spacing w:val="80"/>
        </w:rPr>
        <w:t xml:space="preserve"> </w:t>
      </w:r>
      <w:r>
        <w:rPr>
          <w:color w:val="0075BF"/>
        </w:rPr>
        <w:t>deben</w:t>
      </w:r>
      <w:r>
        <w:rPr>
          <w:color w:val="0075BF"/>
          <w:spacing w:val="15"/>
        </w:rPr>
        <w:t xml:space="preserve"> </w:t>
      </w:r>
      <w:r>
        <w:rPr>
          <w:color w:val="0075BF"/>
        </w:rPr>
        <w:t>estar</w:t>
      </w:r>
      <w:r>
        <w:rPr>
          <w:color w:val="0075BF"/>
          <w:spacing w:val="15"/>
        </w:rPr>
        <w:t xml:space="preserve"> </w:t>
      </w:r>
      <w:r>
        <w:rPr>
          <w:color w:val="0075BF"/>
        </w:rPr>
        <w:t>protegidos</w:t>
      </w:r>
      <w:r>
        <w:rPr>
          <w:color w:val="0075BF"/>
          <w:spacing w:val="15"/>
        </w:rPr>
        <w:t xml:space="preserve"> </w:t>
      </w:r>
      <w:r>
        <w:rPr>
          <w:color w:val="0075BF"/>
        </w:rPr>
        <w:t>contra</w:t>
      </w:r>
      <w:r>
        <w:rPr>
          <w:color w:val="0075BF"/>
          <w:spacing w:val="15"/>
        </w:rPr>
        <w:t xml:space="preserve"> </w:t>
      </w:r>
      <w:r>
        <w:rPr>
          <w:color w:val="0075BF"/>
        </w:rPr>
        <w:t>restricciones</w:t>
      </w:r>
      <w:r>
        <w:rPr>
          <w:color w:val="0075BF"/>
          <w:spacing w:val="15"/>
        </w:rPr>
        <w:t xml:space="preserve"> </w:t>
      </w:r>
      <w:r>
        <w:rPr>
          <w:color w:val="0075BF"/>
        </w:rPr>
        <w:t>de</w:t>
      </w:r>
      <w:r>
        <w:rPr>
          <w:color w:val="0075BF"/>
          <w:spacing w:val="15"/>
        </w:rPr>
        <w:t xml:space="preserve"> </w:t>
      </w:r>
      <w:r>
        <w:rPr>
          <w:color w:val="0075BF"/>
        </w:rPr>
        <w:t>contenido</w:t>
      </w:r>
      <w:r>
        <w:rPr>
          <w:color w:val="0075BF"/>
          <w:spacing w:val="15"/>
        </w:rPr>
        <w:t xml:space="preserve"> </w:t>
      </w:r>
      <w:r>
        <w:rPr>
          <w:color w:val="0075BF"/>
        </w:rPr>
        <w:t>o</w:t>
      </w:r>
      <w:r>
        <w:rPr>
          <w:color w:val="0075BF"/>
          <w:spacing w:val="15"/>
        </w:rPr>
        <w:t xml:space="preserve"> </w:t>
      </w:r>
      <w:r>
        <w:rPr>
          <w:color w:val="0075BF"/>
        </w:rPr>
        <w:t>acciones</w:t>
      </w:r>
      <w:r>
        <w:rPr>
          <w:color w:val="0075BF"/>
          <w:spacing w:val="15"/>
        </w:rPr>
        <w:t xml:space="preserve"> </w:t>
      </w:r>
      <w:r>
        <w:rPr>
          <w:color w:val="0075BF"/>
        </w:rPr>
        <w:t>adversas</w:t>
      </w:r>
      <w:r>
        <w:rPr>
          <w:color w:val="0075BF"/>
          <w:spacing w:val="15"/>
        </w:rPr>
        <w:t xml:space="preserve"> </w:t>
      </w:r>
      <w:r>
        <w:rPr>
          <w:color w:val="0075BF"/>
        </w:rPr>
        <w:t>tomadas</w:t>
      </w:r>
      <w:r>
        <w:rPr>
          <w:color w:val="0075BF"/>
          <w:spacing w:val="15"/>
        </w:rPr>
        <w:t xml:space="preserve"> </w:t>
      </w:r>
      <w:r>
        <w:rPr>
          <w:color w:val="0075BF"/>
        </w:rPr>
        <w:t>contra</w:t>
      </w:r>
      <w:r>
        <w:rPr>
          <w:color w:val="0075BF"/>
          <w:spacing w:val="15"/>
        </w:rPr>
        <w:t xml:space="preserve"> </w:t>
      </w:r>
      <w:r>
        <w:rPr>
          <w:color w:val="0075BF"/>
        </w:rPr>
        <w:t>sus</w:t>
      </w:r>
      <w:r>
        <w:rPr>
          <w:color w:val="0075BF"/>
          <w:spacing w:val="15"/>
        </w:rPr>
        <w:t xml:space="preserve"> </w:t>
      </w:r>
      <w:r>
        <w:rPr>
          <w:color w:val="0075BF"/>
        </w:rPr>
        <w:t>cuentas.</w:t>
      </w:r>
      <w:r>
        <w:rPr>
          <w:color w:val="0075BF"/>
          <w:spacing w:val="16"/>
        </w:rPr>
        <w:t xml:space="preserve"> </w:t>
      </w:r>
      <w:r>
        <w:rPr>
          <w:color w:val="0075BF"/>
        </w:rPr>
        <w:t>Además, la aplicación de las normas contextuales del Plan de Acción de Rabat conduciría a la protección de dichos contenidos. Los políticos, los funcionarios gubernamentales y militares y otras figuras públicas son otra cuestión. Dada su prominencia y su posible papel de liderazgo a la hora de incitar comportamientos, deberían estar sujetos a las</w:t>
      </w:r>
    </w:p>
    <w:p w14:paraId="31B73952" w14:textId="77777777" w:rsidR="0014798C" w:rsidRDefault="004E1F0B">
      <w:pPr>
        <w:pStyle w:val="Textoindependiente"/>
        <w:spacing w:line="326" w:lineRule="auto"/>
        <w:ind w:left="1672" w:right="1626"/>
      </w:pPr>
      <w:r>
        <w:rPr>
          <w:color w:val="0075BF"/>
        </w:rPr>
        <w:t>mismas normas sobre discurso de odio que se aplican según las normas internacionales. En el contexto de las políticas de incitación al odio, por defecto las figuras públicas deberían cumplir las mismas reglas que todos los usuarios. La evaluación del contexto puede llevar a la decisión de hacer una excepción en algunos casos, cuando el contenido debe protegerse como, por ejemplo, el discurso político. Sin embargo, es casi seguro que la incitación es</w:t>
      </w:r>
    </w:p>
    <w:p w14:paraId="5D1EBE8D" w14:textId="77777777" w:rsidR="0014798C" w:rsidRDefault="004E1F0B">
      <w:pPr>
        <w:pStyle w:val="Textoindependiente"/>
        <w:spacing w:line="182" w:lineRule="exact"/>
        <w:ind w:left="1674"/>
      </w:pPr>
      <w:r>
        <w:rPr>
          <w:color w:val="0075BF"/>
        </w:rPr>
        <w:t>más dañina</w:t>
      </w:r>
      <w:r>
        <w:rPr>
          <w:color w:val="0075BF"/>
          <w:spacing w:val="1"/>
        </w:rPr>
        <w:t xml:space="preserve"> </w:t>
      </w:r>
      <w:r>
        <w:rPr>
          <w:color w:val="0075BF"/>
        </w:rPr>
        <w:t>cuando</w:t>
      </w:r>
      <w:r>
        <w:rPr>
          <w:color w:val="0075BF"/>
          <w:spacing w:val="1"/>
        </w:rPr>
        <w:t xml:space="preserve"> </w:t>
      </w:r>
      <w:r>
        <w:rPr>
          <w:color w:val="0075BF"/>
        </w:rPr>
        <w:t>la</w:t>
      </w:r>
      <w:r>
        <w:rPr>
          <w:color w:val="0075BF"/>
          <w:spacing w:val="1"/>
        </w:rPr>
        <w:t xml:space="preserve"> </w:t>
      </w:r>
      <w:r>
        <w:rPr>
          <w:color w:val="0075BF"/>
        </w:rPr>
        <w:t>pronuncian los</w:t>
      </w:r>
      <w:r>
        <w:rPr>
          <w:color w:val="0075BF"/>
          <w:spacing w:val="1"/>
        </w:rPr>
        <w:t xml:space="preserve"> </w:t>
      </w:r>
      <w:r>
        <w:rPr>
          <w:color w:val="0075BF"/>
        </w:rPr>
        <w:t>líderes</w:t>
      </w:r>
      <w:r>
        <w:rPr>
          <w:color w:val="0075BF"/>
          <w:spacing w:val="1"/>
        </w:rPr>
        <w:t xml:space="preserve"> </w:t>
      </w:r>
      <w:r>
        <w:rPr>
          <w:color w:val="0075BF"/>
        </w:rPr>
        <w:t>que</w:t>
      </w:r>
      <w:r>
        <w:rPr>
          <w:color w:val="0075BF"/>
          <w:spacing w:val="1"/>
        </w:rPr>
        <w:t xml:space="preserve"> </w:t>
      </w:r>
      <w:r>
        <w:rPr>
          <w:color w:val="0075BF"/>
        </w:rPr>
        <w:t>otros</w:t>
      </w:r>
      <w:r>
        <w:rPr>
          <w:color w:val="0075BF"/>
          <w:spacing w:val="1"/>
        </w:rPr>
        <w:t xml:space="preserve"> </w:t>
      </w:r>
      <w:r>
        <w:rPr>
          <w:color w:val="0075BF"/>
        </w:rPr>
        <w:t>usuarios,</w:t>
      </w:r>
      <w:r>
        <w:rPr>
          <w:color w:val="0075BF"/>
          <w:spacing w:val="1"/>
        </w:rPr>
        <w:t xml:space="preserve"> </w:t>
      </w:r>
      <w:r>
        <w:rPr>
          <w:color w:val="0075BF"/>
        </w:rPr>
        <w:t>y</w:t>
      </w:r>
      <w:r>
        <w:rPr>
          <w:color w:val="0075BF"/>
          <w:spacing w:val="1"/>
        </w:rPr>
        <w:t xml:space="preserve"> </w:t>
      </w:r>
      <w:r>
        <w:rPr>
          <w:color w:val="0075BF"/>
        </w:rPr>
        <w:t>ese</w:t>
      </w:r>
      <w:r>
        <w:rPr>
          <w:color w:val="0075BF"/>
          <w:spacing w:val="1"/>
        </w:rPr>
        <w:t xml:space="preserve"> </w:t>
      </w:r>
      <w:r>
        <w:rPr>
          <w:color w:val="0075BF"/>
        </w:rPr>
        <w:t>factor</w:t>
      </w:r>
      <w:r>
        <w:rPr>
          <w:color w:val="0075BF"/>
          <w:spacing w:val="1"/>
        </w:rPr>
        <w:t xml:space="preserve"> </w:t>
      </w:r>
      <w:r>
        <w:rPr>
          <w:color w:val="0075BF"/>
        </w:rPr>
        <w:t>debería</w:t>
      </w:r>
      <w:r>
        <w:rPr>
          <w:color w:val="0075BF"/>
          <w:spacing w:val="1"/>
        </w:rPr>
        <w:t xml:space="preserve"> </w:t>
      </w:r>
      <w:r>
        <w:rPr>
          <w:color w:val="0075BF"/>
        </w:rPr>
        <w:t>ser parte</w:t>
      </w:r>
      <w:r>
        <w:rPr>
          <w:color w:val="0075BF"/>
          <w:spacing w:val="1"/>
        </w:rPr>
        <w:t xml:space="preserve"> </w:t>
      </w:r>
      <w:r>
        <w:rPr>
          <w:color w:val="0075BF"/>
        </w:rPr>
        <w:t>de</w:t>
      </w:r>
      <w:r>
        <w:rPr>
          <w:color w:val="0075BF"/>
          <w:spacing w:val="1"/>
        </w:rPr>
        <w:t xml:space="preserve"> </w:t>
      </w:r>
      <w:r>
        <w:rPr>
          <w:color w:val="0075BF"/>
        </w:rPr>
        <w:t>la</w:t>
      </w:r>
      <w:r>
        <w:rPr>
          <w:color w:val="0075BF"/>
          <w:spacing w:val="1"/>
        </w:rPr>
        <w:t xml:space="preserve"> </w:t>
      </w:r>
      <w:r>
        <w:rPr>
          <w:color w:val="0075BF"/>
        </w:rPr>
        <w:t>evaluación</w:t>
      </w:r>
      <w:r>
        <w:rPr>
          <w:color w:val="0075BF"/>
          <w:spacing w:val="1"/>
        </w:rPr>
        <w:t xml:space="preserve"> </w:t>
      </w:r>
      <w:r>
        <w:rPr>
          <w:color w:val="0075BF"/>
        </w:rPr>
        <w:t>del contenido</w:t>
      </w:r>
      <w:r>
        <w:rPr>
          <w:color w:val="0075BF"/>
          <w:spacing w:val="1"/>
        </w:rPr>
        <w:t xml:space="preserve"> </w:t>
      </w:r>
      <w:r>
        <w:rPr>
          <w:color w:val="0075BF"/>
        </w:rPr>
        <w:t>de</w:t>
      </w:r>
      <w:r>
        <w:rPr>
          <w:color w:val="0075BF"/>
          <w:spacing w:val="1"/>
        </w:rPr>
        <w:t xml:space="preserve"> </w:t>
      </w:r>
      <w:r>
        <w:rPr>
          <w:color w:val="0075BF"/>
        </w:rPr>
        <w:t>la</w:t>
      </w:r>
      <w:r>
        <w:rPr>
          <w:color w:val="0075BF"/>
          <w:spacing w:val="1"/>
        </w:rPr>
        <w:t xml:space="preserve"> </w:t>
      </w:r>
      <w:proofErr w:type="spellStart"/>
      <w:r>
        <w:rPr>
          <w:color w:val="0075BF"/>
          <w:spacing w:val="-2"/>
        </w:rPr>
        <w:t>platafo</w:t>
      </w:r>
      <w:proofErr w:type="spellEnd"/>
    </w:p>
    <w:p w14:paraId="7F811729" w14:textId="77777777" w:rsidR="0014798C" w:rsidRDefault="0014798C">
      <w:pPr>
        <w:pStyle w:val="Textoindependiente"/>
        <w:spacing w:before="100"/>
      </w:pPr>
    </w:p>
    <w:p w14:paraId="16628E56" w14:textId="77777777" w:rsidR="0014798C" w:rsidRDefault="004E1F0B">
      <w:pPr>
        <w:pStyle w:val="Ttulo7"/>
        <w:numPr>
          <w:ilvl w:val="0"/>
          <w:numId w:val="8"/>
        </w:numPr>
        <w:tabs>
          <w:tab w:val="left" w:pos="1483"/>
        </w:tabs>
        <w:ind w:left="1483" w:hanging="363"/>
        <w:rPr>
          <w:color w:val="0075BF"/>
        </w:rPr>
      </w:pPr>
      <w:r>
        <w:rPr>
          <w:color w:val="0075BF"/>
        </w:rPr>
        <w:t>Difusión</w:t>
      </w:r>
      <w:r>
        <w:rPr>
          <w:color w:val="0075BF"/>
          <w:spacing w:val="-10"/>
        </w:rPr>
        <w:t xml:space="preserve"> </w:t>
      </w:r>
      <w:r>
        <w:rPr>
          <w:color w:val="0075BF"/>
        </w:rPr>
        <w:t>de</w:t>
      </w:r>
      <w:r>
        <w:rPr>
          <w:color w:val="0075BF"/>
          <w:spacing w:val="-10"/>
        </w:rPr>
        <w:t xml:space="preserve"> </w:t>
      </w:r>
      <w:r>
        <w:rPr>
          <w:color w:val="0075BF"/>
        </w:rPr>
        <w:t>ideas</w:t>
      </w:r>
      <w:r>
        <w:rPr>
          <w:color w:val="0075BF"/>
          <w:spacing w:val="-10"/>
        </w:rPr>
        <w:t xml:space="preserve"> </w:t>
      </w:r>
      <w:r>
        <w:rPr>
          <w:color w:val="0075BF"/>
        </w:rPr>
        <w:t>basadas</w:t>
      </w:r>
      <w:r>
        <w:rPr>
          <w:color w:val="0075BF"/>
          <w:spacing w:val="-10"/>
        </w:rPr>
        <w:t xml:space="preserve"> </w:t>
      </w:r>
      <w:r>
        <w:rPr>
          <w:color w:val="0075BF"/>
        </w:rPr>
        <w:t>en</w:t>
      </w:r>
      <w:r>
        <w:rPr>
          <w:color w:val="0075BF"/>
          <w:spacing w:val="-10"/>
        </w:rPr>
        <w:t xml:space="preserve"> </w:t>
      </w:r>
      <w:r>
        <w:rPr>
          <w:color w:val="0075BF"/>
        </w:rPr>
        <w:t>la</w:t>
      </w:r>
      <w:r>
        <w:rPr>
          <w:color w:val="0075BF"/>
          <w:spacing w:val="-10"/>
        </w:rPr>
        <w:t xml:space="preserve"> </w:t>
      </w:r>
      <w:r>
        <w:rPr>
          <w:color w:val="0075BF"/>
        </w:rPr>
        <w:t>superioridad</w:t>
      </w:r>
      <w:r>
        <w:rPr>
          <w:color w:val="0075BF"/>
          <w:spacing w:val="-10"/>
        </w:rPr>
        <w:t xml:space="preserve"> </w:t>
      </w:r>
      <w:r>
        <w:rPr>
          <w:color w:val="0075BF"/>
        </w:rPr>
        <w:t>o</w:t>
      </w:r>
      <w:r>
        <w:rPr>
          <w:color w:val="0075BF"/>
          <w:spacing w:val="-10"/>
        </w:rPr>
        <w:t xml:space="preserve"> </w:t>
      </w:r>
      <w:r>
        <w:rPr>
          <w:color w:val="0075BF"/>
        </w:rPr>
        <w:t>el</w:t>
      </w:r>
      <w:r>
        <w:rPr>
          <w:color w:val="0075BF"/>
          <w:spacing w:val="-10"/>
        </w:rPr>
        <w:t xml:space="preserve"> </w:t>
      </w:r>
      <w:r>
        <w:rPr>
          <w:color w:val="0075BF"/>
        </w:rPr>
        <w:t>odio</w:t>
      </w:r>
      <w:r>
        <w:rPr>
          <w:color w:val="0075BF"/>
          <w:spacing w:val="-10"/>
        </w:rPr>
        <w:t xml:space="preserve"> </w:t>
      </w:r>
      <w:r>
        <w:rPr>
          <w:color w:val="0075BF"/>
          <w:spacing w:val="-2"/>
        </w:rPr>
        <w:t>racial</w:t>
      </w:r>
    </w:p>
    <w:p w14:paraId="5DFB3841" w14:textId="77777777" w:rsidR="0014798C" w:rsidRDefault="0014798C">
      <w:pPr>
        <w:pStyle w:val="Textoindependiente"/>
        <w:spacing w:before="45"/>
      </w:pPr>
    </w:p>
    <w:p w14:paraId="09AA0C9A" w14:textId="77777777" w:rsidR="0014798C" w:rsidRDefault="004E1F0B">
      <w:pPr>
        <w:pStyle w:val="Textoindependiente"/>
        <w:spacing w:before="1"/>
        <w:ind w:left="1106"/>
      </w:pPr>
      <w:r>
        <w:t>El artículo 4 de la</w:t>
      </w:r>
      <w:r>
        <w:rPr>
          <w:spacing w:val="1"/>
        </w:rPr>
        <w:t xml:space="preserve"> </w:t>
      </w:r>
      <w:r>
        <w:t>Convención Internacional sobre la</w:t>
      </w:r>
      <w:r>
        <w:rPr>
          <w:spacing w:val="1"/>
        </w:rPr>
        <w:t xml:space="preserve"> </w:t>
      </w:r>
      <w:r>
        <w:t>Eliminación de todas las</w:t>
      </w:r>
      <w:r>
        <w:rPr>
          <w:spacing w:val="1"/>
        </w:rPr>
        <w:t xml:space="preserve"> </w:t>
      </w:r>
      <w:r>
        <w:t>Formas de Discriminación Racial</w:t>
      </w:r>
      <w:r>
        <w:rPr>
          <w:spacing w:val="1"/>
        </w:rPr>
        <w:t xml:space="preserve"> </w:t>
      </w:r>
      <w:r>
        <w:t xml:space="preserve">establece </w:t>
      </w:r>
      <w:r>
        <w:rPr>
          <w:spacing w:val="-4"/>
        </w:rPr>
        <w:t>que:</w:t>
      </w:r>
    </w:p>
    <w:p w14:paraId="5BB23481" w14:textId="77777777" w:rsidR="0014798C" w:rsidRDefault="0014798C">
      <w:pPr>
        <w:pStyle w:val="Textoindependiente"/>
      </w:pPr>
    </w:p>
    <w:p w14:paraId="5E951A6B" w14:textId="77777777" w:rsidR="0014798C" w:rsidRDefault="0014798C">
      <w:pPr>
        <w:pStyle w:val="Textoindependiente"/>
        <w:spacing w:before="60"/>
      </w:pPr>
    </w:p>
    <w:p w14:paraId="192367BF" w14:textId="77777777" w:rsidR="0014798C" w:rsidRDefault="004E1F0B">
      <w:pPr>
        <w:pStyle w:val="Textoindependiente"/>
        <w:spacing w:line="326" w:lineRule="auto"/>
        <w:ind w:left="1672" w:right="1626" w:firstLine="6"/>
      </w:pPr>
      <w:r>
        <w:rPr>
          <w:color w:val="0075BF"/>
        </w:rPr>
        <w:t>Los Estados Partes condenan toda propaganda y todas las organizaciones que se basen en ideas o teorías de superioridad de una raza o grupo de personas de un mismo color u origen étnico, o que intenten justificar o promover</w:t>
      </w:r>
      <w:r>
        <w:rPr>
          <w:color w:val="0075BF"/>
          <w:spacing w:val="40"/>
        </w:rPr>
        <w:t xml:space="preserve"> </w:t>
      </w:r>
      <w:r>
        <w:rPr>
          <w:color w:val="0075BF"/>
        </w:rPr>
        <w:t>el odio racial y la discriminación en cualquier forma, y se comprometen a adoptar medidas inmediatas y positivas destinadas a erradicar toda incitación o acto de discriminación y, a tal fin, teniendo debidamente en cuenta los principios consagrados en la Declaración Universal de Derechos Humanos y los derechos expresamente enunciados en el artículo 5 de la presente Convención, Entre otros:</w:t>
      </w:r>
    </w:p>
    <w:p w14:paraId="7E4FBAF0" w14:textId="77777777" w:rsidR="0014798C" w:rsidRDefault="004E1F0B">
      <w:pPr>
        <w:pStyle w:val="Prrafodelista"/>
        <w:numPr>
          <w:ilvl w:val="1"/>
          <w:numId w:val="8"/>
        </w:numPr>
        <w:tabs>
          <w:tab w:val="left" w:pos="2098"/>
          <w:tab w:val="left" w:pos="2240"/>
        </w:tabs>
        <w:spacing w:before="54" w:line="326" w:lineRule="auto"/>
        <w:ind w:left="2240" w:right="1515" w:hanging="331"/>
        <w:rPr>
          <w:sz w:val="16"/>
        </w:rPr>
      </w:pPr>
      <w:r>
        <w:rPr>
          <w:noProof/>
        </w:rPr>
        <w:drawing>
          <wp:anchor distT="0" distB="0" distL="0" distR="0" simplePos="0" relativeHeight="251658491" behindDoc="1" locked="0" layoutInCell="1" allowOverlap="1" wp14:anchorId="3048BEEA" wp14:editId="71D0EFF2">
            <wp:simplePos x="0" y="0"/>
            <wp:positionH relativeFrom="page">
              <wp:posOffset>826632</wp:posOffset>
            </wp:positionH>
            <wp:positionV relativeFrom="paragraph">
              <wp:posOffset>73972</wp:posOffset>
            </wp:positionV>
            <wp:extent cx="6729867" cy="3850803"/>
            <wp:effectExtent l="0" t="0" r="0" b="0"/>
            <wp:wrapNone/>
            <wp:docPr id="362" name="Image 36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62" name="Image 362"/>
                    <pic:cNvPicPr/>
                  </pic:nvPicPr>
                  <pic:blipFill>
                    <a:blip r:embed="rId334" cstate="print"/>
                    <a:stretch>
                      <a:fillRect/>
                    </a:stretch>
                  </pic:blipFill>
                  <pic:spPr>
                    <a:xfrm>
                      <a:off x="0" y="0"/>
                      <a:ext cx="6729867" cy="3850803"/>
                    </a:xfrm>
                    <a:prstGeom prst="rect">
                      <a:avLst/>
                    </a:prstGeom>
                  </pic:spPr>
                </pic:pic>
              </a:graphicData>
            </a:graphic>
          </wp:anchor>
        </w:drawing>
      </w:r>
      <w:r>
        <w:rPr>
          <w:noProof/>
        </w:rPr>
        <mc:AlternateContent>
          <mc:Choice Requires="wps">
            <w:drawing>
              <wp:anchor distT="0" distB="0" distL="0" distR="0" simplePos="0" relativeHeight="251658333" behindDoc="0" locked="0" layoutInCell="1" allowOverlap="1" wp14:anchorId="7792080D" wp14:editId="384BE5B7">
                <wp:simplePos x="0" y="0"/>
                <wp:positionH relativeFrom="page">
                  <wp:posOffset>7309027</wp:posOffset>
                </wp:positionH>
                <wp:positionV relativeFrom="paragraph">
                  <wp:posOffset>646958</wp:posOffset>
                </wp:positionV>
                <wp:extent cx="85090" cy="203835"/>
                <wp:effectExtent l="0" t="0" r="0" b="0"/>
                <wp:wrapNone/>
                <wp:docPr id="363" name="Textbox 36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85090" cy="203835"/>
                        </a:xfrm>
                        <a:prstGeom prst="rect">
                          <a:avLst/>
                        </a:prstGeom>
                      </wps:spPr>
                      <wps:txbx>
                        <w:txbxContent>
                          <w:p w14:paraId="1CE17221" w14:textId="77777777" w:rsidR="0014798C" w:rsidRDefault="004E1F0B">
                            <w:pPr>
                              <w:spacing w:before="21"/>
                              <w:ind w:left="20"/>
                              <w:rPr>
                                <w:sz w:val="8"/>
                              </w:rPr>
                            </w:pPr>
                            <w:r>
                              <w:rPr>
                                <w:color w:val="FFFFFF"/>
                                <w:spacing w:val="-27"/>
                                <w:w w:val="105"/>
                                <w:sz w:val="8"/>
                              </w:rPr>
                              <w:t>CPAINRCTOE</w:t>
                            </w:r>
                          </w:p>
                        </w:txbxContent>
                      </wps:txbx>
                      <wps:bodyPr vert="vert270" wrap="square" lIns="0" tIns="0" rIns="0" bIns="0" rtlCol="0">
                        <a:noAutofit/>
                      </wps:bodyPr>
                    </wps:wsp>
                  </a:graphicData>
                </a:graphic>
              </wp:anchor>
            </w:drawing>
          </mc:Choice>
          <mc:Fallback>
            <w:pict>
              <v:shape w14:anchorId="7792080D" id="Textbox 363" o:spid="_x0000_s1174" type="#_x0000_t202" style="position:absolute;left:0;text-align:left;margin-left:575.5pt;margin-top:50.95pt;width:6.7pt;height:16.05pt;z-index:251658333;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" filled="f" stroked="f">
                <v:textbox style="layout-flow:vertical;mso-layout-flow-alt:bottom-to-top" inset="0,0,0,0">
                  <w:txbxContent>
                    <w:p w14:paraId="1CE17221" w14:textId="77777777" w:rsidR="0014798C" w:rsidRDefault="004E1F0B">
                      <w:pPr>
                        <w:spacing w:before="21"/>
                        <w:ind w:left="20"/>
                        <w:rPr>
                          <w:sz w:val="8"/>
                        </w:rPr>
                      </w:pPr>
                      <w:r>
                        <w:rPr>
                          <w:color w:val="FFFFFF"/>
                          <w:spacing w:val="-27"/>
                          <w:w w:val="105"/>
                          <w:sz w:val="8"/>
                        </w:rPr>
                        <w:t>CPAINRCTOE</w:t>
                      </w:r>
                    </w:p>
                  </w:txbxContent>
                </v:textbox>
                <w10:wrap anchorx="page"/>
              </v:shape>
            </w:pict>
          </mc:Fallback>
        </mc:AlternateContent>
      </w:r>
      <w:r>
        <w:rPr>
          <w:color w:val="0075BF"/>
          <w:sz w:val="16"/>
        </w:rPr>
        <w:t>Declarará delito punible por la ley toda difusión de ideas basadas en la superioridad o el odio racial, la incitación</w:t>
      </w:r>
      <w:r>
        <w:rPr>
          <w:color w:val="0075BF"/>
          <w:spacing w:val="80"/>
          <w:sz w:val="16"/>
        </w:rPr>
        <w:t xml:space="preserve"> </w:t>
      </w:r>
      <w:r>
        <w:rPr>
          <w:color w:val="0075BF"/>
          <w:sz w:val="16"/>
        </w:rPr>
        <w:t>a</w:t>
      </w:r>
      <w:r>
        <w:rPr>
          <w:color w:val="0075BF"/>
          <w:spacing w:val="12"/>
          <w:sz w:val="16"/>
        </w:rPr>
        <w:t xml:space="preserve"> </w:t>
      </w:r>
      <w:r>
        <w:rPr>
          <w:color w:val="0075BF"/>
          <w:sz w:val="16"/>
        </w:rPr>
        <w:t>la</w:t>
      </w:r>
      <w:r>
        <w:rPr>
          <w:color w:val="0075BF"/>
          <w:spacing w:val="12"/>
          <w:sz w:val="16"/>
        </w:rPr>
        <w:t xml:space="preserve"> </w:t>
      </w:r>
      <w:r>
        <w:rPr>
          <w:color w:val="0075BF"/>
          <w:sz w:val="16"/>
        </w:rPr>
        <w:t>discriminación</w:t>
      </w:r>
      <w:r>
        <w:rPr>
          <w:color w:val="0075BF"/>
          <w:spacing w:val="12"/>
          <w:sz w:val="16"/>
        </w:rPr>
        <w:t xml:space="preserve"> </w:t>
      </w:r>
      <w:r>
        <w:rPr>
          <w:color w:val="0075BF"/>
          <w:sz w:val="16"/>
        </w:rPr>
        <w:t>racial,</w:t>
      </w:r>
      <w:r>
        <w:rPr>
          <w:color w:val="0075BF"/>
          <w:spacing w:val="14"/>
          <w:sz w:val="16"/>
        </w:rPr>
        <w:t xml:space="preserve"> </w:t>
      </w:r>
      <w:r>
        <w:rPr>
          <w:color w:val="0075BF"/>
          <w:sz w:val="16"/>
        </w:rPr>
        <w:t>así</w:t>
      </w:r>
      <w:r>
        <w:rPr>
          <w:color w:val="0075BF"/>
          <w:spacing w:val="12"/>
          <w:sz w:val="16"/>
        </w:rPr>
        <w:t xml:space="preserve"> </w:t>
      </w:r>
      <w:r>
        <w:rPr>
          <w:color w:val="0075BF"/>
          <w:sz w:val="16"/>
        </w:rPr>
        <w:t>como</w:t>
      </w:r>
      <w:r>
        <w:rPr>
          <w:color w:val="0075BF"/>
          <w:spacing w:val="12"/>
          <w:sz w:val="16"/>
        </w:rPr>
        <w:t xml:space="preserve"> </w:t>
      </w:r>
      <w:r>
        <w:rPr>
          <w:color w:val="0075BF"/>
          <w:sz w:val="16"/>
        </w:rPr>
        <w:t>todos</w:t>
      </w:r>
      <w:r>
        <w:rPr>
          <w:color w:val="0075BF"/>
          <w:spacing w:val="12"/>
          <w:sz w:val="16"/>
        </w:rPr>
        <w:t xml:space="preserve"> </w:t>
      </w:r>
      <w:r>
        <w:rPr>
          <w:color w:val="0075BF"/>
          <w:sz w:val="16"/>
        </w:rPr>
        <w:t>los</w:t>
      </w:r>
      <w:r>
        <w:rPr>
          <w:color w:val="0075BF"/>
          <w:spacing w:val="12"/>
          <w:sz w:val="16"/>
        </w:rPr>
        <w:t xml:space="preserve"> </w:t>
      </w:r>
      <w:r>
        <w:rPr>
          <w:color w:val="0075BF"/>
          <w:sz w:val="16"/>
        </w:rPr>
        <w:t>actos</w:t>
      </w:r>
      <w:r>
        <w:rPr>
          <w:color w:val="0075BF"/>
          <w:spacing w:val="12"/>
          <w:sz w:val="16"/>
        </w:rPr>
        <w:t xml:space="preserve"> </w:t>
      </w:r>
      <w:r>
        <w:rPr>
          <w:color w:val="0075BF"/>
          <w:sz w:val="16"/>
        </w:rPr>
        <w:t>de</w:t>
      </w:r>
      <w:r>
        <w:rPr>
          <w:color w:val="0075BF"/>
          <w:spacing w:val="12"/>
          <w:sz w:val="16"/>
        </w:rPr>
        <w:t xml:space="preserve"> </w:t>
      </w:r>
      <w:r>
        <w:rPr>
          <w:color w:val="0075BF"/>
          <w:sz w:val="16"/>
        </w:rPr>
        <w:t>violencia</w:t>
      </w:r>
      <w:r>
        <w:rPr>
          <w:color w:val="0075BF"/>
          <w:spacing w:val="12"/>
          <w:sz w:val="16"/>
        </w:rPr>
        <w:t xml:space="preserve"> </w:t>
      </w:r>
      <w:r>
        <w:rPr>
          <w:color w:val="0075BF"/>
          <w:sz w:val="16"/>
        </w:rPr>
        <w:t>o</w:t>
      </w:r>
      <w:r>
        <w:rPr>
          <w:color w:val="0075BF"/>
          <w:spacing w:val="12"/>
          <w:sz w:val="16"/>
        </w:rPr>
        <w:t xml:space="preserve"> </w:t>
      </w:r>
      <w:r>
        <w:rPr>
          <w:color w:val="0075BF"/>
          <w:sz w:val="16"/>
        </w:rPr>
        <w:t>incitación</w:t>
      </w:r>
      <w:r>
        <w:rPr>
          <w:color w:val="0075BF"/>
          <w:spacing w:val="12"/>
          <w:sz w:val="16"/>
        </w:rPr>
        <w:t xml:space="preserve"> </w:t>
      </w:r>
      <w:r>
        <w:rPr>
          <w:color w:val="0075BF"/>
          <w:sz w:val="16"/>
        </w:rPr>
        <w:t>a</w:t>
      </w:r>
      <w:r>
        <w:rPr>
          <w:color w:val="0075BF"/>
          <w:spacing w:val="12"/>
          <w:sz w:val="16"/>
        </w:rPr>
        <w:t xml:space="preserve"> </w:t>
      </w:r>
      <w:r>
        <w:rPr>
          <w:color w:val="0075BF"/>
          <w:sz w:val="16"/>
        </w:rPr>
        <w:t>tales</w:t>
      </w:r>
      <w:r>
        <w:rPr>
          <w:color w:val="0075BF"/>
          <w:spacing w:val="12"/>
          <w:sz w:val="16"/>
        </w:rPr>
        <w:t xml:space="preserve"> </w:t>
      </w:r>
      <w:r>
        <w:rPr>
          <w:color w:val="0075BF"/>
          <w:sz w:val="16"/>
        </w:rPr>
        <w:t>actos</w:t>
      </w:r>
      <w:r>
        <w:rPr>
          <w:color w:val="0075BF"/>
          <w:spacing w:val="12"/>
          <w:sz w:val="16"/>
        </w:rPr>
        <w:t xml:space="preserve"> </w:t>
      </w:r>
      <w:r>
        <w:rPr>
          <w:color w:val="0075BF"/>
          <w:sz w:val="16"/>
        </w:rPr>
        <w:t>contra</w:t>
      </w:r>
      <w:r>
        <w:rPr>
          <w:color w:val="0075BF"/>
          <w:spacing w:val="12"/>
          <w:sz w:val="16"/>
        </w:rPr>
        <w:t xml:space="preserve"> </w:t>
      </w:r>
      <w:r>
        <w:rPr>
          <w:color w:val="0075BF"/>
          <w:sz w:val="16"/>
        </w:rPr>
        <w:t>cualquier raza</w:t>
      </w:r>
      <w:r>
        <w:rPr>
          <w:color w:val="0075BF"/>
          <w:spacing w:val="10"/>
          <w:sz w:val="16"/>
        </w:rPr>
        <w:t xml:space="preserve"> </w:t>
      </w:r>
      <w:r>
        <w:rPr>
          <w:color w:val="0075BF"/>
          <w:sz w:val="16"/>
        </w:rPr>
        <w:t>o</w:t>
      </w:r>
      <w:r>
        <w:rPr>
          <w:color w:val="0075BF"/>
          <w:spacing w:val="10"/>
          <w:sz w:val="16"/>
        </w:rPr>
        <w:t xml:space="preserve"> </w:t>
      </w:r>
      <w:r>
        <w:rPr>
          <w:color w:val="0075BF"/>
          <w:sz w:val="16"/>
        </w:rPr>
        <w:t>grupo</w:t>
      </w:r>
      <w:r>
        <w:rPr>
          <w:color w:val="0075BF"/>
          <w:spacing w:val="10"/>
          <w:sz w:val="16"/>
        </w:rPr>
        <w:t xml:space="preserve"> </w:t>
      </w:r>
      <w:r>
        <w:rPr>
          <w:color w:val="0075BF"/>
          <w:sz w:val="16"/>
        </w:rPr>
        <w:t>de</w:t>
      </w:r>
      <w:r>
        <w:rPr>
          <w:color w:val="0075BF"/>
          <w:spacing w:val="10"/>
          <w:sz w:val="16"/>
        </w:rPr>
        <w:t xml:space="preserve"> </w:t>
      </w:r>
      <w:r>
        <w:rPr>
          <w:color w:val="0075BF"/>
          <w:sz w:val="16"/>
        </w:rPr>
        <w:t>personas</w:t>
      </w:r>
      <w:r>
        <w:rPr>
          <w:color w:val="0075BF"/>
          <w:spacing w:val="10"/>
          <w:sz w:val="16"/>
        </w:rPr>
        <w:t xml:space="preserve"> </w:t>
      </w:r>
      <w:r>
        <w:rPr>
          <w:color w:val="0075BF"/>
          <w:sz w:val="16"/>
        </w:rPr>
        <w:t>de</w:t>
      </w:r>
      <w:r>
        <w:rPr>
          <w:color w:val="0075BF"/>
          <w:spacing w:val="10"/>
          <w:sz w:val="16"/>
        </w:rPr>
        <w:t xml:space="preserve"> </w:t>
      </w:r>
      <w:r>
        <w:rPr>
          <w:color w:val="0075BF"/>
          <w:sz w:val="16"/>
        </w:rPr>
        <w:t>otro</w:t>
      </w:r>
      <w:r>
        <w:rPr>
          <w:color w:val="0075BF"/>
          <w:spacing w:val="10"/>
          <w:sz w:val="16"/>
        </w:rPr>
        <w:t xml:space="preserve"> </w:t>
      </w:r>
      <w:r>
        <w:rPr>
          <w:color w:val="0075BF"/>
          <w:sz w:val="16"/>
        </w:rPr>
        <w:t>color</w:t>
      </w:r>
      <w:r>
        <w:rPr>
          <w:color w:val="0075BF"/>
          <w:spacing w:val="10"/>
          <w:sz w:val="16"/>
        </w:rPr>
        <w:t xml:space="preserve"> </w:t>
      </w:r>
      <w:r>
        <w:rPr>
          <w:color w:val="0075BF"/>
          <w:sz w:val="16"/>
        </w:rPr>
        <w:t>o</w:t>
      </w:r>
      <w:r>
        <w:rPr>
          <w:color w:val="0075BF"/>
          <w:spacing w:val="10"/>
          <w:sz w:val="16"/>
        </w:rPr>
        <w:t xml:space="preserve"> </w:t>
      </w:r>
      <w:r>
        <w:rPr>
          <w:color w:val="0075BF"/>
          <w:sz w:val="16"/>
        </w:rPr>
        <w:t>etnia.</w:t>
      </w:r>
      <w:r>
        <w:rPr>
          <w:color w:val="0075BF"/>
          <w:spacing w:val="10"/>
          <w:sz w:val="16"/>
        </w:rPr>
        <w:t xml:space="preserve"> </w:t>
      </w:r>
      <w:r>
        <w:rPr>
          <w:color w:val="0075BF"/>
          <w:sz w:val="16"/>
        </w:rPr>
        <w:t>origen,</w:t>
      </w:r>
      <w:r>
        <w:rPr>
          <w:color w:val="0075BF"/>
          <w:spacing w:val="11"/>
          <w:sz w:val="16"/>
        </w:rPr>
        <w:t xml:space="preserve"> </w:t>
      </w:r>
      <w:r>
        <w:rPr>
          <w:color w:val="0075BF"/>
          <w:sz w:val="16"/>
        </w:rPr>
        <w:t>así</w:t>
      </w:r>
      <w:r>
        <w:rPr>
          <w:color w:val="0075BF"/>
          <w:spacing w:val="10"/>
          <w:sz w:val="16"/>
        </w:rPr>
        <w:t xml:space="preserve"> </w:t>
      </w:r>
      <w:r>
        <w:rPr>
          <w:color w:val="0075BF"/>
          <w:sz w:val="16"/>
        </w:rPr>
        <w:t>como</w:t>
      </w:r>
      <w:r>
        <w:rPr>
          <w:color w:val="0075BF"/>
          <w:spacing w:val="10"/>
          <w:sz w:val="16"/>
        </w:rPr>
        <w:t xml:space="preserve"> </w:t>
      </w:r>
      <w:r>
        <w:rPr>
          <w:color w:val="0075BF"/>
          <w:sz w:val="16"/>
        </w:rPr>
        <w:t>la</w:t>
      </w:r>
      <w:r>
        <w:rPr>
          <w:color w:val="0075BF"/>
          <w:spacing w:val="10"/>
          <w:sz w:val="16"/>
        </w:rPr>
        <w:t xml:space="preserve"> </w:t>
      </w:r>
      <w:r>
        <w:rPr>
          <w:color w:val="0075BF"/>
          <w:sz w:val="16"/>
        </w:rPr>
        <w:t>prestación</w:t>
      </w:r>
      <w:r>
        <w:rPr>
          <w:color w:val="0075BF"/>
          <w:spacing w:val="10"/>
          <w:sz w:val="16"/>
        </w:rPr>
        <w:t xml:space="preserve"> </w:t>
      </w:r>
      <w:r>
        <w:rPr>
          <w:color w:val="0075BF"/>
          <w:sz w:val="16"/>
        </w:rPr>
        <w:t>de</w:t>
      </w:r>
      <w:r>
        <w:rPr>
          <w:color w:val="0075BF"/>
          <w:spacing w:val="10"/>
          <w:sz w:val="16"/>
        </w:rPr>
        <w:t xml:space="preserve"> </w:t>
      </w:r>
      <w:r>
        <w:rPr>
          <w:color w:val="0075BF"/>
          <w:sz w:val="16"/>
        </w:rPr>
        <w:t>cualquier</w:t>
      </w:r>
      <w:r>
        <w:rPr>
          <w:color w:val="0075BF"/>
          <w:spacing w:val="10"/>
          <w:sz w:val="16"/>
        </w:rPr>
        <w:t xml:space="preserve"> </w:t>
      </w:r>
      <w:r>
        <w:rPr>
          <w:color w:val="0075BF"/>
          <w:sz w:val="16"/>
        </w:rPr>
        <w:t>tipo</w:t>
      </w:r>
      <w:r>
        <w:rPr>
          <w:color w:val="0075BF"/>
          <w:spacing w:val="10"/>
          <w:sz w:val="16"/>
        </w:rPr>
        <w:t xml:space="preserve"> </w:t>
      </w:r>
      <w:r>
        <w:rPr>
          <w:color w:val="0075BF"/>
          <w:sz w:val="16"/>
        </w:rPr>
        <w:t>de</w:t>
      </w:r>
      <w:r>
        <w:rPr>
          <w:color w:val="0075BF"/>
          <w:spacing w:val="10"/>
          <w:sz w:val="16"/>
        </w:rPr>
        <w:t xml:space="preserve"> </w:t>
      </w:r>
      <w:r>
        <w:rPr>
          <w:color w:val="0075BF"/>
          <w:sz w:val="16"/>
        </w:rPr>
        <w:t>asistencia a actividades racistas, incluida su financiación;</w:t>
      </w:r>
    </w:p>
    <w:p w14:paraId="53C37E00" w14:textId="77777777" w:rsidR="0014798C" w:rsidRDefault="004E1F0B">
      <w:pPr>
        <w:pStyle w:val="Prrafodelista"/>
        <w:numPr>
          <w:ilvl w:val="1"/>
          <w:numId w:val="8"/>
        </w:numPr>
        <w:tabs>
          <w:tab w:val="left" w:pos="2099"/>
          <w:tab w:val="left" w:pos="2241"/>
        </w:tabs>
        <w:spacing w:before="55" w:line="326" w:lineRule="auto"/>
        <w:ind w:left="2241" w:right="1750" w:hanging="331"/>
        <w:rPr>
          <w:sz w:val="16"/>
        </w:rPr>
      </w:pPr>
      <w:r>
        <w:rPr>
          <w:color w:val="0075BF"/>
          <w:sz w:val="16"/>
        </w:rPr>
        <w:t>Declarará ilegales y prohibirá las organizaciones, así como las actividades organizadas y cualquier otra actividad propagandística, que promuevan e inciten a la discriminación racial, y reconocerá la participación en dichas organizaciones o actividades como un delito punible por la ley;</w:t>
      </w:r>
    </w:p>
    <w:p w14:paraId="0DC5A6BC" w14:textId="77777777" w:rsidR="0014798C" w:rsidRDefault="004E1F0B">
      <w:pPr>
        <w:pStyle w:val="Prrafodelista"/>
        <w:numPr>
          <w:ilvl w:val="1"/>
          <w:numId w:val="8"/>
        </w:numPr>
        <w:tabs>
          <w:tab w:val="left" w:pos="2090"/>
          <w:tab w:val="left" w:pos="2241"/>
        </w:tabs>
        <w:spacing w:before="55" w:line="271" w:lineRule="auto"/>
        <w:ind w:left="2241" w:right="2022" w:hanging="331"/>
        <w:rPr>
          <w:sz w:val="16"/>
        </w:rPr>
      </w:pPr>
      <w:r>
        <w:rPr>
          <w:color w:val="0075BF"/>
          <w:sz w:val="16"/>
        </w:rPr>
        <w:t>No permitirán que las autoridades o instituciones públicas, nacionales o locales, promuevan o inciten a la discriminación racial.</w:t>
      </w:r>
    </w:p>
    <w:p w14:paraId="729A40E0" w14:textId="77777777" w:rsidR="0014798C" w:rsidRDefault="004E1F0B">
      <w:pPr>
        <w:spacing w:before="163" w:line="290" w:lineRule="auto"/>
        <w:ind w:left="1107" w:right="1166" w:hanging="1"/>
        <w:rPr>
          <w:sz w:val="18"/>
        </w:rPr>
      </w:pPr>
      <w:r>
        <w:rPr>
          <w:sz w:val="18"/>
        </w:rPr>
        <w:t>El</w:t>
      </w:r>
      <w:r>
        <w:rPr>
          <w:spacing w:val="17"/>
          <w:sz w:val="18"/>
        </w:rPr>
        <w:t xml:space="preserve"> </w:t>
      </w:r>
      <w:r>
        <w:rPr>
          <w:sz w:val="18"/>
        </w:rPr>
        <w:t>artículo</w:t>
      </w:r>
      <w:r>
        <w:rPr>
          <w:spacing w:val="17"/>
          <w:sz w:val="18"/>
        </w:rPr>
        <w:t xml:space="preserve"> </w:t>
      </w:r>
      <w:r>
        <w:rPr>
          <w:sz w:val="18"/>
        </w:rPr>
        <w:t>4</w:t>
      </w:r>
      <w:r>
        <w:rPr>
          <w:spacing w:val="18"/>
          <w:sz w:val="18"/>
        </w:rPr>
        <w:t xml:space="preserve"> </w:t>
      </w:r>
      <w:r>
        <w:rPr>
          <w:sz w:val="18"/>
        </w:rPr>
        <w:t>crea</w:t>
      </w:r>
      <w:r>
        <w:rPr>
          <w:spacing w:val="18"/>
          <w:sz w:val="18"/>
        </w:rPr>
        <w:t xml:space="preserve"> </w:t>
      </w:r>
      <w:r>
        <w:rPr>
          <w:sz w:val="18"/>
        </w:rPr>
        <w:t>obligaciones</w:t>
      </w:r>
      <w:r>
        <w:rPr>
          <w:spacing w:val="17"/>
          <w:sz w:val="18"/>
        </w:rPr>
        <w:t xml:space="preserve"> </w:t>
      </w:r>
      <w:r>
        <w:rPr>
          <w:sz w:val="18"/>
        </w:rPr>
        <w:t>para</w:t>
      </w:r>
      <w:r>
        <w:rPr>
          <w:spacing w:val="18"/>
          <w:sz w:val="18"/>
        </w:rPr>
        <w:t xml:space="preserve"> </w:t>
      </w:r>
      <w:r>
        <w:rPr>
          <w:sz w:val="18"/>
        </w:rPr>
        <w:t>los</w:t>
      </w:r>
      <w:r>
        <w:rPr>
          <w:spacing w:val="18"/>
          <w:sz w:val="18"/>
        </w:rPr>
        <w:t xml:space="preserve"> </w:t>
      </w:r>
      <w:r>
        <w:rPr>
          <w:sz w:val="18"/>
        </w:rPr>
        <w:t>Estados</w:t>
      </w:r>
      <w:r>
        <w:rPr>
          <w:spacing w:val="17"/>
          <w:sz w:val="18"/>
        </w:rPr>
        <w:t xml:space="preserve"> </w:t>
      </w:r>
      <w:r>
        <w:rPr>
          <w:sz w:val="18"/>
        </w:rPr>
        <w:t>que</w:t>
      </w:r>
      <w:r>
        <w:rPr>
          <w:spacing w:val="18"/>
          <w:sz w:val="18"/>
        </w:rPr>
        <w:t xml:space="preserve"> </w:t>
      </w:r>
      <w:r>
        <w:rPr>
          <w:sz w:val="18"/>
        </w:rPr>
        <w:t>están</w:t>
      </w:r>
      <w:r>
        <w:rPr>
          <w:spacing w:val="17"/>
          <w:sz w:val="18"/>
        </w:rPr>
        <w:t xml:space="preserve"> </w:t>
      </w:r>
      <w:r>
        <w:rPr>
          <w:sz w:val="18"/>
        </w:rPr>
        <w:t>relacionadas</w:t>
      </w:r>
      <w:r>
        <w:rPr>
          <w:spacing w:val="17"/>
          <w:sz w:val="18"/>
        </w:rPr>
        <w:t xml:space="preserve"> </w:t>
      </w:r>
      <w:r>
        <w:rPr>
          <w:sz w:val="18"/>
        </w:rPr>
        <w:t>con</w:t>
      </w:r>
      <w:r>
        <w:rPr>
          <w:spacing w:val="18"/>
          <w:sz w:val="18"/>
        </w:rPr>
        <w:t xml:space="preserve"> </w:t>
      </w:r>
      <w:r>
        <w:rPr>
          <w:sz w:val="18"/>
        </w:rPr>
        <w:t>las</w:t>
      </w:r>
      <w:r>
        <w:rPr>
          <w:spacing w:val="18"/>
          <w:sz w:val="18"/>
        </w:rPr>
        <w:t xml:space="preserve"> </w:t>
      </w:r>
      <w:r>
        <w:rPr>
          <w:sz w:val="18"/>
        </w:rPr>
        <w:t>previstas</w:t>
      </w:r>
      <w:r>
        <w:rPr>
          <w:spacing w:val="17"/>
          <w:sz w:val="18"/>
        </w:rPr>
        <w:t xml:space="preserve"> </w:t>
      </w:r>
      <w:r>
        <w:rPr>
          <w:sz w:val="18"/>
        </w:rPr>
        <w:t>en</w:t>
      </w:r>
      <w:r>
        <w:rPr>
          <w:spacing w:val="18"/>
          <w:sz w:val="18"/>
        </w:rPr>
        <w:t xml:space="preserve"> </w:t>
      </w:r>
      <w:r>
        <w:rPr>
          <w:sz w:val="18"/>
        </w:rPr>
        <w:t>los</w:t>
      </w:r>
      <w:r>
        <w:rPr>
          <w:spacing w:val="18"/>
          <w:sz w:val="18"/>
        </w:rPr>
        <w:t xml:space="preserve"> </w:t>
      </w:r>
      <w:r>
        <w:rPr>
          <w:sz w:val="18"/>
        </w:rPr>
        <w:t>artículos</w:t>
      </w:r>
      <w:r>
        <w:rPr>
          <w:spacing w:val="17"/>
          <w:sz w:val="18"/>
        </w:rPr>
        <w:t xml:space="preserve"> </w:t>
      </w:r>
      <w:r>
        <w:rPr>
          <w:sz w:val="18"/>
        </w:rPr>
        <w:t>19</w:t>
      </w:r>
      <w:r>
        <w:rPr>
          <w:spacing w:val="18"/>
          <w:sz w:val="18"/>
        </w:rPr>
        <w:t xml:space="preserve"> </w:t>
      </w:r>
      <w:r>
        <w:rPr>
          <w:sz w:val="18"/>
        </w:rPr>
        <w:t>(3)</w:t>
      </w:r>
      <w:r>
        <w:rPr>
          <w:spacing w:val="18"/>
          <w:sz w:val="18"/>
        </w:rPr>
        <w:t xml:space="preserve"> </w:t>
      </w:r>
      <w:r>
        <w:rPr>
          <w:sz w:val="18"/>
        </w:rPr>
        <w:t>y 20 del Pacto Internacional de Derechos Civiles y Políticos, pero que son discretas y diferentes. En particular, el</w:t>
      </w:r>
      <w:r>
        <w:rPr>
          <w:spacing w:val="40"/>
          <w:sz w:val="18"/>
        </w:rPr>
        <w:t xml:space="preserve"> </w:t>
      </w:r>
      <w:r>
        <w:rPr>
          <w:sz w:val="18"/>
        </w:rPr>
        <w:t>artículo 4 a) prohíbe la difusión de ideas basadas en la superioridad o el odio racial, en lugar de la incitación al odio.</w:t>
      </w:r>
    </w:p>
    <w:p w14:paraId="22B7D5A0" w14:textId="77777777" w:rsidR="0014798C" w:rsidRDefault="004E1F0B">
      <w:pPr>
        <w:pStyle w:val="Textoindependiente"/>
        <w:spacing w:before="32" w:line="326" w:lineRule="auto"/>
        <w:ind w:left="1107" w:right="1479" w:hanging="1"/>
      </w:pPr>
      <w:r>
        <w:t>Como ha señalado el Alto Comisionado para los Derechos Humanos: “el artículo 4 (a) de [la Convención Internacional sobre la Eliminación de todas las Formas de Discriminación Racial] prohíbe la mera difusión de ideas basadas en la superioridad y el</w:t>
      </w:r>
      <w:r>
        <w:rPr>
          <w:spacing w:val="40"/>
        </w:rPr>
        <w:t xml:space="preserve"> </w:t>
      </w:r>
      <w:r>
        <w:t>odio racial... la difusión de la idea misma es lo que atrae sanción sin ningún otro requisito sobre su intención o impacto”.</w:t>
      </w:r>
    </w:p>
    <w:p w14:paraId="018B2588" w14:textId="77777777" w:rsidR="0014798C" w:rsidRDefault="004E1F0B">
      <w:pPr>
        <w:pStyle w:val="Textoindependiente"/>
        <w:spacing w:line="326" w:lineRule="auto"/>
        <w:ind w:left="1111" w:right="1272" w:firstLine="3764"/>
      </w:pPr>
      <w:r>
        <w:t>1178 En el mismo informe, el Comisionado señaló que: “Esto puede parecer una diferencia sutil, pero es importante para determinar el alcance de la ley”.1179</w:t>
      </w:r>
    </w:p>
    <w:p w14:paraId="522B940B" w14:textId="77777777" w:rsidR="0014798C" w:rsidRDefault="004E1F0B">
      <w:pPr>
        <w:pStyle w:val="Textoindependiente"/>
        <w:spacing w:before="167" w:line="326" w:lineRule="auto"/>
        <w:ind w:left="1107" w:right="1335" w:hanging="1"/>
      </w:pPr>
      <w:r>
        <w:t>Sin embargo, el Comité para la Eliminación de la Discriminación Racial ha señalado la necesidad de que las violaciones alcancen</w:t>
      </w:r>
      <w:r>
        <w:rPr>
          <w:spacing w:val="40"/>
        </w:rPr>
        <w:t xml:space="preserve"> </w:t>
      </w:r>
      <w:r>
        <w:t>el</w:t>
      </w:r>
      <w:r>
        <w:rPr>
          <w:spacing w:val="13"/>
        </w:rPr>
        <w:t xml:space="preserve"> </w:t>
      </w:r>
      <w:r>
        <w:t>nivel</w:t>
      </w:r>
      <w:r>
        <w:rPr>
          <w:spacing w:val="13"/>
        </w:rPr>
        <w:t xml:space="preserve"> </w:t>
      </w:r>
      <w:r>
        <w:t>de</w:t>
      </w:r>
      <w:r>
        <w:rPr>
          <w:spacing w:val="13"/>
        </w:rPr>
        <w:t xml:space="preserve"> </w:t>
      </w:r>
      <w:r>
        <w:t>incitación,</w:t>
      </w:r>
      <w:r>
        <w:rPr>
          <w:spacing w:val="14"/>
        </w:rPr>
        <w:t xml:space="preserve"> </w:t>
      </w:r>
      <w:r>
        <w:t>señalando</w:t>
      </w:r>
      <w:r>
        <w:rPr>
          <w:spacing w:val="13"/>
        </w:rPr>
        <w:t xml:space="preserve"> </w:t>
      </w:r>
      <w:r>
        <w:t>que</w:t>
      </w:r>
      <w:r>
        <w:rPr>
          <w:spacing w:val="13"/>
        </w:rPr>
        <w:t xml:space="preserve"> </w:t>
      </w:r>
      <w:r>
        <w:t>“las</w:t>
      </w:r>
      <w:r>
        <w:rPr>
          <w:spacing w:val="13"/>
        </w:rPr>
        <w:t xml:space="preserve"> </w:t>
      </w:r>
      <w:r>
        <w:t>negaciones</w:t>
      </w:r>
      <w:r>
        <w:rPr>
          <w:spacing w:val="13"/>
        </w:rPr>
        <w:t xml:space="preserve"> </w:t>
      </w:r>
      <w:r>
        <w:t>públicas</w:t>
      </w:r>
      <w:r>
        <w:rPr>
          <w:spacing w:val="13"/>
        </w:rPr>
        <w:t xml:space="preserve"> </w:t>
      </w:r>
      <w:r>
        <w:t>o</w:t>
      </w:r>
      <w:r>
        <w:rPr>
          <w:spacing w:val="13"/>
        </w:rPr>
        <w:t xml:space="preserve"> </w:t>
      </w:r>
      <w:r>
        <w:t>los</w:t>
      </w:r>
      <w:r>
        <w:rPr>
          <w:spacing w:val="13"/>
        </w:rPr>
        <w:t xml:space="preserve"> </w:t>
      </w:r>
      <w:r>
        <w:t>intentos</w:t>
      </w:r>
      <w:r>
        <w:rPr>
          <w:spacing w:val="13"/>
        </w:rPr>
        <w:t xml:space="preserve"> </w:t>
      </w:r>
      <w:r>
        <w:t>de</w:t>
      </w:r>
      <w:r>
        <w:rPr>
          <w:spacing w:val="13"/>
        </w:rPr>
        <w:t xml:space="preserve"> </w:t>
      </w:r>
      <w:r>
        <w:t>justificar</w:t>
      </w:r>
      <w:r>
        <w:rPr>
          <w:spacing w:val="13"/>
        </w:rPr>
        <w:t xml:space="preserve"> </w:t>
      </w:r>
      <w:r>
        <w:t>crímenes</w:t>
      </w:r>
      <w:r>
        <w:rPr>
          <w:spacing w:val="13"/>
        </w:rPr>
        <w:t xml:space="preserve"> </w:t>
      </w:r>
      <w:r>
        <w:t>de</w:t>
      </w:r>
      <w:r>
        <w:rPr>
          <w:spacing w:val="13"/>
        </w:rPr>
        <w:t xml:space="preserve"> </w:t>
      </w:r>
      <w:r>
        <w:t>genocidio</w:t>
      </w:r>
      <w:r>
        <w:rPr>
          <w:spacing w:val="13"/>
        </w:rPr>
        <w:t xml:space="preserve"> </w:t>
      </w:r>
      <w:r>
        <w:t>y</w:t>
      </w:r>
      <w:r>
        <w:rPr>
          <w:spacing w:val="13"/>
        </w:rPr>
        <w:t xml:space="preserve"> </w:t>
      </w:r>
      <w:r>
        <w:t>crímenes</w:t>
      </w:r>
      <w:r>
        <w:rPr>
          <w:spacing w:val="13"/>
        </w:rPr>
        <w:t xml:space="preserve"> </w:t>
      </w:r>
      <w:r>
        <w:t xml:space="preserve">de lesa humanidad, tal como los define el derecho internacional, deben </w:t>
      </w:r>
      <w:proofErr w:type="gramStart"/>
      <w:r>
        <w:t>declararse como</w:t>
      </w:r>
      <w:proofErr w:type="gramEnd"/>
      <w:r>
        <w:t xml:space="preserve"> delitos punibles con</w:t>
      </w:r>
    </w:p>
    <w:p w14:paraId="6CDB4854" w14:textId="77777777" w:rsidR="0014798C" w:rsidRDefault="0014798C">
      <w:pPr>
        <w:pStyle w:val="Textoindependiente"/>
        <w:rPr>
          <w:sz w:val="14"/>
        </w:rPr>
      </w:pPr>
    </w:p>
    <w:p w14:paraId="3372BE1F" w14:textId="77777777" w:rsidR="0014798C" w:rsidRDefault="0014798C">
      <w:pPr>
        <w:pStyle w:val="Textoindependiente"/>
        <w:rPr>
          <w:sz w:val="14"/>
        </w:rPr>
      </w:pPr>
    </w:p>
    <w:p w14:paraId="53F46BA0" w14:textId="77777777" w:rsidR="0014798C" w:rsidRDefault="0014798C">
      <w:pPr>
        <w:pStyle w:val="Textoindependiente"/>
        <w:rPr>
          <w:sz w:val="14"/>
        </w:rPr>
      </w:pPr>
    </w:p>
    <w:p w14:paraId="62D1B416" w14:textId="77777777" w:rsidR="0014798C" w:rsidRDefault="0014798C">
      <w:pPr>
        <w:pStyle w:val="Textoindependiente"/>
        <w:rPr>
          <w:sz w:val="14"/>
        </w:rPr>
      </w:pPr>
    </w:p>
    <w:p w14:paraId="21F69D77" w14:textId="77777777" w:rsidR="0014798C" w:rsidRDefault="0014798C">
      <w:pPr>
        <w:pStyle w:val="Textoindependiente"/>
        <w:spacing w:before="67"/>
        <w:rPr>
          <w:sz w:val="14"/>
        </w:rPr>
      </w:pPr>
    </w:p>
    <w:p w14:paraId="0D03A02C" w14:textId="77777777" w:rsidR="0014798C" w:rsidRDefault="004E1F0B">
      <w:pPr>
        <w:ind w:left="1111"/>
        <w:rPr>
          <w:sz w:val="14"/>
        </w:rPr>
      </w:pPr>
      <w:r>
        <w:rPr>
          <w:sz w:val="14"/>
          <w:vertAlign w:val="superscript"/>
        </w:rPr>
        <w:t>1177</w:t>
      </w:r>
      <w:r>
        <w:rPr>
          <w:spacing w:val="21"/>
          <w:sz w:val="14"/>
        </w:rPr>
        <w:t xml:space="preserve"> </w:t>
      </w:r>
      <w:r>
        <w:rPr>
          <w:sz w:val="14"/>
        </w:rPr>
        <w:t>A/74/486,</w:t>
      </w:r>
      <w:r>
        <w:rPr>
          <w:spacing w:val="1"/>
          <w:sz w:val="14"/>
        </w:rPr>
        <w:t xml:space="preserve"> </w:t>
      </w:r>
      <w:r>
        <w:rPr>
          <w:sz w:val="14"/>
        </w:rPr>
        <w:t>párr.</w:t>
      </w:r>
      <w:r>
        <w:rPr>
          <w:spacing w:val="-1"/>
          <w:sz w:val="14"/>
        </w:rPr>
        <w:t xml:space="preserve"> </w:t>
      </w:r>
      <w:r>
        <w:rPr>
          <w:sz w:val="14"/>
        </w:rPr>
        <w:t>47</w:t>
      </w:r>
      <w:r>
        <w:rPr>
          <w:spacing w:val="-1"/>
          <w:sz w:val="14"/>
        </w:rPr>
        <w:t xml:space="preserve"> </w:t>
      </w:r>
      <w:r>
        <w:rPr>
          <w:sz w:val="14"/>
        </w:rPr>
        <w:t>d).</w:t>
      </w:r>
      <w:r>
        <w:rPr>
          <w:spacing w:val="-1"/>
          <w:sz w:val="14"/>
        </w:rPr>
        <w:t xml:space="preserve"> </w:t>
      </w:r>
      <w:r>
        <w:rPr>
          <w:sz w:val="14"/>
        </w:rPr>
        <w:t>Véase también</w:t>
      </w:r>
      <w:r>
        <w:rPr>
          <w:spacing w:val="-1"/>
          <w:sz w:val="14"/>
        </w:rPr>
        <w:t xml:space="preserve"> </w:t>
      </w:r>
      <w:r>
        <w:rPr>
          <w:sz w:val="14"/>
        </w:rPr>
        <w:t>Comité</w:t>
      </w:r>
      <w:r>
        <w:rPr>
          <w:spacing w:val="-1"/>
          <w:sz w:val="14"/>
        </w:rPr>
        <w:t xml:space="preserve"> </w:t>
      </w:r>
      <w:r>
        <w:rPr>
          <w:sz w:val="14"/>
        </w:rPr>
        <w:t>para</w:t>
      </w:r>
      <w:r>
        <w:rPr>
          <w:spacing w:val="-1"/>
          <w:sz w:val="14"/>
        </w:rPr>
        <w:t xml:space="preserve"> </w:t>
      </w:r>
      <w:r>
        <w:rPr>
          <w:sz w:val="14"/>
        </w:rPr>
        <w:t>la Eliminación</w:t>
      </w:r>
      <w:r>
        <w:rPr>
          <w:spacing w:val="-1"/>
          <w:sz w:val="14"/>
        </w:rPr>
        <w:t xml:space="preserve"> </w:t>
      </w:r>
      <w:r>
        <w:rPr>
          <w:sz w:val="14"/>
        </w:rPr>
        <w:t>de</w:t>
      </w:r>
      <w:r>
        <w:rPr>
          <w:spacing w:val="-1"/>
          <w:sz w:val="14"/>
        </w:rPr>
        <w:t xml:space="preserve"> </w:t>
      </w:r>
      <w:r>
        <w:rPr>
          <w:sz w:val="14"/>
        </w:rPr>
        <w:t>la</w:t>
      </w:r>
      <w:r>
        <w:rPr>
          <w:spacing w:val="-1"/>
          <w:sz w:val="14"/>
        </w:rPr>
        <w:t xml:space="preserve"> </w:t>
      </w:r>
      <w:r>
        <w:rPr>
          <w:sz w:val="14"/>
        </w:rPr>
        <w:t>Discriminación Racial, recomendación</w:t>
      </w:r>
      <w:r>
        <w:rPr>
          <w:spacing w:val="-1"/>
          <w:sz w:val="14"/>
        </w:rPr>
        <w:t xml:space="preserve"> </w:t>
      </w:r>
      <w:r>
        <w:rPr>
          <w:sz w:val="14"/>
        </w:rPr>
        <w:t>general</w:t>
      </w:r>
      <w:r>
        <w:rPr>
          <w:spacing w:val="-1"/>
          <w:sz w:val="14"/>
        </w:rPr>
        <w:t xml:space="preserve"> </w:t>
      </w:r>
      <w:r>
        <w:rPr>
          <w:sz w:val="14"/>
        </w:rPr>
        <w:t>núm. 35</w:t>
      </w:r>
      <w:r>
        <w:rPr>
          <w:spacing w:val="-1"/>
          <w:sz w:val="14"/>
        </w:rPr>
        <w:t xml:space="preserve"> </w:t>
      </w:r>
      <w:r>
        <w:rPr>
          <w:sz w:val="14"/>
        </w:rPr>
        <w:t>(2013), párr.</w:t>
      </w:r>
      <w:r>
        <w:rPr>
          <w:spacing w:val="-1"/>
          <w:sz w:val="14"/>
        </w:rPr>
        <w:t xml:space="preserve"> </w:t>
      </w:r>
      <w:r>
        <w:rPr>
          <w:spacing w:val="-5"/>
          <w:sz w:val="14"/>
        </w:rPr>
        <w:t>15.</w:t>
      </w:r>
    </w:p>
    <w:p w14:paraId="5F246577" w14:textId="77777777" w:rsidR="0014798C" w:rsidRDefault="004E1F0B">
      <w:pPr>
        <w:spacing w:before="75"/>
        <w:ind w:left="1111"/>
        <w:rPr>
          <w:sz w:val="14"/>
        </w:rPr>
      </w:pPr>
      <w:r>
        <w:rPr>
          <w:sz w:val="14"/>
          <w:vertAlign w:val="superscript"/>
        </w:rPr>
        <w:t>1178</w:t>
      </w:r>
      <w:r>
        <w:rPr>
          <w:spacing w:val="23"/>
          <w:sz w:val="14"/>
        </w:rPr>
        <w:t xml:space="preserve"> </w:t>
      </w:r>
      <w:r>
        <w:rPr>
          <w:sz w:val="14"/>
        </w:rPr>
        <w:t>A/HRC/2/6,</w:t>
      </w:r>
      <w:r>
        <w:rPr>
          <w:spacing w:val="-2"/>
          <w:sz w:val="14"/>
        </w:rPr>
        <w:t xml:space="preserve"> </w:t>
      </w:r>
      <w:r>
        <w:rPr>
          <w:sz w:val="14"/>
        </w:rPr>
        <w:t>párr.</w:t>
      </w:r>
      <w:r>
        <w:rPr>
          <w:spacing w:val="-2"/>
          <w:sz w:val="14"/>
        </w:rPr>
        <w:t xml:space="preserve"> </w:t>
      </w:r>
      <w:r>
        <w:rPr>
          <w:spacing w:val="-5"/>
          <w:sz w:val="14"/>
        </w:rPr>
        <w:t>39.</w:t>
      </w:r>
    </w:p>
    <w:p w14:paraId="125569E3" w14:textId="77777777" w:rsidR="0014798C" w:rsidRDefault="004E1F0B">
      <w:pPr>
        <w:spacing w:before="112"/>
        <w:ind w:left="1111"/>
        <w:rPr>
          <w:sz w:val="10"/>
        </w:rPr>
      </w:pPr>
      <w:r>
        <w:rPr>
          <w:sz w:val="10"/>
        </w:rPr>
        <w:t>1179</w:t>
      </w:r>
      <w:r>
        <w:rPr>
          <w:spacing w:val="-1"/>
          <w:sz w:val="10"/>
        </w:rPr>
        <w:t xml:space="preserve"> </w:t>
      </w:r>
      <w:proofErr w:type="spellStart"/>
      <w:r>
        <w:rPr>
          <w:spacing w:val="-2"/>
          <w:sz w:val="10"/>
        </w:rPr>
        <w:t>Ibíd</w:t>
      </w:r>
      <w:proofErr w:type="spellEnd"/>
      <w:r>
        <w:rPr>
          <w:spacing w:val="-2"/>
          <w:sz w:val="10"/>
        </w:rPr>
        <w:t>.</w:t>
      </w:r>
    </w:p>
    <w:p w14:paraId="71CBF344" w14:textId="77777777" w:rsidR="0014798C" w:rsidRDefault="0014798C">
      <w:pPr>
        <w:pStyle w:val="Textoindependiente"/>
        <w:rPr>
          <w:sz w:val="17"/>
        </w:rPr>
      </w:pPr>
    </w:p>
    <w:p w14:paraId="384074AF" w14:textId="77777777" w:rsidR="0014798C" w:rsidRDefault="0014798C">
      <w:pPr>
        <w:pStyle w:val="Textoindependiente"/>
        <w:rPr>
          <w:sz w:val="17"/>
        </w:rPr>
      </w:pPr>
    </w:p>
    <w:p w14:paraId="1BC93684" w14:textId="77777777" w:rsidR="0014798C" w:rsidRDefault="0014798C">
      <w:pPr>
        <w:pStyle w:val="Textoindependiente"/>
        <w:spacing w:before="69"/>
        <w:rPr>
          <w:sz w:val="17"/>
        </w:rPr>
      </w:pPr>
    </w:p>
    <w:p w14:paraId="113D30BC" w14:textId="77777777" w:rsidR="0014798C" w:rsidRDefault="004E1F0B">
      <w:pPr>
        <w:spacing w:before="1"/>
        <w:ind w:right="712"/>
        <w:jc w:val="right"/>
        <w:rPr>
          <w:sz w:val="17"/>
        </w:rPr>
      </w:pPr>
      <w:r>
        <w:rPr>
          <w:spacing w:val="-5"/>
          <w:w w:val="105"/>
          <w:sz w:val="17"/>
        </w:rPr>
        <w:t>183</w:t>
      </w:r>
    </w:p>
    <w:p w14:paraId="73835A69" w14:textId="77777777" w:rsidR="0014798C" w:rsidRDefault="0014798C">
      <w:pPr>
        <w:jc w:val="right"/>
        <w:rPr>
          <w:sz w:val="17"/>
        </w:rPr>
        <w:sectPr w:rsidR="0014798C" w:rsidSect="00F265E4">
          <w:pgSz w:w="11900" w:h="16820"/>
          <w:pgMar w:top="340" w:right="0" w:bottom="280" w:left="200" w:header="121" w:footer="0" w:gutter="0"/>
          <w:cols w:space="720"/>
        </w:sectPr>
      </w:pPr>
    </w:p>
    <w:p w14:paraId="11305E3E" w14:textId="77777777" w:rsidR="0014798C" w:rsidRDefault="0014798C">
      <w:pPr>
        <w:pStyle w:val="Textoindependiente"/>
        <w:spacing w:before="85"/>
        <w:rPr>
          <w:sz w:val="12"/>
        </w:rPr>
      </w:pPr>
    </w:p>
    <w:p w14:paraId="079C19D0" w14:textId="77777777" w:rsidR="0014798C" w:rsidRDefault="004E1F0B">
      <w:pPr>
        <w:ind w:left="1111"/>
        <w:rPr>
          <w:sz w:val="12"/>
        </w:rPr>
      </w:pPr>
      <w:r>
        <w:rPr>
          <w:color w:val="0075BF"/>
          <w:sz w:val="12"/>
        </w:rPr>
        <w:t>PROTECCIÓN</w:t>
      </w:r>
      <w:r>
        <w:rPr>
          <w:color w:val="0075BF"/>
          <w:spacing w:val="6"/>
          <w:sz w:val="12"/>
        </w:rPr>
        <w:t xml:space="preserve"> </w:t>
      </w:r>
      <w:r>
        <w:rPr>
          <w:color w:val="0075BF"/>
          <w:sz w:val="12"/>
        </w:rPr>
        <w:t>DE</w:t>
      </w:r>
      <w:r>
        <w:rPr>
          <w:color w:val="0075BF"/>
          <w:spacing w:val="7"/>
          <w:sz w:val="12"/>
        </w:rPr>
        <w:t xml:space="preserve"> </w:t>
      </w:r>
      <w:r>
        <w:rPr>
          <w:color w:val="0075BF"/>
          <w:sz w:val="12"/>
        </w:rPr>
        <w:t>LOS</w:t>
      </w:r>
      <w:r>
        <w:rPr>
          <w:color w:val="0075BF"/>
          <w:spacing w:val="8"/>
          <w:sz w:val="12"/>
        </w:rPr>
        <w:t xml:space="preserve"> </w:t>
      </w:r>
      <w:r>
        <w:rPr>
          <w:color w:val="0075BF"/>
          <w:sz w:val="12"/>
        </w:rPr>
        <w:t>DERECHOS</w:t>
      </w:r>
      <w:r>
        <w:rPr>
          <w:color w:val="0075BF"/>
          <w:spacing w:val="8"/>
          <w:sz w:val="12"/>
        </w:rPr>
        <w:t xml:space="preserve"> </w:t>
      </w:r>
      <w:r>
        <w:rPr>
          <w:color w:val="0075BF"/>
          <w:sz w:val="12"/>
        </w:rPr>
        <w:t>DE</w:t>
      </w:r>
      <w:r>
        <w:rPr>
          <w:color w:val="0075BF"/>
          <w:spacing w:val="6"/>
          <w:sz w:val="12"/>
        </w:rPr>
        <w:t xml:space="preserve"> </w:t>
      </w:r>
      <w:r>
        <w:rPr>
          <w:color w:val="0075BF"/>
          <w:sz w:val="12"/>
        </w:rPr>
        <w:t>LAS</w:t>
      </w:r>
      <w:r>
        <w:rPr>
          <w:color w:val="0075BF"/>
          <w:spacing w:val="7"/>
          <w:sz w:val="12"/>
        </w:rPr>
        <w:t xml:space="preserve"> </w:t>
      </w:r>
      <w:r>
        <w:rPr>
          <w:color w:val="0075BF"/>
          <w:sz w:val="12"/>
        </w:rPr>
        <w:t>MINORÍAS:</w:t>
      </w:r>
      <w:r>
        <w:rPr>
          <w:color w:val="0075BF"/>
          <w:spacing w:val="8"/>
          <w:sz w:val="12"/>
        </w:rPr>
        <w:t xml:space="preserve"> </w:t>
      </w:r>
      <w:r>
        <w:rPr>
          <w:color w:val="0075BF"/>
          <w:sz w:val="12"/>
        </w:rPr>
        <w:t>una</w:t>
      </w:r>
      <w:r>
        <w:rPr>
          <w:color w:val="0075BF"/>
          <w:spacing w:val="7"/>
          <w:sz w:val="12"/>
        </w:rPr>
        <w:t xml:space="preserve"> </w:t>
      </w:r>
      <w:r>
        <w:rPr>
          <w:color w:val="0075BF"/>
          <w:sz w:val="12"/>
        </w:rPr>
        <w:t>guía</w:t>
      </w:r>
      <w:r>
        <w:rPr>
          <w:color w:val="0075BF"/>
          <w:spacing w:val="6"/>
          <w:sz w:val="12"/>
        </w:rPr>
        <w:t xml:space="preserve"> </w:t>
      </w:r>
      <w:r>
        <w:rPr>
          <w:color w:val="0075BF"/>
          <w:sz w:val="12"/>
        </w:rPr>
        <w:t>práctica</w:t>
      </w:r>
      <w:r>
        <w:rPr>
          <w:color w:val="0075BF"/>
          <w:spacing w:val="7"/>
          <w:sz w:val="12"/>
        </w:rPr>
        <w:t xml:space="preserve"> </w:t>
      </w:r>
      <w:r>
        <w:rPr>
          <w:color w:val="0075BF"/>
          <w:sz w:val="12"/>
        </w:rPr>
        <w:t>para</w:t>
      </w:r>
      <w:r>
        <w:rPr>
          <w:color w:val="0075BF"/>
          <w:spacing w:val="8"/>
          <w:sz w:val="12"/>
        </w:rPr>
        <w:t xml:space="preserve"> </w:t>
      </w:r>
      <w:r>
        <w:rPr>
          <w:color w:val="0075BF"/>
          <w:sz w:val="12"/>
        </w:rPr>
        <w:t>desarrollar</w:t>
      </w:r>
      <w:r>
        <w:rPr>
          <w:color w:val="0075BF"/>
          <w:spacing w:val="6"/>
          <w:sz w:val="12"/>
        </w:rPr>
        <w:t xml:space="preserve"> </w:t>
      </w:r>
      <w:r>
        <w:rPr>
          <w:color w:val="0075BF"/>
          <w:sz w:val="12"/>
        </w:rPr>
        <w:t>una</w:t>
      </w:r>
      <w:r>
        <w:rPr>
          <w:color w:val="0075BF"/>
          <w:spacing w:val="7"/>
          <w:sz w:val="12"/>
        </w:rPr>
        <w:t xml:space="preserve"> </w:t>
      </w:r>
      <w:r>
        <w:rPr>
          <w:color w:val="0075BF"/>
          <w:sz w:val="12"/>
        </w:rPr>
        <w:t>legislación</w:t>
      </w:r>
      <w:r>
        <w:rPr>
          <w:color w:val="0075BF"/>
          <w:spacing w:val="8"/>
          <w:sz w:val="12"/>
        </w:rPr>
        <w:t xml:space="preserve"> </w:t>
      </w:r>
      <w:r>
        <w:rPr>
          <w:color w:val="0075BF"/>
          <w:sz w:val="12"/>
        </w:rPr>
        <w:t>integral</w:t>
      </w:r>
      <w:r>
        <w:rPr>
          <w:color w:val="0075BF"/>
          <w:spacing w:val="7"/>
          <w:sz w:val="12"/>
        </w:rPr>
        <w:t xml:space="preserve"> </w:t>
      </w:r>
      <w:r>
        <w:rPr>
          <w:color w:val="0075BF"/>
          <w:sz w:val="12"/>
        </w:rPr>
        <w:t>contra</w:t>
      </w:r>
      <w:r>
        <w:rPr>
          <w:color w:val="0075BF"/>
          <w:spacing w:val="6"/>
          <w:sz w:val="12"/>
        </w:rPr>
        <w:t xml:space="preserve"> </w:t>
      </w:r>
      <w:r>
        <w:rPr>
          <w:color w:val="0075BF"/>
          <w:sz w:val="12"/>
        </w:rPr>
        <w:t>la</w:t>
      </w:r>
      <w:r>
        <w:rPr>
          <w:color w:val="0075BF"/>
          <w:spacing w:val="7"/>
          <w:sz w:val="12"/>
        </w:rPr>
        <w:t xml:space="preserve"> </w:t>
      </w:r>
      <w:r>
        <w:rPr>
          <w:color w:val="0075BF"/>
          <w:spacing w:val="-2"/>
          <w:sz w:val="12"/>
        </w:rPr>
        <w:t>discriminación</w:t>
      </w:r>
    </w:p>
    <w:p w14:paraId="0A96F744" w14:textId="77777777" w:rsidR="0014798C" w:rsidRDefault="0014798C">
      <w:pPr>
        <w:pStyle w:val="Textoindependiente"/>
      </w:pPr>
    </w:p>
    <w:p w14:paraId="5C988FBE" w14:textId="77777777" w:rsidR="0014798C" w:rsidRDefault="0014798C">
      <w:pPr>
        <w:pStyle w:val="Textoindependiente"/>
      </w:pPr>
    </w:p>
    <w:p w14:paraId="63CF5406" w14:textId="77777777" w:rsidR="0014798C" w:rsidRDefault="0014798C">
      <w:pPr>
        <w:pStyle w:val="Textoindependiente"/>
      </w:pPr>
    </w:p>
    <w:p w14:paraId="23D74884" w14:textId="77777777" w:rsidR="0014798C" w:rsidRDefault="0014798C">
      <w:pPr>
        <w:pStyle w:val="Textoindependiente"/>
      </w:pPr>
    </w:p>
    <w:p w14:paraId="1505BDBB" w14:textId="77777777" w:rsidR="0014798C" w:rsidRDefault="0014798C">
      <w:pPr>
        <w:pStyle w:val="Textoindependiente"/>
        <w:spacing w:before="72"/>
      </w:pPr>
    </w:p>
    <w:p w14:paraId="184C773E" w14:textId="77777777" w:rsidR="0014798C" w:rsidRDefault="004E1F0B">
      <w:pPr>
        <w:pStyle w:val="Textoindependiente"/>
        <w:spacing w:line="271" w:lineRule="auto"/>
        <w:ind w:left="1114" w:right="1272" w:hanging="6"/>
      </w:pPr>
      <w:r>
        <w:t>ley,</w:t>
      </w:r>
      <w:r>
        <w:rPr>
          <w:spacing w:val="-3"/>
        </w:rPr>
        <w:t xml:space="preserve"> </w:t>
      </w:r>
      <w:r>
        <w:t>siempre</w:t>
      </w:r>
      <w:r>
        <w:rPr>
          <w:spacing w:val="-3"/>
        </w:rPr>
        <w:t xml:space="preserve"> </w:t>
      </w:r>
      <w:r>
        <w:t>que</w:t>
      </w:r>
      <w:r>
        <w:rPr>
          <w:spacing w:val="-3"/>
        </w:rPr>
        <w:t xml:space="preserve"> </w:t>
      </w:r>
      <w:r>
        <w:t>constituyan</w:t>
      </w:r>
      <w:r>
        <w:rPr>
          <w:spacing w:val="-3"/>
        </w:rPr>
        <w:t xml:space="preserve"> </w:t>
      </w:r>
      <w:r>
        <w:t>claramente</w:t>
      </w:r>
      <w:r>
        <w:rPr>
          <w:spacing w:val="-3"/>
        </w:rPr>
        <w:t xml:space="preserve"> </w:t>
      </w:r>
      <w:r>
        <w:t>una</w:t>
      </w:r>
      <w:r>
        <w:rPr>
          <w:spacing w:val="-3"/>
        </w:rPr>
        <w:t xml:space="preserve"> </w:t>
      </w:r>
      <w:r>
        <w:t>incitación</w:t>
      </w:r>
      <w:r>
        <w:rPr>
          <w:spacing w:val="-3"/>
        </w:rPr>
        <w:t xml:space="preserve"> </w:t>
      </w:r>
      <w:r>
        <w:t>a</w:t>
      </w:r>
      <w:r>
        <w:rPr>
          <w:spacing w:val="-3"/>
        </w:rPr>
        <w:t xml:space="preserve"> </w:t>
      </w:r>
      <w:r>
        <w:t>la</w:t>
      </w:r>
      <w:r>
        <w:rPr>
          <w:spacing w:val="-3"/>
        </w:rPr>
        <w:t xml:space="preserve"> </w:t>
      </w:r>
      <w:r>
        <w:t>violencia</w:t>
      </w:r>
      <w:r>
        <w:rPr>
          <w:spacing w:val="-3"/>
        </w:rPr>
        <w:t xml:space="preserve"> </w:t>
      </w:r>
      <w:r>
        <w:t>o</w:t>
      </w:r>
      <w:r>
        <w:rPr>
          <w:spacing w:val="-3"/>
        </w:rPr>
        <w:t xml:space="preserve"> </w:t>
      </w:r>
      <w:r>
        <w:t>al</w:t>
      </w:r>
      <w:r>
        <w:rPr>
          <w:spacing w:val="-3"/>
        </w:rPr>
        <w:t xml:space="preserve"> </w:t>
      </w:r>
      <w:r>
        <w:t>odio</w:t>
      </w:r>
      <w:r>
        <w:rPr>
          <w:spacing w:val="-3"/>
        </w:rPr>
        <w:t xml:space="preserve"> </w:t>
      </w:r>
      <w:r>
        <w:t>racial”.</w:t>
      </w:r>
      <w:r>
        <w:rPr>
          <w:spacing w:val="-2"/>
        </w:rPr>
        <w:t xml:space="preserve"> </w:t>
      </w:r>
      <w:r>
        <w:t>1180</w:t>
      </w:r>
      <w:r>
        <w:rPr>
          <w:spacing w:val="-3"/>
        </w:rPr>
        <w:t xml:space="preserve"> </w:t>
      </w:r>
      <w:r>
        <w:t>El</w:t>
      </w:r>
      <w:r>
        <w:rPr>
          <w:spacing w:val="-3"/>
        </w:rPr>
        <w:t xml:space="preserve"> </w:t>
      </w:r>
      <w:r>
        <w:t>Comité</w:t>
      </w:r>
      <w:r>
        <w:rPr>
          <w:spacing w:val="-3"/>
        </w:rPr>
        <w:t xml:space="preserve"> </w:t>
      </w:r>
      <w:r>
        <w:t>de</w:t>
      </w:r>
      <w:r>
        <w:rPr>
          <w:spacing w:val="-3"/>
        </w:rPr>
        <w:t xml:space="preserve"> </w:t>
      </w:r>
      <w:r>
        <w:t>Derechos</w:t>
      </w:r>
      <w:r>
        <w:rPr>
          <w:spacing w:val="-3"/>
        </w:rPr>
        <w:t xml:space="preserve"> </w:t>
      </w:r>
      <w:r>
        <w:t>Humanos</w:t>
      </w:r>
      <w:r>
        <w:rPr>
          <w:spacing w:val="-3"/>
        </w:rPr>
        <w:t xml:space="preserve"> </w:t>
      </w:r>
      <w:r>
        <w:t>ha determinado</w:t>
      </w:r>
      <w:r>
        <w:rPr>
          <w:spacing w:val="-9"/>
        </w:rPr>
        <w:t xml:space="preserve"> </w:t>
      </w:r>
      <w:r>
        <w:t>que</w:t>
      </w:r>
      <w:r>
        <w:rPr>
          <w:spacing w:val="-9"/>
        </w:rPr>
        <w:t xml:space="preserve"> </w:t>
      </w:r>
      <w:r>
        <w:t>la</w:t>
      </w:r>
      <w:r>
        <w:rPr>
          <w:spacing w:val="-9"/>
        </w:rPr>
        <w:t xml:space="preserve"> </w:t>
      </w:r>
      <w:r>
        <w:t>difusión</w:t>
      </w:r>
      <w:r>
        <w:rPr>
          <w:spacing w:val="-9"/>
        </w:rPr>
        <w:t xml:space="preserve"> </w:t>
      </w:r>
      <w:r>
        <w:t>de</w:t>
      </w:r>
      <w:r>
        <w:rPr>
          <w:spacing w:val="-9"/>
        </w:rPr>
        <w:t xml:space="preserve"> </w:t>
      </w:r>
      <w:r>
        <w:t>ideas</w:t>
      </w:r>
      <w:r>
        <w:rPr>
          <w:spacing w:val="-9"/>
        </w:rPr>
        <w:t xml:space="preserve"> </w:t>
      </w:r>
      <w:r>
        <w:t>antisemitas1181</w:t>
      </w:r>
      <w:r>
        <w:rPr>
          <w:spacing w:val="-9"/>
        </w:rPr>
        <w:t xml:space="preserve"> </w:t>
      </w:r>
      <w:r>
        <w:t>y</w:t>
      </w:r>
      <w:r>
        <w:rPr>
          <w:spacing w:val="-9"/>
        </w:rPr>
        <w:t xml:space="preserve"> </w:t>
      </w:r>
      <w:r>
        <w:t>la</w:t>
      </w:r>
      <w:r>
        <w:rPr>
          <w:spacing w:val="-9"/>
        </w:rPr>
        <w:t xml:space="preserve"> </w:t>
      </w:r>
      <w:r>
        <w:t>negación</w:t>
      </w:r>
      <w:r>
        <w:rPr>
          <w:spacing w:val="-9"/>
        </w:rPr>
        <w:t xml:space="preserve"> </w:t>
      </w:r>
      <w:r>
        <w:t>del</w:t>
      </w:r>
      <w:r>
        <w:rPr>
          <w:spacing w:val="-9"/>
        </w:rPr>
        <w:t xml:space="preserve"> </w:t>
      </w:r>
      <w:r>
        <w:t>Holocausto1182</w:t>
      </w:r>
      <w:r>
        <w:rPr>
          <w:spacing w:val="-9"/>
        </w:rPr>
        <w:t xml:space="preserve"> </w:t>
      </w:r>
      <w:r>
        <w:t>deben</w:t>
      </w:r>
      <w:r>
        <w:rPr>
          <w:spacing w:val="-9"/>
        </w:rPr>
        <w:t xml:space="preserve"> </w:t>
      </w:r>
      <w:r>
        <w:t>castigarse</w:t>
      </w:r>
      <w:r>
        <w:rPr>
          <w:spacing w:val="-9"/>
        </w:rPr>
        <w:t xml:space="preserve"> </w:t>
      </w:r>
      <w:r>
        <w:t>si</w:t>
      </w:r>
      <w:r>
        <w:rPr>
          <w:spacing w:val="-9"/>
        </w:rPr>
        <w:t xml:space="preserve"> </w:t>
      </w:r>
      <w:r>
        <w:t>alcanzan</w:t>
      </w:r>
      <w:r>
        <w:rPr>
          <w:spacing w:val="-9"/>
        </w:rPr>
        <w:t xml:space="preserve"> </w:t>
      </w:r>
      <w:r>
        <w:t>el</w:t>
      </w:r>
      <w:r>
        <w:rPr>
          <w:spacing w:val="-9"/>
        </w:rPr>
        <w:t xml:space="preserve"> </w:t>
      </w:r>
      <w:r>
        <w:t>umbral</w:t>
      </w:r>
      <w:r>
        <w:rPr>
          <w:spacing w:val="-9"/>
        </w:rPr>
        <w:t xml:space="preserve"> </w:t>
      </w:r>
      <w:r>
        <w:t>de</w:t>
      </w:r>
    </w:p>
    <w:p w14:paraId="488743DD" w14:textId="77777777" w:rsidR="0014798C" w:rsidRDefault="004E1F0B">
      <w:pPr>
        <w:pStyle w:val="Textoindependiente"/>
        <w:spacing w:before="84" w:line="326" w:lineRule="auto"/>
        <w:ind w:left="1107" w:right="1272" w:firstLine="5"/>
      </w:pPr>
      <w:r>
        <w:t>incitación.</w:t>
      </w:r>
      <w:r>
        <w:rPr>
          <w:spacing w:val="-7"/>
        </w:rPr>
        <w:t xml:space="preserve"> </w:t>
      </w:r>
      <w:r>
        <w:t>Existe</w:t>
      </w:r>
      <w:r>
        <w:rPr>
          <w:spacing w:val="-8"/>
        </w:rPr>
        <w:t xml:space="preserve"> </w:t>
      </w:r>
      <w:r>
        <w:t>un</w:t>
      </w:r>
      <w:r>
        <w:rPr>
          <w:spacing w:val="-8"/>
        </w:rPr>
        <w:t xml:space="preserve"> </w:t>
      </w:r>
      <w:r>
        <w:t>debate</w:t>
      </w:r>
      <w:r>
        <w:rPr>
          <w:spacing w:val="-8"/>
        </w:rPr>
        <w:t xml:space="preserve"> </w:t>
      </w:r>
      <w:r>
        <w:t>abierto</w:t>
      </w:r>
      <w:r>
        <w:rPr>
          <w:spacing w:val="-8"/>
        </w:rPr>
        <w:t xml:space="preserve"> </w:t>
      </w:r>
      <w:r>
        <w:t>y</w:t>
      </w:r>
      <w:r>
        <w:rPr>
          <w:spacing w:val="-8"/>
        </w:rPr>
        <w:t xml:space="preserve"> </w:t>
      </w:r>
      <w:r>
        <w:t>en</w:t>
      </w:r>
      <w:r>
        <w:rPr>
          <w:spacing w:val="-8"/>
        </w:rPr>
        <w:t xml:space="preserve"> </w:t>
      </w:r>
      <w:r>
        <w:t>curso</w:t>
      </w:r>
      <w:r>
        <w:rPr>
          <w:spacing w:val="-8"/>
        </w:rPr>
        <w:t xml:space="preserve"> </w:t>
      </w:r>
      <w:r>
        <w:t>sobre</w:t>
      </w:r>
      <w:r>
        <w:rPr>
          <w:spacing w:val="-8"/>
        </w:rPr>
        <w:t xml:space="preserve"> </w:t>
      </w:r>
      <w:r>
        <w:t>el</w:t>
      </w:r>
      <w:r>
        <w:rPr>
          <w:spacing w:val="-8"/>
        </w:rPr>
        <w:t xml:space="preserve"> </w:t>
      </w:r>
      <w:r>
        <w:t>posible</w:t>
      </w:r>
      <w:r>
        <w:rPr>
          <w:spacing w:val="-8"/>
        </w:rPr>
        <w:t xml:space="preserve"> </w:t>
      </w:r>
      <w:r>
        <w:t>castigo</w:t>
      </w:r>
      <w:r>
        <w:rPr>
          <w:spacing w:val="-8"/>
        </w:rPr>
        <w:t xml:space="preserve"> </w:t>
      </w:r>
      <w:r>
        <w:t>de</w:t>
      </w:r>
      <w:r>
        <w:rPr>
          <w:spacing w:val="-8"/>
        </w:rPr>
        <w:t xml:space="preserve"> </w:t>
      </w:r>
      <w:r>
        <w:t>la</w:t>
      </w:r>
      <w:r>
        <w:rPr>
          <w:spacing w:val="-8"/>
        </w:rPr>
        <w:t xml:space="preserve"> </w:t>
      </w:r>
      <w:r>
        <w:t>difusión</w:t>
      </w:r>
      <w:r>
        <w:rPr>
          <w:spacing w:val="-8"/>
        </w:rPr>
        <w:t xml:space="preserve"> </w:t>
      </w:r>
      <w:r>
        <w:t>de</w:t>
      </w:r>
      <w:r>
        <w:rPr>
          <w:spacing w:val="-8"/>
        </w:rPr>
        <w:t xml:space="preserve"> </w:t>
      </w:r>
      <w:r>
        <w:t>discursos</w:t>
      </w:r>
      <w:r>
        <w:rPr>
          <w:spacing w:val="-8"/>
        </w:rPr>
        <w:t xml:space="preserve"> </w:t>
      </w:r>
      <w:r>
        <w:t>xenófobos</w:t>
      </w:r>
      <w:r>
        <w:rPr>
          <w:spacing w:val="-8"/>
        </w:rPr>
        <w:t xml:space="preserve"> </w:t>
      </w:r>
      <w:r>
        <w:t>y</w:t>
      </w:r>
      <w:r>
        <w:rPr>
          <w:spacing w:val="-8"/>
        </w:rPr>
        <w:t xml:space="preserve"> </w:t>
      </w:r>
      <w:r>
        <w:t>otros</w:t>
      </w:r>
      <w:r>
        <w:rPr>
          <w:spacing w:val="-8"/>
        </w:rPr>
        <w:t xml:space="preserve"> </w:t>
      </w:r>
      <w:r>
        <w:t>discursos</w:t>
      </w:r>
      <w:r>
        <w:rPr>
          <w:spacing w:val="-8"/>
        </w:rPr>
        <w:t xml:space="preserve"> </w:t>
      </w:r>
      <w:r>
        <w:t xml:space="preserve">de </w:t>
      </w:r>
      <w:r>
        <w:rPr>
          <w:spacing w:val="-2"/>
        </w:rPr>
        <w:t>odio.1183</w:t>
      </w:r>
    </w:p>
    <w:p w14:paraId="084353EC" w14:textId="77777777" w:rsidR="0014798C" w:rsidRDefault="0014798C">
      <w:pPr>
        <w:pStyle w:val="Textoindependiente"/>
        <w:spacing w:before="46"/>
        <w:rPr>
          <w:sz w:val="28"/>
        </w:rPr>
      </w:pPr>
    </w:p>
    <w:p w14:paraId="19F74806" w14:textId="77777777" w:rsidR="0014798C" w:rsidRDefault="004E1F0B">
      <w:pPr>
        <w:numPr>
          <w:ilvl w:val="0"/>
          <w:numId w:val="8"/>
        </w:numPr>
        <w:tabs>
          <w:tab w:val="left" w:pos="1472"/>
        </w:tabs>
        <w:ind w:left="1472" w:hanging="363"/>
        <w:rPr>
          <w:color w:val="0075BF"/>
          <w:sz w:val="28"/>
        </w:rPr>
      </w:pPr>
      <w:r>
        <w:rPr>
          <w:color w:val="0075BF"/>
          <w:sz w:val="28"/>
        </w:rPr>
        <w:t>Incitación</w:t>
      </w:r>
      <w:r>
        <w:rPr>
          <w:color w:val="0075BF"/>
          <w:spacing w:val="13"/>
          <w:sz w:val="28"/>
        </w:rPr>
        <w:t xml:space="preserve"> </w:t>
      </w:r>
      <w:r>
        <w:rPr>
          <w:color w:val="0075BF"/>
          <w:sz w:val="28"/>
        </w:rPr>
        <w:t>a</w:t>
      </w:r>
      <w:r>
        <w:rPr>
          <w:color w:val="0075BF"/>
          <w:spacing w:val="14"/>
          <w:sz w:val="28"/>
        </w:rPr>
        <w:t xml:space="preserve"> </w:t>
      </w:r>
      <w:r>
        <w:rPr>
          <w:color w:val="0075BF"/>
          <w:sz w:val="28"/>
        </w:rPr>
        <w:t>cometer</w:t>
      </w:r>
      <w:r>
        <w:rPr>
          <w:color w:val="0075BF"/>
          <w:spacing w:val="14"/>
          <w:sz w:val="28"/>
        </w:rPr>
        <w:t xml:space="preserve"> </w:t>
      </w:r>
      <w:r>
        <w:rPr>
          <w:color w:val="0075BF"/>
          <w:spacing w:val="-2"/>
          <w:sz w:val="28"/>
        </w:rPr>
        <w:t>genocidio</w:t>
      </w:r>
    </w:p>
    <w:p w14:paraId="3E92C600" w14:textId="77777777" w:rsidR="0014798C" w:rsidRDefault="004E1F0B">
      <w:pPr>
        <w:pStyle w:val="Textoindependiente"/>
        <w:spacing w:before="161" w:line="326" w:lineRule="auto"/>
        <w:ind w:left="1111" w:right="1290" w:hanging="4"/>
      </w:pPr>
      <w:r>
        <w:t>La</w:t>
      </w:r>
      <w:r>
        <w:rPr>
          <w:spacing w:val="-8"/>
        </w:rPr>
        <w:t xml:space="preserve"> </w:t>
      </w:r>
      <w:r>
        <w:t>incitación</w:t>
      </w:r>
      <w:r>
        <w:rPr>
          <w:spacing w:val="-8"/>
        </w:rPr>
        <w:t xml:space="preserve"> </w:t>
      </w:r>
      <w:r>
        <w:t>a</w:t>
      </w:r>
      <w:r>
        <w:rPr>
          <w:spacing w:val="-8"/>
        </w:rPr>
        <w:t xml:space="preserve"> </w:t>
      </w:r>
      <w:r>
        <w:t>cometer</w:t>
      </w:r>
      <w:r>
        <w:rPr>
          <w:spacing w:val="-8"/>
        </w:rPr>
        <w:t xml:space="preserve"> </w:t>
      </w:r>
      <w:r>
        <w:t>genocidio</w:t>
      </w:r>
      <w:r>
        <w:rPr>
          <w:spacing w:val="-8"/>
        </w:rPr>
        <w:t xml:space="preserve"> </w:t>
      </w:r>
      <w:r>
        <w:t>es</w:t>
      </w:r>
      <w:r>
        <w:rPr>
          <w:spacing w:val="-8"/>
        </w:rPr>
        <w:t xml:space="preserve"> </w:t>
      </w:r>
      <w:r>
        <w:t>manifiestamente</w:t>
      </w:r>
      <w:r>
        <w:rPr>
          <w:spacing w:val="-8"/>
        </w:rPr>
        <w:t xml:space="preserve"> </w:t>
      </w:r>
      <w:r>
        <w:t>ilegal</w:t>
      </w:r>
      <w:r>
        <w:rPr>
          <w:spacing w:val="-8"/>
        </w:rPr>
        <w:t xml:space="preserve"> </w:t>
      </w:r>
      <w:r>
        <w:t>como</w:t>
      </w:r>
      <w:r>
        <w:rPr>
          <w:spacing w:val="-8"/>
        </w:rPr>
        <w:t xml:space="preserve"> </w:t>
      </w:r>
      <w:r>
        <w:t>resultado</w:t>
      </w:r>
      <w:r>
        <w:rPr>
          <w:spacing w:val="-8"/>
        </w:rPr>
        <w:t xml:space="preserve"> </w:t>
      </w:r>
      <w:r>
        <w:t>del</w:t>
      </w:r>
      <w:r>
        <w:rPr>
          <w:spacing w:val="-8"/>
        </w:rPr>
        <w:t xml:space="preserve"> </w:t>
      </w:r>
      <w:r>
        <w:t>artículo</w:t>
      </w:r>
      <w:r>
        <w:rPr>
          <w:spacing w:val="-8"/>
        </w:rPr>
        <w:t xml:space="preserve"> </w:t>
      </w:r>
      <w:r>
        <w:t>3</w:t>
      </w:r>
      <w:r>
        <w:rPr>
          <w:spacing w:val="-8"/>
        </w:rPr>
        <w:t xml:space="preserve"> </w:t>
      </w:r>
      <w:r>
        <w:t>de</w:t>
      </w:r>
      <w:r>
        <w:rPr>
          <w:spacing w:val="-8"/>
        </w:rPr>
        <w:t xml:space="preserve"> </w:t>
      </w:r>
      <w:r>
        <w:t>la</w:t>
      </w:r>
      <w:r>
        <w:rPr>
          <w:spacing w:val="-8"/>
        </w:rPr>
        <w:t xml:space="preserve"> </w:t>
      </w:r>
      <w:r>
        <w:t>Convención</w:t>
      </w:r>
      <w:r>
        <w:rPr>
          <w:spacing w:val="-8"/>
        </w:rPr>
        <w:t xml:space="preserve"> </w:t>
      </w:r>
      <w:r>
        <w:t>para</w:t>
      </w:r>
      <w:r>
        <w:rPr>
          <w:spacing w:val="-8"/>
        </w:rPr>
        <w:t xml:space="preserve"> </w:t>
      </w:r>
      <w:r>
        <w:t>la</w:t>
      </w:r>
      <w:r>
        <w:rPr>
          <w:spacing w:val="-8"/>
        </w:rPr>
        <w:t xml:space="preserve"> </w:t>
      </w:r>
      <w:r>
        <w:t>Prevención</w:t>
      </w:r>
      <w:r>
        <w:rPr>
          <w:spacing w:val="-8"/>
        </w:rPr>
        <w:t xml:space="preserve"> </w:t>
      </w:r>
      <w:r>
        <w:t>y</w:t>
      </w:r>
      <w:r>
        <w:rPr>
          <w:spacing w:val="-8"/>
        </w:rPr>
        <w:t xml:space="preserve"> </w:t>
      </w:r>
      <w:r>
        <w:t>la Sanción</w:t>
      </w:r>
      <w:r>
        <w:rPr>
          <w:spacing w:val="-3"/>
        </w:rPr>
        <w:t xml:space="preserve"> </w:t>
      </w:r>
      <w:r>
        <w:t>del</w:t>
      </w:r>
      <w:r>
        <w:rPr>
          <w:spacing w:val="-3"/>
        </w:rPr>
        <w:t xml:space="preserve"> </w:t>
      </w:r>
      <w:r>
        <w:t>Delito</w:t>
      </w:r>
      <w:r>
        <w:rPr>
          <w:spacing w:val="-3"/>
        </w:rPr>
        <w:t xml:space="preserve"> </w:t>
      </w:r>
      <w:r>
        <w:t>de</w:t>
      </w:r>
      <w:r>
        <w:rPr>
          <w:spacing w:val="-3"/>
        </w:rPr>
        <w:t xml:space="preserve"> </w:t>
      </w:r>
      <w:r>
        <w:t>Genocidio</w:t>
      </w:r>
      <w:r>
        <w:rPr>
          <w:spacing w:val="-3"/>
        </w:rPr>
        <w:t xml:space="preserve"> </w:t>
      </w:r>
      <w:r>
        <w:t>y</w:t>
      </w:r>
      <w:r>
        <w:rPr>
          <w:spacing w:val="-3"/>
        </w:rPr>
        <w:t xml:space="preserve"> </w:t>
      </w:r>
      <w:r>
        <w:t>del</w:t>
      </w:r>
      <w:r>
        <w:rPr>
          <w:spacing w:val="-3"/>
        </w:rPr>
        <w:t xml:space="preserve"> </w:t>
      </w:r>
      <w:r>
        <w:t>artículo</w:t>
      </w:r>
      <w:r>
        <w:rPr>
          <w:spacing w:val="-3"/>
        </w:rPr>
        <w:t xml:space="preserve"> </w:t>
      </w:r>
      <w:r>
        <w:t>25</w:t>
      </w:r>
      <w:r>
        <w:rPr>
          <w:spacing w:val="-3"/>
        </w:rPr>
        <w:t xml:space="preserve"> </w:t>
      </w:r>
      <w:r>
        <w:t>(3)</w:t>
      </w:r>
      <w:r>
        <w:rPr>
          <w:spacing w:val="-3"/>
        </w:rPr>
        <w:t xml:space="preserve"> </w:t>
      </w:r>
      <w:r>
        <w:t>del</w:t>
      </w:r>
      <w:r>
        <w:rPr>
          <w:spacing w:val="-3"/>
        </w:rPr>
        <w:t xml:space="preserve"> </w:t>
      </w:r>
      <w:r>
        <w:t>Estatuto</w:t>
      </w:r>
      <w:r>
        <w:rPr>
          <w:spacing w:val="-4"/>
        </w:rPr>
        <w:t xml:space="preserve"> </w:t>
      </w:r>
      <w:r>
        <w:t>de</w:t>
      </w:r>
      <w:r>
        <w:rPr>
          <w:spacing w:val="-3"/>
        </w:rPr>
        <w:t xml:space="preserve"> </w:t>
      </w:r>
      <w:r>
        <w:t>Roma</w:t>
      </w:r>
      <w:r>
        <w:rPr>
          <w:spacing w:val="-3"/>
        </w:rPr>
        <w:t xml:space="preserve"> </w:t>
      </w:r>
      <w:r>
        <w:t>de</w:t>
      </w:r>
      <w:r>
        <w:rPr>
          <w:spacing w:val="-3"/>
        </w:rPr>
        <w:t xml:space="preserve"> </w:t>
      </w:r>
      <w:r>
        <w:t>la</w:t>
      </w:r>
      <w:r>
        <w:rPr>
          <w:spacing w:val="-3"/>
        </w:rPr>
        <w:t xml:space="preserve"> </w:t>
      </w:r>
      <w:r>
        <w:t>Corte</w:t>
      </w:r>
      <w:r>
        <w:rPr>
          <w:spacing w:val="-3"/>
        </w:rPr>
        <w:t xml:space="preserve"> </w:t>
      </w:r>
      <w:r>
        <w:t>Penal</w:t>
      </w:r>
      <w:r>
        <w:rPr>
          <w:spacing w:val="-3"/>
        </w:rPr>
        <w:t xml:space="preserve"> </w:t>
      </w:r>
      <w:r>
        <w:t>Internacional.1184</w:t>
      </w:r>
      <w:r>
        <w:rPr>
          <w:spacing w:val="-3"/>
        </w:rPr>
        <w:t xml:space="preserve"> </w:t>
      </w:r>
      <w:r>
        <w:t>La</w:t>
      </w:r>
      <w:r>
        <w:rPr>
          <w:spacing w:val="-3"/>
        </w:rPr>
        <w:t xml:space="preserve"> </w:t>
      </w:r>
      <w:r>
        <w:t>incitación</w:t>
      </w:r>
      <w:r>
        <w:rPr>
          <w:spacing w:val="-3"/>
        </w:rPr>
        <w:t xml:space="preserve"> </w:t>
      </w:r>
      <w:r>
        <w:t>al genocidio es una cuestión que derecho penal.</w:t>
      </w:r>
    </w:p>
    <w:p w14:paraId="1FC2D434" w14:textId="77777777" w:rsidR="0014798C" w:rsidRDefault="004E1F0B">
      <w:pPr>
        <w:numPr>
          <w:ilvl w:val="0"/>
          <w:numId w:val="8"/>
        </w:numPr>
        <w:tabs>
          <w:tab w:val="left" w:pos="1483"/>
        </w:tabs>
        <w:spacing w:before="291"/>
        <w:ind w:left="1483" w:hanging="363"/>
        <w:rPr>
          <w:color w:val="0075BF"/>
          <w:sz w:val="28"/>
        </w:rPr>
      </w:pPr>
      <w:r>
        <w:rPr>
          <w:color w:val="0075BF"/>
          <w:sz w:val="28"/>
        </w:rPr>
        <w:t>Incitación</w:t>
      </w:r>
      <w:r>
        <w:rPr>
          <w:color w:val="0075BF"/>
          <w:spacing w:val="13"/>
          <w:sz w:val="28"/>
        </w:rPr>
        <w:t xml:space="preserve"> </w:t>
      </w:r>
      <w:r>
        <w:rPr>
          <w:color w:val="0075BF"/>
          <w:sz w:val="28"/>
        </w:rPr>
        <w:t>a</w:t>
      </w:r>
      <w:r>
        <w:rPr>
          <w:color w:val="0075BF"/>
          <w:spacing w:val="14"/>
          <w:sz w:val="28"/>
        </w:rPr>
        <w:t xml:space="preserve"> </w:t>
      </w:r>
      <w:r>
        <w:rPr>
          <w:color w:val="0075BF"/>
          <w:sz w:val="28"/>
        </w:rPr>
        <w:t>cometer</w:t>
      </w:r>
      <w:r>
        <w:rPr>
          <w:color w:val="0075BF"/>
          <w:spacing w:val="14"/>
          <w:sz w:val="28"/>
        </w:rPr>
        <w:t xml:space="preserve"> </w:t>
      </w:r>
      <w:r>
        <w:rPr>
          <w:color w:val="0075BF"/>
          <w:sz w:val="28"/>
        </w:rPr>
        <w:t>actos</w:t>
      </w:r>
      <w:r>
        <w:rPr>
          <w:color w:val="0075BF"/>
          <w:spacing w:val="14"/>
          <w:sz w:val="28"/>
        </w:rPr>
        <w:t xml:space="preserve"> </w:t>
      </w:r>
      <w:r>
        <w:rPr>
          <w:color w:val="0075BF"/>
          <w:spacing w:val="-2"/>
          <w:sz w:val="28"/>
        </w:rPr>
        <w:t>terroristas</w:t>
      </w:r>
    </w:p>
    <w:p w14:paraId="10539F71" w14:textId="77777777" w:rsidR="0014798C" w:rsidRDefault="0014798C">
      <w:pPr>
        <w:pStyle w:val="Textoindependiente"/>
        <w:spacing w:before="54"/>
      </w:pPr>
    </w:p>
    <w:p w14:paraId="73186FA4" w14:textId="77777777" w:rsidR="0014798C" w:rsidRDefault="004E1F0B">
      <w:pPr>
        <w:pStyle w:val="Textoindependiente"/>
        <w:spacing w:line="326" w:lineRule="auto"/>
        <w:ind w:left="1109" w:right="1483" w:hanging="2"/>
        <w:jc w:val="both"/>
      </w:pPr>
      <w:r>
        <w:t>De</w:t>
      </w:r>
      <w:r>
        <w:rPr>
          <w:spacing w:val="-8"/>
        </w:rPr>
        <w:t xml:space="preserve"> </w:t>
      </w:r>
      <w:r>
        <w:t>manera</w:t>
      </w:r>
      <w:r>
        <w:rPr>
          <w:spacing w:val="-8"/>
        </w:rPr>
        <w:t xml:space="preserve"> </w:t>
      </w:r>
      <w:r>
        <w:t>similar</w:t>
      </w:r>
      <w:r>
        <w:rPr>
          <w:spacing w:val="-8"/>
        </w:rPr>
        <w:t xml:space="preserve"> </w:t>
      </w:r>
      <w:r>
        <w:t>se</w:t>
      </w:r>
      <w:r>
        <w:rPr>
          <w:spacing w:val="-8"/>
        </w:rPr>
        <w:t xml:space="preserve"> </w:t>
      </w:r>
      <w:r>
        <w:t>permite</w:t>
      </w:r>
      <w:r>
        <w:rPr>
          <w:spacing w:val="-8"/>
        </w:rPr>
        <w:t xml:space="preserve"> </w:t>
      </w:r>
      <w:r>
        <w:t>el</w:t>
      </w:r>
      <w:r>
        <w:rPr>
          <w:spacing w:val="-8"/>
        </w:rPr>
        <w:t xml:space="preserve"> </w:t>
      </w:r>
      <w:r>
        <w:t>castigo</w:t>
      </w:r>
      <w:r>
        <w:rPr>
          <w:spacing w:val="-8"/>
        </w:rPr>
        <w:t xml:space="preserve"> </w:t>
      </w:r>
      <w:r>
        <w:t>de</w:t>
      </w:r>
      <w:r>
        <w:rPr>
          <w:spacing w:val="-8"/>
        </w:rPr>
        <w:t xml:space="preserve"> </w:t>
      </w:r>
      <w:r>
        <w:t>la</w:t>
      </w:r>
      <w:r>
        <w:rPr>
          <w:spacing w:val="-8"/>
        </w:rPr>
        <w:t xml:space="preserve"> </w:t>
      </w:r>
      <w:r>
        <w:t>incitación</w:t>
      </w:r>
      <w:r>
        <w:rPr>
          <w:spacing w:val="-8"/>
        </w:rPr>
        <w:t xml:space="preserve"> </w:t>
      </w:r>
      <w:r>
        <w:t>a</w:t>
      </w:r>
      <w:r>
        <w:rPr>
          <w:spacing w:val="-8"/>
        </w:rPr>
        <w:t xml:space="preserve"> </w:t>
      </w:r>
      <w:r>
        <w:t>cometer</w:t>
      </w:r>
      <w:r>
        <w:rPr>
          <w:spacing w:val="-8"/>
        </w:rPr>
        <w:t xml:space="preserve"> </w:t>
      </w:r>
      <w:r>
        <w:t>actos</w:t>
      </w:r>
      <w:r>
        <w:rPr>
          <w:spacing w:val="-8"/>
        </w:rPr>
        <w:t xml:space="preserve"> </w:t>
      </w:r>
      <w:r>
        <w:t>terroristas,</w:t>
      </w:r>
      <w:r>
        <w:rPr>
          <w:spacing w:val="-7"/>
        </w:rPr>
        <w:t xml:space="preserve"> </w:t>
      </w:r>
      <w:r>
        <w:t>aunque</w:t>
      </w:r>
      <w:r>
        <w:rPr>
          <w:spacing w:val="-8"/>
        </w:rPr>
        <w:t xml:space="preserve"> </w:t>
      </w:r>
      <w:r>
        <w:t>esta</w:t>
      </w:r>
      <w:r>
        <w:rPr>
          <w:spacing w:val="-8"/>
        </w:rPr>
        <w:t xml:space="preserve"> </w:t>
      </w:r>
      <w:r>
        <w:t>cuestión</w:t>
      </w:r>
      <w:r>
        <w:rPr>
          <w:spacing w:val="-8"/>
        </w:rPr>
        <w:t xml:space="preserve"> </w:t>
      </w:r>
      <w:r>
        <w:t>queda</w:t>
      </w:r>
      <w:r>
        <w:rPr>
          <w:spacing w:val="-8"/>
        </w:rPr>
        <w:t xml:space="preserve"> </w:t>
      </w:r>
      <w:r>
        <w:t>fuera</w:t>
      </w:r>
      <w:r>
        <w:rPr>
          <w:spacing w:val="-8"/>
        </w:rPr>
        <w:t xml:space="preserve"> </w:t>
      </w:r>
      <w:r>
        <w:t>del</w:t>
      </w:r>
      <w:r>
        <w:rPr>
          <w:spacing w:val="-8"/>
        </w:rPr>
        <w:t xml:space="preserve"> </w:t>
      </w:r>
      <w:r>
        <w:t>alcance de</w:t>
      </w:r>
      <w:r>
        <w:rPr>
          <w:spacing w:val="-8"/>
        </w:rPr>
        <w:t xml:space="preserve"> </w:t>
      </w:r>
      <w:r>
        <w:t>la</w:t>
      </w:r>
      <w:r>
        <w:rPr>
          <w:spacing w:val="-8"/>
        </w:rPr>
        <w:t xml:space="preserve"> </w:t>
      </w:r>
      <w:r>
        <w:t>presente</w:t>
      </w:r>
      <w:r>
        <w:rPr>
          <w:spacing w:val="-8"/>
        </w:rPr>
        <w:t xml:space="preserve"> </w:t>
      </w:r>
      <w:r>
        <w:t>guía.1185</w:t>
      </w:r>
      <w:r>
        <w:rPr>
          <w:spacing w:val="-8"/>
        </w:rPr>
        <w:t xml:space="preserve"> </w:t>
      </w:r>
      <w:r>
        <w:t>Estos</w:t>
      </w:r>
      <w:r>
        <w:rPr>
          <w:spacing w:val="-8"/>
        </w:rPr>
        <w:t xml:space="preserve"> </w:t>
      </w:r>
      <w:r>
        <w:t>pueden</w:t>
      </w:r>
      <w:r>
        <w:rPr>
          <w:spacing w:val="-8"/>
        </w:rPr>
        <w:t xml:space="preserve"> </w:t>
      </w:r>
      <w:r>
        <w:t>ser</w:t>
      </w:r>
      <w:r>
        <w:rPr>
          <w:spacing w:val="-8"/>
        </w:rPr>
        <w:t xml:space="preserve"> </w:t>
      </w:r>
      <w:r>
        <w:t>sancionados</w:t>
      </w:r>
      <w:r>
        <w:rPr>
          <w:spacing w:val="-8"/>
        </w:rPr>
        <w:t xml:space="preserve"> </w:t>
      </w:r>
      <w:r>
        <w:t>siempre</w:t>
      </w:r>
      <w:r>
        <w:rPr>
          <w:spacing w:val="-8"/>
        </w:rPr>
        <w:t xml:space="preserve"> </w:t>
      </w:r>
      <w:r>
        <w:t>que</w:t>
      </w:r>
      <w:r>
        <w:rPr>
          <w:spacing w:val="-8"/>
        </w:rPr>
        <w:t xml:space="preserve"> </w:t>
      </w:r>
      <w:r>
        <w:t>la</w:t>
      </w:r>
      <w:r>
        <w:rPr>
          <w:spacing w:val="-8"/>
        </w:rPr>
        <w:t xml:space="preserve"> </w:t>
      </w:r>
      <w:r>
        <w:t>restricción</w:t>
      </w:r>
      <w:r>
        <w:rPr>
          <w:spacing w:val="-8"/>
        </w:rPr>
        <w:t xml:space="preserve"> </w:t>
      </w:r>
      <w:r>
        <w:t>de</w:t>
      </w:r>
      <w:r>
        <w:rPr>
          <w:spacing w:val="-8"/>
        </w:rPr>
        <w:t xml:space="preserve"> </w:t>
      </w:r>
      <w:r>
        <w:t>la</w:t>
      </w:r>
      <w:r>
        <w:rPr>
          <w:spacing w:val="-8"/>
        </w:rPr>
        <w:t xml:space="preserve"> </w:t>
      </w:r>
      <w:r>
        <w:t>libertad</w:t>
      </w:r>
      <w:r>
        <w:rPr>
          <w:spacing w:val="-8"/>
        </w:rPr>
        <w:t xml:space="preserve"> </w:t>
      </w:r>
      <w:r>
        <w:t>de</w:t>
      </w:r>
      <w:r>
        <w:rPr>
          <w:spacing w:val="-8"/>
        </w:rPr>
        <w:t xml:space="preserve"> </w:t>
      </w:r>
      <w:r>
        <w:t>expresión</w:t>
      </w:r>
      <w:r>
        <w:rPr>
          <w:spacing w:val="-8"/>
        </w:rPr>
        <w:t xml:space="preserve"> </w:t>
      </w:r>
      <w:r>
        <w:t>sea</w:t>
      </w:r>
      <w:r>
        <w:rPr>
          <w:spacing w:val="-8"/>
        </w:rPr>
        <w:t xml:space="preserve"> </w:t>
      </w:r>
      <w:r>
        <w:t>compatible</w:t>
      </w:r>
      <w:r>
        <w:rPr>
          <w:spacing w:val="-8"/>
        </w:rPr>
        <w:t xml:space="preserve"> </w:t>
      </w:r>
      <w:r>
        <w:t xml:space="preserve">con los requisitos establecidos en el artículo 19 (3) de </w:t>
      </w:r>
      <w:proofErr w:type="gramStart"/>
      <w:r>
        <w:t>la el</w:t>
      </w:r>
      <w:proofErr w:type="gramEnd"/>
      <w:r>
        <w:t xml:space="preserve"> Pacto Internacional de Derechos Civiles y Políticos.</w:t>
      </w:r>
    </w:p>
    <w:p w14:paraId="0B7FCC42" w14:textId="77777777" w:rsidR="0014798C" w:rsidRDefault="0014798C">
      <w:pPr>
        <w:pStyle w:val="Textoindependiente"/>
        <w:spacing w:before="219"/>
        <w:rPr>
          <w:sz w:val="28"/>
        </w:rPr>
      </w:pPr>
    </w:p>
    <w:p w14:paraId="40CBC62F" w14:textId="77777777" w:rsidR="0014798C" w:rsidRDefault="004E1F0B">
      <w:pPr>
        <w:numPr>
          <w:ilvl w:val="0"/>
          <w:numId w:val="8"/>
        </w:numPr>
        <w:tabs>
          <w:tab w:val="left" w:pos="1467"/>
        </w:tabs>
        <w:ind w:left="1467" w:hanging="347"/>
        <w:rPr>
          <w:color w:val="0075BF"/>
          <w:sz w:val="28"/>
        </w:rPr>
      </w:pPr>
      <w:r>
        <w:rPr>
          <w:color w:val="0075BF"/>
          <w:spacing w:val="-2"/>
          <w:sz w:val="28"/>
        </w:rPr>
        <w:t>Difamación</w:t>
      </w:r>
    </w:p>
    <w:p w14:paraId="647EDA7B" w14:textId="77777777" w:rsidR="0014798C" w:rsidRDefault="0014798C">
      <w:pPr>
        <w:pStyle w:val="Textoindependiente"/>
        <w:spacing w:before="54"/>
      </w:pPr>
    </w:p>
    <w:p w14:paraId="71907F9D" w14:textId="77777777" w:rsidR="0014798C" w:rsidRDefault="004E1F0B">
      <w:pPr>
        <w:pStyle w:val="Textoindependiente"/>
        <w:ind w:left="1112"/>
      </w:pPr>
      <w:r>
        <w:rPr>
          <w:spacing w:val="-2"/>
        </w:rPr>
        <w:t>Los</w:t>
      </w:r>
      <w:r>
        <w:rPr>
          <w:spacing w:val="-3"/>
        </w:rPr>
        <w:t xml:space="preserve"> </w:t>
      </w:r>
      <w:r>
        <w:rPr>
          <w:spacing w:val="-2"/>
        </w:rPr>
        <w:t>actos de habla dirigidos directamente a</w:t>
      </w:r>
      <w:r>
        <w:rPr>
          <w:spacing w:val="-3"/>
        </w:rPr>
        <w:t xml:space="preserve"> </w:t>
      </w:r>
      <w:r>
        <w:rPr>
          <w:spacing w:val="-2"/>
        </w:rPr>
        <w:t>un individuo,</w:t>
      </w:r>
      <w:r>
        <w:rPr>
          <w:spacing w:val="-1"/>
        </w:rPr>
        <w:t xml:space="preserve"> </w:t>
      </w:r>
      <w:r>
        <w:rPr>
          <w:spacing w:val="-2"/>
        </w:rPr>
        <w:t>como la difamación,</w:t>
      </w:r>
      <w:r>
        <w:rPr>
          <w:spacing w:val="-1"/>
        </w:rPr>
        <w:t xml:space="preserve"> </w:t>
      </w:r>
      <w:r>
        <w:rPr>
          <w:spacing w:val="-2"/>
        </w:rPr>
        <w:t>también</w:t>
      </w:r>
      <w:r>
        <w:rPr>
          <w:spacing w:val="-3"/>
        </w:rPr>
        <w:t xml:space="preserve"> </w:t>
      </w:r>
      <w:r>
        <w:rPr>
          <w:spacing w:val="-2"/>
        </w:rPr>
        <w:t>quedan fuera del alcance de la</w:t>
      </w:r>
      <w:r>
        <w:rPr>
          <w:spacing w:val="-3"/>
        </w:rPr>
        <w:t xml:space="preserve"> </w:t>
      </w:r>
      <w:r>
        <w:rPr>
          <w:spacing w:val="-2"/>
        </w:rPr>
        <w:t>presente guía.</w:t>
      </w:r>
    </w:p>
    <w:p w14:paraId="4F7CAF8F" w14:textId="77777777" w:rsidR="0014798C" w:rsidRDefault="004E1F0B">
      <w:pPr>
        <w:spacing w:before="62"/>
        <w:ind w:left="1106"/>
        <w:rPr>
          <w:sz w:val="14"/>
        </w:rPr>
      </w:pPr>
      <w:r>
        <w:rPr>
          <w:w w:val="105"/>
          <w:sz w:val="14"/>
        </w:rPr>
        <w:t>En</w:t>
      </w:r>
      <w:r>
        <w:rPr>
          <w:spacing w:val="-4"/>
          <w:w w:val="105"/>
          <w:sz w:val="14"/>
        </w:rPr>
        <w:t xml:space="preserve"> </w:t>
      </w:r>
      <w:r>
        <w:rPr>
          <w:w w:val="105"/>
          <w:sz w:val="14"/>
        </w:rPr>
        <w:t>los</w:t>
      </w:r>
      <w:r>
        <w:rPr>
          <w:spacing w:val="-3"/>
          <w:w w:val="105"/>
          <w:sz w:val="14"/>
        </w:rPr>
        <w:t xml:space="preserve"> </w:t>
      </w:r>
      <w:r>
        <w:rPr>
          <w:w w:val="105"/>
          <w:sz w:val="14"/>
        </w:rPr>
        <w:t>últimos</w:t>
      </w:r>
      <w:r>
        <w:rPr>
          <w:spacing w:val="-3"/>
          <w:w w:val="105"/>
          <w:sz w:val="14"/>
        </w:rPr>
        <w:t xml:space="preserve"> </w:t>
      </w:r>
      <w:r>
        <w:rPr>
          <w:w w:val="105"/>
          <w:sz w:val="14"/>
        </w:rPr>
        <w:t>tiempos,</w:t>
      </w:r>
      <w:r>
        <w:rPr>
          <w:spacing w:val="-2"/>
          <w:w w:val="105"/>
          <w:sz w:val="14"/>
        </w:rPr>
        <w:t xml:space="preserve"> </w:t>
      </w:r>
      <w:r>
        <w:rPr>
          <w:w w:val="105"/>
          <w:sz w:val="14"/>
        </w:rPr>
        <w:t>los</w:t>
      </w:r>
      <w:r>
        <w:rPr>
          <w:spacing w:val="-4"/>
          <w:w w:val="105"/>
          <w:sz w:val="14"/>
        </w:rPr>
        <w:t xml:space="preserve"> </w:t>
      </w:r>
      <w:r>
        <w:rPr>
          <w:w w:val="105"/>
          <w:sz w:val="14"/>
        </w:rPr>
        <w:t>tribunales</w:t>
      </w:r>
      <w:r>
        <w:rPr>
          <w:spacing w:val="-3"/>
          <w:w w:val="105"/>
          <w:sz w:val="14"/>
        </w:rPr>
        <w:t xml:space="preserve"> </w:t>
      </w:r>
      <w:r>
        <w:rPr>
          <w:w w:val="105"/>
          <w:sz w:val="14"/>
        </w:rPr>
        <w:t>nacionales</w:t>
      </w:r>
      <w:r>
        <w:rPr>
          <w:spacing w:val="-3"/>
          <w:w w:val="105"/>
          <w:sz w:val="14"/>
        </w:rPr>
        <w:t xml:space="preserve"> </w:t>
      </w:r>
      <w:r>
        <w:rPr>
          <w:w w:val="105"/>
          <w:sz w:val="14"/>
        </w:rPr>
        <w:t>han</w:t>
      </w:r>
      <w:r>
        <w:rPr>
          <w:spacing w:val="-3"/>
          <w:w w:val="105"/>
          <w:sz w:val="14"/>
        </w:rPr>
        <w:t xml:space="preserve"> </w:t>
      </w:r>
      <w:r>
        <w:rPr>
          <w:w w:val="105"/>
          <w:sz w:val="14"/>
        </w:rPr>
        <w:t>confirmado</w:t>
      </w:r>
      <w:r>
        <w:rPr>
          <w:spacing w:val="-3"/>
          <w:w w:val="105"/>
          <w:sz w:val="14"/>
        </w:rPr>
        <w:t xml:space="preserve"> </w:t>
      </w:r>
      <w:r>
        <w:rPr>
          <w:w w:val="105"/>
          <w:sz w:val="14"/>
        </w:rPr>
        <w:t>sanciones</w:t>
      </w:r>
      <w:r>
        <w:rPr>
          <w:spacing w:val="-4"/>
          <w:w w:val="105"/>
          <w:sz w:val="14"/>
        </w:rPr>
        <w:t xml:space="preserve"> </w:t>
      </w:r>
      <w:r>
        <w:rPr>
          <w:w w:val="105"/>
          <w:sz w:val="14"/>
        </w:rPr>
        <w:t>penales</w:t>
      </w:r>
      <w:r>
        <w:rPr>
          <w:spacing w:val="-3"/>
          <w:w w:val="105"/>
          <w:sz w:val="14"/>
        </w:rPr>
        <w:t xml:space="preserve"> </w:t>
      </w:r>
      <w:r>
        <w:rPr>
          <w:w w:val="105"/>
          <w:sz w:val="14"/>
        </w:rPr>
        <w:t>por</w:t>
      </w:r>
      <w:r>
        <w:rPr>
          <w:spacing w:val="-3"/>
          <w:w w:val="105"/>
          <w:sz w:val="14"/>
        </w:rPr>
        <w:t xml:space="preserve"> </w:t>
      </w:r>
      <w:r>
        <w:rPr>
          <w:w w:val="105"/>
          <w:sz w:val="14"/>
        </w:rPr>
        <w:t>difamación</w:t>
      </w:r>
      <w:r>
        <w:rPr>
          <w:spacing w:val="-3"/>
          <w:w w:val="105"/>
          <w:sz w:val="14"/>
        </w:rPr>
        <w:t xml:space="preserve"> </w:t>
      </w:r>
      <w:r>
        <w:rPr>
          <w:w w:val="105"/>
          <w:sz w:val="14"/>
        </w:rPr>
        <w:t>en</w:t>
      </w:r>
      <w:r>
        <w:rPr>
          <w:spacing w:val="-3"/>
          <w:w w:val="105"/>
          <w:sz w:val="14"/>
        </w:rPr>
        <w:t xml:space="preserve"> </w:t>
      </w:r>
      <w:r>
        <w:rPr>
          <w:w w:val="105"/>
          <w:sz w:val="14"/>
        </w:rPr>
        <w:t>casos</w:t>
      </w:r>
      <w:r>
        <w:rPr>
          <w:spacing w:val="-4"/>
          <w:w w:val="105"/>
          <w:sz w:val="14"/>
        </w:rPr>
        <w:t xml:space="preserve"> </w:t>
      </w:r>
      <w:r>
        <w:rPr>
          <w:w w:val="105"/>
          <w:sz w:val="14"/>
        </w:rPr>
        <w:t>de</w:t>
      </w:r>
      <w:r>
        <w:rPr>
          <w:spacing w:val="-3"/>
          <w:w w:val="105"/>
          <w:sz w:val="14"/>
        </w:rPr>
        <w:t xml:space="preserve"> </w:t>
      </w:r>
      <w:r>
        <w:rPr>
          <w:w w:val="105"/>
          <w:sz w:val="14"/>
        </w:rPr>
        <w:t>incitación</w:t>
      </w:r>
      <w:r>
        <w:rPr>
          <w:spacing w:val="-3"/>
          <w:w w:val="105"/>
          <w:sz w:val="14"/>
        </w:rPr>
        <w:t xml:space="preserve"> </w:t>
      </w:r>
      <w:r>
        <w:rPr>
          <w:w w:val="105"/>
          <w:sz w:val="14"/>
        </w:rPr>
        <w:t>al</w:t>
      </w:r>
      <w:r>
        <w:rPr>
          <w:spacing w:val="-3"/>
          <w:w w:val="105"/>
          <w:sz w:val="14"/>
        </w:rPr>
        <w:t xml:space="preserve"> </w:t>
      </w:r>
      <w:r>
        <w:rPr>
          <w:w w:val="105"/>
          <w:sz w:val="14"/>
        </w:rPr>
        <w:t>odio</w:t>
      </w:r>
      <w:r>
        <w:rPr>
          <w:spacing w:val="-3"/>
          <w:w w:val="105"/>
          <w:sz w:val="14"/>
        </w:rPr>
        <w:t xml:space="preserve"> </w:t>
      </w:r>
      <w:r>
        <w:rPr>
          <w:spacing w:val="-2"/>
          <w:w w:val="105"/>
          <w:sz w:val="14"/>
        </w:rPr>
        <w:t>racista.1186</w:t>
      </w:r>
    </w:p>
    <w:p w14:paraId="7D67CECC" w14:textId="77777777" w:rsidR="0014798C" w:rsidRDefault="004E1F0B">
      <w:pPr>
        <w:pStyle w:val="Textoindependiente"/>
        <w:spacing w:before="93" w:line="326" w:lineRule="auto"/>
        <w:ind w:left="1109" w:right="1272" w:hanging="4"/>
      </w:pPr>
      <w:r>
        <w:t>Según</w:t>
      </w:r>
      <w:r>
        <w:rPr>
          <w:spacing w:val="-3"/>
        </w:rPr>
        <w:t xml:space="preserve"> </w:t>
      </w:r>
      <w:r>
        <w:t>el</w:t>
      </w:r>
      <w:r>
        <w:rPr>
          <w:spacing w:val="-3"/>
        </w:rPr>
        <w:t xml:space="preserve"> </w:t>
      </w:r>
      <w:r>
        <w:t>derecho</w:t>
      </w:r>
      <w:r>
        <w:rPr>
          <w:spacing w:val="-3"/>
        </w:rPr>
        <w:t xml:space="preserve"> </w:t>
      </w:r>
      <w:r>
        <w:t>internacional,</w:t>
      </w:r>
      <w:r>
        <w:rPr>
          <w:spacing w:val="-2"/>
        </w:rPr>
        <w:t xml:space="preserve"> </w:t>
      </w:r>
      <w:r>
        <w:t>el</w:t>
      </w:r>
      <w:r>
        <w:rPr>
          <w:spacing w:val="-3"/>
        </w:rPr>
        <w:t xml:space="preserve"> </w:t>
      </w:r>
      <w:r>
        <w:t>discurso</w:t>
      </w:r>
      <w:r>
        <w:rPr>
          <w:spacing w:val="-3"/>
        </w:rPr>
        <w:t xml:space="preserve"> </w:t>
      </w:r>
      <w:r>
        <w:t>y</w:t>
      </w:r>
      <w:r>
        <w:rPr>
          <w:spacing w:val="-3"/>
        </w:rPr>
        <w:t xml:space="preserve"> </w:t>
      </w:r>
      <w:r>
        <w:t>la</w:t>
      </w:r>
      <w:r>
        <w:rPr>
          <w:spacing w:val="-3"/>
        </w:rPr>
        <w:t xml:space="preserve"> </w:t>
      </w:r>
      <w:r>
        <w:t>expresión</w:t>
      </w:r>
      <w:r>
        <w:rPr>
          <w:spacing w:val="-3"/>
        </w:rPr>
        <w:t xml:space="preserve"> </w:t>
      </w:r>
      <w:r>
        <w:t>pueden</w:t>
      </w:r>
      <w:r>
        <w:rPr>
          <w:spacing w:val="-3"/>
        </w:rPr>
        <w:t xml:space="preserve"> </w:t>
      </w:r>
      <w:r>
        <w:t>ser</w:t>
      </w:r>
      <w:r>
        <w:rPr>
          <w:spacing w:val="-3"/>
        </w:rPr>
        <w:t xml:space="preserve"> </w:t>
      </w:r>
      <w:r>
        <w:t>sancionados</w:t>
      </w:r>
      <w:r>
        <w:rPr>
          <w:spacing w:val="-3"/>
        </w:rPr>
        <w:t xml:space="preserve"> </w:t>
      </w:r>
      <w:r>
        <w:t>siempre</w:t>
      </w:r>
      <w:r>
        <w:rPr>
          <w:spacing w:val="-3"/>
        </w:rPr>
        <w:t xml:space="preserve"> </w:t>
      </w:r>
      <w:r>
        <w:t>que</w:t>
      </w:r>
      <w:r>
        <w:rPr>
          <w:spacing w:val="-3"/>
        </w:rPr>
        <w:t xml:space="preserve"> </w:t>
      </w:r>
      <w:r>
        <w:t>la</w:t>
      </w:r>
      <w:r>
        <w:rPr>
          <w:spacing w:val="-3"/>
        </w:rPr>
        <w:t xml:space="preserve"> </w:t>
      </w:r>
      <w:r>
        <w:t>restricción</w:t>
      </w:r>
      <w:r>
        <w:rPr>
          <w:spacing w:val="-3"/>
        </w:rPr>
        <w:t xml:space="preserve"> </w:t>
      </w:r>
      <w:r>
        <w:t>de</w:t>
      </w:r>
      <w:r>
        <w:rPr>
          <w:spacing w:val="-3"/>
        </w:rPr>
        <w:t xml:space="preserve"> </w:t>
      </w:r>
      <w:r>
        <w:t>la</w:t>
      </w:r>
      <w:r>
        <w:rPr>
          <w:spacing w:val="-3"/>
        </w:rPr>
        <w:t xml:space="preserve"> </w:t>
      </w:r>
      <w:r>
        <w:t>libertad</w:t>
      </w:r>
      <w:r>
        <w:rPr>
          <w:spacing w:val="-3"/>
        </w:rPr>
        <w:t xml:space="preserve"> </w:t>
      </w:r>
      <w:r>
        <w:t>de expresión</w:t>
      </w:r>
      <w:r>
        <w:rPr>
          <w:spacing w:val="-8"/>
        </w:rPr>
        <w:t xml:space="preserve"> </w:t>
      </w:r>
      <w:r>
        <w:t>sea</w:t>
      </w:r>
      <w:r>
        <w:rPr>
          <w:spacing w:val="-8"/>
        </w:rPr>
        <w:t xml:space="preserve"> </w:t>
      </w:r>
      <w:r>
        <w:t>compatible</w:t>
      </w:r>
      <w:r>
        <w:rPr>
          <w:spacing w:val="-8"/>
        </w:rPr>
        <w:t xml:space="preserve"> </w:t>
      </w:r>
      <w:r>
        <w:t>con</w:t>
      </w:r>
      <w:r>
        <w:rPr>
          <w:spacing w:val="-8"/>
        </w:rPr>
        <w:t xml:space="preserve"> </w:t>
      </w:r>
      <w:r>
        <w:t>los</w:t>
      </w:r>
      <w:r>
        <w:rPr>
          <w:spacing w:val="-8"/>
        </w:rPr>
        <w:t xml:space="preserve"> </w:t>
      </w:r>
      <w:r>
        <w:t>requisitos</w:t>
      </w:r>
      <w:r>
        <w:rPr>
          <w:spacing w:val="-8"/>
        </w:rPr>
        <w:t xml:space="preserve"> </w:t>
      </w:r>
      <w:r>
        <w:t>establecidos</w:t>
      </w:r>
      <w:r>
        <w:rPr>
          <w:spacing w:val="-8"/>
        </w:rPr>
        <w:t xml:space="preserve"> </w:t>
      </w:r>
      <w:r>
        <w:t>en</w:t>
      </w:r>
      <w:r>
        <w:rPr>
          <w:spacing w:val="-8"/>
        </w:rPr>
        <w:t xml:space="preserve"> </w:t>
      </w:r>
      <w:r>
        <w:t>el</w:t>
      </w:r>
      <w:r>
        <w:rPr>
          <w:spacing w:val="-8"/>
        </w:rPr>
        <w:t xml:space="preserve"> </w:t>
      </w:r>
      <w:r>
        <w:t>artículo</w:t>
      </w:r>
      <w:r>
        <w:rPr>
          <w:spacing w:val="-8"/>
        </w:rPr>
        <w:t xml:space="preserve"> </w:t>
      </w:r>
      <w:r>
        <w:t>19</w:t>
      </w:r>
      <w:r>
        <w:rPr>
          <w:spacing w:val="-8"/>
        </w:rPr>
        <w:t xml:space="preserve"> </w:t>
      </w:r>
      <w:r>
        <w:t>(3)</w:t>
      </w:r>
      <w:r>
        <w:rPr>
          <w:spacing w:val="-8"/>
        </w:rPr>
        <w:t xml:space="preserve"> </w:t>
      </w:r>
      <w:r>
        <w:t>del</w:t>
      </w:r>
      <w:r>
        <w:rPr>
          <w:spacing w:val="-8"/>
        </w:rPr>
        <w:t xml:space="preserve"> </w:t>
      </w:r>
      <w:r>
        <w:t>Pacto</w:t>
      </w:r>
      <w:r>
        <w:rPr>
          <w:spacing w:val="-8"/>
        </w:rPr>
        <w:t xml:space="preserve"> </w:t>
      </w:r>
      <w:r>
        <w:t>Internacional</w:t>
      </w:r>
      <w:r>
        <w:rPr>
          <w:spacing w:val="-8"/>
        </w:rPr>
        <w:t xml:space="preserve"> </w:t>
      </w:r>
      <w:r>
        <w:t>de</w:t>
      </w:r>
      <w:r>
        <w:rPr>
          <w:spacing w:val="-8"/>
        </w:rPr>
        <w:t xml:space="preserve"> </w:t>
      </w:r>
      <w:r>
        <w:t>Derechos</w:t>
      </w:r>
      <w:r>
        <w:rPr>
          <w:spacing w:val="-8"/>
        </w:rPr>
        <w:t xml:space="preserve"> </w:t>
      </w:r>
      <w:r>
        <w:t>Civiles</w:t>
      </w:r>
      <w:r>
        <w:rPr>
          <w:spacing w:val="-8"/>
        </w:rPr>
        <w:t xml:space="preserve"> </w:t>
      </w:r>
      <w:r>
        <w:t>y</w:t>
      </w:r>
      <w:r>
        <w:rPr>
          <w:spacing w:val="-8"/>
        </w:rPr>
        <w:t xml:space="preserve"> </w:t>
      </w:r>
      <w:r>
        <w:t>Políticos. Como</w:t>
      </w:r>
      <w:r>
        <w:rPr>
          <w:spacing w:val="-2"/>
        </w:rPr>
        <w:t xml:space="preserve"> </w:t>
      </w:r>
      <w:r>
        <w:t>regla</w:t>
      </w:r>
      <w:r>
        <w:rPr>
          <w:spacing w:val="-2"/>
        </w:rPr>
        <w:t xml:space="preserve"> </w:t>
      </w:r>
      <w:r>
        <w:t>general,</w:t>
      </w:r>
      <w:r>
        <w:rPr>
          <w:spacing w:val="-1"/>
        </w:rPr>
        <w:t xml:space="preserve"> </w:t>
      </w:r>
      <w:r>
        <w:t>el</w:t>
      </w:r>
      <w:r>
        <w:rPr>
          <w:spacing w:val="-2"/>
        </w:rPr>
        <w:t xml:space="preserve"> </w:t>
      </w:r>
      <w:r>
        <w:t>derecho</w:t>
      </w:r>
      <w:r>
        <w:rPr>
          <w:spacing w:val="-2"/>
        </w:rPr>
        <w:t xml:space="preserve"> </w:t>
      </w:r>
      <w:r>
        <w:t>internacional</w:t>
      </w:r>
      <w:r>
        <w:rPr>
          <w:spacing w:val="-2"/>
        </w:rPr>
        <w:t xml:space="preserve"> </w:t>
      </w:r>
      <w:r>
        <w:t>de</w:t>
      </w:r>
      <w:r>
        <w:rPr>
          <w:spacing w:val="-2"/>
        </w:rPr>
        <w:t xml:space="preserve"> </w:t>
      </w:r>
      <w:r>
        <w:t>los</w:t>
      </w:r>
      <w:r>
        <w:rPr>
          <w:spacing w:val="-2"/>
        </w:rPr>
        <w:t xml:space="preserve"> </w:t>
      </w:r>
      <w:r>
        <w:t>derechos</w:t>
      </w:r>
      <w:r>
        <w:rPr>
          <w:spacing w:val="-2"/>
        </w:rPr>
        <w:t xml:space="preserve"> </w:t>
      </w:r>
      <w:r>
        <w:t>humanos</w:t>
      </w:r>
      <w:r>
        <w:rPr>
          <w:spacing w:val="-2"/>
        </w:rPr>
        <w:t xml:space="preserve"> </w:t>
      </w:r>
      <w:r>
        <w:t>sólo</w:t>
      </w:r>
      <w:r>
        <w:rPr>
          <w:spacing w:val="-2"/>
        </w:rPr>
        <w:t xml:space="preserve"> </w:t>
      </w:r>
      <w:r>
        <w:t>permite</w:t>
      </w:r>
      <w:r>
        <w:rPr>
          <w:spacing w:val="-2"/>
        </w:rPr>
        <w:t xml:space="preserve"> </w:t>
      </w:r>
      <w:r>
        <w:t>proteger</w:t>
      </w:r>
      <w:r>
        <w:rPr>
          <w:spacing w:val="-2"/>
        </w:rPr>
        <w:t xml:space="preserve"> </w:t>
      </w:r>
      <w:r>
        <w:t>a</w:t>
      </w:r>
      <w:r>
        <w:rPr>
          <w:spacing w:val="-2"/>
        </w:rPr>
        <w:t xml:space="preserve"> </w:t>
      </w:r>
      <w:r>
        <w:t>las</w:t>
      </w:r>
      <w:r>
        <w:rPr>
          <w:spacing w:val="-2"/>
        </w:rPr>
        <w:t xml:space="preserve"> </w:t>
      </w:r>
      <w:r>
        <w:t>personas</w:t>
      </w:r>
      <w:r>
        <w:rPr>
          <w:spacing w:val="-2"/>
        </w:rPr>
        <w:t xml:space="preserve"> </w:t>
      </w:r>
      <w:r>
        <w:t>contra</w:t>
      </w:r>
      <w:r>
        <w:rPr>
          <w:spacing w:val="-2"/>
        </w:rPr>
        <w:t xml:space="preserve"> </w:t>
      </w:r>
      <w:r>
        <w:t>la</w:t>
      </w:r>
      <w:r>
        <w:rPr>
          <w:spacing w:val="-2"/>
        </w:rPr>
        <w:t xml:space="preserve"> </w:t>
      </w:r>
      <w:r>
        <w:t>difamación. Como</w:t>
      </w:r>
      <w:r>
        <w:rPr>
          <w:spacing w:val="-5"/>
        </w:rPr>
        <w:t xml:space="preserve"> </w:t>
      </w:r>
      <w:r>
        <w:t>se</w:t>
      </w:r>
      <w:r>
        <w:rPr>
          <w:spacing w:val="-5"/>
        </w:rPr>
        <w:t xml:space="preserve"> </w:t>
      </w:r>
      <w:r>
        <w:t>señala</w:t>
      </w:r>
      <w:r>
        <w:rPr>
          <w:spacing w:val="-5"/>
        </w:rPr>
        <w:t xml:space="preserve"> </w:t>
      </w:r>
      <w:r>
        <w:t>más</w:t>
      </w:r>
      <w:r>
        <w:rPr>
          <w:spacing w:val="-5"/>
        </w:rPr>
        <w:t xml:space="preserve"> </w:t>
      </w:r>
      <w:r>
        <w:t>adelante,</w:t>
      </w:r>
      <w:r>
        <w:rPr>
          <w:spacing w:val="-5"/>
        </w:rPr>
        <w:t xml:space="preserve"> </w:t>
      </w:r>
      <w:r>
        <w:t>las</w:t>
      </w:r>
      <w:r>
        <w:rPr>
          <w:spacing w:val="-5"/>
        </w:rPr>
        <w:t xml:space="preserve"> </w:t>
      </w:r>
      <w:r>
        <w:t>entidades</w:t>
      </w:r>
      <w:r>
        <w:rPr>
          <w:spacing w:val="-5"/>
        </w:rPr>
        <w:t xml:space="preserve"> </w:t>
      </w:r>
      <w:r>
        <w:t>abstractas,</w:t>
      </w:r>
      <w:r>
        <w:rPr>
          <w:spacing w:val="-4"/>
        </w:rPr>
        <w:t xml:space="preserve"> </w:t>
      </w:r>
      <w:r>
        <w:t>como</w:t>
      </w:r>
      <w:r>
        <w:rPr>
          <w:spacing w:val="-5"/>
        </w:rPr>
        <w:t xml:space="preserve"> </w:t>
      </w:r>
      <w:r>
        <w:t>las</w:t>
      </w:r>
      <w:r>
        <w:rPr>
          <w:spacing w:val="-5"/>
        </w:rPr>
        <w:t xml:space="preserve"> </w:t>
      </w:r>
      <w:r>
        <w:t>ideas,</w:t>
      </w:r>
      <w:r>
        <w:rPr>
          <w:spacing w:val="-5"/>
        </w:rPr>
        <w:t xml:space="preserve"> </w:t>
      </w:r>
      <w:r>
        <w:t>las</w:t>
      </w:r>
      <w:r>
        <w:rPr>
          <w:spacing w:val="-5"/>
        </w:rPr>
        <w:t xml:space="preserve"> </w:t>
      </w:r>
      <w:r>
        <w:t>religiones</w:t>
      </w:r>
      <w:r>
        <w:rPr>
          <w:spacing w:val="-5"/>
        </w:rPr>
        <w:t xml:space="preserve"> </w:t>
      </w:r>
      <w:r>
        <w:t>o</w:t>
      </w:r>
      <w:r>
        <w:rPr>
          <w:spacing w:val="-5"/>
        </w:rPr>
        <w:t xml:space="preserve"> </w:t>
      </w:r>
      <w:r>
        <w:t>las</w:t>
      </w:r>
      <w:r>
        <w:rPr>
          <w:spacing w:val="-5"/>
        </w:rPr>
        <w:t xml:space="preserve"> </w:t>
      </w:r>
      <w:r>
        <w:t>banderas,</w:t>
      </w:r>
      <w:r>
        <w:rPr>
          <w:spacing w:val="-4"/>
        </w:rPr>
        <w:t xml:space="preserve"> </w:t>
      </w:r>
      <w:r>
        <w:t>no</w:t>
      </w:r>
      <w:r>
        <w:rPr>
          <w:spacing w:val="-5"/>
        </w:rPr>
        <w:t xml:space="preserve"> </w:t>
      </w:r>
      <w:r>
        <w:t>disfrutan</w:t>
      </w:r>
      <w:r>
        <w:rPr>
          <w:spacing w:val="-5"/>
        </w:rPr>
        <w:t xml:space="preserve"> </w:t>
      </w:r>
      <w:r>
        <w:t>de</w:t>
      </w:r>
      <w:r>
        <w:rPr>
          <w:spacing w:val="-5"/>
        </w:rPr>
        <w:t xml:space="preserve"> </w:t>
      </w:r>
      <w:r>
        <w:t>la</w:t>
      </w:r>
      <w:r>
        <w:rPr>
          <w:spacing w:val="-5"/>
        </w:rPr>
        <w:t xml:space="preserve"> </w:t>
      </w:r>
      <w:r>
        <w:t>protección internacional</w:t>
      </w:r>
      <w:r>
        <w:rPr>
          <w:spacing w:val="-2"/>
        </w:rPr>
        <w:t xml:space="preserve"> </w:t>
      </w:r>
      <w:r>
        <w:t>de</w:t>
      </w:r>
      <w:r>
        <w:rPr>
          <w:spacing w:val="-2"/>
        </w:rPr>
        <w:t xml:space="preserve"> </w:t>
      </w:r>
      <w:r>
        <w:t>los</w:t>
      </w:r>
      <w:r>
        <w:rPr>
          <w:spacing w:val="-2"/>
        </w:rPr>
        <w:t xml:space="preserve"> </w:t>
      </w:r>
      <w:r>
        <w:t>derechos</w:t>
      </w:r>
      <w:r>
        <w:rPr>
          <w:spacing w:val="-2"/>
        </w:rPr>
        <w:t xml:space="preserve"> </w:t>
      </w:r>
      <w:r>
        <w:t>humanos</w:t>
      </w:r>
      <w:r>
        <w:rPr>
          <w:spacing w:val="-2"/>
        </w:rPr>
        <w:t xml:space="preserve"> </w:t>
      </w:r>
      <w:r>
        <w:t>contra</w:t>
      </w:r>
      <w:r>
        <w:rPr>
          <w:spacing w:val="-2"/>
        </w:rPr>
        <w:t xml:space="preserve"> </w:t>
      </w:r>
      <w:r>
        <w:t>la</w:t>
      </w:r>
      <w:r>
        <w:rPr>
          <w:spacing w:val="-2"/>
        </w:rPr>
        <w:t xml:space="preserve"> </w:t>
      </w:r>
      <w:r>
        <w:t>difamación.</w:t>
      </w:r>
      <w:r>
        <w:rPr>
          <w:spacing w:val="-1"/>
        </w:rPr>
        <w:t xml:space="preserve"> </w:t>
      </w:r>
      <w:r>
        <w:t>Además,</w:t>
      </w:r>
      <w:r>
        <w:rPr>
          <w:spacing w:val="-2"/>
        </w:rPr>
        <w:t xml:space="preserve"> </w:t>
      </w:r>
      <w:r>
        <w:t>se</w:t>
      </w:r>
      <w:r>
        <w:rPr>
          <w:spacing w:val="-2"/>
        </w:rPr>
        <w:t xml:space="preserve"> </w:t>
      </w:r>
      <w:r>
        <w:t>reserva</w:t>
      </w:r>
      <w:r>
        <w:rPr>
          <w:spacing w:val="-2"/>
        </w:rPr>
        <w:t xml:space="preserve"> </w:t>
      </w:r>
      <w:r>
        <w:t>un</w:t>
      </w:r>
      <w:r>
        <w:rPr>
          <w:spacing w:val="-2"/>
        </w:rPr>
        <w:t xml:space="preserve"> </w:t>
      </w:r>
      <w:r>
        <w:t>espacio</w:t>
      </w:r>
      <w:r>
        <w:rPr>
          <w:spacing w:val="-2"/>
        </w:rPr>
        <w:t xml:space="preserve"> </w:t>
      </w:r>
      <w:r>
        <w:t>particular</w:t>
      </w:r>
      <w:r>
        <w:rPr>
          <w:spacing w:val="-2"/>
        </w:rPr>
        <w:t xml:space="preserve"> </w:t>
      </w:r>
      <w:r>
        <w:t>para</w:t>
      </w:r>
      <w:r>
        <w:rPr>
          <w:spacing w:val="-2"/>
        </w:rPr>
        <w:t xml:space="preserve"> </w:t>
      </w:r>
      <w:r>
        <w:t>las</w:t>
      </w:r>
      <w:r>
        <w:rPr>
          <w:spacing w:val="-2"/>
        </w:rPr>
        <w:t xml:space="preserve"> </w:t>
      </w:r>
      <w:r>
        <w:t>críticas</w:t>
      </w:r>
      <w:r>
        <w:rPr>
          <w:spacing w:val="-2"/>
        </w:rPr>
        <w:t xml:space="preserve"> </w:t>
      </w:r>
      <w:r>
        <w:t>a</w:t>
      </w:r>
      <w:r>
        <w:rPr>
          <w:spacing w:val="-2"/>
        </w:rPr>
        <w:t xml:space="preserve"> </w:t>
      </w:r>
      <w:r>
        <w:t xml:space="preserve">figuras públicas: “en los comentarios sobre figuras públicas, se debe </w:t>
      </w:r>
      <w:proofErr w:type="gramStart"/>
      <w:r>
        <w:t>considerar evitar penalizar</w:t>
      </w:r>
      <w:proofErr w:type="gramEnd"/>
      <w:r>
        <w:t xml:space="preserve"> o hacer ilegales declaraciones falsas que hayan sido publicadas por error pero sin malicia”.1187</w:t>
      </w:r>
    </w:p>
    <w:p w14:paraId="12755DC0" w14:textId="77777777" w:rsidR="0014798C" w:rsidRDefault="004E1F0B">
      <w:pPr>
        <w:pStyle w:val="Textoindependiente"/>
        <w:spacing w:before="5"/>
        <w:rPr>
          <w:sz w:val="18"/>
        </w:rPr>
      </w:pPr>
      <w:r>
        <w:rPr>
          <w:noProof/>
        </w:rPr>
        <mc:AlternateContent>
          <mc:Choice Requires="wpg">
            <w:drawing>
              <wp:anchor distT="0" distB="0" distL="0" distR="0" simplePos="0" relativeHeight="251658561" behindDoc="1" locked="0" layoutInCell="1" allowOverlap="1" wp14:anchorId="52B87538" wp14:editId="0975DA16">
                <wp:simplePos x="0" y="0"/>
                <wp:positionH relativeFrom="page">
                  <wp:posOffset>804169</wp:posOffset>
                </wp:positionH>
                <wp:positionV relativeFrom="paragraph">
                  <wp:posOffset>150135</wp:posOffset>
                </wp:positionV>
                <wp:extent cx="5953125" cy="1910080"/>
                <wp:effectExtent l="0" t="0" r="0" b="0"/>
                <wp:wrapTopAndBottom/>
                <wp:docPr id="364" name="Group 36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953125" cy="1910080"/>
                          <a:chOff x="0" y="0"/>
                          <a:chExt cx="5953125" cy="1910080"/>
                        </a:xfrm>
                      </wpg:grpSpPr>
                      <pic:pic xmlns:pic="http://schemas.openxmlformats.org/drawingml/2006/picture">
                        <pic:nvPicPr>
                          <pic:cNvPr id="365" name="Image 365"/>
                          <pic:cNvPicPr/>
                        </pic:nvPicPr>
                        <pic:blipFill>
                          <a:blip r:embed="rId335" cstate="print"/>
                          <a:stretch>
                            <a:fillRect/>
                          </a:stretch>
                        </pic:blipFill>
                        <pic:spPr>
                          <a:xfrm>
                            <a:off x="0" y="0"/>
                            <a:ext cx="5952653" cy="1909675"/>
                          </a:xfrm>
                          <a:prstGeom prst="rect">
                            <a:avLst/>
                          </a:prstGeom>
                        </pic:spPr>
                      </pic:pic>
                      <wps:wsp>
                        <wps:cNvPr id="366" name="Textbox 366"/>
                        <wps:cNvSpPr txBox="1"/>
                        <wps:spPr>
                          <a:xfrm>
                            <a:off x="169774" y="164904"/>
                            <a:ext cx="5441315" cy="671195"/>
                          </a:xfrm>
                          <a:prstGeom prst="rect">
                            <a:avLst/>
                          </a:prstGeom>
                        </wps:spPr>
                        <wps:txbx>
                          <w:txbxContent>
                            <w:p w14:paraId="3F008E10" w14:textId="77777777" w:rsidR="0014798C" w:rsidRDefault="004E1F0B">
                              <w:pPr>
                                <w:spacing w:line="295" w:lineRule="auto"/>
                                <w:ind w:left="8" w:right="1578"/>
                                <w:rPr>
                                  <w:sz w:val="16"/>
                                </w:rPr>
                              </w:pPr>
                              <w:r>
                                <w:rPr>
                                  <w:sz w:val="16"/>
                                </w:rPr>
                                <w:t>BLASFEMIA,</w:t>
                              </w:r>
                              <w:r>
                                <w:rPr>
                                  <w:spacing w:val="-12"/>
                                  <w:sz w:val="16"/>
                                </w:rPr>
                                <w:t xml:space="preserve"> </w:t>
                              </w:r>
                              <w:r>
                                <w:rPr>
                                  <w:sz w:val="16"/>
                                </w:rPr>
                                <w:t>“DIFAMACIÓN</w:t>
                              </w:r>
                              <w:r>
                                <w:rPr>
                                  <w:spacing w:val="-11"/>
                                  <w:sz w:val="16"/>
                                </w:rPr>
                                <w:t xml:space="preserve"> </w:t>
                              </w:r>
                              <w:r>
                                <w:rPr>
                                  <w:sz w:val="16"/>
                                </w:rPr>
                                <w:t>DE</w:t>
                              </w:r>
                              <w:r>
                                <w:rPr>
                                  <w:spacing w:val="-11"/>
                                  <w:sz w:val="16"/>
                                </w:rPr>
                                <w:t xml:space="preserve"> </w:t>
                              </w:r>
                              <w:r>
                                <w:rPr>
                                  <w:sz w:val="16"/>
                                </w:rPr>
                                <w:t>LA</w:t>
                              </w:r>
                              <w:r>
                                <w:rPr>
                                  <w:spacing w:val="-11"/>
                                  <w:sz w:val="16"/>
                                </w:rPr>
                                <w:t xml:space="preserve"> </w:t>
                              </w:r>
                              <w:r>
                                <w:rPr>
                                  <w:sz w:val="16"/>
                                </w:rPr>
                                <w:t>RELIGIÓN”</w:t>
                              </w:r>
                              <w:r>
                                <w:rPr>
                                  <w:spacing w:val="-11"/>
                                  <w:sz w:val="16"/>
                                </w:rPr>
                                <w:t xml:space="preserve"> </w:t>
                              </w:r>
                              <w:r>
                                <w:rPr>
                                  <w:sz w:val="16"/>
                                </w:rPr>
                                <w:t>E</w:t>
                              </w:r>
                              <w:r>
                                <w:rPr>
                                  <w:spacing w:val="-11"/>
                                  <w:sz w:val="16"/>
                                </w:rPr>
                                <w:t xml:space="preserve"> </w:t>
                              </w:r>
                              <w:r>
                                <w:rPr>
                                  <w:sz w:val="16"/>
                                </w:rPr>
                                <w:t>INSULTO</w:t>
                              </w:r>
                              <w:r>
                                <w:rPr>
                                  <w:spacing w:val="-11"/>
                                  <w:sz w:val="16"/>
                                </w:rPr>
                                <w:t xml:space="preserve"> </w:t>
                              </w:r>
                              <w:r>
                                <w:rPr>
                                  <w:sz w:val="16"/>
                                </w:rPr>
                                <w:t>AL</w:t>
                              </w:r>
                              <w:r>
                                <w:rPr>
                                  <w:spacing w:val="-11"/>
                                  <w:sz w:val="16"/>
                                </w:rPr>
                                <w:t xml:space="preserve"> </w:t>
                              </w:r>
                              <w:r>
                                <w:rPr>
                                  <w:sz w:val="16"/>
                                </w:rPr>
                                <w:t>ESTADO,</w:t>
                              </w:r>
                              <w:r>
                                <w:rPr>
                                  <w:spacing w:val="-12"/>
                                  <w:sz w:val="16"/>
                                </w:rPr>
                                <w:t xml:space="preserve"> </w:t>
                              </w:r>
                              <w:r>
                                <w:rPr>
                                  <w:sz w:val="16"/>
                                </w:rPr>
                                <w:t>BANDERA</w:t>
                              </w:r>
                              <w:r>
                                <w:rPr>
                                  <w:spacing w:val="-11"/>
                                  <w:sz w:val="16"/>
                                </w:rPr>
                                <w:t xml:space="preserve"> </w:t>
                              </w:r>
                              <w:r>
                                <w:rPr>
                                  <w:sz w:val="16"/>
                                </w:rPr>
                                <w:t xml:space="preserve">O </w:t>
                              </w:r>
                              <w:r>
                                <w:rPr>
                                  <w:spacing w:val="-2"/>
                                  <w:sz w:val="16"/>
                                </w:rPr>
                                <w:t>UNIFORME</w:t>
                              </w:r>
                            </w:p>
                            <w:p w14:paraId="1356C53F" w14:textId="77777777" w:rsidR="0014798C" w:rsidRDefault="004E1F0B">
                              <w:pPr>
                                <w:spacing w:before="104" w:line="250" w:lineRule="atLeast"/>
                                <w:ind w:hanging="1"/>
                                <w:rPr>
                                  <w:sz w:val="16"/>
                                </w:rPr>
                              </w:pPr>
                              <w:r>
                                <w:rPr>
                                  <w:sz w:val="16"/>
                                </w:rPr>
                                <w:t>La</w:t>
                              </w:r>
                              <w:r>
                                <w:rPr>
                                  <w:spacing w:val="-8"/>
                                  <w:sz w:val="16"/>
                                </w:rPr>
                                <w:t xml:space="preserve"> </w:t>
                              </w:r>
                              <w:r>
                                <w:rPr>
                                  <w:sz w:val="16"/>
                                </w:rPr>
                                <w:t>blasfemia</w:t>
                              </w:r>
                              <w:r>
                                <w:rPr>
                                  <w:spacing w:val="-8"/>
                                  <w:sz w:val="16"/>
                                </w:rPr>
                                <w:t xml:space="preserve"> </w:t>
                              </w:r>
                              <w:r>
                                <w:rPr>
                                  <w:sz w:val="16"/>
                                </w:rPr>
                                <w:t>o</w:t>
                              </w:r>
                              <w:r>
                                <w:rPr>
                                  <w:spacing w:val="-8"/>
                                  <w:sz w:val="16"/>
                                </w:rPr>
                                <w:t xml:space="preserve"> </w:t>
                              </w:r>
                              <w:r>
                                <w:rPr>
                                  <w:sz w:val="16"/>
                                </w:rPr>
                                <w:t>la</w:t>
                              </w:r>
                              <w:r>
                                <w:rPr>
                                  <w:spacing w:val="-8"/>
                                  <w:sz w:val="16"/>
                                </w:rPr>
                                <w:t xml:space="preserve"> </w:t>
                              </w:r>
                              <w:r>
                                <w:rPr>
                                  <w:sz w:val="16"/>
                                </w:rPr>
                                <w:t>“difamación</w:t>
                              </w:r>
                              <w:r>
                                <w:rPr>
                                  <w:spacing w:val="-8"/>
                                  <w:sz w:val="16"/>
                                </w:rPr>
                                <w:t xml:space="preserve"> </w:t>
                              </w:r>
                              <w:r>
                                <w:rPr>
                                  <w:sz w:val="16"/>
                                </w:rPr>
                                <w:t>de</w:t>
                              </w:r>
                              <w:r>
                                <w:rPr>
                                  <w:spacing w:val="-8"/>
                                  <w:sz w:val="16"/>
                                </w:rPr>
                                <w:t xml:space="preserve"> </w:t>
                              </w:r>
                              <w:r>
                                <w:rPr>
                                  <w:sz w:val="16"/>
                                </w:rPr>
                                <w:t>la</w:t>
                              </w:r>
                              <w:r>
                                <w:rPr>
                                  <w:spacing w:val="-8"/>
                                  <w:sz w:val="16"/>
                                </w:rPr>
                                <w:t xml:space="preserve"> </w:t>
                              </w:r>
                              <w:r>
                                <w:rPr>
                                  <w:sz w:val="16"/>
                                </w:rPr>
                                <w:t>religión”</w:t>
                              </w:r>
                              <w:r>
                                <w:rPr>
                                  <w:spacing w:val="-8"/>
                                  <w:sz w:val="16"/>
                                </w:rPr>
                                <w:t xml:space="preserve"> </w:t>
                              </w:r>
                              <w:r>
                                <w:rPr>
                                  <w:sz w:val="16"/>
                                </w:rPr>
                                <w:t>no</w:t>
                              </w:r>
                              <w:r>
                                <w:rPr>
                                  <w:spacing w:val="-8"/>
                                  <w:sz w:val="16"/>
                                </w:rPr>
                                <w:t xml:space="preserve"> </w:t>
                              </w:r>
                              <w:r>
                                <w:rPr>
                                  <w:sz w:val="16"/>
                                </w:rPr>
                                <w:t>son</w:t>
                              </w:r>
                              <w:r>
                                <w:rPr>
                                  <w:spacing w:val="-8"/>
                                  <w:sz w:val="16"/>
                                </w:rPr>
                                <w:t xml:space="preserve"> </w:t>
                              </w:r>
                              <w:r>
                                <w:rPr>
                                  <w:sz w:val="16"/>
                                </w:rPr>
                                <w:t>discursos</w:t>
                              </w:r>
                              <w:r>
                                <w:rPr>
                                  <w:spacing w:val="-8"/>
                                  <w:sz w:val="16"/>
                                </w:rPr>
                                <w:t xml:space="preserve"> </w:t>
                              </w:r>
                              <w:r>
                                <w:rPr>
                                  <w:sz w:val="16"/>
                                </w:rPr>
                                <w:t>de</w:t>
                              </w:r>
                              <w:r>
                                <w:rPr>
                                  <w:spacing w:val="-8"/>
                                  <w:sz w:val="16"/>
                                </w:rPr>
                                <w:t xml:space="preserve"> </w:t>
                              </w:r>
                              <w:r>
                                <w:rPr>
                                  <w:sz w:val="16"/>
                                </w:rPr>
                                <w:t>odio:</w:t>
                              </w:r>
                              <w:r>
                                <w:rPr>
                                  <w:spacing w:val="-8"/>
                                  <w:sz w:val="16"/>
                                </w:rPr>
                                <w:t xml:space="preserve"> </w:t>
                              </w:r>
                              <w:r>
                                <w:rPr>
                                  <w:sz w:val="16"/>
                                </w:rPr>
                                <w:t>sólo</w:t>
                              </w:r>
                              <w:r>
                                <w:rPr>
                                  <w:spacing w:val="-8"/>
                                  <w:sz w:val="16"/>
                                </w:rPr>
                                <w:t xml:space="preserve"> </w:t>
                              </w:r>
                              <w:r>
                                <w:rPr>
                                  <w:sz w:val="16"/>
                                </w:rPr>
                                <w:t>se</w:t>
                              </w:r>
                              <w:r>
                                <w:rPr>
                                  <w:spacing w:val="-8"/>
                                  <w:sz w:val="16"/>
                                </w:rPr>
                                <w:t xml:space="preserve"> </w:t>
                              </w:r>
                              <w:r>
                                <w:rPr>
                                  <w:sz w:val="16"/>
                                </w:rPr>
                                <w:t>pueden</w:t>
                              </w:r>
                              <w:r>
                                <w:rPr>
                                  <w:spacing w:val="-8"/>
                                  <w:sz w:val="16"/>
                                </w:rPr>
                                <w:t xml:space="preserve"> </w:t>
                              </w:r>
                              <w:r>
                                <w:rPr>
                                  <w:sz w:val="16"/>
                                </w:rPr>
                                <w:t>imponer</w:t>
                              </w:r>
                              <w:r>
                                <w:rPr>
                                  <w:spacing w:val="-8"/>
                                  <w:sz w:val="16"/>
                                </w:rPr>
                                <w:t xml:space="preserve"> </w:t>
                              </w:r>
                              <w:r>
                                <w:rPr>
                                  <w:sz w:val="16"/>
                                </w:rPr>
                                <w:t>restricciones</w:t>
                              </w:r>
                              <w:r>
                                <w:rPr>
                                  <w:spacing w:val="-8"/>
                                  <w:sz w:val="16"/>
                                </w:rPr>
                                <w:t xml:space="preserve"> </w:t>
                              </w:r>
                              <w:r>
                                <w:rPr>
                                  <w:sz w:val="16"/>
                                </w:rPr>
                                <w:t>si</w:t>
                              </w:r>
                              <w:r>
                                <w:rPr>
                                  <w:spacing w:val="-8"/>
                                  <w:sz w:val="16"/>
                                </w:rPr>
                                <w:t xml:space="preserve"> </w:t>
                              </w:r>
                              <w:r>
                                <w:rPr>
                                  <w:sz w:val="16"/>
                                </w:rPr>
                                <w:t>alcanzan</w:t>
                              </w:r>
                              <w:r>
                                <w:rPr>
                                  <w:spacing w:val="-8"/>
                                  <w:sz w:val="16"/>
                                </w:rPr>
                                <w:t xml:space="preserve"> </w:t>
                              </w:r>
                              <w:r>
                                <w:rPr>
                                  <w:sz w:val="16"/>
                                </w:rPr>
                                <w:t>el umbral</w:t>
                              </w:r>
                              <w:r>
                                <w:rPr>
                                  <w:spacing w:val="-3"/>
                                  <w:sz w:val="16"/>
                                </w:rPr>
                                <w:t xml:space="preserve"> </w:t>
                              </w:r>
                              <w:r>
                                <w:rPr>
                                  <w:sz w:val="16"/>
                                </w:rPr>
                                <w:t>de</w:t>
                              </w:r>
                              <w:r>
                                <w:rPr>
                                  <w:spacing w:val="-3"/>
                                  <w:sz w:val="16"/>
                                </w:rPr>
                                <w:t xml:space="preserve"> </w:t>
                              </w:r>
                              <w:r>
                                <w:rPr>
                                  <w:sz w:val="16"/>
                                </w:rPr>
                                <w:t>incitación</w:t>
                              </w:r>
                              <w:r>
                                <w:rPr>
                                  <w:spacing w:val="-3"/>
                                  <w:sz w:val="16"/>
                                </w:rPr>
                                <w:t xml:space="preserve"> </w:t>
                              </w:r>
                              <w:r>
                                <w:rPr>
                                  <w:sz w:val="16"/>
                                </w:rPr>
                                <w:t>a</w:t>
                              </w:r>
                              <w:r>
                                <w:rPr>
                                  <w:spacing w:val="-3"/>
                                  <w:sz w:val="16"/>
                                </w:rPr>
                                <w:t xml:space="preserve"> </w:t>
                              </w:r>
                              <w:r>
                                <w:rPr>
                                  <w:sz w:val="16"/>
                                </w:rPr>
                                <w:t>la</w:t>
                              </w:r>
                              <w:r>
                                <w:rPr>
                                  <w:spacing w:val="-3"/>
                                  <w:sz w:val="16"/>
                                </w:rPr>
                                <w:t xml:space="preserve"> </w:t>
                              </w:r>
                              <w:r>
                                <w:rPr>
                                  <w:sz w:val="16"/>
                                </w:rPr>
                                <w:t>discriminación,</w:t>
                              </w:r>
                              <w:r>
                                <w:rPr>
                                  <w:spacing w:val="-2"/>
                                  <w:sz w:val="16"/>
                                </w:rPr>
                                <w:t xml:space="preserve"> </w:t>
                              </w:r>
                              <w:r>
                                <w:rPr>
                                  <w:sz w:val="16"/>
                                </w:rPr>
                                <w:t>la</w:t>
                              </w:r>
                              <w:r>
                                <w:rPr>
                                  <w:spacing w:val="-3"/>
                                  <w:sz w:val="16"/>
                                </w:rPr>
                                <w:t xml:space="preserve"> </w:t>
                              </w:r>
                              <w:r>
                                <w:rPr>
                                  <w:sz w:val="16"/>
                                </w:rPr>
                                <w:t>hostilidad</w:t>
                              </w:r>
                              <w:r>
                                <w:rPr>
                                  <w:spacing w:val="-3"/>
                                  <w:sz w:val="16"/>
                                </w:rPr>
                                <w:t xml:space="preserve"> </w:t>
                              </w:r>
                              <w:r>
                                <w:rPr>
                                  <w:sz w:val="16"/>
                                </w:rPr>
                                <w:t>o</w:t>
                              </w:r>
                              <w:r>
                                <w:rPr>
                                  <w:spacing w:val="-3"/>
                                  <w:sz w:val="16"/>
                                </w:rPr>
                                <w:t xml:space="preserve"> </w:t>
                              </w:r>
                              <w:r>
                                <w:rPr>
                                  <w:sz w:val="16"/>
                                </w:rPr>
                                <w:t>la</w:t>
                              </w:r>
                              <w:r>
                                <w:rPr>
                                  <w:spacing w:val="-3"/>
                                  <w:sz w:val="16"/>
                                </w:rPr>
                                <w:t xml:space="preserve"> </w:t>
                              </w:r>
                              <w:r>
                                <w:rPr>
                                  <w:sz w:val="16"/>
                                </w:rPr>
                                <w:t>violencia.1188</w:t>
                              </w:r>
                              <w:r>
                                <w:rPr>
                                  <w:spacing w:val="-3"/>
                                  <w:sz w:val="16"/>
                                </w:rPr>
                                <w:t xml:space="preserve"> </w:t>
                              </w:r>
                              <w:r>
                                <w:rPr>
                                  <w:sz w:val="16"/>
                                </w:rPr>
                                <w:t>El</w:t>
                              </w:r>
                              <w:r>
                                <w:rPr>
                                  <w:spacing w:val="-3"/>
                                  <w:sz w:val="16"/>
                                </w:rPr>
                                <w:t xml:space="preserve"> </w:t>
                              </w:r>
                              <w:r>
                                <w:rPr>
                                  <w:sz w:val="16"/>
                                </w:rPr>
                                <w:t>Comité</w:t>
                              </w:r>
                              <w:r>
                                <w:rPr>
                                  <w:spacing w:val="-3"/>
                                  <w:sz w:val="16"/>
                                </w:rPr>
                                <w:t xml:space="preserve"> </w:t>
                              </w:r>
                              <w:r>
                                <w:rPr>
                                  <w:sz w:val="16"/>
                                </w:rPr>
                                <w:t>de</w:t>
                              </w:r>
                              <w:r>
                                <w:rPr>
                                  <w:spacing w:val="-3"/>
                                  <w:sz w:val="16"/>
                                </w:rPr>
                                <w:t xml:space="preserve"> </w:t>
                              </w:r>
                              <w:r>
                                <w:rPr>
                                  <w:sz w:val="16"/>
                                </w:rPr>
                                <w:t>Derechos</w:t>
                              </w:r>
                              <w:r>
                                <w:rPr>
                                  <w:spacing w:val="-3"/>
                                  <w:sz w:val="16"/>
                                </w:rPr>
                                <w:t xml:space="preserve"> </w:t>
                              </w:r>
                              <w:r>
                                <w:rPr>
                                  <w:sz w:val="16"/>
                                </w:rPr>
                                <w:t>Humanos</w:t>
                              </w:r>
                              <w:r>
                                <w:rPr>
                                  <w:spacing w:val="-3"/>
                                  <w:sz w:val="16"/>
                                </w:rPr>
                                <w:t xml:space="preserve"> </w:t>
                              </w:r>
                              <w:r>
                                <w:rPr>
                                  <w:sz w:val="16"/>
                                </w:rPr>
                                <w:t>ha</w:t>
                              </w:r>
                              <w:r>
                                <w:rPr>
                                  <w:spacing w:val="-3"/>
                                  <w:sz w:val="16"/>
                                </w:rPr>
                                <w:t xml:space="preserve"> </w:t>
                              </w:r>
                              <w:r>
                                <w:rPr>
                                  <w:sz w:val="16"/>
                                </w:rPr>
                                <w:t>declarado:</w:t>
                              </w:r>
                            </w:p>
                          </w:txbxContent>
                        </wps:txbx>
                        <wps:bodyPr wrap="square" lIns="0" tIns="0" rIns="0" bIns="0" rtlCol="0">
                          <a:noAutofit/>
                        </wps:bodyPr>
                      </wps:wsp>
                      <wps:wsp>
                        <wps:cNvPr id="367" name="Textbox 367"/>
                        <wps:cNvSpPr txBox="1"/>
                        <wps:spPr>
                          <a:xfrm>
                            <a:off x="385310" y="1112700"/>
                            <a:ext cx="5296535" cy="588010"/>
                          </a:xfrm>
                          <a:prstGeom prst="rect">
                            <a:avLst/>
                          </a:prstGeom>
                        </wps:spPr>
                        <wps:txbx>
                          <w:txbxContent>
                            <w:p w14:paraId="751B01F0" w14:textId="77777777" w:rsidR="0014798C" w:rsidRDefault="004E1F0B">
                              <w:pPr>
                                <w:spacing w:line="326" w:lineRule="auto"/>
                                <w:ind w:left="1"/>
                                <w:rPr>
                                  <w:sz w:val="16"/>
                                </w:rPr>
                              </w:pPr>
                              <w:r>
                                <w:rPr>
                                  <w:sz w:val="16"/>
                                </w:rPr>
                                <w:t>La</w:t>
                              </w:r>
                              <w:r>
                                <w:rPr>
                                  <w:spacing w:val="-1"/>
                                  <w:sz w:val="16"/>
                                </w:rPr>
                                <w:t xml:space="preserve"> </w:t>
                              </w:r>
                              <w:r>
                                <w:rPr>
                                  <w:sz w:val="16"/>
                                </w:rPr>
                                <w:t>prohibición</w:t>
                              </w:r>
                              <w:r>
                                <w:rPr>
                                  <w:spacing w:val="-2"/>
                                  <w:sz w:val="16"/>
                                </w:rPr>
                                <w:t xml:space="preserve"> </w:t>
                              </w:r>
                              <w:r>
                                <w:rPr>
                                  <w:sz w:val="16"/>
                                </w:rPr>
                                <w:t>de</w:t>
                              </w:r>
                              <w:r>
                                <w:rPr>
                                  <w:spacing w:val="-1"/>
                                  <w:sz w:val="16"/>
                                </w:rPr>
                                <w:t xml:space="preserve"> </w:t>
                              </w:r>
                              <w:r>
                                <w:rPr>
                                  <w:sz w:val="16"/>
                                </w:rPr>
                                <w:t>mostrar</w:t>
                              </w:r>
                              <w:r>
                                <w:rPr>
                                  <w:spacing w:val="-2"/>
                                  <w:sz w:val="16"/>
                                </w:rPr>
                                <w:t xml:space="preserve"> </w:t>
                              </w:r>
                              <w:r>
                                <w:rPr>
                                  <w:sz w:val="16"/>
                                </w:rPr>
                                <w:t>falta</w:t>
                              </w:r>
                              <w:r>
                                <w:rPr>
                                  <w:spacing w:val="-1"/>
                                  <w:sz w:val="16"/>
                                </w:rPr>
                                <w:t xml:space="preserve"> </w:t>
                              </w:r>
                              <w:r>
                                <w:rPr>
                                  <w:sz w:val="16"/>
                                </w:rPr>
                                <w:t>de</w:t>
                              </w:r>
                              <w:r>
                                <w:rPr>
                                  <w:spacing w:val="-2"/>
                                  <w:sz w:val="16"/>
                                </w:rPr>
                                <w:t xml:space="preserve"> </w:t>
                              </w:r>
                              <w:r>
                                <w:rPr>
                                  <w:sz w:val="16"/>
                                </w:rPr>
                                <w:t>respeto</w:t>
                              </w:r>
                              <w:r>
                                <w:rPr>
                                  <w:spacing w:val="-1"/>
                                  <w:sz w:val="16"/>
                                </w:rPr>
                                <w:t xml:space="preserve"> </w:t>
                              </w:r>
                              <w:r>
                                <w:rPr>
                                  <w:sz w:val="16"/>
                                </w:rPr>
                                <w:t>hacia</w:t>
                              </w:r>
                              <w:r>
                                <w:rPr>
                                  <w:spacing w:val="-2"/>
                                  <w:sz w:val="16"/>
                                </w:rPr>
                                <w:t xml:space="preserve"> </w:t>
                              </w:r>
                              <w:r>
                                <w:rPr>
                                  <w:sz w:val="16"/>
                                </w:rPr>
                                <w:t>una</w:t>
                              </w:r>
                              <w:r>
                                <w:rPr>
                                  <w:spacing w:val="-1"/>
                                  <w:sz w:val="16"/>
                                </w:rPr>
                                <w:t xml:space="preserve"> </w:t>
                              </w:r>
                              <w:r>
                                <w:rPr>
                                  <w:sz w:val="16"/>
                                </w:rPr>
                                <w:t>religión</w:t>
                              </w:r>
                              <w:r>
                                <w:rPr>
                                  <w:spacing w:val="-2"/>
                                  <w:sz w:val="16"/>
                                </w:rPr>
                                <w:t xml:space="preserve"> </w:t>
                              </w:r>
                              <w:r>
                                <w:rPr>
                                  <w:sz w:val="16"/>
                                </w:rPr>
                                <w:t>u</w:t>
                              </w:r>
                              <w:r>
                                <w:rPr>
                                  <w:spacing w:val="-1"/>
                                  <w:sz w:val="16"/>
                                </w:rPr>
                                <w:t xml:space="preserve"> </w:t>
                              </w:r>
                              <w:r>
                                <w:rPr>
                                  <w:sz w:val="16"/>
                                </w:rPr>
                                <w:t>otro</w:t>
                              </w:r>
                              <w:r>
                                <w:rPr>
                                  <w:spacing w:val="-2"/>
                                  <w:sz w:val="16"/>
                                </w:rPr>
                                <w:t xml:space="preserve"> </w:t>
                              </w:r>
                              <w:r>
                                <w:rPr>
                                  <w:sz w:val="16"/>
                                </w:rPr>
                                <w:t>sistema</w:t>
                              </w:r>
                              <w:r>
                                <w:rPr>
                                  <w:spacing w:val="-1"/>
                                  <w:sz w:val="16"/>
                                </w:rPr>
                                <w:t xml:space="preserve"> </w:t>
                              </w:r>
                              <w:r>
                                <w:rPr>
                                  <w:sz w:val="16"/>
                                </w:rPr>
                                <w:t>de</w:t>
                              </w:r>
                              <w:r>
                                <w:rPr>
                                  <w:spacing w:val="-2"/>
                                  <w:sz w:val="16"/>
                                </w:rPr>
                                <w:t xml:space="preserve"> </w:t>
                              </w:r>
                              <w:r>
                                <w:rPr>
                                  <w:sz w:val="16"/>
                                </w:rPr>
                                <w:t>creencias, incluidas</w:t>
                              </w:r>
                              <w:r>
                                <w:rPr>
                                  <w:spacing w:val="-2"/>
                                  <w:sz w:val="16"/>
                                </w:rPr>
                                <w:t xml:space="preserve"> </w:t>
                              </w:r>
                              <w:r>
                                <w:rPr>
                                  <w:sz w:val="16"/>
                                </w:rPr>
                                <w:t>las</w:t>
                              </w:r>
                              <w:r>
                                <w:rPr>
                                  <w:spacing w:val="-1"/>
                                  <w:sz w:val="16"/>
                                </w:rPr>
                                <w:t xml:space="preserve"> </w:t>
                              </w:r>
                              <w:r>
                                <w:rPr>
                                  <w:sz w:val="16"/>
                                </w:rPr>
                                <w:t>leyes</w:t>
                              </w:r>
                              <w:r>
                                <w:rPr>
                                  <w:spacing w:val="-2"/>
                                  <w:sz w:val="16"/>
                                </w:rPr>
                                <w:t xml:space="preserve"> </w:t>
                              </w:r>
                              <w:r>
                                <w:rPr>
                                  <w:sz w:val="16"/>
                                </w:rPr>
                                <w:t>sobre blasfemia,</w:t>
                              </w:r>
                              <w:r>
                                <w:rPr>
                                  <w:spacing w:val="-8"/>
                                  <w:sz w:val="16"/>
                                </w:rPr>
                                <w:t xml:space="preserve"> </w:t>
                              </w:r>
                              <w:r>
                                <w:rPr>
                                  <w:sz w:val="16"/>
                                </w:rPr>
                                <w:t>es</w:t>
                              </w:r>
                              <w:r>
                                <w:rPr>
                                  <w:spacing w:val="-9"/>
                                  <w:sz w:val="16"/>
                                </w:rPr>
                                <w:t xml:space="preserve"> </w:t>
                              </w:r>
                              <w:r>
                                <w:rPr>
                                  <w:sz w:val="16"/>
                                </w:rPr>
                                <w:t>incompatible</w:t>
                              </w:r>
                              <w:r>
                                <w:rPr>
                                  <w:spacing w:val="-9"/>
                                  <w:sz w:val="16"/>
                                </w:rPr>
                                <w:t xml:space="preserve"> </w:t>
                              </w:r>
                              <w:r>
                                <w:rPr>
                                  <w:sz w:val="16"/>
                                </w:rPr>
                                <w:t>con</w:t>
                              </w:r>
                              <w:r>
                                <w:rPr>
                                  <w:spacing w:val="-9"/>
                                  <w:sz w:val="16"/>
                                </w:rPr>
                                <w:t xml:space="preserve"> </w:t>
                              </w:r>
                              <w:r>
                                <w:rPr>
                                  <w:sz w:val="16"/>
                                </w:rPr>
                                <w:t>el</w:t>
                              </w:r>
                              <w:r>
                                <w:rPr>
                                  <w:spacing w:val="-9"/>
                                  <w:sz w:val="16"/>
                                </w:rPr>
                                <w:t xml:space="preserve"> </w:t>
                              </w:r>
                              <w:r>
                                <w:rPr>
                                  <w:sz w:val="16"/>
                                </w:rPr>
                                <w:t>Pacto,</w:t>
                              </w:r>
                              <w:r>
                                <w:rPr>
                                  <w:spacing w:val="-9"/>
                                  <w:sz w:val="16"/>
                                </w:rPr>
                                <w:t xml:space="preserve"> </w:t>
                              </w:r>
                              <w:r>
                                <w:rPr>
                                  <w:sz w:val="16"/>
                                </w:rPr>
                                <w:t>excepto</w:t>
                              </w:r>
                              <w:r>
                                <w:rPr>
                                  <w:spacing w:val="-9"/>
                                  <w:sz w:val="16"/>
                                </w:rPr>
                                <w:t xml:space="preserve"> </w:t>
                              </w:r>
                              <w:r>
                                <w:rPr>
                                  <w:sz w:val="16"/>
                                </w:rPr>
                                <w:t>en</w:t>
                              </w:r>
                              <w:r>
                                <w:rPr>
                                  <w:spacing w:val="-9"/>
                                  <w:sz w:val="16"/>
                                </w:rPr>
                                <w:t xml:space="preserve"> </w:t>
                              </w:r>
                              <w:r>
                                <w:rPr>
                                  <w:sz w:val="16"/>
                                </w:rPr>
                                <w:t>las</w:t>
                              </w:r>
                              <w:r>
                                <w:rPr>
                                  <w:spacing w:val="-9"/>
                                  <w:sz w:val="16"/>
                                </w:rPr>
                                <w:t xml:space="preserve"> </w:t>
                              </w:r>
                              <w:r>
                                <w:rPr>
                                  <w:sz w:val="16"/>
                                </w:rPr>
                                <w:t>circunstancias</w:t>
                              </w:r>
                              <w:r>
                                <w:rPr>
                                  <w:spacing w:val="-9"/>
                                  <w:sz w:val="16"/>
                                </w:rPr>
                                <w:t xml:space="preserve"> </w:t>
                              </w:r>
                              <w:r>
                                <w:rPr>
                                  <w:sz w:val="16"/>
                                </w:rPr>
                                <w:t>específicas</w:t>
                              </w:r>
                              <w:r>
                                <w:rPr>
                                  <w:spacing w:val="-10"/>
                                  <w:sz w:val="16"/>
                                </w:rPr>
                                <w:t xml:space="preserve"> </w:t>
                              </w:r>
                              <w:r>
                                <w:rPr>
                                  <w:sz w:val="16"/>
                                </w:rPr>
                                <w:t>previstas</w:t>
                              </w:r>
                              <w:r>
                                <w:rPr>
                                  <w:spacing w:val="-9"/>
                                  <w:sz w:val="16"/>
                                </w:rPr>
                                <w:t xml:space="preserve"> </w:t>
                              </w:r>
                              <w:r>
                                <w:rPr>
                                  <w:sz w:val="16"/>
                                </w:rPr>
                                <w:t>en</w:t>
                              </w:r>
                              <w:r>
                                <w:rPr>
                                  <w:spacing w:val="-9"/>
                                  <w:sz w:val="16"/>
                                </w:rPr>
                                <w:t xml:space="preserve"> </w:t>
                              </w:r>
                              <w:r>
                                <w:rPr>
                                  <w:sz w:val="16"/>
                                </w:rPr>
                                <w:t>el</w:t>
                              </w:r>
                              <w:r>
                                <w:rPr>
                                  <w:spacing w:val="-9"/>
                                  <w:sz w:val="16"/>
                                </w:rPr>
                                <w:t xml:space="preserve"> </w:t>
                              </w:r>
                              <w:r>
                                <w:rPr>
                                  <w:sz w:val="16"/>
                                </w:rPr>
                                <w:t>párrafo</w:t>
                              </w:r>
                              <w:r>
                                <w:rPr>
                                  <w:spacing w:val="-9"/>
                                  <w:sz w:val="16"/>
                                </w:rPr>
                                <w:t xml:space="preserve"> </w:t>
                              </w:r>
                              <w:r>
                                <w:rPr>
                                  <w:sz w:val="16"/>
                                </w:rPr>
                                <w:t>2</w:t>
                              </w:r>
                              <w:r>
                                <w:rPr>
                                  <w:spacing w:val="-9"/>
                                  <w:sz w:val="16"/>
                                </w:rPr>
                                <w:t xml:space="preserve"> </w:t>
                              </w:r>
                              <w:r>
                                <w:rPr>
                                  <w:sz w:val="16"/>
                                </w:rPr>
                                <w:t>del</w:t>
                              </w:r>
                              <w:r>
                                <w:rPr>
                                  <w:spacing w:val="-9"/>
                                  <w:sz w:val="16"/>
                                </w:rPr>
                                <w:t xml:space="preserve"> </w:t>
                              </w:r>
                              <w:r>
                                <w:rPr>
                                  <w:sz w:val="16"/>
                                </w:rPr>
                                <w:t>artículo 20</w:t>
                              </w:r>
                              <w:r>
                                <w:rPr>
                                  <w:spacing w:val="-3"/>
                                  <w:sz w:val="16"/>
                                </w:rPr>
                                <w:t xml:space="preserve"> </w:t>
                              </w:r>
                              <w:r>
                                <w:rPr>
                                  <w:sz w:val="16"/>
                                </w:rPr>
                                <w:t>del</w:t>
                              </w:r>
                              <w:r>
                                <w:rPr>
                                  <w:spacing w:val="-3"/>
                                  <w:sz w:val="16"/>
                                </w:rPr>
                                <w:t xml:space="preserve"> </w:t>
                              </w:r>
                              <w:r>
                                <w:rPr>
                                  <w:sz w:val="16"/>
                                </w:rPr>
                                <w:t>Pacto.</w:t>
                              </w:r>
                              <w:r>
                                <w:rPr>
                                  <w:spacing w:val="-3"/>
                                  <w:sz w:val="16"/>
                                </w:rPr>
                                <w:t xml:space="preserve"> </w:t>
                              </w:r>
                              <w:r>
                                <w:rPr>
                                  <w:sz w:val="16"/>
                                </w:rPr>
                                <w:t>Esas</w:t>
                              </w:r>
                              <w:r>
                                <w:rPr>
                                  <w:spacing w:val="-3"/>
                                  <w:sz w:val="16"/>
                                </w:rPr>
                                <w:t xml:space="preserve"> </w:t>
                              </w:r>
                              <w:r>
                                <w:rPr>
                                  <w:sz w:val="16"/>
                                </w:rPr>
                                <w:t>prohibiciones</w:t>
                              </w:r>
                              <w:r>
                                <w:rPr>
                                  <w:spacing w:val="-3"/>
                                  <w:sz w:val="16"/>
                                </w:rPr>
                                <w:t xml:space="preserve"> </w:t>
                              </w:r>
                              <w:r>
                                <w:rPr>
                                  <w:sz w:val="16"/>
                                </w:rPr>
                                <w:t>también</w:t>
                              </w:r>
                              <w:r>
                                <w:rPr>
                                  <w:spacing w:val="-3"/>
                                  <w:sz w:val="16"/>
                                </w:rPr>
                                <w:t xml:space="preserve"> </w:t>
                              </w:r>
                              <w:r>
                                <w:rPr>
                                  <w:sz w:val="16"/>
                                </w:rPr>
                                <w:t>deben</w:t>
                              </w:r>
                              <w:r>
                                <w:rPr>
                                  <w:spacing w:val="-3"/>
                                  <w:sz w:val="16"/>
                                </w:rPr>
                                <w:t xml:space="preserve"> </w:t>
                              </w:r>
                              <w:r>
                                <w:rPr>
                                  <w:sz w:val="16"/>
                                </w:rPr>
                                <w:t>cumplir</w:t>
                              </w:r>
                              <w:r>
                                <w:rPr>
                                  <w:spacing w:val="-3"/>
                                  <w:sz w:val="16"/>
                                </w:rPr>
                                <w:t xml:space="preserve"> </w:t>
                              </w:r>
                              <w:r>
                                <w:rPr>
                                  <w:sz w:val="16"/>
                                </w:rPr>
                                <w:t>los</w:t>
                              </w:r>
                              <w:r>
                                <w:rPr>
                                  <w:spacing w:val="-3"/>
                                  <w:sz w:val="16"/>
                                </w:rPr>
                                <w:t xml:space="preserve"> </w:t>
                              </w:r>
                              <w:r>
                                <w:rPr>
                                  <w:sz w:val="16"/>
                                </w:rPr>
                                <w:t>estrictos</w:t>
                              </w:r>
                              <w:r>
                                <w:rPr>
                                  <w:spacing w:val="-3"/>
                                  <w:sz w:val="16"/>
                                </w:rPr>
                                <w:t xml:space="preserve"> </w:t>
                              </w:r>
                              <w:r>
                                <w:rPr>
                                  <w:sz w:val="16"/>
                                </w:rPr>
                                <w:t>requisitos</w:t>
                              </w:r>
                              <w:r>
                                <w:rPr>
                                  <w:spacing w:val="-3"/>
                                  <w:sz w:val="16"/>
                                </w:rPr>
                                <w:t xml:space="preserve"> </w:t>
                              </w:r>
                              <w:r>
                                <w:rPr>
                                  <w:sz w:val="16"/>
                                </w:rPr>
                                <w:t>del</w:t>
                              </w:r>
                              <w:r>
                                <w:rPr>
                                  <w:spacing w:val="-3"/>
                                  <w:sz w:val="16"/>
                                </w:rPr>
                                <w:t xml:space="preserve"> </w:t>
                              </w:r>
                              <w:r>
                                <w:rPr>
                                  <w:sz w:val="16"/>
                                </w:rPr>
                                <w:t>párrafo</w:t>
                              </w:r>
                              <w:r>
                                <w:rPr>
                                  <w:spacing w:val="-3"/>
                                  <w:sz w:val="16"/>
                                </w:rPr>
                                <w:t xml:space="preserve"> </w:t>
                              </w:r>
                              <w:r>
                                <w:rPr>
                                  <w:sz w:val="16"/>
                                </w:rPr>
                                <w:t>3</w:t>
                              </w:r>
                              <w:r>
                                <w:rPr>
                                  <w:spacing w:val="-3"/>
                                  <w:sz w:val="16"/>
                                </w:rPr>
                                <w:t xml:space="preserve"> </w:t>
                              </w:r>
                              <w:r>
                                <w:rPr>
                                  <w:sz w:val="16"/>
                                </w:rPr>
                                <w:t>del</w:t>
                              </w:r>
                              <w:r>
                                <w:rPr>
                                  <w:spacing w:val="-3"/>
                                  <w:sz w:val="16"/>
                                </w:rPr>
                                <w:t xml:space="preserve"> </w:t>
                              </w:r>
                              <w:r>
                                <w:rPr>
                                  <w:sz w:val="16"/>
                                </w:rPr>
                                <w:t>artículo</w:t>
                              </w:r>
                              <w:r>
                                <w:rPr>
                                  <w:spacing w:val="-3"/>
                                  <w:sz w:val="16"/>
                                </w:rPr>
                                <w:t xml:space="preserve"> </w:t>
                              </w:r>
                              <w:r>
                                <w:rPr>
                                  <w:sz w:val="16"/>
                                </w:rPr>
                                <w:t>19,</w:t>
                              </w:r>
                              <w:r>
                                <w:rPr>
                                  <w:spacing w:val="-3"/>
                                  <w:sz w:val="16"/>
                                </w:rPr>
                                <w:t xml:space="preserve"> </w:t>
                              </w:r>
                              <w:r>
                                <w:rPr>
                                  <w:sz w:val="16"/>
                                </w:rPr>
                                <w:t>así</w:t>
                              </w:r>
                              <w:r>
                                <w:rPr>
                                  <w:spacing w:val="-3"/>
                                  <w:sz w:val="16"/>
                                </w:rPr>
                                <w:t xml:space="preserve"> </w:t>
                              </w:r>
                              <w:r>
                                <w:rPr>
                                  <w:sz w:val="16"/>
                                </w:rPr>
                                <w:t>como</w:t>
                              </w:r>
                            </w:p>
                            <w:p w14:paraId="28264376" w14:textId="77777777" w:rsidR="0014798C" w:rsidRDefault="004E1F0B">
                              <w:pPr>
                                <w:spacing w:line="182" w:lineRule="exact"/>
                                <w:rPr>
                                  <w:sz w:val="16"/>
                                </w:rPr>
                              </w:pPr>
                              <w:r>
                                <w:rPr>
                                  <w:sz w:val="16"/>
                                </w:rPr>
                                <w:t>de</w:t>
                              </w:r>
                              <w:r>
                                <w:rPr>
                                  <w:spacing w:val="-7"/>
                                  <w:sz w:val="16"/>
                                </w:rPr>
                                <w:t xml:space="preserve"> </w:t>
                              </w:r>
                              <w:r>
                                <w:rPr>
                                  <w:sz w:val="16"/>
                                </w:rPr>
                                <w:t>los</w:t>
                              </w:r>
                              <w:r>
                                <w:rPr>
                                  <w:spacing w:val="-7"/>
                                  <w:sz w:val="16"/>
                                </w:rPr>
                                <w:t xml:space="preserve"> </w:t>
                              </w:r>
                              <w:r>
                                <w:rPr>
                                  <w:sz w:val="16"/>
                                </w:rPr>
                                <w:t>artículos</w:t>
                              </w:r>
                              <w:r>
                                <w:rPr>
                                  <w:spacing w:val="-6"/>
                                  <w:sz w:val="16"/>
                                </w:rPr>
                                <w:t xml:space="preserve"> </w:t>
                              </w:r>
                              <w:r>
                                <w:rPr>
                                  <w:sz w:val="16"/>
                                </w:rPr>
                                <w:t>2,</w:t>
                              </w:r>
                              <w:r>
                                <w:rPr>
                                  <w:spacing w:val="-7"/>
                                  <w:sz w:val="16"/>
                                </w:rPr>
                                <w:t xml:space="preserve"> </w:t>
                              </w:r>
                              <w:r>
                                <w:rPr>
                                  <w:sz w:val="16"/>
                                </w:rPr>
                                <w:t>5,</w:t>
                              </w:r>
                              <w:r>
                                <w:rPr>
                                  <w:spacing w:val="-6"/>
                                  <w:sz w:val="16"/>
                                </w:rPr>
                                <w:t xml:space="preserve"> </w:t>
                              </w:r>
                              <w:r>
                                <w:rPr>
                                  <w:sz w:val="16"/>
                                </w:rPr>
                                <w:t>17,</w:t>
                              </w:r>
                              <w:r>
                                <w:rPr>
                                  <w:spacing w:val="-7"/>
                                  <w:sz w:val="16"/>
                                </w:rPr>
                                <w:t xml:space="preserve"> </w:t>
                              </w:r>
                              <w:r>
                                <w:rPr>
                                  <w:sz w:val="16"/>
                                </w:rPr>
                                <w:t>18</w:t>
                              </w:r>
                              <w:r>
                                <w:rPr>
                                  <w:spacing w:val="-6"/>
                                  <w:sz w:val="16"/>
                                </w:rPr>
                                <w:t xml:space="preserve"> </w:t>
                              </w:r>
                              <w:r>
                                <w:rPr>
                                  <w:sz w:val="16"/>
                                </w:rPr>
                                <w:t>y</w:t>
                              </w:r>
                              <w:r>
                                <w:rPr>
                                  <w:spacing w:val="-7"/>
                                  <w:sz w:val="16"/>
                                </w:rPr>
                                <w:t xml:space="preserve"> </w:t>
                              </w:r>
                              <w:r>
                                <w:rPr>
                                  <w:sz w:val="16"/>
                                </w:rPr>
                                <w:t>26.</w:t>
                              </w:r>
                              <w:r>
                                <w:rPr>
                                  <w:spacing w:val="-7"/>
                                  <w:sz w:val="16"/>
                                </w:rPr>
                                <w:t xml:space="preserve"> </w:t>
                              </w:r>
                              <w:r>
                                <w:rPr>
                                  <w:sz w:val="16"/>
                                </w:rPr>
                                <w:t>Así,</w:t>
                              </w:r>
                              <w:r>
                                <w:rPr>
                                  <w:spacing w:val="-6"/>
                                  <w:sz w:val="16"/>
                                </w:rPr>
                                <w:t xml:space="preserve"> </w:t>
                              </w:r>
                              <w:r>
                                <w:rPr>
                                  <w:spacing w:val="-4"/>
                                  <w:sz w:val="16"/>
                                </w:rPr>
                                <w:t>para</w:t>
                              </w:r>
                            </w:p>
                          </w:txbxContent>
                        </wps:txbx>
                        <wps:bodyPr wrap="square" lIns="0" tIns="0" rIns="0" bIns="0" rtlCol="0">
                          <a:noAutofit/>
                        </wps:bodyPr>
                      </wps:wsp>
                    </wpg:wgp>
                  </a:graphicData>
                </a:graphic>
              </wp:anchor>
            </w:drawing>
          </mc:Choice>
          <mc:Fallback>
            <w:pict>
              <v:group w14:anchorId="52B87538" id="Group 364" o:spid="_x0000_s1175" style="position:absolute;margin-left:63.3pt;margin-top:11.8pt;width:468.75pt;height:150.4pt;z-index:-251657919;mso-wrap-distance-left:0;mso-wrap-distance-right:0;mso-position-horizontal-relative:page" coordsize="59531,1910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">
                <v:shape id="Image 365" o:spid="_x0000_s1176" type="#_x0000_t75" style="position:absolute;width:59526;height:1909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">
                  <v:imagedata r:id="rId338" o:title=""/>
                </v:shape>
                <v:shape id="Textbox 366" o:spid="_x0000_s1177" type="#_x0000_t202" style="position:absolute;left:1697;top:1649;width:54413;height:67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" filled="f" stroked="f">
                  <v:textbox inset="0,0,0,0">
                    <w:txbxContent>
                      <w:p w14:paraId="3F008E10" w14:textId="77777777" w:rsidR="0014798C" w:rsidRDefault="004E1F0B">
                        <w:pPr>
                          <w:spacing w:line="295" w:lineRule="auto"/>
                          <w:ind w:left="8" w:right="1578"/>
                          <w:rPr>
                            <w:sz w:val="16"/>
                          </w:rPr>
                        </w:pPr>
                        <w:r>
                          <w:rPr>
                            <w:sz w:val="16"/>
                          </w:rPr>
                          <w:t>BLASFEMIA,</w:t>
                        </w:r>
                        <w:r>
                          <w:rPr>
                            <w:spacing w:val="-12"/>
                            <w:sz w:val="16"/>
                          </w:rPr>
                          <w:t xml:space="preserve"> </w:t>
                        </w:r>
                        <w:r>
                          <w:rPr>
                            <w:sz w:val="16"/>
                          </w:rPr>
                          <w:t>“DIFAMACIÓN</w:t>
                        </w:r>
                        <w:r>
                          <w:rPr>
                            <w:spacing w:val="-11"/>
                            <w:sz w:val="16"/>
                          </w:rPr>
                          <w:t xml:space="preserve"> </w:t>
                        </w:r>
                        <w:r>
                          <w:rPr>
                            <w:sz w:val="16"/>
                          </w:rPr>
                          <w:t>DE</w:t>
                        </w:r>
                        <w:r>
                          <w:rPr>
                            <w:spacing w:val="-11"/>
                            <w:sz w:val="16"/>
                          </w:rPr>
                          <w:t xml:space="preserve"> </w:t>
                        </w:r>
                        <w:r>
                          <w:rPr>
                            <w:sz w:val="16"/>
                          </w:rPr>
                          <w:t>LA</w:t>
                        </w:r>
                        <w:r>
                          <w:rPr>
                            <w:spacing w:val="-11"/>
                            <w:sz w:val="16"/>
                          </w:rPr>
                          <w:t xml:space="preserve"> </w:t>
                        </w:r>
                        <w:r>
                          <w:rPr>
                            <w:sz w:val="16"/>
                          </w:rPr>
                          <w:t>RELIGIÓN”</w:t>
                        </w:r>
                        <w:r>
                          <w:rPr>
                            <w:spacing w:val="-11"/>
                            <w:sz w:val="16"/>
                          </w:rPr>
                          <w:t xml:space="preserve"> </w:t>
                        </w:r>
                        <w:r>
                          <w:rPr>
                            <w:sz w:val="16"/>
                          </w:rPr>
                          <w:t>E</w:t>
                        </w:r>
                        <w:r>
                          <w:rPr>
                            <w:spacing w:val="-11"/>
                            <w:sz w:val="16"/>
                          </w:rPr>
                          <w:t xml:space="preserve"> </w:t>
                        </w:r>
                        <w:r>
                          <w:rPr>
                            <w:sz w:val="16"/>
                          </w:rPr>
                          <w:t>INSULTO</w:t>
                        </w:r>
                        <w:r>
                          <w:rPr>
                            <w:spacing w:val="-11"/>
                            <w:sz w:val="16"/>
                          </w:rPr>
                          <w:t xml:space="preserve"> </w:t>
                        </w:r>
                        <w:r>
                          <w:rPr>
                            <w:sz w:val="16"/>
                          </w:rPr>
                          <w:t>AL</w:t>
                        </w:r>
                        <w:r>
                          <w:rPr>
                            <w:spacing w:val="-11"/>
                            <w:sz w:val="16"/>
                          </w:rPr>
                          <w:t xml:space="preserve"> </w:t>
                        </w:r>
                        <w:r>
                          <w:rPr>
                            <w:sz w:val="16"/>
                          </w:rPr>
                          <w:t>ESTADO,</w:t>
                        </w:r>
                        <w:r>
                          <w:rPr>
                            <w:spacing w:val="-12"/>
                            <w:sz w:val="16"/>
                          </w:rPr>
                          <w:t xml:space="preserve"> </w:t>
                        </w:r>
                        <w:r>
                          <w:rPr>
                            <w:sz w:val="16"/>
                          </w:rPr>
                          <w:t>BANDERA</w:t>
                        </w:r>
                        <w:r>
                          <w:rPr>
                            <w:spacing w:val="-11"/>
                            <w:sz w:val="16"/>
                          </w:rPr>
                          <w:t xml:space="preserve"> </w:t>
                        </w:r>
                        <w:r>
                          <w:rPr>
                            <w:sz w:val="16"/>
                          </w:rPr>
                          <w:t xml:space="preserve">O </w:t>
                        </w:r>
                        <w:r>
                          <w:rPr>
                            <w:spacing w:val="-2"/>
                            <w:sz w:val="16"/>
                          </w:rPr>
                          <w:t>UNIFORME</w:t>
                        </w:r>
                      </w:p>
                      <w:p w14:paraId="1356C53F" w14:textId="77777777" w:rsidR="0014798C" w:rsidRDefault="004E1F0B">
                        <w:pPr>
                          <w:spacing w:before="104" w:line="250" w:lineRule="atLeast"/>
                          <w:ind w:hanging="1"/>
                          <w:rPr>
                            <w:sz w:val="16"/>
                          </w:rPr>
                        </w:pPr>
                        <w:r>
                          <w:rPr>
                            <w:sz w:val="16"/>
                          </w:rPr>
                          <w:t>La</w:t>
                        </w:r>
                        <w:r>
                          <w:rPr>
                            <w:spacing w:val="-8"/>
                            <w:sz w:val="16"/>
                          </w:rPr>
                          <w:t xml:space="preserve"> </w:t>
                        </w:r>
                        <w:r>
                          <w:rPr>
                            <w:sz w:val="16"/>
                          </w:rPr>
                          <w:t>blasfemia</w:t>
                        </w:r>
                        <w:r>
                          <w:rPr>
                            <w:spacing w:val="-8"/>
                            <w:sz w:val="16"/>
                          </w:rPr>
                          <w:t xml:space="preserve"> </w:t>
                        </w:r>
                        <w:r>
                          <w:rPr>
                            <w:sz w:val="16"/>
                          </w:rPr>
                          <w:t>o</w:t>
                        </w:r>
                        <w:r>
                          <w:rPr>
                            <w:spacing w:val="-8"/>
                            <w:sz w:val="16"/>
                          </w:rPr>
                          <w:t xml:space="preserve"> </w:t>
                        </w:r>
                        <w:r>
                          <w:rPr>
                            <w:sz w:val="16"/>
                          </w:rPr>
                          <w:t>la</w:t>
                        </w:r>
                        <w:r>
                          <w:rPr>
                            <w:spacing w:val="-8"/>
                            <w:sz w:val="16"/>
                          </w:rPr>
                          <w:t xml:space="preserve"> </w:t>
                        </w:r>
                        <w:r>
                          <w:rPr>
                            <w:sz w:val="16"/>
                          </w:rPr>
                          <w:t>“difamación</w:t>
                        </w:r>
                        <w:r>
                          <w:rPr>
                            <w:spacing w:val="-8"/>
                            <w:sz w:val="16"/>
                          </w:rPr>
                          <w:t xml:space="preserve"> </w:t>
                        </w:r>
                        <w:r>
                          <w:rPr>
                            <w:sz w:val="16"/>
                          </w:rPr>
                          <w:t>de</w:t>
                        </w:r>
                        <w:r>
                          <w:rPr>
                            <w:spacing w:val="-8"/>
                            <w:sz w:val="16"/>
                          </w:rPr>
                          <w:t xml:space="preserve"> </w:t>
                        </w:r>
                        <w:r>
                          <w:rPr>
                            <w:sz w:val="16"/>
                          </w:rPr>
                          <w:t>la</w:t>
                        </w:r>
                        <w:r>
                          <w:rPr>
                            <w:spacing w:val="-8"/>
                            <w:sz w:val="16"/>
                          </w:rPr>
                          <w:t xml:space="preserve"> </w:t>
                        </w:r>
                        <w:r>
                          <w:rPr>
                            <w:sz w:val="16"/>
                          </w:rPr>
                          <w:t>religión”</w:t>
                        </w:r>
                        <w:r>
                          <w:rPr>
                            <w:spacing w:val="-8"/>
                            <w:sz w:val="16"/>
                          </w:rPr>
                          <w:t xml:space="preserve"> </w:t>
                        </w:r>
                        <w:r>
                          <w:rPr>
                            <w:sz w:val="16"/>
                          </w:rPr>
                          <w:t>no</w:t>
                        </w:r>
                        <w:r>
                          <w:rPr>
                            <w:spacing w:val="-8"/>
                            <w:sz w:val="16"/>
                          </w:rPr>
                          <w:t xml:space="preserve"> </w:t>
                        </w:r>
                        <w:r>
                          <w:rPr>
                            <w:sz w:val="16"/>
                          </w:rPr>
                          <w:t>son</w:t>
                        </w:r>
                        <w:r>
                          <w:rPr>
                            <w:spacing w:val="-8"/>
                            <w:sz w:val="16"/>
                          </w:rPr>
                          <w:t xml:space="preserve"> </w:t>
                        </w:r>
                        <w:r>
                          <w:rPr>
                            <w:sz w:val="16"/>
                          </w:rPr>
                          <w:t>discursos</w:t>
                        </w:r>
                        <w:r>
                          <w:rPr>
                            <w:spacing w:val="-8"/>
                            <w:sz w:val="16"/>
                          </w:rPr>
                          <w:t xml:space="preserve"> </w:t>
                        </w:r>
                        <w:r>
                          <w:rPr>
                            <w:sz w:val="16"/>
                          </w:rPr>
                          <w:t>de</w:t>
                        </w:r>
                        <w:r>
                          <w:rPr>
                            <w:spacing w:val="-8"/>
                            <w:sz w:val="16"/>
                          </w:rPr>
                          <w:t xml:space="preserve"> </w:t>
                        </w:r>
                        <w:r>
                          <w:rPr>
                            <w:sz w:val="16"/>
                          </w:rPr>
                          <w:t>odio:</w:t>
                        </w:r>
                        <w:r>
                          <w:rPr>
                            <w:spacing w:val="-8"/>
                            <w:sz w:val="16"/>
                          </w:rPr>
                          <w:t xml:space="preserve"> </w:t>
                        </w:r>
                        <w:r>
                          <w:rPr>
                            <w:sz w:val="16"/>
                          </w:rPr>
                          <w:t>sólo</w:t>
                        </w:r>
                        <w:r>
                          <w:rPr>
                            <w:spacing w:val="-8"/>
                            <w:sz w:val="16"/>
                          </w:rPr>
                          <w:t xml:space="preserve"> </w:t>
                        </w:r>
                        <w:r>
                          <w:rPr>
                            <w:sz w:val="16"/>
                          </w:rPr>
                          <w:t>se</w:t>
                        </w:r>
                        <w:r>
                          <w:rPr>
                            <w:spacing w:val="-8"/>
                            <w:sz w:val="16"/>
                          </w:rPr>
                          <w:t xml:space="preserve"> </w:t>
                        </w:r>
                        <w:r>
                          <w:rPr>
                            <w:sz w:val="16"/>
                          </w:rPr>
                          <w:t>pueden</w:t>
                        </w:r>
                        <w:r>
                          <w:rPr>
                            <w:spacing w:val="-8"/>
                            <w:sz w:val="16"/>
                          </w:rPr>
                          <w:t xml:space="preserve"> </w:t>
                        </w:r>
                        <w:r>
                          <w:rPr>
                            <w:sz w:val="16"/>
                          </w:rPr>
                          <w:t>imponer</w:t>
                        </w:r>
                        <w:r>
                          <w:rPr>
                            <w:spacing w:val="-8"/>
                            <w:sz w:val="16"/>
                          </w:rPr>
                          <w:t xml:space="preserve"> </w:t>
                        </w:r>
                        <w:r>
                          <w:rPr>
                            <w:sz w:val="16"/>
                          </w:rPr>
                          <w:t>restricciones</w:t>
                        </w:r>
                        <w:r>
                          <w:rPr>
                            <w:spacing w:val="-8"/>
                            <w:sz w:val="16"/>
                          </w:rPr>
                          <w:t xml:space="preserve"> </w:t>
                        </w:r>
                        <w:r>
                          <w:rPr>
                            <w:sz w:val="16"/>
                          </w:rPr>
                          <w:t>si</w:t>
                        </w:r>
                        <w:r>
                          <w:rPr>
                            <w:spacing w:val="-8"/>
                            <w:sz w:val="16"/>
                          </w:rPr>
                          <w:t xml:space="preserve"> </w:t>
                        </w:r>
                        <w:r>
                          <w:rPr>
                            <w:sz w:val="16"/>
                          </w:rPr>
                          <w:t>alcanzan</w:t>
                        </w:r>
                        <w:r>
                          <w:rPr>
                            <w:spacing w:val="-8"/>
                            <w:sz w:val="16"/>
                          </w:rPr>
                          <w:t xml:space="preserve"> </w:t>
                        </w:r>
                        <w:r>
                          <w:rPr>
                            <w:sz w:val="16"/>
                          </w:rPr>
                          <w:t>el umbral</w:t>
                        </w:r>
                        <w:r>
                          <w:rPr>
                            <w:spacing w:val="-3"/>
                            <w:sz w:val="16"/>
                          </w:rPr>
                          <w:t xml:space="preserve"> </w:t>
                        </w:r>
                        <w:r>
                          <w:rPr>
                            <w:sz w:val="16"/>
                          </w:rPr>
                          <w:t>de</w:t>
                        </w:r>
                        <w:r>
                          <w:rPr>
                            <w:spacing w:val="-3"/>
                            <w:sz w:val="16"/>
                          </w:rPr>
                          <w:t xml:space="preserve"> </w:t>
                        </w:r>
                        <w:r>
                          <w:rPr>
                            <w:sz w:val="16"/>
                          </w:rPr>
                          <w:t>incitación</w:t>
                        </w:r>
                        <w:r>
                          <w:rPr>
                            <w:spacing w:val="-3"/>
                            <w:sz w:val="16"/>
                          </w:rPr>
                          <w:t xml:space="preserve"> </w:t>
                        </w:r>
                        <w:r>
                          <w:rPr>
                            <w:sz w:val="16"/>
                          </w:rPr>
                          <w:t>a</w:t>
                        </w:r>
                        <w:r>
                          <w:rPr>
                            <w:spacing w:val="-3"/>
                            <w:sz w:val="16"/>
                          </w:rPr>
                          <w:t xml:space="preserve"> </w:t>
                        </w:r>
                        <w:r>
                          <w:rPr>
                            <w:sz w:val="16"/>
                          </w:rPr>
                          <w:t>la</w:t>
                        </w:r>
                        <w:r>
                          <w:rPr>
                            <w:spacing w:val="-3"/>
                            <w:sz w:val="16"/>
                          </w:rPr>
                          <w:t xml:space="preserve"> </w:t>
                        </w:r>
                        <w:r>
                          <w:rPr>
                            <w:sz w:val="16"/>
                          </w:rPr>
                          <w:t>discriminación,</w:t>
                        </w:r>
                        <w:r>
                          <w:rPr>
                            <w:spacing w:val="-2"/>
                            <w:sz w:val="16"/>
                          </w:rPr>
                          <w:t xml:space="preserve"> </w:t>
                        </w:r>
                        <w:r>
                          <w:rPr>
                            <w:sz w:val="16"/>
                          </w:rPr>
                          <w:t>la</w:t>
                        </w:r>
                        <w:r>
                          <w:rPr>
                            <w:spacing w:val="-3"/>
                            <w:sz w:val="16"/>
                          </w:rPr>
                          <w:t xml:space="preserve"> </w:t>
                        </w:r>
                        <w:r>
                          <w:rPr>
                            <w:sz w:val="16"/>
                          </w:rPr>
                          <w:t>hostilidad</w:t>
                        </w:r>
                        <w:r>
                          <w:rPr>
                            <w:spacing w:val="-3"/>
                            <w:sz w:val="16"/>
                          </w:rPr>
                          <w:t xml:space="preserve"> </w:t>
                        </w:r>
                        <w:r>
                          <w:rPr>
                            <w:sz w:val="16"/>
                          </w:rPr>
                          <w:t>o</w:t>
                        </w:r>
                        <w:r>
                          <w:rPr>
                            <w:spacing w:val="-3"/>
                            <w:sz w:val="16"/>
                          </w:rPr>
                          <w:t xml:space="preserve"> </w:t>
                        </w:r>
                        <w:r>
                          <w:rPr>
                            <w:sz w:val="16"/>
                          </w:rPr>
                          <w:t>la</w:t>
                        </w:r>
                        <w:r>
                          <w:rPr>
                            <w:spacing w:val="-3"/>
                            <w:sz w:val="16"/>
                          </w:rPr>
                          <w:t xml:space="preserve"> </w:t>
                        </w:r>
                        <w:r>
                          <w:rPr>
                            <w:sz w:val="16"/>
                          </w:rPr>
                          <w:t>violencia.1188</w:t>
                        </w:r>
                        <w:r>
                          <w:rPr>
                            <w:spacing w:val="-3"/>
                            <w:sz w:val="16"/>
                          </w:rPr>
                          <w:t xml:space="preserve"> </w:t>
                        </w:r>
                        <w:r>
                          <w:rPr>
                            <w:sz w:val="16"/>
                          </w:rPr>
                          <w:t>El</w:t>
                        </w:r>
                        <w:r>
                          <w:rPr>
                            <w:spacing w:val="-3"/>
                            <w:sz w:val="16"/>
                          </w:rPr>
                          <w:t xml:space="preserve"> </w:t>
                        </w:r>
                        <w:r>
                          <w:rPr>
                            <w:sz w:val="16"/>
                          </w:rPr>
                          <w:t>Comité</w:t>
                        </w:r>
                        <w:r>
                          <w:rPr>
                            <w:spacing w:val="-3"/>
                            <w:sz w:val="16"/>
                          </w:rPr>
                          <w:t xml:space="preserve"> </w:t>
                        </w:r>
                        <w:r>
                          <w:rPr>
                            <w:sz w:val="16"/>
                          </w:rPr>
                          <w:t>de</w:t>
                        </w:r>
                        <w:r>
                          <w:rPr>
                            <w:spacing w:val="-3"/>
                            <w:sz w:val="16"/>
                          </w:rPr>
                          <w:t xml:space="preserve"> </w:t>
                        </w:r>
                        <w:r>
                          <w:rPr>
                            <w:sz w:val="16"/>
                          </w:rPr>
                          <w:t>Derechos</w:t>
                        </w:r>
                        <w:r>
                          <w:rPr>
                            <w:spacing w:val="-3"/>
                            <w:sz w:val="16"/>
                          </w:rPr>
                          <w:t xml:space="preserve"> </w:t>
                        </w:r>
                        <w:r>
                          <w:rPr>
                            <w:sz w:val="16"/>
                          </w:rPr>
                          <w:t>Humanos</w:t>
                        </w:r>
                        <w:r>
                          <w:rPr>
                            <w:spacing w:val="-3"/>
                            <w:sz w:val="16"/>
                          </w:rPr>
                          <w:t xml:space="preserve"> </w:t>
                        </w:r>
                        <w:r>
                          <w:rPr>
                            <w:sz w:val="16"/>
                          </w:rPr>
                          <w:t>ha</w:t>
                        </w:r>
                        <w:r>
                          <w:rPr>
                            <w:spacing w:val="-3"/>
                            <w:sz w:val="16"/>
                          </w:rPr>
                          <w:t xml:space="preserve"> </w:t>
                        </w:r>
                        <w:r>
                          <w:rPr>
                            <w:sz w:val="16"/>
                          </w:rPr>
                          <w:t>declarado:</w:t>
                        </w:r>
                      </w:p>
                    </w:txbxContent>
                  </v:textbox>
                </v:shape>
                <v:shape id="Textbox 367" o:spid="_x0000_s1178" type="#_x0000_t202" style="position:absolute;left:3853;top:11127;width:52965;height:58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" filled="f" stroked="f">
                  <v:textbox inset="0,0,0,0">
                    <w:txbxContent>
                      <w:p w14:paraId="751B01F0" w14:textId="77777777" w:rsidR="0014798C" w:rsidRDefault="004E1F0B">
                        <w:pPr>
                          <w:spacing w:line="326" w:lineRule="auto"/>
                          <w:ind w:left="1"/>
                          <w:rPr>
                            <w:sz w:val="16"/>
                          </w:rPr>
                        </w:pPr>
                        <w:r>
                          <w:rPr>
                            <w:sz w:val="16"/>
                          </w:rPr>
                          <w:t>La</w:t>
                        </w:r>
                        <w:r>
                          <w:rPr>
                            <w:spacing w:val="-1"/>
                            <w:sz w:val="16"/>
                          </w:rPr>
                          <w:t xml:space="preserve"> </w:t>
                        </w:r>
                        <w:r>
                          <w:rPr>
                            <w:sz w:val="16"/>
                          </w:rPr>
                          <w:t>prohibición</w:t>
                        </w:r>
                        <w:r>
                          <w:rPr>
                            <w:spacing w:val="-2"/>
                            <w:sz w:val="16"/>
                          </w:rPr>
                          <w:t xml:space="preserve"> </w:t>
                        </w:r>
                        <w:r>
                          <w:rPr>
                            <w:sz w:val="16"/>
                          </w:rPr>
                          <w:t>de</w:t>
                        </w:r>
                        <w:r>
                          <w:rPr>
                            <w:spacing w:val="-1"/>
                            <w:sz w:val="16"/>
                          </w:rPr>
                          <w:t xml:space="preserve"> </w:t>
                        </w:r>
                        <w:r>
                          <w:rPr>
                            <w:sz w:val="16"/>
                          </w:rPr>
                          <w:t>mostrar</w:t>
                        </w:r>
                        <w:r>
                          <w:rPr>
                            <w:spacing w:val="-2"/>
                            <w:sz w:val="16"/>
                          </w:rPr>
                          <w:t xml:space="preserve"> </w:t>
                        </w:r>
                        <w:r>
                          <w:rPr>
                            <w:sz w:val="16"/>
                          </w:rPr>
                          <w:t>falta</w:t>
                        </w:r>
                        <w:r>
                          <w:rPr>
                            <w:spacing w:val="-1"/>
                            <w:sz w:val="16"/>
                          </w:rPr>
                          <w:t xml:space="preserve"> </w:t>
                        </w:r>
                        <w:r>
                          <w:rPr>
                            <w:sz w:val="16"/>
                          </w:rPr>
                          <w:t>de</w:t>
                        </w:r>
                        <w:r>
                          <w:rPr>
                            <w:spacing w:val="-2"/>
                            <w:sz w:val="16"/>
                          </w:rPr>
                          <w:t xml:space="preserve"> </w:t>
                        </w:r>
                        <w:r>
                          <w:rPr>
                            <w:sz w:val="16"/>
                          </w:rPr>
                          <w:t>respeto</w:t>
                        </w:r>
                        <w:r>
                          <w:rPr>
                            <w:spacing w:val="-1"/>
                            <w:sz w:val="16"/>
                          </w:rPr>
                          <w:t xml:space="preserve"> </w:t>
                        </w:r>
                        <w:r>
                          <w:rPr>
                            <w:sz w:val="16"/>
                          </w:rPr>
                          <w:t>hacia</w:t>
                        </w:r>
                        <w:r>
                          <w:rPr>
                            <w:spacing w:val="-2"/>
                            <w:sz w:val="16"/>
                          </w:rPr>
                          <w:t xml:space="preserve"> </w:t>
                        </w:r>
                        <w:r>
                          <w:rPr>
                            <w:sz w:val="16"/>
                          </w:rPr>
                          <w:t>una</w:t>
                        </w:r>
                        <w:r>
                          <w:rPr>
                            <w:spacing w:val="-1"/>
                            <w:sz w:val="16"/>
                          </w:rPr>
                          <w:t xml:space="preserve"> </w:t>
                        </w:r>
                        <w:r>
                          <w:rPr>
                            <w:sz w:val="16"/>
                          </w:rPr>
                          <w:t>religión</w:t>
                        </w:r>
                        <w:r>
                          <w:rPr>
                            <w:spacing w:val="-2"/>
                            <w:sz w:val="16"/>
                          </w:rPr>
                          <w:t xml:space="preserve"> </w:t>
                        </w:r>
                        <w:r>
                          <w:rPr>
                            <w:sz w:val="16"/>
                          </w:rPr>
                          <w:t>u</w:t>
                        </w:r>
                        <w:r>
                          <w:rPr>
                            <w:spacing w:val="-1"/>
                            <w:sz w:val="16"/>
                          </w:rPr>
                          <w:t xml:space="preserve"> </w:t>
                        </w:r>
                        <w:r>
                          <w:rPr>
                            <w:sz w:val="16"/>
                          </w:rPr>
                          <w:t>otro</w:t>
                        </w:r>
                        <w:r>
                          <w:rPr>
                            <w:spacing w:val="-2"/>
                            <w:sz w:val="16"/>
                          </w:rPr>
                          <w:t xml:space="preserve"> </w:t>
                        </w:r>
                        <w:r>
                          <w:rPr>
                            <w:sz w:val="16"/>
                          </w:rPr>
                          <w:t>sistema</w:t>
                        </w:r>
                        <w:r>
                          <w:rPr>
                            <w:spacing w:val="-1"/>
                            <w:sz w:val="16"/>
                          </w:rPr>
                          <w:t xml:space="preserve"> </w:t>
                        </w:r>
                        <w:r>
                          <w:rPr>
                            <w:sz w:val="16"/>
                          </w:rPr>
                          <w:t>de</w:t>
                        </w:r>
                        <w:r>
                          <w:rPr>
                            <w:spacing w:val="-2"/>
                            <w:sz w:val="16"/>
                          </w:rPr>
                          <w:t xml:space="preserve"> </w:t>
                        </w:r>
                        <w:r>
                          <w:rPr>
                            <w:sz w:val="16"/>
                          </w:rPr>
                          <w:t>creencias, incluidas</w:t>
                        </w:r>
                        <w:r>
                          <w:rPr>
                            <w:spacing w:val="-2"/>
                            <w:sz w:val="16"/>
                          </w:rPr>
                          <w:t xml:space="preserve"> </w:t>
                        </w:r>
                        <w:r>
                          <w:rPr>
                            <w:sz w:val="16"/>
                          </w:rPr>
                          <w:t>las</w:t>
                        </w:r>
                        <w:r>
                          <w:rPr>
                            <w:spacing w:val="-1"/>
                            <w:sz w:val="16"/>
                          </w:rPr>
                          <w:t xml:space="preserve"> </w:t>
                        </w:r>
                        <w:r>
                          <w:rPr>
                            <w:sz w:val="16"/>
                          </w:rPr>
                          <w:t>leyes</w:t>
                        </w:r>
                        <w:r>
                          <w:rPr>
                            <w:spacing w:val="-2"/>
                            <w:sz w:val="16"/>
                          </w:rPr>
                          <w:t xml:space="preserve"> </w:t>
                        </w:r>
                        <w:r>
                          <w:rPr>
                            <w:sz w:val="16"/>
                          </w:rPr>
                          <w:t>sobre blasfemia,</w:t>
                        </w:r>
                        <w:r>
                          <w:rPr>
                            <w:spacing w:val="-8"/>
                            <w:sz w:val="16"/>
                          </w:rPr>
                          <w:t xml:space="preserve"> </w:t>
                        </w:r>
                        <w:r>
                          <w:rPr>
                            <w:sz w:val="16"/>
                          </w:rPr>
                          <w:t>es</w:t>
                        </w:r>
                        <w:r>
                          <w:rPr>
                            <w:spacing w:val="-9"/>
                            <w:sz w:val="16"/>
                          </w:rPr>
                          <w:t xml:space="preserve"> </w:t>
                        </w:r>
                        <w:r>
                          <w:rPr>
                            <w:sz w:val="16"/>
                          </w:rPr>
                          <w:t>incompatible</w:t>
                        </w:r>
                        <w:r>
                          <w:rPr>
                            <w:spacing w:val="-9"/>
                            <w:sz w:val="16"/>
                          </w:rPr>
                          <w:t xml:space="preserve"> </w:t>
                        </w:r>
                        <w:r>
                          <w:rPr>
                            <w:sz w:val="16"/>
                          </w:rPr>
                          <w:t>con</w:t>
                        </w:r>
                        <w:r>
                          <w:rPr>
                            <w:spacing w:val="-9"/>
                            <w:sz w:val="16"/>
                          </w:rPr>
                          <w:t xml:space="preserve"> </w:t>
                        </w:r>
                        <w:r>
                          <w:rPr>
                            <w:sz w:val="16"/>
                          </w:rPr>
                          <w:t>el</w:t>
                        </w:r>
                        <w:r>
                          <w:rPr>
                            <w:spacing w:val="-9"/>
                            <w:sz w:val="16"/>
                          </w:rPr>
                          <w:t xml:space="preserve"> </w:t>
                        </w:r>
                        <w:r>
                          <w:rPr>
                            <w:sz w:val="16"/>
                          </w:rPr>
                          <w:t>Pacto,</w:t>
                        </w:r>
                        <w:r>
                          <w:rPr>
                            <w:spacing w:val="-9"/>
                            <w:sz w:val="16"/>
                          </w:rPr>
                          <w:t xml:space="preserve"> </w:t>
                        </w:r>
                        <w:r>
                          <w:rPr>
                            <w:sz w:val="16"/>
                          </w:rPr>
                          <w:t>excepto</w:t>
                        </w:r>
                        <w:r>
                          <w:rPr>
                            <w:spacing w:val="-9"/>
                            <w:sz w:val="16"/>
                          </w:rPr>
                          <w:t xml:space="preserve"> </w:t>
                        </w:r>
                        <w:r>
                          <w:rPr>
                            <w:sz w:val="16"/>
                          </w:rPr>
                          <w:t>en</w:t>
                        </w:r>
                        <w:r>
                          <w:rPr>
                            <w:spacing w:val="-9"/>
                            <w:sz w:val="16"/>
                          </w:rPr>
                          <w:t xml:space="preserve"> </w:t>
                        </w:r>
                        <w:r>
                          <w:rPr>
                            <w:sz w:val="16"/>
                          </w:rPr>
                          <w:t>las</w:t>
                        </w:r>
                        <w:r>
                          <w:rPr>
                            <w:spacing w:val="-9"/>
                            <w:sz w:val="16"/>
                          </w:rPr>
                          <w:t xml:space="preserve"> </w:t>
                        </w:r>
                        <w:r>
                          <w:rPr>
                            <w:sz w:val="16"/>
                          </w:rPr>
                          <w:t>circunstancias</w:t>
                        </w:r>
                        <w:r>
                          <w:rPr>
                            <w:spacing w:val="-9"/>
                            <w:sz w:val="16"/>
                          </w:rPr>
                          <w:t xml:space="preserve"> </w:t>
                        </w:r>
                        <w:r>
                          <w:rPr>
                            <w:sz w:val="16"/>
                          </w:rPr>
                          <w:t>específicas</w:t>
                        </w:r>
                        <w:r>
                          <w:rPr>
                            <w:spacing w:val="-10"/>
                            <w:sz w:val="16"/>
                          </w:rPr>
                          <w:t xml:space="preserve"> </w:t>
                        </w:r>
                        <w:r>
                          <w:rPr>
                            <w:sz w:val="16"/>
                          </w:rPr>
                          <w:t>previstas</w:t>
                        </w:r>
                        <w:r>
                          <w:rPr>
                            <w:spacing w:val="-9"/>
                            <w:sz w:val="16"/>
                          </w:rPr>
                          <w:t xml:space="preserve"> </w:t>
                        </w:r>
                        <w:r>
                          <w:rPr>
                            <w:sz w:val="16"/>
                          </w:rPr>
                          <w:t>en</w:t>
                        </w:r>
                        <w:r>
                          <w:rPr>
                            <w:spacing w:val="-9"/>
                            <w:sz w:val="16"/>
                          </w:rPr>
                          <w:t xml:space="preserve"> </w:t>
                        </w:r>
                        <w:r>
                          <w:rPr>
                            <w:sz w:val="16"/>
                          </w:rPr>
                          <w:t>el</w:t>
                        </w:r>
                        <w:r>
                          <w:rPr>
                            <w:spacing w:val="-9"/>
                            <w:sz w:val="16"/>
                          </w:rPr>
                          <w:t xml:space="preserve"> </w:t>
                        </w:r>
                        <w:r>
                          <w:rPr>
                            <w:sz w:val="16"/>
                          </w:rPr>
                          <w:t>párrafo</w:t>
                        </w:r>
                        <w:r>
                          <w:rPr>
                            <w:spacing w:val="-9"/>
                            <w:sz w:val="16"/>
                          </w:rPr>
                          <w:t xml:space="preserve"> </w:t>
                        </w:r>
                        <w:r>
                          <w:rPr>
                            <w:sz w:val="16"/>
                          </w:rPr>
                          <w:t>2</w:t>
                        </w:r>
                        <w:r>
                          <w:rPr>
                            <w:spacing w:val="-9"/>
                            <w:sz w:val="16"/>
                          </w:rPr>
                          <w:t xml:space="preserve"> </w:t>
                        </w:r>
                        <w:r>
                          <w:rPr>
                            <w:sz w:val="16"/>
                          </w:rPr>
                          <w:t>del</w:t>
                        </w:r>
                        <w:r>
                          <w:rPr>
                            <w:spacing w:val="-9"/>
                            <w:sz w:val="16"/>
                          </w:rPr>
                          <w:t xml:space="preserve"> </w:t>
                        </w:r>
                        <w:r>
                          <w:rPr>
                            <w:sz w:val="16"/>
                          </w:rPr>
                          <w:t>artículo 20</w:t>
                        </w:r>
                        <w:r>
                          <w:rPr>
                            <w:spacing w:val="-3"/>
                            <w:sz w:val="16"/>
                          </w:rPr>
                          <w:t xml:space="preserve"> </w:t>
                        </w:r>
                        <w:r>
                          <w:rPr>
                            <w:sz w:val="16"/>
                          </w:rPr>
                          <w:t>del</w:t>
                        </w:r>
                        <w:r>
                          <w:rPr>
                            <w:spacing w:val="-3"/>
                            <w:sz w:val="16"/>
                          </w:rPr>
                          <w:t xml:space="preserve"> </w:t>
                        </w:r>
                        <w:r>
                          <w:rPr>
                            <w:sz w:val="16"/>
                          </w:rPr>
                          <w:t>Pacto.</w:t>
                        </w:r>
                        <w:r>
                          <w:rPr>
                            <w:spacing w:val="-3"/>
                            <w:sz w:val="16"/>
                          </w:rPr>
                          <w:t xml:space="preserve"> </w:t>
                        </w:r>
                        <w:r>
                          <w:rPr>
                            <w:sz w:val="16"/>
                          </w:rPr>
                          <w:t>Esas</w:t>
                        </w:r>
                        <w:r>
                          <w:rPr>
                            <w:spacing w:val="-3"/>
                            <w:sz w:val="16"/>
                          </w:rPr>
                          <w:t xml:space="preserve"> </w:t>
                        </w:r>
                        <w:r>
                          <w:rPr>
                            <w:sz w:val="16"/>
                          </w:rPr>
                          <w:t>prohibiciones</w:t>
                        </w:r>
                        <w:r>
                          <w:rPr>
                            <w:spacing w:val="-3"/>
                            <w:sz w:val="16"/>
                          </w:rPr>
                          <w:t xml:space="preserve"> </w:t>
                        </w:r>
                        <w:r>
                          <w:rPr>
                            <w:sz w:val="16"/>
                          </w:rPr>
                          <w:t>también</w:t>
                        </w:r>
                        <w:r>
                          <w:rPr>
                            <w:spacing w:val="-3"/>
                            <w:sz w:val="16"/>
                          </w:rPr>
                          <w:t xml:space="preserve"> </w:t>
                        </w:r>
                        <w:r>
                          <w:rPr>
                            <w:sz w:val="16"/>
                          </w:rPr>
                          <w:t>deben</w:t>
                        </w:r>
                        <w:r>
                          <w:rPr>
                            <w:spacing w:val="-3"/>
                            <w:sz w:val="16"/>
                          </w:rPr>
                          <w:t xml:space="preserve"> </w:t>
                        </w:r>
                        <w:r>
                          <w:rPr>
                            <w:sz w:val="16"/>
                          </w:rPr>
                          <w:t>cumplir</w:t>
                        </w:r>
                        <w:r>
                          <w:rPr>
                            <w:spacing w:val="-3"/>
                            <w:sz w:val="16"/>
                          </w:rPr>
                          <w:t xml:space="preserve"> </w:t>
                        </w:r>
                        <w:r>
                          <w:rPr>
                            <w:sz w:val="16"/>
                          </w:rPr>
                          <w:t>los</w:t>
                        </w:r>
                        <w:r>
                          <w:rPr>
                            <w:spacing w:val="-3"/>
                            <w:sz w:val="16"/>
                          </w:rPr>
                          <w:t xml:space="preserve"> </w:t>
                        </w:r>
                        <w:r>
                          <w:rPr>
                            <w:sz w:val="16"/>
                          </w:rPr>
                          <w:t>estrictos</w:t>
                        </w:r>
                        <w:r>
                          <w:rPr>
                            <w:spacing w:val="-3"/>
                            <w:sz w:val="16"/>
                          </w:rPr>
                          <w:t xml:space="preserve"> </w:t>
                        </w:r>
                        <w:r>
                          <w:rPr>
                            <w:sz w:val="16"/>
                          </w:rPr>
                          <w:t>requisitos</w:t>
                        </w:r>
                        <w:r>
                          <w:rPr>
                            <w:spacing w:val="-3"/>
                            <w:sz w:val="16"/>
                          </w:rPr>
                          <w:t xml:space="preserve"> </w:t>
                        </w:r>
                        <w:r>
                          <w:rPr>
                            <w:sz w:val="16"/>
                          </w:rPr>
                          <w:t>del</w:t>
                        </w:r>
                        <w:r>
                          <w:rPr>
                            <w:spacing w:val="-3"/>
                            <w:sz w:val="16"/>
                          </w:rPr>
                          <w:t xml:space="preserve"> </w:t>
                        </w:r>
                        <w:r>
                          <w:rPr>
                            <w:sz w:val="16"/>
                          </w:rPr>
                          <w:t>párrafo</w:t>
                        </w:r>
                        <w:r>
                          <w:rPr>
                            <w:spacing w:val="-3"/>
                            <w:sz w:val="16"/>
                          </w:rPr>
                          <w:t xml:space="preserve"> </w:t>
                        </w:r>
                        <w:r>
                          <w:rPr>
                            <w:sz w:val="16"/>
                          </w:rPr>
                          <w:t>3</w:t>
                        </w:r>
                        <w:r>
                          <w:rPr>
                            <w:spacing w:val="-3"/>
                            <w:sz w:val="16"/>
                          </w:rPr>
                          <w:t xml:space="preserve"> </w:t>
                        </w:r>
                        <w:r>
                          <w:rPr>
                            <w:sz w:val="16"/>
                          </w:rPr>
                          <w:t>del</w:t>
                        </w:r>
                        <w:r>
                          <w:rPr>
                            <w:spacing w:val="-3"/>
                            <w:sz w:val="16"/>
                          </w:rPr>
                          <w:t xml:space="preserve"> </w:t>
                        </w:r>
                        <w:r>
                          <w:rPr>
                            <w:sz w:val="16"/>
                          </w:rPr>
                          <w:t>artículo</w:t>
                        </w:r>
                        <w:r>
                          <w:rPr>
                            <w:spacing w:val="-3"/>
                            <w:sz w:val="16"/>
                          </w:rPr>
                          <w:t xml:space="preserve"> </w:t>
                        </w:r>
                        <w:r>
                          <w:rPr>
                            <w:sz w:val="16"/>
                          </w:rPr>
                          <w:t>19,</w:t>
                        </w:r>
                        <w:r>
                          <w:rPr>
                            <w:spacing w:val="-3"/>
                            <w:sz w:val="16"/>
                          </w:rPr>
                          <w:t xml:space="preserve"> </w:t>
                        </w:r>
                        <w:r>
                          <w:rPr>
                            <w:sz w:val="16"/>
                          </w:rPr>
                          <w:t>así</w:t>
                        </w:r>
                        <w:r>
                          <w:rPr>
                            <w:spacing w:val="-3"/>
                            <w:sz w:val="16"/>
                          </w:rPr>
                          <w:t xml:space="preserve"> </w:t>
                        </w:r>
                        <w:r>
                          <w:rPr>
                            <w:sz w:val="16"/>
                          </w:rPr>
                          <w:t>como</w:t>
                        </w:r>
                      </w:p>
                      <w:p w14:paraId="28264376" w14:textId="77777777" w:rsidR="0014798C" w:rsidRDefault="004E1F0B">
                        <w:pPr>
                          <w:spacing w:line="182" w:lineRule="exact"/>
                          <w:rPr>
                            <w:sz w:val="16"/>
                          </w:rPr>
                        </w:pPr>
                        <w:r>
                          <w:rPr>
                            <w:sz w:val="16"/>
                          </w:rPr>
                          <w:t>de</w:t>
                        </w:r>
                        <w:r>
                          <w:rPr>
                            <w:spacing w:val="-7"/>
                            <w:sz w:val="16"/>
                          </w:rPr>
                          <w:t xml:space="preserve"> </w:t>
                        </w:r>
                        <w:r>
                          <w:rPr>
                            <w:sz w:val="16"/>
                          </w:rPr>
                          <w:t>los</w:t>
                        </w:r>
                        <w:r>
                          <w:rPr>
                            <w:spacing w:val="-7"/>
                            <w:sz w:val="16"/>
                          </w:rPr>
                          <w:t xml:space="preserve"> </w:t>
                        </w:r>
                        <w:r>
                          <w:rPr>
                            <w:sz w:val="16"/>
                          </w:rPr>
                          <w:t>artículos</w:t>
                        </w:r>
                        <w:r>
                          <w:rPr>
                            <w:spacing w:val="-6"/>
                            <w:sz w:val="16"/>
                          </w:rPr>
                          <w:t xml:space="preserve"> </w:t>
                        </w:r>
                        <w:r>
                          <w:rPr>
                            <w:sz w:val="16"/>
                          </w:rPr>
                          <w:t>2,</w:t>
                        </w:r>
                        <w:r>
                          <w:rPr>
                            <w:spacing w:val="-7"/>
                            <w:sz w:val="16"/>
                          </w:rPr>
                          <w:t xml:space="preserve"> </w:t>
                        </w:r>
                        <w:r>
                          <w:rPr>
                            <w:sz w:val="16"/>
                          </w:rPr>
                          <w:t>5,</w:t>
                        </w:r>
                        <w:r>
                          <w:rPr>
                            <w:spacing w:val="-6"/>
                            <w:sz w:val="16"/>
                          </w:rPr>
                          <w:t xml:space="preserve"> </w:t>
                        </w:r>
                        <w:r>
                          <w:rPr>
                            <w:sz w:val="16"/>
                          </w:rPr>
                          <w:t>17,</w:t>
                        </w:r>
                        <w:r>
                          <w:rPr>
                            <w:spacing w:val="-7"/>
                            <w:sz w:val="16"/>
                          </w:rPr>
                          <w:t xml:space="preserve"> </w:t>
                        </w:r>
                        <w:r>
                          <w:rPr>
                            <w:sz w:val="16"/>
                          </w:rPr>
                          <w:t>18</w:t>
                        </w:r>
                        <w:r>
                          <w:rPr>
                            <w:spacing w:val="-6"/>
                            <w:sz w:val="16"/>
                          </w:rPr>
                          <w:t xml:space="preserve"> </w:t>
                        </w:r>
                        <w:r>
                          <w:rPr>
                            <w:sz w:val="16"/>
                          </w:rPr>
                          <w:t>y</w:t>
                        </w:r>
                        <w:r>
                          <w:rPr>
                            <w:spacing w:val="-7"/>
                            <w:sz w:val="16"/>
                          </w:rPr>
                          <w:t xml:space="preserve"> </w:t>
                        </w:r>
                        <w:r>
                          <w:rPr>
                            <w:sz w:val="16"/>
                          </w:rPr>
                          <w:t>26.</w:t>
                        </w:r>
                        <w:r>
                          <w:rPr>
                            <w:spacing w:val="-7"/>
                            <w:sz w:val="16"/>
                          </w:rPr>
                          <w:t xml:space="preserve"> </w:t>
                        </w:r>
                        <w:r>
                          <w:rPr>
                            <w:sz w:val="16"/>
                          </w:rPr>
                          <w:t>Así,</w:t>
                        </w:r>
                        <w:r>
                          <w:rPr>
                            <w:spacing w:val="-6"/>
                            <w:sz w:val="16"/>
                          </w:rPr>
                          <w:t xml:space="preserve"> </w:t>
                        </w:r>
                        <w:r>
                          <w:rPr>
                            <w:spacing w:val="-4"/>
                            <w:sz w:val="16"/>
                          </w:rPr>
                          <w:t>para</w:t>
                        </w:r>
                      </w:p>
                    </w:txbxContent>
                  </v:textbox>
                </v:shape>
                <w10:wrap type="topAndBottom" anchorx="page"/>
              </v:group>
            </w:pict>
          </mc:Fallback>
        </mc:AlternateContent>
      </w:r>
    </w:p>
    <w:p w14:paraId="3B9A491F" w14:textId="77777777" w:rsidR="0014798C" w:rsidRDefault="0014798C">
      <w:pPr>
        <w:pStyle w:val="Textoindependiente"/>
        <w:spacing w:before="30"/>
        <w:rPr>
          <w:sz w:val="12"/>
        </w:rPr>
      </w:pPr>
    </w:p>
    <w:p w14:paraId="28F3F0D9" w14:textId="77777777" w:rsidR="0014798C" w:rsidRDefault="004E1F0B">
      <w:pPr>
        <w:spacing w:before="1"/>
        <w:ind w:left="1111"/>
        <w:rPr>
          <w:sz w:val="12"/>
        </w:rPr>
      </w:pPr>
      <w:r>
        <w:rPr>
          <w:sz w:val="12"/>
        </w:rPr>
        <w:t>1180</w:t>
      </w:r>
      <w:r>
        <w:rPr>
          <w:spacing w:val="-5"/>
          <w:sz w:val="12"/>
        </w:rPr>
        <w:t xml:space="preserve"> </w:t>
      </w:r>
      <w:r>
        <w:rPr>
          <w:sz w:val="12"/>
        </w:rPr>
        <w:t>Comité</w:t>
      </w:r>
      <w:r>
        <w:rPr>
          <w:spacing w:val="-5"/>
          <w:sz w:val="12"/>
        </w:rPr>
        <w:t xml:space="preserve"> </w:t>
      </w:r>
      <w:r>
        <w:rPr>
          <w:sz w:val="12"/>
        </w:rPr>
        <w:t>para</w:t>
      </w:r>
      <w:r>
        <w:rPr>
          <w:spacing w:val="-5"/>
          <w:sz w:val="12"/>
        </w:rPr>
        <w:t xml:space="preserve"> </w:t>
      </w:r>
      <w:r>
        <w:rPr>
          <w:sz w:val="12"/>
        </w:rPr>
        <w:t>la</w:t>
      </w:r>
      <w:r>
        <w:rPr>
          <w:spacing w:val="-5"/>
          <w:sz w:val="12"/>
        </w:rPr>
        <w:t xml:space="preserve"> </w:t>
      </w:r>
      <w:r>
        <w:rPr>
          <w:sz w:val="12"/>
        </w:rPr>
        <w:t>Eliminación</w:t>
      </w:r>
      <w:r>
        <w:rPr>
          <w:spacing w:val="-5"/>
          <w:sz w:val="12"/>
        </w:rPr>
        <w:t xml:space="preserve"> </w:t>
      </w:r>
      <w:r>
        <w:rPr>
          <w:sz w:val="12"/>
        </w:rPr>
        <w:t>de</w:t>
      </w:r>
      <w:r>
        <w:rPr>
          <w:spacing w:val="-5"/>
          <w:sz w:val="12"/>
        </w:rPr>
        <w:t xml:space="preserve"> </w:t>
      </w:r>
      <w:r>
        <w:rPr>
          <w:sz w:val="12"/>
        </w:rPr>
        <w:t>la</w:t>
      </w:r>
      <w:r>
        <w:rPr>
          <w:spacing w:val="-5"/>
          <w:sz w:val="12"/>
        </w:rPr>
        <w:t xml:space="preserve"> </w:t>
      </w:r>
      <w:r>
        <w:rPr>
          <w:sz w:val="12"/>
        </w:rPr>
        <w:t>Discriminación</w:t>
      </w:r>
      <w:r>
        <w:rPr>
          <w:spacing w:val="-5"/>
          <w:sz w:val="12"/>
        </w:rPr>
        <w:t xml:space="preserve"> </w:t>
      </w:r>
      <w:r>
        <w:rPr>
          <w:sz w:val="12"/>
        </w:rPr>
        <w:t>Racial,</w:t>
      </w:r>
      <w:r>
        <w:rPr>
          <w:spacing w:val="-5"/>
          <w:sz w:val="12"/>
        </w:rPr>
        <w:t xml:space="preserve"> </w:t>
      </w:r>
      <w:r>
        <w:rPr>
          <w:sz w:val="12"/>
        </w:rPr>
        <w:t>recomendación</w:t>
      </w:r>
      <w:r>
        <w:rPr>
          <w:spacing w:val="-5"/>
          <w:sz w:val="12"/>
        </w:rPr>
        <w:t xml:space="preserve"> </w:t>
      </w:r>
      <w:r>
        <w:rPr>
          <w:sz w:val="12"/>
        </w:rPr>
        <w:t>general</w:t>
      </w:r>
      <w:r>
        <w:rPr>
          <w:spacing w:val="-5"/>
          <w:sz w:val="12"/>
        </w:rPr>
        <w:t xml:space="preserve"> </w:t>
      </w:r>
      <w:r>
        <w:rPr>
          <w:sz w:val="12"/>
        </w:rPr>
        <w:t>núm.</w:t>
      </w:r>
      <w:r>
        <w:rPr>
          <w:spacing w:val="-5"/>
          <w:sz w:val="12"/>
        </w:rPr>
        <w:t xml:space="preserve"> </w:t>
      </w:r>
      <w:r>
        <w:rPr>
          <w:sz w:val="12"/>
        </w:rPr>
        <w:t>35</w:t>
      </w:r>
      <w:r>
        <w:rPr>
          <w:spacing w:val="-5"/>
          <w:sz w:val="12"/>
        </w:rPr>
        <w:t xml:space="preserve"> </w:t>
      </w:r>
      <w:r>
        <w:rPr>
          <w:sz w:val="12"/>
        </w:rPr>
        <w:t>(2013),</w:t>
      </w:r>
      <w:r>
        <w:rPr>
          <w:spacing w:val="-5"/>
          <w:sz w:val="12"/>
        </w:rPr>
        <w:t xml:space="preserve"> </w:t>
      </w:r>
      <w:r>
        <w:rPr>
          <w:sz w:val="12"/>
        </w:rPr>
        <w:t>párr.</w:t>
      </w:r>
      <w:r>
        <w:rPr>
          <w:spacing w:val="-5"/>
          <w:sz w:val="12"/>
        </w:rPr>
        <w:t xml:space="preserve"> 14.</w:t>
      </w:r>
    </w:p>
    <w:p w14:paraId="316B6C5B" w14:textId="77777777" w:rsidR="0014798C" w:rsidRDefault="004E1F0B">
      <w:pPr>
        <w:spacing w:before="92" w:line="410" w:lineRule="auto"/>
        <w:ind w:left="1111" w:right="6015"/>
        <w:rPr>
          <w:sz w:val="12"/>
        </w:rPr>
      </w:pPr>
      <w:r>
        <w:rPr>
          <w:sz w:val="12"/>
        </w:rPr>
        <w:t>1181 Comité de Derechos Humanos,</w:t>
      </w:r>
      <w:r>
        <w:rPr>
          <w:spacing w:val="18"/>
          <w:sz w:val="12"/>
        </w:rPr>
        <w:t xml:space="preserve"> </w:t>
      </w:r>
      <w:r>
        <w:rPr>
          <w:sz w:val="12"/>
        </w:rPr>
        <w:t>Ross c. Canadá (CCPR/C/70/D/736/1997).</w:t>
      </w:r>
      <w:r>
        <w:rPr>
          <w:spacing w:val="80"/>
          <w:sz w:val="12"/>
        </w:rPr>
        <w:t xml:space="preserve"> </w:t>
      </w:r>
      <w:r>
        <w:rPr>
          <w:sz w:val="12"/>
        </w:rPr>
        <w:t>1182 Comité de Derechos Humanos, Faurisson c. Francia (CCPR/C/58/D/550/1993).</w:t>
      </w:r>
    </w:p>
    <w:p w14:paraId="0128A964" w14:textId="77777777" w:rsidR="0014798C" w:rsidRDefault="004E1F0B">
      <w:pPr>
        <w:spacing w:before="1"/>
        <w:ind w:left="1111"/>
        <w:rPr>
          <w:sz w:val="12"/>
        </w:rPr>
      </w:pPr>
      <w:r>
        <w:rPr>
          <w:sz w:val="12"/>
          <w:vertAlign w:val="superscript"/>
        </w:rPr>
        <w:t>1183</w:t>
      </w:r>
      <w:r>
        <w:rPr>
          <w:spacing w:val="24"/>
          <w:sz w:val="12"/>
        </w:rPr>
        <w:t xml:space="preserve"> </w:t>
      </w:r>
      <w:r>
        <w:rPr>
          <w:sz w:val="12"/>
        </w:rPr>
        <w:t>A/HRC/42/58,</w:t>
      </w:r>
      <w:r>
        <w:rPr>
          <w:spacing w:val="-4"/>
          <w:sz w:val="12"/>
        </w:rPr>
        <w:t xml:space="preserve"> </w:t>
      </w:r>
      <w:r>
        <w:rPr>
          <w:sz w:val="12"/>
        </w:rPr>
        <w:t>párr.</w:t>
      </w:r>
      <w:r>
        <w:rPr>
          <w:spacing w:val="-4"/>
          <w:sz w:val="12"/>
        </w:rPr>
        <w:t xml:space="preserve"> </w:t>
      </w:r>
      <w:r>
        <w:rPr>
          <w:sz w:val="12"/>
        </w:rPr>
        <w:t>108</w:t>
      </w:r>
      <w:r>
        <w:rPr>
          <w:spacing w:val="-4"/>
          <w:sz w:val="12"/>
        </w:rPr>
        <w:t xml:space="preserve"> </w:t>
      </w:r>
      <w:r>
        <w:rPr>
          <w:sz w:val="12"/>
        </w:rPr>
        <w:t>a).</w:t>
      </w:r>
      <w:r>
        <w:rPr>
          <w:spacing w:val="-4"/>
          <w:sz w:val="12"/>
        </w:rPr>
        <w:t xml:space="preserve"> </w:t>
      </w:r>
      <w:r>
        <w:rPr>
          <w:sz w:val="12"/>
        </w:rPr>
        <w:t>Véase</w:t>
      </w:r>
      <w:r>
        <w:rPr>
          <w:spacing w:val="-4"/>
          <w:sz w:val="12"/>
        </w:rPr>
        <w:t xml:space="preserve"> </w:t>
      </w:r>
      <w:r>
        <w:rPr>
          <w:sz w:val="12"/>
        </w:rPr>
        <w:t>también</w:t>
      </w:r>
      <w:r>
        <w:rPr>
          <w:spacing w:val="-3"/>
          <w:sz w:val="12"/>
        </w:rPr>
        <w:t xml:space="preserve"> </w:t>
      </w:r>
      <w:r>
        <w:rPr>
          <w:sz w:val="12"/>
        </w:rPr>
        <w:t>la</w:t>
      </w:r>
      <w:r>
        <w:rPr>
          <w:spacing w:val="-4"/>
          <w:sz w:val="12"/>
        </w:rPr>
        <w:t xml:space="preserve"> </w:t>
      </w:r>
      <w:r>
        <w:rPr>
          <w:sz w:val="12"/>
        </w:rPr>
        <w:t>resolución</w:t>
      </w:r>
      <w:r>
        <w:rPr>
          <w:spacing w:val="-4"/>
          <w:sz w:val="12"/>
        </w:rPr>
        <w:t xml:space="preserve"> </w:t>
      </w:r>
      <w:r>
        <w:rPr>
          <w:sz w:val="12"/>
        </w:rPr>
        <w:t>73/262</w:t>
      </w:r>
      <w:r>
        <w:rPr>
          <w:spacing w:val="-4"/>
          <w:sz w:val="12"/>
        </w:rPr>
        <w:t xml:space="preserve"> </w:t>
      </w:r>
      <w:r>
        <w:rPr>
          <w:sz w:val="12"/>
        </w:rPr>
        <w:t>de</w:t>
      </w:r>
      <w:r>
        <w:rPr>
          <w:spacing w:val="-4"/>
          <w:sz w:val="12"/>
        </w:rPr>
        <w:t xml:space="preserve"> </w:t>
      </w:r>
      <w:r>
        <w:rPr>
          <w:sz w:val="12"/>
        </w:rPr>
        <w:t>la</w:t>
      </w:r>
      <w:r>
        <w:rPr>
          <w:spacing w:val="-4"/>
          <w:sz w:val="12"/>
        </w:rPr>
        <w:t xml:space="preserve"> </w:t>
      </w:r>
      <w:r>
        <w:rPr>
          <w:sz w:val="12"/>
        </w:rPr>
        <w:t>Asamblea</w:t>
      </w:r>
      <w:r>
        <w:rPr>
          <w:spacing w:val="-4"/>
          <w:sz w:val="12"/>
        </w:rPr>
        <w:t xml:space="preserve"> </w:t>
      </w:r>
      <w:r>
        <w:rPr>
          <w:sz w:val="12"/>
        </w:rPr>
        <w:t>General;</w:t>
      </w:r>
      <w:r>
        <w:rPr>
          <w:spacing w:val="-4"/>
          <w:sz w:val="12"/>
        </w:rPr>
        <w:t xml:space="preserve"> </w:t>
      </w:r>
      <w:r>
        <w:rPr>
          <w:sz w:val="12"/>
        </w:rPr>
        <w:t>y</w:t>
      </w:r>
      <w:r>
        <w:rPr>
          <w:spacing w:val="-3"/>
          <w:sz w:val="12"/>
        </w:rPr>
        <w:t xml:space="preserve"> </w:t>
      </w:r>
      <w:r>
        <w:rPr>
          <w:sz w:val="12"/>
        </w:rPr>
        <w:t>resolución</w:t>
      </w:r>
      <w:r>
        <w:rPr>
          <w:spacing w:val="-4"/>
          <w:sz w:val="12"/>
        </w:rPr>
        <w:t xml:space="preserve"> </w:t>
      </w:r>
      <w:r>
        <w:rPr>
          <w:sz w:val="12"/>
        </w:rPr>
        <w:t>34/36</w:t>
      </w:r>
      <w:r>
        <w:rPr>
          <w:spacing w:val="-4"/>
          <w:sz w:val="12"/>
        </w:rPr>
        <w:t xml:space="preserve"> </w:t>
      </w:r>
      <w:r>
        <w:rPr>
          <w:sz w:val="12"/>
        </w:rPr>
        <w:t>del</w:t>
      </w:r>
      <w:r>
        <w:rPr>
          <w:spacing w:val="-4"/>
          <w:sz w:val="12"/>
        </w:rPr>
        <w:t xml:space="preserve"> </w:t>
      </w:r>
      <w:r>
        <w:rPr>
          <w:sz w:val="12"/>
        </w:rPr>
        <w:t>Consejo</w:t>
      </w:r>
      <w:r>
        <w:rPr>
          <w:spacing w:val="-4"/>
          <w:sz w:val="12"/>
        </w:rPr>
        <w:t xml:space="preserve"> </w:t>
      </w:r>
      <w:r>
        <w:rPr>
          <w:sz w:val="12"/>
        </w:rPr>
        <w:t>de</w:t>
      </w:r>
      <w:r>
        <w:rPr>
          <w:spacing w:val="-4"/>
          <w:sz w:val="12"/>
        </w:rPr>
        <w:t xml:space="preserve"> </w:t>
      </w:r>
      <w:r>
        <w:rPr>
          <w:sz w:val="12"/>
        </w:rPr>
        <w:t>Derechos</w:t>
      </w:r>
      <w:r>
        <w:rPr>
          <w:spacing w:val="-4"/>
          <w:sz w:val="12"/>
        </w:rPr>
        <w:t xml:space="preserve"> </w:t>
      </w:r>
      <w:r>
        <w:rPr>
          <w:spacing w:val="-2"/>
          <w:sz w:val="12"/>
        </w:rPr>
        <w:t>Humanos.</w:t>
      </w:r>
    </w:p>
    <w:p w14:paraId="0FF71C00" w14:textId="77777777" w:rsidR="0014798C" w:rsidRDefault="004E1F0B">
      <w:pPr>
        <w:spacing w:before="105" w:line="312" w:lineRule="auto"/>
        <w:ind w:left="1369" w:right="1590" w:hanging="259"/>
        <w:rPr>
          <w:sz w:val="12"/>
        </w:rPr>
      </w:pPr>
      <w:r>
        <w:rPr>
          <w:sz w:val="12"/>
        </w:rPr>
        <w:t>1184 El artículo</w:t>
      </w:r>
      <w:r>
        <w:rPr>
          <w:spacing w:val="-1"/>
          <w:sz w:val="12"/>
        </w:rPr>
        <w:t xml:space="preserve"> </w:t>
      </w:r>
      <w:r>
        <w:rPr>
          <w:sz w:val="12"/>
        </w:rPr>
        <w:t>3 de la Convención para la Prevención y la Sanción del Delito de Genocidio establece: “Serán punibles</w:t>
      </w:r>
      <w:r>
        <w:rPr>
          <w:spacing w:val="-1"/>
          <w:sz w:val="12"/>
        </w:rPr>
        <w:t xml:space="preserve"> </w:t>
      </w:r>
      <w:r>
        <w:rPr>
          <w:sz w:val="12"/>
        </w:rPr>
        <w:t>los siguientes</w:t>
      </w:r>
      <w:r>
        <w:rPr>
          <w:spacing w:val="-1"/>
          <w:sz w:val="12"/>
        </w:rPr>
        <w:t xml:space="preserve"> </w:t>
      </w:r>
      <w:proofErr w:type="gramStart"/>
      <w:r>
        <w:rPr>
          <w:sz w:val="12"/>
        </w:rPr>
        <w:t>actos:…</w:t>
      </w:r>
      <w:proofErr w:type="gramEnd"/>
      <w:r>
        <w:rPr>
          <w:spacing w:val="-1"/>
          <w:sz w:val="12"/>
        </w:rPr>
        <w:t xml:space="preserve"> </w:t>
      </w:r>
      <w:r>
        <w:rPr>
          <w:sz w:val="12"/>
        </w:rPr>
        <w:t>(c) La incitación directa y</w:t>
      </w:r>
      <w:r>
        <w:rPr>
          <w:spacing w:val="40"/>
          <w:sz w:val="12"/>
        </w:rPr>
        <w:t xml:space="preserve"> </w:t>
      </w:r>
      <w:r>
        <w:rPr>
          <w:sz w:val="12"/>
        </w:rPr>
        <w:t>pública a cometer genocidio”. El artículo 25 (3) del Estatuto de Roma de la Corte Penal Internacional establece que “de conformidad con el presente Estatuto, una</w:t>
      </w:r>
      <w:r>
        <w:rPr>
          <w:spacing w:val="40"/>
          <w:sz w:val="12"/>
        </w:rPr>
        <w:t xml:space="preserve"> </w:t>
      </w:r>
      <w:r>
        <w:rPr>
          <w:sz w:val="12"/>
        </w:rPr>
        <w:t xml:space="preserve">persona será penalmente responsable y sujeta a pena por un crimen de la competencia de la Corte si esa </w:t>
      </w:r>
      <w:proofErr w:type="gramStart"/>
      <w:r>
        <w:rPr>
          <w:sz w:val="12"/>
        </w:rPr>
        <w:t>persona:…</w:t>
      </w:r>
      <w:proofErr w:type="gramEnd"/>
      <w:r>
        <w:rPr>
          <w:sz w:val="12"/>
        </w:rPr>
        <w:t xml:space="preserve"> (b) Ordene, solicite o induzca la comisión de</w:t>
      </w:r>
      <w:r>
        <w:rPr>
          <w:spacing w:val="40"/>
          <w:sz w:val="12"/>
        </w:rPr>
        <w:t xml:space="preserve"> </w:t>
      </w:r>
      <w:r>
        <w:rPr>
          <w:sz w:val="12"/>
        </w:rPr>
        <w:t>un</w:t>
      </w:r>
      <w:r>
        <w:rPr>
          <w:spacing w:val="-2"/>
          <w:sz w:val="12"/>
        </w:rPr>
        <w:t xml:space="preserve"> </w:t>
      </w:r>
      <w:r>
        <w:rPr>
          <w:sz w:val="12"/>
        </w:rPr>
        <w:t>delito</w:t>
      </w:r>
      <w:r>
        <w:rPr>
          <w:spacing w:val="-2"/>
          <w:sz w:val="12"/>
        </w:rPr>
        <w:t xml:space="preserve"> </w:t>
      </w:r>
      <w:r>
        <w:rPr>
          <w:sz w:val="12"/>
        </w:rPr>
        <w:t>que</w:t>
      </w:r>
      <w:r>
        <w:rPr>
          <w:spacing w:val="-2"/>
          <w:sz w:val="12"/>
        </w:rPr>
        <w:t xml:space="preserve"> </w:t>
      </w:r>
      <w:r>
        <w:rPr>
          <w:sz w:val="12"/>
        </w:rPr>
        <w:t>en</w:t>
      </w:r>
      <w:r>
        <w:rPr>
          <w:spacing w:val="-2"/>
          <w:sz w:val="12"/>
        </w:rPr>
        <w:t xml:space="preserve"> </w:t>
      </w:r>
      <w:r>
        <w:rPr>
          <w:sz w:val="12"/>
        </w:rPr>
        <w:t>realidad</w:t>
      </w:r>
      <w:r>
        <w:rPr>
          <w:spacing w:val="-2"/>
          <w:sz w:val="12"/>
        </w:rPr>
        <w:t xml:space="preserve"> </w:t>
      </w:r>
      <w:r>
        <w:rPr>
          <w:sz w:val="12"/>
        </w:rPr>
        <w:t>se</w:t>
      </w:r>
      <w:r>
        <w:rPr>
          <w:spacing w:val="-2"/>
          <w:sz w:val="12"/>
        </w:rPr>
        <w:t xml:space="preserve"> </w:t>
      </w:r>
      <w:r>
        <w:rPr>
          <w:sz w:val="12"/>
        </w:rPr>
        <w:t>produzca</w:t>
      </w:r>
      <w:r>
        <w:rPr>
          <w:spacing w:val="-2"/>
          <w:sz w:val="12"/>
        </w:rPr>
        <w:t xml:space="preserve"> </w:t>
      </w:r>
      <w:r>
        <w:rPr>
          <w:sz w:val="12"/>
        </w:rPr>
        <w:t>o</w:t>
      </w:r>
      <w:r>
        <w:rPr>
          <w:spacing w:val="-2"/>
          <w:sz w:val="12"/>
        </w:rPr>
        <w:t xml:space="preserve"> </w:t>
      </w:r>
      <w:r>
        <w:rPr>
          <w:sz w:val="12"/>
        </w:rPr>
        <w:t>se</w:t>
      </w:r>
      <w:r>
        <w:rPr>
          <w:spacing w:val="-2"/>
          <w:sz w:val="12"/>
        </w:rPr>
        <w:t xml:space="preserve"> </w:t>
      </w:r>
      <w:r>
        <w:rPr>
          <w:sz w:val="12"/>
        </w:rPr>
        <w:t>intente;</w:t>
      </w:r>
      <w:r>
        <w:rPr>
          <w:spacing w:val="-2"/>
          <w:sz w:val="12"/>
        </w:rPr>
        <w:t xml:space="preserve"> </w:t>
      </w:r>
      <w:r>
        <w:rPr>
          <w:sz w:val="12"/>
        </w:rPr>
        <w:t>…</w:t>
      </w:r>
      <w:r>
        <w:rPr>
          <w:spacing w:val="-2"/>
          <w:sz w:val="12"/>
        </w:rPr>
        <w:t xml:space="preserve"> </w:t>
      </w:r>
      <w:r>
        <w:rPr>
          <w:sz w:val="12"/>
        </w:rPr>
        <w:t>(e)</w:t>
      </w:r>
      <w:r>
        <w:rPr>
          <w:spacing w:val="-2"/>
          <w:sz w:val="12"/>
        </w:rPr>
        <w:t xml:space="preserve"> </w:t>
      </w:r>
      <w:r>
        <w:rPr>
          <w:sz w:val="12"/>
        </w:rPr>
        <w:t>Respecto</w:t>
      </w:r>
      <w:r>
        <w:rPr>
          <w:spacing w:val="-2"/>
          <w:sz w:val="12"/>
        </w:rPr>
        <w:t xml:space="preserve"> </w:t>
      </w:r>
      <w:r>
        <w:rPr>
          <w:sz w:val="12"/>
        </w:rPr>
        <w:t>del</w:t>
      </w:r>
      <w:r>
        <w:rPr>
          <w:spacing w:val="-2"/>
          <w:sz w:val="12"/>
        </w:rPr>
        <w:t xml:space="preserve"> </w:t>
      </w:r>
      <w:r>
        <w:rPr>
          <w:sz w:val="12"/>
        </w:rPr>
        <w:t>crimen</w:t>
      </w:r>
      <w:r>
        <w:rPr>
          <w:spacing w:val="-2"/>
          <w:sz w:val="12"/>
        </w:rPr>
        <w:t xml:space="preserve"> </w:t>
      </w:r>
      <w:r>
        <w:rPr>
          <w:sz w:val="12"/>
        </w:rPr>
        <w:t>de</w:t>
      </w:r>
      <w:r>
        <w:rPr>
          <w:spacing w:val="-2"/>
          <w:sz w:val="12"/>
        </w:rPr>
        <w:t xml:space="preserve"> </w:t>
      </w:r>
      <w:r>
        <w:rPr>
          <w:sz w:val="12"/>
        </w:rPr>
        <w:t>genocidio,</w:t>
      </w:r>
      <w:r>
        <w:rPr>
          <w:spacing w:val="-2"/>
          <w:sz w:val="12"/>
        </w:rPr>
        <w:t xml:space="preserve"> </w:t>
      </w:r>
      <w:r>
        <w:rPr>
          <w:sz w:val="12"/>
        </w:rPr>
        <w:t>incite</w:t>
      </w:r>
      <w:r>
        <w:rPr>
          <w:spacing w:val="-2"/>
          <w:sz w:val="12"/>
        </w:rPr>
        <w:t xml:space="preserve"> </w:t>
      </w:r>
      <w:r>
        <w:rPr>
          <w:sz w:val="12"/>
        </w:rPr>
        <w:t>directa</w:t>
      </w:r>
      <w:r>
        <w:rPr>
          <w:spacing w:val="-2"/>
          <w:sz w:val="12"/>
        </w:rPr>
        <w:t xml:space="preserve"> </w:t>
      </w:r>
      <w:r>
        <w:rPr>
          <w:sz w:val="12"/>
        </w:rPr>
        <w:t>y</w:t>
      </w:r>
      <w:r>
        <w:rPr>
          <w:spacing w:val="-2"/>
          <w:sz w:val="12"/>
        </w:rPr>
        <w:t xml:space="preserve"> </w:t>
      </w:r>
      <w:r>
        <w:rPr>
          <w:sz w:val="12"/>
        </w:rPr>
        <w:t>públicamente</w:t>
      </w:r>
      <w:r>
        <w:rPr>
          <w:spacing w:val="-2"/>
          <w:sz w:val="12"/>
        </w:rPr>
        <w:t xml:space="preserve"> </w:t>
      </w:r>
      <w:r>
        <w:rPr>
          <w:sz w:val="12"/>
        </w:rPr>
        <w:t>a</w:t>
      </w:r>
      <w:r>
        <w:rPr>
          <w:spacing w:val="-2"/>
          <w:sz w:val="12"/>
        </w:rPr>
        <w:t xml:space="preserve"> </w:t>
      </w:r>
      <w:r>
        <w:rPr>
          <w:sz w:val="12"/>
        </w:rPr>
        <w:t>otros</w:t>
      </w:r>
      <w:r>
        <w:rPr>
          <w:spacing w:val="-3"/>
          <w:sz w:val="12"/>
        </w:rPr>
        <w:t xml:space="preserve"> </w:t>
      </w:r>
      <w:r>
        <w:rPr>
          <w:sz w:val="12"/>
        </w:rPr>
        <w:t>a</w:t>
      </w:r>
      <w:r>
        <w:rPr>
          <w:spacing w:val="-2"/>
          <w:sz w:val="12"/>
        </w:rPr>
        <w:t xml:space="preserve"> </w:t>
      </w:r>
      <w:r>
        <w:rPr>
          <w:sz w:val="12"/>
        </w:rPr>
        <w:t>cometer</w:t>
      </w:r>
      <w:r>
        <w:rPr>
          <w:spacing w:val="-3"/>
          <w:sz w:val="12"/>
        </w:rPr>
        <w:t xml:space="preserve"> </w:t>
      </w:r>
      <w:r>
        <w:rPr>
          <w:sz w:val="12"/>
        </w:rPr>
        <w:t>genocidio”.</w:t>
      </w:r>
    </w:p>
    <w:p w14:paraId="15F9E819" w14:textId="77777777" w:rsidR="0014798C" w:rsidRDefault="0014798C">
      <w:pPr>
        <w:pStyle w:val="Textoindependiente"/>
        <w:spacing w:before="99"/>
        <w:rPr>
          <w:sz w:val="12"/>
        </w:rPr>
      </w:pPr>
    </w:p>
    <w:p w14:paraId="2F49B99F" w14:textId="77777777" w:rsidR="0014798C" w:rsidRDefault="004E1F0B">
      <w:pPr>
        <w:spacing w:before="1"/>
        <w:ind w:left="1111"/>
        <w:rPr>
          <w:sz w:val="12"/>
        </w:rPr>
      </w:pPr>
      <w:r>
        <w:rPr>
          <w:sz w:val="12"/>
        </w:rPr>
        <w:t>1185</w:t>
      </w:r>
      <w:r>
        <w:rPr>
          <w:spacing w:val="-5"/>
          <w:sz w:val="12"/>
        </w:rPr>
        <w:t xml:space="preserve"> </w:t>
      </w:r>
      <w:r>
        <w:rPr>
          <w:sz w:val="12"/>
        </w:rPr>
        <w:t>Resolución</w:t>
      </w:r>
      <w:r>
        <w:rPr>
          <w:spacing w:val="-4"/>
          <w:sz w:val="12"/>
        </w:rPr>
        <w:t xml:space="preserve"> </w:t>
      </w:r>
      <w:r>
        <w:rPr>
          <w:sz w:val="12"/>
        </w:rPr>
        <w:t>75/291</w:t>
      </w:r>
      <w:r>
        <w:rPr>
          <w:spacing w:val="-4"/>
          <w:sz w:val="12"/>
        </w:rPr>
        <w:t xml:space="preserve"> </w:t>
      </w:r>
      <w:r>
        <w:rPr>
          <w:sz w:val="12"/>
        </w:rPr>
        <w:t>de</w:t>
      </w:r>
      <w:r>
        <w:rPr>
          <w:spacing w:val="-5"/>
          <w:sz w:val="12"/>
        </w:rPr>
        <w:t xml:space="preserve"> </w:t>
      </w:r>
      <w:r>
        <w:rPr>
          <w:sz w:val="12"/>
        </w:rPr>
        <w:t>la</w:t>
      </w:r>
      <w:r>
        <w:rPr>
          <w:spacing w:val="-4"/>
          <w:sz w:val="12"/>
        </w:rPr>
        <w:t xml:space="preserve"> </w:t>
      </w:r>
      <w:r>
        <w:rPr>
          <w:sz w:val="12"/>
        </w:rPr>
        <w:t>Asamblea</w:t>
      </w:r>
      <w:r>
        <w:rPr>
          <w:spacing w:val="-4"/>
          <w:sz w:val="12"/>
        </w:rPr>
        <w:t xml:space="preserve"> </w:t>
      </w:r>
      <w:r>
        <w:rPr>
          <w:spacing w:val="-2"/>
          <w:sz w:val="12"/>
        </w:rPr>
        <w:t>General.</w:t>
      </w:r>
    </w:p>
    <w:p w14:paraId="3A62E33D" w14:textId="77777777" w:rsidR="0014798C" w:rsidRDefault="004E1F0B">
      <w:pPr>
        <w:spacing w:before="92"/>
        <w:ind w:left="1111"/>
        <w:rPr>
          <w:sz w:val="12"/>
        </w:rPr>
      </w:pPr>
      <w:r>
        <w:rPr>
          <w:sz w:val="12"/>
          <w:vertAlign w:val="superscript"/>
        </w:rPr>
        <w:t>1186</w:t>
      </w:r>
      <w:r>
        <w:rPr>
          <w:spacing w:val="36"/>
          <w:sz w:val="12"/>
        </w:rPr>
        <w:t xml:space="preserve"> </w:t>
      </w:r>
      <w:r>
        <w:rPr>
          <w:sz w:val="12"/>
        </w:rPr>
        <w:t>Tribunal Supremo de Italia,</w:t>
      </w:r>
      <w:r>
        <w:rPr>
          <w:spacing w:val="1"/>
          <w:sz w:val="12"/>
        </w:rPr>
        <w:t xml:space="preserve"> </w:t>
      </w:r>
      <w:r>
        <w:rPr>
          <w:sz w:val="12"/>
        </w:rPr>
        <w:t>Sección Penal, Caso No. 47894, Sentencia</w:t>
      </w:r>
      <w:r>
        <w:rPr>
          <w:spacing w:val="1"/>
          <w:sz w:val="12"/>
        </w:rPr>
        <w:t xml:space="preserve"> </w:t>
      </w:r>
      <w:r>
        <w:rPr>
          <w:sz w:val="12"/>
        </w:rPr>
        <w:t>de 22 de noviembre de</w:t>
      </w:r>
      <w:r>
        <w:rPr>
          <w:spacing w:val="1"/>
          <w:sz w:val="12"/>
        </w:rPr>
        <w:t xml:space="preserve"> </w:t>
      </w:r>
      <w:r>
        <w:rPr>
          <w:spacing w:val="-2"/>
          <w:sz w:val="12"/>
        </w:rPr>
        <w:t>2012.</w:t>
      </w:r>
    </w:p>
    <w:p w14:paraId="7EB46E84" w14:textId="77777777" w:rsidR="0014798C" w:rsidRDefault="004E1F0B">
      <w:pPr>
        <w:spacing w:before="105"/>
        <w:ind w:left="1111"/>
        <w:rPr>
          <w:sz w:val="12"/>
        </w:rPr>
      </w:pPr>
      <w:r>
        <w:rPr>
          <w:sz w:val="12"/>
        </w:rPr>
        <w:t>1187</w:t>
      </w:r>
      <w:r>
        <w:rPr>
          <w:spacing w:val="-7"/>
          <w:sz w:val="12"/>
        </w:rPr>
        <w:t xml:space="preserve"> </w:t>
      </w:r>
      <w:r>
        <w:rPr>
          <w:sz w:val="12"/>
        </w:rPr>
        <w:t>Comité</w:t>
      </w:r>
      <w:r>
        <w:rPr>
          <w:spacing w:val="-4"/>
          <w:sz w:val="12"/>
        </w:rPr>
        <w:t xml:space="preserve"> </w:t>
      </w:r>
      <w:r>
        <w:rPr>
          <w:sz w:val="12"/>
        </w:rPr>
        <w:t>de</w:t>
      </w:r>
      <w:r>
        <w:rPr>
          <w:spacing w:val="-4"/>
          <w:sz w:val="12"/>
        </w:rPr>
        <w:t xml:space="preserve"> </w:t>
      </w:r>
      <w:r>
        <w:rPr>
          <w:sz w:val="12"/>
        </w:rPr>
        <w:t>Derechos</w:t>
      </w:r>
      <w:r>
        <w:rPr>
          <w:spacing w:val="-4"/>
          <w:sz w:val="12"/>
        </w:rPr>
        <w:t xml:space="preserve"> </w:t>
      </w:r>
      <w:r>
        <w:rPr>
          <w:sz w:val="12"/>
        </w:rPr>
        <w:t>Humanos,</w:t>
      </w:r>
      <w:r>
        <w:rPr>
          <w:spacing w:val="-4"/>
          <w:sz w:val="12"/>
        </w:rPr>
        <w:t xml:space="preserve"> </w:t>
      </w:r>
      <w:r>
        <w:rPr>
          <w:sz w:val="12"/>
        </w:rPr>
        <w:t>observación</w:t>
      </w:r>
      <w:r>
        <w:rPr>
          <w:spacing w:val="-5"/>
          <w:sz w:val="12"/>
        </w:rPr>
        <w:t xml:space="preserve"> </w:t>
      </w:r>
      <w:r>
        <w:rPr>
          <w:sz w:val="12"/>
        </w:rPr>
        <w:t>general</w:t>
      </w:r>
      <w:r>
        <w:rPr>
          <w:spacing w:val="-4"/>
          <w:sz w:val="12"/>
        </w:rPr>
        <w:t xml:space="preserve"> </w:t>
      </w:r>
      <w:r>
        <w:rPr>
          <w:sz w:val="12"/>
        </w:rPr>
        <w:t>núm.</w:t>
      </w:r>
      <w:r>
        <w:rPr>
          <w:spacing w:val="-4"/>
          <w:sz w:val="12"/>
        </w:rPr>
        <w:t xml:space="preserve"> </w:t>
      </w:r>
      <w:r>
        <w:rPr>
          <w:sz w:val="12"/>
        </w:rPr>
        <w:t>34</w:t>
      </w:r>
      <w:r>
        <w:rPr>
          <w:spacing w:val="-4"/>
          <w:sz w:val="12"/>
        </w:rPr>
        <w:t xml:space="preserve"> </w:t>
      </w:r>
      <w:r>
        <w:rPr>
          <w:sz w:val="12"/>
        </w:rPr>
        <w:t>(2011),</w:t>
      </w:r>
      <w:r>
        <w:rPr>
          <w:spacing w:val="-4"/>
          <w:sz w:val="12"/>
        </w:rPr>
        <w:t xml:space="preserve"> </w:t>
      </w:r>
      <w:r>
        <w:rPr>
          <w:sz w:val="12"/>
        </w:rPr>
        <w:t>párr.</w:t>
      </w:r>
      <w:r>
        <w:rPr>
          <w:spacing w:val="-4"/>
          <w:sz w:val="12"/>
        </w:rPr>
        <w:t xml:space="preserve"> </w:t>
      </w:r>
      <w:r>
        <w:rPr>
          <w:spacing w:val="-5"/>
          <w:sz w:val="12"/>
        </w:rPr>
        <w:t>47.</w:t>
      </w:r>
    </w:p>
    <w:p w14:paraId="6B00ADE5" w14:textId="77777777" w:rsidR="0014798C" w:rsidRDefault="004E1F0B">
      <w:pPr>
        <w:spacing w:before="98"/>
        <w:ind w:left="1111"/>
        <w:rPr>
          <w:sz w:val="12"/>
        </w:rPr>
      </w:pPr>
      <w:r>
        <w:rPr>
          <w:spacing w:val="-2"/>
          <w:sz w:val="12"/>
        </w:rPr>
        <w:t>1188</w:t>
      </w:r>
      <w:r>
        <w:rPr>
          <w:sz w:val="12"/>
        </w:rPr>
        <w:t xml:space="preserve"> </w:t>
      </w:r>
      <w:proofErr w:type="spellStart"/>
      <w:r>
        <w:rPr>
          <w:spacing w:val="-2"/>
          <w:sz w:val="12"/>
        </w:rPr>
        <w:t>Ibíd</w:t>
      </w:r>
      <w:proofErr w:type="spellEnd"/>
      <w:r>
        <w:rPr>
          <w:spacing w:val="-2"/>
          <w:sz w:val="12"/>
        </w:rPr>
        <w:t>.,</w:t>
      </w:r>
      <w:r>
        <w:rPr>
          <w:sz w:val="12"/>
        </w:rPr>
        <w:t xml:space="preserve"> </w:t>
      </w:r>
      <w:r>
        <w:rPr>
          <w:spacing w:val="-2"/>
          <w:sz w:val="12"/>
        </w:rPr>
        <w:t>párr.</w:t>
      </w:r>
      <w:r>
        <w:rPr>
          <w:sz w:val="12"/>
        </w:rPr>
        <w:t xml:space="preserve"> </w:t>
      </w:r>
      <w:r>
        <w:rPr>
          <w:spacing w:val="-2"/>
          <w:sz w:val="12"/>
        </w:rPr>
        <w:t>48.</w:t>
      </w:r>
      <w:r>
        <w:rPr>
          <w:spacing w:val="1"/>
          <w:sz w:val="12"/>
        </w:rPr>
        <w:t xml:space="preserve"> </w:t>
      </w:r>
      <w:r>
        <w:rPr>
          <w:spacing w:val="-2"/>
          <w:sz w:val="12"/>
        </w:rPr>
        <w:t>Sobre</w:t>
      </w:r>
      <w:r>
        <w:rPr>
          <w:sz w:val="12"/>
        </w:rPr>
        <w:t xml:space="preserve"> </w:t>
      </w:r>
      <w:r>
        <w:rPr>
          <w:spacing w:val="-2"/>
          <w:sz w:val="12"/>
        </w:rPr>
        <w:t>la</w:t>
      </w:r>
      <w:r>
        <w:rPr>
          <w:sz w:val="12"/>
        </w:rPr>
        <w:t xml:space="preserve"> </w:t>
      </w:r>
      <w:r>
        <w:rPr>
          <w:spacing w:val="-2"/>
          <w:sz w:val="12"/>
        </w:rPr>
        <w:t>difamación</w:t>
      </w:r>
      <w:r>
        <w:rPr>
          <w:spacing w:val="1"/>
          <w:sz w:val="12"/>
        </w:rPr>
        <w:t xml:space="preserve"> </w:t>
      </w:r>
      <w:r>
        <w:rPr>
          <w:spacing w:val="-2"/>
          <w:sz w:val="12"/>
        </w:rPr>
        <w:t>de</w:t>
      </w:r>
      <w:r>
        <w:rPr>
          <w:sz w:val="12"/>
        </w:rPr>
        <w:t xml:space="preserve"> </w:t>
      </w:r>
      <w:r>
        <w:rPr>
          <w:spacing w:val="-2"/>
          <w:sz w:val="12"/>
        </w:rPr>
        <w:t>la</w:t>
      </w:r>
      <w:r>
        <w:rPr>
          <w:sz w:val="12"/>
        </w:rPr>
        <w:t xml:space="preserve"> </w:t>
      </w:r>
      <w:r>
        <w:rPr>
          <w:spacing w:val="-2"/>
          <w:sz w:val="12"/>
        </w:rPr>
        <w:t>religión,</w:t>
      </w:r>
      <w:r>
        <w:rPr>
          <w:spacing w:val="1"/>
          <w:sz w:val="12"/>
        </w:rPr>
        <w:t xml:space="preserve"> </w:t>
      </w:r>
      <w:r>
        <w:rPr>
          <w:spacing w:val="-2"/>
          <w:sz w:val="12"/>
        </w:rPr>
        <w:t>véase</w:t>
      </w:r>
      <w:r>
        <w:rPr>
          <w:sz w:val="12"/>
        </w:rPr>
        <w:t xml:space="preserve"> </w:t>
      </w:r>
      <w:r>
        <w:rPr>
          <w:spacing w:val="-2"/>
          <w:sz w:val="12"/>
        </w:rPr>
        <w:t>A/62/280,</w:t>
      </w:r>
      <w:r>
        <w:rPr>
          <w:sz w:val="12"/>
        </w:rPr>
        <w:t xml:space="preserve"> </w:t>
      </w:r>
      <w:proofErr w:type="spellStart"/>
      <w:r>
        <w:rPr>
          <w:spacing w:val="-2"/>
          <w:sz w:val="12"/>
        </w:rPr>
        <w:t>párrs</w:t>
      </w:r>
      <w:proofErr w:type="spellEnd"/>
      <w:r>
        <w:rPr>
          <w:spacing w:val="-2"/>
          <w:sz w:val="12"/>
        </w:rPr>
        <w:t>.</w:t>
      </w:r>
      <w:r>
        <w:rPr>
          <w:spacing w:val="1"/>
          <w:sz w:val="12"/>
        </w:rPr>
        <w:t xml:space="preserve"> </w:t>
      </w:r>
      <w:r>
        <w:rPr>
          <w:spacing w:val="-2"/>
          <w:sz w:val="12"/>
        </w:rPr>
        <w:t>70–71;</w:t>
      </w:r>
      <w:r>
        <w:rPr>
          <w:sz w:val="12"/>
        </w:rPr>
        <w:t xml:space="preserve"> </w:t>
      </w:r>
      <w:r>
        <w:rPr>
          <w:spacing w:val="-2"/>
          <w:sz w:val="12"/>
        </w:rPr>
        <w:t>y</w:t>
      </w:r>
      <w:r>
        <w:rPr>
          <w:sz w:val="12"/>
        </w:rPr>
        <w:t xml:space="preserve"> </w:t>
      </w:r>
      <w:r>
        <w:rPr>
          <w:spacing w:val="-2"/>
          <w:sz w:val="12"/>
        </w:rPr>
        <w:t>A/HRC/2/3.</w:t>
      </w:r>
    </w:p>
    <w:p w14:paraId="141C126B" w14:textId="77777777" w:rsidR="0014798C" w:rsidRDefault="0014798C">
      <w:pPr>
        <w:pStyle w:val="Textoindependiente"/>
        <w:rPr>
          <w:sz w:val="18"/>
        </w:rPr>
      </w:pPr>
    </w:p>
    <w:p w14:paraId="13FB5FD3" w14:textId="77777777" w:rsidR="0014798C" w:rsidRDefault="0014798C">
      <w:pPr>
        <w:pStyle w:val="Textoindependiente"/>
        <w:rPr>
          <w:sz w:val="18"/>
        </w:rPr>
      </w:pPr>
    </w:p>
    <w:p w14:paraId="2D97EA09" w14:textId="77777777" w:rsidR="0014798C" w:rsidRDefault="0014798C">
      <w:pPr>
        <w:pStyle w:val="Textoindependiente"/>
        <w:spacing w:before="22"/>
        <w:rPr>
          <w:sz w:val="18"/>
        </w:rPr>
      </w:pPr>
    </w:p>
    <w:p w14:paraId="37FA2094" w14:textId="77777777" w:rsidR="0014798C" w:rsidRDefault="004E1F0B">
      <w:pPr>
        <w:ind w:left="473"/>
        <w:rPr>
          <w:sz w:val="18"/>
        </w:rPr>
      </w:pPr>
      <w:r>
        <w:rPr>
          <w:spacing w:val="-5"/>
          <w:w w:val="105"/>
          <w:sz w:val="18"/>
        </w:rPr>
        <w:t>184</w:t>
      </w:r>
    </w:p>
    <w:p w14:paraId="11C0A848" w14:textId="77777777" w:rsidR="0014798C" w:rsidRDefault="0014798C">
      <w:pPr>
        <w:rPr>
          <w:sz w:val="18"/>
        </w:rPr>
        <w:sectPr w:rsidR="0014798C" w:rsidSect="00F265E4">
          <w:pgSz w:w="11900" w:h="16820"/>
          <w:pgMar w:top="340" w:right="0" w:bottom="280" w:left="200" w:header="121" w:footer="0" w:gutter="0"/>
          <w:cols w:space="720"/>
        </w:sectPr>
      </w:pPr>
    </w:p>
    <w:p w14:paraId="270495D1" w14:textId="77777777" w:rsidR="0014798C" w:rsidRDefault="0014798C">
      <w:pPr>
        <w:pStyle w:val="Textoindependiente"/>
        <w:spacing w:before="64"/>
        <w:rPr>
          <w:sz w:val="13"/>
        </w:rPr>
      </w:pPr>
    </w:p>
    <w:p w14:paraId="75F44D96" w14:textId="77777777" w:rsidR="0014798C" w:rsidRDefault="004E1F0B">
      <w:pPr>
        <w:ind w:left="1111"/>
        <w:rPr>
          <w:sz w:val="13"/>
        </w:rPr>
      </w:pPr>
      <w:r>
        <w:rPr>
          <w:color w:val="0075BF"/>
          <w:sz w:val="13"/>
        </w:rPr>
        <w:t>PARTE</w:t>
      </w:r>
      <w:r>
        <w:rPr>
          <w:color w:val="0075BF"/>
          <w:spacing w:val="-1"/>
          <w:sz w:val="13"/>
        </w:rPr>
        <w:t xml:space="preserve"> </w:t>
      </w:r>
      <w:r>
        <w:rPr>
          <w:color w:val="0075BF"/>
          <w:sz w:val="13"/>
        </w:rPr>
        <w:t>QUINTA: DISCRIMINACIÓN</w:t>
      </w:r>
      <w:r>
        <w:rPr>
          <w:color w:val="0075BF"/>
          <w:spacing w:val="-2"/>
          <w:sz w:val="13"/>
        </w:rPr>
        <w:t xml:space="preserve"> </w:t>
      </w:r>
      <w:r>
        <w:rPr>
          <w:color w:val="0075BF"/>
          <w:sz w:val="13"/>
        </w:rPr>
        <w:t xml:space="preserve">Y </w:t>
      </w:r>
      <w:r>
        <w:rPr>
          <w:color w:val="0075BF"/>
          <w:spacing w:val="-2"/>
          <w:sz w:val="13"/>
        </w:rPr>
        <w:t>EXPRESIÓN</w:t>
      </w:r>
    </w:p>
    <w:p w14:paraId="38516B74" w14:textId="77777777" w:rsidR="0014798C" w:rsidRDefault="0014798C">
      <w:pPr>
        <w:pStyle w:val="Textoindependiente"/>
        <w:rPr>
          <w:sz w:val="17"/>
        </w:rPr>
      </w:pPr>
    </w:p>
    <w:p w14:paraId="269413A3" w14:textId="77777777" w:rsidR="0014798C" w:rsidRDefault="0014798C">
      <w:pPr>
        <w:pStyle w:val="Textoindependiente"/>
        <w:rPr>
          <w:sz w:val="17"/>
        </w:rPr>
      </w:pPr>
    </w:p>
    <w:p w14:paraId="19C22D88" w14:textId="77777777" w:rsidR="0014798C" w:rsidRDefault="0014798C">
      <w:pPr>
        <w:pStyle w:val="Textoindependiente"/>
        <w:rPr>
          <w:sz w:val="17"/>
        </w:rPr>
      </w:pPr>
    </w:p>
    <w:p w14:paraId="495981AA" w14:textId="77777777" w:rsidR="0014798C" w:rsidRDefault="0014798C">
      <w:pPr>
        <w:pStyle w:val="Textoindependiente"/>
        <w:spacing w:before="180"/>
        <w:rPr>
          <w:sz w:val="17"/>
        </w:rPr>
      </w:pPr>
    </w:p>
    <w:p w14:paraId="09D026A3" w14:textId="77777777" w:rsidR="0014798C" w:rsidRDefault="004E1F0B">
      <w:pPr>
        <w:spacing w:line="307" w:lineRule="auto"/>
        <w:ind w:left="1674" w:right="1626"/>
        <w:rPr>
          <w:sz w:val="17"/>
        </w:rPr>
      </w:pPr>
      <w:r>
        <w:rPr>
          <w:noProof/>
        </w:rPr>
        <w:drawing>
          <wp:anchor distT="0" distB="0" distL="0" distR="0" simplePos="0" relativeHeight="251658492" behindDoc="1" locked="0" layoutInCell="1" allowOverlap="1" wp14:anchorId="093C3152" wp14:editId="653CDA86">
            <wp:simplePos x="0" y="0"/>
            <wp:positionH relativeFrom="page">
              <wp:posOffset>790692</wp:posOffset>
            </wp:positionH>
            <wp:positionV relativeFrom="paragraph">
              <wp:posOffset>-138550</wp:posOffset>
            </wp:positionV>
            <wp:extent cx="6765807" cy="6870336"/>
            <wp:effectExtent l="0" t="0" r="0" b="0"/>
            <wp:wrapNone/>
            <wp:docPr id="368" name="Image 36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68" name="Image 368"/>
                    <pic:cNvPicPr/>
                  </pic:nvPicPr>
                  <pic:blipFill>
                    <a:blip r:embed="rId339" cstate="print"/>
                    <a:stretch>
                      <a:fillRect/>
                    </a:stretch>
                  </pic:blipFill>
                  <pic:spPr>
                    <a:xfrm>
                      <a:off x="0" y="0"/>
                      <a:ext cx="6765807" cy="6870336"/>
                    </a:xfrm>
                    <a:prstGeom prst="rect">
                      <a:avLst/>
                    </a:prstGeom>
                  </pic:spPr>
                </pic:pic>
              </a:graphicData>
            </a:graphic>
          </wp:anchor>
        </w:drawing>
      </w:r>
      <w:r>
        <w:rPr>
          <w:sz w:val="17"/>
        </w:rPr>
        <w:t>Por ejemplo, sería inadmisible que dichas leyes discriminaran a favor o en contra de una o determinadas religiones o sistemas de creencias, o de sus seguidores respecto de otros, o de los creyentes religiosos respecto</w:t>
      </w:r>
      <w:r>
        <w:rPr>
          <w:spacing w:val="-2"/>
          <w:sz w:val="17"/>
        </w:rPr>
        <w:t xml:space="preserve"> </w:t>
      </w:r>
      <w:r>
        <w:rPr>
          <w:sz w:val="17"/>
        </w:rPr>
        <w:t>de</w:t>
      </w:r>
      <w:r>
        <w:rPr>
          <w:spacing w:val="-2"/>
          <w:sz w:val="17"/>
        </w:rPr>
        <w:t xml:space="preserve"> </w:t>
      </w:r>
      <w:r>
        <w:rPr>
          <w:sz w:val="17"/>
        </w:rPr>
        <w:t>los</w:t>
      </w:r>
      <w:r>
        <w:rPr>
          <w:spacing w:val="-2"/>
          <w:sz w:val="17"/>
        </w:rPr>
        <w:t xml:space="preserve"> </w:t>
      </w:r>
      <w:r>
        <w:rPr>
          <w:sz w:val="17"/>
        </w:rPr>
        <w:t>no</w:t>
      </w:r>
      <w:r>
        <w:rPr>
          <w:spacing w:val="-2"/>
          <w:sz w:val="17"/>
        </w:rPr>
        <w:t xml:space="preserve"> </w:t>
      </w:r>
      <w:r>
        <w:rPr>
          <w:sz w:val="17"/>
        </w:rPr>
        <w:t>creyentes.</w:t>
      </w:r>
      <w:r>
        <w:rPr>
          <w:spacing w:val="-1"/>
          <w:sz w:val="17"/>
        </w:rPr>
        <w:t xml:space="preserve"> </w:t>
      </w:r>
      <w:r>
        <w:rPr>
          <w:sz w:val="17"/>
        </w:rPr>
        <w:t>Tampoco</w:t>
      </w:r>
      <w:r>
        <w:rPr>
          <w:spacing w:val="-2"/>
          <w:sz w:val="17"/>
        </w:rPr>
        <w:t xml:space="preserve"> </w:t>
      </w:r>
      <w:r>
        <w:rPr>
          <w:sz w:val="17"/>
        </w:rPr>
        <w:t>estaría</w:t>
      </w:r>
      <w:r>
        <w:rPr>
          <w:spacing w:val="-2"/>
          <w:sz w:val="17"/>
        </w:rPr>
        <w:t xml:space="preserve"> </w:t>
      </w:r>
      <w:r>
        <w:rPr>
          <w:sz w:val="17"/>
        </w:rPr>
        <w:t>permitido</w:t>
      </w:r>
      <w:r>
        <w:rPr>
          <w:spacing w:val="-2"/>
          <w:sz w:val="17"/>
        </w:rPr>
        <w:t xml:space="preserve"> </w:t>
      </w:r>
      <w:r>
        <w:rPr>
          <w:sz w:val="17"/>
        </w:rPr>
        <w:t>que</w:t>
      </w:r>
      <w:r>
        <w:rPr>
          <w:spacing w:val="-2"/>
          <w:sz w:val="17"/>
        </w:rPr>
        <w:t xml:space="preserve"> </w:t>
      </w:r>
      <w:r>
        <w:rPr>
          <w:sz w:val="17"/>
        </w:rPr>
        <w:t>tales</w:t>
      </w:r>
      <w:r>
        <w:rPr>
          <w:spacing w:val="-2"/>
          <w:sz w:val="17"/>
        </w:rPr>
        <w:t xml:space="preserve"> </w:t>
      </w:r>
      <w:r>
        <w:rPr>
          <w:sz w:val="17"/>
        </w:rPr>
        <w:t>prohibiciones</w:t>
      </w:r>
      <w:r>
        <w:rPr>
          <w:spacing w:val="-2"/>
          <w:sz w:val="17"/>
        </w:rPr>
        <w:t xml:space="preserve"> </w:t>
      </w:r>
      <w:r>
        <w:rPr>
          <w:sz w:val="17"/>
        </w:rPr>
        <w:t>se</w:t>
      </w:r>
      <w:r>
        <w:rPr>
          <w:spacing w:val="-1"/>
          <w:sz w:val="17"/>
        </w:rPr>
        <w:t xml:space="preserve"> </w:t>
      </w:r>
      <w:r>
        <w:rPr>
          <w:sz w:val="17"/>
        </w:rPr>
        <w:t>utilizaran</w:t>
      </w:r>
      <w:r>
        <w:rPr>
          <w:spacing w:val="-2"/>
          <w:sz w:val="17"/>
        </w:rPr>
        <w:t xml:space="preserve"> </w:t>
      </w:r>
      <w:r>
        <w:rPr>
          <w:sz w:val="17"/>
        </w:rPr>
        <w:t>para</w:t>
      </w:r>
      <w:r>
        <w:rPr>
          <w:spacing w:val="-1"/>
          <w:sz w:val="17"/>
        </w:rPr>
        <w:t xml:space="preserve"> </w:t>
      </w:r>
      <w:r>
        <w:rPr>
          <w:sz w:val="17"/>
        </w:rPr>
        <w:t>prevenir</w:t>
      </w:r>
      <w:r>
        <w:rPr>
          <w:spacing w:val="-2"/>
          <w:sz w:val="17"/>
        </w:rPr>
        <w:t xml:space="preserve"> </w:t>
      </w:r>
      <w:r>
        <w:rPr>
          <w:sz w:val="17"/>
        </w:rPr>
        <w:t>o castigar críticas a líderes religiosos o comentarios sobre doctrinas religiosas y principios de fe.1189</w:t>
      </w:r>
    </w:p>
    <w:p w14:paraId="1166E075" w14:textId="77777777" w:rsidR="0014798C" w:rsidRDefault="004E1F0B">
      <w:pPr>
        <w:spacing w:before="112" w:line="307" w:lineRule="auto"/>
        <w:ind w:left="1332" w:right="1513"/>
        <w:rPr>
          <w:sz w:val="17"/>
        </w:rPr>
      </w:pPr>
      <w:r>
        <w:rPr>
          <w:sz w:val="17"/>
        </w:rPr>
        <w:t>De hecho, lo central para la legitimidad de estas distinciones a los efectos del derecho de los derechos humanos es que</w:t>
      </w:r>
      <w:r>
        <w:rPr>
          <w:spacing w:val="-2"/>
          <w:sz w:val="17"/>
        </w:rPr>
        <w:t xml:space="preserve"> </w:t>
      </w:r>
      <w:r>
        <w:rPr>
          <w:sz w:val="17"/>
        </w:rPr>
        <w:t>el</w:t>
      </w:r>
      <w:r>
        <w:rPr>
          <w:spacing w:val="-2"/>
          <w:sz w:val="17"/>
        </w:rPr>
        <w:t xml:space="preserve"> </w:t>
      </w:r>
      <w:r>
        <w:rPr>
          <w:sz w:val="17"/>
        </w:rPr>
        <w:t>derecho</w:t>
      </w:r>
      <w:r>
        <w:rPr>
          <w:spacing w:val="-1"/>
          <w:sz w:val="17"/>
        </w:rPr>
        <w:t xml:space="preserve"> </w:t>
      </w:r>
      <w:r>
        <w:rPr>
          <w:sz w:val="17"/>
        </w:rPr>
        <w:t>tiene</w:t>
      </w:r>
      <w:r>
        <w:rPr>
          <w:spacing w:val="-2"/>
          <w:sz w:val="17"/>
        </w:rPr>
        <w:t xml:space="preserve"> </w:t>
      </w:r>
      <w:r>
        <w:rPr>
          <w:sz w:val="17"/>
        </w:rPr>
        <w:t>por</w:t>
      </w:r>
      <w:r>
        <w:rPr>
          <w:spacing w:val="-2"/>
          <w:sz w:val="17"/>
        </w:rPr>
        <w:t xml:space="preserve"> </w:t>
      </w:r>
      <w:r>
        <w:rPr>
          <w:sz w:val="17"/>
        </w:rPr>
        <w:t>objeto</w:t>
      </w:r>
      <w:r>
        <w:rPr>
          <w:spacing w:val="-2"/>
          <w:sz w:val="17"/>
        </w:rPr>
        <w:t xml:space="preserve"> </w:t>
      </w:r>
      <w:r>
        <w:rPr>
          <w:sz w:val="17"/>
        </w:rPr>
        <w:t>proteger</w:t>
      </w:r>
      <w:r>
        <w:rPr>
          <w:spacing w:val="-2"/>
          <w:sz w:val="17"/>
        </w:rPr>
        <w:t xml:space="preserve"> </w:t>
      </w:r>
      <w:r>
        <w:rPr>
          <w:sz w:val="17"/>
        </w:rPr>
        <w:t>a</w:t>
      </w:r>
      <w:r>
        <w:rPr>
          <w:spacing w:val="-2"/>
          <w:sz w:val="17"/>
        </w:rPr>
        <w:t xml:space="preserve"> </w:t>
      </w:r>
      <w:r>
        <w:rPr>
          <w:sz w:val="17"/>
        </w:rPr>
        <w:t>personas</w:t>
      </w:r>
      <w:r>
        <w:rPr>
          <w:spacing w:val="-2"/>
          <w:sz w:val="17"/>
        </w:rPr>
        <w:t xml:space="preserve"> </w:t>
      </w:r>
      <w:r>
        <w:rPr>
          <w:sz w:val="17"/>
        </w:rPr>
        <w:t>y</w:t>
      </w:r>
      <w:r>
        <w:rPr>
          <w:spacing w:val="-1"/>
          <w:sz w:val="17"/>
        </w:rPr>
        <w:t xml:space="preserve"> </w:t>
      </w:r>
      <w:r>
        <w:rPr>
          <w:sz w:val="17"/>
        </w:rPr>
        <w:t>comunidades</w:t>
      </w:r>
      <w:r>
        <w:rPr>
          <w:spacing w:val="-2"/>
          <w:sz w:val="17"/>
        </w:rPr>
        <w:t xml:space="preserve"> </w:t>
      </w:r>
      <w:r>
        <w:rPr>
          <w:sz w:val="17"/>
        </w:rPr>
        <w:t>de</w:t>
      </w:r>
      <w:r>
        <w:rPr>
          <w:spacing w:val="-2"/>
          <w:sz w:val="17"/>
        </w:rPr>
        <w:t xml:space="preserve"> </w:t>
      </w:r>
      <w:r>
        <w:rPr>
          <w:sz w:val="17"/>
        </w:rPr>
        <w:t>daños,</w:t>
      </w:r>
      <w:r>
        <w:rPr>
          <w:spacing w:val="-1"/>
          <w:sz w:val="17"/>
        </w:rPr>
        <w:t xml:space="preserve"> </w:t>
      </w:r>
      <w:r>
        <w:rPr>
          <w:sz w:val="17"/>
        </w:rPr>
        <w:t>pero</w:t>
      </w:r>
      <w:r>
        <w:rPr>
          <w:spacing w:val="-1"/>
          <w:sz w:val="17"/>
        </w:rPr>
        <w:t xml:space="preserve"> </w:t>
      </w:r>
      <w:r>
        <w:rPr>
          <w:sz w:val="17"/>
        </w:rPr>
        <w:t>no</w:t>
      </w:r>
      <w:r>
        <w:rPr>
          <w:spacing w:val="-2"/>
          <w:sz w:val="17"/>
        </w:rPr>
        <w:t xml:space="preserve"> </w:t>
      </w:r>
      <w:r>
        <w:rPr>
          <w:sz w:val="17"/>
        </w:rPr>
        <w:t>brinda</w:t>
      </w:r>
      <w:r>
        <w:rPr>
          <w:spacing w:val="-1"/>
          <w:sz w:val="17"/>
        </w:rPr>
        <w:t xml:space="preserve"> </w:t>
      </w:r>
      <w:r>
        <w:rPr>
          <w:sz w:val="17"/>
        </w:rPr>
        <w:t>protección</w:t>
      </w:r>
      <w:r>
        <w:rPr>
          <w:spacing w:val="-2"/>
          <w:sz w:val="17"/>
        </w:rPr>
        <w:t xml:space="preserve"> </w:t>
      </w:r>
      <w:r>
        <w:rPr>
          <w:sz w:val="17"/>
        </w:rPr>
        <w:t>contra</w:t>
      </w:r>
      <w:r>
        <w:rPr>
          <w:spacing w:val="-2"/>
          <w:sz w:val="17"/>
        </w:rPr>
        <w:t xml:space="preserve"> </w:t>
      </w:r>
      <w:r>
        <w:rPr>
          <w:sz w:val="17"/>
        </w:rPr>
        <w:t>ideas que puedan causar ofensas, y entidades como “el Estado</w:t>
      </w:r>
      <w:proofErr w:type="gramStart"/>
      <w:r>
        <w:rPr>
          <w:sz w:val="17"/>
        </w:rPr>
        <w:t>” ”</w:t>
      </w:r>
      <w:proofErr w:type="gramEnd"/>
      <w:r>
        <w:rPr>
          <w:sz w:val="17"/>
        </w:rPr>
        <w:t xml:space="preserve">, “la bandera”, “el Profeta” o el cristianismo, el islam, el judaísmo o cualquier otra religión per se no son entidades protegidas a los efectos del derecho de los derechos </w:t>
      </w:r>
      <w:proofErr w:type="gramStart"/>
      <w:r>
        <w:rPr>
          <w:sz w:val="17"/>
        </w:rPr>
        <w:t>humanos .</w:t>
      </w:r>
      <w:proofErr w:type="gramEnd"/>
      <w:r>
        <w:rPr>
          <w:sz w:val="17"/>
        </w:rPr>
        <w:t xml:space="preserve"> En la práctica, hay un crecimiento preocupante en todo el mundo en el uso de leyes contra la blasfemia o la apostasía, dirigidas en particular a minorías religiosas o de creencias. En algunos países, el castigo por blasfemia</w:t>
      </w:r>
      <w:r>
        <w:rPr>
          <w:spacing w:val="40"/>
          <w:sz w:val="17"/>
        </w:rPr>
        <w:t xml:space="preserve"> </w:t>
      </w:r>
      <w:r>
        <w:rPr>
          <w:sz w:val="17"/>
        </w:rPr>
        <w:t>o apostasía puede ser la pena de muerte.</w:t>
      </w:r>
    </w:p>
    <w:p w14:paraId="32BDA68C" w14:textId="77777777" w:rsidR="0014798C" w:rsidRDefault="0014798C" w:rsidP="007D506D">
      <w:pPr>
        <w:pStyle w:val="Textoindependiente"/>
        <w:spacing w:before="187"/>
        <w:ind w:right="1068"/>
        <w:rPr>
          <w:sz w:val="28"/>
        </w:rPr>
      </w:pPr>
    </w:p>
    <w:p w14:paraId="30AB0B9F" w14:textId="77777777" w:rsidR="0014798C" w:rsidRDefault="004E1F0B" w:rsidP="007D506D">
      <w:pPr>
        <w:pStyle w:val="Ttulo9"/>
        <w:numPr>
          <w:ilvl w:val="0"/>
          <w:numId w:val="9"/>
        </w:numPr>
        <w:tabs>
          <w:tab w:val="left" w:pos="1506"/>
          <w:tab w:val="left" w:pos="1583"/>
        </w:tabs>
        <w:spacing w:line="297" w:lineRule="auto"/>
        <w:ind w:right="1068" w:hanging="460"/>
        <w:rPr>
          <w:color w:val="0075BF"/>
        </w:rPr>
      </w:pPr>
      <w:bookmarkStart w:id="34" w:name="sesgo"/>
      <w:r>
        <w:rPr>
          <w:color w:val="0075BF"/>
        </w:rPr>
        <w:t>SANCIONES</w:t>
      </w:r>
      <w:r>
        <w:rPr>
          <w:color w:val="0075BF"/>
          <w:spacing w:val="-13"/>
        </w:rPr>
        <w:t xml:space="preserve"> </w:t>
      </w:r>
      <w:r>
        <w:rPr>
          <w:color w:val="0075BF"/>
        </w:rPr>
        <w:t>POR</w:t>
      </w:r>
      <w:r>
        <w:rPr>
          <w:color w:val="0075BF"/>
          <w:spacing w:val="-14"/>
        </w:rPr>
        <w:t xml:space="preserve"> </w:t>
      </w:r>
      <w:r>
        <w:rPr>
          <w:color w:val="0075BF"/>
        </w:rPr>
        <w:t>INCITACIÓN</w:t>
      </w:r>
      <w:r>
        <w:rPr>
          <w:color w:val="0075BF"/>
          <w:spacing w:val="-14"/>
        </w:rPr>
        <w:t xml:space="preserve"> </w:t>
      </w:r>
      <w:r>
        <w:rPr>
          <w:color w:val="0075BF"/>
        </w:rPr>
        <w:t>Y</w:t>
      </w:r>
      <w:r>
        <w:rPr>
          <w:color w:val="0075BF"/>
          <w:spacing w:val="-13"/>
        </w:rPr>
        <w:t xml:space="preserve"> </w:t>
      </w:r>
      <w:r>
        <w:rPr>
          <w:color w:val="0075BF"/>
        </w:rPr>
        <w:t>OTRAS</w:t>
      </w:r>
      <w:r>
        <w:rPr>
          <w:color w:val="0075BF"/>
          <w:spacing w:val="-13"/>
        </w:rPr>
        <w:t xml:space="preserve"> </w:t>
      </w:r>
      <w:r>
        <w:rPr>
          <w:color w:val="0075BF"/>
        </w:rPr>
        <w:t>FORMAS</w:t>
      </w:r>
      <w:r>
        <w:rPr>
          <w:color w:val="0075BF"/>
          <w:spacing w:val="-13"/>
        </w:rPr>
        <w:t xml:space="preserve"> </w:t>
      </w:r>
      <w:r>
        <w:rPr>
          <w:color w:val="0075BF"/>
        </w:rPr>
        <w:t>DE EXPRESIÓN BASADA EN ODIO O SESGO</w:t>
      </w:r>
    </w:p>
    <w:bookmarkEnd w:id="34"/>
    <w:p w14:paraId="2CE9A688" w14:textId="77777777" w:rsidR="0014798C" w:rsidRDefault="004E1F0B">
      <w:pPr>
        <w:spacing w:before="168" w:line="307" w:lineRule="auto"/>
        <w:ind w:left="1107" w:right="1378" w:hanging="1"/>
        <w:rPr>
          <w:sz w:val="17"/>
        </w:rPr>
      </w:pPr>
      <w:r>
        <w:rPr>
          <w:sz w:val="17"/>
        </w:rPr>
        <w:t>El Plan de Acción de Rabat establece que, al cumplir con su deber de prohibir el discurso de odio, los Estados deben distinguir</w:t>
      </w:r>
      <w:r>
        <w:rPr>
          <w:spacing w:val="-8"/>
          <w:sz w:val="17"/>
        </w:rPr>
        <w:t xml:space="preserve"> </w:t>
      </w:r>
      <w:r>
        <w:rPr>
          <w:sz w:val="17"/>
        </w:rPr>
        <w:t>entre</w:t>
      </w:r>
      <w:r>
        <w:rPr>
          <w:spacing w:val="-8"/>
          <w:sz w:val="17"/>
        </w:rPr>
        <w:t xml:space="preserve"> </w:t>
      </w:r>
      <w:r>
        <w:rPr>
          <w:sz w:val="17"/>
        </w:rPr>
        <w:t>(a)</w:t>
      </w:r>
      <w:r>
        <w:rPr>
          <w:spacing w:val="-8"/>
          <w:sz w:val="17"/>
        </w:rPr>
        <w:t xml:space="preserve"> </w:t>
      </w:r>
      <w:r>
        <w:rPr>
          <w:sz w:val="17"/>
        </w:rPr>
        <w:t>expresión</w:t>
      </w:r>
      <w:r>
        <w:rPr>
          <w:spacing w:val="-7"/>
          <w:sz w:val="17"/>
        </w:rPr>
        <w:t xml:space="preserve"> </w:t>
      </w:r>
      <w:r>
        <w:rPr>
          <w:sz w:val="17"/>
        </w:rPr>
        <w:t>que</w:t>
      </w:r>
      <w:r>
        <w:rPr>
          <w:spacing w:val="-8"/>
          <w:sz w:val="17"/>
        </w:rPr>
        <w:t xml:space="preserve"> </w:t>
      </w:r>
      <w:r>
        <w:rPr>
          <w:sz w:val="17"/>
        </w:rPr>
        <w:t>constituye</w:t>
      </w:r>
      <w:r>
        <w:rPr>
          <w:spacing w:val="-8"/>
          <w:sz w:val="17"/>
        </w:rPr>
        <w:t xml:space="preserve"> </w:t>
      </w:r>
      <w:r>
        <w:rPr>
          <w:sz w:val="17"/>
        </w:rPr>
        <w:t>un</w:t>
      </w:r>
      <w:r>
        <w:rPr>
          <w:spacing w:val="-8"/>
          <w:sz w:val="17"/>
        </w:rPr>
        <w:t xml:space="preserve"> </w:t>
      </w:r>
      <w:r>
        <w:rPr>
          <w:sz w:val="17"/>
        </w:rPr>
        <w:t>delito</w:t>
      </w:r>
      <w:r>
        <w:rPr>
          <w:spacing w:val="-8"/>
          <w:sz w:val="17"/>
        </w:rPr>
        <w:t xml:space="preserve"> </w:t>
      </w:r>
      <w:r>
        <w:rPr>
          <w:sz w:val="17"/>
        </w:rPr>
        <w:t>penal;</w:t>
      </w:r>
      <w:r>
        <w:rPr>
          <w:spacing w:val="-7"/>
          <w:sz w:val="17"/>
        </w:rPr>
        <w:t xml:space="preserve"> </w:t>
      </w:r>
      <w:r>
        <w:rPr>
          <w:sz w:val="17"/>
        </w:rPr>
        <w:t>(b)</w:t>
      </w:r>
      <w:r>
        <w:rPr>
          <w:spacing w:val="-8"/>
          <w:sz w:val="17"/>
        </w:rPr>
        <w:t xml:space="preserve"> </w:t>
      </w:r>
      <w:r>
        <w:rPr>
          <w:sz w:val="17"/>
        </w:rPr>
        <w:t>expresión</w:t>
      </w:r>
      <w:r>
        <w:rPr>
          <w:spacing w:val="-7"/>
          <w:sz w:val="17"/>
        </w:rPr>
        <w:t xml:space="preserve"> </w:t>
      </w:r>
      <w:r>
        <w:rPr>
          <w:sz w:val="17"/>
        </w:rPr>
        <w:t>que</w:t>
      </w:r>
      <w:r>
        <w:rPr>
          <w:spacing w:val="-8"/>
          <w:sz w:val="17"/>
        </w:rPr>
        <w:t xml:space="preserve"> </w:t>
      </w:r>
      <w:r>
        <w:rPr>
          <w:sz w:val="17"/>
        </w:rPr>
        <w:t>no</w:t>
      </w:r>
      <w:r>
        <w:rPr>
          <w:spacing w:val="-8"/>
          <w:sz w:val="17"/>
        </w:rPr>
        <w:t xml:space="preserve"> </w:t>
      </w:r>
      <w:r>
        <w:rPr>
          <w:sz w:val="17"/>
        </w:rPr>
        <w:t>es</w:t>
      </w:r>
      <w:r>
        <w:rPr>
          <w:spacing w:val="-8"/>
          <w:sz w:val="17"/>
        </w:rPr>
        <w:t xml:space="preserve"> </w:t>
      </w:r>
      <w:r>
        <w:rPr>
          <w:sz w:val="17"/>
        </w:rPr>
        <w:t>punible</w:t>
      </w:r>
      <w:r>
        <w:rPr>
          <w:spacing w:val="-8"/>
          <w:sz w:val="17"/>
        </w:rPr>
        <w:t xml:space="preserve"> </w:t>
      </w:r>
      <w:r>
        <w:rPr>
          <w:sz w:val="17"/>
        </w:rPr>
        <w:t>penalmente,</w:t>
      </w:r>
      <w:r>
        <w:rPr>
          <w:spacing w:val="-7"/>
          <w:sz w:val="17"/>
        </w:rPr>
        <w:t xml:space="preserve"> </w:t>
      </w:r>
      <w:r>
        <w:rPr>
          <w:sz w:val="17"/>
        </w:rPr>
        <w:t>pero</w:t>
      </w:r>
      <w:r>
        <w:rPr>
          <w:spacing w:val="-7"/>
          <w:sz w:val="17"/>
        </w:rPr>
        <w:t xml:space="preserve"> </w:t>
      </w:r>
      <w:r>
        <w:rPr>
          <w:sz w:val="17"/>
        </w:rPr>
        <w:t>que</w:t>
      </w:r>
      <w:r>
        <w:rPr>
          <w:spacing w:val="-8"/>
          <w:sz w:val="17"/>
        </w:rPr>
        <w:t xml:space="preserve"> </w:t>
      </w:r>
      <w:r>
        <w:rPr>
          <w:sz w:val="17"/>
        </w:rPr>
        <w:t>puede justificar</w:t>
      </w:r>
      <w:r>
        <w:rPr>
          <w:spacing w:val="-1"/>
          <w:sz w:val="17"/>
        </w:rPr>
        <w:t xml:space="preserve"> </w:t>
      </w:r>
      <w:r>
        <w:rPr>
          <w:sz w:val="17"/>
        </w:rPr>
        <w:t>una</w:t>
      </w:r>
      <w:r>
        <w:rPr>
          <w:spacing w:val="-1"/>
          <w:sz w:val="17"/>
        </w:rPr>
        <w:t xml:space="preserve"> </w:t>
      </w:r>
      <w:r>
        <w:rPr>
          <w:sz w:val="17"/>
        </w:rPr>
        <w:t>demanda civil o</w:t>
      </w:r>
      <w:r>
        <w:rPr>
          <w:spacing w:val="-1"/>
          <w:sz w:val="17"/>
        </w:rPr>
        <w:t xml:space="preserve"> </w:t>
      </w:r>
      <w:r>
        <w:rPr>
          <w:sz w:val="17"/>
        </w:rPr>
        <w:t>sanciones</w:t>
      </w:r>
      <w:r>
        <w:rPr>
          <w:spacing w:val="-1"/>
          <w:sz w:val="17"/>
        </w:rPr>
        <w:t xml:space="preserve"> </w:t>
      </w:r>
      <w:r>
        <w:rPr>
          <w:sz w:val="17"/>
        </w:rPr>
        <w:t>administrativas; y (c) expresión que</w:t>
      </w:r>
      <w:r>
        <w:rPr>
          <w:spacing w:val="-1"/>
          <w:sz w:val="17"/>
        </w:rPr>
        <w:t xml:space="preserve"> </w:t>
      </w:r>
      <w:r>
        <w:rPr>
          <w:sz w:val="17"/>
        </w:rPr>
        <w:t>no</w:t>
      </w:r>
      <w:r>
        <w:rPr>
          <w:spacing w:val="-1"/>
          <w:sz w:val="17"/>
        </w:rPr>
        <w:t xml:space="preserve"> </w:t>
      </w:r>
      <w:r>
        <w:rPr>
          <w:sz w:val="17"/>
        </w:rPr>
        <w:t>da</w:t>
      </w:r>
      <w:r>
        <w:rPr>
          <w:spacing w:val="-1"/>
          <w:sz w:val="17"/>
        </w:rPr>
        <w:t xml:space="preserve"> </w:t>
      </w:r>
      <w:r>
        <w:rPr>
          <w:sz w:val="17"/>
        </w:rPr>
        <w:t>lugar</w:t>
      </w:r>
      <w:r>
        <w:rPr>
          <w:spacing w:val="-1"/>
          <w:sz w:val="17"/>
        </w:rPr>
        <w:t xml:space="preserve"> </w:t>
      </w:r>
      <w:r>
        <w:rPr>
          <w:sz w:val="17"/>
        </w:rPr>
        <w:t>a</w:t>
      </w:r>
      <w:r>
        <w:rPr>
          <w:spacing w:val="-1"/>
          <w:sz w:val="17"/>
        </w:rPr>
        <w:t xml:space="preserve"> </w:t>
      </w:r>
      <w:r>
        <w:rPr>
          <w:sz w:val="17"/>
        </w:rPr>
        <w:t>sanciones</w:t>
      </w:r>
      <w:r>
        <w:rPr>
          <w:spacing w:val="-1"/>
          <w:sz w:val="17"/>
        </w:rPr>
        <w:t xml:space="preserve"> </w:t>
      </w:r>
      <w:r>
        <w:rPr>
          <w:sz w:val="17"/>
        </w:rPr>
        <w:t>penales, civiles</w:t>
      </w:r>
      <w:r>
        <w:rPr>
          <w:spacing w:val="-1"/>
          <w:sz w:val="17"/>
        </w:rPr>
        <w:t xml:space="preserve"> </w:t>
      </w:r>
      <w:r>
        <w:rPr>
          <w:sz w:val="17"/>
        </w:rPr>
        <w:t>o administrativas, pero que aun así suscita preocupación en términos de tolerancia, civismo y respeto por los derechos de los demás.1190</w:t>
      </w:r>
    </w:p>
    <w:p w14:paraId="1AA68C18" w14:textId="77777777" w:rsidR="0014798C" w:rsidRDefault="004E1F0B">
      <w:pPr>
        <w:spacing w:before="167" w:line="307" w:lineRule="auto"/>
        <w:ind w:left="1107" w:right="1274" w:hanging="1"/>
        <w:rPr>
          <w:sz w:val="17"/>
        </w:rPr>
      </w:pPr>
      <w:r>
        <w:rPr>
          <w:sz w:val="17"/>
        </w:rPr>
        <w:t>El Relator Especial sobre la promoción y protección del derecho a la libertad de opinión y de expresión ha señalado que el discurso</w:t>
      </w:r>
      <w:r>
        <w:rPr>
          <w:spacing w:val="-1"/>
          <w:sz w:val="17"/>
        </w:rPr>
        <w:t xml:space="preserve"> </w:t>
      </w:r>
      <w:r>
        <w:rPr>
          <w:sz w:val="17"/>
        </w:rPr>
        <w:t>de</w:t>
      </w:r>
      <w:r>
        <w:rPr>
          <w:spacing w:val="-2"/>
          <w:sz w:val="17"/>
        </w:rPr>
        <w:t xml:space="preserve"> </w:t>
      </w:r>
      <w:r>
        <w:rPr>
          <w:sz w:val="17"/>
        </w:rPr>
        <w:t>odio</w:t>
      </w:r>
      <w:r>
        <w:rPr>
          <w:spacing w:val="-2"/>
          <w:sz w:val="17"/>
        </w:rPr>
        <w:t xml:space="preserve"> </w:t>
      </w:r>
      <w:r>
        <w:rPr>
          <w:sz w:val="17"/>
        </w:rPr>
        <w:t>debe</w:t>
      </w:r>
      <w:r>
        <w:rPr>
          <w:spacing w:val="-2"/>
          <w:sz w:val="17"/>
        </w:rPr>
        <w:t xml:space="preserve"> </w:t>
      </w:r>
      <w:r>
        <w:rPr>
          <w:sz w:val="17"/>
        </w:rPr>
        <w:t>abordarse</w:t>
      </w:r>
      <w:r>
        <w:rPr>
          <w:spacing w:val="-1"/>
          <w:sz w:val="17"/>
        </w:rPr>
        <w:t xml:space="preserve"> </w:t>
      </w:r>
      <w:r>
        <w:rPr>
          <w:sz w:val="17"/>
        </w:rPr>
        <w:t>mediante</w:t>
      </w:r>
      <w:r>
        <w:rPr>
          <w:spacing w:val="-2"/>
          <w:sz w:val="17"/>
        </w:rPr>
        <w:t xml:space="preserve"> </w:t>
      </w:r>
      <w:r>
        <w:rPr>
          <w:sz w:val="17"/>
        </w:rPr>
        <w:t>una</w:t>
      </w:r>
      <w:r>
        <w:rPr>
          <w:spacing w:val="-2"/>
          <w:sz w:val="17"/>
        </w:rPr>
        <w:t xml:space="preserve"> </w:t>
      </w:r>
      <w:r>
        <w:rPr>
          <w:sz w:val="17"/>
        </w:rPr>
        <w:t>serie</w:t>
      </w:r>
      <w:r>
        <w:rPr>
          <w:spacing w:val="-1"/>
          <w:sz w:val="17"/>
        </w:rPr>
        <w:t xml:space="preserve"> </w:t>
      </w:r>
      <w:r>
        <w:rPr>
          <w:sz w:val="17"/>
        </w:rPr>
        <w:t>de</w:t>
      </w:r>
      <w:r>
        <w:rPr>
          <w:spacing w:val="-2"/>
          <w:sz w:val="17"/>
        </w:rPr>
        <w:t xml:space="preserve"> </w:t>
      </w:r>
      <w:r>
        <w:rPr>
          <w:sz w:val="17"/>
        </w:rPr>
        <w:t>medidas</w:t>
      </w:r>
      <w:r>
        <w:rPr>
          <w:spacing w:val="-2"/>
          <w:sz w:val="17"/>
        </w:rPr>
        <w:t xml:space="preserve"> </w:t>
      </w:r>
      <w:r>
        <w:rPr>
          <w:sz w:val="17"/>
        </w:rPr>
        <w:t>jurídicas</w:t>
      </w:r>
      <w:r>
        <w:rPr>
          <w:spacing w:val="-2"/>
          <w:sz w:val="17"/>
        </w:rPr>
        <w:t xml:space="preserve"> </w:t>
      </w:r>
      <w:r>
        <w:rPr>
          <w:sz w:val="17"/>
        </w:rPr>
        <w:t>y</w:t>
      </w:r>
      <w:r>
        <w:rPr>
          <w:spacing w:val="-1"/>
          <w:sz w:val="17"/>
        </w:rPr>
        <w:t xml:space="preserve"> </w:t>
      </w:r>
      <w:r>
        <w:rPr>
          <w:sz w:val="17"/>
        </w:rPr>
        <w:t>políticas,</w:t>
      </w:r>
      <w:r>
        <w:rPr>
          <w:spacing w:val="-1"/>
          <w:sz w:val="17"/>
        </w:rPr>
        <w:t xml:space="preserve"> </w:t>
      </w:r>
      <w:r>
        <w:rPr>
          <w:sz w:val="17"/>
        </w:rPr>
        <w:t>señalando</w:t>
      </w:r>
      <w:r>
        <w:rPr>
          <w:spacing w:val="-1"/>
          <w:sz w:val="17"/>
        </w:rPr>
        <w:t xml:space="preserve"> </w:t>
      </w:r>
      <w:r>
        <w:rPr>
          <w:sz w:val="17"/>
        </w:rPr>
        <w:t>que</w:t>
      </w:r>
      <w:r>
        <w:rPr>
          <w:spacing w:val="-2"/>
          <w:sz w:val="17"/>
        </w:rPr>
        <w:t xml:space="preserve"> </w:t>
      </w:r>
      <w:r>
        <w:rPr>
          <w:sz w:val="17"/>
        </w:rPr>
        <w:t>el</w:t>
      </w:r>
      <w:r>
        <w:rPr>
          <w:spacing w:val="-2"/>
          <w:sz w:val="17"/>
        </w:rPr>
        <w:t xml:space="preserve"> </w:t>
      </w:r>
      <w:r>
        <w:rPr>
          <w:sz w:val="17"/>
        </w:rPr>
        <w:t>requisito</w:t>
      </w:r>
      <w:r>
        <w:rPr>
          <w:spacing w:val="-2"/>
          <w:sz w:val="17"/>
        </w:rPr>
        <w:t xml:space="preserve"> </w:t>
      </w:r>
      <w:r>
        <w:rPr>
          <w:sz w:val="17"/>
        </w:rPr>
        <w:t>de</w:t>
      </w:r>
      <w:r>
        <w:rPr>
          <w:spacing w:val="-2"/>
          <w:sz w:val="17"/>
        </w:rPr>
        <w:t xml:space="preserve"> </w:t>
      </w:r>
      <w:r>
        <w:rPr>
          <w:sz w:val="17"/>
        </w:rPr>
        <w:t>prohibir el discurso de odio no equivale a la obligación de criminalizarlo. y que “sólo los casos graves y extremos de incitación al odio... deberían tipificarse como delito”.1191 En los casos que no alcancen este umbral, el Relator Especial recomienda</w:t>
      </w:r>
      <w:r>
        <w:rPr>
          <w:spacing w:val="40"/>
          <w:sz w:val="17"/>
        </w:rPr>
        <w:t xml:space="preserve"> </w:t>
      </w:r>
      <w:r>
        <w:rPr>
          <w:sz w:val="17"/>
        </w:rPr>
        <w:t>que los Estados adopten leyes civiles “con la aplicación de diversos recursos, incluidos recursos procesales... y recursos sustantivos”. (por ejemplo, reparaciones que sean adecuadas, rápidas y proporcionadas a la gravedad de la expresión,</w:t>
      </w:r>
    </w:p>
    <w:p w14:paraId="025942A6" w14:textId="77777777" w:rsidR="0014798C" w:rsidRDefault="004E1F0B">
      <w:pPr>
        <w:spacing w:line="307" w:lineRule="auto"/>
        <w:ind w:left="1108" w:right="1272" w:hanging="2"/>
        <w:rPr>
          <w:sz w:val="17"/>
        </w:rPr>
      </w:pPr>
      <w:r>
        <w:rPr>
          <w:sz w:val="17"/>
        </w:rPr>
        <w:t>que</w:t>
      </w:r>
      <w:r>
        <w:rPr>
          <w:spacing w:val="-2"/>
          <w:sz w:val="17"/>
        </w:rPr>
        <w:t xml:space="preserve"> </w:t>
      </w:r>
      <w:r>
        <w:rPr>
          <w:sz w:val="17"/>
        </w:rPr>
        <w:t>pueden</w:t>
      </w:r>
      <w:r>
        <w:rPr>
          <w:spacing w:val="-2"/>
          <w:sz w:val="17"/>
        </w:rPr>
        <w:t xml:space="preserve"> </w:t>
      </w:r>
      <w:r>
        <w:rPr>
          <w:sz w:val="17"/>
        </w:rPr>
        <w:t>incluir</w:t>
      </w:r>
      <w:r>
        <w:rPr>
          <w:spacing w:val="-2"/>
          <w:sz w:val="17"/>
        </w:rPr>
        <w:t xml:space="preserve"> </w:t>
      </w:r>
      <w:r>
        <w:rPr>
          <w:sz w:val="17"/>
        </w:rPr>
        <w:t>la</w:t>
      </w:r>
      <w:r>
        <w:rPr>
          <w:spacing w:val="-2"/>
          <w:sz w:val="17"/>
        </w:rPr>
        <w:t xml:space="preserve"> </w:t>
      </w:r>
      <w:r>
        <w:rPr>
          <w:sz w:val="17"/>
        </w:rPr>
        <w:t>restauración</w:t>
      </w:r>
      <w:r>
        <w:rPr>
          <w:spacing w:val="-2"/>
          <w:sz w:val="17"/>
        </w:rPr>
        <w:t xml:space="preserve"> </w:t>
      </w:r>
      <w:r>
        <w:rPr>
          <w:sz w:val="17"/>
        </w:rPr>
        <w:t>de</w:t>
      </w:r>
      <w:r>
        <w:rPr>
          <w:spacing w:val="-2"/>
          <w:sz w:val="17"/>
        </w:rPr>
        <w:t xml:space="preserve"> </w:t>
      </w:r>
      <w:r>
        <w:rPr>
          <w:sz w:val="17"/>
        </w:rPr>
        <w:t>la</w:t>
      </w:r>
      <w:r>
        <w:rPr>
          <w:spacing w:val="-2"/>
          <w:sz w:val="17"/>
        </w:rPr>
        <w:t xml:space="preserve"> </w:t>
      </w:r>
      <w:r>
        <w:rPr>
          <w:sz w:val="17"/>
        </w:rPr>
        <w:t>reputación,</w:t>
      </w:r>
      <w:r>
        <w:rPr>
          <w:spacing w:val="-1"/>
          <w:sz w:val="17"/>
        </w:rPr>
        <w:t xml:space="preserve"> </w:t>
      </w:r>
      <w:r>
        <w:rPr>
          <w:sz w:val="17"/>
        </w:rPr>
        <w:t>la</w:t>
      </w:r>
      <w:r>
        <w:rPr>
          <w:spacing w:val="-2"/>
          <w:sz w:val="17"/>
        </w:rPr>
        <w:t xml:space="preserve"> </w:t>
      </w:r>
      <w:r>
        <w:rPr>
          <w:sz w:val="17"/>
        </w:rPr>
        <w:t>prevención</w:t>
      </w:r>
      <w:r>
        <w:rPr>
          <w:spacing w:val="-1"/>
          <w:sz w:val="17"/>
        </w:rPr>
        <w:t xml:space="preserve"> </w:t>
      </w:r>
      <w:r>
        <w:rPr>
          <w:sz w:val="17"/>
        </w:rPr>
        <w:t>de</w:t>
      </w:r>
      <w:r>
        <w:rPr>
          <w:spacing w:val="-2"/>
          <w:sz w:val="17"/>
        </w:rPr>
        <w:t xml:space="preserve"> </w:t>
      </w:r>
      <w:r>
        <w:rPr>
          <w:sz w:val="17"/>
        </w:rPr>
        <w:t>la</w:t>
      </w:r>
      <w:r>
        <w:rPr>
          <w:spacing w:val="-2"/>
          <w:sz w:val="17"/>
        </w:rPr>
        <w:t xml:space="preserve"> </w:t>
      </w:r>
      <w:r>
        <w:rPr>
          <w:sz w:val="17"/>
        </w:rPr>
        <w:t>repetición</w:t>
      </w:r>
      <w:r>
        <w:rPr>
          <w:spacing w:val="-2"/>
          <w:sz w:val="17"/>
        </w:rPr>
        <w:t xml:space="preserve"> </w:t>
      </w:r>
      <w:r>
        <w:rPr>
          <w:sz w:val="17"/>
        </w:rPr>
        <w:t>y</w:t>
      </w:r>
      <w:r>
        <w:rPr>
          <w:spacing w:val="-1"/>
          <w:sz w:val="17"/>
        </w:rPr>
        <w:t xml:space="preserve"> </w:t>
      </w:r>
      <w:r>
        <w:rPr>
          <w:sz w:val="17"/>
        </w:rPr>
        <w:t>la</w:t>
      </w:r>
      <w:r>
        <w:rPr>
          <w:spacing w:val="-2"/>
          <w:sz w:val="17"/>
        </w:rPr>
        <w:t xml:space="preserve"> </w:t>
      </w:r>
      <w:r>
        <w:rPr>
          <w:sz w:val="17"/>
        </w:rPr>
        <w:t>provisión</w:t>
      </w:r>
      <w:r>
        <w:rPr>
          <w:spacing w:val="-1"/>
          <w:sz w:val="17"/>
        </w:rPr>
        <w:t xml:space="preserve"> </w:t>
      </w:r>
      <w:r>
        <w:rPr>
          <w:sz w:val="17"/>
        </w:rPr>
        <w:t>de</w:t>
      </w:r>
      <w:r>
        <w:rPr>
          <w:spacing w:val="-2"/>
          <w:sz w:val="17"/>
        </w:rPr>
        <w:t xml:space="preserve"> </w:t>
      </w:r>
      <w:r>
        <w:rPr>
          <w:sz w:val="17"/>
        </w:rPr>
        <w:t>una</w:t>
      </w:r>
      <w:r>
        <w:rPr>
          <w:spacing w:val="-2"/>
          <w:sz w:val="17"/>
        </w:rPr>
        <w:t xml:space="preserve"> </w:t>
      </w:r>
      <w:r>
        <w:rPr>
          <w:sz w:val="17"/>
        </w:rPr>
        <w:t xml:space="preserve">compensación </w:t>
      </w:r>
      <w:r>
        <w:rPr>
          <w:spacing w:val="-2"/>
          <w:sz w:val="17"/>
        </w:rPr>
        <w:t>financiera)”1192.</w:t>
      </w:r>
    </w:p>
    <w:p w14:paraId="355E8A2F" w14:textId="77777777" w:rsidR="0014798C" w:rsidRDefault="004E1F0B">
      <w:pPr>
        <w:spacing w:before="166" w:line="307" w:lineRule="auto"/>
        <w:ind w:left="1108" w:right="1288" w:firstLine="6"/>
        <w:rPr>
          <w:sz w:val="17"/>
        </w:rPr>
      </w:pPr>
      <w:r>
        <w:rPr>
          <w:noProof/>
        </w:rPr>
        <mc:AlternateContent>
          <mc:Choice Requires="wps">
            <w:drawing>
              <wp:anchor distT="0" distB="0" distL="0" distR="0" simplePos="0" relativeHeight="251658334" behindDoc="0" locked="0" layoutInCell="1" allowOverlap="1" wp14:anchorId="6A98284F" wp14:editId="6A4F5289">
                <wp:simplePos x="0" y="0"/>
                <wp:positionH relativeFrom="page">
                  <wp:posOffset>7309027</wp:posOffset>
                </wp:positionH>
                <wp:positionV relativeFrom="paragraph">
                  <wp:posOffset>36316</wp:posOffset>
                </wp:positionV>
                <wp:extent cx="85090" cy="203835"/>
                <wp:effectExtent l="0" t="0" r="0" b="0"/>
                <wp:wrapNone/>
                <wp:docPr id="369" name="Textbox 36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85090" cy="203835"/>
                        </a:xfrm>
                        <a:prstGeom prst="rect">
                          <a:avLst/>
                        </a:prstGeom>
                      </wps:spPr>
                      <wps:txbx>
                        <w:txbxContent>
                          <w:p w14:paraId="3C1FA066" w14:textId="77777777" w:rsidR="0014798C" w:rsidRDefault="004E1F0B">
                            <w:pPr>
                              <w:spacing w:before="21"/>
                              <w:ind w:left="20"/>
                              <w:rPr>
                                <w:sz w:val="8"/>
                              </w:rPr>
                            </w:pPr>
                            <w:r>
                              <w:rPr>
                                <w:color w:val="FFFFFF"/>
                                <w:spacing w:val="-27"/>
                                <w:w w:val="105"/>
                                <w:sz w:val="8"/>
                              </w:rPr>
                              <w:t>CPAINRCTOE</w:t>
                            </w:r>
                          </w:p>
                        </w:txbxContent>
                      </wps:txbx>
                      <wps:bodyPr vert="vert270" wrap="square" lIns="0" tIns="0" rIns="0" bIns="0" rtlCol="0">
                        <a:noAutofit/>
                      </wps:bodyPr>
                    </wps:wsp>
                  </a:graphicData>
                </a:graphic>
              </wp:anchor>
            </w:drawing>
          </mc:Choice>
          <mc:Fallback>
            <w:pict>
              <v:shape w14:anchorId="6A98284F" id="Textbox 369" o:spid="_x0000_s1179" type="#_x0000_t202" style="position:absolute;left:0;text-align:left;margin-left:575.5pt;margin-top:2.85pt;width:6.7pt;height:16.05pt;z-index:251658334;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" filled="f" stroked="f">
                <v:textbox style="layout-flow:vertical;mso-layout-flow-alt:bottom-to-top" inset="0,0,0,0">
                  <w:txbxContent>
                    <w:p w14:paraId="3C1FA066" w14:textId="77777777" w:rsidR="0014798C" w:rsidRDefault="004E1F0B">
                      <w:pPr>
                        <w:spacing w:before="21"/>
                        <w:ind w:left="20"/>
                        <w:rPr>
                          <w:sz w:val="8"/>
                        </w:rPr>
                      </w:pPr>
                      <w:r>
                        <w:rPr>
                          <w:color w:val="FFFFFF"/>
                          <w:spacing w:val="-27"/>
                          <w:w w:val="105"/>
                          <w:sz w:val="8"/>
                        </w:rPr>
                        <w:t>CPAINRCTOE</w:t>
                      </w:r>
                    </w:p>
                  </w:txbxContent>
                </v:textbox>
                <w10:wrap anchorx="page"/>
              </v:shape>
            </w:pict>
          </mc:Fallback>
        </mc:AlternateContent>
      </w:r>
      <w:r>
        <w:rPr>
          <w:sz w:val="17"/>
        </w:rPr>
        <w:t>Las sanciones penales son medidas de último recurso y deben aplicarse sólo en situaciones estrictamente justificables</w:t>
      </w:r>
      <w:r>
        <w:rPr>
          <w:spacing w:val="80"/>
          <w:sz w:val="17"/>
        </w:rPr>
        <w:t xml:space="preserve"> </w:t>
      </w:r>
      <w:r>
        <w:rPr>
          <w:sz w:val="17"/>
        </w:rPr>
        <w:t>que</w:t>
      </w:r>
      <w:r>
        <w:rPr>
          <w:spacing w:val="-2"/>
          <w:sz w:val="17"/>
        </w:rPr>
        <w:t xml:space="preserve"> </w:t>
      </w:r>
      <w:r>
        <w:rPr>
          <w:sz w:val="17"/>
        </w:rPr>
        <w:t>cumplan</w:t>
      </w:r>
      <w:r>
        <w:rPr>
          <w:spacing w:val="-1"/>
          <w:sz w:val="17"/>
        </w:rPr>
        <w:t xml:space="preserve"> </w:t>
      </w:r>
      <w:r>
        <w:rPr>
          <w:sz w:val="17"/>
        </w:rPr>
        <w:t>umbrales</w:t>
      </w:r>
      <w:r>
        <w:rPr>
          <w:spacing w:val="-2"/>
          <w:sz w:val="17"/>
        </w:rPr>
        <w:t xml:space="preserve"> </w:t>
      </w:r>
      <w:r>
        <w:rPr>
          <w:sz w:val="17"/>
        </w:rPr>
        <w:t>altos</w:t>
      </w:r>
      <w:r>
        <w:rPr>
          <w:spacing w:val="-2"/>
          <w:sz w:val="17"/>
        </w:rPr>
        <w:t xml:space="preserve"> </w:t>
      </w:r>
      <w:r>
        <w:rPr>
          <w:sz w:val="17"/>
        </w:rPr>
        <w:t>y</w:t>
      </w:r>
      <w:r>
        <w:rPr>
          <w:spacing w:val="-1"/>
          <w:sz w:val="17"/>
        </w:rPr>
        <w:t xml:space="preserve"> </w:t>
      </w:r>
      <w:r>
        <w:rPr>
          <w:sz w:val="17"/>
        </w:rPr>
        <w:t>sólidos,</w:t>
      </w:r>
      <w:r>
        <w:rPr>
          <w:spacing w:val="-1"/>
          <w:sz w:val="17"/>
        </w:rPr>
        <w:t xml:space="preserve"> </w:t>
      </w:r>
      <w:r>
        <w:rPr>
          <w:sz w:val="17"/>
        </w:rPr>
        <w:t>incluidos</w:t>
      </w:r>
      <w:r>
        <w:rPr>
          <w:spacing w:val="-2"/>
          <w:sz w:val="17"/>
        </w:rPr>
        <w:t xml:space="preserve"> </w:t>
      </w:r>
      <w:r>
        <w:rPr>
          <w:sz w:val="17"/>
        </w:rPr>
        <w:t>los</w:t>
      </w:r>
      <w:r>
        <w:rPr>
          <w:spacing w:val="-2"/>
          <w:sz w:val="17"/>
        </w:rPr>
        <w:t xml:space="preserve"> </w:t>
      </w:r>
      <w:r>
        <w:rPr>
          <w:sz w:val="17"/>
        </w:rPr>
        <w:t>elementos</w:t>
      </w:r>
      <w:r>
        <w:rPr>
          <w:spacing w:val="-2"/>
          <w:sz w:val="17"/>
        </w:rPr>
        <w:t xml:space="preserve"> </w:t>
      </w:r>
      <w:r>
        <w:rPr>
          <w:sz w:val="17"/>
        </w:rPr>
        <w:t>proporcionados</w:t>
      </w:r>
      <w:r>
        <w:rPr>
          <w:spacing w:val="-2"/>
          <w:sz w:val="17"/>
        </w:rPr>
        <w:t xml:space="preserve"> </w:t>
      </w:r>
      <w:r>
        <w:rPr>
          <w:sz w:val="17"/>
        </w:rPr>
        <w:t>por</w:t>
      </w:r>
      <w:r>
        <w:rPr>
          <w:spacing w:val="-2"/>
          <w:sz w:val="17"/>
        </w:rPr>
        <w:t xml:space="preserve"> </w:t>
      </w:r>
      <w:r>
        <w:rPr>
          <w:sz w:val="17"/>
        </w:rPr>
        <w:t>la</w:t>
      </w:r>
      <w:r>
        <w:rPr>
          <w:spacing w:val="-2"/>
          <w:sz w:val="17"/>
        </w:rPr>
        <w:t xml:space="preserve"> </w:t>
      </w:r>
      <w:r>
        <w:rPr>
          <w:sz w:val="17"/>
        </w:rPr>
        <w:t>prueba</w:t>
      </w:r>
      <w:r>
        <w:rPr>
          <w:spacing w:val="-1"/>
          <w:sz w:val="17"/>
        </w:rPr>
        <w:t xml:space="preserve"> </w:t>
      </w:r>
      <w:r>
        <w:rPr>
          <w:sz w:val="17"/>
        </w:rPr>
        <w:t>de</w:t>
      </w:r>
      <w:r>
        <w:rPr>
          <w:spacing w:val="-2"/>
          <w:sz w:val="17"/>
        </w:rPr>
        <w:t xml:space="preserve"> </w:t>
      </w:r>
      <w:r>
        <w:rPr>
          <w:sz w:val="17"/>
        </w:rPr>
        <w:t>umbral</w:t>
      </w:r>
      <w:r>
        <w:rPr>
          <w:spacing w:val="-1"/>
          <w:sz w:val="17"/>
        </w:rPr>
        <w:t xml:space="preserve"> </w:t>
      </w:r>
      <w:r>
        <w:rPr>
          <w:sz w:val="17"/>
        </w:rPr>
        <w:t>de</w:t>
      </w:r>
      <w:r>
        <w:rPr>
          <w:spacing w:val="-2"/>
          <w:sz w:val="17"/>
        </w:rPr>
        <w:t xml:space="preserve"> </w:t>
      </w:r>
      <w:r>
        <w:rPr>
          <w:sz w:val="17"/>
        </w:rPr>
        <w:t>Rabat:</w:t>
      </w:r>
      <w:r>
        <w:rPr>
          <w:spacing w:val="-1"/>
          <w:sz w:val="17"/>
        </w:rPr>
        <w:t xml:space="preserve"> </w:t>
      </w:r>
      <w:r>
        <w:rPr>
          <w:sz w:val="17"/>
        </w:rPr>
        <w:t>contexto, hablante, intención, contenido, alcance del discurso y posibilidad o probabilidad. de que se produzca daño.1193 Los</w:t>
      </w:r>
    </w:p>
    <w:p w14:paraId="06E8098B" w14:textId="77777777" w:rsidR="0014798C" w:rsidRDefault="004E1F0B">
      <w:pPr>
        <w:spacing w:line="307" w:lineRule="auto"/>
        <w:ind w:left="1107" w:right="1228" w:firstLine="1"/>
        <w:rPr>
          <w:sz w:val="17"/>
        </w:rPr>
      </w:pPr>
      <w:r>
        <w:rPr>
          <w:sz w:val="17"/>
        </w:rPr>
        <w:t>Estados</w:t>
      </w:r>
      <w:r>
        <w:rPr>
          <w:spacing w:val="-2"/>
          <w:sz w:val="17"/>
        </w:rPr>
        <w:t xml:space="preserve"> </w:t>
      </w:r>
      <w:r>
        <w:rPr>
          <w:sz w:val="17"/>
        </w:rPr>
        <w:t>deberían</w:t>
      </w:r>
      <w:r>
        <w:rPr>
          <w:spacing w:val="-2"/>
          <w:sz w:val="17"/>
        </w:rPr>
        <w:t xml:space="preserve"> </w:t>
      </w:r>
      <w:r>
        <w:rPr>
          <w:sz w:val="17"/>
        </w:rPr>
        <w:t>considerar</w:t>
      </w:r>
      <w:r>
        <w:rPr>
          <w:spacing w:val="-2"/>
          <w:sz w:val="17"/>
        </w:rPr>
        <w:t xml:space="preserve"> </w:t>
      </w:r>
      <w:r>
        <w:rPr>
          <w:sz w:val="17"/>
        </w:rPr>
        <w:t>sanciones</w:t>
      </w:r>
      <w:r>
        <w:rPr>
          <w:spacing w:val="-2"/>
          <w:sz w:val="17"/>
        </w:rPr>
        <w:t xml:space="preserve"> </w:t>
      </w:r>
      <w:r>
        <w:rPr>
          <w:sz w:val="17"/>
        </w:rPr>
        <w:t>civiles</w:t>
      </w:r>
      <w:r>
        <w:rPr>
          <w:spacing w:val="-2"/>
          <w:sz w:val="17"/>
        </w:rPr>
        <w:t xml:space="preserve"> </w:t>
      </w:r>
      <w:r>
        <w:rPr>
          <w:sz w:val="17"/>
        </w:rPr>
        <w:t>o</w:t>
      </w:r>
      <w:r>
        <w:rPr>
          <w:spacing w:val="-2"/>
          <w:sz w:val="17"/>
        </w:rPr>
        <w:t xml:space="preserve"> </w:t>
      </w:r>
      <w:r>
        <w:rPr>
          <w:sz w:val="17"/>
        </w:rPr>
        <w:t>administrativas,1194</w:t>
      </w:r>
      <w:r>
        <w:rPr>
          <w:spacing w:val="-2"/>
          <w:sz w:val="17"/>
        </w:rPr>
        <w:t xml:space="preserve"> </w:t>
      </w:r>
      <w:r>
        <w:rPr>
          <w:sz w:val="17"/>
        </w:rPr>
        <w:t>que</w:t>
      </w:r>
      <w:r>
        <w:rPr>
          <w:spacing w:val="-2"/>
          <w:sz w:val="17"/>
        </w:rPr>
        <w:t xml:space="preserve"> </w:t>
      </w:r>
      <w:r>
        <w:rPr>
          <w:sz w:val="17"/>
        </w:rPr>
        <w:t>deberían</w:t>
      </w:r>
      <w:r>
        <w:rPr>
          <w:spacing w:val="-2"/>
          <w:sz w:val="17"/>
        </w:rPr>
        <w:t xml:space="preserve"> </w:t>
      </w:r>
      <w:r>
        <w:rPr>
          <w:sz w:val="17"/>
        </w:rPr>
        <w:t>preferirse</w:t>
      </w:r>
      <w:r>
        <w:rPr>
          <w:spacing w:val="-2"/>
          <w:sz w:val="17"/>
        </w:rPr>
        <w:t xml:space="preserve"> </w:t>
      </w:r>
      <w:r>
        <w:rPr>
          <w:sz w:val="17"/>
        </w:rPr>
        <w:t>a</w:t>
      </w:r>
      <w:r>
        <w:rPr>
          <w:spacing w:val="-2"/>
          <w:sz w:val="17"/>
        </w:rPr>
        <w:t xml:space="preserve"> </w:t>
      </w:r>
      <w:r>
        <w:rPr>
          <w:sz w:val="17"/>
        </w:rPr>
        <w:t>las</w:t>
      </w:r>
      <w:r>
        <w:rPr>
          <w:spacing w:val="-2"/>
          <w:sz w:val="17"/>
        </w:rPr>
        <w:t xml:space="preserve"> </w:t>
      </w:r>
      <w:r>
        <w:rPr>
          <w:sz w:val="17"/>
        </w:rPr>
        <w:t>sanciones</w:t>
      </w:r>
      <w:r>
        <w:rPr>
          <w:spacing w:val="-2"/>
          <w:sz w:val="17"/>
        </w:rPr>
        <w:t xml:space="preserve"> </w:t>
      </w:r>
      <w:r>
        <w:rPr>
          <w:sz w:val="17"/>
        </w:rPr>
        <w:t>penales.1195 De hecho, el Plan de Acción de Rabat señala que: “Los Estados deberían adoptar una legislación integral contra la discriminación que incluya medidas preventivas y punitivas para combatir eficazmente combatir la incitación al odio.”1196</w:t>
      </w:r>
      <w:r>
        <w:rPr>
          <w:spacing w:val="40"/>
          <w:sz w:val="17"/>
        </w:rPr>
        <w:t xml:space="preserve"> </w:t>
      </w:r>
      <w:r>
        <w:rPr>
          <w:sz w:val="17"/>
        </w:rPr>
        <w:t>En la práctica, aunque el debate sobre las respuestas al discurso de odio a menudo gira en torno a cuestiones de criminalización, muchos casos han implicado otros tipos de sanciones o remedios, como ser disciplinado o despedido del</w:t>
      </w:r>
    </w:p>
    <w:p w14:paraId="0EC2C329" w14:textId="77777777" w:rsidR="0014798C" w:rsidRDefault="004E1F0B">
      <w:pPr>
        <w:spacing w:line="193" w:lineRule="exact"/>
        <w:ind w:left="1111" w:right="-29"/>
        <w:rPr>
          <w:sz w:val="17"/>
        </w:rPr>
      </w:pPr>
      <w:r>
        <w:rPr>
          <w:sz w:val="17"/>
        </w:rPr>
        <w:t>trabajo</w:t>
      </w:r>
      <w:r>
        <w:rPr>
          <w:spacing w:val="-6"/>
          <w:sz w:val="17"/>
        </w:rPr>
        <w:t xml:space="preserve"> </w:t>
      </w:r>
      <w:r>
        <w:rPr>
          <w:sz w:val="17"/>
        </w:rPr>
        <w:t>o</w:t>
      </w:r>
      <w:r>
        <w:rPr>
          <w:spacing w:val="-4"/>
          <w:sz w:val="17"/>
        </w:rPr>
        <w:t xml:space="preserve"> </w:t>
      </w:r>
      <w:r>
        <w:rPr>
          <w:sz w:val="17"/>
        </w:rPr>
        <w:t>disciplinado</w:t>
      </w:r>
      <w:r>
        <w:rPr>
          <w:spacing w:val="-3"/>
          <w:sz w:val="17"/>
        </w:rPr>
        <w:t xml:space="preserve"> </w:t>
      </w:r>
      <w:r>
        <w:rPr>
          <w:sz w:val="17"/>
        </w:rPr>
        <w:t>o</w:t>
      </w:r>
      <w:r>
        <w:rPr>
          <w:spacing w:val="-4"/>
          <w:sz w:val="17"/>
        </w:rPr>
        <w:t xml:space="preserve"> </w:t>
      </w:r>
      <w:r>
        <w:rPr>
          <w:sz w:val="17"/>
        </w:rPr>
        <w:t>expulsado</w:t>
      </w:r>
      <w:r>
        <w:rPr>
          <w:spacing w:val="-3"/>
          <w:sz w:val="17"/>
        </w:rPr>
        <w:t xml:space="preserve"> </w:t>
      </w:r>
      <w:r>
        <w:rPr>
          <w:sz w:val="17"/>
        </w:rPr>
        <w:t>de</w:t>
      </w:r>
      <w:r>
        <w:rPr>
          <w:spacing w:val="-4"/>
          <w:sz w:val="17"/>
        </w:rPr>
        <w:t xml:space="preserve"> </w:t>
      </w:r>
      <w:r>
        <w:rPr>
          <w:sz w:val="17"/>
        </w:rPr>
        <w:t>la</w:t>
      </w:r>
      <w:r>
        <w:rPr>
          <w:spacing w:val="-4"/>
          <w:sz w:val="17"/>
        </w:rPr>
        <w:t xml:space="preserve"> </w:t>
      </w:r>
      <w:r>
        <w:rPr>
          <w:sz w:val="17"/>
        </w:rPr>
        <w:t>escuela.</w:t>
      </w:r>
      <w:r>
        <w:rPr>
          <w:spacing w:val="-3"/>
          <w:sz w:val="17"/>
        </w:rPr>
        <w:t xml:space="preserve"> </w:t>
      </w:r>
      <w:r>
        <w:rPr>
          <w:sz w:val="17"/>
        </w:rPr>
        <w:t>,1197</w:t>
      </w:r>
      <w:r>
        <w:rPr>
          <w:spacing w:val="-4"/>
          <w:sz w:val="17"/>
        </w:rPr>
        <w:t xml:space="preserve"> </w:t>
      </w:r>
      <w:r>
        <w:rPr>
          <w:sz w:val="17"/>
        </w:rPr>
        <w:t>o</w:t>
      </w:r>
      <w:r>
        <w:rPr>
          <w:spacing w:val="-4"/>
          <w:sz w:val="17"/>
        </w:rPr>
        <w:t xml:space="preserve"> </w:t>
      </w:r>
      <w:r>
        <w:rPr>
          <w:sz w:val="17"/>
        </w:rPr>
        <w:t>recomendaciones</w:t>
      </w:r>
      <w:r>
        <w:rPr>
          <w:spacing w:val="-3"/>
          <w:sz w:val="17"/>
        </w:rPr>
        <w:t xml:space="preserve"> </w:t>
      </w:r>
      <w:r>
        <w:rPr>
          <w:sz w:val="17"/>
        </w:rPr>
        <w:t>para</w:t>
      </w:r>
      <w:r>
        <w:rPr>
          <w:spacing w:val="-3"/>
          <w:sz w:val="17"/>
        </w:rPr>
        <w:t xml:space="preserve"> </w:t>
      </w:r>
      <w:r>
        <w:rPr>
          <w:sz w:val="17"/>
        </w:rPr>
        <w:t>realizar</w:t>
      </w:r>
      <w:r>
        <w:rPr>
          <w:spacing w:val="-4"/>
          <w:sz w:val="17"/>
        </w:rPr>
        <w:t xml:space="preserve"> </w:t>
      </w:r>
      <w:r>
        <w:rPr>
          <w:sz w:val="17"/>
        </w:rPr>
        <w:t>cambios</w:t>
      </w:r>
      <w:r>
        <w:rPr>
          <w:spacing w:val="-4"/>
          <w:sz w:val="17"/>
        </w:rPr>
        <w:t xml:space="preserve"> </w:t>
      </w:r>
      <w:r>
        <w:rPr>
          <w:sz w:val="17"/>
        </w:rPr>
        <w:t>en</w:t>
      </w:r>
      <w:r>
        <w:rPr>
          <w:spacing w:val="-4"/>
          <w:sz w:val="17"/>
        </w:rPr>
        <w:t xml:space="preserve"> </w:t>
      </w:r>
      <w:r>
        <w:rPr>
          <w:sz w:val="17"/>
        </w:rPr>
        <w:t>los</w:t>
      </w:r>
      <w:r>
        <w:rPr>
          <w:spacing w:val="-4"/>
          <w:sz w:val="17"/>
        </w:rPr>
        <w:t xml:space="preserve"> </w:t>
      </w:r>
      <w:r>
        <w:rPr>
          <w:sz w:val="17"/>
        </w:rPr>
        <w:t>nombres</w:t>
      </w:r>
      <w:r>
        <w:rPr>
          <w:spacing w:val="-4"/>
          <w:sz w:val="17"/>
        </w:rPr>
        <w:t xml:space="preserve"> </w:t>
      </w:r>
      <w:r>
        <w:rPr>
          <w:sz w:val="17"/>
        </w:rPr>
        <w:t>de</w:t>
      </w:r>
      <w:r>
        <w:rPr>
          <w:spacing w:val="-4"/>
          <w:sz w:val="17"/>
        </w:rPr>
        <w:t xml:space="preserve"> </w:t>
      </w:r>
      <w:r>
        <w:rPr>
          <w:sz w:val="17"/>
        </w:rPr>
        <w:t>la</w:t>
      </w:r>
      <w:r>
        <w:rPr>
          <w:spacing w:val="-4"/>
          <w:sz w:val="17"/>
        </w:rPr>
        <w:t xml:space="preserve"> </w:t>
      </w:r>
      <w:r>
        <w:rPr>
          <w:sz w:val="17"/>
        </w:rPr>
        <w:t>infraestructura</w:t>
      </w:r>
      <w:r>
        <w:rPr>
          <w:spacing w:val="-3"/>
          <w:sz w:val="17"/>
        </w:rPr>
        <w:t xml:space="preserve"> </w:t>
      </w:r>
      <w:proofErr w:type="spellStart"/>
      <w:r>
        <w:rPr>
          <w:spacing w:val="-2"/>
          <w:sz w:val="17"/>
        </w:rPr>
        <w:t>públic</w:t>
      </w:r>
      <w:proofErr w:type="spellEnd"/>
    </w:p>
    <w:p w14:paraId="60C5AF12" w14:textId="77777777" w:rsidR="0014798C" w:rsidRDefault="0014798C">
      <w:pPr>
        <w:pStyle w:val="Textoindependiente"/>
        <w:rPr>
          <w:sz w:val="11"/>
        </w:rPr>
      </w:pPr>
    </w:p>
    <w:p w14:paraId="1ADA21B4" w14:textId="77777777" w:rsidR="0014798C" w:rsidRDefault="0014798C">
      <w:pPr>
        <w:pStyle w:val="Textoindependiente"/>
        <w:rPr>
          <w:sz w:val="11"/>
        </w:rPr>
      </w:pPr>
    </w:p>
    <w:p w14:paraId="3D4BB9E7" w14:textId="77777777" w:rsidR="0014798C" w:rsidRDefault="0014798C">
      <w:pPr>
        <w:pStyle w:val="Textoindependiente"/>
        <w:rPr>
          <w:sz w:val="11"/>
        </w:rPr>
      </w:pPr>
    </w:p>
    <w:p w14:paraId="1D279FA6" w14:textId="77777777" w:rsidR="0014798C" w:rsidRDefault="0014798C">
      <w:pPr>
        <w:pStyle w:val="Textoindependiente"/>
        <w:rPr>
          <w:sz w:val="11"/>
        </w:rPr>
      </w:pPr>
    </w:p>
    <w:p w14:paraId="142456C9" w14:textId="77777777" w:rsidR="0014798C" w:rsidRDefault="0014798C">
      <w:pPr>
        <w:pStyle w:val="Textoindependiente"/>
        <w:spacing w:before="23"/>
        <w:rPr>
          <w:sz w:val="11"/>
        </w:rPr>
      </w:pPr>
    </w:p>
    <w:p w14:paraId="51220854" w14:textId="77777777" w:rsidR="0014798C" w:rsidRDefault="004E1F0B">
      <w:pPr>
        <w:spacing w:line="340" w:lineRule="auto"/>
        <w:ind w:left="1366" w:right="1626" w:hanging="256"/>
        <w:rPr>
          <w:sz w:val="11"/>
        </w:rPr>
      </w:pPr>
      <w:r>
        <w:rPr>
          <w:sz w:val="11"/>
        </w:rPr>
        <w:t>1189</w:t>
      </w:r>
      <w:r>
        <w:rPr>
          <w:spacing w:val="-2"/>
          <w:sz w:val="11"/>
        </w:rPr>
        <w:t xml:space="preserve"> </w:t>
      </w:r>
      <w:r>
        <w:rPr>
          <w:sz w:val="11"/>
        </w:rPr>
        <w:t>Comité</w:t>
      </w:r>
      <w:r>
        <w:rPr>
          <w:spacing w:val="-2"/>
          <w:sz w:val="11"/>
        </w:rPr>
        <w:t xml:space="preserve"> </w:t>
      </w:r>
      <w:r>
        <w:rPr>
          <w:sz w:val="11"/>
        </w:rPr>
        <w:t>de</w:t>
      </w:r>
      <w:r>
        <w:rPr>
          <w:spacing w:val="-2"/>
          <w:sz w:val="11"/>
        </w:rPr>
        <w:t xml:space="preserve"> </w:t>
      </w:r>
      <w:r>
        <w:rPr>
          <w:sz w:val="11"/>
        </w:rPr>
        <w:t>Derechos</w:t>
      </w:r>
      <w:r>
        <w:rPr>
          <w:spacing w:val="-2"/>
          <w:sz w:val="11"/>
        </w:rPr>
        <w:t xml:space="preserve"> </w:t>
      </w:r>
      <w:r>
        <w:rPr>
          <w:sz w:val="11"/>
        </w:rPr>
        <w:t>Humanos,</w:t>
      </w:r>
      <w:r>
        <w:rPr>
          <w:spacing w:val="-1"/>
          <w:sz w:val="11"/>
        </w:rPr>
        <w:t xml:space="preserve"> </w:t>
      </w:r>
      <w:r>
        <w:rPr>
          <w:sz w:val="11"/>
        </w:rPr>
        <w:t>observación</w:t>
      </w:r>
      <w:r>
        <w:rPr>
          <w:spacing w:val="-2"/>
          <w:sz w:val="11"/>
        </w:rPr>
        <w:t xml:space="preserve"> </w:t>
      </w:r>
      <w:r>
        <w:rPr>
          <w:sz w:val="11"/>
        </w:rPr>
        <w:t>general</w:t>
      </w:r>
      <w:r>
        <w:rPr>
          <w:spacing w:val="-2"/>
          <w:sz w:val="11"/>
        </w:rPr>
        <w:t xml:space="preserve"> </w:t>
      </w:r>
      <w:r>
        <w:rPr>
          <w:sz w:val="11"/>
        </w:rPr>
        <w:t>núm.</w:t>
      </w:r>
      <w:r>
        <w:rPr>
          <w:spacing w:val="-1"/>
          <w:sz w:val="11"/>
        </w:rPr>
        <w:t xml:space="preserve"> </w:t>
      </w:r>
      <w:r>
        <w:rPr>
          <w:sz w:val="11"/>
        </w:rPr>
        <w:t>34</w:t>
      </w:r>
      <w:r>
        <w:rPr>
          <w:spacing w:val="-2"/>
          <w:sz w:val="11"/>
        </w:rPr>
        <w:t xml:space="preserve"> </w:t>
      </w:r>
      <w:r>
        <w:rPr>
          <w:sz w:val="11"/>
        </w:rPr>
        <w:t>(2011),</w:t>
      </w:r>
      <w:r>
        <w:rPr>
          <w:spacing w:val="-1"/>
          <w:sz w:val="11"/>
        </w:rPr>
        <w:t xml:space="preserve"> </w:t>
      </w:r>
      <w:r>
        <w:rPr>
          <w:sz w:val="11"/>
        </w:rPr>
        <w:t>párr.</w:t>
      </w:r>
      <w:r>
        <w:rPr>
          <w:spacing w:val="-1"/>
          <w:sz w:val="11"/>
        </w:rPr>
        <w:t xml:space="preserve"> </w:t>
      </w:r>
      <w:r>
        <w:rPr>
          <w:sz w:val="11"/>
        </w:rPr>
        <w:t>48.</w:t>
      </w:r>
      <w:r>
        <w:rPr>
          <w:spacing w:val="-2"/>
          <w:sz w:val="11"/>
        </w:rPr>
        <w:t xml:space="preserve"> </w:t>
      </w:r>
      <w:r>
        <w:rPr>
          <w:sz w:val="11"/>
        </w:rPr>
        <w:t>De</w:t>
      </w:r>
      <w:r>
        <w:rPr>
          <w:spacing w:val="-2"/>
          <w:sz w:val="11"/>
        </w:rPr>
        <w:t xml:space="preserve"> </w:t>
      </w:r>
      <w:r>
        <w:rPr>
          <w:sz w:val="11"/>
        </w:rPr>
        <w:t>manera</w:t>
      </w:r>
      <w:r>
        <w:rPr>
          <w:spacing w:val="-2"/>
          <w:sz w:val="11"/>
        </w:rPr>
        <w:t xml:space="preserve"> </w:t>
      </w:r>
      <w:r>
        <w:rPr>
          <w:sz w:val="11"/>
        </w:rPr>
        <w:t>similar,</w:t>
      </w:r>
      <w:r>
        <w:rPr>
          <w:spacing w:val="-1"/>
          <w:sz w:val="11"/>
        </w:rPr>
        <w:t xml:space="preserve"> </w:t>
      </w:r>
      <w:r>
        <w:rPr>
          <w:sz w:val="11"/>
        </w:rPr>
        <w:t>"el</w:t>
      </w:r>
      <w:r>
        <w:rPr>
          <w:spacing w:val="-2"/>
          <w:sz w:val="11"/>
        </w:rPr>
        <w:t xml:space="preserve"> </w:t>
      </w:r>
      <w:r>
        <w:rPr>
          <w:sz w:val="11"/>
        </w:rPr>
        <w:t>Comité</w:t>
      </w:r>
      <w:r>
        <w:rPr>
          <w:spacing w:val="-2"/>
          <w:sz w:val="11"/>
        </w:rPr>
        <w:t xml:space="preserve"> </w:t>
      </w:r>
      <w:r>
        <w:rPr>
          <w:sz w:val="11"/>
        </w:rPr>
        <w:t>observa</w:t>
      </w:r>
      <w:r>
        <w:rPr>
          <w:spacing w:val="-2"/>
          <w:sz w:val="11"/>
        </w:rPr>
        <w:t xml:space="preserve"> </w:t>
      </w:r>
      <w:r>
        <w:rPr>
          <w:sz w:val="11"/>
        </w:rPr>
        <w:t>con</w:t>
      </w:r>
      <w:r>
        <w:rPr>
          <w:spacing w:val="-2"/>
          <w:sz w:val="11"/>
        </w:rPr>
        <w:t xml:space="preserve"> </w:t>
      </w:r>
      <w:r>
        <w:rPr>
          <w:sz w:val="11"/>
        </w:rPr>
        <w:t>preocupación</w:t>
      </w:r>
      <w:r>
        <w:rPr>
          <w:spacing w:val="-2"/>
          <w:sz w:val="11"/>
        </w:rPr>
        <w:t xml:space="preserve"> </w:t>
      </w:r>
      <w:r>
        <w:rPr>
          <w:sz w:val="11"/>
        </w:rPr>
        <w:t>que</w:t>
      </w:r>
      <w:r>
        <w:rPr>
          <w:spacing w:val="-2"/>
          <w:sz w:val="11"/>
        </w:rPr>
        <w:t xml:space="preserve"> </w:t>
      </w:r>
      <w:r>
        <w:rPr>
          <w:sz w:val="11"/>
        </w:rPr>
        <w:t>las</w:t>
      </w:r>
      <w:r>
        <w:rPr>
          <w:spacing w:val="-2"/>
          <w:sz w:val="11"/>
        </w:rPr>
        <w:t xml:space="preserve"> </w:t>
      </w:r>
      <w:r>
        <w:rPr>
          <w:sz w:val="11"/>
        </w:rPr>
        <w:t>disposiciones</w:t>
      </w:r>
      <w:r>
        <w:rPr>
          <w:spacing w:val="-2"/>
          <w:sz w:val="11"/>
        </w:rPr>
        <w:t xml:space="preserve"> </w:t>
      </w:r>
      <w:r>
        <w:rPr>
          <w:sz w:val="11"/>
        </w:rPr>
        <w:t>arcaicas</w:t>
      </w:r>
      <w:r>
        <w:rPr>
          <w:spacing w:val="-2"/>
          <w:sz w:val="11"/>
        </w:rPr>
        <w:t xml:space="preserve"> </w:t>
      </w:r>
      <w:r>
        <w:rPr>
          <w:sz w:val="11"/>
        </w:rPr>
        <w:t>y</w:t>
      </w:r>
      <w:r>
        <w:rPr>
          <w:spacing w:val="40"/>
          <w:sz w:val="11"/>
        </w:rPr>
        <w:t xml:space="preserve"> </w:t>
      </w:r>
      <w:r>
        <w:rPr>
          <w:sz w:val="11"/>
        </w:rPr>
        <w:t>discriminatorias</w:t>
      </w:r>
      <w:r>
        <w:rPr>
          <w:spacing w:val="-3"/>
          <w:sz w:val="11"/>
        </w:rPr>
        <w:t xml:space="preserve"> </w:t>
      </w:r>
      <w:r>
        <w:rPr>
          <w:sz w:val="11"/>
        </w:rPr>
        <w:t>del</w:t>
      </w:r>
      <w:r>
        <w:rPr>
          <w:spacing w:val="-3"/>
          <w:sz w:val="11"/>
        </w:rPr>
        <w:t xml:space="preserve"> </w:t>
      </w:r>
      <w:r>
        <w:rPr>
          <w:sz w:val="11"/>
        </w:rPr>
        <w:t>Código</w:t>
      </w:r>
      <w:r>
        <w:rPr>
          <w:spacing w:val="-3"/>
          <w:sz w:val="11"/>
        </w:rPr>
        <w:t xml:space="preserve"> </w:t>
      </w:r>
      <w:r>
        <w:rPr>
          <w:sz w:val="11"/>
        </w:rPr>
        <w:t>Penal</w:t>
      </w:r>
      <w:r>
        <w:rPr>
          <w:spacing w:val="-3"/>
          <w:sz w:val="11"/>
        </w:rPr>
        <w:t xml:space="preserve"> </w:t>
      </w:r>
      <w:r>
        <w:rPr>
          <w:sz w:val="11"/>
        </w:rPr>
        <w:t>que</w:t>
      </w:r>
      <w:r>
        <w:rPr>
          <w:spacing w:val="-3"/>
          <w:sz w:val="11"/>
        </w:rPr>
        <w:t xml:space="preserve"> </w:t>
      </w:r>
      <w:r>
        <w:rPr>
          <w:sz w:val="11"/>
        </w:rPr>
        <w:t>tipifican</w:t>
      </w:r>
      <w:r>
        <w:rPr>
          <w:spacing w:val="-3"/>
          <w:sz w:val="11"/>
        </w:rPr>
        <w:t xml:space="preserve"> </w:t>
      </w:r>
      <w:r>
        <w:rPr>
          <w:sz w:val="11"/>
        </w:rPr>
        <w:t>la</w:t>
      </w:r>
      <w:r>
        <w:rPr>
          <w:spacing w:val="-3"/>
          <w:sz w:val="11"/>
        </w:rPr>
        <w:t xml:space="preserve"> </w:t>
      </w:r>
      <w:r>
        <w:rPr>
          <w:sz w:val="11"/>
        </w:rPr>
        <w:t>blasfemia</w:t>
      </w:r>
      <w:r>
        <w:rPr>
          <w:spacing w:val="-3"/>
          <w:sz w:val="11"/>
        </w:rPr>
        <w:t xml:space="preserve"> </w:t>
      </w:r>
      <w:r>
        <w:rPr>
          <w:sz w:val="11"/>
        </w:rPr>
        <w:t>como</w:t>
      </w:r>
      <w:r>
        <w:rPr>
          <w:spacing w:val="-3"/>
          <w:sz w:val="11"/>
        </w:rPr>
        <w:t xml:space="preserve"> </w:t>
      </w:r>
      <w:r>
        <w:rPr>
          <w:sz w:val="11"/>
        </w:rPr>
        <w:t>un</w:t>
      </w:r>
      <w:r>
        <w:rPr>
          <w:spacing w:val="-3"/>
          <w:sz w:val="11"/>
        </w:rPr>
        <w:t xml:space="preserve"> </w:t>
      </w:r>
      <w:r>
        <w:rPr>
          <w:sz w:val="11"/>
        </w:rPr>
        <w:t>delito</w:t>
      </w:r>
      <w:r>
        <w:rPr>
          <w:spacing w:val="-3"/>
          <w:sz w:val="11"/>
        </w:rPr>
        <w:t xml:space="preserve"> </w:t>
      </w:r>
      <w:r>
        <w:rPr>
          <w:sz w:val="11"/>
        </w:rPr>
        <w:t>menor</w:t>
      </w:r>
      <w:r>
        <w:rPr>
          <w:spacing w:val="-3"/>
          <w:sz w:val="11"/>
        </w:rPr>
        <w:t xml:space="preserve"> </w:t>
      </w:r>
      <w:r>
        <w:rPr>
          <w:sz w:val="11"/>
        </w:rPr>
        <w:t>siguen</w:t>
      </w:r>
      <w:r>
        <w:rPr>
          <w:spacing w:val="-3"/>
          <w:sz w:val="11"/>
        </w:rPr>
        <w:t xml:space="preserve"> </w:t>
      </w:r>
      <w:r>
        <w:rPr>
          <w:sz w:val="11"/>
        </w:rPr>
        <w:t>vigentes</w:t>
      </w:r>
      <w:r>
        <w:rPr>
          <w:spacing w:val="-3"/>
          <w:sz w:val="11"/>
        </w:rPr>
        <w:t xml:space="preserve"> </w:t>
      </w:r>
      <w:r>
        <w:rPr>
          <w:sz w:val="11"/>
        </w:rPr>
        <w:t>en</w:t>
      </w:r>
      <w:r>
        <w:rPr>
          <w:spacing w:val="-3"/>
          <w:sz w:val="11"/>
        </w:rPr>
        <w:t xml:space="preserve"> </w:t>
      </w:r>
      <w:r>
        <w:rPr>
          <w:sz w:val="11"/>
        </w:rPr>
        <w:t>la</w:t>
      </w:r>
      <w:r>
        <w:rPr>
          <w:spacing w:val="-3"/>
          <w:sz w:val="11"/>
        </w:rPr>
        <w:t xml:space="preserve"> </w:t>
      </w:r>
      <w:r>
        <w:rPr>
          <w:sz w:val="11"/>
        </w:rPr>
        <w:t>Isla</w:t>
      </w:r>
      <w:r>
        <w:rPr>
          <w:spacing w:val="-3"/>
          <w:sz w:val="11"/>
        </w:rPr>
        <w:t xml:space="preserve"> </w:t>
      </w:r>
      <w:r>
        <w:rPr>
          <w:sz w:val="11"/>
        </w:rPr>
        <w:t>de</w:t>
      </w:r>
      <w:r>
        <w:rPr>
          <w:spacing w:val="-3"/>
          <w:sz w:val="11"/>
        </w:rPr>
        <w:t xml:space="preserve"> </w:t>
      </w:r>
      <w:r>
        <w:rPr>
          <w:sz w:val="11"/>
        </w:rPr>
        <w:t>Man,</w:t>
      </w:r>
      <w:r>
        <w:rPr>
          <w:spacing w:val="-2"/>
          <w:sz w:val="11"/>
        </w:rPr>
        <w:t xml:space="preserve"> </w:t>
      </w:r>
      <w:r>
        <w:rPr>
          <w:sz w:val="11"/>
        </w:rPr>
        <w:t>y</w:t>
      </w:r>
      <w:r>
        <w:rPr>
          <w:spacing w:val="-3"/>
          <w:sz w:val="11"/>
        </w:rPr>
        <w:t xml:space="preserve"> </w:t>
      </w:r>
      <w:r>
        <w:rPr>
          <w:sz w:val="11"/>
        </w:rPr>
        <w:t>recomienda</w:t>
      </w:r>
      <w:r>
        <w:rPr>
          <w:spacing w:val="-3"/>
          <w:sz w:val="11"/>
        </w:rPr>
        <w:t xml:space="preserve"> </w:t>
      </w:r>
      <w:r>
        <w:rPr>
          <w:sz w:val="11"/>
        </w:rPr>
        <w:t>que</w:t>
      </w:r>
      <w:r>
        <w:rPr>
          <w:spacing w:val="-3"/>
          <w:sz w:val="11"/>
        </w:rPr>
        <w:t xml:space="preserve"> </w:t>
      </w:r>
      <w:r>
        <w:rPr>
          <w:sz w:val="11"/>
        </w:rPr>
        <w:t>sean</w:t>
      </w:r>
      <w:r>
        <w:rPr>
          <w:spacing w:val="-3"/>
          <w:sz w:val="11"/>
        </w:rPr>
        <w:t xml:space="preserve"> </w:t>
      </w:r>
      <w:r>
        <w:rPr>
          <w:sz w:val="11"/>
        </w:rPr>
        <w:t>derogadas".</w:t>
      </w:r>
      <w:r>
        <w:rPr>
          <w:spacing w:val="-2"/>
          <w:sz w:val="11"/>
        </w:rPr>
        <w:t xml:space="preserve"> </w:t>
      </w:r>
      <w:r>
        <w:rPr>
          <w:sz w:val="11"/>
        </w:rPr>
        <w:t>Véase</w:t>
      </w:r>
      <w:r>
        <w:rPr>
          <w:spacing w:val="-3"/>
          <w:sz w:val="11"/>
        </w:rPr>
        <w:t xml:space="preserve"> </w:t>
      </w:r>
      <w:r>
        <w:rPr>
          <w:sz w:val="11"/>
        </w:rPr>
        <w:t>CCPR/C/79/</w:t>
      </w:r>
      <w:r>
        <w:rPr>
          <w:spacing w:val="40"/>
          <w:sz w:val="11"/>
        </w:rPr>
        <w:t xml:space="preserve"> </w:t>
      </w:r>
      <w:r>
        <w:rPr>
          <w:sz w:val="11"/>
        </w:rPr>
        <w:t>Add.119, párr. 15.</w:t>
      </w:r>
    </w:p>
    <w:p w14:paraId="21A657E8" w14:textId="77777777" w:rsidR="0014798C" w:rsidRDefault="004E1F0B">
      <w:pPr>
        <w:spacing w:before="57"/>
        <w:ind w:left="1111"/>
        <w:rPr>
          <w:sz w:val="11"/>
        </w:rPr>
      </w:pPr>
      <w:r>
        <w:rPr>
          <w:sz w:val="11"/>
        </w:rPr>
        <w:t>1190</w:t>
      </w:r>
      <w:r>
        <w:rPr>
          <w:spacing w:val="-5"/>
          <w:sz w:val="11"/>
        </w:rPr>
        <w:t xml:space="preserve"> </w:t>
      </w:r>
      <w:r>
        <w:rPr>
          <w:sz w:val="11"/>
        </w:rPr>
        <w:t>Plan</w:t>
      </w:r>
      <w:r>
        <w:rPr>
          <w:spacing w:val="-4"/>
          <w:sz w:val="11"/>
        </w:rPr>
        <w:t xml:space="preserve"> </w:t>
      </w:r>
      <w:r>
        <w:rPr>
          <w:sz w:val="11"/>
        </w:rPr>
        <w:t>de</w:t>
      </w:r>
      <w:r>
        <w:rPr>
          <w:spacing w:val="-4"/>
          <w:sz w:val="11"/>
        </w:rPr>
        <w:t xml:space="preserve"> </w:t>
      </w:r>
      <w:r>
        <w:rPr>
          <w:sz w:val="11"/>
        </w:rPr>
        <w:t>Acción</w:t>
      </w:r>
      <w:r>
        <w:rPr>
          <w:spacing w:val="-4"/>
          <w:sz w:val="11"/>
        </w:rPr>
        <w:t xml:space="preserve"> </w:t>
      </w:r>
      <w:r>
        <w:rPr>
          <w:sz w:val="11"/>
        </w:rPr>
        <w:t>de</w:t>
      </w:r>
      <w:r>
        <w:rPr>
          <w:spacing w:val="-4"/>
          <w:sz w:val="11"/>
        </w:rPr>
        <w:t xml:space="preserve"> </w:t>
      </w:r>
      <w:r>
        <w:rPr>
          <w:sz w:val="11"/>
        </w:rPr>
        <w:t>Rabat,</w:t>
      </w:r>
      <w:r>
        <w:rPr>
          <w:spacing w:val="-3"/>
          <w:sz w:val="11"/>
        </w:rPr>
        <w:t xml:space="preserve"> </w:t>
      </w:r>
      <w:r>
        <w:rPr>
          <w:sz w:val="11"/>
        </w:rPr>
        <w:t>párr.</w:t>
      </w:r>
      <w:r>
        <w:rPr>
          <w:spacing w:val="-3"/>
          <w:sz w:val="11"/>
        </w:rPr>
        <w:t xml:space="preserve"> </w:t>
      </w:r>
      <w:r>
        <w:rPr>
          <w:spacing w:val="-5"/>
          <w:sz w:val="11"/>
        </w:rPr>
        <w:t>20.</w:t>
      </w:r>
    </w:p>
    <w:p w14:paraId="05872D83" w14:textId="77777777" w:rsidR="0014798C" w:rsidRDefault="004E1F0B">
      <w:pPr>
        <w:spacing w:before="86" w:line="288" w:lineRule="auto"/>
        <w:ind w:left="1371" w:right="1166" w:hanging="261"/>
        <w:rPr>
          <w:sz w:val="13"/>
        </w:rPr>
      </w:pPr>
      <w:r>
        <w:rPr>
          <w:w w:val="105"/>
          <w:sz w:val="13"/>
          <w:vertAlign w:val="superscript"/>
        </w:rPr>
        <w:t>1191</w:t>
      </w:r>
      <w:r>
        <w:rPr>
          <w:spacing w:val="18"/>
          <w:w w:val="105"/>
          <w:sz w:val="13"/>
        </w:rPr>
        <w:t xml:space="preserve"> </w:t>
      </w:r>
      <w:r>
        <w:rPr>
          <w:w w:val="105"/>
          <w:sz w:val="13"/>
        </w:rPr>
        <w:t>A/67/357,</w:t>
      </w:r>
      <w:r>
        <w:rPr>
          <w:spacing w:val="-7"/>
          <w:w w:val="105"/>
          <w:sz w:val="13"/>
        </w:rPr>
        <w:t xml:space="preserve"> </w:t>
      </w:r>
      <w:r>
        <w:rPr>
          <w:w w:val="105"/>
          <w:sz w:val="13"/>
        </w:rPr>
        <w:t>párr.</w:t>
      </w:r>
      <w:r>
        <w:rPr>
          <w:spacing w:val="-7"/>
          <w:w w:val="105"/>
          <w:sz w:val="13"/>
        </w:rPr>
        <w:t xml:space="preserve"> </w:t>
      </w:r>
      <w:r>
        <w:rPr>
          <w:w w:val="105"/>
          <w:sz w:val="13"/>
        </w:rPr>
        <w:t>47.</w:t>
      </w:r>
      <w:r>
        <w:rPr>
          <w:spacing w:val="-7"/>
          <w:w w:val="105"/>
          <w:sz w:val="13"/>
        </w:rPr>
        <w:t xml:space="preserve"> </w:t>
      </w:r>
      <w:r>
        <w:rPr>
          <w:w w:val="105"/>
          <w:sz w:val="13"/>
        </w:rPr>
        <w:t>El</w:t>
      </w:r>
      <w:r>
        <w:rPr>
          <w:spacing w:val="-7"/>
          <w:w w:val="105"/>
          <w:sz w:val="13"/>
        </w:rPr>
        <w:t xml:space="preserve"> </w:t>
      </w:r>
      <w:r>
        <w:rPr>
          <w:w w:val="105"/>
          <w:sz w:val="13"/>
        </w:rPr>
        <w:t>Comité</w:t>
      </w:r>
      <w:r>
        <w:rPr>
          <w:spacing w:val="-7"/>
          <w:w w:val="105"/>
          <w:sz w:val="13"/>
        </w:rPr>
        <w:t xml:space="preserve"> </w:t>
      </w:r>
      <w:r>
        <w:rPr>
          <w:w w:val="105"/>
          <w:sz w:val="13"/>
        </w:rPr>
        <w:t>Especial</w:t>
      </w:r>
      <w:r>
        <w:rPr>
          <w:spacing w:val="-7"/>
          <w:w w:val="105"/>
          <w:sz w:val="13"/>
        </w:rPr>
        <w:t xml:space="preserve"> </w:t>
      </w:r>
      <w:r>
        <w:rPr>
          <w:w w:val="105"/>
          <w:sz w:val="13"/>
        </w:rPr>
        <w:t>para</w:t>
      </w:r>
      <w:r>
        <w:rPr>
          <w:spacing w:val="-7"/>
          <w:w w:val="105"/>
          <w:sz w:val="13"/>
        </w:rPr>
        <w:t xml:space="preserve"> </w:t>
      </w:r>
      <w:r>
        <w:rPr>
          <w:w w:val="105"/>
          <w:sz w:val="13"/>
        </w:rPr>
        <w:t>la</w:t>
      </w:r>
      <w:r>
        <w:rPr>
          <w:spacing w:val="-7"/>
          <w:w w:val="105"/>
          <w:sz w:val="13"/>
        </w:rPr>
        <w:t xml:space="preserve"> </w:t>
      </w:r>
      <w:r>
        <w:rPr>
          <w:w w:val="105"/>
          <w:sz w:val="13"/>
        </w:rPr>
        <w:t>Elaboración</w:t>
      </w:r>
      <w:r>
        <w:rPr>
          <w:spacing w:val="-7"/>
          <w:w w:val="105"/>
          <w:sz w:val="13"/>
        </w:rPr>
        <w:t xml:space="preserve"> </w:t>
      </w:r>
      <w:r>
        <w:rPr>
          <w:w w:val="105"/>
          <w:sz w:val="13"/>
        </w:rPr>
        <w:t>de</w:t>
      </w:r>
      <w:r>
        <w:rPr>
          <w:spacing w:val="-7"/>
          <w:w w:val="105"/>
          <w:sz w:val="13"/>
        </w:rPr>
        <w:t xml:space="preserve"> </w:t>
      </w:r>
      <w:r>
        <w:rPr>
          <w:w w:val="105"/>
          <w:sz w:val="13"/>
        </w:rPr>
        <w:t>Normas</w:t>
      </w:r>
      <w:r>
        <w:rPr>
          <w:spacing w:val="-7"/>
          <w:w w:val="105"/>
          <w:sz w:val="13"/>
        </w:rPr>
        <w:t xml:space="preserve"> </w:t>
      </w:r>
      <w:r>
        <w:rPr>
          <w:w w:val="105"/>
          <w:sz w:val="13"/>
        </w:rPr>
        <w:t>Complementarias</w:t>
      </w:r>
      <w:r>
        <w:rPr>
          <w:spacing w:val="-7"/>
          <w:w w:val="105"/>
          <w:sz w:val="13"/>
        </w:rPr>
        <w:t xml:space="preserve"> </w:t>
      </w:r>
      <w:r>
        <w:rPr>
          <w:w w:val="105"/>
          <w:sz w:val="13"/>
        </w:rPr>
        <w:t>está</w:t>
      </w:r>
      <w:r>
        <w:rPr>
          <w:spacing w:val="-7"/>
          <w:w w:val="105"/>
          <w:sz w:val="13"/>
        </w:rPr>
        <w:t xml:space="preserve"> </w:t>
      </w:r>
      <w:r>
        <w:rPr>
          <w:w w:val="105"/>
          <w:sz w:val="13"/>
        </w:rPr>
        <w:t>trabajando</w:t>
      </w:r>
      <w:r>
        <w:rPr>
          <w:spacing w:val="-7"/>
          <w:w w:val="105"/>
          <w:sz w:val="13"/>
        </w:rPr>
        <w:t xml:space="preserve"> </w:t>
      </w:r>
      <w:r>
        <w:rPr>
          <w:w w:val="105"/>
          <w:sz w:val="13"/>
        </w:rPr>
        <w:t>en</w:t>
      </w:r>
      <w:r>
        <w:rPr>
          <w:spacing w:val="-7"/>
          <w:w w:val="105"/>
          <w:sz w:val="13"/>
        </w:rPr>
        <w:t xml:space="preserve"> </w:t>
      </w:r>
      <w:r>
        <w:rPr>
          <w:w w:val="105"/>
          <w:sz w:val="13"/>
        </w:rPr>
        <w:t>un</w:t>
      </w:r>
      <w:r>
        <w:rPr>
          <w:spacing w:val="-7"/>
          <w:w w:val="105"/>
          <w:sz w:val="13"/>
        </w:rPr>
        <w:t xml:space="preserve"> </w:t>
      </w:r>
      <w:r>
        <w:rPr>
          <w:w w:val="105"/>
          <w:sz w:val="13"/>
        </w:rPr>
        <w:t>protocolo</w:t>
      </w:r>
      <w:r>
        <w:rPr>
          <w:spacing w:val="-7"/>
          <w:w w:val="105"/>
          <w:sz w:val="13"/>
        </w:rPr>
        <w:t xml:space="preserve"> </w:t>
      </w:r>
      <w:r>
        <w:rPr>
          <w:w w:val="105"/>
          <w:sz w:val="13"/>
        </w:rPr>
        <w:t>de</w:t>
      </w:r>
      <w:r>
        <w:rPr>
          <w:spacing w:val="-7"/>
          <w:w w:val="105"/>
          <w:sz w:val="13"/>
        </w:rPr>
        <w:t xml:space="preserve"> </w:t>
      </w:r>
      <w:r>
        <w:rPr>
          <w:w w:val="105"/>
          <w:sz w:val="13"/>
        </w:rPr>
        <w:t>la</w:t>
      </w:r>
      <w:r>
        <w:rPr>
          <w:spacing w:val="-7"/>
          <w:w w:val="105"/>
          <w:sz w:val="13"/>
        </w:rPr>
        <w:t xml:space="preserve"> </w:t>
      </w:r>
      <w:r>
        <w:rPr>
          <w:w w:val="105"/>
          <w:sz w:val="13"/>
        </w:rPr>
        <w:t>Convención</w:t>
      </w:r>
      <w:r>
        <w:rPr>
          <w:spacing w:val="-7"/>
          <w:w w:val="105"/>
          <w:sz w:val="13"/>
        </w:rPr>
        <w:t xml:space="preserve"> </w:t>
      </w:r>
      <w:r>
        <w:rPr>
          <w:w w:val="105"/>
          <w:sz w:val="13"/>
        </w:rPr>
        <w:t>Internacional</w:t>
      </w:r>
      <w:r>
        <w:rPr>
          <w:spacing w:val="40"/>
          <w:w w:val="105"/>
          <w:sz w:val="13"/>
        </w:rPr>
        <w:t xml:space="preserve"> </w:t>
      </w:r>
      <w:r>
        <w:rPr>
          <w:w w:val="105"/>
          <w:sz w:val="13"/>
        </w:rPr>
        <w:t>sobre</w:t>
      </w:r>
      <w:r>
        <w:rPr>
          <w:spacing w:val="-3"/>
          <w:w w:val="105"/>
          <w:sz w:val="13"/>
        </w:rPr>
        <w:t xml:space="preserve"> </w:t>
      </w:r>
      <w:r>
        <w:rPr>
          <w:w w:val="105"/>
          <w:sz w:val="13"/>
        </w:rPr>
        <w:t>la</w:t>
      </w:r>
      <w:r>
        <w:rPr>
          <w:spacing w:val="-3"/>
          <w:w w:val="105"/>
          <w:sz w:val="13"/>
        </w:rPr>
        <w:t xml:space="preserve"> </w:t>
      </w:r>
      <w:r>
        <w:rPr>
          <w:w w:val="105"/>
          <w:sz w:val="13"/>
        </w:rPr>
        <w:t>Eliminación</w:t>
      </w:r>
      <w:r>
        <w:rPr>
          <w:spacing w:val="-3"/>
          <w:w w:val="105"/>
          <w:sz w:val="13"/>
        </w:rPr>
        <w:t xml:space="preserve"> </w:t>
      </w:r>
      <w:r>
        <w:rPr>
          <w:w w:val="105"/>
          <w:sz w:val="13"/>
        </w:rPr>
        <w:t>de</w:t>
      </w:r>
      <w:r>
        <w:rPr>
          <w:spacing w:val="-3"/>
          <w:w w:val="105"/>
          <w:sz w:val="13"/>
        </w:rPr>
        <w:t xml:space="preserve"> </w:t>
      </w:r>
      <w:r>
        <w:rPr>
          <w:w w:val="105"/>
          <w:sz w:val="13"/>
        </w:rPr>
        <w:t>todas</w:t>
      </w:r>
      <w:r>
        <w:rPr>
          <w:spacing w:val="-3"/>
          <w:w w:val="105"/>
          <w:sz w:val="13"/>
        </w:rPr>
        <w:t xml:space="preserve"> </w:t>
      </w:r>
      <w:r>
        <w:rPr>
          <w:w w:val="105"/>
          <w:sz w:val="13"/>
        </w:rPr>
        <w:t>las</w:t>
      </w:r>
      <w:r>
        <w:rPr>
          <w:spacing w:val="-3"/>
          <w:w w:val="105"/>
          <w:sz w:val="13"/>
        </w:rPr>
        <w:t xml:space="preserve"> </w:t>
      </w:r>
      <w:r>
        <w:rPr>
          <w:w w:val="105"/>
          <w:sz w:val="13"/>
        </w:rPr>
        <w:t>Formas</w:t>
      </w:r>
      <w:r>
        <w:rPr>
          <w:spacing w:val="-3"/>
          <w:w w:val="105"/>
          <w:sz w:val="13"/>
        </w:rPr>
        <w:t xml:space="preserve"> </w:t>
      </w:r>
      <w:r>
        <w:rPr>
          <w:w w:val="105"/>
          <w:sz w:val="13"/>
        </w:rPr>
        <w:t>de</w:t>
      </w:r>
      <w:r>
        <w:rPr>
          <w:spacing w:val="-3"/>
          <w:w w:val="105"/>
          <w:sz w:val="13"/>
        </w:rPr>
        <w:t xml:space="preserve"> </w:t>
      </w:r>
      <w:r>
        <w:rPr>
          <w:w w:val="105"/>
          <w:sz w:val="13"/>
        </w:rPr>
        <w:t>Discriminación</w:t>
      </w:r>
      <w:r>
        <w:rPr>
          <w:spacing w:val="-3"/>
          <w:w w:val="105"/>
          <w:sz w:val="13"/>
        </w:rPr>
        <w:t xml:space="preserve"> </w:t>
      </w:r>
      <w:r>
        <w:rPr>
          <w:w w:val="105"/>
          <w:sz w:val="13"/>
        </w:rPr>
        <w:t>Racial</w:t>
      </w:r>
      <w:r>
        <w:rPr>
          <w:spacing w:val="-3"/>
          <w:w w:val="105"/>
          <w:sz w:val="13"/>
        </w:rPr>
        <w:t xml:space="preserve"> </w:t>
      </w:r>
      <w:r>
        <w:rPr>
          <w:w w:val="105"/>
          <w:sz w:val="13"/>
        </w:rPr>
        <w:t>para</w:t>
      </w:r>
      <w:r>
        <w:rPr>
          <w:spacing w:val="-3"/>
          <w:w w:val="105"/>
          <w:sz w:val="13"/>
        </w:rPr>
        <w:t xml:space="preserve"> </w:t>
      </w:r>
      <w:r>
        <w:rPr>
          <w:w w:val="105"/>
          <w:sz w:val="13"/>
        </w:rPr>
        <w:t>asegurar</w:t>
      </w:r>
      <w:r>
        <w:rPr>
          <w:spacing w:val="-3"/>
          <w:w w:val="105"/>
          <w:sz w:val="13"/>
        </w:rPr>
        <w:t xml:space="preserve"> </w:t>
      </w:r>
      <w:r>
        <w:rPr>
          <w:w w:val="105"/>
          <w:sz w:val="13"/>
        </w:rPr>
        <w:t>la</w:t>
      </w:r>
      <w:r>
        <w:rPr>
          <w:spacing w:val="-3"/>
          <w:w w:val="105"/>
          <w:sz w:val="13"/>
        </w:rPr>
        <w:t xml:space="preserve"> </w:t>
      </w:r>
      <w:r>
        <w:rPr>
          <w:w w:val="105"/>
          <w:sz w:val="13"/>
        </w:rPr>
        <w:t>penalización</w:t>
      </w:r>
      <w:r>
        <w:rPr>
          <w:spacing w:val="-3"/>
          <w:w w:val="105"/>
          <w:sz w:val="13"/>
        </w:rPr>
        <w:t xml:space="preserve"> </w:t>
      </w:r>
      <w:r>
        <w:rPr>
          <w:w w:val="105"/>
          <w:sz w:val="13"/>
        </w:rPr>
        <w:t>de</w:t>
      </w:r>
      <w:r>
        <w:rPr>
          <w:spacing w:val="-3"/>
          <w:w w:val="105"/>
          <w:sz w:val="13"/>
        </w:rPr>
        <w:t xml:space="preserve"> </w:t>
      </w:r>
      <w:r>
        <w:rPr>
          <w:w w:val="105"/>
          <w:sz w:val="13"/>
        </w:rPr>
        <w:t>los</w:t>
      </w:r>
      <w:r>
        <w:rPr>
          <w:spacing w:val="-3"/>
          <w:w w:val="105"/>
          <w:sz w:val="13"/>
        </w:rPr>
        <w:t xml:space="preserve"> </w:t>
      </w:r>
      <w:r>
        <w:rPr>
          <w:w w:val="105"/>
          <w:sz w:val="13"/>
        </w:rPr>
        <w:t>actos</w:t>
      </w:r>
      <w:r>
        <w:rPr>
          <w:spacing w:val="-3"/>
          <w:w w:val="105"/>
          <w:sz w:val="13"/>
        </w:rPr>
        <w:t xml:space="preserve"> </w:t>
      </w:r>
      <w:r>
        <w:rPr>
          <w:w w:val="105"/>
          <w:sz w:val="13"/>
        </w:rPr>
        <w:t>racistas</w:t>
      </w:r>
      <w:r>
        <w:rPr>
          <w:spacing w:val="-3"/>
          <w:w w:val="105"/>
          <w:sz w:val="13"/>
        </w:rPr>
        <w:t xml:space="preserve"> </w:t>
      </w:r>
      <w:r>
        <w:rPr>
          <w:w w:val="105"/>
          <w:sz w:val="13"/>
        </w:rPr>
        <w:t>y</w:t>
      </w:r>
      <w:r>
        <w:rPr>
          <w:spacing w:val="-3"/>
          <w:w w:val="105"/>
          <w:sz w:val="13"/>
        </w:rPr>
        <w:t xml:space="preserve"> </w:t>
      </w:r>
      <w:r>
        <w:rPr>
          <w:w w:val="105"/>
          <w:sz w:val="13"/>
        </w:rPr>
        <w:t>xenófobos.</w:t>
      </w:r>
      <w:r>
        <w:rPr>
          <w:spacing w:val="-3"/>
          <w:w w:val="105"/>
          <w:sz w:val="13"/>
        </w:rPr>
        <w:t xml:space="preserve"> </w:t>
      </w:r>
      <w:r>
        <w:rPr>
          <w:w w:val="105"/>
          <w:sz w:val="13"/>
        </w:rPr>
        <w:t>Ver</w:t>
      </w:r>
    </w:p>
    <w:p w14:paraId="2DE99FFB" w14:textId="77777777" w:rsidR="0014798C" w:rsidRDefault="004E1F0B">
      <w:pPr>
        <w:spacing w:line="118" w:lineRule="exact"/>
        <w:ind w:left="232" w:right="8365"/>
        <w:jc w:val="center"/>
        <w:rPr>
          <w:sz w:val="13"/>
        </w:rPr>
      </w:pPr>
      <w:r>
        <w:rPr>
          <w:spacing w:val="-2"/>
          <w:w w:val="105"/>
          <w:sz w:val="13"/>
        </w:rPr>
        <w:t>A/HRC/42/58.</w:t>
      </w:r>
    </w:p>
    <w:p w14:paraId="76AB2C28" w14:textId="77777777" w:rsidR="0014798C" w:rsidRDefault="004E1F0B">
      <w:pPr>
        <w:spacing w:before="119"/>
        <w:ind w:left="263" w:right="8365"/>
        <w:jc w:val="center"/>
        <w:rPr>
          <w:sz w:val="13"/>
        </w:rPr>
      </w:pPr>
      <w:r>
        <w:rPr>
          <w:w w:val="105"/>
          <w:sz w:val="13"/>
          <w:vertAlign w:val="superscript"/>
        </w:rPr>
        <w:t>1192</w:t>
      </w:r>
      <w:r>
        <w:rPr>
          <w:spacing w:val="18"/>
          <w:w w:val="105"/>
          <w:sz w:val="13"/>
        </w:rPr>
        <w:t xml:space="preserve"> </w:t>
      </w:r>
      <w:r>
        <w:rPr>
          <w:w w:val="105"/>
          <w:sz w:val="13"/>
        </w:rPr>
        <w:t>A/67/357,</w:t>
      </w:r>
      <w:r>
        <w:rPr>
          <w:spacing w:val="-5"/>
          <w:w w:val="105"/>
          <w:sz w:val="13"/>
        </w:rPr>
        <w:t xml:space="preserve"> </w:t>
      </w:r>
      <w:r>
        <w:rPr>
          <w:w w:val="105"/>
          <w:sz w:val="13"/>
        </w:rPr>
        <w:t>párr.</w:t>
      </w:r>
      <w:r>
        <w:rPr>
          <w:spacing w:val="-6"/>
          <w:w w:val="105"/>
          <w:sz w:val="13"/>
        </w:rPr>
        <w:t xml:space="preserve"> </w:t>
      </w:r>
      <w:r>
        <w:rPr>
          <w:spacing w:val="-5"/>
          <w:w w:val="105"/>
          <w:sz w:val="13"/>
        </w:rPr>
        <w:t>48.</w:t>
      </w:r>
    </w:p>
    <w:p w14:paraId="1FCA01C7" w14:textId="77777777" w:rsidR="0014798C" w:rsidRDefault="004E1F0B">
      <w:pPr>
        <w:spacing w:before="56" w:line="58" w:lineRule="exact"/>
        <w:ind w:left="1111"/>
        <w:rPr>
          <w:sz w:val="8"/>
        </w:rPr>
      </w:pPr>
      <w:r>
        <w:rPr>
          <w:spacing w:val="-4"/>
          <w:w w:val="105"/>
          <w:sz w:val="8"/>
        </w:rPr>
        <w:t>1193</w:t>
      </w:r>
    </w:p>
    <w:p w14:paraId="23B303E4" w14:textId="77777777" w:rsidR="0014798C" w:rsidRDefault="004E1F0B">
      <w:pPr>
        <w:spacing w:line="148" w:lineRule="exact"/>
        <w:ind w:left="100" w:right="377"/>
        <w:jc w:val="center"/>
        <w:rPr>
          <w:sz w:val="13"/>
        </w:rPr>
      </w:pPr>
      <w:r>
        <w:rPr>
          <w:sz w:val="13"/>
        </w:rPr>
        <w:t>ACNUDH,</w:t>
      </w:r>
      <w:r>
        <w:rPr>
          <w:spacing w:val="-2"/>
          <w:sz w:val="13"/>
        </w:rPr>
        <w:t xml:space="preserve"> </w:t>
      </w:r>
      <w:r>
        <w:rPr>
          <w:sz w:val="13"/>
        </w:rPr>
        <w:t>“Prueba</w:t>
      </w:r>
      <w:r>
        <w:rPr>
          <w:spacing w:val="-2"/>
          <w:sz w:val="13"/>
        </w:rPr>
        <w:t xml:space="preserve"> </w:t>
      </w:r>
      <w:r>
        <w:rPr>
          <w:sz w:val="13"/>
        </w:rPr>
        <w:t>de</w:t>
      </w:r>
      <w:r>
        <w:rPr>
          <w:spacing w:val="-1"/>
          <w:sz w:val="13"/>
        </w:rPr>
        <w:t xml:space="preserve"> </w:t>
      </w:r>
      <w:r>
        <w:rPr>
          <w:sz w:val="13"/>
        </w:rPr>
        <w:t>umbral</w:t>
      </w:r>
      <w:r>
        <w:rPr>
          <w:spacing w:val="-2"/>
          <w:sz w:val="13"/>
        </w:rPr>
        <w:t xml:space="preserve"> </w:t>
      </w:r>
      <w:r>
        <w:rPr>
          <w:sz w:val="13"/>
        </w:rPr>
        <w:t>sobre</w:t>
      </w:r>
      <w:r>
        <w:rPr>
          <w:spacing w:val="-1"/>
          <w:sz w:val="13"/>
        </w:rPr>
        <w:t xml:space="preserve"> </w:t>
      </w:r>
      <w:r>
        <w:rPr>
          <w:sz w:val="13"/>
        </w:rPr>
        <w:t>discurso</w:t>
      </w:r>
      <w:r>
        <w:rPr>
          <w:spacing w:val="-2"/>
          <w:sz w:val="13"/>
        </w:rPr>
        <w:t xml:space="preserve"> </w:t>
      </w:r>
      <w:r>
        <w:rPr>
          <w:sz w:val="13"/>
        </w:rPr>
        <w:t>de</w:t>
      </w:r>
      <w:r>
        <w:rPr>
          <w:spacing w:val="-1"/>
          <w:sz w:val="13"/>
        </w:rPr>
        <w:t xml:space="preserve"> </w:t>
      </w:r>
      <w:r>
        <w:rPr>
          <w:sz w:val="13"/>
        </w:rPr>
        <w:t>odio”,</w:t>
      </w:r>
      <w:r>
        <w:rPr>
          <w:spacing w:val="-2"/>
          <w:sz w:val="13"/>
        </w:rPr>
        <w:t xml:space="preserve"> </w:t>
      </w:r>
      <w:r>
        <w:rPr>
          <w:sz w:val="13"/>
        </w:rPr>
        <w:t>2020.</w:t>
      </w:r>
      <w:r>
        <w:rPr>
          <w:spacing w:val="-1"/>
          <w:sz w:val="13"/>
        </w:rPr>
        <w:t xml:space="preserve"> </w:t>
      </w:r>
      <w:r>
        <w:rPr>
          <w:sz w:val="13"/>
        </w:rPr>
        <w:t>Disponible</w:t>
      </w:r>
      <w:r>
        <w:rPr>
          <w:spacing w:val="-2"/>
          <w:sz w:val="13"/>
        </w:rPr>
        <w:t xml:space="preserve"> </w:t>
      </w:r>
      <w:r>
        <w:rPr>
          <w:sz w:val="13"/>
        </w:rPr>
        <w:t>en</w:t>
      </w:r>
      <w:r>
        <w:rPr>
          <w:spacing w:val="-2"/>
          <w:sz w:val="13"/>
        </w:rPr>
        <w:t xml:space="preserve"> </w:t>
      </w:r>
      <w:hyperlink r:id="rId340">
        <w:r>
          <w:rPr>
            <w:color w:val="0075BF"/>
            <w:sz w:val="13"/>
          </w:rPr>
          <w:t>www.ohchr.org/EN/NewsEvents/Pages/Hate-speech-threshold-</w:t>
        </w:r>
        <w:r>
          <w:rPr>
            <w:color w:val="0075BF"/>
            <w:spacing w:val="-2"/>
            <w:sz w:val="13"/>
          </w:rPr>
          <w:t>test.aspx.</w:t>
        </w:r>
      </w:hyperlink>
    </w:p>
    <w:p w14:paraId="25A8F814" w14:textId="77777777" w:rsidR="0014798C" w:rsidRDefault="004E1F0B">
      <w:pPr>
        <w:spacing w:before="86"/>
        <w:ind w:left="1111"/>
        <w:rPr>
          <w:sz w:val="11"/>
        </w:rPr>
      </w:pPr>
      <w:r>
        <w:rPr>
          <w:sz w:val="11"/>
        </w:rPr>
        <w:t>1194</w:t>
      </w:r>
      <w:r>
        <w:rPr>
          <w:spacing w:val="-5"/>
          <w:sz w:val="11"/>
        </w:rPr>
        <w:t xml:space="preserve"> </w:t>
      </w:r>
      <w:r>
        <w:rPr>
          <w:sz w:val="11"/>
        </w:rPr>
        <w:t>Plan</w:t>
      </w:r>
      <w:r>
        <w:rPr>
          <w:spacing w:val="-4"/>
          <w:sz w:val="11"/>
        </w:rPr>
        <w:t xml:space="preserve"> </w:t>
      </w:r>
      <w:r>
        <w:rPr>
          <w:sz w:val="11"/>
        </w:rPr>
        <w:t>de</w:t>
      </w:r>
      <w:r>
        <w:rPr>
          <w:spacing w:val="-4"/>
          <w:sz w:val="11"/>
        </w:rPr>
        <w:t xml:space="preserve"> </w:t>
      </w:r>
      <w:r>
        <w:rPr>
          <w:sz w:val="11"/>
        </w:rPr>
        <w:t>Acción</w:t>
      </w:r>
      <w:r>
        <w:rPr>
          <w:spacing w:val="-4"/>
          <w:sz w:val="11"/>
        </w:rPr>
        <w:t xml:space="preserve"> </w:t>
      </w:r>
      <w:r>
        <w:rPr>
          <w:sz w:val="11"/>
        </w:rPr>
        <w:t>de</w:t>
      </w:r>
      <w:r>
        <w:rPr>
          <w:spacing w:val="-4"/>
          <w:sz w:val="11"/>
        </w:rPr>
        <w:t xml:space="preserve"> </w:t>
      </w:r>
      <w:r>
        <w:rPr>
          <w:sz w:val="11"/>
        </w:rPr>
        <w:t>Rabat,</w:t>
      </w:r>
      <w:r>
        <w:rPr>
          <w:spacing w:val="-3"/>
          <w:sz w:val="11"/>
        </w:rPr>
        <w:t xml:space="preserve"> </w:t>
      </w:r>
      <w:r>
        <w:rPr>
          <w:sz w:val="11"/>
        </w:rPr>
        <w:t>párr.</w:t>
      </w:r>
      <w:r>
        <w:rPr>
          <w:spacing w:val="-3"/>
          <w:sz w:val="11"/>
        </w:rPr>
        <w:t xml:space="preserve"> </w:t>
      </w:r>
      <w:r>
        <w:rPr>
          <w:spacing w:val="-5"/>
          <w:sz w:val="11"/>
        </w:rPr>
        <w:t>34.</w:t>
      </w:r>
    </w:p>
    <w:p w14:paraId="5E41DE39" w14:textId="77777777" w:rsidR="0014798C" w:rsidRDefault="004E1F0B">
      <w:pPr>
        <w:spacing w:before="85"/>
        <w:ind w:left="1111"/>
        <w:rPr>
          <w:sz w:val="13"/>
        </w:rPr>
      </w:pPr>
      <w:r>
        <w:rPr>
          <w:sz w:val="13"/>
          <w:vertAlign w:val="superscript"/>
        </w:rPr>
        <w:t>1195</w:t>
      </w:r>
      <w:r>
        <w:rPr>
          <w:spacing w:val="23"/>
          <w:sz w:val="13"/>
        </w:rPr>
        <w:t xml:space="preserve"> </w:t>
      </w:r>
      <w:r>
        <w:rPr>
          <w:sz w:val="13"/>
        </w:rPr>
        <w:t>E/CN.4/2000/63,</w:t>
      </w:r>
      <w:r>
        <w:rPr>
          <w:spacing w:val="-2"/>
          <w:sz w:val="13"/>
        </w:rPr>
        <w:t xml:space="preserve"> </w:t>
      </w:r>
      <w:r>
        <w:rPr>
          <w:sz w:val="13"/>
        </w:rPr>
        <w:t>párr.</w:t>
      </w:r>
      <w:r>
        <w:rPr>
          <w:spacing w:val="-3"/>
          <w:sz w:val="13"/>
        </w:rPr>
        <w:t xml:space="preserve"> </w:t>
      </w:r>
      <w:r>
        <w:rPr>
          <w:sz w:val="13"/>
        </w:rPr>
        <w:t>52;</w:t>
      </w:r>
      <w:r>
        <w:rPr>
          <w:spacing w:val="-3"/>
          <w:sz w:val="13"/>
        </w:rPr>
        <w:t xml:space="preserve"> </w:t>
      </w:r>
      <w:r>
        <w:rPr>
          <w:sz w:val="13"/>
        </w:rPr>
        <w:t>y</w:t>
      </w:r>
      <w:r>
        <w:rPr>
          <w:spacing w:val="-2"/>
          <w:sz w:val="13"/>
        </w:rPr>
        <w:t xml:space="preserve"> </w:t>
      </w:r>
      <w:r>
        <w:rPr>
          <w:sz w:val="13"/>
        </w:rPr>
        <w:t>A/HRC/4/27,</w:t>
      </w:r>
      <w:r>
        <w:rPr>
          <w:spacing w:val="-3"/>
          <w:sz w:val="13"/>
        </w:rPr>
        <w:t xml:space="preserve"> </w:t>
      </w:r>
      <w:proofErr w:type="spellStart"/>
      <w:r>
        <w:rPr>
          <w:sz w:val="13"/>
        </w:rPr>
        <w:t>párrs</w:t>
      </w:r>
      <w:proofErr w:type="spellEnd"/>
      <w:r>
        <w:rPr>
          <w:sz w:val="13"/>
        </w:rPr>
        <w:t>.</w:t>
      </w:r>
      <w:r>
        <w:rPr>
          <w:spacing w:val="-3"/>
          <w:sz w:val="13"/>
        </w:rPr>
        <w:t xml:space="preserve"> </w:t>
      </w:r>
      <w:r>
        <w:rPr>
          <w:spacing w:val="-2"/>
          <w:sz w:val="13"/>
        </w:rPr>
        <w:t>44–57.</w:t>
      </w:r>
    </w:p>
    <w:p w14:paraId="1FF70B13" w14:textId="77777777" w:rsidR="0014798C" w:rsidRDefault="004E1F0B">
      <w:pPr>
        <w:spacing w:before="112"/>
        <w:ind w:left="1111"/>
        <w:rPr>
          <w:sz w:val="11"/>
        </w:rPr>
      </w:pPr>
      <w:r>
        <w:rPr>
          <w:sz w:val="11"/>
        </w:rPr>
        <w:t>1196</w:t>
      </w:r>
      <w:r>
        <w:rPr>
          <w:spacing w:val="-5"/>
          <w:sz w:val="11"/>
        </w:rPr>
        <w:t xml:space="preserve"> </w:t>
      </w:r>
      <w:r>
        <w:rPr>
          <w:sz w:val="11"/>
        </w:rPr>
        <w:t>Plan</w:t>
      </w:r>
      <w:r>
        <w:rPr>
          <w:spacing w:val="-4"/>
          <w:sz w:val="11"/>
        </w:rPr>
        <w:t xml:space="preserve"> </w:t>
      </w:r>
      <w:r>
        <w:rPr>
          <w:sz w:val="11"/>
        </w:rPr>
        <w:t>de</w:t>
      </w:r>
      <w:r>
        <w:rPr>
          <w:spacing w:val="-4"/>
          <w:sz w:val="11"/>
        </w:rPr>
        <w:t xml:space="preserve"> </w:t>
      </w:r>
      <w:r>
        <w:rPr>
          <w:sz w:val="11"/>
        </w:rPr>
        <w:t>Acción</w:t>
      </w:r>
      <w:r>
        <w:rPr>
          <w:spacing w:val="-4"/>
          <w:sz w:val="11"/>
        </w:rPr>
        <w:t xml:space="preserve"> </w:t>
      </w:r>
      <w:r>
        <w:rPr>
          <w:sz w:val="11"/>
        </w:rPr>
        <w:t>de</w:t>
      </w:r>
      <w:r>
        <w:rPr>
          <w:spacing w:val="-4"/>
          <w:sz w:val="11"/>
        </w:rPr>
        <w:t xml:space="preserve"> </w:t>
      </w:r>
      <w:r>
        <w:rPr>
          <w:sz w:val="11"/>
        </w:rPr>
        <w:t>Rabat,</w:t>
      </w:r>
      <w:r>
        <w:rPr>
          <w:spacing w:val="-3"/>
          <w:sz w:val="11"/>
        </w:rPr>
        <w:t xml:space="preserve"> </w:t>
      </w:r>
      <w:r>
        <w:rPr>
          <w:sz w:val="11"/>
        </w:rPr>
        <w:t>párr.</w:t>
      </w:r>
      <w:r>
        <w:rPr>
          <w:spacing w:val="-3"/>
          <w:sz w:val="11"/>
        </w:rPr>
        <w:t xml:space="preserve"> </w:t>
      </w:r>
      <w:r>
        <w:rPr>
          <w:spacing w:val="-5"/>
          <w:sz w:val="11"/>
        </w:rPr>
        <w:t>26.</w:t>
      </w:r>
    </w:p>
    <w:p w14:paraId="63708DA0" w14:textId="77777777" w:rsidR="0014798C" w:rsidRDefault="004E1F0B">
      <w:pPr>
        <w:spacing w:before="85"/>
        <w:ind w:left="1111"/>
        <w:rPr>
          <w:sz w:val="13"/>
        </w:rPr>
      </w:pPr>
      <w:r>
        <w:rPr>
          <w:spacing w:val="-2"/>
          <w:w w:val="105"/>
          <w:sz w:val="13"/>
        </w:rPr>
        <w:t>1197</w:t>
      </w:r>
      <w:r>
        <w:rPr>
          <w:spacing w:val="-1"/>
          <w:w w:val="105"/>
          <w:sz w:val="13"/>
        </w:rPr>
        <w:t xml:space="preserve"> </w:t>
      </w:r>
      <w:r>
        <w:rPr>
          <w:spacing w:val="-2"/>
          <w:w w:val="105"/>
          <w:sz w:val="13"/>
        </w:rPr>
        <w:t>Comité</w:t>
      </w:r>
      <w:r>
        <w:rPr>
          <w:spacing w:val="-1"/>
          <w:w w:val="105"/>
          <w:sz w:val="13"/>
        </w:rPr>
        <w:t xml:space="preserve"> </w:t>
      </w:r>
      <w:r>
        <w:rPr>
          <w:spacing w:val="-2"/>
          <w:w w:val="105"/>
          <w:sz w:val="13"/>
        </w:rPr>
        <w:t>de</w:t>
      </w:r>
      <w:r>
        <w:rPr>
          <w:spacing w:val="-1"/>
          <w:w w:val="105"/>
          <w:sz w:val="13"/>
        </w:rPr>
        <w:t xml:space="preserve"> </w:t>
      </w:r>
      <w:r>
        <w:rPr>
          <w:spacing w:val="-2"/>
          <w:w w:val="105"/>
          <w:sz w:val="13"/>
        </w:rPr>
        <w:t>Derechos</w:t>
      </w:r>
      <w:r>
        <w:rPr>
          <w:w w:val="105"/>
          <w:sz w:val="13"/>
        </w:rPr>
        <w:t xml:space="preserve"> </w:t>
      </w:r>
      <w:r>
        <w:rPr>
          <w:spacing w:val="-2"/>
          <w:w w:val="105"/>
          <w:sz w:val="13"/>
        </w:rPr>
        <w:t>Humanos,</w:t>
      </w:r>
      <w:r>
        <w:rPr>
          <w:spacing w:val="-1"/>
          <w:w w:val="105"/>
          <w:sz w:val="13"/>
        </w:rPr>
        <w:t xml:space="preserve"> </w:t>
      </w:r>
      <w:r>
        <w:rPr>
          <w:spacing w:val="-2"/>
          <w:w w:val="105"/>
          <w:sz w:val="13"/>
        </w:rPr>
        <w:t>Ross</w:t>
      </w:r>
      <w:r>
        <w:rPr>
          <w:spacing w:val="-1"/>
          <w:w w:val="105"/>
          <w:sz w:val="13"/>
        </w:rPr>
        <w:t xml:space="preserve"> </w:t>
      </w:r>
      <w:r>
        <w:rPr>
          <w:spacing w:val="-2"/>
          <w:w w:val="105"/>
          <w:sz w:val="13"/>
        </w:rPr>
        <w:t>c.</w:t>
      </w:r>
      <w:r>
        <w:rPr>
          <w:w w:val="105"/>
          <w:sz w:val="13"/>
        </w:rPr>
        <w:t xml:space="preserve"> </w:t>
      </w:r>
      <w:r>
        <w:rPr>
          <w:spacing w:val="-2"/>
          <w:w w:val="105"/>
          <w:sz w:val="13"/>
        </w:rPr>
        <w:t>Canadá</w:t>
      </w:r>
      <w:r>
        <w:rPr>
          <w:spacing w:val="-1"/>
          <w:w w:val="105"/>
          <w:sz w:val="13"/>
        </w:rPr>
        <w:t xml:space="preserve"> </w:t>
      </w:r>
      <w:r>
        <w:rPr>
          <w:spacing w:val="-2"/>
          <w:w w:val="105"/>
          <w:sz w:val="13"/>
        </w:rPr>
        <w:t>(CCPR/C/70/D/736/1997).</w:t>
      </w:r>
    </w:p>
    <w:p w14:paraId="6FF61607" w14:textId="77777777" w:rsidR="0014798C" w:rsidRDefault="004E1F0B">
      <w:pPr>
        <w:spacing w:before="87"/>
        <w:ind w:left="1111"/>
        <w:rPr>
          <w:sz w:val="13"/>
        </w:rPr>
      </w:pPr>
      <w:r>
        <w:rPr>
          <w:sz w:val="13"/>
        </w:rPr>
        <w:t>1198</w:t>
      </w:r>
      <w:r>
        <w:rPr>
          <w:spacing w:val="8"/>
          <w:sz w:val="13"/>
        </w:rPr>
        <w:t xml:space="preserve"> </w:t>
      </w:r>
      <w:r>
        <w:rPr>
          <w:sz w:val="13"/>
        </w:rPr>
        <w:t>Comité</w:t>
      </w:r>
      <w:r>
        <w:rPr>
          <w:spacing w:val="8"/>
          <w:sz w:val="13"/>
        </w:rPr>
        <w:t xml:space="preserve"> </w:t>
      </w:r>
      <w:r>
        <w:rPr>
          <w:sz w:val="13"/>
        </w:rPr>
        <w:t>para</w:t>
      </w:r>
      <w:r>
        <w:rPr>
          <w:spacing w:val="8"/>
          <w:sz w:val="13"/>
        </w:rPr>
        <w:t xml:space="preserve"> </w:t>
      </w:r>
      <w:r>
        <w:rPr>
          <w:sz w:val="13"/>
        </w:rPr>
        <w:t>la</w:t>
      </w:r>
      <w:r>
        <w:rPr>
          <w:spacing w:val="8"/>
          <w:sz w:val="13"/>
        </w:rPr>
        <w:t xml:space="preserve"> </w:t>
      </w:r>
      <w:r>
        <w:rPr>
          <w:sz w:val="13"/>
        </w:rPr>
        <w:t>Eliminación</w:t>
      </w:r>
      <w:r>
        <w:rPr>
          <w:spacing w:val="8"/>
          <w:sz w:val="13"/>
        </w:rPr>
        <w:t xml:space="preserve"> </w:t>
      </w:r>
      <w:r>
        <w:rPr>
          <w:sz w:val="13"/>
        </w:rPr>
        <w:t>de</w:t>
      </w:r>
      <w:r>
        <w:rPr>
          <w:spacing w:val="9"/>
          <w:sz w:val="13"/>
        </w:rPr>
        <w:t xml:space="preserve"> </w:t>
      </w:r>
      <w:r>
        <w:rPr>
          <w:sz w:val="13"/>
        </w:rPr>
        <w:t>la</w:t>
      </w:r>
      <w:r>
        <w:rPr>
          <w:spacing w:val="8"/>
          <w:sz w:val="13"/>
        </w:rPr>
        <w:t xml:space="preserve"> </w:t>
      </w:r>
      <w:r>
        <w:rPr>
          <w:sz w:val="13"/>
        </w:rPr>
        <w:t>Discriminación</w:t>
      </w:r>
      <w:r>
        <w:rPr>
          <w:spacing w:val="8"/>
          <w:sz w:val="13"/>
        </w:rPr>
        <w:t xml:space="preserve"> </w:t>
      </w:r>
      <w:r>
        <w:rPr>
          <w:sz w:val="13"/>
        </w:rPr>
        <w:t>Racial,</w:t>
      </w:r>
      <w:r>
        <w:rPr>
          <w:spacing w:val="8"/>
          <w:sz w:val="13"/>
        </w:rPr>
        <w:t xml:space="preserve"> </w:t>
      </w:r>
      <w:r>
        <w:rPr>
          <w:sz w:val="13"/>
        </w:rPr>
        <w:t>Hagan</w:t>
      </w:r>
      <w:r>
        <w:rPr>
          <w:spacing w:val="8"/>
          <w:sz w:val="13"/>
        </w:rPr>
        <w:t xml:space="preserve"> </w:t>
      </w:r>
      <w:r>
        <w:rPr>
          <w:sz w:val="13"/>
        </w:rPr>
        <w:t>c.</w:t>
      </w:r>
      <w:r>
        <w:rPr>
          <w:spacing w:val="8"/>
          <w:sz w:val="13"/>
        </w:rPr>
        <w:t xml:space="preserve"> </w:t>
      </w:r>
      <w:r>
        <w:rPr>
          <w:sz w:val="13"/>
        </w:rPr>
        <w:t>Australia</w:t>
      </w:r>
      <w:r>
        <w:rPr>
          <w:spacing w:val="8"/>
          <w:sz w:val="13"/>
        </w:rPr>
        <w:t xml:space="preserve"> </w:t>
      </w:r>
      <w:r>
        <w:rPr>
          <w:sz w:val="13"/>
        </w:rPr>
        <w:t>(CERD/C/62/D/26/2002),</w:t>
      </w:r>
      <w:r>
        <w:rPr>
          <w:spacing w:val="9"/>
          <w:sz w:val="13"/>
        </w:rPr>
        <w:t xml:space="preserve"> </w:t>
      </w:r>
      <w:r>
        <w:rPr>
          <w:sz w:val="13"/>
        </w:rPr>
        <w:t>párr.</w:t>
      </w:r>
      <w:r>
        <w:rPr>
          <w:spacing w:val="8"/>
          <w:sz w:val="13"/>
        </w:rPr>
        <w:t xml:space="preserve"> </w:t>
      </w:r>
      <w:r>
        <w:rPr>
          <w:spacing w:val="-4"/>
          <w:sz w:val="13"/>
        </w:rPr>
        <w:t>7.3.</w:t>
      </w:r>
    </w:p>
    <w:p w14:paraId="4EB801C1" w14:textId="77777777" w:rsidR="0014798C" w:rsidRDefault="0014798C">
      <w:pPr>
        <w:pStyle w:val="Textoindependiente"/>
        <w:rPr>
          <w:sz w:val="18"/>
        </w:rPr>
      </w:pPr>
    </w:p>
    <w:p w14:paraId="042822A8" w14:textId="77777777" w:rsidR="0014798C" w:rsidRDefault="0014798C">
      <w:pPr>
        <w:pStyle w:val="Textoindependiente"/>
        <w:rPr>
          <w:sz w:val="18"/>
        </w:rPr>
      </w:pPr>
    </w:p>
    <w:p w14:paraId="12C63CD5" w14:textId="77777777" w:rsidR="0014798C" w:rsidRDefault="0014798C">
      <w:pPr>
        <w:pStyle w:val="Textoindependiente"/>
        <w:spacing w:before="19"/>
        <w:rPr>
          <w:sz w:val="18"/>
        </w:rPr>
      </w:pPr>
    </w:p>
    <w:p w14:paraId="5A187AE3" w14:textId="77777777" w:rsidR="0014798C" w:rsidRDefault="004E1F0B">
      <w:pPr>
        <w:ind w:right="710"/>
        <w:jc w:val="right"/>
        <w:rPr>
          <w:sz w:val="18"/>
        </w:rPr>
      </w:pPr>
      <w:r>
        <w:rPr>
          <w:spacing w:val="-5"/>
          <w:sz w:val="18"/>
        </w:rPr>
        <w:t>185</w:t>
      </w:r>
    </w:p>
    <w:p w14:paraId="782F498D" w14:textId="77777777" w:rsidR="0014798C" w:rsidRDefault="0014798C">
      <w:pPr>
        <w:jc w:val="right"/>
        <w:rPr>
          <w:sz w:val="18"/>
        </w:rPr>
        <w:sectPr w:rsidR="0014798C" w:rsidSect="00F265E4">
          <w:pgSz w:w="11900" w:h="16820"/>
          <w:pgMar w:top="340" w:right="0" w:bottom="280" w:left="200" w:header="121" w:footer="0" w:gutter="0"/>
          <w:cols w:space="720"/>
        </w:sectPr>
      </w:pPr>
    </w:p>
    <w:p w14:paraId="4925A66D" w14:textId="77777777" w:rsidR="0014798C" w:rsidRDefault="0014798C">
      <w:pPr>
        <w:pStyle w:val="Textoindependiente"/>
        <w:spacing w:before="88"/>
        <w:rPr>
          <w:sz w:val="12"/>
        </w:rPr>
      </w:pPr>
    </w:p>
    <w:p w14:paraId="446E7558" w14:textId="77777777" w:rsidR="0014798C" w:rsidRDefault="004E1F0B">
      <w:pPr>
        <w:ind w:left="1111"/>
        <w:rPr>
          <w:sz w:val="12"/>
        </w:rPr>
      </w:pPr>
      <w:r>
        <w:rPr>
          <w:color w:val="0075BF"/>
          <w:sz w:val="12"/>
        </w:rPr>
        <w:t>PROTECCIÓN</w:t>
      </w:r>
      <w:r>
        <w:rPr>
          <w:color w:val="0075BF"/>
          <w:spacing w:val="6"/>
          <w:sz w:val="12"/>
        </w:rPr>
        <w:t xml:space="preserve"> </w:t>
      </w:r>
      <w:r>
        <w:rPr>
          <w:color w:val="0075BF"/>
          <w:sz w:val="12"/>
        </w:rPr>
        <w:t>DE</w:t>
      </w:r>
      <w:r>
        <w:rPr>
          <w:color w:val="0075BF"/>
          <w:spacing w:val="7"/>
          <w:sz w:val="12"/>
        </w:rPr>
        <w:t xml:space="preserve"> </w:t>
      </w:r>
      <w:r>
        <w:rPr>
          <w:color w:val="0075BF"/>
          <w:sz w:val="12"/>
        </w:rPr>
        <w:t>LOS</w:t>
      </w:r>
      <w:r>
        <w:rPr>
          <w:color w:val="0075BF"/>
          <w:spacing w:val="8"/>
          <w:sz w:val="12"/>
        </w:rPr>
        <w:t xml:space="preserve"> </w:t>
      </w:r>
      <w:r>
        <w:rPr>
          <w:color w:val="0075BF"/>
          <w:sz w:val="12"/>
        </w:rPr>
        <w:t>DERECHOS</w:t>
      </w:r>
      <w:r>
        <w:rPr>
          <w:color w:val="0075BF"/>
          <w:spacing w:val="8"/>
          <w:sz w:val="12"/>
        </w:rPr>
        <w:t xml:space="preserve"> </w:t>
      </w:r>
      <w:r>
        <w:rPr>
          <w:color w:val="0075BF"/>
          <w:sz w:val="12"/>
        </w:rPr>
        <w:t>DE</w:t>
      </w:r>
      <w:r>
        <w:rPr>
          <w:color w:val="0075BF"/>
          <w:spacing w:val="6"/>
          <w:sz w:val="12"/>
        </w:rPr>
        <w:t xml:space="preserve"> </w:t>
      </w:r>
      <w:r>
        <w:rPr>
          <w:color w:val="0075BF"/>
          <w:sz w:val="12"/>
        </w:rPr>
        <w:t>LAS</w:t>
      </w:r>
      <w:r>
        <w:rPr>
          <w:color w:val="0075BF"/>
          <w:spacing w:val="7"/>
          <w:sz w:val="12"/>
        </w:rPr>
        <w:t xml:space="preserve"> </w:t>
      </w:r>
      <w:r>
        <w:rPr>
          <w:color w:val="0075BF"/>
          <w:sz w:val="12"/>
        </w:rPr>
        <w:t>MINORÍAS:</w:t>
      </w:r>
      <w:r>
        <w:rPr>
          <w:color w:val="0075BF"/>
          <w:spacing w:val="8"/>
          <w:sz w:val="12"/>
        </w:rPr>
        <w:t xml:space="preserve"> </w:t>
      </w:r>
      <w:r>
        <w:rPr>
          <w:color w:val="0075BF"/>
          <w:sz w:val="12"/>
        </w:rPr>
        <w:t>una</w:t>
      </w:r>
      <w:r>
        <w:rPr>
          <w:color w:val="0075BF"/>
          <w:spacing w:val="7"/>
          <w:sz w:val="12"/>
        </w:rPr>
        <w:t xml:space="preserve"> </w:t>
      </w:r>
      <w:r>
        <w:rPr>
          <w:color w:val="0075BF"/>
          <w:sz w:val="12"/>
        </w:rPr>
        <w:t>guía</w:t>
      </w:r>
      <w:r>
        <w:rPr>
          <w:color w:val="0075BF"/>
          <w:spacing w:val="6"/>
          <w:sz w:val="12"/>
        </w:rPr>
        <w:t xml:space="preserve"> </w:t>
      </w:r>
      <w:r>
        <w:rPr>
          <w:color w:val="0075BF"/>
          <w:sz w:val="12"/>
        </w:rPr>
        <w:t>práctica</w:t>
      </w:r>
      <w:r>
        <w:rPr>
          <w:color w:val="0075BF"/>
          <w:spacing w:val="7"/>
          <w:sz w:val="12"/>
        </w:rPr>
        <w:t xml:space="preserve"> </w:t>
      </w:r>
      <w:r>
        <w:rPr>
          <w:color w:val="0075BF"/>
          <w:sz w:val="12"/>
        </w:rPr>
        <w:t>para</w:t>
      </w:r>
      <w:r>
        <w:rPr>
          <w:color w:val="0075BF"/>
          <w:spacing w:val="8"/>
          <w:sz w:val="12"/>
        </w:rPr>
        <w:t xml:space="preserve"> </w:t>
      </w:r>
      <w:r>
        <w:rPr>
          <w:color w:val="0075BF"/>
          <w:sz w:val="12"/>
        </w:rPr>
        <w:t>desarrollar</w:t>
      </w:r>
      <w:r>
        <w:rPr>
          <w:color w:val="0075BF"/>
          <w:spacing w:val="6"/>
          <w:sz w:val="12"/>
        </w:rPr>
        <w:t xml:space="preserve"> </w:t>
      </w:r>
      <w:r>
        <w:rPr>
          <w:color w:val="0075BF"/>
          <w:sz w:val="12"/>
        </w:rPr>
        <w:t>una</w:t>
      </w:r>
      <w:r>
        <w:rPr>
          <w:color w:val="0075BF"/>
          <w:spacing w:val="7"/>
          <w:sz w:val="12"/>
        </w:rPr>
        <w:t xml:space="preserve"> </w:t>
      </w:r>
      <w:r>
        <w:rPr>
          <w:color w:val="0075BF"/>
          <w:sz w:val="12"/>
        </w:rPr>
        <w:t>legislación</w:t>
      </w:r>
      <w:r>
        <w:rPr>
          <w:color w:val="0075BF"/>
          <w:spacing w:val="8"/>
          <w:sz w:val="12"/>
        </w:rPr>
        <w:t xml:space="preserve"> </w:t>
      </w:r>
      <w:r>
        <w:rPr>
          <w:color w:val="0075BF"/>
          <w:sz w:val="12"/>
        </w:rPr>
        <w:t>integral</w:t>
      </w:r>
      <w:r>
        <w:rPr>
          <w:color w:val="0075BF"/>
          <w:spacing w:val="7"/>
          <w:sz w:val="12"/>
        </w:rPr>
        <w:t xml:space="preserve"> </w:t>
      </w:r>
      <w:r>
        <w:rPr>
          <w:color w:val="0075BF"/>
          <w:sz w:val="12"/>
        </w:rPr>
        <w:t>contra</w:t>
      </w:r>
      <w:r>
        <w:rPr>
          <w:color w:val="0075BF"/>
          <w:spacing w:val="6"/>
          <w:sz w:val="12"/>
        </w:rPr>
        <w:t xml:space="preserve"> </w:t>
      </w:r>
      <w:r>
        <w:rPr>
          <w:color w:val="0075BF"/>
          <w:sz w:val="12"/>
        </w:rPr>
        <w:t>la</w:t>
      </w:r>
      <w:r>
        <w:rPr>
          <w:color w:val="0075BF"/>
          <w:spacing w:val="7"/>
          <w:sz w:val="12"/>
        </w:rPr>
        <w:t xml:space="preserve"> </w:t>
      </w:r>
      <w:r>
        <w:rPr>
          <w:color w:val="0075BF"/>
          <w:spacing w:val="-2"/>
          <w:sz w:val="12"/>
        </w:rPr>
        <w:t>discriminación</w:t>
      </w:r>
    </w:p>
    <w:p w14:paraId="5C989153" w14:textId="77777777" w:rsidR="0014798C" w:rsidRDefault="0014798C">
      <w:pPr>
        <w:pStyle w:val="Textoindependiente"/>
        <w:rPr>
          <w:sz w:val="15"/>
        </w:rPr>
      </w:pPr>
    </w:p>
    <w:p w14:paraId="640C0D9E" w14:textId="77777777" w:rsidR="0014798C" w:rsidRDefault="0014798C">
      <w:pPr>
        <w:pStyle w:val="Textoindependiente"/>
        <w:rPr>
          <w:sz w:val="15"/>
        </w:rPr>
      </w:pPr>
    </w:p>
    <w:p w14:paraId="3D7358E4" w14:textId="77777777" w:rsidR="0014798C" w:rsidRDefault="0014798C">
      <w:pPr>
        <w:pStyle w:val="Textoindependiente"/>
        <w:rPr>
          <w:sz w:val="15"/>
        </w:rPr>
      </w:pPr>
    </w:p>
    <w:p w14:paraId="0D25EB4A" w14:textId="77777777" w:rsidR="0014798C" w:rsidRDefault="0014798C">
      <w:pPr>
        <w:pStyle w:val="Textoindependiente"/>
        <w:rPr>
          <w:sz w:val="15"/>
        </w:rPr>
      </w:pPr>
    </w:p>
    <w:p w14:paraId="02C01BCD" w14:textId="77777777" w:rsidR="0014798C" w:rsidRDefault="0014798C">
      <w:pPr>
        <w:pStyle w:val="Textoindependiente"/>
        <w:spacing w:before="114"/>
        <w:rPr>
          <w:sz w:val="15"/>
        </w:rPr>
      </w:pPr>
    </w:p>
    <w:p w14:paraId="1EF73781" w14:textId="77777777" w:rsidR="0014798C" w:rsidRDefault="004E1F0B">
      <w:pPr>
        <w:spacing w:line="348" w:lineRule="auto"/>
        <w:ind w:left="1107" w:right="1272" w:firstLine="1"/>
        <w:rPr>
          <w:sz w:val="15"/>
        </w:rPr>
      </w:pPr>
      <w:r>
        <w:rPr>
          <w:w w:val="105"/>
          <w:sz w:val="15"/>
        </w:rPr>
        <w:t>En la era de las redes sociales, en la que el discurso de odio se propaga (y rápidamente se amplifica) en Internet, las cuestiones legales sobre los límites de la gobernanza del discurso se aplican cada vez más para abordar, por ejemplo, las obligaciones de las empresas de medios sociales y de Internet. proveedores de servicios intervengan para controlar o prohibir el discurso de odio.1199 Desde</w:t>
      </w:r>
      <w:r>
        <w:rPr>
          <w:spacing w:val="-3"/>
          <w:w w:val="105"/>
          <w:sz w:val="15"/>
        </w:rPr>
        <w:t xml:space="preserve"> </w:t>
      </w:r>
      <w:r>
        <w:rPr>
          <w:w w:val="105"/>
          <w:sz w:val="15"/>
        </w:rPr>
        <w:t>enero</w:t>
      </w:r>
      <w:r>
        <w:rPr>
          <w:spacing w:val="-3"/>
          <w:w w:val="105"/>
          <w:sz w:val="15"/>
        </w:rPr>
        <w:t xml:space="preserve"> </w:t>
      </w:r>
      <w:r>
        <w:rPr>
          <w:w w:val="105"/>
          <w:sz w:val="15"/>
        </w:rPr>
        <w:t>de</w:t>
      </w:r>
      <w:r>
        <w:rPr>
          <w:spacing w:val="-3"/>
          <w:w w:val="105"/>
          <w:sz w:val="15"/>
        </w:rPr>
        <w:t xml:space="preserve"> </w:t>
      </w:r>
      <w:r>
        <w:rPr>
          <w:w w:val="105"/>
          <w:sz w:val="15"/>
        </w:rPr>
        <w:t>2021,</w:t>
      </w:r>
      <w:r>
        <w:rPr>
          <w:spacing w:val="-2"/>
          <w:w w:val="105"/>
          <w:sz w:val="15"/>
        </w:rPr>
        <w:t xml:space="preserve"> </w:t>
      </w:r>
      <w:r>
        <w:rPr>
          <w:w w:val="105"/>
          <w:sz w:val="15"/>
        </w:rPr>
        <w:t>la</w:t>
      </w:r>
      <w:r>
        <w:rPr>
          <w:spacing w:val="-3"/>
          <w:w w:val="105"/>
          <w:sz w:val="15"/>
        </w:rPr>
        <w:t xml:space="preserve"> </w:t>
      </w:r>
      <w:r>
        <w:rPr>
          <w:w w:val="105"/>
          <w:sz w:val="15"/>
        </w:rPr>
        <w:t>Junta</w:t>
      </w:r>
      <w:r>
        <w:rPr>
          <w:spacing w:val="-3"/>
          <w:w w:val="105"/>
          <w:sz w:val="15"/>
        </w:rPr>
        <w:t xml:space="preserve"> </w:t>
      </w:r>
      <w:r>
        <w:rPr>
          <w:w w:val="105"/>
          <w:sz w:val="15"/>
        </w:rPr>
        <w:t>de</w:t>
      </w:r>
      <w:r>
        <w:rPr>
          <w:spacing w:val="-3"/>
          <w:w w:val="105"/>
          <w:sz w:val="15"/>
        </w:rPr>
        <w:t xml:space="preserve"> </w:t>
      </w:r>
      <w:r>
        <w:rPr>
          <w:w w:val="105"/>
          <w:sz w:val="15"/>
        </w:rPr>
        <w:t>Supervisión</w:t>
      </w:r>
      <w:r>
        <w:rPr>
          <w:spacing w:val="-3"/>
          <w:w w:val="105"/>
          <w:sz w:val="15"/>
        </w:rPr>
        <w:t xml:space="preserve"> </w:t>
      </w:r>
      <w:r>
        <w:rPr>
          <w:w w:val="105"/>
          <w:sz w:val="15"/>
        </w:rPr>
        <w:t>de</w:t>
      </w:r>
      <w:r>
        <w:rPr>
          <w:spacing w:val="-3"/>
          <w:w w:val="105"/>
          <w:sz w:val="15"/>
        </w:rPr>
        <w:t xml:space="preserve"> </w:t>
      </w:r>
      <w:r>
        <w:rPr>
          <w:w w:val="105"/>
          <w:sz w:val="15"/>
        </w:rPr>
        <w:t>Facebook</w:t>
      </w:r>
      <w:r>
        <w:rPr>
          <w:spacing w:val="-3"/>
          <w:w w:val="105"/>
          <w:sz w:val="15"/>
        </w:rPr>
        <w:t xml:space="preserve"> </w:t>
      </w:r>
      <w:r>
        <w:rPr>
          <w:w w:val="105"/>
          <w:sz w:val="15"/>
        </w:rPr>
        <w:t>ha</w:t>
      </w:r>
      <w:r>
        <w:rPr>
          <w:spacing w:val="-3"/>
          <w:w w:val="105"/>
          <w:sz w:val="15"/>
        </w:rPr>
        <w:t xml:space="preserve"> </w:t>
      </w:r>
      <w:r>
        <w:rPr>
          <w:w w:val="105"/>
          <w:sz w:val="15"/>
        </w:rPr>
        <w:t>utilizado</w:t>
      </w:r>
      <w:r>
        <w:rPr>
          <w:spacing w:val="-3"/>
          <w:w w:val="105"/>
          <w:sz w:val="15"/>
        </w:rPr>
        <w:t xml:space="preserve"> </w:t>
      </w:r>
      <w:r>
        <w:rPr>
          <w:w w:val="105"/>
          <w:sz w:val="15"/>
        </w:rPr>
        <w:t>la</w:t>
      </w:r>
      <w:r>
        <w:rPr>
          <w:spacing w:val="-3"/>
          <w:w w:val="105"/>
          <w:sz w:val="15"/>
        </w:rPr>
        <w:t xml:space="preserve"> </w:t>
      </w:r>
      <w:r>
        <w:rPr>
          <w:w w:val="105"/>
          <w:sz w:val="15"/>
        </w:rPr>
        <w:t>prueba</w:t>
      </w:r>
      <w:r>
        <w:rPr>
          <w:spacing w:val="-3"/>
          <w:w w:val="105"/>
          <w:sz w:val="15"/>
        </w:rPr>
        <w:t xml:space="preserve"> </w:t>
      </w:r>
      <w:r>
        <w:rPr>
          <w:w w:val="105"/>
          <w:sz w:val="15"/>
        </w:rPr>
        <w:t>de</w:t>
      </w:r>
      <w:r>
        <w:rPr>
          <w:spacing w:val="-3"/>
          <w:w w:val="105"/>
          <w:sz w:val="15"/>
        </w:rPr>
        <w:t xml:space="preserve"> </w:t>
      </w:r>
      <w:r>
        <w:rPr>
          <w:w w:val="105"/>
          <w:sz w:val="15"/>
        </w:rPr>
        <w:t>umbral</w:t>
      </w:r>
      <w:r>
        <w:rPr>
          <w:spacing w:val="-3"/>
          <w:w w:val="105"/>
          <w:sz w:val="15"/>
        </w:rPr>
        <w:t xml:space="preserve"> </w:t>
      </w:r>
      <w:r>
        <w:rPr>
          <w:w w:val="105"/>
          <w:sz w:val="15"/>
        </w:rPr>
        <w:t>de</w:t>
      </w:r>
      <w:r>
        <w:rPr>
          <w:spacing w:val="-3"/>
          <w:w w:val="105"/>
          <w:sz w:val="15"/>
        </w:rPr>
        <w:t xml:space="preserve"> </w:t>
      </w:r>
      <w:r>
        <w:rPr>
          <w:w w:val="105"/>
          <w:sz w:val="15"/>
        </w:rPr>
        <w:t>Rabat</w:t>
      </w:r>
      <w:r>
        <w:rPr>
          <w:spacing w:val="-2"/>
          <w:w w:val="105"/>
          <w:sz w:val="15"/>
        </w:rPr>
        <w:t xml:space="preserve"> </w:t>
      </w:r>
      <w:r>
        <w:rPr>
          <w:w w:val="105"/>
          <w:sz w:val="15"/>
        </w:rPr>
        <w:t>en</w:t>
      </w:r>
      <w:r>
        <w:rPr>
          <w:spacing w:val="-3"/>
          <w:w w:val="105"/>
          <w:sz w:val="15"/>
        </w:rPr>
        <w:t xml:space="preserve"> </w:t>
      </w:r>
      <w:r>
        <w:rPr>
          <w:w w:val="105"/>
          <w:sz w:val="15"/>
        </w:rPr>
        <w:t>varias</w:t>
      </w:r>
      <w:r>
        <w:rPr>
          <w:spacing w:val="-3"/>
          <w:w w:val="105"/>
          <w:sz w:val="15"/>
        </w:rPr>
        <w:t xml:space="preserve"> </w:t>
      </w:r>
      <w:r>
        <w:rPr>
          <w:w w:val="105"/>
          <w:sz w:val="15"/>
        </w:rPr>
        <w:t>decisiones1200</w:t>
      </w:r>
      <w:r>
        <w:rPr>
          <w:spacing w:val="-3"/>
          <w:w w:val="105"/>
          <w:sz w:val="15"/>
        </w:rPr>
        <w:t xml:space="preserve"> </w:t>
      </w:r>
      <w:r>
        <w:rPr>
          <w:w w:val="105"/>
          <w:sz w:val="15"/>
        </w:rPr>
        <w:t>y</w:t>
      </w:r>
      <w:r>
        <w:rPr>
          <w:spacing w:val="-3"/>
          <w:w w:val="105"/>
          <w:sz w:val="15"/>
        </w:rPr>
        <w:t xml:space="preserve"> </w:t>
      </w:r>
      <w:r>
        <w:rPr>
          <w:w w:val="105"/>
          <w:sz w:val="15"/>
        </w:rPr>
        <w:t>se ha</w:t>
      </w:r>
      <w:r>
        <w:rPr>
          <w:spacing w:val="-5"/>
          <w:w w:val="105"/>
          <w:sz w:val="15"/>
        </w:rPr>
        <w:t xml:space="preserve"> </w:t>
      </w:r>
      <w:r>
        <w:rPr>
          <w:w w:val="105"/>
          <w:sz w:val="15"/>
        </w:rPr>
        <w:t>referido</w:t>
      </w:r>
      <w:r>
        <w:rPr>
          <w:spacing w:val="-5"/>
          <w:w w:val="105"/>
          <w:sz w:val="15"/>
        </w:rPr>
        <w:t xml:space="preserve"> </w:t>
      </w:r>
      <w:r>
        <w:rPr>
          <w:w w:val="105"/>
          <w:sz w:val="15"/>
        </w:rPr>
        <w:t>explícitamente</w:t>
      </w:r>
      <w:r>
        <w:rPr>
          <w:spacing w:val="-5"/>
          <w:w w:val="105"/>
          <w:sz w:val="15"/>
        </w:rPr>
        <w:t xml:space="preserve"> </w:t>
      </w:r>
      <w:r>
        <w:rPr>
          <w:w w:val="105"/>
          <w:sz w:val="15"/>
        </w:rPr>
        <w:t>al</w:t>
      </w:r>
      <w:r>
        <w:rPr>
          <w:spacing w:val="-5"/>
          <w:w w:val="105"/>
          <w:sz w:val="15"/>
        </w:rPr>
        <w:t xml:space="preserve"> </w:t>
      </w:r>
      <w:r>
        <w:rPr>
          <w:w w:val="105"/>
          <w:sz w:val="15"/>
        </w:rPr>
        <w:t>Pacto</w:t>
      </w:r>
      <w:r>
        <w:rPr>
          <w:spacing w:val="-5"/>
          <w:w w:val="105"/>
          <w:sz w:val="15"/>
        </w:rPr>
        <w:t xml:space="preserve"> </w:t>
      </w:r>
      <w:r>
        <w:rPr>
          <w:w w:val="105"/>
          <w:sz w:val="15"/>
        </w:rPr>
        <w:t>Internacional</w:t>
      </w:r>
      <w:r>
        <w:rPr>
          <w:spacing w:val="-5"/>
          <w:w w:val="105"/>
          <w:sz w:val="15"/>
        </w:rPr>
        <w:t xml:space="preserve"> </w:t>
      </w:r>
      <w:r>
        <w:rPr>
          <w:w w:val="105"/>
          <w:sz w:val="15"/>
        </w:rPr>
        <w:t>de</w:t>
      </w:r>
      <w:r>
        <w:rPr>
          <w:spacing w:val="-5"/>
          <w:w w:val="105"/>
          <w:sz w:val="15"/>
        </w:rPr>
        <w:t xml:space="preserve"> </w:t>
      </w:r>
      <w:r>
        <w:rPr>
          <w:w w:val="105"/>
          <w:sz w:val="15"/>
        </w:rPr>
        <w:t>Derechos</w:t>
      </w:r>
      <w:r>
        <w:rPr>
          <w:spacing w:val="-5"/>
          <w:w w:val="105"/>
          <w:sz w:val="15"/>
        </w:rPr>
        <w:t xml:space="preserve"> </w:t>
      </w:r>
      <w:r>
        <w:rPr>
          <w:w w:val="105"/>
          <w:sz w:val="15"/>
        </w:rPr>
        <w:t>Civiles</w:t>
      </w:r>
      <w:r>
        <w:rPr>
          <w:spacing w:val="-5"/>
          <w:w w:val="105"/>
          <w:sz w:val="15"/>
        </w:rPr>
        <w:t xml:space="preserve"> </w:t>
      </w:r>
      <w:r>
        <w:rPr>
          <w:w w:val="105"/>
          <w:sz w:val="15"/>
        </w:rPr>
        <w:t>y</w:t>
      </w:r>
      <w:r>
        <w:rPr>
          <w:spacing w:val="-5"/>
          <w:w w:val="105"/>
          <w:sz w:val="15"/>
        </w:rPr>
        <w:t xml:space="preserve"> </w:t>
      </w:r>
      <w:r>
        <w:rPr>
          <w:w w:val="105"/>
          <w:sz w:val="15"/>
        </w:rPr>
        <w:t>Políticos,</w:t>
      </w:r>
      <w:r>
        <w:rPr>
          <w:spacing w:val="-4"/>
          <w:w w:val="105"/>
          <w:sz w:val="15"/>
        </w:rPr>
        <w:t xml:space="preserve"> </w:t>
      </w:r>
      <w:r>
        <w:rPr>
          <w:w w:val="105"/>
          <w:sz w:val="15"/>
        </w:rPr>
        <w:t>comentarios</w:t>
      </w:r>
      <w:r>
        <w:rPr>
          <w:spacing w:val="-5"/>
          <w:w w:val="105"/>
          <w:sz w:val="15"/>
        </w:rPr>
        <w:t xml:space="preserve"> </w:t>
      </w:r>
      <w:r>
        <w:rPr>
          <w:w w:val="105"/>
          <w:sz w:val="15"/>
        </w:rPr>
        <w:t>generales</w:t>
      </w:r>
      <w:r>
        <w:rPr>
          <w:spacing w:val="-5"/>
          <w:w w:val="105"/>
          <w:sz w:val="15"/>
        </w:rPr>
        <w:t xml:space="preserve"> </w:t>
      </w:r>
      <w:r>
        <w:rPr>
          <w:w w:val="105"/>
          <w:sz w:val="15"/>
        </w:rPr>
        <w:t>de</w:t>
      </w:r>
      <w:r>
        <w:rPr>
          <w:spacing w:val="-5"/>
          <w:w w:val="105"/>
          <w:sz w:val="15"/>
        </w:rPr>
        <w:t xml:space="preserve"> </w:t>
      </w:r>
      <w:r>
        <w:rPr>
          <w:w w:val="105"/>
          <w:sz w:val="15"/>
        </w:rPr>
        <w:t>órganos</w:t>
      </w:r>
      <w:r>
        <w:rPr>
          <w:spacing w:val="-5"/>
          <w:w w:val="105"/>
          <w:sz w:val="15"/>
        </w:rPr>
        <w:t xml:space="preserve"> </w:t>
      </w:r>
      <w:r>
        <w:rPr>
          <w:w w:val="105"/>
          <w:sz w:val="15"/>
        </w:rPr>
        <w:t>creados</w:t>
      </w:r>
      <w:r>
        <w:rPr>
          <w:spacing w:val="-5"/>
          <w:w w:val="105"/>
          <w:sz w:val="15"/>
        </w:rPr>
        <w:t xml:space="preserve"> </w:t>
      </w:r>
      <w:r>
        <w:rPr>
          <w:w w:val="105"/>
          <w:sz w:val="15"/>
        </w:rPr>
        <w:t>en</w:t>
      </w:r>
      <w:r>
        <w:rPr>
          <w:spacing w:val="-5"/>
          <w:w w:val="105"/>
          <w:sz w:val="15"/>
        </w:rPr>
        <w:t xml:space="preserve"> </w:t>
      </w:r>
      <w:r>
        <w:rPr>
          <w:w w:val="105"/>
          <w:sz w:val="15"/>
        </w:rPr>
        <w:t>virtud de tratados, informes de organismos especiales procedimientos y los Principios Rectores sobre Empresas y Derechos Humanos.</w:t>
      </w:r>
    </w:p>
    <w:p w14:paraId="0D1913E7" w14:textId="77777777" w:rsidR="0014798C" w:rsidRDefault="0014798C">
      <w:pPr>
        <w:pStyle w:val="Textoindependiente"/>
        <w:spacing w:before="184"/>
        <w:rPr>
          <w:sz w:val="34"/>
        </w:rPr>
      </w:pPr>
    </w:p>
    <w:p w14:paraId="161D4CB4" w14:textId="77777777" w:rsidR="0014798C" w:rsidRDefault="004E1F0B">
      <w:pPr>
        <w:pStyle w:val="Prrafodelista"/>
        <w:numPr>
          <w:ilvl w:val="0"/>
          <w:numId w:val="9"/>
        </w:numPr>
        <w:tabs>
          <w:tab w:val="left" w:pos="1632"/>
        </w:tabs>
        <w:ind w:left="1632" w:hanging="509"/>
        <w:rPr>
          <w:color w:val="0075BF"/>
          <w:sz w:val="34"/>
        </w:rPr>
      </w:pPr>
      <w:bookmarkStart w:id="35" w:name="legales"/>
      <w:r>
        <w:rPr>
          <w:color w:val="0075BF"/>
          <w:sz w:val="34"/>
        </w:rPr>
        <w:t>MEDIDAS</w:t>
      </w:r>
      <w:r>
        <w:rPr>
          <w:color w:val="0075BF"/>
          <w:spacing w:val="-4"/>
          <w:sz w:val="34"/>
        </w:rPr>
        <w:t xml:space="preserve"> </w:t>
      </w:r>
      <w:r>
        <w:rPr>
          <w:color w:val="0075BF"/>
          <w:sz w:val="34"/>
        </w:rPr>
        <w:t>NO</w:t>
      </w:r>
      <w:r>
        <w:rPr>
          <w:color w:val="0075BF"/>
          <w:spacing w:val="-3"/>
          <w:sz w:val="34"/>
        </w:rPr>
        <w:t xml:space="preserve"> </w:t>
      </w:r>
      <w:r>
        <w:rPr>
          <w:color w:val="0075BF"/>
          <w:spacing w:val="-2"/>
          <w:sz w:val="34"/>
        </w:rPr>
        <w:t>LEGALES</w:t>
      </w:r>
    </w:p>
    <w:bookmarkEnd w:id="35"/>
    <w:p w14:paraId="7D144950" w14:textId="77777777" w:rsidR="0014798C" w:rsidRDefault="004E1F0B">
      <w:pPr>
        <w:spacing w:before="239" w:line="340" w:lineRule="auto"/>
        <w:ind w:left="1107" w:right="857" w:hanging="1"/>
        <w:rPr>
          <w:sz w:val="15"/>
        </w:rPr>
      </w:pPr>
      <w:r>
        <w:rPr>
          <w:sz w:val="16"/>
        </w:rPr>
        <w:t>Como cuestión general, a nivel mundial, los debates sobre la lucha contra el discurso de odio se han centrado principalmente en</w:t>
      </w:r>
      <w:r>
        <w:rPr>
          <w:spacing w:val="40"/>
          <w:sz w:val="16"/>
        </w:rPr>
        <w:t xml:space="preserve"> </w:t>
      </w:r>
      <w:r>
        <w:rPr>
          <w:sz w:val="16"/>
        </w:rPr>
        <w:t>medidas no legales. Expresiones de intolerancia, estereotipos negativos y estigmatización por motivos de raza, color y origen</w:t>
      </w:r>
      <w:r>
        <w:rPr>
          <w:spacing w:val="40"/>
          <w:sz w:val="16"/>
        </w:rPr>
        <w:t xml:space="preserve"> </w:t>
      </w:r>
      <w:r>
        <w:rPr>
          <w:sz w:val="16"/>
        </w:rPr>
        <w:t>étnico,1201</w:t>
      </w:r>
      <w:r>
        <w:rPr>
          <w:spacing w:val="-2"/>
          <w:sz w:val="16"/>
        </w:rPr>
        <w:t xml:space="preserve"> </w:t>
      </w:r>
      <w:r>
        <w:rPr>
          <w:sz w:val="16"/>
        </w:rPr>
        <w:t>por</w:t>
      </w:r>
      <w:r>
        <w:rPr>
          <w:spacing w:val="-2"/>
          <w:sz w:val="16"/>
        </w:rPr>
        <w:t xml:space="preserve"> </w:t>
      </w:r>
      <w:r>
        <w:rPr>
          <w:sz w:val="16"/>
        </w:rPr>
        <w:t>religión</w:t>
      </w:r>
      <w:r>
        <w:rPr>
          <w:spacing w:val="-2"/>
          <w:sz w:val="16"/>
        </w:rPr>
        <w:t xml:space="preserve"> </w:t>
      </w:r>
      <w:r>
        <w:rPr>
          <w:sz w:val="16"/>
        </w:rPr>
        <w:t>o</w:t>
      </w:r>
      <w:r>
        <w:rPr>
          <w:spacing w:val="-2"/>
          <w:sz w:val="16"/>
        </w:rPr>
        <w:t xml:space="preserve"> </w:t>
      </w:r>
      <w:r>
        <w:rPr>
          <w:sz w:val="16"/>
        </w:rPr>
        <w:t>creencias,1202</w:t>
      </w:r>
      <w:r>
        <w:rPr>
          <w:spacing w:val="-2"/>
          <w:sz w:val="16"/>
        </w:rPr>
        <w:t xml:space="preserve"> </w:t>
      </w:r>
      <w:r>
        <w:rPr>
          <w:sz w:val="16"/>
        </w:rPr>
        <w:t>sexo</w:t>
      </w:r>
      <w:r>
        <w:rPr>
          <w:spacing w:val="-2"/>
          <w:sz w:val="16"/>
        </w:rPr>
        <w:t xml:space="preserve"> </w:t>
      </w:r>
      <w:r>
        <w:rPr>
          <w:sz w:val="16"/>
        </w:rPr>
        <w:t>y</w:t>
      </w:r>
      <w:r>
        <w:rPr>
          <w:spacing w:val="-2"/>
          <w:sz w:val="16"/>
        </w:rPr>
        <w:t xml:space="preserve"> </w:t>
      </w:r>
      <w:r>
        <w:rPr>
          <w:sz w:val="16"/>
        </w:rPr>
        <w:t>género,</w:t>
      </w:r>
      <w:r>
        <w:rPr>
          <w:spacing w:val="-1"/>
          <w:sz w:val="16"/>
        </w:rPr>
        <w:t xml:space="preserve"> </w:t>
      </w:r>
      <w:r>
        <w:rPr>
          <w:sz w:val="16"/>
        </w:rPr>
        <w:t>orientación</w:t>
      </w:r>
      <w:r>
        <w:rPr>
          <w:spacing w:val="-2"/>
          <w:sz w:val="16"/>
        </w:rPr>
        <w:t xml:space="preserve"> </w:t>
      </w:r>
      <w:r>
        <w:rPr>
          <w:sz w:val="16"/>
        </w:rPr>
        <w:t>sexual,1203</w:t>
      </w:r>
      <w:r>
        <w:rPr>
          <w:spacing w:val="-2"/>
          <w:sz w:val="16"/>
        </w:rPr>
        <w:t xml:space="preserve"> </w:t>
      </w:r>
      <w:r>
        <w:rPr>
          <w:sz w:val="16"/>
        </w:rPr>
        <w:t>identidad</w:t>
      </w:r>
      <w:r>
        <w:rPr>
          <w:spacing w:val="-2"/>
          <w:sz w:val="16"/>
        </w:rPr>
        <w:t xml:space="preserve"> </w:t>
      </w:r>
      <w:r>
        <w:rPr>
          <w:sz w:val="16"/>
        </w:rPr>
        <w:t>de</w:t>
      </w:r>
      <w:r>
        <w:rPr>
          <w:spacing w:val="-2"/>
          <w:sz w:val="16"/>
        </w:rPr>
        <w:t xml:space="preserve"> </w:t>
      </w:r>
      <w:r>
        <w:rPr>
          <w:sz w:val="16"/>
        </w:rPr>
        <w:t>género,1204</w:t>
      </w:r>
      <w:r>
        <w:rPr>
          <w:spacing w:val="-2"/>
          <w:sz w:val="16"/>
        </w:rPr>
        <w:t xml:space="preserve"> </w:t>
      </w:r>
      <w:r>
        <w:rPr>
          <w:sz w:val="16"/>
        </w:rPr>
        <w:t>características</w:t>
      </w:r>
      <w:r>
        <w:rPr>
          <w:spacing w:val="-2"/>
          <w:sz w:val="16"/>
        </w:rPr>
        <w:t xml:space="preserve"> </w:t>
      </w:r>
      <w:r>
        <w:rPr>
          <w:sz w:val="16"/>
        </w:rPr>
        <w:t xml:space="preserve">sexuales1205 </w:t>
      </w:r>
      <w:r>
        <w:rPr>
          <w:w w:val="105"/>
          <w:sz w:val="15"/>
        </w:rPr>
        <w:t>y discapacidad y hacia grupos vulnerables particulares, como migrantes, refugiados, romaníes y otros1206, deben abordarse con intervenciones positivas: educación, sensibilización, apoyo a las víctimas para permitir el discurso contrario y la difusión de narrativas positivas, incluso a través de información pública. campañas con mensajes positivos y de diversidad.1207 Los Estados deben tomar medidas para monitorear el discurso de odio y la incitación a la violencia en los medios y las redes sociales y establecer órganos independientes de monitoreo de los medios.1208 Estas medidas, de hecho, tienen una base en el derecho de los tratados de</w:t>
      </w:r>
    </w:p>
    <w:p w14:paraId="0E4D7D8C" w14:textId="77777777" w:rsidR="0014798C" w:rsidRDefault="004E1F0B">
      <w:pPr>
        <w:spacing w:line="348" w:lineRule="auto"/>
        <w:ind w:left="1107" w:right="1272" w:firstLine="2"/>
        <w:rPr>
          <w:sz w:val="15"/>
        </w:rPr>
      </w:pPr>
      <w:r>
        <w:rPr>
          <w:w w:val="105"/>
          <w:sz w:val="15"/>
        </w:rPr>
        <w:t>derechos</w:t>
      </w:r>
      <w:r>
        <w:rPr>
          <w:spacing w:val="-6"/>
          <w:w w:val="105"/>
          <w:sz w:val="15"/>
        </w:rPr>
        <w:t xml:space="preserve"> </w:t>
      </w:r>
      <w:r>
        <w:rPr>
          <w:w w:val="105"/>
          <w:sz w:val="15"/>
        </w:rPr>
        <w:t>humanos1209</w:t>
      </w:r>
      <w:r>
        <w:rPr>
          <w:spacing w:val="-6"/>
          <w:w w:val="105"/>
          <w:sz w:val="15"/>
        </w:rPr>
        <w:t xml:space="preserve"> </w:t>
      </w:r>
      <w:r>
        <w:rPr>
          <w:w w:val="105"/>
          <w:sz w:val="15"/>
        </w:rPr>
        <w:t>y</w:t>
      </w:r>
      <w:r>
        <w:rPr>
          <w:spacing w:val="-6"/>
          <w:w w:val="105"/>
          <w:sz w:val="15"/>
        </w:rPr>
        <w:t xml:space="preserve"> </w:t>
      </w:r>
      <w:r>
        <w:rPr>
          <w:w w:val="105"/>
          <w:sz w:val="15"/>
        </w:rPr>
        <w:t>comprenden</w:t>
      </w:r>
      <w:r>
        <w:rPr>
          <w:spacing w:val="-6"/>
          <w:w w:val="105"/>
          <w:sz w:val="15"/>
        </w:rPr>
        <w:t xml:space="preserve"> </w:t>
      </w:r>
      <w:r>
        <w:rPr>
          <w:w w:val="105"/>
          <w:sz w:val="15"/>
        </w:rPr>
        <w:t>obligaciones</w:t>
      </w:r>
      <w:r>
        <w:rPr>
          <w:spacing w:val="-6"/>
          <w:w w:val="105"/>
          <w:sz w:val="15"/>
        </w:rPr>
        <w:t xml:space="preserve"> </w:t>
      </w:r>
      <w:r>
        <w:rPr>
          <w:w w:val="105"/>
          <w:sz w:val="15"/>
        </w:rPr>
        <w:t>de</w:t>
      </w:r>
      <w:r>
        <w:rPr>
          <w:spacing w:val="-6"/>
          <w:w w:val="105"/>
          <w:sz w:val="15"/>
        </w:rPr>
        <w:t xml:space="preserve"> </w:t>
      </w:r>
      <w:r>
        <w:rPr>
          <w:w w:val="105"/>
          <w:sz w:val="15"/>
        </w:rPr>
        <w:t>los</w:t>
      </w:r>
      <w:r>
        <w:rPr>
          <w:spacing w:val="-6"/>
          <w:w w:val="105"/>
          <w:sz w:val="15"/>
        </w:rPr>
        <w:t xml:space="preserve"> </w:t>
      </w:r>
      <w:r>
        <w:rPr>
          <w:w w:val="105"/>
          <w:sz w:val="15"/>
        </w:rPr>
        <w:t>Estados.</w:t>
      </w:r>
      <w:r>
        <w:rPr>
          <w:spacing w:val="-5"/>
          <w:w w:val="105"/>
          <w:sz w:val="15"/>
        </w:rPr>
        <w:t xml:space="preserve"> </w:t>
      </w:r>
      <w:r>
        <w:rPr>
          <w:w w:val="105"/>
          <w:sz w:val="15"/>
        </w:rPr>
        <w:t>Los</w:t>
      </w:r>
      <w:r>
        <w:rPr>
          <w:spacing w:val="-6"/>
          <w:w w:val="105"/>
          <w:sz w:val="15"/>
        </w:rPr>
        <w:t xml:space="preserve"> </w:t>
      </w:r>
      <w:r>
        <w:rPr>
          <w:w w:val="105"/>
          <w:sz w:val="15"/>
        </w:rPr>
        <w:t>funcionarios</w:t>
      </w:r>
      <w:r>
        <w:rPr>
          <w:spacing w:val="-6"/>
          <w:w w:val="105"/>
          <w:sz w:val="15"/>
        </w:rPr>
        <w:t xml:space="preserve"> </w:t>
      </w:r>
      <w:r>
        <w:rPr>
          <w:w w:val="105"/>
          <w:sz w:val="15"/>
        </w:rPr>
        <w:t>públicos</w:t>
      </w:r>
      <w:r>
        <w:rPr>
          <w:spacing w:val="-6"/>
          <w:w w:val="105"/>
          <w:sz w:val="15"/>
        </w:rPr>
        <w:t xml:space="preserve"> </w:t>
      </w:r>
      <w:r>
        <w:rPr>
          <w:w w:val="105"/>
          <w:sz w:val="15"/>
        </w:rPr>
        <w:t>tienen</w:t>
      </w:r>
      <w:r>
        <w:rPr>
          <w:spacing w:val="-6"/>
          <w:w w:val="105"/>
          <w:sz w:val="15"/>
        </w:rPr>
        <w:t xml:space="preserve"> </w:t>
      </w:r>
      <w:r>
        <w:rPr>
          <w:w w:val="105"/>
          <w:sz w:val="15"/>
        </w:rPr>
        <w:t>la</w:t>
      </w:r>
      <w:r>
        <w:rPr>
          <w:spacing w:val="-6"/>
          <w:w w:val="105"/>
          <w:sz w:val="15"/>
        </w:rPr>
        <w:t xml:space="preserve"> </w:t>
      </w:r>
      <w:r>
        <w:rPr>
          <w:w w:val="105"/>
          <w:sz w:val="15"/>
        </w:rPr>
        <w:t>responsabilidad</w:t>
      </w:r>
      <w:r>
        <w:rPr>
          <w:spacing w:val="-6"/>
          <w:w w:val="105"/>
          <w:sz w:val="15"/>
        </w:rPr>
        <w:t xml:space="preserve"> </w:t>
      </w:r>
      <w:r>
        <w:rPr>
          <w:w w:val="105"/>
          <w:sz w:val="15"/>
        </w:rPr>
        <w:t>particular</w:t>
      </w:r>
      <w:r>
        <w:rPr>
          <w:spacing w:val="-6"/>
          <w:w w:val="105"/>
          <w:sz w:val="15"/>
        </w:rPr>
        <w:t xml:space="preserve"> </w:t>
      </w:r>
      <w:r>
        <w:rPr>
          <w:w w:val="105"/>
          <w:sz w:val="15"/>
        </w:rPr>
        <w:t xml:space="preserve">de denunciar y condenar </w:t>
      </w:r>
      <w:proofErr w:type="gramStart"/>
      <w:r>
        <w:rPr>
          <w:w w:val="105"/>
          <w:sz w:val="15"/>
        </w:rPr>
        <w:t>públicamente y sistemáticamente</w:t>
      </w:r>
      <w:proofErr w:type="gramEnd"/>
      <w:r>
        <w:rPr>
          <w:w w:val="105"/>
          <w:sz w:val="15"/>
        </w:rPr>
        <w:t xml:space="preserve"> el discurso de odio.</w:t>
      </w:r>
    </w:p>
    <w:p w14:paraId="4DD62486" w14:textId="77777777" w:rsidR="0014798C" w:rsidRDefault="004E1F0B">
      <w:pPr>
        <w:spacing w:before="167" w:line="348" w:lineRule="auto"/>
        <w:ind w:left="1111" w:right="1272" w:hanging="2"/>
        <w:rPr>
          <w:sz w:val="15"/>
        </w:rPr>
      </w:pPr>
      <w:r>
        <w:rPr>
          <w:w w:val="105"/>
          <w:sz w:val="15"/>
        </w:rPr>
        <w:t>Los</w:t>
      </w:r>
      <w:r>
        <w:rPr>
          <w:spacing w:val="-5"/>
          <w:w w:val="105"/>
          <w:sz w:val="15"/>
        </w:rPr>
        <w:t xml:space="preserve"> </w:t>
      </w:r>
      <w:r>
        <w:rPr>
          <w:w w:val="105"/>
          <w:sz w:val="15"/>
        </w:rPr>
        <w:t>sistemas</w:t>
      </w:r>
      <w:r>
        <w:rPr>
          <w:spacing w:val="-5"/>
          <w:w w:val="105"/>
          <w:sz w:val="15"/>
        </w:rPr>
        <w:t xml:space="preserve"> </w:t>
      </w:r>
      <w:r>
        <w:rPr>
          <w:w w:val="105"/>
          <w:sz w:val="15"/>
        </w:rPr>
        <w:t>regionales</w:t>
      </w:r>
      <w:r>
        <w:rPr>
          <w:spacing w:val="-5"/>
          <w:w w:val="105"/>
          <w:sz w:val="15"/>
        </w:rPr>
        <w:t xml:space="preserve"> </w:t>
      </w:r>
      <w:r>
        <w:rPr>
          <w:w w:val="105"/>
          <w:sz w:val="15"/>
        </w:rPr>
        <w:t>de</w:t>
      </w:r>
      <w:r>
        <w:rPr>
          <w:spacing w:val="-5"/>
          <w:w w:val="105"/>
          <w:sz w:val="15"/>
        </w:rPr>
        <w:t xml:space="preserve"> </w:t>
      </w:r>
      <w:r>
        <w:rPr>
          <w:w w:val="105"/>
          <w:sz w:val="15"/>
        </w:rPr>
        <w:t>derechos</w:t>
      </w:r>
      <w:r>
        <w:rPr>
          <w:spacing w:val="-5"/>
          <w:w w:val="105"/>
          <w:sz w:val="15"/>
        </w:rPr>
        <w:t xml:space="preserve"> </w:t>
      </w:r>
      <w:r>
        <w:rPr>
          <w:w w:val="105"/>
          <w:sz w:val="15"/>
        </w:rPr>
        <w:t>humanos</w:t>
      </w:r>
      <w:r>
        <w:rPr>
          <w:spacing w:val="-5"/>
          <w:w w:val="105"/>
          <w:sz w:val="15"/>
        </w:rPr>
        <w:t xml:space="preserve"> </w:t>
      </w:r>
      <w:r>
        <w:rPr>
          <w:w w:val="105"/>
          <w:sz w:val="15"/>
        </w:rPr>
        <w:t>han</w:t>
      </w:r>
      <w:r>
        <w:rPr>
          <w:spacing w:val="-5"/>
          <w:w w:val="105"/>
          <w:sz w:val="15"/>
        </w:rPr>
        <w:t xml:space="preserve"> </w:t>
      </w:r>
      <w:r>
        <w:rPr>
          <w:w w:val="105"/>
          <w:sz w:val="15"/>
        </w:rPr>
        <w:t>establecido</w:t>
      </w:r>
      <w:r>
        <w:rPr>
          <w:spacing w:val="-5"/>
          <w:w w:val="105"/>
          <w:sz w:val="15"/>
        </w:rPr>
        <w:t xml:space="preserve"> </w:t>
      </w:r>
      <w:r>
        <w:rPr>
          <w:w w:val="105"/>
          <w:sz w:val="15"/>
        </w:rPr>
        <w:t>vínculos</w:t>
      </w:r>
      <w:r>
        <w:rPr>
          <w:spacing w:val="-5"/>
          <w:w w:val="105"/>
          <w:sz w:val="15"/>
        </w:rPr>
        <w:t xml:space="preserve"> </w:t>
      </w:r>
      <w:r>
        <w:rPr>
          <w:w w:val="105"/>
          <w:sz w:val="15"/>
        </w:rPr>
        <w:t>explícitos</w:t>
      </w:r>
      <w:r>
        <w:rPr>
          <w:spacing w:val="-5"/>
          <w:w w:val="105"/>
          <w:sz w:val="15"/>
        </w:rPr>
        <w:t xml:space="preserve"> </w:t>
      </w:r>
      <w:r>
        <w:rPr>
          <w:w w:val="105"/>
          <w:sz w:val="15"/>
        </w:rPr>
        <w:t>entre</w:t>
      </w:r>
      <w:r>
        <w:rPr>
          <w:spacing w:val="-5"/>
          <w:w w:val="105"/>
          <w:sz w:val="15"/>
        </w:rPr>
        <w:t xml:space="preserve"> </w:t>
      </w:r>
      <w:r>
        <w:rPr>
          <w:w w:val="105"/>
          <w:sz w:val="15"/>
        </w:rPr>
        <w:t>la</w:t>
      </w:r>
      <w:r>
        <w:rPr>
          <w:spacing w:val="-5"/>
          <w:w w:val="105"/>
          <w:sz w:val="15"/>
        </w:rPr>
        <w:t xml:space="preserve"> </w:t>
      </w:r>
      <w:r>
        <w:rPr>
          <w:w w:val="105"/>
          <w:sz w:val="15"/>
        </w:rPr>
        <w:t>lucha</w:t>
      </w:r>
      <w:r>
        <w:rPr>
          <w:spacing w:val="-5"/>
          <w:w w:val="105"/>
          <w:sz w:val="15"/>
        </w:rPr>
        <w:t xml:space="preserve"> </w:t>
      </w:r>
      <w:r>
        <w:rPr>
          <w:w w:val="105"/>
          <w:sz w:val="15"/>
        </w:rPr>
        <w:t>contra</w:t>
      </w:r>
      <w:r>
        <w:rPr>
          <w:spacing w:val="-5"/>
          <w:w w:val="105"/>
          <w:sz w:val="15"/>
        </w:rPr>
        <w:t xml:space="preserve"> </w:t>
      </w:r>
      <w:r>
        <w:rPr>
          <w:w w:val="105"/>
          <w:sz w:val="15"/>
        </w:rPr>
        <w:t>el</w:t>
      </w:r>
      <w:r>
        <w:rPr>
          <w:spacing w:val="-5"/>
          <w:w w:val="105"/>
          <w:sz w:val="15"/>
        </w:rPr>
        <w:t xml:space="preserve"> </w:t>
      </w:r>
      <w:r>
        <w:rPr>
          <w:w w:val="105"/>
          <w:sz w:val="15"/>
        </w:rPr>
        <w:t>discurso</w:t>
      </w:r>
      <w:r>
        <w:rPr>
          <w:spacing w:val="-5"/>
          <w:w w:val="105"/>
          <w:sz w:val="15"/>
        </w:rPr>
        <w:t xml:space="preserve"> </w:t>
      </w:r>
      <w:r>
        <w:rPr>
          <w:w w:val="105"/>
          <w:sz w:val="15"/>
        </w:rPr>
        <w:t>de</w:t>
      </w:r>
      <w:r>
        <w:rPr>
          <w:spacing w:val="-5"/>
          <w:w w:val="105"/>
          <w:sz w:val="15"/>
        </w:rPr>
        <w:t xml:space="preserve"> </w:t>
      </w:r>
      <w:r>
        <w:rPr>
          <w:w w:val="105"/>
          <w:sz w:val="15"/>
        </w:rPr>
        <w:t>odio,</w:t>
      </w:r>
      <w:r>
        <w:rPr>
          <w:spacing w:val="-4"/>
          <w:w w:val="105"/>
          <w:sz w:val="15"/>
        </w:rPr>
        <w:t xml:space="preserve"> </w:t>
      </w:r>
      <w:r>
        <w:rPr>
          <w:w w:val="105"/>
          <w:sz w:val="15"/>
        </w:rPr>
        <w:t>la</w:t>
      </w:r>
      <w:r>
        <w:rPr>
          <w:spacing w:val="-5"/>
          <w:w w:val="105"/>
          <w:sz w:val="15"/>
        </w:rPr>
        <w:t xml:space="preserve"> </w:t>
      </w:r>
      <w:r>
        <w:rPr>
          <w:w w:val="105"/>
          <w:sz w:val="15"/>
        </w:rPr>
        <w:t>libertad de expresión y la prohibición de la discriminación. Así, por ejemplo, la Comisión Interamericana de Derechos Humanos ha señalado:</w:t>
      </w:r>
    </w:p>
    <w:p w14:paraId="2B43F927" w14:textId="77777777" w:rsidR="0014798C" w:rsidRDefault="004E1F0B">
      <w:pPr>
        <w:spacing w:before="113" w:line="348" w:lineRule="auto"/>
        <w:ind w:left="1669" w:right="1553" w:firstLine="2"/>
        <w:rPr>
          <w:sz w:val="15"/>
        </w:rPr>
      </w:pPr>
      <w:r>
        <w:rPr>
          <w:color w:val="0075BF"/>
          <w:w w:val="105"/>
          <w:sz w:val="15"/>
        </w:rPr>
        <w:t>La Comisión y su Relatoría Especial para la Libertad de Expresión reafirman que para combatir eficazmente el discurso de</w:t>
      </w:r>
      <w:r>
        <w:rPr>
          <w:color w:val="0075BF"/>
          <w:spacing w:val="-4"/>
          <w:w w:val="105"/>
          <w:sz w:val="15"/>
        </w:rPr>
        <w:t xml:space="preserve"> </w:t>
      </w:r>
      <w:r>
        <w:rPr>
          <w:color w:val="0075BF"/>
          <w:w w:val="105"/>
          <w:sz w:val="15"/>
        </w:rPr>
        <w:t>odio</w:t>
      </w:r>
      <w:r>
        <w:rPr>
          <w:color w:val="0075BF"/>
          <w:spacing w:val="-4"/>
          <w:w w:val="105"/>
          <w:sz w:val="15"/>
        </w:rPr>
        <w:t xml:space="preserve"> </w:t>
      </w:r>
      <w:r>
        <w:rPr>
          <w:color w:val="0075BF"/>
          <w:w w:val="105"/>
          <w:sz w:val="15"/>
        </w:rPr>
        <w:t>se</w:t>
      </w:r>
      <w:r>
        <w:rPr>
          <w:color w:val="0075BF"/>
          <w:spacing w:val="-4"/>
          <w:w w:val="105"/>
          <w:sz w:val="15"/>
        </w:rPr>
        <w:t xml:space="preserve"> </w:t>
      </w:r>
      <w:r>
        <w:rPr>
          <w:color w:val="0075BF"/>
          <w:w w:val="105"/>
          <w:sz w:val="15"/>
        </w:rPr>
        <w:t>debe</w:t>
      </w:r>
      <w:r>
        <w:rPr>
          <w:color w:val="0075BF"/>
          <w:spacing w:val="-4"/>
          <w:w w:val="105"/>
          <w:sz w:val="15"/>
        </w:rPr>
        <w:t xml:space="preserve"> </w:t>
      </w:r>
      <w:r>
        <w:rPr>
          <w:color w:val="0075BF"/>
          <w:w w:val="105"/>
          <w:sz w:val="15"/>
        </w:rPr>
        <w:t>adoptar</w:t>
      </w:r>
      <w:r>
        <w:rPr>
          <w:color w:val="0075BF"/>
          <w:spacing w:val="-4"/>
          <w:w w:val="105"/>
          <w:sz w:val="15"/>
        </w:rPr>
        <w:t xml:space="preserve"> </w:t>
      </w:r>
      <w:r>
        <w:rPr>
          <w:color w:val="0075BF"/>
          <w:w w:val="105"/>
          <w:sz w:val="15"/>
        </w:rPr>
        <w:t>un</w:t>
      </w:r>
      <w:r>
        <w:rPr>
          <w:color w:val="0075BF"/>
          <w:spacing w:val="-4"/>
          <w:w w:val="105"/>
          <w:sz w:val="15"/>
        </w:rPr>
        <w:t xml:space="preserve"> </w:t>
      </w:r>
      <w:r>
        <w:rPr>
          <w:color w:val="0075BF"/>
          <w:w w:val="105"/>
          <w:sz w:val="15"/>
        </w:rPr>
        <w:t>enfoque</w:t>
      </w:r>
      <w:r>
        <w:rPr>
          <w:color w:val="0075BF"/>
          <w:spacing w:val="-4"/>
          <w:w w:val="105"/>
          <w:sz w:val="15"/>
        </w:rPr>
        <w:t xml:space="preserve"> </w:t>
      </w:r>
      <w:r>
        <w:rPr>
          <w:color w:val="0075BF"/>
          <w:w w:val="105"/>
          <w:sz w:val="15"/>
        </w:rPr>
        <w:t>integral</w:t>
      </w:r>
      <w:r>
        <w:rPr>
          <w:color w:val="0075BF"/>
          <w:spacing w:val="-4"/>
          <w:w w:val="105"/>
          <w:sz w:val="15"/>
        </w:rPr>
        <w:t xml:space="preserve"> </w:t>
      </w:r>
      <w:r>
        <w:rPr>
          <w:color w:val="0075BF"/>
          <w:w w:val="105"/>
          <w:sz w:val="15"/>
        </w:rPr>
        <w:t>y</w:t>
      </w:r>
      <w:r>
        <w:rPr>
          <w:color w:val="0075BF"/>
          <w:spacing w:val="-4"/>
          <w:w w:val="105"/>
          <w:sz w:val="15"/>
        </w:rPr>
        <w:t xml:space="preserve"> </w:t>
      </w:r>
      <w:r>
        <w:rPr>
          <w:color w:val="0075BF"/>
          <w:w w:val="105"/>
          <w:sz w:val="15"/>
        </w:rPr>
        <w:t>sostenido</w:t>
      </w:r>
      <w:r>
        <w:rPr>
          <w:color w:val="0075BF"/>
          <w:spacing w:val="-4"/>
          <w:w w:val="105"/>
          <w:sz w:val="15"/>
        </w:rPr>
        <w:t xml:space="preserve"> </w:t>
      </w:r>
      <w:r>
        <w:rPr>
          <w:color w:val="0075BF"/>
          <w:w w:val="105"/>
          <w:sz w:val="15"/>
        </w:rPr>
        <w:t>que</w:t>
      </w:r>
      <w:r>
        <w:rPr>
          <w:color w:val="0075BF"/>
          <w:spacing w:val="-4"/>
          <w:w w:val="105"/>
          <w:sz w:val="15"/>
        </w:rPr>
        <w:t xml:space="preserve"> </w:t>
      </w:r>
      <w:r>
        <w:rPr>
          <w:color w:val="0075BF"/>
          <w:w w:val="105"/>
          <w:sz w:val="15"/>
        </w:rPr>
        <w:t>vaya</w:t>
      </w:r>
      <w:r>
        <w:rPr>
          <w:color w:val="0075BF"/>
          <w:spacing w:val="-4"/>
          <w:w w:val="105"/>
          <w:sz w:val="15"/>
        </w:rPr>
        <w:t xml:space="preserve"> </w:t>
      </w:r>
      <w:r>
        <w:rPr>
          <w:color w:val="0075BF"/>
          <w:w w:val="105"/>
          <w:sz w:val="15"/>
        </w:rPr>
        <w:t>más</w:t>
      </w:r>
      <w:r>
        <w:rPr>
          <w:color w:val="0075BF"/>
          <w:spacing w:val="-4"/>
          <w:w w:val="105"/>
          <w:sz w:val="15"/>
        </w:rPr>
        <w:t xml:space="preserve"> </w:t>
      </w:r>
      <w:r>
        <w:rPr>
          <w:color w:val="0075BF"/>
          <w:w w:val="105"/>
          <w:sz w:val="15"/>
        </w:rPr>
        <w:t>allá</w:t>
      </w:r>
      <w:r>
        <w:rPr>
          <w:color w:val="0075BF"/>
          <w:spacing w:val="-4"/>
          <w:w w:val="105"/>
          <w:sz w:val="15"/>
        </w:rPr>
        <w:t xml:space="preserve"> </w:t>
      </w:r>
      <w:r>
        <w:rPr>
          <w:color w:val="0075BF"/>
          <w:w w:val="105"/>
          <w:sz w:val="15"/>
        </w:rPr>
        <w:t>de</w:t>
      </w:r>
      <w:r>
        <w:rPr>
          <w:color w:val="0075BF"/>
          <w:spacing w:val="-4"/>
          <w:w w:val="105"/>
          <w:sz w:val="15"/>
        </w:rPr>
        <w:t xml:space="preserve"> </w:t>
      </w:r>
      <w:r>
        <w:rPr>
          <w:color w:val="0075BF"/>
          <w:w w:val="105"/>
          <w:sz w:val="15"/>
        </w:rPr>
        <w:t>las</w:t>
      </w:r>
      <w:r>
        <w:rPr>
          <w:color w:val="0075BF"/>
          <w:spacing w:val="-4"/>
          <w:w w:val="105"/>
          <w:sz w:val="15"/>
        </w:rPr>
        <w:t xml:space="preserve"> </w:t>
      </w:r>
      <w:r>
        <w:rPr>
          <w:color w:val="0075BF"/>
          <w:w w:val="105"/>
          <w:sz w:val="15"/>
        </w:rPr>
        <w:t>medidas</w:t>
      </w:r>
      <w:r>
        <w:rPr>
          <w:color w:val="0075BF"/>
          <w:spacing w:val="-4"/>
          <w:w w:val="105"/>
          <w:sz w:val="15"/>
        </w:rPr>
        <w:t xml:space="preserve"> </w:t>
      </w:r>
      <w:r>
        <w:rPr>
          <w:color w:val="0075BF"/>
          <w:w w:val="105"/>
          <w:sz w:val="15"/>
        </w:rPr>
        <w:t>legales</w:t>
      </w:r>
      <w:r>
        <w:rPr>
          <w:color w:val="0075BF"/>
          <w:spacing w:val="-4"/>
          <w:w w:val="105"/>
          <w:sz w:val="15"/>
        </w:rPr>
        <w:t xml:space="preserve"> </w:t>
      </w:r>
      <w:r>
        <w:rPr>
          <w:color w:val="0075BF"/>
          <w:w w:val="105"/>
          <w:sz w:val="15"/>
        </w:rPr>
        <w:t>e</w:t>
      </w:r>
      <w:r>
        <w:rPr>
          <w:color w:val="0075BF"/>
          <w:spacing w:val="-4"/>
          <w:w w:val="105"/>
          <w:sz w:val="15"/>
        </w:rPr>
        <w:t xml:space="preserve"> </w:t>
      </w:r>
      <w:r>
        <w:rPr>
          <w:color w:val="0075BF"/>
          <w:w w:val="105"/>
          <w:sz w:val="15"/>
        </w:rPr>
        <w:t>incluya</w:t>
      </w:r>
      <w:r>
        <w:rPr>
          <w:color w:val="0075BF"/>
          <w:spacing w:val="-4"/>
          <w:w w:val="105"/>
          <w:sz w:val="15"/>
        </w:rPr>
        <w:t xml:space="preserve"> </w:t>
      </w:r>
      <w:r>
        <w:rPr>
          <w:color w:val="0075BF"/>
          <w:w w:val="105"/>
          <w:sz w:val="15"/>
        </w:rPr>
        <w:t>mecanismos preventivos</w:t>
      </w:r>
      <w:r>
        <w:rPr>
          <w:color w:val="0075BF"/>
          <w:spacing w:val="-1"/>
          <w:w w:val="105"/>
          <w:sz w:val="15"/>
        </w:rPr>
        <w:t xml:space="preserve"> </w:t>
      </w:r>
      <w:r>
        <w:rPr>
          <w:color w:val="0075BF"/>
          <w:w w:val="105"/>
          <w:sz w:val="15"/>
        </w:rPr>
        <w:t>y</w:t>
      </w:r>
      <w:r>
        <w:rPr>
          <w:color w:val="0075BF"/>
          <w:spacing w:val="-1"/>
          <w:w w:val="105"/>
          <w:sz w:val="15"/>
        </w:rPr>
        <w:t xml:space="preserve"> </w:t>
      </w:r>
      <w:r>
        <w:rPr>
          <w:color w:val="0075BF"/>
          <w:w w:val="105"/>
          <w:sz w:val="15"/>
        </w:rPr>
        <w:t>educativos. Como</w:t>
      </w:r>
      <w:r>
        <w:rPr>
          <w:color w:val="0075BF"/>
          <w:spacing w:val="-1"/>
          <w:w w:val="105"/>
          <w:sz w:val="15"/>
        </w:rPr>
        <w:t xml:space="preserve"> </w:t>
      </w:r>
      <w:r>
        <w:rPr>
          <w:color w:val="0075BF"/>
          <w:w w:val="105"/>
          <w:sz w:val="15"/>
        </w:rPr>
        <w:t>lo</w:t>
      </w:r>
      <w:r>
        <w:rPr>
          <w:color w:val="0075BF"/>
          <w:spacing w:val="-1"/>
          <w:w w:val="105"/>
          <w:sz w:val="15"/>
        </w:rPr>
        <w:t xml:space="preserve"> </w:t>
      </w:r>
      <w:r>
        <w:rPr>
          <w:color w:val="0075BF"/>
          <w:w w:val="105"/>
          <w:sz w:val="15"/>
        </w:rPr>
        <w:t>señaló</w:t>
      </w:r>
      <w:r>
        <w:rPr>
          <w:color w:val="0075BF"/>
          <w:spacing w:val="-1"/>
          <w:w w:val="105"/>
          <w:sz w:val="15"/>
        </w:rPr>
        <w:t xml:space="preserve"> </w:t>
      </w:r>
      <w:r>
        <w:rPr>
          <w:color w:val="0075BF"/>
          <w:w w:val="105"/>
          <w:sz w:val="15"/>
        </w:rPr>
        <w:t>anteriormente</w:t>
      </w:r>
      <w:r>
        <w:rPr>
          <w:color w:val="0075BF"/>
          <w:spacing w:val="-1"/>
          <w:w w:val="105"/>
          <w:sz w:val="15"/>
        </w:rPr>
        <w:t xml:space="preserve"> </w:t>
      </w:r>
      <w:r>
        <w:rPr>
          <w:color w:val="0075BF"/>
          <w:w w:val="105"/>
          <w:sz w:val="15"/>
        </w:rPr>
        <w:t>la</w:t>
      </w:r>
      <w:r>
        <w:rPr>
          <w:color w:val="0075BF"/>
          <w:spacing w:val="-1"/>
          <w:w w:val="105"/>
          <w:sz w:val="15"/>
        </w:rPr>
        <w:t xml:space="preserve"> </w:t>
      </w:r>
      <w:r>
        <w:rPr>
          <w:color w:val="0075BF"/>
          <w:w w:val="105"/>
          <w:sz w:val="15"/>
        </w:rPr>
        <w:t>Relatoría</w:t>
      </w:r>
      <w:r>
        <w:rPr>
          <w:color w:val="0075BF"/>
          <w:spacing w:val="-1"/>
          <w:w w:val="105"/>
          <w:sz w:val="15"/>
        </w:rPr>
        <w:t xml:space="preserve"> </w:t>
      </w:r>
      <w:r>
        <w:rPr>
          <w:color w:val="0075BF"/>
          <w:w w:val="105"/>
          <w:sz w:val="15"/>
        </w:rPr>
        <w:t>Especial</w:t>
      </w:r>
      <w:r>
        <w:rPr>
          <w:color w:val="0075BF"/>
          <w:spacing w:val="-1"/>
          <w:w w:val="105"/>
          <w:sz w:val="15"/>
        </w:rPr>
        <w:t xml:space="preserve"> </w:t>
      </w:r>
      <w:r>
        <w:rPr>
          <w:color w:val="0075BF"/>
          <w:w w:val="105"/>
          <w:sz w:val="15"/>
        </w:rPr>
        <w:t>para</w:t>
      </w:r>
      <w:r>
        <w:rPr>
          <w:color w:val="0075BF"/>
          <w:spacing w:val="-1"/>
          <w:w w:val="105"/>
          <w:sz w:val="15"/>
        </w:rPr>
        <w:t xml:space="preserve"> </w:t>
      </w:r>
      <w:r>
        <w:rPr>
          <w:color w:val="0075BF"/>
          <w:w w:val="105"/>
          <w:sz w:val="15"/>
        </w:rPr>
        <w:t>la</w:t>
      </w:r>
      <w:r>
        <w:rPr>
          <w:color w:val="0075BF"/>
          <w:spacing w:val="-1"/>
          <w:w w:val="105"/>
          <w:sz w:val="15"/>
        </w:rPr>
        <w:t xml:space="preserve"> </w:t>
      </w:r>
      <w:r>
        <w:rPr>
          <w:color w:val="0075BF"/>
          <w:w w:val="105"/>
          <w:sz w:val="15"/>
        </w:rPr>
        <w:t>Libertad</w:t>
      </w:r>
      <w:r>
        <w:rPr>
          <w:color w:val="0075BF"/>
          <w:spacing w:val="-1"/>
          <w:w w:val="105"/>
          <w:sz w:val="15"/>
        </w:rPr>
        <w:t xml:space="preserve"> </w:t>
      </w:r>
      <w:r>
        <w:rPr>
          <w:color w:val="0075BF"/>
          <w:w w:val="105"/>
          <w:sz w:val="15"/>
        </w:rPr>
        <w:t>de</w:t>
      </w:r>
      <w:r>
        <w:rPr>
          <w:color w:val="0075BF"/>
          <w:spacing w:val="-1"/>
          <w:w w:val="105"/>
          <w:sz w:val="15"/>
        </w:rPr>
        <w:t xml:space="preserve"> </w:t>
      </w:r>
      <w:r>
        <w:rPr>
          <w:color w:val="0075BF"/>
          <w:w w:val="105"/>
          <w:sz w:val="15"/>
        </w:rPr>
        <w:t>Expresión, este</w:t>
      </w:r>
      <w:r>
        <w:rPr>
          <w:color w:val="0075BF"/>
          <w:spacing w:val="-1"/>
          <w:w w:val="105"/>
          <w:sz w:val="15"/>
        </w:rPr>
        <w:t xml:space="preserve"> </w:t>
      </w:r>
      <w:r>
        <w:rPr>
          <w:color w:val="0075BF"/>
          <w:w w:val="105"/>
          <w:sz w:val="15"/>
        </w:rPr>
        <w:t>tipo</w:t>
      </w:r>
      <w:r>
        <w:rPr>
          <w:color w:val="0075BF"/>
          <w:spacing w:val="-1"/>
          <w:w w:val="105"/>
          <w:sz w:val="15"/>
        </w:rPr>
        <w:t xml:space="preserve"> </w:t>
      </w:r>
      <w:r>
        <w:rPr>
          <w:color w:val="0075BF"/>
          <w:w w:val="105"/>
          <w:sz w:val="15"/>
        </w:rPr>
        <w:t>de medidas atacan la raíz cultural de la discriminación sistemática. Como tales, pueden ser instrumentos valiosos para identificar y refutar el discurso de odio y fomentar el desarrollo de una sociedad basada en los principios de diversidad, pluralismo y tolerancia.1210</w:t>
      </w:r>
    </w:p>
    <w:p w14:paraId="69BA2A27" w14:textId="77777777" w:rsidR="0014798C" w:rsidRDefault="0014798C">
      <w:pPr>
        <w:pStyle w:val="Textoindependiente"/>
        <w:rPr>
          <w:sz w:val="15"/>
        </w:rPr>
      </w:pPr>
    </w:p>
    <w:p w14:paraId="25F003F8" w14:textId="77777777" w:rsidR="0014798C" w:rsidRDefault="0014798C">
      <w:pPr>
        <w:pStyle w:val="Textoindependiente"/>
        <w:spacing w:before="15"/>
        <w:rPr>
          <w:sz w:val="15"/>
        </w:rPr>
      </w:pPr>
    </w:p>
    <w:p w14:paraId="03D506DB" w14:textId="77777777" w:rsidR="0014798C" w:rsidRDefault="004E1F0B">
      <w:pPr>
        <w:spacing w:before="1" w:line="348" w:lineRule="auto"/>
        <w:ind w:left="1106" w:right="1272" w:firstLine="1"/>
        <w:rPr>
          <w:sz w:val="15"/>
        </w:rPr>
      </w:pPr>
      <w:r>
        <w:rPr>
          <w:w w:val="105"/>
          <w:sz w:val="15"/>
        </w:rPr>
        <w:t>Es por estas razones que las orientaciones detalladas sobre la implementación de la Estrategia y Plan de Acción de las Naciones Unidas</w:t>
      </w:r>
      <w:r>
        <w:rPr>
          <w:spacing w:val="-4"/>
          <w:w w:val="105"/>
          <w:sz w:val="15"/>
        </w:rPr>
        <w:t xml:space="preserve"> </w:t>
      </w:r>
      <w:r>
        <w:rPr>
          <w:w w:val="105"/>
          <w:sz w:val="15"/>
        </w:rPr>
        <w:t>sobre</w:t>
      </w:r>
      <w:r>
        <w:rPr>
          <w:spacing w:val="-4"/>
          <w:w w:val="105"/>
          <w:sz w:val="15"/>
        </w:rPr>
        <w:t xml:space="preserve"> </w:t>
      </w:r>
      <w:r>
        <w:rPr>
          <w:w w:val="105"/>
          <w:sz w:val="15"/>
        </w:rPr>
        <w:t>el</w:t>
      </w:r>
      <w:r>
        <w:rPr>
          <w:spacing w:val="-4"/>
          <w:w w:val="105"/>
          <w:sz w:val="15"/>
        </w:rPr>
        <w:t xml:space="preserve"> </w:t>
      </w:r>
      <w:r>
        <w:rPr>
          <w:w w:val="105"/>
          <w:sz w:val="15"/>
        </w:rPr>
        <w:t>discurso</w:t>
      </w:r>
      <w:r>
        <w:rPr>
          <w:spacing w:val="-4"/>
          <w:w w:val="105"/>
          <w:sz w:val="15"/>
        </w:rPr>
        <w:t xml:space="preserve"> </w:t>
      </w:r>
      <w:r>
        <w:rPr>
          <w:w w:val="105"/>
          <w:sz w:val="15"/>
        </w:rPr>
        <w:t>de</w:t>
      </w:r>
      <w:r>
        <w:rPr>
          <w:spacing w:val="-4"/>
          <w:w w:val="105"/>
          <w:sz w:val="15"/>
        </w:rPr>
        <w:t xml:space="preserve"> </w:t>
      </w:r>
      <w:r>
        <w:rPr>
          <w:w w:val="105"/>
          <w:sz w:val="15"/>
        </w:rPr>
        <w:t>odio</w:t>
      </w:r>
      <w:r>
        <w:rPr>
          <w:spacing w:val="-4"/>
          <w:w w:val="105"/>
          <w:sz w:val="15"/>
        </w:rPr>
        <w:t xml:space="preserve"> </w:t>
      </w:r>
      <w:r>
        <w:rPr>
          <w:w w:val="105"/>
          <w:sz w:val="15"/>
        </w:rPr>
        <w:t>enfatizan</w:t>
      </w:r>
      <w:r>
        <w:rPr>
          <w:spacing w:val="-4"/>
          <w:w w:val="105"/>
          <w:sz w:val="15"/>
        </w:rPr>
        <w:t xml:space="preserve"> </w:t>
      </w:r>
      <w:r>
        <w:rPr>
          <w:w w:val="105"/>
          <w:sz w:val="15"/>
        </w:rPr>
        <w:t>que:</w:t>
      </w:r>
      <w:r>
        <w:rPr>
          <w:spacing w:val="-4"/>
          <w:w w:val="105"/>
          <w:sz w:val="15"/>
        </w:rPr>
        <w:t xml:space="preserve"> </w:t>
      </w:r>
      <w:r>
        <w:rPr>
          <w:w w:val="105"/>
          <w:sz w:val="15"/>
        </w:rPr>
        <w:t>“La</w:t>
      </w:r>
      <w:r>
        <w:rPr>
          <w:spacing w:val="-4"/>
          <w:w w:val="105"/>
          <w:sz w:val="15"/>
        </w:rPr>
        <w:t xml:space="preserve"> </w:t>
      </w:r>
      <w:r>
        <w:rPr>
          <w:w w:val="105"/>
          <w:sz w:val="15"/>
        </w:rPr>
        <w:t>condena</w:t>
      </w:r>
      <w:r>
        <w:rPr>
          <w:spacing w:val="-4"/>
          <w:w w:val="105"/>
          <w:sz w:val="15"/>
        </w:rPr>
        <w:t xml:space="preserve"> </w:t>
      </w:r>
      <w:r>
        <w:rPr>
          <w:w w:val="105"/>
          <w:sz w:val="15"/>
        </w:rPr>
        <w:t>pública</w:t>
      </w:r>
      <w:r>
        <w:rPr>
          <w:spacing w:val="-4"/>
          <w:w w:val="105"/>
          <w:sz w:val="15"/>
        </w:rPr>
        <w:t xml:space="preserve"> </w:t>
      </w:r>
      <w:r>
        <w:rPr>
          <w:w w:val="105"/>
          <w:sz w:val="15"/>
        </w:rPr>
        <w:t>del</w:t>
      </w:r>
      <w:r>
        <w:rPr>
          <w:spacing w:val="-4"/>
          <w:w w:val="105"/>
          <w:sz w:val="15"/>
        </w:rPr>
        <w:t xml:space="preserve"> </w:t>
      </w:r>
      <w:r>
        <w:rPr>
          <w:w w:val="105"/>
          <w:sz w:val="15"/>
        </w:rPr>
        <w:t>discurso</w:t>
      </w:r>
      <w:r>
        <w:rPr>
          <w:spacing w:val="-4"/>
          <w:w w:val="105"/>
          <w:sz w:val="15"/>
        </w:rPr>
        <w:t xml:space="preserve"> </w:t>
      </w:r>
      <w:r>
        <w:rPr>
          <w:w w:val="105"/>
          <w:sz w:val="15"/>
        </w:rPr>
        <w:t>de</w:t>
      </w:r>
      <w:r>
        <w:rPr>
          <w:spacing w:val="-4"/>
          <w:w w:val="105"/>
          <w:sz w:val="15"/>
        </w:rPr>
        <w:t xml:space="preserve"> </w:t>
      </w:r>
      <w:r>
        <w:rPr>
          <w:w w:val="105"/>
          <w:sz w:val="15"/>
        </w:rPr>
        <w:t>odio,</w:t>
      </w:r>
      <w:r>
        <w:rPr>
          <w:spacing w:val="-3"/>
          <w:w w:val="105"/>
          <w:sz w:val="15"/>
        </w:rPr>
        <w:t xml:space="preserve"> </w:t>
      </w:r>
      <w:r>
        <w:rPr>
          <w:w w:val="105"/>
          <w:sz w:val="15"/>
        </w:rPr>
        <w:t>la</w:t>
      </w:r>
      <w:r>
        <w:rPr>
          <w:spacing w:val="-4"/>
          <w:w w:val="105"/>
          <w:sz w:val="15"/>
        </w:rPr>
        <w:t xml:space="preserve"> </w:t>
      </w:r>
      <w:r>
        <w:rPr>
          <w:w w:val="105"/>
          <w:sz w:val="15"/>
        </w:rPr>
        <w:t>rendición</w:t>
      </w:r>
      <w:r>
        <w:rPr>
          <w:spacing w:val="-4"/>
          <w:w w:val="105"/>
          <w:sz w:val="15"/>
        </w:rPr>
        <w:t xml:space="preserve"> </w:t>
      </w:r>
      <w:r>
        <w:rPr>
          <w:w w:val="105"/>
          <w:sz w:val="15"/>
        </w:rPr>
        <w:t>de</w:t>
      </w:r>
      <w:r>
        <w:rPr>
          <w:spacing w:val="-4"/>
          <w:w w:val="105"/>
          <w:sz w:val="15"/>
        </w:rPr>
        <w:t xml:space="preserve"> </w:t>
      </w:r>
      <w:r>
        <w:rPr>
          <w:w w:val="105"/>
          <w:sz w:val="15"/>
        </w:rPr>
        <w:t>cuentas</w:t>
      </w:r>
      <w:r>
        <w:rPr>
          <w:spacing w:val="-4"/>
          <w:w w:val="105"/>
          <w:sz w:val="15"/>
        </w:rPr>
        <w:t xml:space="preserve"> </w:t>
      </w:r>
      <w:r>
        <w:rPr>
          <w:w w:val="105"/>
          <w:sz w:val="15"/>
        </w:rPr>
        <w:t>por</w:t>
      </w:r>
      <w:r>
        <w:rPr>
          <w:spacing w:val="-4"/>
          <w:w w:val="105"/>
          <w:sz w:val="15"/>
        </w:rPr>
        <w:t xml:space="preserve"> </w:t>
      </w:r>
      <w:r>
        <w:rPr>
          <w:w w:val="105"/>
          <w:sz w:val="15"/>
        </w:rPr>
        <w:t>los</w:t>
      </w:r>
      <w:r>
        <w:rPr>
          <w:spacing w:val="-4"/>
          <w:w w:val="105"/>
          <w:sz w:val="15"/>
        </w:rPr>
        <w:t xml:space="preserve"> </w:t>
      </w:r>
      <w:r>
        <w:rPr>
          <w:w w:val="105"/>
          <w:sz w:val="15"/>
        </w:rPr>
        <w:t>ataques</w:t>
      </w:r>
      <w:r>
        <w:rPr>
          <w:spacing w:val="-4"/>
          <w:w w:val="105"/>
          <w:sz w:val="15"/>
        </w:rPr>
        <w:t xml:space="preserve"> </w:t>
      </w:r>
      <w:r>
        <w:rPr>
          <w:w w:val="105"/>
          <w:sz w:val="15"/>
        </w:rPr>
        <w:t>a quienes ejercen su derecho a la libertad de expresión y la aceleración de las protestas públicas medidas políticas sobre el</w:t>
      </w:r>
    </w:p>
    <w:p w14:paraId="1E74B728" w14:textId="77777777" w:rsidR="0014798C" w:rsidRDefault="0014798C">
      <w:pPr>
        <w:pStyle w:val="Textoindependiente"/>
        <w:rPr>
          <w:sz w:val="20"/>
        </w:rPr>
      </w:pPr>
    </w:p>
    <w:p w14:paraId="7EA34AD3" w14:textId="77777777" w:rsidR="0014798C" w:rsidRDefault="0014798C">
      <w:pPr>
        <w:pStyle w:val="Textoindependiente"/>
        <w:rPr>
          <w:sz w:val="20"/>
        </w:rPr>
      </w:pPr>
    </w:p>
    <w:p w14:paraId="597A83ED" w14:textId="77777777" w:rsidR="0014798C" w:rsidRDefault="004E1F0B">
      <w:pPr>
        <w:pStyle w:val="Textoindependiente"/>
        <w:spacing w:before="189"/>
        <w:rPr>
          <w:sz w:val="20"/>
        </w:rPr>
      </w:pPr>
      <w:r>
        <w:rPr>
          <w:noProof/>
        </w:rPr>
        <w:drawing>
          <wp:anchor distT="0" distB="0" distL="0" distR="0" simplePos="0" relativeHeight="251658562" behindDoc="1" locked="0" layoutInCell="1" allowOverlap="1" wp14:anchorId="001E4AEF" wp14:editId="252D5B4A">
            <wp:simplePos x="0" y="0"/>
            <wp:positionH relativeFrom="page">
              <wp:posOffset>826632</wp:posOffset>
            </wp:positionH>
            <wp:positionV relativeFrom="paragraph">
              <wp:posOffset>281884</wp:posOffset>
            </wp:positionV>
            <wp:extent cx="931001" cy="35813"/>
            <wp:effectExtent l="0" t="0" r="0" b="0"/>
            <wp:wrapTopAndBottom/>
            <wp:docPr id="370" name="Image 37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70" name="Image 370"/>
                    <pic:cNvPicPr/>
                  </pic:nvPicPr>
                  <pic:blipFill>
                    <a:blip r:embed="rId341" cstate="print"/>
                    <a:stretch>
                      <a:fillRect/>
                    </a:stretch>
                  </pic:blipFill>
                  <pic:spPr>
                    <a:xfrm>
                      <a:off x="0" y="0"/>
                      <a:ext cx="931001" cy="35813"/>
                    </a:xfrm>
                    <a:prstGeom prst="rect">
                      <a:avLst/>
                    </a:prstGeom>
                  </pic:spPr>
                </pic:pic>
              </a:graphicData>
            </a:graphic>
          </wp:anchor>
        </w:drawing>
      </w:r>
    </w:p>
    <w:p w14:paraId="4C23FDED" w14:textId="77777777" w:rsidR="0014798C" w:rsidRDefault="0014798C">
      <w:pPr>
        <w:pStyle w:val="Textoindependiente"/>
        <w:spacing w:before="52"/>
        <w:rPr>
          <w:sz w:val="11"/>
        </w:rPr>
      </w:pPr>
    </w:p>
    <w:p w14:paraId="1BD15D58" w14:textId="77777777" w:rsidR="0014798C" w:rsidRDefault="004E1F0B">
      <w:pPr>
        <w:ind w:left="1111"/>
        <w:rPr>
          <w:sz w:val="11"/>
        </w:rPr>
      </w:pPr>
      <w:r>
        <w:rPr>
          <w:sz w:val="11"/>
        </w:rPr>
        <w:t>1199</w:t>
      </w:r>
      <w:r>
        <w:rPr>
          <w:spacing w:val="-6"/>
          <w:sz w:val="11"/>
        </w:rPr>
        <w:t xml:space="preserve"> </w:t>
      </w:r>
      <w:r>
        <w:rPr>
          <w:sz w:val="11"/>
        </w:rPr>
        <w:t>De</w:t>
      </w:r>
      <w:r>
        <w:rPr>
          <w:spacing w:val="-5"/>
          <w:sz w:val="11"/>
        </w:rPr>
        <w:t xml:space="preserve"> </w:t>
      </w:r>
      <w:r>
        <w:rPr>
          <w:sz w:val="11"/>
        </w:rPr>
        <w:t>particular</w:t>
      </w:r>
      <w:r>
        <w:rPr>
          <w:spacing w:val="-6"/>
          <w:sz w:val="11"/>
        </w:rPr>
        <w:t xml:space="preserve"> </w:t>
      </w:r>
      <w:r>
        <w:rPr>
          <w:sz w:val="11"/>
        </w:rPr>
        <w:t>interés</w:t>
      </w:r>
      <w:r>
        <w:rPr>
          <w:spacing w:val="-5"/>
          <w:sz w:val="11"/>
        </w:rPr>
        <w:t xml:space="preserve"> </w:t>
      </w:r>
      <w:r>
        <w:rPr>
          <w:sz w:val="11"/>
        </w:rPr>
        <w:t>en</w:t>
      </w:r>
      <w:r>
        <w:rPr>
          <w:spacing w:val="-6"/>
          <w:sz w:val="11"/>
        </w:rPr>
        <w:t xml:space="preserve"> </w:t>
      </w:r>
      <w:r>
        <w:rPr>
          <w:sz w:val="11"/>
        </w:rPr>
        <w:t>los</w:t>
      </w:r>
      <w:r>
        <w:rPr>
          <w:spacing w:val="-5"/>
          <w:sz w:val="11"/>
        </w:rPr>
        <w:t xml:space="preserve"> </w:t>
      </w:r>
      <w:r>
        <w:rPr>
          <w:sz w:val="11"/>
        </w:rPr>
        <w:t>últimos</w:t>
      </w:r>
      <w:r>
        <w:rPr>
          <w:spacing w:val="-6"/>
          <w:sz w:val="11"/>
        </w:rPr>
        <w:t xml:space="preserve"> </w:t>
      </w:r>
      <w:r>
        <w:rPr>
          <w:sz w:val="11"/>
        </w:rPr>
        <w:t>años</w:t>
      </w:r>
      <w:r>
        <w:rPr>
          <w:spacing w:val="-5"/>
          <w:sz w:val="11"/>
        </w:rPr>
        <w:t xml:space="preserve"> </w:t>
      </w:r>
      <w:r>
        <w:rPr>
          <w:sz w:val="11"/>
        </w:rPr>
        <w:t>ha</w:t>
      </w:r>
      <w:r>
        <w:rPr>
          <w:spacing w:val="-6"/>
          <w:sz w:val="11"/>
        </w:rPr>
        <w:t xml:space="preserve"> </w:t>
      </w:r>
      <w:r>
        <w:rPr>
          <w:sz w:val="11"/>
        </w:rPr>
        <w:t>sido</w:t>
      </w:r>
      <w:r>
        <w:rPr>
          <w:spacing w:val="-5"/>
          <w:sz w:val="11"/>
        </w:rPr>
        <w:t xml:space="preserve"> </w:t>
      </w:r>
      <w:r>
        <w:rPr>
          <w:sz w:val="11"/>
        </w:rPr>
        <w:t>el</w:t>
      </w:r>
      <w:r>
        <w:rPr>
          <w:spacing w:val="-5"/>
          <w:sz w:val="11"/>
        </w:rPr>
        <w:t xml:space="preserve"> </w:t>
      </w:r>
      <w:r>
        <w:rPr>
          <w:sz w:val="11"/>
        </w:rPr>
        <w:t>escrutinio</w:t>
      </w:r>
      <w:r>
        <w:rPr>
          <w:spacing w:val="-6"/>
          <w:sz w:val="11"/>
        </w:rPr>
        <w:t xml:space="preserve"> </w:t>
      </w:r>
      <w:r>
        <w:rPr>
          <w:sz w:val="11"/>
        </w:rPr>
        <w:t>de</w:t>
      </w:r>
      <w:r>
        <w:rPr>
          <w:spacing w:val="-5"/>
          <w:sz w:val="11"/>
        </w:rPr>
        <w:t xml:space="preserve"> </w:t>
      </w:r>
      <w:r>
        <w:rPr>
          <w:sz w:val="11"/>
        </w:rPr>
        <w:t>alto</w:t>
      </w:r>
      <w:r>
        <w:rPr>
          <w:spacing w:val="-6"/>
          <w:sz w:val="11"/>
        </w:rPr>
        <w:t xml:space="preserve"> </w:t>
      </w:r>
      <w:r>
        <w:rPr>
          <w:sz w:val="11"/>
        </w:rPr>
        <w:t>nivel</w:t>
      </w:r>
      <w:r>
        <w:rPr>
          <w:spacing w:val="-5"/>
          <w:sz w:val="11"/>
        </w:rPr>
        <w:t xml:space="preserve"> </w:t>
      </w:r>
      <w:r>
        <w:rPr>
          <w:sz w:val="11"/>
        </w:rPr>
        <w:t>del</w:t>
      </w:r>
      <w:r>
        <w:rPr>
          <w:spacing w:val="-6"/>
          <w:sz w:val="11"/>
        </w:rPr>
        <w:t xml:space="preserve"> </w:t>
      </w:r>
      <w:r>
        <w:rPr>
          <w:sz w:val="11"/>
        </w:rPr>
        <w:t>papel</w:t>
      </w:r>
      <w:r>
        <w:rPr>
          <w:spacing w:val="-5"/>
          <w:sz w:val="11"/>
        </w:rPr>
        <w:t xml:space="preserve"> </w:t>
      </w:r>
      <w:r>
        <w:rPr>
          <w:sz w:val="11"/>
        </w:rPr>
        <w:t>de</w:t>
      </w:r>
      <w:r>
        <w:rPr>
          <w:spacing w:val="-6"/>
          <w:sz w:val="11"/>
        </w:rPr>
        <w:t xml:space="preserve"> </w:t>
      </w:r>
      <w:r>
        <w:rPr>
          <w:sz w:val="11"/>
        </w:rPr>
        <w:t>Facebook</w:t>
      </w:r>
      <w:r>
        <w:rPr>
          <w:spacing w:val="-5"/>
          <w:sz w:val="11"/>
        </w:rPr>
        <w:t xml:space="preserve"> </w:t>
      </w:r>
      <w:r>
        <w:rPr>
          <w:sz w:val="11"/>
        </w:rPr>
        <w:t>en</w:t>
      </w:r>
      <w:r>
        <w:rPr>
          <w:spacing w:val="-5"/>
          <w:sz w:val="11"/>
        </w:rPr>
        <w:t xml:space="preserve"> </w:t>
      </w:r>
      <w:r>
        <w:rPr>
          <w:sz w:val="11"/>
        </w:rPr>
        <w:t>la</w:t>
      </w:r>
      <w:r>
        <w:rPr>
          <w:spacing w:val="-6"/>
          <w:sz w:val="11"/>
        </w:rPr>
        <w:t xml:space="preserve"> </w:t>
      </w:r>
      <w:r>
        <w:rPr>
          <w:sz w:val="11"/>
        </w:rPr>
        <w:t>incitación</w:t>
      </w:r>
      <w:r>
        <w:rPr>
          <w:spacing w:val="-5"/>
          <w:sz w:val="11"/>
        </w:rPr>
        <w:t xml:space="preserve"> </w:t>
      </w:r>
      <w:r>
        <w:rPr>
          <w:sz w:val="11"/>
        </w:rPr>
        <w:t>al</w:t>
      </w:r>
      <w:r>
        <w:rPr>
          <w:spacing w:val="-6"/>
          <w:sz w:val="11"/>
        </w:rPr>
        <w:t xml:space="preserve"> </w:t>
      </w:r>
      <w:r>
        <w:rPr>
          <w:sz w:val="11"/>
        </w:rPr>
        <w:t>odio</w:t>
      </w:r>
      <w:r>
        <w:rPr>
          <w:spacing w:val="-5"/>
          <w:sz w:val="11"/>
        </w:rPr>
        <w:t xml:space="preserve"> </w:t>
      </w:r>
      <w:r>
        <w:rPr>
          <w:sz w:val="11"/>
        </w:rPr>
        <w:t>hacia</w:t>
      </w:r>
      <w:r>
        <w:rPr>
          <w:spacing w:val="-6"/>
          <w:sz w:val="11"/>
        </w:rPr>
        <w:t xml:space="preserve"> </w:t>
      </w:r>
      <w:r>
        <w:rPr>
          <w:sz w:val="11"/>
        </w:rPr>
        <w:t>los</w:t>
      </w:r>
      <w:r>
        <w:rPr>
          <w:spacing w:val="-5"/>
          <w:sz w:val="11"/>
        </w:rPr>
        <w:t xml:space="preserve"> </w:t>
      </w:r>
      <w:proofErr w:type="spellStart"/>
      <w:r>
        <w:rPr>
          <w:sz w:val="11"/>
        </w:rPr>
        <w:t>rohingya</w:t>
      </w:r>
      <w:proofErr w:type="spellEnd"/>
      <w:r>
        <w:rPr>
          <w:spacing w:val="-6"/>
          <w:sz w:val="11"/>
        </w:rPr>
        <w:t xml:space="preserve"> </w:t>
      </w:r>
      <w:r>
        <w:rPr>
          <w:sz w:val="11"/>
        </w:rPr>
        <w:t>en</w:t>
      </w:r>
      <w:r>
        <w:rPr>
          <w:spacing w:val="-5"/>
          <w:sz w:val="11"/>
        </w:rPr>
        <w:t xml:space="preserve"> </w:t>
      </w:r>
      <w:r>
        <w:rPr>
          <w:spacing w:val="-2"/>
          <w:sz w:val="11"/>
        </w:rPr>
        <w:t>Myanmar.</w:t>
      </w:r>
    </w:p>
    <w:p w14:paraId="49F6B031" w14:textId="77777777" w:rsidR="0014798C" w:rsidRDefault="004E1F0B">
      <w:pPr>
        <w:spacing w:before="36" w:line="312" w:lineRule="auto"/>
        <w:ind w:left="1368" w:right="1917" w:firstLine="2"/>
        <w:rPr>
          <w:sz w:val="12"/>
        </w:rPr>
      </w:pPr>
      <w:r>
        <w:rPr>
          <w:sz w:val="12"/>
        </w:rPr>
        <w:t>Véase</w:t>
      </w:r>
      <w:r>
        <w:rPr>
          <w:spacing w:val="-4"/>
          <w:sz w:val="12"/>
        </w:rPr>
        <w:t xml:space="preserve"> </w:t>
      </w:r>
      <w:r>
        <w:rPr>
          <w:sz w:val="12"/>
        </w:rPr>
        <w:t>el</w:t>
      </w:r>
      <w:r>
        <w:rPr>
          <w:spacing w:val="-4"/>
          <w:sz w:val="12"/>
        </w:rPr>
        <w:t xml:space="preserve"> </w:t>
      </w:r>
      <w:r>
        <w:rPr>
          <w:sz w:val="12"/>
        </w:rPr>
        <w:t>informe</w:t>
      </w:r>
      <w:r>
        <w:rPr>
          <w:spacing w:val="-4"/>
          <w:sz w:val="12"/>
        </w:rPr>
        <w:t xml:space="preserve"> </w:t>
      </w:r>
      <w:r>
        <w:rPr>
          <w:sz w:val="12"/>
        </w:rPr>
        <w:t>de</w:t>
      </w:r>
      <w:r>
        <w:rPr>
          <w:spacing w:val="-4"/>
          <w:sz w:val="12"/>
        </w:rPr>
        <w:t xml:space="preserve"> </w:t>
      </w:r>
      <w:r>
        <w:rPr>
          <w:sz w:val="12"/>
        </w:rPr>
        <w:t>las</w:t>
      </w:r>
      <w:r>
        <w:rPr>
          <w:spacing w:val="-4"/>
          <w:sz w:val="12"/>
        </w:rPr>
        <w:t xml:space="preserve"> </w:t>
      </w:r>
      <w:r>
        <w:rPr>
          <w:sz w:val="12"/>
        </w:rPr>
        <w:t>conclusiones</w:t>
      </w:r>
      <w:r>
        <w:rPr>
          <w:spacing w:val="-4"/>
          <w:sz w:val="12"/>
        </w:rPr>
        <w:t xml:space="preserve"> </w:t>
      </w:r>
      <w:r>
        <w:rPr>
          <w:sz w:val="12"/>
        </w:rPr>
        <w:t>detalladas</w:t>
      </w:r>
      <w:r>
        <w:rPr>
          <w:spacing w:val="-4"/>
          <w:sz w:val="12"/>
        </w:rPr>
        <w:t xml:space="preserve"> </w:t>
      </w:r>
      <w:r>
        <w:rPr>
          <w:sz w:val="12"/>
        </w:rPr>
        <w:t>de</w:t>
      </w:r>
      <w:r>
        <w:rPr>
          <w:spacing w:val="-4"/>
          <w:sz w:val="12"/>
        </w:rPr>
        <w:t xml:space="preserve"> </w:t>
      </w:r>
      <w:r>
        <w:rPr>
          <w:sz w:val="12"/>
        </w:rPr>
        <w:t>la</w:t>
      </w:r>
      <w:r>
        <w:rPr>
          <w:spacing w:val="-4"/>
          <w:sz w:val="12"/>
        </w:rPr>
        <w:t xml:space="preserve"> </w:t>
      </w:r>
      <w:r>
        <w:rPr>
          <w:sz w:val="12"/>
        </w:rPr>
        <w:t>misión</w:t>
      </w:r>
      <w:r>
        <w:rPr>
          <w:spacing w:val="-4"/>
          <w:sz w:val="12"/>
        </w:rPr>
        <w:t xml:space="preserve"> </w:t>
      </w:r>
      <w:r>
        <w:rPr>
          <w:sz w:val="12"/>
        </w:rPr>
        <w:t>internacional</w:t>
      </w:r>
      <w:r>
        <w:rPr>
          <w:spacing w:val="-4"/>
          <w:sz w:val="12"/>
        </w:rPr>
        <w:t xml:space="preserve"> </w:t>
      </w:r>
      <w:r>
        <w:rPr>
          <w:sz w:val="12"/>
        </w:rPr>
        <w:t>independiente</w:t>
      </w:r>
      <w:r>
        <w:rPr>
          <w:spacing w:val="-4"/>
          <w:sz w:val="12"/>
        </w:rPr>
        <w:t xml:space="preserve"> </w:t>
      </w:r>
      <w:r>
        <w:rPr>
          <w:sz w:val="12"/>
        </w:rPr>
        <w:t>de</w:t>
      </w:r>
      <w:r>
        <w:rPr>
          <w:spacing w:val="-4"/>
          <w:sz w:val="12"/>
        </w:rPr>
        <w:t xml:space="preserve"> </w:t>
      </w:r>
      <w:r>
        <w:rPr>
          <w:sz w:val="12"/>
        </w:rPr>
        <w:t>investigación</w:t>
      </w:r>
      <w:r>
        <w:rPr>
          <w:spacing w:val="-4"/>
          <w:sz w:val="12"/>
        </w:rPr>
        <w:t xml:space="preserve"> </w:t>
      </w:r>
      <w:r>
        <w:rPr>
          <w:sz w:val="12"/>
        </w:rPr>
        <w:t>sobre</w:t>
      </w:r>
      <w:r>
        <w:rPr>
          <w:spacing w:val="-4"/>
          <w:sz w:val="12"/>
        </w:rPr>
        <w:t xml:space="preserve"> </w:t>
      </w:r>
      <w:r>
        <w:rPr>
          <w:sz w:val="12"/>
        </w:rPr>
        <w:t>Myanmar,</w:t>
      </w:r>
      <w:r>
        <w:rPr>
          <w:spacing w:val="-3"/>
          <w:sz w:val="12"/>
        </w:rPr>
        <w:t xml:space="preserve"> </w:t>
      </w:r>
      <w:r>
        <w:rPr>
          <w:sz w:val="12"/>
        </w:rPr>
        <w:t>incluidos</w:t>
      </w:r>
      <w:r>
        <w:rPr>
          <w:spacing w:val="-4"/>
          <w:sz w:val="12"/>
        </w:rPr>
        <w:t xml:space="preserve"> </w:t>
      </w:r>
      <w:r>
        <w:rPr>
          <w:sz w:val="12"/>
        </w:rPr>
        <w:t>detalles</w:t>
      </w:r>
      <w:r>
        <w:rPr>
          <w:spacing w:val="-4"/>
          <w:sz w:val="12"/>
        </w:rPr>
        <w:t xml:space="preserve"> </w:t>
      </w:r>
      <w:r>
        <w:rPr>
          <w:sz w:val="12"/>
        </w:rPr>
        <w:t>sobre</w:t>
      </w:r>
      <w:r>
        <w:rPr>
          <w:spacing w:val="-4"/>
          <w:sz w:val="12"/>
        </w:rPr>
        <w:t xml:space="preserve"> </w:t>
      </w:r>
      <w:r>
        <w:rPr>
          <w:sz w:val="12"/>
        </w:rPr>
        <w:t>el</w:t>
      </w:r>
      <w:r>
        <w:rPr>
          <w:spacing w:val="-4"/>
          <w:sz w:val="12"/>
        </w:rPr>
        <w:t xml:space="preserve"> </w:t>
      </w:r>
      <w:r>
        <w:rPr>
          <w:sz w:val="12"/>
        </w:rPr>
        <w:t>papel</w:t>
      </w:r>
      <w:r>
        <w:rPr>
          <w:spacing w:val="-4"/>
          <w:sz w:val="12"/>
        </w:rPr>
        <w:t xml:space="preserve"> </w:t>
      </w:r>
      <w:r>
        <w:rPr>
          <w:sz w:val="12"/>
        </w:rPr>
        <w:t>de</w:t>
      </w:r>
      <w:r>
        <w:rPr>
          <w:spacing w:val="40"/>
          <w:sz w:val="12"/>
        </w:rPr>
        <w:t xml:space="preserve"> </w:t>
      </w:r>
      <w:r>
        <w:rPr>
          <w:sz w:val="12"/>
        </w:rPr>
        <w:t xml:space="preserve">Facebook, p. 339 y ss. Disponible en </w:t>
      </w:r>
      <w:hyperlink r:id="rId342">
        <w:r>
          <w:rPr>
            <w:color w:val="0075BF"/>
            <w:sz w:val="12"/>
          </w:rPr>
          <w:t>www.ohchr.org/en/hr-bodies/hrc/myanmar-ffm/reportofthe-myanmar-ffm.</w:t>
        </w:r>
      </w:hyperlink>
    </w:p>
    <w:p w14:paraId="17D21C9F" w14:textId="77777777" w:rsidR="0014798C" w:rsidRDefault="004E1F0B">
      <w:pPr>
        <w:spacing w:before="53"/>
        <w:ind w:left="1111"/>
        <w:rPr>
          <w:sz w:val="12"/>
        </w:rPr>
      </w:pPr>
      <w:r>
        <w:rPr>
          <w:spacing w:val="-2"/>
          <w:w w:val="105"/>
          <w:sz w:val="12"/>
        </w:rPr>
        <w:t>1200</w:t>
      </w:r>
      <w:r>
        <w:rPr>
          <w:spacing w:val="-3"/>
          <w:w w:val="105"/>
          <w:sz w:val="12"/>
        </w:rPr>
        <w:t xml:space="preserve"> </w:t>
      </w:r>
      <w:r>
        <w:rPr>
          <w:spacing w:val="-2"/>
          <w:w w:val="105"/>
          <w:sz w:val="12"/>
        </w:rPr>
        <w:t xml:space="preserve">Véase </w:t>
      </w:r>
      <w:hyperlink r:id="rId343">
        <w:r>
          <w:rPr>
            <w:color w:val="0075BF"/>
            <w:spacing w:val="-2"/>
            <w:w w:val="105"/>
            <w:sz w:val="12"/>
          </w:rPr>
          <w:t>https://oversightboard.com/decision.</w:t>
        </w:r>
      </w:hyperlink>
    </w:p>
    <w:p w14:paraId="72A0CAE9" w14:textId="77777777" w:rsidR="0014798C" w:rsidRDefault="004E1F0B">
      <w:pPr>
        <w:spacing w:before="17" w:line="230" w:lineRule="atLeast"/>
        <w:ind w:left="1111" w:right="4743"/>
        <w:rPr>
          <w:sz w:val="11"/>
        </w:rPr>
      </w:pPr>
      <w:r>
        <w:rPr>
          <w:sz w:val="11"/>
        </w:rPr>
        <w:t>1201</w:t>
      </w:r>
      <w:r>
        <w:rPr>
          <w:spacing w:val="-4"/>
          <w:sz w:val="11"/>
        </w:rPr>
        <w:t xml:space="preserve"> </w:t>
      </w:r>
      <w:r>
        <w:rPr>
          <w:sz w:val="11"/>
        </w:rPr>
        <w:t>Comité</w:t>
      </w:r>
      <w:r>
        <w:rPr>
          <w:spacing w:val="-4"/>
          <w:sz w:val="11"/>
        </w:rPr>
        <w:t xml:space="preserve"> </w:t>
      </w:r>
      <w:r>
        <w:rPr>
          <w:sz w:val="11"/>
        </w:rPr>
        <w:t>para</w:t>
      </w:r>
      <w:r>
        <w:rPr>
          <w:spacing w:val="-4"/>
          <w:sz w:val="11"/>
        </w:rPr>
        <w:t xml:space="preserve"> </w:t>
      </w:r>
      <w:r>
        <w:rPr>
          <w:sz w:val="11"/>
        </w:rPr>
        <w:t>la</w:t>
      </w:r>
      <w:r>
        <w:rPr>
          <w:spacing w:val="-4"/>
          <w:sz w:val="11"/>
        </w:rPr>
        <w:t xml:space="preserve"> </w:t>
      </w:r>
      <w:r>
        <w:rPr>
          <w:sz w:val="11"/>
        </w:rPr>
        <w:t>Eliminación</w:t>
      </w:r>
      <w:r>
        <w:rPr>
          <w:spacing w:val="-4"/>
          <w:sz w:val="11"/>
        </w:rPr>
        <w:t xml:space="preserve"> </w:t>
      </w:r>
      <w:r>
        <w:rPr>
          <w:sz w:val="11"/>
        </w:rPr>
        <w:t>de</w:t>
      </w:r>
      <w:r>
        <w:rPr>
          <w:spacing w:val="-4"/>
          <w:sz w:val="11"/>
        </w:rPr>
        <w:t xml:space="preserve"> </w:t>
      </w:r>
      <w:r>
        <w:rPr>
          <w:sz w:val="11"/>
        </w:rPr>
        <w:t>la</w:t>
      </w:r>
      <w:r>
        <w:rPr>
          <w:spacing w:val="-4"/>
          <w:sz w:val="11"/>
        </w:rPr>
        <w:t xml:space="preserve"> </w:t>
      </w:r>
      <w:r>
        <w:rPr>
          <w:sz w:val="11"/>
        </w:rPr>
        <w:t>Discriminación</w:t>
      </w:r>
      <w:r>
        <w:rPr>
          <w:spacing w:val="-4"/>
          <w:sz w:val="11"/>
        </w:rPr>
        <w:t xml:space="preserve"> </w:t>
      </w:r>
      <w:r>
        <w:rPr>
          <w:sz w:val="11"/>
        </w:rPr>
        <w:t>Racial,</w:t>
      </w:r>
      <w:r>
        <w:rPr>
          <w:spacing w:val="-3"/>
          <w:sz w:val="11"/>
        </w:rPr>
        <w:t xml:space="preserve"> </w:t>
      </w:r>
      <w:r>
        <w:rPr>
          <w:sz w:val="11"/>
        </w:rPr>
        <w:t>recomendación</w:t>
      </w:r>
      <w:r>
        <w:rPr>
          <w:spacing w:val="-4"/>
          <w:sz w:val="11"/>
        </w:rPr>
        <w:t xml:space="preserve"> </w:t>
      </w:r>
      <w:r>
        <w:rPr>
          <w:sz w:val="11"/>
        </w:rPr>
        <w:t>general</w:t>
      </w:r>
      <w:r>
        <w:rPr>
          <w:spacing w:val="-4"/>
          <w:sz w:val="11"/>
        </w:rPr>
        <w:t xml:space="preserve"> </w:t>
      </w:r>
      <w:r>
        <w:rPr>
          <w:sz w:val="11"/>
        </w:rPr>
        <w:t>núm.</w:t>
      </w:r>
      <w:r>
        <w:rPr>
          <w:spacing w:val="-4"/>
          <w:sz w:val="11"/>
        </w:rPr>
        <w:t xml:space="preserve"> </w:t>
      </w:r>
      <w:r>
        <w:rPr>
          <w:sz w:val="11"/>
        </w:rPr>
        <w:t>35</w:t>
      </w:r>
      <w:r>
        <w:rPr>
          <w:spacing w:val="-4"/>
          <w:sz w:val="11"/>
        </w:rPr>
        <w:t xml:space="preserve"> </w:t>
      </w:r>
      <w:r>
        <w:rPr>
          <w:sz w:val="11"/>
        </w:rPr>
        <w:t>(2013),</w:t>
      </w:r>
      <w:r>
        <w:rPr>
          <w:spacing w:val="-3"/>
          <w:sz w:val="11"/>
        </w:rPr>
        <w:t xml:space="preserve"> </w:t>
      </w:r>
      <w:proofErr w:type="spellStart"/>
      <w:r>
        <w:rPr>
          <w:sz w:val="11"/>
        </w:rPr>
        <w:t>párrs</w:t>
      </w:r>
      <w:proofErr w:type="spellEnd"/>
      <w:r>
        <w:rPr>
          <w:sz w:val="11"/>
        </w:rPr>
        <w:t>.</w:t>
      </w:r>
      <w:r>
        <w:rPr>
          <w:spacing w:val="-3"/>
          <w:sz w:val="11"/>
        </w:rPr>
        <w:t xml:space="preserve"> </w:t>
      </w:r>
      <w:r>
        <w:rPr>
          <w:sz w:val="11"/>
        </w:rPr>
        <w:t>29</w:t>
      </w:r>
      <w:r>
        <w:rPr>
          <w:spacing w:val="-4"/>
          <w:sz w:val="11"/>
        </w:rPr>
        <w:t xml:space="preserve"> </w:t>
      </w:r>
      <w:r>
        <w:rPr>
          <w:sz w:val="11"/>
        </w:rPr>
        <w:t>y</w:t>
      </w:r>
      <w:r>
        <w:rPr>
          <w:spacing w:val="-4"/>
          <w:sz w:val="11"/>
        </w:rPr>
        <w:t xml:space="preserve"> </w:t>
      </w:r>
      <w:r>
        <w:rPr>
          <w:sz w:val="11"/>
        </w:rPr>
        <w:t>40.</w:t>
      </w:r>
      <w:r>
        <w:rPr>
          <w:spacing w:val="40"/>
          <w:sz w:val="11"/>
        </w:rPr>
        <w:t xml:space="preserve"> </w:t>
      </w:r>
      <w:r>
        <w:rPr>
          <w:sz w:val="11"/>
        </w:rPr>
        <w:t>1202 Resolución 16/18 del Consejo de Derechos Humanos.</w:t>
      </w:r>
    </w:p>
    <w:p w14:paraId="1D9553F8" w14:textId="77777777" w:rsidR="0014798C" w:rsidRDefault="004E1F0B">
      <w:pPr>
        <w:spacing w:before="99"/>
        <w:ind w:left="1111"/>
        <w:rPr>
          <w:sz w:val="12"/>
        </w:rPr>
      </w:pPr>
      <w:r>
        <w:rPr>
          <w:sz w:val="12"/>
          <w:vertAlign w:val="superscript"/>
        </w:rPr>
        <w:t>1203</w:t>
      </w:r>
      <w:r>
        <w:rPr>
          <w:spacing w:val="31"/>
          <w:sz w:val="12"/>
        </w:rPr>
        <w:t xml:space="preserve"> </w:t>
      </w:r>
      <w:r>
        <w:rPr>
          <w:sz w:val="12"/>
        </w:rPr>
        <w:t>CCPR/C/SVK/CO/4,</w:t>
      </w:r>
      <w:r>
        <w:rPr>
          <w:spacing w:val="-4"/>
          <w:sz w:val="12"/>
        </w:rPr>
        <w:t xml:space="preserve"> </w:t>
      </w:r>
      <w:r>
        <w:rPr>
          <w:sz w:val="12"/>
        </w:rPr>
        <w:t>párr.</w:t>
      </w:r>
      <w:r>
        <w:rPr>
          <w:spacing w:val="-3"/>
          <w:sz w:val="12"/>
        </w:rPr>
        <w:t xml:space="preserve"> </w:t>
      </w:r>
      <w:r>
        <w:rPr>
          <w:spacing w:val="-5"/>
          <w:sz w:val="12"/>
        </w:rPr>
        <w:t>15.</w:t>
      </w:r>
    </w:p>
    <w:p w14:paraId="04C3065F" w14:textId="77777777" w:rsidR="0014798C" w:rsidRPr="00537489" w:rsidRDefault="004E1F0B">
      <w:pPr>
        <w:spacing w:before="116"/>
        <w:ind w:left="1111"/>
        <w:rPr>
          <w:sz w:val="11"/>
          <w:lang w:val="en-US"/>
        </w:rPr>
      </w:pPr>
      <w:r>
        <w:rPr>
          <w:spacing w:val="-2"/>
          <w:w w:val="95"/>
          <w:sz w:val="11"/>
        </w:rPr>
        <w:t>1204</w:t>
      </w:r>
      <w:r>
        <w:rPr>
          <w:spacing w:val="4"/>
          <w:sz w:val="11"/>
        </w:rPr>
        <w:t xml:space="preserve"> </w:t>
      </w:r>
      <w:proofErr w:type="spellStart"/>
      <w:r>
        <w:rPr>
          <w:spacing w:val="-2"/>
          <w:w w:val="95"/>
          <w:sz w:val="11"/>
        </w:rPr>
        <w:t>Ibíd</w:t>
      </w:r>
      <w:proofErr w:type="spellEnd"/>
      <w:r>
        <w:rPr>
          <w:spacing w:val="-2"/>
          <w:w w:val="95"/>
          <w:sz w:val="11"/>
        </w:rPr>
        <w:t>.;</w:t>
      </w:r>
      <w:r>
        <w:rPr>
          <w:spacing w:val="5"/>
          <w:sz w:val="11"/>
        </w:rPr>
        <w:t xml:space="preserve"> </w:t>
      </w:r>
      <w:r>
        <w:rPr>
          <w:spacing w:val="-2"/>
          <w:w w:val="95"/>
          <w:sz w:val="11"/>
        </w:rPr>
        <w:t>CCPR/C/LBN/CO/3,</w:t>
      </w:r>
      <w:r>
        <w:rPr>
          <w:spacing w:val="4"/>
          <w:sz w:val="11"/>
        </w:rPr>
        <w:t xml:space="preserve"> </w:t>
      </w:r>
      <w:r>
        <w:rPr>
          <w:spacing w:val="-2"/>
          <w:w w:val="95"/>
          <w:sz w:val="11"/>
        </w:rPr>
        <w:t>párr.</w:t>
      </w:r>
      <w:r>
        <w:rPr>
          <w:spacing w:val="6"/>
          <w:sz w:val="11"/>
        </w:rPr>
        <w:t xml:space="preserve"> </w:t>
      </w:r>
      <w:r>
        <w:rPr>
          <w:spacing w:val="-2"/>
          <w:w w:val="95"/>
          <w:sz w:val="11"/>
        </w:rPr>
        <w:t>14;</w:t>
      </w:r>
      <w:r>
        <w:rPr>
          <w:spacing w:val="5"/>
          <w:sz w:val="11"/>
        </w:rPr>
        <w:t xml:space="preserve"> </w:t>
      </w:r>
      <w:r>
        <w:rPr>
          <w:spacing w:val="-2"/>
          <w:w w:val="95"/>
          <w:sz w:val="11"/>
        </w:rPr>
        <w:t>CCPR/C/UZB/CO/4,</w:t>
      </w:r>
      <w:r>
        <w:rPr>
          <w:spacing w:val="4"/>
          <w:sz w:val="11"/>
        </w:rPr>
        <w:t xml:space="preserve"> </w:t>
      </w:r>
      <w:r>
        <w:rPr>
          <w:spacing w:val="-2"/>
          <w:w w:val="95"/>
          <w:sz w:val="11"/>
        </w:rPr>
        <w:t>párr.</w:t>
      </w:r>
      <w:r>
        <w:rPr>
          <w:spacing w:val="6"/>
          <w:sz w:val="11"/>
        </w:rPr>
        <w:t xml:space="preserve"> </w:t>
      </w:r>
      <w:r w:rsidRPr="00537489">
        <w:rPr>
          <w:spacing w:val="-2"/>
          <w:w w:val="90"/>
          <w:sz w:val="11"/>
          <w:lang w:val="en-US"/>
        </w:rPr>
        <w:t>7</w:t>
      </w:r>
      <w:r>
        <w:rPr>
          <w:spacing w:val="-2"/>
          <w:w w:val="90"/>
          <w:sz w:val="11"/>
        </w:rPr>
        <w:t>;</w:t>
      </w:r>
      <w:r w:rsidRPr="00537489">
        <w:rPr>
          <w:spacing w:val="4"/>
          <w:sz w:val="11"/>
          <w:lang w:val="en-US"/>
        </w:rPr>
        <w:t xml:space="preserve"> </w:t>
      </w:r>
      <w:r w:rsidRPr="00537489">
        <w:rPr>
          <w:spacing w:val="-2"/>
          <w:w w:val="95"/>
          <w:sz w:val="11"/>
          <w:lang w:val="en-US"/>
        </w:rPr>
        <w:t>CCPR/C/GEO/CO/4,</w:t>
      </w:r>
      <w:r w:rsidRPr="00537489">
        <w:rPr>
          <w:spacing w:val="5"/>
          <w:sz w:val="11"/>
          <w:lang w:val="en-US"/>
        </w:rPr>
        <w:t xml:space="preserve"> </w:t>
      </w:r>
      <w:proofErr w:type="spellStart"/>
      <w:r w:rsidRPr="00537489">
        <w:rPr>
          <w:spacing w:val="-2"/>
          <w:w w:val="95"/>
          <w:sz w:val="11"/>
          <w:lang w:val="en-US"/>
        </w:rPr>
        <w:t>párr</w:t>
      </w:r>
      <w:proofErr w:type="spellEnd"/>
      <w:r w:rsidRPr="00537489">
        <w:rPr>
          <w:spacing w:val="-2"/>
          <w:w w:val="95"/>
          <w:sz w:val="11"/>
          <w:lang w:val="en-US"/>
        </w:rPr>
        <w:t>.</w:t>
      </w:r>
      <w:r w:rsidRPr="00537489">
        <w:rPr>
          <w:spacing w:val="6"/>
          <w:sz w:val="11"/>
          <w:lang w:val="en-US"/>
        </w:rPr>
        <w:t xml:space="preserve"> </w:t>
      </w:r>
      <w:r w:rsidRPr="00537489">
        <w:rPr>
          <w:spacing w:val="-2"/>
          <w:w w:val="90"/>
          <w:sz w:val="11"/>
          <w:lang w:val="en-US"/>
        </w:rPr>
        <w:t>8</w:t>
      </w:r>
      <w:r>
        <w:rPr>
          <w:spacing w:val="-2"/>
          <w:w w:val="90"/>
          <w:sz w:val="11"/>
        </w:rPr>
        <w:t>;</w:t>
      </w:r>
      <w:r w:rsidRPr="00537489">
        <w:rPr>
          <w:spacing w:val="4"/>
          <w:sz w:val="11"/>
          <w:lang w:val="en-US"/>
        </w:rPr>
        <w:t xml:space="preserve"> </w:t>
      </w:r>
      <w:r w:rsidRPr="00537489">
        <w:rPr>
          <w:spacing w:val="-2"/>
          <w:w w:val="95"/>
          <w:sz w:val="11"/>
          <w:lang w:val="en-US"/>
        </w:rPr>
        <w:t>y</w:t>
      </w:r>
      <w:r w:rsidRPr="00537489">
        <w:rPr>
          <w:spacing w:val="5"/>
          <w:sz w:val="11"/>
          <w:lang w:val="en-US"/>
        </w:rPr>
        <w:t xml:space="preserve"> </w:t>
      </w:r>
      <w:r w:rsidRPr="00537489">
        <w:rPr>
          <w:spacing w:val="-2"/>
          <w:w w:val="95"/>
          <w:sz w:val="11"/>
          <w:lang w:val="en-US"/>
        </w:rPr>
        <w:t>CCPR/C/RUS/CO/7,</w:t>
      </w:r>
      <w:r w:rsidRPr="00537489">
        <w:rPr>
          <w:spacing w:val="4"/>
          <w:sz w:val="11"/>
          <w:lang w:val="en-US"/>
        </w:rPr>
        <w:t xml:space="preserve"> </w:t>
      </w:r>
      <w:proofErr w:type="spellStart"/>
      <w:r w:rsidRPr="00537489">
        <w:rPr>
          <w:spacing w:val="-2"/>
          <w:w w:val="95"/>
          <w:sz w:val="11"/>
          <w:lang w:val="en-US"/>
        </w:rPr>
        <w:t>párr</w:t>
      </w:r>
      <w:proofErr w:type="spellEnd"/>
      <w:r w:rsidRPr="00537489">
        <w:rPr>
          <w:spacing w:val="-2"/>
          <w:w w:val="95"/>
          <w:sz w:val="11"/>
          <w:lang w:val="en-US"/>
        </w:rPr>
        <w:t>.</w:t>
      </w:r>
      <w:r w:rsidRPr="00537489">
        <w:rPr>
          <w:spacing w:val="6"/>
          <w:sz w:val="11"/>
          <w:lang w:val="en-US"/>
        </w:rPr>
        <w:t xml:space="preserve"> </w:t>
      </w:r>
      <w:r w:rsidRPr="00537489">
        <w:rPr>
          <w:spacing w:val="-5"/>
          <w:w w:val="95"/>
          <w:sz w:val="11"/>
          <w:lang w:val="en-US"/>
        </w:rPr>
        <w:t>10.</w:t>
      </w:r>
    </w:p>
    <w:p w14:paraId="48D8239B" w14:textId="77777777" w:rsidR="0014798C" w:rsidRDefault="004E1F0B">
      <w:pPr>
        <w:spacing w:before="92"/>
        <w:ind w:left="1111"/>
        <w:rPr>
          <w:sz w:val="12"/>
        </w:rPr>
      </w:pPr>
      <w:r w:rsidRPr="00537489">
        <w:rPr>
          <w:spacing w:val="-4"/>
          <w:sz w:val="12"/>
          <w:vertAlign w:val="superscript"/>
          <w:lang w:val="en-US"/>
        </w:rPr>
        <w:t>1205</w:t>
      </w:r>
      <w:r w:rsidRPr="00537489">
        <w:rPr>
          <w:spacing w:val="50"/>
          <w:sz w:val="12"/>
          <w:lang w:val="en-US"/>
        </w:rPr>
        <w:t xml:space="preserve"> </w:t>
      </w:r>
      <w:r w:rsidRPr="00537489">
        <w:rPr>
          <w:spacing w:val="-4"/>
          <w:sz w:val="12"/>
          <w:lang w:val="en-US"/>
        </w:rPr>
        <w:t>CCPR/C/BLZ/CO/1/ADD.1,</w:t>
      </w:r>
      <w:r w:rsidRPr="00537489">
        <w:rPr>
          <w:spacing w:val="4"/>
          <w:sz w:val="12"/>
          <w:lang w:val="en-US"/>
        </w:rPr>
        <w:t xml:space="preserve"> </w:t>
      </w:r>
      <w:proofErr w:type="spellStart"/>
      <w:r w:rsidRPr="00537489">
        <w:rPr>
          <w:spacing w:val="-4"/>
          <w:sz w:val="12"/>
          <w:lang w:val="en-US"/>
        </w:rPr>
        <w:t>párr</w:t>
      </w:r>
      <w:proofErr w:type="spellEnd"/>
      <w:r w:rsidRPr="00537489">
        <w:rPr>
          <w:spacing w:val="-4"/>
          <w:sz w:val="12"/>
          <w:lang w:val="en-US"/>
        </w:rPr>
        <w:t>.</w:t>
      </w:r>
      <w:r w:rsidRPr="00537489">
        <w:rPr>
          <w:spacing w:val="6"/>
          <w:sz w:val="12"/>
          <w:lang w:val="en-US"/>
        </w:rPr>
        <w:t xml:space="preserve"> </w:t>
      </w:r>
      <w:r w:rsidRPr="00537489">
        <w:rPr>
          <w:spacing w:val="-4"/>
          <w:sz w:val="12"/>
          <w:lang w:val="en-US"/>
        </w:rPr>
        <w:t>15</w:t>
      </w:r>
      <w:r>
        <w:rPr>
          <w:spacing w:val="-4"/>
          <w:sz w:val="12"/>
        </w:rPr>
        <w:t>;</w:t>
      </w:r>
      <w:r w:rsidRPr="00537489">
        <w:rPr>
          <w:spacing w:val="5"/>
          <w:sz w:val="12"/>
          <w:lang w:val="en-US"/>
        </w:rPr>
        <w:t xml:space="preserve"> </w:t>
      </w:r>
      <w:r w:rsidRPr="00537489">
        <w:rPr>
          <w:spacing w:val="-4"/>
          <w:sz w:val="12"/>
          <w:lang w:val="en-US"/>
        </w:rPr>
        <w:t>CCPR/C/KOR/CO/4,</w:t>
      </w:r>
      <w:r w:rsidRPr="00537489">
        <w:rPr>
          <w:spacing w:val="4"/>
          <w:sz w:val="12"/>
          <w:lang w:val="en-US"/>
        </w:rPr>
        <w:t xml:space="preserve"> </w:t>
      </w:r>
      <w:proofErr w:type="spellStart"/>
      <w:r w:rsidRPr="00537489">
        <w:rPr>
          <w:spacing w:val="-4"/>
          <w:sz w:val="12"/>
          <w:lang w:val="en-US"/>
        </w:rPr>
        <w:t>párr</w:t>
      </w:r>
      <w:proofErr w:type="spellEnd"/>
      <w:r w:rsidRPr="00537489">
        <w:rPr>
          <w:spacing w:val="-4"/>
          <w:sz w:val="12"/>
          <w:lang w:val="en-US"/>
        </w:rPr>
        <w:t>.</w:t>
      </w:r>
      <w:r w:rsidRPr="00537489">
        <w:rPr>
          <w:spacing w:val="6"/>
          <w:sz w:val="12"/>
          <w:lang w:val="en-US"/>
        </w:rPr>
        <w:t xml:space="preserve"> </w:t>
      </w:r>
      <w:r w:rsidRPr="00537489">
        <w:rPr>
          <w:spacing w:val="-4"/>
          <w:sz w:val="12"/>
          <w:lang w:val="en-US"/>
        </w:rPr>
        <w:t>15</w:t>
      </w:r>
      <w:r>
        <w:rPr>
          <w:spacing w:val="-4"/>
          <w:sz w:val="12"/>
        </w:rPr>
        <w:t>;</w:t>
      </w:r>
      <w:r w:rsidRPr="00537489">
        <w:rPr>
          <w:spacing w:val="4"/>
          <w:sz w:val="12"/>
          <w:lang w:val="en-US"/>
        </w:rPr>
        <w:t xml:space="preserve"> </w:t>
      </w:r>
      <w:r w:rsidRPr="00537489">
        <w:rPr>
          <w:spacing w:val="-4"/>
          <w:sz w:val="12"/>
          <w:lang w:val="en-US"/>
        </w:rPr>
        <w:t>y</w:t>
      </w:r>
      <w:r w:rsidRPr="00537489">
        <w:rPr>
          <w:spacing w:val="5"/>
          <w:sz w:val="12"/>
          <w:lang w:val="en-US"/>
        </w:rPr>
        <w:t xml:space="preserve"> </w:t>
      </w:r>
      <w:r w:rsidRPr="00537489">
        <w:rPr>
          <w:spacing w:val="-4"/>
          <w:sz w:val="12"/>
          <w:lang w:val="en-US"/>
        </w:rPr>
        <w:t>CCPR/C/LTU/CO/4,</w:t>
      </w:r>
      <w:r w:rsidRPr="00537489">
        <w:rPr>
          <w:spacing w:val="5"/>
          <w:sz w:val="12"/>
          <w:lang w:val="en-US"/>
        </w:rPr>
        <w:t xml:space="preserve"> </w:t>
      </w:r>
      <w:proofErr w:type="spellStart"/>
      <w:r w:rsidRPr="00537489">
        <w:rPr>
          <w:spacing w:val="-4"/>
          <w:sz w:val="12"/>
          <w:lang w:val="en-US"/>
        </w:rPr>
        <w:t>párr</w:t>
      </w:r>
      <w:proofErr w:type="spellEnd"/>
      <w:r w:rsidRPr="00537489">
        <w:rPr>
          <w:spacing w:val="-4"/>
          <w:sz w:val="12"/>
          <w:lang w:val="en-US"/>
        </w:rPr>
        <w:t>.</w:t>
      </w:r>
      <w:r w:rsidRPr="00537489">
        <w:rPr>
          <w:spacing w:val="5"/>
          <w:sz w:val="12"/>
          <w:lang w:val="en-US"/>
        </w:rPr>
        <w:t xml:space="preserve"> </w:t>
      </w:r>
      <w:r>
        <w:rPr>
          <w:spacing w:val="-4"/>
          <w:sz w:val="12"/>
        </w:rPr>
        <w:t>12(a).</w:t>
      </w:r>
    </w:p>
    <w:p w14:paraId="26DADAE2" w14:textId="77777777" w:rsidR="0014798C" w:rsidRDefault="004E1F0B">
      <w:pPr>
        <w:spacing w:before="99" w:line="312" w:lineRule="auto"/>
        <w:ind w:left="1371" w:right="1863" w:hanging="261"/>
        <w:rPr>
          <w:sz w:val="12"/>
        </w:rPr>
      </w:pPr>
      <w:r>
        <w:rPr>
          <w:spacing w:val="-2"/>
          <w:sz w:val="12"/>
          <w:vertAlign w:val="superscript"/>
        </w:rPr>
        <w:t>1206</w:t>
      </w:r>
      <w:r>
        <w:rPr>
          <w:spacing w:val="40"/>
          <w:sz w:val="12"/>
        </w:rPr>
        <w:t xml:space="preserve"> </w:t>
      </w:r>
      <w:r>
        <w:rPr>
          <w:spacing w:val="-2"/>
          <w:sz w:val="12"/>
        </w:rPr>
        <w:t>CCPR/C/HUN/CO/6, párr.</w:t>
      </w:r>
      <w:r>
        <w:rPr>
          <w:sz w:val="12"/>
        </w:rPr>
        <w:t xml:space="preserve"> </w:t>
      </w:r>
      <w:r>
        <w:rPr>
          <w:spacing w:val="-2"/>
          <w:sz w:val="12"/>
        </w:rPr>
        <w:t>18; y CERD/C/POL/CO/22-24,</w:t>
      </w:r>
      <w:r>
        <w:rPr>
          <w:sz w:val="12"/>
        </w:rPr>
        <w:t xml:space="preserve"> </w:t>
      </w:r>
      <w:r>
        <w:rPr>
          <w:spacing w:val="-2"/>
          <w:sz w:val="12"/>
        </w:rPr>
        <w:t>párr.</w:t>
      </w:r>
      <w:r>
        <w:rPr>
          <w:sz w:val="12"/>
        </w:rPr>
        <w:t xml:space="preserve"> </w:t>
      </w:r>
      <w:r>
        <w:rPr>
          <w:spacing w:val="-2"/>
          <w:sz w:val="12"/>
        </w:rPr>
        <w:t>22(e).</w:t>
      </w:r>
      <w:r>
        <w:rPr>
          <w:sz w:val="12"/>
        </w:rPr>
        <w:t xml:space="preserve"> </w:t>
      </w:r>
      <w:r>
        <w:rPr>
          <w:spacing w:val="-2"/>
          <w:sz w:val="12"/>
        </w:rPr>
        <w:t>Véanse también A/HRC/29/24;</w:t>
      </w:r>
      <w:r>
        <w:rPr>
          <w:sz w:val="12"/>
        </w:rPr>
        <w:t xml:space="preserve"> </w:t>
      </w:r>
      <w:r>
        <w:rPr>
          <w:spacing w:val="-2"/>
          <w:sz w:val="12"/>
        </w:rPr>
        <w:t>y Consejo de Europa,</w:t>
      </w:r>
      <w:r>
        <w:rPr>
          <w:sz w:val="12"/>
        </w:rPr>
        <w:t xml:space="preserve"> </w:t>
      </w:r>
      <w:r>
        <w:rPr>
          <w:spacing w:val="-2"/>
          <w:sz w:val="12"/>
        </w:rPr>
        <w:t>Comisión Europea contra el Racismo</w:t>
      </w:r>
      <w:r>
        <w:rPr>
          <w:spacing w:val="80"/>
          <w:sz w:val="12"/>
        </w:rPr>
        <w:t xml:space="preserve"> </w:t>
      </w:r>
      <w:r>
        <w:rPr>
          <w:sz w:val="12"/>
        </w:rPr>
        <w:t>y</w:t>
      </w:r>
      <w:r>
        <w:rPr>
          <w:spacing w:val="-3"/>
          <w:sz w:val="12"/>
        </w:rPr>
        <w:t xml:space="preserve"> </w:t>
      </w:r>
      <w:r>
        <w:rPr>
          <w:sz w:val="12"/>
        </w:rPr>
        <w:t>la</w:t>
      </w:r>
      <w:r>
        <w:rPr>
          <w:spacing w:val="-3"/>
          <w:sz w:val="12"/>
        </w:rPr>
        <w:t xml:space="preserve"> </w:t>
      </w:r>
      <w:r>
        <w:rPr>
          <w:sz w:val="12"/>
        </w:rPr>
        <w:t>Intolerancia,</w:t>
      </w:r>
      <w:r>
        <w:rPr>
          <w:spacing w:val="-2"/>
          <w:sz w:val="12"/>
        </w:rPr>
        <w:t xml:space="preserve"> </w:t>
      </w:r>
      <w:r>
        <w:rPr>
          <w:sz w:val="12"/>
        </w:rPr>
        <w:t>“Recomendación</w:t>
      </w:r>
      <w:r>
        <w:rPr>
          <w:spacing w:val="-3"/>
          <w:sz w:val="12"/>
        </w:rPr>
        <w:t xml:space="preserve"> </w:t>
      </w:r>
      <w:r>
        <w:rPr>
          <w:sz w:val="12"/>
        </w:rPr>
        <w:t>de</w:t>
      </w:r>
      <w:r>
        <w:rPr>
          <w:spacing w:val="-3"/>
          <w:sz w:val="12"/>
        </w:rPr>
        <w:t xml:space="preserve"> </w:t>
      </w:r>
      <w:r>
        <w:rPr>
          <w:sz w:val="12"/>
        </w:rPr>
        <w:t>política</w:t>
      </w:r>
      <w:r>
        <w:rPr>
          <w:spacing w:val="-3"/>
          <w:sz w:val="12"/>
        </w:rPr>
        <w:t xml:space="preserve"> </w:t>
      </w:r>
      <w:r>
        <w:rPr>
          <w:sz w:val="12"/>
        </w:rPr>
        <w:t>general</w:t>
      </w:r>
      <w:r>
        <w:rPr>
          <w:spacing w:val="-3"/>
          <w:sz w:val="12"/>
        </w:rPr>
        <w:t xml:space="preserve"> </w:t>
      </w:r>
      <w:r>
        <w:rPr>
          <w:sz w:val="12"/>
        </w:rPr>
        <w:t>n.º</w:t>
      </w:r>
      <w:r>
        <w:rPr>
          <w:spacing w:val="-3"/>
          <w:sz w:val="12"/>
        </w:rPr>
        <w:t xml:space="preserve"> </w:t>
      </w:r>
      <w:r>
        <w:rPr>
          <w:sz w:val="12"/>
        </w:rPr>
        <w:t>13</w:t>
      </w:r>
      <w:r>
        <w:rPr>
          <w:spacing w:val="-3"/>
          <w:sz w:val="12"/>
        </w:rPr>
        <w:t xml:space="preserve"> </w:t>
      </w:r>
      <w:r>
        <w:rPr>
          <w:sz w:val="12"/>
        </w:rPr>
        <w:t>de</w:t>
      </w:r>
      <w:r>
        <w:rPr>
          <w:spacing w:val="-3"/>
          <w:sz w:val="12"/>
        </w:rPr>
        <w:t xml:space="preserve"> </w:t>
      </w:r>
      <w:r>
        <w:rPr>
          <w:sz w:val="12"/>
        </w:rPr>
        <w:t>la</w:t>
      </w:r>
      <w:r>
        <w:rPr>
          <w:spacing w:val="-3"/>
          <w:sz w:val="12"/>
        </w:rPr>
        <w:t xml:space="preserve"> </w:t>
      </w:r>
      <w:r>
        <w:rPr>
          <w:sz w:val="12"/>
        </w:rPr>
        <w:t>ECRI</w:t>
      </w:r>
      <w:r>
        <w:rPr>
          <w:spacing w:val="-3"/>
          <w:sz w:val="12"/>
        </w:rPr>
        <w:t xml:space="preserve"> </w:t>
      </w:r>
      <w:r>
        <w:rPr>
          <w:sz w:val="12"/>
        </w:rPr>
        <w:t>sobre</w:t>
      </w:r>
      <w:r>
        <w:rPr>
          <w:spacing w:val="-3"/>
          <w:sz w:val="12"/>
        </w:rPr>
        <w:t xml:space="preserve"> </w:t>
      </w:r>
      <w:r>
        <w:rPr>
          <w:sz w:val="12"/>
        </w:rPr>
        <w:t>la</w:t>
      </w:r>
      <w:r>
        <w:rPr>
          <w:spacing w:val="-3"/>
          <w:sz w:val="12"/>
        </w:rPr>
        <w:t xml:space="preserve"> </w:t>
      </w:r>
      <w:r>
        <w:rPr>
          <w:sz w:val="12"/>
        </w:rPr>
        <w:t>lucha</w:t>
      </w:r>
      <w:r>
        <w:rPr>
          <w:spacing w:val="-3"/>
          <w:sz w:val="12"/>
        </w:rPr>
        <w:t xml:space="preserve"> </w:t>
      </w:r>
      <w:r>
        <w:rPr>
          <w:sz w:val="12"/>
        </w:rPr>
        <w:t>contra</w:t>
      </w:r>
      <w:r>
        <w:rPr>
          <w:spacing w:val="-3"/>
          <w:sz w:val="12"/>
        </w:rPr>
        <w:t xml:space="preserve"> </w:t>
      </w:r>
      <w:r>
        <w:rPr>
          <w:sz w:val="12"/>
        </w:rPr>
        <w:t>el</w:t>
      </w:r>
      <w:r>
        <w:rPr>
          <w:spacing w:val="-3"/>
          <w:sz w:val="12"/>
        </w:rPr>
        <w:t xml:space="preserve"> </w:t>
      </w:r>
      <w:r>
        <w:rPr>
          <w:sz w:val="12"/>
        </w:rPr>
        <w:t>antigitanismo</w:t>
      </w:r>
      <w:r>
        <w:rPr>
          <w:spacing w:val="-3"/>
          <w:sz w:val="12"/>
        </w:rPr>
        <w:t xml:space="preserve"> </w:t>
      </w:r>
      <w:r>
        <w:rPr>
          <w:sz w:val="12"/>
        </w:rPr>
        <w:t>y</w:t>
      </w:r>
      <w:r>
        <w:rPr>
          <w:spacing w:val="-3"/>
          <w:sz w:val="12"/>
        </w:rPr>
        <w:t xml:space="preserve"> </w:t>
      </w:r>
      <w:r>
        <w:rPr>
          <w:sz w:val="12"/>
        </w:rPr>
        <w:t>la</w:t>
      </w:r>
      <w:r>
        <w:rPr>
          <w:spacing w:val="-3"/>
          <w:sz w:val="12"/>
        </w:rPr>
        <w:t xml:space="preserve"> </w:t>
      </w:r>
      <w:r>
        <w:rPr>
          <w:sz w:val="12"/>
        </w:rPr>
        <w:t>discriminación</w:t>
      </w:r>
      <w:r>
        <w:rPr>
          <w:spacing w:val="-3"/>
          <w:sz w:val="12"/>
        </w:rPr>
        <w:t xml:space="preserve"> </w:t>
      </w:r>
      <w:r>
        <w:rPr>
          <w:sz w:val="12"/>
        </w:rPr>
        <w:t>contra</w:t>
      </w:r>
      <w:r>
        <w:rPr>
          <w:spacing w:val="-3"/>
          <w:sz w:val="12"/>
        </w:rPr>
        <w:t xml:space="preserve"> </w:t>
      </w:r>
      <w:r>
        <w:rPr>
          <w:sz w:val="12"/>
        </w:rPr>
        <w:t>los</w:t>
      </w:r>
      <w:r>
        <w:rPr>
          <w:spacing w:val="-3"/>
          <w:sz w:val="12"/>
        </w:rPr>
        <w:t xml:space="preserve"> </w:t>
      </w:r>
      <w:r>
        <w:rPr>
          <w:sz w:val="12"/>
        </w:rPr>
        <w:t>romaníes”,</w:t>
      </w:r>
    </w:p>
    <w:p w14:paraId="350BE752" w14:textId="77777777" w:rsidR="0014798C" w:rsidRDefault="004E1F0B">
      <w:pPr>
        <w:spacing w:before="1"/>
        <w:ind w:left="1369"/>
        <w:rPr>
          <w:sz w:val="12"/>
        </w:rPr>
      </w:pPr>
      <w:r>
        <w:rPr>
          <w:spacing w:val="-2"/>
          <w:sz w:val="12"/>
        </w:rPr>
        <w:t>versión</w:t>
      </w:r>
      <w:r>
        <w:rPr>
          <w:spacing w:val="4"/>
          <w:sz w:val="12"/>
        </w:rPr>
        <w:t xml:space="preserve"> </w:t>
      </w:r>
      <w:r>
        <w:rPr>
          <w:spacing w:val="-2"/>
          <w:sz w:val="12"/>
        </w:rPr>
        <w:t>revisada</w:t>
      </w:r>
      <w:r>
        <w:rPr>
          <w:spacing w:val="4"/>
          <w:sz w:val="12"/>
        </w:rPr>
        <w:t xml:space="preserve"> </w:t>
      </w:r>
      <w:r>
        <w:rPr>
          <w:spacing w:val="-2"/>
          <w:sz w:val="12"/>
        </w:rPr>
        <w:t>(Estrasburgo,</w:t>
      </w:r>
      <w:r>
        <w:rPr>
          <w:spacing w:val="5"/>
          <w:sz w:val="12"/>
        </w:rPr>
        <w:t xml:space="preserve"> </w:t>
      </w:r>
      <w:r>
        <w:rPr>
          <w:spacing w:val="-2"/>
          <w:sz w:val="12"/>
        </w:rPr>
        <w:t>2020).</w:t>
      </w:r>
    </w:p>
    <w:p w14:paraId="24B5F8C0" w14:textId="77777777" w:rsidR="0014798C" w:rsidRDefault="004E1F0B">
      <w:pPr>
        <w:spacing w:before="98"/>
        <w:ind w:left="1111"/>
        <w:rPr>
          <w:sz w:val="12"/>
        </w:rPr>
      </w:pPr>
      <w:r>
        <w:rPr>
          <w:sz w:val="12"/>
          <w:vertAlign w:val="superscript"/>
        </w:rPr>
        <w:t>1207</w:t>
      </w:r>
      <w:r>
        <w:rPr>
          <w:spacing w:val="25"/>
          <w:sz w:val="12"/>
        </w:rPr>
        <w:t xml:space="preserve"> </w:t>
      </w:r>
      <w:r>
        <w:rPr>
          <w:sz w:val="12"/>
        </w:rPr>
        <w:t>Véase,</w:t>
      </w:r>
      <w:r>
        <w:rPr>
          <w:spacing w:val="-5"/>
          <w:sz w:val="12"/>
        </w:rPr>
        <w:t xml:space="preserve"> </w:t>
      </w:r>
      <w:r>
        <w:rPr>
          <w:sz w:val="12"/>
        </w:rPr>
        <w:t>en</w:t>
      </w:r>
      <w:r>
        <w:rPr>
          <w:spacing w:val="-6"/>
          <w:sz w:val="12"/>
        </w:rPr>
        <w:t xml:space="preserve"> </w:t>
      </w:r>
      <w:r>
        <w:rPr>
          <w:sz w:val="12"/>
        </w:rPr>
        <w:t>particular,</w:t>
      </w:r>
      <w:r>
        <w:rPr>
          <w:spacing w:val="-5"/>
          <w:sz w:val="12"/>
        </w:rPr>
        <w:t xml:space="preserve"> </w:t>
      </w:r>
      <w:r>
        <w:rPr>
          <w:sz w:val="12"/>
        </w:rPr>
        <w:t>A/74/486,</w:t>
      </w:r>
      <w:r>
        <w:rPr>
          <w:spacing w:val="-5"/>
          <w:sz w:val="12"/>
        </w:rPr>
        <w:t xml:space="preserve"> </w:t>
      </w:r>
      <w:r>
        <w:rPr>
          <w:sz w:val="12"/>
        </w:rPr>
        <w:t>así</w:t>
      </w:r>
      <w:r>
        <w:rPr>
          <w:spacing w:val="-6"/>
          <w:sz w:val="12"/>
        </w:rPr>
        <w:t xml:space="preserve"> </w:t>
      </w:r>
      <w:r>
        <w:rPr>
          <w:sz w:val="12"/>
        </w:rPr>
        <w:t>como</w:t>
      </w:r>
      <w:r>
        <w:rPr>
          <w:spacing w:val="-6"/>
          <w:sz w:val="12"/>
        </w:rPr>
        <w:t xml:space="preserve"> </w:t>
      </w:r>
      <w:r>
        <w:rPr>
          <w:sz w:val="12"/>
        </w:rPr>
        <w:t>la</w:t>
      </w:r>
      <w:r>
        <w:rPr>
          <w:spacing w:val="-6"/>
          <w:sz w:val="12"/>
        </w:rPr>
        <w:t xml:space="preserve"> </w:t>
      </w:r>
      <w:r>
        <w:rPr>
          <w:sz w:val="12"/>
        </w:rPr>
        <w:t>resolución</w:t>
      </w:r>
      <w:r>
        <w:rPr>
          <w:spacing w:val="-6"/>
          <w:sz w:val="12"/>
        </w:rPr>
        <w:t xml:space="preserve"> </w:t>
      </w:r>
      <w:r>
        <w:rPr>
          <w:sz w:val="12"/>
        </w:rPr>
        <w:t>16/18</w:t>
      </w:r>
      <w:r>
        <w:rPr>
          <w:spacing w:val="-5"/>
          <w:sz w:val="12"/>
        </w:rPr>
        <w:t xml:space="preserve"> </w:t>
      </w:r>
      <w:r>
        <w:rPr>
          <w:sz w:val="12"/>
        </w:rPr>
        <w:t>del</w:t>
      </w:r>
      <w:r>
        <w:rPr>
          <w:spacing w:val="-6"/>
          <w:sz w:val="12"/>
        </w:rPr>
        <w:t xml:space="preserve"> </w:t>
      </w:r>
      <w:r>
        <w:rPr>
          <w:sz w:val="12"/>
        </w:rPr>
        <w:t>Consejo</w:t>
      </w:r>
      <w:r>
        <w:rPr>
          <w:spacing w:val="-6"/>
          <w:sz w:val="12"/>
        </w:rPr>
        <w:t xml:space="preserve"> </w:t>
      </w:r>
      <w:r>
        <w:rPr>
          <w:sz w:val="12"/>
        </w:rPr>
        <w:t>de</w:t>
      </w:r>
      <w:r>
        <w:rPr>
          <w:spacing w:val="-6"/>
          <w:sz w:val="12"/>
        </w:rPr>
        <w:t xml:space="preserve"> </w:t>
      </w:r>
      <w:r>
        <w:rPr>
          <w:sz w:val="12"/>
        </w:rPr>
        <w:t>Derechos</w:t>
      </w:r>
      <w:r>
        <w:rPr>
          <w:spacing w:val="-6"/>
          <w:sz w:val="12"/>
        </w:rPr>
        <w:t xml:space="preserve"> </w:t>
      </w:r>
      <w:r>
        <w:rPr>
          <w:spacing w:val="-2"/>
          <w:sz w:val="12"/>
        </w:rPr>
        <w:t>Humanos.</w:t>
      </w:r>
    </w:p>
    <w:p w14:paraId="7414ADEC" w14:textId="77777777" w:rsidR="0014798C" w:rsidRDefault="004E1F0B">
      <w:pPr>
        <w:spacing w:before="116"/>
        <w:ind w:left="1111"/>
        <w:rPr>
          <w:sz w:val="11"/>
        </w:rPr>
      </w:pPr>
      <w:r>
        <w:rPr>
          <w:spacing w:val="-2"/>
          <w:sz w:val="11"/>
        </w:rPr>
        <w:t>1208</w:t>
      </w:r>
      <w:r>
        <w:rPr>
          <w:spacing w:val="3"/>
          <w:sz w:val="11"/>
        </w:rPr>
        <w:t xml:space="preserve"> </w:t>
      </w:r>
      <w:r>
        <w:rPr>
          <w:spacing w:val="-2"/>
          <w:sz w:val="11"/>
        </w:rPr>
        <w:t>Resolución</w:t>
      </w:r>
      <w:r>
        <w:rPr>
          <w:spacing w:val="3"/>
          <w:sz w:val="11"/>
        </w:rPr>
        <w:t xml:space="preserve"> </w:t>
      </w:r>
      <w:r>
        <w:rPr>
          <w:spacing w:val="-2"/>
          <w:sz w:val="11"/>
        </w:rPr>
        <w:t>46/58</w:t>
      </w:r>
      <w:r>
        <w:rPr>
          <w:spacing w:val="4"/>
          <w:sz w:val="11"/>
        </w:rPr>
        <w:t xml:space="preserve"> </w:t>
      </w:r>
      <w:r>
        <w:rPr>
          <w:spacing w:val="-2"/>
          <w:sz w:val="11"/>
        </w:rPr>
        <w:t>del</w:t>
      </w:r>
      <w:r>
        <w:rPr>
          <w:spacing w:val="3"/>
          <w:sz w:val="11"/>
        </w:rPr>
        <w:t xml:space="preserve"> </w:t>
      </w:r>
      <w:r>
        <w:rPr>
          <w:spacing w:val="-2"/>
          <w:sz w:val="11"/>
        </w:rPr>
        <w:t>Consejo</w:t>
      </w:r>
      <w:r>
        <w:rPr>
          <w:spacing w:val="4"/>
          <w:sz w:val="11"/>
        </w:rPr>
        <w:t xml:space="preserve"> </w:t>
      </w:r>
      <w:r>
        <w:rPr>
          <w:spacing w:val="-2"/>
          <w:sz w:val="11"/>
        </w:rPr>
        <w:t>de</w:t>
      </w:r>
      <w:r>
        <w:rPr>
          <w:spacing w:val="3"/>
          <w:sz w:val="11"/>
        </w:rPr>
        <w:t xml:space="preserve"> </w:t>
      </w:r>
      <w:r>
        <w:rPr>
          <w:spacing w:val="-2"/>
          <w:sz w:val="11"/>
        </w:rPr>
        <w:t>Derechos</w:t>
      </w:r>
      <w:r>
        <w:rPr>
          <w:spacing w:val="3"/>
          <w:sz w:val="11"/>
        </w:rPr>
        <w:t xml:space="preserve"> </w:t>
      </w:r>
      <w:r>
        <w:rPr>
          <w:spacing w:val="-2"/>
          <w:sz w:val="11"/>
        </w:rPr>
        <w:t>Humanos.</w:t>
      </w:r>
    </w:p>
    <w:p w14:paraId="58611E36" w14:textId="77777777" w:rsidR="0014798C" w:rsidRDefault="004E1F0B">
      <w:pPr>
        <w:spacing w:before="110"/>
        <w:ind w:left="1111"/>
        <w:rPr>
          <w:sz w:val="11"/>
        </w:rPr>
      </w:pPr>
      <w:r>
        <w:rPr>
          <w:spacing w:val="-2"/>
          <w:sz w:val="11"/>
        </w:rPr>
        <w:t>1209</w:t>
      </w:r>
      <w:r>
        <w:rPr>
          <w:spacing w:val="3"/>
          <w:sz w:val="11"/>
        </w:rPr>
        <w:t xml:space="preserve"> </w:t>
      </w:r>
      <w:r>
        <w:rPr>
          <w:spacing w:val="-2"/>
          <w:sz w:val="11"/>
        </w:rPr>
        <w:t>Incluyendo,</w:t>
      </w:r>
      <w:r>
        <w:rPr>
          <w:spacing w:val="5"/>
          <w:sz w:val="11"/>
        </w:rPr>
        <w:t xml:space="preserve"> </w:t>
      </w:r>
      <w:r>
        <w:rPr>
          <w:spacing w:val="-2"/>
          <w:sz w:val="11"/>
        </w:rPr>
        <w:t>en</w:t>
      </w:r>
      <w:r>
        <w:rPr>
          <w:spacing w:val="4"/>
          <w:sz w:val="11"/>
        </w:rPr>
        <w:t xml:space="preserve"> </w:t>
      </w:r>
      <w:r>
        <w:rPr>
          <w:spacing w:val="-2"/>
          <w:sz w:val="11"/>
        </w:rPr>
        <w:t>particular,</w:t>
      </w:r>
      <w:r>
        <w:rPr>
          <w:spacing w:val="4"/>
          <w:sz w:val="11"/>
        </w:rPr>
        <w:t xml:space="preserve"> </w:t>
      </w:r>
      <w:r>
        <w:rPr>
          <w:spacing w:val="-2"/>
          <w:sz w:val="11"/>
        </w:rPr>
        <w:t>aunque</w:t>
      </w:r>
      <w:r>
        <w:rPr>
          <w:spacing w:val="4"/>
          <w:sz w:val="11"/>
        </w:rPr>
        <w:t xml:space="preserve"> </w:t>
      </w:r>
      <w:r>
        <w:rPr>
          <w:spacing w:val="-2"/>
          <w:sz w:val="11"/>
        </w:rPr>
        <w:t>no</w:t>
      </w:r>
      <w:r>
        <w:rPr>
          <w:spacing w:val="4"/>
          <w:sz w:val="11"/>
        </w:rPr>
        <w:t xml:space="preserve"> </w:t>
      </w:r>
      <w:r>
        <w:rPr>
          <w:spacing w:val="-2"/>
          <w:sz w:val="11"/>
        </w:rPr>
        <w:t>necesariamente</w:t>
      </w:r>
      <w:r>
        <w:rPr>
          <w:spacing w:val="4"/>
          <w:sz w:val="11"/>
        </w:rPr>
        <w:t xml:space="preserve"> </w:t>
      </w:r>
      <w:r>
        <w:rPr>
          <w:spacing w:val="-2"/>
          <w:sz w:val="11"/>
        </w:rPr>
        <w:t>limitado</w:t>
      </w:r>
      <w:r>
        <w:rPr>
          <w:spacing w:val="3"/>
          <w:sz w:val="11"/>
        </w:rPr>
        <w:t xml:space="preserve"> </w:t>
      </w:r>
      <w:r>
        <w:rPr>
          <w:spacing w:val="-2"/>
          <w:sz w:val="11"/>
        </w:rPr>
        <w:t>a:</w:t>
      </w:r>
      <w:r>
        <w:rPr>
          <w:spacing w:val="4"/>
          <w:sz w:val="11"/>
        </w:rPr>
        <w:t xml:space="preserve"> </w:t>
      </w:r>
      <w:r>
        <w:rPr>
          <w:spacing w:val="-2"/>
          <w:sz w:val="11"/>
        </w:rPr>
        <w:t>Convención</w:t>
      </w:r>
      <w:r>
        <w:rPr>
          <w:spacing w:val="4"/>
          <w:sz w:val="11"/>
        </w:rPr>
        <w:t xml:space="preserve"> </w:t>
      </w:r>
      <w:r>
        <w:rPr>
          <w:spacing w:val="-2"/>
          <w:sz w:val="11"/>
        </w:rPr>
        <w:t>Internacional</w:t>
      </w:r>
      <w:r>
        <w:rPr>
          <w:spacing w:val="3"/>
          <w:sz w:val="11"/>
        </w:rPr>
        <w:t xml:space="preserve"> </w:t>
      </w:r>
      <w:r>
        <w:rPr>
          <w:spacing w:val="-2"/>
          <w:sz w:val="11"/>
        </w:rPr>
        <w:t>sobre</w:t>
      </w:r>
      <w:r>
        <w:rPr>
          <w:spacing w:val="4"/>
          <w:sz w:val="11"/>
        </w:rPr>
        <w:t xml:space="preserve"> </w:t>
      </w:r>
      <w:r>
        <w:rPr>
          <w:spacing w:val="-2"/>
          <w:sz w:val="11"/>
        </w:rPr>
        <w:t>la</w:t>
      </w:r>
      <w:r>
        <w:rPr>
          <w:spacing w:val="4"/>
          <w:sz w:val="11"/>
        </w:rPr>
        <w:t xml:space="preserve"> </w:t>
      </w:r>
      <w:r>
        <w:rPr>
          <w:spacing w:val="-2"/>
          <w:sz w:val="11"/>
        </w:rPr>
        <w:t>Eliminación</w:t>
      </w:r>
      <w:r>
        <w:rPr>
          <w:spacing w:val="3"/>
          <w:sz w:val="11"/>
        </w:rPr>
        <w:t xml:space="preserve"> </w:t>
      </w:r>
      <w:r>
        <w:rPr>
          <w:spacing w:val="-2"/>
          <w:sz w:val="11"/>
        </w:rPr>
        <w:t>de</w:t>
      </w:r>
      <w:r>
        <w:rPr>
          <w:spacing w:val="4"/>
          <w:sz w:val="11"/>
        </w:rPr>
        <w:t xml:space="preserve"> </w:t>
      </w:r>
      <w:r>
        <w:rPr>
          <w:spacing w:val="-2"/>
          <w:sz w:val="11"/>
        </w:rPr>
        <w:t>todas</w:t>
      </w:r>
      <w:r>
        <w:rPr>
          <w:spacing w:val="4"/>
          <w:sz w:val="11"/>
        </w:rPr>
        <w:t xml:space="preserve"> </w:t>
      </w:r>
      <w:r>
        <w:rPr>
          <w:spacing w:val="-2"/>
          <w:sz w:val="11"/>
        </w:rPr>
        <w:t>las</w:t>
      </w:r>
      <w:r>
        <w:rPr>
          <w:spacing w:val="3"/>
          <w:sz w:val="11"/>
        </w:rPr>
        <w:t xml:space="preserve"> </w:t>
      </w:r>
      <w:r>
        <w:rPr>
          <w:spacing w:val="-2"/>
          <w:sz w:val="11"/>
        </w:rPr>
        <w:t>Formas</w:t>
      </w:r>
      <w:r>
        <w:rPr>
          <w:spacing w:val="4"/>
          <w:sz w:val="11"/>
        </w:rPr>
        <w:t xml:space="preserve"> </w:t>
      </w:r>
      <w:r>
        <w:rPr>
          <w:spacing w:val="-2"/>
          <w:sz w:val="11"/>
        </w:rPr>
        <w:t>de</w:t>
      </w:r>
      <w:r>
        <w:rPr>
          <w:spacing w:val="4"/>
          <w:sz w:val="11"/>
        </w:rPr>
        <w:t xml:space="preserve"> </w:t>
      </w:r>
      <w:r>
        <w:rPr>
          <w:spacing w:val="-2"/>
          <w:sz w:val="11"/>
        </w:rPr>
        <w:t>Discriminación</w:t>
      </w:r>
      <w:r>
        <w:rPr>
          <w:spacing w:val="3"/>
          <w:sz w:val="11"/>
        </w:rPr>
        <w:t xml:space="preserve"> </w:t>
      </w:r>
      <w:r>
        <w:rPr>
          <w:spacing w:val="-2"/>
          <w:sz w:val="11"/>
        </w:rPr>
        <w:t>Racial</w:t>
      </w:r>
    </w:p>
    <w:p w14:paraId="20D0D19D" w14:textId="77777777" w:rsidR="0014798C" w:rsidRDefault="004E1F0B">
      <w:pPr>
        <w:spacing w:before="36" w:line="302" w:lineRule="auto"/>
        <w:ind w:left="1369" w:right="1400" w:hanging="2"/>
        <w:rPr>
          <w:sz w:val="12"/>
        </w:rPr>
      </w:pPr>
      <w:r>
        <w:rPr>
          <w:sz w:val="12"/>
        </w:rPr>
        <w:t>Discriminación,</w:t>
      </w:r>
      <w:r>
        <w:rPr>
          <w:spacing w:val="-8"/>
          <w:sz w:val="12"/>
        </w:rPr>
        <w:t xml:space="preserve"> </w:t>
      </w:r>
      <w:r>
        <w:rPr>
          <w:sz w:val="12"/>
        </w:rPr>
        <w:t>art.</w:t>
      </w:r>
      <w:r>
        <w:rPr>
          <w:spacing w:val="-8"/>
          <w:sz w:val="12"/>
        </w:rPr>
        <w:t xml:space="preserve"> </w:t>
      </w:r>
      <w:r>
        <w:rPr>
          <w:w w:val="90"/>
          <w:sz w:val="12"/>
        </w:rPr>
        <w:t>7;</w:t>
      </w:r>
      <w:r>
        <w:rPr>
          <w:spacing w:val="-5"/>
          <w:w w:val="90"/>
          <w:sz w:val="12"/>
        </w:rPr>
        <w:t xml:space="preserve"> </w:t>
      </w:r>
      <w:r>
        <w:rPr>
          <w:sz w:val="12"/>
        </w:rPr>
        <w:t>Convención</w:t>
      </w:r>
      <w:r>
        <w:rPr>
          <w:spacing w:val="-9"/>
          <w:sz w:val="12"/>
        </w:rPr>
        <w:t xml:space="preserve"> </w:t>
      </w:r>
      <w:r>
        <w:rPr>
          <w:sz w:val="12"/>
        </w:rPr>
        <w:t>sobre</w:t>
      </w:r>
      <w:r>
        <w:rPr>
          <w:spacing w:val="-8"/>
          <w:sz w:val="12"/>
        </w:rPr>
        <w:t xml:space="preserve"> </w:t>
      </w:r>
      <w:r>
        <w:rPr>
          <w:sz w:val="12"/>
        </w:rPr>
        <w:t>la</w:t>
      </w:r>
      <w:r>
        <w:rPr>
          <w:spacing w:val="-8"/>
          <w:sz w:val="12"/>
        </w:rPr>
        <w:t xml:space="preserve"> </w:t>
      </w:r>
      <w:r>
        <w:rPr>
          <w:sz w:val="12"/>
        </w:rPr>
        <w:t>eliminación</w:t>
      </w:r>
      <w:r>
        <w:rPr>
          <w:spacing w:val="-9"/>
          <w:sz w:val="12"/>
        </w:rPr>
        <w:t xml:space="preserve"> </w:t>
      </w:r>
      <w:r>
        <w:rPr>
          <w:sz w:val="12"/>
        </w:rPr>
        <w:t>de</w:t>
      </w:r>
      <w:r>
        <w:rPr>
          <w:spacing w:val="-8"/>
          <w:sz w:val="12"/>
        </w:rPr>
        <w:t xml:space="preserve"> </w:t>
      </w:r>
      <w:r>
        <w:rPr>
          <w:sz w:val="12"/>
        </w:rPr>
        <w:t>todas</w:t>
      </w:r>
      <w:r>
        <w:rPr>
          <w:spacing w:val="-8"/>
          <w:sz w:val="12"/>
        </w:rPr>
        <w:t xml:space="preserve"> </w:t>
      </w:r>
      <w:r>
        <w:rPr>
          <w:sz w:val="12"/>
        </w:rPr>
        <w:t>las</w:t>
      </w:r>
      <w:r>
        <w:rPr>
          <w:spacing w:val="-9"/>
          <w:sz w:val="12"/>
        </w:rPr>
        <w:t xml:space="preserve"> </w:t>
      </w:r>
      <w:r>
        <w:rPr>
          <w:sz w:val="12"/>
        </w:rPr>
        <w:t>formas</w:t>
      </w:r>
      <w:r>
        <w:rPr>
          <w:spacing w:val="-8"/>
          <w:sz w:val="12"/>
        </w:rPr>
        <w:t xml:space="preserve"> </w:t>
      </w:r>
      <w:r>
        <w:rPr>
          <w:sz w:val="12"/>
        </w:rPr>
        <w:t>de</w:t>
      </w:r>
      <w:r>
        <w:rPr>
          <w:spacing w:val="-8"/>
          <w:sz w:val="12"/>
        </w:rPr>
        <w:t xml:space="preserve"> </w:t>
      </w:r>
      <w:r>
        <w:rPr>
          <w:sz w:val="12"/>
        </w:rPr>
        <w:t>discriminación</w:t>
      </w:r>
      <w:r>
        <w:rPr>
          <w:spacing w:val="-9"/>
          <w:sz w:val="12"/>
        </w:rPr>
        <w:t xml:space="preserve"> </w:t>
      </w:r>
      <w:r>
        <w:rPr>
          <w:sz w:val="12"/>
        </w:rPr>
        <w:t>contra</w:t>
      </w:r>
      <w:r>
        <w:rPr>
          <w:spacing w:val="-8"/>
          <w:sz w:val="12"/>
        </w:rPr>
        <w:t xml:space="preserve"> </w:t>
      </w:r>
      <w:r>
        <w:rPr>
          <w:sz w:val="12"/>
        </w:rPr>
        <w:t>la</w:t>
      </w:r>
      <w:r>
        <w:rPr>
          <w:spacing w:val="-8"/>
          <w:sz w:val="12"/>
        </w:rPr>
        <w:t xml:space="preserve"> </w:t>
      </w:r>
      <w:r>
        <w:rPr>
          <w:sz w:val="12"/>
        </w:rPr>
        <w:t>mujer,</w:t>
      </w:r>
      <w:r>
        <w:rPr>
          <w:spacing w:val="-8"/>
          <w:sz w:val="12"/>
        </w:rPr>
        <w:t xml:space="preserve"> </w:t>
      </w:r>
      <w:r>
        <w:rPr>
          <w:sz w:val="12"/>
        </w:rPr>
        <w:t>art.</w:t>
      </w:r>
      <w:r>
        <w:rPr>
          <w:spacing w:val="-8"/>
          <w:sz w:val="12"/>
        </w:rPr>
        <w:t xml:space="preserve"> </w:t>
      </w:r>
      <w:r>
        <w:rPr>
          <w:w w:val="90"/>
          <w:sz w:val="12"/>
        </w:rPr>
        <w:t>5;</w:t>
      </w:r>
      <w:r>
        <w:rPr>
          <w:spacing w:val="-5"/>
          <w:w w:val="90"/>
          <w:sz w:val="12"/>
        </w:rPr>
        <w:t xml:space="preserve"> </w:t>
      </w:r>
      <w:r>
        <w:rPr>
          <w:sz w:val="12"/>
        </w:rPr>
        <w:t>y</w:t>
      </w:r>
      <w:r>
        <w:rPr>
          <w:spacing w:val="-9"/>
          <w:sz w:val="12"/>
        </w:rPr>
        <w:t xml:space="preserve"> </w:t>
      </w:r>
      <w:r>
        <w:rPr>
          <w:sz w:val="12"/>
        </w:rPr>
        <w:t>Convención</w:t>
      </w:r>
      <w:r>
        <w:rPr>
          <w:spacing w:val="-8"/>
          <w:sz w:val="12"/>
        </w:rPr>
        <w:t xml:space="preserve"> </w:t>
      </w:r>
      <w:r>
        <w:rPr>
          <w:sz w:val="12"/>
        </w:rPr>
        <w:t>sobre</w:t>
      </w:r>
      <w:r>
        <w:rPr>
          <w:spacing w:val="-8"/>
          <w:sz w:val="12"/>
        </w:rPr>
        <w:t xml:space="preserve"> </w:t>
      </w:r>
      <w:r>
        <w:rPr>
          <w:sz w:val="12"/>
        </w:rPr>
        <w:t>los</w:t>
      </w:r>
      <w:r>
        <w:rPr>
          <w:spacing w:val="-9"/>
          <w:sz w:val="12"/>
        </w:rPr>
        <w:t xml:space="preserve"> </w:t>
      </w:r>
      <w:r>
        <w:rPr>
          <w:sz w:val="12"/>
        </w:rPr>
        <w:t>Derechos</w:t>
      </w:r>
      <w:r>
        <w:rPr>
          <w:spacing w:val="-8"/>
          <w:sz w:val="12"/>
        </w:rPr>
        <w:t xml:space="preserve"> </w:t>
      </w:r>
      <w:r>
        <w:rPr>
          <w:sz w:val="12"/>
        </w:rPr>
        <w:t>de</w:t>
      </w:r>
      <w:r>
        <w:rPr>
          <w:spacing w:val="-8"/>
          <w:sz w:val="12"/>
        </w:rPr>
        <w:t xml:space="preserve"> </w:t>
      </w:r>
      <w:r>
        <w:rPr>
          <w:sz w:val="12"/>
        </w:rPr>
        <w:t>las</w:t>
      </w:r>
      <w:r>
        <w:rPr>
          <w:spacing w:val="-9"/>
          <w:sz w:val="12"/>
        </w:rPr>
        <w:t xml:space="preserve"> </w:t>
      </w:r>
      <w:r>
        <w:rPr>
          <w:sz w:val="12"/>
        </w:rPr>
        <w:t>Personas</w:t>
      </w:r>
      <w:r>
        <w:rPr>
          <w:spacing w:val="40"/>
          <w:sz w:val="12"/>
        </w:rPr>
        <w:t xml:space="preserve"> </w:t>
      </w:r>
      <w:r>
        <w:rPr>
          <w:sz w:val="12"/>
        </w:rPr>
        <w:t>con Discapacidad, art. 24.</w:t>
      </w:r>
    </w:p>
    <w:p w14:paraId="06063F44" w14:textId="77777777" w:rsidR="0014798C" w:rsidRDefault="004E1F0B">
      <w:pPr>
        <w:spacing w:before="68" w:line="312" w:lineRule="auto"/>
        <w:ind w:left="1366" w:right="1840" w:hanging="255"/>
        <w:rPr>
          <w:sz w:val="12"/>
        </w:rPr>
      </w:pPr>
      <w:r>
        <w:rPr>
          <w:sz w:val="12"/>
        </w:rPr>
        <w:t>1210</w:t>
      </w:r>
      <w:r>
        <w:rPr>
          <w:spacing w:val="-4"/>
          <w:sz w:val="12"/>
        </w:rPr>
        <w:t xml:space="preserve"> </w:t>
      </w:r>
      <w:r>
        <w:rPr>
          <w:sz w:val="12"/>
        </w:rPr>
        <w:t>Comisión</w:t>
      </w:r>
      <w:r>
        <w:rPr>
          <w:spacing w:val="-4"/>
          <w:sz w:val="12"/>
        </w:rPr>
        <w:t xml:space="preserve"> </w:t>
      </w:r>
      <w:r>
        <w:rPr>
          <w:sz w:val="12"/>
        </w:rPr>
        <w:t>Interamericana</w:t>
      </w:r>
      <w:r>
        <w:rPr>
          <w:spacing w:val="-4"/>
          <w:sz w:val="12"/>
        </w:rPr>
        <w:t xml:space="preserve"> </w:t>
      </w:r>
      <w:r>
        <w:rPr>
          <w:sz w:val="12"/>
        </w:rPr>
        <w:t>de</w:t>
      </w:r>
      <w:r>
        <w:rPr>
          <w:spacing w:val="-4"/>
          <w:sz w:val="12"/>
        </w:rPr>
        <w:t xml:space="preserve"> </w:t>
      </w:r>
      <w:r>
        <w:rPr>
          <w:sz w:val="12"/>
        </w:rPr>
        <w:t>Derechos</w:t>
      </w:r>
      <w:r>
        <w:rPr>
          <w:spacing w:val="-4"/>
          <w:sz w:val="12"/>
        </w:rPr>
        <w:t xml:space="preserve"> </w:t>
      </w:r>
      <w:r>
        <w:rPr>
          <w:sz w:val="12"/>
        </w:rPr>
        <w:t>Humanos,</w:t>
      </w:r>
      <w:r>
        <w:rPr>
          <w:spacing w:val="-3"/>
          <w:sz w:val="12"/>
        </w:rPr>
        <w:t xml:space="preserve"> </w:t>
      </w:r>
      <w:r>
        <w:rPr>
          <w:sz w:val="12"/>
        </w:rPr>
        <w:t>Violencia</w:t>
      </w:r>
      <w:r>
        <w:rPr>
          <w:spacing w:val="-4"/>
          <w:sz w:val="12"/>
        </w:rPr>
        <w:t xml:space="preserve"> </w:t>
      </w:r>
      <w:r>
        <w:rPr>
          <w:sz w:val="12"/>
        </w:rPr>
        <w:t>contra</w:t>
      </w:r>
      <w:r>
        <w:rPr>
          <w:spacing w:val="-4"/>
          <w:sz w:val="12"/>
        </w:rPr>
        <w:t xml:space="preserve"> </w:t>
      </w:r>
      <w:r>
        <w:rPr>
          <w:sz w:val="12"/>
        </w:rPr>
        <w:t>personas</w:t>
      </w:r>
      <w:r>
        <w:rPr>
          <w:spacing w:val="-4"/>
          <w:sz w:val="12"/>
        </w:rPr>
        <w:t xml:space="preserve"> </w:t>
      </w:r>
      <w:r>
        <w:rPr>
          <w:sz w:val="12"/>
        </w:rPr>
        <w:t>lesbianas,</w:t>
      </w:r>
      <w:r>
        <w:rPr>
          <w:spacing w:val="-3"/>
          <w:sz w:val="12"/>
        </w:rPr>
        <w:t xml:space="preserve"> </w:t>
      </w:r>
      <w:proofErr w:type="spellStart"/>
      <w:r>
        <w:rPr>
          <w:sz w:val="12"/>
        </w:rPr>
        <w:t>gays</w:t>
      </w:r>
      <w:proofErr w:type="spellEnd"/>
      <w:r>
        <w:rPr>
          <w:sz w:val="12"/>
        </w:rPr>
        <w:t>,</w:t>
      </w:r>
      <w:r>
        <w:rPr>
          <w:spacing w:val="-3"/>
          <w:sz w:val="12"/>
        </w:rPr>
        <w:t xml:space="preserve"> </w:t>
      </w:r>
      <w:r>
        <w:rPr>
          <w:sz w:val="12"/>
        </w:rPr>
        <w:t>bisexuales,</w:t>
      </w:r>
      <w:r>
        <w:rPr>
          <w:spacing w:val="-3"/>
          <w:sz w:val="12"/>
        </w:rPr>
        <w:t xml:space="preserve"> </w:t>
      </w:r>
      <w:r>
        <w:rPr>
          <w:sz w:val="12"/>
        </w:rPr>
        <w:t>trans</w:t>
      </w:r>
      <w:r>
        <w:rPr>
          <w:spacing w:val="-4"/>
          <w:sz w:val="12"/>
        </w:rPr>
        <w:t xml:space="preserve"> </w:t>
      </w:r>
      <w:r>
        <w:rPr>
          <w:sz w:val="12"/>
        </w:rPr>
        <w:t>e</w:t>
      </w:r>
      <w:r>
        <w:rPr>
          <w:spacing w:val="-4"/>
          <w:sz w:val="12"/>
        </w:rPr>
        <w:t xml:space="preserve"> </w:t>
      </w:r>
      <w:r>
        <w:rPr>
          <w:sz w:val="12"/>
        </w:rPr>
        <w:t>intersex</w:t>
      </w:r>
      <w:r>
        <w:rPr>
          <w:spacing w:val="-4"/>
          <w:sz w:val="12"/>
        </w:rPr>
        <w:t xml:space="preserve"> </w:t>
      </w:r>
      <w:r>
        <w:rPr>
          <w:sz w:val="12"/>
        </w:rPr>
        <w:t>en</w:t>
      </w:r>
      <w:r>
        <w:rPr>
          <w:spacing w:val="-4"/>
          <w:sz w:val="12"/>
        </w:rPr>
        <w:t xml:space="preserve"> </w:t>
      </w:r>
      <w:r>
        <w:rPr>
          <w:sz w:val="12"/>
        </w:rPr>
        <w:t>las</w:t>
      </w:r>
      <w:r>
        <w:rPr>
          <w:spacing w:val="-4"/>
          <w:sz w:val="12"/>
        </w:rPr>
        <w:t xml:space="preserve"> </w:t>
      </w:r>
      <w:r>
        <w:rPr>
          <w:sz w:val="12"/>
        </w:rPr>
        <w:t>Américas,</w:t>
      </w:r>
      <w:r>
        <w:rPr>
          <w:spacing w:val="-3"/>
          <w:sz w:val="12"/>
        </w:rPr>
        <w:t xml:space="preserve"> </w:t>
      </w:r>
      <w:r>
        <w:rPr>
          <w:sz w:val="12"/>
        </w:rPr>
        <w:t>párr.</w:t>
      </w:r>
      <w:r>
        <w:rPr>
          <w:spacing w:val="-3"/>
          <w:sz w:val="12"/>
        </w:rPr>
        <w:t xml:space="preserve"> </w:t>
      </w:r>
      <w:r>
        <w:rPr>
          <w:sz w:val="12"/>
        </w:rPr>
        <w:t>248</w:t>
      </w:r>
      <w:r>
        <w:rPr>
          <w:spacing w:val="-4"/>
          <w:sz w:val="12"/>
        </w:rPr>
        <w:t xml:space="preserve"> </w:t>
      </w:r>
      <w:r>
        <w:rPr>
          <w:sz w:val="12"/>
        </w:rPr>
        <w:t>(nota</w:t>
      </w:r>
      <w:r>
        <w:rPr>
          <w:spacing w:val="-4"/>
          <w:sz w:val="12"/>
        </w:rPr>
        <w:t xml:space="preserve"> </w:t>
      </w:r>
      <w:r>
        <w:rPr>
          <w:sz w:val="12"/>
        </w:rPr>
        <w:t>a</w:t>
      </w:r>
      <w:r>
        <w:rPr>
          <w:spacing w:val="-4"/>
          <w:sz w:val="12"/>
        </w:rPr>
        <w:t xml:space="preserve"> </w:t>
      </w:r>
      <w:r>
        <w:rPr>
          <w:sz w:val="12"/>
        </w:rPr>
        <w:t>pie</w:t>
      </w:r>
      <w:r>
        <w:rPr>
          <w:spacing w:val="40"/>
          <w:sz w:val="12"/>
        </w:rPr>
        <w:t xml:space="preserve"> </w:t>
      </w:r>
      <w:r>
        <w:rPr>
          <w:sz w:val="12"/>
        </w:rPr>
        <w:t>de página omitida).</w:t>
      </w:r>
    </w:p>
    <w:p w14:paraId="38B5D544" w14:textId="77777777" w:rsidR="0014798C" w:rsidRDefault="0014798C">
      <w:pPr>
        <w:pStyle w:val="Textoindependiente"/>
        <w:rPr>
          <w:sz w:val="18"/>
        </w:rPr>
      </w:pPr>
    </w:p>
    <w:p w14:paraId="32C36912" w14:textId="77777777" w:rsidR="0014798C" w:rsidRDefault="0014798C">
      <w:pPr>
        <w:pStyle w:val="Textoindependiente"/>
        <w:spacing w:before="194"/>
        <w:rPr>
          <w:sz w:val="18"/>
        </w:rPr>
      </w:pPr>
    </w:p>
    <w:p w14:paraId="0DA2A970" w14:textId="77777777" w:rsidR="0014798C" w:rsidRDefault="004E1F0B">
      <w:pPr>
        <w:ind w:left="475"/>
        <w:rPr>
          <w:sz w:val="18"/>
        </w:rPr>
      </w:pPr>
      <w:r>
        <w:rPr>
          <w:spacing w:val="-5"/>
          <w:sz w:val="18"/>
        </w:rPr>
        <w:t>186</w:t>
      </w:r>
    </w:p>
    <w:p w14:paraId="344AF59F" w14:textId="77777777" w:rsidR="0014798C" w:rsidRDefault="0014798C">
      <w:pPr>
        <w:rPr>
          <w:sz w:val="18"/>
        </w:rPr>
        <w:sectPr w:rsidR="0014798C" w:rsidSect="00F265E4">
          <w:pgSz w:w="11900" w:h="16820"/>
          <w:pgMar w:top="340" w:right="0" w:bottom="280" w:left="200" w:header="121" w:footer="0" w:gutter="0"/>
          <w:cols w:space="720"/>
        </w:sectPr>
      </w:pPr>
    </w:p>
    <w:p w14:paraId="3ABD96A0" w14:textId="77777777" w:rsidR="0014798C" w:rsidRDefault="0014798C">
      <w:pPr>
        <w:pStyle w:val="Textoindependiente"/>
        <w:spacing w:before="66"/>
        <w:rPr>
          <w:sz w:val="13"/>
        </w:rPr>
      </w:pPr>
    </w:p>
    <w:p w14:paraId="16484501" w14:textId="77777777" w:rsidR="0014798C" w:rsidRDefault="004E1F0B">
      <w:pPr>
        <w:ind w:left="1111"/>
        <w:rPr>
          <w:sz w:val="13"/>
        </w:rPr>
      </w:pPr>
      <w:r>
        <w:rPr>
          <w:color w:val="0075BF"/>
          <w:spacing w:val="-2"/>
          <w:w w:val="105"/>
          <w:sz w:val="13"/>
        </w:rPr>
        <w:t>PARTE</w:t>
      </w:r>
      <w:r>
        <w:rPr>
          <w:color w:val="0075BF"/>
          <w:spacing w:val="1"/>
          <w:w w:val="105"/>
          <w:sz w:val="13"/>
        </w:rPr>
        <w:t xml:space="preserve"> </w:t>
      </w:r>
      <w:r>
        <w:rPr>
          <w:color w:val="0075BF"/>
          <w:spacing w:val="-2"/>
          <w:w w:val="105"/>
          <w:sz w:val="13"/>
        </w:rPr>
        <w:t>QUINTA:</w:t>
      </w:r>
      <w:r>
        <w:rPr>
          <w:color w:val="0075BF"/>
          <w:spacing w:val="2"/>
          <w:w w:val="105"/>
          <w:sz w:val="13"/>
        </w:rPr>
        <w:t xml:space="preserve"> </w:t>
      </w:r>
      <w:r>
        <w:rPr>
          <w:color w:val="0075BF"/>
          <w:spacing w:val="-2"/>
          <w:w w:val="105"/>
          <w:sz w:val="13"/>
        </w:rPr>
        <w:t>DISCRIMINACIÓN</w:t>
      </w:r>
      <w:r>
        <w:rPr>
          <w:color w:val="0075BF"/>
          <w:w w:val="105"/>
          <w:sz w:val="13"/>
        </w:rPr>
        <w:t xml:space="preserve"> </w:t>
      </w:r>
      <w:r>
        <w:rPr>
          <w:color w:val="0075BF"/>
          <w:spacing w:val="-2"/>
          <w:w w:val="105"/>
          <w:sz w:val="13"/>
        </w:rPr>
        <w:t>Y</w:t>
      </w:r>
      <w:r>
        <w:rPr>
          <w:color w:val="0075BF"/>
          <w:spacing w:val="2"/>
          <w:w w:val="105"/>
          <w:sz w:val="13"/>
        </w:rPr>
        <w:t xml:space="preserve"> </w:t>
      </w:r>
      <w:r>
        <w:rPr>
          <w:color w:val="0075BF"/>
          <w:spacing w:val="-2"/>
          <w:w w:val="105"/>
          <w:sz w:val="13"/>
        </w:rPr>
        <w:t>EXPRESIÓN</w:t>
      </w:r>
    </w:p>
    <w:p w14:paraId="6D8BF8C6" w14:textId="77777777" w:rsidR="0014798C" w:rsidRDefault="0014798C">
      <w:pPr>
        <w:pStyle w:val="Textoindependiente"/>
        <w:rPr>
          <w:sz w:val="15"/>
        </w:rPr>
      </w:pPr>
    </w:p>
    <w:p w14:paraId="2DD3B3B9" w14:textId="77777777" w:rsidR="0014798C" w:rsidRDefault="0014798C">
      <w:pPr>
        <w:pStyle w:val="Textoindependiente"/>
        <w:rPr>
          <w:sz w:val="15"/>
        </w:rPr>
      </w:pPr>
    </w:p>
    <w:p w14:paraId="2DA29A59" w14:textId="77777777" w:rsidR="0014798C" w:rsidRDefault="0014798C">
      <w:pPr>
        <w:pStyle w:val="Textoindependiente"/>
        <w:rPr>
          <w:sz w:val="15"/>
        </w:rPr>
      </w:pPr>
    </w:p>
    <w:p w14:paraId="52080F83" w14:textId="77777777" w:rsidR="0014798C" w:rsidRDefault="0014798C">
      <w:pPr>
        <w:pStyle w:val="Textoindependiente"/>
        <w:rPr>
          <w:sz w:val="15"/>
        </w:rPr>
      </w:pPr>
    </w:p>
    <w:p w14:paraId="1A4803DC" w14:textId="77777777" w:rsidR="0014798C" w:rsidRDefault="0014798C">
      <w:pPr>
        <w:pStyle w:val="Textoindependiente"/>
        <w:spacing w:before="129"/>
        <w:rPr>
          <w:sz w:val="15"/>
        </w:rPr>
      </w:pPr>
    </w:p>
    <w:p w14:paraId="57C8DEA5" w14:textId="77777777" w:rsidR="0014798C" w:rsidRDefault="004E1F0B">
      <w:pPr>
        <w:spacing w:line="348" w:lineRule="auto"/>
        <w:ind w:left="1111" w:right="1463" w:hanging="5"/>
        <w:rPr>
          <w:sz w:val="15"/>
        </w:rPr>
      </w:pPr>
      <w:r>
        <w:rPr>
          <w:w w:val="105"/>
          <w:sz w:val="15"/>
        </w:rPr>
        <w:t>La</w:t>
      </w:r>
      <w:r>
        <w:rPr>
          <w:spacing w:val="-11"/>
          <w:w w:val="105"/>
          <w:sz w:val="15"/>
        </w:rPr>
        <w:t xml:space="preserve"> </w:t>
      </w:r>
      <w:r>
        <w:rPr>
          <w:w w:val="105"/>
          <w:sz w:val="15"/>
        </w:rPr>
        <w:t>promoción</w:t>
      </w:r>
      <w:r>
        <w:rPr>
          <w:spacing w:val="-11"/>
          <w:w w:val="105"/>
          <w:sz w:val="15"/>
        </w:rPr>
        <w:t xml:space="preserve"> </w:t>
      </w:r>
      <w:r>
        <w:rPr>
          <w:w w:val="105"/>
          <w:sz w:val="15"/>
        </w:rPr>
        <w:t>de</w:t>
      </w:r>
      <w:r>
        <w:rPr>
          <w:spacing w:val="-11"/>
          <w:w w:val="105"/>
          <w:sz w:val="15"/>
        </w:rPr>
        <w:t xml:space="preserve"> </w:t>
      </w:r>
      <w:r>
        <w:rPr>
          <w:w w:val="105"/>
          <w:sz w:val="15"/>
        </w:rPr>
        <w:t>la</w:t>
      </w:r>
      <w:r>
        <w:rPr>
          <w:spacing w:val="-11"/>
          <w:w w:val="105"/>
          <w:sz w:val="15"/>
        </w:rPr>
        <w:t xml:space="preserve"> </w:t>
      </w:r>
      <w:r>
        <w:rPr>
          <w:w w:val="105"/>
          <w:sz w:val="15"/>
        </w:rPr>
        <w:t>diversidad</w:t>
      </w:r>
      <w:r>
        <w:rPr>
          <w:spacing w:val="-11"/>
          <w:w w:val="105"/>
          <w:sz w:val="15"/>
        </w:rPr>
        <w:t xml:space="preserve"> </w:t>
      </w:r>
      <w:r>
        <w:rPr>
          <w:w w:val="105"/>
          <w:sz w:val="15"/>
        </w:rPr>
        <w:t>puede</w:t>
      </w:r>
      <w:r>
        <w:rPr>
          <w:spacing w:val="-11"/>
          <w:w w:val="105"/>
          <w:sz w:val="15"/>
        </w:rPr>
        <w:t xml:space="preserve"> </w:t>
      </w:r>
      <w:r>
        <w:rPr>
          <w:w w:val="105"/>
          <w:sz w:val="15"/>
        </w:rPr>
        <w:t>ser</w:t>
      </w:r>
      <w:r>
        <w:rPr>
          <w:spacing w:val="-11"/>
          <w:w w:val="105"/>
          <w:sz w:val="15"/>
        </w:rPr>
        <w:t xml:space="preserve"> </w:t>
      </w:r>
      <w:r>
        <w:rPr>
          <w:w w:val="105"/>
          <w:sz w:val="15"/>
        </w:rPr>
        <w:t>especialmente</w:t>
      </w:r>
      <w:r>
        <w:rPr>
          <w:spacing w:val="-11"/>
          <w:w w:val="105"/>
          <w:sz w:val="15"/>
        </w:rPr>
        <w:t xml:space="preserve"> </w:t>
      </w:r>
      <w:r>
        <w:rPr>
          <w:w w:val="105"/>
          <w:sz w:val="15"/>
        </w:rPr>
        <w:t>importante</w:t>
      </w:r>
      <w:r>
        <w:rPr>
          <w:spacing w:val="-11"/>
          <w:w w:val="105"/>
          <w:sz w:val="15"/>
        </w:rPr>
        <w:t xml:space="preserve"> </w:t>
      </w:r>
      <w:r>
        <w:rPr>
          <w:w w:val="105"/>
          <w:sz w:val="15"/>
        </w:rPr>
        <w:t>inmediatamente</w:t>
      </w:r>
      <w:r>
        <w:rPr>
          <w:spacing w:val="-11"/>
          <w:w w:val="105"/>
          <w:sz w:val="15"/>
        </w:rPr>
        <w:t xml:space="preserve"> </w:t>
      </w:r>
      <w:r>
        <w:rPr>
          <w:w w:val="105"/>
          <w:sz w:val="15"/>
        </w:rPr>
        <w:t>después</w:t>
      </w:r>
      <w:r>
        <w:rPr>
          <w:spacing w:val="-11"/>
          <w:w w:val="105"/>
          <w:sz w:val="15"/>
        </w:rPr>
        <w:t xml:space="preserve"> </w:t>
      </w:r>
      <w:r>
        <w:rPr>
          <w:w w:val="105"/>
          <w:sz w:val="15"/>
        </w:rPr>
        <w:t>de</w:t>
      </w:r>
      <w:r>
        <w:rPr>
          <w:spacing w:val="-11"/>
          <w:w w:val="105"/>
          <w:sz w:val="15"/>
        </w:rPr>
        <w:t xml:space="preserve"> </w:t>
      </w:r>
      <w:r>
        <w:rPr>
          <w:w w:val="105"/>
          <w:sz w:val="15"/>
        </w:rPr>
        <w:t>un</w:t>
      </w:r>
      <w:r>
        <w:rPr>
          <w:spacing w:val="-11"/>
          <w:w w:val="105"/>
          <w:sz w:val="15"/>
        </w:rPr>
        <w:t xml:space="preserve"> </w:t>
      </w:r>
      <w:r>
        <w:rPr>
          <w:w w:val="105"/>
          <w:sz w:val="15"/>
        </w:rPr>
        <w:t>incidente</w:t>
      </w:r>
      <w:r>
        <w:rPr>
          <w:spacing w:val="-11"/>
          <w:w w:val="105"/>
          <w:sz w:val="15"/>
        </w:rPr>
        <w:t xml:space="preserve"> </w:t>
      </w:r>
      <w:r>
        <w:rPr>
          <w:w w:val="105"/>
          <w:sz w:val="15"/>
        </w:rPr>
        <w:t>de</w:t>
      </w:r>
      <w:r>
        <w:rPr>
          <w:spacing w:val="-11"/>
          <w:w w:val="105"/>
          <w:sz w:val="15"/>
        </w:rPr>
        <w:t xml:space="preserve"> </w:t>
      </w:r>
      <w:r>
        <w:rPr>
          <w:w w:val="105"/>
          <w:sz w:val="15"/>
        </w:rPr>
        <w:t>incitación</w:t>
      </w:r>
      <w:r>
        <w:rPr>
          <w:spacing w:val="-11"/>
          <w:w w:val="105"/>
          <w:sz w:val="15"/>
        </w:rPr>
        <w:t xml:space="preserve"> </w:t>
      </w:r>
      <w:r>
        <w:rPr>
          <w:w w:val="105"/>
          <w:sz w:val="15"/>
        </w:rPr>
        <w:t>o</w:t>
      </w:r>
      <w:r>
        <w:rPr>
          <w:spacing w:val="-10"/>
          <w:w w:val="105"/>
          <w:sz w:val="15"/>
        </w:rPr>
        <w:t xml:space="preserve"> </w:t>
      </w:r>
      <w:r>
        <w:rPr>
          <w:w w:val="105"/>
          <w:sz w:val="15"/>
        </w:rPr>
        <w:t>discurso de odio, y cuando las tensiones aumentan en una sociedad.”1211</w:t>
      </w:r>
    </w:p>
    <w:p w14:paraId="501243F8" w14:textId="77777777" w:rsidR="0014798C" w:rsidRDefault="004E1F0B">
      <w:pPr>
        <w:spacing w:before="169" w:line="348" w:lineRule="auto"/>
        <w:ind w:left="1109" w:right="1272" w:firstLine="2"/>
        <w:rPr>
          <w:sz w:val="15"/>
        </w:rPr>
      </w:pPr>
      <w:r>
        <w:rPr>
          <w:w w:val="105"/>
          <w:sz w:val="15"/>
        </w:rPr>
        <w:t>Estas</w:t>
      </w:r>
      <w:r>
        <w:rPr>
          <w:spacing w:val="-7"/>
          <w:w w:val="105"/>
          <w:sz w:val="15"/>
        </w:rPr>
        <w:t xml:space="preserve"> </w:t>
      </w:r>
      <w:r>
        <w:rPr>
          <w:w w:val="105"/>
          <w:sz w:val="15"/>
        </w:rPr>
        <w:t>medidas</w:t>
      </w:r>
      <w:r>
        <w:rPr>
          <w:spacing w:val="-6"/>
          <w:w w:val="105"/>
          <w:sz w:val="15"/>
        </w:rPr>
        <w:t xml:space="preserve"> </w:t>
      </w:r>
      <w:r>
        <w:rPr>
          <w:w w:val="105"/>
          <w:sz w:val="15"/>
        </w:rPr>
        <w:t>pueden</w:t>
      </w:r>
      <w:r>
        <w:rPr>
          <w:spacing w:val="-6"/>
          <w:w w:val="105"/>
          <w:sz w:val="15"/>
        </w:rPr>
        <w:t xml:space="preserve"> </w:t>
      </w:r>
      <w:r>
        <w:rPr>
          <w:w w:val="105"/>
          <w:sz w:val="15"/>
        </w:rPr>
        <w:t>ser</w:t>
      </w:r>
      <w:r>
        <w:rPr>
          <w:spacing w:val="-6"/>
          <w:w w:val="105"/>
          <w:sz w:val="15"/>
        </w:rPr>
        <w:t xml:space="preserve"> </w:t>
      </w:r>
      <w:r>
        <w:rPr>
          <w:w w:val="105"/>
          <w:sz w:val="15"/>
        </w:rPr>
        <w:t>tanto</w:t>
      </w:r>
      <w:r>
        <w:rPr>
          <w:spacing w:val="-7"/>
          <w:w w:val="105"/>
          <w:sz w:val="15"/>
        </w:rPr>
        <w:t xml:space="preserve"> </w:t>
      </w:r>
      <w:r>
        <w:rPr>
          <w:w w:val="105"/>
          <w:sz w:val="15"/>
        </w:rPr>
        <w:t>correctivas</w:t>
      </w:r>
      <w:r>
        <w:rPr>
          <w:spacing w:val="-7"/>
          <w:w w:val="105"/>
          <w:sz w:val="15"/>
        </w:rPr>
        <w:t xml:space="preserve"> </w:t>
      </w:r>
      <w:r>
        <w:rPr>
          <w:w w:val="105"/>
          <w:sz w:val="15"/>
        </w:rPr>
        <w:t>(es</w:t>
      </w:r>
      <w:r>
        <w:rPr>
          <w:spacing w:val="-6"/>
          <w:w w:val="105"/>
          <w:sz w:val="15"/>
        </w:rPr>
        <w:t xml:space="preserve"> </w:t>
      </w:r>
      <w:r>
        <w:rPr>
          <w:w w:val="105"/>
          <w:sz w:val="15"/>
        </w:rPr>
        <w:t>decir,</w:t>
      </w:r>
      <w:r>
        <w:rPr>
          <w:spacing w:val="-6"/>
          <w:w w:val="105"/>
          <w:sz w:val="15"/>
        </w:rPr>
        <w:t xml:space="preserve"> </w:t>
      </w:r>
      <w:r>
        <w:rPr>
          <w:w w:val="105"/>
          <w:sz w:val="15"/>
        </w:rPr>
        <w:t>parte</w:t>
      </w:r>
      <w:r>
        <w:rPr>
          <w:spacing w:val="-6"/>
          <w:w w:val="105"/>
          <w:sz w:val="15"/>
        </w:rPr>
        <w:t xml:space="preserve"> </w:t>
      </w:r>
      <w:r>
        <w:rPr>
          <w:w w:val="105"/>
          <w:sz w:val="15"/>
        </w:rPr>
        <w:t>de</w:t>
      </w:r>
      <w:r>
        <w:rPr>
          <w:spacing w:val="-6"/>
          <w:w w:val="105"/>
          <w:sz w:val="15"/>
        </w:rPr>
        <w:t xml:space="preserve"> </w:t>
      </w:r>
      <w:r>
        <w:rPr>
          <w:w w:val="105"/>
          <w:sz w:val="15"/>
        </w:rPr>
        <w:t>una</w:t>
      </w:r>
      <w:r>
        <w:rPr>
          <w:spacing w:val="-6"/>
          <w:w w:val="105"/>
          <w:sz w:val="15"/>
        </w:rPr>
        <w:t xml:space="preserve"> </w:t>
      </w:r>
      <w:r>
        <w:rPr>
          <w:w w:val="105"/>
          <w:sz w:val="15"/>
        </w:rPr>
        <w:t>respuesta</w:t>
      </w:r>
      <w:r>
        <w:rPr>
          <w:spacing w:val="-6"/>
          <w:w w:val="105"/>
          <w:sz w:val="15"/>
        </w:rPr>
        <w:t xml:space="preserve"> </w:t>
      </w:r>
      <w:r>
        <w:rPr>
          <w:w w:val="105"/>
          <w:sz w:val="15"/>
        </w:rPr>
        <w:t>gubernamental</w:t>
      </w:r>
      <w:r>
        <w:rPr>
          <w:spacing w:val="-6"/>
          <w:w w:val="105"/>
          <w:sz w:val="15"/>
        </w:rPr>
        <w:t xml:space="preserve"> </w:t>
      </w:r>
      <w:r>
        <w:rPr>
          <w:w w:val="105"/>
          <w:sz w:val="15"/>
        </w:rPr>
        <w:t>o</w:t>
      </w:r>
      <w:r>
        <w:rPr>
          <w:spacing w:val="-6"/>
          <w:w w:val="105"/>
          <w:sz w:val="15"/>
        </w:rPr>
        <w:t xml:space="preserve"> </w:t>
      </w:r>
      <w:r>
        <w:rPr>
          <w:w w:val="105"/>
          <w:sz w:val="15"/>
        </w:rPr>
        <w:t>institucional</w:t>
      </w:r>
      <w:r>
        <w:rPr>
          <w:spacing w:val="-6"/>
          <w:w w:val="105"/>
          <w:sz w:val="15"/>
        </w:rPr>
        <w:t xml:space="preserve"> </w:t>
      </w:r>
      <w:r>
        <w:rPr>
          <w:w w:val="105"/>
          <w:sz w:val="15"/>
        </w:rPr>
        <w:t>a</w:t>
      </w:r>
      <w:r>
        <w:rPr>
          <w:spacing w:val="-6"/>
          <w:w w:val="105"/>
          <w:sz w:val="15"/>
        </w:rPr>
        <w:t xml:space="preserve"> </w:t>
      </w:r>
      <w:r>
        <w:rPr>
          <w:w w:val="105"/>
          <w:sz w:val="15"/>
        </w:rPr>
        <w:t>un</w:t>
      </w:r>
      <w:r>
        <w:rPr>
          <w:spacing w:val="-6"/>
          <w:w w:val="105"/>
          <w:sz w:val="15"/>
        </w:rPr>
        <w:t xml:space="preserve"> </w:t>
      </w:r>
      <w:r>
        <w:rPr>
          <w:w w:val="105"/>
          <w:sz w:val="15"/>
        </w:rPr>
        <w:t>incidente</w:t>
      </w:r>
      <w:r>
        <w:rPr>
          <w:spacing w:val="-6"/>
          <w:w w:val="105"/>
          <w:sz w:val="15"/>
        </w:rPr>
        <w:t xml:space="preserve"> </w:t>
      </w:r>
      <w:r>
        <w:rPr>
          <w:w w:val="105"/>
          <w:sz w:val="15"/>
        </w:rPr>
        <w:t>o</w:t>
      </w:r>
      <w:r>
        <w:rPr>
          <w:spacing w:val="-6"/>
          <w:w w:val="105"/>
          <w:sz w:val="15"/>
        </w:rPr>
        <w:t xml:space="preserve"> </w:t>
      </w:r>
      <w:r>
        <w:rPr>
          <w:w w:val="105"/>
          <w:sz w:val="15"/>
        </w:rPr>
        <w:t>patrón específico</w:t>
      </w:r>
      <w:r>
        <w:rPr>
          <w:spacing w:val="-11"/>
          <w:w w:val="105"/>
          <w:sz w:val="15"/>
        </w:rPr>
        <w:t xml:space="preserve"> </w:t>
      </w:r>
      <w:r>
        <w:rPr>
          <w:w w:val="105"/>
          <w:sz w:val="15"/>
        </w:rPr>
        <w:t>de</w:t>
      </w:r>
      <w:r>
        <w:rPr>
          <w:spacing w:val="-11"/>
          <w:w w:val="105"/>
          <w:sz w:val="15"/>
        </w:rPr>
        <w:t xml:space="preserve"> </w:t>
      </w:r>
      <w:r>
        <w:rPr>
          <w:w w:val="105"/>
          <w:sz w:val="15"/>
        </w:rPr>
        <w:t>discurso</w:t>
      </w:r>
      <w:r>
        <w:rPr>
          <w:spacing w:val="-10"/>
          <w:w w:val="105"/>
          <w:sz w:val="15"/>
        </w:rPr>
        <w:t xml:space="preserve"> </w:t>
      </w:r>
      <w:r>
        <w:rPr>
          <w:w w:val="105"/>
          <w:sz w:val="15"/>
        </w:rPr>
        <w:t>de</w:t>
      </w:r>
      <w:r>
        <w:rPr>
          <w:spacing w:val="-11"/>
          <w:w w:val="105"/>
          <w:sz w:val="15"/>
        </w:rPr>
        <w:t xml:space="preserve"> </w:t>
      </w:r>
      <w:r>
        <w:rPr>
          <w:w w:val="105"/>
          <w:sz w:val="15"/>
        </w:rPr>
        <w:t>odio)</w:t>
      </w:r>
      <w:r>
        <w:rPr>
          <w:spacing w:val="-11"/>
          <w:w w:val="105"/>
          <w:sz w:val="15"/>
        </w:rPr>
        <w:t xml:space="preserve"> </w:t>
      </w:r>
      <w:r>
        <w:rPr>
          <w:w w:val="105"/>
          <w:sz w:val="15"/>
        </w:rPr>
        <w:t>como</w:t>
      </w:r>
      <w:r>
        <w:rPr>
          <w:spacing w:val="-10"/>
          <w:w w:val="105"/>
          <w:sz w:val="15"/>
        </w:rPr>
        <w:t xml:space="preserve"> </w:t>
      </w:r>
      <w:r>
        <w:rPr>
          <w:w w:val="105"/>
          <w:sz w:val="15"/>
        </w:rPr>
        <w:t>proactivas</w:t>
      </w:r>
      <w:r>
        <w:rPr>
          <w:spacing w:val="-11"/>
          <w:w w:val="105"/>
          <w:sz w:val="15"/>
        </w:rPr>
        <w:t xml:space="preserve"> </w:t>
      </w:r>
      <w:r>
        <w:rPr>
          <w:w w:val="105"/>
          <w:sz w:val="15"/>
        </w:rPr>
        <w:t>(es</w:t>
      </w:r>
      <w:r>
        <w:rPr>
          <w:spacing w:val="-11"/>
          <w:w w:val="105"/>
          <w:sz w:val="15"/>
        </w:rPr>
        <w:t xml:space="preserve"> </w:t>
      </w:r>
      <w:r>
        <w:rPr>
          <w:w w:val="105"/>
          <w:sz w:val="15"/>
        </w:rPr>
        <w:t>decir,</w:t>
      </w:r>
      <w:r>
        <w:rPr>
          <w:spacing w:val="-11"/>
          <w:w w:val="105"/>
          <w:sz w:val="15"/>
        </w:rPr>
        <w:t xml:space="preserve"> </w:t>
      </w:r>
      <w:r>
        <w:rPr>
          <w:w w:val="105"/>
          <w:sz w:val="15"/>
        </w:rPr>
        <w:t>dirigidas</w:t>
      </w:r>
      <w:r>
        <w:rPr>
          <w:spacing w:val="-10"/>
          <w:w w:val="105"/>
          <w:sz w:val="15"/>
        </w:rPr>
        <w:t xml:space="preserve"> </w:t>
      </w:r>
      <w:r>
        <w:rPr>
          <w:w w:val="105"/>
          <w:sz w:val="15"/>
        </w:rPr>
        <w:t>a</w:t>
      </w:r>
      <w:r>
        <w:rPr>
          <w:spacing w:val="-11"/>
          <w:w w:val="105"/>
          <w:sz w:val="15"/>
        </w:rPr>
        <w:t xml:space="preserve"> </w:t>
      </w:r>
      <w:r>
        <w:rPr>
          <w:w w:val="105"/>
          <w:sz w:val="15"/>
        </w:rPr>
        <w:t>desafiar</w:t>
      </w:r>
      <w:r>
        <w:rPr>
          <w:spacing w:val="-11"/>
          <w:w w:val="105"/>
          <w:sz w:val="15"/>
        </w:rPr>
        <w:t xml:space="preserve"> </w:t>
      </w:r>
      <w:r>
        <w:rPr>
          <w:w w:val="105"/>
          <w:sz w:val="15"/>
        </w:rPr>
        <w:t>los</w:t>
      </w:r>
      <w:r>
        <w:rPr>
          <w:spacing w:val="-11"/>
          <w:w w:val="105"/>
          <w:sz w:val="15"/>
        </w:rPr>
        <w:t xml:space="preserve"> </w:t>
      </w:r>
      <w:r>
        <w:rPr>
          <w:w w:val="105"/>
          <w:sz w:val="15"/>
        </w:rPr>
        <w:t>prejuicios,</w:t>
      </w:r>
      <w:r>
        <w:rPr>
          <w:spacing w:val="-10"/>
          <w:w w:val="105"/>
          <w:sz w:val="15"/>
        </w:rPr>
        <w:t xml:space="preserve"> </w:t>
      </w:r>
      <w:r>
        <w:rPr>
          <w:w w:val="105"/>
          <w:sz w:val="15"/>
        </w:rPr>
        <w:t>el</w:t>
      </w:r>
      <w:r>
        <w:rPr>
          <w:spacing w:val="-11"/>
          <w:w w:val="105"/>
          <w:sz w:val="15"/>
        </w:rPr>
        <w:t xml:space="preserve"> </w:t>
      </w:r>
      <w:r>
        <w:rPr>
          <w:w w:val="105"/>
          <w:sz w:val="15"/>
        </w:rPr>
        <w:t>estigma,</w:t>
      </w:r>
      <w:r>
        <w:rPr>
          <w:spacing w:val="-10"/>
          <w:w w:val="105"/>
          <w:sz w:val="15"/>
        </w:rPr>
        <w:t xml:space="preserve"> </w:t>
      </w:r>
      <w:r>
        <w:rPr>
          <w:w w:val="105"/>
          <w:sz w:val="15"/>
        </w:rPr>
        <w:t>los</w:t>
      </w:r>
      <w:r>
        <w:rPr>
          <w:spacing w:val="-11"/>
          <w:w w:val="105"/>
          <w:sz w:val="15"/>
        </w:rPr>
        <w:t xml:space="preserve"> </w:t>
      </w:r>
      <w:r>
        <w:rPr>
          <w:w w:val="105"/>
          <w:sz w:val="15"/>
        </w:rPr>
        <w:t>estereotipos</w:t>
      </w:r>
      <w:r>
        <w:rPr>
          <w:spacing w:val="-11"/>
          <w:w w:val="105"/>
          <w:sz w:val="15"/>
        </w:rPr>
        <w:t xml:space="preserve"> </w:t>
      </w:r>
      <w:r>
        <w:rPr>
          <w:w w:val="105"/>
          <w:sz w:val="15"/>
        </w:rPr>
        <w:t>y</w:t>
      </w:r>
      <w:r>
        <w:rPr>
          <w:spacing w:val="-11"/>
          <w:w w:val="105"/>
          <w:sz w:val="15"/>
        </w:rPr>
        <w:t xml:space="preserve"> </w:t>
      </w:r>
      <w:r>
        <w:rPr>
          <w:w w:val="105"/>
          <w:sz w:val="15"/>
        </w:rPr>
        <w:t>otros</w:t>
      </w:r>
      <w:r>
        <w:rPr>
          <w:spacing w:val="-10"/>
          <w:w w:val="105"/>
          <w:sz w:val="15"/>
        </w:rPr>
        <w:t xml:space="preserve"> </w:t>
      </w:r>
      <w:r>
        <w:rPr>
          <w:w w:val="105"/>
          <w:sz w:val="15"/>
        </w:rPr>
        <w:t>factores de</w:t>
      </w:r>
      <w:r>
        <w:rPr>
          <w:spacing w:val="-6"/>
          <w:w w:val="105"/>
          <w:sz w:val="15"/>
        </w:rPr>
        <w:t xml:space="preserve"> </w:t>
      </w:r>
      <w:r>
        <w:rPr>
          <w:w w:val="105"/>
          <w:sz w:val="15"/>
        </w:rPr>
        <w:t>discriminación).</w:t>
      </w:r>
      <w:r>
        <w:rPr>
          <w:spacing w:val="-5"/>
          <w:w w:val="105"/>
          <w:sz w:val="15"/>
        </w:rPr>
        <w:t xml:space="preserve"> </w:t>
      </w:r>
      <w:r>
        <w:rPr>
          <w:w w:val="105"/>
          <w:sz w:val="15"/>
        </w:rPr>
        <w:t>Tanto</w:t>
      </w:r>
      <w:r>
        <w:rPr>
          <w:spacing w:val="-7"/>
          <w:w w:val="105"/>
          <w:sz w:val="15"/>
        </w:rPr>
        <w:t xml:space="preserve"> </w:t>
      </w:r>
      <w:r>
        <w:rPr>
          <w:w w:val="105"/>
          <w:sz w:val="15"/>
        </w:rPr>
        <w:t>las</w:t>
      </w:r>
      <w:r>
        <w:rPr>
          <w:spacing w:val="-6"/>
          <w:w w:val="105"/>
          <w:sz w:val="15"/>
        </w:rPr>
        <w:t xml:space="preserve"> </w:t>
      </w:r>
      <w:r>
        <w:rPr>
          <w:w w:val="105"/>
          <w:sz w:val="15"/>
        </w:rPr>
        <w:t>medidas</w:t>
      </w:r>
      <w:r>
        <w:rPr>
          <w:spacing w:val="-6"/>
          <w:w w:val="105"/>
          <w:sz w:val="15"/>
        </w:rPr>
        <w:t xml:space="preserve"> </w:t>
      </w:r>
      <w:r>
        <w:rPr>
          <w:w w:val="105"/>
          <w:sz w:val="15"/>
        </w:rPr>
        <w:t>correctivas</w:t>
      </w:r>
      <w:r>
        <w:rPr>
          <w:spacing w:val="-7"/>
          <w:w w:val="105"/>
          <w:sz w:val="15"/>
        </w:rPr>
        <w:t xml:space="preserve"> </w:t>
      </w:r>
      <w:r>
        <w:rPr>
          <w:w w:val="105"/>
          <w:sz w:val="15"/>
        </w:rPr>
        <w:t>como</w:t>
      </w:r>
      <w:r>
        <w:rPr>
          <w:spacing w:val="-6"/>
          <w:w w:val="105"/>
          <w:sz w:val="15"/>
        </w:rPr>
        <w:t xml:space="preserve"> </w:t>
      </w:r>
      <w:r>
        <w:rPr>
          <w:w w:val="105"/>
          <w:sz w:val="15"/>
        </w:rPr>
        <w:t>las</w:t>
      </w:r>
      <w:r>
        <w:rPr>
          <w:spacing w:val="-6"/>
          <w:w w:val="105"/>
          <w:sz w:val="15"/>
        </w:rPr>
        <w:t xml:space="preserve"> </w:t>
      </w:r>
      <w:r>
        <w:rPr>
          <w:w w:val="105"/>
          <w:sz w:val="15"/>
        </w:rPr>
        <w:t>proactivas</w:t>
      </w:r>
      <w:r>
        <w:rPr>
          <w:spacing w:val="-7"/>
          <w:w w:val="105"/>
          <w:sz w:val="15"/>
        </w:rPr>
        <w:t xml:space="preserve"> </w:t>
      </w:r>
      <w:r>
        <w:rPr>
          <w:w w:val="105"/>
          <w:sz w:val="15"/>
        </w:rPr>
        <w:t>tienen</w:t>
      </w:r>
      <w:r>
        <w:rPr>
          <w:spacing w:val="-6"/>
          <w:w w:val="105"/>
          <w:sz w:val="15"/>
        </w:rPr>
        <w:t xml:space="preserve"> </w:t>
      </w:r>
      <w:r>
        <w:rPr>
          <w:w w:val="105"/>
          <w:sz w:val="15"/>
        </w:rPr>
        <w:t>una</w:t>
      </w:r>
      <w:r>
        <w:rPr>
          <w:spacing w:val="-6"/>
          <w:w w:val="105"/>
          <w:sz w:val="15"/>
        </w:rPr>
        <w:t xml:space="preserve"> </w:t>
      </w:r>
      <w:r>
        <w:rPr>
          <w:w w:val="105"/>
          <w:sz w:val="15"/>
        </w:rPr>
        <w:t>sólida</w:t>
      </w:r>
      <w:r>
        <w:rPr>
          <w:spacing w:val="-6"/>
          <w:w w:val="105"/>
          <w:sz w:val="15"/>
        </w:rPr>
        <w:t xml:space="preserve"> </w:t>
      </w:r>
      <w:r>
        <w:rPr>
          <w:w w:val="105"/>
          <w:sz w:val="15"/>
        </w:rPr>
        <w:t>base</w:t>
      </w:r>
      <w:r>
        <w:rPr>
          <w:spacing w:val="-6"/>
          <w:w w:val="105"/>
          <w:sz w:val="15"/>
        </w:rPr>
        <w:t xml:space="preserve"> </w:t>
      </w:r>
      <w:r>
        <w:rPr>
          <w:w w:val="105"/>
          <w:sz w:val="15"/>
        </w:rPr>
        <w:t>en</w:t>
      </w:r>
      <w:r>
        <w:rPr>
          <w:spacing w:val="-6"/>
          <w:w w:val="105"/>
          <w:sz w:val="15"/>
        </w:rPr>
        <w:t xml:space="preserve"> </w:t>
      </w:r>
      <w:r>
        <w:rPr>
          <w:w w:val="105"/>
          <w:sz w:val="15"/>
        </w:rPr>
        <w:t>el</w:t>
      </w:r>
      <w:r>
        <w:rPr>
          <w:spacing w:val="-6"/>
          <w:w w:val="105"/>
          <w:sz w:val="15"/>
        </w:rPr>
        <w:t xml:space="preserve"> </w:t>
      </w:r>
      <w:r>
        <w:rPr>
          <w:w w:val="105"/>
          <w:sz w:val="15"/>
        </w:rPr>
        <w:t>derecho</w:t>
      </w:r>
      <w:r>
        <w:rPr>
          <w:spacing w:val="-6"/>
          <w:w w:val="105"/>
          <w:sz w:val="15"/>
        </w:rPr>
        <w:t xml:space="preserve"> </w:t>
      </w:r>
      <w:r>
        <w:rPr>
          <w:w w:val="105"/>
          <w:sz w:val="15"/>
        </w:rPr>
        <w:t>internacional.1212</w:t>
      </w:r>
      <w:r>
        <w:rPr>
          <w:spacing w:val="-6"/>
          <w:w w:val="105"/>
          <w:sz w:val="15"/>
        </w:rPr>
        <w:t xml:space="preserve"> </w:t>
      </w:r>
      <w:r>
        <w:rPr>
          <w:w w:val="105"/>
          <w:sz w:val="15"/>
        </w:rPr>
        <w:t>De hecho,</w:t>
      </w:r>
      <w:r>
        <w:rPr>
          <w:spacing w:val="-8"/>
          <w:w w:val="105"/>
          <w:sz w:val="15"/>
        </w:rPr>
        <w:t xml:space="preserve"> </w:t>
      </w:r>
      <w:r>
        <w:rPr>
          <w:w w:val="105"/>
          <w:sz w:val="15"/>
        </w:rPr>
        <w:t>las</w:t>
      </w:r>
      <w:r>
        <w:rPr>
          <w:spacing w:val="-8"/>
          <w:w w:val="105"/>
          <w:sz w:val="15"/>
        </w:rPr>
        <w:t xml:space="preserve"> </w:t>
      </w:r>
      <w:r>
        <w:rPr>
          <w:w w:val="105"/>
          <w:sz w:val="15"/>
        </w:rPr>
        <w:t>obligaciones</w:t>
      </w:r>
      <w:r>
        <w:rPr>
          <w:spacing w:val="-9"/>
          <w:w w:val="105"/>
          <w:sz w:val="15"/>
        </w:rPr>
        <w:t xml:space="preserve"> </w:t>
      </w:r>
      <w:r>
        <w:rPr>
          <w:w w:val="105"/>
          <w:sz w:val="15"/>
        </w:rPr>
        <w:t>positivas</w:t>
      </w:r>
      <w:r>
        <w:rPr>
          <w:spacing w:val="-9"/>
          <w:w w:val="105"/>
          <w:sz w:val="15"/>
        </w:rPr>
        <w:t xml:space="preserve"> </w:t>
      </w:r>
      <w:r>
        <w:rPr>
          <w:w w:val="105"/>
          <w:sz w:val="15"/>
        </w:rPr>
        <w:t>de</w:t>
      </w:r>
      <w:r>
        <w:rPr>
          <w:spacing w:val="-8"/>
          <w:w w:val="105"/>
          <w:sz w:val="15"/>
        </w:rPr>
        <w:t xml:space="preserve"> </w:t>
      </w:r>
      <w:r>
        <w:rPr>
          <w:w w:val="105"/>
          <w:sz w:val="15"/>
        </w:rPr>
        <w:t>los</w:t>
      </w:r>
      <w:r>
        <w:rPr>
          <w:spacing w:val="-8"/>
          <w:w w:val="105"/>
          <w:sz w:val="15"/>
        </w:rPr>
        <w:t xml:space="preserve"> </w:t>
      </w:r>
      <w:r>
        <w:rPr>
          <w:w w:val="105"/>
          <w:sz w:val="15"/>
        </w:rPr>
        <w:t>Estados</w:t>
      </w:r>
      <w:r>
        <w:rPr>
          <w:spacing w:val="-9"/>
          <w:w w:val="105"/>
          <w:sz w:val="15"/>
        </w:rPr>
        <w:t xml:space="preserve"> </w:t>
      </w:r>
      <w:r>
        <w:rPr>
          <w:w w:val="105"/>
          <w:sz w:val="15"/>
        </w:rPr>
        <w:t>de</w:t>
      </w:r>
      <w:r>
        <w:rPr>
          <w:spacing w:val="-8"/>
          <w:w w:val="105"/>
          <w:sz w:val="15"/>
        </w:rPr>
        <w:t xml:space="preserve"> </w:t>
      </w:r>
      <w:r>
        <w:rPr>
          <w:w w:val="105"/>
          <w:sz w:val="15"/>
        </w:rPr>
        <w:t>combatir</w:t>
      </w:r>
      <w:r>
        <w:rPr>
          <w:spacing w:val="-9"/>
          <w:w w:val="105"/>
          <w:sz w:val="15"/>
        </w:rPr>
        <w:t xml:space="preserve"> </w:t>
      </w:r>
      <w:r>
        <w:rPr>
          <w:w w:val="105"/>
          <w:sz w:val="15"/>
        </w:rPr>
        <w:t>los</w:t>
      </w:r>
      <w:r>
        <w:rPr>
          <w:spacing w:val="-8"/>
          <w:w w:val="105"/>
          <w:sz w:val="15"/>
        </w:rPr>
        <w:t xml:space="preserve"> </w:t>
      </w:r>
      <w:r>
        <w:rPr>
          <w:w w:val="105"/>
          <w:sz w:val="15"/>
        </w:rPr>
        <w:t>estereotipos,</w:t>
      </w:r>
      <w:r>
        <w:rPr>
          <w:spacing w:val="-7"/>
          <w:w w:val="105"/>
          <w:sz w:val="15"/>
        </w:rPr>
        <w:t xml:space="preserve"> </w:t>
      </w:r>
      <w:r>
        <w:rPr>
          <w:w w:val="105"/>
          <w:sz w:val="15"/>
        </w:rPr>
        <w:t>el</w:t>
      </w:r>
      <w:r>
        <w:rPr>
          <w:spacing w:val="-8"/>
          <w:w w:val="105"/>
          <w:sz w:val="15"/>
        </w:rPr>
        <w:t xml:space="preserve"> </w:t>
      </w:r>
      <w:r>
        <w:rPr>
          <w:w w:val="105"/>
          <w:sz w:val="15"/>
        </w:rPr>
        <w:t>estigma</w:t>
      </w:r>
      <w:r>
        <w:rPr>
          <w:spacing w:val="-8"/>
          <w:w w:val="105"/>
          <w:sz w:val="15"/>
        </w:rPr>
        <w:t xml:space="preserve"> </w:t>
      </w:r>
      <w:r>
        <w:rPr>
          <w:w w:val="105"/>
          <w:sz w:val="15"/>
        </w:rPr>
        <w:t>y</w:t>
      </w:r>
      <w:r>
        <w:rPr>
          <w:spacing w:val="-8"/>
          <w:w w:val="105"/>
          <w:sz w:val="15"/>
        </w:rPr>
        <w:t xml:space="preserve"> </w:t>
      </w:r>
      <w:r>
        <w:rPr>
          <w:w w:val="105"/>
          <w:sz w:val="15"/>
        </w:rPr>
        <w:t>los</w:t>
      </w:r>
      <w:r>
        <w:rPr>
          <w:spacing w:val="-8"/>
          <w:w w:val="105"/>
          <w:sz w:val="15"/>
        </w:rPr>
        <w:t xml:space="preserve"> </w:t>
      </w:r>
      <w:r>
        <w:rPr>
          <w:w w:val="105"/>
          <w:sz w:val="15"/>
        </w:rPr>
        <w:t>prejuicios</w:t>
      </w:r>
      <w:r>
        <w:rPr>
          <w:spacing w:val="-8"/>
          <w:w w:val="105"/>
          <w:sz w:val="15"/>
        </w:rPr>
        <w:t xml:space="preserve"> </w:t>
      </w:r>
      <w:r>
        <w:rPr>
          <w:w w:val="105"/>
          <w:sz w:val="15"/>
        </w:rPr>
        <w:t>son</w:t>
      </w:r>
      <w:r>
        <w:rPr>
          <w:spacing w:val="-8"/>
          <w:w w:val="105"/>
          <w:sz w:val="15"/>
        </w:rPr>
        <w:t xml:space="preserve"> </w:t>
      </w:r>
      <w:r>
        <w:rPr>
          <w:w w:val="105"/>
          <w:sz w:val="15"/>
        </w:rPr>
        <w:t>el</w:t>
      </w:r>
      <w:r>
        <w:rPr>
          <w:spacing w:val="-8"/>
          <w:w w:val="105"/>
          <w:sz w:val="15"/>
        </w:rPr>
        <w:t xml:space="preserve"> </w:t>
      </w:r>
      <w:r>
        <w:rPr>
          <w:w w:val="105"/>
          <w:sz w:val="15"/>
        </w:rPr>
        <w:t>tema</w:t>
      </w:r>
      <w:r>
        <w:rPr>
          <w:spacing w:val="-8"/>
          <w:w w:val="105"/>
          <w:sz w:val="15"/>
        </w:rPr>
        <w:t xml:space="preserve"> </w:t>
      </w:r>
      <w:r>
        <w:rPr>
          <w:w w:val="105"/>
          <w:sz w:val="15"/>
        </w:rPr>
        <w:t>central</w:t>
      </w:r>
      <w:r>
        <w:rPr>
          <w:spacing w:val="-8"/>
          <w:w w:val="105"/>
          <w:sz w:val="15"/>
        </w:rPr>
        <w:t xml:space="preserve"> </w:t>
      </w:r>
      <w:r>
        <w:rPr>
          <w:w w:val="105"/>
          <w:sz w:val="15"/>
        </w:rPr>
        <w:t>de</w:t>
      </w:r>
      <w:r>
        <w:rPr>
          <w:spacing w:val="-8"/>
          <w:w w:val="105"/>
          <w:sz w:val="15"/>
        </w:rPr>
        <w:t xml:space="preserve"> </w:t>
      </w:r>
      <w:r>
        <w:rPr>
          <w:w w:val="105"/>
          <w:sz w:val="15"/>
        </w:rPr>
        <w:t>la</w:t>
      </w:r>
      <w:r>
        <w:rPr>
          <w:spacing w:val="-8"/>
          <w:w w:val="105"/>
          <w:sz w:val="15"/>
        </w:rPr>
        <w:t xml:space="preserve"> </w:t>
      </w:r>
      <w:r>
        <w:rPr>
          <w:w w:val="105"/>
          <w:sz w:val="15"/>
        </w:rPr>
        <w:t>sexta parte de la presente guía.</w:t>
      </w:r>
    </w:p>
    <w:p w14:paraId="67C66DBD" w14:textId="77777777" w:rsidR="0014798C" w:rsidRDefault="0014798C">
      <w:pPr>
        <w:pStyle w:val="Textoindependiente"/>
        <w:rPr>
          <w:sz w:val="15"/>
        </w:rPr>
      </w:pPr>
    </w:p>
    <w:p w14:paraId="426CD409" w14:textId="77777777" w:rsidR="0014798C" w:rsidRDefault="0014798C">
      <w:pPr>
        <w:pStyle w:val="Textoindependiente"/>
        <w:spacing w:before="122"/>
        <w:rPr>
          <w:sz w:val="15"/>
        </w:rPr>
      </w:pPr>
    </w:p>
    <w:p w14:paraId="640F3815" w14:textId="77777777" w:rsidR="0014798C" w:rsidRDefault="004E1F0B">
      <w:pPr>
        <w:ind w:left="1329"/>
        <w:rPr>
          <w:sz w:val="15"/>
        </w:rPr>
      </w:pPr>
      <w:r>
        <w:rPr>
          <w:noProof/>
        </w:rPr>
        <w:drawing>
          <wp:anchor distT="0" distB="0" distL="0" distR="0" simplePos="0" relativeHeight="251658493" behindDoc="1" locked="0" layoutInCell="1" allowOverlap="1" wp14:anchorId="5813DCA8" wp14:editId="0D04F8CB">
            <wp:simplePos x="0" y="0"/>
            <wp:positionH relativeFrom="page">
              <wp:posOffset>790692</wp:posOffset>
            </wp:positionH>
            <wp:positionV relativeFrom="paragraph">
              <wp:posOffset>-164334</wp:posOffset>
            </wp:positionV>
            <wp:extent cx="6765807" cy="5252729"/>
            <wp:effectExtent l="0" t="0" r="0" b="0"/>
            <wp:wrapNone/>
            <wp:docPr id="371" name="Image 37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71" name="Image 371"/>
                    <pic:cNvPicPr/>
                  </pic:nvPicPr>
                  <pic:blipFill>
                    <a:blip r:embed="rId344" cstate="print"/>
                    <a:stretch>
                      <a:fillRect/>
                    </a:stretch>
                  </pic:blipFill>
                  <pic:spPr>
                    <a:xfrm>
                      <a:off x="0" y="0"/>
                      <a:ext cx="6765807" cy="5252729"/>
                    </a:xfrm>
                    <a:prstGeom prst="rect">
                      <a:avLst/>
                    </a:prstGeom>
                  </pic:spPr>
                </pic:pic>
              </a:graphicData>
            </a:graphic>
          </wp:anchor>
        </w:drawing>
      </w:r>
      <w:r>
        <w:rPr>
          <w:sz w:val="15"/>
        </w:rPr>
        <w:t>ABORDAR</w:t>
      </w:r>
      <w:r>
        <w:rPr>
          <w:spacing w:val="13"/>
          <w:sz w:val="15"/>
        </w:rPr>
        <w:t xml:space="preserve"> </w:t>
      </w:r>
      <w:r>
        <w:rPr>
          <w:sz w:val="15"/>
        </w:rPr>
        <w:t>LOS</w:t>
      </w:r>
      <w:r>
        <w:rPr>
          <w:spacing w:val="15"/>
          <w:sz w:val="15"/>
        </w:rPr>
        <w:t xml:space="preserve"> </w:t>
      </w:r>
      <w:r>
        <w:rPr>
          <w:sz w:val="15"/>
        </w:rPr>
        <w:t>IMPACTOS</w:t>
      </w:r>
      <w:r>
        <w:rPr>
          <w:spacing w:val="15"/>
          <w:sz w:val="15"/>
        </w:rPr>
        <w:t xml:space="preserve"> </w:t>
      </w:r>
      <w:r>
        <w:rPr>
          <w:sz w:val="15"/>
        </w:rPr>
        <w:t>DISCRIMINATORIOS</w:t>
      </w:r>
      <w:r>
        <w:rPr>
          <w:spacing w:val="16"/>
          <w:sz w:val="15"/>
        </w:rPr>
        <w:t xml:space="preserve"> </w:t>
      </w:r>
      <w:r>
        <w:rPr>
          <w:sz w:val="15"/>
        </w:rPr>
        <w:t>DE</w:t>
      </w:r>
      <w:r>
        <w:rPr>
          <w:spacing w:val="14"/>
          <w:sz w:val="15"/>
        </w:rPr>
        <w:t xml:space="preserve"> </w:t>
      </w:r>
      <w:r>
        <w:rPr>
          <w:sz w:val="15"/>
        </w:rPr>
        <w:t>LOS</w:t>
      </w:r>
      <w:r>
        <w:rPr>
          <w:spacing w:val="15"/>
          <w:sz w:val="15"/>
        </w:rPr>
        <w:t xml:space="preserve"> </w:t>
      </w:r>
      <w:r>
        <w:rPr>
          <w:sz w:val="15"/>
        </w:rPr>
        <w:t>SISTEMAS</w:t>
      </w:r>
      <w:r>
        <w:rPr>
          <w:spacing w:val="15"/>
          <w:sz w:val="15"/>
        </w:rPr>
        <w:t xml:space="preserve"> </w:t>
      </w:r>
      <w:r>
        <w:rPr>
          <w:spacing w:val="-2"/>
          <w:sz w:val="15"/>
        </w:rPr>
        <w:t>ALGORÍTMICOS</w:t>
      </w:r>
    </w:p>
    <w:p w14:paraId="36E75D2A" w14:textId="77777777" w:rsidR="0014798C" w:rsidRDefault="0014798C">
      <w:pPr>
        <w:pStyle w:val="Textoindependiente"/>
        <w:spacing w:before="59"/>
        <w:rPr>
          <w:sz w:val="15"/>
        </w:rPr>
      </w:pPr>
    </w:p>
    <w:p w14:paraId="64EDDE6F" w14:textId="77777777" w:rsidR="0014798C" w:rsidRDefault="004E1F0B">
      <w:pPr>
        <w:spacing w:line="348" w:lineRule="auto"/>
        <w:ind w:left="1332" w:right="1463"/>
        <w:rPr>
          <w:sz w:val="15"/>
        </w:rPr>
      </w:pPr>
      <w:r>
        <w:rPr>
          <w:w w:val="105"/>
          <w:sz w:val="15"/>
        </w:rPr>
        <w:t>El</w:t>
      </w:r>
      <w:r>
        <w:rPr>
          <w:spacing w:val="-7"/>
          <w:w w:val="105"/>
          <w:sz w:val="15"/>
        </w:rPr>
        <w:t xml:space="preserve"> </w:t>
      </w:r>
      <w:r>
        <w:rPr>
          <w:w w:val="105"/>
          <w:sz w:val="15"/>
        </w:rPr>
        <w:t>uso</w:t>
      </w:r>
      <w:r>
        <w:rPr>
          <w:spacing w:val="-7"/>
          <w:w w:val="105"/>
          <w:sz w:val="15"/>
        </w:rPr>
        <w:t xml:space="preserve"> </w:t>
      </w:r>
      <w:r>
        <w:rPr>
          <w:w w:val="105"/>
          <w:sz w:val="15"/>
        </w:rPr>
        <w:t>emergente</w:t>
      </w:r>
      <w:r>
        <w:rPr>
          <w:spacing w:val="-7"/>
          <w:w w:val="105"/>
          <w:sz w:val="15"/>
        </w:rPr>
        <w:t xml:space="preserve"> </w:t>
      </w:r>
      <w:r>
        <w:rPr>
          <w:w w:val="105"/>
          <w:sz w:val="15"/>
        </w:rPr>
        <w:t>de</w:t>
      </w:r>
      <w:r>
        <w:rPr>
          <w:spacing w:val="-7"/>
          <w:w w:val="105"/>
          <w:sz w:val="15"/>
        </w:rPr>
        <w:t xml:space="preserve"> </w:t>
      </w:r>
      <w:r>
        <w:rPr>
          <w:w w:val="105"/>
          <w:sz w:val="15"/>
        </w:rPr>
        <w:t>sistemas</w:t>
      </w:r>
      <w:r>
        <w:rPr>
          <w:spacing w:val="-7"/>
          <w:w w:val="105"/>
          <w:sz w:val="15"/>
        </w:rPr>
        <w:t xml:space="preserve"> </w:t>
      </w:r>
      <w:r>
        <w:rPr>
          <w:w w:val="105"/>
          <w:sz w:val="15"/>
        </w:rPr>
        <w:t>algorítmicos</w:t>
      </w:r>
      <w:r>
        <w:rPr>
          <w:spacing w:val="-8"/>
          <w:w w:val="105"/>
          <w:sz w:val="15"/>
        </w:rPr>
        <w:t xml:space="preserve"> </w:t>
      </w:r>
      <w:r>
        <w:rPr>
          <w:w w:val="105"/>
          <w:sz w:val="15"/>
        </w:rPr>
        <w:t>por</w:t>
      </w:r>
      <w:r>
        <w:rPr>
          <w:spacing w:val="-7"/>
          <w:w w:val="105"/>
          <w:sz w:val="15"/>
        </w:rPr>
        <w:t xml:space="preserve"> </w:t>
      </w:r>
      <w:r>
        <w:rPr>
          <w:w w:val="105"/>
          <w:sz w:val="15"/>
        </w:rPr>
        <w:t>parte</w:t>
      </w:r>
      <w:r>
        <w:rPr>
          <w:spacing w:val="-7"/>
          <w:w w:val="105"/>
          <w:sz w:val="15"/>
        </w:rPr>
        <w:t xml:space="preserve"> </w:t>
      </w:r>
      <w:r>
        <w:rPr>
          <w:w w:val="105"/>
          <w:sz w:val="15"/>
        </w:rPr>
        <w:t>de</w:t>
      </w:r>
      <w:r>
        <w:rPr>
          <w:spacing w:val="-7"/>
          <w:w w:val="105"/>
          <w:sz w:val="15"/>
        </w:rPr>
        <w:t xml:space="preserve"> </w:t>
      </w:r>
      <w:r>
        <w:rPr>
          <w:w w:val="105"/>
          <w:sz w:val="15"/>
        </w:rPr>
        <w:t>actores</w:t>
      </w:r>
      <w:r>
        <w:rPr>
          <w:spacing w:val="-7"/>
          <w:w w:val="105"/>
          <w:sz w:val="15"/>
        </w:rPr>
        <w:t xml:space="preserve"> </w:t>
      </w:r>
      <w:r>
        <w:rPr>
          <w:w w:val="105"/>
          <w:sz w:val="15"/>
        </w:rPr>
        <w:t>públicos</w:t>
      </w:r>
      <w:r>
        <w:rPr>
          <w:spacing w:val="-7"/>
          <w:w w:val="105"/>
          <w:sz w:val="15"/>
        </w:rPr>
        <w:t xml:space="preserve"> </w:t>
      </w:r>
      <w:r>
        <w:rPr>
          <w:w w:val="105"/>
          <w:sz w:val="15"/>
        </w:rPr>
        <w:t>y</w:t>
      </w:r>
      <w:r>
        <w:rPr>
          <w:spacing w:val="-7"/>
          <w:w w:val="105"/>
          <w:sz w:val="15"/>
        </w:rPr>
        <w:t xml:space="preserve"> </w:t>
      </w:r>
      <w:r>
        <w:rPr>
          <w:w w:val="105"/>
          <w:sz w:val="15"/>
        </w:rPr>
        <w:t>privados</w:t>
      </w:r>
      <w:r>
        <w:rPr>
          <w:spacing w:val="-7"/>
          <w:w w:val="105"/>
          <w:sz w:val="15"/>
        </w:rPr>
        <w:t xml:space="preserve"> </w:t>
      </w:r>
      <w:r>
        <w:rPr>
          <w:w w:val="105"/>
          <w:sz w:val="15"/>
        </w:rPr>
        <w:t>ha</w:t>
      </w:r>
      <w:r>
        <w:rPr>
          <w:spacing w:val="-7"/>
          <w:w w:val="105"/>
          <w:sz w:val="15"/>
        </w:rPr>
        <w:t xml:space="preserve"> </w:t>
      </w:r>
      <w:r>
        <w:rPr>
          <w:w w:val="105"/>
          <w:sz w:val="15"/>
        </w:rPr>
        <w:t>alterado</w:t>
      </w:r>
      <w:r>
        <w:rPr>
          <w:spacing w:val="-7"/>
          <w:w w:val="105"/>
          <w:sz w:val="15"/>
        </w:rPr>
        <w:t xml:space="preserve"> </w:t>
      </w:r>
      <w:r>
        <w:rPr>
          <w:w w:val="105"/>
          <w:sz w:val="15"/>
        </w:rPr>
        <w:t>fundamentalmente</w:t>
      </w:r>
      <w:r>
        <w:rPr>
          <w:spacing w:val="-8"/>
          <w:w w:val="105"/>
          <w:sz w:val="15"/>
        </w:rPr>
        <w:t xml:space="preserve"> </w:t>
      </w:r>
      <w:r>
        <w:rPr>
          <w:w w:val="105"/>
          <w:sz w:val="15"/>
        </w:rPr>
        <w:t>la</w:t>
      </w:r>
      <w:r>
        <w:rPr>
          <w:spacing w:val="-7"/>
          <w:w w:val="105"/>
          <w:sz w:val="15"/>
        </w:rPr>
        <w:t xml:space="preserve"> </w:t>
      </w:r>
      <w:r>
        <w:rPr>
          <w:w w:val="105"/>
          <w:sz w:val="15"/>
        </w:rPr>
        <w:t>forma</w:t>
      </w:r>
      <w:r>
        <w:rPr>
          <w:spacing w:val="-7"/>
          <w:w w:val="105"/>
          <w:sz w:val="15"/>
        </w:rPr>
        <w:t xml:space="preserve"> </w:t>
      </w:r>
      <w:r>
        <w:rPr>
          <w:w w:val="105"/>
          <w:sz w:val="15"/>
        </w:rPr>
        <w:t>en que</w:t>
      </w:r>
      <w:r>
        <w:rPr>
          <w:spacing w:val="-11"/>
          <w:w w:val="105"/>
          <w:sz w:val="15"/>
        </w:rPr>
        <w:t xml:space="preserve"> </w:t>
      </w:r>
      <w:r>
        <w:rPr>
          <w:w w:val="105"/>
          <w:sz w:val="15"/>
        </w:rPr>
        <w:t>vivimos</w:t>
      </w:r>
      <w:r>
        <w:rPr>
          <w:spacing w:val="-11"/>
          <w:w w:val="105"/>
          <w:sz w:val="15"/>
        </w:rPr>
        <w:t xml:space="preserve"> </w:t>
      </w:r>
      <w:r>
        <w:rPr>
          <w:w w:val="105"/>
          <w:sz w:val="15"/>
        </w:rPr>
        <w:t>nuestras</w:t>
      </w:r>
      <w:r>
        <w:rPr>
          <w:spacing w:val="-11"/>
          <w:w w:val="105"/>
          <w:sz w:val="15"/>
        </w:rPr>
        <w:t xml:space="preserve"> </w:t>
      </w:r>
      <w:r>
        <w:rPr>
          <w:w w:val="105"/>
          <w:sz w:val="15"/>
        </w:rPr>
        <w:t>vidas.</w:t>
      </w:r>
      <w:r>
        <w:rPr>
          <w:spacing w:val="-11"/>
          <w:w w:val="105"/>
          <w:sz w:val="15"/>
        </w:rPr>
        <w:t xml:space="preserve"> </w:t>
      </w:r>
      <w:r>
        <w:rPr>
          <w:w w:val="105"/>
          <w:sz w:val="15"/>
        </w:rPr>
        <w:t>Los</w:t>
      </w:r>
      <w:r>
        <w:rPr>
          <w:spacing w:val="-11"/>
          <w:w w:val="105"/>
          <w:sz w:val="15"/>
        </w:rPr>
        <w:t xml:space="preserve"> </w:t>
      </w:r>
      <w:r>
        <w:rPr>
          <w:w w:val="105"/>
          <w:sz w:val="15"/>
        </w:rPr>
        <w:t>impactos</w:t>
      </w:r>
      <w:r>
        <w:rPr>
          <w:spacing w:val="-11"/>
          <w:w w:val="105"/>
          <w:sz w:val="15"/>
        </w:rPr>
        <w:t xml:space="preserve"> </w:t>
      </w:r>
      <w:r>
        <w:rPr>
          <w:w w:val="105"/>
          <w:sz w:val="15"/>
        </w:rPr>
        <w:t>discriminatorios</w:t>
      </w:r>
      <w:r>
        <w:rPr>
          <w:spacing w:val="-11"/>
          <w:w w:val="105"/>
          <w:sz w:val="15"/>
        </w:rPr>
        <w:t xml:space="preserve"> </w:t>
      </w:r>
      <w:r>
        <w:rPr>
          <w:w w:val="105"/>
          <w:sz w:val="15"/>
        </w:rPr>
        <w:t>y</w:t>
      </w:r>
      <w:r>
        <w:rPr>
          <w:spacing w:val="-11"/>
          <w:w w:val="105"/>
          <w:sz w:val="15"/>
        </w:rPr>
        <w:t xml:space="preserve"> </w:t>
      </w:r>
      <w:r>
        <w:rPr>
          <w:w w:val="105"/>
          <w:sz w:val="15"/>
        </w:rPr>
        <w:t>sobre</w:t>
      </w:r>
      <w:r>
        <w:rPr>
          <w:spacing w:val="-11"/>
          <w:w w:val="105"/>
          <w:sz w:val="15"/>
        </w:rPr>
        <w:t xml:space="preserve"> </w:t>
      </w:r>
      <w:r>
        <w:rPr>
          <w:w w:val="105"/>
          <w:sz w:val="15"/>
        </w:rPr>
        <w:t>los</w:t>
      </w:r>
      <w:r>
        <w:rPr>
          <w:spacing w:val="-11"/>
          <w:w w:val="105"/>
          <w:sz w:val="15"/>
        </w:rPr>
        <w:t xml:space="preserve"> </w:t>
      </w:r>
      <w:r>
        <w:rPr>
          <w:w w:val="105"/>
          <w:sz w:val="15"/>
        </w:rPr>
        <w:t>derechos</w:t>
      </w:r>
      <w:r>
        <w:rPr>
          <w:spacing w:val="-10"/>
          <w:w w:val="105"/>
          <w:sz w:val="15"/>
        </w:rPr>
        <w:t xml:space="preserve"> </w:t>
      </w:r>
      <w:r>
        <w:rPr>
          <w:w w:val="105"/>
          <w:sz w:val="15"/>
        </w:rPr>
        <w:t>humanos</w:t>
      </w:r>
      <w:r>
        <w:rPr>
          <w:spacing w:val="-11"/>
          <w:w w:val="105"/>
          <w:sz w:val="15"/>
        </w:rPr>
        <w:t xml:space="preserve"> </w:t>
      </w:r>
      <w:r>
        <w:rPr>
          <w:w w:val="105"/>
          <w:sz w:val="15"/>
        </w:rPr>
        <w:t>reales</w:t>
      </w:r>
      <w:r>
        <w:rPr>
          <w:spacing w:val="-11"/>
          <w:w w:val="105"/>
          <w:sz w:val="15"/>
        </w:rPr>
        <w:t xml:space="preserve"> </w:t>
      </w:r>
      <w:r>
        <w:rPr>
          <w:w w:val="105"/>
          <w:sz w:val="15"/>
        </w:rPr>
        <w:t>y</w:t>
      </w:r>
      <w:r>
        <w:rPr>
          <w:spacing w:val="-11"/>
          <w:w w:val="105"/>
          <w:sz w:val="15"/>
        </w:rPr>
        <w:t xml:space="preserve"> </w:t>
      </w:r>
      <w:r>
        <w:rPr>
          <w:w w:val="105"/>
          <w:sz w:val="15"/>
        </w:rPr>
        <w:t>potenciales</w:t>
      </w:r>
      <w:r>
        <w:rPr>
          <w:spacing w:val="-11"/>
          <w:w w:val="105"/>
          <w:sz w:val="15"/>
        </w:rPr>
        <w:t xml:space="preserve"> </w:t>
      </w:r>
      <w:r>
        <w:rPr>
          <w:w w:val="105"/>
          <w:sz w:val="15"/>
        </w:rPr>
        <w:t>del</w:t>
      </w:r>
      <w:r>
        <w:rPr>
          <w:spacing w:val="-10"/>
          <w:w w:val="105"/>
          <w:sz w:val="15"/>
        </w:rPr>
        <w:t xml:space="preserve"> </w:t>
      </w:r>
      <w:r>
        <w:rPr>
          <w:w w:val="105"/>
          <w:sz w:val="15"/>
        </w:rPr>
        <w:t>uso</w:t>
      </w:r>
      <w:r>
        <w:rPr>
          <w:spacing w:val="-11"/>
          <w:w w:val="105"/>
          <w:sz w:val="15"/>
        </w:rPr>
        <w:t xml:space="preserve"> </w:t>
      </w:r>
      <w:r>
        <w:rPr>
          <w:w w:val="105"/>
          <w:sz w:val="15"/>
        </w:rPr>
        <w:t>de</w:t>
      </w:r>
      <w:r>
        <w:rPr>
          <w:spacing w:val="-11"/>
          <w:w w:val="105"/>
          <w:sz w:val="15"/>
        </w:rPr>
        <w:t xml:space="preserve"> </w:t>
      </w:r>
      <w:r>
        <w:rPr>
          <w:w w:val="105"/>
          <w:sz w:val="15"/>
        </w:rPr>
        <w:t>dichas tecnologías</w:t>
      </w:r>
      <w:r>
        <w:rPr>
          <w:spacing w:val="-11"/>
          <w:w w:val="105"/>
          <w:sz w:val="15"/>
        </w:rPr>
        <w:t xml:space="preserve"> </w:t>
      </w:r>
      <w:r>
        <w:rPr>
          <w:w w:val="105"/>
          <w:sz w:val="15"/>
        </w:rPr>
        <w:t>son</w:t>
      </w:r>
      <w:r>
        <w:rPr>
          <w:spacing w:val="-10"/>
          <w:w w:val="105"/>
          <w:sz w:val="15"/>
        </w:rPr>
        <w:t xml:space="preserve"> </w:t>
      </w:r>
      <w:r>
        <w:rPr>
          <w:w w:val="105"/>
          <w:sz w:val="15"/>
        </w:rPr>
        <w:t>innumerables</w:t>
      </w:r>
      <w:r>
        <w:rPr>
          <w:spacing w:val="-11"/>
          <w:w w:val="105"/>
          <w:sz w:val="15"/>
        </w:rPr>
        <w:t xml:space="preserve"> </w:t>
      </w:r>
      <w:r>
        <w:rPr>
          <w:w w:val="105"/>
          <w:sz w:val="15"/>
        </w:rPr>
        <w:t>y,</w:t>
      </w:r>
      <w:r>
        <w:rPr>
          <w:spacing w:val="-10"/>
          <w:w w:val="105"/>
          <w:sz w:val="15"/>
        </w:rPr>
        <w:t xml:space="preserve"> </w:t>
      </w:r>
      <w:r>
        <w:rPr>
          <w:w w:val="105"/>
          <w:sz w:val="15"/>
        </w:rPr>
        <w:t>como</w:t>
      </w:r>
      <w:r>
        <w:rPr>
          <w:spacing w:val="-10"/>
          <w:w w:val="105"/>
          <w:sz w:val="15"/>
        </w:rPr>
        <w:t xml:space="preserve"> </w:t>
      </w:r>
      <w:r>
        <w:rPr>
          <w:w w:val="105"/>
          <w:sz w:val="15"/>
        </w:rPr>
        <w:t>tales,</w:t>
      </w:r>
      <w:r>
        <w:rPr>
          <w:spacing w:val="-10"/>
          <w:w w:val="105"/>
          <w:sz w:val="15"/>
        </w:rPr>
        <w:t xml:space="preserve"> </w:t>
      </w:r>
      <w:r>
        <w:rPr>
          <w:w w:val="105"/>
          <w:sz w:val="15"/>
        </w:rPr>
        <w:t>han</w:t>
      </w:r>
      <w:r>
        <w:rPr>
          <w:spacing w:val="-10"/>
          <w:w w:val="105"/>
          <w:sz w:val="15"/>
        </w:rPr>
        <w:t xml:space="preserve"> </w:t>
      </w:r>
      <w:r>
        <w:rPr>
          <w:w w:val="105"/>
          <w:sz w:val="15"/>
        </w:rPr>
        <w:t>sido</w:t>
      </w:r>
      <w:r>
        <w:rPr>
          <w:spacing w:val="-10"/>
          <w:w w:val="105"/>
          <w:sz w:val="15"/>
        </w:rPr>
        <w:t xml:space="preserve"> </w:t>
      </w:r>
      <w:r>
        <w:rPr>
          <w:w w:val="105"/>
          <w:sz w:val="15"/>
        </w:rPr>
        <w:t>objeto</w:t>
      </w:r>
      <w:r>
        <w:rPr>
          <w:spacing w:val="-10"/>
          <w:w w:val="105"/>
          <w:sz w:val="15"/>
        </w:rPr>
        <w:t xml:space="preserve"> </w:t>
      </w:r>
      <w:r>
        <w:rPr>
          <w:w w:val="105"/>
          <w:sz w:val="15"/>
        </w:rPr>
        <w:t>de</w:t>
      </w:r>
      <w:r>
        <w:rPr>
          <w:spacing w:val="-10"/>
          <w:w w:val="105"/>
          <w:sz w:val="15"/>
        </w:rPr>
        <w:t xml:space="preserve"> </w:t>
      </w:r>
      <w:r>
        <w:rPr>
          <w:w w:val="105"/>
          <w:sz w:val="15"/>
        </w:rPr>
        <w:t>importantes</w:t>
      </w:r>
      <w:r>
        <w:rPr>
          <w:spacing w:val="-11"/>
          <w:w w:val="105"/>
          <w:sz w:val="15"/>
        </w:rPr>
        <w:t xml:space="preserve"> </w:t>
      </w:r>
      <w:r>
        <w:rPr>
          <w:w w:val="105"/>
          <w:sz w:val="15"/>
        </w:rPr>
        <w:t>análisis</w:t>
      </w:r>
      <w:r>
        <w:rPr>
          <w:spacing w:val="-10"/>
          <w:w w:val="105"/>
          <w:sz w:val="15"/>
        </w:rPr>
        <w:t xml:space="preserve"> </w:t>
      </w:r>
      <w:r>
        <w:rPr>
          <w:w w:val="105"/>
          <w:sz w:val="15"/>
        </w:rPr>
        <w:t>por</w:t>
      </w:r>
      <w:r>
        <w:rPr>
          <w:spacing w:val="-10"/>
          <w:w w:val="105"/>
          <w:sz w:val="15"/>
        </w:rPr>
        <w:t xml:space="preserve"> </w:t>
      </w:r>
      <w:r>
        <w:rPr>
          <w:w w:val="105"/>
          <w:sz w:val="15"/>
        </w:rPr>
        <w:t>parte</w:t>
      </w:r>
      <w:r>
        <w:rPr>
          <w:spacing w:val="-10"/>
          <w:w w:val="105"/>
          <w:sz w:val="15"/>
        </w:rPr>
        <w:t xml:space="preserve"> </w:t>
      </w:r>
      <w:r>
        <w:rPr>
          <w:w w:val="105"/>
          <w:sz w:val="15"/>
        </w:rPr>
        <w:t>de</w:t>
      </w:r>
      <w:r>
        <w:rPr>
          <w:spacing w:val="-10"/>
          <w:w w:val="105"/>
          <w:sz w:val="15"/>
        </w:rPr>
        <w:t xml:space="preserve"> </w:t>
      </w:r>
      <w:r>
        <w:rPr>
          <w:w w:val="105"/>
          <w:sz w:val="15"/>
        </w:rPr>
        <w:t>los</w:t>
      </w:r>
      <w:r>
        <w:rPr>
          <w:spacing w:val="-10"/>
          <w:w w:val="105"/>
          <w:sz w:val="15"/>
        </w:rPr>
        <w:t xml:space="preserve"> </w:t>
      </w:r>
      <w:r>
        <w:rPr>
          <w:w w:val="105"/>
          <w:sz w:val="15"/>
        </w:rPr>
        <w:t>procedimientos</w:t>
      </w:r>
      <w:r>
        <w:rPr>
          <w:spacing w:val="-11"/>
          <w:w w:val="105"/>
          <w:sz w:val="15"/>
        </w:rPr>
        <w:t xml:space="preserve"> </w:t>
      </w:r>
      <w:r>
        <w:rPr>
          <w:w w:val="105"/>
          <w:sz w:val="15"/>
        </w:rPr>
        <w:t>especiales del Consejo de Derechos Humanos.1213</w:t>
      </w:r>
    </w:p>
    <w:p w14:paraId="147B41C9" w14:textId="77777777" w:rsidR="0014798C" w:rsidRDefault="004E1F0B">
      <w:pPr>
        <w:spacing w:before="119"/>
        <w:ind w:left="1340"/>
        <w:rPr>
          <w:sz w:val="15"/>
        </w:rPr>
      </w:pPr>
      <w:r>
        <w:rPr>
          <w:w w:val="105"/>
          <w:sz w:val="15"/>
        </w:rPr>
        <w:t>Papel</w:t>
      </w:r>
      <w:r>
        <w:rPr>
          <w:spacing w:val="-10"/>
          <w:w w:val="105"/>
          <w:sz w:val="15"/>
        </w:rPr>
        <w:t xml:space="preserve"> </w:t>
      </w:r>
      <w:r>
        <w:rPr>
          <w:w w:val="105"/>
          <w:sz w:val="15"/>
        </w:rPr>
        <w:t>de</w:t>
      </w:r>
      <w:r>
        <w:rPr>
          <w:spacing w:val="-10"/>
          <w:w w:val="105"/>
          <w:sz w:val="15"/>
        </w:rPr>
        <w:t xml:space="preserve"> </w:t>
      </w:r>
      <w:r>
        <w:rPr>
          <w:w w:val="105"/>
          <w:sz w:val="15"/>
        </w:rPr>
        <w:t>los</w:t>
      </w:r>
      <w:r>
        <w:rPr>
          <w:spacing w:val="-10"/>
          <w:w w:val="105"/>
          <w:sz w:val="15"/>
        </w:rPr>
        <w:t xml:space="preserve"> </w:t>
      </w:r>
      <w:r>
        <w:rPr>
          <w:w w:val="105"/>
          <w:sz w:val="15"/>
        </w:rPr>
        <w:t>sistemas</w:t>
      </w:r>
      <w:r>
        <w:rPr>
          <w:spacing w:val="-10"/>
          <w:w w:val="105"/>
          <w:sz w:val="15"/>
        </w:rPr>
        <w:t xml:space="preserve"> </w:t>
      </w:r>
      <w:r>
        <w:rPr>
          <w:w w:val="105"/>
          <w:sz w:val="15"/>
        </w:rPr>
        <w:t>algorítmicos</w:t>
      </w:r>
      <w:r>
        <w:rPr>
          <w:spacing w:val="-11"/>
          <w:w w:val="105"/>
          <w:sz w:val="15"/>
        </w:rPr>
        <w:t xml:space="preserve"> </w:t>
      </w:r>
      <w:r>
        <w:rPr>
          <w:w w:val="105"/>
          <w:sz w:val="15"/>
        </w:rPr>
        <w:t>en</w:t>
      </w:r>
      <w:r>
        <w:rPr>
          <w:spacing w:val="-10"/>
          <w:w w:val="105"/>
          <w:sz w:val="15"/>
        </w:rPr>
        <w:t xml:space="preserve"> </w:t>
      </w:r>
      <w:r>
        <w:rPr>
          <w:w w:val="105"/>
          <w:sz w:val="15"/>
        </w:rPr>
        <w:t>la</w:t>
      </w:r>
      <w:r>
        <w:rPr>
          <w:spacing w:val="-10"/>
          <w:w w:val="105"/>
          <w:sz w:val="15"/>
        </w:rPr>
        <w:t xml:space="preserve"> </w:t>
      </w:r>
      <w:r>
        <w:rPr>
          <w:w w:val="105"/>
          <w:sz w:val="15"/>
        </w:rPr>
        <w:t>difusión</w:t>
      </w:r>
      <w:r>
        <w:rPr>
          <w:spacing w:val="-10"/>
          <w:w w:val="105"/>
          <w:sz w:val="15"/>
        </w:rPr>
        <w:t xml:space="preserve"> </w:t>
      </w:r>
      <w:r>
        <w:rPr>
          <w:w w:val="105"/>
          <w:sz w:val="15"/>
        </w:rPr>
        <w:t>y</w:t>
      </w:r>
      <w:r>
        <w:rPr>
          <w:spacing w:val="-9"/>
          <w:w w:val="105"/>
          <w:sz w:val="15"/>
        </w:rPr>
        <w:t xml:space="preserve"> </w:t>
      </w:r>
      <w:r>
        <w:rPr>
          <w:w w:val="105"/>
          <w:sz w:val="15"/>
        </w:rPr>
        <w:t>el</w:t>
      </w:r>
      <w:r>
        <w:rPr>
          <w:spacing w:val="-10"/>
          <w:w w:val="105"/>
          <w:sz w:val="15"/>
        </w:rPr>
        <w:t xml:space="preserve"> </w:t>
      </w:r>
      <w:r>
        <w:rPr>
          <w:w w:val="105"/>
          <w:sz w:val="15"/>
        </w:rPr>
        <w:t>fomento</w:t>
      </w:r>
      <w:r>
        <w:rPr>
          <w:spacing w:val="-11"/>
          <w:w w:val="105"/>
          <w:sz w:val="15"/>
        </w:rPr>
        <w:t xml:space="preserve"> </w:t>
      </w:r>
      <w:r>
        <w:rPr>
          <w:w w:val="105"/>
          <w:sz w:val="15"/>
        </w:rPr>
        <w:t>del</w:t>
      </w:r>
      <w:r>
        <w:rPr>
          <w:spacing w:val="-10"/>
          <w:w w:val="105"/>
          <w:sz w:val="15"/>
        </w:rPr>
        <w:t xml:space="preserve"> </w:t>
      </w:r>
      <w:r>
        <w:rPr>
          <w:w w:val="105"/>
          <w:sz w:val="15"/>
        </w:rPr>
        <w:t>discurso</w:t>
      </w:r>
      <w:r>
        <w:rPr>
          <w:spacing w:val="-10"/>
          <w:w w:val="105"/>
          <w:sz w:val="15"/>
        </w:rPr>
        <w:t xml:space="preserve"> </w:t>
      </w:r>
      <w:r>
        <w:rPr>
          <w:w w:val="105"/>
          <w:sz w:val="15"/>
        </w:rPr>
        <w:t>de</w:t>
      </w:r>
      <w:r>
        <w:rPr>
          <w:spacing w:val="-10"/>
          <w:w w:val="105"/>
          <w:sz w:val="15"/>
        </w:rPr>
        <w:t xml:space="preserve"> </w:t>
      </w:r>
      <w:r>
        <w:rPr>
          <w:spacing w:val="-4"/>
          <w:w w:val="105"/>
          <w:sz w:val="15"/>
        </w:rPr>
        <w:t>odio</w:t>
      </w:r>
    </w:p>
    <w:p w14:paraId="5797805A" w14:textId="77777777" w:rsidR="0014798C" w:rsidRDefault="0014798C">
      <w:pPr>
        <w:pStyle w:val="Textoindependiente"/>
        <w:spacing w:before="11"/>
        <w:rPr>
          <w:sz w:val="15"/>
        </w:rPr>
      </w:pPr>
    </w:p>
    <w:p w14:paraId="6A23EFB5" w14:textId="77777777" w:rsidR="0014798C" w:rsidRDefault="004E1F0B">
      <w:pPr>
        <w:spacing w:line="348" w:lineRule="auto"/>
        <w:ind w:left="1332" w:right="1463" w:firstLine="2"/>
        <w:rPr>
          <w:sz w:val="15"/>
        </w:rPr>
      </w:pPr>
      <w:r>
        <w:rPr>
          <w:w w:val="105"/>
          <w:sz w:val="15"/>
        </w:rPr>
        <w:t>Particularmente</w:t>
      </w:r>
      <w:r>
        <w:rPr>
          <w:spacing w:val="-10"/>
          <w:w w:val="105"/>
          <w:sz w:val="15"/>
        </w:rPr>
        <w:t xml:space="preserve"> </w:t>
      </w:r>
      <w:r>
        <w:rPr>
          <w:w w:val="105"/>
          <w:sz w:val="15"/>
        </w:rPr>
        <w:t>preocupante</w:t>
      </w:r>
      <w:r>
        <w:rPr>
          <w:spacing w:val="-9"/>
          <w:w w:val="105"/>
          <w:sz w:val="15"/>
        </w:rPr>
        <w:t xml:space="preserve"> </w:t>
      </w:r>
      <w:r>
        <w:rPr>
          <w:w w:val="105"/>
          <w:sz w:val="15"/>
        </w:rPr>
        <w:t>es</w:t>
      </w:r>
      <w:r>
        <w:rPr>
          <w:spacing w:val="-9"/>
          <w:w w:val="105"/>
          <w:sz w:val="15"/>
        </w:rPr>
        <w:t xml:space="preserve"> </w:t>
      </w:r>
      <w:r>
        <w:rPr>
          <w:w w:val="105"/>
          <w:sz w:val="15"/>
        </w:rPr>
        <w:t>el</w:t>
      </w:r>
      <w:r>
        <w:rPr>
          <w:spacing w:val="-9"/>
          <w:w w:val="105"/>
          <w:sz w:val="15"/>
        </w:rPr>
        <w:t xml:space="preserve"> </w:t>
      </w:r>
      <w:r>
        <w:rPr>
          <w:w w:val="105"/>
          <w:sz w:val="15"/>
        </w:rPr>
        <w:t>papel</w:t>
      </w:r>
      <w:r>
        <w:rPr>
          <w:spacing w:val="-9"/>
          <w:w w:val="105"/>
          <w:sz w:val="15"/>
        </w:rPr>
        <w:t xml:space="preserve"> </w:t>
      </w:r>
      <w:r>
        <w:rPr>
          <w:w w:val="105"/>
          <w:sz w:val="15"/>
        </w:rPr>
        <w:t>del</w:t>
      </w:r>
      <w:r>
        <w:rPr>
          <w:spacing w:val="-9"/>
          <w:w w:val="105"/>
          <w:sz w:val="15"/>
        </w:rPr>
        <w:t xml:space="preserve"> </w:t>
      </w:r>
      <w:r>
        <w:rPr>
          <w:w w:val="105"/>
          <w:sz w:val="15"/>
        </w:rPr>
        <w:t>uso</w:t>
      </w:r>
      <w:r>
        <w:rPr>
          <w:spacing w:val="-9"/>
          <w:w w:val="105"/>
          <w:sz w:val="15"/>
        </w:rPr>
        <w:t xml:space="preserve"> </w:t>
      </w:r>
      <w:r>
        <w:rPr>
          <w:w w:val="105"/>
          <w:sz w:val="15"/>
        </w:rPr>
        <w:t>de</w:t>
      </w:r>
      <w:r>
        <w:rPr>
          <w:spacing w:val="-9"/>
          <w:w w:val="105"/>
          <w:sz w:val="15"/>
        </w:rPr>
        <w:t xml:space="preserve"> </w:t>
      </w:r>
      <w:r>
        <w:rPr>
          <w:w w:val="105"/>
          <w:sz w:val="15"/>
        </w:rPr>
        <w:t>sistemas</w:t>
      </w:r>
      <w:r>
        <w:rPr>
          <w:spacing w:val="-9"/>
          <w:w w:val="105"/>
          <w:sz w:val="15"/>
        </w:rPr>
        <w:t xml:space="preserve"> </w:t>
      </w:r>
      <w:r>
        <w:rPr>
          <w:w w:val="105"/>
          <w:sz w:val="15"/>
        </w:rPr>
        <w:t>algorítmicos</w:t>
      </w:r>
      <w:r>
        <w:rPr>
          <w:spacing w:val="-10"/>
          <w:w w:val="105"/>
          <w:sz w:val="15"/>
        </w:rPr>
        <w:t xml:space="preserve"> </w:t>
      </w:r>
      <w:r>
        <w:rPr>
          <w:w w:val="105"/>
          <w:sz w:val="15"/>
        </w:rPr>
        <w:t>en</w:t>
      </w:r>
      <w:r>
        <w:rPr>
          <w:spacing w:val="-9"/>
          <w:w w:val="105"/>
          <w:sz w:val="15"/>
        </w:rPr>
        <w:t xml:space="preserve"> </w:t>
      </w:r>
      <w:r>
        <w:rPr>
          <w:w w:val="105"/>
          <w:sz w:val="15"/>
        </w:rPr>
        <w:t>la</w:t>
      </w:r>
      <w:r>
        <w:rPr>
          <w:spacing w:val="-9"/>
          <w:w w:val="105"/>
          <w:sz w:val="15"/>
        </w:rPr>
        <w:t xml:space="preserve"> </w:t>
      </w:r>
      <w:r>
        <w:rPr>
          <w:w w:val="105"/>
          <w:sz w:val="15"/>
        </w:rPr>
        <w:t>difusión</w:t>
      </w:r>
      <w:r>
        <w:rPr>
          <w:spacing w:val="-9"/>
          <w:w w:val="105"/>
          <w:sz w:val="15"/>
        </w:rPr>
        <w:t xml:space="preserve"> </w:t>
      </w:r>
      <w:r>
        <w:rPr>
          <w:w w:val="105"/>
          <w:sz w:val="15"/>
        </w:rPr>
        <w:t>del</w:t>
      </w:r>
      <w:r>
        <w:rPr>
          <w:spacing w:val="-9"/>
          <w:w w:val="105"/>
          <w:sz w:val="15"/>
        </w:rPr>
        <w:t xml:space="preserve"> </w:t>
      </w:r>
      <w:r>
        <w:rPr>
          <w:w w:val="105"/>
          <w:sz w:val="15"/>
        </w:rPr>
        <w:t>discurso</w:t>
      </w:r>
      <w:r>
        <w:rPr>
          <w:spacing w:val="-9"/>
          <w:w w:val="105"/>
          <w:sz w:val="15"/>
        </w:rPr>
        <w:t xml:space="preserve"> </w:t>
      </w:r>
      <w:r>
        <w:rPr>
          <w:w w:val="105"/>
          <w:sz w:val="15"/>
        </w:rPr>
        <w:t>de</w:t>
      </w:r>
      <w:r>
        <w:rPr>
          <w:spacing w:val="-9"/>
          <w:w w:val="105"/>
          <w:sz w:val="15"/>
        </w:rPr>
        <w:t xml:space="preserve"> </w:t>
      </w:r>
      <w:r>
        <w:rPr>
          <w:w w:val="105"/>
          <w:sz w:val="15"/>
        </w:rPr>
        <w:t>odio</w:t>
      </w:r>
      <w:r>
        <w:rPr>
          <w:spacing w:val="-9"/>
          <w:w w:val="105"/>
          <w:sz w:val="15"/>
        </w:rPr>
        <w:t xml:space="preserve"> </w:t>
      </w:r>
      <w:r>
        <w:rPr>
          <w:w w:val="105"/>
          <w:sz w:val="15"/>
        </w:rPr>
        <w:t>y</w:t>
      </w:r>
      <w:r>
        <w:rPr>
          <w:spacing w:val="-9"/>
          <w:w w:val="105"/>
          <w:sz w:val="15"/>
        </w:rPr>
        <w:t xml:space="preserve"> </w:t>
      </w:r>
      <w:r>
        <w:rPr>
          <w:w w:val="105"/>
          <w:sz w:val="15"/>
        </w:rPr>
        <w:t>la</w:t>
      </w:r>
      <w:r>
        <w:rPr>
          <w:spacing w:val="-9"/>
          <w:w w:val="105"/>
          <w:sz w:val="15"/>
        </w:rPr>
        <w:t xml:space="preserve"> </w:t>
      </w:r>
      <w:r>
        <w:rPr>
          <w:w w:val="105"/>
          <w:sz w:val="15"/>
        </w:rPr>
        <w:t>incitación</w:t>
      </w:r>
      <w:r>
        <w:rPr>
          <w:spacing w:val="-9"/>
          <w:w w:val="105"/>
          <w:sz w:val="15"/>
        </w:rPr>
        <w:t xml:space="preserve"> </w:t>
      </w:r>
      <w:r>
        <w:rPr>
          <w:w w:val="105"/>
          <w:sz w:val="15"/>
        </w:rPr>
        <w:t>a</w:t>
      </w:r>
      <w:r>
        <w:rPr>
          <w:spacing w:val="-9"/>
          <w:w w:val="105"/>
          <w:sz w:val="15"/>
        </w:rPr>
        <w:t xml:space="preserve"> </w:t>
      </w:r>
      <w:r>
        <w:rPr>
          <w:w w:val="105"/>
          <w:sz w:val="15"/>
        </w:rPr>
        <w:t>la discriminación</w:t>
      </w:r>
      <w:r>
        <w:rPr>
          <w:spacing w:val="-5"/>
          <w:w w:val="105"/>
          <w:sz w:val="15"/>
        </w:rPr>
        <w:t xml:space="preserve"> </w:t>
      </w:r>
      <w:r>
        <w:rPr>
          <w:w w:val="105"/>
          <w:sz w:val="15"/>
        </w:rPr>
        <w:t>y</w:t>
      </w:r>
      <w:r>
        <w:rPr>
          <w:spacing w:val="-5"/>
          <w:w w:val="105"/>
          <w:sz w:val="15"/>
        </w:rPr>
        <w:t xml:space="preserve"> </w:t>
      </w:r>
      <w:r>
        <w:rPr>
          <w:w w:val="105"/>
          <w:sz w:val="15"/>
        </w:rPr>
        <w:t>la</w:t>
      </w:r>
      <w:r>
        <w:rPr>
          <w:spacing w:val="-5"/>
          <w:w w:val="105"/>
          <w:sz w:val="15"/>
        </w:rPr>
        <w:t xml:space="preserve"> </w:t>
      </w:r>
      <w:r>
        <w:rPr>
          <w:w w:val="105"/>
          <w:sz w:val="15"/>
        </w:rPr>
        <w:t>violencia.</w:t>
      </w:r>
      <w:r>
        <w:rPr>
          <w:spacing w:val="-4"/>
          <w:w w:val="105"/>
          <w:sz w:val="15"/>
        </w:rPr>
        <w:t xml:space="preserve"> </w:t>
      </w:r>
      <w:r>
        <w:rPr>
          <w:w w:val="105"/>
          <w:sz w:val="15"/>
        </w:rPr>
        <w:t>En</w:t>
      </w:r>
      <w:r>
        <w:rPr>
          <w:spacing w:val="-5"/>
          <w:w w:val="105"/>
          <w:sz w:val="15"/>
        </w:rPr>
        <w:t xml:space="preserve"> </w:t>
      </w:r>
      <w:r>
        <w:rPr>
          <w:w w:val="105"/>
          <w:sz w:val="15"/>
        </w:rPr>
        <w:t>el</w:t>
      </w:r>
      <w:r>
        <w:rPr>
          <w:spacing w:val="-5"/>
          <w:w w:val="105"/>
          <w:sz w:val="15"/>
        </w:rPr>
        <w:t xml:space="preserve"> </w:t>
      </w:r>
      <w:r>
        <w:rPr>
          <w:w w:val="105"/>
          <w:sz w:val="15"/>
        </w:rPr>
        <w:t>informe</w:t>
      </w:r>
      <w:r>
        <w:rPr>
          <w:spacing w:val="-5"/>
          <w:w w:val="105"/>
          <w:sz w:val="15"/>
        </w:rPr>
        <w:t xml:space="preserve"> </w:t>
      </w:r>
      <w:r>
        <w:rPr>
          <w:w w:val="105"/>
          <w:sz w:val="15"/>
        </w:rPr>
        <w:t>temático</w:t>
      </w:r>
      <w:r>
        <w:rPr>
          <w:spacing w:val="-5"/>
          <w:w w:val="105"/>
          <w:sz w:val="15"/>
        </w:rPr>
        <w:t xml:space="preserve"> </w:t>
      </w:r>
      <w:r>
        <w:rPr>
          <w:w w:val="105"/>
          <w:sz w:val="15"/>
        </w:rPr>
        <w:t>de</w:t>
      </w:r>
      <w:r>
        <w:rPr>
          <w:spacing w:val="-5"/>
          <w:w w:val="105"/>
          <w:sz w:val="15"/>
        </w:rPr>
        <w:t xml:space="preserve"> </w:t>
      </w:r>
      <w:r>
        <w:rPr>
          <w:w w:val="105"/>
          <w:sz w:val="15"/>
        </w:rPr>
        <w:t>2021</w:t>
      </w:r>
      <w:r>
        <w:rPr>
          <w:spacing w:val="-5"/>
          <w:w w:val="105"/>
          <w:sz w:val="15"/>
        </w:rPr>
        <w:t xml:space="preserve"> </w:t>
      </w:r>
      <w:r>
        <w:rPr>
          <w:w w:val="105"/>
          <w:sz w:val="15"/>
        </w:rPr>
        <w:t>sobre</w:t>
      </w:r>
      <w:r>
        <w:rPr>
          <w:spacing w:val="-5"/>
          <w:w w:val="105"/>
          <w:sz w:val="15"/>
        </w:rPr>
        <w:t xml:space="preserve"> </w:t>
      </w:r>
      <w:r>
        <w:rPr>
          <w:w w:val="105"/>
          <w:sz w:val="15"/>
        </w:rPr>
        <w:t>el</w:t>
      </w:r>
      <w:r>
        <w:rPr>
          <w:spacing w:val="-5"/>
          <w:w w:val="105"/>
          <w:sz w:val="15"/>
        </w:rPr>
        <w:t xml:space="preserve"> </w:t>
      </w:r>
      <w:r>
        <w:rPr>
          <w:w w:val="105"/>
          <w:sz w:val="15"/>
        </w:rPr>
        <w:t>discurso</w:t>
      </w:r>
      <w:r>
        <w:rPr>
          <w:spacing w:val="-5"/>
          <w:w w:val="105"/>
          <w:sz w:val="15"/>
        </w:rPr>
        <w:t xml:space="preserve"> </w:t>
      </w:r>
      <w:r>
        <w:rPr>
          <w:w w:val="105"/>
          <w:sz w:val="15"/>
        </w:rPr>
        <w:t>de</w:t>
      </w:r>
      <w:r>
        <w:rPr>
          <w:spacing w:val="-5"/>
          <w:w w:val="105"/>
          <w:sz w:val="15"/>
        </w:rPr>
        <w:t xml:space="preserve"> </w:t>
      </w:r>
      <w:r>
        <w:rPr>
          <w:w w:val="105"/>
          <w:sz w:val="15"/>
        </w:rPr>
        <w:t>odio,</w:t>
      </w:r>
      <w:r>
        <w:rPr>
          <w:spacing w:val="-5"/>
          <w:w w:val="105"/>
          <w:sz w:val="15"/>
        </w:rPr>
        <w:t xml:space="preserve"> </w:t>
      </w:r>
      <w:r>
        <w:rPr>
          <w:w w:val="105"/>
          <w:sz w:val="15"/>
        </w:rPr>
        <w:t>las</w:t>
      </w:r>
      <w:r>
        <w:rPr>
          <w:spacing w:val="-5"/>
          <w:w w:val="105"/>
          <w:sz w:val="15"/>
        </w:rPr>
        <w:t xml:space="preserve"> </w:t>
      </w:r>
      <w:r>
        <w:rPr>
          <w:w w:val="105"/>
          <w:sz w:val="15"/>
        </w:rPr>
        <w:t>redes</w:t>
      </w:r>
      <w:r>
        <w:rPr>
          <w:spacing w:val="-5"/>
          <w:w w:val="105"/>
          <w:sz w:val="15"/>
        </w:rPr>
        <w:t xml:space="preserve"> </w:t>
      </w:r>
      <w:r>
        <w:rPr>
          <w:w w:val="105"/>
          <w:sz w:val="15"/>
        </w:rPr>
        <w:t>sociales</w:t>
      </w:r>
      <w:r>
        <w:rPr>
          <w:spacing w:val="-5"/>
          <w:w w:val="105"/>
          <w:sz w:val="15"/>
        </w:rPr>
        <w:t xml:space="preserve"> </w:t>
      </w:r>
      <w:r>
        <w:rPr>
          <w:w w:val="105"/>
          <w:sz w:val="15"/>
        </w:rPr>
        <w:t>y</w:t>
      </w:r>
      <w:r>
        <w:rPr>
          <w:spacing w:val="-5"/>
          <w:w w:val="105"/>
          <w:sz w:val="15"/>
        </w:rPr>
        <w:t xml:space="preserve"> </w:t>
      </w:r>
      <w:r>
        <w:rPr>
          <w:w w:val="105"/>
          <w:sz w:val="15"/>
        </w:rPr>
        <w:t>las</w:t>
      </w:r>
      <w:r>
        <w:rPr>
          <w:spacing w:val="-5"/>
          <w:w w:val="105"/>
          <w:sz w:val="15"/>
        </w:rPr>
        <w:t xml:space="preserve"> </w:t>
      </w:r>
      <w:r>
        <w:rPr>
          <w:w w:val="105"/>
          <w:sz w:val="15"/>
        </w:rPr>
        <w:t>minorías,</w:t>
      </w:r>
      <w:r>
        <w:rPr>
          <w:spacing w:val="-5"/>
          <w:w w:val="105"/>
          <w:sz w:val="15"/>
        </w:rPr>
        <w:t xml:space="preserve"> </w:t>
      </w:r>
      <w:r>
        <w:rPr>
          <w:w w:val="105"/>
          <w:sz w:val="15"/>
        </w:rPr>
        <w:t>el Relator</w:t>
      </w:r>
      <w:r>
        <w:rPr>
          <w:spacing w:val="-11"/>
          <w:w w:val="105"/>
          <w:sz w:val="15"/>
        </w:rPr>
        <w:t xml:space="preserve"> </w:t>
      </w:r>
      <w:r>
        <w:rPr>
          <w:w w:val="105"/>
          <w:sz w:val="15"/>
        </w:rPr>
        <w:t>Especial</w:t>
      </w:r>
      <w:r>
        <w:rPr>
          <w:spacing w:val="-11"/>
          <w:w w:val="105"/>
          <w:sz w:val="15"/>
        </w:rPr>
        <w:t xml:space="preserve"> </w:t>
      </w:r>
      <w:r>
        <w:rPr>
          <w:w w:val="105"/>
          <w:sz w:val="15"/>
        </w:rPr>
        <w:t>sobre</w:t>
      </w:r>
      <w:r>
        <w:rPr>
          <w:spacing w:val="-11"/>
          <w:w w:val="105"/>
          <w:sz w:val="15"/>
        </w:rPr>
        <w:t xml:space="preserve"> </w:t>
      </w:r>
      <w:r>
        <w:rPr>
          <w:w w:val="105"/>
          <w:sz w:val="15"/>
        </w:rPr>
        <w:t>cuestiones</w:t>
      </w:r>
      <w:r>
        <w:rPr>
          <w:spacing w:val="-11"/>
          <w:w w:val="105"/>
          <w:sz w:val="15"/>
        </w:rPr>
        <w:t xml:space="preserve"> </w:t>
      </w:r>
      <w:r>
        <w:rPr>
          <w:w w:val="105"/>
          <w:sz w:val="15"/>
        </w:rPr>
        <w:t>de</w:t>
      </w:r>
      <w:r>
        <w:rPr>
          <w:spacing w:val="-10"/>
          <w:w w:val="105"/>
          <w:sz w:val="15"/>
        </w:rPr>
        <w:t xml:space="preserve"> </w:t>
      </w:r>
      <w:r>
        <w:rPr>
          <w:w w:val="105"/>
          <w:sz w:val="15"/>
        </w:rPr>
        <w:t>las</w:t>
      </w:r>
      <w:r>
        <w:rPr>
          <w:spacing w:val="-11"/>
          <w:w w:val="105"/>
          <w:sz w:val="15"/>
        </w:rPr>
        <w:t xml:space="preserve"> </w:t>
      </w:r>
      <w:r>
        <w:rPr>
          <w:w w:val="105"/>
          <w:sz w:val="15"/>
        </w:rPr>
        <w:t>minorías</w:t>
      </w:r>
      <w:r>
        <w:rPr>
          <w:spacing w:val="-11"/>
          <w:w w:val="105"/>
          <w:sz w:val="15"/>
        </w:rPr>
        <w:t xml:space="preserve"> </w:t>
      </w:r>
      <w:r>
        <w:rPr>
          <w:w w:val="105"/>
          <w:sz w:val="15"/>
        </w:rPr>
        <w:t>destacó</w:t>
      </w:r>
      <w:r>
        <w:rPr>
          <w:spacing w:val="-10"/>
          <w:w w:val="105"/>
          <w:sz w:val="15"/>
        </w:rPr>
        <w:t xml:space="preserve"> </w:t>
      </w:r>
      <w:r>
        <w:rPr>
          <w:w w:val="105"/>
          <w:sz w:val="15"/>
        </w:rPr>
        <w:t>las</w:t>
      </w:r>
      <w:r>
        <w:rPr>
          <w:spacing w:val="-11"/>
          <w:w w:val="105"/>
          <w:sz w:val="15"/>
        </w:rPr>
        <w:t xml:space="preserve"> </w:t>
      </w:r>
      <w:r>
        <w:rPr>
          <w:w w:val="105"/>
          <w:sz w:val="15"/>
        </w:rPr>
        <w:t>preocupaciones</w:t>
      </w:r>
      <w:r>
        <w:rPr>
          <w:spacing w:val="-11"/>
          <w:w w:val="105"/>
          <w:sz w:val="15"/>
        </w:rPr>
        <w:t xml:space="preserve"> </w:t>
      </w:r>
      <w:r>
        <w:rPr>
          <w:w w:val="105"/>
          <w:sz w:val="15"/>
        </w:rPr>
        <w:t>con</w:t>
      </w:r>
      <w:r>
        <w:rPr>
          <w:spacing w:val="-10"/>
          <w:w w:val="105"/>
          <w:sz w:val="15"/>
        </w:rPr>
        <w:t xml:space="preserve"> </w:t>
      </w:r>
      <w:r>
        <w:rPr>
          <w:w w:val="105"/>
          <w:sz w:val="15"/>
        </w:rPr>
        <w:t>el</w:t>
      </w:r>
      <w:r>
        <w:rPr>
          <w:spacing w:val="-11"/>
          <w:w w:val="105"/>
          <w:sz w:val="15"/>
        </w:rPr>
        <w:t xml:space="preserve"> </w:t>
      </w:r>
      <w:r>
        <w:rPr>
          <w:w w:val="105"/>
          <w:sz w:val="15"/>
        </w:rPr>
        <w:t>modelo</w:t>
      </w:r>
      <w:r>
        <w:rPr>
          <w:spacing w:val="-11"/>
          <w:w w:val="105"/>
          <w:sz w:val="15"/>
        </w:rPr>
        <w:t xml:space="preserve"> </w:t>
      </w:r>
      <w:r>
        <w:rPr>
          <w:w w:val="105"/>
          <w:sz w:val="15"/>
        </w:rPr>
        <w:t>de</w:t>
      </w:r>
      <w:r>
        <w:rPr>
          <w:spacing w:val="-10"/>
          <w:w w:val="105"/>
          <w:sz w:val="15"/>
        </w:rPr>
        <w:t xml:space="preserve"> </w:t>
      </w:r>
      <w:r>
        <w:rPr>
          <w:w w:val="105"/>
          <w:sz w:val="15"/>
        </w:rPr>
        <w:t>negocio</w:t>
      </w:r>
      <w:r>
        <w:rPr>
          <w:spacing w:val="-11"/>
          <w:w w:val="105"/>
          <w:sz w:val="15"/>
        </w:rPr>
        <w:t xml:space="preserve"> </w:t>
      </w:r>
      <w:r>
        <w:rPr>
          <w:w w:val="105"/>
          <w:sz w:val="15"/>
        </w:rPr>
        <w:t>de</w:t>
      </w:r>
      <w:r>
        <w:rPr>
          <w:spacing w:val="-11"/>
          <w:w w:val="105"/>
          <w:sz w:val="15"/>
        </w:rPr>
        <w:t xml:space="preserve"> </w:t>
      </w:r>
      <w:r>
        <w:rPr>
          <w:w w:val="105"/>
          <w:sz w:val="15"/>
        </w:rPr>
        <w:t>las</w:t>
      </w:r>
      <w:r>
        <w:rPr>
          <w:spacing w:val="-10"/>
          <w:w w:val="105"/>
          <w:sz w:val="15"/>
        </w:rPr>
        <w:t xml:space="preserve"> </w:t>
      </w:r>
      <w:r>
        <w:rPr>
          <w:w w:val="105"/>
          <w:sz w:val="15"/>
        </w:rPr>
        <w:t>plataformas</w:t>
      </w:r>
      <w:r>
        <w:rPr>
          <w:spacing w:val="-11"/>
          <w:w w:val="105"/>
          <w:sz w:val="15"/>
        </w:rPr>
        <w:t xml:space="preserve"> </w:t>
      </w:r>
      <w:r>
        <w:rPr>
          <w:w w:val="105"/>
          <w:sz w:val="15"/>
        </w:rPr>
        <w:t>de redes</w:t>
      </w:r>
      <w:r>
        <w:rPr>
          <w:spacing w:val="-11"/>
          <w:w w:val="105"/>
          <w:sz w:val="15"/>
        </w:rPr>
        <w:t xml:space="preserve"> </w:t>
      </w:r>
      <w:r>
        <w:rPr>
          <w:w w:val="105"/>
          <w:sz w:val="15"/>
        </w:rPr>
        <w:t>sociales,</w:t>
      </w:r>
      <w:r>
        <w:rPr>
          <w:spacing w:val="-11"/>
          <w:w w:val="105"/>
          <w:sz w:val="15"/>
        </w:rPr>
        <w:t xml:space="preserve"> </w:t>
      </w:r>
      <w:r>
        <w:rPr>
          <w:w w:val="105"/>
          <w:sz w:val="15"/>
        </w:rPr>
        <w:t>como</w:t>
      </w:r>
      <w:r>
        <w:rPr>
          <w:spacing w:val="-11"/>
          <w:w w:val="105"/>
          <w:sz w:val="15"/>
        </w:rPr>
        <w:t xml:space="preserve"> </w:t>
      </w:r>
      <w:r>
        <w:rPr>
          <w:w w:val="105"/>
          <w:sz w:val="15"/>
        </w:rPr>
        <w:t>Facebook,</w:t>
      </w:r>
      <w:r>
        <w:rPr>
          <w:spacing w:val="-11"/>
          <w:w w:val="105"/>
          <w:sz w:val="15"/>
        </w:rPr>
        <w:t xml:space="preserve"> </w:t>
      </w:r>
      <w:r>
        <w:rPr>
          <w:w w:val="105"/>
          <w:sz w:val="15"/>
        </w:rPr>
        <w:t>Google,</w:t>
      </w:r>
      <w:r>
        <w:rPr>
          <w:spacing w:val="-11"/>
          <w:w w:val="105"/>
          <w:sz w:val="15"/>
        </w:rPr>
        <w:t xml:space="preserve"> </w:t>
      </w:r>
      <w:r>
        <w:rPr>
          <w:w w:val="105"/>
          <w:sz w:val="15"/>
        </w:rPr>
        <w:t>YouTube</w:t>
      </w:r>
      <w:r>
        <w:rPr>
          <w:spacing w:val="-11"/>
          <w:w w:val="105"/>
          <w:sz w:val="15"/>
        </w:rPr>
        <w:t xml:space="preserve"> </w:t>
      </w:r>
      <w:r>
        <w:rPr>
          <w:w w:val="105"/>
          <w:sz w:val="15"/>
        </w:rPr>
        <w:t>y</w:t>
      </w:r>
      <w:r>
        <w:rPr>
          <w:spacing w:val="-10"/>
          <w:w w:val="105"/>
          <w:sz w:val="15"/>
        </w:rPr>
        <w:t xml:space="preserve"> </w:t>
      </w:r>
      <w:r>
        <w:rPr>
          <w:w w:val="105"/>
          <w:sz w:val="15"/>
        </w:rPr>
        <w:t>Twitter,</w:t>
      </w:r>
      <w:r>
        <w:rPr>
          <w:spacing w:val="-11"/>
          <w:w w:val="105"/>
          <w:sz w:val="15"/>
        </w:rPr>
        <w:t xml:space="preserve"> </w:t>
      </w:r>
      <w:r>
        <w:rPr>
          <w:w w:val="105"/>
          <w:sz w:val="15"/>
        </w:rPr>
        <w:t>cuyo</w:t>
      </w:r>
      <w:r>
        <w:rPr>
          <w:spacing w:val="-11"/>
          <w:w w:val="105"/>
          <w:sz w:val="15"/>
        </w:rPr>
        <w:t xml:space="preserve"> </w:t>
      </w:r>
      <w:r>
        <w:rPr>
          <w:w w:val="105"/>
          <w:sz w:val="15"/>
        </w:rPr>
        <w:t>objetivo</w:t>
      </w:r>
      <w:r>
        <w:rPr>
          <w:spacing w:val="-11"/>
          <w:w w:val="105"/>
          <w:sz w:val="15"/>
        </w:rPr>
        <w:t xml:space="preserve"> </w:t>
      </w:r>
      <w:r>
        <w:rPr>
          <w:w w:val="105"/>
          <w:sz w:val="15"/>
        </w:rPr>
        <w:t>era</w:t>
      </w:r>
      <w:r>
        <w:rPr>
          <w:spacing w:val="-11"/>
          <w:w w:val="105"/>
          <w:sz w:val="15"/>
        </w:rPr>
        <w:t xml:space="preserve"> </w:t>
      </w:r>
      <w:r>
        <w:rPr>
          <w:w w:val="105"/>
          <w:sz w:val="15"/>
        </w:rPr>
        <w:t>maximizar</w:t>
      </w:r>
      <w:r>
        <w:rPr>
          <w:spacing w:val="-11"/>
          <w:w w:val="105"/>
          <w:sz w:val="15"/>
        </w:rPr>
        <w:t xml:space="preserve"> </w:t>
      </w:r>
      <w:r>
        <w:rPr>
          <w:w w:val="105"/>
          <w:sz w:val="15"/>
        </w:rPr>
        <w:t>las</w:t>
      </w:r>
      <w:r>
        <w:rPr>
          <w:spacing w:val="-10"/>
          <w:w w:val="105"/>
          <w:sz w:val="15"/>
        </w:rPr>
        <w:t xml:space="preserve"> </w:t>
      </w:r>
      <w:r>
        <w:rPr>
          <w:w w:val="105"/>
          <w:sz w:val="15"/>
        </w:rPr>
        <w:t>ganancias</w:t>
      </w:r>
      <w:r>
        <w:rPr>
          <w:spacing w:val="-11"/>
          <w:w w:val="105"/>
          <w:sz w:val="15"/>
        </w:rPr>
        <w:t xml:space="preserve"> </w:t>
      </w:r>
      <w:r>
        <w:rPr>
          <w:w w:val="105"/>
          <w:sz w:val="15"/>
        </w:rPr>
        <w:t>mediante</w:t>
      </w:r>
      <w:r>
        <w:rPr>
          <w:spacing w:val="-11"/>
          <w:w w:val="105"/>
          <w:sz w:val="15"/>
        </w:rPr>
        <w:t xml:space="preserve"> </w:t>
      </w:r>
      <w:r>
        <w:rPr>
          <w:w w:val="105"/>
          <w:sz w:val="15"/>
        </w:rPr>
        <w:t>el</w:t>
      </w:r>
      <w:r>
        <w:rPr>
          <w:spacing w:val="-11"/>
          <w:w w:val="105"/>
          <w:sz w:val="15"/>
        </w:rPr>
        <w:t xml:space="preserve"> </w:t>
      </w:r>
      <w:r>
        <w:rPr>
          <w:w w:val="105"/>
          <w:sz w:val="15"/>
        </w:rPr>
        <w:t>diseño</w:t>
      </w:r>
      <w:r>
        <w:rPr>
          <w:spacing w:val="-11"/>
          <w:w w:val="105"/>
          <w:sz w:val="15"/>
        </w:rPr>
        <w:t xml:space="preserve"> </w:t>
      </w:r>
      <w:r>
        <w:rPr>
          <w:w w:val="105"/>
          <w:sz w:val="15"/>
        </w:rPr>
        <w:t>y</w:t>
      </w:r>
      <w:r>
        <w:rPr>
          <w:spacing w:val="-11"/>
          <w:w w:val="105"/>
          <w:sz w:val="15"/>
        </w:rPr>
        <w:t xml:space="preserve"> </w:t>
      </w:r>
      <w:r>
        <w:rPr>
          <w:w w:val="105"/>
          <w:sz w:val="15"/>
        </w:rPr>
        <w:t>el uso.</w:t>
      </w:r>
      <w:r>
        <w:rPr>
          <w:spacing w:val="-2"/>
          <w:w w:val="105"/>
          <w:sz w:val="15"/>
        </w:rPr>
        <w:t xml:space="preserve"> </w:t>
      </w:r>
      <w:r>
        <w:rPr>
          <w:w w:val="105"/>
          <w:sz w:val="15"/>
        </w:rPr>
        <w:t>algoritmos</w:t>
      </w:r>
      <w:r>
        <w:rPr>
          <w:spacing w:val="-3"/>
          <w:w w:val="105"/>
          <w:sz w:val="15"/>
        </w:rPr>
        <w:t xml:space="preserve"> </w:t>
      </w:r>
      <w:r>
        <w:rPr>
          <w:w w:val="105"/>
          <w:sz w:val="15"/>
        </w:rPr>
        <w:t>que</w:t>
      </w:r>
      <w:r>
        <w:rPr>
          <w:spacing w:val="-2"/>
          <w:w w:val="105"/>
          <w:sz w:val="15"/>
        </w:rPr>
        <w:t xml:space="preserve"> </w:t>
      </w:r>
      <w:r>
        <w:rPr>
          <w:w w:val="105"/>
          <w:sz w:val="15"/>
        </w:rPr>
        <w:t>permitieron</w:t>
      </w:r>
      <w:r>
        <w:rPr>
          <w:spacing w:val="-2"/>
          <w:w w:val="105"/>
          <w:sz w:val="15"/>
        </w:rPr>
        <w:t xml:space="preserve"> </w:t>
      </w:r>
      <w:r>
        <w:rPr>
          <w:w w:val="105"/>
          <w:sz w:val="15"/>
        </w:rPr>
        <w:t>a</w:t>
      </w:r>
      <w:r>
        <w:rPr>
          <w:spacing w:val="-2"/>
          <w:w w:val="105"/>
          <w:sz w:val="15"/>
        </w:rPr>
        <w:t xml:space="preserve"> </w:t>
      </w:r>
      <w:r>
        <w:rPr>
          <w:w w:val="105"/>
          <w:sz w:val="15"/>
        </w:rPr>
        <w:t>los</w:t>
      </w:r>
      <w:r>
        <w:rPr>
          <w:spacing w:val="-2"/>
          <w:w w:val="105"/>
          <w:sz w:val="15"/>
        </w:rPr>
        <w:t xml:space="preserve"> </w:t>
      </w:r>
      <w:r>
        <w:rPr>
          <w:w w:val="105"/>
          <w:sz w:val="15"/>
        </w:rPr>
        <w:t>anunciantes</w:t>
      </w:r>
      <w:r>
        <w:rPr>
          <w:spacing w:val="-3"/>
          <w:w w:val="105"/>
          <w:sz w:val="15"/>
        </w:rPr>
        <w:t xml:space="preserve"> </w:t>
      </w:r>
      <w:r>
        <w:rPr>
          <w:w w:val="105"/>
          <w:sz w:val="15"/>
        </w:rPr>
        <w:t>dirigirse</w:t>
      </w:r>
      <w:r>
        <w:rPr>
          <w:spacing w:val="-2"/>
          <w:w w:val="105"/>
          <w:sz w:val="15"/>
        </w:rPr>
        <w:t xml:space="preserve"> </w:t>
      </w:r>
      <w:r>
        <w:rPr>
          <w:w w:val="105"/>
          <w:sz w:val="15"/>
        </w:rPr>
        <w:t>a</w:t>
      </w:r>
      <w:r>
        <w:rPr>
          <w:spacing w:val="-2"/>
          <w:w w:val="105"/>
          <w:sz w:val="15"/>
        </w:rPr>
        <w:t xml:space="preserve"> </w:t>
      </w:r>
      <w:r>
        <w:rPr>
          <w:w w:val="105"/>
          <w:sz w:val="15"/>
        </w:rPr>
        <w:t>audiencias</w:t>
      </w:r>
      <w:r>
        <w:rPr>
          <w:spacing w:val="-2"/>
          <w:w w:val="105"/>
          <w:sz w:val="15"/>
        </w:rPr>
        <w:t xml:space="preserve"> </w:t>
      </w:r>
      <w:r>
        <w:rPr>
          <w:w w:val="105"/>
          <w:sz w:val="15"/>
        </w:rPr>
        <w:t>con</w:t>
      </w:r>
      <w:r>
        <w:rPr>
          <w:spacing w:val="-2"/>
          <w:w w:val="105"/>
          <w:sz w:val="15"/>
        </w:rPr>
        <w:t xml:space="preserve"> </w:t>
      </w:r>
      <w:r>
        <w:rPr>
          <w:w w:val="105"/>
          <w:sz w:val="15"/>
        </w:rPr>
        <w:t>precisión.1214</w:t>
      </w:r>
    </w:p>
    <w:p w14:paraId="7FAFEBFC" w14:textId="77777777" w:rsidR="0014798C" w:rsidRDefault="004E1F0B">
      <w:pPr>
        <w:spacing w:line="348" w:lineRule="auto"/>
        <w:ind w:left="1333" w:right="1463" w:hanging="1"/>
        <w:rPr>
          <w:sz w:val="15"/>
        </w:rPr>
      </w:pPr>
      <w:r>
        <w:rPr>
          <w:w w:val="105"/>
          <w:sz w:val="15"/>
        </w:rPr>
        <w:t>Estos</w:t>
      </w:r>
      <w:r>
        <w:rPr>
          <w:spacing w:val="-6"/>
          <w:w w:val="105"/>
          <w:sz w:val="15"/>
        </w:rPr>
        <w:t xml:space="preserve"> </w:t>
      </w:r>
      <w:r>
        <w:rPr>
          <w:w w:val="105"/>
          <w:sz w:val="15"/>
        </w:rPr>
        <w:t>sistemas</w:t>
      </w:r>
      <w:r>
        <w:rPr>
          <w:spacing w:val="-5"/>
          <w:w w:val="105"/>
          <w:sz w:val="15"/>
        </w:rPr>
        <w:t xml:space="preserve"> </w:t>
      </w:r>
      <w:r>
        <w:rPr>
          <w:w w:val="105"/>
          <w:sz w:val="15"/>
        </w:rPr>
        <w:t>amplifican</w:t>
      </w:r>
      <w:r>
        <w:rPr>
          <w:spacing w:val="-5"/>
          <w:w w:val="105"/>
          <w:sz w:val="15"/>
        </w:rPr>
        <w:t xml:space="preserve"> </w:t>
      </w:r>
      <w:r>
        <w:rPr>
          <w:w w:val="105"/>
          <w:sz w:val="15"/>
        </w:rPr>
        <w:t>el</w:t>
      </w:r>
      <w:r>
        <w:rPr>
          <w:spacing w:val="-5"/>
          <w:w w:val="105"/>
          <w:sz w:val="15"/>
        </w:rPr>
        <w:t xml:space="preserve"> </w:t>
      </w:r>
      <w:r>
        <w:rPr>
          <w:w w:val="105"/>
          <w:sz w:val="15"/>
        </w:rPr>
        <w:t>contenido</w:t>
      </w:r>
      <w:r>
        <w:rPr>
          <w:spacing w:val="-5"/>
          <w:w w:val="105"/>
          <w:sz w:val="15"/>
        </w:rPr>
        <w:t xml:space="preserve"> </w:t>
      </w:r>
      <w:r>
        <w:rPr>
          <w:w w:val="105"/>
          <w:sz w:val="15"/>
        </w:rPr>
        <w:t>para</w:t>
      </w:r>
      <w:r>
        <w:rPr>
          <w:spacing w:val="-5"/>
          <w:w w:val="105"/>
          <w:sz w:val="15"/>
        </w:rPr>
        <w:t xml:space="preserve"> </w:t>
      </w:r>
      <w:r>
        <w:rPr>
          <w:w w:val="105"/>
          <w:sz w:val="15"/>
        </w:rPr>
        <w:t>mantener</w:t>
      </w:r>
      <w:r>
        <w:rPr>
          <w:spacing w:val="-6"/>
          <w:w w:val="105"/>
          <w:sz w:val="15"/>
        </w:rPr>
        <w:t xml:space="preserve"> </w:t>
      </w:r>
      <w:r>
        <w:rPr>
          <w:w w:val="105"/>
          <w:sz w:val="15"/>
        </w:rPr>
        <w:t>a</w:t>
      </w:r>
      <w:r>
        <w:rPr>
          <w:spacing w:val="-5"/>
          <w:w w:val="105"/>
          <w:sz w:val="15"/>
        </w:rPr>
        <w:t xml:space="preserve"> </w:t>
      </w:r>
      <w:r>
        <w:rPr>
          <w:w w:val="105"/>
          <w:sz w:val="15"/>
        </w:rPr>
        <w:t>los</w:t>
      </w:r>
      <w:r>
        <w:rPr>
          <w:spacing w:val="-5"/>
          <w:w w:val="105"/>
          <w:sz w:val="15"/>
        </w:rPr>
        <w:t xml:space="preserve"> </w:t>
      </w:r>
      <w:r>
        <w:rPr>
          <w:w w:val="105"/>
          <w:sz w:val="15"/>
        </w:rPr>
        <w:t>usuarios</w:t>
      </w:r>
      <w:r>
        <w:rPr>
          <w:spacing w:val="-5"/>
          <w:w w:val="105"/>
          <w:sz w:val="15"/>
        </w:rPr>
        <w:t xml:space="preserve"> </w:t>
      </w:r>
      <w:r>
        <w:rPr>
          <w:w w:val="105"/>
          <w:sz w:val="15"/>
        </w:rPr>
        <w:t>interesados,</w:t>
      </w:r>
      <w:r>
        <w:rPr>
          <w:spacing w:val="-4"/>
          <w:w w:val="105"/>
          <w:sz w:val="15"/>
        </w:rPr>
        <w:t xml:space="preserve"> </w:t>
      </w:r>
      <w:r>
        <w:rPr>
          <w:w w:val="105"/>
          <w:sz w:val="15"/>
        </w:rPr>
        <w:t>pero</w:t>
      </w:r>
      <w:r>
        <w:rPr>
          <w:spacing w:val="-5"/>
          <w:w w:val="105"/>
          <w:sz w:val="15"/>
        </w:rPr>
        <w:t xml:space="preserve"> </w:t>
      </w:r>
      <w:r>
        <w:rPr>
          <w:w w:val="105"/>
          <w:sz w:val="15"/>
        </w:rPr>
        <w:t>“también</w:t>
      </w:r>
      <w:r>
        <w:rPr>
          <w:spacing w:val="-5"/>
          <w:w w:val="105"/>
          <w:sz w:val="15"/>
        </w:rPr>
        <w:t xml:space="preserve"> </w:t>
      </w:r>
      <w:r>
        <w:rPr>
          <w:w w:val="105"/>
          <w:sz w:val="15"/>
        </w:rPr>
        <w:t>son</w:t>
      </w:r>
      <w:r>
        <w:rPr>
          <w:spacing w:val="-5"/>
          <w:w w:val="105"/>
          <w:sz w:val="15"/>
        </w:rPr>
        <w:t xml:space="preserve"> </w:t>
      </w:r>
      <w:r>
        <w:rPr>
          <w:w w:val="105"/>
          <w:sz w:val="15"/>
        </w:rPr>
        <w:t>cámaras</w:t>
      </w:r>
      <w:r>
        <w:rPr>
          <w:spacing w:val="-5"/>
          <w:w w:val="105"/>
          <w:sz w:val="15"/>
        </w:rPr>
        <w:t xml:space="preserve"> </w:t>
      </w:r>
      <w:r>
        <w:rPr>
          <w:w w:val="105"/>
          <w:sz w:val="15"/>
        </w:rPr>
        <w:t>de</w:t>
      </w:r>
      <w:r>
        <w:rPr>
          <w:spacing w:val="-5"/>
          <w:w w:val="105"/>
          <w:sz w:val="15"/>
        </w:rPr>
        <w:t xml:space="preserve"> </w:t>
      </w:r>
      <w:r>
        <w:rPr>
          <w:w w:val="105"/>
          <w:sz w:val="15"/>
        </w:rPr>
        <w:t>eco</w:t>
      </w:r>
      <w:r>
        <w:rPr>
          <w:spacing w:val="-5"/>
          <w:w w:val="105"/>
          <w:sz w:val="15"/>
        </w:rPr>
        <w:t xml:space="preserve"> </w:t>
      </w:r>
      <w:r>
        <w:rPr>
          <w:w w:val="105"/>
          <w:sz w:val="15"/>
        </w:rPr>
        <w:t>que</w:t>
      </w:r>
      <w:r>
        <w:rPr>
          <w:spacing w:val="-5"/>
          <w:w w:val="105"/>
          <w:sz w:val="15"/>
        </w:rPr>
        <w:t xml:space="preserve"> </w:t>
      </w:r>
      <w:r>
        <w:rPr>
          <w:w w:val="105"/>
          <w:sz w:val="15"/>
        </w:rPr>
        <w:t>con demasiada</w:t>
      </w:r>
      <w:r>
        <w:rPr>
          <w:spacing w:val="-6"/>
          <w:w w:val="105"/>
          <w:sz w:val="15"/>
        </w:rPr>
        <w:t xml:space="preserve"> </w:t>
      </w:r>
      <w:r>
        <w:rPr>
          <w:w w:val="105"/>
          <w:sz w:val="15"/>
        </w:rPr>
        <w:t>frecuencia</w:t>
      </w:r>
      <w:r>
        <w:rPr>
          <w:spacing w:val="-6"/>
          <w:w w:val="105"/>
          <w:sz w:val="15"/>
        </w:rPr>
        <w:t xml:space="preserve"> </w:t>
      </w:r>
      <w:r>
        <w:rPr>
          <w:w w:val="105"/>
          <w:sz w:val="15"/>
        </w:rPr>
        <w:t>son</w:t>
      </w:r>
      <w:r>
        <w:rPr>
          <w:spacing w:val="-6"/>
          <w:w w:val="105"/>
          <w:sz w:val="15"/>
        </w:rPr>
        <w:t xml:space="preserve"> </w:t>
      </w:r>
      <w:r>
        <w:rPr>
          <w:w w:val="105"/>
          <w:sz w:val="15"/>
        </w:rPr>
        <w:t>fuentes</w:t>
      </w:r>
      <w:r>
        <w:rPr>
          <w:spacing w:val="-7"/>
          <w:w w:val="105"/>
          <w:sz w:val="15"/>
        </w:rPr>
        <w:t xml:space="preserve"> </w:t>
      </w:r>
      <w:r>
        <w:rPr>
          <w:w w:val="105"/>
          <w:sz w:val="15"/>
        </w:rPr>
        <w:t>limitadas</w:t>
      </w:r>
      <w:r>
        <w:rPr>
          <w:spacing w:val="-7"/>
          <w:w w:val="105"/>
          <w:sz w:val="15"/>
        </w:rPr>
        <w:t xml:space="preserve"> </w:t>
      </w:r>
      <w:r>
        <w:rPr>
          <w:w w:val="105"/>
          <w:sz w:val="15"/>
        </w:rPr>
        <w:t>de</w:t>
      </w:r>
      <w:r>
        <w:rPr>
          <w:spacing w:val="-6"/>
          <w:w w:val="105"/>
          <w:sz w:val="15"/>
        </w:rPr>
        <w:t xml:space="preserve"> </w:t>
      </w:r>
      <w:r>
        <w:rPr>
          <w:w w:val="105"/>
          <w:sz w:val="15"/>
        </w:rPr>
        <w:t>información</w:t>
      </w:r>
      <w:r>
        <w:rPr>
          <w:spacing w:val="-6"/>
          <w:w w:val="105"/>
          <w:sz w:val="15"/>
        </w:rPr>
        <w:t xml:space="preserve"> </w:t>
      </w:r>
      <w:r>
        <w:rPr>
          <w:w w:val="105"/>
          <w:sz w:val="15"/>
        </w:rPr>
        <w:t>y</w:t>
      </w:r>
      <w:r>
        <w:rPr>
          <w:spacing w:val="-6"/>
          <w:w w:val="105"/>
          <w:sz w:val="15"/>
        </w:rPr>
        <w:t xml:space="preserve"> </w:t>
      </w:r>
      <w:r>
        <w:rPr>
          <w:w w:val="105"/>
          <w:sz w:val="15"/>
        </w:rPr>
        <w:t>concentran</w:t>
      </w:r>
      <w:r>
        <w:rPr>
          <w:spacing w:val="-6"/>
          <w:w w:val="105"/>
          <w:sz w:val="15"/>
        </w:rPr>
        <w:t xml:space="preserve"> </w:t>
      </w:r>
      <w:r>
        <w:rPr>
          <w:w w:val="105"/>
          <w:sz w:val="15"/>
        </w:rPr>
        <w:t>sesgos</w:t>
      </w:r>
      <w:r>
        <w:rPr>
          <w:spacing w:val="-6"/>
          <w:w w:val="105"/>
          <w:sz w:val="15"/>
        </w:rPr>
        <w:t xml:space="preserve"> </w:t>
      </w:r>
      <w:r>
        <w:rPr>
          <w:w w:val="105"/>
          <w:sz w:val="15"/>
        </w:rPr>
        <w:t>y</w:t>
      </w:r>
      <w:r>
        <w:rPr>
          <w:spacing w:val="-6"/>
          <w:w w:val="105"/>
          <w:sz w:val="15"/>
        </w:rPr>
        <w:t xml:space="preserve"> </w:t>
      </w:r>
      <w:r>
        <w:rPr>
          <w:w w:val="105"/>
          <w:sz w:val="15"/>
        </w:rPr>
        <w:t>prejuicios”.1215</w:t>
      </w:r>
      <w:r>
        <w:rPr>
          <w:spacing w:val="-6"/>
          <w:w w:val="105"/>
          <w:sz w:val="15"/>
        </w:rPr>
        <w:t xml:space="preserve"> </w:t>
      </w:r>
      <w:r>
        <w:rPr>
          <w:w w:val="105"/>
          <w:sz w:val="15"/>
        </w:rPr>
        <w:t>Este</w:t>
      </w:r>
      <w:r>
        <w:rPr>
          <w:spacing w:val="-7"/>
          <w:w w:val="105"/>
          <w:sz w:val="15"/>
        </w:rPr>
        <w:t xml:space="preserve"> </w:t>
      </w:r>
      <w:r>
        <w:rPr>
          <w:w w:val="105"/>
          <w:sz w:val="15"/>
        </w:rPr>
        <w:t>modelo</w:t>
      </w:r>
      <w:r>
        <w:rPr>
          <w:spacing w:val="-6"/>
          <w:w w:val="105"/>
          <w:sz w:val="15"/>
        </w:rPr>
        <w:t xml:space="preserve"> </w:t>
      </w:r>
      <w:r>
        <w:rPr>
          <w:w w:val="105"/>
          <w:sz w:val="15"/>
        </w:rPr>
        <w:t>tiene</w:t>
      </w:r>
      <w:r>
        <w:rPr>
          <w:spacing w:val="-6"/>
          <w:w w:val="105"/>
          <w:sz w:val="15"/>
        </w:rPr>
        <w:t xml:space="preserve"> </w:t>
      </w:r>
      <w:r>
        <w:rPr>
          <w:w w:val="105"/>
          <w:sz w:val="15"/>
        </w:rPr>
        <w:t>la consecuencia</w:t>
      </w:r>
      <w:r>
        <w:rPr>
          <w:spacing w:val="-11"/>
          <w:w w:val="105"/>
          <w:sz w:val="15"/>
        </w:rPr>
        <w:t xml:space="preserve"> </w:t>
      </w:r>
      <w:r>
        <w:rPr>
          <w:w w:val="105"/>
          <w:sz w:val="15"/>
        </w:rPr>
        <w:t>de</w:t>
      </w:r>
      <w:r>
        <w:rPr>
          <w:spacing w:val="-11"/>
          <w:w w:val="105"/>
          <w:sz w:val="15"/>
        </w:rPr>
        <w:t xml:space="preserve"> </w:t>
      </w:r>
      <w:r>
        <w:rPr>
          <w:w w:val="105"/>
          <w:sz w:val="15"/>
        </w:rPr>
        <w:t>desviar</w:t>
      </w:r>
      <w:r>
        <w:rPr>
          <w:spacing w:val="-11"/>
          <w:w w:val="105"/>
          <w:sz w:val="15"/>
        </w:rPr>
        <w:t xml:space="preserve"> </w:t>
      </w:r>
      <w:r>
        <w:rPr>
          <w:w w:val="105"/>
          <w:sz w:val="15"/>
        </w:rPr>
        <w:t>a</w:t>
      </w:r>
      <w:r>
        <w:rPr>
          <w:spacing w:val="-11"/>
          <w:w w:val="105"/>
          <w:sz w:val="15"/>
        </w:rPr>
        <w:t xml:space="preserve"> </w:t>
      </w:r>
      <w:r>
        <w:rPr>
          <w:w w:val="105"/>
          <w:sz w:val="15"/>
        </w:rPr>
        <w:t>los</w:t>
      </w:r>
      <w:r>
        <w:rPr>
          <w:spacing w:val="-11"/>
          <w:w w:val="105"/>
          <w:sz w:val="15"/>
        </w:rPr>
        <w:t xml:space="preserve"> </w:t>
      </w:r>
      <w:r>
        <w:rPr>
          <w:w w:val="105"/>
          <w:sz w:val="15"/>
        </w:rPr>
        <w:t>individuos</w:t>
      </w:r>
      <w:r>
        <w:rPr>
          <w:spacing w:val="-11"/>
          <w:w w:val="105"/>
          <w:sz w:val="15"/>
        </w:rPr>
        <w:t xml:space="preserve"> </w:t>
      </w:r>
      <w:r>
        <w:rPr>
          <w:w w:val="105"/>
          <w:sz w:val="15"/>
        </w:rPr>
        <w:t>hacia</w:t>
      </w:r>
      <w:r>
        <w:rPr>
          <w:spacing w:val="-11"/>
          <w:w w:val="105"/>
          <w:sz w:val="15"/>
        </w:rPr>
        <w:t xml:space="preserve"> </w:t>
      </w:r>
      <w:r>
        <w:rPr>
          <w:w w:val="105"/>
          <w:sz w:val="15"/>
        </w:rPr>
        <w:t>contenidos</w:t>
      </w:r>
      <w:r>
        <w:rPr>
          <w:spacing w:val="-11"/>
          <w:w w:val="105"/>
          <w:sz w:val="15"/>
        </w:rPr>
        <w:t xml:space="preserve"> </w:t>
      </w:r>
      <w:r>
        <w:rPr>
          <w:w w:val="105"/>
          <w:sz w:val="15"/>
        </w:rPr>
        <w:t>extremos,</w:t>
      </w:r>
      <w:r>
        <w:rPr>
          <w:spacing w:val="-11"/>
          <w:w w:val="105"/>
          <w:sz w:val="15"/>
        </w:rPr>
        <w:t xml:space="preserve"> </w:t>
      </w:r>
      <w:r>
        <w:rPr>
          <w:w w:val="105"/>
          <w:sz w:val="15"/>
        </w:rPr>
        <w:t>a</w:t>
      </w:r>
      <w:r>
        <w:rPr>
          <w:spacing w:val="-11"/>
          <w:w w:val="105"/>
          <w:sz w:val="15"/>
        </w:rPr>
        <w:t xml:space="preserve"> </w:t>
      </w:r>
      <w:r>
        <w:rPr>
          <w:w w:val="105"/>
          <w:sz w:val="15"/>
        </w:rPr>
        <w:t>menudo</w:t>
      </w:r>
      <w:r>
        <w:rPr>
          <w:spacing w:val="-11"/>
          <w:w w:val="105"/>
          <w:sz w:val="15"/>
        </w:rPr>
        <w:t xml:space="preserve"> </w:t>
      </w:r>
      <w:r>
        <w:rPr>
          <w:w w:val="105"/>
          <w:sz w:val="15"/>
        </w:rPr>
        <w:t>odiosos</w:t>
      </w:r>
      <w:r>
        <w:rPr>
          <w:spacing w:val="-11"/>
          <w:w w:val="105"/>
          <w:sz w:val="15"/>
        </w:rPr>
        <w:t xml:space="preserve"> </w:t>
      </w:r>
      <w:r>
        <w:rPr>
          <w:w w:val="105"/>
          <w:sz w:val="15"/>
        </w:rPr>
        <w:t>y</w:t>
      </w:r>
      <w:r>
        <w:rPr>
          <w:spacing w:val="-11"/>
          <w:w w:val="105"/>
          <w:sz w:val="15"/>
        </w:rPr>
        <w:t xml:space="preserve"> </w:t>
      </w:r>
      <w:r>
        <w:rPr>
          <w:w w:val="105"/>
          <w:sz w:val="15"/>
        </w:rPr>
        <w:t>obsesivos.1216</w:t>
      </w:r>
      <w:r>
        <w:rPr>
          <w:spacing w:val="-11"/>
          <w:w w:val="105"/>
          <w:sz w:val="15"/>
        </w:rPr>
        <w:t xml:space="preserve"> </w:t>
      </w:r>
      <w:r>
        <w:rPr>
          <w:w w:val="105"/>
          <w:sz w:val="15"/>
        </w:rPr>
        <w:t>El</w:t>
      </w:r>
      <w:r>
        <w:rPr>
          <w:spacing w:val="-11"/>
          <w:w w:val="105"/>
          <w:sz w:val="15"/>
        </w:rPr>
        <w:t xml:space="preserve"> </w:t>
      </w:r>
      <w:r>
        <w:rPr>
          <w:w w:val="105"/>
          <w:sz w:val="15"/>
        </w:rPr>
        <w:t>Relator</w:t>
      </w:r>
      <w:r>
        <w:rPr>
          <w:spacing w:val="-11"/>
          <w:w w:val="105"/>
          <w:sz w:val="15"/>
        </w:rPr>
        <w:t xml:space="preserve"> </w:t>
      </w:r>
      <w:r>
        <w:rPr>
          <w:w w:val="105"/>
          <w:sz w:val="15"/>
        </w:rPr>
        <w:t>Especial</w:t>
      </w:r>
      <w:r>
        <w:rPr>
          <w:spacing w:val="-10"/>
          <w:w w:val="105"/>
          <w:sz w:val="15"/>
        </w:rPr>
        <w:t xml:space="preserve"> </w:t>
      </w:r>
      <w:r>
        <w:rPr>
          <w:w w:val="105"/>
          <w:sz w:val="15"/>
        </w:rPr>
        <w:t>se refirió</w:t>
      </w:r>
      <w:r>
        <w:rPr>
          <w:spacing w:val="-4"/>
          <w:w w:val="105"/>
          <w:sz w:val="15"/>
        </w:rPr>
        <w:t xml:space="preserve"> </w:t>
      </w:r>
      <w:r>
        <w:rPr>
          <w:w w:val="105"/>
          <w:sz w:val="15"/>
        </w:rPr>
        <w:t>a</w:t>
      </w:r>
      <w:r>
        <w:rPr>
          <w:spacing w:val="-4"/>
          <w:w w:val="105"/>
          <w:sz w:val="15"/>
        </w:rPr>
        <w:t xml:space="preserve"> </w:t>
      </w:r>
      <w:r>
        <w:rPr>
          <w:w w:val="105"/>
          <w:sz w:val="15"/>
        </w:rPr>
        <w:t>la</w:t>
      </w:r>
      <w:r>
        <w:rPr>
          <w:spacing w:val="-4"/>
          <w:w w:val="105"/>
          <w:sz w:val="15"/>
        </w:rPr>
        <w:t xml:space="preserve"> </w:t>
      </w:r>
      <w:r>
        <w:rPr>
          <w:w w:val="105"/>
          <w:sz w:val="15"/>
        </w:rPr>
        <w:t>evidencia</w:t>
      </w:r>
      <w:r>
        <w:rPr>
          <w:spacing w:val="-4"/>
          <w:w w:val="105"/>
          <w:sz w:val="15"/>
        </w:rPr>
        <w:t xml:space="preserve"> </w:t>
      </w:r>
      <w:r>
        <w:rPr>
          <w:w w:val="105"/>
          <w:sz w:val="15"/>
        </w:rPr>
        <w:t>de</w:t>
      </w:r>
      <w:r>
        <w:rPr>
          <w:spacing w:val="-4"/>
          <w:w w:val="105"/>
          <w:sz w:val="15"/>
        </w:rPr>
        <w:t xml:space="preserve"> </w:t>
      </w:r>
      <w:r>
        <w:rPr>
          <w:w w:val="105"/>
          <w:sz w:val="15"/>
        </w:rPr>
        <w:t>que</w:t>
      </w:r>
      <w:r>
        <w:rPr>
          <w:spacing w:val="-4"/>
          <w:w w:val="105"/>
          <w:sz w:val="15"/>
        </w:rPr>
        <w:t xml:space="preserve"> </w:t>
      </w:r>
      <w:r>
        <w:rPr>
          <w:w w:val="105"/>
          <w:sz w:val="15"/>
        </w:rPr>
        <w:t>casi</w:t>
      </w:r>
      <w:r>
        <w:rPr>
          <w:spacing w:val="-4"/>
          <w:w w:val="105"/>
          <w:sz w:val="15"/>
        </w:rPr>
        <w:t xml:space="preserve"> </w:t>
      </w:r>
      <w:r>
        <w:rPr>
          <w:w w:val="105"/>
          <w:sz w:val="15"/>
        </w:rPr>
        <w:t>dos</w:t>
      </w:r>
      <w:r>
        <w:rPr>
          <w:spacing w:val="-4"/>
          <w:w w:val="105"/>
          <w:sz w:val="15"/>
        </w:rPr>
        <w:t xml:space="preserve"> </w:t>
      </w:r>
      <w:r>
        <w:rPr>
          <w:w w:val="105"/>
          <w:sz w:val="15"/>
        </w:rPr>
        <w:t>de</w:t>
      </w:r>
      <w:r>
        <w:rPr>
          <w:spacing w:val="-4"/>
          <w:w w:val="105"/>
          <w:sz w:val="15"/>
        </w:rPr>
        <w:t xml:space="preserve"> </w:t>
      </w:r>
      <w:r>
        <w:rPr>
          <w:w w:val="105"/>
          <w:sz w:val="15"/>
        </w:rPr>
        <w:t>cada</w:t>
      </w:r>
      <w:r>
        <w:rPr>
          <w:spacing w:val="-4"/>
          <w:w w:val="105"/>
          <w:sz w:val="15"/>
        </w:rPr>
        <w:t xml:space="preserve"> </w:t>
      </w:r>
      <w:r>
        <w:rPr>
          <w:w w:val="105"/>
          <w:sz w:val="15"/>
        </w:rPr>
        <w:t>tres</w:t>
      </w:r>
      <w:r>
        <w:rPr>
          <w:spacing w:val="-4"/>
          <w:w w:val="105"/>
          <w:sz w:val="15"/>
        </w:rPr>
        <w:t xml:space="preserve"> </w:t>
      </w:r>
      <w:r>
        <w:rPr>
          <w:w w:val="105"/>
          <w:sz w:val="15"/>
        </w:rPr>
        <w:t>personas</w:t>
      </w:r>
      <w:r>
        <w:rPr>
          <w:spacing w:val="-4"/>
          <w:w w:val="105"/>
          <w:sz w:val="15"/>
        </w:rPr>
        <w:t xml:space="preserve"> </w:t>
      </w:r>
      <w:r>
        <w:rPr>
          <w:w w:val="105"/>
          <w:sz w:val="15"/>
        </w:rPr>
        <w:t>que</w:t>
      </w:r>
      <w:r>
        <w:rPr>
          <w:spacing w:val="-4"/>
          <w:w w:val="105"/>
          <w:sz w:val="15"/>
        </w:rPr>
        <w:t xml:space="preserve"> </w:t>
      </w:r>
      <w:r>
        <w:rPr>
          <w:w w:val="105"/>
          <w:sz w:val="15"/>
        </w:rPr>
        <w:t>se</w:t>
      </w:r>
      <w:r>
        <w:rPr>
          <w:spacing w:val="-4"/>
          <w:w w:val="105"/>
          <w:sz w:val="15"/>
        </w:rPr>
        <w:t xml:space="preserve"> </w:t>
      </w:r>
      <w:r>
        <w:rPr>
          <w:w w:val="105"/>
          <w:sz w:val="15"/>
        </w:rPr>
        <w:t>unieron</w:t>
      </w:r>
      <w:r>
        <w:rPr>
          <w:spacing w:val="-4"/>
          <w:w w:val="105"/>
          <w:sz w:val="15"/>
        </w:rPr>
        <w:t xml:space="preserve"> </w:t>
      </w:r>
      <w:r>
        <w:rPr>
          <w:w w:val="105"/>
          <w:sz w:val="15"/>
        </w:rPr>
        <w:t>a</w:t>
      </w:r>
      <w:r>
        <w:rPr>
          <w:spacing w:val="-4"/>
          <w:w w:val="105"/>
          <w:sz w:val="15"/>
        </w:rPr>
        <w:t xml:space="preserve"> </w:t>
      </w:r>
      <w:r>
        <w:rPr>
          <w:w w:val="105"/>
          <w:sz w:val="15"/>
        </w:rPr>
        <w:t>un</w:t>
      </w:r>
      <w:r>
        <w:rPr>
          <w:spacing w:val="-4"/>
          <w:w w:val="105"/>
          <w:sz w:val="15"/>
        </w:rPr>
        <w:t xml:space="preserve"> </w:t>
      </w:r>
      <w:r>
        <w:rPr>
          <w:w w:val="105"/>
          <w:sz w:val="15"/>
        </w:rPr>
        <w:t>grupo</w:t>
      </w:r>
      <w:r>
        <w:rPr>
          <w:spacing w:val="-4"/>
          <w:w w:val="105"/>
          <w:sz w:val="15"/>
        </w:rPr>
        <w:t xml:space="preserve"> </w:t>
      </w:r>
      <w:r>
        <w:rPr>
          <w:w w:val="105"/>
          <w:sz w:val="15"/>
        </w:rPr>
        <w:t>extremista</w:t>
      </w:r>
      <w:r>
        <w:rPr>
          <w:spacing w:val="-4"/>
          <w:w w:val="105"/>
          <w:sz w:val="15"/>
        </w:rPr>
        <w:t xml:space="preserve"> </w:t>
      </w:r>
      <w:r>
        <w:rPr>
          <w:w w:val="105"/>
          <w:sz w:val="15"/>
        </w:rPr>
        <w:t>lo</w:t>
      </w:r>
      <w:r>
        <w:rPr>
          <w:spacing w:val="-4"/>
          <w:w w:val="105"/>
          <w:sz w:val="15"/>
        </w:rPr>
        <w:t xml:space="preserve"> </w:t>
      </w:r>
      <w:r>
        <w:rPr>
          <w:w w:val="105"/>
          <w:sz w:val="15"/>
        </w:rPr>
        <w:t>hicieron</w:t>
      </w:r>
      <w:r>
        <w:rPr>
          <w:spacing w:val="-4"/>
          <w:w w:val="105"/>
          <w:sz w:val="15"/>
        </w:rPr>
        <w:t xml:space="preserve"> </w:t>
      </w:r>
      <w:r>
        <w:rPr>
          <w:w w:val="105"/>
          <w:sz w:val="15"/>
        </w:rPr>
        <w:t>debido</w:t>
      </w:r>
      <w:r>
        <w:rPr>
          <w:spacing w:val="-4"/>
          <w:w w:val="105"/>
          <w:sz w:val="15"/>
        </w:rPr>
        <w:t xml:space="preserve"> </w:t>
      </w:r>
      <w:r>
        <w:rPr>
          <w:w w:val="105"/>
          <w:sz w:val="15"/>
        </w:rPr>
        <w:t>a</w:t>
      </w:r>
      <w:r>
        <w:rPr>
          <w:spacing w:val="-4"/>
          <w:w w:val="105"/>
          <w:sz w:val="15"/>
        </w:rPr>
        <w:t xml:space="preserve"> </w:t>
      </w:r>
      <w:r>
        <w:rPr>
          <w:w w:val="105"/>
          <w:sz w:val="15"/>
        </w:rPr>
        <w:t>las recomendaciones</w:t>
      </w:r>
      <w:r>
        <w:rPr>
          <w:spacing w:val="-5"/>
          <w:w w:val="105"/>
          <w:sz w:val="15"/>
        </w:rPr>
        <w:t xml:space="preserve"> </w:t>
      </w:r>
      <w:r>
        <w:rPr>
          <w:w w:val="105"/>
          <w:sz w:val="15"/>
        </w:rPr>
        <w:t>impulsadas</w:t>
      </w:r>
      <w:r>
        <w:rPr>
          <w:spacing w:val="-4"/>
          <w:w w:val="105"/>
          <w:sz w:val="15"/>
        </w:rPr>
        <w:t xml:space="preserve"> </w:t>
      </w:r>
      <w:r>
        <w:rPr>
          <w:w w:val="105"/>
          <w:sz w:val="15"/>
        </w:rPr>
        <w:t>por</w:t>
      </w:r>
      <w:r>
        <w:rPr>
          <w:spacing w:val="-4"/>
          <w:w w:val="105"/>
          <w:sz w:val="15"/>
        </w:rPr>
        <w:t xml:space="preserve"> </w:t>
      </w:r>
      <w:r>
        <w:rPr>
          <w:w w:val="105"/>
          <w:sz w:val="15"/>
        </w:rPr>
        <w:t>algoritmos</w:t>
      </w:r>
      <w:r>
        <w:rPr>
          <w:spacing w:val="-5"/>
          <w:w w:val="105"/>
          <w:sz w:val="15"/>
        </w:rPr>
        <w:t xml:space="preserve"> </w:t>
      </w:r>
      <w:r>
        <w:rPr>
          <w:w w:val="105"/>
          <w:sz w:val="15"/>
        </w:rPr>
        <w:t>en</w:t>
      </w:r>
      <w:r>
        <w:rPr>
          <w:spacing w:val="-4"/>
          <w:w w:val="105"/>
          <w:sz w:val="15"/>
        </w:rPr>
        <w:t xml:space="preserve"> </w:t>
      </w:r>
      <w:r>
        <w:rPr>
          <w:w w:val="105"/>
          <w:sz w:val="15"/>
        </w:rPr>
        <w:t>las</w:t>
      </w:r>
      <w:r>
        <w:rPr>
          <w:spacing w:val="-4"/>
          <w:w w:val="105"/>
          <w:sz w:val="15"/>
        </w:rPr>
        <w:t xml:space="preserve"> </w:t>
      </w:r>
      <w:r>
        <w:rPr>
          <w:w w:val="105"/>
          <w:sz w:val="15"/>
        </w:rPr>
        <w:t>redes</w:t>
      </w:r>
      <w:r>
        <w:rPr>
          <w:spacing w:val="-4"/>
          <w:w w:val="105"/>
          <w:sz w:val="15"/>
        </w:rPr>
        <w:t xml:space="preserve"> </w:t>
      </w:r>
      <w:r>
        <w:rPr>
          <w:w w:val="105"/>
          <w:sz w:val="15"/>
        </w:rPr>
        <w:t>sociales,</w:t>
      </w:r>
      <w:r>
        <w:rPr>
          <w:spacing w:val="-4"/>
          <w:w w:val="105"/>
          <w:sz w:val="15"/>
        </w:rPr>
        <w:t xml:space="preserve"> </w:t>
      </w:r>
      <w:r>
        <w:rPr>
          <w:w w:val="105"/>
          <w:sz w:val="15"/>
        </w:rPr>
        <w:t>y</w:t>
      </w:r>
      <w:r>
        <w:rPr>
          <w:spacing w:val="-4"/>
          <w:w w:val="105"/>
          <w:sz w:val="15"/>
        </w:rPr>
        <w:t xml:space="preserve"> </w:t>
      </w:r>
      <w:r>
        <w:rPr>
          <w:w w:val="105"/>
          <w:sz w:val="15"/>
        </w:rPr>
        <w:t>señaló</w:t>
      </w:r>
      <w:r>
        <w:rPr>
          <w:spacing w:val="-4"/>
          <w:w w:val="105"/>
          <w:sz w:val="15"/>
        </w:rPr>
        <w:t xml:space="preserve"> </w:t>
      </w:r>
      <w:r>
        <w:rPr>
          <w:w w:val="105"/>
          <w:sz w:val="15"/>
        </w:rPr>
        <w:t>que</w:t>
      </w:r>
      <w:r>
        <w:rPr>
          <w:spacing w:val="-4"/>
          <w:w w:val="105"/>
          <w:sz w:val="15"/>
        </w:rPr>
        <w:t xml:space="preserve"> </w:t>
      </w:r>
      <w:r>
        <w:rPr>
          <w:w w:val="105"/>
          <w:sz w:val="15"/>
        </w:rPr>
        <w:t>esa</w:t>
      </w:r>
      <w:r>
        <w:rPr>
          <w:spacing w:val="-4"/>
          <w:w w:val="105"/>
          <w:sz w:val="15"/>
        </w:rPr>
        <w:t xml:space="preserve"> </w:t>
      </w:r>
      <w:r>
        <w:rPr>
          <w:w w:val="105"/>
          <w:sz w:val="15"/>
        </w:rPr>
        <w:t>había</w:t>
      </w:r>
      <w:r>
        <w:rPr>
          <w:spacing w:val="-4"/>
          <w:w w:val="105"/>
          <w:sz w:val="15"/>
        </w:rPr>
        <w:t xml:space="preserve"> </w:t>
      </w:r>
      <w:r>
        <w:rPr>
          <w:w w:val="105"/>
          <w:sz w:val="15"/>
        </w:rPr>
        <w:t>sido</w:t>
      </w:r>
      <w:r>
        <w:rPr>
          <w:spacing w:val="-4"/>
          <w:w w:val="105"/>
          <w:sz w:val="15"/>
        </w:rPr>
        <w:t xml:space="preserve"> </w:t>
      </w:r>
      <w:r>
        <w:rPr>
          <w:w w:val="105"/>
          <w:sz w:val="15"/>
        </w:rPr>
        <w:t>la</w:t>
      </w:r>
      <w:r>
        <w:rPr>
          <w:spacing w:val="-4"/>
          <w:w w:val="105"/>
          <w:sz w:val="15"/>
        </w:rPr>
        <w:t xml:space="preserve"> </w:t>
      </w:r>
      <w:r>
        <w:rPr>
          <w:w w:val="105"/>
          <w:sz w:val="15"/>
        </w:rPr>
        <w:t>“fuerza</w:t>
      </w:r>
      <w:r>
        <w:rPr>
          <w:spacing w:val="-4"/>
          <w:w w:val="105"/>
          <w:sz w:val="15"/>
        </w:rPr>
        <w:t xml:space="preserve"> </w:t>
      </w:r>
      <w:r>
        <w:rPr>
          <w:w w:val="105"/>
          <w:sz w:val="15"/>
        </w:rPr>
        <w:t>impulsora</w:t>
      </w:r>
      <w:r>
        <w:rPr>
          <w:spacing w:val="-4"/>
          <w:w w:val="105"/>
          <w:sz w:val="15"/>
        </w:rPr>
        <w:t xml:space="preserve"> </w:t>
      </w:r>
      <w:r>
        <w:rPr>
          <w:w w:val="105"/>
          <w:sz w:val="15"/>
        </w:rPr>
        <w:t>detrás</w:t>
      </w:r>
      <w:r>
        <w:rPr>
          <w:spacing w:val="-4"/>
          <w:w w:val="105"/>
          <w:sz w:val="15"/>
        </w:rPr>
        <w:t xml:space="preserve"> </w:t>
      </w:r>
      <w:r>
        <w:rPr>
          <w:w w:val="105"/>
          <w:sz w:val="15"/>
        </w:rPr>
        <w:t>de una</w:t>
      </w:r>
      <w:r>
        <w:rPr>
          <w:spacing w:val="-7"/>
          <w:w w:val="105"/>
          <w:sz w:val="15"/>
        </w:rPr>
        <w:t xml:space="preserve"> </w:t>
      </w:r>
      <w:r>
        <w:rPr>
          <w:w w:val="105"/>
          <w:sz w:val="15"/>
        </w:rPr>
        <w:t>explosión</w:t>
      </w:r>
      <w:r>
        <w:rPr>
          <w:spacing w:val="-7"/>
          <w:w w:val="105"/>
          <w:sz w:val="15"/>
        </w:rPr>
        <w:t xml:space="preserve"> </w:t>
      </w:r>
      <w:r>
        <w:rPr>
          <w:w w:val="105"/>
          <w:sz w:val="15"/>
        </w:rPr>
        <w:t>de</w:t>
      </w:r>
      <w:r>
        <w:rPr>
          <w:spacing w:val="-7"/>
          <w:w w:val="105"/>
          <w:sz w:val="15"/>
        </w:rPr>
        <w:t xml:space="preserve"> </w:t>
      </w:r>
      <w:r>
        <w:rPr>
          <w:w w:val="105"/>
          <w:sz w:val="15"/>
        </w:rPr>
        <w:t>odio,</w:t>
      </w:r>
      <w:r>
        <w:rPr>
          <w:spacing w:val="-7"/>
          <w:w w:val="105"/>
          <w:sz w:val="15"/>
        </w:rPr>
        <w:t xml:space="preserve"> </w:t>
      </w:r>
      <w:r>
        <w:rPr>
          <w:w w:val="105"/>
          <w:sz w:val="15"/>
        </w:rPr>
        <w:t>radicalización</w:t>
      </w:r>
      <w:r>
        <w:rPr>
          <w:spacing w:val="-7"/>
          <w:w w:val="105"/>
          <w:sz w:val="15"/>
        </w:rPr>
        <w:t xml:space="preserve"> </w:t>
      </w:r>
      <w:r>
        <w:rPr>
          <w:w w:val="105"/>
          <w:sz w:val="15"/>
        </w:rPr>
        <w:t>y</w:t>
      </w:r>
      <w:r>
        <w:rPr>
          <w:spacing w:val="-7"/>
          <w:w w:val="105"/>
          <w:sz w:val="15"/>
        </w:rPr>
        <w:t xml:space="preserve"> </w:t>
      </w:r>
      <w:r>
        <w:rPr>
          <w:w w:val="105"/>
          <w:sz w:val="15"/>
        </w:rPr>
        <w:t>deshumanización”.</w:t>
      </w:r>
      <w:r>
        <w:rPr>
          <w:spacing w:val="-7"/>
          <w:w w:val="105"/>
          <w:sz w:val="15"/>
        </w:rPr>
        <w:t xml:space="preserve"> </w:t>
      </w:r>
      <w:r>
        <w:rPr>
          <w:w w:val="105"/>
          <w:sz w:val="15"/>
        </w:rPr>
        <w:t>,</w:t>
      </w:r>
      <w:r>
        <w:rPr>
          <w:spacing w:val="-6"/>
          <w:w w:val="105"/>
          <w:sz w:val="15"/>
        </w:rPr>
        <w:t xml:space="preserve"> </w:t>
      </w:r>
      <w:r>
        <w:rPr>
          <w:w w:val="105"/>
          <w:sz w:val="15"/>
        </w:rPr>
        <w:t>la</w:t>
      </w:r>
      <w:r>
        <w:rPr>
          <w:spacing w:val="-7"/>
          <w:w w:val="105"/>
          <w:sz w:val="15"/>
        </w:rPr>
        <w:t xml:space="preserve"> </w:t>
      </w:r>
      <w:r>
        <w:rPr>
          <w:w w:val="105"/>
          <w:sz w:val="15"/>
        </w:rPr>
        <w:t>utilización</w:t>
      </w:r>
      <w:r>
        <w:rPr>
          <w:spacing w:val="-7"/>
          <w:w w:val="105"/>
          <w:sz w:val="15"/>
        </w:rPr>
        <w:t xml:space="preserve"> </w:t>
      </w:r>
      <w:r>
        <w:rPr>
          <w:w w:val="105"/>
          <w:sz w:val="15"/>
        </w:rPr>
        <w:t>de</w:t>
      </w:r>
      <w:r>
        <w:rPr>
          <w:spacing w:val="-7"/>
          <w:w w:val="105"/>
          <w:sz w:val="15"/>
        </w:rPr>
        <w:t xml:space="preserve"> </w:t>
      </w:r>
      <w:r>
        <w:rPr>
          <w:w w:val="105"/>
          <w:sz w:val="15"/>
        </w:rPr>
        <w:t>chivos</w:t>
      </w:r>
      <w:r>
        <w:rPr>
          <w:spacing w:val="-7"/>
          <w:w w:val="105"/>
          <w:sz w:val="15"/>
        </w:rPr>
        <w:t xml:space="preserve"> </w:t>
      </w:r>
      <w:r>
        <w:rPr>
          <w:w w:val="105"/>
          <w:sz w:val="15"/>
        </w:rPr>
        <w:t>expiatorios,</w:t>
      </w:r>
      <w:r>
        <w:rPr>
          <w:spacing w:val="-6"/>
          <w:w w:val="105"/>
          <w:sz w:val="15"/>
        </w:rPr>
        <w:t xml:space="preserve"> </w:t>
      </w:r>
      <w:r>
        <w:rPr>
          <w:w w:val="105"/>
          <w:sz w:val="15"/>
        </w:rPr>
        <w:t>la</w:t>
      </w:r>
      <w:r>
        <w:rPr>
          <w:spacing w:val="-7"/>
          <w:w w:val="105"/>
          <w:sz w:val="15"/>
        </w:rPr>
        <w:t xml:space="preserve"> </w:t>
      </w:r>
      <w:r>
        <w:rPr>
          <w:w w:val="105"/>
          <w:sz w:val="15"/>
        </w:rPr>
        <w:t>incitación</w:t>
      </w:r>
      <w:r>
        <w:rPr>
          <w:spacing w:val="-7"/>
          <w:w w:val="105"/>
          <w:sz w:val="15"/>
        </w:rPr>
        <w:t xml:space="preserve"> </w:t>
      </w:r>
      <w:r>
        <w:rPr>
          <w:w w:val="105"/>
          <w:sz w:val="15"/>
        </w:rPr>
        <w:t>al</w:t>
      </w:r>
      <w:r>
        <w:rPr>
          <w:spacing w:val="-7"/>
          <w:w w:val="105"/>
          <w:sz w:val="15"/>
        </w:rPr>
        <w:t xml:space="preserve"> </w:t>
      </w:r>
      <w:r>
        <w:rPr>
          <w:w w:val="105"/>
          <w:sz w:val="15"/>
        </w:rPr>
        <w:t>genocidio</w:t>
      </w:r>
      <w:r>
        <w:rPr>
          <w:spacing w:val="-7"/>
          <w:w w:val="105"/>
          <w:sz w:val="15"/>
        </w:rPr>
        <w:t xml:space="preserve"> </w:t>
      </w:r>
      <w:r>
        <w:rPr>
          <w:w w:val="105"/>
          <w:sz w:val="15"/>
        </w:rPr>
        <w:t>y</w:t>
      </w:r>
      <w:r>
        <w:rPr>
          <w:spacing w:val="-7"/>
          <w:w w:val="105"/>
          <w:sz w:val="15"/>
        </w:rPr>
        <w:t xml:space="preserve"> </w:t>
      </w:r>
      <w:r>
        <w:rPr>
          <w:w w:val="105"/>
          <w:sz w:val="15"/>
        </w:rPr>
        <w:t>la apología</w:t>
      </w:r>
      <w:r>
        <w:rPr>
          <w:spacing w:val="-5"/>
          <w:w w:val="105"/>
          <w:sz w:val="15"/>
        </w:rPr>
        <w:t xml:space="preserve"> </w:t>
      </w:r>
      <w:r>
        <w:rPr>
          <w:w w:val="105"/>
          <w:sz w:val="15"/>
        </w:rPr>
        <w:t>del</w:t>
      </w:r>
      <w:r>
        <w:rPr>
          <w:spacing w:val="-5"/>
          <w:w w:val="105"/>
          <w:sz w:val="15"/>
        </w:rPr>
        <w:t xml:space="preserve"> </w:t>
      </w:r>
      <w:r>
        <w:rPr>
          <w:w w:val="105"/>
          <w:sz w:val="15"/>
        </w:rPr>
        <w:t>odio</w:t>
      </w:r>
      <w:r>
        <w:rPr>
          <w:spacing w:val="-5"/>
          <w:w w:val="105"/>
          <w:sz w:val="15"/>
        </w:rPr>
        <w:t xml:space="preserve"> </w:t>
      </w:r>
      <w:r>
        <w:rPr>
          <w:w w:val="105"/>
          <w:sz w:val="15"/>
        </w:rPr>
        <w:t>que</w:t>
      </w:r>
      <w:r>
        <w:rPr>
          <w:spacing w:val="-5"/>
          <w:w w:val="105"/>
          <w:sz w:val="15"/>
        </w:rPr>
        <w:t xml:space="preserve"> </w:t>
      </w:r>
      <w:r>
        <w:rPr>
          <w:w w:val="105"/>
          <w:sz w:val="15"/>
        </w:rPr>
        <w:t>constituye</w:t>
      </w:r>
      <w:r>
        <w:rPr>
          <w:spacing w:val="-5"/>
          <w:w w:val="105"/>
          <w:sz w:val="15"/>
        </w:rPr>
        <w:t xml:space="preserve"> </w:t>
      </w:r>
      <w:r>
        <w:rPr>
          <w:w w:val="105"/>
          <w:sz w:val="15"/>
        </w:rPr>
        <w:t>incitación</w:t>
      </w:r>
      <w:r>
        <w:rPr>
          <w:spacing w:val="-5"/>
          <w:w w:val="105"/>
          <w:sz w:val="15"/>
        </w:rPr>
        <w:t xml:space="preserve"> </w:t>
      </w:r>
      <w:r>
        <w:rPr>
          <w:w w:val="105"/>
          <w:sz w:val="15"/>
        </w:rPr>
        <w:t>a</w:t>
      </w:r>
      <w:r>
        <w:rPr>
          <w:spacing w:val="-5"/>
          <w:w w:val="105"/>
          <w:sz w:val="15"/>
        </w:rPr>
        <w:t xml:space="preserve"> </w:t>
      </w:r>
      <w:r>
        <w:rPr>
          <w:w w:val="105"/>
          <w:sz w:val="15"/>
        </w:rPr>
        <w:t>la</w:t>
      </w:r>
      <w:r>
        <w:rPr>
          <w:spacing w:val="-5"/>
          <w:w w:val="105"/>
          <w:sz w:val="15"/>
        </w:rPr>
        <w:t xml:space="preserve"> </w:t>
      </w:r>
      <w:r>
        <w:rPr>
          <w:w w:val="105"/>
          <w:sz w:val="15"/>
        </w:rPr>
        <w:t>violencia,</w:t>
      </w:r>
      <w:r>
        <w:rPr>
          <w:spacing w:val="-4"/>
          <w:w w:val="105"/>
          <w:sz w:val="15"/>
        </w:rPr>
        <w:t xml:space="preserve"> </w:t>
      </w:r>
      <w:r>
        <w:rPr>
          <w:w w:val="105"/>
          <w:sz w:val="15"/>
        </w:rPr>
        <w:t>la</w:t>
      </w:r>
      <w:r>
        <w:rPr>
          <w:spacing w:val="-5"/>
          <w:w w:val="105"/>
          <w:sz w:val="15"/>
        </w:rPr>
        <w:t xml:space="preserve"> </w:t>
      </w:r>
      <w:r>
        <w:rPr>
          <w:w w:val="105"/>
          <w:sz w:val="15"/>
        </w:rPr>
        <w:t>hostilidad</w:t>
      </w:r>
      <w:r>
        <w:rPr>
          <w:spacing w:val="-5"/>
          <w:w w:val="105"/>
          <w:sz w:val="15"/>
        </w:rPr>
        <w:t xml:space="preserve"> </w:t>
      </w:r>
      <w:r>
        <w:rPr>
          <w:w w:val="105"/>
          <w:sz w:val="15"/>
        </w:rPr>
        <w:t>o</w:t>
      </w:r>
      <w:r>
        <w:rPr>
          <w:spacing w:val="-5"/>
          <w:w w:val="105"/>
          <w:sz w:val="15"/>
        </w:rPr>
        <w:t xml:space="preserve"> </w:t>
      </w:r>
      <w:r>
        <w:rPr>
          <w:w w:val="105"/>
          <w:sz w:val="15"/>
        </w:rPr>
        <w:t>la</w:t>
      </w:r>
      <w:r>
        <w:rPr>
          <w:spacing w:val="-5"/>
          <w:w w:val="105"/>
          <w:sz w:val="15"/>
        </w:rPr>
        <w:t xml:space="preserve"> </w:t>
      </w:r>
      <w:r>
        <w:rPr>
          <w:w w:val="105"/>
          <w:sz w:val="15"/>
        </w:rPr>
        <w:t>discriminación</w:t>
      </w:r>
      <w:r>
        <w:rPr>
          <w:spacing w:val="-5"/>
          <w:w w:val="105"/>
          <w:sz w:val="15"/>
        </w:rPr>
        <w:t xml:space="preserve"> </w:t>
      </w:r>
      <w:r>
        <w:rPr>
          <w:w w:val="105"/>
          <w:sz w:val="15"/>
        </w:rPr>
        <w:t>contra</w:t>
      </w:r>
      <w:r>
        <w:rPr>
          <w:spacing w:val="-5"/>
          <w:w w:val="105"/>
          <w:sz w:val="15"/>
        </w:rPr>
        <w:t xml:space="preserve"> </w:t>
      </w:r>
      <w:r>
        <w:rPr>
          <w:w w:val="105"/>
          <w:sz w:val="15"/>
        </w:rPr>
        <w:t>las</w:t>
      </w:r>
      <w:r>
        <w:rPr>
          <w:spacing w:val="-5"/>
          <w:w w:val="105"/>
          <w:sz w:val="15"/>
        </w:rPr>
        <w:t xml:space="preserve"> </w:t>
      </w:r>
      <w:r>
        <w:rPr>
          <w:w w:val="105"/>
          <w:sz w:val="15"/>
        </w:rPr>
        <w:t>minorías</w:t>
      </w:r>
      <w:r>
        <w:rPr>
          <w:spacing w:val="-6"/>
          <w:w w:val="105"/>
          <w:sz w:val="15"/>
        </w:rPr>
        <w:t xml:space="preserve"> </w:t>
      </w:r>
      <w:r>
        <w:rPr>
          <w:w w:val="105"/>
          <w:sz w:val="15"/>
        </w:rPr>
        <w:t>en</w:t>
      </w:r>
      <w:r>
        <w:rPr>
          <w:spacing w:val="-5"/>
          <w:w w:val="105"/>
          <w:sz w:val="15"/>
        </w:rPr>
        <w:t xml:space="preserve"> </w:t>
      </w:r>
      <w:r>
        <w:rPr>
          <w:w w:val="105"/>
          <w:sz w:val="15"/>
        </w:rPr>
        <w:t>las</w:t>
      </w:r>
      <w:r>
        <w:rPr>
          <w:spacing w:val="-5"/>
          <w:w w:val="105"/>
          <w:sz w:val="15"/>
        </w:rPr>
        <w:t xml:space="preserve"> </w:t>
      </w:r>
      <w:r>
        <w:rPr>
          <w:w w:val="105"/>
          <w:sz w:val="15"/>
        </w:rPr>
        <w:t>redes sociales,</w:t>
      </w:r>
      <w:r>
        <w:rPr>
          <w:spacing w:val="-3"/>
          <w:w w:val="105"/>
          <w:sz w:val="15"/>
        </w:rPr>
        <w:t xml:space="preserve"> </w:t>
      </w:r>
      <w:r>
        <w:rPr>
          <w:w w:val="105"/>
          <w:sz w:val="15"/>
        </w:rPr>
        <w:t>lo</w:t>
      </w:r>
      <w:r>
        <w:rPr>
          <w:spacing w:val="-3"/>
          <w:w w:val="105"/>
          <w:sz w:val="15"/>
        </w:rPr>
        <w:t xml:space="preserve"> </w:t>
      </w:r>
      <w:r>
        <w:rPr>
          <w:w w:val="105"/>
          <w:sz w:val="15"/>
        </w:rPr>
        <w:t>que</w:t>
      </w:r>
      <w:r>
        <w:rPr>
          <w:spacing w:val="-3"/>
          <w:w w:val="105"/>
          <w:sz w:val="15"/>
        </w:rPr>
        <w:t xml:space="preserve"> </w:t>
      </w:r>
      <w:r>
        <w:rPr>
          <w:w w:val="105"/>
          <w:sz w:val="15"/>
        </w:rPr>
        <w:t>lleva</w:t>
      </w:r>
      <w:r>
        <w:rPr>
          <w:spacing w:val="-3"/>
          <w:w w:val="105"/>
          <w:sz w:val="15"/>
        </w:rPr>
        <w:t xml:space="preserve"> </w:t>
      </w:r>
      <w:r>
        <w:rPr>
          <w:w w:val="105"/>
          <w:sz w:val="15"/>
        </w:rPr>
        <w:t>a</w:t>
      </w:r>
      <w:r>
        <w:rPr>
          <w:spacing w:val="-3"/>
          <w:w w:val="105"/>
          <w:sz w:val="15"/>
        </w:rPr>
        <w:t xml:space="preserve"> </w:t>
      </w:r>
      <w:r>
        <w:rPr>
          <w:w w:val="105"/>
          <w:sz w:val="15"/>
        </w:rPr>
        <w:t>un</w:t>
      </w:r>
      <w:r>
        <w:rPr>
          <w:spacing w:val="-3"/>
          <w:w w:val="105"/>
          <w:sz w:val="15"/>
        </w:rPr>
        <w:t xml:space="preserve"> </w:t>
      </w:r>
      <w:r>
        <w:rPr>
          <w:w w:val="105"/>
          <w:sz w:val="15"/>
        </w:rPr>
        <w:t>aumento</w:t>
      </w:r>
      <w:r>
        <w:rPr>
          <w:spacing w:val="-3"/>
          <w:w w:val="105"/>
          <w:sz w:val="15"/>
        </w:rPr>
        <w:t xml:space="preserve"> </w:t>
      </w:r>
      <w:r>
        <w:rPr>
          <w:w w:val="105"/>
          <w:sz w:val="15"/>
        </w:rPr>
        <w:t>alarmante</w:t>
      </w:r>
      <w:r>
        <w:rPr>
          <w:spacing w:val="-3"/>
          <w:w w:val="105"/>
          <w:sz w:val="15"/>
        </w:rPr>
        <w:t xml:space="preserve"> </w:t>
      </w:r>
      <w:r>
        <w:rPr>
          <w:w w:val="105"/>
          <w:sz w:val="15"/>
        </w:rPr>
        <w:t>de</w:t>
      </w:r>
      <w:r>
        <w:rPr>
          <w:spacing w:val="-3"/>
          <w:w w:val="105"/>
          <w:sz w:val="15"/>
        </w:rPr>
        <w:t xml:space="preserve"> </w:t>
      </w:r>
      <w:r>
        <w:rPr>
          <w:w w:val="105"/>
          <w:sz w:val="15"/>
        </w:rPr>
        <w:t>los</w:t>
      </w:r>
      <w:r>
        <w:rPr>
          <w:spacing w:val="-3"/>
          <w:w w:val="105"/>
          <w:sz w:val="15"/>
        </w:rPr>
        <w:t xml:space="preserve"> </w:t>
      </w:r>
      <w:r>
        <w:rPr>
          <w:w w:val="105"/>
          <w:sz w:val="15"/>
        </w:rPr>
        <w:t>crímenes</w:t>
      </w:r>
      <w:r>
        <w:rPr>
          <w:spacing w:val="-3"/>
          <w:w w:val="105"/>
          <w:sz w:val="15"/>
        </w:rPr>
        <w:t xml:space="preserve"> </w:t>
      </w:r>
      <w:r>
        <w:rPr>
          <w:w w:val="105"/>
          <w:sz w:val="15"/>
        </w:rPr>
        <w:t>de</w:t>
      </w:r>
      <w:r>
        <w:rPr>
          <w:spacing w:val="-3"/>
          <w:w w:val="105"/>
          <w:sz w:val="15"/>
        </w:rPr>
        <w:t xml:space="preserve"> </w:t>
      </w:r>
      <w:r>
        <w:rPr>
          <w:w w:val="105"/>
          <w:sz w:val="15"/>
        </w:rPr>
        <w:t>odio</w:t>
      </w:r>
      <w:r>
        <w:rPr>
          <w:spacing w:val="-3"/>
          <w:w w:val="105"/>
          <w:sz w:val="15"/>
        </w:rPr>
        <w:t xml:space="preserve"> </w:t>
      </w:r>
      <w:r>
        <w:rPr>
          <w:w w:val="105"/>
          <w:sz w:val="15"/>
        </w:rPr>
        <w:t>y</w:t>
      </w:r>
      <w:r>
        <w:rPr>
          <w:spacing w:val="-3"/>
          <w:w w:val="105"/>
          <w:sz w:val="15"/>
        </w:rPr>
        <w:t xml:space="preserve"> </w:t>
      </w:r>
      <w:r>
        <w:rPr>
          <w:w w:val="105"/>
          <w:sz w:val="15"/>
        </w:rPr>
        <w:t>las</w:t>
      </w:r>
      <w:r>
        <w:rPr>
          <w:spacing w:val="-3"/>
          <w:w w:val="105"/>
          <w:sz w:val="15"/>
        </w:rPr>
        <w:t xml:space="preserve"> </w:t>
      </w:r>
      <w:r>
        <w:rPr>
          <w:w w:val="105"/>
          <w:sz w:val="15"/>
        </w:rPr>
        <w:t>atrocidades”.1217</w:t>
      </w:r>
    </w:p>
    <w:p w14:paraId="1AFD1EB5" w14:textId="77777777" w:rsidR="0014798C" w:rsidRDefault="004E1F0B">
      <w:pPr>
        <w:spacing w:before="108" w:line="348" w:lineRule="auto"/>
        <w:ind w:left="1333" w:right="1463" w:hanging="1"/>
        <w:rPr>
          <w:sz w:val="15"/>
        </w:rPr>
      </w:pPr>
      <w:r>
        <w:rPr>
          <w:noProof/>
        </w:rPr>
        <mc:AlternateContent>
          <mc:Choice Requires="wps">
            <w:drawing>
              <wp:anchor distT="0" distB="0" distL="0" distR="0" simplePos="0" relativeHeight="251658335" behindDoc="0" locked="0" layoutInCell="1" allowOverlap="1" wp14:anchorId="12C93C78" wp14:editId="4D218E53">
                <wp:simplePos x="0" y="0"/>
                <wp:positionH relativeFrom="page">
                  <wp:posOffset>7309027</wp:posOffset>
                </wp:positionH>
                <wp:positionV relativeFrom="paragraph">
                  <wp:posOffset>170187</wp:posOffset>
                </wp:positionV>
                <wp:extent cx="85090" cy="203835"/>
                <wp:effectExtent l="0" t="0" r="0" b="0"/>
                <wp:wrapNone/>
                <wp:docPr id="372" name="Textbox 37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85090" cy="203835"/>
                        </a:xfrm>
                        <a:prstGeom prst="rect">
                          <a:avLst/>
                        </a:prstGeom>
                      </wps:spPr>
                      <wps:txbx>
                        <w:txbxContent>
                          <w:p w14:paraId="0C997D33" w14:textId="77777777" w:rsidR="0014798C" w:rsidRDefault="004E1F0B">
                            <w:pPr>
                              <w:spacing w:before="21"/>
                              <w:ind w:left="20"/>
                              <w:rPr>
                                <w:sz w:val="8"/>
                              </w:rPr>
                            </w:pPr>
                            <w:r>
                              <w:rPr>
                                <w:color w:val="FFFFFF"/>
                                <w:spacing w:val="-27"/>
                                <w:w w:val="105"/>
                                <w:sz w:val="8"/>
                              </w:rPr>
                              <w:t>CPAINRCTOE</w:t>
                            </w:r>
                          </w:p>
                        </w:txbxContent>
                      </wps:txbx>
                      <wps:bodyPr vert="vert270" wrap="square" lIns="0" tIns="0" rIns="0" bIns="0" rtlCol="0">
                        <a:noAutofit/>
                      </wps:bodyPr>
                    </wps:wsp>
                  </a:graphicData>
                </a:graphic>
              </wp:anchor>
            </w:drawing>
          </mc:Choice>
          <mc:Fallback>
            <w:pict>
              <v:shape w14:anchorId="12C93C78" id="Textbox 372" o:spid="_x0000_s1180" type="#_x0000_t202" style="position:absolute;left:0;text-align:left;margin-left:575.5pt;margin-top:13.4pt;width:6.7pt;height:16.05pt;z-index:251658335;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" filled="f" stroked="f">
                <v:textbox style="layout-flow:vertical;mso-layout-flow-alt:bottom-to-top" inset="0,0,0,0">
                  <w:txbxContent>
                    <w:p w14:paraId="0C997D33" w14:textId="77777777" w:rsidR="0014798C" w:rsidRDefault="004E1F0B">
                      <w:pPr>
                        <w:spacing w:before="21"/>
                        <w:ind w:left="20"/>
                        <w:rPr>
                          <w:sz w:val="8"/>
                        </w:rPr>
                      </w:pPr>
                      <w:r>
                        <w:rPr>
                          <w:color w:val="FFFFFF"/>
                          <w:spacing w:val="-27"/>
                          <w:w w:val="105"/>
                          <w:sz w:val="8"/>
                        </w:rPr>
                        <w:t>CPAINRCTOE</w:t>
                      </w:r>
                    </w:p>
                  </w:txbxContent>
                </v:textbox>
                <w10:wrap anchorx="page"/>
              </v:shape>
            </w:pict>
          </mc:Fallback>
        </mc:AlternateContent>
      </w:r>
      <w:r>
        <w:rPr>
          <w:w w:val="105"/>
          <w:sz w:val="15"/>
        </w:rPr>
        <w:t>El</w:t>
      </w:r>
      <w:r>
        <w:rPr>
          <w:spacing w:val="-5"/>
          <w:w w:val="105"/>
          <w:sz w:val="15"/>
        </w:rPr>
        <w:t xml:space="preserve"> </w:t>
      </w:r>
      <w:r>
        <w:rPr>
          <w:w w:val="105"/>
          <w:sz w:val="15"/>
        </w:rPr>
        <w:t>Relator</w:t>
      </w:r>
      <w:r>
        <w:rPr>
          <w:spacing w:val="-6"/>
          <w:w w:val="105"/>
          <w:sz w:val="15"/>
        </w:rPr>
        <w:t xml:space="preserve"> </w:t>
      </w:r>
      <w:r>
        <w:rPr>
          <w:w w:val="105"/>
          <w:sz w:val="15"/>
        </w:rPr>
        <w:t>Especial</w:t>
      </w:r>
      <w:r>
        <w:rPr>
          <w:spacing w:val="-5"/>
          <w:w w:val="105"/>
          <w:sz w:val="15"/>
        </w:rPr>
        <w:t xml:space="preserve"> </w:t>
      </w:r>
      <w:r>
        <w:rPr>
          <w:w w:val="105"/>
          <w:sz w:val="15"/>
        </w:rPr>
        <w:t>sobre</w:t>
      </w:r>
      <w:r>
        <w:rPr>
          <w:spacing w:val="-5"/>
          <w:w w:val="105"/>
          <w:sz w:val="15"/>
        </w:rPr>
        <w:t xml:space="preserve"> </w:t>
      </w:r>
      <w:r>
        <w:rPr>
          <w:w w:val="105"/>
          <w:sz w:val="15"/>
        </w:rPr>
        <w:t>las</w:t>
      </w:r>
      <w:r>
        <w:rPr>
          <w:spacing w:val="-5"/>
          <w:w w:val="105"/>
          <w:sz w:val="15"/>
        </w:rPr>
        <w:t xml:space="preserve"> </w:t>
      </w:r>
      <w:r>
        <w:rPr>
          <w:w w:val="105"/>
          <w:sz w:val="15"/>
        </w:rPr>
        <w:t>formas</w:t>
      </w:r>
      <w:r>
        <w:rPr>
          <w:spacing w:val="-5"/>
          <w:w w:val="105"/>
          <w:sz w:val="15"/>
        </w:rPr>
        <w:t xml:space="preserve"> </w:t>
      </w:r>
      <w:r>
        <w:rPr>
          <w:w w:val="105"/>
          <w:sz w:val="15"/>
        </w:rPr>
        <w:t>contemporáneas</w:t>
      </w:r>
      <w:r>
        <w:rPr>
          <w:spacing w:val="-6"/>
          <w:w w:val="105"/>
          <w:sz w:val="15"/>
        </w:rPr>
        <w:t xml:space="preserve"> </w:t>
      </w:r>
      <w:r>
        <w:rPr>
          <w:w w:val="105"/>
          <w:sz w:val="15"/>
        </w:rPr>
        <w:t>de</w:t>
      </w:r>
      <w:r>
        <w:rPr>
          <w:spacing w:val="-5"/>
          <w:w w:val="105"/>
          <w:sz w:val="15"/>
        </w:rPr>
        <w:t xml:space="preserve"> </w:t>
      </w:r>
      <w:r>
        <w:rPr>
          <w:w w:val="105"/>
          <w:sz w:val="15"/>
        </w:rPr>
        <w:t>racismo,</w:t>
      </w:r>
      <w:r>
        <w:rPr>
          <w:spacing w:val="-5"/>
          <w:w w:val="105"/>
          <w:sz w:val="15"/>
        </w:rPr>
        <w:t xml:space="preserve"> </w:t>
      </w:r>
      <w:r>
        <w:rPr>
          <w:w w:val="105"/>
          <w:sz w:val="15"/>
        </w:rPr>
        <w:t>discriminación</w:t>
      </w:r>
      <w:r>
        <w:rPr>
          <w:spacing w:val="-5"/>
          <w:w w:val="105"/>
          <w:sz w:val="15"/>
        </w:rPr>
        <w:t xml:space="preserve"> </w:t>
      </w:r>
      <w:r>
        <w:rPr>
          <w:w w:val="105"/>
          <w:sz w:val="15"/>
        </w:rPr>
        <w:t>racial,</w:t>
      </w:r>
      <w:r>
        <w:rPr>
          <w:spacing w:val="-5"/>
          <w:w w:val="105"/>
          <w:sz w:val="15"/>
        </w:rPr>
        <w:t xml:space="preserve"> </w:t>
      </w:r>
      <w:r>
        <w:rPr>
          <w:w w:val="105"/>
          <w:sz w:val="15"/>
        </w:rPr>
        <w:t>xenofobia</w:t>
      </w:r>
      <w:r>
        <w:rPr>
          <w:spacing w:val="-5"/>
          <w:w w:val="105"/>
          <w:sz w:val="15"/>
        </w:rPr>
        <w:t xml:space="preserve"> </w:t>
      </w:r>
      <w:r>
        <w:rPr>
          <w:w w:val="105"/>
          <w:sz w:val="15"/>
        </w:rPr>
        <w:t>y</w:t>
      </w:r>
      <w:r>
        <w:rPr>
          <w:spacing w:val="-5"/>
          <w:w w:val="105"/>
          <w:sz w:val="15"/>
        </w:rPr>
        <w:t xml:space="preserve"> </w:t>
      </w:r>
      <w:r>
        <w:rPr>
          <w:w w:val="105"/>
          <w:sz w:val="15"/>
        </w:rPr>
        <w:t>formas</w:t>
      </w:r>
      <w:r>
        <w:rPr>
          <w:spacing w:val="-5"/>
          <w:w w:val="105"/>
          <w:sz w:val="15"/>
        </w:rPr>
        <w:t xml:space="preserve"> </w:t>
      </w:r>
      <w:r>
        <w:rPr>
          <w:w w:val="105"/>
          <w:sz w:val="15"/>
        </w:rPr>
        <w:t>conexas</w:t>
      </w:r>
      <w:r>
        <w:rPr>
          <w:spacing w:val="-5"/>
          <w:w w:val="105"/>
          <w:sz w:val="15"/>
        </w:rPr>
        <w:t xml:space="preserve"> </w:t>
      </w:r>
      <w:r>
        <w:rPr>
          <w:w w:val="105"/>
          <w:sz w:val="15"/>
        </w:rPr>
        <w:t>de intolerancia</w:t>
      </w:r>
      <w:r>
        <w:rPr>
          <w:spacing w:val="-5"/>
          <w:w w:val="105"/>
          <w:sz w:val="15"/>
        </w:rPr>
        <w:t xml:space="preserve"> </w:t>
      </w:r>
      <w:r>
        <w:rPr>
          <w:w w:val="105"/>
          <w:sz w:val="15"/>
        </w:rPr>
        <w:t>también</w:t>
      </w:r>
      <w:r>
        <w:rPr>
          <w:spacing w:val="-5"/>
          <w:w w:val="105"/>
          <w:sz w:val="15"/>
        </w:rPr>
        <w:t xml:space="preserve"> </w:t>
      </w:r>
      <w:r>
        <w:rPr>
          <w:w w:val="105"/>
          <w:sz w:val="15"/>
        </w:rPr>
        <w:t>ha</w:t>
      </w:r>
      <w:r>
        <w:rPr>
          <w:spacing w:val="-5"/>
          <w:w w:val="105"/>
          <w:sz w:val="15"/>
        </w:rPr>
        <w:t xml:space="preserve"> </w:t>
      </w:r>
      <w:r>
        <w:rPr>
          <w:w w:val="105"/>
          <w:sz w:val="15"/>
        </w:rPr>
        <w:t>destacado</w:t>
      </w:r>
      <w:r>
        <w:rPr>
          <w:spacing w:val="-5"/>
          <w:w w:val="105"/>
          <w:sz w:val="15"/>
        </w:rPr>
        <w:t xml:space="preserve"> </w:t>
      </w:r>
      <w:r>
        <w:rPr>
          <w:w w:val="105"/>
          <w:sz w:val="15"/>
        </w:rPr>
        <w:t>la</w:t>
      </w:r>
      <w:r>
        <w:rPr>
          <w:spacing w:val="-5"/>
          <w:w w:val="105"/>
          <w:sz w:val="15"/>
        </w:rPr>
        <w:t xml:space="preserve"> </w:t>
      </w:r>
      <w:r>
        <w:rPr>
          <w:w w:val="105"/>
          <w:sz w:val="15"/>
        </w:rPr>
        <w:t>dependencia</w:t>
      </w:r>
      <w:r>
        <w:rPr>
          <w:spacing w:val="-5"/>
          <w:w w:val="105"/>
          <w:sz w:val="15"/>
        </w:rPr>
        <w:t xml:space="preserve"> </w:t>
      </w:r>
      <w:r>
        <w:rPr>
          <w:w w:val="105"/>
          <w:sz w:val="15"/>
        </w:rPr>
        <w:t>de</w:t>
      </w:r>
      <w:r>
        <w:rPr>
          <w:spacing w:val="-5"/>
          <w:w w:val="105"/>
          <w:sz w:val="15"/>
        </w:rPr>
        <w:t xml:space="preserve"> </w:t>
      </w:r>
      <w:r>
        <w:rPr>
          <w:w w:val="105"/>
          <w:sz w:val="15"/>
        </w:rPr>
        <w:t>estas</w:t>
      </w:r>
      <w:r>
        <w:rPr>
          <w:spacing w:val="-5"/>
          <w:w w:val="105"/>
          <w:sz w:val="15"/>
        </w:rPr>
        <w:t xml:space="preserve"> </w:t>
      </w:r>
      <w:r>
        <w:rPr>
          <w:w w:val="105"/>
          <w:sz w:val="15"/>
        </w:rPr>
        <w:t>plataformas</w:t>
      </w:r>
      <w:r>
        <w:rPr>
          <w:spacing w:val="-6"/>
          <w:w w:val="105"/>
          <w:sz w:val="15"/>
        </w:rPr>
        <w:t xml:space="preserve"> </w:t>
      </w:r>
      <w:r>
        <w:rPr>
          <w:w w:val="105"/>
          <w:sz w:val="15"/>
        </w:rPr>
        <w:t>por</w:t>
      </w:r>
      <w:r>
        <w:rPr>
          <w:spacing w:val="-5"/>
          <w:w w:val="105"/>
          <w:sz w:val="15"/>
        </w:rPr>
        <w:t xml:space="preserve"> </w:t>
      </w:r>
      <w:r>
        <w:rPr>
          <w:w w:val="105"/>
          <w:sz w:val="15"/>
        </w:rPr>
        <w:t>parte</w:t>
      </w:r>
      <w:r>
        <w:rPr>
          <w:spacing w:val="-5"/>
          <w:w w:val="105"/>
          <w:sz w:val="15"/>
        </w:rPr>
        <w:t xml:space="preserve"> </w:t>
      </w:r>
      <w:r>
        <w:rPr>
          <w:w w:val="105"/>
          <w:sz w:val="15"/>
        </w:rPr>
        <w:t>de</w:t>
      </w:r>
      <w:r>
        <w:rPr>
          <w:spacing w:val="-5"/>
          <w:w w:val="105"/>
          <w:sz w:val="15"/>
        </w:rPr>
        <w:t xml:space="preserve"> </w:t>
      </w:r>
      <w:r>
        <w:rPr>
          <w:w w:val="105"/>
          <w:sz w:val="15"/>
        </w:rPr>
        <w:t>grupos</w:t>
      </w:r>
      <w:r>
        <w:rPr>
          <w:spacing w:val="-5"/>
          <w:w w:val="105"/>
          <w:sz w:val="15"/>
        </w:rPr>
        <w:t xml:space="preserve"> </w:t>
      </w:r>
      <w:r>
        <w:rPr>
          <w:w w:val="105"/>
          <w:sz w:val="15"/>
        </w:rPr>
        <w:t>neonazis</w:t>
      </w:r>
      <w:r>
        <w:rPr>
          <w:spacing w:val="-5"/>
          <w:w w:val="105"/>
          <w:sz w:val="15"/>
        </w:rPr>
        <w:t xml:space="preserve"> </w:t>
      </w:r>
      <w:r>
        <w:rPr>
          <w:w w:val="105"/>
          <w:sz w:val="15"/>
        </w:rPr>
        <w:t>y</w:t>
      </w:r>
      <w:r>
        <w:rPr>
          <w:spacing w:val="-5"/>
          <w:w w:val="105"/>
          <w:sz w:val="15"/>
        </w:rPr>
        <w:t xml:space="preserve"> </w:t>
      </w:r>
      <w:r>
        <w:rPr>
          <w:w w:val="105"/>
          <w:sz w:val="15"/>
        </w:rPr>
        <w:t>otros</w:t>
      </w:r>
      <w:r>
        <w:rPr>
          <w:spacing w:val="-5"/>
          <w:w w:val="105"/>
          <w:sz w:val="15"/>
        </w:rPr>
        <w:t xml:space="preserve"> </w:t>
      </w:r>
      <w:r>
        <w:rPr>
          <w:w w:val="105"/>
          <w:sz w:val="15"/>
        </w:rPr>
        <w:t>supremacistas blancos</w:t>
      </w:r>
      <w:r>
        <w:rPr>
          <w:spacing w:val="-10"/>
          <w:w w:val="105"/>
          <w:sz w:val="15"/>
        </w:rPr>
        <w:t xml:space="preserve"> </w:t>
      </w:r>
      <w:r>
        <w:rPr>
          <w:w w:val="105"/>
          <w:sz w:val="15"/>
        </w:rPr>
        <w:t>para</w:t>
      </w:r>
      <w:r>
        <w:rPr>
          <w:spacing w:val="-10"/>
          <w:w w:val="105"/>
          <w:sz w:val="15"/>
        </w:rPr>
        <w:t xml:space="preserve"> </w:t>
      </w:r>
      <w:r>
        <w:rPr>
          <w:w w:val="105"/>
          <w:sz w:val="15"/>
        </w:rPr>
        <w:t>reclutar,</w:t>
      </w:r>
      <w:r>
        <w:rPr>
          <w:spacing w:val="-10"/>
          <w:w w:val="105"/>
          <w:sz w:val="15"/>
        </w:rPr>
        <w:t xml:space="preserve"> </w:t>
      </w:r>
      <w:r>
        <w:rPr>
          <w:w w:val="105"/>
          <w:sz w:val="15"/>
        </w:rPr>
        <w:t>recaudar</w:t>
      </w:r>
      <w:r>
        <w:rPr>
          <w:spacing w:val="-10"/>
          <w:w w:val="105"/>
          <w:sz w:val="15"/>
        </w:rPr>
        <w:t xml:space="preserve"> </w:t>
      </w:r>
      <w:r>
        <w:rPr>
          <w:w w:val="105"/>
          <w:sz w:val="15"/>
        </w:rPr>
        <w:t>fondos</w:t>
      </w:r>
      <w:r>
        <w:rPr>
          <w:spacing w:val="-11"/>
          <w:w w:val="105"/>
          <w:sz w:val="15"/>
        </w:rPr>
        <w:t xml:space="preserve"> </w:t>
      </w:r>
      <w:r>
        <w:rPr>
          <w:w w:val="105"/>
          <w:sz w:val="15"/>
        </w:rPr>
        <w:t>y</w:t>
      </w:r>
      <w:r>
        <w:rPr>
          <w:spacing w:val="-10"/>
          <w:w w:val="105"/>
          <w:sz w:val="15"/>
        </w:rPr>
        <w:t xml:space="preserve"> </w:t>
      </w:r>
      <w:r>
        <w:rPr>
          <w:w w:val="105"/>
          <w:sz w:val="15"/>
        </w:rPr>
        <w:t>coordinar.1218</w:t>
      </w:r>
      <w:r>
        <w:rPr>
          <w:spacing w:val="-10"/>
          <w:w w:val="105"/>
          <w:sz w:val="15"/>
        </w:rPr>
        <w:t xml:space="preserve"> </w:t>
      </w:r>
      <w:r>
        <w:rPr>
          <w:w w:val="105"/>
          <w:sz w:val="15"/>
        </w:rPr>
        <w:t>También</w:t>
      </w:r>
      <w:r>
        <w:rPr>
          <w:spacing w:val="-10"/>
          <w:w w:val="105"/>
          <w:sz w:val="15"/>
        </w:rPr>
        <w:t xml:space="preserve"> </w:t>
      </w:r>
      <w:r>
        <w:rPr>
          <w:w w:val="105"/>
          <w:sz w:val="15"/>
        </w:rPr>
        <w:t>se</w:t>
      </w:r>
      <w:r>
        <w:rPr>
          <w:spacing w:val="-10"/>
          <w:w w:val="105"/>
          <w:sz w:val="15"/>
        </w:rPr>
        <w:t xml:space="preserve"> </w:t>
      </w:r>
      <w:r>
        <w:rPr>
          <w:w w:val="105"/>
          <w:sz w:val="15"/>
        </w:rPr>
        <w:t>ha</w:t>
      </w:r>
      <w:r>
        <w:rPr>
          <w:spacing w:val="-10"/>
          <w:w w:val="105"/>
          <w:sz w:val="15"/>
        </w:rPr>
        <w:t xml:space="preserve"> </w:t>
      </w:r>
      <w:r>
        <w:rPr>
          <w:w w:val="105"/>
          <w:sz w:val="15"/>
        </w:rPr>
        <w:t>demostrado</w:t>
      </w:r>
      <w:r>
        <w:rPr>
          <w:spacing w:val="-10"/>
          <w:w w:val="105"/>
          <w:sz w:val="15"/>
        </w:rPr>
        <w:t xml:space="preserve"> </w:t>
      </w:r>
      <w:r>
        <w:rPr>
          <w:w w:val="105"/>
          <w:sz w:val="15"/>
        </w:rPr>
        <w:t>el</w:t>
      </w:r>
      <w:r>
        <w:rPr>
          <w:spacing w:val="-10"/>
          <w:w w:val="105"/>
          <w:sz w:val="15"/>
        </w:rPr>
        <w:t xml:space="preserve"> </w:t>
      </w:r>
      <w:r>
        <w:rPr>
          <w:w w:val="105"/>
          <w:sz w:val="15"/>
        </w:rPr>
        <w:t>uso</w:t>
      </w:r>
      <w:r>
        <w:rPr>
          <w:spacing w:val="-10"/>
          <w:w w:val="105"/>
          <w:sz w:val="15"/>
        </w:rPr>
        <w:t xml:space="preserve"> </w:t>
      </w:r>
      <w:r>
        <w:rPr>
          <w:w w:val="105"/>
          <w:sz w:val="15"/>
        </w:rPr>
        <w:t>de</w:t>
      </w:r>
      <w:r>
        <w:rPr>
          <w:spacing w:val="-10"/>
          <w:w w:val="105"/>
          <w:sz w:val="15"/>
        </w:rPr>
        <w:t xml:space="preserve"> </w:t>
      </w:r>
      <w:r>
        <w:rPr>
          <w:w w:val="105"/>
          <w:sz w:val="15"/>
        </w:rPr>
        <w:t>algoritmos</w:t>
      </w:r>
      <w:r>
        <w:rPr>
          <w:spacing w:val="-11"/>
          <w:w w:val="105"/>
          <w:sz w:val="15"/>
        </w:rPr>
        <w:t xml:space="preserve"> </w:t>
      </w:r>
      <w:r>
        <w:rPr>
          <w:w w:val="105"/>
          <w:sz w:val="15"/>
        </w:rPr>
        <w:t>contribuir</w:t>
      </w:r>
      <w:r>
        <w:rPr>
          <w:spacing w:val="-11"/>
          <w:w w:val="105"/>
          <w:sz w:val="15"/>
        </w:rPr>
        <w:t xml:space="preserve"> </w:t>
      </w:r>
      <w:r>
        <w:rPr>
          <w:w w:val="105"/>
          <w:sz w:val="15"/>
        </w:rPr>
        <w:t>y</w:t>
      </w:r>
      <w:r>
        <w:rPr>
          <w:spacing w:val="-10"/>
          <w:w w:val="105"/>
          <w:sz w:val="15"/>
        </w:rPr>
        <w:t xml:space="preserve"> </w:t>
      </w:r>
      <w:r>
        <w:rPr>
          <w:w w:val="105"/>
          <w:sz w:val="15"/>
        </w:rPr>
        <w:t>acentuar</w:t>
      </w:r>
      <w:r>
        <w:rPr>
          <w:spacing w:val="-11"/>
          <w:w w:val="105"/>
          <w:sz w:val="15"/>
        </w:rPr>
        <w:t xml:space="preserve"> </w:t>
      </w:r>
      <w:r>
        <w:rPr>
          <w:w w:val="105"/>
          <w:sz w:val="15"/>
        </w:rPr>
        <w:t>el odio</w:t>
      </w:r>
      <w:r>
        <w:rPr>
          <w:spacing w:val="-11"/>
          <w:w w:val="105"/>
          <w:sz w:val="15"/>
        </w:rPr>
        <w:t xml:space="preserve"> </w:t>
      </w:r>
      <w:r>
        <w:rPr>
          <w:w w:val="105"/>
          <w:sz w:val="15"/>
        </w:rPr>
        <w:t>y</w:t>
      </w:r>
      <w:r>
        <w:rPr>
          <w:spacing w:val="-10"/>
          <w:w w:val="105"/>
          <w:sz w:val="15"/>
        </w:rPr>
        <w:t xml:space="preserve"> </w:t>
      </w:r>
      <w:r>
        <w:rPr>
          <w:w w:val="105"/>
          <w:sz w:val="15"/>
        </w:rPr>
        <w:t>el</w:t>
      </w:r>
      <w:r>
        <w:rPr>
          <w:spacing w:val="-11"/>
          <w:w w:val="105"/>
          <w:sz w:val="15"/>
        </w:rPr>
        <w:t xml:space="preserve"> </w:t>
      </w:r>
      <w:r>
        <w:rPr>
          <w:w w:val="105"/>
          <w:sz w:val="15"/>
        </w:rPr>
        <w:t>daño</w:t>
      </w:r>
      <w:r>
        <w:rPr>
          <w:spacing w:val="-10"/>
          <w:w w:val="105"/>
          <w:sz w:val="15"/>
        </w:rPr>
        <w:t xml:space="preserve"> </w:t>
      </w:r>
      <w:r>
        <w:rPr>
          <w:w w:val="105"/>
          <w:sz w:val="15"/>
        </w:rPr>
        <w:t>experimentado</w:t>
      </w:r>
      <w:r>
        <w:rPr>
          <w:spacing w:val="-11"/>
          <w:w w:val="105"/>
          <w:sz w:val="15"/>
        </w:rPr>
        <w:t xml:space="preserve"> </w:t>
      </w:r>
      <w:r>
        <w:rPr>
          <w:w w:val="105"/>
          <w:sz w:val="15"/>
        </w:rPr>
        <w:t>por</w:t>
      </w:r>
      <w:r>
        <w:rPr>
          <w:spacing w:val="-10"/>
          <w:w w:val="105"/>
          <w:sz w:val="15"/>
        </w:rPr>
        <w:t xml:space="preserve"> </w:t>
      </w:r>
      <w:r>
        <w:rPr>
          <w:w w:val="105"/>
          <w:sz w:val="15"/>
        </w:rPr>
        <w:t>los</w:t>
      </w:r>
      <w:r>
        <w:rPr>
          <w:spacing w:val="-11"/>
          <w:w w:val="105"/>
          <w:sz w:val="15"/>
        </w:rPr>
        <w:t xml:space="preserve"> </w:t>
      </w:r>
      <w:r>
        <w:rPr>
          <w:w w:val="105"/>
          <w:sz w:val="15"/>
        </w:rPr>
        <w:t>grupos</w:t>
      </w:r>
      <w:r>
        <w:rPr>
          <w:spacing w:val="-10"/>
          <w:w w:val="105"/>
          <w:sz w:val="15"/>
        </w:rPr>
        <w:t xml:space="preserve"> </w:t>
      </w:r>
      <w:r>
        <w:rPr>
          <w:w w:val="105"/>
          <w:sz w:val="15"/>
        </w:rPr>
        <w:t>expuestos</w:t>
      </w:r>
      <w:r>
        <w:rPr>
          <w:spacing w:val="-11"/>
          <w:w w:val="105"/>
          <w:sz w:val="15"/>
        </w:rPr>
        <w:t xml:space="preserve"> </w:t>
      </w:r>
      <w:r>
        <w:rPr>
          <w:w w:val="105"/>
          <w:sz w:val="15"/>
        </w:rPr>
        <w:t>a</w:t>
      </w:r>
      <w:r>
        <w:rPr>
          <w:spacing w:val="-10"/>
          <w:w w:val="105"/>
          <w:sz w:val="15"/>
        </w:rPr>
        <w:t xml:space="preserve"> </w:t>
      </w:r>
      <w:r>
        <w:rPr>
          <w:w w:val="105"/>
          <w:sz w:val="15"/>
        </w:rPr>
        <w:t>la</w:t>
      </w:r>
      <w:r>
        <w:rPr>
          <w:spacing w:val="-11"/>
          <w:w w:val="105"/>
          <w:sz w:val="15"/>
        </w:rPr>
        <w:t xml:space="preserve"> </w:t>
      </w:r>
      <w:r>
        <w:rPr>
          <w:w w:val="105"/>
          <w:sz w:val="15"/>
        </w:rPr>
        <w:t>discriminación.</w:t>
      </w:r>
      <w:r>
        <w:rPr>
          <w:spacing w:val="-10"/>
          <w:w w:val="105"/>
          <w:sz w:val="15"/>
        </w:rPr>
        <w:t xml:space="preserve"> </w:t>
      </w:r>
      <w:r>
        <w:rPr>
          <w:w w:val="105"/>
          <w:sz w:val="15"/>
        </w:rPr>
        <w:t>El</w:t>
      </w:r>
      <w:r>
        <w:rPr>
          <w:spacing w:val="-10"/>
          <w:w w:val="105"/>
          <w:sz w:val="15"/>
        </w:rPr>
        <w:t xml:space="preserve"> </w:t>
      </w:r>
      <w:r>
        <w:rPr>
          <w:w w:val="105"/>
          <w:sz w:val="15"/>
        </w:rPr>
        <w:t>Relator</w:t>
      </w:r>
      <w:r>
        <w:rPr>
          <w:spacing w:val="-11"/>
          <w:w w:val="105"/>
          <w:sz w:val="15"/>
        </w:rPr>
        <w:t xml:space="preserve"> </w:t>
      </w:r>
      <w:r>
        <w:rPr>
          <w:w w:val="105"/>
          <w:sz w:val="15"/>
        </w:rPr>
        <w:t>Especial</w:t>
      </w:r>
      <w:r>
        <w:rPr>
          <w:spacing w:val="-10"/>
          <w:w w:val="105"/>
          <w:sz w:val="15"/>
        </w:rPr>
        <w:t xml:space="preserve"> </w:t>
      </w:r>
      <w:r>
        <w:rPr>
          <w:w w:val="105"/>
          <w:sz w:val="15"/>
        </w:rPr>
        <w:t>sobre</w:t>
      </w:r>
      <w:r>
        <w:rPr>
          <w:spacing w:val="-11"/>
          <w:w w:val="105"/>
          <w:sz w:val="15"/>
        </w:rPr>
        <w:t xml:space="preserve"> </w:t>
      </w:r>
      <w:r>
        <w:rPr>
          <w:w w:val="105"/>
          <w:sz w:val="15"/>
        </w:rPr>
        <w:t>cuestiones</w:t>
      </w:r>
      <w:r>
        <w:rPr>
          <w:spacing w:val="-11"/>
          <w:w w:val="105"/>
          <w:sz w:val="15"/>
        </w:rPr>
        <w:t xml:space="preserve"> </w:t>
      </w:r>
      <w:r>
        <w:rPr>
          <w:w w:val="105"/>
          <w:sz w:val="15"/>
        </w:rPr>
        <w:t>de</w:t>
      </w:r>
      <w:r>
        <w:rPr>
          <w:spacing w:val="-10"/>
          <w:w w:val="105"/>
          <w:sz w:val="15"/>
        </w:rPr>
        <w:t xml:space="preserve"> </w:t>
      </w:r>
      <w:r>
        <w:rPr>
          <w:w w:val="105"/>
          <w:sz w:val="15"/>
        </w:rPr>
        <w:t>las</w:t>
      </w:r>
      <w:r>
        <w:rPr>
          <w:spacing w:val="-11"/>
          <w:w w:val="105"/>
          <w:sz w:val="15"/>
        </w:rPr>
        <w:t xml:space="preserve"> </w:t>
      </w:r>
      <w:r>
        <w:rPr>
          <w:w w:val="105"/>
          <w:sz w:val="15"/>
        </w:rPr>
        <w:t>minorías ha</w:t>
      </w:r>
      <w:r>
        <w:rPr>
          <w:spacing w:val="-11"/>
          <w:w w:val="105"/>
          <w:sz w:val="15"/>
        </w:rPr>
        <w:t xml:space="preserve"> </w:t>
      </w:r>
      <w:r>
        <w:rPr>
          <w:w w:val="105"/>
          <w:sz w:val="15"/>
        </w:rPr>
        <w:t>destacado</w:t>
      </w:r>
      <w:r>
        <w:rPr>
          <w:spacing w:val="-11"/>
          <w:w w:val="105"/>
          <w:sz w:val="15"/>
        </w:rPr>
        <w:t xml:space="preserve"> </w:t>
      </w:r>
      <w:r>
        <w:rPr>
          <w:w w:val="105"/>
          <w:sz w:val="15"/>
        </w:rPr>
        <w:t>ejemplos</w:t>
      </w:r>
      <w:r>
        <w:rPr>
          <w:spacing w:val="-11"/>
          <w:w w:val="105"/>
          <w:sz w:val="15"/>
        </w:rPr>
        <w:t xml:space="preserve"> </w:t>
      </w:r>
      <w:r>
        <w:rPr>
          <w:w w:val="105"/>
          <w:sz w:val="15"/>
        </w:rPr>
        <w:t>de</w:t>
      </w:r>
      <w:r>
        <w:rPr>
          <w:spacing w:val="-11"/>
          <w:w w:val="105"/>
          <w:sz w:val="15"/>
        </w:rPr>
        <w:t xml:space="preserve"> </w:t>
      </w:r>
      <w:r>
        <w:rPr>
          <w:w w:val="105"/>
          <w:sz w:val="15"/>
        </w:rPr>
        <w:t>robots</w:t>
      </w:r>
      <w:r>
        <w:rPr>
          <w:spacing w:val="-11"/>
          <w:w w:val="105"/>
          <w:sz w:val="15"/>
        </w:rPr>
        <w:t xml:space="preserve"> </w:t>
      </w:r>
      <w:r>
        <w:rPr>
          <w:w w:val="105"/>
          <w:sz w:val="15"/>
        </w:rPr>
        <w:t>de</w:t>
      </w:r>
      <w:r>
        <w:rPr>
          <w:spacing w:val="-11"/>
          <w:w w:val="105"/>
          <w:sz w:val="15"/>
        </w:rPr>
        <w:t xml:space="preserve"> </w:t>
      </w:r>
      <w:r>
        <w:rPr>
          <w:w w:val="105"/>
          <w:sz w:val="15"/>
        </w:rPr>
        <w:t>redes</w:t>
      </w:r>
      <w:r>
        <w:rPr>
          <w:spacing w:val="-11"/>
          <w:w w:val="105"/>
          <w:sz w:val="15"/>
        </w:rPr>
        <w:t xml:space="preserve"> </w:t>
      </w:r>
      <w:r>
        <w:rPr>
          <w:w w:val="105"/>
          <w:sz w:val="15"/>
        </w:rPr>
        <w:t>sociales</w:t>
      </w:r>
      <w:r>
        <w:rPr>
          <w:spacing w:val="-11"/>
          <w:w w:val="105"/>
          <w:sz w:val="15"/>
        </w:rPr>
        <w:t xml:space="preserve"> </w:t>
      </w:r>
      <w:r>
        <w:rPr>
          <w:w w:val="105"/>
          <w:sz w:val="15"/>
        </w:rPr>
        <w:t>que</w:t>
      </w:r>
      <w:r>
        <w:rPr>
          <w:spacing w:val="-11"/>
          <w:w w:val="105"/>
          <w:sz w:val="15"/>
        </w:rPr>
        <w:t xml:space="preserve"> </w:t>
      </w:r>
      <w:r>
        <w:rPr>
          <w:w w:val="105"/>
          <w:sz w:val="15"/>
        </w:rPr>
        <w:t>han</w:t>
      </w:r>
      <w:r>
        <w:rPr>
          <w:spacing w:val="-11"/>
          <w:w w:val="105"/>
          <w:sz w:val="15"/>
        </w:rPr>
        <w:t xml:space="preserve"> </w:t>
      </w:r>
      <w:r>
        <w:rPr>
          <w:w w:val="105"/>
          <w:sz w:val="15"/>
        </w:rPr>
        <w:t>sido</w:t>
      </w:r>
      <w:r>
        <w:rPr>
          <w:spacing w:val="-11"/>
          <w:w w:val="105"/>
          <w:sz w:val="15"/>
        </w:rPr>
        <w:t xml:space="preserve"> </w:t>
      </w:r>
      <w:r>
        <w:rPr>
          <w:w w:val="105"/>
          <w:sz w:val="15"/>
        </w:rPr>
        <w:t>manipulados</w:t>
      </w:r>
      <w:r>
        <w:rPr>
          <w:spacing w:val="-11"/>
          <w:w w:val="105"/>
          <w:sz w:val="15"/>
        </w:rPr>
        <w:t xml:space="preserve"> </w:t>
      </w:r>
      <w:r>
        <w:rPr>
          <w:w w:val="105"/>
          <w:sz w:val="15"/>
        </w:rPr>
        <w:t>para</w:t>
      </w:r>
      <w:r>
        <w:rPr>
          <w:spacing w:val="-11"/>
          <w:w w:val="105"/>
          <w:sz w:val="15"/>
        </w:rPr>
        <w:t xml:space="preserve"> </w:t>
      </w:r>
      <w:r>
        <w:rPr>
          <w:w w:val="105"/>
          <w:sz w:val="15"/>
        </w:rPr>
        <w:t>utilizar</w:t>
      </w:r>
      <w:r>
        <w:rPr>
          <w:spacing w:val="-11"/>
          <w:w w:val="105"/>
          <w:sz w:val="15"/>
        </w:rPr>
        <w:t xml:space="preserve"> </w:t>
      </w:r>
      <w:r>
        <w:rPr>
          <w:w w:val="105"/>
          <w:sz w:val="15"/>
        </w:rPr>
        <w:t>insultos</w:t>
      </w:r>
      <w:r>
        <w:rPr>
          <w:spacing w:val="-11"/>
          <w:w w:val="105"/>
          <w:sz w:val="15"/>
        </w:rPr>
        <w:t xml:space="preserve"> </w:t>
      </w:r>
      <w:r>
        <w:rPr>
          <w:w w:val="105"/>
          <w:sz w:val="15"/>
        </w:rPr>
        <w:t>islamófobos</w:t>
      </w:r>
      <w:r>
        <w:rPr>
          <w:spacing w:val="-11"/>
          <w:w w:val="105"/>
          <w:sz w:val="15"/>
        </w:rPr>
        <w:t xml:space="preserve"> </w:t>
      </w:r>
      <w:r>
        <w:rPr>
          <w:w w:val="105"/>
          <w:sz w:val="15"/>
        </w:rPr>
        <w:t>y</w:t>
      </w:r>
      <w:r>
        <w:rPr>
          <w:spacing w:val="-10"/>
          <w:w w:val="105"/>
          <w:sz w:val="15"/>
        </w:rPr>
        <w:t xml:space="preserve"> </w:t>
      </w:r>
      <w:r>
        <w:rPr>
          <w:w w:val="105"/>
          <w:sz w:val="15"/>
        </w:rPr>
        <w:t>supremacistas blancos,1219</w:t>
      </w:r>
      <w:r>
        <w:rPr>
          <w:spacing w:val="-7"/>
          <w:w w:val="105"/>
          <w:sz w:val="15"/>
        </w:rPr>
        <w:t xml:space="preserve"> </w:t>
      </w:r>
      <w:r>
        <w:rPr>
          <w:w w:val="105"/>
          <w:sz w:val="15"/>
        </w:rPr>
        <w:t>mientras</w:t>
      </w:r>
      <w:r>
        <w:rPr>
          <w:spacing w:val="-8"/>
          <w:w w:val="105"/>
          <w:sz w:val="15"/>
        </w:rPr>
        <w:t xml:space="preserve"> </w:t>
      </w:r>
      <w:r>
        <w:rPr>
          <w:w w:val="105"/>
          <w:sz w:val="15"/>
        </w:rPr>
        <w:t>que</w:t>
      </w:r>
      <w:r>
        <w:rPr>
          <w:spacing w:val="-7"/>
          <w:w w:val="105"/>
          <w:sz w:val="15"/>
        </w:rPr>
        <w:t xml:space="preserve"> </w:t>
      </w:r>
      <w:r>
        <w:rPr>
          <w:w w:val="105"/>
          <w:sz w:val="15"/>
        </w:rPr>
        <w:t>la</w:t>
      </w:r>
      <w:r>
        <w:rPr>
          <w:spacing w:val="-7"/>
          <w:w w:val="105"/>
          <w:sz w:val="15"/>
        </w:rPr>
        <w:t xml:space="preserve"> </w:t>
      </w:r>
      <w:r>
        <w:rPr>
          <w:w w:val="105"/>
          <w:sz w:val="15"/>
        </w:rPr>
        <w:t>misión</w:t>
      </w:r>
      <w:r>
        <w:rPr>
          <w:spacing w:val="-7"/>
          <w:w w:val="105"/>
          <w:sz w:val="15"/>
        </w:rPr>
        <w:t xml:space="preserve"> </w:t>
      </w:r>
      <w:r>
        <w:rPr>
          <w:w w:val="105"/>
          <w:sz w:val="15"/>
        </w:rPr>
        <w:t>internacional</w:t>
      </w:r>
      <w:r>
        <w:rPr>
          <w:spacing w:val="-7"/>
          <w:w w:val="105"/>
          <w:sz w:val="15"/>
        </w:rPr>
        <w:t xml:space="preserve"> </w:t>
      </w:r>
      <w:r>
        <w:rPr>
          <w:w w:val="105"/>
          <w:sz w:val="15"/>
        </w:rPr>
        <w:t>independiente</w:t>
      </w:r>
      <w:r>
        <w:rPr>
          <w:spacing w:val="-7"/>
          <w:w w:val="105"/>
          <w:sz w:val="15"/>
        </w:rPr>
        <w:t xml:space="preserve"> </w:t>
      </w:r>
      <w:r>
        <w:rPr>
          <w:w w:val="105"/>
          <w:sz w:val="15"/>
        </w:rPr>
        <w:t>de</w:t>
      </w:r>
      <w:r>
        <w:rPr>
          <w:spacing w:val="-7"/>
          <w:w w:val="105"/>
          <w:sz w:val="15"/>
        </w:rPr>
        <w:t xml:space="preserve"> </w:t>
      </w:r>
      <w:r>
        <w:rPr>
          <w:w w:val="105"/>
          <w:sz w:val="15"/>
        </w:rPr>
        <w:t>investigación</w:t>
      </w:r>
      <w:r>
        <w:rPr>
          <w:spacing w:val="-7"/>
          <w:w w:val="105"/>
          <w:sz w:val="15"/>
        </w:rPr>
        <w:t xml:space="preserve"> </w:t>
      </w:r>
      <w:r>
        <w:rPr>
          <w:w w:val="105"/>
          <w:sz w:val="15"/>
        </w:rPr>
        <w:t>sobre</w:t>
      </w:r>
      <w:r>
        <w:rPr>
          <w:spacing w:val="-7"/>
          <w:w w:val="105"/>
          <w:sz w:val="15"/>
        </w:rPr>
        <w:t xml:space="preserve"> </w:t>
      </w:r>
      <w:r>
        <w:rPr>
          <w:w w:val="105"/>
          <w:sz w:val="15"/>
        </w:rPr>
        <w:t>Myanmar</w:t>
      </w:r>
      <w:r>
        <w:rPr>
          <w:spacing w:val="-7"/>
          <w:w w:val="105"/>
          <w:sz w:val="15"/>
        </w:rPr>
        <w:t xml:space="preserve"> </w:t>
      </w:r>
      <w:r>
        <w:rPr>
          <w:w w:val="105"/>
          <w:sz w:val="15"/>
        </w:rPr>
        <w:t>ha</w:t>
      </w:r>
      <w:r>
        <w:rPr>
          <w:spacing w:val="-7"/>
          <w:w w:val="105"/>
          <w:sz w:val="15"/>
        </w:rPr>
        <w:t xml:space="preserve"> </w:t>
      </w:r>
      <w:r>
        <w:rPr>
          <w:w w:val="105"/>
          <w:sz w:val="15"/>
        </w:rPr>
        <w:t>observado</w:t>
      </w:r>
      <w:r>
        <w:rPr>
          <w:spacing w:val="-7"/>
          <w:w w:val="105"/>
          <w:sz w:val="15"/>
        </w:rPr>
        <w:t xml:space="preserve"> </w:t>
      </w:r>
      <w:r>
        <w:rPr>
          <w:w w:val="105"/>
          <w:sz w:val="15"/>
        </w:rPr>
        <w:t>el</w:t>
      </w:r>
      <w:r>
        <w:rPr>
          <w:spacing w:val="-7"/>
          <w:w w:val="105"/>
          <w:sz w:val="15"/>
        </w:rPr>
        <w:t xml:space="preserve"> </w:t>
      </w:r>
      <w:r>
        <w:rPr>
          <w:w w:val="105"/>
          <w:sz w:val="15"/>
        </w:rPr>
        <w:t>uso</w:t>
      </w:r>
      <w:r>
        <w:rPr>
          <w:spacing w:val="-7"/>
          <w:w w:val="105"/>
          <w:sz w:val="15"/>
        </w:rPr>
        <w:t xml:space="preserve"> </w:t>
      </w:r>
      <w:r>
        <w:rPr>
          <w:w w:val="105"/>
          <w:sz w:val="15"/>
        </w:rPr>
        <w:t>de Facebook para exacerbar el discurso de odio contra los rohingya.1220</w:t>
      </w:r>
    </w:p>
    <w:p w14:paraId="7B8FB87A" w14:textId="77777777" w:rsidR="0014798C" w:rsidRDefault="0014798C">
      <w:pPr>
        <w:pStyle w:val="Textoindependiente"/>
        <w:rPr>
          <w:sz w:val="10"/>
        </w:rPr>
      </w:pPr>
    </w:p>
    <w:p w14:paraId="53A51F66" w14:textId="77777777" w:rsidR="0014798C" w:rsidRDefault="0014798C">
      <w:pPr>
        <w:pStyle w:val="Textoindependiente"/>
        <w:rPr>
          <w:sz w:val="10"/>
        </w:rPr>
      </w:pPr>
    </w:p>
    <w:p w14:paraId="00B2684C" w14:textId="77777777" w:rsidR="0014798C" w:rsidRDefault="0014798C">
      <w:pPr>
        <w:pStyle w:val="Textoindependiente"/>
        <w:rPr>
          <w:sz w:val="10"/>
        </w:rPr>
      </w:pPr>
    </w:p>
    <w:p w14:paraId="5757CFB9" w14:textId="77777777" w:rsidR="0014798C" w:rsidRDefault="0014798C">
      <w:pPr>
        <w:pStyle w:val="Textoindependiente"/>
        <w:rPr>
          <w:sz w:val="10"/>
        </w:rPr>
      </w:pPr>
    </w:p>
    <w:p w14:paraId="5EC8DB2D" w14:textId="77777777" w:rsidR="0014798C" w:rsidRDefault="0014798C">
      <w:pPr>
        <w:pStyle w:val="Textoindependiente"/>
        <w:rPr>
          <w:sz w:val="10"/>
        </w:rPr>
      </w:pPr>
    </w:p>
    <w:p w14:paraId="5A8D3306" w14:textId="77777777" w:rsidR="0014798C" w:rsidRDefault="0014798C">
      <w:pPr>
        <w:pStyle w:val="Textoindependiente"/>
        <w:rPr>
          <w:sz w:val="10"/>
        </w:rPr>
      </w:pPr>
    </w:p>
    <w:p w14:paraId="75EB59AC" w14:textId="77777777" w:rsidR="0014798C" w:rsidRDefault="0014798C">
      <w:pPr>
        <w:pStyle w:val="Textoindependiente"/>
        <w:rPr>
          <w:sz w:val="10"/>
        </w:rPr>
      </w:pPr>
    </w:p>
    <w:p w14:paraId="60DC1C49" w14:textId="77777777" w:rsidR="0014798C" w:rsidRDefault="0014798C">
      <w:pPr>
        <w:pStyle w:val="Textoindependiente"/>
        <w:rPr>
          <w:sz w:val="10"/>
        </w:rPr>
      </w:pPr>
    </w:p>
    <w:p w14:paraId="7735FFA6" w14:textId="77777777" w:rsidR="0014798C" w:rsidRDefault="0014798C">
      <w:pPr>
        <w:pStyle w:val="Textoindependiente"/>
        <w:rPr>
          <w:sz w:val="10"/>
        </w:rPr>
      </w:pPr>
    </w:p>
    <w:p w14:paraId="6D9D690E" w14:textId="77777777" w:rsidR="0014798C" w:rsidRDefault="0014798C">
      <w:pPr>
        <w:pStyle w:val="Textoindependiente"/>
        <w:spacing w:before="35"/>
        <w:rPr>
          <w:sz w:val="10"/>
        </w:rPr>
      </w:pPr>
    </w:p>
    <w:p w14:paraId="4AD431B3" w14:textId="77777777" w:rsidR="0014798C" w:rsidRDefault="004E1F0B">
      <w:pPr>
        <w:spacing w:line="374" w:lineRule="auto"/>
        <w:ind w:left="1366" w:right="2004" w:hanging="255"/>
        <w:rPr>
          <w:sz w:val="10"/>
        </w:rPr>
      </w:pPr>
      <w:r>
        <w:rPr>
          <w:w w:val="105"/>
          <w:sz w:val="10"/>
        </w:rPr>
        <w:t>1211 Naciones Unidas, Estrategia y Plan de Acción de las Naciones Unidas sobre el discurso de odio: Orientación detallada sobre la implementación para las Naciones Unidas</w:t>
      </w:r>
      <w:r>
        <w:rPr>
          <w:spacing w:val="40"/>
          <w:w w:val="105"/>
          <w:sz w:val="10"/>
        </w:rPr>
        <w:t xml:space="preserve"> </w:t>
      </w:r>
      <w:r>
        <w:rPr>
          <w:w w:val="105"/>
          <w:sz w:val="10"/>
        </w:rPr>
        <w:t>Presencias de campo, págs. 5–6.</w:t>
      </w:r>
    </w:p>
    <w:p w14:paraId="4983845B" w14:textId="77777777" w:rsidR="0014798C" w:rsidRDefault="004E1F0B">
      <w:pPr>
        <w:spacing w:before="26"/>
        <w:ind w:left="1111"/>
        <w:rPr>
          <w:sz w:val="10"/>
        </w:rPr>
      </w:pPr>
      <w:r>
        <w:rPr>
          <w:w w:val="105"/>
          <w:position w:val="5"/>
          <w:sz w:val="8"/>
        </w:rPr>
        <w:t>1212</w:t>
      </w:r>
      <w:r>
        <w:rPr>
          <w:spacing w:val="51"/>
          <w:w w:val="105"/>
          <w:position w:val="5"/>
          <w:sz w:val="8"/>
        </w:rPr>
        <w:t xml:space="preserve"> </w:t>
      </w:r>
      <w:r>
        <w:rPr>
          <w:w w:val="105"/>
          <w:sz w:val="10"/>
        </w:rPr>
        <w:t>Véase,</w:t>
      </w:r>
      <w:r>
        <w:rPr>
          <w:spacing w:val="3"/>
          <w:w w:val="105"/>
          <w:sz w:val="10"/>
        </w:rPr>
        <w:t xml:space="preserve"> </w:t>
      </w:r>
      <w:r>
        <w:rPr>
          <w:w w:val="105"/>
          <w:sz w:val="10"/>
        </w:rPr>
        <w:t>por</w:t>
      </w:r>
      <w:r>
        <w:rPr>
          <w:spacing w:val="1"/>
          <w:w w:val="105"/>
          <w:sz w:val="10"/>
        </w:rPr>
        <w:t xml:space="preserve"> </w:t>
      </w:r>
      <w:r>
        <w:rPr>
          <w:w w:val="105"/>
          <w:sz w:val="10"/>
        </w:rPr>
        <w:t>ejemplo,</w:t>
      </w:r>
      <w:r>
        <w:rPr>
          <w:spacing w:val="3"/>
          <w:w w:val="105"/>
          <w:sz w:val="10"/>
        </w:rPr>
        <w:t xml:space="preserve"> </w:t>
      </w:r>
      <w:r>
        <w:rPr>
          <w:w w:val="105"/>
          <w:sz w:val="10"/>
        </w:rPr>
        <w:t>el</w:t>
      </w:r>
      <w:r>
        <w:rPr>
          <w:spacing w:val="1"/>
          <w:w w:val="105"/>
          <w:sz w:val="10"/>
        </w:rPr>
        <w:t xml:space="preserve"> </w:t>
      </w:r>
      <w:r>
        <w:rPr>
          <w:w w:val="105"/>
          <w:sz w:val="10"/>
        </w:rPr>
        <w:t>análisis</w:t>
      </w:r>
      <w:r>
        <w:rPr>
          <w:spacing w:val="2"/>
          <w:w w:val="105"/>
          <w:sz w:val="10"/>
        </w:rPr>
        <w:t xml:space="preserve"> </w:t>
      </w:r>
      <w:r>
        <w:rPr>
          <w:w w:val="105"/>
          <w:sz w:val="10"/>
        </w:rPr>
        <w:t>de</w:t>
      </w:r>
      <w:r>
        <w:rPr>
          <w:spacing w:val="1"/>
          <w:w w:val="105"/>
          <w:sz w:val="10"/>
        </w:rPr>
        <w:t xml:space="preserve"> </w:t>
      </w:r>
      <w:r>
        <w:rPr>
          <w:w w:val="105"/>
          <w:sz w:val="10"/>
        </w:rPr>
        <w:t>las</w:t>
      </w:r>
      <w:r>
        <w:rPr>
          <w:spacing w:val="2"/>
          <w:w w:val="105"/>
          <w:sz w:val="10"/>
        </w:rPr>
        <w:t xml:space="preserve"> </w:t>
      </w:r>
      <w:r>
        <w:rPr>
          <w:w w:val="105"/>
          <w:sz w:val="10"/>
        </w:rPr>
        <w:t>soluciones</w:t>
      </w:r>
      <w:r>
        <w:rPr>
          <w:spacing w:val="1"/>
          <w:w w:val="105"/>
          <w:sz w:val="10"/>
        </w:rPr>
        <w:t xml:space="preserve"> </w:t>
      </w:r>
      <w:r>
        <w:rPr>
          <w:w w:val="105"/>
          <w:sz w:val="10"/>
        </w:rPr>
        <w:t>sociales</w:t>
      </w:r>
      <w:r>
        <w:rPr>
          <w:spacing w:val="2"/>
          <w:w w:val="105"/>
          <w:sz w:val="10"/>
        </w:rPr>
        <w:t xml:space="preserve"> </w:t>
      </w:r>
      <w:r>
        <w:rPr>
          <w:w w:val="105"/>
          <w:sz w:val="10"/>
        </w:rPr>
        <w:t>e</w:t>
      </w:r>
      <w:r>
        <w:rPr>
          <w:spacing w:val="1"/>
          <w:w w:val="105"/>
          <w:sz w:val="10"/>
        </w:rPr>
        <w:t xml:space="preserve"> </w:t>
      </w:r>
      <w:r>
        <w:rPr>
          <w:w w:val="105"/>
          <w:sz w:val="10"/>
        </w:rPr>
        <w:t>institucionales</w:t>
      </w:r>
      <w:r>
        <w:rPr>
          <w:spacing w:val="2"/>
          <w:w w:val="105"/>
          <w:sz w:val="10"/>
        </w:rPr>
        <w:t xml:space="preserve"> </w:t>
      </w:r>
      <w:r>
        <w:rPr>
          <w:w w:val="105"/>
          <w:sz w:val="10"/>
        </w:rPr>
        <w:t>en</w:t>
      </w:r>
      <w:r>
        <w:rPr>
          <w:spacing w:val="2"/>
          <w:w w:val="105"/>
          <w:sz w:val="10"/>
        </w:rPr>
        <w:t xml:space="preserve"> </w:t>
      </w:r>
      <w:r>
        <w:rPr>
          <w:w w:val="105"/>
          <w:sz w:val="10"/>
        </w:rPr>
        <w:t>la</w:t>
      </w:r>
      <w:r>
        <w:rPr>
          <w:spacing w:val="1"/>
          <w:w w:val="105"/>
          <w:sz w:val="10"/>
        </w:rPr>
        <w:t xml:space="preserve"> </w:t>
      </w:r>
      <w:r>
        <w:rPr>
          <w:w w:val="105"/>
          <w:sz w:val="10"/>
        </w:rPr>
        <w:t>sección</w:t>
      </w:r>
      <w:r>
        <w:rPr>
          <w:spacing w:val="3"/>
          <w:w w:val="105"/>
          <w:sz w:val="10"/>
        </w:rPr>
        <w:t xml:space="preserve"> </w:t>
      </w:r>
      <w:r>
        <w:rPr>
          <w:w w:val="105"/>
          <w:sz w:val="10"/>
        </w:rPr>
        <w:t>II.D</w:t>
      </w:r>
      <w:r>
        <w:rPr>
          <w:spacing w:val="1"/>
          <w:w w:val="105"/>
          <w:sz w:val="10"/>
        </w:rPr>
        <w:t xml:space="preserve"> </w:t>
      </w:r>
      <w:r>
        <w:rPr>
          <w:w w:val="105"/>
          <w:sz w:val="10"/>
        </w:rPr>
        <w:t>de</w:t>
      </w:r>
      <w:r>
        <w:rPr>
          <w:spacing w:val="2"/>
          <w:w w:val="105"/>
          <w:sz w:val="10"/>
        </w:rPr>
        <w:t xml:space="preserve"> </w:t>
      </w:r>
      <w:r>
        <w:rPr>
          <w:w w:val="105"/>
          <w:sz w:val="10"/>
        </w:rPr>
        <w:t>la</w:t>
      </w:r>
      <w:r>
        <w:rPr>
          <w:spacing w:val="1"/>
          <w:w w:val="105"/>
          <w:sz w:val="10"/>
        </w:rPr>
        <w:t xml:space="preserve"> </w:t>
      </w:r>
      <w:r>
        <w:rPr>
          <w:w w:val="105"/>
          <w:sz w:val="10"/>
        </w:rPr>
        <w:t>segunda</w:t>
      </w:r>
      <w:r>
        <w:rPr>
          <w:spacing w:val="3"/>
          <w:w w:val="105"/>
          <w:sz w:val="10"/>
        </w:rPr>
        <w:t xml:space="preserve"> </w:t>
      </w:r>
      <w:r>
        <w:rPr>
          <w:w w:val="105"/>
          <w:sz w:val="10"/>
        </w:rPr>
        <w:t>parte</w:t>
      </w:r>
      <w:r>
        <w:rPr>
          <w:spacing w:val="1"/>
          <w:w w:val="105"/>
          <w:sz w:val="10"/>
        </w:rPr>
        <w:t xml:space="preserve"> </w:t>
      </w:r>
      <w:r>
        <w:rPr>
          <w:w w:val="105"/>
          <w:sz w:val="10"/>
        </w:rPr>
        <w:t>de</w:t>
      </w:r>
      <w:r>
        <w:rPr>
          <w:spacing w:val="2"/>
          <w:w w:val="105"/>
          <w:sz w:val="10"/>
        </w:rPr>
        <w:t xml:space="preserve"> </w:t>
      </w:r>
      <w:r>
        <w:rPr>
          <w:w w:val="105"/>
          <w:sz w:val="10"/>
        </w:rPr>
        <w:t>la</w:t>
      </w:r>
      <w:r>
        <w:rPr>
          <w:spacing w:val="1"/>
          <w:w w:val="105"/>
          <w:sz w:val="10"/>
        </w:rPr>
        <w:t xml:space="preserve"> </w:t>
      </w:r>
      <w:r>
        <w:rPr>
          <w:w w:val="105"/>
          <w:sz w:val="10"/>
        </w:rPr>
        <w:t>presente</w:t>
      </w:r>
      <w:r>
        <w:rPr>
          <w:spacing w:val="2"/>
          <w:w w:val="105"/>
          <w:sz w:val="10"/>
        </w:rPr>
        <w:t xml:space="preserve"> </w:t>
      </w:r>
      <w:r>
        <w:rPr>
          <w:w w:val="105"/>
          <w:sz w:val="10"/>
        </w:rPr>
        <w:t>guía</w:t>
      </w:r>
      <w:r>
        <w:rPr>
          <w:spacing w:val="1"/>
          <w:w w:val="105"/>
          <w:sz w:val="10"/>
        </w:rPr>
        <w:t xml:space="preserve"> </w:t>
      </w:r>
      <w:r>
        <w:rPr>
          <w:w w:val="105"/>
          <w:sz w:val="10"/>
        </w:rPr>
        <w:t>y</w:t>
      </w:r>
      <w:r>
        <w:rPr>
          <w:spacing w:val="3"/>
          <w:w w:val="105"/>
          <w:sz w:val="10"/>
        </w:rPr>
        <w:t xml:space="preserve"> </w:t>
      </w:r>
      <w:r>
        <w:rPr>
          <w:w w:val="105"/>
          <w:sz w:val="10"/>
        </w:rPr>
        <w:t>el</w:t>
      </w:r>
      <w:r>
        <w:rPr>
          <w:spacing w:val="2"/>
          <w:w w:val="105"/>
          <w:sz w:val="10"/>
        </w:rPr>
        <w:t xml:space="preserve"> </w:t>
      </w:r>
      <w:r>
        <w:rPr>
          <w:w w:val="105"/>
          <w:sz w:val="10"/>
        </w:rPr>
        <w:t>análisis</w:t>
      </w:r>
      <w:r>
        <w:rPr>
          <w:spacing w:val="1"/>
          <w:w w:val="105"/>
          <w:sz w:val="10"/>
        </w:rPr>
        <w:t xml:space="preserve"> </w:t>
      </w:r>
      <w:r>
        <w:rPr>
          <w:w w:val="105"/>
          <w:sz w:val="10"/>
        </w:rPr>
        <w:t>en</w:t>
      </w:r>
      <w:r>
        <w:rPr>
          <w:spacing w:val="2"/>
          <w:w w:val="105"/>
          <w:sz w:val="10"/>
        </w:rPr>
        <w:t xml:space="preserve"> </w:t>
      </w:r>
      <w:r>
        <w:rPr>
          <w:w w:val="105"/>
          <w:sz w:val="10"/>
        </w:rPr>
        <w:t>el</w:t>
      </w:r>
      <w:r>
        <w:rPr>
          <w:spacing w:val="1"/>
          <w:w w:val="105"/>
          <w:sz w:val="10"/>
        </w:rPr>
        <w:t xml:space="preserve"> </w:t>
      </w:r>
      <w:r>
        <w:rPr>
          <w:w w:val="105"/>
          <w:sz w:val="10"/>
        </w:rPr>
        <w:t>capítulo</w:t>
      </w:r>
      <w:r>
        <w:rPr>
          <w:spacing w:val="2"/>
          <w:w w:val="105"/>
          <w:sz w:val="10"/>
        </w:rPr>
        <w:t xml:space="preserve"> </w:t>
      </w:r>
      <w:r>
        <w:rPr>
          <w:w w:val="105"/>
          <w:sz w:val="10"/>
        </w:rPr>
        <w:t>V</w:t>
      </w:r>
      <w:r>
        <w:rPr>
          <w:spacing w:val="1"/>
          <w:w w:val="105"/>
          <w:sz w:val="10"/>
        </w:rPr>
        <w:t xml:space="preserve"> </w:t>
      </w:r>
      <w:r>
        <w:rPr>
          <w:w w:val="105"/>
          <w:sz w:val="10"/>
        </w:rPr>
        <w:t>de</w:t>
      </w:r>
      <w:r>
        <w:rPr>
          <w:spacing w:val="2"/>
          <w:w w:val="105"/>
          <w:sz w:val="10"/>
        </w:rPr>
        <w:t xml:space="preserve"> </w:t>
      </w:r>
      <w:r>
        <w:rPr>
          <w:w w:val="105"/>
          <w:sz w:val="10"/>
        </w:rPr>
        <w:t>la</w:t>
      </w:r>
      <w:r>
        <w:rPr>
          <w:spacing w:val="1"/>
          <w:w w:val="105"/>
          <w:sz w:val="10"/>
        </w:rPr>
        <w:t xml:space="preserve"> </w:t>
      </w:r>
      <w:r>
        <w:rPr>
          <w:spacing w:val="-2"/>
          <w:w w:val="105"/>
          <w:sz w:val="10"/>
        </w:rPr>
        <w:t>segunda</w:t>
      </w:r>
    </w:p>
    <w:p w14:paraId="55797937" w14:textId="77777777" w:rsidR="0014798C" w:rsidRDefault="004E1F0B">
      <w:pPr>
        <w:spacing w:before="65" w:line="364" w:lineRule="auto"/>
        <w:ind w:left="1371" w:right="1626" w:hanging="5"/>
        <w:rPr>
          <w:sz w:val="10"/>
        </w:rPr>
      </w:pPr>
      <w:r>
        <w:rPr>
          <w:w w:val="105"/>
          <w:sz w:val="10"/>
        </w:rPr>
        <w:t>parte</w:t>
      </w:r>
      <w:r>
        <w:rPr>
          <w:spacing w:val="5"/>
          <w:w w:val="105"/>
          <w:sz w:val="10"/>
        </w:rPr>
        <w:t xml:space="preserve"> </w:t>
      </w:r>
      <w:r>
        <w:rPr>
          <w:w w:val="105"/>
          <w:sz w:val="10"/>
        </w:rPr>
        <w:t>y</w:t>
      </w:r>
      <w:r>
        <w:rPr>
          <w:spacing w:val="6"/>
          <w:w w:val="105"/>
          <w:sz w:val="10"/>
        </w:rPr>
        <w:t xml:space="preserve"> </w:t>
      </w:r>
      <w:r>
        <w:rPr>
          <w:w w:val="105"/>
          <w:sz w:val="10"/>
        </w:rPr>
        <w:t>los</w:t>
      </w:r>
      <w:r>
        <w:rPr>
          <w:spacing w:val="5"/>
          <w:w w:val="105"/>
          <w:sz w:val="10"/>
        </w:rPr>
        <w:t xml:space="preserve"> </w:t>
      </w:r>
      <w:r>
        <w:rPr>
          <w:w w:val="105"/>
          <w:sz w:val="10"/>
        </w:rPr>
        <w:t>capítulos</w:t>
      </w:r>
      <w:r>
        <w:rPr>
          <w:spacing w:val="5"/>
          <w:w w:val="105"/>
          <w:sz w:val="10"/>
        </w:rPr>
        <w:t xml:space="preserve"> </w:t>
      </w:r>
      <w:r>
        <w:rPr>
          <w:w w:val="105"/>
          <w:sz w:val="10"/>
        </w:rPr>
        <w:t>I</w:t>
      </w:r>
      <w:r>
        <w:rPr>
          <w:spacing w:val="5"/>
          <w:w w:val="105"/>
          <w:sz w:val="10"/>
        </w:rPr>
        <w:t xml:space="preserve"> </w:t>
      </w:r>
      <w:r>
        <w:rPr>
          <w:w w:val="105"/>
          <w:sz w:val="10"/>
        </w:rPr>
        <w:t>y</w:t>
      </w:r>
      <w:r>
        <w:rPr>
          <w:spacing w:val="6"/>
          <w:w w:val="105"/>
          <w:sz w:val="10"/>
        </w:rPr>
        <w:t xml:space="preserve"> </w:t>
      </w:r>
      <w:r>
        <w:rPr>
          <w:w w:val="105"/>
          <w:sz w:val="10"/>
        </w:rPr>
        <w:t>II</w:t>
      </w:r>
      <w:r>
        <w:rPr>
          <w:spacing w:val="5"/>
          <w:w w:val="105"/>
          <w:sz w:val="10"/>
        </w:rPr>
        <w:t xml:space="preserve"> </w:t>
      </w:r>
      <w:r>
        <w:rPr>
          <w:w w:val="105"/>
          <w:sz w:val="10"/>
        </w:rPr>
        <w:t>de</w:t>
      </w:r>
      <w:r>
        <w:rPr>
          <w:spacing w:val="5"/>
          <w:w w:val="105"/>
          <w:sz w:val="10"/>
        </w:rPr>
        <w:t xml:space="preserve"> </w:t>
      </w:r>
      <w:r>
        <w:rPr>
          <w:w w:val="105"/>
          <w:sz w:val="10"/>
        </w:rPr>
        <w:t>la</w:t>
      </w:r>
      <w:r>
        <w:rPr>
          <w:spacing w:val="5"/>
          <w:w w:val="105"/>
          <w:sz w:val="10"/>
        </w:rPr>
        <w:t xml:space="preserve"> </w:t>
      </w:r>
      <w:r>
        <w:rPr>
          <w:w w:val="105"/>
          <w:sz w:val="10"/>
        </w:rPr>
        <w:t>sexta</w:t>
      </w:r>
      <w:r>
        <w:rPr>
          <w:spacing w:val="5"/>
          <w:w w:val="105"/>
          <w:sz w:val="10"/>
        </w:rPr>
        <w:t xml:space="preserve"> </w:t>
      </w:r>
      <w:r>
        <w:rPr>
          <w:w w:val="105"/>
          <w:sz w:val="10"/>
        </w:rPr>
        <w:t>parte</w:t>
      </w:r>
      <w:r>
        <w:rPr>
          <w:spacing w:val="5"/>
          <w:w w:val="105"/>
          <w:sz w:val="10"/>
        </w:rPr>
        <w:t xml:space="preserve"> </w:t>
      </w:r>
      <w:r>
        <w:rPr>
          <w:w w:val="105"/>
          <w:sz w:val="10"/>
        </w:rPr>
        <w:t>de</w:t>
      </w:r>
      <w:r>
        <w:rPr>
          <w:spacing w:val="5"/>
          <w:w w:val="105"/>
          <w:sz w:val="10"/>
        </w:rPr>
        <w:t xml:space="preserve"> </w:t>
      </w:r>
      <w:r>
        <w:rPr>
          <w:w w:val="105"/>
          <w:sz w:val="10"/>
        </w:rPr>
        <w:t>las</w:t>
      </w:r>
      <w:r>
        <w:rPr>
          <w:spacing w:val="5"/>
          <w:w w:val="105"/>
          <w:sz w:val="10"/>
        </w:rPr>
        <w:t xml:space="preserve"> </w:t>
      </w:r>
      <w:r>
        <w:rPr>
          <w:w w:val="105"/>
          <w:sz w:val="10"/>
        </w:rPr>
        <w:t>obligaciones</w:t>
      </w:r>
      <w:r>
        <w:rPr>
          <w:spacing w:val="5"/>
          <w:w w:val="105"/>
          <w:sz w:val="10"/>
        </w:rPr>
        <w:t xml:space="preserve"> </w:t>
      </w:r>
      <w:r>
        <w:rPr>
          <w:w w:val="105"/>
          <w:sz w:val="10"/>
        </w:rPr>
        <w:t>proactivas</w:t>
      </w:r>
      <w:r>
        <w:rPr>
          <w:spacing w:val="5"/>
          <w:w w:val="105"/>
          <w:sz w:val="10"/>
        </w:rPr>
        <w:t xml:space="preserve"> </w:t>
      </w:r>
      <w:r>
        <w:rPr>
          <w:w w:val="105"/>
          <w:sz w:val="10"/>
        </w:rPr>
        <w:t>de</w:t>
      </w:r>
      <w:r>
        <w:rPr>
          <w:spacing w:val="5"/>
          <w:w w:val="105"/>
          <w:sz w:val="10"/>
        </w:rPr>
        <w:t xml:space="preserve"> </w:t>
      </w:r>
      <w:r>
        <w:rPr>
          <w:w w:val="105"/>
          <w:sz w:val="10"/>
        </w:rPr>
        <w:t>los</w:t>
      </w:r>
      <w:r>
        <w:rPr>
          <w:spacing w:val="5"/>
          <w:w w:val="105"/>
          <w:sz w:val="10"/>
        </w:rPr>
        <w:t xml:space="preserve"> </w:t>
      </w:r>
      <w:r>
        <w:rPr>
          <w:w w:val="105"/>
          <w:sz w:val="10"/>
        </w:rPr>
        <w:t>Estados</w:t>
      </w:r>
      <w:r>
        <w:rPr>
          <w:spacing w:val="5"/>
          <w:w w:val="105"/>
          <w:sz w:val="10"/>
        </w:rPr>
        <w:t xml:space="preserve"> </w:t>
      </w:r>
      <w:r>
        <w:rPr>
          <w:w w:val="105"/>
          <w:sz w:val="10"/>
        </w:rPr>
        <w:t>que</w:t>
      </w:r>
      <w:r>
        <w:rPr>
          <w:spacing w:val="5"/>
          <w:w w:val="105"/>
          <w:sz w:val="10"/>
        </w:rPr>
        <w:t xml:space="preserve"> </w:t>
      </w:r>
      <w:r>
        <w:rPr>
          <w:w w:val="105"/>
          <w:sz w:val="10"/>
        </w:rPr>
        <w:t>surgen</w:t>
      </w:r>
      <w:r>
        <w:rPr>
          <w:spacing w:val="6"/>
          <w:w w:val="105"/>
          <w:sz w:val="10"/>
        </w:rPr>
        <w:t xml:space="preserve"> </w:t>
      </w:r>
      <w:r>
        <w:rPr>
          <w:w w:val="105"/>
          <w:sz w:val="10"/>
        </w:rPr>
        <w:t>de</w:t>
      </w:r>
      <w:r>
        <w:rPr>
          <w:spacing w:val="5"/>
          <w:w w:val="105"/>
          <w:sz w:val="10"/>
        </w:rPr>
        <w:t xml:space="preserve"> </w:t>
      </w:r>
      <w:r>
        <w:rPr>
          <w:w w:val="105"/>
          <w:sz w:val="10"/>
        </w:rPr>
        <w:t>disposiciones</w:t>
      </w:r>
      <w:r>
        <w:rPr>
          <w:spacing w:val="5"/>
          <w:w w:val="105"/>
          <w:sz w:val="10"/>
        </w:rPr>
        <w:t xml:space="preserve"> </w:t>
      </w:r>
      <w:r>
        <w:rPr>
          <w:w w:val="105"/>
          <w:sz w:val="10"/>
        </w:rPr>
        <w:t>como</w:t>
      </w:r>
      <w:r>
        <w:rPr>
          <w:spacing w:val="6"/>
          <w:w w:val="105"/>
          <w:sz w:val="10"/>
        </w:rPr>
        <w:t xml:space="preserve"> </w:t>
      </w:r>
      <w:r>
        <w:rPr>
          <w:w w:val="105"/>
          <w:sz w:val="10"/>
        </w:rPr>
        <w:t>la</w:t>
      </w:r>
      <w:r>
        <w:rPr>
          <w:spacing w:val="5"/>
          <w:w w:val="105"/>
          <w:sz w:val="10"/>
        </w:rPr>
        <w:t xml:space="preserve"> </w:t>
      </w:r>
      <w:r>
        <w:rPr>
          <w:w w:val="105"/>
          <w:sz w:val="10"/>
        </w:rPr>
        <w:t>Convención</w:t>
      </w:r>
      <w:r>
        <w:rPr>
          <w:spacing w:val="6"/>
          <w:w w:val="105"/>
          <w:sz w:val="10"/>
        </w:rPr>
        <w:t xml:space="preserve"> </w:t>
      </w:r>
      <w:r>
        <w:rPr>
          <w:w w:val="105"/>
          <w:sz w:val="10"/>
        </w:rPr>
        <w:t>Internacional</w:t>
      </w:r>
      <w:r>
        <w:rPr>
          <w:spacing w:val="5"/>
          <w:w w:val="105"/>
          <w:sz w:val="10"/>
        </w:rPr>
        <w:t xml:space="preserve"> </w:t>
      </w:r>
      <w:r>
        <w:rPr>
          <w:w w:val="105"/>
          <w:sz w:val="10"/>
        </w:rPr>
        <w:t>sobre</w:t>
      </w:r>
      <w:r>
        <w:rPr>
          <w:spacing w:val="6"/>
          <w:w w:val="105"/>
          <w:sz w:val="10"/>
        </w:rPr>
        <w:t xml:space="preserve"> </w:t>
      </w:r>
      <w:r>
        <w:rPr>
          <w:w w:val="105"/>
          <w:sz w:val="10"/>
        </w:rPr>
        <w:t>la</w:t>
      </w:r>
      <w:r>
        <w:rPr>
          <w:spacing w:val="5"/>
          <w:w w:val="105"/>
          <w:sz w:val="10"/>
        </w:rPr>
        <w:t xml:space="preserve"> </w:t>
      </w:r>
      <w:r>
        <w:rPr>
          <w:w w:val="105"/>
          <w:sz w:val="10"/>
        </w:rPr>
        <w:t>Eliminación</w:t>
      </w:r>
      <w:r>
        <w:rPr>
          <w:spacing w:val="5"/>
          <w:w w:val="105"/>
          <w:sz w:val="10"/>
        </w:rPr>
        <w:t xml:space="preserve"> </w:t>
      </w:r>
      <w:r>
        <w:rPr>
          <w:w w:val="105"/>
          <w:sz w:val="10"/>
        </w:rPr>
        <w:t>de</w:t>
      </w:r>
      <w:r>
        <w:rPr>
          <w:spacing w:val="5"/>
          <w:w w:val="105"/>
          <w:sz w:val="10"/>
        </w:rPr>
        <w:t xml:space="preserve"> </w:t>
      </w:r>
      <w:r>
        <w:rPr>
          <w:w w:val="105"/>
          <w:sz w:val="10"/>
        </w:rPr>
        <w:t>todas</w:t>
      </w:r>
      <w:r>
        <w:rPr>
          <w:spacing w:val="40"/>
          <w:w w:val="105"/>
          <w:sz w:val="10"/>
        </w:rPr>
        <w:t xml:space="preserve"> </w:t>
      </w:r>
      <w:r>
        <w:rPr>
          <w:w w:val="105"/>
          <w:sz w:val="10"/>
        </w:rPr>
        <w:t xml:space="preserve">las Formas de Discriminación Racial, art. </w:t>
      </w:r>
      <w:r>
        <w:rPr>
          <w:w w:val="95"/>
          <w:sz w:val="10"/>
        </w:rPr>
        <w:t xml:space="preserve">7; </w:t>
      </w:r>
      <w:r>
        <w:rPr>
          <w:w w:val="105"/>
          <w:sz w:val="10"/>
        </w:rPr>
        <w:t xml:space="preserve">Convención sobre la eliminación de todas las formas de discriminación contra la mujer, art. </w:t>
      </w:r>
      <w:r>
        <w:rPr>
          <w:w w:val="95"/>
          <w:sz w:val="10"/>
        </w:rPr>
        <w:t xml:space="preserve">5; </w:t>
      </w:r>
      <w:r>
        <w:rPr>
          <w:w w:val="105"/>
          <w:sz w:val="10"/>
        </w:rPr>
        <w:t>y Convención sobre los</w:t>
      </w:r>
    </w:p>
    <w:p w14:paraId="302C0ADF" w14:textId="77777777" w:rsidR="0014798C" w:rsidRDefault="004E1F0B">
      <w:pPr>
        <w:spacing w:before="10"/>
        <w:ind w:left="1367"/>
        <w:rPr>
          <w:sz w:val="10"/>
        </w:rPr>
      </w:pPr>
      <w:r>
        <w:rPr>
          <w:w w:val="105"/>
          <w:sz w:val="10"/>
        </w:rPr>
        <w:t>Derechos</w:t>
      </w:r>
      <w:r>
        <w:rPr>
          <w:spacing w:val="2"/>
          <w:w w:val="105"/>
          <w:sz w:val="10"/>
        </w:rPr>
        <w:t xml:space="preserve"> </w:t>
      </w:r>
      <w:r>
        <w:rPr>
          <w:w w:val="105"/>
          <w:sz w:val="10"/>
        </w:rPr>
        <w:t>de</w:t>
      </w:r>
      <w:r>
        <w:rPr>
          <w:spacing w:val="3"/>
          <w:w w:val="105"/>
          <w:sz w:val="10"/>
        </w:rPr>
        <w:t xml:space="preserve"> </w:t>
      </w:r>
      <w:r>
        <w:rPr>
          <w:w w:val="105"/>
          <w:sz w:val="10"/>
        </w:rPr>
        <w:t>las</w:t>
      </w:r>
      <w:r>
        <w:rPr>
          <w:spacing w:val="3"/>
          <w:w w:val="105"/>
          <w:sz w:val="10"/>
        </w:rPr>
        <w:t xml:space="preserve"> </w:t>
      </w:r>
      <w:r>
        <w:rPr>
          <w:w w:val="105"/>
          <w:sz w:val="10"/>
        </w:rPr>
        <w:t>Personas</w:t>
      </w:r>
      <w:r>
        <w:rPr>
          <w:spacing w:val="3"/>
          <w:w w:val="105"/>
          <w:sz w:val="10"/>
        </w:rPr>
        <w:t xml:space="preserve"> </w:t>
      </w:r>
      <w:r>
        <w:rPr>
          <w:w w:val="105"/>
          <w:sz w:val="10"/>
        </w:rPr>
        <w:t>con</w:t>
      </w:r>
      <w:r>
        <w:rPr>
          <w:spacing w:val="3"/>
          <w:w w:val="105"/>
          <w:sz w:val="10"/>
        </w:rPr>
        <w:t xml:space="preserve"> </w:t>
      </w:r>
      <w:r>
        <w:rPr>
          <w:w w:val="105"/>
          <w:sz w:val="10"/>
        </w:rPr>
        <w:t>Discapacidad,</w:t>
      </w:r>
      <w:r>
        <w:rPr>
          <w:spacing w:val="4"/>
          <w:w w:val="105"/>
          <w:sz w:val="10"/>
        </w:rPr>
        <w:t xml:space="preserve"> </w:t>
      </w:r>
      <w:r>
        <w:rPr>
          <w:w w:val="105"/>
          <w:sz w:val="10"/>
        </w:rPr>
        <w:t>art.</w:t>
      </w:r>
      <w:r>
        <w:rPr>
          <w:spacing w:val="4"/>
          <w:w w:val="105"/>
          <w:sz w:val="10"/>
        </w:rPr>
        <w:t xml:space="preserve"> </w:t>
      </w:r>
      <w:r>
        <w:rPr>
          <w:spacing w:val="-5"/>
          <w:w w:val="105"/>
          <w:sz w:val="10"/>
        </w:rPr>
        <w:t>24.</w:t>
      </w:r>
    </w:p>
    <w:p w14:paraId="24A9E953" w14:textId="77777777" w:rsidR="0014798C" w:rsidRDefault="0014798C">
      <w:pPr>
        <w:pStyle w:val="Textoindependiente"/>
        <w:spacing w:before="6"/>
        <w:rPr>
          <w:sz w:val="10"/>
        </w:rPr>
      </w:pPr>
    </w:p>
    <w:p w14:paraId="2568E69A" w14:textId="77777777" w:rsidR="0014798C" w:rsidRDefault="004E1F0B">
      <w:pPr>
        <w:spacing w:before="1" w:line="374" w:lineRule="auto"/>
        <w:ind w:left="1368" w:right="1272" w:hanging="258"/>
        <w:rPr>
          <w:sz w:val="10"/>
        </w:rPr>
      </w:pPr>
      <w:r>
        <w:rPr>
          <w:w w:val="105"/>
          <w:sz w:val="10"/>
        </w:rPr>
        <w:t xml:space="preserve">1213 Una lista no exhaustiva de informes de procedimientos especiales relevantes para las nuevas tecnologías está disponible en </w:t>
      </w:r>
      <w:hyperlink r:id="rId345">
        <w:r>
          <w:rPr>
            <w:color w:val="0075BF"/>
            <w:w w:val="105"/>
            <w:sz w:val="10"/>
          </w:rPr>
          <w:t>www.ohchr.org/Documents/HRBodies/SP/</w:t>
        </w:r>
      </w:hyperlink>
      <w:r>
        <w:rPr>
          <w:color w:val="0075BF"/>
          <w:spacing w:val="40"/>
          <w:w w:val="105"/>
          <w:sz w:val="10"/>
        </w:rPr>
        <w:t xml:space="preserve"> </w:t>
      </w:r>
      <w:r>
        <w:rPr>
          <w:color w:val="0075BF"/>
          <w:spacing w:val="-2"/>
          <w:w w:val="105"/>
          <w:sz w:val="10"/>
        </w:rPr>
        <w:t>Lista_SP_Reports_NewTech.pdf.</w:t>
      </w:r>
    </w:p>
    <w:p w14:paraId="4463666E" w14:textId="77777777" w:rsidR="0014798C" w:rsidRDefault="004E1F0B">
      <w:pPr>
        <w:spacing w:before="26"/>
        <w:ind w:left="1111"/>
        <w:rPr>
          <w:sz w:val="10"/>
        </w:rPr>
      </w:pPr>
      <w:r>
        <w:rPr>
          <w:w w:val="105"/>
          <w:position w:val="5"/>
          <w:sz w:val="8"/>
        </w:rPr>
        <w:t>1214</w:t>
      </w:r>
      <w:r>
        <w:rPr>
          <w:spacing w:val="43"/>
          <w:w w:val="105"/>
          <w:position w:val="5"/>
          <w:sz w:val="8"/>
        </w:rPr>
        <w:t xml:space="preserve"> </w:t>
      </w:r>
      <w:r>
        <w:rPr>
          <w:w w:val="105"/>
          <w:sz w:val="10"/>
        </w:rPr>
        <w:t>A/HRC/46/57,</w:t>
      </w:r>
      <w:r>
        <w:rPr>
          <w:spacing w:val="1"/>
          <w:w w:val="105"/>
          <w:sz w:val="10"/>
        </w:rPr>
        <w:t xml:space="preserve"> </w:t>
      </w:r>
      <w:proofErr w:type="spellStart"/>
      <w:r>
        <w:rPr>
          <w:w w:val="105"/>
          <w:sz w:val="10"/>
        </w:rPr>
        <w:t>párrs</w:t>
      </w:r>
      <w:proofErr w:type="spellEnd"/>
      <w:r>
        <w:rPr>
          <w:w w:val="105"/>
          <w:sz w:val="10"/>
        </w:rPr>
        <w:t>.</w:t>
      </w:r>
      <w:r>
        <w:rPr>
          <w:spacing w:val="1"/>
          <w:w w:val="105"/>
          <w:sz w:val="10"/>
        </w:rPr>
        <w:t xml:space="preserve"> </w:t>
      </w:r>
      <w:r>
        <w:rPr>
          <w:spacing w:val="-2"/>
          <w:w w:val="105"/>
          <w:sz w:val="10"/>
        </w:rPr>
        <w:t>68–69.</w:t>
      </w:r>
    </w:p>
    <w:p w14:paraId="345D648D" w14:textId="77777777" w:rsidR="0014798C" w:rsidRDefault="0014798C">
      <w:pPr>
        <w:pStyle w:val="Textoindependiente"/>
        <w:spacing w:before="23"/>
        <w:rPr>
          <w:sz w:val="11"/>
        </w:rPr>
      </w:pPr>
    </w:p>
    <w:p w14:paraId="7DE73FD9" w14:textId="77777777" w:rsidR="0014798C" w:rsidRDefault="004E1F0B">
      <w:pPr>
        <w:ind w:left="1111"/>
        <w:rPr>
          <w:sz w:val="11"/>
        </w:rPr>
      </w:pPr>
      <w:r>
        <w:rPr>
          <w:w w:val="105"/>
          <w:sz w:val="11"/>
        </w:rPr>
        <w:t>1215</w:t>
      </w:r>
      <w:r>
        <w:rPr>
          <w:spacing w:val="-7"/>
          <w:w w:val="105"/>
          <w:sz w:val="11"/>
        </w:rPr>
        <w:t xml:space="preserve"> </w:t>
      </w:r>
      <w:proofErr w:type="spellStart"/>
      <w:r>
        <w:rPr>
          <w:w w:val="105"/>
          <w:sz w:val="11"/>
        </w:rPr>
        <w:t>Ibíd</w:t>
      </w:r>
      <w:proofErr w:type="spellEnd"/>
      <w:r>
        <w:rPr>
          <w:w w:val="105"/>
          <w:sz w:val="11"/>
        </w:rPr>
        <w:t>.,</w:t>
      </w:r>
      <w:r>
        <w:rPr>
          <w:spacing w:val="-7"/>
          <w:w w:val="105"/>
          <w:sz w:val="11"/>
        </w:rPr>
        <w:t xml:space="preserve"> </w:t>
      </w:r>
      <w:r>
        <w:rPr>
          <w:w w:val="105"/>
          <w:sz w:val="11"/>
        </w:rPr>
        <w:t>párr.</w:t>
      </w:r>
      <w:r>
        <w:rPr>
          <w:spacing w:val="-7"/>
          <w:w w:val="105"/>
          <w:sz w:val="11"/>
        </w:rPr>
        <w:t xml:space="preserve"> </w:t>
      </w:r>
      <w:r>
        <w:rPr>
          <w:spacing w:val="-5"/>
          <w:w w:val="105"/>
          <w:sz w:val="11"/>
        </w:rPr>
        <w:t>68.</w:t>
      </w:r>
    </w:p>
    <w:p w14:paraId="2B8964BD" w14:textId="77777777" w:rsidR="0014798C" w:rsidRDefault="004E1F0B">
      <w:pPr>
        <w:spacing w:before="110"/>
        <w:ind w:left="1111"/>
        <w:rPr>
          <w:sz w:val="11"/>
        </w:rPr>
      </w:pPr>
      <w:r>
        <w:rPr>
          <w:w w:val="105"/>
          <w:sz w:val="11"/>
        </w:rPr>
        <w:t>1216</w:t>
      </w:r>
      <w:r>
        <w:rPr>
          <w:spacing w:val="-7"/>
          <w:w w:val="105"/>
          <w:sz w:val="11"/>
        </w:rPr>
        <w:t xml:space="preserve"> </w:t>
      </w:r>
      <w:proofErr w:type="spellStart"/>
      <w:r>
        <w:rPr>
          <w:w w:val="105"/>
          <w:sz w:val="11"/>
        </w:rPr>
        <w:t>Ibíd</w:t>
      </w:r>
      <w:proofErr w:type="spellEnd"/>
      <w:r>
        <w:rPr>
          <w:w w:val="105"/>
          <w:sz w:val="11"/>
        </w:rPr>
        <w:t>.,</w:t>
      </w:r>
      <w:r>
        <w:rPr>
          <w:spacing w:val="-7"/>
          <w:w w:val="105"/>
          <w:sz w:val="11"/>
        </w:rPr>
        <w:t xml:space="preserve"> </w:t>
      </w:r>
      <w:r>
        <w:rPr>
          <w:w w:val="105"/>
          <w:sz w:val="11"/>
        </w:rPr>
        <w:t>párr.</w:t>
      </w:r>
      <w:r>
        <w:rPr>
          <w:spacing w:val="-7"/>
          <w:w w:val="105"/>
          <w:sz w:val="11"/>
        </w:rPr>
        <w:t xml:space="preserve"> </w:t>
      </w:r>
      <w:r>
        <w:rPr>
          <w:spacing w:val="-5"/>
          <w:w w:val="105"/>
          <w:sz w:val="11"/>
        </w:rPr>
        <w:t>69.</w:t>
      </w:r>
    </w:p>
    <w:p w14:paraId="50EA78B5" w14:textId="77777777" w:rsidR="0014798C" w:rsidRDefault="004E1F0B">
      <w:pPr>
        <w:spacing w:before="110" w:line="388" w:lineRule="auto"/>
        <w:ind w:left="1111" w:right="9585"/>
        <w:rPr>
          <w:sz w:val="11"/>
        </w:rPr>
      </w:pPr>
      <w:r>
        <w:rPr>
          <w:w w:val="105"/>
          <w:sz w:val="11"/>
        </w:rPr>
        <w:t>1217</w:t>
      </w:r>
      <w:r>
        <w:rPr>
          <w:spacing w:val="-9"/>
          <w:w w:val="105"/>
          <w:sz w:val="11"/>
        </w:rPr>
        <w:t xml:space="preserve"> </w:t>
      </w:r>
      <w:proofErr w:type="spellStart"/>
      <w:r>
        <w:rPr>
          <w:w w:val="105"/>
          <w:sz w:val="11"/>
        </w:rPr>
        <w:t>Ibíd</w:t>
      </w:r>
      <w:proofErr w:type="spellEnd"/>
      <w:r>
        <w:rPr>
          <w:w w:val="105"/>
          <w:sz w:val="11"/>
        </w:rPr>
        <w:t>.,</w:t>
      </w:r>
      <w:r>
        <w:rPr>
          <w:spacing w:val="-8"/>
          <w:w w:val="105"/>
          <w:sz w:val="11"/>
        </w:rPr>
        <w:t xml:space="preserve"> </w:t>
      </w:r>
      <w:r>
        <w:rPr>
          <w:w w:val="105"/>
          <w:sz w:val="11"/>
        </w:rPr>
        <w:t>párr.</w:t>
      </w:r>
      <w:r>
        <w:rPr>
          <w:spacing w:val="-8"/>
          <w:w w:val="105"/>
          <w:sz w:val="11"/>
        </w:rPr>
        <w:t xml:space="preserve"> </w:t>
      </w:r>
      <w:r>
        <w:rPr>
          <w:w w:val="105"/>
          <w:sz w:val="11"/>
        </w:rPr>
        <w:t>70.</w:t>
      </w:r>
      <w:r>
        <w:rPr>
          <w:spacing w:val="40"/>
          <w:w w:val="105"/>
          <w:sz w:val="11"/>
        </w:rPr>
        <w:t xml:space="preserve"> </w:t>
      </w:r>
      <w:r>
        <w:rPr>
          <w:w w:val="105"/>
          <w:sz w:val="11"/>
        </w:rPr>
        <w:t>1218A</w:t>
      </w:r>
      <w:r>
        <w:rPr>
          <w:spacing w:val="-8"/>
          <w:w w:val="105"/>
          <w:sz w:val="11"/>
        </w:rPr>
        <w:t xml:space="preserve"> </w:t>
      </w:r>
      <w:r>
        <w:rPr>
          <w:spacing w:val="-2"/>
          <w:w w:val="105"/>
          <w:sz w:val="11"/>
        </w:rPr>
        <w:t>/HRC/41/55.</w:t>
      </w:r>
    </w:p>
    <w:p w14:paraId="4E258D9F" w14:textId="77777777" w:rsidR="0014798C" w:rsidRDefault="004E1F0B">
      <w:pPr>
        <w:spacing w:before="14"/>
        <w:ind w:left="1111"/>
        <w:rPr>
          <w:sz w:val="10"/>
        </w:rPr>
      </w:pPr>
      <w:r>
        <w:rPr>
          <w:w w:val="105"/>
          <w:position w:val="4"/>
          <w:sz w:val="8"/>
        </w:rPr>
        <w:t>1219</w:t>
      </w:r>
      <w:r>
        <w:rPr>
          <w:spacing w:val="42"/>
          <w:w w:val="105"/>
          <w:position w:val="4"/>
          <w:sz w:val="8"/>
        </w:rPr>
        <w:t xml:space="preserve"> </w:t>
      </w:r>
      <w:r>
        <w:rPr>
          <w:w w:val="105"/>
          <w:sz w:val="10"/>
        </w:rPr>
        <w:t>A/HRC/46/57, párr.</w:t>
      </w:r>
      <w:r>
        <w:rPr>
          <w:spacing w:val="1"/>
          <w:w w:val="105"/>
          <w:sz w:val="10"/>
        </w:rPr>
        <w:t xml:space="preserve"> </w:t>
      </w:r>
      <w:r>
        <w:rPr>
          <w:spacing w:val="-5"/>
          <w:w w:val="105"/>
          <w:sz w:val="10"/>
        </w:rPr>
        <w:t>73.</w:t>
      </w:r>
    </w:p>
    <w:p w14:paraId="11B6ECBF" w14:textId="77777777" w:rsidR="0014798C" w:rsidRDefault="004E1F0B">
      <w:pPr>
        <w:spacing w:before="100"/>
        <w:ind w:left="1111"/>
        <w:rPr>
          <w:sz w:val="10"/>
        </w:rPr>
      </w:pPr>
      <w:r>
        <w:rPr>
          <w:w w:val="105"/>
          <w:position w:val="4"/>
          <w:sz w:val="8"/>
        </w:rPr>
        <w:t>1220</w:t>
      </w:r>
      <w:r>
        <w:rPr>
          <w:spacing w:val="42"/>
          <w:w w:val="105"/>
          <w:position w:val="4"/>
          <w:sz w:val="8"/>
        </w:rPr>
        <w:t xml:space="preserve"> </w:t>
      </w:r>
      <w:r>
        <w:rPr>
          <w:w w:val="105"/>
          <w:sz w:val="10"/>
        </w:rPr>
        <w:t>A/HRC/42/50, párr.</w:t>
      </w:r>
      <w:r>
        <w:rPr>
          <w:spacing w:val="1"/>
          <w:w w:val="105"/>
          <w:sz w:val="10"/>
        </w:rPr>
        <w:t xml:space="preserve"> </w:t>
      </w:r>
      <w:r>
        <w:rPr>
          <w:spacing w:val="-5"/>
          <w:w w:val="105"/>
          <w:sz w:val="10"/>
        </w:rPr>
        <w:t>72.</w:t>
      </w:r>
    </w:p>
    <w:p w14:paraId="31A52903" w14:textId="77777777" w:rsidR="0014798C" w:rsidRDefault="0014798C">
      <w:pPr>
        <w:pStyle w:val="Textoindependiente"/>
        <w:rPr>
          <w:sz w:val="18"/>
        </w:rPr>
      </w:pPr>
    </w:p>
    <w:p w14:paraId="282338D3" w14:textId="77777777" w:rsidR="0014798C" w:rsidRDefault="0014798C">
      <w:pPr>
        <w:pStyle w:val="Textoindependiente"/>
        <w:rPr>
          <w:sz w:val="18"/>
        </w:rPr>
      </w:pPr>
    </w:p>
    <w:p w14:paraId="6A47BD3C" w14:textId="77777777" w:rsidR="0014798C" w:rsidRDefault="0014798C">
      <w:pPr>
        <w:pStyle w:val="Textoindependiente"/>
        <w:spacing w:before="34"/>
        <w:rPr>
          <w:sz w:val="18"/>
        </w:rPr>
      </w:pPr>
    </w:p>
    <w:p w14:paraId="5D3384AE" w14:textId="77777777" w:rsidR="0014798C" w:rsidRDefault="004E1F0B">
      <w:pPr>
        <w:spacing w:before="1"/>
        <w:ind w:right="694"/>
        <w:jc w:val="right"/>
        <w:rPr>
          <w:sz w:val="18"/>
        </w:rPr>
      </w:pPr>
      <w:r>
        <w:rPr>
          <w:spacing w:val="-5"/>
          <w:w w:val="105"/>
          <w:sz w:val="18"/>
        </w:rPr>
        <w:t>187</w:t>
      </w:r>
    </w:p>
    <w:p w14:paraId="1C75F7E8" w14:textId="77777777" w:rsidR="0014798C" w:rsidRDefault="0014798C">
      <w:pPr>
        <w:jc w:val="right"/>
        <w:rPr>
          <w:sz w:val="18"/>
        </w:rPr>
        <w:sectPr w:rsidR="0014798C" w:rsidSect="00F265E4">
          <w:pgSz w:w="11900" w:h="16820"/>
          <w:pgMar w:top="340" w:right="0" w:bottom="280" w:left="200" w:header="121" w:footer="0" w:gutter="0"/>
          <w:cols w:space="720"/>
        </w:sectPr>
      </w:pPr>
    </w:p>
    <w:p w14:paraId="74B439F2" w14:textId="77777777" w:rsidR="0014798C" w:rsidRDefault="0014798C">
      <w:pPr>
        <w:pStyle w:val="Textoindependiente"/>
        <w:spacing w:before="85"/>
        <w:rPr>
          <w:sz w:val="12"/>
        </w:rPr>
      </w:pPr>
    </w:p>
    <w:p w14:paraId="412001BC" w14:textId="77777777" w:rsidR="0014798C" w:rsidRDefault="004E1F0B">
      <w:pPr>
        <w:ind w:left="1111"/>
        <w:rPr>
          <w:sz w:val="12"/>
        </w:rPr>
      </w:pPr>
      <w:r>
        <w:rPr>
          <w:color w:val="0075BF"/>
          <w:sz w:val="12"/>
        </w:rPr>
        <w:t>PROTECCIÓN</w:t>
      </w:r>
      <w:r>
        <w:rPr>
          <w:color w:val="0075BF"/>
          <w:spacing w:val="6"/>
          <w:sz w:val="12"/>
        </w:rPr>
        <w:t xml:space="preserve"> </w:t>
      </w:r>
      <w:r>
        <w:rPr>
          <w:color w:val="0075BF"/>
          <w:sz w:val="12"/>
        </w:rPr>
        <w:t>DE</w:t>
      </w:r>
      <w:r>
        <w:rPr>
          <w:color w:val="0075BF"/>
          <w:spacing w:val="7"/>
          <w:sz w:val="12"/>
        </w:rPr>
        <w:t xml:space="preserve"> </w:t>
      </w:r>
      <w:r>
        <w:rPr>
          <w:color w:val="0075BF"/>
          <w:sz w:val="12"/>
        </w:rPr>
        <w:t>LOS</w:t>
      </w:r>
      <w:r>
        <w:rPr>
          <w:color w:val="0075BF"/>
          <w:spacing w:val="8"/>
          <w:sz w:val="12"/>
        </w:rPr>
        <w:t xml:space="preserve"> </w:t>
      </w:r>
      <w:r>
        <w:rPr>
          <w:color w:val="0075BF"/>
          <w:sz w:val="12"/>
        </w:rPr>
        <w:t>DERECHOS</w:t>
      </w:r>
      <w:r>
        <w:rPr>
          <w:color w:val="0075BF"/>
          <w:spacing w:val="8"/>
          <w:sz w:val="12"/>
        </w:rPr>
        <w:t xml:space="preserve"> </w:t>
      </w:r>
      <w:r>
        <w:rPr>
          <w:color w:val="0075BF"/>
          <w:sz w:val="12"/>
        </w:rPr>
        <w:t>DE</w:t>
      </w:r>
      <w:r>
        <w:rPr>
          <w:color w:val="0075BF"/>
          <w:spacing w:val="6"/>
          <w:sz w:val="12"/>
        </w:rPr>
        <w:t xml:space="preserve"> </w:t>
      </w:r>
      <w:r>
        <w:rPr>
          <w:color w:val="0075BF"/>
          <w:sz w:val="12"/>
        </w:rPr>
        <w:t>LAS</w:t>
      </w:r>
      <w:r>
        <w:rPr>
          <w:color w:val="0075BF"/>
          <w:spacing w:val="7"/>
          <w:sz w:val="12"/>
        </w:rPr>
        <w:t xml:space="preserve"> </w:t>
      </w:r>
      <w:r>
        <w:rPr>
          <w:color w:val="0075BF"/>
          <w:sz w:val="12"/>
        </w:rPr>
        <w:t>MINORÍAS:</w:t>
      </w:r>
      <w:r>
        <w:rPr>
          <w:color w:val="0075BF"/>
          <w:spacing w:val="8"/>
          <w:sz w:val="12"/>
        </w:rPr>
        <w:t xml:space="preserve"> </w:t>
      </w:r>
      <w:r>
        <w:rPr>
          <w:color w:val="0075BF"/>
          <w:sz w:val="12"/>
        </w:rPr>
        <w:t>una</w:t>
      </w:r>
      <w:r>
        <w:rPr>
          <w:color w:val="0075BF"/>
          <w:spacing w:val="7"/>
          <w:sz w:val="12"/>
        </w:rPr>
        <w:t xml:space="preserve"> </w:t>
      </w:r>
      <w:r>
        <w:rPr>
          <w:color w:val="0075BF"/>
          <w:sz w:val="12"/>
        </w:rPr>
        <w:t>guía</w:t>
      </w:r>
      <w:r>
        <w:rPr>
          <w:color w:val="0075BF"/>
          <w:spacing w:val="6"/>
          <w:sz w:val="12"/>
        </w:rPr>
        <w:t xml:space="preserve"> </w:t>
      </w:r>
      <w:r>
        <w:rPr>
          <w:color w:val="0075BF"/>
          <w:sz w:val="12"/>
        </w:rPr>
        <w:t>práctica</w:t>
      </w:r>
      <w:r>
        <w:rPr>
          <w:color w:val="0075BF"/>
          <w:spacing w:val="7"/>
          <w:sz w:val="12"/>
        </w:rPr>
        <w:t xml:space="preserve"> </w:t>
      </w:r>
      <w:r>
        <w:rPr>
          <w:color w:val="0075BF"/>
          <w:sz w:val="12"/>
        </w:rPr>
        <w:t>para</w:t>
      </w:r>
      <w:r>
        <w:rPr>
          <w:color w:val="0075BF"/>
          <w:spacing w:val="8"/>
          <w:sz w:val="12"/>
        </w:rPr>
        <w:t xml:space="preserve"> </w:t>
      </w:r>
      <w:r>
        <w:rPr>
          <w:color w:val="0075BF"/>
          <w:sz w:val="12"/>
        </w:rPr>
        <w:t>desarrollar</w:t>
      </w:r>
      <w:r>
        <w:rPr>
          <w:color w:val="0075BF"/>
          <w:spacing w:val="6"/>
          <w:sz w:val="12"/>
        </w:rPr>
        <w:t xml:space="preserve"> </w:t>
      </w:r>
      <w:r>
        <w:rPr>
          <w:color w:val="0075BF"/>
          <w:sz w:val="12"/>
        </w:rPr>
        <w:t>una</w:t>
      </w:r>
      <w:r>
        <w:rPr>
          <w:color w:val="0075BF"/>
          <w:spacing w:val="7"/>
          <w:sz w:val="12"/>
        </w:rPr>
        <w:t xml:space="preserve"> </w:t>
      </w:r>
      <w:r>
        <w:rPr>
          <w:color w:val="0075BF"/>
          <w:sz w:val="12"/>
        </w:rPr>
        <w:t>legislación</w:t>
      </w:r>
      <w:r>
        <w:rPr>
          <w:color w:val="0075BF"/>
          <w:spacing w:val="8"/>
          <w:sz w:val="12"/>
        </w:rPr>
        <w:t xml:space="preserve"> </w:t>
      </w:r>
      <w:r>
        <w:rPr>
          <w:color w:val="0075BF"/>
          <w:sz w:val="12"/>
        </w:rPr>
        <w:t>integral</w:t>
      </w:r>
      <w:r>
        <w:rPr>
          <w:color w:val="0075BF"/>
          <w:spacing w:val="7"/>
          <w:sz w:val="12"/>
        </w:rPr>
        <w:t xml:space="preserve"> </w:t>
      </w:r>
      <w:r>
        <w:rPr>
          <w:color w:val="0075BF"/>
          <w:sz w:val="12"/>
        </w:rPr>
        <w:t>contra</w:t>
      </w:r>
      <w:r>
        <w:rPr>
          <w:color w:val="0075BF"/>
          <w:spacing w:val="6"/>
          <w:sz w:val="12"/>
        </w:rPr>
        <w:t xml:space="preserve"> </w:t>
      </w:r>
      <w:r>
        <w:rPr>
          <w:color w:val="0075BF"/>
          <w:sz w:val="12"/>
        </w:rPr>
        <w:t>la</w:t>
      </w:r>
      <w:r>
        <w:rPr>
          <w:color w:val="0075BF"/>
          <w:spacing w:val="7"/>
          <w:sz w:val="12"/>
        </w:rPr>
        <w:t xml:space="preserve"> </w:t>
      </w:r>
      <w:r>
        <w:rPr>
          <w:color w:val="0075BF"/>
          <w:spacing w:val="-2"/>
          <w:sz w:val="12"/>
        </w:rPr>
        <w:t>discriminación</w:t>
      </w:r>
    </w:p>
    <w:p w14:paraId="03EF56DA" w14:textId="77777777" w:rsidR="0014798C" w:rsidRDefault="0014798C">
      <w:pPr>
        <w:pStyle w:val="Textoindependiente"/>
      </w:pPr>
    </w:p>
    <w:p w14:paraId="0FE39C99" w14:textId="77777777" w:rsidR="0014798C" w:rsidRDefault="0014798C">
      <w:pPr>
        <w:pStyle w:val="Textoindependiente"/>
      </w:pPr>
    </w:p>
    <w:p w14:paraId="29FB644A" w14:textId="764AFC31" w:rsidR="0014798C" w:rsidRDefault="0014798C">
      <w:pPr>
        <w:pStyle w:val="Textoindependiente"/>
      </w:pPr>
    </w:p>
    <w:p w14:paraId="2C432208" w14:textId="43B80301" w:rsidR="0014798C" w:rsidRDefault="0014798C">
      <w:pPr>
        <w:pStyle w:val="Textoindependiente"/>
      </w:pPr>
    </w:p>
    <w:p w14:paraId="267D5AC2" w14:textId="77777777" w:rsidR="0014798C" w:rsidRDefault="0014798C">
      <w:pPr>
        <w:pStyle w:val="Textoindependiente"/>
        <w:spacing w:before="69"/>
      </w:pPr>
    </w:p>
    <w:p w14:paraId="320F93C0" w14:textId="5273434C" w:rsidR="0014798C" w:rsidRDefault="004E1F0B">
      <w:pPr>
        <w:pStyle w:val="Textoindependiente"/>
        <w:spacing w:before="1"/>
        <w:ind w:left="1327"/>
      </w:pPr>
      <w:r>
        <w:rPr>
          <w:spacing w:val="-2"/>
        </w:rPr>
        <w:t>Impactos</w:t>
      </w:r>
      <w:r>
        <w:rPr>
          <w:spacing w:val="1"/>
        </w:rPr>
        <w:t xml:space="preserve"> </w:t>
      </w:r>
      <w:r>
        <w:rPr>
          <w:spacing w:val="-2"/>
        </w:rPr>
        <w:t>discriminatorios</w:t>
      </w:r>
      <w:r>
        <w:t xml:space="preserve"> </w:t>
      </w:r>
      <w:r>
        <w:rPr>
          <w:spacing w:val="-2"/>
        </w:rPr>
        <w:t>más</w:t>
      </w:r>
      <w:r>
        <w:rPr>
          <w:spacing w:val="1"/>
        </w:rPr>
        <w:t xml:space="preserve"> </w:t>
      </w:r>
      <w:r>
        <w:rPr>
          <w:spacing w:val="-2"/>
        </w:rPr>
        <w:t>amplios</w:t>
      </w:r>
      <w:r>
        <w:rPr>
          <w:spacing w:val="2"/>
        </w:rPr>
        <w:t xml:space="preserve"> </w:t>
      </w:r>
      <w:r>
        <w:rPr>
          <w:spacing w:val="-2"/>
        </w:rPr>
        <w:t>de</w:t>
      </w:r>
      <w:r>
        <w:rPr>
          <w:spacing w:val="1"/>
        </w:rPr>
        <w:t xml:space="preserve"> </w:t>
      </w:r>
      <w:r>
        <w:rPr>
          <w:spacing w:val="-2"/>
        </w:rPr>
        <w:t>los</w:t>
      </w:r>
      <w:r>
        <w:rPr>
          <w:spacing w:val="1"/>
        </w:rPr>
        <w:t xml:space="preserve"> </w:t>
      </w:r>
      <w:r>
        <w:rPr>
          <w:spacing w:val="-2"/>
        </w:rPr>
        <w:t>sistemas</w:t>
      </w:r>
      <w:r>
        <w:rPr>
          <w:spacing w:val="1"/>
        </w:rPr>
        <w:t xml:space="preserve"> </w:t>
      </w:r>
      <w:r>
        <w:rPr>
          <w:spacing w:val="-2"/>
        </w:rPr>
        <w:t>algorítmicos</w:t>
      </w:r>
      <w:r>
        <w:rPr>
          <w:spacing w:val="1"/>
        </w:rPr>
        <w:t xml:space="preserve"> </w:t>
      </w:r>
      <w:r>
        <w:rPr>
          <w:spacing w:val="-2"/>
        </w:rPr>
        <w:t>y</w:t>
      </w:r>
      <w:r>
        <w:rPr>
          <w:spacing w:val="1"/>
        </w:rPr>
        <w:t xml:space="preserve"> </w:t>
      </w:r>
      <w:r>
        <w:rPr>
          <w:spacing w:val="-2"/>
        </w:rPr>
        <w:t>la</w:t>
      </w:r>
      <w:r>
        <w:rPr>
          <w:spacing w:val="1"/>
        </w:rPr>
        <w:t xml:space="preserve"> </w:t>
      </w:r>
      <w:r>
        <w:rPr>
          <w:spacing w:val="-2"/>
        </w:rPr>
        <w:t>inteligencia</w:t>
      </w:r>
      <w:r>
        <w:rPr>
          <w:spacing w:val="2"/>
        </w:rPr>
        <w:t xml:space="preserve"> </w:t>
      </w:r>
      <w:r>
        <w:rPr>
          <w:spacing w:val="-2"/>
        </w:rPr>
        <w:t>artificial</w:t>
      </w:r>
    </w:p>
    <w:p w14:paraId="1AA40D56" w14:textId="77777777" w:rsidR="0014798C" w:rsidRDefault="004E1F0B">
      <w:pPr>
        <w:pStyle w:val="Textoindependiente"/>
        <w:spacing w:before="172" w:line="326" w:lineRule="auto"/>
        <w:ind w:left="1332" w:right="1272"/>
      </w:pPr>
      <w:r>
        <w:t>El</w:t>
      </w:r>
      <w:r>
        <w:rPr>
          <w:spacing w:val="-8"/>
        </w:rPr>
        <w:t xml:space="preserve"> </w:t>
      </w:r>
      <w:r>
        <w:t>uso</w:t>
      </w:r>
      <w:r>
        <w:rPr>
          <w:spacing w:val="-8"/>
        </w:rPr>
        <w:t xml:space="preserve"> </w:t>
      </w:r>
      <w:r>
        <w:t>de</w:t>
      </w:r>
      <w:r>
        <w:rPr>
          <w:spacing w:val="-8"/>
        </w:rPr>
        <w:t xml:space="preserve"> </w:t>
      </w:r>
      <w:r>
        <w:t>la</w:t>
      </w:r>
      <w:r>
        <w:rPr>
          <w:spacing w:val="-8"/>
        </w:rPr>
        <w:t xml:space="preserve"> </w:t>
      </w:r>
      <w:r>
        <w:t>toma</w:t>
      </w:r>
      <w:r>
        <w:rPr>
          <w:spacing w:val="-8"/>
        </w:rPr>
        <w:t xml:space="preserve"> </w:t>
      </w:r>
      <w:r>
        <w:t>de</w:t>
      </w:r>
      <w:r>
        <w:rPr>
          <w:spacing w:val="-8"/>
        </w:rPr>
        <w:t xml:space="preserve"> </w:t>
      </w:r>
      <w:r>
        <w:t>decisiones</w:t>
      </w:r>
      <w:r>
        <w:rPr>
          <w:spacing w:val="-8"/>
        </w:rPr>
        <w:t xml:space="preserve"> </w:t>
      </w:r>
      <w:r>
        <w:t>algorítmica</w:t>
      </w:r>
      <w:r>
        <w:rPr>
          <w:spacing w:val="-8"/>
        </w:rPr>
        <w:t xml:space="preserve"> </w:t>
      </w:r>
      <w:r>
        <w:t>y</w:t>
      </w:r>
      <w:r>
        <w:rPr>
          <w:spacing w:val="-8"/>
        </w:rPr>
        <w:t xml:space="preserve"> </w:t>
      </w:r>
      <w:r>
        <w:t>la</w:t>
      </w:r>
      <w:r>
        <w:rPr>
          <w:spacing w:val="-8"/>
        </w:rPr>
        <w:t xml:space="preserve"> </w:t>
      </w:r>
      <w:r>
        <w:t>inteligencia</w:t>
      </w:r>
      <w:r>
        <w:rPr>
          <w:spacing w:val="-8"/>
        </w:rPr>
        <w:t xml:space="preserve"> </w:t>
      </w:r>
      <w:r>
        <w:t>artificial</w:t>
      </w:r>
      <w:r>
        <w:rPr>
          <w:spacing w:val="-8"/>
        </w:rPr>
        <w:t xml:space="preserve"> </w:t>
      </w:r>
      <w:r>
        <w:t>puede</w:t>
      </w:r>
      <w:r>
        <w:rPr>
          <w:spacing w:val="-8"/>
        </w:rPr>
        <w:t xml:space="preserve"> </w:t>
      </w:r>
      <w:r>
        <w:t>conducir</w:t>
      </w:r>
      <w:r>
        <w:rPr>
          <w:spacing w:val="-8"/>
        </w:rPr>
        <w:t xml:space="preserve"> </w:t>
      </w:r>
      <w:r>
        <w:t>a</w:t>
      </w:r>
      <w:r>
        <w:rPr>
          <w:spacing w:val="-8"/>
        </w:rPr>
        <w:t xml:space="preserve"> </w:t>
      </w:r>
      <w:r>
        <w:t>la</w:t>
      </w:r>
      <w:r>
        <w:rPr>
          <w:spacing w:val="-8"/>
        </w:rPr>
        <w:t xml:space="preserve"> </w:t>
      </w:r>
      <w:r>
        <w:t>discriminación</w:t>
      </w:r>
      <w:r>
        <w:rPr>
          <w:spacing w:val="-8"/>
        </w:rPr>
        <w:t xml:space="preserve"> </w:t>
      </w:r>
      <w:r>
        <w:t>de</w:t>
      </w:r>
      <w:r>
        <w:rPr>
          <w:spacing w:val="-8"/>
        </w:rPr>
        <w:t xml:space="preserve"> </w:t>
      </w:r>
      <w:r>
        <w:t>varias</w:t>
      </w:r>
      <w:r>
        <w:rPr>
          <w:spacing w:val="-8"/>
        </w:rPr>
        <w:t xml:space="preserve"> </w:t>
      </w:r>
      <w:r>
        <w:t>maneras.1221 Dos</w:t>
      </w:r>
      <w:r>
        <w:rPr>
          <w:spacing w:val="-1"/>
        </w:rPr>
        <w:t xml:space="preserve"> </w:t>
      </w:r>
      <w:r>
        <w:t>patrones</w:t>
      </w:r>
      <w:r>
        <w:rPr>
          <w:spacing w:val="-1"/>
        </w:rPr>
        <w:t xml:space="preserve"> </w:t>
      </w:r>
      <w:r>
        <w:t>bien</w:t>
      </w:r>
      <w:r>
        <w:rPr>
          <w:spacing w:val="-1"/>
        </w:rPr>
        <w:t xml:space="preserve"> </w:t>
      </w:r>
      <w:r>
        <w:t>documentados</w:t>
      </w:r>
      <w:r>
        <w:rPr>
          <w:spacing w:val="-1"/>
        </w:rPr>
        <w:t xml:space="preserve"> </w:t>
      </w:r>
      <w:r>
        <w:t>son:</w:t>
      </w:r>
      <w:r>
        <w:rPr>
          <w:spacing w:val="-1"/>
        </w:rPr>
        <w:t xml:space="preserve"> </w:t>
      </w:r>
      <w:r>
        <w:t>(a)</w:t>
      </w:r>
      <w:r>
        <w:rPr>
          <w:spacing w:val="-1"/>
        </w:rPr>
        <w:t xml:space="preserve"> </w:t>
      </w:r>
      <w:r>
        <w:t>la</w:t>
      </w:r>
      <w:r>
        <w:rPr>
          <w:spacing w:val="-1"/>
        </w:rPr>
        <w:t xml:space="preserve"> </w:t>
      </w:r>
      <w:r>
        <w:t>recopilación</w:t>
      </w:r>
      <w:r>
        <w:rPr>
          <w:spacing w:val="-1"/>
        </w:rPr>
        <w:t xml:space="preserve"> </w:t>
      </w:r>
      <w:r>
        <w:t>masiva</w:t>
      </w:r>
      <w:r>
        <w:rPr>
          <w:spacing w:val="-1"/>
        </w:rPr>
        <w:t xml:space="preserve"> </w:t>
      </w:r>
      <w:r>
        <w:t>y</w:t>
      </w:r>
      <w:r>
        <w:rPr>
          <w:spacing w:val="-1"/>
        </w:rPr>
        <w:t xml:space="preserve"> </w:t>
      </w:r>
      <w:r>
        <w:t>opaca</w:t>
      </w:r>
      <w:r>
        <w:rPr>
          <w:spacing w:val="-1"/>
        </w:rPr>
        <w:t xml:space="preserve"> </w:t>
      </w:r>
      <w:r>
        <w:t>de</w:t>
      </w:r>
      <w:r>
        <w:rPr>
          <w:spacing w:val="-1"/>
        </w:rPr>
        <w:t xml:space="preserve"> </w:t>
      </w:r>
      <w:r>
        <w:t>datos</w:t>
      </w:r>
      <w:r>
        <w:rPr>
          <w:spacing w:val="-1"/>
        </w:rPr>
        <w:t xml:space="preserve"> </w:t>
      </w:r>
      <w:r>
        <w:t>personales</w:t>
      </w:r>
      <w:r>
        <w:rPr>
          <w:spacing w:val="-1"/>
        </w:rPr>
        <w:t xml:space="preserve"> </w:t>
      </w:r>
      <w:r>
        <w:t>y</w:t>
      </w:r>
      <w:r>
        <w:rPr>
          <w:spacing w:val="-1"/>
        </w:rPr>
        <w:t xml:space="preserve"> </w:t>
      </w:r>
      <w:r>
        <w:t>el</w:t>
      </w:r>
      <w:r>
        <w:rPr>
          <w:spacing w:val="-1"/>
        </w:rPr>
        <w:t xml:space="preserve"> </w:t>
      </w:r>
      <w:r>
        <w:t>uso</w:t>
      </w:r>
      <w:r>
        <w:rPr>
          <w:spacing w:val="-1"/>
        </w:rPr>
        <w:t xml:space="preserve"> </w:t>
      </w:r>
      <w:r>
        <w:t>de</w:t>
      </w:r>
      <w:r>
        <w:rPr>
          <w:spacing w:val="-1"/>
        </w:rPr>
        <w:t xml:space="preserve"> </w:t>
      </w:r>
      <w:r>
        <w:t>esos</w:t>
      </w:r>
      <w:r>
        <w:rPr>
          <w:spacing w:val="-1"/>
        </w:rPr>
        <w:t xml:space="preserve"> </w:t>
      </w:r>
      <w:r>
        <w:t>datos</w:t>
      </w:r>
      <w:r>
        <w:rPr>
          <w:spacing w:val="-1"/>
        </w:rPr>
        <w:t xml:space="preserve"> </w:t>
      </w:r>
      <w:r>
        <w:t>para entrenar</w:t>
      </w:r>
      <w:r>
        <w:rPr>
          <w:spacing w:val="-7"/>
        </w:rPr>
        <w:t xml:space="preserve"> </w:t>
      </w:r>
      <w:r>
        <w:t>sistemas</w:t>
      </w:r>
      <w:r>
        <w:rPr>
          <w:spacing w:val="-7"/>
        </w:rPr>
        <w:t xml:space="preserve"> </w:t>
      </w:r>
      <w:r>
        <w:t>algorítmicos</w:t>
      </w:r>
      <w:r>
        <w:rPr>
          <w:spacing w:val="-8"/>
        </w:rPr>
        <w:t xml:space="preserve"> </w:t>
      </w:r>
      <w:r>
        <w:t>de</w:t>
      </w:r>
      <w:r>
        <w:rPr>
          <w:spacing w:val="-7"/>
        </w:rPr>
        <w:t xml:space="preserve"> </w:t>
      </w:r>
      <w:r>
        <w:t>manera</w:t>
      </w:r>
      <w:r>
        <w:rPr>
          <w:spacing w:val="-7"/>
        </w:rPr>
        <w:t xml:space="preserve"> </w:t>
      </w:r>
      <w:r>
        <w:t>dañina;</w:t>
      </w:r>
      <w:r>
        <w:rPr>
          <w:spacing w:val="-7"/>
        </w:rPr>
        <w:t xml:space="preserve"> </w:t>
      </w:r>
      <w:r>
        <w:t>por</w:t>
      </w:r>
      <w:r>
        <w:rPr>
          <w:spacing w:val="-7"/>
        </w:rPr>
        <w:t xml:space="preserve"> </w:t>
      </w:r>
      <w:r>
        <w:t>ejemplo,</w:t>
      </w:r>
      <w:r>
        <w:rPr>
          <w:spacing w:val="-7"/>
        </w:rPr>
        <w:t xml:space="preserve"> </w:t>
      </w:r>
      <w:r>
        <w:t>los</w:t>
      </w:r>
      <w:r>
        <w:rPr>
          <w:spacing w:val="-7"/>
        </w:rPr>
        <w:t xml:space="preserve"> </w:t>
      </w:r>
      <w:r>
        <w:t>sistemas</w:t>
      </w:r>
      <w:r>
        <w:rPr>
          <w:spacing w:val="-7"/>
        </w:rPr>
        <w:t xml:space="preserve"> </w:t>
      </w:r>
      <w:r>
        <w:t>utilizados</w:t>
      </w:r>
      <w:r>
        <w:rPr>
          <w:spacing w:val="-7"/>
        </w:rPr>
        <w:t xml:space="preserve"> </w:t>
      </w:r>
      <w:r>
        <w:t>por</w:t>
      </w:r>
      <w:r>
        <w:rPr>
          <w:spacing w:val="-7"/>
        </w:rPr>
        <w:t xml:space="preserve"> </w:t>
      </w:r>
      <w:r>
        <w:t>las</w:t>
      </w:r>
      <w:r>
        <w:rPr>
          <w:spacing w:val="-7"/>
        </w:rPr>
        <w:t xml:space="preserve"> </w:t>
      </w:r>
      <w:r>
        <w:t>plataformas</w:t>
      </w:r>
      <w:r>
        <w:rPr>
          <w:spacing w:val="-8"/>
        </w:rPr>
        <w:t xml:space="preserve"> </w:t>
      </w:r>
      <w:r>
        <w:t>de</w:t>
      </w:r>
      <w:r>
        <w:rPr>
          <w:spacing w:val="-7"/>
        </w:rPr>
        <w:t xml:space="preserve"> </w:t>
      </w:r>
      <w:r>
        <w:t>redes</w:t>
      </w:r>
      <w:r>
        <w:rPr>
          <w:spacing w:val="-7"/>
        </w:rPr>
        <w:t xml:space="preserve"> </w:t>
      </w:r>
      <w:r>
        <w:t>sociales funcionan</w:t>
      </w:r>
      <w:r>
        <w:rPr>
          <w:spacing w:val="-11"/>
        </w:rPr>
        <w:t xml:space="preserve"> </w:t>
      </w:r>
      <w:r>
        <w:t>recopilando</w:t>
      </w:r>
      <w:r>
        <w:rPr>
          <w:spacing w:val="-11"/>
        </w:rPr>
        <w:t xml:space="preserve"> </w:t>
      </w:r>
      <w:r>
        <w:t>datos</w:t>
      </w:r>
      <w:r>
        <w:rPr>
          <w:spacing w:val="-11"/>
        </w:rPr>
        <w:t xml:space="preserve"> </w:t>
      </w:r>
      <w:r>
        <w:t>personales</w:t>
      </w:r>
      <w:r>
        <w:rPr>
          <w:spacing w:val="-11"/>
        </w:rPr>
        <w:t xml:space="preserve"> </w:t>
      </w:r>
      <w:r>
        <w:t>e</w:t>
      </w:r>
      <w:r>
        <w:rPr>
          <w:spacing w:val="-11"/>
        </w:rPr>
        <w:t xml:space="preserve"> </w:t>
      </w:r>
      <w:r>
        <w:t>información</w:t>
      </w:r>
      <w:r>
        <w:rPr>
          <w:spacing w:val="-11"/>
        </w:rPr>
        <w:t xml:space="preserve"> </w:t>
      </w:r>
      <w:r>
        <w:t>sobre</w:t>
      </w:r>
      <w:r>
        <w:rPr>
          <w:spacing w:val="-11"/>
        </w:rPr>
        <w:t xml:space="preserve"> </w:t>
      </w:r>
      <w:r>
        <w:t>el</w:t>
      </w:r>
      <w:r>
        <w:rPr>
          <w:spacing w:val="-11"/>
        </w:rPr>
        <w:t xml:space="preserve"> </w:t>
      </w:r>
      <w:r>
        <w:t>usuario</w:t>
      </w:r>
      <w:r>
        <w:rPr>
          <w:spacing w:val="-11"/>
        </w:rPr>
        <w:t xml:space="preserve"> </w:t>
      </w:r>
      <w:r>
        <w:t>y</w:t>
      </w:r>
      <w:r>
        <w:rPr>
          <w:spacing w:val="-11"/>
        </w:rPr>
        <w:t xml:space="preserve"> </w:t>
      </w:r>
      <w:r>
        <w:t>utilizando</w:t>
      </w:r>
      <w:r>
        <w:rPr>
          <w:spacing w:val="-11"/>
        </w:rPr>
        <w:t xml:space="preserve"> </w:t>
      </w:r>
      <w:r>
        <w:t>esa</w:t>
      </w:r>
      <w:r>
        <w:rPr>
          <w:spacing w:val="-11"/>
        </w:rPr>
        <w:t xml:space="preserve"> </w:t>
      </w:r>
      <w:r>
        <w:t>información</w:t>
      </w:r>
      <w:r>
        <w:rPr>
          <w:spacing w:val="-11"/>
        </w:rPr>
        <w:t xml:space="preserve"> </w:t>
      </w:r>
      <w:r>
        <w:t>para</w:t>
      </w:r>
      <w:r>
        <w:rPr>
          <w:spacing w:val="-11"/>
        </w:rPr>
        <w:t xml:space="preserve"> </w:t>
      </w:r>
      <w:r>
        <w:t>dirigirle</w:t>
      </w:r>
      <w:r>
        <w:rPr>
          <w:spacing w:val="-11"/>
        </w:rPr>
        <w:t xml:space="preserve"> </w:t>
      </w:r>
      <w:r>
        <w:t>contenido;</w:t>
      </w:r>
      <w:r>
        <w:rPr>
          <w:spacing w:val="-10"/>
        </w:rPr>
        <w:t xml:space="preserve"> </w:t>
      </w:r>
      <w:r>
        <w:t>y</w:t>
      </w:r>
    </w:p>
    <w:p w14:paraId="22A054E4" w14:textId="77777777" w:rsidR="0014798C" w:rsidRDefault="004E1F0B">
      <w:pPr>
        <w:pStyle w:val="Textoindependiente"/>
        <w:spacing w:line="326" w:lineRule="auto"/>
        <w:ind w:left="1334" w:right="1626"/>
      </w:pPr>
      <w:r>
        <w:t>(b) el uso de tecnologías</w:t>
      </w:r>
      <w:r>
        <w:rPr>
          <w:spacing w:val="-1"/>
        </w:rPr>
        <w:t xml:space="preserve"> </w:t>
      </w:r>
      <w:r>
        <w:t>de manera que conduzcan a resultados discriminatorios</w:t>
      </w:r>
      <w:r>
        <w:rPr>
          <w:spacing w:val="-1"/>
        </w:rPr>
        <w:t xml:space="preserve"> </w:t>
      </w:r>
      <w:r>
        <w:t>si el sistema “aprende” de datos discriminatorios</w:t>
      </w:r>
      <w:r>
        <w:rPr>
          <w:spacing w:val="-9"/>
        </w:rPr>
        <w:t xml:space="preserve"> </w:t>
      </w:r>
      <w:r>
        <w:t>y</w:t>
      </w:r>
      <w:r>
        <w:rPr>
          <w:spacing w:val="-8"/>
        </w:rPr>
        <w:t xml:space="preserve"> </w:t>
      </w:r>
      <w:r>
        <w:t>reproduce</w:t>
      </w:r>
      <w:r>
        <w:rPr>
          <w:spacing w:val="-8"/>
        </w:rPr>
        <w:t xml:space="preserve"> </w:t>
      </w:r>
      <w:r>
        <w:t>ese</w:t>
      </w:r>
      <w:r>
        <w:rPr>
          <w:spacing w:val="-8"/>
        </w:rPr>
        <w:t xml:space="preserve"> </w:t>
      </w:r>
      <w:r>
        <w:t>sesgo</w:t>
      </w:r>
      <w:r>
        <w:rPr>
          <w:spacing w:val="-8"/>
        </w:rPr>
        <w:t xml:space="preserve"> </w:t>
      </w:r>
      <w:r>
        <w:t>–un</w:t>
      </w:r>
      <w:r>
        <w:rPr>
          <w:spacing w:val="-8"/>
        </w:rPr>
        <w:t xml:space="preserve"> </w:t>
      </w:r>
      <w:r>
        <w:t>efecto</w:t>
      </w:r>
      <w:r>
        <w:rPr>
          <w:spacing w:val="-8"/>
        </w:rPr>
        <w:t xml:space="preserve"> </w:t>
      </w:r>
      <w:r>
        <w:t>al</w:t>
      </w:r>
      <w:r>
        <w:rPr>
          <w:spacing w:val="-8"/>
        </w:rPr>
        <w:t xml:space="preserve"> </w:t>
      </w:r>
      <w:r>
        <w:t>que</w:t>
      </w:r>
      <w:r>
        <w:rPr>
          <w:spacing w:val="-8"/>
        </w:rPr>
        <w:t xml:space="preserve"> </w:t>
      </w:r>
      <w:r>
        <w:t>los</w:t>
      </w:r>
      <w:r>
        <w:rPr>
          <w:spacing w:val="-8"/>
        </w:rPr>
        <w:t xml:space="preserve"> </w:t>
      </w:r>
      <w:r>
        <w:t>científicos</w:t>
      </w:r>
      <w:r>
        <w:rPr>
          <w:spacing w:val="-9"/>
        </w:rPr>
        <w:t xml:space="preserve"> </w:t>
      </w:r>
      <w:r>
        <w:t>de</w:t>
      </w:r>
      <w:r>
        <w:rPr>
          <w:spacing w:val="-8"/>
        </w:rPr>
        <w:t xml:space="preserve"> </w:t>
      </w:r>
      <w:r>
        <w:t>datos</w:t>
      </w:r>
      <w:r>
        <w:rPr>
          <w:spacing w:val="-8"/>
        </w:rPr>
        <w:t xml:space="preserve"> </w:t>
      </w:r>
      <w:r>
        <w:t>a</w:t>
      </w:r>
      <w:r>
        <w:rPr>
          <w:spacing w:val="-8"/>
        </w:rPr>
        <w:t xml:space="preserve"> </w:t>
      </w:r>
      <w:r>
        <w:t>menudo</w:t>
      </w:r>
      <w:r>
        <w:rPr>
          <w:spacing w:val="-8"/>
        </w:rPr>
        <w:t xml:space="preserve"> </w:t>
      </w:r>
      <w:r>
        <w:t>se</w:t>
      </w:r>
      <w:r>
        <w:rPr>
          <w:spacing w:val="-8"/>
        </w:rPr>
        <w:t xml:space="preserve"> </w:t>
      </w:r>
      <w:r>
        <w:t>refieren</w:t>
      </w:r>
      <w:r>
        <w:rPr>
          <w:spacing w:val="-8"/>
        </w:rPr>
        <w:t xml:space="preserve"> </w:t>
      </w:r>
      <w:r>
        <w:t>como</w:t>
      </w:r>
      <w:r>
        <w:rPr>
          <w:spacing w:val="-8"/>
        </w:rPr>
        <w:t xml:space="preserve"> </w:t>
      </w:r>
      <w:r>
        <w:t>“basura</w:t>
      </w:r>
      <w:r>
        <w:rPr>
          <w:spacing w:val="-8"/>
        </w:rPr>
        <w:t xml:space="preserve"> </w:t>
      </w:r>
      <w:r>
        <w:t>que entra, basura sale”.1222</w:t>
      </w:r>
    </w:p>
    <w:p w14:paraId="7BE56E97" w14:textId="77777777" w:rsidR="0014798C" w:rsidRDefault="004E1F0B">
      <w:pPr>
        <w:pStyle w:val="Textoindependiente"/>
        <w:spacing w:before="110" w:line="326" w:lineRule="auto"/>
        <w:ind w:left="1334" w:right="1400" w:hanging="2"/>
      </w:pPr>
      <w:r>
        <w:t>Los</w:t>
      </w:r>
      <w:r>
        <w:rPr>
          <w:spacing w:val="-3"/>
        </w:rPr>
        <w:t xml:space="preserve"> </w:t>
      </w:r>
      <w:r>
        <w:t>impactos</w:t>
      </w:r>
      <w:r>
        <w:rPr>
          <w:spacing w:val="-3"/>
        </w:rPr>
        <w:t xml:space="preserve"> </w:t>
      </w:r>
      <w:r>
        <w:t>discriminatorios</w:t>
      </w:r>
      <w:r>
        <w:rPr>
          <w:spacing w:val="-3"/>
        </w:rPr>
        <w:t xml:space="preserve"> </w:t>
      </w:r>
      <w:r>
        <w:t>del</w:t>
      </w:r>
      <w:r>
        <w:rPr>
          <w:spacing w:val="-3"/>
        </w:rPr>
        <w:t xml:space="preserve"> </w:t>
      </w:r>
      <w:r>
        <w:t>segundo</w:t>
      </w:r>
      <w:r>
        <w:rPr>
          <w:spacing w:val="-3"/>
        </w:rPr>
        <w:t xml:space="preserve"> </w:t>
      </w:r>
      <w:r>
        <w:t>patrón</w:t>
      </w:r>
      <w:r>
        <w:rPr>
          <w:spacing w:val="-3"/>
        </w:rPr>
        <w:t xml:space="preserve"> </w:t>
      </w:r>
      <w:r>
        <w:t>son</w:t>
      </w:r>
      <w:r>
        <w:rPr>
          <w:spacing w:val="-3"/>
        </w:rPr>
        <w:t xml:space="preserve"> </w:t>
      </w:r>
      <w:r>
        <w:t>evidentes</w:t>
      </w:r>
      <w:r>
        <w:rPr>
          <w:spacing w:val="-3"/>
        </w:rPr>
        <w:t xml:space="preserve"> </w:t>
      </w:r>
      <w:r>
        <w:t>en</w:t>
      </w:r>
      <w:r>
        <w:rPr>
          <w:spacing w:val="-3"/>
        </w:rPr>
        <w:t xml:space="preserve"> </w:t>
      </w:r>
      <w:r>
        <w:t>la</w:t>
      </w:r>
      <w:r>
        <w:rPr>
          <w:spacing w:val="-3"/>
        </w:rPr>
        <w:t xml:space="preserve"> </w:t>
      </w:r>
      <w:r>
        <w:t>vigilancia</w:t>
      </w:r>
      <w:r>
        <w:rPr>
          <w:spacing w:val="-3"/>
        </w:rPr>
        <w:t xml:space="preserve"> </w:t>
      </w:r>
      <w:r>
        <w:t>y</w:t>
      </w:r>
      <w:r>
        <w:rPr>
          <w:spacing w:val="-3"/>
        </w:rPr>
        <w:t xml:space="preserve"> </w:t>
      </w:r>
      <w:r>
        <w:t>la</w:t>
      </w:r>
      <w:r>
        <w:rPr>
          <w:spacing w:val="-3"/>
        </w:rPr>
        <w:t xml:space="preserve"> </w:t>
      </w:r>
      <w:r>
        <w:t>actuación</w:t>
      </w:r>
      <w:r>
        <w:rPr>
          <w:spacing w:val="-3"/>
        </w:rPr>
        <w:t xml:space="preserve"> </w:t>
      </w:r>
      <w:r>
        <w:t>policial.</w:t>
      </w:r>
      <w:r>
        <w:rPr>
          <w:spacing w:val="-2"/>
        </w:rPr>
        <w:t xml:space="preserve"> </w:t>
      </w:r>
      <w:r>
        <w:t>Por</w:t>
      </w:r>
      <w:r>
        <w:rPr>
          <w:spacing w:val="-3"/>
        </w:rPr>
        <w:t xml:space="preserve"> </w:t>
      </w:r>
      <w:r>
        <w:t>ejemplo,</w:t>
      </w:r>
      <w:r>
        <w:rPr>
          <w:spacing w:val="-3"/>
        </w:rPr>
        <w:t xml:space="preserve"> </w:t>
      </w:r>
      <w:r>
        <w:t>en</w:t>
      </w:r>
      <w:r>
        <w:rPr>
          <w:spacing w:val="-3"/>
        </w:rPr>
        <w:t xml:space="preserve"> </w:t>
      </w:r>
      <w:r>
        <w:t>un estudio</w:t>
      </w:r>
      <w:r>
        <w:rPr>
          <w:spacing w:val="-1"/>
        </w:rPr>
        <w:t xml:space="preserve"> </w:t>
      </w:r>
      <w:r>
        <w:t>de</w:t>
      </w:r>
      <w:r>
        <w:rPr>
          <w:spacing w:val="-1"/>
        </w:rPr>
        <w:t xml:space="preserve"> </w:t>
      </w:r>
      <w:r>
        <w:t>2016,</w:t>
      </w:r>
      <w:r>
        <w:rPr>
          <w:spacing w:val="-1"/>
        </w:rPr>
        <w:t xml:space="preserve"> </w:t>
      </w:r>
      <w:r>
        <w:t>el</w:t>
      </w:r>
      <w:r>
        <w:rPr>
          <w:spacing w:val="-1"/>
        </w:rPr>
        <w:t xml:space="preserve"> </w:t>
      </w:r>
      <w:r>
        <w:t>Grupo</w:t>
      </w:r>
      <w:r>
        <w:rPr>
          <w:spacing w:val="-1"/>
        </w:rPr>
        <w:t xml:space="preserve"> </w:t>
      </w:r>
      <w:r>
        <w:t>de</w:t>
      </w:r>
      <w:r>
        <w:rPr>
          <w:spacing w:val="-1"/>
        </w:rPr>
        <w:t xml:space="preserve"> </w:t>
      </w:r>
      <w:r>
        <w:t>Análisis</w:t>
      </w:r>
      <w:r>
        <w:rPr>
          <w:spacing w:val="-1"/>
        </w:rPr>
        <w:t xml:space="preserve"> </w:t>
      </w:r>
      <w:r>
        <w:t>de</w:t>
      </w:r>
      <w:r>
        <w:rPr>
          <w:spacing w:val="-1"/>
        </w:rPr>
        <w:t xml:space="preserve"> </w:t>
      </w:r>
      <w:r>
        <w:t>Datos</w:t>
      </w:r>
      <w:r>
        <w:rPr>
          <w:spacing w:val="-1"/>
        </w:rPr>
        <w:t xml:space="preserve"> </w:t>
      </w:r>
      <w:r>
        <w:t>de</w:t>
      </w:r>
      <w:r>
        <w:rPr>
          <w:spacing w:val="-1"/>
        </w:rPr>
        <w:t xml:space="preserve"> </w:t>
      </w:r>
      <w:r>
        <w:t>Derechos</w:t>
      </w:r>
      <w:r>
        <w:rPr>
          <w:spacing w:val="-1"/>
        </w:rPr>
        <w:t xml:space="preserve"> </w:t>
      </w:r>
      <w:r>
        <w:t>Humanos</w:t>
      </w:r>
      <w:r>
        <w:rPr>
          <w:spacing w:val="-1"/>
        </w:rPr>
        <w:t xml:space="preserve"> </w:t>
      </w:r>
      <w:r>
        <w:t>demostró</w:t>
      </w:r>
      <w:r>
        <w:rPr>
          <w:spacing w:val="-1"/>
        </w:rPr>
        <w:t xml:space="preserve"> </w:t>
      </w:r>
      <w:r>
        <w:t>que</w:t>
      </w:r>
      <w:r>
        <w:rPr>
          <w:spacing w:val="-1"/>
        </w:rPr>
        <w:t xml:space="preserve"> </w:t>
      </w:r>
      <w:r>
        <w:t>el</w:t>
      </w:r>
      <w:r>
        <w:rPr>
          <w:spacing w:val="-1"/>
        </w:rPr>
        <w:t xml:space="preserve"> </w:t>
      </w:r>
      <w:r>
        <w:t>uso</w:t>
      </w:r>
      <w:r>
        <w:rPr>
          <w:spacing w:val="-1"/>
        </w:rPr>
        <w:t xml:space="preserve"> </w:t>
      </w:r>
      <w:r>
        <w:t>de</w:t>
      </w:r>
      <w:r>
        <w:rPr>
          <w:spacing w:val="-1"/>
        </w:rPr>
        <w:t xml:space="preserve"> </w:t>
      </w:r>
      <w:r>
        <w:t>la</w:t>
      </w:r>
      <w:r>
        <w:rPr>
          <w:spacing w:val="-1"/>
        </w:rPr>
        <w:t xml:space="preserve"> </w:t>
      </w:r>
      <w:r>
        <w:t>herramienta</w:t>
      </w:r>
      <w:r>
        <w:rPr>
          <w:spacing w:val="-1"/>
        </w:rPr>
        <w:t xml:space="preserve"> </w:t>
      </w:r>
      <w:r>
        <w:t>policial predictiva</w:t>
      </w:r>
      <w:r>
        <w:rPr>
          <w:spacing w:val="-10"/>
        </w:rPr>
        <w:t xml:space="preserve"> </w:t>
      </w:r>
      <w:proofErr w:type="spellStart"/>
      <w:r>
        <w:t>PredPol</w:t>
      </w:r>
      <w:proofErr w:type="spellEnd"/>
      <w:r>
        <w:rPr>
          <w:spacing w:val="-10"/>
        </w:rPr>
        <w:t xml:space="preserve"> </w:t>
      </w:r>
      <w:r>
        <w:t>en</w:t>
      </w:r>
      <w:r>
        <w:rPr>
          <w:spacing w:val="-10"/>
        </w:rPr>
        <w:t xml:space="preserve"> </w:t>
      </w:r>
      <w:r>
        <w:t>Oakland,</w:t>
      </w:r>
      <w:r>
        <w:rPr>
          <w:spacing w:val="-10"/>
        </w:rPr>
        <w:t xml:space="preserve"> </w:t>
      </w:r>
      <w:r>
        <w:t>California,</w:t>
      </w:r>
      <w:r>
        <w:rPr>
          <w:spacing w:val="-9"/>
        </w:rPr>
        <w:t xml:space="preserve"> </w:t>
      </w:r>
      <w:r>
        <w:t>reforzaría</w:t>
      </w:r>
      <w:r>
        <w:rPr>
          <w:spacing w:val="-10"/>
        </w:rPr>
        <w:t xml:space="preserve"> </w:t>
      </w:r>
      <w:r>
        <w:t>las</w:t>
      </w:r>
      <w:r>
        <w:rPr>
          <w:spacing w:val="-10"/>
        </w:rPr>
        <w:t xml:space="preserve"> </w:t>
      </w:r>
      <w:r>
        <w:t>prácticas</w:t>
      </w:r>
      <w:r>
        <w:rPr>
          <w:spacing w:val="-10"/>
        </w:rPr>
        <w:t xml:space="preserve"> </w:t>
      </w:r>
      <w:r>
        <w:t>policiales</w:t>
      </w:r>
      <w:r>
        <w:rPr>
          <w:spacing w:val="-10"/>
        </w:rPr>
        <w:t xml:space="preserve"> </w:t>
      </w:r>
      <w:r>
        <w:t>con</w:t>
      </w:r>
      <w:r>
        <w:rPr>
          <w:spacing w:val="-10"/>
        </w:rPr>
        <w:t xml:space="preserve"> </w:t>
      </w:r>
      <w:r>
        <w:t>prejuicios</w:t>
      </w:r>
      <w:r>
        <w:rPr>
          <w:spacing w:val="-10"/>
        </w:rPr>
        <w:t xml:space="preserve"> </w:t>
      </w:r>
      <w:r>
        <w:t>raciales</w:t>
      </w:r>
      <w:r>
        <w:rPr>
          <w:spacing w:val="-10"/>
        </w:rPr>
        <w:t xml:space="preserve"> </w:t>
      </w:r>
      <w:r>
        <w:t>al</w:t>
      </w:r>
      <w:r>
        <w:rPr>
          <w:spacing w:val="-10"/>
        </w:rPr>
        <w:t xml:space="preserve"> </w:t>
      </w:r>
      <w:r>
        <w:t>recomendar</w:t>
      </w:r>
      <w:r>
        <w:rPr>
          <w:spacing w:val="-10"/>
        </w:rPr>
        <w:t xml:space="preserve"> </w:t>
      </w:r>
      <w:r>
        <w:t>un</w:t>
      </w:r>
      <w:r>
        <w:rPr>
          <w:spacing w:val="-10"/>
        </w:rPr>
        <w:t xml:space="preserve"> </w:t>
      </w:r>
      <w:r>
        <w:t>mayor despliegue policial en áreas con mayores poblaciones de no blancos y residentes de bajos ingresos.1223</w:t>
      </w:r>
    </w:p>
    <w:p w14:paraId="2BD086CD" w14:textId="77777777" w:rsidR="0014798C" w:rsidRDefault="004E1F0B">
      <w:pPr>
        <w:pStyle w:val="Textoindependiente"/>
        <w:spacing w:line="326" w:lineRule="auto"/>
        <w:ind w:left="1332" w:right="1463" w:firstLine="5"/>
      </w:pPr>
      <w:r>
        <w:t>De</w:t>
      </w:r>
      <w:r>
        <w:rPr>
          <w:spacing w:val="-8"/>
        </w:rPr>
        <w:t xml:space="preserve"> </w:t>
      </w:r>
      <w:r>
        <w:t>manera</w:t>
      </w:r>
      <w:r>
        <w:rPr>
          <w:spacing w:val="-8"/>
        </w:rPr>
        <w:t xml:space="preserve"> </w:t>
      </w:r>
      <w:r>
        <w:t>similar,</w:t>
      </w:r>
      <w:r>
        <w:rPr>
          <w:spacing w:val="-7"/>
        </w:rPr>
        <w:t xml:space="preserve"> </w:t>
      </w:r>
      <w:r>
        <w:t>una</w:t>
      </w:r>
      <w:r>
        <w:rPr>
          <w:spacing w:val="-8"/>
        </w:rPr>
        <w:t xml:space="preserve"> </w:t>
      </w:r>
      <w:r>
        <w:t>prueba</w:t>
      </w:r>
      <w:r>
        <w:rPr>
          <w:spacing w:val="-8"/>
        </w:rPr>
        <w:t xml:space="preserve"> </w:t>
      </w:r>
      <w:r>
        <w:t>realizada</w:t>
      </w:r>
      <w:r>
        <w:rPr>
          <w:spacing w:val="-8"/>
        </w:rPr>
        <w:t xml:space="preserve"> </w:t>
      </w:r>
      <w:r>
        <w:t>por</w:t>
      </w:r>
      <w:r>
        <w:rPr>
          <w:spacing w:val="-8"/>
        </w:rPr>
        <w:t xml:space="preserve"> </w:t>
      </w:r>
      <w:r>
        <w:t>la</w:t>
      </w:r>
      <w:r>
        <w:rPr>
          <w:spacing w:val="-8"/>
        </w:rPr>
        <w:t xml:space="preserve"> </w:t>
      </w:r>
      <w:r>
        <w:t>Unión</w:t>
      </w:r>
      <w:r>
        <w:rPr>
          <w:spacing w:val="-8"/>
        </w:rPr>
        <w:t xml:space="preserve"> </w:t>
      </w:r>
      <w:r>
        <w:t>Estadounidense</w:t>
      </w:r>
      <w:r>
        <w:rPr>
          <w:spacing w:val="-8"/>
        </w:rPr>
        <w:t xml:space="preserve"> </w:t>
      </w:r>
      <w:r>
        <w:t>de</w:t>
      </w:r>
      <w:r>
        <w:rPr>
          <w:spacing w:val="-8"/>
        </w:rPr>
        <w:t xml:space="preserve"> </w:t>
      </w:r>
      <w:r>
        <w:t>Libertades</w:t>
      </w:r>
      <w:r>
        <w:rPr>
          <w:spacing w:val="-8"/>
        </w:rPr>
        <w:t xml:space="preserve"> </w:t>
      </w:r>
      <w:r>
        <w:t>Civiles</w:t>
      </w:r>
      <w:r>
        <w:rPr>
          <w:spacing w:val="-8"/>
        </w:rPr>
        <w:t xml:space="preserve"> </w:t>
      </w:r>
      <w:r>
        <w:t>en</w:t>
      </w:r>
      <w:r>
        <w:rPr>
          <w:spacing w:val="-8"/>
        </w:rPr>
        <w:t xml:space="preserve"> </w:t>
      </w:r>
      <w:r>
        <w:t>julio</w:t>
      </w:r>
      <w:r>
        <w:rPr>
          <w:spacing w:val="-8"/>
        </w:rPr>
        <w:t xml:space="preserve"> </w:t>
      </w:r>
      <w:r>
        <w:t>de</w:t>
      </w:r>
      <w:r>
        <w:rPr>
          <w:spacing w:val="-8"/>
        </w:rPr>
        <w:t xml:space="preserve"> </w:t>
      </w:r>
      <w:r>
        <w:t>2018</w:t>
      </w:r>
      <w:r>
        <w:rPr>
          <w:spacing w:val="-8"/>
        </w:rPr>
        <w:t xml:space="preserve"> </w:t>
      </w:r>
      <w:r>
        <w:t>encontró</w:t>
      </w:r>
      <w:r>
        <w:rPr>
          <w:spacing w:val="-8"/>
        </w:rPr>
        <w:t xml:space="preserve"> </w:t>
      </w:r>
      <w:r>
        <w:t>que</w:t>
      </w:r>
      <w:r>
        <w:rPr>
          <w:spacing w:val="-8"/>
        </w:rPr>
        <w:t xml:space="preserve"> </w:t>
      </w:r>
      <w:r>
        <w:t>la herramienta</w:t>
      </w:r>
      <w:r>
        <w:rPr>
          <w:spacing w:val="-11"/>
        </w:rPr>
        <w:t xml:space="preserve"> </w:t>
      </w:r>
      <w:r>
        <w:t>de</w:t>
      </w:r>
      <w:r>
        <w:rPr>
          <w:spacing w:val="-11"/>
        </w:rPr>
        <w:t xml:space="preserve"> </w:t>
      </w:r>
      <w:r>
        <w:t>reconocimiento</w:t>
      </w:r>
      <w:r>
        <w:rPr>
          <w:spacing w:val="-11"/>
        </w:rPr>
        <w:t xml:space="preserve"> </w:t>
      </w:r>
      <w:r>
        <w:t>facial</w:t>
      </w:r>
      <w:r>
        <w:rPr>
          <w:spacing w:val="-11"/>
        </w:rPr>
        <w:t xml:space="preserve"> </w:t>
      </w:r>
      <w:proofErr w:type="spellStart"/>
      <w:r>
        <w:t>Rekognition</w:t>
      </w:r>
      <w:proofErr w:type="spellEnd"/>
      <w:r>
        <w:rPr>
          <w:spacing w:val="-11"/>
        </w:rPr>
        <w:t xml:space="preserve"> </w:t>
      </w:r>
      <w:r>
        <w:t>coincidió</w:t>
      </w:r>
      <w:r>
        <w:rPr>
          <w:spacing w:val="-11"/>
        </w:rPr>
        <w:t xml:space="preserve"> </w:t>
      </w:r>
      <w:r>
        <w:t>incorrectamente</w:t>
      </w:r>
      <w:r>
        <w:rPr>
          <w:spacing w:val="-11"/>
        </w:rPr>
        <w:t xml:space="preserve"> </w:t>
      </w:r>
      <w:r>
        <w:t>con</w:t>
      </w:r>
      <w:r>
        <w:rPr>
          <w:spacing w:val="-11"/>
        </w:rPr>
        <w:t xml:space="preserve"> </w:t>
      </w:r>
      <w:r>
        <w:t>28</w:t>
      </w:r>
      <w:r>
        <w:rPr>
          <w:spacing w:val="-11"/>
        </w:rPr>
        <w:t xml:space="preserve"> </w:t>
      </w:r>
      <w:r>
        <w:t>miembros</w:t>
      </w:r>
      <w:r>
        <w:rPr>
          <w:spacing w:val="-11"/>
        </w:rPr>
        <w:t xml:space="preserve"> </w:t>
      </w:r>
      <w:r>
        <w:t>del</w:t>
      </w:r>
      <w:r>
        <w:rPr>
          <w:spacing w:val="-11"/>
        </w:rPr>
        <w:t xml:space="preserve"> </w:t>
      </w:r>
      <w:r>
        <w:t>Congreso,</w:t>
      </w:r>
      <w:r>
        <w:rPr>
          <w:spacing w:val="-11"/>
        </w:rPr>
        <w:t xml:space="preserve"> </w:t>
      </w:r>
      <w:r>
        <w:t>identificándolos como</w:t>
      </w:r>
      <w:r>
        <w:rPr>
          <w:spacing w:val="-2"/>
        </w:rPr>
        <w:t xml:space="preserve"> </w:t>
      </w:r>
      <w:r>
        <w:t>personas</w:t>
      </w:r>
      <w:r>
        <w:rPr>
          <w:spacing w:val="-2"/>
        </w:rPr>
        <w:t xml:space="preserve"> </w:t>
      </w:r>
      <w:r>
        <w:t>que</w:t>
      </w:r>
      <w:r>
        <w:rPr>
          <w:spacing w:val="-2"/>
        </w:rPr>
        <w:t xml:space="preserve"> </w:t>
      </w:r>
      <w:r>
        <w:t>habían</w:t>
      </w:r>
      <w:r>
        <w:rPr>
          <w:spacing w:val="-2"/>
        </w:rPr>
        <w:t xml:space="preserve"> </w:t>
      </w:r>
      <w:r>
        <w:t>sido</w:t>
      </w:r>
      <w:r>
        <w:rPr>
          <w:spacing w:val="-2"/>
        </w:rPr>
        <w:t xml:space="preserve"> </w:t>
      </w:r>
      <w:r>
        <w:t>arrestadas</w:t>
      </w:r>
      <w:r>
        <w:rPr>
          <w:spacing w:val="-2"/>
        </w:rPr>
        <w:t xml:space="preserve"> </w:t>
      </w:r>
      <w:r>
        <w:t>por</w:t>
      </w:r>
      <w:r>
        <w:rPr>
          <w:spacing w:val="-2"/>
        </w:rPr>
        <w:t xml:space="preserve"> </w:t>
      </w:r>
      <w:r>
        <w:t>un</w:t>
      </w:r>
      <w:r>
        <w:rPr>
          <w:spacing w:val="-2"/>
        </w:rPr>
        <w:t xml:space="preserve"> </w:t>
      </w:r>
      <w:r>
        <w:t>delito.1224</w:t>
      </w:r>
      <w:r>
        <w:rPr>
          <w:spacing w:val="-2"/>
        </w:rPr>
        <w:t xml:space="preserve"> </w:t>
      </w:r>
      <w:r>
        <w:t>Las</w:t>
      </w:r>
      <w:r>
        <w:rPr>
          <w:spacing w:val="-2"/>
        </w:rPr>
        <w:t xml:space="preserve"> </w:t>
      </w:r>
      <w:r>
        <w:t>coincidencias</w:t>
      </w:r>
      <w:r>
        <w:rPr>
          <w:spacing w:val="-2"/>
        </w:rPr>
        <w:t xml:space="preserve"> </w:t>
      </w:r>
      <w:r>
        <w:t>falsas</w:t>
      </w:r>
      <w:r>
        <w:rPr>
          <w:spacing w:val="-2"/>
        </w:rPr>
        <w:t xml:space="preserve"> </w:t>
      </w:r>
      <w:r>
        <w:t>fueron</w:t>
      </w:r>
      <w:r>
        <w:rPr>
          <w:spacing w:val="-2"/>
        </w:rPr>
        <w:t xml:space="preserve"> </w:t>
      </w:r>
      <w:r>
        <w:t>desproporcionadamente</w:t>
      </w:r>
      <w:r>
        <w:rPr>
          <w:spacing w:val="-2"/>
        </w:rPr>
        <w:t xml:space="preserve"> </w:t>
      </w:r>
      <w:r>
        <w:t xml:space="preserve">de personas de </w:t>
      </w:r>
      <w:proofErr w:type="gramStart"/>
      <w:r>
        <w:t>color ,</w:t>
      </w:r>
      <w:proofErr w:type="gramEnd"/>
      <w:r>
        <w:t xml:space="preserve"> incluidos seis miembros del Caucus Negro del Congreso.</w:t>
      </w:r>
    </w:p>
    <w:p w14:paraId="79D02855" w14:textId="77777777" w:rsidR="0014798C" w:rsidRDefault="004E1F0B">
      <w:pPr>
        <w:pStyle w:val="Textoindependiente"/>
        <w:spacing w:before="109" w:line="326" w:lineRule="auto"/>
        <w:ind w:left="1337" w:right="1272" w:hanging="5"/>
      </w:pPr>
      <w:r>
        <w:t>Los</w:t>
      </w:r>
      <w:r>
        <w:rPr>
          <w:spacing w:val="-8"/>
        </w:rPr>
        <w:t xml:space="preserve"> </w:t>
      </w:r>
      <w:r>
        <w:t>ejemplos</w:t>
      </w:r>
      <w:r>
        <w:rPr>
          <w:spacing w:val="-8"/>
        </w:rPr>
        <w:t xml:space="preserve"> </w:t>
      </w:r>
      <w:r>
        <w:t>proporcionados</w:t>
      </w:r>
      <w:r>
        <w:rPr>
          <w:spacing w:val="-8"/>
        </w:rPr>
        <w:t xml:space="preserve"> </w:t>
      </w:r>
      <w:r>
        <w:t>aquí</w:t>
      </w:r>
      <w:r>
        <w:rPr>
          <w:spacing w:val="-8"/>
        </w:rPr>
        <w:t xml:space="preserve"> </w:t>
      </w:r>
      <w:r>
        <w:t>están</w:t>
      </w:r>
      <w:r>
        <w:rPr>
          <w:spacing w:val="-8"/>
        </w:rPr>
        <w:t xml:space="preserve"> </w:t>
      </w:r>
      <w:r>
        <w:t>en</w:t>
      </w:r>
      <w:r>
        <w:rPr>
          <w:spacing w:val="-8"/>
        </w:rPr>
        <w:t xml:space="preserve"> </w:t>
      </w:r>
      <w:r>
        <w:t>la</w:t>
      </w:r>
      <w:r>
        <w:rPr>
          <w:spacing w:val="-8"/>
        </w:rPr>
        <w:t xml:space="preserve"> </w:t>
      </w:r>
      <w:r>
        <w:t>punta</w:t>
      </w:r>
      <w:r>
        <w:rPr>
          <w:spacing w:val="-8"/>
        </w:rPr>
        <w:t xml:space="preserve"> </w:t>
      </w:r>
      <w:r>
        <w:t>del</w:t>
      </w:r>
      <w:r>
        <w:rPr>
          <w:spacing w:val="-8"/>
        </w:rPr>
        <w:t xml:space="preserve"> </w:t>
      </w:r>
      <w:r>
        <w:t>iceberg,</w:t>
      </w:r>
      <w:r>
        <w:rPr>
          <w:spacing w:val="-7"/>
        </w:rPr>
        <w:t xml:space="preserve"> </w:t>
      </w:r>
      <w:r>
        <w:t>y</w:t>
      </w:r>
      <w:r>
        <w:rPr>
          <w:spacing w:val="-8"/>
        </w:rPr>
        <w:t xml:space="preserve"> </w:t>
      </w:r>
      <w:r>
        <w:t>un</w:t>
      </w:r>
      <w:r>
        <w:rPr>
          <w:spacing w:val="-8"/>
        </w:rPr>
        <w:t xml:space="preserve"> </w:t>
      </w:r>
      <w:r>
        <w:t>análisis</w:t>
      </w:r>
      <w:r>
        <w:rPr>
          <w:spacing w:val="-8"/>
        </w:rPr>
        <w:t xml:space="preserve"> </w:t>
      </w:r>
      <w:r>
        <w:t>completo</w:t>
      </w:r>
      <w:r>
        <w:rPr>
          <w:spacing w:val="-8"/>
        </w:rPr>
        <w:t xml:space="preserve"> </w:t>
      </w:r>
      <w:r>
        <w:t>del</w:t>
      </w:r>
      <w:r>
        <w:rPr>
          <w:spacing w:val="-8"/>
        </w:rPr>
        <w:t xml:space="preserve"> </w:t>
      </w:r>
      <w:r>
        <w:t>impacto</w:t>
      </w:r>
      <w:r>
        <w:rPr>
          <w:spacing w:val="-8"/>
        </w:rPr>
        <w:t xml:space="preserve"> </w:t>
      </w:r>
      <w:r>
        <w:t>discriminatorio</w:t>
      </w:r>
      <w:r>
        <w:rPr>
          <w:spacing w:val="-8"/>
        </w:rPr>
        <w:t xml:space="preserve"> </w:t>
      </w:r>
      <w:r>
        <w:t>del</w:t>
      </w:r>
      <w:r>
        <w:rPr>
          <w:spacing w:val="-8"/>
        </w:rPr>
        <w:t xml:space="preserve"> </w:t>
      </w:r>
      <w:r>
        <w:t>uso</w:t>
      </w:r>
      <w:r>
        <w:rPr>
          <w:spacing w:val="-8"/>
        </w:rPr>
        <w:t xml:space="preserve"> </w:t>
      </w:r>
      <w:r>
        <w:t>de algoritmos</w:t>
      </w:r>
      <w:r>
        <w:rPr>
          <w:spacing w:val="-4"/>
        </w:rPr>
        <w:t xml:space="preserve"> </w:t>
      </w:r>
      <w:r>
        <w:t>está</w:t>
      </w:r>
      <w:r>
        <w:rPr>
          <w:spacing w:val="-4"/>
        </w:rPr>
        <w:t xml:space="preserve"> </w:t>
      </w:r>
      <w:r>
        <w:t>fuera</w:t>
      </w:r>
      <w:r>
        <w:rPr>
          <w:spacing w:val="-4"/>
        </w:rPr>
        <w:t xml:space="preserve"> </w:t>
      </w:r>
      <w:r>
        <w:t>del</w:t>
      </w:r>
      <w:r>
        <w:rPr>
          <w:spacing w:val="-4"/>
        </w:rPr>
        <w:t xml:space="preserve"> </w:t>
      </w:r>
      <w:r>
        <w:t>alcance</w:t>
      </w:r>
      <w:r>
        <w:rPr>
          <w:spacing w:val="-4"/>
        </w:rPr>
        <w:t xml:space="preserve"> </w:t>
      </w:r>
      <w:r>
        <w:t>de</w:t>
      </w:r>
      <w:r>
        <w:rPr>
          <w:spacing w:val="-4"/>
        </w:rPr>
        <w:t xml:space="preserve"> </w:t>
      </w:r>
      <w:r>
        <w:t>la</w:t>
      </w:r>
      <w:r>
        <w:rPr>
          <w:spacing w:val="-4"/>
        </w:rPr>
        <w:t xml:space="preserve"> </w:t>
      </w:r>
      <w:r>
        <w:t>presente</w:t>
      </w:r>
      <w:r>
        <w:rPr>
          <w:spacing w:val="-4"/>
        </w:rPr>
        <w:t xml:space="preserve"> </w:t>
      </w:r>
      <w:r>
        <w:t>guía.</w:t>
      </w:r>
      <w:r>
        <w:rPr>
          <w:spacing w:val="-4"/>
        </w:rPr>
        <w:t xml:space="preserve"> </w:t>
      </w:r>
      <w:r>
        <w:t>Sin</w:t>
      </w:r>
      <w:r>
        <w:rPr>
          <w:spacing w:val="-4"/>
        </w:rPr>
        <w:t xml:space="preserve"> </w:t>
      </w:r>
      <w:r>
        <w:t>embargo,</w:t>
      </w:r>
      <w:r>
        <w:rPr>
          <w:spacing w:val="-3"/>
        </w:rPr>
        <w:t xml:space="preserve"> </w:t>
      </w:r>
      <w:r>
        <w:t>el</w:t>
      </w:r>
      <w:r>
        <w:rPr>
          <w:spacing w:val="-4"/>
        </w:rPr>
        <w:t xml:space="preserve"> </w:t>
      </w:r>
      <w:r>
        <w:t>papel</w:t>
      </w:r>
      <w:r>
        <w:rPr>
          <w:spacing w:val="-4"/>
        </w:rPr>
        <w:t xml:space="preserve"> </w:t>
      </w:r>
      <w:r>
        <w:t>de</w:t>
      </w:r>
      <w:r>
        <w:rPr>
          <w:spacing w:val="-4"/>
        </w:rPr>
        <w:t xml:space="preserve"> </w:t>
      </w:r>
      <w:r>
        <w:t>una</w:t>
      </w:r>
      <w:r>
        <w:rPr>
          <w:spacing w:val="-4"/>
        </w:rPr>
        <w:t xml:space="preserve"> </w:t>
      </w:r>
      <w:r>
        <w:t>ley</w:t>
      </w:r>
      <w:r>
        <w:rPr>
          <w:spacing w:val="-4"/>
        </w:rPr>
        <w:t xml:space="preserve"> </w:t>
      </w:r>
      <w:r>
        <w:t>integral</w:t>
      </w:r>
      <w:r>
        <w:rPr>
          <w:spacing w:val="-4"/>
        </w:rPr>
        <w:t xml:space="preserve"> </w:t>
      </w:r>
      <w:r>
        <w:t>contra</w:t>
      </w:r>
      <w:r>
        <w:rPr>
          <w:spacing w:val="-4"/>
        </w:rPr>
        <w:t xml:space="preserve"> </w:t>
      </w:r>
      <w:r>
        <w:t>la</w:t>
      </w:r>
      <w:r>
        <w:rPr>
          <w:spacing w:val="-4"/>
        </w:rPr>
        <w:t xml:space="preserve"> </w:t>
      </w:r>
      <w:r>
        <w:t>discriminación</w:t>
      </w:r>
      <w:r>
        <w:rPr>
          <w:spacing w:val="-4"/>
        </w:rPr>
        <w:t xml:space="preserve"> </w:t>
      </w:r>
      <w:r>
        <w:t>para abordar</w:t>
      </w:r>
      <w:r>
        <w:rPr>
          <w:spacing w:val="-4"/>
        </w:rPr>
        <w:t xml:space="preserve"> </w:t>
      </w:r>
      <w:r>
        <w:t>estos</w:t>
      </w:r>
      <w:r>
        <w:rPr>
          <w:spacing w:val="-4"/>
        </w:rPr>
        <w:t xml:space="preserve"> </w:t>
      </w:r>
      <w:r>
        <w:t>daños</w:t>
      </w:r>
      <w:r>
        <w:rPr>
          <w:spacing w:val="-4"/>
        </w:rPr>
        <w:t xml:space="preserve"> </w:t>
      </w:r>
      <w:r>
        <w:t>es</w:t>
      </w:r>
      <w:r>
        <w:rPr>
          <w:spacing w:val="-4"/>
        </w:rPr>
        <w:t xml:space="preserve"> </w:t>
      </w:r>
      <w:r>
        <w:t>clave.</w:t>
      </w:r>
      <w:r>
        <w:rPr>
          <w:spacing w:val="-4"/>
        </w:rPr>
        <w:t xml:space="preserve"> </w:t>
      </w:r>
      <w:r>
        <w:t>Es</w:t>
      </w:r>
      <w:r>
        <w:rPr>
          <w:spacing w:val="-4"/>
        </w:rPr>
        <w:t xml:space="preserve"> </w:t>
      </w:r>
      <w:r>
        <w:t>fundamental</w:t>
      </w:r>
      <w:r>
        <w:rPr>
          <w:spacing w:val="-4"/>
        </w:rPr>
        <w:t xml:space="preserve"> </w:t>
      </w:r>
      <w:r>
        <w:t>que</w:t>
      </w:r>
      <w:r>
        <w:rPr>
          <w:spacing w:val="-4"/>
        </w:rPr>
        <w:t xml:space="preserve"> </w:t>
      </w:r>
      <w:r>
        <w:t>tanto</w:t>
      </w:r>
      <w:r>
        <w:rPr>
          <w:spacing w:val="-4"/>
        </w:rPr>
        <w:t xml:space="preserve"> </w:t>
      </w:r>
      <w:r>
        <w:t>los</w:t>
      </w:r>
      <w:r>
        <w:rPr>
          <w:spacing w:val="-4"/>
        </w:rPr>
        <w:t xml:space="preserve"> </w:t>
      </w:r>
      <w:r>
        <w:t>actores</w:t>
      </w:r>
      <w:r>
        <w:rPr>
          <w:spacing w:val="-4"/>
        </w:rPr>
        <w:t xml:space="preserve"> </w:t>
      </w:r>
      <w:r>
        <w:t>públicos</w:t>
      </w:r>
      <w:r>
        <w:rPr>
          <w:spacing w:val="-4"/>
        </w:rPr>
        <w:t xml:space="preserve"> </w:t>
      </w:r>
      <w:r>
        <w:t>como</w:t>
      </w:r>
      <w:r>
        <w:rPr>
          <w:spacing w:val="-4"/>
        </w:rPr>
        <w:t xml:space="preserve"> </w:t>
      </w:r>
      <w:r>
        <w:t>los</w:t>
      </w:r>
      <w:r>
        <w:rPr>
          <w:spacing w:val="-4"/>
        </w:rPr>
        <w:t xml:space="preserve"> </w:t>
      </w:r>
      <w:r>
        <w:t>privados</w:t>
      </w:r>
      <w:r>
        <w:rPr>
          <w:spacing w:val="-4"/>
        </w:rPr>
        <w:t xml:space="preserve"> </w:t>
      </w:r>
      <w:r>
        <w:t>estén</w:t>
      </w:r>
      <w:r>
        <w:rPr>
          <w:spacing w:val="-4"/>
        </w:rPr>
        <w:t xml:space="preserve"> </w:t>
      </w:r>
      <w:r>
        <w:t>sujetos</w:t>
      </w:r>
      <w:r>
        <w:rPr>
          <w:spacing w:val="-4"/>
        </w:rPr>
        <w:t xml:space="preserve"> </w:t>
      </w:r>
      <w:r>
        <w:t>a</w:t>
      </w:r>
      <w:r>
        <w:rPr>
          <w:spacing w:val="-4"/>
        </w:rPr>
        <w:t xml:space="preserve"> </w:t>
      </w:r>
      <w:r>
        <w:t>obligaciones legales</w:t>
      </w:r>
      <w:r>
        <w:rPr>
          <w:spacing w:val="-1"/>
        </w:rPr>
        <w:t xml:space="preserve"> </w:t>
      </w:r>
      <w:r>
        <w:t>que</w:t>
      </w:r>
      <w:r>
        <w:rPr>
          <w:spacing w:val="-1"/>
        </w:rPr>
        <w:t xml:space="preserve"> </w:t>
      </w:r>
      <w:r>
        <w:t>les</w:t>
      </w:r>
      <w:r>
        <w:rPr>
          <w:spacing w:val="-1"/>
        </w:rPr>
        <w:t xml:space="preserve"> </w:t>
      </w:r>
      <w:r>
        <w:t>exijan</w:t>
      </w:r>
      <w:r>
        <w:rPr>
          <w:spacing w:val="-1"/>
        </w:rPr>
        <w:t xml:space="preserve"> </w:t>
      </w:r>
      <w:r>
        <w:t>garantizar</w:t>
      </w:r>
      <w:r>
        <w:rPr>
          <w:spacing w:val="-1"/>
        </w:rPr>
        <w:t xml:space="preserve"> </w:t>
      </w:r>
      <w:r>
        <w:t>que</w:t>
      </w:r>
      <w:r>
        <w:rPr>
          <w:spacing w:val="-1"/>
        </w:rPr>
        <w:t xml:space="preserve"> </w:t>
      </w:r>
      <w:r>
        <w:t>el</w:t>
      </w:r>
      <w:r>
        <w:rPr>
          <w:spacing w:val="-1"/>
        </w:rPr>
        <w:t xml:space="preserve"> </w:t>
      </w:r>
      <w:r>
        <w:t>uso</w:t>
      </w:r>
      <w:r>
        <w:rPr>
          <w:spacing w:val="-1"/>
        </w:rPr>
        <w:t xml:space="preserve"> </w:t>
      </w:r>
      <w:r>
        <w:t>de</w:t>
      </w:r>
      <w:r>
        <w:rPr>
          <w:spacing w:val="-1"/>
        </w:rPr>
        <w:t xml:space="preserve"> </w:t>
      </w:r>
      <w:r>
        <w:t>sistemas</w:t>
      </w:r>
      <w:r>
        <w:rPr>
          <w:spacing w:val="-1"/>
        </w:rPr>
        <w:t xml:space="preserve"> </w:t>
      </w:r>
      <w:r>
        <w:t>algorítmicos</w:t>
      </w:r>
      <w:r>
        <w:rPr>
          <w:spacing w:val="-2"/>
        </w:rPr>
        <w:t xml:space="preserve"> </w:t>
      </w:r>
      <w:r>
        <w:t>no</w:t>
      </w:r>
      <w:r>
        <w:rPr>
          <w:spacing w:val="-1"/>
        </w:rPr>
        <w:t xml:space="preserve"> </w:t>
      </w:r>
      <w:r>
        <w:t>discrimine, directa</w:t>
      </w:r>
      <w:r>
        <w:rPr>
          <w:spacing w:val="-1"/>
        </w:rPr>
        <w:t xml:space="preserve"> </w:t>
      </w:r>
      <w:r>
        <w:t>o</w:t>
      </w:r>
      <w:r>
        <w:rPr>
          <w:spacing w:val="-1"/>
        </w:rPr>
        <w:t xml:space="preserve"> </w:t>
      </w:r>
      <w:r>
        <w:t>indirectamente, y</w:t>
      </w:r>
      <w:r>
        <w:rPr>
          <w:spacing w:val="-1"/>
        </w:rPr>
        <w:t xml:space="preserve"> </w:t>
      </w:r>
      <w:r>
        <w:t>que</w:t>
      </w:r>
      <w:r>
        <w:rPr>
          <w:spacing w:val="-1"/>
        </w:rPr>
        <w:t xml:space="preserve"> </w:t>
      </w:r>
      <w:r>
        <w:t>dichos sistemas</w:t>
      </w:r>
      <w:r>
        <w:rPr>
          <w:spacing w:val="-1"/>
        </w:rPr>
        <w:t xml:space="preserve"> </w:t>
      </w:r>
      <w:r>
        <w:t>no</w:t>
      </w:r>
      <w:r>
        <w:rPr>
          <w:spacing w:val="-1"/>
        </w:rPr>
        <w:t xml:space="preserve"> </w:t>
      </w:r>
      <w:r>
        <w:t>se</w:t>
      </w:r>
      <w:r>
        <w:rPr>
          <w:spacing w:val="-1"/>
        </w:rPr>
        <w:t xml:space="preserve"> </w:t>
      </w:r>
      <w:r>
        <w:t>utilicen</w:t>
      </w:r>
      <w:r>
        <w:rPr>
          <w:spacing w:val="-1"/>
        </w:rPr>
        <w:t xml:space="preserve"> </w:t>
      </w:r>
      <w:r>
        <w:t>para</w:t>
      </w:r>
      <w:r>
        <w:rPr>
          <w:spacing w:val="-1"/>
        </w:rPr>
        <w:t xml:space="preserve"> </w:t>
      </w:r>
      <w:r>
        <w:t>exacerbar</w:t>
      </w:r>
      <w:r>
        <w:rPr>
          <w:spacing w:val="-1"/>
        </w:rPr>
        <w:t xml:space="preserve"> </w:t>
      </w:r>
      <w:r>
        <w:t>otras</w:t>
      </w:r>
      <w:r>
        <w:rPr>
          <w:spacing w:val="-1"/>
        </w:rPr>
        <w:t xml:space="preserve"> </w:t>
      </w:r>
      <w:r>
        <w:t>formas</w:t>
      </w:r>
      <w:r>
        <w:rPr>
          <w:spacing w:val="-1"/>
        </w:rPr>
        <w:t xml:space="preserve"> </w:t>
      </w:r>
      <w:r>
        <w:t>de</w:t>
      </w:r>
      <w:r>
        <w:rPr>
          <w:spacing w:val="-1"/>
        </w:rPr>
        <w:t xml:space="preserve"> </w:t>
      </w:r>
      <w:r>
        <w:t>conducta</w:t>
      </w:r>
      <w:r>
        <w:rPr>
          <w:spacing w:val="-1"/>
        </w:rPr>
        <w:t xml:space="preserve"> </w:t>
      </w:r>
      <w:r>
        <w:t>prohibida, incluido</w:t>
      </w:r>
      <w:r>
        <w:rPr>
          <w:spacing w:val="-1"/>
        </w:rPr>
        <w:t xml:space="preserve"> </w:t>
      </w:r>
      <w:r>
        <w:t>el</w:t>
      </w:r>
      <w:r>
        <w:rPr>
          <w:spacing w:val="-1"/>
        </w:rPr>
        <w:t xml:space="preserve"> </w:t>
      </w:r>
      <w:r>
        <w:t>acoso</w:t>
      </w:r>
      <w:r>
        <w:rPr>
          <w:spacing w:val="-1"/>
        </w:rPr>
        <w:t xml:space="preserve"> </w:t>
      </w:r>
      <w:r>
        <w:t>y</w:t>
      </w:r>
      <w:r>
        <w:rPr>
          <w:spacing w:val="-1"/>
        </w:rPr>
        <w:t xml:space="preserve"> </w:t>
      </w:r>
      <w:r>
        <w:t>El</w:t>
      </w:r>
      <w:r>
        <w:rPr>
          <w:spacing w:val="-1"/>
        </w:rPr>
        <w:t xml:space="preserve"> </w:t>
      </w:r>
      <w:r>
        <w:t>discurso</w:t>
      </w:r>
      <w:r>
        <w:rPr>
          <w:spacing w:val="-1"/>
        </w:rPr>
        <w:t xml:space="preserve"> </w:t>
      </w:r>
      <w:r>
        <w:t>del</w:t>
      </w:r>
      <w:r>
        <w:rPr>
          <w:spacing w:val="-1"/>
        </w:rPr>
        <w:t xml:space="preserve"> </w:t>
      </w:r>
      <w:r>
        <w:t>odio.</w:t>
      </w:r>
    </w:p>
    <w:p w14:paraId="41A8381E" w14:textId="77777777" w:rsidR="0014798C" w:rsidRDefault="0014798C">
      <w:pPr>
        <w:pStyle w:val="Textoindependiente"/>
        <w:spacing w:before="171"/>
      </w:pPr>
    </w:p>
    <w:p w14:paraId="6D7DBED2" w14:textId="77777777" w:rsidR="0014798C" w:rsidRDefault="004E1F0B">
      <w:pPr>
        <w:pStyle w:val="Textoindependiente"/>
        <w:spacing w:line="324" w:lineRule="auto"/>
        <w:ind w:left="1333" w:right="1419" w:hanging="1"/>
      </w:pPr>
      <w:r>
        <w:rPr>
          <w:sz w:val="17"/>
        </w:rPr>
        <w:t xml:space="preserve">También es vital que se adopte un enfoque de igualdad de derechos en el diseño y desarrollo de dichas tecnologías. </w:t>
      </w:r>
      <w:r>
        <w:t>En</w:t>
      </w:r>
      <w:r>
        <w:rPr>
          <w:spacing w:val="-8"/>
        </w:rPr>
        <w:t xml:space="preserve"> </w:t>
      </w:r>
      <w:r>
        <w:t>concreto,</w:t>
      </w:r>
      <w:r>
        <w:rPr>
          <w:spacing w:val="-7"/>
        </w:rPr>
        <w:t xml:space="preserve"> </w:t>
      </w:r>
      <w:r>
        <w:t>la</w:t>
      </w:r>
      <w:r>
        <w:rPr>
          <w:spacing w:val="-8"/>
        </w:rPr>
        <w:t xml:space="preserve"> </w:t>
      </w:r>
      <w:r>
        <w:t>realización</w:t>
      </w:r>
      <w:r>
        <w:rPr>
          <w:spacing w:val="-8"/>
        </w:rPr>
        <w:t xml:space="preserve"> </w:t>
      </w:r>
      <w:r>
        <w:t>de</w:t>
      </w:r>
      <w:r>
        <w:rPr>
          <w:spacing w:val="-8"/>
        </w:rPr>
        <w:t xml:space="preserve"> </w:t>
      </w:r>
      <w:r>
        <w:t>una</w:t>
      </w:r>
      <w:r>
        <w:rPr>
          <w:spacing w:val="-8"/>
        </w:rPr>
        <w:t xml:space="preserve"> </w:t>
      </w:r>
      <w:r>
        <w:t>evaluación</w:t>
      </w:r>
      <w:r>
        <w:rPr>
          <w:spacing w:val="-8"/>
        </w:rPr>
        <w:t xml:space="preserve"> </w:t>
      </w:r>
      <w:r>
        <w:t>de</w:t>
      </w:r>
      <w:r>
        <w:rPr>
          <w:spacing w:val="-8"/>
        </w:rPr>
        <w:t xml:space="preserve"> </w:t>
      </w:r>
      <w:r>
        <w:t>impacto</w:t>
      </w:r>
      <w:r>
        <w:rPr>
          <w:spacing w:val="-8"/>
        </w:rPr>
        <w:t xml:space="preserve"> </w:t>
      </w:r>
      <w:r>
        <w:t>en</w:t>
      </w:r>
      <w:r>
        <w:rPr>
          <w:spacing w:val="-8"/>
        </w:rPr>
        <w:t xml:space="preserve"> </w:t>
      </w:r>
      <w:r>
        <w:t>la</w:t>
      </w:r>
      <w:r>
        <w:rPr>
          <w:spacing w:val="-8"/>
        </w:rPr>
        <w:t xml:space="preserve"> </w:t>
      </w:r>
      <w:r>
        <w:t>igualdad</w:t>
      </w:r>
      <w:r>
        <w:rPr>
          <w:spacing w:val="-8"/>
        </w:rPr>
        <w:t xml:space="preserve"> </w:t>
      </w:r>
      <w:r>
        <w:t>debe</w:t>
      </w:r>
      <w:r>
        <w:rPr>
          <w:spacing w:val="-8"/>
        </w:rPr>
        <w:t xml:space="preserve"> </w:t>
      </w:r>
      <w:r>
        <w:t>ser</w:t>
      </w:r>
      <w:r>
        <w:rPr>
          <w:spacing w:val="-8"/>
        </w:rPr>
        <w:t xml:space="preserve"> </w:t>
      </w:r>
      <w:r>
        <w:t>un</w:t>
      </w:r>
      <w:r>
        <w:rPr>
          <w:spacing w:val="-8"/>
        </w:rPr>
        <w:t xml:space="preserve"> </w:t>
      </w:r>
      <w:r>
        <w:t>requisito</w:t>
      </w:r>
      <w:r>
        <w:rPr>
          <w:spacing w:val="-8"/>
        </w:rPr>
        <w:t xml:space="preserve"> </w:t>
      </w:r>
      <w:r>
        <w:t>básico</w:t>
      </w:r>
      <w:r>
        <w:rPr>
          <w:spacing w:val="-8"/>
        </w:rPr>
        <w:t xml:space="preserve"> </w:t>
      </w:r>
      <w:r>
        <w:t>para</w:t>
      </w:r>
      <w:r>
        <w:rPr>
          <w:spacing w:val="-8"/>
        </w:rPr>
        <w:t xml:space="preserve"> </w:t>
      </w:r>
      <w:r>
        <w:t>el</w:t>
      </w:r>
      <w:r>
        <w:rPr>
          <w:spacing w:val="-8"/>
        </w:rPr>
        <w:t xml:space="preserve"> </w:t>
      </w:r>
      <w:r>
        <w:t>diseño,</w:t>
      </w:r>
      <w:r>
        <w:rPr>
          <w:spacing w:val="-8"/>
        </w:rPr>
        <w:t xml:space="preserve"> </w:t>
      </w:r>
      <w:r>
        <w:t>despliegue y</w:t>
      </w:r>
      <w:r>
        <w:rPr>
          <w:spacing w:val="-3"/>
        </w:rPr>
        <w:t xml:space="preserve"> </w:t>
      </w:r>
      <w:r>
        <w:t>seguimiento</w:t>
      </w:r>
      <w:r>
        <w:rPr>
          <w:spacing w:val="-3"/>
        </w:rPr>
        <w:t xml:space="preserve"> </w:t>
      </w:r>
      <w:r>
        <w:t>de</w:t>
      </w:r>
      <w:r>
        <w:rPr>
          <w:spacing w:val="-3"/>
        </w:rPr>
        <w:t xml:space="preserve"> </w:t>
      </w:r>
      <w:r>
        <w:t>todos</w:t>
      </w:r>
      <w:r>
        <w:rPr>
          <w:spacing w:val="-3"/>
        </w:rPr>
        <w:t xml:space="preserve"> </w:t>
      </w:r>
      <w:r>
        <w:t>los</w:t>
      </w:r>
      <w:r>
        <w:rPr>
          <w:spacing w:val="-3"/>
        </w:rPr>
        <w:t xml:space="preserve"> </w:t>
      </w:r>
      <w:r>
        <w:t>sistemas</w:t>
      </w:r>
      <w:r>
        <w:rPr>
          <w:spacing w:val="-3"/>
        </w:rPr>
        <w:t xml:space="preserve"> </w:t>
      </w:r>
      <w:r>
        <w:t>algorítmicos.</w:t>
      </w:r>
      <w:r>
        <w:rPr>
          <w:spacing w:val="-2"/>
        </w:rPr>
        <w:t xml:space="preserve"> </w:t>
      </w:r>
      <w:r>
        <w:t>Dicha</w:t>
      </w:r>
      <w:r>
        <w:rPr>
          <w:spacing w:val="-3"/>
        </w:rPr>
        <w:t xml:space="preserve"> </w:t>
      </w:r>
      <w:r>
        <w:t>evaluación</w:t>
      </w:r>
      <w:r>
        <w:rPr>
          <w:spacing w:val="-3"/>
        </w:rPr>
        <w:t xml:space="preserve"> </w:t>
      </w:r>
      <w:r>
        <w:t>debe</w:t>
      </w:r>
      <w:r>
        <w:rPr>
          <w:spacing w:val="-3"/>
        </w:rPr>
        <w:t xml:space="preserve"> </w:t>
      </w:r>
      <w:r>
        <w:t>ser</w:t>
      </w:r>
      <w:r>
        <w:rPr>
          <w:spacing w:val="-3"/>
        </w:rPr>
        <w:t xml:space="preserve"> </w:t>
      </w:r>
      <w:r>
        <w:t>sustantiva</w:t>
      </w:r>
      <w:r>
        <w:rPr>
          <w:spacing w:val="-3"/>
        </w:rPr>
        <w:t xml:space="preserve"> </w:t>
      </w:r>
      <w:r>
        <w:t>y</w:t>
      </w:r>
      <w:r>
        <w:rPr>
          <w:spacing w:val="-3"/>
        </w:rPr>
        <w:t xml:space="preserve"> </w:t>
      </w:r>
      <w:r>
        <w:t>significativa,</w:t>
      </w:r>
      <w:r>
        <w:rPr>
          <w:spacing w:val="-2"/>
        </w:rPr>
        <w:t xml:space="preserve"> </w:t>
      </w:r>
      <w:r>
        <w:t>incorporando</w:t>
      </w:r>
      <w:r>
        <w:rPr>
          <w:spacing w:val="-3"/>
        </w:rPr>
        <w:t xml:space="preserve"> </w:t>
      </w:r>
      <w:r>
        <w:t>la consideración de los efectos discriminatorios</w:t>
      </w:r>
      <w:r>
        <w:rPr>
          <w:spacing w:val="-1"/>
        </w:rPr>
        <w:t xml:space="preserve"> </w:t>
      </w:r>
      <w:r>
        <w:t>reales o potenciales del uso de sistemas algorítmicos</w:t>
      </w:r>
      <w:r>
        <w:rPr>
          <w:spacing w:val="-1"/>
        </w:rPr>
        <w:t xml:space="preserve"> </w:t>
      </w:r>
      <w:r>
        <w:t>mediante consultas con grupos</w:t>
      </w:r>
      <w:r>
        <w:rPr>
          <w:spacing w:val="-1"/>
        </w:rPr>
        <w:t xml:space="preserve"> </w:t>
      </w:r>
      <w:r>
        <w:t>que</w:t>
      </w:r>
      <w:r>
        <w:rPr>
          <w:spacing w:val="-1"/>
        </w:rPr>
        <w:t xml:space="preserve"> </w:t>
      </w:r>
      <w:r>
        <w:t>corren</w:t>
      </w:r>
      <w:r>
        <w:rPr>
          <w:spacing w:val="-1"/>
        </w:rPr>
        <w:t xml:space="preserve"> </w:t>
      </w:r>
      <w:r>
        <w:t>el</w:t>
      </w:r>
      <w:r>
        <w:rPr>
          <w:spacing w:val="-1"/>
        </w:rPr>
        <w:t xml:space="preserve"> </w:t>
      </w:r>
      <w:r>
        <w:t>riesgo</w:t>
      </w:r>
      <w:r>
        <w:rPr>
          <w:spacing w:val="-1"/>
        </w:rPr>
        <w:t xml:space="preserve"> </w:t>
      </w:r>
      <w:r>
        <w:t>de</w:t>
      </w:r>
      <w:r>
        <w:rPr>
          <w:spacing w:val="-1"/>
        </w:rPr>
        <w:t xml:space="preserve"> </w:t>
      </w:r>
      <w:r>
        <w:t>experimentar</w:t>
      </w:r>
      <w:r>
        <w:rPr>
          <w:spacing w:val="-1"/>
        </w:rPr>
        <w:t xml:space="preserve"> </w:t>
      </w:r>
      <w:r>
        <w:t>tales</w:t>
      </w:r>
      <w:r>
        <w:rPr>
          <w:spacing w:val="-1"/>
        </w:rPr>
        <w:t xml:space="preserve"> </w:t>
      </w:r>
      <w:r>
        <w:t>efectos.</w:t>
      </w:r>
      <w:r>
        <w:rPr>
          <w:spacing w:val="-1"/>
        </w:rPr>
        <w:t xml:space="preserve"> </w:t>
      </w:r>
      <w:r>
        <w:t>El</w:t>
      </w:r>
      <w:r>
        <w:rPr>
          <w:spacing w:val="-1"/>
        </w:rPr>
        <w:t xml:space="preserve"> </w:t>
      </w:r>
      <w:r>
        <w:t>Relator</w:t>
      </w:r>
      <w:r>
        <w:rPr>
          <w:spacing w:val="-1"/>
        </w:rPr>
        <w:t xml:space="preserve"> </w:t>
      </w:r>
      <w:r>
        <w:t>Especial</w:t>
      </w:r>
      <w:r>
        <w:rPr>
          <w:spacing w:val="-1"/>
        </w:rPr>
        <w:t xml:space="preserve"> </w:t>
      </w:r>
      <w:r>
        <w:t>sobre</w:t>
      </w:r>
      <w:r>
        <w:rPr>
          <w:spacing w:val="-1"/>
        </w:rPr>
        <w:t xml:space="preserve"> </w:t>
      </w:r>
      <w:r>
        <w:t>las</w:t>
      </w:r>
      <w:r>
        <w:rPr>
          <w:spacing w:val="-1"/>
        </w:rPr>
        <w:t xml:space="preserve"> </w:t>
      </w:r>
      <w:r>
        <w:t>formas</w:t>
      </w:r>
      <w:r>
        <w:rPr>
          <w:spacing w:val="-1"/>
        </w:rPr>
        <w:t xml:space="preserve"> </w:t>
      </w:r>
      <w:r>
        <w:t>contemporáneas</w:t>
      </w:r>
      <w:r>
        <w:rPr>
          <w:spacing w:val="-1"/>
        </w:rPr>
        <w:t xml:space="preserve"> </w:t>
      </w:r>
      <w:r>
        <w:t>de</w:t>
      </w:r>
      <w:r>
        <w:rPr>
          <w:spacing w:val="-1"/>
        </w:rPr>
        <w:t xml:space="preserve"> </w:t>
      </w:r>
      <w:r>
        <w:t>racismo, discriminación</w:t>
      </w:r>
      <w:r>
        <w:rPr>
          <w:spacing w:val="-3"/>
        </w:rPr>
        <w:t xml:space="preserve"> </w:t>
      </w:r>
      <w:r>
        <w:t>racial,</w:t>
      </w:r>
      <w:r>
        <w:rPr>
          <w:spacing w:val="-3"/>
        </w:rPr>
        <w:t xml:space="preserve"> </w:t>
      </w:r>
      <w:r>
        <w:t>xenofobia</w:t>
      </w:r>
      <w:r>
        <w:rPr>
          <w:spacing w:val="-3"/>
        </w:rPr>
        <w:t xml:space="preserve"> </w:t>
      </w:r>
      <w:r>
        <w:t>y</w:t>
      </w:r>
      <w:r>
        <w:rPr>
          <w:spacing w:val="-3"/>
        </w:rPr>
        <w:t xml:space="preserve"> </w:t>
      </w:r>
      <w:r>
        <w:t>formas</w:t>
      </w:r>
      <w:r>
        <w:rPr>
          <w:spacing w:val="-3"/>
        </w:rPr>
        <w:t xml:space="preserve"> </w:t>
      </w:r>
      <w:r>
        <w:t>conexas</w:t>
      </w:r>
      <w:r>
        <w:rPr>
          <w:spacing w:val="-3"/>
        </w:rPr>
        <w:t xml:space="preserve"> </w:t>
      </w:r>
      <w:r>
        <w:t>de</w:t>
      </w:r>
      <w:r>
        <w:rPr>
          <w:spacing w:val="-3"/>
        </w:rPr>
        <w:t xml:space="preserve"> </w:t>
      </w:r>
      <w:r>
        <w:t>intolerancia</w:t>
      </w:r>
      <w:r>
        <w:rPr>
          <w:spacing w:val="-3"/>
        </w:rPr>
        <w:t xml:space="preserve"> </w:t>
      </w:r>
      <w:r>
        <w:t>destacó</w:t>
      </w:r>
      <w:r>
        <w:rPr>
          <w:spacing w:val="-3"/>
        </w:rPr>
        <w:t xml:space="preserve"> </w:t>
      </w:r>
      <w:r>
        <w:t>la</w:t>
      </w:r>
      <w:r>
        <w:rPr>
          <w:spacing w:val="-3"/>
        </w:rPr>
        <w:t xml:space="preserve"> </w:t>
      </w:r>
      <w:r>
        <w:t>necesidad</w:t>
      </w:r>
      <w:r>
        <w:rPr>
          <w:spacing w:val="-3"/>
        </w:rPr>
        <w:t xml:space="preserve"> </w:t>
      </w:r>
      <w:r>
        <w:t>esencial</w:t>
      </w:r>
      <w:r>
        <w:rPr>
          <w:spacing w:val="-3"/>
        </w:rPr>
        <w:t xml:space="preserve"> </w:t>
      </w:r>
      <w:r>
        <w:t>de</w:t>
      </w:r>
      <w:r>
        <w:rPr>
          <w:spacing w:val="-3"/>
        </w:rPr>
        <w:t xml:space="preserve"> </w:t>
      </w:r>
      <w:r>
        <w:t>un</w:t>
      </w:r>
      <w:r>
        <w:rPr>
          <w:spacing w:val="-3"/>
        </w:rPr>
        <w:t xml:space="preserve"> </w:t>
      </w:r>
      <w:r>
        <w:t>“enfoque</w:t>
      </w:r>
      <w:r>
        <w:rPr>
          <w:spacing w:val="-3"/>
        </w:rPr>
        <w:t xml:space="preserve"> </w:t>
      </w:r>
      <w:r>
        <w:t>obligatorio” para</w:t>
      </w:r>
      <w:r>
        <w:rPr>
          <w:spacing w:val="-7"/>
        </w:rPr>
        <w:t xml:space="preserve"> </w:t>
      </w:r>
      <w:r>
        <w:t>la</w:t>
      </w:r>
      <w:r>
        <w:rPr>
          <w:spacing w:val="-7"/>
        </w:rPr>
        <w:t xml:space="preserve"> </w:t>
      </w:r>
      <w:r>
        <w:t>evaluación</w:t>
      </w:r>
      <w:r>
        <w:rPr>
          <w:spacing w:val="-7"/>
        </w:rPr>
        <w:t xml:space="preserve"> </w:t>
      </w:r>
      <w:r>
        <w:t>del</w:t>
      </w:r>
      <w:r>
        <w:rPr>
          <w:spacing w:val="-7"/>
        </w:rPr>
        <w:t xml:space="preserve"> </w:t>
      </w:r>
      <w:r>
        <w:t>impacto</w:t>
      </w:r>
      <w:r>
        <w:rPr>
          <w:spacing w:val="-7"/>
        </w:rPr>
        <w:t xml:space="preserve"> </w:t>
      </w:r>
      <w:r>
        <w:t>en</w:t>
      </w:r>
      <w:r>
        <w:rPr>
          <w:spacing w:val="-7"/>
        </w:rPr>
        <w:t xml:space="preserve"> </w:t>
      </w:r>
      <w:r>
        <w:t>la</w:t>
      </w:r>
      <w:r>
        <w:rPr>
          <w:spacing w:val="-7"/>
        </w:rPr>
        <w:t xml:space="preserve"> </w:t>
      </w:r>
      <w:r>
        <w:t>igualdad</w:t>
      </w:r>
      <w:r>
        <w:rPr>
          <w:spacing w:val="-7"/>
        </w:rPr>
        <w:t xml:space="preserve"> </w:t>
      </w:r>
      <w:r>
        <w:t>en</w:t>
      </w:r>
      <w:r>
        <w:rPr>
          <w:spacing w:val="-7"/>
        </w:rPr>
        <w:t xml:space="preserve"> </w:t>
      </w:r>
      <w:r>
        <w:t>el</w:t>
      </w:r>
      <w:r>
        <w:rPr>
          <w:spacing w:val="-7"/>
        </w:rPr>
        <w:t xml:space="preserve"> </w:t>
      </w:r>
      <w:r>
        <w:t>informe</w:t>
      </w:r>
      <w:r>
        <w:rPr>
          <w:spacing w:val="-7"/>
        </w:rPr>
        <w:t xml:space="preserve"> </w:t>
      </w:r>
      <w:r>
        <w:t>sobre</w:t>
      </w:r>
      <w:r>
        <w:rPr>
          <w:spacing w:val="-7"/>
        </w:rPr>
        <w:t xml:space="preserve"> </w:t>
      </w:r>
      <w:r>
        <w:t>la</w:t>
      </w:r>
      <w:r>
        <w:rPr>
          <w:spacing w:val="-7"/>
        </w:rPr>
        <w:t xml:space="preserve"> </w:t>
      </w:r>
      <w:r>
        <w:t>discriminación</w:t>
      </w:r>
      <w:r>
        <w:rPr>
          <w:spacing w:val="-7"/>
        </w:rPr>
        <w:t xml:space="preserve"> </w:t>
      </w:r>
      <w:r>
        <w:t>racial</w:t>
      </w:r>
      <w:r>
        <w:rPr>
          <w:spacing w:val="-7"/>
        </w:rPr>
        <w:t xml:space="preserve"> </w:t>
      </w:r>
      <w:r>
        <w:t>y</w:t>
      </w:r>
      <w:r>
        <w:rPr>
          <w:spacing w:val="-7"/>
        </w:rPr>
        <w:t xml:space="preserve"> </w:t>
      </w:r>
      <w:r>
        <w:t>las</w:t>
      </w:r>
      <w:r>
        <w:rPr>
          <w:spacing w:val="-7"/>
        </w:rPr>
        <w:t xml:space="preserve"> </w:t>
      </w:r>
      <w:r>
        <w:t>tecnologías</w:t>
      </w:r>
      <w:r>
        <w:rPr>
          <w:spacing w:val="-8"/>
        </w:rPr>
        <w:t xml:space="preserve"> </w:t>
      </w:r>
      <w:r>
        <w:t>digitales</w:t>
      </w:r>
      <w:r>
        <w:rPr>
          <w:spacing w:val="-7"/>
        </w:rPr>
        <w:t xml:space="preserve"> </w:t>
      </w:r>
      <w:r>
        <w:t>emergentes presentado</w:t>
      </w:r>
      <w:r>
        <w:rPr>
          <w:spacing w:val="-1"/>
        </w:rPr>
        <w:t xml:space="preserve"> </w:t>
      </w:r>
      <w:r>
        <w:t>por</w:t>
      </w:r>
      <w:r>
        <w:rPr>
          <w:spacing w:val="-1"/>
        </w:rPr>
        <w:t xml:space="preserve"> </w:t>
      </w:r>
      <w:r>
        <w:t>el</w:t>
      </w:r>
      <w:r>
        <w:rPr>
          <w:spacing w:val="-1"/>
        </w:rPr>
        <w:t xml:space="preserve"> </w:t>
      </w:r>
      <w:r>
        <w:t>titular</w:t>
      </w:r>
      <w:r>
        <w:rPr>
          <w:spacing w:val="-1"/>
        </w:rPr>
        <w:t xml:space="preserve"> </w:t>
      </w:r>
      <w:r>
        <w:t>del</w:t>
      </w:r>
      <w:r>
        <w:rPr>
          <w:spacing w:val="-1"/>
        </w:rPr>
        <w:t xml:space="preserve"> </w:t>
      </w:r>
      <w:r>
        <w:t>mandato</w:t>
      </w:r>
      <w:r>
        <w:rPr>
          <w:spacing w:val="-1"/>
        </w:rPr>
        <w:t xml:space="preserve"> </w:t>
      </w:r>
      <w:r>
        <w:t>a</w:t>
      </w:r>
      <w:r>
        <w:rPr>
          <w:spacing w:val="-1"/>
        </w:rPr>
        <w:t xml:space="preserve"> </w:t>
      </w:r>
      <w:r>
        <w:t>la</w:t>
      </w:r>
      <w:r>
        <w:rPr>
          <w:spacing w:val="-1"/>
        </w:rPr>
        <w:t xml:space="preserve"> </w:t>
      </w:r>
      <w:r>
        <w:t>Comisión</w:t>
      </w:r>
      <w:r>
        <w:rPr>
          <w:spacing w:val="-1"/>
        </w:rPr>
        <w:t xml:space="preserve"> </w:t>
      </w:r>
      <w:r>
        <w:t>de</w:t>
      </w:r>
      <w:r>
        <w:rPr>
          <w:spacing w:val="-1"/>
        </w:rPr>
        <w:t xml:space="preserve"> </w:t>
      </w:r>
      <w:r>
        <w:t>Derechos</w:t>
      </w:r>
      <w:r>
        <w:rPr>
          <w:spacing w:val="-1"/>
        </w:rPr>
        <w:t xml:space="preserve"> </w:t>
      </w:r>
      <w:r>
        <w:t>Humanos. Consejo</w:t>
      </w:r>
      <w:r>
        <w:rPr>
          <w:spacing w:val="-1"/>
        </w:rPr>
        <w:t xml:space="preserve"> </w:t>
      </w:r>
      <w:r>
        <w:t>de</w:t>
      </w:r>
      <w:r>
        <w:rPr>
          <w:spacing w:val="-1"/>
        </w:rPr>
        <w:t xml:space="preserve"> </w:t>
      </w:r>
      <w:r>
        <w:t>Derechos</w:t>
      </w:r>
      <w:r>
        <w:rPr>
          <w:spacing w:val="-1"/>
        </w:rPr>
        <w:t xml:space="preserve"> </w:t>
      </w:r>
      <w:r>
        <w:t>en</w:t>
      </w:r>
      <w:r>
        <w:rPr>
          <w:spacing w:val="-1"/>
        </w:rPr>
        <w:t xml:space="preserve"> </w:t>
      </w:r>
      <w:r>
        <w:t>2020.1225</w:t>
      </w:r>
    </w:p>
    <w:p w14:paraId="0C0E7C06" w14:textId="77777777" w:rsidR="0014798C" w:rsidRDefault="0014798C">
      <w:pPr>
        <w:pStyle w:val="Textoindependiente"/>
        <w:rPr>
          <w:sz w:val="11"/>
        </w:rPr>
      </w:pPr>
    </w:p>
    <w:p w14:paraId="22B89DDD" w14:textId="77777777" w:rsidR="0014798C" w:rsidRDefault="0014798C">
      <w:pPr>
        <w:pStyle w:val="Textoindependiente"/>
        <w:rPr>
          <w:sz w:val="11"/>
        </w:rPr>
      </w:pPr>
    </w:p>
    <w:p w14:paraId="1F8CFD28" w14:textId="77777777" w:rsidR="0014798C" w:rsidRDefault="0014798C">
      <w:pPr>
        <w:pStyle w:val="Textoindependiente"/>
        <w:rPr>
          <w:sz w:val="11"/>
        </w:rPr>
      </w:pPr>
    </w:p>
    <w:p w14:paraId="7ED8A126" w14:textId="77777777" w:rsidR="0014798C" w:rsidRDefault="0014798C">
      <w:pPr>
        <w:pStyle w:val="Textoindependiente"/>
        <w:rPr>
          <w:sz w:val="11"/>
        </w:rPr>
      </w:pPr>
    </w:p>
    <w:p w14:paraId="57AB22CB" w14:textId="77777777" w:rsidR="0014798C" w:rsidRDefault="0014798C">
      <w:pPr>
        <w:pStyle w:val="Textoindependiente"/>
        <w:rPr>
          <w:sz w:val="11"/>
        </w:rPr>
      </w:pPr>
    </w:p>
    <w:p w14:paraId="5B62A67A" w14:textId="77777777" w:rsidR="0014798C" w:rsidRDefault="0014798C">
      <w:pPr>
        <w:pStyle w:val="Textoindependiente"/>
        <w:rPr>
          <w:sz w:val="11"/>
        </w:rPr>
      </w:pPr>
    </w:p>
    <w:p w14:paraId="72998343" w14:textId="77777777" w:rsidR="0014798C" w:rsidRDefault="0014798C">
      <w:pPr>
        <w:pStyle w:val="Textoindependiente"/>
        <w:rPr>
          <w:sz w:val="11"/>
        </w:rPr>
      </w:pPr>
    </w:p>
    <w:p w14:paraId="064DA598" w14:textId="77777777" w:rsidR="0014798C" w:rsidRDefault="0014798C">
      <w:pPr>
        <w:pStyle w:val="Textoindependiente"/>
        <w:rPr>
          <w:sz w:val="11"/>
        </w:rPr>
      </w:pPr>
    </w:p>
    <w:p w14:paraId="6BD65C42" w14:textId="77777777" w:rsidR="0014798C" w:rsidRDefault="0014798C">
      <w:pPr>
        <w:pStyle w:val="Textoindependiente"/>
        <w:rPr>
          <w:sz w:val="11"/>
        </w:rPr>
      </w:pPr>
    </w:p>
    <w:p w14:paraId="199E37FB" w14:textId="77777777" w:rsidR="0014798C" w:rsidRDefault="0014798C">
      <w:pPr>
        <w:pStyle w:val="Textoindependiente"/>
        <w:rPr>
          <w:sz w:val="11"/>
        </w:rPr>
      </w:pPr>
    </w:p>
    <w:p w14:paraId="65D65027" w14:textId="77777777" w:rsidR="0014798C" w:rsidRDefault="0014798C">
      <w:pPr>
        <w:pStyle w:val="Textoindependiente"/>
        <w:rPr>
          <w:sz w:val="11"/>
        </w:rPr>
      </w:pPr>
    </w:p>
    <w:p w14:paraId="69CDDC4E" w14:textId="77777777" w:rsidR="0014798C" w:rsidRDefault="0014798C">
      <w:pPr>
        <w:pStyle w:val="Textoindependiente"/>
        <w:rPr>
          <w:sz w:val="11"/>
        </w:rPr>
      </w:pPr>
    </w:p>
    <w:p w14:paraId="19898B02" w14:textId="77777777" w:rsidR="0014798C" w:rsidRDefault="0014798C">
      <w:pPr>
        <w:pStyle w:val="Textoindependiente"/>
        <w:rPr>
          <w:sz w:val="11"/>
        </w:rPr>
      </w:pPr>
    </w:p>
    <w:p w14:paraId="4CA68A11" w14:textId="77777777" w:rsidR="0014798C" w:rsidRDefault="0014798C">
      <w:pPr>
        <w:pStyle w:val="Textoindependiente"/>
        <w:rPr>
          <w:sz w:val="11"/>
        </w:rPr>
      </w:pPr>
    </w:p>
    <w:p w14:paraId="2C0B8CD0" w14:textId="77777777" w:rsidR="0014798C" w:rsidRDefault="0014798C">
      <w:pPr>
        <w:pStyle w:val="Textoindependiente"/>
        <w:rPr>
          <w:sz w:val="11"/>
        </w:rPr>
      </w:pPr>
    </w:p>
    <w:p w14:paraId="5225CAD9" w14:textId="77777777" w:rsidR="0014798C" w:rsidRDefault="0014798C">
      <w:pPr>
        <w:pStyle w:val="Textoindependiente"/>
        <w:rPr>
          <w:sz w:val="11"/>
        </w:rPr>
      </w:pPr>
    </w:p>
    <w:p w14:paraId="0EE3C505" w14:textId="77777777" w:rsidR="0014798C" w:rsidRDefault="0014798C">
      <w:pPr>
        <w:pStyle w:val="Textoindependiente"/>
        <w:rPr>
          <w:sz w:val="11"/>
        </w:rPr>
      </w:pPr>
    </w:p>
    <w:p w14:paraId="530A10A8" w14:textId="77777777" w:rsidR="0014798C" w:rsidRDefault="0014798C">
      <w:pPr>
        <w:pStyle w:val="Textoindependiente"/>
        <w:rPr>
          <w:sz w:val="11"/>
        </w:rPr>
      </w:pPr>
    </w:p>
    <w:p w14:paraId="442DCD94" w14:textId="77777777" w:rsidR="0014798C" w:rsidRDefault="0014798C">
      <w:pPr>
        <w:pStyle w:val="Textoindependiente"/>
        <w:rPr>
          <w:sz w:val="11"/>
        </w:rPr>
      </w:pPr>
    </w:p>
    <w:p w14:paraId="2C348AB9" w14:textId="77777777" w:rsidR="0014798C" w:rsidRDefault="0014798C">
      <w:pPr>
        <w:pStyle w:val="Textoindependiente"/>
        <w:rPr>
          <w:sz w:val="11"/>
        </w:rPr>
      </w:pPr>
    </w:p>
    <w:p w14:paraId="76BA9A85" w14:textId="77777777" w:rsidR="0014798C" w:rsidRDefault="0014798C">
      <w:pPr>
        <w:pStyle w:val="Textoindependiente"/>
        <w:rPr>
          <w:sz w:val="11"/>
        </w:rPr>
      </w:pPr>
    </w:p>
    <w:p w14:paraId="6FC6CCCF" w14:textId="77777777" w:rsidR="0014798C" w:rsidRDefault="0014798C">
      <w:pPr>
        <w:pStyle w:val="Textoindependiente"/>
        <w:rPr>
          <w:sz w:val="11"/>
        </w:rPr>
      </w:pPr>
    </w:p>
    <w:p w14:paraId="38AC2200" w14:textId="77777777" w:rsidR="0014798C" w:rsidRDefault="0014798C">
      <w:pPr>
        <w:pStyle w:val="Textoindependiente"/>
        <w:rPr>
          <w:sz w:val="11"/>
        </w:rPr>
      </w:pPr>
    </w:p>
    <w:p w14:paraId="3EA13D21" w14:textId="77777777" w:rsidR="0014798C" w:rsidRDefault="0014798C">
      <w:pPr>
        <w:pStyle w:val="Textoindependiente"/>
        <w:spacing w:before="53"/>
        <w:rPr>
          <w:sz w:val="11"/>
        </w:rPr>
      </w:pPr>
    </w:p>
    <w:p w14:paraId="4AB300BE" w14:textId="77777777" w:rsidR="0014798C" w:rsidRDefault="004E1F0B">
      <w:pPr>
        <w:ind w:left="1111"/>
        <w:rPr>
          <w:sz w:val="11"/>
        </w:rPr>
      </w:pPr>
      <w:r>
        <w:rPr>
          <w:w w:val="105"/>
          <w:sz w:val="11"/>
          <w:vertAlign w:val="superscript"/>
        </w:rPr>
        <w:t>1221</w:t>
      </w:r>
      <w:r>
        <w:rPr>
          <w:spacing w:val="32"/>
          <w:w w:val="105"/>
          <w:sz w:val="11"/>
        </w:rPr>
        <w:t xml:space="preserve"> </w:t>
      </w:r>
      <w:r>
        <w:rPr>
          <w:w w:val="105"/>
          <w:sz w:val="11"/>
        </w:rPr>
        <w:t>Véase,</w:t>
      </w:r>
      <w:r>
        <w:rPr>
          <w:spacing w:val="-3"/>
          <w:w w:val="105"/>
          <w:sz w:val="11"/>
        </w:rPr>
        <w:t xml:space="preserve"> </w:t>
      </w:r>
      <w:r>
        <w:rPr>
          <w:w w:val="105"/>
          <w:sz w:val="11"/>
        </w:rPr>
        <w:t>entre</w:t>
      </w:r>
      <w:r>
        <w:rPr>
          <w:spacing w:val="-3"/>
          <w:w w:val="105"/>
          <w:sz w:val="11"/>
        </w:rPr>
        <w:t xml:space="preserve"> </w:t>
      </w:r>
      <w:r>
        <w:rPr>
          <w:w w:val="105"/>
          <w:sz w:val="11"/>
        </w:rPr>
        <w:t>otros,</w:t>
      </w:r>
      <w:r>
        <w:rPr>
          <w:spacing w:val="-3"/>
          <w:w w:val="105"/>
          <w:sz w:val="11"/>
        </w:rPr>
        <w:t xml:space="preserve"> </w:t>
      </w:r>
      <w:proofErr w:type="spellStart"/>
      <w:r>
        <w:rPr>
          <w:w w:val="105"/>
          <w:sz w:val="11"/>
        </w:rPr>
        <w:t>Frederik</w:t>
      </w:r>
      <w:proofErr w:type="spellEnd"/>
      <w:r>
        <w:rPr>
          <w:spacing w:val="-3"/>
          <w:w w:val="105"/>
          <w:sz w:val="11"/>
        </w:rPr>
        <w:t xml:space="preserve"> </w:t>
      </w:r>
      <w:proofErr w:type="spellStart"/>
      <w:r>
        <w:rPr>
          <w:w w:val="105"/>
          <w:sz w:val="11"/>
        </w:rPr>
        <w:t>Zuiderveen</w:t>
      </w:r>
      <w:proofErr w:type="spellEnd"/>
      <w:r>
        <w:rPr>
          <w:spacing w:val="-3"/>
          <w:w w:val="105"/>
          <w:sz w:val="11"/>
        </w:rPr>
        <w:t xml:space="preserve"> </w:t>
      </w:r>
      <w:proofErr w:type="spellStart"/>
      <w:r>
        <w:rPr>
          <w:w w:val="105"/>
          <w:sz w:val="11"/>
        </w:rPr>
        <w:t>Borgesius</w:t>
      </w:r>
      <w:proofErr w:type="spellEnd"/>
      <w:r>
        <w:rPr>
          <w:w w:val="105"/>
          <w:sz w:val="11"/>
        </w:rPr>
        <w:t>,</w:t>
      </w:r>
      <w:r>
        <w:rPr>
          <w:spacing w:val="-2"/>
          <w:w w:val="105"/>
          <w:sz w:val="11"/>
        </w:rPr>
        <w:t xml:space="preserve"> </w:t>
      </w:r>
      <w:r>
        <w:rPr>
          <w:w w:val="105"/>
          <w:sz w:val="11"/>
        </w:rPr>
        <w:t>Discriminación,</w:t>
      </w:r>
      <w:r>
        <w:rPr>
          <w:spacing w:val="-2"/>
          <w:w w:val="105"/>
          <w:sz w:val="11"/>
        </w:rPr>
        <w:t xml:space="preserve"> </w:t>
      </w:r>
      <w:r>
        <w:rPr>
          <w:w w:val="105"/>
          <w:sz w:val="11"/>
        </w:rPr>
        <w:t>inteligencia</w:t>
      </w:r>
      <w:r>
        <w:rPr>
          <w:spacing w:val="-3"/>
          <w:w w:val="105"/>
          <w:sz w:val="11"/>
        </w:rPr>
        <w:t xml:space="preserve"> </w:t>
      </w:r>
      <w:r>
        <w:rPr>
          <w:w w:val="105"/>
          <w:sz w:val="11"/>
        </w:rPr>
        <w:t>artificial</w:t>
      </w:r>
      <w:r>
        <w:rPr>
          <w:spacing w:val="-3"/>
          <w:w w:val="105"/>
          <w:sz w:val="11"/>
        </w:rPr>
        <w:t xml:space="preserve"> </w:t>
      </w:r>
      <w:r>
        <w:rPr>
          <w:w w:val="105"/>
          <w:sz w:val="11"/>
        </w:rPr>
        <w:t>y</w:t>
      </w:r>
      <w:r>
        <w:rPr>
          <w:spacing w:val="-3"/>
          <w:w w:val="105"/>
          <w:sz w:val="11"/>
        </w:rPr>
        <w:t xml:space="preserve"> </w:t>
      </w:r>
      <w:r>
        <w:rPr>
          <w:w w:val="105"/>
          <w:sz w:val="11"/>
        </w:rPr>
        <w:t>toma</w:t>
      </w:r>
      <w:r>
        <w:rPr>
          <w:spacing w:val="-4"/>
          <w:w w:val="105"/>
          <w:sz w:val="11"/>
        </w:rPr>
        <w:t xml:space="preserve"> </w:t>
      </w:r>
      <w:r>
        <w:rPr>
          <w:w w:val="105"/>
          <w:sz w:val="11"/>
        </w:rPr>
        <w:t>de</w:t>
      </w:r>
      <w:r>
        <w:rPr>
          <w:spacing w:val="-3"/>
          <w:w w:val="105"/>
          <w:sz w:val="11"/>
        </w:rPr>
        <w:t xml:space="preserve"> </w:t>
      </w:r>
      <w:r>
        <w:rPr>
          <w:w w:val="105"/>
          <w:sz w:val="11"/>
        </w:rPr>
        <w:t>decisiones</w:t>
      </w:r>
      <w:r>
        <w:rPr>
          <w:spacing w:val="-3"/>
          <w:w w:val="105"/>
          <w:sz w:val="11"/>
        </w:rPr>
        <w:t xml:space="preserve"> </w:t>
      </w:r>
      <w:r>
        <w:rPr>
          <w:spacing w:val="-2"/>
          <w:w w:val="105"/>
          <w:sz w:val="11"/>
        </w:rPr>
        <w:t>algorítmicas.</w:t>
      </w:r>
    </w:p>
    <w:p w14:paraId="50304620" w14:textId="77777777" w:rsidR="0014798C" w:rsidRDefault="004E1F0B">
      <w:pPr>
        <w:spacing w:before="54" w:line="340" w:lineRule="auto"/>
        <w:ind w:left="1366" w:right="2004" w:firstLine="8"/>
        <w:rPr>
          <w:sz w:val="11"/>
        </w:rPr>
      </w:pPr>
      <w:r>
        <w:rPr>
          <w:w w:val="105"/>
          <w:sz w:val="11"/>
        </w:rPr>
        <w:t>(Estrasburgo,</w:t>
      </w:r>
      <w:r>
        <w:rPr>
          <w:spacing w:val="-5"/>
          <w:w w:val="105"/>
          <w:sz w:val="11"/>
        </w:rPr>
        <w:t xml:space="preserve"> </w:t>
      </w:r>
      <w:r>
        <w:rPr>
          <w:w w:val="105"/>
          <w:sz w:val="11"/>
        </w:rPr>
        <w:t>Consejo</w:t>
      </w:r>
      <w:r>
        <w:rPr>
          <w:spacing w:val="-6"/>
          <w:w w:val="105"/>
          <w:sz w:val="11"/>
        </w:rPr>
        <w:t xml:space="preserve"> </w:t>
      </w:r>
      <w:r>
        <w:rPr>
          <w:w w:val="105"/>
          <w:sz w:val="11"/>
        </w:rPr>
        <w:t>de</w:t>
      </w:r>
      <w:r>
        <w:rPr>
          <w:spacing w:val="-6"/>
          <w:w w:val="105"/>
          <w:sz w:val="11"/>
        </w:rPr>
        <w:t xml:space="preserve"> </w:t>
      </w:r>
      <w:r>
        <w:rPr>
          <w:w w:val="105"/>
          <w:sz w:val="11"/>
        </w:rPr>
        <w:t>Europa,</w:t>
      </w:r>
      <w:r>
        <w:rPr>
          <w:spacing w:val="-6"/>
          <w:w w:val="105"/>
          <w:sz w:val="11"/>
        </w:rPr>
        <w:t xml:space="preserve"> </w:t>
      </w:r>
      <w:r>
        <w:rPr>
          <w:w w:val="105"/>
          <w:sz w:val="11"/>
        </w:rPr>
        <w:t>2018).</w:t>
      </w:r>
      <w:r>
        <w:rPr>
          <w:spacing w:val="-6"/>
          <w:w w:val="105"/>
          <w:sz w:val="11"/>
        </w:rPr>
        <w:t xml:space="preserve"> </w:t>
      </w:r>
      <w:r>
        <w:rPr>
          <w:w w:val="105"/>
          <w:sz w:val="11"/>
        </w:rPr>
        <w:t>Disponible</w:t>
      </w:r>
      <w:r>
        <w:rPr>
          <w:spacing w:val="-6"/>
          <w:w w:val="105"/>
          <w:sz w:val="11"/>
        </w:rPr>
        <w:t xml:space="preserve"> </w:t>
      </w:r>
      <w:r>
        <w:rPr>
          <w:w w:val="105"/>
          <w:sz w:val="11"/>
        </w:rPr>
        <w:t>en</w:t>
      </w:r>
      <w:r>
        <w:rPr>
          <w:spacing w:val="-6"/>
          <w:w w:val="105"/>
          <w:sz w:val="11"/>
        </w:rPr>
        <w:t xml:space="preserve"> </w:t>
      </w:r>
      <w:r>
        <w:rPr>
          <w:color w:val="0075BF"/>
          <w:w w:val="105"/>
          <w:sz w:val="11"/>
        </w:rPr>
        <w:t>https://rm.coe.int/discrimination-artificial-intelligence-and-algorithmic-decision-making/1680925d73.</w:t>
      </w:r>
      <w:r>
        <w:rPr>
          <w:color w:val="0075BF"/>
          <w:spacing w:val="-5"/>
          <w:w w:val="105"/>
          <w:sz w:val="11"/>
        </w:rPr>
        <w:t xml:space="preserve"> </w:t>
      </w:r>
      <w:r>
        <w:rPr>
          <w:w w:val="105"/>
          <w:sz w:val="11"/>
        </w:rPr>
        <w:t>Véase</w:t>
      </w:r>
      <w:r>
        <w:rPr>
          <w:spacing w:val="40"/>
          <w:w w:val="105"/>
          <w:sz w:val="11"/>
        </w:rPr>
        <w:t xml:space="preserve"> </w:t>
      </w:r>
      <w:r>
        <w:rPr>
          <w:w w:val="105"/>
          <w:sz w:val="11"/>
        </w:rPr>
        <w:t xml:space="preserve">también </w:t>
      </w:r>
      <w:proofErr w:type="spellStart"/>
      <w:r>
        <w:rPr>
          <w:w w:val="105"/>
          <w:sz w:val="11"/>
        </w:rPr>
        <w:t>Solon</w:t>
      </w:r>
      <w:proofErr w:type="spellEnd"/>
      <w:r>
        <w:rPr>
          <w:w w:val="105"/>
          <w:sz w:val="11"/>
        </w:rPr>
        <w:t xml:space="preserve"> </w:t>
      </w:r>
      <w:proofErr w:type="spellStart"/>
      <w:r>
        <w:rPr>
          <w:w w:val="105"/>
          <w:sz w:val="11"/>
        </w:rPr>
        <w:t>Barocas</w:t>
      </w:r>
      <w:proofErr w:type="spellEnd"/>
      <w:r>
        <w:rPr>
          <w:w w:val="105"/>
          <w:sz w:val="11"/>
        </w:rPr>
        <w:t xml:space="preserve"> y Andrew D. </w:t>
      </w:r>
      <w:proofErr w:type="spellStart"/>
      <w:r>
        <w:rPr>
          <w:w w:val="105"/>
          <w:sz w:val="11"/>
        </w:rPr>
        <w:t>Selbst</w:t>
      </w:r>
      <w:proofErr w:type="spellEnd"/>
      <w:r>
        <w:rPr>
          <w:w w:val="105"/>
          <w:sz w:val="11"/>
        </w:rPr>
        <w:t xml:space="preserve">, “Big </w:t>
      </w:r>
      <w:proofErr w:type="spellStart"/>
      <w:r>
        <w:rPr>
          <w:w w:val="105"/>
          <w:sz w:val="11"/>
        </w:rPr>
        <w:t>data's</w:t>
      </w:r>
      <w:proofErr w:type="spellEnd"/>
      <w:r>
        <w:rPr>
          <w:w w:val="105"/>
          <w:sz w:val="11"/>
        </w:rPr>
        <w:t xml:space="preserve"> dispares </w:t>
      </w:r>
      <w:proofErr w:type="spellStart"/>
      <w:r>
        <w:rPr>
          <w:w w:val="105"/>
          <w:sz w:val="11"/>
        </w:rPr>
        <w:t>impact</w:t>
      </w:r>
      <w:proofErr w:type="spellEnd"/>
      <w:r>
        <w:rPr>
          <w:w w:val="105"/>
          <w:sz w:val="11"/>
        </w:rPr>
        <w:t xml:space="preserve">”, California </w:t>
      </w:r>
      <w:proofErr w:type="spellStart"/>
      <w:r>
        <w:rPr>
          <w:w w:val="105"/>
          <w:sz w:val="11"/>
        </w:rPr>
        <w:t>Law</w:t>
      </w:r>
      <w:proofErr w:type="spellEnd"/>
      <w:r>
        <w:rPr>
          <w:w w:val="105"/>
          <w:sz w:val="11"/>
        </w:rPr>
        <w:t xml:space="preserve"> </w:t>
      </w:r>
      <w:proofErr w:type="spellStart"/>
      <w:r>
        <w:rPr>
          <w:w w:val="105"/>
          <w:sz w:val="11"/>
        </w:rPr>
        <w:t>Review</w:t>
      </w:r>
      <w:proofErr w:type="spellEnd"/>
      <w:r>
        <w:rPr>
          <w:w w:val="105"/>
          <w:sz w:val="11"/>
        </w:rPr>
        <w:t>, vol. 104 (2016).</w:t>
      </w:r>
    </w:p>
    <w:p w14:paraId="66FF0FF1" w14:textId="77777777" w:rsidR="0014798C" w:rsidRDefault="0014798C">
      <w:pPr>
        <w:pStyle w:val="Textoindependiente"/>
        <w:spacing w:before="110"/>
        <w:rPr>
          <w:sz w:val="11"/>
        </w:rPr>
      </w:pPr>
    </w:p>
    <w:p w14:paraId="621373FB" w14:textId="77777777" w:rsidR="0014798C" w:rsidRDefault="004E1F0B">
      <w:pPr>
        <w:spacing w:line="340" w:lineRule="auto"/>
        <w:ind w:left="1365" w:right="1579" w:hanging="254"/>
        <w:rPr>
          <w:sz w:val="11"/>
        </w:rPr>
      </w:pPr>
      <w:r>
        <w:rPr>
          <w:w w:val="105"/>
          <w:sz w:val="11"/>
        </w:rPr>
        <w:t>1222</w:t>
      </w:r>
      <w:r>
        <w:rPr>
          <w:spacing w:val="-1"/>
          <w:w w:val="105"/>
          <w:sz w:val="11"/>
        </w:rPr>
        <w:t xml:space="preserve"> </w:t>
      </w:r>
      <w:r>
        <w:rPr>
          <w:w w:val="105"/>
          <w:sz w:val="11"/>
        </w:rPr>
        <w:t>Vincent</w:t>
      </w:r>
      <w:r>
        <w:rPr>
          <w:spacing w:val="-1"/>
          <w:w w:val="105"/>
          <w:sz w:val="11"/>
        </w:rPr>
        <w:t xml:space="preserve"> </w:t>
      </w:r>
      <w:proofErr w:type="spellStart"/>
      <w:r>
        <w:rPr>
          <w:w w:val="105"/>
          <w:sz w:val="11"/>
        </w:rPr>
        <w:t>Southerland</w:t>
      </w:r>
      <w:proofErr w:type="spellEnd"/>
      <w:r>
        <w:rPr>
          <w:w w:val="105"/>
          <w:sz w:val="11"/>
        </w:rPr>
        <w:t>, “</w:t>
      </w:r>
      <w:proofErr w:type="spellStart"/>
      <w:r>
        <w:rPr>
          <w:w w:val="105"/>
          <w:sz w:val="11"/>
        </w:rPr>
        <w:t>With</w:t>
      </w:r>
      <w:proofErr w:type="spellEnd"/>
      <w:r>
        <w:rPr>
          <w:spacing w:val="-1"/>
          <w:w w:val="105"/>
          <w:sz w:val="11"/>
        </w:rPr>
        <w:t xml:space="preserve"> </w:t>
      </w:r>
      <w:r>
        <w:rPr>
          <w:w w:val="105"/>
          <w:sz w:val="11"/>
        </w:rPr>
        <w:t>AI</w:t>
      </w:r>
      <w:r>
        <w:rPr>
          <w:spacing w:val="-1"/>
          <w:w w:val="105"/>
          <w:sz w:val="11"/>
        </w:rPr>
        <w:t xml:space="preserve"> </w:t>
      </w:r>
      <w:r>
        <w:rPr>
          <w:w w:val="105"/>
          <w:sz w:val="11"/>
        </w:rPr>
        <w:t>and</w:t>
      </w:r>
      <w:r>
        <w:rPr>
          <w:spacing w:val="-1"/>
          <w:w w:val="105"/>
          <w:sz w:val="11"/>
        </w:rPr>
        <w:t xml:space="preserve"> </w:t>
      </w:r>
      <w:r>
        <w:rPr>
          <w:w w:val="105"/>
          <w:sz w:val="11"/>
        </w:rPr>
        <w:t>criminal</w:t>
      </w:r>
      <w:r>
        <w:rPr>
          <w:spacing w:val="-1"/>
          <w:w w:val="105"/>
          <w:sz w:val="11"/>
        </w:rPr>
        <w:t xml:space="preserve"> </w:t>
      </w:r>
      <w:proofErr w:type="spellStart"/>
      <w:r>
        <w:rPr>
          <w:w w:val="105"/>
          <w:sz w:val="11"/>
        </w:rPr>
        <w:t>Justice</w:t>
      </w:r>
      <w:proofErr w:type="spellEnd"/>
      <w:r>
        <w:rPr>
          <w:w w:val="105"/>
          <w:sz w:val="11"/>
        </w:rPr>
        <w:t>,</w:t>
      </w:r>
      <w:r>
        <w:rPr>
          <w:spacing w:val="-1"/>
          <w:w w:val="105"/>
          <w:sz w:val="11"/>
        </w:rPr>
        <w:t xml:space="preserve"> </w:t>
      </w:r>
      <w:proofErr w:type="spellStart"/>
      <w:r>
        <w:rPr>
          <w:w w:val="105"/>
          <w:sz w:val="11"/>
        </w:rPr>
        <w:t>the</w:t>
      </w:r>
      <w:proofErr w:type="spellEnd"/>
      <w:r>
        <w:rPr>
          <w:spacing w:val="-1"/>
          <w:w w:val="105"/>
          <w:sz w:val="11"/>
        </w:rPr>
        <w:t xml:space="preserve"> </w:t>
      </w:r>
      <w:proofErr w:type="spellStart"/>
      <w:r>
        <w:rPr>
          <w:w w:val="105"/>
          <w:sz w:val="11"/>
        </w:rPr>
        <w:t>devil</w:t>
      </w:r>
      <w:proofErr w:type="spellEnd"/>
      <w:r>
        <w:rPr>
          <w:spacing w:val="-1"/>
          <w:w w:val="105"/>
          <w:sz w:val="11"/>
        </w:rPr>
        <w:t xml:space="preserve"> </w:t>
      </w:r>
      <w:proofErr w:type="spellStart"/>
      <w:r>
        <w:rPr>
          <w:w w:val="105"/>
          <w:sz w:val="11"/>
        </w:rPr>
        <w:t>is</w:t>
      </w:r>
      <w:proofErr w:type="spellEnd"/>
      <w:r>
        <w:rPr>
          <w:spacing w:val="-1"/>
          <w:w w:val="105"/>
          <w:sz w:val="11"/>
        </w:rPr>
        <w:t xml:space="preserve"> </w:t>
      </w:r>
      <w:r>
        <w:rPr>
          <w:w w:val="105"/>
          <w:sz w:val="11"/>
        </w:rPr>
        <w:t>in</w:t>
      </w:r>
      <w:r>
        <w:rPr>
          <w:spacing w:val="-1"/>
          <w:w w:val="105"/>
          <w:sz w:val="11"/>
        </w:rPr>
        <w:t xml:space="preserve"> </w:t>
      </w:r>
      <w:proofErr w:type="spellStart"/>
      <w:r>
        <w:rPr>
          <w:w w:val="105"/>
          <w:sz w:val="11"/>
        </w:rPr>
        <w:t>the</w:t>
      </w:r>
      <w:proofErr w:type="spellEnd"/>
      <w:r>
        <w:rPr>
          <w:spacing w:val="-1"/>
          <w:w w:val="105"/>
          <w:sz w:val="11"/>
        </w:rPr>
        <w:t xml:space="preserve"> </w:t>
      </w:r>
      <w:r>
        <w:rPr>
          <w:w w:val="105"/>
          <w:sz w:val="11"/>
        </w:rPr>
        <w:t>data”,</w:t>
      </w:r>
      <w:r>
        <w:rPr>
          <w:spacing w:val="-1"/>
          <w:w w:val="105"/>
          <w:sz w:val="11"/>
        </w:rPr>
        <w:t xml:space="preserve"> </w:t>
      </w:r>
      <w:r>
        <w:rPr>
          <w:w w:val="105"/>
          <w:sz w:val="11"/>
        </w:rPr>
        <w:t>Unión</w:t>
      </w:r>
      <w:r>
        <w:rPr>
          <w:spacing w:val="-1"/>
          <w:w w:val="105"/>
          <w:sz w:val="11"/>
        </w:rPr>
        <w:t xml:space="preserve"> </w:t>
      </w:r>
      <w:r>
        <w:rPr>
          <w:w w:val="105"/>
          <w:sz w:val="11"/>
        </w:rPr>
        <w:t>Americana</w:t>
      </w:r>
      <w:r>
        <w:rPr>
          <w:spacing w:val="-1"/>
          <w:w w:val="105"/>
          <w:sz w:val="11"/>
        </w:rPr>
        <w:t xml:space="preserve"> </w:t>
      </w:r>
      <w:r>
        <w:rPr>
          <w:w w:val="105"/>
          <w:sz w:val="11"/>
        </w:rPr>
        <w:t>de</w:t>
      </w:r>
      <w:r>
        <w:rPr>
          <w:spacing w:val="-1"/>
          <w:w w:val="105"/>
          <w:sz w:val="11"/>
        </w:rPr>
        <w:t xml:space="preserve"> </w:t>
      </w:r>
      <w:r>
        <w:rPr>
          <w:w w:val="105"/>
          <w:sz w:val="11"/>
        </w:rPr>
        <w:t>Libertades</w:t>
      </w:r>
      <w:r>
        <w:rPr>
          <w:spacing w:val="-1"/>
          <w:w w:val="105"/>
          <w:sz w:val="11"/>
        </w:rPr>
        <w:t xml:space="preserve"> </w:t>
      </w:r>
      <w:r>
        <w:rPr>
          <w:w w:val="105"/>
          <w:sz w:val="11"/>
        </w:rPr>
        <w:t>Civiles,</w:t>
      </w:r>
      <w:r>
        <w:rPr>
          <w:spacing w:val="-1"/>
          <w:w w:val="105"/>
          <w:sz w:val="11"/>
        </w:rPr>
        <w:t xml:space="preserve"> </w:t>
      </w:r>
      <w:r>
        <w:rPr>
          <w:w w:val="105"/>
          <w:sz w:val="11"/>
        </w:rPr>
        <w:t>9</w:t>
      </w:r>
      <w:r>
        <w:rPr>
          <w:spacing w:val="-1"/>
          <w:w w:val="105"/>
          <w:sz w:val="11"/>
        </w:rPr>
        <w:t xml:space="preserve"> </w:t>
      </w:r>
      <w:r>
        <w:rPr>
          <w:w w:val="105"/>
          <w:sz w:val="11"/>
        </w:rPr>
        <w:t>de</w:t>
      </w:r>
      <w:r>
        <w:rPr>
          <w:spacing w:val="-1"/>
          <w:w w:val="105"/>
          <w:sz w:val="11"/>
        </w:rPr>
        <w:t xml:space="preserve"> </w:t>
      </w:r>
      <w:r>
        <w:rPr>
          <w:w w:val="105"/>
          <w:sz w:val="11"/>
        </w:rPr>
        <w:t>abril</w:t>
      </w:r>
      <w:r>
        <w:rPr>
          <w:spacing w:val="-1"/>
          <w:w w:val="105"/>
          <w:sz w:val="11"/>
        </w:rPr>
        <w:t xml:space="preserve"> </w:t>
      </w:r>
      <w:r>
        <w:rPr>
          <w:w w:val="105"/>
          <w:sz w:val="11"/>
        </w:rPr>
        <w:t>de</w:t>
      </w:r>
      <w:r>
        <w:rPr>
          <w:spacing w:val="-1"/>
          <w:w w:val="105"/>
          <w:sz w:val="11"/>
        </w:rPr>
        <w:t xml:space="preserve"> </w:t>
      </w:r>
      <w:r>
        <w:rPr>
          <w:w w:val="105"/>
          <w:sz w:val="11"/>
        </w:rPr>
        <w:t>2018.</w:t>
      </w:r>
      <w:r>
        <w:rPr>
          <w:spacing w:val="-1"/>
          <w:w w:val="105"/>
          <w:sz w:val="11"/>
        </w:rPr>
        <w:t xml:space="preserve"> </w:t>
      </w:r>
      <w:r>
        <w:rPr>
          <w:w w:val="105"/>
          <w:sz w:val="11"/>
        </w:rPr>
        <w:t>Disponible</w:t>
      </w:r>
      <w:r>
        <w:rPr>
          <w:spacing w:val="-1"/>
          <w:w w:val="105"/>
          <w:sz w:val="11"/>
        </w:rPr>
        <w:t xml:space="preserve"> </w:t>
      </w:r>
      <w:r>
        <w:rPr>
          <w:w w:val="105"/>
          <w:sz w:val="11"/>
        </w:rPr>
        <w:t>en</w:t>
      </w:r>
      <w:r>
        <w:rPr>
          <w:spacing w:val="-1"/>
          <w:w w:val="105"/>
          <w:sz w:val="11"/>
        </w:rPr>
        <w:t xml:space="preserve"> </w:t>
      </w:r>
      <w:hyperlink r:id="rId346">
        <w:r>
          <w:rPr>
            <w:color w:val="0075BF"/>
            <w:w w:val="105"/>
            <w:sz w:val="11"/>
          </w:rPr>
          <w:t>www.aclu.org/issues/</w:t>
        </w:r>
      </w:hyperlink>
      <w:r>
        <w:rPr>
          <w:color w:val="0075BF"/>
          <w:spacing w:val="40"/>
          <w:w w:val="105"/>
          <w:sz w:val="11"/>
        </w:rPr>
        <w:t xml:space="preserve"> </w:t>
      </w:r>
      <w:proofErr w:type="spellStart"/>
      <w:r>
        <w:rPr>
          <w:color w:val="0075BF"/>
          <w:w w:val="105"/>
          <w:sz w:val="11"/>
        </w:rPr>
        <w:t>privacy-technology</w:t>
      </w:r>
      <w:proofErr w:type="spellEnd"/>
      <w:r>
        <w:rPr>
          <w:color w:val="0075BF"/>
          <w:w w:val="105"/>
          <w:sz w:val="11"/>
        </w:rPr>
        <w:t>/</w:t>
      </w:r>
      <w:proofErr w:type="spellStart"/>
      <w:r>
        <w:rPr>
          <w:color w:val="0075BF"/>
          <w:w w:val="105"/>
          <w:sz w:val="11"/>
        </w:rPr>
        <w:t>surveillance-technologies</w:t>
      </w:r>
      <w:proofErr w:type="spellEnd"/>
      <w:r>
        <w:rPr>
          <w:color w:val="0075BF"/>
          <w:w w:val="105"/>
          <w:sz w:val="11"/>
        </w:rPr>
        <w:t>/</w:t>
      </w:r>
      <w:proofErr w:type="spellStart"/>
      <w:r>
        <w:rPr>
          <w:color w:val="0075BF"/>
          <w:w w:val="105"/>
          <w:sz w:val="11"/>
        </w:rPr>
        <w:t>ai</w:t>
      </w:r>
      <w:proofErr w:type="spellEnd"/>
      <w:r>
        <w:rPr>
          <w:color w:val="0075BF"/>
          <w:w w:val="105"/>
          <w:sz w:val="11"/>
        </w:rPr>
        <w:t>-and-</w:t>
      </w:r>
      <w:r>
        <w:rPr>
          <w:color w:val="0075BF"/>
          <w:spacing w:val="-9"/>
          <w:w w:val="105"/>
          <w:sz w:val="11"/>
        </w:rPr>
        <w:t xml:space="preserve"> </w:t>
      </w:r>
      <w:r>
        <w:rPr>
          <w:color w:val="0075BF"/>
          <w:w w:val="105"/>
          <w:sz w:val="11"/>
        </w:rPr>
        <w:t>justicia-criminal-datos-del-diablo.</w:t>
      </w:r>
    </w:p>
    <w:p w14:paraId="1F553F73" w14:textId="77777777" w:rsidR="0014798C" w:rsidRDefault="004E1F0B">
      <w:pPr>
        <w:spacing w:before="57" w:line="340" w:lineRule="auto"/>
        <w:ind w:left="1366" w:right="3645" w:hanging="256"/>
        <w:rPr>
          <w:sz w:val="11"/>
        </w:rPr>
      </w:pPr>
      <w:r>
        <w:rPr>
          <w:w w:val="105"/>
          <w:sz w:val="11"/>
        </w:rPr>
        <w:t>1223</w:t>
      </w:r>
      <w:r>
        <w:rPr>
          <w:spacing w:val="-2"/>
          <w:w w:val="105"/>
          <w:sz w:val="11"/>
        </w:rPr>
        <w:t xml:space="preserve"> </w:t>
      </w:r>
      <w:proofErr w:type="spellStart"/>
      <w:r>
        <w:rPr>
          <w:w w:val="105"/>
          <w:sz w:val="11"/>
        </w:rPr>
        <w:t>Kristian</w:t>
      </w:r>
      <w:proofErr w:type="spellEnd"/>
      <w:r>
        <w:rPr>
          <w:spacing w:val="-2"/>
          <w:w w:val="105"/>
          <w:sz w:val="11"/>
        </w:rPr>
        <w:t xml:space="preserve"> </w:t>
      </w:r>
      <w:proofErr w:type="spellStart"/>
      <w:r>
        <w:rPr>
          <w:w w:val="105"/>
          <w:sz w:val="11"/>
        </w:rPr>
        <w:t>Lum</w:t>
      </w:r>
      <w:proofErr w:type="spellEnd"/>
      <w:r>
        <w:rPr>
          <w:spacing w:val="-2"/>
          <w:w w:val="105"/>
          <w:sz w:val="11"/>
        </w:rPr>
        <w:t xml:space="preserve"> </w:t>
      </w:r>
      <w:r>
        <w:rPr>
          <w:w w:val="105"/>
          <w:sz w:val="11"/>
        </w:rPr>
        <w:t>y</w:t>
      </w:r>
      <w:r>
        <w:rPr>
          <w:spacing w:val="-2"/>
          <w:w w:val="105"/>
          <w:sz w:val="11"/>
        </w:rPr>
        <w:t xml:space="preserve"> </w:t>
      </w:r>
      <w:r>
        <w:rPr>
          <w:w w:val="105"/>
          <w:sz w:val="11"/>
        </w:rPr>
        <w:t>William</w:t>
      </w:r>
      <w:r>
        <w:rPr>
          <w:spacing w:val="-2"/>
          <w:w w:val="105"/>
          <w:sz w:val="11"/>
        </w:rPr>
        <w:t xml:space="preserve"> </w:t>
      </w:r>
      <w:r>
        <w:rPr>
          <w:w w:val="105"/>
          <w:sz w:val="11"/>
        </w:rPr>
        <w:t>Isaac,</w:t>
      </w:r>
      <w:r>
        <w:rPr>
          <w:spacing w:val="-2"/>
          <w:w w:val="105"/>
          <w:sz w:val="11"/>
        </w:rPr>
        <w:t xml:space="preserve"> </w:t>
      </w:r>
      <w:r>
        <w:rPr>
          <w:w w:val="105"/>
          <w:sz w:val="11"/>
        </w:rPr>
        <w:t>“¿Predecir</w:t>
      </w:r>
      <w:r>
        <w:rPr>
          <w:spacing w:val="-2"/>
          <w:w w:val="105"/>
          <w:sz w:val="11"/>
        </w:rPr>
        <w:t xml:space="preserve"> </w:t>
      </w:r>
      <w:r>
        <w:rPr>
          <w:w w:val="105"/>
          <w:sz w:val="11"/>
        </w:rPr>
        <w:t>y</w:t>
      </w:r>
      <w:r>
        <w:rPr>
          <w:spacing w:val="-2"/>
          <w:w w:val="105"/>
          <w:sz w:val="11"/>
        </w:rPr>
        <w:t xml:space="preserve"> </w:t>
      </w:r>
      <w:r>
        <w:rPr>
          <w:w w:val="105"/>
          <w:sz w:val="11"/>
        </w:rPr>
        <w:t>servir?”,</w:t>
      </w:r>
      <w:r>
        <w:rPr>
          <w:spacing w:val="-1"/>
          <w:w w:val="105"/>
          <w:sz w:val="11"/>
        </w:rPr>
        <w:t xml:space="preserve"> </w:t>
      </w:r>
      <w:r>
        <w:rPr>
          <w:w w:val="105"/>
          <w:sz w:val="11"/>
        </w:rPr>
        <w:t>Significado,</w:t>
      </w:r>
      <w:r>
        <w:rPr>
          <w:spacing w:val="-1"/>
          <w:w w:val="105"/>
          <w:sz w:val="11"/>
        </w:rPr>
        <w:t xml:space="preserve"> </w:t>
      </w:r>
      <w:r>
        <w:rPr>
          <w:w w:val="105"/>
          <w:sz w:val="11"/>
        </w:rPr>
        <w:t>vol.</w:t>
      </w:r>
      <w:r>
        <w:rPr>
          <w:spacing w:val="-2"/>
          <w:w w:val="105"/>
          <w:sz w:val="11"/>
        </w:rPr>
        <w:t xml:space="preserve"> </w:t>
      </w:r>
      <w:r>
        <w:rPr>
          <w:w w:val="105"/>
          <w:sz w:val="11"/>
        </w:rPr>
        <w:t>13,</w:t>
      </w:r>
      <w:r>
        <w:rPr>
          <w:spacing w:val="-2"/>
          <w:w w:val="105"/>
          <w:sz w:val="11"/>
        </w:rPr>
        <w:t xml:space="preserve"> </w:t>
      </w:r>
      <w:r>
        <w:rPr>
          <w:w w:val="105"/>
          <w:sz w:val="11"/>
        </w:rPr>
        <w:t>núm.</w:t>
      </w:r>
      <w:r>
        <w:rPr>
          <w:spacing w:val="-2"/>
          <w:w w:val="105"/>
          <w:sz w:val="11"/>
        </w:rPr>
        <w:t xml:space="preserve"> </w:t>
      </w:r>
      <w:r>
        <w:rPr>
          <w:w w:val="105"/>
          <w:sz w:val="11"/>
        </w:rPr>
        <w:t>5</w:t>
      </w:r>
      <w:r>
        <w:rPr>
          <w:spacing w:val="-2"/>
          <w:w w:val="105"/>
          <w:sz w:val="11"/>
        </w:rPr>
        <w:t xml:space="preserve"> </w:t>
      </w:r>
      <w:r>
        <w:rPr>
          <w:w w:val="105"/>
          <w:sz w:val="11"/>
        </w:rPr>
        <w:t>(2016).</w:t>
      </w:r>
      <w:r>
        <w:rPr>
          <w:spacing w:val="-2"/>
          <w:w w:val="105"/>
          <w:sz w:val="11"/>
        </w:rPr>
        <w:t xml:space="preserve"> </w:t>
      </w:r>
      <w:r>
        <w:rPr>
          <w:w w:val="105"/>
          <w:sz w:val="11"/>
        </w:rPr>
        <w:t>Disponible</w:t>
      </w:r>
      <w:r>
        <w:rPr>
          <w:spacing w:val="-2"/>
          <w:w w:val="105"/>
          <w:sz w:val="11"/>
        </w:rPr>
        <w:t xml:space="preserve"> </w:t>
      </w:r>
      <w:r>
        <w:rPr>
          <w:w w:val="105"/>
          <w:sz w:val="11"/>
        </w:rPr>
        <w:t>en</w:t>
      </w:r>
      <w:r>
        <w:rPr>
          <w:spacing w:val="-2"/>
          <w:w w:val="105"/>
          <w:sz w:val="11"/>
        </w:rPr>
        <w:t xml:space="preserve"> </w:t>
      </w:r>
      <w:hyperlink r:id="rId347">
        <w:r>
          <w:rPr>
            <w:color w:val="0075BF"/>
            <w:w w:val="105"/>
            <w:sz w:val="11"/>
          </w:rPr>
          <w:t>https://rss.onlinelibrary.wiley.</w:t>
        </w:r>
      </w:hyperlink>
      <w:r>
        <w:rPr>
          <w:color w:val="0075BF"/>
          <w:spacing w:val="40"/>
          <w:w w:val="105"/>
          <w:sz w:val="11"/>
        </w:rPr>
        <w:t xml:space="preserve"> </w:t>
      </w:r>
      <w:r>
        <w:rPr>
          <w:color w:val="0075BF"/>
          <w:spacing w:val="-2"/>
          <w:w w:val="105"/>
          <w:sz w:val="11"/>
        </w:rPr>
        <w:t>com/</w:t>
      </w:r>
      <w:proofErr w:type="spellStart"/>
      <w:r>
        <w:rPr>
          <w:color w:val="0075BF"/>
          <w:spacing w:val="-2"/>
          <w:w w:val="105"/>
          <w:sz w:val="11"/>
        </w:rPr>
        <w:t>doi</w:t>
      </w:r>
      <w:proofErr w:type="spellEnd"/>
      <w:r>
        <w:rPr>
          <w:color w:val="0075BF"/>
          <w:spacing w:val="-2"/>
          <w:w w:val="105"/>
          <w:sz w:val="11"/>
        </w:rPr>
        <w:t>/</w:t>
      </w:r>
      <w:proofErr w:type="spellStart"/>
      <w:r>
        <w:rPr>
          <w:color w:val="0075BF"/>
          <w:spacing w:val="-2"/>
          <w:w w:val="105"/>
          <w:sz w:val="11"/>
        </w:rPr>
        <w:t>epdf</w:t>
      </w:r>
      <w:proofErr w:type="spellEnd"/>
      <w:r>
        <w:rPr>
          <w:color w:val="0075BF"/>
          <w:spacing w:val="-2"/>
          <w:w w:val="105"/>
          <w:sz w:val="11"/>
        </w:rPr>
        <w:t>/10.1111/j.1740-9713.2016.</w:t>
      </w:r>
      <w:proofErr w:type="gramStart"/>
      <w:r>
        <w:rPr>
          <w:color w:val="0075BF"/>
          <w:spacing w:val="-2"/>
          <w:w w:val="105"/>
          <w:sz w:val="11"/>
        </w:rPr>
        <w:t>00960.x.</w:t>
      </w:r>
      <w:proofErr w:type="gramEnd"/>
    </w:p>
    <w:p w14:paraId="246FDB65" w14:textId="77777777" w:rsidR="0014798C" w:rsidRDefault="004E1F0B">
      <w:pPr>
        <w:spacing w:before="85"/>
        <w:ind w:left="1111"/>
        <w:rPr>
          <w:sz w:val="9"/>
        </w:rPr>
      </w:pPr>
      <w:r>
        <w:rPr>
          <w:w w:val="105"/>
          <w:sz w:val="9"/>
        </w:rPr>
        <w:t>1224</w:t>
      </w:r>
      <w:r>
        <w:rPr>
          <w:spacing w:val="-2"/>
          <w:w w:val="105"/>
          <w:sz w:val="9"/>
        </w:rPr>
        <w:t xml:space="preserve"> </w:t>
      </w:r>
      <w:r>
        <w:rPr>
          <w:w w:val="105"/>
          <w:sz w:val="9"/>
        </w:rPr>
        <w:t>Jacob</w:t>
      </w:r>
      <w:r>
        <w:rPr>
          <w:spacing w:val="-1"/>
          <w:w w:val="105"/>
          <w:sz w:val="9"/>
        </w:rPr>
        <w:t xml:space="preserve"> </w:t>
      </w:r>
      <w:r>
        <w:rPr>
          <w:w w:val="105"/>
          <w:sz w:val="9"/>
        </w:rPr>
        <w:t>Snow,</w:t>
      </w:r>
      <w:r>
        <w:rPr>
          <w:spacing w:val="-1"/>
          <w:w w:val="105"/>
          <w:sz w:val="9"/>
        </w:rPr>
        <w:t xml:space="preserve"> </w:t>
      </w:r>
      <w:r>
        <w:rPr>
          <w:w w:val="105"/>
          <w:sz w:val="9"/>
        </w:rPr>
        <w:t>“El</w:t>
      </w:r>
      <w:r>
        <w:rPr>
          <w:spacing w:val="-1"/>
          <w:w w:val="105"/>
          <w:sz w:val="9"/>
        </w:rPr>
        <w:t xml:space="preserve"> </w:t>
      </w:r>
      <w:r>
        <w:rPr>
          <w:w w:val="105"/>
          <w:sz w:val="9"/>
        </w:rPr>
        <w:t>reconocimiento</w:t>
      </w:r>
      <w:r>
        <w:rPr>
          <w:spacing w:val="-1"/>
          <w:w w:val="105"/>
          <w:sz w:val="9"/>
        </w:rPr>
        <w:t xml:space="preserve"> </w:t>
      </w:r>
      <w:r>
        <w:rPr>
          <w:w w:val="105"/>
          <w:sz w:val="9"/>
        </w:rPr>
        <w:t>facial</w:t>
      </w:r>
      <w:r>
        <w:rPr>
          <w:spacing w:val="-1"/>
          <w:w w:val="105"/>
          <w:sz w:val="9"/>
        </w:rPr>
        <w:t xml:space="preserve"> </w:t>
      </w:r>
      <w:r>
        <w:rPr>
          <w:w w:val="105"/>
          <w:sz w:val="9"/>
        </w:rPr>
        <w:t>de</w:t>
      </w:r>
      <w:r>
        <w:rPr>
          <w:spacing w:val="-2"/>
          <w:w w:val="105"/>
          <w:sz w:val="9"/>
        </w:rPr>
        <w:t xml:space="preserve"> </w:t>
      </w:r>
      <w:r>
        <w:rPr>
          <w:w w:val="105"/>
          <w:sz w:val="9"/>
        </w:rPr>
        <w:t>Amazon</w:t>
      </w:r>
      <w:r>
        <w:rPr>
          <w:spacing w:val="-1"/>
          <w:w w:val="105"/>
          <w:sz w:val="9"/>
        </w:rPr>
        <w:t xml:space="preserve"> </w:t>
      </w:r>
      <w:r>
        <w:rPr>
          <w:w w:val="105"/>
          <w:sz w:val="9"/>
        </w:rPr>
        <w:t>coincidió</w:t>
      </w:r>
      <w:r>
        <w:rPr>
          <w:spacing w:val="-1"/>
          <w:w w:val="105"/>
          <w:sz w:val="9"/>
        </w:rPr>
        <w:t xml:space="preserve"> </w:t>
      </w:r>
      <w:r>
        <w:rPr>
          <w:w w:val="105"/>
          <w:sz w:val="9"/>
        </w:rPr>
        <w:t>falsamente</w:t>
      </w:r>
      <w:r>
        <w:rPr>
          <w:spacing w:val="-1"/>
          <w:w w:val="105"/>
          <w:sz w:val="9"/>
        </w:rPr>
        <w:t xml:space="preserve"> </w:t>
      </w:r>
      <w:r>
        <w:rPr>
          <w:w w:val="105"/>
          <w:sz w:val="9"/>
        </w:rPr>
        <w:t>con</w:t>
      </w:r>
      <w:r>
        <w:rPr>
          <w:spacing w:val="-1"/>
          <w:w w:val="105"/>
          <w:sz w:val="9"/>
        </w:rPr>
        <w:t xml:space="preserve"> </w:t>
      </w:r>
      <w:r>
        <w:rPr>
          <w:w w:val="105"/>
          <w:sz w:val="9"/>
        </w:rPr>
        <w:t>fotografías</w:t>
      </w:r>
      <w:r>
        <w:rPr>
          <w:spacing w:val="-1"/>
          <w:w w:val="105"/>
          <w:sz w:val="9"/>
        </w:rPr>
        <w:t xml:space="preserve"> </w:t>
      </w:r>
      <w:r>
        <w:rPr>
          <w:w w:val="105"/>
          <w:sz w:val="9"/>
        </w:rPr>
        <w:t>policiales</w:t>
      </w:r>
      <w:r>
        <w:rPr>
          <w:spacing w:val="-2"/>
          <w:w w:val="105"/>
          <w:sz w:val="9"/>
        </w:rPr>
        <w:t xml:space="preserve"> </w:t>
      </w:r>
      <w:r>
        <w:rPr>
          <w:w w:val="105"/>
          <w:sz w:val="9"/>
        </w:rPr>
        <w:t>de</w:t>
      </w:r>
      <w:r>
        <w:rPr>
          <w:spacing w:val="-1"/>
          <w:w w:val="105"/>
          <w:sz w:val="9"/>
        </w:rPr>
        <w:t xml:space="preserve"> </w:t>
      </w:r>
      <w:r>
        <w:rPr>
          <w:w w:val="105"/>
          <w:sz w:val="9"/>
        </w:rPr>
        <w:t>28</w:t>
      </w:r>
      <w:r>
        <w:rPr>
          <w:spacing w:val="-1"/>
          <w:w w:val="105"/>
          <w:sz w:val="9"/>
        </w:rPr>
        <w:t xml:space="preserve"> </w:t>
      </w:r>
      <w:r>
        <w:rPr>
          <w:w w:val="105"/>
          <w:sz w:val="9"/>
        </w:rPr>
        <w:t>miembros</w:t>
      </w:r>
      <w:r>
        <w:rPr>
          <w:spacing w:val="-1"/>
          <w:w w:val="105"/>
          <w:sz w:val="9"/>
        </w:rPr>
        <w:t xml:space="preserve"> </w:t>
      </w:r>
      <w:r>
        <w:rPr>
          <w:w w:val="105"/>
          <w:sz w:val="9"/>
        </w:rPr>
        <w:t>del</w:t>
      </w:r>
      <w:r>
        <w:rPr>
          <w:spacing w:val="-1"/>
          <w:w w:val="105"/>
          <w:sz w:val="9"/>
        </w:rPr>
        <w:t xml:space="preserve"> </w:t>
      </w:r>
      <w:r>
        <w:rPr>
          <w:w w:val="105"/>
          <w:sz w:val="9"/>
        </w:rPr>
        <w:t>Congreso”,</w:t>
      </w:r>
      <w:r>
        <w:rPr>
          <w:spacing w:val="-1"/>
          <w:w w:val="105"/>
          <w:sz w:val="9"/>
        </w:rPr>
        <w:t xml:space="preserve"> </w:t>
      </w:r>
      <w:r>
        <w:rPr>
          <w:w w:val="105"/>
          <w:sz w:val="9"/>
        </w:rPr>
        <w:t>Unión</w:t>
      </w:r>
      <w:r>
        <w:rPr>
          <w:spacing w:val="-1"/>
          <w:w w:val="105"/>
          <w:sz w:val="9"/>
        </w:rPr>
        <w:t xml:space="preserve"> </w:t>
      </w:r>
      <w:r>
        <w:rPr>
          <w:w w:val="105"/>
          <w:sz w:val="9"/>
        </w:rPr>
        <w:t>Estadounidense</w:t>
      </w:r>
      <w:r>
        <w:rPr>
          <w:spacing w:val="-1"/>
          <w:w w:val="105"/>
          <w:sz w:val="9"/>
        </w:rPr>
        <w:t xml:space="preserve"> </w:t>
      </w:r>
      <w:r>
        <w:rPr>
          <w:w w:val="105"/>
          <w:sz w:val="9"/>
        </w:rPr>
        <w:t>por</w:t>
      </w:r>
      <w:r>
        <w:rPr>
          <w:spacing w:val="-1"/>
          <w:w w:val="105"/>
          <w:sz w:val="9"/>
        </w:rPr>
        <w:t xml:space="preserve"> </w:t>
      </w:r>
      <w:r>
        <w:rPr>
          <w:w w:val="105"/>
          <w:sz w:val="9"/>
        </w:rPr>
        <w:t>las</w:t>
      </w:r>
      <w:r>
        <w:rPr>
          <w:spacing w:val="-1"/>
          <w:w w:val="105"/>
          <w:sz w:val="9"/>
        </w:rPr>
        <w:t xml:space="preserve"> </w:t>
      </w:r>
      <w:r>
        <w:rPr>
          <w:w w:val="105"/>
          <w:sz w:val="9"/>
        </w:rPr>
        <w:t>Libertades</w:t>
      </w:r>
      <w:r>
        <w:rPr>
          <w:spacing w:val="-1"/>
          <w:w w:val="105"/>
          <w:sz w:val="9"/>
        </w:rPr>
        <w:t xml:space="preserve"> </w:t>
      </w:r>
      <w:r>
        <w:rPr>
          <w:spacing w:val="-2"/>
          <w:w w:val="105"/>
          <w:sz w:val="9"/>
        </w:rPr>
        <w:t>Civiles,</w:t>
      </w:r>
    </w:p>
    <w:p w14:paraId="72408981" w14:textId="77777777" w:rsidR="0014798C" w:rsidRDefault="004E1F0B">
      <w:pPr>
        <w:spacing w:before="48"/>
        <w:ind w:left="1366"/>
        <w:rPr>
          <w:sz w:val="11"/>
        </w:rPr>
      </w:pPr>
      <w:r>
        <w:rPr>
          <w:spacing w:val="-2"/>
          <w:w w:val="105"/>
          <w:sz w:val="11"/>
        </w:rPr>
        <w:t>26</w:t>
      </w:r>
      <w:r>
        <w:rPr>
          <w:spacing w:val="24"/>
          <w:w w:val="105"/>
          <w:sz w:val="11"/>
        </w:rPr>
        <w:t xml:space="preserve"> </w:t>
      </w:r>
      <w:r>
        <w:rPr>
          <w:spacing w:val="-2"/>
          <w:w w:val="105"/>
          <w:sz w:val="11"/>
        </w:rPr>
        <w:t>de</w:t>
      </w:r>
      <w:r>
        <w:rPr>
          <w:spacing w:val="24"/>
          <w:w w:val="105"/>
          <w:sz w:val="11"/>
        </w:rPr>
        <w:t xml:space="preserve"> </w:t>
      </w:r>
      <w:r>
        <w:rPr>
          <w:spacing w:val="-2"/>
          <w:w w:val="105"/>
          <w:sz w:val="11"/>
        </w:rPr>
        <w:t>julio</w:t>
      </w:r>
      <w:r>
        <w:rPr>
          <w:spacing w:val="24"/>
          <w:w w:val="105"/>
          <w:sz w:val="11"/>
        </w:rPr>
        <w:t xml:space="preserve"> </w:t>
      </w:r>
      <w:r>
        <w:rPr>
          <w:spacing w:val="-2"/>
          <w:w w:val="105"/>
          <w:sz w:val="11"/>
        </w:rPr>
        <w:t>de</w:t>
      </w:r>
      <w:r>
        <w:rPr>
          <w:spacing w:val="24"/>
          <w:w w:val="105"/>
          <w:sz w:val="11"/>
        </w:rPr>
        <w:t xml:space="preserve"> </w:t>
      </w:r>
      <w:r>
        <w:rPr>
          <w:spacing w:val="-2"/>
          <w:w w:val="105"/>
          <w:sz w:val="11"/>
        </w:rPr>
        <w:t>2018.</w:t>
      </w:r>
      <w:r>
        <w:rPr>
          <w:spacing w:val="24"/>
          <w:w w:val="105"/>
          <w:sz w:val="11"/>
        </w:rPr>
        <w:t xml:space="preserve"> </w:t>
      </w:r>
      <w:r>
        <w:rPr>
          <w:spacing w:val="-2"/>
          <w:w w:val="105"/>
          <w:sz w:val="11"/>
        </w:rPr>
        <w:t>Disponible</w:t>
      </w:r>
      <w:r>
        <w:rPr>
          <w:spacing w:val="25"/>
          <w:w w:val="105"/>
          <w:sz w:val="11"/>
        </w:rPr>
        <w:t xml:space="preserve"> </w:t>
      </w:r>
      <w:r>
        <w:rPr>
          <w:spacing w:val="-2"/>
          <w:w w:val="105"/>
          <w:sz w:val="11"/>
        </w:rPr>
        <w:t>en</w:t>
      </w:r>
      <w:r>
        <w:rPr>
          <w:spacing w:val="24"/>
          <w:w w:val="105"/>
          <w:sz w:val="11"/>
        </w:rPr>
        <w:t xml:space="preserve"> </w:t>
      </w:r>
      <w:hyperlink r:id="rId348">
        <w:r>
          <w:rPr>
            <w:color w:val="0075BF"/>
            <w:spacing w:val="-2"/>
            <w:w w:val="105"/>
            <w:sz w:val="11"/>
          </w:rPr>
          <w:t>www.aclu.org/blog/privacy-technology/surveillance-technologies/amazons-face-recognition-falsely-matched-</w:t>
        </w:r>
        <w:r>
          <w:rPr>
            <w:color w:val="0075BF"/>
            <w:spacing w:val="-5"/>
            <w:w w:val="105"/>
            <w:sz w:val="11"/>
          </w:rPr>
          <w:t>28.</w:t>
        </w:r>
      </w:hyperlink>
    </w:p>
    <w:p w14:paraId="30E81592" w14:textId="77777777" w:rsidR="0014798C" w:rsidRDefault="004E1F0B">
      <w:pPr>
        <w:spacing w:before="54" w:line="340" w:lineRule="auto"/>
        <w:ind w:left="1358" w:right="1626" w:firstLine="7"/>
        <w:rPr>
          <w:sz w:val="11"/>
        </w:rPr>
      </w:pPr>
      <w:r>
        <w:rPr>
          <w:w w:val="105"/>
          <w:sz w:val="11"/>
        </w:rPr>
        <w:t>El</w:t>
      </w:r>
      <w:r>
        <w:rPr>
          <w:spacing w:val="-1"/>
          <w:w w:val="105"/>
          <w:sz w:val="11"/>
        </w:rPr>
        <w:t xml:space="preserve"> </w:t>
      </w:r>
      <w:r>
        <w:rPr>
          <w:w w:val="105"/>
          <w:sz w:val="11"/>
        </w:rPr>
        <w:t>autor</w:t>
      </w:r>
      <w:r>
        <w:rPr>
          <w:spacing w:val="-1"/>
          <w:w w:val="105"/>
          <w:sz w:val="11"/>
        </w:rPr>
        <w:t xml:space="preserve"> </w:t>
      </w:r>
      <w:r>
        <w:rPr>
          <w:w w:val="105"/>
          <w:sz w:val="11"/>
        </w:rPr>
        <w:t>señaló</w:t>
      </w:r>
      <w:r>
        <w:rPr>
          <w:spacing w:val="-1"/>
          <w:w w:val="105"/>
          <w:sz w:val="11"/>
        </w:rPr>
        <w:t xml:space="preserve"> </w:t>
      </w:r>
      <w:r>
        <w:rPr>
          <w:w w:val="105"/>
          <w:sz w:val="11"/>
        </w:rPr>
        <w:t>que</w:t>
      </w:r>
      <w:r>
        <w:rPr>
          <w:spacing w:val="-1"/>
          <w:w w:val="105"/>
          <w:sz w:val="11"/>
        </w:rPr>
        <w:t xml:space="preserve"> </w:t>
      </w:r>
      <w:r>
        <w:rPr>
          <w:w w:val="105"/>
          <w:sz w:val="11"/>
        </w:rPr>
        <w:t>11</w:t>
      </w:r>
      <w:r>
        <w:rPr>
          <w:spacing w:val="-1"/>
          <w:w w:val="105"/>
          <w:sz w:val="11"/>
        </w:rPr>
        <w:t xml:space="preserve"> </w:t>
      </w:r>
      <w:r>
        <w:rPr>
          <w:w w:val="105"/>
          <w:sz w:val="11"/>
        </w:rPr>
        <w:t>de</w:t>
      </w:r>
      <w:r>
        <w:rPr>
          <w:spacing w:val="-1"/>
          <w:w w:val="105"/>
          <w:sz w:val="11"/>
        </w:rPr>
        <w:t xml:space="preserve"> </w:t>
      </w:r>
      <w:r>
        <w:rPr>
          <w:w w:val="105"/>
          <w:sz w:val="11"/>
        </w:rPr>
        <w:t>las</w:t>
      </w:r>
      <w:r>
        <w:rPr>
          <w:spacing w:val="-1"/>
          <w:w w:val="105"/>
          <w:sz w:val="11"/>
        </w:rPr>
        <w:t xml:space="preserve"> </w:t>
      </w:r>
      <w:r>
        <w:rPr>
          <w:w w:val="105"/>
          <w:sz w:val="11"/>
        </w:rPr>
        <w:t>28</w:t>
      </w:r>
      <w:r>
        <w:rPr>
          <w:spacing w:val="-1"/>
          <w:w w:val="105"/>
          <w:sz w:val="11"/>
        </w:rPr>
        <w:t xml:space="preserve"> </w:t>
      </w:r>
      <w:r>
        <w:rPr>
          <w:w w:val="105"/>
          <w:sz w:val="11"/>
        </w:rPr>
        <w:t>coincidencias</w:t>
      </w:r>
      <w:r>
        <w:rPr>
          <w:spacing w:val="-1"/>
          <w:w w:val="105"/>
          <w:sz w:val="11"/>
        </w:rPr>
        <w:t xml:space="preserve"> </w:t>
      </w:r>
      <w:r>
        <w:rPr>
          <w:w w:val="105"/>
          <w:sz w:val="11"/>
        </w:rPr>
        <w:t>falsas</w:t>
      </w:r>
      <w:r>
        <w:rPr>
          <w:spacing w:val="-1"/>
          <w:w w:val="105"/>
          <w:sz w:val="11"/>
        </w:rPr>
        <w:t xml:space="preserve"> </w:t>
      </w:r>
      <w:r>
        <w:rPr>
          <w:w w:val="105"/>
          <w:sz w:val="11"/>
        </w:rPr>
        <w:t>identificaron</w:t>
      </w:r>
      <w:r>
        <w:rPr>
          <w:spacing w:val="-1"/>
          <w:w w:val="105"/>
          <w:sz w:val="11"/>
        </w:rPr>
        <w:t xml:space="preserve"> </w:t>
      </w:r>
      <w:r>
        <w:rPr>
          <w:w w:val="105"/>
          <w:sz w:val="11"/>
        </w:rPr>
        <w:t>erróneamente</w:t>
      </w:r>
      <w:r>
        <w:rPr>
          <w:spacing w:val="-1"/>
          <w:w w:val="105"/>
          <w:sz w:val="11"/>
        </w:rPr>
        <w:t xml:space="preserve"> </w:t>
      </w:r>
      <w:r>
        <w:rPr>
          <w:w w:val="105"/>
          <w:sz w:val="11"/>
        </w:rPr>
        <w:t>a</w:t>
      </w:r>
      <w:r>
        <w:rPr>
          <w:spacing w:val="-1"/>
          <w:w w:val="105"/>
          <w:sz w:val="11"/>
        </w:rPr>
        <w:t xml:space="preserve"> </w:t>
      </w:r>
      <w:r>
        <w:rPr>
          <w:w w:val="105"/>
          <w:sz w:val="11"/>
        </w:rPr>
        <w:t>personas</w:t>
      </w:r>
      <w:r>
        <w:rPr>
          <w:spacing w:val="-1"/>
          <w:w w:val="105"/>
          <w:sz w:val="11"/>
        </w:rPr>
        <w:t xml:space="preserve"> </w:t>
      </w:r>
      <w:r>
        <w:rPr>
          <w:w w:val="105"/>
          <w:sz w:val="11"/>
        </w:rPr>
        <w:t>de</w:t>
      </w:r>
      <w:r>
        <w:rPr>
          <w:spacing w:val="-1"/>
          <w:w w:val="105"/>
          <w:sz w:val="11"/>
        </w:rPr>
        <w:t xml:space="preserve"> </w:t>
      </w:r>
      <w:r>
        <w:rPr>
          <w:w w:val="105"/>
          <w:sz w:val="11"/>
        </w:rPr>
        <w:t>color</w:t>
      </w:r>
      <w:r>
        <w:rPr>
          <w:spacing w:val="-1"/>
          <w:w w:val="105"/>
          <w:sz w:val="11"/>
        </w:rPr>
        <w:t xml:space="preserve"> </w:t>
      </w:r>
      <w:r>
        <w:rPr>
          <w:w w:val="105"/>
          <w:sz w:val="11"/>
        </w:rPr>
        <w:t>(aproximadamente</w:t>
      </w:r>
      <w:r>
        <w:rPr>
          <w:spacing w:val="-1"/>
          <w:w w:val="105"/>
          <w:sz w:val="11"/>
        </w:rPr>
        <w:t xml:space="preserve"> </w:t>
      </w:r>
      <w:r>
        <w:rPr>
          <w:w w:val="105"/>
          <w:sz w:val="11"/>
        </w:rPr>
        <w:t>el</w:t>
      </w:r>
      <w:r>
        <w:rPr>
          <w:spacing w:val="-1"/>
          <w:w w:val="105"/>
          <w:sz w:val="11"/>
        </w:rPr>
        <w:t xml:space="preserve"> </w:t>
      </w:r>
      <w:r>
        <w:rPr>
          <w:w w:val="105"/>
          <w:sz w:val="11"/>
        </w:rPr>
        <w:t>39</w:t>
      </w:r>
      <w:r>
        <w:rPr>
          <w:spacing w:val="-1"/>
          <w:w w:val="105"/>
          <w:sz w:val="11"/>
        </w:rPr>
        <w:t xml:space="preserve"> </w:t>
      </w:r>
      <w:r>
        <w:rPr>
          <w:w w:val="105"/>
          <w:sz w:val="11"/>
        </w:rPr>
        <w:t>por</w:t>
      </w:r>
      <w:r>
        <w:rPr>
          <w:spacing w:val="-1"/>
          <w:w w:val="105"/>
          <w:sz w:val="11"/>
        </w:rPr>
        <w:t xml:space="preserve"> </w:t>
      </w:r>
      <w:r>
        <w:rPr>
          <w:w w:val="105"/>
          <w:sz w:val="11"/>
        </w:rPr>
        <w:t>ciento),</w:t>
      </w:r>
      <w:r>
        <w:rPr>
          <w:spacing w:val="-1"/>
          <w:w w:val="105"/>
          <w:sz w:val="11"/>
        </w:rPr>
        <w:t xml:space="preserve"> </w:t>
      </w:r>
      <w:r>
        <w:rPr>
          <w:w w:val="105"/>
          <w:sz w:val="11"/>
        </w:rPr>
        <w:t>incluido</w:t>
      </w:r>
      <w:r>
        <w:rPr>
          <w:spacing w:val="-1"/>
          <w:w w:val="105"/>
          <w:sz w:val="11"/>
        </w:rPr>
        <w:t xml:space="preserve"> </w:t>
      </w:r>
      <w:r>
        <w:rPr>
          <w:w w:val="105"/>
          <w:sz w:val="11"/>
        </w:rPr>
        <w:t>el</w:t>
      </w:r>
      <w:r>
        <w:rPr>
          <w:spacing w:val="-1"/>
          <w:w w:val="105"/>
          <w:sz w:val="11"/>
        </w:rPr>
        <w:t xml:space="preserve"> </w:t>
      </w:r>
      <w:r>
        <w:rPr>
          <w:w w:val="105"/>
          <w:sz w:val="11"/>
        </w:rPr>
        <w:t>líder</w:t>
      </w:r>
      <w:r>
        <w:rPr>
          <w:spacing w:val="-1"/>
          <w:w w:val="105"/>
          <w:sz w:val="11"/>
        </w:rPr>
        <w:t xml:space="preserve"> </w:t>
      </w:r>
      <w:r>
        <w:rPr>
          <w:w w:val="105"/>
          <w:sz w:val="11"/>
        </w:rPr>
        <w:t>de</w:t>
      </w:r>
      <w:r>
        <w:rPr>
          <w:spacing w:val="-1"/>
          <w:w w:val="105"/>
          <w:sz w:val="11"/>
        </w:rPr>
        <w:t xml:space="preserve"> </w:t>
      </w:r>
      <w:r>
        <w:rPr>
          <w:w w:val="105"/>
          <w:sz w:val="11"/>
        </w:rPr>
        <w:t>derechos</w:t>
      </w:r>
      <w:r>
        <w:rPr>
          <w:spacing w:val="40"/>
          <w:w w:val="105"/>
          <w:sz w:val="11"/>
        </w:rPr>
        <w:t xml:space="preserve"> </w:t>
      </w:r>
      <w:r>
        <w:rPr>
          <w:w w:val="105"/>
          <w:sz w:val="11"/>
        </w:rPr>
        <w:t>civiles John Lewis y otros cinco miembros del Caucus Negro del Congreso. Sólo el 20 por ciento de los actuales miembros del Congreso son personas de</w:t>
      </w:r>
    </w:p>
    <w:p w14:paraId="529057AE" w14:textId="77777777" w:rsidR="0014798C" w:rsidRDefault="004E1F0B">
      <w:pPr>
        <w:ind w:left="1366"/>
        <w:rPr>
          <w:sz w:val="11"/>
        </w:rPr>
      </w:pPr>
      <w:r>
        <w:rPr>
          <w:w w:val="105"/>
          <w:sz w:val="11"/>
        </w:rPr>
        <w:t>color,</w:t>
      </w:r>
      <w:r>
        <w:rPr>
          <w:spacing w:val="-3"/>
          <w:w w:val="105"/>
          <w:sz w:val="11"/>
        </w:rPr>
        <w:t xml:space="preserve"> </w:t>
      </w:r>
      <w:r>
        <w:rPr>
          <w:w w:val="105"/>
          <w:sz w:val="11"/>
        </w:rPr>
        <w:t>lo</w:t>
      </w:r>
      <w:r>
        <w:rPr>
          <w:spacing w:val="-3"/>
          <w:w w:val="105"/>
          <w:sz w:val="11"/>
        </w:rPr>
        <w:t xml:space="preserve"> </w:t>
      </w:r>
      <w:r>
        <w:rPr>
          <w:w w:val="105"/>
          <w:sz w:val="11"/>
        </w:rPr>
        <w:t>que</w:t>
      </w:r>
      <w:r>
        <w:rPr>
          <w:spacing w:val="-3"/>
          <w:w w:val="105"/>
          <w:sz w:val="11"/>
        </w:rPr>
        <w:t xml:space="preserve"> </w:t>
      </w:r>
      <w:r>
        <w:rPr>
          <w:w w:val="105"/>
          <w:sz w:val="11"/>
        </w:rPr>
        <w:t>indica</w:t>
      </w:r>
      <w:r>
        <w:rPr>
          <w:spacing w:val="-3"/>
          <w:w w:val="105"/>
          <w:sz w:val="11"/>
        </w:rPr>
        <w:t xml:space="preserve"> </w:t>
      </w:r>
      <w:r>
        <w:rPr>
          <w:w w:val="105"/>
          <w:sz w:val="11"/>
        </w:rPr>
        <w:t>que</w:t>
      </w:r>
      <w:r>
        <w:rPr>
          <w:spacing w:val="-3"/>
          <w:w w:val="105"/>
          <w:sz w:val="11"/>
        </w:rPr>
        <w:t xml:space="preserve"> </w:t>
      </w:r>
      <w:r>
        <w:rPr>
          <w:w w:val="105"/>
          <w:sz w:val="11"/>
        </w:rPr>
        <w:t>las</w:t>
      </w:r>
      <w:r>
        <w:rPr>
          <w:spacing w:val="-3"/>
          <w:w w:val="105"/>
          <w:sz w:val="11"/>
        </w:rPr>
        <w:t xml:space="preserve"> </w:t>
      </w:r>
      <w:r>
        <w:rPr>
          <w:w w:val="105"/>
          <w:sz w:val="11"/>
        </w:rPr>
        <w:t>tasas</w:t>
      </w:r>
      <w:r>
        <w:rPr>
          <w:spacing w:val="-3"/>
          <w:w w:val="105"/>
          <w:sz w:val="11"/>
        </w:rPr>
        <w:t xml:space="preserve"> </w:t>
      </w:r>
      <w:r>
        <w:rPr>
          <w:w w:val="105"/>
          <w:sz w:val="11"/>
        </w:rPr>
        <w:t>de</w:t>
      </w:r>
      <w:r>
        <w:rPr>
          <w:spacing w:val="-3"/>
          <w:w w:val="105"/>
          <w:sz w:val="11"/>
        </w:rPr>
        <w:t xml:space="preserve"> </w:t>
      </w:r>
      <w:r>
        <w:rPr>
          <w:w w:val="105"/>
          <w:sz w:val="11"/>
        </w:rPr>
        <w:t>coincidencias</w:t>
      </w:r>
      <w:r>
        <w:rPr>
          <w:spacing w:val="-3"/>
          <w:w w:val="105"/>
          <w:sz w:val="11"/>
        </w:rPr>
        <w:t xml:space="preserve"> </w:t>
      </w:r>
      <w:r>
        <w:rPr>
          <w:w w:val="105"/>
          <w:sz w:val="11"/>
        </w:rPr>
        <w:t>falsas</w:t>
      </w:r>
      <w:r>
        <w:rPr>
          <w:spacing w:val="-3"/>
          <w:w w:val="105"/>
          <w:sz w:val="11"/>
        </w:rPr>
        <w:t xml:space="preserve"> </w:t>
      </w:r>
      <w:r>
        <w:rPr>
          <w:w w:val="105"/>
          <w:sz w:val="11"/>
        </w:rPr>
        <w:t>afectaron</w:t>
      </w:r>
      <w:r>
        <w:rPr>
          <w:spacing w:val="-3"/>
          <w:w w:val="105"/>
          <w:sz w:val="11"/>
        </w:rPr>
        <w:t xml:space="preserve"> </w:t>
      </w:r>
      <w:r>
        <w:rPr>
          <w:w w:val="105"/>
          <w:sz w:val="11"/>
        </w:rPr>
        <w:t>a</w:t>
      </w:r>
      <w:r>
        <w:rPr>
          <w:spacing w:val="-3"/>
          <w:w w:val="105"/>
          <w:sz w:val="11"/>
        </w:rPr>
        <w:t xml:space="preserve"> </w:t>
      </w:r>
      <w:r>
        <w:rPr>
          <w:w w:val="105"/>
          <w:sz w:val="11"/>
        </w:rPr>
        <w:t>los</w:t>
      </w:r>
      <w:r>
        <w:rPr>
          <w:spacing w:val="-3"/>
          <w:w w:val="105"/>
          <w:sz w:val="11"/>
        </w:rPr>
        <w:t xml:space="preserve"> </w:t>
      </w:r>
      <w:r>
        <w:rPr>
          <w:w w:val="105"/>
          <w:sz w:val="11"/>
        </w:rPr>
        <w:t>miembros</w:t>
      </w:r>
      <w:r>
        <w:rPr>
          <w:spacing w:val="-2"/>
          <w:w w:val="105"/>
          <w:sz w:val="11"/>
        </w:rPr>
        <w:t xml:space="preserve"> </w:t>
      </w:r>
      <w:r>
        <w:rPr>
          <w:w w:val="105"/>
          <w:sz w:val="11"/>
        </w:rPr>
        <w:t>de</w:t>
      </w:r>
      <w:r>
        <w:rPr>
          <w:spacing w:val="-3"/>
          <w:w w:val="105"/>
          <w:sz w:val="11"/>
        </w:rPr>
        <w:t xml:space="preserve"> </w:t>
      </w:r>
      <w:r>
        <w:rPr>
          <w:w w:val="105"/>
          <w:sz w:val="11"/>
        </w:rPr>
        <w:t>color</w:t>
      </w:r>
      <w:r>
        <w:rPr>
          <w:spacing w:val="-3"/>
          <w:w w:val="105"/>
          <w:sz w:val="11"/>
        </w:rPr>
        <w:t xml:space="preserve"> </w:t>
      </w:r>
      <w:r>
        <w:rPr>
          <w:w w:val="105"/>
          <w:sz w:val="11"/>
        </w:rPr>
        <w:t>en</w:t>
      </w:r>
      <w:r>
        <w:rPr>
          <w:spacing w:val="-3"/>
          <w:w w:val="105"/>
          <w:sz w:val="11"/>
        </w:rPr>
        <w:t xml:space="preserve"> </w:t>
      </w:r>
      <w:r>
        <w:rPr>
          <w:w w:val="105"/>
          <w:sz w:val="11"/>
        </w:rPr>
        <w:t>una</w:t>
      </w:r>
      <w:r>
        <w:rPr>
          <w:spacing w:val="-3"/>
          <w:w w:val="105"/>
          <w:sz w:val="11"/>
        </w:rPr>
        <w:t xml:space="preserve"> </w:t>
      </w:r>
      <w:r>
        <w:rPr>
          <w:w w:val="105"/>
          <w:sz w:val="11"/>
        </w:rPr>
        <w:t>tasa</w:t>
      </w:r>
      <w:r>
        <w:rPr>
          <w:spacing w:val="-3"/>
          <w:w w:val="105"/>
          <w:sz w:val="11"/>
        </w:rPr>
        <w:t xml:space="preserve"> </w:t>
      </w:r>
      <w:r>
        <w:rPr>
          <w:w w:val="105"/>
          <w:sz w:val="11"/>
        </w:rPr>
        <w:t>significativamente</w:t>
      </w:r>
      <w:r>
        <w:rPr>
          <w:spacing w:val="-3"/>
          <w:w w:val="105"/>
          <w:sz w:val="11"/>
        </w:rPr>
        <w:t xml:space="preserve"> </w:t>
      </w:r>
      <w:r>
        <w:rPr>
          <w:spacing w:val="-2"/>
          <w:w w:val="105"/>
          <w:sz w:val="11"/>
        </w:rPr>
        <w:t>mayor.</w:t>
      </w:r>
    </w:p>
    <w:p w14:paraId="06809FA8" w14:textId="77777777" w:rsidR="0014798C" w:rsidRPr="002B051F" w:rsidRDefault="004E1F0B">
      <w:pPr>
        <w:spacing w:before="110"/>
        <w:ind w:left="1111"/>
        <w:rPr>
          <w:sz w:val="11"/>
          <w:lang w:val="es-CR"/>
        </w:rPr>
      </w:pPr>
      <w:r w:rsidRPr="002B051F">
        <w:rPr>
          <w:w w:val="110"/>
          <w:sz w:val="11"/>
          <w:vertAlign w:val="superscript"/>
          <w:lang w:val="es-CR"/>
        </w:rPr>
        <w:t>1225</w:t>
      </w:r>
      <w:r w:rsidRPr="002B051F">
        <w:rPr>
          <w:spacing w:val="10"/>
          <w:w w:val="110"/>
          <w:sz w:val="11"/>
          <w:lang w:val="es-CR"/>
        </w:rPr>
        <w:t xml:space="preserve"> </w:t>
      </w:r>
      <w:r w:rsidRPr="002B051F">
        <w:rPr>
          <w:w w:val="110"/>
          <w:sz w:val="11"/>
          <w:lang w:val="es-CR"/>
        </w:rPr>
        <w:t>A/HRC/44/57,</w:t>
      </w:r>
      <w:r w:rsidRPr="002B051F">
        <w:rPr>
          <w:spacing w:val="-8"/>
          <w:w w:val="110"/>
          <w:sz w:val="11"/>
          <w:lang w:val="es-CR"/>
        </w:rPr>
        <w:t xml:space="preserve"> </w:t>
      </w:r>
      <w:r w:rsidRPr="002B051F">
        <w:rPr>
          <w:w w:val="110"/>
          <w:sz w:val="11"/>
          <w:lang w:val="es-CR"/>
        </w:rPr>
        <w:t>párr.</w:t>
      </w:r>
      <w:r w:rsidRPr="002B051F">
        <w:rPr>
          <w:spacing w:val="-9"/>
          <w:w w:val="110"/>
          <w:sz w:val="11"/>
          <w:lang w:val="es-CR"/>
        </w:rPr>
        <w:t xml:space="preserve"> </w:t>
      </w:r>
      <w:r w:rsidRPr="002B051F">
        <w:rPr>
          <w:spacing w:val="-5"/>
          <w:w w:val="110"/>
          <w:sz w:val="11"/>
          <w:lang w:val="es-CR"/>
        </w:rPr>
        <w:t>56.</w:t>
      </w:r>
    </w:p>
    <w:p w14:paraId="0F79A3A9" w14:textId="77777777" w:rsidR="0014798C" w:rsidRPr="002B051F" w:rsidRDefault="0014798C">
      <w:pPr>
        <w:pStyle w:val="Textoindependiente"/>
        <w:rPr>
          <w:sz w:val="18"/>
          <w:lang w:val="es-CR"/>
        </w:rPr>
      </w:pPr>
    </w:p>
    <w:p w14:paraId="488843A4" w14:textId="77777777" w:rsidR="0014798C" w:rsidRPr="002B051F" w:rsidRDefault="0014798C">
      <w:pPr>
        <w:pStyle w:val="Textoindependiente"/>
        <w:rPr>
          <w:sz w:val="18"/>
          <w:lang w:val="es-CR"/>
        </w:rPr>
      </w:pPr>
    </w:p>
    <w:p w14:paraId="517F0EEA" w14:textId="33DFAECE" w:rsidR="0014798C" w:rsidRPr="002B051F" w:rsidRDefault="0014798C">
      <w:pPr>
        <w:spacing w:before="76"/>
        <w:ind w:left="113"/>
        <w:rPr>
          <w:sz w:val="21"/>
          <w:lang w:val="es-CR"/>
        </w:rPr>
      </w:pPr>
    </w:p>
    <w:p w14:paraId="126C14C8" w14:textId="77777777" w:rsidR="0014798C" w:rsidRPr="002B051F" w:rsidRDefault="0014798C">
      <w:pPr>
        <w:pStyle w:val="Textoindependiente"/>
        <w:rPr>
          <w:sz w:val="28"/>
          <w:lang w:val="es-CR"/>
        </w:rPr>
      </w:pPr>
    </w:p>
    <w:p w14:paraId="5765F41A" w14:textId="77777777" w:rsidR="0014798C" w:rsidRPr="002B051F" w:rsidRDefault="0014798C">
      <w:pPr>
        <w:pStyle w:val="Textoindependiente"/>
        <w:rPr>
          <w:sz w:val="28"/>
          <w:lang w:val="es-CR"/>
        </w:rPr>
      </w:pPr>
    </w:p>
    <w:p w14:paraId="7D52732A" w14:textId="21878ECD" w:rsidR="0014798C" w:rsidRPr="002B051F" w:rsidRDefault="008F5CFF">
      <w:pPr>
        <w:pStyle w:val="Textoindependiente"/>
        <w:rPr>
          <w:sz w:val="28"/>
          <w:lang w:val="es-CR"/>
        </w:rPr>
      </w:pPr>
      <w:r>
        <w:rPr>
          <w:noProof/>
        </w:rPr>
        <w:lastRenderedPageBreak/>
        <w:drawing>
          <wp:anchor distT="0" distB="0" distL="0" distR="0" simplePos="0" relativeHeight="251658496" behindDoc="1" locked="0" layoutInCell="1" allowOverlap="1" wp14:anchorId="42A4277F" wp14:editId="37DE9FC8">
            <wp:simplePos x="0" y="0"/>
            <wp:positionH relativeFrom="page">
              <wp:posOffset>-106325</wp:posOffset>
            </wp:positionH>
            <wp:positionV relativeFrom="page">
              <wp:posOffset>42530</wp:posOffset>
            </wp:positionV>
            <wp:extent cx="7556500" cy="10680700"/>
            <wp:effectExtent l="0" t="0" r="0" b="0"/>
            <wp:wrapNone/>
            <wp:docPr id="375" name="Image 37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75" name="Image 375"/>
                    <pic:cNvPicPr/>
                  </pic:nvPicPr>
                  <pic:blipFill>
                    <a:blip r:embed="rId349" cstate="print"/>
                    <a:stretch>
                      <a:fillRect/>
                    </a:stretch>
                  </pic:blipFill>
                  <pic:spPr>
                    <a:xfrm>
                      <a:off x="0" y="0"/>
                      <a:ext cx="7556500" cy="10680700"/>
                    </a:xfrm>
                    <a:prstGeom prst="rect">
                      <a:avLst/>
                    </a:prstGeom>
                  </pic:spPr>
                </pic:pic>
              </a:graphicData>
            </a:graphic>
          </wp:anchor>
        </w:drawing>
      </w:r>
    </w:p>
    <w:p w14:paraId="5F191DC6" w14:textId="32567B0B" w:rsidR="0014798C" w:rsidRPr="002B051F" w:rsidRDefault="0014798C">
      <w:pPr>
        <w:pStyle w:val="Textoindependiente"/>
        <w:rPr>
          <w:sz w:val="28"/>
          <w:lang w:val="es-CR"/>
        </w:rPr>
      </w:pPr>
    </w:p>
    <w:p w14:paraId="61981729" w14:textId="76DBC175" w:rsidR="0014798C" w:rsidRPr="002B051F" w:rsidRDefault="0014798C">
      <w:pPr>
        <w:pStyle w:val="Textoindependiente"/>
        <w:rPr>
          <w:sz w:val="28"/>
          <w:lang w:val="es-CR"/>
        </w:rPr>
      </w:pPr>
    </w:p>
    <w:p w14:paraId="22BD5EC2" w14:textId="710DF5B7" w:rsidR="0014798C" w:rsidRPr="002B051F" w:rsidRDefault="0014798C">
      <w:pPr>
        <w:pStyle w:val="Textoindependiente"/>
        <w:rPr>
          <w:sz w:val="28"/>
          <w:lang w:val="es-CR"/>
        </w:rPr>
      </w:pPr>
    </w:p>
    <w:p w14:paraId="55E8EA4E" w14:textId="2DEF2B1E" w:rsidR="0014798C" w:rsidRPr="002B051F" w:rsidRDefault="0014798C">
      <w:pPr>
        <w:pStyle w:val="Textoindependiente"/>
        <w:rPr>
          <w:sz w:val="28"/>
          <w:lang w:val="es-CR"/>
        </w:rPr>
      </w:pPr>
    </w:p>
    <w:p w14:paraId="63718428" w14:textId="320FE0E3" w:rsidR="0014798C" w:rsidRPr="002B051F" w:rsidRDefault="0014798C">
      <w:pPr>
        <w:pStyle w:val="Textoindependiente"/>
        <w:rPr>
          <w:sz w:val="28"/>
          <w:lang w:val="es-CR"/>
        </w:rPr>
      </w:pPr>
    </w:p>
    <w:p w14:paraId="14E7D9DC" w14:textId="02B28683" w:rsidR="0014798C" w:rsidRPr="002B051F" w:rsidRDefault="0014798C">
      <w:pPr>
        <w:pStyle w:val="Textoindependiente"/>
        <w:rPr>
          <w:sz w:val="28"/>
          <w:lang w:val="es-CR"/>
        </w:rPr>
      </w:pPr>
    </w:p>
    <w:p w14:paraId="1D9D92E8" w14:textId="647A27C8" w:rsidR="0014798C" w:rsidRPr="002B051F" w:rsidRDefault="0014798C">
      <w:pPr>
        <w:pStyle w:val="Textoindependiente"/>
        <w:rPr>
          <w:sz w:val="28"/>
          <w:lang w:val="es-CR"/>
        </w:rPr>
      </w:pPr>
    </w:p>
    <w:p w14:paraId="41199AC9" w14:textId="77777777" w:rsidR="0014798C" w:rsidRPr="002B051F" w:rsidRDefault="0014798C">
      <w:pPr>
        <w:pStyle w:val="Textoindependiente"/>
        <w:rPr>
          <w:sz w:val="28"/>
          <w:lang w:val="es-CR"/>
        </w:rPr>
      </w:pPr>
    </w:p>
    <w:p w14:paraId="0E53D5F5" w14:textId="77777777" w:rsidR="0014798C" w:rsidRPr="002B051F" w:rsidRDefault="0014798C">
      <w:pPr>
        <w:pStyle w:val="Textoindependiente"/>
        <w:rPr>
          <w:sz w:val="28"/>
          <w:lang w:val="es-CR"/>
        </w:rPr>
      </w:pPr>
    </w:p>
    <w:p w14:paraId="4143CFAD" w14:textId="77777777" w:rsidR="0014798C" w:rsidRPr="002B051F" w:rsidRDefault="0014798C">
      <w:pPr>
        <w:pStyle w:val="Textoindependiente"/>
        <w:rPr>
          <w:sz w:val="28"/>
          <w:lang w:val="es-CR"/>
        </w:rPr>
      </w:pPr>
    </w:p>
    <w:p w14:paraId="6182F81D" w14:textId="77777777" w:rsidR="0014798C" w:rsidRPr="002B051F" w:rsidRDefault="0014798C">
      <w:pPr>
        <w:pStyle w:val="Textoindependiente"/>
        <w:rPr>
          <w:sz w:val="28"/>
          <w:lang w:val="es-CR"/>
        </w:rPr>
      </w:pPr>
    </w:p>
    <w:p w14:paraId="78754952" w14:textId="77777777" w:rsidR="0014798C" w:rsidRPr="002B051F" w:rsidRDefault="0014798C">
      <w:pPr>
        <w:pStyle w:val="Textoindependiente"/>
        <w:rPr>
          <w:sz w:val="28"/>
          <w:lang w:val="es-CR"/>
        </w:rPr>
      </w:pPr>
    </w:p>
    <w:p w14:paraId="468AD85B" w14:textId="77777777" w:rsidR="0014798C" w:rsidRPr="002B051F" w:rsidRDefault="0014798C">
      <w:pPr>
        <w:pStyle w:val="Textoindependiente"/>
        <w:rPr>
          <w:sz w:val="28"/>
          <w:lang w:val="es-CR"/>
        </w:rPr>
      </w:pPr>
    </w:p>
    <w:p w14:paraId="579B07C7" w14:textId="77777777" w:rsidR="0014798C" w:rsidRPr="002B051F" w:rsidRDefault="0014798C">
      <w:pPr>
        <w:pStyle w:val="Textoindependiente"/>
        <w:rPr>
          <w:sz w:val="28"/>
          <w:lang w:val="es-CR"/>
        </w:rPr>
      </w:pPr>
    </w:p>
    <w:p w14:paraId="71864CA2" w14:textId="77777777" w:rsidR="0014798C" w:rsidRPr="002B051F" w:rsidRDefault="0014798C">
      <w:pPr>
        <w:pStyle w:val="Textoindependiente"/>
        <w:rPr>
          <w:sz w:val="28"/>
          <w:lang w:val="es-CR"/>
        </w:rPr>
      </w:pPr>
    </w:p>
    <w:p w14:paraId="4836DFE8" w14:textId="77777777" w:rsidR="0014798C" w:rsidRPr="002B051F" w:rsidRDefault="0014798C">
      <w:pPr>
        <w:pStyle w:val="Textoindependiente"/>
        <w:rPr>
          <w:sz w:val="28"/>
          <w:lang w:val="es-CR"/>
        </w:rPr>
      </w:pPr>
    </w:p>
    <w:p w14:paraId="7C38A743" w14:textId="77777777" w:rsidR="0014798C" w:rsidRPr="002B051F" w:rsidRDefault="0014798C">
      <w:pPr>
        <w:pStyle w:val="Textoindependiente"/>
        <w:rPr>
          <w:sz w:val="28"/>
          <w:lang w:val="es-CR"/>
        </w:rPr>
      </w:pPr>
    </w:p>
    <w:p w14:paraId="2475A955" w14:textId="77777777" w:rsidR="0014798C" w:rsidRPr="002B051F" w:rsidRDefault="0014798C">
      <w:pPr>
        <w:pStyle w:val="Textoindependiente"/>
        <w:rPr>
          <w:sz w:val="28"/>
          <w:lang w:val="es-CR"/>
        </w:rPr>
      </w:pPr>
    </w:p>
    <w:p w14:paraId="50EDDC3F" w14:textId="77777777" w:rsidR="0014798C" w:rsidRPr="002B051F" w:rsidRDefault="0014798C">
      <w:pPr>
        <w:pStyle w:val="Textoindependiente"/>
        <w:rPr>
          <w:sz w:val="28"/>
          <w:lang w:val="es-CR"/>
        </w:rPr>
      </w:pPr>
    </w:p>
    <w:p w14:paraId="502749D5" w14:textId="77777777" w:rsidR="0014798C" w:rsidRPr="002B051F" w:rsidRDefault="0014798C">
      <w:pPr>
        <w:pStyle w:val="Textoindependiente"/>
        <w:rPr>
          <w:sz w:val="28"/>
          <w:lang w:val="es-CR"/>
        </w:rPr>
      </w:pPr>
    </w:p>
    <w:p w14:paraId="0E484E44" w14:textId="77777777" w:rsidR="0014798C" w:rsidRPr="002B051F" w:rsidRDefault="0014798C">
      <w:pPr>
        <w:pStyle w:val="Textoindependiente"/>
        <w:rPr>
          <w:sz w:val="28"/>
          <w:lang w:val="es-CR"/>
        </w:rPr>
      </w:pPr>
    </w:p>
    <w:p w14:paraId="06EF5109" w14:textId="77777777" w:rsidR="0014798C" w:rsidRPr="002B051F" w:rsidRDefault="0014798C">
      <w:pPr>
        <w:pStyle w:val="Textoindependiente"/>
        <w:rPr>
          <w:sz w:val="28"/>
          <w:lang w:val="es-CR"/>
        </w:rPr>
      </w:pPr>
    </w:p>
    <w:p w14:paraId="260480F1" w14:textId="77777777" w:rsidR="0014798C" w:rsidRPr="002B051F" w:rsidRDefault="0014798C">
      <w:pPr>
        <w:pStyle w:val="Textoindependiente"/>
        <w:rPr>
          <w:sz w:val="28"/>
          <w:lang w:val="es-CR"/>
        </w:rPr>
      </w:pPr>
    </w:p>
    <w:p w14:paraId="15D359A5" w14:textId="77777777" w:rsidR="0014798C" w:rsidRPr="002B051F" w:rsidRDefault="0014798C">
      <w:pPr>
        <w:pStyle w:val="Textoindependiente"/>
        <w:rPr>
          <w:sz w:val="28"/>
          <w:lang w:val="es-CR"/>
        </w:rPr>
      </w:pPr>
    </w:p>
    <w:p w14:paraId="6822DC57" w14:textId="77777777" w:rsidR="0014798C" w:rsidRPr="002B051F" w:rsidRDefault="0014798C">
      <w:pPr>
        <w:pStyle w:val="Textoindependiente"/>
        <w:rPr>
          <w:sz w:val="28"/>
          <w:lang w:val="es-CR"/>
        </w:rPr>
      </w:pPr>
    </w:p>
    <w:p w14:paraId="1C6BE7CC" w14:textId="77777777" w:rsidR="0014798C" w:rsidRPr="002B051F" w:rsidRDefault="0014798C">
      <w:pPr>
        <w:pStyle w:val="Textoindependiente"/>
        <w:rPr>
          <w:sz w:val="28"/>
          <w:lang w:val="es-CR"/>
        </w:rPr>
      </w:pPr>
    </w:p>
    <w:p w14:paraId="72A8500D" w14:textId="77777777" w:rsidR="0014798C" w:rsidRPr="002B051F" w:rsidRDefault="0014798C">
      <w:pPr>
        <w:pStyle w:val="Textoindependiente"/>
        <w:rPr>
          <w:sz w:val="28"/>
          <w:lang w:val="es-CR"/>
        </w:rPr>
      </w:pPr>
    </w:p>
    <w:p w14:paraId="3E1405D9" w14:textId="77777777" w:rsidR="0014798C" w:rsidRPr="002B051F" w:rsidRDefault="0014798C">
      <w:pPr>
        <w:pStyle w:val="Textoindependiente"/>
        <w:rPr>
          <w:sz w:val="28"/>
          <w:lang w:val="es-CR"/>
        </w:rPr>
      </w:pPr>
    </w:p>
    <w:p w14:paraId="21312AE1" w14:textId="77777777" w:rsidR="0014798C" w:rsidRPr="002B051F" w:rsidRDefault="0014798C">
      <w:pPr>
        <w:pStyle w:val="Textoindependiente"/>
        <w:rPr>
          <w:sz w:val="28"/>
          <w:lang w:val="es-CR"/>
        </w:rPr>
      </w:pPr>
    </w:p>
    <w:p w14:paraId="7646B36E" w14:textId="77777777" w:rsidR="0014798C" w:rsidRPr="002B051F" w:rsidRDefault="0014798C">
      <w:pPr>
        <w:pStyle w:val="Textoindependiente"/>
        <w:rPr>
          <w:sz w:val="28"/>
          <w:lang w:val="es-CR"/>
        </w:rPr>
      </w:pPr>
    </w:p>
    <w:p w14:paraId="115E7DEC" w14:textId="77777777" w:rsidR="0014798C" w:rsidRPr="002B051F" w:rsidRDefault="0014798C">
      <w:pPr>
        <w:pStyle w:val="Textoindependiente"/>
        <w:rPr>
          <w:sz w:val="28"/>
          <w:lang w:val="es-CR"/>
        </w:rPr>
      </w:pPr>
    </w:p>
    <w:p w14:paraId="71117D0E" w14:textId="77777777" w:rsidR="0014798C" w:rsidRPr="002B051F" w:rsidRDefault="0014798C">
      <w:pPr>
        <w:pStyle w:val="Textoindependiente"/>
        <w:rPr>
          <w:sz w:val="28"/>
          <w:lang w:val="es-CR"/>
        </w:rPr>
      </w:pPr>
    </w:p>
    <w:p w14:paraId="46F77660" w14:textId="77777777" w:rsidR="0014798C" w:rsidRPr="002B051F" w:rsidRDefault="0014798C">
      <w:pPr>
        <w:pStyle w:val="Textoindependiente"/>
        <w:rPr>
          <w:sz w:val="28"/>
          <w:lang w:val="es-CR"/>
        </w:rPr>
      </w:pPr>
    </w:p>
    <w:p w14:paraId="1E85171F" w14:textId="77777777" w:rsidR="0014798C" w:rsidRPr="002B051F" w:rsidRDefault="0014798C">
      <w:pPr>
        <w:pStyle w:val="Textoindependiente"/>
        <w:rPr>
          <w:sz w:val="28"/>
          <w:lang w:val="es-CR"/>
        </w:rPr>
      </w:pPr>
    </w:p>
    <w:p w14:paraId="72D4B65B" w14:textId="77777777" w:rsidR="0014798C" w:rsidRPr="002B051F" w:rsidRDefault="0014798C">
      <w:pPr>
        <w:pStyle w:val="Textoindependiente"/>
        <w:rPr>
          <w:sz w:val="28"/>
          <w:lang w:val="es-CR"/>
        </w:rPr>
      </w:pPr>
    </w:p>
    <w:p w14:paraId="6564C6CE" w14:textId="77777777" w:rsidR="0014798C" w:rsidRPr="002B051F" w:rsidRDefault="0014798C">
      <w:pPr>
        <w:pStyle w:val="Textoindependiente"/>
        <w:rPr>
          <w:sz w:val="28"/>
          <w:lang w:val="es-CR"/>
        </w:rPr>
      </w:pPr>
    </w:p>
    <w:p w14:paraId="662BAF84" w14:textId="77777777" w:rsidR="0014798C" w:rsidRPr="002B051F" w:rsidRDefault="0014798C">
      <w:pPr>
        <w:pStyle w:val="Textoindependiente"/>
        <w:rPr>
          <w:sz w:val="28"/>
          <w:lang w:val="es-CR"/>
        </w:rPr>
      </w:pPr>
    </w:p>
    <w:p w14:paraId="34F93D43" w14:textId="77777777" w:rsidR="0014798C" w:rsidRPr="002B051F" w:rsidRDefault="0014798C">
      <w:pPr>
        <w:pStyle w:val="Textoindependiente"/>
        <w:rPr>
          <w:sz w:val="28"/>
          <w:lang w:val="es-CR"/>
        </w:rPr>
      </w:pPr>
    </w:p>
    <w:p w14:paraId="58AFF2CE" w14:textId="77777777" w:rsidR="0014798C" w:rsidRPr="002B051F" w:rsidRDefault="0014798C">
      <w:pPr>
        <w:pStyle w:val="Textoindependiente"/>
        <w:spacing w:before="238"/>
        <w:rPr>
          <w:sz w:val="28"/>
          <w:lang w:val="es-CR"/>
        </w:rPr>
      </w:pPr>
    </w:p>
    <w:p w14:paraId="187324EB" w14:textId="77777777" w:rsidR="00C168CC" w:rsidRDefault="00C168CC">
      <w:pPr>
        <w:ind w:left="1188"/>
        <w:rPr>
          <w:color w:val="FBB315"/>
          <w:sz w:val="28"/>
          <w:lang w:val="es-CR"/>
        </w:rPr>
      </w:pPr>
    </w:p>
    <w:p w14:paraId="278085B0" w14:textId="77777777" w:rsidR="00C168CC" w:rsidRDefault="00C168CC">
      <w:pPr>
        <w:ind w:left="1188"/>
        <w:rPr>
          <w:sz w:val="28"/>
          <w:lang w:val="es-CR"/>
        </w:rPr>
      </w:pPr>
    </w:p>
    <w:p w14:paraId="69C37F71" w14:textId="77777777" w:rsidR="00C168CC" w:rsidRDefault="00C168CC">
      <w:pPr>
        <w:ind w:left="1188"/>
        <w:rPr>
          <w:sz w:val="28"/>
          <w:lang w:val="es-CR"/>
        </w:rPr>
      </w:pPr>
    </w:p>
    <w:p w14:paraId="71029CE7" w14:textId="7A1EC887" w:rsidR="0014798C" w:rsidRPr="00C168CC" w:rsidRDefault="00C168CC" w:rsidP="00C168CC">
      <w:pPr>
        <w:shd w:val="clear" w:color="auto" w:fill="FFFFFF" w:themeFill="background1"/>
        <w:rPr>
          <w:rFonts w:ascii="Tahoma" w:hAnsi="Tahoma" w:cs="Tahoma"/>
          <w:b/>
          <w:bCs/>
          <w:sz w:val="28"/>
          <w:lang w:val="es-CR"/>
        </w:rPr>
      </w:pPr>
      <w:r>
        <w:rPr>
          <w:rFonts w:ascii="Tahoma" w:hAnsi="Tahoma" w:cs="Tahoma"/>
          <w:b/>
          <w:bCs/>
          <w:sz w:val="28"/>
          <w:lang w:val="es-CR"/>
        </w:rPr>
        <w:t xml:space="preserve">            </w:t>
      </w:r>
      <w:bookmarkStart w:id="36" w:name="raíz"/>
      <w:r w:rsidRPr="00C168CC">
        <w:rPr>
          <w:rFonts w:ascii="Tahoma" w:hAnsi="Tahoma" w:cs="Tahoma"/>
          <w:b/>
          <w:bCs/>
          <w:sz w:val="44"/>
          <w:szCs w:val="36"/>
          <w:shd w:val="clear" w:color="auto" w:fill="FFFFFF" w:themeFill="background1"/>
          <w:lang w:val="es-CR"/>
        </w:rPr>
        <w:t>SEXTA PARTE</w:t>
      </w:r>
      <w:r w:rsidR="004E1F0B" w:rsidRPr="00C168CC">
        <w:rPr>
          <w:rFonts w:ascii="Tahoma" w:hAnsi="Tahoma" w:cs="Tahoma"/>
          <w:spacing w:val="-2"/>
          <w:sz w:val="44"/>
          <w:szCs w:val="36"/>
          <w:lang w:val="es-CR"/>
        </w:rPr>
        <w:t>:</w:t>
      </w:r>
    </w:p>
    <w:p w14:paraId="17E52634" w14:textId="4E1EC494" w:rsidR="0014798C" w:rsidRPr="00C168CC" w:rsidRDefault="004E1F0B" w:rsidP="00C168CC">
      <w:pPr>
        <w:pStyle w:val="Ttulo4"/>
        <w:spacing w:before="321" w:line="266" w:lineRule="auto"/>
        <w:ind w:left="1115" w:firstLine="17"/>
        <w:rPr>
          <w:rFonts w:ascii="Tahoma" w:hAnsi="Tahoma" w:cs="Tahoma"/>
          <w:b/>
          <w:bCs/>
        </w:rPr>
      </w:pPr>
      <w:r w:rsidRPr="00C168CC">
        <w:rPr>
          <w:rFonts w:ascii="Tahoma" w:hAnsi="Tahoma" w:cs="Tahoma"/>
          <w:b/>
          <w:bCs/>
        </w:rPr>
        <w:t>PROMOCIÓN</w:t>
      </w:r>
      <w:r w:rsidRPr="00C168CC">
        <w:rPr>
          <w:rFonts w:ascii="Tahoma" w:hAnsi="Tahoma" w:cs="Tahoma"/>
          <w:b/>
          <w:bCs/>
          <w:spacing w:val="-16"/>
        </w:rPr>
        <w:t xml:space="preserve"> </w:t>
      </w:r>
      <w:r w:rsidRPr="00C168CC">
        <w:rPr>
          <w:rFonts w:ascii="Tahoma" w:hAnsi="Tahoma" w:cs="Tahoma"/>
          <w:b/>
          <w:bCs/>
        </w:rPr>
        <w:t>DE</w:t>
      </w:r>
      <w:r w:rsidRPr="00C168CC">
        <w:rPr>
          <w:rFonts w:ascii="Tahoma" w:hAnsi="Tahoma" w:cs="Tahoma"/>
          <w:b/>
          <w:bCs/>
          <w:spacing w:val="-14"/>
        </w:rPr>
        <w:t xml:space="preserve"> </w:t>
      </w:r>
      <w:r w:rsidRPr="00C168CC">
        <w:rPr>
          <w:rFonts w:ascii="Tahoma" w:hAnsi="Tahoma" w:cs="Tahoma"/>
          <w:b/>
          <w:bCs/>
        </w:rPr>
        <w:t>LA</w:t>
      </w:r>
      <w:r w:rsidRPr="00C168CC">
        <w:rPr>
          <w:rFonts w:ascii="Tahoma" w:hAnsi="Tahoma" w:cs="Tahoma"/>
          <w:b/>
          <w:bCs/>
          <w:spacing w:val="-14"/>
        </w:rPr>
        <w:t xml:space="preserve"> </w:t>
      </w:r>
      <w:r w:rsidRPr="00C168CC">
        <w:rPr>
          <w:rFonts w:ascii="Tahoma" w:hAnsi="Tahoma" w:cs="Tahoma"/>
          <w:b/>
          <w:bCs/>
        </w:rPr>
        <w:t>DIVERSIDAD</w:t>
      </w:r>
      <w:r w:rsidRPr="00C168CC">
        <w:rPr>
          <w:rFonts w:ascii="Tahoma" w:hAnsi="Tahoma" w:cs="Tahoma"/>
          <w:b/>
          <w:bCs/>
          <w:spacing w:val="-16"/>
        </w:rPr>
        <w:t xml:space="preserve"> </w:t>
      </w:r>
      <w:r w:rsidRPr="00C168CC">
        <w:rPr>
          <w:rFonts w:ascii="Tahoma" w:hAnsi="Tahoma" w:cs="Tahoma"/>
          <w:b/>
          <w:bCs/>
        </w:rPr>
        <w:t>Y</w:t>
      </w:r>
      <w:r w:rsidRPr="00C168CC">
        <w:rPr>
          <w:rFonts w:ascii="Tahoma" w:hAnsi="Tahoma" w:cs="Tahoma"/>
          <w:b/>
          <w:bCs/>
          <w:spacing w:val="-15"/>
        </w:rPr>
        <w:t xml:space="preserve"> </w:t>
      </w:r>
      <w:r w:rsidRPr="00C168CC">
        <w:rPr>
          <w:rFonts w:ascii="Tahoma" w:hAnsi="Tahoma" w:cs="Tahoma"/>
          <w:b/>
          <w:bCs/>
        </w:rPr>
        <w:t>LA</w:t>
      </w:r>
      <w:r w:rsidRPr="00C168CC">
        <w:rPr>
          <w:rFonts w:ascii="Tahoma" w:hAnsi="Tahoma" w:cs="Tahoma"/>
          <w:b/>
          <w:bCs/>
          <w:spacing w:val="-14"/>
        </w:rPr>
        <w:t xml:space="preserve"> </w:t>
      </w:r>
      <w:r w:rsidRPr="00C168CC">
        <w:rPr>
          <w:rFonts w:ascii="Tahoma" w:hAnsi="Tahoma" w:cs="Tahoma"/>
          <w:b/>
          <w:bCs/>
        </w:rPr>
        <w:t>IGUALDAD: OBLIGACIONES DE ABORDAR LA RAÍZ</w:t>
      </w:r>
      <w:r w:rsidR="00C168CC" w:rsidRPr="00C168CC">
        <w:rPr>
          <w:rFonts w:ascii="Tahoma" w:hAnsi="Tahoma" w:cs="Tahoma"/>
          <w:b/>
          <w:bCs/>
        </w:rPr>
        <w:t xml:space="preserve"> </w:t>
      </w:r>
      <w:r w:rsidRPr="00C168CC">
        <w:rPr>
          <w:rFonts w:ascii="Tahoma" w:hAnsi="Tahoma" w:cs="Tahoma"/>
          <w:b/>
          <w:bCs/>
        </w:rPr>
        <w:t>CAUSAS</w:t>
      </w:r>
      <w:r w:rsidRPr="00C168CC">
        <w:rPr>
          <w:rFonts w:ascii="Tahoma" w:hAnsi="Tahoma" w:cs="Tahoma"/>
          <w:b/>
          <w:bCs/>
          <w:spacing w:val="-17"/>
        </w:rPr>
        <w:t xml:space="preserve"> </w:t>
      </w:r>
      <w:r w:rsidRPr="00C168CC">
        <w:rPr>
          <w:rFonts w:ascii="Tahoma" w:hAnsi="Tahoma" w:cs="Tahoma"/>
          <w:b/>
          <w:bCs/>
        </w:rPr>
        <w:t>DE</w:t>
      </w:r>
      <w:r w:rsidRPr="00C168CC">
        <w:rPr>
          <w:rFonts w:ascii="Tahoma" w:hAnsi="Tahoma" w:cs="Tahoma"/>
          <w:b/>
          <w:bCs/>
          <w:spacing w:val="-15"/>
        </w:rPr>
        <w:t xml:space="preserve"> </w:t>
      </w:r>
      <w:r w:rsidRPr="00C168CC">
        <w:rPr>
          <w:rFonts w:ascii="Tahoma" w:hAnsi="Tahoma" w:cs="Tahoma"/>
          <w:b/>
          <w:bCs/>
          <w:spacing w:val="-2"/>
        </w:rPr>
        <w:t>DISCRIMINACIÓN</w:t>
      </w:r>
    </w:p>
    <w:bookmarkEnd w:id="36"/>
    <w:p w14:paraId="4CF7513C" w14:textId="77777777" w:rsidR="0014798C" w:rsidRDefault="0014798C">
      <w:pPr>
        <w:rPr>
          <w:sz w:val="40"/>
        </w:rPr>
        <w:sectPr w:rsidR="0014798C" w:rsidSect="00F265E4">
          <w:headerReference w:type="default" r:id="rId350"/>
          <w:pgSz w:w="11900" w:h="16820"/>
          <w:pgMar w:top="40" w:right="0" w:bottom="280" w:left="200" w:header="0" w:footer="0" w:gutter="0"/>
          <w:cols w:space="720"/>
        </w:sectPr>
      </w:pPr>
    </w:p>
    <w:p w14:paraId="46F45B6A" w14:textId="77777777" w:rsidR="0014798C" w:rsidRDefault="004E1F0B">
      <w:pPr>
        <w:pStyle w:val="Textoindependiente"/>
        <w:spacing w:before="83"/>
        <w:rPr>
          <w:sz w:val="12"/>
        </w:rPr>
      </w:pPr>
      <w:r>
        <w:rPr>
          <w:noProof/>
        </w:rPr>
        <w:lastRenderedPageBreak/>
        <w:drawing>
          <wp:anchor distT="0" distB="0" distL="0" distR="0" simplePos="0" relativeHeight="251658497" behindDoc="1" locked="0" layoutInCell="1" allowOverlap="1" wp14:anchorId="4BB2BD53" wp14:editId="2315E428">
            <wp:simplePos x="0" y="0"/>
            <wp:positionH relativeFrom="page">
              <wp:posOffset>0</wp:posOffset>
            </wp:positionH>
            <wp:positionV relativeFrom="page">
              <wp:posOffset>6537828</wp:posOffset>
            </wp:positionV>
            <wp:extent cx="7556500" cy="4142871"/>
            <wp:effectExtent l="0" t="0" r="0" b="0"/>
            <wp:wrapNone/>
            <wp:docPr id="377" name="Image 37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77" name="Image 377"/>
                    <pic:cNvPicPr/>
                  </pic:nvPicPr>
                  <pic:blipFill>
                    <a:blip r:embed="rId351" cstate="print"/>
                    <a:stretch>
                      <a:fillRect/>
                    </a:stretch>
                  </pic:blipFill>
                  <pic:spPr>
                    <a:xfrm>
                      <a:off x="0" y="0"/>
                      <a:ext cx="7556500" cy="4142871"/>
                    </a:xfrm>
                    <a:prstGeom prst="rect">
                      <a:avLst/>
                    </a:prstGeom>
                  </pic:spPr>
                </pic:pic>
              </a:graphicData>
            </a:graphic>
          </wp:anchor>
        </w:drawing>
      </w:r>
    </w:p>
    <w:p w14:paraId="2763CB93" w14:textId="77777777" w:rsidR="0014798C" w:rsidRDefault="004E1F0B">
      <w:pPr>
        <w:ind w:left="1111"/>
        <w:rPr>
          <w:sz w:val="12"/>
        </w:rPr>
      </w:pPr>
      <w:r>
        <w:rPr>
          <w:color w:val="FBB315"/>
          <w:sz w:val="12"/>
        </w:rPr>
        <w:t>PARTE</w:t>
      </w:r>
      <w:r>
        <w:rPr>
          <w:color w:val="FBB315"/>
          <w:spacing w:val="-7"/>
          <w:sz w:val="12"/>
        </w:rPr>
        <w:t xml:space="preserve"> </w:t>
      </w:r>
      <w:r>
        <w:rPr>
          <w:color w:val="FBB315"/>
          <w:sz w:val="12"/>
        </w:rPr>
        <w:t>SEIS:</w:t>
      </w:r>
      <w:r>
        <w:rPr>
          <w:color w:val="FBB315"/>
          <w:spacing w:val="-6"/>
          <w:sz w:val="12"/>
        </w:rPr>
        <w:t xml:space="preserve"> </w:t>
      </w:r>
      <w:r>
        <w:rPr>
          <w:color w:val="FBB315"/>
          <w:sz w:val="12"/>
        </w:rPr>
        <w:t>PROMOVER</w:t>
      </w:r>
      <w:r>
        <w:rPr>
          <w:color w:val="FBB315"/>
          <w:spacing w:val="-5"/>
          <w:sz w:val="12"/>
        </w:rPr>
        <w:t xml:space="preserve"> </w:t>
      </w:r>
      <w:r>
        <w:rPr>
          <w:color w:val="FBB315"/>
          <w:sz w:val="12"/>
        </w:rPr>
        <w:t>LA</w:t>
      </w:r>
      <w:r>
        <w:rPr>
          <w:color w:val="FBB315"/>
          <w:spacing w:val="-5"/>
          <w:sz w:val="12"/>
        </w:rPr>
        <w:t xml:space="preserve"> </w:t>
      </w:r>
      <w:r>
        <w:rPr>
          <w:color w:val="FBB315"/>
          <w:sz w:val="12"/>
        </w:rPr>
        <w:t>DIVERSIDAD</w:t>
      </w:r>
      <w:r>
        <w:rPr>
          <w:color w:val="FBB315"/>
          <w:spacing w:val="-5"/>
          <w:sz w:val="12"/>
        </w:rPr>
        <w:t xml:space="preserve"> </w:t>
      </w:r>
      <w:r>
        <w:rPr>
          <w:color w:val="FBB315"/>
          <w:sz w:val="12"/>
        </w:rPr>
        <w:t>Y</w:t>
      </w:r>
      <w:r>
        <w:rPr>
          <w:color w:val="FBB315"/>
          <w:spacing w:val="-6"/>
          <w:sz w:val="12"/>
        </w:rPr>
        <w:t xml:space="preserve"> </w:t>
      </w:r>
      <w:r>
        <w:rPr>
          <w:color w:val="FBB315"/>
          <w:sz w:val="12"/>
        </w:rPr>
        <w:t>LA</w:t>
      </w:r>
      <w:r>
        <w:rPr>
          <w:color w:val="FBB315"/>
          <w:spacing w:val="-4"/>
          <w:sz w:val="12"/>
        </w:rPr>
        <w:t xml:space="preserve"> </w:t>
      </w:r>
      <w:r>
        <w:rPr>
          <w:color w:val="FBB315"/>
          <w:sz w:val="12"/>
        </w:rPr>
        <w:t>IGUALDAD:</w:t>
      </w:r>
      <w:r>
        <w:rPr>
          <w:color w:val="FBB315"/>
          <w:spacing w:val="-5"/>
          <w:sz w:val="12"/>
        </w:rPr>
        <w:t xml:space="preserve"> </w:t>
      </w:r>
      <w:r>
        <w:rPr>
          <w:color w:val="FBB315"/>
          <w:sz w:val="12"/>
        </w:rPr>
        <w:t>OBLIGACIONES</w:t>
      </w:r>
      <w:r>
        <w:rPr>
          <w:color w:val="FBB315"/>
          <w:spacing w:val="-4"/>
          <w:sz w:val="12"/>
        </w:rPr>
        <w:t xml:space="preserve"> </w:t>
      </w:r>
      <w:r>
        <w:rPr>
          <w:color w:val="FBB315"/>
          <w:sz w:val="12"/>
        </w:rPr>
        <w:t>DE</w:t>
      </w:r>
      <w:r>
        <w:rPr>
          <w:color w:val="FBB315"/>
          <w:spacing w:val="-5"/>
          <w:sz w:val="12"/>
        </w:rPr>
        <w:t xml:space="preserve"> </w:t>
      </w:r>
      <w:r>
        <w:rPr>
          <w:color w:val="FBB315"/>
          <w:sz w:val="12"/>
        </w:rPr>
        <w:t>ABORDAR</w:t>
      </w:r>
      <w:r>
        <w:rPr>
          <w:color w:val="FBB315"/>
          <w:spacing w:val="-5"/>
          <w:sz w:val="12"/>
        </w:rPr>
        <w:t xml:space="preserve"> </w:t>
      </w:r>
      <w:r>
        <w:rPr>
          <w:color w:val="FBB315"/>
          <w:sz w:val="12"/>
        </w:rPr>
        <w:t>LAS</w:t>
      </w:r>
      <w:r>
        <w:rPr>
          <w:color w:val="FBB315"/>
          <w:spacing w:val="-5"/>
          <w:sz w:val="12"/>
        </w:rPr>
        <w:t xml:space="preserve"> </w:t>
      </w:r>
      <w:r>
        <w:rPr>
          <w:color w:val="FBB315"/>
          <w:sz w:val="12"/>
        </w:rPr>
        <w:t>CAUSAS</w:t>
      </w:r>
      <w:r>
        <w:rPr>
          <w:color w:val="FBB315"/>
          <w:spacing w:val="-5"/>
          <w:sz w:val="12"/>
        </w:rPr>
        <w:t xml:space="preserve"> </w:t>
      </w:r>
      <w:r>
        <w:rPr>
          <w:color w:val="FBB315"/>
          <w:sz w:val="12"/>
        </w:rPr>
        <w:t>FUNDAMENTALES</w:t>
      </w:r>
      <w:r>
        <w:rPr>
          <w:color w:val="FBB315"/>
          <w:spacing w:val="-4"/>
          <w:sz w:val="12"/>
        </w:rPr>
        <w:t xml:space="preserve"> </w:t>
      </w:r>
      <w:r>
        <w:rPr>
          <w:color w:val="FBB315"/>
          <w:sz w:val="12"/>
        </w:rPr>
        <w:t>DE</w:t>
      </w:r>
      <w:r>
        <w:rPr>
          <w:color w:val="FBB315"/>
          <w:spacing w:val="-5"/>
          <w:sz w:val="12"/>
        </w:rPr>
        <w:t xml:space="preserve"> </w:t>
      </w:r>
      <w:r>
        <w:rPr>
          <w:color w:val="FBB315"/>
          <w:sz w:val="12"/>
        </w:rPr>
        <w:t>LA</w:t>
      </w:r>
      <w:r>
        <w:rPr>
          <w:color w:val="FBB315"/>
          <w:spacing w:val="-4"/>
          <w:sz w:val="12"/>
        </w:rPr>
        <w:t xml:space="preserve"> </w:t>
      </w:r>
      <w:r>
        <w:rPr>
          <w:color w:val="FBB315"/>
          <w:spacing w:val="-2"/>
          <w:sz w:val="12"/>
        </w:rPr>
        <w:t>DISCRIMINACIÓN</w:t>
      </w:r>
    </w:p>
    <w:p w14:paraId="3A85869E" w14:textId="77777777" w:rsidR="0014798C" w:rsidRDefault="0014798C">
      <w:pPr>
        <w:pStyle w:val="Textoindependiente"/>
      </w:pPr>
    </w:p>
    <w:p w14:paraId="2F8A286D" w14:textId="77777777" w:rsidR="0014798C" w:rsidRDefault="0014798C">
      <w:pPr>
        <w:pStyle w:val="Textoindependiente"/>
      </w:pPr>
    </w:p>
    <w:p w14:paraId="623DACF2" w14:textId="77777777" w:rsidR="0014798C" w:rsidRDefault="0014798C">
      <w:pPr>
        <w:pStyle w:val="Textoindependiente"/>
      </w:pPr>
    </w:p>
    <w:p w14:paraId="7320A776" w14:textId="77777777" w:rsidR="0014798C" w:rsidRDefault="0014798C">
      <w:pPr>
        <w:pStyle w:val="Textoindependiente"/>
      </w:pPr>
    </w:p>
    <w:p w14:paraId="46C55B1E" w14:textId="77777777" w:rsidR="0014798C" w:rsidRDefault="0014798C">
      <w:pPr>
        <w:pStyle w:val="Textoindependiente"/>
        <w:spacing w:before="59"/>
      </w:pPr>
    </w:p>
    <w:p w14:paraId="1C45747A" w14:textId="77777777" w:rsidR="0014798C" w:rsidRDefault="004E1F0B">
      <w:pPr>
        <w:pStyle w:val="Textoindependiente"/>
        <w:spacing w:line="326" w:lineRule="auto"/>
        <w:ind w:left="1107" w:right="1301" w:hanging="1"/>
      </w:pPr>
      <w:r>
        <w:rPr>
          <w:w w:val="105"/>
        </w:rPr>
        <w:t>El propósito de la presente guía es brindar a los legisladores y defensores una orientación clara y accesible sobre el desarrollo de una legislación integral contra la discriminación. Su objetivo es consolidar y sintetizar las normas jurídicas internacionales en lo que respecta a la naturaleza, el alcance y el contenido de dicha legislación. Como se demuestra en todo momento, la adopción de dichas leyes es esencial para que los Estados cumplan con sus obligaciones de derecho internacional</w:t>
      </w:r>
      <w:r>
        <w:rPr>
          <w:spacing w:val="-4"/>
          <w:w w:val="105"/>
        </w:rPr>
        <w:t xml:space="preserve"> </w:t>
      </w:r>
      <w:r>
        <w:rPr>
          <w:w w:val="105"/>
        </w:rPr>
        <w:t>de</w:t>
      </w:r>
      <w:r>
        <w:rPr>
          <w:spacing w:val="-4"/>
          <w:w w:val="105"/>
        </w:rPr>
        <w:t xml:space="preserve"> </w:t>
      </w:r>
      <w:r>
        <w:rPr>
          <w:w w:val="105"/>
        </w:rPr>
        <w:t>respetar,</w:t>
      </w:r>
      <w:r>
        <w:rPr>
          <w:spacing w:val="-3"/>
          <w:w w:val="105"/>
        </w:rPr>
        <w:t xml:space="preserve"> </w:t>
      </w:r>
      <w:r>
        <w:rPr>
          <w:w w:val="105"/>
        </w:rPr>
        <w:t>proteger</w:t>
      </w:r>
      <w:r>
        <w:rPr>
          <w:spacing w:val="-4"/>
          <w:w w:val="105"/>
        </w:rPr>
        <w:t xml:space="preserve"> </w:t>
      </w:r>
      <w:r>
        <w:rPr>
          <w:w w:val="105"/>
        </w:rPr>
        <w:t>y</w:t>
      </w:r>
      <w:r>
        <w:rPr>
          <w:spacing w:val="-3"/>
          <w:w w:val="105"/>
        </w:rPr>
        <w:t xml:space="preserve"> </w:t>
      </w:r>
      <w:r>
        <w:rPr>
          <w:w w:val="105"/>
        </w:rPr>
        <w:t>hacer</w:t>
      </w:r>
      <w:r>
        <w:rPr>
          <w:spacing w:val="-4"/>
          <w:w w:val="105"/>
        </w:rPr>
        <w:t xml:space="preserve"> </w:t>
      </w:r>
      <w:r>
        <w:rPr>
          <w:w w:val="105"/>
        </w:rPr>
        <w:t>realidad</w:t>
      </w:r>
      <w:r>
        <w:rPr>
          <w:spacing w:val="-3"/>
          <w:w w:val="105"/>
        </w:rPr>
        <w:t xml:space="preserve"> </w:t>
      </w:r>
      <w:r>
        <w:rPr>
          <w:w w:val="105"/>
        </w:rPr>
        <w:t>el</w:t>
      </w:r>
      <w:r>
        <w:rPr>
          <w:spacing w:val="-4"/>
          <w:w w:val="105"/>
        </w:rPr>
        <w:t xml:space="preserve"> </w:t>
      </w:r>
      <w:r>
        <w:rPr>
          <w:w w:val="105"/>
        </w:rPr>
        <w:t>derecho</w:t>
      </w:r>
      <w:r>
        <w:rPr>
          <w:spacing w:val="-3"/>
          <w:w w:val="105"/>
        </w:rPr>
        <w:t xml:space="preserve"> </w:t>
      </w:r>
      <w:r>
        <w:rPr>
          <w:w w:val="105"/>
        </w:rPr>
        <w:t>a</w:t>
      </w:r>
      <w:r>
        <w:rPr>
          <w:spacing w:val="-4"/>
          <w:w w:val="105"/>
        </w:rPr>
        <w:t xml:space="preserve"> </w:t>
      </w:r>
      <w:r>
        <w:rPr>
          <w:w w:val="105"/>
        </w:rPr>
        <w:t>la</w:t>
      </w:r>
      <w:r>
        <w:rPr>
          <w:spacing w:val="-4"/>
          <w:w w:val="105"/>
        </w:rPr>
        <w:t xml:space="preserve"> </w:t>
      </w:r>
      <w:r>
        <w:rPr>
          <w:w w:val="105"/>
        </w:rPr>
        <w:t>no</w:t>
      </w:r>
      <w:r>
        <w:rPr>
          <w:spacing w:val="-4"/>
          <w:w w:val="105"/>
        </w:rPr>
        <w:t xml:space="preserve"> </w:t>
      </w:r>
      <w:r>
        <w:rPr>
          <w:w w:val="105"/>
        </w:rPr>
        <w:t>discriminación.</w:t>
      </w:r>
      <w:r>
        <w:rPr>
          <w:spacing w:val="-2"/>
          <w:w w:val="105"/>
        </w:rPr>
        <w:t xml:space="preserve"> </w:t>
      </w:r>
      <w:r>
        <w:rPr>
          <w:w w:val="105"/>
        </w:rPr>
        <w:t>Sin</w:t>
      </w:r>
      <w:r>
        <w:rPr>
          <w:spacing w:val="-4"/>
          <w:w w:val="105"/>
        </w:rPr>
        <w:t xml:space="preserve"> </w:t>
      </w:r>
      <w:r>
        <w:rPr>
          <w:w w:val="105"/>
        </w:rPr>
        <w:t>embargo,</w:t>
      </w:r>
      <w:r>
        <w:rPr>
          <w:spacing w:val="-3"/>
          <w:w w:val="105"/>
        </w:rPr>
        <w:t xml:space="preserve"> </w:t>
      </w:r>
      <w:r>
        <w:rPr>
          <w:w w:val="105"/>
        </w:rPr>
        <w:t>si</w:t>
      </w:r>
      <w:r>
        <w:rPr>
          <w:spacing w:val="-3"/>
          <w:w w:val="105"/>
        </w:rPr>
        <w:t xml:space="preserve"> </w:t>
      </w:r>
      <w:r>
        <w:rPr>
          <w:w w:val="105"/>
        </w:rPr>
        <w:t>bien</w:t>
      </w:r>
      <w:r>
        <w:rPr>
          <w:spacing w:val="-4"/>
          <w:w w:val="105"/>
        </w:rPr>
        <w:t xml:space="preserve"> </w:t>
      </w:r>
      <w:r>
        <w:rPr>
          <w:w w:val="105"/>
        </w:rPr>
        <w:t>es</w:t>
      </w:r>
      <w:r>
        <w:rPr>
          <w:spacing w:val="-4"/>
          <w:w w:val="105"/>
        </w:rPr>
        <w:t xml:space="preserve"> </w:t>
      </w:r>
      <w:r>
        <w:rPr>
          <w:w w:val="105"/>
        </w:rPr>
        <w:t>absolutamente necesaria,</w:t>
      </w:r>
      <w:r>
        <w:rPr>
          <w:spacing w:val="-2"/>
          <w:w w:val="105"/>
        </w:rPr>
        <w:t xml:space="preserve"> </w:t>
      </w:r>
      <w:r>
        <w:rPr>
          <w:w w:val="105"/>
        </w:rPr>
        <w:t>la</w:t>
      </w:r>
      <w:r>
        <w:rPr>
          <w:spacing w:val="-3"/>
          <w:w w:val="105"/>
        </w:rPr>
        <w:t xml:space="preserve"> </w:t>
      </w:r>
      <w:r>
        <w:rPr>
          <w:w w:val="105"/>
        </w:rPr>
        <w:t>promulgación</w:t>
      </w:r>
      <w:r>
        <w:rPr>
          <w:spacing w:val="-2"/>
          <w:w w:val="105"/>
        </w:rPr>
        <w:t xml:space="preserve"> </w:t>
      </w:r>
      <w:r>
        <w:rPr>
          <w:w w:val="105"/>
        </w:rPr>
        <w:t>y</w:t>
      </w:r>
      <w:r>
        <w:rPr>
          <w:spacing w:val="-2"/>
          <w:w w:val="105"/>
        </w:rPr>
        <w:t xml:space="preserve"> </w:t>
      </w:r>
      <w:r>
        <w:rPr>
          <w:w w:val="105"/>
        </w:rPr>
        <w:t>aplicación</w:t>
      </w:r>
      <w:r>
        <w:rPr>
          <w:spacing w:val="-2"/>
          <w:w w:val="105"/>
        </w:rPr>
        <w:t xml:space="preserve"> </w:t>
      </w:r>
      <w:r>
        <w:rPr>
          <w:w w:val="105"/>
        </w:rPr>
        <w:t>de</w:t>
      </w:r>
      <w:r>
        <w:rPr>
          <w:spacing w:val="-3"/>
          <w:w w:val="105"/>
        </w:rPr>
        <w:t xml:space="preserve"> </w:t>
      </w:r>
      <w:r>
        <w:rPr>
          <w:w w:val="105"/>
        </w:rPr>
        <w:t>leyes</w:t>
      </w:r>
      <w:r>
        <w:rPr>
          <w:spacing w:val="-3"/>
          <w:w w:val="105"/>
        </w:rPr>
        <w:t xml:space="preserve"> </w:t>
      </w:r>
      <w:r>
        <w:rPr>
          <w:w w:val="105"/>
        </w:rPr>
        <w:t>integrales</w:t>
      </w:r>
      <w:r>
        <w:rPr>
          <w:spacing w:val="-3"/>
          <w:w w:val="105"/>
        </w:rPr>
        <w:t xml:space="preserve"> </w:t>
      </w:r>
      <w:r>
        <w:rPr>
          <w:w w:val="105"/>
        </w:rPr>
        <w:t>contra</w:t>
      </w:r>
      <w:r>
        <w:rPr>
          <w:spacing w:val="-3"/>
          <w:w w:val="105"/>
        </w:rPr>
        <w:t xml:space="preserve"> </w:t>
      </w:r>
      <w:r>
        <w:rPr>
          <w:w w:val="105"/>
        </w:rPr>
        <w:t>la</w:t>
      </w:r>
      <w:r>
        <w:rPr>
          <w:spacing w:val="-3"/>
          <w:w w:val="105"/>
        </w:rPr>
        <w:t xml:space="preserve"> </w:t>
      </w:r>
      <w:r>
        <w:rPr>
          <w:w w:val="105"/>
        </w:rPr>
        <w:t>discriminación</w:t>
      </w:r>
      <w:r>
        <w:rPr>
          <w:spacing w:val="-2"/>
          <w:w w:val="105"/>
        </w:rPr>
        <w:t xml:space="preserve"> </w:t>
      </w:r>
      <w:r>
        <w:rPr>
          <w:w w:val="105"/>
        </w:rPr>
        <w:t>no</w:t>
      </w:r>
      <w:r>
        <w:rPr>
          <w:spacing w:val="-3"/>
          <w:w w:val="105"/>
        </w:rPr>
        <w:t xml:space="preserve"> </w:t>
      </w:r>
      <w:r>
        <w:rPr>
          <w:w w:val="105"/>
        </w:rPr>
        <w:t>es,</w:t>
      </w:r>
      <w:r>
        <w:rPr>
          <w:spacing w:val="-2"/>
          <w:w w:val="105"/>
        </w:rPr>
        <w:t xml:space="preserve"> </w:t>
      </w:r>
      <w:r>
        <w:rPr>
          <w:w w:val="105"/>
        </w:rPr>
        <w:t>por</w:t>
      </w:r>
      <w:r>
        <w:rPr>
          <w:spacing w:val="-3"/>
          <w:w w:val="105"/>
        </w:rPr>
        <w:t xml:space="preserve"> </w:t>
      </w:r>
      <w:r>
        <w:rPr>
          <w:w w:val="105"/>
        </w:rPr>
        <w:t>sí</w:t>
      </w:r>
      <w:r>
        <w:rPr>
          <w:spacing w:val="-2"/>
          <w:w w:val="105"/>
        </w:rPr>
        <w:t xml:space="preserve"> </w:t>
      </w:r>
      <w:r>
        <w:rPr>
          <w:w w:val="105"/>
        </w:rPr>
        <w:t>sola,</w:t>
      </w:r>
      <w:r>
        <w:rPr>
          <w:spacing w:val="-2"/>
          <w:w w:val="105"/>
        </w:rPr>
        <w:t xml:space="preserve"> </w:t>
      </w:r>
      <w:r>
        <w:rPr>
          <w:w w:val="105"/>
        </w:rPr>
        <w:t>suficiente</w:t>
      </w:r>
      <w:r>
        <w:rPr>
          <w:spacing w:val="-3"/>
          <w:w w:val="105"/>
        </w:rPr>
        <w:t xml:space="preserve"> </w:t>
      </w:r>
      <w:r>
        <w:rPr>
          <w:w w:val="105"/>
        </w:rPr>
        <w:t>para</w:t>
      </w:r>
      <w:r>
        <w:rPr>
          <w:spacing w:val="-2"/>
          <w:w w:val="105"/>
        </w:rPr>
        <w:t xml:space="preserve"> </w:t>
      </w:r>
      <w:r>
        <w:rPr>
          <w:w w:val="105"/>
        </w:rPr>
        <w:t>cumplir con estas obligaciones.</w:t>
      </w:r>
    </w:p>
    <w:p w14:paraId="2F923959" w14:textId="77777777" w:rsidR="0014798C" w:rsidRDefault="004E1F0B">
      <w:pPr>
        <w:pStyle w:val="Textoindependiente"/>
        <w:spacing w:before="166" w:line="326" w:lineRule="auto"/>
        <w:ind w:left="1107" w:right="1335" w:hanging="2"/>
      </w:pPr>
      <w:r>
        <w:rPr>
          <w:w w:val="105"/>
        </w:rPr>
        <w:t>En última instancia, la obligación de promulgar leyes es una obligación de medios, mientras que las obligaciones de los Estados en materia de no discriminación en virtud del derecho internacional tienen que ver fundamentalmente con los resultados: los Estados se han comprometido no sólo a prohibir la discriminación, sino a eliminarla. Según el Pacto Internacional de Derechos Civiles y Políticos y el Pacto Internacional de Derechos Económicos, Sociales y Culturales, los Estados se comprometen a “asegurar” o “garantizar” el disfrute de los derechos sin discriminación alguna, mientras que las partes</w:t>
      </w:r>
      <w:r>
        <w:rPr>
          <w:spacing w:val="-4"/>
          <w:w w:val="105"/>
        </w:rPr>
        <w:t xml:space="preserve"> </w:t>
      </w:r>
      <w:r>
        <w:rPr>
          <w:w w:val="105"/>
        </w:rPr>
        <w:t>en</w:t>
      </w:r>
      <w:r>
        <w:rPr>
          <w:spacing w:val="-4"/>
          <w:w w:val="105"/>
        </w:rPr>
        <w:t xml:space="preserve"> </w:t>
      </w:r>
      <w:r>
        <w:rPr>
          <w:w w:val="105"/>
        </w:rPr>
        <w:t>la</w:t>
      </w:r>
      <w:r>
        <w:rPr>
          <w:spacing w:val="-4"/>
          <w:w w:val="105"/>
        </w:rPr>
        <w:t xml:space="preserve"> </w:t>
      </w:r>
      <w:r>
        <w:rPr>
          <w:w w:val="105"/>
        </w:rPr>
        <w:t>Convención</w:t>
      </w:r>
      <w:r>
        <w:rPr>
          <w:spacing w:val="-3"/>
          <w:w w:val="105"/>
        </w:rPr>
        <w:t xml:space="preserve"> </w:t>
      </w:r>
      <w:r>
        <w:rPr>
          <w:w w:val="105"/>
        </w:rPr>
        <w:t>Internacional</w:t>
      </w:r>
      <w:r>
        <w:rPr>
          <w:spacing w:val="-4"/>
          <w:w w:val="105"/>
        </w:rPr>
        <w:t xml:space="preserve"> </w:t>
      </w:r>
      <w:r>
        <w:rPr>
          <w:w w:val="105"/>
        </w:rPr>
        <w:t>sobre</w:t>
      </w:r>
      <w:r>
        <w:rPr>
          <w:spacing w:val="-3"/>
          <w:w w:val="105"/>
        </w:rPr>
        <w:t xml:space="preserve"> </w:t>
      </w:r>
      <w:r>
        <w:rPr>
          <w:w w:val="105"/>
        </w:rPr>
        <w:t>la</w:t>
      </w:r>
      <w:r>
        <w:rPr>
          <w:spacing w:val="-4"/>
          <w:w w:val="105"/>
        </w:rPr>
        <w:t xml:space="preserve"> </w:t>
      </w:r>
      <w:r>
        <w:rPr>
          <w:w w:val="105"/>
        </w:rPr>
        <w:t>Eliminación</w:t>
      </w:r>
      <w:r>
        <w:rPr>
          <w:spacing w:val="-4"/>
          <w:w w:val="105"/>
        </w:rPr>
        <w:t xml:space="preserve"> </w:t>
      </w:r>
      <w:r>
        <w:rPr>
          <w:w w:val="105"/>
        </w:rPr>
        <w:t>de</w:t>
      </w:r>
      <w:r>
        <w:rPr>
          <w:spacing w:val="-4"/>
          <w:w w:val="105"/>
        </w:rPr>
        <w:t xml:space="preserve"> </w:t>
      </w:r>
      <w:r>
        <w:rPr>
          <w:w w:val="105"/>
        </w:rPr>
        <w:t>Todos</w:t>
      </w:r>
      <w:r>
        <w:rPr>
          <w:spacing w:val="-4"/>
          <w:w w:val="105"/>
        </w:rPr>
        <w:t xml:space="preserve"> </w:t>
      </w:r>
      <w:r>
        <w:rPr>
          <w:w w:val="105"/>
        </w:rPr>
        <w:t>Formas</w:t>
      </w:r>
      <w:r>
        <w:rPr>
          <w:spacing w:val="-4"/>
          <w:w w:val="105"/>
        </w:rPr>
        <w:t xml:space="preserve"> </w:t>
      </w:r>
      <w:r>
        <w:rPr>
          <w:w w:val="105"/>
        </w:rPr>
        <w:t>de</w:t>
      </w:r>
      <w:r>
        <w:rPr>
          <w:spacing w:val="-4"/>
          <w:w w:val="105"/>
        </w:rPr>
        <w:t xml:space="preserve"> </w:t>
      </w:r>
      <w:r>
        <w:rPr>
          <w:w w:val="105"/>
        </w:rPr>
        <w:t>Discriminación</w:t>
      </w:r>
      <w:r>
        <w:rPr>
          <w:spacing w:val="-3"/>
          <w:w w:val="105"/>
        </w:rPr>
        <w:t xml:space="preserve"> </w:t>
      </w:r>
      <w:r>
        <w:rPr>
          <w:w w:val="105"/>
        </w:rPr>
        <w:t>Racial,</w:t>
      </w:r>
      <w:r>
        <w:rPr>
          <w:spacing w:val="-3"/>
          <w:w w:val="105"/>
        </w:rPr>
        <w:t xml:space="preserve"> </w:t>
      </w:r>
      <w:r>
        <w:rPr>
          <w:w w:val="105"/>
        </w:rPr>
        <w:t>la</w:t>
      </w:r>
      <w:r>
        <w:rPr>
          <w:spacing w:val="-4"/>
          <w:w w:val="105"/>
        </w:rPr>
        <w:t xml:space="preserve"> </w:t>
      </w:r>
      <w:r>
        <w:rPr>
          <w:w w:val="105"/>
        </w:rPr>
        <w:t>Convención</w:t>
      </w:r>
      <w:r>
        <w:rPr>
          <w:spacing w:val="-3"/>
          <w:w w:val="105"/>
        </w:rPr>
        <w:t xml:space="preserve"> </w:t>
      </w:r>
      <w:r>
        <w:rPr>
          <w:w w:val="105"/>
        </w:rPr>
        <w:t>sobre la Eliminación de Todas las Formas de Discriminación contra la Mujer y la Convención sobre los Derechos de las Personas con Discapacidad se comprometen a “eliminar” la discriminación. Se trata de obligaciones de resultado que sólo pueden</w:t>
      </w:r>
    </w:p>
    <w:p w14:paraId="17AEDAAF" w14:textId="77777777" w:rsidR="0014798C" w:rsidRDefault="004E1F0B">
      <w:pPr>
        <w:pStyle w:val="Textoindependiente"/>
        <w:spacing w:line="326" w:lineRule="auto"/>
        <w:ind w:left="1107" w:right="1121"/>
      </w:pPr>
      <w:r>
        <w:rPr>
          <w:w w:val="105"/>
        </w:rPr>
        <w:t>lograrse</w:t>
      </w:r>
      <w:r>
        <w:rPr>
          <w:spacing w:val="-3"/>
          <w:w w:val="105"/>
        </w:rPr>
        <w:t xml:space="preserve"> </w:t>
      </w:r>
      <w:r>
        <w:rPr>
          <w:w w:val="105"/>
        </w:rPr>
        <w:t>mediante</w:t>
      </w:r>
      <w:r>
        <w:rPr>
          <w:spacing w:val="-4"/>
          <w:w w:val="105"/>
        </w:rPr>
        <w:t xml:space="preserve"> </w:t>
      </w:r>
      <w:r>
        <w:rPr>
          <w:w w:val="105"/>
        </w:rPr>
        <w:t>un</w:t>
      </w:r>
      <w:r>
        <w:rPr>
          <w:spacing w:val="-4"/>
          <w:w w:val="105"/>
        </w:rPr>
        <w:t xml:space="preserve"> </w:t>
      </w:r>
      <w:r>
        <w:rPr>
          <w:w w:val="105"/>
        </w:rPr>
        <w:t>programa</w:t>
      </w:r>
      <w:r>
        <w:rPr>
          <w:spacing w:val="-3"/>
          <w:w w:val="105"/>
        </w:rPr>
        <w:t xml:space="preserve"> </w:t>
      </w:r>
      <w:r>
        <w:rPr>
          <w:w w:val="105"/>
        </w:rPr>
        <w:t>de</w:t>
      </w:r>
      <w:r>
        <w:rPr>
          <w:spacing w:val="-4"/>
          <w:w w:val="105"/>
        </w:rPr>
        <w:t xml:space="preserve"> </w:t>
      </w:r>
      <w:r>
        <w:rPr>
          <w:w w:val="105"/>
        </w:rPr>
        <w:t>acción</w:t>
      </w:r>
      <w:r>
        <w:rPr>
          <w:spacing w:val="-3"/>
          <w:w w:val="105"/>
        </w:rPr>
        <w:t xml:space="preserve"> </w:t>
      </w:r>
      <w:r>
        <w:rPr>
          <w:w w:val="105"/>
        </w:rPr>
        <w:t>integral</w:t>
      </w:r>
      <w:r>
        <w:rPr>
          <w:spacing w:val="-4"/>
          <w:w w:val="105"/>
        </w:rPr>
        <w:t xml:space="preserve"> </w:t>
      </w:r>
      <w:r>
        <w:rPr>
          <w:w w:val="105"/>
        </w:rPr>
        <w:t>que,</w:t>
      </w:r>
      <w:r>
        <w:rPr>
          <w:spacing w:val="-3"/>
          <w:w w:val="105"/>
        </w:rPr>
        <w:t xml:space="preserve"> </w:t>
      </w:r>
      <w:r>
        <w:rPr>
          <w:w w:val="105"/>
        </w:rPr>
        <w:t>además</w:t>
      </w:r>
      <w:r>
        <w:rPr>
          <w:spacing w:val="-4"/>
          <w:w w:val="105"/>
        </w:rPr>
        <w:t xml:space="preserve"> </w:t>
      </w:r>
      <w:r>
        <w:rPr>
          <w:w w:val="105"/>
        </w:rPr>
        <w:t>de</w:t>
      </w:r>
      <w:r>
        <w:rPr>
          <w:spacing w:val="-4"/>
          <w:w w:val="105"/>
        </w:rPr>
        <w:t xml:space="preserve"> </w:t>
      </w:r>
      <w:r>
        <w:rPr>
          <w:w w:val="105"/>
        </w:rPr>
        <w:t>la</w:t>
      </w:r>
      <w:r>
        <w:rPr>
          <w:spacing w:val="-4"/>
          <w:w w:val="105"/>
        </w:rPr>
        <w:t xml:space="preserve"> </w:t>
      </w:r>
      <w:r>
        <w:rPr>
          <w:w w:val="105"/>
        </w:rPr>
        <w:t>eliminación</w:t>
      </w:r>
      <w:r>
        <w:rPr>
          <w:spacing w:val="-3"/>
          <w:w w:val="105"/>
        </w:rPr>
        <w:t xml:space="preserve"> </w:t>
      </w:r>
      <w:r>
        <w:rPr>
          <w:w w:val="105"/>
        </w:rPr>
        <w:t>de</w:t>
      </w:r>
      <w:r>
        <w:rPr>
          <w:spacing w:val="-4"/>
          <w:w w:val="105"/>
        </w:rPr>
        <w:t xml:space="preserve"> </w:t>
      </w:r>
      <w:r>
        <w:rPr>
          <w:w w:val="105"/>
        </w:rPr>
        <w:t>leyes,</w:t>
      </w:r>
      <w:r>
        <w:rPr>
          <w:spacing w:val="-3"/>
          <w:w w:val="105"/>
        </w:rPr>
        <w:t xml:space="preserve"> </w:t>
      </w:r>
      <w:r>
        <w:rPr>
          <w:w w:val="105"/>
        </w:rPr>
        <w:t>políticas</w:t>
      </w:r>
      <w:r>
        <w:rPr>
          <w:spacing w:val="-4"/>
          <w:w w:val="105"/>
        </w:rPr>
        <w:t xml:space="preserve"> </w:t>
      </w:r>
      <w:r>
        <w:rPr>
          <w:w w:val="105"/>
        </w:rPr>
        <w:t>y</w:t>
      </w:r>
      <w:r>
        <w:rPr>
          <w:spacing w:val="-3"/>
          <w:w w:val="105"/>
        </w:rPr>
        <w:t xml:space="preserve"> </w:t>
      </w:r>
      <w:r>
        <w:rPr>
          <w:w w:val="105"/>
        </w:rPr>
        <w:t>prácticas</w:t>
      </w:r>
      <w:r>
        <w:rPr>
          <w:spacing w:val="-4"/>
          <w:w w:val="105"/>
        </w:rPr>
        <w:t xml:space="preserve"> </w:t>
      </w:r>
      <w:r>
        <w:rPr>
          <w:w w:val="105"/>
        </w:rPr>
        <w:t>discriminatorias y la promulgación y aplicación de leyes que prohíban la discriminación, requiera la adopción e implementación de medidas positivas y proactivas. para abordar las causas profundas de la discriminación. Dicho de otra manera, la adopción de una ley integral contra la discriminación, si bien es esencial y obligatoria, es un elemento central de un programa más amplio de acciones que los Estados deben tomar para hacer efectivos los derechos a la igualdad y la no discriminación.</w:t>
      </w:r>
    </w:p>
    <w:p w14:paraId="2A082CC3" w14:textId="77777777" w:rsidR="0014798C" w:rsidRDefault="004E1F0B">
      <w:pPr>
        <w:pStyle w:val="Textoindependiente"/>
        <w:spacing w:before="164" w:line="326" w:lineRule="auto"/>
        <w:ind w:left="1107" w:right="1309" w:firstLine="1"/>
      </w:pPr>
      <w:r>
        <w:rPr>
          <w:w w:val="105"/>
        </w:rPr>
        <w:t>El</w:t>
      </w:r>
      <w:r>
        <w:rPr>
          <w:spacing w:val="-4"/>
          <w:w w:val="105"/>
        </w:rPr>
        <w:t xml:space="preserve"> </w:t>
      </w:r>
      <w:r>
        <w:rPr>
          <w:w w:val="105"/>
        </w:rPr>
        <w:t>derecho</w:t>
      </w:r>
      <w:r>
        <w:rPr>
          <w:spacing w:val="-3"/>
          <w:w w:val="105"/>
        </w:rPr>
        <w:t xml:space="preserve"> </w:t>
      </w:r>
      <w:r>
        <w:rPr>
          <w:w w:val="105"/>
        </w:rPr>
        <w:t>internacional</w:t>
      </w:r>
      <w:r>
        <w:rPr>
          <w:spacing w:val="-4"/>
          <w:w w:val="105"/>
        </w:rPr>
        <w:t xml:space="preserve"> </w:t>
      </w:r>
      <w:r>
        <w:rPr>
          <w:w w:val="105"/>
        </w:rPr>
        <w:t>de</w:t>
      </w:r>
      <w:r>
        <w:rPr>
          <w:spacing w:val="-4"/>
          <w:w w:val="105"/>
        </w:rPr>
        <w:t xml:space="preserve"> </w:t>
      </w:r>
      <w:r>
        <w:rPr>
          <w:w w:val="105"/>
        </w:rPr>
        <w:t>los</w:t>
      </w:r>
      <w:r>
        <w:rPr>
          <w:spacing w:val="-4"/>
          <w:w w:val="105"/>
        </w:rPr>
        <w:t xml:space="preserve"> </w:t>
      </w:r>
      <w:r>
        <w:rPr>
          <w:w w:val="105"/>
        </w:rPr>
        <w:t>derechos</w:t>
      </w:r>
      <w:r>
        <w:rPr>
          <w:spacing w:val="-4"/>
          <w:w w:val="105"/>
        </w:rPr>
        <w:t xml:space="preserve"> </w:t>
      </w:r>
      <w:r>
        <w:rPr>
          <w:w w:val="105"/>
        </w:rPr>
        <w:t>humanos</w:t>
      </w:r>
      <w:r>
        <w:rPr>
          <w:spacing w:val="-4"/>
          <w:w w:val="105"/>
        </w:rPr>
        <w:t xml:space="preserve"> </w:t>
      </w:r>
      <w:r>
        <w:rPr>
          <w:w w:val="105"/>
        </w:rPr>
        <w:t>define</w:t>
      </w:r>
      <w:r>
        <w:rPr>
          <w:spacing w:val="-4"/>
          <w:w w:val="105"/>
        </w:rPr>
        <w:t xml:space="preserve"> </w:t>
      </w:r>
      <w:r>
        <w:rPr>
          <w:w w:val="105"/>
        </w:rPr>
        <w:t>obligaciones</w:t>
      </w:r>
      <w:r>
        <w:rPr>
          <w:spacing w:val="-4"/>
          <w:w w:val="105"/>
        </w:rPr>
        <w:t xml:space="preserve"> </w:t>
      </w:r>
      <w:r>
        <w:rPr>
          <w:w w:val="105"/>
        </w:rPr>
        <w:t>positivas</w:t>
      </w:r>
      <w:r>
        <w:rPr>
          <w:spacing w:val="-4"/>
          <w:w w:val="105"/>
        </w:rPr>
        <w:t xml:space="preserve"> </w:t>
      </w:r>
      <w:r>
        <w:rPr>
          <w:w w:val="105"/>
        </w:rPr>
        <w:t>para</w:t>
      </w:r>
      <w:r>
        <w:rPr>
          <w:spacing w:val="-3"/>
          <w:w w:val="105"/>
        </w:rPr>
        <w:t xml:space="preserve"> </w:t>
      </w:r>
      <w:r>
        <w:rPr>
          <w:w w:val="105"/>
        </w:rPr>
        <w:t>combatir</w:t>
      </w:r>
      <w:r>
        <w:rPr>
          <w:spacing w:val="-4"/>
          <w:w w:val="105"/>
        </w:rPr>
        <w:t xml:space="preserve"> </w:t>
      </w:r>
      <w:r>
        <w:rPr>
          <w:w w:val="105"/>
        </w:rPr>
        <w:t>los</w:t>
      </w:r>
      <w:r>
        <w:rPr>
          <w:spacing w:val="-4"/>
          <w:w w:val="105"/>
        </w:rPr>
        <w:t xml:space="preserve"> </w:t>
      </w:r>
      <w:r>
        <w:rPr>
          <w:w w:val="105"/>
        </w:rPr>
        <w:t>prejuicios,</w:t>
      </w:r>
      <w:r>
        <w:rPr>
          <w:spacing w:val="-2"/>
          <w:w w:val="105"/>
        </w:rPr>
        <w:t xml:space="preserve"> </w:t>
      </w:r>
      <w:r>
        <w:rPr>
          <w:w w:val="105"/>
        </w:rPr>
        <w:t>el</w:t>
      </w:r>
      <w:r>
        <w:rPr>
          <w:spacing w:val="-4"/>
          <w:w w:val="105"/>
        </w:rPr>
        <w:t xml:space="preserve"> </w:t>
      </w:r>
      <w:r>
        <w:rPr>
          <w:w w:val="105"/>
        </w:rPr>
        <w:t>estigma</w:t>
      </w:r>
      <w:r>
        <w:rPr>
          <w:spacing w:val="-4"/>
          <w:w w:val="105"/>
        </w:rPr>
        <w:t xml:space="preserve"> </w:t>
      </w:r>
      <w:r>
        <w:rPr>
          <w:w w:val="105"/>
        </w:rPr>
        <w:t>y</w:t>
      </w:r>
      <w:r>
        <w:rPr>
          <w:spacing w:val="-3"/>
          <w:w w:val="105"/>
        </w:rPr>
        <w:t xml:space="preserve"> </w:t>
      </w:r>
      <w:r>
        <w:rPr>
          <w:w w:val="105"/>
        </w:rPr>
        <w:t>los estereotipos y para modificar las normas sociales y culturales que causan o perpetúan la discriminación. Estas obligaciones están explícitamente establecidas en varios tratados internacionales de derechos humanos, incluida la Convención Internacional sobre la Eliminación de todas las Formas de Discriminación Racial, la Convención sobre la Eliminación de todas</w:t>
      </w:r>
      <w:r>
        <w:rPr>
          <w:spacing w:val="-2"/>
          <w:w w:val="105"/>
        </w:rPr>
        <w:t xml:space="preserve"> </w:t>
      </w:r>
      <w:r>
        <w:rPr>
          <w:w w:val="105"/>
        </w:rPr>
        <w:t>las</w:t>
      </w:r>
      <w:r>
        <w:rPr>
          <w:spacing w:val="-2"/>
          <w:w w:val="105"/>
        </w:rPr>
        <w:t xml:space="preserve"> </w:t>
      </w:r>
      <w:r>
        <w:rPr>
          <w:w w:val="105"/>
        </w:rPr>
        <w:t>Formas</w:t>
      </w:r>
      <w:r>
        <w:rPr>
          <w:spacing w:val="-2"/>
          <w:w w:val="105"/>
        </w:rPr>
        <w:t xml:space="preserve"> </w:t>
      </w:r>
      <w:r>
        <w:rPr>
          <w:w w:val="105"/>
        </w:rPr>
        <w:t>de</w:t>
      </w:r>
      <w:r>
        <w:rPr>
          <w:spacing w:val="-2"/>
          <w:w w:val="105"/>
        </w:rPr>
        <w:t xml:space="preserve"> </w:t>
      </w:r>
      <w:r>
        <w:rPr>
          <w:w w:val="105"/>
        </w:rPr>
        <w:t>Discriminación</w:t>
      </w:r>
      <w:r>
        <w:rPr>
          <w:spacing w:val="-1"/>
          <w:w w:val="105"/>
        </w:rPr>
        <w:t xml:space="preserve"> </w:t>
      </w:r>
      <w:r>
        <w:rPr>
          <w:w w:val="105"/>
        </w:rPr>
        <w:t>contra</w:t>
      </w:r>
      <w:r>
        <w:rPr>
          <w:spacing w:val="-2"/>
          <w:w w:val="105"/>
        </w:rPr>
        <w:t xml:space="preserve"> </w:t>
      </w:r>
      <w:r>
        <w:rPr>
          <w:w w:val="105"/>
        </w:rPr>
        <w:t>la</w:t>
      </w:r>
      <w:r>
        <w:rPr>
          <w:spacing w:val="-2"/>
          <w:w w:val="105"/>
        </w:rPr>
        <w:t xml:space="preserve"> </w:t>
      </w:r>
      <w:r>
        <w:rPr>
          <w:w w:val="105"/>
        </w:rPr>
        <w:t>Mujer</w:t>
      </w:r>
      <w:r>
        <w:rPr>
          <w:spacing w:val="-2"/>
          <w:w w:val="105"/>
        </w:rPr>
        <w:t xml:space="preserve"> </w:t>
      </w:r>
      <w:r>
        <w:rPr>
          <w:w w:val="105"/>
        </w:rPr>
        <w:t>y</w:t>
      </w:r>
      <w:r>
        <w:rPr>
          <w:spacing w:val="-1"/>
          <w:w w:val="105"/>
        </w:rPr>
        <w:t xml:space="preserve"> </w:t>
      </w:r>
      <w:r>
        <w:rPr>
          <w:w w:val="105"/>
        </w:rPr>
        <w:t>la</w:t>
      </w:r>
      <w:r>
        <w:rPr>
          <w:spacing w:val="-2"/>
          <w:w w:val="105"/>
        </w:rPr>
        <w:t xml:space="preserve"> </w:t>
      </w:r>
      <w:r>
        <w:rPr>
          <w:w w:val="105"/>
        </w:rPr>
        <w:t>Convención</w:t>
      </w:r>
      <w:r>
        <w:rPr>
          <w:spacing w:val="-1"/>
          <w:w w:val="105"/>
        </w:rPr>
        <w:t xml:space="preserve"> </w:t>
      </w:r>
      <w:r>
        <w:rPr>
          <w:w w:val="105"/>
        </w:rPr>
        <w:t>sobre</w:t>
      </w:r>
      <w:r>
        <w:rPr>
          <w:spacing w:val="-1"/>
          <w:w w:val="105"/>
        </w:rPr>
        <w:t xml:space="preserve"> </w:t>
      </w:r>
      <w:r>
        <w:rPr>
          <w:w w:val="105"/>
        </w:rPr>
        <w:t>los</w:t>
      </w:r>
      <w:r>
        <w:rPr>
          <w:spacing w:val="-2"/>
          <w:w w:val="105"/>
        </w:rPr>
        <w:t xml:space="preserve"> </w:t>
      </w:r>
      <w:r>
        <w:rPr>
          <w:w w:val="105"/>
        </w:rPr>
        <w:t>Derechos</w:t>
      </w:r>
      <w:r>
        <w:rPr>
          <w:spacing w:val="-2"/>
          <w:w w:val="105"/>
        </w:rPr>
        <w:t xml:space="preserve"> </w:t>
      </w:r>
      <w:r>
        <w:rPr>
          <w:w w:val="105"/>
        </w:rPr>
        <w:t>de</w:t>
      </w:r>
      <w:r>
        <w:rPr>
          <w:spacing w:val="-2"/>
          <w:w w:val="105"/>
        </w:rPr>
        <w:t xml:space="preserve"> </w:t>
      </w:r>
      <w:r>
        <w:rPr>
          <w:w w:val="105"/>
        </w:rPr>
        <w:t>las</w:t>
      </w:r>
      <w:r>
        <w:rPr>
          <w:spacing w:val="-2"/>
          <w:w w:val="105"/>
        </w:rPr>
        <w:t xml:space="preserve"> </w:t>
      </w:r>
      <w:r>
        <w:rPr>
          <w:w w:val="105"/>
        </w:rPr>
        <w:t>Personas.</w:t>
      </w:r>
      <w:r>
        <w:rPr>
          <w:spacing w:val="-1"/>
          <w:w w:val="105"/>
        </w:rPr>
        <w:t xml:space="preserve"> </w:t>
      </w:r>
      <w:r>
        <w:rPr>
          <w:w w:val="105"/>
        </w:rPr>
        <w:t>con</w:t>
      </w:r>
      <w:r>
        <w:rPr>
          <w:spacing w:val="-1"/>
          <w:w w:val="105"/>
        </w:rPr>
        <w:t xml:space="preserve"> </w:t>
      </w:r>
      <w:r>
        <w:rPr>
          <w:w w:val="105"/>
        </w:rPr>
        <w:t>Discapacidad, y también han sido elaborados por los órganos creados en virtud de tratados. El Comité de Derechos Económicos, Sociales y Culturales, por ejemplo, ha señalado que para eliminar la discriminación en la práctica es necesario que los Estados</w:t>
      </w:r>
    </w:p>
    <w:p w14:paraId="16AA0FBB" w14:textId="77777777" w:rsidR="0014798C" w:rsidRDefault="004E1F0B">
      <w:pPr>
        <w:pStyle w:val="Textoindependiente"/>
        <w:spacing w:line="181" w:lineRule="exact"/>
        <w:ind w:left="1107" w:right="-44"/>
      </w:pPr>
      <w:r>
        <w:rPr>
          <w:w w:val="105"/>
        </w:rPr>
        <w:t>adopten</w:t>
      </w:r>
      <w:r>
        <w:rPr>
          <w:spacing w:val="-8"/>
          <w:w w:val="105"/>
        </w:rPr>
        <w:t xml:space="preserve"> </w:t>
      </w:r>
      <w:r>
        <w:rPr>
          <w:w w:val="105"/>
        </w:rPr>
        <w:t>“las</w:t>
      </w:r>
      <w:r>
        <w:rPr>
          <w:spacing w:val="-8"/>
          <w:w w:val="105"/>
        </w:rPr>
        <w:t xml:space="preserve"> </w:t>
      </w:r>
      <w:r>
        <w:rPr>
          <w:w w:val="105"/>
        </w:rPr>
        <w:t>medidas</w:t>
      </w:r>
      <w:r>
        <w:rPr>
          <w:spacing w:val="-7"/>
          <w:w w:val="105"/>
        </w:rPr>
        <w:t xml:space="preserve"> </w:t>
      </w:r>
      <w:r>
        <w:rPr>
          <w:w w:val="105"/>
        </w:rPr>
        <w:t>necesarias</w:t>
      </w:r>
      <w:r>
        <w:rPr>
          <w:spacing w:val="-8"/>
          <w:w w:val="105"/>
        </w:rPr>
        <w:t xml:space="preserve"> </w:t>
      </w:r>
      <w:r>
        <w:rPr>
          <w:w w:val="105"/>
        </w:rPr>
        <w:t>para</w:t>
      </w:r>
      <w:r>
        <w:rPr>
          <w:spacing w:val="-7"/>
          <w:w w:val="105"/>
        </w:rPr>
        <w:t xml:space="preserve"> </w:t>
      </w:r>
      <w:r>
        <w:rPr>
          <w:w w:val="105"/>
        </w:rPr>
        <w:t>prevenir,</w:t>
      </w:r>
      <w:r>
        <w:rPr>
          <w:spacing w:val="-7"/>
          <w:w w:val="105"/>
        </w:rPr>
        <w:t xml:space="preserve"> </w:t>
      </w:r>
      <w:r>
        <w:rPr>
          <w:w w:val="105"/>
        </w:rPr>
        <w:t>disminuir</w:t>
      </w:r>
      <w:r>
        <w:rPr>
          <w:spacing w:val="-7"/>
          <w:w w:val="105"/>
        </w:rPr>
        <w:t xml:space="preserve"> </w:t>
      </w:r>
      <w:r>
        <w:rPr>
          <w:w w:val="105"/>
        </w:rPr>
        <w:t>y</w:t>
      </w:r>
      <w:r>
        <w:rPr>
          <w:spacing w:val="-7"/>
          <w:w w:val="105"/>
        </w:rPr>
        <w:t xml:space="preserve"> </w:t>
      </w:r>
      <w:r>
        <w:rPr>
          <w:w w:val="105"/>
        </w:rPr>
        <w:t>eliminar</w:t>
      </w:r>
      <w:r>
        <w:rPr>
          <w:spacing w:val="-8"/>
          <w:w w:val="105"/>
        </w:rPr>
        <w:t xml:space="preserve"> </w:t>
      </w:r>
      <w:r>
        <w:rPr>
          <w:w w:val="105"/>
        </w:rPr>
        <w:t>las</w:t>
      </w:r>
      <w:r>
        <w:rPr>
          <w:spacing w:val="-7"/>
          <w:w w:val="105"/>
        </w:rPr>
        <w:t xml:space="preserve"> </w:t>
      </w:r>
      <w:r>
        <w:rPr>
          <w:w w:val="105"/>
        </w:rPr>
        <w:t>condiciones</w:t>
      </w:r>
      <w:r>
        <w:rPr>
          <w:spacing w:val="-8"/>
          <w:w w:val="105"/>
        </w:rPr>
        <w:t xml:space="preserve"> </w:t>
      </w:r>
      <w:r>
        <w:rPr>
          <w:w w:val="105"/>
        </w:rPr>
        <w:t>y</w:t>
      </w:r>
      <w:r>
        <w:rPr>
          <w:spacing w:val="-7"/>
          <w:w w:val="105"/>
        </w:rPr>
        <w:t xml:space="preserve"> </w:t>
      </w:r>
      <w:r>
        <w:rPr>
          <w:w w:val="105"/>
        </w:rPr>
        <w:t>actitudes</w:t>
      </w:r>
      <w:r>
        <w:rPr>
          <w:spacing w:val="-8"/>
          <w:w w:val="105"/>
        </w:rPr>
        <w:t xml:space="preserve"> </w:t>
      </w:r>
      <w:r>
        <w:rPr>
          <w:w w:val="105"/>
        </w:rPr>
        <w:t>que</w:t>
      </w:r>
      <w:r>
        <w:rPr>
          <w:spacing w:val="-7"/>
          <w:w w:val="105"/>
        </w:rPr>
        <w:t xml:space="preserve"> </w:t>
      </w:r>
      <w:r>
        <w:rPr>
          <w:w w:val="105"/>
        </w:rPr>
        <w:t>causan</w:t>
      </w:r>
      <w:r>
        <w:rPr>
          <w:spacing w:val="-7"/>
          <w:w w:val="105"/>
        </w:rPr>
        <w:t xml:space="preserve"> </w:t>
      </w:r>
      <w:r>
        <w:rPr>
          <w:w w:val="105"/>
        </w:rPr>
        <w:t>o</w:t>
      </w:r>
      <w:r>
        <w:rPr>
          <w:spacing w:val="-8"/>
          <w:w w:val="105"/>
        </w:rPr>
        <w:t xml:space="preserve"> </w:t>
      </w:r>
      <w:r>
        <w:rPr>
          <w:w w:val="105"/>
        </w:rPr>
        <w:t>perpetúan...</w:t>
      </w:r>
      <w:r>
        <w:rPr>
          <w:spacing w:val="-6"/>
          <w:w w:val="105"/>
        </w:rPr>
        <w:t xml:space="preserve"> </w:t>
      </w:r>
      <w:r>
        <w:rPr>
          <w:w w:val="105"/>
        </w:rPr>
        <w:t>la</w:t>
      </w:r>
      <w:r>
        <w:rPr>
          <w:spacing w:val="-8"/>
          <w:w w:val="105"/>
        </w:rPr>
        <w:t xml:space="preserve"> </w:t>
      </w:r>
      <w:r>
        <w:rPr>
          <w:spacing w:val="-2"/>
          <w:w w:val="105"/>
        </w:rPr>
        <w:t>discriminación”.12</w:t>
      </w:r>
    </w:p>
    <w:p w14:paraId="152A3913" w14:textId="77777777" w:rsidR="0014798C" w:rsidRDefault="0014798C">
      <w:pPr>
        <w:pStyle w:val="Textoindependiente"/>
        <w:spacing w:before="51"/>
      </w:pPr>
    </w:p>
    <w:p w14:paraId="0FDC53F7" w14:textId="77777777" w:rsidR="0014798C" w:rsidRDefault="004E1F0B">
      <w:pPr>
        <w:pStyle w:val="Textoindependiente"/>
        <w:spacing w:before="1" w:line="326" w:lineRule="auto"/>
        <w:ind w:left="1107" w:right="1210" w:hanging="1"/>
      </w:pPr>
      <w:r>
        <w:rPr>
          <w:noProof/>
        </w:rPr>
        <mc:AlternateContent>
          <mc:Choice Requires="wps">
            <w:drawing>
              <wp:anchor distT="0" distB="0" distL="0" distR="0" simplePos="0" relativeHeight="251658336" behindDoc="0" locked="0" layoutInCell="1" allowOverlap="1" wp14:anchorId="19DEA58E" wp14:editId="0D81F5F5">
                <wp:simplePos x="0" y="0"/>
                <wp:positionH relativeFrom="page">
                  <wp:posOffset>7308079</wp:posOffset>
                </wp:positionH>
                <wp:positionV relativeFrom="paragraph">
                  <wp:posOffset>1251472</wp:posOffset>
                </wp:positionV>
                <wp:extent cx="89535" cy="215265"/>
                <wp:effectExtent l="0" t="0" r="0" b="0"/>
                <wp:wrapNone/>
                <wp:docPr id="378" name="Textbox 37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89535" cy="215265"/>
                        </a:xfrm>
                        <a:prstGeom prst="rect">
                          <a:avLst/>
                        </a:prstGeom>
                      </wps:spPr>
                      <wps:txbx>
                        <w:txbxContent>
                          <w:p w14:paraId="6E671F61" w14:textId="77777777" w:rsidR="0014798C" w:rsidRDefault="004E1F0B">
                            <w:pPr>
                              <w:spacing w:before="16"/>
                              <w:ind w:left="20"/>
                              <w:rPr>
                                <w:sz w:val="9"/>
                              </w:rPr>
                            </w:pPr>
                            <w:r>
                              <w:rPr>
                                <w:color w:val="FFFFFF"/>
                                <w:spacing w:val="-23"/>
                                <w:sz w:val="9"/>
                              </w:rPr>
                              <w:t>SPEAIRSTE</w:t>
                            </w:r>
                          </w:p>
                        </w:txbxContent>
                      </wps:txbx>
                      <wps:bodyPr vert="vert270" wrap="square" lIns="0" tIns="0" rIns="0" bIns="0" rtlCol="0">
                        <a:noAutofit/>
                      </wps:bodyPr>
                    </wps:wsp>
                  </a:graphicData>
                </a:graphic>
              </wp:anchor>
            </w:drawing>
          </mc:Choice>
          <mc:Fallback>
            <w:pict>
              <v:shape w14:anchorId="19DEA58E" id="Textbox 378" o:spid="_x0000_s1181" type="#_x0000_t202" style="position:absolute;left:0;text-align:left;margin-left:575.45pt;margin-top:98.55pt;width:7.05pt;height:16.95pt;z-index:251658336;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" filled="f" stroked="f">
                <v:textbox style="layout-flow:vertical;mso-layout-flow-alt:bottom-to-top" inset="0,0,0,0">
                  <w:txbxContent>
                    <w:p w14:paraId="6E671F61" w14:textId="77777777" w:rsidR="0014798C" w:rsidRDefault="004E1F0B">
                      <w:pPr>
                        <w:spacing w:before="16"/>
                        <w:ind w:left="20"/>
                        <w:rPr>
                          <w:sz w:val="9"/>
                        </w:rPr>
                      </w:pPr>
                      <w:r>
                        <w:rPr>
                          <w:color w:val="FFFFFF"/>
                          <w:spacing w:val="-23"/>
                          <w:sz w:val="9"/>
                        </w:rPr>
                        <w:t>SPEAIRSTE</w:t>
                      </w:r>
                    </w:p>
                  </w:txbxContent>
                </v:textbox>
                <w10:wrap anchorx="page"/>
              </v:shape>
            </w:pict>
          </mc:Fallback>
        </mc:AlternateContent>
      </w:r>
      <w:r>
        <w:rPr>
          <w:w w:val="105"/>
        </w:rPr>
        <w:t>Estas obligaciones positivas guardan una relación compleja con el deber de promulgar e implementar leyes integrales contra la discriminación. Por un lado, las formas de discriminación prohibidas por las leyes antidiscriminatorias quedan fuera del mundo de las actitudes, la ideología y las normas sociales. Como se señala en la sección IA2(a) de la segunda parte de la presente</w:t>
      </w:r>
      <w:r>
        <w:rPr>
          <w:spacing w:val="-4"/>
          <w:w w:val="105"/>
        </w:rPr>
        <w:t xml:space="preserve"> </w:t>
      </w:r>
      <w:r>
        <w:rPr>
          <w:w w:val="105"/>
        </w:rPr>
        <w:t>guía,</w:t>
      </w:r>
      <w:r>
        <w:rPr>
          <w:spacing w:val="-3"/>
          <w:w w:val="105"/>
        </w:rPr>
        <w:t xml:space="preserve"> </w:t>
      </w:r>
      <w:r>
        <w:rPr>
          <w:w w:val="105"/>
        </w:rPr>
        <w:t>la</w:t>
      </w:r>
      <w:r>
        <w:rPr>
          <w:spacing w:val="-4"/>
          <w:w w:val="105"/>
        </w:rPr>
        <w:t xml:space="preserve"> </w:t>
      </w:r>
      <w:r>
        <w:rPr>
          <w:w w:val="105"/>
        </w:rPr>
        <w:t>discriminación</w:t>
      </w:r>
      <w:r>
        <w:rPr>
          <w:spacing w:val="-3"/>
          <w:w w:val="105"/>
        </w:rPr>
        <w:t xml:space="preserve"> </w:t>
      </w:r>
      <w:r>
        <w:rPr>
          <w:w w:val="105"/>
        </w:rPr>
        <w:t>puede</w:t>
      </w:r>
      <w:r>
        <w:rPr>
          <w:spacing w:val="-4"/>
          <w:w w:val="105"/>
        </w:rPr>
        <w:t xml:space="preserve"> </w:t>
      </w:r>
      <w:r>
        <w:rPr>
          <w:w w:val="105"/>
        </w:rPr>
        <w:t>ser</w:t>
      </w:r>
      <w:r>
        <w:rPr>
          <w:spacing w:val="-4"/>
          <w:w w:val="105"/>
        </w:rPr>
        <w:t xml:space="preserve"> </w:t>
      </w:r>
      <w:r>
        <w:rPr>
          <w:w w:val="105"/>
        </w:rPr>
        <w:t>tanto</w:t>
      </w:r>
      <w:r>
        <w:rPr>
          <w:spacing w:val="-4"/>
          <w:w w:val="105"/>
        </w:rPr>
        <w:t xml:space="preserve"> </w:t>
      </w:r>
      <w:r>
        <w:rPr>
          <w:w w:val="105"/>
        </w:rPr>
        <w:t>intencional</w:t>
      </w:r>
      <w:r>
        <w:rPr>
          <w:spacing w:val="-4"/>
          <w:w w:val="105"/>
        </w:rPr>
        <w:t xml:space="preserve"> </w:t>
      </w:r>
      <w:r>
        <w:rPr>
          <w:w w:val="105"/>
        </w:rPr>
        <w:t>como</w:t>
      </w:r>
      <w:r>
        <w:rPr>
          <w:spacing w:val="-3"/>
          <w:w w:val="105"/>
        </w:rPr>
        <w:t xml:space="preserve"> </w:t>
      </w:r>
      <w:r>
        <w:rPr>
          <w:w w:val="105"/>
        </w:rPr>
        <w:t>no</w:t>
      </w:r>
      <w:r>
        <w:rPr>
          <w:spacing w:val="-4"/>
          <w:w w:val="105"/>
        </w:rPr>
        <w:t xml:space="preserve"> </w:t>
      </w:r>
      <w:r>
        <w:rPr>
          <w:w w:val="105"/>
        </w:rPr>
        <w:t>intencional.</w:t>
      </w:r>
      <w:r>
        <w:rPr>
          <w:spacing w:val="-2"/>
          <w:w w:val="105"/>
        </w:rPr>
        <w:t xml:space="preserve"> </w:t>
      </w:r>
      <w:r>
        <w:rPr>
          <w:w w:val="105"/>
        </w:rPr>
        <w:t>Por</w:t>
      </w:r>
      <w:r>
        <w:rPr>
          <w:spacing w:val="-4"/>
          <w:w w:val="105"/>
        </w:rPr>
        <w:t xml:space="preserve"> </w:t>
      </w:r>
      <w:r>
        <w:rPr>
          <w:w w:val="105"/>
        </w:rPr>
        <w:t>lo</w:t>
      </w:r>
      <w:r>
        <w:rPr>
          <w:spacing w:val="-4"/>
          <w:w w:val="105"/>
        </w:rPr>
        <w:t xml:space="preserve"> </w:t>
      </w:r>
      <w:r>
        <w:rPr>
          <w:w w:val="105"/>
        </w:rPr>
        <w:t>tanto,</w:t>
      </w:r>
      <w:r>
        <w:rPr>
          <w:spacing w:val="-3"/>
          <w:w w:val="105"/>
        </w:rPr>
        <w:t xml:space="preserve"> </w:t>
      </w:r>
      <w:r>
        <w:rPr>
          <w:w w:val="105"/>
        </w:rPr>
        <w:t>si</w:t>
      </w:r>
      <w:r>
        <w:rPr>
          <w:spacing w:val="-3"/>
          <w:w w:val="105"/>
        </w:rPr>
        <w:t xml:space="preserve"> </w:t>
      </w:r>
      <w:r>
        <w:rPr>
          <w:w w:val="105"/>
        </w:rPr>
        <w:t>bien</w:t>
      </w:r>
      <w:r>
        <w:rPr>
          <w:spacing w:val="-4"/>
          <w:w w:val="105"/>
        </w:rPr>
        <w:t xml:space="preserve"> </w:t>
      </w:r>
      <w:r>
        <w:rPr>
          <w:w w:val="105"/>
        </w:rPr>
        <w:t>la</w:t>
      </w:r>
      <w:r>
        <w:rPr>
          <w:spacing w:val="-4"/>
          <w:w w:val="105"/>
        </w:rPr>
        <w:t xml:space="preserve"> </w:t>
      </w:r>
      <w:r>
        <w:rPr>
          <w:w w:val="105"/>
        </w:rPr>
        <w:t>evidencia</w:t>
      </w:r>
      <w:r>
        <w:rPr>
          <w:spacing w:val="-3"/>
          <w:w w:val="105"/>
        </w:rPr>
        <w:t xml:space="preserve"> </w:t>
      </w:r>
      <w:r>
        <w:rPr>
          <w:w w:val="105"/>
        </w:rPr>
        <w:t>de</w:t>
      </w:r>
      <w:r>
        <w:rPr>
          <w:spacing w:val="-4"/>
          <w:w w:val="105"/>
        </w:rPr>
        <w:t xml:space="preserve"> </w:t>
      </w:r>
      <w:r>
        <w:rPr>
          <w:w w:val="105"/>
        </w:rPr>
        <w:t>prejuicio, estigma u otro motivo parcial por parte de la parte discriminadora puede ser evidencia convincente de discriminación, dicha evidencia no es necesaria para determinar la existencia de discriminación. Incluso en situaciones en las que se puede demostrar que la discriminación está motivada por prejuicios u otros sentimientos de hostilidad, la ley aborda las manifestaciones de esos sentimientos en el mundo real, centrándose en sancionar y remediar los actos, en lugar de cambiar opiniones o creencias. Este enfoque garantiza que la ley se centre adecuadamente en identificar y abordar el daño experimentado por las víctimas de discriminación y que sea coherente con el derecho absoluto a la libertad de opinión, garantizado por el artículo 19 (1) del Pacto Internacional de Derechos Civiles y Políticos. Derechos.</w:t>
      </w:r>
    </w:p>
    <w:p w14:paraId="128DD7D7" w14:textId="77777777" w:rsidR="0014798C" w:rsidRDefault="0014798C">
      <w:pPr>
        <w:pStyle w:val="Textoindependiente"/>
      </w:pPr>
    </w:p>
    <w:p w14:paraId="669E13EB" w14:textId="77777777" w:rsidR="0014798C" w:rsidRDefault="0014798C">
      <w:pPr>
        <w:pStyle w:val="Textoindependiente"/>
        <w:spacing w:before="46"/>
      </w:pPr>
    </w:p>
    <w:p w14:paraId="596EFCC8" w14:textId="77777777" w:rsidR="0014798C" w:rsidRDefault="004E1F0B">
      <w:pPr>
        <w:pStyle w:val="Textoindependiente"/>
        <w:spacing w:line="326" w:lineRule="auto"/>
        <w:ind w:left="1109" w:right="1239" w:firstLine="5"/>
      </w:pPr>
      <w:r>
        <w:rPr>
          <w:w w:val="105"/>
        </w:rPr>
        <w:t>Por</w:t>
      </w:r>
      <w:r>
        <w:rPr>
          <w:spacing w:val="-4"/>
          <w:w w:val="105"/>
        </w:rPr>
        <w:t xml:space="preserve"> </w:t>
      </w:r>
      <w:r>
        <w:rPr>
          <w:w w:val="105"/>
        </w:rPr>
        <w:t>otro</w:t>
      </w:r>
      <w:r>
        <w:rPr>
          <w:spacing w:val="-4"/>
          <w:w w:val="105"/>
        </w:rPr>
        <w:t xml:space="preserve"> </w:t>
      </w:r>
      <w:r>
        <w:rPr>
          <w:w w:val="105"/>
        </w:rPr>
        <w:t>lado,</w:t>
      </w:r>
      <w:r>
        <w:rPr>
          <w:spacing w:val="-3"/>
          <w:w w:val="105"/>
        </w:rPr>
        <w:t xml:space="preserve"> </w:t>
      </w:r>
      <w:r>
        <w:rPr>
          <w:w w:val="105"/>
        </w:rPr>
        <w:t>la</w:t>
      </w:r>
      <w:r>
        <w:rPr>
          <w:spacing w:val="-4"/>
          <w:w w:val="105"/>
        </w:rPr>
        <w:t xml:space="preserve"> </w:t>
      </w:r>
      <w:r>
        <w:rPr>
          <w:w w:val="105"/>
        </w:rPr>
        <w:t>evidencia</w:t>
      </w:r>
      <w:r>
        <w:rPr>
          <w:spacing w:val="-3"/>
          <w:w w:val="105"/>
        </w:rPr>
        <w:t xml:space="preserve"> </w:t>
      </w:r>
      <w:r>
        <w:rPr>
          <w:w w:val="105"/>
        </w:rPr>
        <w:t>de</w:t>
      </w:r>
      <w:r>
        <w:rPr>
          <w:spacing w:val="-4"/>
          <w:w w:val="105"/>
        </w:rPr>
        <w:t xml:space="preserve"> </w:t>
      </w:r>
      <w:r>
        <w:rPr>
          <w:w w:val="105"/>
        </w:rPr>
        <w:t>varias</w:t>
      </w:r>
      <w:r>
        <w:rPr>
          <w:spacing w:val="-4"/>
          <w:w w:val="105"/>
        </w:rPr>
        <w:t xml:space="preserve"> </w:t>
      </w:r>
      <w:r>
        <w:rPr>
          <w:w w:val="105"/>
        </w:rPr>
        <w:t>jurisdicciones</w:t>
      </w:r>
      <w:r>
        <w:rPr>
          <w:spacing w:val="-4"/>
          <w:w w:val="105"/>
        </w:rPr>
        <w:t xml:space="preserve"> </w:t>
      </w:r>
      <w:r>
        <w:rPr>
          <w:w w:val="105"/>
        </w:rPr>
        <w:t>demuestra</w:t>
      </w:r>
      <w:r>
        <w:rPr>
          <w:spacing w:val="-4"/>
          <w:w w:val="105"/>
        </w:rPr>
        <w:t xml:space="preserve"> </w:t>
      </w:r>
      <w:r>
        <w:rPr>
          <w:w w:val="105"/>
        </w:rPr>
        <w:t>que</w:t>
      </w:r>
      <w:r>
        <w:rPr>
          <w:spacing w:val="-4"/>
          <w:w w:val="105"/>
        </w:rPr>
        <w:t xml:space="preserve"> </w:t>
      </w:r>
      <w:r>
        <w:rPr>
          <w:w w:val="105"/>
        </w:rPr>
        <w:t>la</w:t>
      </w:r>
      <w:r>
        <w:rPr>
          <w:spacing w:val="-4"/>
          <w:w w:val="105"/>
        </w:rPr>
        <w:t xml:space="preserve"> </w:t>
      </w:r>
      <w:r>
        <w:rPr>
          <w:w w:val="105"/>
        </w:rPr>
        <w:t>adopción</w:t>
      </w:r>
      <w:r>
        <w:rPr>
          <w:spacing w:val="-3"/>
          <w:w w:val="105"/>
        </w:rPr>
        <w:t xml:space="preserve"> </w:t>
      </w:r>
      <w:r>
        <w:rPr>
          <w:w w:val="105"/>
        </w:rPr>
        <w:t>y</w:t>
      </w:r>
      <w:r>
        <w:rPr>
          <w:spacing w:val="-3"/>
          <w:w w:val="105"/>
        </w:rPr>
        <w:t xml:space="preserve"> </w:t>
      </w:r>
      <w:r>
        <w:rPr>
          <w:w w:val="105"/>
        </w:rPr>
        <w:t>la</w:t>
      </w:r>
      <w:r>
        <w:rPr>
          <w:spacing w:val="-4"/>
          <w:w w:val="105"/>
        </w:rPr>
        <w:t xml:space="preserve"> </w:t>
      </w:r>
      <w:r>
        <w:rPr>
          <w:w w:val="105"/>
        </w:rPr>
        <w:t>implementación</w:t>
      </w:r>
      <w:r>
        <w:rPr>
          <w:spacing w:val="-4"/>
          <w:w w:val="105"/>
        </w:rPr>
        <w:t xml:space="preserve"> </w:t>
      </w:r>
      <w:r>
        <w:rPr>
          <w:w w:val="105"/>
        </w:rPr>
        <w:t>efectiva</w:t>
      </w:r>
      <w:r>
        <w:rPr>
          <w:spacing w:val="-4"/>
          <w:w w:val="105"/>
        </w:rPr>
        <w:t xml:space="preserve"> </w:t>
      </w:r>
      <w:r>
        <w:rPr>
          <w:w w:val="105"/>
        </w:rPr>
        <w:t>de</w:t>
      </w:r>
      <w:r>
        <w:rPr>
          <w:spacing w:val="-4"/>
          <w:w w:val="105"/>
        </w:rPr>
        <w:t xml:space="preserve"> </w:t>
      </w:r>
      <w:r>
        <w:rPr>
          <w:w w:val="105"/>
        </w:rPr>
        <w:t>una</w:t>
      </w:r>
      <w:r>
        <w:rPr>
          <w:spacing w:val="-4"/>
          <w:w w:val="105"/>
        </w:rPr>
        <w:t xml:space="preserve"> </w:t>
      </w:r>
      <w:r>
        <w:rPr>
          <w:w w:val="105"/>
        </w:rPr>
        <w:t>ley</w:t>
      </w:r>
      <w:r>
        <w:rPr>
          <w:spacing w:val="-4"/>
          <w:w w:val="105"/>
        </w:rPr>
        <w:t xml:space="preserve"> </w:t>
      </w:r>
      <w:r>
        <w:rPr>
          <w:w w:val="105"/>
        </w:rPr>
        <w:t>integral contra la discriminación contribuye positivamente a desafiar los prejuicios y los estereotipos. Si se aplican correctamente, estas leyes apoyan y promueven estos objetivos, entre otras cosas poniendo la ley en manos de las víctimas, permitiéndoles tomar medidas para buscar justicia y, por lo tanto, exponer la discriminación y sus causas. La promulgación de tales leyes envía señales importantes a la sociedad en general sobre el valor y la importancia de la no discriminación y la disposición</w:t>
      </w:r>
    </w:p>
    <w:p w14:paraId="11E45967" w14:textId="77777777" w:rsidR="0014798C" w:rsidRDefault="004E1F0B">
      <w:pPr>
        <w:pStyle w:val="Textoindependiente"/>
        <w:spacing w:line="326" w:lineRule="auto"/>
        <w:ind w:left="1108" w:right="1272" w:firstLine="1"/>
      </w:pPr>
      <w:r>
        <w:rPr>
          <w:w w:val="105"/>
        </w:rPr>
        <w:t>del Estado para abordar la desigualdad. Al establecer los derechos que permiten a las víctimas desafiar la discriminación contra</w:t>
      </w:r>
      <w:r>
        <w:rPr>
          <w:spacing w:val="-4"/>
          <w:w w:val="105"/>
        </w:rPr>
        <w:t xml:space="preserve"> </w:t>
      </w:r>
      <w:r>
        <w:rPr>
          <w:w w:val="105"/>
        </w:rPr>
        <w:t>ellas,</w:t>
      </w:r>
      <w:r>
        <w:rPr>
          <w:spacing w:val="-3"/>
          <w:w w:val="105"/>
        </w:rPr>
        <w:t xml:space="preserve"> </w:t>
      </w:r>
      <w:r>
        <w:rPr>
          <w:w w:val="105"/>
        </w:rPr>
        <w:t>estas</w:t>
      </w:r>
      <w:r>
        <w:rPr>
          <w:spacing w:val="-4"/>
          <w:w w:val="105"/>
        </w:rPr>
        <w:t xml:space="preserve"> </w:t>
      </w:r>
      <w:r>
        <w:rPr>
          <w:w w:val="105"/>
        </w:rPr>
        <w:t>leyes</w:t>
      </w:r>
      <w:r>
        <w:rPr>
          <w:spacing w:val="-4"/>
          <w:w w:val="105"/>
        </w:rPr>
        <w:t xml:space="preserve"> </w:t>
      </w:r>
      <w:r>
        <w:rPr>
          <w:w w:val="105"/>
        </w:rPr>
        <w:t>también</w:t>
      </w:r>
      <w:r>
        <w:rPr>
          <w:spacing w:val="-4"/>
          <w:w w:val="105"/>
        </w:rPr>
        <w:t xml:space="preserve"> </w:t>
      </w:r>
      <w:r>
        <w:rPr>
          <w:w w:val="105"/>
        </w:rPr>
        <w:t>establecen</w:t>
      </w:r>
      <w:r>
        <w:rPr>
          <w:spacing w:val="-4"/>
          <w:w w:val="105"/>
        </w:rPr>
        <w:t xml:space="preserve"> </w:t>
      </w:r>
      <w:r>
        <w:rPr>
          <w:w w:val="105"/>
        </w:rPr>
        <w:t>deberes</w:t>
      </w:r>
      <w:r>
        <w:rPr>
          <w:spacing w:val="-4"/>
          <w:w w:val="105"/>
        </w:rPr>
        <w:t xml:space="preserve"> </w:t>
      </w:r>
      <w:r>
        <w:rPr>
          <w:w w:val="105"/>
        </w:rPr>
        <w:t>que</w:t>
      </w:r>
      <w:r>
        <w:rPr>
          <w:spacing w:val="-4"/>
          <w:w w:val="105"/>
        </w:rPr>
        <w:t xml:space="preserve"> </w:t>
      </w:r>
      <w:r>
        <w:rPr>
          <w:w w:val="105"/>
        </w:rPr>
        <w:t>impulsan</w:t>
      </w:r>
      <w:r>
        <w:rPr>
          <w:spacing w:val="-3"/>
          <w:w w:val="105"/>
        </w:rPr>
        <w:t xml:space="preserve"> </w:t>
      </w:r>
      <w:r>
        <w:rPr>
          <w:w w:val="105"/>
        </w:rPr>
        <w:t>cambios</w:t>
      </w:r>
      <w:r>
        <w:rPr>
          <w:spacing w:val="-4"/>
          <w:w w:val="105"/>
        </w:rPr>
        <w:t xml:space="preserve"> </w:t>
      </w:r>
      <w:r>
        <w:rPr>
          <w:w w:val="105"/>
        </w:rPr>
        <w:t>de</w:t>
      </w:r>
      <w:r>
        <w:rPr>
          <w:spacing w:val="-4"/>
          <w:w w:val="105"/>
        </w:rPr>
        <w:t xml:space="preserve"> </w:t>
      </w:r>
      <w:r>
        <w:rPr>
          <w:w w:val="105"/>
        </w:rPr>
        <w:t>comportamiento</w:t>
      </w:r>
      <w:r>
        <w:rPr>
          <w:spacing w:val="-4"/>
          <w:w w:val="105"/>
        </w:rPr>
        <w:t xml:space="preserve"> </w:t>
      </w:r>
      <w:r>
        <w:rPr>
          <w:w w:val="105"/>
        </w:rPr>
        <w:t>por</w:t>
      </w:r>
      <w:r>
        <w:rPr>
          <w:spacing w:val="-4"/>
          <w:w w:val="105"/>
        </w:rPr>
        <w:t xml:space="preserve"> </w:t>
      </w:r>
      <w:r>
        <w:rPr>
          <w:w w:val="105"/>
        </w:rPr>
        <w:t>parte</w:t>
      </w:r>
      <w:r>
        <w:rPr>
          <w:spacing w:val="-4"/>
          <w:w w:val="105"/>
        </w:rPr>
        <w:t xml:space="preserve"> </w:t>
      </w:r>
      <w:r>
        <w:rPr>
          <w:w w:val="105"/>
        </w:rPr>
        <w:t>de</w:t>
      </w:r>
      <w:r>
        <w:rPr>
          <w:spacing w:val="-4"/>
          <w:w w:val="105"/>
        </w:rPr>
        <w:t xml:space="preserve"> </w:t>
      </w:r>
      <w:r>
        <w:rPr>
          <w:w w:val="105"/>
        </w:rPr>
        <w:t>las</w:t>
      </w:r>
      <w:r>
        <w:rPr>
          <w:spacing w:val="-4"/>
          <w:w w:val="105"/>
        </w:rPr>
        <w:t xml:space="preserve"> </w:t>
      </w:r>
      <w:r>
        <w:rPr>
          <w:w w:val="105"/>
        </w:rPr>
        <w:t>instituciones públicas y privadas. Si se implementan y hacen cumplir adecuadamente, las leyes contra la discriminación conducen a cambios en las políticas y prácticas que eliminan barreras y permiten una participación igualitaria, aumentando así la representación y desafiando prejuicios y estereotipos basados en la ignorancia y la exclusión.</w:t>
      </w:r>
    </w:p>
    <w:p w14:paraId="0046889B" w14:textId="77777777" w:rsidR="0014798C" w:rsidRDefault="0014798C">
      <w:pPr>
        <w:pStyle w:val="Textoindependiente"/>
        <w:rPr>
          <w:sz w:val="13"/>
        </w:rPr>
      </w:pPr>
    </w:p>
    <w:p w14:paraId="2CF36106" w14:textId="77777777" w:rsidR="0014798C" w:rsidRDefault="0014798C">
      <w:pPr>
        <w:pStyle w:val="Textoindependiente"/>
        <w:spacing w:before="112"/>
        <w:rPr>
          <w:sz w:val="13"/>
        </w:rPr>
      </w:pPr>
    </w:p>
    <w:p w14:paraId="0FDDFE4C" w14:textId="77777777" w:rsidR="0014798C" w:rsidRDefault="004E1F0B">
      <w:pPr>
        <w:ind w:left="1111"/>
        <w:rPr>
          <w:sz w:val="13"/>
        </w:rPr>
      </w:pPr>
      <w:r>
        <w:rPr>
          <w:w w:val="105"/>
          <w:sz w:val="13"/>
        </w:rPr>
        <w:t>1226</w:t>
      </w:r>
      <w:r>
        <w:rPr>
          <w:spacing w:val="-5"/>
          <w:w w:val="105"/>
          <w:sz w:val="13"/>
        </w:rPr>
        <w:t xml:space="preserve"> </w:t>
      </w:r>
      <w:r>
        <w:rPr>
          <w:w w:val="105"/>
          <w:sz w:val="13"/>
        </w:rPr>
        <w:t>Comité</w:t>
      </w:r>
      <w:r>
        <w:rPr>
          <w:spacing w:val="-5"/>
          <w:w w:val="105"/>
          <w:sz w:val="13"/>
        </w:rPr>
        <w:t xml:space="preserve"> </w:t>
      </w:r>
      <w:r>
        <w:rPr>
          <w:w w:val="105"/>
          <w:sz w:val="13"/>
        </w:rPr>
        <w:t>de</w:t>
      </w:r>
      <w:r>
        <w:rPr>
          <w:spacing w:val="-5"/>
          <w:w w:val="105"/>
          <w:sz w:val="13"/>
        </w:rPr>
        <w:t xml:space="preserve"> </w:t>
      </w:r>
      <w:r>
        <w:rPr>
          <w:w w:val="105"/>
          <w:sz w:val="13"/>
        </w:rPr>
        <w:t>Derechos</w:t>
      </w:r>
      <w:r>
        <w:rPr>
          <w:spacing w:val="-5"/>
          <w:w w:val="105"/>
          <w:sz w:val="13"/>
        </w:rPr>
        <w:t xml:space="preserve"> </w:t>
      </w:r>
      <w:r>
        <w:rPr>
          <w:w w:val="105"/>
          <w:sz w:val="13"/>
        </w:rPr>
        <w:t>Económicos,</w:t>
      </w:r>
      <w:r>
        <w:rPr>
          <w:spacing w:val="-5"/>
          <w:w w:val="105"/>
          <w:sz w:val="13"/>
        </w:rPr>
        <w:t xml:space="preserve"> </w:t>
      </w:r>
      <w:r>
        <w:rPr>
          <w:w w:val="105"/>
          <w:sz w:val="13"/>
        </w:rPr>
        <w:t>Sociales</w:t>
      </w:r>
      <w:r>
        <w:rPr>
          <w:spacing w:val="-4"/>
          <w:w w:val="105"/>
          <w:sz w:val="13"/>
        </w:rPr>
        <w:t xml:space="preserve"> </w:t>
      </w:r>
      <w:r>
        <w:rPr>
          <w:w w:val="105"/>
          <w:sz w:val="13"/>
        </w:rPr>
        <w:t>y</w:t>
      </w:r>
      <w:r>
        <w:rPr>
          <w:spacing w:val="-5"/>
          <w:w w:val="105"/>
          <w:sz w:val="13"/>
        </w:rPr>
        <w:t xml:space="preserve"> </w:t>
      </w:r>
      <w:r>
        <w:rPr>
          <w:w w:val="105"/>
          <w:sz w:val="13"/>
        </w:rPr>
        <w:t>Culturales,</w:t>
      </w:r>
      <w:r>
        <w:rPr>
          <w:spacing w:val="-5"/>
          <w:w w:val="105"/>
          <w:sz w:val="13"/>
        </w:rPr>
        <w:t xml:space="preserve"> </w:t>
      </w:r>
      <w:r>
        <w:rPr>
          <w:w w:val="105"/>
          <w:sz w:val="13"/>
        </w:rPr>
        <w:t>observación</w:t>
      </w:r>
      <w:r>
        <w:rPr>
          <w:spacing w:val="-5"/>
          <w:w w:val="105"/>
          <w:sz w:val="13"/>
        </w:rPr>
        <w:t xml:space="preserve"> </w:t>
      </w:r>
      <w:r>
        <w:rPr>
          <w:w w:val="105"/>
          <w:sz w:val="13"/>
        </w:rPr>
        <w:t>general</w:t>
      </w:r>
      <w:r>
        <w:rPr>
          <w:spacing w:val="-5"/>
          <w:w w:val="105"/>
          <w:sz w:val="13"/>
        </w:rPr>
        <w:t xml:space="preserve"> </w:t>
      </w:r>
      <w:r>
        <w:rPr>
          <w:w w:val="105"/>
          <w:sz w:val="13"/>
        </w:rPr>
        <w:t>núm.</w:t>
      </w:r>
      <w:r>
        <w:rPr>
          <w:spacing w:val="-4"/>
          <w:w w:val="105"/>
          <w:sz w:val="13"/>
        </w:rPr>
        <w:t xml:space="preserve"> </w:t>
      </w:r>
      <w:r>
        <w:rPr>
          <w:w w:val="105"/>
          <w:sz w:val="13"/>
        </w:rPr>
        <w:t>20</w:t>
      </w:r>
      <w:r>
        <w:rPr>
          <w:spacing w:val="-5"/>
          <w:w w:val="105"/>
          <w:sz w:val="13"/>
        </w:rPr>
        <w:t xml:space="preserve"> </w:t>
      </w:r>
      <w:r>
        <w:rPr>
          <w:w w:val="105"/>
          <w:sz w:val="13"/>
        </w:rPr>
        <w:t>(2009),</w:t>
      </w:r>
      <w:r>
        <w:rPr>
          <w:spacing w:val="-4"/>
          <w:w w:val="105"/>
          <w:sz w:val="13"/>
        </w:rPr>
        <w:t xml:space="preserve"> </w:t>
      </w:r>
      <w:r>
        <w:rPr>
          <w:w w:val="105"/>
          <w:sz w:val="13"/>
        </w:rPr>
        <w:t>párr.</w:t>
      </w:r>
      <w:r>
        <w:rPr>
          <w:spacing w:val="-4"/>
          <w:w w:val="105"/>
          <w:sz w:val="13"/>
        </w:rPr>
        <w:t xml:space="preserve"> 8b).</w:t>
      </w:r>
    </w:p>
    <w:p w14:paraId="527166AD" w14:textId="77777777" w:rsidR="0014798C" w:rsidRDefault="0014798C">
      <w:pPr>
        <w:pStyle w:val="Textoindependiente"/>
      </w:pPr>
    </w:p>
    <w:p w14:paraId="637CD61C" w14:textId="77777777" w:rsidR="0014798C" w:rsidRDefault="0014798C">
      <w:pPr>
        <w:pStyle w:val="Textoindependiente"/>
      </w:pPr>
    </w:p>
    <w:p w14:paraId="472ED327" w14:textId="77777777" w:rsidR="0014798C" w:rsidRDefault="0014798C">
      <w:pPr>
        <w:pStyle w:val="Textoindependiente"/>
        <w:spacing w:before="106"/>
      </w:pPr>
    </w:p>
    <w:p w14:paraId="6A6756FB" w14:textId="77777777" w:rsidR="0014798C" w:rsidRDefault="004E1F0B">
      <w:pPr>
        <w:pStyle w:val="Textoindependiente"/>
        <w:ind w:right="717"/>
        <w:jc w:val="right"/>
      </w:pPr>
      <w:r>
        <w:rPr>
          <w:spacing w:val="-5"/>
          <w:w w:val="105"/>
        </w:rPr>
        <w:t>191</w:t>
      </w:r>
    </w:p>
    <w:p w14:paraId="1980D6E5" w14:textId="77777777" w:rsidR="0014798C" w:rsidRDefault="0014798C">
      <w:pPr>
        <w:jc w:val="right"/>
        <w:sectPr w:rsidR="0014798C" w:rsidSect="00F265E4">
          <w:headerReference w:type="default" r:id="rId352"/>
          <w:pgSz w:w="11900" w:h="16820"/>
          <w:pgMar w:top="340" w:right="0" w:bottom="0" w:left="200" w:header="121" w:footer="0" w:gutter="0"/>
          <w:cols w:space="720"/>
        </w:sectPr>
      </w:pPr>
    </w:p>
    <w:p w14:paraId="7EC0BE65" w14:textId="77777777" w:rsidR="0014798C" w:rsidRDefault="0014798C">
      <w:pPr>
        <w:pStyle w:val="Textoindependiente"/>
        <w:spacing w:before="85"/>
        <w:rPr>
          <w:sz w:val="12"/>
        </w:rPr>
      </w:pPr>
    </w:p>
    <w:p w14:paraId="4355132A" w14:textId="77777777" w:rsidR="0014798C" w:rsidRDefault="004E1F0B">
      <w:pPr>
        <w:ind w:left="1111"/>
        <w:rPr>
          <w:sz w:val="12"/>
        </w:rPr>
      </w:pPr>
      <w:r>
        <w:rPr>
          <w:color w:val="FBB315"/>
          <w:sz w:val="12"/>
        </w:rPr>
        <w:t>PROTECCIÓN</w:t>
      </w:r>
      <w:r>
        <w:rPr>
          <w:color w:val="FBB315"/>
          <w:spacing w:val="6"/>
          <w:sz w:val="12"/>
        </w:rPr>
        <w:t xml:space="preserve"> </w:t>
      </w:r>
      <w:r>
        <w:rPr>
          <w:color w:val="FBB315"/>
          <w:sz w:val="12"/>
        </w:rPr>
        <w:t>DE</w:t>
      </w:r>
      <w:r>
        <w:rPr>
          <w:color w:val="FBB315"/>
          <w:spacing w:val="7"/>
          <w:sz w:val="12"/>
        </w:rPr>
        <w:t xml:space="preserve"> </w:t>
      </w:r>
      <w:r>
        <w:rPr>
          <w:color w:val="FBB315"/>
          <w:sz w:val="12"/>
        </w:rPr>
        <w:t>LOS</w:t>
      </w:r>
      <w:r>
        <w:rPr>
          <w:color w:val="FBB315"/>
          <w:spacing w:val="8"/>
          <w:sz w:val="12"/>
        </w:rPr>
        <w:t xml:space="preserve"> </w:t>
      </w:r>
      <w:r>
        <w:rPr>
          <w:color w:val="FBB315"/>
          <w:sz w:val="12"/>
        </w:rPr>
        <w:t>DERECHOS</w:t>
      </w:r>
      <w:r>
        <w:rPr>
          <w:color w:val="FBB315"/>
          <w:spacing w:val="8"/>
          <w:sz w:val="12"/>
        </w:rPr>
        <w:t xml:space="preserve"> </w:t>
      </w:r>
      <w:r>
        <w:rPr>
          <w:color w:val="FBB315"/>
          <w:sz w:val="12"/>
        </w:rPr>
        <w:t>DE</w:t>
      </w:r>
      <w:r>
        <w:rPr>
          <w:color w:val="FBB315"/>
          <w:spacing w:val="6"/>
          <w:sz w:val="12"/>
        </w:rPr>
        <w:t xml:space="preserve"> </w:t>
      </w:r>
      <w:r>
        <w:rPr>
          <w:color w:val="FBB315"/>
          <w:sz w:val="12"/>
        </w:rPr>
        <w:t>LAS</w:t>
      </w:r>
      <w:r>
        <w:rPr>
          <w:color w:val="FBB315"/>
          <w:spacing w:val="7"/>
          <w:sz w:val="12"/>
        </w:rPr>
        <w:t xml:space="preserve"> </w:t>
      </w:r>
      <w:r>
        <w:rPr>
          <w:color w:val="FBB315"/>
          <w:sz w:val="12"/>
        </w:rPr>
        <w:t>MINORÍAS:</w:t>
      </w:r>
      <w:r>
        <w:rPr>
          <w:color w:val="FBB315"/>
          <w:spacing w:val="8"/>
          <w:sz w:val="12"/>
        </w:rPr>
        <w:t xml:space="preserve"> </w:t>
      </w:r>
      <w:r>
        <w:rPr>
          <w:color w:val="FBB315"/>
          <w:sz w:val="12"/>
        </w:rPr>
        <w:t>una</w:t>
      </w:r>
      <w:r>
        <w:rPr>
          <w:color w:val="FBB315"/>
          <w:spacing w:val="7"/>
          <w:sz w:val="12"/>
        </w:rPr>
        <w:t xml:space="preserve"> </w:t>
      </w:r>
      <w:r>
        <w:rPr>
          <w:color w:val="FBB315"/>
          <w:sz w:val="12"/>
        </w:rPr>
        <w:t>guía</w:t>
      </w:r>
      <w:r>
        <w:rPr>
          <w:color w:val="FBB315"/>
          <w:spacing w:val="6"/>
          <w:sz w:val="12"/>
        </w:rPr>
        <w:t xml:space="preserve"> </w:t>
      </w:r>
      <w:r>
        <w:rPr>
          <w:color w:val="FBB315"/>
          <w:sz w:val="12"/>
        </w:rPr>
        <w:t>práctica</w:t>
      </w:r>
      <w:r>
        <w:rPr>
          <w:color w:val="FBB315"/>
          <w:spacing w:val="7"/>
          <w:sz w:val="12"/>
        </w:rPr>
        <w:t xml:space="preserve"> </w:t>
      </w:r>
      <w:r>
        <w:rPr>
          <w:color w:val="FBB315"/>
          <w:sz w:val="12"/>
        </w:rPr>
        <w:t>para</w:t>
      </w:r>
      <w:r>
        <w:rPr>
          <w:color w:val="FBB315"/>
          <w:spacing w:val="8"/>
          <w:sz w:val="12"/>
        </w:rPr>
        <w:t xml:space="preserve"> </w:t>
      </w:r>
      <w:r>
        <w:rPr>
          <w:color w:val="FBB315"/>
          <w:sz w:val="12"/>
        </w:rPr>
        <w:t>desarrollar</w:t>
      </w:r>
      <w:r>
        <w:rPr>
          <w:color w:val="FBB315"/>
          <w:spacing w:val="6"/>
          <w:sz w:val="12"/>
        </w:rPr>
        <w:t xml:space="preserve"> </w:t>
      </w:r>
      <w:r>
        <w:rPr>
          <w:color w:val="FBB315"/>
          <w:sz w:val="12"/>
        </w:rPr>
        <w:t>una</w:t>
      </w:r>
      <w:r>
        <w:rPr>
          <w:color w:val="FBB315"/>
          <w:spacing w:val="7"/>
          <w:sz w:val="12"/>
        </w:rPr>
        <w:t xml:space="preserve"> </w:t>
      </w:r>
      <w:r>
        <w:rPr>
          <w:color w:val="FBB315"/>
          <w:sz w:val="12"/>
        </w:rPr>
        <w:t>legislación</w:t>
      </w:r>
      <w:r>
        <w:rPr>
          <w:color w:val="FBB315"/>
          <w:spacing w:val="8"/>
          <w:sz w:val="12"/>
        </w:rPr>
        <w:t xml:space="preserve"> </w:t>
      </w:r>
      <w:r>
        <w:rPr>
          <w:color w:val="FBB315"/>
          <w:sz w:val="12"/>
        </w:rPr>
        <w:t>integral</w:t>
      </w:r>
      <w:r>
        <w:rPr>
          <w:color w:val="FBB315"/>
          <w:spacing w:val="7"/>
          <w:sz w:val="12"/>
        </w:rPr>
        <w:t xml:space="preserve"> </w:t>
      </w:r>
      <w:r>
        <w:rPr>
          <w:color w:val="FBB315"/>
          <w:sz w:val="12"/>
        </w:rPr>
        <w:t>contra</w:t>
      </w:r>
      <w:r>
        <w:rPr>
          <w:color w:val="FBB315"/>
          <w:spacing w:val="6"/>
          <w:sz w:val="12"/>
        </w:rPr>
        <w:t xml:space="preserve"> </w:t>
      </w:r>
      <w:r>
        <w:rPr>
          <w:color w:val="FBB315"/>
          <w:sz w:val="12"/>
        </w:rPr>
        <w:t>la</w:t>
      </w:r>
      <w:r>
        <w:rPr>
          <w:color w:val="FBB315"/>
          <w:spacing w:val="7"/>
          <w:sz w:val="12"/>
        </w:rPr>
        <w:t xml:space="preserve"> </w:t>
      </w:r>
      <w:r>
        <w:rPr>
          <w:color w:val="FBB315"/>
          <w:spacing w:val="-2"/>
          <w:sz w:val="12"/>
        </w:rPr>
        <w:t>discriminación</w:t>
      </w:r>
    </w:p>
    <w:p w14:paraId="31CD1072" w14:textId="77777777" w:rsidR="0014798C" w:rsidRDefault="0014798C">
      <w:pPr>
        <w:pStyle w:val="Textoindependiente"/>
        <w:rPr>
          <w:sz w:val="14"/>
        </w:rPr>
      </w:pPr>
    </w:p>
    <w:p w14:paraId="22FCA541" w14:textId="77777777" w:rsidR="0014798C" w:rsidRDefault="0014798C">
      <w:pPr>
        <w:pStyle w:val="Textoindependiente"/>
        <w:rPr>
          <w:sz w:val="14"/>
        </w:rPr>
      </w:pPr>
    </w:p>
    <w:p w14:paraId="515C7F29" w14:textId="77777777" w:rsidR="0014798C" w:rsidRDefault="0014798C">
      <w:pPr>
        <w:pStyle w:val="Textoindependiente"/>
        <w:rPr>
          <w:sz w:val="14"/>
        </w:rPr>
      </w:pPr>
    </w:p>
    <w:p w14:paraId="64872BD9" w14:textId="77777777" w:rsidR="0014798C" w:rsidRDefault="0014798C">
      <w:pPr>
        <w:pStyle w:val="Textoindependiente"/>
        <w:rPr>
          <w:sz w:val="14"/>
        </w:rPr>
      </w:pPr>
    </w:p>
    <w:p w14:paraId="30AA0983" w14:textId="77777777" w:rsidR="0014798C" w:rsidRDefault="0014798C">
      <w:pPr>
        <w:pStyle w:val="Textoindependiente"/>
        <w:rPr>
          <w:sz w:val="14"/>
        </w:rPr>
      </w:pPr>
    </w:p>
    <w:p w14:paraId="063BACBA" w14:textId="77777777" w:rsidR="0014798C" w:rsidRDefault="0014798C">
      <w:pPr>
        <w:pStyle w:val="Textoindependiente"/>
        <w:spacing w:before="22"/>
        <w:rPr>
          <w:sz w:val="14"/>
        </w:rPr>
      </w:pPr>
    </w:p>
    <w:p w14:paraId="3A5E0FA5" w14:textId="77777777" w:rsidR="0014798C" w:rsidRDefault="004E1F0B">
      <w:pPr>
        <w:spacing w:line="372" w:lineRule="auto"/>
        <w:ind w:left="1107" w:right="1272" w:firstLine="1"/>
        <w:rPr>
          <w:sz w:val="14"/>
        </w:rPr>
      </w:pPr>
      <w:r>
        <w:rPr>
          <w:sz w:val="14"/>
        </w:rPr>
        <w:t>Sin</w:t>
      </w:r>
      <w:r>
        <w:rPr>
          <w:spacing w:val="-1"/>
          <w:sz w:val="14"/>
        </w:rPr>
        <w:t xml:space="preserve"> </w:t>
      </w:r>
      <w:r>
        <w:rPr>
          <w:sz w:val="14"/>
        </w:rPr>
        <w:t>embargo, la ley por sí sola será ineficaz</w:t>
      </w:r>
      <w:r>
        <w:rPr>
          <w:spacing w:val="-1"/>
          <w:sz w:val="14"/>
        </w:rPr>
        <w:t xml:space="preserve"> </w:t>
      </w:r>
      <w:r>
        <w:rPr>
          <w:sz w:val="14"/>
        </w:rPr>
        <w:t>sin suficiente</w:t>
      </w:r>
      <w:r>
        <w:rPr>
          <w:spacing w:val="-1"/>
          <w:sz w:val="14"/>
        </w:rPr>
        <w:t xml:space="preserve"> </w:t>
      </w:r>
      <w:r>
        <w:rPr>
          <w:sz w:val="14"/>
        </w:rPr>
        <w:t>compromiso y compromiso para abrir el sistema político</w:t>
      </w:r>
      <w:r>
        <w:rPr>
          <w:spacing w:val="-1"/>
          <w:sz w:val="14"/>
        </w:rPr>
        <w:t xml:space="preserve"> </w:t>
      </w:r>
      <w:r>
        <w:rPr>
          <w:sz w:val="14"/>
        </w:rPr>
        <w:t>a todos, con igual dignidad, de una</w:t>
      </w:r>
      <w:r>
        <w:rPr>
          <w:spacing w:val="40"/>
          <w:sz w:val="14"/>
        </w:rPr>
        <w:t xml:space="preserve"> </w:t>
      </w:r>
      <w:r>
        <w:rPr>
          <w:sz w:val="14"/>
        </w:rPr>
        <w:t>manera que fomente la comprensión humana, la solidaridad y el respeto por la diferencia.</w:t>
      </w:r>
    </w:p>
    <w:p w14:paraId="458B0FFF" w14:textId="77777777" w:rsidR="0014798C" w:rsidRDefault="004E1F0B">
      <w:pPr>
        <w:spacing w:line="171" w:lineRule="exact"/>
        <w:ind w:left="1112"/>
        <w:rPr>
          <w:sz w:val="17"/>
        </w:rPr>
      </w:pPr>
      <w:r>
        <w:rPr>
          <w:sz w:val="17"/>
        </w:rPr>
        <w:t>Los</w:t>
      </w:r>
      <w:r>
        <w:rPr>
          <w:spacing w:val="-5"/>
          <w:sz w:val="17"/>
        </w:rPr>
        <w:t xml:space="preserve"> </w:t>
      </w:r>
      <w:r>
        <w:rPr>
          <w:sz w:val="17"/>
        </w:rPr>
        <w:t>Estados</w:t>
      </w:r>
      <w:r>
        <w:rPr>
          <w:spacing w:val="-4"/>
          <w:sz w:val="17"/>
        </w:rPr>
        <w:t xml:space="preserve"> </w:t>
      </w:r>
      <w:r>
        <w:rPr>
          <w:sz w:val="17"/>
        </w:rPr>
        <w:t>deben</w:t>
      </w:r>
      <w:r>
        <w:rPr>
          <w:spacing w:val="-2"/>
          <w:sz w:val="17"/>
        </w:rPr>
        <w:t xml:space="preserve"> </w:t>
      </w:r>
      <w:r>
        <w:rPr>
          <w:sz w:val="17"/>
        </w:rPr>
        <w:t>tomar</w:t>
      </w:r>
      <w:r>
        <w:rPr>
          <w:spacing w:val="-4"/>
          <w:sz w:val="17"/>
        </w:rPr>
        <w:t xml:space="preserve"> </w:t>
      </w:r>
      <w:r>
        <w:rPr>
          <w:sz w:val="17"/>
        </w:rPr>
        <w:t>medidas</w:t>
      </w:r>
      <w:r>
        <w:rPr>
          <w:spacing w:val="-3"/>
          <w:sz w:val="17"/>
        </w:rPr>
        <w:t xml:space="preserve"> </w:t>
      </w:r>
      <w:r>
        <w:rPr>
          <w:sz w:val="17"/>
        </w:rPr>
        <w:t>en</w:t>
      </w:r>
      <w:r>
        <w:rPr>
          <w:spacing w:val="-3"/>
          <w:sz w:val="17"/>
        </w:rPr>
        <w:t xml:space="preserve"> </w:t>
      </w:r>
      <w:r>
        <w:rPr>
          <w:sz w:val="17"/>
        </w:rPr>
        <w:t>toda</w:t>
      </w:r>
      <w:r>
        <w:rPr>
          <w:spacing w:val="-4"/>
          <w:sz w:val="17"/>
        </w:rPr>
        <w:t xml:space="preserve"> </w:t>
      </w:r>
      <w:r>
        <w:rPr>
          <w:sz w:val="17"/>
        </w:rPr>
        <w:t>la</w:t>
      </w:r>
      <w:r>
        <w:rPr>
          <w:spacing w:val="-2"/>
          <w:sz w:val="17"/>
        </w:rPr>
        <w:t xml:space="preserve"> </w:t>
      </w:r>
      <w:r>
        <w:rPr>
          <w:sz w:val="17"/>
        </w:rPr>
        <w:t>gama</w:t>
      </w:r>
      <w:r>
        <w:rPr>
          <w:spacing w:val="-3"/>
          <w:sz w:val="17"/>
        </w:rPr>
        <w:t xml:space="preserve"> </w:t>
      </w:r>
      <w:r>
        <w:rPr>
          <w:sz w:val="17"/>
        </w:rPr>
        <w:t>de</w:t>
      </w:r>
      <w:r>
        <w:rPr>
          <w:spacing w:val="-2"/>
          <w:sz w:val="17"/>
        </w:rPr>
        <w:t xml:space="preserve"> </w:t>
      </w:r>
      <w:r>
        <w:rPr>
          <w:sz w:val="17"/>
        </w:rPr>
        <w:t>leyes,</w:t>
      </w:r>
      <w:r>
        <w:rPr>
          <w:spacing w:val="-3"/>
          <w:sz w:val="17"/>
        </w:rPr>
        <w:t xml:space="preserve"> </w:t>
      </w:r>
      <w:r>
        <w:rPr>
          <w:sz w:val="17"/>
        </w:rPr>
        <w:t>políticas,</w:t>
      </w:r>
      <w:r>
        <w:rPr>
          <w:spacing w:val="-3"/>
          <w:sz w:val="17"/>
        </w:rPr>
        <w:t xml:space="preserve"> </w:t>
      </w:r>
      <w:r>
        <w:rPr>
          <w:sz w:val="17"/>
        </w:rPr>
        <w:t>programación</w:t>
      </w:r>
      <w:r>
        <w:rPr>
          <w:spacing w:val="-2"/>
          <w:sz w:val="17"/>
        </w:rPr>
        <w:t xml:space="preserve"> </w:t>
      </w:r>
      <w:r>
        <w:rPr>
          <w:sz w:val="17"/>
        </w:rPr>
        <w:t>y</w:t>
      </w:r>
      <w:r>
        <w:rPr>
          <w:spacing w:val="-3"/>
          <w:sz w:val="17"/>
        </w:rPr>
        <w:t xml:space="preserve"> </w:t>
      </w:r>
      <w:r>
        <w:rPr>
          <w:sz w:val="17"/>
        </w:rPr>
        <w:t>gastos.</w:t>
      </w:r>
      <w:r>
        <w:rPr>
          <w:spacing w:val="-2"/>
          <w:sz w:val="17"/>
        </w:rPr>
        <w:t xml:space="preserve"> </w:t>
      </w:r>
      <w:r>
        <w:rPr>
          <w:sz w:val="17"/>
        </w:rPr>
        <w:t>Estas</w:t>
      </w:r>
      <w:r>
        <w:rPr>
          <w:spacing w:val="-4"/>
          <w:sz w:val="17"/>
        </w:rPr>
        <w:t xml:space="preserve"> </w:t>
      </w:r>
      <w:r>
        <w:rPr>
          <w:sz w:val="17"/>
        </w:rPr>
        <w:t>acciones</w:t>
      </w:r>
      <w:r>
        <w:rPr>
          <w:spacing w:val="-3"/>
          <w:sz w:val="17"/>
        </w:rPr>
        <w:t xml:space="preserve"> </w:t>
      </w:r>
      <w:r>
        <w:rPr>
          <w:spacing w:val="-2"/>
          <w:sz w:val="17"/>
        </w:rPr>
        <w:t>deberían</w:t>
      </w:r>
    </w:p>
    <w:p w14:paraId="02F1886D" w14:textId="77777777" w:rsidR="0014798C" w:rsidRDefault="004E1F0B">
      <w:pPr>
        <w:spacing w:before="55"/>
        <w:ind w:left="1112"/>
        <w:rPr>
          <w:sz w:val="17"/>
        </w:rPr>
      </w:pPr>
      <w:r>
        <w:rPr>
          <w:sz w:val="17"/>
        </w:rPr>
        <w:t>ser</w:t>
      </w:r>
      <w:r>
        <w:rPr>
          <w:spacing w:val="-6"/>
          <w:sz w:val="17"/>
        </w:rPr>
        <w:t xml:space="preserve"> </w:t>
      </w:r>
      <w:r>
        <w:rPr>
          <w:sz w:val="17"/>
        </w:rPr>
        <w:t>exigidas</w:t>
      </w:r>
      <w:r>
        <w:rPr>
          <w:spacing w:val="-5"/>
          <w:sz w:val="17"/>
        </w:rPr>
        <w:t xml:space="preserve"> </w:t>
      </w:r>
      <w:r>
        <w:rPr>
          <w:sz w:val="17"/>
        </w:rPr>
        <w:t>y</w:t>
      </w:r>
      <w:r>
        <w:rPr>
          <w:spacing w:val="-4"/>
          <w:sz w:val="17"/>
        </w:rPr>
        <w:t xml:space="preserve"> </w:t>
      </w:r>
      <w:r>
        <w:rPr>
          <w:sz w:val="17"/>
        </w:rPr>
        <w:t>ejecutables</w:t>
      </w:r>
      <w:r>
        <w:rPr>
          <w:spacing w:val="-4"/>
          <w:sz w:val="17"/>
        </w:rPr>
        <w:t xml:space="preserve"> </w:t>
      </w:r>
      <w:r>
        <w:rPr>
          <w:sz w:val="17"/>
        </w:rPr>
        <w:t>en</w:t>
      </w:r>
      <w:r>
        <w:rPr>
          <w:spacing w:val="-4"/>
          <w:sz w:val="17"/>
        </w:rPr>
        <w:t xml:space="preserve"> </w:t>
      </w:r>
      <w:r>
        <w:rPr>
          <w:sz w:val="17"/>
        </w:rPr>
        <w:t>virtud</w:t>
      </w:r>
      <w:r>
        <w:rPr>
          <w:spacing w:val="-4"/>
          <w:sz w:val="17"/>
        </w:rPr>
        <w:t xml:space="preserve"> </w:t>
      </w:r>
      <w:r>
        <w:rPr>
          <w:sz w:val="17"/>
        </w:rPr>
        <w:t>de</w:t>
      </w:r>
      <w:r>
        <w:rPr>
          <w:spacing w:val="-4"/>
          <w:sz w:val="17"/>
        </w:rPr>
        <w:t xml:space="preserve"> </w:t>
      </w:r>
      <w:r>
        <w:rPr>
          <w:sz w:val="17"/>
        </w:rPr>
        <w:t>la</w:t>
      </w:r>
      <w:r>
        <w:rPr>
          <w:spacing w:val="-4"/>
          <w:sz w:val="17"/>
        </w:rPr>
        <w:t xml:space="preserve"> </w:t>
      </w:r>
      <w:r>
        <w:rPr>
          <w:sz w:val="17"/>
        </w:rPr>
        <w:t>legislación</w:t>
      </w:r>
      <w:r>
        <w:rPr>
          <w:spacing w:val="-3"/>
          <w:sz w:val="17"/>
        </w:rPr>
        <w:t xml:space="preserve"> </w:t>
      </w:r>
      <w:r>
        <w:rPr>
          <w:sz w:val="17"/>
        </w:rPr>
        <w:t>contra</w:t>
      </w:r>
      <w:r>
        <w:rPr>
          <w:spacing w:val="-4"/>
          <w:sz w:val="17"/>
        </w:rPr>
        <w:t xml:space="preserve"> </w:t>
      </w:r>
      <w:r>
        <w:rPr>
          <w:sz w:val="17"/>
        </w:rPr>
        <w:t>la</w:t>
      </w:r>
      <w:r>
        <w:rPr>
          <w:spacing w:val="-4"/>
          <w:sz w:val="17"/>
        </w:rPr>
        <w:t xml:space="preserve"> </w:t>
      </w:r>
      <w:r>
        <w:rPr>
          <w:sz w:val="17"/>
        </w:rPr>
        <w:t>discriminación,</w:t>
      </w:r>
      <w:r>
        <w:rPr>
          <w:spacing w:val="-3"/>
          <w:sz w:val="17"/>
        </w:rPr>
        <w:t xml:space="preserve"> </w:t>
      </w:r>
      <w:r>
        <w:rPr>
          <w:sz w:val="17"/>
        </w:rPr>
        <w:t>pero</w:t>
      </w:r>
      <w:r>
        <w:rPr>
          <w:spacing w:val="-4"/>
          <w:sz w:val="17"/>
        </w:rPr>
        <w:t xml:space="preserve"> </w:t>
      </w:r>
      <w:r>
        <w:rPr>
          <w:sz w:val="17"/>
        </w:rPr>
        <w:t>la</w:t>
      </w:r>
      <w:r>
        <w:rPr>
          <w:spacing w:val="-3"/>
          <w:sz w:val="17"/>
        </w:rPr>
        <w:t xml:space="preserve"> </w:t>
      </w:r>
      <w:r>
        <w:rPr>
          <w:sz w:val="17"/>
        </w:rPr>
        <w:t>legislación</w:t>
      </w:r>
      <w:r>
        <w:rPr>
          <w:spacing w:val="-4"/>
          <w:sz w:val="17"/>
        </w:rPr>
        <w:t xml:space="preserve"> </w:t>
      </w:r>
      <w:r>
        <w:rPr>
          <w:sz w:val="17"/>
        </w:rPr>
        <w:t>sólo</w:t>
      </w:r>
      <w:r>
        <w:rPr>
          <w:spacing w:val="-4"/>
          <w:sz w:val="17"/>
        </w:rPr>
        <w:t xml:space="preserve"> </w:t>
      </w:r>
      <w:r>
        <w:rPr>
          <w:sz w:val="17"/>
        </w:rPr>
        <w:t>proporcionará</w:t>
      </w:r>
      <w:r>
        <w:rPr>
          <w:spacing w:val="-4"/>
          <w:sz w:val="17"/>
        </w:rPr>
        <w:t xml:space="preserve"> </w:t>
      </w:r>
      <w:r>
        <w:rPr>
          <w:sz w:val="17"/>
        </w:rPr>
        <w:t>el</w:t>
      </w:r>
      <w:r>
        <w:rPr>
          <w:spacing w:val="-3"/>
          <w:sz w:val="17"/>
        </w:rPr>
        <w:t xml:space="preserve"> </w:t>
      </w:r>
      <w:r>
        <w:rPr>
          <w:spacing w:val="-2"/>
          <w:sz w:val="17"/>
        </w:rPr>
        <w:t>marco.</w:t>
      </w:r>
    </w:p>
    <w:p w14:paraId="070B6876" w14:textId="77777777" w:rsidR="0014798C" w:rsidRDefault="0014798C">
      <w:pPr>
        <w:pStyle w:val="Textoindependiente"/>
        <w:spacing w:before="87"/>
        <w:rPr>
          <w:sz w:val="14"/>
        </w:rPr>
      </w:pPr>
    </w:p>
    <w:p w14:paraId="5BB32673" w14:textId="77777777" w:rsidR="0014798C" w:rsidRDefault="004E1F0B">
      <w:pPr>
        <w:spacing w:line="372" w:lineRule="auto"/>
        <w:ind w:left="1107" w:right="1378" w:hanging="1"/>
        <w:rPr>
          <w:sz w:val="14"/>
        </w:rPr>
      </w:pPr>
      <w:r>
        <w:rPr>
          <w:sz w:val="14"/>
        </w:rPr>
        <w:t>Por</w:t>
      </w:r>
      <w:r>
        <w:rPr>
          <w:spacing w:val="-1"/>
          <w:sz w:val="14"/>
        </w:rPr>
        <w:t xml:space="preserve"> </w:t>
      </w:r>
      <w:r>
        <w:rPr>
          <w:sz w:val="14"/>
        </w:rPr>
        <w:t>lo tanto, estas</w:t>
      </w:r>
      <w:r>
        <w:rPr>
          <w:spacing w:val="-1"/>
          <w:sz w:val="14"/>
        </w:rPr>
        <w:t xml:space="preserve"> </w:t>
      </w:r>
      <w:r>
        <w:rPr>
          <w:sz w:val="14"/>
        </w:rPr>
        <w:t>obligaciones</w:t>
      </w:r>
      <w:r>
        <w:rPr>
          <w:spacing w:val="-1"/>
          <w:sz w:val="14"/>
        </w:rPr>
        <w:t xml:space="preserve"> </w:t>
      </w:r>
      <w:r>
        <w:rPr>
          <w:sz w:val="14"/>
        </w:rPr>
        <w:t>proactivas</w:t>
      </w:r>
      <w:r>
        <w:rPr>
          <w:spacing w:val="-1"/>
          <w:sz w:val="14"/>
        </w:rPr>
        <w:t xml:space="preserve"> </w:t>
      </w:r>
      <w:r>
        <w:rPr>
          <w:sz w:val="14"/>
        </w:rPr>
        <w:t>existen</w:t>
      </w:r>
      <w:r>
        <w:rPr>
          <w:spacing w:val="-1"/>
          <w:sz w:val="14"/>
        </w:rPr>
        <w:t xml:space="preserve"> </w:t>
      </w:r>
      <w:r>
        <w:rPr>
          <w:sz w:val="14"/>
        </w:rPr>
        <w:t>tanto</w:t>
      </w:r>
      <w:r>
        <w:rPr>
          <w:spacing w:val="-1"/>
          <w:sz w:val="14"/>
        </w:rPr>
        <w:t xml:space="preserve"> </w:t>
      </w:r>
      <w:r>
        <w:rPr>
          <w:sz w:val="14"/>
        </w:rPr>
        <w:t>dentro</w:t>
      </w:r>
      <w:r>
        <w:rPr>
          <w:spacing w:val="-1"/>
          <w:sz w:val="14"/>
        </w:rPr>
        <w:t xml:space="preserve"> </w:t>
      </w:r>
      <w:r>
        <w:rPr>
          <w:sz w:val="14"/>
        </w:rPr>
        <w:t>como fuera</w:t>
      </w:r>
      <w:r>
        <w:rPr>
          <w:spacing w:val="-1"/>
          <w:sz w:val="14"/>
        </w:rPr>
        <w:t xml:space="preserve"> </w:t>
      </w:r>
      <w:r>
        <w:rPr>
          <w:sz w:val="14"/>
        </w:rPr>
        <w:t>de la ley antidiscriminación. La obligación de tomar</w:t>
      </w:r>
      <w:r>
        <w:rPr>
          <w:spacing w:val="-1"/>
          <w:sz w:val="14"/>
        </w:rPr>
        <w:t xml:space="preserve"> </w:t>
      </w:r>
      <w:r>
        <w:rPr>
          <w:sz w:val="14"/>
        </w:rPr>
        <w:t>estas</w:t>
      </w:r>
      <w:r>
        <w:rPr>
          <w:spacing w:val="-1"/>
          <w:sz w:val="14"/>
        </w:rPr>
        <w:t xml:space="preserve"> </w:t>
      </w:r>
      <w:r>
        <w:rPr>
          <w:sz w:val="14"/>
        </w:rPr>
        <w:t>medidas</w:t>
      </w:r>
      <w:r>
        <w:rPr>
          <w:spacing w:val="-1"/>
          <w:sz w:val="14"/>
        </w:rPr>
        <w:t xml:space="preserve"> </w:t>
      </w:r>
      <w:r>
        <w:rPr>
          <w:sz w:val="14"/>
        </w:rPr>
        <w:t>existe</w:t>
      </w:r>
      <w:r>
        <w:rPr>
          <w:spacing w:val="40"/>
          <w:sz w:val="14"/>
        </w:rPr>
        <w:t xml:space="preserve"> </w:t>
      </w:r>
      <w:r>
        <w:rPr>
          <w:sz w:val="14"/>
        </w:rPr>
        <w:t>en paralelo a la obligación de adoptar, hacer cumplir e implementar legislación: es una obligación inmediata que no está subsumida ni cumplida por</w:t>
      </w:r>
      <w:r>
        <w:rPr>
          <w:spacing w:val="40"/>
          <w:sz w:val="14"/>
        </w:rPr>
        <w:t xml:space="preserve"> </w:t>
      </w:r>
      <w:r>
        <w:rPr>
          <w:sz w:val="14"/>
        </w:rPr>
        <w:t>la obligación de legislar, sino que se sitúa junto a ella. Las leyes integrales contra la discriminación pueden y deben exigir y prever la adopción de</w:t>
      </w:r>
      <w:r>
        <w:rPr>
          <w:spacing w:val="40"/>
          <w:sz w:val="14"/>
        </w:rPr>
        <w:t xml:space="preserve"> </w:t>
      </w:r>
      <w:r>
        <w:rPr>
          <w:sz w:val="14"/>
        </w:rPr>
        <w:t>medidas proactivas para combatir los prejuicios, el estigma y los estereotipos y promover la diversidad. Estas leyes deberían establecer una</w:t>
      </w:r>
      <w:r>
        <w:rPr>
          <w:spacing w:val="40"/>
          <w:sz w:val="14"/>
        </w:rPr>
        <w:t xml:space="preserve"> </w:t>
      </w:r>
      <w:r>
        <w:rPr>
          <w:sz w:val="14"/>
        </w:rPr>
        <w:t>evaluación del impacto en materia de igualdad, deberes y órganos de igualdad, a través de los cuales se puedan identificar, diseñar e implementar</w:t>
      </w:r>
      <w:r>
        <w:rPr>
          <w:spacing w:val="40"/>
          <w:sz w:val="14"/>
        </w:rPr>
        <w:t xml:space="preserve"> </w:t>
      </w:r>
      <w:r>
        <w:rPr>
          <w:sz w:val="14"/>
        </w:rPr>
        <w:t>dichas medidas. Las leyes contra la discriminación también deben garantizar la aplicabilidad de estas obligaciones, permitiendo impugnaciones</w:t>
      </w:r>
      <w:r>
        <w:rPr>
          <w:spacing w:val="40"/>
          <w:sz w:val="14"/>
        </w:rPr>
        <w:t xml:space="preserve"> </w:t>
      </w:r>
      <w:r>
        <w:rPr>
          <w:sz w:val="14"/>
        </w:rPr>
        <w:t>legales contra el Estado por no implementar medidas apropiadas, oportunas y efectivas para abordar los estereotipos, los prejuicios y el estigma.</w:t>
      </w:r>
    </w:p>
    <w:p w14:paraId="02D6E15D" w14:textId="77777777" w:rsidR="0014798C" w:rsidRDefault="0014798C">
      <w:pPr>
        <w:pStyle w:val="Textoindependiente"/>
        <w:rPr>
          <w:sz w:val="14"/>
        </w:rPr>
      </w:pPr>
    </w:p>
    <w:p w14:paraId="08905DF1" w14:textId="77777777" w:rsidR="0014798C" w:rsidRDefault="0014798C">
      <w:pPr>
        <w:pStyle w:val="Textoindependiente"/>
        <w:rPr>
          <w:sz w:val="14"/>
        </w:rPr>
      </w:pPr>
    </w:p>
    <w:p w14:paraId="2570A006" w14:textId="77777777" w:rsidR="0014798C" w:rsidRDefault="0014798C">
      <w:pPr>
        <w:pStyle w:val="Textoindependiente"/>
        <w:rPr>
          <w:sz w:val="14"/>
        </w:rPr>
      </w:pPr>
    </w:p>
    <w:p w14:paraId="6CB7DCDC" w14:textId="77777777" w:rsidR="0014798C" w:rsidRDefault="0014798C">
      <w:pPr>
        <w:pStyle w:val="Textoindependiente"/>
        <w:spacing w:before="27"/>
        <w:rPr>
          <w:sz w:val="14"/>
        </w:rPr>
      </w:pPr>
    </w:p>
    <w:p w14:paraId="64A0DAF2" w14:textId="77777777" w:rsidR="0014798C" w:rsidRDefault="004E1F0B">
      <w:pPr>
        <w:spacing w:line="372" w:lineRule="auto"/>
        <w:ind w:left="1108" w:right="1272"/>
        <w:rPr>
          <w:sz w:val="14"/>
        </w:rPr>
      </w:pPr>
      <w:r>
        <w:rPr>
          <w:sz w:val="14"/>
        </w:rPr>
        <w:t>Sin embargo, aprobar legislación que ordene y regule medidas proactivas es insuficiente: estas obligaciones sólo pueden cumplirse mediante un</w:t>
      </w:r>
      <w:r>
        <w:rPr>
          <w:spacing w:val="40"/>
          <w:sz w:val="14"/>
        </w:rPr>
        <w:t xml:space="preserve"> </w:t>
      </w:r>
      <w:r>
        <w:rPr>
          <w:sz w:val="14"/>
        </w:rPr>
        <w:t>programa integral</w:t>
      </w:r>
      <w:r>
        <w:rPr>
          <w:spacing w:val="-1"/>
          <w:sz w:val="14"/>
        </w:rPr>
        <w:t xml:space="preserve"> </w:t>
      </w:r>
      <w:r>
        <w:rPr>
          <w:sz w:val="14"/>
        </w:rPr>
        <w:t>de políticas, financiamiento</w:t>
      </w:r>
      <w:r>
        <w:rPr>
          <w:spacing w:val="-1"/>
          <w:sz w:val="14"/>
        </w:rPr>
        <w:t xml:space="preserve"> </w:t>
      </w:r>
      <w:r>
        <w:rPr>
          <w:sz w:val="14"/>
        </w:rPr>
        <w:t>y práctica. Si</w:t>
      </w:r>
      <w:r>
        <w:rPr>
          <w:spacing w:val="-1"/>
          <w:sz w:val="14"/>
        </w:rPr>
        <w:t xml:space="preserve"> </w:t>
      </w:r>
      <w:r>
        <w:rPr>
          <w:sz w:val="14"/>
        </w:rPr>
        <w:t>bien las leyes integrales</w:t>
      </w:r>
      <w:r>
        <w:rPr>
          <w:spacing w:val="-1"/>
          <w:sz w:val="14"/>
        </w:rPr>
        <w:t xml:space="preserve"> </w:t>
      </w:r>
      <w:r>
        <w:rPr>
          <w:sz w:val="14"/>
        </w:rPr>
        <w:t>contra la discriminación deberían</w:t>
      </w:r>
      <w:r>
        <w:rPr>
          <w:spacing w:val="-1"/>
          <w:sz w:val="14"/>
        </w:rPr>
        <w:t xml:space="preserve"> </w:t>
      </w:r>
      <w:r>
        <w:rPr>
          <w:sz w:val="14"/>
        </w:rPr>
        <w:t>exigir</w:t>
      </w:r>
      <w:r>
        <w:rPr>
          <w:spacing w:val="-1"/>
          <w:sz w:val="14"/>
        </w:rPr>
        <w:t xml:space="preserve"> </w:t>
      </w:r>
      <w:r>
        <w:rPr>
          <w:sz w:val="14"/>
        </w:rPr>
        <w:t>el desarrollo de medidas</w:t>
      </w:r>
      <w:r>
        <w:rPr>
          <w:spacing w:val="40"/>
          <w:sz w:val="14"/>
        </w:rPr>
        <w:t xml:space="preserve"> </w:t>
      </w:r>
      <w:r>
        <w:rPr>
          <w:sz w:val="14"/>
        </w:rPr>
        <w:t>proactivas, los Estados sólo cumplirán sus obligaciones adoptando medidas concretas.</w:t>
      </w:r>
    </w:p>
    <w:p w14:paraId="09FC5141" w14:textId="77777777" w:rsidR="0014798C" w:rsidRDefault="0014798C">
      <w:pPr>
        <w:pStyle w:val="Textoindependiente"/>
        <w:rPr>
          <w:sz w:val="25"/>
        </w:rPr>
      </w:pPr>
    </w:p>
    <w:p w14:paraId="2FC5EE33" w14:textId="77777777" w:rsidR="0014798C" w:rsidRDefault="0014798C">
      <w:pPr>
        <w:pStyle w:val="Textoindependiente"/>
        <w:spacing w:before="31"/>
        <w:rPr>
          <w:sz w:val="25"/>
        </w:rPr>
      </w:pPr>
    </w:p>
    <w:bookmarkStart w:id="37" w:name="estigma"/>
    <w:p w14:paraId="574FEE39" w14:textId="77777777" w:rsidR="0014798C" w:rsidRDefault="004E1F0B" w:rsidP="0031332D">
      <w:pPr>
        <w:numPr>
          <w:ilvl w:val="0"/>
          <w:numId w:val="5"/>
        </w:numPr>
        <w:tabs>
          <w:tab w:val="left" w:pos="1334"/>
          <w:tab w:val="left" w:pos="1583"/>
        </w:tabs>
        <w:spacing w:line="364" w:lineRule="auto"/>
        <w:ind w:right="927" w:hanging="460"/>
        <w:rPr>
          <w:color w:val="FBB315"/>
          <w:sz w:val="25"/>
        </w:rPr>
      </w:pPr>
      <w:r>
        <w:rPr>
          <w:noProof/>
        </w:rPr>
        <mc:AlternateContent>
          <mc:Choice Requires="wpg">
            <w:drawing>
              <wp:anchor distT="0" distB="0" distL="0" distR="0" simplePos="0" relativeHeight="251658563" behindDoc="1" locked="0" layoutInCell="1" allowOverlap="1" wp14:anchorId="4DC5626A" wp14:editId="285D4F01">
                <wp:simplePos x="0" y="0"/>
                <wp:positionH relativeFrom="page">
                  <wp:posOffset>786199</wp:posOffset>
                </wp:positionH>
                <wp:positionV relativeFrom="paragraph">
                  <wp:posOffset>590884</wp:posOffset>
                </wp:positionV>
                <wp:extent cx="5975350" cy="3460115"/>
                <wp:effectExtent l="0" t="0" r="0" b="0"/>
                <wp:wrapTopAndBottom/>
                <wp:docPr id="379" name="Group 37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975350" cy="3460115"/>
                          <a:chOff x="0" y="0"/>
                          <a:chExt cx="5975350" cy="3460115"/>
                        </a:xfrm>
                      </wpg:grpSpPr>
                      <pic:pic xmlns:pic="http://schemas.openxmlformats.org/drawingml/2006/picture">
                        <pic:nvPicPr>
                          <pic:cNvPr id="380" name="Image 380"/>
                          <pic:cNvPicPr/>
                        </pic:nvPicPr>
                        <pic:blipFill>
                          <a:blip r:embed="rId353" cstate="print"/>
                          <a:stretch>
                            <a:fillRect/>
                          </a:stretch>
                        </pic:blipFill>
                        <pic:spPr>
                          <a:xfrm>
                            <a:off x="0" y="0"/>
                            <a:ext cx="5975115" cy="3459881"/>
                          </a:xfrm>
                          <a:prstGeom prst="rect">
                            <a:avLst/>
                          </a:prstGeom>
                        </pic:spPr>
                      </pic:pic>
                      <wps:wsp>
                        <wps:cNvPr id="381" name="Textbox 381"/>
                        <wps:cNvSpPr txBox="1"/>
                        <wps:spPr>
                          <a:xfrm>
                            <a:off x="0" y="0"/>
                            <a:ext cx="5975350" cy="3460115"/>
                          </a:xfrm>
                          <a:prstGeom prst="rect">
                            <a:avLst/>
                          </a:prstGeom>
                        </wps:spPr>
                        <wps:txbx>
                          <w:txbxContent>
                            <w:p w14:paraId="79ED7836" w14:textId="77777777" w:rsidR="0014798C" w:rsidRDefault="0014798C">
                              <w:pPr>
                                <w:spacing w:before="103"/>
                                <w:rPr>
                                  <w:sz w:val="14"/>
                                </w:rPr>
                              </w:pPr>
                            </w:p>
                            <w:p w14:paraId="2629ADA6" w14:textId="77777777" w:rsidR="0014798C" w:rsidRDefault="004E1F0B">
                              <w:pPr>
                                <w:spacing w:before="1"/>
                                <w:ind w:left="297"/>
                                <w:rPr>
                                  <w:sz w:val="14"/>
                                </w:rPr>
                              </w:pPr>
                              <w:r>
                                <w:rPr>
                                  <w:color w:val="FFFFFF"/>
                                  <w:spacing w:val="-2"/>
                                  <w:sz w:val="14"/>
                                </w:rPr>
                                <w:t>RESUMEN</w:t>
                              </w:r>
                            </w:p>
                            <w:p w14:paraId="27F780DD" w14:textId="77777777" w:rsidR="0014798C" w:rsidRDefault="0014798C">
                              <w:pPr>
                                <w:rPr>
                                  <w:sz w:val="14"/>
                                </w:rPr>
                              </w:pPr>
                            </w:p>
                            <w:p w14:paraId="5D1763AB" w14:textId="77777777" w:rsidR="0014798C" w:rsidRDefault="0014798C">
                              <w:pPr>
                                <w:spacing w:before="34"/>
                                <w:rPr>
                                  <w:sz w:val="14"/>
                                </w:rPr>
                              </w:pPr>
                            </w:p>
                            <w:p w14:paraId="6557789A" w14:textId="77777777" w:rsidR="0014798C" w:rsidRDefault="004E1F0B">
                              <w:pPr>
                                <w:numPr>
                                  <w:ilvl w:val="0"/>
                                  <w:numId w:val="4"/>
                                </w:numPr>
                                <w:tabs>
                                  <w:tab w:val="left" w:pos="407"/>
                                  <w:tab w:val="left" w:pos="527"/>
                                </w:tabs>
                                <w:spacing w:line="372" w:lineRule="auto"/>
                                <w:ind w:right="990" w:hanging="208"/>
                                <w:rPr>
                                  <w:color w:val="0075BF"/>
                                  <w:sz w:val="14"/>
                                </w:rPr>
                              </w:pPr>
                              <w:r>
                                <w:rPr>
                                  <w:sz w:val="14"/>
                                </w:rPr>
                                <w:t>El</w:t>
                              </w:r>
                              <w:r>
                                <w:rPr>
                                  <w:spacing w:val="-1"/>
                                  <w:sz w:val="14"/>
                                </w:rPr>
                                <w:t xml:space="preserve"> </w:t>
                              </w:r>
                              <w:r>
                                <w:rPr>
                                  <w:sz w:val="14"/>
                                </w:rPr>
                                <w:t>derecho internacional establece</w:t>
                              </w:r>
                              <w:r>
                                <w:rPr>
                                  <w:spacing w:val="-1"/>
                                  <w:sz w:val="14"/>
                                </w:rPr>
                                <w:t xml:space="preserve"> </w:t>
                              </w:r>
                              <w:r>
                                <w:rPr>
                                  <w:sz w:val="14"/>
                                </w:rPr>
                                <w:t>obligaciones</w:t>
                              </w:r>
                              <w:r>
                                <w:rPr>
                                  <w:spacing w:val="-1"/>
                                  <w:sz w:val="14"/>
                                </w:rPr>
                                <w:t xml:space="preserve"> </w:t>
                              </w:r>
                              <w:r>
                                <w:rPr>
                                  <w:sz w:val="14"/>
                                </w:rPr>
                                <w:t>proactivas</w:t>
                              </w:r>
                              <w:r>
                                <w:rPr>
                                  <w:spacing w:val="-1"/>
                                  <w:sz w:val="14"/>
                                </w:rPr>
                                <w:t xml:space="preserve"> </w:t>
                              </w:r>
                              <w:r>
                                <w:rPr>
                                  <w:sz w:val="14"/>
                                </w:rPr>
                                <w:t>explícitas</w:t>
                              </w:r>
                              <w:r>
                                <w:rPr>
                                  <w:spacing w:val="-1"/>
                                  <w:sz w:val="14"/>
                                </w:rPr>
                                <w:t xml:space="preserve"> </w:t>
                              </w:r>
                              <w:r>
                                <w:rPr>
                                  <w:sz w:val="14"/>
                                </w:rPr>
                                <w:t>para los Estados</w:t>
                              </w:r>
                              <w:r>
                                <w:rPr>
                                  <w:spacing w:val="-1"/>
                                  <w:sz w:val="14"/>
                                </w:rPr>
                                <w:t xml:space="preserve"> </w:t>
                              </w:r>
                              <w:r>
                                <w:rPr>
                                  <w:sz w:val="14"/>
                                </w:rPr>
                                <w:t>para abordar</w:t>
                              </w:r>
                              <w:r>
                                <w:rPr>
                                  <w:spacing w:val="-1"/>
                                  <w:sz w:val="14"/>
                                </w:rPr>
                                <w:t xml:space="preserve"> </w:t>
                              </w:r>
                              <w:r>
                                <w:rPr>
                                  <w:sz w:val="14"/>
                                </w:rPr>
                                <w:t>los prejuicios</w:t>
                              </w:r>
                              <w:r>
                                <w:rPr>
                                  <w:spacing w:val="-1"/>
                                  <w:sz w:val="14"/>
                                </w:rPr>
                                <w:t xml:space="preserve"> </w:t>
                              </w:r>
                              <w:r>
                                <w:rPr>
                                  <w:sz w:val="14"/>
                                </w:rPr>
                                <w:t>y estereotipos.</w:t>
                              </w:r>
                              <w:r>
                                <w:rPr>
                                  <w:spacing w:val="40"/>
                                  <w:sz w:val="14"/>
                                </w:rPr>
                                <w:t xml:space="preserve"> </w:t>
                              </w:r>
                              <w:r>
                                <w:rPr>
                                  <w:sz w:val="14"/>
                                </w:rPr>
                                <w:t>y estigma. Las medidas específicas recomendadas incluyen:</w:t>
                              </w:r>
                            </w:p>
                            <w:p w14:paraId="67BA91D8" w14:textId="77777777" w:rsidR="0014798C" w:rsidRDefault="004E1F0B">
                              <w:pPr>
                                <w:numPr>
                                  <w:ilvl w:val="1"/>
                                  <w:numId w:val="4"/>
                                </w:numPr>
                                <w:tabs>
                                  <w:tab w:val="left" w:pos="648"/>
                                </w:tabs>
                                <w:spacing w:before="114"/>
                                <w:ind w:left="648" w:hanging="117"/>
                                <w:rPr>
                                  <w:sz w:val="14"/>
                                </w:rPr>
                              </w:pPr>
                              <w:r>
                                <w:rPr>
                                  <w:sz w:val="14"/>
                                </w:rPr>
                                <w:t>El</w:t>
                              </w:r>
                              <w:r>
                                <w:rPr>
                                  <w:spacing w:val="-5"/>
                                  <w:sz w:val="14"/>
                                </w:rPr>
                                <w:t xml:space="preserve"> </w:t>
                              </w:r>
                              <w:r>
                                <w:rPr>
                                  <w:sz w:val="14"/>
                                </w:rPr>
                                <w:t>empoderamiento</w:t>
                              </w:r>
                              <w:r>
                                <w:rPr>
                                  <w:spacing w:val="-3"/>
                                  <w:sz w:val="14"/>
                                </w:rPr>
                                <w:t xml:space="preserve"> </w:t>
                              </w:r>
                              <w:r>
                                <w:rPr>
                                  <w:sz w:val="14"/>
                                </w:rPr>
                                <w:t>y</w:t>
                              </w:r>
                              <w:r>
                                <w:rPr>
                                  <w:spacing w:val="-4"/>
                                  <w:sz w:val="14"/>
                                </w:rPr>
                                <w:t xml:space="preserve"> </w:t>
                              </w:r>
                              <w:r>
                                <w:rPr>
                                  <w:sz w:val="14"/>
                                </w:rPr>
                                <w:t>participación</w:t>
                              </w:r>
                              <w:r>
                                <w:rPr>
                                  <w:spacing w:val="-3"/>
                                  <w:sz w:val="14"/>
                                </w:rPr>
                                <w:t xml:space="preserve"> </w:t>
                              </w:r>
                              <w:r>
                                <w:rPr>
                                  <w:sz w:val="14"/>
                                </w:rPr>
                                <w:t>de</w:t>
                              </w:r>
                              <w:r>
                                <w:rPr>
                                  <w:spacing w:val="-4"/>
                                  <w:sz w:val="14"/>
                                </w:rPr>
                                <w:t xml:space="preserve"> </w:t>
                              </w:r>
                              <w:r>
                                <w:rPr>
                                  <w:sz w:val="14"/>
                                </w:rPr>
                                <w:t>los</w:t>
                              </w:r>
                              <w:r>
                                <w:rPr>
                                  <w:spacing w:val="-4"/>
                                  <w:sz w:val="14"/>
                                </w:rPr>
                                <w:t xml:space="preserve"> </w:t>
                              </w:r>
                              <w:r>
                                <w:rPr>
                                  <w:sz w:val="14"/>
                                </w:rPr>
                                <w:t>titulares</w:t>
                              </w:r>
                              <w:r>
                                <w:rPr>
                                  <w:spacing w:val="-4"/>
                                  <w:sz w:val="14"/>
                                </w:rPr>
                                <w:t xml:space="preserve"> </w:t>
                              </w:r>
                              <w:r>
                                <w:rPr>
                                  <w:sz w:val="14"/>
                                </w:rPr>
                                <w:t>de</w:t>
                              </w:r>
                              <w:r>
                                <w:rPr>
                                  <w:spacing w:val="-3"/>
                                  <w:sz w:val="14"/>
                                </w:rPr>
                                <w:t xml:space="preserve"> </w:t>
                              </w:r>
                              <w:r>
                                <w:rPr>
                                  <w:spacing w:val="-2"/>
                                  <w:sz w:val="14"/>
                                </w:rPr>
                                <w:t>derechos.</w:t>
                              </w:r>
                            </w:p>
                            <w:p w14:paraId="7B7A0CDE" w14:textId="77777777" w:rsidR="0014798C" w:rsidRDefault="0014798C">
                              <w:pPr>
                                <w:spacing w:before="41"/>
                                <w:rPr>
                                  <w:sz w:val="14"/>
                                </w:rPr>
                              </w:pPr>
                            </w:p>
                            <w:p w14:paraId="144C9517" w14:textId="77777777" w:rsidR="0014798C" w:rsidRDefault="004E1F0B">
                              <w:pPr>
                                <w:numPr>
                                  <w:ilvl w:val="1"/>
                                  <w:numId w:val="4"/>
                                </w:numPr>
                                <w:tabs>
                                  <w:tab w:val="left" w:pos="648"/>
                                </w:tabs>
                                <w:ind w:left="648" w:hanging="117"/>
                                <w:rPr>
                                  <w:sz w:val="14"/>
                                </w:rPr>
                              </w:pPr>
                              <w:r>
                                <w:rPr>
                                  <w:sz w:val="14"/>
                                </w:rPr>
                                <w:t>Medidas</w:t>
                              </w:r>
                              <w:r>
                                <w:rPr>
                                  <w:spacing w:val="-4"/>
                                  <w:sz w:val="14"/>
                                </w:rPr>
                                <w:t xml:space="preserve"> </w:t>
                              </w:r>
                              <w:r>
                                <w:rPr>
                                  <w:sz w:val="14"/>
                                </w:rPr>
                                <w:t>para</w:t>
                              </w:r>
                              <w:r>
                                <w:rPr>
                                  <w:spacing w:val="-3"/>
                                  <w:sz w:val="14"/>
                                </w:rPr>
                                <w:t xml:space="preserve"> </w:t>
                              </w:r>
                              <w:r>
                                <w:rPr>
                                  <w:sz w:val="14"/>
                                </w:rPr>
                                <w:t>promover</w:t>
                              </w:r>
                              <w:r>
                                <w:rPr>
                                  <w:spacing w:val="-4"/>
                                  <w:sz w:val="14"/>
                                </w:rPr>
                                <w:t xml:space="preserve"> </w:t>
                              </w:r>
                              <w:r>
                                <w:rPr>
                                  <w:sz w:val="14"/>
                                </w:rPr>
                                <w:t>la</w:t>
                              </w:r>
                              <w:r>
                                <w:rPr>
                                  <w:spacing w:val="-3"/>
                                  <w:sz w:val="14"/>
                                </w:rPr>
                                <w:t xml:space="preserve"> </w:t>
                              </w:r>
                              <w:r>
                                <w:rPr>
                                  <w:sz w:val="14"/>
                                </w:rPr>
                                <w:t>diversidad</w:t>
                              </w:r>
                              <w:r>
                                <w:rPr>
                                  <w:spacing w:val="-3"/>
                                  <w:sz w:val="14"/>
                                </w:rPr>
                                <w:t xml:space="preserve"> </w:t>
                              </w:r>
                              <w:r>
                                <w:rPr>
                                  <w:sz w:val="14"/>
                                </w:rPr>
                                <w:t>y</w:t>
                              </w:r>
                              <w:r>
                                <w:rPr>
                                  <w:spacing w:val="-3"/>
                                  <w:sz w:val="14"/>
                                </w:rPr>
                                <w:t xml:space="preserve"> </w:t>
                              </w:r>
                              <w:r>
                                <w:rPr>
                                  <w:sz w:val="14"/>
                                </w:rPr>
                                <w:t>la</w:t>
                              </w:r>
                              <w:r>
                                <w:rPr>
                                  <w:spacing w:val="-3"/>
                                  <w:sz w:val="14"/>
                                </w:rPr>
                                <w:t xml:space="preserve"> </w:t>
                              </w:r>
                              <w:r>
                                <w:rPr>
                                  <w:sz w:val="14"/>
                                </w:rPr>
                                <w:t>igualdad</w:t>
                              </w:r>
                              <w:r>
                                <w:rPr>
                                  <w:spacing w:val="-3"/>
                                  <w:sz w:val="14"/>
                                </w:rPr>
                                <w:t xml:space="preserve"> </w:t>
                              </w:r>
                              <w:r>
                                <w:rPr>
                                  <w:sz w:val="14"/>
                                </w:rPr>
                                <w:t>de</w:t>
                              </w:r>
                              <w:r>
                                <w:rPr>
                                  <w:spacing w:val="-3"/>
                                  <w:sz w:val="14"/>
                                </w:rPr>
                                <w:t xml:space="preserve"> </w:t>
                              </w:r>
                              <w:r>
                                <w:rPr>
                                  <w:sz w:val="14"/>
                                </w:rPr>
                                <w:t>representación</w:t>
                              </w:r>
                              <w:r>
                                <w:rPr>
                                  <w:spacing w:val="-3"/>
                                  <w:sz w:val="14"/>
                                </w:rPr>
                                <w:t xml:space="preserve"> </w:t>
                              </w:r>
                              <w:r>
                                <w:rPr>
                                  <w:sz w:val="14"/>
                                </w:rPr>
                                <w:t>en</w:t>
                              </w:r>
                              <w:r>
                                <w:rPr>
                                  <w:spacing w:val="-3"/>
                                  <w:sz w:val="14"/>
                                </w:rPr>
                                <w:t xml:space="preserve"> </w:t>
                              </w:r>
                              <w:r>
                                <w:rPr>
                                  <w:sz w:val="14"/>
                                </w:rPr>
                                <w:t>las</w:t>
                              </w:r>
                              <w:r>
                                <w:rPr>
                                  <w:spacing w:val="-3"/>
                                  <w:sz w:val="14"/>
                                </w:rPr>
                                <w:t xml:space="preserve"> </w:t>
                              </w:r>
                              <w:r>
                                <w:rPr>
                                  <w:spacing w:val="-2"/>
                                  <w:sz w:val="14"/>
                                </w:rPr>
                                <w:t>instituciones.</w:t>
                              </w:r>
                            </w:p>
                            <w:p w14:paraId="59005152" w14:textId="77777777" w:rsidR="0014798C" w:rsidRDefault="0014798C">
                              <w:pPr>
                                <w:spacing w:before="41"/>
                                <w:rPr>
                                  <w:sz w:val="14"/>
                                </w:rPr>
                              </w:pPr>
                            </w:p>
                            <w:p w14:paraId="7C3C98F1" w14:textId="77777777" w:rsidR="0014798C" w:rsidRDefault="004E1F0B">
                              <w:pPr>
                                <w:numPr>
                                  <w:ilvl w:val="1"/>
                                  <w:numId w:val="4"/>
                                </w:numPr>
                                <w:tabs>
                                  <w:tab w:val="left" w:pos="648"/>
                                  <w:tab w:val="left" w:pos="752"/>
                                </w:tabs>
                                <w:spacing w:line="372" w:lineRule="auto"/>
                                <w:ind w:right="608" w:hanging="221"/>
                                <w:rPr>
                                  <w:sz w:val="14"/>
                                </w:rPr>
                              </w:pPr>
                              <w:r>
                                <w:rPr>
                                  <w:sz w:val="14"/>
                                </w:rPr>
                                <w:t>Medidas</w:t>
                              </w:r>
                              <w:r>
                                <w:rPr>
                                  <w:spacing w:val="-1"/>
                                  <w:sz w:val="14"/>
                                </w:rPr>
                                <w:t xml:space="preserve"> </w:t>
                              </w:r>
                              <w:r>
                                <w:rPr>
                                  <w:sz w:val="14"/>
                                </w:rPr>
                                <w:t>para desafiar</w:t>
                              </w:r>
                              <w:r>
                                <w:rPr>
                                  <w:spacing w:val="-1"/>
                                  <w:sz w:val="14"/>
                                </w:rPr>
                                <w:t xml:space="preserve"> </w:t>
                              </w:r>
                              <w:r>
                                <w:rPr>
                                  <w:sz w:val="14"/>
                                </w:rPr>
                                <w:t>los prejuicios, los estereotipos</w:t>
                              </w:r>
                              <w:r>
                                <w:rPr>
                                  <w:spacing w:val="-1"/>
                                  <w:sz w:val="14"/>
                                </w:rPr>
                                <w:t xml:space="preserve"> </w:t>
                              </w:r>
                              <w:r>
                                <w:rPr>
                                  <w:sz w:val="14"/>
                                </w:rPr>
                                <w:t>y el estigma</w:t>
                              </w:r>
                              <w:r>
                                <w:rPr>
                                  <w:spacing w:val="-1"/>
                                  <w:sz w:val="14"/>
                                </w:rPr>
                                <w:t xml:space="preserve"> </w:t>
                              </w:r>
                              <w:r>
                                <w:rPr>
                                  <w:sz w:val="14"/>
                                </w:rPr>
                                <w:t>y promover</w:t>
                              </w:r>
                              <w:r>
                                <w:rPr>
                                  <w:spacing w:val="-1"/>
                                  <w:sz w:val="14"/>
                                </w:rPr>
                                <w:t xml:space="preserve"> </w:t>
                              </w:r>
                              <w:r>
                                <w:rPr>
                                  <w:sz w:val="14"/>
                                </w:rPr>
                                <w:t>la diversidad, la inclusión y la igualdad a través</w:t>
                              </w:r>
                              <w:r>
                                <w:rPr>
                                  <w:spacing w:val="-1"/>
                                  <w:sz w:val="14"/>
                                </w:rPr>
                                <w:t xml:space="preserve"> </w:t>
                              </w:r>
                              <w:r>
                                <w:rPr>
                                  <w:sz w:val="14"/>
                                </w:rPr>
                                <w:t>de la</w:t>
                              </w:r>
                              <w:r>
                                <w:rPr>
                                  <w:spacing w:val="40"/>
                                  <w:sz w:val="14"/>
                                </w:rPr>
                                <w:t xml:space="preserve"> </w:t>
                              </w:r>
                              <w:r>
                                <w:rPr>
                                  <w:spacing w:val="-2"/>
                                  <w:sz w:val="14"/>
                                </w:rPr>
                                <w:t>educación.</w:t>
                              </w:r>
                            </w:p>
                            <w:p w14:paraId="3BC453CE" w14:textId="77777777" w:rsidR="0014798C" w:rsidRDefault="004E1F0B">
                              <w:pPr>
                                <w:numPr>
                                  <w:ilvl w:val="1"/>
                                  <w:numId w:val="4"/>
                                </w:numPr>
                                <w:tabs>
                                  <w:tab w:val="left" w:pos="648"/>
                                  <w:tab w:val="left" w:pos="747"/>
                                </w:tabs>
                                <w:spacing w:before="114" w:line="372" w:lineRule="auto"/>
                                <w:ind w:left="747" w:right="499" w:hanging="216"/>
                                <w:rPr>
                                  <w:sz w:val="14"/>
                                </w:rPr>
                              </w:pPr>
                              <w:r>
                                <w:rPr>
                                  <w:sz w:val="14"/>
                                </w:rPr>
                                <w:t>Informar</w:t>
                              </w:r>
                              <w:r>
                                <w:rPr>
                                  <w:spacing w:val="-1"/>
                                  <w:sz w:val="14"/>
                                </w:rPr>
                                <w:t xml:space="preserve"> </w:t>
                              </w:r>
                              <w:r>
                                <w:rPr>
                                  <w:sz w:val="14"/>
                                </w:rPr>
                                <w:t>sobre las percepciones</w:t>
                              </w:r>
                              <w:r>
                                <w:rPr>
                                  <w:spacing w:val="-1"/>
                                  <w:sz w:val="14"/>
                                </w:rPr>
                                <w:t xml:space="preserve"> </w:t>
                              </w:r>
                              <w:r>
                                <w:rPr>
                                  <w:sz w:val="14"/>
                                </w:rPr>
                                <w:t>del público a través</w:t>
                              </w:r>
                              <w:r>
                                <w:rPr>
                                  <w:spacing w:val="-1"/>
                                  <w:sz w:val="14"/>
                                </w:rPr>
                                <w:t xml:space="preserve"> </w:t>
                              </w:r>
                              <w:r>
                                <w:rPr>
                                  <w:sz w:val="14"/>
                                </w:rPr>
                                <w:t>de los medios</w:t>
                              </w:r>
                              <w:r>
                                <w:rPr>
                                  <w:spacing w:val="-1"/>
                                  <w:sz w:val="14"/>
                                </w:rPr>
                                <w:t xml:space="preserve"> </w:t>
                              </w:r>
                              <w:r>
                                <w:rPr>
                                  <w:sz w:val="14"/>
                                </w:rPr>
                                <w:t>de comunicación, tanto</w:t>
                              </w:r>
                              <w:r>
                                <w:rPr>
                                  <w:spacing w:val="-1"/>
                                  <w:sz w:val="14"/>
                                </w:rPr>
                                <w:t xml:space="preserve"> </w:t>
                              </w:r>
                              <w:r>
                                <w:rPr>
                                  <w:sz w:val="14"/>
                                </w:rPr>
                                <w:t>los principales</w:t>
                              </w:r>
                              <w:r>
                                <w:rPr>
                                  <w:spacing w:val="-1"/>
                                  <w:sz w:val="14"/>
                                </w:rPr>
                                <w:t xml:space="preserve"> </w:t>
                              </w:r>
                              <w:r>
                                <w:rPr>
                                  <w:sz w:val="14"/>
                                </w:rPr>
                                <w:t>como los medios</w:t>
                              </w:r>
                              <w:r>
                                <w:rPr>
                                  <w:spacing w:val="-1"/>
                                  <w:sz w:val="14"/>
                                </w:rPr>
                                <w:t xml:space="preserve"> </w:t>
                              </w:r>
                              <w:r>
                                <w:rPr>
                                  <w:sz w:val="14"/>
                                </w:rPr>
                                <w:t>sociales,</w:t>
                              </w:r>
                              <w:r>
                                <w:rPr>
                                  <w:spacing w:val="40"/>
                                  <w:sz w:val="14"/>
                                </w:rPr>
                                <w:t xml:space="preserve"> </w:t>
                              </w:r>
                              <w:r>
                                <w:rPr>
                                  <w:sz w:val="14"/>
                                </w:rPr>
                                <w:t>y esfuerzos más amplios de sensibilización.</w:t>
                              </w:r>
                            </w:p>
                            <w:p w14:paraId="75CFE238" w14:textId="77777777" w:rsidR="0014798C" w:rsidRDefault="004E1F0B">
                              <w:pPr>
                                <w:numPr>
                                  <w:ilvl w:val="1"/>
                                  <w:numId w:val="4"/>
                                </w:numPr>
                                <w:tabs>
                                  <w:tab w:val="left" w:pos="648"/>
                                  <w:tab w:val="left" w:pos="752"/>
                                </w:tabs>
                                <w:spacing w:before="114" w:line="372" w:lineRule="auto"/>
                                <w:ind w:right="569" w:hanging="221"/>
                                <w:rPr>
                                  <w:sz w:val="14"/>
                                </w:rPr>
                              </w:pPr>
                              <w:r>
                                <w:rPr>
                                  <w:sz w:val="14"/>
                                </w:rPr>
                                <w:t>Capacitar</w:t>
                              </w:r>
                              <w:r>
                                <w:rPr>
                                  <w:spacing w:val="-1"/>
                                  <w:sz w:val="14"/>
                                </w:rPr>
                                <w:t xml:space="preserve"> </w:t>
                              </w:r>
                              <w:r>
                                <w:rPr>
                                  <w:sz w:val="14"/>
                                </w:rPr>
                                <w:t>a personas, incluidos</w:t>
                              </w:r>
                              <w:r>
                                <w:rPr>
                                  <w:spacing w:val="-1"/>
                                  <w:sz w:val="14"/>
                                </w:rPr>
                                <w:t xml:space="preserve"> </w:t>
                              </w:r>
                              <w:r>
                                <w:rPr>
                                  <w:sz w:val="14"/>
                                </w:rPr>
                                <w:t>funcionarios</w:t>
                              </w:r>
                              <w:r>
                                <w:rPr>
                                  <w:spacing w:val="-1"/>
                                  <w:sz w:val="14"/>
                                </w:rPr>
                                <w:t xml:space="preserve"> </w:t>
                              </w:r>
                              <w:r>
                                <w:rPr>
                                  <w:sz w:val="14"/>
                                </w:rPr>
                                <w:t>públicos, y grupos</w:t>
                              </w:r>
                              <w:r>
                                <w:rPr>
                                  <w:spacing w:val="-1"/>
                                  <w:sz w:val="14"/>
                                </w:rPr>
                                <w:t xml:space="preserve"> </w:t>
                              </w:r>
                              <w:r>
                                <w:rPr>
                                  <w:sz w:val="14"/>
                                </w:rPr>
                                <w:t>en todos</w:t>
                              </w:r>
                              <w:r>
                                <w:rPr>
                                  <w:spacing w:val="-1"/>
                                  <w:sz w:val="14"/>
                                </w:rPr>
                                <w:t xml:space="preserve"> </w:t>
                              </w:r>
                              <w:r>
                                <w:rPr>
                                  <w:sz w:val="14"/>
                                </w:rPr>
                                <w:t>los ámbitos</w:t>
                              </w:r>
                              <w:r>
                                <w:rPr>
                                  <w:spacing w:val="-1"/>
                                  <w:sz w:val="14"/>
                                </w:rPr>
                                <w:t xml:space="preserve"> </w:t>
                              </w:r>
                              <w:r>
                                <w:rPr>
                                  <w:sz w:val="14"/>
                                </w:rPr>
                                <w:t>de la vida en las leyes y principios</w:t>
                              </w:r>
                              <w:r>
                                <w:rPr>
                                  <w:spacing w:val="-1"/>
                                  <w:sz w:val="14"/>
                                </w:rPr>
                                <w:t xml:space="preserve"> </w:t>
                              </w:r>
                              <w:r>
                                <w:rPr>
                                  <w:sz w:val="14"/>
                                </w:rPr>
                                <w:t>de igualdad</w:t>
                              </w:r>
                              <w:r>
                                <w:rPr>
                                  <w:spacing w:val="40"/>
                                  <w:sz w:val="14"/>
                                </w:rPr>
                                <w:t xml:space="preserve"> </w:t>
                              </w:r>
                              <w:r>
                                <w:rPr>
                                  <w:sz w:val="14"/>
                                </w:rPr>
                                <w:t>y no discriminación, así como en la situación y experiencias de los titulares de derechos.</w:t>
                              </w:r>
                            </w:p>
                            <w:p w14:paraId="43267D1F" w14:textId="77777777" w:rsidR="0014798C" w:rsidRDefault="004E1F0B">
                              <w:pPr>
                                <w:numPr>
                                  <w:ilvl w:val="0"/>
                                  <w:numId w:val="4"/>
                                </w:numPr>
                                <w:tabs>
                                  <w:tab w:val="left" w:pos="420"/>
                                  <w:tab w:val="left" w:pos="520"/>
                                </w:tabs>
                                <w:spacing w:before="94" w:line="326" w:lineRule="auto"/>
                                <w:ind w:left="520" w:right="303" w:hanging="201"/>
                                <w:rPr>
                                  <w:color w:val="0075BF"/>
                                  <w:sz w:val="16"/>
                                </w:rPr>
                              </w:pPr>
                              <w:r>
                                <w:rPr>
                                  <w:sz w:val="16"/>
                                </w:rPr>
                                <w:t>Además,</w:t>
                              </w:r>
                              <w:r>
                                <w:rPr>
                                  <w:spacing w:val="11"/>
                                  <w:sz w:val="16"/>
                                </w:rPr>
                                <w:t xml:space="preserve"> </w:t>
                              </w:r>
                              <w:r>
                                <w:rPr>
                                  <w:sz w:val="16"/>
                                </w:rPr>
                                <w:t>para</w:t>
                              </w:r>
                              <w:r>
                                <w:rPr>
                                  <w:spacing w:val="10"/>
                                  <w:sz w:val="16"/>
                                </w:rPr>
                                <w:t xml:space="preserve"> </w:t>
                              </w:r>
                              <w:r>
                                <w:rPr>
                                  <w:sz w:val="16"/>
                                </w:rPr>
                                <w:t>que</w:t>
                              </w:r>
                              <w:r>
                                <w:rPr>
                                  <w:spacing w:val="10"/>
                                  <w:sz w:val="16"/>
                                </w:rPr>
                                <w:t xml:space="preserve"> </w:t>
                              </w:r>
                              <w:r>
                                <w:rPr>
                                  <w:sz w:val="16"/>
                                </w:rPr>
                                <w:t>los</w:t>
                              </w:r>
                              <w:r>
                                <w:rPr>
                                  <w:spacing w:val="10"/>
                                  <w:sz w:val="16"/>
                                </w:rPr>
                                <w:t xml:space="preserve"> </w:t>
                              </w:r>
                              <w:r>
                                <w:rPr>
                                  <w:sz w:val="16"/>
                                </w:rPr>
                                <w:t>Estados</w:t>
                              </w:r>
                              <w:r>
                                <w:rPr>
                                  <w:spacing w:val="10"/>
                                  <w:sz w:val="16"/>
                                </w:rPr>
                                <w:t xml:space="preserve"> </w:t>
                              </w:r>
                              <w:r>
                                <w:rPr>
                                  <w:sz w:val="16"/>
                                </w:rPr>
                                <w:t>cumplan</w:t>
                              </w:r>
                              <w:r>
                                <w:rPr>
                                  <w:spacing w:val="10"/>
                                  <w:sz w:val="16"/>
                                </w:rPr>
                                <w:t xml:space="preserve"> </w:t>
                              </w:r>
                              <w:r>
                                <w:rPr>
                                  <w:sz w:val="16"/>
                                </w:rPr>
                                <w:t>con</w:t>
                              </w:r>
                              <w:r>
                                <w:rPr>
                                  <w:spacing w:val="10"/>
                                  <w:sz w:val="16"/>
                                </w:rPr>
                                <w:t xml:space="preserve"> </w:t>
                              </w:r>
                              <w:r>
                                <w:rPr>
                                  <w:sz w:val="16"/>
                                </w:rPr>
                                <w:t>sus</w:t>
                              </w:r>
                              <w:r>
                                <w:rPr>
                                  <w:spacing w:val="10"/>
                                  <w:sz w:val="16"/>
                                </w:rPr>
                                <w:t xml:space="preserve"> </w:t>
                              </w:r>
                              <w:r>
                                <w:rPr>
                                  <w:sz w:val="16"/>
                                </w:rPr>
                                <w:t>obligaciones</w:t>
                              </w:r>
                              <w:r>
                                <w:rPr>
                                  <w:spacing w:val="10"/>
                                  <w:sz w:val="16"/>
                                </w:rPr>
                                <w:t xml:space="preserve"> </w:t>
                              </w:r>
                              <w:r>
                                <w:rPr>
                                  <w:sz w:val="16"/>
                                </w:rPr>
                                <w:t>y</w:t>
                              </w:r>
                              <w:r>
                                <w:rPr>
                                  <w:spacing w:val="10"/>
                                  <w:sz w:val="16"/>
                                </w:rPr>
                                <w:t xml:space="preserve"> </w:t>
                              </w:r>
                              <w:r>
                                <w:rPr>
                                  <w:sz w:val="16"/>
                                </w:rPr>
                                <w:t>cumplan</w:t>
                              </w:r>
                              <w:r>
                                <w:rPr>
                                  <w:spacing w:val="10"/>
                                  <w:sz w:val="16"/>
                                </w:rPr>
                                <w:t xml:space="preserve"> </w:t>
                              </w:r>
                              <w:r>
                                <w:rPr>
                                  <w:sz w:val="16"/>
                                </w:rPr>
                                <w:t>sus</w:t>
                              </w:r>
                              <w:r>
                                <w:rPr>
                                  <w:spacing w:val="10"/>
                                  <w:sz w:val="16"/>
                                </w:rPr>
                                <w:t xml:space="preserve"> </w:t>
                              </w:r>
                              <w:r>
                                <w:rPr>
                                  <w:sz w:val="16"/>
                                </w:rPr>
                                <w:t>compromisos</w:t>
                              </w:r>
                              <w:r>
                                <w:rPr>
                                  <w:spacing w:val="10"/>
                                  <w:sz w:val="16"/>
                                </w:rPr>
                                <w:t xml:space="preserve"> </w:t>
                              </w:r>
                              <w:r>
                                <w:rPr>
                                  <w:sz w:val="16"/>
                                </w:rPr>
                                <w:t>de</w:t>
                              </w:r>
                              <w:r>
                                <w:rPr>
                                  <w:spacing w:val="10"/>
                                  <w:sz w:val="16"/>
                                </w:rPr>
                                <w:t xml:space="preserve"> </w:t>
                              </w:r>
                              <w:r>
                                <w:rPr>
                                  <w:sz w:val="16"/>
                                </w:rPr>
                                <w:t>eliminar</w:t>
                              </w:r>
                              <w:r>
                                <w:rPr>
                                  <w:spacing w:val="10"/>
                                  <w:sz w:val="16"/>
                                </w:rPr>
                                <w:t xml:space="preserve"> </w:t>
                              </w:r>
                              <w:r>
                                <w:rPr>
                                  <w:sz w:val="16"/>
                                </w:rPr>
                                <w:t>la</w:t>
                              </w:r>
                              <w:r>
                                <w:rPr>
                                  <w:spacing w:val="10"/>
                                  <w:sz w:val="16"/>
                                </w:rPr>
                                <w:t xml:space="preserve"> </w:t>
                              </w:r>
                              <w:r>
                                <w:rPr>
                                  <w:sz w:val="16"/>
                                </w:rPr>
                                <w:t>discriminación y garantizar la igualdad de participación, sus esfuerzos deben ir más allá de la lucha contra los prejuicios, los estereotipos y el estigma. Deben realizarse esfuerzos para promover el entendimiento entre personas y grupos con</w:t>
                              </w:r>
                            </w:p>
                            <w:p w14:paraId="369AF4FD" w14:textId="77777777" w:rsidR="0014798C" w:rsidRDefault="004E1F0B">
                              <w:pPr>
                                <w:spacing w:line="271" w:lineRule="auto"/>
                                <w:ind w:left="526" w:right="268" w:firstLine="1"/>
                                <w:rPr>
                                  <w:sz w:val="16"/>
                                </w:rPr>
                              </w:pPr>
                              <w:r>
                                <w:rPr>
                                  <w:sz w:val="16"/>
                                </w:rPr>
                                <w:t>diferentes características, estatus y creencias y demostrar cómo unas economías y sociedades más igualitarias y diversas benefician a todos.</w:t>
                              </w:r>
                            </w:p>
                          </w:txbxContent>
                        </wps:txbx>
                        <wps:bodyPr wrap="square" lIns="0" tIns="0" rIns="0" bIns="0" rtlCol="0">
                          <a:noAutofit/>
                        </wps:bodyPr>
                      </wps:wsp>
                    </wpg:wgp>
                  </a:graphicData>
                </a:graphic>
              </wp:anchor>
            </w:drawing>
          </mc:Choice>
          <mc:Fallback>
            <w:pict>
              <v:group w14:anchorId="4DC5626A" id="Group 379" o:spid="_x0000_s1182" style="position:absolute;left:0;text-align:left;margin-left:61.9pt;margin-top:46.55pt;width:470.5pt;height:272.45pt;z-index:-251657917;mso-wrap-distance-left:0;mso-wrap-distance-right:0;mso-position-horizontal-relative:page" coordsize="59753,34601"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">
                <v:shape id="Image 380" o:spid="_x0000_s1183" type="#_x0000_t75" style="position:absolute;width:59751;height:3459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">
                  <v:imagedata r:id="rId354" o:title=""/>
                </v:shape>
                <v:shape id="Textbox 381" o:spid="_x0000_s1184" type="#_x0000_t202" style="position:absolute;width:59753;height:3460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" filled="f" stroked="f">
                  <v:textbox inset="0,0,0,0">
                    <w:txbxContent>
                      <w:p w14:paraId="79ED7836" w14:textId="77777777" w:rsidR="0014798C" w:rsidRDefault="0014798C">
                        <w:pPr>
                          <w:spacing w:before="103"/>
                          <w:rPr>
                            <w:sz w:val="14"/>
                          </w:rPr>
                        </w:pPr>
                      </w:p>
                      <w:p w14:paraId="2629ADA6" w14:textId="77777777" w:rsidR="0014798C" w:rsidRDefault="004E1F0B">
                        <w:pPr>
                          <w:spacing w:before="1"/>
                          <w:ind w:left="297"/>
                          <w:rPr>
                            <w:sz w:val="14"/>
                          </w:rPr>
                        </w:pPr>
                        <w:r>
                          <w:rPr>
                            <w:color w:val="FFFFFF"/>
                            <w:spacing w:val="-2"/>
                            <w:sz w:val="14"/>
                          </w:rPr>
                          <w:t>RESUMEN</w:t>
                        </w:r>
                      </w:p>
                      <w:p w14:paraId="27F780DD" w14:textId="77777777" w:rsidR="0014798C" w:rsidRDefault="0014798C">
                        <w:pPr>
                          <w:rPr>
                            <w:sz w:val="14"/>
                          </w:rPr>
                        </w:pPr>
                      </w:p>
                      <w:p w14:paraId="5D1763AB" w14:textId="77777777" w:rsidR="0014798C" w:rsidRDefault="0014798C">
                        <w:pPr>
                          <w:spacing w:before="34"/>
                          <w:rPr>
                            <w:sz w:val="14"/>
                          </w:rPr>
                        </w:pPr>
                      </w:p>
                      <w:p w14:paraId="6557789A" w14:textId="77777777" w:rsidR="0014798C" w:rsidRDefault="004E1F0B">
                        <w:pPr>
                          <w:numPr>
                            <w:ilvl w:val="0"/>
                            <w:numId w:val="4"/>
                          </w:numPr>
                          <w:tabs>
                            <w:tab w:val="left" w:pos="407"/>
                            <w:tab w:val="left" w:pos="527"/>
                          </w:tabs>
                          <w:spacing w:line="372" w:lineRule="auto"/>
                          <w:ind w:right="990" w:hanging="208"/>
                          <w:rPr>
                            <w:color w:val="0075BF"/>
                            <w:sz w:val="14"/>
                          </w:rPr>
                        </w:pPr>
                        <w:r>
                          <w:rPr>
                            <w:sz w:val="14"/>
                          </w:rPr>
                          <w:t>El</w:t>
                        </w:r>
                        <w:r>
                          <w:rPr>
                            <w:spacing w:val="-1"/>
                            <w:sz w:val="14"/>
                          </w:rPr>
                          <w:t xml:space="preserve"> </w:t>
                        </w:r>
                        <w:r>
                          <w:rPr>
                            <w:sz w:val="14"/>
                          </w:rPr>
                          <w:t>derecho internacional establece</w:t>
                        </w:r>
                        <w:r>
                          <w:rPr>
                            <w:spacing w:val="-1"/>
                            <w:sz w:val="14"/>
                          </w:rPr>
                          <w:t xml:space="preserve"> </w:t>
                        </w:r>
                        <w:r>
                          <w:rPr>
                            <w:sz w:val="14"/>
                          </w:rPr>
                          <w:t>obligaciones</w:t>
                        </w:r>
                        <w:r>
                          <w:rPr>
                            <w:spacing w:val="-1"/>
                            <w:sz w:val="14"/>
                          </w:rPr>
                          <w:t xml:space="preserve"> </w:t>
                        </w:r>
                        <w:r>
                          <w:rPr>
                            <w:sz w:val="14"/>
                          </w:rPr>
                          <w:t>proactivas</w:t>
                        </w:r>
                        <w:r>
                          <w:rPr>
                            <w:spacing w:val="-1"/>
                            <w:sz w:val="14"/>
                          </w:rPr>
                          <w:t xml:space="preserve"> </w:t>
                        </w:r>
                        <w:r>
                          <w:rPr>
                            <w:sz w:val="14"/>
                          </w:rPr>
                          <w:t>explícitas</w:t>
                        </w:r>
                        <w:r>
                          <w:rPr>
                            <w:spacing w:val="-1"/>
                            <w:sz w:val="14"/>
                          </w:rPr>
                          <w:t xml:space="preserve"> </w:t>
                        </w:r>
                        <w:r>
                          <w:rPr>
                            <w:sz w:val="14"/>
                          </w:rPr>
                          <w:t>para los Estados</w:t>
                        </w:r>
                        <w:r>
                          <w:rPr>
                            <w:spacing w:val="-1"/>
                            <w:sz w:val="14"/>
                          </w:rPr>
                          <w:t xml:space="preserve"> </w:t>
                        </w:r>
                        <w:r>
                          <w:rPr>
                            <w:sz w:val="14"/>
                          </w:rPr>
                          <w:t>para abordar</w:t>
                        </w:r>
                        <w:r>
                          <w:rPr>
                            <w:spacing w:val="-1"/>
                            <w:sz w:val="14"/>
                          </w:rPr>
                          <w:t xml:space="preserve"> </w:t>
                        </w:r>
                        <w:r>
                          <w:rPr>
                            <w:sz w:val="14"/>
                          </w:rPr>
                          <w:t>los prejuicios</w:t>
                        </w:r>
                        <w:r>
                          <w:rPr>
                            <w:spacing w:val="-1"/>
                            <w:sz w:val="14"/>
                          </w:rPr>
                          <w:t xml:space="preserve"> </w:t>
                        </w:r>
                        <w:r>
                          <w:rPr>
                            <w:sz w:val="14"/>
                          </w:rPr>
                          <w:t>y estereotipos.</w:t>
                        </w:r>
                        <w:r>
                          <w:rPr>
                            <w:spacing w:val="40"/>
                            <w:sz w:val="14"/>
                          </w:rPr>
                          <w:t xml:space="preserve"> </w:t>
                        </w:r>
                        <w:r>
                          <w:rPr>
                            <w:sz w:val="14"/>
                          </w:rPr>
                          <w:t>y estigma. Las medidas específicas recomendadas incluyen:</w:t>
                        </w:r>
                      </w:p>
                      <w:p w14:paraId="67BA91D8" w14:textId="77777777" w:rsidR="0014798C" w:rsidRDefault="004E1F0B">
                        <w:pPr>
                          <w:numPr>
                            <w:ilvl w:val="1"/>
                            <w:numId w:val="4"/>
                          </w:numPr>
                          <w:tabs>
                            <w:tab w:val="left" w:pos="648"/>
                          </w:tabs>
                          <w:spacing w:before="114"/>
                          <w:ind w:left="648" w:hanging="117"/>
                          <w:rPr>
                            <w:sz w:val="14"/>
                          </w:rPr>
                        </w:pPr>
                        <w:r>
                          <w:rPr>
                            <w:sz w:val="14"/>
                          </w:rPr>
                          <w:t>El</w:t>
                        </w:r>
                        <w:r>
                          <w:rPr>
                            <w:spacing w:val="-5"/>
                            <w:sz w:val="14"/>
                          </w:rPr>
                          <w:t xml:space="preserve"> </w:t>
                        </w:r>
                        <w:r>
                          <w:rPr>
                            <w:sz w:val="14"/>
                          </w:rPr>
                          <w:t>empoderamiento</w:t>
                        </w:r>
                        <w:r>
                          <w:rPr>
                            <w:spacing w:val="-3"/>
                            <w:sz w:val="14"/>
                          </w:rPr>
                          <w:t xml:space="preserve"> </w:t>
                        </w:r>
                        <w:r>
                          <w:rPr>
                            <w:sz w:val="14"/>
                          </w:rPr>
                          <w:t>y</w:t>
                        </w:r>
                        <w:r>
                          <w:rPr>
                            <w:spacing w:val="-4"/>
                            <w:sz w:val="14"/>
                          </w:rPr>
                          <w:t xml:space="preserve"> </w:t>
                        </w:r>
                        <w:r>
                          <w:rPr>
                            <w:sz w:val="14"/>
                          </w:rPr>
                          <w:t>participación</w:t>
                        </w:r>
                        <w:r>
                          <w:rPr>
                            <w:spacing w:val="-3"/>
                            <w:sz w:val="14"/>
                          </w:rPr>
                          <w:t xml:space="preserve"> </w:t>
                        </w:r>
                        <w:r>
                          <w:rPr>
                            <w:sz w:val="14"/>
                          </w:rPr>
                          <w:t>de</w:t>
                        </w:r>
                        <w:r>
                          <w:rPr>
                            <w:spacing w:val="-4"/>
                            <w:sz w:val="14"/>
                          </w:rPr>
                          <w:t xml:space="preserve"> </w:t>
                        </w:r>
                        <w:r>
                          <w:rPr>
                            <w:sz w:val="14"/>
                          </w:rPr>
                          <w:t>los</w:t>
                        </w:r>
                        <w:r>
                          <w:rPr>
                            <w:spacing w:val="-4"/>
                            <w:sz w:val="14"/>
                          </w:rPr>
                          <w:t xml:space="preserve"> </w:t>
                        </w:r>
                        <w:r>
                          <w:rPr>
                            <w:sz w:val="14"/>
                          </w:rPr>
                          <w:t>titulares</w:t>
                        </w:r>
                        <w:r>
                          <w:rPr>
                            <w:spacing w:val="-4"/>
                            <w:sz w:val="14"/>
                          </w:rPr>
                          <w:t xml:space="preserve"> </w:t>
                        </w:r>
                        <w:r>
                          <w:rPr>
                            <w:sz w:val="14"/>
                          </w:rPr>
                          <w:t>de</w:t>
                        </w:r>
                        <w:r>
                          <w:rPr>
                            <w:spacing w:val="-3"/>
                            <w:sz w:val="14"/>
                          </w:rPr>
                          <w:t xml:space="preserve"> </w:t>
                        </w:r>
                        <w:r>
                          <w:rPr>
                            <w:spacing w:val="-2"/>
                            <w:sz w:val="14"/>
                          </w:rPr>
                          <w:t>derechos.</w:t>
                        </w:r>
                      </w:p>
                      <w:p w14:paraId="7B7A0CDE" w14:textId="77777777" w:rsidR="0014798C" w:rsidRDefault="0014798C">
                        <w:pPr>
                          <w:spacing w:before="41"/>
                          <w:rPr>
                            <w:sz w:val="14"/>
                          </w:rPr>
                        </w:pPr>
                      </w:p>
                      <w:p w14:paraId="144C9517" w14:textId="77777777" w:rsidR="0014798C" w:rsidRDefault="004E1F0B">
                        <w:pPr>
                          <w:numPr>
                            <w:ilvl w:val="1"/>
                            <w:numId w:val="4"/>
                          </w:numPr>
                          <w:tabs>
                            <w:tab w:val="left" w:pos="648"/>
                          </w:tabs>
                          <w:ind w:left="648" w:hanging="117"/>
                          <w:rPr>
                            <w:sz w:val="14"/>
                          </w:rPr>
                        </w:pPr>
                        <w:r>
                          <w:rPr>
                            <w:sz w:val="14"/>
                          </w:rPr>
                          <w:t>Medidas</w:t>
                        </w:r>
                        <w:r>
                          <w:rPr>
                            <w:spacing w:val="-4"/>
                            <w:sz w:val="14"/>
                          </w:rPr>
                          <w:t xml:space="preserve"> </w:t>
                        </w:r>
                        <w:r>
                          <w:rPr>
                            <w:sz w:val="14"/>
                          </w:rPr>
                          <w:t>para</w:t>
                        </w:r>
                        <w:r>
                          <w:rPr>
                            <w:spacing w:val="-3"/>
                            <w:sz w:val="14"/>
                          </w:rPr>
                          <w:t xml:space="preserve"> </w:t>
                        </w:r>
                        <w:r>
                          <w:rPr>
                            <w:sz w:val="14"/>
                          </w:rPr>
                          <w:t>promover</w:t>
                        </w:r>
                        <w:r>
                          <w:rPr>
                            <w:spacing w:val="-4"/>
                            <w:sz w:val="14"/>
                          </w:rPr>
                          <w:t xml:space="preserve"> </w:t>
                        </w:r>
                        <w:r>
                          <w:rPr>
                            <w:sz w:val="14"/>
                          </w:rPr>
                          <w:t>la</w:t>
                        </w:r>
                        <w:r>
                          <w:rPr>
                            <w:spacing w:val="-3"/>
                            <w:sz w:val="14"/>
                          </w:rPr>
                          <w:t xml:space="preserve"> </w:t>
                        </w:r>
                        <w:r>
                          <w:rPr>
                            <w:sz w:val="14"/>
                          </w:rPr>
                          <w:t>diversidad</w:t>
                        </w:r>
                        <w:r>
                          <w:rPr>
                            <w:spacing w:val="-3"/>
                            <w:sz w:val="14"/>
                          </w:rPr>
                          <w:t xml:space="preserve"> </w:t>
                        </w:r>
                        <w:r>
                          <w:rPr>
                            <w:sz w:val="14"/>
                          </w:rPr>
                          <w:t>y</w:t>
                        </w:r>
                        <w:r>
                          <w:rPr>
                            <w:spacing w:val="-3"/>
                            <w:sz w:val="14"/>
                          </w:rPr>
                          <w:t xml:space="preserve"> </w:t>
                        </w:r>
                        <w:r>
                          <w:rPr>
                            <w:sz w:val="14"/>
                          </w:rPr>
                          <w:t>la</w:t>
                        </w:r>
                        <w:r>
                          <w:rPr>
                            <w:spacing w:val="-3"/>
                            <w:sz w:val="14"/>
                          </w:rPr>
                          <w:t xml:space="preserve"> </w:t>
                        </w:r>
                        <w:r>
                          <w:rPr>
                            <w:sz w:val="14"/>
                          </w:rPr>
                          <w:t>igualdad</w:t>
                        </w:r>
                        <w:r>
                          <w:rPr>
                            <w:spacing w:val="-3"/>
                            <w:sz w:val="14"/>
                          </w:rPr>
                          <w:t xml:space="preserve"> </w:t>
                        </w:r>
                        <w:r>
                          <w:rPr>
                            <w:sz w:val="14"/>
                          </w:rPr>
                          <w:t>de</w:t>
                        </w:r>
                        <w:r>
                          <w:rPr>
                            <w:spacing w:val="-3"/>
                            <w:sz w:val="14"/>
                          </w:rPr>
                          <w:t xml:space="preserve"> </w:t>
                        </w:r>
                        <w:r>
                          <w:rPr>
                            <w:sz w:val="14"/>
                          </w:rPr>
                          <w:t>representación</w:t>
                        </w:r>
                        <w:r>
                          <w:rPr>
                            <w:spacing w:val="-3"/>
                            <w:sz w:val="14"/>
                          </w:rPr>
                          <w:t xml:space="preserve"> </w:t>
                        </w:r>
                        <w:r>
                          <w:rPr>
                            <w:sz w:val="14"/>
                          </w:rPr>
                          <w:t>en</w:t>
                        </w:r>
                        <w:r>
                          <w:rPr>
                            <w:spacing w:val="-3"/>
                            <w:sz w:val="14"/>
                          </w:rPr>
                          <w:t xml:space="preserve"> </w:t>
                        </w:r>
                        <w:r>
                          <w:rPr>
                            <w:sz w:val="14"/>
                          </w:rPr>
                          <w:t>las</w:t>
                        </w:r>
                        <w:r>
                          <w:rPr>
                            <w:spacing w:val="-3"/>
                            <w:sz w:val="14"/>
                          </w:rPr>
                          <w:t xml:space="preserve"> </w:t>
                        </w:r>
                        <w:r>
                          <w:rPr>
                            <w:spacing w:val="-2"/>
                            <w:sz w:val="14"/>
                          </w:rPr>
                          <w:t>instituciones.</w:t>
                        </w:r>
                      </w:p>
                      <w:p w14:paraId="59005152" w14:textId="77777777" w:rsidR="0014798C" w:rsidRDefault="0014798C">
                        <w:pPr>
                          <w:spacing w:before="41"/>
                          <w:rPr>
                            <w:sz w:val="14"/>
                          </w:rPr>
                        </w:pPr>
                      </w:p>
                      <w:p w14:paraId="7C3C98F1" w14:textId="77777777" w:rsidR="0014798C" w:rsidRDefault="004E1F0B">
                        <w:pPr>
                          <w:numPr>
                            <w:ilvl w:val="1"/>
                            <w:numId w:val="4"/>
                          </w:numPr>
                          <w:tabs>
                            <w:tab w:val="left" w:pos="648"/>
                            <w:tab w:val="left" w:pos="752"/>
                          </w:tabs>
                          <w:spacing w:line="372" w:lineRule="auto"/>
                          <w:ind w:right="608" w:hanging="221"/>
                          <w:rPr>
                            <w:sz w:val="14"/>
                          </w:rPr>
                        </w:pPr>
                        <w:r>
                          <w:rPr>
                            <w:sz w:val="14"/>
                          </w:rPr>
                          <w:t>Medidas</w:t>
                        </w:r>
                        <w:r>
                          <w:rPr>
                            <w:spacing w:val="-1"/>
                            <w:sz w:val="14"/>
                          </w:rPr>
                          <w:t xml:space="preserve"> </w:t>
                        </w:r>
                        <w:r>
                          <w:rPr>
                            <w:sz w:val="14"/>
                          </w:rPr>
                          <w:t>para desafiar</w:t>
                        </w:r>
                        <w:r>
                          <w:rPr>
                            <w:spacing w:val="-1"/>
                            <w:sz w:val="14"/>
                          </w:rPr>
                          <w:t xml:space="preserve"> </w:t>
                        </w:r>
                        <w:r>
                          <w:rPr>
                            <w:sz w:val="14"/>
                          </w:rPr>
                          <w:t>los prejuicios, los estereotipos</w:t>
                        </w:r>
                        <w:r>
                          <w:rPr>
                            <w:spacing w:val="-1"/>
                            <w:sz w:val="14"/>
                          </w:rPr>
                          <w:t xml:space="preserve"> </w:t>
                        </w:r>
                        <w:r>
                          <w:rPr>
                            <w:sz w:val="14"/>
                          </w:rPr>
                          <w:t>y el estigma</w:t>
                        </w:r>
                        <w:r>
                          <w:rPr>
                            <w:spacing w:val="-1"/>
                            <w:sz w:val="14"/>
                          </w:rPr>
                          <w:t xml:space="preserve"> </w:t>
                        </w:r>
                        <w:r>
                          <w:rPr>
                            <w:sz w:val="14"/>
                          </w:rPr>
                          <w:t>y promover</w:t>
                        </w:r>
                        <w:r>
                          <w:rPr>
                            <w:spacing w:val="-1"/>
                            <w:sz w:val="14"/>
                          </w:rPr>
                          <w:t xml:space="preserve"> </w:t>
                        </w:r>
                        <w:r>
                          <w:rPr>
                            <w:sz w:val="14"/>
                          </w:rPr>
                          <w:t>la diversidad, la inclusión y la igualdad a través</w:t>
                        </w:r>
                        <w:r>
                          <w:rPr>
                            <w:spacing w:val="-1"/>
                            <w:sz w:val="14"/>
                          </w:rPr>
                          <w:t xml:space="preserve"> </w:t>
                        </w:r>
                        <w:r>
                          <w:rPr>
                            <w:sz w:val="14"/>
                          </w:rPr>
                          <w:t>de la</w:t>
                        </w:r>
                        <w:r>
                          <w:rPr>
                            <w:spacing w:val="40"/>
                            <w:sz w:val="14"/>
                          </w:rPr>
                          <w:t xml:space="preserve"> </w:t>
                        </w:r>
                        <w:r>
                          <w:rPr>
                            <w:spacing w:val="-2"/>
                            <w:sz w:val="14"/>
                          </w:rPr>
                          <w:t>educación.</w:t>
                        </w:r>
                      </w:p>
                      <w:p w14:paraId="3BC453CE" w14:textId="77777777" w:rsidR="0014798C" w:rsidRDefault="004E1F0B">
                        <w:pPr>
                          <w:numPr>
                            <w:ilvl w:val="1"/>
                            <w:numId w:val="4"/>
                          </w:numPr>
                          <w:tabs>
                            <w:tab w:val="left" w:pos="648"/>
                            <w:tab w:val="left" w:pos="747"/>
                          </w:tabs>
                          <w:spacing w:before="114" w:line="372" w:lineRule="auto"/>
                          <w:ind w:left="747" w:right="499" w:hanging="216"/>
                          <w:rPr>
                            <w:sz w:val="14"/>
                          </w:rPr>
                        </w:pPr>
                        <w:r>
                          <w:rPr>
                            <w:sz w:val="14"/>
                          </w:rPr>
                          <w:t>Informar</w:t>
                        </w:r>
                        <w:r>
                          <w:rPr>
                            <w:spacing w:val="-1"/>
                            <w:sz w:val="14"/>
                          </w:rPr>
                          <w:t xml:space="preserve"> </w:t>
                        </w:r>
                        <w:r>
                          <w:rPr>
                            <w:sz w:val="14"/>
                          </w:rPr>
                          <w:t>sobre las percepciones</w:t>
                        </w:r>
                        <w:r>
                          <w:rPr>
                            <w:spacing w:val="-1"/>
                            <w:sz w:val="14"/>
                          </w:rPr>
                          <w:t xml:space="preserve"> </w:t>
                        </w:r>
                        <w:r>
                          <w:rPr>
                            <w:sz w:val="14"/>
                          </w:rPr>
                          <w:t>del público a través</w:t>
                        </w:r>
                        <w:r>
                          <w:rPr>
                            <w:spacing w:val="-1"/>
                            <w:sz w:val="14"/>
                          </w:rPr>
                          <w:t xml:space="preserve"> </w:t>
                        </w:r>
                        <w:r>
                          <w:rPr>
                            <w:sz w:val="14"/>
                          </w:rPr>
                          <w:t>de los medios</w:t>
                        </w:r>
                        <w:r>
                          <w:rPr>
                            <w:spacing w:val="-1"/>
                            <w:sz w:val="14"/>
                          </w:rPr>
                          <w:t xml:space="preserve"> </w:t>
                        </w:r>
                        <w:r>
                          <w:rPr>
                            <w:sz w:val="14"/>
                          </w:rPr>
                          <w:t>de comunicación, tanto</w:t>
                        </w:r>
                        <w:r>
                          <w:rPr>
                            <w:spacing w:val="-1"/>
                            <w:sz w:val="14"/>
                          </w:rPr>
                          <w:t xml:space="preserve"> </w:t>
                        </w:r>
                        <w:r>
                          <w:rPr>
                            <w:sz w:val="14"/>
                          </w:rPr>
                          <w:t>los principales</w:t>
                        </w:r>
                        <w:r>
                          <w:rPr>
                            <w:spacing w:val="-1"/>
                            <w:sz w:val="14"/>
                          </w:rPr>
                          <w:t xml:space="preserve"> </w:t>
                        </w:r>
                        <w:r>
                          <w:rPr>
                            <w:sz w:val="14"/>
                          </w:rPr>
                          <w:t>como los medios</w:t>
                        </w:r>
                        <w:r>
                          <w:rPr>
                            <w:spacing w:val="-1"/>
                            <w:sz w:val="14"/>
                          </w:rPr>
                          <w:t xml:space="preserve"> </w:t>
                        </w:r>
                        <w:r>
                          <w:rPr>
                            <w:sz w:val="14"/>
                          </w:rPr>
                          <w:t>sociales,</w:t>
                        </w:r>
                        <w:r>
                          <w:rPr>
                            <w:spacing w:val="40"/>
                            <w:sz w:val="14"/>
                          </w:rPr>
                          <w:t xml:space="preserve"> </w:t>
                        </w:r>
                        <w:r>
                          <w:rPr>
                            <w:sz w:val="14"/>
                          </w:rPr>
                          <w:t>y esfuerzos más amplios de sensibilización.</w:t>
                        </w:r>
                      </w:p>
                      <w:p w14:paraId="75CFE238" w14:textId="77777777" w:rsidR="0014798C" w:rsidRDefault="004E1F0B">
                        <w:pPr>
                          <w:numPr>
                            <w:ilvl w:val="1"/>
                            <w:numId w:val="4"/>
                          </w:numPr>
                          <w:tabs>
                            <w:tab w:val="left" w:pos="648"/>
                            <w:tab w:val="left" w:pos="752"/>
                          </w:tabs>
                          <w:spacing w:before="114" w:line="372" w:lineRule="auto"/>
                          <w:ind w:right="569" w:hanging="221"/>
                          <w:rPr>
                            <w:sz w:val="14"/>
                          </w:rPr>
                        </w:pPr>
                        <w:r>
                          <w:rPr>
                            <w:sz w:val="14"/>
                          </w:rPr>
                          <w:t>Capacitar</w:t>
                        </w:r>
                        <w:r>
                          <w:rPr>
                            <w:spacing w:val="-1"/>
                            <w:sz w:val="14"/>
                          </w:rPr>
                          <w:t xml:space="preserve"> </w:t>
                        </w:r>
                        <w:r>
                          <w:rPr>
                            <w:sz w:val="14"/>
                          </w:rPr>
                          <w:t>a personas, incluidos</w:t>
                        </w:r>
                        <w:r>
                          <w:rPr>
                            <w:spacing w:val="-1"/>
                            <w:sz w:val="14"/>
                          </w:rPr>
                          <w:t xml:space="preserve"> </w:t>
                        </w:r>
                        <w:r>
                          <w:rPr>
                            <w:sz w:val="14"/>
                          </w:rPr>
                          <w:t>funcionarios</w:t>
                        </w:r>
                        <w:r>
                          <w:rPr>
                            <w:spacing w:val="-1"/>
                            <w:sz w:val="14"/>
                          </w:rPr>
                          <w:t xml:space="preserve"> </w:t>
                        </w:r>
                        <w:r>
                          <w:rPr>
                            <w:sz w:val="14"/>
                          </w:rPr>
                          <w:t>públicos, y grupos</w:t>
                        </w:r>
                        <w:r>
                          <w:rPr>
                            <w:spacing w:val="-1"/>
                            <w:sz w:val="14"/>
                          </w:rPr>
                          <w:t xml:space="preserve"> </w:t>
                        </w:r>
                        <w:r>
                          <w:rPr>
                            <w:sz w:val="14"/>
                          </w:rPr>
                          <w:t>en todos</w:t>
                        </w:r>
                        <w:r>
                          <w:rPr>
                            <w:spacing w:val="-1"/>
                            <w:sz w:val="14"/>
                          </w:rPr>
                          <w:t xml:space="preserve"> </w:t>
                        </w:r>
                        <w:r>
                          <w:rPr>
                            <w:sz w:val="14"/>
                          </w:rPr>
                          <w:t>los ámbitos</w:t>
                        </w:r>
                        <w:r>
                          <w:rPr>
                            <w:spacing w:val="-1"/>
                            <w:sz w:val="14"/>
                          </w:rPr>
                          <w:t xml:space="preserve"> </w:t>
                        </w:r>
                        <w:r>
                          <w:rPr>
                            <w:sz w:val="14"/>
                          </w:rPr>
                          <w:t>de la vida en las leyes y principios</w:t>
                        </w:r>
                        <w:r>
                          <w:rPr>
                            <w:spacing w:val="-1"/>
                            <w:sz w:val="14"/>
                          </w:rPr>
                          <w:t xml:space="preserve"> </w:t>
                        </w:r>
                        <w:r>
                          <w:rPr>
                            <w:sz w:val="14"/>
                          </w:rPr>
                          <w:t>de igualdad</w:t>
                        </w:r>
                        <w:r>
                          <w:rPr>
                            <w:spacing w:val="40"/>
                            <w:sz w:val="14"/>
                          </w:rPr>
                          <w:t xml:space="preserve"> </w:t>
                        </w:r>
                        <w:r>
                          <w:rPr>
                            <w:sz w:val="14"/>
                          </w:rPr>
                          <w:t>y no discriminación, así como en la situación y experiencias de los titulares de derechos.</w:t>
                        </w:r>
                      </w:p>
                      <w:p w14:paraId="43267D1F" w14:textId="77777777" w:rsidR="0014798C" w:rsidRDefault="004E1F0B">
                        <w:pPr>
                          <w:numPr>
                            <w:ilvl w:val="0"/>
                            <w:numId w:val="4"/>
                          </w:numPr>
                          <w:tabs>
                            <w:tab w:val="left" w:pos="420"/>
                            <w:tab w:val="left" w:pos="520"/>
                          </w:tabs>
                          <w:spacing w:before="94" w:line="326" w:lineRule="auto"/>
                          <w:ind w:left="520" w:right="303" w:hanging="201"/>
                          <w:rPr>
                            <w:color w:val="0075BF"/>
                            <w:sz w:val="16"/>
                          </w:rPr>
                        </w:pPr>
                        <w:r>
                          <w:rPr>
                            <w:sz w:val="16"/>
                          </w:rPr>
                          <w:t>Además,</w:t>
                        </w:r>
                        <w:r>
                          <w:rPr>
                            <w:spacing w:val="11"/>
                            <w:sz w:val="16"/>
                          </w:rPr>
                          <w:t xml:space="preserve"> </w:t>
                        </w:r>
                        <w:r>
                          <w:rPr>
                            <w:sz w:val="16"/>
                          </w:rPr>
                          <w:t>para</w:t>
                        </w:r>
                        <w:r>
                          <w:rPr>
                            <w:spacing w:val="10"/>
                            <w:sz w:val="16"/>
                          </w:rPr>
                          <w:t xml:space="preserve"> </w:t>
                        </w:r>
                        <w:r>
                          <w:rPr>
                            <w:sz w:val="16"/>
                          </w:rPr>
                          <w:t>que</w:t>
                        </w:r>
                        <w:r>
                          <w:rPr>
                            <w:spacing w:val="10"/>
                            <w:sz w:val="16"/>
                          </w:rPr>
                          <w:t xml:space="preserve"> </w:t>
                        </w:r>
                        <w:r>
                          <w:rPr>
                            <w:sz w:val="16"/>
                          </w:rPr>
                          <w:t>los</w:t>
                        </w:r>
                        <w:r>
                          <w:rPr>
                            <w:spacing w:val="10"/>
                            <w:sz w:val="16"/>
                          </w:rPr>
                          <w:t xml:space="preserve"> </w:t>
                        </w:r>
                        <w:r>
                          <w:rPr>
                            <w:sz w:val="16"/>
                          </w:rPr>
                          <w:t>Estados</w:t>
                        </w:r>
                        <w:r>
                          <w:rPr>
                            <w:spacing w:val="10"/>
                            <w:sz w:val="16"/>
                          </w:rPr>
                          <w:t xml:space="preserve"> </w:t>
                        </w:r>
                        <w:r>
                          <w:rPr>
                            <w:sz w:val="16"/>
                          </w:rPr>
                          <w:t>cumplan</w:t>
                        </w:r>
                        <w:r>
                          <w:rPr>
                            <w:spacing w:val="10"/>
                            <w:sz w:val="16"/>
                          </w:rPr>
                          <w:t xml:space="preserve"> </w:t>
                        </w:r>
                        <w:r>
                          <w:rPr>
                            <w:sz w:val="16"/>
                          </w:rPr>
                          <w:t>con</w:t>
                        </w:r>
                        <w:r>
                          <w:rPr>
                            <w:spacing w:val="10"/>
                            <w:sz w:val="16"/>
                          </w:rPr>
                          <w:t xml:space="preserve"> </w:t>
                        </w:r>
                        <w:r>
                          <w:rPr>
                            <w:sz w:val="16"/>
                          </w:rPr>
                          <w:t>sus</w:t>
                        </w:r>
                        <w:r>
                          <w:rPr>
                            <w:spacing w:val="10"/>
                            <w:sz w:val="16"/>
                          </w:rPr>
                          <w:t xml:space="preserve"> </w:t>
                        </w:r>
                        <w:r>
                          <w:rPr>
                            <w:sz w:val="16"/>
                          </w:rPr>
                          <w:t>obligaciones</w:t>
                        </w:r>
                        <w:r>
                          <w:rPr>
                            <w:spacing w:val="10"/>
                            <w:sz w:val="16"/>
                          </w:rPr>
                          <w:t xml:space="preserve"> </w:t>
                        </w:r>
                        <w:r>
                          <w:rPr>
                            <w:sz w:val="16"/>
                          </w:rPr>
                          <w:t>y</w:t>
                        </w:r>
                        <w:r>
                          <w:rPr>
                            <w:spacing w:val="10"/>
                            <w:sz w:val="16"/>
                          </w:rPr>
                          <w:t xml:space="preserve"> </w:t>
                        </w:r>
                        <w:r>
                          <w:rPr>
                            <w:sz w:val="16"/>
                          </w:rPr>
                          <w:t>cumplan</w:t>
                        </w:r>
                        <w:r>
                          <w:rPr>
                            <w:spacing w:val="10"/>
                            <w:sz w:val="16"/>
                          </w:rPr>
                          <w:t xml:space="preserve"> </w:t>
                        </w:r>
                        <w:r>
                          <w:rPr>
                            <w:sz w:val="16"/>
                          </w:rPr>
                          <w:t>sus</w:t>
                        </w:r>
                        <w:r>
                          <w:rPr>
                            <w:spacing w:val="10"/>
                            <w:sz w:val="16"/>
                          </w:rPr>
                          <w:t xml:space="preserve"> </w:t>
                        </w:r>
                        <w:r>
                          <w:rPr>
                            <w:sz w:val="16"/>
                          </w:rPr>
                          <w:t>compromisos</w:t>
                        </w:r>
                        <w:r>
                          <w:rPr>
                            <w:spacing w:val="10"/>
                            <w:sz w:val="16"/>
                          </w:rPr>
                          <w:t xml:space="preserve"> </w:t>
                        </w:r>
                        <w:r>
                          <w:rPr>
                            <w:sz w:val="16"/>
                          </w:rPr>
                          <w:t>de</w:t>
                        </w:r>
                        <w:r>
                          <w:rPr>
                            <w:spacing w:val="10"/>
                            <w:sz w:val="16"/>
                          </w:rPr>
                          <w:t xml:space="preserve"> </w:t>
                        </w:r>
                        <w:r>
                          <w:rPr>
                            <w:sz w:val="16"/>
                          </w:rPr>
                          <w:t>eliminar</w:t>
                        </w:r>
                        <w:r>
                          <w:rPr>
                            <w:spacing w:val="10"/>
                            <w:sz w:val="16"/>
                          </w:rPr>
                          <w:t xml:space="preserve"> </w:t>
                        </w:r>
                        <w:r>
                          <w:rPr>
                            <w:sz w:val="16"/>
                          </w:rPr>
                          <w:t>la</w:t>
                        </w:r>
                        <w:r>
                          <w:rPr>
                            <w:spacing w:val="10"/>
                            <w:sz w:val="16"/>
                          </w:rPr>
                          <w:t xml:space="preserve"> </w:t>
                        </w:r>
                        <w:r>
                          <w:rPr>
                            <w:sz w:val="16"/>
                          </w:rPr>
                          <w:t>discriminación y garantizar la igualdad de participación, sus esfuerzos deben ir más allá de la lucha contra los prejuicios, los estereotipos y el estigma. Deben realizarse esfuerzos para promover el entendimiento entre personas y grupos con</w:t>
                        </w:r>
                      </w:p>
                      <w:p w14:paraId="369AF4FD" w14:textId="77777777" w:rsidR="0014798C" w:rsidRDefault="004E1F0B">
                        <w:pPr>
                          <w:spacing w:line="271" w:lineRule="auto"/>
                          <w:ind w:left="526" w:right="268" w:firstLine="1"/>
                          <w:rPr>
                            <w:sz w:val="16"/>
                          </w:rPr>
                        </w:pPr>
                        <w:r>
                          <w:rPr>
                            <w:sz w:val="16"/>
                          </w:rPr>
                          <w:t>diferentes características, estatus y creencias y demostrar cómo unas economías y sociedades más igualitarias y diversas benefician a todos.</w:t>
                        </w:r>
                      </w:p>
                    </w:txbxContent>
                  </v:textbox>
                </v:shape>
                <w10:wrap type="topAndBottom" anchorx="page"/>
              </v:group>
            </w:pict>
          </mc:Fallback>
        </mc:AlternateContent>
      </w:r>
      <w:r>
        <w:rPr>
          <w:color w:val="FBB315"/>
          <w:sz w:val="25"/>
        </w:rPr>
        <w:t>OBLIGACIONES DEL DERECHO INTERNACIONAL PARA ABORDAR LOS PREJUICIOS, LOS ESTEREOTIPOS Y EL ESTIGMA</w:t>
      </w:r>
      <w:bookmarkEnd w:id="37"/>
    </w:p>
    <w:p w14:paraId="3072D66D" w14:textId="77777777" w:rsidR="0014798C" w:rsidRDefault="0014798C">
      <w:pPr>
        <w:pStyle w:val="Textoindependiente"/>
        <w:spacing w:before="100"/>
        <w:rPr>
          <w:sz w:val="14"/>
        </w:rPr>
      </w:pPr>
    </w:p>
    <w:p w14:paraId="4098E5A5" w14:textId="77777777" w:rsidR="0014798C" w:rsidRDefault="004E1F0B">
      <w:pPr>
        <w:spacing w:before="1" w:line="376" w:lineRule="auto"/>
        <w:ind w:left="1105" w:right="1272"/>
        <w:rPr>
          <w:sz w:val="14"/>
        </w:rPr>
      </w:pPr>
      <w:r>
        <w:rPr>
          <w:sz w:val="14"/>
        </w:rPr>
        <w:t>La Convención Internacional sobre la Eliminación de todas las Formas de Discriminación Racial, la Convención sobre la Eliminación de Todas las</w:t>
      </w:r>
      <w:r>
        <w:rPr>
          <w:spacing w:val="40"/>
          <w:sz w:val="14"/>
        </w:rPr>
        <w:t xml:space="preserve"> </w:t>
      </w:r>
      <w:r>
        <w:rPr>
          <w:sz w:val="14"/>
        </w:rPr>
        <w:t>Formas</w:t>
      </w:r>
      <w:r>
        <w:rPr>
          <w:spacing w:val="-1"/>
          <w:sz w:val="14"/>
        </w:rPr>
        <w:t xml:space="preserve"> </w:t>
      </w:r>
      <w:r>
        <w:rPr>
          <w:sz w:val="14"/>
        </w:rPr>
        <w:t>de Discriminación contra la Mujer y la Convención sobre los Derechos</w:t>
      </w:r>
      <w:r>
        <w:rPr>
          <w:spacing w:val="-1"/>
          <w:sz w:val="14"/>
        </w:rPr>
        <w:t xml:space="preserve"> </w:t>
      </w:r>
      <w:r>
        <w:rPr>
          <w:sz w:val="14"/>
        </w:rPr>
        <w:t>de las Personas</w:t>
      </w:r>
      <w:r>
        <w:rPr>
          <w:spacing w:val="-1"/>
          <w:sz w:val="14"/>
        </w:rPr>
        <w:t xml:space="preserve"> </w:t>
      </w:r>
      <w:r>
        <w:rPr>
          <w:sz w:val="14"/>
        </w:rPr>
        <w:t>con Discapacidad establecen</w:t>
      </w:r>
      <w:r>
        <w:rPr>
          <w:spacing w:val="-1"/>
          <w:sz w:val="14"/>
        </w:rPr>
        <w:t xml:space="preserve"> </w:t>
      </w:r>
      <w:r>
        <w:rPr>
          <w:sz w:val="14"/>
        </w:rPr>
        <w:t>obligaciones</w:t>
      </w:r>
      <w:r>
        <w:rPr>
          <w:spacing w:val="-1"/>
          <w:sz w:val="14"/>
        </w:rPr>
        <w:t xml:space="preserve"> </w:t>
      </w:r>
      <w:r>
        <w:rPr>
          <w:sz w:val="14"/>
        </w:rPr>
        <w:t>proactivas</w:t>
      </w:r>
      <w:r>
        <w:rPr>
          <w:spacing w:val="40"/>
          <w:sz w:val="14"/>
        </w:rPr>
        <w:t xml:space="preserve"> </w:t>
      </w:r>
      <w:r>
        <w:rPr>
          <w:sz w:val="14"/>
        </w:rPr>
        <w:t>explícitas para los Estados para abordar los prejuicios, los estereotipos y el estigma.</w:t>
      </w:r>
    </w:p>
    <w:p w14:paraId="44AEC0CF" w14:textId="77777777" w:rsidR="0014798C" w:rsidRDefault="0014798C">
      <w:pPr>
        <w:pStyle w:val="Textoindependiente"/>
        <w:spacing w:before="7"/>
        <w:rPr>
          <w:sz w:val="14"/>
        </w:rPr>
      </w:pPr>
    </w:p>
    <w:p w14:paraId="7F27A52E" w14:textId="77777777" w:rsidR="0014798C" w:rsidRDefault="004E1F0B">
      <w:pPr>
        <w:spacing w:line="372" w:lineRule="auto"/>
        <w:ind w:left="1109" w:right="1272" w:hanging="3"/>
        <w:rPr>
          <w:sz w:val="14"/>
        </w:rPr>
      </w:pPr>
      <w:r>
        <w:rPr>
          <w:sz w:val="14"/>
        </w:rPr>
        <w:t>El artículo 7 de la Convención Internacional sobre la Eliminación de todas las Formas de Discriminación Racial exige que los Estados adopten</w:t>
      </w:r>
      <w:r>
        <w:rPr>
          <w:spacing w:val="40"/>
          <w:sz w:val="14"/>
        </w:rPr>
        <w:t xml:space="preserve"> </w:t>
      </w:r>
      <w:r>
        <w:rPr>
          <w:sz w:val="14"/>
        </w:rPr>
        <w:t>“medidas inmediatas y efectivas, particularmente en los campos de la enseñanza, la educación, la cultura y la información, con miras a combatir los</w:t>
      </w:r>
      <w:r>
        <w:rPr>
          <w:spacing w:val="40"/>
          <w:sz w:val="14"/>
        </w:rPr>
        <w:t xml:space="preserve"> </w:t>
      </w:r>
      <w:r>
        <w:rPr>
          <w:sz w:val="14"/>
        </w:rPr>
        <w:t>prejuicios</w:t>
      </w:r>
      <w:r>
        <w:rPr>
          <w:spacing w:val="-1"/>
          <w:sz w:val="14"/>
        </w:rPr>
        <w:t xml:space="preserve"> </w:t>
      </w:r>
      <w:r>
        <w:rPr>
          <w:sz w:val="14"/>
        </w:rPr>
        <w:t>que conducen a la discriminación racial y promover</w:t>
      </w:r>
      <w:r>
        <w:rPr>
          <w:spacing w:val="-1"/>
          <w:sz w:val="14"/>
        </w:rPr>
        <w:t xml:space="preserve"> </w:t>
      </w:r>
      <w:r>
        <w:rPr>
          <w:sz w:val="14"/>
        </w:rPr>
        <w:t>la comprensión, la tolerancia</w:t>
      </w:r>
      <w:r>
        <w:rPr>
          <w:spacing w:val="-1"/>
          <w:sz w:val="14"/>
        </w:rPr>
        <w:t xml:space="preserve"> </w:t>
      </w:r>
      <w:r>
        <w:rPr>
          <w:sz w:val="14"/>
        </w:rPr>
        <w:t>y la amistad”. El</w:t>
      </w:r>
      <w:r>
        <w:rPr>
          <w:spacing w:val="-1"/>
          <w:sz w:val="14"/>
        </w:rPr>
        <w:t xml:space="preserve"> </w:t>
      </w:r>
      <w:r>
        <w:rPr>
          <w:sz w:val="14"/>
        </w:rPr>
        <w:t>artículo</w:t>
      </w:r>
      <w:r>
        <w:rPr>
          <w:spacing w:val="-1"/>
          <w:sz w:val="14"/>
        </w:rPr>
        <w:t xml:space="preserve"> </w:t>
      </w:r>
      <w:r>
        <w:rPr>
          <w:sz w:val="14"/>
        </w:rPr>
        <w:t>2 (1) (e) crea una obligación más</w:t>
      </w:r>
      <w:r>
        <w:rPr>
          <w:spacing w:val="40"/>
          <w:sz w:val="14"/>
        </w:rPr>
        <w:t xml:space="preserve"> </w:t>
      </w:r>
      <w:r>
        <w:rPr>
          <w:sz w:val="14"/>
        </w:rPr>
        <w:t>estrecha y específica: los Estados se comprometen a “alentar, cuando proceda, las organizaciones y movimientos multirraciales integracionistas y</w:t>
      </w:r>
    </w:p>
    <w:p w14:paraId="2EF8C9B4" w14:textId="77777777" w:rsidR="0014798C" w:rsidRDefault="0014798C">
      <w:pPr>
        <w:pStyle w:val="Textoindependiente"/>
        <w:rPr>
          <w:sz w:val="18"/>
        </w:rPr>
      </w:pPr>
    </w:p>
    <w:p w14:paraId="195EB8C3" w14:textId="77777777" w:rsidR="0014798C" w:rsidRDefault="0014798C">
      <w:pPr>
        <w:pStyle w:val="Textoindependiente"/>
        <w:rPr>
          <w:sz w:val="18"/>
        </w:rPr>
      </w:pPr>
    </w:p>
    <w:p w14:paraId="61E2D76C" w14:textId="77777777" w:rsidR="0014798C" w:rsidRDefault="0014798C">
      <w:pPr>
        <w:pStyle w:val="Textoindependiente"/>
        <w:rPr>
          <w:sz w:val="18"/>
        </w:rPr>
      </w:pPr>
    </w:p>
    <w:p w14:paraId="566F281E" w14:textId="77777777" w:rsidR="0014798C" w:rsidRDefault="0014798C">
      <w:pPr>
        <w:pStyle w:val="Textoindependiente"/>
        <w:spacing w:before="30"/>
        <w:rPr>
          <w:sz w:val="18"/>
        </w:rPr>
      </w:pPr>
    </w:p>
    <w:p w14:paraId="0162F798" w14:textId="77777777" w:rsidR="0014798C" w:rsidRDefault="004E1F0B">
      <w:pPr>
        <w:ind w:left="474"/>
        <w:rPr>
          <w:sz w:val="18"/>
        </w:rPr>
      </w:pPr>
      <w:r>
        <w:rPr>
          <w:spacing w:val="-5"/>
          <w:sz w:val="18"/>
        </w:rPr>
        <w:t>192</w:t>
      </w:r>
    </w:p>
    <w:p w14:paraId="4CC13CE3" w14:textId="77777777" w:rsidR="0014798C" w:rsidRDefault="0014798C">
      <w:pPr>
        <w:rPr>
          <w:sz w:val="18"/>
        </w:rPr>
        <w:sectPr w:rsidR="0014798C" w:rsidSect="00F265E4">
          <w:pgSz w:w="11900" w:h="16820"/>
          <w:pgMar w:top="340" w:right="0" w:bottom="280" w:left="200" w:header="121" w:footer="0" w:gutter="0"/>
          <w:cols w:space="720"/>
        </w:sectPr>
      </w:pPr>
    </w:p>
    <w:p w14:paraId="2C49B2EC" w14:textId="77777777" w:rsidR="0014798C" w:rsidRDefault="0014798C">
      <w:pPr>
        <w:pStyle w:val="Textoindependiente"/>
        <w:spacing w:before="79"/>
        <w:rPr>
          <w:sz w:val="11"/>
        </w:rPr>
      </w:pPr>
    </w:p>
    <w:p w14:paraId="2261E09A" w14:textId="77777777" w:rsidR="0014798C" w:rsidRDefault="004E1F0B">
      <w:pPr>
        <w:ind w:left="1111"/>
        <w:rPr>
          <w:sz w:val="11"/>
        </w:rPr>
      </w:pPr>
      <w:r>
        <w:rPr>
          <w:color w:val="FBB315"/>
          <w:w w:val="105"/>
          <w:sz w:val="11"/>
        </w:rPr>
        <w:t>PARTE</w:t>
      </w:r>
      <w:r>
        <w:rPr>
          <w:color w:val="FBB315"/>
          <w:spacing w:val="-2"/>
          <w:w w:val="105"/>
          <w:sz w:val="11"/>
        </w:rPr>
        <w:t xml:space="preserve"> </w:t>
      </w:r>
      <w:r>
        <w:rPr>
          <w:color w:val="FBB315"/>
          <w:w w:val="105"/>
          <w:sz w:val="11"/>
        </w:rPr>
        <w:t>SEIS:</w:t>
      </w:r>
      <w:r>
        <w:rPr>
          <w:color w:val="FBB315"/>
          <w:spacing w:val="-1"/>
          <w:w w:val="105"/>
          <w:sz w:val="11"/>
        </w:rPr>
        <w:t xml:space="preserve"> </w:t>
      </w:r>
      <w:r>
        <w:rPr>
          <w:color w:val="FBB315"/>
          <w:w w:val="105"/>
          <w:sz w:val="11"/>
        </w:rPr>
        <w:t>PROMOCIÓN</w:t>
      </w:r>
      <w:r>
        <w:rPr>
          <w:color w:val="FBB315"/>
          <w:spacing w:val="-1"/>
          <w:w w:val="105"/>
          <w:sz w:val="11"/>
        </w:rPr>
        <w:t xml:space="preserve"> </w:t>
      </w:r>
      <w:r>
        <w:rPr>
          <w:color w:val="FBB315"/>
          <w:w w:val="105"/>
          <w:sz w:val="11"/>
        </w:rPr>
        <w:t>DE</w:t>
      </w:r>
      <w:r>
        <w:rPr>
          <w:color w:val="FBB315"/>
          <w:spacing w:val="-1"/>
          <w:w w:val="105"/>
          <w:sz w:val="11"/>
        </w:rPr>
        <w:t xml:space="preserve"> </w:t>
      </w:r>
      <w:r>
        <w:rPr>
          <w:color w:val="FBB315"/>
          <w:w w:val="105"/>
          <w:sz w:val="11"/>
        </w:rPr>
        <w:t>LA</w:t>
      </w:r>
      <w:r>
        <w:rPr>
          <w:color w:val="FBB315"/>
          <w:spacing w:val="-1"/>
          <w:w w:val="105"/>
          <w:sz w:val="11"/>
        </w:rPr>
        <w:t xml:space="preserve"> </w:t>
      </w:r>
      <w:r>
        <w:rPr>
          <w:color w:val="FBB315"/>
          <w:w w:val="105"/>
          <w:sz w:val="11"/>
        </w:rPr>
        <w:t>DIVERSIDAD</w:t>
      </w:r>
      <w:r>
        <w:rPr>
          <w:color w:val="FBB315"/>
          <w:spacing w:val="-1"/>
          <w:w w:val="105"/>
          <w:sz w:val="11"/>
        </w:rPr>
        <w:t xml:space="preserve"> </w:t>
      </w:r>
      <w:r>
        <w:rPr>
          <w:color w:val="FBB315"/>
          <w:w w:val="105"/>
          <w:sz w:val="11"/>
        </w:rPr>
        <w:t>Y</w:t>
      </w:r>
      <w:r>
        <w:rPr>
          <w:color w:val="FBB315"/>
          <w:spacing w:val="-1"/>
          <w:w w:val="105"/>
          <w:sz w:val="11"/>
        </w:rPr>
        <w:t xml:space="preserve"> </w:t>
      </w:r>
      <w:r>
        <w:rPr>
          <w:color w:val="FBB315"/>
          <w:w w:val="105"/>
          <w:sz w:val="11"/>
        </w:rPr>
        <w:t>LA</w:t>
      </w:r>
      <w:r>
        <w:rPr>
          <w:color w:val="FBB315"/>
          <w:spacing w:val="-1"/>
          <w:w w:val="105"/>
          <w:sz w:val="11"/>
        </w:rPr>
        <w:t xml:space="preserve"> </w:t>
      </w:r>
      <w:r>
        <w:rPr>
          <w:color w:val="FBB315"/>
          <w:w w:val="105"/>
          <w:sz w:val="11"/>
        </w:rPr>
        <w:t>IGUALDAD: OBLIGACIONES DE</w:t>
      </w:r>
      <w:r>
        <w:rPr>
          <w:color w:val="FBB315"/>
          <w:spacing w:val="-1"/>
          <w:w w:val="105"/>
          <w:sz w:val="11"/>
        </w:rPr>
        <w:t xml:space="preserve"> </w:t>
      </w:r>
      <w:r>
        <w:rPr>
          <w:color w:val="FBB315"/>
          <w:w w:val="105"/>
          <w:sz w:val="11"/>
        </w:rPr>
        <w:t>ABORDAR</w:t>
      </w:r>
      <w:r>
        <w:rPr>
          <w:color w:val="FBB315"/>
          <w:spacing w:val="-2"/>
          <w:w w:val="105"/>
          <w:sz w:val="11"/>
        </w:rPr>
        <w:t xml:space="preserve"> </w:t>
      </w:r>
      <w:r>
        <w:rPr>
          <w:color w:val="FBB315"/>
          <w:w w:val="105"/>
          <w:sz w:val="11"/>
        </w:rPr>
        <w:t>LAS</w:t>
      </w:r>
      <w:r>
        <w:rPr>
          <w:color w:val="FBB315"/>
          <w:spacing w:val="-1"/>
          <w:w w:val="105"/>
          <w:sz w:val="11"/>
        </w:rPr>
        <w:t xml:space="preserve"> </w:t>
      </w:r>
      <w:r>
        <w:rPr>
          <w:color w:val="FBB315"/>
          <w:w w:val="105"/>
          <w:sz w:val="11"/>
        </w:rPr>
        <w:t>CAUSAS</w:t>
      </w:r>
      <w:r>
        <w:rPr>
          <w:color w:val="FBB315"/>
          <w:spacing w:val="-1"/>
          <w:w w:val="105"/>
          <w:sz w:val="11"/>
        </w:rPr>
        <w:t xml:space="preserve"> </w:t>
      </w:r>
      <w:r>
        <w:rPr>
          <w:color w:val="FBB315"/>
          <w:w w:val="105"/>
          <w:sz w:val="11"/>
        </w:rPr>
        <w:t>FUNDAMENTALES DE</w:t>
      </w:r>
      <w:r>
        <w:rPr>
          <w:color w:val="FBB315"/>
          <w:spacing w:val="-1"/>
          <w:w w:val="105"/>
          <w:sz w:val="11"/>
        </w:rPr>
        <w:t xml:space="preserve"> </w:t>
      </w:r>
      <w:r>
        <w:rPr>
          <w:color w:val="FBB315"/>
          <w:w w:val="105"/>
          <w:sz w:val="11"/>
        </w:rPr>
        <w:t>LA</w:t>
      </w:r>
      <w:r>
        <w:rPr>
          <w:color w:val="FBB315"/>
          <w:spacing w:val="-1"/>
          <w:w w:val="105"/>
          <w:sz w:val="11"/>
        </w:rPr>
        <w:t xml:space="preserve"> </w:t>
      </w:r>
      <w:r>
        <w:rPr>
          <w:color w:val="FBB315"/>
          <w:spacing w:val="-2"/>
          <w:w w:val="105"/>
          <w:sz w:val="11"/>
        </w:rPr>
        <w:t>DISCRIMINACIÓN</w:t>
      </w:r>
    </w:p>
    <w:p w14:paraId="1FF237C2" w14:textId="77777777" w:rsidR="0014798C" w:rsidRDefault="0014798C">
      <w:pPr>
        <w:pStyle w:val="Textoindependiente"/>
      </w:pPr>
    </w:p>
    <w:p w14:paraId="2A51CFB7" w14:textId="77777777" w:rsidR="0014798C" w:rsidRDefault="0014798C">
      <w:pPr>
        <w:pStyle w:val="Textoindependiente"/>
      </w:pPr>
    </w:p>
    <w:p w14:paraId="1F9A68D6" w14:textId="77777777" w:rsidR="0014798C" w:rsidRDefault="0014798C">
      <w:pPr>
        <w:pStyle w:val="Textoindependiente"/>
      </w:pPr>
    </w:p>
    <w:p w14:paraId="01B4ACEB" w14:textId="77777777" w:rsidR="0014798C" w:rsidRDefault="0014798C">
      <w:pPr>
        <w:pStyle w:val="Textoindependiente"/>
      </w:pPr>
    </w:p>
    <w:p w14:paraId="0B5A5850" w14:textId="77777777" w:rsidR="0014798C" w:rsidRDefault="0014798C">
      <w:pPr>
        <w:pStyle w:val="Textoindependiente"/>
        <w:spacing w:before="102"/>
      </w:pPr>
    </w:p>
    <w:p w14:paraId="23FABD99" w14:textId="77777777" w:rsidR="0014798C" w:rsidRDefault="004E1F0B">
      <w:pPr>
        <w:pStyle w:val="Textoindependiente"/>
        <w:ind w:left="1111"/>
      </w:pPr>
      <w:r>
        <w:t>otros</w:t>
      </w:r>
      <w:r>
        <w:rPr>
          <w:spacing w:val="5"/>
        </w:rPr>
        <w:t xml:space="preserve"> </w:t>
      </w:r>
      <w:r>
        <w:t>medios</w:t>
      </w:r>
      <w:r>
        <w:rPr>
          <w:spacing w:val="6"/>
        </w:rPr>
        <w:t xml:space="preserve"> </w:t>
      </w:r>
      <w:r>
        <w:t>para</w:t>
      </w:r>
      <w:r>
        <w:rPr>
          <w:spacing w:val="6"/>
        </w:rPr>
        <w:t xml:space="preserve"> </w:t>
      </w:r>
      <w:r>
        <w:t>eliminar</w:t>
      </w:r>
      <w:r>
        <w:rPr>
          <w:spacing w:val="6"/>
        </w:rPr>
        <w:t xml:space="preserve"> </w:t>
      </w:r>
      <w:r>
        <w:t>las</w:t>
      </w:r>
      <w:r>
        <w:rPr>
          <w:spacing w:val="6"/>
        </w:rPr>
        <w:t xml:space="preserve"> </w:t>
      </w:r>
      <w:r>
        <w:t>barreras</w:t>
      </w:r>
      <w:r>
        <w:rPr>
          <w:spacing w:val="6"/>
        </w:rPr>
        <w:t xml:space="preserve"> </w:t>
      </w:r>
      <w:r>
        <w:t>entre</w:t>
      </w:r>
      <w:r>
        <w:rPr>
          <w:spacing w:val="6"/>
        </w:rPr>
        <w:t xml:space="preserve"> </w:t>
      </w:r>
      <w:r>
        <w:t>razas</w:t>
      </w:r>
      <w:r>
        <w:rPr>
          <w:spacing w:val="6"/>
        </w:rPr>
        <w:t xml:space="preserve"> </w:t>
      </w:r>
      <w:r>
        <w:t>y</w:t>
      </w:r>
      <w:r>
        <w:rPr>
          <w:spacing w:val="6"/>
        </w:rPr>
        <w:t xml:space="preserve"> </w:t>
      </w:r>
      <w:r>
        <w:t>desalentar</w:t>
      </w:r>
      <w:r>
        <w:rPr>
          <w:spacing w:val="6"/>
        </w:rPr>
        <w:t xml:space="preserve"> </w:t>
      </w:r>
      <w:r>
        <w:t>todo</w:t>
      </w:r>
      <w:r>
        <w:rPr>
          <w:spacing w:val="6"/>
        </w:rPr>
        <w:t xml:space="preserve"> </w:t>
      </w:r>
      <w:r>
        <w:t>lo</w:t>
      </w:r>
      <w:r>
        <w:rPr>
          <w:spacing w:val="6"/>
        </w:rPr>
        <w:t xml:space="preserve"> </w:t>
      </w:r>
      <w:r>
        <w:t>que</w:t>
      </w:r>
      <w:r>
        <w:rPr>
          <w:spacing w:val="6"/>
        </w:rPr>
        <w:t xml:space="preserve"> </w:t>
      </w:r>
      <w:r>
        <w:t>tienda</w:t>
      </w:r>
      <w:r>
        <w:rPr>
          <w:spacing w:val="6"/>
        </w:rPr>
        <w:t xml:space="preserve"> </w:t>
      </w:r>
      <w:r>
        <w:t>a</w:t>
      </w:r>
      <w:r>
        <w:rPr>
          <w:spacing w:val="6"/>
        </w:rPr>
        <w:t xml:space="preserve"> </w:t>
      </w:r>
      <w:r>
        <w:t>fortalecer</w:t>
      </w:r>
      <w:r>
        <w:rPr>
          <w:spacing w:val="6"/>
        </w:rPr>
        <w:t xml:space="preserve"> </w:t>
      </w:r>
      <w:r>
        <w:t>la</w:t>
      </w:r>
      <w:r>
        <w:rPr>
          <w:spacing w:val="6"/>
        </w:rPr>
        <w:t xml:space="preserve"> </w:t>
      </w:r>
      <w:r>
        <w:t>división</w:t>
      </w:r>
      <w:r>
        <w:rPr>
          <w:spacing w:val="6"/>
        </w:rPr>
        <w:t xml:space="preserve"> </w:t>
      </w:r>
      <w:r>
        <w:rPr>
          <w:spacing w:val="-2"/>
        </w:rPr>
        <w:t>racial”.</w:t>
      </w:r>
    </w:p>
    <w:p w14:paraId="65485A75" w14:textId="77777777" w:rsidR="0014798C" w:rsidRDefault="0014798C">
      <w:pPr>
        <w:pStyle w:val="Textoindependiente"/>
      </w:pPr>
    </w:p>
    <w:p w14:paraId="23C31AD4" w14:textId="77777777" w:rsidR="0014798C" w:rsidRDefault="0014798C">
      <w:pPr>
        <w:pStyle w:val="Textoindependiente"/>
        <w:spacing w:before="113"/>
      </w:pPr>
    </w:p>
    <w:p w14:paraId="0EE8EA6B" w14:textId="77777777" w:rsidR="0014798C" w:rsidRDefault="004E1F0B">
      <w:pPr>
        <w:pStyle w:val="Textoindependiente"/>
        <w:spacing w:line="326" w:lineRule="auto"/>
        <w:ind w:left="1107" w:right="1272" w:hanging="1"/>
      </w:pPr>
      <w:r>
        <w:rPr>
          <w:w w:val="105"/>
        </w:rPr>
        <w:t>El</w:t>
      </w:r>
      <w:r>
        <w:rPr>
          <w:spacing w:val="-3"/>
          <w:w w:val="105"/>
        </w:rPr>
        <w:t xml:space="preserve"> </w:t>
      </w:r>
      <w:r>
        <w:rPr>
          <w:w w:val="105"/>
        </w:rPr>
        <w:t>artículo</w:t>
      </w:r>
      <w:r>
        <w:rPr>
          <w:spacing w:val="-3"/>
          <w:w w:val="105"/>
        </w:rPr>
        <w:t xml:space="preserve"> </w:t>
      </w:r>
      <w:r>
        <w:rPr>
          <w:w w:val="105"/>
        </w:rPr>
        <w:t>5</w:t>
      </w:r>
      <w:r>
        <w:rPr>
          <w:spacing w:val="-3"/>
          <w:w w:val="105"/>
        </w:rPr>
        <w:t xml:space="preserve"> </w:t>
      </w:r>
      <w:r>
        <w:rPr>
          <w:w w:val="105"/>
        </w:rPr>
        <w:t>(a)</w:t>
      </w:r>
      <w:r>
        <w:rPr>
          <w:spacing w:val="-3"/>
          <w:w w:val="105"/>
        </w:rPr>
        <w:t xml:space="preserve"> </w:t>
      </w:r>
      <w:r>
        <w:rPr>
          <w:w w:val="105"/>
        </w:rPr>
        <w:t>de</w:t>
      </w:r>
      <w:r>
        <w:rPr>
          <w:spacing w:val="-3"/>
          <w:w w:val="105"/>
        </w:rPr>
        <w:t xml:space="preserve"> </w:t>
      </w:r>
      <w:r>
        <w:rPr>
          <w:w w:val="105"/>
        </w:rPr>
        <w:t>la</w:t>
      </w:r>
      <w:r>
        <w:rPr>
          <w:spacing w:val="-3"/>
          <w:w w:val="105"/>
        </w:rPr>
        <w:t xml:space="preserve"> </w:t>
      </w:r>
      <w:r>
        <w:rPr>
          <w:w w:val="105"/>
        </w:rPr>
        <w:t>Convención</w:t>
      </w:r>
      <w:r>
        <w:rPr>
          <w:spacing w:val="-3"/>
          <w:w w:val="105"/>
        </w:rPr>
        <w:t xml:space="preserve"> </w:t>
      </w:r>
      <w:r>
        <w:rPr>
          <w:w w:val="105"/>
        </w:rPr>
        <w:t>sobre</w:t>
      </w:r>
      <w:r>
        <w:rPr>
          <w:spacing w:val="-3"/>
          <w:w w:val="105"/>
        </w:rPr>
        <w:t xml:space="preserve"> </w:t>
      </w:r>
      <w:r>
        <w:rPr>
          <w:w w:val="105"/>
        </w:rPr>
        <w:t>la</w:t>
      </w:r>
      <w:r>
        <w:rPr>
          <w:spacing w:val="-3"/>
          <w:w w:val="105"/>
        </w:rPr>
        <w:t xml:space="preserve"> </w:t>
      </w:r>
      <w:r>
        <w:rPr>
          <w:w w:val="105"/>
        </w:rPr>
        <w:t>eliminación</w:t>
      </w:r>
      <w:r>
        <w:rPr>
          <w:spacing w:val="-3"/>
          <w:w w:val="105"/>
        </w:rPr>
        <w:t xml:space="preserve"> </w:t>
      </w:r>
      <w:r>
        <w:rPr>
          <w:w w:val="105"/>
        </w:rPr>
        <w:t>de</w:t>
      </w:r>
      <w:r>
        <w:rPr>
          <w:spacing w:val="-3"/>
          <w:w w:val="105"/>
        </w:rPr>
        <w:t xml:space="preserve"> </w:t>
      </w:r>
      <w:r>
        <w:rPr>
          <w:w w:val="105"/>
        </w:rPr>
        <w:t>todas</w:t>
      </w:r>
      <w:r>
        <w:rPr>
          <w:spacing w:val="-3"/>
          <w:w w:val="105"/>
        </w:rPr>
        <w:t xml:space="preserve"> </w:t>
      </w:r>
      <w:r>
        <w:rPr>
          <w:w w:val="105"/>
        </w:rPr>
        <w:t>las</w:t>
      </w:r>
      <w:r>
        <w:rPr>
          <w:spacing w:val="-3"/>
          <w:w w:val="105"/>
        </w:rPr>
        <w:t xml:space="preserve"> </w:t>
      </w:r>
      <w:r>
        <w:rPr>
          <w:w w:val="105"/>
        </w:rPr>
        <w:t>formas</w:t>
      </w:r>
      <w:r>
        <w:rPr>
          <w:spacing w:val="-3"/>
          <w:w w:val="105"/>
        </w:rPr>
        <w:t xml:space="preserve"> </w:t>
      </w:r>
      <w:r>
        <w:rPr>
          <w:w w:val="105"/>
        </w:rPr>
        <w:t>de</w:t>
      </w:r>
      <w:r>
        <w:rPr>
          <w:spacing w:val="-3"/>
          <w:w w:val="105"/>
        </w:rPr>
        <w:t xml:space="preserve"> </w:t>
      </w:r>
      <w:r>
        <w:rPr>
          <w:w w:val="105"/>
        </w:rPr>
        <w:t>discriminación</w:t>
      </w:r>
      <w:r>
        <w:rPr>
          <w:spacing w:val="-3"/>
          <w:w w:val="105"/>
        </w:rPr>
        <w:t xml:space="preserve"> </w:t>
      </w:r>
      <w:r>
        <w:rPr>
          <w:w w:val="105"/>
        </w:rPr>
        <w:t>contra</w:t>
      </w:r>
      <w:r>
        <w:rPr>
          <w:spacing w:val="-3"/>
          <w:w w:val="105"/>
        </w:rPr>
        <w:t xml:space="preserve"> </w:t>
      </w:r>
      <w:r>
        <w:rPr>
          <w:w w:val="105"/>
        </w:rPr>
        <w:t>la</w:t>
      </w:r>
      <w:r>
        <w:rPr>
          <w:spacing w:val="-3"/>
          <w:w w:val="105"/>
        </w:rPr>
        <w:t xml:space="preserve"> </w:t>
      </w:r>
      <w:r>
        <w:rPr>
          <w:w w:val="105"/>
        </w:rPr>
        <w:t>mujer</w:t>
      </w:r>
      <w:r>
        <w:rPr>
          <w:spacing w:val="-3"/>
          <w:w w:val="105"/>
        </w:rPr>
        <w:t xml:space="preserve"> </w:t>
      </w:r>
      <w:r>
        <w:rPr>
          <w:w w:val="105"/>
        </w:rPr>
        <w:t>exige</w:t>
      </w:r>
      <w:r>
        <w:rPr>
          <w:spacing w:val="-3"/>
          <w:w w:val="105"/>
        </w:rPr>
        <w:t xml:space="preserve"> </w:t>
      </w:r>
      <w:r>
        <w:rPr>
          <w:w w:val="105"/>
        </w:rPr>
        <w:t>que</w:t>
      </w:r>
      <w:r>
        <w:rPr>
          <w:spacing w:val="-3"/>
          <w:w w:val="105"/>
        </w:rPr>
        <w:t xml:space="preserve"> </w:t>
      </w:r>
      <w:r>
        <w:rPr>
          <w:w w:val="105"/>
        </w:rPr>
        <w:t>los Estados</w:t>
      </w:r>
      <w:r>
        <w:rPr>
          <w:spacing w:val="-10"/>
          <w:w w:val="105"/>
        </w:rPr>
        <w:t xml:space="preserve"> </w:t>
      </w:r>
      <w:r>
        <w:rPr>
          <w:w w:val="105"/>
        </w:rPr>
        <w:t>adopten</w:t>
      </w:r>
      <w:r>
        <w:rPr>
          <w:spacing w:val="-10"/>
          <w:w w:val="105"/>
        </w:rPr>
        <w:t xml:space="preserve"> </w:t>
      </w:r>
      <w:r>
        <w:rPr>
          <w:w w:val="105"/>
        </w:rPr>
        <w:t>“todas</w:t>
      </w:r>
      <w:r>
        <w:rPr>
          <w:spacing w:val="-10"/>
          <w:w w:val="105"/>
        </w:rPr>
        <w:t xml:space="preserve"> </w:t>
      </w:r>
      <w:r>
        <w:rPr>
          <w:w w:val="105"/>
        </w:rPr>
        <w:t>las</w:t>
      </w:r>
      <w:r>
        <w:rPr>
          <w:spacing w:val="-10"/>
          <w:w w:val="105"/>
        </w:rPr>
        <w:t xml:space="preserve"> </w:t>
      </w:r>
      <w:r>
        <w:rPr>
          <w:w w:val="105"/>
        </w:rPr>
        <w:t>medidas</w:t>
      </w:r>
      <w:r>
        <w:rPr>
          <w:spacing w:val="-10"/>
          <w:w w:val="105"/>
        </w:rPr>
        <w:t xml:space="preserve"> </w:t>
      </w:r>
      <w:r>
        <w:rPr>
          <w:w w:val="105"/>
        </w:rPr>
        <w:t>apropiadas...</w:t>
      </w:r>
      <w:r>
        <w:rPr>
          <w:spacing w:val="-9"/>
          <w:w w:val="105"/>
        </w:rPr>
        <w:t xml:space="preserve"> </w:t>
      </w:r>
      <w:r>
        <w:rPr>
          <w:w w:val="105"/>
        </w:rPr>
        <w:t>para</w:t>
      </w:r>
      <w:r>
        <w:rPr>
          <w:spacing w:val="-10"/>
          <w:w w:val="105"/>
        </w:rPr>
        <w:t xml:space="preserve"> </w:t>
      </w:r>
      <w:r>
        <w:rPr>
          <w:w w:val="105"/>
        </w:rPr>
        <w:t>modificar</w:t>
      </w:r>
      <w:r>
        <w:rPr>
          <w:spacing w:val="-10"/>
          <w:w w:val="105"/>
        </w:rPr>
        <w:t xml:space="preserve"> </w:t>
      </w:r>
      <w:r>
        <w:rPr>
          <w:w w:val="105"/>
        </w:rPr>
        <w:t>los</w:t>
      </w:r>
      <w:r>
        <w:rPr>
          <w:spacing w:val="-10"/>
          <w:w w:val="105"/>
        </w:rPr>
        <w:t xml:space="preserve"> </w:t>
      </w:r>
      <w:r>
        <w:rPr>
          <w:w w:val="105"/>
        </w:rPr>
        <w:t>patrones</w:t>
      </w:r>
      <w:r>
        <w:rPr>
          <w:spacing w:val="-10"/>
          <w:w w:val="105"/>
        </w:rPr>
        <w:t xml:space="preserve"> </w:t>
      </w:r>
      <w:r>
        <w:rPr>
          <w:w w:val="105"/>
        </w:rPr>
        <w:t>sociales</w:t>
      </w:r>
      <w:r>
        <w:rPr>
          <w:spacing w:val="-10"/>
          <w:w w:val="105"/>
        </w:rPr>
        <w:t xml:space="preserve"> </w:t>
      </w:r>
      <w:r>
        <w:rPr>
          <w:w w:val="105"/>
        </w:rPr>
        <w:t>y</w:t>
      </w:r>
      <w:r>
        <w:rPr>
          <w:spacing w:val="-10"/>
          <w:w w:val="105"/>
        </w:rPr>
        <w:t xml:space="preserve"> </w:t>
      </w:r>
      <w:r>
        <w:rPr>
          <w:w w:val="105"/>
        </w:rPr>
        <w:t>culturales</w:t>
      </w:r>
      <w:r>
        <w:rPr>
          <w:spacing w:val="-10"/>
          <w:w w:val="105"/>
        </w:rPr>
        <w:t xml:space="preserve"> </w:t>
      </w:r>
      <w:r>
        <w:rPr>
          <w:w w:val="105"/>
        </w:rPr>
        <w:t>de</w:t>
      </w:r>
      <w:r>
        <w:rPr>
          <w:spacing w:val="-10"/>
          <w:w w:val="105"/>
        </w:rPr>
        <w:t xml:space="preserve"> </w:t>
      </w:r>
      <w:r>
        <w:rPr>
          <w:w w:val="105"/>
        </w:rPr>
        <w:t>conducta</w:t>
      </w:r>
      <w:r>
        <w:rPr>
          <w:spacing w:val="-10"/>
          <w:w w:val="105"/>
        </w:rPr>
        <w:t xml:space="preserve"> </w:t>
      </w:r>
      <w:r>
        <w:rPr>
          <w:w w:val="105"/>
        </w:rPr>
        <w:t>de</w:t>
      </w:r>
      <w:r>
        <w:rPr>
          <w:spacing w:val="-10"/>
          <w:w w:val="105"/>
        </w:rPr>
        <w:t xml:space="preserve"> </w:t>
      </w:r>
      <w:r>
        <w:rPr>
          <w:w w:val="105"/>
        </w:rPr>
        <w:t>hombres</w:t>
      </w:r>
      <w:r>
        <w:rPr>
          <w:spacing w:val="-10"/>
          <w:w w:val="105"/>
        </w:rPr>
        <w:t xml:space="preserve"> </w:t>
      </w:r>
      <w:r>
        <w:rPr>
          <w:w w:val="105"/>
        </w:rPr>
        <w:t>y mujeres,</w:t>
      </w:r>
      <w:r>
        <w:rPr>
          <w:spacing w:val="-2"/>
          <w:w w:val="105"/>
        </w:rPr>
        <w:t xml:space="preserve"> </w:t>
      </w:r>
      <w:r>
        <w:rPr>
          <w:w w:val="105"/>
        </w:rPr>
        <w:t>con</w:t>
      </w:r>
      <w:r>
        <w:rPr>
          <w:spacing w:val="-3"/>
          <w:w w:val="105"/>
        </w:rPr>
        <w:t xml:space="preserve"> </w:t>
      </w:r>
      <w:r>
        <w:rPr>
          <w:w w:val="105"/>
        </w:rPr>
        <w:t>miras</w:t>
      </w:r>
      <w:r>
        <w:rPr>
          <w:spacing w:val="-3"/>
          <w:w w:val="105"/>
        </w:rPr>
        <w:t xml:space="preserve"> </w:t>
      </w:r>
      <w:r>
        <w:rPr>
          <w:w w:val="105"/>
        </w:rPr>
        <w:t>a</w:t>
      </w:r>
      <w:r>
        <w:rPr>
          <w:spacing w:val="-3"/>
          <w:w w:val="105"/>
        </w:rPr>
        <w:t xml:space="preserve"> </w:t>
      </w:r>
      <w:r>
        <w:rPr>
          <w:w w:val="105"/>
        </w:rPr>
        <w:t>lograr</w:t>
      </w:r>
      <w:r>
        <w:rPr>
          <w:spacing w:val="-3"/>
          <w:w w:val="105"/>
        </w:rPr>
        <w:t xml:space="preserve"> </w:t>
      </w:r>
      <w:r>
        <w:rPr>
          <w:w w:val="105"/>
        </w:rPr>
        <w:t>la</w:t>
      </w:r>
      <w:r>
        <w:rPr>
          <w:spacing w:val="-3"/>
          <w:w w:val="105"/>
        </w:rPr>
        <w:t xml:space="preserve"> </w:t>
      </w:r>
      <w:r>
        <w:rPr>
          <w:w w:val="105"/>
        </w:rPr>
        <w:t>eliminación</w:t>
      </w:r>
      <w:r>
        <w:rPr>
          <w:spacing w:val="-3"/>
          <w:w w:val="105"/>
        </w:rPr>
        <w:t xml:space="preserve"> </w:t>
      </w:r>
      <w:r>
        <w:rPr>
          <w:w w:val="105"/>
        </w:rPr>
        <w:t>de</w:t>
      </w:r>
      <w:r>
        <w:rPr>
          <w:spacing w:val="-3"/>
          <w:w w:val="105"/>
        </w:rPr>
        <w:t xml:space="preserve"> </w:t>
      </w:r>
      <w:r>
        <w:rPr>
          <w:w w:val="105"/>
        </w:rPr>
        <w:t>los</w:t>
      </w:r>
      <w:r>
        <w:rPr>
          <w:spacing w:val="-3"/>
          <w:w w:val="105"/>
        </w:rPr>
        <w:t xml:space="preserve"> </w:t>
      </w:r>
      <w:r>
        <w:rPr>
          <w:w w:val="105"/>
        </w:rPr>
        <w:t>prejuicios”</w:t>
      </w:r>
      <w:proofErr w:type="gramStart"/>
      <w:r>
        <w:rPr>
          <w:w w:val="105"/>
        </w:rPr>
        <w:t>.</w:t>
      </w:r>
      <w:r>
        <w:rPr>
          <w:spacing w:val="-3"/>
          <w:w w:val="105"/>
        </w:rPr>
        <w:t xml:space="preserve"> </w:t>
      </w:r>
      <w:r>
        <w:rPr>
          <w:w w:val="105"/>
        </w:rPr>
        <w:t>”</w:t>
      </w:r>
      <w:proofErr w:type="gramEnd"/>
      <w:r>
        <w:rPr>
          <w:w w:val="105"/>
        </w:rPr>
        <w:t>,</w:t>
      </w:r>
      <w:r>
        <w:rPr>
          <w:spacing w:val="-2"/>
          <w:w w:val="105"/>
        </w:rPr>
        <w:t xml:space="preserve"> </w:t>
      </w:r>
      <w:r>
        <w:rPr>
          <w:w w:val="105"/>
        </w:rPr>
        <w:t>estereotipos</w:t>
      </w:r>
      <w:r>
        <w:rPr>
          <w:spacing w:val="-3"/>
          <w:w w:val="105"/>
        </w:rPr>
        <w:t xml:space="preserve"> </w:t>
      </w:r>
      <w:r>
        <w:rPr>
          <w:w w:val="105"/>
        </w:rPr>
        <w:t>y</w:t>
      </w:r>
      <w:r>
        <w:rPr>
          <w:spacing w:val="-3"/>
          <w:w w:val="105"/>
        </w:rPr>
        <w:t xml:space="preserve"> </w:t>
      </w:r>
      <w:r>
        <w:rPr>
          <w:w w:val="105"/>
        </w:rPr>
        <w:t>nociones</w:t>
      </w:r>
      <w:r>
        <w:rPr>
          <w:spacing w:val="-3"/>
          <w:w w:val="105"/>
        </w:rPr>
        <w:t xml:space="preserve"> </w:t>
      </w:r>
      <w:r>
        <w:rPr>
          <w:w w:val="105"/>
        </w:rPr>
        <w:t>de</w:t>
      </w:r>
      <w:r>
        <w:rPr>
          <w:spacing w:val="-3"/>
          <w:w w:val="105"/>
        </w:rPr>
        <w:t xml:space="preserve"> </w:t>
      </w:r>
      <w:r>
        <w:rPr>
          <w:w w:val="105"/>
        </w:rPr>
        <w:t>superioridad</w:t>
      </w:r>
      <w:r>
        <w:rPr>
          <w:spacing w:val="-3"/>
          <w:w w:val="105"/>
        </w:rPr>
        <w:t xml:space="preserve"> </w:t>
      </w:r>
      <w:r>
        <w:rPr>
          <w:w w:val="105"/>
        </w:rPr>
        <w:t>o</w:t>
      </w:r>
      <w:r>
        <w:rPr>
          <w:spacing w:val="-3"/>
          <w:w w:val="105"/>
        </w:rPr>
        <w:t xml:space="preserve"> </w:t>
      </w:r>
      <w:r>
        <w:rPr>
          <w:w w:val="105"/>
        </w:rPr>
        <w:t>inferioridad</w:t>
      </w:r>
      <w:r>
        <w:rPr>
          <w:spacing w:val="-3"/>
          <w:w w:val="105"/>
        </w:rPr>
        <w:t xml:space="preserve"> </w:t>
      </w:r>
      <w:r>
        <w:rPr>
          <w:w w:val="105"/>
        </w:rPr>
        <w:t>de</w:t>
      </w:r>
      <w:r>
        <w:rPr>
          <w:spacing w:val="-3"/>
          <w:w w:val="105"/>
        </w:rPr>
        <w:t xml:space="preserve"> </w:t>
      </w:r>
      <w:r>
        <w:rPr>
          <w:w w:val="105"/>
        </w:rPr>
        <w:t>los sexos.</w:t>
      </w:r>
      <w:r>
        <w:rPr>
          <w:spacing w:val="-3"/>
          <w:w w:val="105"/>
        </w:rPr>
        <w:t xml:space="preserve"> </w:t>
      </w:r>
      <w:r>
        <w:rPr>
          <w:w w:val="105"/>
        </w:rPr>
        <w:t>En</w:t>
      </w:r>
      <w:r>
        <w:rPr>
          <w:spacing w:val="-4"/>
          <w:w w:val="105"/>
        </w:rPr>
        <w:t xml:space="preserve"> </w:t>
      </w:r>
      <w:r>
        <w:rPr>
          <w:w w:val="105"/>
        </w:rPr>
        <w:t>su</w:t>
      </w:r>
      <w:r>
        <w:rPr>
          <w:spacing w:val="-4"/>
          <w:w w:val="105"/>
        </w:rPr>
        <w:t xml:space="preserve"> </w:t>
      </w:r>
      <w:r>
        <w:rPr>
          <w:w w:val="105"/>
        </w:rPr>
        <w:t>jurisprudencia</w:t>
      </w:r>
      <w:r>
        <w:rPr>
          <w:spacing w:val="-4"/>
          <w:w w:val="105"/>
        </w:rPr>
        <w:t xml:space="preserve"> </w:t>
      </w:r>
      <w:r>
        <w:rPr>
          <w:w w:val="105"/>
        </w:rPr>
        <w:t>sobre</w:t>
      </w:r>
      <w:r>
        <w:rPr>
          <w:spacing w:val="-4"/>
          <w:w w:val="105"/>
        </w:rPr>
        <w:t xml:space="preserve"> </w:t>
      </w:r>
      <w:r>
        <w:rPr>
          <w:w w:val="105"/>
        </w:rPr>
        <w:t>la</w:t>
      </w:r>
      <w:r>
        <w:rPr>
          <w:spacing w:val="-4"/>
          <w:w w:val="105"/>
        </w:rPr>
        <w:t xml:space="preserve"> </w:t>
      </w:r>
      <w:r>
        <w:rPr>
          <w:w w:val="105"/>
        </w:rPr>
        <w:t>violencia</w:t>
      </w:r>
      <w:r>
        <w:rPr>
          <w:spacing w:val="-4"/>
          <w:w w:val="105"/>
        </w:rPr>
        <w:t xml:space="preserve"> </w:t>
      </w:r>
      <w:r>
        <w:rPr>
          <w:w w:val="105"/>
        </w:rPr>
        <w:t>de</w:t>
      </w:r>
      <w:r>
        <w:rPr>
          <w:spacing w:val="-4"/>
          <w:w w:val="105"/>
        </w:rPr>
        <w:t xml:space="preserve"> </w:t>
      </w:r>
      <w:r>
        <w:rPr>
          <w:w w:val="105"/>
        </w:rPr>
        <w:t>género</w:t>
      </w:r>
      <w:r>
        <w:rPr>
          <w:spacing w:val="-4"/>
          <w:w w:val="105"/>
        </w:rPr>
        <w:t xml:space="preserve"> </w:t>
      </w:r>
      <w:r>
        <w:rPr>
          <w:w w:val="105"/>
        </w:rPr>
        <w:t>contra</w:t>
      </w:r>
      <w:r>
        <w:rPr>
          <w:spacing w:val="-4"/>
          <w:w w:val="105"/>
        </w:rPr>
        <w:t xml:space="preserve"> </w:t>
      </w:r>
      <w:r>
        <w:rPr>
          <w:w w:val="105"/>
        </w:rPr>
        <w:t>la</w:t>
      </w:r>
      <w:r>
        <w:rPr>
          <w:spacing w:val="-4"/>
          <w:w w:val="105"/>
        </w:rPr>
        <w:t xml:space="preserve"> </w:t>
      </w:r>
      <w:r>
        <w:rPr>
          <w:w w:val="105"/>
        </w:rPr>
        <w:t>mujer,</w:t>
      </w:r>
      <w:r>
        <w:rPr>
          <w:spacing w:val="-4"/>
          <w:w w:val="105"/>
        </w:rPr>
        <w:t xml:space="preserve"> </w:t>
      </w:r>
      <w:r>
        <w:rPr>
          <w:w w:val="105"/>
        </w:rPr>
        <w:t>el</w:t>
      </w:r>
      <w:r>
        <w:rPr>
          <w:spacing w:val="-4"/>
          <w:w w:val="105"/>
        </w:rPr>
        <w:t xml:space="preserve"> </w:t>
      </w:r>
      <w:r>
        <w:rPr>
          <w:w w:val="105"/>
        </w:rPr>
        <w:t>Comité</w:t>
      </w:r>
      <w:r>
        <w:rPr>
          <w:spacing w:val="-4"/>
          <w:w w:val="105"/>
        </w:rPr>
        <w:t xml:space="preserve"> </w:t>
      </w:r>
      <w:r>
        <w:rPr>
          <w:w w:val="105"/>
        </w:rPr>
        <w:t>para</w:t>
      </w:r>
      <w:r>
        <w:rPr>
          <w:spacing w:val="-4"/>
          <w:w w:val="105"/>
        </w:rPr>
        <w:t xml:space="preserve"> </w:t>
      </w:r>
      <w:r>
        <w:rPr>
          <w:w w:val="105"/>
        </w:rPr>
        <w:t>la</w:t>
      </w:r>
      <w:r>
        <w:rPr>
          <w:spacing w:val="-4"/>
          <w:w w:val="105"/>
        </w:rPr>
        <w:t xml:space="preserve"> </w:t>
      </w:r>
      <w:r>
        <w:rPr>
          <w:w w:val="105"/>
        </w:rPr>
        <w:t>Eliminación</w:t>
      </w:r>
      <w:r>
        <w:rPr>
          <w:spacing w:val="-4"/>
          <w:w w:val="105"/>
        </w:rPr>
        <w:t xml:space="preserve"> </w:t>
      </w:r>
      <w:r>
        <w:rPr>
          <w:w w:val="105"/>
        </w:rPr>
        <w:t>de</w:t>
      </w:r>
      <w:r>
        <w:rPr>
          <w:spacing w:val="-4"/>
          <w:w w:val="105"/>
        </w:rPr>
        <w:t xml:space="preserve"> </w:t>
      </w:r>
      <w:r>
        <w:rPr>
          <w:w w:val="105"/>
        </w:rPr>
        <w:t>la</w:t>
      </w:r>
      <w:r>
        <w:rPr>
          <w:spacing w:val="-4"/>
          <w:w w:val="105"/>
        </w:rPr>
        <w:t xml:space="preserve"> </w:t>
      </w:r>
      <w:r>
        <w:rPr>
          <w:w w:val="105"/>
        </w:rPr>
        <w:t>Discriminación contra la Mujer ha determinado que los Estados violan estas obligaciones.1227</w:t>
      </w:r>
    </w:p>
    <w:p w14:paraId="1875D594" w14:textId="77777777" w:rsidR="0014798C" w:rsidRDefault="0014798C">
      <w:pPr>
        <w:pStyle w:val="Textoindependiente"/>
      </w:pPr>
    </w:p>
    <w:p w14:paraId="7B8F45E9" w14:textId="77777777" w:rsidR="0014798C" w:rsidRDefault="0014798C">
      <w:pPr>
        <w:pStyle w:val="Textoindependiente"/>
        <w:spacing w:before="99"/>
      </w:pPr>
    </w:p>
    <w:p w14:paraId="4279EFDC" w14:textId="77777777" w:rsidR="0014798C" w:rsidRDefault="004E1F0B">
      <w:pPr>
        <w:pStyle w:val="Textoindependiente"/>
        <w:spacing w:line="326" w:lineRule="auto"/>
        <w:ind w:left="1327" w:right="2765" w:firstLine="8"/>
      </w:pPr>
      <w:r>
        <w:rPr>
          <w:noProof/>
        </w:rPr>
        <w:drawing>
          <wp:anchor distT="0" distB="0" distL="0" distR="0" simplePos="0" relativeHeight="251658498" behindDoc="1" locked="0" layoutInCell="1" allowOverlap="1" wp14:anchorId="1EACB2AE" wp14:editId="624F8477">
            <wp:simplePos x="0" y="0"/>
            <wp:positionH relativeFrom="page">
              <wp:posOffset>795184</wp:posOffset>
            </wp:positionH>
            <wp:positionV relativeFrom="paragraph">
              <wp:posOffset>-160408</wp:posOffset>
            </wp:positionV>
            <wp:extent cx="6761315" cy="6870336"/>
            <wp:effectExtent l="0" t="0" r="0" b="0"/>
            <wp:wrapNone/>
            <wp:docPr id="382" name="Image 38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82" name="Image 382"/>
                    <pic:cNvPicPr/>
                  </pic:nvPicPr>
                  <pic:blipFill>
                    <a:blip r:embed="rId355" cstate="print"/>
                    <a:stretch>
                      <a:fillRect/>
                    </a:stretch>
                  </pic:blipFill>
                  <pic:spPr>
                    <a:xfrm>
                      <a:off x="0" y="0"/>
                      <a:ext cx="6761315" cy="6870336"/>
                    </a:xfrm>
                    <a:prstGeom prst="rect">
                      <a:avLst/>
                    </a:prstGeom>
                  </pic:spPr>
                </pic:pic>
              </a:graphicData>
            </a:graphic>
          </wp:anchor>
        </w:drawing>
      </w:r>
      <w:r>
        <w:rPr>
          <w:w w:val="105"/>
        </w:rPr>
        <w:t>TRAZANDO EL VÍNCULO ENTRE LAS FUERZAS SOCIALES Y LA DISCRIMINACIÓN: EL CONVENCIÓN</w:t>
      </w:r>
      <w:r>
        <w:rPr>
          <w:spacing w:val="-12"/>
          <w:w w:val="105"/>
        </w:rPr>
        <w:t xml:space="preserve"> </w:t>
      </w:r>
      <w:r>
        <w:rPr>
          <w:w w:val="105"/>
        </w:rPr>
        <w:t>SOBRE</w:t>
      </w:r>
      <w:r>
        <w:rPr>
          <w:spacing w:val="-12"/>
          <w:w w:val="105"/>
        </w:rPr>
        <w:t xml:space="preserve"> </w:t>
      </w:r>
      <w:r>
        <w:rPr>
          <w:w w:val="105"/>
        </w:rPr>
        <w:t>LA</w:t>
      </w:r>
      <w:r>
        <w:rPr>
          <w:spacing w:val="-11"/>
          <w:w w:val="105"/>
        </w:rPr>
        <w:t xml:space="preserve"> </w:t>
      </w:r>
      <w:r>
        <w:rPr>
          <w:w w:val="105"/>
        </w:rPr>
        <w:t>ELIMINACIÓN</w:t>
      </w:r>
      <w:r>
        <w:rPr>
          <w:spacing w:val="-12"/>
          <w:w w:val="105"/>
        </w:rPr>
        <w:t xml:space="preserve"> </w:t>
      </w:r>
      <w:r>
        <w:rPr>
          <w:w w:val="105"/>
        </w:rPr>
        <w:t>DE</w:t>
      </w:r>
      <w:r>
        <w:rPr>
          <w:spacing w:val="-12"/>
          <w:w w:val="105"/>
        </w:rPr>
        <w:t xml:space="preserve"> </w:t>
      </w:r>
      <w:r>
        <w:rPr>
          <w:w w:val="105"/>
        </w:rPr>
        <w:t>TODAS</w:t>
      </w:r>
      <w:r>
        <w:rPr>
          <w:spacing w:val="-12"/>
          <w:w w:val="105"/>
        </w:rPr>
        <w:t xml:space="preserve"> </w:t>
      </w:r>
      <w:r>
        <w:rPr>
          <w:w w:val="105"/>
        </w:rPr>
        <w:t>LAS</w:t>
      </w:r>
      <w:r>
        <w:rPr>
          <w:spacing w:val="-11"/>
          <w:w w:val="105"/>
        </w:rPr>
        <w:t xml:space="preserve"> </w:t>
      </w:r>
      <w:r>
        <w:rPr>
          <w:w w:val="105"/>
        </w:rPr>
        <w:t>FORMAS</w:t>
      </w:r>
      <w:r>
        <w:rPr>
          <w:spacing w:val="-12"/>
          <w:w w:val="105"/>
        </w:rPr>
        <w:t xml:space="preserve"> </w:t>
      </w:r>
      <w:r>
        <w:rPr>
          <w:w w:val="105"/>
        </w:rPr>
        <w:t>DE</w:t>
      </w:r>
      <w:r>
        <w:rPr>
          <w:spacing w:val="-12"/>
          <w:w w:val="105"/>
        </w:rPr>
        <w:t xml:space="preserve"> </w:t>
      </w:r>
      <w:r>
        <w:rPr>
          <w:w w:val="105"/>
        </w:rPr>
        <w:t>DISCRIMINACIÓN</w:t>
      </w:r>
      <w:r>
        <w:rPr>
          <w:spacing w:val="-11"/>
          <w:w w:val="105"/>
        </w:rPr>
        <w:t xml:space="preserve"> </w:t>
      </w:r>
      <w:r>
        <w:rPr>
          <w:w w:val="105"/>
        </w:rPr>
        <w:t xml:space="preserve">CONTRA </w:t>
      </w:r>
      <w:r>
        <w:rPr>
          <w:spacing w:val="-4"/>
          <w:w w:val="105"/>
        </w:rPr>
        <w:t>MUJER</w:t>
      </w:r>
    </w:p>
    <w:p w14:paraId="5AF39A45" w14:textId="77777777" w:rsidR="0014798C" w:rsidRDefault="004E1F0B">
      <w:pPr>
        <w:pStyle w:val="Textoindependiente"/>
        <w:spacing w:before="153" w:line="326" w:lineRule="auto"/>
        <w:ind w:left="1338" w:right="1626" w:hanging="5"/>
      </w:pPr>
      <w:r>
        <w:rPr>
          <w:w w:val="105"/>
        </w:rPr>
        <w:t>El</w:t>
      </w:r>
      <w:r>
        <w:rPr>
          <w:spacing w:val="-7"/>
          <w:w w:val="105"/>
        </w:rPr>
        <w:t xml:space="preserve"> </w:t>
      </w:r>
      <w:r>
        <w:rPr>
          <w:w w:val="105"/>
        </w:rPr>
        <w:t>reconocimiento</w:t>
      </w:r>
      <w:r>
        <w:rPr>
          <w:spacing w:val="-7"/>
          <w:w w:val="105"/>
        </w:rPr>
        <w:t xml:space="preserve"> </w:t>
      </w:r>
      <w:r>
        <w:rPr>
          <w:w w:val="105"/>
        </w:rPr>
        <w:t>temprano</w:t>
      </w:r>
      <w:r>
        <w:rPr>
          <w:spacing w:val="-7"/>
          <w:w w:val="105"/>
        </w:rPr>
        <w:t xml:space="preserve"> </w:t>
      </w:r>
      <w:r>
        <w:rPr>
          <w:w w:val="105"/>
        </w:rPr>
        <w:t>del</w:t>
      </w:r>
      <w:r>
        <w:rPr>
          <w:spacing w:val="-7"/>
          <w:w w:val="105"/>
        </w:rPr>
        <w:t xml:space="preserve"> </w:t>
      </w:r>
      <w:r>
        <w:rPr>
          <w:w w:val="105"/>
        </w:rPr>
        <w:t>vínculo</w:t>
      </w:r>
      <w:r>
        <w:rPr>
          <w:spacing w:val="-7"/>
          <w:w w:val="105"/>
        </w:rPr>
        <w:t xml:space="preserve"> </w:t>
      </w:r>
      <w:r>
        <w:rPr>
          <w:w w:val="105"/>
        </w:rPr>
        <w:t>entre</w:t>
      </w:r>
      <w:r>
        <w:rPr>
          <w:spacing w:val="-7"/>
          <w:w w:val="105"/>
        </w:rPr>
        <w:t xml:space="preserve"> </w:t>
      </w:r>
      <w:r>
        <w:rPr>
          <w:w w:val="105"/>
        </w:rPr>
        <w:t>las</w:t>
      </w:r>
      <w:r>
        <w:rPr>
          <w:spacing w:val="-7"/>
          <w:w w:val="105"/>
        </w:rPr>
        <w:t xml:space="preserve"> </w:t>
      </w:r>
      <w:r>
        <w:rPr>
          <w:w w:val="105"/>
        </w:rPr>
        <w:t>normas</w:t>
      </w:r>
      <w:r>
        <w:rPr>
          <w:spacing w:val="-7"/>
          <w:w w:val="105"/>
        </w:rPr>
        <w:t xml:space="preserve"> </w:t>
      </w:r>
      <w:r>
        <w:rPr>
          <w:w w:val="105"/>
        </w:rPr>
        <w:t>sociales</w:t>
      </w:r>
      <w:r>
        <w:rPr>
          <w:spacing w:val="-7"/>
          <w:w w:val="105"/>
        </w:rPr>
        <w:t xml:space="preserve"> </w:t>
      </w:r>
      <w:r>
        <w:rPr>
          <w:w w:val="105"/>
        </w:rPr>
        <w:t>negativas</w:t>
      </w:r>
      <w:r>
        <w:rPr>
          <w:spacing w:val="-7"/>
          <w:w w:val="105"/>
        </w:rPr>
        <w:t xml:space="preserve"> </w:t>
      </w:r>
      <w:r>
        <w:rPr>
          <w:w w:val="105"/>
        </w:rPr>
        <w:t>y</w:t>
      </w:r>
      <w:r>
        <w:rPr>
          <w:spacing w:val="-7"/>
          <w:w w:val="105"/>
        </w:rPr>
        <w:t xml:space="preserve"> </w:t>
      </w:r>
      <w:r>
        <w:rPr>
          <w:w w:val="105"/>
        </w:rPr>
        <w:t>la</w:t>
      </w:r>
      <w:r>
        <w:rPr>
          <w:spacing w:val="-7"/>
          <w:w w:val="105"/>
        </w:rPr>
        <w:t xml:space="preserve"> </w:t>
      </w:r>
      <w:r>
        <w:rPr>
          <w:w w:val="105"/>
        </w:rPr>
        <w:t>discriminación</w:t>
      </w:r>
      <w:r>
        <w:rPr>
          <w:spacing w:val="-7"/>
          <w:w w:val="105"/>
        </w:rPr>
        <w:t xml:space="preserve"> </w:t>
      </w:r>
      <w:r>
        <w:rPr>
          <w:w w:val="105"/>
        </w:rPr>
        <w:t>se</w:t>
      </w:r>
      <w:r>
        <w:rPr>
          <w:spacing w:val="-7"/>
          <w:w w:val="105"/>
        </w:rPr>
        <w:t xml:space="preserve"> </w:t>
      </w:r>
      <w:r>
        <w:rPr>
          <w:w w:val="105"/>
        </w:rPr>
        <w:t>puede</w:t>
      </w:r>
      <w:r>
        <w:rPr>
          <w:spacing w:val="-7"/>
          <w:w w:val="105"/>
        </w:rPr>
        <w:t xml:space="preserve"> </w:t>
      </w:r>
      <w:r>
        <w:rPr>
          <w:w w:val="105"/>
        </w:rPr>
        <w:t>encontrar</w:t>
      </w:r>
      <w:r>
        <w:rPr>
          <w:spacing w:val="-7"/>
          <w:w w:val="105"/>
        </w:rPr>
        <w:t xml:space="preserve"> </w:t>
      </w:r>
      <w:r>
        <w:rPr>
          <w:w w:val="105"/>
        </w:rPr>
        <w:t>en la</w:t>
      </w:r>
      <w:r>
        <w:rPr>
          <w:spacing w:val="-9"/>
          <w:w w:val="105"/>
        </w:rPr>
        <w:t xml:space="preserve"> </w:t>
      </w:r>
      <w:r>
        <w:rPr>
          <w:w w:val="105"/>
        </w:rPr>
        <w:t>Convención</w:t>
      </w:r>
      <w:r>
        <w:rPr>
          <w:spacing w:val="-9"/>
          <w:w w:val="105"/>
        </w:rPr>
        <w:t xml:space="preserve"> </w:t>
      </w:r>
      <w:r>
        <w:rPr>
          <w:w w:val="105"/>
        </w:rPr>
        <w:t>sobre</w:t>
      </w:r>
      <w:r>
        <w:rPr>
          <w:spacing w:val="-9"/>
          <w:w w:val="105"/>
        </w:rPr>
        <w:t xml:space="preserve"> </w:t>
      </w:r>
      <w:r>
        <w:rPr>
          <w:w w:val="105"/>
        </w:rPr>
        <w:t>la</w:t>
      </w:r>
      <w:r>
        <w:rPr>
          <w:spacing w:val="-9"/>
          <w:w w:val="105"/>
        </w:rPr>
        <w:t xml:space="preserve"> </w:t>
      </w:r>
      <w:r>
        <w:rPr>
          <w:w w:val="105"/>
        </w:rPr>
        <w:t>Eliminación</w:t>
      </w:r>
      <w:r>
        <w:rPr>
          <w:spacing w:val="-9"/>
          <w:w w:val="105"/>
        </w:rPr>
        <w:t xml:space="preserve"> </w:t>
      </w:r>
      <w:r>
        <w:rPr>
          <w:w w:val="105"/>
        </w:rPr>
        <w:t>de</w:t>
      </w:r>
      <w:r>
        <w:rPr>
          <w:spacing w:val="-9"/>
          <w:w w:val="105"/>
        </w:rPr>
        <w:t xml:space="preserve"> </w:t>
      </w:r>
      <w:r>
        <w:rPr>
          <w:w w:val="105"/>
        </w:rPr>
        <w:t>Todas</w:t>
      </w:r>
      <w:r>
        <w:rPr>
          <w:spacing w:val="-9"/>
          <w:w w:val="105"/>
        </w:rPr>
        <w:t xml:space="preserve"> </w:t>
      </w:r>
      <w:r>
        <w:rPr>
          <w:w w:val="105"/>
        </w:rPr>
        <w:t>las</w:t>
      </w:r>
      <w:r>
        <w:rPr>
          <w:spacing w:val="-9"/>
          <w:w w:val="105"/>
        </w:rPr>
        <w:t xml:space="preserve"> </w:t>
      </w:r>
      <w:r>
        <w:rPr>
          <w:w w:val="105"/>
        </w:rPr>
        <w:t>Formas</w:t>
      </w:r>
      <w:r>
        <w:rPr>
          <w:spacing w:val="-9"/>
          <w:w w:val="105"/>
        </w:rPr>
        <w:t xml:space="preserve"> </w:t>
      </w:r>
      <w:r>
        <w:rPr>
          <w:w w:val="105"/>
        </w:rPr>
        <w:t>de</w:t>
      </w:r>
      <w:r>
        <w:rPr>
          <w:spacing w:val="-9"/>
          <w:w w:val="105"/>
        </w:rPr>
        <w:t xml:space="preserve"> </w:t>
      </w:r>
      <w:r>
        <w:rPr>
          <w:w w:val="105"/>
        </w:rPr>
        <w:t>Discriminación</w:t>
      </w:r>
      <w:r>
        <w:rPr>
          <w:spacing w:val="-9"/>
          <w:w w:val="105"/>
        </w:rPr>
        <w:t xml:space="preserve"> </w:t>
      </w:r>
      <w:r>
        <w:rPr>
          <w:w w:val="105"/>
        </w:rPr>
        <w:t>contra</w:t>
      </w:r>
      <w:r>
        <w:rPr>
          <w:spacing w:val="-9"/>
          <w:w w:val="105"/>
        </w:rPr>
        <w:t xml:space="preserve"> </w:t>
      </w:r>
      <w:r>
        <w:rPr>
          <w:w w:val="105"/>
        </w:rPr>
        <w:t>la</w:t>
      </w:r>
      <w:r>
        <w:rPr>
          <w:spacing w:val="-9"/>
          <w:w w:val="105"/>
        </w:rPr>
        <w:t xml:space="preserve"> </w:t>
      </w:r>
      <w:r>
        <w:rPr>
          <w:w w:val="105"/>
        </w:rPr>
        <w:t>Mujer,</w:t>
      </w:r>
      <w:r>
        <w:rPr>
          <w:spacing w:val="-9"/>
          <w:w w:val="105"/>
        </w:rPr>
        <w:t xml:space="preserve"> </w:t>
      </w:r>
      <w:r>
        <w:rPr>
          <w:w w:val="105"/>
        </w:rPr>
        <w:t>que</w:t>
      </w:r>
      <w:r>
        <w:rPr>
          <w:spacing w:val="-9"/>
          <w:w w:val="105"/>
        </w:rPr>
        <w:t xml:space="preserve"> </w:t>
      </w:r>
      <w:r>
        <w:rPr>
          <w:w w:val="105"/>
        </w:rPr>
        <w:t>pone</w:t>
      </w:r>
      <w:r>
        <w:rPr>
          <w:spacing w:val="-9"/>
          <w:w w:val="105"/>
        </w:rPr>
        <w:t xml:space="preserve"> </w:t>
      </w:r>
      <w:r>
        <w:rPr>
          <w:w w:val="105"/>
        </w:rPr>
        <w:t>un</w:t>
      </w:r>
      <w:r>
        <w:rPr>
          <w:spacing w:val="-9"/>
          <w:w w:val="105"/>
        </w:rPr>
        <w:t xml:space="preserve"> </w:t>
      </w:r>
      <w:r>
        <w:rPr>
          <w:w w:val="105"/>
        </w:rPr>
        <w:t>fuerte</w:t>
      </w:r>
      <w:r>
        <w:rPr>
          <w:spacing w:val="-9"/>
          <w:w w:val="105"/>
        </w:rPr>
        <w:t xml:space="preserve"> </w:t>
      </w:r>
      <w:r>
        <w:rPr>
          <w:w w:val="105"/>
        </w:rPr>
        <w:t>énfasis</w:t>
      </w:r>
    </w:p>
    <w:p w14:paraId="4E72309E" w14:textId="77777777" w:rsidR="0014798C" w:rsidRDefault="004E1F0B">
      <w:pPr>
        <w:pStyle w:val="Textoindependiente"/>
        <w:spacing w:line="326" w:lineRule="auto"/>
        <w:ind w:left="1337" w:right="1463"/>
      </w:pPr>
      <w:r>
        <w:rPr>
          <w:w w:val="105"/>
        </w:rPr>
        <w:t>en</w:t>
      </w:r>
      <w:r>
        <w:rPr>
          <w:spacing w:val="-8"/>
          <w:w w:val="105"/>
        </w:rPr>
        <w:t xml:space="preserve"> </w:t>
      </w:r>
      <w:r>
        <w:rPr>
          <w:w w:val="105"/>
        </w:rPr>
        <w:t>cambiar</w:t>
      </w:r>
      <w:r>
        <w:rPr>
          <w:spacing w:val="-8"/>
          <w:w w:val="105"/>
        </w:rPr>
        <w:t xml:space="preserve"> </w:t>
      </w:r>
      <w:r>
        <w:rPr>
          <w:w w:val="105"/>
        </w:rPr>
        <w:t>los</w:t>
      </w:r>
      <w:r>
        <w:rPr>
          <w:spacing w:val="-8"/>
          <w:w w:val="105"/>
        </w:rPr>
        <w:t xml:space="preserve"> </w:t>
      </w:r>
      <w:r>
        <w:rPr>
          <w:w w:val="105"/>
        </w:rPr>
        <w:t>roles</w:t>
      </w:r>
      <w:r>
        <w:rPr>
          <w:spacing w:val="-8"/>
          <w:w w:val="105"/>
        </w:rPr>
        <w:t xml:space="preserve"> </w:t>
      </w:r>
      <w:r>
        <w:rPr>
          <w:w w:val="105"/>
        </w:rPr>
        <w:t>sociales</w:t>
      </w:r>
      <w:r>
        <w:rPr>
          <w:spacing w:val="-8"/>
          <w:w w:val="105"/>
        </w:rPr>
        <w:t xml:space="preserve"> </w:t>
      </w:r>
      <w:r>
        <w:rPr>
          <w:w w:val="105"/>
        </w:rPr>
        <w:t>de</w:t>
      </w:r>
      <w:r>
        <w:rPr>
          <w:spacing w:val="-8"/>
          <w:w w:val="105"/>
        </w:rPr>
        <w:t xml:space="preserve"> </w:t>
      </w:r>
      <w:r>
        <w:rPr>
          <w:w w:val="105"/>
        </w:rPr>
        <w:t>mujeres</w:t>
      </w:r>
      <w:r>
        <w:rPr>
          <w:spacing w:val="-8"/>
          <w:w w:val="105"/>
        </w:rPr>
        <w:t xml:space="preserve"> </w:t>
      </w:r>
      <w:r>
        <w:rPr>
          <w:w w:val="105"/>
        </w:rPr>
        <w:t>y</w:t>
      </w:r>
      <w:r>
        <w:rPr>
          <w:spacing w:val="-8"/>
          <w:w w:val="105"/>
        </w:rPr>
        <w:t xml:space="preserve"> </w:t>
      </w:r>
      <w:r>
        <w:rPr>
          <w:w w:val="105"/>
        </w:rPr>
        <w:t>hombres</w:t>
      </w:r>
      <w:r>
        <w:rPr>
          <w:spacing w:val="-8"/>
          <w:w w:val="105"/>
        </w:rPr>
        <w:t xml:space="preserve"> </w:t>
      </w:r>
      <w:r>
        <w:rPr>
          <w:w w:val="105"/>
        </w:rPr>
        <w:t>como</w:t>
      </w:r>
      <w:r>
        <w:rPr>
          <w:spacing w:val="-8"/>
          <w:w w:val="105"/>
        </w:rPr>
        <w:t xml:space="preserve"> </w:t>
      </w:r>
      <w:r>
        <w:rPr>
          <w:w w:val="105"/>
        </w:rPr>
        <w:t>un</w:t>
      </w:r>
      <w:r>
        <w:rPr>
          <w:spacing w:val="-8"/>
          <w:w w:val="105"/>
        </w:rPr>
        <w:t xml:space="preserve"> </w:t>
      </w:r>
      <w:r>
        <w:rPr>
          <w:w w:val="105"/>
        </w:rPr>
        <w:t>medio</w:t>
      </w:r>
      <w:r>
        <w:rPr>
          <w:spacing w:val="-8"/>
          <w:w w:val="105"/>
        </w:rPr>
        <w:t xml:space="preserve"> </w:t>
      </w:r>
      <w:r>
        <w:rPr>
          <w:w w:val="105"/>
        </w:rPr>
        <w:t>necesario</w:t>
      </w:r>
      <w:r>
        <w:rPr>
          <w:spacing w:val="-8"/>
          <w:w w:val="105"/>
        </w:rPr>
        <w:t xml:space="preserve"> </w:t>
      </w:r>
      <w:r>
        <w:rPr>
          <w:w w:val="105"/>
        </w:rPr>
        <w:t>para</w:t>
      </w:r>
      <w:r>
        <w:rPr>
          <w:spacing w:val="-8"/>
          <w:w w:val="105"/>
        </w:rPr>
        <w:t xml:space="preserve"> </w:t>
      </w:r>
      <w:r>
        <w:rPr>
          <w:w w:val="105"/>
        </w:rPr>
        <w:t>lograr</w:t>
      </w:r>
      <w:r>
        <w:rPr>
          <w:spacing w:val="-8"/>
          <w:w w:val="105"/>
        </w:rPr>
        <w:t xml:space="preserve"> </w:t>
      </w:r>
      <w:r>
        <w:rPr>
          <w:w w:val="105"/>
        </w:rPr>
        <w:t>la</w:t>
      </w:r>
      <w:r>
        <w:rPr>
          <w:spacing w:val="-8"/>
          <w:w w:val="105"/>
        </w:rPr>
        <w:t xml:space="preserve"> </w:t>
      </w:r>
      <w:r>
        <w:rPr>
          <w:w w:val="105"/>
        </w:rPr>
        <w:t>igualdad</w:t>
      </w:r>
      <w:r>
        <w:rPr>
          <w:spacing w:val="-8"/>
          <w:w w:val="105"/>
        </w:rPr>
        <w:t xml:space="preserve"> </w:t>
      </w:r>
      <w:r>
        <w:rPr>
          <w:w w:val="105"/>
        </w:rPr>
        <w:t>de</w:t>
      </w:r>
      <w:r>
        <w:rPr>
          <w:spacing w:val="-8"/>
          <w:w w:val="105"/>
        </w:rPr>
        <w:t xml:space="preserve"> </w:t>
      </w:r>
      <w:r>
        <w:rPr>
          <w:w w:val="105"/>
        </w:rPr>
        <w:t>género</w:t>
      </w:r>
      <w:proofErr w:type="gramStart"/>
      <w:r>
        <w:rPr>
          <w:w w:val="105"/>
        </w:rPr>
        <w:t>.</w:t>
      </w:r>
      <w:r>
        <w:rPr>
          <w:spacing w:val="-8"/>
          <w:w w:val="105"/>
        </w:rPr>
        <w:t xml:space="preserve"> </w:t>
      </w:r>
      <w:r>
        <w:rPr>
          <w:w w:val="105"/>
        </w:rPr>
        <w:t>.</w:t>
      </w:r>
      <w:proofErr w:type="gramEnd"/>
      <w:r>
        <w:rPr>
          <w:spacing w:val="-7"/>
          <w:w w:val="105"/>
        </w:rPr>
        <w:t xml:space="preserve"> </w:t>
      </w:r>
      <w:r>
        <w:rPr>
          <w:w w:val="105"/>
        </w:rPr>
        <w:t>Como lo destaca el ACNUDH en su introducción a la Convención explica:</w:t>
      </w:r>
    </w:p>
    <w:p w14:paraId="0DBFF84A" w14:textId="77777777" w:rsidR="0014798C" w:rsidRDefault="004E1F0B">
      <w:pPr>
        <w:pStyle w:val="Textoindependiente"/>
        <w:spacing w:before="111" w:line="326" w:lineRule="auto"/>
        <w:ind w:left="1673" w:right="1626" w:hanging="1"/>
      </w:pPr>
      <w:r>
        <w:rPr>
          <w:w w:val="105"/>
        </w:rPr>
        <w:t>La</w:t>
      </w:r>
      <w:r>
        <w:rPr>
          <w:spacing w:val="-3"/>
          <w:w w:val="105"/>
        </w:rPr>
        <w:t xml:space="preserve"> </w:t>
      </w:r>
      <w:r>
        <w:rPr>
          <w:w w:val="105"/>
        </w:rPr>
        <w:t>Convención</w:t>
      </w:r>
      <w:r>
        <w:rPr>
          <w:spacing w:val="-3"/>
          <w:w w:val="105"/>
        </w:rPr>
        <w:t xml:space="preserve"> </w:t>
      </w:r>
      <w:r>
        <w:rPr>
          <w:w w:val="105"/>
        </w:rPr>
        <w:t>tiene</w:t>
      </w:r>
      <w:r>
        <w:rPr>
          <w:spacing w:val="-3"/>
          <w:w w:val="105"/>
        </w:rPr>
        <w:t xml:space="preserve"> </w:t>
      </w:r>
      <w:r>
        <w:rPr>
          <w:w w:val="105"/>
        </w:rPr>
        <w:t>como</w:t>
      </w:r>
      <w:r>
        <w:rPr>
          <w:spacing w:val="-3"/>
          <w:w w:val="105"/>
        </w:rPr>
        <w:t xml:space="preserve"> </w:t>
      </w:r>
      <w:r>
        <w:rPr>
          <w:w w:val="105"/>
        </w:rPr>
        <w:t>objetivo</w:t>
      </w:r>
      <w:r>
        <w:rPr>
          <w:spacing w:val="-3"/>
          <w:w w:val="105"/>
        </w:rPr>
        <w:t xml:space="preserve"> </w:t>
      </w:r>
      <w:r>
        <w:rPr>
          <w:w w:val="105"/>
        </w:rPr>
        <w:t>ampliar</w:t>
      </w:r>
      <w:r>
        <w:rPr>
          <w:spacing w:val="-3"/>
          <w:w w:val="105"/>
        </w:rPr>
        <w:t xml:space="preserve"> </w:t>
      </w:r>
      <w:r>
        <w:rPr>
          <w:w w:val="105"/>
        </w:rPr>
        <w:t>nuestra</w:t>
      </w:r>
      <w:r>
        <w:rPr>
          <w:spacing w:val="-3"/>
          <w:w w:val="105"/>
        </w:rPr>
        <w:t xml:space="preserve"> </w:t>
      </w:r>
      <w:r>
        <w:rPr>
          <w:w w:val="105"/>
        </w:rPr>
        <w:t>comprensión</w:t>
      </w:r>
      <w:r>
        <w:rPr>
          <w:spacing w:val="-3"/>
          <w:w w:val="105"/>
        </w:rPr>
        <w:t xml:space="preserve"> </w:t>
      </w:r>
      <w:r>
        <w:rPr>
          <w:w w:val="105"/>
        </w:rPr>
        <w:t>del</w:t>
      </w:r>
      <w:r>
        <w:rPr>
          <w:spacing w:val="-3"/>
          <w:w w:val="105"/>
        </w:rPr>
        <w:t xml:space="preserve"> </w:t>
      </w:r>
      <w:r>
        <w:rPr>
          <w:w w:val="105"/>
        </w:rPr>
        <w:t>concepto</w:t>
      </w:r>
      <w:r>
        <w:rPr>
          <w:spacing w:val="-3"/>
          <w:w w:val="105"/>
        </w:rPr>
        <w:t xml:space="preserve"> </w:t>
      </w:r>
      <w:r>
        <w:rPr>
          <w:w w:val="105"/>
        </w:rPr>
        <w:t>de</w:t>
      </w:r>
      <w:r>
        <w:rPr>
          <w:spacing w:val="-3"/>
          <w:w w:val="105"/>
        </w:rPr>
        <w:t xml:space="preserve"> </w:t>
      </w:r>
      <w:r>
        <w:rPr>
          <w:w w:val="105"/>
        </w:rPr>
        <w:t>derechos</w:t>
      </w:r>
      <w:r>
        <w:rPr>
          <w:spacing w:val="-3"/>
          <w:w w:val="105"/>
        </w:rPr>
        <w:t xml:space="preserve"> </w:t>
      </w:r>
      <w:r>
        <w:rPr>
          <w:w w:val="105"/>
        </w:rPr>
        <w:t>humanos,</w:t>
      </w:r>
      <w:r>
        <w:rPr>
          <w:spacing w:val="-2"/>
          <w:w w:val="105"/>
        </w:rPr>
        <w:t xml:space="preserve"> </w:t>
      </w:r>
      <w:r>
        <w:rPr>
          <w:w w:val="105"/>
        </w:rPr>
        <w:t>ya</w:t>
      </w:r>
      <w:r>
        <w:rPr>
          <w:spacing w:val="-3"/>
          <w:w w:val="105"/>
        </w:rPr>
        <w:t xml:space="preserve"> </w:t>
      </w:r>
      <w:r>
        <w:rPr>
          <w:w w:val="105"/>
        </w:rPr>
        <w:t>que reconoce</w:t>
      </w:r>
      <w:r>
        <w:rPr>
          <w:spacing w:val="-2"/>
          <w:w w:val="105"/>
        </w:rPr>
        <w:t xml:space="preserve"> </w:t>
      </w:r>
      <w:r>
        <w:rPr>
          <w:w w:val="105"/>
        </w:rPr>
        <w:t>formalmente</w:t>
      </w:r>
      <w:r>
        <w:rPr>
          <w:spacing w:val="-2"/>
          <w:w w:val="105"/>
        </w:rPr>
        <w:t xml:space="preserve"> </w:t>
      </w:r>
      <w:r>
        <w:rPr>
          <w:w w:val="105"/>
        </w:rPr>
        <w:t>la</w:t>
      </w:r>
      <w:r>
        <w:rPr>
          <w:spacing w:val="-2"/>
          <w:w w:val="105"/>
        </w:rPr>
        <w:t xml:space="preserve"> </w:t>
      </w:r>
      <w:r>
        <w:rPr>
          <w:w w:val="105"/>
        </w:rPr>
        <w:t>influencia</w:t>
      </w:r>
      <w:r>
        <w:rPr>
          <w:spacing w:val="-2"/>
          <w:w w:val="105"/>
        </w:rPr>
        <w:t xml:space="preserve"> </w:t>
      </w:r>
      <w:r>
        <w:rPr>
          <w:w w:val="105"/>
        </w:rPr>
        <w:t>de</w:t>
      </w:r>
      <w:r>
        <w:rPr>
          <w:spacing w:val="-2"/>
          <w:w w:val="105"/>
        </w:rPr>
        <w:t xml:space="preserve"> </w:t>
      </w:r>
      <w:r>
        <w:rPr>
          <w:w w:val="105"/>
        </w:rPr>
        <w:t>la</w:t>
      </w:r>
      <w:r>
        <w:rPr>
          <w:spacing w:val="-2"/>
          <w:w w:val="105"/>
        </w:rPr>
        <w:t xml:space="preserve"> </w:t>
      </w:r>
      <w:r>
        <w:rPr>
          <w:w w:val="105"/>
        </w:rPr>
        <w:t>cultura</w:t>
      </w:r>
      <w:r>
        <w:rPr>
          <w:spacing w:val="-2"/>
          <w:w w:val="105"/>
        </w:rPr>
        <w:t xml:space="preserve"> </w:t>
      </w:r>
      <w:r>
        <w:rPr>
          <w:w w:val="105"/>
        </w:rPr>
        <w:t>y</w:t>
      </w:r>
      <w:r>
        <w:rPr>
          <w:spacing w:val="-2"/>
          <w:w w:val="105"/>
        </w:rPr>
        <w:t xml:space="preserve"> </w:t>
      </w:r>
      <w:r>
        <w:rPr>
          <w:w w:val="105"/>
        </w:rPr>
        <w:t>la</w:t>
      </w:r>
      <w:r>
        <w:rPr>
          <w:spacing w:val="-2"/>
          <w:w w:val="105"/>
        </w:rPr>
        <w:t xml:space="preserve"> </w:t>
      </w:r>
      <w:r>
        <w:rPr>
          <w:w w:val="105"/>
        </w:rPr>
        <w:t>tradición</w:t>
      </w:r>
      <w:r>
        <w:rPr>
          <w:spacing w:val="-2"/>
          <w:w w:val="105"/>
        </w:rPr>
        <w:t xml:space="preserve"> </w:t>
      </w:r>
      <w:r>
        <w:rPr>
          <w:w w:val="105"/>
        </w:rPr>
        <w:t>en</w:t>
      </w:r>
      <w:r>
        <w:rPr>
          <w:spacing w:val="-2"/>
          <w:w w:val="105"/>
        </w:rPr>
        <w:t xml:space="preserve"> </w:t>
      </w:r>
      <w:r>
        <w:rPr>
          <w:w w:val="105"/>
        </w:rPr>
        <w:t>la</w:t>
      </w:r>
      <w:r>
        <w:rPr>
          <w:spacing w:val="-2"/>
          <w:w w:val="105"/>
        </w:rPr>
        <w:t xml:space="preserve"> </w:t>
      </w:r>
      <w:r>
        <w:rPr>
          <w:w w:val="105"/>
        </w:rPr>
        <w:t>restricción</w:t>
      </w:r>
      <w:r>
        <w:rPr>
          <w:spacing w:val="-2"/>
          <w:w w:val="105"/>
        </w:rPr>
        <w:t xml:space="preserve"> </w:t>
      </w:r>
      <w:r>
        <w:rPr>
          <w:w w:val="105"/>
        </w:rPr>
        <w:t>del</w:t>
      </w:r>
      <w:r>
        <w:rPr>
          <w:spacing w:val="-2"/>
          <w:w w:val="105"/>
        </w:rPr>
        <w:t xml:space="preserve"> </w:t>
      </w:r>
      <w:r>
        <w:rPr>
          <w:w w:val="105"/>
        </w:rPr>
        <w:t>disfrute</w:t>
      </w:r>
      <w:r>
        <w:rPr>
          <w:spacing w:val="-2"/>
          <w:w w:val="105"/>
        </w:rPr>
        <w:t xml:space="preserve"> </w:t>
      </w:r>
      <w:r>
        <w:rPr>
          <w:w w:val="105"/>
        </w:rPr>
        <w:t>de</w:t>
      </w:r>
      <w:r>
        <w:rPr>
          <w:spacing w:val="-2"/>
          <w:w w:val="105"/>
        </w:rPr>
        <w:t xml:space="preserve"> </w:t>
      </w:r>
      <w:r>
        <w:rPr>
          <w:w w:val="105"/>
        </w:rPr>
        <w:t>los</w:t>
      </w:r>
      <w:r>
        <w:rPr>
          <w:spacing w:val="-2"/>
          <w:w w:val="105"/>
        </w:rPr>
        <w:t xml:space="preserve"> </w:t>
      </w:r>
      <w:r>
        <w:rPr>
          <w:w w:val="105"/>
        </w:rPr>
        <w:t>derechos fundamentales</w:t>
      </w:r>
      <w:r>
        <w:rPr>
          <w:spacing w:val="-9"/>
          <w:w w:val="105"/>
        </w:rPr>
        <w:t xml:space="preserve"> </w:t>
      </w:r>
      <w:r>
        <w:rPr>
          <w:w w:val="105"/>
        </w:rPr>
        <w:t>por</w:t>
      </w:r>
      <w:r>
        <w:rPr>
          <w:spacing w:val="-8"/>
          <w:w w:val="105"/>
        </w:rPr>
        <w:t xml:space="preserve"> </w:t>
      </w:r>
      <w:r>
        <w:rPr>
          <w:w w:val="105"/>
        </w:rPr>
        <w:t>parte</w:t>
      </w:r>
      <w:r>
        <w:rPr>
          <w:spacing w:val="-8"/>
          <w:w w:val="105"/>
        </w:rPr>
        <w:t xml:space="preserve"> </w:t>
      </w:r>
      <w:r>
        <w:rPr>
          <w:w w:val="105"/>
        </w:rPr>
        <w:t>de</w:t>
      </w:r>
      <w:r>
        <w:rPr>
          <w:spacing w:val="-8"/>
          <w:w w:val="105"/>
        </w:rPr>
        <w:t xml:space="preserve"> </w:t>
      </w:r>
      <w:r>
        <w:rPr>
          <w:w w:val="105"/>
        </w:rPr>
        <w:t>las</w:t>
      </w:r>
      <w:r>
        <w:rPr>
          <w:spacing w:val="-8"/>
          <w:w w:val="105"/>
        </w:rPr>
        <w:t xml:space="preserve"> </w:t>
      </w:r>
      <w:r>
        <w:rPr>
          <w:w w:val="105"/>
        </w:rPr>
        <w:t>mujeres.</w:t>
      </w:r>
      <w:r>
        <w:rPr>
          <w:spacing w:val="-7"/>
          <w:w w:val="105"/>
        </w:rPr>
        <w:t xml:space="preserve"> </w:t>
      </w:r>
      <w:r>
        <w:rPr>
          <w:w w:val="105"/>
        </w:rPr>
        <w:t>Estas</w:t>
      </w:r>
      <w:r>
        <w:rPr>
          <w:spacing w:val="-8"/>
          <w:w w:val="105"/>
        </w:rPr>
        <w:t xml:space="preserve"> </w:t>
      </w:r>
      <w:r>
        <w:rPr>
          <w:w w:val="105"/>
        </w:rPr>
        <w:t>fuerzas</w:t>
      </w:r>
      <w:r>
        <w:rPr>
          <w:spacing w:val="-8"/>
          <w:w w:val="105"/>
        </w:rPr>
        <w:t xml:space="preserve"> </w:t>
      </w:r>
      <w:r>
        <w:rPr>
          <w:w w:val="105"/>
        </w:rPr>
        <w:t>toman</w:t>
      </w:r>
      <w:r>
        <w:rPr>
          <w:spacing w:val="-8"/>
          <w:w w:val="105"/>
        </w:rPr>
        <w:t xml:space="preserve"> </w:t>
      </w:r>
      <w:r>
        <w:rPr>
          <w:w w:val="105"/>
        </w:rPr>
        <w:t>forma</w:t>
      </w:r>
      <w:r>
        <w:rPr>
          <w:spacing w:val="-8"/>
          <w:w w:val="105"/>
        </w:rPr>
        <w:t xml:space="preserve"> </w:t>
      </w:r>
      <w:r>
        <w:rPr>
          <w:w w:val="105"/>
        </w:rPr>
        <w:t>en</w:t>
      </w:r>
      <w:r>
        <w:rPr>
          <w:spacing w:val="-8"/>
          <w:w w:val="105"/>
        </w:rPr>
        <w:t xml:space="preserve"> </w:t>
      </w:r>
      <w:r>
        <w:rPr>
          <w:w w:val="105"/>
        </w:rPr>
        <w:t>estereotipos,</w:t>
      </w:r>
      <w:r>
        <w:rPr>
          <w:spacing w:val="-7"/>
          <w:w w:val="105"/>
        </w:rPr>
        <w:t xml:space="preserve"> </w:t>
      </w:r>
      <w:r>
        <w:rPr>
          <w:w w:val="105"/>
        </w:rPr>
        <w:t>costumbres</w:t>
      </w:r>
      <w:r>
        <w:rPr>
          <w:spacing w:val="-8"/>
          <w:w w:val="105"/>
        </w:rPr>
        <w:t xml:space="preserve"> </w:t>
      </w:r>
      <w:r>
        <w:rPr>
          <w:w w:val="105"/>
        </w:rPr>
        <w:t>y</w:t>
      </w:r>
      <w:r>
        <w:rPr>
          <w:spacing w:val="-8"/>
          <w:w w:val="105"/>
        </w:rPr>
        <w:t xml:space="preserve"> </w:t>
      </w:r>
      <w:r>
        <w:rPr>
          <w:w w:val="105"/>
        </w:rPr>
        <w:t>normas</w:t>
      </w:r>
      <w:r>
        <w:rPr>
          <w:spacing w:val="-8"/>
          <w:w w:val="105"/>
        </w:rPr>
        <w:t xml:space="preserve"> </w:t>
      </w:r>
      <w:r>
        <w:rPr>
          <w:w w:val="105"/>
        </w:rPr>
        <w:t>que dan</w:t>
      </w:r>
      <w:r>
        <w:rPr>
          <w:spacing w:val="-1"/>
          <w:w w:val="105"/>
        </w:rPr>
        <w:t xml:space="preserve"> </w:t>
      </w:r>
      <w:r>
        <w:rPr>
          <w:w w:val="105"/>
        </w:rPr>
        <w:t>origen</w:t>
      </w:r>
      <w:r>
        <w:rPr>
          <w:spacing w:val="-1"/>
          <w:w w:val="105"/>
        </w:rPr>
        <w:t xml:space="preserve"> </w:t>
      </w:r>
      <w:r>
        <w:rPr>
          <w:w w:val="105"/>
        </w:rPr>
        <w:t>a</w:t>
      </w:r>
      <w:r>
        <w:rPr>
          <w:spacing w:val="-1"/>
          <w:w w:val="105"/>
        </w:rPr>
        <w:t xml:space="preserve"> </w:t>
      </w:r>
      <w:r>
        <w:rPr>
          <w:w w:val="105"/>
        </w:rPr>
        <w:t>multitud</w:t>
      </w:r>
      <w:r>
        <w:rPr>
          <w:spacing w:val="-1"/>
          <w:w w:val="105"/>
        </w:rPr>
        <w:t xml:space="preserve"> </w:t>
      </w:r>
      <w:r>
        <w:rPr>
          <w:w w:val="105"/>
        </w:rPr>
        <w:t>de</w:t>
      </w:r>
      <w:r>
        <w:rPr>
          <w:spacing w:val="-1"/>
          <w:w w:val="105"/>
        </w:rPr>
        <w:t xml:space="preserve"> </w:t>
      </w:r>
      <w:r>
        <w:rPr>
          <w:w w:val="105"/>
        </w:rPr>
        <w:t>limitaciones</w:t>
      </w:r>
      <w:r>
        <w:rPr>
          <w:spacing w:val="-1"/>
          <w:w w:val="105"/>
        </w:rPr>
        <w:t xml:space="preserve"> </w:t>
      </w:r>
      <w:r>
        <w:rPr>
          <w:w w:val="105"/>
        </w:rPr>
        <w:t>jurídicas, políticas</w:t>
      </w:r>
      <w:r>
        <w:rPr>
          <w:spacing w:val="-1"/>
          <w:w w:val="105"/>
        </w:rPr>
        <w:t xml:space="preserve"> </w:t>
      </w:r>
      <w:r>
        <w:rPr>
          <w:w w:val="105"/>
        </w:rPr>
        <w:t>y</w:t>
      </w:r>
      <w:r>
        <w:rPr>
          <w:spacing w:val="-1"/>
          <w:w w:val="105"/>
        </w:rPr>
        <w:t xml:space="preserve"> </w:t>
      </w:r>
      <w:r>
        <w:rPr>
          <w:w w:val="105"/>
        </w:rPr>
        <w:t>económicas</w:t>
      </w:r>
      <w:r>
        <w:rPr>
          <w:spacing w:val="-1"/>
          <w:w w:val="105"/>
        </w:rPr>
        <w:t xml:space="preserve"> </w:t>
      </w:r>
      <w:r>
        <w:rPr>
          <w:w w:val="105"/>
        </w:rPr>
        <w:t>al</w:t>
      </w:r>
      <w:r>
        <w:rPr>
          <w:spacing w:val="-1"/>
          <w:w w:val="105"/>
        </w:rPr>
        <w:t xml:space="preserve"> </w:t>
      </w:r>
      <w:r>
        <w:rPr>
          <w:w w:val="105"/>
        </w:rPr>
        <w:t>adelanto</w:t>
      </w:r>
      <w:r>
        <w:rPr>
          <w:spacing w:val="-1"/>
          <w:w w:val="105"/>
        </w:rPr>
        <w:t xml:space="preserve"> </w:t>
      </w:r>
      <w:r>
        <w:rPr>
          <w:w w:val="105"/>
        </w:rPr>
        <w:t>de</w:t>
      </w:r>
      <w:r>
        <w:rPr>
          <w:spacing w:val="-1"/>
          <w:w w:val="105"/>
        </w:rPr>
        <w:t xml:space="preserve"> </w:t>
      </w:r>
      <w:r>
        <w:rPr>
          <w:w w:val="105"/>
        </w:rPr>
        <w:t>la</w:t>
      </w:r>
      <w:r>
        <w:rPr>
          <w:spacing w:val="-1"/>
          <w:w w:val="105"/>
        </w:rPr>
        <w:t xml:space="preserve"> </w:t>
      </w:r>
      <w:r>
        <w:rPr>
          <w:w w:val="105"/>
        </w:rPr>
        <w:t>mujer.</w:t>
      </w:r>
      <w:r>
        <w:rPr>
          <w:spacing w:val="-1"/>
          <w:w w:val="105"/>
        </w:rPr>
        <w:t xml:space="preserve"> </w:t>
      </w:r>
      <w:r>
        <w:rPr>
          <w:w w:val="105"/>
        </w:rPr>
        <w:t>Al</w:t>
      </w:r>
      <w:r>
        <w:rPr>
          <w:spacing w:val="-1"/>
          <w:w w:val="105"/>
        </w:rPr>
        <w:t xml:space="preserve"> </w:t>
      </w:r>
      <w:r>
        <w:rPr>
          <w:w w:val="105"/>
        </w:rPr>
        <w:t>señalar</w:t>
      </w:r>
      <w:r>
        <w:rPr>
          <w:spacing w:val="-1"/>
          <w:w w:val="105"/>
        </w:rPr>
        <w:t xml:space="preserve"> </w:t>
      </w:r>
      <w:r>
        <w:rPr>
          <w:w w:val="105"/>
        </w:rPr>
        <w:t>esta interrelación,</w:t>
      </w:r>
      <w:r>
        <w:rPr>
          <w:spacing w:val="-2"/>
          <w:w w:val="105"/>
        </w:rPr>
        <w:t xml:space="preserve"> </w:t>
      </w:r>
      <w:r>
        <w:rPr>
          <w:w w:val="105"/>
        </w:rPr>
        <w:t>el</w:t>
      </w:r>
      <w:r>
        <w:rPr>
          <w:spacing w:val="-3"/>
          <w:w w:val="105"/>
        </w:rPr>
        <w:t xml:space="preserve"> </w:t>
      </w:r>
      <w:r>
        <w:rPr>
          <w:w w:val="105"/>
        </w:rPr>
        <w:t>preámbulo</w:t>
      </w:r>
      <w:r>
        <w:rPr>
          <w:spacing w:val="-3"/>
          <w:w w:val="105"/>
        </w:rPr>
        <w:t xml:space="preserve"> </w:t>
      </w:r>
      <w:r>
        <w:rPr>
          <w:w w:val="105"/>
        </w:rPr>
        <w:t>de</w:t>
      </w:r>
      <w:r>
        <w:rPr>
          <w:spacing w:val="-3"/>
          <w:w w:val="105"/>
        </w:rPr>
        <w:t xml:space="preserve"> </w:t>
      </w:r>
      <w:r>
        <w:rPr>
          <w:w w:val="105"/>
        </w:rPr>
        <w:t>la</w:t>
      </w:r>
      <w:r>
        <w:rPr>
          <w:spacing w:val="-3"/>
          <w:w w:val="105"/>
        </w:rPr>
        <w:t xml:space="preserve"> </w:t>
      </w:r>
      <w:r>
        <w:rPr>
          <w:w w:val="105"/>
        </w:rPr>
        <w:t>Convención</w:t>
      </w:r>
      <w:r>
        <w:rPr>
          <w:spacing w:val="-3"/>
          <w:w w:val="105"/>
        </w:rPr>
        <w:t xml:space="preserve"> </w:t>
      </w:r>
      <w:r>
        <w:rPr>
          <w:w w:val="105"/>
        </w:rPr>
        <w:t>destaca</w:t>
      </w:r>
      <w:r>
        <w:rPr>
          <w:spacing w:val="-3"/>
          <w:w w:val="105"/>
        </w:rPr>
        <w:t xml:space="preserve"> </w:t>
      </w:r>
      <w:r>
        <w:rPr>
          <w:w w:val="105"/>
        </w:rPr>
        <w:t>“que</w:t>
      </w:r>
      <w:r>
        <w:rPr>
          <w:spacing w:val="-3"/>
          <w:w w:val="105"/>
        </w:rPr>
        <w:t xml:space="preserve"> </w:t>
      </w:r>
      <w:r>
        <w:rPr>
          <w:w w:val="105"/>
        </w:rPr>
        <w:t>es</w:t>
      </w:r>
      <w:r>
        <w:rPr>
          <w:spacing w:val="-3"/>
          <w:w w:val="105"/>
        </w:rPr>
        <w:t xml:space="preserve"> </w:t>
      </w:r>
      <w:r>
        <w:rPr>
          <w:w w:val="105"/>
        </w:rPr>
        <w:t>necesario</w:t>
      </w:r>
      <w:r>
        <w:rPr>
          <w:spacing w:val="-3"/>
          <w:w w:val="105"/>
        </w:rPr>
        <w:t xml:space="preserve"> </w:t>
      </w:r>
      <w:r>
        <w:rPr>
          <w:w w:val="105"/>
        </w:rPr>
        <w:t>un</w:t>
      </w:r>
      <w:r>
        <w:rPr>
          <w:spacing w:val="-3"/>
          <w:w w:val="105"/>
        </w:rPr>
        <w:t xml:space="preserve"> </w:t>
      </w:r>
      <w:r>
        <w:rPr>
          <w:w w:val="105"/>
        </w:rPr>
        <w:t>cambio</w:t>
      </w:r>
      <w:r>
        <w:rPr>
          <w:spacing w:val="-3"/>
          <w:w w:val="105"/>
        </w:rPr>
        <w:t xml:space="preserve"> </w:t>
      </w:r>
      <w:r>
        <w:rPr>
          <w:w w:val="105"/>
        </w:rPr>
        <w:t>en</w:t>
      </w:r>
      <w:r>
        <w:rPr>
          <w:spacing w:val="-3"/>
          <w:w w:val="105"/>
        </w:rPr>
        <w:t xml:space="preserve"> </w:t>
      </w:r>
      <w:r>
        <w:rPr>
          <w:w w:val="105"/>
        </w:rPr>
        <w:t>el</w:t>
      </w:r>
      <w:r>
        <w:rPr>
          <w:spacing w:val="-3"/>
          <w:w w:val="105"/>
        </w:rPr>
        <w:t xml:space="preserve"> </w:t>
      </w:r>
      <w:r>
        <w:rPr>
          <w:w w:val="105"/>
        </w:rPr>
        <w:t>papel</w:t>
      </w:r>
      <w:r>
        <w:rPr>
          <w:spacing w:val="-3"/>
          <w:w w:val="105"/>
        </w:rPr>
        <w:t xml:space="preserve"> </w:t>
      </w:r>
      <w:r>
        <w:rPr>
          <w:w w:val="105"/>
        </w:rPr>
        <w:t>tradicional</w:t>
      </w:r>
      <w:r>
        <w:rPr>
          <w:spacing w:val="-3"/>
          <w:w w:val="105"/>
        </w:rPr>
        <w:t xml:space="preserve"> </w:t>
      </w:r>
      <w:r>
        <w:rPr>
          <w:w w:val="105"/>
        </w:rPr>
        <w:t>del hombre,</w:t>
      </w:r>
      <w:r>
        <w:rPr>
          <w:spacing w:val="-1"/>
          <w:w w:val="105"/>
        </w:rPr>
        <w:t xml:space="preserve"> </w:t>
      </w:r>
      <w:r>
        <w:rPr>
          <w:w w:val="105"/>
        </w:rPr>
        <w:t>así</w:t>
      </w:r>
      <w:r>
        <w:rPr>
          <w:spacing w:val="-2"/>
          <w:w w:val="105"/>
        </w:rPr>
        <w:t xml:space="preserve"> </w:t>
      </w:r>
      <w:r>
        <w:rPr>
          <w:w w:val="105"/>
        </w:rPr>
        <w:t>como</w:t>
      </w:r>
      <w:r>
        <w:rPr>
          <w:spacing w:val="-2"/>
          <w:w w:val="105"/>
        </w:rPr>
        <w:t xml:space="preserve"> </w:t>
      </w:r>
      <w:r>
        <w:rPr>
          <w:w w:val="105"/>
        </w:rPr>
        <w:t>en</w:t>
      </w:r>
      <w:r>
        <w:rPr>
          <w:spacing w:val="-2"/>
          <w:w w:val="105"/>
        </w:rPr>
        <w:t xml:space="preserve"> </w:t>
      </w:r>
      <w:r>
        <w:rPr>
          <w:w w:val="105"/>
        </w:rPr>
        <w:t>el</w:t>
      </w:r>
      <w:r>
        <w:rPr>
          <w:spacing w:val="-2"/>
          <w:w w:val="105"/>
        </w:rPr>
        <w:t xml:space="preserve"> </w:t>
      </w:r>
      <w:r>
        <w:rPr>
          <w:w w:val="105"/>
        </w:rPr>
        <w:t>papel</w:t>
      </w:r>
      <w:r>
        <w:rPr>
          <w:spacing w:val="-2"/>
          <w:w w:val="105"/>
        </w:rPr>
        <w:t xml:space="preserve"> </w:t>
      </w:r>
      <w:r>
        <w:rPr>
          <w:w w:val="105"/>
        </w:rPr>
        <w:t>de</w:t>
      </w:r>
      <w:r>
        <w:rPr>
          <w:spacing w:val="-2"/>
          <w:w w:val="105"/>
        </w:rPr>
        <w:t xml:space="preserve"> </w:t>
      </w:r>
      <w:r>
        <w:rPr>
          <w:w w:val="105"/>
        </w:rPr>
        <w:t>la</w:t>
      </w:r>
      <w:r>
        <w:rPr>
          <w:spacing w:val="-2"/>
          <w:w w:val="105"/>
        </w:rPr>
        <w:t xml:space="preserve"> </w:t>
      </w:r>
      <w:r>
        <w:rPr>
          <w:w w:val="105"/>
        </w:rPr>
        <w:t>mujer</w:t>
      </w:r>
      <w:r>
        <w:rPr>
          <w:spacing w:val="-2"/>
          <w:w w:val="105"/>
        </w:rPr>
        <w:t xml:space="preserve"> </w:t>
      </w:r>
      <w:r>
        <w:rPr>
          <w:w w:val="105"/>
        </w:rPr>
        <w:t>en</w:t>
      </w:r>
      <w:r>
        <w:rPr>
          <w:spacing w:val="-2"/>
          <w:w w:val="105"/>
        </w:rPr>
        <w:t xml:space="preserve"> </w:t>
      </w:r>
      <w:r>
        <w:rPr>
          <w:w w:val="105"/>
        </w:rPr>
        <w:t>la</w:t>
      </w:r>
      <w:r>
        <w:rPr>
          <w:spacing w:val="-2"/>
          <w:w w:val="105"/>
        </w:rPr>
        <w:t xml:space="preserve"> </w:t>
      </w:r>
      <w:r>
        <w:rPr>
          <w:w w:val="105"/>
        </w:rPr>
        <w:t>sociedad</w:t>
      </w:r>
      <w:r>
        <w:rPr>
          <w:spacing w:val="-2"/>
          <w:w w:val="105"/>
        </w:rPr>
        <w:t xml:space="preserve"> </w:t>
      </w:r>
      <w:r>
        <w:rPr>
          <w:w w:val="105"/>
        </w:rPr>
        <w:t>y</w:t>
      </w:r>
      <w:r>
        <w:rPr>
          <w:spacing w:val="-2"/>
          <w:w w:val="105"/>
        </w:rPr>
        <w:t xml:space="preserve"> </w:t>
      </w:r>
      <w:r>
        <w:rPr>
          <w:w w:val="105"/>
        </w:rPr>
        <w:t>en</w:t>
      </w:r>
      <w:r>
        <w:rPr>
          <w:spacing w:val="-2"/>
          <w:w w:val="105"/>
        </w:rPr>
        <w:t xml:space="preserve"> </w:t>
      </w:r>
      <w:r>
        <w:rPr>
          <w:w w:val="105"/>
        </w:rPr>
        <w:t>la</w:t>
      </w:r>
      <w:r>
        <w:rPr>
          <w:spacing w:val="-2"/>
          <w:w w:val="105"/>
        </w:rPr>
        <w:t xml:space="preserve"> </w:t>
      </w:r>
      <w:r>
        <w:rPr>
          <w:w w:val="105"/>
        </w:rPr>
        <w:t>familia,</w:t>
      </w:r>
      <w:r>
        <w:rPr>
          <w:spacing w:val="-1"/>
          <w:w w:val="105"/>
        </w:rPr>
        <w:t xml:space="preserve"> </w:t>
      </w:r>
      <w:r>
        <w:rPr>
          <w:w w:val="105"/>
        </w:rPr>
        <w:t>para</w:t>
      </w:r>
      <w:r>
        <w:rPr>
          <w:spacing w:val="-2"/>
          <w:w w:val="105"/>
        </w:rPr>
        <w:t xml:space="preserve"> </w:t>
      </w:r>
      <w:r>
        <w:rPr>
          <w:w w:val="105"/>
        </w:rPr>
        <w:t>lograr</w:t>
      </w:r>
      <w:r>
        <w:rPr>
          <w:spacing w:val="-2"/>
          <w:w w:val="105"/>
        </w:rPr>
        <w:t xml:space="preserve"> </w:t>
      </w:r>
      <w:r>
        <w:rPr>
          <w:w w:val="105"/>
        </w:rPr>
        <w:t>la</w:t>
      </w:r>
      <w:r>
        <w:rPr>
          <w:spacing w:val="-2"/>
          <w:w w:val="105"/>
        </w:rPr>
        <w:t xml:space="preserve"> </w:t>
      </w:r>
      <w:r>
        <w:rPr>
          <w:w w:val="105"/>
        </w:rPr>
        <w:t>plena</w:t>
      </w:r>
      <w:r>
        <w:rPr>
          <w:spacing w:val="-2"/>
          <w:w w:val="105"/>
        </w:rPr>
        <w:t xml:space="preserve"> </w:t>
      </w:r>
      <w:r>
        <w:rPr>
          <w:w w:val="105"/>
        </w:rPr>
        <w:t>igualdad</w:t>
      </w:r>
      <w:r>
        <w:rPr>
          <w:spacing w:val="-2"/>
          <w:w w:val="105"/>
        </w:rPr>
        <w:t xml:space="preserve"> </w:t>
      </w:r>
      <w:r>
        <w:rPr>
          <w:w w:val="105"/>
        </w:rPr>
        <w:t xml:space="preserve">entre hombres y mujeres”. Por lo tanto, los </w:t>
      </w:r>
      <w:proofErr w:type="gramStart"/>
      <w:r>
        <w:rPr>
          <w:w w:val="105"/>
        </w:rPr>
        <w:t>Estados partes</w:t>
      </w:r>
      <w:proofErr w:type="gramEnd"/>
      <w:r>
        <w:rPr>
          <w:w w:val="105"/>
        </w:rPr>
        <w:t xml:space="preserve"> están obligados a trabajar para modificar los patrones sociales</w:t>
      </w:r>
      <w:r>
        <w:rPr>
          <w:spacing w:val="-9"/>
          <w:w w:val="105"/>
        </w:rPr>
        <w:t xml:space="preserve"> </w:t>
      </w:r>
      <w:r>
        <w:rPr>
          <w:w w:val="105"/>
        </w:rPr>
        <w:t>y</w:t>
      </w:r>
      <w:r>
        <w:rPr>
          <w:spacing w:val="-9"/>
          <w:w w:val="105"/>
        </w:rPr>
        <w:t xml:space="preserve"> </w:t>
      </w:r>
      <w:r>
        <w:rPr>
          <w:w w:val="105"/>
        </w:rPr>
        <w:t>culturales</w:t>
      </w:r>
      <w:r>
        <w:rPr>
          <w:spacing w:val="-9"/>
          <w:w w:val="105"/>
        </w:rPr>
        <w:t xml:space="preserve"> </w:t>
      </w:r>
      <w:r>
        <w:rPr>
          <w:w w:val="105"/>
        </w:rPr>
        <w:t>de</w:t>
      </w:r>
      <w:r>
        <w:rPr>
          <w:spacing w:val="-9"/>
          <w:w w:val="105"/>
        </w:rPr>
        <w:t xml:space="preserve"> </w:t>
      </w:r>
      <w:r>
        <w:rPr>
          <w:w w:val="105"/>
        </w:rPr>
        <w:t>conducta</w:t>
      </w:r>
      <w:r>
        <w:rPr>
          <w:spacing w:val="-9"/>
          <w:w w:val="105"/>
        </w:rPr>
        <w:t xml:space="preserve"> </w:t>
      </w:r>
      <w:r>
        <w:rPr>
          <w:w w:val="105"/>
        </w:rPr>
        <w:t>individual</w:t>
      </w:r>
      <w:r>
        <w:rPr>
          <w:spacing w:val="-9"/>
          <w:w w:val="105"/>
        </w:rPr>
        <w:t xml:space="preserve"> </w:t>
      </w:r>
      <w:r>
        <w:rPr>
          <w:w w:val="105"/>
        </w:rPr>
        <w:t>a</w:t>
      </w:r>
      <w:r>
        <w:rPr>
          <w:spacing w:val="-9"/>
          <w:w w:val="105"/>
        </w:rPr>
        <w:t xml:space="preserve"> </w:t>
      </w:r>
      <w:r>
        <w:rPr>
          <w:w w:val="105"/>
        </w:rPr>
        <w:t>fin</w:t>
      </w:r>
      <w:r>
        <w:rPr>
          <w:spacing w:val="-9"/>
          <w:w w:val="105"/>
        </w:rPr>
        <w:t xml:space="preserve"> </w:t>
      </w:r>
      <w:r>
        <w:rPr>
          <w:w w:val="105"/>
        </w:rPr>
        <w:t>de</w:t>
      </w:r>
      <w:r>
        <w:rPr>
          <w:spacing w:val="-9"/>
          <w:w w:val="105"/>
        </w:rPr>
        <w:t xml:space="preserve"> </w:t>
      </w:r>
      <w:r>
        <w:rPr>
          <w:w w:val="105"/>
        </w:rPr>
        <w:t>eliminar</w:t>
      </w:r>
      <w:r>
        <w:rPr>
          <w:spacing w:val="-9"/>
          <w:w w:val="105"/>
        </w:rPr>
        <w:t xml:space="preserve"> </w:t>
      </w:r>
      <w:r>
        <w:rPr>
          <w:w w:val="105"/>
        </w:rPr>
        <w:t>“los</w:t>
      </w:r>
      <w:r>
        <w:rPr>
          <w:spacing w:val="-9"/>
          <w:w w:val="105"/>
        </w:rPr>
        <w:t xml:space="preserve"> </w:t>
      </w:r>
      <w:r>
        <w:rPr>
          <w:w w:val="105"/>
        </w:rPr>
        <w:t>prejuicios</w:t>
      </w:r>
      <w:r>
        <w:rPr>
          <w:spacing w:val="-9"/>
          <w:w w:val="105"/>
        </w:rPr>
        <w:t xml:space="preserve"> </w:t>
      </w:r>
      <w:r>
        <w:rPr>
          <w:w w:val="105"/>
        </w:rPr>
        <w:t>y</w:t>
      </w:r>
      <w:r>
        <w:rPr>
          <w:spacing w:val="-9"/>
          <w:w w:val="105"/>
        </w:rPr>
        <w:t xml:space="preserve"> </w:t>
      </w:r>
      <w:r>
        <w:rPr>
          <w:w w:val="105"/>
        </w:rPr>
        <w:t>las</w:t>
      </w:r>
      <w:r>
        <w:rPr>
          <w:spacing w:val="-9"/>
          <w:w w:val="105"/>
        </w:rPr>
        <w:t xml:space="preserve"> </w:t>
      </w:r>
      <w:r>
        <w:rPr>
          <w:w w:val="105"/>
        </w:rPr>
        <w:t>prácticas</w:t>
      </w:r>
      <w:r>
        <w:rPr>
          <w:spacing w:val="-9"/>
          <w:w w:val="105"/>
        </w:rPr>
        <w:t xml:space="preserve"> </w:t>
      </w:r>
      <w:r>
        <w:rPr>
          <w:w w:val="105"/>
        </w:rPr>
        <w:t>consuetudinarias</w:t>
      </w:r>
      <w:r>
        <w:rPr>
          <w:spacing w:val="-9"/>
          <w:w w:val="105"/>
        </w:rPr>
        <w:t xml:space="preserve"> </w:t>
      </w:r>
      <w:r>
        <w:rPr>
          <w:w w:val="105"/>
        </w:rPr>
        <w:t>y</w:t>
      </w:r>
      <w:r>
        <w:rPr>
          <w:spacing w:val="-9"/>
          <w:w w:val="105"/>
        </w:rPr>
        <w:t xml:space="preserve"> </w:t>
      </w:r>
      <w:r>
        <w:rPr>
          <w:w w:val="105"/>
        </w:rPr>
        <w:t>de cualquier</w:t>
      </w:r>
      <w:r>
        <w:rPr>
          <w:spacing w:val="-2"/>
          <w:w w:val="105"/>
        </w:rPr>
        <w:t xml:space="preserve"> </w:t>
      </w:r>
      <w:r>
        <w:rPr>
          <w:w w:val="105"/>
        </w:rPr>
        <w:t>otra</w:t>
      </w:r>
      <w:r>
        <w:rPr>
          <w:spacing w:val="-2"/>
          <w:w w:val="105"/>
        </w:rPr>
        <w:t xml:space="preserve"> </w:t>
      </w:r>
      <w:r>
        <w:rPr>
          <w:w w:val="105"/>
        </w:rPr>
        <w:t>índole</w:t>
      </w:r>
      <w:r>
        <w:rPr>
          <w:spacing w:val="-2"/>
          <w:w w:val="105"/>
        </w:rPr>
        <w:t xml:space="preserve"> </w:t>
      </w:r>
      <w:r>
        <w:rPr>
          <w:w w:val="105"/>
        </w:rPr>
        <w:t>que</w:t>
      </w:r>
      <w:r>
        <w:rPr>
          <w:spacing w:val="-2"/>
          <w:w w:val="105"/>
        </w:rPr>
        <w:t xml:space="preserve"> </w:t>
      </w:r>
      <w:r>
        <w:rPr>
          <w:w w:val="105"/>
        </w:rPr>
        <w:t>se</w:t>
      </w:r>
      <w:r>
        <w:rPr>
          <w:spacing w:val="-2"/>
          <w:w w:val="105"/>
        </w:rPr>
        <w:t xml:space="preserve"> </w:t>
      </w:r>
      <w:r>
        <w:rPr>
          <w:w w:val="105"/>
        </w:rPr>
        <w:t>basen</w:t>
      </w:r>
      <w:r>
        <w:rPr>
          <w:spacing w:val="-2"/>
          <w:w w:val="105"/>
        </w:rPr>
        <w:t xml:space="preserve"> </w:t>
      </w:r>
      <w:r>
        <w:rPr>
          <w:w w:val="105"/>
        </w:rPr>
        <w:t>en</w:t>
      </w:r>
      <w:r>
        <w:rPr>
          <w:spacing w:val="-2"/>
          <w:w w:val="105"/>
        </w:rPr>
        <w:t xml:space="preserve"> </w:t>
      </w:r>
      <w:r>
        <w:rPr>
          <w:w w:val="105"/>
        </w:rPr>
        <w:t>la</w:t>
      </w:r>
      <w:r>
        <w:rPr>
          <w:spacing w:val="-2"/>
          <w:w w:val="105"/>
        </w:rPr>
        <w:t xml:space="preserve"> </w:t>
      </w:r>
      <w:r>
        <w:rPr>
          <w:w w:val="105"/>
        </w:rPr>
        <w:t>idea</w:t>
      </w:r>
      <w:r>
        <w:rPr>
          <w:spacing w:val="-2"/>
          <w:w w:val="105"/>
        </w:rPr>
        <w:t xml:space="preserve"> </w:t>
      </w:r>
      <w:r>
        <w:rPr>
          <w:w w:val="105"/>
        </w:rPr>
        <w:t>de</w:t>
      </w:r>
      <w:r>
        <w:rPr>
          <w:spacing w:val="-2"/>
          <w:w w:val="105"/>
        </w:rPr>
        <w:t xml:space="preserve"> </w:t>
      </w:r>
      <w:r>
        <w:rPr>
          <w:w w:val="105"/>
        </w:rPr>
        <w:t>la</w:t>
      </w:r>
      <w:r>
        <w:rPr>
          <w:spacing w:val="-2"/>
          <w:w w:val="105"/>
        </w:rPr>
        <w:t xml:space="preserve"> </w:t>
      </w:r>
      <w:r>
        <w:rPr>
          <w:w w:val="105"/>
        </w:rPr>
        <w:t>inferioridad</w:t>
      </w:r>
      <w:r>
        <w:rPr>
          <w:spacing w:val="-2"/>
          <w:w w:val="105"/>
        </w:rPr>
        <w:t xml:space="preserve"> </w:t>
      </w:r>
      <w:r>
        <w:rPr>
          <w:w w:val="105"/>
        </w:rPr>
        <w:t>o</w:t>
      </w:r>
      <w:r>
        <w:rPr>
          <w:spacing w:val="-2"/>
          <w:w w:val="105"/>
        </w:rPr>
        <w:t xml:space="preserve"> </w:t>
      </w:r>
      <w:r>
        <w:rPr>
          <w:w w:val="105"/>
        </w:rPr>
        <w:t>superioridad</w:t>
      </w:r>
      <w:r>
        <w:rPr>
          <w:spacing w:val="-2"/>
          <w:w w:val="105"/>
        </w:rPr>
        <w:t xml:space="preserve"> </w:t>
      </w:r>
      <w:r>
        <w:rPr>
          <w:w w:val="105"/>
        </w:rPr>
        <w:t>de</w:t>
      </w:r>
      <w:r>
        <w:rPr>
          <w:spacing w:val="-2"/>
          <w:w w:val="105"/>
        </w:rPr>
        <w:t xml:space="preserve"> </w:t>
      </w:r>
      <w:r>
        <w:rPr>
          <w:w w:val="105"/>
        </w:rPr>
        <w:t>cualquiera</w:t>
      </w:r>
      <w:r>
        <w:rPr>
          <w:spacing w:val="-2"/>
          <w:w w:val="105"/>
        </w:rPr>
        <w:t xml:space="preserve"> </w:t>
      </w:r>
      <w:r>
        <w:rPr>
          <w:w w:val="105"/>
        </w:rPr>
        <w:t>de</w:t>
      </w:r>
      <w:r>
        <w:rPr>
          <w:spacing w:val="-2"/>
          <w:w w:val="105"/>
        </w:rPr>
        <w:t xml:space="preserve"> </w:t>
      </w:r>
      <w:r>
        <w:rPr>
          <w:w w:val="105"/>
        </w:rPr>
        <w:t>los</w:t>
      </w:r>
      <w:r>
        <w:rPr>
          <w:spacing w:val="-2"/>
          <w:w w:val="105"/>
        </w:rPr>
        <w:t xml:space="preserve"> </w:t>
      </w:r>
      <w:r>
        <w:rPr>
          <w:w w:val="105"/>
        </w:rPr>
        <w:t>sexos</w:t>
      </w:r>
      <w:r>
        <w:rPr>
          <w:spacing w:val="-2"/>
          <w:w w:val="105"/>
        </w:rPr>
        <w:t xml:space="preserve"> </w:t>
      </w:r>
      <w:r>
        <w:rPr>
          <w:w w:val="105"/>
        </w:rPr>
        <w:t>o</w:t>
      </w:r>
      <w:r>
        <w:rPr>
          <w:spacing w:val="-2"/>
          <w:w w:val="105"/>
        </w:rPr>
        <w:t xml:space="preserve"> </w:t>
      </w:r>
      <w:r>
        <w:rPr>
          <w:w w:val="105"/>
        </w:rPr>
        <w:t>en principios</w:t>
      </w:r>
      <w:r>
        <w:rPr>
          <w:spacing w:val="-2"/>
          <w:w w:val="105"/>
        </w:rPr>
        <w:t xml:space="preserve"> </w:t>
      </w:r>
      <w:r>
        <w:rPr>
          <w:w w:val="105"/>
        </w:rPr>
        <w:t>estereotipados”.</w:t>
      </w:r>
      <w:r>
        <w:rPr>
          <w:spacing w:val="-1"/>
          <w:w w:val="105"/>
        </w:rPr>
        <w:t xml:space="preserve"> </w:t>
      </w:r>
      <w:r>
        <w:rPr>
          <w:w w:val="105"/>
        </w:rPr>
        <w:t>roles</w:t>
      </w:r>
      <w:r>
        <w:rPr>
          <w:spacing w:val="-2"/>
          <w:w w:val="105"/>
        </w:rPr>
        <w:t xml:space="preserve"> </w:t>
      </w:r>
      <w:r>
        <w:rPr>
          <w:w w:val="105"/>
        </w:rPr>
        <w:t>de</w:t>
      </w:r>
      <w:r>
        <w:rPr>
          <w:spacing w:val="-2"/>
          <w:w w:val="105"/>
        </w:rPr>
        <w:t xml:space="preserve"> </w:t>
      </w:r>
      <w:r>
        <w:rPr>
          <w:w w:val="105"/>
        </w:rPr>
        <w:t>hombres</w:t>
      </w:r>
      <w:r>
        <w:rPr>
          <w:spacing w:val="-2"/>
          <w:w w:val="105"/>
        </w:rPr>
        <w:t xml:space="preserve"> </w:t>
      </w:r>
      <w:r>
        <w:rPr>
          <w:w w:val="105"/>
        </w:rPr>
        <w:t>y</w:t>
      </w:r>
      <w:r>
        <w:rPr>
          <w:spacing w:val="-2"/>
          <w:w w:val="105"/>
        </w:rPr>
        <w:t xml:space="preserve"> </w:t>
      </w:r>
      <w:r>
        <w:rPr>
          <w:w w:val="105"/>
        </w:rPr>
        <w:t>mujeres”</w:t>
      </w:r>
      <w:r>
        <w:rPr>
          <w:spacing w:val="-2"/>
          <w:w w:val="105"/>
        </w:rPr>
        <w:t xml:space="preserve"> </w:t>
      </w:r>
      <w:r>
        <w:rPr>
          <w:w w:val="105"/>
        </w:rPr>
        <w:t>(artículo</w:t>
      </w:r>
      <w:r>
        <w:rPr>
          <w:spacing w:val="-2"/>
          <w:w w:val="105"/>
        </w:rPr>
        <w:t xml:space="preserve"> </w:t>
      </w:r>
      <w:r>
        <w:rPr>
          <w:w w:val="105"/>
        </w:rPr>
        <w:t>5).</w:t>
      </w:r>
      <w:r>
        <w:rPr>
          <w:spacing w:val="-2"/>
          <w:w w:val="105"/>
        </w:rPr>
        <w:t xml:space="preserve"> </w:t>
      </w:r>
      <w:r>
        <w:rPr>
          <w:w w:val="105"/>
        </w:rPr>
        <w:t>Y</w:t>
      </w:r>
      <w:r>
        <w:rPr>
          <w:spacing w:val="-2"/>
          <w:w w:val="105"/>
        </w:rPr>
        <w:t xml:space="preserve"> </w:t>
      </w:r>
      <w:r>
        <w:rPr>
          <w:w w:val="105"/>
        </w:rPr>
        <w:t>el</w:t>
      </w:r>
      <w:r>
        <w:rPr>
          <w:spacing w:val="-2"/>
          <w:w w:val="105"/>
        </w:rPr>
        <w:t xml:space="preserve"> </w:t>
      </w:r>
      <w:r>
        <w:rPr>
          <w:w w:val="105"/>
        </w:rPr>
        <w:t>artículo</w:t>
      </w:r>
      <w:r>
        <w:rPr>
          <w:spacing w:val="-2"/>
          <w:w w:val="105"/>
        </w:rPr>
        <w:t xml:space="preserve"> </w:t>
      </w:r>
      <w:r>
        <w:rPr>
          <w:w w:val="105"/>
        </w:rPr>
        <w:t>10.c.</w:t>
      </w:r>
      <w:r>
        <w:rPr>
          <w:spacing w:val="-2"/>
          <w:w w:val="105"/>
        </w:rPr>
        <w:t xml:space="preserve"> </w:t>
      </w:r>
      <w:r>
        <w:rPr>
          <w:w w:val="105"/>
        </w:rPr>
        <w:t>exige</w:t>
      </w:r>
      <w:r>
        <w:rPr>
          <w:spacing w:val="-2"/>
          <w:w w:val="105"/>
        </w:rPr>
        <w:t xml:space="preserve"> </w:t>
      </w:r>
      <w:r>
        <w:rPr>
          <w:w w:val="105"/>
        </w:rPr>
        <w:t>la</w:t>
      </w:r>
      <w:r>
        <w:rPr>
          <w:spacing w:val="-2"/>
          <w:w w:val="105"/>
        </w:rPr>
        <w:t xml:space="preserve"> </w:t>
      </w:r>
      <w:r>
        <w:rPr>
          <w:w w:val="105"/>
        </w:rPr>
        <w:t>revisión</w:t>
      </w:r>
      <w:r>
        <w:rPr>
          <w:spacing w:val="-2"/>
          <w:w w:val="105"/>
        </w:rPr>
        <w:t xml:space="preserve"> </w:t>
      </w:r>
      <w:r>
        <w:rPr>
          <w:w w:val="105"/>
        </w:rPr>
        <w:t>de</w:t>
      </w:r>
      <w:r>
        <w:rPr>
          <w:spacing w:val="-2"/>
          <w:w w:val="105"/>
        </w:rPr>
        <w:t xml:space="preserve"> </w:t>
      </w:r>
      <w:r>
        <w:rPr>
          <w:w w:val="105"/>
        </w:rPr>
        <w:t>los libros de texto, los programas escolares y los métodos de enseñanza con miras a eliminar conceptos estereotipados</w:t>
      </w:r>
      <w:r>
        <w:rPr>
          <w:spacing w:val="-2"/>
          <w:w w:val="105"/>
        </w:rPr>
        <w:t xml:space="preserve"> </w:t>
      </w:r>
      <w:r>
        <w:rPr>
          <w:w w:val="105"/>
        </w:rPr>
        <w:t>en</w:t>
      </w:r>
      <w:r>
        <w:rPr>
          <w:spacing w:val="-1"/>
          <w:w w:val="105"/>
        </w:rPr>
        <w:t xml:space="preserve"> </w:t>
      </w:r>
      <w:r>
        <w:rPr>
          <w:w w:val="105"/>
        </w:rPr>
        <w:t>el</w:t>
      </w:r>
      <w:r>
        <w:rPr>
          <w:spacing w:val="-1"/>
          <w:w w:val="105"/>
        </w:rPr>
        <w:t xml:space="preserve"> </w:t>
      </w:r>
      <w:r>
        <w:rPr>
          <w:w w:val="105"/>
        </w:rPr>
        <w:t>campo</w:t>
      </w:r>
      <w:r>
        <w:rPr>
          <w:spacing w:val="-1"/>
          <w:w w:val="105"/>
        </w:rPr>
        <w:t xml:space="preserve"> </w:t>
      </w:r>
      <w:r>
        <w:rPr>
          <w:w w:val="105"/>
        </w:rPr>
        <w:t>de</w:t>
      </w:r>
      <w:r>
        <w:rPr>
          <w:spacing w:val="-1"/>
          <w:w w:val="105"/>
        </w:rPr>
        <w:t xml:space="preserve"> </w:t>
      </w:r>
      <w:r>
        <w:rPr>
          <w:w w:val="105"/>
        </w:rPr>
        <w:t>la</w:t>
      </w:r>
      <w:r>
        <w:rPr>
          <w:spacing w:val="-1"/>
          <w:w w:val="105"/>
        </w:rPr>
        <w:t xml:space="preserve"> </w:t>
      </w:r>
      <w:r>
        <w:rPr>
          <w:w w:val="105"/>
        </w:rPr>
        <w:t>educación. Por</w:t>
      </w:r>
      <w:r>
        <w:rPr>
          <w:spacing w:val="-1"/>
          <w:w w:val="105"/>
        </w:rPr>
        <w:t xml:space="preserve"> </w:t>
      </w:r>
      <w:r>
        <w:rPr>
          <w:w w:val="105"/>
        </w:rPr>
        <w:t>último,</w:t>
      </w:r>
      <w:r>
        <w:rPr>
          <w:spacing w:val="-1"/>
          <w:w w:val="105"/>
        </w:rPr>
        <w:t xml:space="preserve"> </w:t>
      </w:r>
      <w:r>
        <w:rPr>
          <w:w w:val="105"/>
        </w:rPr>
        <w:t>los</w:t>
      </w:r>
      <w:r>
        <w:rPr>
          <w:spacing w:val="-1"/>
          <w:w w:val="105"/>
        </w:rPr>
        <w:t xml:space="preserve"> </w:t>
      </w:r>
      <w:r>
        <w:rPr>
          <w:w w:val="105"/>
        </w:rPr>
        <w:t>patrones</w:t>
      </w:r>
      <w:r>
        <w:rPr>
          <w:spacing w:val="-1"/>
          <w:w w:val="105"/>
        </w:rPr>
        <w:t xml:space="preserve"> </w:t>
      </w:r>
      <w:r>
        <w:rPr>
          <w:w w:val="105"/>
        </w:rPr>
        <w:t>culturales</w:t>
      </w:r>
      <w:r>
        <w:rPr>
          <w:spacing w:val="-1"/>
          <w:w w:val="105"/>
        </w:rPr>
        <w:t xml:space="preserve"> </w:t>
      </w:r>
      <w:r>
        <w:rPr>
          <w:w w:val="105"/>
        </w:rPr>
        <w:t>que</w:t>
      </w:r>
      <w:r>
        <w:rPr>
          <w:spacing w:val="-1"/>
          <w:w w:val="105"/>
        </w:rPr>
        <w:t xml:space="preserve"> </w:t>
      </w:r>
      <w:r>
        <w:rPr>
          <w:w w:val="105"/>
        </w:rPr>
        <w:t>definen</w:t>
      </w:r>
      <w:r>
        <w:rPr>
          <w:spacing w:val="-1"/>
          <w:w w:val="105"/>
        </w:rPr>
        <w:t xml:space="preserve"> </w:t>
      </w:r>
      <w:r>
        <w:rPr>
          <w:w w:val="105"/>
        </w:rPr>
        <w:t>el</w:t>
      </w:r>
      <w:r>
        <w:rPr>
          <w:spacing w:val="-1"/>
          <w:w w:val="105"/>
        </w:rPr>
        <w:t xml:space="preserve"> </w:t>
      </w:r>
      <w:r>
        <w:rPr>
          <w:w w:val="105"/>
        </w:rPr>
        <w:t>ámbito</w:t>
      </w:r>
      <w:r>
        <w:rPr>
          <w:spacing w:val="-1"/>
          <w:w w:val="105"/>
        </w:rPr>
        <w:t xml:space="preserve"> </w:t>
      </w:r>
      <w:r>
        <w:rPr>
          <w:w w:val="105"/>
        </w:rPr>
        <w:t>público como</w:t>
      </w:r>
      <w:r>
        <w:rPr>
          <w:spacing w:val="-4"/>
          <w:w w:val="105"/>
        </w:rPr>
        <w:t xml:space="preserve"> </w:t>
      </w:r>
      <w:r>
        <w:rPr>
          <w:w w:val="105"/>
        </w:rPr>
        <w:t>un</w:t>
      </w:r>
      <w:r>
        <w:rPr>
          <w:spacing w:val="-4"/>
          <w:w w:val="105"/>
        </w:rPr>
        <w:t xml:space="preserve"> </w:t>
      </w:r>
      <w:r>
        <w:rPr>
          <w:w w:val="105"/>
        </w:rPr>
        <w:t>mundo</w:t>
      </w:r>
      <w:r>
        <w:rPr>
          <w:spacing w:val="-4"/>
          <w:w w:val="105"/>
        </w:rPr>
        <w:t xml:space="preserve"> </w:t>
      </w:r>
      <w:r>
        <w:rPr>
          <w:w w:val="105"/>
        </w:rPr>
        <w:t>de</w:t>
      </w:r>
      <w:r>
        <w:rPr>
          <w:spacing w:val="-4"/>
          <w:w w:val="105"/>
        </w:rPr>
        <w:t xml:space="preserve"> </w:t>
      </w:r>
      <w:r>
        <w:rPr>
          <w:w w:val="105"/>
        </w:rPr>
        <w:t>hombres</w:t>
      </w:r>
      <w:r>
        <w:rPr>
          <w:spacing w:val="-4"/>
          <w:w w:val="105"/>
        </w:rPr>
        <w:t xml:space="preserve"> </w:t>
      </w:r>
      <w:r>
        <w:rPr>
          <w:w w:val="105"/>
        </w:rPr>
        <w:t>y</w:t>
      </w:r>
      <w:r>
        <w:rPr>
          <w:spacing w:val="-4"/>
          <w:w w:val="105"/>
        </w:rPr>
        <w:t xml:space="preserve"> </w:t>
      </w:r>
      <w:r>
        <w:rPr>
          <w:w w:val="105"/>
        </w:rPr>
        <w:t>la</w:t>
      </w:r>
      <w:r>
        <w:rPr>
          <w:spacing w:val="-4"/>
          <w:w w:val="105"/>
        </w:rPr>
        <w:t xml:space="preserve"> </w:t>
      </w:r>
      <w:r>
        <w:rPr>
          <w:w w:val="105"/>
        </w:rPr>
        <w:t>esfera</w:t>
      </w:r>
      <w:r>
        <w:rPr>
          <w:spacing w:val="-4"/>
          <w:w w:val="105"/>
        </w:rPr>
        <w:t xml:space="preserve"> </w:t>
      </w:r>
      <w:r>
        <w:rPr>
          <w:w w:val="105"/>
        </w:rPr>
        <w:t>doméstica</w:t>
      </w:r>
      <w:r>
        <w:rPr>
          <w:spacing w:val="-4"/>
          <w:w w:val="105"/>
        </w:rPr>
        <w:t xml:space="preserve"> </w:t>
      </w:r>
      <w:r>
        <w:rPr>
          <w:w w:val="105"/>
        </w:rPr>
        <w:t>como</w:t>
      </w:r>
      <w:r>
        <w:rPr>
          <w:spacing w:val="-4"/>
          <w:w w:val="105"/>
        </w:rPr>
        <w:t xml:space="preserve"> </w:t>
      </w:r>
      <w:r>
        <w:rPr>
          <w:w w:val="105"/>
        </w:rPr>
        <w:t>dominio</w:t>
      </w:r>
      <w:r>
        <w:rPr>
          <w:spacing w:val="-4"/>
          <w:w w:val="105"/>
        </w:rPr>
        <w:t xml:space="preserve"> </w:t>
      </w:r>
      <w:r>
        <w:rPr>
          <w:w w:val="105"/>
        </w:rPr>
        <w:t>de</w:t>
      </w:r>
      <w:r>
        <w:rPr>
          <w:spacing w:val="-4"/>
          <w:w w:val="105"/>
        </w:rPr>
        <w:t xml:space="preserve"> </w:t>
      </w:r>
      <w:r>
        <w:rPr>
          <w:w w:val="105"/>
        </w:rPr>
        <w:t>las</w:t>
      </w:r>
      <w:r>
        <w:rPr>
          <w:spacing w:val="-4"/>
          <w:w w:val="105"/>
        </w:rPr>
        <w:t xml:space="preserve"> </w:t>
      </w:r>
      <w:r>
        <w:rPr>
          <w:w w:val="105"/>
        </w:rPr>
        <w:t>mujeres</w:t>
      </w:r>
      <w:r>
        <w:rPr>
          <w:spacing w:val="-4"/>
          <w:w w:val="105"/>
        </w:rPr>
        <w:t xml:space="preserve"> </w:t>
      </w:r>
      <w:r>
        <w:rPr>
          <w:w w:val="105"/>
        </w:rPr>
        <w:t>son</w:t>
      </w:r>
      <w:r>
        <w:rPr>
          <w:spacing w:val="-4"/>
          <w:w w:val="105"/>
        </w:rPr>
        <w:t xml:space="preserve"> </w:t>
      </w:r>
      <w:r>
        <w:rPr>
          <w:w w:val="105"/>
        </w:rPr>
        <w:t>fuertemente</w:t>
      </w:r>
      <w:r>
        <w:rPr>
          <w:spacing w:val="-4"/>
          <w:w w:val="105"/>
        </w:rPr>
        <w:t xml:space="preserve"> </w:t>
      </w:r>
      <w:r>
        <w:rPr>
          <w:w w:val="105"/>
        </w:rPr>
        <w:t>atacados</w:t>
      </w:r>
      <w:r>
        <w:rPr>
          <w:spacing w:val="-4"/>
          <w:w w:val="105"/>
        </w:rPr>
        <w:t xml:space="preserve"> </w:t>
      </w:r>
      <w:r>
        <w:rPr>
          <w:w w:val="105"/>
        </w:rPr>
        <w:t>en todas</w:t>
      </w:r>
      <w:r>
        <w:rPr>
          <w:spacing w:val="-1"/>
          <w:w w:val="105"/>
        </w:rPr>
        <w:t xml:space="preserve"> </w:t>
      </w:r>
      <w:r>
        <w:rPr>
          <w:w w:val="105"/>
        </w:rPr>
        <w:t>las</w:t>
      </w:r>
      <w:r>
        <w:rPr>
          <w:spacing w:val="-1"/>
          <w:w w:val="105"/>
        </w:rPr>
        <w:t xml:space="preserve"> </w:t>
      </w:r>
      <w:r>
        <w:rPr>
          <w:w w:val="105"/>
        </w:rPr>
        <w:t>disposiciones</w:t>
      </w:r>
      <w:r>
        <w:rPr>
          <w:spacing w:val="-1"/>
          <w:w w:val="105"/>
        </w:rPr>
        <w:t xml:space="preserve"> </w:t>
      </w:r>
      <w:r>
        <w:rPr>
          <w:w w:val="105"/>
        </w:rPr>
        <w:t>de</w:t>
      </w:r>
      <w:r>
        <w:rPr>
          <w:spacing w:val="-1"/>
          <w:w w:val="105"/>
        </w:rPr>
        <w:t xml:space="preserve"> </w:t>
      </w:r>
      <w:r>
        <w:rPr>
          <w:w w:val="105"/>
        </w:rPr>
        <w:t>la</w:t>
      </w:r>
      <w:r>
        <w:rPr>
          <w:spacing w:val="-1"/>
          <w:w w:val="105"/>
        </w:rPr>
        <w:t xml:space="preserve"> </w:t>
      </w:r>
      <w:r>
        <w:rPr>
          <w:w w:val="105"/>
        </w:rPr>
        <w:t>Convención</w:t>
      </w:r>
      <w:r>
        <w:rPr>
          <w:spacing w:val="-1"/>
          <w:w w:val="105"/>
        </w:rPr>
        <w:t xml:space="preserve"> </w:t>
      </w:r>
      <w:r>
        <w:rPr>
          <w:w w:val="105"/>
        </w:rPr>
        <w:t>que</w:t>
      </w:r>
      <w:r>
        <w:rPr>
          <w:spacing w:val="-1"/>
          <w:w w:val="105"/>
        </w:rPr>
        <w:t xml:space="preserve"> </w:t>
      </w:r>
      <w:r>
        <w:rPr>
          <w:w w:val="105"/>
        </w:rPr>
        <w:t>afirman</w:t>
      </w:r>
      <w:r>
        <w:rPr>
          <w:spacing w:val="-1"/>
          <w:w w:val="105"/>
        </w:rPr>
        <w:t xml:space="preserve"> </w:t>
      </w:r>
      <w:r>
        <w:rPr>
          <w:w w:val="105"/>
        </w:rPr>
        <w:t>la</w:t>
      </w:r>
      <w:r>
        <w:rPr>
          <w:spacing w:val="-1"/>
          <w:w w:val="105"/>
        </w:rPr>
        <w:t xml:space="preserve"> </w:t>
      </w:r>
      <w:r>
        <w:rPr>
          <w:w w:val="105"/>
        </w:rPr>
        <w:t>igualdad</w:t>
      </w:r>
      <w:r>
        <w:rPr>
          <w:spacing w:val="-1"/>
          <w:w w:val="105"/>
        </w:rPr>
        <w:t xml:space="preserve"> </w:t>
      </w:r>
      <w:r>
        <w:rPr>
          <w:w w:val="105"/>
        </w:rPr>
        <w:t>de</w:t>
      </w:r>
      <w:r>
        <w:rPr>
          <w:spacing w:val="-1"/>
          <w:w w:val="105"/>
        </w:rPr>
        <w:t xml:space="preserve"> </w:t>
      </w:r>
      <w:r>
        <w:rPr>
          <w:w w:val="105"/>
        </w:rPr>
        <w:t>responsabilidades</w:t>
      </w:r>
      <w:r>
        <w:rPr>
          <w:spacing w:val="-1"/>
          <w:w w:val="105"/>
        </w:rPr>
        <w:t xml:space="preserve"> </w:t>
      </w:r>
      <w:r>
        <w:rPr>
          <w:w w:val="105"/>
        </w:rPr>
        <w:t>de</w:t>
      </w:r>
      <w:r>
        <w:rPr>
          <w:spacing w:val="-1"/>
          <w:w w:val="105"/>
        </w:rPr>
        <w:t xml:space="preserve"> </w:t>
      </w:r>
      <w:r>
        <w:rPr>
          <w:w w:val="105"/>
        </w:rPr>
        <w:t>ambos</w:t>
      </w:r>
      <w:r>
        <w:rPr>
          <w:spacing w:val="-1"/>
          <w:w w:val="105"/>
        </w:rPr>
        <w:t xml:space="preserve"> </w:t>
      </w:r>
      <w:r>
        <w:rPr>
          <w:w w:val="105"/>
        </w:rPr>
        <w:t>sexos</w:t>
      </w:r>
      <w:r>
        <w:rPr>
          <w:spacing w:val="-1"/>
          <w:w w:val="105"/>
        </w:rPr>
        <w:t xml:space="preserve"> </w:t>
      </w:r>
      <w:r>
        <w:rPr>
          <w:w w:val="105"/>
        </w:rPr>
        <w:t>en</w:t>
      </w:r>
      <w:r>
        <w:rPr>
          <w:spacing w:val="-1"/>
          <w:w w:val="105"/>
        </w:rPr>
        <w:t xml:space="preserve"> </w:t>
      </w:r>
      <w:r>
        <w:rPr>
          <w:w w:val="105"/>
        </w:rPr>
        <w:t>la vida</w:t>
      </w:r>
      <w:r>
        <w:rPr>
          <w:spacing w:val="-1"/>
          <w:w w:val="105"/>
        </w:rPr>
        <w:t xml:space="preserve"> </w:t>
      </w:r>
      <w:r>
        <w:rPr>
          <w:w w:val="105"/>
        </w:rPr>
        <w:t>familiar</w:t>
      </w:r>
      <w:r>
        <w:rPr>
          <w:spacing w:val="-1"/>
          <w:w w:val="105"/>
        </w:rPr>
        <w:t xml:space="preserve"> </w:t>
      </w:r>
      <w:r>
        <w:rPr>
          <w:w w:val="105"/>
        </w:rPr>
        <w:t>y</w:t>
      </w:r>
      <w:r>
        <w:rPr>
          <w:spacing w:val="-1"/>
          <w:w w:val="105"/>
        </w:rPr>
        <w:t xml:space="preserve"> </w:t>
      </w:r>
      <w:r>
        <w:rPr>
          <w:w w:val="105"/>
        </w:rPr>
        <w:t>sus</w:t>
      </w:r>
      <w:r>
        <w:rPr>
          <w:spacing w:val="-1"/>
          <w:w w:val="105"/>
        </w:rPr>
        <w:t xml:space="preserve"> </w:t>
      </w:r>
      <w:r>
        <w:rPr>
          <w:w w:val="105"/>
        </w:rPr>
        <w:t>iguales</w:t>
      </w:r>
      <w:r>
        <w:rPr>
          <w:spacing w:val="-1"/>
          <w:w w:val="105"/>
        </w:rPr>
        <w:t xml:space="preserve"> </w:t>
      </w:r>
      <w:r>
        <w:rPr>
          <w:w w:val="105"/>
        </w:rPr>
        <w:t>derechos</w:t>
      </w:r>
      <w:r>
        <w:rPr>
          <w:spacing w:val="-1"/>
          <w:w w:val="105"/>
        </w:rPr>
        <w:t xml:space="preserve"> </w:t>
      </w:r>
      <w:r>
        <w:rPr>
          <w:w w:val="105"/>
        </w:rPr>
        <w:t>con</w:t>
      </w:r>
      <w:r>
        <w:rPr>
          <w:spacing w:val="-1"/>
          <w:w w:val="105"/>
        </w:rPr>
        <w:t xml:space="preserve"> </w:t>
      </w:r>
      <w:r>
        <w:rPr>
          <w:w w:val="105"/>
        </w:rPr>
        <w:t>respecto</w:t>
      </w:r>
      <w:r>
        <w:rPr>
          <w:spacing w:val="-1"/>
          <w:w w:val="105"/>
        </w:rPr>
        <w:t xml:space="preserve"> </w:t>
      </w:r>
      <w:r>
        <w:rPr>
          <w:w w:val="105"/>
        </w:rPr>
        <w:t>a</w:t>
      </w:r>
      <w:r>
        <w:rPr>
          <w:spacing w:val="-1"/>
          <w:w w:val="105"/>
        </w:rPr>
        <w:t xml:space="preserve"> </w:t>
      </w:r>
      <w:r>
        <w:rPr>
          <w:w w:val="105"/>
        </w:rPr>
        <w:t>la</w:t>
      </w:r>
      <w:r>
        <w:rPr>
          <w:spacing w:val="-1"/>
          <w:w w:val="105"/>
        </w:rPr>
        <w:t xml:space="preserve"> </w:t>
      </w:r>
      <w:r>
        <w:rPr>
          <w:w w:val="105"/>
        </w:rPr>
        <w:t>educación</w:t>
      </w:r>
      <w:r>
        <w:rPr>
          <w:spacing w:val="-1"/>
          <w:w w:val="105"/>
        </w:rPr>
        <w:t xml:space="preserve"> </w:t>
      </w:r>
      <w:r>
        <w:rPr>
          <w:w w:val="105"/>
        </w:rPr>
        <w:t>y</w:t>
      </w:r>
      <w:r>
        <w:rPr>
          <w:spacing w:val="-1"/>
          <w:w w:val="105"/>
        </w:rPr>
        <w:t xml:space="preserve"> </w:t>
      </w:r>
      <w:r>
        <w:rPr>
          <w:w w:val="105"/>
        </w:rPr>
        <w:t>el</w:t>
      </w:r>
      <w:r>
        <w:rPr>
          <w:spacing w:val="-1"/>
          <w:w w:val="105"/>
        </w:rPr>
        <w:t xml:space="preserve"> </w:t>
      </w:r>
      <w:r>
        <w:rPr>
          <w:w w:val="105"/>
        </w:rPr>
        <w:t>empleo</w:t>
      </w:r>
      <w:proofErr w:type="gramStart"/>
      <w:r>
        <w:rPr>
          <w:w w:val="105"/>
        </w:rPr>
        <w:t>.</w:t>
      </w:r>
      <w:r>
        <w:rPr>
          <w:spacing w:val="-1"/>
          <w:w w:val="105"/>
        </w:rPr>
        <w:t xml:space="preserve"> </w:t>
      </w:r>
      <w:r>
        <w:rPr>
          <w:w w:val="105"/>
        </w:rPr>
        <w:t>.</w:t>
      </w:r>
      <w:proofErr w:type="gramEnd"/>
      <w:r>
        <w:rPr>
          <w:w w:val="105"/>
        </w:rPr>
        <w:t xml:space="preserve"> En</w:t>
      </w:r>
      <w:r>
        <w:rPr>
          <w:spacing w:val="-1"/>
          <w:w w:val="105"/>
        </w:rPr>
        <w:t xml:space="preserve"> </w:t>
      </w:r>
      <w:r>
        <w:rPr>
          <w:w w:val="105"/>
        </w:rPr>
        <w:t>conjunto, la</w:t>
      </w:r>
      <w:r>
        <w:rPr>
          <w:spacing w:val="-1"/>
          <w:w w:val="105"/>
        </w:rPr>
        <w:t xml:space="preserve"> </w:t>
      </w:r>
      <w:r>
        <w:rPr>
          <w:w w:val="105"/>
        </w:rPr>
        <w:t>Convención proporciona</w:t>
      </w:r>
      <w:r>
        <w:rPr>
          <w:spacing w:val="-2"/>
          <w:w w:val="105"/>
        </w:rPr>
        <w:t xml:space="preserve"> </w:t>
      </w:r>
      <w:r>
        <w:rPr>
          <w:w w:val="105"/>
        </w:rPr>
        <w:t>un</w:t>
      </w:r>
      <w:r>
        <w:rPr>
          <w:spacing w:val="-2"/>
          <w:w w:val="105"/>
        </w:rPr>
        <w:t xml:space="preserve"> </w:t>
      </w:r>
      <w:r>
        <w:rPr>
          <w:w w:val="105"/>
        </w:rPr>
        <w:t>marco</w:t>
      </w:r>
      <w:r>
        <w:rPr>
          <w:spacing w:val="-2"/>
          <w:w w:val="105"/>
        </w:rPr>
        <w:t xml:space="preserve"> </w:t>
      </w:r>
      <w:r>
        <w:rPr>
          <w:w w:val="105"/>
        </w:rPr>
        <w:t>integral</w:t>
      </w:r>
      <w:r>
        <w:rPr>
          <w:spacing w:val="-2"/>
          <w:w w:val="105"/>
        </w:rPr>
        <w:t xml:space="preserve"> </w:t>
      </w:r>
      <w:r>
        <w:rPr>
          <w:w w:val="105"/>
        </w:rPr>
        <w:t>para</w:t>
      </w:r>
      <w:r>
        <w:rPr>
          <w:spacing w:val="-2"/>
          <w:w w:val="105"/>
        </w:rPr>
        <w:t xml:space="preserve"> </w:t>
      </w:r>
      <w:r>
        <w:rPr>
          <w:w w:val="105"/>
        </w:rPr>
        <w:t>desafiar</w:t>
      </w:r>
      <w:r>
        <w:rPr>
          <w:spacing w:val="-2"/>
          <w:w w:val="105"/>
        </w:rPr>
        <w:t xml:space="preserve"> </w:t>
      </w:r>
      <w:r>
        <w:rPr>
          <w:w w:val="105"/>
        </w:rPr>
        <w:t>las</w:t>
      </w:r>
      <w:r>
        <w:rPr>
          <w:spacing w:val="-2"/>
          <w:w w:val="105"/>
        </w:rPr>
        <w:t xml:space="preserve"> </w:t>
      </w:r>
      <w:r>
        <w:rPr>
          <w:w w:val="105"/>
        </w:rPr>
        <w:t>diversas</w:t>
      </w:r>
      <w:r>
        <w:rPr>
          <w:spacing w:val="-2"/>
          <w:w w:val="105"/>
        </w:rPr>
        <w:t xml:space="preserve"> </w:t>
      </w:r>
      <w:r>
        <w:rPr>
          <w:w w:val="105"/>
        </w:rPr>
        <w:t>fuerzas</w:t>
      </w:r>
      <w:r>
        <w:rPr>
          <w:spacing w:val="-2"/>
          <w:w w:val="105"/>
        </w:rPr>
        <w:t xml:space="preserve"> </w:t>
      </w:r>
      <w:r>
        <w:rPr>
          <w:w w:val="105"/>
        </w:rPr>
        <w:t>que</w:t>
      </w:r>
      <w:r>
        <w:rPr>
          <w:spacing w:val="-2"/>
          <w:w w:val="105"/>
        </w:rPr>
        <w:t xml:space="preserve"> </w:t>
      </w:r>
      <w:r>
        <w:rPr>
          <w:w w:val="105"/>
        </w:rPr>
        <w:t>han</w:t>
      </w:r>
      <w:r>
        <w:rPr>
          <w:spacing w:val="-2"/>
          <w:w w:val="105"/>
        </w:rPr>
        <w:t xml:space="preserve"> </w:t>
      </w:r>
      <w:r>
        <w:rPr>
          <w:w w:val="105"/>
        </w:rPr>
        <w:t>creado</w:t>
      </w:r>
      <w:r>
        <w:rPr>
          <w:spacing w:val="-2"/>
          <w:w w:val="105"/>
        </w:rPr>
        <w:t xml:space="preserve"> </w:t>
      </w:r>
      <w:r>
        <w:rPr>
          <w:w w:val="105"/>
        </w:rPr>
        <w:t>y</w:t>
      </w:r>
      <w:r>
        <w:rPr>
          <w:spacing w:val="-2"/>
          <w:w w:val="105"/>
        </w:rPr>
        <w:t xml:space="preserve"> </w:t>
      </w:r>
      <w:r>
        <w:rPr>
          <w:w w:val="105"/>
        </w:rPr>
        <w:t>sostenido</w:t>
      </w:r>
      <w:r>
        <w:rPr>
          <w:spacing w:val="-2"/>
          <w:w w:val="105"/>
        </w:rPr>
        <w:t xml:space="preserve"> </w:t>
      </w:r>
      <w:r>
        <w:rPr>
          <w:w w:val="105"/>
        </w:rPr>
        <w:t>la</w:t>
      </w:r>
      <w:r>
        <w:rPr>
          <w:spacing w:val="-2"/>
          <w:w w:val="105"/>
        </w:rPr>
        <w:t xml:space="preserve"> </w:t>
      </w:r>
      <w:r>
        <w:rPr>
          <w:w w:val="105"/>
        </w:rPr>
        <w:t>discriminación basada en el sexo.1228</w:t>
      </w:r>
    </w:p>
    <w:p w14:paraId="18A4EF06" w14:textId="77777777" w:rsidR="0014798C" w:rsidRDefault="0014798C">
      <w:pPr>
        <w:pStyle w:val="Textoindependiente"/>
      </w:pPr>
    </w:p>
    <w:p w14:paraId="0A727F3E" w14:textId="77777777" w:rsidR="0014798C" w:rsidRDefault="0014798C">
      <w:pPr>
        <w:pStyle w:val="Textoindependiente"/>
        <w:spacing w:before="77"/>
      </w:pPr>
    </w:p>
    <w:p w14:paraId="65881AA1" w14:textId="77777777" w:rsidR="0014798C" w:rsidRDefault="004E1F0B">
      <w:pPr>
        <w:pStyle w:val="Textoindependiente"/>
        <w:spacing w:line="326" w:lineRule="auto"/>
        <w:ind w:left="1108" w:right="1272" w:hanging="2"/>
      </w:pPr>
      <w:r>
        <w:rPr>
          <w:noProof/>
        </w:rPr>
        <mc:AlternateContent>
          <mc:Choice Requires="wps">
            <w:drawing>
              <wp:anchor distT="0" distB="0" distL="0" distR="0" simplePos="0" relativeHeight="251658337" behindDoc="0" locked="0" layoutInCell="1" allowOverlap="1" wp14:anchorId="1F99BF78" wp14:editId="68532A32">
                <wp:simplePos x="0" y="0"/>
                <wp:positionH relativeFrom="page">
                  <wp:posOffset>7308079</wp:posOffset>
                </wp:positionH>
                <wp:positionV relativeFrom="paragraph">
                  <wp:posOffset>228066</wp:posOffset>
                </wp:positionV>
                <wp:extent cx="89535" cy="215265"/>
                <wp:effectExtent l="0" t="0" r="0" b="0"/>
                <wp:wrapNone/>
                <wp:docPr id="383" name="Textbox 38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89535" cy="215265"/>
                        </a:xfrm>
                        <a:prstGeom prst="rect">
                          <a:avLst/>
                        </a:prstGeom>
                      </wps:spPr>
                      <wps:txbx>
                        <w:txbxContent>
                          <w:p w14:paraId="5785207B" w14:textId="77777777" w:rsidR="0014798C" w:rsidRDefault="004E1F0B">
                            <w:pPr>
                              <w:spacing w:before="16"/>
                              <w:ind w:left="20"/>
                              <w:rPr>
                                <w:sz w:val="9"/>
                              </w:rPr>
                            </w:pPr>
                            <w:r>
                              <w:rPr>
                                <w:color w:val="FFFFFF"/>
                                <w:spacing w:val="-23"/>
                                <w:sz w:val="9"/>
                              </w:rPr>
                              <w:t>SPEAIRSTE</w:t>
                            </w:r>
                          </w:p>
                        </w:txbxContent>
                      </wps:txbx>
                      <wps:bodyPr vert="vert270" wrap="square" lIns="0" tIns="0" rIns="0" bIns="0" rtlCol="0">
                        <a:noAutofit/>
                      </wps:bodyPr>
                    </wps:wsp>
                  </a:graphicData>
                </a:graphic>
              </wp:anchor>
            </w:drawing>
          </mc:Choice>
          <mc:Fallback>
            <w:pict>
              <v:shape w14:anchorId="1F99BF78" id="Textbox 383" o:spid="_x0000_s1185" type="#_x0000_t202" style="position:absolute;left:0;text-align:left;margin-left:575.45pt;margin-top:17.95pt;width:7.05pt;height:16.95pt;z-index:251658337;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" filled="f" stroked="f">
                <v:textbox style="layout-flow:vertical;mso-layout-flow-alt:bottom-to-top" inset="0,0,0,0">
                  <w:txbxContent>
                    <w:p w14:paraId="5785207B" w14:textId="77777777" w:rsidR="0014798C" w:rsidRDefault="004E1F0B">
                      <w:pPr>
                        <w:spacing w:before="16"/>
                        <w:ind w:left="20"/>
                        <w:rPr>
                          <w:sz w:val="9"/>
                        </w:rPr>
                      </w:pPr>
                      <w:r>
                        <w:rPr>
                          <w:color w:val="FFFFFF"/>
                          <w:spacing w:val="-23"/>
                          <w:sz w:val="9"/>
                        </w:rPr>
                        <w:t>SPEAIRSTE</w:t>
                      </w:r>
                    </w:p>
                  </w:txbxContent>
                </v:textbox>
                <w10:wrap anchorx="page"/>
              </v:shape>
            </w:pict>
          </mc:Fallback>
        </mc:AlternateContent>
      </w:r>
      <w:r>
        <w:rPr>
          <w:w w:val="105"/>
        </w:rPr>
        <w:t>La</w:t>
      </w:r>
      <w:r>
        <w:rPr>
          <w:spacing w:val="-2"/>
          <w:w w:val="105"/>
        </w:rPr>
        <w:t xml:space="preserve"> </w:t>
      </w:r>
      <w:r>
        <w:rPr>
          <w:w w:val="105"/>
        </w:rPr>
        <w:t>Convención</w:t>
      </w:r>
      <w:r>
        <w:rPr>
          <w:spacing w:val="-2"/>
          <w:w w:val="105"/>
        </w:rPr>
        <w:t xml:space="preserve"> </w:t>
      </w:r>
      <w:r>
        <w:rPr>
          <w:w w:val="105"/>
        </w:rPr>
        <w:t>sobre</w:t>
      </w:r>
      <w:r>
        <w:rPr>
          <w:spacing w:val="-2"/>
          <w:w w:val="105"/>
        </w:rPr>
        <w:t xml:space="preserve"> </w:t>
      </w:r>
      <w:r>
        <w:rPr>
          <w:w w:val="105"/>
        </w:rPr>
        <w:t>los</w:t>
      </w:r>
      <w:r>
        <w:rPr>
          <w:spacing w:val="-2"/>
          <w:w w:val="105"/>
        </w:rPr>
        <w:t xml:space="preserve"> </w:t>
      </w:r>
      <w:r>
        <w:rPr>
          <w:w w:val="105"/>
        </w:rPr>
        <w:t>Derechos</w:t>
      </w:r>
      <w:r>
        <w:rPr>
          <w:spacing w:val="-2"/>
          <w:w w:val="105"/>
        </w:rPr>
        <w:t xml:space="preserve"> </w:t>
      </w:r>
      <w:r>
        <w:rPr>
          <w:w w:val="105"/>
        </w:rPr>
        <w:t>de</w:t>
      </w:r>
      <w:r>
        <w:rPr>
          <w:spacing w:val="-2"/>
          <w:w w:val="105"/>
        </w:rPr>
        <w:t xml:space="preserve"> </w:t>
      </w:r>
      <w:r>
        <w:rPr>
          <w:w w:val="105"/>
        </w:rPr>
        <w:t>las</w:t>
      </w:r>
      <w:r>
        <w:rPr>
          <w:spacing w:val="-2"/>
          <w:w w:val="105"/>
        </w:rPr>
        <w:t xml:space="preserve"> </w:t>
      </w:r>
      <w:r>
        <w:rPr>
          <w:w w:val="105"/>
        </w:rPr>
        <w:t>Personas</w:t>
      </w:r>
      <w:r>
        <w:rPr>
          <w:spacing w:val="-2"/>
          <w:w w:val="105"/>
        </w:rPr>
        <w:t xml:space="preserve"> </w:t>
      </w:r>
      <w:r>
        <w:rPr>
          <w:w w:val="105"/>
        </w:rPr>
        <w:t>con</w:t>
      </w:r>
      <w:r>
        <w:rPr>
          <w:spacing w:val="-2"/>
          <w:w w:val="105"/>
        </w:rPr>
        <w:t xml:space="preserve"> </w:t>
      </w:r>
      <w:r>
        <w:rPr>
          <w:w w:val="105"/>
        </w:rPr>
        <w:t>Discapacidad</w:t>
      </w:r>
      <w:r>
        <w:rPr>
          <w:spacing w:val="-2"/>
          <w:w w:val="105"/>
        </w:rPr>
        <w:t xml:space="preserve"> </w:t>
      </w:r>
      <w:r>
        <w:rPr>
          <w:w w:val="105"/>
        </w:rPr>
        <w:t>contiene</w:t>
      </w:r>
      <w:r>
        <w:rPr>
          <w:spacing w:val="-2"/>
          <w:w w:val="105"/>
        </w:rPr>
        <w:t xml:space="preserve"> </w:t>
      </w:r>
      <w:r>
        <w:rPr>
          <w:w w:val="105"/>
        </w:rPr>
        <w:t>una</w:t>
      </w:r>
      <w:r>
        <w:rPr>
          <w:spacing w:val="-2"/>
          <w:w w:val="105"/>
        </w:rPr>
        <w:t xml:space="preserve"> </w:t>
      </w:r>
      <w:r>
        <w:rPr>
          <w:w w:val="105"/>
        </w:rPr>
        <w:t>serie</w:t>
      </w:r>
      <w:r>
        <w:rPr>
          <w:spacing w:val="-2"/>
          <w:w w:val="105"/>
        </w:rPr>
        <w:t xml:space="preserve"> </w:t>
      </w:r>
      <w:r>
        <w:rPr>
          <w:w w:val="105"/>
        </w:rPr>
        <w:t>de</w:t>
      </w:r>
      <w:r>
        <w:rPr>
          <w:spacing w:val="-2"/>
          <w:w w:val="105"/>
        </w:rPr>
        <w:t xml:space="preserve"> </w:t>
      </w:r>
      <w:r>
        <w:rPr>
          <w:w w:val="105"/>
        </w:rPr>
        <w:t>disposiciones</w:t>
      </w:r>
      <w:r>
        <w:rPr>
          <w:spacing w:val="-2"/>
          <w:w w:val="105"/>
        </w:rPr>
        <w:t xml:space="preserve"> </w:t>
      </w:r>
      <w:r>
        <w:rPr>
          <w:w w:val="105"/>
        </w:rPr>
        <w:t>centradas</w:t>
      </w:r>
      <w:r>
        <w:rPr>
          <w:spacing w:val="-2"/>
          <w:w w:val="105"/>
        </w:rPr>
        <w:t xml:space="preserve"> </w:t>
      </w:r>
      <w:r>
        <w:rPr>
          <w:w w:val="105"/>
        </w:rPr>
        <w:t>en combatir</w:t>
      </w:r>
      <w:r>
        <w:rPr>
          <w:spacing w:val="-3"/>
          <w:w w:val="105"/>
        </w:rPr>
        <w:t xml:space="preserve"> </w:t>
      </w:r>
      <w:r>
        <w:rPr>
          <w:w w:val="105"/>
        </w:rPr>
        <w:t>los</w:t>
      </w:r>
      <w:r>
        <w:rPr>
          <w:spacing w:val="-3"/>
          <w:w w:val="105"/>
        </w:rPr>
        <w:t xml:space="preserve"> </w:t>
      </w:r>
      <w:r>
        <w:rPr>
          <w:w w:val="105"/>
        </w:rPr>
        <w:t>prejuicios,</w:t>
      </w:r>
      <w:r>
        <w:rPr>
          <w:spacing w:val="-2"/>
          <w:w w:val="105"/>
        </w:rPr>
        <w:t xml:space="preserve"> </w:t>
      </w:r>
      <w:r>
        <w:rPr>
          <w:w w:val="105"/>
        </w:rPr>
        <w:t>los</w:t>
      </w:r>
      <w:r>
        <w:rPr>
          <w:spacing w:val="-3"/>
          <w:w w:val="105"/>
        </w:rPr>
        <w:t xml:space="preserve"> </w:t>
      </w:r>
      <w:r>
        <w:rPr>
          <w:w w:val="105"/>
        </w:rPr>
        <w:t>estereotipos</w:t>
      </w:r>
      <w:r>
        <w:rPr>
          <w:spacing w:val="-3"/>
          <w:w w:val="105"/>
        </w:rPr>
        <w:t xml:space="preserve"> </w:t>
      </w:r>
      <w:r>
        <w:rPr>
          <w:w w:val="105"/>
        </w:rPr>
        <w:t>y</w:t>
      </w:r>
      <w:r>
        <w:rPr>
          <w:spacing w:val="-3"/>
          <w:w w:val="105"/>
        </w:rPr>
        <w:t xml:space="preserve"> </w:t>
      </w:r>
      <w:r>
        <w:rPr>
          <w:w w:val="105"/>
        </w:rPr>
        <w:t>otros</w:t>
      </w:r>
      <w:r>
        <w:rPr>
          <w:spacing w:val="-3"/>
          <w:w w:val="105"/>
        </w:rPr>
        <w:t xml:space="preserve"> </w:t>
      </w:r>
      <w:r>
        <w:rPr>
          <w:w w:val="105"/>
        </w:rPr>
        <w:t>factores</w:t>
      </w:r>
      <w:r>
        <w:rPr>
          <w:spacing w:val="-3"/>
          <w:w w:val="105"/>
        </w:rPr>
        <w:t xml:space="preserve"> </w:t>
      </w:r>
      <w:r>
        <w:rPr>
          <w:w w:val="105"/>
        </w:rPr>
        <w:t>de</w:t>
      </w:r>
      <w:r>
        <w:rPr>
          <w:spacing w:val="-3"/>
          <w:w w:val="105"/>
        </w:rPr>
        <w:t xml:space="preserve"> </w:t>
      </w:r>
      <w:r>
        <w:rPr>
          <w:w w:val="105"/>
        </w:rPr>
        <w:t>discriminación.</w:t>
      </w:r>
      <w:r>
        <w:rPr>
          <w:spacing w:val="-1"/>
          <w:w w:val="105"/>
        </w:rPr>
        <w:t xml:space="preserve"> </w:t>
      </w:r>
      <w:r>
        <w:rPr>
          <w:w w:val="105"/>
        </w:rPr>
        <w:t>El</w:t>
      </w:r>
      <w:r>
        <w:rPr>
          <w:spacing w:val="-3"/>
          <w:w w:val="105"/>
        </w:rPr>
        <w:t xml:space="preserve"> </w:t>
      </w:r>
      <w:r>
        <w:rPr>
          <w:w w:val="105"/>
        </w:rPr>
        <w:t>artículo</w:t>
      </w:r>
      <w:r>
        <w:rPr>
          <w:spacing w:val="-3"/>
          <w:w w:val="105"/>
        </w:rPr>
        <w:t xml:space="preserve"> </w:t>
      </w:r>
      <w:r>
        <w:rPr>
          <w:w w:val="105"/>
        </w:rPr>
        <w:t>24</w:t>
      </w:r>
      <w:r>
        <w:rPr>
          <w:spacing w:val="-3"/>
          <w:w w:val="105"/>
        </w:rPr>
        <w:t xml:space="preserve"> </w:t>
      </w:r>
      <w:r>
        <w:rPr>
          <w:w w:val="105"/>
        </w:rPr>
        <w:t>de</w:t>
      </w:r>
      <w:r>
        <w:rPr>
          <w:spacing w:val="-3"/>
          <w:w w:val="105"/>
        </w:rPr>
        <w:t xml:space="preserve"> </w:t>
      </w:r>
      <w:r>
        <w:rPr>
          <w:w w:val="105"/>
        </w:rPr>
        <w:t>la</w:t>
      </w:r>
      <w:r>
        <w:rPr>
          <w:spacing w:val="-3"/>
          <w:w w:val="105"/>
        </w:rPr>
        <w:t xml:space="preserve"> </w:t>
      </w:r>
      <w:r>
        <w:rPr>
          <w:w w:val="105"/>
        </w:rPr>
        <w:t>Convención,</w:t>
      </w:r>
      <w:r>
        <w:rPr>
          <w:spacing w:val="-2"/>
          <w:w w:val="105"/>
        </w:rPr>
        <w:t xml:space="preserve"> </w:t>
      </w:r>
      <w:r>
        <w:rPr>
          <w:w w:val="105"/>
        </w:rPr>
        <w:t>que</w:t>
      </w:r>
      <w:r>
        <w:rPr>
          <w:spacing w:val="-3"/>
          <w:w w:val="105"/>
        </w:rPr>
        <w:t xml:space="preserve"> </w:t>
      </w:r>
      <w:r>
        <w:rPr>
          <w:w w:val="105"/>
        </w:rPr>
        <w:t>establece</w:t>
      </w:r>
      <w:r>
        <w:rPr>
          <w:spacing w:val="-3"/>
          <w:w w:val="105"/>
        </w:rPr>
        <w:t xml:space="preserve"> </w:t>
      </w:r>
      <w:r>
        <w:rPr>
          <w:w w:val="105"/>
        </w:rPr>
        <w:t>el derecho</w:t>
      </w:r>
      <w:r>
        <w:rPr>
          <w:spacing w:val="-9"/>
          <w:w w:val="105"/>
        </w:rPr>
        <w:t xml:space="preserve"> </w:t>
      </w:r>
      <w:r>
        <w:rPr>
          <w:w w:val="105"/>
        </w:rPr>
        <w:t>a</w:t>
      </w:r>
      <w:r>
        <w:rPr>
          <w:spacing w:val="-9"/>
          <w:w w:val="105"/>
        </w:rPr>
        <w:t xml:space="preserve"> </w:t>
      </w:r>
      <w:r>
        <w:rPr>
          <w:w w:val="105"/>
        </w:rPr>
        <w:t>una</w:t>
      </w:r>
      <w:r>
        <w:rPr>
          <w:spacing w:val="-9"/>
          <w:w w:val="105"/>
        </w:rPr>
        <w:t xml:space="preserve"> </w:t>
      </w:r>
      <w:r>
        <w:rPr>
          <w:w w:val="105"/>
        </w:rPr>
        <w:t>educación</w:t>
      </w:r>
      <w:r>
        <w:rPr>
          <w:spacing w:val="-9"/>
          <w:w w:val="105"/>
        </w:rPr>
        <w:t xml:space="preserve"> </w:t>
      </w:r>
      <w:r>
        <w:rPr>
          <w:w w:val="105"/>
        </w:rPr>
        <w:t>inclusiva</w:t>
      </w:r>
      <w:r>
        <w:rPr>
          <w:spacing w:val="-9"/>
          <w:w w:val="105"/>
        </w:rPr>
        <w:t xml:space="preserve"> </w:t>
      </w:r>
      <w:r>
        <w:rPr>
          <w:w w:val="105"/>
        </w:rPr>
        <w:t>durante</w:t>
      </w:r>
      <w:r>
        <w:rPr>
          <w:spacing w:val="-9"/>
          <w:w w:val="105"/>
        </w:rPr>
        <w:t xml:space="preserve"> </w:t>
      </w:r>
      <w:r>
        <w:rPr>
          <w:w w:val="105"/>
        </w:rPr>
        <w:t>toda</w:t>
      </w:r>
      <w:r>
        <w:rPr>
          <w:spacing w:val="-9"/>
          <w:w w:val="105"/>
        </w:rPr>
        <w:t xml:space="preserve"> </w:t>
      </w:r>
      <w:r>
        <w:rPr>
          <w:w w:val="105"/>
        </w:rPr>
        <w:t>la</w:t>
      </w:r>
      <w:r>
        <w:rPr>
          <w:spacing w:val="-9"/>
          <w:w w:val="105"/>
        </w:rPr>
        <w:t xml:space="preserve"> </w:t>
      </w:r>
      <w:r>
        <w:rPr>
          <w:w w:val="105"/>
        </w:rPr>
        <w:t>vida,</w:t>
      </w:r>
      <w:r>
        <w:rPr>
          <w:spacing w:val="-9"/>
          <w:w w:val="105"/>
        </w:rPr>
        <w:t xml:space="preserve"> </w:t>
      </w:r>
      <w:r>
        <w:rPr>
          <w:w w:val="105"/>
        </w:rPr>
        <w:t>establece</w:t>
      </w:r>
      <w:r>
        <w:rPr>
          <w:spacing w:val="-9"/>
          <w:w w:val="105"/>
        </w:rPr>
        <w:t xml:space="preserve"> </w:t>
      </w:r>
      <w:r>
        <w:rPr>
          <w:w w:val="105"/>
        </w:rPr>
        <w:t>que</w:t>
      </w:r>
      <w:r>
        <w:rPr>
          <w:spacing w:val="-9"/>
          <w:w w:val="105"/>
        </w:rPr>
        <w:t xml:space="preserve"> </w:t>
      </w:r>
      <w:r>
        <w:rPr>
          <w:w w:val="105"/>
        </w:rPr>
        <w:t>la</w:t>
      </w:r>
      <w:r>
        <w:rPr>
          <w:spacing w:val="-9"/>
          <w:w w:val="105"/>
        </w:rPr>
        <w:t xml:space="preserve"> </w:t>
      </w:r>
      <w:r>
        <w:rPr>
          <w:w w:val="105"/>
        </w:rPr>
        <w:t>educación</w:t>
      </w:r>
      <w:r>
        <w:rPr>
          <w:spacing w:val="-9"/>
          <w:w w:val="105"/>
        </w:rPr>
        <w:t xml:space="preserve"> </w:t>
      </w:r>
      <w:r>
        <w:rPr>
          <w:w w:val="105"/>
        </w:rPr>
        <w:t>debe</w:t>
      </w:r>
      <w:r>
        <w:rPr>
          <w:spacing w:val="-9"/>
          <w:w w:val="105"/>
        </w:rPr>
        <w:t xml:space="preserve"> </w:t>
      </w:r>
      <w:r>
        <w:rPr>
          <w:w w:val="105"/>
        </w:rPr>
        <w:t>estar</w:t>
      </w:r>
      <w:r>
        <w:rPr>
          <w:spacing w:val="-9"/>
          <w:w w:val="105"/>
        </w:rPr>
        <w:t xml:space="preserve"> </w:t>
      </w:r>
      <w:r>
        <w:rPr>
          <w:w w:val="105"/>
        </w:rPr>
        <w:t>“dirigida</w:t>
      </w:r>
      <w:r>
        <w:rPr>
          <w:spacing w:val="-9"/>
          <w:w w:val="105"/>
        </w:rPr>
        <w:t xml:space="preserve"> </w:t>
      </w:r>
      <w:proofErr w:type="gramStart"/>
      <w:r>
        <w:rPr>
          <w:w w:val="105"/>
        </w:rPr>
        <w:t>a...</w:t>
      </w:r>
      <w:proofErr w:type="gramEnd"/>
      <w:r>
        <w:rPr>
          <w:spacing w:val="-9"/>
          <w:w w:val="105"/>
        </w:rPr>
        <w:t xml:space="preserve"> </w:t>
      </w:r>
      <w:r>
        <w:rPr>
          <w:w w:val="105"/>
        </w:rPr>
        <w:t>el</w:t>
      </w:r>
      <w:r>
        <w:rPr>
          <w:spacing w:val="-9"/>
          <w:w w:val="105"/>
        </w:rPr>
        <w:t xml:space="preserve"> </w:t>
      </w:r>
      <w:r>
        <w:rPr>
          <w:w w:val="105"/>
        </w:rPr>
        <w:t>pleno</w:t>
      </w:r>
      <w:r>
        <w:rPr>
          <w:spacing w:val="-9"/>
          <w:w w:val="105"/>
        </w:rPr>
        <w:t xml:space="preserve"> </w:t>
      </w:r>
      <w:r>
        <w:rPr>
          <w:w w:val="105"/>
        </w:rPr>
        <w:t>desarrollo del</w:t>
      </w:r>
      <w:r>
        <w:rPr>
          <w:spacing w:val="-8"/>
          <w:w w:val="105"/>
        </w:rPr>
        <w:t xml:space="preserve"> </w:t>
      </w:r>
      <w:r>
        <w:rPr>
          <w:w w:val="105"/>
        </w:rPr>
        <w:t>potencial</w:t>
      </w:r>
      <w:r>
        <w:rPr>
          <w:spacing w:val="-8"/>
          <w:w w:val="105"/>
        </w:rPr>
        <w:t xml:space="preserve"> </w:t>
      </w:r>
      <w:r>
        <w:rPr>
          <w:w w:val="105"/>
        </w:rPr>
        <w:t>humano</w:t>
      </w:r>
      <w:r>
        <w:rPr>
          <w:spacing w:val="-8"/>
          <w:w w:val="105"/>
        </w:rPr>
        <w:t xml:space="preserve"> </w:t>
      </w:r>
      <w:r>
        <w:rPr>
          <w:w w:val="105"/>
        </w:rPr>
        <w:t>y</w:t>
      </w:r>
      <w:r>
        <w:rPr>
          <w:spacing w:val="-8"/>
          <w:w w:val="105"/>
        </w:rPr>
        <w:t xml:space="preserve"> </w:t>
      </w:r>
      <w:r>
        <w:rPr>
          <w:w w:val="105"/>
        </w:rPr>
        <w:t>el</w:t>
      </w:r>
      <w:r>
        <w:rPr>
          <w:spacing w:val="-8"/>
          <w:w w:val="105"/>
        </w:rPr>
        <w:t xml:space="preserve"> </w:t>
      </w:r>
      <w:r>
        <w:rPr>
          <w:w w:val="105"/>
        </w:rPr>
        <w:t>sentido</w:t>
      </w:r>
      <w:r>
        <w:rPr>
          <w:spacing w:val="-8"/>
          <w:w w:val="105"/>
        </w:rPr>
        <w:t xml:space="preserve"> </w:t>
      </w:r>
      <w:r>
        <w:rPr>
          <w:w w:val="105"/>
        </w:rPr>
        <w:t>de</w:t>
      </w:r>
      <w:r>
        <w:rPr>
          <w:spacing w:val="-8"/>
          <w:w w:val="105"/>
        </w:rPr>
        <w:t xml:space="preserve"> </w:t>
      </w:r>
      <w:r>
        <w:rPr>
          <w:w w:val="105"/>
        </w:rPr>
        <w:t>la</w:t>
      </w:r>
      <w:r>
        <w:rPr>
          <w:spacing w:val="-8"/>
          <w:w w:val="105"/>
        </w:rPr>
        <w:t xml:space="preserve"> </w:t>
      </w:r>
      <w:r>
        <w:rPr>
          <w:w w:val="105"/>
        </w:rPr>
        <w:t>dignidad</w:t>
      </w:r>
      <w:r>
        <w:rPr>
          <w:spacing w:val="-8"/>
          <w:w w:val="105"/>
        </w:rPr>
        <w:t xml:space="preserve"> </w:t>
      </w:r>
      <w:r>
        <w:rPr>
          <w:w w:val="105"/>
        </w:rPr>
        <w:t>y</w:t>
      </w:r>
      <w:r>
        <w:rPr>
          <w:spacing w:val="-8"/>
          <w:w w:val="105"/>
        </w:rPr>
        <w:t xml:space="preserve"> </w:t>
      </w:r>
      <w:r>
        <w:rPr>
          <w:w w:val="105"/>
        </w:rPr>
        <w:t>la</w:t>
      </w:r>
      <w:r>
        <w:rPr>
          <w:spacing w:val="-8"/>
          <w:w w:val="105"/>
        </w:rPr>
        <w:t xml:space="preserve"> </w:t>
      </w:r>
      <w:r>
        <w:rPr>
          <w:w w:val="105"/>
        </w:rPr>
        <w:t>autoestima,</w:t>
      </w:r>
      <w:r>
        <w:rPr>
          <w:spacing w:val="-7"/>
          <w:w w:val="105"/>
        </w:rPr>
        <w:t xml:space="preserve"> </w:t>
      </w:r>
      <w:r>
        <w:rPr>
          <w:w w:val="105"/>
        </w:rPr>
        <w:t>y</w:t>
      </w:r>
      <w:r>
        <w:rPr>
          <w:spacing w:val="-8"/>
          <w:w w:val="105"/>
        </w:rPr>
        <w:t xml:space="preserve"> </w:t>
      </w:r>
      <w:r>
        <w:rPr>
          <w:w w:val="105"/>
        </w:rPr>
        <w:t>al</w:t>
      </w:r>
      <w:r>
        <w:rPr>
          <w:spacing w:val="-8"/>
          <w:w w:val="105"/>
        </w:rPr>
        <w:t xml:space="preserve"> </w:t>
      </w:r>
      <w:r>
        <w:rPr>
          <w:w w:val="105"/>
        </w:rPr>
        <w:t>fortalecimiento</w:t>
      </w:r>
      <w:r>
        <w:rPr>
          <w:spacing w:val="-8"/>
          <w:w w:val="105"/>
        </w:rPr>
        <w:t xml:space="preserve"> </w:t>
      </w:r>
      <w:r>
        <w:rPr>
          <w:w w:val="105"/>
        </w:rPr>
        <w:t>del</w:t>
      </w:r>
      <w:r>
        <w:rPr>
          <w:spacing w:val="-8"/>
          <w:w w:val="105"/>
        </w:rPr>
        <w:t xml:space="preserve"> </w:t>
      </w:r>
      <w:r>
        <w:rPr>
          <w:w w:val="105"/>
        </w:rPr>
        <w:t>respeto</w:t>
      </w:r>
      <w:r>
        <w:rPr>
          <w:spacing w:val="-8"/>
          <w:w w:val="105"/>
        </w:rPr>
        <w:t xml:space="preserve"> </w:t>
      </w:r>
      <w:r>
        <w:rPr>
          <w:w w:val="105"/>
        </w:rPr>
        <w:t>de</w:t>
      </w:r>
      <w:r>
        <w:rPr>
          <w:spacing w:val="-8"/>
          <w:w w:val="105"/>
        </w:rPr>
        <w:t xml:space="preserve"> </w:t>
      </w:r>
      <w:r>
        <w:rPr>
          <w:w w:val="105"/>
        </w:rPr>
        <w:t>los</w:t>
      </w:r>
      <w:r>
        <w:rPr>
          <w:spacing w:val="-8"/>
          <w:w w:val="105"/>
        </w:rPr>
        <w:t xml:space="preserve"> </w:t>
      </w:r>
      <w:r>
        <w:rPr>
          <w:w w:val="105"/>
        </w:rPr>
        <w:t>derechos</w:t>
      </w:r>
      <w:r>
        <w:rPr>
          <w:spacing w:val="-8"/>
          <w:w w:val="105"/>
        </w:rPr>
        <w:t xml:space="preserve"> </w:t>
      </w:r>
      <w:r>
        <w:rPr>
          <w:w w:val="105"/>
        </w:rPr>
        <w:t>humanos,</w:t>
      </w:r>
      <w:r>
        <w:rPr>
          <w:spacing w:val="-7"/>
          <w:w w:val="105"/>
        </w:rPr>
        <w:t xml:space="preserve"> </w:t>
      </w:r>
      <w:r>
        <w:rPr>
          <w:w w:val="105"/>
        </w:rPr>
        <w:t>las libertades</w:t>
      </w:r>
      <w:r>
        <w:rPr>
          <w:spacing w:val="-1"/>
          <w:w w:val="105"/>
        </w:rPr>
        <w:t xml:space="preserve"> </w:t>
      </w:r>
      <w:r>
        <w:rPr>
          <w:w w:val="105"/>
        </w:rPr>
        <w:t>fundamentales</w:t>
      </w:r>
      <w:r>
        <w:rPr>
          <w:spacing w:val="-2"/>
          <w:w w:val="105"/>
        </w:rPr>
        <w:t xml:space="preserve"> </w:t>
      </w:r>
      <w:r>
        <w:rPr>
          <w:w w:val="105"/>
        </w:rPr>
        <w:t>y</w:t>
      </w:r>
      <w:r>
        <w:rPr>
          <w:spacing w:val="-1"/>
          <w:w w:val="105"/>
        </w:rPr>
        <w:t xml:space="preserve"> </w:t>
      </w:r>
      <w:r>
        <w:rPr>
          <w:w w:val="105"/>
        </w:rPr>
        <w:t>diversidad</w:t>
      </w:r>
      <w:r>
        <w:rPr>
          <w:spacing w:val="-1"/>
          <w:w w:val="105"/>
        </w:rPr>
        <w:t xml:space="preserve"> </w:t>
      </w:r>
      <w:r>
        <w:rPr>
          <w:w w:val="105"/>
        </w:rPr>
        <w:t>humana”. El</w:t>
      </w:r>
      <w:r>
        <w:rPr>
          <w:spacing w:val="-1"/>
          <w:w w:val="105"/>
        </w:rPr>
        <w:t xml:space="preserve"> </w:t>
      </w:r>
      <w:r>
        <w:rPr>
          <w:w w:val="105"/>
        </w:rPr>
        <w:t>artículo</w:t>
      </w:r>
      <w:r>
        <w:rPr>
          <w:spacing w:val="-1"/>
          <w:w w:val="105"/>
        </w:rPr>
        <w:t xml:space="preserve"> </w:t>
      </w:r>
      <w:r>
        <w:rPr>
          <w:w w:val="105"/>
        </w:rPr>
        <w:t>8</w:t>
      </w:r>
      <w:r>
        <w:rPr>
          <w:spacing w:val="-1"/>
          <w:w w:val="105"/>
        </w:rPr>
        <w:t xml:space="preserve"> </w:t>
      </w:r>
      <w:r>
        <w:rPr>
          <w:w w:val="105"/>
        </w:rPr>
        <w:t>detalla</w:t>
      </w:r>
      <w:r>
        <w:rPr>
          <w:spacing w:val="-1"/>
          <w:w w:val="105"/>
        </w:rPr>
        <w:t xml:space="preserve"> </w:t>
      </w:r>
      <w:r>
        <w:rPr>
          <w:w w:val="105"/>
        </w:rPr>
        <w:t>las</w:t>
      </w:r>
      <w:r>
        <w:rPr>
          <w:spacing w:val="-1"/>
          <w:w w:val="105"/>
        </w:rPr>
        <w:t xml:space="preserve"> </w:t>
      </w:r>
      <w:r>
        <w:rPr>
          <w:w w:val="105"/>
        </w:rPr>
        <w:t>obligaciones</w:t>
      </w:r>
      <w:r>
        <w:rPr>
          <w:spacing w:val="-1"/>
          <w:w w:val="105"/>
        </w:rPr>
        <w:t xml:space="preserve"> </w:t>
      </w:r>
      <w:r>
        <w:rPr>
          <w:w w:val="105"/>
        </w:rPr>
        <w:t>de</w:t>
      </w:r>
      <w:r>
        <w:rPr>
          <w:spacing w:val="-1"/>
          <w:w w:val="105"/>
        </w:rPr>
        <w:t xml:space="preserve"> </w:t>
      </w:r>
      <w:r>
        <w:rPr>
          <w:w w:val="105"/>
        </w:rPr>
        <w:t>los</w:t>
      </w:r>
      <w:r>
        <w:rPr>
          <w:spacing w:val="-1"/>
          <w:w w:val="105"/>
        </w:rPr>
        <w:t xml:space="preserve"> </w:t>
      </w:r>
      <w:r>
        <w:rPr>
          <w:w w:val="105"/>
        </w:rPr>
        <w:t>Estados</w:t>
      </w:r>
      <w:r>
        <w:rPr>
          <w:spacing w:val="-1"/>
          <w:w w:val="105"/>
        </w:rPr>
        <w:t xml:space="preserve"> </w:t>
      </w:r>
      <w:r>
        <w:rPr>
          <w:w w:val="105"/>
        </w:rPr>
        <w:t>en</w:t>
      </w:r>
      <w:r>
        <w:rPr>
          <w:spacing w:val="-1"/>
          <w:w w:val="105"/>
        </w:rPr>
        <w:t xml:space="preserve"> </w:t>
      </w:r>
      <w:r>
        <w:rPr>
          <w:w w:val="105"/>
        </w:rPr>
        <w:t>materia</w:t>
      </w:r>
      <w:r>
        <w:rPr>
          <w:spacing w:val="-1"/>
          <w:w w:val="105"/>
        </w:rPr>
        <w:t xml:space="preserve"> </w:t>
      </w:r>
      <w:r>
        <w:rPr>
          <w:w w:val="105"/>
        </w:rPr>
        <w:t>de sensibilización</w:t>
      </w:r>
      <w:r>
        <w:rPr>
          <w:spacing w:val="-8"/>
          <w:w w:val="105"/>
        </w:rPr>
        <w:t xml:space="preserve"> </w:t>
      </w:r>
      <w:r>
        <w:rPr>
          <w:w w:val="105"/>
        </w:rPr>
        <w:t>en</w:t>
      </w:r>
      <w:r>
        <w:rPr>
          <w:spacing w:val="-8"/>
          <w:w w:val="105"/>
        </w:rPr>
        <w:t xml:space="preserve"> </w:t>
      </w:r>
      <w:r>
        <w:rPr>
          <w:w w:val="105"/>
        </w:rPr>
        <w:t>virtud</w:t>
      </w:r>
      <w:r>
        <w:rPr>
          <w:spacing w:val="-8"/>
          <w:w w:val="105"/>
        </w:rPr>
        <w:t xml:space="preserve"> </w:t>
      </w:r>
      <w:r>
        <w:rPr>
          <w:w w:val="105"/>
        </w:rPr>
        <w:t>de</w:t>
      </w:r>
      <w:r>
        <w:rPr>
          <w:spacing w:val="-8"/>
          <w:w w:val="105"/>
        </w:rPr>
        <w:t xml:space="preserve"> </w:t>
      </w:r>
      <w:r>
        <w:rPr>
          <w:w w:val="105"/>
        </w:rPr>
        <w:t>la</w:t>
      </w:r>
      <w:r>
        <w:rPr>
          <w:spacing w:val="-8"/>
          <w:w w:val="105"/>
        </w:rPr>
        <w:t xml:space="preserve"> </w:t>
      </w:r>
      <w:r>
        <w:rPr>
          <w:w w:val="105"/>
        </w:rPr>
        <w:t>Convención,</w:t>
      </w:r>
      <w:r>
        <w:rPr>
          <w:spacing w:val="-7"/>
          <w:w w:val="105"/>
        </w:rPr>
        <w:t xml:space="preserve"> </w:t>
      </w:r>
      <w:r>
        <w:rPr>
          <w:w w:val="105"/>
        </w:rPr>
        <w:t>incluida</w:t>
      </w:r>
      <w:r>
        <w:rPr>
          <w:spacing w:val="-8"/>
          <w:w w:val="105"/>
        </w:rPr>
        <w:t xml:space="preserve"> </w:t>
      </w:r>
      <w:r>
        <w:rPr>
          <w:w w:val="105"/>
        </w:rPr>
        <w:t>una</w:t>
      </w:r>
      <w:r>
        <w:rPr>
          <w:spacing w:val="-8"/>
          <w:w w:val="105"/>
        </w:rPr>
        <w:t xml:space="preserve"> </w:t>
      </w:r>
      <w:r>
        <w:rPr>
          <w:w w:val="105"/>
        </w:rPr>
        <w:t>obligación</w:t>
      </w:r>
      <w:r>
        <w:rPr>
          <w:spacing w:val="-8"/>
          <w:w w:val="105"/>
        </w:rPr>
        <w:t xml:space="preserve"> </w:t>
      </w:r>
      <w:r>
        <w:rPr>
          <w:w w:val="105"/>
        </w:rPr>
        <w:t>específica</w:t>
      </w:r>
      <w:r>
        <w:rPr>
          <w:spacing w:val="-8"/>
          <w:w w:val="105"/>
        </w:rPr>
        <w:t xml:space="preserve"> </w:t>
      </w:r>
      <w:r>
        <w:rPr>
          <w:w w:val="105"/>
        </w:rPr>
        <w:t>de</w:t>
      </w:r>
      <w:r>
        <w:rPr>
          <w:spacing w:val="-8"/>
          <w:w w:val="105"/>
        </w:rPr>
        <w:t xml:space="preserve"> </w:t>
      </w:r>
      <w:r>
        <w:rPr>
          <w:w w:val="105"/>
        </w:rPr>
        <w:t>“combatir</w:t>
      </w:r>
      <w:r>
        <w:rPr>
          <w:spacing w:val="-8"/>
          <w:w w:val="105"/>
        </w:rPr>
        <w:t xml:space="preserve"> </w:t>
      </w:r>
      <w:r>
        <w:rPr>
          <w:w w:val="105"/>
        </w:rPr>
        <w:t>los</w:t>
      </w:r>
      <w:r>
        <w:rPr>
          <w:spacing w:val="-8"/>
          <w:w w:val="105"/>
        </w:rPr>
        <w:t xml:space="preserve"> </w:t>
      </w:r>
      <w:r>
        <w:rPr>
          <w:w w:val="105"/>
        </w:rPr>
        <w:t>estereotipos,</w:t>
      </w:r>
      <w:r>
        <w:rPr>
          <w:spacing w:val="-7"/>
          <w:w w:val="105"/>
        </w:rPr>
        <w:t xml:space="preserve"> </w:t>
      </w:r>
      <w:r>
        <w:rPr>
          <w:w w:val="105"/>
        </w:rPr>
        <w:t>los</w:t>
      </w:r>
      <w:r>
        <w:rPr>
          <w:spacing w:val="-8"/>
          <w:w w:val="105"/>
        </w:rPr>
        <w:t xml:space="preserve"> </w:t>
      </w:r>
      <w:r>
        <w:rPr>
          <w:w w:val="105"/>
        </w:rPr>
        <w:t>prejuicios</w:t>
      </w:r>
      <w:r>
        <w:rPr>
          <w:spacing w:val="-8"/>
          <w:w w:val="105"/>
        </w:rPr>
        <w:t xml:space="preserve"> </w:t>
      </w:r>
      <w:r>
        <w:rPr>
          <w:w w:val="105"/>
        </w:rPr>
        <w:t>y</w:t>
      </w:r>
      <w:r>
        <w:rPr>
          <w:spacing w:val="-8"/>
          <w:w w:val="105"/>
        </w:rPr>
        <w:t xml:space="preserve"> </w:t>
      </w:r>
      <w:r>
        <w:rPr>
          <w:w w:val="105"/>
        </w:rPr>
        <w:t>las prácticas</w:t>
      </w:r>
      <w:r>
        <w:rPr>
          <w:spacing w:val="-1"/>
          <w:w w:val="105"/>
        </w:rPr>
        <w:t xml:space="preserve"> </w:t>
      </w:r>
      <w:r>
        <w:rPr>
          <w:w w:val="105"/>
        </w:rPr>
        <w:t>nocivas</w:t>
      </w:r>
      <w:r>
        <w:rPr>
          <w:spacing w:val="-1"/>
          <w:w w:val="105"/>
        </w:rPr>
        <w:t xml:space="preserve"> </w:t>
      </w:r>
      <w:r>
        <w:rPr>
          <w:w w:val="105"/>
        </w:rPr>
        <w:t>relacionadas</w:t>
      </w:r>
      <w:r>
        <w:rPr>
          <w:spacing w:val="-1"/>
          <w:w w:val="105"/>
        </w:rPr>
        <w:t xml:space="preserve"> </w:t>
      </w:r>
      <w:r>
        <w:rPr>
          <w:w w:val="105"/>
        </w:rPr>
        <w:t>con</w:t>
      </w:r>
      <w:r>
        <w:rPr>
          <w:spacing w:val="-1"/>
          <w:w w:val="105"/>
        </w:rPr>
        <w:t xml:space="preserve"> </w:t>
      </w:r>
      <w:r>
        <w:rPr>
          <w:w w:val="105"/>
        </w:rPr>
        <w:t>las</w:t>
      </w:r>
      <w:r>
        <w:rPr>
          <w:spacing w:val="-1"/>
          <w:w w:val="105"/>
        </w:rPr>
        <w:t xml:space="preserve"> </w:t>
      </w:r>
      <w:r>
        <w:rPr>
          <w:w w:val="105"/>
        </w:rPr>
        <w:t>personas</w:t>
      </w:r>
      <w:r>
        <w:rPr>
          <w:spacing w:val="-1"/>
          <w:w w:val="105"/>
        </w:rPr>
        <w:t xml:space="preserve"> </w:t>
      </w:r>
      <w:r>
        <w:rPr>
          <w:w w:val="105"/>
        </w:rPr>
        <w:t>con</w:t>
      </w:r>
      <w:r>
        <w:rPr>
          <w:spacing w:val="-1"/>
          <w:w w:val="105"/>
        </w:rPr>
        <w:t xml:space="preserve"> </w:t>
      </w:r>
      <w:r>
        <w:rPr>
          <w:w w:val="105"/>
        </w:rPr>
        <w:t>discapacidad, incluidos</w:t>
      </w:r>
      <w:r>
        <w:rPr>
          <w:spacing w:val="-1"/>
          <w:w w:val="105"/>
        </w:rPr>
        <w:t xml:space="preserve"> </w:t>
      </w:r>
      <w:r>
        <w:rPr>
          <w:w w:val="105"/>
        </w:rPr>
        <w:t>los</w:t>
      </w:r>
      <w:r>
        <w:rPr>
          <w:spacing w:val="-1"/>
          <w:w w:val="105"/>
        </w:rPr>
        <w:t xml:space="preserve"> </w:t>
      </w:r>
      <w:r>
        <w:rPr>
          <w:w w:val="105"/>
        </w:rPr>
        <w:t>basados</w:t>
      </w:r>
      <w:r>
        <w:rPr>
          <w:spacing w:val="-1"/>
          <w:w w:val="105"/>
        </w:rPr>
        <w:t xml:space="preserve"> </w:t>
      </w:r>
      <w:r>
        <w:rPr>
          <w:w w:val="105"/>
        </w:rPr>
        <w:t>en</w:t>
      </w:r>
      <w:r>
        <w:rPr>
          <w:spacing w:val="-1"/>
          <w:w w:val="105"/>
        </w:rPr>
        <w:t xml:space="preserve"> </w:t>
      </w:r>
      <w:r>
        <w:rPr>
          <w:w w:val="105"/>
        </w:rPr>
        <w:t>el</w:t>
      </w:r>
      <w:r>
        <w:rPr>
          <w:spacing w:val="-1"/>
          <w:w w:val="105"/>
        </w:rPr>
        <w:t xml:space="preserve"> </w:t>
      </w:r>
      <w:r>
        <w:rPr>
          <w:w w:val="105"/>
        </w:rPr>
        <w:t>sexo</w:t>
      </w:r>
      <w:r>
        <w:rPr>
          <w:spacing w:val="-1"/>
          <w:w w:val="105"/>
        </w:rPr>
        <w:t xml:space="preserve"> </w:t>
      </w:r>
      <w:r>
        <w:rPr>
          <w:w w:val="105"/>
        </w:rPr>
        <w:t>y</w:t>
      </w:r>
      <w:r>
        <w:rPr>
          <w:spacing w:val="-1"/>
          <w:w w:val="105"/>
        </w:rPr>
        <w:t xml:space="preserve"> </w:t>
      </w:r>
      <w:r>
        <w:rPr>
          <w:w w:val="105"/>
        </w:rPr>
        <w:t>la</w:t>
      </w:r>
      <w:r>
        <w:rPr>
          <w:spacing w:val="-1"/>
          <w:w w:val="105"/>
        </w:rPr>
        <w:t xml:space="preserve"> </w:t>
      </w:r>
      <w:r>
        <w:rPr>
          <w:w w:val="105"/>
        </w:rPr>
        <w:t>edad,</w:t>
      </w:r>
      <w:r>
        <w:rPr>
          <w:spacing w:val="-1"/>
          <w:w w:val="105"/>
        </w:rPr>
        <w:t xml:space="preserve"> </w:t>
      </w:r>
      <w:r>
        <w:rPr>
          <w:w w:val="105"/>
        </w:rPr>
        <w:t>en</w:t>
      </w:r>
      <w:r>
        <w:rPr>
          <w:spacing w:val="-1"/>
          <w:w w:val="105"/>
        </w:rPr>
        <w:t xml:space="preserve"> </w:t>
      </w:r>
      <w:r>
        <w:rPr>
          <w:w w:val="105"/>
        </w:rPr>
        <w:t>todos</w:t>
      </w:r>
      <w:r>
        <w:rPr>
          <w:spacing w:val="-1"/>
          <w:w w:val="105"/>
        </w:rPr>
        <w:t xml:space="preserve"> </w:t>
      </w:r>
      <w:r>
        <w:rPr>
          <w:w w:val="105"/>
        </w:rPr>
        <w:t>los ámbitos</w:t>
      </w:r>
      <w:r>
        <w:rPr>
          <w:spacing w:val="-2"/>
          <w:w w:val="105"/>
        </w:rPr>
        <w:t xml:space="preserve"> </w:t>
      </w:r>
      <w:r>
        <w:rPr>
          <w:w w:val="105"/>
        </w:rPr>
        <w:t>de</w:t>
      </w:r>
      <w:r>
        <w:rPr>
          <w:spacing w:val="-2"/>
          <w:w w:val="105"/>
        </w:rPr>
        <w:t xml:space="preserve"> </w:t>
      </w:r>
      <w:r>
        <w:rPr>
          <w:w w:val="105"/>
        </w:rPr>
        <w:t>la</w:t>
      </w:r>
      <w:r>
        <w:rPr>
          <w:spacing w:val="-2"/>
          <w:w w:val="105"/>
        </w:rPr>
        <w:t xml:space="preserve"> </w:t>
      </w:r>
      <w:r>
        <w:rPr>
          <w:w w:val="105"/>
        </w:rPr>
        <w:t>vida”.1229</w:t>
      </w:r>
      <w:r>
        <w:rPr>
          <w:spacing w:val="-2"/>
          <w:w w:val="105"/>
        </w:rPr>
        <w:t xml:space="preserve"> </w:t>
      </w:r>
      <w:r>
        <w:rPr>
          <w:w w:val="105"/>
        </w:rPr>
        <w:t>Como</w:t>
      </w:r>
      <w:r>
        <w:rPr>
          <w:spacing w:val="-2"/>
          <w:w w:val="105"/>
        </w:rPr>
        <w:t xml:space="preserve"> </w:t>
      </w:r>
      <w:r>
        <w:rPr>
          <w:w w:val="105"/>
        </w:rPr>
        <w:t>se</w:t>
      </w:r>
      <w:r>
        <w:rPr>
          <w:spacing w:val="-2"/>
          <w:w w:val="105"/>
        </w:rPr>
        <w:t xml:space="preserve"> </w:t>
      </w:r>
      <w:r>
        <w:rPr>
          <w:w w:val="105"/>
        </w:rPr>
        <w:t>señaló</w:t>
      </w:r>
      <w:r>
        <w:rPr>
          <w:spacing w:val="-2"/>
          <w:w w:val="105"/>
        </w:rPr>
        <w:t xml:space="preserve"> </w:t>
      </w:r>
      <w:r>
        <w:rPr>
          <w:w w:val="105"/>
        </w:rPr>
        <w:t>por</w:t>
      </w:r>
      <w:r>
        <w:rPr>
          <w:spacing w:val="-2"/>
          <w:w w:val="105"/>
        </w:rPr>
        <w:t xml:space="preserve"> </w:t>
      </w:r>
      <w:r>
        <w:rPr>
          <w:w w:val="105"/>
        </w:rPr>
        <w:t>el</w:t>
      </w:r>
      <w:r>
        <w:rPr>
          <w:spacing w:val="-2"/>
          <w:w w:val="105"/>
        </w:rPr>
        <w:t xml:space="preserve"> </w:t>
      </w:r>
      <w:r>
        <w:rPr>
          <w:w w:val="105"/>
        </w:rPr>
        <w:t>Relator</w:t>
      </w:r>
      <w:r>
        <w:rPr>
          <w:spacing w:val="-2"/>
          <w:w w:val="105"/>
        </w:rPr>
        <w:t xml:space="preserve"> </w:t>
      </w:r>
      <w:r>
        <w:rPr>
          <w:w w:val="105"/>
        </w:rPr>
        <w:t>Especial</w:t>
      </w:r>
      <w:r>
        <w:rPr>
          <w:spacing w:val="-2"/>
          <w:w w:val="105"/>
        </w:rPr>
        <w:t xml:space="preserve"> </w:t>
      </w:r>
      <w:r>
        <w:rPr>
          <w:w w:val="105"/>
        </w:rPr>
        <w:t>sobre</w:t>
      </w:r>
      <w:r>
        <w:rPr>
          <w:spacing w:val="-2"/>
          <w:w w:val="105"/>
        </w:rPr>
        <w:t xml:space="preserve"> </w:t>
      </w:r>
      <w:r>
        <w:rPr>
          <w:w w:val="105"/>
        </w:rPr>
        <w:t>los</w:t>
      </w:r>
      <w:r>
        <w:rPr>
          <w:spacing w:val="-2"/>
          <w:w w:val="105"/>
        </w:rPr>
        <w:t xml:space="preserve"> </w:t>
      </w:r>
      <w:r>
        <w:rPr>
          <w:w w:val="105"/>
        </w:rPr>
        <w:t>derechos</w:t>
      </w:r>
      <w:r>
        <w:rPr>
          <w:spacing w:val="-2"/>
          <w:w w:val="105"/>
        </w:rPr>
        <w:t xml:space="preserve"> </w:t>
      </w:r>
      <w:r>
        <w:rPr>
          <w:w w:val="105"/>
        </w:rPr>
        <w:t>de</w:t>
      </w:r>
      <w:r>
        <w:rPr>
          <w:spacing w:val="-2"/>
          <w:w w:val="105"/>
        </w:rPr>
        <w:t xml:space="preserve"> </w:t>
      </w:r>
      <w:r>
        <w:rPr>
          <w:w w:val="105"/>
        </w:rPr>
        <w:t>las</w:t>
      </w:r>
      <w:r>
        <w:rPr>
          <w:spacing w:val="-2"/>
          <w:w w:val="105"/>
        </w:rPr>
        <w:t xml:space="preserve"> </w:t>
      </w:r>
      <w:r>
        <w:rPr>
          <w:w w:val="105"/>
        </w:rPr>
        <w:t>personas</w:t>
      </w:r>
      <w:r>
        <w:rPr>
          <w:spacing w:val="-2"/>
          <w:w w:val="105"/>
        </w:rPr>
        <w:t xml:space="preserve"> </w:t>
      </w:r>
      <w:r>
        <w:rPr>
          <w:w w:val="105"/>
        </w:rPr>
        <w:t>con</w:t>
      </w:r>
      <w:r>
        <w:rPr>
          <w:spacing w:val="-2"/>
          <w:w w:val="105"/>
        </w:rPr>
        <w:t xml:space="preserve"> </w:t>
      </w:r>
      <w:r>
        <w:rPr>
          <w:w w:val="105"/>
        </w:rPr>
        <w:t>discapacidad:</w:t>
      </w:r>
    </w:p>
    <w:p w14:paraId="317279AA" w14:textId="77777777" w:rsidR="0014798C" w:rsidRDefault="004E1F0B">
      <w:pPr>
        <w:pStyle w:val="Textoindependiente"/>
        <w:spacing w:before="109" w:line="326" w:lineRule="auto"/>
        <w:ind w:left="1672" w:right="1725" w:hanging="1"/>
      </w:pPr>
      <w:r>
        <w:rPr>
          <w:color w:val="FBB315"/>
          <w:w w:val="105"/>
        </w:rPr>
        <w:t>La</w:t>
      </w:r>
      <w:r>
        <w:rPr>
          <w:color w:val="FBB315"/>
          <w:spacing w:val="-1"/>
          <w:w w:val="105"/>
        </w:rPr>
        <w:t xml:space="preserve"> </w:t>
      </w:r>
      <w:r>
        <w:rPr>
          <w:color w:val="FBB315"/>
          <w:w w:val="105"/>
        </w:rPr>
        <w:t>Convención</w:t>
      </w:r>
      <w:r>
        <w:rPr>
          <w:color w:val="FBB315"/>
          <w:spacing w:val="-1"/>
          <w:w w:val="105"/>
        </w:rPr>
        <w:t xml:space="preserve"> </w:t>
      </w:r>
      <w:r>
        <w:rPr>
          <w:color w:val="FBB315"/>
          <w:w w:val="105"/>
        </w:rPr>
        <w:t>acoge</w:t>
      </w:r>
      <w:r>
        <w:rPr>
          <w:color w:val="FBB315"/>
          <w:spacing w:val="-1"/>
          <w:w w:val="105"/>
        </w:rPr>
        <w:t xml:space="preserve"> </w:t>
      </w:r>
      <w:r>
        <w:rPr>
          <w:color w:val="FBB315"/>
          <w:w w:val="105"/>
        </w:rPr>
        <w:t>las</w:t>
      </w:r>
      <w:r>
        <w:rPr>
          <w:color w:val="FBB315"/>
          <w:spacing w:val="-1"/>
          <w:w w:val="105"/>
        </w:rPr>
        <w:t xml:space="preserve"> </w:t>
      </w:r>
      <w:r>
        <w:rPr>
          <w:color w:val="FBB315"/>
          <w:w w:val="105"/>
        </w:rPr>
        <w:t>diferencias</w:t>
      </w:r>
      <w:r>
        <w:rPr>
          <w:color w:val="FBB315"/>
          <w:spacing w:val="-1"/>
          <w:w w:val="105"/>
        </w:rPr>
        <w:t xml:space="preserve"> </w:t>
      </w:r>
      <w:r>
        <w:rPr>
          <w:color w:val="FBB315"/>
          <w:w w:val="105"/>
        </w:rPr>
        <w:t>entre</w:t>
      </w:r>
      <w:r>
        <w:rPr>
          <w:color w:val="FBB315"/>
          <w:spacing w:val="-1"/>
          <w:w w:val="105"/>
        </w:rPr>
        <w:t xml:space="preserve"> </w:t>
      </w:r>
      <w:r>
        <w:rPr>
          <w:color w:val="FBB315"/>
          <w:w w:val="105"/>
        </w:rPr>
        <w:t>los</w:t>
      </w:r>
      <w:r>
        <w:rPr>
          <w:color w:val="FBB315"/>
          <w:spacing w:val="-1"/>
          <w:w w:val="105"/>
        </w:rPr>
        <w:t xml:space="preserve"> </w:t>
      </w:r>
      <w:r>
        <w:rPr>
          <w:color w:val="FBB315"/>
          <w:w w:val="105"/>
        </w:rPr>
        <w:t>seres</w:t>
      </w:r>
      <w:r>
        <w:rPr>
          <w:color w:val="FBB315"/>
          <w:spacing w:val="-1"/>
          <w:w w:val="105"/>
        </w:rPr>
        <w:t xml:space="preserve"> </w:t>
      </w:r>
      <w:r>
        <w:rPr>
          <w:color w:val="FBB315"/>
          <w:w w:val="105"/>
        </w:rPr>
        <w:t>humanos</w:t>
      </w:r>
      <w:r>
        <w:rPr>
          <w:color w:val="FBB315"/>
          <w:spacing w:val="-1"/>
          <w:w w:val="105"/>
        </w:rPr>
        <w:t xml:space="preserve"> </w:t>
      </w:r>
      <w:r>
        <w:rPr>
          <w:color w:val="FBB315"/>
          <w:w w:val="105"/>
        </w:rPr>
        <w:t>y</w:t>
      </w:r>
      <w:r>
        <w:rPr>
          <w:color w:val="FBB315"/>
          <w:spacing w:val="-1"/>
          <w:w w:val="105"/>
        </w:rPr>
        <w:t xml:space="preserve"> </w:t>
      </w:r>
      <w:r>
        <w:rPr>
          <w:color w:val="FBB315"/>
          <w:w w:val="105"/>
        </w:rPr>
        <w:t>subraya</w:t>
      </w:r>
      <w:r>
        <w:rPr>
          <w:color w:val="FBB315"/>
          <w:spacing w:val="-1"/>
          <w:w w:val="105"/>
        </w:rPr>
        <w:t xml:space="preserve"> </w:t>
      </w:r>
      <w:r>
        <w:rPr>
          <w:color w:val="FBB315"/>
          <w:w w:val="105"/>
        </w:rPr>
        <w:t>la</w:t>
      </w:r>
      <w:r>
        <w:rPr>
          <w:color w:val="FBB315"/>
          <w:spacing w:val="-1"/>
          <w:w w:val="105"/>
        </w:rPr>
        <w:t xml:space="preserve"> </w:t>
      </w:r>
      <w:r>
        <w:rPr>
          <w:color w:val="FBB315"/>
          <w:w w:val="105"/>
        </w:rPr>
        <w:t>importancia</w:t>
      </w:r>
      <w:r>
        <w:rPr>
          <w:color w:val="FBB315"/>
          <w:spacing w:val="-1"/>
          <w:w w:val="105"/>
        </w:rPr>
        <w:t xml:space="preserve"> </w:t>
      </w:r>
      <w:r>
        <w:rPr>
          <w:color w:val="FBB315"/>
          <w:w w:val="105"/>
        </w:rPr>
        <w:t>de</w:t>
      </w:r>
      <w:r>
        <w:rPr>
          <w:color w:val="FBB315"/>
          <w:spacing w:val="-1"/>
          <w:w w:val="105"/>
        </w:rPr>
        <w:t xml:space="preserve"> </w:t>
      </w:r>
      <w:r>
        <w:rPr>
          <w:color w:val="FBB315"/>
          <w:w w:val="105"/>
        </w:rPr>
        <w:t>tener</w:t>
      </w:r>
      <w:r>
        <w:rPr>
          <w:color w:val="FBB315"/>
          <w:spacing w:val="-1"/>
          <w:w w:val="105"/>
        </w:rPr>
        <w:t xml:space="preserve"> </w:t>
      </w:r>
      <w:r>
        <w:rPr>
          <w:color w:val="FBB315"/>
          <w:w w:val="105"/>
        </w:rPr>
        <w:t>en</w:t>
      </w:r>
      <w:r>
        <w:rPr>
          <w:color w:val="FBB315"/>
          <w:spacing w:val="-1"/>
          <w:w w:val="105"/>
        </w:rPr>
        <w:t xml:space="preserve"> </w:t>
      </w:r>
      <w:r>
        <w:rPr>
          <w:color w:val="FBB315"/>
          <w:w w:val="105"/>
        </w:rPr>
        <w:t>cuenta</w:t>
      </w:r>
      <w:r>
        <w:rPr>
          <w:color w:val="FBB315"/>
          <w:spacing w:val="-1"/>
          <w:w w:val="105"/>
        </w:rPr>
        <w:t xml:space="preserve"> </w:t>
      </w:r>
      <w:r>
        <w:rPr>
          <w:color w:val="FBB315"/>
          <w:w w:val="105"/>
        </w:rPr>
        <w:t>la diversidad</w:t>
      </w:r>
      <w:r>
        <w:rPr>
          <w:color w:val="FBB315"/>
          <w:spacing w:val="-4"/>
          <w:w w:val="105"/>
        </w:rPr>
        <w:t xml:space="preserve"> </w:t>
      </w:r>
      <w:r>
        <w:rPr>
          <w:color w:val="FBB315"/>
          <w:w w:val="105"/>
        </w:rPr>
        <w:t>de</w:t>
      </w:r>
      <w:r>
        <w:rPr>
          <w:color w:val="FBB315"/>
          <w:spacing w:val="-4"/>
          <w:w w:val="105"/>
        </w:rPr>
        <w:t xml:space="preserve"> </w:t>
      </w:r>
      <w:r>
        <w:rPr>
          <w:color w:val="FBB315"/>
          <w:w w:val="105"/>
        </w:rPr>
        <w:t>la</w:t>
      </w:r>
      <w:r>
        <w:rPr>
          <w:color w:val="FBB315"/>
          <w:spacing w:val="-4"/>
          <w:w w:val="105"/>
        </w:rPr>
        <w:t xml:space="preserve"> </w:t>
      </w:r>
      <w:r>
        <w:rPr>
          <w:color w:val="FBB315"/>
          <w:w w:val="105"/>
        </w:rPr>
        <w:t>experiencia</w:t>
      </w:r>
      <w:r>
        <w:rPr>
          <w:color w:val="FBB315"/>
          <w:spacing w:val="-4"/>
          <w:w w:val="105"/>
        </w:rPr>
        <w:t xml:space="preserve"> </w:t>
      </w:r>
      <w:r>
        <w:rPr>
          <w:color w:val="FBB315"/>
          <w:w w:val="105"/>
        </w:rPr>
        <w:t>humana.</w:t>
      </w:r>
      <w:r>
        <w:rPr>
          <w:color w:val="FBB315"/>
          <w:spacing w:val="-3"/>
          <w:w w:val="105"/>
        </w:rPr>
        <w:t xml:space="preserve"> </w:t>
      </w:r>
      <w:r>
        <w:rPr>
          <w:color w:val="FBB315"/>
          <w:w w:val="105"/>
        </w:rPr>
        <w:t>La</w:t>
      </w:r>
      <w:r>
        <w:rPr>
          <w:color w:val="FBB315"/>
          <w:spacing w:val="-4"/>
          <w:w w:val="105"/>
        </w:rPr>
        <w:t xml:space="preserve"> </w:t>
      </w:r>
      <w:r>
        <w:rPr>
          <w:color w:val="FBB315"/>
          <w:w w:val="105"/>
        </w:rPr>
        <w:t>sociedad</w:t>
      </w:r>
      <w:r>
        <w:rPr>
          <w:color w:val="FBB315"/>
          <w:spacing w:val="-4"/>
          <w:w w:val="105"/>
        </w:rPr>
        <w:t xml:space="preserve"> </w:t>
      </w:r>
      <w:r>
        <w:rPr>
          <w:color w:val="FBB315"/>
          <w:w w:val="105"/>
        </w:rPr>
        <w:t>tradicionalmente</w:t>
      </w:r>
      <w:r>
        <w:rPr>
          <w:color w:val="FBB315"/>
          <w:spacing w:val="-4"/>
          <w:w w:val="105"/>
        </w:rPr>
        <w:t xml:space="preserve"> </w:t>
      </w:r>
      <w:r>
        <w:rPr>
          <w:color w:val="FBB315"/>
          <w:w w:val="105"/>
        </w:rPr>
        <w:t>ha</w:t>
      </w:r>
      <w:r>
        <w:rPr>
          <w:color w:val="FBB315"/>
          <w:spacing w:val="-4"/>
          <w:w w:val="105"/>
        </w:rPr>
        <w:t xml:space="preserve"> </w:t>
      </w:r>
      <w:r>
        <w:rPr>
          <w:color w:val="FBB315"/>
          <w:w w:val="105"/>
        </w:rPr>
        <w:t>ignorado</w:t>
      </w:r>
      <w:r>
        <w:rPr>
          <w:color w:val="FBB315"/>
          <w:spacing w:val="-4"/>
          <w:w w:val="105"/>
        </w:rPr>
        <w:t xml:space="preserve"> </w:t>
      </w:r>
      <w:r>
        <w:rPr>
          <w:color w:val="FBB315"/>
          <w:w w:val="105"/>
        </w:rPr>
        <w:t>o</w:t>
      </w:r>
      <w:r>
        <w:rPr>
          <w:color w:val="FBB315"/>
          <w:spacing w:val="-4"/>
          <w:w w:val="105"/>
        </w:rPr>
        <w:t xml:space="preserve"> </w:t>
      </w:r>
      <w:r>
        <w:rPr>
          <w:color w:val="FBB315"/>
          <w:w w:val="105"/>
        </w:rPr>
        <w:t>descartado</w:t>
      </w:r>
      <w:r>
        <w:rPr>
          <w:color w:val="FBB315"/>
          <w:spacing w:val="-4"/>
          <w:w w:val="105"/>
        </w:rPr>
        <w:t xml:space="preserve"> </w:t>
      </w:r>
      <w:r>
        <w:rPr>
          <w:color w:val="FBB315"/>
          <w:w w:val="105"/>
        </w:rPr>
        <w:t>la</w:t>
      </w:r>
      <w:r>
        <w:rPr>
          <w:color w:val="FBB315"/>
          <w:spacing w:val="-4"/>
          <w:w w:val="105"/>
        </w:rPr>
        <w:t xml:space="preserve"> </w:t>
      </w:r>
      <w:r>
        <w:rPr>
          <w:color w:val="FBB315"/>
          <w:w w:val="105"/>
        </w:rPr>
        <w:t>diferencia</w:t>
      </w:r>
      <w:r>
        <w:rPr>
          <w:color w:val="FBB315"/>
          <w:spacing w:val="-4"/>
          <w:w w:val="105"/>
        </w:rPr>
        <w:t xml:space="preserve"> </w:t>
      </w:r>
      <w:r>
        <w:rPr>
          <w:color w:val="FBB315"/>
          <w:w w:val="105"/>
        </w:rPr>
        <w:t>de discapacidad</w:t>
      </w:r>
      <w:r>
        <w:rPr>
          <w:color w:val="FBB315"/>
          <w:spacing w:val="-1"/>
          <w:w w:val="105"/>
        </w:rPr>
        <w:t xml:space="preserve"> </w:t>
      </w:r>
      <w:r>
        <w:rPr>
          <w:color w:val="FBB315"/>
          <w:w w:val="105"/>
        </w:rPr>
        <w:t>y,</w:t>
      </w:r>
      <w:r>
        <w:rPr>
          <w:color w:val="FBB315"/>
          <w:spacing w:val="-1"/>
          <w:w w:val="105"/>
        </w:rPr>
        <w:t xml:space="preserve"> </w:t>
      </w:r>
      <w:r>
        <w:rPr>
          <w:color w:val="FBB315"/>
          <w:w w:val="105"/>
        </w:rPr>
        <w:t>por</w:t>
      </w:r>
      <w:r>
        <w:rPr>
          <w:color w:val="FBB315"/>
          <w:spacing w:val="-1"/>
          <w:w w:val="105"/>
        </w:rPr>
        <w:t xml:space="preserve"> </w:t>
      </w:r>
      <w:r>
        <w:rPr>
          <w:color w:val="FBB315"/>
          <w:w w:val="105"/>
        </w:rPr>
        <w:t>lo</w:t>
      </w:r>
      <w:r>
        <w:rPr>
          <w:color w:val="FBB315"/>
          <w:spacing w:val="-1"/>
          <w:w w:val="105"/>
        </w:rPr>
        <w:t xml:space="preserve"> </w:t>
      </w:r>
      <w:r>
        <w:rPr>
          <w:color w:val="FBB315"/>
          <w:w w:val="105"/>
        </w:rPr>
        <w:t>tanto,</w:t>
      </w:r>
      <w:r>
        <w:rPr>
          <w:color w:val="FBB315"/>
          <w:spacing w:val="-1"/>
          <w:w w:val="105"/>
        </w:rPr>
        <w:t xml:space="preserve"> </w:t>
      </w:r>
      <w:r>
        <w:rPr>
          <w:color w:val="FBB315"/>
          <w:w w:val="105"/>
        </w:rPr>
        <w:t>las</w:t>
      </w:r>
      <w:r>
        <w:rPr>
          <w:color w:val="FBB315"/>
          <w:spacing w:val="-1"/>
          <w:w w:val="105"/>
        </w:rPr>
        <w:t xml:space="preserve"> </w:t>
      </w:r>
      <w:r>
        <w:rPr>
          <w:color w:val="FBB315"/>
          <w:w w:val="105"/>
        </w:rPr>
        <w:t>estructuras</w:t>
      </w:r>
      <w:r>
        <w:rPr>
          <w:color w:val="FBB315"/>
          <w:spacing w:val="-1"/>
          <w:w w:val="105"/>
        </w:rPr>
        <w:t xml:space="preserve"> </w:t>
      </w:r>
      <w:r>
        <w:rPr>
          <w:color w:val="FBB315"/>
          <w:w w:val="105"/>
        </w:rPr>
        <w:t>sociales</w:t>
      </w:r>
      <w:r>
        <w:rPr>
          <w:color w:val="FBB315"/>
          <w:spacing w:val="-1"/>
          <w:w w:val="105"/>
        </w:rPr>
        <w:t xml:space="preserve"> </w:t>
      </w:r>
      <w:r>
        <w:rPr>
          <w:color w:val="FBB315"/>
          <w:w w:val="105"/>
        </w:rPr>
        <w:t>no</w:t>
      </w:r>
      <w:r>
        <w:rPr>
          <w:color w:val="FBB315"/>
          <w:spacing w:val="-1"/>
          <w:w w:val="105"/>
        </w:rPr>
        <w:t xml:space="preserve"> </w:t>
      </w:r>
      <w:r>
        <w:rPr>
          <w:color w:val="FBB315"/>
          <w:w w:val="105"/>
        </w:rPr>
        <w:t>han</w:t>
      </w:r>
      <w:r>
        <w:rPr>
          <w:color w:val="FBB315"/>
          <w:spacing w:val="-1"/>
          <w:w w:val="105"/>
        </w:rPr>
        <w:t xml:space="preserve"> </w:t>
      </w:r>
      <w:r>
        <w:rPr>
          <w:color w:val="FBB315"/>
          <w:w w:val="105"/>
        </w:rPr>
        <w:t>considerado</w:t>
      </w:r>
      <w:r>
        <w:rPr>
          <w:color w:val="FBB315"/>
          <w:spacing w:val="-1"/>
          <w:w w:val="105"/>
        </w:rPr>
        <w:t xml:space="preserve"> </w:t>
      </w:r>
      <w:r>
        <w:rPr>
          <w:color w:val="FBB315"/>
          <w:w w:val="105"/>
        </w:rPr>
        <w:t>los</w:t>
      </w:r>
      <w:r>
        <w:rPr>
          <w:color w:val="FBB315"/>
          <w:spacing w:val="-1"/>
          <w:w w:val="105"/>
        </w:rPr>
        <w:t xml:space="preserve"> </w:t>
      </w:r>
      <w:r>
        <w:rPr>
          <w:color w:val="FBB315"/>
          <w:w w:val="105"/>
        </w:rPr>
        <w:t>derechos</w:t>
      </w:r>
      <w:r>
        <w:rPr>
          <w:color w:val="FBB315"/>
          <w:spacing w:val="-1"/>
          <w:w w:val="105"/>
        </w:rPr>
        <w:t xml:space="preserve"> </w:t>
      </w:r>
      <w:r>
        <w:rPr>
          <w:color w:val="FBB315"/>
          <w:w w:val="105"/>
        </w:rPr>
        <w:t>de</w:t>
      </w:r>
      <w:r>
        <w:rPr>
          <w:color w:val="FBB315"/>
          <w:spacing w:val="-1"/>
          <w:w w:val="105"/>
        </w:rPr>
        <w:t xml:space="preserve"> </w:t>
      </w:r>
      <w:r>
        <w:rPr>
          <w:color w:val="FBB315"/>
          <w:w w:val="105"/>
        </w:rPr>
        <w:t>las</w:t>
      </w:r>
      <w:r>
        <w:rPr>
          <w:color w:val="FBB315"/>
          <w:spacing w:val="-1"/>
          <w:w w:val="105"/>
        </w:rPr>
        <w:t xml:space="preserve"> </w:t>
      </w:r>
      <w:r>
        <w:rPr>
          <w:color w:val="FBB315"/>
          <w:w w:val="105"/>
        </w:rPr>
        <w:t>personas</w:t>
      </w:r>
      <w:r>
        <w:rPr>
          <w:color w:val="FBB315"/>
          <w:spacing w:val="-1"/>
          <w:w w:val="105"/>
        </w:rPr>
        <w:t xml:space="preserve"> </w:t>
      </w:r>
      <w:r>
        <w:rPr>
          <w:color w:val="FBB315"/>
          <w:w w:val="105"/>
        </w:rPr>
        <w:t>con discapacidad.</w:t>
      </w:r>
      <w:r>
        <w:rPr>
          <w:color w:val="FBB315"/>
          <w:spacing w:val="-10"/>
          <w:w w:val="105"/>
        </w:rPr>
        <w:t xml:space="preserve"> </w:t>
      </w:r>
      <w:r>
        <w:rPr>
          <w:color w:val="FBB315"/>
          <w:w w:val="105"/>
        </w:rPr>
        <w:t>La</w:t>
      </w:r>
      <w:r>
        <w:rPr>
          <w:color w:val="FBB315"/>
          <w:spacing w:val="-10"/>
          <w:w w:val="105"/>
        </w:rPr>
        <w:t xml:space="preserve"> </w:t>
      </w:r>
      <w:r>
        <w:rPr>
          <w:color w:val="FBB315"/>
          <w:w w:val="105"/>
        </w:rPr>
        <w:t>Convención</w:t>
      </w:r>
      <w:r>
        <w:rPr>
          <w:color w:val="FBB315"/>
          <w:spacing w:val="-10"/>
          <w:w w:val="105"/>
        </w:rPr>
        <w:t xml:space="preserve"> </w:t>
      </w:r>
      <w:r>
        <w:rPr>
          <w:color w:val="FBB315"/>
          <w:w w:val="105"/>
        </w:rPr>
        <w:t>restablece</w:t>
      </w:r>
      <w:r>
        <w:rPr>
          <w:color w:val="FBB315"/>
          <w:spacing w:val="-10"/>
          <w:w w:val="105"/>
        </w:rPr>
        <w:t xml:space="preserve"> </w:t>
      </w:r>
      <w:r>
        <w:rPr>
          <w:color w:val="FBB315"/>
          <w:w w:val="105"/>
        </w:rPr>
        <w:t>la</w:t>
      </w:r>
      <w:r>
        <w:rPr>
          <w:color w:val="FBB315"/>
          <w:spacing w:val="-10"/>
          <w:w w:val="105"/>
        </w:rPr>
        <w:t xml:space="preserve"> </w:t>
      </w:r>
      <w:r>
        <w:rPr>
          <w:color w:val="FBB315"/>
          <w:w w:val="105"/>
        </w:rPr>
        <w:t>importancia</w:t>
      </w:r>
      <w:r>
        <w:rPr>
          <w:color w:val="FBB315"/>
          <w:spacing w:val="-10"/>
          <w:w w:val="105"/>
        </w:rPr>
        <w:t xml:space="preserve"> </w:t>
      </w:r>
      <w:r>
        <w:rPr>
          <w:color w:val="FBB315"/>
          <w:w w:val="105"/>
        </w:rPr>
        <w:t>del</w:t>
      </w:r>
      <w:r>
        <w:rPr>
          <w:color w:val="FBB315"/>
          <w:spacing w:val="-10"/>
          <w:w w:val="105"/>
        </w:rPr>
        <w:t xml:space="preserve"> </w:t>
      </w:r>
      <w:r>
        <w:rPr>
          <w:color w:val="FBB315"/>
          <w:w w:val="105"/>
        </w:rPr>
        <w:t>ser</w:t>
      </w:r>
      <w:r>
        <w:rPr>
          <w:color w:val="FBB315"/>
          <w:spacing w:val="-10"/>
          <w:w w:val="105"/>
        </w:rPr>
        <w:t xml:space="preserve"> </w:t>
      </w:r>
      <w:r>
        <w:rPr>
          <w:color w:val="FBB315"/>
          <w:w w:val="105"/>
        </w:rPr>
        <w:t>humano</w:t>
      </w:r>
      <w:r>
        <w:rPr>
          <w:color w:val="FBB315"/>
          <w:spacing w:val="-10"/>
          <w:w w:val="105"/>
        </w:rPr>
        <w:t xml:space="preserve"> </w:t>
      </w:r>
      <w:r>
        <w:rPr>
          <w:color w:val="FBB315"/>
          <w:w w:val="105"/>
        </w:rPr>
        <w:t>en</w:t>
      </w:r>
      <w:r>
        <w:rPr>
          <w:color w:val="FBB315"/>
          <w:spacing w:val="-10"/>
          <w:w w:val="105"/>
        </w:rPr>
        <w:t xml:space="preserve"> </w:t>
      </w:r>
      <w:r>
        <w:rPr>
          <w:color w:val="FBB315"/>
          <w:w w:val="105"/>
        </w:rPr>
        <w:t>el</w:t>
      </w:r>
      <w:r>
        <w:rPr>
          <w:color w:val="FBB315"/>
          <w:spacing w:val="-10"/>
          <w:w w:val="105"/>
        </w:rPr>
        <w:t xml:space="preserve"> </w:t>
      </w:r>
      <w:r>
        <w:rPr>
          <w:color w:val="FBB315"/>
          <w:w w:val="105"/>
        </w:rPr>
        <w:t>discurso</w:t>
      </w:r>
      <w:r>
        <w:rPr>
          <w:color w:val="FBB315"/>
          <w:spacing w:val="-10"/>
          <w:w w:val="105"/>
        </w:rPr>
        <w:t xml:space="preserve"> </w:t>
      </w:r>
      <w:r>
        <w:rPr>
          <w:color w:val="FBB315"/>
          <w:w w:val="105"/>
        </w:rPr>
        <w:t>de</w:t>
      </w:r>
      <w:r>
        <w:rPr>
          <w:color w:val="FBB315"/>
          <w:spacing w:val="-10"/>
          <w:w w:val="105"/>
        </w:rPr>
        <w:t xml:space="preserve"> </w:t>
      </w:r>
      <w:r>
        <w:rPr>
          <w:color w:val="FBB315"/>
          <w:w w:val="105"/>
        </w:rPr>
        <w:t>los</w:t>
      </w:r>
      <w:r>
        <w:rPr>
          <w:color w:val="FBB315"/>
          <w:spacing w:val="-10"/>
          <w:w w:val="105"/>
        </w:rPr>
        <w:t xml:space="preserve"> </w:t>
      </w:r>
      <w:r>
        <w:rPr>
          <w:color w:val="FBB315"/>
          <w:w w:val="105"/>
        </w:rPr>
        <w:t>derechos</w:t>
      </w:r>
      <w:r>
        <w:rPr>
          <w:color w:val="FBB315"/>
          <w:spacing w:val="-10"/>
          <w:w w:val="105"/>
        </w:rPr>
        <w:t xml:space="preserve"> </w:t>
      </w:r>
      <w:r>
        <w:rPr>
          <w:color w:val="FBB315"/>
          <w:w w:val="105"/>
        </w:rPr>
        <w:t>humanos al enfatizar los aspectos individuales y sociales de la experiencia humana. De ese modo,</w:t>
      </w:r>
    </w:p>
    <w:p w14:paraId="0FB24D2C" w14:textId="77777777" w:rsidR="0014798C" w:rsidRDefault="0014798C">
      <w:pPr>
        <w:pStyle w:val="Textoindependiente"/>
        <w:rPr>
          <w:sz w:val="14"/>
        </w:rPr>
      </w:pPr>
    </w:p>
    <w:p w14:paraId="46473F5D" w14:textId="77777777" w:rsidR="0014798C" w:rsidRDefault="0014798C">
      <w:pPr>
        <w:pStyle w:val="Textoindependiente"/>
        <w:rPr>
          <w:sz w:val="14"/>
        </w:rPr>
      </w:pPr>
    </w:p>
    <w:p w14:paraId="3656BD56" w14:textId="77777777" w:rsidR="0014798C" w:rsidRDefault="0014798C">
      <w:pPr>
        <w:pStyle w:val="Textoindependiente"/>
        <w:spacing w:before="146"/>
        <w:rPr>
          <w:sz w:val="14"/>
        </w:rPr>
      </w:pPr>
    </w:p>
    <w:p w14:paraId="38AA4AF5" w14:textId="77777777" w:rsidR="0014798C" w:rsidRDefault="004E1F0B">
      <w:pPr>
        <w:ind w:left="1111"/>
        <w:rPr>
          <w:sz w:val="14"/>
        </w:rPr>
      </w:pPr>
      <w:r>
        <w:rPr>
          <w:w w:val="105"/>
          <w:sz w:val="14"/>
          <w:vertAlign w:val="superscript"/>
        </w:rPr>
        <w:t>1227</w:t>
      </w:r>
      <w:r>
        <w:rPr>
          <w:spacing w:val="19"/>
          <w:w w:val="105"/>
          <w:sz w:val="14"/>
        </w:rPr>
        <w:t xml:space="preserve"> </w:t>
      </w:r>
      <w:r>
        <w:rPr>
          <w:w w:val="105"/>
          <w:sz w:val="14"/>
        </w:rPr>
        <w:t>Véase,</w:t>
      </w:r>
      <w:r>
        <w:rPr>
          <w:spacing w:val="-5"/>
          <w:w w:val="105"/>
          <w:sz w:val="14"/>
        </w:rPr>
        <w:t xml:space="preserve"> </w:t>
      </w:r>
      <w:r>
        <w:rPr>
          <w:w w:val="105"/>
          <w:sz w:val="14"/>
        </w:rPr>
        <w:t>entre</w:t>
      </w:r>
      <w:r>
        <w:rPr>
          <w:spacing w:val="-5"/>
          <w:w w:val="105"/>
          <w:sz w:val="14"/>
        </w:rPr>
        <w:t xml:space="preserve"> </w:t>
      </w:r>
      <w:r>
        <w:rPr>
          <w:w w:val="105"/>
          <w:sz w:val="14"/>
        </w:rPr>
        <w:t>otros,</w:t>
      </w:r>
      <w:r>
        <w:rPr>
          <w:spacing w:val="-5"/>
          <w:w w:val="105"/>
          <w:sz w:val="14"/>
        </w:rPr>
        <w:t xml:space="preserve"> </w:t>
      </w:r>
      <w:r>
        <w:rPr>
          <w:w w:val="105"/>
          <w:sz w:val="14"/>
        </w:rPr>
        <w:t>Comité</w:t>
      </w:r>
      <w:r>
        <w:rPr>
          <w:spacing w:val="-6"/>
          <w:w w:val="105"/>
          <w:sz w:val="14"/>
        </w:rPr>
        <w:t xml:space="preserve"> </w:t>
      </w:r>
      <w:r>
        <w:rPr>
          <w:w w:val="105"/>
          <w:sz w:val="14"/>
        </w:rPr>
        <w:t>para</w:t>
      </w:r>
      <w:r>
        <w:rPr>
          <w:spacing w:val="-6"/>
          <w:w w:val="105"/>
          <w:sz w:val="14"/>
        </w:rPr>
        <w:t xml:space="preserve"> </w:t>
      </w:r>
      <w:r>
        <w:rPr>
          <w:w w:val="105"/>
          <w:sz w:val="14"/>
        </w:rPr>
        <w:t>la</w:t>
      </w:r>
      <w:r>
        <w:rPr>
          <w:spacing w:val="-6"/>
          <w:w w:val="105"/>
          <w:sz w:val="14"/>
        </w:rPr>
        <w:t xml:space="preserve"> </w:t>
      </w:r>
      <w:r>
        <w:rPr>
          <w:w w:val="105"/>
          <w:sz w:val="14"/>
        </w:rPr>
        <w:t>Eliminación</w:t>
      </w:r>
      <w:r>
        <w:rPr>
          <w:spacing w:val="-6"/>
          <w:w w:val="105"/>
          <w:sz w:val="14"/>
        </w:rPr>
        <w:t xml:space="preserve"> </w:t>
      </w:r>
      <w:r>
        <w:rPr>
          <w:w w:val="105"/>
          <w:sz w:val="14"/>
        </w:rPr>
        <w:t>de</w:t>
      </w:r>
      <w:r>
        <w:rPr>
          <w:spacing w:val="-5"/>
          <w:w w:val="105"/>
          <w:sz w:val="14"/>
        </w:rPr>
        <w:t xml:space="preserve"> </w:t>
      </w:r>
      <w:r>
        <w:rPr>
          <w:w w:val="105"/>
          <w:sz w:val="14"/>
        </w:rPr>
        <w:t>la</w:t>
      </w:r>
      <w:r>
        <w:rPr>
          <w:spacing w:val="-6"/>
          <w:w w:val="105"/>
          <w:sz w:val="14"/>
        </w:rPr>
        <w:t xml:space="preserve"> </w:t>
      </w:r>
      <w:r>
        <w:rPr>
          <w:w w:val="105"/>
          <w:sz w:val="14"/>
        </w:rPr>
        <w:t>Discriminación</w:t>
      </w:r>
      <w:r>
        <w:rPr>
          <w:spacing w:val="-6"/>
          <w:w w:val="105"/>
          <w:sz w:val="14"/>
        </w:rPr>
        <w:t xml:space="preserve"> </w:t>
      </w:r>
      <w:r>
        <w:rPr>
          <w:w w:val="105"/>
          <w:sz w:val="14"/>
        </w:rPr>
        <w:t>contra</w:t>
      </w:r>
      <w:r>
        <w:rPr>
          <w:spacing w:val="-6"/>
          <w:w w:val="105"/>
          <w:sz w:val="14"/>
        </w:rPr>
        <w:t xml:space="preserve"> </w:t>
      </w:r>
      <w:r>
        <w:rPr>
          <w:w w:val="105"/>
          <w:sz w:val="14"/>
        </w:rPr>
        <w:t>la</w:t>
      </w:r>
      <w:r>
        <w:rPr>
          <w:spacing w:val="-5"/>
          <w:w w:val="105"/>
          <w:sz w:val="14"/>
        </w:rPr>
        <w:t xml:space="preserve"> </w:t>
      </w:r>
      <w:r>
        <w:rPr>
          <w:w w:val="105"/>
          <w:sz w:val="14"/>
        </w:rPr>
        <w:t>Mujer,</w:t>
      </w:r>
      <w:r>
        <w:rPr>
          <w:spacing w:val="-5"/>
          <w:w w:val="105"/>
          <w:sz w:val="14"/>
        </w:rPr>
        <w:t xml:space="preserve"> </w:t>
      </w:r>
      <w:r>
        <w:rPr>
          <w:w w:val="105"/>
          <w:sz w:val="14"/>
        </w:rPr>
        <w:t>AT</w:t>
      </w:r>
      <w:r>
        <w:rPr>
          <w:spacing w:val="-6"/>
          <w:w w:val="105"/>
          <w:sz w:val="14"/>
        </w:rPr>
        <w:t xml:space="preserve"> </w:t>
      </w:r>
      <w:r>
        <w:rPr>
          <w:w w:val="105"/>
          <w:sz w:val="14"/>
        </w:rPr>
        <w:t>c.</w:t>
      </w:r>
      <w:r>
        <w:rPr>
          <w:spacing w:val="-6"/>
          <w:w w:val="105"/>
          <w:sz w:val="14"/>
        </w:rPr>
        <w:t xml:space="preserve"> </w:t>
      </w:r>
      <w:r>
        <w:rPr>
          <w:w w:val="105"/>
          <w:sz w:val="14"/>
        </w:rPr>
        <w:t>Hungría,</w:t>
      </w:r>
      <w:r>
        <w:rPr>
          <w:spacing w:val="-5"/>
          <w:w w:val="105"/>
          <w:sz w:val="14"/>
        </w:rPr>
        <w:t xml:space="preserve"> </w:t>
      </w:r>
      <w:r>
        <w:rPr>
          <w:w w:val="105"/>
          <w:sz w:val="14"/>
        </w:rPr>
        <w:t>comunicación</w:t>
      </w:r>
      <w:r>
        <w:rPr>
          <w:spacing w:val="-6"/>
          <w:w w:val="105"/>
          <w:sz w:val="14"/>
        </w:rPr>
        <w:t xml:space="preserve"> </w:t>
      </w:r>
      <w:r>
        <w:rPr>
          <w:w w:val="105"/>
          <w:sz w:val="14"/>
        </w:rPr>
        <w:t>No.</w:t>
      </w:r>
      <w:r>
        <w:rPr>
          <w:spacing w:val="-5"/>
          <w:w w:val="105"/>
          <w:sz w:val="14"/>
        </w:rPr>
        <w:t xml:space="preserve"> </w:t>
      </w:r>
      <w:r>
        <w:rPr>
          <w:spacing w:val="-2"/>
          <w:w w:val="105"/>
          <w:sz w:val="14"/>
        </w:rPr>
        <w:t>2/2003.</w:t>
      </w:r>
    </w:p>
    <w:p w14:paraId="780A741D" w14:textId="77777777" w:rsidR="0014798C" w:rsidRDefault="004E1F0B">
      <w:pPr>
        <w:spacing w:before="100"/>
        <w:ind w:left="1111"/>
        <w:rPr>
          <w:sz w:val="11"/>
        </w:rPr>
      </w:pPr>
      <w:r>
        <w:rPr>
          <w:w w:val="105"/>
          <w:sz w:val="11"/>
        </w:rPr>
        <w:t>1228</w:t>
      </w:r>
      <w:r>
        <w:rPr>
          <w:spacing w:val="-6"/>
          <w:w w:val="105"/>
          <w:sz w:val="11"/>
        </w:rPr>
        <w:t xml:space="preserve"> </w:t>
      </w:r>
      <w:r>
        <w:rPr>
          <w:w w:val="105"/>
          <w:sz w:val="11"/>
        </w:rPr>
        <w:t>Véase</w:t>
      </w:r>
      <w:r>
        <w:rPr>
          <w:spacing w:val="-6"/>
          <w:w w:val="105"/>
          <w:sz w:val="11"/>
        </w:rPr>
        <w:t xml:space="preserve"> </w:t>
      </w:r>
      <w:hyperlink r:id="rId356">
        <w:r>
          <w:rPr>
            <w:color w:val="0075BF"/>
            <w:w w:val="105"/>
            <w:sz w:val="11"/>
          </w:rPr>
          <w:t>www.ohchr.org/en/instruments-mechanisms/instruments/convention-elimination-all-forms-discrimination-against-</w:t>
        </w:r>
        <w:r>
          <w:rPr>
            <w:color w:val="0075BF"/>
            <w:spacing w:val="-2"/>
            <w:w w:val="105"/>
            <w:sz w:val="11"/>
          </w:rPr>
          <w:t>women.</w:t>
        </w:r>
      </w:hyperlink>
    </w:p>
    <w:p w14:paraId="441577F1" w14:textId="77777777" w:rsidR="0014798C" w:rsidRDefault="004E1F0B">
      <w:pPr>
        <w:spacing w:before="86"/>
        <w:ind w:left="1111"/>
        <w:rPr>
          <w:sz w:val="14"/>
        </w:rPr>
      </w:pPr>
      <w:r>
        <w:rPr>
          <w:w w:val="105"/>
          <w:sz w:val="14"/>
          <w:vertAlign w:val="superscript"/>
        </w:rPr>
        <w:t>1229</w:t>
      </w:r>
      <w:r>
        <w:rPr>
          <w:spacing w:val="11"/>
          <w:w w:val="105"/>
          <w:sz w:val="14"/>
        </w:rPr>
        <w:t xml:space="preserve"> </w:t>
      </w:r>
      <w:r>
        <w:rPr>
          <w:w w:val="105"/>
          <w:sz w:val="14"/>
        </w:rPr>
        <w:t>A/HRC/43/27,</w:t>
      </w:r>
      <w:r>
        <w:rPr>
          <w:spacing w:val="-8"/>
          <w:w w:val="105"/>
          <w:sz w:val="14"/>
        </w:rPr>
        <w:t xml:space="preserve"> </w:t>
      </w:r>
      <w:r>
        <w:rPr>
          <w:w w:val="105"/>
          <w:sz w:val="14"/>
        </w:rPr>
        <w:t>párr.</w:t>
      </w:r>
      <w:r>
        <w:rPr>
          <w:spacing w:val="-7"/>
          <w:w w:val="105"/>
          <w:sz w:val="14"/>
        </w:rPr>
        <w:t xml:space="preserve"> </w:t>
      </w:r>
      <w:r>
        <w:rPr>
          <w:spacing w:val="-5"/>
          <w:w w:val="105"/>
          <w:sz w:val="14"/>
        </w:rPr>
        <w:t>2.</w:t>
      </w:r>
    </w:p>
    <w:p w14:paraId="06A738B0" w14:textId="77777777" w:rsidR="0014798C" w:rsidRDefault="0014798C">
      <w:pPr>
        <w:pStyle w:val="Textoindependiente"/>
        <w:rPr>
          <w:sz w:val="17"/>
        </w:rPr>
      </w:pPr>
    </w:p>
    <w:p w14:paraId="58366D23" w14:textId="77777777" w:rsidR="0014798C" w:rsidRDefault="0014798C">
      <w:pPr>
        <w:pStyle w:val="Textoindependiente"/>
        <w:rPr>
          <w:sz w:val="17"/>
        </w:rPr>
      </w:pPr>
    </w:p>
    <w:p w14:paraId="3B05B035" w14:textId="77777777" w:rsidR="0014798C" w:rsidRDefault="0014798C">
      <w:pPr>
        <w:pStyle w:val="Textoindependiente"/>
        <w:spacing w:before="58"/>
        <w:rPr>
          <w:sz w:val="17"/>
        </w:rPr>
      </w:pPr>
    </w:p>
    <w:p w14:paraId="6445A895" w14:textId="77777777" w:rsidR="0014798C" w:rsidRDefault="004E1F0B">
      <w:pPr>
        <w:ind w:right="712"/>
        <w:jc w:val="right"/>
        <w:rPr>
          <w:sz w:val="17"/>
        </w:rPr>
      </w:pPr>
      <w:r>
        <w:rPr>
          <w:spacing w:val="-5"/>
          <w:w w:val="105"/>
          <w:sz w:val="17"/>
        </w:rPr>
        <w:t>193</w:t>
      </w:r>
    </w:p>
    <w:p w14:paraId="5F615955" w14:textId="77777777" w:rsidR="0014798C" w:rsidRDefault="0014798C">
      <w:pPr>
        <w:jc w:val="right"/>
        <w:rPr>
          <w:sz w:val="17"/>
        </w:rPr>
        <w:sectPr w:rsidR="0014798C" w:rsidSect="00F265E4">
          <w:pgSz w:w="11900" w:h="16820"/>
          <w:pgMar w:top="340" w:right="0" w:bottom="280" w:left="200" w:header="121" w:footer="0" w:gutter="0"/>
          <w:cols w:space="720"/>
        </w:sectPr>
      </w:pPr>
    </w:p>
    <w:p w14:paraId="34ACFFBA" w14:textId="77777777" w:rsidR="0014798C" w:rsidRDefault="0014798C">
      <w:pPr>
        <w:pStyle w:val="Textoindependiente"/>
        <w:spacing w:before="85"/>
        <w:rPr>
          <w:sz w:val="12"/>
        </w:rPr>
      </w:pPr>
    </w:p>
    <w:p w14:paraId="6BDB40FC" w14:textId="77777777" w:rsidR="0014798C" w:rsidRDefault="004E1F0B">
      <w:pPr>
        <w:ind w:left="1111"/>
        <w:rPr>
          <w:sz w:val="12"/>
        </w:rPr>
      </w:pPr>
      <w:r>
        <w:rPr>
          <w:color w:val="FBB315"/>
          <w:sz w:val="12"/>
        </w:rPr>
        <w:t>PROTECCIÓN</w:t>
      </w:r>
      <w:r>
        <w:rPr>
          <w:color w:val="FBB315"/>
          <w:spacing w:val="6"/>
          <w:sz w:val="12"/>
        </w:rPr>
        <w:t xml:space="preserve"> </w:t>
      </w:r>
      <w:r>
        <w:rPr>
          <w:color w:val="FBB315"/>
          <w:sz w:val="12"/>
        </w:rPr>
        <w:t>DE</w:t>
      </w:r>
      <w:r>
        <w:rPr>
          <w:color w:val="FBB315"/>
          <w:spacing w:val="7"/>
          <w:sz w:val="12"/>
        </w:rPr>
        <w:t xml:space="preserve"> </w:t>
      </w:r>
      <w:r>
        <w:rPr>
          <w:color w:val="FBB315"/>
          <w:sz w:val="12"/>
        </w:rPr>
        <w:t>LOS</w:t>
      </w:r>
      <w:r>
        <w:rPr>
          <w:color w:val="FBB315"/>
          <w:spacing w:val="8"/>
          <w:sz w:val="12"/>
        </w:rPr>
        <w:t xml:space="preserve"> </w:t>
      </w:r>
      <w:r>
        <w:rPr>
          <w:color w:val="FBB315"/>
          <w:sz w:val="12"/>
        </w:rPr>
        <w:t>DERECHOS</w:t>
      </w:r>
      <w:r>
        <w:rPr>
          <w:color w:val="FBB315"/>
          <w:spacing w:val="8"/>
          <w:sz w:val="12"/>
        </w:rPr>
        <w:t xml:space="preserve"> </w:t>
      </w:r>
      <w:r>
        <w:rPr>
          <w:color w:val="FBB315"/>
          <w:sz w:val="12"/>
        </w:rPr>
        <w:t>DE</w:t>
      </w:r>
      <w:r>
        <w:rPr>
          <w:color w:val="FBB315"/>
          <w:spacing w:val="6"/>
          <w:sz w:val="12"/>
        </w:rPr>
        <w:t xml:space="preserve"> </w:t>
      </w:r>
      <w:r>
        <w:rPr>
          <w:color w:val="FBB315"/>
          <w:sz w:val="12"/>
        </w:rPr>
        <w:t>LAS</w:t>
      </w:r>
      <w:r>
        <w:rPr>
          <w:color w:val="FBB315"/>
          <w:spacing w:val="7"/>
          <w:sz w:val="12"/>
        </w:rPr>
        <w:t xml:space="preserve"> </w:t>
      </w:r>
      <w:r>
        <w:rPr>
          <w:color w:val="FBB315"/>
          <w:sz w:val="12"/>
        </w:rPr>
        <w:t>MINORÍAS:</w:t>
      </w:r>
      <w:r>
        <w:rPr>
          <w:color w:val="FBB315"/>
          <w:spacing w:val="8"/>
          <w:sz w:val="12"/>
        </w:rPr>
        <w:t xml:space="preserve"> </w:t>
      </w:r>
      <w:r>
        <w:rPr>
          <w:color w:val="FBB315"/>
          <w:sz w:val="12"/>
        </w:rPr>
        <w:t>una</w:t>
      </w:r>
      <w:r>
        <w:rPr>
          <w:color w:val="FBB315"/>
          <w:spacing w:val="7"/>
          <w:sz w:val="12"/>
        </w:rPr>
        <w:t xml:space="preserve"> </w:t>
      </w:r>
      <w:r>
        <w:rPr>
          <w:color w:val="FBB315"/>
          <w:sz w:val="12"/>
        </w:rPr>
        <w:t>guía</w:t>
      </w:r>
      <w:r>
        <w:rPr>
          <w:color w:val="FBB315"/>
          <w:spacing w:val="6"/>
          <w:sz w:val="12"/>
        </w:rPr>
        <w:t xml:space="preserve"> </w:t>
      </w:r>
      <w:r>
        <w:rPr>
          <w:color w:val="FBB315"/>
          <w:sz w:val="12"/>
        </w:rPr>
        <w:t>práctica</w:t>
      </w:r>
      <w:r>
        <w:rPr>
          <w:color w:val="FBB315"/>
          <w:spacing w:val="7"/>
          <w:sz w:val="12"/>
        </w:rPr>
        <w:t xml:space="preserve"> </w:t>
      </w:r>
      <w:r>
        <w:rPr>
          <w:color w:val="FBB315"/>
          <w:sz w:val="12"/>
        </w:rPr>
        <w:t>para</w:t>
      </w:r>
      <w:r>
        <w:rPr>
          <w:color w:val="FBB315"/>
          <w:spacing w:val="8"/>
          <w:sz w:val="12"/>
        </w:rPr>
        <w:t xml:space="preserve"> </w:t>
      </w:r>
      <w:r>
        <w:rPr>
          <w:color w:val="FBB315"/>
          <w:sz w:val="12"/>
        </w:rPr>
        <w:t>desarrollar</w:t>
      </w:r>
      <w:r>
        <w:rPr>
          <w:color w:val="FBB315"/>
          <w:spacing w:val="6"/>
          <w:sz w:val="12"/>
        </w:rPr>
        <w:t xml:space="preserve"> </w:t>
      </w:r>
      <w:r>
        <w:rPr>
          <w:color w:val="FBB315"/>
          <w:sz w:val="12"/>
        </w:rPr>
        <w:t>una</w:t>
      </w:r>
      <w:r>
        <w:rPr>
          <w:color w:val="FBB315"/>
          <w:spacing w:val="7"/>
          <w:sz w:val="12"/>
        </w:rPr>
        <w:t xml:space="preserve"> </w:t>
      </w:r>
      <w:r>
        <w:rPr>
          <w:color w:val="FBB315"/>
          <w:sz w:val="12"/>
        </w:rPr>
        <w:t>legislación</w:t>
      </w:r>
      <w:r>
        <w:rPr>
          <w:color w:val="FBB315"/>
          <w:spacing w:val="8"/>
          <w:sz w:val="12"/>
        </w:rPr>
        <w:t xml:space="preserve"> </w:t>
      </w:r>
      <w:r>
        <w:rPr>
          <w:color w:val="FBB315"/>
          <w:sz w:val="12"/>
        </w:rPr>
        <w:t>integral</w:t>
      </w:r>
      <w:r>
        <w:rPr>
          <w:color w:val="FBB315"/>
          <w:spacing w:val="7"/>
          <w:sz w:val="12"/>
        </w:rPr>
        <w:t xml:space="preserve"> </w:t>
      </w:r>
      <w:r>
        <w:rPr>
          <w:color w:val="FBB315"/>
          <w:sz w:val="12"/>
        </w:rPr>
        <w:t>contra</w:t>
      </w:r>
      <w:r>
        <w:rPr>
          <w:color w:val="FBB315"/>
          <w:spacing w:val="6"/>
          <w:sz w:val="12"/>
        </w:rPr>
        <w:t xml:space="preserve"> </w:t>
      </w:r>
      <w:r>
        <w:rPr>
          <w:color w:val="FBB315"/>
          <w:sz w:val="12"/>
        </w:rPr>
        <w:t>la</w:t>
      </w:r>
      <w:r>
        <w:rPr>
          <w:color w:val="FBB315"/>
          <w:spacing w:val="7"/>
          <w:sz w:val="12"/>
        </w:rPr>
        <w:t xml:space="preserve"> </w:t>
      </w:r>
      <w:r>
        <w:rPr>
          <w:color w:val="FBB315"/>
          <w:spacing w:val="-2"/>
          <w:sz w:val="12"/>
        </w:rPr>
        <w:t>discriminación</w:t>
      </w:r>
    </w:p>
    <w:p w14:paraId="5558E926" w14:textId="77777777" w:rsidR="0014798C" w:rsidRDefault="0014798C">
      <w:pPr>
        <w:pStyle w:val="Textoindependiente"/>
      </w:pPr>
    </w:p>
    <w:p w14:paraId="4EF53C55" w14:textId="77777777" w:rsidR="0014798C" w:rsidRDefault="0014798C">
      <w:pPr>
        <w:pStyle w:val="Textoindependiente"/>
      </w:pPr>
    </w:p>
    <w:p w14:paraId="31186771" w14:textId="77777777" w:rsidR="0014798C" w:rsidRDefault="0014798C">
      <w:pPr>
        <w:pStyle w:val="Textoindependiente"/>
      </w:pPr>
    </w:p>
    <w:p w14:paraId="1045165F" w14:textId="77777777" w:rsidR="0014798C" w:rsidRDefault="0014798C">
      <w:pPr>
        <w:pStyle w:val="Textoindependiente"/>
      </w:pPr>
    </w:p>
    <w:p w14:paraId="4577F674" w14:textId="77777777" w:rsidR="0014798C" w:rsidRDefault="0014798C">
      <w:pPr>
        <w:pStyle w:val="Textoindependiente"/>
        <w:spacing w:before="73"/>
      </w:pPr>
    </w:p>
    <w:p w14:paraId="2636A5F8" w14:textId="77777777" w:rsidR="0014798C" w:rsidRDefault="004E1F0B">
      <w:pPr>
        <w:pStyle w:val="Textoindependiente"/>
        <w:spacing w:line="326" w:lineRule="auto"/>
        <w:ind w:left="1674" w:right="1840" w:hanging="1"/>
      </w:pPr>
      <w:r>
        <w:rPr>
          <w:color w:val="FBB315"/>
        </w:rPr>
        <w:t>la Convención cuestiona los enfoques tradicionales sobre la discapacidad y tiene el potencial de reparar el legado</w:t>
      </w:r>
      <w:r>
        <w:rPr>
          <w:color w:val="FBB315"/>
          <w:spacing w:val="40"/>
        </w:rPr>
        <w:t xml:space="preserve"> </w:t>
      </w:r>
      <w:r>
        <w:rPr>
          <w:color w:val="FBB315"/>
        </w:rPr>
        <w:t>de falta de empoderamiento, paternalismo y capacitismo.1230</w:t>
      </w:r>
    </w:p>
    <w:p w14:paraId="1989EF2A" w14:textId="77777777" w:rsidR="0014798C" w:rsidRDefault="004E1F0B">
      <w:pPr>
        <w:pStyle w:val="Textoindependiente"/>
        <w:spacing w:before="113" w:line="326" w:lineRule="auto"/>
        <w:ind w:left="1107" w:right="1272" w:firstLine="2"/>
      </w:pPr>
      <w:r>
        <w:t>Más allá de estas disposiciones específicas, en todo el derecho internacional de derechos humanos y en relación con todos los posibles motivos protegidos se puede leer un énfasis en desafiar las normas sociales que causan, impulsan o exacerban la discriminación. Así, por ejemplo, el Comité de Derechos Económicos, Sociales y Culturales ha señalado que los Estados deben “adoptar</w:t>
      </w:r>
      <w:r>
        <w:rPr>
          <w:spacing w:val="16"/>
        </w:rPr>
        <w:t xml:space="preserve"> </w:t>
      </w:r>
      <w:r>
        <w:t>un</w:t>
      </w:r>
      <w:r>
        <w:rPr>
          <w:spacing w:val="16"/>
        </w:rPr>
        <w:t xml:space="preserve"> </w:t>
      </w:r>
      <w:r>
        <w:t>enfoque</w:t>
      </w:r>
      <w:r>
        <w:rPr>
          <w:spacing w:val="16"/>
        </w:rPr>
        <w:t xml:space="preserve"> </w:t>
      </w:r>
      <w:r>
        <w:t>activo</w:t>
      </w:r>
      <w:r>
        <w:rPr>
          <w:spacing w:val="16"/>
        </w:rPr>
        <w:t xml:space="preserve"> </w:t>
      </w:r>
      <w:r>
        <w:t>para</w:t>
      </w:r>
      <w:r>
        <w:rPr>
          <w:spacing w:val="16"/>
        </w:rPr>
        <w:t xml:space="preserve"> </w:t>
      </w:r>
      <w:r>
        <w:t>eliminar</w:t>
      </w:r>
      <w:r>
        <w:rPr>
          <w:spacing w:val="16"/>
        </w:rPr>
        <w:t xml:space="preserve"> </w:t>
      </w:r>
      <w:r>
        <w:t>la</w:t>
      </w:r>
      <w:r>
        <w:rPr>
          <w:spacing w:val="16"/>
        </w:rPr>
        <w:t xml:space="preserve"> </w:t>
      </w:r>
      <w:r>
        <w:t>discriminación</w:t>
      </w:r>
      <w:r>
        <w:rPr>
          <w:spacing w:val="17"/>
        </w:rPr>
        <w:t xml:space="preserve"> </w:t>
      </w:r>
      <w:r>
        <w:t>sistémica”,</w:t>
      </w:r>
      <w:r>
        <w:rPr>
          <w:spacing w:val="17"/>
        </w:rPr>
        <w:t xml:space="preserve"> </w:t>
      </w:r>
      <w:r>
        <w:t>lo</w:t>
      </w:r>
      <w:r>
        <w:rPr>
          <w:spacing w:val="16"/>
        </w:rPr>
        <w:t xml:space="preserve"> </w:t>
      </w:r>
      <w:r>
        <w:t>que</w:t>
      </w:r>
      <w:r>
        <w:rPr>
          <w:spacing w:val="16"/>
        </w:rPr>
        <w:t xml:space="preserve"> </w:t>
      </w:r>
      <w:r>
        <w:t>“normalmente</w:t>
      </w:r>
      <w:r>
        <w:rPr>
          <w:spacing w:val="16"/>
        </w:rPr>
        <w:t xml:space="preserve"> </w:t>
      </w:r>
      <w:r>
        <w:t>requerirá</w:t>
      </w:r>
      <w:r>
        <w:rPr>
          <w:spacing w:val="17"/>
        </w:rPr>
        <w:t xml:space="preserve"> </w:t>
      </w:r>
      <w:r>
        <w:t>un</w:t>
      </w:r>
      <w:r>
        <w:rPr>
          <w:spacing w:val="16"/>
        </w:rPr>
        <w:t xml:space="preserve"> </w:t>
      </w:r>
      <w:r>
        <w:t>enfoque</w:t>
      </w:r>
      <w:r>
        <w:rPr>
          <w:spacing w:val="16"/>
        </w:rPr>
        <w:t xml:space="preserve"> </w:t>
      </w:r>
      <w:r>
        <w:t>integral</w:t>
      </w:r>
      <w:r>
        <w:rPr>
          <w:spacing w:val="16"/>
        </w:rPr>
        <w:t xml:space="preserve"> </w:t>
      </w:r>
      <w:r>
        <w:t>con una variedad de leyes, políticas y programas”.1231 En sus observaciones finales, tanto el Comité de Derechos Económicos, Sociales y Culturales como el Comité de Derechos Humanos han pedido a los Estados que adopten medidas para desafiar los prejuicios y los estereotipos discriminatorios que afectan a una amplia gama de grupos protegidos.1232</w:t>
      </w:r>
    </w:p>
    <w:p w14:paraId="5BA8F074" w14:textId="77777777" w:rsidR="0014798C" w:rsidRDefault="0014798C">
      <w:pPr>
        <w:pStyle w:val="Textoindependiente"/>
      </w:pPr>
    </w:p>
    <w:p w14:paraId="7B1D75F1" w14:textId="77777777" w:rsidR="0014798C" w:rsidRDefault="0014798C">
      <w:pPr>
        <w:pStyle w:val="Textoindependiente"/>
        <w:spacing w:before="48"/>
      </w:pPr>
    </w:p>
    <w:p w14:paraId="34429CA8" w14:textId="77777777" w:rsidR="0014798C" w:rsidRDefault="004E1F0B">
      <w:pPr>
        <w:pStyle w:val="Textoindependiente"/>
        <w:spacing w:line="326" w:lineRule="auto"/>
        <w:ind w:left="1107" w:right="1272" w:hanging="1"/>
      </w:pPr>
      <w:r>
        <w:t>Estas obligaciones de larga data de abordar las causas subyacentes de la discriminación han recibido una atención renovada a medida que el sistema internacional de derechos humanos ha prestado mayor atención al problema del estigma como motor de violaciones de derechos humanos. Por ejemplo, en el informe inaugural de 2018 del Experto Independiente sobre la protección contra la violencia y la discriminación por motivos de orientación sexual e identidad de género, el titular del mandato señaló que:</w:t>
      </w:r>
    </w:p>
    <w:p w14:paraId="7A80A77A" w14:textId="77777777" w:rsidR="0014798C" w:rsidRDefault="0014798C">
      <w:pPr>
        <w:pStyle w:val="Textoindependiente"/>
        <w:spacing w:before="177"/>
      </w:pPr>
    </w:p>
    <w:p w14:paraId="34A5FA58" w14:textId="77777777" w:rsidR="0014798C" w:rsidRDefault="004E1F0B">
      <w:pPr>
        <w:pStyle w:val="Textoindependiente"/>
        <w:spacing w:line="326" w:lineRule="auto"/>
        <w:ind w:left="1670" w:right="1626" w:firstLine="2"/>
      </w:pPr>
      <w:r>
        <w:rPr>
          <w:color w:val="FBB315"/>
        </w:rPr>
        <w:t>En</w:t>
      </w:r>
      <w:r>
        <w:rPr>
          <w:color w:val="FBB315"/>
          <w:spacing w:val="14"/>
        </w:rPr>
        <w:t xml:space="preserve"> </w:t>
      </w:r>
      <w:r>
        <w:rPr>
          <w:color w:val="FBB315"/>
        </w:rPr>
        <w:t>la</w:t>
      </w:r>
      <w:r>
        <w:rPr>
          <w:color w:val="FBB315"/>
          <w:spacing w:val="14"/>
        </w:rPr>
        <w:t xml:space="preserve"> </w:t>
      </w:r>
      <w:r>
        <w:rPr>
          <w:color w:val="FBB315"/>
        </w:rPr>
        <w:t>raíz</w:t>
      </w:r>
      <w:r>
        <w:rPr>
          <w:color w:val="FBB315"/>
          <w:spacing w:val="14"/>
        </w:rPr>
        <w:t xml:space="preserve"> </w:t>
      </w:r>
      <w:r>
        <w:rPr>
          <w:color w:val="FBB315"/>
        </w:rPr>
        <w:t>de</w:t>
      </w:r>
      <w:r>
        <w:rPr>
          <w:color w:val="FBB315"/>
          <w:spacing w:val="14"/>
        </w:rPr>
        <w:t xml:space="preserve"> </w:t>
      </w:r>
      <w:r>
        <w:rPr>
          <w:color w:val="FBB315"/>
        </w:rPr>
        <w:t>los</w:t>
      </w:r>
      <w:r>
        <w:rPr>
          <w:color w:val="FBB315"/>
          <w:spacing w:val="14"/>
        </w:rPr>
        <w:t xml:space="preserve"> </w:t>
      </w:r>
      <w:r>
        <w:rPr>
          <w:color w:val="FBB315"/>
        </w:rPr>
        <w:t>actos</w:t>
      </w:r>
      <w:r>
        <w:rPr>
          <w:color w:val="FBB315"/>
          <w:spacing w:val="14"/>
        </w:rPr>
        <w:t xml:space="preserve"> </w:t>
      </w:r>
      <w:r>
        <w:rPr>
          <w:color w:val="FBB315"/>
        </w:rPr>
        <w:t>de</w:t>
      </w:r>
      <w:r>
        <w:rPr>
          <w:color w:val="FBB315"/>
          <w:spacing w:val="14"/>
        </w:rPr>
        <w:t xml:space="preserve"> </w:t>
      </w:r>
      <w:r>
        <w:rPr>
          <w:color w:val="FBB315"/>
        </w:rPr>
        <w:t>violencia</w:t>
      </w:r>
      <w:r>
        <w:rPr>
          <w:color w:val="FBB315"/>
          <w:spacing w:val="14"/>
        </w:rPr>
        <w:t xml:space="preserve"> </w:t>
      </w:r>
      <w:r>
        <w:rPr>
          <w:color w:val="FBB315"/>
        </w:rPr>
        <w:t>y</w:t>
      </w:r>
      <w:r>
        <w:rPr>
          <w:color w:val="FBB315"/>
          <w:spacing w:val="14"/>
        </w:rPr>
        <w:t xml:space="preserve"> </w:t>
      </w:r>
      <w:r>
        <w:rPr>
          <w:color w:val="FBB315"/>
        </w:rPr>
        <w:t>discriminación</w:t>
      </w:r>
      <w:r>
        <w:rPr>
          <w:color w:val="FBB315"/>
          <w:spacing w:val="15"/>
        </w:rPr>
        <w:t xml:space="preserve"> </w:t>
      </w:r>
      <w:r>
        <w:rPr>
          <w:color w:val="FBB315"/>
        </w:rPr>
        <w:t>que</w:t>
      </w:r>
      <w:r>
        <w:rPr>
          <w:color w:val="FBB315"/>
          <w:spacing w:val="14"/>
        </w:rPr>
        <w:t xml:space="preserve"> </w:t>
      </w:r>
      <w:r>
        <w:rPr>
          <w:color w:val="FBB315"/>
        </w:rPr>
        <w:t>se</w:t>
      </w:r>
      <w:r>
        <w:rPr>
          <w:color w:val="FBB315"/>
          <w:spacing w:val="14"/>
        </w:rPr>
        <w:t xml:space="preserve"> </w:t>
      </w:r>
      <w:r>
        <w:rPr>
          <w:color w:val="FBB315"/>
        </w:rPr>
        <w:t>examinan</w:t>
      </w:r>
      <w:r>
        <w:rPr>
          <w:color w:val="FBB315"/>
          <w:spacing w:val="14"/>
        </w:rPr>
        <w:t xml:space="preserve"> </w:t>
      </w:r>
      <w:r>
        <w:rPr>
          <w:color w:val="FBB315"/>
        </w:rPr>
        <w:t>se</w:t>
      </w:r>
      <w:r>
        <w:rPr>
          <w:color w:val="FBB315"/>
          <w:spacing w:val="14"/>
        </w:rPr>
        <w:t xml:space="preserve"> </w:t>
      </w:r>
      <w:r>
        <w:rPr>
          <w:color w:val="FBB315"/>
        </w:rPr>
        <w:t>encuentra</w:t>
      </w:r>
      <w:r>
        <w:rPr>
          <w:color w:val="FBB315"/>
          <w:spacing w:val="14"/>
        </w:rPr>
        <w:t xml:space="preserve"> </w:t>
      </w:r>
      <w:r>
        <w:rPr>
          <w:color w:val="FBB315"/>
        </w:rPr>
        <w:t>la</w:t>
      </w:r>
      <w:r>
        <w:rPr>
          <w:color w:val="FBB315"/>
          <w:spacing w:val="14"/>
        </w:rPr>
        <w:t xml:space="preserve"> </w:t>
      </w:r>
      <w:r>
        <w:rPr>
          <w:color w:val="FBB315"/>
        </w:rPr>
        <w:t>intención</w:t>
      </w:r>
      <w:r>
        <w:rPr>
          <w:color w:val="FBB315"/>
          <w:spacing w:val="14"/>
        </w:rPr>
        <w:t xml:space="preserve"> </w:t>
      </w:r>
      <w:r>
        <w:rPr>
          <w:color w:val="FBB315"/>
        </w:rPr>
        <w:t>de</w:t>
      </w:r>
      <w:r>
        <w:rPr>
          <w:color w:val="FBB315"/>
          <w:spacing w:val="14"/>
        </w:rPr>
        <w:t xml:space="preserve"> </w:t>
      </w:r>
      <w:r>
        <w:rPr>
          <w:color w:val="FBB315"/>
        </w:rPr>
        <w:t>castigar basándose en nociones preconcebidas de cuál debería ser la orientación sexual o identidad de género de la víctima, con</w:t>
      </w:r>
      <w:r>
        <w:rPr>
          <w:color w:val="FBB315"/>
          <w:spacing w:val="12"/>
        </w:rPr>
        <w:t xml:space="preserve"> </w:t>
      </w:r>
      <w:r>
        <w:rPr>
          <w:color w:val="FBB315"/>
        </w:rPr>
        <w:t>una</w:t>
      </w:r>
      <w:r>
        <w:rPr>
          <w:color w:val="FBB315"/>
          <w:spacing w:val="12"/>
        </w:rPr>
        <w:t xml:space="preserve"> </w:t>
      </w:r>
      <w:r>
        <w:rPr>
          <w:color w:val="FBB315"/>
        </w:rPr>
        <w:t>comprensión</w:t>
      </w:r>
      <w:r>
        <w:rPr>
          <w:color w:val="FBB315"/>
          <w:spacing w:val="14"/>
        </w:rPr>
        <w:t xml:space="preserve"> </w:t>
      </w:r>
      <w:r>
        <w:rPr>
          <w:color w:val="FBB315"/>
        </w:rPr>
        <w:t>binaria</w:t>
      </w:r>
      <w:r>
        <w:rPr>
          <w:color w:val="FBB315"/>
          <w:spacing w:val="12"/>
        </w:rPr>
        <w:t xml:space="preserve"> </w:t>
      </w:r>
      <w:r>
        <w:rPr>
          <w:color w:val="FBB315"/>
        </w:rPr>
        <w:t>de</w:t>
      </w:r>
      <w:r>
        <w:rPr>
          <w:color w:val="FBB315"/>
          <w:spacing w:val="12"/>
        </w:rPr>
        <w:t xml:space="preserve"> </w:t>
      </w:r>
      <w:r>
        <w:rPr>
          <w:color w:val="FBB315"/>
        </w:rPr>
        <w:t>lo</w:t>
      </w:r>
      <w:r>
        <w:rPr>
          <w:color w:val="FBB315"/>
          <w:spacing w:val="12"/>
        </w:rPr>
        <w:t xml:space="preserve"> </w:t>
      </w:r>
      <w:r>
        <w:rPr>
          <w:color w:val="FBB315"/>
        </w:rPr>
        <w:t>que</w:t>
      </w:r>
      <w:r>
        <w:rPr>
          <w:color w:val="FBB315"/>
          <w:spacing w:val="12"/>
        </w:rPr>
        <w:t xml:space="preserve"> </w:t>
      </w:r>
      <w:r>
        <w:rPr>
          <w:color w:val="FBB315"/>
        </w:rPr>
        <w:t>constituye</w:t>
      </w:r>
      <w:r>
        <w:rPr>
          <w:color w:val="FBB315"/>
          <w:spacing w:val="12"/>
        </w:rPr>
        <w:t xml:space="preserve"> </w:t>
      </w:r>
      <w:r>
        <w:rPr>
          <w:color w:val="FBB315"/>
        </w:rPr>
        <w:t>un</w:t>
      </w:r>
      <w:r>
        <w:rPr>
          <w:color w:val="FBB315"/>
          <w:spacing w:val="12"/>
        </w:rPr>
        <w:t xml:space="preserve"> </w:t>
      </w:r>
      <w:r>
        <w:rPr>
          <w:color w:val="FBB315"/>
        </w:rPr>
        <w:t>hombre</w:t>
      </w:r>
      <w:r>
        <w:rPr>
          <w:color w:val="FBB315"/>
          <w:spacing w:val="12"/>
        </w:rPr>
        <w:t xml:space="preserve"> </w:t>
      </w:r>
      <w:r>
        <w:rPr>
          <w:color w:val="FBB315"/>
        </w:rPr>
        <w:t>y</w:t>
      </w:r>
      <w:r>
        <w:rPr>
          <w:color w:val="FBB315"/>
          <w:spacing w:val="12"/>
        </w:rPr>
        <w:t xml:space="preserve"> </w:t>
      </w:r>
      <w:r>
        <w:rPr>
          <w:color w:val="FBB315"/>
        </w:rPr>
        <w:t>una</w:t>
      </w:r>
      <w:r>
        <w:rPr>
          <w:color w:val="FBB315"/>
          <w:spacing w:val="12"/>
        </w:rPr>
        <w:t xml:space="preserve"> </w:t>
      </w:r>
      <w:r>
        <w:rPr>
          <w:color w:val="FBB315"/>
        </w:rPr>
        <w:t>mujer...</w:t>
      </w:r>
      <w:r>
        <w:rPr>
          <w:color w:val="FBB315"/>
          <w:spacing w:val="14"/>
        </w:rPr>
        <w:t xml:space="preserve"> </w:t>
      </w:r>
      <w:r>
        <w:rPr>
          <w:color w:val="FBB315"/>
        </w:rPr>
        <w:t>o</w:t>
      </w:r>
      <w:r>
        <w:rPr>
          <w:color w:val="FBB315"/>
          <w:spacing w:val="12"/>
        </w:rPr>
        <w:t xml:space="preserve"> </w:t>
      </w:r>
      <w:r>
        <w:rPr>
          <w:color w:val="FBB315"/>
        </w:rPr>
        <w:t>lo</w:t>
      </w:r>
      <w:r>
        <w:rPr>
          <w:color w:val="FBB315"/>
          <w:spacing w:val="12"/>
        </w:rPr>
        <w:t xml:space="preserve"> </w:t>
      </w:r>
      <w:r>
        <w:rPr>
          <w:color w:val="FBB315"/>
        </w:rPr>
        <w:t>masculino</w:t>
      </w:r>
      <w:r>
        <w:rPr>
          <w:color w:val="FBB315"/>
          <w:spacing w:val="14"/>
        </w:rPr>
        <w:t xml:space="preserve"> </w:t>
      </w:r>
      <w:r>
        <w:rPr>
          <w:color w:val="FBB315"/>
        </w:rPr>
        <w:t>y</w:t>
      </w:r>
      <w:r>
        <w:rPr>
          <w:color w:val="FBB315"/>
          <w:spacing w:val="12"/>
        </w:rPr>
        <w:t xml:space="preserve"> </w:t>
      </w:r>
      <w:r>
        <w:rPr>
          <w:color w:val="FBB315"/>
        </w:rPr>
        <w:t>lo</w:t>
      </w:r>
      <w:r>
        <w:rPr>
          <w:color w:val="FBB315"/>
          <w:spacing w:val="12"/>
        </w:rPr>
        <w:t xml:space="preserve"> </w:t>
      </w:r>
      <w:r>
        <w:rPr>
          <w:color w:val="FBB315"/>
        </w:rPr>
        <w:t>femenino.</w:t>
      </w:r>
      <w:r>
        <w:rPr>
          <w:color w:val="FBB315"/>
          <w:spacing w:val="14"/>
        </w:rPr>
        <w:t xml:space="preserve"> </w:t>
      </w:r>
      <w:r>
        <w:rPr>
          <w:color w:val="FBB315"/>
        </w:rPr>
        <w:t>lo femenino, o con estereotipos de sexualidad de género... y una forma de violencia de género, impulsada por la</w:t>
      </w:r>
      <w:r>
        <w:rPr>
          <w:color w:val="FBB315"/>
          <w:spacing w:val="40"/>
        </w:rPr>
        <w:t xml:space="preserve"> </w:t>
      </w:r>
      <w:r>
        <w:rPr>
          <w:color w:val="FBB315"/>
        </w:rPr>
        <w:t>intención de castigar a quienes se considera que desafían las normas de género... Los actos relacionados son invariablemente la manifestación de un estigma y un prejuicio profundamente arraigados, de un odio irracional... El</w:t>
      </w:r>
    </w:p>
    <w:p w14:paraId="5E81C1BB" w14:textId="77777777" w:rsidR="0014798C" w:rsidRDefault="004E1F0B">
      <w:pPr>
        <w:pStyle w:val="Textoindependiente"/>
        <w:spacing w:line="271" w:lineRule="auto"/>
        <w:ind w:left="1670" w:right="1272" w:firstLine="4"/>
      </w:pPr>
      <w:r>
        <w:rPr>
          <w:color w:val="FBB315"/>
        </w:rPr>
        <w:t>estigma está asociado a una identidad etiquetada como anormal y basada en un proceso de alienación socialmente construido entre “nosotros” y “ellos”.1233</w:t>
      </w:r>
    </w:p>
    <w:p w14:paraId="32F212E1" w14:textId="77777777" w:rsidR="0014798C" w:rsidRDefault="0014798C">
      <w:pPr>
        <w:pStyle w:val="Textoindependiente"/>
        <w:spacing w:before="10"/>
      </w:pPr>
    </w:p>
    <w:p w14:paraId="0BCB0374" w14:textId="77777777" w:rsidR="0014798C" w:rsidRDefault="004E1F0B">
      <w:pPr>
        <w:pStyle w:val="Textoindependiente"/>
        <w:spacing w:line="326" w:lineRule="auto"/>
        <w:ind w:left="1107" w:right="1443" w:firstLine="7"/>
      </w:pPr>
      <w:r>
        <w:t>Otros titulares de mandatos de derechos humanos de las Naciones Unidas, desde el Relator Especial sobre la tortura y otros tratos</w:t>
      </w:r>
      <w:r>
        <w:rPr>
          <w:spacing w:val="11"/>
        </w:rPr>
        <w:t xml:space="preserve"> </w:t>
      </w:r>
      <w:r>
        <w:t>o</w:t>
      </w:r>
      <w:r>
        <w:rPr>
          <w:spacing w:val="11"/>
        </w:rPr>
        <w:t xml:space="preserve"> </w:t>
      </w:r>
      <w:r>
        <w:t>penas</w:t>
      </w:r>
      <w:r>
        <w:rPr>
          <w:spacing w:val="11"/>
        </w:rPr>
        <w:t xml:space="preserve"> </w:t>
      </w:r>
      <w:r>
        <w:t>crueles,</w:t>
      </w:r>
      <w:r>
        <w:rPr>
          <w:spacing w:val="12"/>
        </w:rPr>
        <w:t xml:space="preserve"> </w:t>
      </w:r>
      <w:r>
        <w:t>inhumanos</w:t>
      </w:r>
      <w:r>
        <w:rPr>
          <w:spacing w:val="11"/>
        </w:rPr>
        <w:t xml:space="preserve"> </w:t>
      </w:r>
      <w:r>
        <w:t>o</w:t>
      </w:r>
      <w:r>
        <w:rPr>
          <w:spacing w:val="11"/>
        </w:rPr>
        <w:t xml:space="preserve"> </w:t>
      </w:r>
      <w:r>
        <w:t>degradantes1234</w:t>
      </w:r>
      <w:r>
        <w:rPr>
          <w:spacing w:val="11"/>
        </w:rPr>
        <w:t xml:space="preserve"> </w:t>
      </w:r>
      <w:r>
        <w:t>hasta</w:t>
      </w:r>
      <w:r>
        <w:rPr>
          <w:spacing w:val="11"/>
        </w:rPr>
        <w:t xml:space="preserve"> </w:t>
      </w:r>
      <w:r>
        <w:t>el</w:t>
      </w:r>
      <w:r>
        <w:rPr>
          <w:spacing w:val="11"/>
        </w:rPr>
        <w:t xml:space="preserve"> </w:t>
      </w:r>
      <w:r>
        <w:t>Relator</w:t>
      </w:r>
      <w:r>
        <w:rPr>
          <w:spacing w:val="11"/>
        </w:rPr>
        <w:t xml:space="preserve"> </w:t>
      </w:r>
      <w:r>
        <w:t>Especial</w:t>
      </w:r>
      <w:r>
        <w:rPr>
          <w:spacing w:val="11"/>
        </w:rPr>
        <w:t xml:space="preserve"> </w:t>
      </w:r>
      <w:r>
        <w:t>sobre</w:t>
      </w:r>
      <w:r>
        <w:rPr>
          <w:spacing w:val="11"/>
        </w:rPr>
        <w:t xml:space="preserve"> </w:t>
      </w:r>
      <w:r>
        <w:t>los</w:t>
      </w:r>
      <w:r>
        <w:rPr>
          <w:spacing w:val="11"/>
        </w:rPr>
        <w:t xml:space="preserve"> </w:t>
      </w:r>
      <w:r>
        <w:t>derechos</w:t>
      </w:r>
      <w:r>
        <w:rPr>
          <w:spacing w:val="11"/>
        </w:rPr>
        <w:t xml:space="preserve"> </w:t>
      </w:r>
      <w:r>
        <w:t>humanos</w:t>
      </w:r>
      <w:r>
        <w:rPr>
          <w:spacing w:val="11"/>
        </w:rPr>
        <w:t xml:space="preserve"> </w:t>
      </w:r>
      <w:r>
        <w:t>al</w:t>
      </w:r>
      <w:r>
        <w:rPr>
          <w:spacing w:val="11"/>
        </w:rPr>
        <w:t xml:space="preserve"> </w:t>
      </w:r>
      <w:r>
        <w:t>agua</w:t>
      </w:r>
      <w:r>
        <w:rPr>
          <w:spacing w:val="11"/>
        </w:rPr>
        <w:t xml:space="preserve"> </w:t>
      </w:r>
      <w:r>
        <w:t>potable y al saneamiento1235, han señalado el papel que desempeña el estigma a la hora de impulsar violación discriminatoria de los derechos humanos. El Tribunal de Justicia de la Unión Europea1236, por ejemplo, también ha planteado a nivel regional su preocupación por el estigma como factor de discriminación.</w:t>
      </w:r>
    </w:p>
    <w:p w14:paraId="06503816" w14:textId="77777777" w:rsidR="0014798C" w:rsidRDefault="004E1F0B">
      <w:pPr>
        <w:spacing w:before="138" w:line="307" w:lineRule="auto"/>
        <w:ind w:left="1107" w:right="1166" w:firstLine="7"/>
        <w:rPr>
          <w:sz w:val="17"/>
        </w:rPr>
      </w:pPr>
      <w:r>
        <w:rPr>
          <w:sz w:val="17"/>
        </w:rPr>
        <w:t>Con el tiempo, a medida que ha aumentado la comprensión de la variedad de fuerzas sociales negativas que impulsan la discriminación, el sistema de derechos humanos de las Naciones Unidas ha identificado y llamado la atención sobre una gama cada vez mayor de formas de prejuicio y estigma y las medidas necesarias para combatirlas. Por ejemplo, se han celebrado</w:t>
      </w:r>
      <w:r>
        <w:rPr>
          <w:spacing w:val="-8"/>
          <w:sz w:val="17"/>
        </w:rPr>
        <w:t xml:space="preserve"> </w:t>
      </w:r>
      <w:r>
        <w:rPr>
          <w:sz w:val="17"/>
        </w:rPr>
        <w:t>nada</w:t>
      </w:r>
      <w:r>
        <w:rPr>
          <w:spacing w:val="-8"/>
          <w:sz w:val="17"/>
        </w:rPr>
        <w:t xml:space="preserve"> </w:t>
      </w:r>
      <w:r>
        <w:rPr>
          <w:sz w:val="17"/>
        </w:rPr>
        <w:t>menos</w:t>
      </w:r>
      <w:r>
        <w:rPr>
          <w:spacing w:val="-8"/>
          <w:sz w:val="17"/>
        </w:rPr>
        <w:t xml:space="preserve"> </w:t>
      </w:r>
      <w:r>
        <w:rPr>
          <w:sz w:val="17"/>
        </w:rPr>
        <w:t>que</w:t>
      </w:r>
      <w:r>
        <w:rPr>
          <w:spacing w:val="-8"/>
          <w:sz w:val="17"/>
        </w:rPr>
        <w:t xml:space="preserve"> </w:t>
      </w:r>
      <w:r>
        <w:rPr>
          <w:sz w:val="17"/>
        </w:rPr>
        <w:t>tres</w:t>
      </w:r>
      <w:r>
        <w:rPr>
          <w:spacing w:val="-8"/>
          <w:sz w:val="17"/>
        </w:rPr>
        <w:t xml:space="preserve"> </w:t>
      </w:r>
      <w:r>
        <w:rPr>
          <w:sz w:val="17"/>
        </w:rPr>
        <w:t>conferencias</w:t>
      </w:r>
      <w:r>
        <w:rPr>
          <w:spacing w:val="-8"/>
          <w:sz w:val="17"/>
        </w:rPr>
        <w:t xml:space="preserve"> </w:t>
      </w:r>
      <w:r>
        <w:rPr>
          <w:sz w:val="17"/>
        </w:rPr>
        <w:t>mundiales</w:t>
      </w:r>
      <w:r>
        <w:rPr>
          <w:spacing w:val="-8"/>
          <w:sz w:val="17"/>
        </w:rPr>
        <w:t xml:space="preserve"> </w:t>
      </w:r>
      <w:r>
        <w:rPr>
          <w:sz w:val="17"/>
        </w:rPr>
        <w:t>contra</w:t>
      </w:r>
      <w:r>
        <w:rPr>
          <w:spacing w:val="-8"/>
          <w:sz w:val="17"/>
        </w:rPr>
        <w:t xml:space="preserve"> </w:t>
      </w:r>
      <w:r>
        <w:rPr>
          <w:sz w:val="17"/>
        </w:rPr>
        <w:t>el</w:t>
      </w:r>
      <w:r>
        <w:rPr>
          <w:spacing w:val="-8"/>
          <w:sz w:val="17"/>
        </w:rPr>
        <w:t xml:space="preserve"> </w:t>
      </w:r>
      <w:r>
        <w:rPr>
          <w:sz w:val="17"/>
        </w:rPr>
        <w:t>racismo.</w:t>
      </w:r>
      <w:r>
        <w:rPr>
          <w:spacing w:val="-7"/>
          <w:sz w:val="17"/>
        </w:rPr>
        <w:t xml:space="preserve"> </w:t>
      </w:r>
      <w:r>
        <w:rPr>
          <w:sz w:val="17"/>
        </w:rPr>
        <w:t>El</w:t>
      </w:r>
      <w:r>
        <w:rPr>
          <w:spacing w:val="-8"/>
          <w:sz w:val="17"/>
        </w:rPr>
        <w:t xml:space="preserve"> </w:t>
      </w:r>
      <w:r>
        <w:rPr>
          <w:sz w:val="17"/>
        </w:rPr>
        <w:t>estigma</w:t>
      </w:r>
      <w:r>
        <w:rPr>
          <w:spacing w:val="-8"/>
          <w:sz w:val="17"/>
        </w:rPr>
        <w:t xml:space="preserve"> </w:t>
      </w:r>
      <w:r>
        <w:rPr>
          <w:sz w:val="17"/>
        </w:rPr>
        <w:t>y</w:t>
      </w:r>
      <w:r>
        <w:rPr>
          <w:spacing w:val="-8"/>
          <w:sz w:val="17"/>
        </w:rPr>
        <w:t xml:space="preserve"> </w:t>
      </w:r>
      <w:r>
        <w:rPr>
          <w:sz w:val="17"/>
        </w:rPr>
        <w:t>los</w:t>
      </w:r>
      <w:r>
        <w:rPr>
          <w:spacing w:val="-8"/>
          <w:sz w:val="17"/>
        </w:rPr>
        <w:t xml:space="preserve"> </w:t>
      </w:r>
      <w:r>
        <w:rPr>
          <w:sz w:val="17"/>
        </w:rPr>
        <w:t>prejuicios</w:t>
      </w:r>
      <w:r>
        <w:rPr>
          <w:spacing w:val="-8"/>
          <w:sz w:val="17"/>
        </w:rPr>
        <w:t xml:space="preserve"> </w:t>
      </w:r>
      <w:r>
        <w:rPr>
          <w:sz w:val="17"/>
        </w:rPr>
        <w:t>dirigidos</w:t>
      </w:r>
      <w:r>
        <w:rPr>
          <w:spacing w:val="-8"/>
          <w:sz w:val="17"/>
        </w:rPr>
        <w:t xml:space="preserve"> </w:t>
      </w:r>
      <w:r>
        <w:rPr>
          <w:sz w:val="17"/>
        </w:rPr>
        <w:t>a</w:t>
      </w:r>
      <w:r>
        <w:rPr>
          <w:spacing w:val="-8"/>
          <w:sz w:val="17"/>
        </w:rPr>
        <w:t xml:space="preserve"> </w:t>
      </w:r>
      <w:r>
        <w:rPr>
          <w:sz w:val="17"/>
        </w:rPr>
        <w:t>comunidades minoritarias</w:t>
      </w:r>
      <w:r>
        <w:rPr>
          <w:spacing w:val="-1"/>
          <w:sz w:val="17"/>
        </w:rPr>
        <w:t xml:space="preserve"> </w:t>
      </w:r>
      <w:r>
        <w:rPr>
          <w:sz w:val="17"/>
        </w:rPr>
        <w:t>específicas, como</w:t>
      </w:r>
      <w:r>
        <w:rPr>
          <w:spacing w:val="-1"/>
          <w:sz w:val="17"/>
        </w:rPr>
        <w:t xml:space="preserve"> </w:t>
      </w:r>
      <w:r>
        <w:rPr>
          <w:sz w:val="17"/>
        </w:rPr>
        <w:t>el</w:t>
      </w:r>
      <w:r>
        <w:rPr>
          <w:spacing w:val="-1"/>
          <w:sz w:val="17"/>
        </w:rPr>
        <w:t xml:space="preserve"> </w:t>
      </w:r>
      <w:r>
        <w:rPr>
          <w:sz w:val="17"/>
        </w:rPr>
        <w:t>antisemitismo,1237</w:t>
      </w:r>
      <w:r>
        <w:rPr>
          <w:spacing w:val="-1"/>
          <w:sz w:val="17"/>
        </w:rPr>
        <w:t xml:space="preserve"> </w:t>
      </w:r>
      <w:r>
        <w:rPr>
          <w:sz w:val="17"/>
        </w:rPr>
        <w:t>la</w:t>
      </w:r>
      <w:r>
        <w:rPr>
          <w:spacing w:val="-1"/>
          <w:sz w:val="17"/>
        </w:rPr>
        <w:t xml:space="preserve"> </w:t>
      </w:r>
      <w:r>
        <w:rPr>
          <w:sz w:val="17"/>
        </w:rPr>
        <w:t>islamofobia</w:t>
      </w:r>
      <w:r>
        <w:rPr>
          <w:spacing w:val="-1"/>
          <w:sz w:val="17"/>
        </w:rPr>
        <w:t xml:space="preserve"> </w:t>
      </w:r>
      <w:r>
        <w:rPr>
          <w:sz w:val="17"/>
        </w:rPr>
        <w:t>o</w:t>
      </w:r>
      <w:r>
        <w:rPr>
          <w:spacing w:val="-1"/>
          <w:sz w:val="17"/>
        </w:rPr>
        <w:t xml:space="preserve"> </w:t>
      </w:r>
      <w:r>
        <w:rPr>
          <w:sz w:val="17"/>
        </w:rPr>
        <w:t>el</w:t>
      </w:r>
      <w:r>
        <w:rPr>
          <w:spacing w:val="-1"/>
          <w:sz w:val="17"/>
        </w:rPr>
        <w:t xml:space="preserve"> </w:t>
      </w:r>
      <w:r>
        <w:rPr>
          <w:sz w:val="17"/>
        </w:rPr>
        <w:t>odio</w:t>
      </w:r>
      <w:r>
        <w:rPr>
          <w:spacing w:val="-1"/>
          <w:sz w:val="17"/>
        </w:rPr>
        <w:t xml:space="preserve"> </w:t>
      </w:r>
      <w:r>
        <w:rPr>
          <w:sz w:val="17"/>
        </w:rPr>
        <w:t>antimusulmán,1238</w:t>
      </w:r>
      <w:r>
        <w:rPr>
          <w:spacing w:val="-1"/>
          <w:sz w:val="17"/>
        </w:rPr>
        <w:t xml:space="preserve"> </w:t>
      </w:r>
      <w:r>
        <w:rPr>
          <w:sz w:val="17"/>
        </w:rPr>
        <w:t>y</w:t>
      </w:r>
      <w:r>
        <w:rPr>
          <w:spacing w:val="-1"/>
          <w:sz w:val="17"/>
        </w:rPr>
        <w:t xml:space="preserve"> </w:t>
      </w:r>
      <w:r>
        <w:rPr>
          <w:sz w:val="17"/>
        </w:rPr>
        <w:t>el</w:t>
      </w:r>
      <w:r>
        <w:rPr>
          <w:spacing w:val="-1"/>
          <w:sz w:val="17"/>
        </w:rPr>
        <w:t xml:space="preserve"> </w:t>
      </w:r>
      <w:r>
        <w:rPr>
          <w:sz w:val="17"/>
        </w:rPr>
        <w:t>antigitanismo,1239</w:t>
      </w:r>
    </w:p>
    <w:p w14:paraId="4E844748" w14:textId="77777777" w:rsidR="0014798C" w:rsidRDefault="004E1F0B">
      <w:pPr>
        <w:spacing w:line="193" w:lineRule="exact"/>
        <w:ind w:left="1111"/>
        <w:rPr>
          <w:sz w:val="17"/>
        </w:rPr>
      </w:pPr>
      <w:r>
        <w:rPr>
          <w:sz w:val="17"/>
        </w:rPr>
        <w:t>han</w:t>
      </w:r>
      <w:r>
        <w:rPr>
          <w:spacing w:val="-10"/>
          <w:sz w:val="17"/>
        </w:rPr>
        <w:t xml:space="preserve"> </w:t>
      </w:r>
      <w:r>
        <w:rPr>
          <w:sz w:val="17"/>
        </w:rPr>
        <w:t>sido</w:t>
      </w:r>
      <w:r>
        <w:rPr>
          <w:spacing w:val="-10"/>
          <w:sz w:val="17"/>
        </w:rPr>
        <w:t xml:space="preserve"> </w:t>
      </w:r>
      <w:r>
        <w:rPr>
          <w:sz w:val="17"/>
        </w:rPr>
        <w:t>objeto</w:t>
      </w:r>
      <w:r>
        <w:rPr>
          <w:spacing w:val="-9"/>
          <w:sz w:val="17"/>
        </w:rPr>
        <w:t xml:space="preserve"> </w:t>
      </w:r>
      <w:r>
        <w:rPr>
          <w:sz w:val="17"/>
        </w:rPr>
        <w:t>de</w:t>
      </w:r>
      <w:r>
        <w:rPr>
          <w:spacing w:val="-10"/>
          <w:sz w:val="17"/>
        </w:rPr>
        <w:t xml:space="preserve"> </w:t>
      </w:r>
      <w:r>
        <w:rPr>
          <w:sz w:val="17"/>
        </w:rPr>
        <w:t>especial</w:t>
      </w:r>
      <w:r>
        <w:rPr>
          <w:spacing w:val="-9"/>
          <w:sz w:val="17"/>
        </w:rPr>
        <w:t xml:space="preserve"> </w:t>
      </w:r>
      <w:r>
        <w:rPr>
          <w:sz w:val="17"/>
        </w:rPr>
        <w:t>atención</w:t>
      </w:r>
      <w:r>
        <w:rPr>
          <w:spacing w:val="-10"/>
          <w:sz w:val="17"/>
        </w:rPr>
        <w:t xml:space="preserve"> </w:t>
      </w:r>
      <w:r>
        <w:rPr>
          <w:sz w:val="17"/>
        </w:rPr>
        <w:t>por</w:t>
      </w:r>
      <w:r>
        <w:rPr>
          <w:spacing w:val="-9"/>
          <w:sz w:val="17"/>
        </w:rPr>
        <w:t xml:space="preserve"> </w:t>
      </w:r>
      <w:r>
        <w:rPr>
          <w:sz w:val="17"/>
        </w:rPr>
        <w:t>parte</w:t>
      </w:r>
      <w:r>
        <w:rPr>
          <w:spacing w:val="-10"/>
          <w:sz w:val="17"/>
        </w:rPr>
        <w:t xml:space="preserve"> </w:t>
      </w:r>
      <w:r>
        <w:rPr>
          <w:sz w:val="17"/>
        </w:rPr>
        <w:t>del</w:t>
      </w:r>
      <w:r>
        <w:rPr>
          <w:spacing w:val="-9"/>
          <w:sz w:val="17"/>
        </w:rPr>
        <w:t xml:space="preserve"> </w:t>
      </w:r>
      <w:r>
        <w:rPr>
          <w:sz w:val="17"/>
        </w:rPr>
        <w:t>Consejo</w:t>
      </w:r>
      <w:r>
        <w:rPr>
          <w:spacing w:val="-10"/>
          <w:sz w:val="17"/>
        </w:rPr>
        <w:t xml:space="preserve"> </w:t>
      </w:r>
      <w:r>
        <w:rPr>
          <w:sz w:val="17"/>
        </w:rPr>
        <w:t>de</w:t>
      </w:r>
      <w:r>
        <w:rPr>
          <w:spacing w:val="-9"/>
          <w:sz w:val="17"/>
        </w:rPr>
        <w:t xml:space="preserve"> </w:t>
      </w:r>
      <w:r>
        <w:rPr>
          <w:sz w:val="17"/>
        </w:rPr>
        <w:t>Derechos</w:t>
      </w:r>
      <w:r>
        <w:rPr>
          <w:spacing w:val="-10"/>
          <w:sz w:val="17"/>
        </w:rPr>
        <w:t xml:space="preserve"> </w:t>
      </w:r>
      <w:r>
        <w:rPr>
          <w:sz w:val="17"/>
        </w:rPr>
        <w:t>Humanos.</w:t>
      </w:r>
      <w:r>
        <w:rPr>
          <w:spacing w:val="-8"/>
          <w:sz w:val="17"/>
        </w:rPr>
        <w:t xml:space="preserve"> </w:t>
      </w:r>
      <w:r>
        <w:rPr>
          <w:sz w:val="17"/>
        </w:rPr>
        <w:t>ONU-Mujeres,</w:t>
      </w:r>
      <w:r>
        <w:rPr>
          <w:spacing w:val="-9"/>
          <w:sz w:val="17"/>
        </w:rPr>
        <w:t xml:space="preserve"> </w:t>
      </w:r>
      <w:r>
        <w:rPr>
          <w:sz w:val="17"/>
        </w:rPr>
        <w:t>la</w:t>
      </w:r>
      <w:r>
        <w:rPr>
          <w:spacing w:val="-10"/>
          <w:sz w:val="17"/>
        </w:rPr>
        <w:t xml:space="preserve"> </w:t>
      </w:r>
      <w:r>
        <w:rPr>
          <w:sz w:val="17"/>
        </w:rPr>
        <w:t>Comisión</w:t>
      </w:r>
      <w:r>
        <w:rPr>
          <w:spacing w:val="-9"/>
          <w:sz w:val="17"/>
        </w:rPr>
        <w:t xml:space="preserve"> </w:t>
      </w:r>
      <w:r>
        <w:rPr>
          <w:sz w:val="17"/>
        </w:rPr>
        <w:t>de</w:t>
      </w:r>
      <w:r>
        <w:rPr>
          <w:spacing w:val="-10"/>
          <w:sz w:val="17"/>
        </w:rPr>
        <w:t xml:space="preserve"> </w:t>
      </w:r>
      <w:r>
        <w:rPr>
          <w:spacing w:val="-5"/>
          <w:sz w:val="17"/>
        </w:rPr>
        <w:t>la</w:t>
      </w:r>
    </w:p>
    <w:p w14:paraId="43AF8433" w14:textId="77777777" w:rsidR="0014798C" w:rsidRDefault="004E1F0B">
      <w:pPr>
        <w:spacing w:before="54"/>
        <w:ind w:left="1111"/>
        <w:rPr>
          <w:sz w:val="17"/>
        </w:rPr>
      </w:pPr>
      <w:r>
        <w:rPr>
          <w:sz w:val="17"/>
        </w:rPr>
        <w:t>Condición</w:t>
      </w:r>
      <w:r>
        <w:rPr>
          <w:spacing w:val="-9"/>
          <w:sz w:val="17"/>
        </w:rPr>
        <w:t xml:space="preserve"> </w:t>
      </w:r>
      <w:r>
        <w:rPr>
          <w:sz w:val="17"/>
        </w:rPr>
        <w:t>Jurídica</w:t>
      </w:r>
      <w:r>
        <w:rPr>
          <w:spacing w:val="-8"/>
          <w:sz w:val="17"/>
        </w:rPr>
        <w:t xml:space="preserve"> </w:t>
      </w:r>
      <w:r>
        <w:rPr>
          <w:sz w:val="17"/>
        </w:rPr>
        <w:t>y</w:t>
      </w:r>
      <w:r>
        <w:rPr>
          <w:spacing w:val="-8"/>
          <w:sz w:val="17"/>
        </w:rPr>
        <w:t xml:space="preserve"> </w:t>
      </w:r>
      <w:r>
        <w:rPr>
          <w:sz w:val="17"/>
        </w:rPr>
        <w:t>Social</w:t>
      </w:r>
      <w:r>
        <w:rPr>
          <w:spacing w:val="-8"/>
          <w:sz w:val="17"/>
        </w:rPr>
        <w:t xml:space="preserve"> </w:t>
      </w:r>
      <w:r>
        <w:rPr>
          <w:sz w:val="17"/>
        </w:rPr>
        <w:t>de</w:t>
      </w:r>
      <w:r>
        <w:rPr>
          <w:spacing w:val="-8"/>
          <w:sz w:val="17"/>
        </w:rPr>
        <w:t xml:space="preserve"> </w:t>
      </w:r>
      <w:r>
        <w:rPr>
          <w:sz w:val="17"/>
        </w:rPr>
        <w:t>la</w:t>
      </w:r>
      <w:r>
        <w:rPr>
          <w:spacing w:val="-8"/>
          <w:sz w:val="17"/>
        </w:rPr>
        <w:t xml:space="preserve"> </w:t>
      </w:r>
      <w:r>
        <w:rPr>
          <w:sz w:val="17"/>
        </w:rPr>
        <w:t>Mujer</w:t>
      </w:r>
      <w:r>
        <w:rPr>
          <w:spacing w:val="-8"/>
          <w:sz w:val="17"/>
        </w:rPr>
        <w:t xml:space="preserve"> </w:t>
      </w:r>
      <w:r>
        <w:rPr>
          <w:sz w:val="17"/>
        </w:rPr>
        <w:t>y</w:t>
      </w:r>
      <w:r>
        <w:rPr>
          <w:spacing w:val="-8"/>
          <w:sz w:val="17"/>
        </w:rPr>
        <w:t xml:space="preserve"> </w:t>
      </w:r>
      <w:r>
        <w:rPr>
          <w:sz w:val="17"/>
        </w:rPr>
        <w:t>el</w:t>
      </w:r>
      <w:r>
        <w:rPr>
          <w:spacing w:val="-8"/>
          <w:sz w:val="17"/>
        </w:rPr>
        <w:t xml:space="preserve"> </w:t>
      </w:r>
      <w:r>
        <w:rPr>
          <w:sz w:val="17"/>
        </w:rPr>
        <w:t>Comité</w:t>
      </w:r>
      <w:r>
        <w:rPr>
          <w:spacing w:val="-8"/>
          <w:sz w:val="17"/>
        </w:rPr>
        <w:t xml:space="preserve"> </w:t>
      </w:r>
      <w:r>
        <w:rPr>
          <w:sz w:val="17"/>
        </w:rPr>
        <w:t>para</w:t>
      </w:r>
      <w:r>
        <w:rPr>
          <w:spacing w:val="-8"/>
          <w:sz w:val="17"/>
        </w:rPr>
        <w:t xml:space="preserve"> </w:t>
      </w:r>
      <w:r>
        <w:rPr>
          <w:sz w:val="17"/>
        </w:rPr>
        <w:t>la</w:t>
      </w:r>
      <w:r>
        <w:rPr>
          <w:spacing w:val="-8"/>
          <w:sz w:val="17"/>
        </w:rPr>
        <w:t xml:space="preserve"> </w:t>
      </w:r>
      <w:r>
        <w:rPr>
          <w:sz w:val="17"/>
        </w:rPr>
        <w:t>Eliminación</w:t>
      </w:r>
      <w:r>
        <w:rPr>
          <w:spacing w:val="-8"/>
          <w:sz w:val="17"/>
        </w:rPr>
        <w:t xml:space="preserve"> </w:t>
      </w:r>
      <w:r>
        <w:rPr>
          <w:sz w:val="17"/>
        </w:rPr>
        <w:t>de</w:t>
      </w:r>
      <w:r>
        <w:rPr>
          <w:spacing w:val="-8"/>
          <w:sz w:val="17"/>
        </w:rPr>
        <w:t xml:space="preserve"> </w:t>
      </w:r>
      <w:r>
        <w:rPr>
          <w:sz w:val="17"/>
        </w:rPr>
        <w:t>la</w:t>
      </w:r>
      <w:r>
        <w:rPr>
          <w:spacing w:val="-8"/>
          <w:sz w:val="17"/>
        </w:rPr>
        <w:t xml:space="preserve"> </w:t>
      </w:r>
      <w:r>
        <w:rPr>
          <w:sz w:val="17"/>
        </w:rPr>
        <w:t>Discriminación</w:t>
      </w:r>
      <w:r>
        <w:rPr>
          <w:spacing w:val="-8"/>
          <w:sz w:val="17"/>
        </w:rPr>
        <w:t xml:space="preserve"> </w:t>
      </w:r>
      <w:r>
        <w:rPr>
          <w:sz w:val="17"/>
        </w:rPr>
        <w:t>contra</w:t>
      </w:r>
      <w:r>
        <w:rPr>
          <w:spacing w:val="-8"/>
          <w:sz w:val="17"/>
        </w:rPr>
        <w:t xml:space="preserve"> </w:t>
      </w:r>
      <w:r>
        <w:rPr>
          <w:sz w:val="17"/>
        </w:rPr>
        <w:t>la</w:t>
      </w:r>
      <w:r>
        <w:rPr>
          <w:spacing w:val="-8"/>
          <w:sz w:val="17"/>
        </w:rPr>
        <w:t xml:space="preserve"> </w:t>
      </w:r>
      <w:r>
        <w:rPr>
          <w:sz w:val="17"/>
        </w:rPr>
        <w:t>Mujer</w:t>
      </w:r>
      <w:r>
        <w:rPr>
          <w:spacing w:val="-8"/>
          <w:sz w:val="17"/>
        </w:rPr>
        <w:t xml:space="preserve"> </w:t>
      </w:r>
      <w:r>
        <w:rPr>
          <w:sz w:val="17"/>
        </w:rPr>
        <w:t>han</w:t>
      </w:r>
      <w:r>
        <w:rPr>
          <w:spacing w:val="-8"/>
          <w:sz w:val="17"/>
        </w:rPr>
        <w:t xml:space="preserve"> </w:t>
      </w:r>
      <w:r>
        <w:rPr>
          <w:sz w:val="17"/>
        </w:rPr>
        <w:t>abordado</w:t>
      </w:r>
      <w:r>
        <w:rPr>
          <w:spacing w:val="-8"/>
          <w:sz w:val="17"/>
        </w:rPr>
        <w:t xml:space="preserve"> </w:t>
      </w:r>
      <w:r>
        <w:rPr>
          <w:sz w:val="17"/>
        </w:rPr>
        <w:t>el</w:t>
      </w:r>
      <w:r>
        <w:rPr>
          <w:spacing w:val="-8"/>
          <w:sz w:val="17"/>
        </w:rPr>
        <w:t xml:space="preserve"> </w:t>
      </w:r>
      <w:r>
        <w:rPr>
          <w:sz w:val="17"/>
        </w:rPr>
        <w:t>papel</w:t>
      </w:r>
      <w:r>
        <w:rPr>
          <w:spacing w:val="-8"/>
          <w:sz w:val="17"/>
        </w:rPr>
        <w:t xml:space="preserve"> </w:t>
      </w:r>
      <w:r>
        <w:rPr>
          <w:sz w:val="17"/>
        </w:rPr>
        <w:t>del</w:t>
      </w:r>
      <w:r>
        <w:rPr>
          <w:spacing w:val="-8"/>
          <w:sz w:val="17"/>
        </w:rPr>
        <w:t xml:space="preserve"> </w:t>
      </w:r>
      <w:proofErr w:type="spellStart"/>
      <w:r>
        <w:rPr>
          <w:spacing w:val="-2"/>
          <w:sz w:val="17"/>
        </w:rPr>
        <w:t>sexism</w:t>
      </w:r>
      <w:proofErr w:type="spellEnd"/>
    </w:p>
    <w:p w14:paraId="3F6F79B6" w14:textId="77777777" w:rsidR="0014798C" w:rsidRDefault="0014798C">
      <w:pPr>
        <w:pStyle w:val="Textoindependiente"/>
        <w:rPr>
          <w:sz w:val="20"/>
        </w:rPr>
      </w:pPr>
    </w:p>
    <w:p w14:paraId="329D0526" w14:textId="77777777" w:rsidR="0014798C" w:rsidRDefault="004E1F0B">
      <w:pPr>
        <w:pStyle w:val="Textoindependiente"/>
        <w:spacing w:before="185"/>
        <w:rPr>
          <w:sz w:val="20"/>
        </w:rPr>
      </w:pPr>
      <w:r>
        <w:rPr>
          <w:noProof/>
        </w:rPr>
        <w:drawing>
          <wp:anchor distT="0" distB="0" distL="0" distR="0" simplePos="0" relativeHeight="251658564" behindDoc="1" locked="0" layoutInCell="1" allowOverlap="1" wp14:anchorId="5986A491" wp14:editId="1D6437CD">
            <wp:simplePos x="0" y="0"/>
            <wp:positionH relativeFrom="page">
              <wp:posOffset>826632</wp:posOffset>
            </wp:positionH>
            <wp:positionV relativeFrom="paragraph">
              <wp:posOffset>279057</wp:posOffset>
            </wp:positionV>
            <wp:extent cx="931001" cy="35813"/>
            <wp:effectExtent l="0" t="0" r="0" b="0"/>
            <wp:wrapTopAndBottom/>
            <wp:docPr id="384" name="Image 38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84" name="Image 384"/>
                    <pic:cNvPicPr/>
                  </pic:nvPicPr>
                  <pic:blipFill>
                    <a:blip r:embed="rId357" cstate="print"/>
                    <a:stretch>
                      <a:fillRect/>
                    </a:stretch>
                  </pic:blipFill>
                  <pic:spPr>
                    <a:xfrm>
                      <a:off x="0" y="0"/>
                      <a:ext cx="931001" cy="35813"/>
                    </a:xfrm>
                    <a:prstGeom prst="rect">
                      <a:avLst/>
                    </a:prstGeom>
                  </pic:spPr>
                </pic:pic>
              </a:graphicData>
            </a:graphic>
          </wp:anchor>
        </w:drawing>
      </w:r>
    </w:p>
    <w:p w14:paraId="4CDB47F7" w14:textId="77777777" w:rsidR="0014798C" w:rsidRDefault="004E1F0B">
      <w:pPr>
        <w:spacing w:before="117"/>
        <w:ind w:left="1111"/>
        <w:rPr>
          <w:sz w:val="13"/>
        </w:rPr>
      </w:pPr>
      <w:r>
        <w:rPr>
          <w:sz w:val="13"/>
          <w:vertAlign w:val="superscript"/>
        </w:rPr>
        <w:t>1230</w:t>
      </w:r>
      <w:r>
        <w:rPr>
          <w:spacing w:val="26"/>
          <w:sz w:val="13"/>
        </w:rPr>
        <w:t xml:space="preserve"> </w:t>
      </w:r>
      <w:r>
        <w:rPr>
          <w:sz w:val="13"/>
        </w:rPr>
        <w:t>A/HRC/43/41,</w:t>
      </w:r>
      <w:r>
        <w:rPr>
          <w:spacing w:val="-3"/>
          <w:sz w:val="13"/>
        </w:rPr>
        <w:t xml:space="preserve"> </w:t>
      </w:r>
      <w:r>
        <w:rPr>
          <w:sz w:val="13"/>
        </w:rPr>
        <w:t>párr.</w:t>
      </w:r>
      <w:r>
        <w:rPr>
          <w:spacing w:val="-3"/>
          <w:sz w:val="13"/>
        </w:rPr>
        <w:t xml:space="preserve"> </w:t>
      </w:r>
      <w:r>
        <w:rPr>
          <w:spacing w:val="-5"/>
          <w:sz w:val="13"/>
        </w:rPr>
        <w:t>40.</w:t>
      </w:r>
    </w:p>
    <w:p w14:paraId="13649B4F" w14:textId="77777777" w:rsidR="0014798C" w:rsidRDefault="0014798C">
      <w:pPr>
        <w:pStyle w:val="Textoindependiente"/>
        <w:spacing w:before="34"/>
        <w:rPr>
          <w:sz w:val="10"/>
        </w:rPr>
      </w:pPr>
    </w:p>
    <w:p w14:paraId="15A6F19B" w14:textId="77777777" w:rsidR="0014798C" w:rsidRDefault="004E1F0B">
      <w:pPr>
        <w:ind w:left="1111"/>
        <w:rPr>
          <w:sz w:val="10"/>
        </w:rPr>
      </w:pPr>
      <w:r>
        <w:rPr>
          <w:w w:val="105"/>
          <w:sz w:val="10"/>
        </w:rPr>
        <w:t>1231</w:t>
      </w:r>
      <w:r>
        <w:rPr>
          <w:spacing w:val="-5"/>
          <w:w w:val="105"/>
          <w:sz w:val="10"/>
        </w:rPr>
        <w:t xml:space="preserve"> </w:t>
      </w:r>
      <w:r>
        <w:rPr>
          <w:w w:val="105"/>
          <w:sz w:val="10"/>
        </w:rPr>
        <w:t>Comité</w:t>
      </w:r>
      <w:r>
        <w:rPr>
          <w:spacing w:val="-5"/>
          <w:w w:val="105"/>
          <w:sz w:val="10"/>
        </w:rPr>
        <w:t xml:space="preserve"> </w:t>
      </w:r>
      <w:r>
        <w:rPr>
          <w:w w:val="105"/>
          <w:sz w:val="10"/>
        </w:rPr>
        <w:t>de</w:t>
      </w:r>
      <w:r>
        <w:rPr>
          <w:spacing w:val="-4"/>
          <w:w w:val="105"/>
          <w:sz w:val="10"/>
        </w:rPr>
        <w:t xml:space="preserve"> </w:t>
      </w:r>
      <w:r>
        <w:rPr>
          <w:w w:val="105"/>
          <w:sz w:val="10"/>
        </w:rPr>
        <w:t>Derechos</w:t>
      </w:r>
      <w:r>
        <w:rPr>
          <w:spacing w:val="-5"/>
          <w:w w:val="105"/>
          <w:sz w:val="10"/>
        </w:rPr>
        <w:t xml:space="preserve"> </w:t>
      </w:r>
      <w:r>
        <w:rPr>
          <w:w w:val="105"/>
          <w:sz w:val="10"/>
        </w:rPr>
        <w:t>Económicos,</w:t>
      </w:r>
      <w:r>
        <w:rPr>
          <w:spacing w:val="-5"/>
          <w:w w:val="105"/>
          <w:sz w:val="10"/>
        </w:rPr>
        <w:t xml:space="preserve"> </w:t>
      </w:r>
      <w:r>
        <w:rPr>
          <w:w w:val="105"/>
          <w:sz w:val="10"/>
        </w:rPr>
        <w:t>Sociales</w:t>
      </w:r>
      <w:r>
        <w:rPr>
          <w:spacing w:val="-4"/>
          <w:w w:val="105"/>
          <w:sz w:val="10"/>
        </w:rPr>
        <w:t xml:space="preserve"> </w:t>
      </w:r>
      <w:r>
        <w:rPr>
          <w:w w:val="105"/>
          <w:sz w:val="10"/>
        </w:rPr>
        <w:t>y</w:t>
      </w:r>
      <w:r>
        <w:rPr>
          <w:spacing w:val="-5"/>
          <w:w w:val="105"/>
          <w:sz w:val="10"/>
        </w:rPr>
        <w:t xml:space="preserve"> </w:t>
      </w:r>
      <w:r>
        <w:rPr>
          <w:w w:val="105"/>
          <w:sz w:val="10"/>
        </w:rPr>
        <w:t>Culturales,</w:t>
      </w:r>
      <w:r>
        <w:rPr>
          <w:spacing w:val="-4"/>
          <w:w w:val="105"/>
          <w:sz w:val="10"/>
        </w:rPr>
        <w:t xml:space="preserve"> </w:t>
      </w:r>
      <w:r>
        <w:rPr>
          <w:w w:val="105"/>
          <w:sz w:val="10"/>
        </w:rPr>
        <w:t>observación</w:t>
      </w:r>
      <w:r>
        <w:rPr>
          <w:spacing w:val="-5"/>
          <w:w w:val="105"/>
          <w:sz w:val="10"/>
        </w:rPr>
        <w:t xml:space="preserve"> </w:t>
      </w:r>
      <w:r>
        <w:rPr>
          <w:w w:val="105"/>
          <w:sz w:val="10"/>
        </w:rPr>
        <w:t>general</w:t>
      </w:r>
      <w:r>
        <w:rPr>
          <w:spacing w:val="-5"/>
          <w:w w:val="105"/>
          <w:sz w:val="10"/>
        </w:rPr>
        <w:t xml:space="preserve"> </w:t>
      </w:r>
      <w:r>
        <w:rPr>
          <w:w w:val="105"/>
          <w:sz w:val="10"/>
        </w:rPr>
        <w:t>núm.</w:t>
      </w:r>
      <w:r>
        <w:rPr>
          <w:spacing w:val="-4"/>
          <w:w w:val="105"/>
          <w:sz w:val="10"/>
        </w:rPr>
        <w:t xml:space="preserve"> </w:t>
      </w:r>
      <w:r>
        <w:rPr>
          <w:w w:val="105"/>
          <w:sz w:val="10"/>
        </w:rPr>
        <w:t>20</w:t>
      </w:r>
      <w:r>
        <w:rPr>
          <w:spacing w:val="-5"/>
          <w:w w:val="105"/>
          <w:sz w:val="10"/>
        </w:rPr>
        <w:t xml:space="preserve"> </w:t>
      </w:r>
      <w:r>
        <w:rPr>
          <w:w w:val="105"/>
          <w:sz w:val="10"/>
        </w:rPr>
        <w:t>(2009),</w:t>
      </w:r>
      <w:r>
        <w:rPr>
          <w:spacing w:val="-4"/>
          <w:w w:val="105"/>
          <w:sz w:val="10"/>
        </w:rPr>
        <w:t xml:space="preserve"> </w:t>
      </w:r>
      <w:r>
        <w:rPr>
          <w:w w:val="105"/>
          <w:sz w:val="10"/>
        </w:rPr>
        <w:t>párr.</w:t>
      </w:r>
      <w:r>
        <w:rPr>
          <w:spacing w:val="-5"/>
          <w:w w:val="105"/>
          <w:sz w:val="10"/>
        </w:rPr>
        <w:t xml:space="preserve"> 39.</w:t>
      </w:r>
    </w:p>
    <w:p w14:paraId="408F7ADC" w14:textId="77777777" w:rsidR="0014798C" w:rsidRDefault="0014798C">
      <w:pPr>
        <w:pStyle w:val="Textoindependiente"/>
        <w:spacing w:before="6"/>
        <w:rPr>
          <w:sz w:val="10"/>
        </w:rPr>
      </w:pPr>
    </w:p>
    <w:p w14:paraId="5B692290" w14:textId="77777777" w:rsidR="0014798C" w:rsidRDefault="004E1F0B">
      <w:pPr>
        <w:spacing w:line="374" w:lineRule="auto"/>
        <w:ind w:left="1366" w:right="1604" w:hanging="255"/>
        <w:rPr>
          <w:sz w:val="10"/>
        </w:rPr>
      </w:pPr>
      <w:r>
        <w:rPr>
          <w:sz w:val="10"/>
        </w:rPr>
        <w:t>1232</w:t>
      </w:r>
      <w:r>
        <w:rPr>
          <w:spacing w:val="14"/>
          <w:sz w:val="10"/>
        </w:rPr>
        <w:t xml:space="preserve"> </w:t>
      </w:r>
      <w:r>
        <w:rPr>
          <w:sz w:val="10"/>
        </w:rPr>
        <w:t>Por</w:t>
      </w:r>
      <w:r>
        <w:rPr>
          <w:spacing w:val="14"/>
          <w:sz w:val="10"/>
        </w:rPr>
        <w:t xml:space="preserve"> </w:t>
      </w:r>
      <w:r>
        <w:rPr>
          <w:sz w:val="10"/>
        </w:rPr>
        <w:t>ejemplo,</w:t>
      </w:r>
      <w:r>
        <w:rPr>
          <w:spacing w:val="14"/>
          <w:sz w:val="10"/>
        </w:rPr>
        <w:t xml:space="preserve"> </w:t>
      </w:r>
      <w:r>
        <w:rPr>
          <w:sz w:val="10"/>
        </w:rPr>
        <w:t>en</w:t>
      </w:r>
      <w:r>
        <w:rPr>
          <w:spacing w:val="14"/>
          <w:sz w:val="10"/>
        </w:rPr>
        <w:t xml:space="preserve"> </w:t>
      </w:r>
      <w:r>
        <w:rPr>
          <w:sz w:val="10"/>
        </w:rPr>
        <w:t>2020,</w:t>
      </w:r>
      <w:r>
        <w:rPr>
          <w:spacing w:val="14"/>
          <w:sz w:val="10"/>
        </w:rPr>
        <w:t xml:space="preserve"> </w:t>
      </w:r>
      <w:r>
        <w:rPr>
          <w:sz w:val="10"/>
        </w:rPr>
        <w:t>el</w:t>
      </w:r>
      <w:r>
        <w:rPr>
          <w:spacing w:val="14"/>
          <w:sz w:val="10"/>
        </w:rPr>
        <w:t xml:space="preserve"> </w:t>
      </w:r>
      <w:r>
        <w:rPr>
          <w:sz w:val="10"/>
        </w:rPr>
        <w:t>Comité</w:t>
      </w:r>
      <w:r>
        <w:rPr>
          <w:spacing w:val="14"/>
          <w:sz w:val="10"/>
        </w:rPr>
        <w:t xml:space="preserve"> </w:t>
      </w:r>
      <w:r>
        <w:rPr>
          <w:sz w:val="10"/>
        </w:rPr>
        <w:t>de</w:t>
      </w:r>
      <w:r>
        <w:rPr>
          <w:spacing w:val="14"/>
          <w:sz w:val="10"/>
        </w:rPr>
        <w:t xml:space="preserve"> </w:t>
      </w:r>
      <w:r>
        <w:rPr>
          <w:sz w:val="10"/>
        </w:rPr>
        <w:t>Derechos</w:t>
      </w:r>
      <w:r>
        <w:rPr>
          <w:spacing w:val="14"/>
          <w:sz w:val="10"/>
        </w:rPr>
        <w:t xml:space="preserve"> </w:t>
      </w:r>
      <w:r>
        <w:rPr>
          <w:sz w:val="10"/>
        </w:rPr>
        <w:t>Humanos</w:t>
      </w:r>
      <w:r>
        <w:rPr>
          <w:spacing w:val="14"/>
          <w:sz w:val="10"/>
        </w:rPr>
        <w:t xml:space="preserve"> </w:t>
      </w:r>
      <w:r>
        <w:rPr>
          <w:sz w:val="10"/>
        </w:rPr>
        <w:t>instó</w:t>
      </w:r>
      <w:r>
        <w:rPr>
          <w:spacing w:val="14"/>
          <w:sz w:val="10"/>
        </w:rPr>
        <w:t xml:space="preserve"> </w:t>
      </w:r>
      <w:r>
        <w:rPr>
          <w:sz w:val="10"/>
        </w:rPr>
        <w:t>a</w:t>
      </w:r>
      <w:r>
        <w:rPr>
          <w:spacing w:val="14"/>
          <w:sz w:val="10"/>
        </w:rPr>
        <w:t xml:space="preserve"> </w:t>
      </w:r>
      <w:r>
        <w:rPr>
          <w:sz w:val="10"/>
        </w:rPr>
        <w:t>Portugal</w:t>
      </w:r>
      <w:r>
        <w:rPr>
          <w:spacing w:val="14"/>
          <w:sz w:val="10"/>
        </w:rPr>
        <w:t xml:space="preserve"> </w:t>
      </w:r>
      <w:r>
        <w:rPr>
          <w:sz w:val="10"/>
        </w:rPr>
        <w:t>a</w:t>
      </w:r>
      <w:r>
        <w:rPr>
          <w:spacing w:val="14"/>
          <w:sz w:val="10"/>
        </w:rPr>
        <w:t xml:space="preserve"> </w:t>
      </w:r>
      <w:r>
        <w:rPr>
          <w:sz w:val="10"/>
        </w:rPr>
        <w:t>“fortalecer</w:t>
      </w:r>
      <w:r>
        <w:rPr>
          <w:spacing w:val="14"/>
          <w:sz w:val="10"/>
        </w:rPr>
        <w:t xml:space="preserve"> </w:t>
      </w:r>
      <w:r>
        <w:rPr>
          <w:sz w:val="10"/>
        </w:rPr>
        <w:t>sus</w:t>
      </w:r>
      <w:r>
        <w:rPr>
          <w:spacing w:val="14"/>
          <w:sz w:val="10"/>
        </w:rPr>
        <w:t xml:space="preserve"> </w:t>
      </w:r>
      <w:r>
        <w:rPr>
          <w:sz w:val="10"/>
        </w:rPr>
        <w:t>esfuerzos</w:t>
      </w:r>
      <w:r>
        <w:rPr>
          <w:spacing w:val="14"/>
          <w:sz w:val="10"/>
        </w:rPr>
        <w:t xml:space="preserve"> </w:t>
      </w:r>
      <w:r>
        <w:rPr>
          <w:sz w:val="10"/>
        </w:rPr>
        <w:t>para</w:t>
      </w:r>
      <w:r>
        <w:rPr>
          <w:spacing w:val="14"/>
          <w:sz w:val="10"/>
        </w:rPr>
        <w:t xml:space="preserve"> </w:t>
      </w:r>
      <w:r>
        <w:rPr>
          <w:sz w:val="10"/>
        </w:rPr>
        <w:t>combatir</w:t>
      </w:r>
      <w:r>
        <w:rPr>
          <w:spacing w:val="14"/>
          <w:sz w:val="10"/>
        </w:rPr>
        <w:t xml:space="preserve"> </w:t>
      </w:r>
      <w:r>
        <w:rPr>
          <w:sz w:val="10"/>
        </w:rPr>
        <w:t>la</w:t>
      </w:r>
      <w:r>
        <w:rPr>
          <w:spacing w:val="14"/>
          <w:sz w:val="10"/>
        </w:rPr>
        <w:t xml:space="preserve"> </w:t>
      </w:r>
      <w:r>
        <w:rPr>
          <w:sz w:val="10"/>
        </w:rPr>
        <w:t>intolerancia,</w:t>
      </w:r>
      <w:r>
        <w:rPr>
          <w:spacing w:val="16"/>
          <w:sz w:val="10"/>
        </w:rPr>
        <w:t xml:space="preserve"> </w:t>
      </w:r>
      <w:r>
        <w:rPr>
          <w:sz w:val="10"/>
        </w:rPr>
        <w:t>los</w:t>
      </w:r>
      <w:r>
        <w:rPr>
          <w:spacing w:val="14"/>
          <w:sz w:val="10"/>
        </w:rPr>
        <w:t xml:space="preserve"> </w:t>
      </w:r>
      <w:r>
        <w:rPr>
          <w:sz w:val="10"/>
        </w:rPr>
        <w:t>estereotipos,</w:t>
      </w:r>
      <w:r>
        <w:rPr>
          <w:spacing w:val="14"/>
          <w:sz w:val="10"/>
        </w:rPr>
        <w:t xml:space="preserve"> </w:t>
      </w:r>
      <w:r>
        <w:rPr>
          <w:sz w:val="10"/>
        </w:rPr>
        <w:t>los</w:t>
      </w:r>
      <w:r>
        <w:rPr>
          <w:spacing w:val="14"/>
          <w:sz w:val="10"/>
        </w:rPr>
        <w:t xml:space="preserve"> </w:t>
      </w:r>
      <w:r>
        <w:rPr>
          <w:sz w:val="10"/>
        </w:rPr>
        <w:t>prejuicios</w:t>
      </w:r>
      <w:r>
        <w:rPr>
          <w:spacing w:val="14"/>
          <w:sz w:val="10"/>
        </w:rPr>
        <w:t xml:space="preserve"> </w:t>
      </w:r>
      <w:r>
        <w:rPr>
          <w:sz w:val="10"/>
        </w:rPr>
        <w:t>y</w:t>
      </w:r>
      <w:r>
        <w:rPr>
          <w:spacing w:val="14"/>
          <w:sz w:val="10"/>
        </w:rPr>
        <w:t xml:space="preserve"> </w:t>
      </w:r>
      <w:r>
        <w:rPr>
          <w:sz w:val="10"/>
        </w:rPr>
        <w:t>la</w:t>
      </w:r>
      <w:r>
        <w:rPr>
          <w:spacing w:val="14"/>
          <w:sz w:val="10"/>
        </w:rPr>
        <w:t xml:space="preserve"> </w:t>
      </w:r>
      <w:r>
        <w:rPr>
          <w:sz w:val="10"/>
        </w:rPr>
        <w:t>discriminación</w:t>
      </w:r>
      <w:r>
        <w:rPr>
          <w:spacing w:val="14"/>
          <w:sz w:val="10"/>
        </w:rPr>
        <w:t xml:space="preserve"> </w:t>
      </w:r>
      <w:r>
        <w:rPr>
          <w:sz w:val="10"/>
        </w:rPr>
        <w:t>hacia</w:t>
      </w:r>
      <w:r>
        <w:rPr>
          <w:spacing w:val="80"/>
          <w:sz w:val="10"/>
        </w:rPr>
        <w:t xml:space="preserve"> </w:t>
      </w:r>
      <w:r>
        <w:rPr>
          <w:sz w:val="10"/>
        </w:rPr>
        <w:t>los</w:t>
      </w:r>
      <w:r>
        <w:rPr>
          <w:spacing w:val="17"/>
          <w:sz w:val="10"/>
        </w:rPr>
        <w:t xml:space="preserve"> </w:t>
      </w:r>
      <w:r>
        <w:rPr>
          <w:sz w:val="10"/>
        </w:rPr>
        <w:t>grupos</w:t>
      </w:r>
      <w:r>
        <w:rPr>
          <w:spacing w:val="17"/>
          <w:sz w:val="10"/>
        </w:rPr>
        <w:t xml:space="preserve"> </w:t>
      </w:r>
      <w:r>
        <w:rPr>
          <w:sz w:val="10"/>
        </w:rPr>
        <w:t>vulnerables</w:t>
      </w:r>
      <w:r>
        <w:rPr>
          <w:spacing w:val="17"/>
          <w:sz w:val="10"/>
        </w:rPr>
        <w:t xml:space="preserve"> </w:t>
      </w:r>
      <w:r>
        <w:rPr>
          <w:sz w:val="10"/>
        </w:rPr>
        <w:t>y</w:t>
      </w:r>
      <w:r>
        <w:rPr>
          <w:spacing w:val="17"/>
          <w:sz w:val="10"/>
        </w:rPr>
        <w:t xml:space="preserve"> </w:t>
      </w:r>
      <w:r>
        <w:rPr>
          <w:sz w:val="10"/>
        </w:rPr>
        <w:t>minoritarios,</w:t>
      </w:r>
      <w:r>
        <w:rPr>
          <w:spacing w:val="19"/>
          <w:sz w:val="10"/>
        </w:rPr>
        <w:t xml:space="preserve"> </w:t>
      </w:r>
      <w:r>
        <w:rPr>
          <w:sz w:val="10"/>
        </w:rPr>
        <w:t>incluidos</w:t>
      </w:r>
      <w:r>
        <w:rPr>
          <w:spacing w:val="17"/>
          <w:sz w:val="10"/>
        </w:rPr>
        <w:t xml:space="preserve"> </w:t>
      </w:r>
      <w:r>
        <w:rPr>
          <w:sz w:val="10"/>
        </w:rPr>
        <w:t>los</w:t>
      </w:r>
      <w:r>
        <w:rPr>
          <w:spacing w:val="17"/>
          <w:sz w:val="10"/>
        </w:rPr>
        <w:t xml:space="preserve"> </w:t>
      </w:r>
      <w:r>
        <w:rPr>
          <w:sz w:val="10"/>
        </w:rPr>
        <w:t>romaníes,</w:t>
      </w:r>
      <w:r>
        <w:rPr>
          <w:spacing w:val="17"/>
          <w:sz w:val="10"/>
        </w:rPr>
        <w:t xml:space="preserve"> </w:t>
      </w:r>
      <w:r>
        <w:rPr>
          <w:sz w:val="10"/>
        </w:rPr>
        <w:t>los</w:t>
      </w:r>
      <w:r>
        <w:rPr>
          <w:spacing w:val="17"/>
          <w:sz w:val="10"/>
        </w:rPr>
        <w:t xml:space="preserve"> </w:t>
      </w:r>
      <w:r>
        <w:rPr>
          <w:sz w:val="10"/>
        </w:rPr>
        <w:t>afrodescendientes,</w:t>
      </w:r>
      <w:r>
        <w:rPr>
          <w:spacing w:val="19"/>
          <w:sz w:val="10"/>
        </w:rPr>
        <w:t xml:space="preserve"> </w:t>
      </w:r>
      <w:r>
        <w:rPr>
          <w:sz w:val="10"/>
        </w:rPr>
        <w:t>los</w:t>
      </w:r>
      <w:r>
        <w:rPr>
          <w:spacing w:val="17"/>
          <w:sz w:val="10"/>
        </w:rPr>
        <w:t xml:space="preserve"> </w:t>
      </w:r>
      <w:r>
        <w:rPr>
          <w:sz w:val="10"/>
        </w:rPr>
        <w:t>musulmanes</w:t>
      </w:r>
      <w:r>
        <w:rPr>
          <w:spacing w:val="17"/>
          <w:sz w:val="10"/>
        </w:rPr>
        <w:t xml:space="preserve"> </w:t>
      </w:r>
      <w:r>
        <w:rPr>
          <w:sz w:val="10"/>
        </w:rPr>
        <w:t>y</w:t>
      </w:r>
      <w:r>
        <w:rPr>
          <w:spacing w:val="17"/>
          <w:sz w:val="10"/>
        </w:rPr>
        <w:t xml:space="preserve"> </w:t>
      </w:r>
      <w:r>
        <w:rPr>
          <w:sz w:val="10"/>
        </w:rPr>
        <w:t>las</w:t>
      </w:r>
      <w:r>
        <w:rPr>
          <w:spacing w:val="17"/>
          <w:sz w:val="10"/>
        </w:rPr>
        <w:t xml:space="preserve"> </w:t>
      </w:r>
      <w:r>
        <w:rPr>
          <w:sz w:val="10"/>
        </w:rPr>
        <w:t>personas</w:t>
      </w:r>
      <w:r>
        <w:rPr>
          <w:spacing w:val="17"/>
          <w:sz w:val="10"/>
        </w:rPr>
        <w:t xml:space="preserve"> </w:t>
      </w:r>
      <w:r>
        <w:rPr>
          <w:sz w:val="10"/>
        </w:rPr>
        <w:t>lesbianas,</w:t>
      </w:r>
      <w:r>
        <w:rPr>
          <w:spacing w:val="17"/>
          <w:sz w:val="10"/>
        </w:rPr>
        <w:t xml:space="preserve"> </w:t>
      </w:r>
      <w:proofErr w:type="spellStart"/>
      <w:r>
        <w:rPr>
          <w:sz w:val="10"/>
        </w:rPr>
        <w:t>gays</w:t>
      </w:r>
      <w:proofErr w:type="spellEnd"/>
      <w:r>
        <w:rPr>
          <w:sz w:val="10"/>
        </w:rPr>
        <w:t>,</w:t>
      </w:r>
      <w:r>
        <w:rPr>
          <w:spacing w:val="17"/>
          <w:sz w:val="10"/>
        </w:rPr>
        <w:t xml:space="preserve"> </w:t>
      </w:r>
      <w:r>
        <w:rPr>
          <w:sz w:val="10"/>
        </w:rPr>
        <w:t>bisexuales</w:t>
      </w:r>
      <w:r>
        <w:rPr>
          <w:spacing w:val="17"/>
          <w:sz w:val="10"/>
        </w:rPr>
        <w:t xml:space="preserve"> </w:t>
      </w:r>
      <w:r>
        <w:rPr>
          <w:sz w:val="10"/>
        </w:rPr>
        <w:t>y</w:t>
      </w:r>
      <w:r>
        <w:rPr>
          <w:spacing w:val="17"/>
          <w:sz w:val="10"/>
        </w:rPr>
        <w:t xml:space="preserve"> </w:t>
      </w:r>
      <w:r>
        <w:rPr>
          <w:sz w:val="10"/>
        </w:rPr>
        <w:t>transgénero”</w:t>
      </w:r>
      <w:proofErr w:type="gramStart"/>
      <w:r>
        <w:rPr>
          <w:sz w:val="10"/>
        </w:rPr>
        <w:t>.</w:t>
      </w:r>
      <w:r>
        <w:rPr>
          <w:spacing w:val="17"/>
          <w:sz w:val="10"/>
        </w:rPr>
        <w:t xml:space="preserve"> </w:t>
      </w:r>
      <w:r>
        <w:rPr>
          <w:sz w:val="10"/>
        </w:rPr>
        <w:t>”</w:t>
      </w:r>
      <w:proofErr w:type="gramEnd"/>
      <w:r>
        <w:rPr>
          <w:sz w:val="10"/>
        </w:rPr>
        <w:t>.</w:t>
      </w:r>
      <w:r>
        <w:rPr>
          <w:spacing w:val="19"/>
          <w:sz w:val="10"/>
        </w:rPr>
        <w:t xml:space="preserve"> </w:t>
      </w:r>
      <w:r>
        <w:rPr>
          <w:sz w:val="10"/>
        </w:rPr>
        <w:t>De</w:t>
      </w:r>
      <w:r>
        <w:rPr>
          <w:spacing w:val="17"/>
          <w:sz w:val="10"/>
        </w:rPr>
        <w:t xml:space="preserve"> </w:t>
      </w:r>
      <w:r>
        <w:rPr>
          <w:sz w:val="10"/>
        </w:rPr>
        <w:t>manera</w:t>
      </w:r>
      <w:r>
        <w:rPr>
          <w:spacing w:val="17"/>
          <w:sz w:val="10"/>
        </w:rPr>
        <w:t xml:space="preserve"> </w:t>
      </w:r>
      <w:r>
        <w:rPr>
          <w:sz w:val="10"/>
        </w:rPr>
        <w:t>relacionada,</w:t>
      </w:r>
      <w:r>
        <w:rPr>
          <w:spacing w:val="40"/>
          <w:sz w:val="10"/>
        </w:rPr>
        <w:t xml:space="preserve"> </w:t>
      </w:r>
      <w:r>
        <w:rPr>
          <w:sz w:val="10"/>
        </w:rPr>
        <w:t>en</w:t>
      </w:r>
      <w:r>
        <w:rPr>
          <w:spacing w:val="18"/>
          <w:sz w:val="10"/>
        </w:rPr>
        <w:t xml:space="preserve"> </w:t>
      </w:r>
      <w:r>
        <w:rPr>
          <w:sz w:val="10"/>
        </w:rPr>
        <w:t>sus</w:t>
      </w:r>
      <w:r>
        <w:rPr>
          <w:spacing w:val="18"/>
          <w:sz w:val="10"/>
        </w:rPr>
        <w:t xml:space="preserve"> </w:t>
      </w:r>
      <w:r>
        <w:rPr>
          <w:sz w:val="10"/>
        </w:rPr>
        <w:t>recientes</w:t>
      </w:r>
      <w:r>
        <w:rPr>
          <w:spacing w:val="18"/>
          <w:sz w:val="10"/>
        </w:rPr>
        <w:t xml:space="preserve"> </w:t>
      </w:r>
      <w:r>
        <w:rPr>
          <w:sz w:val="10"/>
        </w:rPr>
        <w:t>observaciones</w:t>
      </w:r>
      <w:r>
        <w:rPr>
          <w:spacing w:val="18"/>
          <w:sz w:val="10"/>
        </w:rPr>
        <w:t xml:space="preserve"> </w:t>
      </w:r>
      <w:r>
        <w:rPr>
          <w:sz w:val="10"/>
        </w:rPr>
        <w:t>finales</w:t>
      </w:r>
      <w:r>
        <w:rPr>
          <w:spacing w:val="18"/>
          <w:sz w:val="10"/>
        </w:rPr>
        <w:t xml:space="preserve"> </w:t>
      </w:r>
      <w:r>
        <w:rPr>
          <w:sz w:val="10"/>
        </w:rPr>
        <w:t>sobre</w:t>
      </w:r>
      <w:r>
        <w:rPr>
          <w:spacing w:val="18"/>
          <w:sz w:val="10"/>
        </w:rPr>
        <w:t xml:space="preserve"> </w:t>
      </w:r>
      <w:r>
        <w:rPr>
          <w:sz w:val="10"/>
        </w:rPr>
        <w:t>Guinea,</w:t>
      </w:r>
      <w:r>
        <w:rPr>
          <w:spacing w:val="18"/>
          <w:sz w:val="10"/>
        </w:rPr>
        <w:t xml:space="preserve"> </w:t>
      </w:r>
      <w:r>
        <w:rPr>
          <w:sz w:val="10"/>
        </w:rPr>
        <w:t>el</w:t>
      </w:r>
      <w:r>
        <w:rPr>
          <w:spacing w:val="18"/>
          <w:sz w:val="10"/>
        </w:rPr>
        <w:t xml:space="preserve"> </w:t>
      </w:r>
      <w:r>
        <w:rPr>
          <w:sz w:val="10"/>
        </w:rPr>
        <w:t>Comité</w:t>
      </w:r>
      <w:r>
        <w:rPr>
          <w:spacing w:val="18"/>
          <w:sz w:val="10"/>
        </w:rPr>
        <w:t xml:space="preserve"> </w:t>
      </w:r>
      <w:r>
        <w:rPr>
          <w:sz w:val="10"/>
        </w:rPr>
        <w:t>de</w:t>
      </w:r>
      <w:r>
        <w:rPr>
          <w:spacing w:val="18"/>
          <w:sz w:val="10"/>
        </w:rPr>
        <w:t xml:space="preserve"> </w:t>
      </w:r>
      <w:r>
        <w:rPr>
          <w:sz w:val="10"/>
        </w:rPr>
        <w:t>Derechos</w:t>
      </w:r>
      <w:r>
        <w:rPr>
          <w:spacing w:val="18"/>
          <w:sz w:val="10"/>
        </w:rPr>
        <w:t xml:space="preserve"> </w:t>
      </w:r>
      <w:r>
        <w:rPr>
          <w:sz w:val="10"/>
        </w:rPr>
        <w:t>Económicos,</w:t>
      </w:r>
      <w:r>
        <w:rPr>
          <w:spacing w:val="18"/>
          <w:sz w:val="10"/>
        </w:rPr>
        <w:t xml:space="preserve"> </w:t>
      </w:r>
      <w:r>
        <w:rPr>
          <w:sz w:val="10"/>
        </w:rPr>
        <w:t>Sociales</w:t>
      </w:r>
      <w:r>
        <w:rPr>
          <w:spacing w:val="18"/>
          <w:sz w:val="10"/>
        </w:rPr>
        <w:t xml:space="preserve"> </w:t>
      </w:r>
      <w:r>
        <w:rPr>
          <w:sz w:val="10"/>
        </w:rPr>
        <w:t>y</w:t>
      </w:r>
      <w:r>
        <w:rPr>
          <w:spacing w:val="18"/>
          <w:sz w:val="10"/>
        </w:rPr>
        <w:t xml:space="preserve"> </w:t>
      </w:r>
      <w:r>
        <w:rPr>
          <w:sz w:val="10"/>
        </w:rPr>
        <w:t>Culturales</w:t>
      </w:r>
      <w:r>
        <w:rPr>
          <w:spacing w:val="18"/>
          <w:sz w:val="10"/>
        </w:rPr>
        <w:t xml:space="preserve"> </w:t>
      </w:r>
      <w:r>
        <w:rPr>
          <w:sz w:val="10"/>
        </w:rPr>
        <w:t>recomendó</w:t>
      </w:r>
      <w:r>
        <w:rPr>
          <w:spacing w:val="18"/>
          <w:sz w:val="10"/>
        </w:rPr>
        <w:t xml:space="preserve"> </w:t>
      </w:r>
      <w:r>
        <w:rPr>
          <w:sz w:val="10"/>
        </w:rPr>
        <w:t>la</w:t>
      </w:r>
      <w:r>
        <w:rPr>
          <w:spacing w:val="18"/>
          <w:sz w:val="10"/>
        </w:rPr>
        <w:t xml:space="preserve"> </w:t>
      </w:r>
      <w:r>
        <w:rPr>
          <w:sz w:val="10"/>
        </w:rPr>
        <w:t>implementación</w:t>
      </w:r>
      <w:r>
        <w:rPr>
          <w:spacing w:val="18"/>
          <w:sz w:val="10"/>
        </w:rPr>
        <w:t xml:space="preserve"> </w:t>
      </w:r>
      <w:r>
        <w:rPr>
          <w:sz w:val="10"/>
        </w:rPr>
        <w:t>de</w:t>
      </w:r>
      <w:r>
        <w:rPr>
          <w:spacing w:val="18"/>
          <w:sz w:val="10"/>
        </w:rPr>
        <w:t xml:space="preserve"> </w:t>
      </w:r>
      <w:r>
        <w:rPr>
          <w:sz w:val="10"/>
        </w:rPr>
        <w:t>“campañas</w:t>
      </w:r>
      <w:r>
        <w:rPr>
          <w:spacing w:val="18"/>
          <w:sz w:val="10"/>
        </w:rPr>
        <w:t xml:space="preserve"> </w:t>
      </w:r>
      <w:r>
        <w:rPr>
          <w:sz w:val="10"/>
        </w:rPr>
        <w:t>de</w:t>
      </w:r>
      <w:r>
        <w:rPr>
          <w:spacing w:val="18"/>
          <w:sz w:val="10"/>
        </w:rPr>
        <w:t xml:space="preserve"> </w:t>
      </w:r>
      <w:r>
        <w:rPr>
          <w:sz w:val="10"/>
        </w:rPr>
        <w:t>sensibilización</w:t>
      </w:r>
      <w:r>
        <w:rPr>
          <w:spacing w:val="18"/>
          <w:sz w:val="10"/>
        </w:rPr>
        <w:t xml:space="preserve"> </w:t>
      </w:r>
      <w:r>
        <w:rPr>
          <w:sz w:val="10"/>
        </w:rPr>
        <w:t>para</w:t>
      </w:r>
      <w:r>
        <w:rPr>
          <w:spacing w:val="40"/>
          <w:sz w:val="10"/>
        </w:rPr>
        <w:t xml:space="preserve"> </w:t>
      </w:r>
      <w:r>
        <w:rPr>
          <w:sz w:val="10"/>
        </w:rPr>
        <w:t>combatir</w:t>
      </w:r>
      <w:r>
        <w:rPr>
          <w:spacing w:val="15"/>
          <w:sz w:val="10"/>
        </w:rPr>
        <w:t xml:space="preserve"> </w:t>
      </w:r>
      <w:r>
        <w:rPr>
          <w:sz w:val="10"/>
        </w:rPr>
        <w:t>los</w:t>
      </w:r>
      <w:r>
        <w:rPr>
          <w:spacing w:val="15"/>
          <w:sz w:val="10"/>
        </w:rPr>
        <w:t xml:space="preserve"> </w:t>
      </w:r>
      <w:r>
        <w:rPr>
          <w:sz w:val="10"/>
        </w:rPr>
        <w:t>estereotipos</w:t>
      </w:r>
      <w:r>
        <w:rPr>
          <w:spacing w:val="15"/>
          <w:sz w:val="10"/>
        </w:rPr>
        <w:t xml:space="preserve"> </w:t>
      </w:r>
      <w:r>
        <w:rPr>
          <w:sz w:val="10"/>
        </w:rPr>
        <w:t>sobre</w:t>
      </w:r>
      <w:r>
        <w:rPr>
          <w:spacing w:val="15"/>
          <w:sz w:val="10"/>
        </w:rPr>
        <w:t xml:space="preserve"> </w:t>
      </w:r>
      <w:r>
        <w:rPr>
          <w:sz w:val="10"/>
        </w:rPr>
        <w:t>personas</w:t>
      </w:r>
      <w:r>
        <w:rPr>
          <w:spacing w:val="15"/>
          <w:sz w:val="10"/>
        </w:rPr>
        <w:t xml:space="preserve"> </w:t>
      </w:r>
      <w:r>
        <w:rPr>
          <w:sz w:val="10"/>
        </w:rPr>
        <w:t>y</w:t>
      </w:r>
      <w:r>
        <w:rPr>
          <w:spacing w:val="15"/>
          <w:sz w:val="10"/>
        </w:rPr>
        <w:t xml:space="preserve"> </w:t>
      </w:r>
      <w:r>
        <w:rPr>
          <w:sz w:val="10"/>
        </w:rPr>
        <w:t>grupos</w:t>
      </w:r>
      <w:r>
        <w:rPr>
          <w:spacing w:val="15"/>
          <w:sz w:val="10"/>
        </w:rPr>
        <w:t xml:space="preserve"> </w:t>
      </w:r>
      <w:r>
        <w:rPr>
          <w:sz w:val="10"/>
        </w:rPr>
        <w:t>en</w:t>
      </w:r>
      <w:r>
        <w:rPr>
          <w:spacing w:val="15"/>
          <w:sz w:val="10"/>
        </w:rPr>
        <w:t xml:space="preserve"> </w:t>
      </w:r>
      <w:r>
        <w:rPr>
          <w:sz w:val="10"/>
        </w:rPr>
        <w:t>riesgo</w:t>
      </w:r>
      <w:r>
        <w:rPr>
          <w:spacing w:val="15"/>
          <w:sz w:val="10"/>
        </w:rPr>
        <w:t xml:space="preserve"> </w:t>
      </w:r>
      <w:r>
        <w:rPr>
          <w:sz w:val="10"/>
        </w:rPr>
        <w:t>de</w:t>
      </w:r>
      <w:r>
        <w:rPr>
          <w:spacing w:val="15"/>
          <w:sz w:val="10"/>
        </w:rPr>
        <w:t xml:space="preserve"> </w:t>
      </w:r>
      <w:r>
        <w:rPr>
          <w:sz w:val="10"/>
        </w:rPr>
        <w:t>discriminación,</w:t>
      </w:r>
      <w:r>
        <w:rPr>
          <w:spacing w:val="16"/>
          <w:sz w:val="10"/>
        </w:rPr>
        <w:t xml:space="preserve"> </w:t>
      </w:r>
      <w:r>
        <w:rPr>
          <w:sz w:val="10"/>
        </w:rPr>
        <w:t>como</w:t>
      </w:r>
      <w:r>
        <w:rPr>
          <w:spacing w:val="15"/>
          <w:sz w:val="10"/>
        </w:rPr>
        <w:t xml:space="preserve"> </w:t>
      </w:r>
      <w:r>
        <w:rPr>
          <w:sz w:val="10"/>
        </w:rPr>
        <w:t>las</w:t>
      </w:r>
      <w:r>
        <w:rPr>
          <w:spacing w:val="15"/>
          <w:sz w:val="10"/>
        </w:rPr>
        <w:t xml:space="preserve"> </w:t>
      </w:r>
      <w:r>
        <w:rPr>
          <w:sz w:val="10"/>
        </w:rPr>
        <w:t>personas</w:t>
      </w:r>
      <w:r>
        <w:rPr>
          <w:spacing w:val="15"/>
          <w:sz w:val="10"/>
        </w:rPr>
        <w:t xml:space="preserve"> </w:t>
      </w:r>
      <w:r>
        <w:rPr>
          <w:sz w:val="10"/>
        </w:rPr>
        <w:t>que</w:t>
      </w:r>
      <w:r>
        <w:rPr>
          <w:spacing w:val="15"/>
          <w:sz w:val="10"/>
        </w:rPr>
        <w:t xml:space="preserve"> </w:t>
      </w:r>
      <w:r>
        <w:rPr>
          <w:sz w:val="10"/>
        </w:rPr>
        <w:t>viven</w:t>
      </w:r>
      <w:r>
        <w:rPr>
          <w:spacing w:val="15"/>
          <w:sz w:val="10"/>
        </w:rPr>
        <w:t xml:space="preserve"> </w:t>
      </w:r>
      <w:r>
        <w:rPr>
          <w:sz w:val="10"/>
        </w:rPr>
        <w:t>con</w:t>
      </w:r>
      <w:r>
        <w:rPr>
          <w:spacing w:val="15"/>
          <w:sz w:val="10"/>
        </w:rPr>
        <w:t xml:space="preserve"> </w:t>
      </w:r>
      <w:r>
        <w:rPr>
          <w:sz w:val="10"/>
        </w:rPr>
        <w:t>VIH/SIDA</w:t>
      </w:r>
      <w:r>
        <w:rPr>
          <w:spacing w:val="15"/>
          <w:sz w:val="10"/>
        </w:rPr>
        <w:t xml:space="preserve"> </w:t>
      </w:r>
      <w:r>
        <w:rPr>
          <w:sz w:val="10"/>
        </w:rPr>
        <w:t>y</w:t>
      </w:r>
      <w:r>
        <w:rPr>
          <w:spacing w:val="15"/>
          <w:sz w:val="10"/>
        </w:rPr>
        <w:t xml:space="preserve"> </w:t>
      </w:r>
      <w:r>
        <w:rPr>
          <w:sz w:val="10"/>
        </w:rPr>
        <w:t>las</w:t>
      </w:r>
      <w:r>
        <w:rPr>
          <w:spacing w:val="15"/>
          <w:sz w:val="10"/>
        </w:rPr>
        <w:t xml:space="preserve"> </w:t>
      </w:r>
      <w:r>
        <w:rPr>
          <w:sz w:val="10"/>
        </w:rPr>
        <w:t>personas</w:t>
      </w:r>
      <w:r>
        <w:rPr>
          <w:spacing w:val="15"/>
          <w:sz w:val="10"/>
        </w:rPr>
        <w:t xml:space="preserve"> </w:t>
      </w:r>
      <w:r>
        <w:rPr>
          <w:sz w:val="10"/>
        </w:rPr>
        <w:t>con</w:t>
      </w:r>
      <w:r>
        <w:rPr>
          <w:spacing w:val="15"/>
          <w:sz w:val="10"/>
        </w:rPr>
        <w:t xml:space="preserve"> </w:t>
      </w:r>
      <w:r>
        <w:rPr>
          <w:sz w:val="10"/>
        </w:rPr>
        <w:t>albinismo”.</w:t>
      </w:r>
      <w:r>
        <w:rPr>
          <w:spacing w:val="15"/>
          <w:sz w:val="10"/>
        </w:rPr>
        <w:t xml:space="preserve"> </w:t>
      </w:r>
      <w:r>
        <w:rPr>
          <w:sz w:val="10"/>
        </w:rPr>
        <w:t>Véase</w:t>
      </w:r>
      <w:r>
        <w:rPr>
          <w:spacing w:val="15"/>
          <w:sz w:val="10"/>
        </w:rPr>
        <w:t xml:space="preserve"> </w:t>
      </w:r>
      <w:r>
        <w:rPr>
          <w:sz w:val="10"/>
        </w:rPr>
        <w:t>CCPR/C/PRT/CO/5,</w:t>
      </w:r>
      <w:r>
        <w:rPr>
          <w:spacing w:val="15"/>
          <w:sz w:val="10"/>
        </w:rPr>
        <w:t xml:space="preserve"> </w:t>
      </w:r>
      <w:r>
        <w:rPr>
          <w:sz w:val="10"/>
        </w:rPr>
        <w:t>párr.</w:t>
      </w:r>
      <w:r>
        <w:rPr>
          <w:spacing w:val="40"/>
          <w:sz w:val="10"/>
        </w:rPr>
        <w:t xml:space="preserve"> </w:t>
      </w:r>
      <w:r>
        <w:rPr>
          <w:sz w:val="10"/>
        </w:rPr>
        <w:t>15 (a); y E/C.12/GIN/CO/1, párr. 19(e).</w:t>
      </w:r>
    </w:p>
    <w:p w14:paraId="6B5FC394" w14:textId="77777777" w:rsidR="0014798C" w:rsidRDefault="0014798C">
      <w:pPr>
        <w:pStyle w:val="Textoindependiente"/>
        <w:spacing w:before="27"/>
        <w:rPr>
          <w:sz w:val="13"/>
        </w:rPr>
      </w:pPr>
    </w:p>
    <w:p w14:paraId="53DEF9BA" w14:textId="77777777" w:rsidR="0014798C" w:rsidRDefault="004E1F0B">
      <w:pPr>
        <w:ind w:left="1111"/>
        <w:rPr>
          <w:sz w:val="13"/>
        </w:rPr>
      </w:pPr>
      <w:r>
        <w:rPr>
          <w:sz w:val="13"/>
          <w:vertAlign w:val="superscript"/>
        </w:rPr>
        <w:t>1233</w:t>
      </w:r>
      <w:r>
        <w:rPr>
          <w:spacing w:val="25"/>
          <w:sz w:val="13"/>
        </w:rPr>
        <w:t xml:space="preserve"> </w:t>
      </w:r>
      <w:r>
        <w:rPr>
          <w:sz w:val="13"/>
        </w:rPr>
        <w:t>A/HRC/38/43,</w:t>
      </w:r>
      <w:r>
        <w:rPr>
          <w:spacing w:val="-3"/>
          <w:sz w:val="13"/>
        </w:rPr>
        <w:t xml:space="preserve"> </w:t>
      </w:r>
      <w:proofErr w:type="spellStart"/>
      <w:r>
        <w:rPr>
          <w:sz w:val="13"/>
        </w:rPr>
        <w:t>párrs</w:t>
      </w:r>
      <w:proofErr w:type="spellEnd"/>
      <w:r>
        <w:rPr>
          <w:sz w:val="13"/>
        </w:rPr>
        <w:t>.</w:t>
      </w:r>
      <w:r>
        <w:rPr>
          <w:spacing w:val="-2"/>
          <w:sz w:val="13"/>
        </w:rPr>
        <w:t xml:space="preserve"> 48–49.</w:t>
      </w:r>
    </w:p>
    <w:p w14:paraId="2C1F433E" w14:textId="77777777" w:rsidR="0014798C" w:rsidRDefault="004E1F0B">
      <w:pPr>
        <w:spacing w:before="87"/>
        <w:ind w:left="1111"/>
        <w:rPr>
          <w:sz w:val="13"/>
        </w:rPr>
      </w:pPr>
      <w:r>
        <w:rPr>
          <w:sz w:val="13"/>
          <w:vertAlign w:val="superscript"/>
        </w:rPr>
        <w:t>1234</w:t>
      </w:r>
      <w:r>
        <w:rPr>
          <w:spacing w:val="25"/>
          <w:sz w:val="13"/>
        </w:rPr>
        <w:t xml:space="preserve"> </w:t>
      </w:r>
      <w:r>
        <w:rPr>
          <w:sz w:val="13"/>
        </w:rPr>
        <w:t>A/HRC/22/53,</w:t>
      </w:r>
      <w:r>
        <w:rPr>
          <w:spacing w:val="-3"/>
          <w:sz w:val="13"/>
        </w:rPr>
        <w:t xml:space="preserve"> </w:t>
      </w:r>
      <w:proofErr w:type="spellStart"/>
      <w:r>
        <w:rPr>
          <w:sz w:val="13"/>
        </w:rPr>
        <w:t>párrs</w:t>
      </w:r>
      <w:proofErr w:type="spellEnd"/>
      <w:r>
        <w:rPr>
          <w:sz w:val="13"/>
        </w:rPr>
        <w:t>.</w:t>
      </w:r>
      <w:r>
        <w:rPr>
          <w:spacing w:val="-2"/>
          <w:sz w:val="13"/>
        </w:rPr>
        <w:t xml:space="preserve"> 36–38.</w:t>
      </w:r>
    </w:p>
    <w:p w14:paraId="46635FDD" w14:textId="77777777" w:rsidR="0014798C" w:rsidRDefault="004E1F0B">
      <w:pPr>
        <w:spacing w:before="87" w:line="288" w:lineRule="auto"/>
        <w:ind w:left="1368" w:right="1463" w:hanging="258"/>
        <w:rPr>
          <w:sz w:val="13"/>
        </w:rPr>
      </w:pPr>
      <w:r>
        <w:rPr>
          <w:sz w:val="13"/>
          <w:vertAlign w:val="superscript"/>
        </w:rPr>
        <w:t>1235</w:t>
      </w:r>
      <w:r>
        <w:rPr>
          <w:spacing w:val="23"/>
          <w:sz w:val="13"/>
        </w:rPr>
        <w:t xml:space="preserve"> </w:t>
      </w:r>
      <w:r>
        <w:rPr>
          <w:sz w:val="13"/>
        </w:rPr>
        <w:t>A/HRC/21/42,</w:t>
      </w:r>
      <w:r>
        <w:rPr>
          <w:spacing w:val="-5"/>
          <w:sz w:val="13"/>
        </w:rPr>
        <w:t xml:space="preserve"> </w:t>
      </w:r>
      <w:proofErr w:type="spellStart"/>
      <w:r>
        <w:rPr>
          <w:sz w:val="13"/>
        </w:rPr>
        <w:t>párrs</w:t>
      </w:r>
      <w:proofErr w:type="spellEnd"/>
      <w:r>
        <w:rPr>
          <w:sz w:val="13"/>
        </w:rPr>
        <w:t>.</w:t>
      </w:r>
      <w:r>
        <w:rPr>
          <w:spacing w:val="-4"/>
          <w:sz w:val="13"/>
        </w:rPr>
        <w:t xml:space="preserve"> </w:t>
      </w:r>
      <w:r>
        <w:rPr>
          <w:sz w:val="13"/>
        </w:rPr>
        <w:t>36–38.</w:t>
      </w:r>
      <w:r>
        <w:rPr>
          <w:spacing w:val="-5"/>
          <w:sz w:val="13"/>
        </w:rPr>
        <w:t xml:space="preserve"> </w:t>
      </w:r>
      <w:r>
        <w:rPr>
          <w:sz w:val="13"/>
        </w:rPr>
        <w:t>Esta</w:t>
      </w:r>
      <w:r>
        <w:rPr>
          <w:spacing w:val="-5"/>
          <w:sz w:val="13"/>
        </w:rPr>
        <w:t xml:space="preserve"> </w:t>
      </w:r>
      <w:r>
        <w:rPr>
          <w:sz w:val="13"/>
        </w:rPr>
        <w:t>preocupación</w:t>
      </w:r>
      <w:r>
        <w:rPr>
          <w:spacing w:val="-5"/>
          <w:sz w:val="13"/>
        </w:rPr>
        <w:t xml:space="preserve"> </w:t>
      </w:r>
      <w:r>
        <w:rPr>
          <w:sz w:val="13"/>
        </w:rPr>
        <w:t>fue</w:t>
      </w:r>
      <w:r>
        <w:rPr>
          <w:spacing w:val="-5"/>
          <w:sz w:val="13"/>
        </w:rPr>
        <w:t xml:space="preserve"> </w:t>
      </w:r>
      <w:r>
        <w:rPr>
          <w:sz w:val="13"/>
        </w:rPr>
        <w:t>posteriormente</w:t>
      </w:r>
      <w:r>
        <w:rPr>
          <w:spacing w:val="-5"/>
          <w:sz w:val="13"/>
        </w:rPr>
        <w:t xml:space="preserve"> </w:t>
      </w:r>
      <w:r>
        <w:rPr>
          <w:sz w:val="13"/>
        </w:rPr>
        <w:t>retomada</w:t>
      </w:r>
      <w:r>
        <w:rPr>
          <w:spacing w:val="-5"/>
          <w:sz w:val="13"/>
        </w:rPr>
        <w:t xml:space="preserve"> </w:t>
      </w:r>
      <w:r>
        <w:rPr>
          <w:sz w:val="13"/>
        </w:rPr>
        <w:t>por</w:t>
      </w:r>
      <w:r>
        <w:rPr>
          <w:spacing w:val="-5"/>
          <w:sz w:val="13"/>
        </w:rPr>
        <w:t xml:space="preserve"> </w:t>
      </w:r>
      <w:r>
        <w:rPr>
          <w:sz w:val="13"/>
        </w:rPr>
        <w:t>otros</w:t>
      </w:r>
      <w:r>
        <w:rPr>
          <w:spacing w:val="-5"/>
          <w:sz w:val="13"/>
        </w:rPr>
        <w:t xml:space="preserve"> </w:t>
      </w:r>
      <w:r>
        <w:rPr>
          <w:sz w:val="13"/>
        </w:rPr>
        <w:t>actores</w:t>
      </w:r>
      <w:r>
        <w:rPr>
          <w:spacing w:val="-5"/>
          <w:sz w:val="13"/>
        </w:rPr>
        <w:t xml:space="preserve"> </w:t>
      </w:r>
      <w:r>
        <w:rPr>
          <w:sz w:val="13"/>
        </w:rPr>
        <w:t>dentro</w:t>
      </w:r>
      <w:r>
        <w:rPr>
          <w:spacing w:val="-5"/>
          <w:sz w:val="13"/>
        </w:rPr>
        <w:t xml:space="preserve"> </w:t>
      </w:r>
      <w:r>
        <w:rPr>
          <w:sz w:val="13"/>
        </w:rPr>
        <w:t>del</w:t>
      </w:r>
      <w:r>
        <w:rPr>
          <w:spacing w:val="-5"/>
          <w:sz w:val="13"/>
        </w:rPr>
        <w:t xml:space="preserve"> </w:t>
      </w:r>
      <w:r>
        <w:rPr>
          <w:sz w:val="13"/>
        </w:rPr>
        <w:t>sistema</w:t>
      </w:r>
      <w:r>
        <w:rPr>
          <w:spacing w:val="-5"/>
          <w:sz w:val="13"/>
        </w:rPr>
        <w:t xml:space="preserve"> </w:t>
      </w:r>
      <w:r>
        <w:rPr>
          <w:sz w:val="13"/>
        </w:rPr>
        <w:t>de</w:t>
      </w:r>
      <w:r>
        <w:rPr>
          <w:spacing w:val="-5"/>
          <w:sz w:val="13"/>
        </w:rPr>
        <w:t xml:space="preserve"> </w:t>
      </w:r>
      <w:r>
        <w:rPr>
          <w:sz w:val="13"/>
        </w:rPr>
        <w:t>derechos</w:t>
      </w:r>
      <w:r>
        <w:rPr>
          <w:spacing w:val="-5"/>
          <w:sz w:val="13"/>
        </w:rPr>
        <w:t xml:space="preserve"> </w:t>
      </w:r>
      <w:r>
        <w:rPr>
          <w:sz w:val="13"/>
        </w:rPr>
        <w:t>humanos.</w:t>
      </w:r>
      <w:r>
        <w:rPr>
          <w:spacing w:val="-4"/>
          <w:sz w:val="13"/>
        </w:rPr>
        <w:t xml:space="preserve"> </w:t>
      </w:r>
      <w:r>
        <w:rPr>
          <w:sz w:val="13"/>
        </w:rPr>
        <w:t>Véanse,</w:t>
      </w:r>
      <w:r>
        <w:rPr>
          <w:spacing w:val="-4"/>
          <w:sz w:val="13"/>
        </w:rPr>
        <w:t xml:space="preserve"> </w:t>
      </w:r>
      <w:r>
        <w:rPr>
          <w:sz w:val="13"/>
        </w:rPr>
        <w:t>por</w:t>
      </w:r>
      <w:r>
        <w:rPr>
          <w:spacing w:val="40"/>
          <w:sz w:val="13"/>
        </w:rPr>
        <w:t xml:space="preserve"> </w:t>
      </w:r>
      <w:r>
        <w:rPr>
          <w:sz w:val="13"/>
        </w:rPr>
        <w:t>ejemplo,</w:t>
      </w:r>
      <w:r>
        <w:rPr>
          <w:spacing w:val="-10"/>
          <w:sz w:val="13"/>
        </w:rPr>
        <w:t xml:space="preserve"> </w:t>
      </w:r>
      <w:r>
        <w:rPr>
          <w:sz w:val="13"/>
        </w:rPr>
        <w:t>cómo</w:t>
      </w:r>
      <w:r>
        <w:rPr>
          <w:spacing w:val="-9"/>
          <w:sz w:val="13"/>
        </w:rPr>
        <w:t xml:space="preserve"> </w:t>
      </w:r>
      <w:r>
        <w:rPr>
          <w:sz w:val="13"/>
        </w:rPr>
        <w:t>establecer</w:t>
      </w:r>
      <w:r>
        <w:rPr>
          <w:spacing w:val="-9"/>
          <w:sz w:val="13"/>
        </w:rPr>
        <w:t xml:space="preserve"> </w:t>
      </w:r>
      <w:r>
        <w:rPr>
          <w:sz w:val="13"/>
        </w:rPr>
        <w:t>el</w:t>
      </w:r>
      <w:r>
        <w:rPr>
          <w:spacing w:val="-9"/>
          <w:sz w:val="13"/>
        </w:rPr>
        <w:t xml:space="preserve"> </w:t>
      </w:r>
      <w:r>
        <w:rPr>
          <w:sz w:val="13"/>
        </w:rPr>
        <w:t>vínculo</w:t>
      </w:r>
      <w:r>
        <w:rPr>
          <w:spacing w:val="-9"/>
          <w:sz w:val="13"/>
        </w:rPr>
        <w:t xml:space="preserve"> </w:t>
      </w:r>
      <w:r>
        <w:rPr>
          <w:sz w:val="13"/>
        </w:rPr>
        <w:t>entre</w:t>
      </w:r>
      <w:r>
        <w:rPr>
          <w:spacing w:val="-9"/>
          <w:sz w:val="13"/>
        </w:rPr>
        <w:t xml:space="preserve"> </w:t>
      </w:r>
      <w:r>
        <w:rPr>
          <w:sz w:val="13"/>
        </w:rPr>
        <w:t>patologización,</w:t>
      </w:r>
      <w:r>
        <w:rPr>
          <w:spacing w:val="-9"/>
          <w:sz w:val="13"/>
        </w:rPr>
        <w:t xml:space="preserve"> </w:t>
      </w:r>
      <w:r>
        <w:rPr>
          <w:sz w:val="13"/>
        </w:rPr>
        <w:t>estigma</w:t>
      </w:r>
      <w:r>
        <w:rPr>
          <w:spacing w:val="-9"/>
          <w:sz w:val="13"/>
        </w:rPr>
        <w:t xml:space="preserve"> </w:t>
      </w:r>
      <w:r>
        <w:rPr>
          <w:sz w:val="13"/>
        </w:rPr>
        <w:t>y</w:t>
      </w:r>
      <w:r>
        <w:rPr>
          <w:spacing w:val="-9"/>
          <w:sz w:val="13"/>
        </w:rPr>
        <w:t xml:space="preserve"> </w:t>
      </w:r>
      <w:r>
        <w:rPr>
          <w:sz w:val="13"/>
        </w:rPr>
        <w:t>discriminación:</w:t>
      </w:r>
      <w:r>
        <w:rPr>
          <w:spacing w:val="-9"/>
          <w:sz w:val="13"/>
        </w:rPr>
        <w:t xml:space="preserve"> </w:t>
      </w:r>
      <w:r>
        <w:rPr>
          <w:sz w:val="13"/>
        </w:rPr>
        <w:t>A/HRC/26/28/Add.2;</w:t>
      </w:r>
      <w:r>
        <w:rPr>
          <w:spacing w:val="-9"/>
          <w:sz w:val="13"/>
        </w:rPr>
        <w:t xml:space="preserve"> </w:t>
      </w:r>
      <w:r>
        <w:rPr>
          <w:sz w:val="13"/>
        </w:rPr>
        <w:t>y</w:t>
      </w:r>
      <w:r>
        <w:rPr>
          <w:spacing w:val="-9"/>
          <w:sz w:val="13"/>
        </w:rPr>
        <w:t xml:space="preserve"> </w:t>
      </w:r>
      <w:r>
        <w:rPr>
          <w:sz w:val="13"/>
        </w:rPr>
        <w:t>A/HRC/35/21.</w:t>
      </w:r>
    </w:p>
    <w:p w14:paraId="6D617FEB" w14:textId="77777777" w:rsidR="0014798C" w:rsidRDefault="004E1F0B">
      <w:pPr>
        <w:spacing w:before="58" w:line="288" w:lineRule="auto"/>
        <w:ind w:left="1371" w:right="1272" w:hanging="261"/>
        <w:rPr>
          <w:sz w:val="13"/>
        </w:rPr>
      </w:pPr>
      <w:r>
        <w:rPr>
          <w:sz w:val="13"/>
          <w:vertAlign w:val="superscript"/>
        </w:rPr>
        <w:t>1236</w:t>
      </w:r>
      <w:r>
        <w:rPr>
          <w:spacing w:val="28"/>
          <w:sz w:val="13"/>
        </w:rPr>
        <w:t xml:space="preserve"> </w:t>
      </w:r>
      <w:r>
        <w:rPr>
          <w:sz w:val="13"/>
        </w:rPr>
        <w:t>Véase,</w:t>
      </w:r>
      <w:r>
        <w:rPr>
          <w:spacing w:val="-4"/>
          <w:sz w:val="13"/>
        </w:rPr>
        <w:t xml:space="preserve"> </w:t>
      </w:r>
      <w:r>
        <w:rPr>
          <w:sz w:val="13"/>
        </w:rPr>
        <w:t>por</w:t>
      </w:r>
      <w:r>
        <w:rPr>
          <w:spacing w:val="-4"/>
          <w:sz w:val="13"/>
        </w:rPr>
        <w:t xml:space="preserve"> </w:t>
      </w:r>
      <w:r>
        <w:rPr>
          <w:sz w:val="13"/>
        </w:rPr>
        <w:t>ejemplo,</w:t>
      </w:r>
      <w:r>
        <w:rPr>
          <w:spacing w:val="-4"/>
          <w:sz w:val="13"/>
        </w:rPr>
        <w:t xml:space="preserve"> </w:t>
      </w:r>
      <w:r>
        <w:rPr>
          <w:sz w:val="13"/>
        </w:rPr>
        <w:t>Tribunal</w:t>
      </w:r>
      <w:r>
        <w:rPr>
          <w:spacing w:val="-4"/>
          <w:sz w:val="13"/>
        </w:rPr>
        <w:t xml:space="preserve"> </w:t>
      </w:r>
      <w:r>
        <w:rPr>
          <w:sz w:val="13"/>
        </w:rPr>
        <w:t>de</w:t>
      </w:r>
      <w:r>
        <w:rPr>
          <w:spacing w:val="-4"/>
          <w:sz w:val="13"/>
        </w:rPr>
        <w:t xml:space="preserve"> </w:t>
      </w:r>
      <w:r>
        <w:rPr>
          <w:sz w:val="13"/>
        </w:rPr>
        <w:t>Justicia</w:t>
      </w:r>
      <w:r>
        <w:rPr>
          <w:spacing w:val="-4"/>
          <w:sz w:val="13"/>
        </w:rPr>
        <w:t xml:space="preserve"> </w:t>
      </w:r>
      <w:r>
        <w:rPr>
          <w:sz w:val="13"/>
        </w:rPr>
        <w:t>de</w:t>
      </w:r>
      <w:r>
        <w:rPr>
          <w:spacing w:val="-4"/>
          <w:sz w:val="13"/>
        </w:rPr>
        <w:t xml:space="preserve"> </w:t>
      </w:r>
      <w:r>
        <w:rPr>
          <w:sz w:val="13"/>
        </w:rPr>
        <w:t>la</w:t>
      </w:r>
      <w:r>
        <w:rPr>
          <w:spacing w:val="-4"/>
          <w:sz w:val="13"/>
        </w:rPr>
        <w:t xml:space="preserve"> </w:t>
      </w:r>
      <w:r>
        <w:rPr>
          <w:sz w:val="13"/>
        </w:rPr>
        <w:t>Unión</w:t>
      </w:r>
      <w:r>
        <w:rPr>
          <w:spacing w:val="-4"/>
          <w:sz w:val="13"/>
        </w:rPr>
        <w:t xml:space="preserve"> </w:t>
      </w:r>
      <w:r>
        <w:rPr>
          <w:sz w:val="13"/>
        </w:rPr>
        <w:t>Europea,</w:t>
      </w:r>
      <w:r>
        <w:rPr>
          <w:spacing w:val="-4"/>
          <w:sz w:val="13"/>
        </w:rPr>
        <w:t xml:space="preserve"> </w:t>
      </w:r>
      <w:r>
        <w:rPr>
          <w:sz w:val="13"/>
        </w:rPr>
        <w:t>CHEZ</w:t>
      </w:r>
      <w:r>
        <w:rPr>
          <w:spacing w:val="-4"/>
          <w:sz w:val="13"/>
        </w:rPr>
        <w:t xml:space="preserve"> </w:t>
      </w:r>
      <w:proofErr w:type="spellStart"/>
      <w:r>
        <w:rPr>
          <w:sz w:val="13"/>
        </w:rPr>
        <w:t>Razpredelenie</w:t>
      </w:r>
      <w:proofErr w:type="spellEnd"/>
      <w:r>
        <w:rPr>
          <w:spacing w:val="-4"/>
          <w:sz w:val="13"/>
        </w:rPr>
        <w:t xml:space="preserve"> </w:t>
      </w:r>
      <w:r>
        <w:rPr>
          <w:sz w:val="13"/>
        </w:rPr>
        <w:t>Bulgaria</w:t>
      </w:r>
      <w:r>
        <w:rPr>
          <w:spacing w:val="-4"/>
          <w:sz w:val="13"/>
        </w:rPr>
        <w:t xml:space="preserve"> </w:t>
      </w:r>
      <w:r>
        <w:rPr>
          <w:sz w:val="13"/>
        </w:rPr>
        <w:t>AD</w:t>
      </w:r>
      <w:r>
        <w:rPr>
          <w:spacing w:val="-4"/>
          <w:sz w:val="13"/>
        </w:rPr>
        <w:t xml:space="preserve"> </w:t>
      </w:r>
      <w:r>
        <w:rPr>
          <w:sz w:val="13"/>
        </w:rPr>
        <w:t>c.</w:t>
      </w:r>
      <w:r>
        <w:rPr>
          <w:spacing w:val="-4"/>
          <w:sz w:val="13"/>
        </w:rPr>
        <w:t xml:space="preserve"> </w:t>
      </w:r>
      <w:proofErr w:type="spellStart"/>
      <w:r>
        <w:rPr>
          <w:sz w:val="13"/>
        </w:rPr>
        <w:t>Komisia</w:t>
      </w:r>
      <w:proofErr w:type="spellEnd"/>
      <w:r>
        <w:rPr>
          <w:spacing w:val="-4"/>
          <w:sz w:val="13"/>
        </w:rPr>
        <w:t xml:space="preserve"> </w:t>
      </w:r>
      <w:proofErr w:type="spellStart"/>
      <w:r>
        <w:rPr>
          <w:sz w:val="13"/>
        </w:rPr>
        <w:t>za</w:t>
      </w:r>
      <w:proofErr w:type="spellEnd"/>
      <w:r>
        <w:rPr>
          <w:spacing w:val="-4"/>
          <w:sz w:val="13"/>
        </w:rPr>
        <w:t xml:space="preserve"> </w:t>
      </w:r>
      <w:proofErr w:type="spellStart"/>
      <w:r>
        <w:rPr>
          <w:sz w:val="13"/>
        </w:rPr>
        <w:t>zashtita</w:t>
      </w:r>
      <w:proofErr w:type="spellEnd"/>
      <w:r>
        <w:rPr>
          <w:spacing w:val="-4"/>
          <w:sz w:val="13"/>
        </w:rPr>
        <w:t xml:space="preserve"> </w:t>
      </w:r>
      <w:proofErr w:type="spellStart"/>
      <w:r>
        <w:rPr>
          <w:sz w:val="13"/>
        </w:rPr>
        <w:t>ot</w:t>
      </w:r>
      <w:proofErr w:type="spellEnd"/>
      <w:r>
        <w:rPr>
          <w:spacing w:val="-4"/>
          <w:sz w:val="13"/>
        </w:rPr>
        <w:t xml:space="preserve"> </w:t>
      </w:r>
      <w:proofErr w:type="spellStart"/>
      <w:r>
        <w:rPr>
          <w:sz w:val="13"/>
        </w:rPr>
        <w:t>diskriminatsia</w:t>
      </w:r>
      <w:proofErr w:type="spellEnd"/>
      <w:r>
        <w:rPr>
          <w:sz w:val="13"/>
        </w:rPr>
        <w:t>,</w:t>
      </w:r>
      <w:r>
        <w:rPr>
          <w:spacing w:val="-4"/>
          <w:sz w:val="13"/>
        </w:rPr>
        <w:t xml:space="preserve"> </w:t>
      </w:r>
      <w:r>
        <w:rPr>
          <w:sz w:val="13"/>
        </w:rPr>
        <w:t>asunto</w:t>
      </w:r>
      <w:r>
        <w:rPr>
          <w:spacing w:val="-4"/>
          <w:sz w:val="13"/>
        </w:rPr>
        <w:t xml:space="preserve"> </w:t>
      </w:r>
      <w:r>
        <w:rPr>
          <w:sz w:val="13"/>
        </w:rPr>
        <w:t>C83/14,</w:t>
      </w:r>
      <w:r>
        <w:rPr>
          <w:spacing w:val="40"/>
          <w:sz w:val="13"/>
        </w:rPr>
        <w:t xml:space="preserve"> </w:t>
      </w:r>
      <w:r>
        <w:rPr>
          <w:sz w:val="13"/>
        </w:rPr>
        <w:t>sentencia</w:t>
      </w:r>
      <w:r>
        <w:rPr>
          <w:spacing w:val="-1"/>
          <w:sz w:val="13"/>
        </w:rPr>
        <w:t xml:space="preserve"> </w:t>
      </w:r>
      <w:r>
        <w:rPr>
          <w:sz w:val="13"/>
        </w:rPr>
        <w:t>de</w:t>
      </w:r>
      <w:r>
        <w:rPr>
          <w:spacing w:val="-1"/>
          <w:sz w:val="13"/>
        </w:rPr>
        <w:t xml:space="preserve"> </w:t>
      </w:r>
      <w:r>
        <w:rPr>
          <w:sz w:val="13"/>
        </w:rPr>
        <w:t>16</w:t>
      </w:r>
      <w:r>
        <w:rPr>
          <w:spacing w:val="-1"/>
          <w:sz w:val="13"/>
        </w:rPr>
        <w:t xml:space="preserve"> </w:t>
      </w:r>
      <w:r>
        <w:rPr>
          <w:sz w:val="13"/>
        </w:rPr>
        <w:t>de</w:t>
      </w:r>
      <w:r>
        <w:rPr>
          <w:spacing w:val="-1"/>
          <w:sz w:val="13"/>
        </w:rPr>
        <w:t xml:space="preserve"> </w:t>
      </w:r>
      <w:r>
        <w:rPr>
          <w:sz w:val="13"/>
        </w:rPr>
        <w:t>julio</w:t>
      </w:r>
      <w:r>
        <w:rPr>
          <w:spacing w:val="-1"/>
          <w:sz w:val="13"/>
        </w:rPr>
        <w:t xml:space="preserve"> </w:t>
      </w:r>
      <w:r>
        <w:rPr>
          <w:sz w:val="13"/>
        </w:rPr>
        <w:t>de</w:t>
      </w:r>
      <w:r>
        <w:rPr>
          <w:spacing w:val="-1"/>
          <w:sz w:val="13"/>
        </w:rPr>
        <w:t xml:space="preserve"> </w:t>
      </w:r>
      <w:r>
        <w:rPr>
          <w:sz w:val="13"/>
        </w:rPr>
        <w:t>2015,</w:t>
      </w:r>
      <w:r>
        <w:rPr>
          <w:spacing w:val="-1"/>
          <w:sz w:val="13"/>
        </w:rPr>
        <w:t xml:space="preserve"> </w:t>
      </w:r>
      <w:r>
        <w:rPr>
          <w:sz w:val="13"/>
        </w:rPr>
        <w:t>en</w:t>
      </w:r>
      <w:r>
        <w:rPr>
          <w:spacing w:val="-1"/>
          <w:sz w:val="13"/>
        </w:rPr>
        <w:t xml:space="preserve"> </w:t>
      </w:r>
      <w:r>
        <w:rPr>
          <w:sz w:val="13"/>
        </w:rPr>
        <w:t>particular</w:t>
      </w:r>
      <w:r>
        <w:rPr>
          <w:spacing w:val="-1"/>
          <w:sz w:val="13"/>
        </w:rPr>
        <w:t xml:space="preserve"> </w:t>
      </w:r>
      <w:r>
        <w:rPr>
          <w:sz w:val="13"/>
        </w:rPr>
        <w:t>el</w:t>
      </w:r>
      <w:r>
        <w:rPr>
          <w:spacing w:val="-1"/>
          <w:sz w:val="13"/>
        </w:rPr>
        <w:t xml:space="preserve"> </w:t>
      </w:r>
      <w:r>
        <w:rPr>
          <w:sz w:val="13"/>
        </w:rPr>
        <w:t>dictamen</w:t>
      </w:r>
      <w:r>
        <w:rPr>
          <w:spacing w:val="-1"/>
          <w:sz w:val="13"/>
        </w:rPr>
        <w:t xml:space="preserve"> </w:t>
      </w:r>
      <w:r>
        <w:rPr>
          <w:sz w:val="13"/>
        </w:rPr>
        <w:t>del</w:t>
      </w:r>
      <w:r>
        <w:rPr>
          <w:spacing w:val="-1"/>
          <w:sz w:val="13"/>
        </w:rPr>
        <w:t xml:space="preserve"> </w:t>
      </w:r>
      <w:r>
        <w:rPr>
          <w:sz w:val="13"/>
        </w:rPr>
        <w:t>Abogado</w:t>
      </w:r>
      <w:r>
        <w:rPr>
          <w:spacing w:val="-1"/>
          <w:sz w:val="13"/>
        </w:rPr>
        <w:t xml:space="preserve"> </w:t>
      </w:r>
      <w:r>
        <w:rPr>
          <w:sz w:val="13"/>
        </w:rPr>
        <w:t>General</w:t>
      </w:r>
      <w:r>
        <w:rPr>
          <w:spacing w:val="-1"/>
          <w:sz w:val="13"/>
        </w:rPr>
        <w:t xml:space="preserve"> </w:t>
      </w:r>
      <w:proofErr w:type="spellStart"/>
      <w:r>
        <w:rPr>
          <w:sz w:val="13"/>
        </w:rPr>
        <w:t>Kokott</w:t>
      </w:r>
      <w:proofErr w:type="spellEnd"/>
      <w:r>
        <w:rPr>
          <w:spacing w:val="-1"/>
          <w:sz w:val="13"/>
        </w:rPr>
        <w:t xml:space="preserve"> </w:t>
      </w:r>
      <w:r>
        <w:rPr>
          <w:sz w:val="13"/>
        </w:rPr>
        <w:t>emitido</w:t>
      </w:r>
      <w:r>
        <w:rPr>
          <w:spacing w:val="-1"/>
          <w:sz w:val="13"/>
        </w:rPr>
        <w:t xml:space="preserve"> </w:t>
      </w:r>
      <w:r>
        <w:rPr>
          <w:sz w:val="13"/>
        </w:rPr>
        <w:t>el</w:t>
      </w:r>
      <w:r>
        <w:rPr>
          <w:spacing w:val="-1"/>
          <w:sz w:val="13"/>
        </w:rPr>
        <w:t xml:space="preserve"> </w:t>
      </w:r>
      <w:r>
        <w:rPr>
          <w:sz w:val="13"/>
        </w:rPr>
        <w:t>12</w:t>
      </w:r>
      <w:r>
        <w:rPr>
          <w:spacing w:val="-1"/>
          <w:sz w:val="13"/>
        </w:rPr>
        <w:t xml:space="preserve"> </w:t>
      </w:r>
      <w:r>
        <w:rPr>
          <w:sz w:val="13"/>
        </w:rPr>
        <w:t>de</w:t>
      </w:r>
      <w:r>
        <w:rPr>
          <w:spacing w:val="-1"/>
          <w:sz w:val="13"/>
        </w:rPr>
        <w:t xml:space="preserve"> </w:t>
      </w:r>
      <w:r>
        <w:rPr>
          <w:sz w:val="13"/>
        </w:rPr>
        <w:t>marzo</w:t>
      </w:r>
      <w:r>
        <w:rPr>
          <w:spacing w:val="-1"/>
          <w:sz w:val="13"/>
        </w:rPr>
        <w:t xml:space="preserve"> </w:t>
      </w:r>
      <w:r>
        <w:rPr>
          <w:sz w:val="13"/>
        </w:rPr>
        <w:t>de</w:t>
      </w:r>
      <w:r>
        <w:rPr>
          <w:spacing w:val="-1"/>
          <w:sz w:val="13"/>
        </w:rPr>
        <w:t xml:space="preserve"> </w:t>
      </w:r>
      <w:r>
        <w:rPr>
          <w:sz w:val="13"/>
        </w:rPr>
        <w:t>2015.</w:t>
      </w:r>
    </w:p>
    <w:p w14:paraId="50754405" w14:textId="77777777" w:rsidR="0014798C" w:rsidRDefault="004E1F0B">
      <w:pPr>
        <w:spacing w:before="88"/>
        <w:ind w:left="1111"/>
        <w:rPr>
          <w:sz w:val="10"/>
        </w:rPr>
      </w:pPr>
      <w:r>
        <w:rPr>
          <w:w w:val="105"/>
          <w:sz w:val="10"/>
        </w:rPr>
        <w:t>1237</w:t>
      </w:r>
      <w:r>
        <w:rPr>
          <w:spacing w:val="-4"/>
          <w:w w:val="105"/>
          <w:sz w:val="10"/>
        </w:rPr>
        <w:t xml:space="preserve"> </w:t>
      </w:r>
      <w:r>
        <w:rPr>
          <w:spacing w:val="-2"/>
          <w:w w:val="105"/>
          <w:sz w:val="10"/>
        </w:rPr>
        <w:t>A/74/358.</w:t>
      </w:r>
    </w:p>
    <w:p w14:paraId="3DBF5227" w14:textId="77777777" w:rsidR="0014798C" w:rsidRDefault="004E1F0B">
      <w:pPr>
        <w:spacing w:before="91"/>
        <w:ind w:left="1111"/>
        <w:rPr>
          <w:sz w:val="13"/>
        </w:rPr>
      </w:pPr>
      <w:r>
        <w:rPr>
          <w:spacing w:val="-4"/>
          <w:sz w:val="13"/>
          <w:vertAlign w:val="superscript"/>
        </w:rPr>
        <w:t>1238</w:t>
      </w:r>
      <w:r>
        <w:rPr>
          <w:spacing w:val="41"/>
          <w:sz w:val="13"/>
        </w:rPr>
        <w:t xml:space="preserve"> </w:t>
      </w:r>
      <w:r>
        <w:rPr>
          <w:spacing w:val="-4"/>
          <w:sz w:val="13"/>
        </w:rPr>
        <w:t>Véanse,</w:t>
      </w:r>
      <w:r>
        <w:rPr>
          <w:spacing w:val="3"/>
          <w:sz w:val="13"/>
        </w:rPr>
        <w:t xml:space="preserve"> </w:t>
      </w:r>
      <w:r>
        <w:rPr>
          <w:spacing w:val="-4"/>
          <w:sz w:val="13"/>
        </w:rPr>
        <w:t>por</w:t>
      </w:r>
      <w:r>
        <w:rPr>
          <w:spacing w:val="3"/>
          <w:sz w:val="13"/>
        </w:rPr>
        <w:t xml:space="preserve"> </w:t>
      </w:r>
      <w:r>
        <w:rPr>
          <w:spacing w:val="-4"/>
          <w:sz w:val="13"/>
        </w:rPr>
        <w:t>ejemplo,</w:t>
      </w:r>
      <w:r>
        <w:rPr>
          <w:spacing w:val="4"/>
          <w:sz w:val="13"/>
        </w:rPr>
        <w:t xml:space="preserve"> </w:t>
      </w:r>
      <w:r>
        <w:rPr>
          <w:spacing w:val="-4"/>
          <w:sz w:val="13"/>
        </w:rPr>
        <w:t>A/74/195;</w:t>
      </w:r>
      <w:r>
        <w:rPr>
          <w:spacing w:val="3"/>
          <w:sz w:val="13"/>
        </w:rPr>
        <w:t xml:space="preserve"> </w:t>
      </w:r>
      <w:r>
        <w:rPr>
          <w:spacing w:val="-4"/>
          <w:sz w:val="13"/>
        </w:rPr>
        <w:t>A/74/215;</w:t>
      </w:r>
      <w:r>
        <w:rPr>
          <w:spacing w:val="4"/>
          <w:sz w:val="13"/>
        </w:rPr>
        <w:t xml:space="preserve"> </w:t>
      </w:r>
      <w:r>
        <w:rPr>
          <w:spacing w:val="-4"/>
          <w:sz w:val="13"/>
        </w:rPr>
        <w:t>A/HRC/43/28;</w:t>
      </w:r>
      <w:r>
        <w:rPr>
          <w:spacing w:val="3"/>
          <w:sz w:val="13"/>
        </w:rPr>
        <w:t xml:space="preserve"> </w:t>
      </w:r>
      <w:r>
        <w:rPr>
          <w:spacing w:val="-4"/>
          <w:sz w:val="13"/>
        </w:rPr>
        <w:t>y</w:t>
      </w:r>
      <w:r>
        <w:rPr>
          <w:spacing w:val="2"/>
          <w:sz w:val="13"/>
        </w:rPr>
        <w:t xml:space="preserve"> </w:t>
      </w:r>
      <w:r>
        <w:rPr>
          <w:spacing w:val="-4"/>
          <w:sz w:val="13"/>
        </w:rPr>
        <w:t>Naciones</w:t>
      </w:r>
      <w:r>
        <w:rPr>
          <w:spacing w:val="3"/>
          <w:sz w:val="13"/>
        </w:rPr>
        <w:t xml:space="preserve"> </w:t>
      </w:r>
      <w:r>
        <w:rPr>
          <w:spacing w:val="-4"/>
          <w:sz w:val="13"/>
        </w:rPr>
        <w:t>Unidas,</w:t>
      </w:r>
      <w:r>
        <w:rPr>
          <w:spacing w:val="3"/>
          <w:sz w:val="13"/>
        </w:rPr>
        <w:t xml:space="preserve"> </w:t>
      </w:r>
      <w:r>
        <w:rPr>
          <w:spacing w:val="-4"/>
          <w:sz w:val="13"/>
        </w:rPr>
        <w:t>“Estrategia</w:t>
      </w:r>
      <w:r>
        <w:rPr>
          <w:spacing w:val="3"/>
          <w:sz w:val="13"/>
        </w:rPr>
        <w:t xml:space="preserve"> </w:t>
      </w:r>
      <w:r>
        <w:rPr>
          <w:spacing w:val="-4"/>
          <w:sz w:val="13"/>
        </w:rPr>
        <w:t>y</w:t>
      </w:r>
      <w:r>
        <w:rPr>
          <w:spacing w:val="2"/>
          <w:sz w:val="13"/>
        </w:rPr>
        <w:t xml:space="preserve"> </w:t>
      </w:r>
      <w:r>
        <w:rPr>
          <w:spacing w:val="-4"/>
          <w:sz w:val="13"/>
        </w:rPr>
        <w:t>plan</w:t>
      </w:r>
      <w:r>
        <w:rPr>
          <w:spacing w:val="3"/>
          <w:sz w:val="13"/>
        </w:rPr>
        <w:t xml:space="preserve"> </w:t>
      </w:r>
      <w:r>
        <w:rPr>
          <w:spacing w:val="-4"/>
          <w:sz w:val="13"/>
        </w:rPr>
        <w:t>de</w:t>
      </w:r>
      <w:r>
        <w:rPr>
          <w:spacing w:val="3"/>
          <w:sz w:val="13"/>
        </w:rPr>
        <w:t xml:space="preserve"> </w:t>
      </w:r>
      <w:r>
        <w:rPr>
          <w:spacing w:val="-4"/>
          <w:sz w:val="13"/>
        </w:rPr>
        <w:t>acción</w:t>
      </w:r>
      <w:r>
        <w:rPr>
          <w:spacing w:val="2"/>
          <w:sz w:val="13"/>
        </w:rPr>
        <w:t xml:space="preserve"> </w:t>
      </w:r>
      <w:r>
        <w:rPr>
          <w:spacing w:val="-4"/>
          <w:sz w:val="13"/>
        </w:rPr>
        <w:t>de</w:t>
      </w:r>
      <w:r>
        <w:rPr>
          <w:spacing w:val="3"/>
          <w:sz w:val="13"/>
        </w:rPr>
        <w:t xml:space="preserve"> </w:t>
      </w:r>
      <w:r>
        <w:rPr>
          <w:spacing w:val="-4"/>
          <w:sz w:val="13"/>
        </w:rPr>
        <w:t>las</w:t>
      </w:r>
      <w:r>
        <w:rPr>
          <w:spacing w:val="2"/>
          <w:sz w:val="13"/>
        </w:rPr>
        <w:t xml:space="preserve"> </w:t>
      </w:r>
      <w:r>
        <w:rPr>
          <w:spacing w:val="-4"/>
          <w:sz w:val="13"/>
        </w:rPr>
        <w:t>Naciones</w:t>
      </w:r>
      <w:r>
        <w:rPr>
          <w:spacing w:val="3"/>
          <w:sz w:val="13"/>
        </w:rPr>
        <w:t xml:space="preserve"> </w:t>
      </w:r>
      <w:r>
        <w:rPr>
          <w:spacing w:val="-4"/>
          <w:sz w:val="13"/>
        </w:rPr>
        <w:t>Unidas</w:t>
      </w:r>
      <w:r>
        <w:rPr>
          <w:spacing w:val="2"/>
          <w:sz w:val="13"/>
        </w:rPr>
        <w:t xml:space="preserve"> </w:t>
      </w:r>
      <w:r>
        <w:rPr>
          <w:spacing w:val="-4"/>
          <w:sz w:val="13"/>
        </w:rPr>
        <w:t>sobre</w:t>
      </w:r>
      <w:r>
        <w:rPr>
          <w:spacing w:val="3"/>
          <w:sz w:val="13"/>
        </w:rPr>
        <w:t xml:space="preserve"> </w:t>
      </w:r>
      <w:r>
        <w:rPr>
          <w:spacing w:val="-4"/>
          <w:sz w:val="13"/>
        </w:rPr>
        <w:t>el</w:t>
      </w:r>
      <w:r>
        <w:rPr>
          <w:spacing w:val="3"/>
          <w:sz w:val="13"/>
        </w:rPr>
        <w:t xml:space="preserve"> </w:t>
      </w:r>
      <w:r>
        <w:rPr>
          <w:spacing w:val="-4"/>
          <w:sz w:val="13"/>
        </w:rPr>
        <w:t>discurso</w:t>
      </w:r>
      <w:r>
        <w:rPr>
          <w:spacing w:val="2"/>
          <w:sz w:val="13"/>
        </w:rPr>
        <w:t xml:space="preserve"> </w:t>
      </w:r>
      <w:r>
        <w:rPr>
          <w:spacing w:val="-4"/>
          <w:sz w:val="13"/>
        </w:rPr>
        <w:t>de</w:t>
      </w:r>
      <w:r>
        <w:rPr>
          <w:spacing w:val="3"/>
          <w:sz w:val="13"/>
        </w:rPr>
        <w:t xml:space="preserve"> </w:t>
      </w:r>
      <w:r>
        <w:rPr>
          <w:spacing w:val="-4"/>
          <w:sz w:val="13"/>
        </w:rPr>
        <w:t>odio”.</w:t>
      </w:r>
    </w:p>
    <w:p w14:paraId="6FBF6FF1" w14:textId="77777777" w:rsidR="0014798C" w:rsidRDefault="0014798C">
      <w:pPr>
        <w:pStyle w:val="Textoindependiente"/>
        <w:spacing w:before="34"/>
        <w:rPr>
          <w:sz w:val="10"/>
        </w:rPr>
      </w:pPr>
    </w:p>
    <w:p w14:paraId="1E365F39" w14:textId="77777777" w:rsidR="0014798C" w:rsidRDefault="004E1F0B">
      <w:pPr>
        <w:ind w:left="1111"/>
        <w:rPr>
          <w:sz w:val="10"/>
        </w:rPr>
      </w:pPr>
      <w:r>
        <w:rPr>
          <w:sz w:val="10"/>
        </w:rPr>
        <w:t>1239</w:t>
      </w:r>
      <w:r>
        <w:rPr>
          <w:spacing w:val="2"/>
          <w:sz w:val="10"/>
        </w:rPr>
        <w:t xml:space="preserve"> </w:t>
      </w:r>
      <w:r>
        <w:rPr>
          <w:sz w:val="10"/>
        </w:rPr>
        <w:t>Resolución</w:t>
      </w:r>
      <w:r>
        <w:rPr>
          <w:spacing w:val="3"/>
          <w:sz w:val="10"/>
        </w:rPr>
        <w:t xml:space="preserve"> </w:t>
      </w:r>
      <w:r>
        <w:rPr>
          <w:sz w:val="10"/>
        </w:rPr>
        <w:t>26/4</w:t>
      </w:r>
      <w:r>
        <w:rPr>
          <w:spacing w:val="3"/>
          <w:sz w:val="10"/>
        </w:rPr>
        <w:t xml:space="preserve"> </w:t>
      </w:r>
      <w:r>
        <w:rPr>
          <w:sz w:val="10"/>
        </w:rPr>
        <w:t>del</w:t>
      </w:r>
      <w:r>
        <w:rPr>
          <w:spacing w:val="3"/>
          <w:sz w:val="10"/>
        </w:rPr>
        <w:t xml:space="preserve"> </w:t>
      </w:r>
      <w:r>
        <w:rPr>
          <w:sz w:val="10"/>
        </w:rPr>
        <w:t>Consejo</w:t>
      </w:r>
      <w:r>
        <w:rPr>
          <w:spacing w:val="3"/>
          <w:sz w:val="10"/>
        </w:rPr>
        <w:t xml:space="preserve"> </w:t>
      </w:r>
      <w:r>
        <w:rPr>
          <w:sz w:val="10"/>
        </w:rPr>
        <w:t>de</w:t>
      </w:r>
      <w:r>
        <w:rPr>
          <w:spacing w:val="2"/>
          <w:sz w:val="10"/>
        </w:rPr>
        <w:t xml:space="preserve"> </w:t>
      </w:r>
      <w:r>
        <w:rPr>
          <w:sz w:val="10"/>
        </w:rPr>
        <w:t>Derechos</w:t>
      </w:r>
      <w:r>
        <w:rPr>
          <w:spacing w:val="3"/>
          <w:sz w:val="10"/>
        </w:rPr>
        <w:t xml:space="preserve"> </w:t>
      </w:r>
      <w:r>
        <w:rPr>
          <w:sz w:val="10"/>
        </w:rPr>
        <w:t>Humanos;</w:t>
      </w:r>
      <w:r>
        <w:rPr>
          <w:spacing w:val="3"/>
          <w:sz w:val="10"/>
        </w:rPr>
        <w:t xml:space="preserve"> </w:t>
      </w:r>
      <w:r>
        <w:rPr>
          <w:sz w:val="10"/>
        </w:rPr>
        <w:t>y</w:t>
      </w:r>
      <w:r>
        <w:rPr>
          <w:spacing w:val="3"/>
          <w:sz w:val="10"/>
        </w:rPr>
        <w:t xml:space="preserve"> </w:t>
      </w:r>
      <w:r>
        <w:rPr>
          <w:spacing w:val="-2"/>
          <w:sz w:val="10"/>
        </w:rPr>
        <w:t>A/HRC/29/24.</w:t>
      </w:r>
    </w:p>
    <w:p w14:paraId="26EFCC20" w14:textId="77777777" w:rsidR="0014798C" w:rsidRDefault="0014798C">
      <w:pPr>
        <w:pStyle w:val="Textoindependiente"/>
        <w:rPr>
          <w:sz w:val="17"/>
        </w:rPr>
      </w:pPr>
    </w:p>
    <w:p w14:paraId="5876A6DD" w14:textId="77777777" w:rsidR="0014798C" w:rsidRDefault="0014798C">
      <w:pPr>
        <w:pStyle w:val="Textoindependiente"/>
        <w:rPr>
          <w:sz w:val="17"/>
        </w:rPr>
      </w:pPr>
    </w:p>
    <w:p w14:paraId="5AEC51D0" w14:textId="77777777" w:rsidR="0014798C" w:rsidRDefault="0014798C">
      <w:pPr>
        <w:pStyle w:val="Textoindependiente"/>
        <w:spacing w:before="35"/>
        <w:rPr>
          <w:sz w:val="17"/>
        </w:rPr>
      </w:pPr>
    </w:p>
    <w:p w14:paraId="370B771F" w14:textId="77777777" w:rsidR="0014798C" w:rsidRDefault="004E1F0B">
      <w:pPr>
        <w:ind w:left="486"/>
        <w:rPr>
          <w:sz w:val="17"/>
        </w:rPr>
      </w:pPr>
      <w:r>
        <w:rPr>
          <w:spacing w:val="-5"/>
          <w:w w:val="105"/>
          <w:sz w:val="17"/>
        </w:rPr>
        <w:t>194</w:t>
      </w:r>
    </w:p>
    <w:p w14:paraId="4DE5C2F1" w14:textId="77777777" w:rsidR="0014798C" w:rsidRDefault="0014798C">
      <w:pPr>
        <w:rPr>
          <w:sz w:val="17"/>
        </w:rPr>
        <w:sectPr w:rsidR="0014798C" w:rsidSect="00F265E4">
          <w:pgSz w:w="11900" w:h="16820"/>
          <w:pgMar w:top="340" w:right="0" w:bottom="280" w:left="200" w:header="121" w:footer="0" w:gutter="0"/>
          <w:cols w:space="720"/>
        </w:sectPr>
      </w:pPr>
    </w:p>
    <w:p w14:paraId="027479DC" w14:textId="77777777" w:rsidR="0014798C" w:rsidRDefault="0014798C">
      <w:pPr>
        <w:pStyle w:val="Textoindependiente"/>
        <w:spacing w:before="103"/>
        <w:rPr>
          <w:sz w:val="11"/>
        </w:rPr>
      </w:pPr>
    </w:p>
    <w:p w14:paraId="4973AC63" w14:textId="77777777" w:rsidR="0014798C" w:rsidRDefault="004E1F0B">
      <w:pPr>
        <w:ind w:left="1111"/>
        <w:rPr>
          <w:sz w:val="11"/>
        </w:rPr>
      </w:pPr>
      <w:r>
        <w:rPr>
          <w:color w:val="FBB315"/>
          <w:w w:val="105"/>
          <w:sz w:val="11"/>
        </w:rPr>
        <w:t>PARTE</w:t>
      </w:r>
      <w:r>
        <w:rPr>
          <w:color w:val="FBB315"/>
          <w:spacing w:val="-2"/>
          <w:w w:val="105"/>
          <w:sz w:val="11"/>
        </w:rPr>
        <w:t xml:space="preserve"> </w:t>
      </w:r>
      <w:r>
        <w:rPr>
          <w:color w:val="FBB315"/>
          <w:w w:val="105"/>
          <w:sz w:val="11"/>
        </w:rPr>
        <w:t>SEIS:</w:t>
      </w:r>
      <w:r>
        <w:rPr>
          <w:color w:val="FBB315"/>
          <w:spacing w:val="-1"/>
          <w:w w:val="105"/>
          <w:sz w:val="11"/>
        </w:rPr>
        <w:t xml:space="preserve"> </w:t>
      </w:r>
      <w:r>
        <w:rPr>
          <w:color w:val="FBB315"/>
          <w:w w:val="105"/>
          <w:sz w:val="11"/>
        </w:rPr>
        <w:t>PROMOCIÓN</w:t>
      </w:r>
      <w:r>
        <w:rPr>
          <w:color w:val="FBB315"/>
          <w:spacing w:val="-1"/>
          <w:w w:val="105"/>
          <w:sz w:val="11"/>
        </w:rPr>
        <w:t xml:space="preserve"> </w:t>
      </w:r>
      <w:r>
        <w:rPr>
          <w:color w:val="FBB315"/>
          <w:w w:val="105"/>
          <w:sz w:val="11"/>
        </w:rPr>
        <w:t>DE</w:t>
      </w:r>
      <w:r>
        <w:rPr>
          <w:color w:val="FBB315"/>
          <w:spacing w:val="-1"/>
          <w:w w:val="105"/>
          <w:sz w:val="11"/>
        </w:rPr>
        <w:t xml:space="preserve"> </w:t>
      </w:r>
      <w:r>
        <w:rPr>
          <w:color w:val="FBB315"/>
          <w:w w:val="105"/>
          <w:sz w:val="11"/>
        </w:rPr>
        <w:t>LA</w:t>
      </w:r>
      <w:r>
        <w:rPr>
          <w:color w:val="FBB315"/>
          <w:spacing w:val="-1"/>
          <w:w w:val="105"/>
          <w:sz w:val="11"/>
        </w:rPr>
        <w:t xml:space="preserve"> </w:t>
      </w:r>
      <w:r>
        <w:rPr>
          <w:color w:val="FBB315"/>
          <w:w w:val="105"/>
          <w:sz w:val="11"/>
        </w:rPr>
        <w:t>DIVERSIDAD</w:t>
      </w:r>
      <w:r>
        <w:rPr>
          <w:color w:val="FBB315"/>
          <w:spacing w:val="-1"/>
          <w:w w:val="105"/>
          <w:sz w:val="11"/>
        </w:rPr>
        <w:t xml:space="preserve"> </w:t>
      </w:r>
      <w:r>
        <w:rPr>
          <w:color w:val="FBB315"/>
          <w:w w:val="105"/>
          <w:sz w:val="11"/>
        </w:rPr>
        <w:t>Y</w:t>
      </w:r>
      <w:r>
        <w:rPr>
          <w:color w:val="FBB315"/>
          <w:spacing w:val="-1"/>
          <w:w w:val="105"/>
          <w:sz w:val="11"/>
        </w:rPr>
        <w:t xml:space="preserve"> </w:t>
      </w:r>
      <w:r>
        <w:rPr>
          <w:color w:val="FBB315"/>
          <w:w w:val="105"/>
          <w:sz w:val="11"/>
        </w:rPr>
        <w:t>LA</w:t>
      </w:r>
      <w:r>
        <w:rPr>
          <w:color w:val="FBB315"/>
          <w:spacing w:val="-1"/>
          <w:w w:val="105"/>
          <w:sz w:val="11"/>
        </w:rPr>
        <w:t xml:space="preserve"> </w:t>
      </w:r>
      <w:r>
        <w:rPr>
          <w:color w:val="FBB315"/>
          <w:w w:val="105"/>
          <w:sz w:val="11"/>
        </w:rPr>
        <w:t>IGUALDAD: OBLIGACIONES DE</w:t>
      </w:r>
      <w:r>
        <w:rPr>
          <w:color w:val="FBB315"/>
          <w:spacing w:val="-1"/>
          <w:w w:val="105"/>
          <w:sz w:val="11"/>
        </w:rPr>
        <w:t xml:space="preserve"> </w:t>
      </w:r>
      <w:r>
        <w:rPr>
          <w:color w:val="FBB315"/>
          <w:w w:val="105"/>
          <w:sz w:val="11"/>
        </w:rPr>
        <w:t>ABORDAR</w:t>
      </w:r>
      <w:r>
        <w:rPr>
          <w:color w:val="FBB315"/>
          <w:spacing w:val="-2"/>
          <w:w w:val="105"/>
          <w:sz w:val="11"/>
        </w:rPr>
        <w:t xml:space="preserve"> </w:t>
      </w:r>
      <w:r>
        <w:rPr>
          <w:color w:val="FBB315"/>
          <w:w w:val="105"/>
          <w:sz w:val="11"/>
        </w:rPr>
        <w:t>LAS</w:t>
      </w:r>
      <w:r>
        <w:rPr>
          <w:color w:val="FBB315"/>
          <w:spacing w:val="-1"/>
          <w:w w:val="105"/>
          <w:sz w:val="11"/>
        </w:rPr>
        <w:t xml:space="preserve"> </w:t>
      </w:r>
      <w:r>
        <w:rPr>
          <w:color w:val="FBB315"/>
          <w:w w:val="105"/>
          <w:sz w:val="11"/>
        </w:rPr>
        <w:t>CAUSAS</w:t>
      </w:r>
      <w:r>
        <w:rPr>
          <w:color w:val="FBB315"/>
          <w:spacing w:val="-1"/>
          <w:w w:val="105"/>
          <w:sz w:val="11"/>
        </w:rPr>
        <w:t xml:space="preserve"> </w:t>
      </w:r>
      <w:r>
        <w:rPr>
          <w:color w:val="FBB315"/>
          <w:w w:val="105"/>
          <w:sz w:val="11"/>
        </w:rPr>
        <w:t>FUNDAMENTALES DE</w:t>
      </w:r>
      <w:r>
        <w:rPr>
          <w:color w:val="FBB315"/>
          <w:spacing w:val="-1"/>
          <w:w w:val="105"/>
          <w:sz w:val="11"/>
        </w:rPr>
        <w:t xml:space="preserve"> </w:t>
      </w:r>
      <w:r>
        <w:rPr>
          <w:color w:val="FBB315"/>
          <w:w w:val="105"/>
          <w:sz w:val="11"/>
        </w:rPr>
        <w:t>LA</w:t>
      </w:r>
      <w:r>
        <w:rPr>
          <w:color w:val="FBB315"/>
          <w:spacing w:val="-1"/>
          <w:w w:val="105"/>
          <w:sz w:val="11"/>
        </w:rPr>
        <w:t xml:space="preserve"> </w:t>
      </w:r>
      <w:r>
        <w:rPr>
          <w:color w:val="FBB315"/>
          <w:spacing w:val="-2"/>
          <w:w w:val="105"/>
          <w:sz w:val="11"/>
        </w:rPr>
        <w:t>DISCRIMINACIÓN</w:t>
      </w:r>
    </w:p>
    <w:p w14:paraId="75A92609" w14:textId="77777777" w:rsidR="0014798C" w:rsidRDefault="0014798C">
      <w:pPr>
        <w:pStyle w:val="Textoindependiente"/>
        <w:rPr>
          <w:sz w:val="13"/>
        </w:rPr>
      </w:pPr>
    </w:p>
    <w:p w14:paraId="75251077" w14:textId="77777777" w:rsidR="0014798C" w:rsidRDefault="0014798C">
      <w:pPr>
        <w:pStyle w:val="Textoindependiente"/>
        <w:rPr>
          <w:sz w:val="13"/>
        </w:rPr>
      </w:pPr>
    </w:p>
    <w:p w14:paraId="29F5A655" w14:textId="77777777" w:rsidR="0014798C" w:rsidRDefault="0014798C">
      <w:pPr>
        <w:pStyle w:val="Textoindependiente"/>
        <w:rPr>
          <w:sz w:val="13"/>
        </w:rPr>
      </w:pPr>
    </w:p>
    <w:p w14:paraId="4FFAE385" w14:textId="77777777" w:rsidR="0014798C" w:rsidRDefault="0014798C">
      <w:pPr>
        <w:pStyle w:val="Textoindependiente"/>
        <w:rPr>
          <w:sz w:val="13"/>
        </w:rPr>
      </w:pPr>
    </w:p>
    <w:p w14:paraId="66F73A95" w14:textId="77777777" w:rsidR="0014798C" w:rsidRDefault="0014798C">
      <w:pPr>
        <w:pStyle w:val="Textoindependiente"/>
        <w:rPr>
          <w:sz w:val="13"/>
        </w:rPr>
      </w:pPr>
    </w:p>
    <w:p w14:paraId="358F5B18" w14:textId="77777777" w:rsidR="0014798C" w:rsidRDefault="0014798C">
      <w:pPr>
        <w:pStyle w:val="Textoindependiente"/>
        <w:spacing w:before="121"/>
        <w:rPr>
          <w:sz w:val="13"/>
        </w:rPr>
      </w:pPr>
    </w:p>
    <w:p w14:paraId="57A66FF3" w14:textId="77777777" w:rsidR="0014798C" w:rsidRDefault="004E1F0B">
      <w:pPr>
        <w:spacing w:before="1" w:line="400" w:lineRule="auto"/>
        <w:ind w:left="1107" w:right="1309" w:firstLine="4"/>
        <w:rPr>
          <w:sz w:val="13"/>
        </w:rPr>
      </w:pPr>
      <w:r>
        <w:rPr>
          <w:w w:val="105"/>
          <w:sz w:val="13"/>
        </w:rPr>
        <w:t>y</w:t>
      </w:r>
      <w:r>
        <w:rPr>
          <w:spacing w:val="-6"/>
          <w:w w:val="105"/>
          <w:sz w:val="13"/>
        </w:rPr>
        <w:t xml:space="preserve"> </w:t>
      </w:r>
      <w:r>
        <w:rPr>
          <w:w w:val="105"/>
          <w:sz w:val="13"/>
        </w:rPr>
        <w:t>los</w:t>
      </w:r>
      <w:r>
        <w:rPr>
          <w:spacing w:val="-7"/>
          <w:w w:val="105"/>
          <w:sz w:val="13"/>
        </w:rPr>
        <w:t xml:space="preserve"> </w:t>
      </w:r>
      <w:r>
        <w:rPr>
          <w:w w:val="105"/>
          <w:sz w:val="13"/>
        </w:rPr>
        <w:t>estereotipos</w:t>
      </w:r>
      <w:r>
        <w:rPr>
          <w:spacing w:val="-7"/>
          <w:w w:val="105"/>
          <w:sz w:val="13"/>
        </w:rPr>
        <w:t xml:space="preserve"> </w:t>
      </w:r>
      <w:r>
        <w:rPr>
          <w:w w:val="105"/>
          <w:sz w:val="13"/>
        </w:rPr>
        <w:t>de</w:t>
      </w:r>
      <w:r>
        <w:rPr>
          <w:spacing w:val="-7"/>
          <w:w w:val="105"/>
          <w:sz w:val="13"/>
        </w:rPr>
        <w:t xml:space="preserve"> </w:t>
      </w:r>
      <w:r>
        <w:rPr>
          <w:w w:val="105"/>
          <w:sz w:val="13"/>
        </w:rPr>
        <w:t>género</w:t>
      </w:r>
      <w:r>
        <w:rPr>
          <w:spacing w:val="-6"/>
          <w:w w:val="105"/>
          <w:sz w:val="13"/>
        </w:rPr>
        <w:t xml:space="preserve"> </w:t>
      </w:r>
      <w:r>
        <w:rPr>
          <w:w w:val="105"/>
          <w:sz w:val="13"/>
        </w:rPr>
        <w:t>al</w:t>
      </w:r>
      <w:r>
        <w:rPr>
          <w:spacing w:val="-7"/>
          <w:w w:val="105"/>
          <w:sz w:val="13"/>
        </w:rPr>
        <w:t xml:space="preserve"> </w:t>
      </w:r>
      <w:r>
        <w:rPr>
          <w:w w:val="105"/>
          <w:sz w:val="13"/>
        </w:rPr>
        <w:t>perpetuar</w:t>
      </w:r>
      <w:r>
        <w:rPr>
          <w:spacing w:val="-7"/>
          <w:w w:val="105"/>
          <w:sz w:val="13"/>
        </w:rPr>
        <w:t xml:space="preserve"> </w:t>
      </w:r>
      <w:r>
        <w:rPr>
          <w:w w:val="105"/>
          <w:sz w:val="13"/>
        </w:rPr>
        <w:t>la</w:t>
      </w:r>
      <w:r>
        <w:rPr>
          <w:spacing w:val="-7"/>
          <w:w w:val="105"/>
          <w:sz w:val="13"/>
        </w:rPr>
        <w:t xml:space="preserve"> </w:t>
      </w:r>
      <w:r>
        <w:rPr>
          <w:w w:val="105"/>
          <w:sz w:val="13"/>
        </w:rPr>
        <w:t>discriminación</w:t>
      </w:r>
      <w:r>
        <w:rPr>
          <w:spacing w:val="-6"/>
          <w:w w:val="105"/>
          <w:sz w:val="13"/>
        </w:rPr>
        <w:t xml:space="preserve"> </w:t>
      </w:r>
      <w:r>
        <w:rPr>
          <w:w w:val="105"/>
          <w:sz w:val="13"/>
        </w:rPr>
        <w:t>contra</w:t>
      </w:r>
      <w:r>
        <w:rPr>
          <w:spacing w:val="-7"/>
          <w:w w:val="105"/>
          <w:sz w:val="13"/>
        </w:rPr>
        <w:t xml:space="preserve"> </w:t>
      </w:r>
      <w:r>
        <w:rPr>
          <w:w w:val="105"/>
          <w:sz w:val="13"/>
        </w:rPr>
        <w:t>las</w:t>
      </w:r>
      <w:r>
        <w:rPr>
          <w:spacing w:val="-7"/>
          <w:w w:val="105"/>
          <w:sz w:val="13"/>
        </w:rPr>
        <w:t xml:space="preserve"> </w:t>
      </w:r>
      <w:r>
        <w:rPr>
          <w:w w:val="105"/>
          <w:sz w:val="13"/>
        </w:rPr>
        <w:t>mujeres,1240</w:t>
      </w:r>
      <w:r>
        <w:rPr>
          <w:spacing w:val="-7"/>
          <w:w w:val="105"/>
          <w:sz w:val="13"/>
        </w:rPr>
        <w:t xml:space="preserve"> </w:t>
      </w:r>
      <w:r>
        <w:rPr>
          <w:w w:val="105"/>
          <w:sz w:val="13"/>
        </w:rPr>
        <w:t>al</w:t>
      </w:r>
      <w:r>
        <w:rPr>
          <w:spacing w:val="-7"/>
          <w:w w:val="105"/>
          <w:sz w:val="13"/>
        </w:rPr>
        <w:t xml:space="preserve"> </w:t>
      </w:r>
      <w:r>
        <w:rPr>
          <w:w w:val="105"/>
          <w:sz w:val="13"/>
        </w:rPr>
        <w:t>igual</w:t>
      </w:r>
      <w:r>
        <w:rPr>
          <w:spacing w:val="-6"/>
          <w:w w:val="105"/>
          <w:sz w:val="13"/>
        </w:rPr>
        <w:t xml:space="preserve"> </w:t>
      </w:r>
      <w:r>
        <w:rPr>
          <w:w w:val="105"/>
          <w:sz w:val="13"/>
        </w:rPr>
        <w:t>que</w:t>
      </w:r>
      <w:r>
        <w:rPr>
          <w:spacing w:val="-7"/>
          <w:w w:val="105"/>
          <w:sz w:val="13"/>
        </w:rPr>
        <w:t xml:space="preserve"> </w:t>
      </w:r>
      <w:r>
        <w:rPr>
          <w:w w:val="105"/>
          <w:sz w:val="13"/>
        </w:rPr>
        <w:t>otros</w:t>
      </w:r>
      <w:r>
        <w:rPr>
          <w:spacing w:val="-7"/>
          <w:w w:val="105"/>
          <w:sz w:val="13"/>
        </w:rPr>
        <w:t xml:space="preserve"> </w:t>
      </w:r>
      <w:r>
        <w:rPr>
          <w:w w:val="105"/>
          <w:sz w:val="13"/>
        </w:rPr>
        <w:t>órganos</w:t>
      </w:r>
      <w:r>
        <w:rPr>
          <w:spacing w:val="-7"/>
          <w:w w:val="105"/>
          <w:sz w:val="13"/>
        </w:rPr>
        <w:t xml:space="preserve"> </w:t>
      </w:r>
      <w:r>
        <w:rPr>
          <w:w w:val="105"/>
          <w:sz w:val="13"/>
        </w:rPr>
        <w:t>creados</w:t>
      </w:r>
      <w:r>
        <w:rPr>
          <w:spacing w:val="-7"/>
          <w:w w:val="105"/>
          <w:sz w:val="13"/>
        </w:rPr>
        <w:t xml:space="preserve"> </w:t>
      </w:r>
      <w:r>
        <w:rPr>
          <w:w w:val="105"/>
          <w:sz w:val="13"/>
        </w:rPr>
        <w:t>en</w:t>
      </w:r>
      <w:r>
        <w:rPr>
          <w:spacing w:val="-7"/>
          <w:w w:val="105"/>
          <w:sz w:val="13"/>
        </w:rPr>
        <w:t xml:space="preserve"> </w:t>
      </w:r>
      <w:r>
        <w:rPr>
          <w:w w:val="105"/>
          <w:sz w:val="13"/>
        </w:rPr>
        <w:t>virtud</w:t>
      </w:r>
      <w:r>
        <w:rPr>
          <w:spacing w:val="-7"/>
          <w:w w:val="105"/>
          <w:sz w:val="13"/>
        </w:rPr>
        <w:t xml:space="preserve"> </w:t>
      </w:r>
      <w:r>
        <w:rPr>
          <w:w w:val="105"/>
          <w:sz w:val="13"/>
        </w:rPr>
        <w:t>de</w:t>
      </w:r>
      <w:r>
        <w:rPr>
          <w:spacing w:val="-7"/>
          <w:w w:val="105"/>
          <w:sz w:val="13"/>
        </w:rPr>
        <w:t xml:space="preserve"> </w:t>
      </w:r>
      <w:r>
        <w:rPr>
          <w:w w:val="105"/>
          <w:sz w:val="13"/>
        </w:rPr>
        <w:t>tratados.</w:t>
      </w:r>
      <w:r>
        <w:rPr>
          <w:spacing w:val="-6"/>
          <w:w w:val="105"/>
          <w:sz w:val="13"/>
        </w:rPr>
        <w:t xml:space="preserve"> </w:t>
      </w:r>
      <w:r>
        <w:rPr>
          <w:w w:val="105"/>
          <w:sz w:val="13"/>
        </w:rPr>
        <w:t>El</w:t>
      </w:r>
      <w:r>
        <w:rPr>
          <w:spacing w:val="-7"/>
          <w:w w:val="105"/>
          <w:sz w:val="13"/>
        </w:rPr>
        <w:t xml:space="preserve"> </w:t>
      </w:r>
      <w:r>
        <w:rPr>
          <w:w w:val="105"/>
          <w:sz w:val="13"/>
        </w:rPr>
        <w:t>papel</w:t>
      </w:r>
      <w:r>
        <w:rPr>
          <w:spacing w:val="-6"/>
          <w:w w:val="105"/>
          <w:sz w:val="13"/>
        </w:rPr>
        <w:t xml:space="preserve"> </w:t>
      </w:r>
      <w:r>
        <w:rPr>
          <w:w w:val="105"/>
          <w:sz w:val="13"/>
        </w:rPr>
        <w:t>de</w:t>
      </w:r>
      <w:r>
        <w:rPr>
          <w:spacing w:val="-7"/>
          <w:w w:val="105"/>
          <w:sz w:val="13"/>
        </w:rPr>
        <w:t xml:space="preserve"> </w:t>
      </w:r>
      <w:r>
        <w:rPr>
          <w:w w:val="105"/>
          <w:sz w:val="13"/>
        </w:rPr>
        <w:t>la</w:t>
      </w:r>
      <w:r>
        <w:rPr>
          <w:spacing w:val="40"/>
          <w:w w:val="105"/>
          <w:sz w:val="13"/>
        </w:rPr>
        <w:t xml:space="preserve"> </w:t>
      </w:r>
      <w:r>
        <w:rPr>
          <w:w w:val="105"/>
          <w:sz w:val="13"/>
        </w:rPr>
        <w:t>homofobia</w:t>
      </w:r>
      <w:r>
        <w:rPr>
          <w:spacing w:val="-10"/>
          <w:w w:val="105"/>
          <w:sz w:val="13"/>
        </w:rPr>
        <w:t xml:space="preserve"> </w:t>
      </w:r>
      <w:r>
        <w:rPr>
          <w:w w:val="105"/>
          <w:sz w:val="13"/>
        </w:rPr>
        <w:t>y</w:t>
      </w:r>
      <w:r>
        <w:rPr>
          <w:spacing w:val="-9"/>
          <w:w w:val="105"/>
          <w:sz w:val="13"/>
        </w:rPr>
        <w:t xml:space="preserve"> </w:t>
      </w:r>
      <w:r>
        <w:rPr>
          <w:w w:val="105"/>
          <w:sz w:val="13"/>
        </w:rPr>
        <w:t>la</w:t>
      </w:r>
      <w:r>
        <w:rPr>
          <w:spacing w:val="-10"/>
          <w:w w:val="105"/>
          <w:sz w:val="13"/>
        </w:rPr>
        <w:t xml:space="preserve"> </w:t>
      </w:r>
      <w:r>
        <w:rPr>
          <w:w w:val="105"/>
          <w:sz w:val="13"/>
        </w:rPr>
        <w:t>transfobia</w:t>
      </w:r>
      <w:r>
        <w:rPr>
          <w:spacing w:val="-9"/>
          <w:w w:val="105"/>
          <w:sz w:val="13"/>
        </w:rPr>
        <w:t xml:space="preserve"> </w:t>
      </w:r>
      <w:r>
        <w:rPr>
          <w:w w:val="105"/>
          <w:sz w:val="13"/>
        </w:rPr>
        <w:t>a</w:t>
      </w:r>
      <w:r>
        <w:rPr>
          <w:spacing w:val="-10"/>
          <w:w w:val="105"/>
          <w:sz w:val="13"/>
        </w:rPr>
        <w:t xml:space="preserve"> </w:t>
      </w:r>
      <w:r>
        <w:rPr>
          <w:w w:val="105"/>
          <w:sz w:val="13"/>
        </w:rPr>
        <w:t>la</w:t>
      </w:r>
      <w:r>
        <w:rPr>
          <w:spacing w:val="-9"/>
          <w:w w:val="105"/>
          <w:sz w:val="13"/>
        </w:rPr>
        <w:t xml:space="preserve"> </w:t>
      </w:r>
      <w:r>
        <w:rPr>
          <w:w w:val="105"/>
          <w:sz w:val="13"/>
        </w:rPr>
        <w:t>hora</w:t>
      </w:r>
      <w:r>
        <w:rPr>
          <w:spacing w:val="-10"/>
          <w:w w:val="105"/>
          <w:sz w:val="13"/>
        </w:rPr>
        <w:t xml:space="preserve"> </w:t>
      </w:r>
      <w:r>
        <w:rPr>
          <w:w w:val="105"/>
          <w:sz w:val="13"/>
        </w:rPr>
        <w:t>de</w:t>
      </w:r>
      <w:r>
        <w:rPr>
          <w:spacing w:val="-9"/>
          <w:w w:val="105"/>
          <w:sz w:val="13"/>
        </w:rPr>
        <w:t xml:space="preserve"> </w:t>
      </w:r>
      <w:r>
        <w:rPr>
          <w:w w:val="105"/>
          <w:sz w:val="13"/>
        </w:rPr>
        <w:t>impulsar</w:t>
      </w:r>
      <w:r>
        <w:rPr>
          <w:spacing w:val="-10"/>
          <w:w w:val="105"/>
          <w:sz w:val="13"/>
        </w:rPr>
        <w:t xml:space="preserve"> </w:t>
      </w:r>
      <w:r>
        <w:rPr>
          <w:w w:val="105"/>
          <w:sz w:val="13"/>
        </w:rPr>
        <w:t>los</w:t>
      </w:r>
      <w:r>
        <w:rPr>
          <w:spacing w:val="-9"/>
          <w:w w:val="105"/>
          <w:sz w:val="13"/>
        </w:rPr>
        <w:t xml:space="preserve"> </w:t>
      </w:r>
      <w:r>
        <w:rPr>
          <w:w w:val="105"/>
          <w:sz w:val="13"/>
        </w:rPr>
        <w:t>prejuicios,</w:t>
      </w:r>
      <w:r>
        <w:rPr>
          <w:spacing w:val="-10"/>
          <w:w w:val="105"/>
          <w:sz w:val="13"/>
        </w:rPr>
        <w:t xml:space="preserve"> </w:t>
      </w:r>
      <w:r>
        <w:rPr>
          <w:w w:val="105"/>
          <w:sz w:val="13"/>
        </w:rPr>
        <w:t>la</w:t>
      </w:r>
      <w:r>
        <w:rPr>
          <w:spacing w:val="-9"/>
          <w:w w:val="105"/>
          <w:sz w:val="13"/>
        </w:rPr>
        <w:t xml:space="preserve"> </w:t>
      </w:r>
      <w:r>
        <w:rPr>
          <w:w w:val="105"/>
          <w:sz w:val="13"/>
        </w:rPr>
        <w:t>discriminación</w:t>
      </w:r>
      <w:r>
        <w:rPr>
          <w:spacing w:val="-10"/>
          <w:w w:val="105"/>
          <w:sz w:val="13"/>
        </w:rPr>
        <w:t xml:space="preserve"> </w:t>
      </w:r>
      <w:r>
        <w:rPr>
          <w:w w:val="105"/>
          <w:sz w:val="13"/>
        </w:rPr>
        <w:t>y</w:t>
      </w:r>
      <w:r>
        <w:rPr>
          <w:spacing w:val="-9"/>
          <w:w w:val="105"/>
          <w:sz w:val="13"/>
        </w:rPr>
        <w:t xml:space="preserve"> </w:t>
      </w:r>
      <w:r>
        <w:rPr>
          <w:w w:val="105"/>
          <w:sz w:val="13"/>
        </w:rPr>
        <w:t>la</w:t>
      </w:r>
      <w:r>
        <w:rPr>
          <w:spacing w:val="-10"/>
          <w:w w:val="105"/>
          <w:sz w:val="13"/>
        </w:rPr>
        <w:t xml:space="preserve"> </w:t>
      </w:r>
      <w:r>
        <w:rPr>
          <w:w w:val="105"/>
          <w:sz w:val="13"/>
        </w:rPr>
        <w:t>violencia</w:t>
      </w:r>
      <w:r>
        <w:rPr>
          <w:spacing w:val="-9"/>
          <w:w w:val="105"/>
          <w:sz w:val="13"/>
        </w:rPr>
        <w:t xml:space="preserve"> </w:t>
      </w:r>
      <w:r>
        <w:rPr>
          <w:w w:val="105"/>
          <w:sz w:val="13"/>
        </w:rPr>
        <w:t>discriminatoria</w:t>
      </w:r>
      <w:r>
        <w:rPr>
          <w:spacing w:val="-10"/>
          <w:w w:val="105"/>
          <w:sz w:val="13"/>
        </w:rPr>
        <w:t xml:space="preserve"> </w:t>
      </w:r>
      <w:r>
        <w:rPr>
          <w:w w:val="105"/>
          <w:sz w:val="13"/>
        </w:rPr>
        <w:t>contra</w:t>
      </w:r>
      <w:r>
        <w:rPr>
          <w:spacing w:val="-9"/>
          <w:w w:val="105"/>
          <w:sz w:val="13"/>
        </w:rPr>
        <w:t xml:space="preserve"> </w:t>
      </w:r>
      <w:r>
        <w:rPr>
          <w:w w:val="105"/>
          <w:sz w:val="13"/>
        </w:rPr>
        <w:t>las</w:t>
      </w:r>
      <w:r>
        <w:rPr>
          <w:spacing w:val="-10"/>
          <w:w w:val="105"/>
          <w:sz w:val="13"/>
        </w:rPr>
        <w:t xml:space="preserve"> </w:t>
      </w:r>
      <w:r>
        <w:rPr>
          <w:w w:val="105"/>
          <w:sz w:val="13"/>
        </w:rPr>
        <w:t>personas</w:t>
      </w:r>
      <w:r>
        <w:rPr>
          <w:spacing w:val="-9"/>
          <w:w w:val="105"/>
          <w:sz w:val="13"/>
        </w:rPr>
        <w:t xml:space="preserve"> </w:t>
      </w:r>
      <w:r>
        <w:rPr>
          <w:w w:val="105"/>
          <w:sz w:val="13"/>
        </w:rPr>
        <w:t>lesbianas,</w:t>
      </w:r>
      <w:r>
        <w:rPr>
          <w:spacing w:val="-10"/>
          <w:w w:val="105"/>
          <w:sz w:val="13"/>
        </w:rPr>
        <w:t xml:space="preserve"> </w:t>
      </w:r>
      <w:proofErr w:type="spellStart"/>
      <w:r>
        <w:rPr>
          <w:w w:val="105"/>
          <w:sz w:val="13"/>
        </w:rPr>
        <w:t>gays</w:t>
      </w:r>
      <w:proofErr w:type="spellEnd"/>
      <w:r>
        <w:rPr>
          <w:w w:val="105"/>
          <w:sz w:val="13"/>
        </w:rPr>
        <w:t>,</w:t>
      </w:r>
      <w:r>
        <w:rPr>
          <w:spacing w:val="-9"/>
          <w:w w:val="105"/>
          <w:sz w:val="13"/>
        </w:rPr>
        <w:t xml:space="preserve"> </w:t>
      </w:r>
      <w:r>
        <w:rPr>
          <w:w w:val="105"/>
          <w:sz w:val="13"/>
        </w:rPr>
        <w:t>bisexuales,</w:t>
      </w:r>
      <w:r>
        <w:rPr>
          <w:spacing w:val="40"/>
          <w:w w:val="105"/>
          <w:sz w:val="13"/>
        </w:rPr>
        <w:t xml:space="preserve"> </w:t>
      </w:r>
      <w:r>
        <w:rPr>
          <w:w w:val="105"/>
          <w:sz w:val="13"/>
        </w:rPr>
        <w:t>transgénero</w:t>
      </w:r>
      <w:r>
        <w:rPr>
          <w:spacing w:val="-9"/>
          <w:w w:val="105"/>
          <w:sz w:val="13"/>
        </w:rPr>
        <w:t xml:space="preserve"> </w:t>
      </w:r>
      <w:r>
        <w:rPr>
          <w:w w:val="105"/>
          <w:sz w:val="13"/>
        </w:rPr>
        <w:t>e</w:t>
      </w:r>
      <w:r>
        <w:rPr>
          <w:spacing w:val="-9"/>
          <w:w w:val="105"/>
          <w:sz w:val="13"/>
        </w:rPr>
        <w:t xml:space="preserve"> </w:t>
      </w:r>
      <w:r>
        <w:rPr>
          <w:w w:val="105"/>
          <w:sz w:val="13"/>
        </w:rPr>
        <w:t>intersexuales</w:t>
      </w:r>
      <w:r>
        <w:rPr>
          <w:spacing w:val="-9"/>
          <w:w w:val="105"/>
          <w:sz w:val="13"/>
        </w:rPr>
        <w:t xml:space="preserve"> </w:t>
      </w:r>
      <w:r>
        <w:rPr>
          <w:w w:val="105"/>
          <w:sz w:val="13"/>
        </w:rPr>
        <w:t>ha</w:t>
      </w:r>
      <w:r>
        <w:rPr>
          <w:spacing w:val="-9"/>
          <w:w w:val="105"/>
          <w:sz w:val="13"/>
        </w:rPr>
        <w:t xml:space="preserve"> </w:t>
      </w:r>
      <w:r>
        <w:rPr>
          <w:w w:val="105"/>
          <w:sz w:val="13"/>
        </w:rPr>
        <w:t>recibido</w:t>
      </w:r>
      <w:r>
        <w:rPr>
          <w:spacing w:val="-8"/>
          <w:w w:val="105"/>
          <w:sz w:val="13"/>
        </w:rPr>
        <w:t xml:space="preserve"> </w:t>
      </w:r>
      <w:r>
        <w:rPr>
          <w:w w:val="105"/>
          <w:sz w:val="13"/>
        </w:rPr>
        <w:t>una</w:t>
      </w:r>
      <w:r>
        <w:rPr>
          <w:spacing w:val="-9"/>
          <w:w w:val="105"/>
          <w:sz w:val="13"/>
        </w:rPr>
        <w:t xml:space="preserve"> </w:t>
      </w:r>
      <w:r>
        <w:rPr>
          <w:w w:val="105"/>
          <w:sz w:val="13"/>
        </w:rPr>
        <w:t>atención</w:t>
      </w:r>
      <w:r>
        <w:rPr>
          <w:spacing w:val="-9"/>
          <w:w w:val="105"/>
          <w:sz w:val="13"/>
        </w:rPr>
        <w:t xml:space="preserve"> </w:t>
      </w:r>
      <w:r>
        <w:rPr>
          <w:w w:val="105"/>
          <w:sz w:val="13"/>
        </w:rPr>
        <w:t>cada</w:t>
      </w:r>
      <w:r>
        <w:rPr>
          <w:spacing w:val="-8"/>
          <w:w w:val="105"/>
          <w:sz w:val="13"/>
        </w:rPr>
        <w:t xml:space="preserve"> </w:t>
      </w:r>
      <w:r>
        <w:rPr>
          <w:w w:val="105"/>
          <w:sz w:val="13"/>
        </w:rPr>
        <w:t>vez</w:t>
      </w:r>
      <w:r>
        <w:rPr>
          <w:spacing w:val="-9"/>
          <w:w w:val="105"/>
          <w:sz w:val="13"/>
        </w:rPr>
        <w:t xml:space="preserve"> </w:t>
      </w:r>
      <w:r>
        <w:rPr>
          <w:w w:val="105"/>
          <w:sz w:val="13"/>
        </w:rPr>
        <w:t>más</w:t>
      </w:r>
      <w:r>
        <w:rPr>
          <w:spacing w:val="-9"/>
          <w:w w:val="105"/>
          <w:sz w:val="13"/>
        </w:rPr>
        <w:t xml:space="preserve"> </w:t>
      </w:r>
      <w:r>
        <w:rPr>
          <w:w w:val="105"/>
          <w:sz w:val="13"/>
        </w:rPr>
        <w:t>urgente,</w:t>
      </w:r>
      <w:r>
        <w:rPr>
          <w:spacing w:val="-8"/>
          <w:w w:val="105"/>
          <w:sz w:val="13"/>
        </w:rPr>
        <w:t xml:space="preserve"> </w:t>
      </w:r>
      <w:r>
        <w:rPr>
          <w:w w:val="105"/>
          <w:sz w:val="13"/>
        </w:rPr>
        <w:t>incluso</w:t>
      </w:r>
      <w:r>
        <w:rPr>
          <w:spacing w:val="-8"/>
          <w:w w:val="105"/>
          <w:sz w:val="13"/>
        </w:rPr>
        <w:t xml:space="preserve"> </w:t>
      </w:r>
      <w:r>
        <w:rPr>
          <w:w w:val="105"/>
          <w:sz w:val="13"/>
        </w:rPr>
        <w:t>mediante</w:t>
      </w:r>
      <w:r>
        <w:rPr>
          <w:spacing w:val="-9"/>
          <w:w w:val="105"/>
          <w:sz w:val="13"/>
        </w:rPr>
        <w:t xml:space="preserve"> </w:t>
      </w:r>
      <w:r>
        <w:rPr>
          <w:w w:val="105"/>
          <w:sz w:val="13"/>
        </w:rPr>
        <w:t>la</w:t>
      </w:r>
      <w:r>
        <w:rPr>
          <w:spacing w:val="-9"/>
          <w:w w:val="105"/>
          <w:sz w:val="13"/>
        </w:rPr>
        <w:t xml:space="preserve"> </w:t>
      </w:r>
      <w:r>
        <w:rPr>
          <w:w w:val="105"/>
          <w:sz w:val="13"/>
        </w:rPr>
        <w:t>creación</w:t>
      </w:r>
      <w:r>
        <w:rPr>
          <w:spacing w:val="-8"/>
          <w:w w:val="105"/>
          <w:sz w:val="13"/>
        </w:rPr>
        <w:t xml:space="preserve"> </w:t>
      </w:r>
      <w:r>
        <w:rPr>
          <w:w w:val="105"/>
          <w:sz w:val="13"/>
        </w:rPr>
        <w:t>de</w:t>
      </w:r>
      <w:r>
        <w:rPr>
          <w:spacing w:val="-9"/>
          <w:w w:val="105"/>
          <w:sz w:val="13"/>
        </w:rPr>
        <w:t xml:space="preserve"> </w:t>
      </w:r>
      <w:r>
        <w:rPr>
          <w:w w:val="105"/>
          <w:sz w:val="13"/>
        </w:rPr>
        <w:t>un</w:t>
      </w:r>
      <w:r>
        <w:rPr>
          <w:spacing w:val="-9"/>
          <w:w w:val="105"/>
          <w:sz w:val="13"/>
        </w:rPr>
        <w:t xml:space="preserve"> </w:t>
      </w:r>
      <w:r>
        <w:rPr>
          <w:w w:val="105"/>
          <w:sz w:val="13"/>
        </w:rPr>
        <w:t>experto</w:t>
      </w:r>
      <w:r>
        <w:rPr>
          <w:spacing w:val="-9"/>
          <w:w w:val="105"/>
          <w:sz w:val="13"/>
        </w:rPr>
        <w:t xml:space="preserve"> </w:t>
      </w:r>
      <w:r>
        <w:rPr>
          <w:w w:val="105"/>
          <w:sz w:val="13"/>
        </w:rPr>
        <w:t>independiente</w:t>
      </w:r>
      <w:r>
        <w:rPr>
          <w:spacing w:val="-9"/>
          <w:w w:val="105"/>
          <w:sz w:val="13"/>
        </w:rPr>
        <w:t xml:space="preserve"> </w:t>
      </w:r>
      <w:r>
        <w:rPr>
          <w:w w:val="105"/>
          <w:sz w:val="13"/>
        </w:rPr>
        <w:t>dedicado.1241</w:t>
      </w:r>
      <w:r>
        <w:rPr>
          <w:spacing w:val="-9"/>
          <w:w w:val="105"/>
          <w:sz w:val="13"/>
        </w:rPr>
        <w:t xml:space="preserve"> </w:t>
      </w:r>
      <w:r>
        <w:rPr>
          <w:w w:val="105"/>
          <w:sz w:val="13"/>
        </w:rPr>
        <w:t>Más</w:t>
      </w:r>
      <w:r>
        <w:rPr>
          <w:spacing w:val="40"/>
          <w:w w:val="105"/>
          <w:sz w:val="13"/>
        </w:rPr>
        <w:t xml:space="preserve"> </w:t>
      </w:r>
      <w:r>
        <w:rPr>
          <w:w w:val="105"/>
          <w:sz w:val="13"/>
        </w:rPr>
        <w:t>recientemente,</w:t>
      </w:r>
      <w:r>
        <w:rPr>
          <w:spacing w:val="-8"/>
          <w:w w:val="105"/>
          <w:sz w:val="13"/>
        </w:rPr>
        <w:t xml:space="preserve"> </w:t>
      </w:r>
      <w:r>
        <w:rPr>
          <w:w w:val="105"/>
          <w:sz w:val="13"/>
        </w:rPr>
        <w:t>conceptos</w:t>
      </w:r>
      <w:r>
        <w:rPr>
          <w:spacing w:val="-9"/>
          <w:w w:val="105"/>
          <w:sz w:val="13"/>
        </w:rPr>
        <w:t xml:space="preserve"> </w:t>
      </w:r>
      <w:r>
        <w:rPr>
          <w:w w:val="105"/>
          <w:sz w:val="13"/>
        </w:rPr>
        <w:t>como</w:t>
      </w:r>
      <w:r>
        <w:rPr>
          <w:spacing w:val="-8"/>
          <w:w w:val="105"/>
          <w:sz w:val="13"/>
        </w:rPr>
        <w:t xml:space="preserve"> </w:t>
      </w:r>
      <w:r>
        <w:rPr>
          <w:w w:val="105"/>
          <w:sz w:val="13"/>
        </w:rPr>
        <w:t>capacitismo</w:t>
      </w:r>
      <w:r>
        <w:rPr>
          <w:spacing w:val="-9"/>
          <w:w w:val="105"/>
          <w:sz w:val="13"/>
        </w:rPr>
        <w:t xml:space="preserve"> </w:t>
      </w:r>
      <w:r>
        <w:rPr>
          <w:w w:val="105"/>
          <w:sz w:val="13"/>
        </w:rPr>
        <w:t>y</w:t>
      </w:r>
      <w:r>
        <w:rPr>
          <w:spacing w:val="-8"/>
          <w:w w:val="105"/>
          <w:sz w:val="13"/>
        </w:rPr>
        <w:t xml:space="preserve"> </w:t>
      </w:r>
      <w:r>
        <w:rPr>
          <w:w w:val="105"/>
          <w:sz w:val="13"/>
        </w:rPr>
        <w:t>La</w:t>
      </w:r>
      <w:r>
        <w:rPr>
          <w:spacing w:val="-9"/>
          <w:w w:val="105"/>
          <w:sz w:val="13"/>
        </w:rPr>
        <w:t xml:space="preserve"> </w:t>
      </w:r>
      <w:r>
        <w:rPr>
          <w:w w:val="105"/>
          <w:sz w:val="13"/>
        </w:rPr>
        <w:t>discriminación</w:t>
      </w:r>
      <w:r>
        <w:rPr>
          <w:spacing w:val="-8"/>
          <w:w w:val="105"/>
          <w:sz w:val="13"/>
        </w:rPr>
        <w:t xml:space="preserve"> </w:t>
      </w:r>
      <w:r>
        <w:rPr>
          <w:w w:val="105"/>
          <w:sz w:val="13"/>
        </w:rPr>
        <w:t>por</w:t>
      </w:r>
      <w:r>
        <w:rPr>
          <w:spacing w:val="-9"/>
          <w:w w:val="105"/>
          <w:sz w:val="13"/>
        </w:rPr>
        <w:t xml:space="preserve"> </w:t>
      </w:r>
      <w:r>
        <w:rPr>
          <w:w w:val="105"/>
          <w:sz w:val="13"/>
        </w:rPr>
        <w:t>edad</w:t>
      </w:r>
      <w:r>
        <w:rPr>
          <w:spacing w:val="-9"/>
          <w:w w:val="105"/>
          <w:sz w:val="13"/>
        </w:rPr>
        <w:t xml:space="preserve"> </w:t>
      </w:r>
      <w:r>
        <w:rPr>
          <w:w w:val="105"/>
          <w:sz w:val="13"/>
        </w:rPr>
        <w:t>estructural</w:t>
      </w:r>
      <w:r>
        <w:rPr>
          <w:spacing w:val="-9"/>
          <w:w w:val="105"/>
          <w:sz w:val="13"/>
        </w:rPr>
        <w:t xml:space="preserve"> </w:t>
      </w:r>
      <w:r>
        <w:rPr>
          <w:w w:val="105"/>
          <w:sz w:val="13"/>
        </w:rPr>
        <w:t>(véanse</w:t>
      </w:r>
      <w:r>
        <w:rPr>
          <w:spacing w:val="-8"/>
          <w:w w:val="105"/>
          <w:sz w:val="13"/>
        </w:rPr>
        <w:t xml:space="preserve"> </w:t>
      </w:r>
      <w:r>
        <w:rPr>
          <w:w w:val="105"/>
          <w:sz w:val="13"/>
        </w:rPr>
        <w:t>los</w:t>
      </w:r>
      <w:r>
        <w:rPr>
          <w:spacing w:val="-9"/>
          <w:w w:val="105"/>
          <w:sz w:val="13"/>
        </w:rPr>
        <w:t xml:space="preserve"> </w:t>
      </w:r>
      <w:r>
        <w:rPr>
          <w:w w:val="105"/>
          <w:sz w:val="13"/>
        </w:rPr>
        <w:t>recuadros</w:t>
      </w:r>
      <w:r>
        <w:rPr>
          <w:spacing w:val="-9"/>
          <w:w w:val="105"/>
          <w:sz w:val="13"/>
        </w:rPr>
        <w:t xml:space="preserve"> </w:t>
      </w:r>
      <w:r>
        <w:rPr>
          <w:w w:val="105"/>
          <w:sz w:val="13"/>
        </w:rPr>
        <w:t>de</w:t>
      </w:r>
      <w:r>
        <w:rPr>
          <w:spacing w:val="-9"/>
          <w:w w:val="105"/>
          <w:sz w:val="13"/>
        </w:rPr>
        <w:t xml:space="preserve"> </w:t>
      </w:r>
      <w:r>
        <w:rPr>
          <w:w w:val="105"/>
          <w:sz w:val="13"/>
        </w:rPr>
        <w:t>texto</w:t>
      </w:r>
      <w:r>
        <w:rPr>
          <w:spacing w:val="-9"/>
          <w:w w:val="105"/>
          <w:sz w:val="13"/>
        </w:rPr>
        <w:t xml:space="preserve"> </w:t>
      </w:r>
      <w:r>
        <w:rPr>
          <w:w w:val="105"/>
          <w:sz w:val="13"/>
        </w:rPr>
        <w:t>en</w:t>
      </w:r>
      <w:r>
        <w:rPr>
          <w:spacing w:val="-9"/>
          <w:w w:val="105"/>
          <w:sz w:val="13"/>
        </w:rPr>
        <w:t xml:space="preserve"> </w:t>
      </w:r>
      <w:r>
        <w:rPr>
          <w:w w:val="105"/>
          <w:sz w:val="13"/>
        </w:rPr>
        <w:t>la</w:t>
      </w:r>
      <w:r>
        <w:rPr>
          <w:spacing w:val="-9"/>
          <w:w w:val="105"/>
          <w:sz w:val="13"/>
        </w:rPr>
        <w:t xml:space="preserve"> </w:t>
      </w:r>
      <w:r>
        <w:rPr>
          <w:w w:val="105"/>
          <w:sz w:val="13"/>
        </w:rPr>
        <w:t>presente</w:t>
      </w:r>
      <w:r>
        <w:rPr>
          <w:spacing w:val="-9"/>
          <w:w w:val="105"/>
          <w:sz w:val="13"/>
        </w:rPr>
        <w:t xml:space="preserve"> </w:t>
      </w:r>
      <w:r>
        <w:rPr>
          <w:w w:val="105"/>
          <w:sz w:val="13"/>
        </w:rPr>
        <w:t>sección)</w:t>
      </w:r>
      <w:r>
        <w:rPr>
          <w:spacing w:val="-9"/>
          <w:w w:val="105"/>
          <w:sz w:val="13"/>
        </w:rPr>
        <w:t xml:space="preserve"> </w:t>
      </w:r>
      <w:r>
        <w:rPr>
          <w:w w:val="105"/>
          <w:sz w:val="13"/>
        </w:rPr>
        <w:t>está</w:t>
      </w:r>
      <w:r>
        <w:rPr>
          <w:spacing w:val="-9"/>
          <w:w w:val="105"/>
          <w:sz w:val="13"/>
        </w:rPr>
        <w:t xml:space="preserve"> </w:t>
      </w:r>
      <w:r>
        <w:rPr>
          <w:w w:val="105"/>
          <w:sz w:val="13"/>
        </w:rPr>
        <w:t>ganando</w:t>
      </w:r>
      <w:r>
        <w:rPr>
          <w:spacing w:val="40"/>
          <w:w w:val="105"/>
          <w:sz w:val="13"/>
        </w:rPr>
        <w:t xml:space="preserve"> </w:t>
      </w:r>
      <w:r>
        <w:rPr>
          <w:w w:val="105"/>
          <w:sz w:val="13"/>
        </w:rPr>
        <w:t>cada</w:t>
      </w:r>
      <w:r>
        <w:rPr>
          <w:spacing w:val="-6"/>
          <w:w w:val="105"/>
          <w:sz w:val="13"/>
        </w:rPr>
        <w:t xml:space="preserve"> </w:t>
      </w:r>
      <w:r>
        <w:rPr>
          <w:w w:val="105"/>
          <w:sz w:val="13"/>
        </w:rPr>
        <w:t>vez</w:t>
      </w:r>
      <w:r>
        <w:rPr>
          <w:spacing w:val="-6"/>
          <w:w w:val="105"/>
          <w:sz w:val="13"/>
        </w:rPr>
        <w:t xml:space="preserve"> </w:t>
      </w:r>
      <w:r>
        <w:rPr>
          <w:w w:val="105"/>
          <w:sz w:val="13"/>
        </w:rPr>
        <w:t>más</w:t>
      </w:r>
      <w:r>
        <w:rPr>
          <w:spacing w:val="-6"/>
          <w:w w:val="105"/>
          <w:sz w:val="13"/>
        </w:rPr>
        <w:t xml:space="preserve"> </w:t>
      </w:r>
      <w:r>
        <w:rPr>
          <w:w w:val="105"/>
          <w:sz w:val="13"/>
        </w:rPr>
        <w:t>fuerza.</w:t>
      </w:r>
      <w:r>
        <w:rPr>
          <w:spacing w:val="-6"/>
          <w:w w:val="105"/>
          <w:sz w:val="13"/>
        </w:rPr>
        <w:t xml:space="preserve"> </w:t>
      </w:r>
      <w:r>
        <w:rPr>
          <w:w w:val="105"/>
          <w:sz w:val="13"/>
        </w:rPr>
        <w:t>Si</w:t>
      </w:r>
      <w:r>
        <w:rPr>
          <w:spacing w:val="-6"/>
          <w:w w:val="105"/>
          <w:sz w:val="13"/>
        </w:rPr>
        <w:t xml:space="preserve"> </w:t>
      </w:r>
      <w:r>
        <w:rPr>
          <w:w w:val="105"/>
          <w:sz w:val="13"/>
        </w:rPr>
        <w:t>bien</w:t>
      </w:r>
      <w:r>
        <w:rPr>
          <w:spacing w:val="-6"/>
          <w:w w:val="105"/>
          <w:sz w:val="13"/>
        </w:rPr>
        <w:t xml:space="preserve"> </w:t>
      </w:r>
      <w:r>
        <w:rPr>
          <w:w w:val="105"/>
          <w:sz w:val="13"/>
        </w:rPr>
        <w:t>cada</w:t>
      </w:r>
      <w:r>
        <w:rPr>
          <w:spacing w:val="-6"/>
          <w:w w:val="105"/>
          <w:sz w:val="13"/>
        </w:rPr>
        <w:t xml:space="preserve"> </w:t>
      </w:r>
      <w:r>
        <w:rPr>
          <w:w w:val="105"/>
          <w:sz w:val="13"/>
        </w:rPr>
        <w:t>uno</w:t>
      </w:r>
      <w:r>
        <w:rPr>
          <w:spacing w:val="-6"/>
          <w:w w:val="105"/>
          <w:sz w:val="13"/>
        </w:rPr>
        <w:t xml:space="preserve"> </w:t>
      </w:r>
      <w:r>
        <w:rPr>
          <w:w w:val="105"/>
          <w:sz w:val="13"/>
        </w:rPr>
        <w:t>de</w:t>
      </w:r>
      <w:r>
        <w:rPr>
          <w:spacing w:val="-6"/>
          <w:w w:val="105"/>
          <w:sz w:val="13"/>
        </w:rPr>
        <w:t xml:space="preserve"> </w:t>
      </w:r>
      <w:r>
        <w:rPr>
          <w:w w:val="105"/>
          <w:sz w:val="13"/>
        </w:rPr>
        <w:t>estos</w:t>
      </w:r>
      <w:r>
        <w:rPr>
          <w:spacing w:val="-6"/>
          <w:w w:val="105"/>
          <w:sz w:val="13"/>
        </w:rPr>
        <w:t xml:space="preserve"> </w:t>
      </w:r>
      <w:r>
        <w:rPr>
          <w:w w:val="105"/>
          <w:sz w:val="13"/>
        </w:rPr>
        <w:t>fenómenos</w:t>
      </w:r>
      <w:r>
        <w:rPr>
          <w:spacing w:val="-6"/>
          <w:w w:val="105"/>
          <w:sz w:val="13"/>
        </w:rPr>
        <w:t xml:space="preserve"> </w:t>
      </w:r>
      <w:r>
        <w:rPr>
          <w:w w:val="105"/>
          <w:sz w:val="13"/>
        </w:rPr>
        <w:t>es</w:t>
      </w:r>
      <w:r>
        <w:rPr>
          <w:spacing w:val="-6"/>
          <w:w w:val="105"/>
          <w:sz w:val="13"/>
        </w:rPr>
        <w:t xml:space="preserve"> </w:t>
      </w:r>
      <w:r>
        <w:rPr>
          <w:w w:val="105"/>
          <w:sz w:val="13"/>
        </w:rPr>
        <w:t>diferente,</w:t>
      </w:r>
      <w:r>
        <w:rPr>
          <w:spacing w:val="-6"/>
          <w:w w:val="105"/>
          <w:sz w:val="13"/>
        </w:rPr>
        <w:t xml:space="preserve"> </w:t>
      </w:r>
      <w:r>
        <w:rPr>
          <w:w w:val="105"/>
          <w:sz w:val="13"/>
        </w:rPr>
        <w:t>con</w:t>
      </w:r>
      <w:r>
        <w:rPr>
          <w:spacing w:val="-6"/>
          <w:w w:val="105"/>
          <w:sz w:val="13"/>
        </w:rPr>
        <w:t xml:space="preserve"> </w:t>
      </w:r>
      <w:r>
        <w:rPr>
          <w:w w:val="105"/>
          <w:sz w:val="13"/>
        </w:rPr>
        <w:t>causas</w:t>
      </w:r>
      <w:r>
        <w:rPr>
          <w:spacing w:val="-6"/>
          <w:w w:val="105"/>
          <w:sz w:val="13"/>
        </w:rPr>
        <w:t xml:space="preserve"> </w:t>
      </w:r>
      <w:r>
        <w:rPr>
          <w:w w:val="105"/>
          <w:sz w:val="13"/>
        </w:rPr>
        <w:t>y</w:t>
      </w:r>
      <w:r>
        <w:rPr>
          <w:spacing w:val="-6"/>
          <w:w w:val="105"/>
          <w:sz w:val="13"/>
        </w:rPr>
        <w:t xml:space="preserve"> </w:t>
      </w:r>
      <w:r>
        <w:rPr>
          <w:w w:val="105"/>
          <w:sz w:val="13"/>
        </w:rPr>
        <w:t>manifestaciones</w:t>
      </w:r>
      <w:r>
        <w:rPr>
          <w:spacing w:val="-6"/>
          <w:w w:val="105"/>
          <w:sz w:val="13"/>
        </w:rPr>
        <w:t xml:space="preserve"> </w:t>
      </w:r>
      <w:r>
        <w:rPr>
          <w:w w:val="105"/>
          <w:sz w:val="13"/>
        </w:rPr>
        <w:t>particulares,</w:t>
      </w:r>
      <w:r>
        <w:rPr>
          <w:spacing w:val="-6"/>
          <w:w w:val="105"/>
          <w:sz w:val="13"/>
        </w:rPr>
        <w:t xml:space="preserve"> </w:t>
      </w:r>
      <w:r>
        <w:rPr>
          <w:w w:val="105"/>
          <w:sz w:val="13"/>
        </w:rPr>
        <w:t>cada</w:t>
      </w:r>
      <w:r>
        <w:rPr>
          <w:spacing w:val="-6"/>
          <w:w w:val="105"/>
          <w:sz w:val="13"/>
        </w:rPr>
        <w:t xml:space="preserve"> </w:t>
      </w:r>
      <w:r>
        <w:rPr>
          <w:w w:val="105"/>
          <w:sz w:val="13"/>
        </w:rPr>
        <w:t>uno</w:t>
      </w:r>
      <w:r>
        <w:rPr>
          <w:spacing w:val="-6"/>
          <w:w w:val="105"/>
          <w:sz w:val="13"/>
        </w:rPr>
        <w:t xml:space="preserve"> </w:t>
      </w:r>
      <w:r>
        <w:rPr>
          <w:w w:val="105"/>
          <w:sz w:val="13"/>
        </w:rPr>
        <w:t>de</w:t>
      </w:r>
      <w:r>
        <w:rPr>
          <w:spacing w:val="-6"/>
          <w:w w:val="105"/>
          <w:sz w:val="13"/>
        </w:rPr>
        <w:t xml:space="preserve"> </w:t>
      </w:r>
      <w:r>
        <w:rPr>
          <w:w w:val="105"/>
          <w:sz w:val="13"/>
        </w:rPr>
        <w:t>ellos</w:t>
      </w:r>
      <w:r>
        <w:rPr>
          <w:spacing w:val="-6"/>
          <w:w w:val="105"/>
          <w:sz w:val="13"/>
        </w:rPr>
        <w:t xml:space="preserve"> </w:t>
      </w:r>
      <w:r>
        <w:rPr>
          <w:w w:val="105"/>
          <w:sz w:val="13"/>
        </w:rPr>
        <w:t>describe</w:t>
      </w:r>
      <w:r>
        <w:rPr>
          <w:spacing w:val="-6"/>
          <w:w w:val="105"/>
          <w:sz w:val="13"/>
        </w:rPr>
        <w:t xml:space="preserve"> </w:t>
      </w:r>
      <w:r>
        <w:rPr>
          <w:w w:val="105"/>
          <w:sz w:val="13"/>
        </w:rPr>
        <w:t>normas</w:t>
      </w:r>
      <w:r>
        <w:rPr>
          <w:spacing w:val="40"/>
          <w:w w:val="105"/>
          <w:sz w:val="13"/>
        </w:rPr>
        <w:t xml:space="preserve"> </w:t>
      </w:r>
      <w:r>
        <w:rPr>
          <w:w w:val="105"/>
          <w:sz w:val="13"/>
        </w:rPr>
        <w:t>sociales</w:t>
      </w:r>
      <w:r>
        <w:rPr>
          <w:spacing w:val="-7"/>
          <w:w w:val="105"/>
          <w:sz w:val="13"/>
        </w:rPr>
        <w:t xml:space="preserve"> </w:t>
      </w:r>
      <w:r>
        <w:rPr>
          <w:w w:val="105"/>
          <w:sz w:val="13"/>
        </w:rPr>
        <w:t>que</w:t>
      </w:r>
      <w:r>
        <w:rPr>
          <w:spacing w:val="-7"/>
          <w:w w:val="105"/>
          <w:sz w:val="13"/>
        </w:rPr>
        <w:t xml:space="preserve"> </w:t>
      </w:r>
      <w:r>
        <w:rPr>
          <w:w w:val="105"/>
          <w:sz w:val="13"/>
        </w:rPr>
        <w:t>causan,</w:t>
      </w:r>
      <w:r>
        <w:rPr>
          <w:spacing w:val="-6"/>
          <w:w w:val="105"/>
          <w:sz w:val="13"/>
        </w:rPr>
        <w:t xml:space="preserve"> </w:t>
      </w:r>
      <w:r>
        <w:rPr>
          <w:w w:val="105"/>
          <w:sz w:val="13"/>
        </w:rPr>
        <w:t>alimentan</w:t>
      </w:r>
      <w:r>
        <w:rPr>
          <w:spacing w:val="-7"/>
          <w:w w:val="105"/>
          <w:sz w:val="13"/>
        </w:rPr>
        <w:t xml:space="preserve"> </w:t>
      </w:r>
      <w:r>
        <w:rPr>
          <w:w w:val="105"/>
          <w:sz w:val="13"/>
        </w:rPr>
        <w:t>o</w:t>
      </w:r>
      <w:r>
        <w:rPr>
          <w:spacing w:val="-7"/>
          <w:w w:val="105"/>
          <w:sz w:val="13"/>
        </w:rPr>
        <w:t xml:space="preserve"> </w:t>
      </w:r>
      <w:r>
        <w:rPr>
          <w:w w:val="105"/>
          <w:sz w:val="13"/>
        </w:rPr>
        <w:t>exacerban</w:t>
      </w:r>
      <w:r>
        <w:rPr>
          <w:spacing w:val="-6"/>
          <w:w w:val="105"/>
          <w:sz w:val="13"/>
        </w:rPr>
        <w:t xml:space="preserve"> </w:t>
      </w:r>
      <w:r>
        <w:rPr>
          <w:w w:val="105"/>
          <w:sz w:val="13"/>
        </w:rPr>
        <w:t>la</w:t>
      </w:r>
      <w:r>
        <w:rPr>
          <w:spacing w:val="-7"/>
          <w:w w:val="105"/>
          <w:sz w:val="13"/>
        </w:rPr>
        <w:t xml:space="preserve"> </w:t>
      </w:r>
      <w:r>
        <w:rPr>
          <w:w w:val="105"/>
          <w:sz w:val="13"/>
        </w:rPr>
        <w:t>discriminación</w:t>
      </w:r>
      <w:r>
        <w:rPr>
          <w:spacing w:val="-6"/>
          <w:w w:val="105"/>
          <w:sz w:val="13"/>
        </w:rPr>
        <w:t xml:space="preserve"> </w:t>
      </w:r>
      <w:r>
        <w:rPr>
          <w:w w:val="105"/>
          <w:sz w:val="13"/>
        </w:rPr>
        <w:t>y,</w:t>
      </w:r>
      <w:r>
        <w:rPr>
          <w:spacing w:val="-6"/>
          <w:w w:val="105"/>
          <w:sz w:val="13"/>
        </w:rPr>
        <w:t xml:space="preserve"> </w:t>
      </w:r>
      <w:r>
        <w:rPr>
          <w:w w:val="105"/>
          <w:sz w:val="13"/>
        </w:rPr>
        <w:t>por</w:t>
      </w:r>
      <w:r>
        <w:rPr>
          <w:spacing w:val="-7"/>
          <w:w w:val="105"/>
          <w:sz w:val="13"/>
        </w:rPr>
        <w:t xml:space="preserve"> </w:t>
      </w:r>
      <w:r>
        <w:rPr>
          <w:w w:val="105"/>
          <w:sz w:val="13"/>
        </w:rPr>
        <w:t>lo</w:t>
      </w:r>
      <w:r>
        <w:rPr>
          <w:spacing w:val="-7"/>
          <w:w w:val="105"/>
          <w:sz w:val="13"/>
        </w:rPr>
        <w:t xml:space="preserve"> </w:t>
      </w:r>
      <w:r>
        <w:rPr>
          <w:w w:val="105"/>
          <w:sz w:val="13"/>
        </w:rPr>
        <w:t>tanto,</w:t>
      </w:r>
      <w:r>
        <w:rPr>
          <w:spacing w:val="-6"/>
          <w:w w:val="105"/>
          <w:sz w:val="13"/>
        </w:rPr>
        <w:t xml:space="preserve"> </w:t>
      </w:r>
      <w:r>
        <w:rPr>
          <w:w w:val="105"/>
          <w:sz w:val="13"/>
        </w:rPr>
        <w:t>abordar</w:t>
      </w:r>
      <w:r>
        <w:rPr>
          <w:spacing w:val="-7"/>
          <w:w w:val="105"/>
          <w:sz w:val="13"/>
        </w:rPr>
        <w:t xml:space="preserve"> </w:t>
      </w:r>
      <w:r>
        <w:rPr>
          <w:w w:val="105"/>
          <w:sz w:val="13"/>
        </w:rPr>
        <w:t>cada</w:t>
      </w:r>
      <w:r>
        <w:rPr>
          <w:spacing w:val="-6"/>
          <w:w w:val="105"/>
          <w:sz w:val="13"/>
        </w:rPr>
        <w:t xml:space="preserve"> </w:t>
      </w:r>
      <w:r>
        <w:rPr>
          <w:w w:val="105"/>
          <w:sz w:val="13"/>
        </w:rPr>
        <w:t>uno</w:t>
      </w:r>
      <w:r>
        <w:rPr>
          <w:spacing w:val="-7"/>
          <w:w w:val="105"/>
          <w:sz w:val="13"/>
        </w:rPr>
        <w:t xml:space="preserve"> </w:t>
      </w:r>
      <w:r>
        <w:rPr>
          <w:w w:val="105"/>
          <w:sz w:val="13"/>
        </w:rPr>
        <w:t>de</w:t>
      </w:r>
      <w:r>
        <w:rPr>
          <w:spacing w:val="-7"/>
          <w:w w:val="105"/>
          <w:sz w:val="13"/>
        </w:rPr>
        <w:t xml:space="preserve"> </w:t>
      </w:r>
      <w:r>
        <w:rPr>
          <w:w w:val="105"/>
          <w:sz w:val="13"/>
        </w:rPr>
        <w:t>ellos</w:t>
      </w:r>
      <w:r>
        <w:rPr>
          <w:spacing w:val="-7"/>
          <w:w w:val="105"/>
          <w:sz w:val="13"/>
        </w:rPr>
        <w:t xml:space="preserve"> </w:t>
      </w:r>
      <w:r>
        <w:rPr>
          <w:w w:val="105"/>
          <w:sz w:val="13"/>
        </w:rPr>
        <w:t>cae</w:t>
      </w:r>
      <w:r>
        <w:rPr>
          <w:spacing w:val="-6"/>
          <w:w w:val="105"/>
          <w:sz w:val="13"/>
        </w:rPr>
        <w:t xml:space="preserve"> </w:t>
      </w:r>
      <w:r>
        <w:rPr>
          <w:w w:val="105"/>
          <w:sz w:val="13"/>
        </w:rPr>
        <w:t>dentro</w:t>
      </w:r>
      <w:r>
        <w:rPr>
          <w:spacing w:val="-7"/>
          <w:w w:val="105"/>
          <w:sz w:val="13"/>
        </w:rPr>
        <w:t xml:space="preserve"> </w:t>
      </w:r>
      <w:r>
        <w:rPr>
          <w:w w:val="105"/>
          <w:sz w:val="13"/>
        </w:rPr>
        <w:t>del</w:t>
      </w:r>
      <w:r>
        <w:rPr>
          <w:spacing w:val="-6"/>
          <w:w w:val="105"/>
          <w:sz w:val="13"/>
        </w:rPr>
        <w:t xml:space="preserve"> </w:t>
      </w:r>
      <w:r>
        <w:rPr>
          <w:w w:val="105"/>
          <w:sz w:val="13"/>
        </w:rPr>
        <w:t>alcance</w:t>
      </w:r>
      <w:r>
        <w:rPr>
          <w:spacing w:val="-6"/>
          <w:w w:val="105"/>
          <w:sz w:val="13"/>
        </w:rPr>
        <w:t xml:space="preserve"> </w:t>
      </w:r>
      <w:r>
        <w:rPr>
          <w:w w:val="105"/>
          <w:sz w:val="13"/>
        </w:rPr>
        <w:t>de</w:t>
      </w:r>
      <w:r>
        <w:rPr>
          <w:spacing w:val="-7"/>
          <w:w w:val="105"/>
          <w:sz w:val="13"/>
        </w:rPr>
        <w:t xml:space="preserve"> </w:t>
      </w:r>
      <w:r>
        <w:rPr>
          <w:w w:val="105"/>
          <w:sz w:val="13"/>
        </w:rPr>
        <w:t>la</w:t>
      </w:r>
      <w:r>
        <w:rPr>
          <w:spacing w:val="-7"/>
          <w:w w:val="105"/>
          <w:sz w:val="13"/>
        </w:rPr>
        <w:t xml:space="preserve"> </w:t>
      </w:r>
      <w:r>
        <w:rPr>
          <w:w w:val="105"/>
          <w:sz w:val="13"/>
        </w:rPr>
        <w:t>obligación</w:t>
      </w:r>
      <w:r>
        <w:rPr>
          <w:spacing w:val="-6"/>
          <w:w w:val="105"/>
          <w:sz w:val="13"/>
        </w:rPr>
        <w:t xml:space="preserve"> </w:t>
      </w:r>
      <w:r>
        <w:rPr>
          <w:w w:val="105"/>
          <w:sz w:val="13"/>
        </w:rPr>
        <w:t>de</w:t>
      </w:r>
      <w:r>
        <w:rPr>
          <w:spacing w:val="-7"/>
          <w:w w:val="105"/>
          <w:sz w:val="13"/>
        </w:rPr>
        <w:t xml:space="preserve"> </w:t>
      </w:r>
      <w:r>
        <w:rPr>
          <w:w w:val="105"/>
          <w:sz w:val="13"/>
        </w:rPr>
        <w:t>eliminar</w:t>
      </w:r>
      <w:r>
        <w:rPr>
          <w:spacing w:val="40"/>
          <w:w w:val="105"/>
          <w:sz w:val="13"/>
        </w:rPr>
        <w:t xml:space="preserve"> </w:t>
      </w:r>
      <w:r>
        <w:rPr>
          <w:w w:val="105"/>
          <w:sz w:val="13"/>
        </w:rPr>
        <w:t>la</w:t>
      </w:r>
      <w:r>
        <w:rPr>
          <w:spacing w:val="-6"/>
          <w:w w:val="105"/>
          <w:sz w:val="13"/>
        </w:rPr>
        <w:t xml:space="preserve"> </w:t>
      </w:r>
      <w:r>
        <w:rPr>
          <w:w w:val="105"/>
          <w:sz w:val="13"/>
        </w:rPr>
        <w:t>discriminación.</w:t>
      </w:r>
    </w:p>
    <w:p w14:paraId="27219B04" w14:textId="77777777" w:rsidR="0014798C" w:rsidRDefault="0014798C">
      <w:pPr>
        <w:pStyle w:val="Textoindependiente"/>
        <w:rPr>
          <w:sz w:val="13"/>
        </w:rPr>
      </w:pPr>
    </w:p>
    <w:p w14:paraId="4F44A4D8" w14:textId="77777777" w:rsidR="0014798C" w:rsidRDefault="0014798C">
      <w:pPr>
        <w:pStyle w:val="Textoindependiente"/>
        <w:rPr>
          <w:sz w:val="13"/>
        </w:rPr>
      </w:pPr>
    </w:p>
    <w:p w14:paraId="1774DBBF" w14:textId="77777777" w:rsidR="0014798C" w:rsidRDefault="0014798C">
      <w:pPr>
        <w:pStyle w:val="Textoindependiente"/>
        <w:rPr>
          <w:sz w:val="13"/>
        </w:rPr>
      </w:pPr>
    </w:p>
    <w:p w14:paraId="791EE9BA" w14:textId="77777777" w:rsidR="0014798C" w:rsidRDefault="0014798C">
      <w:pPr>
        <w:pStyle w:val="Textoindependiente"/>
        <w:spacing w:before="121"/>
        <w:rPr>
          <w:sz w:val="13"/>
        </w:rPr>
      </w:pPr>
    </w:p>
    <w:p w14:paraId="31F97F61" w14:textId="77777777" w:rsidR="0014798C" w:rsidRDefault="004E1F0B">
      <w:pPr>
        <w:ind w:left="1336"/>
        <w:rPr>
          <w:sz w:val="13"/>
        </w:rPr>
      </w:pPr>
      <w:r>
        <w:rPr>
          <w:noProof/>
        </w:rPr>
        <w:drawing>
          <wp:anchor distT="0" distB="0" distL="0" distR="0" simplePos="0" relativeHeight="251658499" behindDoc="1" locked="0" layoutInCell="1" allowOverlap="1" wp14:anchorId="28BD873F" wp14:editId="09FA3237">
            <wp:simplePos x="0" y="0"/>
            <wp:positionH relativeFrom="page">
              <wp:posOffset>804169</wp:posOffset>
            </wp:positionH>
            <wp:positionV relativeFrom="paragraph">
              <wp:posOffset>-154835</wp:posOffset>
            </wp:positionV>
            <wp:extent cx="6752330" cy="5468410"/>
            <wp:effectExtent l="0" t="0" r="0" b="0"/>
            <wp:wrapNone/>
            <wp:docPr id="385" name="Image 38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85" name="Image 385"/>
                    <pic:cNvPicPr/>
                  </pic:nvPicPr>
                  <pic:blipFill>
                    <a:blip r:embed="rId358" cstate="print"/>
                    <a:stretch>
                      <a:fillRect/>
                    </a:stretch>
                  </pic:blipFill>
                  <pic:spPr>
                    <a:xfrm>
                      <a:off x="0" y="0"/>
                      <a:ext cx="6752330" cy="5468410"/>
                    </a:xfrm>
                    <a:prstGeom prst="rect">
                      <a:avLst/>
                    </a:prstGeom>
                  </pic:spPr>
                </pic:pic>
              </a:graphicData>
            </a:graphic>
          </wp:anchor>
        </w:drawing>
      </w:r>
      <w:r>
        <w:rPr>
          <w:sz w:val="13"/>
        </w:rPr>
        <w:t>EDAD</w:t>
      </w:r>
      <w:r>
        <w:rPr>
          <w:spacing w:val="7"/>
          <w:sz w:val="13"/>
        </w:rPr>
        <w:t xml:space="preserve"> </w:t>
      </w:r>
      <w:r>
        <w:rPr>
          <w:spacing w:val="-2"/>
          <w:sz w:val="13"/>
        </w:rPr>
        <w:t>ESTRUCTURAL</w:t>
      </w:r>
    </w:p>
    <w:p w14:paraId="4B987AFD" w14:textId="77777777" w:rsidR="0014798C" w:rsidRDefault="0014798C">
      <w:pPr>
        <w:pStyle w:val="Textoindependiente"/>
        <w:spacing w:before="107"/>
        <w:rPr>
          <w:sz w:val="13"/>
        </w:rPr>
      </w:pPr>
    </w:p>
    <w:p w14:paraId="33B31214" w14:textId="77777777" w:rsidR="0014798C" w:rsidRDefault="004E1F0B">
      <w:pPr>
        <w:spacing w:line="398" w:lineRule="auto"/>
        <w:ind w:left="1344" w:right="1626" w:hanging="12"/>
        <w:rPr>
          <w:sz w:val="13"/>
        </w:rPr>
      </w:pPr>
      <w:r>
        <w:rPr>
          <w:w w:val="105"/>
          <w:sz w:val="13"/>
        </w:rPr>
        <w:t>Según</w:t>
      </w:r>
      <w:r>
        <w:rPr>
          <w:spacing w:val="-10"/>
          <w:w w:val="105"/>
          <w:sz w:val="13"/>
        </w:rPr>
        <w:t xml:space="preserve"> </w:t>
      </w:r>
      <w:r>
        <w:rPr>
          <w:w w:val="105"/>
          <w:sz w:val="13"/>
        </w:rPr>
        <w:t>el</w:t>
      </w:r>
      <w:r>
        <w:rPr>
          <w:spacing w:val="-9"/>
          <w:w w:val="105"/>
          <w:sz w:val="13"/>
        </w:rPr>
        <w:t xml:space="preserve"> </w:t>
      </w:r>
      <w:r>
        <w:rPr>
          <w:w w:val="105"/>
          <w:sz w:val="13"/>
        </w:rPr>
        <w:t>Informe</w:t>
      </w:r>
      <w:r>
        <w:rPr>
          <w:spacing w:val="-10"/>
          <w:w w:val="105"/>
          <w:sz w:val="13"/>
        </w:rPr>
        <w:t xml:space="preserve"> </w:t>
      </w:r>
      <w:r>
        <w:rPr>
          <w:w w:val="105"/>
          <w:sz w:val="13"/>
        </w:rPr>
        <w:t>global</w:t>
      </w:r>
      <w:r>
        <w:rPr>
          <w:spacing w:val="-9"/>
          <w:w w:val="105"/>
          <w:sz w:val="13"/>
        </w:rPr>
        <w:t xml:space="preserve"> </w:t>
      </w:r>
      <w:r>
        <w:rPr>
          <w:w w:val="105"/>
          <w:sz w:val="13"/>
        </w:rPr>
        <w:t>sobre</w:t>
      </w:r>
      <w:r>
        <w:rPr>
          <w:spacing w:val="-10"/>
          <w:w w:val="105"/>
          <w:sz w:val="13"/>
        </w:rPr>
        <w:t xml:space="preserve"> </w:t>
      </w:r>
      <w:r>
        <w:rPr>
          <w:w w:val="105"/>
          <w:sz w:val="13"/>
        </w:rPr>
        <w:t>discriminación</w:t>
      </w:r>
      <w:r>
        <w:rPr>
          <w:spacing w:val="-9"/>
          <w:w w:val="105"/>
          <w:sz w:val="13"/>
        </w:rPr>
        <w:t xml:space="preserve"> </w:t>
      </w:r>
      <w:r>
        <w:rPr>
          <w:w w:val="105"/>
          <w:sz w:val="13"/>
        </w:rPr>
        <w:t>por</w:t>
      </w:r>
      <w:r>
        <w:rPr>
          <w:spacing w:val="-10"/>
          <w:w w:val="105"/>
          <w:sz w:val="13"/>
        </w:rPr>
        <w:t xml:space="preserve"> </w:t>
      </w:r>
      <w:r>
        <w:rPr>
          <w:w w:val="105"/>
          <w:sz w:val="13"/>
        </w:rPr>
        <w:t>edad,</w:t>
      </w:r>
      <w:r>
        <w:rPr>
          <w:spacing w:val="-9"/>
          <w:w w:val="105"/>
          <w:sz w:val="13"/>
        </w:rPr>
        <w:t xml:space="preserve"> </w:t>
      </w:r>
      <w:r>
        <w:rPr>
          <w:w w:val="105"/>
          <w:sz w:val="13"/>
        </w:rPr>
        <w:t>la</w:t>
      </w:r>
      <w:r>
        <w:rPr>
          <w:spacing w:val="-10"/>
          <w:w w:val="105"/>
          <w:sz w:val="13"/>
        </w:rPr>
        <w:t xml:space="preserve"> </w:t>
      </w:r>
      <w:r>
        <w:rPr>
          <w:w w:val="105"/>
          <w:sz w:val="13"/>
        </w:rPr>
        <w:t>discriminación</w:t>
      </w:r>
      <w:r>
        <w:rPr>
          <w:spacing w:val="-9"/>
          <w:w w:val="105"/>
          <w:sz w:val="13"/>
        </w:rPr>
        <w:t xml:space="preserve"> </w:t>
      </w:r>
      <w:r>
        <w:rPr>
          <w:w w:val="105"/>
          <w:sz w:val="13"/>
        </w:rPr>
        <w:t>por</w:t>
      </w:r>
      <w:r>
        <w:rPr>
          <w:spacing w:val="-10"/>
          <w:w w:val="105"/>
          <w:sz w:val="13"/>
        </w:rPr>
        <w:t xml:space="preserve"> </w:t>
      </w:r>
      <w:r>
        <w:rPr>
          <w:w w:val="105"/>
          <w:sz w:val="13"/>
        </w:rPr>
        <w:t>edad</w:t>
      </w:r>
      <w:r>
        <w:rPr>
          <w:spacing w:val="-9"/>
          <w:w w:val="105"/>
          <w:sz w:val="13"/>
        </w:rPr>
        <w:t xml:space="preserve"> </w:t>
      </w:r>
      <w:r>
        <w:rPr>
          <w:w w:val="105"/>
          <w:sz w:val="13"/>
        </w:rPr>
        <w:t>se</w:t>
      </w:r>
      <w:r>
        <w:rPr>
          <w:spacing w:val="-10"/>
          <w:w w:val="105"/>
          <w:sz w:val="13"/>
        </w:rPr>
        <w:t xml:space="preserve"> </w:t>
      </w:r>
      <w:r>
        <w:rPr>
          <w:w w:val="105"/>
          <w:sz w:val="13"/>
        </w:rPr>
        <w:t>refiere</w:t>
      </w:r>
      <w:r>
        <w:rPr>
          <w:spacing w:val="-9"/>
          <w:w w:val="105"/>
          <w:sz w:val="13"/>
        </w:rPr>
        <w:t xml:space="preserve"> </w:t>
      </w:r>
      <w:r>
        <w:rPr>
          <w:w w:val="105"/>
          <w:sz w:val="13"/>
        </w:rPr>
        <w:t>a</w:t>
      </w:r>
      <w:r>
        <w:rPr>
          <w:spacing w:val="-10"/>
          <w:w w:val="105"/>
          <w:sz w:val="13"/>
        </w:rPr>
        <w:t xml:space="preserve"> </w:t>
      </w:r>
      <w:r>
        <w:rPr>
          <w:w w:val="105"/>
          <w:sz w:val="13"/>
        </w:rPr>
        <w:t>los</w:t>
      </w:r>
      <w:r>
        <w:rPr>
          <w:spacing w:val="-9"/>
          <w:w w:val="105"/>
          <w:sz w:val="13"/>
        </w:rPr>
        <w:t xml:space="preserve"> </w:t>
      </w:r>
      <w:r>
        <w:rPr>
          <w:w w:val="105"/>
          <w:sz w:val="13"/>
        </w:rPr>
        <w:t>estereotipos</w:t>
      </w:r>
      <w:r>
        <w:rPr>
          <w:spacing w:val="-10"/>
          <w:w w:val="105"/>
          <w:sz w:val="13"/>
        </w:rPr>
        <w:t xml:space="preserve"> </w:t>
      </w:r>
      <w:r>
        <w:rPr>
          <w:w w:val="105"/>
          <w:sz w:val="13"/>
        </w:rPr>
        <w:t>(cómo</w:t>
      </w:r>
      <w:r>
        <w:rPr>
          <w:spacing w:val="-9"/>
          <w:w w:val="105"/>
          <w:sz w:val="13"/>
        </w:rPr>
        <w:t xml:space="preserve"> </w:t>
      </w:r>
      <w:r>
        <w:rPr>
          <w:w w:val="105"/>
          <w:sz w:val="13"/>
        </w:rPr>
        <w:t>pensamos),</w:t>
      </w:r>
      <w:r>
        <w:rPr>
          <w:spacing w:val="-10"/>
          <w:w w:val="105"/>
          <w:sz w:val="13"/>
        </w:rPr>
        <w:t xml:space="preserve"> </w:t>
      </w:r>
      <w:r>
        <w:rPr>
          <w:w w:val="105"/>
          <w:sz w:val="13"/>
        </w:rPr>
        <w:t>los</w:t>
      </w:r>
      <w:r>
        <w:rPr>
          <w:spacing w:val="-9"/>
          <w:w w:val="105"/>
          <w:sz w:val="13"/>
        </w:rPr>
        <w:t xml:space="preserve"> </w:t>
      </w:r>
      <w:r>
        <w:rPr>
          <w:w w:val="105"/>
          <w:sz w:val="13"/>
        </w:rPr>
        <w:t>prejuicios</w:t>
      </w:r>
      <w:r>
        <w:rPr>
          <w:spacing w:val="40"/>
          <w:w w:val="105"/>
          <w:sz w:val="13"/>
        </w:rPr>
        <w:t xml:space="preserve"> </w:t>
      </w:r>
      <w:r>
        <w:rPr>
          <w:w w:val="105"/>
          <w:sz w:val="13"/>
        </w:rPr>
        <w:t>(cómo</w:t>
      </w:r>
      <w:r>
        <w:rPr>
          <w:spacing w:val="-4"/>
          <w:w w:val="105"/>
          <w:sz w:val="13"/>
        </w:rPr>
        <w:t xml:space="preserve"> </w:t>
      </w:r>
      <w:r>
        <w:rPr>
          <w:w w:val="105"/>
          <w:sz w:val="13"/>
        </w:rPr>
        <w:t>nos</w:t>
      </w:r>
      <w:r>
        <w:rPr>
          <w:spacing w:val="-5"/>
          <w:w w:val="105"/>
          <w:sz w:val="13"/>
        </w:rPr>
        <w:t xml:space="preserve"> </w:t>
      </w:r>
      <w:r>
        <w:rPr>
          <w:w w:val="105"/>
          <w:sz w:val="13"/>
        </w:rPr>
        <w:t>sentimos)</w:t>
      </w:r>
      <w:r>
        <w:rPr>
          <w:spacing w:val="-5"/>
          <w:w w:val="105"/>
          <w:sz w:val="13"/>
        </w:rPr>
        <w:t xml:space="preserve"> </w:t>
      </w:r>
      <w:r>
        <w:rPr>
          <w:w w:val="105"/>
          <w:sz w:val="13"/>
        </w:rPr>
        <w:t>y</w:t>
      </w:r>
      <w:r>
        <w:rPr>
          <w:spacing w:val="-4"/>
          <w:w w:val="105"/>
          <w:sz w:val="13"/>
        </w:rPr>
        <w:t xml:space="preserve"> </w:t>
      </w:r>
      <w:r>
        <w:rPr>
          <w:w w:val="105"/>
          <w:sz w:val="13"/>
        </w:rPr>
        <w:t>la</w:t>
      </w:r>
      <w:r>
        <w:rPr>
          <w:spacing w:val="-5"/>
          <w:w w:val="105"/>
          <w:sz w:val="13"/>
        </w:rPr>
        <w:t xml:space="preserve"> </w:t>
      </w:r>
      <w:r>
        <w:rPr>
          <w:w w:val="105"/>
          <w:sz w:val="13"/>
        </w:rPr>
        <w:t>discriminación</w:t>
      </w:r>
      <w:r>
        <w:rPr>
          <w:spacing w:val="-4"/>
          <w:w w:val="105"/>
          <w:sz w:val="13"/>
        </w:rPr>
        <w:t xml:space="preserve"> </w:t>
      </w:r>
      <w:r>
        <w:rPr>
          <w:w w:val="105"/>
          <w:sz w:val="13"/>
        </w:rPr>
        <w:t>(cómo</w:t>
      </w:r>
      <w:r>
        <w:rPr>
          <w:spacing w:val="-4"/>
          <w:w w:val="105"/>
          <w:sz w:val="13"/>
        </w:rPr>
        <w:t xml:space="preserve"> </w:t>
      </w:r>
      <w:r>
        <w:rPr>
          <w:w w:val="105"/>
          <w:sz w:val="13"/>
        </w:rPr>
        <w:t>actuamos)</w:t>
      </w:r>
      <w:r>
        <w:rPr>
          <w:spacing w:val="-5"/>
          <w:w w:val="105"/>
          <w:sz w:val="13"/>
        </w:rPr>
        <w:t xml:space="preserve"> </w:t>
      </w:r>
      <w:r>
        <w:rPr>
          <w:w w:val="105"/>
          <w:sz w:val="13"/>
        </w:rPr>
        <w:t>dirigidos</w:t>
      </w:r>
      <w:r>
        <w:rPr>
          <w:spacing w:val="-5"/>
          <w:w w:val="105"/>
          <w:sz w:val="13"/>
        </w:rPr>
        <w:t xml:space="preserve"> </w:t>
      </w:r>
      <w:r>
        <w:rPr>
          <w:w w:val="105"/>
          <w:sz w:val="13"/>
        </w:rPr>
        <w:t>hacia</w:t>
      </w:r>
      <w:r>
        <w:rPr>
          <w:spacing w:val="-4"/>
          <w:w w:val="105"/>
          <w:sz w:val="13"/>
        </w:rPr>
        <w:t xml:space="preserve"> </w:t>
      </w:r>
      <w:r>
        <w:rPr>
          <w:w w:val="105"/>
          <w:sz w:val="13"/>
        </w:rPr>
        <w:t>las</w:t>
      </w:r>
      <w:r>
        <w:rPr>
          <w:spacing w:val="-5"/>
          <w:w w:val="105"/>
          <w:sz w:val="13"/>
        </w:rPr>
        <w:t xml:space="preserve"> </w:t>
      </w:r>
      <w:r>
        <w:rPr>
          <w:w w:val="105"/>
          <w:sz w:val="13"/>
        </w:rPr>
        <w:t>personas</w:t>
      </w:r>
      <w:r>
        <w:rPr>
          <w:spacing w:val="-5"/>
          <w:w w:val="105"/>
          <w:sz w:val="13"/>
        </w:rPr>
        <w:t xml:space="preserve"> </w:t>
      </w:r>
      <w:r>
        <w:rPr>
          <w:w w:val="105"/>
          <w:sz w:val="13"/>
        </w:rPr>
        <w:t>en</w:t>
      </w:r>
      <w:r>
        <w:rPr>
          <w:spacing w:val="-5"/>
          <w:w w:val="105"/>
          <w:sz w:val="13"/>
        </w:rPr>
        <w:t xml:space="preserve"> </w:t>
      </w:r>
      <w:r>
        <w:rPr>
          <w:w w:val="105"/>
          <w:sz w:val="13"/>
        </w:rPr>
        <w:t>función</w:t>
      </w:r>
      <w:r>
        <w:rPr>
          <w:spacing w:val="-5"/>
          <w:w w:val="105"/>
          <w:sz w:val="13"/>
        </w:rPr>
        <w:t xml:space="preserve"> </w:t>
      </w:r>
      <w:r>
        <w:rPr>
          <w:w w:val="105"/>
          <w:sz w:val="13"/>
        </w:rPr>
        <w:t>de</w:t>
      </w:r>
      <w:r>
        <w:rPr>
          <w:spacing w:val="-5"/>
          <w:w w:val="105"/>
          <w:sz w:val="13"/>
        </w:rPr>
        <w:t xml:space="preserve"> </w:t>
      </w:r>
      <w:r>
        <w:rPr>
          <w:w w:val="105"/>
          <w:sz w:val="13"/>
        </w:rPr>
        <w:t>su</w:t>
      </w:r>
      <w:r>
        <w:rPr>
          <w:spacing w:val="-4"/>
          <w:w w:val="105"/>
          <w:sz w:val="13"/>
        </w:rPr>
        <w:t xml:space="preserve"> </w:t>
      </w:r>
      <w:r>
        <w:rPr>
          <w:w w:val="105"/>
          <w:sz w:val="13"/>
        </w:rPr>
        <w:t>edad.1242</w:t>
      </w:r>
    </w:p>
    <w:p w14:paraId="77C95EC1" w14:textId="77777777" w:rsidR="0014798C" w:rsidRDefault="004E1F0B">
      <w:pPr>
        <w:spacing w:before="114" w:line="400" w:lineRule="auto"/>
        <w:ind w:left="1332" w:right="1463" w:firstLine="5"/>
        <w:rPr>
          <w:sz w:val="13"/>
        </w:rPr>
      </w:pPr>
      <w:r>
        <w:rPr>
          <w:w w:val="105"/>
          <w:sz w:val="13"/>
        </w:rPr>
        <w:t>Los</w:t>
      </w:r>
      <w:r>
        <w:rPr>
          <w:spacing w:val="-9"/>
          <w:w w:val="105"/>
          <w:sz w:val="13"/>
        </w:rPr>
        <w:t xml:space="preserve"> </w:t>
      </w:r>
      <w:r>
        <w:rPr>
          <w:w w:val="105"/>
          <w:sz w:val="13"/>
        </w:rPr>
        <w:t>estudios</w:t>
      </w:r>
      <w:r>
        <w:rPr>
          <w:spacing w:val="-9"/>
          <w:w w:val="105"/>
          <w:sz w:val="13"/>
        </w:rPr>
        <w:t xml:space="preserve"> </w:t>
      </w:r>
      <w:r>
        <w:rPr>
          <w:w w:val="105"/>
          <w:sz w:val="13"/>
        </w:rPr>
        <w:t>han</w:t>
      </w:r>
      <w:r>
        <w:rPr>
          <w:spacing w:val="-9"/>
          <w:w w:val="105"/>
          <w:sz w:val="13"/>
        </w:rPr>
        <w:t xml:space="preserve"> </w:t>
      </w:r>
      <w:r>
        <w:rPr>
          <w:w w:val="105"/>
          <w:sz w:val="13"/>
        </w:rPr>
        <w:t>encontrado</w:t>
      </w:r>
      <w:r>
        <w:rPr>
          <w:spacing w:val="-9"/>
          <w:w w:val="105"/>
          <w:sz w:val="13"/>
        </w:rPr>
        <w:t xml:space="preserve"> </w:t>
      </w:r>
      <w:r>
        <w:rPr>
          <w:w w:val="105"/>
          <w:sz w:val="13"/>
        </w:rPr>
        <w:t>que</w:t>
      </w:r>
      <w:r>
        <w:rPr>
          <w:spacing w:val="-9"/>
          <w:w w:val="105"/>
          <w:sz w:val="13"/>
        </w:rPr>
        <w:t xml:space="preserve"> </w:t>
      </w:r>
      <w:r>
        <w:rPr>
          <w:w w:val="105"/>
          <w:sz w:val="13"/>
        </w:rPr>
        <w:t>la</w:t>
      </w:r>
      <w:r>
        <w:rPr>
          <w:spacing w:val="-9"/>
          <w:w w:val="105"/>
          <w:sz w:val="13"/>
        </w:rPr>
        <w:t xml:space="preserve"> </w:t>
      </w:r>
      <w:r>
        <w:rPr>
          <w:w w:val="105"/>
          <w:sz w:val="13"/>
        </w:rPr>
        <w:t>discriminación</w:t>
      </w:r>
      <w:r>
        <w:rPr>
          <w:spacing w:val="-8"/>
          <w:w w:val="105"/>
          <w:sz w:val="13"/>
        </w:rPr>
        <w:t xml:space="preserve"> </w:t>
      </w:r>
      <w:r>
        <w:rPr>
          <w:w w:val="105"/>
          <w:sz w:val="13"/>
        </w:rPr>
        <w:t>por</w:t>
      </w:r>
      <w:r>
        <w:rPr>
          <w:spacing w:val="-9"/>
          <w:w w:val="105"/>
          <w:sz w:val="13"/>
        </w:rPr>
        <w:t xml:space="preserve"> </w:t>
      </w:r>
      <w:r>
        <w:rPr>
          <w:w w:val="105"/>
          <w:sz w:val="13"/>
        </w:rPr>
        <w:t>edad</w:t>
      </w:r>
      <w:r>
        <w:rPr>
          <w:spacing w:val="-9"/>
          <w:w w:val="105"/>
          <w:sz w:val="13"/>
        </w:rPr>
        <w:t xml:space="preserve"> </w:t>
      </w:r>
      <w:r>
        <w:rPr>
          <w:w w:val="105"/>
          <w:sz w:val="13"/>
        </w:rPr>
        <w:t>está</w:t>
      </w:r>
      <w:r>
        <w:rPr>
          <w:spacing w:val="-9"/>
          <w:w w:val="105"/>
          <w:sz w:val="13"/>
        </w:rPr>
        <w:t xml:space="preserve"> </w:t>
      </w:r>
      <w:r>
        <w:rPr>
          <w:w w:val="105"/>
          <w:sz w:val="13"/>
        </w:rPr>
        <w:t>muy</w:t>
      </w:r>
      <w:r>
        <w:rPr>
          <w:spacing w:val="-9"/>
          <w:w w:val="105"/>
          <w:sz w:val="13"/>
        </w:rPr>
        <w:t xml:space="preserve"> </w:t>
      </w:r>
      <w:r>
        <w:rPr>
          <w:w w:val="105"/>
          <w:sz w:val="13"/>
        </w:rPr>
        <w:t>extendida</w:t>
      </w:r>
      <w:r>
        <w:rPr>
          <w:spacing w:val="-9"/>
          <w:w w:val="105"/>
          <w:sz w:val="13"/>
        </w:rPr>
        <w:t xml:space="preserve"> </w:t>
      </w:r>
      <w:r>
        <w:rPr>
          <w:w w:val="105"/>
          <w:sz w:val="13"/>
        </w:rPr>
        <w:t>en</w:t>
      </w:r>
      <w:r>
        <w:rPr>
          <w:spacing w:val="-9"/>
          <w:w w:val="105"/>
          <w:sz w:val="13"/>
        </w:rPr>
        <w:t xml:space="preserve"> </w:t>
      </w:r>
      <w:r>
        <w:rPr>
          <w:w w:val="105"/>
          <w:sz w:val="13"/>
        </w:rPr>
        <w:t>las</w:t>
      </w:r>
      <w:r>
        <w:rPr>
          <w:spacing w:val="-9"/>
          <w:w w:val="105"/>
          <w:sz w:val="13"/>
        </w:rPr>
        <w:t xml:space="preserve"> </w:t>
      </w:r>
      <w:r>
        <w:rPr>
          <w:w w:val="105"/>
          <w:sz w:val="13"/>
        </w:rPr>
        <w:t>instituciones,</w:t>
      </w:r>
      <w:r>
        <w:rPr>
          <w:spacing w:val="-8"/>
          <w:w w:val="105"/>
          <w:sz w:val="13"/>
        </w:rPr>
        <w:t xml:space="preserve"> </w:t>
      </w:r>
      <w:r>
        <w:rPr>
          <w:w w:val="105"/>
          <w:sz w:val="13"/>
        </w:rPr>
        <w:t>leyes</w:t>
      </w:r>
      <w:r>
        <w:rPr>
          <w:spacing w:val="-9"/>
          <w:w w:val="105"/>
          <w:sz w:val="13"/>
        </w:rPr>
        <w:t xml:space="preserve"> </w:t>
      </w:r>
      <w:r>
        <w:rPr>
          <w:w w:val="105"/>
          <w:sz w:val="13"/>
        </w:rPr>
        <w:t>y</w:t>
      </w:r>
      <w:r>
        <w:rPr>
          <w:spacing w:val="-8"/>
          <w:w w:val="105"/>
          <w:sz w:val="13"/>
        </w:rPr>
        <w:t xml:space="preserve"> </w:t>
      </w:r>
      <w:r>
        <w:rPr>
          <w:w w:val="105"/>
          <w:sz w:val="13"/>
        </w:rPr>
        <w:t>políticas</w:t>
      </w:r>
      <w:r>
        <w:rPr>
          <w:spacing w:val="-9"/>
          <w:w w:val="105"/>
          <w:sz w:val="13"/>
        </w:rPr>
        <w:t xml:space="preserve"> </w:t>
      </w:r>
      <w:r>
        <w:rPr>
          <w:w w:val="105"/>
          <w:sz w:val="13"/>
        </w:rPr>
        <w:t>de</w:t>
      </w:r>
      <w:r>
        <w:rPr>
          <w:spacing w:val="-9"/>
          <w:w w:val="105"/>
          <w:sz w:val="13"/>
        </w:rPr>
        <w:t xml:space="preserve"> </w:t>
      </w:r>
      <w:r>
        <w:rPr>
          <w:w w:val="105"/>
          <w:sz w:val="13"/>
        </w:rPr>
        <w:t>todo</w:t>
      </w:r>
      <w:r>
        <w:rPr>
          <w:spacing w:val="-9"/>
          <w:w w:val="105"/>
          <w:sz w:val="13"/>
        </w:rPr>
        <w:t xml:space="preserve"> </w:t>
      </w:r>
      <w:r>
        <w:rPr>
          <w:w w:val="105"/>
          <w:sz w:val="13"/>
        </w:rPr>
        <w:t>el</w:t>
      </w:r>
      <w:r>
        <w:rPr>
          <w:spacing w:val="-9"/>
          <w:w w:val="105"/>
          <w:sz w:val="13"/>
        </w:rPr>
        <w:t xml:space="preserve"> </w:t>
      </w:r>
      <w:r>
        <w:rPr>
          <w:w w:val="105"/>
          <w:sz w:val="13"/>
        </w:rPr>
        <w:t>mundo.1243</w:t>
      </w:r>
      <w:r>
        <w:rPr>
          <w:spacing w:val="-9"/>
          <w:w w:val="105"/>
          <w:sz w:val="13"/>
        </w:rPr>
        <w:t xml:space="preserve"> </w:t>
      </w:r>
      <w:r>
        <w:rPr>
          <w:w w:val="105"/>
          <w:sz w:val="13"/>
        </w:rPr>
        <w:t>Los</w:t>
      </w:r>
      <w:r>
        <w:rPr>
          <w:spacing w:val="40"/>
          <w:w w:val="105"/>
          <w:sz w:val="13"/>
        </w:rPr>
        <w:t xml:space="preserve"> </w:t>
      </w:r>
      <w:r>
        <w:rPr>
          <w:w w:val="105"/>
          <w:sz w:val="13"/>
        </w:rPr>
        <w:t>autores</w:t>
      </w:r>
      <w:r>
        <w:rPr>
          <w:spacing w:val="-7"/>
          <w:w w:val="105"/>
          <w:sz w:val="13"/>
        </w:rPr>
        <w:t xml:space="preserve"> </w:t>
      </w:r>
      <w:r>
        <w:rPr>
          <w:w w:val="105"/>
          <w:sz w:val="13"/>
        </w:rPr>
        <w:t>del</w:t>
      </w:r>
      <w:r>
        <w:rPr>
          <w:spacing w:val="-6"/>
          <w:w w:val="105"/>
          <w:sz w:val="13"/>
        </w:rPr>
        <w:t xml:space="preserve"> </w:t>
      </w:r>
      <w:r>
        <w:rPr>
          <w:w w:val="105"/>
          <w:sz w:val="13"/>
        </w:rPr>
        <w:t>Informe</w:t>
      </w:r>
      <w:r>
        <w:rPr>
          <w:spacing w:val="-7"/>
          <w:w w:val="105"/>
          <w:sz w:val="13"/>
        </w:rPr>
        <w:t xml:space="preserve"> </w:t>
      </w:r>
      <w:r>
        <w:rPr>
          <w:w w:val="105"/>
          <w:sz w:val="13"/>
        </w:rPr>
        <w:t>Global</w:t>
      </w:r>
      <w:r>
        <w:rPr>
          <w:spacing w:val="-7"/>
          <w:w w:val="105"/>
          <w:sz w:val="13"/>
        </w:rPr>
        <w:t xml:space="preserve"> </w:t>
      </w:r>
      <w:r>
        <w:rPr>
          <w:w w:val="105"/>
          <w:sz w:val="13"/>
        </w:rPr>
        <w:t>sobre</w:t>
      </w:r>
      <w:r>
        <w:rPr>
          <w:spacing w:val="-6"/>
          <w:w w:val="105"/>
          <w:sz w:val="13"/>
        </w:rPr>
        <w:t xml:space="preserve"> </w:t>
      </w:r>
      <w:r>
        <w:rPr>
          <w:w w:val="105"/>
          <w:sz w:val="13"/>
        </w:rPr>
        <w:t>la</w:t>
      </w:r>
      <w:r>
        <w:rPr>
          <w:spacing w:val="-7"/>
          <w:w w:val="105"/>
          <w:sz w:val="13"/>
        </w:rPr>
        <w:t xml:space="preserve"> </w:t>
      </w:r>
      <w:r>
        <w:rPr>
          <w:w w:val="105"/>
          <w:sz w:val="13"/>
        </w:rPr>
        <w:t>discriminación</w:t>
      </w:r>
      <w:r>
        <w:rPr>
          <w:spacing w:val="-6"/>
          <w:w w:val="105"/>
          <w:sz w:val="13"/>
        </w:rPr>
        <w:t xml:space="preserve"> </w:t>
      </w:r>
      <w:r>
        <w:rPr>
          <w:w w:val="105"/>
          <w:sz w:val="13"/>
        </w:rPr>
        <w:t>por</w:t>
      </w:r>
      <w:r>
        <w:rPr>
          <w:spacing w:val="-7"/>
          <w:w w:val="105"/>
          <w:sz w:val="13"/>
        </w:rPr>
        <w:t xml:space="preserve"> </w:t>
      </w:r>
      <w:r>
        <w:rPr>
          <w:w w:val="105"/>
          <w:sz w:val="13"/>
        </w:rPr>
        <w:t>edad</w:t>
      </w:r>
      <w:r>
        <w:rPr>
          <w:spacing w:val="-7"/>
          <w:w w:val="105"/>
          <w:sz w:val="13"/>
        </w:rPr>
        <w:t xml:space="preserve"> </w:t>
      </w:r>
      <w:r>
        <w:rPr>
          <w:w w:val="105"/>
          <w:sz w:val="13"/>
        </w:rPr>
        <w:t>encontraron</w:t>
      </w:r>
      <w:r>
        <w:rPr>
          <w:spacing w:val="-7"/>
          <w:w w:val="105"/>
          <w:sz w:val="13"/>
        </w:rPr>
        <w:t xml:space="preserve"> </w:t>
      </w:r>
      <w:r>
        <w:rPr>
          <w:w w:val="105"/>
          <w:sz w:val="13"/>
        </w:rPr>
        <w:t>que</w:t>
      </w:r>
      <w:r>
        <w:rPr>
          <w:spacing w:val="-7"/>
          <w:w w:val="105"/>
          <w:sz w:val="13"/>
        </w:rPr>
        <w:t xml:space="preserve"> </w:t>
      </w:r>
      <w:r>
        <w:rPr>
          <w:w w:val="105"/>
          <w:sz w:val="13"/>
        </w:rPr>
        <w:t>una</w:t>
      </w:r>
      <w:r>
        <w:rPr>
          <w:spacing w:val="-7"/>
          <w:w w:val="105"/>
          <w:sz w:val="13"/>
        </w:rPr>
        <w:t xml:space="preserve"> </w:t>
      </w:r>
      <w:r>
        <w:rPr>
          <w:w w:val="105"/>
          <w:sz w:val="13"/>
        </w:rPr>
        <w:t>de</w:t>
      </w:r>
      <w:r>
        <w:rPr>
          <w:spacing w:val="-7"/>
          <w:w w:val="105"/>
          <w:sz w:val="13"/>
        </w:rPr>
        <w:t xml:space="preserve"> </w:t>
      </w:r>
      <w:r>
        <w:rPr>
          <w:w w:val="105"/>
          <w:sz w:val="13"/>
        </w:rPr>
        <w:t>cada</w:t>
      </w:r>
      <w:r>
        <w:rPr>
          <w:spacing w:val="-6"/>
          <w:w w:val="105"/>
          <w:sz w:val="13"/>
        </w:rPr>
        <w:t xml:space="preserve"> </w:t>
      </w:r>
      <w:r>
        <w:rPr>
          <w:w w:val="105"/>
          <w:sz w:val="13"/>
        </w:rPr>
        <w:t>dos</w:t>
      </w:r>
      <w:r>
        <w:rPr>
          <w:spacing w:val="-7"/>
          <w:w w:val="105"/>
          <w:sz w:val="13"/>
        </w:rPr>
        <w:t xml:space="preserve"> </w:t>
      </w:r>
      <w:r>
        <w:rPr>
          <w:w w:val="105"/>
          <w:sz w:val="13"/>
        </w:rPr>
        <w:t>personas</w:t>
      </w:r>
      <w:r>
        <w:rPr>
          <w:spacing w:val="-7"/>
          <w:w w:val="105"/>
          <w:sz w:val="13"/>
        </w:rPr>
        <w:t xml:space="preserve"> </w:t>
      </w:r>
      <w:r>
        <w:rPr>
          <w:w w:val="105"/>
          <w:sz w:val="13"/>
        </w:rPr>
        <w:t>es</w:t>
      </w:r>
      <w:r>
        <w:rPr>
          <w:spacing w:val="-7"/>
          <w:w w:val="105"/>
          <w:sz w:val="13"/>
        </w:rPr>
        <w:t xml:space="preserve"> </w:t>
      </w:r>
      <w:r>
        <w:rPr>
          <w:w w:val="105"/>
          <w:sz w:val="13"/>
        </w:rPr>
        <w:t>discriminatoria</w:t>
      </w:r>
      <w:r>
        <w:rPr>
          <w:spacing w:val="-7"/>
          <w:w w:val="105"/>
          <w:sz w:val="13"/>
        </w:rPr>
        <w:t xml:space="preserve"> </w:t>
      </w:r>
      <w:r>
        <w:rPr>
          <w:w w:val="105"/>
          <w:sz w:val="13"/>
        </w:rPr>
        <w:t>por</w:t>
      </w:r>
      <w:r>
        <w:rPr>
          <w:spacing w:val="-7"/>
          <w:w w:val="105"/>
          <w:sz w:val="13"/>
        </w:rPr>
        <w:t xml:space="preserve"> </w:t>
      </w:r>
      <w:r>
        <w:rPr>
          <w:w w:val="105"/>
          <w:sz w:val="13"/>
        </w:rPr>
        <w:t>edad</w:t>
      </w:r>
      <w:r>
        <w:rPr>
          <w:spacing w:val="-7"/>
          <w:w w:val="105"/>
          <w:sz w:val="13"/>
        </w:rPr>
        <w:t xml:space="preserve"> </w:t>
      </w:r>
      <w:r>
        <w:rPr>
          <w:w w:val="105"/>
          <w:sz w:val="13"/>
        </w:rPr>
        <w:t>contra</w:t>
      </w:r>
      <w:r>
        <w:rPr>
          <w:spacing w:val="-7"/>
          <w:w w:val="105"/>
          <w:sz w:val="13"/>
        </w:rPr>
        <w:t xml:space="preserve"> </w:t>
      </w:r>
      <w:r>
        <w:rPr>
          <w:w w:val="105"/>
          <w:sz w:val="13"/>
        </w:rPr>
        <w:t>las</w:t>
      </w:r>
      <w:r>
        <w:rPr>
          <w:spacing w:val="40"/>
          <w:w w:val="105"/>
          <w:sz w:val="13"/>
        </w:rPr>
        <w:t xml:space="preserve"> </w:t>
      </w:r>
      <w:r>
        <w:rPr>
          <w:w w:val="105"/>
          <w:sz w:val="13"/>
        </w:rPr>
        <w:t>personas</w:t>
      </w:r>
      <w:r>
        <w:rPr>
          <w:spacing w:val="-9"/>
          <w:w w:val="105"/>
          <w:sz w:val="13"/>
        </w:rPr>
        <w:t xml:space="preserve"> </w:t>
      </w:r>
      <w:r>
        <w:rPr>
          <w:w w:val="105"/>
          <w:sz w:val="13"/>
        </w:rPr>
        <w:t>mayores,</w:t>
      </w:r>
      <w:r>
        <w:rPr>
          <w:spacing w:val="-9"/>
          <w:w w:val="105"/>
          <w:sz w:val="13"/>
        </w:rPr>
        <w:t xml:space="preserve"> </w:t>
      </w:r>
      <w:r>
        <w:rPr>
          <w:w w:val="105"/>
          <w:sz w:val="13"/>
        </w:rPr>
        <w:t>mientras</w:t>
      </w:r>
      <w:r>
        <w:rPr>
          <w:spacing w:val="-9"/>
          <w:w w:val="105"/>
          <w:sz w:val="13"/>
        </w:rPr>
        <w:t xml:space="preserve"> </w:t>
      </w:r>
      <w:r>
        <w:rPr>
          <w:w w:val="105"/>
          <w:sz w:val="13"/>
        </w:rPr>
        <w:t>que</w:t>
      </w:r>
      <w:r>
        <w:rPr>
          <w:spacing w:val="-9"/>
          <w:w w:val="105"/>
          <w:sz w:val="13"/>
        </w:rPr>
        <w:t xml:space="preserve"> </w:t>
      </w:r>
      <w:r>
        <w:rPr>
          <w:w w:val="105"/>
          <w:sz w:val="13"/>
        </w:rPr>
        <w:t>en</w:t>
      </w:r>
      <w:r>
        <w:rPr>
          <w:spacing w:val="-9"/>
          <w:w w:val="105"/>
          <w:sz w:val="13"/>
        </w:rPr>
        <w:t xml:space="preserve"> </w:t>
      </w:r>
      <w:r>
        <w:rPr>
          <w:w w:val="105"/>
          <w:sz w:val="13"/>
        </w:rPr>
        <w:t>Europa</w:t>
      </w:r>
      <w:r>
        <w:rPr>
          <w:spacing w:val="-9"/>
          <w:w w:val="105"/>
          <w:sz w:val="13"/>
        </w:rPr>
        <w:t xml:space="preserve"> </w:t>
      </w:r>
      <w:r>
        <w:rPr>
          <w:w w:val="105"/>
          <w:sz w:val="13"/>
        </w:rPr>
        <w:t>una</w:t>
      </w:r>
      <w:r>
        <w:rPr>
          <w:spacing w:val="-9"/>
          <w:w w:val="105"/>
          <w:sz w:val="13"/>
        </w:rPr>
        <w:t xml:space="preserve"> </w:t>
      </w:r>
      <w:r>
        <w:rPr>
          <w:w w:val="105"/>
          <w:sz w:val="13"/>
        </w:rPr>
        <w:t>de</w:t>
      </w:r>
      <w:r>
        <w:rPr>
          <w:spacing w:val="-9"/>
          <w:w w:val="105"/>
          <w:sz w:val="13"/>
        </w:rPr>
        <w:t xml:space="preserve"> </w:t>
      </w:r>
      <w:r>
        <w:rPr>
          <w:w w:val="105"/>
          <w:sz w:val="13"/>
        </w:rPr>
        <w:t>cada</w:t>
      </w:r>
      <w:r>
        <w:rPr>
          <w:spacing w:val="-9"/>
          <w:w w:val="105"/>
          <w:sz w:val="13"/>
        </w:rPr>
        <w:t xml:space="preserve"> </w:t>
      </w:r>
      <w:r>
        <w:rPr>
          <w:w w:val="105"/>
          <w:sz w:val="13"/>
        </w:rPr>
        <w:t>tres</w:t>
      </w:r>
      <w:r>
        <w:rPr>
          <w:spacing w:val="-9"/>
          <w:w w:val="105"/>
          <w:sz w:val="13"/>
        </w:rPr>
        <w:t xml:space="preserve"> </w:t>
      </w:r>
      <w:r>
        <w:rPr>
          <w:w w:val="105"/>
          <w:sz w:val="13"/>
        </w:rPr>
        <w:t>personas</w:t>
      </w:r>
      <w:r>
        <w:rPr>
          <w:spacing w:val="-9"/>
          <w:w w:val="105"/>
          <w:sz w:val="13"/>
        </w:rPr>
        <w:t xml:space="preserve"> </w:t>
      </w:r>
      <w:r>
        <w:rPr>
          <w:w w:val="105"/>
          <w:sz w:val="13"/>
        </w:rPr>
        <w:t>informó</w:t>
      </w:r>
      <w:r>
        <w:rPr>
          <w:spacing w:val="-9"/>
          <w:w w:val="105"/>
          <w:sz w:val="13"/>
        </w:rPr>
        <w:t xml:space="preserve"> </w:t>
      </w:r>
      <w:r>
        <w:rPr>
          <w:w w:val="105"/>
          <w:sz w:val="13"/>
        </w:rPr>
        <w:t>haber</w:t>
      </w:r>
      <w:r>
        <w:rPr>
          <w:spacing w:val="-9"/>
          <w:w w:val="105"/>
          <w:sz w:val="13"/>
        </w:rPr>
        <w:t xml:space="preserve"> </w:t>
      </w:r>
      <w:r>
        <w:rPr>
          <w:w w:val="105"/>
          <w:sz w:val="13"/>
        </w:rPr>
        <w:t>sido</w:t>
      </w:r>
      <w:r>
        <w:rPr>
          <w:spacing w:val="-9"/>
          <w:w w:val="105"/>
          <w:sz w:val="13"/>
        </w:rPr>
        <w:t xml:space="preserve"> </w:t>
      </w:r>
      <w:r>
        <w:rPr>
          <w:w w:val="105"/>
          <w:sz w:val="13"/>
        </w:rPr>
        <w:t>un</w:t>
      </w:r>
      <w:r>
        <w:rPr>
          <w:spacing w:val="-9"/>
          <w:w w:val="105"/>
          <w:sz w:val="13"/>
        </w:rPr>
        <w:t xml:space="preserve"> </w:t>
      </w:r>
      <w:r>
        <w:rPr>
          <w:w w:val="105"/>
          <w:sz w:val="13"/>
        </w:rPr>
        <w:t>objetivo.</w:t>
      </w:r>
      <w:r>
        <w:rPr>
          <w:spacing w:val="-9"/>
          <w:w w:val="105"/>
          <w:sz w:val="13"/>
        </w:rPr>
        <w:t xml:space="preserve"> </w:t>
      </w:r>
      <w:r>
        <w:rPr>
          <w:w w:val="105"/>
          <w:sz w:val="13"/>
        </w:rPr>
        <w:t>de</w:t>
      </w:r>
      <w:r>
        <w:rPr>
          <w:spacing w:val="-9"/>
          <w:w w:val="105"/>
          <w:sz w:val="13"/>
        </w:rPr>
        <w:t xml:space="preserve"> </w:t>
      </w:r>
      <w:r>
        <w:rPr>
          <w:w w:val="105"/>
          <w:sz w:val="13"/>
        </w:rPr>
        <w:t>discriminación</w:t>
      </w:r>
      <w:r>
        <w:rPr>
          <w:spacing w:val="-9"/>
          <w:w w:val="105"/>
          <w:sz w:val="13"/>
        </w:rPr>
        <w:t xml:space="preserve"> </w:t>
      </w:r>
      <w:r>
        <w:rPr>
          <w:w w:val="105"/>
          <w:sz w:val="13"/>
        </w:rPr>
        <w:t>por</w:t>
      </w:r>
      <w:r>
        <w:rPr>
          <w:spacing w:val="-9"/>
          <w:w w:val="105"/>
          <w:sz w:val="13"/>
        </w:rPr>
        <w:t xml:space="preserve"> </w:t>
      </w:r>
      <w:r>
        <w:rPr>
          <w:w w:val="105"/>
          <w:sz w:val="13"/>
        </w:rPr>
        <w:t>edad.</w:t>
      </w:r>
      <w:r>
        <w:rPr>
          <w:spacing w:val="-9"/>
          <w:w w:val="105"/>
          <w:sz w:val="13"/>
        </w:rPr>
        <w:t xml:space="preserve"> </w:t>
      </w:r>
      <w:r>
        <w:rPr>
          <w:w w:val="105"/>
          <w:sz w:val="13"/>
        </w:rPr>
        <w:t>A</w:t>
      </w:r>
      <w:r>
        <w:rPr>
          <w:spacing w:val="-9"/>
          <w:w w:val="105"/>
          <w:sz w:val="13"/>
        </w:rPr>
        <w:t xml:space="preserve"> </w:t>
      </w:r>
      <w:r>
        <w:rPr>
          <w:w w:val="105"/>
          <w:sz w:val="13"/>
        </w:rPr>
        <w:t>pesar</w:t>
      </w:r>
      <w:r>
        <w:rPr>
          <w:spacing w:val="-9"/>
          <w:w w:val="105"/>
          <w:sz w:val="13"/>
        </w:rPr>
        <w:t xml:space="preserve"> </w:t>
      </w:r>
      <w:r>
        <w:rPr>
          <w:w w:val="105"/>
          <w:sz w:val="13"/>
        </w:rPr>
        <w:t>de</w:t>
      </w:r>
      <w:r>
        <w:rPr>
          <w:spacing w:val="-9"/>
          <w:w w:val="105"/>
          <w:sz w:val="13"/>
        </w:rPr>
        <w:t xml:space="preserve"> </w:t>
      </w:r>
      <w:r>
        <w:rPr>
          <w:w w:val="105"/>
          <w:sz w:val="13"/>
        </w:rPr>
        <w:t>su</w:t>
      </w:r>
    </w:p>
    <w:p w14:paraId="03451BFC" w14:textId="77777777" w:rsidR="0014798C" w:rsidRDefault="004E1F0B">
      <w:pPr>
        <w:ind w:left="1333"/>
        <w:rPr>
          <w:sz w:val="13"/>
        </w:rPr>
      </w:pPr>
      <w:r>
        <w:rPr>
          <w:spacing w:val="-2"/>
          <w:w w:val="105"/>
          <w:sz w:val="13"/>
        </w:rPr>
        <w:t>magnitud,</w:t>
      </w:r>
      <w:r>
        <w:rPr>
          <w:spacing w:val="-1"/>
          <w:w w:val="105"/>
          <w:sz w:val="13"/>
        </w:rPr>
        <w:t xml:space="preserve"> </w:t>
      </w:r>
      <w:r>
        <w:rPr>
          <w:spacing w:val="-2"/>
          <w:w w:val="105"/>
          <w:sz w:val="13"/>
        </w:rPr>
        <w:t>la discriminación</w:t>
      </w:r>
      <w:r>
        <w:rPr>
          <w:spacing w:val="-1"/>
          <w:w w:val="105"/>
          <w:sz w:val="13"/>
        </w:rPr>
        <w:t xml:space="preserve"> </w:t>
      </w:r>
      <w:r>
        <w:rPr>
          <w:spacing w:val="-2"/>
          <w:w w:val="105"/>
          <w:sz w:val="13"/>
        </w:rPr>
        <w:t>por edad</w:t>
      </w:r>
      <w:r>
        <w:rPr>
          <w:spacing w:val="-1"/>
          <w:w w:val="105"/>
          <w:sz w:val="13"/>
        </w:rPr>
        <w:t xml:space="preserve"> </w:t>
      </w:r>
      <w:r>
        <w:rPr>
          <w:spacing w:val="-2"/>
          <w:w w:val="105"/>
          <w:sz w:val="13"/>
        </w:rPr>
        <w:t>sigue</w:t>
      </w:r>
      <w:r>
        <w:rPr>
          <w:spacing w:val="-1"/>
          <w:w w:val="105"/>
          <w:sz w:val="13"/>
        </w:rPr>
        <w:t xml:space="preserve"> </w:t>
      </w:r>
      <w:r>
        <w:rPr>
          <w:spacing w:val="-2"/>
          <w:w w:val="105"/>
          <w:sz w:val="13"/>
        </w:rPr>
        <w:t>siendo</w:t>
      </w:r>
      <w:r>
        <w:rPr>
          <w:spacing w:val="-1"/>
          <w:w w:val="105"/>
          <w:sz w:val="13"/>
        </w:rPr>
        <w:t xml:space="preserve"> </w:t>
      </w:r>
      <w:r>
        <w:rPr>
          <w:spacing w:val="-2"/>
          <w:w w:val="105"/>
          <w:sz w:val="13"/>
        </w:rPr>
        <w:t>en gran</w:t>
      </w:r>
      <w:r>
        <w:rPr>
          <w:spacing w:val="-1"/>
          <w:w w:val="105"/>
          <w:sz w:val="13"/>
        </w:rPr>
        <w:t xml:space="preserve"> </w:t>
      </w:r>
      <w:r>
        <w:rPr>
          <w:spacing w:val="-2"/>
          <w:w w:val="105"/>
          <w:sz w:val="13"/>
        </w:rPr>
        <w:t>medida</w:t>
      </w:r>
      <w:r>
        <w:rPr>
          <w:w w:val="105"/>
          <w:sz w:val="13"/>
        </w:rPr>
        <w:t xml:space="preserve"> </w:t>
      </w:r>
      <w:r>
        <w:rPr>
          <w:spacing w:val="-2"/>
          <w:w w:val="105"/>
          <w:sz w:val="13"/>
        </w:rPr>
        <w:t>desconocida</w:t>
      </w:r>
      <w:r>
        <w:rPr>
          <w:spacing w:val="-1"/>
          <w:w w:val="105"/>
          <w:sz w:val="13"/>
        </w:rPr>
        <w:t xml:space="preserve"> </w:t>
      </w:r>
      <w:r>
        <w:rPr>
          <w:spacing w:val="-2"/>
          <w:w w:val="105"/>
          <w:sz w:val="13"/>
        </w:rPr>
        <w:t>y</w:t>
      </w:r>
      <w:r>
        <w:rPr>
          <w:spacing w:val="-1"/>
          <w:w w:val="105"/>
          <w:sz w:val="13"/>
        </w:rPr>
        <w:t xml:space="preserve"> </w:t>
      </w:r>
      <w:r>
        <w:rPr>
          <w:spacing w:val="-2"/>
          <w:w w:val="105"/>
          <w:sz w:val="13"/>
        </w:rPr>
        <w:t>a menudo</w:t>
      </w:r>
      <w:r>
        <w:rPr>
          <w:spacing w:val="-1"/>
          <w:w w:val="105"/>
          <w:sz w:val="13"/>
        </w:rPr>
        <w:t xml:space="preserve"> </w:t>
      </w:r>
      <w:r>
        <w:rPr>
          <w:spacing w:val="-2"/>
          <w:w w:val="105"/>
          <w:sz w:val="13"/>
        </w:rPr>
        <w:t>se</w:t>
      </w:r>
      <w:r>
        <w:rPr>
          <w:w w:val="105"/>
          <w:sz w:val="13"/>
        </w:rPr>
        <w:t xml:space="preserve"> </w:t>
      </w:r>
      <w:r>
        <w:rPr>
          <w:spacing w:val="-2"/>
          <w:w w:val="105"/>
          <w:sz w:val="13"/>
        </w:rPr>
        <w:t>considera</w:t>
      </w:r>
      <w:r>
        <w:rPr>
          <w:spacing w:val="-1"/>
          <w:w w:val="105"/>
          <w:sz w:val="13"/>
        </w:rPr>
        <w:t xml:space="preserve"> </w:t>
      </w:r>
      <w:r>
        <w:rPr>
          <w:spacing w:val="-2"/>
          <w:w w:val="105"/>
          <w:sz w:val="13"/>
        </w:rPr>
        <w:t>más aceptable que otras</w:t>
      </w:r>
      <w:r>
        <w:rPr>
          <w:spacing w:val="-1"/>
          <w:w w:val="105"/>
          <w:sz w:val="13"/>
        </w:rPr>
        <w:t xml:space="preserve"> </w:t>
      </w:r>
      <w:r>
        <w:rPr>
          <w:spacing w:val="-2"/>
          <w:w w:val="105"/>
          <w:sz w:val="13"/>
        </w:rPr>
        <w:t>formas de prejuicio.1244</w:t>
      </w:r>
    </w:p>
    <w:p w14:paraId="0D4F4E6B" w14:textId="77777777" w:rsidR="0014798C" w:rsidRDefault="0014798C">
      <w:pPr>
        <w:pStyle w:val="Textoindependiente"/>
        <w:spacing w:before="64"/>
        <w:rPr>
          <w:sz w:val="13"/>
        </w:rPr>
      </w:pPr>
    </w:p>
    <w:p w14:paraId="3680175F" w14:textId="77777777" w:rsidR="0014798C" w:rsidRDefault="004E1F0B">
      <w:pPr>
        <w:spacing w:before="1" w:line="400" w:lineRule="auto"/>
        <w:ind w:left="1332" w:right="1479"/>
        <w:rPr>
          <w:sz w:val="13"/>
        </w:rPr>
      </w:pPr>
      <w:r>
        <w:rPr>
          <w:w w:val="105"/>
          <w:sz w:val="13"/>
        </w:rPr>
        <w:t>En</w:t>
      </w:r>
      <w:r>
        <w:rPr>
          <w:spacing w:val="-6"/>
          <w:w w:val="105"/>
          <w:sz w:val="13"/>
        </w:rPr>
        <w:t xml:space="preserve"> </w:t>
      </w:r>
      <w:r>
        <w:rPr>
          <w:w w:val="105"/>
          <w:sz w:val="13"/>
        </w:rPr>
        <w:t>un</w:t>
      </w:r>
      <w:r>
        <w:rPr>
          <w:spacing w:val="-6"/>
          <w:w w:val="105"/>
          <w:sz w:val="13"/>
        </w:rPr>
        <w:t xml:space="preserve"> </w:t>
      </w:r>
      <w:r>
        <w:rPr>
          <w:w w:val="105"/>
          <w:sz w:val="13"/>
        </w:rPr>
        <w:t>estudio</w:t>
      </w:r>
      <w:r>
        <w:rPr>
          <w:spacing w:val="-6"/>
          <w:w w:val="105"/>
          <w:sz w:val="13"/>
        </w:rPr>
        <w:t xml:space="preserve"> </w:t>
      </w:r>
      <w:r>
        <w:rPr>
          <w:w w:val="105"/>
          <w:sz w:val="13"/>
        </w:rPr>
        <w:t>reciente,</w:t>
      </w:r>
      <w:r>
        <w:rPr>
          <w:spacing w:val="-5"/>
          <w:w w:val="105"/>
          <w:sz w:val="13"/>
        </w:rPr>
        <w:t xml:space="preserve"> </w:t>
      </w:r>
      <w:r>
        <w:rPr>
          <w:w w:val="105"/>
          <w:sz w:val="13"/>
        </w:rPr>
        <w:t>el</w:t>
      </w:r>
      <w:r>
        <w:rPr>
          <w:spacing w:val="-6"/>
          <w:w w:val="105"/>
          <w:sz w:val="13"/>
        </w:rPr>
        <w:t xml:space="preserve"> </w:t>
      </w:r>
      <w:r>
        <w:rPr>
          <w:w w:val="105"/>
          <w:sz w:val="13"/>
        </w:rPr>
        <w:t>ACNUDH</w:t>
      </w:r>
      <w:r>
        <w:rPr>
          <w:spacing w:val="-6"/>
          <w:w w:val="105"/>
          <w:sz w:val="13"/>
        </w:rPr>
        <w:t xml:space="preserve"> </w:t>
      </w:r>
      <w:r>
        <w:rPr>
          <w:w w:val="105"/>
          <w:sz w:val="13"/>
        </w:rPr>
        <w:t>demuestra</w:t>
      </w:r>
      <w:r>
        <w:rPr>
          <w:spacing w:val="-6"/>
          <w:w w:val="105"/>
          <w:sz w:val="13"/>
        </w:rPr>
        <w:t xml:space="preserve"> </w:t>
      </w:r>
      <w:r>
        <w:rPr>
          <w:w w:val="105"/>
          <w:sz w:val="13"/>
        </w:rPr>
        <w:t>que,</w:t>
      </w:r>
      <w:r>
        <w:rPr>
          <w:spacing w:val="-5"/>
          <w:w w:val="105"/>
          <w:sz w:val="13"/>
        </w:rPr>
        <w:t xml:space="preserve"> </w:t>
      </w:r>
      <w:r>
        <w:rPr>
          <w:w w:val="105"/>
          <w:sz w:val="13"/>
        </w:rPr>
        <w:t>si</w:t>
      </w:r>
      <w:r>
        <w:rPr>
          <w:spacing w:val="-5"/>
          <w:w w:val="105"/>
          <w:sz w:val="13"/>
        </w:rPr>
        <w:t xml:space="preserve"> </w:t>
      </w:r>
      <w:r>
        <w:rPr>
          <w:w w:val="105"/>
          <w:sz w:val="13"/>
        </w:rPr>
        <w:t>bien</w:t>
      </w:r>
      <w:r>
        <w:rPr>
          <w:spacing w:val="-6"/>
          <w:w w:val="105"/>
          <w:sz w:val="13"/>
        </w:rPr>
        <w:t xml:space="preserve"> </w:t>
      </w:r>
      <w:r>
        <w:rPr>
          <w:w w:val="105"/>
          <w:sz w:val="13"/>
        </w:rPr>
        <w:t>la</w:t>
      </w:r>
      <w:r>
        <w:rPr>
          <w:spacing w:val="-6"/>
          <w:w w:val="105"/>
          <w:sz w:val="13"/>
        </w:rPr>
        <w:t xml:space="preserve"> </w:t>
      </w:r>
      <w:r>
        <w:rPr>
          <w:w w:val="105"/>
          <w:sz w:val="13"/>
        </w:rPr>
        <w:t>discriminación</w:t>
      </w:r>
      <w:r>
        <w:rPr>
          <w:spacing w:val="-5"/>
          <w:w w:val="105"/>
          <w:sz w:val="13"/>
        </w:rPr>
        <w:t xml:space="preserve"> </w:t>
      </w:r>
      <w:r>
        <w:rPr>
          <w:w w:val="105"/>
          <w:sz w:val="13"/>
        </w:rPr>
        <w:t>por</w:t>
      </w:r>
      <w:r>
        <w:rPr>
          <w:spacing w:val="-6"/>
          <w:w w:val="105"/>
          <w:sz w:val="13"/>
        </w:rPr>
        <w:t xml:space="preserve"> </w:t>
      </w:r>
      <w:r>
        <w:rPr>
          <w:w w:val="105"/>
          <w:sz w:val="13"/>
        </w:rPr>
        <w:t>edad</w:t>
      </w:r>
      <w:r>
        <w:rPr>
          <w:spacing w:val="-6"/>
          <w:w w:val="105"/>
          <w:sz w:val="13"/>
        </w:rPr>
        <w:t xml:space="preserve"> </w:t>
      </w:r>
      <w:r>
        <w:rPr>
          <w:w w:val="105"/>
          <w:sz w:val="13"/>
        </w:rPr>
        <w:t>es</w:t>
      </w:r>
      <w:r>
        <w:rPr>
          <w:spacing w:val="-6"/>
          <w:w w:val="105"/>
          <w:sz w:val="13"/>
        </w:rPr>
        <w:t xml:space="preserve"> </w:t>
      </w:r>
      <w:r>
        <w:rPr>
          <w:w w:val="105"/>
          <w:sz w:val="13"/>
        </w:rPr>
        <w:t>un</w:t>
      </w:r>
      <w:r>
        <w:rPr>
          <w:spacing w:val="-6"/>
          <w:w w:val="105"/>
          <w:sz w:val="13"/>
        </w:rPr>
        <w:t xml:space="preserve"> </w:t>
      </w:r>
      <w:r>
        <w:rPr>
          <w:w w:val="105"/>
          <w:sz w:val="13"/>
        </w:rPr>
        <w:t>motor</w:t>
      </w:r>
      <w:r>
        <w:rPr>
          <w:spacing w:val="-6"/>
          <w:w w:val="105"/>
          <w:sz w:val="13"/>
        </w:rPr>
        <w:t xml:space="preserve"> </w:t>
      </w:r>
      <w:r>
        <w:rPr>
          <w:w w:val="105"/>
          <w:sz w:val="13"/>
        </w:rPr>
        <w:t>de</w:t>
      </w:r>
      <w:r>
        <w:rPr>
          <w:spacing w:val="-6"/>
          <w:w w:val="105"/>
          <w:sz w:val="13"/>
        </w:rPr>
        <w:t xml:space="preserve"> </w:t>
      </w:r>
      <w:r>
        <w:rPr>
          <w:w w:val="105"/>
          <w:sz w:val="13"/>
        </w:rPr>
        <w:t>muchas</w:t>
      </w:r>
      <w:r>
        <w:rPr>
          <w:spacing w:val="-6"/>
          <w:w w:val="105"/>
          <w:sz w:val="13"/>
        </w:rPr>
        <w:t xml:space="preserve"> </w:t>
      </w:r>
      <w:r>
        <w:rPr>
          <w:w w:val="105"/>
          <w:sz w:val="13"/>
        </w:rPr>
        <w:t>violaciones</w:t>
      </w:r>
      <w:r>
        <w:rPr>
          <w:spacing w:val="-6"/>
          <w:w w:val="105"/>
          <w:sz w:val="13"/>
        </w:rPr>
        <w:t xml:space="preserve"> </w:t>
      </w:r>
      <w:r>
        <w:rPr>
          <w:w w:val="105"/>
          <w:sz w:val="13"/>
        </w:rPr>
        <w:t>de</w:t>
      </w:r>
      <w:r>
        <w:rPr>
          <w:spacing w:val="-6"/>
          <w:w w:val="105"/>
          <w:sz w:val="13"/>
        </w:rPr>
        <w:t xml:space="preserve"> </w:t>
      </w:r>
      <w:r>
        <w:rPr>
          <w:w w:val="105"/>
          <w:sz w:val="13"/>
        </w:rPr>
        <w:t>derechos</w:t>
      </w:r>
      <w:r>
        <w:rPr>
          <w:spacing w:val="-6"/>
          <w:w w:val="105"/>
          <w:sz w:val="13"/>
        </w:rPr>
        <w:t xml:space="preserve"> </w:t>
      </w:r>
      <w:proofErr w:type="gramStart"/>
      <w:r>
        <w:rPr>
          <w:w w:val="105"/>
          <w:sz w:val="13"/>
        </w:rPr>
        <w:t>humanos</w:t>
      </w:r>
      <w:r>
        <w:rPr>
          <w:spacing w:val="-5"/>
          <w:w w:val="105"/>
          <w:sz w:val="13"/>
        </w:rPr>
        <w:t xml:space="preserve"> </w:t>
      </w:r>
      <w:r>
        <w:rPr>
          <w:w w:val="105"/>
          <w:sz w:val="13"/>
        </w:rPr>
        <w:t>,</w:t>
      </w:r>
      <w:proofErr w:type="gramEnd"/>
      <w:r>
        <w:rPr>
          <w:spacing w:val="40"/>
          <w:w w:val="105"/>
          <w:sz w:val="13"/>
        </w:rPr>
        <w:t xml:space="preserve"> </w:t>
      </w:r>
      <w:r>
        <w:rPr>
          <w:w w:val="105"/>
          <w:sz w:val="13"/>
        </w:rPr>
        <w:t>“hasta</w:t>
      </w:r>
      <w:r>
        <w:rPr>
          <w:spacing w:val="-10"/>
          <w:w w:val="105"/>
          <w:sz w:val="13"/>
        </w:rPr>
        <w:t xml:space="preserve"> </w:t>
      </w:r>
      <w:r>
        <w:rPr>
          <w:w w:val="105"/>
          <w:sz w:val="13"/>
        </w:rPr>
        <w:t>ahora</w:t>
      </w:r>
      <w:r>
        <w:rPr>
          <w:spacing w:val="-9"/>
          <w:w w:val="105"/>
          <w:sz w:val="13"/>
        </w:rPr>
        <w:t xml:space="preserve"> </w:t>
      </w:r>
      <w:r>
        <w:rPr>
          <w:w w:val="105"/>
          <w:sz w:val="13"/>
        </w:rPr>
        <w:t>el</w:t>
      </w:r>
      <w:r>
        <w:rPr>
          <w:spacing w:val="-10"/>
          <w:w w:val="105"/>
          <w:sz w:val="13"/>
        </w:rPr>
        <w:t xml:space="preserve"> </w:t>
      </w:r>
      <w:r>
        <w:rPr>
          <w:w w:val="105"/>
          <w:sz w:val="13"/>
        </w:rPr>
        <w:t>sistema</w:t>
      </w:r>
      <w:r>
        <w:rPr>
          <w:spacing w:val="-9"/>
          <w:w w:val="105"/>
          <w:sz w:val="13"/>
        </w:rPr>
        <w:t xml:space="preserve"> </w:t>
      </w:r>
      <w:r>
        <w:rPr>
          <w:w w:val="105"/>
          <w:sz w:val="13"/>
        </w:rPr>
        <w:t>internacional</w:t>
      </w:r>
      <w:r>
        <w:rPr>
          <w:spacing w:val="-10"/>
          <w:w w:val="105"/>
          <w:sz w:val="13"/>
        </w:rPr>
        <w:t xml:space="preserve"> </w:t>
      </w:r>
      <w:r>
        <w:rPr>
          <w:w w:val="105"/>
          <w:sz w:val="13"/>
        </w:rPr>
        <w:t>de</w:t>
      </w:r>
      <w:r>
        <w:rPr>
          <w:spacing w:val="-9"/>
          <w:w w:val="105"/>
          <w:sz w:val="13"/>
        </w:rPr>
        <w:t xml:space="preserve"> </w:t>
      </w:r>
      <w:r>
        <w:rPr>
          <w:w w:val="105"/>
          <w:sz w:val="13"/>
        </w:rPr>
        <w:t>derechos</w:t>
      </w:r>
      <w:r>
        <w:rPr>
          <w:spacing w:val="-10"/>
          <w:w w:val="105"/>
          <w:sz w:val="13"/>
        </w:rPr>
        <w:t xml:space="preserve"> </w:t>
      </w:r>
      <w:r>
        <w:rPr>
          <w:w w:val="105"/>
          <w:sz w:val="13"/>
        </w:rPr>
        <w:t>humanos</w:t>
      </w:r>
      <w:r>
        <w:rPr>
          <w:spacing w:val="-9"/>
          <w:w w:val="105"/>
          <w:sz w:val="13"/>
        </w:rPr>
        <w:t xml:space="preserve"> </w:t>
      </w:r>
      <w:r>
        <w:rPr>
          <w:w w:val="105"/>
          <w:sz w:val="13"/>
        </w:rPr>
        <w:t>no</w:t>
      </w:r>
      <w:r>
        <w:rPr>
          <w:spacing w:val="-10"/>
          <w:w w:val="105"/>
          <w:sz w:val="13"/>
        </w:rPr>
        <w:t xml:space="preserve"> </w:t>
      </w:r>
      <w:r>
        <w:rPr>
          <w:w w:val="105"/>
          <w:sz w:val="13"/>
        </w:rPr>
        <w:t>ha</w:t>
      </w:r>
      <w:r>
        <w:rPr>
          <w:spacing w:val="-9"/>
          <w:w w:val="105"/>
          <w:sz w:val="13"/>
        </w:rPr>
        <w:t xml:space="preserve"> </w:t>
      </w:r>
      <w:r>
        <w:rPr>
          <w:w w:val="105"/>
          <w:sz w:val="13"/>
        </w:rPr>
        <w:t>proporcionado</w:t>
      </w:r>
      <w:r>
        <w:rPr>
          <w:spacing w:val="-10"/>
          <w:w w:val="105"/>
          <w:sz w:val="13"/>
        </w:rPr>
        <w:t xml:space="preserve"> </w:t>
      </w:r>
      <w:r>
        <w:rPr>
          <w:w w:val="105"/>
          <w:sz w:val="13"/>
        </w:rPr>
        <w:t>una</w:t>
      </w:r>
      <w:r>
        <w:rPr>
          <w:spacing w:val="-9"/>
          <w:w w:val="105"/>
          <w:sz w:val="13"/>
        </w:rPr>
        <w:t xml:space="preserve"> </w:t>
      </w:r>
      <w:r>
        <w:rPr>
          <w:w w:val="105"/>
          <w:sz w:val="13"/>
        </w:rPr>
        <w:t>prohibición</w:t>
      </w:r>
      <w:r>
        <w:rPr>
          <w:spacing w:val="-10"/>
          <w:w w:val="105"/>
          <w:sz w:val="13"/>
        </w:rPr>
        <w:t xml:space="preserve"> </w:t>
      </w:r>
      <w:r>
        <w:rPr>
          <w:w w:val="105"/>
          <w:sz w:val="13"/>
        </w:rPr>
        <w:t>explícita</w:t>
      </w:r>
      <w:r>
        <w:rPr>
          <w:spacing w:val="-9"/>
          <w:w w:val="105"/>
          <w:sz w:val="13"/>
        </w:rPr>
        <w:t xml:space="preserve"> </w:t>
      </w:r>
      <w:r>
        <w:rPr>
          <w:w w:val="105"/>
          <w:sz w:val="13"/>
        </w:rPr>
        <w:t>y</w:t>
      </w:r>
      <w:r>
        <w:rPr>
          <w:spacing w:val="-10"/>
          <w:w w:val="105"/>
          <w:sz w:val="13"/>
        </w:rPr>
        <w:t xml:space="preserve"> </w:t>
      </w:r>
      <w:r>
        <w:rPr>
          <w:w w:val="105"/>
          <w:sz w:val="13"/>
        </w:rPr>
        <w:t>vinculante</w:t>
      </w:r>
      <w:r>
        <w:rPr>
          <w:spacing w:val="-9"/>
          <w:w w:val="105"/>
          <w:sz w:val="13"/>
        </w:rPr>
        <w:t xml:space="preserve"> </w:t>
      </w:r>
      <w:r>
        <w:rPr>
          <w:w w:val="105"/>
          <w:sz w:val="13"/>
        </w:rPr>
        <w:t>de</w:t>
      </w:r>
      <w:r>
        <w:rPr>
          <w:spacing w:val="-10"/>
          <w:w w:val="105"/>
          <w:sz w:val="13"/>
        </w:rPr>
        <w:t xml:space="preserve"> </w:t>
      </w:r>
      <w:r>
        <w:rPr>
          <w:w w:val="105"/>
          <w:sz w:val="13"/>
        </w:rPr>
        <w:t>esta</w:t>
      </w:r>
      <w:r>
        <w:rPr>
          <w:spacing w:val="-9"/>
          <w:w w:val="105"/>
          <w:sz w:val="13"/>
        </w:rPr>
        <w:t xml:space="preserve"> </w:t>
      </w:r>
      <w:r>
        <w:rPr>
          <w:w w:val="105"/>
          <w:sz w:val="13"/>
        </w:rPr>
        <w:t>forma</w:t>
      </w:r>
      <w:r>
        <w:rPr>
          <w:spacing w:val="-10"/>
          <w:w w:val="105"/>
          <w:sz w:val="13"/>
        </w:rPr>
        <w:t xml:space="preserve"> </w:t>
      </w:r>
      <w:r>
        <w:rPr>
          <w:w w:val="105"/>
          <w:sz w:val="13"/>
        </w:rPr>
        <w:t>de</w:t>
      </w:r>
      <w:r>
        <w:rPr>
          <w:spacing w:val="-9"/>
          <w:w w:val="105"/>
          <w:sz w:val="13"/>
        </w:rPr>
        <w:t xml:space="preserve"> </w:t>
      </w:r>
      <w:r>
        <w:rPr>
          <w:w w:val="105"/>
          <w:sz w:val="13"/>
        </w:rPr>
        <w:t>conducta</w:t>
      </w:r>
      <w:r>
        <w:rPr>
          <w:spacing w:val="-10"/>
          <w:w w:val="105"/>
          <w:sz w:val="13"/>
        </w:rPr>
        <w:t xml:space="preserve"> </w:t>
      </w:r>
      <w:r>
        <w:rPr>
          <w:w w:val="105"/>
          <w:sz w:val="13"/>
        </w:rPr>
        <w:t>ni</w:t>
      </w:r>
      <w:r>
        <w:rPr>
          <w:spacing w:val="40"/>
          <w:w w:val="105"/>
          <w:sz w:val="13"/>
        </w:rPr>
        <w:t xml:space="preserve"> </w:t>
      </w:r>
      <w:r>
        <w:rPr>
          <w:w w:val="105"/>
          <w:sz w:val="13"/>
        </w:rPr>
        <w:t>ha</w:t>
      </w:r>
      <w:r>
        <w:rPr>
          <w:spacing w:val="-10"/>
          <w:w w:val="105"/>
          <w:sz w:val="13"/>
        </w:rPr>
        <w:t xml:space="preserve"> </w:t>
      </w:r>
      <w:r>
        <w:rPr>
          <w:w w:val="105"/>
          <w:sz w:val="13"/>
        </w:rPr>
        <w:t>proporcionado</w:t>
      </w:r>
      <w:r>
        <w:rPr>
          <w:spacing w:val="-9"/>
          <w:w w:val="105"/>
          <w:sz w:val="13"/>
        </w:rPr>
        <w:t xml:space="preserve"> </w:t>
      </w:r>
      <w:r>
        <w:rPr>
          <w:w w:val="105"/>
          <w:sz w:val="13"/>
        </w:rPr>
        <w:t>un</w:t>
      </w:r>
      <w:r>
        <w:rPr>
          <w:spacing w:val="-10"/>
          <w:w w:val="105"/>
          <w:sz w:val="13"/>
        </w:rPr>
        <w:t xml:space="preserve"> </w:t>
      </w:r>
      <w:r>
        <w:rPr>
          <w:w w:val="105"/>
          <w:sz w:val="13"/>
        </w:rPr>
        <w:t>recurso</w:t>
      </w:r>
      <w:r>
        <w:rPr>
          <w:spacing w:val="-9"/>
          <w:w w:val="105"/>
          <w:sz w:val="13"/>
        </w:rPr>
        <w:t xml:space="preserve"> </w:t>
      </w:r>
      <w:r>
        <w:rPr>
          <w:w w:val="105"/>
          <w:sz w:val="13"/>
        </w:rPr>
        <w:t>efectivo</w:t>
      </w:r>
      <w:r>
        <w:rPr>
          <w:spacing w:val="-10"/>
          <w:w w:val="105"/>
          <w:sz w:val="13"/>
        </w:rPr>
        <w:t xml:space="preserve"> </w:t>
      </w:r>
      <w:r>
        <w:rPr>
          <w:w w:val="105"/>
          <w:sz w:val="13"/>
        </w:rPr>
        <w:t>para</w:t>
      </w:r>
      <w:r>
        <w:rPr>
          <w:spacing w:val="-9"/>
          <w:w w:val="105"/>
          <w:sz w:val="13"/>
        </w:rPr>
        <w:t xml:space="preserve"> </w:t>
      </w:r>
      <w:r>
        <w:rPr>
          <w:w w:val="105"/>
          <w:sz w:val="13"/>
        </w:rPr>
        <w:t>ello”.</w:t>
      </w:r>
      <w:r>
        <w:rPr>
          <w:spacing w:val="-10"/>
          <w:w w:val="105"/>
          <w:sz w:val="13"/>
        </w:rPr>
        <w:t xml:space="preserve"> </w:t>
      </w:r>
      <w:r>
        <w:rPr>
          <w:w w:val="105"/>
          <w:sz w:val="13"/>
        </w:rPr>
        <w:t>.1245</w:t>
      </w:r>
      <w:r>
        <w:rPr>
          <w:spacing w:val="-9"/>
          <w:w w:val="105"/>
          <w:sz w:val="13"/>
        </w:rPr>
        <w:t xml:space="preserve"> </w:t>
      </w:r>
      <w:r>
        <w:rPr>
          <w:w w:val="105"/>
          <w:sz w:val="13"/>
        </w:rPr>
        <w:t>El</w:t>
      </w:r>
      <w:r>
        <w:rPr>
          <w:spacing w:val="-10"/>
          <w:w w:val="105"/>
          <w:sz w:val="13"/>
        </w:rPr>
        <w:t xml:space="preserve"> </w:t>
      </w:r>
      <w:r>
        <w:rPr>
          <w:w w:val="105"/>
          <w:sz w:val="13"/>
        </w:rPr>
        <w:t>ACNUDH</w:t>
      </w:r>
      <w:r>
        <w:rPr>
          <w:spacing w:val="-9"/>
          <w:w w:val="105"/>
          <w:sz w:val="13"/>
        </w:rPr>
        <w:t xml:space="preserve"> </w:t>
      </w:r>
      <w:r>
        <w:rPr>
          <w:w w:val="105"/>
          <w:sz w:val="13"/>
        </w:rPr>
        <w:t>también</w:t>
      </w:r>
      <w:r>
        <w:rPr>
          <w:spacing w:val="-9"/>
          <w:w w:val="105"/>
          <w:sz w:val="13"/>
        </w:rPr>
        <w:t xml:space="preserve"> </w:t>
      </w:r>
      <w:r>
        <w:rPr>
          <w:w w:val="105"/>
          <w:sz w:val="13"/>
        </w:rPr>
        <w:t>sostiene</w:t>
      </w:r>
      <w:r>
        <w:rPr>
          <w:spacing w:val="-10"/>
          <w:w w:val="105"/>
          <w:sz w:val="13"/>
        </w:rPr>
        <w:t xml:space="preserve"> </w:t>
      </w:r>
      <w:r>
        <w:rPr>
          <w:w w:val="105"/>
          <w:sz w:val="13"/>
        </w:rPr>
        <w:t>que</w:t>
      </w:r>
      <w:r>
        <w:rPr>
          <w:spacing w:val="-9"/>
          <w:w w:val="105"/>
          <w:sz w:val="13"/>
        </w:rPr>
        <w:t xml:space="preserve"> </w:t>
      </w:r>
      <w:r>
        <w:rPr>
          <w:w w:val="105"/>
          <w:sz w:val="13"/>
        </w:rPr>
        <w:t>“comprender</w:t>
      </w:r>
      <w:r>
        <w:rPr>
          <w:spacing w:val="-10"/>
          <w:w w:val="105"/>
          <w:sz w:val="13"/>
        </w:rPr>
        <w:t xml:space="preserve"> </w:t>
      </w:r>
      <w:r>
        <w:rPr>
          <w:w w:val="105"/>
          <w:sz w:val="13"/>
        </w:rPr>
        <w:t>cómo</w:t>
      </w:r>
      <w:r>
        <w:rPr>
          <w:spacing w:val="-9"/>
          <w:w w:val="105"/>
          <w:sz w:val="13"/>
        </w:rPr>
        <w:t xml:space="preserve"> </w:t>
      </w:r>
      <w:r>
        <w:rPr>
          <w:w w:val="105"/>
          <w:sz w:val="13"/>
        </w:rPr>
        <w:t>la</w:t>
      </w:r>
      <w:r>
        <w:rPr>
          <w:spacing w:val="-9"/>
          <w:w w:val="105"/>
          <w:sz w:val="13"/>
        </w:rPr>
        <w:t xml:space="preserve"> </w:t>
      </w:r>
      <w:r>
        <w:rPr>
          <w:w w:val="105"/>
          <w:sz w:val="13"/>
        </w:rPr>
        <w:t>discriminación</w:t>
      </w:r>
      <w:r>
        <w:rPr>
          <w:spacing w:val="-9"/>
          <w:w w:val="105"/>
          <w:sz w:val="13"/>
        </w:rPr>
        <w:t xml:space="preserve"> </w:t>
      </w:r>
      <w:r>
        <w:rPr>
          <w:w w:val="105"/>
          <w:sz w:val="13"/>
        </w:rPr>
        <w:t>por</w:t>
      </w:r>
      <w:r>
        <w:rPr>
          <w:spacing w:val="-10"/>
          <w:w w:val="105"/>
          <w:sz w:val="13"/>
        </w:rPr>
        <w:t xml:space="preserve"> </w:t>
      </w:r>
      <w:r>
        <w:rPr>
          <w:w w:val="105"/>
          <w:sz w:val="13"/>
        </w:rPr>
        <w:t>edad</w:t>
      </w:r>
      <w:r>
        <w:rPr>
          <w:spacing w:val="-9"/>
          <w:w w:val="105"/>
          <w:sz w:val="13"/>
        </w:rPr>
        <w:t xml:space="preserve"> </w:t>
      </w:r>
      <w:r>
        <w:rPr>
          <w:w w:val="105"/>
          <w:sz w:val="13"/>
        </w:rPr>
        <w:t>estructura</w:t>
      </w:r>
      <w:r>
        <w:rPr>
          <w:spacing w:val="-10"/>
          <w:w w:val="105"/>
          <w:sz w:val="13"/>
        </w:rPr>
        <w:t xml:space="preserve"> </w:t>
      </w:r>
      <w:r>
        <w:rPr>
          <w:w w:val="105"/>
          <w:sz w:val="13"/>
        </w:rPr>
        <w:t>y</w:t>
      </w:r>
      <w:r>
        <w:rPr>
          <w:spacing w:val="40"/>
          <w:w w:val="105"/>
          <w:sz w:val="13"/>
        </w:rPr>
        <w:t xml:space="preserve"> </w:t>
      </w:r>
      <w:r>
        <w:rPr>
          <w:w w:val="105"/>
          <w:sz w:val="13"/>
        </w:rPr>
        <w:t>conduce</w:t>
      </w:r>
      <w:r>
        <w:rPr>
          <w:spacing w:val="-5"/>
          <w:w w:val="105"/>
          <w:sz w:val="13"/>
        </w:rPr>
        <w:t xml:space="preserve"> </w:t>
      </w:r>
      <w:r>
        <w:rPr>
          <w:w w:val="105"/>
          <w:sz w:val="13"/>
        </w:rPr>
        <w:t>a</w:t>
      </w:r>
      <w:r>
        <w:rPr>
          <w:spacing w:val="-6"/>
          <w:w w:val="105"/>
          <w:sz w:val="13"/>
        </w:rPr>
        <w:t xml:space="preserve"> </w:t>
      </w:r>
      <w:r>
        <w:rPr>
          <w:w w:val="105"/>
          <w:sz w:val="13"/>
        </w:rPr>
        <w:t>desventajas</w:t>
      </w:r>
      <w:r>
        <w:rPr>
          <w:spacing w:val="-6"/>
          <w:w w:val="105"/>
          <w:sz w:val="13"/>
        </w:rPr>
        <w:t xml:space="preserve"> </w:t>
      </w:r>
      <w:r>
        <w:rPr>
          <w:w w:val="105"/>
          <w:sz w:val="13"/>
        </w:rPr>
        <w:t>es</w:t>
      </w:r>
      <w:r>
        <w:rPr>
          <w:spacing w:val="-6"/>
          <w:w w:val="105"/>
          <w:sz w:val="13"/>
        </w:rPr>
        <w:t xml:space="preserve"> </w:t>
      </w:r>
      <w:r>
        <w:rPr>
          <w:w w:val="105"/>
          <w:sz w:val="13"/>
        </w:rPr>
        <w:t>fundamental</w:t>
      </w:r>
      <w:r>
        <w:rPr>
          <w:spacing w:val="-6"/>
          <w:w w:val="105"/>
          <w:sz w:val="13"/>
        </w:rPr>
        <w:t xml:space="preserve"> </w:t>
      </w:r>
      <w:r>
        <w:rPr>
          <w:w w:val="105"/>
          <w:sz w:val="13"/>
        </w:rPr>
        <w:t>para</w:t>
      </w:r>
      <w:r>
        <w:rPr>
          <w:spacing w:val="-5"/>
          <w:w w:val="105"/>
          <w:sz w:val="13"/>
        </w:rPr>
        <w:t xml:space="preserve"> </w:t>
      </w:r>
      <w:r>
        <w:rPr>
          <w:w w:val="105"/>
          <w:sz w:val="13"/>
        </w:rPr>
        <w:t>responder</w:t>
      </w:r>
      <w:r>
        <w:rPr>
          <w:spacing w:val="-6"/>
          <w:w w:val="105"/>
          <w:sz w:val="13"/>
        </w:rPr>
        <w:t xml:space="preserve"> </w:t>
      </w:r>
      <w:r>
        <w:rPr>
          <w:w w:val="105"/>
          <w:sz w:val="13"/>
        </w:rPr>
        <w:t>a</w:t>
      </w:r>
      <w:r>
        <w:rPr>
          <w:spacing w:val="-6"/>
          <w:w w:val="105"/>
          <w:sz w:val="13"/>
        </w:rPr>
        <w:t xml:space="preserve"> </w:t>
      </w:r>
      <w:r>
        <w:rPr>
          <w:w w:val="105"/>
          <w:sz w:val="13"/>
        </w:rPr>
        <w:t>las</w:t>
      </w:r>
      <w:r>
        <w:rPr>
          <w:spacing w:val="-6"/>
          <w:w w:val="105"/>
          <w:sz w:val="13"/>
        </w:rPr>
        <w:t xml:space="preserve"> </w:t>
      </w:r>
      <w:r>
        <w:rPr>
          <w:w w:val="105"/>
          <w:sz w:val="13"/>
        </w:rPr>
        <w:t>violaciones</w:t>
      </w:r>
      <w:r>
        <w:rPr>
          <w:spacing w:val="-6"/>
          <w:w w:val="105"/>
          <w:sz w:val="13"/>
        </w:rPr>
        <w:t xml:space="preserve"> </w:t>
      </w:r>
      <w:r>
        <w:rPr>
          <w:w w:val="105"/>
          <w:sz w:val="13"/>
        </w:rPr>
        <w:t>de</w:t>
      </w:r>
      <w:r>
        <w:rPr>
          <w:spacing w:val="-6"/>
          <w:w w:val="105"/>
          <w:sz w:val="13"/>
        </w:rPr>
        <w:t xml:space="preserve"> </w:t>
      </w:r>
      <w:r>
        <w:rPr>
          <w:w w:val="105"/>
          <w:sz w:val="13"/>
        </w:rPr>
        <w:t>derechos</w:t>
      </w:r>
      <w:r>
        <w:rPr>
          <w:spacing w:val="-6"/>
          <w:w w:val="105"/>
          <w:sz w:val="13"/>
        </w:rPr>
        <w:t xml:space="preserve"> </w:t>
      </w:r>
      <w:r>
        <w:rPr>
          <w:w w:val="105"/>
          <w:sz w:val="13"/>
        </w:rPr>
        <w:t>humanos</w:t>
      </w:r>
      <w:r>
        <w:rPr>
          <w:spacing w:val="-6"/>
          <w:w w:val="105"/>
          <w:sz w:val="13"/>
        </w:rPr>
        <w:t xml:space="preserve"> </w:t>
      </w:r>
      <w:r>
        <w:rPr>
          <w:w w:val="105"/>
          <w:sz w:val="13"/>
        </w:rPr>
        <w:t>contra</w:t>
      </w:r>
      <w:r>
        <w:rPr>
          <w:spacing w:val="-6"/>
          <w:w w:val="105"/>
          <w:sz w:val="13"/>
        </w:rPr>
        <w:t xml:space="preserve"> </w:t>
      </w:r>
      <w:r>
        <w:rPr>
          <w:w w:val="105"/>
          <w:sz w:val="13"/>
        </w:rPr>
        <w:t>las</w:t>
      </w:r>
      <w:r>
        <w:rPr>
          <w:spacing w:val="-6"/>
          <w:w w:val="105"/>
          <w:sz w:val="13"/>
        </w:rPr>
        <w:t xml:space="preserve"> </w:t>
      </w:r>
      <w:r>
        <w:rPr>
          <w:w w:val="105"/>
          <w:sz w:val="13"/>
        </w:rPr>
        <w:t>personas</w:t>
      </w:r>
      <w:r>
        <w:rPr>
          <w:spacing w:val="-6"/>
          <w:w w:val="105"/>
          <w:sz w:val="13"/>
        </w:rPr>
        <w:t xml:space="preserve"> </w:t>
      </w:r>
      <w:r>
        <w:rPr>
          <w:w w:val="105"/>
          <w:sz w:val="13"/>
        </w:rPr>
        <w:t>mayores”</w:t>
      </w:r>
      <w:r>
        <w:rPr>
          <w:spacing w:val="-6"/>
          <w:w w:val="105"/>
          <w:sz w:val="13"/>
        </w:rPr>
        <w:t xml:space="preserve"> </w:t>
      </w:r>
      <w:r>
        <w:rPr>
          <w:w w:val="105"/>
          <w:sz w:val="13"/>
        </w:rPr>
        <w:t>y</w:t>
      </w:r>
      <w:r>
        <w:rPr>
          <w:spacing w:val="-5"/>
          <w:w w:val="105"/>
          <w:sz w:val="13"/>
        </w:rPr>
        <w:t xml:space="preserve"> </w:t>
      </w:r>
      <w:r>
        <w:rPr>
          <w:w w:val="105"/>
          <w:sz w:val="13"/>
        </w:rPr>
        <w:t>recomienda</w:t>
      </w:r>
      <w:r>
        <w:rPr>
          <w:spacing w:val="-5"/>
          <w:w w:val="105"/>
          <w:sz w:val="13"/>
        </w:rPr>
        <w:t xml:space="preserve"> </w:t>
      </w:r>
      <w:r>
        <w:rPr>
          <w:w w:val="105"/>
          <w:sz w:val="13"/>
        </w:rPr>
        <w:t>la</w:t>
      </w:r>
      <w:r>
        <w:rPr>
          <w:spacing w:val="40"/>
          <w:w w:val="105"/>
          <w:sz w:val="13"/>
        </w:rPr>
        <w:t xml:space="preserve"> </w:t>
      </w:r>
      <w:r>
        <w:rPr>
          <w:w w:val="105"/>
          <w:sz w:val="13"/>
        </w:rPr>
        <w:t>elaboración</w:t>
      </w:r>
      <w:r>
        <w:rPr>
          <w:spacing w:val="-4"/>
          <w:w w:val="105"/>
          <w:sz w:val="13"/>
        </w:rPr>
        <w:t xml:space="preserve"> </w:t>
      </w:r>
      <w:r>
        <w:rPr>
          <w:w w:val="105"/>
          <w:sz w:val="13"/>
        </w:rPr>
        <w:t>de</w:t>
      </w:r>
      <w:r>
        <w:rPr>
          <w:spacing w:val="-5"/>
          <w:w w:val="105"/>
          <w:sz w:val="13"/>
        </w:rPr>
        <w:t xml:space="preserve"> </w:t>
      </w:r>
      <w:r>
        <w:rPr>
          <w:w w:val="105"/>
          <w:sz w:val="13"/>
        </w:rPr>
        <w:t>obligaciones</w:t>
      </w:r>
      <w:r>
        <w:rPr>
          <w:spacing w:val="-5"/>
          <w:w w:val="105"/>
          <w:sz w:val="13"/>
        </w:rPr>
        <w:t xml:space="preserve"> </w:t>
      </w:r>
      <w:r>
        <w:rPr>
          <w:w w:val="105"/>
          <w:sz w:val="13"/>
        </w:rPr>
        <w:t>explícitas</w:t>
      </w:r>
      <w:r>
        <w:rPr>
          <w:spacing w:val="-5"/>
          <w:w w:val="105"/>
          <w:sz w:val="13"/>
        </w:rPr>
        <w:t xml:space="preserve"> </w:t>
      </w:r>
      <w:r>
        <w:rPr>
          <w:w w:val="105"/>
          <w:sz w:val="13"/>
        </w:rPr>
        <w:t>en</w:t>
      </w:r>
      <w:r>
        <w:rPr>
          <w:spacing w:val="-5"/>
          <w:w w:val="105"/>
          <w:sz w:val="13"/>
        </w:rPr>
        <w:t xml:space="preserve"> </w:t>
      </w:r>
      <w:r>
        <w:rPr>
          <w:w w:val="105"/>
          <w:sz w:val="13"/>
        </w:rPr>
        <w:t>una</w:t>
      </w:r>
      <w:r>
        <w:rPr>
          <w:spacing w:val="-5"/>
          <w:w w:val="105"/>
          <w:sz w:val="13"/>
        </w:rPr>
        <w:t xml:space="preserve"> </w:t>
      </w:r>
      <w:r>
        <w:rPr>
          <w:w w:val="105"/>
          <w:sz w:val="13"/>
        </w:rPr>
        <w:t>nueva</w:t>
      </w:r>
      <w:r>
        <w:rPr>
          <w:spacing w:val="-4"/>
          <w:w w:val="105"/>
          <w:sz w:val="13"/>
        </w:rPr>
        <w:t xml:space="preserve"> </w:t>
      </w:r>
      <w:r>
        <w:rPr>
          <w:w w:val="105"/>
          <w:sz w:val="13"/>
        </w:rPr>
        <w:t>convención</w:t>
      </w:r>
      <w:r>
        <w:rPr>
          <w:spacing w:val="-4"/>
          <w:w w:val="105"/>
          <w:sz w:val="13"/>
        </w:rPr>
        <w:t xml:space="preserve"> </w:t>
      </w:r>
      <w:r>
        <w:rPr>
          <w:w w:val="105"/>
          <w:sz w:val="13"/>
        </w:rPr>
        <w:t>de</w:t>
      </w:r>
      <w:r>
        <w:rPr>
          <w:spacing w:val="-5"/>
          <w:w w:val="105"/>
          <w:sz w:val="13"/>
        </w:rPr>
        <w:t xml:space="preserve"> </w:t>
      </w:r>
      <w:r>
        <w:rPr>
          <w:w w:val="105"/>
          <w:sz w:val="13"/>
        </w:rPr>
        <w:t>las</w:t>
      </w:r>
      <w:r>
        <w:rPr>
          <w:spacing w:val="-5"/>
          <w:w w:val="105"/>
          <w:sz w:val="13"/>
        </w:rPr>
        <w:t xml:space="preserve"> </w:t>
      </w:r>
      <w:r>
        <w:rPr>
          <w:w w:val="105"/>
          <w:sz w:val="13"/>
        </w:rPr>
        <w:t>Naciones</w:t>
      </w:r>
      <w:r>
        <w:rPr>
          <w:spacing w:val="-5"/>
          <w:w w:val="105"/>
          <w:sz w:val="13"/>
        </w:rPr>
        <w:t xml:space="preserve"> </w:t>
      </w:r>
      <w:r>
        <w:rPr>
          <w:w w:val="105"/>
          <w:sz w:val="13"/>
        </w:rPr>
        <w:t>Unidas.1246</w:t>
      </w:r>
    </w:p>
    <w:p w14:paraId="6B0D6055" w14:textId="77777777" w:rsidR="0014798C" w:rsidRDefault="0014798C">
      <w:pPr>
        <w:pStyle w:val="Textoindependiente"/>
        <w:rPr>
          <w:sz w:val="13"/>
        </w:rPr>
      </w:pPr>
    </w:p>
    <w:p w14:paraId="7B357CB5" w14:textId="77777777" w:rsidR="0014798C" w:rsidRDefault="0014798C">
      <w:pPr>
        <w:pStyle w:val="Textoindependiente"/>
        <w:spacing w:before="64"/>
        <w:rPr>
          <w:sz w:val="13"/>
        </w:rPr>
      </w:pPr>
    </w:p>
    <w:p w14:paraId="4DFE383E" w14:textId="77777777" w:rsidR="0014798C" w:rsidRDefault="004E1F0B">
      <w:pPr>
        <w:spacing w:line="400" w:lineRule="auto"/>
        <w:ind w:left="1334" w:right="1590" w:hanging="2"/>
        <w:rPr>
          <w:sz w:val="13"/>
        </w:rPr>
      </w:pPr>
      <w:r>
        <w:rPr>
          <w:w w:val="105"/>
          <w:sz w:val="13"/>
        </w:rPr>
        <w:t>La</w:t>
      </w:r>
      <w:r>
        <w:rPr>
          <w:spacing w:val="-9"/>
          <w:w w:val="105"/>
          <w:sz w:val="13"/>
        </w:rPr>
        <w:t xml:space="preserve"> </w:t>
      </w:r>
      <w:r>
        <w:rPr>
          <w:w w:val="105"/>
          <w:sz w:val="13"/>
        </w:rPr>
        <w:t>discriminación</w:t>
      </w:r>
      <w:r>
        <w:rPr>
          <w:spacing w:val="-8"/>
          <w:w w:val="105"/>
          <w:sz w:val="13"/>
        </w:rPr>
        <w:t xml:space="preserve"> </w:t>
      </w:r>
      <w:r>
        <w:rPr>
          <w:w w:val="105"/>
          <w:sz w:val="13"/>
        </w:rPr>
        <w:t>por</w:t>
      </w:r>
      <w:r>
        <w:rPr>
          <w:spacing w:val="-9"/>
          <w:w w:val="105"/>
          <w:sz w:val="13"/>
        </w:rPr>
        <w:t xml:space="preserve"> </w:t>
      </w:r>
      <w:r>
        <w:rPr>
          <w:w w:val="105"/>
          <w:sz w:val="13"/>
        </w:rPr>
        <w:t>edad</w:t>
      </w:r>
      <w:r>
        <w:rPr>
          <w:spacing w:val="-9"/>
          <w:w w:val="105"/>
          <w:sz w:val="13"/>
        </w:rPr>
        <w:t xml:space="preserve"> </w:t>
      </w:r>
      <w:r>
        <w:rPr>
          <w:w w:val="105"/>
          <w:sz w:val="13"/>
        </w:rPr>
        <w:t>puede</w:t>
      </w:r>
      <w:r>
        <w:rPr>
          <w:spacing w:val="-9"/>
          <w:w w:val="105"/>
          <w:sz w:val="13"/>
        </w:rPr>
        <w:t xml:space="preserve"> </w:t>
      </w:r>
      <w:r>
        <w:rPr>
          <w:w w:val="105"/>
          <w:sz w:val="13"/>
        </w:rPr>
        <w:t>cruzarse</w:t>
      </w:r>
      <w:r>
        <w:rPr>
          <w:spacing w:val="-8"/>
          <w:w w:val="105"/>
          <w:sz w:val="13"/>
        </w:rPr>
        <w:t xml:space="preserve"> </w:t>
      </w:r>
      <w:r>
        <w:rPr>
          <w:w w:val="105"/>
          <w:sz w:val="13"/>
        </w:rPr>
        <w:t>e</w:t>
      </w:r>
      <w:r>
        <w:rPr>
          <w:spacing w:val="-9"/>
          <w:w w:val="105"/>
          <w:sz w:val="13"/>
        </w:rPr>
        <w:t xml:space="preserve"> </w:t>
      </w:r>
      <w:r>
        <w:rPr>
          <w:w w:val="105"/>
          <w:sz w:val="13"/>
        </w:rPr>
        <w:t>interactuar</w:t>
      </w:r>
      <w:r>
        <w:rPr>
          <w:spacing w:val="-9"/>
          <w:w w:val="105"/>
          <w:sz w:val="13"/>
        </w:rPr>
        <w:t xml:space="preserve"> </w:t>
      </w:r>
      <w:r>
        <w:rPr>
          <w:w w:val="105"/>
          <w:sz w:val="13"/>
        </w:rPr>
        <w:t>con</w:t>
      </w:r>
      <w:r>
        <w:rPr>
          <w:spacing w:val="-8"/>
          <w:w w:val="105"/>
          <w:sz w:val="13"/>
        </w:rPr>
        <w:t xml:space="preserve"> </w:t>
      </w:r>
      <w:r>
        <w:rPr>
          <w:w w:val="105"/>
          <w:sz w:val="13"/>
        </w:rPr>
        <w:t>otras</w:t>
      </w:r>
      <w:r>
        <w:rPr>
          <w:spacing w:val="-9"/>
          <w:w w:val="105"/>
          <w:sz w:val="13"/>
        </w:rPr>
        <w:t xml:space="preserve"> </w:t>
      </w:r>
      <w:r>
        <w:rPr>
          <w:w w:val="105"/>
          <w:sz w:val="13"/>
        </w:rPr>
        <w:t>formas</w:t>
      </w:r>
      <w:r>
        <w:rPr>
          <w:spacing w:val="-9"/>
          <w:w w:val="105"/>
          <w:sz w:val="13"/>
        </w:rPr>
        <w:t xml:space="preserve"> </w:t>
      </w:r>
      <w:r>
        <w:rPr>
          <w:w w:val="105"/>
          <w:sz w:val="13"/>
        </w:rPr>
        <w:t>de</w:t>
      </w:r>
      <w:r>
        <w:rPr>
          <w:spacing w:val="-9"/>
          <w:w w:val="105"/>
          <w:sz w:val="13"/>
        </w:rPr>
        <w:t xml:space="preserve"> </w:t>
      </w:r>
      <w:r>
        <w:rPr>
          <w:w w:val="105"/>
          <w:sz w:val="13"/>
        </w:rPr>
        <w:t>estereotipos</w:t>
      </w:r>
      <w:r>
        <w:rPr>
          <w:spacing w:val="-9"/>
          <w:w w:val="105"/>
          <w:sz w:val="13"/>
        </w:rPr>
        <w:t xml:space="preserve"> </w:t>
      </w:r>
      <w:r>
        <w:rPr>
          <w:w w:val="105"/>
          <w:sz w:val="13"/>
        </w:rPr>
        <w:t>y</w:t>
      </w:r>
      <w:r>
        <w:rPr>
          <w:spacing w:val="-8"/>
          <w:w w:val="105"/>
          <w:sz w:val="13"/>
        </w:rPr>
        <w:t xml:space="preserve"> </w:t>
      </w:r>
      <w:r>
        <w:rPr>
          <w:w w:val="105"/>
          <w:sz w:val="13"/>
        </w:rPr>
        <w:t>prejuicios,</w:t>
      </w:r>
      <w:r>
        <w:rPr>
          <w:spacing w:val="-8"/>
          <w:w w:val="105"/>
          <w:sz w:val="13"/>
        </w:rPr>
        <w:t xml:space="preserve"> </w:t>
      </w:r>
      <w:r>
        <w:rPr>
          <w:w w:val="105"/>
          <w:sz w:val="13"/>
        </w:rPr>
        <w:t>como</w:t>
      </w:r>
      <w:r>
        <w:rPr>
          <w:spacing w:val="-8"/>
          <w:w w:val="105"/>
          <w:sz w:val="13"/>
        </w:rPr>
        <w:t xml:space="preserve"> </w:t>
      </w:r>
      <w:r>
        <w:rPr>
          <w:w w:val="105"/>
          <w:sz w:val="13"/>
        </w:rPr>
        <w:t>la</w:t>
      </w:r>
      <w:r>
        <w:rPr>
          <w:spacing w:val="-9"/>
          <w:w w:val="105"/>
          <w:sz w:val="13"/>
        </w:rPr>
        <w:t xml:space="preserve"> </w:t>
      </w:r>
      <w:r>
        <w:rPr>
          <w:w w:val="105"/>
          <w:sz w:val="13"/>
        </w:rPr>
        <w:t>discriminación</w:t>
      </w:r>
      <w:r>
        <w:rPr>
          <w:spacing w:val="-8"/>
          <w:w w:val="105"/>
          <w:sz w:val="13"/>
        </w:rPr>
        <w:t xml:space="preserve"> </w:t>
      </w:r>
      <w:r>
        <w:rPr>
          <w:w w:val="105"/>
          <w:sz w:val="13"/>
        </w:rPr>
        <w:t>por</w:t>
      </w:r>
      <w:r>
        <w:rPr>
          <w:spacing w:val="-9"/>
          <w:w w:val="105"/>
          <w:sz w:val="13"/>
        </w:rPr>
        <w:t xml:space="preserve"> </w:t>
      </w:r>
      <w:r>
        <w:rPr>
          <w:w w:val="105"/>
          <w:sz w:val="13"/>
        </w:rPr>
        <w:t>discapacidad,</w:t>
      </w:r>
      <w:r>
        <w:rPr>
          <w:spacing w:val="-8"/>
          <w:w w:val="105"/>
          <w:sz w:val="13"/>
        </w:rPr>
        <w:t xml:space="preserve"> </w:t>
      </w:r>
      <w:r>
        <w:rPr>
          <w:w w:val="105"/>
          <w:sz w:val="13"/>
        </w:rPr>
        <w:t>el</w:t>
      </w:r>
      <w:r>
        <w:rPr>
          <w:spacing w:val="40"/>
          <w:w w:val="105"/>
          <w:sz w:val="13"/>
        </w:rPr>
        <w:t xml:space="preserve"> </w:t>
      </w:r>
      <w:r>
        <w:rPr>
          <w:w w:val="105"/>
          <w:sz w:val="13"/>
        </w:rPr>
        <w:t>sexismo</w:t>
      </w:r>
      <w:r>
        <w:rPr>
          <w:spacing w:val="-9"/>
          <w:w w:val="105"/>
          <w:sz w:val="13"/>
        </w:rPr>
        <w:t xml:space="preserve"> </w:t>
      </w:r>
      <w:r>
        <w:rPr>
          <w:w w:val="105"/>
          <w:sz w:val="13"/>
        </w:rPr>
        <w:t>y</w:t>
      </w:r>
      <w:r>
        <w:rPr>
          <w:spacing w:val="-9"/>
          <w:w w:val="105"/>
          <w:sz w:val="13"/>
        </w:rPr>
        <w:t xml:space="preserve"> </w:t>
      </w:r>
      <w:r>
        <w:rPr>
          <w:w w:val="105"/>
          <w:sz w:val="13"/>
        </w:rPr>
        <w:t>el</w:t>
      </w:r>
      <w:r>
        <w:rPr>
          <w:spacing w:val="-10"/>
          <w:w w:val="105"/>
          <w:sz w:val="13"/>
        </w:rPr>
        <w:t xml:space="preserve"> </w:t>
      </w:r>
      <w:r>
        <w:rPr>
          <w:w w:val="105"/>
          <w:sz w:val="13"/>
        </w:rPr>
        <w:t>racismo.</w:t>
      </w:r>
      <w:r>
        <w:rPr>
          <w:spacing w:val="-9"/>
          <w:w w:val="105"/>
          <w:sz w:val="13"/>
        </w:rPr>
        <w:t xml:space="preserve"> </w:t>
      </w:r>
      <w:r>
        <w:rPr>
          <w:w w:val="105"/>
          <w:sz w:val="13"/>
        </w:rPr>
        <w:t>El</w:t>
      </w:r>
      <w:r>
        <w:rPr>
          <w:spacing w:val="-9"/>
          <w:w w:val="105"/>
          <w:sz w:val="13"/>
        </w:rPr>
        <w:t xml:space="preserve"> </w:t>
      </w:r>
      <w:r>
        <w:rPr>
          <w:w w:val="105"/>
          <w:sz w:val="13"/>
        </w:rPr>
        <w:t>Relator</w:t>
      </w:r>
      <w:r>
        <w:rPr>
          <w:spacing w:val="-10"/>
          <w:w w:val="105"/>
          <w:sz w:val="13"/>
        </w:rPr>
        <w:t xml:space="preserve"> </w:t>
      </w:r>
      <w:r>
        <w:rPr>
          <w:w w:val="105"/>
          <w:sz w:val="13"/>
        </w:rPr>
        <w:t>Especial</w:t>
      </w:r>
      <w:r>
        <w:rPr>
          <w:spacing w:val="-9"/>
          <w:w w:val="105"/>
          <w:sz w:val="13"/>
        </w:rPr>
        <w:t xml:space="preserve"> </w:t>
      </w:r>
      <w:r>
        <w:rPr>
          <w:w w:val="105"/>
          <w:sz w:val="13"/>
        </w:rPr>
        <w:t>sobre</w:t>
      </w:r>
      <w:r>
        <w:rPr>
          <w:spacing w:val="-9"/>
          <w:w w:val="105"/>
          <w:sz w:val="13"/>
        </w:rPr>
        <w:t xml:space="preserve"> </w:t>
      </w:r>
      <w:r>
        <w:rPr>
          <w:w w:val="105"/>
          <w:sz w:val="13"/>
        </w:rPr>
        <w:t>los</w:t>
      </w:r>
      <w:r>
        <w:rPr>
          <w:spacing w:val="-10"/>
          <w:w w:val="105"/>
          <w:sz w:val="13"/>
        </w:rPr>
        <w:t xml:space="preserve"> </w:t>
      </w:r>
      <w:r>
        <w:rPr>
          <w:w w:val="105"/>
          <w:sz w:val="13"/>
        </w:rPr>
        <w:t>derechos</w:t>
      </w:r>
      <w:r>
        <w:rPr>
          <w:spacing w:val="-9"/>
          <w:w w:val="105"/>
          <w:sz w:val="13"/>
        </w:rPr>
        <w:t xml:space="preserve"> </w:t>
      </w:r>
      <w:r>
        <w:rPr>
          <w:w w:val="105"/>
          <w:sz w:val="13"/>
        </w:rPr>
        <w:t>de</w:t>
      </w:r>
      <w:r>
        <w:rPr>
          <w:spacing w:val="-10"/>
          <w:w w:val="105"/>
          <w:sz w:val="13"/>
        </w:rPr>
        <w:t xml:space="preserve"> </w:t>
      </w:r>
      <w:r>
        <w:rPr>
          <w:w w:val="105"/>
          <w:sz w:val="13"/>
        </w:rPr>
        <w:t>las</w:t>
      </w:r>
      <w:r>
        <w:rPr>
          <w:spacing w:val="-9"/>
          <w:w w:val="105"/>
          <w:sz w:val="13"/>
        </w:rPr>
        <w:t xml:space="preserve"> </w:t>
      </w:r>
      <w:r>
        <w:rPr>
          <w:w w:val="105"/>
          <w:sz w:val="13"/>
        </w:rPr>
        <w:t>personas</w:t>
      </w:r>
      <w:r>
        <w:rPr>
          <w:spacing w:val="-10"/>
          <w:w w:val="105"/>
          <w:sz w:val="13"/>
        </w:rPr>
        <w:t xml:space="preserve"> </w:t>
      </w:r>
      <w:r>
        <w:rPr>
          <w:w w:val="105"/>
          <w:sz w:val="13"/>
        </w:rPr>
        <w:t>con</w:t>
      </w:r>
      <w:r>
        <w:rPr>
          <w:spacing w:val="-8"/>
          <w:w w:val="105"/>
          <w:sz w:val="13"/>
        </w:rPr>
        <w:t xml:space="preserve"> </w:t>
      </w:r>
      <w:r>
        <w:rPr>
          <w:w w:val="105"/>
          <w:sz w:val="13"/>
        </w:rPr>
        <w:t>discapacidad,</w:t>
      </w:r>
      <w:r>
        <w:rPr>
          <w:spacing w:val="-8"/>
          <w:w w:val="105"/>
          <w:sz w:val="13"/>
        </w:rPr>
        <w:t xml:space="preserve"> </w:t>
      </w:r>
      <w:r>
        <w:rPr>
          <w:w w:val="105"/>
          <w:sz w:val="13"/>
        </w:rPr>
        <w:t>por</w:t>
      </w:r>
      <w:r>
        <w:rPr>
          <w:spacing w:val="-10"/>
          <w:w w:val="105"/>
          <w:sz w:val="13"/>
        </w:rPr>
        <w:t xml:space="preserve"> </w:t>
      </w:r>
      <w:r>
        <w:rPr>
          <w:w w:val="105"/>
          <w:sz w:val="13"/>
        </w:rPr>
        <w:t>ejemplo,</w:t>
      </w:r>
      <w:r>
        <w:rPr>
          <w:spacing w:val="-9"/>
          <w:w w:val="105"/>
          <w:sz w:val="13"/>
        </w:rPr>
        <w:t xml:space="preserve"> </w:t>
      </w:r>
      <w:r>
        <w:rPr>
          <w:w w:val="105"/>
          <w:sz w:val="13"/>
        </w:rPr>
        <w:t>ha</w:t>
      </w:r>
      <w:r>
        <w:rPr>
          <w:spacing w:val="-9"/>
          <w:w w:val="105"/>
          <w:sz w:val="13"/>
        </w:rPr>
        <w:t xml:space="preserve"> </w:t>
      </w:r>
      <w:r>
        <w:rPr>
          <w:w w:val="105"/>
          <w:sz w:val="13"/>
        </w:rPr>
        <w:t>señalado</w:t>
      </w:r>
      <w:r>
        <w:rPr>
          <w:spacing w:val="-9"/>
          <w:w w:val="105"/>
          <w:sz w:val="13"/>
        </w:rPr>
        <w:t xml:space="preserve"> </w:t>
      </w:r>
      <w:r>
        <w:rPr>
          <w:w w:val="105"/>
          <w:sz w:val="13"/>
        </w:rPr>
        <w:t>que</w:t>
      </w:r>
      <w:r>
        <w:rPr>
          <w:spacing w:val="-10"/>
          <w:w w:val="105"/>
          <w:sz w:val="13"/>
        </w:rPr>
        <w:t xml:space="preserve"> </w:t>
      </w:r>
      <w:r>
        <w:rPr>
          <w:w w:val="105"/>
          <w:sz w:val="13"/>
        </w:rPr>
        <w:t>la</w:t>
      </w:r>
      <w:r>
        <w:rPr>
          <w:spacing w:val="-9"/>
          <w:w w:val="105"/>
          <w:sz w:val="13"/>
        </w:rPr>
        <w:t xml:space="preserve"> </w:t>
      </w:r>
      <w:r>
        <w:rPr>
          <w:w w:val="105"/>
          <w:sz w:val="13"/>
        </w:rPr>
        <w:t>discriminación</w:t>
      </w:r>
      <w:r>
        <w:rPr>
          <w:spacing w:val="-9"/>
          <w:w w:val="105"/>
          <w:sz w:val="13"/>
        </w:rPr>
        <w:t xml:space="preserve"> </w:t>
      </w:r>
      <w:r>
        <w:rPr>
          <w:w w:val="105"/>
          <w:sz w:val="13"/>
        </w:rPr>
        <w:t>en</w:t>
      </w:r>
      <w:r>
        <w:rPr>
          <w:spacing w:val="40"/>
          <w:w w:val="105"/>
          <w:sz w:val="13"/>
        </w:rPr>
        <w:t xml:space="preserve"> </w:t>
      </w:r>
      <w:r>
        <w:rPr>
          <w:w w:val="105"/>
          <w:sz w:val="13"/>
        </w:rPr>
        <w:t>la</w:t>
      </w:r>
      <w:r>
        <w:rPr>
          <w:spacing w:val="-6"/>
          <w:w w:val="105"/>
          <w:sz w:val="13"/>
        </w:rPr>
        <w:t xml:space="preserve"> </w:t>
      </w:r>
      <w:r>
        <w:rPr>
          <w:w w:val="105"/>
          <w:sz w:val="13"/>
        </w:rPr>
        <w:t>vejez</w:t>
      </w:r>
      <w:r>
        <w:rPr>
          <w:spacing w:val="-6"/>
          <w:w w:val="105"/>
          <w:sz w:val="13"/>
        </w:rPr>
        <w:t xml:space="preserve"> </w:t>
      </w:r>
      <w:r>
        <w:rPr>
          <w:w w:val="105"/>
          <w:sz w:val="13"/>
        </w:rPr>
        <w:t>no</w:t>
      </w:r>
      <w:r>
        <w:rPr>
          <w:spacing w:val="-6"/>
          <w:w w:val="105"/>
          <w:sz w:val="13"/>
        </w:rPr>
        <w:t xml:space="preserve"> </w:t>
      </w:r>
      <w:r>
        <w:rPr>
          <w:w w:val="105"/>
          <w:sz w:val="13"/>
        </w:rPr>
        <w:t>es</w:t>
      </w:r>
      <w:r>
        <w:rPr>
          <w:spacing w:val="-6"/>
          <w:w w:val="105"/>
          <w:sz w:val="13"/>
        </w:rPr>
        <w:t xml:space="preserve"> </w:t>
      </w:r>
      <w:r>
        <w:rPr>
          <w:w w:val="105"/>
          <w:sz w:val="13"/>
        </w:rPr>
        <w:t>“el</w:t>
      </w:r>
      <w:r>
        <w:rPr>
          <w:spacing w:val="-5"/>
          <w:w w:val="105"/>
          <w:sz w:val="13"/>
        </w:rPr>
        <w:t xml:space="preserve"> </w:t>
      </w:r>
      <w:r>
        <w:rPr>
          <w:w w:val="105"/>
          <w:sz w:val="13"/>
        </w:rPr>
        <w:t>mero</w:t>
      </w:r>
      <w:r>
        <w:rPr>
          <w:spacing w:val="-5"/>
          <w:w w:val="105"/>
          <w:sz w:val="13"/>
        </w:rPr>
        <w:t xml:space="preserve"> </w:t>
      </w:r>
      <w:r>
        <w:rPr>
          <w:w w:val="105"/>
          <w:sz w:val="13"/>
        </w:rPr>
        <w:t>resultado</w:t>
      </w:r>
      <w:r>
        <w:rPr>
          <w:spacing w:val="-6"/>
          <w:w w:val="105"/>
          <w:sz w:val="13"/>
        </w:rPr>
        <w:t xml:space="preserve"> </w:t>
      </w:r>
      <w:r>
        <w:rPr>
          <w:w w:val="105"/>
          <w:sz w:val="13"/>
        </w:rPr>
        <w:t>de</w:t>
      </w:r>
      <w:r>
        <w:rPr>
          <w:spacing w:val="-6"/>
          <w:w w:val="105"/>
          <w:sz w:val="13"/>
        </w:rPr>
        <w:t xml:space="preserve"> </w:t>
      </w:r>
      <w:r>
        <w:rPr>
          <w:w w:val="105"/>
          <w:sz w:val="13"/>
        </w:rPr>
        <w:t>prejuicios</w:t>
      </w:r>
      <w:r>
        <w:rPr>
          <w:spacing w:val="-6"/>
          <w:w w:val="105"/>
          <w:sz w:val="13"/>
        </w:rPr>
        <w:t xml:space="preserve"> </w:t>
      </w:r>
      <w:r>
        <w:rPr>
          <w:w w:val="105"/>
          <w:sz w:val="13"/>
        </w:rPr>
        <w:t>capacitistas”</w:t>
      </w:r>
      <w:r>
        <w:rPr>
          <w:spacing w:val="-6"/>
          <w:w w:val="105"/>
          <w:sz w:val="13"/>
        </w:rPr>
        <w:t xml:space="preserve"> </w:t>
      </w:r>
      <w:r>
        <w:rPr>
          <w:w w:val="105"/>
          <w:sz w:val="13"/>
        </w:rPr>
        <w:t>y</w:t>
      </w:r>
      <w:r>
        <w:rPr>
          <w:spacing w:val="-5"/>
          <w:w w:val="105"/>
          <w:sz w:val="13"/>
        </w:rPr>
        <w:t xml:space="preserve"> </w:t>
      </w:r>
      <w:r>
        <w:rPr>
          <w:w w:val="105"/>
          <w:sz w:val="13"/>
        </w:rPr>
        <w:t>que</w:t>
      </w:r>
      <w:r>
        <w:rPr>
          <w:spacing w:val="-6"/>
          <w:w w:val="105"/>
          <w:sz w:val="13"/>
        </w:rPr>
        <w:t xml:space="preserve"> </w:t>
      </w:r>
      <w:r>
        <w:rPr>
          <w:w w:val="105"/>
          <w:sz w:val="13"/>
        </w:rPr>
        <w:t>la</w:t>
      </w:r>
      <w:r>
        <w:rPr>
          <w:spacing w:val="-6"/>
          <w:w w:val="105"/>
          <w:sz w:val="13"/>
        </w:rPr>
        <w:t xml:space="preserve"> </w:t>
      </w:r>
      <w:r>
        <w:rPr>
          <w:w w:val="105"/>
          <w:sz w:val="13"/>
        </w:rPr>
        <w:t>discriminación</w:t>
      </w:r>
      <w:r>
        <w:rPr>
          <w:spacing w:val="-5"/>
          <w:w w:val="105"/>
          <w:sz w:val="13"/>
        </w:rPr>
        <w:t xml:space="preserve"> </w:t>
      </w:r>
      <w:r>
        <w:rPr>
          <w:w w:val="105"/>
          <w:sz w:val="13"/>
        </w:rPr>
        <w:t>por</w:t>
      </w:r>
      <w:r>
        <w:rPr>
          <w:spacing w:val="-6"/>
          <w:w w:val="105"/>
          <w:sz w:val="13"/>
        </w:rPr>
        <w:t xml:space="preserve"> </w:t>
      </w:r>
      <w:r>
        <w:rPr>
          <w:w w:val="105"/>
          <w:sz w:val="13"/>
        </w:rPr>
        <w:t>edad</w:t>
      </w:r>
      <w:r>
        <w:rPr>
          <w:spacing w:val="-6"/>
          <w:w w:val="105"/>
          <w:sz w:val="13"/>
        </w:rPr>
        <w:t xml:space="preserve"> </w:t>
      </w:r>
      <w:r>
        <w:rPr>
          <w:w w:val="105"/>
          <w:sz w:val="13"/>
        </w:rPr>
        <w:t>era</w:t>
      </w:r>
      <w:r>
        <w:rPr>
          <w:spacing w:val="-5"/>
          <w:w w:val="105"/>
          <w:sz w:val="13"/>
        </w:rPr>
        <w:t xml:space="preserve"> </w:t>
      </w:r>
      <w:r>
        <w:rPr>
          <w:w w:val="105"/>
          <w:sz w:val="13"/>
        </w:rPr>
        <w:t>“una</w:t>
      </w:r>
      <w:r>
        <w:rPr>
          <w:spacing w:val="-5"/>
          <w:w w:val="105"/>
          <w:sz w:val="13"/>
        </w:rPr>
        <w:t xml:space="preserve"> </w:t>
      </w:r>
      <w:r>
        <w:rPr>
          <w:w w:val="105"/>
          <w:sz w:val="13"/>
        </w:rPr>
        <w:t>forma</w:t>
      </w:r>
      <w:r>
        <w:rPr>
          <w:spacing w:val="-6"/>
          <w:w w:val="105"/>
          <w:sz w:val="13"/>
        </w:rPr>
        <w:t xml:space="preserve"> </w:t>
      </w:r>
      <w:r>
        <w:rPr>
          <w:w w:val="105"/>
          <w:sz w:val="13"/>
        </w:rPr>
        <w:t>distinta</w:t>
      </w:r>
      <w:r>
        <w:rPr>
          <w:spacing w:val="-6"/>
          <w:w w:val="105"/>
          <w:sz w:val="13"/>
        </w:rPr>
        <w:t xml:space="preserve"> </w:t>
      </w:r>
      <w:r>
        <w:rPr>
          <w:w w:val="105"/>
          <w:sz w:val="13"/>
        </w:rPr>
        <w:t>de</w:t>
      </w:r>
      <w:r>
        <w:rPr>
          <w:spacing w:val="-6"/>
          <w:w w:val="105"/>
          <w:sz w:val="13"/>
        </w:rPr>
        <w:t xml:space="preserve"> </w:t>
      </w:r>
      <w:r>
        <w:rPr>
          <w:w w:val="105"/>
          <w:sz w:val="13"/>
        </w:rPr>
        <w:t>opresión</w:t>
      </w:r>
      <w:r>
        <w:rPr>
          <w:spacing w:val="-5"/>
          <w:w w:val="105"/>
          <w:sz w:val="13"/>
        </w:rPr>
        <w:t xml:space="preserve"> </w:t>
      </w:r>
      <w:r>
        <w:rPr>
          <w:w w:val="105"/>
          <w:sz w:val="13"/>
        </w:rPr>
        <w:t>que</w:t>
      </w:r>
      <w:r>
        <w:rPr>
          <w:spacing w:val="-6"/>
          <w:w w:val="105"/>
          <w:sz w:val="13"/>
        </w:rPr>
        <w:t xml:space="preserve"> </w:t>
      </w:r>
      <w:r>
        <w:rPr>
          <w:w w:val="105"/>
          <w:sz w:val="13"/>
        </w:rPr>
        <w:t>afecta</w:t>
      </w:r>
      <w:r>
        <w:rPr>
          <w:spacing w:val="-6"/>
          <w:w w:val="105"/>
          <w:sz w:val="13"/>
        </w:rPr>
        <w:t xml:space="preserve"> </w:t>
      </w:r>
      <w:r>
        <w:rPr>
          <w:w w:val="105"/>
          <w:sz w:val="13"/>
        </w:rPr>
        <w:t>a</w:t>
      </w:r>
      <w:r>
        <w:rPr>
          <w:spacing w:val="-6"/>
          <w:w w:val="105"/>
          <w:sz w:val="13"/>
        </w:rPr>
        <w:t xml:space="preserve"> </w:t>
      </w:r>
      <w:r>
        <w:rPr>
          <w:w w:val="105"/>
          <w:sz w:val="13"/>
        </w:rPr>
        <w:t>las</w:t>
      </w:r>
      <w:r>
        <w:rPr>
          <w:spacing w:val="40"/>
          <w:w w:val="105"/>
          <w:sz w:val="13"/>
        </w:rPr>
        <w:t xml:space="preserve"> </w:t>
      </w:r>
      <w:r>
        <w:rPr>
          <w:w w:val="105"/>
          <w:sz w:val="13"/>
        </w:rPr>
        <w:t>personas</w:t>
      </w:r>
      <w:r>
        <w:rPr>
          <w:spacing w:val="-6"/>
          <w:w w:val="105"/>
          <w:sz w:val="13"/>
        </w:rPr>
        <w:t xml:space="preserve"> </w:t>
      </w:r>
      <w:r>
        <w:rPr>
          <w:w w:val="105"/>
          <w:sz w:val="13"/>
        </w:rPr>
        <w:t>mayores,</w:t>
      </w:r>
      <w:r>
        <w:rPr>
          <w:spacing w:val="-5"/>
          <w:w w:val="105"/>
          <w:sz w:val="13"/>
        </w:rPr>
        <w:t xml:space="preserve"> </w:t>
      </w:r>
      <w:r>
        <w:rPr>
          <w:w w:val="105"/>
          <w:sz w:val="13"/>
        </w:rPr>
        <w:t>incluidas</w:t>
      </w:r>
      <w:r>
        <w:rPr>
          <w:spacing w:val="-6"/>
          <w:w w:val="105"/>
          <w:sz w:val="13"/>
        </w:rPr>
        <w:t xml:space="preserve"> </w:t>
      </w:r>
      <w:r>
        <w:rPr>
          <w:w w:val="105"/>
          <w:sz w:val="13"/>
        </w:rPr>
        <w:t>las</w:t>
      </w:r>
      <w:r>
        <w:rPr>
          <w:spacing w:val="-6"/>
          <w:w w:val="105"/>
          <w:sz w:val="13"/>
        </w:rPr>
        <w:t xml:space="preserve"> </w:t>
      </w:r>
      <w:r>
        <w:rPr>
          <w:w w:val="105"/>
          <w:sz w:val="13"/>
        </w:rPr>
        <w:t>personas</w:t>
      </w:r>
      <w:r>
        <w:rPr>
          <w:spacing w:val="-6"/>
          <w:w w:val="105"/>
          <w:sz w:val="13"/>
        </w:rPr>
        <w:t xml:space="preserve"> </w:t>
      </w:r>
      <w:r>
        <w:rPr>
          <w:w w:val="105"/>
          <w:sz w:val="13"/>
        </w:rPr>
        <w:t>mayores</w:t>
      </w:r>
      <w:r>
        <w:rPr>
          <w:spacing w:val="-6"/>
          <w:w w:val="105"/>
          <w:sz w:val="13"/>
        </w:rPr>
        <w:t xml:space="preserve"> </w:t>
      </w:r>
      <w:r>
        <w:rPr>
          <w:w w:val="105"/>
          <w:sz w:val="13"/>
        </w:rPr>
        <w:t>con</w:t>
      </w:r>
      <w:r>
        <w:rPr>
          <w:spacing w:val="-5"/>
          <w:w w:val="105"/>
          <w:sz w:val="13"/>
        </w:rPr>
        <w:t xml:space="preserve"> </w:t>
      </w:r>
      <w:r>
        <w:rPr>
          <w:w w:val="105"/>
          <w:sz w:val="13"/>
        </w:rPr>
        <w:t>discapacidades”.</w:t>
      </w:r>
      <w:r>
        <w:rPr>
          <w:spacing w:val="-4"/>
          <w:w w:val="105"/>
          <w:sz w:val="13"/>
        </w:rPr>
        <w:t xml:space="preserve"> </w:t>
      </w:r>
      <w:r>
        <w:rPr>
          <w:w w:val="105"/>
          <w:sz w:val="13"/>
        </w:rPr>
        <w:t>discapacidad”.1247</w:t>
      </w:r>
    </w:p>
    <w:p w14:paraId="2CC0928B" w14:textId="77777777" w:rsidR="0014798C" w:rsidRDefault="0014798C">
      <w:pPr>
        <w:pStyle w:val="Textoindependiente"/>
        <w:rPr>
          <w:sz w:val="13"/>
        </w:rPr>
      </w:pPr>
    </w:p>
    <w:p w14:paraId="72C2A72C" w14:textId="77777777" w:rsidR="0014798C" w:rsidRDefault="0014798C">
      <w:pPr>
        <w:pStyle w:val="Textoindependiente"/>
        <w:rPr>
          <w:sz w:val="13"/>
        </w:rPr>
      </w:pPr>
    </w:p>
    <w:p w14:paraId="30944A88" w14:textId="77777777" w:rsidR="0014798C" w:rsidRDefault="0014798C">
      <w:pPr>
        <w:pStyle w:val="Textoindependiente"/>
        <w:spacing w:before="5"/>
        <w:rPr>
          <w:sz w:val="13"/>
        </w:rPr>
      </w:pPr>
    </w:p>
    <w:p w14:paraId="43FC0D83" w14:textId="77777777" w:rsidR="0014798C" w:rsidRDefault="004E1F0B">
      <w:pPr>
        <w:spacing w:line="400" w:lineRule="auto"/>
        <w:ind w:left="1109" w:right="1283" w:hanging="4"/>
        <w:rPr>
          <w:sz w:val="13"/>
        </w:rPr>
      </w:pPr>
      <w:r>
        <w:rPr>
          <w:noProof/>
        </w:rPr>
        <mc:AlternateContent>
          <mc:Choice Requires="wps">
            <w:drawing>
              <wp:anchor distT="0" distB="0" distL="0" distR="0" simplePos="0" relativeHeight="251658338" behindDoc="0" locked="0" layoutInCell="1" allowOverlap="1" wp14:anchorId="5E650F8B" wp14:editId="66121DBD">
                <wp:simplePos x="0" y="0"/>
                <wp:positionH relativeFrom="page">
                  <wp:posOffset>7308079</wp:posOffset>
                </wp:positionH>
                <wp:positionV relativeFrom="paragraph">
                  <wp:posOffset>1128095</wp:posOffset>
                </wp:positionV>
                <wp:extent cx="89535" cy="215265"/>
                <wp:effectExtent l="0" t="0" r="0" b="0"/>
                <wp:wrapNone/>
                <wp:docPr id="386" name="Textbox 38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89535" cy="215265"/>
                        </a:xfrm>
                        <a:prstGeom prst="rect">
                          <a:avLst/>
                        </a:prstGeom>
                      </wps:spPr>
                      <wps:txbx>
                        <w:txbxContent>
                          <w:p w14:paraId="7C81D542" w14:textId="77777777" w:rsidR="0014798C" w:rsidRDefault="004E1F0B">
                            <w:pPr>
                              <w:spacing w:before="16"/>
                              <w:ind w:left="20"/>
                              <w:rPr>
                                <w:sz w:val="9"/>
                              </w:rPr>
                            </w:pPr>
                            <w:r>
                              <w:rPr>
                                <w:color w:val="FFFFFF"/>
                                <w:spacing w:val="-23"/>
                                <w:sz w:val="9"/>
                              </w:rPr>
                              <w:t>SPEAIRSTE</w:t>
                            </w:r>
                          </w:p>
                        </w:txbxContent>
                      </wps:txbx>
                      <wps:bodyPr vert="vert270" wrap="square" lIns="0" tIns="0" rIns="0" bIns="0" rtlCol="0">
                        <a:noAutofit/>
                      </wps:bodyPr>
                    </wps:wsp>
                  </a:graphicData>
                </a:graphic>
              </wp:anchor>
            </w:drawing>
          </mc:Choice>
          <mc:Fallback>
            <w:pict>
              <v:shape w14:anchorId="5E650F8B" id="Textbox 386" o:spid="_x0000_s1186" type="#_x0000_t202" style="position:absolute;left:0;text-align:left;margin-left:575.45pt;margin-top:88.85pt;width:7.05pt;height:16.95pt;z-index:251658338;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" filled="f" stroked="f">
                <v:textbox style="layout-flow:vertical;mso-layout-flow-alt:bottom-to-top" inset="0,0,0,0">
                  <w:txbxContent>
                    <w:p w14:paraId="7C81D542" w14:textId="77777777" w:rsidR="0014798C" w:rsidRDefault="004E1F0B">
                      <w:pPr>
                        <w:spacing w:before="16"/>
                        <w:ind w:left="20"/>
                        <w:rPr>
                          <w:sz w:val="9"/>
                        </w:rPr>
                      </w:pPr>
                      <w:r>
                        <w:rPr>
                          <w:color w:val="FFFFFF"/>
                          <w:spacing w:val="-23"/>
                          <w:sz w:val="9"/>
                        </w:rPr>
                        <w:t>SPEAIRSTE</w:t>
                      </w:r>
                    </w:p>
                  </w:txbxContent>
                </v:textbox>
                <w10:wrap anchorx="page"/>
              </v:shape>
            </w:pict>
          </mc:Fallback>
        </mc:AlternateContent>
      </w:r>
      <w:r>
        <w:rPr>
          <w:w w:val="105"/>
          <w:sz w:val="13"/>
        </w:rPr>
        <w:t>Por</w:t>
      </w:r>
      <w:r>
        <w:rPr>
          <w:spacing w:val="-10"/>
          <w:w w:val="105"/>
          <w:sz w:val="13"/>
        </w:rPr>
        <w:t xml:space="preserve"> </w:t>
      </w:r>
      <w:r>
        <w:rPr>
          <w:w w:val="105"/>
          <w:sz w:val="13"/>
        </w:rPr>
        <w:t>lo</w:t>
      </w:r>
      <w:r>
        <w:rPr>
          <w:spacing w:val="-9"/>
          <w:w w:val="105"/>
          <w:sz w:val="13"/>
        </w:rPr>
        <w:t xml:space="preserve"> </w:t>
      </w:r>
      <w:r>
        <w:rPr>
          <w:w w:val="105"/>
          <w:sz w:val="13"/>
        </w:rPr>
        <w:t>tanto,</w:t>
      </w:r>
      <w:r>
        <w:rPr>
          <w:spacing w:val="-10"/>
          <w:w w:val="105"/>
          <w:sz w:val="13"/>
        </w:rPr>
        <w:t xml:space="preserve"> </w:t>
      </w:r>
      <w:r>
        <w:rPr>
          <w:w w:val="105"/>
          <w:sz w:val="13"/>
        </w:rPr>
        <w:t>los</w:t>
      </w:r>
      <w:r>
        <w:rPr>
          <w:spacing w:val="-9"/>
          <w:w w:val="105"/>
          <w:sz w:val="13"/>
        </w:rPr>
        <w:t xml:space="preserve"> </w:t>
      </w:r>
      <w:r>
        <w:rPr>
          <w:w w:val="105"/>
          <w:sz w:val="13"/>
        </w:rPr>
        <w:t>Estados</w:t>
      </w:r>
      <w:r>
        <w:rPr>
          <w:spacing w:val="-10"/>
          <w:w w:val="105"/>
          <w:sz w:val="13"/>
        </w:rPr>
        <w:t xml:space="preserve"> </w:t>
      </w:r>
      <w:r>
        <w:rPr>
          <w:w w:val="105"/>
          <w:sz w:val="13"/>
        </w:rPr>
        <w:t>tienen</w:t>
      </w:r>
      <w:r>
        <w:rPr>
          <w:spacing w:val="-9"/>
          <w:w w:val="105"/>
          <w:sz w:val="13"/>
        </w:rPr>
        <w:t xml:space="preserve"> </w:t>
      </w:r>
      <w:r>
        <w:rPr>
          <w:w w:val="105"/>
          <w:sz w:val="13"/>
        </w:rPr>
        <w:t>obligaciones</w:t>
      </w:r>
      <w:r>
        <w:rPr>
          <w:spacing w:val="-10"/>
          <w:w w:val="105"/>
          <w:sz w:val="13"/>
        </w:rPr>
        <w:t xml:space="preserve"> </w:t>
      </w:r>
      <w:r>
        <w:rPr>
          <w:w w:val="105"/>
          <w:sz w:val="13"/>
        </w:rPr>
        <w:t>jurídicas</w:t>
      </w:r>
      <w:r>
        <w:rPr>
          <w:spacing w:val="-9"/>
          <w:w w:val="105"/>
          <w:sz w:val="13"/>
        </w:rPr>
        <w:t xml:space="preserve"> </w:t>
      </w:r>
      <w:r>
        <w:rPr>
          <w:w w:val="105"/>
          <w:sz w:val="13"/>
        </w:rPr>
        <w:t>positivas</w:t>
      </w:r>
      <w:r>
        <w:rPr>
          <w:spacing w:val="-10"/>
          <w:w w:val="105"/>
          <w:sz w:val="13"/>
        </w:rPr>
        <w:t xml:space="preserve"> </w:t>
      </w:r>
      <w:r>
        <w:rPr>
          <w:w w:val="105"/>
          <w:sz w:val="13"/>
        </w:rPr>
        <w:t>claras,</w:t>
      </w:r>
      <w:r>
        <w:rPr>
          <w:spacing w:val="-9"/>
          <w:w w:val="105"/>
          <w:sz w:val="13"/>
        </w:rPr>
        <w:t xml:space="preserve"> </w:t>
      </w:r>
      <w:r>
        <w:rPr>
          <w:w w:val="105"/>
          <w:sz w:val="13"/>
        </w:rPr>
        <w:t>inmediatas</w:t>
      </w:r>
      <w:r>
        <w:rPr>
          <w:spacing w:val="-10"/>
          <w:w w:val="105"/>
          <w:sz w:val="13"/>
        </w:rPr>
        <w:t xml:space="preserve"> </w:t>
      </w:r>
      <w:r>
        <w:rPr>
          <w:w w:val="105"/>
          <w:sz w:val="13"/>
        </w:rPr>
        <w:t>y</w:t>
      </w:r>
      <w:r>
        <w:rPr>
          <w:spacing w:val="-9"/>
          <w:w w:val="105"/>
          <w:sz w:val="13"/>
        </w:rPr>
        <w:t xml:space="preserve"> </w:t>
      </w:r>
      <w:r>
        <w:rPr>
          <w:w w:val="105"/>
          <w:sz w:val="13"/>
        </w:rPr>
        <w:t>sustantivas</w:t>
      </w:r>
      <w:r>
        <w:rPr>
          <w:spacing w:val="-10"/>
          <w:w w:val="105"/>
          <w:sz w:val="13"/>
        </w:rPr>
        <w:t xml:space="preserve"> </w:t>
      </w:r>
      <w:r>
        <w:rPr>
          <w:w w:val="105"/>
          <w:sz w:val="13"/>
        </w:rPr>
        <w:t>de</w:t>
      </w:r>
      <w:r>
        <w:rPr>
          <w:spacing w:val="-9"/>
          <w:w w:val="105"/>
          <w:sz w:val="13"/>
        </w:rPr>
        <w:t xml:space="preserve"> </w:t>
      </w:r>
      <w:r>
        <w:rPr>
          <w:w w:val="105"/>
          <w:sz w:val="13"/>
        </w:rPr>
        <w:t>abordar</w:t>
      </w:r>
      <w:r>
        <w:rPr>
          <w:spacing w:val="-10"/>
          <w:w w:val="105"/>
          <w:sz w:val="13"/>
        </w:rPr>
        <w:t xml:space="preserve"> </w:t>
      </w:r>
      <w:r>
        <w:rPr>
          <w:w w:val="105"/>
          <w:sz w:val="13"/>
        </w:rPr>
        <w:t>los</w:t>
      </w:r>
      <w:r>
        <w:rPr>
          <w:spacing w:val="-9"/>
          <w:w w:val="105"/>
          <w:sz w:val="13"/>
        </w:rPr>
        <w:t xml:space="preserve"> </w:t>
      </w:r>
      <w:r>
        <w:rPr>
          <w:w w:val="105"/>
          <w:sz w:val="13"/>
        </w:rPr>
        <w:t>prejuicios,</w:t>
      </w:r>
      <w:r>
        <w:rPr>
          <w:spacing w:val="-10"/>
          <w:w w:val="105"/>
          <w:sz w:val="13"/>
        </w:rPr>
        <w:t xml:space="preserve"> </w:t>
      </w:r>
      <w:r>
        <w:rPr>
          <w:w w:val="105"/>
          <w:sz w:val="13"/>
        </w:rPr>
        <w:t>los</w:t>
      </w:r>
      <w:r>
        <w:rPr>
          <w:spacing w:val="-9"/>
          <w:w w:val="105"/>
          <w:sz w:val="13"/>
        </w:rPr>
        <w:t xml:space="preserve"> </w:t>
      </w:r>
      <w:r>
        <w:rPr>
          <w:w w:val="105"/>
          <w:sz w:val="13"/>
        </w:rPr>
        <w:t>estereotipos,</w:t>
      </w:r>
      <w:r>
        <w:rPr>
          <w:spacing w:val="-10"/>
          <w:w w:val="105"/>
          <w:sz w:val="13"/>
        </w:rPr>
        <w:t xml:space="preserve"> </w:t>
      </w:r>
      <w:r>
        <w:rPr>
          <w:w w:val="105"/>
          <w:sz w:val="13"/>
        </w:rPr>
        <w:t>el</w:t>
      </w:r>
      <w:r>
        <w:rPr>
          <w:spacing w:val="-9"/>
          <w:w w:val="105"/>
          <w:sz w:val="13"/>
        </w:rPr>
        <w:t xml:space="preserve"> </w:t>
      </w:r>
      <w:r>
        <w:rPr>
          <w:w w:val="105"/>
          <w:sz w:val="13"/>
        </w:rPr>
        <w:t>estigma</w:t>
      </w:r>
      <w:r>
        <w:rPr>
          <w:spacing w:val="-10"/>
          <w:w w:val="105"/>
          <w:sz w:val="13"/>
        </w:rPr>
        <w:t xml:space="preserve"> </w:t>
      </w:r>
      <w:r>
        <w:rPr>
          <w:w w:val="105"/>
          <w:sz w:val="13"/>
        </w:rPr>
        <w:t>y</w:t>
      </w:r>
      <w:r>
        <w:rPr>
          <w:spacing w:val="-9"/>
          <w:w w:val="105"/>
          <w:sz w:val="13"/>
        </w:rPr>
        <w:t xml:space="preserve"> </w:t>
      </w:r>
      <w:r>
        <w:rPr>
          <w:w w:val="105"/>
          <w:sz w:val="13"/>
        </w:rPr>
        <w:t>otros</w:t>
      </w:r>
      <w:r>
        <w:rPr>
          <w:spacing w:val="40"/>
          <w:w w:val="105"/>
          <w:sz w:val="13"/>
        </w:rPr>
        <w:t xml:space="preserve"> </w:t>
      </w:r>
      <w:r>
        <w:rPr>
          <w:w w:val="105"/>
          <w:sz w:val="13"/>
        </w:rPr>
        <w:t>factores</w:t>
      </w:r>
      <w:r>
        <w:rPr>
          <w:spacing w:val="-7"/>
          <w:w w:val="105"/>
          <w:sz w:val="13"/>
        </w:rPr>
        <w:t xml:space="preserve"> </w:t>
      </w:r>
      <w:r>
        <w:rPr>
          <w:w w:val="105"/>
          <w:sz w:val="13"/>
        </w:rPr>
        <w:t>de</w:t>
      </w:r>
      <w:r>
        <w:rPr>
          <w:spacing w:val="-7"/>
          <w:w w:val="105"/>
          <w:sz w:val="13"/>
        </w:rPr>
        <w:t xml:space="preserve"> </w:t>
      </w:r>
      <w:r>
        <w:rPr>
          <w:w w:val="105"/>
          <w:sz w:val="13"/>
        </w:rPr>
        <w:t>discriminación</w:t>
      </w:r>
      <w:r>
        <w:rPr>
          <w:spacing w:val="-6"/>
          <w:w w:val="105"/>
          <w:sz w:val="13"/>
        </w:rPr>
        <w:t xml:space="preserve"> </w:t>
      </w:r>
      <w:r>
        <w:rPr>
          <w:w w:val="105"/>
          <w:sz w:val="13"/>
        </w:rPr>
        <w:t>y</w:t>
      </w:r>
      <w:r>
        <w:rPr>
          <w:spacing w:val="-6"/>
          <w:w w:val="105"/>
          <w:sz w:val="13"/>
        </w:rPr>
        <w:t xml:space="preserve"> </w:t>
      </w:r>
      <w:r>
        <w:rPr>
          <w:w w:val="105"/>
          <w:sz w:val="13"/>
        </w:rPr>
        <w:t>promover</w:t>
      </w:r>
      <w:r>
        <w:rPr>
          <w:spacing w:val="-7"/>
          <w:w w:val="105"/>
          <w:sz w:val="13"/>
        </w:rPr>
        <w:t xml:space="preserve"> </w:t>
      </w:r>
      <w:r>
        <w:rPr>
          <w:w w:val="105"/>
          <w:sz w:val="13"/>
        </w:rPr>
        <w:t>valores</w:t>
      </w:r>
      <w:r>
        <w:rPr>
          <w:spacing w:val="-7"/>
          <w:w w:val="105"/>
          <w:sz w:val="13"/>
        </w:rPr>
        <w:t xml:space="preserve"> </w:t>
      </w:r>
      <w:r>
        <w:rPr>
          <w:w w:val="105"/>
          <w:sz w:val="13"/>
        </w:rPr>
        <w:t>positivos</w:t>
      </w:r>
      <w:r>
        <w:rPr>
          <w:spacing w:val="-7"/>
          <w:w w:val="105"/>
          <w:sz w:val="13"/>
        </w:rPr>
        <w:t xml:space="preserve"> </w:t>
      </w:r>
      <w:r>
        <w:rPr>
          <w:w w:val="105"/>
          <w:sz w:val="13"/>
        </w:rPr>
        <w:t>de</w:t>
      </w:r>
      <w:r>
        <w:rPr>
          <w:spacing w:val="-7"/>
          <w:w w:val="105"/>
          <w:sz w:val="13"/>
        </w:rPr>
        <w:t xml:space="preserve"> </w:t>
      </w:r>
      <w:r>
        <w:rPr>
          <w:w w:val="105"/>
          <w:sz w:val="13"/>
        </w:rPr>
        <w:t>comprensión,</w:t>
      </w:r>
      <w:r>
        <w:rPr>
          <w:spacing w:val="-6"/>
          <w:w w:val="105"/>
          <w:sz w:val="13"/>
        </w:rPr>
        <w:t xml:space="preserve"> </w:t>
      </w:r>
      <w:r>
        <w:rPr>
          <w:w w:val="105"/>
          <w:sz w:val="13"/>
        </w:rPr>
        <w:t>tolerancia,</w:t>
      </w:r>
      <w:r>
        <w:rPr>
          <w:spacing w:val="-6"/>
          <w:w w:val="105"/>
          <w:sz w:val="13"/>
        </w:rPr>
        <w:t xml:space="preserve"> </w:t>
      </w:r>
      <w:r>
        <w:rPr>
          <w:w w:val="105"/>
          <w:sz w:val="13"/>
        </w:rPr>
        <w:t>amistad</w:t>
      </w:r>
      <w:r>
        <w:rPr>
          <w:spacing w:val="-7"/>
          <w:w w:val="105"/>
          <w:sz w:val="13"/>
        </w:rPr>
        <w:t xml:space="preserve"> </w:t>
      </w:r>
      <w:r>
        <w:rPr>
          <w:w w:val="105"/>
          <w:sz w:val="13"/>
        </w:rPr>
        <w:t>y</w:t>
      </w:r>
      <w:r>
        <w:rPr>
          <w:spacing w:val="-6"/>
          <w:w w:val="105"/>
          <w:sz w:val="13"/>
        </w:rPr>
        <w:t xml:space="preserve"> </w:t>
      </w:r>
      <w:r>
        <w:rPr>
          <w:w w:val="105"/>
          <w:sz w:val="13"/>
        </w:rPr>
        <w:t>respeto</w:t>
      </w:r>
      <w:r>
        <w:rPr>
          <w:spacing w:val="-7"/>
          <w:w w:val="105"/>
          <w:sz w:val="13"/>
        </w:rPr>
        <w:t xml:space="preserve"> </w:t>
      </w:r>
      <w:r>
        <w:rPr>
          <w:w w:val="105"/>
          <w:sz w:val="13"/>
        </w:rPr>
        <w:t>por</w:t>
      </w:r>
      <w:r>
        <w:rPr>
          <w:spacing w:val="-7"/>
          <w:w w:val="105"/>
          <w:sz w:val="13"/>
        </w:rPr>
        <w:t xml:space="preserve"> </w:t>
      </w:r>
      <w:r>
        <w:rPr>
          <w:w w:val="105"/>
          <w:sz w:val="13"/>
        </w:rPr>
        <w:t>los</w:t>
      </w:r>
      <w:r>
        <w:rPr>
          <w:spacing w:val="-7"/>
          <w:w w:val="105"/>
          <w:sz w:val="13"/>
        </w:rPr>
        <w:t xml:space="preserve"> </w:t>
      </w:r>
      <w:r>
        <w:rPr>
          <w:w w:val="105"/>
          <w:sz w:val="13"/>
        </w:rPr>
        <w:t>derechos</w:t>
      </w:r>
      <w:r>
        <w:rPr>
          <w:spacing w:val="-7"/>
          <w:w w:val="105"/>
          <w:sz w:val="13"/>
        </w:rPr>
        <w:t xml:space="preserve"> </w:t>
      </w:r>
      <w:r>
        <w:rPr>
          <w:w w:val="105"/>
          <w:sz w:val="13"/>
        </w:rPr>
        <w:t>humanos,</w:t>
      </w:r>
      <w:r>
        <w:rPr>
          <w:spacing w:val="-6"/>
          <w:w w:val="105"/>
          <w:sz w:val="13"/>
        </w:rPr>
        <w:t xml:space="preserve"> </w:t>
      </w:r>
      <w:r>
        <w:rPr>
          <w:w w:val="105"/>
          <w:sz w:val="13"/>
        </w:rPr>
        <w:t>las</w:t>
      </w:r>
      <w:r>
        <w:rPr>
          <w:spacing w:val="-7"/>
          <w:w w:val="105"/>
          <w:sz w:val="13"/>
        </w:rPr>
        <w:t xml:space="preserve"> </w:t>
      </w:r>
      <w:r>
        <w:rPr>
          <w:w w:val="105"/>
          <w:sz w:val="13"/>
        </w:rPr>
        <w:t>libertades</w:t>
      </w:r>
      <w:r>
        <w:rPr>
          <w:spacing w:val="40"/>
          <w:w w:val="105"/>
          <w:sz w:val="13"/>
        </w:rPr>
        <w:t xml:space="preserve"> </w:t>
      </w:r>
      <w:r>
        <w:rPr>
          <w:w w:val="105"/>
          <w:sz w:val="13"/>
        </w:rPr>
        <w:t>fundamentales</w:t>
      </w:r>
      <w:r>
        <w:rPr>
          <w:spacing w:val="-7"/>
          <w:w w:val="105"/>
          <w:sz w:val="13"/>
        </w:rPr>
        <w:t xml:space="preserve"> </w:t>
      </w:r>
      <w:r>
        <w:rPr>
          <w:w w:val="105"/>
          <w:sz w:val="13"/>
        </w:rPr>
        <w:t>y</w:t>
      </w:r>
      <w:r>
        <w:rPr>
          <w:spacing w:val="-6"/>
          <w:w w:val="105"/>
          <w:sz w:val="13"/>
        </w:rPr>
        <w:t xml:space="preserve"> </w:t>
      </w:r>
      <w:r>
        <w:rPr>
          <w:w w:val="105"/>
          <w:sz w:val="13"/>
        </w:rPr>
        <w:t>la</w:t>
      </w:r>
      <w:r>
        <w:rPr>
          <w:spacing w:val="-7"/>
          <w:w w:val="105"/>
          <w:sz w:val="13"/>
        </w:rPr>
        <w:t xml:space="preserve"> </w:t>
      </w:r>
      <w:r>
        <w:rPr>
          <w:w w:val="105"/>
          <w:sz w:val="13"/>
        </w:rPr>
        <w:t>diversidad</w:t>
      </w:r>
      <w:r>
        <w:rPr>
          <w:spacing w:val="-6"/>
          <w:w w:val="105"/>
          <w:sz w:val="13"/>
        </w:rPr>
        <w:t xml:space="preserve"> </w:t>
      </w:r>
      <w:r>
        <w:rPr>
          <w:w w:val="105"/>
          <w:sz w:val="13"/>
        </w:rPr>
        <w:t>humana.</w:t>
      </w:r>
      <w:r>
        <w:rPr>
          <w:spacing w:val="-6"/>
          <w:w w:val="105"/>
          <w:sz w:val="13"/>
        </w:rPr>
        <w:t xml:space="preserve"> </w:t>
      </w:r>
      <w:r>
        <w:rPr>
          <w:w w:val="105"/>
          <w:sz w:val="13"/>
        </w:rPr>
        <w:t>Abordar</w:t>
      </w:r>
      <w:r>
        <w:rPr>
          <w:spacing w:val="-7"/>
          <w:w w:val="105"/>
          <w:sz w:val="13"/>
        </w:rPr>
        <w:t xml:space="preserve"> </w:t>
      </w:r>
      <w:r>
        <w:rPr>
          <w:w w:val="105"/>
          <w:sz w:val="13"/>
        </w:rPr>
        <w:t>los</w:t>
      </w:r>
      <w:r>
        <w:rPr>
          <w:spacing w:val="-7"/>
          <w:w w:val="105"/>
          <w:sz w:val="13"/>
        </w:rPr>
        <w:t xml:space="preserve"> </w:t>
      </w:r>
      <w:r>
        <w:rPr>
          <w:w w:val="105"/>
          <w:sz w:val="13"/>
        </w:rPr>
        <w:t>prejuicios,</w:t>
      </w:r>
      <w:r>
        <w:rPr>
          <w:spacing w:val="-6"/>
          <w:w w:val="105"/>
          <w:sz w:val="13"/>
        </w:rPr>
        <w:t xml:space="preserve"> </w:t>
      </w:r>
      <w:r>
        <w:rPr>
          <w:w w:val="105"/>
          <w:sz w:val="13"/>
        </w:rPr>
        <w:t>los</w:t>
      </w:r>
      <w:r>
        <w:rPr>
          <w:spacing w:val="-7"/>
          <w:w w:val="105"/>
          <w:sz w:val="13"/>
        </w:rPr>
        <w:t xml:space="preserve"> </w:t>
      </w:r>
      <w:r>
        <w:rPr>
          <w:w w:val="105"/>
          <w:sz w:val="13"/>
        </w:rPr>
        <w:t>estereotipos</w:t>
      </w:r>
      <w:r>
        <w:rPr>
          <w:spacing w:val="-7"/>
          <w:w w:val="105"/>
          <w:sz w:val="13"/>
        </w:rPr>
        <w:t xml:space="preserve"> </w:t>
      </w:r>
      <w:r>
        <w:rPr>
          <w:w w:val="105"/>
          <w:sz w:val="13"/>
        </w:rPr>
        <w:t>y</w:t>
      </w:r>
      <w:r>
        <w:rPr>
          <w:spacing w:val="-6"/>
          <w:w w:val="105"/>
          <w:sz w:val="13"/>
        </w:rPr>
        <w:t xml:space="preserve"> </w:t>
      </w:r>
      <w:r>
        <w:rPr>
          <w:w w:val="105"/>
          <w:sz w:val="13"/>
        </w:rPr>
        <w:t>el</w:t>
      </w:r>
      <w:r>
        <w:rPr>
          <w:spacing w:val="-7"/>
          <w:w w:val="105"/>
          <w:sz w:val="13"/>
        </w:rPr>
        <w:t xml:space="preserve"> </w:t>
      </w:r>
      <w:r>
        <w:rPr>
          <w:w w:val="105"/>
          <w:sz w:val="13"/>
        </w:rPr>
        <w:t>estigma</w:t>
      </w:r>
      <w:r>
        <w:rPr>
          <w:spacing w:val="-7"/>
          <w:w w:val="105"/>
          <w:sz w:val="13"/>
        </w:rPr>
        <w:t xml:space="preserve"> </w:t>
      </w:r>
      <w:r>
        <w:rPr>
          <w:w w:val="105"/>
          <w:sz w:val="13"/>
        </w:rPr>
        <w:t>requiere</w:t>
      </w:r>
      <w:r>
        <w:rPr>
          <w:spacing w:val="-6"/>
          <w:w w:val="105"/>
          <w:sz w:val="13"/>
        </w:rPr>
        <w:t xml:space="preserve"> </w:t>
      </w:r>
      <w:r>
        <w:rPr>
          <w:w w:val="105"/>
          <w:sz w:val="13"/>
        </w:rPr>
        <w:t>la</w:t>
      </w:r>
      <w:r>
        <w:rPr>
          <w:spacing w:val="-7"/>
          <w:w w:val="105"/>
          <w:sz w:val="13"/>
        </w:rPr>
        <w:t xml:space="preserve"> </w:t>
      </w:r>
      <w:r>
        <w:rPr>
          <w:w w:val="105"/>
          <w:sz w:val="13"/>
        </w:rPr>
        <w:t>adopción</w:t>
      </w:r>
      <w:r>
        <w:rPr>
          <w:spacing w:val="-6"/>
          <w:w w:val="105"/>
          <w:sz w:val="13"/>
        </w:rPr>
        <w:t xml:space="preserve"> </w:t>
      </w:r>
      <w:r>
        <w:rPr>
          <w:w w:val="105"/>
          <w:sz w:val="13"/>
        </w:rPr>
        <w:t>de</w:t>
      </w:r>
      <w:r>
        <w:rPr>
          <w:spacing w:val="-7"/>
          <w:w w:val="105"/>
          <w:sz w:val="13"/>
        </w:rPr>
        <w:t xml:space="preserve"> </w:t>
      </w:r>
      <w:r>
        <w:rPr>
          <w:w w:val="105"/>
          <w:sz w:val="13"/>
        </w:rPr>
        <w:t>una</w:t>
      </w:r>
      <w:r>
        <w:rPr>
          <w:spacing w:val="-7"/>
          <w:w w:val="105"/>
          <w:sz w:val="13"/>
        </w:rPr>
        <w:t xml:space="preserve"> </w:t>
      </w:r>
      <w:r>
        <w:rPr>
          <w:w w:val="105"/>
          <w:sz w:val="13"/>
        </w:rPr>
        <w:t>amplia</w:t>
      </w:r>
      <w:r>
        <w:rPr>
          <w:spacing w:val="-6"/>
          <w:w w:val="105"/>
          <w:sz w:val="13"/>
        </w:rPr>
        <w:t xml:space="preserve"> </w:t>
      </w:r>
      <w:r>
        <w:rPr>
          <w:w w:val="105"/>
          <w:sz w:val="13"/>
        </w:rPr>
        <w:t>gama</w:t>
      </w:r>
      <w:r>
        <w:rPr>
          <w:spacing w:val="-6"/>
          <w:w w:val="105"/>
          <w:sz w:val="13"/>
        </w:rPr>
        <w:t xml:space="preserve"> </w:t>
      </w:r>
      <w:r>
        <w:rPr>
          <w:w w:val="105"/>
          <w:sz w:val="13"/>
        </w:rPr>
        <w:t>de</w:t>
      </w:r>
      <w:r>
        <w:rPr>
          <w:spacing w:val="-7"/>
          <w:w w:val="105"/>
          <w:sz w:val="13"/>
        </w:rPr>
        <w:t xml:space="preserve"> </w:t>
      </w:r>
      <w:r>
        <w:rPr>
          <w:w w:val="105"/>
          <w:sz w:val="13"/>
        </w:rPr>
        <w:t>medidas</w:t>
      </w:r>
      <w:r>
        <w:rPr>
          <w:spacing w:val="-7"/>
          <w:w w:val="105"/>
          <w:sz w:val="13"/>
        </w:rPr>
        <w:t xml:space="preserve"> </w:t>
      </w:r>
      <w:r>
        <w:rPr>
          <w:w w:val="105"/>
          <w:sz w:val="13"/>
        </w:rPr>
        <w:t>que</w:t>
      </w:r>
      <w:r>
        <w:rPr>
          <w:spacing w:val="40"/>
          <w:w w:val="105"/>
          <w:sz w:val="13"/>
        </w:rPr>
        <w:t xml:space="preserve"> </w:t>
      </w:r>
      <w:r>
        <w:rPr>
          <w:w w:val="105"/>
          <w:sz w:val="13"/>
        </w:rPr>
        <w:t>abarquen</w:t>
      </w:r>
      <w:r>
        <w:rPr>
          <w:spacing w:val="-6"/>
          <w:w w:val="105"/>
          <w:sz w:val="13"/>
        </w:rPr>
        <w:t xml:space="preserve"> </w:t>
      </w:r>
      <w:r>
        <w:rPr>
          <w:w w:val="105"/>
          <w:sz w:val="13"/>
        </w:rPr>
        <w:t>múltiples</w:t>
      </w:r>
      <w:r>
        <w:rPr>
          <w:spacing w:val="-6"/>
          <w:w w:val="105"/>
          <w:sz w:val="13"/>
        </w:rPr>
        <w:t xml:space="preserve"> </w:t>
      </w:r>
      <w:r>
        <w:rPr>
          <w:w w:val="105"/>
          <w:sz w:val="13"/>
        </w:rPr>
        <w:t>áreas</w:t>
      </w:r>
      <w:r>
        <w:rPr>
          <w:spacing w:val="-6"/>
          <w:w w:val="105"/>
          <w:sz w:val="13"/>
        </w:rPr>
        <w:t xml:space="preserve"> </w:t>
      </w:r>
      <w:r>
        <w:rPr>
          <w:w w:val="105"/>
          <w:sz w:val="13"/>
        </w:rPr>
        <w:t>de</w:t>
      </w:r>
      <w:r>
        <w:rPr>
          <w:spacing w:val="-6"/>
          <w:w w:val="105"/>
          <w:sz w:val="13"/>
        </w:rPr>
        <w:t xml:space="preserve"> </w:t>
      </w:r>
      <w:r>
        <w:rPr>
          <w:w w:val="105"/>
          <w:sz w:val="13"/>
        </w:rPr>
        <w:t>la</w:t>
      </w:r>
      <w:r>
        <w:rPr>
          <w:spacing w:val="-6"/>
          <w:w w:val="105"/>
          <w:sz w:val="13"/>
        </w:rPr>
        <w:t xml:space="preserve"> </w:t>
      </w:r>
      <w:r>
        <w:rPr>
          <w:w w:val="105"/>
          <w:sz w:val="13"/>
        </w:rPr>
        <w:t>vida</w:t>
      </w:r>
      <w:r>
        <w:rPr>
          <w:spacing w:val="-6"/>
          <w:w w:val="105"/>
          <w:sz w:val="13"/>
        </w:rPr>
        <w:t xml:space="preserve"> </w:t>
      </w:r>
      <w:r>
        <w:rPr>
          <w:w w:val="105"/>
          <w:sz w:val="13"/>
        </w:rPr>
        <w:t>e</w:t>
      </w:r>
      <w:r>
        <w:rPr>
          <w:spacing w:val="-6"/>
          <w:w w:val="105"/>
          <w:sz w:val="13"/>
        </w:rPr>
        <w:t xml:space="preserve"> </w:t>
      </w:r>
      <w:r>
        <w:rPr>
          <w:w w:val="105"/>
          <w:sz w:val="13"/>
        </w:rPr>
        <w:t>impliquen</w:t>
      </w:r>
      <w:r>
        <w:rPr>
          <w:spacing w:val="-6"/>
          <w:w w:val="105"/>
          <w:sz w:val="13"/>
        </w:rPr>
        <w:t xml:space="preserve"> </w:t>
      </w:r>
      <w:r>
        <w:rPr>
          <w:w w:val="105"/>
          <w:sz w:val="13"/>
        </w:rPr>
        <w:t>obligaciones</w:t>
      </w:r>
      <w:r>
        <w:rPr>
          <w:spacing w:val="-6"/>
          <w:w w:val="105"/>
          <w:sz w:val="13"/>
        </w:rPr>
        <w:t xml:space="preserve"> </w:t>
      </w:r>
      <w:r>
        <w:rPr>
          <w:w w:val="105"/>
          <w:sz w:val="13"/>
        </w:rPr>
        <w:t>tanto</w:t>
      </w:r>
      <w:r>
        <w:rPr>
          <w:spacing w:val="-6"/>
          <w:w w:val="105"/>
          <w:sz w:val="13"/>
        </w:rPr>
        <w:t xml:space="preserve"> </w:t>
      </w:r>
      <w:r>
        <w:rPr>
          <w:w w:val="105"/>
          <w:sz w:val="13"/>
        </w:rPr>
        <w:t>para</w:t>
      </w:r>
      <w:r>
        <w:rPr>
          <w:spacing w:val="-6"/>
          <w:w w:val="105"/>
          <w:sz w:val="13"/>
        </w:rPr>
        <w:t xml:space="preserve"> </w:t>
      </w:r>
      <w:r>
        <w:rPr>
          <w:w w:val="105"/>
          <w:sz w:val="13"/>
        </w:rPr>
        <w:t>los</w:t>
      </w:r>
      <w:r>
        <w:rPr>
          <w:spacing w:val="-6"/>
          <w:w w:val="105"/>
          <w:sz w:val="13"/>
        </w:rPr>
        <w:t xml:space="preserve"> </w:t>
      </w:r>
      <w:r>
        <w:rPr>
          <w:w w:val="105"/>
          <w:sz w:val="13"/>
        </w:rPr>
        <w:t>actores</w:t>
      </w:r>
      <w:r>
        <w:rPr>
          <w:spacing w:val="-6"/>
          <w:w w:val="105"/>
          <w:sz w:val="13"/>
        </w:rPr>
        <w:t xml:space="preserve"> </w:t>
      </w:r>
      <w:r>
        <w:rPr>
          <w:w w:val="105"/>
          <w:sz w:val="13"/>
        </w:rPr>
        <w:t>públicos</w:t>
      </w:r>
      <w:r>
        <w:rPr>
          <w:spacing w:val="-6"/>
          <w:w w:val="105"/>
          <w:sz w:val="13"/>
        </w:rPr>
        <w:t xml:space="preserve"> </w:t>
      </w:r>
      <w:r>
        <w:rPr>
          <w:w w:val="105"/>
          <w:sz w:val="13"/>
        </w:rPr>
        <w:t>como</w:t>
      </w:r>
      <w:r>
        <w:rPr>
          <w:spacing w:val="-6"/>
          <w:w w:val="105"/>
          <w:sz w:val="13"/>
        </w:rPr>
        <w:t xml:space="preserve"> </w:t>
      </w:r>
      <w:r>
        <w:rPr>
          <w:w w:val="105"/>
          <w:sz w:val="13"/>
        </w:rPr>
        <w:t>para</w:t>
      </w:r>
      <w:r>
        <w:rPr>
          <w:spacing w:val="-6"/>
          <w:w w:val="105"/>
          <w:sz w:val="13"/>
        </w:rPr>
        <w:t xml:space="preserve"> </w:t>
      </w:r>
      <w:r>
        <w:rPr>
          <w:w w:val="105"/>
          <w:sz w:val="13"/>
        </w:rPr>
        <w:t>los</w:t>
      </w:r>
      <w:r>
        <w:rPr>
          <w:spacing w:val="-6"/>
          <w:w w:val="105"/>
          <w:sz w:val="13"/>
        </w:rPr>
        <w:t xml:space="preserve"> </w:t>
      </w:r>
      <w:r>
        <w:rPr>
          <w:w w:val="105"/>
          <w:sz w:val="13"/>
        </w:rPr>
        <w:t>privados.</w:t>
      </w:r>
      <w:r>
        <w:rPr>
          <w:spacing w:val="-6"/>
          <w:w w:val="105"/>
          <w:sz w:val="13"/>
        </w:rPr>
        <w:t xml:space="preserve"> </w:t>
      </w:r>
      <w:r>
        <w:rPr>
          <w:w w:val="105"/>
          <w:sz w:val="13"/>
        </w:rPr>
        <w:t>Si</w:t>
      </w:r>
      <w:r>
        <w:rPr>
          <w:spacing w:val="-6"/>
          <w:w w:val="105"/>
          <w:sz w:val="13"/>
        </w:rPr>
        <w:t xml:space="preserve"> </w:t>
      </w:r>
      <w:r>
        <w:rPr>
          <w:w w:val="105"/>
          <w:sz w:val="13"/>
        </w:rPr>
        <w:t>bien</w:t>
      </w:r>
      <w:r>
        <w:rPr>
          <w:spacing w:val="-6"/>
          <w:w w:val="105"/>
          <w:sz w:val="13"/>
        </w:rPr>
        <w:t xml:space="preserve"> </w:t>
      </w:r>
      <w:r>
        <w:rPr>
          <w:w w:val="105"/>
          <w:sz w:val="13"/>
        </w:rPr>
        <w:t>los</w:t>
      </w:r>
      <w:r>
        <w:rPr>
          <w:spacing w:val="-6"/>
          <w:w w:val="105"/>
          <w:sz w:val="13"/>
        </w:rPr>
        <w:t xml:space="preserve"> </w:t>
      </w:r>
      <w:r>
        <w:rPr>
          <w:w w:val="105"/>
          <w:sz w:val="13"/>
        </w:rPr>
        <w:t>Estados</w:t>
      </w:r>
      <w:r>
        <w:rPr>
          <w:spacing w:val="-6"/>
          <w:w w:val="105"/>
          <w:sz w:val="13"/>
        </w:rPr>
        <w:t xml:space="preserve"> </w:t>
      </w:r>
      <w:r>
        <w:rPr>
          <w:w w:val="105"/>
          <w:sz w:val="13"/>
        </w:rPr>
        <w:t>poseen</w:t>
      </w:r>
      <w:r>
        <w:rPr>
          <w:spacing w:val="-6"/>
          <w:w w:val="105"/>
          <w:sz w:val="13"/>
        </w:rPr>
        <w:t xml:space="preserve"> </w:t>
      </w:r>
      <w:r>
        <w:rPr>
          <w:w w:val="105"/>
          <w:sz w:val="13"/>
        </w:rPr>
        <w:t>cierto</w:t>
      </w:r>
      <w:r>
        <w:rPr>
          <w:spacing w:val="40"/>
          <w:w w:val="105"/>
          <w:sz w:val="13"/>
        </w:rPr>
        <w:t xml:space="preserve"> </w:t>
      </w:r>
      <w:r>
        <w:rPr>
          <w:w w:val="105"/>
          <w:sz w:val="13"/>
        </w:rPr>
        <w:t>grado</w:t>
      </w:r>
      <w:r>
        <w:rPr>
          <w:spacing w:val="-9"/>
          <w:w w:val="105"/>
          <w:sz w:val="13"/>
        </w:rPr>
        <w:t xml:space="preserve"> </w:t>
      </w:r>
      <w:r>
        <w:rPr>
          <w:w w:val="105"/>
          <w:sz w:val="13"/>
        </w:rPr>
        <w:t>de</w:t>
      </w:r>
      <w:r>
        <w:rPr>
          <w:spacing w:val="-10"/>
          <w:w w:val="105"/>
          <w:sz w:val="13"/>
        </w:rPr>
        <w:t xml:space="preserve"> </w:t>
      </w:r>
      <w:r>
        <w:rPr>
          <w:w w:val="105"/>
          <w:sz w:val="13"/>
        </w:rPr>
        <w:t>discrecionalidad</w:t>
      </w:r>
      <w:r>
        <w:rPr>
          <w:spacing w:val="-8"/>
          <w:w w:val="105"/>
          <w:sz w:val="13"/>
        </w:rPr>
        <w:t xml:space="preserve"> </w:t>
      </w:r>
      <w:r>
        <w:rPr>
          <w:w w:val="105"/>
          <w:sz w:val="13"/>
        </w:rPr>
        <w:t>en</w:t>
      </w:r>
      <w:r>
        <w:rPr>
          <w:spacing w:val="-10"/>
          <w:w w:val="105"/>
          <w:sz w:val="13"/>
        </w:rPr>
        <w:t xml:space="preserve"> </w:t>
      </w:r>
      <w:r>
        <w:rPr>
          <w:w w:val="105"/>
          <w:sz w:val="13"/>
        </w:rPr>
        <w:t>el</w:t>
      </w:r>
      <w:r>
        <w:rPr>
          <w:spacing w:val="-9"/>
          <w:w w:val="105"/>
          <w:sz w:val="13"/>
        </w:rPr>
        <w:t xml:space="preserve"> </w:t>
      </w:r>
      <w:r>
        <w:rPr>
          <w:w w:val="105"/>
          <w:sz w:val="13"/>
        </w:rPr>
        <w:t>diseño</w:t>
      </w:r>
      <w:r>
        <w:rPr>
          <w:spacing w:val="-9"/>
          <w:w w:val="105"/>
          <w:sz w:val="13"/>
        </w:rPr>
        <w:t xml:space="preserve"> </w:t>
      </w:r>
      <w:r>
        <w:rPr>
          <w:w w:val="105"/>
          <w:sz w:val="13"/>
        </w:rPr>
        <w:t>de</w:t>
      </w:r>
      <w:r>
        <w:rPr>
          <w:spacing w:val="-9"/>
          <w:w w:val="105"/>
          <w:sz w:val="13"/>
        </w:rPr>
        <w:t xml:space="preserve"> </w:t>
      </w:r>
      <w:r>
        <w:rPr>
          <w:w w:val="105"/>
          <w:sz w:val="13"/>
        </w:rPr>
        <w:t>estas</w:t>
      </w:r>
      <w:r>
        <w:rPr>
          <w:spacing w:val="-10"/>
          <w:w w:val="105"/>
          <w:sz w:val="13"/>
        </w:rPr>
        <w:t xml:space="preserve"> </w:t>
      </w:r>
      <w:r>
        <w:rPr>
          <w:w w:val="105"/>
          <w:sz w:val="13"/>
        </w:rPr>
        <w:t>medidas,</w:t>
      </w:r>
      <w:r>
        <w:rPr>
          <w:spacing w:val="-8"/>
          <w:w w:val="105"/>
          <w:sz w:val="13"/>
        </w:rPr>
        <w:t xml:space="preserve"> </w:t>
      </w:r>
      <w:r>
        <w:rPr>
          <w:w w:val="105"/>
          <w:sz w:val="13"/>
        </w:rPr>
        <w:t>los</w:t>
      </w:r>
      <w:r>
        <w:rPr>
          <w:spacing w:val="-10"/>
          <w:w w:val="105"/>
          <w:sz w:val="13"/>
        </w:rPr>
        <w:t xml:space="preserve"> </w:t>
      </w:r>
      <w:r>
        <w:rPr>
          <w:w w:val="105"/>
          <w:sz w:val="13"/>
        </w:rPr>
        <w:t>órganos</w:t>
      </w:r>
      <w:r>
        <w:rPr>
          <w:spacing w:val="-9"/>
          <w:w w:val="105"/>
          <w:sz w:val="13"/>
        </w:rPr>
        <w:t xml:space="preserve"> </w:t>
      </w:r>
      <w:r>
        <w:rPr>
          <w:w w:val="105"/>
          <w:sz w:val="13"/>
        </w:rPr>
        <w:t>creados</w:t>
      </w:r>
      <w:r>
        <w:rPr>
          <w:spacing w:val="-10"/>
          <w:w w:val="105"/>
          <w:sz w:val="13"/>
        </w:rPr>
        <w:t xml:space="preserve"> </w:t>
      </w:r>
      <w:r>
        <w:rPr>
          <w:w w:val="105"/>
          <w:sz w:val="13"/>
        </w:rPr>
        <w:t>en</w:t>
      </w:r>
      <w:r>
        <w:rPr>
          <w:spacing w:val="-9"/>
          <w:w w:val="105"/>
          <w:sz w:val="13"/>
        </w:rPr>
        <w:t xml:space="preserve"> </w:t>
      </w:r>
      <w:r>
        <w:rPr>
          <w:w w:val="105"/>
          <w:sz w:val="13"/>
        </w:rPr>
        <w:t>virtud</w:t>
      </w:r>
      <w:r>
        <w:rPr>
          <w:spacing w:val="-10"/>
          <w:w w:val="105"/>
          <w:sz w:val="13"/>
        </w:rPr>
        <w:t xml:space="preserve"> </w:t>
      </w:r>
      <w:r>
        <w:rPr>
          <w:w w:val="105"/>
          <w:sz w:val="13"/>
        </w:rPr>
        <w:t>de</w:t>
      </w:r>
      <w:r>
        <w:rPr>
          <w:spacing w:val="-9"/>
          <w:w w:val="105"/>
          <w:sz w:val="13"/>
        </w:rPr>
        <w:t xml:space="preserve"> </w:t>
      </w:r>
      <w:r>
        <w:rPr>
          <w:w w:val="105"/>
          <w:sz w:val="13"/>
        </w:rPr>
        <w:t>tratados</w:t>
      </w:r>
      <w:r>
        <w:rPr>
          <w:spacing w:val="-10"/>
          <w:w w:val="105"/>
          <w:sz w:val="13"/>
        </w:rPr>
        <w:t xml:space="preserve"> </w:t>
      </w:r>
      <w:r>
        <w:rPr>
          <w:w w:val="105"/>
          <w:sz w:val="13"/>
        </w:rPr>
        <w:t>han</w:t>
      </w:r>
      <w:r>
        <w:rPr>
          <w:spacing w:val="-9"/>
          <w:w w:val="105"/>
          <w:sz w:val="13"/>
        </w:rPr>
        <w:t xml:space="preserve"> </w:t>
      </w:r>
      <w:r>
        <w:rPr>
          <w:w w:val="105"/>
          <w:sz w:val="13"/>
        </w:rPr>
        <w:t>identificado</w:t>
      </w:r>
      <w:r>
        <w:rPr>
          <w:spacing w:val="-9"/>
          <w:w w:val="105"/>
          <w:sz w:val="13"/>
        </w:rPr>
        <w:t xml:space="preserve"> </w:t>
      </w:r>
      <w:r>
        <w:rPr>
          <w:w w:val="105"/>
          <w:sz w:val="13"/>
        </w:rPr>
        <w:t>algunas</w:t>
      </w:r>
      <w:r>
        <w:rPr>
          <w:spacing w:val="-10"/>
          <w:w w:val="105"/>
          <w:sz w:val="13"/>
        </w:rPr>
        <w:t xml:space="preserve"> </w:t>
      </w:r>
      <w:r>
        <w:rPr>
          <w:w w:val="105"/>
          <w:sz w:val="13"/>
        </w:rPr>
        <w:t>acciones</w:t>
      </w:r>
      <w:r>
        <w:rPr>
          <w:spacing w:val="-9"/>
          <w:w w:val="105"/>
          <w:sz w:val="13"/>
        </w:rPr>
        <w:t xml:space="preserve"> </w:t>
      </w:r>
      <w:r>
        <w:rPr>
          <w:w w:val="105"/>
          <w:sz w:val="13"/>
        </w:rPr>
        <w:t>específicas,</w:t>
      </w:r>
      <w:r>
        <w:rPr>
          <w:spacing w:val="-9"/>
          <w:w w:val="105"/>
          <w:sz w:val="13"/>
        </w:rPr>
        <w:t xml:space="preserve"> </w:t>
      </w:r>
      <w:r>
        <w:rPr>
          <w:w w:val="105"/>
          <w:sz w:val="13"/>
        </w:rPr>
        <w:t>incluidas</w:t>
      </w:r>
      <w:r>
        <w:rPr>
          <w:spacing w:val="40"/>
          <w:w w:val="105"/>
          <w:sz w:val="13"/>
        </w:rPr>
        <w:t xml:space="preserve"> </w:t>
      </w:r>
      <w:r>
        <w:rPr>
          <w:w w:val="105"/>
          <w:sz w:val="13"/>
        </w:rPr>
        <w:t>la</w:t>
      </w:r>
      <w:r>
        <w:rPr>
          <w:spacing w:val="-9"/>
          <w:w w:val="105"/>
          <w:sz w:val="13"/>
        </w:rPr>
        <w:t xml:space="preserve"> </w:t>
      </w:r>
      <w:r>
        <w:rPr>
          <w:w w:val="105"/>
          <w:sz w:val="13"/>
        </w:rPr>
        <w:t>educación</w:t>
      </w:r>
      <w:r>
        <w:rPr>
          <w:spacing w:val="-8"/>
          <w:w w:val="105"/>
          <w:sz w:val="13"/>
        </w:rPr>
        <w:t xml:space="preserve"> </w:t>
      </w:r>
      <w:r>
        <w:rPr>
          <w:w w:val="105"/>
          <w:sz w:val="13"/>
        </w:rPr>
        <w:t>pública,</w:t>
      </w:r>
      <w:r>
        <w:rPr>
          <w:spacing w:val="-8"/>
          <w:w w:val="105"/>
          <w:sz w:val="13"/>
        </w:rPr>
        <w:t xml:space="preserve"> </w:t>
      </w:r>
      <w:r>
        <w:rPr>
          <w:w w:val="105"/>
          <w:sz w:val="13"/>
        </w:rPr>
        <w:t>la</w:t>
      </w:r>
      <w:r>
        <w:rPr>
          <w:spacing w:val="-9"/>
          <w:w w:val="105"/>
          <w:sz w:val="13"/>
        </w:rPr>
        <w:t xml:space="preserve"> </w:t>
      </w:r>
      <w:r>
        <w:rPr>
          <w:w w:val="105"/>
          <w:sz w:val="13"/>
        </w:rPr>
        <w:t>sensibilización</w:t>
      </w:r>
      <w:r>
        <w:rPr>
          <w:spacing w:val="-8"/>
          <w:w w:val="105"/>
          <w:sz w:val="13"/>
        </w:rPr>
        <w:t xml:space="preserve"> </w:t>
      </w:r>
      <w:r>
        <w:rPr>
          <w:w w:val="105"/>
          <w:sz w:val="13"/>
        </w:rPr>
        <w:t>y</w:t>
      </w:r>
      <w:r>
        <w:rPr>
          <w:spacing w:val="-8"/>
          <w:w w:val="105"/>
          <w:sz w:val="13"/>
        </w:rPr>
        <w:t xml:space="preserve"> </w:t>
      </w:r>
      <w:r>
        <w:rPr>
          <w:w w:val="105"/>
          <w:sz w:val="13"/>
        </w:rPr>
        <w:t>la</w:t>
      </w:r>
      <w:r>
        <w:rPr>
          <w:spacing w:val="-9"/>
          <w:w w:val="105"/>
          <w:sz w:val="13"/>
        </w:rPr>
        <w:t xml:space="preserve"> </w:t>
      </w:r>
      <w:r>
        <w:rPr>
          <w:w w:val="105"/>
          <w:sz w:val="13"/>
        </w:rPr>
        <w:t>capacitación,</w:t>
      </w:r>
      <w:r>
        <w:rPr>
          <w:spacing w:val="-8"/>
          <w:w w:val="105"/>
          <w:sz w:val="13"/>
        </w:rPr>
        <w:t xml:space="preserve"> </w:t>
      </w:r>
      <w:r>
        <w:rPr>
          <w:w w:val="105"/>
          <w:sz w:val="13"/>
        </w:rPr>
        <w:t>que</w:t>
      </w:r>
      <w:r>
        <w:rPr>
          <w:spacing w:val="-9"/>
          <w:w w:val="105"/>
          <w:sz w:val="13"/>
        </w:rPr>
        <w:t xml:space="preserve"> </w:t>
      </w:r>
      <w:r>
        <w:rPr>
          <w:w w:val="105"/>
          <w:sz w:val="13"/>
        </w:rPr>
        <w:t>deberían</w:t>
      </w:r>
      <w:r>
        <w:rPr>
          <w:spacing w:val="-9"/>
          <w:w w:val="105"/>
          <w:sz w:val="13"/>
        </w:rPr>
        <w:t xml:space="preserve"> </w:t>
      </w:r>
      <w:r>
        <w:rPr>
          <w:w w:val="105"/>
          <w:sz w:val="13"/>
        </w:rPr>
        <w:t>formar</w:t>
      </w:r>
      <w:r>
        <w:rPr>
          <w:spacing w:val="-9"/>
          <w:w w:val="105"/>
          <w:sz w:val="13"/>
        </w:rPr>
        <w:t xml:space="preserve"> </w:t>
      </w:r>
      <w:r>
        <w:rPr>
          <w:w w:val="105"/>
          <w:sz w:val="13"/>
        </w:rPr>
        <w:t>parte</w:t>
      </w:r>
      <w:r>
        <w:rPr>
          <w:spacing w:val="-9"/>
          <w:w w:val="105"/>
          <w:sz w:val="13"/>
        </w:rPr>
        <w:t xml:space="preserve"> </w:t>
      </w:r>
      <w:r>
        <w:rPr>
          <w:w w:val="105"/>
          <w:sz w:val="13"/>
        </w:rPr>
        <w:t>fundamental</w:t>
      </w:r>
      <w:r>
        <w:rPr>
          <w:spacing w:val="-9"/>
          <w:w w:val="105"/>
          <w:sz w:val="13"/>
        </w:rPr>
        <w:t xml:space="preserve"> </w:t>
      </w:r>
      <w:r>
        <w:rPr>
          <w:w w:val="105"/>
          <w:sz w:val="13"/>
        </w:rPr>
        <w:t>de</w:t>
      </w:r>
      <w:r>
        <w:rPr>
          <w:spacing w:val="-9"/>
          <w:w w:val="105"/>
          <w:sz w:val="13"/>
        </w:rPr>
        <w:t xml:space="preserve"> </w:t>
      </w:r>
      <w:r>
        <w:rPr>
          <w:w w:val="105"/>
          <w:sz w:val="13"/>
        </w:rPr>
        <w:t>cualquier</w:t>
      </w:r>
      <w:r>
        <w:rPr>
          <w:spacing w:val="-9"/>
          <w:w w:val="105"/>
          <w:sz w:val="13"/>
        </w:rPr>
        <w:t xml:space="preserve"> </w:t>
      </w:r>
      <w:r>
        <w:rPr>
          <w:w w:val="105"/>
          <w:sz w:val="13"/>
        </w:rPr>
        <w:t>programa</w:t>
      </w:r>
      <w:r>
        <w:rPr>
          <w:spacing w:val="-8"/>
          <w:w w:val="105"/>
          <w:sz w:val="13"/>
        </w:rPr>
        <w:t xml:space="preserve"> </w:t>
      </w:r>
      <w:r>
        <w:rPr>
          <w:w w:val="105"/>
          <w:sz w:val="13"/>
        </w:rPr>
        <w:t>de</w:t>
      </w:r>
      <w:r>
        <w:rPr>
          <w:spacing w:val="-9"/>
          <w:w w:val="105"/>
          <w:sz w:val="13"/>
        </w:rPr>
        <w:t xml:space="preserve"> </w:t>
      </w:r>
      <w:r>
        <w:rPr>
          <w:w w:val="105"/>
          <w:sz w:val="13"/>
        </w:rPr>
        <w:t>acción.</w:t>
      </w:r>
      <w:r>
        <w:rPr>
          <w:spacing w:val="-8"/>
          <w:w w:val="105"/>
          <w:sz w:val="13"/>
        </w:rPr>
        <w:t xml:space="preserve"> </w:t>
      </w:r>
      <w:r>
        <w:rPr>
          <w:w w:val="105"/>
          <w:sz w:val="13"/>
        </w:rPr>
        <w:t>Dicho</w:t>
      </w:r>
      <w:r>
        <w:rPr>
          <w:spacing w:val="-8"/>
          <w:w w:val="105"/>
          <w:sz w:val="13"/>
        </w:rPr>
        <w:t xml:space="preserve"> </w:t>
      </w:r>
      <w:r>
        <w:rPr>
          <w:w w:val="105"/>
          <w:sz w:val="13"/>
        </w:rPr>
        <w:t>esto,</w:t>
      </w:r>
      <w:r>
        <w:rPr>
          <w:spacing w:val="-8"/>
          <w:w w:val="105"/>
          <w:sz w:val="13"/>
        </w:rPr>
        <w:t xml:space="preserve"> </w:t>
      </w:r>
      <w:r>
        <w:rPr>
          <w:w w:val="105"/>
          <w:sz w:val="13"/>
        </w:rPr>
        <w:t>la</w:t>
      </w:r>
      <w:r>
        <w:rPr>
          <w:spacing w:val="-9"/>
          <w:w w:val="105"/>
          <w:sz w:val="13"/>
        </w:rPr>
        <w:t xml:space="preserve"> </w:t>
      </w:r>
      <w:r>
        <w:rPr>
          <w:w w:val="105"/>
          <w:sz w:val="13"/>
        </w:rPr>
        <w:t>atención</w:t>
      </w:r>
      <w:r>
        <w:rPr>
          <w:spacing w:val="40"/>
          <w:w w:val="105"/>
          <w:sz w:val="13"/>
        </w:rPr>
        <w:t xml:space="preserve"> </w:t>
      </w:r>
      <w:r>
        <w:rPr>
          <w:w w:val="105"/>
          <w:sz w:val="13"/>
        </w:rPr>
        <w:t>debería</w:t>
      </w:r>
      <w:r>
        <w:rPr>
          <w:spacing w:val="-5"/>
          <w:w w:val="105"/>
          <w:sz w:val="13"/>
        </w:rPr>
        <w:t xml:space="preserve"> </w:t>
      </w:r>
      <w:r>
        <w:rPr>
          <w:w w:val="105"/>
          <w:sz w:val="13"/>
        </w:rPr>
        <w:t>centrarse</w:t>
      </w:r>
      <w:r>
        <w:rPr>
          <w:spacing w:val="-5"/>
          <w:w w:val="105"/>
          <w:sz w:val="13"/>
        </w:rPr>
        <w:t xml:space="preserve"> </w:t>
      </w:r>
      <w:r>
        <w:rPr>
          <w:w w:val="105"/>
          <w:sz w:val="13"/>
        </w:rPr>
        <w:t>en</w:t>
      </w:r>
      <w:r>
        <w:rPr>
          <w:spacing w:val="-5"/>
          <w:w w:val="105"/>
          <w:sz w:val="13"/>
        </w:rPr>
        <w:t xml:space="preserve"> </w:t>
      </w:r>
      <w:r>
        <w:rPr>
          <w:w w:val="105"/>
          <w:sz w:val="13"/>
        </w:rPr>
        <w:t>la</w:t>
      </w:r>
      <w:r>
        <w:rPr>
          <w:spacing w:val="-5"/>
          <w:w w:val="105"/>
          <w:sz w:val="13"/>
        </w:rPr>
        <w:t xml:space="preserve"> </w:t>
      </w:r>
      <w:r>
        <w:rPr>
          <w:w w:val="105"/>
          <w:sz w:val="13"/>
        </w:rPr>
        <w:t>eficacia</w:t>
      </w:r>
      <w:r>
        <w:rPr>
          <w:spacing w:val="-5"/>
          <w:w w:val="105"/>
          <w:sz w:val="13"/>
        </w:rPr>
        <w:t xml:space="preserve"> </w:t>
      </w:r>
      <w:r>
        <w:rPr>
          <w:w w:val="105"/>
          <w:sz w:val="13"/>
        </w:rPr>
        <w:t>y</w:t>
      </w:r>
      <w:r>
        <w:rPr>
          <w:spacing w:val="-4"/>
          <w:w w:val="105"/>
          <w:sz w:val="13"/>
        </w:rPr>
        <w:t xml:space="preserve"> </w:t>
      </w:r>
      <w:r>
        <w:rPr>
          <w:w w:val="105"/>
          <w:sz w:val="13"/>
        </w:rPr>
        <w:t>los</w:t>
      </w:r>
      <w:r>
        <w:rPr>
          <w:spacing w:val="-5"/>
          <w:w w:val="105"/>
          <w:sz w:val="13"/>
        </w:rPr>
        <w:t xml:space="preserve"> </w:t>
      </w:r>
      <w:r>
        <w:rPr>
          <w:w w:val="105"/>
          <w:sz w:val="13"/>
        </w:rPr>
        <w:t>resultados,</w:t>
      </w:r>
      <w:r>
        <w:rPr>
          <w:spacing w:val="-4"/>
          <w:w w:val="105"/>
          <w:sz w:val="13"/>
        </w:rPr>
        <w:t xml:space="preserve"> </w:t>
      </w:r>
      <w:r>
        <w:rPr>
          <w:w w:val="105"/>
          <w:sz w:val="13"/>
        </w:rPr>
        <w:t>más</w:t>
      </w:r>
      <w:r>
        <w:rPr>
          <w:spacing w:val="-5"/>
          <w:w w:val="105"/>
          <w:sz w:val="13"/>
        </w:rPr>
        <w:t xml:space="preserve"> </w:t>
      </w:r>
      <w:r>
        <w:rPr>
          <w:w w:val="105"/>
          <w:sz w:val="13"/>
        </w:rPr>
        <w:t>que</w:t>
      </w:r>
      <w:r>
        <w:rPr>
          <w:spacing w:val="-5"/>
          <w:w w:val="105"/>
          <w:sz w:val="13"/>
        </w:rPr>
        <w:t xml:space="preserve"> </w:t>
      </w:r>
      <w:r>
        <w:rPr>
          <w:w w:val="105"/>
          <w:sz w:val="13"/>
        </w:rPr>
        <w:t>en</w:t>
      </w:r>
      <w:r>
        <w:rPr>
          <w:spacing w:val="-5"/>
          <w:w w:val="105"/>
          <w:sz w:val="13"/>
        </w:rPr>
        <w:t xml:space="preserve"> </w:t>
      </w:r>
      <w:r>
        <w:rPr>
          <w:w w:val="105"/>
          <w:sz w:val="13"/>
        </w:rPr>
        <w:t>la</w:t>
      </w:r>
      <w:r>
        <w:rPr>
          <w:spacing w:val="-5"/>
          <w:w w:val="105"/>
          <w:sz w:val="13"/>
        </w:rPr>
        <w:t xml:space="preserve"> </w:t>
      </w:r>
      <w:r>
        <w:rPr>
          <w:w w:val="105"/>
          <w:sz w:val="13"/>
        </w:rPr>
        <w:t>naturaleza</w:t>
      </w:r>
      <w:r>
        <w:rPr>
          <w:spacing w:val="-5"/>
          <w:w w:val="105"/>
          <w:sz w:val="13"/>
        </w:rPr>
        <w:t xml:space="preserve"> </w:t>
      </w:r>
      <w:r>
        <w:rPr>
          <w:w w:val="105"/>
          <w:sz w:val="13"/>
        </w:rPr>
        <w:t>de</w:t>
      </w:r>
      <w:r>
        <w:rPr>
          <w:spacing w:val="-5"/>
          <w:w w:val="105"/>
          <w:sz w:val="13"/>
        </w:rPr>
        <w:t xml:space="preserve"> </w:t>
      </w:r>
      <w:r>
        <w:rPr>
          <w:w w:val="105"/>
          <w:sz w:val="13"/>
        </w:rPr>
        <w:t>las</w:t>
      </w:r>
      <w:r>
        <w:rPr>
          <w:spacing w:val="-5"/>
          <w:w w:val="105"/>
          <w:sz w:val="13"/>
        </w:rPr>
        <w:t xml:space="preserve"> </w:t>
      </w:r>
      <w:r>
        <w:rPr>
          <w:w w:val="105"/>
          <w:sz w:val="13"/>
        </w:rPr>
        <w:t>medidas</w:t>
      </w:r>
      <w:r>
        <w:rPr>
          <w:spacing w:val="-5"/>
          <w:w w:val="105"/>
          <w:sz w:val="13"/>
        </w:rPr>
        <w:t xml:space="preserve"> </w:t>
      </w:r>
      <w:r>
        <w:rPr>
          <w:w w:val="105"/>
          <w:sz w:val="13"/>
        </w:rPr>
        <w:t>adoptadas.</w:t>
      </w:r>
    </w:p>
    <w:p w14:paraId="379F26B8" w14:textId="77777777" w:rsidR="0014798C" w:rsidRDefault="0014798C">
      <w:pPr>
        <w:pStyle w:val="Textoindependiente"/>
        <w:rPr>
          <w:sz w:val="12"/>
        </w:rPr>
      </w:pPr>
    </w:p>
    <w:p w14:paraId="6F9D294C" w14:textId="77777777" w:rsidR="0014798C" w:rsidRDefault="0014798C">
      <w:pPr>
        <w:pStyle w:val="Textoindependiente"/>
        <w:rPr>
          <w:sz w:val="12"/>
        </w:rPr>
      </w:pPr>
    </w:p>
    <w:p w14:paraId="7B463B3F" w14:textId="77777777" w:rsidR="0014798C" w:rsidRDefault="0014798C">
      <w:pPr>
        <w:pStyle w:val="Textoindependiente"/>
        <w:rPr>
          <w:sz w:val="12"/>
        </w:rPr>
      </w:pPr>
    </w:p>
    <w:p w14:paraId="505BDCCB" w14:textId="77777777" w:rsidR="0014798C" w:rsidRDefault="0014798C">
      <w:pPr>
        <w:pStyle w:val="Textoindependiente"/>
        <w:rPr>
          <w:sz w:val="12"/>
        </w:rPr>
      </w:pPr>
    </w:p>
    <w:p w14:paraId="6F3229CA" w14:textId="77777777" w:rsidR="0014798C" w:rsidRDefault="0014798C">
      <w:pPr>
        <w:pStyle w:val="Textoindependiente"/>
        <w:rPr>
          <w:sz w:val="12"/>
        </w:rPr>
      </w:pPr>
    </w:p>
    <w:p w14:paraId="727A269C" w14:textId="77777777" w:rsidR="0014798C" w:rsidRDefault="0014798C">
      <w:pPr>
        <w:pStyle w:val="Textoindependiente"/>
        <w:rPr>
          <w:sz w:val="12"/>
        </w:rPr>
      </w:pPr>
    </w:p>
    <w:p w14:paraId="5328352B" w14:textId="77777777" w:rsidR="0014798C" w:rsidRDefault="0014798C">
      <w:pPr>
        <w:pStyle w:val="Textoindependiente"/>
        <w:rPr>
          <w:sz w:val="12"/>
        </w:rPr>
      </w:pPr>
    </w:p>
    <w:p w14:paraId="488C8E42" w14:textId="77777777" w:rsidR="0014798C" w:rsidRDefault="0014798C">
      <w:pPr>
        <w:pStyle w:val="Textoindependiente"/>
        <w:rPr>
          <w:sz w:val="12"/>
        </w:rPr>
      </w:pPr>
    </w:p>
    <w:p w14:paraId="533A596F" w14:textId="77777777" w:rsidR="0014798C" w:rsidRDefault="0014798C">
      <w:pPr>
        <w:pStyle w:val="Textoindependiente"/>
        <w:rPr>
          <w:sz w:val="12"/>
        </w:rPr>
      </w:pPr>
    </w:p>
    <w:p w14:paraId="0085E0E7" w14:textId="77777777" w:rsidR="0014798C" w:rsidRDefault="0014798C">
      <w:pPr>
        <w:pStyle w:val="Textoindependiente"/>
        <w:rPr>
          <w:sz w:val="12"/>
        </w:rPr>
      </w:pPr>
    </w:p>
    <w:p w14:paraId="2B11AEC6" w14:textId="77777777" w:rsidR="0014798C" w:rsidRDefault="0014798C">
      <w:pPr>
        <w:pStyle w:val="Textoindependiente"/>
        <w:spacing w:before="69"/>
        <w:rPr>
          <w:sz w:val="12"/>
        </w:rPr>
      </w:pPr>
    </w:p>
    <w:p w14:paraId="606AA5E4" w14:textId="77777777" w:rsidR="0014798C" w:rsidRDefault="004E1F0B">
      <w:pPr>
        <w:ind w:left="1111"/>
        <w:rPr>
          <w:sz w:val="12"/>
        </w:rPr>
      </w:pPr>
      <w:r>
        <w:rPr>
          <w:spacing w:val="-2"/>
          <w:position w:val="4"/>
          <w:sz w:val="8"/>
        </w:rPr>
        <w:t>1240</w:t>
      </w:r>
      <w:r>
        <w:rPr>
          <w:spacing w:val="48"/>
          <w:position w:val="4"/>
          <w:sz w:val="8"/>
        </w:rPr>
        <w:t xml:space="preserve"> </w:t>
      </w:r>
      <w:r>
        <w:rPr>
          <w:spacing w:val="-2"/>
          <w:sz w:val="12"/>
        </w:rPr>
        <w:t>Véase,</w:t>
      </w:r>
      <w:r>
        <w:rPr>
          <w:sz w:val="12"/>
        </w:rPr>
        <w:t xml:space="preserve"> </w:t>
      </w:r>
      <w:r>
        <w:rPr>
          <w:spacing w:val="-2"/>
          <w:sz w:val="12"/>
        </w:rPr>
        <w:t>por</w:t>
      </w:r>
      <w:r>
        <w:rPr>
          <w:sz w:val="12"/>
        </w:rPr>
        <w:t xml:space="preserve"> </w:t>
      </w:r>
      <w:r>
        <w:rPr>
          <w:spacing w:val="-2"/>
          <w:sz w:val="12"/>
        </w:rPr>
        <w:t>ejemplo,</w:t>
      </w:r>
      <w:r>
        <w:rPr>
          <w:sz w:val="12"/>
        </w:rPr>
        <w:t xml:space="preserve"> </w:t>
      </w:r>
      <w:r>
        <w:rPr>
          <w:spacing w:val="-2"/>
          <w:sz w:val="12"/>
        </w:rPr>
        <w:t>Comité</w:t>
      </w:r>
      <w:r>
        <w:rPr>
          <w:sz w:val="12"/>
        </w:rPr>
        <w:t xml:space="preserve"> </w:t>
      </w:r>
      <w:r>
        <w:rPr>
          <w:spacing w:val="-2"/>
          <w:sz w:val="12"/>
        </w:rPr>
        <w:t>para</w:t>
      </w:r>
      <w:r>
        <w:rPr>
          <w:sz w:val="12"/>
        </w:rPr>
        <w:t xml:space="preserve"> </w:t>
      </w:r>
      <w:r>
        <w:rPr>
          <w:spacing w:val="-2"/>
          <w:sz w:val="12"/>
        </w:rPr>
        <w:t>la</w:t>
      </w:r>
      <w:r>
        <w:rPr>
          <w:sz w:val="12"/>
        </w:rPr>
        <w:t xml:space="preserve"> </w:t>
      </w:r>
      <w:r>
        <w:rPr>
          <w:spacing w:val="-2"/>
          <w:sz w:val="12"/>
        </w:rPr>
        <w:t>Eliminación</w:t>
      </w:r>
      <w:r>
        <w:rPr>
          <w:spacing w:val="-1"/>
          <w:sz w:val="12"/>
        </w:rPr>
        <w:t xml:space="preserve"> </w:t>
      </w:r>
      <w:r>
        <w:rPr>
          <w:spacing w:val="-2"/>
          <w:sz w:val="12"/>
        </w:rPr>
        <w:t>de</w:t>
      </w:r>
      <w:r>
        <w:rPr>
          <w:sz w:val="12"/>
        </w:rPr>
        <w:t xml:space="preserve"> </w:t>
      </w:r>
      <w:r>
        <w:rPr>
          <w:spacing w:val="-2"/>
          <w:sz w:val="12"/>
        </w:rPr>
        <w:t>la</w:t>
      </w:r>
      <w:r>
        <w:rPr>
          <w:sz w:val="12"/>
        </w:rPr>
        <w:t xml:space="preserve"> </w:t>
      </w:r>
      <w:r>
        <w:rPr>
          <w:spacing w:val="-2"/>
          <w:sz w:val="12"/>
        </w:rPr>
        <w:t>Discriminación</w:t>
      </w:r>
      <w:r>
        <w:rPr>
          <w:sz w:val="12"/>
        </w:rPr>
        <w:t xml:space="preserve"> </w:t>
      </w:r>
      <w:r>
        <w:rPr>
          <w:spacing w:val="-2"/>
          <w:sz w:val="12"/>
        </w:rPr>
        <w:t>contra</w:t>
      </w:r>
      <w:r>
        <w:rPr>
          <w:sz w:val="12"/>
        </w:rPr>
        <w:t xml:space="preserve"> </w:t>
      </w:r>
      <w:r>
        <w:rPr>
          <w:spacing w:val="-2"/>
          <w:sz w:val="12"/>
        </w:rPr>
        <w:t>la</w:t>
      </w:r>
      <w:r>
        <w:rPr>
          <w:sz w:val="12"/>
        </w:rPr>
        <w:t xml:space="preserve"> </w:t>
      </w:r>
      <w:r>
        <w:rPr>
          <w:spacing w:val="-2"/>
          <w:sz w:val="12"/>
        </w:rPr>
        <w:t>Mujer,</w:t>
      </w:r>
      <w:r>
        <w:rPr>
          <w:sz w:val="12"/>
        </w:rPr>
        <w:t xml:space="preserve"> </w:t>
      </w:r>
      <w:r>
        <w:rPr>
          <w:spacing w:val="-2"/>
          <w:sz w:val="12"/>
        </w:rPr>
        <w:t>recomendación</w:t>
      </w:r>
      <w:r>
        <w:rPr>
          <w:spacing w:val="-1"/>
          <w:sz w:val="12"/>
        </w:rPr>
        <w:t xml:space="preserve"> </w:t>
      </w:r>
      <w:r>
        <w:rPr>
          <w:spacing w:val="-2"/>
          <w:sz w:val="12"/>
        </w:rPr>
        <w:t>general</w:t>
      </w:r>
      <w:r>
        <w:rPr>
          <w:sz w:val="12"/>
        </w:rPr>
        <w:t xml:space="preserve"> </w:t>
      </w:r>
      <w:r>
        <w:rPr>
          <w:spacing w:val="-2"/>
          <w:sz w:val="12"/>
        </w:rPr>
        <w:t>núm.</w:t>
      </w:r>
      <w:r>
        <w:rPr>
          <w:sz w:val="12"/>
        </w:rPr>
        <w:t xml:space="preserve"> </w:t>
      </w:r>
      <w:r>
        <w:rPr>
          <w:spacing w:val="-2"/>
          <w:sz w:val="12"/>
        </w:rPr>
        <w:t>36</w:t>
      </w:r>
      <w:r>
        <w:rPr>
          <w:sz w:val="12"/>
        </w:rPr>
        <w:t xml:space="preserve"> </w:t>
      </w:r>
      <w:r>
        <w:rPr>
          <w:spacing w:val="-2"/>
          <w:sz w:val="12"/>
        </w:rPr>
        <w:t>(2017).</w:t>
      </w:r>
    </w:p>
    <w:p w14:paraId="766AF780" w14:textId="77777777" w:rsidR="0014798C" w:rsidRDefault="0014798C">
      <w:pPr>
        <w:pStyle w:val="Textoindependiente"/>
        <w:spacing w:before="21"/>
        <w:rPr>
          <w:sz w:val="11"/>
        </w:rPr>
      </w:pPr>
    </w:p>
    <w:p w14:paraId="00A5DF97" w14:textId="77777777" w:rsidR="0014798C" w:rsidRDefault="004E1F0B">
      <w:pPr>
        <w:ind w:left="1111"/>
        <w:rPr>
          <w:sz w:val="11"/>
        </w:rPr>
      </w:pPr>
      <w:r>
        <w:rPr>
          <w:spacing w:val="-2"/>
          <w:w w:val="105"/>
          <w:sz w:val="11"/>
        </w:rPr>
        <w:t>1241</w:t>
      </w:r>
      <w:r>
        <w:rPr>
          <w:spacing w:val="3"/>
          <w:w w:val="105"/>
          <w:sz w:val="11"/>
        </w:rPr>
        <w:t xml:space="preserve"> </w:t>
      </w:r>
      <w:r>
        <w:rPr>
          <w:spacing w:val="-2"/>
          <w:w w:val="105"/>
          <w:sz w:val="11"/>
        </w:rPr>
        <w:t>La</w:t>
      </w:r>
      <w:r>
        <w:rPr>
          <w:spacing w:val="3"/>
          <w:w w:val="105"/>
          <w:sz w:val="11"/>
        </w:rPr>
        <w:t xml:space="preserve"> </w:t>
      </w:r>
      <w:r>
        <w:rPr>
          <w:spacing w:val="-2"/>
          <w:w w:val="105"/>
          <w:sz w:val="11"/>
        </w:rPr>
        <w:t>página</w:t>
      </w:r>
      <w:r>
        <w:rPr>
          <w:spacing w:val="3"/>
          <w:w w:val="105"/>
          <w:sz w:val="11"/>
        </w:rPr>
        <w:t xml:space="preserve"> </w:t>
      </w:r>
      <w:r>
        <w:rPr>
          <w:spacing w:val="-2"/>
          <w:w w:val="105"/>
          <w:sz w:val="11"/>
        </w:rPr>
        <w:t>web</w:t>
      </w:r>
      <w:r>
        <w:rPr>
          <w:spacing w:val="4"/>
          <w:w w:val="105"/>
          <w:sz w:val="11"/>
        </w:rPr>
        <w:t xml:space="preserve"> </w:t>
      </w:r>
      <w:r>
        <w:rPr>
          <w:spacing w:val="-2"/>
          <w:w w:val="105"/>
          <w:sz w:val="11"/>
        </w:rPr>
        <w:t>del</w:t>
      </w:r>
      <w:r>
        <w:rPr>
          <w:spacing w:val="3"/>
          <w:w w:val="105"/>
          <w:sz w:val="11"/>
        </w:rPr>
        <w:t xml:space="preserve"> </w:t>
      </w:r>
      <w:r>
        <w:rPr>
          <w:spacing w:val="-2"/>
          <w:w w:val="105"/>
          <w:sz w:val="11"/>
        </w:rPr>
        <w:t>Experto</w:t>
      </w:r>
      <w:r>
        <w:rPr>
          <w:spacing w:val="3"/>
          <w:w w:val="105"/>
          <w:sz w:val="11"/>
        </w:rPr>
        <w:t xml:space="preserve"> </w:t>
      </w:r>
      <w:r>
        <w:rPr>
          <w:spacing w:val="-2"/>
          <w:w w:val="105"/>
          <w:sz w:val="11"/>
        </w:rPr>
        <w:t>Independiente</w:t>
      </w:r>
      <w:r>
        <w:rPr>
          <w:spacing w:val="3"/>
          <w:w w:val="105"/>
          <w:sz w:val="11"/>
        </w:rPr>
        <w:t xml:space="preserve"> </w:t>
      </w:r>
      <w:r>
        <w:rPr>
          <w:spacing w:val="-2"/>
          <w:w w:val="105"/>
          <w:sz w:val="11"/>
        </w:rPr>
        <w:t>sobre</w:t>
      </w:r>
      <w:r>
        <w:rPr>
          <w:spacing w:val="4"/>
          <w:w w:val="105"/>
          <w:sz w:val="11"/>
        </w:rPr>
        <w:t xml:space="preserve"> </w:t>
      </w:r>
      <w:r>
        <w:rPr>
          <w:spacing w:val="-2"/>
          <w:w w:val="105"/>
          <w:sz w:val="11"/>
        </w:rPr>
        <w:t>protección</w:t>
      </w:r>
      <w:r>
        <w:rPr>
          <w:spacing w:val="3"/>
          <w:w w:val="105"/>
          <w:sz w:val="11"/>
        </w:rPr>
        <w:t xml:space="preserve"> </w:t>
      </w:r>
      <w:r>
        <w:rPr>
          <w:spacing w:val="-2"/>
          <w:w w:val="105"/>
          <w:sz w:val="11"/>
        </w:rPr>
        <w:t>contra</w:t>
      </w:r>
      <w:r>
        <w:rPr>
          <w:spacing w:val="3"/>
          <w:w w:val="105"/>
          <w:sz w:val="11"/>
        </w:rPr>
        <w:t xml:space="preserve"> </w:t>
      </w:r>
      <w:r>
        <w:rPr>
          <w:spacing w:val="-2"/>
          <w:w w:val="105"/>
          <w:sz w:val="11"/>
        </w:rPr>
        <w:t>la</w:t>
      </w:r>
      <w:r>
        <w:rPr>
          <w:spacing w:val="4"/>
          <w:w w:val="105"/>
          <w:sz w:val="11"/>
        </w:rPr>
        <w:t xml:space="preserve"> </w:t>
      </w:r>
      <w:r>
        <w:rPr>
          <w:spacing w:val="-2"/>
          <w:w w:val="105"/>
          <w:sz w:val="11"/>
        </w:rPr>
        <w:t>violencia</w:t>
      </w:r>
      <w:r>
        <w:rPr>
          <w:spacing w:val="3"/>
          <w:w w:val="105"/>
          <w:sz w:val="11"/>
        </w:rPr>
        <w:t xml:space="preserve"> </w:t>
      </w:r>
      <w:r>
        <w:rPr>
          <w:spacing w:val="-2"/>
          <w:w w:val="105"/>
          <w:sz w:val="11"/>
        </w:rPr>
        <w:t>y</w:t>
      </w:r>
      <w:r>
        <w:rPr>
          <w:spacing w:val="3"/>
          <w:w w:val="105"/>
          <w:sz w:val="11"/>
        </w:rPr>
        <w:t xml:space="preserve"> </w:t>
      </w:r>
      <w:r>
        <w:rPr>
          <w:spacing w:val="-2"/>
          <w:w w:val="105"/>
          <w:sz w:val="11"/>
        </w:rPr>
        <w:t>la</w:t>
      </w:r>
      <w:r>
        <w:rPr>
          <w:spacing w:val="3"/>
          <w:w w:val="105"/>
          <w:sz w:val="11"/>
        </w:rPr>
        <w:t xml:space="preserve"> </w:t>
      </w:r>
      <w:r>
        <w:rPr>
          <w:spacing w:val="-2"/>
          <w:w w:val="105"/>
          <w:sz w:val="11"/>
        </w:rPr>
        <w:t>discriminación</w:t>
      </w:r>
      <w:r>
        <w:rPr>
          <w:spacing w:val="4"/>
          <w:w w:val="105"/>
          <w:sz w:val="11"/>
        </w:rPr>
        <w:t xml:space="preserve"> </w:t>
      </w:r>
      <w:r>
        <w:rPr>
          <w:spacing w:val="-2"/>
          <w:w w:val="105"/>
          <w:sz w:val="11"/>
        </w:rPr>
        <w:t>por</w:t>
      </w:r>
      <w:r>
        <w:rPr>
          <w:spacing w:val="3"/>
          <w:w w:val="105"/>
          <w:sz w:val="11"/>
        </w:rPr>
        <w:t xml:space="preserve"> </w:t>
      </w:r>
      <w:r>
        <w:rPr>
          <w:spacing w:val="-2"/>
          <w:w w:val="105"/>
          <w:sz w:val="11"/>
        </w:rPr>
        <w:t>orientación</w:t>
      </w:r>
      <w:r>
        <w:rPr>
          <w:spacing w:val="3"/>
          <w:w w:val="105"/>
          <w:sz w:val="11"/>
        </w:rPr>
        <w:t xml:space="preserve"> </w:t>
      </w:r>
      <w:r>
        <w:rPr>
          <w:spacing w:val="-2"/>
          <w:w w:val="105"/>
          <w:sz w:val="11"/>
        </w:rPr>
        <w:t>sexual</w:t>
      </w:r>
      <w:r>
        <w:rPr>
          <w:spacing w:val="4"/>
          <w:w w:val="105"/>
          <w:sz w:val="11"/>
        </w:rPr>
        <w:t xml:space="preserve"> </w:t>
      </w:r>
      <w:r>
        <w:rPr>
          <w:spacing w:val="-2"/>
          <w:w w:val="105"/>
          <w:sz w:val="11"/>
        </w:rPr>
        <w:t>e</w:t>
      </w:r>
      <w:r>
        <w:rPr>
          <w:spacing w:val="3"/>
          <w:w w:val="105"/>
          <w:sz w:val="11"/>
        </w:rPr>
        <w:t xml:space="preserve"> </w:t>
      </w:r>
      <w:r>
        <w:rPr>
          <w:spacing w:val="-2"/>
          <w:w w:val="105"/>
          <w:sz w:val="11"/>
        </w:rPr>
        <w:t>identidad</w:t>
      </w:r>
      <w:r>
        <w:rPr>
          <w:spacing w:val="3"/>
          <w:w w:val="105"/>
          <w:sz w:val="11"/>
        </w:rPr>
        <w:t xml:space="preserve"> </w:t>
      </w:r>
      <w:r>
        <w:rPr>
          <w:spacing w:val="-2"/>
          <w:w w:val="105"/>
          <w:sz w:val="11"/>
        </w:rPr>
        <w:t>de</w:t>
      </w:r>
      <w:r>
        <w:rPr>
          <w:spacing w:val="3"/>
          <w:w w:val="105"/>
          <w:sz w:val="11"/>
        </w:rPr>
        <w:t xml:space="preserve"> </w:t>
      </w:r>
      <w:r>
        <w:rPr>
          <w:spacing w:val="-2"/>
          <w:w w:val="105"/>
          <w:sz w:val="11"/>
        </w:rPr>
        <w:t>género</w:t>
      </w:r>
    </w:p>
    <w:p w14:paraId="767F6185" w14:textId="77777777" w:rsidR="0014798C" w:rsidRDefault="004E1F0B">
      <w:pPr>
        <w:spacing w:before="4"/>
        <w:ind w:left="1368"/>
        <w:rPr>
          <w:sz w:val="12"/>
        </w:rPr>
      </w:pPr>
      <w:r>
        <w:rPr>
          <w:spacing w:val="-2"/>
          <w:sz w:val="12"/>
        </w:rPr>
        <w:t>está</w:t>
      </w:r>
      <w:r>
        <w:rPr>
          <w:spacing w:val="-1"/>
          <w:sz w:val="12"/>
        </w:rPr>
        <w:t xml:space="preserve"> </w:t>
      </w:r>
      <w:r>
        <w:rPr>
          <w:spacing w:val="-2"/>
          <w:sz w:val="12"/>
        </w:rPr>
        <w:t>disponible</w:t>
      </w:r>
      <w:r>
        <w:rPr>
          <w:spacing w:val="-1"/>
          <w:sz w:val="12"/>
        </w:rPr>
        <w:t xml:space="preserve"> </w:t>
      </w:r>
      <w:r>
        <w:rPr>
          <w:spacing w:val="-2"/>
          <w:sz w:val="12"/>
        </w:rPr>
        <w:t>en</w:t>
      </w:r>
      <w:r>
        <w:rPr>
          <w:spacing w:val="-1"/>
          <w:sz w:val="12"/>
        </w:rPr>
        <w:t xml:space="preserve"> </w:t>
      </w:r>
      <w:hyperlink r:id="rId359">
        <w:r>
          <w:rPr>
            <w:color w:val="0075BF"/>
            <w:spacing w:val="-2"/>
            <w:sz w:val="12"/>
          </w:rPr>
          <w:t>www.ohchr.org/EN/Issues/SexualOrientationGender/Pages/Index.aspx.</w:t>
        </w:r>
      </w:hyperlink>
    </w:p>
    <w:p w14:paraId="0FCD17F8" w14:textId="77777777" w:rsidR="0014798C" w:rsidRDefault="004E1F0B">
      <w:pPr>
        <w:spacing w:before="98" w:line="312" w:lineRule="auto"/>
        <w:ind w:left="1369" w:right="1597" w:hanging="259"/>
        <w:rPr>
          <w:sz w:val="12"/>
        </w:rPr>
      </w:pPr>
      <w:r>
        <w:rPr>
          <w:spacing w:val="-2"/>
          <w:sz w:val="12"/>
        </w:rPr>
        <w:t xml:space="preserve">1242 Organización Mundial de la Salud, Informe mundial sobre la discriminación por edad (Ginebra, 2021). Disponible en </w:t>
      </w:r>
      <w:hyperlink r:id="rId360">
        <w:r>
          <w:rPr>
            <w:color w:val="0075BF"/>
            <w:spacing w:val="-2"/>
            <w:sz w:val="12"/>
          </w:rPr>
          <w:t>www.who.int/teams/social-determinants-of-health/</w:t>
        </w:r>
      </w:hyperlink>
      <w:r>
        <w:rPr>
          <w:color w:val="0075BF"/>
          <w:spacing w:val="40"/>
          <w:sz w:val="12"/>
        </w:rPr>
        <w:t xml:space="preserve"> </w:t>
      </w:r>
      <w:r>
        <w:rPr>
          <w:color w:val="0075BF"/>
          <w:spacing w:val="-2"/>
          <w:sz w:val="12"/>
        </w:rPr>
        <w:t>cambio-demográfico-y-envejecimiento-saludable/combatir-la-edad/informe-global-sobre-la-edad-.</w:t>
      </w:r>
    </w:p>
    <w:p w14:paraId="4A1D2C48" w14:textId="77777777" w:rsidR="0014798C" w:rsidRPr="00537489" w:rsidRDefault="004E1F0B">
      <w:pPr>
        <w:spacing w:before="58" w:line="312" w:lineRule="auto"/>
        <w:ind w:left="1366" w:right="1272" w:hanging="256"/>
        <w:rPr>
          <w:sz w:val="12"/>
          <w:lang w:val="en-US"/>
        </w:rPr>
      </w:pPr>
      <w:r w:rsidRPr="00537489">
        <w:rPr>
          <w:sz w:val="12"/>
          <w:lang w:val="en-US"/>
        </w:rPr>
        <w:t>1243</w:t>
      </w:r>
      <w:r w:rsidRPr="00537489">
        <w:rPr>
          <w:spacing w:val="-7"/>
          <w:sz w:val="12"/>
          <w:lang w:val="en-US"/>
        </w:rPr>
        <w:t xml:space="preserve"> </w:t>
      </w:r>
      <w:proofErr w:type="spellStart"/>
      <w:r w:rsidRPr="00537489">
        <w:rPr>
          <w:sz w:val="12"/>
          <w:lang w:val="en-US"/>
        </w:rPr>
        <w:t>Ibíd</w:t>
      </w:r>
      <w:proofErr w:type="spellEnd"/>
      <w:r w:rsidRPr="00537489">
        <w:rPr>
          <w:sz w:val="12"/>
          <w:lang w:val="en-US"/>
        </w:rPr>
        <w:t>.,</w:t>
      </w:r>
      <w:r w:rsidRPr="00537489">
        <w:rPr>
          <w:spacing w:val="-7"/>
          <w:sz w:val="12"/>
          <w:lang w:val="en-US"/>
        </w:rPr>
        <w:t xml:space="preserve"> </w:t>
      </w:r>
      <w:proofErr w:type="spellStart"/>
      <w:r w:rsidRPr="00537489">
        <w:rPr>
          <w:sz w:val="12"/>
          <w:lang w:val="en-US"/>
        </w:rPr>
        <w:t>pág</w:t>
      </w:r>
      <w:proofErr w:type="spellEnd"/>
      <w:r w:rsidRPr="00537489">
        <w:rPr>
          <w:sz w:val="12"/>
          <w:lang w:val="en-US"/>
        </w:rPr>
        <w:t>.</w:t>
      </w:r>
      <w:r w:rsidRPr="00537489">
        <w:rPr>
          <w:spacing w:val="-7"/>
          <w:sz w:val="12"/>
          <w:lang w:val="en-US"/>
        </w:rPr>
        <w:t xml:space="preserve"> </w:t>
      </w:r>
      <w:r w:rsidRPr="00537489">
        <w:rPr>
          <w:sz w:val="12"/>
          <w:lang w:val="en-US"/>
        </w:rPr>
        <w:t>vii.</w:t>
      </w:r>
      <w:r w:rsidRPr="00537489">
        <w:rPr>
          <w:spacing w:val="-7"/>
          <w:sz w:val="12"/>
          <w:lang w:val="en-US"/>
        </w:rPr>
        <w:t xml:space="preserve"> </w:t>
      </w:r>
      <w:proofErr w:type="spellStart"/>
      <w:r w:rsidRPr="00537489">
        <w:rPr>
          <w:sz w:val="12"/>
          <w:lang w:val="en-US"/>
        </w:rPr>
        <w:t>Véase</w:t>
      </w:r>
      <w:proofErr w:type="spellEnd"/>
      <w:r w:rsidRPr="00537489">
        <w:rPr>
          <w:spacing w:val="-7"/>
          <w:sz w:val="12"/>
          <w:lang w:val="en-US"/>
        </w:rPr>
        <w:t xml:space="preserve"> </w:t>
      </w:r>
      <w:r w:rsidRPr="00537489">
        <w:rPr>
          <w:sz w:val="12"/>
          <w:lang w:val="en-US"/>
        </w:rPr>
        <w:t>también</w:t>
      </w:r>
      <w:r w:rsidRPr="00537489">
        <w:rPr>
          <w:spacing w:val="-7"/>
          <w:sz w:val="12"/>
          <w:lang w:val="en-US"/>
        </w:rPr>
        <w:t xml:space="preserve"> </w:t>
      </w:r>
      <w:r w:rsidRPr="00537489">
        <w:rPr>
          <w:sz w:val="12"/>
          <w:lang w:val="en-US"/>
        </w:rPr>
        <w:t>Israel</w:t>
      </w:r>
      <w:r w:rsidRPr="00537489">
        <w:rPr>
          <w:spacing w:val="-7"/>
          <w:sz w:val="12"/>
          <w:lang w:val="en-US"/>
        </w:rPr>
        <w:t xml:space="preserve"> </w:t>
      </w:r>
      <w:r w:rsidRPr="00537489">
        <w:rPr>
          <w:sz w:val="12"/>
          <w:lang w:val="en-US"/>
        </w:rPr>
        <w:t>Doron</w:t>
      </w:r>
      <w:r w:rsidRPr="00537489">
        <w:rPr>
          <w:spacing w:val="-7"/>
          <w:sz w:val="12"/>
          <w:lang w:val="en-US"/>
        </w:rPr>
        <w:t xml:space="preserve"> </w:t>
      </w:r>
      <w:r w:rsidRPr="00537489">
        <w:rPr>
          <w:sz w:val="12"/>
          <w:lang w:val="en-US"/>
        </w:rPr>
        <w:t>y</w:t>
      </w:r>
      <w:r w:rsidRPr="00537489">
        <w:rPr>
          <w:spacing w:val="-7"/>
          <w:sz w:val="12"/>
          <w:lang w:val="en-US"/>
        </w:rPr>
        <w:t xml:space="preserve"> </w:t>
      </w:r>
      <w:r w:rsidRPr="00537489">
        <w:rPr>
          <w:sz w:val="12"/>
          <w:lang w:val="en-US"/>
        </w:rPr>
        <w:t>Nena</w:t>
      </w:r>
      <w:r w:rsidRPr="00537489">
        <w:rPr>
          <w:spacing w:val="-7"/>
          <w:sz w:val="12"/>
          <w:lang w:val="en-US"/>
        </w:rPr>
        <w:t xml:space="preserve"> </w:t>
      </w:r>
      <w:r w:rsidRPr="00537489">
        <w:rPr>
          <w:sz w:val="12"/>
          <w:lang w:val="en-US"/>
        </w:rPr>
        <w:t>Georgantzi,</w:t>
      </w:r>
      <w:r w:rsidRPr="00537489">
        <w:rPr>
          <w:spacing w:val="-7"/>
          <w:sz w:val="12"/>
          <w:lang w:val="en-US"/>
        </w:rPr>
        <w:t xml:space="preserve"> </w:t>
      </w:r>
      <w:r w:rsidRPr="00537489">
        <w:rPr>
          <w:sz w:val="12"/>
          <w:lang w:val="en-US"/>
        </w:rPr>
        <w:t>eds.,</w:t>
      </w:r>
      <w:r w:rsidRPr="00537489">
        <w:rPr>
          <w:spacing w:val="-7"/>
          <w:sz w:val="12"/>
          <w:lang w:val="en-US"/>
        </w:rPr>
        <w:t xml:space="preserve"> </w:t>
      </w:r>
      <w:r w:rsidRPr="00537489">
        <w:rPr>
          <w:sz w:val="12"/>
          <w:lang w:val="en-US"/>
        </w:rPr>
        <w:t>Ageing,</w:t>
      </w:r>
      <w:r w:rsidRPr="00537489">
        <w:rPr>
          <w:spacing w:val="-7"/>
          <w:sz w:val="12"/>
          <w:lang w:val="en-US"/>
        </w:rPr>
        <w:t xml:space="preserve"> </w:t>
      </w:r>
      <w:r w:rsidRPr="00537489">
        <w:rPr>
          <w:sz w:val="12"/>
          <w:lang w:val="en-US"/>
        </w:rPr>
        <w:t>Ageism</w:t>
      </w:r>
      <w:r w:rsidRPr="00537489">
        <w:rPr>
          <w:spacing w:val="-7"/>
          <w:sz w:val="12"/>
          <w:lang w:val="en-US"/>
        </w:rPr>
        <w:t xml:space="preserve"> </w:t>
      </w:r>
      <w:r w:rsidRPr="00537489">
        <w:rPr>
          <w:sz w:val="12"/>
          <w:lang w:val="en-US"/>
        </w:rPr>
        <w:t>and</w:t>
      </w:r>
      <w:r w:rsidRPr="00537489">
        <w:rPr>
          <w:spacing w:val="-7"/>
          <w:sz w:val="12"/>
          <w:lang w:val="en-US"/>
        </w:rPr>
        <w:t xml:space="preserve"> </w:t>
      </w:r>
      <w:r w:rsidRPr="00537489">
        <w:rPr>
          <w:sz w:val="12"/>
          <w:lang w:val="en-US"/>
        </w:rPr>
        <w:t>the</w:t>
      </w:r>
      <w:r w:rsidRPr="00537489">
        <w:rPr>
          <w:spacing w:val="-7"/>
          <w:sz w:val="12"/>
          <w:lang w:val="en-US"/>
        </w:rPr>
        <w:t xml:space="preserve"> </w:t>
      </w:r>
      <w:r w:rsidRPr="00537489">
        <w:rPr>
          <w:sz w:val="12"/>
          <w:lang w:val="en-US"/>
        </w:rPr>
        <w:t>Law:</w:t>
      </w:r>
      <w:r w:rsidRPr="00537489">
        <w:rPr>
          <w:spacing w:val="-7"/>
          <w:sz w:val="12"/>
          <w:lang w:val="en-US"/>
        </w:rPr>
        <w:t xml:space="preserve"> </w:t>
      </w:r>
      <w:r w:rsidRPr="00537489">
        <w:rPr>
          <w:sz w:val="12"/>
          <w:lang w:val="en-US"/>
        </w:rPr>
        <w:t>European</w:t>
      </w:r>
      <w:r w:rsidRPr="00537489">
        <w:rPr>
          <w:spacing w:val="-7"/>
          <w:sz w:val="12"/>
          <w:lang w:val="en-US"/>
        </w:rPr>
        <w:t xml:space="preserve"> </w:t>
      </w:r>
      <w:r w:rsidRPr="00537489">
        <w:rPr>
          <w:sz w:val="12"/>
          <w:lang w:val="en-US"/>
        </w:rPr>
        <w:t>Perspectives</w:t>
      </w:r>
      <w:r w:rsidRPr="00537489">
        <w:rPr>
          <w:spacing w:val="-7"/>
          <w:sz w:val="12"/>
          <w:lang w:val="en-US"/>
        </w:rPr>
        <w:t xml:space="preserve"> </w:t>
      </w:r>
      <w:r w:rsidRPr="00537489">
        <w:rPr>
          <w:sz w:val="12"/>
          <w:lang w:val="en-US"/>
        </w:rPr>
        <w:t>on</w:t>
      </w:r>
      <w:r w:rsidRPr="00537489">
        <w:rPr>
          <w:spacing w:val="-7"/>
          <w:sz w:val="12"/>
          <w:lang w:val="en-US"/>
        </w:rPr>
        <w:t xml:space="preserve"> </w:t>
      </w:r>
      <w:r w:rsidRPr="00537489">
        <w:rPr>
          <w:sz w:val="12"/>
          <w:lang w:val="en-US"/>
        </w:rPr>
        <w:t>the</w:t>
      </w:r>
      <w:r w:rsidRPr="00537489">
        <w:rPr>
          <w:spacing w:val="-7"/>
          <w:sz w:val="12"/>
          <w:lang w:val="en-US"/>
        </w:rPr>
        <w:t xml:space="preserve"> </w:t>
      </w:r>
      <w:r w:rsidRPr="00537489">
        <w:rPr>
          <w:sz w:val="12"/>
          <w:lang w:val="en-US"/>
        </w:rPr>
        <w:t>Rights</w:t>
      </w:r>
      <w:r w:rsidRPr="00537489">
        <w:rPr>
          <w:spacing w:val="-7"/>
          <w:sz w:val="12"/>
          <w:lang w:val="en-US"/>
        </w:rPr>
        <w:t xml:space="preserve"> </w:t>
      </w:r>
      <w:r w:rsidRPr="00537489">
        <w:rPr>
          <w:sz w:val="12"/>
          <w:lang w:val="en-US"/>
        </w:rPr>
        <w:t>of</w:t>
      </w:r>
      <w:r w:rsidRPr="00537489">
        <w:rPr>
          <w:spacing w:val="-7"/>
          <w:sz w:val="12"/>
          <w:lang w:val="en-US"/>
        </w:rPr>
        <w:t xml:space="preserve"> </w:t>
      </w:r>
      <w:r w:rsidRPr="00537489">
        <w:rPr>
          <w:sz w:val="12"/>
          <w:lang w:val="en-US"/>
        </w:rPr>
        <w:t>Older</w:t>
      </w:r>
      <w:r w:rsidRPr="00537489">
        <w:rPr>
          <w:spacing w:val="-7"/>
          <w:sz w:val="12"/>
          <w:lang w:val="en-US"/>
        </w:rPr>
        <w:t xml:space="preserve"> </w:t>
      </w:r>
      <w:r w:rsidRPr="00537489">
        <w:rPr>
          <w:sz w:val="12"/>
          <w:lang w:val="en-US"/>
        </w:rPr>
        <w:t>Persons</w:t>
      </w:r>
      <w:r w:rsidRPr="00537489">
        <w:rPr>
          <w:spacing w:val="-7"/>
          <w:sz w:val="12"/>
          <w:lang w:val="en-US"/>
        </w:rPr>
        <w:t xml:space="preserve"> </w:t>
      </w:r>
      <w:r w:rsidRPr="00537489">
        <w:rPr>
          <w:sz w:val="12"/>
          <w:lang w:val="en-US"/>
        </w:rPr>
        <w:t>(Cheltenham,</w:t>
      </w:r>
      <w:r w:rsidRPr="00537489">
        <w:rPr>
          <w:spacing w:val="40"/>
          <w:sz w:val="12"/>
          <w:lang w:val="en-US"/>
        </w:rPr>
        <w:t xml:space="preserve"> </w:t>
      </w:r>
      <w:r w:rsidRPr="00537489">
        <w:rPr>
          <w:sz w:val="12"/>
          <w:lang w:val="en-US"/>
        </w:rPr>
        <w:t>Edward Elgar, 2018).</w:t>
      </w:r>
    </w:p>
    <w:p w14:paraId="5C389FEB" w14:textId="77777777" w:rsidR="0014798C" w:rsidRPr="00537489" w:rsidRDefault="004E1F0B">
      <w:pPr>
        <w:spacing w:before="57" w:line="312" w:lineRule="auto"/>
        <w:ind w:left="1366" w:right="1416" w:hanging="255"/>
        <w:rPr>
          <w:sz w:val="12"/>
          <w:lang w:val="en-US"/>
        </w:rPr>
      </w:pPr>
      <w:r>
        <w:rPr>
          <w:sz w:val="12"/>
          <w:vertAlign w:val="superscript"/>
        </w:rPr>
        <w:t>1244</w:t>
      </w:r>
      <w:r>
        <w:rPr>
          <w:spacing w:val="26"/>
          <w:sz w:val="12"/>
        </w:rPr>
        <w:t xml:space="preserve"> </w:t>
      </w:r>
      <w:r>
        <w:rPr>
          <w:sz w:val="12"/>
        </w:rPr>
        <w:t>ACNUDH,</w:t>
      </w:r>
      <w:r>
        <w:rPr>
          <w:spacing w:val="-7"/>
          <w:sz w:val="12"/>
        </w:rPr>
        <w:t xml:space="preserve"> </w:t>
      </w:r>
      <w:r>
        <w:rPr>
          <w:sz w:val="12"/>
        </w:rPr>
        <w:t>“Actualización</w:t>
      </w:r>
      <w:r>
        <w:rPr>
          <w:spacing w:val="-7"/>
          <w:sz w:val="12"/>
        </w:rPr>
        <w:t xml:space="preserve"> </w:t>
      </w:r>
      <w:r>
        <w:rPr>
          <w:sz w:val="12"/>
        </w:rPr>
        <w:t>del</w:t>
      </w:r>
      <w:r>
        <w:rPr>
          <w:spacing w:val="-7"/>
          <w:sz w:val="12"/>
        </w:rPr>
        <w:t xml:space="preserve"> </w:t>
      </w:r>
      <w:r>
        <w:rPr>
          <w:sz w:val="12"/>
        </w:rPr>
        <w:t>estudio</w:t>
      </w:r>
      <w:r>
        <w:rPr>
          <w:spacing w:val="-7"/>
          <w:sz w:val="12"/>
        </w:rPr>
        <w:t xml:space="preserve"> </w:t>
      </w:r>
      <w:r>
        <w:rPr>
          <w:sz w:val="12"/>
        </w:rPr>
        <w:t>analítico</w:t>
      </w:r>
      <w:r>
        <w:rPr>
          <w:spacing w:val="-7"/>
          <w:sz w:val="12"/>
        </w:rPr>
        <w:t xml:space="preserve"> </w:t>
      </w:r>
      <w:r>
        <w:rPr>
          <w:sz w:val="12"/>
        </w:rPr>
        <w:t>de</w:t>
      </w:r>
      <w:r>
        <w:rPr>
          <w:spacing w:val="-7"/>
          <w:sz w:val="12"/>
        </w:rPr>
        <w:t xml:space="preserve"> </w:t>
      </w:r>
      <w:r>
        <w:rPr>
          <w:sz w:val="12"/>
        </w:rPr>
        <w:t>resultados</w:t>
      </w:r>
      <w:r>
        <w:rPr>
          <w:spacing w:val="-7"/>
          <w:sz w:val="12"/>
        </w:rPr>
        <w:t xml:space="preserve"> </w:t>
      </w:r>
      <w:r>
        <w:rPr>
          <w:sz w:val="12"/>
        </w:rPr>
        <w:t>de</w:t>
      </w:r>
      <w:r>
        <w:rPr>
          <w:spacing w:val="-7"/>
          <w:sz w:val="12"/>
        </w:rPr>
        <w:t xml:space="preserve"> </w:t>
      </w:r>
      <w:r>
        <w:rPr>
          <w:sz w:val="12"/>
        </w:rPr>
        <w:t>2012</w:t>
      </w:r>
      <w:r>
        <w:rPr>
          <w:spacing w:val="-7"/>
          <w:sz w:val="12"/>
        </w:rPr>
        <w:t xml:space="preserve"> </w:t>
      </w:r>
      <w:r>
        <w:rPr>
          <w:sz w:val="12"/>
        </w:rPr>
        <w:t>sobre</w:t>
      </w:r>
      <w:r>
        <w:rPr>
          <w:spacing w:val="-7"/>
          <w:sz w:val="12"/>
        </w:rPr>
        <w:t xml:space="preserve"> </w:t>
      </w:r>
      <w:r>
        <w:rPr>
          <w:sz w:val="12"/>
        </w:rPr>
        <w:t>los</w:t>
      </w:r>
      <w:r>
        <w:rPr>
          <w:spacing w:val="-7"/>
          <w:sz w:val="12"/>
        </w:rPr>
        <w:t xml:space="preserve"> </w:t>
      </w:r>
      <w:r>
        <w:rPr>
          <w:sz w:val="12"/>
        </w:rPr>
        <w:t>estándares</w:t>
      </w:r>
      <w:r>
        <w:rPr>
          <w:spacing w:val="-7"/>
          <w:sz w:val="12"/>
        </w:rPr>
        <w:t xml:space="preserve"> </w:t>
      </w:r>
      <w:r>
        <w:rPr>
          <w:sz w:val="12"/>
        </w:rPr>
        <w:t>normativos</w:t>
      </w:r>
      <w:r>
        <w:rPr>
          <w:spacing w:val="-7"/>
          <w:sz w:val="12"/>
        </w:rPr>
        <w:t xml:space="preserve"> </w:t>
      </w:r>
      <w:r>
        <w:rPr>
          <w:sz w:val="12"/>
        </w:rPr>
        <w:t>del</w:t>
      </w:r>
      <w:r>
        <w:rPr>
          <w:spacing w:val="-7"/>
          <w:sz w:val="12"/>
        </w:rPr>
        <w:t xml:space="preserve"> </w:t>
      </w:r>
      <w:r>
        <w:rPr>
          <w:sz w:val="12"/>
        </w:rPr>
        <w:t>derecho</w:t>
      </w:r>
      <w:r>
        <w:rPr>
          <w:spacing w:val="-7"/>
          <w:sz w:val="12"/>
        </w:rPr>
        <w:t xml:space="preserve"> </w:t>
      </w:r>
      <w:r>
        <w:rPr>
          <w:sz w:val="12"/>
        </w:rPr>
        <w:t>internacional</w:t>
      </w:r>
      <w:r>
        <w:rPr>
          <w:spacing w:val="-7"/>
          <w:sz w:val="12"/>
        </w:rPr>
        <w:t xml:space="preserve"> </w:t>
      </w:r>
      <w:r>
        <w:rPr>
          <w:sz w:val="12"/>
        </w:rPr>
        <w:t>de</w:t>
      </w:r>
      <w:r>
        <w:rPr>
          <w:spacing w:val="-7"/>
          <w:sz w:val="12"/>
        </w:rPr>
        <w:t xml:space="preserve"> </w:t>
      </w:r>
      <w:r>
        <w:rPr>
          <w:sz w:val="12"/>
        </w:rPr>
        <w:t>los</w:t>
      </w:r>
      <w:r>
        <w:rPr>
          <w:spacing w:val="-7"/>
          <w:sz w:val="12"/>
        </w:rPr>
        <w:t xml:space="preserve"> </w:t>
      </w:r>
      <w:r>
        <w:rPr>
          <w:sz w:val="12"/>
        </w:rPr>
        <w:t>derechos</w:t>
      </w:r>
      <w:r>
        <w:rPr>
          <w:spacing w:val="-7"/>
          <w:sz w:val="12"/>
        </w:rPr>
        <w:t xml:space="preserve"> </w:t>
      </w:r>
      <w:r>
        <w:rPr>
          <w:sz w:val="12"/>
        </w:rPr>
        <w:t>humanos</w:t>
      </w:r>
      <w:r>
        <w:rPr>
          <w:spacing w:val="-7"/>
          <w:sz w:val="12"/>
        </w:rPr>
        <w:t xml:space="preserve"> </w:t>
      </w:r>
      <w:r>
        <w:rPr>
          <w:sz w:val="12"/>
        </w:rPr>
        <w:t>en</w:t>
      </w:r>
      <w:r>
        <w:rPr>
          <w:spacing w:val="-7"/>
          <w:sz w:val="12"/>
        </w:rPr>
        <w:t xml:space="preserve"> </w:t>
      </w:r>
      <w:r>
        <w:rPr>
          <w:sz w:val="12"/>
        </w:rPr>
        <w:t>relación</w:t>
      </w:r>
      <w:r>
        <w:rPr>
          <w:spacing w:val="-7"/>
          <w:sz w:val="12"/>
        </w:rPr>
        <w:t xml:space="preserve"> </w:t>
      </w:r>
      <w:r>
        <w:rPr>
          <w:sz w:val="12"/>
        </w:rPr>
        <w:t>con</w:t>
      </w:r>
      <w:r>
        <w:rPr>
          <w:spacing w:val="40"/>
          <w:sz w:val="12"/>
        </w:rPr>
        <w:t xml:space="preserve"> </w:t>
      </w:r>
      <w:r>
        <w:rPr>
          <w:sz w:val="12"/>
        </w:rPr>
        <w:t>las</w:t>
      </w:r>
      <w:r>
        <w:rPr>
          <w:spacing w:val="-7"/>
          <w:sz w:val="12"/>
        </w:rPr>
        <w:t xml:space="preserve"> </w:t>
      </w:r>
      <w:r>
        <w:rPr>
          <w:sz w:val="12"/>
        </w:rPr>
        <w:t>personas</w:t>
      </w:r>
      <w:r>
        <w:rPr>
          <w:spacing w:val="-7"/>
          <w:sz w:val="12"/>
        </w:rPr>
        <w:t xml:space="preserve"> </w:t>
      </w:r>
      <w:r>
        <w:rPr>
          <w:sz w:val="12"/>
        </w:rPr>
        <w:t>mayores:</w:t>
      </w:r>
      <w:r>
        <w:rPr>
          <w:spacing w:val="-7"/>
          <w:sz w:val="12"/>
        </w:rPr>
        <w:t xml:space="preserve"> </w:t>
      </w:r>
      <w:r>
        <w:rPr>
          <w:sz w:val="12"/>
        </w:rPr>
        <w:t>documento</w:t>
      </w:r>
      <w:r>
        <w:rPr>
          <w:spacing w:val="-7"/>
          <w:sz w:val="12"/>
        </w:rPr>
        <w:t xml:space="preserve"> </w:t>
      </w:r>
      <w:r>
        <w:rPr>
          <w:sz w:val="12"/>
        </w:rPr>
        <w:t>de</w:t>
      </w:r>
      <w:r>
        <w:rPr>
          <w:spacing w:val="-7"/>
          <w:sz w:val="12"/>
        </w:rPr>
        <w:t xml:space="preserve"> </w:t>
      </w:r>
      <w:r>
        <w:rPr>
          <w:sz w:val="12"/>
        </w:rPr>
        <w:t>trabajo</w:t>
      </w:r>
      <w:r>
        <w:rPr>
          <w:spacing w:val="-7"/>
          <w:sz w:val="12"/>
        </w:rPr>
        <w:t xml:space="preserve"> </w:t>
      </w:r>
      <w:r>
        <w:rPr>
          <w:sz w:val="12"/>
        </w:rPr>
        <w:t>preparado</w:t>
      </w:r>
      <w:r>
        <w:rPr>
          <w:spacing w:val="-7"/>
          <w:sz w:val="12"/>
        </w:rPr>
        <w:t xml:space="preserve"> </w:t>
      </w:r>
      <w:r>
        <w:rPr>
          <w:sz w:val="12"/>
        </w:rPr>
        <w:t>por</w:t>
      </w:r>
      <w:r>
        <w:rPr>
          <w:spacing w:val="-7"/>
          <w:sz w:val="12"/>
        </w:rPr>
        <w:t xml:space="preserve"> </w:t>
      </w:r>
      <w:r>
        <w:rPr>
          <w:sz w:val="12"/>
        </w:rPr>
        <w:t>la</w:t>
      </w:r>
      <w:r>
        <w:rPr>
          <w:spacing w:val="-7"/>
          <w:sz w:val="12"/>
        </w:rPr>
        <w:t xml:space="preserve"> </w:t>
      </w:r>
      <w:r>
        <w:rPr>
          <w:sz w:val="12"/>
        </w:rPr>
        <w:t>Oficina</w:t>
      </w:r>
      <w:r>
        <w:rPr>
          <w:spacing w:val="-7"/>
          <w:sz w:val="12"/>
        </w:rPr>
        <w:t xml:space="preserve"> </w:t>
      </w:r>
      <w:r>
        <w:rPr>
          <w:sz w:val="12"/>
        </w:rPr>
        <w:t>del</w:t>
      </w:r>
      <w:r>
        <w:rPr>
          <w:spacing w:val="-7"/>
          <w:sz w:val="12"/>
        </w:rPr>
        <w:t xml:space="preserve"> </w:t>
      </w:r>
      <w:r>
        <w:rPr>
          <w:sz w:val="12"/>
        </w:rPr>
        <w:t>Alto</w:t>
      </w:r>
      <w:r>
        <w:rPr>
          <w:spacing w:val="-7"/>
          <w:sz w:val="12"/>
        </w:rPr>
        <w:t xml:space="preserve"> </w:t>
      </w:r>
      <w:r>
        <w:rPr>
          <w:sz w:val="12"/>
        </w:rPr>
        <w:t>Comisionado</w:t>
      </w:r>
      <w:r>
        <w:rPr>
          <w:spacing w:val="-7"/>
          <w:sz w:val="12"/>
        </w:rPr>
        <w:t xml:space="preserve"> </w:t>
      </w:r>
      <w:r>
        <w:rPr>
          <w:sz w:val="12"/>
        </w:rPr>
        <w:t>para</w:t>
      </w:r>
      <w:r>
        <w:rPr>
          <w:spacing w:val="-7"/>
          <w:sz w:val="12"/>
        </w:rPr>
        <w:t xml:space="preserve"> </w:t>
      </w:r>
      <w:r>
        <w:rPr>
          <w:sz w:val="12"/>
        </w:rPr>
        <w:t>los</w:t>
      </w:r>
      <w:r>
        <w:rPr>
          <w:spacing w:val="-7"/>
          <w:sz w:val="12"/>
        </w:rPr>
        <w:t xml:space="preserve"> </w:t>
      </w:r>
      <w:r>
        <w:rPr>
          <w:sz w:val="12"/>
        </w:rPr>
        <w:t>Derechos</w:t>
      </w:r>
      <w:r>
        <w:rPr>
          <w:spacing w:val="-7"/>
          <w:sz w:val="12"/>
        </w:rPr>
        <w:t xml:space="preserve"> </w:t>
      </w:r>
      <w:r>
        <w:rPr>
          <w:sz w:val="12"/>
        </w:rPr>
        <w:t>Humanos”</w:t>
      </w:r>
      <w:r>
        <w:rPr>
          <w:spacing w:val="-7"/>
          <w:sz w:val="12"/>
        </w:rPr>
        <w:t xml:space="preserve"> </w:t>
      </w:r>
      <w:r>
        <w:rPr>
          <w:sz w:val="12"/>
        </w:rPr>
        <w:t>(2021).</w:t>
      </w:r>
      <w:r>
        <w:rPr>
          <w:spacing w:val="-7"/>
          <w:sz w:val="12"/>
        </w:rPr>
        <w:t xml:space="preserve"> </w:t>
      </w:r>
      <w:r w:rsidRPr="00537489">
        <w:rPr>
          <w:sz w:val="12"/>
          <w:lang w:val="en-US"/>
        </w:rPr>
        <w:t>Disponible</w:t>
      </w:r>
      <w:r w:rsidRPr="00537489">
        <w:rPr>
          <w:spacing w:val="-7"/>
          <w:sz w:val="12"/>
          <w:lang w:val="en-US"/>
        </w:rPr>
        <w:t xml:space="preserve"> </w:t>
      </w:r>
      <w:r w:rsidRPr="00537489">
        <w:rPr>
          <w:sz w:val="12"/>
          <w:lang w:val="en-US"/>
        </w:rPr>
        <w:t>en</w:t>
      </w:r>
      <w:r w:rsidRPr="00537489">
        <w:rPr>
          <w:spacing w:val="-7"/>
          <w:sz w:val="12"/>
          <w:lang w:val="en-US"/>
        </w:rPr>
        <w:t xml:space="preserve"> </w:t>
      </w:r>
      <w:r>
        <w:fldChar w:fldCharType="begin"/>
      </w:r>
      <w:r w:rsidRPr="00C666B0">
        <w:rPr>
          <w:lang w:val="en-US"/>
        </w:rPr>
        <w:instrText>HYPERLINK "https://social.un.org/ageing-working-group/documents/eleventh/OHCHR%20HROP%20working%20paper%2022%20Mar%202021.pdf" \h</w:instrText>
      </w:r>
      <w:r>
        <w:fldChar w:fldCharType="separate"/>
      </w:r>
      <w:r w:rsidRPr="00537489">
        <w:rPr>
          <w:color w:val="0075BF"/>
          <w:sz w:val="12"/>
          <w:lang w:val="en-US"/>
        </w:rPr>
        <w:t>https://social.un.org/</w:t>
      </w:r>
      <w:r>
        <w:fldChar w:fldCharType="end"/>
      </w:r>
      <w:r w:rsidRPr="00537489">
        <w:rPr>
          <w:color w:val="0075BF"/>
          <w:spacing w:val="40"/>
          <w:sz w:val="12"/>
          <w:lang w:val="en-US"/>
        </w:rPr>
        <w:t xml:space="preserve"> </w:t>
      </w:r>
      <w:r w:rsidRPr="00537489">
        <w:rPr>
          <w:color w:val="0075BF"/>
          <w:spacing w:val="-2"/>
          <w:sz w:val="12"/>
          <w:lang w:val="en-US"/>
        </w:rPr>
        <w:t>ageing-working-group/documents/eleventh/OHCHR%20HROP%20working%20paper%2022%20Mar%202021.pdf.</w:t>
      </w:r>
    </w:p>
    <w:p w14:paraId="035BEB71" w14:textId="77777777" w:rsidR="0014798C" w:rsidRDefault="004E1F0B">
      <w:pPr>
        <w:spacing w:before="108"/>
        <w:ind w:left="1111"/>
        <w:rPr>
          <w:sz w:val="11"/>
        </w:rPr>
      </w:pPr>
      <w:r>
        <w:rPr>
          <w:w w:val="105"/>
          <w:sz w:val="11"/>
        </w:rPr>
        <w:t>1245</w:t>
      </w:r>
      <w:r>
        <w:rPr>
          <w:spacing w:val="-7"/>
          <w:w w:val="105"/>
          <w:sz w:val="11"/>
        </w:rPr>
        <w:t xml:space="preserve"> </w:t>
      </w:r>
      <w:proofErr w:type="spellStart"/>
      <w:r>
        <w:rPr>
          <w:w w:val="105"/>
          <w:sz w:val="11"/>
        </w:rPr>
        <w:t>Ibíd</w:t>
      </w:r>
      <w:proofErr w:type="spellEnd"/>
      <w:r>
        <w:rPr>
          <w:w w:val="105"/>
          <w:sz w:val="11"/>
        </w:rPr>
        <w:t>.,</w:t>
      </w:r>
      <w:r>
        <w:rPr>
          <w:spacing w:val="-7"/>
          <w:w w:val="105"/>
          <w:sz w:val="11"/>
        </w:rPr>
        <w:t xml:space="preserve"> </w:t>
      </w:r>
      <w:r>
        <w:rPr>
          <w:w w:val="105"/>
          <w:sz w:val="11"/>
        </w:rPr>
        <w:t>párr.</w:t>
      </w:r>
      <w:r>
        <w:rPr>
          <w:spacing w:val="-7"/>
          <w:w w:val="105"/>
          <w:sz w:val="11"/>
        </w:rPr>
        <w:t xml:space="preserve"> </w:t>
      </w:r>
      <w:r>
        <w:rPr>
          <w:spacing w:val="-5"/>
          <w:w w:val="105"/>
          <w:sz w:val="11"/>
        </w:rPr>
        <w:t>47.</w:t>
      </w:r>
    </w:p>
    <w:p w14:paraId="78640532" w14:textId="77777777" w:rsidR="0014798C" w:rsidRDefault="004E1F0B">
      <w:pPr>
        <w:spacing w:before="110"/>
        <w:ind w:left="1111"/>
        <w:rPr>
          <w:sz w:val="11"/>
        </w:rPr>
      </w:pPr>
      <w:r>
        <w:rPr>
          <w:w w:val="105"/>
          <w:sz w:val="11"/>
        </w:rPr>
        <w:t>1246</w:t>
      </w:r>
      <w:r>
        <w:rPr>
          <w:spacing w:val="-7"/>
          <w:w w:val="105"/>
          <w:sz w:val="11"/>
        </w:rPr>
        <w:t xml:space="preserve"> </w:t>
      </w:r>
      <w:proofErr w:type="spellStart"/>
      <w:r>
        <w:rPr>
          <w:w w:val="105"/>
          <w:sz w:val="11"/>
        </w:rPr>
        <w:t>Ibíd</w:t>
      </w:r>
      <w:proofErr w:type="spellEnd"/>
      <w:r>
        <w:rPr>
          <w:w w:val="105"/>
          <w:sz w:val="11"/>
        </w:rPr>
        <w:t>.,</w:t>
      </w:r>
      <w:r>
        <w:rPr>
          <w:spacing w:val="-7"/>
          <w:w w:val="105"/>
          <w:sz w:val="11"/>
        </w:rPr>
        <w:t xml:space="preserve"> </w:t>
      </w:r>
      <w:r>
        <w:rPr>
          <w:w w:val="105"/>
          <w:sz w:val="11"/>
        </w:rPr>
        <w:t>párr.</w:t>
      </w:r>
      <w:r>
        <w:rPr>
          <w:spacing w:val="-7"/>
          <w:w w:val="105"/>
          <w:sz w:val="11"/>
        </w:rPr>
        <w:t xml:space="preserve"> </w:t>
      </w:r>
      <w:r>
        <w:rPr>
          <w:spacing w:val="-5"/>
          <w:w w:val="105"/>
          <w:sz w:val="11"/>
        </w:rPr>
        <w:t>41.</w:t>
      </w:r>
    </w:p>
    <w:p w14:paraId="30284361" w14:textId="77777777" w:rsidR="0014798C" w:rsidRDefault="004E1F0B">
      <w:pPr>
        <w:spacing w:before="58"/>
        <w:ind w:left="1111"/>
        <w:rPr>
          <w:sz w:val="12"/>
        </w:rPr>
      </w:pPr>
      <w:r>
        <w:rPr>
          <w:spacing w:val="-2"/>
          <w:position w:val="4"/>
          <w:sz w:val="8"/>
        </w:rPr>
        <w:t>1247</w:t>
      </w:r>
      <w:r>
        <w:rPr>
          <w:spacing w:val="42"/>
          <w:position w:val="4"/>
          <w:sz w:val="8"/>
        </w:rPr>
        <w:t xml:space="preserve"> </w:t>
      </w:r>
      <w:r>
        <w:rPr>
          <w:spacing w:val="-2"/>
          <w:sz w:val="12"/>
        </w:rPr>
        <w:t>A/74/186,</w:t>
      </w:r>
      <w:r>
        <w:rPr>
          <w:sz w:val="12"/>
        </w:rPr>
        <w:t xml:space="preserve"> </w:t>
      </w:r>
      <w:r>
        <w:rPr>
          <w:spacing w:val="-2"/>
          <w:sz w:val="12"/>
        </w:rPr>
        <w:t>párr.</w:t>
      </w:r>
      <w:r>
        <w:rPr>
          <w:sz w:val="12"/>
        </w:rPr>
        <w:t xml:space="preserve"> </w:t>
      </w:r>
      <w:r>
        <w:rPr>
          <w:spacing w:val="-2"/>
          <w:sz w:val="12"/>
        </w:rPr>
        <w:t>7.</w:t>
      </w:r>
      <w:r>
        <w:rPr>
          <w:sz w:val="12"/>
        </w:rPr>
        <w:t xml:space="preserve"> </w:t>
      </w:r>
      <w:r>
        <w:rPr>
          <w:spacing w:val="-2"/>
          <w:sz w:val="12"/>
        </w:rPr>
        <w:t>Véase</w:t>
      </w:r>
      <w:r>
        <w:rPr>
          <w:sz w:val="12"/>
        </w:rPr>
        <w:t xml:space="preserve"> </w:t>
      </w:r>
      <w:r>
        <w:rPr>
          <w:spacing w:val="-2"/>
          <w:sz w:val="12"/>
        </w:rPr>
        <w:t>también</w:t>
      </w:r>
      <w:r>
        <w:rPr>
          <w:sz w:val="12"/>
        </w:rPr>
        <w:t xml:space="preserve"> </w:t>
      </w:r>
      <w:proofErr w:type="spellStart"/>
      <w:r>
        <w:rPr>
          <w:spacing w:val="-2"/>
          <w:sz w:val="12"/>
        </w:rPr>
        <w:t>Mariska</w:t>
      </w:r>
      <w:proofErr w:type="spellEnd"/>
      <w:r>
        <w:rPr>
          <w:sz w:val="12"/>
        </w:rPr>
        <w:t xml:space="preserve"> </w:t>
      </w:r>
      <w:r>
        <w:rPr>
          <w:spacing w:val="-2"/>
          <w:sz w:val="12"/>
        </w:rPr>
        <w:t>van</w:t>
      </w:r>
      <w:r>
        <w:rPr>
          <w:sz w:val="12"/>
        </w:rPr>
        <w:t xml:space="preserve"> </w:t>
      </w:r>
      <w:proofErr w:type="spellStart"/>
      <w:r>
        <w:rPr>
          <w:spacing w:val="-2"/>
          <w:sz w:val="12"/>
        </w:rPr>
        <w:t>der</w:t>
      </w:r>
      <w:proofErr w:type="spellEnd"/>
      <w:r>
        <w:rPr>
          <w:sz w:val="12"/>
        </w:rPr>
        <w:t xml:space="preserve"> </w:t>
      </w:r>
      <w:r>
        <w:rPr>
          <w:spacing w:val="-2"/>
          <w:sz w:val="12"/>
        </w:rPr>
        <w:t>Horst</w:t>
      </w:r>
      <w:r>
        <w:rPr>
          <w:sz w:val="12"/>
        </w:rPr>
        <w:t xml:space="preserve"> </w:t>
      </w:r>
      <w:r>
        <w:rPr>
          <w:spacing w:val="-2"/>
          <w:sz w:val="12"/>
        </w:rPr>
        <w:t>y</w:t>
      </w:r>
      <w:r>
        <w:rPr>
          <w:sz w:val="12"/>
        </w:rPr>
        <w:t xml:space="preserve"> </w:t>
      </w:r>
      <w:r>
        <w:rPr>
          <w:spacing w:val="-2"/>
          <w:sz w:val="12"/>
        </w:rPr>
        <w:t>Sarah</w:t>
      </w:r>
      <w:r>
        <w:rPr>
          <w:sz w:val="12"/>
        </w:rPr>
        <w:t xml:space="preserve"> </w:t>
      </w:r>
      <w:proofErr w:type="spellStart"/>
      <w:r>
        <w:rPr>
          <w:spacing w:val="-2"/>
          <w:sz w:val="12"/>
        </w:rPr>
        <w:t>Vickerstaff</w:t>
      </w:r>
      <w:proofErr w:type="spellEnd"/>
      <w:r>
        <w:rPr>
          <w:spacing w:val="-2"/>
          <w:sz w:val="12"/>
        </w:rPr>
        <w:t>,</w:t>
      </w:r>
      <w:r>
        <w:rPr>
          <w:sz w:val="12"/>
        </w:rPr>
        <w:t xml:space="preserve"> </w:t>
      </w:r>
      <w:r>
        <w:rPr>
          <w:spacing w:val="-2"/>
          <w:sz w:val="12"/>
        </w:rPr>
        <w:t>“¿Es</w:t>
      </w:r>
      <w:r>
        <w:rPr>
          <w:sz w:val="12"/>
        </w:rPr>
        <w:t xml:space="preserve"> </w:t>
      </w:r>
      <w:r>
        <w:rPr>
          <w:spacing w:val="-2"/>
          <w:sz w:val="12"/>
        </w:rPr>
        <w:t>parte</w:t>
      </w:r>
      <w:r>
        <w:rPr>
          <w:sz w:val="12"/>
        </w:rPr>
        <w:t xml:space="preserve"> </w:t>
      </w:r>
      <w:r>
        <w:rPr>
          <w:spacing w:val="-2"/>
          <w:sz w:val="12"/>
        </w:rPr>
        <w:t>del</w:t>
      </w:r>
      <w:r>
        <w:rPr>
          <w:sz w:val="12"/>
        </w:rPr>
        <w:t xml:space="preserve"> </w:t>
      </w:r>
      <w:r>
        <w:rPr>
          <w:spacing w:val="-2"/>
          <w:sz w:val="12"/>
        </w:rPr>
        <w:t>envejecimiento</w:t>
      </w:r>
      <w:r>
        <w:rPr>
          <w:spacing w:val="1"/>
          <w:sz w:val="12"/>
        </w:rPr>
        <w:t xml:space="preserve"> </w:t>
      </w:r>
      <w:r>
        <w:rPr>
          <w:spacing w:val="-2"/>
          <w:sz w:val="12"/>
        </w:rPr>
        <w:t>en</w:t>
      </w:r>
      <w:r>
        <w:rPr>
          <w:sz w:val="12"/>
        </w:rPr>
        <w:t xml:space="preserve"> </w:t>
      </w:r>
      <w:r>
        <w:rPr>
          <w:spacing w:val="-2"/>
          <w:sz w:val="12"/>
        </w:rPr>
        <w:t>realidad</w:t>
      </w:r>
      <w:r>
        <w:rPr>
          <w:sz w:val="12"/>
        </w:rPr>
        <w:t xml:space="preserve"> </w:t>
      </w:r>
      <w:r>
        <w:rPr>
          <w:spacing w:val="-2"/>
          <w:sz w:val="12"/>
        </w:rPr>
        <w:t>capacitismo?”,</w:t>
      </w:r>
      <w:r>
        <w:rPr>
          <w:spacing w:val="1"/>
          <w:sz w:val="12"/>
        </w:rPr>
        <w:t xml:space="preserve"> </w:t>
      </w:r>
      <w:r>
        <w:rPr>
          <w:spacing w:val="-2"/>
          <w:sz w:val="12"/>
        </w:rPr>
        <w:t>Envejecimiento</w:t>
      </w:r>
      <w:r>
        <w:rPr>
          <w:sz w:val="12"/>
        </w:rPr>
        <w:t xml:space="preserve"> </w:t>
      </w:r>
      <w:r>
        <w:rPr>
          <w:spacing w:val="-2"/>
          <w:sz w:val="12"/>
        </w:rPr>
        <w:t>y</w:t>
      </w:r>
      <w:r>
        <w:rPr>
          <w:sz w:val="12"/>
        </w:rPr>
        <w:t xml:space="preserve"> </w:t>
      </w:r>
      <w:r>
        <w:rPr>
          <w:spacing w:val="-2"/>
          <w:sz w:val="12"/>
        </w:rPr>
        <w:t>sociedad</w:t>
      </w:r>
      <w:r>
        <w:rPr>
          <w:sz w:val="12"/>
        </w:rPr>
        <w:t xml:space="preserve"> </w:t>
      </w:r>
      <w:r>
        <w:rPr>
          <w:spacing w:val="-2"/>
          <w:sz w:val="12"/>
        </w:rPr>
        <w:t>(2021).</w:t>
      </w:r>
    </w:p>
    <w:p w14:paraId="13ADAF97" w14:textId="77777777" w:rsidR="0014798C" w:rsidRDefault="0014798C">
      <w:pPr>
        <w:pStyle w:val="Textoindependiente"/>
        <w:rPr>
          <w:sz w:val="17"/>
        </w:rPr>
      </w:pPr>
    </w:p>
    <w:p w14:paraId="0935F50C" w14:textId="77777777" w:rsidR="0014798C" w:rsidRDefault="0014798C">
      <w:pPr>
        <w:pStyle w:val="Textoindependiente"/>
        <w:rPr>
          <w:sz w:val="17"/>
        </w:rPr>
      </w:pPr>
    </w:p>
    <w:p w14:paraId="760681E2" w14:textId="77777777" w:rsidR="0014798C" w:rsidRDefault="0014798C">
      <w:pPr>
        <w:pStyle w:val="Textoindependiente"/>
        <w:spacing w:before="71"/>
        <w:rPr>
          <w:sz w:val="17"/>
        </w:rPr>
      </w:pPr>
    </w:p>
    <w:p w14:paraId="72B1A19A" w14:textId="77777777" w:rsidR="0014798C" w:rsidRDefault="004E1F0B">
      <w:pPr>
        <w:spacing w:before="1"/>
        <w:ind w:right="710"/>
        <w:jc w:val="right"/>
        <w:rPr>
          <w:sz w:val="17"/>
        </w:rPr>
      </w:pPr>
      <w:r>
        <w:rPr>
          <w:spacing w:val="-5"/>
          <w:w w:val="105"/>
          <w:sz w:val="17"/>
        </w:rPr>
        <w:t>195</w:t>
      </w:r>
    </w:p>
    <w:p w14:paraId="23917D5E" w14:textId="77777777" w:rsidR="0014798C" w:rsidRDefault="0014798C">
      <w:pPr>
        <w:jc w:val="right"/>
        <w:rPr>
          <w:sz w:val="17"/>
        </w:rPr>
        <w:sectPr w:rsidR="0014798C" w:rsidSect="00F265E4">
          <w:pgSz w:w="11900" w:h="16820"/>
          <w:pgMar w:top="340" w:right="0" w:bottom="280" w:left="200" w:header="121" w:footer="0" w:gutter="0"/>
          <w:cols w:space="720"/>
        </w:sectPr>
      </w:pPr>
    </w:p>
    <w:p w14:paraId="1F8352B2" w14:textId="77777777" w:rsidR="0014798C" w:rsidRDefault="0014798C">
      <w:pPr>
        <w:pStyle w:val="Textoindependiente"/>
        <w:spacing w:before="85"/>
        <w:rPr>
          <w:sz w:val="12"/>
        </w:rPr>
      </w:pPr>
    </w:p>
    <w:p w14:paraId="0C083E73" w14:textId="77777777" w:rsidR="0014798C" w:rsidRDefault="004E1F0B">
      <w:pPr>
        <w:ind w:left="1111"/>
        <w:rPr>
          <w:sz w:val="12"/>
        </w:rPr>
      </w:pPr>
      <w:r>
        <w:rPr>
          <w:color w:val="FBB315"/>
          <w:sz w:val="12"/>
        </w:rPr>
        <w:t>PROTECCIÓN</w:t>
      </w:r>
      <w:r>
        <w:rPr>
          <w:color w:val="FBB315"/>
          <w:spacing w:val="6"/>
          <w:sz w:val="12"/>
        </w:rPr>
        <w:t xml:space="preserve"> </w:t>
      </w:r>
      <w:r>
        <w:rPr>
          <w:color w:val="FBB315"/>
          <w:sz w:val="12"/>
        </w:rPr>
        <w:t>DE</w:t>
      </w:r>
      <w:r>
        <w:rPr>
          <w:color w:val="FBB315"/>
          <w:spacing w:val="7"/>
          <w:sz w:val="12"/>
        </w:rPr>
        <w:t xml:space="preserve"> </w:t>
      </w:r>
      <w:r>
        <w:rPr>
          <w:color w:val="FBB315"/>
          <w:sz w:val="12"/>
        </w:rPr>
        <w:t>LOS</w:t>
      </w:r>
      <w:r>
        <w:rPr>
          <w:color w:val="FBB315"/>
          <w:spacing w:val="8"/>
          <w:sz w:val="12"/>
        </w:rPr>
        <w:t xml:space="preserve"> </w:t>
      </w:r>
      <w:r>
        <w:rPr>
          <w:color w:val="FBB315"/>
          <w:sz w:val="12"/>
        </w:rPr>
        <w:t>DERECHOS</w:t>
      </w:r>
      <w:r>
        <w:rPr>
          <w:color w:val="FBB315"/>
          <w:spacing w:val="8"/>
          <w:sz w:val="12"/>
        </w:rPr>
        <w:t xml:space="preserve"> </w:t>
      </w:r>
      <w:r>
        <w:rPr>
          <w:color w:val="FBB315"/>
          <w:sz w:val="12"/>
        </w:rPr>
        <w:t>DE</w:t>
      </w:r>
      <w:r>
        <w:rPr>
          <w:color w:val="FBB315"/>
          <w:spacing w:val="6"/>
          <w:sz w:val="12"/>
        </w:rPr>
        <w:t xml:space="preserve"> </w:t>
      </w:r>
      <w:r>
        <w:rPr>
          <w:color w:val="FBB315"/>
          <w:sz w:val="12"/>
        </w:rPr>
        <w:t>LAS</w:t>
      </w:r>
      <w:r>
        <w:rPr>
          <w:color w:val="FBB315"/>
          <w:spacing w:val="7"/>
          <w:sz w:val="12"/>
        </w:rPr>
        <w:t xml:space="preserve"> </w:t>
      </w:r>
      <w:r>
        <w:rPr>
          <w:color w:val="FBB315"/>
          <w:sz w:val="12"/>
        </w:rPr>
        <w:t>MINORÍAS:</w:t>
      </w:r>
      <w:r>
        <w:rPr>
          <w:color w:val="FBB315"/>
          <w:spacing w:val="8"/>
          <w:sz w:val="12"/>
        </w:rPr>
        <w:t xml:space="preserve"> </w:t>
      </w:r>
      <w:r>
        <w:rPr>
          <w:color w:val="FBB315"/>
          <w:sz w:val="12"/>
        </w:rPr>
        <w:t>una</w:t>
      </w:r>
      <w:r>
        <w:rPr>
          <w:color w:val="FBB315"/>
          <w:spacing w:val="7"/>
          <w:sz w:val="12"/>
        </w:rPr>
        <w:t xml:space="preserve"> </w:t>
      </w:r>
      <w:r>
        <w:rPr>
          <w:color w:val="FBB315"/>
          <w:sz w:val="12"/>
        </w:rPr>
        <w:t>guía</w:t>
      </w:r>
      <w:r>
        <w:rPr>
          <w:color w:val="FBB315"/>
          <w:spacing w:val="6"/>
          <w:sz w:val="12"/>
        </w:rPr>
        <w:t xml:space="preserve"> </w:t>
      </w:r>
      <w:r>
        <w:rPr>
          <w:color w:val="FBB315"/>
          <w:sz w:val="12"/>
        </w:rPr>
        <w:t>práctica</w:t>
      </w:r>
      <w:r>
        <w:rPr>
          <w:color w:val="FBB315"/>
          <w:spacing w:val="7"/>
          <w:sz w:val="12"/>
        </w:rPr>
        <w:t xml:space="preserve"> </w:t>
      </w:r>
      <w:r>
        <w:rPr>
          <w:color w:val="FBB315"/>
          <w:sz w:val="12"/>
        </w:rPr>
        <w:t>para</w:t>
      </w:r>
      <w:r>
        <w:rPr>
          <w:color w:val="FBB315"/>
          <w:spacing w:val="8"/>
          <w:sz w:val="12"/>
        </w:rPr>
        <w:t xml:space="preserve"> </w:t>
      </w:r>
      <w:r>
        <w:rPr>
          <w:color w:val="FBB315"/>
          <w:sz w:val="12"/>
        </w:rPr>
        <w:t>desarrollar</w:t>
      </w:r>
      <w:r>
        <w:rPr>
          <w:color w:val="FBB315"/>
          <w:spacing w:val="6"/>
          <w:sz w:val="12"/>
        </w:rPr>
        <w:t xml:space="preserve"> </w:t>
      </w:r>
      <w:r>
        <w:rPr>
          <w:color w:val="FBB315"/>
          <w:sz w:val="12"/>
        </w:rPr>
        <w:t>una</w:t>
      </w:r>
      <w:r>
        <w:rPr>
          <w:color w:val="FBB315"/>
          <w:spacing w:val="7"/>
          <w:sz w:val="12"/>
        </w:rPr>
        <w:t xml:space="preserve"> </w:t>
      </w:r>
      <w:r>
        <w:rPr>
          <w:color w:val="FBB315"/>
          <w:sz w:val="12"/>
        </w:rPr>
        <w:t>legislación</w:t>
      </w:r>
      <w:r>
        <w:rPr>
          <w:color w:val="FBB315"/>
          <w:spacing w:val="8"/>
          <w:sz w:val="12"/>
        </w:rPr>
        <w:t xml:space="preserve"> </w:t>
      </w:r>
      <w:r>
        <w:rPr>
          <w:color w:val="FBB315"/>
          <w:sz w:val="12"/>
        </w:rPr>
        <w:t>integral</w:t>
      </w:r>
      <w:r>
        <w:rPr>
          <w:color w:val="FBB315"/>
          <w:spacing w:val="7"/>
          <w:sz w:val="12"/>
        </w:rPr>
        <w:t xml:space="preserve"> </w:t>
      </w:r>
      <w:r>
        <w:rPr>
          <w:color w:val="FBB315"/>
          <w:sz w:val="12"/>
        </w:rPr>
        <w:t>contra</w:t>
      </w:r>
      <w:r>
        <w:rPr>
          <w:color w:val="FBB315"/>
          <w:spacing w:val="6"/>
          <w:sz w:val="12"/>
        </w:rPr>
        <w:t xml:space="preserve"> </w:t>
      </w:r>
      <w:r>
        <w:rPr>
          <w:color w:val="FBB315"/>
          <w:sz w:val="12"/>
        </w:rPr>
        <w:t>la</w:t>
      </w:r>
      <w:r>
        <w:rPr>
          <w:color w:val="FBB315"/>
          <w:spacing w:val="7"/>
          <w:sz w:val="12"/>
        </w:rPr>
        <w:t xml:space="preserve"> </w:t>
      </w:r>
      <w:r>
        <w:rPr>
          <w:color w:val="FBB315"/>
          <w:spacing w:val="-2"/>
          <w:sz w:val="12"/>
        </w:rPr>
        <w:t>discriminación</w:t>
      </w:r>
    </w:p>
    <w:p w14:paraId="335075B4" w14:textId="77777777" w:rsidR="0014798C" w:rsidRDefault="0014798C">
      <w:pPr>
        <w:pStyle w:val="Textoindependiente"/>
        <w:rPr>
          <w:sz w:val="27"/>
        </w:rPr>
      </w:pPr>
    </w:p>
    <w:p w14:paraId="30C04F83" w14:textId="77777777" w:rsidR="0014798C" w:rsidRDefault="0014798C">
      <w:pPr>
        <w:pStyle w:val="Textoindependiente"/>
        <w:rPr>
          <w:sz w:val="27"/>
        </w:rPr>
      </w:pPr>
    </w:p>
    <w:p w14:paraId="5CB71540" w14:textId="77777777" w:rsidR="0014798C" w:rsidRDefault="0014798C">
      <w:pPr>
        <w:pStyle w:val="Textoindependiente"/>
        <w:spacing w:before="7"/>
        <w:rPr>
          <w:sz w:val="27"/>
        </w:rPr>
      </w:pPr>
    </w:p>
    <w:p w14:paraId="76B72F15" w14:textId="77777777" w:rsidR="0014798C" w:rsidRDefault="004E1F0B">
      <w:pPr>
        <w:pStyle w:val="Prrafodelista"/>
        <w:numPr>
          <w:ilvl w:val="0"/>
          <w:numId w:val="5"/>
        </w:numPr>
        <w:tabs>
          <w:tab w:val="left" w:pos="1426"/>
        </w:tabs>
        <w:ind w:left="1426" w:hanging="303"/>
        <w:rPr>
          <w:color w:val="FBB315"/>
          <w:sz w:val="27"/>
        </w:rPr>
      </w:pPr>
      <w:bookmarkStart w:id="38" w:name="medidas"/>
      <w:r>
        <w:rPr>
          <w:color w:val="FBB315"/>
          <w:sz w:val="27"/>
        </w:rPr>
        <w:t>MEDIDAS</w:t>
      </w:r>
      <w:r>
        <w:rPr>
          <w:color w:val="FBB315"/>
          <w:spacing w:val="7"/>
          <w:sz w:val="27"/>
        </w:rPr>
        <w:t xml:space="preserve"> </w:t>
      </w:r>
      <w:r>
        <w:rPr>
          <w:color w:val="FBB315"/>
          <w:spacing w:val="-2"/>
          <w:sz w:val="27"/>
        </w:rPr>
        <w:t>ESPECÍFICAS</w:t>
      </w:r>
    </w:p>
    <w:bookmarkEnd w:id="38"/>
    <w:p w14:paraId="6C963BFA" w14:textId="77777777" w:rsidR="0014798C" w:rsidRDefault="0014798C">
      <w:pPr>
        <w:pStyle w:val="Textoindependiente"/>
        <w:spacing w:before="26"/>
        <w:rPr>
          <w:sz w:val="27"/>
        </w:rPr>
      </w:pPr>
    </w:p>
    <w:p w14:paraId="5A87CFB1" w14:textId="77777777" w:rsidR="0014798C" w:rsidRDefault="004E1F0B">
      <w:pPr>
        <w:numPr>
          <w:ilvl w:val="1"/>
          <w:numId w:val="5"/>
        </w:numPr>
        <w:tabs>
          <w:tab w:val="left" w:pos="1434"/>
        </w:tabs>
        <w:ind w:left="1434" w:hanging="334"/>
        <w:rPr>
          <w:color w:val="FBB315"/>
          <w:sz w:val="27"/>
        </w:rPr>
      </w:pPr>
      <w:r>
        <w:rPr>
          <w:color w:val="FBB315"/>
          <w:sz w:val="27"/>
        </w:rPr>
        <w:t>Participación</w:t>
      </w:r>
      <w:r>
        <w:rPr>
          <w:color w:val="FBB315"/>
          <w:spacing w:val="2"/>
          <w:sz w:val="27"/>
        </w:rPr>
        <w:t xml:space="preserve"> </w:t>
      </w:r>
      <w:r>
        <w:rPr>
          <w:color w:val="FBB315"/>
          <w:sz w:val="27"/>
        </w:rPr>
        <w:t>y</w:t>
      </w:r>
      <w:r>
        <w:rPr>
          <w:color w:val="FBB315"/>
          <w:spacing w:val="3"/>
          <w:sz w:val="27"/>
        </w:rPr>
        <w:t xml:space="preserve"> </w:t>
      </w:r>
      <w:r>
        <w:rPr>
          <w:color w:val="FBB315"/>
          <w:sz w:val="27"/>
        </w:rPr>
        <w:t>representación</w:t>
      </w:r>
      <w:r>
        <w:rPr>
          <w:color w:val="FBB315"/>
          <w:spacing w:val="4"/>
          <w:sz w:val="27"/>
        </w:rPr>
        <w:t xml:space="preserve"> </w:t>
      </w:r>
      <w:r>
        <w:rPr>
          <w:color w:val="FBB315"/>
          <w:sz w:val="27"/>
        </w:rPr>
        <w:t>en</w:t>
      </w:r>
      <w:r>
        <w:rPr>
          <w:color w:val="FBB315"/>
          <w:spacing w:val="3"/>
          <w:sz w:val="27"/>
        </w:rPr>
        <w:t xml:space="preserve"> </w:t>
      </w:r>
      <w:r>
        <w:rPr>
          <w:color w:val="FBB315"/>
          <w:sz w:val="27"/>
        </w:rPr>
        <w:t>la</w:t>
      </w:r>
      <w:r>
        <w:rPr>
          <w:color w:val="FBB315"/>
          <w:spacing w:val="4"/>
          <w:sz w:val="27"/>
        </w:rPr>
        <w:t xml:space="preserve"> </w:t>
      </w:r>
      <w:r>
        <w:rPr>
          <w:color w:val="FBB315"/>
          <w:sz w:val="27"/>
        </w:rPr>
        <w:t>vida</w:t>
      </w:r>
      <w:r>
        <w:rPr>
          <w:color w:val="FBB315"/>
          <w:spacing w:val="3"/>
          <w:sz w:val="27"/>
        </w:rPr>
        <w:t xml:space="preserve"> </w:t>
      </w:r>
      <w:r>
        <w:rPr>
          <w:color w:val="FBB315"/>
          <w:spacing w:val="-2"/>
          <w:sz w:val="27"/>
        </w:rPr>
        <w:t>pública</w:t>
      </w:r>
    </w:p>
    <w:p w14:paraId="2737AC78" w14:textId="77777777" w:rsidR="0014798C" w:rsidRDefault="004E1F0B">
      <w:pPr>
        <w:pStyle w:val="Textoindependiente"/>
        <w:spacing w:before="178" w:line="324" w:lineRule="auto"/>
        <w:ind w:left="1107" w:right="1272" w:firstLine="3"/>
      </w:pPr>
      <w:r>
        <w:t>Tanto los tratados internacionales de derechos humanos como los mecanismos de derechos humanos de las Naciones Unidas</w:t>
      </w:r>
      <w:r>
        <w:rPr>
          <w:spacing w:val="40"/>
        </w:rPr>
        <w:t xml:space="preserve"> </w:t>
      </w:r>
      <w:r>
        <w:t>destacan</w:t>
      </w:r>
      <w:r>
        <w:rPr>
          <w:spacing w:val="17"/>
        </w:rPr>
        <w:t xml:space="preserve"> </w:t>
      </w:r>
      <w:r>
        <w:t>en</w:t>
      </w:r>
      <w:r>
        <w:rPr>
          <w:spacing w:val="19"/>
        </w:rPr>
        <w:t xml:space="preserve"> </w:t>
      </w:r>
      <w:r>
        <w:t>términos</w:t>
      </w:r>
      <w:r>
        <w:rPr>
          <w:spacing w:val="17"/>
        </w:rPr>
        <w:t xml:space="preserve"> </w:t>
      </w:r>
      <w:r>
        <w:t>más</w:t>
      </w:r>
      <w:r>
        <w:rPr>
          <w:spacing w:val="19"/>
        </w:rPr>
        <w:t xml:space="preserve"> </w:t>
      </w:r>
      <w:r>
        <w:t>generales</w:t>
      </w:r>
      <w:r>
        <w:rPr>
          <w:spacing w:val="17"/>
        </w:rPr>
        <w:t xml:space="preserve"> </w:t>
      </w:r>
      <w:r>
        <w:t>la</w:t>
      </w:r>
      <w:r>
        <w:rPr>
          <w:spacing w:val="19"/>
        </w:rPr>
        <w:t xml:space="preserve"> </w:t>
      </w:r>
      <w:r>
        <w:t>centralidad</w:t>
      </w:r>
      <w:r>
        <w:rPr>
          <w:spacing w:val="17"/>
        </w:rPr>
        <w:t xml:space="preserve"> </w:t>
      </w:r>
      <w:r>
        <w:t>del</w:t>
      </w:r>
      <w:r>
        <w:rPr>
          <w:spacing w:val="19"/>
        </w:rPr>
        <w:t xml:space="preserve"> </w:t>
      </w:r>
      <w:r>
        <w:t>empoderamiento</w:t>
      </w:r>
      <w:r>
        <w:rPr>
          <w:spacing w:val="17"/>
        </w:rPr>
        <w:t xml:space="preserve"> </w:t>
      </w:r>
      <w:r>
        <w:t>y</w:t>
      </w:r>
      <w:r>
        <w:rPr>
          <w:spacing w:val="19"/>
        </w:rPr>
        <w:t xml:space="preserve"> </w:t>
      </w:r>
      <w:r>
        <w:t>la</w:t>
      </w:r>
      <w:r>
        <w:rPr>
          <w:spacing w:val="19"/>
        </w:rPr>
        <w:t xml:space="preserve"> </w:t>
      </w:r>
      <w:r>
        <w:t>participación</w:t>
      </w:r>
      <w:r>
        <w:rPr>
          <w:spacing w:val="17"/>
        </w:rPr>
        <w:t xml:space="preserve"> </w:t>
      </w:r>
      <w:r>
        <w:t>de</w:t>
      </w:r>
      <w:r>
        <w:rPr>
          <w:spacing w:val="19"/>
        </w:rPr>
        <w:t xml:space="preserve"> </w:t>
      </w:r>
      <w:r>
        <w:t>los</w:t>
      </w:r>
      <w:r>
        <w:rPr>
          <w:spacing w:val="19"/>
        </w:rPr>
        <w:t xml:space="preserve"> </w:t>
      </w:r>
      <w:r>
        <w:t>titulares</w:t>
      </w:r>
      <w:r>
        <w:rPr>
          <w:spacing w:val="17"/>
        </w:rPr>
        <w:t xml:space="preserve"> </w:t>
      </w:r>
      <w:r>
        <w:t>de</w:t>
      </w:r>
      <w:r>
        <w:rPr>
          <w:spacing w:val="19"/>
        </w:rPr>
        <w:t xml:space="preserve"> </w:t>
      </w:r>
      <w:r>
        <w:t>derechos</w:t>
      </w:r>
      <w:r>
        <w:rPr>
          <w:spacing w:val="17"/>
        </w:rPr>
        <w:t xml:space="preserve"> </w:t>
      </w:r>
      <w:r>
        <w:t>como parte de las obligaciones legales de los Estados de eliminar la discriminación. Esto es cierto no sólo por razones de justicia y reparación</w:t>
      </w:r>
      <w:r>
        <w:rPr>
          <w:spacing w:val="19"/>
        </w:rPr>
        <w:t xml:space="preserve"> </w:t>
      </w:r>
      <w:r>
        <w:t>debida,</w:t>
      </w:r>
      <w:r>
        <w:rPr>
          <w:spacing w:val="19"/>
        </w:rPr>
        <w:t xml:space="preserve"> </w:t>
      </w:r>
      <w:r>
        <w:t>sino</w:t>
      </w:r>
      <w:r>
        <w:rPr>
          <w:spacing w:val="19"/>
        </w:rPr>
        <w:t xml:space="preserve"> </w:t>
      </w:r>
      <w:r>
        <w:t>también</w:t>
      </w:r>
      <w:r>
        <w:rPr>
          <w:spacing w:val="17"/>
        </w:rPr>
        <w:t xml:space="preserve"> </w:t>
      </w:r>
      <w:r>
        <w:t>porque</w:t>
      </w:r>
      <w:r>
        <w:rPr>
          <w:spacing w:val="19"/>
        </w:rPr>
        <w:t xml:space="preserve"> </w:t>
      </w:r>
      <w:r>
        <w:t>garantizar</w:t>
      </w:r>
      <w:r>
        <w:rPr>
          <w:spacing w:val="17"/>
        </w:rPr>
        <w:t xml:space="preserve"> </w:t>
      </w:r>
      <w:r>
        <w:t>la</w:t>
      </w:r>
      <w:r>
        <w:rPr>
          <w:spacing w:val="19"/>
        </w:rPr>
        <w:t xml:space="preserve"> </w:t>
      </w:r>
      <w:r>
        <w:t>representación</w:t>
      </w:r>
      <w:r>
        <w:rPr>
          <w:spacing w:val="19"/>
        </w:rPr>
        <w:t xml:space="preserve"> </w:t>
      </w:r>
      <w:r>
        <w:t>e</w:t>
      </w:r>
      <w:r>
        <w:rPr>
          <w:spacing w:val="19"/>
        </w:rPr>
        <w:t xml:space="preserve"> </w:t>
      </w:r>
      <w:r>
        <w:t>inclusión</w:t>
      </w:r>
      <w:r>
        <w:rPr>
          <w:spacing w:val="19"/>
        </w:rPr>
        <w:t xml:space="preserve"> </w:t>
      </w:r>
      <w:r>
        <w:t>de</w:t>
      </w:r>
      <w:r>
        <w:rPr>
          <w:spacing w:val="19"/>
        </w:rPr>
        <w:t xml:space="preserve"> </w:t>
      </w:r>
      <w:r>
        <w:t>grupos</w:t>
      </w:r>
      <w:r>
        <w:rPr>
          <w:spacing w:val="17"/>
        </w:rPr>
        <w:t xml:space="preserve"> </w:t>
      </w:r>
      <w:r>
        <w:t>expuestos</w:t>
      </w:r>
      <w:r>
        <w:rPr>
          <w:spacing w:val="17"/>
        </w:rPr>
        <w:t xml:space="preserve"> </w:t>
      </w:r>
      <w:r>
        <w:t>a</w:t>
      </w:r>
      <w:r>
        <w:rPr>
          <w:spacing w:val="19"/>
        </w:rPr>
        <w:t xml:space="preserve"> </w:t>
      </w:r>
      <w:r>
        <w:t>discriminación</w:t>
      </w:r>
      <w:r>
        <w:rPr>
          <w:spacing w:val="19"/>
        </w:rPr>
        <w:t xml:space="preserve"> </w:t>
      </w:r>
      <w:r>
        <w:t>en</w:t>
      </w:r>
      <w:r>
        <w:rPr>
          <w:spacing w:val="19"/>
        </w:rPr>
        <w:t xml:space="preserve"> </w:t>
      </w:r>
      <w:r>
        <w:t>la vida pública y política desempeña un papel importante a la hora de desafiar los prejuicios,</w:t>
      </w:r>
      <w:r>
        <w:rPr>
          <w:spacing w:val="16"/>
        </w:rPr>
        <w:t xml:space="preserve"> </w:t>
      </w:r>
      <w:r>
        <w:t>los estereotipos y el estigma. La</w:t>
      </w:r>
    </w:p>
    <w:p w14:paraId="1DE0320A" w14:textId="77777777" w:rsidR="0014798C" w:rsidRDefault="004E1F0B">
      <w:pPr>
        <w:pStyle w:val="Textoindependiente"/>
        <w:spacing w:line="173" w:lineRule="exact"/>
        <w:ind w:left="1107"/>
      </w:pPr>
      <w:r>
        <w:t>Convención</w:t>
      </w:r>
      <w:r>
        <w:rPr>
          <w:spacing w:val="6"/>
        </w:rPr>
        <w:t xml:space="preserve"> </w:t>
      </w:r>
      <w:r>
        <w:t>Internacional</w:t>
      </w:r>
      <w:r>
        <w:rPr>
          <w:spacing w:val="5"/>
        </w:rPr>
        <w:t xml:space="preserve"> </w:t>
      </w:r>
      <w:r>
        <w:t>sobre</w:t>
      </w:r>
      <w:r>
        <w:rPr>
          <w:spacing w:val="6"/>
        </w:rPr>
        <w:t xml:space="preserve"> </w:t>
      </w:r>
      <w:r>
        <w:t>la</w:t>
      </w:r>
      <w:r>
        <w:rPr>
          <w:spacing w:val="6"/>
        </w:rPr>
        <w:t xml:space="preserve"> </w:t>
      </w:r>
      <w:r>
        <w:t>Eliminación</w:t>
      </w:r>
      <w:r>
        <w:rPr>
          <w:spacing w:val="5"/>
        </w:rPr>
        <w:t xml:space="preserve"> </w:t>
      </w:r>
      <w:r>
        <w:t>de</w:t>
      </w:r>
      <w:r>
        <w:rPr>
          <w:spacing w:val="6"/>
        </w:rPr>
        <w:t xml:space="preserve"> </w:t>
      </w:r>
      <w:r>
        <w:t>todas</w:t>
      </w:r>
      <w:r>
        <w:rPr>
          <w:spacing w:val="5"/>
        </w:rPr>
        <w:t xml:space="preserve"> </w:t>
      </w:r>
      <w:r>
        <w:t>las</w:t>
      </w:r>
      <w:r>
        <w:rPr>
          <w:spacing w:val="6"/>
        </w:rPr>
        <w:t xml:space="preserve"> </w:t>
      </w:r>
      <w:r>
        <w:t>Formas</w:t>
      </w:r>
      <w:r>
        <w:rPr>
          <w:spacing w:val="5"/>
        </w:rPr>
        <w:t xml:space="preserve"> </w:t>
      </w:r>
      <w:r>
        <w:t>de</w:t>
      </w:r>
      <w:r>
        <w:rPr>
          <w:spacing w:val="6"/>
        </w:rPr>
        <w:t xml:space="preserve"> </w:t>
      </w:r>
      <w:r>
        <w:t>Discriminación</w:t>
      </w:r>
      <w:r>
        <w:rPr>
          <w:spacing w:val="6"/>
        </w:rPr>
        <w:t xml:space="preserve"> </w:t>
      </w:r>
      <w:r>
        <w:t>Racial,</w:t>
      </w:r>
      <w:r>
        <w:rPr>
          <w:spacing w:val="6"/>
        </w:rPr>
        <w:t xml:space="preserve"> </w:t>
      </w:r>
      <w:r>
        <w:t>la</w:t>
      </w:r>
      <w:r>
        <w:rPr>
          <w:spacing w:val="6"/>
        </w:rPr>
        <w:t xml:space="preserve"> </w:t>
      </w:r>
      <w:r>
        <w:t>Convención</w:t>
      </w:r>
      <w:r>
        <w:rPr>
          <w:spacing w:val="6"/>
        </w:rPr>
        <w:t xml:space="preserve"> </w:t>
      </w:r>
      <w:r>
        <w:t>sobre</w:t>
      </w:r>
      <w:r>
        <w:rPr>
          <w:spacing w:val="6"/>
        </w:rPr>
        <w:t xml:space="preserve"> </w:t>
      </w:r>
      <w:r>
        <w:t>la</w:t>
      </w:r>
      <w:r>
        <w:rPr>
          <w:spacing w:val="6"/>
        </w:rPr>
        <w:t xml:space="preserve"> </w:t>
      </w:r>
      <w:r>
        <w:rPr>
          <w:spacing w:val="-2"/>
        </w:rPr>
        <w:t>Eliminación</w:t>
      </w:r>
    </w:p>
    <w:p w14:paraId="3CEC772F" w14:textId="77777777" w:rsidR="0014798C" w:rsidRDefault="004E1F0B">
      <w:pPr>
        <w:pStyle w:val="Textoindependiente"/>
        <w:spacing w:before="71" w:line="324" w:lineRule="auto"/>
        <w:ind w:left="1108" w:right="1272"/>
      </w:pPr>
      <w:r>
        <w:t>de Todas las Formas de Discriminación contra la Mujer y la Convención sobre los Derechos de las Personas con Discapacidad establecen una serie de requisitos para los Estados a este respecto.</w:t>
      </w:r>
    </w:p>
    <w:p w14:paraId="56A51FD6" w14:textId="77777777" w:rsidR="0014798C" w:rsidRDefault="004E1F0B">
      <w:pPr>
        <w:pStyle w:val="Textoindependiente"/>
        <w:spacing w:before="151" w:line="324" w:lineRule="auto"/>
        <w:ind w:left="1107" w:right="1335" w:hanging="1"/>
      </w:pPr>
      <w:r>
        <w:t>El</w:t>
      </w:r>
      <w:r>
        <w:rPr>
          <w:spacing w:val="12"/>
        </w:rPr>
        <w:t xml:space="preserve"> </w:t>
      </w:r>
      <w:r>
        <w:t>artículo</w:t>
      </w:r>
      <w:r>
        <w:rPr>
          <w:spacing w:val="12"/>
        </w:rPr>
        <w:t xml:space="preserve"> </w:t>
      </w:r>
      <w:r>
        <w:t>2</w:t>
      </w:r>
      <w:r>
        <w:rPr>
          <w:spacing w:val="14"/>
        </w:rPr>
        <w:t xml:space="preserve"> </w:t>
      </w:r>
      <w:r>
        <w:t>(1)</w:t>
      </w:r>
      <w:r>
        <w:rPr>
          <w:spacing w:val="14"/>
        </w:rPr>
        <w:t xml:space="preserve"> </w:t>
      </w:r>
      <w:r>
        <w:t>(e)</w:t>
      </w:r>
      <w:r>
        <w:rPr>
          <w:spacing w:val="14"/>
        </w:rPr>
        <w:t xml:space="preserve"> </w:t>
      </w:r>
      <w:r>
        <w:t>de</w:t>
      </w:r>
      <w:r>
        <w:rPr>
          <w:spacing w:val="14"/>
        </w:rPr>
        <w:t xml:space="preserve"> </w:t>
      </w:r>
      <w:r>
        <w:t>la</w:t>
      </w:r>
      <w:r>
        <w:rPr>
          <w:spacing w:val="14"/>
        </w:rPr>
        <w:t xml:space="preserve"> </w:t>
      </w:r>
      <w:r>
        <w:t>Convención</w:t>
      </w:r>
      <w:r>
        <w:rPr>
          <w:spacing w:val="14"/>
        </w:rPr>
        <w:t xml:space="preserve"> </w:t>
      </w:r>
      <w:r>
        <w:t>Internacional</w:t>
      </w:r>
      <w:r>
        <w:rPr>
          <w:spacing w:val="12"/>
        </w:rPr>
        <w:t xml:space="preserve"> </w:t>
      </w:r>
      <w:r>
        <w:t>sobre</w:t>
      </w:r>
      <w:r>
        <w:rPr>
          <w:spacing w:val="14"/>
        </w:rPr>
        <w:t xml:space="preserve"> </w:t>
      </w:r>
      <w:r>
        <w:t>la</w:t>
      </w:r>
      <w:r>
        <w:rPr>
          <w:spacing w:val="14"/>
        </w:rPr>
        <w:t xml:space="preserve"> </w:t>
      </w:r>
      <w:r>
        <w:t>Eliminación</w:t>
      </w:r>
      <w:r>
        <w:rPr>
          <w:spacing w:val="12"/>
        </w:rPr>
        <w:t xml:space="preserve"> </w:t>
      </w:r>
      <w:r>
        <w:t>de</w:t>
      </w:r>
      <w:r>
        <w:rPr>
          <w:spacing w:val="14"/>
        </w:rPr>
        <w:t xml:space="preserve"> </w:t>
      </w:r>
      <w:r>
        <w:t>todas</w:t>
      </w:r>
      <w:r>
        <w:rPr>
          <w:spacing w:val="12"/>
        </w:rPr>
        <w:t xml:space="preserve"> </w:t>
      </w:r>
      <w:r>
        <w:t>las</w:t>
      </w:r>
      <w:r>
        <w:rPr>
          <w:spacing w:val="14"/>
        </w:rPr>
        <w:t xml:space="preserve"> </w:t>
      </w:r>
      <w:r>
        <w:t>Formas</w:t>
      </w:r>
      <w:r>
        <w:rPr>
          <w:spacing w:val="12"/>
        </w:rPr>
        <w:t xml:space="preserve"> </w:t>
      </w:r>
      <w:r>
        <w:t>de</w:t>
      </w:r>
      <w:r>
        <w:rPr>
          <w:spacing w:val="14"/>
        </w:rPr>
        <w:t xml:space="preserve"> </w:t>
      </w:r>
      <w:r>
        <w:t>Discriminación</w:t>
      </w:r>
      <w:r>
        <w:rPr>
          <w:spacing w:val="14"/>
        </w:rPr>
        <w:t xml:space="preserve"> </w:t>
      </w:r>
      <w:r>
        <w:t>Racial</w:t>
      </w:r>
      <w:r>
        <w:rPr>
          <w:spacing w:val="14"/>
        </w:rPr>
        <w:t xml:space="preserve"> </w:t>
      </w:r>
      <w:r>
        <w:t>obliga</w:t>
      </w:r>
      <w:r>
        <w:rPr>
          <w:spacing w:val="14"/>
        </w:rPr>
        <w:t xml:space="preserve"> </w:t>
      </w:r>
      <w:r>
        <w:t xml:space="preserve">a los </w:t>
      </w:r>
      <w:proofErr w:type="gramStart"/>
      <w:r>
        <w:t>Estados partes</w:t>
      </w:r>
      <w:proofErr w:type="gramEnd"/>
      <w:r>
        <w:t xml:space="preserve"> a “alentar, cuando proceda, las organizaciones y movimientos multirraciales integracionistas y otros medios</w:t>
      </w:r>
      <w:r>
        <w:rPr>
          <w:spacing w:val="40"/>
        </w:rPr>
        <w:t xml:space="preserve"> </w:t>
      </w:r>
      <w:r>
        <w:t>para</w:t>
      </w:r>
      <w:r>
        <w:rPr>
          <w:spacing w:val="9"/>
        </w:rPr>
        <w:t xml:space="preserve"> </w:t>
      </w:r>
      <w:r>
        <w:t>eliminar</w:t>
      </w:r>
      <w:r>
        <w:rPr>
          <w:spacing w:val="8"/>
        </w:rPr>
        <w:t xml:space="preserve"> </w:t>
      </w:r>
      <w:r>
        <w:t>las</w:t>
      </w:r>
      <w:r>
        <w:rPr>
          <w:spacing w:val="9"/>
        </w:rPr>
        <w:t xml:space="preserve"> </w:t>
      </w:r>
      <w:r>
        <w:t>barreras</w:t>
      </w:r>
      <w:r>
        <w:rPr>
          <w:spacing w:val="8"/>
        </w:rPr>
        <w:t xml:space="preserve"> </w:t>
      </w:r>
      <w:r>
        <w:t>entre</w:t>
      </w:r>
      <w:r>
        <w:rPr>
          <w:spacing w:val="8"/>
        </w:rPr>
        <w:t xml:space="preserve"> </w:t>
      </w:r>
      <w:r>
        <w:t>las</w:t>
      </w:r>
      <w:r>
        <w:rPr>
          <w:spacing w:val="9"/>
        </w:rPr>
        <w:t xml:space="preserve"> </w:t>
      </w:r>
      <w:r>
        <w:t>razas,</w:t>
      </w:r>
      <w:r>
        <w:rPr>
          <w:spacing w:val="9"/>
        </w:rPr>
        <w:t xml:space="preserve"> </w:t>
      </w:r>
      <w:r>
        <w:t>y</w:t>
      </w:r>
      <w:r>
        <w:rPr>
          <w:spacing w:val="9"/>
        </w:rPr>
        <w:t xml:space="preserve"> </w:t>
      </w:r>
      <w:r>
        <w:t>a</w:t>
      </w:r>
      <w:r>
        <w:rPr>
          <w:spacing w:val="9"/>
        </w:rPr>
        <w:t xml:space="preserve"> </w:t>
      </w:r>
      <w:r>
        <w:t>desalentar</w:t>
      </w:r>
      <w:r>
        <w:rPr>
          <w:spacing w:val="8"/>
        </w:rPr>
        <w:t xml:space="preserve"> </w:t>
      </w:r>
      <w:r>
        <w:t>todo</w:t>
      </w:r>
      <w:r>
        <w:rPr>
          <w:spacing w:val="8"/>
        </w:rPr>
        <w:t xml:space="preserve"> </w:t>
      </w:r>
      <w:r>
        <w:t>lo</w:t>
      </w:r>
      <w:r>
        <w:rPr>
          <w:spacing w:val="9"/>
        </w:rPr>
        <w:t xml:space="preserve"> </w:t>
      </w:r>
      <w:r>
        <w:t>que</w:t>
      </w:r>
      <w:r>
        <w:rPr>
          <w:spacing w:val="9"/>
        </w:rPr>
        <w:t xml:space="preserve"> </w:t>
      </w:r>
      <w:r>
        <w:t>tiende</w:t>
      </w:r>
      <w:r>
        <w:rPr>
          <w:spacing w:val="8"/>
        </w:rPr>
        <w:t xml:space="preserve"> </w:t>
      </w:r>
      <w:r>
        <w:t>a</w:t>
      </w:r>
      <w:r>
        <w:rPr>
          <w:spacing w:val="9"/>
        </w:rPr>
        <w:t xml:space="preserve"> </w:t>
      </w:r>
      <w:r>
        <w:t>fortalecer</w:t>
      </w:r>
      <w:r>
        <w:rPr>
          <w:spacing w:val="8"/>
        </w:rPr>
        <w:t xml:space="preserve"> </w:t>
      </w:r>
      <w:r>
        <w:t>la</w:t>
      </w:r>
      <w:r>
        <w:rPr>
          <w:spacing w:val="9"/>
        </w:rPr>
        <w:t xml:space="preserve"> </w:t>
      </w:r>
      <w:r>
        <w:t>división</w:t>
      </w:r>
      <w:r>
        <w:rPr>
          <w:spacing w:val="9"/>
        </w:rPr>
        <w:t xml:space="preserve"> </w:t>
      </w:r>
      <w:r>
        <w:t>racial”.</w:t>
      </w:r>
      <w:r>
        <w:rPr>
          <w:spacing w:val="9"/>
        </w:rPr>
        <w:t xml:space="preserve"> </w:t>
      </w:r>
      <w:r>
        <w:t>Este</w:t>
      </w:r>
      <w:r>
        <w:rPr>
          <w:spacing w:val="8"/>
        </w:rPr>
        <w:t xml:space="preserve"> </w:t>
      </w:r>
      <w:r>
        <w:t>deber</w:t>
      </w:r>
      <w:r>
        <w:rPr>
          <w:spacing w:val="8"/>
        </w:rPr>
        <w:t xml:space="preserve"> </w:t>
      </w:r>
      <w:r>
        <w:t>de</w:t>
      </w:r>
      <w:r>
        <w:rPr>
          <w:spacing w:val="9"/>
        </w:rPr>
        <w:t xml:space="preserve"> </w:t>
      </w:r>
      <w:r>
        <w:t>apoyar y fortalecer los movimientos y el activismo de la sociedad civil complementa la obligación contenida en el artículo 5 (c) de garantizar</w:t>
      </w:r>
      <w:r>
        <w:rPr>
          <w:spacing w:val="11"/>
        </w:rPr>
        <w:t xml:space="preserve"> </w:t>
      </w:r>
      <w:r>
        <w:t>el</w:t>
      </w:r>
      <w:r>
        <w:rPr>
          <w:spacing w:val="12"/>
        </w:rPr>
        <w:t xml:space="preserve"> </w:t>
      </w:r>
      <w:r>
        <w:t>disfrute</w:t>
      </w:r>
      <w:r>
        <w:rPr>
          <w:spacing w:val="11"/>
        </w:rPr>
        <w:t xml:space="preserve"> </w:t>
      </w:r>
      <w:r>
        <w:t>igualitario</w:t>
      </w:r>
      <w:r>
        <w:rPr>
          <w:spacing w:val="11"/>
        </w:rPr>
        <w:t xml:space="preserve"> </w:t>
      </w:r>
      <w:r>
        <w:t>de</w:t>
      </w:r>
      <w:r>
        <w:rPr>
          <w:spacing w:val="12"/>
        </w:rPr>
        <w:t xml:space="preserve"> </w:t>
      </w:r>
      <w:r>
        <w:t>los</w:t>
      </w:r>
      <w:r>
        <w:rPr>
          <w:spacing w:val="12"/>
        </w:rPr>
        <w:t xml:space="preserve"> </w:t>
      </w:r>
      <w:r>
        <w:t>derechos</w:t>
      </w:r>
      <w:r>
        <w:rPr>
          <w:spacing w:val="11"/>
        </w:rPr>
        <w:t xml:space="preserve"> </w:t>
      </w:r>
      <w:r>
        <w:t>políticos,</w:t>
      </w:r>
      <w:r>
        <w:rPr>
          <w:spacing w:val="12"/>
        </w:rPr>
        <w:t xml:space="preserve"> </w:t>
      </w:r>
      <w:r>
        <w:t>que</w:t>
      </w:r>
      <w:r>
        <w:rPr>
          <w:spacing w:val="12"/>
        </w:rPr>
        <w:t xml:space="preserve"> </w:t>
      </w:r>
      <w:r>
        <w:t>incluyen</w:t>
      </w:r>
      <w:r>
        <w:rPr>
          <w:spacing w:val="12"/>
        </w:rPr>
        <w:t xml:space="preserve"> </w:t>
      </w:r>
      <w:r>
        <w:t>“en</w:t>
      </w:r>
      <w:r>
        <w:rPr>
          <w:spacing w:val="12"/>
        </w:rPr>
        <w:t xml:space="preserve"> </w:t>
      </w:r>
      <w:r>
        <w:t>particular</w:t>
      </w:r>
      <w:r>
        <w:rPr>
          <w:spacing w:val="11"/>
        </w:rPr>
        <w:t xml:space="preserve"> </w:t>
      </w:r>
      <w:r>
        <w:t>el</w:t>
      </w:r>
      <w:r>
        <w:rPr>
          <w:spacing w:val="12"/>
        </w:rPr>
        <w:t xml:space="preserve"> </w:t>
      </w:r>
      <w:r>
        <w:t>derecho</w:t>
      </w:r>
      <w:r>
        <w:rPr>
          <w:spacing w:val="12"/>
        </w:rPr>
        <w:t xml:space="preserve"> </w:t>
      </w:r>
      <w:r>
        <w:t>a</w:t>
      </w:r>
      <w:r>
        <w:rPr>
          <w:spacing w:val="12"/>
        </w:rPr>
        <w:t xml:space="preserve"> </w:t>
      </w:r>
      <w:r>
        <w:t>participar</w:t>
      </w:r>
      <w:r>
        <w:rPr>
          <w:spacing w:val="11"/>
        </w:rPr>
        <w:t xml:space="preserve"> </w:t>
      </w:r>
      <w:r>
        <w:t>en</w:t>
      </w:r>
      <w:r>
        <w:rPr>
          <w:spacing w:val="12"/>
        </w:rPr>
        <w:t xml:space="preserve"> </w:t>
      </w:r>
      <w:r>
        <w:t>las</w:t>
      </w:r>
      <w:r>
        <w:rPr>
          <w:spacing w:val="12"/>
        </w:rPr>
        <w:t xml:space="preserve"> </w:t>
      </w:r>
      <w:r>
        <w:t>elecciones</w:t>
      </w:r>
      <w:r>
        <w:rPr>
          <w:spacing w:val="11"/>
        </w:rPr>
        <w:t xml:space="preserve"> </w:t>
      </w:r>
      <w:r>
        <w:t>– a</w:t>
      </w:r>
      <w:r>
        <w:rPr>
          <w:spacing w:val="13"/>
        </w:rPr>
        <w:t xml:space="preserve"> </w:t>
      </w:r>
      <w:r>
        <w:t>votar</w:t>
      </w:r>
      <w:r>
        <w:rPr>
          <w:spacing w:val="12"/>
        </w:rPr>
        <w:t xml:space="preserve"> </w:t>
      </w:r>
      <w:r>
        <w:t>y</w:t>
      </w:r>
      <w:r>
        <w:rPr>
          <w:spacing w:val="13"/>
        </w:rPr>
        <w:t xml:space="preserve"> </w:t>
      </w:r>
      <w:r>
        <w:t>a</w:t>
      </w:r>
      <w:r>
        <w:rPr>
          <w:spacing w:val="13"/>
        </w:rPr>
        <w:t xml:space="preserve"> </w:t>
      </w:r>
      <w:r>
        <w:t>presentarse</w:t>
      </w:r>
      <w:r>
        <w:rPr>
          <w:spacing w:val="13"/>
        </w:rPr>
        <w:t xml:space="preserve"> </w:t>
      </w:r>
      <w:r>
        <w:t>a</w:t>
      </w:r>
      <w:r>
        <w:rPr>
          <w:spacing w:val="13"/>
        </w:rPr>
        <w:t xml:space="preserve"> </w:t>
      </w:r>
      <w:r>
        <w:t>las</w:t>
      </w:r>
      <w:r>
        <w:rPr>
          <w:spacing w:val="13"/>
        </w:rPr>
        <w:t xml:space="preserve"> </w:t>
      </w:r>
      <w:r>
        <w:t>elecciones–.</w:t>
      </w:r>
      <w:r>
        <w:rPr>
          <w:spacing w:val="14"/>
        </w:rPr>
        <w:t xml:space="preserve"> </w:t>
      </w:r>
      <w:r>
        <w:t>sobre</w:t>
      </w:r>
      <w:r>
        <w:rPr>
          <w:spacing w:val="13"/>
        </w:rPr>
        <w:t xml:space="preserve"> </w:t>
      </w:r>
      <w:r>
        <w:t>la</w:t>
      </w:r>
      <w:r>
        <w:rPr>
          <w:spacing w:val="13"/>
        </w:rPr>
        <w:t xml:space="preserve"> </w:t>
      </w:r>
      <w:r>
        <w:t>base</w:t>
      </w:r>
      <w:r>
        <w:rPr>
          <w:spacing w:val="13"/>
        </w:rPr>
        <w:t xml:space="preserve"> </w:t>
      </w:r>
      <w:r>
        <w:t>del</w:t>
      </w:r>
      <w:r>
        <w:rPr>
          <w:spacing w:val="13"/>
        </w:rPr>
        <w:t xml:space="preserve"> </w:t>
      </w:r>
      <w:r>
        <w:t>sufragio</w:t>
      </w:r>
      <w:r>
        <w:rPr>
          <w:spacing w:val="12"/>
        </w:rPr>
        <w:t xml:space="preserve"> </w:t>
      </w:r>
      <w:r>
        <w:t>universal</w:t>
      </w:r>
      <w:r>
        <w:rPr>
          <w:spacing w:val="13"/>
        </w:rPr>
        <w:t xml:space="preserve"> </w:t>
      </w:r>
      <w:r>
        <w:t>e</w:t>
      </w:r>
      <w:r>
        <w:rPr>
          <w:spacing w:val="13"/>
        </w:rPr>
        <w:t xml:space="preserve"> </w:t>
      </w:r>
      <w:r>
        <w:t>igual,</w:t>
      </w:r>
      <w:r>
        <w:rPr>
          <w:spacing w:val="13"/>
        </w:rPr>
        <w:t xml:space="preserve"> </w:t>
      </w:r>
      <w:r>
        <w:t>a</w:t>
      </w:r>
      <w:r>
        <w:rPr>
          <w:spacing w:val="13"/>
        </w:rPr>
        <w:t xml:space="preserve"> </w:t>
      </w:r>
      <w:r>
        <w:t>participar</w:t>
      </w:r>
      <w:r>
        <w:rPr>
          <w:spacing w:val="12"/>
        </w:rPr>
        <w:t xml:space="preserve"> </w:t>
      </w:r>
      <w:r>
        <w:t>en</w:t>
      </w:r>
      <w:r>
        <w:rPr>
          <w:spacing w:val="13"/>
        </w:rPr>
        <w:t xml:space="preserve"> </w:t>
      </w:r>
      <w:r>
        <w:t>el</w:t>
      </w:r>
      <w:r>
        <w:rPr>
          <w:spacing w:val="13"/>
        </w:rPr>
        <w:t xml:space="preserve"> </w:t>
      </w:r>
      <w:r>
        <w:t>gobierno</w:t>
      </w:r>
      <w:r>
        <w:rPr>
          <w:spacing w:val="13"/>
        </w:rPr>
        <w:t xml:space="preserve"> </w:t>
      </w:r>
      <w:r>
        <w:t>así</w:t>
      </w:r>
      <w:r>
        <w:rPr>
          <w:spacing w:val="13"/>
        </w:rPr>
        <w:t xml:space="preserve"> </w:t>
      </w:r>
      <w:r>
        <w:t>como</w:t>
      </w:r>
      <w:r>
        <w:rPr>
          <w:spacing w:val="13"/>
        </w:rPr>
        <w:t xml:space="preserve"> </w:t>
      </w:r>
      <w:r>
        <w:t>en la dirección de los asuntos públicos a cualquier nivel y a tener igual acceso a los servicios públicos”.</w:t>
      </w:r>
    </w:p>
    <w:p w14:paraId="17C345D0" w14:textId="77777777" w:rsidR="0014798C" w:rsidRDefault="0014798C">
      <w:pPr>
        <w:pStyle w:val="Textoindependiente"/>
      </w:pPr>
    </w:p>
    <w:p w14:paraId="3959F3B6" w14:textId="77777777" w:rsidR="0014798C" w:rsidRDefault="0014798C">
      <w:pPr>
        <w:pStyle w:val="Textoindependiente"/>
        <w:spacing w:before="40"/>
      </w:pPr>
    </w:p>
    <w:p w14:paraId="4AE75AF8" w14:textId="77777777" w:rsidR="0014798C" w:rsidRDefault="004E1F0B">
      <w:pPr>
        <w:pStyle w:val="Textoindependiente"/>
        <w:spacing w:before="1" w:line="324" w:lineRule="auto"/>
        <w:ind w:left="1107" w:right="1278" w:hanging="1"/>
      </w:pPr>
      <w:r>
        <w:t>El</w:t>
      </w:r>
      <w:r>
        <w:rPr>
          <w:spacing w:val="14"/>
        </w:rPr>
        <w:t xml:space="preserve"> </w:t>
      </w:r>
      <w:r>
        <w:t>artículo</w:t>
      </w:r>
      <w:r>
        <w:rPr>
          <w:spacing w:val="14"/>
        </w:rPr>
        <w:t xml:space="preserve"> </w:t>
      </w:r>
      <w:r>
        <w:t>7</w:t>
      </w:r>
      <w:r>
        <w:rPr>
          <w:spacing w:val="16"/>
        </w:rPr>
        <w:t xml:space="preserve"> </w:t>
      </w:r>
      <w:r>
        <w:t>de</w:t>
      </w:r>
      <w:r>
        <w:rPr>
          <w:spacing w:val="16"/>
        </w:rPr>
        <w:t xml:space="preserve"> </w:t>
      </w:r>
      <w:r>
        <w:t>la</w:t>
      </w:r>
      <w:r>
        <w:rPr>
          <w:spacing w:val="16"/>
        </w:rPr>
        <w:t xml:space="preserve"> </w:t>
      </w:r>
      <w:r>
        <w:t>Convención</w:t>
      </w:r>
      <w:r>
        <w:rPr>
          <w:spacing w:val="16"/>
        </w:rPr>
        <w:t xml:space="preserve"> </w:t>
      </w:r>
      <w:r>
        <w:t>sobre</w:t>
      </w:r>
      <w:r>
        <w:rPr>
          <w:spacing w:val="16"/>
        </w:rPr>
        <w:t xml:space="preserve"> </w:t>
      </w:r>
      <w:r>
        <w:t>la</w:t>
      </w:r>
      <w:r>
        <w:rPr>
          <w:spacing w:val="16"/>
        </w:rPr>
        <w:t xml:space="preserve"> </w:t>
      </w:r>
      <w:r>
        <w:t>Eliminación</w:t>
      </w:r>
      <w:r>
        <w:rPr>
          <w:spacing w:val="14"/>
        </w:rPr>
        <w:t xml:space="preserve"> </w:t>
      </w:r>
      <w:r>
        <w:t>de</w:t>
      </w:r>
      <w:r>
        <w:rPr>
          <w:spacing w:val="16"/>
        </w:rPr>
        <w:t xml:space="preserve"> </w:t>
      </w:r>
      <w:r>
        <w:t>Todas</w:t>
      </w:r>
      <w:r>
        <w:rPr>
          <w:spacing w:val="14"/>
        </w:rPr>
        <w:t xml:space="preserve"> </w:t>
      </w:r>
      <w:r>
        <w:t>las</w:t>
      </w:r>
      <w:r>
        <w:rPr>
          <w:spacing w:val="16"/>
        </w:rPr>
        <w:t xml:space="preserve"> </w:t>
      </w:r>
      <w:r>
        <w:t>Formas</w:t>
      </w:r>
      <w:r>
        <w:rPr>
          <w:spacing w:val="14"/>
        </w:rPr>
        <w:t xml:space="preserve"> </w:t>
      </w:r>
      <w:r>
        <w:t>de</w:t>
      </w:r>
      <w:r>
        <w:rPr>
          <w:spacing w:val="16"/>
        </w:rPr>
        <w:t xml:space="preserve"> </w:t>
      </w:r>
      <w:r>
        <w:t>Discriminación</w:t>
      </w:r>
      <w:r>
        <w:rPr>
          <w:spacing w:val="16"/>
        </w:rPr>
        <w:t xml:space="preserve"> </w:t>
      </w:r>
      <w:r>
        <w:t>contra</w:t>
      </w:r>
      <w:r>
        <w:rPr>
          <w:spacing w:val="14"/>
        </w:rPr>
        <w:t xml:space="preserve"> </w:t>
      </w:r>
      <w:r>
        <w:t>la</w:t>
      </w:r>
      <w:r>
        <w:rPr>
          <w:spacing w:val="16"/>
        </w:rPr>
        <w:t xml:space="preserve"> </w:t>
      </w:r>
      <w:r>
        <w:t>Mujer</w:t>
      </w:r>
      <w:r>
        <w:rPr>
          <w:spacing w:val="14"/>
        </w:rPr>
        <w:t xml:space="preserve"> </w:t>
      </w:r>
      <w:r>
        <w:t>establece</w:t>
      </w:r>
      <w:r>
        <w:rPr>
          <w:spacing w:val="14"/>
        </w:rPr>
        <w:t xml:space="preserve"> </w:t>
      </w:r>
      <w:r>
        <w:t>una amplia obligación de los Estados de eliminar la discriminación y garantizar a las mujeres la igualdad en “la vida política y pública</w:t>
      </w:r>
      <w:r>
        <w:rPr>
          <w:spacing w:val="40"/>
        </w:rPr>
        <w:t xml:space="preserve"> </w:t>
      </w:r>
      <w:r>
        <w:t>del</w:t>
      </w:r>
      <w:r>
        <w:rPr>
          <w:spacing w:val="12"/>
        </w:rPr>
        <w:t xml:space="preserve"> </w:t>
      </w:r>
      <w:r>
        <w:t>país”.</w:t>
      </w:r>
      <w:r>
        <w:rPr>
          <w:spacing w:val="12"/>
        </w:rPr>
        <w:t xml:space="preserve"> </w:t>
      </w:r>
      <w:r>
        <w:t>Esto</w:t>
      </w:r>
      <w:r>
        <w:rPr>
          <w:spacing w:val="11"/>
        </w:rPr>
        <w:t xml:space="preserve"> </w:t>
      </w:r>
      <w:r>
        <w:t>incluye</w:t>
      </w:r>
      <w:r>
        <w:rPr>
          <w:spacing w:val="12"/>
        </w:rPr>
        <w:t xml:space="preserve"> </w:t>
      </w:r>
      <w:r>
        <w:t>garantizar</w:t>
      </w:r>
      <w:r>
        <w:rPr>
          <w:spacing w:val="11"/>
        </w:rPr>
        <w:t xml:space="preserve"> </w:t>
      </w:r>
      <w:r>
        <w:t>la</w:t>
      </w:r>
      <w:r>
        <w:rPr>
          <w:spacing w:val="12"/>
        </w:rPr>
        <w:t xml:space="preserve"> </w:t>
      </w:r>
      <w:r>
        <w:t>igualdad</w:t>
      </w:r>
      <w:r>
        <w:rPr>
          <w:spacing w:val="12"/>
        </w:rPr>
        <w:t xml:space="preserve"> </w:t>
      </w:r>
      <w:r>
        <w:t>en</w:t>
      </w:r>
      <w:r>
        <w:rPr>
          <w:spacing w:val="12"/>
        </w:rPr>
        <w:t xml:space="preserve"> </w:t>
      </w:r>
      <w:r>
        <w:t>el</w:t>
      </w:r>
      <w:r>
        <w:rPr>
          <w:spacing w:val="12"/>
        </w:rPr>
        <w:t xml:space="preserve"> </w:t>
      </w:r>
      <w:r>
        <w:t>derecho</w:t>
      </w:r>
      <w:r>
        <w:rPr>
          <w:spacing w:val="12"/>
        </w:rPr>
        <w:t xml:space="preserve"> </w:t>
      </w:r>
      <w:r>
        <w:t>a</w:t>
      </w:r>
      <w:r>
        <w:rPr>
          <w:spacing w:val="12"/>
        </w:rPr>
        <w:t xml:space="preserve"> </w:t>
      </w:r>
      <w:r>
        <w:t>votar</w:t>
      </w:r>
      <w:r>
        <w:rPr>
          <w:spacing w:val="11"/>
        </w:rPr>
        <w:t xml:space="preserve"> </w:t>
      </w:r>
      <w:r>
        <w:t>y</w:t>
      </w:r>
      <w:r>
        <w:rPr>
          <w:spacing w:val="12"/>
        </w:rPr>
        <w:t xml:space="preserve"> </w:t>
      </w:r>
      <w:r>
        <w:t>presentarse</w:t>
      </w:r>
      <w:r>
        <w:rPr>
          <w:spacing w:val="12"/>
        </w:rPr>
        <w:t xml:space="preserve"> </w:t>
      </w:r>
      <w:r>
        <w:t>a</w:t>
      </w:r>
      <w:r>
        <w:rPr>
          <w:spacing w:val="12"/>
        </w:rPr>
        <w:t xml:space="preserve"> </w:t>
      </w:r>
      <w:r>
        <w:t>las</w:t>
      </w:r>
      <w:r>
        <w:rPr>
          <w:spacing w:val="12"/>
        </w:rPr>
        <w:t xml:space="preserve"> </w:t>
      </w:r>
      <w:r>
        <w:t>elecciones</w:t>
      </w:r>
      <w:r>
        <w:rPr>
          <w:spacing w:val="11"/>
        </w:rPr>
        <w:t xml:space="preserve"> </w:t>
      </w:r>
      <w:r>
        <w:t>y</w:t>
      </w:r>
      <w:r>
        <w:rPr>
          <w:spacing w:val="12"/>
        </w:rPr>
        <w:t xml:space="preserve"> </w:t>
      </w:r>
      <w:r>
        <w:t>“participar</w:t>
      </w:r>
      <w:r>
        <w:rPr>
          <w:spacing w:val="11"/>
        </w:rPr>
        <w:t xml:space="preserve"> </w:t>
      </w:r>
      <w:r>
        <w:t>en</w:t>
      </w:r>
      <w:r>
        <w:rPr>
          <w:spacing w:val="12"/>
        </w:rPr>
        <w:t xml:space="preserve"> </w:t>
      </w:r>
      <w:r>
        <w:t>la</w:t>
      </w:r>
      <w:r>
        <w:rPr>
          <w:spacing w:val="12"/>
        </w:rPr>
        <w:t xml:space="preserve"> </w:t>
      </w:r>
      <w:r>
        <w:t>formulación de</w:t>
      </w:r>
      <w:r>
        <w:rPr>
          <w:spacing w:val="22"/>
        </w:rPr>
        <w:t xml:space="preserve"> </w:t>
      </w:r>
      <w:r>
        <w:t>políticas</w:t>
      </w:r>
      <w:r>
        <w:rPr>
          <w:spacing w:val="21"/>
        </w:rPr>
        <w:t xml:space="preserve"> </w:t>
      </w:r>
      <w:r>
        <w:t>gubernamentales</w:t>
      </w:r>
      <w:r>
        <w:rPr>
          <w:spacing w:val="21"/>
        </w:rPr>
        <w:t xml:space="preserve"> </w:t>
      </w:r>
      <w:r>
        <w:t>y</w:t>
      </w:r>
      <w:r>
        <w:rPr>
          <w:spacing w:val="22"/>
        </w:rPr>
        <w:t xml:space="preserve"> </w:t>
      </w:r>
      <w:r>
        <w:t>su</w:t>
      </w:r>
      <w:r>
        <w:rPr>
          <w:spacing w:val="22"/>
        </w:rPr>
        <w:t xml:space="preserve"> </w:t>
      </w:r>
      <w:r>
        <w:t>implementación</w:t>
      </w:r>
      <w:r>
        <w:rPr>
          <w:spacing w:val="21"/>
        </w:rPr>
        <w:t xml:space="preserve"> </w:t>
      </w:r>
      <w:r>
        <w:t>y</w:t>
      </w:r>
      <w:r>
        <w:rPr>
          <w:spacing w:val="22"/>
        </w:rPr>
        <w:t xml:space="preserve"> </w:t>
      </w:r>
      <w:r>
        <w:t>ocupar</w:t>
      </w:r>
      <w:r>
        <w:rPr>
          <w:spacing w:val="21"/>
        </w:rPr>
        <w:t xml:space="preserve"> </w:t>
      </w:r>
      <w:r>
        <w:t>cargos</w:t>
      </w:r>
      <w:r>
        <w:rPr>
          <w:spacing w:val="21"/>
        </w:rPr>
        <w:t xml:space="preserve"> </w:t>
      </w:r>
      <w:r>
        <w:t>públicos</w:t>
      </w:r>
      <w:r>
        <w:rPr>
          <w:spacing w:val="21"/>
        </w:rPr>
        <w:t xml:space="preserve"> </w:t>
      </w:r>
      <w:r>
        <w:t>y</w:t>
      </w:r>
      <w:r>
        <w:rPr>
          <w:spacing w:val="22"/>
        </w:rPr>
        <w:t xml:space="preserve"> </w:t>
      </w:r>
      <w:r>
        <w:t>desempeñar</w:t>
      </w:r>
      <w:r>
        <w:rPr>
          <w:spacing w:val="21"/>
        </w:rPr>
        <w:t xml:space="preserve"> </w:t>
      </w:r>
      <w:r>
        <w:t>todas</w:t>
      </w:r>
      <w:r>
        <w:rPr>
          <w:spacing w:val="21"/>
        </w:rPr>
        <w:t xml:space="preserve"> </w:t>
      </w:r>
      <w:r>
        <w:t>las</w:t>
      </w:r>
      <w:r>
        <w:rPr>
          <w:spacing w:val="22"/>
        </w:rPr>
        <w:t xml:space="preserve"> </w:t>
      </w:r>
      <w:r>
        <w:t>funciones</w:t>
      </w:r>
      <w:r>
        <w:rPr>
          <w:spacing w:val="21"/>
        </w:rPr>
        <w:t xml:space="preserve"> </w:t>
      </w:r>
      <w:r>
        <w:t>públicas</w:t>
      </w:r>
      <w:r>
        <w:rPr>
          <w:spacing w:val="21"/>
        </w:rPr>
        <w:t xml:space="preserve"> </w:t>
      </w:r>
      <w:r>
        <w:t>en todos los niveles de gobierno”. El artículo 7 c) exige que los Estados garanticen la igualdad de derechos “a participar en organizaciones y</w:t>
      </w:r>
      <w:r>
        <w:rPr>
          <w:spacing w:val="18"/>
        </w:rPr>
        <w:t xml:space="preserve"> </w:t>
      </w:r>
      <w:r>
        <w:t>asociaciones no</w:t>
      </w:r>
      <w:r>
        <w:rPr>
          <w:spacing w:val="18"/>
        </w:rPr>
        <w:t xml:space="preserve"> </w:t>
      </w:r>
      <w:r>
        <w:t>gubernamentales interesadas en</w:t>
      </w:r>
      <w:r>
        <w:rPr>
          <w:spacing w:val="18"/>
        </w:rPr>
        <w:t xml:space="preserve"> </w:t>
      </w:r>
      <w:r>
        <w:t>la</w:t>
      </w:r>
      <w:r>
        <w:rPr>
          <w:spacing w:val="18"/>
        </w:rPr>
        <w:t xml:space="preserve"> </w:t>
      </w:r>
      <w:r>
        <w:t>vida</w:t>
      </w:r>
      <w:r>
        <w:rPr>
          <w:spacing w:val="18"/>
        </w:rPr>
        <w:t xml:space="preserve"> </w:t>
      </w:r>
      <w:r>
        <w:t>pública</w:t>
      </w:r>
      <w:r>
        <w:rPr>
          <w:spacing w:val="18"/>
        </w:rPr>
        <w:t xml:space="preserve"> </w:t>
      </w:r>
      <w:r>
        <w:t>y</w:t>
      </w:r>
      <w:r>
        <w:rPr>
          <w:spacing w:val="18"/>
        </w:rPr>
        <w:t xml:space="preserve"> </w:t>
      </w:r>
      <w:r>
        <w:t>política del</w:t>
      </w:r>
      <w:r>
        <w:rPr>
          <w:spacing w:val="18"/>
        </w:rPr>
        <w:t xml:space="preserve"> </w:t>
      </w:r>
      <w:r>
        <w:t>país”.</w:t>
      </w:r>
      <w:r>
        <w:rPr>
          <w:spacing w:val="18"/>
        </w:rPr>
        <w:t xml:space="preserve"> </w:t>
      </w:r>
      <w:r>
        <w:t>El artículo 8</w:t>
      </w:r>
      <w:r>
        <w:rPr>
          <w:spacing w:val="18"/>
        </w:rPr>
        <w:t xml:space="preserve"> </w:t>
      </w:r>
      <w:r>
        <w:t>va</w:t>
      </w:r>
      <w:r>
        <w:rPr>
          <w:spacing w:val="18"/>
        </w:rPr>
        <w:t xml:space="preserve"> </w:t>
      </w:r>
      <w:r>
        <w:t>más</w:t>
      </w:r>
      <w:r>
        <w:rPr>
          <w:spacing w:val="18"/>
        </w:rPr>
        <w:t xml:space="preserve"> </w:t>
      </w:r>
      <w:r>
        <w:t>allá</w:t>
      </w:r>
    </w:p>
    <w:p w14:paraId="2899AB5F" w14:textId="77777777" w:rsidR="0014798C" w:rsidRDefault="004E1F0B">
      <w:pPr>
        <w:pStyle w:val="Textoindependiente"/>
        <w:spacing w:line="324" w:lineRule="auto"/>
        <w:ind w:left="1107" w:right="1463" w:firstLine="4"/>
      </w:pPr>
      <w:r>
        <w:t>y requiere que los Estados “tomen todas las medidas apropiadas” para garantizar la igualdad de “oportunidades de las mujeres</w:t>
      </w:r>
      <w:r>
        <w:rPr>
          <w:spacing w:val="40"/>
        </w:rPr>
        <w:t xml:space="preserve"> </w:t>
      </w:r>
      <w:r>
        <w:t>para representar a sus gobiernos a nivel internacional y participar en el trabajo de las organizaciones internacionales”. Estas obligaciones,</w:t>
      </w:r>
      <w:r>
        <w:rPr>
          <w:spacing w:val="13"/>
        </w:rPr>
        <w:t xml:space="preserve"> </w:t>
      </w:r>
      <w:r>
        <w:t>tomadas en conjunto, reflejan el valor de esa participación igualitaria no sólo para aquellas mujeres que participan</w:t>
      </w:r>
      <w:r>
        <w:rPr>
          <w:spacing w:val="80"/>
        </w:rPr>
        <w:t xml:space="preserve"> </w:t>
      </w:r>
      <w:r>
        <w:t>en la vida pública, sino también el papel que una mayor representación visible puede desempeñar para desafiar prejuicios y estereotipos profundamente arraigados.</w:t>
      </w:r>
    </w:p>
    <w:p w14:paraId="2A5015BC" w14:textId="77777777" w:rsidR="0014798C" w:rsidRDefault="004E1F0B">
      <w:pPr>
        <w:pStyle w:val="Textoindependiente"/>
        <w:spacing w:before="151" w:line="324" w:lineRule="auto"/>
        <w:ind w:left="1105" w:right="1335"/>
      </w:pPr>
      <w:r>
        <w:t>La</w:t>
      </w:r>
      <w:r>
        <w:rPr>
          <w:spacing w:val="21"/>
        </w:rPr>
        <w:t xml:space="preserve"> </w:t>
      </w:r>
      <w:r>
        <w:t>Convención</w:t>
      </w:r>
      <w:r>
        <w:rPr>
          <w:spacing w:val="21"/>
        </w:rPr>
        <w:t xml:space="preserve"> </w:t>
      </w:r>
      <w:r>
        <w:t>sobre</w:t>
      </w:r>
      <w:r>
        <w:rPr>
          <w:spacing w:val="21"/>
        </w:rPr>
        <w:t xml:space="preserve"> </w:t>
      </w:r>
      <w:r>
        <w:t>los</w:t>
      </w:r>
      <w:r>
        <w:rPr>
          <w:spacing w:val="21"/>
        </w:rPr>
        <w:t xml:space="preserve"> </w:t>
      </w:r>
      <w:r>
        <w:t>Derechos</w:t>
      </w:r>
      <w:r>
        <w:rPr>
          <w:spacing w:val="20"/>
        </w:rPr>
        <w:t xml:space="preserve"> </w:t>
      </w:r>
      <w:r>
        <w:t>de</w:t>
      </w:r>
      <w:r>
        <w:rPr>
          <w:spacing w:val="21"/>
        </w:rPr>
        <w:t xml:space="preserve"> </w:t>
      </w:r>
      <w:r>
        <w:t>las</w:t>
      </w:r>
      <w:r>
        <w:rPr>
          <w:spacing w:val="21"/>
        </w:rPr>
        <w:t xml:space="preserve"> </w:t>
      </w:r>
      <w:r>
        <w:t>Personas</w:t>
      </w:r>
      <w:r>
        <w:rPr>
          <w:spacing w:val="20"/>
        </w:rPr>
        <w:t xml:space="preserve"> </w:t>
      </w:r>
      <w:r>
        <w:t>con</w:t>
      </w:r>
      <w:r>
        <w:rPr>
          <w:spacing w:val="21"/>
        </w:rPr>
        <w:t xml:space="preserve"> </w:t>
      </w:r>
      <w:r>
        <w:t>Discapacidad</w:t>
      </w:r>
      <w:r>
        <w:rPr>
          <w:spacing w:val="21"/>
        </w:rPr>
        <w:t xml:space="preserve"> </w:t>
      </w:r>
      <w:r>
        <w:t>incluye</w:t>
      </w:r>
      <w:r>
        <w:rPr>
          <w:spacing w:val="21"/>
        </w:rPr>
        <w:t xml:space="preserve"> </w:t>
      </w:r>
      <w:r>
        <w:t>varias</w:t>
      </w:r>
      <w:r>
        <w:rPr>
          <w:spacing w:val="20"/>
        </w:rPr>
        <w:t xml:space="preserve"> </w:t>
      </w:r>
      <w:r>
        <w:t>disposiciones</w:t>
      </w:r>
      <w:r>
        <w:rPr>
          <w:spacing w:val="20"/>
        </w:rPr>
        <w:t xml:space="preserve"> </w:t>
      </w:r>
      <w:r>
        <w:t>destinadas</w:t>
      </w:r>
      <w:r>
        <w:rPr>
          <w:spacing w:val="20"/>
        </w:rPr>
        <w:t xml:space="preserve"> </w:t>
      </w:r>
      <w:r>
        <w:t>a</w:t>
      </w:r>
      <w:r>
        <w:rPr>
          <w:spacing w:val="21"/>
        </w:rPr>
        <w:t xml:space="preserve"> </w:t>
      </w:r>
      <w:r>
        <w:t>la representación equitativa de las personas con discapacidad y sus organizaciones representativas. Según el artículo 29, los</w:t>
      </w:r>
      <w:r>
        <w:rPr>
          <w:spacing w:val="40"/>
        </w:rPr>
        <w:t xml:space="preserve"> </w:t>
      </w:r>
      <w:r>
        <w:t>Estados “garantizan a las personas con discapacidad derechos políticos y la oportunidad de disfrutarlos en igualdad de</w:t>
      </w:r>
      <w:r>
        <w:rPr>
          <w:spacing w:val="40"/>
        </w:rPr>
        <w:t xml:space="preserve"> </w:t>
      </w:r>
      <w:r>
        <w:t>condiciones con las demás”. Esto incluye tanto la obligación de garantizar la no discriminación en todos los aspectos de la vida política como la obligación de “promover activamente un entorno en el que las personas con discapacidad puedan participar efectiva y plenamente en la dirección de los asuntos públicos”, incluso mediante la participación en organizaciones no gubernamentales. y partidos políticos. El artículo 33 (3) establece que “la sociedad civil, en particular las personas con discapacidad y sus organizaciones representativas, deberán involucrarse y participar plenamente en el proceso de seguimiento”</w:t>
      </w:r>
      <w:r>
        <w:rPr>
          <w:spacing w:val="80"/>
        </w:rPr>
        <w:t xml:space="preserve"> </w:t>
      </w:r>
      <w:r>
        <w:t>de la implementación de la Convención. De hecho, la participación e inclusión de las personas con discapacidad y sus organizaciones</w:t>
      </w:r>
      <w:r>
        <w:rPr>
          <w:spacing w:val="20"/>
        </w:rPr>
        <w:t xml:space="preserve"> </w:t>
      </w:r>
      <w:r>
        <w:t>representativas</w:t>
      </w:r>
      <w:r>
        <w:rPr>
          <w:spacing w:val="20"/>
        </w:rPr>
        <w:t xml:space="preserve"> </w:t>
      </w:r>
      <w:r>
        <w:t>es</w:t>
      </w:r>
      <w:r>
        <w:rPr>
          <w:spacing w:val="22"/>
        </w:rPr>
        <w:t xml:space="preserve"> </w:t>
      </w:r>
      <w:r>
        <w:t>una</w:t>
      </w:r>
      <w:r>
        <w:rPr>
          <w:spacing w:val="22"/>
        </w:rPr>
        <w:t xml:space="preserve"> </w:t>
      </w:r>
      <w:r>
        <w:t>característica</w:t>
      </w:r>
      <w:r>
        <w:rPr>
          <w:spacing w:val="20"/>
        </w:rPr>
        <w:t xml:space="preserve"> </w:t>
      </w:r>
      <w:r>
        <w:t>central</w:t>
      </w:r>
      <w:r>
        <w:rPr>
          <w:spacing w:val="20"/>
        </w:rPr>
        <w:t xml:space="preserve"> </w:t>
      </w:r>
      <w:r>
        <w:t>tanto</w:t>
      </w:r>
      <w:r>
        <w:rPr>
          <w:spacing w:val="20"/>
        </w:rPr>
        <w:t xml:space="preserve"> </w:t>
      </w:r>
      <w:r>
        <w:t>de</w:t>
      </w:r>
      <w:r>
        <w:rPr>
          <w:spacing w:val="22"/>
        </w:rPr>
        <w:t xml:space="preserve"> </w:t>
      </w:r>
      <w:r>
        <w:t>la</w:t>
      </w:r>
      <w:r>
        <w:rPr>
          <w:spacing w:val="22"/>
        </w:rPr>
        <w:t xml:space="preserve"> </w:t>
      </w:r>
      <w:r>
        <w:t>Convención</w:t>
      </w:r>
      <w:r>
        <w:rPr>
          <w:spacing w:val="22"/>
        </w:rPr>
        <w:t xml:space="preserve"> </w:t>
      </w:r>
      <w:r>
        <w:t>como</w:t>
      </w:r>
      <w:r>
        <w:rPr>
          <w:spacing w:val="22"/>
        </w:rPr>
        <w:t xml:space="preserve"> </w:t>
      </w:r>
      <w:r>
        <w:t>de</w:t>
      </w:r>
      <w:r>
        <w:rPr>
          <w:spacing w:val="22"/>
        </w:rPr>
        <w:t xml:space="preserve"> </w:t>
      </w:r>
      <w:r>
        <w:t>los</w:t>
      </w:r>
      <w:r>
        <w:rPr>
          <w:spacing w:val="22"/>
        </w:rPr>
        <w:t xml:space="preserve"> </w:t>
      </w:r>
      <w:r>
        <w:t>compromisos</w:t>
      </w:r>
      <w:r>
        <w:rPr>
          <w:spacing w:val="20"/>
        </w:rPr>
        <w:t xml:space="preserve"> </w:t>
      </w:r>
      <w:r>
        <w:t>asumidos</w:t>
      </w:r>
      <w:r>
        <w:rPr>
          <w:spacing w:val="20"/>
        </w:rPr>
        <w:t xml:space="preserve"> </w:t>
      </w:r>
      <w:r>
        <w:t>en todo el sistema más amplio de derechos humanos para combatir la discriminación por motivos de discapacidad. Como ha</w:t>
      </w:r>
      <w:r>
        <w:rPr>
          <w:spacing w:val="80"/>
        </w:rPr>
        <w:t xml:space="preserve"> </w:t>
      </w:r>
      <w:r>
        <w:t>señalado el Relator Especial sobre los derechos de las personas con discapacidad:</w:t>
      </w:r>
    </w:p>
    <w:p w14:paraId="5D5E85F1" w14:textId="77777777" w:rsidR="0014798C" w:rsidRDefault="004E1F0B">
      <w:pPr>
        <w:pStyle w:val="Textoindependiente"/>
        <w:spacing w:before="110" w:line="326" w:lineRule="auto"/>
        <w:ind w:left="1669" w:right="1668" w:firstLine="2"/>
      </w:pPr>
      <w:r>
        <w:rPr>
          <w:color w:val="FBB315"/>
        </w:rPr>
        <w:t>La participación activa de las personas con discapacidad en la toma de decisiones es un requisito del modelo de discapacidad</w:t>
      </w:r>
      <w:r>
        <w:rPr>
          <w:color w:val="FBB315"/>
          <w:spacing w:val="12"/>
        </w:rPr>
        <w:t xml:space="preserve"> </w:t>
      </w:r>
      <w:r>
        <w:rPr>
          <w:color w:val="FBB315"/>
        </w:rPr>
        <w:t>de</w:t>
      </w:r>
      <w:r>
        <w:rPr>
          <w:color w:val="FBB315"/>
          <w:spacing w:val="12"/>
        </w:rPr>
        <w:t xml:space="preserve"> </w:t>
      </w:r>
      <w:r>
        <w:rPr>
          <w:color w:val="FBB315"/>
        </w:rPr>
        <w:t>derechos humanos.</w:t>
      </w:r>
      <w:r>
        <w:rPr>
          <w:color w:val="FBB315"/>
          <w:spacing w:val="12"/>
        </w:rPr>
        <w:t xml:space="preserve"> </w:t>
      </w:r>
      <w:r>
        <w:rPr>
          <w:color w:val="FBB315"/>
        </w:rPr>
        <w:t>La</w:t>
      </w:r>
      <w:r>
        <w:rPr>
          <w:color w:val="FBB315"/>
          <w:spacing w:val="12"/>
        </w:rPr>
        <w:t xml:space="preserve"> </w:t>
      </w:r>
      <w:r>
        <w:rPr>
          <w:color w:val="FBB315"/>
        </w:rPr>
        <w:t>participación se</w:t>
      </w:r>
      <w:r>
        <w:rPr>
          <w:color w:val="FBB315"/>
          <w:spacing w:val="12"/>
        </w:rPr>
        <w:t xml:space="preserve"> </w:t>
      </w:r>
      <w:r>
        <w:rPr>
          <w:color w:val="FBB315"/>
        </w:rPr>
        <w:t>aborda</w:t>
      </w:r>
      <w:r>
        <w:rPr>
          <w:color w:val="FBB315"/>
          <w:spacing w:val="12"/>
        </w:rPr>
        <w:t xml:space="preserve"> </w:t>
      </w:r>
      <w:r>
        <w:rPr>
          <w:color w:val="FBB315"/>
        </w:rPr>
        <w:t>como</w:t>
      </w:r>
      <w:r>
        <w:rPr>
          <w:color w:val="FBB315"/>
          <w:spacing w:val="12"/>
        </w:rPr>
        <w:t xml:space="preserve"> </w:t>
      </w:r>
      <w:r>
        <w:rPr>
          <w:color w:val="FBB315"/>
        </w:rPr>
        <w:t>una</w:t>
      </w:r>
      <w:r>
        <w:rPr>
          <w:color w:val="FBB315"/>
          <w:spacing w:val="12"/>
        </w:rPr>
        <w:t xml:space="preserve"> </w:t>
      </w:r>
      <w:r>
        <w:rPr>
          <w:color w:val="FBB315"/>
        </w:rPr>
        <w:t>cuestión transversal</w:t>
      </w:r>
      <w:r>
        <w:rPr>
          <w:color w:val="FBB315"/>
          <w:spacing w:val="12"/>
        </w:rPr>
        <w:t xml:space="preserve"> </w:t>
      </w:r>
      <w:r>
        <w:rPr>
          <w:color w:val="FBB315"/>
        </w:rPr>
        <w:t>en</w:t>
      </w:r>
      <w:r>
        <w:rPr>
          <w:color w:val="FBB315"/>
          <w:spacing w:val="12"/>
        </w:rPr>
        <w:t xml:space="preserve"> </w:t>
      </w:r>
      <w:r>
        <w:rPr>
          <w:color w:val="FBB315"/>
        </w:rPr>
        <w:t>la</w:t>
      </w:r>
      <w:r>
        <w:rPr>
          <w:color w:val="FBB315"/>
          <w:spacing w:val="12"/>
        </w:rPr>
        <w:t xml:space="preserve"> </w:t>
      </w:r>
      <w:r>
        <w:rPr>
          <w:color w:val="FBB315"/>
        </w:rPr>
        <w:t>Convención; se reconoce como un principio general (art. 3 (c)) y como una obligación de consultar e involucrar activamente a las personas con discapacidad en los procesos de toma de decisiones que les conciernen (arts. 4 (3) y 33 (3)). Los esfuerzos para involucrar a las personas con discapacidad en los procesos de toma de decisiones son importantes,</w:t>
      </w:r>
      <w:r>
        <w:rPr>
          <w:color w:val="FBB315"/>
          <w:spacing w:val="80"/>
        </w:rPr>
        <w:t xml:space="preserve"> </w:t>
      </w:r>
      <w:r>
        <w:rPr>
          <w:color w:val="FBB315"/>
        </w:rPr>
        <w:t>no solo porque dan lugar a mejores decisiones y resultados más eficientes, sino también porque promueven la ciudadanía, la agencia y el empoderamiento.1248</w:t>
      </w:r>
    </w:p>
    <w:p w14:paraId="0E4554AE" w14:textId="77777777" w:rsidR="0014798C" w:rsidRDefault="004E1F0B">
      <w:pPr>
        <w:pStyle w:val="Textoindependiente"/>
        <w:spacing w:before="4"/>
        <w:rPr>
          <w:sz w:val="20"/>
        </w:rPr>
      </w:pPr>
      <w:r>
        <w:rPr>
          <w:noProof/>
        </w:rPr>
        <w:drawing>
          <wp:anchor distT="0" distB="0" distL="0" distR="0" simplePos="0" relativeHeight="251658565" behindDoc="1" locked="0" layoutInCell="1" allowOverlap="1" wp14:anchorId="600BB81F" wp14:editId="3CA35CA5">
            <wp:simplePos x="0" y="0"/>
            <wp:positionH relativeFrom="page">
              <wp:posOffset>826632</wp:posOffset>
            </wp:positionH>
            <wp:positionV relativeFrom="paragraph">
              <wp:posOffset>164001</wp:posOffset>
            </wp:positionV>
            <wp:extent cx="931001" cy="35813"/>
            <wp:effectExtent l="0" t="0" r="0" b="0"/>
            <wp:wrapTopAndBottom/>
            <wp:docPr id="387" name="Image 38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87" name="Image 387"/>
                    <pic:cNvPicPr/>
                  </pic:nvPicPr>
                  <pic:blipFill>
                    <a:blip r:embed="rId361" cstate="print"/>
                    <a:stretch>
                      <a:fillRect/>
                    </a:stretch>
                  </pic:blipFill>
                  <pic:spPr>
                    <a:xfrm>
                      <a:off x="0" y="0"/>
                      <a:ext cx="931001" cy="35813"/>
                    </a:xfrm>
                    <a:prstGeom prst="rect">
                      <a:avLst/>
                    </a:prstGeom>
                  </pic:spPr>
                </pic:pic>
              </a:graphicData>
            </a:graphic>
          </wp:anchor>
        </w:drawing>
      </w:r>
    </w:p>
    <w:p w14:paraId="14CE60CB" w14:textId="77777777" w:rsidR="0014798C" w:rsidRDefault="004E1F0B">
      <w:pPr>
        <w:spacing w:before="153"/>
        <w:ind w:left="1111"/>
        <w:rPr>
          <w:sz w:val="15"/>
        </w:rPr>
      </w:pPr>
      <w:r>
        <w:rPr>
          <w:position w:val="5"/>
          <w:sz w:val="8"/>
        </w:rPr>
        <w:t>1248</w:t>
      </w:r>
      <w:r>
        <w:rPr>
          <w:spacing w:val="45"/>
          <w:position w:val="5"/>
          <w:sz w:val="8"/>
        </w:rPr>
        <w:t xml:space="preserve"> </w:t>
      </w:r>
      <w:r>
        <w:rPr>
          <w:sz w:val="15"/>
        </w:rPr>
        <w:t>A/HRC/43/41,</w:t>
      </w:r>
      <w:r>
        <w:rPr>
          <w:spacing w:val="1"/>
          <w:sz w:val="15"/>
        </w:rPr>
        <w:t xml:space="preserve"> </w:t>
      </w:r>
      <w:r>
        <w:rPr>
          <w:sz w:val="15"/>
        </w:rPr>
        <w:t>párr.</w:t>
      </w:r>
      <w:r>
        <w:rPr>
          <w:spacing w:val="2"/>
          <w:sz w:val="15"/>
        </w:rPr>
        <w:t xml:space="preserve"> </w:t>
      </w:r>
      <w:r>
        <w:rPr>
          <w:spacing w:val="-5"/>
          <w:sz w:val="15"/>
        </w:rPr>
        <w:t>46.</w:t>
      </w:r>
    </w:p>
    <w:p w14:paraId="4C640D75" w14:textId="77777777" w:rsidR="0014798C" w:rsidRDefault="0014798C">
      <w:pPr>
        <w:pStyle w:val="Textoindependiente"/>
        <w:rPr>
          <w:sz w:val="18"/>
        </w:rPr>
      </w:pPr>
    </w:p>
    <w:p w14:paraId="356526CF" w14:textId="77777777" w:rsidR="0014798C" w:rsidRDefault="0014798C">
      <w:pPr>
        <w:pStyle w:val="Textoindependiente"/>
        <w:rPr>
          <w:sz w:val="18"/>
        </w:rPr>
      </w:pPr>
    </w:p>
    <w:p w14:paraId="048E9CDC" w14:textId="77777777" w:rsidR="0014798C" w:rsidRDefault="0014798C">
      <w:pPr>
        <w:pStyle w:val="Textoindependiente"/>
        <w:spacing w:before="11"/>
        <w:rPr>
          <w:sz w:val="18"/>
        </w:rPr>
      </w:pPr>
    </w:p>
    <w:p w14:paraId="6E24463D" w14:textId="77777777" w:rsidR="0014798C" w:rsidRDefault="004E1F0B">
      <w:pPr>
        <w:ind w:left="479"/>
        <w:rPr>
          <w:sz w:val="18"/>
        </w:rPr>
      </w:pPr>
      <w:r>
        <w:rPr>
          <w:spacing w:val="-5"/>
          <w:sz w:val="18"/>
        </w:rPr>
        <w:t>196</w:t>
      </w:r>
    </w:p>
    <w:p w14:paraId="00A77359" w14:textId="77777777" w:rsidR="0014798C" w:rsidRDefault="0014798C">
      <w:pPr>
        <w:rPr>
          <w:sz w:val="18"/>
        </w:rPr>
        <w:sectPr w:rsidR="0014798C" w:rsidSect="00F265E4">
          <w:pgSz w:w="11900" w:h="16820"/>
          <w:pgMar w:top="340" w:right="0" w:bottom="280" w:left="200" w:header="121" w:footer="0" w:gutter="0"/>
          <w:cols w:space="720"/>
        </w:sectPr>
      </w:pPr>
    </w:p>
    <w:p w14:paraId="3300C113" w14:textId="77777777" w:rsidR="0014798C" w:rsidRDefault="0014798C">
      <w:pPr>
        <w:pStyle w:val="Textoindependiente"/>
        <w:spacing w:before="103"/>
        <w:rPr>
          <w:sz w:val="11"/>
        </w:rPr>
      </w:pPr>
    </w:p>
    <w:p w14:paraId="3EFBC208" w14:textId="77777777" w:rsidR="0014798C" w:rsidRDefault="004E1F0B">
      <w:pPr>
        <w:ind w:left="1111"/>
        <w:rPr>
          <w:sz w:val="11"/>
        </w:rPr>
      </w:pPr>
      <w:r>
        <w:rPr>
          <w:color w:val="FBB315"/>
          <w:w w:val="105"/>
          <w:sz w:val="11"/>
        </w:rPr>
        <w:t>PARTE</w:t>
      </w:r>
      <w:r>
        <w:rPr>
          <w:color w:val="FBB315"/>
          <w:spacing w:val="-2"/>
          <w:w w:val="105"/>
          <w:sz w:val="11"/>
        </w:rPr>
        <w:t xml:space="preserve"> </w:t>
      </w:r>
      <w:r>
        <w:rPr>
          <w:color w:val="FBB315"/>
          <w:w w:val="105"/>
          <w:sz w:val="11"/>
        </w:rPr>
        <w:t>SEIS:</w:t>
      </w:r>
      <w:r>
        <w:rPr>
          <w:color w:val="FBB315"/>
          <w:spacing w:val="-1"/>
          <w:w w:val="105"/>
          <w:sz w:val="11"/>
        </w:rPr>
        <w:t xml:space="preserve"> </w:t>
      </w:r>
      <w:r>
        <w:rPr>
          <w:color w:val="FBB315"/>
          <w:w w:val="105"/>
          <w:sz w:val="11"/>
        </w:rPr>
        <w:t>PROMOCIÓN</w:t>
      </w:r>
      <w:r>
        <w:rPr>
          <w:color w:val="FBB315"/>
          <w:spacing w:val="-1"/>
          <w:w w:val="105"/>
          <w:sz w:val="11"/>
        </w:rPr>
        <w:t xml:space="preserve"> </w:t>
      </w:r>
      <w:r>
        <w:rPr>
          <w:color w:val="FBB315"/>
          <w:w w:val="105"/>
          <w:sz w:val="11"/>
        </w:rPr>
        <w:t>DE</w:t>
      </w:r>
      <w:r>
        <w:rPr>
          <w:color w:val="FBB315"/>
          <w:spacing w:val="-1"/>
          <w:w w:val="105"/>
          <w:sz w:val="11"/>
        </w:rPr>
        <w:t xml:space="preserve"> </w:t>
      </w:r>
      <w:r>
        <w:rPr>
          <w:color w:val="FBB315"/>
          <w:w w:val="105"/>
          <w:sz w:val="11"/>
        </w:rPr>
        <w:t>LA</w:t>
      </w:r>
      <w:r>
        <w:rPr>
          <w:color w:val="FBB315"/>
          <w:spacing w:val="-1"/>
          <w:w w:val="105"/>
          <w:sz w:val="11"/>
        </w:rPr>
        <w:t xml:space="preserve"> </w:t>
      </w:r>
      <w:r>
        <w:rPr>
          <w:color w:val="FBB315"/>
          <w:w w:val="105"/>
          <w:sz w:val="11"/>
        </w:rPr>
        <w:t>DIVERSIDAD</w:t>
      </w:r>
      <w:r>
        <w:rPr>
          <w:color w:val="FBB315"/>
          <w:spacing w:val="-1"/>
          <w:w w:val="105"/>
          <w:sz w:val="11"/>
        </w:rPr>
        <w:t xml:space="preserve"> </w:t>
      </w:r>
      <w:r>
        <w:rPr>
          <w:color w:val="FBB315"/>
          <w:w w:val="105"/>
          <w:sz w:val="11"/>
        </w:rPr>
        <w:t>Y</w:t>
      </w:r>
      <w:r>
        <w:rPr>
          <w:color w:val="FBB315"/>
          <w:spacing w:val="-1"/>
          <w:w w:val="105"/>
          <w:sz w:val="11"/>
        </w:rPr>
        <w:t xml:space="preserve"> </w:t>
      </w:r>
      <w:r>
        <w:rPr>
          <w:color w:val="FBB315"/>
          <w:w w:val="105"/>
          <w:sz w:val="11"/>
        </w:rPr>
        <w:t>LA</w:t>
      </w:r>
      <w:r>
        <w:rPr>
          <w:color w:val="FBB315"/>
          <w:spacing w:val="-1"/>
          <w:w w:val="105"/>
          <w:sz w:val="11"/>
        </w:rPr>
        <w:t xml:space="preserve"> </w:t>
      </w:r>
      <w:r>
        <w:rPr>
          <w:color w:val="FBB315"/>
          <w:w w:val="105"/>
          <w:sz w:val="11"/>
        </w:rPr>
        <w:t>IGUALDAD: OBLIGACIONES DE</w:t>
      </w:r>
      <w:r>
        <w:rPr>
          <w:color w:val="FBB315"/>
          <w:spacing w:val="-1"/>
          <w:w w:val="105"/>
          <w:sz w:val="11"/>
        </w:rPr>
        <w:t xml:space="preserve"> </w:t>
      </w:r>
      <w:r>
        <w:rPr>
          <w:color w:val="FBB315"/>
          <w:w w:val="105"/>
          <w:sz w:val="11"/>
        </w:rPr>
        <w:t>ABORDAR</w:t>
      </w:r>
      <w:r>
        <w:rPr>
          <w:color w:val="FBB315"/>
          <w:spacing w:val="-2"/>
          <w:w w:val="105"/>
          <w:sz w:val="11"/>
        </w:rPr>
        <w:t xml:space="preserve"> </w:t>
      </w:r>
      <w:r>
        <w:rPr>
          <w:color w:val="FBB315"/>
          <w:w w:val="105"/>
          <w:sz w:val="11"/>
        </w:rPr>
        <w:t>LAS</w:t>
      </w:r>
      <w:r>
        <w:rPr>
          <w:color w:val="FBB315"/>
          <w:spacing w:val="-1"/>
          <w:w w:val="105"/>
          <w:sz w:val="11"/>
        </w:rPr>
        <w:t xml:space="preserve"> </w:t>
      </w:r>
      <w:r>
        <w:rPr>
          <w:color w:val="FBB315"/>
          <w:w w:val="105"/>
          <w:sz w:val="11"/>
        </w:rPr>
        <w:t>CAUSAS</w:t>
      </w:r>
      <w:r>
        <w:rPr>
          <w:color w:val="FBB315"/>
          <w:spacing w:val="-1"/>
          <w:w w:val="105"/>
          <w:sz w:val="11"/>
        </w:rPr>
        <w:t xml:space="preserve"> </w:t>
      </w:r>
      <w:r>
        <w:rPr>
          <w:color w:val="FBB315"/>
          <w:w w:val="105"/>
          <w:sz w:val="11"/>
        </w:rPr>
        <w:t>FUNDAMENTALES DE</w:t>
      </w:r>
      <w:r>
        <w:rPr>
          <w:color w:val="FBB315"/>
          <w:spacing w:val="-1"/>
          <w:w w:val="105"/>
          <w:sz w:val="11"/>
        </w:rPr>
        <w:t xml:space="preserve"> </w:t>
      </w:r>
      <w:r>
        <w:rPr>
          <w:color w:val="FBB315"/>
          <w:w w:val="105"/>
          <w:sz w:val="11"/>
        </w:rPr>
        <w:t>LA</w:t>
      </w:r>
      <w:r>
        <w:rPr>
          <w:color w:val="FBB315"/>
          <w:spacing w:val="-1"/>
          <w:w w:val="105"/>
          <w:sz w:val="11"/>
        </w:rPr>
        <w:t xml:space="preserve"> </w:t>
      </w:r>
      <w:r>
        <w:rPr>
          <w:color w:val="FBB315"/>
          <w:spacing w:val="-2"/>
          <w:w w:val="105"/>
          <w:sz w:val="11"/>
        </w:rPr>
        <w:t>DISCRIMINACIÓN</w:t>
      </w:r>
    </w:p>
    <w:p w14:paraId="5B4F80DD" w14:textId="77777777" w:rsidR="0014798C" w:rsidRDefault="0014798C">
      <w:pPr>
        <w:pStyle w:val="Textoindependiente"/>
        <w:rPr>
          <w:sz w:val="15"/>
        </w:rPr>
      </w:pPr>
    </w:p>
    <w:p w14:paraId="140F7940" w14:textId="77777777" w:rsidR="0014798C" w:rsidRDefault="0014798C">
      <w:pPr>
        <w:pStyle w:val="Textoindependiente"/>
        <w:rPr>
          <w:sz w:val="15"/>
        </w:rPr>
      </w:pPr>
    </w:p>
    <w:p w14:paraId="30AB535C" w14:textId="77777777" w:rsidR="0014798C" w:rsidRDefault="0014798C">
      <w:pPr>
        <w:pStyle w:val="Textoindependiente"/>
        <w:rPr>
          <w:sz w:val="15"/>
        </w:rPr>
      </w:pPr>
    </w:p>
    <w:p w14:paraId="37A9B25C" w14:textId="77777777" w:rsidR="0014798C" w:rsidRDefault="0014798C">
      <w:pPr>
        <w:pStyle w:val="Textoindependiente"/>
        <w:rPr>
          <w:sz w:val="15"/>
        </w:rPr>
      </w:pPr>
    </w:p>
    <w:p w14:paraId="042C4745" w14:textId="77777777" w:rsidR="0014798C" w:rsidRDefault="0014798C">
      <w:pPr>
        <w:pStyle w:val="Textoindependiente"/>
        <w:spacing w:before="143"/>
        <w:rPr>
          <w:sz w:val="15"/>
        </w:rPr>
      </w:pPr>
    </w:p>
    <w:p w14:paraId="31B6DF5C" w14:textId="77777777" w:rsidR="0014798C" w:rsidRDefault="004E1F0B">
      <w:pPr>
        <w:spacing w:line="348" w:lineRule="auto"/>
        <w:ind w:left="1105" w:right="1335"/>
        <w:rPr>
          <w:sz w:val="15"/>
        </w:rPr>
      </w:pPr>
      <w:r>
        <w:rPr>
          <w:w w:val="105"/>
          <w:sz w:val="15"/>
        </w:rPr>
        <w:t>El</w:t>
      </w:r>
      <w:r>
        <w:rPr>
          <w:spacing w:val="-9"/>
          <w:w w:val="105"/>
          <w:sz w:val="15"/>
        </w:rPr>
        <w:t xml:space="preserve"> </w:t>
      </w:r>
      <w:r>
        <w:rPr>
          <w:w w:val="105"/>
          <w:sz w:val="15"/>
        </w:rPr>
        <w:t>Relator</w:t>
      </w:r>
      <w:r>
        <w:rPr>
          <w:spacing w:val="-9"/>
          <w:w w:val="105"/>
          <w:sz w:val="15"/>
        </w:rPr>
        <w:t xml:space="preserve"> </w:t>
      </w:r>
      <w:r>
        <w:rPr>
          <w:w w:val="105"/>
          <w:sz w:val="15"/>
        </w:rPr>
        <w:t>Especial</w:t>
      </w:r>
      <w:r>
        <w:rPr>
          <w:spacing w:val="-9"/>
          <w:w w:val="105"/>
          <w:sz w:val="15"/>
        </w:rPr>
        <w:t xml:space="preserve"> </w:t>
      </w:r>
      <w:r>
        <w:rPr>
          <w:w w:val="105"/>
          <w:sz w:val="15"/>
        </w:rPr>
        <w:t>sobre</w:t>
      </w:r>
      <w:r>
        <w:rPr>
          <w:spacing w:val="-9"/>
          <w:w w:val="105"/>
          <w:sz w:val="15"/>
        </w:rPr>
        <w:t xml:space="preserve"> </w:t>
      </w:r>
      <w:r>
        <w:rPr>
          <w:w w:val="105"/>
          <w:sz w:val="15"/>
        </w:rPr>
        <w:t>los</w:t>
      </w:r>
      <w:r>
        <w:rPr>
          <w:spacing w:val="-9"/>
          <w:w w:val="105"/>
          <w:sz w:val="15"/>
        </w:rPr>
        <w:t xml:space="preserve"> </w:t>
      </w:r>
      <w:r>
        <w:rPr>
          <w:w w:val="105"/>
          <w:sz w:val="15"/>
        </w:rPr>
        <w:t>derechos</w:t>
      </w:r>
      <w:r>
        <w:rPr>
          <w:spacing w:val="-9"/>
          <w:w w:val="105"/>
          <w:sz w:val="15"/>
        </w:rPr>
        <w:t xml:space="preserve"> </w:t>
      </w:r>
      <w:r>
        <w:rPr>
          <w:w w:val="105"/>
          <w:sz w:val="15"/>
        </w:rPr>
        <w:t>de</w:t>
      </w:r>
      <w:r>
        <w:rPr>
          <w:spacing w:val="-9"/>
          <w:w w:val="105"/>
          <w:sz w:val="15"/>
        </w:rPr>
        <w:t xml:space="preserve"> </w:t>
      </w:r>
      <w:r>
        <w:rPr>
          <w:w w:val="105"/>
          <w:sz w:val="15"/>
        </w:rPr>
        <w:t>las</w:t>
      </w:r>
      <w:r>
        <w:rPr>
          <w:spacing w:val="-9"/>
          <w:w w:val="105"/>
          <w:sz w:val="15"/>
        </w:rPr>
        <w:t xml:space="preserve"> </w:t>
      </w:r>
      <w:r>
        <w:rPr>
          <w:w w:val="105"/>
          <w:sz w:val="15"/>
        </w:rPr>
        <w:t>personas</w:t>
      </w:r>
      <w:r>
        <w:rPr>
          <w:spacing w:val="-9"/>
          <w:w w:val="105"/>
          <w:sz w:val="15"/>
        </w:rPr>
        <w:t xml:space="preserve"> </w:t>
      </w:r>
      <w:r>
        <w:rPr>
          <w:w w:val="105"/>
          <w:sz w:val="15"/>
        </w:rPr>
        <w:t>con</w:t>
      </w:r>
      <w:r>
        <w:rPr>
          <w:spacing w:val="-9"/>
          <w:w w:val="105"/>
          <w:sz w:val="15"/>
        </w:rPr>
        <w:t xml:space="preserve"> </w:t>
      </w:r>
      <w:r>
        <w:rPr>
          <w:w w:val="105"/>
          <w:sz w:val="15"/>
        </w:rPr>
        <w:t>discapacidad</w:t>
      </w:r>
      <w:r>
        <w:rPr>
          <w:spacing w:val="-9"/>
          <w:w w:val="105"/>
          <w:sz w:val="15"/>
        </w:rPr>
        <w:t xml:space="preserve"> </w:t>
      </w:r>
      <w:r>
        <w:rPr>
          <w:w w:val="105"/>
          <w:sz w:val="15"/>
        </w:rPr>
        <w:t>ha</w:t>
      </w:r>
      <w:r>
        <w:rPr>
          <w:spacing w:val="-9"/>
          <w:w w:val="105"/>
          <w:sz w:val="15"/>
        </w:rPr>
        <w:t xml:space="preserve"> </w:t>
      </w:r>
      <w:r>
        <w:rPr>
          <w:w w:val="105"/>
          <w:sz w:val="15"/>
        </w:rPr>
        <w:t>señalado</w:t>
      </w:r>
      <w:r>
        <w:rPr>
          <w:spacing w:val="-9"/>
          <w:w w:val="105"/>
          <w:sz w:val="15"/>
        </w:rPr>
        <w:t xml:space="preserve"> </w:t>
      </w:r>
      <w:r>
        <w:rPr>
          <w:w w:val="105"/>
          <w:sz w:val="15"/>
        </w:rPr>
        <w:t>además</w:t>
      </w:r>
      <w:r>
        <w:rPr>
          <w:spacing w:val="-9"/>
          <w:w w:val="105"/>
          <w:sz w:val="15"/>
        </w:rPr>
        <w:t xml:space="preserve"> </w:t>
      </w:r>
      <w:r>
        <w:rPr>
          <w:w w:val="105"/>
          <w:sz w:val="15"/>
        </w:rPr>
        <w:t>que</w:t>
      </w:r>
      <w:r>
        <w:rPr>
          <w:spacing w:val="-9"/>
          <w:w w:val="105"/>
          <w:sz w:val="15"/>
        </w:rPr>
        <w:t xml:space="preserve"> </w:t>
      </w:r>
      <w:r>
        <w:rPr>
          <w:w w:val="105"/>
          <w:sz w:val="15"/>
        </w:rPr>
        <w:t>–</w:t>
      </w:r>
      <w:r>
        <w:rPr>
          <w:spacing w:val="-9"/>
          <w:w w:val="105"/>
          <w:sz w:val="15"/>
        </w:rPr>
        <w:t xml:space="preserve"> </w:t>
      </w:r>
      <w:r>
        <w:rPr>
          <w:w w:val="105"/>
          <w:sz w:val="15"/>
        </w:rPr>
        <w:t>por</w:t>
      </w:r>
      <w:r>
        <w:rPr>
          <w:spacing w:val="-9"/>
          <w:w w:val="105"/>
          <w:sz w:val="15"/>
        </w:rPr>
        <w:t xml:space="preserve"> </w:t>
      </w:r>
      <w:r>
        <w:rPr>
          <w:w w:val="105"/>
          <w:sz w:val="15"/>
        </w:rPr>
        <w:t>ejemplo,</w:t>
      </w:r>
      <w:r>
        <w:rPr>
          <w:spacing w:val="-9"/>
          <w:w w:val="105"/>
          <w:sz w:val="15"/>
        </w:rPr>
        <w:t xml:space="preserve"> </w:t>
      </w:r>
      <w:r>
        <w:rPr>
          <w:w w:val="105"/>
          <w:sz w:val="15"/>
        </w:rPr>
        <w:t>en</w:t>
      </w:r>
      <w:r>
        <w:rPr>
          <w:spacing w:val="-9"/>
          <w:w w:val="105"/>
          <w:sz w:val="15"/>
        </w:rPr>
        <w:t xml:space="preserve"> </w:t>
      </w:r>
      <w:r>
        <w:rPr>
          <w:w w:val="105"/>
          <w:sz w:val="15"/>
        </w:rPr>
        <w:t>el</w:t>
      </w:r>
      <w:r>
        <w:rPr>
          <w:spacing w:val="-9"/>
          <w:w w:val="105"/>
          <w:sz w:val="15"/>
        </w:rPr>
        <w:t xml:space="preserve"> </w:t>
      </w:r>
      <w:r>
        <w:rPr>
          <w:w w:val="105"/>
          <w:sz w:val="15"/>
        </w:rPr>
        <w:t>contexto</w:t>
      </w:r>
      <w:r>
        <w:rPr>
          <w:spacing w:val="-9"/>
          <w:w w:val="105"/>
          <w:sz w:val="15"/>
        </w:rPr>
        <w:t xml:space="preserve"> </w:t>
      </w:r>
      <w:r>
        <w:rPr>
          <w:w w:val="105"/>
          <w:sz w:val="15"/>
        </w:rPr>
        <w:t>de</w:t>
      </w:r>
      <w:r>
        <w:rPr>
          <w:spacing w:val="-9"/>
          <w:w w:val="105"/>
          <w:sz w:val="15"/>
        </w:rPr>
        <w:t xml:space="preserve"> </w:t>
      </w:r>
      <w:r>
        <w:rPr>
          <w:w w:val="105"/>
          <w:sz w:val="15"/>
        </w:rPr>
        <w:t>la práctica</w:t>
      </w:r>
      <w:r>
        <w:rPr>
          <w:spacing w:val="-3"/>
          <w:w w:val="105"/>
          <w:sz w:val="15"/>
        </w:rPr>
        <w:t xml:space="preserve"> </w:t>
      </w:r>
      <w:r>
        <w:rPr>
          <w:w w:val="105"/>
          <w:sz w:val="15"/>
        </w:rPr>
        <w:t>médica</w:t>
      </w:r>
      <w:r>
        <w:rPr>
          <w:spacing w:val="-3"/>
          <w:w w:val="105"/>
          <w:sz w:val="15"/>
        </w:rPr>
        <w:t xml:space="preserve"> </w:t>
      </w:r>
      <w:r>
        <w:rPr>
          <w:w w:val="105"/>
          <w:sz w:val="15"/>
        </w:rPr>
        <w:t>y</w:t>
      </w:r>
      <w:r>
        <w:rPr>
          <w:spacing w:val="-3"/>
          <w:w w:val="105"/>
          <w:sz w:val="15"/>
        </w:rPr>
        <w:t xml:space="preserve"> </w:t>
      </w:r>
      <w:r>
        <w:rPr>
          <w:w w:val="105"/>
          <w:sz w:val="15"/>
        </w:rPr>
        <w:t>científica</w:t>
      </w:r>
      <w:r>
        <w:rPr>
          <w:spacing w:val="-3"/>
          <w:w w:val="105"/>
          <w:sz w:val="15"/>
        </w:rPr>
        <w:t xml:space="preserve"> </w:t>
      </w:r>
      <w:r>
        <w:rPr>
          <w:w w:val="105"/>
          <w:sz w:val="15"/>
        </w:rPr>
        <w:t>–</w:t>
      </w:r>
      <w:r>
        <w:rPr>
          <w:spacing w:val="-3"/>
          <w:w w:val="105"/>
          <w:sz w:val="15"/>
        </w:rPr>
        <w:t xml:space="preserve"> </w:t>
      </w:r>
      <w:r>
        <w:rPr>
          <w:w w:val="105"/>
          <w:sz w:val="15"/>
        </w:rPr>
        <w:t>los</w:t>
      </w:r>
      <w:r>
        <w:rPr>
          <w:spacing w:val="-3"/>
          <w:w w:val="105"/>
          <w:sz w:val="15"/>
        </w:rPr>
        <w:t xml:space="preserve"> </w:t>
      </w:r>
      <w:r>
        <w:rPr>
          <w:w w:val="105"/>
          <w:sz w:val="15"/>
        </w:rPr>
        <w:t>Estados</w:t>
      </w:r>
      <w:r>
        <w:rPr>
          <w:spacing w:val="-4"/>
          <w:w w:val="105"/>
          <w:sz w:val="15"/>
        </w:rPr>
        <w:t xml:space="preserve"> </w:t>
      </w:r>
      <w:r>
        <w:rPr>
          <w:w w:val="105"/>
          <w:sz w:val="15"/>
        </w:rPr>
        <w:t>deben</w:t>
      </w:r>
      <w:r>
        <w:rPr>
          <w:spacing w:val="-3"/>
          <w:w w:val="105"/>
          <w:sz w:val="15"/>
        </w:rPr>
        <w:t xml:space="preserve"> </w:t>
      </w:r>
      <w:r>
        <w:rPr>
          <w:w w:val="105"/>
          <w:sz w:val="15"/>
        </w:rPr>
        <w:t>“involucrar</w:t>
      </w:r>
      <w:r>
        <w:rPr>
          <w:spacing w:val="-3"/>
          <w:w w:val="105"/>
          <w:sz w:val="15"/>
        </w:rPr>
        <w:t xml:space="preserve"> </w:t>
      </w:r>
      <w:r>
        <w:rPr>
          <w:w w:val="105"/>
          <w:sz w:val="15"/>
        </w:rPr>
        <w:t>activamente</w:t>
      </w:r>
      <w:r>
        <w:rPr>
          <w:spacing w:val="-3"/>
          <w:w w:val="105"/>
          <w:sz w:val="15"/>
        </w:rPr>
        <w:t xml:space="preserve"> </w:t>
      </w:r>
      <w:r>
        <w:rPr>
          <w:w w:val="105"/>
          <w:sz w:val="15"/>
        </w:rPr>
        <w:t>y</w:t>
      </w:r>
      <w:r>
        <w:rPr>
          <w:spacing w:val="-3"/>
          <w:w w:val="105"/>
          <w:sz w:val="15"/>
        </w:rPr>
        <w:t xml:space="preserve"> </w:t>
      </w:r>
      <w:r>
        <w:rPr>
          <w:w w:val="105"/>
          <w:sz w:val="15"/>
        </w:rPr>
        <w:t>consultar</w:t>
      </w:r>
      <w:r>
        <w:rPr>
          <w:spacing w:val="-3"/>
          <w:w w:val="105"/>
          <w:sz w:val="15"/>
        </w:rPr>
        <w:t xml:space="preserve"> </w:t>
      </w:r>
      <w:r>
        <w:rPr>
          <w:w w:val="105"/>
          <w:sz w:val="15"/>
        </w:rPr>
        <w:t>con</w:t>
      </w:r>
      <w:r>
        <w:rPr>
          <w:spacing w:val="-3"/>
          <w:w w:val="105"/>
          <w:sz w:val="15"/>
        </w:rPr>
        <w:t xml:space="preserve"> </w:t>
      </w:r>
      <w:r>
        <w:rPr>
          <w:w w:val="105"/>
          <w:sz w:val="15"/>
        </w:rPr>
        <w:t>las</w:t>
      </w:r>
      <w:r>
        <w:rPr>
          <w:spacing w:val="-3"/>
          <w:w w:val="105"/>
          <w:sz w:val="15"/>
        </w:rPr>
        <w:t xml:space="preserve"> </w:t>
      </w:r>
      <w:r>
        <w:rPr>
          <w:w w:val="105"/>
          <w:sz w:val="15"/>
        </w:rPr>
        <w:t>personas</w:t>
      </w:r>
      <w:r>
        <w:rPr>
          <w:spacing w:val="-3"/>
          <w:w w:val="105"/>
          <w:sz w:val="15"/>
        </w:rPr>
        <w:t xml:space="preserve"> </w:t>
      </w:r>
      <w:r>
        <w:rPr>
          <w:w w:val="105"/>
          <w:sz w:val="15"/>
        </w:rPr>
        <w:t>con</w:t>
      </w:r>
      <w:r>
        <w:rPr>
          <w:spacing w:val="-3"/>
          <w:w w:val="105"/>
          <w:sz w:val="15"/>
        </w:rPr>
        <w:t xml:space="preserve"> </w:t>
      </w:r>
      <w:r>
        <w:rPr>
          <w:w w:val="105"/>
          <w:sz w:val="15"/>
        </w:rPr>
        <w:t>discapacidad</w:t>
      </w:r>
      <w:r>
        <w:rPr>
          <w:spacing w:val="-3"/>
          <w:w w:val="105"/>
          <w:sz w:val="15"/>
        </w:rPr>
        <w:t xml:space="preserve"> </w:t>
      </w:r>
      <w:r>
        <w:rPr>
          <w:w w:val="105"/>
          <w:sz w:val="15"/>
        </w:rPr>
        <w:t>y</w:t>
      </w:r>
      <w:r>
        <w:rPr>
          <w:spacing w:val="-3"/>
          <w:w w:val="105"/>
          <w:sz w:val="15"/>
        </w:rPr>
        <w:t xml:space="preserve"> </w:t>
      </w:r>
      <w:r>
        <w:rPr>
          <w:w w:val="105"/>
          <w:sz w:val="15"/>
        </w:rPr>
        <w:t>sus organizaciones</w:t>
      </w:r>
      <w:r>
        <w:rPr>
          <w:spacing w:val="-5"/>
          <w:w w:val="105"/>
          <w:sz w:val="15"/>
        </w:rPr>
        <w:t xml:space="preserve"> </w:t>
      </w:r>
      <w:r>
        <w:rPr>
          <w:w w:val="105"/>
          <w:sz w:val="15"/>
        </w:rPr>
        <w:t>representativas</w:t>
      </w:r>
      <w:r>
        <w:rPr>
          <w:spacing w:val="-5"/>
          <w:w w:val="105"/>
          <w:sz w:val="15"/>
        </w:rPr>
        <w:t xml:space="preserve"> </w:t>
      </w:r>
      <w:r>
        <w:rPr>
          <w:w w:val="105"/>
          <w:sz w:val="15"/>
        </w:rPr>
        <w:t>en</w:t>
      </w:r>
      <w:r>
        <w:rPr>
          <w:spacing w:val="-5"/>
          <w:w w:val="105"/>
          <w:sz w:val="15"/>
        </w:rPr>
        <w:t xml:space="preserve"> </w:t>
      </w:r>
      <w:r>
        <w:rPr>
          <w:w w:val="105"/>
          <w:sz w:val="15"/>
        </w:rPr>
        <w:t>todos</w:t>
      </w:r>
      <w:r>
        <w:rPr>
          <w:spacing w:val="-5"/>
          <w:w w:val="105"/>
          <w:sz w:val="15"/>
        </w:rPr>
        <w:t xml:space="preserve"> </w:t>
      </w:r>
      <w:r>
        <w:rPr>
          <w:w w:val="105"/>
          <w:sz w:val="15"/>
        </w:rPr>
        <w:t>los</w:t>
      </w:r>
      <w:r>
        <w:rPr>
          <w:spacing w:val="-5"/>
          <w:w w:val="105"/>
          <w:sz w:val="15"/>
        </w:rPr>
        <w:t xml:space="preserve"> </w:t>
      </w:r>
      <w:r>
        <w:rPr>
          <w:w w:val="105"/>
          <w:sz w:val="15"/>
        </w:rPr>
        <w:t>procesos</w:t>
      </w:r>
      <w:r>
        <w:rPr>
          <w:spacing w:val="-5"/>
          <w:w w:val="105"/>
          <w:sz w:val="15"/>
        </w:rPr>
        <w:t xml:space="preserve"> </w:t>
      </w:r>
      <w:r>
        <w:rPr>
          <w:w w:val="105"/>
          <w:sz w:val="15"/>
        </w:rPr>
        <w:t>de</w:t>
      </w:r>
      <w:r>
        <w:rPr>
          <w:spacing w:val="-5"/>
          <w:w w:val="105"/>
          <w:sz w:val="15"/>
        </w:rPr>
        <w:t xml:space="preserve"> </w:t>
      </w:r>
      <w:r>
        <w:rPr>
          <w:w w:val="105"/>
          <w:sz w:val="15"/>
        </w:rPr>
        <w:t>toma</w:t>
      </w:r>
      <w:r>
        <w:rPr>
          <w:spacing w:val="-5"/>
          <w:w w:val="105"/>
          <w:sz w:val="15"/>
        </w:rPr>
        <w:t xml:space="preserve"> </w:t>
      </w:r>
      <w:r>
        <w:rPr>
          <w:w w:val="105"/>
          <w:sz w:val="15"/>
        </w:rPr>
        <w:t>de</w:t>
      </w:r>
      <w:r>
        <w:rPr>
          <w:spacing w:val="-5"/>
          <w:w w:val="105"/>
          <w:sz w:val="15"/>
        </w:rPr>
        <w:t xml:space="preserve"> </w:t>
      </w:r>
      <w:r>
        <w:rPr>
          <w:w w:val="105"/>
          <w:sz w:val="15"/>
        </w:rPr>
        <w:t>decisiones...</w:t>
      </w:r>
      <w:r>
        <w:rPr>
          <w:spacing w:val="-4"/>
          <w:w w:val="105"/>
          <w:sz w:val="15"/>
        </w:rPr>
        <w:t xml:space="preserve"> </w:t>
      </w:r>
      <w:r>
        <w:rPr>
          <w:w w:val="105"/>
          <w:sz w:val="15"/>
        </w:rPr>
        <w:t>sobre</w:t>
      </w:r>
      <w:r>
        <w:rPr>
          <w:spacing w:val="-5"/>
          <w:w w:val="105"/>
          <w:sz w:val="15"/>
        </w:rPr>
        <w:t xml:space="preserve"> </w:t>
      </w:r>
      <w:r>
        <w:rPr>
          <w:w w:val="105"/>
          <w:sz w:val="15"/>
        </w:rPr>
        <w:t>ellos,</w:t>
      </w:r>
      <w:r>
        <w:rPr>
          <w:spacing w:val="-5"/>
          <w:w w:val="105"/>
          <w:sz w:val="15"/>
        </w:rPr>
        <w:t xml:space="preserve"> </w:t>
      </w:r>
      <w:r>
        <w:rPr>
          <w:w w:val="105"/>
          <w:sz w:val="15"/>
        </w:rPr>
        <w:t>incluyendo</w:t>
      </w:r>
      <w:r>
        <w:rPr>
          <w:spacing w:val="-5"/>
          <w:w w:val="105"/>
          <w:sz w:val="15"/>
        </w:rPr>
        <w:t xml:space="preserve"> </w:t>
      </w:r>
      <w:r>
        <w:rPr>
          <w:w w:val="105"/>
          <w:sz w:val="15"/>
        </w:rPr>
        <w:t>la</w:t>
      </w:r>
      <w:r>
        <w:rPr>
          <w:spacing w:val="-5"/>
          <w:w w:val="105"/>
          <w:sz w:val="15"/>
        </w:rPr>
        <w:t xml:space="preserve"> </w:t>
      </w:r>
      <w:r>
        <w:rPr>
          <w:w w:val="105"/>
          <w:sz w:val="15"/>
        </w:rPr>
        <w:t>reforma</w:t>
      </w:r>
      <w:r>
        <w:rPr>
          <w:spacing w:val="-5"/>
          <w:w w:val="105"/>
          <w:sz w:val="15"/>
        </w:rPr>
        <w:t xml:space="preserve"> </w:t>
      </w:r>
      <w:r>
        <w:rPr>
          <w:w w:val="105"/>
          <w:sz w:val="15"/>
        </w:rPr>
        <w:t>legal,</w:t>
      </w:r>
      <w:r>
        <w:rPr>
          <w:spacing w:val="-5"/>
          <w:w w:val="105"/>
          <w:sz w:val="15"/>
        </w:rPr>
        <w:t xml:space="preserve"> </w:t>
      </w:r>
      <w:r>
        <w:rPr>
          <w:w w:val="105"/>
          <w:sz w:val="15"/>
        </w:rPr>
        <w:t>el</w:t>
      </w:r>
      <w:r>
        <w:rPr>
          <w:spacing w:val="-5"/>
          <w:w w:val="105"/>
          <w:sz w:val="15"/>
        </w:rPr>
        <w:t xml:space="preserve"> </w:t>
      </w:r>
      <w:r>
        <w:rPr>
          <w:w w:val="105"/>
          <w:sz w:val="15"/>
        </w:rPr>
        <w:t>desarrollo de políticas y la investigación”.1249</w:t>
      </w:r>
    </w:p>
    <w:p w14:paraId="4FA3963A" w14:textId="77777777" w:rsidR="0014798C" w:rsidRDefault="0014798C">
      <w:pPr>
        <w:pStyle w:val="Textoindependiente"/>
        <w:rPr>
          <w:sz w:val="15"/>
        </w:rPr>
      </w:pPr>
    </w:p>
    <w:p w14:paraId="51C705B0" w14:textId="77777777" w:rsidR="0014798C" w:rsidRDefault="0014798C">
      <w:pPr>
        <w:pStyle w:val="Textoindependiente"/>
        <w:spacing w:before="122"/>
        <w:rPr>
          <w:sz w:val="15"/>
        </w:rPr>
      </w:pPr>
    </w:p>
    <w:p w14:paraId="5B3209E0" w14:textId="77777777" w:rsidR="0014798C" w:rsidRDefault="004E1F0B">
      <w:pPr>
        <w:spacing w:before="1"/>
        <w:ind w:left="1331"/>
        <w:rPr>
          <w:sz w:val="15"/>
        </w:rPr>
      </w:pPr>
      <w:r>
        <w:rPr>
          <w:noProof/>
        </w:rPr>
        <w:drawing>
          <wp:anchor distT="0" distB="0" distL="0" distR="0" simplePos="0" relativeHeight="251658500" behindDoc="1" locked="0" layoutInCell="1" allowOverlap="1" wp14:anchorId="6226088C" wp14:editId="6822BE32">
            <wp:simplePos x="0" y="0"/>
            <wp:positionH relativeFrom="page">
              <wp:posOffset>790692</wp:posOffset>
            </wp:positionH>
            <wp:positionV relativeFrom="paragraph">
              <wp:posOffset>-158898</wp:posOffset>
            </wp:positionV>
            <wp:extent cx="6765807" cy="7589273"/>
            <wp:effectExtent l="0" t="0" r="0" b="0"/>
            <wp:wrapNone/>
            <wp:docPr id="388" name="Image 38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88" name="Image 388"/>
                    <pic:cNvPicPr/>
                  </pic:nvPicPr>
                  <pic:blipFill>
                    <a:blip r:embed="rId362" cstate="print"/>
                    <a:stretch>
                      <a:fillRect/>
                    </a:stretch>
                  </pic:blipFill>
                  <pic:spPr>
                    <a:xfrm>
                      <a:off x="0" y="0"/>
                      <a:ext cx="6765807" cy="7589273"/>
                    </a:xfrm>
                    <a:prstGeom prst="rect">
                      <a:avLst/>
                    </a:prstGeom>
                  </pic:spPr>
                </pic:pic>
              </a:graphicData>
            </a:graphic>
          </wp:anchor>
        </w:drawing>
      </w:r>
      <w:r>
        <w:rPr>
          <w:w w:val="105"/>
          <w:sz w:val="15"/>
        </w:rPr>
        <w:t>Afrontar</w:t>
      </w:r>
      <w:r>
        <w:rPr>
          <w:spacing w:val="-9"/>
          <w:w w:val="105"/>
          <w:sz w:val="15"/>
        </w:rPr>
        <w:t xml:space="preserve"> </w:t>
      </w:r>
      <w:r>
        <w:rPr>
          <w:w w:val="105"/>
          <w:sz w:val="15"/>
        </w:rPr>
        <w:t>el</w:t>
      </w:r>
      <w:r>
        <w:rPr>
          <w:spacing w:val="-9"/>
          <w:w w:val="105"/>
          <w:sz w:val="15"/>
        </w:rPr>
        <w:t xml:space="preserve"> </w:t>
      </w:r>
      <w:r>
        <w:rPr>
          <w:spacing w:val="-2"/>
          <w:w w:val="105"/>
          <w:sz w:val="15"/>
        </w:rPr>
        <w:t>capacitismo</w:t>
      </w:r>
    </w:p>
    <w:p w14:paraId="29B1C785" w14:textId="77777777" w:rsidR="0014798C" w:rsidRDefault="0014798C">
      <w:pPr>
        <w:pStyle w:val="Textoindependiente"/>
        <w:spacing w:before="58"/>
        <w:rPr>
          <w:sz w:val="15"/>
        </w:rPr>
      </w:pPr>
    </w:p>
    <w:p w14:paraId="243FF76F" w14:textId="77777777" w:rsidR="0014798C" w:rsidRDefault="004E1F0B">
      <w:pPr>
        <w:spacing w:line="348" w:lineRule="auto"/>
        <w:ind w:left="1333" w:right="1272" w:hanging="1"/>
        <w:rPr>
          <w:sz w:val="15"/>
        </w:rPr>
      </w:pPr>
      <w:r>
        <w:rPr>
          <w:w w:val="105"/>
          <w:sz w:val="15"/>
        </w:rPr>
        <w:t>En</w:t>
      </w:r>
      <w:r>
        <w:rPr>
          <w:spacing w:val="-10"/>
          <w:w w:val="105"/>
          <w:sz w:val="15"/>
        </w:rPr>
        <w:t xml:space="preserve"> </w:t>
      </w:r>
      <w:r>
        <w:rPr>
          <w:w w:val="105"/>
          <w:sz w:val="15"/>
        </w:rPr>
        <w:t>un</w:t>
      </w:r>
      <w:r>
        <w:rPr>
          <w:spacing w:val="-10"/>
          <w:w w:val="105"/>
          <w:sz w:val="15"/>
        </w:rPr>
        <w:t xml:space="preserve"> </w:t>
      </w:r>
      <w:r>
        <w:rPr>
          <w:w w:val="105"/>
          <w:sz w:val="15"/>
        </w:rPr>
        <w:t>informe</w:t>
      </w:r>
      <w:r>
        <w:rPr>
          <w:spacing w:val="-10"/>
          <w:w w:val="105"/>
          <w:sz w:val="15"/>
        </w:rPr>
        <w:t xml:space="preserve"> </w:t>
      </w:r>
      <w:r>
        <w:rPr>
          <w:w w:val="105"/>
          <w:sz w:val="15"/>
        </w:rPr>
        <w:t>reciente</w:t>
      </w:r>
      <w:r>
        <w:rPr>
          <w:spacing w:val="-10"/>
          <w:w w:val="105"/>
          <w:sz w:val="15"/>
        </w:rPr>
        <w:t xml:space="preserve"> </w:t>
      </w:r>
      <w:r>
        <w:rPr>
          <w:w w:val="105"/>
          <w:sz w:val="15"/>
        </w:rPr>
        <w:t>sobre</w:t>
      </w:r>
      <w:r>
        <w:rPr>
          <w:spacing w:val="-10"/>
          <w:w w:val="105"/>
          <w:sz w:val="15"/>
        </w:rPr>
        <w:t xml:space="preserve"> </w:t>
      </w:r>
      <w:r>
        <w:rPr>
          <w:w w:val="105"/>
          <w:sz w:val="15"/>
        </w:rPr>
        <w:t>el</w:t>
      </w:r>
      <w:r>
        <w:rPr>
          <w:spacing w:val="-10"/>
          <w:w w:val="105"/>
          <w:sz w:val="15"/>
        </w:rPr>
        <w:t xml:space="preserve"> </w:t>
      </w:r>
      <w:r>
        <w:rPr>
          <w:w w:val="105"/>
          <w:sz w:val="15"/>
        </w:rPr>
        <w:t>tema</w:t>
      </w:r>
      <w:r>
        <w:rPr>
          <w:spacing w:val="-10"/>
          <w:w w:val="105"/>
          <w:sz w:val="15"/>
        </w:rPr>
        <w:t xml:space="preserve"> </w:t>
      </w:r>
      <w:r>
        <w:rPr>
          <w:w w:val="105"/>
          <w:sz w:val="15"/>
        </w:rPr>
        <w:t>del</w:t>
      </w:r>
      <w:r>
        <w:rPr>
          <w:spacing w:val="-10"/>
          <w:w w:val="105"/>
          <w:sz w:val="15"/>
        </w:rPr>
        <w:t xml:space="preserve"> </w:t>
      </w:r>
      <w:r>
        <w:rPr>
          <w:w w:val="105"/>
          <w:sz w:val="15"/>
        </w:rPr>
        <w:t>capacitismo,</w:t>
      </w:r>
      <w:r>
        <w:rPr>
          <w:spacing w:val="-9"/>
          <w:w w:val="105"/>
          <w:sz w:val="15"/>
        </w:rPr>
        <w:t xml:space="preserve"> </w:t>
      </w:r>
      <w:r>
        <w:rPr>
          <w:w w:val="105"/>
          <w:sz w:val="15"/>
        </w:rPr>
        <w:t>el</w:t>
      </w:r>
      <w:r>
        <w:rPr>
          <w:spacing w:val="-10"/>
          <w:w w:val="105"/>
          <w:sz w:val="15"/>
        </w:rPr>
        <w:t xml:space="preserve"> </w:t>
      </w:r>
      <w:r>
        <w:rPr>
          <w:w w:val="105"/>
          <w:sz w:val="15"/>
        </w:rPr>
        <w:t>Relator</w:t>
      </w:r>
      <w:r>
        <w:rPr>
          <w:spacing w:val="-10"/>
          <w:w w:val="105"/>
          <w:sz w:val="15"/>
        </w:rPr>
        <w:t xml:space="preserve"> </w:t>
      </w:r>
      <w:r>
        <w:rPr>
          <w:w w:val="105"/>
          <w:sz w:val="15"/>
        </w:rPr>
        <w:t>Especial</w:t>
      </w:r>
      <w:r>
        <w:rPr>
          <w:spacing w:val="-10"/>
          <w:w w:val="105"/>
          <w:sz w:val="15"/>
        </w:rPr>
        <w:t xml:space="preserve"> </w:t>
      </w:r>
      <w:r>
        <w:rPr>
          <w:w w:val="105"/>
          <w:sz w:val="15"/>
        </w:rPr>
        <w:t>sobre</w:t>
      </w:r>
      <w:r>
        <w:rPr>
          <w:spacing w:val="-10"/>
          <w:w w:val="105"/>
          <w:sz w:val="15"/>
        </w:rPr>
        <w:t xml:space="preserve"> </w:t>
      </w:r>
      <w:r>
        <w:rPr>
          <w:w w:val="105"/>
          <w:sz w:val="15"/>
        </w:rPr>
        <w:t>los</w:t>
      </w:r>
      <w:r>
        <w:rPr>
          <w:spacing w:val="-10"/>
          <w:w w:val="105"/>
          <w:sz w:val="15"/>
        </w:rPr>
        <w:t xml:space="preserve"> </w:t>
      </w:r>
      <w:r>
        <w:rPr>
          <w:w w:val="105"/>
          <w:sz w:val="15"/>
        </w:rPr>
        <w:t>derechos</w:t>
      </w:r>
      <w:r>
        <w:rPr>
          <w:spacing w:val="-10"/>
          <w:w w:val="105"/>
          <w:sz w:val="15"/>
        </w:rPr>
        <w:t xml:space="preserve"> </w:t>
      </w:r>
      <w:r>
        <w:rPr>
          <w:w w:val="105"/>
          <w:sz w:val="15"/>
        </w:rPr>
        <w:t>de</w:t>
      </w:r>
      <w:r>
        <w:rPr>
          <w:spacing w:val="-10"/>
          <w:w w:val="105"/>
          <w:sz w:val="15"/>
        </w:rPr>
        <w:t xml:space="preserve"> </w:t>
      </w:r>
      <w:r>
        <w:rPr>
          <w:w w:val="105"/>
          <w:sz w:val="15"/>
        </w:rPr>
        <w:t>las</w:t>
      </w:r>
      <w:r>
        <w:rPr>
          <w:spacing w:val="-10"/>
          <w:w w:val="105"/>
          <w:sz w:val="15"/>
        </w:rPr>
        <w:t xml:space="preserve"> </w:t>
      </w:r>
      <w:r>
        <w:rPr>
          <w:w w:val="105"/>
          <w:sz w:val="15"/>
        </w:rPr>
        <w:t>personas</w:t>
      </w:r>
      <w:r>
        <w:rPr>
          <w:spacing w:val="-10"/>
          <w:w w:val="105"/>
          <w:sz w:val="15"/>
        </w:rPr>
        <w:t xml:space="preserve"> </w:t>
      </w:r>
      <w:r>
        <w:rPr>
          <w:w w:val="105"/>
          <w:sz w:val="15"/>
        </w:rPr>
        <w:t>con</w:t>
      </w:r>
      <w:r>
        <w:rPr>
          <w:spacing w:val="-10"/>
          <w:w w:val="105"/>
          <w:sz w:val="15"/>
        </w:rPr>
        <w:t xml:space="preserve"> </w:t>
      </w:r>
      <w:r>
        <w:rPr>
          <w:w w:val="105"/>
          <w:sz w:val="15"/>
        </w:rPr>
        <w:t>discapacidad subraya</w:t>
      </w:r>
      <w:r>
        <w:rPr>
          <w:spacing w:val="-3"/>
          <w:w w:val="105"/>
          <w:sz w:val="15"/>
        </w:rPr>
        <w:t xml:space="preserve"> </w:t>
      </w:r>
      <w:r>
        <w:rPr>
          <w:w w:val="105"/>
          <w:sz w:val="15"/>
        </w:rPr>
        <w:t>la</w:t>
      </w:r>
      <w:r>
        <w:rPr>
          <w:spacing w:val="-3"/>
          <w:w w:val="105"/>
          <w:sz w:val="15"/>
        </w:rPr>
        <w:t xml:space="preserve"> </w:t>
      </w:r>
      <w:r>
        <w:rPr>
          <w:w w:val="105"/>
          <w:sz w:val="15"/>
        </w:rPr>
        <w:t>importancia</w:t>
      </w:r>
      <w:r>
        <w:rPr>
          <w:spacing w:val="-3"/>
          <w:w w:val="105"/>
          <w:sz w:val="15"/>
        </w:rPr>
        <w:t xml:space="preserve"> </w:t>
      </w:r>
      <w:r>
        <w:rPr>
          <w:w w:val="105"/>
          <w:sz w:val="15"/>
        </w:rPr>
        <w:t>de</w:t>
      </w:r>
      <w:r>
        <w:rPr>
          <w:spacing w:val="-3"/>
          <w:w w:val="105"/>
          <w:sz w:val="15"/>
        </w:rPr>
        <w:t xml:space="preserve"> </w:t>
      </w:r>
      <w:r>
        <w:rPr>
          <w:w w:val="105"/>
          <w:sz w:val="15"/>
        </w:rPr>
        <w:t>reconocer</w:t>
      </w:r>
      <w:r>
        <w:rPr>
          <w:spacing w:val="-3"/>
          <w:w w:val="105"/>
          <w:sz w:val="15"/>
        </w:rPr>
        <w:t xml:space="preserve"> </w:t>
      </w:r>
      <w:r>
        <w:rPr>
          <w:w w:val="105"/>
          <w:sz w:val="15"/>
        </w:rPr>
        <w:t>y</w:t>
      </w:r>
      <w:r>
        <w:rPr>
          <w:spacing w:val="-3"/>
          <w:w w:val="105"/>
          <w:sz w:val="15"/>
        </w:rPr>
        <w:t xml:space="preserve"> </w:t>
      </w:r>
      <w:r>
        <w:rPr>
          <w:w w:val="105"/>
          <w:sz w:val="15"/>
        </w:rPr>
        <w:t>exponer</w:t>
      </w:r>
      <w:r>
        <w:rPr>
          <w:spacing w:val="-3"/>
          <w:w w:val="105"/>
          <w:sz w:val="15"/>
        </w:rPr>
        <w:t xml:space="preserve"> </w:t>
      </w:r>
      <w:r>
        <w:rPr>
          <w:w w:val="105"/>
          <w:sz w:val="15"/>
        </w:rPr>
        <w:t>este</w:t>
      </w:r>
      <w:r>
        <w:rPr>
          <w:spacing w:val="-3"/>
          <w:w w:val="105"/>
          <w:sz w:val="15"/>
        </w:rPr>
        <w:t xml:space="preserve"> </w:t>
      </w:r>
      <w:r>
        <w:rPr>
          <w:w w:val="105"/>
          <w:sz w:val="15"/>
        </w:rPr>
        <w:t>fenómeno</w:t>
      </w:r>
      <w:r>
        <w:rPr>
          <w:spacing w:val="-3"/>
          <w:w w:val="105"/>
          <w:sz w:val="15"/>
        </w:rPr>
        <w:t xml:space="preserve"> </w:t>
      </w:r>
      <w:r>
        <w:rPr>
          <w:w w:val="105"/>
          <w:sz w:val="15"/>
        </w:rPr>
        <w:t>al</w:t>
      </w:r>
      <w:r>
        <w:rPr>
          <w:spacing w:val="-3"/>
          <w:w w:val="105"/>
          <w:sz w:val="15"/>
        </w:rPr>
        <w:t xml:space="preserve"> </w:t>
      </w:r>
      <w:r>
        <w:rPr>
          <w:w w:val="105"/>
          <w:sz w:val="15"/>
        </w:rPr>
        <w:t>abordar</w:t>
      </w:r>
      <w:r>
        <w:rPr>
          <w:spacing w:val="-3"/>
          <w:w w:val="105"/>
          <w:sz w:val="15"/>
        </w:rPr>
        <w:t xml:space="preserve"> </w:t>
      </w:r>
      <w:r>
        <w:rPr>
          <w:w w:val="105"/>
          <w:sz w:val="15"/>
        </w:rPr>
        <w:t>las</w:t>
      </w:r>
      <w:r>
        <w:rPr>
          <w:spacing w:val="-3"/>
          <w:w w:val="105"/>
          <w:sz w:val="15"/>
        </w:rPr>
        <w:t xml:space="preserve"> </w:t>
      </w:r>
      <w:r>
        <w:rPr>
          <w:w w:val="105"/>
          <w:sz w:val="15"/>
        </w:rPr>
        <w:t>causas</w:t>
      </w:r>
      <w:r>
        <w:rPr>
          <w:spacing w:val="-3"/>
          <w:w w:val="105"/>
          <w:sz w:val="15"/>
        </w:rPr>
        <w:t xml:space="preserve"> </w:t>
      </w:r>
      <w:r>
        <w:rPr>
          <w:w w:val="105"/>
          <w:sz w:val="15"/>
        </w:rPr>
        <w:t>profundas</w:t>
      </w:r>
      <w:r>
        <w:rPr>
          <w:spacing w:val="-3"/>
          <w:w w:val="105"/>
          <w:sz w:val="15"/>
        </w:rPr>
        <w:t xml:space="preserve"> </w:t>
      </w:r>
      <w:r>
        <w:rPr>
          <w:w w:val="105"/>
          <w:sz w:val="15"/>
        </w:rPr>
        <w:t>de</w:t>
      </w:r>
      <w:r>
        <w:rPr>
          <w:spacing w:val="-3"/>
          <w:w w:val="105"/>
          <w:sz w:val="15"/>
        </w:rPr>
        <w:t xml:space="preserve"> </w:t>
      </w:r>
      <w:r>
        <w:rPr>
          <w:w w:val="105"/>
          <w:sz w:val="15"/>
        </w:rPr>
        <w:t>la</w:t>
      </w:r>
      <w:r>
        <w:rPr>
          <w:spacing w:val="-3"/>
          <w:w w:val="105"/>
          <w:sz w:val="15"/>
        </w:rPr>
        <w:t xml:space="preserve"> </w:t>
      </w:r>
      <w:r>
        <w:rPr>
          <w:w w:val="105"/>
          <w:sz w:val="15"/>
        </w:rPr>
        <w:t>discriminación:</w:t>
      </w:r>
    </w:p>
    <w:p w14:paraId="4504270E" w14:textId="77777777" w:rsidR="0014798C" w:rsidRDefault="0014798C">
      <w:pPr>
        <w:pStyle w:val="Textoindependiente"/>
        <w:rPr>
          <w:sz w:val="15"/>
        </w:rPr>
      </w:pPr>
    </w:p>
    <w:p w14:paraId="4B5B13BC" w14:textId="77777777" w:rsidR="0014798C" w:rsidRDefault="0014798C">
      <w:pPr>
        <w:pStyle w:val="Textoindependiente"/>
        <w:spacing w:before="17"/>
        <w:rPr>
          <w:sz w:val="15"/>
        </w:rPr>
      </w:pPr>
    </w:p>
    <w:p w14:paraId="0010F05D" w14:textId="77777777" w:rsidR="0014798C" w:rsidRDefault="004E1F0B">
      <w:pPr>
        <w:pStyle w:val="Prrafodelista"/>
        <w:numPr>
          <w:ilvl w:val="0"/>
          <w:numId w:val="55"/>
        </w:numPr>
        <w:tabs>
          <w:tab w:val="left" w:pos="1714"/>
          <w:tab w:val="left" w:pos="1896"/>
        </w:tabs>
        <w:spacing w:before="1" w:line="348" w:lineRule="auto"/>
        <w:ind w:left="1896" w:right="1960" w:hanging="353"/>
        <w:jc w:val="left"/>
        <w:rPr>
          <w:sz w:val="15"/>
        </w:rPr>
      </w:pPr>
      <w:r>
        <w:rPr>
          <w:w w:val="105"/>
          <w:sz w:val="15"/>
        </w:rPr>
        <w:t>A</w:t>
      </w:r>
      <w:r>
        <w:rPr>
          <w:spacing w:val="-5"/>
          <w:w w:val="105"/>
          <w:sz w:val="15"/>
        </w:rPr>
        <w:t xml:space="preserve"> </w:t>
      </w:r>
      <w:r>
        <w:rPr>
          <w:w w:val="105"/>
          <w:sz w:val="15"/>
        </w:rPr>
        <w:t>pesar</w:t>
      </w:r>
      <w:r>
        <w:rPr>
          <w:spacing w:val="-5"/>
          <w:w w:val="105"/>
          <w:sz w:val="15"/>
        </w:rPr>
        <w:t xml:space="preserve"> </w:t>
      </w:r>
      <w:r>
        <w:rPr>
          <w:w w:val="105"/>
          <w:sz w:val="15"/>
        </w:rPr>
        <w:t>de</w:t>
      </w:r>
      <w:r>
        <w:rPr>
          <w:spacing w:val="-5"/>
          <w:w w:val="105"/>
          <w:sz w:val="15"/>
        </w:rPr>
        <w:t xml:space="preserve"> </w:t>
      </w:r>
      <w:r>
        <w:rPr>
          <w:w w:val="105"/>
          <w:sz w:val="15"/>
        </w:rPr>
        <w:t>los</w:t>
      </w:r>
      <w:r>
        <w:rPr>
          <w:spacing w:val="-5"/>
          <w:w w:val="105"/>
          <w:sz w:val="15"/>
        </w:rPr>
        <w:t xml:space="preserve"> </w:t>
      </w:r>
      <w:r>
        <w:rPr>
          <w:w w:val="105"/>
          <w:sz w:val="15"/>
        </w:rPr>
        <w:t>importantes</w:t>
      </w:r>
      <w:r>
        <w:rPr>
          <w:spacing w:val="-6"/>
          <w:w w:val="105"/>
          <w:sz w:val="15"/>
        </w:rPr>
        <w:t xml:space="preserve"> </w:t>
      </w:r>
      <w:r>
        <w:rPr>
          <w:w w:val="105"/>
          <w:sz w:val="15"/>
        </w:rPr>
        <w:t>avances</w:t>
      </w:r>
      <w:r>
        <w:rPr>
          <w:spacing w:val="-5"/>
          <w:w w:val="105"/>
          <w:sz w:val="15"/>
        </w:rPr>
        <w:t xml:space="preserve"> </w:t>
      </w:r>
      <w:r>
        <w:rPr>
          <w:w w:val="105"/>
          <w:sz w:val="15"/>
        </w:rPr>
        <w:t>en</w:t>
      </w:r>
      <w:r>
        <w:rPr>
          <w:spacing w:val="-5"/>
          <w:w w:val="105"/>
          <w:sz w:val="15"/>
        </w:rPr>
        <w:t xml:space="preserve"> </w:t>
      </w:r>
      <w:r>
        <w:rPr>
          <w:w w:val="105"/>
          <w:sz w:val="15"/>
        </w:rPr>
        <w:t>el</w:t>
      </w:r>
      <w:r>
        <w:rPr>
          <w:spacing w:val="-5"/>
          <w:w w:val="105"/>
          <w:sz w:val="15"/>
        </w:rPr>
        <w:t xml:space="preserve"> </w:t>
      </w:r>
      <w:r>
        <w:rPr>
          <w:w w:val="105"/>
          <w:sz w:val="15"/>
        </w:rPr>
        <w:t>reconocimiento</w:t>
      </w:r>
      <w:r>
        <w:rPr>
          <w:spacing w:val="-5"/>
          <w:w w:val="105"/>
          <w:sz w:val="15"/>
        </w:rPr>
        <w:t xml:space="preserve"> </w:t>
      </w:r>
      <w:r>
        <w:rPr>
          <w:w w:val="105"/>
          <w:sz w:val="15"/>
        </w:rPr>
        <w:t>de</w:t>
      </w:r>
      <w:r>
        <w:rPr>
          <w:spacing w:val="-5"/>
          <w:w w:val="105"/>
          <w:sz w:val="15"/>
        </w:rPr>
        <w:t xml:space="preserve"> </w:t>
      </w:r>
      <w:r>
        <w:rPr>
          <w:w w:val="105"/>
          <w:sz w:val="15"/>
        </w:rPr>
        <w:t>los</w:t>
      </w:r>
      <w:r>
        <w:rPr>
          <w:spacing w:val="-5"/>
          <w:w w:val="105"/>
          <w:sz w:val="15"/>
        </w:rPr>
        <w:t xml:space="preserve"> </w:t>
      </w:r>
      <w:r>
        <w:rPr>
          <w:w w:val="105"/>
          <w:sz w:val="15"/>
        </w:rPr>
        <w:t>derechos</w:t>
      </w:r>
      <w:r>
        <w:rPr>
          <w:spacing w:val="-5"/>
          <w:w w:val="105"/>
          <w:sz w:val="15"/>
        </w:rPr>
        <w:t xml:space="preserve"> </w:t>
      </w:r>
      <w:r>
        <w:rPr>
          <w:w w:val="105"/>
          <w:sz w:val="15"/>
        </w:rPr>
        <w:t>de</w:t>
      </w:r>
      <w:r>
        <w:rPr>
          <w:spacing w:val="-5"/>
          <w:w w:val="105"/>
          <w:sz w:val="15"/>
        </w:rPr>
        <w:t xml:space="preserve"> </w:t>
      </w:r>
      <w:r>
        <w:rPr>
          <w:w w:val="105"/>
          <w:sz w:val="15"/>
        </w:rPr>
        <w:t>las</w:t>
      </w:r>
      <w:r>
        <w:rPr>
          <w:spacing w:val="-5"/>
          <w:w w:val="105"/>
          <w:sz w:val="15"/>
        </w:rPr>
        <w:t xml:space="preserve"> </w:t>
      </w:r>
      <w:r>
        <w:rPr>
          <w:w w:val="105"/>
          <w:sz w:val="15"/>
        </w:rPr>
        <w:t>personas</w:t>
      </w:r>
      <w:r>
        <w:rPr>
          <w:spacing w:val="-5"/>
          <w:w w:val="105"/>
          <w:sz w:val="15"/>
        </w:rPr>
        <w:t xml:space="preserve"> </w:t>
      </w:r>
      <w:r>
        <w:rPr>
          <w:w w:val="105"/>
          <w:sz w:val="15"/>
        </w:rPr>
        <w:t>con</w:t>
      </w:r>
      <w:r>
        <w:rPr>
          <w:spacing w:val="-5"/>
          <w:w w:val="105"/>
          <w:sz w:val="15"/>
        </w:rPr>
        <w:t xml:space="preserve"> </w:t>
      </w:r>
      <w:r>
        <w:rPr>
          <w:w w:val="105"/>
          <w:sz w:val="15"/>
        </w:rPr>
        <w:t>discapacidad</w:t>
      </w:r>
      <w:r>
        <w:rPr>
          <w:spacing w:val="-5"/>
          <w:w w:val="105"/>
          <w:sz w:val="15"/>
        </w:rPr>
        <w:t xml:space="preserve"> </w:t>
      </w:r>
      <w:r>
        <w:rPr>
          <w:w w:val="105"/>
          <w:sz w:val="15"/>
        </w:rPr>
        <w:t>a</w:t>
      </w:r>
      <w:r>
        <w:rPr>
          <w:spacing w:val="-5"/>
          <w:w w:val="105"/>
          <w:sz w:val="15"/>
        </w:rPr>
        <w:t xml:space="preserve"> </w:t>
      </w:r>
      <w:r>
        <w:rPr>
          <w:w w:val="105"/>
          <w:sz w:val="15"/>
        </w:rPr>
        <w:t>nivel internacional</w:t>
      </w:r>
      <w:r>
        <w:rPr>
          <w:spacing w:val="-10"/>
          <w:w w:val="105"/>
          <w:sz w:val="15"/>
        </w:rPr>
        <w:t xml:space="preserve"> </w:t>
      </w:r>
      <w:r>
        <w:rPr>
          <w:w w:val="105"/>
          <w:sz w:val="15"/>
        </w:rPr>
        <w:t>y</w:t>
      </w:r>
      <w:r>
        <w:rPr>
          <w:spacing w:val="-10"/>
          <w:w w:val="105"/>
          <w:sz w:val="15"/>
        </w:rPr>
        <w:t xml:space="preserve"> </w:t>
      </w:r>
      <w:r>
        <w:rPr>
          <w:w w:val="105"/>
          <w:sz w:val="15"/>
        </w:rPr>
        <w:t>nacional,</w:t>
      </w:r>
      <w:r>
        <w:rPr>
          <w:spacing w:val="-10"/>
          <w:w w:val="105"/>
          <w:sz w:val="15"/>
        </w:rPr>
        <w:t xml:space="preserve"> </w:t>
      </w:r>
      <w:r>
        <w:rPr>
          <w:w w:val="105"/>
          <w:sz w:val="15"/>
        </w:rPr>
        <w:t>las</w:t>
      </w:r>
      <w:r>
        <w:rPr>
          <w:spacing w:val="-10"/>
          <w:w w:val="105"/>
          <w:sz w:val="15"/>
        </w:rPr>
        <w:t xml:space="preserve"> </w:t>
      </w:r>
      <w:r>
        <w:rPr>
          <w:w w:val="105"/>
          <w:sz w:val="15"/>
        </w:rPr>
        <w:t>percepciones</w:t>
      </w:r>
      <w:r>
        <w:rPr>
          <w:spacing w:val="-10"/>
          <w:w w:val="105"/>
          <w:sz w:val="15"/>
        </w:rPr>
        <w:t xml:space="preserve"> </w:t>
      </w:r>
      <w:r>
        <w:rPr>
          <w:w w:val="105"/>
          <w:sz w:val="15"/>
        </w:rPr>
        <w:t>negativas</w:t>
      </w:r>
      <w:r>
        <w:rPr>
          <w:spacing w:val="-10"/>
          <w:w w:val="105"/>
          <w:sz w:val="15"/>
        </w:rPr>
        <w:t xml:space="preserve"> </w:t>
      </w:r>
      <w:r>
        <w:rPr>
          <w:w w:val="105"/>
          <w:sz w:val="15"/>
        </w:rPr>
        <w:t>profundamente</w:t>
      </w:r>
      <w:r>
        <w:rPr>
          <w:spacing w:val="-10"/>
          <w:w w:val="105"/>
          <w:sz w:val="15"/>
        </w:rPr>
        <w:t xml:space="preserve"> </w:t>
      </w:r>
      <w:r>
        <w:rPr>
          <w:w w:val="105"/>
          <w:sz w:val="15"/>
        </w:rPr>
        <w:t>arraigadas</w:t>
      </w:r>
      <w:r>
        <w:rPr>
          <w:spacing w:val="-10"/>
          <w:w w:val="105"/>
          <w:sz w:val="15"/>
        </w:rPr>
        <w:t xml:space="preserve"> </w:t>
      </w:r>
      <w:r>
        <w:rPr>
          <w:w w:val="105"/>
          <w:sz w:val="15"/>
        </w:rPr>
        <w:t>sobre</w:t>
      </w:r>
      <w:r>
        <w:rPr>
          <w:spacing w:val="-10"/>
          <w:w w:val="105"/>
          <w:sz w:val="15"/>
        </w:rPr>
        <w:t xml:space="preserve"> </w:t>
      </w:r>
      <w:r>
        <w:rPr>
          <w:w w:val="105"/>
          <w:sz w:val="15"/>
        </w:rPr>
        <w:t>el</w:t>
      </w:r>
      <w:r>
        <w:rPr>
          <w:spacing w:val="-10"/>
          <w:w w:val="105"/>
          <w:sz w:val="15"/>
        </w:rPr>
        <w:t xml:space="preserve"> </w:t>
      </w:r>
      <w:r>
        <w:rPr>
          <w:w w:val="105"/>
          <w:sz w:val="15"/>
        </w:rPr>
        <w:t>valor</w:t>
      </w:r>
      <w:r>
        <w:rPr>
          <w:spacing w:val="-10"/>
          <w:w w:val="105"/>
          <w:sz w:val="15"/>
        </w:rPr>
        <w:t xml:space="preserve"> </w:t>
      </w:r>
      <w:r>
        <w:rPr>
          <w:w w:val="105"/>
          <w:sz w:val="15"/>
        </w:rPr>
        <w:t>de</w:t>
      </w:r>
      <w:r>
        <w:rPr>
          <w:spacing w:val="-10"/>
          <w:w w:val="105"/>
          <w:sz w:val="15"/>
        </w:rPr>
        <w:t xml:space="preserve"> </w:t>
      </w:r>
      <w:r>
        <w:rPr>
          <w:w w:val="105"/>
          <w:sz w:val="15"/>
        </w:rPr>
        <w:t>sus</w:t>
      </w:r>
      <w:r>
        <w:rPr>
          <w:spacing w:val="-10"/>
          <w:w w:val="105"/>
          <w:sz w:val="15"/>
        </w:rPr>
        <w:t xml:space="preserve"> </w:t>
      </w:r>
      <w:r>
        <w:rPr>
          <w:w w:val="105"/>
          <w:sz w:val="15"/>
        </w:rPr>
        <w:t>vidas</w:t>
      </w:r>
      <w:r>
        <w:rPr>
          <w:spacing w:val="-10"/>
          <w:w w:val="105"/>
          <w:sz w:val="15"/>
        </w:rPr>
        <w:t xml:space="preserve"> </w:t>
      </w:r>
      <w:r>
        <w:rPr>
          <w:w w:val="105"/>
          <w:sz w:val="15"/>
        </w:rPr>
        <w:t>siguen siendo</w:t>
      </w:r>
      <w:r>
        <w:rPr>
          <w:spacing w:val="-8"/>
          <w:w w:val="105"/>
          <w:sz w:val="15"/>
        </w:rPr>
        <w:t xml:space="preserve"> </w:t>
      </w:r>
      <w:r>
        <w:rPr>
          <w:w w:val="105"/>
          <w:sz w:val="15"/>
        </w:rPr>
        <w:t>un</w:t>
      </w:r>
      <w:r>
        <w:rPr>
          <w:spacing w:val="-8"/>
          <w:w w:val="105"/>
          <w:sz w:val="15"/>
        </w:rPr>
        <w:t xml:space="preserve"> </w:t>
      </w:r>
      <w:r>
        <w:rPr>
          <w:w w:val="105"/>
          <w:sz w:val="15"/>
        </w:rPr>
        <w:t>obstáculo</w:t>
      </w:r>
      <w:r>
        <w:rPr>
          <w:spacing w:val="-8"/>
          <w:w w:val="105"/>
          <w:sz w:val="15"/>
        </w:rPr>
        <w:t xml:space="preserve"> </w:t>
      </w:r>
      <w:r>
        <w:rPr>
          <w:w w:val="105"/>
          <w:sz w:val="15"/>
        </w:rPr>
        <w:t>frecuente</w:t>
      </w:r>
      <w:r>
        <w:rPr>
          <w:spacing w:val="-8"/>
          <w:w w:val="105"/>
          <w:sz w:val="15"/>
        </w:rPr>
        <w:t xml:space="preserve"> </w:t>
      </w:r>
      <w:r>
        <w:rPr>
          <w:w w:val="105"/>
          <w:sz w:val="15"/>
        </w:rPr>
        <w:t>en</w:t>
      </w:r>
      <w:r>
        <w:rPr>
          <w:spacing w:val="-8"/>
          <w:w w:val="105"/>
          <w:sz w:val="15"/>
        </w:rPr>
        <w:t xml:space="preserve"> </w:t>
      </w:r>
      <w:r>
        <w:rPr>
          <w:w w:val="105"/>
          <w:sz w:val="15"/>
        </w:rPr>
        <w:t>todas</w:t>
      </w:r>
      <w:r>
        <w:rPr>
          <w:spacing w:val="-8"/>
          <w:w w:val="105"/>
          <w:sz w:val="15"/>
        </w:rPr>
        <w:t xml:space="preserve"> </w:t>
      </w:r>
      <w:r>
        <w:rPr>
          <w:w w:val="105"/>
          <w:sz w:val="15"/>
        </w:rPr>
        <w:t>las</w:t>
      </w:r>
      <w:r>
        <w:rPr>
          <w:spacing w:val="-8"/>
          <w:w w:val="105"/>
          <w:sz w:val="15"/>
        </w:rPr>
        <w:t xml:space="preserve"> </w:t>
      </w:r>
      <w:r>
        <w:rPr>
          <w:w w:val="105"/>
          <w:sz w:val="15"/>
        </w:rPr>
        <w:t>sociedades.</w:t>
      </w:r>
      <w:r>
        <w:rPr>
          <w:spacing w:val="-7"/>
          <w:w w:val="105"/>
          <w:sz w:val="15"/>
        </w:rPr>
        <w:t xml:space="preserve"> </w:t>
      </w:r>
      <w:r>
        <w:rPr>
          <w:w w:val="105"/>
          <w:sz w:val="15"/>
        </w:rPr>
        <w:t>Esas</w:t>
      </w:r>
      <w:r>
        <w:rPr>
          <w:spacing w:val="-8"/>
          <w:w w:val="105"/>
          <w:sz w:val="15"/>
        </w:rPr>
        <w:t xml:space="preserve"> </w:t>
      </w:r>
      <w:r>
        <w:rPr>
          <w:w w:val="105"/>
          <w:sz w:val="15"/>
        </w:rPr>
        <w:t>percepciones</w:t>
      </w:r>
      <w:r>
        <w:rPr>
          <w:spacing w:val="-8"/>
          <w:w w:val="105"/>
          <w:sz w:val="15"/>
        </w:rPr>
        <w:t xml:space="preserve"> </w:t>
      </w:r>
      <w:r>
        <w:rPr>
          <w:w w:val="105"/>
          <w:sz w:val="15"/>
        </w:rPr>
        <w:t>están</w:t>
      </w:r>
      <w:r>
        <w:rPr>
          <w:spacing w:val="-8"/>
          <w:w w:val="105"/>
          <w:sz w:val="15"/>
        </w:rPr>
        <w:t xml:space="preserve"> </w:t>
      </w:r>
      <w:r>
        <w:rPr>
          <w:w w:val="105"/>
          <w:sz w:val="15"/>
        </w:rPr>
        <w:t>arraigadas</w:t>
      </w:r>
      <w:r>
        <w:rPr>
          <w:spacing w:val="-8"/>
          <w:w w:val="105"/>
          <w:sz w:val="15"/>
        </w:rPr>
        <w:t xml:space="preserve"> </w:t>
      </w:r>
      <w:r>
        <w:rPr>
          <w:w w:val="105"/>
          <w:sz w:val="15"/>
        </w:rPr>
        <w:t>en</w:t>
      </w:r>
      <w:r>
        <w:rPr>
          <w:spacing w:val="-8"/>
          <w:w w:val="105"/>
          <w:sz w:val="15"/>
        </w:rPr>
        <w:t xml:space="preserve"> </w:t>
      </w:r>
      <w:r>
        <w:rPr>
          <w:w w:val="105"/>
          <w:sz w:val="15"/>
        </w:rPr>
        <w:t>lo</w:t>
      </w:r>
      <w:r>
        <w:rPr>
          <w:spacing w:val="-8"/>
          <w:w w:val="105"/>
          <w:sz w:val="15"/>
        </w:rPr>
        <w:t xml:space="preserve"> </w:t>
      </w:r>
      <w:r>
        <w:rPr>
          <w:w w:val="105"/>
          <w:sz w:val="15"/>
        </w:rPr>
        <w:t>que</w:t>
      </w:r>
      <w:r>
        <w:rPr>
          <w:spacing w:val="-8"/>
          <w:w w:val="105"/>
          <w:sz w:val="15"/>
        </w:rPr>
        <w:t xml:space="preserve"> </w:t>
      </w:r>
      <w:r>
        <w:rPr>
          <w:w w:val="105"/>
          <w:sz w:val="15"/>
        </w:rPr>
        <w:t>se</w:t>
      </w:r>
      <w:r>
        <w:rPr>
          <w:spacing w:val="-8"/>
          <w:w w:val="105"/>
          <w:sz w:val="15"/>
        </w:rPr>
        <w:t xml:space="preserve"> </w:t>
      </w:r>
      <w:r>
        <w:rPr>
          <w:w w:val="105"/>
          <w:sz w:val="15"/>
        </w:rPr>
        <w:t xml:space="preserve">conoce </w:t>
      </w:r>
      <w:r>
        <w:rPr>
          <w:sz w:val="15"/>
        </w:rPr>
        <w:t xml:space="preserve">como capacitismo; un sistema de valores que considera ciertas características típicas del cuerpo y la mente como </w:t>
      </w:r>
      <w:r>
        <w:rPr>
          <w:w w:val="105"/>
          <w:sz w:val="15"/>
        </w:rPr>
        <w:t>esenciales</w:t>
      </w:r>
      <w:r>
        <w:rPr>
          <w:spacing w:val="-2"/>
          <w:w w:val="105"/>
          <w:sz w:val="15"/>
        </w:rPr>
        <w:t xml:space="preserve"> </w:t>
      </w:r>
      <w:r>
        <w:rPr>
          <w:w w:val="105"/>
          <w:sz w:val="15"/>
        </w:rPr>
        <w:t>para</w:t>
      </w:r>
      <w:r>
        <w:rPr>
          <w:spacing w:val="-2"/>
          <w:w w:val="105"/>
          <w:sz w:val="15"/>
        </w:rPr>
        <w:t xml:space="preserve"> </w:t>
      </w:r>
      <w:r>
        <w:rPr>
          <w:w w:val="105"/>
          <w:sz w:val="15"/>
        </w:rPr>
        <w:t>vivir</w:t>
      </w:r>
      <w:r>
        <w:rPr>
          <w:spacing w:val="-2"/>
          <w:w w:val="105"/>
          <w:sz w:val="15"/>
        </w:rPr>
        <w:t xml:space="preserve"> </w:t>
      </w:r>
      <w:r>
        <w:rPr>
          <w:w w:val="105"/>
          <w:sz w:val="15"/>
        </w:rPr>
        <w:t>una</w:t>
      </w:r>
      <w:r>
        <w:rPr>
          <w:spacing w:val="-2"/>
          <w:w w:val="105"/>
          <w:sz w:val="15"/>
        </w:rPr>
        <w:t xml:space="preserve"> </w:t>
      </w:r>
      <w:r>
        <w:rPr>
          <w:w w:val="105"/>
          <w:sz w:val="15"/>
        </w:rPr>
        <w:t>vida</w:t>
      </w:r>
      <w:r>
        <w:rPr>
          <w:spacing w:val="-2"/>
          <w:w w:val="105"/>
          <w:sz w:val="15"/>
        </w:rPr>
        <w:t xml:space="preserve"> </w:t>
      </w:r>
      <w:r>
        <w:rPr>
          <w:w w:val="105"/>
          <w:sz w:val="15"/>
        </w:rPr>
        <w:t>de</w:t>
      </w:r>
      <w:r>
        <w:rPr>
          <w:spacing w:val="-2"/>
          <w:w w:val="105"/>
          <w:sz w:val="15"/>
        </w:rPr>
        <w:t xml:space="preserve"> </w:t>
      </w:r>
      <w:r>
        <w:rPr>
          <w:w w:val="105"/>
          <w:sz w:val="15"/>
        </w:rPr>
        <w:t>valor.</w:t>
      </w:r>
      <w:r>
        <w:rPr>
          <w:spacing w:val="-2"/>
          <w:w w:val="105"/>
          <w:sz w:val="15"/>
        </w:rPr>
        <w:t xml:space="preserve"> </w:t>
      </w:r>
      <w:r>
        <w:rPr>
          <w:w w:val="105"/>
          <w:sz w:val="15"/>
        </w:rPr>
        <w:t>Basadas</w:t>
      </w:r>
      <w:r>
        <w:rPr>
          <w:spacing w:val="-2"/>
          <w:w w:val="105"/>
          <w:sz w:val="15"/>
        </w:rPr>
        <w:t xml:space="preserve"> </w:t>
      </w:r>
      <w:r>
        <w:rPr>
          <w:w w:val="105"/>
          <w:sz w:val="15"/>
        </w:rPr>
        <w:t>en</w:t>
      </w:r>
      <w:r>
        <w:rPr>
          <w:spacing w:val="-2"/>
          <w:w w:val="105"/>
          <w:sz w:val="15"/>
        </w:rPr>
        <w:t xml:space="preserve"> </w:t>
      </w:r>
      <w:r>
        <w:rPr>
          <w:w w:val="105"/>
          <w:sz w:val="15"/>
        </w:rPr>
        <w:t>estándares</w:t>
      </w:r>
      <w:r>
        <w:rPr>
          <w:spacing w:val="-2"/>
          <w:w w:val="105"/>
          <w:sz w:val="15"/>
        </w:rPr>
        <w:t xml:space="preserve"> </w:t>
      </w:r>
      <w:r>
        <w:rPr>
          <w:w w:val="105"/>
          <w:sz w:val="15"/>
        </w:rPr>
        <w:t>estrictos</w:t>
      </w:r>
      <w:r>
        <w:rPr>
          <w:spacing w:val="-3"/>
          <w:w w:val="105"/>
          <w:sz w:val="15"/>
        </w:rPr>
        <w:t xml:space="preserve"> </w:t>
      </w:r>
      <w:r>
        <w:rPr>
          <w:w w:val="105"/>
          <w:sz w:val="15"/>
        </w:rPr>
        <w:t>de</w:t>
      </w:r>
      <w:r>
        <w:rPr>
          <w:spacing w:val="-2"/>
          <w:w w:val="105"/>
          <w:sz w:val="15"/>
        </w:rPr>
        <w:t xml:space="preserve"> </w:t>
      </w:r>
      <w:r>
        <w:rPr>
          <w:w w:val="105"/>
          <w:sz w:val="15"/>
        </w:rPr>
        <w:t>apariencia,</w:t>
      </w:r>
      <w:r>
        <w:rPr>
          <w:spacing w:val="-1"/>
          <w:w w:val="105"/>
          <w:sz w:val="15"/>
        </w:rPr>
        <w:t xml:space="preserve"> </w:t>
      </w:r>
      <w:r>
        <w:rPr>
          <w:w w:val="105"/>
          <w:sz w:val="15"/>
        </w:rPr>
        <w:t>funcionamiento</w:t>
      </w:r>
      <w:r>
        <w:rPr>
          <w:spacing w:val="-2"/>
          <w:w w:val="105"/>
          <w:sz w:val="15"/>
        </w:rPr>
        <w:t xml:space="preserve"> </w:t>
      </w:r>
      <w:r>
        <w:rPr>
          <w:w w:val="105"/>
          <w:sz w:val="15"/>
        </w:rPr>
        <w:t>y comportamiento,</w:t>
      </w:r>
      <w:r>
        <w:rPr>
          <w:spacing w:val="-6"/>
          <w:w w:val="105"/>
          <w:sz w:val="15"/>
        </w:rPr>
        <w:t xml:space="preserve"> </w:t>
      </w:r>
      <w:r>
        <w:rPr>
          <w:w w:val="105"/>
          <w:sz w:val="15"/>
        </w:rPr>
        <w:t>las</w:t>
      </w:r>
      <w:r>
        <w:rPr>
          <w:spacing w:val="-7"/>
          <w:w w:val="105"/>
          <w:sz w:val="15"/>
        </w:rPr>
        <w:t xml:space="preserve"> </w:t>
      </w:r>
      <w:r>
        <w:rPr>
          <w:w w:val="105"/>
          <w:sz w:val="15"/>
        </w:rPr>
        <w:t>formas</w:t>
      </w:r>
      <w:r>
        <w:rPr>
          <w:spacing w:val="-7"/>
          <w:w w:val="105"/>
          <w:sz w:val="15"/>
        </w:rPr>
        <w:t xml:space="preserve"> </w:t>
      </w:r>
      <w:r>
        <w:rPr>
          <w:w w:val="105"/>
          <w:sz w:val="15"/>
        </w:rPr>
        <w:t>de</w:t>
      </w:r>
      <w:r>
        <w:rPr>
          <w:spacing w:val="-7"/>
          <w:w w:val="105"/>
          <w:sz w:val="15"/>
        </w:rPr>
        <w:t xml:space="preserve"> </w:t>
      </w:r>
      <w:r>
        <w:rPr>
          <w:w w:val="105"/>
          <w:sz w:val="15"/>
        </w:rPr>
        <w:t>pensamiento</w:t>
      </w:r>
      <w:r>
        <w:rPr>
          <w:spacing w:val="-7"/>
          <w:w w:val="105"/>
          <w:sz w:val="15"/>
        </w:rPr>
        <w:t xml:space="preserve"> </w:t>
      </w:r>
      <w:r>
        <w:rPr>
          <w:w w:val="105"/>
          <w:sz w:val="15"/>
        </w:rPr>
        <w:t>capacitistas</w:t>
      </w:r>
      <w:r>
        <w:rPr>
          <w:spacing w:val="-8"/>
          <w:w w:val="105"/>
          <w:sz w:val="15"/>
        </w:rPr>
        <w:t xml:space="preserve"> </w:t>
      </w:r>
      <w:r>
        <w:rPr>
          <w:w w:val="105"/>
          <w:sz w:val="15"/>
        </w:rPr>
        <w:t>consideran</w:t>
      </w:r>
      <w:r>
        <w:rPr>
          <w:spacing w:val="-7"/>
          <w:w w:val="105"/>
          <w:sz w:val="15"/>
        </w:rPr>
        <w:t xml:space="preserve"> </w:t>
      </w:r>
      <w:r>
        <w:rPr>
          <w:w w:val="105"/>
          <w:sz w:val="15"/>
        </w:rPr>
        <w:t>la</w:t>
      </w:r>
      <w:r>
        <w:rPr>
          <w:spacing w:val="-7"/>
          <w:w w:val="105"/>
          <w:sz w:val="15"/>
        </w:rPr>
        <w:t xml:space="preserve"> </w:t>
      </w:r>
      <w:r>
        <w:rPr>
          <w:w w:val="105"/>
          <w:sz w:val="15"/>
        </w:rPr>
        <w:t>experiencia</w:t>
      </w:r>
      <w:r>
        <w:rPr>
          <w:spacing w:val="-7"/>
          <w:w w:val="105"/>
          <w:sz w:val="15"/>
        </w:rPr>
        <w:t xml:space="preserve"> </w:t>
      </w:r>
      <w:r>
        <w:rPr>
          <w:w w:val="105"/>
          <w:sz w:val="15"/>
        </w:rPr>
        <w:t>de</w:t>
      </w:r>
      <w:r>
        <w:rPr>
          <w:spacing w:val="-7"/>
          <w:w w:val="105"/>
          <w:sz w:val="15"/>
        </w:rPr>
        <w:t xml:space="preserve"> </w:t>
      </w:r>
      <w:r>
        <w:rPr>
          <w:w w:val="105"/>
          <w:sz w:val="15"/>
        </w:rPr>
        <w:t>la</w:t>
      </w:r>
      <w:r>
        <w:rPr>
          <w:spacing w:val="-7"/>
          <w:w w:val="105"/>
          <w:sz w:val="15"/>
        </w:rPr>
        <w:t xml:space="preserve"> </w:t>
      </w:r>
      <w:r>
        <w:rPr>
          <w:w w:val="105"/>
          <w:sz w:val="15"/>
        </w:rPr>
        <w:t>discapacidad</w:t>
      </w:r>
      <w:r>
        <w:rPr>
          <w:spacing w:val="-7"/>
          <w:w w:val="105"/>
          <w:sz w:val="15"/>
        </w:rPr>
        <w:t xml:space="preserve"> </w:t>
      </w:r>
      <w:r>
        <w:rPr>
          <w:w w:val="105"/>
          <w:sz w:val="15"/>
        </w:rPr>
        <w:t>como</w:t>
      </w:r>
      <w:r>
        <w:rPr>
          <w:spacing w:val="-7"/>
          <w:w w:val="105"/>
          <w:sz w:val="15"/>
        </w:rPr>
        <w:t xml:space="preserve"> </w:t>
      </w:r>
      <w:r>
        <w:rPr>
          <w:w w:val="105"/>
          <w:sz w:val="15"/>
        </w:rPr>
        <w:t>una desgracia</w:t>
      </w:r>
      <w:r>
        <w:rPr>
          <w:spacing w:val="-10"/>
          <w:w w:val="105"/>
          <w:sz w:val="15"/>
        </w:rPr>
        <w:t xml:space="preserve"> </w:t>
      </w:r>
      <w:r>
        <w:rPr>
          <w:w w:val="105"/>
          <w:sz w:val="15"/>
        </w:rPr>
        <w:t>que</w:t>
      </w:r>
      <w:r>
        <w:rPr>
          <w:spacing w:val="-10"/>
          <w:w w:val="105"/>
          <w:sz w:val="15"/>
        </w:rPr>
        <w:t xml:space="preserve"> </w:t>
      </w:r>
      <w:r>
        <w:rPr>
          <w:w w:val="105"/>
          <w:sz w:val="15"/>
        </w:rPr>
        <w:t>conduce</w:t>
      </w:r>
      <w:r>
        <w:rPr>
          <w:spacing w:val="-10"/>
          <w:w w:val="105"/>
          <w:sz w:val="15"/>
        </w:rPr>
        <w:t xml:space="preserve"> </w:t>
      </w:r>
      <w:r>
        <w:rPr>
          <w:w w:val="105"/>
          <w:sz w:val="15"/>
        </w:rPr>
        <w:t>al</w:t>
      </w:r>
      <w:r>
        <w:rPr>
          <w:spacing w:val="-10"/>
          <w:w w:val="105"/>
          <w:sz w:val="15"/>
        </w:rPr>
        <w:t xml:space="preserve"> </w:t>
      </w:r>
      <w:r>
        <w:rPr>
          <w:w w:val="105"/>
          <w:sz w:val="15"/>
        </w:rPr>
        <w:t>sufrimiento</w:t>
      </w:r>
      <w:r>
        <w:rPr>
          <w:spacing w:val="-10"/>
          <w:w w:val="105"/>
          <w:sz w:val="15"/>
        </w:rPr>
        <w:t xml:space="preserve"> </w:t>
      </w:r>
      <w:r>
        <w:rPr>
          <w:w w:val="105"/>
          <w:sz w:val="15"/>
        </w:rPr>
        <w:t>y</w:t>
      </w:r>
      <w:r>
        <w:rPr>
          <w:spacing w:val="-10"/>
          <w:w w:val="105"/>
          <w:sz w:val="15"/>
        </w:rPr>
        <w:t xml:space="preserve"> </w:t>
      </w:r>
      <w:r>
        <w:rPr>
          <w:w w:val="105"/>
          <w:sz w:val="15"/>
        </w:rPr>
        <w:t>la</w:t>
      </w:r>
      <w:r>
        <w:rPr>
          <w:spacing w:val="-10"/>
          <w:w w:val="105"/>
          <w:sz w:val="15"/>
        </w:rPr>
        <w:t xml:space="preserve"> </w:t>
      </w:r>
      <w:r>
        <w:rPr>
          <w:w w:val="105"/>
          <w:sz w:val="15"/>
        </w:rPr>
        <w:t>desventaja</w:t>
      </w:r>
      <w:r>
        <w:rPr>
          <w:spacing w:val="-10"/>
          <w:w w:val="105"/>
          <w:sz w:val="15"/>
        </w:rPr>
        <w:t xml:space="preserve"> </w:t>
      </w:r>
      <w:r>
        <w:rPr>
          <w:w w:val="105"/>
          <w:sz w:val="15"/>
        </w:rPr>
        <w:t>e</w:t>
      </w:r>
      <w:r>
        <w:rPr>
          <w:spacing w:val="-10"/>
          <w:w w:val="105"/>
          <w:sz w:val="15"/>
        </w:rPr>
        <w:t xml:space="preserve"> </w:t>
      </w:r>
      <w:r>
        <w:rPr>
          <w:w w:val="105"/>
          <w:sz w:val="15"/>
        </w:rPr>
        <w:t>invariablemente</w:t>
      </w:r>
      <w:r>
        <w:rPr>
          <w:spacing w:val="-10"/>
          <w:w w:val="105"/>
          <w:sz w:val="15"/>
        </w:rPr>
        <w:t xml:space="preserve"> </w:t>
      </w:r>
      <w:r>
        <w:rPr>
          <w:w w:val="105"/>
          <w:sz w:val="15"/>
        </w:rPr>
        <w:t>devalúa</w:t>
      </w:r>
      <w:r>
        <w:rPr>
          <w:spacing w:val="-10"/>
          <w:w w:val="105"/>
          <w:sz w:val="15"/>
        </w:rPr>
        <w:t xml:space="preserve"> </w:t>
      </w:r>
      <w:r>
        <w:rPr>
          <w:w w:val="105"/>
          <w:sz w:val="15"/>
        </w:rPr>
        <w:t>la</w:t>
      </w:r>
      <w:r>
        <w:rPr>
          <w:spacing w:val="-10"/>
          <w:w w:val="105"/>
          <w:sz w:val="15"/>
        </w:rPr>
        <w:t xml:space="preserve"> </w:t>
      </w:r>
      <w:r>
        <w:rPr>
          <w:w w:val="105"/>
          <w:sz w:val="15"/>
        </w:rPr>
        <w:t>vida</w:t>
      </w:r>
      <w:r>
        <w:rPr>
          <w:spacing w:val="-10"/>
          <w:w w:val="105"/>
          <w:sz w:val="15"/>
        </w:rPr>
        <w:t xml:space="preserve"> </w:t>
      </w:r>
      <w:r>
        <w:rPr>
          <w:w w:val="105"/>
          <w:sz w:val="15"/>
        </w:rPr>
        <w:t>humana.</w:t>
      </w:r>
      <w:r>
        <w:rPr>
          <w:spacing w:val="-10"/>
          <w:w w:val="105"/>
          <w:sz w:val="15"/>
        </w:rPr>
        <w:t xml:space="preserve"> </w:t>
      </w:r>
      <w:r>
        <w:rPr>
          <w:w w:val="105"/>
          <w:sz w:val="15"/>
        </w:rPr>
        <w:t>Como</w:t>
      </w:r>
      <w:r>
        <w:rPr>
          <w:spacing w:val="-10"/>
          <w:w w:val="105"/>
          <w:sz w:val="15"/>
        </w:rPr>
        <w:t xml:space="preserve"> </w:t>
      </w:r>
      <w:r>
        <w:rPr>
          <w:w w:val="105"/>
          <w:sz w:val="15"/>
        </w:rPr>
        <w:t>resultado, generalmente</w:t>
      </w:r>
      <w:r>
        <w:rPr>
          <w:spacing w:val="-4"/>
          <w:w w:val="105"/>
          <w:sz w:val="15"/>
        </w:rPr>
        <w:t xml:space="preserve"> </w:t>
      </w:r>
      <w:r>
        <w:rPr>
          <w:w w:val="105"/>
          <w:sz w:val="15"/>
        </w:rPr>
        <w:t>se</w:t>
      </w:r>
      <w:r>
        <w:rPr>
          <w:spacing w:val="-4"/>
          <w:w w:val="105"/>
          <w:sz w:val="15"/>
        </w:rPr>
        <w:t xml:space="preserve"> </w:t>
      </w:r>
      <w:r>
        <w:rPr>
          <w:w w:val="105"/>
          <w:sz w:val="15"/>
        </w:rPr>
        <w:t>supone</w:t>
      </w:r>
      <w:r>
        <w:rPr>
          <w:spacing w:val="-4"/>
          <w:w w:val="105"/>
          <w:sz w:val="15"/>
        </w:rPr>
        <w:t xml:space="preserve"> </w:t>
      </w:r>
      <w:r>
        <w:rPr>
          <w:w w:val="105"/>
          <w:sz w:val="15"/>
        </w:rPr>
        <w:t>que</w:t>
      </w:r>
      <w:r>
        <w:rPr>
          <w:spacing w:val="-4"/>
          <w:w w:val="105"/>
          <w:sz w:val="15"/>
        </w:rPr>
        <w:t xml:space="preserve"> </w:t>
      </w:r>
      <w:r>
        <w:rPr>
          <w:w w:val="105"/>
          <w:sz w:val="15"/>
        </w:rPr>
        <w:t>la</w:t>
      </w:r>
      <w:r>
        <w:rPr>
          <w:spacing w:val="-4"/>
          <w:w w:val="105"/>
          <w:sz w:val="15"/>
        </w:rPr>
        <w:t xml:space="preserve"> </w:t>
      </w:r>
      <w:r>
        <w:rPr>
          <w:w w:val="105"/>
          <w:sz w:val="15"/>
        </w:rPr>
        <w:t>calidad</w:t>
      </w:r>
      <w:r>
        <w:rPr>
          <w:spacing w:val="-4"/>
          <w:w w:val="105"/>
          <w:sz w:val="15"/>
        </w:rPr>
        <w:t xml:space="preserve"> </w:t>
      </w:r>
      <w:r>
        <w:rPr>
          <w:w w:val="105"/>
          <w:sz w:val="15"/>
        </w:rPr>
        <w:t>de</w:t>
      </w:r>
      <w:r>
        <w:rPr>
          <w:spacing w:val="-4"/>
          <w:w w:val="105"/>
          <w:sz w:val="15"/>
        </w:rPr>
        <w:t xml:space="preserve"> </w:t>
      </w:r>
      <w:r>
        <w:rPr>
          <w:w w:val="105"/>
          <w:sz w:val="15"/>
        </w:rPr>
        <w:t>vida</w:t>
      </w:r>
      <w:r>
        <w:rPr>
          <w:spacing w:val="-4"/>
          <w:w w:val="105"/>
          <w:sz w:val="15"/>
        </w:rPr>
        <w:t xml:space="preserve"> </w:t>
      </w:r>
      <w:r>
        <w:rPr>
          <w:w w:val="105"/>
          <w:sz w:val="15"/>
        </w:rPr>
        <w:t>de</w:t>
      </w:r>
      <w:r>
        <w:rPr>
          <w:spacing w:val="-4"/>
          <w:w w:val="105"/>
          <w:sz w:val="15"/>
        </w:rPr>
        <w:t xml:space="preserve"> </w:t>
      </w:r>
      <w:r>
        <w:rPr>
          <w:w w:val="105"/>
          <w:sz w:val="15"/>
        </w:rPr>
        <w:t>las</w:t>
      </w:r>
      <w:r>
        <w:rPr>
          <w:spacing w:val="-4"/>
          <w:w w:val="105"/>
          <w:sz w:val="15"/>
        </w:rPr>
        <w:t xml:space="preserve"> </w:t>
      </w:r>
      <w:r>
        <w:rPr>
          <w:w w:val="105"/>
          <w:sz w:val="15"/>
        </w:rPr>
        <w:t>personas</w:t>
      </w:r>
      <w:r>
        <w:rPr>
          <w:spacing w:val="-4"/>
          <w:w w:val="105"/>
          <w:sz w:val="15"/>
        </w:rPr>
        <w:t xml:space="preserve"> </w:t>
      </w:r>
      <w:r>
        <w:rPr>
          <w:w w:val="105"/>
          <w:sz w:val="15"/>
        </w:rPr>
        <w:t>con</w:t>
      </w:r>
      <w:r>
        <w:rPr>
          <w:spacing w:val="-4"/>
          <w:w w:val="105"/>
          <w:sz w:val="15"/>
        </w:rPr>
        <w:t xml:space="preserve"> </w:t>
      </w:r>
      <w:r>
        <w:rPr>
          <w:w w:val="105"/>
          <w:sz w:val="15"/>
        </w:rPr>
        <w:t>discapacidad</w:t>
      </w:r>
      <w:r>
        <w:rPr>
          <w:spacing w:val="-4"/>
          <w:w w:val="105"/>
          <w:sz w:val="15"/>
        </w:rPr>
        <w:t xml:space="preserve"> </w:t>
      </w:r>
      <w:r>
        <w:rPr>
          <w:w w:val="105"/>
          <w:sz w:val="15"/>
        </w:rPr>
        <w:t>es</w:t>
      </w:r>
      <w:r>
        <w:rPr>
          <w:spacing w:val="-4"/>
          <w:w w:val="105"/>
          <w:sz w:val="15"/>
        </w:rPr>
        <w:t xml:space="preserve"> </w:t>
      </w:r>
      <w:r>
        <w:rPr>
          <w:w w:val="105"/>
          <w:sz w:val="15"/>
        </w:rPr>
        <w:t>muy</w:t>
      </w:r>
      <w:r>
        <w:rPr>
          <w:spacing w:val="-4"/>
          <w:w w:val="105"/>
          <w:sz w:val="15"/>
        </w:rPr>
        <w:t xml:space="preserve"> </w:t>
      </w:r>
      <w:r>
        <w:rPr>
          <w:w w:val="105"/>
          <w:sz w:val="15"/>
        </w:rPr>
        <w:t>baja,</w:t>
      </w:r>
      <w:r>
        <w:rPr>
          <w:spacing w:val="-4"/>
          <w:w w:val="105"/>
          <w:sz w:val="15"/>
        </w:rPr>
        <w:t xml:space="preserve"> </w:t>
      </w:r>
      <w:r>
        <w:rPr>
          <w:w w:val="105"/>
          <w:sz w:val="15"/>
        </w:rPr>
        <w:t>que</w:t>
      </w:r>
      <w:r>
        <w:rPr>
          <w:spacing w:val="-4"/>
          <w:w w:val="105"/>
          <w:sz w:val="15"/>
        </w:rPr>
        <w:t xml:space="preserve"> </w:t>
      </w:r>
      <w:r>
        <w:rPr>
          <w:w w:val="105"/>
          <w:sz w:val="15"/>
        </w:rPr>
        <w:t>no</w:t>
      </w:r>
      <w:r>
        <w:rPr>
          <w:spacing w:val="-4"/>
          <w:w w:val="105"/>
          <w:sz w:val="15"/>
        </w:rPr>
        <w:t xml:space="preserve"> </w:t>
      </w:r>
      <w:r>
        <w:rPr>
          <w:w w:val="105"/>
          <w:sz w:val="15"/>
        </w:rPr>
        <w:t>tienen</w:t>
      </w:r>
      <w:r>
        <w:rPr>
          <w:spacing w:val="-4"/>
          <w:w w:val="105"/>
          <w:sz w:val="15"/>
        </w:rPr>
        <w:t xml:space="preserve"> </w:t>
      </w:r>
      <w:r>
        <w:rPr>
          <w:w w:val="105"/>
          <w:sz w:val="15"/>
        </w:rPr>
        <w:t>un futuro que esperar y que nunca vivirán una vida feliz y plena.</w:t>
      </w:r>
    </w:p>
    <w:p w14:paraId="24E1C3D4" w14:textId="77777777" w:rsidR="0014798C" w:rsidRDefault="004E1F0B">
      <w:pPr>
        <w:pStyle w:val="Prrafodelista"/>
        <w:numPr>
          <w:ilvl w:val="0"/>
          <w:numId w:val="55"/>
        </w:numPr>
        <w:tabs>
          <w:tab w:val="left" w:pos="1809"/>
          <w:tab w:val="left" w:pos="1899"/>
        </w:tabs>
        <w:spacing w:before="109" w:line="348" w:lineRule="auto"/>
        <w:ind w:left="1899" w:right="1805" w:hanging="346"/>
        <w:jc w:val="left"/>
        <w:rPr>
          <w:sz w:val="15"/>
        </w:rPr>
      </w:pPr>
      <w:r>
        <w:rPr>
          <w:w w:val="105"/>
          <w:sz w:val="15"/>
        </w:rPr>
        <w:t>El</w:t>
      </w:r>
      <w:r>
        <w:rPr>
          <w:spacing w:val="-4"/>
          <w:w w:val="105"/>
          <w:sz w:val="15"/>
        </w:rPr>
        <w:t xml:space="preserve"> </w:t>
      </w:r>
      <w:r>
        <w:rPr>
          <w:w w:val="105"/>
          <w:sz w:val="15"/>
        </w:rPr>
        <w:t>capacitismo</w:t>
      </w:r>
      <w:r>
        <w:rPr>
          <w:spacing w:val="-4"/>
          <w:w w:val="105"/>
          <w:sz w:val="15"/>
        </w:rPr>
        <w:t xml:space="preserve"> </w:t>
      </w:r>
      <w:r>
        <w:rPr>
          <w:w w:val="105"/>
          <w:sz w:val="15"/>
        </w:rPr>
        <w:t>genera</w:t>
      </w:r>
      <w:r>
        <w:rPr>
          <w:spacing w:val="-4"/>
          <w:w w:val="105"/>
          <w:sz w:val="15"/>
        </w:rPr>
        <w:t xml:space="preserve"> </w:t>
      </w:r>
      <w:r>
        <w:rPr>
          <w:w w:val="105"/>
          <w:sz w:val="15"/>
        </w:rPr>
        <w:t>prejuicios</w:t>
      </w:r>
      <w:r>
        <w:rPr>
          <w:spacing w:val="-4"/>
          <w:w w:val="105"/>
          <w:sz w:val="15"/>
        </w:rPr>
        <w:t xml:space="preserve"> </w:t>
      </w:r>
      <w:r>
        <w:rPr>
          <w:w w:val="105"/>
          <w:sz w:val="15"/>
        </w:rPr>
        <w:t>sociales,</w:t>
      </w:r>
      <w:r>
        <w:rPr>
          <w:spacing w:val="-3"/>
          <w:w w:val="105"/>
          <w:sz w:val="15"/>
        </w:rPr>
        <w:t xml:space="preserve"> </w:t>
      </w:r>
      <w:r>
        <w:rPr>
          <w:w w:val="105"/>
          <w:sz w:val="15"/>
        </w:rPr>
        <w:t>discriminación</w:t>
      </w:r>
      <w:r>
        <w:rPr>
          <w:spacing w:val="-4"/>
          <w:w w:val="105"/>
          <w:sz w:val="15"/>
        </w:rPr>
        <w:t xml:space="preserve"> </w:t>
      </w:r>
      <w:r>
        <w:rPr>
          <w:w w:val="105"/>
          <w:sz w:val="15"/>
        </w:rPr>
        <w:t>y</w:t>
      </w:r>
      <w:r>
        <w:rPr>
          <w:spacing w:val="-4"/>
          <w:w w:val="105"/>
          <w:sz w:val="15"/>
        </w:rPr>
        <w:t xml:space="preserve"> </w:t>
      </w:r>
      <w:r>
        <w:rPr>
          <w:w w:val="105"/>
          <w:sz w:val="15"/>
        </w:rPr>
        <w:t>opresión</w:t>
      </w:r>
      <w:r>
        <w:rPr>
          <w:spacing w:val="-4"/>
          <w:w w:val="105"/>
          <w:sz w:val="15"/>
        </w:rPr>
        <w:t xml:space="preserve"> </w:t>
      </w:r>
      <w:r>
        <w:rPr>
          <w:w w:val="105"/>
          <w:sz w:val="15"/>
        </w:rPr>
        <w:t>de</w:t>
      </w:r>
      <w:r>
        <w:rPr>
          <w:spacing w:val="-4"/>
          <w:w w:val="105"/>
          <w:sz w:val="15"/>
        </w:rPr>
        <w:t xml:space="preserve"> </w:t>
      </w:r>
      <w:r>
        <w:rPr>
          <w:w w:val="105"/>
          <w:sz w:val="15"/>
        </w:rPr>
        <w:t>las</w:t>
      </w:r>
      <w:r>
        <w:rPr>
          <w:spacing w:val="-4"/>
          <w:w w:val="105"/>
          <w:sz w:val="15"/>
        </w:rPr>
        <w:t xml:space="preserve"> </w:t>
      </w:r>
      <w:r>
        <w:rPr>
          <w:w w:val="105"/>
          <w:sz w:val="15"/>
        </w:rPr>
        <w:t>personas</w:t>
      </w:r>
      <w:r>
        <w:rPr>
          <w:spacing w:val="-4"/>
          <w:w w:val="105"/>
          <w:sz w:val="15"/>
        </w:rPr>
        <w:t xml:space="preserve"> </w:t>
      </w:r>
      <w:r>
        <w:rPr>
          <w:w w:val="105"/>
          <w:sz w:val="15"/>
        </w:rPr>
        <w:t>con</w:t>
      </w:r>
      <w:r>
        <w:rPr>
          <w:spacing w:val="-4"/>
          <w:w w:val="105"/>
          <w:sz w:val="15"/>
        </w:rPr>
        <w:t xml:space="preserve"> </w:t>
      </w:r>
      <w:r>
        <w:rPr>
          <w:w w:val="105"/>
          <w:sz w:val="15"/>
        </w:rPr>
        <w:t>discapacidad,</w:t>
      </w:r>
      <w:r>
        <w:rPr>
          <w:spacing w:val="-3"/>
          <w:w w:val="105"/>
          <w:sz w:val="15"/>
        </w:rPr>
        <w:t xml:space="preserve"> </w:t>
      </w:r>
      <w:r>
        <w:rPr>
          <w:w w:val="105"/>
          <w:sz w:val="15"/>
        </w:rPr>
        <w:t>tal</w:t>
      </w:r>
      <w:r>
        <w:rPr>
          <w:spacing w:val="-4"/>
          <w:w w:val="105"/>
          <w:sz w:val="15"/>
        </w:rPr>
        <w:t xml:space="preserve"> </w:t>
      </w:r>
      <w:r>
        <w:rPr>
          <w:w w:val="105"/>
          <w:sz w:val="15"/>
        </w:rPr>
        <w:t>como influye</w:t>
      </w:r>
      <w:r>
        <w:rPr>
          <w:spacing w:val="-2"/>
          <w:w w:val="105"/>
          <w:sz w:val="15"/>
        </w:rPr>
        <w:t xml:space="preserve"> </w:t>
      </w:r>
      <w:r>
        <w:rPr>
          <w:w w:val="105"/>
          <w:sz w:val="15"/>
        </w:rPr>
        <w:t>en</w:t>
      </w:r>
      <w:r>
        <w:rPr>
          <w:spacing w:val="-2"/>
          <w:w w:val="105"/>
          <w:sz w:val="15"/>
        </w:rPr>
        <w:t xml:space="preserve"> </w:t>
      </w:r>
      <w:r>
        <w:rPr>
          <w:w w:val="105"/>
          <w:sz w:val="15"/>
        </w:rPr>
        <w:t>la</w:t>
      </w:r>
      <w:r>
        <w:rPr>
          <w:spacing w:val="-2"/>
          <w:w w:val="105"/>
          <w:sz w:val="15"/>
        </w:rPr>
        <w:t xml:space="preserve"> </w:t>
      </w:r>
      <w:r>
        <w:rPr>
          <w:w w:val="105"/>
          <w:sz w:val="15"/>
        </w:rPr>
        <w:t>legislación,</w:t>
      </w:r>
      <w:r>
        <w:rPr>
          <w:spacing w:val="-1"/>
          <w:w w:val="105"/>
          <w:sz w:val="15"/>
        </w:rPr>
        <w:t xml:space="preserve"> </w:t>
      </w:r>
      <w:r>
        <w:rPr>
          <w:w w:val="105"/>
          <w:sz w:val="15"/>
        </w:rPr>
        <w:t>las</w:t>
      </w:r>
      <w:r>
        <w:rPr>
          <w:spacing w:val="-2"/>
          <w:w w:val="105"/>
          <w:sz w:val="15"/>
        </w:rPr>
        <w:t xml:space="preserve"> </w:t>
      </w:r>
      <w:r>
        <w:rPr>
          <w:w w:val="105"/>
          <w:sz w:val="15"/>
        </w:rPr>
        <w:t>políticas</w:t>
      </w:r>
      <w:r>
        <w:rPr>
          <w:spacing w:val="-3"/>
          <w:w w:val="105"/>
          <w:sz w:val="15"/>
        </w:rPr>
        <w:t xml:space="preserve"> </w:t>
      </w:r>
      <w:r>
        <w:rPr>
          <w:w w:val="105"/>
          <w:sz w:val="15"/>
        </w:rPr>
        <w:t>y</w:t>
      </w:r>
      <w:r>
        <w:rPr>
          <w:spacing w:val="-2"/>
          <w:w w:val="105"/>
          <w:sz w:val="15"/>
        </w:rPr>
        <w:t xml:space="preserve"> </w:t>
      </w:r>
      <w:r>
        <w:rPr>
          <w:w w:val="105"/>
          <w:sz w:val="15"/>
        </w:rPr>
        <w:t>las</w:t>
      </w:r>
      <w:r>
        <w:rPr>
          <w:spacing w:val="-2"/>
          <w:w w:val="105"/>
          <w:sz w:val="15"/>
        </w:rPr>
        <w:t xml:space="preserve"> </w:t>
      </w:r>
      <w:r>
        <w:rPr>
          <w:w w:val="105"/>
          <w:sz w:val="15"/>
        </w:rPr>
        <w:t>prácticas.</w:t>
      </w:r>
      <w:r>
        <w:rPr>
          <w:spacing w:val="-1"/>
          <w:w w:val="105"/>
          <w:sz w:val="15"/>
        </w:rPr>
        <w:t xml:space="preserve"> </w:t>
      </w:r>
      <w:r>
        <w:rPr>
          <w:w w:val="105"/>
          <w:sz w:val="15"/>
        </w:rPr>
        <w:t>Los</w:t>
      </w:r>
      <w:r>
        <w:rPr>
          <w:spacing w:val="-2"/>
          <w:w w:val="105"/>
          <w:sz w:val="15"/>
        </w:rPr>
        <w:t xml:space="preserve"> </w:t>
      </w:r>
      <w:r>
        <w:rPr>
          <w:w w:val="105"/>
          <w:sz w:val="15"/>
        </w:rPr>
        <w:t>supuestos</w:t>
      </w:r>
      <w:r>
        <w:rPr>
          <w:spacing w:val="-2"/>
          <w:w w:val="105"/>
          <w:sz w:val="15"/>
        </w:rPr>
        <w:t xml:space="preserve"> </w:t>
      </w:r>
      <w:r>
        <w:rPr>
          <w:w w:val="105"/>
          <w:sz w:val="15"/>
        </w:rPr>
        <w:t>capacitistas</w:t>
      </w:r>
      <w:r>
        <w:rPr>
          <w:spacing w:val="-3"/>
          <w:w w:val="105"/>
          <w:sz w:val="15"/>
        </w:rPr>
        <w:t xml:space="preserve"> </w:t>
      </w:r>
      <w:r>
        <w:rPr>
          <w:w w:val="105"/>
          <w:sz w:val="15"/>
        </w:rPr>
        <w:t>están</w:t>
      </w:r>
      <w:r>
        <w:rPr>
          <w:spacing w:val="-2"/>
          <w:w w:val="105"/>
          <w:sz w:val="15"/>
        </w:rPr>
        <w:t xml:space="preserve"> </w:t>
      </w:r>
      <w:r>
        <w:rPr>
          <w:w w:val="105"/>
          <w:sz w:val="15"/>
        </w:rPr>
        <w:t>en</w:t>
      </w:r>
      <w:r>
        <w:rPr>
          <w:spacing w:val="-2"/>
          <w:w w:val="105"/>
          <w:sz w:val="15"/>
        </w:rPr>
        <w:t xml:space="preserve"> </w:t>
      </w:r>
      <w:r>
        <w:rPr>
          <w:w w:val="105"/>
          <w:sz w:val="15"/>
        </w:rPr>
        <w:t>la</w:t>
      </w:r>
      <w:r>
        <w:rPr>
          <w:spacing w:val="-2"/>
          <w:w w:val="105"/>
          <w:sz w:val="15"/>
        </w:rPr>
        <w:t xml:space="preserve"> </w:t>
      </w:r>
      <w:r>
        <w:rPr>
          <w:w w:val="105"/>
          <w:sz w:val="15"/>
        </w:rPr>
        <w:t>raíz</w:t>
      </w:r>
      <w:r>
        <w:rPr>
          <w:spacing w:val="-2"/>
          <w:w w:val="105"/>
          <w:sz w:val="15"/>
        </w:rPr>
        <w:t xml:space="preserve"> </w:t>
      </w:r>
      <w:r>
        <w:rPr>
          <w:w w:val="105"/>
          <w:sz w:val="15"/>
        </w:rPr>
        <w:t>de</w:t>
      </w:r>
      <w:r>
        <w:rPr>
          <w:spacing w:val="-2"/>
          <w:w w:val="105"/>
          <w:sz w:val="15"/>
        </w:rPr>
        <w:t xml:space="preserve"> </w:t>
      </w:r>
      <w:r>
        <w:rPr>
          <w:w w:val="105"/>
          <w:sz w:val="15"/>
        </w:rPr>
        <w:t>prácticas discriminatorias,</w:t>
      </w:r>
      <w:r>
        <w:rPr>
          <w:spacing w:val="-4"/>
          <w:w w:val="105"/>
          <w:sz w:val="15"/>
        </w:rPr>
        <w:t xml:space="preserve"> </w:t>
      </w:r>
      <w:r>
        <w:rPr>
          <w:w w:val="105"/>
          <w:sz w:val="15"/>
        </w:rPr>
        <w:t>como</w:t>
      </w:r>
      <w:r>
        <w:rPr>
          <w:spacing w:val="-5"/>
          <w:w w:val="105"/>
          <w:sz w:val="15"/>
        </w:rPr>
        <w:t xml:space="preserve"> </w:t>
      </w:r>
      <w:r>
        <w:rPr>
          <w:w w:val="105"/>
          <w:sz w:val="15"/>
        </w:rPr>
        <w:t>la</w:t>
      </w:r>
      <w:r>
        <w:rPr>
          <w:spacing w:val="-5"/>
          <w:w w:val="105"/>
          <w:sz w:val="15"/>
        </w:rPr>
        <w:t xml:space="preserve"> </w:t>
      </w:r>
      <w:r>
        <w:rPr>
          <w:w w:val="105"/>
          <w:sz w:val="15"/>
        </w:rPr>
        <w:t>esterilización</w:t>
      </w:r>
      <w:r>
        <w:rPr>
          <w:spacing w:val="-5"/>
          <w:w w:val="105"/>
          <w:sz w:val="15"/>
        </w:rPr>
        <w:t xml:space="preserve"> </w:t>
      </w:r>
      <w:r>
        <w:rPr>
          <w:w w:val="105"/>
          <w:sz w:val="15"/>
        </w:rPr>
        <w:t>de</w:t>
      </w:r>
      <w:r>
        <w:rPr>
          <w:spacing w:val="-5"/>
          <w:w w:val="105"/>
          <w:sz w:val="15"/>
        </w:rPr>
        <w:t xml:space="preserve"> </w:t>
      </w:r>
      <w:r>
        <w:rPr>
          <w:w w:val="105"/>
          <w:sz w:val="15"/>
        </w:rPr>
        <w:t>niñas</w:t>
      </w:r>
      <w:r>
        <w:rPr>
          <w:spacing w:val="-5"/>
          <w:w w:val="105"/>
          <w:sz w:val="15"/>
        </w:rPr>
        <w:t xml:space="preserve"> </w:t>
      </w:r>
      <w:r>
        <w:rPr>
          <w:w w:val="105"/>
          <w:sz w:val="15"/>
        </w:rPr>
        <w:t>y</w:t>
      </w:r>
      <w:r>
        <w:rPr>
          <w:spacing w:val="-5"/>
          <w:w w:val="105"/>
          <w:sz w:val="15"/>
        </w:rPr>
        <w:t xml:space="preserve"> </w:t>
      </w:r>
      <w:r>
        <w:rPr>
          <w:w w:val="105"/>
          <w:sz w:val="15"/>
        </w:rPr>
        <w:t>mujeres</w:t>
      </w:r>
      <w:r>
        <w:rPr>
          <w:spacing w:val="-5"/>
          <w:w w:val="105"/>
          <w:sz w:val="15"/>
        </w:rPr>
        <w:t xml:space="preserve"> </w:t>
      </w:r>
      <w:r>
        <w:rPr>
          <w:w w:val="105"/>
          <w:sz w:val="15"/>
        </w:rPr>
        <w:t>con</w:t>
      </w:r>
      <w:r>
        <w:rPr>
          <w:spacing w:val="-5"/>
          <w:w w:val="105"/>
          <w:sz w:val="15"/>
        </w:rPr>
        <w:t xml:space="preserve"> </w:t>
      </w:r>
      <w:r>
        <w:rPr>
          <w:w w:val="105"/>
          <w:sz w:val="15"/>
        </w:rPr>
        <w:t>discapacidad</w:t>
      </w:r>
      <w:r>
        <w:rPr>
          <w:spacing w:val="-5"/>
          <w:w w:val="105"/>
          <w:sz w:val="15"/>
        </w:rPr>
        <w:t xml:space="preserve"> </w:t>
      </w:r>
      <w:r>
        <w:rPr>
          <w:w w:val="105"/>
          <w:sz w:val="15"/>
        </w:rPr>
        <w:t>(véase</w:t>
      </w:r>
      <w:r>
        <w:rPr>
          <w:spacing w:val="-5"/>
          <w:w w:val="105"/>
          <w:sz w:val="15"/>
        </w:rPr>
        <w:t xml:space="preserve"> </w:t>
      </w:r>
      <w:r>
        <w:rPr>
          <w:w w:val="105"/>
          <w:sz w:val="15"/>
        </w:rPr>
        <w:t>A/72/133),</w:t>
      </w:r>
      <w:r>
        <w:rPr>
          <w:spacing w:val="-5"/>
          <w:w w:val="105"/>
          <w:sz w:val="15"/>
        </w:rPr>
        <w:t xml:space="preserve"> </w:t>
      </w:r>
      <w:r>
        <w:rPr>
          <w:w w:val="105"/>
          <w:sz w:val="15"/>
        </w:rPr>
        <w:t>la</w:t>
      </w:r>
      <w:r>
        <w:rPr>
          <w:spacing w:val="-5"/>
          <w:w w:val="105"/>
          <w:sz w:val="15"/>
        </w:rPr>
        <w:t xml:space="preserve"> </w:t>
      </w:r>
      <w:r>
        <w:rPr>
          <w:w w:val="105"/>
          <w:sz w:val="15"/>
        </w:rPr>
        <w:t>segregación, institucionalización</w:t>
      </w:r>
      <w:r>
        <w:rPr>
          <w:spacing w:val="-11"/>
          <w:w w:val="105"/>
          <w:sz w:val="15"/>
        </w:rPr>
        <w:t xml:space="preserve"> </w:t>
      </w:r>
      <w:r>
        <w:rPr>
          <w:w w:val="105"/>
          <w:sz w:val="15"/>
        </w:rPr>
        <w:t>y</w:t>
      </w:r>
      <w:r>
        <w:rPr>
          <w:spacing w:val="-11"/>
          <w:w w:val="105"/>
          <w:sz w:val="15"/>
        </w:rPr>
        <w:t xml:space="preserve"> </w:t>
      </w:r>
      <w:r>
        <w:rPr>
          <w:w w:val="105"/>
          <w:sz w:val="15"/>
        </w:rPr>
        <w:t>privación</w:t>
      </w:r>
      <w:r>
        <w:rPr>
          <w:spacing w:val="-11"/>
          <w:w w:val="105"/>
          <w:sz w:val="15"/>
        </w:rPr>
        <w:t xml:space="preserve"> </w:t>
      </w:r>
      <w:r>
        <w:rPr>
          <w:w w:val="105"/>
          <w:sz w:val="15"/>
        </w:rPr>
        <w:t>de</w:t>
      </w:r>
      <w:r>
        <w:rPr>
          <w:spacing w:val="-11"/>
          <w:w w:val="105"/>
          <w:sz w:val="15"/>
        </w:rPr>
        <w:t xml:space="preserve"> </w:t>
      </w:r>
      <w:r>
        <w:rPr>
          <w:w w:val="105"/>
          <w:sz w:val="15"/>
        </w:rPr>
        <w:t>libertad</w:t>
      </w:r>
      <w:r>
        <w:rPr>
          <w:spacing w:val="-11"/>
          <w:w w:val="105"/>
          <w:sz w:val="15"/>
        </w:rPr>
        <w:t xml:space="preserve"> </w:t>
      </w:r>
      <w:r>
        <w:rPr>
          <w:w w:val="105"/>
          <w:sz w:val="15"/>
        </w:rPr>
        <w:t>de</w:t>
      </w:r>
      <w:r>
        <w:rPr>
          <w:spacing w:val="-11"/>
          <w:w w:val="105"/>
          <w:sz w:val="15"/>
        </w:rPr>
        <w:t xml:space="preserve"> </w:t>
      </w:r>
      <w:r>
        <w:rPr>
          <w:w w:val="105"/>
          <w:sz w:val="15"/>
        </w:rPr>
        <w:t>personas</w:t>
      </w:r>
      <w:r>
        <w:rPr>
          <w:spacing w:val="-11"/>
          <w:w w:val="105"/>
          <w:sz w:val="15"/>
        </w:rPr>
        <w:t xml:space="preserve"> </w:t>
      </w:r>
      <w:r>
        <w:rPr>
          <w:w w:val="105"/>
          <w:sz w:val="15"/>
        </w:rPr>
        <w:t>con</w:t>
      </w:r>
      <w:r>
        <w:rPr>
          <w:spacing w:val="-11"/>
          <w:w w:val="105"/>
          <w:sz w:val="15"/>
        </w:rPr>
        <w:t xml:space="preserve"> </w:t>
      </w:r>
      <w:r>
        <w:rPr>
          <w:w w:val="105"/>
          <w:sz w:val="15"/>
        </w:rPr>
        <w:t>discapacidad</w:t>
      </w:r>
      <w:r>
        <w:rPr>
          <w:spacing w:val="-11"/>
          <w:w w:val="105"/>
          <w:sz w:val="15"/>
        </w:rPr>
        <w:t xml:space="preserve"> </w:t>
      </w:r>
      <w:r>
        <w:rPr>
          <w:w w:val="105"/>
          <w:sz w:val="15"/>
        </w:rPr>
        <w:t>en</w:t>
      </w:r>
      <w:r>
        <w:rPr>
          <w:spacing w:val="-11"/>
          <w:w w:val="105"/>
          <w:sz w:val="15"/>
        </w:rPr>
        <w:t xml:space="preserve"> </w:t>
      </w:r>
      <w:r>
        <w:rPr>
          <w:w w:val="105"/>
          <w:sz w:val="15"/>
        </w:rPr>
        <w:t>instalaciones</w:t>
      </w:r>
      <w:r>
        <w:rPr>
          <w:spacing w:val="-11"/>
          <w:w w:val="105"/>
          <w:sz w:val="15"/>
        </w:rPr>
        <w:t xml:space="preserve"> </w:t>
      </w:r>
      <w:r>
        <w:rPr>
          <w:w w:val="105"/>
          <w:sz w:val="15"/>
        </w:rPr>
        <w:t>específicas</w:t>
      </w:r>
      <w:r>
        <w:rPr>
          <w:spacing w:val="-11"/>
          <w:w w:val="105"/>
          <w:sz w:val="15"/>
        </w:rPr>
        <w:t xml:space="preserve"> </w:t>
      </w:r>
      <w:r>
        <w:rPr>
          <w:w w:val="105"/>
          <w:sz w:val="15"/>
        </w:rPr>
        <w:t>para</w:t>
      </w:r>
      <w:r>
        <w:rPr>
          <w:spacing w:val="-11"/>
          <w:w w:val="105"/>
          <w:sz w:val="15"/>
        </w:rPr>
        <w:t xml:space="preserve"> </w:t>
      </w:r>
      <w:r>
        <w:rPr>
          <w:w w:val="105"/>
          <w:sz w:val="15"/>
        </w:rPr>
        <w:t>personas</w:t>
      </w:r>
    </w:p>
    <w:p w14:paraId="04225DA8" w14:textId="77777777" w:rsidR="0014798C" w:rsidRDefault="004E1F0B">
      <w:pPr>
        <w:spacing w:line="288" w:lineRule="auto"/>
        <w:ind w:left="1900" w:right="1626" w:firstLine="3"/>
        <w:rPr>
          <w:sz w:val="15"/>
        </w:rPr>
      </w:pPr>
      <w:r>
        <w:rPr>
          <w:w w:val="105"/>
          <w:sz w:val="15"/>
        </w:rPr>
        <w:t>con</w:t>
      </w:r>
      <w:r>
        <w:rPr>
          <w:spacing w:val="-8"/>
          <w:w w:val="105"/>
          <w:sz w:val="15"/>
        </w:rPr>
        <w:t xml:space="preserve"> </w:t>
      </w:r>
      <w:r>
        <w:rPr>
          <w:w w:val="105"/>
          <w:sz w:val="15"/>
        </w:rPr>
        <w:t>discapacidad</w:t>
      </w:r>
      <w:r>
        <w:rPr>
          <w:spacing w:val="-8"/>
          <w:w w:val="105"/>
          <w:sz w:val="15"/>
        </w:rPr>
        <w:t xml:space="preserve"> </w:t>
      </w:r>
      <w:r>
        <w:rPr>
          <w:w w:val="105"/>
          <w:sz w:val="15"/>
        </w:rPr>
        <w:t>y</w:t>
      </w:r>
      <w:r>
        <w:rPr>
          <w:spacing w:val="-8"/>
          <w:w w:val="105"/>
          <w:sz w:val="15"/>
        </w:rPr>
        <w:t xml:space="preserve"> </w:t>
      </w:r>
      <w:r>
        <w:rPr>
          <w:w w:val="105"/>
          <w:sz w:val="15"/>
        </w:rPr>
        <w:t>el</w:t>
      </w:r>
      <w:r>
        <w:rPr>
          <w:spacing w:val="-8"/>
          <w:w w:val="105"/>
          <w:sz w:val="15"/>
        </w:rPr>
        <w:t xml:space="preserve"> </w:t>
      </w:r>
      <w:r>
        <w:rPr>
          <w:w w:val="105"/>
          <w:sz w:val="15"/>
        </w:rPr>
        <w:t>uso</w:t>
      </w:r>
      <w:r>
        <w:rPr>
          <w:spacing w:val="-8"/>
          <w:w w:val="105"/>
          <w:sz w:val="15"/>
        </w:rPr>
        <w:t xml:space="preserve"> </w:t>
      </w:r>
      <w:r>
        <w:rPr>
          <w:w w:val="105"/>
          <w:sz w:val="15"/>
        </w:rPr>
        <w:t>de</w:t>
      </w:r>
      <w:r>
        <w:rPr>
          <w:spacing w:val="-8"/>
          <w:w w:val="105"/>
          <w:sz w:val="15"/>
        </w:rPr>
        <w:t xml:space="preserve"> </w:t>
      </w:r>
      <w:r>
        <w:rPr>
          <w:w w:val="105"/>
          <w:sz w:val="15"/>
        </w:rPr>
        <w:t>coerción</w:t>
      </w:r>
      <w:r>
        <w:rPr>
          <w:spacing w:val="-8"/>
          <w:w w:val="105"/>
          <w:sz w:val="15"/>
        </w:rPr>
        <w:t xml:space="preserve"> </w:t>
      </w:r>
      <w:r>
        <w:rPr>
          <w:w w:val="105"/>
          <w:sz w:val="15"/>
        </w:rPr>
        <w:t>sobre</w:t>
      </w:r>
      <w:r>
        <w:rPr>
          <w:spacing w:val="-8"/>
          <w:w w:val="105"/>
          <w:sz w:val="15"/>
        </w:rPr>
        <w:t xml:space="preserve"> </w:t>
      </w:r>
      <w:r>
        <w:rPr>
          <w:w w:val="105"/>
          <w:sz w:val="15"/>
        </w:rPr>
        <w:t>la</w:t>
      </w:r>
      <w:r>
        <w:rPr>
          <w:spacing w:val="-8"/>
          <w:w w:val="105"/>
          <w:sz w:val="15"/>
        </w:rPr>
        <w:t xml:space="preserve"> </w:t>
      </w:r>
      <w:r>
        <w:rPr>
          <w:w w:val="105"/>
          <w:sz w:val="15"/>
        </w:rPr>
        <w:t>base</w:t>
      </w:r>
      <w:r>
        <w:rPr>
          <w:spacing w:val="-8"/>
          <w:w w:val="105"/>
          <w:sz w:val="15"/>
        </w:rPr>
        <w:t xml:space="preserve"> </w:t>
      </w:r>
      <w:r>
        <w:rPr>
          <w:w w:val="105"/>
          <w:sz w:val="15"/>
        </w:rPr>
        <w:t>de</w:t>
      </w:r>
      <w:r>
        <w:rPr>
          <w:spacing w:val="-8"/>
          <w:w w:val="105"/>
          <w:sz w:val="15"/>
        </w:rPr>
        <w:t xml:space="preserve"> </w:t>
      </w:r>
      <w:r>
        <w:rPr>
          <w:w w:val="105"/>
          <w:sz w:val="15"/>
        </w:rPr>
        <w:t>la</w:t>
      </w:r>
      <w:r>
        <w:rPr>
          <w:spacing w:val="-8"/>
          <w:w w:val="105"/>
          <w:sz w:val="15"/>
        </w:rPr>
        <w:t xml:space="preserve"> </w:t>
      </w:r>
      <w:r>
        <w:rPr>
          <w:w w:val="105"/>
          <w:sz w:val="15"/>
        </w:rPr>
        <w:t>“necesidad</w:t>
      </w:r>
      <w:r>
        <w:rPr>
          <w:spacing w:val="-8"/>
          <w:w w:val="105"/>
          <w:sz w:val="15"/>
        </w:rPr>
        <w:t xml:space="preserve"> </w:t>
      </w:r>
      <w:r>
        <w:rPr>
          <w:w w:val="105"/>
          <w:sz w:val="15"/>
        </w:rPr>
        <w:t>de</w:t>
      </w:r>
      <w:r>
        <w:rPr>
          <w:spacing w:val="-8"/>
          <w:w w:val="105"/>
          <w:sz w:val="15"/>
        </w:rPr>
        <w:t xml:space="preserve"> </w:t>
      </w:r>
      <w:r>
        <w:rPr>
          <w:w w:val="105"/>
          <w:sz w:val="15"/>
        </w:rPr>
        <w:t>tratamiento”</w:t>
      </w:r>
      <w:r>
        <w:rPr>
          <w:spacing w:val="-9"/>
          <w:w w:val="105"/>
          <w:sz w:val="15"/>
        </w:rPr>
        <w:t xml:space="preserve"> </w:t>
      </w:r>
      <w:r>
        <w:rPr>
          <w:w w:val="105"/>
          <w:sz w:val="15"/>
        </w:rPr>
        <w:t>o</w:t>
      </w:r>
      <w:r>
        <w:rPr>
          <w:spacing w:val="-8"/>
          <w:w w:val="105"/>
          <w:sz w:val="15"/>
        </w:rPr>
        <w:t xml:space="preserve"> </w:t>
      </w:r>
      <w:r>
        <w:rPr>
          <w:w w:val="105"/>
          <w:sz w:val="15"/>
        </w:rPr>
        <w:t>el</w:t>
      </w:r>
      <w:r>
        <w:rPr>
          <w:spacing w:val="-8"/>
          <w:w w:val="105"/>
          <w:sz w:val="15"/>
        </w:rPr>
        <w:t xml:space="preserve"> </w:t>
      </w:r>
      <w:r>
        <w:rPr>
          <w:w w:val="105"/>
          <w:sz w:val="15"/>
        </w:rPr>
        <w:t>“riesgo</w:t>
      </w:r>
      <w:r>
        <w:rPr>
          <w:spacing w:val="-8"/>
          <w:w w:val="105"/>
          <w:sz w:val="15"/>
        </w:rPr>
        <w:t xml:space="preserve"> </w:t>
      </w:r>
      <w:r>
        <w:rPr>
          <w:w w:val="105"/>
          <w:sz w:val="15"/>
        </w:rPr>
        <w:t>para</w:t>
      </w:r>
      <w:r>
        <w:rPr>
          <w:spacing w:val="-8"/>
          <w:w w:val="105"/>
          <w:sz w:val="15"/>
        </w:rPr>
        <w:t xml:space="preserve"> </w:t>
      </w:r>
      <w:r>
        <w:rPr>
          <w:w w:val="105"/>
          <w:sz w:val="15"/>
        </w:rPr>
        <w:t>uno</w:t>
      </w:r>
      <w:r>
        <w:rPr>
          <w:spacing w:val="-8"/>
          <w:w w:val="105"/>
          <w:sz w:val="15"/>
        </w:rPr>
        <w:t xml:space="preserve"> </w:t>
      </w:r>
      <w:r>
        <w:rPr>
          <w:w w:val="105"/>
          <w:sz w:val="15"/>
        </w:rPr>
        <w:t>mismo</w:t>
      </w:r>
      <w:r>
        <w:rPr>
          <w:spacing w:val="-8"/>
          <w:w w:val="105"/>
          <w:sz w:val="15"/>
        </w:rPr>
        <w:t xml:space="preserve"> </w:t>
      </w:r>
      <w:r>
        <w:rPr>
          <w:w w:val="105"/>
          <w:sz w:val="15"/>
        </w:rPr>
        <w:t xml:space="preserve">o para los </w:t>
      </w:r>
      <w:proofErr w:type="gramStart"/>
      <w:r>
        <w:rPr>
          <w:w w:val="105"/>
          <w:sz w:val="15"/>
        </w:rPr>
        <w:t>demás”…</w:t>
      </w:r>
      <w:proofErr w:type="gramEnd"/>
      <w:r>
        <w:rPr>
          <w:w w:val="105"/>
          <w:sz w:val="15"/>
        </w:rPr>
        <w:t>.</w:t>
      </w:r>
    </w:p>
    <w:p w14:paraId="356FBBA4" w14:textId="77777777" w:rsidR="0014798C" w:rsidRDefault="004E1F0B">
      <w:pPr>
        <w:spacing w:before="155"/>
        <w:ind w:left="1574"/>
        <w:rPr>
          <w:sz w:val="15"/>
        </w:rPr>
      </w:pPr>
      <w:r>
        <w:rPr>
          <w:spacing w:val="-10"/>
          <w:w w:val="105"/>
          <w:sz w:val="15"/>
        </w:rPr>
        <w:t>…</w:t>
      </w:r>
    </w:p>
    <w:p w14:paraId="1A7E529B" w14:textId="77777777" w:rsidR="0014798C" w:rsidRDefault="0014798C">
      <w:pPr>
        <w:pStyle w:val="Textoindependiente"/>
        <w:spacing w:before="61"/>
        <w:rPr>
          <w:sz w:val="15"/>
        </w:rPr>
      </w:pPr>
    </w:p>
    <w:p w14:paraId="7B33B77B" w14:textId="77777777" w:rsidR="0014798C" w:rsidRDefault="004E1F0B">
      <w:pPr>
        <w:spacing w:line="348" w:lineRule="auto"/>
        <w:ind w:left="1896" w:right="1840" w:hanging="344"/>
        <w:rPr>
          <w:sz w:val="15"/>
        </w:rPr>
      </w:pPr>
      <w:r>
        <w:rPr>
          <w:w w:val="105"/>
          <w:sz w:val="15"/>
        </w:rPr>
        <w:t>15.</w:t>
      </w:r>
      <w:r>
        <w:rPr>
          <w:spacing w:val="-10"/>
          <w:w w:val="105"/>
          <w:sz w:val="15"/>
        </w:rPr>
        <w:t xml:space="preserve"> </w:t>
      </w:r>
      <w:r>
        <w:rPr>
          <w:w w:val="105"/>
          <w:sz w:val="15"/>
        </w:rPr>
        <w:t>Durante</w:t>
      </w:r>
      <w:r>
        <w:rPr>
          <w:spacing w:val="-10"/>
          <w:w w:val="105"/>
          <w:sz w:val="15"/>
        </w:rPr>
        <w:t xml:space="preserve"> </w:t>
      </w:r>
      <w:r>
        <w:rPr>
          <w:w w:val="105"/>
          <w:sz w:val="15"/>
        </w:rPr>
        <w:t>los</w:t>
      </w:r>
      <w:r>
        <w:rPr>
          <w:spacing w:val="-10"/>
          <w:w w:val="105"/>
          <w:sz w:val="15"/>
        </w:rPr>
        <w:t xml:space="preserve"> </w:t>
      </w:r>
      <w:r>
        <w:rPr>
          <w:w w:val="105"/>
          <w:sz w:val="15"/>
        </w:rPr>
        <w:t>últimos</w:t>
      </w:r>
      <w:r>
        <w:rPr>
          <w:spacing w:val="-10"/>
          <w:w w:val="105"/>
          <w:sz w:val="15"/>
        </w:rPr>
        <w:t xml:space="preserve"> </w:t>
      </w:r>
      <w:r>
        <w:rPr>
          <w:w w:val="105"/>
          <w:sz w:val="15"/>
        </w:rPr>
        <w:t>50</w:t>
      </w:r>
      <w:r>
        <w:rPr>
          <w:spacing w:val="-10"/>
          <w:w w:val="105"/>
          <w:sz w:val="15"/>
        </w:rPr>
        <w:t xml:space="preserve"> </w:t>
      </w:r>
      <w:r>
        <w:rPr>
          <w:w w:val="105"/>
          <w:sz w:val="15"/>
        </w:rPr>
        <w:t>años,</w:t>
      </w:r>
      <w:r>
        <w:rPr>
          <w:spacing w:val="-10"/>
          <w:w w:val="105"/>
          <w:sz w:val="15"/>
        </w:rPr>
        <w:t xml:space="preserve"> </w:t>
      </w:r>
      <w:r>
        <w:rPr>
          <w:w w:val="105"/>
          <w:sz w:val="15"/>
        </w:rPr>
        <w:t>el</w:t>
      </w:r>
      <w:r>
        <w:rPr>
          <w:spacing w:val="-10"/>
          <w:w w:val="105"/>
          <w:sz w:val="15"/>
        </w:rPr>
        <w:t xml:space="preserve"> </w:t>
      </w:r>
      <w:r>
        <w:rPr>
          <w:w w:val="105"/>
          <w:sz w:val="15"/>
        </w:rPr>
        <w:t>movimiento</w:t>
      </w:r>
      <w:r>
        <w:rPr>
          <w:spacing w:val="-10"/>
          <w:w w:val="105"/>
          <w:sz w:val="15"/>
        </w:rPr>
        <w:t xml:space="preserve"> </w:t>
      </w:r>
      <w:r>
        <w:rPr>
          <w:w w:val="105"/>
          <w:sz w:val="15"/>
        </w:rPr>
        <w:t>por</w:t>
      </w:r>
      <w:r>
        <w:rPr>
          <w:spacing w:val="-10"/>
          <w:w w:val="105"/>
          <w:sz w:val="15"/>
        </w:rPr>
        <w:t xml:space="preserve"> </w:t>
      </w:r>
      <w:r>
        <w:rPr>
          <w:w w:val="105"/>
          <w:sz w:val="15"/>
        </w:rPr>
        <w:t>los</w:t>
      </w:r>
      <w:r>
        <w:rPr>
          <w:spacing w:val="-10"/>
          <w:w w:val="105"/>
          <w:sz w:val="15"/>
        </w:rPr>
        <w:t xml:space="preserve"> </w:t>
      </w:r>
      <w:r>
        <w:rPr>
          <w:w w:val="105"/>
          <w:sz w:val="15"/>
        </w:rPr>
        <w:t>derechos</w:t>
      </w:r>
      <w:r>
        <w:rPr>
          <w:spacing w:val="-10"/>
          <w:w w:val="105"/>
          <w:sz w:val="15"/>
        </w:rPr>
        <w:t xml:space="preserve"> </w:t>
      </w:r>
      <w:r>
        <w:rPr>
          <w:w w:val="105"/>
          <w:sz w:val="15"/>
        </w:rPr>
        <w:t>de</w:t>
      </w:r>
      <w:r>
        <w:rPr>
          <w:spacing w:val="-10"/>
          <w:w w:val="105"/>
          <w:sz w:val="15"/>
        </w:rPr>
        <w:t xml:space="preserve"> </w:t>
      </w:r>
      <w:r>
        <w:rPr>
          <w:w w:val="105"/>
          <w:sz w:val="15"/>
        </w:rPr>
        <w:t>las</w:t>
      </w:r>
      <w:r>
        <w:rPr>
          <w:spacing w:val="-10"/>
          <w:w w:val="105"/>
          <w:sz w:val="15"/>
        </w:rPr>
        <w:t xml:space="preserve"> </w:t>
      </w:r>
      <w:r>
        <w:rPr>
          <w:w w:val="105"/>
          <w:sz w:val="15"/>
        </w:rPr>
        <w:t>personas</w:t>
      </w:r>
      <w:r>
        <w:rPr>
          <w:spacing w:val="-10"/>
          <w:w w:val="105"/>
          <w:sz w:val="15"/>
        </w:rPr>
        <w:t xml:space="preserve"> </w:t>
      </w:r>
      <w:r>
        <w:rPr>
          <w:w w:val="105"/>
          <w:sz w:val="15"/>
        </w:rPr>
        <w:t>con</w:t>
      </w:r>
      <w:r>
        <w:rPr>
          <w:spacing w:val="-10"/>
          <w:w w:val="105"/>
          <w:sz w:val="15"/>
        </w:rPr>
        <w:t xml:space="preserve"> </w:t>
      </w:r>
      <w:r>
        <w:rPr>
          <w:w w:val="105"/>
          <w:sz w:val="15"/>
        </w:rPr>
        <w:t>discapacidad</w:t>
      </w:r>
      <w:r>
        <w:rPr>
          <w:spacing w:val="-10"/>
          <w:w w:val="105"/>
          <w:sz w:val="15"/>
        </w:rPr>
        <w:t xml:space="preserve"> </w:t>
      </w:r>
      <w:r>
        <w:rPr>
          <w:w w:val="105"/>
          <w:sz w:val="15"/>
        </w:rPr>
        <w:t>ha</w:t>
      </w:r>
      <w:r>
        <w:rPr>
          <w:spacing w:val="-10"/>
          <w:w w:val="105"/>
          <w:sz w:val="15"/>
        </w:rPr>
        <w:t xml:space="preserve"> </w:t>
      </w:r>
      <w:r>
        <w:rPr>
          <w:w w:val="105"/>
          <w:sz w:val="15"/>
        </w:rPr>
        <w:t>cuestionado</w:t>
      </w:r>
      <w:r>
        <w:rPr>
          <w:spacing w:val="-10"/>
          <w:w w:val="105"/>
          <w:sz w:val="15"/>
        </w:rPr>
        <w:t xml:space="preserve"> </w:t>
      </w:r>
      <w:r>
        <w:rPr>
          <w:w w:val="105"/>
          <w:sz w:val="15"/>
        </w:rPr>
        <w:t>estas percepciones</w:t>
      </w:r>
      <w:r>
        <w:rPr>
          <w:spacing w:val="-4"/>
          <w:w w:val="105"/>
          <w:sz w:val="15"/>
        </w:rPr>
        <w:t xml:space="preserve"> </w:t>
      </w:r>
      <w:r>
        <w:rPr>
          <w:w w:val="105"/>
          <w:sz w:val="15"/>
        </w:rPr>
        <w:t>negativas</w:t>
      </w:r>
      <w:r>
        <w:rPr>
          <w:spacing w:val="-4"/>
          <w:w w:val="105"/>
          <w:sz w:val="15"/>
        </w:rPr>
        <w:t xml:space="preserve"> </w:t>
      </w:r>
      <w:r>
        <w:rPr>
          <w:w w:val="105"/>
          <w:sz w:val="15"/>
        </w:rPr>
        <w:t>profundamente</w:t>
      </w:r>
      <w:r>
        <w:rPr>
          <w:spacing w:val="-4"/>
          <w:w w:val="105"/>
          <w:sz w:val="15"/>
        </w:rPr>
        <w:t xml:space="preserve"> </w:t>
      </w:r>
      <w:r>
        <w:rPr>
          <w:w w:val="105"/>
          <w:sz w:val="15"/>
        </w:rPr>
        <w:t>arraigadas,</w:t>
      </w:r>
      <w:r>
        <w:rPr>
          <w:spacing w:val="-3"/>
          <w:w w:val="105"/>
          <w:sz w:val="15"/>
        </w:rPr>
        <w:t xml:space="preserve"> </w:t>
      </w:r>
      <w:r>
        <w:rPr>
          <w:w w:val="105"/>
          <w:sz w:val="15"/>
        </w:rPr>
        <w:t>afirmando</w:t>
      </w:r>
      <w:r>
        <w:rPr>
          <w:spacing w:val="-4"/>
          <w:w w:val="105"/>
          <w:sz w:val="15"/>
        </w:rPr>
        <w:t xml:space="preserve"> </w:t>
      </w:r>
      <w:r>
        <w:rPr>
          <w:w w:val="105"/>
          <w:sz w:val="15"/>
        </w:rPr>
        <w:t>que</w:t>
      </w:r>
      <w:r>
        <w:rPr>
          <w:spacing w:val="-4"/>
          <w:w w:val="105"/>
          <w:sz w:val="15"/>
        </w:rPr>
        <w:t xml:space="preserve"> </w:t>
      </w:r>
      <w:r>
        <w:rPr>
          <w:w w:val="105"/>
          <w:sz w:val="15"/>
        </w:rPr>
        <w:t>el</w:t>
      </w:r>
      <w:r>
        <w:rPr>
          <w:spacing w:val="-4"/>
          <w:w w:val="105"/>
          <w:sz w:val="15"/>
        </w:rPr>
        <w:t xml:space="preserve"> </w:t>
      </w:r>
      <w:r>
        <w:rPr>
          <w:w w:val="105"/>
          <w:sz w:val="15"/>
        </w:rPr>
        <w:t>verdadero</w:t>
      </w:r>
      <w:r>
        <w:rPr>
          <w:spacing w:val="-4"/>
          <w:w w:val="105"/>
          <w:sz w:val="15"/>
        </w:rPr>
        <w:t xml:space="preserve"> </w:t>
      </w:r>
      <w:r>
        <w:rPr>
          <w:w w:val="105"/>
          <w:sz w:val="15"/>
        </w:rPr>
        <w:t>problema</w:t>
      </w:r>
      <w:r>
        <w:rPr>
          <w:spacing w:val="-4"/>
          <w:w w:val="105"/>
          <w:sz w:val="15"/>
        </w:rPr>
        <w:t xml:space="preserve"> </w:t>
      </w:r>
      <w:r>
        <w:rPr>
          <w:w w:val="105"/>
          <w:sz w:val="15"/>
        </w:rPr>
        <w:t>es</w:t>
      </w:r>
      <w:r>
        <w:rPr>
          <w:spacing w:val="-4"/>
          <w:w w:val="105"/>
          <w:sz w:val="15"/>
        </w:rPr>
        <w:t xml:space="preserve"> </w:t>
      </w:r>
      <w:r>
        <w:rPr>
          <w:w w:val="105"/>
          <w:sz w:val="15"/>
        </w:rPr>
        <w:t>la</w:t>
      </w:r>
      <w:r>
        <w:rPr>
          <w:spacing w:val="-4"/>
          <w:w w:val="105"/>
          <w:sz w:val="15"/>
        </w:rPr>
        <w:t xml:space="preserve"> </w:t>
      </w:r>
      <w:r>
        <w:rPr>
          <w:w w:val="105"/>
          <w:sz w:val="15"/>
        </w:rPr>
        <w:t>incapacidad</w:t>
      </w:r>
      <w:r>
        <w:rPr>
          <w:spacing w:val="-4"/>
          <w:w w:val="105"/>
          <w:sz w:val="15"/>
        </w:rPr>
        <w:t xml:space="preserve"> </w:t>
      </w:r>
      <w:r>
        <w:rPr>
          <w:w w:val="105"/>
          <w:sz w:val="15"/>
        </w:rPr>
        <w:t>de</w:t>
      </w:r>
      <w:r>
        <w:rPr>
          <w:spacing w:val="-4"/>
          <w:w w:val="105"/>
          <w:sz w:val="15"/>
        </w:rPr>
        <w:t xml:space="preserve"> </w:t>
      </w:r>
      <w:r>
        <w:rPr>
          <w:w w:val="105"/>
          <w:sz w:val="15"/>
        </w:rPr>
        <w:t>la sociedad</w:t>
      </w:r>
      <w:r>
        <w:rPr>
          <w:spacing w:val="-3"/>
          <w:w w:val="105"/>
          <w:sz w:val="15"/>
        </w:rPr>
        <w:t xml:space="preserve"> </w:t>
      </w:r>
      <w:r>
        <w:rPr>
          <w:w w:val="105"/>
          <w:sz w:val="15"/>
        </w:rPr>
        <w:t>para</w:t>
      </w:r>
      <w:r>
        <w:rPr>
          <w:spacing w:val="-3"/>
          <w:w w:val="105"/>
          <w:sz w:val="15"/>
        </w:rPr>
        <w:t xml:space="preserve"> </w:t>
      </w:r>
      <w:r>
        <w:rPr>
          <w:w w:val="105"/>
          <w:sz w:val="15"/>
        </w:rPr>
        <w:t>eliminar</w:t>
      </w:r>
      <w:r>
        <w:rPr>
          <w:spacing w:val="-3"/>
          <w:w w:val="105"/>
          <w:sz w:val="15"/>
        </w:rPr>
        <w:t xml:space="preserve"> </w:t>
      </w:r>
      <w:r>
        <w:rPr>
          <w:w w:val="105"/>
          <w:sz w:val="15"/>
        </w:rPr>
        <w:t>las</w:t>
      </w:r>
      <w:r>
        <w:rPr>
          <w:spacing w:val="-3"/>
          <w:w w:val="105"/>
          <w:sz w:val="15"/>
        </w:rPr>
        <w:t xml:space="preserve"> </w:t>
      </w:r>
      <w:r>
        <w:rPr>
          <w:w w:val="105"/>
          <w:sz w:val="15"/>
        </w:rPr>
        <w:t>barreras,</w:t>
      </w:r>
      <w:r>
        <w:rPr>
          <w:spacing w:val="-3"/>
          <w:w w:val="105"/>
          <w:sz w:val="15"/>
        </w:rPr>
        <w:t xml:space="preserve"> </w:t>
      </w:r>
      <w:r>
        <w:rPr>
          <w:w w:val="105"/>
          <w:sz w:val="15"/>
        </w:rPr>
        <w:t>proporcionar</w:t>
      </w:r>
      <w:r>
        <w:rPr>
          <w:spacing w:val="-3"/>
          <w:w w:val="105"/>
          <w:sz w:val="15"/>
        </w:rPr>
        <w:t xml:space="preserve"> </w:t>
      </w:r>
      <w:r>
        <w:rPr>
          <w:w w:val="105"/>
          <w:sz w:val="15"/>
        </w:rPr>
        <w:t>el</w:t>
      </w:r>
      <w:r>
        <w:rPr>
          <w:spacing w:val="-3"/>
          <w:w w:val="105"/>
          <w:sz w:val="15"/>
        </w:rPr>
        <w:t xml:space="preserve"> </w:t>
      </w:r>
      <w:r>
        <w:rPr>
          <w:w w:val="105"/>
          <w:sz w:val="15"/>
        </w:rPr>
        <w:t>apoyo</w:t>
      </w:r>
      <w:r>
        <w:rPr>
          <w:spacing w:val="-3"/>
          <w:w w:val="105"/>
          <w:sz w:val="15"/>
        </w:rPr>
        <w:t xml:space="preserve"> </w:t>
      </w:r>
      <w:r>
        <w:rPr>
          <w:w w:val="105"/>
          <w:sz w:val="15"/>
        </w:rPr>
        <w:t>necesario</w:t>
      </w:r>
      <w:r>
        <w:rPr>
          <w:spacing w:val="-3"/>
          <w:w w:val="105"/>
          <w:sz w:val="15"/>
        </w:rPr>
        <w:t xml:space="preserve"> </w:t>
      </w:r>
      <w:r>
        <w:rPr>
          <w:w w:val="105"/>
          <w:sz w:val="15"/>
        </w:rPr>
        <w:t>y</w:t>
      </w:r>
      <w:r>
        <w:rPr>
          <w:spacing w:val="-3"/>
          <w:w w:val="105"/>
          <w:sz w:val="15"/>
        </w:rPr>
        <w:t xml:space="preserve"> </w:t>
      </w:r>
      <w:r>
        <w:rPr>
          <w:w w:val="105"/>
          <w:sz w:val="15"/>
        </w:rPr>
        <w:t>aceptar</w:t>
      </w:r>
      <w:r>
        <w:rPr>
          <w:spacing w:val="-3"/>
          <w:w w:val="105"/>
          <w:sz w:val="15"/>
        </w:rPr>
        <w:t xml:space="preserve"> </w:t>
      </w:r>
      <w:r>
        <w:rPr>
          <w:w w:val="105"/>
          <w:sz w:val="15"/>
        </w:rPr>
        <w:t>la</w:t>
      </w:r>
      <w:r>
        <w:rPr>
          <w:spacing w:val="-3"/>
          <w:w w:val="105"/>
          <w:sz w:val="15"/>
        </w:rPr>
        <w:t xml:space="preserve"> </w:t>
      </w:r>
      <w:r>
        <w:rPr>
          <w:w w:val="105"/>
          <w:sz w:val="15"/>
        </w:rPr>
        <w:t>experiencia</w:t>
      </w:r>
      <w:r>
        <w:rPr>
          <w:spacing w:val="-3"/>
          <w:w w:val="105"/>
          <w:sz w:val="15"/>
        </w:rPr>
        <w:t xml:space="preserve"> </w:t>
      </w:r>
      <w:r>
        <w:rPr>
          <w:w w:val="105"/>
          <w:sz w:val="15"/>
        </w:rPr>
        <w:t>de</w:t>
      </w:r>
      <w:r>
        <w:rPr>
          <w:spacing w:val="-3"/>
          <w:w w:val="105"/>
          <w:sz w:val="15"/>
        </w:rPr>
        <w:t xml:space="preserve"> </w:t>
      </w:r>
      <w:r>
        <w:rPr>
          <w:w w:val="105"/>
          <w:sz w:val="15"/>
        </w:rPr>
        <w:t>la</w:t>
      </w:r>
      <w:r>
        <w:rPr>
          <w:spacing w:val="-3"/>
          <w:w w:val="105"/>
          <w:sz w:val="15"/>
        </w:rPr>
        <w:t xml:space="preserve"> </w:t>
      </w:r>
      <w:r>
        <w:rPr>
          <w:w w:val="105"/>
          <w:sz w:val="15"/>
        </w:rPr>
        <w:t>discapacidad como</w:t>
      </w:r>
      <w:r>
        <w:rPr>
          <w:spacing w:val="-3"/>
          <w:w w:val="105"/>
          <w:sz w:val="15"/>
        </w:rPr>
        <w:t xml:space="preserve"> </w:t>
      </w:r>
      <w:r>
        <w:rPr>
          <w:w w:val="105"/>
          <w:sz w:val="15"/>
        </w:rPr>
        <w:t>parte</w:t>
      </w:r>
      <w:r>
        <w:rPr>
          <w:spacing w:val="-3"/>
          <w:w w:val="105"/>
          <w:sz w:val="15"/>
        </w:rPr>
        <w:t xml:space="preserve"> </w:t>
      </w:r>
      <w:r>
        <w:rPr>
          <w:w w:val="105"/>
          <w:sz w:val="15"/>
        </w:rPr>
        <w:t>de</w:t>
      </w:r>
      <w:r>
        <w:rPr>
          <w:spacing w:val="-3"/>
          <w:w w:val="105"/>
          <w:sz w:val="15"/>
        </w:rPr>
        <w:t xml:space="preserve"> </w:t>
      </w:r>
      <w:r>
        <w:rPr>
          <w:w w:val="105"/>
          <w:sz w:val="15"/>
        </w:rPr>
        <w:t>la</w:t>
      </w:r>
      <w:r>
        <w:rPr>
          <w:spacing w:val="-3"/>
          <w:w w:val="105"/>
          <w:sz w:val="15"/>
        </w:rPr>
        <w:t xml:space="preserve"> </w:t>
      </w:r>
      <w:r>
        <w:rPr>
          <w:w w:val="105"/>
          <w:sz w:val="15"/>
        </w:rPr>
        <w:t>diversidad</w:t>
      </w:r>
      <w:r>
        <w:rPr>
          <w:spacing w:val="-3"/>
          <w:w w:val="105"/>
          <w:sz w:val="15"/>
        </w:rPr>
        <w:t xml:space="preserve"> </w:t>
      </w:r>
      <w:r>
        <w:rPr>
          <w:w w:val="105"/>
          <w:sz w:val="15"/>
        </w:rPr>
        <w:t>humana.</w:t>
      </w:r>
      <w:r>
        <w:rPr>
          <w:spacing w:val="-3"/>
          <w:w w:val="105"/>
          <w:sz w:val="15"/>
        </w:rPr>
        <w:t xml:space="preserve"> </w:t>
      </w:r>
      <w:r>
        <w:rPr>
          <w:w w:val="105"/>
          <w:sz w:val="15"/>
        </w:rPr>
        <w:t>Sin</w:t>
      </w:r>
      <w:r>
        <w:rPr>
          <w:spacing w:val="-3"/>
          <w:w w:val="105"/>
          <w:sz w:val="15"/>
        </w:rPr>
        <w:t xml:space="preserve"> </w:t>
      </w:r>
      <w:r>
        <w:rPr>
          <w:w w:val="105"/>
          <w:sz w:val="15"/>
        </w:rPr>
        <w:t>embargo,</w:t>
      </w:r>
      <w:r>
        <w:rPr>
          <w:spacing w:val="-3"/>
          <w:w w:val="105"/>
          <w:sz w:val="15"/>
        </w:rPr>
        <w:t xml:space="preserve"> </w:t>
      </w:r>
      <w:r>
        <w:rPr>
          <w:w w:val="105"/>
          <w:sz w:val="15"/>
        </w:rPr>
        <w:t>las</w:t>
      </w:r>
      <w:r>
        <w:rPr>
          <w:spacing w:val="-3"/>
          <w:w w:val="105"/>
          <w:sz w:val="15"/>
        </w:rPr>
        <w:t xml:space="preserve"> </w:t>
      </w:r>
      <w:r>
        <w:rPr>
          <w:w w:val="105"/>
          <w:sz w:val="15"/>
        </w:rPr>
        <w:t>reclamaciones</w:t>
      </w:r>
      <w:r>
        <w:rPr>
          <w:spacing w:val="-3"/>
          <w:w w:val="105"/>
          <w:sz w:val="15"/>
        </w:rPr>
        <w:t xml:space="preserve"> </w:t>
      </w:r>
      <w:r>
        <w:rPr>
          <w:w w:val="105"/>
          <w:sz w:val="15"/>
        </w:rPr>
        <w:t>de</w:t>
      </w:r>
      <w:r>
        <w:rPr>
          <w:spacing w:val="-3"/>
          <w:w w:val="105"/>
          <w:sz w:val="15"/>
        </w:rPr>
        <w:t xml:space="preserve"> </w:t>
      </w:r>
      <w:r>
        <w:rPr>
          <w:w w:val="105"/>
          <w:sz w:val="15"/>
        </w:rPr>
        <w:t>las</w:t>
      </w:r>
      <w:r>
        <w:rPr>
          <w:spacing w:val="-3"/>
          <w:w w:val="105"/>
          <w:sz w:val="15"/>
        </w:rPr>
        <w:t xml:space="preserve"> </w:t>
      </w:r>
      <w:r>
        <w:rPr>
          <w:w w:val="105"/>
          <w:sz w:val="15"/>
        </w:rPr>
        <w:t>personas</w:t>
      </w:r>
      <w:r>
        <w:rPr>
          <w:spacing w:val="-3"/>
          <w:w w:val="105"/>
          <w:sz w:val="15"/>
        </w:rPr>
        <w:t xml:space="preserve"> </w:t>
      </w:r>
      <w:r>
        <w:rPr>
          <w:w w:val="105"/>
          <w:sz w:val="15"/>
        </w:rPr>
        <w:t>con</w:t>
      </w:r>
      <w:r>
        <w:rPr>
          <w:spacing w:val="-3"/>
          <w:w w:val="105"/>
          <w:sz w:val="15"/>
        </w:rPr>
        <w:t xml:space="preserve"> </w:t>
      </w:r>
      <w:r>
        <w:rPr>
          <w:w w:val="105"/>
          <w:sz w:val="15"/>
        </w:rPr>
        <w:t>discapacidad</w:t>
      </w:r>
      <w:r>
        <w:rPr>
          <w:spacing w:val="-3"/>
          <w:w w:val="105"/>
          <w:sz w:val="15"/>
        </w:rPr>
        <w:t xml:space="preserve"> </w:t>
      </w:r>
      <w:r>
        <w:rPr>
          <w:w w:val="105"/>
          <w:sz w:val="15"/>
        </w:rPr>
        <w:t>para</w:t>
      </w:r>
      <w:r>
        <w:rPr>
          <w:spacing w:val="-3"/>
          <w:w w:val="105"/>
          <w:sz w:val="15"/>
        </w:rPr>
        <w:t xml:space="preserve"> </w:t>
      </w:r>
      <w:r>
        <w:rPr>
          <w:w w:val="105"/>
          <w:sz w:val="15"/>
        </w:rPr>
        <w:t>que se</w:t>
      </w:r>
      <w:r>
        <w:rPr>
          <w:spacing w:val="-3"/>
          <w:w w:val="105"/>
          <w:sz w:val="15"/>
        </w:rPr>
        <w:t xml:space="preserve"> </w:t>
      </w:r>
      <w:r>
        <w:rPr>
          <w:w w:val="105"/>
          <w:sz w:val="15"/>
        </w:rPr>
        <w:t>reconozcan</w:t>
      </w:r>
      <w:r>
        <w:rPr>
          <w:spacing w:val="-3"/>
          <w:w w:val="105"/>
          <w:sz w:val="15"/>
        </w:rPr>
        <w:t xml:space="preserve"> </w:t>
      </w:r>
      <w:r>
        <w:rPr>
          <w:w w:val="105"/>
          <w:sz w:val="15"/>
        </w:rPr>
        <w:t>sus</w:t>
      </w:r>
      <w:r>
        <w:rPr>
          <w:spacing w:val="-3"/>
          <w:w w:val="105"/>
          <w:sz w:val="15"/>
        </w:rPr>
        <w:t xml:space="preserve"> </w:t>
      </w:r>
      <w:r>
        <w:rPr>
          <w:w w:val="105"/>
          <w:sz w:val="15"/>
        </w:rPr>
        <w:t>derechos</w:t>
      </w:r>
      <w:r>
        <w:rPr>
          <w:spacing w:val="-3"/>
          <w:w w:val="105"/>
          <w:sz w:val="15"/>
        </w:rPr>
        <w:t xml:space="preserve"> </w:t>
      </w:r>
      <w:r>
        <w:rPr>
          <w:w w:val="105"/>
          <w:sz w:val="15"/>
        </w:rPr>
        <w:t>a</w:t>
      </w:r>
      <w:r>
        <w:rPr>
          <w:spacing w:val="-3"/>
          <w:w w:val="105"/>
          <w:sz w:val="15"/>
        </w:rPr>
        <w:t xml:space="preserve"> </w:t>
      </w:r>
      <w:r>
        <w:rPr>
          <w:w w:val="105"/>
          <w:sz w:val="15"/>
        </w:rPr>
        <w:t>menudo</w:t>
      </w:r>
      <w:r>
        <w:rPr>
          <w:spacing w:val="-3"/>
          <w:w w:val="105"/>
          <w:sz w:val="15"/>
        </w:rPr>
        <w:t xml:space="preserve"> </w:t>
      </w:r>
      <w:r>
        <w:rPr>
          <w:w w:val="105"/>
          <w:sz w:val="15"/>
        </w:rPr>
        <w:t>son</w:t>
      </w:r>
      <w:r>
        <w:rPr>
          <w:spacing w:val="-3"/>
          <w:w w:val="105"/>
          <w:sz w:val="15"/>
        </w:rPr>
        <w:t xml:space="preserve"> </w:t>
      </w:r>
      <w:r>
        <w:rPr>
          <w:w w:val="105"/>
          <w:sz w:val="15"/>
        </w:rPr>
        <w:t>desestimadas</w:t>
      </w:r>
      <w:r>
        <w:rPr>
          <w:spacing w:val="-3"/>
          <w:w w:val="105"/>
          <w:sz w:val="15"/>
        </w:rPr>
        <w:t xml:space="preserve"> </w:t>
      </w:r>
      <w:r>
        <w:rPr>
          <w:w w:val="105"/>
          <w:sz w:val="15"/>
        </w:rPr>
        <w:t>y</w:t>
      </w:r>
      <w:r>
        <w:rPr>
          <w:spacing w:val="-3"/>
          <w:w w:val="105"/>
          <w:sz w:val="15"/>
        </w:rPr>
        <w:t xml:space="preserve"> </w:t>
      </w:r>
      <w:r>
        <w:rPr>
          <w:w w:val="105"/>
          <w:sz w:val="15"/>
        </w:rPr>
        <w:t>el</w:t>
      </w:r>
      <w:r>
        <w:rPr>
          <w:spacing w:val="-3"/>
          <w:w w:val="105"/>
          <w:sz w:val="15"/>
        </w:rPr>
        <w:t xml:space="preserve"> </w:t>
      </w:r>
      <w:r>
        <w:rPr>
          <w:w w:val="105"/>
          <w:sz w:val="15"/>
        </w:rPr>
        <w:t>desequilibrio</w:t>
      </w:r>
      <w:r>
        <w:rPr>
          <w:spacing w:val="-3"/>
          <w:w w:val="105"/>
          <w:sz w:val="15"/>
        </w:rPr>
        <w:t xml:space="preserve"> </w:t>
      </w:r>
      <w:r>
        <w:rPr>
          <w:w w:val="105"/>
          <w:sz w:val="15"/>
        </w:rPr>
        <w:t>de</w:t>
      </w:r>
      <w:r>
        <w:rPr>
          <w:spacing w:val="-3"/>
          <w:w w:val="105"/>
          <w:sz w:val="15"/>
        </w:rPr>
        <w:t xml:space="preserve"> </w:t>
      </w:r>
      <w:r>
        <w:rPr>
          <w:w w:val="105"/>
          <w:sz w:val="15"/>
        </w:rPr>
        <w:t>poder</w:t>
      </w:r>
      <w:r>
        <w:rPr>
          <w:spacing w:val="-3"/>
          <w:w w:val="105"/>
          <w:sz w:val="15"/>
        </w:rPr>
        <w:t xml:space="preserve"> </w:t>
      </w:r>
      <w:r>
        <w:rPr>
          <w:w w:val="105"/>
          <w:sz w:val="15"/>
        </w:rPr>
        <w:t>subyacente</w:t>
      </w:r>
      <w:r>
        <w:rPr>
          <w:spacing w:val="-3"/>
          <w:w w:val="105"/>
          <w:sz w:val="15"/>
        </w:rPr>
        <w:t xml:space="preserve"> </w:t>
      </w:r>
      <w:r>
        <w:rPr>
          <w:w w:val="105"/>
          <w:sz w:val="15"/>
        </w:rPr>
        <w:t>invalida</w:t>
      </w:r>
      <w:r>
        <w:rPr>
          <w:spacing w:val="-3"/>
          <w:w w:val="105"/>
          <w:sz w:val="15"/>
        </w:rPr>
        <w:t xml:space="preserve"> </w:t>
      </w:r>
      <w:r>
        <w:rPr>
          <w:w w:val="105"/>
          <w:sz w:val="15"/>
        </w:rPr>
        <w:t>sus experiencias</w:t>
      </w:r>
      <w:r>
        <w:rPr>
          <w:spacing w:val="-1"/>
          <w:w w:val="105"/>
          <w:sz w:val="15"/>
        </w:rPr>
        <w:t xml:space="preserve"> </w:t>
      </w:r>
      <w:r>
        <w:rPr>
          <w:w w:val="105"/>
          <w:sz w:val="15"/>
        </w:rPr>
        <w:t>vividas. Se</w:t>
      </w:r>
      <w:r>
        <w:rPr>
          <w:spacing w:val="-1"/>
          <w:w w:val="105"/>
          <w:sz w:val="15"/>
        </w:rPr>
        <w:t xml:space="preserve"> </w:t>
      </w:r>
      <w:r>
        <w:rPr>
          <w:w w:val="105"/>
          <w:sz w:val="15"/>
        </w:rPr>
        <w:t>considera</w:t>
      </w:r>
      <w:r>
        <w:rPr>
          <w:spacing w:val="-1"/>
          <w:w w:val="105"/>
          <w:sz w:val="15"/>
        </w:rPr>
        <w:t xml:space="preserve"> </w:t>
      </w:r>
      <w:r>
        <w:rPr>
          <w:w w:val="105"/>
          <w:sz w:val="15"/>
        </w:rPr>
        <w:t>que</w:t>
      </w:r>
      <w:r>
        <w:rPr>
          <w:spacing w:val="-1"/>
          <w:w w:val="105"/>
          <w:sz w:val="15"/>
        </w:rPr>
        <w:t xml:space="preserve"> </w:t>
      </w:r>
      <w:r>
        <w:rPr>
          <w:w w:val="105"/>
          <w:sz w:val="15"/>
        </w:rPr>
        <w:t>sus</w:t>
      </w:r>
      <w:r>
        <w:rPr>
          <w:spacing w:val="-1"/>
          <w:w w:val="105"/>
          <w:sz w:val="15"/>
        </w:rPr>
        <w:t xml:space="preserve"> </w:t>
      </w:r>
      <w:r>
        <w:rPr>
          <w:w w:val="105"/>
          <w:sz w:val="15"/>
        </w:rPr>
        <w:t>narrativas</w:t>
      </w:r>
      <w:r>
        <w:rPr>
          <w:spacing w:val="-1"/>
          <w:w w:val="105"/>
          <w:sz w:val="15"/>
        </w:rPr>
        <w:t xml:space="preserve"> </w:t>
      </w:r>
      <w:r>
        <w:rPr>
          <w:w w:val="105"/>
          <w:sz w:val="15"/>
        </w:rPr>
        <w:t>son</w:t>
      </w:r>
      <w:r>
        <w:rPr>
          <w:spacing w:val="-1"/>
          <w:w w:val="105"/>
          <w:sz w:val="15"/>
        </w:rPr>
        <w:t xml:space="preserve"> </w:t>
      </w:r>
      <w:r>
        <w:rPr>
          <w:w w:val="105"/>
          <w:sz w:val="15"/>
        </w:rPr>
        <w:t>subjetivas</w:t>
      </w:r>
      <w:r>
        <w:rPr>
          <w:spacing w:val="-1"/>
          <w:w w:val="105"/>
          <w:sz w:val="15"/>
        </w:rPr>
        <w:t xml:space="preserve"> </w:t>
      </w:r>
      <w:r>
        <w:rPr>
          <w:w w:val="105"/>
          <w:sz w:val="15"/>
        </w:rPr>
        <w:t>e</w:t>
      </w:r>
      <w:r>
        <w:rPr>
          <w:spacing w:val="-1"/>
          <w:w w:val="105"/>
          <w:sz w:val="15"/>
        </w:rPr>
        <w:t xml:space="preserve"> </w:t>
      </w:r>
      <w:r>
        <w:rPr>
          <w:w w:val="105"/>
          <w:sz w:val="15"/>
        </w:rPr>
        <w:t>inadecuadas</w:t>
      </w:r>
      <w:r>
        <w:rPr>
          <w:spacing w:val="-1"/>
          <w:w w:val="105"/>
          <w:sz w:val="15"/>
        </w:rPr>
        <w:t xml:space="preserve"> </w:t>
      </w:r>
      <w:r>
        <w:rPr>
          <w:w w:val="105"/>
          <w:sz w:val="15"/>
        </w:rPr>
        <w:t>para</w:t>
      </w:r>
      <w:r>
        <w:rPr>
          <w:spacing w:val="-1"/>
          <w:w w:val="105"/>
          <w:sz w:val="15"/>
        </w:rPr>
        <w:t xml:space="preserve"> </w:t>
      </w:r>
      <w:r>
        <w:rPr>
          <w:w w:val="105"/>
          <w:sz w:val="15"/>
        </w:rPr>
        <w:t>informar</w:t>
      </w:r>
      <w:r>
        <w:rPr>
          <w:spacing w:val="-1"/>
          <w:w w:val="105"/>
          <w:sz w:val="15"/>
        </w:rPr>
        <w:t xml:space="preserve"> </w:t>
      </w:r>
      <w:r>
        <w:rPr>
          <w:w w:val="105"/>
          <w:sz w:val="15"/>
        </w:rPr>
        <w:t>la</w:t>
      </w:r>
      <w:r>
        <w:rPr>
          <w:spacing w:val="-1"/>
          <w:w w:val="105"/>
          <w:sz w:val="15"/>
        </w:rPr>
        <w:t xml:space="preserve"> </w:t>
      </w:r>
      <w:r>
        <w:rPr>
          <w:w w:val="105"/>
          <w:sz w:val="15"/>
        </w:rPr>
        <w:t>toma</w:t>
      </w:r>
      <w:r>
        <w:rPr>
          <w:spacing w:val="-1"/>
          <w:w w:val="105"/>
          <w:sz w:val="15"/>
        </w:rPr>
        <w:t xml:space="preserve"> </w:t>
      </w:r>
      <w:r>
        <w:rPr>
          <w:w w:val="105"/>
          <w:sz w:val="15"/>
        </w:rPr>
        <w:t>de decisiones</w:t>
      </w:r>
      <w:r>
        <w:rPr>
          <w:spacing w:val="-2"/>
          <w:w w:val="105"/>
          <w:sz w:val="15"/>
        </w:rPr>
        <w:t xml:space="preserve"> </w:t>
      </w:r>
      <w:r>
        <w:rPr>
          <w:w w:val="105"/>
          <w:sz w:val="15"/>
        </w:rPr>
        <w:t>objetiva</w:t>
      </w:r>
      <w:r>
        <w:rPr>
          <w:spacing w:val="-2"/>
          <w:w w:val="105"/>
          <w:sz w:val="15"/>
        </w:rPr>
        <w:t xml:space="preserve"> </w:t>
      </w:r>
      <w:r>
        <w:rPr>
          <w:w w:val="105"/>
          <w:sz w:val="15"/>
        </w:rPr>
        <w:t>y,</w:t>
      </w:r>
      <w:r>
        <w:rPr>
          <w:spacing w:val="-2"/>
          <w:w w:val="105"/>
          <w:sz w:val="15"/>
        </w:rPr>
        <w:t xml:space="preserve"> </w:t>
      </w:r>
      <w:r>
        <w:rPr>
          <w:w w:val="105"/>
          <w:sz w:val="15"/>
        </w:rPr>
        <w:t>por</w:t>
      </w:r>
      <w:r>
        <w:rPr>
          <w:spacing w:val="-2"/>
          <w:w w:val="105"/>
          <w:sz w:val="15"/>
        </w:rPr>
        <w:t xml:space="preserve"> </w:t>
      </w:r>
      <w:r>
        <w:rPr>
          <w:w w:val="105"/>
          <w:sz w:val="15"/>
        </w:rPr>
        <w:t>lo</w:t>
      </w:r>
      <w:r>
        <w:rPr>
          <w:spacing w:val="-2"/>
          <w:w w:val="105"/>
          <w:sz w:val="15"/>
        </w:rPr>
        <w:t xml:space="preserve"> </w:t>
      </w:r>
      <w:r>
        <w:rPr>
          <w:w w:val="105"/>
          <w:sz w:val="15"/>
        </w:rPr>
        <w:t>tanto,</w:t>
      </w:r>
      <w:r>
        <w:rPr>
          <w:spacing w:val="-2"/>
          <w:w w:val="105"/>
          <w:sz w:val="15"/>
        </w:rPr>
        <w:t xml:space="preserve"> </w:t>
      </w:r>
      <w:r>
        <w:rPr>
          <w:w w:val="105"/>
          <w:sz w:val="15"/>
        </w:rPr>
        <w:t>no</w:t>
      </w:r>
      <w:r>
        <w:rPr>
          <w:spacing w:val="-2"/>
          <w:w w:val="105"/>
          <w:sz w:val="15"/>
        </w:rPr>
        <w:t xml:space="preserve"> </w:t>
      </w:r>
      <w:r>
        <w:rPr>
          <w:w w:val="105"/>
          <w:sz w:val="15"/>
        </w:rPr>
        <w:t>se</w:t>
      </w:r>
      <w:r>
        <w:rPr>
          <w:spacing w:val="-2"/>
          <w:w w:val="105"/>
          <w:sz w:val="15"/>
        </w:rPr>
        <w:t xml:space="preserve"> </w:t>
      </w:r>
      <w:r>
        <w:rPr>
          <w:w w:val="105"/>
          <w:sz w:val="15"/>
        </w:rPr>
        <w:t>les</w:t>
      </w:r>
      <w:r>
        <w:rPr>
          <w:spacing w:val="-2"/>
          <w:w w:val="105"/>
          <w:sz w:val="15"/>
        </w:rPr>
        <w:t xml:space="preserve"> </w:t>
      </w:r>
      <w:r>
        <w:rPr>
          <w:w w:val="105"/>
          <w:sz w:val="15"/>
        </w:rPr>
        <w:t>da</w:t>
      </w:r>
      <w:r>
        <w:rPr>
          <w:spacing w:val="-2"/>
          <w:w w:val="105"/>
          <w:sz w:val="15"/>
        </w:rPr>
        <w:t xml:space="preserve"> </w:t>
      </w:r>
      <w:r>
        <w:rPr>
          <w:w w:val="105"/>
          <w:sz w:val="15"/>
        </w:rPr>
        <w:t>el</w:t>
      </w:r>
      <w:r>
        <w:rPr>
          <w:spacing w:val="-2"/>
          <w:w w:val="105"/>
          <w:sz w:val="15"/>
        </w:rPr>
        <w:t xml:space="preserve"> </w:t>
      </w:r>
      <w:r>
        <w:rPr>
          <w:w w:val="105"/>
          <w:sz w:val="15"/>
        </w:rPr>
        <w:t>espacio</w:t>
      </w:r>
      <w:r>
        <w:rPr>
          <w:spacing w:val="-2"/>
          <w:w w:val="105"/>
          <w:sz w:val="15"/>
        </w:rPr>
        <w:t xml:space="preserve"> </w:t>
      </w:r>
      <w:r>
        <w:rPr>
          <w:w w:val="105"/>
          <w:sz w:val="15"/>
        </w:rPr>
        <w:t>para</w:t>
      </w:r>
      <w:r>
        <w:rPr>
          <w:spacing w:val="-2"/>
          <w:w w:val="105"/>
          <w:sz w:val="15"/>
        </w:rPr>
        <w:t xml:space="preserve"> </w:t>
      </w:r>
      <w:r>
        <w:rPr>
          <w:w w:val="105"/>
          <w:sz w:val="15"/>
        </w:rPr>
        <w:t>ser</w:t>
      </w:r>
      <w:r>
        <w:rPr>
          <w:spacing w:val="-2"/>
          <w:w w:val="105"/>
          <w:sz w:val="15"/>
        </w:rPr>
        <w:t xml:space="preserve"> </w:t>
      </w:r>
      <w:r>
        <w:rPr>
          <w:w w:val="105"/>
          <w:sz w:val="15"/>
        </w:rPr>
        <w:t>sopesadas</w:t>
      </w:r>
      <w:r>
        <w:rPr>
          <w:spacing w:val="-2"/>
          <w:w w:val="105"/>
          <w:sz w:val="15"/>
        </w:rPr>
        <w:t xml:space="preserve"> </w:t>
      </w:r>
      <w:r>
        <w:rPr>
          <w:w w:val="105"/>
          <w:sz w:val="15"/>
        </w:rPr>
        <w:t>genuinamente</w:t>
      </w:r>
      <w:r>
        <w:rPr>
          <w:spacing w:val="-2"/>
          <w:w w:val="105"/>
          <w:sz w:val="15"/>
        </w:rPr>
        <w:t xml:space="preserve"> </w:t>
      </w:r>
      <w:r>
        <w:rPr>
          <w:w w:val="105"/>
          <w:sz w:val="15"/>
        </w:rPr>
        <w:t>o</w:t>
      </w:r>
      <w:r>
        <w:rPr>
          <w:spacing w:val="-2"/>
          <w:w w:val="105"/>
          <w:sz w:val="15"/>
        </w:rPr>
        <w:t xml:space="preserve"> </w:t>
      </w:r>
      <w:r>
        <w:rPr>
          <w:w w:val="105"/>
          <w:sz w:val="15"/>
        </w:rPr>
        <w:t>desafiar</w:t>
      </w:r>
      <w:r>
        <w:rPr>
          <w:spacing w:val="-2"/>
          <w:w w:val="105"/>
          <w:sz w:val="15"/>
        </w:rPr>
        <w:t xml:space="preserve"> </w:t>
      </w:r>
      <w:r>
        <w:rPr>
          <w:w w:val="105"/>
          <w:sz w:val="15"/>
        </w:rPr>
        <w:t>el capacitismo.</w:t>
      </w:r>
      <w:r>
        <w:rPr>
          <w:spacing w:val="-2"/>
          <w:w w:val="105"/>
          <w:sz w:val="15"/>
        </w:rPr>
        <w:t xml:space="preserve"> </w:t>
      </w:r>
      <w:r>
        <w:rPr>
          <w:w w:val="105"/>
          <w:sz w:val="15"/>
        </w:rPr>
        <w:t>El</w:t>
      </w:r>
      <w:r>
        <w:rPr>
          <w:spacing w:val="-2"/>
          <w:w w:val="105"/>
          <w:sz w:val="15"/>
        </w:rPr>
        <w:t xml:space="preserve"> </w:t>
      </w:r>
      <w:r>
        <w:rPr>
          <w:w w:val="105"/>
          <w:sz w:val="15"/>
        </w:rPr>
        <w:t>acceso</w:t>
      </w:r>
      <w:r>
        <w:rPr>
          <w:spacing w:val="-2"/>
          <w:w w:val="105"/>
          <w:sz w:val="15"/>
        </w:rPr>
        <w:t xml:space="preserve"> </w:t>
      </w:r>
      <w:r>
        <w:rPr>
          <w:w w:val="105"/>
          <w:sz w:val="15"/>
        </w:rPr>
        <w:t>a</w:t>
      </w:r>
      <w:r>
        <w:rPr>
          <w:spacing w:val="-2"/>
          <w:w w:val="105"/>
          <w:sz w:val="15"/>
        </w:rPr>
        <w:t xml:space="preserve"> </w:t>
      </w:r>
      <w:r>
        <w:rPr>
          <w:w w:val="105"/>
          <w:sz w:val="15"/>
        </w:rPr>
        <w:t>las</w:t>
      </w:r>
      <w:r>
        <w:rPr>
          <w:spacing w:val="-2"/>
          <w:w w:val="105"/>
          <w:sz w:val="15"/>
        </w:rPr>
        <w:t xml:space="preserve"> </w:t>
      </w:r>
      <w:r>
        <w:rPr>
          <w:w w:val="105"/>
          <w:sz w:val="15"/>
        </w:rPr>
        <w:t>plataformas</w:t>
      </w:r>
      <w:r>
        <w:rPr>
          <w:spacing w:val="-3"/>
          <w:w w:val="105"/>
          <w:sz w:val="15"/>
        </w:rPr>
        <w:t xml:space="preserve"> </w:t>
      </w:r>
      <w:r>
        <w:rPr>
          <w:w w:val="105"/>
          <w:sz w:val="15"/>
        </w:rPr>
        <w:t>en</w:t>
      </w:r>
      <w:r>
        <w:rPr>
          <w:spacing w:val="-2"/>
          <w:w w:val="105"/>
          <w:sz w:val="15"/>
        </w:rPr>
        <w:t xml:space="preserve"> </w:t>
      </w:r>
      <w:r>
        <w:rPr>
          <w:w w:val="105"/>
          <w:sz w:val="15"/>
        </w:rPr>
        <w:t>las</w:t>
      </w:r>
      <w:r>
        <w:rPr>
          <w:spacing w:val="-2"/>
          <w:w w:val="105"/>
          <w:sz w:val="15"/>
        </w:rPr>
        <w:t xml:space="preserve"> </w:t>
      </w:r>
      <w:r>
        <w:rPr>
          <w:w w:val="105"/>
          <w:sz w:val="15"/>
        </w:rPr>
        <w:t>que</w:t>
      </w:r>
      <w:r>
        <w:rPr>
          <w:spacing w:val="-2"/>
          <w:w w:val="105"/>
          <w:sz w:val="15"/>
        </w:rPr>
        <w:t xml:space="preserve"> </w:t>
      </w:r>
      <w:r>
        <w:rPr>
          <w:w w:val="105"/>
          <w:sz w:val="15"/>
        </w:rPr>
        <w:t>se</w:t>
      </w:r>
      <w:r>
        <w:rPr>
          <w:spacing w:val="-2"/>
          <w:w w:val="105"/>
          <w:sz w:val="15"/>
        </w:rPr>
        <w:t xml:space="preserve"> </w:t>
      </w:r>
      <w:r>
        <w:rPr>
          <w:w w:val="105"/>
          <w:sz w:val="15"/>
        </w:rPr>
        <w:t>llevan</w:t>
      </w:r>
      <w:r>
        <w:rPr>
          <w:spacing w:val="-2"/>
          <w:w w:val="105"/>
          <w:sz w:val="15"/>
        </w:rPr>
        <w:t xml:space="preserve"> </w:t>
      </w:r>
      <w:r>
        <w:rPr>
          <w:w w:val="105"/>
          <w:sz w:val="15"/>
        </w:rPr>
        <w:t>a</w:t>
      </w:r>
      <w:r>
        <w:rPr>
          <w:spacing w:val="-2"/>
          <w:w w:val="105"/>
          <w:sz w:val="15"/>
        </w:rPr>
        <w:t xml:space="preserve"> </w:t>
      </w:r>
      <w:r>
        <w:rPr>
          <w:w w:val="105"/>
          <w:sz w:val="15"/>
        </w:rPr>
        <w:t>cabo</w:t>
      </w:r>
      <w:r>
        <w:rPr>
          <w:spacing w:val="-2"/>
          <w:w w:val="105"/>
          <w:sz w:val="15"/>
        </w:rPr>
        <w:t xml:space="preserve"> </w:t>
      </w:r>
      <w:r>
        <w:rPr>
          <w:w w:val="105"/>
          <w:sz w:val="15"/>
        </w:rPr>
        <w:t>los</w:t>
      </w:r>
      <w:r>
        <w:rPr>
          <w:spacing w:val="-2"/>
          <w:w w:val="105"/>
          <w:sz w:val="15"/>
        </w:rPr>
        <w:t xml:space="preserve"> </w:t>
      </w:r>
      <w:r>
        <w:rPr>
          <w:w w:val="105"/>
          <w:sz w:val="15"/>
        </w:rPr>
        <w:t>debates</w:t>
      </w:r>
      <w:r>
        <w:rPr>
          <w:spacing w:val="-2"/>
          <w:w w:val="105"/>
          <w:sz w:val="15"/>
        </w:rPr>
        <w:t xml:space="preserve"> </w:t>
      </w:r>
      <w:r>
        <w:rPr>
          <w:w w:val="105"/>
          <w:sz w:val="15"/>
        </w:rPr>
        <w:t>es</w:t>
      </w:r>
      <w:r>
        <w:rPr>
          <w:spacing w:val="-2"/>
          <w:w w:val="105"/>
          <w:sz w:val="15"/>
        </w:rPr>
        <w:t xml:space="preserve"> </w:t>
      </w:r>
      <w:r>
        <w:rPr>
          <w:w w:val="105"/>
          <w:sz w:val="15"/>
        </w:rPr>
        <w:t>limitado,</w:t>
      </w:r>
      <w:r>
        <w:rPr>
          <w:spacing w:val="-2"/>
          <w:w w:val="105"/>
          <w:sz w:val="15"/>
        </w:rPr>
        <w:t xml:space="preserve"> </w:t>
      </w:r>
      <w:r>
        <w:rPr>
          <w:w w:val="105"/>
          <w:sz w:val="15"/>
        </w:rPr>
        <w:t>lo</w:t>
      </w:r>
      <w:r>
        <w:rPr>
          <w:spacing w:val="-2"/>
          <w:w w:val="105"/>
          <w:sz w:val="15"/>
        </w:rPr>
        <w:t xml:space="preserve"> </w:t>
      </w:r>
      <w:r>
        <w:rPr>
          <w:w w:val="105"/>
          <w:sz w:val="15"/>
        </w:rPr>
        <w:t>que</w:t>
      </w:r>
      <w:r>
        <w:rPr>
          <w:spacing w:val="-2"/>
          <w:w w:val="105"/>
          <w:sz w:val="15"/>
        </w:rPr>
        <w:t xml:space="preserve"> </w:t>
      </w:r>
      <w:r>
        <w:rPr>
          <w:w w:val="105"/>
          <w:sz w:val="15"/>
        </w:rPr>
        <w:t>impide</w:t>
      </w:r>
      <w:r>
        <w:rPr>
          <w:spacing w:val="-2"/>
          <w:w w:val="105"/>
          <w:sz w:val="15"/>
        </w:rPr>
        <w:t xml:space="preserve"> </w:t>
      </w:r>
      <w:r>
        <w:rPr>
          <w:w w:val="105"/>
          <w:sz w:val="15"/>
        </w:rPr>
        <w:t>que</w:t>
      </w:r>
      <w:r>
        <w:rPr>
          <w:spacing w:val="-2"/>
          <w:w w:val="105"/>
          <w:sz w:val="15"/>
        </w:rPr>
        <w:t xml:space="preserve"> </w:t>
      </w:r>
      <w:r>
        <w:rPr>
          <w:w w:val="105"/>
          <w:sz w:val="15"/>
        </w:rPr>
        <w:t>el movimiento</w:t>
      </w:r>
      <w:r>
        <w:rPr>
          <w:spacing w:val="-4"/>
          <w:w w:val="105"/>
          <w:sz w:val="15"/>
        </w:rPr>
        <w:t xml:space="preserve"> </w:t>
      </w:r>
      <w:r>
        <w:rPr>
          <w:w w:val="105"/>
          <w:sz w:val="15"/>
        </w:rPr>
        <w:t>de</w:t>
      </w:r>
      <w:r>
        <w:rPr>
          <w:spacing w:val="-4"/>
          <w:w w:val="105"/>
          <w:sz w:val="15"/>
        </w:rPr>
        <w:t xml:space="preserve"> </w:t>
      </w:r>
      <w:r>
        <w:rPr>
          <w:w w:val="105"/>
          <w:sz w:val="15"/>
        </w:rPr>
        <w:t>personas</w:t>
      </w:r>
      <w:r>
        <w:rPr>
          <w:spacing w:val="-4"/>
          <w:w w:val="105"/>
          <w:sz w:val="15"/>
        </w:rPr>
        <w:t xml:space="preserve"> </w:t>
      </w:r>
      <w:r>
        <w:rPr>
          <w:w w:val="105"/>
          <w:sz w:val="15"/>
        </w:rPr>
        <w:t>con</w:t>
      </w:r>
      <w:r>
        <w:rPr>
          <w:spacing w:val="-4"/>
          <w:w w:val="105"/>
          <w:sz w:val="15"/>
        </w:rPr>
        <w:t xml:space="preserve"> </w:t>
      </w:r>
      <w:r>
        <w:rPr>
          <w:w w:val="105"/>
          <w:sz w:val="15"/>
        </w:rPr>
        <w:t>discapacidad</w:t>
      </w:r>
      <w:r>
        <w:rPr>
          <w:spacing w:val="-4"/>
          <w:w w:val="105"/>
          <w:sz w:val="15"/>
        </w:rPr>
        <w:t xml:space="preserve"> </w:t>
      </w:r>
      <w:r>
        <w:rPr>
          <w:w w:val="105"/>
          <w:sz w:val="15"/>
        </w:rPr>
        <w:t>comparta</w:t>
      </w:r>
      <w:r>
        <w:rPr>
          <w:spacing w:val="-4"/>
          <w:w w:val="105"/>
          <w:sz w:val="15"/>
        </w:rPr>
        <w:t xml:space="preserve"> </w:t>
      </w:r>
      <w:r>
        <w:rPr>
          <w:w w:val="105"/>
          <w:sz w:val="15"/>
        </w:rPr>
        <w:t>información</w:t>
      </w:r>
      <w:r>
        <w:rPr>
          <w:spacing w:val="-4"/>
          <w:w w:val="105"/>
          <w:sz w:val="15"/>
        </w:rPr>
        <w:t xml:space="preserve"> </w:t>
      </w:r>
      <w:r>
        <w:rPr>
          <w:w w:val="105"/>
          <w:sz w:val="15"/>
        </w:rPr>
        <w:t>en</w:t>
      </w:r>
      <w:r>
        <w:rPr>
          <w:spacing w:val="-4"/>
          <w:w w:val="105"/>
          <w:sz w:val="15"/>
        </w:rPr>
        <w:t xml:space="preserve"> </w:t>
      </w:r>
      <w:r>
        <w:rPr>
          <w:w w:val="105"/>
          <w:sz w:val="15"/>
        </w:rPr>
        <w:t>igualdad</w:t>
      </w:r>
      <w:r>
        <w:rPr>
          <w:spacing w:val="-4"/>
          <w:w w:val="105"/>
          <w:sz w:val="15"/>
        </w:rPr>
        <w:t xml:space="preserve"> </w:t>
      </w:r>
      <w:r>
        <w:rPr>
          <w:w w:val="105"/>
          <w:sz w:val="15"/>
        </w:rPr>
        <w:t>de</w:t>
      </w:r>
      <w:r>
        <w:rPr>
          <w:spacing w:val="-4"/>
          <w:w w:val="105"/>
          <w:sz w:val="15"/>
        </w:rPr>
        <w:t xml:space="preserve"> </w:t>
      </w:r>
      <w:r>
        <w:rPr>
          <w:w w:val="105"/>
          <w:sz w:val="15"/>
        </w:rPr>
        <w:t>condiciones</w:t>
      </w:r>
      <w:r>
        <w:rPr>
          <w:spacing w:val="-4"/>
          <w:w w:val="105"/>
          <w:sz w:val="15"/>
        </w:rPr>
        <w:t xml:space="preserve"> </w:t>
      </w:r>
      <w:r>
        <w:rPr>
          <w:w w:val="105"/>
          <w:sz w:val="15"/>
        </w:rPr>
        <w:t>con</w:t>
      </w:r>
      <w:r>
        <w:rPr>
          <w:spacing w:val="-4"/>
          <w:w w:val="105"/>
          <w:sz w:val="15"/>
        </w:rPr>
        <w:t xml:space="preserve"> </w:t>
      </w:r>
      <w:r>
        <w:rPr>
          <w:w w:val="105"/>
          <w:sz w:val="15"/>
        </w:rPr>
        <w:t>los</w:t>
      </w:r>
      <w:r>
        <w:rPr>
          <w:spacing w:val="-4"/>
          <w:w w:val="105"/>
          <w:sz w:val="15"/>
        </w:rPr>
        <w:t xml:space="preserve"> </w:t>
      </w:r>
      <w:r>
        <w:rPr>
          <w:w w:val="105"/>
          <w:sz w:val="15"/>
        </w:rPr>
        <w:t>demás.1250</w:t>
      </w:r>
    </w:p>
    <w:p w14:paraId="0A12EC36" w14:textId="77777777" w:rsidR="0014798C" w:rsidRDefault="0014798C">
      <w:pPr>
        <w:pStyle w:val="Textoindependiente"/>
        <w:rPr>
          <w:sz w:val="15"/>
        </w:rPr>
      </w:pPr>
    </w:p>
    <w:p w14:paraId="12FC9748" w14:textId="77777777" w:rsidR="0014798C" w:rsidRDefault="0014798C">
      <w:pPr>
        <w:pStyle w:val="Textoindependiente"/>
        <w:spacing w:before="104"/>
        <w:rPr>
          <w:sz w:val="15"/>
        </w:rPr>
      </w:pPr>
    </w:p>
    <w:p w14:paraId="7F445974" w14:textId="77777777" w:rsidR="0014798C" w:rsidRDefault="004E1F0B">
      <w:pPr>
        <w:spacing w:before="1" w:line="348" w:lineRule="auto"/>
        <w:ind w:left="1107" w:right="1272" w:hanging="1"/>
        <w:rPr>
          <w:sz w:val="15"/>
        </w:rPr>
      </w:pPr>
      <w:r>
        <w:rPr>
          <w:noProof/>
        </w:rPr>
        <mc:AlternateContent>
          <mc:Choice Requires="wps">
            <w:drawing>
              <wp:anchor distT="0" distB="0" distL="0" distR="0" simplePos="0" relativeHeight="251658339" behindDoc="0" locked="0" layoutInCell="1" allowOverlap="1" wp14:anchorId="17E76E1E" wp14:editId="2478223B">
                <wp:simplePos x="0" y="0"/>
                <wp:positionH relativeFrom="page">
                  <wp:posOffset>7308079</wp:posOffset>
                </wp:positionH>
                <wp:positionV relativeFrom="paragraph">
                  <wp:posOffset>-203729</wp:posOffset>
                </wp:positionV>
                <wp:extent cx="89535" cy="215265"/>
                <wp:effectExtent l="0" t="0" r="0" b="0"/>
                <wp:wrapNone/>
                <wp:docPr id="389" name="Textbox 38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89535" cy="215265"/>
                        </a:xfrm>
                        <a:prstGeom prst="rect">
                          <a:avLst/>
                        </a:prstGeom>
                      </wps:spPr>
                      <wps:txbx>
                        <w:txbxContent>
                          <w:p w14:paraId="60483DA1" w14:textId="77777777" w:rsidR="0014798C" w:rsidRDefault="004E1F0B">
                            <w:pPr>
                              <w:spacing w:before="16"/>
                              <w:ind w:left="20"/>
                              <w:rPr>
                                <w:sz w:val="9"/>
                              </w:rPr>
                            </w:pPr>
                            <w:r>
                              <w:rPr>
                                <w:color w:val="FFFFFF"/>
                                <w:spacing w:val="-23"/>
                                <w:sz w:val="9"/>
                              </w:rPr>
                              <w:t>SPEAIRSTE</w:t>
                            </w:r>
                          </w:p>
                        </w:txbxContent>
                      </wps:txbx>
                      <wps:bodyPr vert="vert270" wrap="square" lIns="0" tIns="0" rIns="0" bIns="0" rtlCol="0">
                        <a:noAutofit/>
                      </wps:bodyPr>
                    </wps:wsp>
                  </a:graphicData>
                </a:graphic>
              </wp:anchor>
            </w:drawing>
          </mc:Choice>
          <mc:Fallback>
            <w:pict>
              <v:shape w14:anchorId="17E76E1E" id="Textbox 389" o:spid="_x0000_s1187" type="#_x0000_t202" style="position:absolute;left:0;text-align:left;margin-left:575.45pt;margin-top:-16.05pt;width:7.05pt;height:16.95pt;z-index:251658339;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" filled="f" stroked="f">
                <v:textbox style="layout-flow:vertical;mso-layout-flow-alt:bottom-to-top" inset="0,0,0,0">
                  <w:txbxContent>
                    <w:p w14:paraId="60483DA1" w14:textId="77777777" w:rsidR="0014798C" w:rsidRDefault="004E1F0B">
                      <w:pPr>
                        <w:spacing w:before="16"/>
                        <w:ind w:left="20"/>
                        <w:rPr>
                          <w:sz w:val="9"/>
                        </w:rPr>
                      </w:pPr>
                      <w:r>
                        <w:rPr>
                          <w:color w:val="FFFFFF"/>
                          <w:spacing w:val="-23"/>
                          <w:sz w:val="9"/>
                        </w:rPr>
                        <w:t>SPEAIRSTE</w:t>
                      </w:r>
                    </w:p>
                  </w:txbxContent>
                </v:textbox>
                <w10:wrap anchorx="page"/>
              </v:shape>
            </w:pict>
          </mc:Fallback>
        </mc:AlternateContent>
      </w:r>
      <w:r>
        <w:rPr>
          <w:w w:val="105"/>
          <w:sz w:val="15"/>
        </w:rPr>
        <w:t>Como</w:t>
      </w:r>
      <w:r>
        <w:rPr>
          <w:spacing w:val="-4"/>
          <w:w w:val="105"/>
          <w:sz w:val="15"/>
        </w:rPr>
        <w:t xml:space="preserve"> </w:t>
      </w:r>
      <w:r>
        <w:rPr>
          <w:w w:val="105"/>
          <w:sz w:val="15"/>
        </w:rPr>
        <w:t>ilustran</w:t>
      </w:r>
      <w:r>
        <w:rPr>
          <w:spacing w:val="-4"/>
          <w:w w:val="105"/>
          <w:sz w:val="15"/>
        </w:rPr>
        <w:t xml:space="preserve"> </w:t>
      </w:r>
      <w:r>
        <w:rPr>
          <w:w w:val="105"/>
          <w:sz w:val="15"/>
        </w:rPr>
        <w:t>estos</w:t>
      </w:r>
      <w:r>
        <w:rPr>
          <w:spacing w:val="-4"/>
          <w:w w:val="105"/>
          <w:sz w:val="15"/>
        </w:rPr>
        <w:t xml:space="preserve"> </w:t>
      </w:r>
      <w:r>
        <w:rPr>
          <w:w w:val="105"/>
          <w:sz w:val="15"/>
        </w:rPr>
        <w:t>ejemplos,</w:t>
      </w:r>
      <w:r>
        <w:rPr>
          <w:spacing w:val="-3"/>
          <w:w w:val="105"/>
          <w:sz w:val="15"/>
        </w:rPr>
        <w:t xml:space="preserve"> </w:t>
      </w:r>
      <w:r>
        <w:rPr>
          <w:w w:val="105"/>
          <w:sz w:val="15"/>
        </w:rPr>
        <w:t>los</w:t>
      </w:r>
      <w:r>
        <w:rPr>
          <w:spacing w:val="-4"/>
          <w:w w:val="105"/>
          <w:sz w:val="15"/>
        </w:rPr>
        <w:t xml:space="preserve"> </w:t>
      </w:r>
      <w:r>
        <w:rPr>
          <w:w w:val="105"/>
          <w:sz w:val="15"/>
        </w:rPr>
        <w:t>Estados</w:t>
      </w:r>
      <w:r>
        <w:rPr>
          <w:spacing w:val="-5"/>
          <w:w w:val="105"/>
          <w:sz w:val="15"/>
        </w:rPr>
        <w:t xml:space="preserve"> </w:t>
      </w:r>
      <w:r>
        <w:rPr>
          <w:w w:val="105"/>
          <w:sz w:val="15"/>
        </w:rPr>
        <w:t>no</w:t>
      </w:r>
      <w:r>
        <w:rPr>
          <w:spacing w:val="-4"/>
          <w:w w:val="105"/>
          <w:sz w:val="15"/>
        </w:rPr>
        <w:t xml:space="preserve"> </w:t>
      </w:r>
      <w:r>
        <w:rPr>
          <w:w w:val="105"/>
          <w:sz w:val="15"/>
        </w:rPr>
        <w:t>sólo</w:t>
      </w:r>
      <w:r>
        <w:rPr>
          <w:spacing w:val="-4"/>
          <w:w w:val="105"/>
          <w:sz w:val="15"/>
        </w:rPr>
        <w:t xml:space="preserve"> </w:t>
      </w:r>
      <w:r>
        <w:rPr>
          <w:w w:val="105"/>
          <w:sz w:val="15"/>
        </w:rPr>
        <w:t>tienen</w:t>
      </w:r>
      <w:r>
        <w:rPr>
          <w:spacing w:val="-4"/>
          <w:w w:val="105"/>
          <w:sz w:val="15"/>
        </w:rPr>
        <w:t xml:space="preserve"> </w:t>
      </w:r>
      <w:r>
        <w:rPr>
          <w:w w:val="105"/>
          <w:sz w:val="15"/>
        </w:rPr>
        <w:t>la</w:t>
      </w:r>
      <w:r>
        <w:rPr>
          <w:spacing w:val="-4"/>
          <w:w w:val="105"/>
          <w:sz w:val="15"/>
        </w:rPr>
        <w:t xml:space="preserve"> </w:t>
      </w:r>
      <w:r>
        <w:rPr>
          <w:w w:val="105"/>
          <w:sz w:val="15"/>
        </w:rPr>
        <w:t>obligación</w:t>
      </w:r>
      <w:r>
        <w:rPr>
          <w:spacing w:val="-4"/>
          <w:w w:val="105"/>
          <w:sz w:val="15"/>
        </w:rPr>
        <w:t xml:space="preserve"> </w:t>
      </w:r>
      <w:r>
        <w:rPr>
          <w:w w:val="105"/>
          <w:sz w:val="15"/>
        </w:rPr>
        <w:t>de</w:t>
      </w:r>
      <w:r>
        <w:rPr>
          <w:spacing w:val="-4"/>
          <w:w w:val="105"/>
          <w:sz w:val="15"/>
        </w:rPr>
        <w:t xml:space="preserve"> </w:t>
      </w:r>
      <w:r>
        <w:rPr>
          <w:w w:val="105"/>
          <w:sz w:val="15"/>
        </w:rPr>
        <w:t>garantizar</w:t>
      </w:r>
      <w:r>
        <w:rPr>
          <w:spacing w:val="-4"/>
          <w:w w:val="105"/>
          <w:sz w:val="15"/>
        </w:rPr>
        <w:t xml:space="preserve"> </w:t>
      </w:r>
      <w:r>
        <w:rPr>
          <w:w w:val="105"/>
          <w:sz w:val="15"/>
        </w:rPr>
        <w:t>el</w:t>
      </w:r>
      <w:r>
        <w:rPr>
          <w:spacing w:val="-4"/>
          <w:w w:val="105"/>
          <w:sz w:val="15"/>
        </w:rPr>
        <w:t xml:space="preserve"> </w:t>
      </w:r>
      <w:r>
        <w:rPr>
          <w:w w:val="105"/>
          <w:sz w:val="15"/>
        </w:rPr>
        <w:t>derecho,</w:t>
      </w:r>
      <w:r>
        <w:rPr>
          <w:spacing w:val="-4"/>
          <w:w w:val="105"/>
          <w:sz w:val="15"/>
        </w:rPr>
        <w:t xml:space="preserve"> </w:t>
      </w:r>
      <w:r>
        <w:rPr>
          <w:w w:val="105"/>
          <w:sz w:val="15"/>
        </w:rPr>
        <w:t>sin</w:t>
      </w:r>
      <w:r>
        <w:rPr>
          <w:spacing w:val="-4"/>
          <w:w w:val="105"/>
          <w:sz w:val="15"/>
        </w:rPr>
        <w:t xml:space="preserve"> </w:t>
      </w:r>
      <w:r>
        <w:rPr>
          <w:w w:val="105"/>
          <w:sz w:val="15"/>
        </w:rPr>
        <w:t>distinción,</w:t>
      </w:r>
      <w:r>
        <w:rPr>
          <w:spacing w:val="-3"/>
          <w:w w:val="105"/>
          <w:sz w:val="15"/>
        </w:rPr>
        <w:t xml:space="preserve"> </w:t>
      </w:r>
      <w:r>
        <w:rPr>
          <w:w w:val="105"/>
          <w:sz w:val="15"/>
        </w:rPr>
        <w:t>a</w:t>
      </w:r>
      <w:r>
        <w:rPr>
          <w:spacing w:val="-4"/>
          <w:w w:val="105"/>
          <w:sz w:val="15"/>
        </w:rPr>
        <w:t xml:space="preserve"> </w:t>
      </w:r>
      <w:r>
        <w:rPr>
          <w:w w:val="105"/>
          <w:sz w:val="15"/>
        </w:rPr>
        <w:t>“participar</w:t>
      </w:r>
      <w:r>
        <w:rPr>
          <w:spacing w:val="-4"/>
          <w:w w:val="105"/>
          <w:sz w:val="15"/>
        </w:rPr>
        <w:t xml:space="preserve"> </w:t>
      </w:r>
      <w:r>
        <w:rPr>
          <w:w w:val="105"/>
          <w:sz w:val="15"/>
        </w:rPr>
        <w:t>en</w:t>
      </w:r>
      <w:r>
        <w:rPr>
          <w:spacing w:val="-4"/>
          <w:w w:val="105"/>
          <w:sz w:val="15"/>
        </w:rPr>
        <w:t xml:space="preserve"> </w:t>
      </w:r>
      <w:r>
        <w:rPr>
          <w:w w:val="105"/>
          <w:sz w:val="15"/>
        </w:rPr>
        <w:t>la dirección</w:t>
      </w:r>
      <w:r>
        <w:rPr>
          <w:spacing w:val="-9"/>
          <w:w w:val="105"/>
          <w:sz w:val="15"/>
        </w:rPr>
        <w:t xml:space="preserve"> </w:t>
      </w:r>
      <w:r>
        <w:rPr>
          <w:w w:val="105"/>
          <w:sz w:val="15"/>
        </w:rPr>
        <w:t>de</w:t>
      </w:r>
      <w:r>
        <w:rPr>
          <w:spacing w:val="-9"/>
          <w:w w:val="105"/>
          <w:sz w:val="15"/>
        </w:rPr>
        <w:t xml:space="preserve"> </w:t>
      </w:r>
      <w:r>
        <w:rPr>
          <w:w w:val="105"/>
          <w:sz w:val="15"/>
        </w:rPr>
        <w:t>los</w:t>
      </w:r>
      <w:r>
        <w:rPr>
          <w:spacing w:val="-9"/>
          <w:w w:val="105"/>
          <w:sz w:val="15"/>
        </w:rPr>
        <w:t xml:space="preserve"> </w:t>
      </w:r>
      <w:r>
        <w:rPr>
          <w:w w:val="105"/>
          <w:sz w:val="15"/>
        </w:rPr>
        <w:t>asuntos</w:t>
      </w:r>
      <w:r>
        <w:rPr>
          <w:spacing w:val="-9"/>
          <w:w w:val="105"/>
          <w:sz w:val="15"/>
        </w:rPr>
        <w:t xml:space="preserve"> </w:t>
      </w:r>
      <w:r>
        <w:rPr>
          <w:w w:val="105"/>
          <w:sz w:val="15"/>
        </w:rPr>
        <w:t>públicos...</w:t>
      </w:r>
      <w:r>
        <w:rPr>
          <w:spacing w:val="-8"/>
          <w:w w:val="105"/>
          <w:sz w:val="15"/>
        </w:rPr>
        <w:t xml:space="preserve"> </w:t>
      </w:r>
      <w:r>
        <w:rPr>
          <w:w w:val="105"/>
          <w:sz w:val="15"/>
        </w:rPr>
        <w:t>a</w:t>
      </w:r>
      <w:r>
        <w:rPr>
          <w:spacing w:val="-9"/>
          <w:w w:val="105"/>
          <w:sz w:val="15"/>
        </w:rPr>
        <w:t xml:space="preserve"> </w:t>
      </w:r>
      <w:r>
        <w:rPr>
          <w:w w:val="105"/>
          <w:sz w:val="15"/>
        </w:rPr>
        <w:t>votar</w:t>
      </w:r>
      <w:r>
        <w:rPr>
          <w:spacing w:val="-9"/>
          <w:w w:val="105"/>
          <w:sz w:val="15"/>
        </w:rPr>
        <w:t xml:space="preserve"> </w:t>
      </w:r>
      <w:r>
        <w:rPr>
          <w:w w:val="105"/>
          <w:sz w:val="15"/>
        </w:rPr>
        <w:t>y</w:t>
      </w:r>
      <w:r>
        <w:rPr>
          <w:spacing w:val="-9"/>
          <w:w w:val="105"/>
          <w:sz w:val="15"/>
        </w:rPr>
        <w:t xml:space="preserve"> </w:t>
      </w:r>
      <w:r>
        <w:rPr>
          <w:w w:val="105"/>
          <w:sz w:val="15"/>
        </w:rPr>
        <w:t>a</w:t>
      </w:r>
      <w:r>
        <w:rPr>
          <w:spacing w:val="-9"/>
          <w:w w:val="105"/>
          <w:sz w:val="15"/>
        </w:rPr>
        <w:t xml:space="preserve"> </w:t>
      </w:r>
      <w:r>
        <w:rPr>
          <w:w w:val="105"/>
          <w:sz w:val="15"/>
        </w:rPr>
        <w:t>ser</w:t>
      </w:r>
      <w:r>
        <w:rPr>
          <w:spacing w:val="-9"/>
          <w:w w:val="105"/>
          <w:sz w:val="15"/>
        </w:rPr>
        <w:t xml:space="preserve"> </w:t>
      </w:r>
      <w:r>
        <w:rPr>
          <w:w w:val="105"/>
          <w:sz w:val="15"/>
        </w:rPr>
        <w:t>elegidos...</w:t>
      </w:r>
      <w:r>
        <w:rPr>
          <w:spacing w:val="-8"/>
          <w:w w:val="105"/>
          <w:sz w:val="15"/>
        </w:rPr>
        <w:t xml:space="preserve"> </w:t>
      </w:r>
      <w:r>
        <w:rPr>
          <w:w w:val="105"/>
          <w:sz w:val="15"/>
        </w:rPr>
        <w:t>[y]</w:t>
      </w:r>
      <w:r>
        <w:rPr>
          <w:spacing w:val="-9"/>
          <w:w w:val="105"/>
          <w:sz w:val="15"/>
        </w:rPr>
        <w:t xml:space="preserve"> </w:t>
      </w:r>
      <w:r>
        <w:rPr>
          <w:w w:val="105"/>
          <w:sz w:val="15"/>
        </w:rPr>
        <w:t>a</w:t>
      </w:r>
      <w:r>
        <w:rPr>
          <w:spacing w:val="-9"/>
          <w:w w:val="105"/>
          <w:sz w:val="15"/>
        </w:rPr>
        <w:t xml:space="preserve"> </w:t>
      </w:r>
      <w:r>
        <w:rPr>
          <w:w w:val="105"/>
          <w:sz w:val="15"/>
        </w:rPr>
        <w:t>tener</w:t>
      </w:r>
      <w:r>
        <w:rPr>
          <w:spacing w:val="-9"/>
          <w:w w:val="105"/>
          <w:sz w:val="15"/>
        </w:rPr>
        <w:t xml:space="preserve"> </w:t>
      </w:r>
      <w:r>
        <w:rPr>
          <w:w w:val="105"/>
          <w:sz w:val="15"/>
        </w:rPr>
        <w:t>acceso,</w:t>
      </w:r>
      <w:r>
        <w:rPr>
          <w:spacing w:val="-9"/>
          <w:w w:val="105"/>
          <w:sz w:val="15"/>
        </w:rPr>
        <w:t xml:space="preserve"> </w:t>
      </w:r>
      <w:r>
        <w:rPr>
          <w:w w:val="105"/>
          <w:sz w:val="15"/>
        </w:rPr>
        <w:t>en</w:t>
      </w:r>
      <w:r>
        <w:rPr>
          <w:spacing w:val="-9"/>
          <w:w w:val="105"/>
          <w:sz w:val="15"/>
        </w:rPr>
        <w:t xml:space="preserve"> </w:t>
      </w:r>
      <w:r>
        <w:rPr>
          <w:w w:val="105"/>
          <w:sz w:val="15"/>
        </w:rPr>
        <w:t>términos</w:t>
      </w:r>
      <w:r>
        <w:rPr>
          <w:spacing w:val="-9"/>
          <w:w w:val="105"/>
          <w:sz w:val="15"/>
        </w:rPr>
        <w:t xml:space="preserve"> </w:t>
      </w:r>
      <w:r>
        <w:rPr>
          <w:w w:val="105"/>
          <w:sz w:val="15"/>
        </w:rPr>
        <w:t>generales</w:t>
      </w:r>
      <w:r>
        <w:rPr>
          <w:spacing w:val="-9"/>
          <w:w w:val="105"/>
          <w:sz w:val="15"/>
        </w:rPr>
        <w:t xml:space="preserve"> </w:t>
      </w:r>
      <w:r>
        <w:rPr>
          <w:w w:val="105"/>
          <w:sz w:val="15"/>
        </w:rPr>
        <w:t>de</w:t>
      </w:r>
      <w:r>
        <w:rPr>
          <w:spacing w:val="-9"/>
          <w:w w:val="105"/>
          <w:sz w:val="15"/>
        </w:rPr>
        <w:t xml:space="preserve"> </w:t>
      </w:r>
      <w:r>
        <w:rPr>
          <w:w w:val="105"/>
          <w:sz w:val="15"/>
        </w:rPr>
        <w:t>igualdad,</w:t>
      </w:r>
      <w:r>
        <w:rPr>
          <w:spacing w:val="-8"/>
          <w:w w:val="105"/>
          <w:sz w:val="15"/>
        </w:rPr>
        <w:t xml:space="preserve"> </w:t>
      </w:r>
      <w:r>
        <w:rPr>
          <w:w w:val="105"/>
          <w:sz w:val="15"/>
        </w:rPr>
        <w:t>a</w:t>
      </w:r>
      <w:r>
        <w:rPr>
          <w:spacing w:val="-9"/>
          <w:w w:val="105"/>
          <w:sz w:val="15"/>
        </w:rPr>
        <w:t xml:space="preserve"> </w:t>
      </w:r>
      <w:r>
        <w:rPr>
          <w:w w:val="105"/>
          <w:sz w:val="15"/>
        </w:rPr>
        <w:t>servicio</w:t>
      </w:r>
      <w:r>
        <w:rPr>
          <w:spacing w:val="-9"/>
          <w:w w:val="105"/>
          <w:sz w:val="15"/>
        </w:rPr>
        <w:t xml:space="preserve"> </w:t>
      </w:r>
      <w:r>
        <w:rPr>
          <w:w w:val="105"/>
          <w:sz w:val="15"/>
        </w:rPr>
        <w:t>público”, como</w:t>
      </w:r>
      <w:r>
        <w:rPr>
          <w:spacing w:val="-4"/>
          <w:w w:val="105"/>
          <w:sz w:val="15"/>
        </w:rPr>
        <w:t xml:space="preserve"> </w:t>
      </w:r>
      <w:r>
        <w:rPr>
          <w:w w:val="105"/>
          <w:sz w:val="15"/>
        </w:rPr>
        <w:t>se</w:t>
      </w:r>
      <w:r>
        <w:rPr>
          <w:spacing w:val="-4"/>
          <w:w w:val="105"/>
          <w:sz w:val="15"/>
        </w:rPr>
        <w:t xml:space="preserve"> </w:t>
      </w:r>
      <w:r>
        <w:rPr>
          <w:w w:val="105"/>
          <w:sz w:val="15"/>
        </w:rPr>
        <w:t>estipula</w:t>
      </w:r>
      <w:r>
        <w:rPr>
          <w:spacing w:val="-4"/>
          <w:w w:val="105"/>
          <w:sz w:val="15"/>
        </w:rPr>
        <w:t xml:space="preserve"> </w:t>
      </w:r>
      <w:r>
        <w:rPr>
          <w:w w:val="105"/>
          <w:sz w:val="15"/>
        </w:rPr>
        <w:t>en</w:t>
      </w:r>
      <w:r>
        <w:rPr>
          <w:spacing w:val="-4"/>
          <w:w w:val="105"/>
          <w:sz w:val="15"/>
        </w:rPr>
        <w:t xml:space="preserve"> </w:t>
      </w:r>
      <w:r>
        <w:rPr>
          <w:w w:val="105"/>
          <w:sz w:val="15"/>
        </w:rPr>
        <w:t>el</w:t>
      </w:r>
      <w:r>
        <w:rPr>
          <w:spacing w:val="-4"/>
          <w:w w:val="105"/>
          <w:sz w:val="15"/>
        </w:rPr>
        <w:t xml:space="preserve"> </w:t>
      </w:r>
      <w:r>
        <w:rPr>
          <w:w w:val="105"/>
          <w:sz w:val="15"/>
        </w:rPr>
        <w:t>artículo</w:t>
      </w:r>
      <w:r>
        <w:rPr>
          <w:spacing w:val="-4"/>
          <w:w w:val="105"/>
          <w:sz w:val="15"/>
        </w:rPr>
        <w:t xml:space="preserve"> </w:t>
      </w:r>
      <w:r>
        <w:rPr>
          <w:w w:val="105"/>
          <w:sz w:val="15"/>
        </w:rPr>
        <w:t>25</w:t>
      </w:r>
      <w:r>
        <w:rPr>
          <w:spacing w:val="-4"/>
          <w:w w:val="105"/>
          <w:sz w:val="15"/>
        </w:rPr>
        <w:t xml:space="preserve"> </w:t>
      </w:r>
      <w:r>
        <w:rPr>
          <w:w w:val="105"/>
          <w:sz w:val="15"/>
        </w:rPr>
        <w:t>del</w:t>
      </w:r>
      <w:r>
        <w:rPr>
          <w:spacing w:val="-4"/>
          <w:w w:val="105"/>
          <w:sz w:val="15"/>
        </w:rPr>
        <w:t xml:space="preserve"> </w:t>
      </w:r>
      <w:r>
        <w:rPr>
          <w:w w:val="105"/>
          <w:sz w:val="15"/>
        </w:rPr>
        <w:t>Pacto</w:t>
      </w:r>
      <w:r>
        <w:rPr>
          <w:spacing w:val="-4"/>
          <w:w w:val="105"/>
          <w:sz w:val="15"/>
        </w:rPr>
        <w:t xml:space="preserve"> </w:t>
      </w:r>
      <w:r>
        <w:rPr>
          <w:w w:val="105"/>
          <w:sz w:val="15"/>
        </w:rPr>
        <w:t>Internacional</w:t>
      </w:r>
      <w:r>
        <w:rPr>
          <w:spacing w:val="-4"/>
          <w:w w:val="105"/>
          <w:sz w:val="15"/>
        </w:rPr>
        <w:t xml:space="preserve"> </w:t>
      </w:r>
      <w:r>
        <w:rPr>
          <w:w w:val="105"/>
          <w:sz w:val="15"/>
        </w:rPr>
        <w:t>de</w:t>
      </w:r>
      <w:r>
        <w:rPr>
          <w:spacing w:val="-4"/>
          <w:w w:val="105"/>
          <w:sz w:val="15"/>
        </w:rPr>
        <w:t xml:space="preserve"> </w:t>
      </w:r>
      <w:r>
        <w:rPr>
          <w:w w:val="105"/>
          <w:sz w:val="15"/>
        </w:rPr>
        <w:t>Derechos</w:t>
      </w:r>
      <w:r>
        <w:rPr>
          <w:spacing w:val="-4"/>
          <w:w w:val="105"/>
          <w:sz w:val="15"/>
        </w:rPr>
        <w:t xml:space="preserve"> </w:t>
      </w:r>
      <w:r>
        <w:rPr>
          <w:w w:val="105"/>
          <w:sz w:val="15"/>
        </w:rPr>
        <w:t>Civiles</w:t>
      </w:r>
      <w:r>
        <w:rPr>
          <w:spacing w:val="-4"/>
          <w:w w:val="105"/>
          <w:sz w:val="15"/>
        </w:rPr>
        <w:t xml:space="preserve"> </w:t>
      </w:r>
      <w:r>
        <w:rPr>
          <w:w w:val="105"/>
          <w:sz w:val="15"/>
        </w:rPr>
        <w:t>y</w:t>
      </w:r>
      <w:r>
        <w:rPr>
          <w:spacing w:val="-4"/>
          <w:w w:val="105"/>
          <w:sz w:val="15"/>
        </w:rPr>
        <w:t xml:space="preserve"> </w:t>
      </w:r>
      <w:r>
        <w:rPr>
          <w:w w:val="105"/>
          <w:sz w:val="15"/>
        </w:rPr>
        <w:t>Políticos,</w:t>
      </w:r>
      <w:r>
        <w:rPr>
          <w:spacing w:val="-4"/>
          <w:w w:val="105"/>
          <w:sz w:val="15"/>
        </w:rPr>
        <w:t xml:space="preserve"> </w:t>
      </w:r>
      <w:r>
        <w:rPr>
          <w:w w:val="105"/>
          <w:sz w:val="15"/>
        </w:rPr>
        <w:t>también</w:t>
      </w:r>
      <w:r>
        <w:rPr>
          <w:spacing w:val="-4"/>
          <w:w w:val="105"/>
          <w:sz w:val="15"/>
        </w:rPr>
        <w:t xml:space="preserve"> </w:t>
      </w:r>
      <w:r>
        <w:rPr>
          <w:w w:val="105"/>
          <w:sz w:val="15"/>
        </w:rPr>
        <w:t>tienen</w:t>
      </w:r>
      <w:r>
        <w:rPr>
          <w:spacing w:val="-4"/>
          <w:w w:val="105"/>
          <w:sz w:val="15"/>
        </w:rPr>
        <w:t xml:space="preserve"> </w:t>
      </w:r>
      <w:r>
        <w:rPr>
          <w:w w:val="105"/>
          <w:sz w:val="15"/>
        </w:rPr>
        <w:t>obligaciones</w:t>
      </w:r>
      <w:r>
        <w:rPr>
          <w:spacing w:val="-4"/>
          <w:w w:val="105"/>
          <w:sz w:val="15"/>
        </w:rPr>
        <w:t xml:space="preserve"> </w:t>
      </w:r>
      <w:r>
        <w:rPr>
          <w:w w:val="105"/>
          <w:sz w:val="15"/>
        </w:rPr>
        <w:t>positivas</w:t>
      </w:r>
      <w:r>
        <w:rPr>
          <w:spacing w:val="-4"/>
          <w:w w:val="105"/>
          <w:sz w:val="15"/>
        </w:rPr>
        <w:t xml:space="preserve"> </w:t>
      </w:r>
      <w:r>
        <w:rPr>
          <w:w w:val="105"/>
          <w:sz w:val="15"/>
        </w:rPr>
        <w:t>de garantizar</w:t>
      </w:r>
      <w:r>
        <w:rPr>
          <w:spacing w:val="-4"/>
          <w:w w:val="105"/>
          <w:sz w:val="15"/>
        </w:rPr>
        <w:t xml:space="preserve"> </w:t>
      </w:r>
      <w:r>
        <w:rPr>
          <w:w w:val="105"/>
          <w:sz w:val="15"/>
        </w:rPr>
        <w:t>una</w:t>
      </w:r>
      <w:r>
        <w:rPr>
          <w:spacing w:val="-4"/>
          <w:w w:val="105"/>
          <w:sz w:val="15"/>
        </w:rPr>
        <w:t xml:space="preserve"> </w:t>
      </w:r>
      <w:r>
        <w:rPr>
          <w:w w:val="105"/>
          <w:sz w:val="15"/>
        </w:rPr>
        <w:t>representación</w:t>
      </w:r>
      <w:r>
        <w:rPr>
          <w:spacing w:val="-4"/>
          <w:w w:val="105"/>
          <w:sz w:val="15"/>
        </w:rPr>
        <w:t xml:space="preserve"> </w:t>
      </w:r>
      <w:r>
        <w:rPr>
          <w:w w:val="105"/>
          <w:sz w:val="15"/>
        </w:rPr>
        <w:t>equitativa</w:t>
      </w:r>
      <w:r>
        <w:rPr>
          <w:spacing w:val="-4"/>
          <w:w w:val="105"/>
          <w:sz w:val="15"/>
        </w:rPr>
        <w:t xml:space="preserve"> </w:t>
      </w:r>
      <w:r>
        <w:rPr>
          <w:w w:val="105"/>
          <w:sz w:val="15"/>
        </w:rPr>
        <w:t>de</w:t>
      </w:r>
      <w:r>
        <w:rPr>
          <w:spacing w:val="-4"/>
          <w:w w:val="105"/>
          <w:sz w:val="15"/>
        </w:rPr>
        <w:t xml:space="preserve"> </w:t>
      </w:r>
      <w:r>
        <w:rPr>
          <w:w w:val="105"/>
          <w:sz w:val="15"/>
        </w:rPr>
        <w:t>los</w:t>
      </w:r>
      <w:r>
        <w:rPr>
          <w:spacing w:val="-4"/>
          <w:w w:val="105"/>
          <w:sz w:val="15"/>
        </w:rPr>
        <w:t xml:space="preserve"> </w:t>
      </w:r>
      <w:r>
        <w:rPr>
          <w:w w:val="105"/>
          <w:sz w:val="15"/>
        </w:rPr>
        <w:t>grupos</w:t>
      </w:r>
      <w:r>
        <w:rPr>
          <w:spacing w:val="-4"/>
          <w:w w:val="105"/>
          <w:sz w:val="15"/>
        </w:rPr>
        <w:t xml:space="preserve"> </w:t>
      </w:r>
      <w:r>
        <w:rPr>
          <w:w w:val="105"/>
          <w:sz w:val="15"/>
        </w:rPr>
        <w:t>expuestos</w:t>
      </w:r>
      <w:r>
        <w:rPr>
          <w:spacing w:val="-4"/>
          <w:w w:val="105"/>
          <w:sz w:val="15"/>
        </w:rPr>
        <w:t xml:space="preserve"> </w:t>
      </w:r>
      <w:r>
        <w:rPr>
          <w:w w:val="105"/>
          <w:sz w:val="15"/>
        </w:rPr>
        <w:t>a</w:t>
      </w:r>
      <w:r>
        <w:rPr>
          <w:spacing w:val="-4"/>
          <w:w w:val="105"/>
          <w:sz w:val="15"/>
        </w:rPr>
        <w:t xml:space="preserve"> </w:t>
      </w:r>
      <w:r>
        <w:rPr>
          <w:w w:val="105"/>
          <w:sz w:val="15"/>
        </w:rPr>
        <w:t>la</w:t>
      </w:r>
      <w:r>
        <w:rPr>
          <w:spacing w:val="-4"/>
          <w:w w:val="105"/>
          <w:sz w:val="15"/>
        </w:rPr>
        <w:t xml:space="preserve"> </w:t>
      </w:r>
      <w:r>
        <w:rPr>
          <w:w w:val="105"/>
          <w:sz w:val="15"/>
        </w:rPr>
        <w:t>discriminación,</w:t>
      </w:r>
      <w:r>
        <w:rPr>
          <w:spacing w:val="-3"/>
          <w:w w:val="105"/>
          <w:sz w:val="15"/>
        </w:rPr>
        <w:t xml:space="preserve"> </w:t>
      </w:r>
      <w:r>
        <w:rPr>
          <w:w w:val="105"/>
          <w:sz w:val="15"/>
        </w:rPr>
        <w:t>tanto</w:t>
      </w:r>
      <w:r>
        <w:rPr>
          <w:spacing w:val="-4"/>
          <w:w w:val="105"/>
          <w:sz w:val="15"/>
        </w:rPr>
        <w:t xml:space="preserve"> </w:t>
      </w:r>
      <w:r>
        <w:rPr>
          <w:w w:val="105"/>
          <w:sz w:val="15"/>
        </w:rPr>
        <w:t>dentro</w:t>
      </w:r>
      <w:r>
        <w:rPr>
          <w:spacing w:val="-4"/>
          <w:w w:val="105"/>
          <w:sz w:val="15"/>
        </w:rPr>
        <w:t xml:space="preserve"> </w:t>
      </w:r>
      <w:r>
        <w:rPr>
          <w:w w:val="105"/>
          <w:sz w:val="15"/>
        </w:rPr>
        <w:t>de</w:t>
      </w:r>
      <w:r>
        <w:rPr>
          <w:spacing w:val="-4"/>
          <w:w w:val="105"/>
          <w:sz w:val="15"/>
        </w:rPr>
        <w:t xml:space="preserve"> </w:t>
      </w:r>
      <w:r>
        <w:rPr>
          <w:w w:val="105"/>
          <w:sz w:val="15"/>
        </w:rPr>
        <w:t>las</w:t>
      </w:r>
      <w:r>
        <w:rPr>
          <w:spacing w:val="-4"/>
          <w:w w:val="105"/>
          <w:sz w:val="15"/>
        </w:rPr>
        <w:t xml:space="preserve"> </w:t>
      </w:r>
      <w:r>
        <w:rPr>
          <w:w w:val="105"/>
          <w:sz w:val="15"/>
        </w:rPr>
        <w:t>estructuras</w:t>
      </w:r>
      <w:r>
        <w:rPr>
          <w:spacing w:val="-5"/>
          <w:w w:val="105"/>
          <w:sz w:val="15"/>
        </w:rPr>
        <w:t xml:space="preserve"> </w:t>
      </w:r>
      <w:r>
        <w:rPr>
          <w:w w:val="105"/>
          <w:sz w:val="15"/>
        </w:rPr>
        <w:t>formales</w:t>
      </w:r>
      <w:r>
        <w:rPr>
          <w:spacing w:val="-4"/>
          <w:w w:val="105"/>
          <w:sz w:val="15"/>
        </w:rPr>
        <w:t xml:space="preserve"> </w:t>
      </w:r>
      <w:r>
        <w:rPr>
          <w:w w:val="105"/>
          <w:sz w:val="15"/>
        </w:rPr>
        <w:t>de</w:t>
      </w:r>
      <w:r>
        <w:rPr>
          <w:spacing w:val="-4"/>
          <w:w w:val="105"/>
          <w:sz w:val="15"/>
        </w:rPr>
        <w:t xml:space="preserve"> </w:t>
      </w:r>
      <w:r>
        <w:rPr>
          <w:w w:val="105"/>
          <w:sz w:val="15"/>
        </w:rPr>
        <w:t>la política</w:t>
      </w:r>
      <w:r>
        <w:rPr>
          <w:spacing w:val="-2"/>
          <w:w w:val="105"/>
          <w:sz w:val="15"/>
        </w:rPr>
        <w:t xml:space="preserve"> </w:t>
      </w:r>
      <w:r>
        <w:rPr>
          <w:w w:val="105"/>
          <w:sz w:val="15"/>
        </w:rPr>
        <w:t>y</w:t>
      </w:r>
      <w:r>
        <w:rPr>
          <w:spacing w:val="-3"/>
          <w:w w:val="105"/>
          <w:sz w:val="15"/>
        </w:rPr>
        <w:t xml:space="preserve"> </w:t>
      </w:r>
      <w:r>
        <w:rPr>
          <w:w w:val="105"/>
          <w:sz w:val="15"/>
        </w:rPr>
        <w:t>el</w:t>
      </w:r>
      <w:r>
        <w:rPr>
          <w:spacing w:val="-2"/>
          <w:w w:val="105"/>
          <w:sz w:val="15"/>
        </w:rPr>
        <w:t xml:space="preserve"> </w:t>
      </w:r>
      <w:r>
        <w:rPr>
          <w:w w:val="105"/>
          <w:sz w:val="15"/>
        </w:rPr>
        <w:t>gobierno,</w:t>
      </w:r>
      <w:r>
        <w:rPr>
          <w:spacing w:val="-2"/>
          <w:w w:val="105"/>
          <w:sz w:val="15"/>
        </w:rPr>
        <w:t xml:space="preserve"> </w:t>
      </w:r>
      <w:r>
        <w:rPr>
          <w:w w:val="105"/>
          <w:sz w:val="15"/>
        </w:rPr>
        <w:t>como</w:t>
      </w:r>
      <w:r>
        <w:rPr>
          <w:spacing w:val="-2"/>
          <w:w w:val="105"/>
          <w:sz w:val="15"/>
        </w:rPr>
        <w:t xml:space="preserve"> </w:t>
      </w:r>
      <w:r>
        <w:rPr>
          <w:w w:val="105"/>
          <w:sz w:val="15"/>
        </w:rPr>
        <w:t>de</w:t>
      </w:r>
      <w:r>
        <w:rPr>
          <w:spacing w:val="-3"/>
          <w:w w:val="105"/>
          <w:sz w:val="15"/>
        </w:rPr>
        <w:t xml:space="preserve"> </w:t>
      </w:r>
      <w:r>
        <w:rPr>
          <w:w w:val="105"/>
          <w:sz w:val="15"/>
        </w:rPr>
        <w:t>apoyar</w:t>
      </w:r>
      <w:r>
        <w:rPr>
          <w:spacing w:val="-2"/>
          <w:w w:val="105"/>
          <w:sz w:val="15"/>
        </w:rPr>
        <w:t xml:space="preserve"> </w:t>
      </w:r>
      <w:r>
        <w:rPr>
          <w:w w:val="105"/>
          <w:sz w:val="15"/>
        </w:rPr>
        <w:t>a</w:t>
      </w:r>
      <w:r>
        <w:rPr>
          <w:spacing w:val="-3"/>
          <w:w w:val="105"/>
          <w:sz w:val="15"/>
        </w:rPr>
        <w:t xml:space="preserve"> </w:t>
      </w:r>
      <w:r>
        <w:rPr>
          <w:w w:val="105"/>
          <w:sz w:val="15"/>
        </w:rPr>
        <w:t>la</w:t>
      </w:r>
      <w:r>
        <w:rPr>
          <w:spacing w:val="-2"/>
          <w:w w:val="105"/>
          <w:sz w:val="15"/>
        </w:rPr>
        <w:t xml:space="preserve"> </w:t>
      </w:r>
      <w:r>
        <w:rPr>
          <w:w w:val="105"/>
          <w:sz w:val="15"/>
        </w:rPr>
        <w:t>sociedad</w:t>
      </w:r>
      <w:r>
        <w:rPr>
          <w:spacing w:val="-3"/>
          <w:w w:val="105"/>
          <w:sz w:val="15"/>
        </w:rPr>
        <w:t xml:space="preserve"> </w:t>
      </w:r>
      <w:r>
        <w:rPr>
          <w:w w:val="105"/>
          <w:sz w:val="15"/>
        </w:rPr>
        <w:t>civil</w:t>
      </w:r>
      <w:r>
        <w:rPr>
          <w:spacing w:val="-2"/>
          <w:w w:val="105"/>
          <w:sz w:val="15"/>
        </w:rPr>
        <w:t xml:space="preserve"> </w:t>
      </w:r>
      <w:r>
        <w:rPr>
          <w:w w:val="105"/>
          <w:sz w:val="15"/>
        </w:rPr>
        <w:t>representativa.</w:t>
      </w:r>
      <w:r>
        <w:rPr>
          <w:spacing w:val="-2"/>
          <w:w w:val="105"/>
          <w:sz w:val="15"/>
        </w:rPr>
        <w:t xml:space="preserve"> </w:t>
      </w:r>
      <w:r>
        <w:rPr>
          <w:w w:val="105"/>
          <w:sz w:val="15"/>
        </w:rPr>
        <w:t>organizaciones.</w:t>
      </w:r>
    </w:p>
    <w:p w14:paraId="7C28AF19" w14:textId="77777777" w:rsidR="0014798C" w:rsidRDefault="0014798C">
      <w:pPr>
        <w:pStyle w:val="Textoindependiente"/>
        <w:rPr>
          <w:sz w:val="13"/>
        </w:rPr>
      </w:pPr>
    </w:p>
    <w:p w14:paraId="3FD24AF1" w14:textId="77777777" w:rsidR="0014798C" w:rsidRDefault="0014798C">
      <w:pPr>
        <w:pStyle w:val="Textoindependiente"/>
        <w:rPr>
          <w:sz w:val="13"/>
        </w:rPr>
      </w:pPr>
    </w:p>
    <w:p w14:paraId="0191D8F2" w14:textId="77777777" w:rsidR="0014798C" w:rsidRDefault="0014798C">
      <w:pPr>
        <w:pStyle w:val="Textoindependiente"/>
        <w:rPr>
          <w:sz w:val="13"/>
        </w:rPr>
      </w:pPr>
    </w:p>
    <w:p w14:paraId="533C63C6" w14:textId="77777777" w:rsidR="0014798C" w:rsidRDefault="0014798C">
      <w:pPr>
        <w:pStyle w:val="Textoindependiente"/>
        <w:rPr>
          <w:sz w:val="13"/>
        </w:rPr>
      </w:pPr>
    </w:p>
    <w:p w14:paraId="4ECC950C" w14:textId="77777777" w:rsidR="0014798C" w:rsidRDefault="0014798C">
      <w:pPr>
        <w:pStyle w:val="Textoindependiente"/>
        <w:rPr>
          <w:sz w:val="13"/>
        </w:rPr>
      </w:pPr>
    </w:p>
    <w:p w14:paraId="197EC4CE" w14:textId="77777777" w:rsidR="0014798C" w:rsidRDefault="0014798C">
      <w:pPr>
        <w:pStyle w:val="Textoindependiente"/>
        <w:rPr>
          <w:sz w:val="13"/>
        </w:rPr>
      </w:pPr>
    </w:p>
    <w:p w14:paraId="2F50C557" w14:textId="77777777" w:rsidR="0014798C" w:rsidRDefault="0014798C">
      <w:pPr>
        <w:pStyle w:val="Textoindependiente"/>
        <w:rPr>
          <w:sz w:val="13"/>
        </w:rPr>
      </w:pPr>
    </w:p>
    <w:p w14:paraId="48AF5E6A" w14:textId="77777777" w:rsidR="0014798C" w:rsidRDefault="0014798C">
      <w:pPr>
        <w:pStyle w:val="Textoindependiente"/>
        <w:rPr>
          <w:sz w:val="13"/>
        </w:rPr>
      </w:pPr>
    </w:p>
    <w:p w14:paraId="0AC5F11C" w14:textId="77777777" w:rsidR="0014798C" w:rsidRDefault="0014798C">
      <w:pPr>
        <w:pStyle w:val="Textoindependiente"/>
        <w:rPr>
          <w:sz w:val="13"/>
        </w:rPr>
      </w:pPr>
    </w:p>
    <w:p w14:paraId="66BF8886" w14:textId="77777777" w:rsidR="0014798C" w:rsidRDefault="0014798C">
      <w:pPr>
        <w:pStyle w:val="Textoindependiente"/>
        <w:rPr>
          <w:sz w:val="13"/>
        </w:rPr>
      </w:pPr>
    </w:p>
    <w:p w14:paraId="5CE57636" w14:textId="77777777" w:rsidR="0014798C" w:rsidRDefault="0014798C">
      <w:pPr>
        <w:pStyle w:val="Textoindependiente"/>
        <w:rPr>
          <w:sz w:val="13"/>
        </w:rPr>
      </w:pPr>
    </w:p>
    <w:p w14:paraId="69F4E748" w14:textId="77777777" w:rsidR="0014798C" w:rsidRDefault="0014798C">
      <w:pPr>
        <w:pStyle w:val="Textoindependiente"/>
        <w:rPr>
          <w:sz w:val="13"/>
        </w:rPr>
      </w:pPr>
    </w:p>
    <w:p w14:paraId="7359A40C" w14:textId="77777777" w:rsidR="0014798C" w:rsidRDefault="0014798C">
      <w:pPr>
        <w:pStyle w:val="Textoindependiente"/>
        <w:rPr>
          <w:sz w:val="13"/>
        </w:rPr>
      </w:pPr>
    </w:p>
    <w:p w14:paraId="50F759F8" w14:textId="77777777" w:rsidR="0014798C" w:rsidRDefault="0014798C">
      <w:pPr>
        <w:pStyle w:val="Textoindependiente"/>
        <w:rPr>
          <w:sz w:val="13"/>
        </w:rPr>
      </w:pPr>
    </w:p>
    <w:p w14:paraId="3C435171" w14:textId="77777777" w:rsidR="0014798C" w:rsidRDefault="0014798C">
      <w:pPr>
        <w:pStyle w:val="Textoindependiente"/>
        <w:spacing w:before="57"/>
        <w:rPr>
          <w:sz w:val="13"/>
        </w:rPr>
      </w:pPr>
    </w:p>
    <w:p w14:paraId="7D98276D" w14:textId="77777777" w:rsidR="0014798C" w:rsidRDefault="004E1F0B">
      <w:pPr>
        <w:ind w:left="1111"/>
        <w:rPr>
          <w:sz w:val="13"/>
        </w:rPr>
      </w:pPr>
      <w:r>
        <w:rPr>
          <w:sz w:val="13"/>
        </w:rPr>
        <w:t>1249</w:t>
      </w:r>
      <w:r>
        <w:rPr>
          <w:spacing w:val="-4"/>
          <w:sz w:val="13"/>
        </w:rPr>
        <w:t xml:space="preserve"> </w:t>
      </w:r>
      <w:proofErr w:type="spellStart"/>
      <w:r>
        <w:rPr>
          <w:sz w:val="13"/>
        </w:rPr>
        <w:t>Ibíd</w:t>
      </w:r>
      <w:proofErr w:type="spellEnd"/>
      <w:r>
        <w:rPr>
          <w:sz w:val="13"/>
        </w:rPr>
        <w:t>.,</w:t>
      </w:r>
      <w:r>
        <w:rPr>
          <w:spacing w:val="-3"/>
          <w:sz w:val="13"/>
        </w:rPr>
        <w:t xml:space="preserve"> </w:t>
      </w:r>
      <w:r>
        <w:rPr>
          <w:sz w:val="13"/>
        </w:rPr>
        <w:t>párr.</w:t>
      </w:r>
      <w:r>
        <w:rPr>
          <w:spacing w:val="-3"/>
          <w:sz w:val="13"/>
        </w:rPr>
        <w:t xml:space="preserve"> </w:t>
      </w:r>
      <w:r>
        <w:rPr>
          <w:sz w:val="13"/>
        </w:rPr>
        <w:t>76</w:t>
      </w:r>
      <w:r>
        <w:rPr>
          <w:spacing w:val="-3"/>
          <w:sz w:val="13"/>
        </w:rPr>
        <w:t xml:space="preserve"> </w:t>
      </w:r>
      <w:r>
        <w:rPr>
          <w:spacing w:val="-4"/>
          <w:sz w:val="13"/>
        </w:rPr>
        <w:t>(g).</w:t>
      </w:r>
    </w:p>
    <w:p w14:paraId="512D7676" w14:textId="77777777" w:rsidR="0014798C" w:rsidRDefault="004E1F0B">
      <w:pPr>
        <w:spacing w:before="87"/>
        <w:ind w:left="1111"/>
        <w:rPr>
          <w:sz w:val="13"/>
        </w:rPr>
      </w:pPr>
      <w:r>
        <w:rPr>
          <w:spacing w:val="-4"/>
          <w:sz w:val="13"/>
        </w:rPr>
        <w:t>1250</w:t>
      </w:r>
      <w:r>
        <w:rPr>
          <w:spacing w:val="1"/>
          <w:sz w:val="13"/>
        </w:rPr>
        <w:t xml:space="preserve"> </w:t>
      </w:r>
      <w:proofErr w:type="spellStart"/>
      <w:r>
        <w:rPr>
          <w:spacing w:val="-4"/>
          <w:sz w:val="13"/>
        </w:rPr>
        <w:t>Ibíd</w:t>
      </w:r>
      <w:proofErr w:type="spellEnd"/>
      <w:r>
        <w:rPr>
          <w:spacing w:val="-4"/>
          <w:sz w:val="13"/>
        </w:rPr>
        <w:t>.,</w:t>
      </w:r>
      <w:r>
        <w:rPr>
          <w:spacing w:val="2"/>
          <w:sz w:val="13"/>
        </w:rPr>
        <w:t xml:space="preserve"> </w:t>
      </w:r>
      <w:proofErr w:type="spellStart"/>
      <w:r>
        <w:rPr>
          <w:spacing w:val="-4"/>
          <w:sz w:val="13"/>
        </w:rPr>
        <w:t>párrs</w:t>
      </w:r>
      <w:proofErr w:type="spellEnd"/>
      <w:r>
        <w:rPr>
          <w:spacing w:val="-4"/>
          <w:sz w:val="13"/>
        </w:rPr>
        <w:t>.</w:t>
      </w:r>
      <w:r>
        <w:rPr>
          <w:spacing w:val="2"/>
          <w:sz w:val="13"/>
        </w:rPr>
        <w:t xml:space="preserve"> </w:t>
      </w:r>
      <w:r>
        <w:rPr>
          <w:spacing w:val="-4"/>
          <w:sz w:val="13"/>
        </w:rPr>
        <w:t>9–10</w:t>
      </w:r>
      <w:r>
        <w:rPr>
          <w:spacing w:val="2"/>
          <w:sz w:val="13"/>
        </w:rPr>
        <w:t xml:space="preserve"> </w:t>
      </w:r>
      <w:r>
        <w:rPr>
          <w:spacing w:val="-4"/>
          <w:sz w:val="13"/>
        </w:rPr>
        <w:t>y</w:t>
      </w:r>
      <w:r>
        <w:rPr>
          <w:spacing w:val="2"/>
          <w:sz w:val="13"/>
        </w:rPr>
        <w:t xml:space="preserve"> </w:t>
      </w:r>
      <w:r>
        <w:rPr>
          <w:spacing w:val="-4"/>
          <w:sz w:val="13"/>
        </w:rPr>
        <w:t>15</w:t>
      </w:r>
      <w:r>
        <w:rPr>
          <w:spacing w:val="2"/>
          <w:sz w:val="13"/>
        </w:rPr>
        <w:t xml:space="preserve"> </w:t>
      </w:r>
      <w:r>
        <w:rPr>
          <w:spacing w:val="-4"/>
          <w:sz w:val="13"/>
        </w:rPr>
        <w:t>(nota</w:t>
      </w:r>
      <w:r>
        <w:rPr>
          <w:spacing w:val="2"/>
          <w:sz w:val="13"/>
        </w:rPr>
        <w:t xml:space="preserve"> </w:t>
      </w:r>
      <w:r>
        <w:rPr>
          <w:spacing w:val="-4"/>
          <w:sz w:val="13"/>
        </w:rPr>
        <w:t>a</w:t>
      </w:r>
      <w:r>
        <w:rPr>
          <w:spacing w:val="2"/>
          <w:sz w:val="13"/>
        </w:rPr>
        <w:t xml:space="preserve"> </w:t>
      </w:r>
      <w:r>
        <w:rPr>
          <w:spacing w:val="-4"/>
          <w:sz w:val="13"/>
        </w:rPr>
        <w:t>pie</w:t>
      </w:r>
      <w:r>
        <w:rPr>
          <w:spacing w:val="1"/>
          <w:sz w:val="13"/>
        </w:rPr>
        <w:t xml:space="preserve"> </w:t>
      </w:r>
      <w:r>
        <w:rPr>
          <w:spacing w:val="-4"/>
          <w:sz w:val="13"/>
        </w:rPr>
        <w:t>de</w:t>
      </w:r>
      <w:r>
        <w:rPr>
          <w:spacing w:val="2"/>
          <w:sz w:val="13"/>
        </w:rPr>
        <w:t xml:space="preserve"> </w:t>
      </w:r>
      <w:r>
        <w:rPr>
          <w:spacing w:val="-4"/>
          <w:sz w:val="13"/>
        </w:rPr>
        <w:t>página</w:t>
      </w:r>
      <w:r>
        <w:rPr>
          <w:spacing w:val="2"/>
          <w:sz w:val="13"/>
        </w:rPr>
        <w:t xml:space="preserve"> </w:t>
      </w:r>
      <w:r>
        <w:rPr>
          <w:spacing w:val="-4"/>
          <w:sz w:val="13"/>
        </w:rPr>
        <w:t>omitida).</w:t>
      </w:r>
      <w:r>
        <w:rPr>
          <w:spacing w:val="2"/>
          <w:sz w:val="13"/>
        </w:rPr>
        <w:t xml:space="preserve"> </w:t>
      </w:r>
      <w:r>
        <w:rPr>
          <w:spacing w:val="-4"/>
          <w:sz w:val="13"/>
        </w:rPr>
        <w:t>Véanse</w:t>
      </w:r>
      <w:r>
        <w:rPr>
          <w:spacing w:val="2"/>
          <w:sz w:val="13"/>
        </w:rPr>
        <w:t xml:space="preserve"> </w:t>
      </w:r>
      <w:r>
        <w:rPr>
          <w:spacing w:val="-4"/>
          <w:sz w:val="13"/>
        </w:rPr>
        <w:t>también</w:t>
      </w:r>
      <w:r>
        <w:rPr>
          <w:spacing w:val="2"/>
          <w:sz w:val="13"/>
        </w:rPr>
        <w:t xml:space="preserve"> </w:t>
      </w:r>
      <w:r>
        <w:rPr>
          <w:spacing w:val="-4"/>
          <w:sz w:val="13"/>
        </w:rPr>
        <w:t>A/HRC/40/54;</w:t>
      </w:r>
      <w:r>
        <w:rPr>
          <w:spacing w:val="2"/>
          <w:sz w:val="13"/>
        </w:rPr>
        <w:t xml:space="preserve"> </w:t>
      </w:r>
      <w:r>
        <w:rPr>
          <w:spacing w:val="-4"/>
          <w:sz w:val="13"/>
        </w:rPr>
        <w:t>A/HRC/37/56;</w:t>
      </w:r>
      <w:r>
        <w:rPr>
          <w:spacing w:val="2"/>
          <w:sz w:val="13"/>
        </w:rPr>
        <w:t xml:space="preserve"> </w:t>
      </w:r>
      <w:r>
        <w:rPr>
          <w:spacing w:val="-4"/>
          <w:sz w:val="13"/>
        </w:rPr>
        <w:t>A/73/161;</w:t>
      </w:r>
      <w:r>
        <w:rPr>
          <w:spacing w:val="2"/>
          <w:sz w:val="13"/>
        </w:rPr>
        <w:t xml:space="preserve"> </w:t>
      </w:r>
      <w:r>
        <w:rPr>
          <w:spacing w:val="-4"/>
          <w:sz w:val="13"/>
        </w:rPr>
        <w:t>y</w:t>
      </w:r>
      <w:r>
        <w:rPr>
          <w:spacing w:val="1"/>
          <w:sz w:val="13"/>
        </w:rPr>
        <w:t xml:space="preserve"> </w:t>
      </w:r>
      <w:r>
        <w:rPr>
          <w:spacing w:val="-4"/>
          <w:sz w:val="13"/>
        </w:rPr>
        <w:t>A/70/297.</w:t>
      </w:r>
    </w:p>
    <w:p w14:paraId="58265C11" w14:textId="77777777" w:rsidR="0014798C" w:rsidRDefault="0014798C">
      <w:pPr>
        <w:pStyle w:val="Textoindependiente"/>
        <w:rPr>
          <w:sz w:val="18"/>
        </w:rPr>
      </w:pPr>
    </w:p>
    <w:p w14:paraId="52A6D1CA" w14:textId="77777777" w:rsidR="0014798C" w:rsidRDefault="0014798C">
      <w:pPr>
        <w:pStyle w:val="Textoindependiente"/>
        <w:rPr>
          <w:sz w:val="18"/>
        </w:rPr>
      </w:pPr>
    </w:p>
    <w:p w14:paraId="64CB1583" w14:textId="77777777" w:rsidR="0014798C" w:rsidRDefault="0014798C">
      <w:pPr>
        <w:pStyle w:val="Textoindependiente"/>
        <w:spacing w:before="27"/>
        <w:rPr>
          <w:sz w:val="18"/>
        </w:rPr>
      </w:pPr>
    </w:p>
    <w:p w14:paraId="5E052857" w14:textId="77777777" w:rsidR="0014798C" w:rsidRDefault="004E1F0B">
      <w:pPr>
        <w:ind w:right="694"/>
        <w:jc w:val="right"/>
        <w:rPr>
          <w:sz w:val="18"/>
        </w:rPr>
      </w:pPr>
      <w:r>
        <w:rPr>
          <w:spacing w:val="-5"/>
          <w:w w:val="105"/>
          <w:sz w:val="18"/>
        </w:rPr>
        <w:t>197</w:t>
      </w:r>
    </w:p>
    <w:p w14:paraId="06E98513" w14:textId="77777777" w:rsidR="0014798C" w:rsidRDefault="0014798C">
      <w:pPr>
        <w:jc w:val="right"/>
        <w:rPr>
          <w:sz w:val="18"/>
        </w:rPr>
        <w:sectPr w:rsidR="0014798C" w:rsidSect="00F265E4">
          <w:pgSz w:w="11900" w:h="16820"/>
          <w:pgMar w:top="340" w:right="0" w:bottom="280" w:left="200" w:header="121" w:footer="0" w:gutter="0"/>
          <w:cols w:space="720"/>
        </w:sectPr>
      </w:pPr>
    </w:p>
    <w:p w14:paraId="47A2D9DB" w14:textId="77777777" w:rsidR="0014798C" w:rsidRDefault="0014798C">
      <w:pPr>
        <w:pStyle w:val="Textoindependiente"/>
        <w:spacing w:before="85"/>
        <w:rPr>
          <w:sz w:val="12"/>
        </w:rPr>
      </w:pPr>
    </w:p>
    <w:p w14:paraId="4D8C89FD" w14:textId="77777777" w:rsidR="0014798C" w:rsidRDefault="004E1F0B">
      <w:pPr>
        <w:ind w:left="1111"/>
        <w:rPr>
          <w:sz w:val="12"/>
        </w:rPr>
      </w:pPr>
      <w:r>
        <w:rPr>
          <w:color w:val="FBB315"/>
          <w:sz w:val="12"/>
        </w:rPr>
        <w:t>PROTECCIÓN</w:t>
      </w:r>
      <w:r>
        <w:rPr>
          <w:color w:val="FBB315"/>
          <w:spacing w:val="6"/>
          <w:sz w:val="12"/>
        </w:rPr>
        <w:t xml:space="preserve"> </w:t>
      </w:r>
      <w:r>
        <w:rPr>
          <w:color w:val="FBB315"/>
          <w:sz w:val="12"/>
        </w:rPr>
        <w:t>DE</w:t>
      </w:r>
      <w:r>
        <w:rPr>
          <w:color w:val="FBB315"/>
          <w:spacing w:val="7"/>
          <w:sz w:val="12"/>
        </w:rPr>
        <w:t xml:space="preserve"> </w:t>
      </w:r>
      <w:r>
        <w:rPr>
          <w:color w:val="FBB315"/>
          <w:sz w:val="12"/>
        </w:rPr>
        <w:t>LOS</w:t>
      </w:r>
      <w:r>
        <w:rPr>
          <w:color w:val="FBB315"/>
          <w:spacing w:val="8"/>
          <w:sz w:val="12"/>
        </w:rPr>
        <w:t xml:space="preserve"> </w:t>
      </w:r>
      <w:r>
        <w:rPr>
          <w:color w:val="FBB315"/>
          <w:sz w:val="12"/>
        </w:rPr>
        <w:t>DERECHOS</w:t>
      </w:r>
      <w:r>
        <w:rPr>
          <w:color w:val="FBB315"/>
          <w:spacing w:val="8"/>
          <w:sz w:val="12"/>
        </w:rPr>
        <w:t xml:space="preserve"> </w:t>
      </w:r>
      <w:r>
        <w:rPr>
          <w:color w:val="FBB315"/>
          <w:sz w:val="12"/>
        </w:rPr>
        <w:t>DE</w:t>
      </w:r>
      <w:r>
        <w:rPr>
          <w:color w:val="FBB315"/>
          <w:spacing w:val="6"/>
          <w:sz w:val="12"/>
        </w:rPr>
        <w:t xml:space="preserve"> </w:t>
      </w:r>
      <w:r>
        <w:rPr>
          <w:color w:val="FBB315"/>
          <w:sz w:val="12"/>
        </w:rPr>
        <w:t>LAS</w:t>
      </w:r>
      <w:r>
        <w:rPr>
          <w:color w:val="FBB315"/>
          <w:spacing w:val="7"/>
          <w:sz w:val="12"/>
        </w:rPr>
        <w:t xml:space="preserve"> </w:t>
      </w:r>
      <w:r>
        <w:rPr>
          <w:color w:val="FBB315"/>
          <w:sz w:val="12"/>
        </w:rPr>
        <w:t>MINORÍAS:</w:t>
      </w:r>
      <w:r>
        <w:rPr>
          <w:color w:val="FBB315"/>
          <w:spacing w:val="8"/>
          <w:sz w:val="12"/>
        </w:rPr>
        <w:t xml:space="preserve"> </w:t>
      </w:r>
      <w:r>
        <w:rPr>
          <w:color w:val="FBB315"/>
          <w:sz w:val="12"/>
        </w:rPr>
        <w:t>una</w:t>
      </w:r>
      <w:r>
        <w:rPr>
          <w:color w:val="FBB315"/>
          <w:spacing w:val="7"/>
          <w:sz w:val="12"/>
        </w:rPr>
        <w:t xml:space="preserve"> </w:t>
      </w:r>
      <w:r>
        <w:rPr>
          <w:color w:val="FBB315"/>
          <w:sz w:val="12"/>
        </w:rPr>
        <w:t>guía</w:t>
      </w:r>
      <w:r>
        <w:rPr>
          <w:color w:val="FBB315"/>
          <w:spacing w:val="6"/>
          <w:sz w:val="12"/>
        </w:rPr>
        <w:t xml:space="preserve"> </w:t>
      </w:r>
      <w:r>
        <w:rPr>
          <w:color w:val="FBB315"/>
          <w:sz w:val="12"/>
        </w:rPr>
        <w:t>práctica</w:t>
      </w:r>
      <w:r>
        <w:rPr>
          <w:color w:val="FBB315"/>
          <w:spacing w:val="7"/>
          <w:sz w:val="12"/>
        </w:rPr>
        <w:t xml:space="preserve"> </w:t>
      </w:r>
      <w:r>
        <w:rPr>
          <w:color w:val="FBB315"/>
          <w:sz w:val="12"/>
        </w:rPr>
        <w:t>para</w:t>
      </w:r>
      <w:r>
        <w:rPr>
          <w:color w:val="FBB315"/>
          <w:spacing w:val="8"/>
          <w:sz w:val="12"/>
        </w:rPr>
        <w:t xml:space="preserve"> </w:t>
      </w:r>
      <w:r>
        <w:rPr>
          <w:color w:val="FBB315"/>
          <w:sz w:val="12"/>
        </w:rPr>
        <w:t>desarrollar</w:t>
      </w:r>
      <w:r>
        <w:rPr>
          <w:color w:val="FBB315"/>
          <w:spacing w:val="6"/>
          <w:sz w:val="12"/>
        </w:rPr>
        <w:t xml:space="preserve"> </w:t>
      </w:r>
      <w:r>
        <w:rPr>
          <w:color w:val="FBB315"/>
          <w:sz w:val="12"/>
        </w:rPr>
        <w:t>una</w:t>
      </w:r>
      <w:r>
        <w:rPr>
          <w:color w:val="FBB315"/>
          <w:spacing w:val="7"/>
          <w:sz w:val="12"/>
        </w:rPr>
        <w:t xml:space="preserve"> </w:t>
      </w:r>
      <w:r>
        <w:rPr>
          <w:color w:val="FBB315"/>
          <w:sz w:val="12"/>
        </w:rPr>
        <w:t>legislación</w:t>
      </w:r>
      <w:r>
        <w:rPr>
          <w:color w:val="FBB315"/>
          <w:spacing w:val="8"/>
          <w:sz w:val="12"/>
        </w:rPr>
        <w:t xml:space="preserve"> </w:t>
      </w:r>
      <w:r>
        <w:rPr>
          <w:color w:val="FBB315"/>
          <w:sz w:val="12"/>
        </w:rPr>
        <w:t>integral</w:t>
      </w:r>
      <w:r>
        <w:rPr>
          <w:color w:val="FBB315"/>
          <w:spacing w:val="7"/>
          <w:sz w:val="12"/>
        </w:rPr>
        <w:t xml:space="preserve"> </w:t>
      </w:r>
      <w:r>
        <w:rPr>
          <w:color w:val="FBB315"/>
          <w:sz w:val="12"/>
        </w:rPr>
        <w:t>contra</w:t>
      </w:r>
      <w:r>
        <w:rPr>
          <w:color w:val="FBB315"/>
          <w:spacing w:val="6"/>
          <w:sz w:val="12"/>
        </w:rPr>
        <w:t xml:space="preserve"> </w:t>
      </w:r>
      <w:r>
        <w:rPr>
          <w:color w:val="FBB315"/>
          <w:sz w:val="12"/>
        </w:rPr>
        <w:t>la</w:t>
      </w:r>
      <w:r>
        <w:rPr>
          <w:color w:val="FBB315"/>
          <w:spacing w:val="7"/>
          <w:sz w:val="12"/>
        </w:rPr>
        <w:t xml:space="preserve"> </w:t>
      </w:r>
      <w:r>
        <w:rPr>
          <w:color w:val="FBB315"/>
          <w:spacing w:val="-2"/>
          <w:sz w:val="12"/>
        </w:rPr>
        <w:t>discriminación</w:t>
      </w:r>
    </w:p>
    <w:p w14:paraId="23968A2D" w14:textId="77777777" w:rsidR="0014798C" w:rsidRDefault="0014798C">
      <w:pPr>
        <w:pStyle w:val="Textoindependiente"/>
        <w:rPr>
          <w:sz w:val="27"/>
        </w:rPr>
      </w:pPr>
    </w:p>
    <w:p w14:paraId="613F9CF7" w14:textId="77777777" w:rsidR="0014798C" w:rsidRDefault="0014798C">
      <w:pPr>
        <w:pStyle w:val="Textoindependiente"/>
        <w:rPr>
          <w:sz w:val="27"/>
        </w:rPr>
      </w:pPr>
    </w:p>
    <w:p w14:paraId="6075878B" w14:textId="77777777" w:rsidR="0014798C" w:rsidRDefault="0014798C">
      <w:pPr>
        <w:pStyle w:val="Textoindependiente"/>
        <w:spacing w:before="102"/>
        <w:rPr>
          <w:sz w:val="27"/>
        </w:rPr>
      </w:pPr>
    </w:p>
    <w:p w14:paraId="17DDDB35" w14:textId="77777777" w:rsidR="0014798C" w:rsidRDefault="004E1F0B">
      <w:pPr>
        <w:numPr>
          <w:ilvl w:val="1"/>
          <w:numId w:val="5"/>
        </w:numPr>
        <w:tabs>
          <w:tab w:val="left" w:pos="1447"/>
        </w:tabs>
        <w:ind w:left="1447" w:hanging="327"/>
        <w:rPr>
          <w:color w:val="FBB315"/>
          <w:sz w:val="27"/>
        </w:rPr>
      </w:pPr>
      <w:r>
        <w:rPr>
          <w:color w:val="FBB315"/>
          <w:sz w:val="27"/>
        </w:rPr>
        <w:t>Diversidad</w:t>
      </w:r>
      <w:r>
        <w:rPr>
          <w:color w:val="FBB315"/>
          <w:spacing w:val="-13"/>
          <w:sz w:val="27"/>
        </w:rPr>
        <w:t xml:space="preserve"> </w:t>
      </w:r>
      <w:r>
        <w:rPr>
          <w:color w:val="FBB315"/>
          <w:sz w:val="27"/>
        </w:rPr>
        <w:t>e</w:t>
      </w:r>
      <w:r>
        <w:rPr>
          <w:color w:val="FBB315"/>
          <w:spacing w:val="-12"/>
          <w:sz w:val="27"/>
        </w:rPr>
        <w:t xml:space="preserve"> </w:t>
      </w:r>
      <w:r>
        <w:rPr>
          <w:color w:val="FBB315"/>
          <w:sz w:val="27"/>
        </w:rPr>
        <w:t>igualdad</w:t>
      </w:r>
      <w:r>
        <w:rPr>
          <w:color w:val="FBB315"/>
          <w:spacing w:val="-12"/>
          <w:sz w:val="27"/>
        </w:rPr>
        <w:t xml:space="preserve"> </w:t>
      </w:r>
      <w:r>
        <w:rPr>
          <w:color w:val="FBB315"/>
          <w:sz w:val="27"/>
        </w:rPr>
        <w:t>de</w:t>
      </w:r>
      <w:r>
        <w:rPr>
          <w:color w:val="FBB315"/>
          <w:spacing w:val="-12"/>
          <w:sz w:val="27"/>
        </w:rPr>
        <w:t xml:space="preserve"> </w:t>
      </w:r>
      <w:r>
        <w:rPr>
          <w:color w:val="FBB315"/>
          <w:spacing w:val="-2"/>
          <w:sz w:val="27"/>
        </w:rPr>
        <w:t>representación</w:t>
      </w:r>
    </w:p>
    <w:p w14:paraId="352F2F76" w14:textId="77777777" w:rsidR="0014798C" w:rsidRDefault="0014798C">
      <w:pPr>
        <w:pStyle w:val="Textoindependiente"/>
        <w:spacing w:before="14"/>
        <w:rPr>
          <w:sz w:val="15"/>
        </w:rPr>
      </w:pPr>
    </w:p>
    <w:p w14:paraId="6E3C85F9" w14:textId="77777777" w:rsidR="0014798C" w:rsidRDefault="004E1F0B">
      <w:pPr>
        <w:spacing w:line="348" w:lineRule="auto"/>
        <w:ind w:left="1107" w:right="1335" w:firstLine="3"/>
        <w:rPr>
          <w:sz w:val="15"/>
        </w:rPr>
      </w:pPr>
      <w:r>
        <w:rPr>
          <w:sz w:val="15"/>
        </w:rPr>
        <w:t>Más allá de las obligaciones específicas de promover la participación igualitaria en la vida pública y política, los órganos creados en virtud de tratados prestan cada vez más atención a las obligaciones de los Estados de promover la diversidad y la representación igualitaria en las instituciones. Si bien estas cuestiones evidentemente se cruzan con obligaciones de eliminar barreras directa e indirectamente discriminatorias a la participación y obligaciones de acción positiva, también tienen un papel importante que desempeñar en la configuración de la comprensión pública, al contrarrestar los estereotipos y los prejuicios.</w:t>
      </w:r>
    </w:p>
    <w:p w14:paraId="22ECA5EF" w14:textId="77777777" w:rsidR="0014798C" w:rsidRDefault="004E1F0B">
      <w:pPr>
        <w:spacing w:before="168" w:line="348" w:lineRule="auto"/>
        <w:ind w:left="1110" w:right="1272" w:hanging="4"/>
        <w:rPr>
          <w:sz w:val="15"/>
        </w:rPr>
      </w:pPr>
      <w:r>
        <w:rPr>
          <w:sz w:val="15"/>
        </w:rPr>
        <w:t>Por poner un ejemplo, en su recomendación general núm. 36 (2000), el Comité para la Eliminación de la Discriminación Racial recomendó recientemente que:</w:t>
      </w:r>
    </w:p>
    <w:p w14:paraId="6BA67AB1" w14:textId="77777777" w:rsidR="0014798C" w:rsidRDefault="004E1F0B">
      <w:pPr>
        <w:spacing w:before="112" w:line="348" w:lineRule="auto"/>
        <w:ind w:left="1674" w:right="1479" w:firstLine="3"/>
        <w:rPr>
          <w:sz w:val="15"/>
        </w:rPr>
      </w:pPr>
      <w:r>
        <w:rPr>
          <w:color w:val="FBB315"/>
          <w:sz w:val="15"/>
        </w:rPr>
        <w:t>Los estados deben garantizar que los organismos encargados de hacer cumplir la ley desarrollen estrategias de reclutamiento, retención y avance que promuevan una fuerza laboral diversa que refleje la composición de las poblaciones a las que sirven. Esto</w:t>
      </w:r>
      <w:r>
        <w:rPr>
          <w:color w:val="FBB315"/>
          <w:spacing w:val="9"/>
          <w:sz w:val="15"/>
        </w:rPr>
        <w:t xml:space="preserve"> </w:t>
      </w:r>
      <w:r>
        <w:rPr>
          <w:color w:val="FBB315"/>
          <w:sz w:val="15"/>
        </w:rPr>
        <w:t>podría</w:t>
      </w:r>
      <w:r>
        <w:rPr>
          <w:color w:val="FBB315"/>
          <w:spacing w:val="9"/>
          <w:sz w:val="15"/>
        </w:rPr>
        <w:t xml:space="preserve"> </w:t>
      </w:r>
      <w:r>
        <w:rPr>
          <w:color w:val="FBB315"/>
          <w:sz w:val="15"/>
        </w:rPr>
        <w:t>incluir</w:t>
      </w:r>
      <w:r>
        <w:rPr>
          <w:color w:val="FBB315"/>
          <w:spacing w:val="9"/>
          <w:sz w:val="15"/>
        </w:rPr>
        <w:t xml:space="preserve"> </w:t>
      </w:r>
      <w:r>
        <w:rPr>
          <w:color w:val="FBB315"/>
          <w:sz w:val="15"/>
        </w:rPr>
        <w:t>el</w:t>
      </w:r>
      <w:r>
        <w:rPr>
          <w:color w:val="FBB315"/>
          <w:spacing w:val="9"/>
          <w:sz w:val="15"/>
        </w:rPr>
        <w:t xml:space="preserve"> </w:t>
      </w:r>
      <w:r>
        <w:rPr>
          <w:color w:val="FBB315"/>
          <w:sz w:val="15"/>
        </w:rPr>
        <w:t>establecimiento</w:t>
      </w:r>
      <w:r>
        <w:rPr>
          <w:color w:val="FBB315"/>
          <w:spacing w:val="9"/>
          <w:sz w:val="15"/>
        </w:rPr>
        <w:t xml:space="preserve"> </w:t>
      </w:r>
      <w:r>
        <w:rPr>
          <w:color w:val="FBB315"/>
          <w:sz w:val="15"/>
        </w:rPr>
        <w:t>de</w:t>
      </w:r>
      <w:r>
        <w:rPr>
          <w:color w:val="FBB315"/>
          <w:spacing w:val="9"/>
          <w:sz w:val="15"/>
        </w:rPr>
        <w:t xml:space="preserve"> </w:t>
      </w:r>
      <w:r>
        <w:rPr>
          <w:color w:val="FBB315"/>
          <w:sz w:val="15"/>
        </w:rPr>
        <w:t>cuotas</w:t>
      </w:r>
      <w:r>
        <w:rPr>
          <w:color w:val="FBB315"/>
          <w:spacing w:val="9"/>
          <w:sz w:val="15"/>
        </w:rPr>
        <w:t xml:space="preserve"> </w:t>
      </w:r>
      <w:r>
        <w:rPr>
          <w:color w:val="FBB315"/>
          <w:sz w:val="15"/>
        </w:rPr>
        <w:t>internas</w:t>
      </w:r>
      <w:r>
        <w:rPr>
          <w:color w:val="FBB315"/>
          <w:spacing w:val="9"/>
          <w:sz w:val="15"/>
        </w:rPr>
        <w:t xml:space="preserve"> </w:t>
      </w:r>
      <w:r>
        <w:rPr>
          <w:color w:val="FBB315"/>
          <w:sz w:val="15"/>
        </w:rPr>
        <w:t>y</w:t>
      </w:r>
      <w:r>
        <w:rPr>
          <w:color w:val="FBB315"/>
          <w:spacing w:val="9"/>
          <w:sz w:val="15"/>
        </w:rPr>
        <w:t xml:space="preserve"> </w:t>
      </w:r>
      <w:r>
        <w:rPr>
          <w:color w:val="FBB315"/>
          <w:sz w:val="15"/>
        </w:rPr>
        <w:t>el</w:t>
      </w:r>
      <w:r>
        <w:rPr>
          <w:color w:val="FBB315"/>
          <w:spacing w:val="9"/>
          <w:sz w:val="15"/>
        </w:rPr>
        <w:t xml:space="preserve"> </w:t>
      </w:r>
      <w:r>
        <w:rPr>
          <w:color w:val="FBB315"/>
          <w:sz w:val="15"/>
        </w:rPr>
        <w:t>desarrollo</w:t>
      </w:r>
      <w:r>
        <w:rPr>
          <w:color w:val="FBB315"/>
          <w:spacing w:val="9"/>
          <w:sz w:val="15"/>
        </w:rPr>
        <w:t xml:space="preserve"> </w:t>
      </w:r>
      <w:r>
        <w:rPr>
          <w:color w:val="FBB315"/>
          <w:sz w:val="15"/>
        </w:rPr>
        <w:t>de</w:t>
      </w:r>
      <w:r>
        <w:rPr>
          <w:color w:val="FBB315"/>
          <w:spacing w:val="9"/>
          <w:sz w:val="15"/>
        </w:rPr>
        <w:t xml:space="preserve"> </w:t>
      </w:r>
      <w:r>
        <w:rPr>
          <w:color w:val="FBB315"/>
          <w:sz w:val="15"/>
        </w:rPr>
        <w:t>un</w:t>
      </w:r>
      <w:r>
        <w:rPr>
          <w:color w:val="FBB315"/>
          <w:spacing w:val="9"/>
          <w:sz w:val="15"/>
        </w:rPr>
        <w:t xml:space="preserve"> </w:t>
      </w:r>
      <w:r>
        <w:rPr>
          <w:color w:val="FBB315"/>
          <w:sz w:val="15"/>
        </w:rPr>
        <w:t>programa</w:t>
      </w:r>
      <w:r>
        <w:rPr>
          <w:color w:val="FBB315"/>
          <w:spacing w:val="9"/>
          <w:sz w:val="15"/>
        </w:rPr>
        <w:t xml:space="preserve"> </w:t>
      </w:r>
      <w:r>
        <w:rPr>
          <w:color w:val="FBB315"/>
          <w:sz w:val="15"/>
        </w:rPr>
        <w:t>de</w:t>
      </w:r>
      <w:r>
        <w:rPr>
          <w:color w:val="FBB315"/>
          <w:spacing w:val="9"/>
          <w:sz w:val="15"/>
        </w:rPr>
        <w:t xml:space="preserve"> </w:t>
      </w:r>
      <w:r>
        <w:rPr>
          <w:color w:val="FBB315"/>
          <w:sz w:val="15"/>
        </w:rPr>
        <w:t>reclutamiento</w:t>
      </w:r>
      <w:r>
        <w:rPr>
          <w:color w:val="FBB315"/>
          <w:spacing w:val="9"/>
          <w:sz w:val="15"/>
        </w:rPr>
        <w:t xml:space="preserve"> </w:t>
      </w:r>
      <w:r>
        <w:rPr>
          <w:color w:val="FBB315"/>
          <w:sz w:val="15"/>
        </w:rPr>
        <w:t>para</w:t>
      </w:r>
      <w:r>
        <w:rPr>
          <w:color w:val="FBB315"/>
          <w:spacing w:val="9"/>
          <w:sz w:val="15"/>
        </w:rPr>
        <w:t xml:space="preserve"> </w:t>
      </w:r>
      <w:r>
        <w:rPr>
          <w:color w:val="FBB315"/>
          <w:sz w:val="15"/>
        </w:rPr>
        <w:t>minorías étnicas.</w:t>
      </w:r>
      <w:r>
        <w:rPr>
          <w:color w:val="FBB315"/>
          <w:spacing w:val="8"/>
          <w:sz w:val="15"/>
        </w:rPr>
        <w:t xml:space="preserve"> </w:t>
      </w:r>
      <w:r>
        <w:rPr>
          <w:color w:val="FBB315"/>
          <w:sz w:val="15"/>
        </w:rPr>
        <w:t>Esto</w:t>
      </w:r>
      <w:r>
        <w:rPr>
          <w:color w:val="FBB315"/>
          <w:spacing w:val="8"/>
          <w:sz w:val="15"/>
        </w:rPr>
        <w:t xml:space="preserve"> </w:t>
      </w:r>
      <w:r>
        <w:rPr>
          <w:color w:val="FBB315"/>
          <w:sz w:val="15"/>
        </w:rPr>
        <w:t>tiene</w:t>
      </w:r>
      <w:r>
        <w:rPr>
          <w:color w:val="FBB315"/>
          <w:spacing w:val="8"/>
          <w:sz w:val="15"/>
        </w:rPr>
        <w:t xml:space="preserve"> </w:t>
      </w:r>
      <w:r>
        <w:rPr>
          <w:color w:val="FBB315"/>
          <w:sz w:val="15"/>
        </w:rPr>
        <w:t>el</w:t>
      </w:r>
      <w:r>
        <w:rPr>
          <w:color w:val="FBB315"/>
          <w:spacing w:val="8"/>
          <w:sz w:val="15"/>
        </w:rPr>
        <w:t xml:space="preserve"> </w:t>
      </w:r>
      <w:r>
        <w:rPr>
          <w:color w:val="FBB315"/>
          <w:sz w:val="15"/>
        </w:rPr>
        <w:t>potencial</w:t>
      </w:r>
      <w:r>
        <w:rPr>
          <w:color w:val="FBB315"/>
          <w:spacing w:val="8"/>
          <w:sz w:val="15"/>
        </w:rPr>
        <w:t xml:space="preserve"> </w:t>
      </w:r>
      <w:r>
        <w:rPr>
          <w:color w:val="FBB315"/>
          <w:sz w:val="15"/>
        </w:rPr>
        <w:t>de</w:t>
      </w:r>
      <w:r>
        <w:rPr>
          <w:color w:val="FBB315"/>
          <w:spacing w:val="8"/>
          <w:sz w:val="15"/>
        </w:rPr>
        <w:t xml:space="preserve"> </w:t>
      </w:r>
      <w:r>
        <w:rPr>
          <w:color w:val="FBB315"/>
          <w:sz w:val="15"/>
        </w:rPr>
        <w:t>influir</w:t>
      </w:r>
      <w:r>
        <w:rPr>
          <w:color w:val="FBB315"/>
          <w:spacing w:val="8"/>
          <w:sz w:val="15"/>
        </w:rPr>
        <w:t xml:space="preserve"> </w:t>
      </w:r>
      <w:r>
        <w:rPr>
          <w:color w:val="FBB315"/>
          <w:sz w:val="15"/>
        </w:rPr>
        <w:t>en</w:t>
      </w:r>
      <w:r>
        <w:rPr>
          <w:color w:val="FBB315"/>
          <w:spacing w:val="8"/>
          <w:sz w:val="15"/>
        </w:rPr>
        <w:t xml:space="preserve"> </w:t>
      </w:r>
      <w:r>
        <w:rPr>
          <w:color w:val="FBB315"/>
          <w:sz w:val="15"/>
        </w:rPr>
        <w:t>la</w:t>
      </w:r>
      <w:r>
        <w:rPr>
          <w:color w:val="FBB315"/>
          <w:spacing w:val="8"/>
          <w:sz w:val="15"/>
        </w:rPr>
        <w:t xml:space="preserve"> </w:t>
      </w:r>
      <w:r>
        <w:rPr>
          <w:color w:val="FBB315"/>
          <w:sz w:val="15"/>
        </w:rPr>
        <w:t>cultura</w:t>
      </w:r>
      <w:r>
        <w:rPr>
          <w:color w:val="FBB315"/>
          <w:spacing w:val="8"/>
          <w:sz w:val="15"/>
        </w:rPr>
        <w:t xml:space="preserve"> </w:t>
      </w:r>
      <w:r>
        <w:rPr>
          <w:color w:val="FBB315"/>
          <w:sz w:val="15"/>
        </w:rPr>
        <w:t>de</w:t>
      </w:r>
      <w:r>
        <w:rPr>
          <w:color w:val="FBB315"/>
          <w:spacing w:val="8"/>
          <w:sz w:val="15"/>
        </w:rPr>
        <w:t xml:space="preserve"> </w:t>
      </w:r>
      <w:r>
        <w:rPr>
          <w:color w:val="FBB315"/>
          <w:sz w:val="15"/>
        </w:rPr>
        <w:t>las</w:t>
      </w:r>
      <w:r>
        <w:rPr>
          <w:color w:val="FBB315"/>
          <w:spacing w:val="8"/>
          <w:sz w:val="15"/>
        </w:rPr>
        <w:t xml:space="preserve"> </w:t>
      </w:r>
      <w:r>
        <w:rPr>
          <w:color w:val="FBB315"/>
          <w:sz w:val="15"/>
        </w:rPr>
        <w:t>agencias</w:t>
      </w:r>
      <w:r>
        <w:rPr>
          <w:color w:val="FBB315"/>
          <w:spacing w:val="8"/>
          <w:sz w:val="15"/>
        </w:rPr>
        <w:t xml:space="preserve"> </w:t>
      </w:r>
      <w:r>
        <w:rPr>
          <w:color w:val="FBB315"/>
          <w:sz w:val="15"/>
        </w:rPr>
        <w:t>y</w:t>
      </w:r>
      <w:r>
        <w:rPr>
          <w:color w:val="FBB315"/>
          <w:spacing w:val="8"/>
          <w:sz w:val="15"/>
        </w:rPr>
        <w:t xml:space="preserve"> </w:t>
      </w:r>
      <w:r>
        <w:rPr>
          <w:color w:val="FBB315"/>
          <w:sz w:val="15"/>
        </w:rPr>
        <w:t>las</w:t>
      </w:r>
      <w:r>
        <w:rPr>
          <w:color w:val="FBB315"/>
          <w:spacing w:val="8"/>
          <w:sz w:val="15"/>
        </w:rPr>
        <w:t xml:space="preserve"> </w:t>
      </w:r>
      <w:r>
        <w:rPr>
          <w:color w:val="FBB315"/>
          <w:sz w:val="15"/>
        </w:rPr>
        <w:t>actitudes</w:t>
      </w:r>
      <w:r>
        <w:rPr>
          <w:color w:val="FBB315"/>
          <w:spacing w:val="8"/>
          <w:sz w:val="15"/>
        </w:rPr>
        <w:t xml:space="preserve"> </w:t>
      </w:r>
      <w:r>
        <w:rPr>
          <w:color w:val="FBB315"/>
          <w:sz w:val="15"/>
        </w:rPr>
        <w:t>del</w:t>
      </w:r>
      <w:r>
        <w:rPr>
          <w:color w:val="FBB315"/>
          <w:spacing w:val="8"/>
          <w:sz w:val="15"/>
        </w:rPr>
        <w:t xml:space="preserve"> </w:t>
      </w:r>
      <w:r>
        <w:rPr>
          <w:color w:val="FBB315"/>
          <w:sz w:val="15"/>
        </w:rPr>
        <w:t>personal</w:t>
      </w:r>
      <w:r>
        <w:rPr>
          <w:color w:val="FBB315"/>
          <w:spacing w:val="8"/>
          <w:sz w:val="15"/>
        </w:rPr>
        <w:t xml:space="preserve"> </w:t>
      </w:r>
      <w:r>
        <w:rPr>
          <w:color w:val="FBB315"/>
          <w:sz w:val="15"/>
        </w:rPr>
        <w:t>con</w:t>
      </w:r>
      <w:r>
        <w:rPr>
          <w:color w:val="FBB315"/>
          <w:spacing w:val="8"/>
          <w:sz w:val="15"/>
        </w:rPr>
        <w:t xml:space="preserve"> </w:t>
      </w:r>
      <w:r>
        <w:rPr>
          <w:color w:val="FBB315"/>
          <w:sz w:val="15"/>
        </w:rPr>
        <w:t>miras</w:t>
      </w:r>
      <w:r>
        <w:rPr>
          <w:color w:val="FBB315"/>
          <w:spacing w:val="8"/>
          <w:sz w:val="15"/>
        </w:rPr>
        <w:t xml:space="preserve"> </w:t>
      </w:r>
      <w:r>
        <w:rPr>
          <w:color w:val="FBB315"/>
          <w:sz w:val="15"/>
        </w:rPr>
        <w:t>a</w:t>
      </w:r>
      <w:r>
        <w:rPr>
          <w:color w:val="FBB315"/>
          <w:spacing w:val="8"/>
          <w:sz w:val="15"/>
        </w:rPr>
        <w:t xml:space="preserve"> </w:t>
      </w:r>
      <w:r>
        <w:rPr>
          <w:color w:val="FBB315"/>
          <w:sz w:val="15"/>
        </w:rPr>
        <w:t>producir</w:t>
      </w:r>
      <w:r>
        <w:rPr>
          <w:color w:val="FBB315"/>
          <w:spacing w:val="8"/>
          <w:sz w:val="15"/>
        </w:rPr>
        <w:t xml:space="preserve"> </w:t>
      </w:r>
      <w:r>
        <w:rPr>
          <w:color w:val="FBB315"/>
          <w:sz w:val="15"/>
        </w:rPr>
        <w:t>una toma de decisiones menos sesgada.</w:t>
      </w:r>
    </w:p>
    <w:p w14:paraId="6CBDD355" w14:textId="77777777" w:rsidR="0014798C" w:rsidRDefault="004E1F0B">
      <w:pPr>
        <w:spacing w:before="55" w:line="348" w:lineRule="auto"/>
        <w:ind w:left="1672" w:right="1696" w:firstLine="15"/>
        <w:rPr>
          <w:sz w:val="15"/>
        </w:rPr>
      </w:pPr>
      <w:r>
        <w:rPr>
          <w:color w:val="FBB315"/>
          <w:sz w:val="15"/>
        </w:rPr>
        <w:t>… Los Estados deben velar por que los organismos encargados de hacer cumplir la ley evalúen periódicamente las políticas de contratación y ascenso y, de ser necesario,</w:t>
      </w:r>
      <w:r>
        <w:rPr>
          <w:color w:val="FBB315"/>
          <w:spacing w:val="10"/>
          <w:sz w:val="15"/>
        </w:rPr>
        <w:t xml:space="preserve"> </w:t>
      </w:r>
      <w:r>
        <w:rPr>
          <w:color w:val="FBB315"/>
          <w:sz w:val="15"/>
        </w:rPr>
        <w:t>adopten medidas especiales de carácter temporal para abordar eficazmente</w:t>
      </w:r>
      <w:r>
        <w:rPr>
          <w:color w:val="FBB315"/>
          <w:spacing w:val="80"/>
          <w:sz w:val="15"/>
        </w:rPr>
        <w:t xml:space="preserve"> </w:t>
      </w:r>
      <w:r>
        <w:rPr>
          <w:color w:val="FBB315"/>
          <w:sz w:val="15"/>
        </w:rPr>
        <w:t xml:space="preserve">la insuficiente representación de diversos grupos nacionales o étnicos minoritarios y de grupos que sufren formas interrelacionadas de discriminación basadas, entre otras cosas, religión, sexo y género, orientación sexual, discapacidad y </w:t>
      </w:r>
      <w:r>
        <w:rPr>
          <w:color w:val="FBB315"/>
          <w:spacing w:val="-2"/>
          <w:sz w:val="15"/>
        </w:rPr>
        <w:t>edad.1251</w:t>
      </w:r>
    </w:p>
    <w:p w14:paraId="4961479C" w14:textId="77777777" w:rsidR="0014798C" w:rsidRDefault="004E1F0B">
      <w:pPr>
        <w:numPr>
          <w:ilvl w:val="1"/>
          <w:numId w:val="5"/>
        </w:numPr>
        <w:tabs>
          <w:tab w:val="left" w:pos="1451"/>
        </w:tabs>
        <w:spacing w:before="220"/>
        <w:ind w:left="1451" w:hanging="342"/>
        <w:rPr>
          <w:color w:val="FBB315"/>
          <w:sz w:val="27"/>
        </w:rPr>
      </w:pPr>
      <w:r>
        <w:rPr>
          <w:color w:val="FBB315"/>
          <w:spacing w:val="-2"/>
          <w:sz w:val="27"/>
        </w:rPr>
        <w:t>Educación</w:t>
      </w:r>
    </w:p>
    <w:p w14:paraId="3404FC85" w14:textId="77777777" w:rsidR="0014798C" w:rsidRDefault="0014798C">
      <w:pPr>
        <w:pStyle w:val="Textoindependiente"/>
        <w:spacing w:before="91"/>
        <w:rPr>
          <w:sz w:val="15"/>
        </w:rPr>
      </w:pPr>
    </w:p>
    <w:p w14:paraId="3E5853C8" w14:textId="77777777" w:rsidR="0014798C" w:rsidRDefault="004E1F0B">
      <w:pPr>
        <w:spacing w:line="348" w:lineRule="auto"/>
        <w:ind w:left="1107" w:right="1463" w:firstLine="7"/>
        <w:rPr>
          <w:sz w:val="15"/>
        </w:rPr>
      </w:pPr>
      <w:r>
        <w:rPr>
          <w:sz w:val="15"/>
        </w:rPr>
        <w:t>Un elemento central de la obligación de abordar las normas sociales negativas y promover la igualdad es el deber de desafiar los prejuicios, el estigma y los estereotipos y promover la diversidad y la igualdad a través de la educación. Esta obligación se cruza con el derecho a la educación, garantizado en la mayoría de los principales tratados internacionales de derechos humanos.</w:t>
      </w:r>
    </w:p>
    <w:p w14:paraId="5D92F4D9" w14:textId="77777777" w:rsidR="0014798C" w:rsidRDefault="0014798C">
      <w:pPr>
        <w:pStyle w:val="Textoindependiente"/>
        <w:rPr>
          <w:sz w:val="15"/>
        </w:rPr>
      </w:pPr>
    </w:p>
    <w:p w14:paraId="69C816D3" w14:textId="77777777" w:rsidR="0014798C" w:rsidRDefault="0014798C">
      <w:pPr>
        <w:pStyle w:val="Textoindependiente"/>
        <w:spacing w:before="74"/>
        <w:rPr>
          <w:sz w:val="15"/>
        </w:rPr>
      </w:pPr>
    </w:p>
    <w:p w14:paraId="3C208F5E" w14:textId="77777777" w:rsidR="0014798C" w:rsidRDefault="004E1F0B">
      <w:pPr>
        <w:spacing w:line="348" w:lineRule="auto"/>
        <w:ind w:left="1107" w:right="1378" w:hanging="1"/>
        <w:rPr>
          <w:sz w:val="15"/>
        </w:rPr>
      </w:pPr>
      <w:r>
        <w:rPr>
          <w:sz w:val="15"/>
        </w:rPr>
        <w:t>El artículo 13 (1) del Pacto Internacional de Derechos Económicos, Sociales y Culturales establece que “la educación … fortalecerá el respeto de los derechos humanos y las libertades fundamentales [y]… permitirá a todas las personas participar efectivamente en una sociedad libre, promoverá la comprensión, la tolerancia y la amistad entre todas las naciones y todos los grupos raciales, étnicos o religiosos”. El Comité de Derechos Económicos, Sociales y Culturales ha establecido que: “La enseñanza sobre los principios de igualdad</w:t>
      </w:r>
      <w:r>
        <w:rPr>
          <w:spacing w:val="80"/>
          <w:sz w:val="15"/>
        </w:rPr>
        <w:t xml:space="preserve"> </w:t>
      </w:r>
      <w:r>
        <w:rPr>
          <w:sz w:val="15"/>
        </w:rPr>
        <w:t xml:space="preserve">y no discriminación debe integrarse en la educación formal y no formal inclusiva y multicultural, con miras a desmantelar las nociones de superioridad o inferioridad basadas en por motivos prohibidos y promover el diálogo y la tolerancia entre diferentes grupos de la </w:t>
      </w:r>
      <w:r>
        <w:rPr>
          <w:spacing w:val="-2"/>
          <w:sz w:val="15"/>
        </w:rPr>
        <w:t>sociedad.”1252</w:t>
      </w:r>
    </w:p>
    <w:p w14:paraId="4828E682" w14:textId="77777777" w:rsidR="0014798C" w:rsidRDefault="004E1F0B">
      <w:pPr>
        <w:spacing w:before="125"/>
        <w:ind w:left="1111" w:hanging="5"/>
        <w:rPr>
          <w:sz w:val="15"/>
        </w:rPr>
      </w:pPr>
      <w:r>
        <w:rPr>
          <w:sz w:val="15"/>
        </w:rPr>
        <w:t>El</w:t>
      </w:r>
      <w:r>
        <w:rPr>
          <w:spacing w:val="-1"/>
          <w:sz w:val="15"/>
        </w:rPr>
        <w:t xml:space="preserve"> </w:t>
      </w:r>
      <w:r>
        <w:rPr>
          <w:sz w:val="15"/>
        </w:rPr>
        <w:t xml:space="preserve">artículo 7 de la Convención Internacional sobre la Eliminación de todas las Formas de Discriminación Racial establece la </w:t>
      </w:r>
      <w:r>
        <w:rPr>
          <w:spacing w:val="-2"/>
          <w:sz w:val="15"/>
        </w:rPr>
        <w:t>obligación</w:t>
      </w:r>
    </w:p>
    <w:p w14:paraId="641FEF80" w14:textId="77777777" w:rsidR="0014798C" w:rsidRDefault="004E1F0B">
      <w:pPr>
        <w:spacing w:before="120" w:line="348" w:lineRule="auto"/>
        <w:ind w:left="1107" w:right="1301" w:firstLine="4"/>
        <w:rPr>
          <w:sz w:val="15"/>
        </w:rPr>
      </w:pPr>
      <w:r>
        <w:rPr>
          <w:sz w:val="15"/>
        </w:rPr>
        <w:t>inmediata de los Estados de adoptar “medidas inmediatas y efectivas” en ámbitos como la enseñanza y la educación para combatir los prejuicios que conducen a la discriminación racial y promover la comprensión y la tolerancia. La Convención sobre los Derechos de las Personas con Discapacidad establece una obligación positiva amplia, afirmando que la educación debe estar dirigida al “pleno desarrollo</w:t>
      </w:r>
      <w:r>
        <w:rPr>
          <w:spacing w:val="80"/>
          <w:sz w:val="15"/>
        </w:rPr>
        <w:t xml:space="preserve"> </w:t>
      </w:r>
      <w:r>
        <w:rPr>
          <w:sz w:val="15"/>
        </w:rPr>
        <w:t>del potencial humano y del sentido de la dignidad y la autoestima, y al fortalecimiento del respeto por los derechos humanos, las libertades fundamentales y la diversidad humana”.1253</w:t>
      </w:r>
    </w:p>
    <w:p w14:paraId="3833FF61" w14:textId="77777777" w:rsidR="0014798C" w:rsidRDefault="004E1F0B">
      <w:pPr>
        <w:spacing w:before="168" w:line="348" w:lineRule="auto"/>
        <w:ind w:left="1107" w:right="1335" w:hanging="1"/>
        <w:rPr>
          <w:sz w:val="15"/>
        </w:rPr>
      </w:pPr>
      <w:r>
        <w:rPr>
          <w:sz w:val="15"/>
        </w:rPr>
        <w:t>El artículo 10 (c) de la Convención sobre la eliminación de todas las formas de discriminación contra la mujer exige que los Estados garanticen la “eliminación de cualquier concepto estereotipado de las funciones de los hombres y las mujeres en todos los niveles y en todas las formas de educación”, incluso mediante la revisión de libros de texto y programas escolares, y adaptación de métodos de enseñanza. El artículo 5 (b) exige que los Estados garanticen que la educación familiar incluya “el reconocimiento de la responsabilidad común de hombres y mujeres en la crianza y el desarrollo de sus hijos”. El Comité para la Eliminación de la Discriminación contra la Mujer ha señalado por separado que los Estados tienen la obligación derivada del artículo 2 (e) de “promover la educación y el apoyo a los objetivos de la Convención”.</w:t>
      </w:r>
    </w:p>
    <w:p w14:paraId="3DD90C12" w14:textId="77777777" w:rsidR="0014798C" w:rsidRDefault="004E1F0B">
      <w:pPr>
        <w:pStyle w:val="Textoindependiente"/>
        <w:spacing w:before="214"/>
        <w:rPr>
          <w:sz w:val="20"/>
        </w:rPr>
      </w:pPr>
      <w:r>
        <w:rPr>
          <w:noProof/>
        </w:rPr>
        <w:drawing>
          <wp:anchor distT="0" distB="0" distL="0" distR="0" simplePos="0" relativeHeight="251658566" behindDoc="1" locked="0" layoutInCell="1" allowOverlap="1" wp14:anchorId="2FC60727" wp14:editId="5B0D3537">
            <wp:simplePos x="0" y="0"/>
            <wp:positionH relativeFrom="page">
              <wp:posOffset>826632</wp:posOffset>
            </wp:positionH>
            <wp:positionV relativeFrom="paragraph">
              <wp:posOffset>297373</wp:posOffset>
            </wp:positionV>
            <wp:extent cx="931001" cy="35813"/>
            <wp:effectExtent l="0" t="0" r="0" b="0"/>
            <wp:wrapTopAndBottom/>
            <wp:docPr id="390" name="Image 39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90" name="Image 390"/>
                    <pic:cNvPicPr/>
                  </pic:nvPicPr>
                  <pic:blipFill>
                    <a:blip r:embed="rId363" cstate="print"/>
                    <a:stretch>
                      <a:fillRect/>
                    </a:stretch>
                  </pic:blipFill>
                  <pic:spPr>
                    <a:xfrm>
                      <a:off x="0" y="0"/>
                      <a:ext cx="931001" cy="35813"/>
                    </a:xfrm>
                    <a:prstGeom prst="rect">
                      <a:avLst/>
                    </a:prstGeom>
                  </pic:spPr>
                </pic:pic>
              </a:graphicData>
            </a:graphic>
          </wp:anchor>
        </w:drawing>
      </w:r>
    </w:p>
    <w:p w14:paraId="4AB0F497" w14:textId="77777777" w:rsidR="0014798C" w:rsidRDefault="0014798C">
      <w:pPr>
        <w:pStyle w:val="Textoindependiente"/>
        <w:spacing w:before="11"/>
        <w:rPr>
          <w:sz w:val="12"/>
        </w:rPr>
      </w:pPr>
    </w:p>
    <w:p w14:paraId="01A42DD6" w14:textId="77777777" w:rsidR="0014798C" w:rsidRDefault="004E1F0B">
      <w:pPr>
        <w:spacing w:line="410" w:lineRule="auto"/>
        <w:ind w:left="1111" w:right="4198"/>
        <w:rPr>
          <w:sz w:val="12"/>
        </w:rPr>
      </w:pPr>
      <w:r>
        <w:rPr>
          <w:sz w:val="12"/>
        </w:rPr>
        <w:t xml:space="preserve">1251 Comité para la Eliminación de la Discriminación Racial, recomendación general núm. 36 (2020), </w:t>
      </w:r>
      <w:proofErr w:type="spellStart"/>
      <w:r>
        <w:rPr>
          <w:sz w:val="12"/>
        </w:rPr>
        <w:t>párrs</w:t>
      </w:r>
      <w:proofErr w:type="spellEnd"/>
      <w:r>
        <w:rPr>
          <w:sz w:val="12"/>
        </w:rPr>
        <w:t>. 46–47.</w:t>
      </w:r>
      <w:r>
        <w:rPr>
          <w:spacing w:val="40"/>
          <w:sz w:val="12"/>
        </w:rPr>
        <w:t xml:space="preserve"> </w:t>
      </w:r>
      <w:r>
        <w:rPr>
          <w:sz w:val="12"/>
        </w:rPr>
        <w:t>1252 Comité de Derechos Económicos, Sociales y Culturales, observación general núm. 20 (2009), párr. 38.</w:t>
      </w:r>
    </w:p>
    <w:p w14:paraId="127F0A37" w14:textId="77777777" w:rsidR="0014798C" w:rsidRDefault="004E1F0B">
      <w:pPr>
        <w:spacing w:before="1"/>
        <w:ind w:left="1111"/>
        <w:rPr>
          <w:sz w:val="12"/>
        </w:rPr>
      </w:pPr>
      <w:r>
        <w:rPr>
          <w:sz w:val="12"/>
        </w:rPr>
        <w:t>1253 Convención sobre</w:t>
      </w:r>
      <w:r>
        <w:rPr>
          <w:spacing w:val="1"/>
          <w:sz w:val="12"/>
        </w:rPr>
        <w:t xml:space="preserve"> </w:t>
      </w:r>
      <w:r>
        <w:rPr>
          <w:sz w:val="12"/>
        </w:rPr>
        <w:t>los Derechos</w:t>
      </w:r>
      <w:r>
        <w:rPr>
          <w:spacing w:val="1"/>
          <w:sz w:val="12"/>
        </w:rPr>
        <w:t xml:space="preserve"> </w:t>
      </w:r>
      <w:r>
        <w:rPr>
          <w:sz w:val="12"/>
        </w:rPr>
        <w:t>de las</w:t>
      </w:r>
      <w:r>
        <w:rPr>
          <w:spacing w:val="1"/>
          <w:sz w:val="12"/>
        </w:rPr>
        <w:t xml:space="preserve"> </w:t>
      </w:r>
      <w:r>
        <w:rPr>
          <w:sz w:val="12"/>
        </w:rPr>
        <w:t>Personas con Discapacidad,</w:t>
      </w:r>
      <w:r>
        <w:rPr>
          <w:spacing w:val="2"/>
          <w:sz w:val="12"/>
        </w:rPr>
        <w:t xml:space="preserve"> </w:t>
      </w:r>
      <w:r>
        <w:rPr>
          <w:sz w:val="12"/>
        </w:rPr>
        <w:t>art. 24</w:t>
      </w:r>
      <w:r>
        <w:rPr>
          <w:spacing w:val="1"/>
          <w:sz w:val="12"/>
        </w:rPr>
        <w:t xml:space="preserve"> </w:t>
      </w:r>
      <w:r>
        <w:rPr>
          <w:sz w:val="12"/>
        </w:rPr>
        <w:t xml:space="preserve">(1) </w:t>
      </w:r>
      <w:r>
        <w:rPr>
          <w:spacing w:val="-4"/>
          <w:sz w:val="12"/>
        </w:rPr>
        <w:t>(a).</w:t>
      </w:r>
    </w:p>
    <w:p w14:paraId="2EB79E8C" w14:textId="77777777" w:rsidR="0014798C" w:rsidRDefault="0014798C">
      <w:pPr>
        <w:pStyle w:val="Textoindependiente"/>
        <w:rPr>
          <w:sz w:val="18"/>
        </w:rPr>
      </w:pPr>
    </w:p>
    <w:p w14:paraId="554A3989" w14:textId="77777777" w:rsidR="0014798C" w:rsidRDefault="0014798C">
      <w:pPr>
        <w:pStyle w:val="Textoindependiente"/>
        <w:rPr>
          <w:sz w:val="18"/>
        </w:rPr>
      </w:pPr>
    </w:p>
    <w:p w14:paraId="1B8E28B5" w14:textId="77777777" w:rsidR="0014798C" w:rsidRDefault="0014798C">
      <w:pPr>
        <w:pStyle w:val="Textoindependiente"/>
        <w:spacing w:before="28"/>
        <w:rPr>
          <w:sz w:val="18"/>
        </w:rPr>
      </w:pPr>
    </w:p>
    <w:p w14:paraId="37BC6126" w14:textId="77777777" w:rsidR="0014798C" w:rsidRDefault="004E1F0B">
      <w:pPr>
        <w:ind w:left="478"/>
        <w:rPr>
          <w:sz w:val="18"/>
        </w:rPr>
      </w:pPr>
      <w:r>
        <w:rPr>
          <w:spacing w:val="-5"/>
          <w:sz w:val="18"/>
        </w:rPr>
        <w:t>198</w:t>
      </w:r>
    </w:p>
    <w:p w14:paraId="50E7CDE3" w14:textId="77777777" w:rsidR="0014798C" w:rsidRDefault="0014798C">
      <w:pPr>
        <w:rPr>
          <w:sz w:val="18"/>
        </w:rPr>
        <w:sectPr w:rsidR="0014798C" w:rsidSect="00F265E4">
          <w:pgSz w:w="11900" w:h="16820"/>
          <w:pgMar w:top="340" w:right="0" w:bottom="280" w:left="200" w:header="121" w:footer="0" w:gutter="0"/>
          <w:cols w:space="720"/>
        </w:sectPr>
      </w:pPr>
    </w:p>
    <w:p w14:paraId="67D26A8F" w14:textId="77777777" w:rsidR="0014798C" w:rsidRDefault="0014798C">
      <w:pPr>
        <w:pStyle w:val="Textoindependiente"/>
        <w:spacing w:before="103"/>
        <w:rPr>
          <w:sz w:val="11"/>
        </w:rPr>
      </w:pPr>
    </w:p>
    <w:p w14:paraId="0E4EDBC6" w14:textId="77777777" w:rsidR="0014798C" w:rsidRDefault="004E1F0B">
      <w:pPr>
        <w:ind w:left="1111"/>
        <w:rPr>
          <w:sz w:val="11"/>
        </w:rPr>
      </w:pPr>
      <w:r>
        <w:rPr>
          <w:color w:val="FBB315"/>
          <w:w w:val="105"/>
          <w:sz w:val="11"/>
        </w:rPr>
        <w:t>PARTE</w:t>
      </w:r>
      <w:r>
        <w:rPr>
          <w:color w:val="FBB315"/>
          <w:spacing w:val="-2"/>
          <w:w w:val="105"/>
          <w:sz w:val="11"/>
        </w:rPr>
        <w:t xml:space="preserve"> </w:t>
      </w:r>
      <w:r>
        <w:rPr>
          <w:color w:val="FBB315"/>
          <w:w w:val="105"/>
          <w:sz w:val="11"/>
        </w:rPr>
        <w:t>SEIS:</w:t>
      </w:r>
      <w:r>
        <w:rPr>
          <w:color w:val="FBB315"/>
          <w:spacing w:val="-1"/>
          <w:w w:val="105"/>
          <w:sz w:val="11"/>
        </w:rPr>
        <w:t xml:space="preserve"> </w:t>
      </w:r>
      <w:r>
        <w:rPr>
          <w:color w:val="FBB315"/>
          <w:w w:val="105"/>
          <w:sz w:val="11"/>
        </w:rPr>
        <w:t>PROMOCIÓN</w:t>
      </w:r>
      <w:r>
        <w:rPr>
          <w:color w:val="FBB315"/>
          <w:spacing w:val="-1"/>
          <w:w w:val="105"/>
          <w:sz w:val="11"/>
        </w:rPr>
        <w:t xml:space="preserve"> </w:t>
      </w:r>
      <w:r>
        <w:rPr>
          <w:color w:val="FBB315"/>
          <w:w w:val="105"/>
          <w:sz w:val="11"/>
        </w:rPr>
        <w:t>DE</w:t>
      </w:r>
      <w:r>
        <w:rPr>
          <w:color w:val="FBB315"/>
          <w:spacing w:val="-1"/>
          <w:w w:val="105"/>
          <w:sz w:val="11"/>
        </w:rPr>
        <w:t xml:space="preserve"> </w:t>
      </w:r>
      <w:r>
        <w:rPr>
          <w:color w:val="FBB315"/>
          <w:w w:val="105"/>
          <w:sz w:val="11"/>
        </w:rPr>
        <w:t>LA</w:t>
      </w:r>
      <w:r>
        <w:rPr>
          <w:color w:val="FBB315"/>
          <w:spacing w:val="-1"/>
          <w:w w:val="105"/>
          <w:sz w:val="11"/>
        </w:rPr>
        <w:t xml:space="preserve"> </w:t>
      </w:r>
      <w:r>
        <w:rPr>
          <w:color w:val="FBB315"/>
          <w:w w:val="105"/>
          <w:sz w:val="11"/>
        </w:rPr>
        <w:t>DIVERSIDAD</w:t>
      </w:r>
      <w:r>
        <w:rPr>
          <w:color w:val="FBB315"/>
          <w:spacing w:val="-1"/>
          <w:w w:val="105"/>
          <w:sz w:val="11"/>
        </w:rPr>
        <w:t xml:space="preserve"> </w:t>
      </w:r>
      <w:r>
        <w:rPr>
          <w:color w:val="FBB315"/>
          <w:w w:val="105"/>
          <w:sz w:val="11"/>
        </w:rPr>
        <w:t>Y</w:t>
      </w:r>
      <w:r>
        <w:rPr>
          <w:color w:val="FBB315"/>
          <w:spacing w:val="-1"/>
          <w:w w:val="105"/>
          <w:sz w:val="11"/>
        </w:rPr>
        <w:t xml:space="preserve"> </w:t>
      </w:r>
      <w:r>
        <w:rPr>
          <w:color w:val="FBB315"/>
          <w:w w:val="105"/>
          <w:sz w:val="11"/>
        </w:rPr>
        <w:t>LA</w:t>
      </w:r>
      <w:r>
        <w:rPr>
          <w:color w:val="FBB315"/>
          <w:spacing w:val="-1"/>
          <w:w w:val="105"/>
          <w:sz w:val="11"/>
        </w:rPr>
        <w:t xml:space="preserve"> </w:t>
      </w:r>
      <w:r>
        <w:rPr>
          <w:color w:val="FBB315"/>
          <w:w w:val="105"/>
          <w:sz w:val="11"/>
        </w:rPr>
        <w:t>IGUALDAD: OBLIGACIONES DE</w:t>
      </w:r>
      <w:r>
        <w:rPr>
          <w:color w:val="FBB315"/>
          <w:spacing w:val="-1"/>
          <w:w w:val="105"/>
          <w:sz w:val="11"/>
        </w:rPr>
        <w:t xml:space="preserve"> </w:t>
      </w:r>
      <w:r>
        <w:rPr>
          <w:color w:val="FBB315"/>
          <w:w w:val="105"/>
          <w:sz w:val="11"/>
        </w:rPr>
        <w:t>ABORDAR</w:t>
      </w:r>
      <w:r>
        <w:rPr>
          <w:color w:val="FBB315"/>
          <w:spacing w:val="-2"/>
          <w:w w:val="105"/>
          <w:sz w:val="11"/>
        </w:rPr>
        <w:t xml:space="preserve"> </w:t>
      </w:r>
      <w:r>
        <w:rPr>
          <w:color w:val="FBB315"/>
          <w:w w:val="105"/>
          <w:sz w:val="11"/>
        </w:rPr>
        <w:t>LAS</w:t>
      </w:r>
      <w:r>
        <w:rPr>
          <w:color w:val="FBB315"/>
          <w:spacing w:val="-1"/>
          <w:w w:val="105"/>
          <w:sz w:val="11"/>
        </w:rPr>
        <w:t xml:space="preserve"> </w:t>
      </w:r>
      <w:r>
        <w:rPr>
          <w:color w:val="FBB315"/>
          <w:w w:val="105"/>
          <w:sz w:val="11"/>
        </w:rPr>
        <w:t>CAUSAS</w:t>
      </w:r>
      <w:r>
        <w:rPr>
          <w:color w:val="FBB315"/>
          <w:spacing w:val="-1"/>
          <w:w w:val="105"/>
          <w:sz w:val="11"/>
        </w:rPr>
        <w:t xml:space="preserve"> </w:t>
      </w:r>
      <w:r>
        <w:rPr>
          <w:color w:val="FBB315"/>
          <w:w w:val="105"/>
          <w:sz w:val="11"/>
        </w:rPr>
        <w:t>FUNDAMENTALES DE</w:t>
      </w:r>
      <w:r>
        <w:rPr>
          <w:color w:val="FBB315"/>
          <w:spacing w:val="-1"/>
          <w:w w:val="105"/>
          <w:sz w:val="11"/>
        </w:rPr>
        <w:t xml:space="preserve"> </w:t>
      </w:r>
      <w:r>
        <w:rPr>
          <w:color w:val="FBB315"/>
          <w:w w:val="105"/>
          <w:sz w:val="11"/>
        </w:rPr>
        <w:t>LA</w:t>
      </w:r>
      <w:r>
        <w:rPr>
          <w:color w:val="FBB315"/>
          <w:spacing w:val="-1"/>
          <w:w w:val="105"/>
          <w:sz w:val="11"/>
        </w:rPr>
        <w:t xml:space="preserve"> </w:t>
      </w:r>
      <w:r>
        <w:rPr>
          <w:color w:val="FBB315"/>
          <w:spacing w:val="-2"/>
          <w:w w:val="105"/>
          <w:sz w:val="11"/>
        </w:rPr>
        <w:t>DISCRIMINACIÓN</w:t>
      </w:r>
    </w:p>
    <w:p w14:paraId="0251FD05" w14:textId="77777777" w:rsidR="0014798C" w:rsidRDefault="0014798C">
      <w:pPr>
        <w:pStyle w:val="Textoindependiente"/>
      </w:pPr>
    </w:p>
    <w:p w14:paraId="1E64643D" w14:textId="77777777" w:rsidR="0014798C" w:rsidRDefault="0014798C">
      <w:pPr>
        <w:pStyle w:val="Textoindependiente"/>
      </w:pPr>
    </w:p>
    <w:p w14:paraId="0C662D37" w14:textId="77777777" w:rsidR="0014798C" w:rsidRDefault="0014798C">
      <w:pPr>
        <w:pStyle w:val="Textoindependiente"/>
      </w:pPr>
    </w:p>
    <w:p w14:paraId="46E1522C" w14:textId="77777777" w:rsidR="0014798C" w:rsidRDefault="0014798C">
      <w:pPr>
        <w:pStyle w:val="Textoindependiente"/>
      </w:pPr>
    </w:p>
    <w:p w14:paraId="4D1A4EDB" w14:textId="77777777" w:rsidR="0014798C" w:rsidRDefault="0014798C">
      <w:pPr>
        <w:pStyle w:val="Textoindependiente"/>
        <w:spacing w:before="56"/>
      </w:pPr>
    </w:p>
    <w:p w14:paraId="054FFE7B" w14:textId="77777777" w:rsidR="0014798C" w:rsidRDefault="004E1F0B">
      <w:pPr>
        <w:pStyle w:val="Textoindependiente"/>
        <w:spacing w:line="326" w:lineRule="auto"/>
        <w:ind w:left="1107" w:right="1272"/>
      </w:pPr>
      <w:r>
        <w:t>en</w:t>
      </w:r>
      <w:r>
        <w:rPr>
          <w:spacing w:val="-1"/>
        </w:rPr>
        <w:t xml:space="preserve"> </w:t>
      </w:r>
      <w:r>
        <w:t>todo</w:t>
      </w:r>
      <w:r>
        <w:rPr>
          <w:spacing w:val="-1"/>
        </w:rPr>
        <w:t xml:space="preserve"> </w:t>
      </w:r>
      <w:r>
        <w:t>el</w:t>
      </w:r>
      <w:r>
        <w:rPr>
          <w:spacing w:val="-1"/>
        </w:rPr>
        <w:t xml:space="preserve"> </w:t>
      </w:r>
      <w:r>
        <w:t>sistema</w:t>
      </w:r>
      <w:r>
        <w:rPr>
          <w:spacing w:val="-1"/>
        </w:rPr>
        <w:t xml:space="preserve"> </w:t>
      </w:r>
      <w:r>
        <w:t>educativo</w:t>
      </w:r>
      <w:r>
        <w:rPr>
          <w:spacing w:val="-1"/>
        </w:rPr>
        <w:t xml:space="preserve"> </w:t>
      </w:r>
      <w:r>
        <w:t>y</w:t>
      </w:r>
      <w:r>
        <w:rPr>
          <w:spacing w:val="-1"/>
        </w:rPr>
        <w:t xml:space="preserve"> </w:t>
      </w:r>
      <w:r>
        <w:t>en</w:t>
      </w:r>
      <w:r>
        <w:rPr>
          <w:spacing w:val="-1"/>
        </w:rPr>
        <w:t xml:space="preserve"> </w:t>
      </w:r>
      <w:r>
        <w:t>la</w:t>
      </w:r>
      <w:r>
        <w:rPr>
          <w:spacing w:val="-1"/>
        </w:rPr>
        <w:t xml:space="preserve"> </w:t>
      </w:r>
      <w:r>
        <w:t>comunidad”.1254</w:t>
      </w:r>
      <w:r>
        <w:rPr>
          <w:spacing w:val="-1"/>
        </w:rPr>
        <w:t xml:space="preserve"> </w:t>
      </w:r>
      <w:r>
        <w:t>El</w:t>
      </w:r>
      <w:r>
        <w:rPr>
          <w:spacing w:val="-1"/>
        </w:rPr>
        <w:t xml:space="preserve"> </w:t>
      </w:r>
      <w:r>
        <w:t>Comité</w:t>
      </w:r>
      <w:r>
        <w:rPr>
          <w:spacing w:val="-1"/>
        </w:rPr>
        <w:t xml:space="preserve"> </w:t>
      </w:r>
      <w:r>
        <w:t>ha</w:t>
      </w:r>
      <w:r>
        <w:rPr>
          <w:spacing w:val="-1"/>
        </w:rPr>
        <w:t xml:space="preserve"> </w:t>
      </w:r>
      <w:r>
        <w:t>señalado</w:t>
      </w:r>
      <w:r>
        <w:rPr>
          <w:spacing w:val="-1"/>
        </w:rPr>
        <w:t xml:space="preserve"> </w:t>
      </w:r>
      <w:r>
        <w:t>además</w:t>
      </w:r>
      <w:r>
        <w:rPr>
          <w:spacing w:val="-1"/>
        </w:rPr>
        <w:t xml:space="preserve"> </w:t>
      </w:r>
      <w:r>
        <w:t>que</w:t>
      </w:r>
      <w:r>
        <w:rPr>
          <w:spacing w:val="-1"/>
        </w:rPr>
        <w:t xml:space="preserve"> </w:t>
      </w:r>
      <w:r>
        <w:t>“los</w:t>
      </w:r>
      <w:r>
        <w:rPr>
          <w:spacing w:val="-1"/>
        </w:rPr>
        <w:t xml:space="preserve"> </w:t>
      </w:r>
      <w:proofErr w:type="gramStart"/>
      <w:r>
        <w:t>Estados</w:t>
      </w:r>
      <w:r>
        <w:rPr>
          <w:spacing w:val="-1"/>
        </w:rPr>
        <w:t xml:space="preserve"> </w:t>
      </w:r>
      <w:r>
        <w:t>partes</w:t>
      </w:r>
      <w:proofErr w:type="gramEnd"/>
      <w:r>
        <w:rPr>
          <w:spacing w:val="-1"/>
        </w:rPr>
        <w:t xml:space="preserve"> </w:t>
      </w:r>
      <w:r>
        <w:t>deben</w:t>
      </w:r>
      <w:r>
        <w:rPr>
          <w:spacing w:val="-1"/>
        </w:rPr>
        <w:t xml:space="preserve"> </w:t>
      </w:r>
      <w:r>
        <w:t>adoptar medidas</w:t>
      </w:r>
      <w:r>
        <w:rPr>
          <w:spacing w:val="-7"/>
        </w:rPr>
        <w:t xml:space="preserve"> </w:t>
      </w:r>
      <w:r>
        <w:t>encaminadas</w:t>
      </w:r>
      <w:r>
        <w:rPr>
          <w:spacing w:val="-7"/>
        </w:rPr>
        <w:t xml:space="preserve"> </w:t>
      </w:r>
      <w:r>
        <w:t>a</w:t>
      </w:r>
      <w:r>
        <w:rPr>
          <w:spacing w:val="-7"/>
        </w:rPr>
        <w:t xml:space="preserve"> </w:t>
      </w:r>
      <w:r>
        <w:t>una</w:t>
      </w:r>
      <w:r>
        <w:rPr>
          <w:spacing w:val="-7"/>
        </w:rPr>
        <w:t xml:space="preserve"> </w:t>
      </w:r>
      <w:r>
        <w:t>transformación</w:t>
      </w:r>
      <w:r>
        <w:rPr>
          <w:spacing w:val="-7"/>
        </w:rPr>
        <w:t xml:space="preserve"> </w:t>
      </w:r>
      <w:r>
        <w:t>real</w:t>
      </w:r>
      <w:r>
        <w:rPr>
          <w:spacing w:val="-7"/>
        </w:rPr>
        <w:t xml:space="preserve"> </w:t>
      </w:r>
      <w:r>
        <w:t>de</w:t>
      </w:r>
      <w:r>
        <w:rPr>
          <w:spacing w:val="-7"/>
        </w:rPr>
        <w:t xml:space="preserve"> </w:t>
      </w:r>
      <w:r>
        <w:t>las</w:t>
      </w:r>
      <w:r>
        <w:rPr>
          <w:spacing w:val="-7"/>
        </w:rPr>
        <w:t xml:space="preserve"> </w:t>
      </w:r>
      <w:r>
        <w:t>oportunidades,</w:t>
      </w:r>
      <w:r>
        <w:rPr>
          <w:spacing w:val="-6"/>
        </w:rPr>
        <w:t xml:space="preserve"> </w:t>
      </w:r>
      <w:r>
        <w:t>las</w:t>
      </w:r>
      <w:r>
        <w:rPr>
          <w:spacing w:val="-7"/>
        </w:rPr>
        <w:t xml:space="preserve"> </w:t>
      </w:r>
      <w:r>
        <w:t>instituciones</w:t>
      </w:r>
      <w:r>
        <w:rPr>
          <w:spacing w:val="-8"/>
        </w:rPr>
        <w:t xml:space="preserve"> </w:t>
      </w:r>
      <w:r>
        <w:t>y</w:t>
      </w:r>
      <w:r>
        <w:rPr>
          <w:spacing w:val="-7"/>
        </w:rPr>
        <w:t xml:space="preserve"> </w:t>
      </w:r>
      <w:r>
        <w:t>los</w:t>
      </w:r>
      <w:r>
        <w:rPr>
          <w:spacing w:val="-7"/>
        </w:rPr>
        <w:t xml:space="preserve"> </w:t>
      </w:r>
      <w:r>
        <w:t>sistemas</w:t>
      </w:r>
      <w:r>
        <w:rPr>
          <w:spacing w:val="-7"/>
        </w:rPr>
        <w:t xml:space="preserve"> </w:t>
      </w:r>
      <w:r>
        <w:t>para</w:t>
      </w:r>
      <w:r>
        <w:rPr>
          <w:spacing w:val="-7"/>
        </w:rPr>
        <w:t xml:space="preserve"> </w:t>
      </w:r>
      <w:r>
        <w:t>que</w:t>
      </w:r>
      <w:r>
        <w:rPr>
          <w:spacing w:val="-7"/>
        </w:rPr>
        <w:t xml:space="preserve"> </w:t>
      </w:r>
      <w:r>
        <w:t>ya</w:t>
      </w:r>
      <w:r>
        <w:rPr>
          <w:spacing w:val="-7"/>
        </w:rPr>
        <w:t xml:space="preserve"> </w:t>
      </w:r>
      <w:r>
        <w:t>no</w:t>
      </w:r>
      <w:r>
        <w:rPr>
          <w:spacing w:val="-7"/>
        </w:rPr>
        <w:t xml:space="preserve"> </w:t>
      </w:r>
      <w:r>
        <w:t>se</w:t>
      </w:r>
      <w:r>
        <w:rPr>
          <w:spacing w:val="-7"/>
        </w:rPr>
        <w:t xml:space="preserve"> </w:t>
      </w:r>
      <w:r>
        <w:t>basen</w:t>
      </w:r>
      <w:r>
        <w:rPr>
          <w:spacing w:val="-7"/>
        </w:rPr>
        <w:t xml:space="preserve"> </w:t>
      </w:r>
      <w:r>
        <w:t>en paradigmas</w:t>
      </w:r>
      <w:r>
        <w:rPr>
          <w:spacing w:val="-6"/>
        </w:rPr>
        <w:t xml:space="preserve"> </w:t>
      </w:r>
      <w:r>
        <w:t>masculinos</w:t>
      </w:r>
      <w:r>
        <w:rPr>
          <w:spacing w:val="-6"/>
        </w:rPr>
        <w:t xml:space="preserve"> </w:t>
      </w:r>
      <w:r>
        <w:t>de</w:t>
      </w:r>
      <w:r>
        <w:rPr>
          <w:spacing w:val="-6"/>
        </w:rPr>
        <w:t xml:space="preserve"> </w:t>
      </w:r>
      <w:r>
        <w:t>poder</w:t>
      </w:r>
      <w:r>
        <w:rPr>
          <w:spacing w:val="-6"/>
        </w:rPr>
        <w:t xml:space="preserve"> </w:t>
      </w:r>
      <w:r>
        <w:t>y</w:t>
      </w:r>
      <w:r>
        <w:rPr>
          <w:spacing w:val="-6"/>
        </w:rPr>
        <w:t xml:space="preserve"> </w:t>
      </w:r>
      <w:r>
        <w:t>vida</w:t>
      </w:r>
      <w:r>
        <w:rPr>
          <w:spacing w:val="-6"/>
        </w:rPr>
        <w:t xml:space="preserve"> </w:t>
      </w:r>
      <w:r>
        <w:t>históricamente</w:t>
      </w:r>
      <w:r>
        <w:rPr>
          <w:spacing w:val="-6"/>
        </w:rPr>
        <w:t xml:space="preserve"> </w:t>
      </w:r>
      <w:r>
        <w:t>determinados.</w:t>
      </w:r>
      <w:r>
        <w:rPr>
          <w:spacing w:val="-5"/>
        </w:rPr>
        <w:t xml:space="preserve"> </w:t>
      </w:r>
      <w:r>
        <w:t>patrones.</w:t>
      </w:r>
      <w:r>
        <w:rPr>
          <w:spacing w:val="-5"/>
        </w:rPr>
        <w:t xml:space="preserve"> </w:t>
      </w:r>
      <w:r>
        <w:t>El</w:t>
      </w:r>
      <w:r>
        <w:rPr>
          <w:spacing w:val="-6"/>
        </w:rPr>
        <w:t xml:space="preserve"> </w:t>
      </w:r>
      <w:r>
        <w:t>sistema</w:t>
      </w:r>
      <w:r>
        <w:rPr>
          <w:spacing w:val="-6"/>
        </w:rPr>
        <w:t xml:space="preserve"> </w:t>
      </w:r>
      <w:r>
        <w:t>educativo</w:t>
      </w:r>
      <w:r>
        <w:rPr>
          <w:spacing w:val="-6"/>
        </w:rPr>
        <w:t xml:space="preserve"> </w:t>
      </w:r>
      <w:r>
        <w:t>es</w:t>
      </w:r>
      <w:r>
        <w:rPr>
          <w:spacing w:val="-6"/>
        </w:rPr>
        <w:t xml:space="preserve"> </w:t>
      </w:r>
      <w:r>
        <w:t>un</w:t>
      </w:r>
      <w:r>
        <w:rPr>
          <w:spacing w:val="-6"/>
        </w:rPr>
        <w:t xml:space="preserve"> </w:t>
      </w:r>
      <w:r>
        <w:t>ejemplo</w:t>
      </w:r>
      <w:r>
        <w:rPr>
          <w:spacing w:val="-6"/>
        </w:rPr>
        <w:t xml:space="preserve"> </w:t>
      </w:r>
      <w:r>
        <w:t>de</w:t>
      </w:r>
      <w:r>
        <w:rPr>
          <w:spacing w:val="-6"/>
        </w:rPr>
        <w:t xml:space="preserve"> </w:t>
      </w:r>
      <w:r>
        <w:t>un</w:t>
      </w:r>
      <w:r>
        <w:rPr>
          <w:spacing w:val="-6"/>
        </w:rPr>
        <w:t xml:space="preserve"> </w:t>
      </w:r>
      <w:r>
        <w:t>área</w:t>
      </w:r>
      <w:r>
        <w:rPr>
          <w:spacing w:val="-6"/>
        </w:rPr>
        <w:t xml:space="preserve"> </w:t>
      </w:r>
      <w:r>
        <w:t>de transformación</w:t>
      </w:r>
      <w:r>
        <w:rPr>
          <w:spacing w:val="-2"/>
        </w:rPr>
        <w:t xml:space="preserve"> </w:t>
      </w:r>
      <w:r>
        <w:t>que,</w:t>
      </w:r>
      <w:r>
        <w:rPr>
          <w:spacing w:val="-2"/>
        </w:rPr>
        <w:t xml:space="preserve"> </w:t>
      </w:r>
      <w:r>
        <w:t>una</w:t>
      </w:r>
      <w:r>
        <w:rPr>
          <w:spacing w:val="-2"/>
        </w:rPr>
        <w:t xml:space="preserve"> </w:t>
      </w:r>
      <w:r>
        <w:t>vez</w:t>
      </w:r>
      <w:r>
        <w:rPr>
          <w:spacing w:val="-2"/>
        </w:rPr>
        <w:t xml:space="preserve"> </w:t>
      </w:r>
      <w:r>
        <w:t>lograda,</w:t>
      </w:r>
      <w:r>
        <w:rPr>
          <w:spacing w:val="-1"/>
        </w:rPr>
        <w:t xml:space="preserve"> </w:t>
      </w:r>
      <w:r>
        <w:t>puede</w:t>
      </w:r>
      <w:r>
        <w:rPr>
          <w:spacing w:val="-2"/>
        </w:rPr>
        <w:t xml:space="preserve"> </w:t>
      </w:r>
      <w:r>
        <w:t>acelerar</w:t>
      </w:r>
      <w:r>
        <w:rPr>
          <w:spacing w:val="-2"/>
        </w:rPr>
        <w:t xml:space="preserve"> </w:t>
      </w:r>
      <w:r>
        <w:t>cambios</w:t>
      </w:r>
      <w:r>
        <w:rPr>
          <w:spacing w:val="-2"/>
        </w:rPr>
        <w:t xml:space="preserve"> </w:t>
      </w:r>
      <w:r>
        <w:t>positivos</w:t>
      </w:r>
      <w:r>
        <w:rPr>
          <w:spacing w:val="-2"/>
        </w:rPr>
        <w:t xml:space="preserve"> </w:t>
      </w:r>
      <w:r>
        <w:t>en</w:t>
      </w:r>
      <w:r>
        <w:rPr>
          <w:spacing w:val="-2"/>
        </w:rPr>
        <w:t xml:space="preserve"> </w:t>
      </w:r>
      <w:r>
        <w:t>otras</w:t>
      </w:r>
      <w:r>
        <w:rPr>
          <w:spacing w:val="-2"/>
        </w:rPr>
        <w:t xml:space="preserve"> </w:t>
      </w:r>
      <w:r>
        <w:t>áreas”.</w:t>
      </w:r>
      <w:r>
        <w:rPr>
          <w:spacing w:val="-2"/>
        </w:rPr>
        <w:t xml:space="preserve"> </w:t>
      </w:r>
      <w:r>
        <w:t>Sobre</w:t>
      </w:r>
      <w:r>
        <w:rPr>
          <w:spacing w:val="-2"/>
        </w:rPr>
        <w:t xml:space="preserve"> </w:t>
      </w:r>
      <w:r>
        <w:t>esta</w:t>
      </w:r>
      <w:r>
        <w:rPr>
          <w:spacing w:val="-2"/>
        </w:rPr>
        <w:t xml:space="preserve"> </w:t>
      </w:r>
      <w:r>
        <w:t>base,</w:t>
      </w:r>
      <w:r>
        <w:rPr>
          <w:spacing w:val="-2"/>
        </w:rPr>
        <w:t xml:space="preserve"> </w:t>
      </w:r>
      <w:r>
        <w:t>ha</w:t>
      </w:r>
      <w:r>
        <w:rPr>
          <w:spacing w:val="-2"/>
        </w:rPr>
        <w:t xml:space="preserve"> </w:t>
      </w:r>
      <w:r>
        <w:t>recomendado</w:t>
      </w:r>
      <w:r>
        <w:rPr>
          <w:spacing w:val="-2"/>
        </w:rPr>
        <w:t xml:space="preserve"> </w:t>
      </w:r>
      <w:r>
        <w:t>que, entre</w:t>
      </w:r>
      <w:r>
        <w:rPr>
          <w:spacing w:val="-4"/>
        </w:rPr>
        <w:t xml:space="preserve"> </w:t>
      </w:r>
      <w:r>
        <w:t>otras</w:t>
      </w:r>
      <w:r>
        <w:rPr>
          <w:spacing w:val="-4"/>
        </w:rPr>
        <w:t xml:space="preserve"> </w:t>
      </w:r>
      <w:r>
        <w:t>cosas,</w:t>
      </w:r>
      <w:r>
        <w:rPr>
          <w:spacing w:val="-4"/>
        </w:rPr>
        <w:t xml:space="preserve"> </w:t>
      </w:r>
      <w:r>
        <w:t>los</w:t>
      </w:r>
      <w:r>
        <w:rPr>
          <w:spacing w:val="-4"/>
        </w:rPr>
        <w:t xml:space="preserve"> </w:t>
      </w:r>
      <w:r>
        <w:t>Estados</w:t>
      </w:r>
      <w:r>
        <w:rPr>
          <w:spacing w:val="-4"/>
        </w:rPr>
        <w:t xml:space="preserve"> </w:t>
      </w:r>
      <w:r>
        <w:t>elaboren</w:t>
      </w:r>
      <w:r>
        <w:rPr>
          <w:spacing w:val="-4"/>
        </w:rPr>
        <w:t xml:space="preserve"> </w:t>
      </w:r>
      <w:r>
        <w:t>planes</w:t>
      </w:r>
      <w:r>
        <w:rPr>
          <w:spacing w:val="-4"/>
        </w:rPr>
        <w:t xml:space="preserve"> </w:t>
      </w:r>
      <w:r>
        <w:t>de</w:t>
      </w:r>
      <w:r>
        <w:rPr>
          <w:spacing w:val="-4"/>
        </w:rPr>
        <w:t xml:space="preserve"> </w:t>
      </w:r>
      <w:r>
        <w:t>estudios,</w:t>
      </w:r>
      <w:r>
        <w:rPr>
          <w:spacing w:val="-3"/>
        </w:rPr>
        <w:t xml:space="preserve"> </w:t>
      </w:r>
      <w:r>
        <w:t>libros</w:t>
      </w:r>
      <w:r>
        <w:rPr>
          <w:spacing w:val="-4"/>
        </w:rPr>
        <w:t xml:space="preserve"> </w:t>
      </w:r>
      <w:r>
        <w:t>de</w:t>
      </w:r>
      <w:r>
        <w:rPr>
          <w:spacing w:val="-4"/>
        </w:rPr>
        <w:t xml:space="preserve"> </w:t>
      </w:r>
      <w:r>
        <w:t>texto</w:t>
      </w:r>
      <w:r>
        <w:rPr>
          <w:spacing w:val="-4"/>
        </w:rPr>
        <w:t xml:space="preserve"> </w:t>
      </w:r>
      <w:r>
        <w:t>y</w:t>
      </w:r>
      <w:r>
        <w:rPr>
          <w:spacing w:val="-4"/>
        </w:rPr>
        <w:t xml:space="preserve"> </w:t>
      </w:r>
      <w:r>
        <w:t>materiales</w:t>
      </w:r>
      <w:r>
        <w:rPr>
          <w:spacing w:val="-4"/>
        </w:rPr>
        <w:t xml:space="preserve"> </w:t>
      </w:r>
      <w:r>
        <w:t>didácticos</w:t>
      </w:r>
      <w:r>
        <w:rPr>
          <w:spacing w:val="-4"/>
        </w:rPr>
        <w:t xml:space="preserve"> </w:t>
      </w:r>
      <w:r>
        <w:t>no</w:t>
      </w:r>
      <w:r>
        <w:rPr>
          <w:spacing w:val="-4"/>
        </w:rPr>
        <w:t xml:space="preserve"> </w:t>
      </w:r>
      <w:r>
        <w:t>estereotipados</w:t>
      </w:r>
      <w:r>
        <w:rPr>
          <w:spacing w:val="-5"/>
        </w:rPr>
        <w:t xml:space="preserve"> </w:t>
      </w:r>
      <w:r>
        <w:t>para</w:t>
      </w:r>
      <w:r>
        <w:rPr>
          <w:spacing w:val="-4"/>
        </w:rPr>
        <w:t xml:space="preserve"> </w:t>
      </w:r>
      <w:r>
        <w:t>eliminar los</w:t>
      </w:r>
      <w:r>
        <w:rPr>
          <w:spacing w:val="-2"/>
        </w:rPr>
        <w:t xml:space="preserve"> </w:t>
      </w:r>
      <w:r>
        <w:t>estereotipos</w:t>
      </w:r>
      <w:r>
        <w:rPr>
          <w:spacing w:val="-3"/>
        </w:rPr>
        <w:t xml:space="preserve"> </w:t>
      </w:r>
      <w:r>
        <w:t>de</w:t>
      </w:r>
      <w:r>
        <w:rPr>
          <w:spacing w:val="-2"/>
        </w:rPr>
        <w:t xml:space="preserve"> </w:t>
      </w:r>
      <w:r>
        <w:t>género</w:t>
      </w:r>
      <w:r>
        <w:rPr>
          <w:spacing w:val="-2"/>
        </w:rPr>
        <w:t xml:space="preserve"> </w:t>
      </w:r>
      <w:r>
        <w:t>tradicionales</w:t>
      </w:r>
      <w:r>
        <w:rPr>
          <w:spacing w:val="-2"/>
        </w:rPr>
        <w:t xml:space="preserve"> </w:t>
      </w:r>
      <w:r>
        <w:t>que</w:t>
      </w:r>
      <w:r>
        <w:rPr>
          <w:spacing w:val="-2"/>
        </w:rPr>
        <w:t xml:space="preserve"> </w:t>
      </w:r>
      <w:r>
        <w:t>reproducen</w:t>
      </w:r>
      <w:r>
        <w:rPr>
          <w:spacing w:val="-2"/>
        </w:rPr>
        <w:t xml:space="preserve"> </w:t>
      </w:r>
      <w:r>
        <w:t>y</w:t>
      </w:r>
      <w:r>
        <w:rPr>
          <w:spacing w:val="-2"/>
        </w:rPr>
        <w:t xml:space="preserve"> </w:t>
      </w:r>
      <w:r>
        <w:t>refuerzan</w:t>
      </w:r>
      <w:r>
        <w:rPr>
          <w:spacing w:val="-2"/>
        </w:rPr>
        <w:t xml:space="preserve"> </w:t>
      </w:r>
      <w:r>
        <w:t>la</w:t>
      </w:r>
      <w:r>
        <w:rPr>
          <w:spacing w:val="-2"/>
        </w:rPr>
        <w:t xml:space="preserve"> </w:t>
      </w:r>
      <w:r>
        <w:t>discriminación</w:t>
      </w:r>
      <w:r>
        <w:rPr>
          <w:spacing w:val="-2"/>
        </w:rPr>
        <w:t xml:space="preserve"> </w:t>
      </w:r>
      <w:r>
        <w:t>basada</w:t>
      </w:r>
      <w:r>
        <w:rPr>
          <w:spacing w:val="-2"/>
        </w:rPr>
        <w:t xml:space="preserve"> </w:t>
      </w:r>
      <w:r>
        <w:t>en</w:t>
      </w:r>
      <w:r>
        <w:rPr>
          <w:spacing w:val="-2"/>
        </w:rPr>
        <w:t xml:space="preserve"> </w:t>
      </w:r>
      <w:r>
        <w:t>el</w:t>
      </w:r>
      <w:r>
        <w:rPr>
          <w:spacing w:val="-2"/>
        </w:rPr>
        <w:t xml:space="preserve"> </w:t>
      </w:r>
      <w:r>
        <w:t>género</w:t>
      </w:r>
      <w:r>
        <w:rPr>
          <w:spacing w:val="-2"/>
        </w:rPr>
        <w:t xml:space="preserve"> </w:t>
      </w:r>
      <w:r>
        <w:t>contra</w:t>
      </w:r>
      <w:r>
        <w:rPr>
          <w:spacing w:val="-2"/>
        </w:rPr>
        <w:t xml:space="preserve"> </w:t>
      </w:r>
      <w:r>
        <w:t>las</w:t>
      </w:r>
      <w:r>
        <w:rPr>
          <w:spacing w:val="-2"/>
        </w:rPr>
        <w:t xml:space="preserve"> </w:t>
      </w:r>
      <w:r>
        <w:t>niñas</w:t>
      </w:r>
      <w:r>
        <w:rPr>
          <w:spacing w:val="-2"/>
        </w:rPr>
        <w:t xml:space="preserve"> </w:t>
      </w:r>
      <w:r>
        <w:t>y</w:t>
      </w:r>
      <w:r>
        <w:rPr>
          <w:spacing w:val="-2"/>
        </w:rPr>
        <w:t xml:space="preserve"> </w:t>
      </w:r>
      <w:r>
        <w:t>las mujeres</w:t>
      </w:r>
      <w:r>
        <w:rPr>
          <w:spacing w:val="-8"/>
        </w:rPr>
        <w:t xml:space="preserve"> </w:t>
      </w:r>
      <w:r>
        <w:t>y</w:t>
      </w:r>
      <w:r>
        <w:rPr>
          <w:spacing w:val="-8"/>
        </w:rPr>
        <w:t xml:space="preserve"> </w:t>
      </w:r>
      <w:r>
        <w:t>para</w:t>
      </w:r>
      <w:r>
        <w:rPr>
          <w:spacing w:val="-8"/>
        </w:rPr>
        <w:t xml:space="preserve"> </w:t>
      </w:r>
      <w:r>
        <w:t>promover</w:t>
      </w:r>
      <w:r>
        <w:rPr>
          <w:spacing w:val="-8"/>
        </w:rPr>
        <w:t xml:space="preserve"> </w:t>
      </w:r>
      <w:r>
        <w:t>programas</w:t>
      </w:r>
      <w:r>
        <w:rPr>
          <w:spacing w:val="-8"/>
        </w:rPr>
        <w:t xml:space="preserve"> </w:t>
      </w:r>
      <w:r>
        <w:t>más</w:t>
      </w:r>
      <w:r>
        <w:rPr>
          <w:spacing w:val="-8"/>
        </w:rPr>
        <w:t xml:space="preserve"> </w:t>
      </w:r>
      <w:r>
        <w:t>equilibrados,</w:t>
      </w:r>
      <w:r>
        <w:rPr>
          <w:spacing w:val="-8"/>
        </w:rPr>
        <w:t xml:space="preserve"> </w:t>
      </w:r>
      <w:r>
        <w:t>precisos</w:t>
      </w:r>
      <w:r>
        <w:rPr>
          <w:spacing w:val="-8"/>
        </w:rPr>
        <w:t xml:space="preserve"> </w:t>
      </w:r>
      <w:r>
        <w:t>y</w:t>
      </w:r>
      <w:r>
        <w:rPr>
          <w:spacing w:val="-8"/>
        </w:rPr>
        <w:t xml:space="preserve"> </w:t>
      </w:r>
      <w:r>
        <w:t>saludables.</w:t>
      </w:r>
      <w:r>
        <w:rPr>
          <w:spacing w:val="-8"/>
        </w:rPr>
        <w:t xml:space="preserve"> </w:t>
      </w:r>
      <w:r>
        <w:t>y</w:t>
      </w:r>
      <w:r>
        <w:rPr>
          <w:spacing w:val="-8"/>
        </w:rPr>
        <w:t xml:space="preserve"> </w:t>
      </w:r>
      <w:r>
        <w:t>proyecciones</w:t>
      </w:r>
      <w:r>
        <w:rPr>
          <w:spacing w:val="-8"/>
        </w:rPr>
        <w:t xml:space="preserve"> </w:t>
      </w:r>
      <w:r>
        <w:t>positivas</w:t>
      </w:r>
      <w:r>
        <w:rPr>
          <w:spacing w:val="-8"/>
        </w:rPr>
        <w:t xml:space="preserve"> </w:t>
      </w:r>
      <w:r>
        <w:t>de</w:t>
      </w:r>
      <w:r>
        <w:rPr>
          <w:spacing w:val="-8"/>
        </w:rPr>
        <w:t xml:space="preserve"> </w:t>
      </w:r>
      <w:r>
        <w:t>las</w:t>
      </w:r>
      <w:r>
        <w:rPr>
          <w:spacing w:val="-8"/>
        </w:rPr>
        <w:t xml:space="preserve"> </w:t>
      </w:r>
      <w:r>
        <w:t>imágenes</w:t>
      </w:r>
      <w:r>
        <w:rPr>
          <w:spacing w:val="-8"/>
        </w:rPr>
        <w:t xml:space="preserve"> </w:t>
      </w:r>
      <w:r>
        <w:t>y</w:t>
      </w:r>
      <w:r>
        <w:rPr>
          <w:spacing w:val="-8"/>
        </w:rPr>
        <w:t xml:space="preserve"> </w:t>
      </w:r>
      <w:r>
        <w:t>voces</w:t>
      </w:r>
      <w:r>
        <w:rPr>
          <w:spacing w:val="-8"/>
        </w:rPr>
        <w:t xml:space="preserve"> </w:t>
      </w:r>
      <w:r>
        <w:t>de mujeres y niñas”.1255</w:t>
      </w:r>
    </w:p>
    <w:p w14:paraId="68E25CC5" w14:textId="77777777" w:rsidR="0014798C" w:rsidRDefault="0014798C">
      <w:pPr>
        <w:pStyle w:val="Textoindependiente"/>
        <w:spacing w:before="76"/>
        <w:rPr>
          <w:sz w:val="23"/>
        </w:rPr>
      </w:pPr>
    </w:p>
    <w:p w14:paraId="4F0DD239" w14:textId="77777777" w:rsidR="0014798C" w:rsidRDefault="004E1F0B">
      <w:pPr>
        <w:numPr>
          <w:ilvl w:val="1"/>
          <w:numId w:val="5"/>
        </w:numPr>
        <w:tabs>
          <w:tab w:val="left" w:pos="1410"/>
        </w:tabs>
        <w:ind w:left="1410" w:hanging="290"/>
        <w:rPr>
          <w:color w:val="FBB315"/>
          <w:sz w:val="23"/>
        </w:rPr>
      </w:pPr>
      <w:r>
        <w:rPr>
          <w:color w:val="FBB315"/>
          <w:sz w:val="23"/>
        </w:rPr>
        <w:t>Medios</w:t>
      </w:r>
      <w:r>
        <w:rPr>
          <w:color w:val="FBB315"/>
          <w:spacing w:val="-11"/>
          <w:sz w:val="23"/>
        </w:rPr>
        <w:t xml:space="preserve"> </w:t>
      </w:r>
      <w:r>
        <w:rPr>
          <w:color w:val="FBB315"/>
          <w:sz w:val="23"/>
        </w:rPr>
        <w:t>de</w:t>
      </w:r>
      <w:r>
        <w:rPr>
          <w:color w:val="FBB315"/>
          <w:spacing w:val="-10"/>
          <w:sz w:val="23"/>
        </w:rPr>
        <w:t xml:space="preserve"> </w:t>
      </w:r>
      <w:r>
        <w:rPr>
          <w:color w:val="FBB315"/>
          <w:sz w:val="23"/>
        </w:rPr>
        <w:t>comunicación</w:t>
      </w:r>
      <w:r>
        <w:rPr>
          <w:color w:val="FBB315"/>
          <w:spacing w:val="-10"/>
          <w:sz w:val="23"/>
        </w:rPr>
        <w:t xml:space="preserve"> </w:t>
      </w:r>
      <w:r>
        <w:rPr>
          <w:color w:val="FBB315"/>
          <w:sz w:val="23"/>
        </w:rPr>
        <w:t>y</w:t>
      </w:r>
      <w:r>
        <w:rPr>
          <w:color w:val="FBB315"/>
          <w:spacing w:val="-11"/>
          <w:sz w:val="23"/>
        </w:rPr>
        <w:t xml:space="preserve"> </w:t>
      </w:r>
      <w:r>
        <w:rPr>
          <w:color w:val="FBB315"/>
          <w:spacing w:val="-2"/>
          <w:sz w:val="23"/>
        </w:rPr>
        <w:t>sensibilización</w:t>
      </w:r>
    </w:p>
    <w:p w14:paraId="6046BAAF" w14:textId="77777777" w:rsidR="0014798C" w:rsidRDefault="0014798C">
      <w:pPr>
        <w:pStyle w:val="Textoindependiente"/>
        <w:spacing w:before="59"/>
      </w:pPr>
    </w:p>
    <w:p w14:paraId="1474AD95" w14:textId="77777777" w:rsidR="0014798C" w:rsidRDefault="004E1F0B">
      <w:pPr>
        <w:pStyle w:val="Textoindependiente"/>
        <w:spacing w:before="1" w:line="326" w:lineRule="auto"/>
        <w:ind w:left="1107" w:right="1272" w:firstLine="2"/>
      </w:pPr>
      <w:r>
        <w:t>Más</w:t>
      </w:r>
      <w:r>
        <w:rPr>
          <w:spacing w:val="-8"/>
        </w:rPr>
        <w:t xml:space="preserve"> </w:t>
      </w:r>
      <w:r>
        <w:t>allá</w:t>
      </w:r>
      <w:r>
        <w:rPr>
          <w:spacing w:val="-8"/>
        </w:rPr>
        <w:t xml:space="preserve"> </w:t>
      </w:r>
      <w:r>
        <w:t>del</w:t>
      </w:r>
      <w:r>
        <w:rPr>
          <w:spacing w:val="-8"/>
        </w:rPr>
        <w:t xml:space="preserve"> </w:t>
      </w:r>
      <w:r>
        <w:t>sistema</w:t>
      </w:r>
      <w:r>
        <w:rPr>
          <w:spacing w:val="-8"/>
        </w:rPr>
        <w:t xml:space="preserve"> </w:t>
      </w:r>
      <w:r>
        <w:t>educativo</w:t>
      </w:r>
      <w:r>
        <w:rPr>
          <w:spacing w:val="-8"/>
        </w:rPr>
        <w:t xml:space="preserve"> </w:t>
      </w:r>
      <w:r>
        <w:t>formal,</w:t>
      </w:r>
      <w:r>
        <w:rPr>
          <w:spacing w:val="-8"/>
        </w:rPr>
        <w:t xml:space="preserve"> </w:t>
      </w:r>
      <w:r>
        <w:t>el</w:t>
      </w:r>
      <w:r>
        <w:rPr>
          <w:spacing w:val="-8"/>
        </w:rPr>
        <w:t xml:space="preserve"> </w:t>
      </w:r>
      <w:r>
        <w:t>deber</w:t>
      </w:r>
      <w:r>
        <w:rPr>
          <w:spacing w:val="-8"/>
        </w:rPr>
        <w:t xml:space="preserve"> </w:t>
      </w:r>
      <w:r>
        <w:t>de</w:t>
      </w:r>
      <w:r>
        <w:rPr>
          <w:spacing w:val="-8"/>
        </w:rPr>
        <w:t xml:space="preserve"> </w:t>
      </w:r>
      <w:r>
        <w:t>los</w:t>
      </w:r>
      <w:r>
        <w:rPr>
          <w:spacing w:val="-8"/>
        </w:rPr>
        <w:t xml:space="preserve"> </w:t>
      </w:r>
      <w:r>
        <w:t>Estados</w:t>
      </w:r>
      <w:r>
        <w:rPr>
          <w:spacing w:val="-8"/>
        </w:rPr>
        <w:t xml:space="preserve"> </w:t>
      </w:r>
      <w:r>
        <w:t>de</w:t>
      </w:r>
      <w:r>
        <w:rPr>
          <w:spacing w:val="-8"/>
        </w:rPr>
        <w:t xml:space="preserve"> </w:t>
      </w:r>
      <w:r>
        <w:t>eliminar</w:t>
      </w:r>
      <w:r>
        <w:rPr>
          <w:spacing w:val="-8"/>
        </w:rPr>
        <w:t xml:space="preserve"> </w:t>
      </w:r>
      <w:r>
        <w:t>la</w:t>
      </w:r>
      <w:r>
        <w:rPr>
          <w:spacing w:val="-8"/>
        </w:rPr>
        <w:t xml:space="preserve"> </w:t>
      </w:r>
      <w:r>
        <w:t>discriminación</w:t>
      </w:r>
      <w:r>
        <w:rPr>
          <w:spacing w:val="-8"/>
        </w:rPr>
        <w:t xml:space="preserve"> </w:t>
      </w:r>
      <w:r>
        <w:t>abordando</w:t>
      </w:r>
      <w:r>
        <w:rPr>
          <w:spacing w:val="-8"/>
        </w:rPr>
        <w:t xml:space="preserve"> </w:t>
      </w:r>
      <w:r>
        <w:t>los</w:t>
      </w:r>
      <w:r>
        <w:rPr>
          <w:spacing w:val="-8"/>
        </w:rPr>
        <w:t xml:space="preserve"> </w:t>
      </w:r>
      <w:r>
        <w:t>factores</w:t>
      </w:r>
      <w:r>
        <w:rPr>
          <w:spacing w:val="-8"/>
        </w:rPr>
        <w:t xml:space="preserve"> </w:t>
      </w:r>
      <w:r>
        <w:t>sociales</w:t>
      </w:r>
      <w:r>
        <w:rPr>
          <w:spacing w:val="-8"/>
        </w:rPr>
        <w:t xml:space="preserve"> </w:t>
      </w:r>
      <w:r>
        <w:t>genera obligaciones de influir en las percepciones del público a través de los medios de comunicación y de esfuerzos más amplios de educación pública y sensibilización.</w:t>
      </w:r>
    </w:p>
    <w:p w14:paraId="5B33F715" w14:textId="77777777" w:rsidR="0014798C" w:rsidRDefault="004E1F0B">
      <w:pPr>
        <w:pStyle w:val="Textoindependiente"/>
        <w:spacing w:before="168" w:line="326" w:lineRule="auto"/>
        <w:ind w:left="1103" w:right="1378" w:firstLine="4"/>
      </w:pPr>
      <w:r>
        <w:t>En</w:t>
      </w:r>
      <w:r>
        <w:rPr>
          <w:spacing w:val="-3"/>
        </w:rPr>
        <w:t xml:space="preserve"> </w:t>
      </w:r>
      <w:r>
        <w:t>su</w:t>
      </w:r>
      <w:r>
        <w:rPr>
          <w:spacing w:val="-3"/>
        </w:rPr>
        <w:t xml:space="preserve"> </w:t>
      </w:r>
      <w:r>
        <w:t>recomendación</w:t>
      </w:r>
      <w:r>
        <w:rPr>
          <w:spacing w:val="-3"/>
        </w:rPr>
        <w:t xml:space="preserve"> </w:t>
      </w:r>
      <w:r>
        <w:t>general</w:t>
      </w:r>
      <w:r>
        <w:rPr>
          <w:spacing w:val="-3"/>
        </w:rPr>
        <w:t xml:space="preserve"> </w:t>
      </w:r>
      <w:r>
        <w:t>núm.</w:t>
      </w:r>
      <w:r>
        <w:rPr>
          <w:spacing w:val="-3"/>
        </w:rPr>
        <w:t xml:space="preserve"> </w:t>
      </w:r>
      <w:r>
        <w:t>28</w:t>
      </w:r>
      <w:r>
        <w:rPr>
          <w:spacing w:val="-3"/>
        </w:rPr>
        <w:t xml:space="preserve"> </w:t>
      </w:r>
      <w:r>
        <w:t>(2010),</w:t>
      </w:r>
      <w:r>
        <w:rPr>
          <w:spacing w:val="-3"/>
        </w:rPr>
        <w:t xml:space="preserve"> </w:t>
      </w:r>
      <w:r>
        <w:t>el</w:t>
      </w:r>
      <w:r>
        <w:rPr>
          <w:spacing w:val="-3"/>
        </w:rPr>
        <w:t xml:space="preserve"> </w:t>
      </w:r>
      <w:r>
        <w:t>Comité</w:t>
      </w:r>
      <w:r>
        <w:rPr>
          <w:spacing w:val="-3"/>
        </w:rPr>
        <w:t xml:space="preserve"> </w:t>
      </w:r>
      <w:r>
        <w:t>para</w:t>
      </w:r>
      <w:r>
        <w:rPr>
          <w:spacing w:val="-3"/>
        </w:rPr>
        <w:t xml:space="preserve"> </w:t>
      </w:r>
      <w:r>
        <w:t>la</w:t>
      </w:r>
      <w:r>
        <w:rPr>
          <w:spacing w:val="-3"/>
        </w:rPr>
        <w:t xml:space="preserve"> </w:t>
      </w:r>
      <w:r>
        <w:t>Eliminación</w:t>
      </w:r>
      <w:r>
        <w:rPr>
          <w:spacing w:val="-3"/>
        </w:rPr>
        <w:t xml:space="preserve"> </w:t>
      </w:r>
      <w:r>
        <w:t>de</w:t>
      </w:r>
      <w:r>
        <w:rPr>
          <w:spacing w:val="-3"/>
        </w:rPr>
        <w:t xml:space="preserve"> </w:t>
      </w:r>
      <w:r>
        <w:t>la</w:t>
      </w:r>
      <w:r>
        <w:rPr>
          <w:spacing w:val="-3"/>
        </w:rPr>
        <w:t xml:space="preserve"> </w:t>
      </w:r>
      <w:r>
        <w:t>Discriminación</w:t>
      </w:r>
      <w:r>
        <w:rPr>
          <w:spacing w:val="-3"/>
        </w:rPr>
        <w:t xml:space="preserve"> </w:t>
      </w:r>
      <w:r>
        <w:t>contra</w:t>
      </w:r>
      <w:r>
        <w:rPr>
          <w:spacing w:val="-3"/>
        </w:rPr>
        <w:t xml:space="preserve"> </w:t>
      </w:r>
      <w:r>
        <w:t>la</w:t>
      </w:r>
      <w:r>
        <w:rPr>
          <w:spacing w:val="-3"/>
        </w:rPr>
        <w:t xml:space="preserve"> </w:t>
      </w:r>
      <w:r>
        <w:t>Mujer</w:t>
      </w:r>
      <w:r>
        <w:rPr>
          <w:spacing w:val="-3"/>
        </w:rPr>
        <w:t xml:space="preserve"> </w:t>
      </w:r>
      <w:r>
        <w:t>señaló</w:t>
      </w:r>
      <w:r>
        <w:rPr>
          <w:spacing w:val="-3"/>
        </w:rPr>
        <w:t xml:space="preserve"> </w:t>
      </w:r>
      <w:r>
        <w:t>que, además</w:t>
      </w:r>
      <w:r>
        <w:rPr>
          <w:spacing w:val="-9"/>
        </w:rPr>
        <w:t xml:space="preserve"> </w:t>
      </w:r>
      <w:r>
        <w:t>de</w:t>
      </w:r>
      <w:r>
        <w:rPr>
          <w:spacing w:val="-9"/>
        </w:rPr>
        <w:t xml:space="preserve"> </w:t>
      </w:r>
      <w:r>
        <w:t>las</w:t>
      </w:r>
      <w:r>
        <w:rPr>
          <w:spacing w:val="-9"/>
        </w:rPr>
        <w:t xml:space="preserve"> </w:t>
      </w:r>
      <w:r>
        <w:t>obligaciones</w:t>
      </w:r>
      <w:r>
        <w:rPr>
          <w:spacing w:val="-9"/>
        </w:rPr>
        <w:t xml:space="preserve"> </w:t>
      </w:r>
      <w:r>
        <w:t>específicas</w:t>
      </w:r>
      <w:r>
        <w:rPr>
          <w:spacing w:val="-9"/>
        </w:rPr>
        <w:t xml:space="preserve"> </w:t>
      </w:r>
      <w:r>
        <w:t>derivadas</w:t>
      </w:r>
      <w:r>
        <w:rPr>
          <w:spacing w:val="-9"/>
        </w:rPr>
        <w:t xml:space="preserve"> </w:t>
      </w:r>
      <w:r>
        <w:t>del</w:t>
      </w:r>
      <w:r>
        <w:rPr>
          <w:spacing w:val="-9"/>
        </w:rPr>
        <w:t xml:space="preserve"> </w:t>
      </w:r>
      <w:r>
        <w:t>artículo</w:t>
      </w:r>
      <w:r>
        <w:rPr>
          <w:spacing w:val="-9"/>
        </w:rPr>
        <w:t xml:space="preserve"> </w:t>
      </w:r>
      <w:r>
        <w:t>5,</w:t>
      </w:r>
      <w:r>
        <w:rPr>
          <w:spacing w:val="-9"/>
        </w:rPr>
        <w:t xml:space="preserve"> </w:t>
      </w:r>
      <w:r>
        <w:t>los</w:t>
      </w:r>
      <w:r>
        <w:rPr>
          <w:spacing w:val="-9"/>
        </w:rPr>
        <w:t xml:space="preserve"> </w:t>
      </w:r>
      <w:r>
        <w:t>Estados</w:t>
      </w:r>
      <w:r>
        <w:rPr>
          <w:spacing w:val="-9"/>
        </w:rPr>
        <w:t xml:space="preserve"> </w:t>
      </w:r>
      <w:r>
        <w:t>tenían</w:t>
      </w:r>
      <w:r>
        <w:rPr>
          <w:spacing w:val="-9"/>
        </w:rPr>
        <w:t xml:space="preserve"> </w:t>
      </w:r>
      <w:r>
        <w:t>obligaciones</w:t>
      </w:r>
      <w:r>
        <w:rPr>
          <w:spacing w:val="-9"/>
        </w:rPr>
        <w:t xml:space="preserve"> </w:t>
      </w:r>
      <w:r>
        <w:t>de</w:t>
      </w:r>
      <w:r>
        <w:rPr>
          <w:spacing w:val="-9"/>
        </w:rPr>
        <w:t xml:space="preserve"> </w:t>
      </w:r>
      <w:r>
        <w:t>sensibilización</w:t>
      </w:r>
      <w:r>
        <w:rPr>
          <w:spacing w:val="-9"/>
        </w:rPr>
        <w:t xml:space="preserve"> </w:t>
      </w:r>
      <w:r>
        <w:t>en</w:t>
      </w:r>
      <w:r>
        <w:rPr>
          <w:spacing w:val="-9"/>
        </w:rPr>
        <w:t xml:space="preserve"> </w:t>
      </w:r>
      <w:r>
        <w:t>relación</w:t>
      </w:r>
      <w:r>
        <w:rPr>
          <w:spacing w:val="-9"/>
        </w:rPr>
        <w:t xml:space="preserve"> </w:t>
      </w:r>
      <w:r>
        <w:t>con la</w:t>
      </w:r>
      <w:r>
        <w:rPr>
          <w:spacing w:val="-1"/>
        </w:rPr>
        <w:t xml:space="preserve"> </w:t>
      </w:r>
      <w:r>
        <w:t>obligación</w:t>
      </w:r>
      <w:r>
        <w:rPr>
          <w:spacing w:val="-1"/>
        </w:rPr>
        <w:t xml:space="preserve"> </w:t>
      </w:r>
      <w:r>
        <w:t>prevista</w:t>
      </w:r>
      <w:r>
        <w:rPr>
          <w:spacing w:val="-1"/>
        </w:rPr>
        <w:t xml:space="preserve"> </w:t>
      </w:r>
      <w:r>
        <w:t>en</w:t>
      </w:r>
      <w:r>
        <w:rPr>
          <w:spacing w:val="-1"/>
        </w:rPr>
        <w:t xml:space="preserve"> </w:t>
      </w:r>
      <w:r>
        <w:t>el</w:t>
      </w:r>
      <w:r>
        <w:rPr>
          <w:spacing w:val="-1"/>
        </w:rPr>
        <w:t xml:space="preserve"> </w:t>
      </w:r>
      <w:r>
        <w:t>artículo</w:t>
      </w:r>
      <w:r>
        <w:rPr>
          <w:spacing w:val="-1"/>
        </w:rPr>
        <w:t xml:space="preserve"> </w:t>
      </w:r>
      <w:r>
        <w:t>2</w:t>
      </w:r>
      <w:r>
        <w:rPr>
          <w:spacing w:val="-1"/>
        </w:rPr>
        <w:t xml:space="preserve"> </w:t>
      </w:r>
      <w:r>
        <w:t>de</w:t>
      </w:r>
      <w:r>
        <w:rPr>
          <w:spacing w:val="-1"/>
        </w:rPr>
        <w:t xml:space="preserve"> </w:t>
      </w:r>
      <w:r>
        <w:t>“</w:t>
      </w:r>
      <w:r>
        <w:rPr>
          <w:spacing w:val="-1"/>
        </w:rPr>
        <w:t xml:space="preserve"> </w:t>
      </w:r>
      <w:r>
        <w:t>tomar</w:t>
      </w:r>
      <w:r>
        <w:rPr>
          <w:spacing w:val="-1"/>
        </w:rPr>
        <w:t xml:space="preserve"> </w:t>
      </w:r>
      <w:r>
        <w:t>todas</w:t>
      </w:r>
      <w:r>
        <w:rPr>
          <w:spacing w:val="-1"/>
        </w:rPr>
        <w:t xml:space="preserve"> </w:t>
      </w:r>
      <w:r>
        <w:t>las</w:t>
      </w:r>
      <w:r>
        <w:rPr>
          <w:spacing w:val="-1"/>
        </w:rPr>
        <w:t xml:space="preserve"> </w:t>
      </w:r>
      <w:r>
        <w:t>medidas</w:t>
      </w:r>
      <w:r>
        <w:rPr>
          <w:spacing w:val="-1"/>
        </w:rPr>
        <w:t xml:space="preserve"> </w:t>
      </w:r>
      <w:r>
        <w:t>apropiadas</w:t>
      </w:r>
      <w:r>
        <w:rPr>
          <w:spacing w:val="-1"/>
        </w:rPr>
        <w:t xml:space="preserve"> </w:t>
      </w:r>
      <w:r>
        <w:t>para</w:t>
      </w:r>
      <w:r>
        <w:rPr>
          <w:spacing w:val="-1"/>
        </w:rPr>
        <w:t xml:space="preserve"> </w:t>
      </w:r>
      <w:r>
        <w:t>eliminar</w:t>
      </w:r>
      <w:r>
        <w:rPr>
          <w:spacing w:val="-1"/>
        </w:rPr>
        <w:t xml:space="preserve"> </w:t>
      </w:r>
      <w:r>
        <w:t>la</w:t>
      </w:r>
      <w:r>
        <w:rPr>
          <w:spacing w:val="-1"/>
        </w:rPr>
        <w:t xml:space="preserve"> </w:t>
      </w:r>
      <w:r>
        <w:t>discriminación</w:t>
      </w:r>
      <w:r>
        <w:rPr>
          <w:spacing w:val="-1"/>
        </w:rPr>
        <w:t xml:space="preserve"> </w:t>
      </w:r>
      <w:r>
        <w:t>contra</w:t>
      </w:r>
      <w:r>
        <w:rPr>
          <w:spacing w:val="-1"/>
        </w:rPr>
        <w:t xml:space="preserve"> </w:t>
      </w:r>
      <w:r>
        <w:t>la</w:t>
      </w:r>
      <w:r>
        <w:rPr>
          <w:spacing w:val="-1"/>
        </w:rPr>
        <w:t xml:space="preserve"> </w:t>
      </w:r>
      <w:r>
        <w:t>mujer</w:t>
      </w:r>
      <w:r>
        <w:rPr>
          <w:spacing w:val="-1"/>
        </w:rPr>
        <w:t xml:space="preserve"> </w:t>
      </w:r>
      <w:r>
        <w:t>por parte</w:t>
      </w:r>
      <w:r>
        <w:rPr>
          <w:spacing w:val="-6"/>
        </w:rPr>
        <w:t xml:space="preserve"> </w:t>
      </w:r>
      <w:r>
        <w:t>de</w:t>
      </w:r>
      <w:r>
        <w:rPr>
          <w:spacing w:val="-6"/>
        </w:rPr>
        <w:t xml:space="preserve"> </w:t>
      </w:r>
      <w:r>
        <w:t>cualquier</w:t>
      </w:r>
      <w:r>
        <w:rPr>
          <w:spacing w:val="-6"/>
        </w:rPr>
        <w:t xml:space="preserve"> </w:t>
      </w:r>
      <w:r>
        <w:t>persona,</w:t>
      </w:r>
      <w:r>
        <w:rPr>
          <w:spacing w:val="-5"/>
        </w:rPr>
        <w:t xml:space="preserve"> </w:t>
      </w:r>
      <w:r>
        <w:t>organización</w:t>
      </w:r>
      <w:r>
        <w:rPr>
          <w:spacing w:val="-6"/>
        </w:rPr>
        <w:t xml:space="preserve"> </w:t>
      </w:r>
      <w:r>
        <w:t>o</w:t>
      </w:r>
      <w:r>
        <w:rPr>
          <w:spacing w:val="-6"/>
        </w:rPr>
        <w:t xml:space="preserve"> </w:t>
      </w:r>
      <w:r>
        <w:t>empresa”.1256</w:t>
      </w:r>
      <w:r>
        <w:rPr>
          <w:spacing w:val="-6"/>
        </w:rPr>
        <w:t xml:space="preserve"> </w:t>
      </w:r>
      <w:r>
        <w:t>Específicamente,</w:t>
      </w:r>
      <w:r>
        <w:rPr>
          <w:spacing w:val="-5"/>
        </w:rPr>
        <w:t xml:space="preserve"> </w:t>
      </w:r>
      <w:r>
        <w:t>el</w:t>
      </w:r>
      <w:r>
        <w:rPr>
          <w:spacing w:val="-6"/>
        </w:rPr>
        <w:t xml:space="preserve"> </w:t>
      </w:r>
      <w:r>
        <w:t>Comité</w:t>
      </w:r>
      <w:r>
        <w:rPr>
          <w:spacing w:val="-6"/>
        </w:rPr>
        <w:t xml:space="preserve"> </w:t>
      </w:r>
      <w:r>
        <w:t>declaró</w:t>
      </w:r>
      <w:r>
        <w:rPr>
          <w:spacing w:val="-6"/>
        </w:rPr>
        <w:t xml:space="preserve"> </w:t>
      </w:r>
      <w:r>
        <w:t>que</w:t>
      </w:r>
      <w:r>
        <w:rPr>
          <w:spacing w:val="-6"/>
        </w:rPr>
        <w:t xml:space="preserve"> </w:t>
      </w:r>
      <w:r>
        <w:t>los</w:t>
      </w:r>
      <w:r>
        <w:rPr>
          <w:spacing w:val="-6"/>
        </w:rPr>
        <w:t xml:space="preserve"> </w:t>
      </w:r>
      <w:r>
        <w:t>Estados</w:t>
      </w:r>
      <w:r>
        <w:rPr>
          <w:spacing w:val="-6"/>
        </w:rPr>
        <w:t xml:space="preserve"> </w:t>
      </w:r>
      <w:r>
        <w:t>deberían</w:t>
      </w:r>
      <w:r>
        <w:rPr>
          <w:spacing w:val="-6"/>
        </w:rPr>
        <w:t xml:space="preserve"> </w:t>
      </w:r>
      <w:r>
        <w:t>incluir</w:t>
      </w:r>
      <w:r>
        <w:rPr>
          <w:spacing w:val="-6"/>
        </w:rPr>
        <w:t xml:space="preserve"> </w:t>
      </w:r>
      <w:r>
        <w:t>“a todos</w:t>
      </w:r>
      <w:r>
        <w:rPr>
          <w:spacing w:val="-8"/>
        </w:rPr>
        <w:t xml:space="preserve"> </w:t>
      </w:r>
      <w:r>
        <w:t>los</w:t>
      </w:r>
      <w:r>
        <w:rPr>
          <w:spacing w:val="-8"/>
        </w:rPr>
        <w:t xml:space="preserve"> </w:t>
      </w:r>
      <w:r>
        <w:t>medios</w:t>
      </w:r>
      <w:r>
        <w:rPr>
          <w:spacing w:val="-8"/>
        </w:rPr>
        <w:t xml:space="preserve"> </w:t>
      </w:r>
      <w:r>
        <w:t>de</w:t>
      </w:r>
      <w:r>
        <w:rPr>
          <w:spacing w:val="-8"/>
        </w:rPr>
        <w:t xml:space="preserve"> </w:t>
      </w:r>
      <w:r>
        <w:t>comunicación</w:t>
      </w:r>
      <w:r>
        <w:rPr>
          <w:spacing w:val="-8"/>
        </w:rPr>
        <w:t xml:space="preserve"> </w:t>
      </w:r>
      <w:r>
        <w:t>en</w:t>
      </w:r>
      <w:r>
        <w:rPr>
          <w:spacing w:val="-8"/>
        </w:rPr>
        <w:t xml:space="preserve"> </w:t>
      </w:r>
      <w:r>
        <w:t>los</w:t>
      </w:r>
      <w:r>
        <w:rPr>
          <w:spacing w:val="-8"/>
        </w:rPr>
        <w:t xml:space="preserve"> </w:t>
      </w:r>
      <w:r>
        <w:t>programas</w:t>
      </w:r>
      <w:r>
        <w:rPr>
          <w:spacing w:val="-8"/>
        </w:rPr>
        <w:t xml:space="preserve"> </w:t>
      </w:r>
      <w:r>
        <w:t>de</w:t>
      </w:r>
      <w:r>
        <w:rPr>
          <w:spacing w:val="-8"/>
        </w:rPr>
        <w:t xml:space="preserve"> </w:t>
      </w:r>
      <w:r>
        <w:t>educación</w:t>
      </w:r>
      <w:r>
        <w:rPr>
          <w:spacing w:val="-8"/>
        </w:rPr>
        <w:t xml:space="preserve"> </w:t>
      </w:r>
      <w:r>
        <w:t>pública</w:t>
      </w:r>
      <w:r>
        <w:rPr>
          <w:spacing w:val="-8"/>
        </w:rPr>
        <w:t xml:space="preserve"> </w:t>
      </w:r>
      <w:r>
        <w:t>sobre</w:t>
      </w:r>
      <w:r>
        <w:rPr>
          <w:spacing w:val="-8"/>
        </w:rPr>
        <w:t xml:space="preserve"> </w:t>
      </w:r>
      <w:r>
        <w:t>la</w:t>
      </w:r>
      <w:r>
        <w:rPr>
          <w:spacing w:val="-8"/>
        </w:rPr>
        <w:t xml:space="preserve"> </w:t>
      </w:r>
      <w:r>
        <w:t>igualdad</w:t>
      </w:r>
      <w:r>
        <w:rPr>
          <w:spacing w:val="-8"/>
        </w:rPr>
        <w:t xml:space="preserve"> </w:t>
      </w:r>
      <w:r>
        <w:t>entre</w:t>
      </w:r>
      <w:r>
        <w:rPr>
          <w:spacing w:val="-8"/>
        </w:rPr>
        <w:t xml:space="preserve"> </w:t>
      </w:r>
      <w:r>
        <w:t>mujeres</w:t>
      </w:r>
      <w:r>
        <w:rPr>
          <w:spacing w:val="-8"/>
        </w:rPr>
        <w:t xml:space="preserve"> </w:t>
      </w:r>
      <w:r>
        <w:t>y</w:t>
      </w:r>
      <w:r>
        <w:rPr>
          <w:spacing w:val="-8"/>
        </w:rPr>
        <w:t xml:space="preserve"> </w:t>
      </w:r>
      <w:r>
        <w:t>hombres,</w:t>
      </w:r>
      <w:r>
        <w:rPr>
          <w:spacing w:val="-7"/>
        </w:rPr>
        <w:t xml:space="preserve"> </w:t>
      </w:r>
      <w:r>
        <w:t>y</w:t>
      </w:r>
      <w:r>
        <w:rPr>
          <w:spacing w:val="-8"/>
        </w:rPr>
        <w:t xml:space="preserve"> </w:t>
      </w:r>
      <w:r>
        <w:t>garantizar en</w:t>
      </w:r>
      <w:r>
        <w:rPr>
          <w:spacing w:val="-4"/>
        </w:rPr>
        <w:t xml:space="preserve"> </w:t>
      </w:r>
      <w:r>
        <w:t>particular</w:t>
      </w:r>
      <w:r>
        <w:rPr>
          <w:spacing w:val="-4"/>
        </w:rPr>
        <w:t xml:space="preserve"> </w:t>
      </w:r>
      <w:r>
        <w:t>que</w:t>
      </w:r>
      <w:r>
        <w:rPr>
          <w:spacing w:val="-4"/>
        </w:rPr>
        <w:t xml:space="preserve"> </w:t>
      </w:r>
      <w:r>
        <w:t>las</w:t>
      </w:r>
      <w:r>
        <w:rPr>
          <w:spacing w:val="-4"/>
        </w:rPr>
        <w:t xml:space="preserve"> </w:t>
      </w:r>
      <w:r>
        <w:t>mujeres</w:t>
      </w:r>
      <w:r>
        <w:rPr>
          <w:spacing w:val="-4"/>
        </w:rPr>
        <w:t xml:space="preserve"> </w:t>
      </w:r>
      <w:r>
        <w:t>sean</w:t>
      </w:r>
      <w:r>
        <w:rPr>
          <w:spacing w:val="-4"/>
        </w:rPr>
        <w:t xml:space="preserve"> </w:t>
      </w:r>
      <w:r>
        <w:t>conscientes</w:t>
      </w:r>
      <w:r>
        <w:rPr>
          <w:spacing w:val="-4"/>
        </w:rPr>
        <w:t xml:space="preserve"> </w:t>
      </w:r>
      <w:r>
        <w:t>de</w:t>
      </w:r>
      <w:r>
        <w:rPr>
          <w:spacing w:val="-4"/>
        </w:rPr>
        <w:t xml:space="preserve"> </w:t>
      </w:r>
      <w:r>
        <w:t>su</w:t>
      </w:r>
      <w:r>
        <w:rPr>
          <w:spacing w:val="-4"/>
        </w:rPr>
        <w:t xml:space="preserve"> </w:t>
      </w:r>
      <w:r>
        <w:t>derecho</w:t>
      </w:r>
      <w:r>
        <w:rPr>
          <w:spacing w:val="-4"/>
        </w:rPr>
        <w:t xml:space="preserve"> </w:t>
      </w:r>
      <w:r>
        <w:t>a</w:t>
      </w:r>
      <w:r>
        <w:rPr>
          <w:spacing w:val="-4"/>
        </w:rPr>
        <w:t xml:space="preserve"> </w:t>
      </w:r>
      <w:r>
        <w:t>la</w:t>
      </w:r>
      <w:r>
        <w:rPr>
          <w:spacing w:val="-4"/>
        </w:rPr>
        <w:t xml:space="preserve"> </w:t>
      </w:r>
      <w:r>
        <w:t>igualdad</w:t>
      </w:r>
      <w:r>
        <w:rPr>
          <w:spacing w:val="-4"/>
        </w:rPr>
        <w:t xml:space="preserve"> </w:t>
      </w:r>
      <w:r>
        <w:t>sin</w:t>
      </w:r>
      <w:r>
        <w:rPr>
          <w:spacing w:val="-4"/>
        </w:rPr>
        <w:t xml:space="preserve"> </w:t>
      </w:r>
      <w:r>
        <w:t>discriminación</w:t>
      </w:r>
      <w:r>
        <w:rPr>
          <w:spacing w:val="-4"/>
        </w:rPr>
        <w:t xml:space="preserve"> </w:t>
      </w:r>
      <w:r>
        <w:t>[y]</w:t>
      </w:r>
      <w:r>
        <w:rPr>
          <w:spacing w:val="-4"/>
        </w:rPr>
        <w:t xml:space="preserve"> </w:t>
      </w:r>
      <w:r>
        <w:t>de</w:t>
      </w:r>
      <w:r>
        <w:rPr>
          <w:spacing w:val="-4"/>
        </w:rPr>
        <w:t xml:space="preserve"> </w:t>
      </w:r>
      <w:r>
        <w:t>las</w:t>
      </w:r>
      <w:r>
        <w:rPr>
          <w:spacing w:val="-4"/>
        </w:rPr>
        <w:t xml:space="preserve"> </w:t>
      </w:r>
      <w:r>
        <w:t>medidas</w:t>
      </w:r>
      <w:r>
        <w:rPr>
          <w:spacing w:val="-4"/>
        </w:rPr>
        <w:t xml:space="preserve"> </w:t>
      </w:r>
      <w:r>
        <w:t>adoptadas</w:t>
      </w:r>
      <w:r>
        <w:rPr>
          <w:spacing w:val="-4"/>
        </w:rPr>
        <w:t xml:space="preserve"> </w:t>
      </w:r>
      <w:r>
        <w:t>por</w:t>
      </w:r>
      <w:r>
        <w:rPr>
          <w:spacing w:val="-4"/>
        </w:rPr>
        <w:t xml:space="preserve"> </w:t>
      </w:r>
      <w:r>
        <w:t>el Estado parte para implementar la Convención”.1257</w:t>
      </w:r>
    </w:p>
    <w:p w14:paraId="739AC52E" w14:textId="77777777" w:rsidR="0014798C" w:rsidRDefault="004E1F0B">
      <w:pPr>
        <w:pStyle w:val="Textoindependiente"/>
        <w:spacing w:before="167" w:line="326" w:lineRule="auto"/>
        <w:ind w:left="1106" w:right="1272"/>
      </w:pPr>
      <w:r>
        <w:t>El</w:t>
      </w:r>
      <w:r>
        <w:rPr>
          <w:spacing w:val="-7"/>
        </w:rPr>
        <w:t xml:space="preserve"> </w:t>
      </w:r>
      <w:r>
        <w:t>artículo</w:t>
      </w:r>
      <w:r>
        <w:rPr>
          <w:spacing w:val="-7"/>
        </w:rPr>
        <w:t xml:space="preserve"> </w:t>
      </w:r>
      <w:r>
        <w:t>8</w:t>
      </w:r>
      <w:r>
        <w:rPr>
          <w:spacing w:val="-7"/>
        </w:rPr>
        <w:t xml:space="preserve"> </w:t>
      </w:r>
      <w:r>
        <w:t>de</w:t>
      </w:r>
      <w:r>
        <w:rPr>
          <w:spacing w:val="-7"/>
        </w:rPr>
        <w:t xml:space="preserve"> </w:t>
      </w:r>
      <w:r>
        <w:t>la</w:t>
      </w:r>
      <w:r>
        <w:rPr>
          <w:spacing w:val="-7"/>
        </w:rPr>
        <w:t xml:space="preserve"> </w:t>
      </w:r>
      <w:r>
        <w:t>Convención</w:t>
      </w:r>
      <w:r>
        <w:rPr>
          <w:spacing w:val="-7"/>
        </w:rPr>
        <w:t xml:space="preserve"> </w:t>
      </w:r>
      <w:r>
        <w:t>sobre</w:t>
      </w:r>
      <w:r>
        <w:rPr>
          <w:spacing w:val="-7"/>
        </w:rPr>
        <w:t xml:space="preserve"> </w:t>
      </w:r>
      <w:r>
        <w:t>los</w:t>
      </w:r>
      <w:r>
        <w:rPr>
          <w:spacing w:val="-7"/>
        </w:rPr>
        <w:t xml:space="preserve"> </w:t>
      </w:r>
      <w:r>
        <w:t>derechos</w:t>
      </w:r>
      <w:r>
        <w:rPr>
          <w:spacing w:val="-7"/>
        </w:rPr>
        <w:t xml:space="preserve"> </w:t>
      </w:r>
      <w:r>
        <w:t>de</w:t>
      </w:r>
      <w:r>
        <w:rPr>
          <w:spacing w:val="-7"/>
        </w:rPr>
        <w:t xml:space="preserve"> </w:t>
      </w:r>
      <w:r>
        <w:t>las</w:t>
      </w:r>
      <w:r>
        <w:rPr>
          <w:spacing w:val="-7"/>
        </w:rPr>
        <w:t xml:space="preserve"> </w:t>
      </w:r>
      <w:r>
        <w:t>personas</w:t>
      </w:r>
      <w:r>
        <w:rPr>
          <w:spacing w:val="-7"/>
        </w:rPr>
        <w:t xml:space="preserve"> </w:t>
      </w:r>
      <w:r>
        <w:t>con</w:t>
      </w:r>
      <w:r>
        <w:rPr>
          <w:spacing w:val="-7"/>
        </w:rPr>
        <w:t xml:space="preserve"> </w:t>
      </w:r>
      <w:r>
        <w:t>discapacidad</w:t>
      </w:r>
      <w:r>
        <w:rPr>
          <w:spacing w:val="-7"/>
        </w:rPr>
        <w:t xml:space="preserve"> </w:t>
      </w:r>
      <w:r>
        <w:t>se</w:t>
      </w:r>
      <w:r>
        <w:rPr>
          <w:spacing w:val="-7"/>
        </w:rPr>
        <w:t xml:space="preserve"> </w:t>
      </w:r>
      <w:r>
        <w:t>centra</w:t>
      </w:r>
      <w:r>
        <w:rPr>
          <w:spacing w:val="-7"/>
        </w:rPr>
        <w:t xml:space="preserve"> </w:t>
      </w:r>
      <w:r>
        <w:t>específicamente</w:t>
      </w:r>
      <w:r>
        <w:rPr>
          <w:spacing w:val="-7"/>
        </w:rPr>
        <w:t xml:space="preserve"> </w:t>
      </w:r>
      <w:r>
        <w:t>en</w:t>
      </w:r>
      <w:r>
        <w:rPr>
          <w:spacing w:val="-7"/>
        </w:rPr>
        <w:t xml:space="preserve"> </w:t>
      </w:r>
      <w:r>
        <w:t>la</w:t>
      </w:r>
      <w:r>
        <w:rPr>
          <w:spacing w:val="-7"/>
        </w:rPr>
        <w:t xml:space="preserve"> </w:t>
      </w:r>
      <w:r>
        <w:t>sensibilización. A</w:t>
      </w:r>
      <w:r>
        <w:rPr>
          <w:spacing w:val="-7"/>
        </w:rPr>
        <w:t xml:space="preserve"> </w:t>
      </w:r>
      <w:r>
        <w:t>través</w:t>
      </w:r>
      <w:r>
        <w:rPr>
          <w:spacing w:val="-7"/>
        </w:rPr>
        <w:t xml:space="preserve"> </w:t>
      </w:r>
      <w:r>
        <w:t>de</w:t>
      </w:r>
      <w:r>
        <w:rPr>
          <w:spacing w:val="-7"/>
        </w:rPr>
        <w:t xml:space="preserve"> </w:t>
      </w:r>
      <w:r>
        <w:t>este</w:t>
      </w:r>
      <w:r>
        <w:rPr>
          <w:spacing w:val="-7"/>
        </w:rPr>
        <w:t xml:space="preserve"> </w:t>
      </w:r>
      <w:r>
        <w:t>artículo,</w:t>
      </w:r>
      <w:r>
        <w:rPr>
          <w:spacing w:val="-7"/>
        </w:rPr>
        <w:t xml:space="preserve"> </w:t>
      </w:r>
      <w:r>
        <w:t>los</w:t>
      </w:r>
      <w:r>
        <w:rPr>
          <w:spacing w:val="-7"/>
        </w:rPr>
        <w:t xml:space="preserve"> </w:t>
      </w:r>
      <w:proofErr w:type="gramStart"/>
      <w:r>
        <w:t>Estados</w:t>
      </w:r>
      <w:r>
        <w:rPr>
          <w:spacing w:val="-7"/>
        </w:rPr>
        <w:t xml:space="preserve"> </w:t>
      </w:r>
      <w:r>
        <w:t>partes</w:t>
      </w:r>
      <w:proofErr w:type="gramEnd"/>
      <w:r>
        <w:rPr>
          <w:spacing w:val="-7"/>
        </w:rPr>
        <w:t xml:space="preserve"> </w:t>
      </w:r>
      <w:r>
        <w:t>se</w:t>
      </w:r>
      <w:r>
        <w:rPr>
          <w:spacing w:val="-7"/>
        </w:rPr>
        <w:t xml:space="preserve"> </w:t>
      </w:r>
      <w:r>
        <w:t>comprometen</w:t>
      </w:r>
      <w:r>
        <w:rPr>
          <w:spacing w:val="-7"/>
        </w:rPr>
        <w:t xml:space="preserve"> </w:t>
      </w:r>
      <w:r>
        <w:t>a</w:t>
      </w:r>
      <w:r>
        <w:rPr>
          <w:spacing w:val="-7"/>
        </w:rPr>
        <w:t xml:space="preserve"> </w:t>
      </w:r>
      <w:r>
        <w:t>crear</w:t>
      </w:r>
      <w:r>
        <w:rPr>
          <w:spacing w:val="-7"/>
        </w:rPr>
        <w:t xml:space="preserve"> </w:t>
      </w:r>
      <w:r>
        <w:t>conciencia</w:t>
      </w:r>
      <w:r>
        <w:rPr>
          <w:spacing w:val="-7"/>
        </w:rPr>
        <w:t xml:space="preserve"> </w:t>
      </w:r>
      <w:r>
        <w:t>y</w:t>
      </w:r>
      <w:r>
        <w:rPr>
          <w:spacing w:val="-7"/>
        </w:rPr>
        <w:t xml:space="preserve"> </w:t>
      </w:r>
      <w:r>
        <w:t>fomentar</w:t>
      </w:r>
      <w:r>
        <w:rPr>
          <w:spacing w:val="-7"/>
        </w:rPr>
        <w:t xml:space="preserve"> </w:t>
      </w:r>
      <w:r>
        <w:t>el</w:t>
      </w:r>
      <w:r>
        <w:rPr>
          <w:spacing w:val="-7"/>
        </w:rPr>
        <w:t xml:space="preserve"> </w:t>
      </w:r>
      <w:r>
        <w:t>respeto</w:t>
      </w:r>
      <w:r>
        <w:rPr>
          <w:spacing w:val="-7"/>
        </w:rPr>
        <w:t xml:space="preserve"> </w:t>
      </w:r>
      <w:r>
        <w:t>por</w:t>
      </w:r>
      <w:r>
        <w:rPr>
          <w:spacing w:val="-7"/>
        </w:rPr>
        <w:t xml:space="preserve"> </w:t>
      </w:r>
      <w:r>
        <w:t>los</w:t>
      </w:r>
      <w:r>
        <w:rPr>
          <w:spacing w:val="-7"/>
        </w:rPr>
        <w:t xml:space="preserve"> </w:t>
      </w:r>
      <w:r>
        <w:t>derechos</w:t>
      </w:r>
      <w:r>
        <w:rPr>
          <w:spacing w:val="-7"/>
        </w:rPr>
        <w:t xml:space="preserve"> </w:t>
      </w:r>
      <w:r>
        <w:t>y</w:t>
      </w:r>
      <w:r>
        <w:rPr>
          <w:spacing w:val="-7"/>
        </w:rPr>
        <w:t xml:space="preserve"> </w:t>
      </w:r>
      <w:r>
        <w:t>la</w:t>
      </w:r>
      <w:r>
        <w:rPr>
          <w:spacing w:val="-7"/>
        </w:rPr>
        <w:t xml:space="preserve"> </w:t>
      </w:r>
      <w:r>
        <w:t xml:space="preserve">dignidad </w:t>
      </w:r>
      <w:r>
        <w:rPr>
          <w:spacing w:val="-2"/>
        </w:rPr>
        <w:t xml:space="preserve">de las personas con discapacidad; combatir estereotipos, prejuicios y prácticas nocivas; y promover la conciencia sobre las </w:t>
      </w:r>
      <w:r>
        <w:t>capacidades</w:t>
      </w:r>
      <w:r>
        <w:rPr>
          <w:spacing w:val="-2"/>
        </w:rPr>
        <w:t xml:space="preserve"> </w:t>
      </w:r>
      <w:r>
        <w:t>de</w:t>
      </w:r>
      <w:r>
        <w:rPr>
          <w:spacing w:val="-2"/>
        </w:rPr>
        <w:t xml:space="preserve"> </w:t>
      </w:r>
      <w:r>
        <w:t>las</w:t>
      </w:r>
      <w:r>
        <w:rPr>
          <w:spacing w:val="-2"/>
        </w:rPr>
        <w:t xml:space="preserve"> </w:t>
      </w:r>
      <w:r>
        <w:t>personas</w:t>
      </w:r>
      <w:r>
        <w:rPr>
          <w:spacing w:val="-2"/>
        </w:rPr>
        <w:t xml:space="preserve"> </w:t>
      </w:r>
      <w:r>
        <w:t>con</w:t>
      </w:r>
      <w:r>
        <w:rPr>
          <w:spacing w:val="-2"/>
        </w:rPr>
        <w:t xml:space="preserve"> </w:t>
      </w:r>
      <w:r>
        <w:t>discapacidad.</w:t>
      </w:r>
      <w:r>
        <w:rPr>
          <w:spacing w:val="-1"/>
        </w:rPr>
        <w:t xml:space="preserve"> </w:t>
      </w:r>
      <w:r>
        <w:t>La</w:t>
      </w:r>
      <w:r>
        <w:rPr>
          <w:spacing w:val="-2"/>
        </w:rPr>
        <w:t xml:space="preserve"> </w:t>
      </w:r>
      <w:r>
        <w:t>Convención</w:t>
      </w:r>
      <w:r>
        <w:rPr>
          <w:spacing w:val="-2"/>
        </w:rPr>
        <w:t xml:space="preserve"> </w:t>
      </w:r>
      <w:r>
        <w:t>establece</w:t>
      </w:r>
      <w:r>
        <w:rPr>
          <w:spacing w:val="-2"/>
        </w:rPr>
        <w:t xml:space="preserve"> </w:t>
      </w:r>
      <w:r>
        <w:t>una</w:t>
      </w:r>
      <w:r>
        <w:rPr>
          <w:spacing w:val="-2"/>
        </w:rPr>
        <w:t xml:space="preserve"> </w:t>
      </w:r>
      <w:r>
        <w:t>lista</w:t>
      </w:r>
      <w:r>
        <w:rPr>
          <w:spacing w:val="-2"/>
        </w:rPr>
        <w:t xml:space="preserve"> </w:t>
      </w:r>
      <w:r>
        <w:t>ilustrativa</w:t>
      </w:r>
      <w:r>
        <w:rPr>
          <w:spacing w:val="-2"/>
        </w:rPr>
        <w:t xml:space="preserve"> </w:t>
      </w:r>
      <w:r>
        <w:t>de</w:t>
      </w:r>
      <w:r>
        <w:rPr>
          <w:spacing w:val="-2"/>
        </w:rPr>
        <w:t xml:space="preserve"> </w:t>
      </w:r>
      <w:r>
        <w:t>medidas</w:t>
      </w:r>
      <w:r>
        <w:rPr>
          <w:spacing w:val="-2"/>
        </w:rPr>
        <w:t xml:space="preserve"> </w:t>
      </w:r>
      <w:r>
        <w:t>de</w:t>
      </w:r>
      <w:r>
        <w:rPr>
          <w:spacing w:val="-2"/>
        </w:rPr>
        <w:t xml:space="preserve"> </w:t>
      </w:r>
      <w:proofErr w:type="gramStart"/>
      <w:r>
        <w:t>sensibilización</w:t>
      </w:r>
      <w:r>
        <w:rPr>
          <w:spacing w:val="-2"/>
        </w:rPr>
        <w:t xml:space="preserve"> </w:t>
      </w:r>
      <w:r>
        <w:t>,</w:t>
      </w:r>
      <w:proofErr w:type="gramEnd"/>
    </w:p>
    <w:p w14:paraId="138B6CC6" w14:textId="77777777" w:rsidR="0014798C" w:rsidRDefault="004E1F0B">
      <w:pPr>
        <w:pStyle w:val="Textoindependiente"/>
        <w:spacing w:line="326" w:lineRule="auto"/>
        <w:ind w:left="1106" w:right="902" w:firstLine="1"/>
      </w:pPr>
      <w:r>
        <w:t>incluidas</w:t>
      </w:r>
      <w:r>
        <w:rPr>
          <w:spacing w:val="-9"/>
        </w:rPr>
        <w:t xml:space="preserve"> </w:t>
      </w:r>
      <w:r>
        <w:t>campañas</w:t>
      </w:r>
      <w:r>
        <w:rPr>
          <w:spacing w:val="-9"/>
        </w:rPr>
        <w:t xml:space="preserve"> </w:t>
      </w:r>
      <w:r>
        <w:t>de</w:t>
      </w:r>
      <w:r>
        <w:rPr>
          <w:spacing w:val="-9"/>
        </w:rPr>
        <w:t xml:space="preserve"> </w:t>
      </w:r>
      <w:r>
        <w:t>sensibilización</w:t>
      </w:r>
      <w:r>
        <w:rPr>
          <w:spacing w:val="-9"/>
        </w:rPr>
        <w:t xml:space="preserve"> </w:t>
      </w:r>
      <w:r>
        <w:t>pública</w:t>
      </w:r>
      <w:r>
        <w:rPr>
          <w:spacing w:val="-9"/>
        </w:rPr>
        <w:t xml:space="preserve"> </w:t>
      </w:r>
      <w:r>
        <w:t>y</w:t>
      </w:r>
      <w:r>
        <w:rPr>
          <w:spacing w:val="-9"/>
        </w:rPr>
        <w:t xml:space="preserve"> </w:t>
      </w:r>
      <w:r>
        <w:t>colaboración</w:t>
      </w:r>
      <w:r>
        <w:rPr>
          <w:spacing w:val="-9"/>
        </w:rPr>
        <w:t xml:space="preserve"> </w:t>
      </w:r>
      <w:r>
        <w:t>tanto</w:t>
      </w:r>
      <w:r>
        <w:rPr>
          <w:spacing w:val="-9"/>
        </w:rPr>
        <w:t xml:space="preserve"> </w:t>
      </w:r>
      <w:r>
        <w:t>con</w:t>
      </w:r>
      <w:r>
        <w:rPr>
          <w:spacing w:val="-9"/>
        </w:rPr>
        <w:t xml:space="preserve"> </w:t>
      </w:r>
      <w:r>
        <w:t>el</w:t>
      </w:r>
      <w:r>
        <w:rPr>
          <w:spacing w:val="-9"/>
        </w:rPr>
        <w:t xml:space="preserve"> </w:t>
      </w:r>
      <w:r>
        <w:t>sistema</w:t>
      </w:r>
      <w:r>
        <w:rPr>
          <w:spacing w:val="-9"/>
        </w:rPr>
        <w:t xml:space="preserve"> </w:t>
      </w:r>
      <w:r>
        <w:t>educativo</w:t>
      </w:r>
      <w:r>
        <w:rPr>
          <w:spacing w:val="-9"/>
        </w:rPr>
        <w:t xml:space="preserve"> </w:t>
      </w:r>
      <w:r>
        <w:t>como</w:t>
      </w:r>
      <w:r>
        <w:rPr>
          <w:spacing w:val="-9"/>
        </w:rPr>
        <w:t xml:space="preserve"> </w:t>
      </w:r>
      <w:r>
        <w:t>con</w:t>
      </w:r>
      <w:r>
        <w:rPr>
          <w:spacing w:val="-9"/>
        </w:rPr>
        <w:t xml:space="preserve"> </w:t>
      </w:r>
      <w:r>
        <w:t>los</w:t>
      </w:r>
      <w:r>
        <w:rPr>
          <w:spacing w:val="-9"/>
        </w:rPr>
        <w:t xml:space="preserve"> </w:t>
      </w:r>
      <w:r>
        <w:t>medios</w:t>
      </w:r>
      <w:r>
        <w:rPr>
          <w:spacing w:val="-9"/>
        </w:rPr>
        <w:t xml:space="preserve"> </w:t>
      </w:r>
      <w:r>
        <w:t>de</w:t>
      </w:r>
      <w:r>
        <w:rPr>
          <w:spacing w:val="-9"/>
        </w:rPr>
        <w:t xml:space="preserve"> </w:t>
      </w:r>
      <w:r>
        <w:t>comunicación.1258 El</w:t>
      </w:r>
      <w:r>
        <w:rPr>
          <w:spacing w:val="-3"/>
        </w:rPr>
        <w:t xml:space="preserve"> </w:t>
      </w:r>
      <w:r>
        <w:t>Comité</w:t>
      </w:r>
      <w:r>
        <w:rPr>
          <w:spacing w:val="-3"/>
        </w:rPr>
        <w:t xml:space="preserve"> </w:t>
      </w:r>
      <w:r>
        <w:t>sobre</w:t>
      </w:r>
      <w:r>
        <w:rPr>
          <w:spacing w:val="-3"/>
        </w:rPr>
        <w:t xml:space="preserve"> </w:t>
      </w:r>
      <w:r>
        <w:t>los</w:t>
      </w:r>
      <w:r>
        <w:rPr>
          <w:spacing w:val="-3"/>
        </w:rPr>
        <w:t xml:space="preserve"> </w:t>
      </w:r>
      <w:r>
        <w:t>Derechos</w:t>
      </w:r>
      <w:r>
        <w:rPr>
          <w:spacing w:val="-3"/>
        </w:rPr>
        <w:t xml:space="preserve"> </w:t>
      </w:r>
      <w:r>
        <w:t>de</w:t>
      </w:r>
      <w:r>
        <w:rPr>
          <w:spacing w:val="-3"/>
        </w:rPr>
        <w:t xml:space="preserve"> </w:t>
      </w:r>
      <w:r>
        <w:t>las</w:t>
      </w:r>
      <w:r>
        <w:rPr>
          <w:spacing w:val="-3"/>
        </w:rPr>
        <w:t xml:space="preserve"> </w:t>
      </w:r>
      <w:r>
        <w:t>Personas</w:t>
      </w:r>
      <w:r>
        <w:rPr>
          <w:spacing w:val="-3"/>
        </w:rPr>
        <w:t xml:space="preserve"> </w:t>
      </w:r>
      <w:r>
        <w:t>con</w:t>
      </w:r>
      <w:r>
        <w:rPr>
          <w:spacing w:val="-3"/>
        </w:rPr>
        <w:t xml:space="preserve"> </w:t>
      </w:r>
      <w:r>
        <w:t>Discapacidad</w:t>
      </w:r>
      <w:r>
        <w:rPr>
          <w:spacing w:val="-3"/>
        </w:rPr>
        <w:t xml:space="preserve"> </w:t>
      </w:r>
      <w:r>
        <w:t>ha</w:t>
      </w:r>
      <w:r>
        <w:rPr>
          <w:spacing w:val="-3"/>
        </w:rPr>
        <w:t xml:space="preserve"> </w:t>
      </w:r>
      <w:r>
        <w:t>subrayado</w:t>
      </w:r>
      <w:r>
        <w:rPr>
          <w:spacing w:val="-3"/>
        </w:rPr>
        <w:t xml:space="preserve"> </w:t>
      </w:r>
      <w:r>
        <w:t>la</w:t>
      </w:r>
      <w:r>
        <w:rPr>
          <w:spacing w:val="-3"/>
        </w:rPr>
        <w:t xml:space="preserve"> </w:t>
      </w:r>
      <w:r>
        <w:t>importancia</w:t>
      </w:r>
      <w:r>
        <w:rPr>
          <w:spacing w:val="-3"/>
        </w:rPr>
        <w:t xml:space="preserve"> </w:t>
      </w:r>
      <w:r>
        <w:t>de</w:t>
      </w:r>
      <w:r>
        <w:rPr>
          <w:spacing w:val="-3"/>
        </w:rPr>
        <w:t xml:space="preserve"> </w:t>
      </w:r>
      <w:r>
        <w:t>la</w:t>
      </w:r>
      <w:r>
        <w:rPr>
          <w:spacing w:val="-3"/>
        </w:rPr>
        <w:t xml:space="preserve"> </w:t>
      </w:r>
      <w:r>
        <w:t>sensibilización,</w:t>
      </w:r>
      <w:r>
        <w:rPr>
          <w:spacing w:val="-2"/>
        </w:rPr>
        <w:t xml:space="preserve"> </w:t>
      </w:r>
      <w:r>
        <w:t>señalando</w:t>
      </w:r>
      <w:r>
        <w:rPr>
          <w:spacing w:val="-3"/>
        </w:rPr>
        <w:t xml:space="preserve"> </w:t>
      </w:r>
      <w:r>
        <w:t>que</w:t>
      </w:r>
    </w:p>
    <w:p w14:paraId="66D8B388" w14:textId="77777777" w:rsidR="0014798C" w:rsidRDefault="004E1F0B">
      <w:pPr>
        <w:pStyle w:val="Textoindependiente"/>
        <w:spacing w:line="326" w:lineRule="auto"/>
        <w:ind w:left="1111" w:right="992" w:hanging="3"/>
      </w:pPr>
      <w:r>
        <w:t>“no</w:t>
      </w:r>
      <w:r>
        <w:rPr>
          <w:spacing w:val="-2"/>
        </w:rPr>
        <w:t xml:space="preserve"> </w:t>
      </w:r>
      <w:r>
        <w:t>se</w:t>
      </w:r>
      <w:r>
        <w:rPr>
          <w:spacing w:val="-2"/>
        </w:rPr>
        <w:t xml:space="preserve"> </w:t>
      </w:r>
      <w:r>
        <w:t>puede</w:t>
      </w:r>
      <w:r>
        <w:rPr>
          <w:spacing w:val="-2"/>
        </w:rPr>
        <w:t xml:space="preserve"> </w:t>
      </w:r>
      <w:r>
        <w:t>combatir</w:t>
      </w:r>
      <w:r>
        <w:rPr>
          <w:spacing w:val="-2"/>
        </w:rPr>
        <w:t xml:space="preserve"> </w:t>
      </w:r>
      <w:r>
        <w:t>la</w:t>
      </w:r>
      <w:r>
        <w:rPr>
          <w:spacing w:val="-2"/>
        </w:rPr>
        <w:t xml:space="preserve"> </w:t>
      </w:r>
      <w:r>
        <w:t>discriminación</w:t>
      </w:r>
      <w:r>
        <w:rPr>
          <w:spacing w:val="-2"/>
        </w:rPr>
        <w:t xml:space="preserve"> </w:t>
      </w:r>
      <w:r>
        <w:t>sin</w:t>
      </w:r>
      <w:r>
        <w:rPr>
          <w:spacing w:val="-2"/>
        </w:rPr>
        <w:t xml:space="preserve"> </w:t>
      </w:r>
      <w:r>
        <w:t>una</w:t>
      </w:r>
      <w:r>
        <w:rPr>
          <w:spacing w:val="-2"/>
        </w:rPr>
        <w:t xml:space="preserve"> </w:t>
      </w:r>
      <w:r>
        <w:t>sensibilización</w:t>
      </w:r>
      <w:r>
        <w:rPr>
          <w:spacing w:val="-2"/>
        </w:rPr>
        <w:t xml:space="preserve"> </w:t>
      </w:r>
      <w:r>
        <w:t>entre</w:t>
      </w:r>
      <w:r>
        <w:rPr>
          <w:spacing w:val="-2"/>
        </w:rPr>
        <w:t xml:space="preserve"> </w:t>
      </w:r>
      <w:r>
        <w:t>todos</w:t>
      </w:r>
      <w:r>
        <w:rPr>
          <w:spacing w:val="-2"/>
        </w:rPr>
        <w:t xml:space="preserve"> </w:t>
      </w:r>
      <w:r>
        <w:t>los</w:t>
      </w:r>
      <w:r>
        <w:rPr>
          <w:spacing w:val="-2"/>
        </w:rPr>
        <w:t xml:space="preserve"> </w:t>
      </w:r>
      <w:r>
        <w:t>sectores</w:t>
      </w:r>
      <w:r>
        <w:rPr>
          <w:spacing w:val="-2"/>
        </w:rPr>
        <w:t xml:space="preserve"> </w:t>
      </w:r>
      <w:r>
        <w:t>del</w:t>
      </w:r>
      <w:r>
        <w:rPr>
          <w:spacing w:val="-2"/>
        </w:rPr>
        <w:t xml:space="preserve"> </w:t>
      </w:r>
      <w:r>
        <w:t>gobierno</w:t>
      </w:r>
      <w:r>
        <w:rPr>
          <w:spacing w:val="-2"/>
        </w:rPr>
        <w:t xml:space="preserve"> </w:t>
      </w:r>
      <w:r>
        <w:t>y</w:t>
      </w:r>
      <w:r>
        <w:rPr>
          <w:spacing w:val="-2"/>
        </w:rPr>
        <w:t xml:space="preserve"> </w:t>
      </w:r>
      <w:r>
        <w:t>la</w:t>
      </w:r>
      <w:r>
        <w:rPr>
          <w:spacing w:val="-2"/>
        </w:rPr>
        <w:t xml:space="preserve"> </w:t>
      </w:r>
      <w:r>
        <w:t>sociedad”</w:t>
      </w:r>
      <w:r>
        <w:rPr>
          <w:spacing w:val="-2"/>
        </w:rPr>
        <w:t xml:space="preserve"> </w:t>
      </w:r>
      <w:r>
        <w:t>y</w:t>
      </w:r>
      <w:r>
        <w:rPr>
          <w:spacing w:val="-2"/>
        </w:rPr>
        <w:t xml:space="preserve"> </w:t>
      </w:r>
      <w:r>
        <w:t>afirmando</w:t>
      </w:r>
      <w:r>
        <w:rPr>
          <w:spacing w:val="-2"/>
        </w:rPr>
        <w:t xml:space="preserve"> </w:t>
      </w:r>
      <w:r>
        <w:t>que cualquier</w:t>
      </w:r>
      <w:r>
        <w:rPr>
          <w:spacing w:val="-10"/>
        </w:rPr>
        <w:t xml:space="preserve"> </w:t>
      </w:r>
      <w:r>
        <w:t>medida</w:t>
      </w:r>
      <w:r>
        <w:rPr>
          <w:spacing w:val="-10"/>
        </w:rPr>
        <w:t xml:space="preserve"> </w:t>
      </w:r>
      <w:r>
        <w:t>adoptada</w:t>
      </w:r>
      <w:r>
        <w:rPr>
          <w:spacing w:val="-10"/>
        </w:rPr>
        <w:t xml:space="preserve"> </w:t>
      </w:r>
      <w:r>
        <w:t>de</w:t>
      </w:r>
      <w:r>
        <w:rPr>
          <w:spacing w:val="-10"/>
        </w:rPr>
        <w:t xml:space="preserve"> </w:t>
      </w:r>
      <w:r>
        <w:t>conformidad</w:t>
      </w:r>
      <w:r>
        <w:rPr>
          <w:spacing w:val="-10"/>
        </w:rPr>
        <w:t xml:space="preserve"> </w:t>
      </w:r>
      <w:r>
        <w:t>con</w:t>
      </w:r>
      <w:r>
        <w:rPr>
          <w:spacing w:val="-10"/>
        </w:rPr>
        <w:t xml:space="preserve"> </w:t>
      </w:r>
      <w:r>
        <w:t>la</w:t>
      </w:r>
      <w:r>
        <w:rPr>
          <w:spacing w:val="-10"/>
        </w:rPr>
        <w:t xml:space="preserve"> </w:t>
      </w:r>
      <w:r>
        <w:t>Convención</w:t>
      </w:r>
      <w:r>
        <w:rPr>
          <w:spacing w:val="-10"/>
        </w:rPr>
        <w:t xml:space="preserve"> </w:t>
      </w:r>
      <w:r>
        <w:t>“debe</w:t>
      </w:r>
      <w:r>
        <w:rPr>
          <w:spacing w:val="-10"/>
        </w:rPr>
        <w:t xml:space="preserve"> </w:t>
      </w:r>
      <w:r>
        <w:t>ser</w:t>
      </w:r>
      <w:r>
        <w:rPr>
          <w:spacing w:val="-10"/>
        </w:rPr>
        <w:t xml:space="preserve"> </w:t>
      </w:r>
      <w:r>
        <w:t>acompañada</w:t>
      </w:r>
      <w:r>
        <w:rPr>
          <w:spacing w:val="-10"/>
        </w:rPr>
        <w:t xml:space="preserve"> </w:t>
      </w:r>
      <w:r>
        <w:t>de</w:t>
      </w:r>
      <w:r>
        <w:rPr>
          <w:spacing w:val="-10"/>
        </w:rPr>
        <w:t xml:space="preserve"> </w:t>
      </w:r>
      <w:r>
        <w:t>medidas</w:t>
      </w:r>
      <w:r>
        <w:rPr>
          <w:spacing w:val="-10"/>
        </w:rPr>
        <w:t xml:space="preserve"> </w:t>
      </w:r>
      <w:r>
        <w:t>adecuadas</w:t>
      </w:r>
      <w:r>
        <w:rPr>
          <w:spacing w:val="-10"/>
        </w:rPr>
        <w:t xml:space="preserve"> </w:t>
      </w:r>
      <w:r>
        <w:t>de</w:t>
      </w:r>
      <w:r>
        <w:rPr>
          <w:spacing w:val="-10"/>
        </w:rPr>
        <w:t xml:space="preserve"> </w:t>
      </w:r>
      <w:r>
        <w:t>sensibilización”.1259</w:t>
      </w:r>
    </w:p>
    <w:p w14:paraId="226C4CD0" w14:textId="77777777" w:rsidR="0014798C" w:rsidRDefault="0014798C">
      <w:pPr>
        <w:pStyle w:val="Textoindependiente"/>
        <w:rPr>
          <w:sz w:val="23"/>
        </w:rPr>
      </w:pPr>
    </w:p>
    <w:p w14:paraId="2FCB8A53" w14:textId="77777777" w:rsidR="0014798C" w:rsidRDefault="0014798C">
      <w:pPr>
        <w:pStyle w:val="Textoindependiente"/>
        <w:spacing w:before="61"/>
        <w:rPr>
          <w:sz w:val="23"/>
        </w:rPr>
      </w:pPr>
    </w:p>
    <w:p w14:paraId="2E8665EC" w14:textId="77777777" w:rsidR="0014798C" w:rsidRDefault="004E1F0B">
      <w:pPr>
        <w:numPr>
          <w:ilvl w:val="1"/>
          <w:numId w:val="5"/>
        </w:numPr>
        <w:tabs>
          <w:tab w:val="left" w:pos="1397"/>
        </w:tabs>
        <w:ind w:left="1397" w:hanging="277"/>
        <w:rPr>
          <w:color w:val="FBB315"/>
          <w:sz w:val="23"/>
        </w:rPr>
      </w:pPr>
      <w:r>
        <w:rPr>
          <w:noProof/>
        </w:rPr>
        <mc:AlternateContent>
          <mc:Choice Requires="wpg">
            <w:drawing>
              <wp:anchor distT="0" distB="0" distL="0" distR="0" simplePos="0" relativeHeight="251658340" behindDoc="0" locked="0" layoutInCell="1" allowOverlap="1" wp14:anchorId="24BF54DA" wp14:editId="5B26E8D0">
                <wp:simplePos x="0" y="0"/>
                <wp:positionH relativeFrom="page">
                  <wp:posOffset>826632</wp:posOffset>
                </wp:positionH>
                <wp:positionV relativeFrom="paragraph">
                  <wp:posOffset>207179</wp:posOffset>
                </wp:positionV>
                <wp:extent cx="6730365" cy="2161540"/>
                <wp:effectExtent l="0" t="0" r="0" b="0"/>
                <wp:wrapNone/>
                <wp:docPr id="391" name="Group 39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730365" cy="2161540"/>
                          <a:chOff x="0" y="0"/>
                          <a:chExt cx="6730365" cy="2161540"/>
                        </a:xfrm>
                      </wpg:grpSpPr>
                      <pic:pic xmlns:pic="http://schemas.openxmlformats.org/drawingml/2006/picture">
                        <pic:nvPicPr>
                          <pic:cNvPr id="392" name="Image 392"/>
                          <pic:cNvPicPr/>
                        </pic:nvPicPr>
                        <pic:blipFill>
                          <a:blip r:embed="rId364" cstate="print"/>
                          <a:stretch>
                            <a:fillRect/>
                          </a:stretch>
                        </pic:blipFill>
                        <pic:spPr>
                          <a:xfrm>
                            <a:off x="0" y="0"/>
                            <a:ext cx="6729867" cy="2161302"/>
                          </a:xfrm>
                          <a:prstGeom prst="rect">
                            <a:avLst/>
                          </a:prstGeom>
                        </pic:spPr>
                      </pic:pic>
                      <wps:wsp>
                        <wps:cNvPr id="393" name="Textbox 393"/>
                        <wps:cNvSpPr txBox="1"/>
                        <wps:spPr>
                          <a:xfrm>
                            <a:off x="0" y="0"/>
                            <a:ext cx="6730365" cy="2161540"/>
                          </a:xfrm>
                          <a:prstGeom prst="rect">
                            <a:avLst/>
                          </a:prstGeom>
                        </wps:spPr>
                        <wps:txbx>
                          <w:txbxContent>
                            <w:p w14:paraId="656DBECC" w14:textId="77777777" w:rsidR="0014798C" w:rsidRDefault="004E1F0B">
                              <w:pPr>
                                <w:spacing w:before="182" w:line="326" w:lineRule="auto"/>
                                <w:ind w:left="6" w:right="1226" w:hanging="2"/>
                                <w:rPr>
                                  <w:sz w:val="16"/>
                                </w:rPr>
                              </w:pPr>
                              <w:r>
                                <w:rPr>
                                  <w:sz w:val="16"/>
                                </w:rPr>
                                <w:t>El</w:t>
                              </w:r>
                              <w:r>
                                <w:rPr>
                                  <w:spacing w:val="-8"/>
                                  <w:sz w:val="16"/>
                                </w:rPr>
                                <w:t xml:space="preserve"> </w:t>
                              </w:r>
                              <w:r>
                                <w:rPr>
                                  <w:sz w:val="16"/>
                                </w:rPr>
                                <w:t>artículo</w:t>
                              </w:r>
                              <w:r>
                                <w:rPr>
                                  <w:spacing w:val="-8"/>
                                  <w:sz w:val="16"/>
                                </w:rPr>
                                <w:t xml:space="preserve"> </w:t>
                              </w:r>
                              <w:r>
                                <w:rPr>
                                  <w:sz w:val="16"/>
                                </w:rPr>
                                <w:t>4</w:t>
                              </w:r>
                              <w:r>
                                <w:rPr>
                                  <w:spacing w:val="-8"/>
                                  <w:sz w:val="16"/>
                                </w:rPr>
                                <w:t xml:space="preserve"> </w:t>
                              </w:r>
                              <w:r>
                                <w:rPr>
                                  <w:sz w:val="16"/>
                                </w:rPr>
                                <w:t>(1)</w:t>
                              </w:r>
                              <w:r>
                                <w:rPr>
                                  <w:spacing w:val="-8"/>
                                  <w:sz w:val="16"/>
                                </w:rPr>
                                <w:t xml:space="preserve"> </w:t>
                              </w:r>
                              <w:r>
                                <w:rPr>
                                  <w:sz w:val="16"/>
                                </w:rPr>
                                <w:t>(i)</w:t>
                              </w:r>
                              <w:r>
                                <w:rPr>
                                  <w:spacing w:val="-8"/>
                                  <w:sz w:val="16"/>
                                </w:rPr>
                                <w:t xml:space="preserve"> </w:t>
                              </w:r>
                              <w:r>
                                <w:rPr>
                                  <w:sz w:val="16"/>
                                </w:rPr>
                                <w:t>de</w:t>
                              </w:r>
                              <w:r>
                                <w:rPr>
                                  <w:spacing w:val="-8"/>
                                  <w:sz w:val="16"/>
                                </w:rPr>
                                <w:t xml:space="preserve"> </w:t>
                              </w:r>
                              <w:r>
                                <w:rPr>
                                  <w:sz w:val="16"/>
                                </w:rPr>
                                <w:t>la</w:t>
                              </w:r>
                              <w:r>
                                <w:rPr>
                                  <w:spacing w:val="-8"/>
                                  <w:sz w:val="16"/>
                                </w:rPr>
                                <w:t xml:space="preserve"> </w:t>
                              </w:r>
                              <w:r>
                                <w:rPr>
                                  <w:sz w:val="16"/>
                                </w:rPr>
                                <w:t>Convención</w:t>
                              </w:r>
                              <w:r>
                                <w:rPr>
                                  <w:spacing w:val="-8"/>
                                  <w:sz w:val="16"/>
                                </w:rPr>
                                <w:t xml:space="preserve"> </w:t>
                              </w:r>
                              <w:r>
                                <w:rPr>
                                  <w:sz w:val="16"/>
                                </w:rPr>
                                <w:t>sobre</w:t>
                              </w:r>
                              <w:r>
                                <w:rPr>
                                  <w:spacing w:val="-8"/>
                                  <w:sz w:val="16"/>
                                </w:rPr>
                                <w:t xml:space="preserve"> </w:t>
                              </w:r>
                              <w:r>
                                <w:rPr>
                                  <w:sz w:val="16"/>
                                </w:rPr>
                                <w:t>los</w:t>
                              </w:r>
                              <w:r>
                                <w:rPr>
                                  <w:spacing w:val="-8"/>
                                  <w:sz w:val="16"/>
                                </w:rPr>
                                <w:t xml:space="preserve"> </w:t>
                              </w:r>
                              <w:r>
                                <w:rPr>
                                  <w:sz w:val="16"/>
                                </w:rPr>
                                <w:t>Derechos</w:t>
                              </w:r>
                              <w:r>
                                <w:rPr>
                                  <w:spacing w:val="-8"/>
                                  <w:sz w:val="16"/>
                                </w:rPr>
                                <w:t xml:space="preserve"> </w:t>
                              </w:r>
                              <w:r>
                                <w:rPr>
                                  <w:sz w:val="16"/>
                                </w:rPr>
                                <w:t>de</w:t>
                              </w:r>
                              <w:r>
                                <w:rPr>
                                  <w:spacing w:val="-8"/>
                                  <w:sz w:val="16"/>
                                </w:rPr>
                                <w:t xml:space="preserve"> </w:t>
                              </w:r>
                              <w:r>
                                <w:rPr>
                                  <w:sz w:val="16"/>
                                </w:rPr>
                                <w:t>las</w:t>
                              </w:r>
                              <w:r>
                                <w:rPr>
                                  <w:spacing w:val="-8"/>
                                  <w:sz w:val="16"/>
                                </w:rPr>
                                <w:t xml:space="preserve"> </w:t>
                              </w:r>
                              <w:r>
                                <w:rPr>
                                  <w:sz w:val="16"/>
                                </w:rPr>
                                <w:t>Personas</w:t>
                              </w:r>
                              <w:r>
                                <w:rPr>
                                  <w:spacing w:val="-8"/>
                                  <w:sz w:val="16"/>
                                </w:rPr>
                                <w:t xml:space="preserve"> </w:t>
                              </w:r>
                              <w:r>
                                <w:rPr>
                                  <w:sz w:val="16"/>
                                </w:rPr>
                                <w:t>con</w:t>
                              </w:r>
                              <w:r>
                                <w:rPr>
                                  <w:spacing w:val="-8"/>
                                  <w:sz w:val="16"/>
                                </w:rPr>
                                <w:t xml:space="preserve"> </w:t>
                              </w:r>
                              <w:r>
                                <w:rPr>
                                  <w:sz w:val="16"/>
                                </w:rPr>
                                <w:t>Discapacidad</w:t>
                              </w:r>
                              <w:r>
                                <w:rPr>
                                  <w:spacing w:val="-8"/>
                                  <w:sz w:val="16"/>
                                </w:rPr>
                                <w:t xml:space="preserve"> </w:t>
                              </w:r>
                              <w:r>
                                <w:rPr>
                                  <w:sz w:val="16"/>
                                </w:rPr>
                                <w:t>establece</w:t>
                              </w:r>
                              <w:r>
                                <w:rPr>
                                  <w:spacing w:val="-8"/>
                                  <w:sz w:val="16"/>
                                </w:rPr>
                                <w:t xml:space="preserve"> </w:t>
                              </w:r>
                              <w:r>
                                <w:rPr>
                                  <w:sz w:val="16"/>
                                </w:rPr>
                                <w:t>una</w:t>
                              </w:r>
                              <w:r>
                                <w:rPr>
                                  <w:spacing w:val="-8"/>
                                  <w:sz w:val="16"/>
                                </w:rPr>
                                <w:t xml:space="preserve"> </w:t>
                              </w:r>
                              <w:r>
                                <w:rPr>
                                  <w:sz w:val="16"/>
                                </w:rPr>
                                <w:t>obligación</w:t>
                              </w:r>
                              <w:r>
                                <w:rPr>
                                  <w:spacing w:val="-8"/>
                                  <w:sz w:val="16"/>
                                </w:rPr>
                                <w:t xml:space="preserve"> </w:t>
                              </w:r>
                              <w:r>
                                <w:rPr>
                                  <w:sz w:val="16"/>
                                </w:rPr>
                                <w:t>específica</w:t>
                              </w:r>
                              <w:r>
                                <w:rPr>
                                  <w:spacing w:val="-8"/>
                                  <w:sz w:val="16"/>
                                </w:rPr>
                                <w:t xml:space="preserve"> </w:t>
                              </w:r>
                              <w:r>
                                <w:rPr>
                                  <w:sz w:val="16"/>
                                </w:rPr>
                                <w:t>para los</w:t>
                              </w:r>
                              <w:r>
                                <w:rPr>
                                  <w:spacing w:val="-1"/>
                                  <w:sz w:val="16"/>
                                </w:rPr>
                                <w:t xml:space="preserve"> </w:t>
                              </w:r>
                              <w:r>
                                <w:rPr>
                                  <w:sz w:val="16"/>
                                </w:rPr>
                                <w:t>Estados</w:t>
                              </w:r>
                              <w:r>
                                <w:rPr>
                                  <w:spacing w:val="-1"/>
                                  <w:sz w:val="16"/>
                                </w:rPr>
                                <w:t xml:space="preserve"> </w:t>
                              </w:r>
                              <w:r>
                                <w:rPr>
                                  <w:sz w:val="16"/>
                                </w:rPr>
                                <w:t>de</w:t>
                              </w:r>
                              <w:r>
                                <w:rPr>
                                  <w:spacing w:val="-1"/>
                                  <w:sz w:val="16"/>
                                </w:rPr>
                                <w:t xml:space="preserve"> </w:t>
                              </w:r>
                              <w:r>
                                <w:rPr>
                                  <w:sz w:val="16"/>
                                </w:rPr>
                                <w:t>“promover</w:t>
                              </w:r>
                              <w:r>
                                <w:rPr>
                                  <w:spacing w:val="-1"/>
                                  <w:sz w:val="16"/>
                                </w:rPr>
                                <w:t xml:space="preserve"> </w:t>
                              </w:r>
                              <w:r>
                                <w:rPr>
                                  <w:sz w:val="16"/>
                                </w:rPr>
                                <w:t>la</w:t>
                              </w:r>
                              <w:r>
                                <w:rPr>
                                  <w:spacing w:val="-1"/>
                                  <w:sz w:val="16"/>
                                </w:rPr>
                                <w:t xml:space="preserve"> </w:t>
                              </w:r>
                              <w:r>
                                <w:rPr>
                                  <w:sz w:val="16"/>
                                </w:rPr>
                                <w:t>capacitación</w:t>
                              </w:r>
                              <w:r>
                                <w:rPr>
                                  <w:spacing w:val="-1"/>
                                  <w:sz w:val="16"/>
                                </w:rPr>
                                <w:t xml:space="preserve"> </w:t>
                              </w:r>
                              <w:r>
                                <w:rPr>
                                  <w:sz w:val="16"/>
                                </w:rPr>
                                <w:t>de</w:t>
                              </w:r>
                              <w:r>
                                <w:rPr>
                                  <w:spacing w:val="-1"/>
                                  <w:sz w:val="16"/>
                                </w:rPr>
                                <w:t xml:space="preserve"> </w:t>
                              </w:r>
                              <w:r>
                                <w:rPr>
                                  <w:sz w:val="16"/>
                                </w:rPr>
                                <w:t>los</w:t>
                              </w:r>
                              <w:r>
                                <w:rPr>
                                  <w:spacing w:val="-1"/>
                                  <w:sz w:val="16"/>
                                </w:rPr>
                                <w:t xml:space="preserve"> </w:t>
                              </w:r>
                              <w:r>
                                <w:rPr>
                                  <w:sz w:val="16"/>
                                </w:rPr>
                                <w:t>profesionales</w:t>
                              </w:r>
                              <w:r>
                                <w:rPr>
                                  <w:spacing w:val="-1"/>
                                  <w:sz w:val="16"/>
                                </w:rPr>
                                <w:t xml:space="preserve"> </w:t>
                              </w:r>
                              <w:r>
                                <w:rPr>
                                  <w:sz w:val="16"/>
                                </w:rPr>
                                <w:t>y</w:t>
                              </w:r>
                              <w:r>
                                <w:rPr>
                                  <w:spacing w:val="-1"/>
                                  <w:sz w:val="16"/>
                                </w:rPr>
                                <w:t xml:space="preserve"> </w:t>
                              </w:r>
                              <w:r>
                                <w:rPr>
                                  <w:sz w:val="16"/>
                                </w:rPr>
                                <w:t>del</w:t>
                              </w:r>
                              <w:r>
                                <w:rPr>
                                  <w:spacing w:val="-1"/>
                                  <w:sz w:val="16"/>
                                </w:rPr>
                                <w:t xml:space="preserve"> </w:t>
                              </w:r>
                              <w:r>
                                <w:rPr>
                                  <w:sz w:val="16"/>
                                </w:rPr>
                                <w:t>personal</w:t>
                              </w:r>
                              <w:r>
                                <w:rPr>
                                  <w:spacing w:val="-1"/>
                                  <w:sz w:val="16"/>
                                </w:rPr>
                                <w:t xml:space="preserve"> </w:t>
                              </w:r>
                              <w:r>
                                <w:rPr>
                                  <w:sz w:val="16"/>
                                </w:rPr>
                                <w:t>que</w:t>
                              </w:r>
                              <w:r>
                                <w:rPr>
                                  <w:spacing w:val="-1"/>
                                  <w:sz w:val="16"/>
                                </w:rPr>
                                <w:t xml:space="preserve"> </w:t>
                              </w:r>
                              <w:r>
                                <w:rPr>
                                  <w:sz w:val="16"/>
                                </w:rPr>
                                <w:t>trabaja</w:t>
                              </w:r>
                              <w:r>
                                <w:rPr>
                                  <w:spacing w:val="-1"/>
                                  <w:sz w:val="16"/>
                                </w:rPr>
                                <w:t xml:space="preserve"> </w:t>
                              </w:r>
                              <w:r>
                                <w:rPr>
                                  <w:sz w:val="16"/>
                                </w:rPr>
                                <w:t>con</w:t>
                              </w:r>
                              <w:r>
                                <w:rPr>
                                  <w:spacing w:val="-1"/>
                                  <w:sz w:val="16"/>
                                </w:rPr>
                                <w:t xml:space="preserve"> </w:t>
                              </w:r>
                              <w:r>
                                <w:rPr>
                                  <w:sz w:val="16"/>
                                </w:rPr>
                                <w:t>personas</w:t>
                              </w:r>
                              <w:r>
                                <w:rPr>
                                  <w:spacing w:val="-1"/>
                                  <w:sz w:val="16"/>
                                </w:rPr>
                                <w:t xml:space="preserve"> </w:t>
                              </w:r>
                              <w:r>
                                <w:rPr>
                                  <w:sz w:val="16"/>
                                </w:rPr>
                                <w:t>con</w:t>
                              </w:r>
                              <w:r>
                                <w:rPr>
                                  <w:spacing w:val="-1"/>
                                  <w:sz w:val="16"/>
                                </w:rPr>
                                <w:t xml:space="preserve"> </w:t>
                              </w:r>
                              <w:r>
                                <w:rPr>
                                  <w:sz w:val="16"/>
                                </w:rPr>
                                <w:t>discapacidad</w:t>
                              </w:r>
                              <w:r>
                                <w:rPr>
                                  <w:spacing w:val="-1"/>
                                  <w:sz w:val="16"/>
                                </w:rPr>
                                <w:t xml:space="preserve"> </w:t>
                              </w:r>
                              <w:r>
                                <w:rPr>
                                  <w:sz w:val="16"/>
                                </w:rPr>
                                <w:t>en</w:t>
                              </w:r>
                              <w:r>
                                <w:rPr>
                                  <w:spacing w:val="-1"/>
                                  <w:sz w:val="16"/>
                                </w:rPr>
                                <w:t xml:space="preserve"> </w:t>
                              </w:r>
                              <w:r>
                                <w:rPr>
                                  <w:sz w:val="16"/>
                                </w:rPr>
                                <w:t>los derechos</w:t>
                              </w:r>
                              <w:r>
                                <w:rPr>
                                  <w:spacing w:val="-1"/>
                                  <w:sz w:val="16"/>
                                </w:rPr>
                                <w:t xml:space="preserve"> </w:t>
                              </w:r>
                              <w:r>
                                <w:rPr>
                                  <w:sz w:val="16"/>
                                </w:rPr>
                                <w:t>reconocidos</w:t>
                              </w:r>
                              <w:r>
                                <w:rPr>
                                  <w:spacing w:val="-1"/>
                                  <w:sz w:val="16"/>
                                </w:rPr>
                                <w:t xml:space="preserve"> </w:t>
                              </w:r>
                              <w:r>
                                <w:rPr>
                                  <w:sz w:val="16"/>
                                </w:rPr>
                                <w:t>en</w:t>
                              </w:r>
                              <w:r>
                                <w:rPr>
                                  <w:spacing w:val="-1"/>
                                  <w:sz w:val="16"/>
                                </w:rPr>
                                <w:t xml:space="preserve"> </w:t>
                              </w:r>
                              <w:r>
                                <w:rPr>
                                  <w:sz w:val="16"/>
                                </w:rPr>
                                <w:t>esta</w:t>
                              </w:r>
                              <w:r>
                                <w:rPr>
                                  <w:spacing w:val="-1"/>
                                  <w:sz w:val="16"/>
                                </w:rPr>
                                <w:t xml:space="preserve"> </w:t>
                              </w:r>
                              <w:r>
                                <w:rPr>
                                  <w:sz w:val="16"/>
                                </w:rPr>
                                <w:t>Convención”. En</w:t>
                              </w:r>
                              <w:r>
                                <w:rPr>
                                  <w:spacing w:val="-1"/>
                                  <w:sz w:val="16"/>
                                </w:rPr>
                                <w:t xml:space="preserve"> </w:t>
                              </w:r>
                              <w:r>
                                <w:rPr>
                                  <w:sz w:val="16"/>
                                </w:rPr>
                                <w:t>su</w:t>
                              </w:r>
                              <w:r>
                                <w:rPr>
                                  <w:spacing w:val="-1"/>
                                  <w:sz w:val="16"/>
                                </w:rPr>
                                <w:t xml:space="preserve"> </w:t>
                              </w:r>
                              <w:r>
                                <w:rPr>
                                  <w:sz w:val="16"/>
                                </w:rPr>
                                <w:t>Observación</w:t>
                              </w:r>
                              <w:r>
                                <w:rPr>
                                  <w:spacing w:val="-1"/>
                                  <w:sz w:val="16"/>
                                </w:rPr>
                                <w:t xml:space="preserve"> </w:t>
                              </w:r>
                              <w:r>
                                <w:rPr>
                                  <w:sz w:val="16"/>
                                </w:rPr>
                                <w:t>general</w:t>
                              </w:r>
                              <w:r>
                                <w:rPr>
                                  <w:spacing w:val="-1"/>
                                  <w:sz w:val="16"/>
                                </w:rPr>
                                <w:t xml:space="preserve"> </w:t>
                              </w:r>
                              <w:r>
                                <w:rPr>
                                  <w:sz w:val="16"/>
                                </w:rPr>
                                <w:t>núm.</w:t>
                              </w:r>
                              <w:r>
                                <w:rPr>
                                  <w:spacing w:val="-1"/>
                                  <w:sz w:val="16"/>
                                </w:rPr>
                                <w:t xml:space="preserve"> </w:t>
                              </w:r>
                              <w:r>
                                <w:rPr>
                                  <w:sz w:val="16"/>
                                </w:rPr>
                                <w:t>6</w:t>
                              </w:r>
                              <w:r>
                                <w:rPr>
                                  <w:spacing w:val="-1"/>
                                  <w:sz w:val="16"/>
                                </w:rPr>
                                <w:t xml:space="preserve"> </w:t>
                              </w:r>
                              <w:r>
                                <w:rPr>
                                  <w:sz w:val="16"/>
                                </w:rPr>
                                <w:t>(2018),</w:t>
                              </w:r>
                              <w:r>
                                <w:rPr>
                                  <w:spacing w:val="-1"/>
                                  <w:sz w:val="16"/>
                                </w:rPr>
                                <w:t xml:space="preserve"> </w:t>
                              </w:r>
                              <w:r>
                                <w:rPr>
                                  <w:sz w:val="16"/>
                                </w:rPr>
                                <w:t>el</w:t>
                              </w:r>
                              <w:r>
                                <w:rPr>
                                  <w:spacing w:val="-1"/>
                                  <w:sz w:val="16"/>
                                </w:rPr>
                                <w:t xml:space="preserve"> </w:t>
                              </w:r>
                              <w:r>
                                <w:rPr>
                                  <w:sz w:val="16"/>
                                </w:rPr>
                                <w:t>Comité</w:t>
                              </w:r>
                              <w:r>
                                <w:rPr>
                                  <w:spacing w:val="-1"/>
                                  <w:sz w:val="16"/>
                                </w:rPr>
                                <w:t xml:space="preserve"> </w:t>
                              </w:r>
                              <w:r>
                                <w:rPr>
                                  <w:sz w:val="16"/>
                                </w:rPr>
                                <w:t>sobre</w:t>
                              </w:r>
                              <w:r>
                                <w:rPr>
                                  <w:spacing w:val="-1"/>
                                  <w:sz w:val="16"/>
                                </w:rPr>
                                <w:t xml:space="preserve"> </w:t>
                              </w:r>
                              <w:r>
                                <w:rPr>
                                  <w:sz w:val="16"/>
                                </w:rPr>
                                <w:t>los</w:t>
                              </w:r>
                              <w:r>
                                <w:rPr>
                                  <w:spacing w:val="-1"/>
                                  <w:sz w:val="16"/>
                                </w:rPr>
                                <w:t xml:space="preserve"> </w:t>
                              </w:r>
                              <w:r>
                                <w:rPr>
                                  <w:sz w:val="16"/>
                                </w:rPr>
                                <w:t>Derechos</w:t>
                              </w:r>
                              <w:r>
                                <w:rPr>
                                  <w:spacing w:val="-1"/>
                                  <w:sz w:val="16"/>
                                </w:rPr>
                                <w:t xml:space="preserve"> </w:t>
                              </w:r>
                              <w:r>
                                <w:rPr>
                                  <w:sz w:val="16"/>
                                </w:rPr>
                                <w:t>de</w:t>
                              </w:r>
                              <w:r>
                                <w:rPr>
                                  <w:spacing w:val="-1"/>
                                  <w:sz w:val="16"/>
                                </w:rPr>
                                <w:t xml:space="preserve"> </w:t>
                              </w:r>
                              <w:r>
                                <w:rPr>
                                  <w:sz w:val="16"/>
                                </w:rPr>
                                <w:t>las Personas</w:t>
                              </w:r>
                              <w:r>
                                <w:rPr>
                                  <w:spacing w:val="-1"/>
                                  <w:sz w:val="16"/>
                                </w:rPr>
                                <w:t xml:space="preserve"> </w:t>
                              </w:r>
                              <w:r>
                                <w:rPr>
                                  <w:sz w:val="16"/>
                                </w:rPr>
                                <w:t>con</w:t>
                              </w:r>
                              <w:r>
                                <w:rPr>
                                  <w:spacing w:val="-1"/>
                                  <w:sz w:val="16"/>
                                </w:rPr>
                                <w:t xml:space="preserve"> </w:t>
                              </w:r>
                              <w:r>
                                <w:rPr>
                                  <w:sz w:val="16"/>
                                </w:rPr>
                                <w:t>Discapacidad</w:t>
                              </w:r>
                              <w:r>
                                <w:rPr>
                                  <w:spacing w:val="-1"/>
                                  <w:sz w:val="16"/>
                                </w:rPr>
                                <w:t xml:space="preserve"> </w:t>
                              </w:r>
                              <w:r>
                                <w:rPr>
                                  <w:sz w:val="16"/>
                                </w:rPr>
                                <w:t>señala</w:t>
                              </w:r>
                              <w:r>
                                <w:rPr>
                                  <w:spacing w:val="-1"/>
                                  <w:sz w:val="16"/>
                                </w:rPr>
                                <w:t xml:space="preserve"> </w:t>
                              </w:r>
                              <w:r>
                                <w:rPr>
                                  <w:sz w:val="16"/>
                                </w:rPr>
                                <w:t>que</w:t>
                              </w:r>
                              <w:r>
                                <w:rPr>
                                  <w:spacing w:val="-1"/>
                                  <w:sz w:val="16"/>
                                </w:rPr>
                                <w:t xml:space="preserve"> </w:t>
                              </w:r>
                              <w:r>
                                <w:rPr>
                                  <w:sz w:val="16"/>
                                </w:rPr>
                                <w:t>“se</w:t>
                              </w:r>
                              <w:r>
                                <w:rPr>
                                  <w:spacing w:val="-1"/>
                                  <w:sz w:val="16"/>
                                </w:rPr>
                                <w:t xml:space="preserve"> </w:t>
                              </w:r>
                              <w:r>
                                <w:rPr>
                                  <w:sz w:val="16"/>
                                </w:rPr>
                                <w:t>debe</w:t>
                              </w:r>
                              <w:r>
                                <w:rPr>
                                  <w:spacing w:val="-1"/>
                                  <w:sz w:val="16"/>
                                </w:rPr>
                                <w:t xml:space="preserve"> </w:t>
                              </w:r>
                              <w:r>
                                <w:rPr>
                                  <w:sz w:val="16"/>
                                </w:rPr>
                                <w:t>brindar</w:t>
                              </w:r>
                              <w:r>
                                <w:rPr>
                                  <w:spacing w:val="-1"/>
                                  <w:sz w:val="16"/>
                                </w:rPr>
                                <w:t xml:space="preserve"> </w:t>
                              </w:r>
                              <w:r>
                                <w:rPr>
                                  <w:sz w:val="16"/>
                                </w:rPr>
                                <w:t>capacitación</w:t>
                              </w:r>
                              <w:r>
                                <w:rPr>
                                  <w:spacing w:val="-1"/>
                                  <w:sz w:val="16"/>
                                </w:rPr>
                                <w:t xml:space="preserve"> </w:t>
                              </w:r>
                              <w:r>
                                <w:rPr>
                                  <w:sz w:val="16"/>
                                </w:rPr>
                                <w:t>y</w:t>
                              </w:r>
                              <w:r>
                                <w:rPr>
                                  <w:spacing w:val="-1"/>
                                  <w:sz w:val="16"/>
                                </w:rPr>
                                <w:t xml:space="preserve"> </w:t>
                              </w:r>
                              <w:r>
                                <w:rPr>
                                  <w:sz w:val="16"/>
                                </w:rPr>
                                <w:t>educación</w:t>
                              </w:r>
                              <w:r>
                                <w:rPr>
                                  <w:spacing w:val="-1"/>
                                  <w:sz w:val="16"/>
                                </w:rPr>
                                <w:t xml:space="preserve"> </w:t>
                              </w:r>
                              <w:r>
                                <w:rPr>
                                  <w:sz w:val="16"/>
                                </w:rPr>
                                <w:t>a</w:t>
                              </w:r>
                              <w:r>
                                <w:rPr>
                                  <w:spacing w:val="-1"/>
                                  <w:sz w:val="16"/>
                                </w:rPr>
                                <w:t xml:space="preserve"> </w:t>
                              </w:r>
                              <w:r>
                                <w:rPr>
                                  <w:sz w:val="16"/>
                                </w:rPr>
                                <w:t>los</w:t>
                              </w:r>
                              <w:r>
                                <w:rPr>
                                  <w:spacing w:val="-1"/>
                                  <w:sz w:val="16"/>
                                </w:rPr>
                                <w:t xml:space="preserve"> </w:t>
                              </w:r>
                              <w:r>
                                <w:rPr>
                                  <w:sz w:val="16"/>
                                </w:rPr>
                                <w:t>organismos</w:t>
                              </w:r>
                              <w:r>
                                <w:rPr>
                                  <w:spacing w:val="-1"/>
                                  <w:sz w:val="16"/>
                                </w:rPr>
                                <w:t xml:space="preserve"> </w:t>
                              </w:r>
                              <w:r>
                                <w:rPr>
                                  <w:sz w:val="16"/>
                                </w:rPr>
                                <w:t>pertinentes, como</w:t>
                              </w:r>
                              <w:r>
                                <w:rPr>
                                  <w:spacing w:val="-1"/>
                                  <w:sz w:val="16"/>
                                </w:rPr>
                                <w:t xml:space="preserve"> </w:t>
                              </w:r>
                              <w:r>
                                <w:rPr>
                                  <w:sz w:val="16"/>
                                </w:rPr>
                                <w:t>los encargados de tomar decisiones jurídicas, los proveedores de servicios u otras partes interesadas”, señalando que dicha</w:t>
                              </w:r>
                            </w:p>
                            <w:p w14:paraId="3E3D8B80" w14:textId="77777777" w:rsidR="0014798C" w:rsidRDefault="004E1F0B">
                              <w:pPr>
                                <w:spacing w:line="326" w:lineRule="auto"/>
                                <w:ind w:left="4"/>
                                <w:rPr>
                                  <w:sz w:val="16"/>
                                </w:rPr>
                              </w:pPr>
                              <w:r>
                                <w:rPr>
                                  <w:sz w:val="16"/>
                                </w:rPr>
                                <w:t>sensibilización</w:t>
                              </w:r>
                              <w:r>
                                <w:rPr>
                                  <w:spacing w:val="-8"/>
                                  <w:sz w:val="16"/>
                                </w:rPr>
                                <w:t xml:space="preserve"> </w:t>
                              </w:r>
                              <w:r>
                                <w:rPr>
                                  <w:sz w:val="16"/>
                                </w:rPr>
                                <w:t>es</w:t>
                              </w:r>
                              <w:r>
                                <w:rPr>
                                  <w:spacing w:val="-8"/>
                                  <w:sz w:val="16"/>
                                </w:rPr>
                                <w:t xml:space="preserve"> </w:t>
                              </w:r>
                              <w:r>
                                <w:rPr>
                                  <w:sz w:val="16"/>
                                </w:rPr>
                                <w:t>esencial</w:t>
                              </w:r>
                              <w:r>
                                <w:rPr>
                                  <w:spacing w:val="-8"/>
                                  <w:sz w:val="16"/>
                                </w:rPr>
                                <w:t xml:space="preserve"> </w:t>
                              </w:r>
                              <w:r>
                                <w:rPr>
                                  <w:sz w:val="16"/>
                                </w:rPr>
                                <w:t>para</w:t>
                              </w:r>
                              <w:r>
                                <w:rPr>
                                  <w:spacing w:val="-8"/>
                                  <w:sz w:val="16"/>
                                </w:rPr>
                                <w:t xml:space="preserve"> </w:t>
                              </w:r>
                              <w:r>
                                <w:rPr>
                                  <w:sz w:val="16"/>
                                </w:rPr>
                                <w:t>garantizar</w:t>
                              </w:r>
                              <w:r>
                                <w:rPr>
                                  <w:spacing w:val="-8"/>
                                  <w:sz w:val="16"/>
                                </w:rPr>
                                <w:t xml:space="preserve"> </w:t>
                              </w:r>
                              <w:r>
                                <w:rPr>
                                  <w:sz w:val="16"/>
                                </w:rPr>
                                <w:t>que</w:t>
                              </w:r>
                              <w:r>
                                <w:rPr>
                                  <w:spacing w:val="-8"/>
                                  <w:sz w:val="16"/>
                                </w:rPr>
                                <w:t xml:space="preserve"> </w:t>
                              </w:r>
                              <w:r>
                                <w:rPr>
                                  <w:sz w:val="16"/>
                                </w:rPr>
                                <w:t>las</w:t>
                              </w:r>
                              <w:r>
                                <w:rPr>
                                  <w:spacing w:val="-8"/>
                                  <w:sz w:val="16"/>
                                </w:rPr>
                                <w:t xml:space="preserve"> </w:t>
                              </w:r>
                              <w:r>
                                <w:rPr>
                                  <w:sz w:val="16"/>
                                </w:rPr>
                                <w:t>personas</w:t>
                              </w:r>
                              <w:r>
                                <w:rPr>
                                  <w:spacing w:val="-8"/>
                                  <w:sz w:val="16"/>
                                </w:rPr>
                                <w:t xml:space="preserve"> </w:t>
                              </w:r>
                              <w:r>
                                <w:rPr>
                                  <w:sz w:val="16"/>
                                </w:rPr>
                                <w:t>con</w:t>
                              </w:r>
                              <w:r>
                                <w:rPr>
                                  <w:spacing w:val="-8"/>
                                  <w:sz w:val="16"/>
                                </w:rPr>
                                <w:t xml:space="preserve"> </w:t>
                              </w:r>
                              <w:r>
                                <w:rPr>
                                  <w:sz w:val="16"/>
                                </w:rPr>
                                <w:t>discapacidad</w:t>
                              </w:r>
                              <w:r>
                                <w:rPr>
                                  <w:spacing w:val="-8"/>
                                  <w:sz w:val="16"/>
                                </w:rPr>
                                <w:t xml:space="preserve"> </w:t>
                              </w:r>
                              <w:r>
                                <w:rPr>
                                  <w:sz w:val="16"/>
                                </w:rPr>
                                <w:t>puedan</w:t>
                              </w:r>
                              <w:r>
                                <w:rPr>
                                  <w:spacing w:val="-8"/>
                                  <w:sz w:val="16"/>
                                </w:rPr>
                                <w:t xml:space="preserve"> </w:t>
                              </w:r>
                              <w:r>
                                <w:rPr>
                                  <w:sz w:val="16"/>
                                </w:rPr>
                                <w:t>acceder</w:t>
                              </w:r>
                              <w:r>
                                <w:rPr>
                                  <w:spacing w:val="-8"/>
                                  <w:sz w:val="16"/>
                                </w:rPr>
                                <w:t xml:space="preserve"> </w:t>
                              </w:r>
                              <w:r>
                                <w:rPr>
                                  <w:sz w:val="16"/>
                                </w:rPr>
                                <w:t>a</w:t>
                              </w:r>
                              <w:r>
                                <w:rPr>
                                  <w:spacing w:val="-8"/>
                                  <w:sz w:val="16"/>
                                </w:rPr>
                                <w:t xml:space="preserve"> </w:t>
                              </w:r>
                              <w:r>
                                <w:rPr>
                                  <w:sz w:val="16"/>
                                </w:rPr>
                                <w:t>bienes</w:t>
                              </w:r>
                              <w:r>
                                <w:rPr>
                                  <w:spacing w:val="-8"/>
                                  <w:sz w:val="16"/>
                                </w:rPr>
                                <w:t xml:space="preserve"> </w:t>
                              </w:r>
                              <w:r>
                                <w:rPr>
                                  <w:sz w:val="16"/>
                                </w:rPr>
                                <w:t>y</w:t>
                              </w:r>
                              <w:r>
                                <w:rPr>
                                  <w:spacing w:val="-8"/>
                                  <w:sz w:val="16"/>
                                </w:rPr>
                                <w:t xml:space="preserve"> </w:t>
                              </w:r>
                              <w:r>
                                <w:rPr>
                                  <w:sz w:val="16"/>
                                </w:rPr>
                                <w:t>servicios</w:t>
                              </w:r>
                              <w:r>
                                <w:rPr>
                                  <w:spacing w:val="-8"/>
                                  <w:sz w:val="16"/>
                                </w:rPr>
                                <w:t xml:space="preserve"> </w:t>
                              </w:r>
                              <w:r>
                                <w:rPr>
                                  <w:sz w:val="16"/>
                                </w:rPr>
                                <w:t>en</w:t>
                              </w:r>
                              <w:r>
                                <w:rPr>
                                  <w:spacing w:val="-8"/>
                                  <w:sz w:val="16"/>
                                </w:rPr>
                                <w:t xml:space="preserve"> </w:t>
                              </w:r>
                              <w:r>
                                <w:rPr>
                                  <w:sz w:val="16"/>
                                </w:rPr>
                                <w:t>igualdad</w:t>
                              </w:r>
                              <w:r>
                                <w:rPr>
                                  <w:spacing w:val="-8"/>
                                  <w:sz w:val="16"/>
                                </w:rPr>
                                <w:t xml:space="preserve"> </w:t>
                              </w:r>
                              <w:r>
                                <w:rPr>
                                  <w:sz w:val="16"/>
                                </w:rPr>
                                <w:t>de</w:t>
                              </w:r>
                              <w:r>
                                <w:rPr>
                                  <w:spacing w:val="-8"/>
                                  <w:sz w:val="16"/>
                                </w:rPr>
                                <w:t xml:space="preserve"> </w:t>
                              </w:r>
                              <w:r>
                                <w:rPr>
                                  <w:sz w:val="16"/>
                                </w:rPr>
                                <w:t>condiciones</w:t>
                              </w:r>
                              <w:r>
                                <w:rPr>
                                  <w:spacing w:val="-8"/>
                                  <w:sz w:val="16"/>
                                </w:rPr>
                                <w:t xml:space="preserve"> </w:t>
                              </w:r>
                              <w:r>
                                <w:rPr>
                                  <w:sz w:val="16"/>
                                </w:rPr>
                                <w:t>con</w:t>
                              </w:r>
                              <w:r>
                                <w:rPr>
                                  <w:spacing w:val="-8"/>
                                  <w:sz w:val="16"/>
                                </w:rPr>
                                <w:t xml:space="preserve"> </w:t>
                              </w:r>
                              <w:r>
                                <w:rPr>
                                  <w:sz w:val="16"/>
                                </w:rPr>
                                <w:t>los El</w:t>
                              </w:r>
                              <w:r>
                                <w:rPr>
                                  <w:spacing w:val="-2"/>
                                  <w:sz w:val="16"/>
                                </w:rPr>
                                <w:t xml:space="preserve"> </w:t>
                              </w:r>
                              <w:r>
                                <w:rPr>
                                  <w:sz w:val="16"/>
                                </w:rPr>
                                <w:t>Convenio</w:t>
                              </w:r>
                              <w:r>
                                <w:rPr>
                                  <w:spacing w:val="-2"/>
                                  <w:sz w:val="16"/>
                                </w:rPr>
                                <w:t xml:space="preserve"> </w:t>
                              </w:r>
                              <w:r>
                                <w:rPr>
                                  <w:sz w:val="16"/>
                                </w:rPr>
                                <w:t>también</w:t>
                              </w:r>
                              <w:r>
                                <w:rPr>
                                  <w:spacing w:val="-2"/>
                                  <w:sz w:val="16"/>
                                </w:rPr>
                                <w:t xml:space="preserve"> </w:t>
                              </w:r>
                              <w:r>
                                <w:rPr>
                                  <w:sz w:val="16"/>
                                </w:rPr>
                                <w:t>incluye</w:t>
                              </w:r>
                              <w:r>
                                <w:rPr>
                                  <w:spacing w:val="-2"/>
                                  <w:sz w:val="16"/>
                                </w:rPr>
                                <w:t xml:space="preserve"> </w:t>
                              </w:r>
                              <w:r>
                                <w:rPr>
                                  <w:sz w:val="16"/>
                                </w:rPr>
                                <w:t>disposiciones</w:t>
                              </w:r>
                              <w:r>
                                <w:rPr>
                                  <w:spacing w:val="-2"/>
                                  <w:sz w:val="16"/>
                                </w:rPr>
                                <w:t xml:space="preserve"> </w:t>
                              </w:r>
                              <w:r>
                                <w:rPr>
                                  <w:sz w:val="16"/>
                                </w:rPr>
                                <w:t>explícitas</w:t>
                              </w:r>
                              <w:r>
                                <w:rPr>
                                  <w:spacing w:val="-2"/>
                                  <w:sz w:val="16"/>
                                </w:rPr>
                                <w:t xml:space="preserve"> </w:t>
                              </w:r>
                              <w:r>
                                <w:rPr>
                                  <w:sz w:val="16"/>
                                </w:rPr>
                                <w:t>sobre</w:t>
                              </w:r>
                              <w:r>
                                <w:rPr>
                                  <w:spacing w:val="-2"/>
                                  <w:sz w:val="16"/>
                                </w:rPr>
                                <w:t xml:space="preserve"> </w:t>
                              </w:r>
                              <w:r>
                                <w:rPr>
                                  <w:sz w:val="16"/>
                                </w:rPr>
                                <w:t>formación</w:t>
                              </w:r>
                              <w:r>
                                <w:rPr>
                                  <w:spacing w:val="-2"/>
                                  <w:sz w:val="16"/>
                                </w:rPr>
                                <w:t xml:space="preserve"> </w:t>
                              </w:r>
                              <w:r>
                                <w:rPr>
                                  <w:sz w:val="16"/>
                                </w:rPr>
                                <w:t>en</w:t>
                              </w:r>
                              <w:r>
                                <w:rPr>
                                  <w:spacing w:val="-2"/>
                                  <w:sz w:val="16"/>
                                </w:rPr>
                                <w:t xml:space="preserve"> </w:t>
                              </w:r>
                              <w:r>
                                <w:rPr>
                                  <w:sz w:val="16"/>
                                </w:rPr>
                                <w:t>los</w:t>
                              </w:r>
                              <w:r>
                                <w:rPr>
                                  <w:spacing w:val="-2"/>
                                  <w:sz w:val="16"/>
                                </w:rPr>
                                <w:t xml:space="preserve"> </w:t>
                              </w:r>
                              <w:r>
                                <w:rPr>
                                  <w:sz w:val="16"/>
                                </w:rPr>
                                <w:t>artículos</w:t>
                              </w:r>
                              <w:r>
                                <w:rPr>
                                  <w:spacing w:val="-2"/>
                                  <w:sz w:val="16"/>
                                </w:rPr>
                                <w:t xml:space="preserve"> </w:t>
                              </w:r>
                              <w:r>
                                <w:rPr>
                                  <w:sz w:val="16"/>
                                </w:rPr>
                                <w:t>8</w:t>
                              </w:r>
                              <w:r>
                                <w:rPr>
                                  <w:spacing w:val="-2"/>
                                  <w:sz w:val="16"/>
                                </w:rPr>
                                <w:t xml:space="preserve"> </w:t>
                              </w:r>
                              <w:r>
                                <w:rPr>
                                  <w:sz w:val="16"/>
                                </w:rPr>
                                <w:t>(sensibilización), 9</w:t>
                              </w:r>
                              <w:r>
                                <w:rPr>
                                  <w:spacing w:val="-2"/>
                                  <w:sz w:val="16"/>
                                </w:rPr>
                                <w:t xml:space="preserve"> </w:t>
                              </w:r>
                              <w:r>
                                <w:rPr>
                                  <w:sz w:val="16"/>
                                </w:rPr>
                                <w:t>(accesibilidad),</w:t>
                              </w:r>
                              <w:r>
                                <w:rPr>
                                  <w:spacing w:val="-1"/>
                                  <w:sz w:val="16"/>
                                </w:rPr>
                                <w:t xml:space="preserve"> </w:t>
                              </w:r>
                              <w:r>
                                <w:rPr>
                                  <w:sz w:val="16"/>
                                </w:rPr>
                                <w:t>13</w:t>
                              </w:r>
                            </w:p>
                            <w:p w14:paraId="5A1D7CD9" w14:textId="77777777" w:rsidR="0014798C" w:rsidRDefault="004E1F0B">
                              <w:pPr>
                                <w:spacing w:line="326" w:lineRule="auto"/>
                                <w:ind w:left="6" w:right="1337" w:firstLine="13"/>
                                <w:rPr>
                                  <w:sz w:val="16"/>
                                </w:rPr>
                              </w:pPr>
                              <w:r>
                                <w:rPr>
                                  <w:sz w:val="16"/>
                                </w:rPr>
                                <w:t>(acceso</w:t>
                              </w:r>
                              <w:r>
                                <w:rPr>
                                  <w:spacing w:val="-8"/>
                                  <w:sz w:val="16"/>
                                </w:rPr>
                                <w:t xml:space="preserve"> </w:t>
                              </w:r>
                              <w:r>
                                <w:rPr>
                                  <w:sz w:val="16"/>
                                </w:rPr>
                                <w:t>a</w:t>
                              </w:r>
                              <w:r>
                                <w:rPr>
                                  <w:spacing w:val="-8"/>
                                  <w:sz w:val="16"/>
                                </w:rPr>
                                <w:t xml:space="preserve"> </w:t>
                              </w:r>
                              <w:r>
                                <w:rPr>
                                  <w:sz w:val="16"/>
                                </w:rPr>
                                <w:t>la</w:t>
                              </w:r>
                              <w:r>
                                <w:rPr>
                                  <w:spacing w:val="-8"/>
                                  <w:sz w:val="16"/>
                                </w:rPr>
                                <w:t xml:space="preserve"> </w:t>
                              </w:r>
                              <w:r>
                                <w:rPr>
                                  <w:sz w:val="16"/>
                                </w:rPr>
                                <w:t>justicia),</w:t>
                              </w:r>
                              <w:r>
                                <w:rPr>
                                  <w:spacing w:val="-7"/>
                                  <w:sz w:val="16"/>
                                </w:rPr>
                                <w:t xml:space="preserve"> </w:t>
                              </w:r>
                              <w:r>
                                <w:rPr>
                                  <w:sz w:val="16"/>
                                </w:rPr>
                                <w:t>20</w:t>
                              </w:r>
                              <w:r>
                                <w:rPr>
                                  <w:spacing w:val="-8"/>
                                  <w:sz w:val="16"/>
                                </w:rPr>
                                <w:t xml:space="preserve"> </w:t>
                              </w:r>
                              <w:r>
                                <w:rPr>
                                  <w:sz w:val="16"/>
                                </w:rPr>
                                <w:t>(movilidad</w:t>
                              </w:r>
                              <w:r>
                                <w:rPr>
                                  <w:spacing w:val="-8"/>
                                  <w:sz w:val="16"/>
                                </w:rPr>
                                <w:t xml:space="preserve"> </w:t>
                              </w:r>
                              <w:r>
                                <w:rPr>
                                  <w:sz w:val="16"/>
                                </w:rPr>
                                <w:t>personal),</w:t>
                              </w:r>
                              <w:r>
                                <w:rPr>
                                  <w:spacing w:val="-7"/>
                                  <w:sz w:val="16"/>
                                </w:rPr>
                                <w:t xml:space="preserve"> </w:t>
                              </w:r>
                              <w:r>
                                <w:rPr>
                                  <w:sz w:val="16"/>
                                </w:rPr>
                                <w:t>24</w:t>
                              </w:r>
                              <w:r>
                                <w:rPr>
                                  <w:spacing w:val="-8"/>
                                  <w:sz w:val="16"/>
                                </w:rPr>
                                <w:t xml:space="preserve"> </w:t>
                              </w:r>
                              <w:r>
                                <w:rPr>
                                  <w:sz w:val="16"/>
                                </w:rPr>
                                <w:t>(educación),</w:t>
                              </w:r>
                              <w:r>
                                <w:rPr>
                                  <w:spacing w:val="-7"/>
                                  <w:sz w:val="16"/>
                                </w:rPr>
                                <w:t xml:space="preserve"> </w:t>
                              </w:r>
                              <w:r>
                                <w:rPr>
                                  <w:sz w:val="16"/>
                                </w:rPr>
                                <w:t>25</w:t>
                              </w:r>
                              <w:r>
                                <w:rPr>
                                  <w:spacing w:val="-8"/>
                                  <w:sz w:val="16"/>
                                </w:rPr>
                                <w:t xml:space="preserve"> </w:t>
                              </w:r>
                              <w:r>
                                <w:rPr>
                                  <w:sz w:val="16"/>
                                </w:rPr>
                                <w:t>(salud),</w:t>
                              </w:r>
                              <w:r>
                                <w:rPr>
                                  <w:spacing w:val="-7"/>
                                  <w:sz w:val="16"/>
                                </w:rPr>
                                <w:t xml:space="preserve"> </w:t>
                              </w:r>
                              <w:r>
                                <w:rPr>
                                  <w:sz w:val="16"/>
                                </w:rPr>
                                <w:t>26</w:t>
                              </w:r>
                              <w:r>
                                <w:rPr>
                                  <w:spacing w:val="-8"/>
                                  <w:sz w:val="16"/>
                                </w:rPr>
                                <w:t xml:space="preserve"> </w:t>
                              </w:r>
                              <w:r>
                                <w:rPr>
                                  <w:sz w:val="16"/>
                                </w:rPr>
                                <w:t>(habilitación</w:t>
                              </w:r>
                              <w:r>
                                <w:rPr>
                                  <w:spacing w:val="-8"/>
                                  <w:sz w:val="16"/>
                                </w:rPr>
                                <w:t xml:space="preserve"> </w:t>
                              </w:r>
                              <w:r>
                                <w:rPr>
                                  <w:sz w:val="16"/>
                                </w:rPr>
                                <w:t>y</w:t>
                              </w:r>
                              <w:r>
                                <w:rPr>
                                  <w:spacing w:val="-8"/>
                                  <w:sz w:val="16"/>
                                </w:rPr>
                                <w:t xml:space="preserve"> </w:t>
                              </w:r>
                              <w:r>
                                <w:rPr>
                                  <w:sz w:val="16"/>
                                </w:rPr>
                                <w:t>rehabilitación).</w:t>
                              </w:r>
                              <w:r>
                                <w:rPr>
                                  <w:spacing w:val="-8"/>
                                  <w:sz w:val="16"/>
                                </w:rPr>
                                <w:t xml:space="preserve"> </w:t>
                              </w:r>
                              <w:r>
                                <w:rPr>
                                  <w:sz w:val="16"/>
                                </w:rPr>
                                <w:t>),</w:t>
                              </w:r>
                              <w:r>
                                <w:rPr>
                                  <w:spacing w:val="-7"/>
                                  <w:sz w:val="16"/>
                                </w:rPr>
                                <w:t xml:space="preserve"> </w:t>
                              </w:r>
                              <w:r>
                                <w:rPr>
                                  <w:sz w:val="16"/>
                                </w:rPr>
                                <w:t>27</w:t>
                              </w:r>
                              <w:r>
                                <w:rPr>
                                  <w:spacing w:val="-8"/>
                                  <w:sz w:val="16"/>
                                </w:rPr>
                                <w:t xml:space="preserve"> </w:t>
                              </w:r>
                              <w:r>
                                <w:rPr>
                                  <w:sz w:val="16"/>
                                </w:rPr>
                                <w:t>(trabajo</w:t>
                              </w:r>
                              <w:r>
                                <w:rPr>
                                  <w:spacing w:val="-8"/>
                                  <w:sz w:val="16"/>
                                </w:rPr>
                                <w:t xml:space="preserve"> </w:t>
                              </w:r>
                              <w:r>
                                <w:rPr>
                                  <w:sz w:val="16"/>
                                </w:rPr>
                                <w:t>y</w:t>
                              </w:r>
                              <w:r>
                                <w:rPr>
                                  <w:spacing w:val="-8"/>
                                  <w:sz w:val="16"/>
                                </w:rPr>
                                <w:t xml:space="preserve"> </w:t>
                              </w:r>
                              <w:r>
                                <w:rPr>
                                  <w:sz w:val="16"/>
                                </w:rPr>
                                <w:t>empleo)</w:t>
                              </w:r>
                              <w:r>
                                <w:rPr>
                                  <w:spacing w:val="-8"/>
                                  <w:sz w:val="16"/>
                                </w:rPr>
                                <w:t xml:space="preserve"> </w:t>
                              </w:r>
                              <w:r>
                                <w:rPr>
                                  <w:sz w:val="16"/>
                                </w:rPr>
                                <w:t>y 28 (nivel de vida adecuado y protección social).</w:t>
                              </w:r>
                            </w:p>
                          </w:txbxContent>
                        </wps:txbx>
                        <wps:bodyPr wrap="square" lIns="0" tIns="0" rIns="0" bIns="0" rtlCol="0">
                          <a:noAutofit/>
                        </wps:bodyPr>
                      </wps:wsp>
                    </wpg:wgp>
                  </a:graphicData>
                </a:graphic>
              </wp:anchor>
            </w:drawing>
          </mc:Choice>
          <mc:Fallback>
            <w:pict>
              <v:group w14:anchorId="24BF54DA" id="Group 391" o:spid="_x0000_s1188" style="position:absolute;left:0;text-align:left;margin-left:65.1pt;margin-top:16.3pt;width:529.95pt;height:170.2pt;z-index:251658340;mso-wrap-distance-left:0;mso-wrap-distance-right:0;mso-position-horizontal-relative:page" coordsize="67303,21615"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">
                <v:shape id="Image 392" o:spid="_x0000_s1189" type="#_x0000_t75" style="position:absolute;width:67298;height:2161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">
                  <v:imagedata r:id="rId366" o:title=""/>
                </v:shape>
                <v:shape id="Textbox 393" o:spid="_x0000_s1190" type="#_x0000_t202" style="position:absolute;width:67303;height:2161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" filled="f" stroked="f">
                  <v:textbox inset="0,0,0,0">
                    <w:txbxContent>
                      <w:p w14:paraId="656DBECC" w14:textId="77777777" w:rsidR="0014798C" w:rsidRDefault="004E1F0B">
                        <w:pPr>
                          <w:spacing w:before="182" w:line="326" w:lineRule="auto"/>
                          <w:ind w:left="6" w:right="1226" w:hanging="2"/>
                          <w:rPr>
                            <w:sz w:val="16"/>
                          </w:rPr>
                        </w:pPr>
                        <w:r>
                          <w:rPr>
                            <w:sz w:val="16"/>
                          </w:rPr>
                          <w:t>El</w:t>
                        </w:r>
                        <w:r>
                          <w:rPr>
                            <w:spacing w:val="-8"/>
                            <w:sz w:val="16"/>
                          </w:rPr>
                          <w:t xml:space="preserve"> </w:t>
                        </w:r>
                        <w:r>
                          <w:rPr>
                            <w:sz w:val="16"/>
                          </w:rPr>
                          <w:t>artículo</w:t>
                        </w:r>
                        <w:r>
                          <w:rPr>
                            <w:spacing w:val="-8"/>
                            <w:sz w:val="16"/>
                          </w:rPr>
                          <w:t xml:space="preserve"> </w:t>
                        </w:r>
                        <w:r>
                          <w:rPr>
                            <w:sz w:val="16"/>
                          </w:rPr>
                          <w:t>4</w:t>
                        </w:r>
                        <w:r>
                          <w:rPr>
                            <w:spacing w:val="-8"/>
                            <w:sz w:val="16"/>
                          </w:rPr>
                          <w:t xml:space="preserve"> </w:t>
                        </w:r>
                        <w:r>
                          <w:rPr>
                            <w:sz w:val="16"/>
                          </w:rPr>
                          <w:t>(1)</w:t>
                        </w:r>
                        <w:r>
                          <w:rPr>
                            <w:spacing w:val="-8"/>
                            <w:sz w:val="16"/>
                          </w:rPr>
                          <w:t xml:space="preserve"> </w:t>
                        </w:r>
                        <w:r>
                          <w:rPr>
                            <w:sz w:val="16"/>
                          </w:rPr>
                          <w:t>(i)</w:t>
                        </w:r>
                        <w:r>
                          <w:rPr>
                            <w:spacing w:val="-8"/>
                            <w:sz w:val="16"/>
                          </w:rPr>
                          <w:t xml:space="preserve"> </w:t>
                        </w:r>
                        <w:r>
                          <w:rPr>
                            <w:sz w:val="16"/>
                          </w:rPr>
                          <w:t>de</w:t>
                        </w:r>
                        <w:r>
                          <w:rPr>
                            <w:spacing w:val="-8"/>
                            <w:sz w:val="16"/>
                          </w:rPr>
                          <w:t xml:space="preserve"> </w:t>
                        </w:r>
                        <w:r>
                          <w:rPr>
                            <w:sz w:val="16"/>
                          </w:rPr>
                          <w:t>la</w:t>
                        </w:r>
                        <w:r>
                          <w:rPr>
                            <w:spacing w:val="-8"/>
                            <w:sz w:val="16"/>
                          </w:rPr>
                          <w:t xml:space="preserve"> </w:t>
                        </w:r>
                        <w:r>
                          <w:rPr>
                            <w:sz w:val="16"/>
                          </w:rPr>
                          <w:t>Convención</w:t>
                        </w:r>
                        <w:r>
                          <w:rPr>
                            <w:spacing w:val="-8"/>
                            <w:sz w:val="16"/>
                          </w:rPr>
                          <w:t xml:space="preserve"> </w:t>
                        </w:r>
                        <w:r>
                          <w:rPr>
                            <w:sz w:val="16"/>
                          </w:rPr>
                          <w:t>sobre</w:t>
                        </w:r>
                        <w:r>
                          <w:rPr>
                            <w:spacing w:val="-8"/>
                            <w:sz w:val="16"/>
                          </w:rPr>
                          <w:t xml:space="preserve"> </w:t>
                        </w:r>
                        <w:r>
                          <w:rPr>
                            <w:sz w:val="16"/>
                          </w:rPr>
                          <w:t>los</w:t>
                        </w:r>
                        <w:r>
                          <w:rPr>
                            <w:spacing w:val="-8"/>
                            <w:sz w:val="16"/>
                          </w:rPr>
                          <w:t xml:space="preserve"> </w:t>
                        </w:r>
                        <w:r>
                          <w:rPr>
                            <w:sz w:val="16"/>
                          </w:rPr>
                          <w:t>Derechos</w:t>
                        </w:r>
                        <w:r>
                          <w:rPr>
                            <w:spacing w:val="-8"/>
                            <w:sz w:val="16"/>
                          </w:rPr>
                          <w:t xml:space="preserve"> </w:t>
                        </w:r>
                        <w:r>
                          <w:rPr>
                            <w:sz w:val="16"/>
                          </w:rPr>
                          <w:t>de</w:t>
                        </w:r>
                        <w:r>
                          <w:rPr>
                            <w:spacing w:val="-8"/>
                            <w:sz w:val="16"/>
                          </w:rPr>
                          <w:t xml:space="preserve"> </w:t>
                        </w:r>
                        <w:r>
                          <w:rPr>
                            <w:sz w:val="16"/>
                          </w:rPr>
                          <w:t>las</w:t>
                        </w:r>
                        <w:r>
                          <w:rPr>
                            <w:spacing w:val="-8"/>
                            <w:sz w:val="16"/>
                          </w:rPr>
                          <w:t xml:space="preserve"> </w:t>
                        </w:r>
                        <w:r>
                          <w:rPr>
                            <w:sz w:val="16"/>
                          </w:rPr>
                          <w:t>Personas</w:t>
                        </w:r>
                        <w:r>
                          <w:rPr>
                            <w:spacing w:val="-8"/>
                            <w:sz w:val="16"/>
                          </w:rPr>
                          <w:t xml:space="preserve"> </w:t>
                        </w:r>
                        <w:r>
                          <w:rPr>
                            <w:sz w:val="16"/>
                          </w:rPr>
                          <w:t>con</w:t>
                        </w:r>
                        <w:r>
                          <w:rPr>
                            <w:spacing w:val="-8"/>
                            <w:sz w:val="16"/>
                          </w:rPr>
                          <w:t xml:space="preserve"> </w:t>
                        </w:r>
                        <w:r>
                          <w:rPr>
                            <w:sz w:val="16"/>
                          </w:rPr>
                          <w:t>Discapacidad</w:t>
                        </w:r>
                        <w:r>
                          <w:rPr>
                            <w:spacing w:val="-8"/>
                            <w:sz w:val="16"/>
                          </w:rPr>
                          <w:t xml:space="preserve"> </w:t>
                        </w:r>
                        <w:r>
                          <w:rPr>
                            <w:sz w:val="16"/>
                          </w:rPr>
                          <w:t>establece</w:t>
                        </w:r>
                        <w:r>
                          <w:rPr>
                            <w:spacing w:val="-8"/>
                            <w:sz w:val="16"/>
                          </w:rPr>
                          <w:t xml:space="preserve"> </w:t>
                        </w:r>
                        <w:r>
                          <w:rPr>
                            <w:sz w:val="16"/>
                          </w:rPr>
                          <w:t>una</w:t>
                        </w:r>
                        <w:r>
                          <w:rPr>
                            <w:spacing w:val="-8"/>
                            <w:sz w:val="16"/>
                          </w:rPr>
                          <w:t xml:space="preserve"> </w:t>
                        </w:r>
                        <w:r>
                          <w:rPr>
                            <w:sz w:val="16"/>
                          </w:rPr>
                          <w:t>obligación</w:t>
                        </w:r>
                        <w:r>
                          <w:rPr>
                            <w:spacing w:val="-8"/>
                            <w:sz w:val="16"/>
                          </w:rPr>
                          <w:t xml:space="preserve"> </w:t>
                        </w:r>
                        <w:r>
                          <w:rPr>
                            <w:sz w:val="16"/>
                          </w:rPr>
                          <w:t>específica</w:t>
                        </w:r>
                        <w:r>
                          <w:rPr>
                            <w:spacing w:val="-8"/>
                            <w:sz w:val="16"/>
                          </w:rPr>
                          <w:t xml:space="preserve"> </w:t>
                        </w:r>
                        <w:r>
                          <w:rPr>
                            <w:sz w:val="16"/>
                          </w:rPr>
                          <w:t>para los</w:t>
                        </w:r>
                        <w:r>
                          <w:rPr>
                            <w:spacing w:val="-1"/>
                            <w:sz w:val="16"/>
                          </w:rPr>
                          <w:t xml:space="preserve"> </w:t>
                        </w:r>
                        <w:r>
                          <w:rPr>
                            <w:sz w:val="16"/>
                          </w:rPr>
                          <w:t>Estados</w:t>
                        </w:r>
                        <w:r>
                          <w:rPr>
                            <w:spacing w:val="-1"/>
                            <w:sz w:val="16"/>
                          </w:rPr>
                          <w:t xml:space="preserve"> </w:t>
                        </w:r>
                        <w:r>
                          <w:rPr>
                            <w:sz w:val="16"/>
                          </w:rPr>
                          <w:t>de</w:t>
                        </w:r>
                        <w:r>
                          <w:rPr>
                            <w:spacing w:val="-1"/>
                            <w:sz w:val="16"/>
                          </w:rPr>
                          <w:t xml:space="preserve"> </w:t>
                        </w:r>
                        <w:r>
                          <w:rPr>
                            <w:sz w:val="16"/>
                          </w:rPr>
                          <w:t>“promover</w:t>
                        </w:r>
                        <w:r>
                          <w:rPr>
                            <w:spacing w:val="-1"/>
                            <w:sz w:val="16"/>
                          </w:rPr>
                          <w:t xml:space="preserve"> </w:t>
                        </w:r>
                        <w:r>
                          <w:rPr>
                            <w:sz w:val="16"/>
                          </w:rPr>
                          <w:t>la</w:t>
                        </w:r>
                        <w:r>
                          <w:rPr>
                            <w:spacing w:val="-1"/>
                            <w:sz w:val="16"/>
                          </w:rPr>
                          <w:t xml:space="preserve"> </w:t>
                        </w:r>
                        <w:r>
                          <w:rPr>
                            <w:sz w:val="16"/>
                          </w:rPr>
                          <w:t>capacitación</w:t>
                        </w:r>
                        <w:r>
                          <w:rPr>
                            <w:spacing w:val="-1"/>
                            <w:sz w:val="16"/>
                          </w:rPr>
                          <w:t xml:space="preserve"> </w:t>
                        </w:r>
                        <w:r>
                          <w:rPr>
                            <w:sz w:val="16"/>
                          </w:rPr>
                          <w:t>de</w:t>
                        </w:r>
                        <w:r>
                          <w:rPr>
                            <w:spacing w:val="-1"/>
                            <w:sz w:val="16"/>
                          </w:rPr>
                          <w:t xml:space="preserve"> </w:t>
                        </w:r>
                        <w:r>
                          <w:rPr>
                            <w:sz w:val="16"/>
                          </w:rPr>
                          <w:t>los</w:t>
                        </w:r>
                        <w:r>
                          <w:rPr>
                            <w:spacing w:val="-1"/>
                            <w:sz w:val="16"/>
                          </w:rPr>
                          <w:t xml:space="preserve"> </w:t>
                        </w:r>
                        <w:r>
                          <w:rPr>
                            <w:sz w:val="16"/>
                          </w:rPr>
                          <w:t>profesionales</w:t>
                        </w:r>
                        <w:r>
                          <w:rPr>
                            <w:spacing w:val="-1"/>
                            <w:sz w:val="16"/>
                          </w:rPr>
                          <w:t xml:space="preserve"> </w:t>
                        </w:r>
                        <w:r>
                          <w:rPr>
                            <w:sz w:val="16"/>
                          </w:rPr>
                          <w:t>y</w:t>
                        </w:r>
                        <w:r>
                          <w:rPr>
                            <w:spacing w:val="-1"/>
                            <w:sz w:val="16"/>
                          </w:rPr>
                          <w:t xml:space="preserve"> </w:t>
                        </w:r>
                        <w:r>
                          <w:rPr>
                            <w:sz w:val="16"/>
                          </w:rPr>
                          <w:t>del</w:t>
                        </w:r>
                        <w:r>
                          <w:rPr>
                            <w:spacing w:val="-1"/>
                            <w:sz w:val="16"/>
                          </w:rPr>
                          <w:t xml:space="preserve"> </w:t>
                        </w:r>
                        <w:r>
                          <w:rPr>
                            <w:sz w:val="16"/>
                          </w:rPr>
                          <w:t>personal</w:t>
                        </w:r>
                        <w:r>
                          <w:rPr>
                            <w:spacing w:val="-1"/>
                            <w:sz w:val="16"/>
                          </w:rPr>
                          <w:t xml:space="preserve"> </w:t>
                        </w:r>
                        <w:r>
                          <w:rPr>
                            <w:sz w:val="16"/>
                          </w:rPr>
                          <w:t>que</w:t>
                        </w:r>
                        <w:r>
                          <w:rPr>
                            <w:spacing w:val="-1"/>
                            <w:sz w:val="16"/>
                          </w:rPr>
                          <w:t xml:space="preserve"> </w:t>
                        </w:r>
                        <w:r>
                          <w:rPr>
                            <w:sz w:val="16"/>
                          </w:rPr>
                          <w:t>trabaja</w:t>
                        </w:r>
                        <w:r>
                          <w:rPr>
                            <w:spacing w:val="-1"/>
                            <w:sz w:val="16"/>
                          </w:rPr>
                          <w:t xml:space="preserve"> </w:t>
                        </w:r>
                        <w:r>
                          <w:rPr>
                            <w:sz w:val="16"/>
                          </w:rPr>
                          <w:t>con</w:t>
                        </w:r>
                        <w:r>
                          <w:rPr>
                            <w:spacing w:val="-1"/>
                            <w:sz w:val="16"/>
                          </w:rPr>
                          <w:t xml:space="preserve"> </w:t>
                        </w:r>
                        <w:r>
                          <w:rPr>
                            <w:sz w:val="16"/>
                          </w:rPr>
                          <w:t>personas</w:t>
                        </w:r>
                        <w:r>
                          <w:rPr>
                            <w:spacing w:val="-1"/>
                            <w:sz w:val="16"/>
                          </w:rPr>
                          <w:t xml:space="preserve"> </w:t>
                        </w:r>
                        <w:r>
                          <w:rPr>
                            <w:sz w:val="16"/>
                          </w:rPr>
                          <w:t>con</w:t>
                        </w:r>
                        <w:r>
                          <w:rPr>
                            <w:spacing w:val="-1"/>
                            <w:sz w:val="16"/>
                          </w:rPr>
                          <w:t xml:space="preserve"> </w:t>
                        </w:r>
                        <w:r>
                          <w:rPr>
                            <w:sz w:val="16"/>
                          </w:rPr>
                          <w:t>discapacidad</w:t>
                        </w:r>
                        <w:r>
                          <w:rPr>
                            <w:spacing w:val="-1"/>
                            <w:sz w:val="16"/>
                          </w:rPr>
                          <w:t xml:space="preserve"> </w:t>
                        </w:r>
                        <w:r>
                          <w:rPr>
                            <w:sz w:val="16"/>
                          </w:rPr>
                          <w:t>en</w:t>
                        </w:r>
                        <w:r>
                          <w:rPr>
                            <w:spacing w:val="-1"/>
                            <w:sz w:val="16"/>
                          </w:rPr>
                          <w:t xml:space="preserve"> </w:t>
                        </w:r>
                        <w:r>
                          <w:rPr>
                            <w:sz w:val="16"/>
                          </w:rPr>
                          <w:t>los derechos</w:t>
                        </w:r>
                        <w:r>
                          <w:rPr>
                            <w:spacing w:val="-1"/>
                            <w:sz w:val="16"/>
                          </w:rPr>
                          <w:t xml:space="preserve"> </w:t>
                        </w:r>
                        <w:r>
                          <w:rPr>
                            <w:sz w:val="16"/>
                          </w:rPr>
                          <w:t>reconocidos</w:t>
                        </w:r>
                        <w:r>
                          <w:rPr>
                            <w:spacing w:val="-1"/>
                            <w:sz w:val="16"/>
                          </w:rPr>
                          <w:t xml:space="preserve"> </w:t>
                        </w:r>
                        <w:r>
                          <w:rPr>
                            <w:sz w:val="16"/>
                          </w:rPr>
                          <w:t>en</w:t>
                        </w:r>
                        <w:r>
                          <w:rPr>
                            <w:spacing w:val="-1"/>
                            <w:sz w:val="16"/>
                          </w:rPr>
                          <w:t xml:space="preserve"> </w:t>
                        </w:r>
                        <w:r>
                          <w:rPr>
                            <w:sz w:val="16"/>
                          </w:rPr>
                          <w:t>esta</w:t>
                        </w:r>
                        <w:r>
                          <w:rPr>
                            <w:spacing w:val="-1"/>
                            <w:sz w:val="16"/>
                          </w:rPr>
                          <w:t xml:space="preserve"> </w:t>
                        </w:r>
                        <w:r>
                          <w:rPr>
                            <w:sz w:val="16"/>
                          </w:rPr>
                          <w:t>Convención”. En</w:t>
                        </w:r>
                        <w:r>
                          <w:rPr>
                            <w:spacing w:val="-1"/>
                            <w:sz w:val="16"/>
                          </w:rPr>
                          <w:t xml:space="preserve"> </w:t>
                        </w:r>
                        <w:r>
                          <w:rPr>
                            <w:sz w:val="16"/>
                          </w:rPr>
                          <w:t>su</w:t>
                        </w:r>
                        <w:r>
                          <w:rPr>
                            <w:spacing w:val="-1"/>
                            <w:sz w:val="16"/>
                          </w:rPr>
                          <w:t xml:space="preserve"> </w:t>
                        </w:r>
                        <w:r>
                          <w:rPr>
                            <w:sz w:val="16"/>
                          </w:rPr>
                          <w:t>Observación</w:t>
                        </w:r>
                        <w:r>
                          <w:rPr>
                            <w:spacing w:val="-1"/>
                            <w:sz w:val="16"/>
                          </w:rPr>
                          <w:t xml:space="preserve"> </w:t>
                        </w:r>
                        <w:r>
                          <w:rPr>
                            <w:sz w:val="16"/>
                          </w:rPr>
                          <w:t>general</w:t>
                        </w:r>
                        <w:r>
                          <w:rPr>
                            <w:spacing w:val="-1"/>
                            <w:sz w:val="16"/>
                          </w:rPr>
                          <w:t xml:space="preserve"> </w:t>
                        </w:r>
                        <w:r>
                          <w:rPr>
                            <w:sz w:val="16"/>
                          </w:rPr>
                          <w:t>núm.</w:t>
                        </w:r>
                        <w:r>
                          <w:rPr>
                            <w:spacing w:val="-1"/>
                            <w:sz w:val="16"/>
                          </w:rPr>
                          <w:t xml:space="preserve"> </w:t>
                        </w:r>
                        <w:r>
                          <w:rPr>
                            <w:sz w:val="16"/>
                          </w:rPr>
                          <w:t>6</w:t>
                        </w:r>
                        <w:r>
                          <w:rPr>
                            <w:spacing w:val="-1"/>
                            <w:sz w:val="16"/>
                          </w:rPr>
                          <w:t xml:space="preserve"> </w:t>
                        </w:r>
                        <w:r>
                          <w:rPr>
                            <w:sz w:val="16"/>
                          </w:rPr>
                          <w:t>(2018),</w:t>
                        </w:r>
                        <w:r>
                          <w:rPr>
                            <w:spacing w:val="-1"/>
                            <w:sz w:val="16"/>
                          </w:rPr>
                          <w:t xml:space="preserve"> </w:t>
                        </w:r>
                        <w:r>
                          <w:rPr>
                            <w:sz w:val="16"/>
                          </w:rPr>
                          <w:t>el</w:t>
                        </w:r>
                        <w:r>
                          <w:rPr>
                            <w:spacing w:val="-1"/>
                            <w:sz w:val="16"/>
                          </w:rPr>
                          <w:t xml:space="preserve"> </w:t>
                        </w:r>
                        <w:r>
                          <w:rPr>
                            <w:sz w:val="16"/>
                          </w:rPr>
                          <w:t>Comité</w:t>
                        </w:r>
                        <w:r>
                          <w:rPr>
                            <w:spacing w:val="-1"/>
                            <w:sz w:val="16"/>
                          </w:rPr>
                          <w:t xml:space="preserve"> </w:t>
                        </w:r>
                        <w:r>
                          <w:rPr>
                            <w:sz w:val="16"/>
                          </w:rPr>
                          <w:t>sobre</w:t>
                        </w:r>
                        <w:r>
                          <w:rPr>
                            <w:spacing w:val="-1"/>
                            <w:sz w:val="16"/>
                          </w:rPr>
                          <w:t xml:space="preserve"> </w:t>
                        </w:r>
                        <w:r>
                          <w:rPr>
                            <w:sz w:val="16"/>
                          </w:rPr>
                          <w:t>los</w:t>
                        </w:r>
                        <w:r>
                          <w:rPr>
                            <w:spacing w:val="-1"/>
                            <w:sz w:val="16"/>
                          </w:rPr>
                          <w:t xml:space="preserve"> </w:t>
                        </w:r>
                        <w:r>
                          <w:rPr>
                            <w:sz w:val="16"/>
                          </w:rPr>
                          <w:t>Derechos</w:t>
                        </w:r>
                        <w:r>
                          <w:rPr>
                            <w:spacing w:val="-1"/>
                            <w:sz w:val="16"/>
                          </w:rPr>
                          <w:t xml:space="preserve"> </w:t>
                        </w:r>
                        <w:r>
                          <w:rPr>
                            <w:sz w:val="16"/>
                          </w:rPr>
                          <w:t>de</w:t>
                        </w:r>
                        <w:r>
                          <w:rPr>
                            <w:spacing w:val="-1"/>
                            <w:sz w:val="16"/>
                          </w:rPr>
                          <w:t xml:space="preserve"> </w:t>
                        </w:r>
                        <w:r>
                          <w:rPr>
                            <w:sz w:val="16"/>
                          </w:rPr>
                          <w:t>las Personas</w:t>
                        </w:r>
                        <w:r>
                          <w:rPr>
                            <w:spacing w:val="-1"/>
                            <w:sz w:val="16"/>
                          </w:rPr>
                          <w:t xml:space="preserve"> </w:t>
                        </w:r>
                        <w:r>
                          <w:rPr>
                            <w:sz w:val="16"/>
                          </w:rPr>
                          <w:t>con</w:t>
                        </w:r>
                        <w:r>
                          <w:rPr>
                            <w:spacing w:val="-1"/>
                            <w:sz w:val="16"/>
                          </w:rPr>
                          <w:t xml:space="preserve"> </w:t>
                        </w:r>
                        <w:r>
                          <w:rPr>
                            <w:sz w:val="16"/>
                          </w:rPr>
                          <w:t>Discapacidad</w:t>
                        </w:r>
                        <w:r>
                          <w:rPr>
                            <w:spacing w:val="-1"/>
                            <w:sz w:val="16"/>
                          </w:rPr>
                          <w:t xml:space="preserve"> </w:t>
                        </w:r>
                        <w:r>
                          <w:rPr>
                            <w:sz w:val="16"/>
                          </w:rPr>
                          <w:t>señala</w:t>
                        </w:r>
                        <w:r>
                          <w:rPr>
                            <w:spacing w:val="-1"/>
                            <w:sz w:val="16"/>
                          </w:rPr>
                          <w:t xml:space="preserve"> </w:t>
                        </w:r>
                        <w:r>
                          <w:rPr>
                            <w:sz w:val="16"/>
                          </w:rPr>
                          <w:t>que</w:t>
                        </w:r>
                        <w:r>
                          <w:rPr>
                            <w:spacing w:val="-1"/>
                            <w:sz w:val="16"/>
                          </w:rPr>
                          <w:t xml:space="preserve"> </w:t>
                        </w:r>
                        <w:r>
                          <w:rPr>
                            <w:sz w:val="16"/>
                          </w:rPr>
                          <w:t>“se</w:t>
                        </w:r>
                        <w:r>
                          <w:rPr>
                            <w:spacing w:val="-1"/>
                            <w:sz w:val="16"/>
                          </w:rPr>
                          <w:t xml:space="preserve"> </w:t>
                        </w:r>
                        <w:r>
                          <w:rPr>
                            <w:sz w:val="16"/>
                          </w:rPr>
                          <w:t>debe</w:t>
                        </w:r>
                        <w:r>
                          <w:rPr>
                            <w:spacing w:val="-1"/>
                            <w:sz w:val="16"/>
                          </w:rPr>
                          <w:t xml:space="preserve"> </w:t>
                        </w:r>
                        <w:r>
                          <w:rPr>
                            <w:sz w:val="16"/>
                          </w:rPr>
                          <w:t>brindar</w:t>
                        </w:r>
                        <w:r>
                          <w:rPr>
                            <w:spacing w:val="-1"/>
                            <w:sz w:val="16"/>
                          </w:rPr>
                          <w:t xml:space="preserve"> </w:t>
                        </w:r>
                        <w:r>
                          <w:rPr>
                            <w:sz w:val="16"/>
                          </w:rPr>
                          <w:t>capacitación</w:t>
                        </w:r>
                        <w:r>
                          <w:rPr>
                            <w:spacing w:val="-1"/>
                            <w:sz w:val="16"/>
                          </w:rPr>
                          <w:t xml:space="preserve"> </w:t>
                        </w:r>
                        <w:r>
                          <w:rPr>
                            <w:sz w:val="16"/>
                          </w:rPr>
                          <w:t>y</w:t>
                        </w:r>
                        <w:r>
                          <w:rPr>
                            <w:spacing w:val="-1"/>
                            <w:sz w:val="16"/>
                          </w:rPr>
                          <w:t xml:space="preserve"> </w:t>
                        </w:r>
                        <w:r>
                          <w:rPr>
                            <w:sz w:val="16"/>
                          </w:rPr>
                          <w:t>educación</w:t>
                        </w:r>
                        <w:r>
                          <w:rPr>
                            <w:spacing w:val="-1"/>
                            <w:sz w:val="16"/>
                          </w:rPr>
                          <w:t xml:space="preserve"> </w:t>
                        </w:r>
                        <w:r>
                          <w:rPr>
                            <w:sz w:val="16"/>
                          </w:rPr>
                          <w:t>a</w:t>
                        </w:r>
                        <w:r>
                          <w:rPr>
                            <w:spacing w:val="-1"/>
                            <w:sz w:val="16"/>
                          </w:rPr>
                          <w:t xml:space="preserve"> </w:t>
                        </w:r>
                        <w:r>
                          <w:rPr>
                            <w:sz w:val="16"/>
                          </w:rPr>
                          <w:t>los</w:t>
                        </w:r>
                        <w:r>
                          <w:rPr>
                            <w:spacing w:val="-1"/>
                            <w:sz w:val="16"/>
                          </w:rPr>
                          <w:t xml:space="preserve"> </w:t>
                        </w:r>
                        <w:r>
                          <w:rPr>
                            <w:sz w:val="16"/>
                          </w:rPr>
                          <w:t>organismos</w:t>
                        </w:r>
                        <w:r>
                          <w:rPr>
                            <w:spacing w:val="-1"/>
                            <w:sz w:val="16"/>
                          </w:rPr>
                          <w:t xml:space="preserve"> </w:t>
                        </w:r>
                        <w:r>
                          <w:rPr>
                            <w:sz w:val="16"/>
                          </w:rPr>
                          <w:t>pertinentes, como</w:t>
                        </w:r>
                        <w:r>
                          <w:rPr>
                            <w:spacing w:val="-1"/>
                            <w:sz w:val="16"/>
                          </w:rPr>
                          <w:t xml:space="preserve"> </w:t>
                        </w:r>
                        <w:r>
                          <w:rPr>
                            <w:sz w:val="16"/>
                          </w:rPr>
                          <w:t>los encargados de tomar decisiones jurídicas, los proveedores de servicios u otras partes interesadas”, señalando que dicha</w:t>
                        </w:r>
                      </w:p>
                      <w:p w14:paraId="3E3D8B80" w14:textId="77777777" w:rsidR="0014798C" w:rsidRDefault="004E1F0B">
                        <w:pPr>
                          <w:spacing w:line="326" w:lineRule="auto"/>
                          <w:ind w:left="4"/>
                          <w:rPr>
                            <w:sz w:val="16"/>
                          </w:rPr>
                        </w:pPr>
                        <w:r>
                          <w:rPr>
                            <w:sz w:val="16"/>
                          </w:rPr>
                          <w:t>sensibilización</w:t>
                        </w:r>
                        <w:r>
                          <w:rPr>
                            <w:spacing w:val="-8"/>
                            <w:sz w:val="16"/>
                          </w:rPr>
                          <w:t xml:space="preserve"> </w:t>
                        </w:r>
                        <w:r>
                          <w:rPr>
                            <w:sz w:val="16"/>
                          </w:rPr>
                          <w:t>es</w:t>
                        </w:r>
                        <w:r>
                          <w:rPr>
                            <w:spacing w:val="-8"/>
                            <w:sz w:val="16"/>
                          </w:rPr>
                          <w:t xml:space="preserve"> </w:t>
                        </w:r>
                        <w:r>
                          <w:rPr>
                            <w:sz w:val="16"/>
                          </w:rPr>
                          <w:t>esencial</w:t>
                        </w:r>
                        <w:r>
                          <w:rPr>
                            <w:spacing w:val="-8"/>
                            <w:sz w:val="16"/>
                          </w:rPr>
                          <w:t xml:space="preserve"> </w:t>
                        </w:r>
                        <w:r>
                          <w:rPr>
                            <w:sz w:val="16"/>
                          </w:rPr>
                          <w:t>para</w:t>
                        </w:r>
                        <w:r>
                          <w:rPr>
                            <w:spacing w:val="-8"/>
                            <w:sz w:val="16"/>
                          </w:rPr>
                          <w:t xml:space="preserve"> </w:t>
                        </w:r>
                        <w:r>
                          <w:rPr>
                            <w:sz w:val="16"/>
                          </w:rPr>
                          <w:t>garantizar</w:t>
                        </w:r>
                        <w:r>
                          <w:rPr>
                            <w:spacing w:val="-8"/>
                            <w:sz w:val="16"/>
                          </w:rPr>
                          <w:t xml:space="preserve"> </w:t>
                        </w:r>
                        <w:r>
                          <w:rPr>
                            <w:sz w:val="16"/>
                          </w:rPr>
                          <w:t>que</w:t>
                        </w:r>
                        <w:r>
                          <w:rPr>
                            <w:spacing w:val="-8"/>
                            <w:sz w:val="16"/>
                          </w:rPr>
                          <w:t xml:space="preserve"> </w:t>
                        </w:r>
                        <w:r>
                          <w:rPr>
                            <w:sz w:val="16"/>
                          </w:rPr>
                          <w:t>las</w:t>
                        </w:r>
                        <w:r>
                          <w:rPr>
                            <w:spacing w:val="-8"/>
                            <w:sz w:val="16"/>
                          </w:rPr>
                          <w:t xml:space="preserve"> </w:t>
                        </w:r>
                        <w:r>
                          <w:rPr>
                            <w:sz w:val="16"/>
                          </w:rPr>
                          <w:t>personas</w:t>
                        </w:r>
                        <w:r>
                          <w:rPr>
                            <w:spacing w:val="-8"/>
                            <w:sz w:val="16"/>
                          </w:rPr>
                          <w:t xml:space="preserve"> </w:t>
                        </w:r>
                        <w:r>
                          <w:rPr>
                            <w:sz w:val="16"/>
                          </w:rPr>
                          <w:t>con</w:t>
                        </w:r>
                        <w:r>
                          <w:rPr>
                            <w:spacing w:val="-8"/>
                            <w:sz w:val="16"/>
                          </w:rPr>
                          <w:t xml:space="preserve"> </w:t>
                        </w:r>
                        <w:r>
                          <w:rPr>
                            <w:sz w:val="16"/>
                          </w:rPr>
                          <w:t>discapacidad</w:t>
                        </w:r>
                        <w:r>
                          <w:rPr>
                            <w:spacing w:val="-8"/>
                            <w:sz w:val="16"/>
                          </w:rPr>
                          <w:t xml:space="preserve"> </w:t>
                        </w:r>
                        <w:r>
                          <w:rPr>
                            <w:sz w:val="16"/>
                          </w:rPr>
                          <w:t>puedan</w:t>
                        </w:r>
                        <w:r>
                          <w:rPr>
                            <w:spacing w:val="-8"/>
                            <w:sz w:val="16"/>
                          </w:rPr>
                          <w:t xml:space="preserve"> </w:t>
                        </w:r>
                        <w:r>
                          <w:rPr>
                            <w:sz w:val="16"/>
                          </w:rPr>
                          <w:t>acceder</w:t>
                        </w:r>
                        <w:r>
                          <w:rPr>
                            <w:spacing w:val="-8"/>
                            <w:sz w:val="16"/>
                          </w:rPr>
                          <w:t xml:space="preserve"> </w:t>
                        </w:r>
                        <w:r>
                          <w:rPr>
                            <w:sz w:val="16"/>
                          </w:rPr>
                          <w:t>a</w:t>
                        </w:r>
                        <w:r>
                          <w:rPr>
                            <w:spacing w:val="-8"/>
                            <w:sz w:val="16"/>
                          </w:rPr>
                          <w:t xml:space="preserve"> </w:t>
                        </w:r>
                        <w:r>
                          <w:rPr>
                            <w:sz w:val="16"/>
                          </w:rPr>
                          <w:t>bienes</w:t>
                        </w:r>
                        <w:r>
                          <w:rPr>
                            <w:spacing w:val="-8"/>
                            <w:sz w:val="16"/>
                          </w:rPr>
                          <w:t xml:space="preserve"> </w:t>
                        </w:r>
                        <w:r>
                          <w:rPr>
                            <w:sz w:val="16"/>
                          </w:rPr>
                          <w:t>y</w:t>
                        </w:r>
                        <w:r>
                          <w:rPr>
                            <w:spacing w:val="-8"/>
                            <w:sz w:val="16"/>
                          </w:rPr>
                          <w:t xml:space="preserve"> </w:t>
                        </w:r>
                        <w:r>
                          <w:rPr>
                            <w:sz w:val="16"/>
                          </w:rPr>
                          <w:t>servicios</w:t>
                        </w:r>
                        <w:r>
                          <w:rPr>
                            <w:spacing w:val="-8"/>
                            <w:sz w:val="16"/>
                          </w:rPr>
                          <w:t xml:space="preserve"> </w:t>
                        </w:r>
                        <w:r>
                          <w:rPr>
                            <w:sz w:val="16"/>
                          </w:rPr>
                          <w:t>en</w:t>
                        </w:r>
                        <w:r>
                          <w:rPr>
                            <w:spacing w:val="-8"/>
                            <w:sz w:val="16"/>
                          </w:rPr>
                          <w:t xml:space="preserve"> </w:t>
                        </w:r>
                        <w:r>
                          <w:rPr>
                            <w:sz w:val="16"/>
                          </w:rPr>
                          <w:t>igualdad</w:t>
                        </w:r>
                        <w:r>
                          <w:rPr>
                            <w:spacing w:val="-8"/>
                            <w:sz w:val="16"/>
                          </w:rPr>
                          <w:t xml:space="preserve"> </w:t>
                        </w:r>
                        <w:r>
                          <w:rPr>
                            <w:sz w:val="16"/>
                          </w:rPr>
                          <w:t>de</w:t>
                        </w:r>
                        <w:r>
                          <w:rPr>
                            <w:spacing w:val="-8"/>
                            <w:sz w:val="16"/>
                          </w:rPr>
                          <w:t xml:space="preserve"> </w:t>
                        </w:r>
                        <w:r>
                          <w:rPr>
                            <w:sz w:val="16"/>
                          </w:rPr>
                          <w:t>condiciones</w:t>
                        </w:r>
                        <w:r>
                          <w:rPr>
                            <w:spacing w:val="-8"/>
                            <w:sz w:val="16"/>
                          </w:rPr>
                          <w:t xml:space="preserve"> </w:t>
                        </w:r>
                        <w:r>
                          <w:rPr>
                            <w:sz w:val="16"/>
                          </w:rPr>
                          <w:t>con</w:t>
                        </w:r>
                        <w:r>
                          <w:rPr>
                            <w:spacing w:val="-8"/>
                            <w:sz w:val="16"/>
                          </w:rPr>
                          <w:t xml:space="preserve"> </w:t>
                        </w:r>
                        <w:proofErr w:type="gramStart"/>
                        <w:r>
                          <w:rPr>
                            <w:sz w:val="16"/>
                          </w:rPr>
                          <w:t>los El</w:t>
                        </w:r>
                        <w:proofErr w:type="gramEnd"/>
                        <w:r>
                          <w:rPr>
                            <w:spacing w:val="-2"/>
                            <w:sz w:val="16"/>
                          </w:rPr>
                          <w:t xml:space="preserve"> </w:t>
                        </w:r>
                        <w:r>
                          <w:rPr>
                            <w:sz w:val="16"/>
                          </w:rPr>
                          <w:t>Convenio</w:t>
                        </w:r>
                        <w:r>
                          <w:rPr>
                            <w:spacing w:val="-2"/>
                            <w:sz w:val="16"/>
                          </w:rPr>
                          <w:t xml:space="preserve"> </w:t>
                        </w:r>
                        <w:r>
                          <w:rPr>
                            <w:sz w:val="16"/>
                          </w:rPr>
                          <w:t>también</w:t>
                        </w:r>
                        <w:r>
                          <w:rPr>
                            <w:spacing w:val="-2"/>
                            <w:sz w:val="16"/>
                          </w:rPr>
                          <w:t xml:space="preserve"> </w:t>
                        </w:r>
                        <w:r>
                          <w:rPr>
                            <w:sz w:val="16"/>
                          </w:rPr>
                          <w:t>incluye</w:t>
                        </w:r>
                        <w:r>
                          <w:rPr>
                            <w:spacing w:val="-2"/>
                            <w:sz w:val="16"/>
                          </w:rPr>
                          <w:t xml:space="preserve"> </w:t>
                        </w:r>
                        <w:r>
                          <w:rPr>
                            <w:sz w:val="16"/>
                          </w:rPr>
                          <w:t>disposiciones</w:t>
                        </w:r>
                        <w:r>
                          <w:rPr>
                            <w:spacing w:val="-2"/>
                            <w:sz w:val="16"/>
                          </w:rPr>
                          <w:t xml:space="preserve"> </w:t>
                        </w:r>
                        <w:r>
                          <w:rPr>
                            <w:sz w:val="16"/>
                          </w:rPr>
                          <w:t>explícitas</w:t>
                        </w:r>
                        <w:r>
                          <w:rPr>
                            <w:spacing w:val="-2"/>
                            <w:sz w:val="16"/>
                          </w:rPr>
                          <w:t xml:space="preserve"> </w:t>
                        </w:r>
                        <w:r>
                          <w:rPr>
                            <w:sz w:val="16"/>
                          </w:rPr>
                          <w:t>sobre</w:t>
                        </w:r>
                        <w:r>
                          <w:rPr>
                            <w:spacing w:val="-2"/>
                            <w:sz w:val="16"/>
                          </w:rPr>
                          <w:t xml:space="preserve"> </w:t>
                        </w:r>
                        <w:r>
                          <w:rPr>
                            <w:sz w:val="16"/>
                          </w:rPr>
                          <w:t>formación</w:t>
                        </w:r>
                        <w:r>
                          <w:rPr>
                            <w:spacing w:val="-2"/>
                            <w:sz w:val="16"/>
                          </w:rPr>
                          <w:t xml:space="preserve"> </w:t>
                        </w:r>
                        <w:r>
                          <w:rPr>
                            <w:sz w:val="16"/>
                          </w:rPr>
                          <w:t>en</w:t>
                        </w:r>
                        <w:r>
                          <w:rPr>
                            <w:spacing w:val="-2"/>
                            <w:sz w:val="16"/>
                          </w:rPr>
                          <w:t xml:space="preserve"> </w:t>
                        </w:r>
                        <w:r>
                          <w:rPr>
                            <w:sz w:val="16"/>
                          </w:rPr>
                          <w:t>los</w:t>
                        </w:r>
                        <w:r>
                          <w:rPr>
                            <w:spacing w:val="-2"/>
                            <w:sz w:val="16"/>
                          </w:rPr>
                          <w:t xml:space="preserve"> </w:t>
                        </w:r>
                        <w:r>
                          <w:rPr>
                            <w:sz w:val="16"/>
                          </w:rPr>
                          <w:t>artículos</w:t>
                        </w:r>
                        <w:r>
                          <w:rPr>
                            <w:spacing w:val="-2"/>
                            <w:sz w:val="16"/>
                          </w:rPr>
                          <w:t xml:space="preserve"> </w:t>
                        </w:r>
                        <w:r>
                          <w:rPr>
                            <w:sz w:val="16"/>
                          </w:rPr>
                          <w:t>8</w:t>
                        </w:r>
                        <w:r>
                          <w:rPr>
                            <w:spacing w:val="-2"/>
                            <w:sz w:val="16"/>
                          </w:rPr>
                          <w:t xml:space="preserve"> </w:t>
                        </w:r>
                        <w:r>
                          <w:rPr>
                            <w:sz w:val="16"/>
                          </w:rPr>
                          <w:t>(sensibilización), 9</w:t>
                        </w:r>
                        <w:r>
                          <w:rPr>
                            <w:spacing w:val="-2"/>
                            <w:sz w:val="16"/>
                          </w:rPr>
                          <w:t xml:space="preserve"> </w:t>
                        </w:r>
                        <w:r>
                          <w:rPr>
                            <w:sz w:val="16"/>
                          </w:rPr>
                          <w:t>(accesibilidad),</w:t>
                        </w:r>
                        <w:r>
                          <w:rPr>
                            <w:spacing w:val="-1"/>
                            <w:sz w:val="16"/>
                          </w:rPr>
                          <w:t xml:space="preserve"> </w:t>
                        </w:r>
                        <w:r>
                          <w:rPr>
                            <w:sz w:val="16"/>
                          </w:rPr>
                          <w:t>13</w:t>
                        </w:r>
                      </w:p>
                      <w:p w14:paraId="5A1D7CD9" w14:textId="77777777" w:rsidR="0014798C" w:rsidRDefault="004E1F0B">
                        <w:pPr>
                          <w:spacing w:line="326" w:lineRule="auto"/>
                          <w:ind w:left="6" w:right="1337" w:firstLine="13"/>
                          <w:rPr>
                            <w:sz w:val="16"/>
                          </w:rPr>
                        </w:pPr>
                        <w:r>
                          <w:rPr>
                            <w:sz w:val="16"/>
                          </w:rPr>
                          <w:t>(acceso</w:t>
                        </w:r>
                        <w:r>
                          <w:rPr>
                            <w:spacing w:val="-8"/>
                            <w:sz w:val="16"/>
                          </w:rPr>
                          <w:t xml:space="preserve"> </w:t>
                        </w:r>
                        <w:r>
                          <w:rPr>
                            <w:sz w:val="16"/>
                          </w:rPr>
                          <w:t>a</w:t>
                        </w:r>
                        <w:r>
                          <w:rPr>
                            <w:spacing w:val="-8"/>
                            <w:sz w:val="16"/>
                          </w:rPr>
                          <w:t xml:space="preserve"> </w:t>
                        </w:r>
                        <w:r>
                          <w:rPr>
                            <w:sz w:val="16"/>
                          </w:rPr>
                          <w:t>la</w:t>
                        </w:r>
                        <w:r>
                          <w:rPr>
                            <w:spacing w:val="-8"/>
                            <w:sz w:val="16"/>
                          </w:rPr>
                          <w:t xml:space="preserve"> </w:t>
                        </w:r>
                        <w:r>
                          <w:rPr>
                            <w:sz w:val="16"/>
                          </w:rPr>
                          <w:t>justicia),</w:t>
                        </w:r>
                        <w:r>
                          <w:rPr>
                            <w:spacing w:val="-7"/>
                            <w:sz w:val="16"/>
                          </w:rPr>
                          <w:t xml:space="preserve"> </w:t>
                        </w:r>
                        <w:r>
                          <w:rPr>
                            <w:sz w:val="16"/>
                          </w:rPr>
                          <w:t>20</w:t>
                        </w:r>
                        <w:r>
                          <w:rPr>
                            <w:spacing w:val="-8"/>
                            <w:sz w:val="16"/>
                          </w:rPr>
                          <w:t xml:space="preserve"> </w:t>
                        </w:r>
                        <w:r>
                          <w:rPr>
                            <w:sz w:val="16"/>
                          </w:rPr>
                          <w:t>(movilidad</w:t>
                        </w:r>
                        <w:r>
                          <w:rPr>
                            <w:spacing w:val="-8"/>
                            <w:sz w:val="16"/>
                          </w:rPr>
                          <w:t xml:space="preserve"> </w:t>
                        </w:r>
                        <w:r>
                          <w:rPr>
                            <w:sz w:val="16"/>
                          </w:rPr>
                          <w:t>personal),</w:t>
                        </w:r>
                        <w:r>
                          <w:rPr>
                            <w:spacing w:val="-7"/>
                            <w:sz w:val="16"/>
                          </w:rPr>
                          <w:t xml:space="preserve"> </w:t>
                        </w:r>
                        <w:r>
                          <w:rPr>
                            <w:sz w:val="16"/>
                          </w:rPr>
                          <w:t>24</w:t>
                        </w:r>
                        <w:r>
                          <w:rPr>
                            <w:spacing w:val="-8"/>
                            <w:sz w:val="16"/>
                          </w:rPr>
                          <w:t xml:space="preserve"> </w:t>
                        </w:r>
                        <w:r>
                          <w:rPr>
                            <w:sz w:val="16"/>
                          </w:rPr>
                          <w:t>(educación),</w:t>
                        </w:r>
                        <w:r>
                          <w:rPr>
                            <w:spacing w:val="-7"/>
                            <w:sz w:val="16"/>
                          </w:rPr>
                          <w:t xml:space="preserve"> </w:t>
                        </w:r>
                        <w:r>
                          <w:rPr>
                            <w:sz w:val="16"/>
                          </w:rPr>
                          <w:t>25</w:t>
                        </w:r>
                        <w:r>
                          <w:rPr>
                            <w:spacing w:val="-8"/>
                            <w:sz w:val="16"/>
                          </w:rPr>
                          <w:t xml:space="preserve"> </w:t>
                        </w:r>
                        <w:r>
                          <w:rPr>
                            <w:sz w:val="16"/>
                          </w:rPr>
                          <w:t>(salud),</w:t>
                        </w:r>
                        <w:r>
                          <w:rPr>
                            <w:spacing w:val="-7"/>
                            <w:sz w:val="16"/>
                          </w:rPr>
                          <w:t xml:space="preserve"> </w:t>
                        </w:r>
                        <w:r>
                          <w:rPr>
                            <w:sz w:val="16"/>
                          </w:rPr>
                          <w:t>26</w:t>
                        </w:r>
                        <w:r>
                          <w:rPr>
                            <w:spacing w:val="-8"/>
                            <w:sz w:val="16"/>
                          </w:rPr>
                          <w:t xml:space="preserve"> </w:t>
                        </w:r>
                        <w:r>
                          <w:rPr>
                            <w:sz w:val="16"/>
                          </w:rPr>
                          <w:t>(habilitación</w:t>
                        </w:r>
                        <w:r>
                          <w:rPr>
                            <w:spacing w:val="-8"/>
                            <w:sz w:val="16"/>
                          </w:rPr>
                          <w:t xml:space="preserve"> </w:t>
                        </w:r>
                        <w:r>
                          <w:rPr>
                            <w:sz w:val="16"/>
                          </w:rPr>
                          <w:t>y</w:t>
                        </w:r>
                        <w:r>
                          <w:rPr>
                            <w:spacing w:val="-8"/>
                            <w:sz w:val="16"/>
                          </w:rPr>
                          <w:t xml:space="preserve"> </w:t>
                        </w:r>
                        <w:r>
                          <w:rPr>
                            <w:sz w:val="16"/>
                          </w:rPr>
                          <w:t>rehabilitación)</w:t>
                        </w:r>
                        <w:proofErr w:type="gramStart"/>
                        <w:r>
                          <w:rPr>
                            <w:sz w:val="16"/>
                          </w:rPr>
                          <w:t>.</w:t>
                        </w:r>
                        <w:r>
                          <w:rPr>
                            <w:spacing w:val="-8"/>
                            <w:sz w:val="16"/>
                          </w:rPr>
                          <w:t xml:space="preserve"> </w:t>
                        </w:r>
                        <w:r>
                          <w:rPr>
                            <w:sz w:val="16"/>
                          </w:rPr>
                          <w:t>)</w:t>
                        </w:r>
                        <w:proofErr w:type="gramEnd"/>
                        <w:r>
                          <w:rPr>
                            <w:sz w:val="16"/>
                          </w:rPr>
                          <w:t>,</w:t>
                        </w:r>
                        <w:r>
                          <w:rPr>
                            <w:spacing w:val="-7"/>
                            <w:sz w:val="16"/>
                          </w:rPr>
                          <w:t xml:space="preserve"> </w:t>
                        </w:r>
                        <w:r>
                          <w:rPr>
                            <w:sz w:val="16"/>
                          </w:rPr>
                          <w:t>27</w:t>
                        </w:r>
                        <w:r>
                          <w:rPr>
                            <w:spacing w:val="-8"/>
                            <w:sz w:val="16"/>
                          </w:rPr>
                          <w:t xml:space="preserve"> </w:t>
                        </w:r>
                        <w:r>
                          <w:rPr>
                            <w:sz w:val="16"/>
                          </w:rPr>
                          <w:t>(trabajo</w:t>
                        </w:r>
                        <w:r>
                          <w:rPr>
                            <w:spacing w:val="-8"/>
                            <w:sz w:val="16"/>
                          </w:rPr>
                          <w:t xml:space="preserve"> </w:t>
                        </w:r>
                        <w:r>
                          <w:rPr>
                            <w:sz w:val="16"/>
                          </w:rPr>
                          <w:t>y</w:t>
                        </w:r>
                        <w:r>
                          <w:rPr>
                            <w:spacing w:val="-8"/>
                            <w:sz w:val="16"/>
                          </w:rPr>
                          <w:t xml:space="preserve"> </w:t>
                        </w:r>
                        <w:r>
                          <w:rPr>
                            <w:sz w:val="16"/>
                          </w:rPr>
                          <w:t>empleo)</w:t>
                        </w:r>
                        <w:r>
                          <w:rPr>
                            <w:spacing w:val="-8"/>
                            <w:sz w:val="16"/>
                          </w:rPr>
                          <w:t xml:space="preserve"> </w:t>
                        </w:r>
                        <w:r>
                          <w:rPr>
                            <w:sz w:val="16"/>
                          </w:rPr>
                          <w:t>y 28 (nivel de vida adecuado y protección social).</w:t>
                        </w:r>
                      </w:p>
                    </w:txbxContent>
                  </v:textbox>
                </v:shape>
                <w10:wrap anchorx="page"/>
              </v:group>
            </w:pict>
          </mc:Fallback>
        </mc:AlternateContent>
      </w:r>
      <w:r>
        <w:rPr>
          <w:noProof/>
        </w:rPr>
        <mc:AlternateContent>
          <mc:Choice Requires="wps">
            <w:drawing>
              <wp:anchor distT="0" distB="0" distL="0" distR="0" simplePos="0" relativeHeight="251658341" behindDoc="0" locked="0" layoutInCell="1" allowOverlap="1" wp14:anchorId="7EBE678C" wp14:editId="69976CF4">
                <wp:simplePos x="0" y="0"/>
                <wp:positionH relativeFrom="page">
                  <wp:posOffset>7308079</wp:posOffset>
                </wp:positionH>
                <wp:positionV relativeFrom="paragraph">
                  <wp:posOffset>761246</wp:posOffset>
                </wp:positionV>
                <wp:extent cx="89535" cy="215265"/>
                <wp:effectExtent l="0" t="0" r="0" b="0"/>
                <wp:wrapNone/>
                <wp:docPr id="394" name="Textbox 39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89535" cy="215265"/>
                        </a:xfrm>
                        <a:prstGeom prst="rect">
                          <a:avLst/>
                        </a:prstGeom>
                      </wps:spPr>
                      <wps:txbx>
                        <w:txbxContent>
                          <w:p w14:paraId="4256227D" w14:textId="77777777" w:rsidR="0014798C" w:rsidRDefault="004E1F0B">
                            <w:pPr>
                              <w:spacing w:before="16"/>
                              <w:ind w:left="20"/>
                              <w:rPr>
                                <w:sz w:val="9"/>
                              </w:rPr>
                            </w:pPr>
                            <w:r>
                              <w:rPr>
                                <w:color w:val="FFFFFF"/>
                                <w:spacing w:val="-23"/>
                                <w:sz w:val="9"/>
                              </w:rPr>
                              <w:t>SPEAIRSTE</w:t>
                            </w:r>
                          </w:p>
                        </w:txbxContent>
                      </wps:txbx>
                      <wps:bodyPr vert="vert270" wrap="square" lIns="0" tIns="0" rIns="0" bIns="0" rtlCol="0">
                        <a:noAutofit/>
                      </wps:bodyPr>
                    </wps:wsp>
                  </a:graphicData>
                </a:graphic>
              </wp:anchor>
            </w:drawing>
          </mc:Choice>
          <mc:Fallback>
            <w:pict>
              <v:shape w14:anchorId="7EBE678C" id="Textbox 394" o:spid="_x0000_s1191" type="#_x0000_t202" style="position:absolute;left:0;text-align:left;margin-left:575.45pt;margin-top:59.95pt;width:7.05pt;height:16.95pt;z-index:251658341;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" filled="f" stroked="f">
                <v:textbox style="layout-flow:vertical;mso-layout-flow-alt:bottom-to-top" inset="0,0,0,0">
                  <w:txbxContent>
                    <w:p w14:paraId="4256227D" w14:textId="77777777" w:rsidR="0014798C" w:rsidRDefault="004E1F0B">
                      <w:pPr>
                        <w:spacing w:before="16"/>
                        <w:ind w:left="20"/>
                        <w:rPr>
                          <w:sz w:val="9"/>
                        </w:rPr>
                      </w:pPr>
                      <w:r>
                        <w:rPr>
                          <w:color w:val="FFFFFF"/>
                          <w:spacing w:val="-23"/>
                          <w:sz w:val="9"/>
                        </w:rPr>
                        <w:t>SPEAIRSTE</w:t>
                      </w:r>
                    </w:p>
                  </w:txbxContent>
                </v:textbox>
                <w10:wrap anchorx="page"/>
              </v:shape>
            </w:pict>
          </mc:Fallback>
        </mc:AlternateContent>
      </w:r>
      <w:r>
        <w:rPr>
          <w:color w:val="FBB315"/>
          <w:sz w:val="23"/>
        </w:rPr>
        <w:t>Formación</w:t>
      </w:r>
      <w:r>
        <w:rPr>
          <w:color w:val="FBB315"/>
          <w:spacing w:val="-11"/>
          <w:sz w:val="23"/>
        </w:rPr>
        <w:t xml:space="preserve"> </w:t>
      </w:r>
      <w:r>
        <w:rPr>
          <w:color w:val="FBB315"/>
          <w:sz w:val="23"/>
        </w:rPr>
        <w:t>y</w:t>
      </w:r>
      <w:r>
        <w:rPr>
          <w:color w:val="FBB315"/>
          <w:spacing w:val="-12"/>
          <w:sz w:val="23"/>
        </w:rPr>
        <w:t xml:space="preserve"> </w:t>
      </w:r>
      <w:r>
        <w:rPr>
          <w:color w:val="FBB315"/>
          <w:spacing w:val="-2"/>
          <w:sz w:val="23"/>
        </w:rPr>
        <w:t>sensibilización</w:t>
      </w:r>
    </w:p>
    <w:p w14:paraId="7500EB6B" w14:textId="77777777" w:rsidR="0014798C" w:rsidRDefault="0014798C">
      <w:pPr>
        <w:pStyle w:val="Textoindependiente"/>
        <w:rPr>
          <w:sz w:val="12"/>
        </w:rPr>
      </w:pPr>
    </w:p>
    <w:p w14:paraId="3F545C29" w14:textId="77777777" w:rsidR="0014798C" w:rsidRDefault="0014798C">
      <w:pPr>
        <w:pStyle w:val="Textoindependiente"/>
        <w:rPr>
          <w:sz w:val="12"/>
        </w:rPr>
      </w:pPr>
    </w:p>
    <w:p w14:paraId="22606724" w14:textId="77777777" w:rsidR="0014798C" w:rsidRDefault="0014798C">
      <w:pPr>
        <w:pStyle w:val="Textoindependiente"/>
        <w:rPr>
          <w:sz w:val="12"/>
        </w:rPr>
      </w:pPr>
    </w:p>
    <w:p w14:paraId="6761862D" w14:textId="77777777" w:rsidR="0014798C" w:rsidRDefault="0014798C">
      <w:pPr>
        <w:pStyle w:val="Textoindependiente"/>
        <w:rPr>
          <w:sz w:val="12"/>
        </w:rPr>
      </w:pPr>
    </w:p>
    <w:p w14:paraId="23654BBC" w14:textId="77777777" w:rsidR="0014798C" w:rsidRDefault="0014798C">
      <w:pPr>
        <w:pStyle w:val="Textoindependiente"/>
        <w:rPr>
          <w:sz w:val="12"/>
        </w:rPr>
      </w:pPr>
    </w:p>
    <w:p w14:paraId="0017278B" w14:textId="77777777" w:rsidR="0014798C" w:rsidRDefault="0014798C">
      <w:pPr>
        <w:pStyle w:val="Textoindependiente"/>
        <w:rPr>
          <w:sz w:val="12"/>
        </w:rPr>
      </w:pPr>
    </w:p>
    <w:p w14:paraId="1354B479" w14:textId="77777777" w:rsidR="0014798C" w:rsidRDefault="0014798C">
      <w:pPr>
        <w:pStyle w:val="Textoindependiente"/>
        <w:rPr>
          <w:sz w:val="12"/>
        </w:rPr>
      </w:pPr>
    </w:p>
    <w:p w14:paraId="339C498B" w14:textId="77777777" w:rsidR="0014798C" w:rsidRDefault="0014798C">
      <w:pPr>
        <w:pStyle w:val="Textoindependiente"/>
        <w:rPr>
          <w:sz w:val="12"/>
        </w:rPr>
      </w:pPr>
    </w:p>
    <w:p w14:paraId="0DBE3ADA" w14:textId="77777777" w:rsidR="0014798C" w:rsidRDefault="0014798C">
      <w:pPr>
        <w:pStyle w:val="Textoindependiente"/>
        <w:rPr>
          <w:sz w:val="12"/>
        </w:rPr>
      </w:pPr>
    </w:p>
    <w:p w14:paraId="55E466EE" w14:textId="77777777" w:rsidR="0014798C" w:rsidRDefault="0014798C">
      <w:pPr>
        <w:pStyle w:val="Textoindependiente"/>
        <w:rPr>
          <w:sz w:val="12"/>
        </w:rPr>
      </w:pPr>
    </w:p>
    <w:p w14:paraId="364D98F8" w14:textId="77777777" w:rsidR="0014798C" w:rsidRDefault="0014798C">
      <w:pPr>
        <w:pStyle w:val="Textoindependiente"/>
        <w:rPr>
          <w:sz w:val="12"/>
        </w:rPr>
      </w:pPr>
    </w:p>
    <w:p w14:paraId="59F23A22" w14:textId="77777777" w:rsidR="0014798C" w:rsidRDefault="0014798C">
      <w:pPr>
        <w:pStyle w:val="Textoindependiente"/>
        <w:rPr>
          <w:sz w:val="12"/>
        </w:rPr>
      </w:pPr>
    </w:p>
    <w:p w14:paraId="3CAD149A" w14:textId="77777777" w:rsidR="0014798C" w:rsidRDefault="0014798C">
      <w:pPr>
        <w:pStyle w:val="Textoindependiente"/>
        <w:rPr>
          <w:sz w:val="12"/>
        </w:rPr>
      </w:pPr>
    </w:p>
    <w:p w14:paraId="56FC2126" w14:textId="77777777" w:rsidR="0014798C" w:rsidRDefault="0014798C">
      <w:pPr>
        <w:pStyle w:val="Textoindependiente"/>
        <w:rPr>
          <w:sz w:val="12"/>
        </w:rPr>
      </w:pPr>
    </w:p>
    <w:p w14:paraId="21909A67" w14:textId="77777777" w:rsidR="0014798C" w:rsidRDefault="0014798C">
      <w:pPr>
        <w:pStyle w:val="Textoindependiente"/>
        <w:rPr>
          <w:sz w:val="12"/>
        </w:rPr>
      </w:pPr>
    </w:p>
    <w:p w14:paraId="438034F7" w14:textId="77777777" w:rsidR="0014798C" w:rsidRDefault="0014798C">
      <w:pPr>
        <w:pStyle w:val="Textoindependiente"/>
        <w:rPr>
          <w:sz w:val="12"/>
        </w:rPr>
      </w:pPr>
    </w:p>
    <w:p w14:paraId="287CAF83" w14:textId="77777777" w:rsidR="0014798C" w:rsidRDefault="0014798C">
      <w:pPr>
        <w:pStyle w:val="Textoindependiente"/>
        <w:rPr>
          <w:sz w:val="12"/>
        </w:rPr>
      </w:pPr>
    </w:p>
    <w:p w14:paraId="52660EE1" w14:textId="77777777" w:rsidR="0014798C" w:rsidRDefault="0014798C">
      <w:pPr>
        <w:pStyle w:val="Textoindependiente"/>
        <w:rPr>
          <w:sz w:val="12"/>
        </w:rPr>
      </w:pPr>
    </w:p>
    <w:p w14:paraId="3055A2DC" w14:textId="77777777" w:rsidR="0014798C" w:rsidRDefault="0014798C">
      <w:pPr>
        <w:pStyle w:val="Textoindependiente"/>
        <w:rPr>
          <w:sz w:val="12"/>
        </w:rPr>
      </w:pPr>
    </w:p>
    <w:p w14:paraId="60559295" w14:textId="77777777" w:rsidR="0014798C" w:rsidRDefault="0014798C">
      <w:pPr>
        <w:pStyle w:val="Textoindependiente"/>
        <w:rPr>
          <w:sz w:val="12"/>
        </w:rPr>
      </w:pPr>
    </w:p>
    <w:p w14:paraId="4DE554F7" w14:textId="77777777" w:rsidR="0014798C" w:rsidRDefault="0014798C">
      <w:pPr>
        <w:pStyle w:val="Textoindependiente"/>
        <w:rPr>
          <w:sz w:val="12"/>
        </w:rPr>
      </w:pPr>
    </w:p>
    <w:p w14:paraId="71F964B7" w14:textId="77777777" w:rsidR="0014798C" w:rsidRDefault="0014798C">
      <w:pPr>
        <w:pStyle w:val="Textoindependiente"/>
        <w:rPr>
          <w:sz w:val="12"/>
        </w:rPr>
      </w:pPr>
    </w:p>
    <w:p w14:paraId="0799AA48" w14:textId="77777777" w:rsidR="0014798C" w:rsidRDefault="0014798C">
      <w:pPr>
        <w:pStyle w:val="Textoindependiente"/>
        <w:rPr>
          <w:sz w:val="12"/>
        </w:rPr>
      </w:pPr>
    </w:p>
    <w:p w14:paraId="2D2651EA" w14:textId="77777777" w:rsidR="0014798C" w:rsidRDefault="0014798C">
      <w:pPr>
        <w:pStyle w:val="Textoindependiente"/>
        <w:rPr>
          <w:sz w:val="12"/>
        </w:rPr>
      </w:pPr>
    </w:p>
    <w:p w14:paraId="32215BF8" w14:textId="77777777" w:rsidR="0014798C" w:rsidRDefault="0014798C">
      <w:pPr>
        <w:pStyle w:val="Textoindependiente"/>
        <w:rPr>
          <w:sz w:val="12"/>
        </w:rPr>
      </w:pPr>
    </w:p>
    <w:p w14:paraId="44D20A64" w14:textId="77777777" w:rsidR="0014798C" w:rsidRDefault="0014798C">
      <w:pPr>
        <w:pStyle w:val="Textoindependiente"/>
        <w:spacing w:before="42"/>
        <w:rPr>
          <w:sz w:val="12"/>
        </w:rPr>
      </w:pPr>
    </w:p>
    <w:p w14:paraId="48E57B3D" w14:textId="77777777" w:rsidR="0014798C" w:rsidRDefault="004E1F0B">
      <w:pPr>
        <w:spacing w:before="1"/>
        <w:ind w:left="1111"/>
        <w:rPr>
          <w:sz w:val="12"/>
        </w:rPr>
      </w:pPr>
      <w:r>
        <w:rPr>
          <w:sz w:val="12"/>
        </w:rPr>
        <w:t>1254</w:t>
      </w:r>
      <w:r>
        <w:rPr>
          <w:spacing w:val="-8"/>
          <w:sz w:val="12"/>
        </w:rPr>
        <w:t xml:space="preserve"> </w:t>
      </w:r>
      <w:r>
        <w:rPr>
          <w:sz w:val="12"/>
        </w:rPr>
        <w:t>Comité</w:t>
      </w:r>
      <w:r>
        <w:rPr>
          <w:spacing w:val="-6"/>
          <w:sz w:val="12"/>
        </w:rPr>
        <w:t xml:space="preserve"> </w:t>
      </w:r>
      <w:r>
        <w:rPr>
          <w:sz w:val="12"/>
        </w:rPr>
        <w:t>para</w:t>
      </w:r>
      <w:r>
        <w:rPr>
          <w:spacing w:val="-5"/>
          <w:sz w:val="12"/>
        </w:rPr>
        <w:t xml:space="preserve"> </w:t>
      </w:r>
      <w:r>
        <w:rPr>
          <w:sz w:val="12"/>
        </w:rPr>
        <w:t>la</w:t>
      </w:r>
      <w:r>
        <w:rPr>
          <w:spacing w:val="-6"/>
          <w:sz w:val="12"/>
        </w:rPr>
        <w:t xml:space="preserve"> </w:t>
      </w:r>
      <w:r>
        <w:rPr>
          <w:sz w:val="12"/>
        </w:rPr>
        <w:t>Eliminación</w:t>
      </w:r>
      <w:r>
        <w:rPr>
          <w:spacing w:val="-6"/>
          <w:sz w:val="12"/>
        </w:rPr>
        <w:t xml:space="preserve"> </w:t>
      </w:r>
      <w:r>
        <w:rPr>
          <w:sz w:val="12"/>
        </w:rPr>
        <w:t>de</w:t>
      </w:r>
      <w:r>
        <w:rPr>
          <w:spacing w:val="-5"/>
          <w:sz w:val="12"/>
        </w:rPr>
        <w:t xml:space="preserve"> </w:t>
      </w:r>
      <w:r>
        <w:rPr>
          <w:sz w:val="12"/>
        </w:rPr>
        <w:t>la</w:t>
      </w:r>
      <w:r>
        <w:rPr>
          <w:spacing w:val="-6"/>
          <w:sz w:val="12"/>
        </w:rPr>
        <w:t xml:space="preserve"> </w:t>
      </w:r>
      <w:r>
        <w:rPr>
          <w:sz w:val="12"/>
        </w:rPr>
        <w:t>Discriminación</w:t>
      </w:r>
      <w:r>
        <w:rPr>
          <w:spacing w:val="-5"/>
          <w:sz w:val="12"/>
        </w:rPr>
        <w:t xml:space="preserve"> </w:t>
      </w:r>
      <w:r>
        <w:rPr>
          <w:sz w:val="12"/>
        </w:rPr>
        <w:t>contra</w:t>
      </w:r>
      <w:r>
        <w:rPr>
          <w:spacing w:val="-6"/>
          <w:sz w:val="12"/>
        </w:rPr>
        <w:t xml:space="preserve"> </w:t>
      </w:r>
      <w:r>
        <w:rPr>
          <w:sz w:val="12"/>
        </w:rPr>
        <w:t>la</w:t>
      </w:r>
      <w:r>
        <w:rPr>
          <w:spacing w:val="-5"/>
          <w:sz w:val="12"/>
        </w:rPr>
        <w:t xml:space="preserve"> </w:t>
      </w:r>
      <w:r>
        <w:rPr>
          <w:sz w:val="12"/>
        </w:rPr>
        <w:t>Mujer,</w:t>
      </w:r>
      <w:r>
        <w:rPr>
          <w:spacing w:val="-5"/>
          <w:sz w:val="12"/>
        </w:rPr>
        <w:t xml:space="preserve"> </w:t>
      </w:r>
      <w:r>
        <w:rPr>
          <w:sz w:val="12"/>
        </w:rPr>
        <w:t>recomendación</w:t>
      </w:r>
      <w:r>
        <w:rPr>
          <w:spacing w:val="-6"/>
          <w:sz w:val="12"/>
        </w:rPr>
        <w:t xml:space="preserve"> </w:t>
      </w:r>
      <w:r>
        <w:rPr>
          <w:sz w:val="12"/>
        </w:rPr>
        <w:t>general</w:t>
      </w:r>
      <w:r>
        <w:rPr>
          <w:spacing w:val="-5"/>
          <w:sz w:val="12"/>
        </w:rPr>
        <w:t xml:space="preserve"> </w:t>
      </w:r>
      <w:r>
        <w:rPr>
          <w:sz w:val="12"/>
        </w:rPr>
        <w:t>núm.</w:t>
      </w:r>
      <w:r>
        <w:rPr>
          <w:spacing w:val="-5"/>
          <w:sz w:val="12"/>
        </w:rPr>
        <w:t xml:space="preserve"> </w:t>
      </w:r>
      <w:r>
        <w:rPr>
          <w:sz w:val="12"/>
        </w:rPr>
        <w:t>28</w:t>
      </w:r>
      <w:r>
        <w:rPr>
          <w:spacing w:val="-6"/>
          <w:sz w:val="12"/>
        </w:rPr>
        <w:t xml:space="preserve"> </w:t>
      </w:r>
      <w:r>
        <w:rPr>
          <w:sz w:val="12"/>
        </w:rPr>
        <w:t>(2010),</w:t>
      </w:r>
      <w:r>
        <w:rPr>
          <w:spacing w:val="-5"/>
          <w:sz w:val="12"/>
        </w:rPr>
        <w:t xml:space="preserve"> </w:t>
      </w:r>
      <w:r>
        <w:rPr>
          <w:sz w:val="12"/>
        </w:rPr>
        <w:t>párr.</w:t>
      </w:r>
      <w:r>
        <w:rPr>
          <w:spacing w:val="-4"/>
          <w:sz w:val="12"/>
        </w:rPr>
        <w:t xml:space="preserve"> </w:t>
      </w:r>
      <w:r>
        <w:rPr>
          <w:spacing w:val="-5"/>
          <w:sz w:val="12"/>
        </w:rPr>
        <w:t>36.</w:t>
      </w:r>
    </w:p>
    <w:p w14:paraId="26B5B5FE" w14:textId="77777777" w:rsidR="0014798C" w:rsidRDefault="004E1F0B">
      <w:pPr>
        <w:spacing w:before="98" w:line="410" w:lineRule="auto"/>
        <w:ind w:left="1111" w:right="3645"/>
        <w:rPr>
          <w:sz w:val="12"/>
        </w:rPr>
      </w:pPr>
      <w:r>
        <w:rPr>
          <w:sz w:val="12"/>
        </w:rPr>
        <w:t>1255</w:t>
      </w:r>
      <w:r>
        <w:rPr>
          <w:spacing w:val="-3"/>
          <w:sz w:val="12"/>
        </w:rPr>
        <w:t xml:space="preserve"> </w:t>
      </w:r>
      <w:r>
        <w:rPr>
          <w:sz w:val="12"/>
        </w:rPr>
        <w:t>Comité</w:t>
      </w:r>
      <w:r>
        <w:rPr>
          <w:spacing w:val="-3"/>
          <w:sz w:val="12"/>
        </w:rPr>
        <w:t xml:space="preserve"> </w:t>
      </w:r>
      <w:r>
        <w:rPr>
          <w:sz w:val="12"/>
        </w:rPr>
        <w:t>para</w:t>
      </w:r>
      <w:r>
        <w:rPr>
          <w:spacing w:val="-3"/>
          <w:sz w:val="12"/>
        </w:rPr>
        <w:t xml:space="preserve"> </w:t>
      </w:r>
      <w:r>
        <w:rPr>
          <w:sz w:val="12"/>
        </w:rPr>
        <w:t>la</w:t>
      </w:r>
      <w:r>
        <w:rPr>
          <w:spacing w:val="-3"/>
          <w:sz w:val="12"/>
        </w:rPr>
        <w:t xml:space="preserve"> </w:t>
      </w:r>
      <w:r>
        <w:rPr>
          <w:sz w:val="12"/>
        </w:rPr>
        <w:t>Eliminación</w:t>
      </w:r>
      <w:r>
        <w:rPr>
          <w:spacing w:val="-3"/>
          <w:sz w:val="12"/>
        </w:rPr>
        <w:t xml:space="preserve"> </w:t>
      </w:r>
      <w:r>
        <w:rPr>
          <w:sz w:val="12"/>
        </w:rPr>
        <w:t>de</w:t>
      </w:r>
      <w:r>
        <w:rPr>
          <w:spacing w:val="-3"/>
          <w:sz w:val="12"/>
        </w:rPr>
        <w:t xml:space="preserve"> </w:t>
      </w:r>
      <w:r>
        <w:rPr>
          <w:sz w:val="12"/>
        </w:rPr>
        <w:t>la</w:t>
      </w:r>
      <w:r>
        <w:rPr>
          <w:spacing w:val="-3"/>
          <w:sz w:val="12"/>
        </w:rPr>
        <w:t xml:space="preserve"> </w:t>
      </w:r>
      <w:r>
        <w:rPr>
          <w:sz w:val="12"/>
        </w:rPr>
        <w:t>Discriminación</w:t>
      </w:r>
      <w:r>
        <w:rPr>
          <w:spacing w:val="-2"/>
          <w:sz w:val="12"/>
        </w:rPr>
        <w:t xml:space="preserve"> </w:t>
      </w:r>
      <w:r>
        <w:rPr>
          <w:sz w:val="12"/>
        </w:rPr>
        <w:t>contra</w:t>
      </w:r>
      <w:r>
        <w:rPr>
          <w:spacing w:val="-3"/>
          <w:sz w:val="12"/>
        </w:rPr>
        <w:t xml:space="preserve"> </w:t>
      </w:r>
      <w:r>
        <w:rPr>
          <w:sz w:val="12"/>
        </w:rPr>
        <w:t>la</w:t>
      </w:r>
      <w:r>
        <w:rPr>
          <w:spacing w:val="-3"/>
          <w:sz w:val="12"/>
        </w:rPr>
        <w:t xml:space="preserve"> </w:t>
      </w:r>
      <w:r>
        <w:rPr>
          <w:sz w:val="12"/>
        </w:rPr>
        <w:t>Mujer,</w:t>
      </w:r>
      <w:r>
        <w:rPr>
          <w:spacing w:val="-2"/>
          <w:sz w:val="12"/>
        </w:rPr>
        <w:t xml:space="preserve"> </w:t>
      </w:r>
      <w:r>
        <w:rPr>
          <w:sz w:val="12"/>
        </w:rPr>
        <w:t>recomendación</w:t>
      </w:r>
      <w:r>
        <w:rPr>
          <w:spacing w:val="-3"/>
          <w:sz w:val="12"/>
        </w:rPr>
        <w:t xml:space="preserve"> </w:t>
      </w:r>
      <w:r>
        <w:rPr>
          <w:sz w:val="12"/>
        </w:rPr>
        <w:t>general</w:t>
      </w:r>
      <w:r>
        <w:rPr>
          <w:spacing w:val="-3"/>
          <w:sz w:val="12"/>
        </w:rPr>
        <w:t xml:space="preserve"> </w:t>
      </w:r>
      <w:r>
        <w:rPr>
          <w:sz w:val="12"/>
        </w:rPr>
        <w:t>núm.</w:t>
      </w:r>
      <w:r>
        <w:rPr>
          <w:spacing w:val="-2"/>
          <w:sz w:val="12"/>
        </w:rPr>
        <w:t xml:space="preserve"> </w:t>
      </w:r>
      <w:r>
        <w:rPr>
          <w:sz w:val="12"/>
        </w:rPr>
        <w:t>36</w:t>
      </w:r>
      <w:r>
        <w:rPr>
          <w:spacing w:val="-3"/>
          <w:sz w:val="12"/>
        </w:rPr>
        <w:t xml:space="preserve"> </w:t>
      </w:r>
      <w:r>
        <w:rPr>
          <w:sz w:val="12"/>
        </w:rPr>
        <w:t>(2017),</w:t>
      </w:r>
      <w:r>
        <w:rPr>
          <w:spacing w:val="-2"/>
          <w:sz w:val="12"/>
        </w:rPr>
        <w:t xml:space="preserve"> </w:t>
      </w:r>
      <w:proofErr w:type="spellStart"/>
      <w:r>
        <w:rPr>
          <w:sz w:val="12"/>
        </w:rPr>
        <w:t>párrs</w:t>
      </w:r>
      <w:proofErr w:type="spellEnd"/>
      <w:r>
        <w:rPr>
          <w:sz w:val="12"/>
        </w:rPr>
        <w:t>.</w:t>
      </w:r>
      <w:r>
        <w:rPr>
          <w:spacing w:val="-2"/>
          <w:sz w:val="12"/>
        </w:rPr>
        <w:t xml:space="preserve"> </w:t>
      </w:r>
      <w:r>
        <w:rPr>
          <w:sz w:val="12"/>
        </w:rPr>
        <w:t>26</w:t>
      </w:r>
      <w:r>
        <w:rPr>
          <w:spacing w:val="-3"/>
          <w:sz w:val="12"/>
        </w:rPr>
        <w:t xml:space="preserve"> </w:t>
      </w:r>
      <w:r>
        <w:rPr>
          <w:sz w:val="12"/>
        </w:rPr>
        <w:t>y</w:t>
      </w:r>
      <w:r>
        <w:rPr>
          <w:spacing w:val="-3"/>
          <w:sz w:val="12"/>
        </w:rPr>
        <w:t xml:space="preserve"> </w:t>
      </w:r>
      <w:r>
        <w:rPr>
          <w:sz w:val="12"/>
        </w:rPr>
        <w:t>27</w:t>
      </w:r>
      <w:r>
        <w:rPr>
          <w:spacing w:val="-3"/>
          <w:sz w:val="12"/>
        </w:rPr>
        <w:t xml:space="preserve"> </w:t>
      </w:r>
      <w:r>
        <w:rPr>
          <w:sz w:val="12"/>
        </w:rPr>
        <w:t>(d).</w:t>
      </w:r>
      <w:r>
        <w:rPr>
          <w:spacing w:val="40"/>
          <w:sz w:val="12"/>
        </w:rPr>
        <w:t xml:space="preserve"> </w:t>
      </w:r>
      <w:r>
        <w:rPr>
          <w:sz w:val="12"/>
        </w:rPr>
        <w:t>1256</w:t>
      </w:r>
      <w:r>
        <w:rPr>
          <w:spacing w:val="-1"/>
          <w:sz w:val="12"/>
        </w:rPr>
        <w:t xml:space="preserve"> </w:t>
      </w:r>
      <w:r>
        <w:rPr>
          <w:sz w:val="12"/>
        </w:rPr>
        <w:t>Comité</w:t>
      </w:r>
      <w:r>
        <w:rPr>
          <w:spacing w:val="-1"/>
          <w:sz w:val="12"/>
        </w:rPr>
        <w:t xml:space="preserve"> </w:t>
      </w:r>
      <w:r>
        <w:rPr>
          <w:sz w:val="12"/>
        </w:rPr>
        <w:t>para</w:t>
      </w:r>
      <w:r>
        <w:rPr>
          <w:spacing w:val="-1"/>
          <w:sz w:val="12"/>
        </w:rPr>
        <w:t xml:space="preserve"> </w:t>
      </w:r>
      <w:r>
        <w:rPr>
          <w:sz w:val="12"/>
        </w:rPr>
        <w:t>la</w:t>
      </w:r>
      <w:r>
        <w:rPr>
          <w:spacing w:val="-1"/>
          <w:sz w:val="12"/>
        </w:rPr>
        <w:t xml:space="preserve"> </w:t>
      </w:r>
      <w:r>
        <w:rPr>
          <w:sz w:val="12"/>
        </w:rPr>
        <w:t>Eliminación</w:t>
      </w:r>
      <w:r>
        <w:rPr>
          <w:spacing w:val="-1"/>
          <w:sz w:val="12"/>
        </w:rPr>
        <w:t xml:space="preserve"> </w:t>
      </w:r>
      <w:r>
        <w:rPr>
          <w:sz w:val="12"/>
        </w:rPr>
        <w:t>de</w:t>
      </w:r>
      <w:r>
        <w:rPr>
          <w:spacing w:val="-1"/>
          <w:sz w:val="12"/>
        </w:rPr>
        <w:t xml:space="preserve"> </w:t>
      </w:r>
      <w:r>
        <w:rPr>
          <w:sz w:val="12"/>
        </w:rPr>
        <w:t>la</w:t>
      </w:r>
      <w:r>
        <w:rPr>
          <w:spacing w:val="-1"/>
          <w:sz w:val="12"/>
        </w:rPr>
        <w:t xml:space="preserve"> </w:t>
      </w:r>
      <w:r>
        <w:rPr>
          <w:sz w:val="12"/>
        </w:rPr>
        <w:t>Discriminación contra</w:t>
      </w:r>
      <w:r>
        <w:rPr>
          <w:spacing w:val="-1"/>
          <w:sz w:val="12"/>
        </w:rPr>
        <w:t xml:space="preserve"> </w:t>
      </w:r>
      <w:r>
        <w:rPr>
          <w:sz w:val="12"/>
        </w:rPr>
        <w:t>la</w:t>
      </w:r>
      <w:r>
        <w:rPr>
          <w:spacing w:val="-1"/>
          <w:sz w:val="12"/>
        </w:rPr>
        <w:t xml:space="preserve"> </w:t>
      </w:r>
      <w:r>
        <w:rPr>
          <w:sz w:val="12"/>
        </w:rPr>
        <w:t>Mujer, recomendación</w:t>
      </w:r>
      <w:r>
        <w:rPr>
          <w:spacing w:val="-1"/>
          <w:sz w:val="12"/>
        </w:rPr>
        <w:t xml:space="preserve"> </w:t>
      </w:r>
      <w:r>
        <w:rPr>
          <w:sz w:val="12"/>
        </w:rPr>
        <w:t>general</w:t>
      </w:r>
      <w:r>
        <w:rPr>
          <w:spacing w:val="-1"/>
          <w:sz w:val="12"/>
        </w:rPr>
        <w:t xml:space="preserve"> </w:t>
      </w:r>
      <w:r>
        <w:rPr>
          <w:sz w:val="12"/>
        </w:rPr>
        <w:t>núm. 28</w:t>
      </w:r>
      <w:r>
        <w:rPr>
          <w:spacing w:val="-1"/>
          <w:sz w:val="12"/>
        </w:rPr>
        <w:t xml:space="preserve"> </w:t>
      </w:r>
      <w:r>
        <w:rPr>
          <w:sz w:val="12"/>
        </w:rPr>
        <w:t>(2010), párr. 36.</w:t>
      </w:r>
    </w:p>
    <w:p w14:paraId="24139B28" w14:textId="77777777" w:rsidR="0014798C" w:rsidRDefault="004E1F0B">
      <w:pPr>
        <w:spacing w:before="1"/>
        <w:ind w:left="1111"/>
        <w:rPr>
          <w:sz w:val="12"/>
        </w:rPr>
      </w:pPr>
      <w:r>
        <w:rPr>
          <w:sz w:val="12"/>
        </w:rPr>
        <w:t>1257</w:t>
      </w:r>
      <w:r>
        <w:rPr>
          <w:spacing w:val="-5"/>
          <w:sz w:val="12"/>
        </w:rPr>
        <w:t xml:space="preserve"> </w:t>
      </w:r>
      <w:proofErr w:type="spellStart"/>
      <w:r>
        <w:rPr>
          <w:sz w:val="12"/>
        </w:rPr>
        <w:t>Ibíd</w:t>
      </w:r>
      <w:proofErr w:type="spellEnd"/>
      <w:r>
        <w:rPr>
          <w:sz w:val="12"/>
        </w:rPr>
        <w:t>.,</w:t>
      </w:r>
      <w:r>
        <w:rPr>
          <w:spacing w:val="-3"/>
          <w:sz w:val="12"/>
        </w:rPr>
        <w:t xml:space="preserve"> </w:t>
      </w:r>
      <w:r>
        <w:rPr>
          <w:sz w:val="12"/>
        </w:rPr>
        <w:t>párr.</w:t>
      </w:r>
      <w:r>
        <w:rPr>
          <w:spacing w:val="-3"/>
          <w:sz w:val="12"/>
        </w:rPr>
        <w:t xml:space="preserve"> </w:t>
      </w:r>
      <w:r>
        <w:rPr>
          <w:sz w:val="12"/>
        </w:rPr>
        <w:t>38</w:t>
      </w:r>
      <w:r>
        <w:rPr>
          <w:spacing w:val="-4"/>
          <w:sz w:val="12"/>
        </w:rPr>
        <w:t xml:space="preserve"> (e).</w:t>
      </w:r>
    </w:p>
    <w:p w14:paraId="1F3404C1" w14:textId="77777777" w:rsidR="0014798C" w:rsidRDefault="004E1F0B">
      <w:pPr>
        <w:spacing w:before="98"/>
        <w:ind w:left="1111"/>
        <w:rPr>
          <w:sz w:val="12"/>
        </w:rPr>
      </w:pPr>
      <w:r>
        <w:rPr>
          <w:sz w:val="12"/>
        </w:rPr>
        <w:t>1258</w:t>
      </w:r>
      <w:r>
        <w:rPr>
          <w:spacing w:val="-4"/>
          <w:sz w:val="12"/>
        </w:rPr>
        <w:t xml:space="preserve"> </w:t>
      </w:r>
      <w:r>
        <w:rPr>
          <w:sz w:val="12"/>
        </w:rPr>
        <w:t>Convención</w:t>
      </w:r>
      <w:r>
        <w:rPr>
          <w:spacing w:val="-4"/>
          <w:sz w:val="12"/>
        </w:rPr>
        <w:t xml:space="preserve"> </w:t>
      </w:r>
      <w:r>
        <w:rPr>
          <w:sz w:val="12"/>
        </w:rPr>
        <w:t>sobre</w:t>
      </w:r>
      <w:r>
        <w:rPr>
          <w:spacing w:val="-4"/>
          <w:sz w:val="12"/>
        </w:rPr>
        <w:t xml:space="preserve"> </w:t>
      </w:r>
      <w:r>
        <w:rPr>
          <w:sz w:val="12"/>
        </w:rPr>
        <w:t>los</w:t>
      </w:r>
      <w:r>
        <w:rPr>
          <w:spacing w:val="-4"/>
          <w:sz w:val="12"/>
        </w:rPr>
        <w:t xml:space="preserve"> </w:t>
      </w:r>
      <w:r>
        <w:rPr>
          <w:sz w:val="12"/>
        </w:rPr>
        <w:t>Derechos</w:t>
      </w:r>
      <w:r>
        <w:rPr>
          <w:spacing w:val="-4"/>
          <w:sz w:val="12"/>
        </w:rPr>
        <w:t xml:space="preserve"> </w:t>
      </w:r>
      <w:r>
        <w:rPr>
          <w:sz w:val="12"/>
        </w:rPr>
        <w:t>de</w:t>
      </w:r>
      <w:r>
        <w:rPr>
          <w:spacing w:val="-3"/>
          <w:sz w:val="12"/>
        </w:rPr>
        <w:t xml:space="preserve"> </w:t>
      </w:r>
      <w:r>
        <w:rPr>
          <w:sz w:val="12"/>
        </w:rPr>
        <w:t>las</w:t>
      </w:r>
      <w:r>
        <w:rPr>
          <w:spacing w:val="-4"/>
          <w:sz w:val="12"/>
        </w:rPr>
        <w:t xml:space="preserve"> </w:t>
      </w:r>
      <w:r>
        <w:rPr>
          <w:sz w:val="12"/>
        </w:rPr>
        <w:t>Personas</w:t>
      </w:r>
      <w:r>
        <w:rPr>
          <w:spacing w:val="-4"/>
          <w:sz w:val="12"/>
        </w:rPr>
        <w:t xml:space="preserve"> </w:t>
      </w:r>
      <w:r>
        <w:rPr>
          <w:sz w:val="12"/>
        </w:rPr>
        <w:t>con</w:t>
      </w:r>
      <w:r>
        <w:rPr>
          <w:spacing w:val="-4"/>
          <w:sz w:val="12"/>
        </w:rPr>
        <w:t xml:space="preserve"> </w:t>
      </w:r>
      <w:r>
        <w:rPr>
          <w:sz w:val="12"/>
        </w:rPr>
        <w:t>Discapacidad,</w:t>
      </w:r>
      <w:r>
        <w:rPr>
          <w:spacing w:val="-3"/>
          <w:sz w:val="12"/>
        </w:rPr>
        <w:t xml:space="preserve"> </w:t>
      </w:r>
      <w:r>
        <w:rPr>
          <w:sz w:val="12"/>
        </w:rPr>
        <w:t>art.</w:t>
      </w:r>
      <w:r>
        <w:rPr>
          <w:spacing w:val="-3"/>
          <w:sz w:val="12"/>
        </w:rPr>
        <w:t xml:space="preserve"> </w:t>
      </w:r>
      <w:r>
        <w:rPr>
          <w:sz w:val="12"/>
        </w:rPr>
        <w:t>8</w:t>
      </w:r>
      <w:r>
        <w:rPr>
          <w:spacing w:val="-3"/>
          <w:sz w:val="12"/>
        </w:rPr>
        <w:t xml:space="preserve"> </w:t>
      </w:r>
      <w:r>
        <w:rPr>
          <w:spacing w:val="-4"/>
          <w:sz w:val="12"/>
        </w:rPr>
        <w:t>(2).</w:t>
      </w:r>
    </w:p>
    <w:p w14:paraId="29A734EF" w14:textId="77777777" w:rsidR="0014798C" w:rsidRDefault="004E1F0B">
      <w:pPr>
        <w:spacing w:before="99" w:line="410" w:lineRule="auto"/>
        <w:ind w:left="1111" w:right="2765"/>
        <w:rPr>
          <w:sz w:val="12"/>
        </w:rPr>
      </w:pPr>
      <w:r>
        <w:rPr>
          <w:sz w:val="12"/>
        </w:rPr>
        <w:t>1259</w:t>
      </w:r>
      <w:r>
        <w:rPr>
          <w:spacing w:val="-3"/>
          <w:sz w:val="12"/>
        </w:rPr>
        <w:t xml:space="preserve"> </w:t>
      </w:r>
      <w:r>
        <w:rPr>
          <w:sz w:val="12"/>
        </w:rPr>
        <w:t>Comité</w:t>
      </w:r>
      <w:r>
        <w:rPr>
          <w:spacing w:val="-3"/>
          <w:sz w:val="12"/>
        </w:rPr>
        <w:t xml:space="preserve"> </w:t>
      </w:r>
      <w:r>
        <w:rPr>
          <w:sz w:val="12"/>
        </w:rPr>
        <w:t>sobre</w:t>
      </w:r>
      <w:r>
        <w:rPr>
          <w:spacing w:val="-3"/>
          <w:sz w:val="12"/>
        </w:rPr>
        <w:t xml:space="preserve"> </w:t>
      </w:r>
      <w:r>
        <w:rPr>
          <w:sz w:val="12"/>
        </w:rPr>
        <w:t>los</w:t>
      </w:r>
      <w:r>
        <w:rPr>
          <w:spacing w:val="-3"/>
          <w:sz w:val="12"/>
        </w:rPr>
        <w:t xml:space="preserve"> </w:t>
      </w:r>
      <w:r>
        <w:rPr>
          <w:sz w:val="12"/>
        </w:rPr>
        <w:t>Derechos</w:t>
      </w:r>
      <w:r>
        <w:rPr>
          <w:spacing w:val="-3"/>
          <w:sz w:val="12"/>
        </w:rPr>
        <w:t xml:space="preserve"> </w:t>
      </w:r>
      <w:r>
        <w:rPr>
          <w:sz w:val="12"/>
        </w:rPr>
        <w:t>de</w:t>
      </w:r>
      <w:r>
        <w:rPr>
          <w:spacing w:val="-3"/>
          <w:sz w:val="12"/>
        </w:rPr>
        <w:t xml:space="preserve"> </w:t>
      </w:r>
      <w:r>
        <w:rPr>
          <w:sz w:val="12"/>
        </w:rPr>
        <w:t>las</w:t>
      </w:r>
      <w:r>
        <w:rPr>
          <w:spacing w:val="-3"/>
          <w:sz w:val="12"/>
        </w:rPr>
        <w:t xml:space="preserve"> </w:t>
      </w:r>
      <w:r>
        <w:rPr>
          <w:sz w:val="12"/>
        </w:rPr>
        <w:t>Personas</w:t>
      </w:r>
      <w:r>
        <w:rPr>
          <w:spacing w:val="-3"/>
          <w:sz w:val="12"/>
        </w:rPr>
        <w:t xml:space="preserve"> </w:t>
      </w:r>
      <w:r>
        <w:rPr>
          <w:sz w:val="12"/>
        </w:rPr>
        <w:t>con</w:t>
      </w:r>
      <w:r>
        <w:rPr>
          <w:spacing w:val="-3"/>
          <w:sz w:val="12"/>
        </w:rPr>
        <w:t xml:space="preserve"> </w:t>
      </w:r>
      <w:r>
        <w:rPr>
          <w:sz w:val="12"/>
        </w:rPr>
        <w:t>Discapacidad,</w:t>
      </w:r>
      <w:r>
        <w:rPr>
          <w:spacing w:val="-2"/>
          <w:sz w:val="12"/>
        </w:rPr>
        <w:t xml:space="preserve"> </w:t>
      </w:r>
      <w:r>
        <w:rPr>
          <w:sz w:val="12"/>
        </w:rPr>
        <w:t>observación</w:t>
      </w:r>
      <w:r>
        <w:rPr>
          <w:spacing w:val="-3"/>
          <w:sz w:val="12"/>
        </w:rPr>
        <w:t xml:space="preserve"> </w:t>
      </w:r>
      <w:r>
        <w:rPr>
          <w:sz w:val="12"/>
        </w:rPr>
        <w:t>general</w:t>
      </w:r>
      <w:r>
        <w:rPr>
          <w:spacing w:val="-3"/>
          <w:sz w:val="12"/>
        </w:rPr>
        <w:t xml:space="preserve"> </w:t>
      </w:r>
      <w:r>
        <w:rPr>
          <w:sz w:val="12"/>
        </w:rPr>
        <w:t>núm.</w:t>
      </w:r>
      <w:r>
        <w:rPr>
          <w:spacing w:val="-2"/>
          <w:sz w:val="12"/>
        </w:rPr>
        <w:t xml:space="preserve"> </w:t>
      </w:r>
      <w:r>
        <w:rPr>
          <w:sz w:val="12"/>
        </w:rPr>
        <w:t>6</w:t>
      </w:r>
      <w:r>
        <w:rPr>
          <w:spacing w:val="-3"/>
          <w:sz w:val="12"/>
        </w:rPr>
        <w:t xml:space="preserve"> </w:t>
      </w:r>
      <w:r>
        <w:rPr>
          <w:sz w:val="12"/>
        </w:rPr>
        <w:t>(2018),</w:t>
      </w:r>
      <w:r>
        <w:rPr>
          <w:spacing w:val="-2"/>
          <w:sz w:val="12"/>
        </w:rPr>
        <w:t xml:space="preserve"> </w:t>
      </w:r>
      <w:r>
        <w:rPr>
          <w:sz w:val="12"/>
        </w:rPr>
        <w:t>párr.</w:t>
      </w:r>
      <w:r>
        <w:rPr>
          <w:spacing w:val="-2"/>
          <w:sz w:val="12"/>
        </w:rPr>
        <w:t xml:space="preserve"> </w:t>
      </w:r>
      <w:r>
        <w:rPr>
          <w:sz w:val="12"/>
        </w:rPr>
        <w:t>39.</w:t>
      </w:r>
      <w:r>
        <w:rPr>
          <w:spacing w:val="-2"/>
          <w:sz w:val="12"/>
        </w:rPr>
        <w:t xml:space="preserve"> </w:t>
      </w:r>
      <w:r>
        <w:rPr>
          <w:sz w:val="12"/>
        </w:rPr>
        <w:t>Véase</w:t>
      </w:r>
      <w:r>
        <w:rPr>
          <w:spacing w:val="-3"/>
          <w:sz w:val="12"/>
        </w:rPr>
        <w:t xml:space="preserve"> </w:t>
      </w:r>
      <w:r>
        <w:rPr>
          <w:sz w:val="12"/>
        </w:rPr>
        <w:t>también</w:t>
      </w:r>
      <w:r>
        <w:rPr>
          <w:spacing w:val="-3"/>
          <w:sz w:val="12"/>
        </w:rPr>
        <w:t xml:space="preserve"> </w:t>
      </w:r>
      <w:r>
        <w:rPr>
          <w:sz w:val="12"/>
        </w:rPr>
        <w:t>A/HRC/43/27.</w:t>
      </w:r>
      <w:r>
        <w:rPr>
          <w:spacing w:val="40"/>
          <w:sz w:val="12"/>
        </w:rPr>
        <w:t xml:space="preserve"> </w:t>
      </w:r>
      <w:r>
        <w:rPr>
          <w:sz w:val="12"/>
        </w:rPr>
        <w:t>1260 Comité sobre los Derechos de las Personas con Discapacidad, observación general núm. 6 (2018), párr. 50.</w:t>
      </w:r>
    </w:p>
    <w:p w14:paraId="0EA67FFB" w14:textId="77777777" w:rsidR="0014798C" w:rsidRDefault="0014798C">
      <w:pPr>
        <w:pStyle w:val="Textoindependiente"/>
        <w:rPr>
          <w:sz w:val="18"/>
        </w:rPr>
      </w:pPr>
    </w:p>
    <w:p w14:paraId="24887AC8" w14:textId="77777777" w:rsidR="0014798C" w:rsidRDefault="0014798C">
      <w:pPr>
        <w:pStyle w:val="Textoindependiente"/>
        <w:spacing w:before="140"/>
        <w:rPr>
          <w:sz w:val="18"/>
        </w:rPr>
      </w:pPr>
    </w:p>
    <w:p w14:paraId="22DAFFC8" w14:textId="77777777" w:rsidR="0014798C" w:rsidRDefault="004E1F0B">
      <w:pPr>
        <w:spacing w:before="1"/>
        <w:ind w:right="702"/>
        <w:jc w:val="right"/>
        <w:rPr>
          <w:sz w:val="18"/>
        </w:rPr>
      </w:pPr>
      <w:r>
        <w:rPr>
          <w:spacing w:val="-5"/>
          <w:sz w:val="18"/>
        </w:rPr>
        <w:t>199</w:t>
      </w:r>
    </w:p>
    <w:p w14:paraId="46936D2E" w14:textId="77777777" w:rsidR="0014798C" w:rsidRDefault="0014798C">
      <w:pPr>
        <w:jc w:val="right"/>
        <w:rPr>
          <w:sz w:val="18"/>
        </w:rPr>
        <w:sectPr w:rsidR="0014798C" w:rsidSect="00F265E4">
          <w:pgSz w:w="11900" w:h="16820"/>
          <w:pgMar w:top="340" w:right="0" w:bottom="280" w:left="200" w:header="121" w:footer="0" w:gutter="0"/>
          <w:cols w:space="720"/>
        </w:sectPr>
      </w:pPr>
    </w:p>
    <w:p w14:paraId="20D0492A" w14:textId="77777777" w:rsidR="0014798C" w:rsidRDefault="0014798C">
      <w:pPr>
        <w:pStyle w:val="Textoindependiente"/>
        <w:spacing w:before="85"/>
        <w:rPr>
          <w:sz w:val="12"/>
        </w:rPr>
      </w:pPr>
    </w:p>
    <w:p w14:paraId="7193A6B9" w14:textId="77777777" w:rsidR="0014798C" w:rsidRDefault="004E1F0B">
      <w:pPr>
        <w:ind w:left="1111"/>
        <w:rPr>
          <w:sz w:val="12"/>
        </w:rPr>
      </w:pPr>
      <w:r>
        <w:rPr>
          <w:color w:val="FBB315"/>
          <w:sz w:val="12"/>
        </w:rPr>
        <w:t>PROTECCIÓN</w:t>
      </w:r>
      <w:r>
        <w:rPr>
          <w:color w:val="FBB315"/>
          <w:spacing w:val="6"/>
          <w:sz w:val="12"/>
        </w:rPr>
        <w:t xml:space="preserve"> </w:t>
      </w:r>
      <w:r>
        <w:rPr>
          <w:color w:val="FBB315"/>
          <w:sz w:val="12"/>
        </w:rPr>
        <w:t>DE</w:t>
      </w:r>
      <w:r>
        <w:rPr>
          <w:color w:val="FBB315"/>
          <w:spacing w:val="7"/>
          <w:sz w:val="12"/>
        </w:rPr>
        <w:t xml:space="preserve"> </w:t>
      </w:r>
      <w:r>
        <w:rPr>
          <w:color w:val="FBB315"/>
          <w:sz w:val="12"/>
        </w:rPr>
        <w:t>LOS</w:t>
      </w:r>
      <w:r>
        <w:rPr>
          <w:color w:val="FBB315"/>
          <w:spacing w:val="8"/>
          <w:sz w:val="12"/>
        </w:rPr>
        <w:t xml:space="preserve"> </w:t>
      </w:r>
      <w:r>
        <w:rPr>
          <w:color w:val="FBB315"/>
          <w:sz w:val="12"/>
        </w:rPr>
        <w:t>DERECHOS</w:t>
      </w:r>
      <w:r>
        <w:rPr>
          <w:color w:val="FBB315"/>
          <w:spacing w:val="8"/>
          <w:sz w:val="12"/>
        </w:rPr>
        <w:t xml:space="preserve"> </w:t>
      </w:r>
      <w:r>
        <w:rPr>
          <w:color w:val="FBB315"/>
          <w:sz w:val="12"/>
        </w:rPr>
        <w:t>DE</w:t>
      </w:r>
      <w:r>
        <w:rPr>
          <w:color w:val="FBB315"/>
          <w:spacing w:val="6"/>
          <w:sz w:val="12"/>
        </w:rPr>
        <w:t xml:space="preserve"> </w:t>
      </w:r>
      <w:r>
        <w:rPr>
          <w:color w:val="FBB315"/>
          <w:sz w:val="12"/>
        </w:rPr>
        <w:t>LAS</w:t>
      </w:r>
      <w:r>
        <w:rPr>
          <w:color w:val="FBB315"/>
          <w:spacing w:val="7"/>
          <w:sz w:val="12"/>
        </w:rPr>
        <w:t xml:space="preserve"> </w:t>
      </w:r>
      <w:r>
        <w:rPr>
          <w:color w:val="FBB315"/>
          <w:sz w:val="12"/>
        </w:rPr>
        <w:t>MINORÍAS:</w:t>
      </w:r>
      <w:r>
        <w:rPr>
          <w:color w:val="FBB315"/>
          <w:spacing w:val="8"/>
          <w:sz w:val="12"/>
        </w:rPr>
        <w:t xml:space="preserve"> </w:t>
      </w:r>
      <w:r>
        <w:rPr>
          <w:color w:val="FBB315"/>
          <w:sz w:val="12"/>
        </w:rPr>
        <w:t>una</w:t>
      </w:r>
      <w:r>
        <w:rPr>
          <w:color w:val="FBB315"/>
          <w:spacing w:val="7"/>
          <w:sz w:val="12"/>
        </w:rPr>
        <w:t xml:space="preserve"> </w:t>
      </w:r>
      <w:r>
        <w:rPr>
          <w:color w:val="FBB315"/>
          <w:sz w:val="12"/>
        </w:rPr>
        <w:t>guía</w:t>
      </w:r>
      <w:r>
        <w:rPr>
          <w:color w:val="FBB315"/>
          <w:spacing w:val="6"/>
          <w:sz w:val="12"/>
        </w:rPr>
        <w:t xml:space="preserve"> </w:t>
      </w:r>
      <w:r>
        <w:rPr>
          <w:color w:val="FBB315"/>
          <w:sz w:val="12"/>
        </w:rPr>
        <w:t>práctica</w:t>
      </w:r>
      <w:r>
        <w:rPr>
          <w:color w:val="FBB315"/>
          <w:spacing w:val="7"/>
          <w:sz w:val="12"/>
        </w:rPr>
        <w:t xml:space="preserve"> </w:t>
      </w:r>
      <w:r>
        <w:rPr>
          <w:color w:val="FBB315"/>
          <w:sz w:val="12"/>
        </w:rPr>
        <w:t>para</w:t>
      </w:r>
      <w:r>
        <w:rPr>
          <w:color w:val="FBB315"/>
          <w:spacing w:val="8"/>
          <w:sz w:val="12"/>
        </w:rPr>
        <w:t xml:space="preserve"> </w:t>
      </w:r>
      <w:r>
        <w:rPr>
          <w:color w:val="FBB315"/>
          <w:sz w:val="12"/>
        </w:rPr>
        <w:t>desarrollar</w:t>
      </w:r>
      <w:r>
        <w:rPr>
          <w:color w:val="FBB315"/>
          <w:spacing w:val="6"/>
          <w:sz w:val="12"/>
        </w:rPr>
        <w:t xml:space="preserve"> </w:t>
      </w:r>
      <w:r>
        <w:rPr>
          <w:color w:val="FBB315"/>
          <w:sz w:val="12"/>
        </w:rPr>
        <w:t>una</w:t>
      </w:r>
      <w:r>
        <w:rPr>
          <w:color w:val="FBB315"/>
          <w:spacing w:val="7"/>
          <w:sz w:val="12"/>
        </w:rPr>
        <w:t xml:space="preserve"> </w:t>
      </w:r>
      <w:r>
        <w:rPr>
          <w:color w:val="FBB315"/>
          <w:sz w:val="12"/>
        </w:rPr>
        <w:t>legislación</w:t>
      </w:r>
      <w:r>
        <w:rPr>
          <w:color w:val="FBB315"/>
          <w:spacing w:val="8"/>
          <w:sz w:val="12"/>
        </w:rPr>
        <w:t xml:space="preserve"> </w:t>
      </w:r>
      <w:r>
        <w:rPr>
          <w:color w:val="FBB315"/>
          <w:sz w:val="12"/>
        </w:rPr>
        <w:t>integral</w:t>
      </w:r>
      <w:r>
        <w:rPr>
          <w:color w:val="FBB315"/>
          <w:spacing w:val="7"/>
          <w:sz w:val="12"/>
        </w:rPr>
        <w:t xml:space="preserve"> </w:t>
      </w:r>
      <w:r>
        <w:rPr>
          <w:color w:val="FBB315"/>
          <w:sz w:val="12"/>
        </w:rPr>
        <w:t>contra</w:t>
      </w:r>
      <w:r>
        <w:rPr>
          <w:color w:val="FBB315"/>
          <w:spacing w:val="6"/>
          <w:sz w:val="12"/>
        </w:rPr>
        <w:t xml:space="preserve"> </w:t>
      </w:r>
      <w:r>
        <w:rPr>
          <w:color w:val="FBB315"/>
          <w:sz w:val="12"/>
        </w:rPr>
        <w:t>la</w:t>
      </w:r>
      <w:r>
        <w:rPr>
          <w:color w:val="FBB315"/>
          <w:spacing w:val="7"/>
          <w:sz w:val="12"/>
        </w:rPr>
        <w:t xml:space="preserve"> </w:t>
      </w:r>
      <w:r>
        <w:rPr>
          <w:color w:val="FBB315"/>
          <w:spacing w:val="-2"/>
          <w:sz w:val="12"/>
        </w:rPr>
        <w:t>discriminación</w:t>
      </w:r>
    </w:p>
    <w:p w14:paraId="486FF893" w14:textId="77777777" w:rsidR="0014798C" w:rsidRDefault="0014798C">
      <w:pPr>
        <w:pStyle w:val="Textoindependiente"/>
        <w:rPr>
          <w:sz w:val="15"/>
        </w:rPr>
      </w:pPr>
    </w:p>
    <w:p w14:paraId="0A9FF280" w14:textId="77777777" w:rsidR="0014798C" w:rsidRDefault="0014798C">
      <w:pPr>
        <w:pStyle w:val="Textoindependiente"/>
        <w:rPr>
          <w:sz w:val="15"/>
        </w:rPr>
      </w:pPr>
    </w:p>
    <w:p w14:paraId="3526DCD6" w14:textId="77777777" w:rsidR="0014798C" w:rsidRDefault="0014798C">
      <w:pPr>
        <w:pStyle w:val="Textoindependiente"/>
        <w:rPr>
          <w:sz w:val="15"/>
        </w:rPr>
      </w:pPr>
    </w:p>
    <w:p w14:paraId="2EF2CA65" w14:textId="77777777" w:rsidR="0014798C" w:rsidRDefault="0014798C">
      <w:pPr>
        <w:pStyle w:val="Textoindependiente"/>
        <w:rPr>
          <w:sz w:val="15"/>
        </w:rPr>
      </w:pPr>
    </w:p>
    <w:p w14:paraId="334B5790" w14:textId="77777777" w:rsidR="0014798C" w:rsidRDefault="0014798C">
      <w:pPr>
        <w:pStyle w:val="Textoindependiente"/>
        <w:spacing w:before="136"/>
        <w:rPr>
          <w:sz w:val="15"/>
        </w:rPr>
      </w:pPr>
    </w:p>
    <w:p w14:paraId="6C6B051A" w14:textId="77777777" w:rsidR="0014798C" w:rsidRDefault="004E1F0B">
      <w:pPr>
        <w:spacing w:line="348" w:lineRule="auto"/>
        <w:ind w:left="1107" w:right="1166" w:hanging="1"/>
        <w:rPr>
          <w:sz w:val="15"/>
        </w:rPr>
      </w:pPr>
      <w:r>
        <w:rPr>
          <w:sz w:val="15"/>
        </w:rPr>
        <w:t>El</w:t>
      </w:r>
      <w:r>
        <w:rPr>
          <w:spacing w:val="-8"/>
          <w:sz w:val="15"/>
        </w:rPr>
        <w:t xml:space="preserve"> </w:t>
      </w:r>
      <w:r>
        <w:rPr>
          <w:sz w:val="15"/>
        </w:rPr>
        <w:t>Comité</w:t>
      </w:r>
      <w:r>
        <w:rPr>
          <w:spacing w:val="-8"/>
          <w:sz w:val="15"/>
        </w:rPr>
        <w:t xml:space="preserve"> </w:t>
      </w:r>
      <w:r>
        <w:rPr>
          <w:sz w:val="15"/>
        </w:rPr>
        <w:t>para</w:t>
      </w:r>
      <w:r>
        <w:rPr>
          <w:spacing w:val="-8"/>
          <w:sz w:val="15"/>
        </w:rPr>
        <w:t xml:space="preserve"> </w:t>
      </w:r>
      <w:r>
        <w:rPr>
          <w:sz w:val="15"/>
        </w:rPr>
        <w:t>la</w:t>
      </w:r>
      <w:r>
        <w:rPr>
          <w:spacing w:val="-8"/>
          <w:sz w:val="15"/>
        </w:rPr>
        <w:t xml:space="preserve"> </w:t>
      </w:r>
      <w:r>
        <w:rPr>
          <w:sz w:val="15"/>
        </w:rPr>
        <w:t>Eliminación</w:t>
      </w:r>
      <w:r>
        <w:rPr>
          <w:spacing w:val="-8"/>
          <w:sz w:val="15"/>
        </w:rPr>
        <w:t xml:space="preserve"> </w:t>
      </w:r>
      <w:r>
        <w:rPr>
          <w:sz w:val="15"/>
        </w:rPr>
        <w:t>de</w:t>
      </w:r>
      <w:r>
        <w:rPr>
          <w:spacing w:val="-8"/>
          <w:sz w:val="15"/>
        </w:rPr>
        <w:t xml:space="preserve"> </w:t>
      </w:r>
      <w:r>
        <w:rPr>
          <w:sz w:val="15"/>
        </w:rPr>
        <w:t>la</w:t>
      </w:r>
      <w:r>
        <w:rPr>
          <w:spacing w:val="-8"/>
          <w:sz w:val="15"/>
        </w:rPr>
        <w:t xml:space="preserve"> </w:t>
      </w:r>
      <w:r>
        <w:rPr>
          <w:sz w:val="15"/>
        </w:rPr>
        <w:t>Discriminación</w:t>
      </w:r>
      <w:r>
        <w:rPr>
          <w:spacing w:val="-8"/>
          <w:sz w:val="15"/>
        </w:rPr>
        <w:t xml:space="preserve"> </w:t>
      </w:r>
      <w:r>
        <w:rPr>
          <w:sz w:val="15"/>
        </w:rPr>
        <w:t>contra</w:t>
      </w:r>
      <w:r>
        <w:rPr>
          <w:spacing w:val="-8"/>
          <w:sz w:val="15"/>
        </w:rPr>
        <w:t xml:space="preserve"> </w:t>
      </w:r>
      <w:r>
        <w:rPr>
          <w:sz w:val="15"/>
        </w:rPr>
        <w:t>la</w:t>
      </w:r>
      <w:r>
        <w:rPr>
          <w:spacing w:val="-8"/>
          <w:sz w:val="15"/>
        </w:rPr>
        <w:t xml:space="preserve"> </w:t>
      </w:r>
      <w:r>
        <w:rPr>
          <w:sz w:val="15"/>
        </w:rPr>
        <w:t>Mujer</w:t>
      </w:r>
      <w:r>
        <w:rPr>
          <w:spacing w:val="-8"/>
          <w:sz w:val="15"/>
        </w:rPr>
        <w:t xml:space="preserve"> </w:t>
      </w:r>
      <w:r>
        <w:rPr>
          <w:sz w:val="15"/>
        </w:rPr>
        <w:t>ha</w:t>
      </w:r>
      <w:r>
        <w:rPr>
          <w:spacing w:val="-8"/>
          <w:sz w:val="15"/>
        </w:rPr>
        <w:t xml:space="preserve"> </w:t>
      </w:r>
      <w:r>
        <w:rPr>
          <w:sz w:val="15"/>
        </w:rPr>
        <w:t>señalado</w:t>
      </w:r>
      <w:r>
        <w:rPr>
          <w:spacing w:val="-8"/>
          <w:sz w:val="15"/>
        </w:rPr>
        <w:t xml:space="preserve"> </w:t>
      </w:r>
      <w:r>
        <w:rPr>
          <w:sz w:val="15"/>
        </w:rPr>
        <w:t>que</w:t>
      </w:r>
      <w:r>
        <w:rPr>
          <w:spacing w:val="-8"/>
          <w:sz w:val="15"/>
        </w:rPr>
        <w:t xml:space="preserve"> </w:t>
      </w:r>
      <w:r>
        <w:rPr>
          <w:sz w:val="15"/>
        </w:rPr>
        <w:t>los</w:t>
      </w:r>
      <w:r>
        <w:rPr>
          <w:spacing w:val="-8"/>
          <w:sz w:val="15"/>
        </w:rPr>
        <w:t xml:space="preserve"> </w:t>
      </w:r>
      <w:r>
        <w:rPr>
          <w:sz w:val="15"/>
        </w:rPr>
        <w:t>Estados</w:t>
      </w:r>
      <w:r>
        <w:rPr>
          <w:spacing w:val="-8"/>
          <w:sz w:val="15"/>
        </w:rPr>
        <w:t xml:space="preserve"> </w:t>
      </w:r>
      <w:r>
        <w:rPr>
          <w:sz w:val="15"/>
        </w:rPr>
        <w:t>deberían</w:t>
      </w:r>
      <w:r>
        <w:rPr>
          <w:spacing w:val="-8"/>
          <w:sz w:val="15"/>
        </w:rPr>
        <w:t xml:space="preserve"> </w:t>
      </w:r>
      <w:r>
        <w:rPr>
          <w:sz w:val="15"/>
        </w:rPr>
        <w:t>llevar</w:t>
      </w:r>
      <w:r>
        <w:rPr>
          <w:spacing w:val="-8"/>
          <w:sz w:val="15"/>
        </w:rPr>
        <w:t xml:space="preserve"> </w:t>
      </w:r>
      <w:r>
        <w:rPr>
          <w:sz w:val="15"/>
        </w:rPr>
        <w:t>a</w:t>
      </w:r>
      <w:r>
        <w:rPr>
          <w:spacing w:val="-8"/>
          <w:sz w:val="15"/>
        </w:rPr>
        <w:t xml:space="preserve"> </w:t>
      </w:r>
      <w:r>
        <w:rPr>
          <w:sz w:val="15"/>
        </w:rPr>
        <w:t>cabo</w:t>
      </w:r>
      <w:r>
        <w:rPr>
          <w:spacing w:val="-8"/>
          <w:sz w:val="15"/>
        </w:rPr>
        <w:t xml:space="preserve"> </w:t>
      </w:r>
      <w:r>
        <w:rPr>
          <w:sz w:val="15"/>
        </w:rPr>
        <w:t>“programas</w:t>
      </w:r>
      <w:r>
        <w:rPr>
          <w:spacing w:val="-8"/>
          <w:sz w:val="15"/>
        </w:rPr>
        <w:t xml:space="preserve"> </w:t>
      </w:r>
      <w:r>
        <w:rPr>
          <w:sz w:val="15"/>
        </w:rPr>
        <w:t>específicos de</w:t>
      </w:r>
      <w:r>
        <w:rPr>
          <w:spacing w:val="-3"/>
          <w:sz w:val="15"/>
        </w:rPr>
        <w:t xml:space="preserve"> </w:t>
      </w:r>
      <w:r>
        <w:rPr>
          <w:sz w:val="15"/>
        </w:rPr>
        <w:t>educación</w:t>
      </w:r>
      <w:r>
        <w:rPr>
          <w:spacing w:val="-3"/>
          <w:sz w:val="15"/>
        </w:rPr>
        <w:t xml:space="preserve"> </w:t>
      </w:r>
      <w:r>
        <w:rPr>
          <w:sz w:val="15"/>
        </w:rPr>
        <w:t>y</w:t>
      </w:r>
      <w:r>
        <w:rPr>
          <w:spacing w:val="-3"/>
          <w:sz w:val="15"/>
        </w:rPr>
        <w:t xml:space="preserve"> </w:t>
      </w:r>
      <w:r>
        <w:rPr>
          <w:sz w:val="15"/>
        </w:rPr>
        <w:t>capacitación</w:t>
      </w:r>
      <w:r>
        <w:rPr>
          <w:spacing w:val="-3"/>
          <w:sz w:val="15"/>
        </w:rPr>
        <w:t xml:space="preserve"> </w:t>
      </w:r>
      <w:r>
        <w:rPr>
          <w:sz w:val="15"/>
        </w:rPr>
        <w:t>sobre</w:t>
      </w:r>
      <w:r>
        <w:rPr>
          <w:spacing w:val="-3"/>
          <w:sz w:val="15"/>
        </w:rPr>
        <w:t xml:space="preserve"> </w:t>
      </w:r>
      <w:r>
        <w:rPr>
          <w:sz w:val="15"/>
        </w:rPr>
        <w:t>los</w:t>
      </w:r>
      <w:r>
        <w:rPr>
          <w:spacing w:val="-3"/>
          <w:sz w:val="15"/>
        </w:rPr>
        <w:t xml:space="preserve"> </w:t>
      </w:r>
      <w:r>
        <w:rPr>
          <w:sz w:val="15"/>
        </w:rPr>
        <w:t>principios</w:t>
      </w:r>
      <w:r>
        <w:rPr>
          <w:spacing w:val="-3"/>
          <w:sz w:val="15"/>
        </w:rPr>
        <w:t xml:space="preserve"> </w:t>
      </w:r>
      <w:r>
        <w:rPr>
          <w:sz w:val="15"/>
        </w:rPr>
        <w:t>y</w:t>
      </w:r>
      <w:r>
        <w:rPr>
          <w:spacing w:val="-3"/>
          <w:sz w:val="15"/>
        </w:rPr>
        <w:t xml:space="preserve"> </w:t>
      </w:r>
      <w:r>
        <w:rPr>
          <w:sz w:val="15"/>
        </w:rPr>
        <w:t>disposiciones</w:t>
      </w:r>
      <w:r>
        <w:rPr>
          <w:spacing w:val="-3"/>
          <w:sz w:val="15"/>
        </w:rPr>
        <w:t xml:space="preserve"> </w:t>
      </w:r>
      <w:r>
        <w:rPr>
          <w:sz w:val="15"/>
        </w:rPr>
        <w:t>de</w:t>
      </w:r>
      <w:r>
        <w:rPr>
          <w:spacing w:val="-3"/>
          <w:sz w:val="15"/>
        </w:rPr>
        <w:t xml:space="preserve"> </w:t>
      </w:r>
      <w:r>
        <w:rPr>
          <w:sz w:val="15"/>
        </w:rPr>
        <w:t>la</w:t>
      </w:r>
      <w:r>
        <w:rPr>
          <w:spacing w:val="-3"/>
          <w:sz w:val="15"/>
        </w:rPr>
        <w:t xml:space="preserve"> </w:t>
      </w:r>
      <w:r>
        <w:rPr>
          <w:sz w:val="15"/>
        </w:rPr>
        <w:t>Convención</w:t>
      </w:r>
      <w:r>
        <w:rPr>
          <w:spacing w:val="-3"/>
          <w:sz w:val="15"/>
        </w:rPr>
        <w:t xml:space="preserve"> </w:t>
      </w:r>
      <w:r>
        <w:rPr>
          <w:sz w:val="15"/>
        </w:rPr>
        <w:t>dirigidos</w:t>
      </w:r>
      <w:r>
        <w:rPr>
          <w:spacing w:val="-3"/>
          <w:sz w:val="15"/>
        </w:rPr>
        <w:t xml:space="preserve"> </w:t>
      </w:r>
      <w:r>
        <w:rPr>
          <w:sz w:val="15"/>
        </w:rPr>
        <w:t>a</w:t>
      </w:r>
      <w:r>
        <w:rPr>
          <w:spacing w:val="-3"/>
          <w:sz w:val="15"/>
        </w:rPr>
        <w:t xml:space="preserve"> </w:t>
      </w:r>
      <w:r>
        <w:rPr>
          <w:sz w:val="15"/>
        </w:rPr>
        <w:t>todos</w:t>
      </w:r>
      <w:r>
        <w:rPr>
          <w:spacing w:val="-3"/>
          <w:sz w:val="15"/>
        </w:rPr>
        <w:t xml:space="preserve"> </w:t>
      </w:r>
      <w:r>
        <w:rPr>
          <w:sz w:val="15"/>
        </w:rPr>
        <w:t>los</w:t>
      </w:r>
      <w:r>
        <w:rPr>
          <w:spacing w:val="-3"/>
          <w:sz w:val="15"/>
        </w:rPr>
        <w:t xml:space="preserve"> </w:t>
      </w:r>
      <w:r>
        <w:rPr>
          <w:sz w:val="15"/>
        </w:rPr>
        <w:t>organismos</w:t>
      </w:r>
      <w:r>
        <w:rPr>
          <w:spacing w:val="-3"/>
          <w:sz w:val="15"/>
        </w:rPr>
        <w:t xml:space="preserve"> </w:t>
      </w:r>
      <w:r>
        <w:rPr>
          <w:sz w:val="15"/>
        </w:rPr>
        <w:t>gubernamentales, funcionarios públicos y, en particular, la profesión jurídica y el poder judicial”. .1261</w:t>
      </w:r>
    </w:p>
    <w:p w14:paraId="60AFB5D2" w14:textId="77777777" w:rsidR="0014798C" w:rsidRDefault="004E1F0B">
      <w:pPr>
        <w:spacing w:before="169" w:line="348" w:lineRule="auto"/>
        <w:ind w:left="1108" w:right="1272" w:hanging="2"/>
        <w:rPr>
          <w:sz w:val="15"/>
        </w:rPr>
      </w:pPr>
      <w:r>
        <w:rPr>
          <w:sz w:val="15"/>
        </w:rPr>
        <w:t>El</w:t>
      </w:r>
      <w:r>
        <w:rPr>
          <w:spacing w:val="-2"/>
          <w:sz w:val="15"/>
        </w:rPr>
        <w:t xml:space="preserve"> </w:t>
      </w:r>
      <w:r>
        <w:rPr>
          <w:sz w:val="15"/>
        </w:rPr>
        <w:t>Comité</w:t>
      </w:r>
      <w:r>
        <w:rPr>
          <w:spacing w:val="-2"/>
          <w:sz w:val="15"/>
        </w:rPr>
        <w:t xml:space="preserve"> </w:t>
      </w:r>
      <w:r>
        <w:rPr>
          <w:sz w:val="15"/>
        </w:rPr>
        <w:t>de</w:t>
      </w:r>
      <w:r>
        <w:rPr>
          <w:spacing w:val="-2"/>
          <w:sz w:val="15"/>
        </w:rPr>
        <w:t xml:space="preserve"> </w:t>
      </w:r>
      <w:r>
        <w:rPr>
          <w:sz w:val="15"/>
        </w:rPr>
        <w:t>Derechos</w:t>
      </w:r>
      <w:r>
        <w:rPr>
          <w:spacing w:val="-2"/>
          <w:sz w:val="15"/>
        </w:rPr>
        <w:t xml:space="preserve"> </w:t>
      </w:r>
      <w:r>
        <w:rPr>
          <w:sz w:val="15"/>
        </w:rPr>
        <w:t>Económicos,</w:t>
      </w:r>
      <w:r>
        <w:rPr>
          <w:spacing w:val="-1"/>
          <w:sz w:val="15"/>
        </w:rPr>
        <w:t xml:space="preserve"> </w:t>
      </w:r>
      <w:r>
        <w:rPr>
          <w:sz w:val="15"/>
        </w:rPr>
        <w:t>Sociales</w:t>
      </w:r>
      <w:r>
        <w:rPr>
          <w:spacing w:val="-2"/>
          <w:sz w:val="15"/>
        </w:rPr>
        <w:t xml:space="preserve"> </w:t>
      </w:r>
      <w:r>
        <w:rPr>
          <w:sz w:val="15"/>
        </w:rPr>
        <w:t>y</w:t>
      </w:r>
      <w:r>
        <w:rPr>
          <w:spacing w:val="-2"/>
          <w:sz w:val="15"/>
        </w:rPr>
        <w:t xml:space="preserve"> </w:t>
      </w:r>
      <w:r>
        <w:rPr>
          <w:sz w:val="15"/>
        </w:rPr>
        <w:t>Culturales</w:t>
      </w:r>
      <w:r>
        <w:rPr>
          <w:spacing w:val="-2"/>
          <w:sz w:val="15"/>
        </w:rPr>
        <w:t xml:space="preserve"> </w:t>
      </w:r>
      <w:r>
        <w:rPr>
          <w:sz w:val="15"/>
        </w:rPr>
        <w:t>ha</w:t>
      </w:r>
      <w:r>
        <w:rPr>
          <w:spacing w:val="-2"/>
          <w:sz w:val="15"/>
        </w:rPr>
        <w:t xml:space="preserve"> </w:t>
      </w:r>
      <w:r>
        <w:rPr>
          <w:sz w:val="15"/>
        </w:rPr>
        <w:t>establecido</w:t>
      </w:r>
      <w:r>
        <w:rPr>
          <w:spacing w:val="-2"/>
          <w:sz w:val="15"/>
        </w:rPr>
        <w:t xml:space="preserve"> </w:t>
      </w:r>
      <w:r>
        <w:rPr>
          <w:sz w:val="15"/>
        </w:rPr>
        <w:t>que</w:t>
      </w:r>
      <w:r>
        <w:rPr>
          <w:spacing w:val="-2"/>
          <w:sz w:val="15"/>
        </w:rPr>
        <w:t xml:space="preserve"> </w:t>
      </w:r>
      <w:r>
        <w:rPr>
          <w:sz w:val="15"/>
        </w:rPr>
        <w:t>“el</w:t>
      </w:r>
      <w:r>
        <w:rPr>
          <w:spacing w:val="-2"/>
          <w:sz w:val="15"/>
        </w:rPr>
        <w:t xml:space="preserve"> </w:t>
      </w:r>
      <w:r>
        <w:rPr>
          <w:sz w:val="15"/>
        </w:rPr>
        <w:t>Estado</w:t>
      </w:r>
      <w:r>
        <w:rPr>
          <w:spacing w:val="-2"/>
          <w:sz w:val="15"/>
        </w:rPr>
        <w:t xml:space="preserve"> </w:t>
      </w:r>
      <w:r>
        <w:rPr>
          <w:sz w:val="15"/>
        </w:rPr>
        <w:t>debe</w:t>
      </w:r>
      <w:r>
        <w:rPr>
          <w:spacing w:val="-2"/>
          <w:sz w:val="15"/>
        </w:rPr>
        <w:t xml:space="preserve"> </w:t>
      </w:r>
      <w:r>
        <w:rPr>
          <w:sz w:val="15"/>
        </w:rPr>
        <w:t>llevar</w:t>
      </w:r>
      <w:r>
        <w:rPr>
          <w:spacing w:val="-2"/>
          <w:sz w:val="15"/>
        </w:rPr>
        <w:t xml:space="preserve"> </w:t>
      </w:r>
      <w:r>
        <w:rPr>
          <w:sz w:val="15"/>
        </w:rPr>
        <w:t>a</w:t>
      </w:r>
      <w:r>
        <w:rPr>
          <w:spacing w:val="-2"/>
          <w:sz w:val="15"/>
        </w:rPr>
        <w:t xml:space="preserve"> </w:t>
      </w:r>
      <w:r>
        <w:rPr>
          <w:sz w:val="15"/>
        </w:rPr>
        <w:t>cabo</w:t>
      </w:r>
      <w:r>
        <w:rPr>
          <w:spacing w:val="-2"/>
          <w:sz w:val="15"/>
        </w:rPr>
        <w:t xml:space="preserve"> </w:t>
      </w:r>
      <w:r>
        <w:rPr>
          <w:sz w:val="15"/>
        </w:rPr>
        <w:t>programas</w:t>
      </w:r>
      <w:r>
        <w:rPr>
          <w:spacing w:val="-2"/>
          <w:sz w:val="15"/>
        </w:rPr>
        <w:t xml:space="preserve"> </w:t>
      </w:r>
      <w:r>
        <w:rPr>
          <w:sz w:val="15"/>
        </w:rPr>
        <w:t>de</w:t>
      </w:r>
      <w:r>
        <w:rPr>
          <w:spacing w:val="-2"/>
          <w:sz w:val="15"/>
        </w:rPr>
        <w:t xml:space="preserve"> </w:t>
      </w:r>
      <w:r>
        <w:rPr>
          <w:sz w:val="15"/>
        </w:rPr>
        <w:t>educación</w:t>
      </w:r>
      <w:r>
        <w:rPr>
          <w:spacing w:val="-2"/>
          <w:sz w:val="15"/>
        </w:rPr>
        <w:t xml:space="preserve"> </w:t>
      </w:r>
      <w:r>
        <w:rPr>
          <w:sz w:val="15"/>
        </w:rPr>
        <w:t>y capacitación</w:t>
      </w:r>
      <w:r>
        <w:rPr>
          <w:spacing w:val="-2"/>
          <w:sz w:val="15"/>
        </w:rPr>
        <w:t xml:space="preserve"> </w:t>
      </w:r>
      <w:r>
        <w:rPr>
          <w:sz w:val="15"/>
        </w:rPr>
        <w:t>en</w:t>
      </w:r>
      <w:r>
        <w:rPr>
          <w:spacing w:val="-2"/>
          <w:sz w:val="15"/>
        </w:rPr>
        <w:t xml:space="preserve"> </w:t>
      </w:r>
      <w:r>
        <w:rPr>
          <w:sz w:val="15"/>
        </w:rPr>
        <w:t>derechos</w:t>
      </w:r>
      <w:r>
        <w:rPr>
          <w:spacing w:val="-2"/>
          <w:sz w:val="15"/>
        </w:rPr>
        <w:t xml:space="preserve"> </w:t>
      </w:r>
      <w:r>
        <w:rPr>
          <w:sz w:val="15"/>
        </w:rPr>
        <w:t>humanos</w:t>
      </w:r>
      <w:r>
        <w:rPr>
          <w:spacing w:val="-2"/>
          <w:sz w:val="15"/>
        </w:rPr>
        <w:t xml:space="preserve"> </w:t>
      </w:r>
      <w:r>
        <w:rPr>
          <w:sz w:val="15"/>
        </w:rPr>
        <w:t>para</w:t>
      </w:r>
      <w:r>
        <w:rPr>
          <w:spacing w:val="-2"/>
          <w:sz w:val="15"/>
        </w:rPr>
        <w:t xml:space="preserve"> </w:t>
      </w:r>
      <w:r>
        <w:rPr>
          <w:sz w:val="15"/>
        </w:rPr>
        <w:t>funcionarios</w:t>
      </w:r>
      <w:r>
        <w:rPr>
          <w:spacing w:val="-2"/>
          <w:sz w:val="15"/>
        </w:rPr>
        <w:t xml:space="preserve"> </w:t>
      </w:r>
      <w:r>
        <w:rPr>
          <w:sz w:val="15"/>
        </w:rPr>
        <w:t>públicos</w:t>
      </w:r>
      <w:r>
        <w:rPr>
          <w:spacing w:val="-2"/>
          <w:sz w:val="15"/>
        </w:rPr>
        <w:t xml:space="preserve"> </w:t>
      </w:r>
      <w:r>
        <w:rPr>
          <w:sz w:val="15"/>
        </w:rPr>
        <w:t>y</w:t>
      </w:r>
      <w:r>
        <w:rPr>
          <w:spacing w:val="-2"/>
          <w:sz w:val="15"/>
        </w:rPr>
        <w:t xml:space="preserve"> </w:t>
      </w:r>
      <w:r>
        <w:rPr>
          <w:sz w:val="15"/>
        </w:rPr>
        <w:t>poner</w:t>
      </w:r>
      <w:r>
        <w:rPr>
          <w:spacing w:val="-2"/>
          <w:sz w:val="15"/>
        </w:rPr>
        <w:t xml:space="preserve"> </w:t>
      </w:r>
      <w:r>
        <w:rPr>
          <w:sz w:val="15"/>
        </w:rPr>
        <w:t>dicha</w:t>
      </w:r>
      <w:r>
        <w:rPr>
          <w:spacing w:val="-2"/>
          <w:sz w:val="15"/>
        </w:rPr>
        <w:t xml:space="preserve"> </w:t>
      </w:r>
      <w:r>
        <w:rPr>
          <w:sz w:val="15"/>
        </w:rPr>
        <w:t>capacitación</w:t>
      </w:r>
      <w:r>
        <w:rPr>
          <w:spacing w:val="-2"/>
          <w:sz w:val="15"/>
        </w:rPr>
        <w:t xml:space="preserve"> </w:t>
      </w:r>
      <w:r>
        <w:rPr>
          <w:sz w:val="15"/>
        </w:rPr>
        <w:t>a</w:t>
      </w:r>
      <w:r>
        <w:rPr>
          <w:spacing w:val="-2"/>
          <w:sz w:val="15"/>
        </w:rPr>
        <w:t xml:space="preserve"> </w:t>
      </w:r>
      <w:r>
        <w:rPr>
          <w:sz w:val="15"/>
        </w:rPr>
        <w:t>disposición</w:t>
      </w:r>
      <w:r>
        <w:rPr>
          <w:spacing w:val="-2"/>
          <w:sz w:val="15"/>
        </w:rPr>
        <w:t xml:space="preserve"> </w:t>
      </w:r>
      <w:r>
        <w:rPr>
          <w:sz w:val="15"/>
        </w:rPr>
        <w:t>de</w:t>
      </w:r>
      <w:r>
        <w:rPr>
          <w:spacing w:val="-2"/>
          <w:sz w:val="15"/>
        </w:rPr>
        <w:t xml:space="preserve"> </w:t>
      </w:r>
      <w:r>
        <w:rPr>
          <w:sz w:val="15"/>
        </w:rPr>
        <w:t>jueces</w:t>
      </w:r>
      <w:r>
        <w:rPr>
          <w:spacing w:val="-2"/>
          <w:sz w:val="15"/>
        </w:rPr>
        <w:t xml:space="preserve"> </w:t>
      </w:r>
      <w:r>
        <w:rPr>
          <w:sz w:val="15"/>
        </w:rPr>
        <w:t>y</w:t>
      </w:r>
      <w:r>
        <w:rPr>
          <w:spacing w:val="-2"/>
          <w:sz w:val="15"/>
        </w:rPr>
        <w:t xml:space="preserve"> </w:t>
      </w:r>
      <w:r>
        <w:rPr>
          <w:sz w:val="15"/>
        </w:rPr>
        <w:t>candidatos</w:t>
      </w:r>
      <w:r>
        <w:rPr>
          <w:spacing w:val="-2"/>
          <w:sz w:val="15"/>
        </w:rPr>
        <w:t xml:space="preserve"> </w:t>
      </w:r>
      <w:r>
        <w:rPr>
          <w:sz w:val="15"/>
        </w:rPr>
        <w:t>a nombramientos</w:t>
      </w:r>
      <w:r>
        <w:rPr>
          <w:spacing w:val="-5"/>
          <w:sz w:val="15"/>
        </w:rPr>
        <w:t xml:space="preserve"> </w:t>
      </w:r>
      <w:r>
        <w:rPr>
          <w:sz w:val="15"/>
        </w:rPr>
        <w:t>judiciales”.1262</w:t>
      </w:r>
      <w:r>
        <w:rPr>
          <w:spacing w:val="-5"/>
          <w:sz w:val="15"/>
        </w:rPr>
        <w:t xml:space="preserve"> </w:t>
      </w:r>
      <w:r>
        <w:rPr>
          <w:sz w:val="15"/>
        </w:rPr>
        <w:t>Como</w:t>
      </w:r>
      <w:r>
        <w:rPr>
          <w:spacing w:val="-5"/>
          <w:sz w:val="15"/>
        </w:rPr>
        <w:t xml:space="preserve"> </w:t>
      </w:r>
      <w:r>
        <w:rPr>
          <w:sz w:val="15"/>
        </w:rPr>
        <w:t>indica</w:t>
      </w:r>
      <w:r>
        <w:rPr>
          <w:spacing w:val="-5"/>
          <w:sz w:val="15"/>
        </w:rPr>
        <w:t xml:space="preserve"> </w:t>
      </w:r>
      <w:r>
        <w:rPr>
          <w:sz w:val="15"/>
        </w:rPr>
        <w:t>esta</w:t>
      </w:r>
      <w:r>
        <w:rPr>
          <w:spacing w:val="-5"/>
          <w:sz w:val="15"/>
        </w:rPr>
        <w:t xml:space="preserve"> </w:t>
      </w:r>
      <w:r>
        <w:rPr>
          <w:sz w:val="15"/>
        </w:rPr>
        <w:t>declaración,</w:t>
      </w:r>
      <w:r>
        <w:rPr>
          <w:spacing w:val="-4"/>
          <w:sz w:val="15"/>
        </w:rPr>
        <w:t xml:space="preserve"> </w:t>
      </w:r>
      <w:r>
        <w:rPr>
          <w:sz w:val="15"/>
        </w:rPr>
        <w:t>es</w:t>
      </w:r>
      <w:r>
        <w:rPr>
          <w:spacing w:val="-5"/>
          <w:sz w:val="15"/>
        </w:rPr>
        <w:t xml:space="preserve"> </w:t>
      </w:r>
      <w:r>
        <w:rPr>
          <w:sz w:val="15"/>
        </w:rPr>
        <w:t>particularmente</w:t>
      </w:r>
      <w:r>
        <w:rPr>
          <w:spacing w:val="-5"/>
          <w:sz w:val="15"/>
        </w:rPr>
        <w:t xml:space="preserve"> </w:t>
      </w:r>
      <w:r>
        <w:rPr>
          <w:sz w:val="15"/>
        </w:rPr>
        <w:t>Es</w:t>
      </w:r>
      <w:r>
        <w:rPr>
          <w:spacing w:val="-5"/>
          <w:sz w:val="15"/>
        </w:rPr>
        <w:t xml:space="preserve"> </w:t>
      </w:r>
      <w:r>
        <w:rPr>
          <w:sz w:val="15"/>
        </w:rPr>
        <w:t>importante</w:t>
      </w:r>
      <w:r>
        <w:rPr>
          <w:spacing w:val="-5"/>
          <w:sz w:val="15"/>
        </w:rPr>
        <w:t xml:space="preserve"> </w:t>
      </w:r>
      <w:r>
        <w:rPr>
          <w:sz w:val="15"/>
        </w:rPr>
        <w:t>que</w:t>
      </w:r>
      <w:r>
        <w:rPr>
          <w:spacing w:val="-5"/>
          <w:sz w:val="15"/>
        </w:rPr>
        <w:t xml:space="preserve"> </w:t>
      </w:r>
      <w:r>
        <w:rPr>
          <w:sz w:val="15"/>
        </w:rPr>
        <w:t>los</w:t>
      </w:r>
      <w:r>
        <w:rPr>
          <w:spacing w:val="-5"/>
          <w:sz w:val="15"/>
        </w:rPr>
        <w:t xml:space="preserve"> </w:t>
      </w:r>
      <w:r>
        <w:rPr>
          <w:sz w:val="15"/>
        </w:rPr>
        <w:t>jueces</w:t>
      </w:r>
      <w:r>
        <w:rPr>
          <w:spacing w:val="-5"/>
          <w:sz w:val="15"/>
        </w:rPr>
        <w:t xml:space="preserve"> </w:t>
      </w:r>
      <w:r>
        <w:rPr>
          <w:sz w:val="15"/>
        </w:rPr>
        <w:t>y</w:t>
      </w:r>
      <w:r>
        <w:rPr>
          <w:spacing w:val="-5"/>
          <w:sz w:val="15"/>
        </w:rPr>
        <w:t xml:space="preserve"> </w:t>
      </w:r>
      <w:r>
        <w:rPr>
          <w:sz w:val="15"/>
        </w:rPr>
        <w:t>abogados</w:t>
      </w:r>
      <w:r>
        <w:rPr>
          <w:spacing w:val="-5"/>
          <w:sz w:val="15"/>
        </w:rPr>
        <w:t xml:space="preserve"> </w:t>
      </w:r>
      <w:r>
        <w:rPr>
          <w:sz w:val="15"/>
        </w:rPr>
        <w:t>comprendan</w:t>
      </w:r>
      <w:r>
        <w:rPr>
          <w:spacing w:val="-5"/>
          <w:sz w:val="15"/>
        </w:rPr>
        <w:t xml:space="preserve"> </w:t>
      </w:r>
      <w:r>
        <w:rPr>
          <w:sz w:val="15"/>
        </w:rPr>
        <w:t>el alcance</w:t>
      </w:r>
      <w:r>
        <w:rPr>
          <w:spacing w:val="-10"/>
          <w:sz w:val="15"/>
        </w:rPr>
        <w:t xml:space="preserve"> </w:t>
      </w:r>
      <w:r>
        <w:rPr>
          <w:sz w:val="15"/>
        </w:rPr>
        <w:t>y</w:t>
      </w:r>
      <w:r>
        <w:rPr>
          <w:spacing w:val="-10"/>
          <w:sz w:val="15"/>
        </w:rPr>
        <w:t xml:space="preserve"> </w:t>
      </w:r>
      <w:r>
        <w:rPr>
          <w:sz w:val="15"/>
        </w:rPr>
        <w:t>el</w:t>
      </w:r>
      <w:r>
        <w:rPr>
          <w:spacing w:val="-10"/>
          <w:sz w:val="15"/>
        </w:rPr>
        <w:t xml:space="preserve"> </w:t>
      </w:r>
      <w:r>
        <w:rPr>
          <w:sz w:val="15"/>
        </w:rPr>
        <w:t>contenido</w:t>
      </w:r>
      <w:r>
        <w:rPr>
          <w:spacing w:val="-10"/>
          <w:sz w:val="15"/>
        </w:rPr>
        <w:t xml:space="preserve"> </w:t>
      </w:r>
      <w:r>
        <w:rPr>
          <w:sz w:val="15"/>
        </w:rPr>
        <w:t>del</w:t>
      </w:r>
      <w:r>
        <w:rPr>
          <w:spacing w:val="-10"/>
          <w:sz w:val="15"/>
        </w:rPr>
        <w:t xml:space="preserve"> </w:t>
      </w:r>
      <w:r>
        <w:rPr>
          <w:sz w:val="15"/>
        </w:rPr>
        <w:t>derecho</w:t>
      </w:r>
      <w:r>
        <w:rPr>
          <w:spacing w:val="-10"/>
          <w:sz w:val="15"/>
        </w:rPr>
        <w:t xml:space="preserve"> </w:t>
      </w:r>
      <w:r>
        <w:rPr>
          <w:sz w:val="15"/>
        </w:rPr>
        <w:t>internacional</w:t>
      </w:r>
      <w:r>
        <w:rPr>
          <w:spacing w:val="-10"/>
          <w:sz w:val="15"/>
        </w:rPr>
        <w:t xml:space="preserve"> </w:t>
      </w:r>
      <w:r>
        <w:rPr>
          <w:sz w:val="15"/>
        </w:rPr>
        <w:t>contra</w:t>
      </w:r>
      <w:r>
        <w:rPr>
          <w:spacing w:val="-10"/>
          <w:sz w:val="15"/>
        </w:rPr>
        <w:t xml:space="preserve"> </w:t>
      </w:r>
      <w:r>
        <w:rPr>
          <w:sz w:val="15"/>
        </w:rPr>
        <w:t>la</w:t>
      </w:r>
      <w:r>
        <w:rPr>
          <w:spacing w:val="-10"/>
          <w:sz w:val="15"/>
        </w:rPr>
        <w:t xml:space="preserve"> </w:t>
      </w:r>
      <w:r>
        <w:rPr>
          <w:sz w:val="15"/>
        </w:rPr>
        <w:t>discriminación</w:t>
      </w:r>
      <w:r>
        <w:rPr>
          <w:spacing w:val="-10"/>
          <w:sz w:val="15"/>
        </w:rPr>
        <w:t xml:space="preserve"> </w:t>
      </w:r>
      <w:r>
        <w:rPr>
          <w:sz w:val="15"/>
        </w:rPr>
        <w:t>para</w:t>
      </w:r>
      <w:r>
        <w:rPr>
          <w:spacing w:val="-10"/>
          <w:sz w:val="15"/>
        </w:rPr>
        <w:t xml:space="preserve"> </w:t>
      </w:r>
      <w:r>
        <w:rPr>
          <w:sz w:val="15"/>
        </w:rPr>
        <w:t>evitar</w:t>
      </w:r>
      <w:r>
        <w:rPr>
          <w:spacing w:val="-10"/>
          <w:sz w:val="15"/>
        </w:rPr>
        <w:t xml:space="preserve"> </w:t>
      </w:r>
      <w:r>
        <w:rPr>
          <w:sz w:val="15"/>
        </w:rPr>
        <w:t>malentendidos,</w:t>
      </w:r>
      <w:r>
        <w:rPr>
          <w:spacing w:val="-9"/>
          <w:sz w:val="15"/>
        </w:rPr>
        <w:t xml:space="preserve"> </w:t>
      </w:r>
      <w:r>
        <w:rPr>
          <w:sz w:val="15"/>
        </w:rPr>
        <w:t>interpretaciones</w:t>
      </w:r>
      <w:r>
        <w:rPr>
          <w:spacing w:val="-11"/>
          <w:sz w:val="15"/>
        </w:rPr>
        <w:t xml:space="preserve"> </w:t>
      </w:r>
      <w:r>
        <w:rPr>
          <w:sz w:val="15"/>
        </w:rPr>
        <w:t>erróneas</w:t>
      </w:r>
      <w:r>
        <w:rPr>
          <w:spacing w:val="-9"/>
          <w:sz w:val="15"/>
        </w:rPr>
        <w:t xml:space="preserve"> </w:t>
      </w:r>
      <w:r>
        <w:rPr>
          <w:sz w:val="15"/>
        </w:rPr>
        <w:t>y</w:t>
      </w:r>
      <w:r>
        <w:rPr>
          <w:spacing w:val="-10"/>
          <w:sz w:val="15"/>
        </w:rPr>
        <w:t xml:space="preserve"> </w:t>
      </w:r>
      <w:r>
        <w:rPr>
          <w:sz w:val="15"/>
        </w:rPr>
        <w:t>aplicaciones indebidas de la ley.1263</w:t>
      </w:r>
    </w:p>
    <w:p w14:paraId="4FDF3166" w14:textId="77777777" w:rsidR="0014798C" w:rsidRDefault="004E1F0B">
      <w:pPr>
        <w:spacing w:before="168" w:line="348" w:lineRule="auto"/>
        <w:ind w:left="1105" w:right="1272" w:firstLine="2"/>
        <w:rPr>
          <w:sz w:val="15"/>
        </w:rPr>
      </w:pPr>
      <w:r>
        <w:rPr>
          <w:sz w:val="15"/>
        </w:rPr>
        <w:t>En</w:t>
      </w:r>
      <w:r>
        <w:rPr>
          <w:spacing w:val="-5"/>
          <w:sz w:val="15"/>
        </w:rPr>
        <w:t xml:space="preserve"> </w:t>
      </w:r>
      <w:r>
        <w:rPr>
          <w:sz w:val="15"/>
        </w:rPr>
        <w:t>su</w:t>
      </w:r>
      <w:r>
        <w:rPr>
          <w:spacing w:val="-5"/>
          <w:sz w:val="15"/>
        </w:rPr>
        <w:t xml:space="preserve"> </w:t>
      </w:r>
      <w:r>
        <w:rPr>
          <w:sz w:val="15"/>
        </w:rPr>
        <w:t>Recomendación</w:t>
      </w:r>
      <w:r>
        <w:rPr>
          <w:spacing w:val="-5"/>
          <w:sz w:val="15"/>
        </w:rPr>
        <w:t xml:space="preserve"> </w:t>
      </w:r>
      <w:r>
        <w:rPr>
          <w:sz w:val="15"/>
        </w:rPr>
        <w:t>general</w:t>
      </w:r>
      <w:r>
        <w:rPr>
          <w:spacing w:val="-5"/>
          <w:sz w:val="15"/>
        </w:rPr>
        <w:t xml:space="preserve"> </w:t>
      </w:r>
      <w:proofErr w:type="spellStart"/>
      <w:r>
        <w:rPr>
          <w:sz w:val="15"/>
        </w:rPr>
        <w:t>Nº</w:t>
      </w:r>
      <w:proofErr w:type="spellEnd"/>
      <w:r>
        <w:rPr>
          <w:spacing w:val="-5"/>
          <w:sz w:val="15"/>
        </w:rPr>
        <w:t xml:space="preserve"> </w:t>
      </w:r>
      <w:r>
        <w:rPr>
          <w:sz w:val="15"/>
        </w:rPr>
        <w:t>36</w:t>
      </w:r>
      <w:r>
        <w:rPr>
          <w:spacing w:val="-5"/>
          <w:sz w:val="15"/>
        </w:rPr>
        <w:t xml:space="preserve"> </w:t>
      </w:r>
      <w:r>
        <w:rPr>
          <w:sz w:val="15"/>
        </w:rPr>
        <w:t>(2000),</w:t>
      </w:r>
      <w:r>
        <w:rPr>
          <w:spacing w:val="-5"/>
          <w:sz w:val="15"/>
        </w:rPr>
        <w:t xml:space="preserve"> </w:t>
      </w:r>
      <w:r>
        <w:rPr>
          <w:sz w:val="15"/>
        </w:rPr>
        <w:t>el</w:t>
      </w:r>
      <w:r>
        <w:rPr>
          <w:spacing w:val="-5"/>
          <w:sz w:val="15"/>
        </w:rPr>
        <w:t xml:space="preserve"> </w:t>
      </w:r>
      <w:r>
        <w:rPr>
          <w:sz w:val="15"/>
        </w:rPr>
        <w:t>Comité</w:t>
      </w:r>
      <w:r>
        <w:rPr>
          <w:spacing w:val="-5"/>
          <w:sz w:val="15"/>
        </w:rPr>
        <w:t xml:space="preserve"> </w:t>
      </w:r>
      <w:r>
        <w:rPr>
          <w:sz w:val="15"/>
        </w:rPr>
        <w:t>para</w:t>
      </w:r>
      <w:r>
        <w:rPr>
          <w:spacing w:val="-5"/>
          <w:sz w:val="15"/>
        </w:rPr>
        <w:t xml:space="preserve"> </w:t>
      </w:r>
      <w:r>
        <w:rPr>
          <w:sz w:val="15"/>
        </w:rPr>
        <w:t>la</w:t>
      </w:r>
      <w:r>
        <w:rPr>
          <w:spacing w:val="-5"/>
          <w:sz w:val="15"/>
        </w:rPr>
        <w:t xml:space="preserve"> </w:t>
      </w:r>
      <w:r>
        <w:rPr>
          <w:sz w:val="15"/>
        </w:rPr>
        <w:t>Eliminación</w:t>
      </w:r>
      <w:r>
        <w:rPr>
          <w:spacing w:val="-5"/>
          <w:sz w:val="15"/>
        </w:rPr>
        <w:t xml:space="preserve"> </w:t>
      </w:r>
      <w:r>
        <w:rPr>
          <w:sz w:val="15"/>
        </w:rPr>
        <w:t>de</w:t>
      </w:r>
      <w:r>
        <w:rPr>
          <w:spacing w:val="-5"/>
          <w:sz w:val="15"/>
        </w:rPr>
        <w:t xml:space="preserve"> </w:t>
      </w:r>
      <w:r>
        <w:rPr>
          <w:sz w:val="15"/>
        </w:rPr>
        <w:t>la</w:t>
      </w:r>
      <w:r>
        <w:rPr>
          <w:spacing w:val="-5"/>
          <w:sz w:val="15"/>
        </w:rPr>
        <w:t xml:space="preserve"> </w:t>
      </w:r>
      <w:r>
        <w:rPr>
          <w:sz w:val="15"/>
        </w:rPr>
        <w:t>Discriminación</w:t>
      </w:r>
      <w:r>
        <w:rPr>
          <w:spacing w:val="-5"/>
          <w:sz w:val="15"/>
        </w:rPr>
        <w:t xml:space="preserve"> </w:t>
      </w:r>
      <w:r>
        <w:rPr>
          <w:sz w:val="15"/>
        </w:rPr>
        <w:t>Racial</w:t>
      </w:r>
      <w:r>
        <w:rPr>
          <w:spacing w:val="-5"/>
          <w:sz w:val="15"/>
        </w:rPr>
        <w:t xml:space="preserve"> </w:t>
      </w:r>
      <w:r>
        <w:rPr>
          <w:sz w:val="15"/>
        </w:rPr>
        <w:t>proporcionó</w:t>
      </w:r>
      <w:r>
        <w:rPr>
          <w:spacing w:val="-5"/>
          <w:sz w:val="15"/>
        </w:rPr>
        <w:t xml:space="preserve"> </w:t>
      </w:r>
      <w:r>
        <w:rPr>
          <w:sz w:val="15"/>
        </w:rPr>
        <w:t>orientación</w:t>
      </w:r>
      <w:r>
        <w:rPr>
          <w:spacing w:val="-5"/>
          <w:sz w:val="15"/>
        </w:rPr>
        <w:t xml:space="preserve"> </w:t>
      </w:r>
      <w:r>
        <w:rPr>
          <w:sz w:val="15"/>
        </w:rPr>
        <w:t>detallada sobre</w:t>
      </w:r>
      <w:r>
        <w:rPr>
          <w:spacing w:val="-8"/>
          <w:sz w:val="15"/>
        </w:rPr>
        <w:t xml:space="preserve"> </w:t>
      </w:r>
      <w:r>
        <w:rPr>
          <w:sz w:val="15"/>
        </w:rPr>
        <w:t>las</w:t>
      </w:r>
      <w:r>
        <w:rPr>
          <w:spacing w:val="-8"/>
          <w:sz w:val="15"/>
        </w:rPr>
        <w:t xml:space="preserve"> </w:t>
      </w:r>
      <w:r>
        <w:rPr>
          <w:sz w:val="15"/>
        </w:rPr>
        <w:t>obligaciones</w:t>
      </w:r>
      <w:r>
        <w:rPr>
          <w:spacing w:val="-8"/>
          <w:sz w:val="15"/>
        </w:rPr>
        <w:t xml:space="preserve"> </w:t>
      </w:r>
      <w:r>
        <w:rPr>
          <w:sz w:val="15"/>
        </w:rPr>
        <w:t>de</w:t>
      </w:r>
      <w:r>
        <w:rPr>
          <w:spacing w:val="-8"/>
          <w:sz w:val="15"/>
        </w:rPr>
        <w:t xml:space="preserve"> </w:t>
      </w:r>
      <w:r>
        <w:rPr>
          <w:sz w:val="15"/>
        </w:rPr>
        <w:t>formación.</w:t>
      </w:r>
      <w:r>
        <w:rPr>
          <w:spacing w:val="-7"/>
          <w:sz w:val="15"/>
        </w:rPr>
        <w:t xml:space="preserve"> </w:t>
      </w:r>
      <w:r>
        <w:rPr>
          <w:sz w:val="15"/>
        </w:rPr>
        <w:t>Observó</w:t>
      </w:r>
      <w:r>
        <w:rPr>
          <w:spacing w:val="-8"/>
          <w:sz w:val="15"/>
        </w:rPr>
        <w:t xml:space="preserve"> </w:t>
      </w:r>
      <w:r>
        <w:rPr>
          <w:sz w:val="15"/>
        </w:rPr>
        <w:t>que:</w:t>
      </w:r>
      <w:r>
        <w:rPr>
          <w:spacing w:val="-8"/>
          <w:sz w:val="15"/>
        </w:rPr>
        <w:t xml:space="preserve"> </w:t>
      </w:r>
      <w:r>
        <w:rPr>
          <w:sz w:val="15"/>
        </w:rPr>
        <w:t>“La</w:t>
      </w:r>
      <w:r>
        <w:rPr>
          <w:spacing w:val="-8"/>
          <w:sz w:val="15"/>
        </w:rPr>
        <w:t xml:space="preserve"> </w:t>
      </w:r>
      <w:r>
        <w:rPr>
          <w:sz w:val="15"/>
        </w:rPr>
        <w:t>educación</w:t>
      </w:r>
      <w:r>
        <w:rPr>
          <w:spacing w:val="-8"/>
          <w:sz w:val="15"/>
        </w:rPr>
        <w:t xml:space="preserve"> </w:t>
      </w:r>
      <w:r>
        <w:rPr>
          <w:sz w:val="15"/>
        </w:rPr>
        <w:t>y</w:t>
      </w:r>
      <w:r>
        <w:rPr>
          <w:spacing w:val="-8"/>
          <w:sz w:val="15"/>
        </w:rPr>
        <w:t xml:space="preserve"> </w:t>
      </w:r>
      <w:r>
        <w:rPr>
          <w:sz w:val="15"/>
        </w:rPr>
        <w:t>la</w:t>
      </w:r>
      <w:r>
        <w:rPr>
          <w:spacing w:val="-8"/>
          <w:sz w:val="15"/>
        </w:rPr>
        <w:t xml:space="preserve"> </w:t>
      </w:r>
      <w:r>
        <w:rPr>
          <w:sz w:val="15"/>
        </w:rPr>
        <w:t>formación</w:t>
      </w:r>
      <w:r>
        <w:rPr>
          <w:spacing w:val="-8"/>
          <w:sz w:val="15"/>
        </w:rPr>
        <w:t xml:space="preserve"> </w:t>
      </w:r>
      <w:r>
        <w:rPr>
          <w:sz w:val="15"/>
        </w:rPr>
        <w:t>en</w:t>
      </w:r>
      <w:r>
        <w:rPr>
          <w:spacing w:val="-8"/>
          <w:sz w:val="15"/>
        </w:rPr>
        <w:t xml:space="preserve"> </w:t>
      </w:r>
      <w:r>
        <w:rPr>
          <w:sz w:val="15"/>
        </w:rPr>
        <w:t>materia</w:t>
      </w:r>
      <w:r>
        <w:rPr>
          <w:spacing w:val="-8"/>
          <w:sz w:val="15"/>
        </w:rPr>
        <w:t xml:space="preserve"> </w:t>
      </w:r>
      <w:r>
        <w:rPr>
          <w:sz w:val="15"/>
        </w:rPr>
        <w:t>de</w:t>
      </w:r>
      <w:r>
        <w:rPr>
          <w:spacing w:val="-8"/>
          <w:sz w:val="15"/>
        </w:rPr>
        <w:t xml:space="preserve"> </w:t>
      </w:r>
      <w:r>
        <w:rPr>
          <w:sz w:val="15"/>
        </w:rPr>
        <w:t>derechos</w:t>
      </w:r>
      <w:r>
        <w:rPr>
          <w:spacing w:val="-8"/>
          <w:sz w:val="15"/>
        </w:rPr>
        <w:t xml:space="preserve"> </w:t>
      </w:r>
      <w:r>
        <w:rPr>
          <w:sz w:val="15"/>
        </w:rPr>
        <w:t>humanos</w:t>
      </w:r>
      <w:r>
        <w:rPr>
          <w:spacing w:val="-8"/>
          <w:sz w:val="15"/>
        </w:rPr>
        <w:t xml:space="preserve"> </w:t>
      </w:r>
      <w:r>
        <w:rPr>
          <w:sz w:val="15"/>
        </w:rPr>
        <w:t>son</w:t>
      </w:r>
      <w:r>
        <w:rPr>
          <w:spacing w:val="-8"/>
          <w:sz w:val="15"/>
        </w:rPr>
        <w:t xml:space="preserve"> </w:t>
      </w:r>
      <w:r>
        <w:rPr>
          <w:sz w:val="15"/>
        </w:rPr>
        <w:t>vitales</w:t>
      </w:r>
      <w:r>
        <w:rPr>
          <w:spacing w:val="-8"/>
          <w:sz w:val="15"/>
        </w:rPr>
        <w:t xml:space="preserve"> </w:t>
      </w:r>
      <w:r>
        <w:rPr>
          <w:sz w:val="15"/>
        </w:rPr>
        <w:t>para</w:t>
      </w:r>
      <w:r>
        <w:rPr>
          <w:spacing w:val="-8"/>
          <w:sz w:val="15"/>
        </w:rPr>
        <w:t xml:space="preserve"> </w:t>
      </w:r>
      <w:r>
        <w:rPr>
          <w:sz w:val="15"/>
        </w:rPr>
        <w:t>garantizar que</w:t>
      </w:r>
      <w:r>
        <w:rPr>
          <w:spacing w:val="-2"/>
          <w:sz w:val="15"/>
        </w:rPr>
        <w:t xml:space="preserve"> </w:t>
      </w:r>
      <w:r>
        <w:rPr>
          <w:sz w:val="15"/>
        </w:rPr>
        <w:t>los</w:t>
      </w:r>
      <w:r>
        <w:rPr>
          <w:spacing w:val="-2"/>
          <w:sz w:val="15"/>
        </w:rPr>
        <w:t xml:space="preserve"> </w:t>
      </w:r>
      <w:r>
        <w:rPr>
          <w:sz w:val="15"/>
        </w:rPr>
        <w:t>agentes</w:t>
      </w:r>
      <w:r>
        <w:rPr>
          <w:spacing w:val="-2"/>
          <w:sz w:val="15"/>
        </w:rPr>
        <w:t xml:space="preserve"> </w:t>
      </w:r>
      <w:r>
        <w:rPr>
          <w:sz w:val="15"/>
        </w:rPr>
        <w:t>de</w:t>
      </w:r>
      <w:r>
        <w:rPr>
          <w:spacing w:val="-2"/>
          <w:sz w:val="15"/>
        </w:rPr>
        <w:t xml:space="preserve"> </w:t>
      </w:r>
      <w:r>
        <w:rPr>
          <w:sz w:val="15"/>
        </w:rPr>
        <w:t>policía</w:t>
      </w:r>
      <w:r>
        <w:rPr>
          <w:spacing w:val="-2"/>
          <w:sz w:val="15"/>
        </w:rPr>
        <w:t xml:space="preserve"> </w:t>
      </w:r>
      <w:r>
        <w:rPr>
          <w:sz w:val="15"/>
        </w:rPr>
        <w:t>no</w:t>
      </w:r>
      <w:r>
        <w:rPr>
          <w:spacing w:val="-2"/>
          <w:sz w:val="15"/>
        </w:rPr>
        <w:t xml:space="preserve"> </w:t>
      </w:r>
      <w:r>
        <w:rPr>
          <w:sz w:val="15"/>
        </w:rPr>
        <w:t>discriminen.</w:t>
      </w:r>
      <w:r>
        <w:rPr>
          <w:spacing w:val="-1"/>
          <w:sz w:val="15"/>
        </w:rPr>
        <w:t xml:space="preserve"> </w:t>
      </w:r>
      <w:r>
        <w:rPr>
          <w:sz w:val="15"/>
        </w:rPr>
        <w:t>Las</w:t>
      </w:r>
      <w:r>
        <w:rPr>
          <w:spacing w:val="-2"/>
          <w:sz w:val="15"/>
        </w:rPr>
        <w:t xml:space="preserve"> </w:t>
      </w:r>
      <w:r>
        <w:rPr>
          <w:sz w:val="15"/>
        </w:rPr>
        <w:t>instituciones</w:t>
      </w:r>
      <w:r>
        <w:rPr>
          <w:spacing w:val="-3"/>
          <w:sz w:val="15"/>
        </w:rPr>
        <w:t xml:space="preserve"> </w:t>
      </w:r>
      <w:r>
        <w:rPr>
          <w:sz w:val="15"/>
        </w:rPr>
        <w:t>nacionales</w:t>
      </w:r>
      <w:r>
        <w:rPr>
          <w:spacing w:val="-2"/>
          <w:sz w:val="15"/>
        </w:rPr>
        <w:t xml:space="preserve"> </w:t>
      </w:r>
      <w:r>
        <w:rPr>
          <w:sz w:val="15"/>
        </w:rPr>
        <w:t>de</w:t>
      </w:r>
      <w:r>
        <w:rPr>
          <w:spacing w:val="-2"/>
          <w:sz w:val="15"/>
        </w:rPr>
        <w:t xml:space="preserve"> </w:t>
      </w:r>
      <w:r>
        <w:rPr>
          <w:sz w:val="15"/>
        </w:rPr>
        <w:t>derechos</w:t>
      </w:r>
      <w:r>
        <w:rPr>
          <w:spacing w:val="-2"/>
          <w:sz w:val="15"/>
        </w:rPr>
        <w:t xml:space="preserve"> </w:t>
      </w:r>
      <w:r>
        <w:rPr>
          <w:sz w:val="15"/>
        </w:rPr>
        <w:t>humanos,</w:t>
      </w:r>
      <w:r>
        <w:rPr>
          <w:spacing w:val="-1"/>
          <w:sz w:val="15"/>
        </w:rPr>
        <w:t xml:space="preserve"> </w:t>
      </w:r>
      <w:r>
        <w:rPr>
          <w:sz w:val="15"/>
        </w:rPr>
        <w:t>en</w:t>
      </w:r>
      <w:r>
        <w:rPr>
          <w:spacing w:val="-2"/>
          <w:sz w:val="15"/>
        </w:rPr>
        <w:t xml:space="preserve"> </w:t>
      </w:r>
      <w:r>
        <w:rPr>
          <w:sz w:val="15"/>
        </w:rPr>
        <w:t>cooperación</w:t>
      </w:r>
      <w:r>
        <w:rPr>
          <w:spacing w:val="-2"/>
          <w:sz w:val="15"/>
        </w:rPr>
        <w:t xml:space="preserve"> </w:t>
      </w:r>
      <w:r>
        <w:rPr>
          <w:sz w:val="15"/>
        </w:rPr>
        <w:t>con</w:t>
      </w:r>
      <w:r>
        <w:rPr>
          <w:spacing w:val="-2"/>
          <w:sz w:val="15"/>
        </w:rPr>
        <w:t xml:space="preserve"> </w:t>
      </w:r>
      <w:r>
        <w:rPr>
          <w:sz w:val="15"/>
        </w:rPr>
        <w:t>organizaciones</w:t>
      </w:r>
      <w:r>
        <w:rPr>
          <w:spacing w:val="-2"/>
          <w:sz w:val="15"/>
        </w:rPr>
        <w:t xml:space="preserve"> </w:t>
      </w:r>
      <w:r>
        <w:rPr>
          <w:sz w:val="15"/>
        </w:rPr>
        <w:t>de</w:t>
      </w:r>
      <w:r>
        <w:rPr>
          <w:spacing w:val="-2"/>
          <w:sz w:val="15"/>
        </w:rPr>
        <w:t xml:space="preserve"> </w:t>
      </w:r>
      <w:r>
        <w:rPr>
          <w:sz w:val="15"/>
        </w:rPr>
        <w:t>la sociedad</w:t>
      </w:r>
      <w:r>
        <w:rPr>
          <w:spacing w:val="-7"/>
          <w:sz w:val="15"/>
        </w:rPr>
        <w:t xml:space="preserve"> </w:t>
      </w:r>
      <w:r>
        <w:rPr>
          <w:sz w:val="15"/>
        </w:rPr>
        <w:t>civil,</w:t>
      </w:r>
      <w:r>
        <w:rPr>
          <w:spacing w:val="-7"/>
          <w:sz w:val="15"/>
        </w:rPr>
        <w:t xml:space="preserve"> </w:t>
      </w:r>
      <w:r>
        <w:rPr>
          <w:sz w:val="15"/>
        </w:rPr>
        <w:t>pueden</w:t>
      </w:r>
      <w:r>
        <w:rPr>
          <w:spacing w:val="-7"/>
          <w:sz w:val="15"/>
        </w:rPr>
        <w:t xml:space="preserve"> </w:t>
      </w:r>
      <w:r>
        <w:rPr>
          <w:sz w:val="15"/>
        </w:rPr>
        <w:t>desempeñar</w:t>
      </w:r>
      <w:r>
        <w:rPr>
          <w:spacing w:val="-7"/>
          <w:sz w:val="15"/>
        </w:rPr>
        <w:t xml:space="preserve"> </w:t>
      </w:r>
      <w:r>
        <w:rPr>
          <w:sz w:val="15"/>
        </w:rPr>
        <w:t>un</w:t>
      </w:r>
      <w:r>
        <w:rPr>
          <w:spacing w:val="-7"/>
          <w:sz w:val="15"/>
        </w:rPr>
        <w:t xml:space="preserve"> </w:t>
      </w:r>
      <w:r>
        <w:rPr>
          <w:sz w:val="15"/>
        </w:rPr>
        <w:t>papel</w:t>
      </w:r>
      <w:r>
        <w:rPr>
          <w:spacing w:val="-7"/>
          <w:sz w:val="15"/>
        </w:rPr>
        <w:t xml:space="preserve"> </w:t>
      </w:r>
      <w:r>
        <w:rPr>
          <w:sz w:val="15"/>
        </w:rPr>
        <w:t>central</w:t>
      </w:r>
      <w:r>
        <w:rPr>
          <w:spacing w:val="-7"/>
          <w:sz w:val="15"/>
        </w:rPr>
        <w:t xml:space="preserve"> </w:t>
      </w:r>
      <w:r>
        <w:rPr>
          <w:sz w:val="15"/>
        </w:rPr>
        <w:t>en</w:t>
      </w:r>
      <w:r>
        <w:rPr>
          <w:spacing w:val="-7"/>
          <w:sz w:val="15"/>
        </w:rPr>
        <w:t xml:space="preserve"> </w:t>
      </w:r>
      <w:r>
        <w:rPr>
          <w:sz w:val="15"/>
        </w:rPr>
        <w:t>la</w:t>
      </w:r>
      <w:r>
        <w:rPr>
          <w:spacing w:val="-7"/>
          <w:sz w:val="15"/>
        </w:rPr>
        <w:t xml:space="preserve"> </w:t>
      </w:r>
      <w:r>
        <w:rPr>
          <w:sz w:val="15"/>
        </w:rPr>
        <w:t>capacitación</w:t>
      </w:r>
      <w:r>
        <w:rPr>
          <w:spacing w:val="-7"/>
          <w:sz w:val="15"/>
        </w:rPr>
        <w:t xml:space="preserve"> </w:t>
      </w:r>
      <w:r>
        <w:rPr>
          <w:sz w:val="15"/>
        </w:rPr>
        <w:t>de</w:t>
      </w:r>
      <w:r>
        <w:rPr>
          <w:spacing w:val="-7"/>
          <w:sz w:val="15"/>
        </w:rPr>
        <w:t xml:space="preserve"> </w:t>
      </w:r>
      <w:r>
        <w:rPr>
          <w:sz w:val="15"/>
        </w:rPr>
        <w:t>los</w:t>
      </w:r>
      <w:r>
        <w:rPr>
          <w:spacing w:val="-7"/>
          <w:sz w:val="15"/>
        </w:rPr>
        <w:t xml:space="preserve"> </w:t>
      </w:r>
      <w:r>
        <w:rPr>
          <w:sz w:val="15"/>
        </w:rPr>
        <w:t>funcionarios</w:t>
      </w:r>
      <w:r>
        <w:rPr>
          <w:spacing w:val="-7"/>
          <w:sz w:val="15"/>
        </w:rPr>
        <w:t xml:space="preserve"> </w:t>
      </w:r>
      <w:r>
        <w:rPr>
          <w:sz w:val="15"/>
        </w:rPr>
        <w:t>encargados</w:t>
      </w:r>
      <w:r>
        <w:rPr>
          <w:spacing w:val="-7"/>
          <w:sz w:val="15"/>
        </w:rPr>
        <w:t xml:space="preserve"> </w:t>
      </w:r>
      <w:r>
        <w:rPr>
          <w:sz w:val="15"/>
        </w:rPr>
        <w:t>de</w:t>
      </w:r>
      <w:r>
        <w:rPr>
          <w:spacing w:val="-7"/>
          <w:sz w:val="15"/>
        </w:rPr>
        <w:t xml:space="preserve"> </w:t>
      </w:r>
      <w:r>
        <w:rPr>
          <w:sz w:val="15"/>
        </w:rPr>
        <w:t>hacer</w:t>
      </w:r>
      <w:r>
        <w:rPr>
          <w:spacing w:val="-7"/>
          <w:sz w:val="15"/>
        </w:rPr>
        <w:t xml:space="preserve"> </w:t>
      </w:r>
      <w:r>
        <w:rPr>
          <w:sz w:val="15"/>
        </w:rPr>
        <w:t>cumplir</w:t>
      </w:r>
      <w:r>
        <w:rPr>
          <w:spacing w:val="-7"/>
          <w:sz w:val="15"/>
        </w:rPr>
        <w:t xml:space="preserve"> </w:t>
      </w:r>
      <w:r>
        <w:rPr>
          <w:sz w:val="15"/>
        </w:rPr>
        <w:t>la</w:t>
      </w:r>
      <w:r>
        <w:rPr>
          <w:spacing w:val="-7"/>
          <w:sz w:val="15"/>
        </w:rPr>
        <w:t xml:space="preserve"> </w:t>
      </w:r>
      <w:r>
        <w:rPr>
          <w:sz w:val="15"/>
        </w:rPr>
        <w:t>ley,</w:t>
      </w:r>
      <w:r>
        <w:rPr>
          <w:spacing w:val="-7"/>
          <w:sz w:val="15"/>
        </w:rPr>
        <w:t xml:space="preserve"> </w:t>
      </w:r>
      <w:r>
        <w:rPr>
          <w:sz w:val="15"/>
        </w:rPr>
        <w:t>en</w:t>
      </w:r>
      <w:r>
        <w:rPr>
          <w:spacing w:val="-7"/>
          <w:sz w:val="15"/>
        </w:rPr>
        <w:t xml:space="preserve"> </w:t>
      </w:r>
      <w:r>
        <w:rPr>
          <w:sz w:val="15"/>
        </w:rPr>
        <w:t>la</w:t>
      </w:r>
      <w:r>
        <w:rPr>
          <w:spacing w:val="-7"/>
          <w:sz w:val="15"/>
        </w:rPr>
        <w:t xml:space="preserve"> </w:t>
      </w:r>
      <w:r>
        <w:rPr>
          <w:sz w:val="15"/>
        </w:rPr>
        <w:t>auditoría de</w:t>
      </w:r>
      <w:r>
        <w:rPr>
          <w:spacing w:val="-3"/>
          <w:sz w:val="15"/>
        </w:rPr>
        <w:t xml:space="preserve"> </w:t>
      </w:r>
      <w:r>
        <w:rPr>
          <w:sz w:val="15"/>
        </w:rPr>
        <w:t>nuevas</w:t>
      </w:r>
      <w:r>
        <w:rPr>
          <w:spacing w:val="-3"/>
          <w:sz w:val="15"/>
        </w:rPr>
        <w:t xml:space="preserve"> </w:t>
      </w:r>
      <w:r>
        <w:rPr>
          <w:sz w:val="15"/>
        </w:rPr>
        <w:t>herramientas</w:t>
      </w:r>
      <w:r>
        <w:rPr>
          <w:spacing w:val="-3"/>
          <w:sz w:val="15"/>
        </w:rPr>
        <w:t xml:space="preserve"> </w:t>
      </w:r>
      <w:r>
        <w:rPr>
          <w:sz w:val="15"/>
        </w:rPr>
        <w:t>tecnológicas</w:t>
      </w:r>
      <w:r>
        <w:rPr>
          <w:spacing w:val="-3"/>
          <w:sz w:val="15"/>
        </w:rPr>
        <w:t xml:space="preserve"> </w:t>
      </w:r>
      <w:r>
        <w:rPr>
          <w:sz w:val="15"/>
        </w:rPr>
        <w:t>que</w:t>
      </w:r>
      <w:r>
        <w:rPr>
          <w:spacing w:val="-3"/>
          <w:sz w:val="15"/>
        </w:rPr>
        <w:t xml:space="preserve"> </w:t>
      </w:r>
      <w:r>
        <w:rPr>
          <w:sz w:val="15"/>
        </w:rPr>
        <w:t>podrían</w:t>
      </w:r>
      <w:r>
        <w:rPr>
          <w:spacing w:val="-3"/>
          <w:sz w:val="15"/>
        </w:rPr>
        <w:t xml:space="preserve"> </w:t>
      </w:r>
      <w:r>
        <w:rPr>
          <w:sz w:val="15"/>
        </w:rPr>
        <w:t>conducir</w:t>
      </w:r>
      <w:r>
        <w:rPr>
          <w:spacing w:val="-3"/>
          <w:sz w:val="15"/>
        </w:rPr>
        <w:t xml:space="preserve"> </w:t>
      </w:r>
      <w:r>
        <w:rPr>
          <w:sz w:val="15"/>
        </w:rPr>
        <w:t>a</w:t>
      </w:r>
      <w:r>
        <w:rPr>
          <w:spacing w:val="-3"/>
          <w:sz w:val="15"/>
        </w:rPr>
        <w:t xml:space="preserve"> </w:t>
      </w:r>
      <w:r>
        <w:rPr>
          <w:sz w:val="15"/>
        </w:rPr>
        <w:t>la</w:t>
      </w:r>
      <w:r>
        <w:rPr>
          <w:spacing w:val="-3"/>
          <w:sz w:val="15"/>
        </w:rPr>
        <w:t xml:space="preserve"> </w:t>
      </w:r>
      <w:r>
        <w:rPr>
          <w:sz w:val="15"/>
        </w:rPr>
        <w:t>discriminación</w:t>
      </w:r>
      <w:r>
        <w:rPr>
          <w:spacing w:val="-3"/>
          <w:sz w:val="15"/>
        </w:rPr>
        <w:t xml:space="preserve"> </w:t>
      </w:r>
      <w:r>
        <w:rPr>
          <w:sz w:val="15"/>
        </w:rPr>
        <w:t>y</w:t>
      </w:r>
      <w:r>
        <w:rPr>
          <w:spacing w:val="-3"/>
          <w:sz w:val="15"/>
        </w:rPr>
        <w:t xml:space="preserve"> </w:t>
      </w:r>
      <w:r>
        <w:rPr>
          <w:sz w:val="15"/>
        </w:rPr>
        <w:t>en</w:t>
      </w:r>
      <w:r>
        <w:rPr>
          <w:spacing w:val="-3"/>
          <w:sz w:val="15"/>
        </w:rPr>
        <w:t xml:space="preserve"> </w:t>
      </w:r>
      <w:r>
        <w:rPr>
          <w:sz w:val="15"/>
        </w:rPr>
        <w:t>la</w:t>
      </w:r>
      <w:r>
        <w:rPr>
          <w:spacing w:val="-3"/>
          <w:sz w:val="15"/>
        </w:rPr>
        <w:t xml:space="preserve"> </w:t>
      </w:r>
      <w:r>
        <w:rPr>
          <w:sz w:val="15"/>
        </w:rPr>
        <w:t>identificación</w:t>
      </w:r>
      <w:r>
        <w:rPr>
          <w:spacing w:val="-3"/>
          <w:sz w:val="15"/>
        </w:rPr>
        <w:t xml:space="preserve"> </w:t>
      </w:r>
      <w:r>
        <w:rPr>
          <w:sz w:val="15"/>
        </w:rPr>
        <w:t>de</w:t>
      </w:r>
      <w:r>
        <w:rPr>
          <w:spacing w:val="-3"/>
          <w:sz w:val="15"/>
        </w:rPr>
        <w:t xml:space="preserve"> </w:t>
      </w:r>
      <w:r>
        <w:rPr>
          <w:sz w:val="15"/>
        </w:rPr>
        <w:t>otros</w:t>
      </w:r>
      <w:r>
        <w:rPr>
          <w:spacing w:val="-3"/>
          <w:sz w:val="15"/>
        </w:rPr>
        <w:t xml:space="preserve"> </w:t>
      </w:r>
      <w:r>
        <w:rPr>
          <w:sz w:val="15"/>
        </w:rPr>
        <w:t>riesgos</w:t>
      </w:r>
      <w:r>
        <w:rPr>
          <w:spacing w:val="-3"/>
          <w:sz w:val="15"/>
        </w:rPr>
        <w:t xml:space="preserve"> </w:t>
      </w:r>
      <w:r>
        <w:rPr>
          <w:sz w:val="15"/>
        </w:rPr>
        <w:t>en</w:t>
      </w:r>
      <w:r>
        <w:rPr>
          <w:spacing w:val="-3"/>
          <w:sz w:val="15"/>
        </w:rPr>
        <w:t xml:space="preserve"> </w:t>
      </w:r>
      <w:r>
        <w:rPr>
          <w:sz w:val="15"/>
        </w:rPr>
        <w:t>la</w:t>
      </w:r>
      <w:r>
        <w:rPr>
          <w:spacing w:val="-3"/>
          <w:sz w:val="15"/>
        </w:rPr>
        <w:t xml:space="preserve"> </w:t>
      </w:r>
      <w:r>
        <w:rPr>
          <w:sz w:val="15"/>
        </w:rPr>
        <w:t>práctica.”1264</w:t>
      </w:r>
    </w:p>
    <w:p w14:paraId="4076F66A" w14:textId="77777777" w:rsidR="0014798C" w:rsidRDefault="004E1F0B">
      <w:pPr>
        <w:spacing w:before="168" w:line="348" w:lineRule="auto"/>
        <w:ind w:left="1107" w:right="1166" w:firstLine="5"/>
        <w:rPr>
          <w:sz w:val="15"/>
        </w:rPr>
      </w:pPr>
      <w:r>
        <w:rPr>
          <w:sz w:val="15"/>
        </w:rPr>
        <w:t>Dicha</w:t>
      </w:r>
      <w:r>
        <w:rPr>
          <w:spacing w:val="-4"/>
          <w:sz w:val="15"/>
        </w:rPr>
        <w:t xml:space="preserve"> </w:t>
      </w:r>
      <w:r>
        <w:rPr>
          <w:sz w:val="15"/>
        </w:rPr>
        <w:t>capacitación</w:t>
      </w:r>
      <w:r>
        <w:rPr>
          <w:spacing w:val="-4"/>
          <w:sz w:val="15"/>
        </w:rPr>
        <w:t xml:space="preserve"> </w:t>
      </w:r>
      <w:r>
        <w:rPr>
          <w:sz w:val="15"/>
        </w:rPr>
        <w:t>debería</w:t>
      </w:r>
      <w:r>
        <w:rPr>
          <w:spacing w:val="-4"/>
          <w:sz w:val="15"/>
        </w:rPr>
        <w:t xml:space="preserve"> </w:t>
      </w:r>
      <w:r>
        <w:rPr>
          <w:sz w:val="15"/>
        </w:rPr>
        <w:t>garantizar</w:t>
      </w:r>
      <w:r>
        <w:rPr>
          <w:spacing w:val="-4"/>
          <w:sz w:val="15"/>
        </w:rPr>
        <w:t xml:space="preserve"> </w:t>
      </w:r>
      <w:r>
        <w:rPr>
          <w:sz w:val="15"/>
        </w:rPr>
        <w:t>la</w:t>
      </w:r>
      <w:r>
        <w:rPr>
          <w:spacing w:val="-4"/>
          <w:sz w:val="15"/>
        </w:rPr>
        <w:t xml:space="preserve"> </w:t>
      </w:r>
      <w:r>
        <w:rPr>
          <w:sz w:val="15"/>
        </w:rPr>
        <w:t>participación</w:t>
      </w:r>
      <w:r>
        <w:rPr>
          <w:spacing w:val="-4"/>
          <w:sz w:val="15"/>
        </w:rPr>
        <w:t xml:space="preserve"> </w:t>
      </w:r>
      <w:r>
        <w:rPr>
          <w:sz w:val="15"/>
        </w:rPr>
        <w:t>de</w:t>
      </w:r>
      <w:r>
        <w:rPr>
          <w:spacing w:val="-4"/>
          <w:sz w:val="15"/>
        </w:rPr>
        <w:t xml:space="preserve"> </w:t>
      </w:r>
      <w:r>
        <w:rPr>
          <w:sz w:val="15"/>
        </w:rPr>
        <w:t>“grupos</w:t>
      </w:r>
      <w:r>
        <w:rPr>
          <w:spacing w:val="-4"/>
          <w:sz w:val="15"/>
        </w:rPr>
        <w:t xml:space="preserve"> </w:t>
      </w:r>
      <w:r>
        <w:rPr>
          <w:sz w:val="15"/>
        </w:rPr>
        <w:t>estigmatizados,</w:t>
      </w:r>
      <w:r>
        <w:rPr>
          <w:spacing w:val="-3"/>
          <w:sz w:val="15"/>
        </w:rPr>
        <w:t xml:space="preserve"> </w:t>
      </w:r>
      <w:r>
        <w:rPr>
          <w:sz w:val="15"/>
        </w:rPr>
        <w:t>incluidos</w:t>
      </w:r>
      <w:r>
        <w:rPr>
          <w:spacing w:val="-4"/>
          <w:sz w:val="15"/>
        </w:rPr>
        <w:t xml:space="preserve"> </w:t>
      </w:r>
      <w:r>
        <w:rPr>
          <w:sz w:val="15"/>
        </w:rPr>
        <w:t>aquellos</w:t>
      </w:r>
      <w:r>
        <w:rPr>
          <w:spacing w:val="-4"/>
          <w:sz w:val="15"/>
        </w:rPr>
        <w:t xml:space="preserve"> </w:t>
      </w:r>
      <w:r>
        <w:rPr>
          <w:sz w:val="15"/>
        </w:rPr>
        <w:t>cuyos</w:t>
      </w:r>
      <w:r>
        <w:rPr>
          <w:spacing w:val="-4"/>
          <w:sz w:val="15"/>
        </w:rPr>
        <w:t xml:space="preserve"> </w:t>
      </w:r>
      <w:r>
        <w:rPr>
          <w:sz w:val="15"/>
        </w:rPr>
        <w:t>miembros</w:t>
      </w:r>
      <w:r>
        <w:rPr>
          <w:spacing w:val="-4"/>
          <w:sz w:val="15"/>
        </w:rPr>
        <w:t xml:space="preserve"> </w:t>
      </w:r>
      <w:r>
        <w:rPr>
          <w:sz w:val="15"/>
        </w:rPr>
        <w:t>experimentan</w:t>
      </w:r>
      <w:r>
        <w:rPr>
          <w:spacing w:val="-4"/>
          <w:sz w:val="15"/>
        </w:rPr>
        <w:t xml:space="preserve"> </w:t>
      </w:r>
      <w:r>
        <w:rPr>
          <w:sz w:val="15"/>
        </w:rPr>
        <w:t>formas interseccionales</w:t>
      </w:r>
      <w:r>
        <w:rPr>
          <w:spacing w:val="-4"/>
          <w:sz w:val="15"/>
        </w:rPr>
        <w:t xml:space="preserve"> </w:t>
      </w:r>
      <w:r>
        <w:rPr>
          <w:sz w:val="15"/>
        </w:rPr>
        <w:t>de</w:t>
      </w:r>
      <w:r>
        <w:rPr>
          <w:spacing w:val="-4"/>
          <w:sz w:val="15"/>
        </w:rPr>
        <w:t xml:space="preserve"> </w:t>
      </w:r>
      <w:r>
        <w:rPr>
          <w:sz w:val="15"/>
        </w:rPr>
        <w:t>discriminación”.1265</w:t>
      </w:r>
      <w:r>
        <w:rPr>
          <w:spacing w:val="-4"/>
          <w:sz w:val="15"/>
        </w:rPr>
        <w:t xml:space="preserve"> </w:t>
      </w:r>
      <w:r>
        <w:rPr>
          <w:sz w:val="15"/>
        </w:rPr>
        <w:t>La</w:t>
      </w:r>
      <w:r>
        <w:rPr>
          <w:spacing w:val="-4"/>
          <w:sz w:val="15"/>
        </w:rPr>
        <w:t xml:space="preserve"> </w:t>
      </w:r>
      <w:r>
        <w:rPr>
          <w:sz w:val="15"/>
        </w:rPr>
        <w:t>capacitación</w:t>
      </w:r>
      <w:r>
        <w:rPr>
          <w:spacing w:val="-4"/>
          <w:sz w:val="15"/>
        </w:rPr>
        <w:t xml:space="preserve"> </w:t>
      </w:r>
      <w:r>
        <w:rPr>
          <w:sz w:val="15"/>
        </w:rPr>
        <w:t>debería</w:t>
      </w:r>
      <w:r>
        <w:rPr>
          <w:spacing w:val="-4"/>
          <w:sz w:val="15"/>
        </w:rPr>
        <w:t xml:space="preserve"> </w:t>
      </w:r>
      <w:r>
        <w:rPr>
          <w:sz w:val="15"/>
        </w:rPr>
        <w:t>tener</w:t>
      </w:r>
      <w:r>
        <w:rPr>
          <w:spacing w:val="-4"/>
          <w:sz w:val="15"/>
        </w:rPr>
        <w:t xml:space="preserve"> </w:t>
      </w:r>
      <w:r>
        <w:rPr>
          <w:sz w:val="15"/>
        </w:rPr>
        <w:t>como</w:t>
      </w:r>
      <w:r>
        <w:rPr>
          <w:spacing w:val="-4"/>
          <w:sz w:val="15"/>
        </w:rPr>
        <w:t xml:space="preserve"> </w:t>
      </w:r>
      <w:r>
        <w:rPr>
          <w:sz w:val="15"/>
        </w:rPr>
        <w:t>objetivo</w:t>
      </w:r>
      <w:r>
        <w:rPr>
          <w:spacing w:val="-4"/>
          <w:sz w:val="15"/>
        </w:rPr>
        <w:t xml:space="preserve"> </w:t>
      </w:r>
      <w:r>
        <w:rPr>
          <w:sz w:val="15"/>
        </w:rPr>
        <w:t>“crear</w:t>
      </w:r>
      <w:r>
        <w:rPr>
          <w:spacing w:val="-4"/>
          <w:sz w:val="15"/>
        </w:rPr>
        <w:t xml:space="preserve"> </w:t>
      </w:r>
      <w:r>
        <w:rPr>
          <w:sz w:val="15"/>
        </w:rPr>
        <w:t>conciencia</w:t>
      </w:r>
      <w:r>
        <w:rPr>
          <w:spacing w:val="-4"/>
          <w:sz w:val="15"/>
        </w:rPr>
        <w:t xml:space="preserve"> </w:t>
      </w:r>
      <w:r>
        <w:rPr>
          <w:sz w:val="15"/>
        </w:rPr>
        <w:t>entre…</w:t>
      </w:r>
      <w:r>
        <w:rPr>
          <w:spacing w:val="-4"/>
          <w:sz w:val="15"/>
        </w:rPr>
        <w:t xml:space="preserve"> </w:t>
      </w:r>
      <w:r>
        <w:rPr>
          <w:sz w:val="15"/>
        </w:rPr>
        <w:t>los</w:t>
      </w:r>
      <w:r>
        <w:rPr>
          <w:spacing w:val="-4"/>
          <w:sz w:val="15"/>
        </w:rPr>
        <w:t xml:space="preserve"> </w:t>
      </w:r>
      <w:r>
        <w:rPr>
          <w:sz w:val="15"/>
        </w:rPr>
        <w:t>funcionarios</w:t>
      </w:r>
      <w:r>
        <w:rPr>
          <w:spacing w:val="-4"/>
          <w:sz w:val="15"/>
        </w:rPr>
        <w:t xml:space="preserve"> </w:t>
      </w:r>
      <w:r>
        <w:rPr>
          <w:sz w:val="15"/>
        </w:rPr>
        <w:t>sobre</w:t>
      </w:r>
      <w:r>
        <w:rPr>
          <w:spacing w:val="-4"/>
          <w:sz w:val="15"/>
        </w:rPr>
        <w:t xml:space="preserve"> </w:t>
      </w:r>
      <w:r>
        <w:rPr>
          <w:sz w:val="15"/>
        </w:rPr>
        <w:t>el impacto</w:t>
      </w:r>
      <w:r>
        <w:rPr>
          <w:spacing w:val="-8"/>
          <w:sz w:val="15"/>
        </w:rPr>
        <w:t xml:space="preserve"> </w:t>
      </w:r>
      <w:r>
        <w:rPr>
          <w:sz w:val="15"/>
        </w:rPr>
        <w:t>de</w:t>
      </w:r>
      <w:r>
        <w:rPr>
          <w:spacing w:val="-8"/>
          <w:sz w:val="15"/>
        </w:rPr>
        <w:t xml:space="preserve"> </w:t>
      </w:r>
      <w:r>
        <w:rPr>
          <w:sz w:val="15"/>
        </w:rPr>
        <w:t>los</w:t>
      </w:r>
      <w:r>
        <w:rPr>
          <w:spacing w:val="-8"/>
          <w:sz w:val="15"/>
        </w:rPr>
        <w:t xml:space="preserve"> </w:t>
      </w:r>
      <w:r>
        <w:rPr>
          <w:sz w:val="15"/>
        </w:rPr>
        <w:t>prejuicios</w:t>
      </w:r>
      <w:r>
        <w:rPr>
          <w:spacing w:val="-8"/>
          <w:sz w:val="15"/>
        </w:rPr>
        <w:t xml:space="preserve"> </w:t>
      </w:r>
      <w:r>
        <w:rPr>
          <w:sz w:val="15"/>
        </w:rPr>
        <w:t>en</w:t>
      </w:r>
      <w:r>
        <w:rPr>
          <w:spacing w:val="-8"/>
          <w:sz w:val="15"/>
        </w:rPr>
        <w:t xml:space="preserve"> </w:t>
      </w:r>
      <w:r>
        <w:rPr>
          <w:sz w:val="15"/>
        </w:rPr>
        <w:t>su</w:t>
      </w:r>
      <w:r>
        <w:rPr>
          <w:spacing w:val="-8"/>
          <w:sz w:val="15"/>
        </w:rPr>
        <w:t xml:space="preserve"> </w:t>
      </w:r>
      <w:r>
        <w:rPr>
          <w:sz w:val="15"/>
        </w:rPr>
        <w:t>trabajo</w:t>
      </w:r>
      <w:r>
        <w:rPr>
          <w:spacing w:val="-8"/>
          <w:sz w:val="15"/>
        </w:rPr>
        <w:t xml:space="preserve"> </w:t>
      </w:r>
      <w:r>
        <w:rPr>
          <w:sz w:val="15"/>
        </w:rPr>
        <w:t>y…</w:t>
      </w:r>
      <w:r>
        <w:rPr>
          <w:spacing w:val="-8"/>
          <w:sz w:val="15"/>
        </w:rPr>
        <w:t xml:space="preserve"> </w:t>
      </w:r>
      <w:r>
        <w:rPr>
          <w:sz w:val="15"/>
        </w:rPr>
        <w:t>demostrar</w:t>
      </w:r>
      <w:r>
        <w:rPr>
          <w:spacing w:val="-8"/>
          <w:sz w:val="15"/>
        </w:rPr>
        <w:t xml:space="preserve"> </w:t>
      </w:r>
      <w:r>
        <w:rPr>
          <w:sz w:val="15"/>
        </w:rPr>
        <w:t>cómo</w:t>
      </w:r>
      <w:r>
        <w:rPr>
          <w:spacing w:val="-8"/>
          <w:sz w:val="15"/>
        </w:rPr>
        <w:t xml:space="preserve"> </w:t>
      </w:r>
      <w:r>
        <w:rPr>
          <w:sz w:val="15"/>
        </w:rPr>
        <w:t>garantizar</w:t>
      </w:r>
      <w:r>
        <w:rPr>
          <w:spacing w:val="-8"/>
          <w:sz w:val="15"/>
        </w:rPr>
        <w:t xml:space="preserve"> </w:t>
      </w:r>
      <w:r>
        <w:rPr>
          <w:sz w:val="15"/>
        </w:rPr>
        <w:t>la</w:t>
      </w:r>
      <w:r>
        <w:rPr>
          <w:spacing w:val="-8"/>
          <w:sz w:val="15"/>
        </w:rPr>
        <w:t xml:space="preserve"> </w:t>
      </w:r>
      <w:r>
        <w:rPr>
          <w:sz w:val="15"/>
        </w:rPr>
        <w:t>no</w:t>
      </w:r>
      <w:r>
        <w:rPr>
          <w:spacing w:val="-8"/>
          <w:sz w:val="15"/>
        </w:rPr>
        <w:t xml:space="preserve"> </w:t>
      </w:r>
      <w:r>
        <w:rPr>
          <w:sz w:val="15"/>
        </w:rPr>
        <w:t>discriminación”.</w:t>
      </w:r>
      <w:r>
        <w:rPr>
          <w:spacing w:val="-8"/>
          <w:sz w:val="15"/>
        </w:rPr>
        <w:t xml:space="preserve"> </w:t>
      </w:r>
      <w:r>
        <w:rPr>
          <w:sz w:val="15"/>
        </w:rPr>
        <w:t>conducta”1266</w:t>
      </w:r>
      <w:r>
        <w:rPr>
          <w:spacing w:val="-8"/>
          <w:sz w:val="15"/>
        </w:rPr>
        <w:t xml:space="preserve"> </w:t>
      </w:r>
      <w:r>
        <w:rPr>
          <w:sz w:val="15"/>
        </w:rPr>
        <w:t>y</w:t>
      </w:r>
      <w:r>
        <w:rPr>
          <w:spacing w:val="-8"/>
          <w:sz w:val="15"/>
        </w:rPr>
        <w:t xml:space="preserve"> </w:t>
      </w:r>
      <w:r>
        <w:rPr>
          <w:sz w:val="15"/>
        </w:rPr>
        <w:t>debe</w:t>
      </w:r>
      <w:r>
        <w:rPr>
          <w:spacing w:val="-8"/>
          <w:sz w:val="15"/>
        </w:rPr>
        <w:t xml:space="preserve"> </w:t>
      </w:r>
      <w:r>
        <w:rPr>
          <w:sz w:val="15"/>
        </w:rPr>
        <w:t>ser</w:t>
      </w:r>
      <w:r>
        <w:rPr>
          <w:spacing w:val="-8"/>
          <w:sz w:val="15"/>
        </w:rPr>
        <w:t xml:space="preserve"> </w:t>
      </w:r>
      <w:r>
        <w:rPr>
          <w:sz w:val="15"/>
        </w:rPr>
        <w:t>“evaluada</w:t>
      </w:r>
      <w:r>
        <w:rPr>
          <w:spacing w:val="-8"/>
          <w:sz w:val="15"/>
        </w:rPr>
        <w:t xml:space="preserve"> </w:t>
      </w:r>
      <w:r>
        <w:rPr>
          <w:sz w:val="15"/>
        </w:rPr>
        <w:t>y</w:t>
      </w:r>
      <w:r>
        <w:rPr>
          <w:spacing w:val="-8"/>
          <w:sz w:val="15"/>
        </w:rPr>
        <w:t xml:space="preserve"> </w:t>
      </w:r>
      <w:r>
        <w:rPr>
          <w:sz w:val="15"/>
        </w:rPr>
        <w:t>actualizada periódicamente para garantizar que tenga el impacto deseado”.1267</w:t>
      </w:r>
    </w:p>
    <w:p w14:paraId="2ED80A9D" w14:textId="77777777" w:rsidR="0014798C" w:rsidRDefault="004E1F0B">
      <w:pPr>
        <w:spacing w:before="168"/>
        <w:ind w:left="1108"/>
        <w:rPr>
          <w:sz w:val="15"/>
        </w:rPr>
      </w:pPr>
      <w:r>
        <w:rPr>
          <w:spacing w:val="-2"/>
          <w:sz w:val="15"/>
        </w:rPr>
        <w:t>En</w:t>
      </w:r>
      <w:r>
        <w:rPr>
          <w:sz w:val="15"/>
        </w:rPr>
        <w:t xml:space="preserve"> </w:t>
      </w:r>
      <w:r>
        <w:rPr>
          <w:spacing w:val="-2"/>
          <w:sz w:val="15"/>
        </w:rPr>
        <w:t>su</w:t>
      </w:r>
      <w:r>
        <w:rPr>
          <w:spacing w:val="1"/>
          <w:sz w:val="15"/>
        </w:rPr>
        <w:t xml:space="preserve"> </w:t>
      </w:r>
      <w:r>
        <w:rPr>
          <w:spacing w:val="-2"/>
          <w:sz w:val="15"/>
        </w:rPr>
        <w:t>resolución</w:t>
      </w:r>
      <w:r>
        <w:rPr>
          <w:sz w:val="15"/>
        </w:rPr>
        <w:t xml:space="preserve"> </w:t>
      </w:r>
      <w:r>
        <w:rPr>
          <w:spacing w:val="-2"/>
          <w:sz w:val="15"/>
        </w:rPr>
        <w:t>más</w:t>
      </w:r>
      <w:r>
        <w:rPr>
          <w:spacing w:val="1"/>
          <w:sz w:val="15"/>
        </w:rPr>
        <w:t xml:space="preserve"> </w:t>
      </w:r>
      <w:r>
        <w:rPr>
          <w:spacing w:val="-2"/>
          <w:sz w:val="15"/>
        </w:rPr>
        <w:t>reciente</w:t>
      </w:r>
      <w:r>
        <w:rPr>
          <w:spacing w:val="1"/>
          <w:sz w:val="15"/>
        </w:rPr>
        <w:t xml:space="preserve"> </w:t>
      </w:r>
      <w:r>
        <w:rPr>
          <w:spacing w:val="-2"/>
          <w:sz w:val="15"/>
        </w:rPr>
        <w:t>sobre</w:t>
      </w:r>
      <w:r>
        <w:rPr>
          <w:sz w:val="15"/>
        </w:rPr>
        <w:t xml:space="preserve"> </w:t>
      </w:r>
      <w:r>
        <w:rPr>
          <w:spacing w:val="-2"/>
          <w:sz w:val="15"/>
        </w:rPr>
        <w:t>los</w:t>
      </w:r>
      <w:r>
        <w:rPr>
          <w:spacing w:val="1"/>
          <w:sz w:val="15"/>
        </w:rPr>
        <w:t xml:space="preserve"> </w:t>
      </w:r>
      <w:r>
        <w:rPr>
          <w:spacing w:val="-2"/>
          <w:sz w:val="15"/>
        </w:rPr>
        <w:t>derechos</w:t>
      </w:r>
      <w:r>
        <w:rPr>
          <w:sz w:val="15"/>
        </w:rPr>
        <w:t xml:space="preserve"> </w:t>
      </w:r>
      <w:r>
        <w:rPr>
          <w:spacing w:val="-2"/>
          <w:sz w:val="15"/>
        </w:rPr>
        <w:t>de</w:t>
      </w:r>
      <w:r>
        <w:rPr>
          <w:spacing w:val="1"/>
          <w:sz w:val="15"/>
        </w:rPr>
        <w:t xml:space="preserve"> </w:t>
      </w:r>
      <w:r>
        <w:rPr>
          <w:spacing w:val="-2"/>
          <w:sz w:val="15"/>
        </w:rPr>
        <w:t>las</w:t>
      </w:r>
      <w:r>
        <w:rPr>
          <w:spacing w:val="1"/>
          <w:sz w:val="15"/>
        </w:rPr>
        <w:t xml:space="preserve"> </w:t>
      </w:r>
      <w:r>
        <w:rPr>
          <w:spacing w:val="-2"/>
          <w:sz w:val="15"/>
        </w:rPr>
        <w:t>personas</w:t>
      </w:r>
      <w:r>
        <w:rPr>
          <w:sz w:val="15"/>
        </w:rPr>
        <w:t xml:space="preserve"> </w:t>
      </w:r>
      <w:r>
        <w:rPr>
          <w:spacing w:val="-2"/>
          <w:sz w:val="15"/>
        </w:rPr>
        <w:t>pertenecientes</w:t>
      </w:r>
      <w:r>
        <w:rPr>
          <w:sz w:val="15"/>
        </w:rPr>
        <w:t xml:space="preserve"> </w:t>
      </w:r>
      <w:r>
        <w:rPr>
          <w:spacing w:val="-2"/>
          <w:sz w:val="15"/>
        </w:rPr>
        <w:t>a</w:t>
      </w:r>
      <w:r>
        <w:rPr>
          <w:sz w:val="15"/>
        </w:rPr>
        <w:t xml:space="preserve"> </w:t>
      </w:r>
      <w:r>
        <w:rPr>
          <w:spacing w:val="-2"/>
          <w:sz w:val="15"/>
        </w:rPr>
        <w:t>minorías</w:t>
      </w:r>
      <w:r>
        <w:rPr>
          <w:spacing w:val="1"/>
          <w:sz w:val="15"/>
        </w:rPr>
        <w:t xml:space="preserve"> </w:t>
      </w:r>
      <w:r>
        <w:rPr>
          <w:spacing w:val="-2"/>
          <w:sz w:val="15"/>
        </w:rPr>
        <w:t>nacionales</w:t>
      </w:r>
      <w:r>
        <w:rPr>
          <w:spacing w:val="1"/>
          <w:sz w:val="15"/>
        </w:rPr>
        <w:t xml:space="preserve"> </w:t>
      </w:r>
      <w:r>
        <w:rPr>
          <w:spacing w:val="-2"/>
          <w:sz w:val="15"/>
        </w:rPr>
        <w:t>o</w:t>
      </w:r>
      <w:r>
        <w:rPr>
          <w:sz w:val="15"/>
        </w:rPr>
        <w:t xml:space="preserve"> </w:t>
      </w:r>
      <w:r>
        <w:rPr>
          <w:spacing w:val="-2"/>
          <w:sz w:val="15"/>
        </w:rPr>
        <w:t>étnicas,</w:t>
      </w:r>
      <w:r>
        <w:rPr>
          <w:spacing w:val="1"/>
          <w:sz w:val="15"/>
        </w:rPr>
        <w:t xml:space="preserve"> </w:t>
      </w:r>
      <w:r>
        <w:rPr>
          <w:spacing w:val="-2"/>
          <w:sz w:val="15"/>
        </w:rPr>
        <w:t>religiosas</w:t>
      </w:r>
      <w:r>
        <w:rPr>
          <w:sz w:val="15"/>
        </w:rPr>
        <w:t xml:space="preserve"> </w:t>
      </w:r>
      <w:r>
        <w:rPr>
          <w:spacing w:val="-2"/>
          <w:sz w:val="15"/>
        </w:rPr>
        <w:t>y</w:t>
      </w:r>
      <w:r>
        <w:rPr>
          <w:spacing w:val="1"/>
          <w:sz w:val="15"/>
        </w:rPr>
        <w:t xml:space="preserve"> </w:t>
      </w:r>
      <w:r>
        <w:rPr>
          <w:spacing w:val="-2"/>
          <w:sz w:val="15"/>
        </w:rPr>
        <w:t>lingüísticas,</w:t>
      </w:r>
    </w:p>
    <w:p w14:paraId="311BF52A" w14:textId="77777777" w:rsidR="0014798C" w:rsidRDefault="004E1F0B">
      <w:pPr>
        <w:spacing w:before="78" w:line="348" w:lineRule="auto"/>
        <w:ind w:left="1107" w:right="1166" w:firstLine="1"/>
        <w:rPr>
          <w:sz w:val="15"/>
        </w:rPr>
      </w:pPr>
      <w:r>
        <w:rPr>
          <w:sz w:val="15"/>
        </w:rPr>
        <w:t>el</w:t>
      </w:r>
      <w:r>
        <w:rPr>
          <w:spacing w:val="-8"/>
          <w:sz w:val="15"/>
        </w:rPr>
        <w:t xml:space="preserve"> </w:t>
      </w:r>
      <w:r>
        <w:rPr>
          <w:sz w:val="15"/>
        </w:rPr>
        <w:t>Consejo</w:t>
      </w:r>
      <w:r>
        <w:rPr>
          <w:spacing w:val="-8"/>
          <w:sz w:val="15"/>
        </w:rPr>
        <w:t xml:space="preserve"> </w:t>
      </w:r>
      <w:r>
        <w:rPr>
          <w:sz w:val="15"/>
        </w:rPr>
        <w:t>de</w:t>
      </w:r>
      <w:r>
        <w:rPr>
          <w:spacing w:val="-8"/>
          <w:sz w:val="15"/>
        </w:rPr>
        <w:t xml:space="preserve"> </w:t>
      </w:r>
      <w:r>
        <w:rPr>
          <w:sz w:val="15"/>
        </w:rPr>
        <w:t>Derechos</w:t>
      </w:r>
      <w:r>
        <w:rPr>
          <w:spacing w:val="-8"/>
          <w:sz w:val="15"/>
        </w:rPr>
        <w:t xml:space="preserve"> </w:t>
      </w:r>
      <w:r>
        <w:rPr>
          <w:sz w:val="15"/>
        </w:rPr>
        <w:t>Humanos</w:t>
      </w:r>
      <w:r>
        <w:rPr>
          <w:spacing w:val="-8"/>
          <w:sz w:val="15"/>
        </w:rPr>
        <w:t xml:space="preserve"> </w:t>
      </w:r>
      <w:r>
        <w:rPr>
          <w:sz w:val="15"/>
        </w:rPr>
        <w:t>destacó</w:t>
      </w:r>
      <w:r>
        <w:rPr>
          <w:spacing w:val="-8"/>
          <w:sz w:val="15"/>
        </w:rPr>
        <w:t xml:space="preserve"> </w:t>
      </w:r>
      <w:r>
        <w:rPr>
          <w:sz w:val="15"/>
        </w:rPr>
        <w:t>“la</w:t>
      </w:r>
      <w:r>
        <w:rPr>
          <w:spacing w:val="-8"/>
          <w:sz w:val="15"/>
        </w:rPr>
        <w:t xml:space="preserve"> </w:t>
      </w:r>
      <w:r>
        <w:rPr>
          <w:sz w:val="15"/>
        </w:rPr>
        <w:t>importancia</w:t>
      </w:r>
      <w:r>
        <w:rPr>
          <w:spacing w:val="-8"/>
          <w:sz w:val="15"/>
        </w:rPr>
        <w:t xml:space="preserve"> </w:t>
      </w:r>
      <w:r>
        <w:rPr>
          <w:sz w:val="15"/>
        </w:rPr>
        <w:t>fundamental</w:t>
      </w:r>
      <w:r>
        <w:rPr>
          <w:spacing w:val="-8"/>
          <w:sz w:val="15"/>
        </w:rPr>
        <w:t xml:space="preserve"> </w:t>
      </w:r>
      <w:r>
        <w:rPr>
          <w:sz w:val="15"/>
        </w:rPr>
        <w:t>de</w:t>
      </w:r>
      <w:r>
        <w:rPr>
          <w:spacing w:val="-8"/>
          <w:sz w:val="15"/>
        </w:rPr>
        <w:t xml:space="preserve"> </w:t>
      </w:r>
      <w:r>
        <w:rPr>
          <w:sz w:val="15"/>
        </w:rPr>
        <w:t>la</w:t>
      </w:r>
      <w:r>
        <w:rPr>
          <w:spacing w:val="-8"/>
          <w:sz w:val="15"/>
        </w:rPr>
        <w:t xml:space="preserve"> </w:t>
      </w:r>
      <w:r>
        <w:rPr>
          <w:sz w:val="15"/>
        </w:rPr>
        <w:t>educación,</w:t>
      </w:r>
      <w:r>
        <w:rPr>
          <w:spacing w:val="-7"/>
          <w:sz w:val="15"/>
        </w:rPr>
        <w:t xml:space="preserve"> </w:t>
      </w:r>
      <w:r>
        <w:rPr>
          <w:sz w:val="15"/>
        </w:rPr>
        <w:t>la</w:t>
      </w:r>
      <w:r>
        <w:rPr>
          <w:spacing w:val="-8"/>
          <w:sz w:val="15"/>
        </w:rPr>
        <w:t xml:space="preserve"> </w:t>
      </w:r>
      <w:r>
        <w:rPr>
          <w:sz w:val="15"/>
        </w:rPr>
        <w:t>formación</w:t>
      </w:r>
      <w:r>
        <w:rPr>
          <w:spacing w:val="-8"/>
          <w:sz w:val="15"/>
        </w:rPr>
        <w:t xml:space="preserve"> </w:t>
      </w:r>
      <w:r>
        <w:rPr>
          <w:sz w:val="15"/>
        </w:rPr>
        <w:t>y</w:t>
      </w:r>
      <w:r>
        <w:rPr>
          <w:spacing w:val="-8"/>
          <w:sz w:val="15"/>
        </w:rPr>
        <w:t xml:space="preserve"> </w:t>
      </w:r>
      <w:r>
        <w:rPr>
          <w:sz w:val="15"/>
        </w:rPr>
        <w:t>el</w:t>
      </w:r>
      <w:r>
        <w:rPr>
          <w:spacing w:val="-8"/>
          <w:sz w:val="15"/>
        </w:rPr>
        <w:t xml:space="preserve"> </w:t>
      </w:r>
      <w:r>
        <w:rPr>
          <w:sz w:val="15"/>
        </w:rPr>
        <w:t>aprendizaje</w:t>
      </w:r>
      <w:r>
        <w:rPr>
          <w:spacing w:val="-8"/>
          <w:sz w:val="15"/>
        </w:rPr>
        <w:t xml:space="preserve"> </w:t>
      </w:r>
      <w:r>
        <w:rPr>
          <w:sz w:val="15"/>
        </w:rPr>
        <w:t>en</w:t>
      </w:r>
      <w:r>
        <w:rPr>
          <w:spacing w:val="-8"/>
          <w:sz w:val="15"/>
        </w:rPr>
        <w:t xml:space="preserve"> </w:t>
      </w:r>
      <w:r>
        <w:rPr>
          <w:sz w:val="15"/>
        </w:rPr>
        <w:t>materia</w:t>
      </w:r>
      <w:r>
        <w:rPr>
          <w:spacing w:val="-8"/>
          <w:sz w:val="15"/>
        </w:rPr>
        <w:t xml:space="preserve"> </w:t>
      </w:r>
      <w:r>
        <w:rPr>
          <w:sz w:val="15"/>
        </w:rPr>
        <w:t>de</w:t>
      </w:r>
      <w:r>
        <w:rPr>
          <w:spacing w:val="-8"/>
          <w:sz w:val="15"/>
        </w:rPr>
        <w:t xml:space="preserve"> </w:t>
      </w:r>
      <w:r>
        <w:rPr>
          <w:sz w:val="15"/>
        </w:rPr>
        <w:t>derechos humanos,</w:t>
      </w:r>
      <w:r>
        <w:rPr>
          <w:spacing w:val="-3"/>
          <w:sz w:val="15"/>
        </w:rPr>
        <w:t xml:space="preserve"> </w:t>
      </w:r>
      <w:r>
        <w:rPr>
          <w:sz w:val="15"/>
        </w:rPr>
        <w:t>el</w:t>
      </w:r>
      <w:r>
        <w:rPr>
          <w:spacing w:val="-3"/>
          <w:sz w:val="15"/>
        </w:rPr>
        <w:t xml:space="preserve"> </w:t>
      </w:r>
      <w:r>
        <w:rPr>
          <w:sz w:val="15"/>
        </w:rPr>
        <w:t>diálogo,</w:t>
      </w:r>
      <w:r>
        <w:rPr>
          <w:spacing w:val="-3"/>
          <w:sz w:val="15"/>
        </w:rPr>
        <w:t xml:space="preserve"> </w:t>
      </w:r>
      <w:r>
        <w:rPr>
          <w:sz w:val="15"/>
        </w:rPr>
        <w:t>incluido</w:t>
      </w:r>
      <w:r>
        <w:rPr>
          <w:spacing w:val="-3"/>
          <w:sz w:val="15"/>
        </w:rPr>
        <w:t xml:space="preserve"> </w:t>
      </w:r>
      <w:r>
        <w:rPr>
          <w:sz w:val="15"/>
        </w:rPr>
        <w:t>el</w:t>
      </w:r>
      <w:r>
        <w:rPr>
          <w:spacing w:val="-3"/>
          <w:sz w:val="15"/>
        </w:rPr>
        <w:t xml:space="preserve"> </w:t>
      </w:r>
      <w:r>
        <w:rPr>
          <w:sz w:val="15"/>
        </w:rPr>
        <w:t>diálogo</w:t>
      </w:r>
      <w:r>
        <w:rPr>
          <w:spacing w:val="-3"/>
          <w:sz w:val="15"/>
        </w:rPr>
        <w:t xml:space="preserve"> </w:t>
      </w:r>
      <w:r>
        <w:rPr>
          <w:sz w:val="15"/>
        </w:rPr>
        <w:t>intercultural</w:t>
      </w:r>
      <w:r>
        <w:rPr>
          <w:spacing w:val="-3"/>
          <w:sz w:val="15"/>
        </w:rPr>
        <w:t xml:space="preserve"> </w:t>
      </w:r>
      <w:r>
        <w:rPr>
          <w:sz w:val="15"/>
        </w:rPr>
        <w:t>e</w:t>
      </w:r>
      <w:r>
        <w:rPr>
          <w:spacing w:val="-3"/>
          <w:sz w:val="15"/>
        </w:rPr>
        <w:t xml:space="preserve"> </w:t>
      </w:r>
      <w:r>
        <w:rPr>
          <w:sz w:val="15"/>
        </w:rPr>
        <w:t>interreligioso,</w:t>
      </w:r>
      <w:r>
        <w:rPr>
          <w:spacing w:val="-3"/>
          <w:sz w:val="15"/>
        </w:rPr>
        <w:t xml:space="preserve"> </w:t>
      </w:r>
      <w:r>
        <w:rPr>
          <w:sz w:val="15"/>
        </w:rPr>
        <w:t>y</w:t>
      </w:r>
      <w:r>
        <w:rPr>
          <w:spacing w:val="-3"/>
          <w:sz w:val="15"/>
        </w:rPr>
        <w:t xml:space="preserve"> </w:t>
      </w:r>
      <w:r>
        <w:rPr>
          <w:sz w:val="15"/>
        </w:rPr>
        <w:t>la</w:t>
      </w:r>
      <w:r>
        <w:rPr>
          <w:spacing w:val="-3"/>
          <w:sz w:val="15"/>
        </w:rPr>
        <w:t xml:space="preserve"> </w:t>
      </w:r>
      <w:r>
        <w:rPr>
          <w:sz w:val="15"/>
        </w:rPr>
        <w:t>interacción</w:t>
      </w:r>
      <w:r>
        <w:rPr>
          <w:spacing w:val="-3"/>
          <w:sz w:val="15"/>
        </w:rPr>
        <w:t xml:space="preserve"> </w:t>
      </w:r>
      <w:r>
        <w:rPr>
          <w:sz w:val="15"/>
        </w:rPr>
        <w:t>entre</w:t>
      </w:r>
      <w:r>
        <w:rPr>
          <w:spacing w:val="-3"/>
          <w:sz w:val="15"/>
        </w:rPr>
        <w:t xml:space="preserve"> </w:t>
      </w:r>
      <w:r>
        <w:rPr>
          <w:sz w:val="15"/>
        </w:rPr>
        <w:t>todas</w:t>
      </w:r>
      <w:r>
        <w:rPr>
          <w:spacing w:val="-3"/>
          <w:sz w:val="15"/>
        </w:rPr>
        <w:t xml:space="preserve"> </w:t>
      </w:r>
      <w:r>
        <w:rPr>
          <w:sz w:val="15"/>
        </w:rPr>
        <w:t>las</w:t>
      </w:r>
      <w:r>
        <w:rPr>
          <w:spacing w:val="-3"/>
          <w:sz w:val="15"/>
        </w:rPr>
        <w:t xml:space="preserve"> </w:t>
      </w:r>
      <w:r>
        <w:rPr>
          <w:sz w:val="15"/>
        </w:rPr>
        <w:t>partes</w:t>
      </w:r>
      <w:r>
        <w:rPr>
          <w:spacing w:val="-3"/>
          <w:sz w:val="15"/>
        </w:rPr>
        <w:t xml:space="preserve"> </w:t>
      </w:r>
      <w:r>
        <w:rPr>
          <w:sz w:val="15"/>
        </w:rPr>
        <w:t>interesadas</w:t>
      </w:r>
      <w:r>
        <w:rPr>
          <w:spacing w:val="-3"/>
          <w:sz w:val="15"/>
        </w:rPr>
        <w:t xml:space="preserve"> </w:t>
      </w:r>
      <w:r>
        <w:rPr>
          <w:sz w:val="15"/>
        </w:rPr>
        <w:t>y</w:t>
      </w:r>
      <w:r>
        <w:rPr>
          <w:spacing w:val="-3"/>
          <w:sz w:val="15"/>
        </w:rPr>
        <w:t xml:space="preserve"> </w:t>
      </w:r>
      <w:r>
        <w:rPr>
          <w:sz w:val="15"/>
        </w:rPr>
        <w:t>miembros</w:t>
      </w:r>
      <w:r>
        <w:rPr>
          <w:spacing w:val="-3"/>
          <w:sz w:val="15"/>
        </w:rPr>
        <w:t xml:space="preserve"> </w:t>
      </w:r>
      <w:r>
        <w:rPr>
          <w:sz w:val="15"/>
        </w:rPr>
        <w:t>de</w:t>
      </w:r>
      <w:r>
        <w:rPr>
          <w:spacing w:val="-3"/>
          <w:sz w:val="15"/>
        </w:rPr>
        <w:t xml:space="preserve"> </w:t>
      </w:r>
      <w:r>
        <w:rPr>
          <w:sz w:val="15"/>
        </w:rPr>
        <w:t>la sociedad</w:t>
      </w:r>
      <w:r>
        <w:rPr>
          <w:spacing w:val="-2"/>
          <w:sz w:val="15"/>
        </w:rPr>
        <w:t xml:space="preserve"> </w:t>
      </w:r>
      <w:r>
        <w:rPr>
          <w:sz w:val="15"/>
        </w:rPr>
        <w:t>pertinentes</w:t>
      </w:r>
      <w:r>
        <w:rPr>
          <w:spacing w:val="-3"/>
          <w:sz w:val="15"/>
        </w:rPr>
        <w:t xml:space="preserve"> </w:t>
      </w:r>
      <w:r>
        <w:rPr>
          <w:sz w:val="15"/>
        </w:rPr>
        <w:t>en</w:t>
      </w:r>
      <w:r>
        <w:rPr>
          <w:spacing w:val="-2"/>
          <w:sz w:val="15"/>
        </w:rPr>
        <w:t xml:space="preserve"> </w:t>
      </w:r>
      <w:r>
        <w:rPr>
          <w:sz w:val="15"/>
        </w:rPr>
        <w:t>relación</w:t>
      </w:r>
      <w:r>
        <w:rPr>
          <w:spacing w:val="-2"/>
          <w:sz w:val="15"/>
        </w:rPr>
        <w:t xml:space="preserve"> </w:t>
      </w:r>
      <w:r>
        <w:rPr>
          <w:sz w:val="15"/>
        </w:rPr>
        <w:t>con</w:t>
      </w:r>
      <w:r>
        <w:rPr>
          <w:spacing w:val="-2"/>
          <w:sz w:val="15"/>
        </w:rPr>
        <w:t xml:space="preserve"> </w:t>
      </w:r>
      <w:r>
        <w:rPr>
          <w:sz w:val="15"/>
        </w:rPr>
        <w:t>la</w:t>
      </w:r>
      <w:r>
        <w:rPr>
          <w:spacing w:val="-2"/>
          <w:sz w:val="15"/>
        </w:rPr>
        <w:t xml:space="preserve"> </w:t>
      </w:r>
      <w:r>
        <w:rPr>
          <w:sz w:val="15"/>
        </w:rPr>
        <w:t>promoción</w:t>
      </w:r>
      <w:r>
        <w:rPr>
          <w:spacing w:val="-2"/>
          <w:sz w:val="15"/>
        </w:rPr>
        <w:t xml:space="preserve"> </w:t>
      </w:r>
      <w:r>
        <w:rPr>
          <w:sz w:val="15"/>
        </w:rPr>
        <w:t>y</w:t>
      </w:r>
      <w:r>
        <w:rPr>
          <w:spacing w:val="-2"/>
          <w:sz w:val="15"/>
        </w:rPr>
        <w:t xml:space="preserve"> </w:t>
      </w:r>
      <w:r>
        <w:rPr>
          <w:sz w:val="15"/>
        </w:rPr>
        <w:t>protección</w:t>
      </w:r>
      <w:r>
        <w:rPr>
          <w:spacing w:val="-2"/>
          <w:sz w:val="15"/>
        </w:rPr>
        <w:t xml:space="preserve"> </w:t>
      </w:r>
      <w:r>
        <w:rPr>
          <w:sz w:val="15"/>
        </w:rPr>
        <w:t>de</w:t>
      </w:r>
      <w:r>
        <w:rPr>
          <w:spacing w:val="-2"/>
          <w:sz w:val="15"/>
        </w:rPr>
        <w:t xml:space="preserve"> </w:t>
      </w:r>
      <w:r>
        <w:rPr>
          <w:sz w:val="15"/>
        </w:rPr>
        <w:t>los</w:t>
      </w:r>
      <w:r>
        <w:rPr>
          <w:spacing w:val="-2"/>
          <w:sz w:val="15"/>
        </w:rPr>
        <w:t xml:space="preserve"> </w:t>
      </w:r>
      <w:r>
        <w:rPr>
          <w:sz w:val="15"/>
        </w:rPr>
        <w:t>derechos</w:t>
      </w:r>
      <w:r>
        <w:rPr>
          <w:spacing w:val="-2"/>
          <w:sz w:val="15"/>
        </w:rPr>
        <w:t xml:space="preserve"> </w:t>
      </w:r>
      <w:r>
        <w:rPr>
          <w:sz w:val="15"/>
        </w:rPr>
        <w:t>de</w:t>
      </w:r>
      <w:r>
        <w:rPr>
          <w:spacing w:val="-2"/>
          <w:sz w:val="15"/>
        </w:rPr>
        <w:t xml:space="preserve"> </w:t>
      </w:r>
      <w:r>
        <w:rPr>
          <w:sz w:val="15"/>
        </w:rPr>
        <w:t>las</w:t>
      </w:r>
      <w:r>
        <w:rPr>
          <w:spacing w:val="-2"/>
          <w:sz w:val="15"/>
        </w:rPr>
        <w:t xml:space="preserve"> </w:t>
      </w:r>
      <w:r>
        <w:rPr>
          <w:sz w:val="15"/>
        </w:rPr>
        <w:t>personas</w:t>
      </w:r>
      <w:r>
        <w:rPr>
          <w:spacing w:val="-2"/>
          <w:sz w:val="15"/>
        </w:rPr>
        <w:t xml:space="preserve"> </w:t>
      </w:r>
      <w:r>
        <w:rPr>
          <w:sz w:val="15"/>
        </w:rPr>
        <w:t>pertenecientes</w:t>
      </w:r>
      <w:r>
        <w:rPr>
          <w:spacing w:val="-3"/>
          <w:sz w:val="15"/>
        </w:rPr>
        <w:t xml:space="preserve"> </w:t>
      </w:r>
      <w:r>
        <w:rPr>
          <w:sz w:val="15"/>
        </w:rPr>
        <w:t>a</w:t>
      </w:r>
      <w:r>
        <w:rPr>
          <w:spacing w:val="-2"/>
          <w:sz w:val="15"/>
        </w:rPr>
        <w:t xml:space="preserve"> </w:t>
      </w:r>
      <w:r>
        <w:rPr>
          <w:sz w:val="15"/>
        </w:rPr>
        <w:t>minorías</w:t>
      </w:r>
      <w:r>
        <w:rPr>
          <w:spacing w:val="-2"/>
          <w:sz w:val="15"/>
        </w:rPr>
        <w:t xml:space="preserve"> </w:t>
      </w:r>
      <w:r>
        <w:rPr>
          <w:sz w:val="15"/>
        </w:rPr>
        <w:t>nacionales</w:t>
      </w:r>
      <w:r>
        <w:rPr>
          <w:spacing w:val="-2"/>
          <w:sz w:val="15"/>
        </w:rPr>
        <w:t xml:space="preserve"> </w:t>
      </w:r>
      <w:r>
        <w:rPr>
          <w:sz w:val="15"/>
        </w:rPr>
        <w:t>o étnicas,</w:t>
      </w:r>
      <w:r>
        <w:rPr>
          <w:spacing w:val="-9"/>
          <w:sz w:val="15"/>
        </w:rPr>
        <w:t xml:space="preserve"> </w:t>
      </w:r>
      <w:r>
        <w:rPr>
          <w:sz w:val="15"/>
        </w:rPr>
        <w:t>religiosas</w:t>
      </w:r>
      <w:r>
        <w:rPr>
          <w:spacing w:val="-9"/>
          <w:sz w:val="15"/>
        </w:rPr>
        <w:t xml:space="preserve"> </w:t>
      </w:r>
      <w:r>
        <w:rPr>
          <w:sz w:val="15"/>
        </w:rPr>
        <w:t>y</w:t>
      </w:r>
      <w:r>
        <w:rPr>
          <w:spacing w:val="-9"/>
          <w:sz w:val="15"/>
        </w:rPr>
        <w:t xml:space="preserve"> </w:t>
      </w:r>
      <w:r>
        <w:rPr>
          <w:sz w:val="15"/>
        </w:rPr>
        <w:t>lingüísticas”.1268</w:t>
      </w:r>
      <w:r>
        <w:rPr>
          <w:spacing w:val="-9"/>
          <w:sz w:val="15"/>
        </w:rPr>
        <w:t xml:space="preserve"> </w:t>
      </w:r>
      <w:r>
        <w:rPr>
          <w:sz w:val="15"/>
        </w:rPr>
        <w:t>Según</w:t>
      </w:r>
      <w:r>
        <w:rPr>
          <w:spacing w:val="-9"/>
          <w:sz w:val="15"/>
        </w:rPr>
        <w:t xml:space="preserve"> </w:t>
      </w:r>
      <w:r>
        <w:rPr>
          <w:sz w:val="15"/>
        </w:rPr>
        <w:t>el</w:t>
      </w:r>
      <w:r>
        <w:rPr>
          <w:spacing w:val="-9"/>
          <w:sz w:val="15"/>
        </w:rPr>
        <w:t xml:space="preserve"> </w:t>
      </w:r>
      <w:r>
        <w:rPr>
          <w:sz w:val="15"/>
        </w:rPr>
        <w:t>Consejo,</w:t>
      </w:r>
      <w:r>
        <w:rPr>
          <w:spacing w:val="-9"/>
          <w:sz w:val="15"/>
        </w:rPr>
        <w:t xml:space="preserve"> </w:t>
      </w:r>
      <w:r>
        <w:rPr>
          <w:sz w:val="15"/>
        </w:rPr>
        <w:t>estos</w:t>
      </w:r>
      <w:r>
        <w:rPr>
          <w:spacing w:val="-9"/>
          <w:sz w:val="15"/>
        </w:rPr>
        <w:t xml:space="preserve"> </w:t>
      </w:r>
      <w:r>
        <w:rPr>
          <w:sz w:val="15"/>
        </w:rPr>
        <w:t>elementos</w:t>
      </w:r>
      <w:r>
        <w:rPr>
          <w:spacing w:val="-9"/>
          <w:sz w:val="15"/>
        </w:rPr>
        <w:t xml:space="preserve"> </w:t>
      </w:r>
      <w:r>
        <w:rPr>
          <w:sz w:val="15"/>
        </w:rPr>
        <w:t>forman</w:t>
      </w:r>
      <w:r>
        <w:rPr>
          <w:spacing w:val="-9"/>
          <w:sz w:val="15"/>
        </w:rPr>
        <w:t xml:space="preserve"> </w:t>
      </w:r>
      <w:r>
        <w:rPr>
          <w:sz w:val="15"/>
        </w:rPr>
        <w:t>“parte</w:t>
      </w:r>
      <w:r>
        <w:rPr>
          <w:spacing w:val="-9"/>
          <w:sz w:val="15"/>
        </w:rPr>
        <w:t xml:space="preserve"> </w:t>
      </w:r>
      <w:r>
        <w:rPr>
          <w:sz w:val="15"/>
        </w:rPr>
        <w:t>integral</w:t>
      </w:r>
      <w:r>
        <w:rPr>
          <w:spacing w:val="-9"/>
          <w:sz w:val="15"/>
        </w:rPr>
        <w:t xml:space="preserve"> </w:t>
      </w:r>
      <w:r>
        <w:rPr>
          <w:sz w:val="15"/>
        </w:rPr>
        <w:t>del</w:t>
      </w:r>
      <w:r>
        <w:rPr>
          <w:spacing w:val="-9"/>
          <w:sz w:val="15"/>
        </w:rPr>
        <w:t xml:space="preserve"> </w:t>
      </w:r>
      <w:r>
        <w:rPr>
          <w:sz w:val="15"/>
        </w:rPr>
        <w:t>desarrollo</w:t>
      </w:r>
      <w:r>
        <w:rPr>
          <w:spacing w:val="-9"/>
          <w:sz w:val="15"/>
        </w:rPr>
        <w:t xml:space="preserve"> </w:t>
      </w:r>
      <w:r>
        <w:rPr>
          <w:sz w:val="15"/>
        </w:rPr>
        <w:t>de</w:t>
      </w:r>
      <w:r>
        <w:rPr>
          <w:spacing w:val="-9"/>
          <w:sz w:val="15"/>
        </w:rPr>
        <w:t xml:space="preserve"> </w:t>
      </w:r>
      <w:r>
        <w:rPr>
          <w:sz w:val="15"/>
        </w:rPr>
        <w:t>la</w:t>
      </w:r>
      <w:r>
        <w:rPr>
          <w:spacing w:val="-9"/>
          <w:sz w:val="15"/>
        </w:rPr>
        <w:t xml:space="preserve"> </w:t>
      </w:r>
      <w:r>
        <w:rPr>
          <w:sz w:val="15"/>
        </w:rPr>
        <w:t>sociedad</w:t>
      </w:r>
      <w:r>
        <w:rPr>
          <w:spacing w:val="-9"/>
          <w:sz w:val="15"/>
        </w:rPr>
        <w:t xml:space="preserve"> </w:t>
      </w:r>
      <w:r>
        <w:rPr>
          <w:sz w:val="15"/>
        </w:rPr>
        <w:t>como</w:t>
      </w:r>
      <w:r>
        <w:rPr>
          <w:spacing w:val="-9"/>
          <w:sz w:val="15"/>
        </w:rPr>
        <w:t xml:space="preserve"> </w:t>
      </w:r>
      <w:r>
        <w:rPr>
          <w:sz w:val="15"/>
        </w:rPr>
        <w:t>conjunto”, garantizando</w:t>
      </w:r>
      <w:r>
        <w:rPr>
          <w:spacing w:val="-4"/>
          <w:sz w:val="15"/>
        </w:rPr>
        <w:t xml:space="preserve"> </w:t>
      </w:r>
      <w:r>
        <w:rPr>
          <w:sz w:val="15"/>
        </w:rPr>
        <w:t>“el</w:t>
      </w:r>
      <w:r>
        <w:rPr>
          <w:spacing w:val="-4"/>
          <w:sz w:val="15"/>
        </w:rPr>
        <w:t xml:space="preserve"> </w:t>
      </w:r>
      <w:r>
        <w:rPr>
          <w:sz w:val="15"/>
        </w:rPr>
        <w:t>intercambio</w:t>
      </w:r>
      <w:r>
        <w:rPr>
          <w:spacing w:val="-4"/>
          <w:sz w:val="15"/>
        </w:rPr>
        <w:t xml:space="preserve"> </w:t>
      </w:r>
      <w:r>
        <w:rPr>
          <w:sz w:val="15"/>
        </w:rPr>
        <w:t>de</w:t>
      </w:r>
      <w:r>
        <w:rPr>
          <w:spacing w:val="-4"/>
          <w:sz w:val="15"/>
        </w:rPr>
        <w:t xml:space="preserve"> </w:t>
      </w:r>
      <w:r>
        <w:rPr>
          <w:sz w:val="15"/>
        </w:rPr>
        <w:t>mejores</w:t>
      </w:r>
      <w:r>
        <w:rPr>
          <w:spacing w:val="-4"/>
          <w:sz w:val="15"/>
        </w:rPr>
        <w:t xml:space="preserve"> </w:t>
      </w:r>
      <w:r>
        <w:rPr>
          <w:sz w:val="15"/>
        </w:rPr>
        <w:t>prácticas</w:t>
      </w:r>
      <w:r>
        <w:rPr>
          <w:spacing w:val="-4"/>
          <w:sz w:val="15"/>
        </w:rPr>
        <w:t xml:space="preserve"> </w:t>
      </w:r>
      <w:r>
        <w:rPr>
          <w:sz w:val="15"/>
        </w:rPr>
        <w:t>relacionadas,</w:t>
      </w:r>
      <w:r>
        <w:rPr>
          <w:spacing w:val="-3"/>
          <w:sz w:val="15"/>
        </w:rPr>
        <w:t xml:space="preserve"> </w:t>
      </w:r>
      <w:r>
        <w:rPr>
          <w:sz w:val="15"/>
        </w:rPr>
        <w:t>entre</w:t>
      </w:r>
      <w:r>
        <w:rPr>
          <w:spacing w:val="-4"/>
          <w:sz w:val="15"/>
        </w:rPr>
        <w:t xml:space="preserve"> </w:t>
      </w:r>
      <w:r>
        <w:rPr>
          <w:sz w:val="15"/>
        </w:rPr>
        <w:t>otras</w:t>
      </w:r>
      <w:r>
        <w:rPr>
          <w:spacing w:val="-4"/>
          <w:sz w:val="15"/>
        </w:rPr>
        <w:t xml:space="preserve"> </w:t>
      </w:r>
      <w:r>
        <w:rPr>
          <w:sz w:val="15"/>
        </w:rPr>
        <w:t>cosas,</w:t>
      </w:r>
      <w:r>
        <w:rPr>
          <w:spacing w:val="-4"/>
          <w:sz w:val="15"/>
        </w:rPr>
        <w:t xml:space="preserve"> </w:t>
      </w:r>
      <w:r>
        <w:rPr>
          <w:sz w:val="15"/>
        </w:rPr>
        <w:t>con</w:t>
      </w:r>
      <w:r>
        <w:rPr>
          <w:spacing w:val="-4"/>
          <w:sz w:val="15"/>
        </w:rPr>
        <w:t xml:space="preserve"> </w:t>
      </w:r>
      <w:r>
        <w:rPr>
          <w:sz w:val="15"/>
        </w:rPr>
        <w:t>la</w:t>
      </w:r>
      <w:r>
        <w:rPr>
          <w:spacing w:val="-4"/>
          <w:sz w:val="15"/>
        </w:rPr>
        <w:t xml:space="preserve"> </w:t>
      </w:r>
      <w:r>
        <w:rPr>
          <w:sz w:val="15"/>
        </w:rPr>
        <w:t>promoción</w:t>
      </w:r>
      <w:r>
        <w:rPr>
          <w:spacing w:val="-4"/>
          <w:sz w:val="15"/>
        </w:rPr>
        <w:t xml:space="preserve"> </w:t>
      </w:r>
      <w:r>
        <w:rPr>
          <w:sz w:val="15"/>
        </w:rPr>
        <w:t>de</w:t>
      </w:r>
      <w:r>
        <w:rPr>
          <w:spacing w:val="-4"/>
          <w:sz w:val="15"/>
        </w:rPr>
        <w:t xml:space="preserve"> </w:t>
      </w:r>
      <w:r>
        <w:rPr>
          <w:sz w:val="15"/>
        </w:rPr>
        <w:t>la</w:t>
      </w:r>
      <w:r>
        <w:rPr>
          <w:spacing w:val="-4"/>
          <w:sz w:val="15"/>
        </w:rPr>
        <w:t xml:space="preserve"> </w:t>
      </w:r>
      <w:r>
        <w:rPr>
          <w:sz w:val="15"/>
        </w:rPr>
        <w:t>comprensión</w:t>
      </w:r>
      <w:r>
        <w:rPr>
          <w:spacing w:val="-4"/>
          <w:sz w:val="15"/>
        </w:rPr>
        <w:t xml:space="preserve"> </w:t>
      </w:r>
      <w:r>
        <w:rPr>
          <w:sz w:val="15"/>
        </w:rPr>
        <w:t>mutua</w:t>
      </w:r>
      <w:r>
        <w:rPr>
          <w:spacing w:val="-4"/>
          <w:sz w:val="15"/>
        </w:rPr>
        <w:t xml:space="preserve"> </w:t>
      </w:r>
      <w:r>
        <w:rPr>
          <w:sz w:val="15"/>
        </w:rPr>
        <w:t>de</w:t>
      </w:r>
      <w:r>
        <w:rPr>
          <w:spacing w:val="-4"/>
          <w:sz w:val="15"/>
        </w:rPr>
        <w:t xml:space="preserve"> </w:t>
      </w:r>
      <w:r>
        <w:rPr>
          <w:sz w:val="15"/>
        </w:rPr>
        <w:t>las cuestiones</w:t>
      </w:r>
      <w:r>
        <w:rPr>
          <w:spacing w:val="-6"/>
          <w:sz w:val="15"/>
        </w:rPr>
        <w:t xml:space="preserve"> </w:t>
      </w:r>
      <w:r>
        <w:rPr>
          <w:sz w:val="15"/>
        </w:rPr>
        <w:t>de</w:t>
      </w:r>
      <w:r>
        <w:rPr>
          <w:spacing w:val="-6"/>
          <w:sz w:val="15"/>
        </w:rPr>
        <w:t xml:space="preserve"> </w:t>
      </w:r>
      <w:r>
        <w:rPr>
          <w:sz w:val="15"/>
        </w:rPr>
        <w:t>las</w:t>
      </w:r>
      <w:r>
        <w:rPr>
          <w:spacing w:val="-6"/>
          <w:sz w:val="15"/>
        </w:rPr>
        <w:t xml:space="preserve"> </w:t>
      </w:r>
      <w:r>
        <w:rPr>
          <w:sz w:val="15"/>
        </w:rPr>
        <w:t>minorías,</w:t>
      </w:r>
      <w:r>
        <w:rPr>
          <w:spacing w:val="-5"/>
          <w:sz w:val="15"/>
        </w:rPr>
        <w:t xml:space="preserve"> </w:t>
      </w:r>
      <w:r>
        <w:rPr>
          <w:sz w:val="15"/>
        </w:rPr>
        <w:t>la</w:t>
      </w:r>
      <w:r>
        <w:rPr>
          <w:spacing w:val="-6"/>
          <w:sz w:val="15"/>
        </w:rPr>
        <w:t xml:space="preserve"> </w:t>
      </w:r>
      <w:r>
        <w:rPr>
          <w:sz w:val="15"/>
        </w:rPr>
        <w:t>gestión</w:t>
      </w:r>
      <w:r>
        <w:rPr>
          <w:spacing w:val="-6"/>
          <w:sz w:val="15"/>
        </w:rPr>
        <w:t xml:space="preserve"> </w:t>
      </w:r>
      <w:r>
        <w:rPr>
          <w:sz w:val="15"/>
        </w:rPr>
        <w:t>de</w:t>
      </w:r>
      <w:r>
        <w:rPr>
          <w:spacing w:val="-6"/>
          <w:sz w:val="15"/>
        </w:rPr>
        <w:t xml:space="preserve"> </w:t>
      </w:r>
      <w:r>
        <w:rPr>
          <w:sz w:val="15"/>
        </w:rPr>
        <w:t>la</w:t>
      </w:r>
      <w:r>
        <w:rPr>
          <w:spacing w:val="-6"/>
          <w:sz w:val="15"/>
        </w:rPr>
        <w:t xml:space="preserve"> </w:t>
      </w:r>
      <w:r>
        <w:rPr>
          <w:sz w:val="15"/>
        </w:rPr>
        <w:t>diversidad</w:t>
      </w:r>
      <w:r>
        <w:rPr>
          <w:spacing w:val="-6"/>
          <w:sz w:val="15"/>
        </w:rPr>
        <w:t xml:space="preserve"> </w:t>
      </w:r>
      <w:r>
        <w:rPr>
          <w:sz w:val="15"/>
        </w:rPr>
        <w:t>mediante</w:t>
      </w:r>
      <w:r>
        <w:rPr>
          <w:spacing w:val="-6"/>
          <w:sz w:val="15"/>
        </w:rPr>
        <w:t xml:space="preserve"> </w:t>
      </w:r>
      <w:r>
        <w:rPr>
          <w:sz w:val="15"/>
        </w:rPr>
        <w:t>el</w:t>
      </w:r>
      <w:r>
        <w:rPr>
          <w:spacing w:val="-6"/>
          <w:sz w:val="15"/>
        </w:rPr>
        <w:t xml:space="preserve"> </w:t>
      </w:r>
      <w:r>
        <w:rPr>
          <w:sz w:val="15"/>
        </w:rPr>
        <w:t>reconocimiento</w:t>
      </w:r>
      <w:r>
        <w:rPr>
          <w:spacing w:val="-6"/>
          <w:sz w:val="15"/>
        </w:rPr>
        <w:t xml:space="preserve"> </w:t>
      </w:r>
      <w:r>
        <w:rPr>
          <w:sz w:val="15"/>
        </w:rPr>
        <w:t>de</w:t>
      </w:r>
      <w:r>
        <w:rPr>
          <w:spacing w:val="-6"/>
          <w:sz w:val="15"/>
        </w:rPr>
        <w:t xml:space="preserve"> </w:t>
      </w:r>
      <w:r>
        <w:rPr>
          <w:sz w:val="15"/>
        </w:rPr>
        <w:t>identidades</w:t>
      </w:r>
      <w:r>
        <w:rPr>
          <w:spacing w:val="-6"/>
          <w:sz w:val="15"/>
        </w:rPr>
        <w:t xml:space="preserve"> </w:t>
      </w:r>
      <w:r>
        <w:rPr>
          <w:sz w:val="15"/>
        </w:rPr>
        <w:t>plurales</w:t>
      </w:r>
      <w:r>
        <w:rPr>
          <w:spacing w:val="-6"/>
          <w:sz w:val="15"/>
        </w:rPr>
        <w:t xml:space="preserve"> </w:t>
      </w:r>
      <w:r>
        <w:rPr>
          <w:sz w:val="15"/>
        </w:rPr>
        <w:t>y</w:t>
      </w:r>
      <w:r>
        <w:rPr>
          <w:spacing w:val="-6"/>
          <w:sz w:val="15"/>
        </w:rPr>
        <w:t xml:space="preserve"> </w:t>
      </w:r>
      <w:r>
        <w:rPr>
          <w:sz w:val="15"/>
        </w:rPr>
        <w:t>la</w:t>
      </w:r>
      <w:r>
        <w:rPr>
          <w:spacing w:val="-6"/>
          <w:sz w:val="15"/>
        </w:rPr>
        <w:t xml:space="preserve"> </w:t>
      </w:r>
      <w:r>
        <w:rPr>
          <w:sz w:val="15"/>
        </w:rPr>
        <w:t>promoción</w:t>
      </w:r>
      <w:r>
        <w:rPr>
          <w:spacing w:val="-6"/>
          <w:sz w:val="15"/>
        </w:rPr>
        <w:t xml:space="preserve"> </w:t>
      </w:r>
      <w:r>
        <w:rPr>
          <w:sz w:val="15"/>
        </w:rPr>
        <w:t>de</w:t>
      </w:r>
      <w:r>
        <w:rPr>
          <w:spacing w:val="-6"/>
          <w:sz w:val="15"/>
        </w:rPr>
        <w:t xml:space="preserve"> </w:t>
      </w:r>
      <w:r>
        <w:rPr>
          <w:sz w:val="15"/>
        </w:rPr>
        <w:t>sociedades</w:t>
      </w:r>
      <w:r>
        <w:rPr>
          <w:spacing w:val="-6"/>
          <w:sz w:val="15"/>
        </w:rPr>
        <w:t xml:space="preserve"> </w:t>
      </w:r>
      <w:r>
        <w:rPr>
          <w:sz w:val="15"/>
        </w:rPr>
        <w:t>y</w:t>
      </w:r>
      <w:r>
        <w:rPr>
          <w:spacing w:val="-6"/>
          <w:sz w:val="15"/>
        </w:rPr>
        <w:t xml:space="preserve"> </w:t>
      </w:r>
      <w:r>
        <w:rPr>
          <w:sz w:val="15"/>
        </w:rPr>
        <w:t>de derechos sociales inclusivos, justos, tolerantes y estables”. cohesión”.1269</w:t>
      </w:r>
    </w:p>
    <w:p w14:paraId="189914B7" w14:textId="77777777" w:rsidR="0014798C" w:rsidRDefault="0014798C">
      <w:pPr>
        <w:pStyle w:val="Textoindependiente"/>
        <w:spacing w:before="137"/>
        <w:rPr>
          <w:sz w:val="32"/>
        </w:rPr>
      </w:pPr>
    </w:p>
    <w:p w14:paraId="43BC7CC2" w14:textId="77777777" w:rsidR="0014798C" w:rsidRDefault="004E1F0B">
      <w:pPr>
        <w:pStyle w:val="Ttulo6"/>
        <w:numPr>
          <w:ilvl w:val="0"/>
          <w:numId w:val="8"/>
        </w:numPr>
        <w:tabs>
          <w:tab w:val="left" w:pos="1492"/>
        </w:tabs>
        <w:ind w:left="1492" w:hanging="372"/>
        <w:rPr>
          <w:color w:val="FBB315"/>
        </w:rPr>
      </w:pPr>
      <w:r>
        <w:rPr>
          <w:color w:val="FBB315"/>
        </w:rPr>
        <w:t>Cumplimiento</w:t>
      </w:r>
      <w:r>
        <w:rPr>
          <w:color w:val="FBB315"/>
          <w:spacing w:val="-6"/>
        </w:rPr>
        <w:t xml:space="preserve"> </w:t>
      </w:r>
      <w:r>
        <w:rPr>
          <w:color w:val="FBB315"/>
        </w:rPr>
        <w:t>e</w:t>
      </w:r>
      <w:r>
        <w:rPr>
          <w:color w:val="FBB315"/>
          <w:spacing w:val="-5"/>
        </w:rPr>
        <w:t xml:space="preserve"> </w:t>
      </w:r>
      <w:r>
        <w:rPr>
          <w:color w:val="FBB315"/>
          <w:spacing w:val="-2"/>
        </w:rPr>
        <w:t>implementación</w:t>
      </w:r>
    </w:p>
    <w:p w14:paraId="310AF4DF" w14:textId="77777777" w:rsidR="0014798C" w:rsidRDefault="0014798C">
      <w:pPr>
        <w:pStyle w:val="Textoindependiente"/>
        <w:spacing w:before="54"/>
        <w:rPr>
          <w:sz w:val="15"/>
        </w:rPr>
      </w:pPr>
    </w:p>
    <w:p w14:paraId="0C60D30D" w14:textId="77777777" w:rsidR="0014798C" w:rsidRDefault="004E1F0B">
      <w:pPr>
        <w:spacing w:line="348" w:lineRule="auto"/>
        <w:ind w:left="1108" w:right="1272" w:hanging="2"/>
        <w:rPr>
          <w:sz w:val="15"/>
        </w:rPr>
      </w:pPr>
      <w:r>
        <w:rPr>
          <w:sz w:val="15"/>
        </w:rPr>
        <w:t>Como</w:t>
      </w:r>
      <w:r>
        <w:rPr>
          <w:spacing w:val="-2"/>
          <w:sz w:val="15"/>
        </w:rPr>
        <w:t xml:space="preserve"> </w:t>
      </w:r>
      <w:r>
        <w:rPr>
          <w:sz w:val="15"/>
        </w:rPr>
        <w:t>se</w:t>
      </w:r>
      <w:r>
        <w:rPr>
          <w:spacing w:val="-2"/>
          <w:sz w:val="15"/>
        </w:rPr>
        <w:t xml:space="preserve"> </w:t>
      </w:r>
      <w:r>
        <w:rPr>
          <w:sz w:val="15"/>
        </w:rPr>
        <w:t>indicó</w:t>
      </w:r>
      <w:r>
        <w:rPr>
          <w:spacing w:val="-2"/>
          <w:sz w:val="15"/>
        </w:rPr>
        <w:t xml:space="preserve"> </w:t>
      </w:r>
      <w:r>
        <w:rPr>
          <w:sz w:val="15"/>
        </w:rPr>
        <w:t>anteriormente,</w:t>
      </w:r>
      <w:r>
        <w:rPr>
          <w:spacing w:val="-1"/>
          <w:sz w:val="15"/>
        </w:rPr>
        <w:t xml:space="preserve"> </w:t>
      </w:r>
      <w:r>
        <w:rPr>
          <w:sz w:val="15"/>
        </w:rPr>
        <w:t>los</w:t>
      </w:r>
      <w:r>
        <w:rPr>
          <w:spacing w:val="-2"/>
          <w:sz w:val="15"/>
        </w:rPr>
        <w:t xml:space="preserve"> </w:t>
      </w:r>
      <w:r>
        <w:rPr>
          <w:sz w:val="15"/>
        </w:rPr>
        <w:t>instrumentos</w:t>
      </w:r>
      <w:r>
        <w:rPr>
          <w:spacing w:val="-3"/>
          <w:sz w:val="15"/>
        </w:rPr>
        <w:t xml:space="preserve"> </w:t>
      </w:r>
      <w:r>
        <w:rPr>
          <w:sz w:val="15"/>
        </w:rPr>
        <w:t>internacionales</w:t>
      </w:r>
      <w:r>
        <w:rPr>
          <w:spacing w:val="-2"/>
          <w:sz w:val="15"/>
        </w:rPr>
        <w:t xml:space="preserve"> </w:t>
      </w:r>
      <w:r>
        <w:rPr>
          <w:sz w:val="15"/>
        </w:rPr>
        <w:t>de</w:t>
      </w:r>
      <w:r>
        <w:rPr>
          <w:spacing w:val="-2"/>
          <w:sz w:val="15"/>
        </w:rPr>
        <w:t xml:space="preserve"> </w:t>
      </w:r>
      <w:r>
        <w:rPr>
          <w:sz w:val="15"/>
        </w:rPr>
        <w:t>derechos</w:t>
      </w:r>
      <w:r>
        <w:rPr>
          <w:spacing w:val="-2"/>
          <w:sz w:val="15"/>
        </w:rPr>
        <w:t xml:space="preserve"> </w:t>
      </w:r>
      <w:r>
        <w:rPr>
          <w:sz w:val="15"/>
        </w:rPr>
        <w:t>humanos</w:t>
      </w:r>
      <w:r>
        <w:rPr>
          <w:spacing w:val="-2"/>
          <w:sz w:val="15"/>
        </w:rPr>
        <w:t xml:space="preserve"> </w:t>
      </w:r>
      <w:r>
        <w:rPr>
          <w:sz w:val="15"/>
        </w:rPr>
        <w:t>establecen</w:t>
      </w:r>
      <w:r>
        <w:rPr>
          <w:spacing w:val="-2"/>
          <w:sz w:val="15"/>
        </w:rPr>
        <w:t xml:space="preserve"> </w:t>
      </w:r>
      <w:r>
        <w:rPr>
          <w:sz w:val="15"/>
        </w:rPr>
        <w:t>obligaciones</w:t>
      </w:r>
      <w:r>
        <w:rPr>
          <w:spacing w:val="-2"/>
          <w:sz w:val="15"/>
        </w:rPr>
        <w:t xml:space="preserve"> </w:t>
      </w:r>
      <w:r>
        <w:rPr>
          <w:sz w:val="15"/>
        </w:rPr>
        <w:t>claras</w:t>
      </w:r>
      <w:r>
        <w:rPr>
          <w:spacing w:val="-2"/>
          <w:sz w:val="15"/>
        </w:rPr>
        <w:t xml:space="preserve"> </w:t>
      </w:r>
      <w:r>
        <w:rPr>
          <w:sz w:val="15"/>
        </w:rPr>
        <w:t>para</w:t>
      </w:r>
      <w:r>
        <w:rPr>
          <w:spacing w:val="-2"/>
          <w:sz w:val="15"/>
        </w:rPr>
        <w:t xml:space="preserve"> </w:t>
      </w:r>
      <w:r>
        <w:rPr>
          <w:sz w:val="15"/>
        </w:rPr>
        <w:t>abordar</w:t>
      </w:r>
      <w:r>
        <w:rPr>
          <w:spacing w:val="-2"/>
          <w:sz w:val="15"/>
        </w:rPr>
        <w:t xml:space="preserve"> </w:t>
      </w:r>
      <w:r>
        <w:rPr>
          <w:sz w:val="15"/>
        </w:rPr>
        <w:t>las causas</w:t>
      </w:r>
      <w:r>
        <w:rPr>
          <w:spacing w:val="-5"/>
          <w:sz w:val="15"/>
        </w:rPr>
        <w:t xml:space="preserve"> </w:t>
      </w:r>
      <w:r>
        <w:rPr>
          <w:sz w:val="15"/>
        </w:rPr>
        <w:t>profundas</w:t>
      </w:r>
      <w:r>
        <w:rPr>
          <w:spacing w:val="-5"/>
          <w:sz w:val="15"/>
        </w:rPr>
        <w:t xml:space="preserve"> </w:t>
      </w:r>
      <w:r>
        <w:rPr>
          <w:sz w:val="15"/>
        </w:rPr>
        <w:t>y</w:t>
      </w:r>
      <w:r>
        <w:rPr>
          <w:spacing w:val="-5"/>
          <w:sz w:val="15"/>
        </w:rPr>
        <w:t xml:space="preserve"> </w:t>
      </w:r>
      <w:r>
        <w:rPr>
          <w:sz w:val="15"/>
        </w:rPr>
        <w:t>los</w:t>
      </w:r>
      <w:r>
        <w:rPr>
          <w:spacing w:val="-5"/>
          <w:sz w:val="15"/>
        </w:rPr>
        <w:t xml:space="preserve"> </w:t>
      </w:r>
      <w:r>
        <w:rPr>
          <w:sz w:val="15"/>
        </w:rPr>
        <w:t>impulsores</w:t>
      </w:r>
      <w:r>
        <w:rPr>
          <w:spacing w:val="-5"/>
          <w:sz w:val="15"/>
        </w:rPr>
        <w:t xml:space="preserve"> </w:t>
      </w:r>
      <w:r>
        <w:rPr>
          <w:sz w:val="15"/>
        </w:rPr>
        <w:t>de</w:t>
      </w:r>
      <w:r>
        <w:rPr>
          <w:spacing w:val="-5"/>
          <w:sz w:val="15"/>
        </w:rPr>
        <w:t xml:space="preserve"> </w:t>
      </w:r>
      <w:r>
        <w:rPr>
          <w:sz w:val="15"/>
        </w:rPr>
        <w:t>la</w:t>
      </w:r>
      <w:r>
        <w:rPr>
          <w:spacing w:val="-5"/>
          <w:sz w:val="15"/>
        </w:rPr>
        <w:t xml:space="preserve"> </w:t>
      </w:r>
      <w:r>
        <w:rPr>
          <w:sz w:val="15"/>
        </w:rPr>
        <w:t>discriminación.</w:t>
      </w:r>
      <w:r>
        <w:rPr>
          <w:spacing w:val="-4"/>
          <w:sz w:val="15"/>
        </w:rPr>
        <w:t xml:space="preserve"> </w:t>
      </w:r>
      <w:r>
        <w:rPr>
          <w:sz w:val="15"/>
        </w:rPr>
        <w:t>Tanto</w:t>
      </w:r>
      <w:r>
        <w:rPr>
          <w:spacing w:val="-5"/>
          <w:sz w:val="15"/>
        </w:rPr>
        <w:t xml:space="preserve"> </w:t>
      </w:r>
      <w:r>
        <w:rPr>
          <w:sz w:val="15"/>
        </w:rPr>
        <w:t>estos</w:t>
      </w:r>
      <w:r>
        <w:rPr>
          <w:spacing w:val="-5"/>
          <w:sz w:val="15"/>
        </w:rPr>
        <w:t xml:space="preserve"> </w:t>
      </w:r>
      <w:r>
        <w:rPr>
          <w:sz w:val="15"/>
        </w:rPr>
        <w:t>instrumentos</w:t>
      </w:r>
      <w:r>
        <w:rPr>
          <w:spacing w:val="-6"/>
          <w:sz w:val="15"/>
        </w:rPr>
        <w:t xml:space="preserve"> </w:t>
      </w:r>
      <w:r>
        <w:rPr>
          <w:sz w:val="15"/>
        </w:rPr>
        <w:t>como</w:t>
      </w:r>
      <w:r>
        <w:rPr>
          <w:spacing w:val="-5"/>
          <w:sz w:val="15"/>
        </w:rPr>
        <w:t xml:space="preserve"> </w:t>
      </w:r>
      <w:r>
        <w:rPr>
          <w:sz w:val="15"/>
        </w:rPr>
        <w:t>los</w:t>
      </w:r>
      <w:r>
        <w:rPr>
          <w:spacing w:val="-5"/>
          <w:sz w:val="15"/>
        </w:rPr>
        <w:t xml:space="preserve"> </w:t>
      </w:r>
      <w:r>
        <w:rPr>
          <w:sz w:val="15"/>
        </w:rPr>
        <w:t>órganos</w:t>
      </w:r>
      <w:r>
        <w:rPr>
          <w:spacing w:val="-5"/>
          <w:sz w:val="15"/>
        </w:rPr>
        <w:t xml:space="preserve"> </w:t>
      </w:r>
      <w:r>
        <w:rPr>
          <w:sz w:val="15"/>
        </w:rPr>
        <w:t>de</w:t>
      </w:r>
      <w:r>
        <w:rPr>
          <w:spacing w:val="-5"/>
          <w:sz w:val="15"/>
        </w:rPr>
        <w:t xml:space="preserve"> </w:t>
      </w:r>
      <w:r>
        <w:rPr>
          <w:sz w:val="15"/>
        </w:rPr>
        <w:t>tratados</w:t>
      </w:r>
      <w:r>
        <w:rPr>
          <w:spacing w:val="-5"/>
          <w:sz w:val="15"/>
        </w:rPr>
        <w:t xml:space="preserve"> </w:t>
      </w:r>
      <w:r>
        <w:rPr>
          <w:sz w:val="15"/>
        </w:rPr>
        <w:t>han</w:t>
      </w:r>
      <w:r>
        <w:rPr>
          <w:spacing w:val="-5"/>
          <w:sz w:val="15"/>
        </w:rPr>
        <w:t xml:space="preserve"> </w:t>
      </w:r>
      <w:r>
        <w:rPr>
          <w:sz w:val="15"/>
        </w:rPr>
        <w:t>elaborado</w:t>
      </w:r>
      <w:r>
        <w:rPr>
          <w:spacing w:val="-5"/>
          <w:sz w:val="15"/>
        </w:rPr>
        <w:t xml:space="preserve"> </w:t>
      </w:r>
      <w:r>
        <w:rPr>
          <w:sz w:val="15"/>
        </w:rPr>
        <w:t>una</w:t>
      </w:r>
      <w:r>
        <w:rPr>
          <w:spacing w:val="-5"/>
          <w:sz w:val="15"/>
        </w:rPr>
        <w:t xml:space="preserve"> </w:t>
      </w:r>
      <w:r>
        <w:rPr>
          <w:sz w:val="15"/>
        </w:rPr>
        <w:t>lista</w:t>
      </w:r>
      <w:r>
        <w:rPr>
          <w:spacing w:val="-5"/>
          <w:sz w:val="15"/>
        </w:rPr>
        <w:t xml:space="preserve"> </w:t>
      </w:r>
      <w:r>
        <w:rPr>
          <w:sz w:val="15"/>
        </w:rPr>
        <w:t>no exhaustiva</w:t>
      </w:r>
      <w:r>
        <w:rPr>
          <w:spacing w:val="-9"/>
          <w:sz w:val="15"/>
        </w:rPr>
        <w:t xml:space="preserve"> </w:t>
      </w:r>
      <w:r>
        <w:rPr>
          <w:sz w:val="15"/>
        </w:rPr>
        <w:t>de</w:t>
      </w:r>
      <w:r>
        <w:rPr>
          <w:spacing w:val="-9"/>
          <w:sz w:val="15"/>
        </w:rPr>
        <w:t xml:space="preserve"> </w:t>
      </w:r>
      <w:r>
        <w:rPr>
          <w:sz w:val="15"/>
        </w:rPr>
        <w:t>políticas</w:t>
      </w:r>
      <w:r>
        <w:rPr>
          <w:spacing w:val="-9"/>
          <w:sz w:val="15"/>
        </w:rPr>
        <w:t xml:space="preserve"> </w:t>
      </w:r>
      <w:r>
        <w:rPr>
          <w:sz w:val="15"/>
        </w:rPr>
        <w:t>y</w:t>
      </w:r>
      <w:r>
        <w:rPr>
          <w:spacing w:val="-9"/>
          <w:sz w:val="15"/>
        </w:rPr>
        <w:t xml:space="preserve"> </w:t>
      </w:r>
      <w:r>
        <w:rPr>
          <w:sz w:val="15"/>
        </w:rPr>
        <w:t>acciones</w:t>
      </w:r>
      <w:r>
        <w:rPr>
          <w:spacing w:val="-9"/>
          <w:sz w:val="15"/>
        </w:rPr>
        <w:t xml:space="preserve"> </w:t>
      </w:r>
      <w:r>
        <w:rPr>
          <w:sz w:val="15"/>
        </w:rPr>
        <w:t>que</w:t>
      </w:r>
      <w:r>
        <w:rPr>
          <w:spacing w:val="-9"/>
          <w:sz w:val="15"/>
        </w:rPr>
        <w:t xml:space="preserve"> </w:t>
      </w:r>
      <w:r>
        <w:rPr>
          <w:sz w:val="15"/>
        </w:rPr>
        <w:t>los</w:t>
      </w:r>
      <w:r>
        <w:rPr>
          <w:spacing w:val="-9"/>
          <w:sz w:val="15"/>
        </w:rPr>
        <w:t xml:space="preserve"> </w:t>
      </w:r>
      <w:r>
        <w:rPr>
          <w:sz w:val="15"/>
        </w:rPr>
        <w:t>Estados</w:t>
      </w:r>
      <w:r>
        <w:rPr>
          <w:spacing w:val="-9"/>
          <w:sz w:val="15"/>
        </w:rPr>
        <w:t xml:space="preserve"> </w:t>
      </w:r>
      <w:r>
        <w:rPr>
          <w:sz w:val="15"/>
        </w:rPr>
        <w:t>deberían</w:t>
      </w:r>
      <w:r>
        <w:rPr>
          <w:spacing w:val="-9"/>
          <w:sz w:val="15"/>
        </w:rPr>
        <w:t xml:space="preserve"> </w:t>
      </w:r>
      <w:r>
        <w:rPr>
          <w:sz w:val="15"/>
        </w:rPr>
        <w:t>implementar</w:t>
      </w:r>
      <w:r>
        <w:rPr>
          <w:spacing w:val="-9"/>
          <w:sz w:val="15"/>
        </w:rPr>
        <w:t xml:space="preserve"> </w:t>
      </w:r>
      <w:r>
        <w:rPr>
          <w:sz w:val="15"/>
        </w:rPr>
        <w:t>para</w:t>
      </w:r>
      <w:r>
        <w:rPr>
          <w:spacing w:val="-9"/>
          <w:sz w:val="15"/>
        </w:rPr>
        <w:t xml:space="preserve"> </w:t>
      </w:r>
      <w:r>
        <w:rPr>
          <w:sz w:val="15"/>
        </w:rPr>
        <w:t>cumplir</w:t>
      </w:r>
      <w:r>
        <w:rPr>
          <w:spacing w:val="-9"/>
          <w:sz w:val="15"/>
        </w:rPr>
        <w:t xml:space="preserve"> </w:t>
      </w:r>
      <w:r>
        <w:rPr>
          <w:sz w:val="15"/>
        </w:rPr>
        <w:t>con</w:t>
      </w:r>
      <w:r>
        <w:rPr>
          <w:spacing w:val="-9"/>
          <w:sz w:val="15"/>
        </w:rPr>
        <w:t xml:space="preserve"> </w:t>
      </w:r>
      <w:r>
        <w:rPr>
          <w:sz w:val="15"/>
        </w:rPr>
        <w:t>estas</w:t>
      </w:r>
      <w:r>
        <w:rPr>
          <w:spacing w:val="-9"/>
          <w:sz w:val="15"/>
        </w:rPr>
        <w:t xml:space="preserve"> </w:t>
      </w:r>
      <w:r>
        <w:rPr>
          <w:sz w:val="15"/>
        </w:rPr>
        <w:t>obligaciones,</w:t>
      </w:r>
      <w:r>
        <w:rPr>
          <w:spacing w:val="-8"/>
          <w:sz w:val="15"/>
        </w:rPr>
        <w:t xml:space="preserve"> </w:t>
      </w:r>
      <w:r>
        <w:rPr>
          <w:sz w:val="15"/>
        </w:rPr>
        <w:t>que</w:t>
      </w:r>
      <w:r>
        <w:rPr>
          <w:spacing w:val="-9"/>
          <w:sz w:val="15"/>
        </w:rPr>
        <w:t xml:space="preserve"> </w:t>
      </w:r>
      <w:r>
        <w:rPr>
          <w:sz w:val="15"/>
        </w:rPr>
        <w:t>van</w:t>
      </w:r>
      <w:r>
        <w:rPr>
          <w:spacing w:val="-9"/>
          <w:sz w:val="15"/>
        </w:rPr>
        <w:t xml:space="preserve"> </w:t>
      </w:r>
      <w:r>
        <w:rPr>
          <w:sz w:val="15"/>
        </w:rPr>
        <w:t>desde</w:t>
      </w:r>
      <w:r>
        <w:rPr>
          <w:spacing w:val="-9"/>
          <w:sz w:val="15"/>
        </w:rPr>
        <w:t xml:space="preserve"> </w:t>
      </w:r>
      <w:r>
        <w:rPr>
          <w:sz w:val="15"/>
        </w:rPr>
        <w:t>medidas</w:t>
      </w:r>
      <w:r>
        <w:rPr>
          <w:spacing w:val="-9"/>
          <w:sz w:val="15"/>
        </w:rPr>
        <w:t xml:space="preserve"> </w:t>
      </w:r>
      <w:r>
        <w:rPr>
          <w:sz w:val="15"/>
        </w:rPr>
        <w:t>para fortalecer</w:t>
      </w:r>
      <w:r>
        <w:rPr>
          <w:spacing w:val="-2"/>
          <w:sz w:val="15"/>
        </w:rPr>
        <w:t xml:space="preserve"> </w:t>
      </w:r>
      <w:r>
        <w:rPr>
          <w:sz w:val="15"/>
        </w:rPr>
        <w:t>la</w:t>
      </w:r>
      <w:r>
        <w:rPr>
          <w:spacing w:val="-2"/>
          <w:sz w:val="15"/>
        </w:rPr>
        <w:t xml:space="preserve"> </w:t>
      </w:r>
      <w:r>
        <w:rPr>
          <w:sz w:val="15"/>
        </w:rPr>
        <w:t>representación</w:t>
      </w:r>
      <w:r>
        <w:rPr>
          <w:spacing w:val="-2"/>
          <w:sz w:val="15"/>
        </w:rPr>
        <w:t xml:space="preserve"> </w:t>
      </w:r>
      <w:r>
        <w:rPr>
          <w:sz w:val="15"/>
        </w:rPr>
        <w:t>y</w:t>
      </w:r>
      <w:r>
        <w:rPr>
          <w:spacing w:val="-2"/>
          <w:sz w:val="15"/>
        </w:rPr>
        <w:t xml:space="preserve"> </w:t>
      </w:r>
      <w:r>
        <w:rPr>
          <w:sz w:val="15"/>
        </w:rPr>
        <w:t>la</w:t>
      </w:r>
      <w:r>
        <w:rPr>
          <w:spacing w:val="-2"/>
          <w:sz w:val="15"/>
        </w:rPr>
        <w:t xml:space="preserve"> </w:t>
      </w:r>
      <w:r>
        <w:rPr>
          <w:sz w:val="15"/>
        </w:rPr>
        <w:t>participación</w:t>
      </w:r>
      <w:r>
        <w:rPr>
          <w:spacing w:val="-2"/>
          <w:sz w:val="15"/>
        </w:rPr>
        <w:t xml:space="preserve"> </w:t>
      </w:r>
      <w:r>
        <w:rPr>
          <w:sz w:val="15"/>
        </w:rPr>
        <w:t>en</w:t>
      </w:r>
      <w:r>
        <w:rPr>
          <w:spacing w:val="-2"/>
          <w:sz w:val="15"/>
        </w:rPr>
        <w:t xml:space="preserve"> </w:t>
      </w:r>
      <w:r>
        <w:rPr>
          <w:sz w:val="15"/>
        </w:rPr>
        <w:t>la</w:t>
      </w:r>
      <w:r>
        <w:rPr>
          <w:spacing w:val="-2"/>
          <w:sz w:val="15"/>
        </w:rPr>
        <w:t xml:space="preserve"> </w:t>
      </w:r>
      <w:r>
        <w:rPr>
          <w:sz w:val="15"/>
        </w:rPr>
        <w:t>vida</w:t>
      </w:r>
      <w:r>
        <w:rPr>
          <w:spacing w:val="-2"/>
          <w:sz w:val="15"/>
        </w:rPr>
        <w:t xml:space="preserve"> </w:t>
      </w:r>
      <w:r>
        <w:rPr>
          <w:sz w:val="15"/>
        </w:rPr>
        <w:t>pública</w:t>
      </w:r>
      <w:r>
        <w:rPr>
          <w:spacing w:val="-2"/>
          <w:sz w:val="15"/>
        </w:rPr>
        <w:t xml:space="preserve"> </w:t>
      </w:r>
      <w:r>
        <w:rPr>
          <w:sz w:val="15"/>
        </w:rPr>
        <w:t>hasta</w:t>
      </w:r>
      <w:r>
        <w:rPr>
          <w:spacing w:val="-2"/>
          <w:sz w:val="15"/>
        </w:rPr>
        <w:t xml:space="preserve"> </w:t>
      </w:r>
      <w:r>
        <w:rPr>
          <w:sz w:val="15"/>
        </w:rPr>
        <w:t>contrarrestar</w:t>
      </w:r>
      <w:r>
        <w:rPr>
          <w:spacing w:val="-2"/>
          <w:sz w:val="15"/>
        </w:rPr>
        <w:t xml:space="preserve"> </w:t>
      </w:r>
      <w:r>
        <w:rPr>
          <w:sz w:val="15"/>
        </w:rPr>
        <w:t>los</w:t>
      </w:r>
      <w:r>
        <w:rPr>
          <w:spacing w:val="-2"/>
          <w:sz w:val="15"/>
        </w:rPr>
        <w:t xml:space="preserve"> </w:t>
      </w:r>
      <w:r>
        <w:rPr>
          <w:sz w:val="15"/>
        </w:rPr>
        <w:t>estereotipos</w:t>
      </w:r>
      <w:r>
        <w:rPr>
          <w:spacing w:val="-3"/>
          <w:sz w:val="15"/>
        </w:rPr>
        <w:t xml:space="preserve"> </w:t>
      </w:r>
      <w:r>
        <w:rPr>
          <w:sz w:val="15"/>
        </w:rPr>
        <w:t>y</w:t>
      </w:r>
      <w:r>
        <w:rPr>
          <w:spacing w:val="-2"/>
          <w:sz w:val="15"/>
        </w:rPr>
        <w:t xml:space="preserve"> </w:t>
      </w:r>
      <w:r>
        <w:rPr>
          <w:sz w:val="15"/>
        </w:rPr>
        <w:t>promover</w:t>
      </w:r>
      <w:r>
        <w:rPr>
          <w:spacing w:val="-2"/>
          <w:sz w:val="15"/>
        </w:rPr>
        <w:t xml:space="preserve"> </w:t>
      </w:r>
      <w:r>
        <w:rPr>
          <w:sz w:val="15"/>
        </w:rPr>
        <w:t>la</w:t>
      </w:r>
      <w:r>
        <w:rPr>
          <w:spacing w:val="-2"/>
          <w:sz w:val="15"/>
        </w:rPr>
        <w:t xml:space="preserve"> </w:t>
      </w:r>
      <w:r>
        <w:rPr>
          <w:sz w:val="15"/>
        </w:rPr>
        <w:t>igualdad</w:t>
      </w:r>
      <w:r>
        <w:rPr>
          <w:spacing w:val="-2"/>
          <w:sz w:val="15"/>
        </w:rPr>
        <w:t xml:space="preserve"> </w:t>
      </w:r>
      <w:r>
        <w:rPr>
          <w:sz w:val="15"/>
        </w:rPr>
        <w:t>a</w:t>
      </w:r>
      <w:r>
        <w:rPr>
          <w:spacing w:val="-2"/>
          <w:sz w:val="15"/>
        </w:rPr>
        <w:t xml:space="preserve"> </w:t>
      </w:r>
      <w:r>
        <w:rPr>
          <w:sz w:val="15"/>
        </w:rPr>
        <w:t>través</w:t>
      </w:r>
      <w:r>
        <w:rPr>
          <w:spacing w:val="-2"/>
          <w:sz w:val="15"/>
        </w:rPr>
        <w:t xml:space="preserve"> </w:t>
      </w:r>
      <w:r>
        <w:rPr>
          <w:sz w:val="15"/>
        </w:rPr>
        <w:t>del sistema educativo</w:t>
      </w:r>
      <w:proofErr w:type="gramStart"/>
      <w:r>
        <w:rPr>
          <w:sz w:val="15"/>
        </w:rPr>
        <w:t>. .</w:t>
      </w:r>
      <w:proofErr w:type="gramEnd"/>
    </w:p>
    <w:p w14:paraId="798D4A7F" w14:textId="77777777" w:rsidR="0014798C" w:rsidRDefault="004E1F0B">
      <w:pPr>
        <w:spacing w:before="168" w:line="348" w:lineRule="auto"/>
        <w:ind w:left="1109" w:right="1463" w:hanging="2"/>
        <w:rPr>
          <w:sz w:val="15"/>
        </w:rPr>
      </w:pPr>
      <w:r>
        <w:rPr>
          <w:sz w:val="15"/>
        </w:rPr>
        <w:t>Cumplir</w:t>
      </w:r>
      <w:r>
        <w:rPr>
          <w:spacing w:val="-7"/>
          <w:sz w:val="15"/>
        </w:rPr>
        <w:t xml:space="preserve"> </w:t>
      </w:r>
      <w:r>
        <w:rPr>
          <w:sz w:val="15"/>
        </w:rPr>
        <w:t>con</w:t>
      </w:r>
      <w:r>
        <w:rPr>
          <w:spacing w:val="-7"/>
          <w:sz w:val="15"/>
        </w:rPr>
        <w:t xml:space="preserve"> </w:t>
      </w:r>
      <w:r>
        <w:rPr>
          <w:sz w:val="15"/>
        </w:rPr>
        <w:t>estas</w:t>
      </w:r>
      <w:r>
        <w:rPr>
          <w:spacing w:val="-7"/>
          <w:sz w:val="15"/>
        </w:rPr>
        <w:t xml:space="preserve"> </w:t>
      </w:r>
      <w:r>
        <w:rPr>
          <w:sz w:val="15"/>
        </w:rPr>
        <w:t>obligaciones</w:t>
      </w:r>
      <w:r>
        <w:rPr>
          <w:spacing w:val="-7"/>
          <w:sz w:val="15"/>
        </w:rPr>
        <w:t xml:space="preserve"> </w:t>
      </w:r>
      <w:r>
        <w:rPr>
          <w:sz w:val="15"/>
        </w:rPr>
        <w:t>requiere</w:t>
      </w:r>
      <w:r>
        <w:rPr>
          <w:spacing w:val="-7"/>
          <w:sz w:val="15"/>
        </w:rPr>
        <w:t xml:space="preserve"> </w:t>
      </w:r>
      <w:r>
        <w:rPr>
          <w:sz w:val="15"/>
        </w:rPr>
        <w:t>una</w:t>
      </w:r>
      <w:r>
        <w:rPr>
          <w:spacing w:val="-7"/>
          <w:sz w:val="15"/>
        </w:rPr>
        <w:t xml:space="preserve"> </w:t>
      </w:r>
      <w:r>
        <w:rPr>
          <w:sz w:val="15"/>
        </w:rPr>
        <w:t>respuesta</w:t>
      </w:r>
      <w:r>
        <w:rPr>
          <w:spacing w:val="-7"/>
          <w:sz w:val="15"/>
        </w:rPr>
        <w:t xml:space="preserve"> </w:t>
      </w:r>
      <w:r>
        <w:rPr>
          <w:sz w:val="15"/>
        </w:rPr>
        <w:t>integral</w:t>
      </w:r>
      <w:r>
        <w:rPr>
          <w:spacing w:val="-7"/>
          <w:sz w:val="15"/>
        </w:rPr>
        <w:t xml:space="preserve"> </w:t>
      </w:r>
      <w:r>
        <w:rPr>
          <w:sz w:val="15"/>
        </w:rPr>
        <w:t>a</w:t>
      </w:r>
      <w:r>
        <w:rPr>
          <w:spacing w:val="-7"/>
          <w:sz w:val="15"/>
        </w:rPr>
        <w:t xml:space="preserve"> </w:t>
      </w:r>
      <w:r>
        <w:rPr>
          <w:sz w:val="15"/>
        </w:rPr>
        <w:t>nivel</w:t>
      </w:r>
      <w:r>
        <w:rPr>
          <w:spacing w:val="-7"/>
          <w:sz w:val="15"/>
        </w:rPr>
        <w:t xml:space="preserve"> </w:t>
      </w:r>
      <w:r>
        <w:rPr>
          <w:sz w:val="15"/>
        </w:rPr>
        <w:t>de</w:t>
      </w:r>
      <w:r>
        <w:rPr>
          <w:spacing w:val="-7"/>
          <w:sz w:val="15"/>
        </w:rPr>
        <w:t xml:space="preserve"> </w:t>
      </w:r>
      <w:r>
        <w:rPr>
          <w:sz w:val="15"/>
        </w:rPr>
        <w:t>todo</w:t>
      </w:r>
      <w:r>
        <w:rPr>
          <w:spacing w:val="-7"/>
          <w:sz w:val="15"/>
        </w:rPr>
        <w:t xml:space="preserve"> </w:t>
      </w:r>
      <w:r>
        <w:rPr>
          <w:sz w:val="15"/>
        </w:rPr>
        <w:t>el</w:t>
      </w:r>
      <w:r>
        <w:rPr>
          <w:spacing w:val="-7"/>
          <w:sz w:val="15"/>
        </w:rPr>
        <w:t xml:space="preserve"> </w:t>
      </w:r>
      <w:r>
        <w:rPr>
          <w:sz w:val="15"/>
        </w:rPr>
        <w:t>sistema</w:t>
      </w:r>
      <w:r>
        <w:rPr>
          <w:spacing w:val="-7"/>
          <w:sz w:val="15"/>
        </w:rPr>
        <w:t xml:space="preserve"> </w:t>
      </w:r>
      <w:r>
        <w:rPr>
          <w:sz w:val="15"/>
        </w:rPr>
        <w:t>que</w:t>
      </w:r>
      <w:r>
        <w:rPr>
          <w:spacing w:val="-7"/>
          <w:sz w:val="15"/>
        </w:rPr>
        <w:t xml:space="preserve"> </w:t>
      </w:r>
      <w:r>
        <w:rPr>
          <w:sz w:val="15"/>
        </w:rPr>
        <w:t>vaya</w:t>
      </w:r>
      <w:r>
        <w:rPr>
          <w:spacing w:val="-7"/>
          <w:sz w:val="15"/>
        </w:rPr>
        <w:t xml:space="preserve"> </w:t>
      </w:r>
      <w:r>
        <w:rPr>
          <w:sz w:val="15"/>
        </w:rPr>
        <w:t>más</w:t>
      </w:r>
      <w:r>
        <w:rPr>
          <w:spacing w:val="-7"/>
          <w:sz w:val="15"/>
        </w:rPr>
        <w:t xml:space="preserve"> </w:t>
      </w:r>
      <w:r>
        <w:rPr>
          <w:sz w:val="15"/>
        </w:rPr>
        <w:t>allá</w:t>
      </w:r>
      <w:r>
        <w:rPr>
          <w:spacing w:val="-7"/>
          <w:sz w:val="15"/>
        </w:rPr>
        <w:t xml:space="preserve"> </w:t>
      </w:r>
      <w:r>
        <w:rPr>
          <w:sz w:val="15"/>
        </w:rPr>
        <w:t>de</w:t>
      </w:r>
      <w:r>
        <w:rPr>
          <w:spacing w:val="-7"/>
          <w:sz w:val="15"/>
        </w:rPr>
        <w:t xml:space="preserve"> </w:t>
      </w:r>
      <w:r>
        <w:rPr>
          <w:sz w:val="15"/>
        </w:rPr>
        <w:t>codificar</w:t>
      </w:r>
      <w:r>
        <w:rPr>
          <w:spacing w:val="-7"/>
          <w:sz w:val="15"/>
        </w:rPr>
        <w:t xml:space="preserve"> </w:t>
      </w:r>
      <w:r>
        <w:rPr>
          <w:sz w:val="15"/>
        </w:rPr>
        <w:t>deberes</w:t>
      </w:r>
      <w:r>
        <w:rPr>
          <w:spacing w:val="-7"/>
          <w:sz w:val="15"/>
        </w:rPr>
        <w:t xml:space="preserve"> </w:t>
      </w:r>
      <w:r>
        <w:rPr>
          <w:sz w:val="15"/>
        </w:rPr>
        <w:t>en</w:t>
      </w:r>
      <w:r>
        <w:rPr>
          <w:spacing w:val="-7"/>
          <w:sz w:val="15"/>
        </w:rPr>
        <w:t xml:space="preserve"> </w:t>
      </w:r>
      <w:r>
        <w:rPr>
          <w:sz w:val="15"/>
        </w:rPr>
        <w:t>leyes. Sin</w:t>
      </w:r>
      <w:r>
        <w:rPr>
          <w:spacing w:val="-3"/>
          <w:sz w:val="15"/>
        </w:rPr>
        <w:t xml:space="preserve"> </w:t>
      </w:r>
      <w:r>
        <w:rPr>
          <w:sz w:val="15"/>
        </w:rPr>
        <w:t>embargo,</w:t>
      </w:r>
      <w:r>
        <w:rPr>
          <w:spacing w:val="-2"/>
          <w:sz w:val="15"/>
        </w:rPr>
        <w:t xml:space="preserve"> </w:t>
      </w:r>
      <w:r>
        <w:rPr>
          <w:sz w:val="15"/>
        </w:rPr>
        <w:t>los</w:t>
      </w:r>
      <w:r>
        <w:rPr>
          <w:spacing w:val="-3"/>
          <w:sz w:val="15"/>
        </w:rPr>
        <w:t xml:space="preserve"> </w:t>
      </w:r>
      <w:r>
        <w:rPr>
          <w:sz w:val="15"/>
        </w:rPr>
        <w:t>Estados</w:t>
      </w:r>
      <w:r>
        <w:rPr>
          <w:spacing w:val="-3"/>
          <w:sz w:val="15"/>
        </w:rPr>
        <w:t xml:space="preserve"> </w:t>
      </w:r>
      <w:r>
        <w:rPr>
          <w:sz w:val="15"/>
        </w:rPr>
        <w:t>deben</w:t>
      </w:r>
      <w:r>
        <w:rPr>
          <w:spacing w:val="-3"/>
          <w:sz w:val="15"/>
        </w:rPr>
        <w:t xml:space="preserve"> </w:t>
      </w:r>
      <w:r>
        <w:rPr>
          <w:sz w:val="15"/>
        </w:rPr>
        <w:t>garantizar</w:t>
      </w:r>
      <w:r>
        <w:rPr>
          <w:spacing w:val="-3"/>
          <w:sz w:val="15"/>
        </w:rPr>
        <w:t xml:space="preserve"> </w:t>
      </w:r>
      <w:r>
        <w:rPr>
          <w:sz w:val="15"/>
        </w:rPr>
        <w:t>que</w:t>
      </w:r>
      <w:r>
        <w:rPr>
          <w:spacing w:val="-3"/>
          <w:sz w:val="15"/>
        </w:rPr>
        <w:t xml:space="preserve"> </w:t>
      </w:r>
      <w:r>
        <w:rPr>
          <w:sz w:val="15"/>
        </w:rPr>
        <w:t>la</w:t>
      </w:r>
      <w:r>
        <w:rPr>
          <w:spacing w:val="-3"/>
          <w:sz w:val="15"/>
        </w:rPr>
        <w:t xml:space="preserve"> </w:t>
      </w:r>
      <w:r>
        <w:rPr>
          <w:sz w:val="15"/>
        </w:rPr>
        <w:t>legislación</w:t>
      </w:r>
      <w:r>
        <w:rPr>
          <w:spacing w:val="-3"/>
          <w:sz w:val="15"/>
        </w:rPr>
        <w:t xml:space="preserve"> </w:t>
      </w:r>
      <w:r>
        <w:rPr>
          <w:sz w:val="15"/>
        </w:rPr>
        <w:t>contra</w:t>
      </w:r>
      <w:r>
        <w:rPr>
          <w:spacing w:val="-3"/>
          <w:sz w:val="15"/>
        </w:rPr>
        <w:t xml:space="preserve"> </w:t>
      </w:r>
      <w:r>
        <w:rPr>
          <w:sz w:val="15"/>
        </w:rPr>
        <w:t>la</w:t>
      </w:r>
      <w:r>
        <w:rPr>
          <w:spacing w:val="-3"/>
          <w:sz w:val="15"/>
        </w:rPr>
        <w:t xml:space="preserve"> </w:t>
      </w:r>
      <w:r>
        <w:rPr>
          <w:sz w:val="15"/>
        </w:rPr>
        <w:t>discriminación</w:t>
      </w:r>
      <w:r>
        <w:rPr>
          <w:spacing w:val="-3"/>
          <w:sz w:val="15"/>
        </w:rPr>
        <w:t xml:space="preserve"> </w:t>
      </w:r>
      <w:r>
        <w:rPr>
          <w:sz w:val="15"/>
        </w:rPr>
        <w:t>exija</w:t>
      </w:r>
      <w:r>
        <w:rPr>
          <w:spacing w:val="-3"/>
          <w:sz w:val="15"/>
        </w:rPr>
        <w:t xml:space="preserve"> </w:t>
      </w:r>
      <w:r>
        <w:rPr>
          <w:sz w:val="15"/>
        </w:rPr>
        <w:t>y</w:t>
      </w:r>
      <w:r>
        <w:rPr>
          <w:spacing w:val="-3"/>
          <w:sz w:val="15"/>
        </w:rPr>
        <w:t xml:space="preserve"> </w:t>
      </w:r>
      <w:r>
        <w:rPr>
          <w:sz w:val="15"/>
        </w:rPr>
        <w:t>prevea</w:t>
      </w:r>
      <w:r>
        <w:rPr>
          <w:spacing w:val="-3"/>
          <w:sz w:val="15"/>
        </w:rPr>
        <w:t xml:space="preserve"> </w:t>
      </w:r>
      <w:r>
        <w:rPr>
          <w:sz w:val="15"/>
        </w:rPr>
        <w:t>la</w:t>
      </w:r>
      <w:r>
        <w:rPr>
          <w:spacing w:val="-3"/>
          <w:sz w:val="15"/>
        </w:rPr>
        <w:t xml:space="preserve"> </w:t>
      </w:r>
      <w:r>
        <w:rPr>
          <w:sz w:val="15"/>
        </w:rPr>
        <w:t>adopción</w:t>
      </w:r>
      <w:r>
        <w:rPr>
          <w:spacing w:val="-3"/>
          <w:sz w:val="15"/>
        </w:rPr>
        <w:t xml:space="preserve"> </w:t>
      </w:r>
      <w:r>
        <w:rPr>
          <w:sz w:val="15"/>
        </w:rPr>
        <w:t>y</w:t>
      </w:r>
      <w:r>
        <w:rPr>
          <w:spacing w:val="-3"/>
          <w:sz w:val="15"/>
        </w:rPr>
        <w:t xml:space="preserve"> </w:t>
      </w:r>
      <w:r>
        <w:rPr>
          <w:sz w:val="15"/>
        </w:rPr>
        <w:t>aplicación</w:t>
      </w:r>
      <w:r>
        <w:rPr>
          <w:spacing w:val="-3"/>
          <w:sz w:val="15"/>
        </w:rPr>
        <w:t xml:space="preserve"> </w:t>
      </w:r>
      <w:r>
        <w:rPr>
          <w:sz w:val="15"/>
        </w:rPr>
        <w:t>de</w:t>
      </w:r>
      <w:r>
        <w:rPr>
          <w:spacing w:val="-3"/>
          <w:sz w:val="15"/>
        </w:rPr>
        <w:t xml:space="preserve"> </w:t>
      </w:r>
      <w:r>
        <w:rPr>
          <w:sz w:val="15"/>
        </w:rPr>
        <w:t>tales medidas. Como mínimo, esto requiere establecer obligaciones exigibles.</w:t>
      </w:r>
    </w:p>
    <w:p w14:paraId="3C6FF3DB" w14:textId="77777777" w:rsidR="0014798C" w:rsidRDefault="004E1F0B">
      <w:pPr>
        <w:pStyle w:val="Textoindependiente"/>
        <w:spacing w:before="118"/>
        <w:rPr>
          <w:sz w:val="20"/>
        </w:rPr>
      </w:pPr>
      <w:r>
        <w:rPr>
          <w:noProof/>
        </w:rPr>
        <w:drawing>
          <wp:anchor distT="0" distB="0" distL="0" distR="0" simplePos="0" relativeHeight="251658567" behindDoc="1" locked="0" layoutInCell="1" allowOverlap="1" wp14:anchorId="713BB9A9" wp14:editId="1B4E6D40">
            <wp:simplePos x="0" y="0"/>
            <wp:positionH relativeFrom="page">
              <wp:posOffset>826632</wp:posOffset>
            </wp:positionH>
            <wp:positionV relativeFrom="paragraph">
              <wp:posOffset>236546</wp:posOffset>
            </wp:positionV>
            <wp:extent cx="931001" cy="35813"/>
            <wp:effectExtent l="0" t="0" r="0" b="0"/>
            <wp:wrapTopAndBottom/>
            <wp:docPr id="395" name="Image 39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95" name="Image 395"/>
                    <pic:cNvPicPr/>
                  </pic:nvPicPr>
                  <pic:blipFill>
                    <a:blip r:embed="rId367" cstate="print"/>
                    <a:stretch>
                      <a:fillRect/>
                    </a:stretch>
                  </pic:blipFill>
                  <pic:spPr>
                    <a:xfrm>
                      <a:off x="0" y="0"/>
                      <a:ext cx="931001" cy="35813"/>
                    </a:xfrm>
                    <a:prstGeom prst="rect">
                      <a:avLst/>
                    </a:prstGeom>
                  </pic:spPr>
                </pic:pic>
              </a:graphicData>
            </a:graphic>
          </wp:anchor>
        </w:drawing>
      </w:r>
    </w:p>
    <w:p w14:paraId="2DEAED01" w14:textId="77777777" w:rsidR="0014798C" w:rsidRDefault="0014798C">
      <w:pPr>
        <w:pStyle w:val="Textoindependiente"/>
        <w:spacing w:before="59"/>
        <w:rPr>
          <w:sz w:val="11"/>
        </w:rPr>
      </w:pPr>
    </w:p>
    <w:p w14:paraId="28930E0A" w14:textId="77777777" w:rsidR="0014798C" w:rsidRDefault="004E1F0B">
      <w:pPr>
        <w:spacing w:line="448" w:lineRule="auto"/>
        <w:ind w:left="1111" w:right="4421"/>
        <w:rPr>
          <w:sz w:val="11"/>
        </w:rPr>
      </w:pPr>
      <w:r>
        <w:rPr>
          <w:sz w:val="11"/>
        </w:rPr>
        <w:t>1261 Comité para la Eliminación de la Discriminación contra la Mujer, recomendación general núm. 28 (2010), párr. 38 d).</w:t>
      </w:r>
      <w:r>
        <w:rPr>
          <w:spacing w:val="40"/>
          <w:sz w:val="11"/>
        </w:rPr>
        <w:t xml:space="preserve"> </w:t>
      </w:r>
      <w:r>
        <w:rPr>
          <w:sz w:val="11"/>
        </w:rPr>
        <w:t>1262 Comité de Derechos Económicos, Sociales y Culturales, observación general núm. 20 (2009), párr. 38.</w:t>
      </w:r>
    </w:p>
    <w:p w14:paraId="2C8E64D5" w14:textId="77777777" w:rsidR="0014798C" w:rsidRDefault="004E1F0B">
      <w:pPr>
        <w:ind w:left="1111"/>
        <w:rPr>
          <w:sz w:val="11"/>
        </w:rPr>
      </w:pPr>
      <w:r>
        <w:rPr>
          <w:sz w:val="11"/>
        </w:rPr>
        <w:t>1263</w:t>
      </w:r>
      <w:r>
        <w:rPr>
          <w:spacing w:val="3"/>
          <w:sz w:val="11"/>
        </w:rPr>
        <w:t xml:space="preserve"> </w:t>
      </w:r>
      <w:r>
        <w:rPr>
          <w:sz w:val="11"/>
        </w:rPr>
        <w:t>En</w:t>
      </w:r>
      <w:r>
        <w:rPr>
          <w:spacing w:val="3"/>
          <w:sz w:val="11"/>
        </w:rPr>
        <w:t xml:space="preserve"> </w:t>
      </w:r>
      <w:r>
        <w:rPr>
          <w:sz w:val="11"/>
        </w:rPr>
        <w:t>un</w:t>
      </w:r>
      <w:r>
        <w:rPr>
          <w:spacing w:val="4"/>
          <w:sz w:val="11"/>
        </w:rPr>
        <w:t xml:space="preserve"> </w:t>
      </w:r>
      <w:r>
        <w:rPr>
          <w:sz w:val="11"/>
        </w:rPr>
        <w:t>caso</w:t>
      </w:r>
      <w:r>
        <w:rPr>
          <w:spacing w:val="3"/>
          <w:sz w:val="11"/>
        </w:rPr>
        <w:t xml:space="preserve"> </w:t>
      </w:r>
      <w:r>
        <w:rPr>
          <w:sz w:val="11"/>
        </w:rPr>
        <w:t>particularmente</w:t>
      </w:r>
      <w:r>
        <w:rPr>
          <w:spacing w:val="3"/>
          <w:sz w:val="11"/>
        </w:rPr>
        <w:t xml:space="preserve"> </w:t>
      </w:r>
      <w:r>
        <w:rPr>
          <w:sz w:val="11"/>
        </w:rPr>
        <w:t>tenso,</w:t>
      </w:r>
      <w:r>
        <w:rPr>
          <w:spacing w:val="4"/>
          <w:sz w:val="11"/>
        </w:rPr>
        <w:t xml:space="preserve"> </w:t>
      </w:r>
      <w:r>
        <w:rPr>
          <w:sz w:val="11"/>
        </w:rPr>
        <w:t>múltiples</w:t>
      </w:r>
      <w:r>
        <w:rPr>
          <w:spacing w:val="3"/>
          <w:sz w:val="11"/>
        </w:rPr>
        <w:t xml:space="preserve"> </w:t>
      </w:r>
      <w:r>
        <w:rPr>
          <w:sz w:val="11"/>
        </w:rPr>
        <w:t>instancias</w:t>
      </w:r>
      <w:r>
        <w:rPr>
          <w:spacing w:val="4"/>
          <w:sz w:val="11"/>
        </w:rPr>
        <w:t xml:space="preserve"> </w:t>
      </w:r>
      <w:r>
        <w:rPr>
          <w:sz w:val="11"/>
        </w:rPr>
        <w:t>judiciales</w:t>
      </w:r>
      <w:r>
        <w:rPr>
          <w:spacing w:val="3"/>
          <w:sz w:val="11"/>
        </w:rPr>
        <w:t xml:space="preserve"> </w:t>
      </w:r>
      <w:r>
        <w:rPr>
          <w:sz w:val="11"/>
        </w:rPr>
        <w:t>y</w:t>
      </w:r>
      <w:r>
        <w:rPr>
          <w:spacing w:val="3"/>
          <w:sz w:val="11"/>
        </w:rPr>
        <w:t xml:space="preserve"> </w:t>
      </w:r>
      <w:proofErr w:type="spellStart"/>
      <w:r>
        <w:rPr>
          <w:sz w:val="11"/>
        </w:rPr>
        <w:t>cuasijudiciales</w:t>
      </w:r>
      <w:proofErr w:type="spellEnd"/>
      <w:r>
        <w:rPr>
          <w:spacing w:val="4"/>
          <w:sz w:val="11"/>
        </w:rPr>
        <w:t xml:space="preserve"> </w:t>
      </w:r>
      <w:r>
        <w:rPr>
          <w:sz w:val="11"/>
        </w:rPr>
        <w:t>no</w:t>
      </w:r>
      <w:r>
        <w:rPr>
          <w:spacing w:val="3"/>
          <w:sz w:val="11"/>
        </w:rPr>
        <w:t xml:space="preserve"> </w:t>
      </w:r>
      <w:r>
        <w:rPr>
          <w:sz w:val="11"/>
        </w:rPr>
        <w:t>pudieron</w:t>
      </w:r>
      <w:r>
        <w:rPr>
          <w:spacing w:val="4"/>
          <w:sz w:val="11"/>
        </w:rPr>
        <w:t xml:space="preserve"> </w:t>
      </w:r>
      <w:r>
        <w:rPr>
          <w:sz w:val="11"/>
        </w:rPr>
        <w:t>decidir</w:t>
      </w:r>
      <w:r>
        <w:rPr>
          <w:spacing w:val="3"/>
          <w:sz w:val="11"/>
        </w:rPr>
        <w:t xml:space="preserve"> </w:t>
      </w:r>
      <w:r>
        <w:rPr>
          <w:sz w:val="11"/>
        </w:rPr>
        <w:t>si</w:t>
      </w:r>
      <w:r>
        <w:rPr>
          <w:spacing w:val="3"/>
          <w:sz w:val="11"/>
        </w:rPr>
        <w:t xml:space="preserve"> </w:t>
      </w:r>
      <w:r>
        <w:rPr>
          <w:sz w:val="11"/>
        </w:rPr>
        <w:t>un</w:t>
      </w:r>
      <w:r>
        <w:rPr>
          <w:spacing w:val="4"/>
          <w:sz w:val="11"/>
        </w:rPr>
        <w:t xml:space="preserve"> </w:t>
      </w:r>
      <w:r>
        <w:rPr>
          <w:sz w:val="11"/>
        </w:rPr>
        <w:t>caso</w:t>
      </w:r>
      <w:r>
        <w:rPr>
          <w:spacing w:val="3"/>
          <w:sz w:val="11"/>
        </w:rPr>
        <w:t xml:space="preserve"> </w:t>
      </w:r>
      <w:r>
        <w:rPr>
          <w:sz w:val="11"/>
        </w:rPr>
        <w:t>se</w:t>
      </w:r>
      <w:r>
        <w:rPr>
          <w:spacing w:val="3"/>
          <w:sz w:val="11"/>
        </w:rPr>
        <w:t xml:space="preserve"> </w:t>
      </w:r>
      <w:r>
        <w:rPr>
          <w:sz w:val="11"/>
        </w:rPr>
        <w:t>refería</w:t>
      </w:r>
      <w:r>
        <w:rPr>
          <w:spacing w:val="4"/>
          <w:sz w:val="11"/>
        </w:rPr>
        <w:t xml:space="preserve"> </w:t>
      </w:r>
      <w:r>
        <w:rPr>
          <w:sz w:val="11"/>
        </w:rPr>
        <w:t>a</w:t>
      </w:r>
      <w:r>
        <w:rPr>
          <w:spacing w:val="3"/>
          <w:sz w:val="11"/>
        </w:rPr>
        <w:t xml:space="preserve"> </w:t>
      </w:r>
      <w:r>
        <w:rPr>
          <w:spacing w:val="-2"/>
          <w:sz w:val="11"/>
        </w:rPr>
        <w:t>discriminación</w:t>
      </w:r>
    </w:p>
    <w:p w14:paraId="6DBF18FE" w14:textId="77777777" w:rsidR="0014798C" w:rsidRDefault="004E1F0B">
      <w:pPr>
        <w:spacing w:before="36" w:line="312" w:lineRule="auto"/>
        <w:ind w:left="1368" w:right="1463" w:firstLine="1"/>
        <w:rPr>
          <w:sz w:val="12"/>
        </w:rPr>
      </w:pPr>
      <w:r>
        <w:rPr>
          <w:sz w:val="12"/>
        </w:rPr>
        <w:t>por motivos de nacionalidad o “situación personal” o si la reclamación se refería a una discriminación directa o indirecta (Tribunal de Justicia de la Unión Europea,</w:t>
      </w:r>
      <w:r>
        <w:rPr>
          <w:spacing w:val="40"/>
          <w:sz w:val="12"/>
        </w:rPr>
        <w:t xml:space="preserve"> </w:t>
      </w:r>
      <w:r>
        <w:rPr>
          <w:sz w:val="12"/>
        </w:rPr>
        <w:t xml:space="preserve">CHEZ </w:t>
      </w:r>
      <w:proofErr w:type="spellStart"/>
      <w:r>
        <w:rPr>
          <w:sz w:val="12"/>
        </w:rPr>
        <w:t>Razpredelenie</w:t>
      </w:r>
      <w:proofErr w:type="spellEnd"/>
      <w:r>
        <w:rPr>
          <w:sz w:val="12"/>
        </w:rPr>
        <w:t xml:space="preserve"> Bulgaria AD c. </w:t>
      </w:r>
      <w:proofErr w:type="spellStart"/>
      <w:r>
        <w:rPr>
          <w:sz w:val="12"/>
        </w:rPr>
        <w:t>Komisia</w:t>
      </w:r>
      <w:proofErr w:type="spellEnd"/>
      <w:r>
        <w:rPr>
          <w:sz w:val="12"/>
        </w:rPr>
        <w:t xml:space="preserve"> </w:t>
      </w:r>
      <w:proofErr w:type="spellStart"/>
      <w:r>
        <w:rPr>
          <w:sz w:val="12"/>
        </w:rPr>
        <w:t>za</w:t>
      </w:r>
      <w:proofErr w:type="spellEnd"/>
      <w:r>
        <w:rPr>
          <w:sz w:val="12"/>
        </w:rPr>
        <w:t xml:space="preserve"> </w:t>
      </w:r>
      <w:proofErr w:type="spellStart"/>
      <w:r>
        <w:rPr>
          <w:sz w:val="12"/>
        </w:rPr>
        <w:t>zashtita</w:t>
      </w:r>
      <w:proofErr w:type="spellEnd"/>
      <w:r>
        <w:rPr>
          <w:sz w:val="12"/>
        </w:rPr>
        <w:t xml:space="preserve"> </w:t>
      </w:r>
      <w:proofErr w:type="spellStart"/>
      <w:r>
        <w:rPr>
          <w:sz w:val="12"/>
        </w:rPr>
        <w:t>ot</w:t>
      </w:r>
      <w:proofErr w:type="spellEnd"/>
      <w:r>
        <w:rPr>
          <w:sz w:val="12"/>
        </w:rPr>
        <w:t xml:space="preserve"> </w:t>
      </w:r>
      <w:proofErr w:type="spellStart"/>
      <w:r>
        <w:rPr>
          <w:sz w:val="12"/>
        </w:rPr>
        <w:t>diskriminatsia</w:t>
      </w:r>
      <w:proofErr w:type="spellEnd"/>
      <w:r>
        <w:rPr>
          <w:sz w:val="12"/>
        </w:rPr>
        <w:t>, Asunto C-83/14, Sentencia, 16 de julio 2015).</w:t>
      </w:r>
    </w:p>
    <w:p w14:paraId="572EAB67" w14:textId="77777777" w:rsidR="0014798C" w:rsidRDefault="004E1F0B">
      <w:pPr>
        <w:spacing w:before="1" w:line="256" w:lineRule="auto"/>
        <w:ind w:left="1369" w:right="1626" w:hanging="4"/>
        <w:rPr>
          <w:sz w:val="12"/>
        </w:rPr>
      </w:pPr>
      <w:r>
        <w:rPr>
          <w:sz w:val="12"/>
        </w:rPr>
        <w:t>El Tribunal de Justicia de la Unión Europea finalmente consideró que el caso constituía discriminación por motivos de origen racial o étnico. Dejó en manos del</w:t>
      </w:r>
      <w:r>
        <w:rPr>
          <w:spacing w:val="40"/>
          <w:sz w:val="12"/>
        </w:rPr>
        <w:t xml:space="preserve"> </w:t>
      </w:r>
      <w:r>
        <w:rPr>
          <w:sz w:val="12"/>
        </w:rPr>
        <w:t>tribunal nacional la determinación de si la discriminación en cuestión era directa o indirecta.</w:t>
      </w:r>
    </w:p>
    <w:p w14:paraId="3472743F" w14:textId="77777777" w:rsidR="0014798C" w:rsidRDefault="0014798C">
      <w:pPr>
        <w:pStyle w:val="Textoindependiente"/>
        <w:spacing w:before="12"/>
        <w:rPr>
          <w:sz w:val="11"/>
        </w:rPr>
      </w:pPr>
    </w:p>
    <w:p w14:paraId="25E268F5" w14:textId="77777777" w:rsidR="0014798C" w:rsidRDefault="004E1F0B">
      <w:pPr>
        <w:spacing w:line="448" w:lineRule="auto"/>
        <w:ind w:left="1111" w:right="4971"/>
        <w:rPr>
          <w:sz w:val="11"/>
        </w:rPr>
      </w:pPr>
      <w:r>
        <w:rPr>
          <w:sz w:val="11"/>
        </w:rPr>
        <w:t>1264 Comité para la Eliminación de la Discriminación Racial, recomendación general núm. 36 (2020), párr. 45.</w:t>
      </w:r>
      <w:r>
        <w:rPr>
          <w:spacing w:val="40"/>
          <w:sz w:val="11"/>
        </w:rPr>
        <w:t xml:space="preserve"> </w:t>
      </w:r>
      <w:r>
        <w:rPr>
          <w:sz w:val="11"/>
        </w:rPr>
        <w:t xml:space="preserve">1265 </w:t>
      </w:r>
      <w:proofErr w:type="spellStart"/>
      <w:r>
        <w:rPr>
          <w:sz w:val="11"/>
        </w:rPr>
        <w:t>Ibíd</w:t>
      </w:r>
      <w:proofErr w:type="spellEnd"/>
      <w:r>
        <w:rPr>
          <w:sz w:val="11"/>
        </w:rPr>
        <w:t>., párr. 42.</w:t>
      </w:r>
    </w:p>
    <w:p w14:paraId="79E15132" w14:textId="77777777" w:rsidR="0014798C" w:rsidRDefault="004E1F0B">
      <w:pPr>
        <w:spacing w:line="90" w:lineRule="exact"/>
        <w:ind w:left="1111"/>
        <w:rPr>
          <w:sz w:val="9"/>
        </w:rPr>
      </w:pPr>
      <w:r>
        <w:rPr>
          <w:w w:val="105"/>
          <w:sz w:val="9"/>
        </w:rPr>
        <w:t>1266</w:t>
      </w:r>
      <w:r>
        <w:rPr>
          <w:spacing w:val="-2"/>
          <w:w w:val="105"/>
          <w:sz w:val="9"/>
        </w:rPr>
        <w:t xml:space="preserve"> </w:t>
      </w:r>
      <w:proofErr w:type="spellStart"/>
      <w:r>
        <w:rPr>
          <w:spacing w:val="-2"/>
          <w:w w:val="105"/>
          <w:sz w:val="9"/>
        </w:rPr>
        <w:t>Ibídem</w:t>
      </w:r>
      <w:proofErr w:type="spellEnd"/>
      <w:r>
        <w:rPr>
          <w:spacing w:val="-2"/>
          <w:w w:val="105"/>
          <w:sz w:val="9"/>
        </w:rPr>
        <w:t>.</w:t>
      </w:r>
    </w:p>
    <w:p w14:paraId="53F4F555" w14:textId="77777777" w:rsidR="0014798C" w:rsidRDefault="0014798C">
      <w:pPr>
        <w:pStyle w:val="Textoindependiente"/>
        <w:spacing w:before="19"/>
        <w:rPr>
          <w:sz w:val="11"/>
        </w:rPr>
      </w:pPr>
    </w:p>
    <w:p w14:paraId="7774959E" w14:textId="77777777" w:rsidR="0014798C" w:rsidRDefault="004E1F0B">
      <w:pPr>
        <w:ind w:left="1111"/>
        <w:rPr>
          <w:sz w:val="11"/>
        </w:rPr>
      </w:pPr>
      <w:r>
        <w:rPr>
          <w:sz w:val="11"/>
        </w:rPr>
        <w:t>1267</w:t>
      </w:r>
      <w:r>
        <w:rPr>
          <w:spacing w:val="3"/>
          <w:sz w:val="11"/>
        </w:rPr>
        <w:t xml:space="preserve"> </w:t>
      </w:r>
      <w:proofErr w:type="spellStart"/>
      <w:r>
        <w:rPr>
          <w:sz w:val="11"/>
        </w:rPr>
        <w:t>Ibíd</w:t>
      </w:r>
      <w:proofErr w:type="spellEnd"/>
      <w:r>
        <w:rPr>
          <w:sz w:val="11"/>
        </w:rPr>
        <w:t>.</w:t>
      </w:r>
      <w:r>
        <w:rPr>
          <w:spacing w:val="3"/>
          <w:sz w:val="11"/>
        </w:rPr>
        <w:t xml:space="preserve"> </w:t>
      </w:r>
      <w:r>
        <w:rPr>
          <w:sz w:val="11"/>
        </w:rPr>
        <w:t>En</w:t>
      </w:r>
      <w:r>
        <w:rPr>
          <w:spacing w:val="3"/>
          <w:sz w:val="11"/>
        </w:rPr>
        <w:t xml:space="preserve"> </w:t>
      </w:r>
      <w:r>
        <w:rPr>
          <w:sz w:val="11"/>
        </w:rPr>
        <w:t>la</w:t>
      </w:r>
      <w:r>
        <w:rPr>
          <w:spacing w:val="3"/>
          <w:sz w:val="11"/>
        </w:rPr>
        <w:t xml:space="preserve"> </w:t>
      </w:r>
      <w:r>
        <w:rPr>
          <w:sz w:val="11"/>
        </w:rPr>
        <w:t>misma</w:t>
      </w:r>
      <w:r>
        <w:rPr>
          <w:spacing w:val="3"/>
          <w:sz w:val="11"/>
        </w:rPr>
        <w:t xml:space="preserve"> </w:t>
      </w:r>
      <w:r>
        <w:rPr>
          <w:sz w:val="11"/>
        </w:rPr>
        <w:t>recomendación,</w:t>
      </w:r>
      <w:r>
        <w:rPr>
          <w:spacing w:val="4"/>
          <w:sz w:val="11"/>
        </w:rPr>
        <w:t xml:space="preserve"> </w:t>
      </w:r>
      <w:r>
        <w:rPr>
          <w:sz w:val="11"/>
        </w:rPr>
        <w:t>el</w:t>
      </w:r>
      <w:r>
        <w:rPr>
          <w:spacing w:val="3"/>
          <w:sz w:val="11"/>
        </w:rPr>
        <w:t xml:space="preserve"> </w:t>
      </w:r>
      <w:r>
        <w:rPr>
          <w:sz w:val="11"/>
        </w:rPr>
        <w:t>Comité</w:t>
      </w:r>
      <w:r>
        <w:rPr>
          <w:spacing w:val="3"/>
          <w:sz w:val="11"/>
        </w:rPr>
        <w:t xml:space="preserve"> </w:t>
      </w:r>
      <w:r>
        <w:rPr>
          <w:sz w:val="11"/>
        </w:rPr>
        <w:t>también</w:t>
      </w:r>
      <w:r>
        <w:rPr>
          <w:spacing w:val="3"/>
          <w:sz w:val="11"/>
        </w:rPr>
        <w:t xml:space="preserve"> </w:t>
      </w:r>
      <w:r>
        <w:rPr>
          <w:sz w:val="11"/>
        </w:rPr>
        <w:t>formuló</w:t>
      </w:r>
      <w:r>
        <w:rPr>
          <w:spacing w:val="3"/>
          <w:sz w:val="11"/>
        </w:rPr>
        <w:t xml:space="preserve"> </w:t>
      </w:r>
      <w:r>
        <w:rPr>
          <w:sz w:val="11"/>
        </w:rPr>
        <w:t>recomendaciones</w:t>
      </w:r>
      <w:r>
        <w:rPr>
          <w:spacing w:val="3"/>
          <w:sz w:val="11"/>
        </w:rPr>
        <w:t xml:space="preserve"> </w:t>
      </w:r>
      <w:r>
        <w:rPr>
          <w:sz w:val="11"/>
        </w:rPr>
        <w:t>sobre</w:t>
      </w:r>
      <w:r>
        <w:rPr>
          <w:spacing w:val="3"/>
          <w:sz w:val="11"/>
        </w:rPr>
        <w:t xml:space="preserve"> </w:t>
      </w:r>
      <w:r>
        <w:rPr>
          <w:sz w:val="11"/>
        </w:rPr>
        <w:t>capacitación</w:t>
      </w:r>
      <w:r>
        <w:rPr>
          <w:spacing w:val="3"/>
          <w:sz w:val="11"/>
        </w:rPr>
        <w:t xml:space="preserve"> </w:t>
      </w:r>
      <w:r>
        <w:rPr>
          <w:sz w:val="11"/>
        </w:rPr>
        <w:t>y</w:t>
      </w:r>
      <w:r>
        <w:rPr>
          <w:spacing w:val="3"/>
          <w:sz w:val="11"/>
        </w:rPr>
        <w:t xml:space="preserve"> </w:t>
      </w:r>
      <w:r>
        <w:rPr>
          <w:sz w:val="11"/>
        </w:rPr>
        <w:t>educación</w:t>
      </w:r>
      <w:r>
        <w:rPr>
          <w:spacing w:val="3"/>
          <w:sz w:val="11"/>
        </w:rPr>
        <w:t xml:space="preserve"> </w:t>
      </w:r>
      <w:r>
        <w:rPr>
          <w:sz w:val="11"/>
        </w:rPr>
        <w:t>en</w:t>
      </w:r>
      <w:r>
        <w:rPr>
          <w:spacing w:val="3"/>
          <w:sz w:val="11"/>
        </w:rPr>
        <w:t xml:space="preserve"> </w:t>
      </w:r>
      <w:r>
        <w:rPr>
          <w:sz w:val="11"/>
        </w:rPr>
        <w:t>derechos</w:t>
      </w:r>
      <w:r>
        <w:rPr>
          <w:spacing w:val="3"/>
          <w:sz w:val="11"/>
        </w:rPr>
        <w:t xml:space="preserve"> </w:t>
      </w:r>
      <w:r>
        <w:rPr>
          <w:sz w:val="11"/>
        </w:rPr>
        <w:t>humanos</w:t>
      </w:r>
      <w:r>
        <w:rPr>
          <w:spacing w:val="3"/>
          <w:sz w:val="11"/>
        </w:rPr>
        <w:t xml:space="preserve"> </w:t>
      </w:r>
      <w:r>
        <w:rPr>
          <w:sz w:val="11"/>
        </w:rPr>
        <w:t>en</w:t>
      </w:r>
      <w:r>
        <w:rPr>
          <w:spacing w:val="3"/>
          <w:sz w:val="11"/>
        </w:rPr>
        <w:t xml:space="preserve"> </w:t>
      </w:r>
      <w:r>
        <w:rPr>
          <w:sz w:val="11"/>
        </w:rPr>
        <w:t>el</w:t>
      </w:r>
      <w:r>
        <w:rPr>
          <w:spacing w:val="3"/>
          <w:sz w:val="11"/>
        </w:rPr>
        <w:t xml:space="preserve"> </w:t>
      </w:r>
      <w:r>
        <w:rPr>
          <w:spacing w:val="-2"/>
          <w:sz w:val="11"/>
        </w:rPr>
        <w:t>área.</w:t>
      </w:r>
    </w:p>
    <w:p w14:paraId="4E9CC323" w14:textId="77777777" w:rsidR="0014798C" w:rsidRDefault="004E1F0B">
      <w:pPr>
        <w:spacing w:before="36"/>
        <w:ind w:left="1369"/>
        <w:rPr>
          <w:sz w:val="12"/>
        </w:rPr>
      </w:pPr>
      <w:r>
        <w:rPr>
          <w:sz w:val="12"/>
        </w:rPr>
        <w:t>de</w:t>
      </w:r>
      <w:r>
        <w:rPr>
          <w:spacing w:val="1"/>
          <w:sz w:val="12"/>
        </w:rPr>
        <w:t xml:space="preserve"> </w:t>
      </w:r>
      <w:r>
        <w:rPr>
          <w:sz w:val="12"/>
        </w:rPr>
        <w:t>inteligencia</w:t>
      </w:r>
      <w:r>
        <w:rPr>
          <w:spacing w:val="1"/>
          <w:sz w:val="12"/>
        </w:rPr>
        <w:t xml:space="preserve"> </w:t>
      </w:r>
      <w:r>
        <w:rPr>
          <w:sz w:val="12"/>
        </w:rPr>
        <w:t>artificial</w:t>
      </w:r>
      <w:r>
        <w:rPr>
          <w:spacing w:val="1"/>
          <w:sz w:val="12"/>
        </w:rPr>
        <w:t xml:space="preserve"> </w:t>
      </w:r>
      <w:r>
        <w:rPr>
          <w:sz w:val="12"/>
        </w:rPr>
        <w:t>y</w:t>
      </w:r>
      <w:r>
        <w:rPr>
          <w:spacing w:val="1"/>
          <w:sz w:val="12"/>
        </w:rPr>
        <w:t xml:space="preserve"> </w:t>
      </w:r>
      <w:r>
        <w:rPr>
          <w:sz w:val="12"/>
        </w:rPr>
        <w:t>discriminación</w:t>
      </w:r>
      <w:r>
        <w:rPr>
          <w:spacing w:val="1"/>
          <w:sz w:val="12"/>
        </w:rPr>
        <w:t xml:space="preserve"> </w:t>
      </w:r>
      <w:r>
        <w:rPr>
          <w:sz w:val="12"/>
        </w:rPr>
        <w:t>algorítmica.</w:t>
      </w:r>
      <w:r>
        <w:rPr>
          <w:spacing w:val="2"/>
          <w:sz w:val="12"/>
        </w:rPr>
        <w:t xml:space="preserve"> </w:t>
      </w:r>
      <w:proofErr w:type="spellStart"/>
      <w:r>
        <w:rPr>
          <w:sz w:val="12"/>
        </w:rPr>
        <w:t>Ibíd</w:t>
      </w:r>
      <w:proofErr w:type="spellEnd"/>
      <w:r>
        <w:rPr>
          <w:sz w:val="12"/>
        </w:rPr>
        <w:t>.,</w:t>
      </w:r>
      <w:r>
        <w:rPr>
          <w:spacing w:val="1"/>
          <w:sz w:val="12"/>
        </w:rPr>
        <w:t xml:space="preserve"> </w:t>
      </w:r>
      <w:proofErr w:type="spellStart"/>
      <w:r>
        <w:rPr>
          <w:sz w:val="12"/>
        </w:rPr>
        <w:t>párrs</w:t>
      </w:r>
      <w:proofErr w:type="spellEnd"/>
      <w:r>
        <w:rPr>
          <w:sz w:val="12"/>
        </w:rPr>
        <w:t>.</w:t>
      </w:r>
      <w:r>
        <w:rPr>
          <w:spacing w:val="2"/>
          <w:sz w:val="12"/>
        </w:rPr>
        <w:t xml:space="preserve"> </w:t>
      </w:r>
      <w:r>
        <w:rPr>
          <w:spacing w:val="-2"/>
          <w:sz w:val="12"/>
        </w:rPr>
        <w:t>43–45.</w:t>
      </w:r>
    </w:p>
    <w:p w14:paraId="6EF6EF8D" w14:textId="77777777" w:rsidR="0014798C" w:rsidRDefault="004E1F0B">
      <w:pPr>
        <w:spacing w:before="116" w:line="388" w:lineRule="auto"/>
        <w:ind w:left="1111" w:right="6921"/>
        <w:rPr>
          <w:sz w:val="11"/>
        </w:rPr>
      </w:pPr>
      <w:r>
        <w:rPr>
          <w:sz w:val="11"/>
        </w:rPr>
        <w:t>1268 Resolución 43/8 del Consejo de Derechos Humanos, preámbulo.</w:t>
      </w:r>
      <w:r>
        <w:rPr>
          <w:spacing w:val="40"/>
          <w:sz w:val="11"/>
        </w:rPr>
        <w:t xml:space="preserve"> </w:t>
      </w:r>
      <w:r>
        <w:rPr>
          <w:sz w:val="11"/>
        </w:rPr>
        <w:t>1269</w:t>
      </w:r>
      <w:r>
        <w:rPr>
          <w:spacing w:val="-8"/>
          <w:sz w:val="11"/>
        </w:rPr>
        <w:t xml:space="preserve"> </w:t>
      </w:r>
      <w:proofErr w:type="spellStart"/>
      <w:r>
        <w:rPr>
          <w:sz w:val="11"/>
        </w:rPr>
        <w:t>Ibíd</w:t>
      </w:r>
      <w:proofErr w:type="spellEnd"/>
      <w:r>
        <w:rPr>
          <w:sz w:val="11"/>
        </w:rPr>
        <w:t>.</w:t>
      </w:r>
    </w:p>
    <w:p w14:paraId="1250EC43" w14:textId="77777777" w:rsidR="0014798C" w:rsidRDefault="0014798C">
      <w:pPr>
        <w:pStyle w:val="Textoindependiente"/>
        <w:rPr>
          <w:sz w:val="19"/>
        </w:rPr>
      </w:pPr>
    </w:p>
    <w:p w14:paraId="45847984" w14:textId="77777777" w:rsidR="0014798C" w:rsidRDefault="0014798C">
      <w:pPr>
        <w:pStyle w:val="Textoindependiente"/>
        <w:spacing w:before="138"/>
        <w:rPr>
          <w:sz w:val="19"/>
        </w:rPr>
      </w:pPr>
    </w:p>
    <w:p w14:paraId="0636991E" w14:textId="77777777" w:rsidR="0014798C" w:rsidRDefault="004E1F0B">
      <w:pPr>
        <w:ind w:left="437"/>
        <w:rPr>
          <w:sz w:val="19"/>
        </w:rPr>
      </w:pPr>
      <w:r>
        <w:rPr>
          <w:spacing w:val="-5"/>
          <w:sz w:val="19"/>
        </w:rPr>
        <w:t>200</w:t>
      </w:r>
    </w:p>
    <w:p w14:paraId="779CD768" w14:textId="77777777" w:rsidR="0014798C" w:rsidRDefault="0014798C">
      <w:pPr>
        <w:rPr>
          <w:sz w:val="19"/>
        </w:rPr>
        <w:sectPr w:rsidR="0014798C" w:rsidSect="00F265E4">
          <w:pgSz w:w="11900" w:h="16820"/>
          <w:pgMar w:top="340" w:right="0" w:bottom="280" w:left="200" w:header="121" w:footer="0" w:gutter="0"/>
          <w:cols w:space="720"/>
        </w:sectPr>
      </w:pPr>
    </w:p>
    <w:p w14:paraId="5700A3DF" w14:textId="77777777" w:rsidR="0014798C" w:rsidRDefault="0014798C">
      <w:pPr>
        <w:pStyle w:val="Textoindependiente"/>
        <w:spacing w:before="103"/>
        <w:rPr>
          <w:sz w:val="11"/>
        </w:rPr>
      </w:pPr>
    </w:p>
    <w:p w14:paraId="4E9B7BDA" w14:textId="77777777" w:rsidR="0014798C" w:rsidRDefault="004E1F0B">
      <w:pPr>
        <w:ind w:left="1111"/>
        <w:rPr>
          <w:sz w:val="11"/>
        </w:rPr>
      </w:pPr>
      <w:r>
        <w:rPr>
          <w:color w:val="FBB315"/>
          <w:w w:val="105"/>
          <w:sz w:val="11"/>
        </w:rPr>
        <w:t>PARTE</w:t>
      </w:r>
      <w:r>
        <w:rPr>
          <w:color w:val="FBB315"/>
          <w:spacing w:val="-2"/>
          <w:w w:val="105"/>
          <w:sz w:val="11"/>
        </w:rPr>
        <w:t xml:space="preserve"> </w:t>
      </w:r>
      <w:r>
        <w:rPr>
          <w:color w:val="FBB315"/>
          <w:w w:val="105"/>
          <w:sz w:val="11"/>
        </w:rPr>
        <w:t>SEIS:</w:t>
      </w:r>
      <w:r>
        <w:rPr>
          <w:color w:val="FBB315"/>
          <w:spacing w:val="-1"/>
          <w:w w:val="105"/>
          <w:sz w:val="11"/>
        </w:rPr>
        <w:t xml:space="preserve"> </w:t>
      </w:r>
      <w:r>
        <w:rPr>
          <w:color w:val="FBB315"/>
          <w:w w:val="105"/>
          <w:sz w:val="11"/>
        </w:rPr>
        <w:t>PROMOCIÓN</w:t>
      </w:r>
      <w:r>
        <w:rPr>
          <w:color w:val="FBB315"/>
          <w:spacing w:val="-1"/>
          <w:w w:val="105"/>
          <w:sz w:val="11"/>
        </w:rPr>
        <w:t xml:space="preserve"> </w:t>
      </w:r>
      <w:r>
        <w:rPr>
          <w:color w:val="FBB315"/>
          <w:w w:val="105"/>
          <w:sz w:val="11"/>
        </w:rPr>
        <w:t>DE</w:t>
      </w:r>
      <w:r>
        <w:rPr>
          <w:color w:val="FBB315"/>
          <w:spacing w:val="-1"/>
          <w:w w:val="105"/>
          <w:sz w:val="11"/>
        </w:rPr>
        <w:t xml:space="preserve"> </w:t>
      </w:r>
      <w:r>
        <w:rPr>
          <w:color w:val="FBB315"/>
          <w:w w:val="105"/>
          <w:sz w:val="11"/>
        </w:rPr>
        <w:t>LA</w:t>
      </w:r>
      <w:r>
        <w:rPr>
          <w:color w:val="FBB315"/>
          <w:spacing w:val="-1"/>
          <w:w w:val="105"/>
          <w:sz w:val="11"/>
        </w:rPr>
        <w:t xml:space="preserve"> </w:t>
      </w:r>
      <w:r>
        <w:rPr>
          <w:color w:val="FBB315"/>
          <w:w w:val="105"/>
          <w:sz w:val="11"/>
        </w:rPr>
        <w:t>DIVERSIDAD</w:t>
      </w:r>
      <w:r>
        <w:rPr>
          <w:color w:val="FBB315"/>
          <w:spacing w:val="-1"/>
          <w:w w:val="105"/>
          <w:sz w:val="11"/>
        </w:rPr>
        <w:t xml:space="preserve"> </w:t>
      </w:r>
      <w:r>
        <w:rPr>
          <w:color w:val="FBB315"/>
          <w:w w:val="105"/>
          <w:sz w:val="11"/>
        </w:rPr>
        <w:t>Y</w:t>
      </w:r>
      <w:r>
        <w:rPr>
          <w:color w:val="FBB315"/>
          <w:spacing w:val="-1"/>
          <w:w w:val="105"/>
          <w:sz w:val="11"/>
        </w:rPr>
        <w:t xml:space="preserve"> </w:t>
      </w:r>
      <w:r>
        <w:rPr>
          <w:color w:val="FBB315"/>
          <w:w w:val="105"/>
          <w:sz w:val="11"/>
        </w:rPr>
        <w:t>LA</w:t>
      </w:r>
      <w:r>
        <w:rPr>
          <w:color w:val="FBB315"/>
          <w:spacing w:val="-1"/>
          <w:w w:val="105"/>
          <w:sz w:val="11"/>
        </w:rPr>
        <w:t xml:space="preserve"> </w:t>
      </w:r>
      <w:r>
        <w:rPr>
          <w:color w:val="FBB315"/>
          <w:w w:val="105"/>
          <w:sz w:val="11"/>
        </w:rPr>
        <w:t>IGUALDAD: OBLIGACIONES DE</w:t>
      </w:r>
      <w:r>
        <w:rPr>
          <w:color w:val="FBB315"/>
          <w:spacing w:val="-1"/>
          <w:w w:val="105"/>
          <w:sz w:val="11"/>
        </w:rPr>
        <w:t xml:space="preserve"> </w:t>
      </w:r>
      <w:r>
        <w:rPr>
          <w:color w:val="FBB315"/>
          <w:w w:val="105"/>
          <w:sz w:val="11"/>
        </w:rPr>
        <w:t>ABORDAR</w:t>
      </w:r>
      <w:r>
        <w:rPr>
          <w:color w:val="FBB315"/>
          <w:spacing w:val="-2"/>
          <w:w w:val="105"/>
          <w:sz w:val="11"/>
        </w:rPr>
        <w:t xml:space="preserve"> </w:t>
      </w:r>
      <w:r>
        <w:rPr>
          <w:color w:val="FBB315"/>
          <w:w w:val="105"/>
          <w:sz w:val="11"/>
        </w:rPr>
        <w:t>LAS</w:t>
      </w:r>
      <w:r>
        <w:rPr>
          <w:color w:val="FBB315"/>
          <w:spacing w:val="-1"/>
          <w:w w:val="105"/>
          <w:sz w:val="11"/>
        </w:rPr>
        <w:t xml:space="preserve"> </w:t>
      </w:r>
      <w:r>
        <w:rPr>
          <w:color w:val="FBB315"/>
          <w:w w:val="105"/>
          <w:sz w:val="11"/>
        </w:rPr>
        <w:t>CAUSAS</w:t>
      </w:r>
      <w:r>
        <w:rPr>
          <w:color w:val="FBB315"/>
          <w:spacing w:val="-1"/>
          <w:w w:val="105"/>
          <w:sz w:val="11"/>
        </w:rPr>
        <w:t xml:space="preserve"> </w:t>
      </w:r>
      <w:r>
        <w:rPr>
          <w:color w:val="FBB315"/>
          <w:w w:val="105"/>
          <w:sz w:val="11"/>
        </w:rPr>
        <w:t>FUNDAMENTALES DE</w:t>
      </w:r>
      <w:r>
        <w:rPr>
          <w:color w:val="FBB315"/>
          <w:spacing w:val="-1"/>
          <w:w w:val="105"/>
          <w:sz w:val="11"/>
        </w:rPr>
        <w:t xml:space="preserve"> </w:t>
      </w:r>
      <w:r>
        <w:rPr>
          <w:color w:val="FBB315"/>
          <w:w w:val="105"/>
          <w:sz w:val="11"/>
        </w:rPr>
        <w:t>LA</w:t>
      </w:r>
      <w:r>
        <w:rPr>
          <w:color w:val="FBB315"/>
          <w:spacing w:val="-1"/>
          <w:w w:val="105"/>
          <w:sz w:val="11"/>
        </w:rPr>
        <w:t xml:space="preserve"> </w:t>
      </w:r>
      <w:r>
        <w:rPr>
          <w:color w:val="FBB315"/>
          <w:spacing w:val="-2"/>
          <w:w w:val="105"/>
          <w:sz w:val="11"/>
        </w:rPr>
        <w:t>DISCRIMINACIÓN</w:t>
      </w:r>
    </w:p>
    <w:p w14:paraId="3DEB2BDE" w14:textId="77777777" w:rsidR="0014798C" w:rsidRDefault="0014798C">
      <w:pPr>
        <w:pStyle w:val="Textoindependiente"/>
      </w:pPr>
    </w:p>
    <w:p w14:paraId="01FEBD0B" w14:textId="77777777" w:rsidR="0014798C" w:rsidRDefault="0014798C">
      <w:pPr>
        <w:pStyle w:val="Textoindependiente"/>
      </w:pPr>
    </w:p>
    <w:p w14:paraId="24A6F6DC" w14:textId="77777777" w:rsidR="0014798C" w:rsidRDefault="0014798C">
      <w:pPr>
        <w:pStyle w:val="Textoindependiente"/>
      </w:pPr>
    </w:p>
    <w:p w14:paraId="345921AE" w14:textId="77777777" w:rsidR="0014798C" w:rsidRDefault="0014798C">
      <w:pPr>
        <w:pStyle w:val="Textoindependiente"/>
      </w:pPr>
    </w:p>
    <w:p w14:paraId="5A6DCCD4" w14:textId="77777777" w:rsidR="0014798C" w:rsidRDefault="0014798C">
      <w:pPr>
        <w:pStyle w:val="Textoindependiente"/>
        <w:spacing w:before="78"/>
      </w:pPr>
    </w:p>
    <w:p w14:paraId="4157B8D5" w14:textId="77777777" w:rsidR="0014798C" w:rsidRDefault="004E1F0B">
      <w:pPr>
        <w:pStyle w:val="Textoindependiente"/>
        <w:spacing w:line="326" w:lineRule="auto"/>
        <w:ind w:left="1107" w:right="1272" w:firstLine="3"/>
      </w:pPr>
      <w:r>
        <w:t>y requisitos – dentro de la legislación – para combatir los prejuicios y el estigma y contrarrestar los estereotipos. Estos requisitos generales deberían complementarse con deberes específicos en los ámbitos de participación y representación pública, educación, medios de comunicación, formación y sensibilización.</w:t>
      </w:r>
    </w:p>
    <w:p w14:paraId="5D5A98B9" w14:textId="77777777" w:rsidR="0014798C" w:rsidRDefault="004E1F0B">
      <w:pPr>
        <w:pStyle w:val="Textoindependiente"/>
        <w:spacing w:before="168" w:line="326" w:lineRule="auto"/>
        <w:ind w:left="1107" w:right="1166" w:hanging="1"/>
      </w:pPr>
      <w:r>
        <w:t>Estas obligaciones deben integrarse y reflejarse en todas las demás áreas de la ley que establecen deberes para los actores estatales. Los programas de acción positiva desempeñan un papel importante a la hora de abordar los prejuicios y los estereotipos, en particular permitiendo un progreso rápido hacia una representación equitativa en ámbitos de la vida pública. Las disposiciones legales que detallan las obligaciones de acción positiva deben incluir requisitos explícitos para abordar los factores que impulsan</w:t>
      </w:r>
    </w:p>
    <w:p w14:paraId="77A1C6C6" w14:textId="77777777" w:rsidR="0014798C" w:rsidRDefault="004E1F0B">
      <w:pPr>
        <w:pStyle w:val="Textoindependiente"/>
        <w:spacing w:line="326" w:lineRule="auto"/>
        <w:ind w:left="1110" w:right="1272" w:firstLine="1"/>
      </w:pPr>
      <w:r>
        <w:t xml:space="preserve">la discriminación. Los deberes estatutarios de igualdad deben incorporar deberes para identificar las causas profundas y los impulsores de la discriminación y tomar medidas efectivas para abordarlos, junto con deberes generales para promover una representación equitativa y diversa. La evaluación del impacto en materia de igualdad debe incorporar requisitos específicos para identificar y eliminar los impactos de las leyes y políticas que sirven para generar, afianzar o exacerbar prejuicios, estereotipos o </w:t>
      </w:r>
      <w:r>
        <w:rPr>
          <w:spacing w:val="-2"/>
        </w:rPr>
        <w:t>estigmas.</w:t>
      </w:r>
    </w:p>
    <w:p w14:paraId="14538468" w14:textId="77777777" w:rsidR="0014798C" w:rsidRDefault="004E1F0B">
      <w:pPr>
        <w:pStyle w:val="Textoindependiente"/>
        <w:spacing w:before="166" w:line="326" w:lineRule="auto"/>
        <w:ind w:left="1107" w:right="1272" w:firstLine="2"/>
      </w:pPr>
      <w:r>
        <w:t>Los elementos de las leyes contra la discriminación centrados en las instituciones también deberían integrar obligaciones para abordar los prejuicios, los estereotipos y el estigma. Los organismos encargados de hacer cumplir la ley –ya sean tribunales u organismos de igualdad– deben estar facultados para ordenar remedios sociales, como disculpas públicas y memoriales, y remedios institucionales, como programas de capacitación. Los organismos de igualdad deberían tener mandato y poder para promover la igualdad y la no discriminación y contrarrestar las fuerzas sociales que las socavan. Esto debería incluir poderes específicos para llevar a cabo programas educativos, de sensibilización, formación y sensibilización.</w:t>
      </w:r>
    </w:p>
    <w:p w14:paraId="630B419A" w14:textId="77777777" w:rsidR="0014798C" w:rsidRDefault="004E1F0B">
      <w:pPr>
        <w:pStyle w:val="Textoindependiente"/>
        <w:spacing w:before="167" w:line="326" w:lineRule="auto"/>
        <w:ind w:left="1109" w:right="1463" w:firstLine="5"/>
      </w:pPr>
      <w:r>
        <w:t>Fundamentalmente, además de establecer deberes y obligaciones para abordar los prejuicios, los estereotipos y el estigma, las leyes contra la discriminación deberían prever medidas coercitivas en situaciones en las que el Estado no cumpla con esos deberes y no adopte medidas que sean apropiadas, proporcionadas y efectivas. Si bien las obligaciones de los Estados en esta área son proactivas y no deben surgir únicamente como respuesta o remedio a una queja, la posibilidad de hacerlas cumplir es clave para garantizar la eficacia de estas obligaciones.</w:t>
      </w:r>
    </w:p>
    <w:p w14:paraId="41E09726" w14:textId="77777777" w:rsidR="0014798C" w:rsidRDefault="0014798C">
      <w:pPr>
        <w:pStyle w:val="Textoindependiente"/>
        <w:spacing w:before="50"/>
        <w:rPr>
          <w:sz w:val="28"/>
        </w:rPr>
      </w:pPr>
    </w:p>
    <w:p w14:paraId="60135D5A" w14:textId="77777777" w:rsidR="0014798C" w:rsidRDefault="004E1F0B" w:rsidP="0031332D">
      <w:pPr>
        <w:pStyle w:val="Ttulo9"/>
        <w:numPr>
          <w:ilvl w:val="0"/>
          <w:numId w:val="5"/>
        </w:numPr>
        <w:tabs>
          <w:tab w:val="left" w:pos="1428"/>
          <w:tab w:val="left" w:pos="1583"/>
        </w:tabs>
        <w:spacing w:line="290" w:lineRule="auto"/>
        <w:ind w:right="785" w:hanging="460"/>
        <w:rPr>
          <w:color w:val="FBB315"/>
          <w:sz w:val="26"/>
        </w:rPr>
      </w:pPr>
      <w:bookmarkStart w:id="39" w:name="promover"/>
      <w:r>
        <w:rPr>
          <w:color w:val="FBB315"/>
        </w:rPr>
        <w:t>CONCLUSIÓN:</w:t>
      </w:r>
      <w:r>
        <w:rPr>
          <w:color w:val="FBB315"/>
          <w:spacing w:val="-15"/>
        </w:rPr>
        <w:t xml:space="preserve"> </w:t>
      </w:r>
      <w:r>
        <w:rPr>
          <w:color w:val="FBB315"/>
        </w:rPr>
        <w:t>PROMOVER</w:t>
      </w:r>
      <w:r>
        <w:rPr>
          <w:color w:val="FBB315"/>
          <w:spacing w:val="-17"/>
        </w:rPr>
        <w:t xml:space="preserve"> </w:t>
      </w:r>
      <w:r>
        <w:rPr>
          <w:color w:val="FBB315"/>
        </w:rPr>
        <w:t>LA</w:t>
      </w:r>
      <w:r>
        <w:rPr>
          <w:color w:val="FBB315"/>
          <w:spacing w:val="-16"/>
        </w:rPr>
        <w:t xml:space="preserve"> </w:t>
      </w:r>
      <w:r>
        <w:rPr>
          <w:color w:val="FBB315"/>
        </w:rPr>
        <w:t>IGUALDAD</w:t>
      </w:r>
      <w:r>
        <w:rPr>
          <w:color w:val="FBB315"/>
          <w:spacing w:val="-17"/>
        </w:rPr>
        <w:t xml:space="preserve"> </w:t>
      </w:r>
      <w:r>
        <w:rPr>
          <w:color w:val="FBB315"/>
        </w:rPr>
        <w:t xml:space="preserve">Y </w:t>
      </w:r>
      <w:r>
        <w:rPr>
          <w:color w:val="FBB315"/>
          <w:spacing w:val="-2"/>
        </w:rPr>
        <w:t>DIVERSIDAD</w:t>
      </w:r>
    </w:p>
    <w:bookmarkEnd w:id="39"/>
    <w:p w14:paraId="61F129A6" w14:textId="77777777" w:rsidR="0014798C" w:rsidRDefault="0014798C">
      <w:pPr>
        <w:pStyle w:val="Textoindependiente"/>
        <w:spacing w:before="27"/>
      </w:pPr>
    </w:p>
    <w:p w14:paraId="7BD7AAFB" w14:textId="77777777" w:rsidR="0014798C" w:rsidRDefault="004E1F0B">
      <w:pPr>
        <w:pStyle w:val="Textoindependiente"/>
        <w:spacing w:before="1" w:line="326" w:lineRule="auto"/>
        <w:ind w:left="1110" w:right="1166" w:firstLine="2"/>
      </w:pPr>
      <w:r>
        <w:t>Las obligaciones de los Estados en virtud de tratados internacionales los comprometen no simplemente a prohibir la discriminación por ley, sino a eliminarla de hecho. Adoptar medidas positivas y proactivas para abordar las causas profundas y los impulsores</w:t>
      </w:r>
    </w:p>
    <w:p w14:paraId="1BC74BAF" w14:textId="77777777" w:rsidR="0014798C" w:rsidRDefault="004E1F0B">
      <w:pPr>
        <w:pStyle w:val="Textoindependiente"/>
        <w:spacing w:line="183" w:lineRule="exact"/>
        <w:ind w:left="1111"/>
      </w:pPr>
      <w:r>
        <w:t>de</w:t>
      </w:r>
      <w:r>
        <w:rPr>
          <w:spacing w:val="-5"/>
        </w:rPr>
        <w:t xml:space="preserve"> </w:t>
      </w:r>
      <w:r>
        <w:t>la</w:t>
      </w:r>
      <w:r>
        <w:rPr>
          <w:spacing w:val="-3"/>
        </w:rPr>
        <w:t xml:space="preserve"> </w:t>
      </w:r>
      <w:r>
        <w:t>discriminación</w:t>
      </w:r>
      <w:r>
        <w:rPr>
          <w:spacing w:val="-4"/>
        </w:rPr>
        <w:t xml:space="preserve"> </w:t>
      </w:r>
      <w:r>
        <w:t>son</w:t>
      </w:r>
      <w:r>
        <w:rPr>
          <w:spacing w:val="-3"/>
        </w:rPr>
        <w:t xml:space="preserve"> </w:t>
      </w:r>
      <w:r>
        <w:t>elementos</w:t>
      </w:r>
      <w:r>
        <w:rPr>
          <w:spacing w:val="-3"/>
        </w:rPr>
        <w:t xml:space="preserve"> </w:t>
      </w:r>
      <w:r>
        <w:t>esenciales</w:t>
      </w:r>
      <w:r>
        <w:rPr>
          <w:spacing w:val="-3"/>
        </w:rPr>
        <w:t xml:space="preserve"> </w:t>
      </w:r>
      <w:r>
        <w:t>e</w:t>
      </w:r>
      <w:r>
        <w:rPr>
          <w:spacing w:val="-3"/>
        </w:rPr>
        <w:t xml:space="preserve"> </w:t>
      </w:r>
      <w:r>
        <w:t>indispensables</w:t>
      </w:r>
      <w:r>
        <w:rPr>
          <w:spacing w:val="-4"/>
        </w:rPr>
        <w:t xml:space="preserve"> </w:t>
      </w:r>
      <w:r>
        <w:t>de</w:t>
      </w:r>
      <w:r>
        <w:rPr>
          <w:spacing w:val="-3"/>
        </w:rPr>
        <w:t xml:space="preserve"> </w:t>
      </w:r>
      <w:r>
        <w:t>esta</w:t>
      </w:r>
      <w:r>
        <w:rPr>
          <w:spacing w:val="-3"/>
        </w:rPr>
        <w:t xml:space="preserve"> </w:t>
      </w:r>
      <w:r>
        <w:t>obligación.</w:t>
      </w:r>
      <w:r>
        <w:rPr>
          <w:spacing w:val="-2"/>
        </w:rPr>
        <w:t xml:space="preserve"> </w:t>
      </w:r>
      <w:r>
        <w:t>Esto,</w:t>
      </w:r>
      <w:r>
        <w:rPr>
          <w:spacing w:val="-3"/>
        </w:rPr>
        <w:t xml:space="preserve"> </w:t>
      </w:r>
      <w:r>
        <w:t>a</w:t>
      </w:r>
      <w:r>
        <w:rPr>
          <w:spacing w:val="-3"/>
        </w:rPr>
        <w:t xml:space="preserve"> </w:t>
      </w:r>
      <w:r>
        <w:t>su</w:t>
      </w:r>
      <w:r>
        <w:rPr>
          <w:spacing w:val="-3"/>
        </w:rPr>
        <w:t xml:space="preserve"> </w:t>
      </w:r>
      <w:r>
        <w:t>vez,</w:t>
      </w:r>
      <w:r>
        <w:rPr>
          <w:spacing w:val="-3"/>
        </w:rPr>
        <w:t xml:space="preserve"> </w:t>
      </w:r>
      <w:r>
        <w:t>requiere</w:t>
      </w:r>
      <w:r>
        <w:rPr>
          <w:spacing w:val="-3"/>
        </w:rPr>
        <w:t xml:space="preserve"> </w:t>
      </w:r>
      <w:r>
        <w:t>un</w:t>
      </w:r>
      <w:r>
        <w:rPr>
          <w:spacing w:val="-3"/>
        </w:rPr>
        <w:t xml:space="preserve"> </w:t>
      </w:r>
      <w:r>
        <w:t>programa</w:t>
      </w:r>
      <w:r>
        <w:rPr>
          <w:spacing w:val="-3"/>
        </w:rPr>
        <w:t xml:space="preserve"> </w:t>
      </w:r>
      <w:r>
        <w:rPr>
          <w:spacing w:val="-2"/>
        </w:rPr>
        <w:t>integral</w:t>
      </w:r>
    </w:p>
    <w:p w14:paraId="47AF2CA6" w14:textId="77777777" w:rsidR="0014798C" w:rsidRDefault="004E1F0B">
      <w:pPr>
        <w:pStyle w:val="Textoindependiente"/>
        <w:spacing w:before="65" w:line="271" w:lineRule="auto"/>
        <w:ind w:left="1111" w:right="1463"/>
      </w:pPr>
      <w:r>
        <w:rPr>
          <w:noProof/>
        </w:rPr>
        <w:drawing>
          <wp:anchor distT="0" distB="0" distL="0" distR="0" simplePos="0" relativeHeight="251658342" behindDoc="0" locked="0" layoutInCell="1" allowOverlap="1" wp14:anchorId="2AC1F69C" wp14:editId="6E1E87A6">
            <wp:simplePos x="0" y="0"/>
            <wp:positionH relativeFrom="page">
              <wp:posOffset>7183616</wp:posOffset>
            </wp:positionH>
            <wp:positionV relativeFrom="paragraph">
              <wp:posOffset>178581</wp:posOffset>
            </wp:positionV>
            <wp:extent cx="372883" cy="1159285"/>
            <wp:effectExtent l="0" t="0" r="0" b="0"/>
            <wp:wrapNone/>
            <wp:docPr id="396" name="Image 39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96" name="Image 396"/>
                    <pic:cNvPicPr/>
                  </pic:nvPicPr>
                  <pic:blipFill>
                    <a:blip r:embed="rId368" cstate="print"/>
                    <a:stretch>
                      <a:fillRect/>
                    </a:stretch>
                  </pic:blipFill>
                  <pic:spPr>
                    <a:xfrm>
                      <a:off x="0" y="0"/>
                      <a:ext cx="372883" cy="1159285"/>
                    </a:xfrm>
                    <a:prstGeom prst="rect">
                      <a:avLst/>
                    </a:prstGeom>
                  </pic:spPr>
                </pic:pic>
              </a:graphicData>
            </a:graphic>
          </wp:anchor>
        </w:drawing>
      </w:r>
      <w:r>
        <w:t>de acción, requerido y respaldado por deberes y obligaciones exigibles dentro de las leyes contra la discriminación, como se detalló anteriormente.</w:t>
      </w:r>
    </w:p>
    <w:p w14:paraId="2650BF5D" w14:textId="77777777" w:rsidR="0014798C" w:rsidRDefault="0014798C">
      <w:pPr>
        <w:pStyle w:val="Textoindependiente"/>
        <w:spacing w:before="70"/>
      </w:pPr>
    </w:p>
    <w:p w14:paraId="02CA0B36" w14:textId="77777777" w:rsidR="0014798C" w:rsidRDefault="004E1F0B">
      <w:pPr>
        <w:pStyle w:val="Textoindependiente"/>
        <w:spacing w:line="326" w:lineRule="auto"/>
        <w:ind w:left="1106" w:right="992" w:firstLine="1"/>
      </w:pPr>
      <w:r>
        <w:rPr>
          <w:noProof/>
        </w:rPr>
        <mc:AlternateContent>
          <mc:Choice Requires="wps">
            <w:drawing>
              <wp:anchor distT="0" distB="0" distL="0" distR="0" simplePos="0" relativeHeight="251658343" behindDoc="0" locked="0" layoutInCell="1" allowOverlap="1" wp14:anchorId="2446E85D" wp14:editId="4F4CF168">
                <wp:simplePos x="0" y="0"/>
                <wp:positionH relativeFrom="page">
                  <wp:posOffset>7308079</wp:posOffset>
                </wp:positionH>
                <wp:positionV relativeFrom="paragraph">
                  <wp:posOffset>266057</wp:posOffset>
                </wp:positionV>
                <wp:extent cx="89535" cy="215265"/>
                <wp:effectExtent l="0" t="0" r="0" b="0"/>
                <wp:wrapNone/>
                <wp:docPr id="397" name="Textbox 39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89535" cy="215265"/>
                        </a:xfrm>
                        <a:prstGeom prst="rect">
                          <a:avLst/>
                        </a:prstGeom>
                      </wps:spPr>
                      <wps:txbx>
                        <w:txbxContent>
                          <w:p w14:paraId="324E0611" w14:textId="77777777" w:rsidR="0014798C" w:rsidRDefault="004E1F0B">
                            <w:pPr>
                              <w:spacing w:before="16"/>
                              <w:ind w:left="20"/>
                              <w:rPr>
                                <w:sz w:val="9"/>
                              </w:rPr>
                            </w:pPr>
                            <w:r>
                              <w:rPr>
                                <w:color w:val="FFFFFF"/>
                                <w:spacing w:val="-23"/>
                                <w:sz w:val="9"/>
                              </w:rPr>
                              <w:t>SPEAIRSTE</w:t>
                            </w:r>
                          </w:p>
                        </w:txbxContent>
                      </wps:txbx>
                      <wps:bodyPr vert="vert270" wrap="square" lIns="0" tIns="0" rIns="0" bIns="0" rtlCol="0">
                        <a:noAutofit/>
                      </wps:bodyPr>
                    </wps:wsp>
                  </a:graphicData>
                </a:graphic>
              </wp:anchor>
            </w:drawing>
          </mc:Choice>
          <mc:Fallback>
            <w:pict>
              <v:shape w14:anchorId="2446E85D" id="Textbox 397" o:spid="_x0000_s1192" type="#_x0000_t202" style="position:absolute;left:0;text-align:left;margin-left:575.45pt;margin-top:20.95pt;width:7.05pt;height:16.95pt;z-index:251658343;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" filled="f" stroked="f">
                <v:textbox style="layout-flow:vertical;mso-layout-flow-alt:bottom-to-top" inset="0,0,0,0">
                  <w:txbxContent>
                    <w:p w14:paraId="324E0611" w14:textId="77777777" w:rsidR="0014798C" w:rsidRDefault="004E1F0B">
                      <w:pPr>
                        <w:spacing w:before="16"/>
                        <w:ind w:left="20"/>
                        <w:rPr>
                          <w:sz w:val="9"/>
                        </w:rPr>
                      </w:pPr>
                      <w:r>
                        <w:rPr>
                          <w:color w:val="FFFFFF"/>
                          <w:spacing w:val="-23"/>
                          <w:sz w:val="9"/>
                        </w:rPr>
                        <w:t>SPEAIRSTE</w:t>
                      </w:r>
                    </w:p>
                  </w:txbxContent>
                </v:textbox>
                <w10:wrap anchorx="page"/>
              </v:shape>
            </w:pict>
          </mc:Fallback>
        </mc:AlternateContent>
      </w:r>
      <w:r>
        <w:t>Sin embargo, para que los Estados cumplan con sus obligaciones y cumplan sus compromisos de eliminar la discriminación y garantizar la igualdad de participación, sus esfuerzos deben ir más allá de la lucha contra los prejuicios, los estereotipos y el estigma. La atención debería centrarse no sólo en contrarrestar las fuerzas sociales negativas, sino también en promover activamente sociedades igualitarias, diversas e inclusivas. Se deben hacer esfuerzos para promover el entendimiento entre personas y grupos</w:t>
      </w:r>
    </w:p>
    <w:p w14:paraId="1C1CC17B" w14:textId="77777777" w:rsidR="0014798C" w:rsidRDefault="004E1F0B">
      <w:pPr>
        <w:pStyle w:val="Textoindependiente"/>
        <w:spacing w:line="271" w:lineRule="auto"/>
        <w:ind w:left="1111" w:right="1272"/>
      </w:pPr>
      <w:r>
        <w:t>con diferentes características, estatus y creencias y demostrar cómo unas economías y sociedades más igualitarias y diversas benefician a todos.</w:t>
      </w:r>
    </w:p>
    <w:p w14:paraId="16373B45" w14:textId="77777777" w:rsidR="0014798C" w:rsidRDefault="0014798C">
      <w:pPr>
        <w:pStyle w:val="Textoindependiente"/>
        <w:spacing w:before="67"/>
      </w:pPr>
    </w:p>
    <w:p w14:paraId="5FE9774B" w14:textId="77777777" w:rsidR="0014798C" w:rsidRDefault="004E1F0B">
      <w:pPr>
        <w:pStyle w:val="Textoindependiente"/>
        <w:spacing w:before="1" w:line="326" w:lineRule="auto"/>
        <w:ind w:left="1108" w:right="1463" w:hanging="1"/>
      </w:pPr>
      <w:r>
        <w:t>De hecho, esto habla de una verdad más fundamental. Inevitablemente, la presente guía se ha centrado en gran medida en las proscripciones negativas: en las obligaciones de los Estados de prohibir, prevenir y hacer cumplir. Estas medidas son absolutamente necesarias y esenciales para que los Estados cumplan con sus obligaciones de respetar, proteger y hacer realidad el derecho a la no discriminación. Sin embargo, la adopción de tales leyes no representa un fin sino un comienzo.</w:t>
      </w:r>
    </w:p>
    <w:p w14:paraId="1A925F0D" w14:textId="77777777" w:rsidR="0014798C" w:rsidRDefault="004E1F0B">
      <w:pPr>
        <w:pStyle w:val="Textoindependiente"/>
        <w:spacing w:before="168" w:line="326" w:lineRule="auto"/>
        <w:ind w:left="1111" w:right="1421" w:hanging="6"/>
        <w:jc w:val="both"/>
      </w:pPr>
      <w:r>
        <w:t>En última instancia, los Estados sólo harán realidad los derechos a la igualdad y la no discriminación adoptando leyes integrales contra la discriminación y utilizando esas leyes como plataforma o base para un esfuerzo de todo el sistema para promover una sociedad igualitaria, diversa e inclusiva.</w:t>
      </w:r>
    </w:p>
    <w:p w14:paraId="7C55314A" w14:textId="77777777" w:rsidR="0014798C" w:rsidRDefault="0014798C">
      <w:pPr>
        <w:pStyle w:val="Textoindependiente"/>
        <w:rPr>
          <w:sz w:val="18"/>
        </w:rPr>
      </w:pPr>
    </w:p>
    <w:p w14:paraId="6B50CD3B" w14:textId="77777777" w:rsidR="0014798C" w:rsidRDefault="0014798C">
      <w:pPr>
        <w:pStyle w:val="Textoindependiente"/>
        <w:rPr>
          <w:sz w:val="18"/>
        </w:rPr>
      </w:pPr>
    </w:p>
    <w:p w14:paraId="15DE3943" w14:textId="77777777" w:rsidR="0014798C" w:rsidRDefault="0014798C">
      <w:pPr>
        <w:pStyle w:val="Textoindependiente"/>
        <w:rPr>
          <w:sz w:val="18"/>
        </w:rPr>
      </w:pPr>
    </w:p>
    <w:p w14:paraId="09477751" w14:textId="77777777" w:rsidR="0014798C" w:rsidRDefault="0014798C">
      <w:pPr>
        <w:pStyle w:val="Textoindependiente"/>
        <w:rPr>
          <w:sz w:val="18"/>
        </w:rPr>
      </w:pPr>
    </w:p>
    <w:p w14:paraId="15B905D7" w14:textId="77777777" w:rsidR="0014798C" w:rsidRDefault="0014798C">
      <w:pPr>
        <w:pStyle w:val="Textoindependiente"/>
        <w:rPr>
          <w:sz w:val="18"/>
        </w:rPr>
      </w:pPr>
    </w:p>
    <w:p w14:paraId="7621D169" w14:textId="77777777" w:rsidR="0014798C" w:rsidRDefault="0014798C">
      <w:pPr>
        <w:pStyle w:val="Textoindependiente"/>
        <w:rPr>
          <w:sz w:val="18"/>
        </w:rPr>
      </w:pPr>
    </w:p>
    <w:p w14:paraId="0A6B8DDA" w14:textId="77777777" w:rsidR="0014798C" w:rsidRDefault="0014798C">
      <w:pPr>
        <w:pStyle w:val="Textoindependiente"/>
        <w:rPr>
          <w:sz w:val="18"/>
        </w:rPr>
      </w:pPr>
    </w:p>
    <w:p w14:paraId="5B2D9C77" w14:textId="77777777" w:rsidR="0014798C" w:rsidRDefault="0014798C">
      <w:pPr>
        <w:pStyle w:val="Textoindependiente"/>
        <w:spacing w:before="78"/>
        <w:rPr>
          <w:sz w:val="18"/>
        </w:rPr>
      </w:pPr>
    </w:p>
    <w:p w14:paraId="7FD86AE0" w14:textId="77777777" w:rsidR="0014798C" w:rsidRDefault="004E1F0B">
      <w:pPr>
        <w:ind w:right="727"/>
        <w:jc w:val="right"/>
        <w:rPr>
          <w:sz w:val="18"/>
        </w:rPr>
      </w:pPr>
      <w:r>
        <w:rPr>
          <w:spacing w:val="-5"/>
          <w:sz w:val="18"/>
        </w:rPr>
        <w:t>201</w:t>
      </w:r>
    </w:p>
    <w:p w14:paraId="2C8917ED" w14:textId="77777777" w:rsidR="0014798C" w:rsidRDefault="0014798C">
      <w:pPr>
        <w:jc w:val="right"/>
        <w:rPr>
          <w:sz w:val="18"/>
        </w:rPr>
        <w:sectPr w:rsidR="0014798C" w:rsidSect="00F265E4">
          <w:pgSz w:w="11900" w:h="16820"/>
          <w:pgMar w:top="340" w:right="0" w:bottom="280" w:left="200" w:header="121" w:footer="0" w:gutter="0"/>
          <w:cols w:space="720"/>
        </w:sectPr>
      </w:pPr>
    </w:p>
    <w:p w14:paraId="7C4C0D9A" w14:textId="77777777" w:rsidR="0014798C" w:rsidRDefault="0014798C">
      <w:pPr>
        <w:pStyle w:val="Textoindependiente"/>
        <w:rPr>
          <w:sz w:val="20"/>
        </w:rPr>
      </w:pPr>
    </w:p>
    <w:p w14:paraId="0CB2D325" w14:textId="77777777" w:rsidR="0014798C" w:rsidRDefault="0014798C">
      <w:pPr>
        <w:pStyle w:val="Textoindependiente"/>
        <w:rPr>
          <w:sz w:val="20"/>
        </w:rPr>
      </w:pPr>
    </w:p>
    <w:p w14:paraId="435AF235" w14:textId="77777777" w:rsidR="0014798C" w:rsidRDefault="0014798C">
      <w:pPr>
        <w:pStyle w:val="Textoindependiente"/>
        <w:rPr>
          <w:sz w:val="20"/>
        </w:rPr>
      </w:pPr>
    </w:p>
    <w:p w14:paraId="130AA4D6" w14:textId="77777777" w:rsidR="0014798C" w:rsidRDefault="0014798C">
      <w:pPr>
        <w:pStyle w:val="Textoindependiente"/>
        <w:rPr>
          <w:sz w:val="20"/>
        </w:rPr>
      </w:pPr>
    </w:p>
    <w:p w14:paraId="1A626775" w14:textId="77777777" w:rsidR="0014798C" w:rsidRDefault="0014798C">
      <w:pPr>
        <w:pStyle w:val="Textoindependiente"/>
        <w:rPr>
          <w:sz w:val="20"/>
        </w:rPr>
      </w:pPr>
    </w:p>
    <w:p w14:paraId="4C27B271" w14:textId="77777777" w:rsidR="0014798C" w:rsidRDefault="0014798C">
      <w:pPr>
        <w:pStyle w:val="Textoindependiente"/>
        <w:rPr>
          <w:sz w:val="20"/>
        </w:rPr>
      </w:pPr>
    </w:p>
    <w:p w14:paraId="29F58912" w14:textId="77777777" w:rsidR="0014798C" w:rsidRDefault="0014798C">
      <w:pPr>
        <w:pStyle w:val="Textoindependiente"/>
        <w:rPr>
          <w:sz w:val="20"/>
        </w:rPr>
      </w:pPr>
    </w:p>
    <w:p w14:paraId="4B984038" w14:textId="77777777" w:rsidR="0014798C" w:rsidRDefault="0014798C">
      <w:pPr>
        <w:pStyle w:val="Textoindependiente"/>
        <w:rPr>
          <w:sz w:val="20"/>
        </w:rPr>
      </w:pPr>
    </w:p>
    <w:p w14:paraId="2AE48587" w14:textId="77777777" w:rsidR="0014798C" w:rsidRDefault="0014798C">
      <w:pPr>
        <w:pStyle w:val="Textoindependiente"/>
        <w:rPr>
          <w:sz w:val="20"/>
        </w:rPr>
      </w:pPr>
    </w:p>
    <w:p w14:paraId="1BE35613" w14:textId="77777777" w:rsidR="0014798C" w:rsidRDefault="0014798C">
      <w:pPr>
        <w:pStyle w:val="Textoindependiente"/>
        <w:rPr>
          <w:sz w:val="20"/>
        </w:rPr>
      </w:pPr>
    </w:p>
    <w:p w14:paraId="7B69DC0F" w14:textId="77777777" w:rsidR="0014798C" w:rsidRDefault="0014798C">
      <w:pPr>
        <w:pStyle w:val="Textoindependiente"/>
        <w:rPr>
          <w:sz w:val="20"/>
        </w:rPr>
      </w:pPr>
    </w:p>
    <w:p w14:paraId="272C1E64" w14:textId="77777777" w:rsidR="0014798C" w:rsidRDefault="0014798C">
      <w:pPr>
        <w:pStyle w:val="Textoindependiente"/>
        <w:rPr>
          <w:sz w:val="20"/>
        </w:rPr>
      </w:pPr>
    </w:p>
    <w:p w14:paraId="6296AE61" w14:textId="77777777" w:rsidR="0014798C" w:rsidRDefault="0014798C">
      <w:pPr>
        <w:pStyle w:val="Textoindependiente"/>
        <w:rPr>
          <w:sz w:val="20"/>
        </w:rPr>
      </w:pPr>
    </w:p>
    <w:p w14:paraId="49ACA717" w14:textId="77777777" w:rsidR="0014798C" w:rsidRDefault="0014798C">
      <w:pPr>
        <w:pStyle w:val="Textoindependiente"/>
        <w:rPr>
          <w:sz w:val="20"/>
        </w:rPr>
      </w:pPr>
    </w:p>
    <w:p w14:paraId="7F92EDC0" w14:textId="77777777" w:rsidR="0014798C" w:rsidRDefault="0014798C">
      <w:pPr>
        <w:pStyle w:val="Textoindependiente"/>
        <w:rPr>
          <w:sz w:val="20"/>
        </w:rPr>
      </w:pPr>
    </w:p>
    <w:p w14:paraId="42B7DB22" w14:textId="77777777" w:rsidR="0014798C" w:rsidRDefault="0014798C">
      <w:pPr>
        <w:pStyle w:val="Textoindependiente"/>
        <w:rPr>
          <w:sz w:val="20"/>
        </w:rPr>
      </w:pPr>
    </w:p>
    <w:p w14:paraId="225E6EE9" w14:textId="77777777" w:rsidR="0014798C" w:rsidRDefault="0014798C">
      <w:pPr>
        <w:pStyle w:val="Textoindependiente"/>
        <w:rPr>
          <w:sz w:val="20"/>
        </w:rPr>
      </w:pPr>
    </w:p>
    <w:p w14:paraId="1BD1A608" w14:textId="77777777" w:rsidR="0014798C" w:rsidRDefault="0014798C">
      <w:pPr>
        <w:pStyle w:val="Textoindependiente"/>
        <w:rPr>
          <w:sz w:val="20"/>
        </w:rPr>
      </w:pPr>
    </w:p>
    <w:p w14:paraId="54DB3C06" w14:textId="77777777" w:rsidR="0014798C" w:rsidRDefault="0014798C">
      <w:pPr>
        <w:pStyle w:val="Textoindependiente"/>
        <w:rPr>
          <w:sz w:val="20"/>
        </w:rPr>
      </w:pPr>
    </w:p>
    <w:p w14:paraId="799A9814" w14:textId="77777777" w:rsidR="0014798C" w:rsidRDefault="0014798C">
      <w:pPr>
        <w:pStyle w:val="Textoindependiente"/>
        <w:rPr>
          <w:sz w:val="20"/>
        </w:rPr>
      </w:pPr>
    </w:p>
    <w:p w14:paraId="3AC938AB" w14:textId="77777777" w:rsidR="0014798C" w:rsidRDefault="0014798C">
      <w:pPr>
        <w:pStyle w:val="Textoindependiente"/>
        <w:rPr>
          <w:sz w:val="20"/>
        </w:rPr>
      </w:pPr>
    </w:p>
    <w:p w14:paraId="548FC645" w14:textId="77777777" w:rsidR="0014798C" w:rsidRDefault="0014798C">
      <w:pPr>
        <w:pStyle w:val="Textoindependiente"/>
        <w:rPr>
          <w:sz w:val="20"/>
        </w:rPr>
      </w:pPr>
    </w:p>
    <w:p w14:paraId="2AB63037" w14:textId="77777777" w:rsidR="0014798C" w:rsidRDefault="0014798C">
      <w:pPr>
        <w:pStyle w:val="Textoindependiente"/>
        <w:rPr>
          <w:sz w:val="20"/>
        </w:rPr>
      </w:pPr>
    </w:p>
    <w:p w14:paraId="2A647E15" w14:textId="77777777" w:rsidR="0014798C" w:rsidRDefault="0014798C">
      <w:pPr>
        <w:pStyle w:val="Textoindependiente"/>
        <w:rPr>
          <w:sz w:val="20"/>
        </w:rPr>
      </w:pPr>
    </w:p>
    <w:p w14:paraId="6C45A5C5" w14:textId="77777777" w:rsidR="0014798C" w:rsidRDefault="0014798C">
      <w:pPr>
        <w:pStyle w:val="Textoindependiente"/>
        <w:rPr>
          <w:sz w:val="20"/>
        </w:rPr>
      </w:pPr>
    </w:p>
    <w:p w14:paraId="46F574F8" w14:textId="77777777" w:rsidR="0014798C" w:rsidRDefault="0014798C">
      <w:pPr>
        <w:pStyle w:val="Textoindependiente"/>
        <w:rPr>
          <w:sz w:val="20"/>
        </w:rPr>
      </w:pPr>
    </w:p>
    <w:p w14:paraId="5195386B" w14:textId="77777777" w:rsidR="0014798C" w:rsidRDefault="0014798C">
      <w:pPr>
        <w:pStyle w:val="Textoindependiente"/>
        <w:rPr>
          <w:sz w:val="20"/>
        </w:rPr>
      </w:pPr>
    </w:p>
    <w:p w14:paraId="64A2310B" w14:textId="77777777" w:rsidR="0014798C" w:rsidRDefault="0014798C">
      <w:pPr>
        <w:pStyle w:val="Textoindependiente"/>
        <w:rPr>
          <w:sz w:val="20"/>
        </w:rPr>
      </w:pPr>
    </w:p>
    <w:p w14:paraId="3D405A79" w14:textId="77777777" w:rsidR="0014798C" w:rsidRDefault="0014798C">
      <w:pPr>
        <w:pStyle w:val="Textoindependiente"/>
        <w:rPr>
          <w:sz w:val="20"/>
        </w:rPr>
      </w:pPr>
    </w:p>
    <w:p w14:paraId="68DBA7E0" w14:textId="77777777" w:rsidR="0014798C" w:rsidRDefault="0014798C">
      <w:pPr>
        <w:pStyle w:val="Textoindependiente"/>
        <w:rPr>
          <w:sz w:val="20"/>
        </w:rPr>
      </w:pPr>
    </w:p>
    <w:p w14:paraId="4DC426FF" w14:textId="77777777" w:rsidR="0014798C" w:rsidRDefault="0014798C">
      <w:pPr>
        <w:pStyle w:val="Textoindependiente"/>
        <w:rPr>
          <w:sz w:val="20"/>
        </w:rPr>
      </w:pPr>
    </w:p>
    <w:p w14:paraId="7918F0AE" w14:textId="77777777" w:rsidR="0014798C" w:rsidRDefault="0014798C">
      <w:pPr>
        <w:pStyle w:val="Textoindependiente"/>
        <w:rPr>
          <w:sz w:val="20"/>
        </w:rPr>
      </w:pPr>
    </w:p>
    <w:p w14:paraId="4CD64091" w14:textId="77777777" w:rsidR="0014798C" w:rsidRDefault="0014798C">
      <w:pPr>
        <w:pStyle w:val="Textoindependiente"/>
        <w:rPr>
          <w:sz w:val="20"/>
        </w:rPr>
      </w:pPr>
    </w:p>
    <w:p w14:paraId="5277D02B" w14:textId="77777777" w:rsidR="0014798C" w:rsidRDefault="0014798C">
      <w:pPr>
        <w:pStyle w:val="Textoindependiente"/>
        <w:rPr>
          <w:sz w:val="20"/>
        </w:rPr>
      </w:pPr>
    </w:p>
    <w:p w14:paraId="5979E520" w14:textId="77777777" w:rsidR="0014798C" w:rsidRDefault="0014798C">
      <w:pPr>
        <w:pStyle w:val="Textoindependiente"/>
        <w:rPr>
          <w:sz w:val="20"/>
        </w:rPr>
      </w:pPr>
    </w:p>
    <w:p w14:paraId="3457DEDB" w14:textId="77777777" w:rsidR="0014798C" w:rsidRDefault="0014798C">
      <w:pPr>
        <w:pStyle w:val="Textoindependiente"/>
        <w:rPr>
          <w:sz w:val="20"/>
        </w:rPr>
      </w:pPr>
    </w:p>
    <w:p w14:paraId="2A0D566B" w14:textId="77777777" w:rsidR="0014798C" w:rsidRDefault="0014798C">
      <w:pPr>
        <w:pStyle w:val="Textoindependiente"/>
        <w:rPr>
          <w:sz w:val="20"/>
        </w:rPr>
      </w:pPr>
    </w:p>
    <w:p w14:paraId="5CB91F0F" w14:textId="77777777" w:rsidR="0014798C" w:rsidRDefault="0014798C">
      <w:pPr>
        <w:pStyle w:val="Textoindependiente"/>
        <w:rPr>
          <w:sz w:val="20"/>
        </w:rPr>
      </w:pPr>
    </w:p>
    <w:p w14:paraId="44E97AA2" w14:textId="77777777" w:rsidR="0014798C" w:rsidRDefault="0014798C">
      <w:pPr>
        <w:pStyle w:val="Textoindependiente"/>
        <w:rPr>
          <w:sz w:val="20"/>
        </w:rPr>
      </w:pPr>
    </w:p>
    <w:p w14:paraId="4C12802D" w14:textId="77777777" w:rsidR="0014798C" w:rsidRDefault="0014798C">
      <w:pPr>
        <w:pStyle w:val="Textoindependiente"/>
        <w:rPr>
          <w:sz w:val="20"/>
        </w:rPr>
      </w:pPr>
    </w:p>
    <w:p w14:paraId="7CCC2AB1" w14:textId="77777777" w:rsidR="0014798C" w:rsidRDefault="0014798C">
      <w:pPr>
        <w:pStyle w:val="Textoindependiente"/>
        <w:rPr>
          <w:sz w:val="20"/>
        </w:rPr>
      </w:pPr>
    </w:p>
    <w:p w14:paraId="3F8EBB2B" w14:textId="77777777" w:rsidR="0014798C" w:rsidRDefault="0014798C">
      <w:pPr>
        <w:pStyle w:val="Textoindependiente"/>
        <w:rPr>
          <w:sz w:val="20"/>
        </w:rPr>
      </w:pPr>
    </w:p>
    <w:p w14:paraId="61AF25A1" w14:textId="77777777" w:rsidR="0014798C" w:rsidRDefault="0014798C">
      <w:pPr>
        <w:pStyle w:val="Textoindependiente"/>
        <w:rPr>
          <w:sz w:val="20"/>
        </w:rPr>
      </w:pPr>
    </w:p>
    <w:p w14:paraId="1743767F" w14:textId="77777777" w:rsidR="0014798C" w:rsidRDefault="0014798C">
      <w:pPr>
        <w:pStyle w:val="Textoindependiente"/>
        <w:rPr>
          <w:sz w:val="20"/>
        </w:rPr>
      </w:pPr>
    </w:p>
    <w:p w14:paraId="122593EC" w14:textId="77777777" w:rsidR="0014798C" w:rsidRDefault="0014798C">
      <w:pPr>
        <w:pStyle w:val="Textoindependiente"/>
        <w:rPr>
          <w:sz w:val="20"/>
        </w:rPr>
      </w:pPr>
    </w:p>
    <w:p w14:paraId="46A87789" w14:textId="77777777" w:rsidR="0014798C" w:rsidRDefault="0014798C">
      <w:pPr>
        <w:pStyle w:val="Textoindependiente"/>
        <w:rPr>
          <w:sz w:val="20"/>
        </w:rPr>
      </w:pPr>
    </w:p>
    <w:p w14:paraId="47FEA274" w14:textId="77777777" w:rsidR="0014798C" w:rsidRDefault="0014798C">
      <w:pPr>
        <w:pStyle w:val="Textoindependiente"/>
        <w:rPr>
          <w:sz w:val="20"/>
        </w:rPr>
      </w:pPr>
    </w:p>
    <w:p w14:paraId="0EAB1442" w14:textId="77777777" w:rsidR="0014798C" w:rsidRDefault="0014798C">
      <w:pPr>
        <w:pStyle w:val="Textoindependiente"/>
        <w:rPr>
          <w:sz w:val="20"/>
        </w:rPr>
      </w:pPr>
    </w:p>
    <w:p w14:paraId="5434F2D4" w14:textId="77777777" w:rsidR="0014798C" w:rsidRDefault="0014798C">
      <w:pPr>
        <w:pStyle w:val="Textoindependiente"/>
        <w:rPr>
          <w:sz w:val="20"/>
        </w:rPr>
      </w:pPr>
    </w:p>
    <w:p w14:paraId="0E549A77" w14:textId="77777777" w:rsidR="0014798C" w:rsidRDefault="0014798C">
      <w:pPr>
        <w:pStyle w:val="Textoindependiente"/>
        <w:rPr>
          <w:sz w:val="20"/>
        </w:rPr>
      </w:pPr>
    </w:p>
    <w:p w14:paraId="5EB68CD6" w14:textId="77777777" w:rsidR="0014798C" w:rsidRDefault="0014798C">
      <w:pPr>
        <w:pStyle w:val="Textoindependiente"/>
        <w:rPr>
          <w:sz w:val="20"/>
        </w:rPr>
      </w:pPr>
    </w:p>
    <w:p w14:paraId="1C45E422" w14:textId="77777777" w:rsidR="0014798C" w:rsidRDefault="0014798C">
      <w:pPr>
        <w:pStyle w:val="Textoindependiente"/>
        <w:rPr>
          <w:sz w:val="20"/>
        </w:rPr>
      </w:pPr>
    </w:p>
    <w:p w14:paraId="404D9F87" w14:textId="77777777" w:rsidR="0014798C" w:rsidRDefault="0014798C">
      <w:pPr>
        <w:pStyle w:val="Textoindependiente"/>
        <w:rPr>
          <w:sz w:val="20"/>
        </w:rPr>
      </w:pPr>
    </w:p>
    <w:p w14:paraId="7CEDDA34" w14:textId="77777777" w:rsidR="0014798C" w:rsidRDefault="0014798C">
      <w:pPr>
        <w:pStyle w:val="Textoindependiente"/>
        <w:rPr>
          <w:sz w:val="20"/>
        </w:rPr>
      </w:pPr>
    </w:p>
    <w:p w14:paraId="4BD8E6C4" w14:textId="77777777" w:rsidR="0014798C" w:rsidRDefault="0014798C">
      <w:pPr>
        <w:pStyle w:val="Textoindependiente"/>
        <w:rPr>
          <w:sz w:val="20"/>
        </w:rPr>
      </w:pPr>
    </w:p>
    <w:p w14:paraId="5B19BA01" w14:textId="77777777" w:rsidR="0014798C" w:rsidRDefault="0014798C">
      <w:pPr>
        <w:pStyle w:val="Textoindependiente"/>
        <w:rPr>
          <w:sz w:val="20"/>
        </w:rPr>
      </w:pPr>
    </w:p>
    <w:p w14:paraId="0501992D" w14:textId="77777777" w:rsidR="0014798C" w:rsidRDefault="0014798C">
      <w:pPr>
        <w:pStyle w:val="Textoindependiente"/>
        <w:rPr>
          <w:sz w:val="20"/>
        </w:rPr>
      </w:pPr>
    </w:p>
    <w:p w14:paraId="295DFA89" w14:textId="77777777" w:rsidR="0014798C" w:rsidRDefault="0014798C">
      <w:pPr>
        <w:pStyle w:val="Textoindependiente"/>
        <w:spacing w:before="123"/>
        <w:rPr>
          <w:sz w:val="20"/>
        </w:rPr>
      </w:pPr>
    </w:p>
    <w:p w14:paraId="15613389" w14:textId="77777777" w:rsidR="0014798C" w:rsidRDefault="0014798C">
      <w:pPr>
        <w:rPr>
          <w:sz w:val="20"/>
        </w:rPr>
        <w:sectPr w:rsidR="0014798C" w:rsidSect="00F265E4">
          <w:headerReference w:type="default" r:id="rId369"/>
          <w:pgSz w:w="11900" w:h="16820"/>
          <w:pgMar w:top="40" w:right="0" w:bottom="280" w:left="200" w:header="0" w:footer="0" w:gutter="0"/>
          <w:cols w:space="720"/>
        </w:sectPr>
      </w:pPr>
    </w:p>
    <w:p w14:paraId="4D02D979" w14:textId="77777777" w:rsidR="0014798C" w:rsidRDefault="004E1F0B">
      <w:pPr>
        <w:spacing w:before="100"/>
        <w:ind w:left="511"/>
        <w:rPr>
          <w:sz w:val="13"/>
        </w:rPr>
      </w:pPr>
      <w:r>
        <w:rPr>
          <w:color w:val="0075BF"/>
          <w:spacing w:val="-2"/>
          <w:w w:val="105"/>
          <w:sz w:val="13"/>
        </w:rPr>
        <w:t>Oficina</w:t>
      </w:r>
      <w:r>
        <w:rPr>
          <w:color w:val="0075BF"/>
          <w:spacing w:val="-3"/>
          <w:w w:val="105"/>
          <w:sz w:val="13"/>
        </w:rPr>
        <w:t xml:space="preserve"> </w:t>
      </w:r>
      <w:r>
        <w:rPr>
          <w:color w:val="0075BF"/>
          <w:spacing w:val="-2"/>
          <w:w w:val="105"/>
          <w:sz w:val="13"/>
        </w:rPr>
        <w:t>del</w:t>
      </w:r>
      <w:r>
        <w:rPr>
          <w:color w:val="0075BF"/>
          <w:spacing w:val="-1"/>
          <w:w w:val="105"/>
          <w:sz w:val="13"/>
        </w:rPr>
        <w:t xml:space="preserve"> </w:t>
      </w:r>
      <w:r>
        <w:rPr>
          <w:color w:val="0075BF"/>
          <w:spacing w:val="-2"/>
          <w:w w:val="105"/>
          <w:sz w:val="13"/>
        </w:rPr>
        <w:t>Alto Comisionado</w:t>
      </w:r>
      <w:r>
        <w:rPr>
          <w:color w:val="0075BF"/>
          <w:spacing w:val="-1"/>
          <w:w w:val="105"/>
          <w:sz w:val="13"/>
        </w:rPr>
        <w:t xml:space="preserve"> </w:t>
      </w:r>
      <w:r>
        <w:rPr>
          <w:color w:val="0075BF"/>
          <w:spacing w:val="-2"/>
          <w:w w:val="105"/>
          <w:sz w:val="13"/>
        </w:rPr>
        <w:t xml:space="preserve">de </w:t>
      </w:r>
      <w:r>
        <w:rPr>
          <w:color w:val="0075BF"/>
          <w:spacing w:val="-5"/>
          <w:w w:val="105"/>
          <w:sz w:val="13"/>
        </w:rPr>
        <w:t>las</w:t>
      </w:r>
    </w:p>
    <w:p w14:paraId="015DD479" w14:textId="77777777" w:rsidR="0014798C" w:rsidRDefault="004E1F0B">
      <w:pPr>
        <w:spacing w:before="134" w:line="319" w:lineRule="auto"/>
        <w:ind w:left="522" w:hanging="4"/>
        <w:rPr>
          <w:sz w:val="13"/>
        </w:rPr>
      </w:pPr>
      <w:r>
        <w:rPr>
          <w:color w:val="0075BF"/>
          <w:spacing w:val="-2"/>
          <w:w w:val="105"/>
          <w:sz w:val="13"/>
        </w:rPr>
        <w:t>Naciones</w:t>
      </w:r>
      <w:r>
        <w:rPr>
          <w:color w:val="0075BF"/>
          <w:spacing w:val="-3"/>
          <w:w w:val="105"/>
          <w:sz w:val="13"/>
        </w:rPr>
        <w:t xml:space="preserve"> </w:t>
      </w:r>
      <w:r>
        <w:rPr>
          <w:color w:val="0075BF"/>
          <w:spacing w:val="-2"/>
          <w:w w:val="105"/>
          <w:sz w:val="13"/>
        </w:rPr>
        <w:t>Unidas</w:t>
      </w:r>
      <w:r>
        <w:rPr>
          <w:color w:val="0075BF"/>
          <w:spacing w:val="-3"/>
          <w:w w:val="105"/>
          <w:sz w:val="13"/>
        </w:rPr>
        <w:t xml:space="preserve"> </w:t>
      </w:r>
      <w:r>
        <w:rPr>
          <w:color w:val="0075BF"/>
          <w:spacing w:val="-2"/>
          <w:w w:val="105"/>
          <w:sz w:val="13"/>
        </w:rPr>
        <w:t>para los</w:t>
      </w:r>
      <w:r>
        <w:rPr>
          <w:color w:val="0075BF"/>
          <w:spacing w:val="-3"/>
          <w:w w:val="105"/>
          <w:sz w:val="13"/>
        </w:rPr>
        <w:t xml:space="preserve"> </w:t>
      </w:r>
      <w:r>
        <w:rPr>
          <w:color w:val="0075BF"/>
          <w:spacing w:val="-2"/>
          <w:w w:val="105"/>
          <w:sz w:val="13"/>
        </w:rPr>
        <w:t>Derechos</w:t>
      </w:r>
      <w:r>
        <w:rPr>
          <w:color w:val="0075BF"/>
          <w:spacing w:val="-3"/>
          <w:w w:val="105"/>
          <w:sz w:val="13"/>
        </w:rPr>
        <w:t xml:space="preserve"> </w:t>
      </w:r>
      <w:r>
        <w:rPr>
          <w:color w:val="0075BF"/>
          <w:spacing w:val="-2"/>
          <w:w w:val="105"/>
          <w:sz w:val="13"/>
        </w:rPr>
        <w:t>Humanos</w:t>
      </w:r>
      <w:r>
        <w:rPr>
          <w:color w:val="0075BF"/>
          <w:spacing w:val="-3"/>
          <w:w w:val="105"/>
          <w:sz w:val="13"/>
        </w:rPr>
        <w:t xml:space="preserve"> </w:t>
      </w:r>
      <w:r>
        <w:rPr>
          <w:color w:val="0075BF"/>
          <w:spacing w:val="-2"/>
          <w:w w:val="105"/>
          <w:sz w:val="13"/>
        </w:rPr>
        <w:t>(ACNUDH)</w:t>
      </w:r>
      <w:r>
        <w:rPr>
          <w:color w:val="0075BF"/>
          <w:spacing w:val="40"/>
          <w:w w:val="105"/>
          <w:sz w:val="13"/>
        </w:rPr>
        <w:t xml:space="preserve"> </w:t>
      </w:r>
      <w:r>
        <w:rPr>
          <w:color w:val="0075BF"/>
          <w:w w:val="105"/>
          <w:sz w:val="13"/>
        </w:rPr>
        <w:t>Palacio de las Naciones</w:t>
      </w:r>
    </w:p>
    <w:p w14:paraId="07ACCD73" w14:textId="77777777" w:rsidR="0014798C" w:rsidRDefault="004E1F0B">
      <w:pPr>
        <w:spacing w:before="65"/>
        <w:ind w:left="514"/>
        <w:rPr>
          <w:sz w:val="13"/>
        </w:rPr>
      </w:pPr>
      <w:r>
        <w:rPr>
          <w:color w:val="0075BF"/>
          <w:spacing w:val="-2"/>
          <w:w w:val="105"/>
          <w:sz w:val="13"/>
        </w:rPr>
        <w:t>CH 1211</w:t>
      </w:r>
      <w:r>
        <w:rPr>
          <w:color w:val="0075BF"/>
          <w:spacing w:val="-1"/>
          <w:w w:val="105"/>
          <w:sz w:val="13"/>
        </w:rPr>
        <w:t xml:space="preserve"> </w:t>
      </w:r>
      <w:r>
        <w:rPr>
          <w:color w:val="0075BF"/>
          <w:spacing w:val="-2"/>
          <w:w w:val="105"/>
          <w:sz w:val="13"/>
        </w:rPr>
        <w:t>Ginebra</w:t>
      </w:r>
      <w:r>
        <w:rPr>
          <w:color w:val="0075BF"/>
          <w:spacing w:val="-3"/>
          <w:w w:val="105"/>
          <w:sz w:val="13"/>
        </w:rPr>
        <w:t xml:space="preserve"> </w:t>
      </w:r>
      <w:r>
        <w:rPr>
          <w:color w:val="0075BF"/>
          <w:spacing w:val="-2"/>
          <w:w w:val="105"/>
          <w:sz w:val="13"/>
        </w:rPr>
        <w:t>10,</w:t>
      </w:r>
      <w:r>
        <w:rPr>
          <w:color w:val="0075BF"/>
          <w:spacing w:val="-1"/>
          <w:w w:val="105"/>
          <w:sz w:val="13"/>
        </w:rPr>
        <w:t xml:space="preserve"> </w:t>
      </w:r>
      <w:r>
        <w:rPr>
          <w:color w:val="0075BF"/>
          <w:spacing w:val="-2"/>
          <w:w w:val="105"/>
          <w:sz w:val="13"/>
        </w:rPr>
        <w:t>Suiza</w:t>
      </w:r>
    </w:p>
    <w:p w14:paraId="0B525DB1" w14:textId="77777777" w:rsidR="0014798C" w:rsidRDefault="004E1F0B">
      <w:pPr>
        <w:spacing w:before="116"/>
        <w:ind w:left="522"/>
        <w:rPr>
          <w:sz w:val="12"/>
        </w:rPr>
      </w:pPr>
      <w:r>
        <w:rPr>
          <w:color w:val="0075BF"/>
          <w:spacing w:val="-2"/>
          <w:sz w:val="12"/>
        </w:rPr>
        <w:t>Correo</w:t>
      </w:r>
      <w:r>
        <w:rPr>
          <w:color w:val="0075BF"/>
          <w:spacing w:val="-1"/>
          <w:sz w:val="12"/>
        </w:rPr>
        <w:t xml:space="preserve"> </w:t>
      </w:r>
      <w:r>
        <w:rPr>
          <w:color w:val="0075BF"/>
          <w:spacing w:val="-2"/>
          <w:sz w:val="12"/>
        </w:rPr>
        <w:t>electrónico:</w:t>
      </w:r>
      <w:r>
        <w:rPr>
          <w:color w:val="0075BF"/>
          <w:spacing w:val="1"/>
          <w:sz w:val="12"/>
        </w:rPr>
        <w:t xml:space="preserve"> </w:t>
      </w:r>
      <w:hyperlink r:id="rId370">
        <w:r>
          <w:rPr>
            <w:color w:val="0075BF"/>
            <w:spacing w:val="-2"/>
            <w:sz w:val="12"/>
          </w:rPr>
          <w:t>ohchr-infodesk@un.org</w:t>
        </w:r>
      </w:hyperlink>
    </w:p>
    <w:p w14:paraId="71E11505" w14:textId="77777777" w:rsidR="0014798C" w:rsidRPr="00537489" w:rsidRDefault="004E1F0B">
      <w:pPr>
        <w:spacing w:before="92"/>
        <w:ind w:left="510"/>
        <w:rPr>
          <w:sz w:val="13"/>
          <w:lang w:val="en-US"/>
        </w:rPr>
      </w:pPr>
      <w:r w:rsidRPr="00537489">
        <w:rPr>
          <w:color w:val="0075BF"/>
          <w:spacing w:val="-2"/>
          <w:w w:val="105"/>
          <w:sz w:val="13"/>
          <w:lang w:val="en-US"/>
        </w:rPr>
        <w:t>Sitio web:</w:t>
      </w:r>
      <w:r w:rsidRPr="00537489">
        <w:rPr>
          <w:color w:val="0075BF"/>
          <w:spacing w:val="-1"/>
          <w:w w:val="105"/>
          <w:sz w:val="13"/>
          <w:lang w:val="en-US"/>
        </w:rPr>
        <w:t xml:space="preserve"> </w:t>
      </w:r>
      <w:hyperlink r:id="rId371">
        <w:r w:rsidRPr="00537489">
          <w:rPr>
            <w:color w:val="0075BF"/>
            <w:spacing w:val="-2"/>
            <w:w w:val="105"/>
            <w:sz w:val="13"/>
            <w:lang w:val="en-US"/>
          </w:rPr>
          <w:t>www.ohchr.org</w:t>
        </w:r>
      </w:hyperlink>
    </w:p>
    <w:p w14:paraId="62F04E79" w14:textId="77777777" w:rsidR="0014798C" w:rsidRPr="00537489" w:rsidRDefault="004E1F0B">
      <w:pPr>
        <w:pStyle w:val="Textoindependiente"/>
        <w:spacing w:before="115"/>
        <w:ind w:left="518"/>
        <w:rPr>
          <w:lang w:val="en-US"/>
        </w:rPr>
      </w:pPr>
      <w:r w:rsidRPr="00537489">
        <w:rPr>
          <w:lang w:val="en-US"/>
        </w:rPr>
        <w:br w:type="column"/>
      </w:r>
      <w:r w:rsidRPr="00537489">
        <w:rPr>
          <w:color w:val="005467"/>
          <w:lang w:val="en-US"/>
        </w:rPr>
        <w:t>Equal</w:t>
      </w:r>
      <w:r w:rsidRPr="00537489">
        <w:rPr>
          <w:color w:val="005467"/>
          <w:spacing w:val="-8"/>
          <w:lang w:val="en-US"/>
        </w:rPr>
        <w:t xml:space="preserve"> </w:t>
      </w:r>
      <w:r w:rsidRPr="00537489">
        <w:rPr>
          <w:color w:val="005467"/>
          <w:lang w:val="en-US"/>
        </w:rPr>
        <w:t>Rights</w:t>
      </w:r>
      <w:r w:rsidRPr="00537489">
        <w:rPr>
          <w:color w:val="005467"/>
          <w:spacing w:val="-7"/>
          <w:lang w:val="en-US"/>
        </w:rPr>
        <w:t xml:space="preserve"> </w:t>
      </w:r>
      <w:r w:rsidRPr="00537489">
        <w:rPr>
          <w:color w:val="005467"/>
          <w:spacing w:val="-2"/>
          <w:lang w:val="en-US"/>
        </w:rPr>
        <w:t>Trust</w:t>
      </w:r>
    </w:p>
    <w:p w14:paraId="37FF5E89" w14:textId="77777777" w:rsidR="0014798C" w:rsidRPr="00537489" w:rsidRDefault="004E1F0B">
      <w:pPr>
        <w:pStyle w:val="Textoindependiente"/>
        <w:spacing w:before="11"/>
        <w:ind w:left="515"/>
        <w:rPr>
          <w:lang w:val="en-US"/>
        </w:rPr>
      </w:pPr>
      <w:r w:rsidRPr="00537489">
        <w:rPr>
          <w:color w:val="005467"/>
          <w:lang w:val="en-US"/>
        </w:rPr>
        <w:t>Second</w:t>
      </w:r>
      <w:r w:rsidRPr="00537489">
        <w:rPr>
          <w:color w:val="005467"/>
          <w:spacing w:val="-11"/>
          <w:lang w:val="en-US"/>
        </w:rPr>
        <w:t xml:space="preserve"> </w:t>
      </w:r>
      <w:r w:rsidRPr="00537489">
        <w:rPr>
          <w:color w:val="005467"/>
          <w:lang w:val="en-US"/>
        </w:rPr>
        <w:t>Home</w:t>
      </w:r>
      <w:r w:rsidRPr="00537489">
        <w:rPr>
          <w:color w:val="005467"/>
          <w:spacing w:val="-10"/>
          <w:lang w:val="en-US"/>
        </w:rPr>
        <w:t xml:space="preserve"> </w:t>
      </w:r>
      <w:r w:rsidRPr="00537489">
        <w:rPr>
          <w:color w:val="005467"/>
          <w:lang w:val="en-US"/>
        </w:rPr>
        <w:t>London</w:t>
      </w:r>
      <w:r w:rsidRPr="00537489">
        <w:rPr>
          <w:color w:val="005467"/>
          <w:spacing w:val="-11"/>
          <w:lang w:val="en-US"/>
        </w:rPr>
        <w:t xml:space="preserve"> </w:t>
      </w:r>
      <w:r w:rsidRPr="00537489">
        <w:rPr>
          <w:color w:val="005467"/>
          <w:spacing w:val="-2"/>
          <w:lang w:val="en-US"/>
        </w:rPr>
        <w:t>Fields</w:t>
      </w:r>
    </w:p>
    <w:p w14:paraId="5ADA7ACB" w14:textId="77777777" w:rsidR="0014798C" w:rsidRPr="00537489" w:rsidRDefault="004E1F0B">
      <w:pPr>
        <w:spacing w:before="87"/>
        <w:ind w:left="536"/>
        <w:rPr>
          <w:sz w:val="13"/>
          <w:lang w:val="en-US"/>
        </w:rPr>
      </w:pPr>
      <w:r w:rsidRPr="00537489">
        <w:rPr>
          <w:color w:val="005467"/>
          <w:sz w:val="13"/>
          <w:lang w:val="en-US"/>
        </w:rPr>
        <w:t>Calle</w:t>
      </w:r>
      <w:r w:rsidRPr="00537489">
        <w:rPr>
          <w:color w:val="005467"/>
          <w:spacing w:val="8"/>
          <w:sz w:val="13"/>
          <w:lang w:val="en-US"/>
        </w:rPr>
        <w:t xml:space="preserve"> </w:t>
      </w:r>
      <w:r w:rsidRPr="00537489">
        <w:rPr>
          <w:color w:val="005467"/>
          <w:sz w:val="13"/>
          <w:lang w:val="en-US"/>
        </w:rPr>
        <w:t>Mare</w:t>
      </w:r>
      <w:r w:rsidRPr="00537489">
        <w:rPr>
          <w:color w:val="005467"/>
          <w:spacing w:val="8"/>
          <w:sz w:val="13"/>
          <w:lang w:val="en-US"/>
        </w:rPr>
        <w:t xml:space="preserve"> </w:t>
      </w:r>
      <w:r w:rsidRPr="00537489">
        <w:rPr>
          <w:color w:val="005467"/>
          <w:sz w:val="13"/>
          <w:lang w:val="en-US"/>
        </w:rPr>
        <w:t>125-</w:t>
      </w:r>
      <w:r w:rsidRPr="00537489">
        <w:rPr>
          <w:color w:val="005467"/>
          <w:spacing w:val="-5"/>
          <w:sz w:val="13"/>
          <w:lang w:val="en-US"/>
        </w:rPr>
        <w:t>127</w:t>
      </w:r>
    </w:p>
    <w:p w14:paraId="0AA5B376" w14:textId="77777777" w:rsidR="0014798C" w:rsidRDefault="004E1F0B">
      <w:pPr>
        <w:spacing w:before="132"/>
        <w:ind w:left="522"/>
        <w:rPr>
          <w:sz w:val="13"/>
        </w:rPr>
      </w:pPr>
      <w:r>
        <w:rPr>
          <w:color w:val="005467"/>
          <w:w w:val="105"/>
          <w:sz w:val="13"/>
        </w:rPr>
        <w:t>Londres</w:t>
      </w:r>
      <w:r>
        <w:rPr>
          <w:color w:val="005467"/>
          <w:spacing w:val="-10"/>
          <w:w w:val="105"/>
          <w:sz w:val="13"/>
        </w:rPr>
        <w:t xml:space="preserve"> </w:t>
      </w:r>
      <w:r>
        <w:rPr>
          <w:color w:val="005467"/>
          <w:w w:val="105"/>
          <w:sz w:val="13"/>
        </w:rPr>
        <w:t>E8</w:t>
      </w:r>
      <w:r>
        <w:rPr>
          <w:color w:val="005467"/>
          <w:spacing w:val="-9"/>
          <w:w w:val="105"/>
          <w:sz w:val="13"/>
        </w:rPr>
        <w:t xml:space="preserve"> </w:t>
      </w:r>
      <w:r>
        <w:rPr>
          <w:color w:val="005467"/>
          <w:w w:val="105"/>
          <w:sz w:val="13"/>
        </w:rPr>
        <w:t>3SJ,</w:t>
      </w:r>
      <w:r>
        <w:rPr>
          <w:color w:val="005467"/>
          <w:spacing w:val="-10"/>
          <w:w w:val="105"/>
          <w:sz w:val="13"/>
        </w:rPr>
        <w:t xml:space="preserve"> </w:t>
      </w:r>
      <w:r>
        <w:rPr>
          <w:color w:val="005467"/>
          <w:w w:val="105"/>
          <w:sz w:val="13"/>
        </w:rPr>
        <w:t>Reino</w:t>
      </w:r>
      <w:r>
        <w:rPr>
          <w:color w:val="005467"/>
          <w:spacing w:val="-9"/>
          <w:w w:val="105"/>
          <w:sz w:val="13"/>
        </w:rPr>
        <w:t xml:space="preserve"> </w:t>
      </w:r>
      <w:r>
        <w:rPr>
          <w:color w:val="005467"/>
          <w:spacing w:val="-2"/>
          <w:w w:val="105"/>
          <w:sz w:val="13"/>
        </w:rPr>
        <w:t>Unido</w:t>
      </w:r>
    </w:p>
    <w:p w14:paraId="11E2770F" w14:textId="77777777" w:rsidR="0014798C" w:rsidRDefault="004E1F0B">
      <w:pPr>
        <w:spacing w:before="100"/>
        <w:ind w:left="522"/>
        <w:rPr>
          <w:sz w:val="12"/>
        </w:rPr>
      </w:pPr>
      <w:r>
        <w:rPr>
          <w:color w:val="005467"/>
          <w:sz w:val="12"/>
        </w:rPr>
        <w:t>Correo</w:t>
      </w:r>
      <w:r>
        <w:rPr>
          <w:color w:val="005467"/>
          <w:spacing w:val="-4"/>
          <w:sz w:val="12"/>
        </w:rPr>
        <w:t xml:space="preserve"> </w:t>
      </w:r>
      <w:r>
        <w:rPr>
          <w:color w:val="005467"/>
          <w:sz w:val="12"/>
        </w:rPr>
        <w:t>electrónico:</w:t>
      </w:r>
      <w:r>
        <w:rPr>
          <w:color w:val="005467"/>
          <w:spacing w:val="-2"/>
          <w:sz w:val="12"/>
        </w:rPr>
        <w:t xml:space="preserve"> </w:t>
      </w:r>
      <w:hyperlink r:id="rId372">
        <w:r>
          <w:rPr>
            <w:color w:val="005467"/>
            <w:spacing w:val="-2"/>
            <w:sz w:val="12"/>
          </w:rPr>
          <w:t>info@equalrightstrust.org</w:t>
        </w:r>
      </w:hyperlink>
    </w:p>
    <w:p w14:paraId="37FE2EFA" w14:textId="77777777" w:rsidR="0014798C" w:rsidRPr="00537489" w:rsidRDefault="004E1F0B">
      <w:pPr>
        <w:spacing w:before="92"/>
        <w:ind w:left="510"/>
        <w:rPr>
          <w:sz w:val="13"/>
          <w:lang w:val="en-US"/>
        </w:rPr>
      </w:pPr>
      <w:r w:rsidRPr="00537489">
        <w:rPr>
          <w:color w:val="005467"/>
          <w:spacing w:val="-2"/>
          <w:w w:val="105"/>
          <w:sz w:val="13"/>
          <w:lang w:val="en-US"/>
        </w:rPr>
        <w:t>Sitio web:</w:t>
      </w:r>
      <w:r w:rsidRPr="00537489">
        <w:rPr>
          <w:color w:val="005467"/>
          <w:spacing w:val="-1"/>
          <w:w w:val="105"/>
          <w:sz w:val="13"/>
          <w:lang w:val="en-US"/>
        </w:rPr>
        <w:t xml:space="preserve"> </w:t>
      </w:r>
      <w:hyperlink r:id="rId373">
        <w:r w:rsidRPr="00537489">
          <w:rPr>
            <w:color w:val="005467"/>
            <w:spacing w:val="-2"/>
            <w:w w:val="105"/>
            <w:sz w:val="13"/>
            <w:lang w:val="en-US"/>
          </w:rPr>
          <w:t>www.equalrightstrust.org</w:t>
        </w:r>
      </w:hyperlink>
    </w:p>
    <w:p w14:paraId="2D5CECF6" w14:textId="77777777" w:rsidR="0014798C" w:rsidRPr="00537489" w:rsidRDefault="004E1F0B">
      <w:pPr>
        <w:spacing w:before="179"/>
        <w:rPr>
          <w:sz w:val="18"/>
          <w:lang w:val="en-US"/>
        </w:rPr>
      </w:pPr>
      <w:r w:rsidRPr="00537489">
        <w:rPr>
          <w:lang w:val="en-US"/>
        </w:rPr>
        <w:br w:type="column"/>
      </w:r>
    </w:p>
    <w:p w14:paraId="60FB5F6C" w14:textId="77777777" w:rsidR="0014798C" w:rsidRPr="00537489" w:rsidRDefault="004E1F0B">
      <w:pPr>
        <w:ind w:left="510"/>
        <w:rPr>
          <w:sz w:val="18"/>
          <w:lang w:val="en-US"/>
        </w:rPr>
      </w:pPr>
      <w:r w:rsidRPr="00537489">
        <w:rPr>
          <w:spacing w:val="-2"/>
          <w:sz w:val="18"/>
          <w:lang w:val="en-US"/>
        </w:rPr>
        <w:t>ISBN</w:t>
      </w:r>
      <w:r w:rsidRPr="00537489">
        <w:rPr>
          <w:spacing w:val="20"/>
          <w:sz w:val="18"/>
          <w:lang w:val="en-US"/>
        </w:rPr>
        <w:t xml:space="preserve"> </w:t>
      </w:r>
      <w:r w:rsidRPr="00537489">
        <w:rPr>
          <w:spacing w:val="-2"/>
          <w:sz w:val="18"/>
          <w:lang w:val="en-US"/>
        </w:rPr>
        <w:t>978-92-1-154243-</w:t>
      </w:r>
      <w:r w:rsidRPr="00537489">
        <w:rPr>
          <w:spacing w:val="-10"/>
          <w:sz w:val="18"/>
          <w:lang w:val="en-US"/>
        </w:rPr>
        <w:t>1</w:t>
      </w:r>
    </w:p>
    <w:p w14:paraId="2688AC12" w14:textId="77777777" w:rsidR="0014798C" w:rsidRPr="00537489" w:rsidRDefault="0014798C">
      <w:pPr>
        <w:rPr>
          <w:sz w:val="18"/>
          <w:lang w:val="en-US"/>
        </w:rPr>
        <w:sectPr w:rsidR="0014798C" w:rsidRPr="00537489" w:rsidSect="00F265E4">
          <w:type w:val="continuous"/>
          <w:pgSz w:w="11900" w:h="16820"/>
          <w:pgMar w:top="40" w:right="0" w:bottom="280" w:left="200" w:header="0" w:footer="0" w:gutter="0"/>
          <w:cols w:num="3" w:space="720" w:equalWidth="0">
            <w:col w:w="4008" w:space="75"/>
            <w:col w:w="2976" w:space="1405"/>
            <w:col w:w="3236"/>
          </w:cols>
        </w:sectPr>
      </w:pPr>
    </w:p>
    <w:p w14:paraId="643DEF5A" w14:textId="77777777" w:rsidR="0014798C" w:rsidRPr="00537489" w:rsidRDefault="004E1F0B">
      <w:pPr>
        <w:pStyle w:val="Textoindependiente"/>
        <w:rPr>
          <w:sz w:val="12"/>
          <w:lang w:val="en-US"/>
        </w:rPr>
      </w:pPr>
      <w:r>
        <w:rPr>
          <w:noProof/>
        </w:rPr>
        <w:drawing>
          <wp:anchor distT="0" distB="0" distL="0" distR="0" simplePos="0" relativeHeight="251658501" behindDoc="1" locked="0" layoutInCell="1" allowOverlap="1" wp14:anchorId="55D5F068" wp14:editId="0B74A684">
            <wp:simplePos x="0" y="0"/>
            <wp:positionH relativeFrom="page">
              <wp:posOffset>0</wp:posOffset>
            </wp:positionH>
            <wp:positionV relativeFrom="page">
              <wp:posOffset>0</wp:posOffset>
            </wp:positionV>
            <wp:extent cx="7556500" cy="10680700"/>
            <wp:effectExtent l="0" t="0" r="0" b="0"/>
            <wp:wrapNone/>
            <wp:docPr id="398" name="Image 39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98" name="Image 398"/>
                    <pic:cNvPicPr/>
                  </pic:nvPicPr>
                  <pic:blipFill>
                    <a:blip r:embed="rId374" cstate="print"/>
                    <a:stretch>
                      <a:fillRect/>
                    </a:stretch>
                  </pic:blipFill>
                  <pic:spPr>
                    <a:xfrm>
                      <a:off x="0" y="0"/>
                      <a:ext cx="7556500" cy="10680700"/>
                    </a:xfrm>
                    <a:prstGeom prst="rect">
                      <a:avLst/>
                    </a:prstGeom>
                  </pic:spPr>
                </pic:pic>
              </a:graphicData>
            </a:graphic>
          </wp:anchor>
        </w:drawing>
      </w:r>
    </w:p>
    <w:p w14:paraId="37142E1B" w14:textId="77777777" w:rsidR="0014798C" w:rsidRPr="00537489" w:rsidRDefault="0014798C">
      <w:pPr>
        <w:pStyle w:val="Textoindependiente"/>
        <w:rPr>
          <w:sz w:val="12"/>
          <w:lang w:val="en-US"/>
        </w:rPr>
      </w:pPr>
    </w:p>
    <w:p w14:paraId="1C39968E" w14:textId="77777777" w:rsidR="0014798C" w:rsidRPr="00537489" w:rsidRDefault="0014798C">
      <w:pPr>
        <w:pStyle w:val="Textoindependiente"/>
        <w:rPr>
          <w:sz w:val="12"/>
          <w:lang w:val="en-US"/>
        </w:rPr>
      </w:pPr>
    </w:p>
    <w:p w14:paraId="685189C5" w14:textId="77777777" w:rsidR="0014798C" w:rsidRPr="00537489" w:rsidRDefault="0014798C">
      <w:pPr>
        <w:pStyle w:val="Textoindependiente"/>
        <w:rPr>
          <w:sz w:val="12"/>
          <w:lang w:val="en-US"/>
        </w:rPr>
      </w:pPr>
    </w:p>
    <w:p w14:paraId="1B1F2FA6" w14:textId="77777777" w:rsidR="0014798C" w:rsidRPr="00537489" w:rsidRDefault="0014798C">
      <w:pPr>
        <w:pStyle w:val="Textoindependiente"/>
        <w:spacing w:before="45"/>
        <w:rPr>
          <w:sz w:val="12"/>
          <w:lang w:val="en-US"/>
        </w:rPr>
      </w:pPr>
    </w:p>
    <w:p w14:paraId="1673A80F" w14:textId="77777777" w:rsidR="0014798C" w:rsidRDefault="004E1F0B">
      <w:pPr>
        <w:ind w:left="518"/>
        <w:rPr>
          <w:sz w:val="12"/>
        </w:rPr>
      </w:pPr>
      <w:r>
        <w:rPr>
          <w:w w:val="105"/>
          <w:sz w:val="12"/>
        </w:rPr>
        <w:t>Diseñado</w:t>
      </w:r>
      <w:r>
        <w:rPr>
          <w:spacing w:val="-4"/>
          <w:w w:val="105"/>
          <w:sz w:val="12"/>
        </w:rPr>
        <w:t xml:space="preserve"> </w:t>
      </w:r>
      <w:r>
        <w:rPr>
          <w:w w:val="105"/>
          <w:sz w:val="12"/>
        </w:rPr>
        <w:t>e</w:t>
      </w:r>
      <w:r>
        <w:rPr>
          <w:spacing w:val="-3"/>
          <w:w w:val="105"/>
          <w:sz w:val="12"/>
        </w:rPr>
        <w:t xml:space="preserve"> </w:t>
      </w:r>
      <w:r>
        <w:rPr>
          <w:w w:val="105"/>
          <w:sz w:val="12"/>
        </w:rPr>
        <w:t>impreso</w:t>
      </w:r>
      <w:r>
        <w:rPr>
          <w:spacing w:val="-3"/>
          <w:w w:val="105"/>
          <w:sz w:val="12"/>
        </w:rPr>
        <w:t xml:space="preserve"> </w:t>
      </w:r>
      <w:r>
        <w:rPr>
          <w:w w:val="105"/>
          <w:sz w:val="12"/>
        </w:rPr>
        <w:t>en</w:t>
      </w:r>
      <w:r>
        <w:rPr>
          <w:spacing w:val="-4"/>
          <w:w w:val="105"/>
          <w:sz w:val="12"/>
        </w:rPr>
        <w:t xml:space="preserve"> </w:t>
      </w:r>
      <w:r>
        <w:rPr>
          <w:w w:val="105"/>
          <w:sz w:val="12"/>
        </w:rPr>
        <w:t>Naciones</w:t>
      </w:r>
      <w:r>
        <w:rPr>
          <w:spacing w:val="-3"/>
          <w:w w:val="105"/>
          <w:sz w:val="12"/>
        </w:rPr>
        <w:t xml:space="preserve"> </w:t>
      </w:r>
      <w:r>
        <w:rPr>
          <w:w w:val="105"/>
          <w:sz w:val="12"/>
        </w:rPr>
        <w:t>Unidas,</w:t>
      </w:r>
      <w:r>
        <w:rPr>
          <w:spacing w:val="-2"/>
          <w:w w:val="105"/>
          <w:sz w:val="12"/>
        </w:rPr>
        <w:t xml:space="preserve"> </w:t>
      </w:r>
      <w:r>
        <w:rPr>
          <w:w w:val="105"/>
          <w:sz w:val="12"/>
        </w:rPr>
        <w:t>Ginebra</w:t>
      </w:r>
      <w:r>
        <w:rPr>
          <w:spacing w:val="-4"/>
          <w:w w:val="105"/>
          <w:sz w:val="12"/>
        </w:rPr>
        <w:t xml:space="preserve"> </w:t>
      </w:r>
      <w:r>
        <w:rPr>
          <w:w w:val="105"/>
          <w:sz w:val="12"/>
        </w:rPr>
        <w:t>–</w:t>
      </w:r>
      <w:r>
        <w:rPr>
          <w:spacing w:val="-3"/>
          <w:w w:val="105"/>
          <w:sz w:val="12"/>
        </w:rPr>
        <w:t xml:space="preserve"> </w:t>
      </w:r>
      <w:r>
        <w:rPr>
          <w:w w:val="105"/>
          <w:sz w:val="12"/>
        </w:rPr>
        <w:t>2209927</w:t>
      </w:r>
      <w:r>
        <w:rPr>
          <w:spacing w:val="-3"/>
          <w:w w:val="105"/>
          <w:sz w:val="12"/>
        </w:rPr>
        <w:t xml:space="preserve"> </w:t>
      </w:r>
      <w:r>
        <w:rPr>
          <w:w w:val="105"/>
          <w:sz w:val="12"/>
        </w:rPr>
        <w:t>(E)</w:t>
      </w:r>
      <w:r>
        <w:rPr>
          <w:spacing w:val="-4"/>
          <w:w w:val="105"/>
          <w:sz w:val="12"/>
        </w:rPr>
        <w:t xml:space="preserve"> </w:t>
      </w:r>
      <w:r>
        <w:rPr>
          <w:w w:val="105"/>
          <w:sz w:val="12"/>
        </w:rPr>
        <w:t>–</w:t>
      </w:r>
      <w:r>
        <w:rPr>
          <w:spacing w:val="-3"/>
          <w:w w:val="105"/>
          <w:sz w:val="12"/>
        </w:rPr>
        <w:t xml:space="preserve"> </w:t>
      </w:r>
      <w:r>
        <w:rPr>
          <w:w w:val="105"/>
          <w:sz w:val="12"/>
        </w:rPr>
        <w:t>febrero</w:t>
      </w:r>
      <w:r>
        <w:rPr>
          <w:spacing w:val="-3"/>
          <w:w w:val="105"/>
          <w:sz w:val="12"/>
        </w:rPr>
        <w:t xml:space="preserve"> </w:t>
      </w:r>
      <w:r>
        <w:rPr>
          <w:w w:val="105"/>
          <w:sz w:val="12"/>
        </w:rPr>
        <w:t>de</w:t>
      </w:r>
      <w:r>
        <w:rPr>
          <w:spacing w:val="-4"/>
          <w:w w:val="105"/>
          <w:sz w:val="12"/>
        </w:rPr>
        <w:t xml:space="preserve"> </w:t>
      </w:r>
      <w:r>
        <w:rPr>
          <w:w w:val="105"/>
          <w:sz w:val="12"/>
        </w:rPr>
        <w:t>2023</w:t>
      </w:r>
      <w:r>
        <w:rPr>
          <w:spacing w:val="-3"/>
          <w:w w:val="105"/>
          <w:sz w:val="12"/>
        </w:rPr>
        <w:t xml:space="preserve"> </w:t>
      </w:r>
      <w:r>
        <w:rPr>
          <w:w w:val="105"/>
          <w:sz w:val="12"/>
        </w:rPr>
        <w:t>–</w:t>
      </w:r>
      <w:r>
        <w:rPr>
          <w:spacing w:val="-3"/>
          <w:w w:val="105"/>
          <w:sz w:val="12"/>
        </w:rPr>
        <w:t xml:space="preserve"> </w:t>
      </w:r>
      <w:r>
        <w:rPr>
          <w:w w:val="105"/>
          <w:sz w:val="12"/>
        </w:rPr>
        <w:t>3463</w:t>
      </w:r>
      <w:r>
        <w:rPr>
          <w:spacing w:val="-4"/>
          <w:w w:val="105"/>
          <w:sz w:val="12"/>
        </w:rPr>
        <w:t xml:space="preserve"> </w:t>
      </w:r>
      <w:r>
        <w:rPr>
          <w:w w:val="105"/>
          <w:sz w:val="12"/>
        </w:rPr>
        <w:t>–</w:t>
      </w:r>
      <w:r>
        <w:rPr>
          <w:spacing w:val="-3"/>
          <w:w w:val="105"/>
          <w:sz w:val="12"/>
        </w:rPr>
        <w:t xml:space="preserve"> </w:t>
      </w:r>
      <w:r>
        <w:rPr>
          <w:spacing w:val="-2"/>
          <w:w w:val="105"/>
          <w:sz w:val="12"/>
        </w:rPr>
        <w:t>HR/PUB/22/6</w:t>
      </w:r>
    </w:p>
    <w:sectPr w:rsidR="0014798C">
      <w:type w:val="continuous"/>
      <w:pgSz w:w="11900" w:h="16820"/>
      <w:pgMar w:top="40" w:right="0" w:bottom="280" w:left="200" w:header="0" w:footer="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C055A41" w14:textId="77777777" w:rsidR="00F265E4" w:rsidRDefault="00F265E4">
      <w:r>
        <w:separator/>
      </w:r>
    </w:p>
  </w:endnote>
  <w:endnote w:type="continuationSeparator" w:id="0">
    <w:p w14:paraId="397C1532" w14:textId="77777777" w:rsidR="00F265E4" w:rsidRDefault="00F265E4">
      <w:r>
        <w:continuationSeparator/>
      </w:r>
    </w:p>
  </w:endnote>
  <w:endnote w:type="continuationNotice" w:id="1">
    <w:p w14:paraId="5CAE2CB8" w14:textId="77777777" w:rsidR="00F265E4" w:rsidRDefault="00F265E4"/>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rial MT">
    <w:altName w:val="Arial"/>
    <w:charset w:val="01"/>
    <w:family w:val="swiss"/>
    <w:pitch w:val="variable"/>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092D809" w14:textId="77777777" w:rsidR="00F265E4" w:rsidRDefault="00F265E4">
      <w:r>
        <w:separator/>
      </w:r>
    </w:p>
  </w:footnote>
  <w:footnote w:type="continuationSeparator" w:id="0">
    <w:p w14:paraId="2D41DD5B" w14:textId="77777777" w:rsidR="00F265E4" w:rsidRDefault="00F265E4">
      <w:r>
        <w:continuationSeparator/>
      </w:r>
    </w:p>
  </w:footnote>
  <w:footnote w:type="continuationNotice" w:id="1">
    <w:p w14:paraId="6E243994" w14:textId="77777777" w:rsidR="00F265E4" w:rsidRDefault="00F265E4"/>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966AB8E" w14:textId="5ECE8F66" w:rsidR="0014798C" w:rsidRDefault="0014798C">
    <w:pPr>
      <w:pStyle w:val="Textoindependiente"/>
      <w:spacing w:line="14" w:lineRule="auto"/>
      <w:rPr>
        <w:sz w:val="20"/>
      </w:rPr>
    </w:pPr>
  </w:p>
</w:hdr>
</file>

<file path=word/header1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7A2C748" w14:textId="77777777" w:rsidR="0014798C" w:rsidRDefault="0014798C">
    <w:pPr>
      <w:pStyle w:val="Textoindependiente"/>
      <w:spacing w:line="14" w:lineRule="auto"/>
      <w:rPr>
        <w:sz w:val="2"/>
      </w:rPr>
    </w:pPr>
  </w:p>
</w:hdr>
</file>

<file path=word/header1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ADF70DC" w14:textId="77777777" w:rsidR="0014798C" w:rsidRDefault="0014798C">
    <w:pPr>
      <w:pStyle w:val="Textoindependiente"/>
      <w:spacing w:line="14" w:lineRule="auto"/>
      <w:rPr>
        <w:sz w:val="2"/>
      </w:rPr>
    </w:pPr>
  </w:p>
</w:hdr>
</file>

<file path=word/header1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5EB736A" w14:textId="77777777" w:rsidR="0014798C" w:rsidRDefault="004E1F0B">
    <w:pPr>
      <w:pStyle w:val="Textoindependiente"/>
      <w:spacing w:line="14" w:lineRule="auto"/>
      <w:rPr>
        <w:sz w:val="20"/>
      </w:rPr>
    </w:pPr>
    <w:r>
      <w:rPr>
        <w:noProof/>
      </w:rPr>
      <mc:AlternateContent>
        <mc:Choice Requires="wps">
          <w:drawing>
            <wp:anchor distT="0" distB="0" distL="0" distR="0" simplePos="0" relativeHeight="251658240" behindDoc="1" locked="0" layoutInCell="1" allowOverlap="1" wp14:anchorId="4E6FA753" wp14:editId="2C72F72A">
              <wp:simplePos x="0" y="0"/>
              <wp:positionH relativeFrom="page">
                <wp:posOffset>186079</wp:posOffset>
              </wp:positionH>
              <wp:positionV relativeFrom="page">
                <wp:posOffset>63996</wp:posOffset>
              </wp:positionV>
              <wp:extent cx="1862455" cy="176530"/>
              <wp:effectExtent l="0" t="0" r="0" b="0"/>
              <wp:wrapNone/>
              <wp:docPr id="30" name="Textbox 3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862455" cy="176530"/>
                      </a:xfrm>
                      <a:prstGeom prst="rect">
                        <a:avLst/>
                      </a:prstGeom>
                    </wps:spPr>
                    <wps:txbx>
                      <w:txbxContent>
                        <w:p w14:paraId="0188543C" w14:textId="77777777" w:rsidR="0014798C" w:rsidRDefault="004E1F0B">
                          <w:pPr>
                            <w:spacing w:before="15"/>
                            <w:ind w:left="20"/>
                            <w:rPr>
                              <w:sz w:val="21"/>
                            </w:rPr>
                          </w:pPr>
                          <w:r>
                            <w:rPr>
                              <w:sz w:val="21"/>
                            </w:rPr>
                            <w:t>Machine</w:t>
                          </w:r>
                          <w:r>
                            <w:rPr>
                              <w:spacing w:val="6"/>
                              <w:sz w:val="21"/>
                            </w:rPr>
                            <w:t xml:space="preserve"> </w:t>
                          </w:r>
                          <w:r>
                            <w:rPr>
                              <w:sz w:val="21"/>
                            </w:rPr>
                            <w:t>Translated</w:t>
                          </w:r>
                          <w:r>
                            <w:rPr>
                              <w:spacing w:val="7"/>
                              <w:sz w:val="21"/>
                            </w:rPr>
                            <w:t xml:space="preserve"> </w:t>
                          </w:r>
                          <w:r>
                            <w:rPr>
                              <w:sz w:val="21"/>
                            </w:rPr>
                            <w:t>by</w:t>
                          </w:r>
                          <w:r>
                            <w:rPr>
                              <w:spacing w:val="7"/>
                              <w:sz w:val="21"/>
                            </w:rPr>
                            <w:t xml:space="preserve"> </w:t>
                          </w:r>
                          <w:r>
                            <w:rPr>
                              <w:spacing w:val="-2"/>
                              <w:sz w:val="21"/>
                            </w:rPr>
                            <w:t>Google</w:t>
                          </w:r>
                        </w:p>
                      </w:txbxContent>
                    </wps:txbx>
                    <wps:bodyPr wrap="square" lIns="0" tIns="0" rIns="0" bIns="0" rtlCol="0">
                      <a:noAutofit/>
                    </wps:bodyPr>
                  </wps:wsp>
                </a:graphicData>
              </a:graphic>
            </wp:anchor>
          </w:drawing>
        </mc:Choice>
        <mc:Fallback>
          <w:pict>
            <v:shapetype w14:anchorId="4E6FA753" id="_x0000_t202" coordsize="21600,21600" o:spt="202" path="m,l,21600r21600,l21600,xe">
              <v:stroke joinstyle="miter"/>
              <v:path gradientshapeok="t" o:connecttype="rect"/>
            </v:shapetype>
            <v:shape id="Textbox 30" o:spid="_x0000_s1193" type="#_x0000_t202" style="position:absolute;margin-left:14.65pt;margin-top:5.05pt;width:146.65pt;height:13.9pt;z-index:-25165824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" filled="f" stroked="f">
              <v:textbox inset="0,0,0,0">
                <w:txbxContent>
                  <w:p w14:paraId="0188543C" w14:textId="77777777" w:rsidR="0014798C" w:rsidRDefault="004E1F0B">
                    <w:pPr>
                      <w:spacing w:before="15"/>
                      <w:ind w:left="20"/>
                      <w:rPr>
                        <w:sz w:val="21"/>
                      </w:rPr>
                    </w:pPr>
                    <w:r>
                      <w:rPr>
                        <w:sz w:val="21"/>
                      </w:rPr>
                      <w:t>Machine</w:t>
                    </w:r>
                    <w:r>
                      <w:rPr>
                        <w:spacing w:val="6"/>
                        <w:sz w:val="21"/>
                      </w:rPr>
                      <w:t xml:space="preserve"> </w:t>
                    </w:r>
                    <w:r>
                      <w:rPr>
                        <w:sz w:val="21"/>
                      </w:rPr>
                      <w:t>Translated</w:t>
                    </w:r>
                    <w:r>
                      <w:rPr>
                        <w:spacing w:val="7"/>
                        <w:sz w:val="21"/>
                      </w:rPr>
                      <w:t xml:space="preserve"> </w:t>
                    </w:r>
                    <w:r>
                      <w:rPr>
                        <w:sz w:val="21"/>
                      </w:rPr>
                      <w:t>by</w:t>
                    </w:r>
                    <w:r>
                      <w:rPr>
                        <w:spacing w:val="7"/>
                        <w:sz w:val="21"/>
                      </w:rPr>
                      <w:t xml:space="preserve"> </w:t>
                    </w:r>
                    <w:r>
                      <w:rPr>
                        <w:spacing w:val="-2"/>
                        <w:sz w:val="21"/>
                      </w:rPr>
                      <w:t>Google</w:t>
                    </w:r>
                  </w:p>
                </w:txbxContent>
              </v:textbox>
              <w10:wrap anchorx="page" anchory="page"/>
            </v:shape>
          </w:pict>
        </mc:Fallback>
      </mc:AlternateContent>
    </w:r>
  </w:p>
</w:hdr>
</file>

<file path=word/header1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8BF0980" w14:textId="77777777" w:rsidR="0014798C" w:rsidRDefault="0014798C">
    <w:pPr>
      <w:pStyle w:val="Textoindependiente"/>
      <w:spacing w:line="14" w:lineRule="auto"/>
      <w:rPr>
        <w:sz w:val="2"/>
      </w:rPr>
    </w:pPr>
  </w:p>
</w:hdr>
</file>

<file path=word/header1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F06DF8B" w14:textId="77777777" w:rsidR="0014798C" w:rsidRDefault="004E1F0B">
    <w:pPr>
      <w:pStyle w:val="Textoindependiente"/>
      <w:spacing w:line="14" w:lineRule="auto"/>
      <w:rPr>
        <w:sz w:val="20"/>
      </w:rPr>
    </w:pPr>
    <w:r>
      <w:rPr>
        <w:noProof/>
      </w:rPr>
      <mc:AlternateContent>
        <mc:Choice Requires="wps">
          <w:drawing>
            <wp:anchor distT="0" distB="0" distL="0" distR="0" simplePos="0" relativeHeight="251658241" behindDoc="1" locked="0" layoutInCell="1" allowOverlap="1" wp14:anchorId="5180E232" wp14:editId="58726D22">
              <wp:simplePos x="0" y="0"/>
              <wp:positionH relativeFrom="page">
                <wp:posOffset>186079</wp:posOffset>
              </wp:positionH>
              <wp:positionV relativeFrom="page">
                <wp:posOffset>63996</wp:posOffset>
              </wp:positionV>
              <wp:extent cx="1862455" cy="176530"/>
              <wp:effectExtent l="0" t="0" r="0" b="0"/>
              <wp:wrapNone/>
              <wp:docPr id="34" name="Textbox 3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862455" cy="176530"/>
                      </a:xfrm>
                      <a:prstGeom prst="rect">
                        <a:avLst/>
                      </a:prstGeom>
                    </wps:spPr>
                    <wps:txbx>
                      <w:txbxContent>
                        <w:p w14:paraId="3166436E" w14:textId="77777777" w:rsidR="0014798C" w:rsidRDefault="004E1F0B">
                          <w:pPr>
                            <w:spacing w:before="15"/>
                            <w:ind w:left="20"/>
                            <w:rPr>
                              <w:sz w:val="21"/>
                            </w:rPr>
                          </w:pPr>
                          <w:r>
                            <w:rPr>
                              <w:sz w:val="21"/>
                            </w:rPr>
                            <w:t>Machine</w:t>
                          </w:r>
                          <w:r>
                            <w:rPr>
                              <w:spacing w:val="6"/>
                              <w:sz w:val="21"/>
                            </w:rPr>
                            <w:t xml:space="preserve"> </w:t>
                          </w:r>
                          <w:r>
                            <w:rPr>
                              <w:sz w:val="21"/>
                            </w:rPr>
                            <w:t>Translated</w:t>
                          </w:r>
                          <w:r>
                            <w:rPr>
                              <w:spacing w:val="7"/>
                              <w:sz w:val="21"/>
                            </w:rPr>
                            <w:t xml:space="preserve"> </w:t>
                          </w:r>
                          <w:r>
                            <w:rPr>
                              <w:sz w:val="21"/>
                            </w:rPr>
                            <w:t>by</w:t>
                          </w:r>
                          <w:r>
                            <w:rPr>
                              <w:spacing w:val="7"/>
                              <w:sz w:val="21"/>
                            </w:rPr>
                            <w:t xml:space="preserve"> </w:t>
                          </w:r>
                          <w:r>
                            <w:rPr>
                              <w:spacing w:val="-2"/>
                              <w:sz w:val="21"/>
                            </w:rPr>
                            <w:t>Google</w:t>
                          </w:r>
                        </w:p>
                      </w:txbxContent>
                    </wps:txbx>
                    <wps:bodyPr wrap="square" lIns="0" tIns="0" rIns="0" bIns="0" rtlCol="0">
                      <a:noAutofit/>
                    </wps:bodyPr>
                  </wps:wsp>
                </a:graphicData>
              </a:graphic>
            </wp:anchor>
          </w:drawing>
        </mc:Choice>
        <mc:Fallback>
          <w:pict>
            <v:shapetype w14:anchorId="5180E232" id="_x0000_t202" coordsize="21600,21600" o:spt="202" path="m,l,21600r21600,l21600,xe">
              <v:stroke joinstyle="miter"/>
              <v:path gradientshapeok="t" o:connecttype="rect"/>
            </v:shapetype>
            <v:shape id="Textbox 34" o:spid="_x0000_s1194" type="#_x0000_t202" style="position:absolute;margin-left:14.65pt;margin-top:5.05pt;width:146.65pt;height:13.9pt;z-index:-251658239;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" filled="f" stroked="f">
              <v:textbox inset="0,0,0,0">
                <w:txbxContent>
                  <w:p w14:paraId="3166436E" w14:textId="77777777" w:rsidR="0014798C" w:rsidRDefault="004E1F0B">
                    <w:pPr>
                      <w:spacing w:before="15"/>
                      <w:ind w:left="20"/>
                      <w:rPr>
                        <w:sz w:val="21"/>
                      </w:rPr>
                    </w:pPr>
                    <w:r>
                      <w:rPr>
                        <w:sz w:val="21"/>
                      </w:rPr>
                      <w:t>Machine</w:t>
                    </w:r>
                    <w:r>
                      <w:rPr>
                        <w:spacing w:val="6"/>
                        <w:sz w:val="21"/>
                      </w:rPr>
                      <w:t xml:space="preserve"> </w:t>
                    </w:r>
                    <w:r>
                      <w:rPr>
                        <w:sz w:val="21"/>
                      </w:rPr>
                      <w:t>Translated</w:t>
                    </w:r>
                    <w:r>
                      <w:rPr>
                        <w:spacing w:val="7"/>
                        <w:sz w:val="21"/>
                      </w:rPr>
                      <w:t xml:space="preserve"> </w:t>
                    </w:r>
                    <w:r>
                      <w:rPr>
                        <w:sz w:val="21"/>
                      </w:rPr>
                      <w:t>by</w:t>
                    </w:r>
                    <w:r>
                      <w:rPr>
                        <w:spacing w:val="7"/>
                        <w:sz w:val="21"/>
                      </w:rPr>
                      <w:t xml:space="preserve"> </w:t>
                    </w:r>
                    <w:r>
                      <w:rPr>
                        <w:spacing w:val="-2"/>
                        <w:sz w:val="21"/>
                      </w:rPr>
                      <w:t>Google</w:t>
                    </w:r>
                  </w:p>
                </w:txbxContent>
              </v:textbox>
              <w10:wrap anchorx="page" anchory="page"/>
            </v:shape>
          </w:pict>
        </mc:Fallback>
      </mc:AlternateContent>
    </w:r>
  </w:p>
</w:hdr>
</file>

<file path=word/header1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91D6049" w14:textId="77777777" w:rsidR="0014798C" w:rsidRDefault="0014798C">
    <w:pPr>
      <w:pStyle w:val="Textoindependiente"/>
      <w:spacing w:line="14" w:lineRule="auto"/>
      <w:rPr>
        <w:sz w:val="2"/>
      </w:rPr>
    </w:pPr>
  </w:p>
</w:hdr>
</file>

<file path=word/header1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C15712" w14:textId="77777777" w:rsidR="0014798C" w:rsidRDefault="0014798C">
    <w:pPr>
      <w:pStyle w:val="Textoindependiente"/>
      <w:spacing w:line="14" w:lineRule="auto"/>
      <w:rPr>
        <w:sz w:val="2"/>
      </w:rPr>
    </w:pPr>
  </w:p>
</w:hdr>
</file>

<file path=word/header1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A06870F" w14:textId="77777777" w:rsidR="0014798C" w:rsidRDefault="0014798C">
    <w:pPr>
      <w:pStyle w:val="Textoindependiente"/>
      <w:spacing w:line="14" w:lineRule="auto"/>
      <w:rPr>
        <w:sz w:val="2"/>
      </w:rPr>
    </w:pPr>
  </w:p>
</w:hdr>
</file>

<file path=word/header1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5D30B0A" w14:textId="77777777" w:rsidR="0014798C" w:rsidRDefault="004E1F0B">
    <w:pPr>
      <w:pStyle w:val="Textoindependiente"/>
      <w:spacing w:line="14" w:lineRule="auto"/>
      <w:rPr>
        <w:sz w:val="20"/>
      </w:rPr>
    </w:pPr>
    <w:r>
      <w:rPr>
        <w:noProof/>
      </w:rPr>
      <mc:AlternateContent>
        <mc:Choice Requires="wps">
          <w:drawing>
            <wp:anchor distT="0" distB="0" distL="0" distR="0" simplePos="0" relativeHeight="251658242" behindDoc="1" locked="0" layoutInCell="1" allowOverlap="1" wp14:anchorId="38D18A71" wp14:editId="59B8E9C4">
              <wp:simplePos x="0" y="0"/>
              <wp:positionH relativeFrom="page">
                <wp:posOffset>186079</wp:posOffset>
              </wp:positionH>
              <wp:positionV relativeFrom="page">
                <wp:posOffset>63996</wp:posOffset>
              </wp:positionV>
              <wp:extent cx="1862455" cy="176530"/>
              <wp:effectExtent l="0" t="0" r="0" b="0"/>
              <wp:wrapNone/>
              <wp:docPr id="42" name="Textbox 4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862455" cy="176530"/>
                      </a:xfrm>
                      <a:prstGeom prst="rect">
                        <a:avLst/>
                      </a:prstGeom>
                    </wps:spPr>
                    <wps:txbx>
                      <w:txbxContent>
                        <w:p w14:paraId="13D1760E" w14:textId="77777777" w:rsidR="0014798C" w:rsidRDefault="004E1F0B">
                          <w:pPr>
                            <w:spacing w:before="15"/>
                            <w:ind w:left="20"/>
                            <w:rPr>
                              <w:sz w:val="21"/>
                            </w:rPr>
                          </w:pPr>
                          <w:r>
                            <w:rPr>
                              <w:sz w:val="21"/>
                            </w:rPr>
                            <w:t>Machine</w:t>
                          </w:r>
                          <w:r>
                            <w:rPr>
                              <w:spacing w:val="6"/>
                              <w:sz w:val="21"/>
                            </w:rPr>
                            <w:t xml:space="preserve"> </w:t>
                          </w:r>
                          <w:r>
                            <w:rPr>
                              <w:sz w:val="21"/>
                            </w:rPr>
                            <w:t>Translated</w:t>
                          </w:r>
                          <w:r>
                            <w:rPr>
                              <w:spacing w:val="7"/>
                              <w:sz w:val="21"/>
                            </w:rPr>
                            <w:t xml:space="preserve"> </w:t>
                          </w:r>
                          <w:r>
                            <w:rPr>
                              <w:sz w:val="21"/>
                            </w:rPr>
                            <w:t>by</w:t>
                          </w:r>
                          <w:r>
                            <w:rPr>
                              <w:spacing w:val="7"/>
                              <w:sz w:val="21"/>
                            </w:rPr>
                            <w:t xml:space="preserve"> </w:t>
                          </w:r>
                          <w:r>
                            <w:rPr>
                              <w:spacing w:val="-2"/>
                              <w:sz w:val="21"/>
                            </w:rPr>
                            <w:t>Google</w:t>
                          </w:r>
                        </w:p>
                      </w:txbxContent>
                    </wps:txbx>
                    <wps:bodyPr wrap="square" lIns="0" tIns="0" rIns="0" bIns="0" rtlCol="0">
                      <a:noAutofit/>
                    </wps:bodyPr>
                  </wps:wsp>
                </a:graphicData>
              </a:graphic>
            </wp:anchor>
          </w:drawing>
        </mc:Choice>
        <mc:Fallback>
          <w:pict>
            <v:shapetype w14:anchorId="38D18A71" id="_x0000_t202" coordsize="21600,21600" o:spt="202" path="m,l,21600r21600,l21600,xe">
              <v:stroke joinstyle="miter"/>
              <v:path gradientshapeok="t" o:connecttype="rect"/>
            </v:shapetype>
            <v:shape id="Textbox 42" o:spid="_x0000_s1195" type="#_x0000_t202" style="position:absolute;margin-left:14.65pt;margin-top:5.05pt;width:146.65pt;height:13.9pt;z-index:-25165823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" filled="f" stroked="f">
              <v:textbox inset="0,0,0,0">
                <w:txbxContent>
                  <w:p w14:paraId="13D1760E" w14:textId="77777777" w:rsidR="0014798C" w:rsidRDefault="004E1F0B">
                    <w:pPr>
                      <w:spacing w:before="15"/>
                      <w:ind w:left="20"/>
                      <w:rPr>
                        <w:sz w:val="21"/>
                      </w:rPr>
                    </w:pPr>
                    <w:r>
                      <w:rPr>
                        <w:sz w:val="21"/>
                      </w:rPr>
                      <w:t>Machine</w:t>
                    </w:r>
                    <w:r>
                      <w:rPr>
                        <w:spacing w:val="6"/>
                        <w:sz w:val="21"/>
                      </w:rPr>
                      <w:t xml:space="preserve"> </w:t>
                    </w:r>
                    <w:r>
                      <w:rPr>
                        <w:sz w:val="21"/>
                      </w:rPr>
                      <w:t>Translated</w:t>
                    </w:r>
                    <w:r>
                      <w:rPr>
                        <w:spacing w:val="7"/>
                        <w:sz w:val="21"/>
                      </w:rPr>
                      <w:t xml:space="preserve"> </w:t>
                    </w:r>
                    <w:r>
                      <w:rPr>
                        <w:sz w:val="21"/>
                      </w:rPr>
                      <w:t>by</w:t>
                    </w:r>
                    <w:r>
                      <w:rPr>
                        <w:spacing w:val="7"/>
                        <w:sz w:val="21"/>
                      </w:rPr>
                      <w:t xml:space="preserve"> </w:t>
                    </w:r>
                    <w:r>
                      <w:rPr>
                        <w:spacing w:val="-2"/>
                        <w:sz w:val="21"/>
                      </w:rPr>
                      <w:t>Google</w:t>
                    </w:r>
                  </w:p>
                </w:txbxContent>
              </v:textbox>
              <w10:wrap anchorx="page" anchory="page"/>
            </v:shape>
          </w:pict>
        </mc:Fallback>
      </mc:AlternateContent>
    </w:r>
  </w:p>
</w:hdr>
</file>

<file path=word/header1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77AAA56" w14:textId="77777777" w:rsidR="0014798C" w:rsidRDefault="0014798C">
    <w:pPr>
      <w:pStyle w:val="Textoindependiente"/>
      <w:spacing w:line="14" w:lineRule="auto"/>
      <w:rPr>
        <w:sz w:val="2"/>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900276E" w14:textId="3D26F657" w:rsidR="0014798C" w:rsidRDefault="0014798C">
    <w:pPr>
      <w:pStyle w:val="Textoindependiente"/>
      <w:spacing w:line="14" w:lineRule="auto"/>
      <w:rPr>
        <w:sz w:val="20"/>
      </w:rPr>
    </w:pPr>
  </w:p>
</w:hdr>
</file>

<file path=word/header2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9CA9FFD" w14:textId="77777777" w:rsidR="0014798C" w:rsidRDefault="004E1F0B">
    <w:pPr>
      <w:pStyle w:val="Textoindependiente"/>
      <w:spacing w:line="14" w:lineRule="auto"/>
      <w:rPr>
        <w:sz w:val="20"/>
      </w:rPr>
    </w:pPr>
    <w:r>
      <w:rPr>
        <w:noProof/>
      </w:rPr>
      <mc:AlternateContent>
        <mc:Choice Requires="wps">
          <w:drawing>
            <wp:anchor distT="0" distB="0" distL="0" distR="0" simplePos="0" relativeHeight="251658243" behindDoc="1" locked="0" layoutInCell="1" allowOverlap="1" wp14:anchorId="25ECE071" wp14:editId="0B6B1988">
              <wp:simplePos x="0" y="0"/>
              <wp:positionH relativeFrom="page">
                <wp:posOffset>186079</wp:posOffset>
              </wp:positionH>
              <wp:positionV relativeFrom="page">
                <wp:posOffset>63996</wp:posOffset>
              </wp:positionV>
              <wp:extent cx="1862455" cy="176530"/>
              <wp:effectExtent l="0" t="0" r="0" b="0"/>
              <wp:wrapNone/>
              <wp:docPr id="53" name="Textbox 5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862455" cy="176530"/>
                      </a:xfrm>
                      <a:prstGeom prst="rect">
                        <a:avLst/>
                      </a:prstGeom>
                    </wps:spPr>
                    <wps:txbx>
                      <w:txbxContent>
                        <w:p w14:paraId="60863AAA" w14:textId="77777777" w:rsidR="0014798C" w:rsidRDefault="004E1F0B">
                          <w:pPr>
                            <w:spacing w:before="15"/>
                            <w:ind w:left="20"/>
                            <w:rPr>
                              <w:sz w:val="21"/>
                            </w:rPr>
                          </w:pPr>
                          <w:r>
                            <w:rPr>
                              <w:sz w:val="21"/>
                            </w:rPr>
                            <w:t>Machine</w:t>
                          </w:r>
                          <w:r>
                            <w:rPr>
                              <w:spacing w:val="6"/>
                              <w:sz w:val="21"/>
                            </w:rPr>
                            <w:t xml:space="preserve"> </w:t>
                          </w:r>
                          <w:r>
                            <w:rPr>
                              <w:sz w:val="21"/>
                            </w:rPr>
                            <w:t>Translated</w:t>
                          </w:r>
                          <w:r>
                            <w:rPr>
                              <w:spacing w:val="7"/>
                              <w:sz w:val="21"/>
                            </w:rPr>
                            <w:t xml:space="preserve"> </w:t>
                          </w:r>
                          <w:r>
                            <w:rPr>
                              <w:sz w:val="21"/>
                            </w:rPr>
                            <w:t>by</w:t>
                          </w:r>
                          <w:r>
                            <w:rPr>
                              <w:spacing w:val="7"/>
                              <w:sz w:val="21"/>
                            </w:rPr>
                            <w:t xml:space="preserve"> </w:t>
                          </w:r>
                          <w:r>
                            <w:rPr>
                              <w:spacing w:val="-2"/>
                              <w:sz w:val="21"/>
                            </w:rPr>
                            <w:t>Google</w:t>
                          </w:r>
                        </w:p>
                      </w:txbxContent>
                    </wps:txbx>
                    <wps:bodyPr wrap="square" lIns="0" tIns="0" rIns="0" bIns="0" rtlCol="0">
                      <a:noAutofit/>
                    </wps:bodyPr>
                  </wps:wsp>
                </a:graphicData>
              </a:graphic>
            </wp:anchor>
          </w:drawing>
        </mc:Choice>
        <mc:Fallback>
          <w:pict>
            <v:shapetype w14:anchorId="25ECE071" id="_x0000_t202" coordsize="21600,21600" o:spt="202" path="m,l,21600r21600,l21600,xe">
              <v:stroke joinstyle="miter"/>
              <v:path gradientshapeok="t" o:connecttype="rect"/>
            </v:shapetype>
            <v:shape id="Textbox 53" o:spid="_x0000_s1196" type="#_x0000_t202" style="position:absolute;margin-left:14.65pt;margin-top:5.05pt;width:146.65pt;height:13.9pt;z-index:-251658237;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" filled="f" stroked="f">
              <v:textbox inset="0,0,0,0">
                <w:txbxContent>
                  <w:p w14:paraId="60863AAA" w14:textId="77777777" w:rsidR="0014798C" w:rsidRDefault="004E1F0B">
                    <w:pPr>
                      <w:spacing w:before="15"/>
                      <w:ind w:left="20"/>
                      <w:rPr>
                        <w:sz w:val="21"/>
                      </w:rPr>
                    </w:pPr>
                    <w:r>
                      <w:rPr>
                        <w:sz w:val="21"/>
                      </w:rPr>
                      <w:t>Machine</w:t>
                    </w:r>
                    <w:r>
                      <w:rPr>
                        <w:spacing w:val="6"/>
                        <w:sz w:val="21"/>
                      </w:rPr>
                      <w:t xml:space="preserve"> </w:t>
                    </w:r>
                    <w:r>
                      <w:rPr>
                        <w:sz w:val="21"/>
                      </w:rPr>
                      <w:t>Translated</w:t>
                    </w:r>
                    <w:r>
                      <w:rPr>
                        <w:spacing w:val="7"/>
                        <w:sz w:val="21"/>
                      </w:rPr>
                      <w:t xml:space="preserve"> </w:t>
                    </w:r>
                    <w:r>
                      <w:rPr>
                        <w:sz w:val="21"/>
                      </w:rPr>
                      <w:t>by</w:t>
                    </w:r>
                    <w:r>
                      <w:rPr>
                        <w:spacing w:val="7"/>
                        <w:sz w:val="21"/>
                      </w:rPr>
                      <w:t xml:space="preserve"> </w:t>
                    </w:r>
                    <w:r>
                      <w:rPr>
                        <w:spacing w:val="-2"/>
                        <w:sz w:val="21"/>
                      </w:rPr>
                      <w:t>Google</w:t>
                    </w:r>
                  </w:p>
                </w:txbxContent>
              </v:textbox>
              <w10:wrap anchorx="page" anchory="page"/>
            </v:shape>
          </w:pict>
        </mc:Fallback>
      </mc:AlternateContent>
    </w:r>
  </w:p>
</w:hdr>
</file>

<file path=word/header2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2225617" w14:textId="77777777" w:rsidR="0014798C" w:rsidRDefault="0014798C">
    <w:pPr>
      <w:pStyle w:val="Textoindependiente"/>
      <w:spacing w:line="14" w:lineRule="auto"/>
      <w:rPr>
        <w:sz w:val="2"/>
      </w:rPr>
    </w:pPr>
  </w:p>
</w:hdr>
</file>

<file path=word/header2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9D88790" w14:textId="77777777" w:rsidR="0014798C" w:rsidRDefault="0014798C">
    <w:pPr>
      <w:pStyle w:val="Textoindependiente"/>
      <w:spacing w:line="14" w:lineRule="auto"/>
      <w:rPr>
        <w:sz w:val="2"/>
      </w:rPr>
    </w:pPr>
  </w:p>
</w:hdr>
</file>

<file path=word/header2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2C95C84" w14:textId="77777777" w:rsidR="0014798C" w:rsidRDefault="004E1F0B">
    <w:pPr>
      <w:pStyle w:val="Textoindependiente"/>
      <w:spacing w:line="14" w:lineRule="auto"/>
      <w:rPr>
        <w:sz w:val="20"/>
      </w:rPr>
    </w:pPr>
    <w:r>
      <w:rPr>
        <w:noProof/>
      </w:rPr>
      <mc:AlternateContent>
        <mc:Choice Requires="wps">
          <w:drawing>
            <wp:anchor distT="0" distB="0" distL="0" distR="0" simplePos="0" relativeHeight="251658244" behindDoc="1" locked="0" layoutInCell="1" allowOverlap="1" wp14:anchorId="26BF3F03" wp14:editId="11E1304F">
              <wp:simplePos x="0" y="0"/>
              <wp:positionH relativeFrom="page">
                <wp:posOffset>186079</wp:posOffset>
              </wp:positionH>
              <wp:positionV relativeFrom="page">
                <wp:posOffset>63996</wp:posOffset>
              </wp:positionV>
              <wp:extent cx="1862455" cy="176530"/>
              <wp:effectExtent l="0" t="0" r="0" b="0"/>
              <wp:wrapNone/>
              <wp:docPr id="85" name="Textbox 8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862455" cy="176530"/>
                      </a:xfrm>
                      <a:prstGeom prst="rect">
                        <a:avLst/>
                      </a:prstGeom>
                    </wps:spPr>
                    <wps:txbx>
                      <w:txbxContent>
                        <w:p w14:paraId="5027554C" w14:textId="77777777" w:rsidR="0014798C" w:rsidRDefault="004E1F0B">
                          <w:pPr>
                            <w:spacing w:before="15"/>
                            <w:ind w:left="20"/>
                            <w:rPr>
                              <w:sz w:val="21"/>
                            </w:rPr>
                          </w:pPr>
                          <w:r>
                            <w:rPr>
                              <w:sz w:val="21"/>
                            </w:rPr>
                            <w:t>Machine</w:t>
                          </w:r>
                          <w:r>
                            <w:rPr>
                              <w:spacing w:val="6"/>
                              <w:sz w:val="21"/>
                            </w:rPr>
                            <w:t xml:space="preserve"> </w:t>
                          </w:r>
                          <w:r>
                            <w:rPr>
                              <w:sz w:val="21"/>
                            </w:rPr>
                            <w:t>Translated</w:t>
                          </w:r>
                          <w:r>
                            <w:rPr>
                              <w:spacing w:val="7"/>
                              <w:sz w:val="21"/>
                            </w:rPr>
                            <w:t xml:space="preserve"> </w:t>
                          </w:r>
                          <w:r>
                            <w:rPr>
                              <w:sz w:val="21"/>
                            </w:rPr>
                            <w:t>by</w:t>
                          </w:r>
                          <w:r>
                            <w:rPr>
                              <w:spacing w:val="7"/>
                              <w:sz w:val="21"/>
                            </w:rPr>
                            <w:t xml:space="preserve"> </w:t>
                          </w:r>
                          <w:r>
                            <w:rPr>
                              <w:spacing w:val="-2"/>
                              <w:sz w:val="21"/>
                            </w:rPr>
                            <w:t>Google</w:t>
                          </w:r>
                        </w:p>
                      </w:txbxContent>
                    </wps:txbx>
                    <wps:bodyPr wrap="square" lIns="0" tIns="0" rIns="0" bIns="0" rtlCol="0">
                      <a:noAutofit/>
                    </wps:bodyPr>
                  </wps:wsp>
                </a:graphicData>
              </a:graphic>
            </wp:anchor>
          </w:drawing>
        </mc:Choice>
        <mc:Fallback>
          <w:pict>
            <v:shapetype w14:anchorId="26BF3F03" id="_x0000_t202" coordsize="21600,21600" o:spt="202" path="m,l,21600r21600,l21600,xe">
              <v:stroke joinstyle="miter"/>
              <v:path gradientshapeok="t" o:connecttype="rect"/>
            </v:shapetype>
            <v:shape id="Textbox 85" o:spid="_x0000_s1197" type="#_x0000_t202" style="position:absolute;margin-left:14.65pt;margin-top:5.05pt;width:146.65pt;height:13.9pt;z-index:-25165823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" filled="f" stroked="f">
              <v:textbox inset="0,0,0,0">
                <w:txbxContent>
                  <w:p w14:paraId="5027554C" w14:textId="77777777" w:rsidR="0014798C" w:rsidRDefault="004E1F0B">
                    <w:pPr>
                      <w:spacing w:before="15"/>
                      <w:ind w:left="20"/>
                      <w:rPr>
                        <w:sz w:val="21"/>
                      </w:rPr>
                    </w:pPr>
                    <w:r>
                      <w:rPr>
                        <w:sz w:val="21"/>
                      </w:rPr>
                      <w:t>Machine</w:t>
                    </w:r>
                    <w:r>
                      <w:rPr>
                        <w:spacing w:val="6"/>
                        <w:sz w:val="21"/>
                      </w:rPr>
                      <w:t xml:space="preserve"> </w:t>
                    </w:r>
                    <w:r>
                      <w:rPr>
                        <w:sz w:val="21"/>
                      </w:rPr>
                      <w:t>Translated</w:t>
                    </w:r>
                    <w:r>
                      <w:rPr>
                        <w:spacing w:val="7"/>
                        <w:sz w:val="21"/>
                      </w:rPr>
                      <w:t xml:space="preserve"> </w:t>
                    </w:r>
                    <w:r>
                      <w:rPr>
                        <w:sz w:val="21"/>
                      </w:rPr>
                      <w:t>by</w:t>
                    </w:r>
                    <w:r>
                      <w:rPr>
                        <w:spacing w:val="7"/>
                        <w:sz w:val="21"/>
                      </w:rPr>
                      <w:t xml:space="preserve"> </w:t>
                    </w:r>
                    <w:r>
                      <w:rPr>
                        <w:spacing w:val="-2"/>
                        <w:sz w:val="21"/>
                      </w:rPr>
                      <w:t>Google</w:t>
                    </w:r>
                  </w:p>
                </w:txbxContent>
              </v:textbox>
              <w10:wrap anchorx="page" anchory="page"/>
            </v:shape>
          </w:pict>
        </mc:Fallback>
      </mc:AlternateContent>
    </w:r>
  </w:p>
</w:hdr>
</file>

<file path=word/header2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581B502" w14:textId="77777777" w:rsidR="0014798C" w:rsidRDefault="0014798C">
    <w:pPr>
      <w:pStyle w:val="Textoindependiente"/>
      <w:spacing w:line="14" w:lineRule="auto"/>
      <w:rPr>
        <w:sz w:val="2"/>
      </w:rPr>
    </w:pPr>
  </w:p>
</w:hdr>
</file>

<file path=word/header2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A8766D" w14:textId="77777777" w:rsidR="0014798C" w:rsidRDefault="0014798C">
    <w:pPr>
      <w:pStyle w:val="Textoindependiente"/>
      <w:spacing w:line="14" w:lineRule="auto"/>
      <w:rPr>
        <w:sz w:val="2"/>
      </w:rPr>
    </w:pPr>
  </w:p>
</w:hdr>
</file>

<file path=word/header2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F704F38" w14:textId="77777777" w:rsidR="0014798C" w:rsidRDefault="004E1F0B">
    <w:pPr>
      <w:pStyle w:val="Textoindependiente"/>
      <w:spacing w:line="14" w:lineRule="auto"/>
      <w:rPr>
        <w:sz w:val="20"/>
      </w:rPr>
    </w:pPr>
    <w:r>
      <w:rPr>
        <w:noProof/>
      </w:rPr>
      <mc:AlternateContent>
        <mc:Choice Requires="wps">
          <w:drawing>
            <wp:anchor distT="0" distB="0" distL="0" distR="0" simplePos="0" relativeHeight="251658245" behindDoc="1" locked="0" layoutInCell="1" allowOverlap="1" wp14:anchorId="0706EE7D" wp14:editId="2FF7F632">
              <wp:simplePos x="0" y="0"/>
              <wp:positionH relativeFrom="page">
                <wp:posOffset>186079</wp:posOffset>
              </wp:positionH>
              <wp:positionV relativeFrom="page">
                <wp:posOffset>63996</wp:posOffset>
              </wp:positionV>
              <wp:extent cx="1862455" cy="176530"/>
              <wp:effectExtent l="0" t="0" r="0" b="0"/>
              <wp:wrapNone/>
              <wp:docPr id="181" name="Textbox 18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862455" cy="176530"/>
                      </a:xfrm>
                      <a:prstGeom prst="rect">
                        <a:avLst/>
                      </a:prstGeom>
                    </wps:spPr>
                    <wps:txbx>
                      <w:txbxContent>
                        <w:p w14:paraId="70A287AE" w14:textId="77777777" w:rsidR="0014798C" w:rsidRDefault="004E1F0B">
                          <w:pPr>
                            <w:spacing w:before="15"/>
                            <w:ind w:left="20"/>
                            <w:rPr>
                              <w:sz w:val="21"/>
                            </w:rPr>
                          </w:pPr>
                          <w:r>
                            <w:rPr>
                              <w:sz w:val="21"/>
                            </w:rPr>
                            <w:t>Machine</w:t>
                          </w:r>
                          <w:r>
                            <w:rPr>
                              <w:spacing w:val="6"/>
                              <w:sz w:val="21"/>
                            </w:rPr>
                            <w:t xml:space="preserve"> </w:t>
                          </w:r>
                          <w:r>
                            <w:rPr>
                              <w:sz w:val="21"/>
                            </w:rPr>
                            <w:t>Translated</w:t>
                          </w:r>
                          <w:r>
                            <w:rPr>
                              <w:spacing w:val="7"/>
                              <w:sz w:val="21"/>
                            </w:rPr>
                            <w:t xml:space="preserve"> </w:t>
                          </w:r>
                          <w:r>
                            <w:rPr>
                              <w:sz w:val="21"/>
                            </w:rPr>
                            <w:t>by</w:t>
                          </w:r>
                          <w:r>
                            <w:rPr>
                              <w:spacing w:val="7"/>
                              <w:sz w:val="21"/>
                            </w:rPr>
                            <w:t xml:space="preserve"> </w:t>
                          </w:r>
                          <w:r>
                            <w:rPr>
                              <w:spacing w:val="-2"/>
                              <w:sz w:val="21"/>
                            </w:rPr>
                            <w:t>Google</w:t>
                          </w:r>
                        </w:p>
                      </w:txbxContent>
                    </wps:txbx>
                    <wps:bodyPr wrap="square" lIns="0" tIns="0" rIns="0" bIns="0" rtlCol="0">
                      <a:noAutofit/>
                    </wps:bodyPr>
                  </wps:wsp>
                </a:graphicData>
              </a:graphic>
            </wp:anchor>
          </w:drawing>
        </mc:Choice>
        <mc:Fallback>
          <w:pict>
            <v:shapetype w14:anchorId="0706EE7D" id="_x0000_t202" coordsize="21600,21600" o:spt="202" path="m,l,21600r21600,l21600,xe">
              <v:stroke joinstyle="miter"/>
              <v:path gradientshapeok="t" o:connecttype="rect"/>
            </v:shapetype>
            <v:shape id="Textbox 181" o:spid="_x0000_s1198" type="#_x0000_t202" style="position:absolute;margin-left:14.65pt;margin-top:5.05pt;width:146.65pt;height:13.9pt;z-index:-251658235;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" filled="f" stroked="f">
              <v:textbox inset="0,0,0,0">
                <w:txbxContent>
                  <w:p w14:paraId="70A287AE" w14:textId="77777777" w:rsidR="0014798C" w:rsidRDefault="004E1F0B">
                    <w:pPr>
                      <w:spacing w:before="15"/>
                      <w:ind w:left="20"/>
                      <w:rPr>
                        <w:sz w:val="21"/>
                      </w:rPr>
                    </w:pPr>
                    <w:r>
                      <w:rPr>
                        <w:sz w:val="21"/>
                      </w:rPr>
                      <w:t>Machine</w:t>
                    </w:r>
                    <w:r>
                      <w:rPr>
                        <w:spacing w:val="6"/>
                        <w:sz w:val="21"/>
                      </w:rPr>
                      <w:t xml:space="preserve"> </w:t>
                    </w:r>
                    <w:r>
                      <w:rPr>
                        <w:sz w:val="21"/>
                      </w:rPr>
                      <w:t>Translated</w:t>
                    </w:r>
                    <w:r>
                      <w:rPr>
                        <w:spacing w:val="7"/>
                        <w:sz w:val="21"/>
                      </w:rPr>
                      <w:t xml:space="preserve"> </w:t>
                    </w:r>
                    <w:r>
                      <w:rPr>
                        <w:sz w:val="21"/>
                      </w:rPr>
                      <w:t>by</w:t>
                    </w:r>
                    <w:r>
                      <w:rPr>
                        <w:spacing w:val="7"/>
                        <w:sz w:val="21"/>
                      </w:rPr>
                      <w:t xml:space="preserve"> </w:t>
                    </w:r>
                    <w:r>
                      <w:rPr>
                        <w:spacing w:val="-2"/>
                        <w:sz w:val="21"/>
                      </w:rPr>
                      <w:t>Google</w:t>
                    </w:r>
                  </w:p>
                </w:txbxContent>
              </v:textbox>
              <w10:wrap anchorx="page" anchory="page"/>
            </v:shape>
          </w:pict>
        </mc:Fallback>
      </mc:AlternateContent>
    </w:r>
  </w:p>
</w:hdr>
</file>

<file path=word/header2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77302B4" w14:textId="77777777" w:rsidR="0014798C" w:rsidRDefault="0014798C">
    <w:pPr>
      <w:pStyle w:val="Textoindependiente"/>
      <w:spacing w:line="14" w:lineRule="auto"/>
      <w:rPr>
        <w:sz w:val="2"/>
      </w:rPr>
    </w:pPr>
  </w:p>
</w:hdr>
</file>

<file path=word/header2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A707523" w14:textId="77777777" w:rsidR="0014798C" w:rsidRDefault="0014798C">
    <w:pPr>
      <w:pStyle w:val="Textoindependiente"/>
      <w:spacing w:line="14" w:lineRule="auto"/>
      <w:rPr>
        <w:sz w:val="2"/>
      </w:rPr>
    </w:pPr>
  </w:p>
</w:hdr>
</file>

<file path=word/header2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DECF394" w14:textId="77777777" w:rsidR="0014798C" w:rsidRDefault="0014798C">
    <w:pPr>
      <w:pStyle w:val="Textoindependiente"/>
      <w:spacing w:line="14" w:lineRule="auto"/>
      <w:rPr>
        <w:sz w:val="2"/>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FFA539B" w14:textId="77777777" w:rsidR="0014798C" w:rsidRDefault="0014798C">
    <w:pPr>
      <w:pStyle w:val="Textoindependiente"/>
      <w:spacing w:line="14" w:lineRule="auto"/>
      <w:rPr>
        <w:sz w:val="2"/>
      </w:rPr>
    </w:pPr>
  </w:p>
</w:hdr>
</file>

<file path=word/header3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2DB3EB0" w14:textId="77777777" w:rsidR="0014798C" w:rsidRDefault="004E1F0B">
    <w:pPr>
      <w:pStyle w:val="Textoindependiente"/>
      <w:spacing w:line="14" w:lineRule="auto"/>
      <w:rPr>
        <w:sz w:val="20"/>
      </w:rPr>
    </w:pPr>
    <w:r>
      <w:rPr>
        <w:noProof/>
      </w:rPr>
      <mc:AlternateContent>
        <mc:Choice Requires="wps">
          <w:drawing>
            <wp:anchor distT="0" distB="0" distL="0" distR="0" simplePos="0" relativeHeight="251658246" behindDoc="1" locked="0" layoutInCell="1" allowOverlap="1" wp14:anchorId="56ACAC43" wp14:editId="395966D9">
              <wp:simplePos x="0" y="0"/>
              <wp:positionH relativeFrom="page">
                <wp:posOffset>186079</wp:posOffset>
              </wp:positionH>
              <wp:positionV relativeFrom="page">
                <wp:posOffset>63996</wp:posOffset>
              </wp:positionV>
              <wp:extent cx="1862455" cy="176530"/>
              <wp:effectExtent l="0" t="0" r="0" b="0"/>
              <wp:wrapNone/>
              <wp:docPr id="199" name="Textbox 19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862455" cy="176530"/>
                      </a:xfrm>
                      <a:prstGeom prst="rect">
                        <a:avLst/>
                      </a:prstGeom>
                    </wps:spPr>
                    <wps:txbx>
                      <w:txbxContent>
                        <w:p w14:paraId="66E12E4C" w14:textId="4AE320D8" w:rsidR="0014798C" w:rsidRDefault="0014798C">
                          <w:pPr>
                            <w:spacing w:before="15"/>
                            <w:ind w:left="20"/>
                            <w:rPr>
                              <w:sz w:val="21"/>
                            </w:rPr>
                          </w:pPr>
                        </w:p>
                      </w:txbxContent>
                    </wps:txbx>
                    <wps:bodyPr wrap="square" lIns="0" tIns="0" rIns="0" bIns="0" rtlCol="0">
                      <a:noAutofit/>
                    </wps:bodyPr>
                  </wps:wsp>
                </a:graphicData>
              </a:graphic>
            </wp:anchor>
          </w:drawing>
        </mc:Choice>
        <mc:Fallback>
          <w:pict>
            <v:shapetype w14:anchorId="56ACAC43" id="_x0000_t202" coordsize="21600,21600" o:spt="202" path="m,l,21600r21600,l21600,xe">
              <v:stroke joinstyle="miter"/>
              <v:path gradientshapeok="t" o:connecttype="rect"/>
            </v:shapetype>
            <v:shape id="Textbox 199" o:spid="_x0000_s1199" type="#_x0000_t202" style="position:absolute;margin-left:14.65pt;margin-top:5.05pt;width:146.65pt;height:13.9pt;z-index:-25165823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" filled="f" stroked="f">
              <v:textbox inset="0,0,0,0">
                <w:txbxContent>
                  <w:p w14:paraId="66E12E4C" w14:textId="4AE320D8" w:rsidR="0014798C" w:rsidRDefault="0014798C">
                    <w:pPr>
                      <w:spacing w:before="15"/>
                      <w:ind w:left="20"/>
                      <w:rPr>
                        <w:sz w:val="21"/>
                      </w:rPr>
                    </w:pPr>
                  </w:p>
                </w:txbxContent>
              </v:textbox>
              <w10:wrap anchorx="page" anchory="page"/>
            </v:shape>
          </w:pict>
        </mc:Fallback>
      </mc:AlternateContent>
    </w:r>
  </w:p>
</w:hdr>
</file>

<file path=word/header3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C984FB1" w14:textId="77777777" w:rsidR="0014798C" w:rsidRDefault="0014798C">
    <w:pPr>
      <w:pStyle w:val="Textoindependiente"/>
      <w:spacing w:line="14" w:lineRule="auto"/>
      <w:rPr>
        <w:sz w:val="2"/>
      </w:rPr>
    </w:pPr>
  </w:p>
</w:hdr>
</file>

<file path=word/header3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2E5F32A" w14:textId="77777777" w:rsidR="0014798C" w:rsidRDefault="0014798C">
    <w:pPr>
      <w:pStyle w:val="Textoindependiente"/>
      <w:spacing w:line="14" w:lineRule="auto"/>
      <w:rPr>
        <w:sz w:val="2"/>
      </w:rPr>
    </w:pPr>
  </w:p>
</w:hdr>
</file>

<file path=word/header3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CBE5790" w14:textId="77777777" w:rsidR="0014798C" w:rsidRDefault="0014798C">
    <w:pPr>
      <w:pStyle w:val="Textoindependiente"/>
      <w:spacing w:line="14" w:lineRule="auto"/>
      <w:rPr>
        <w:sz w:val="2"/>
      </w:rPr>
    </w:pPr>
  </w:p>
</w:hdr>
</file>

<file path=word/header3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0F82CF9" w14:textId="77777777" w:rsidR="0014798C" w:rsidRDefault="004E1F0B">
    <w:pPr>
      <w:pStyle w:val="Textoindependiente"/>
      <w:spacing w:line="14" w:lineRule="auto"/>
      <w:rPr>
        <w:sz w:val="20"/>
      </w:rPr>
    </w:pPr>
    <w:r>
      <w:rPr>
        <w:noProof/>
      </w:rPr>
      <mc:AlternateContent>
        <mc:Choice Requires="wps">
          <w:drawing>
            <wp:anchor distT="0" distB="0" distL="0" distR="0" simplePos="0" relativeHeight="251658247" behindDoc="1" locked="0" layoutInCell="1" allowOverlap="1" wp14:anchorId="35CB6AE0" wp14:editId="57CFD742">
              <wp:simplePos x="0" y="0"/>
              <wp:positionH relativeFrom="page">
                <wp:posOffset>186079</wp:posOffset>
              </wp:positionH>
              <wp:positionV relativeFrom="page">
                <wp:posOffset>63996</wp:posOffset>
              </wp:positionV>
              <wp:extent cx="1862455" cy="176530"/>
              <wp:effectExtent l="0" t="0" r="0" b="0"/>
              <wp:wrapNone/>
              <wp:docPr id="223" name="Textbox 22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862455" cy="176530"/>
                      </a:xfrm>
                      <a:prstGeom prst="rect">
                        <a:avLst/>
                      </a:prstGeom>
                    </wps:spPr>
                    <wps:txbx>
                      <w:txbxContent>
                        <w:p w14:paraId="655861F4" w14:textId="77777777" w:rsidR="0014798C" w:rsidRDefault="004E1F0B">
                          <w:pPr>
                            <w:spacing w:before="15"/>
                            <w:ind w:left="20"/>
                            <w:rPr>
                              <w:sz w:val="21"/>
                            </w:rPr>
                          </w:pPr>
                          <w:r>
                            <w:rPr>
                              <w:sz w:val="21"/>
                            </w:rPr>
                            <w:t>Machine</w:t>
                          </w:r>
                          <w:r>
                            <w:rPr>
                              <w:spacing w:val="6"/>
                              <w:sz w:val="21"/>
                            </w:rPr>
                            <w:t xml:space="preserve"> </w:t>
                          </w:r>
                          <w:r>
                            <w:rPr>
                              <w:sz w:val="21"/>
                            </w:rPr>
                            <w:t>Translated</w:t>
                          </w:r>
                          <w:r>
                            <w:rPr>
                              <w:spacing w:val="7"/>
                              <w:sz w:val="21"/>
                            </w:rPr>
                            <w:t xml:space="preserve"> </w:t>
                          </w:r>
                          <w:r>
                            <w:rPr>
                              <w:sz w:val="21"/>
                            </w:rPr>
                            <w:t>by</w:t>
                          </w:r>
                          <w:r>
                            <w:rPr>
                              <w:spacing w:val="7"/>
                              <w:sz w:val="21"/>
                            </w:rPr>
                            <w:t xml:space="preserve"> </w:t>
                          </w:r>
                          <w:r>
                            <w:rPr>
                              <w:spacing w:val="-2"/>
                              <w:sz w:val="21"/>
                            </w:rPr>
                            <w:t>Google</w:t>
                          </w:r>
                        </w:p>
                      </w:txbxContent>
                    </wps:txbx>
                    <wps:bodyPr wrap="square" lIns="0" tIns="0" rIns="0" bIns="0" rtlCol="0">
                      <a:noAutofit/>
                    </wps:bodyPr>
                  </wps:wsp>
                </a:graphicData>
              </a:graphic>
            </wp:anchor>
          </w:drawing>
        </mc:Choice>
        <mc:Fallback>
          <w:pict>
            <v:shapetype w14:anchorId="35CB6AE0" id="_x0000_t202" coordsize="21600,21600" o:spt="202" path="m,l,21600r21600,l21600,xe">
              <v:stroke joinstyle="miter"/>
              <v:path gradientshapeok="t" o:connecttype="rect"/>
            </v:shapetype>
            <v:shape id="Textbox 223" o:spid="_x0000_s1200" type="#_x0000_t202" style="position:absolute;margin-left:14.65pt;margin-top:5.05pt;width:146.65pt;height:13.9pt;z-index:-251658233;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" filled="f" stroked="f">
              <v:textbox inset="0,0,0,0">
                <w:txbxContent>
                  <w:p w14:paraId="655861F4" w14:textId="77777777" w:rsidR="0014798C" w:rsidRDefault="004E1F0B">
                    <w:pPr>
                      <w:spacing w:before="15"/>
                      <w:ind w:left="20"/>
                      <w:rPr>
                        <w:sz w:val="21"/>
                      </w:rPr>
                    </w:pPr>
                    <w:r>
                      <w:rPr>
                        <w:sz w:val="21"/>
                      </w:rPr>
                      <w:t>Machine</w:t>
                    </w:r>
                    <w:r>
                      <w:rPr>
                        <w:spacing w:val="6"/>
                        <w:sz w:val="21"/>
                      </w:rPr>
                      <w:t xml:space="preserve"> </w:t>
                    </w:r>
                    <w:r>
                      <w:rPr>
                        <w:sz w:val="21"/>
                      </w:rPr>
                      <w:t>Translated</w:t>
                    </w:r>
                    <w:r>
                      <w:rPr>
                        <w:spacing w:val="7"/>
                        <w:sz w:val="21"/>
                      </w:rPr>
                      <w:t xml:space="preserve"> </w:t>
                    </w:r>
                    <w:r>
                      <w:rPr>
                        <w:sz w:val="21"/>
                      </w:rPr>
                      <w:t>by</w:t>
                    </w:r>
                    <w:r>
                      <w:rPr>
                        <w:spacing w:val="7"/>
                        <w:sz w:val="21"/>
                      </w:rPr>
                      <w:t xml:space="preserve"> </w:t>
                    </w:r>
                    <w:r>
                      <w:rPr>
                        <w:spacing w:val="-2"/>
                        <w:sz w:val="21"/>
                      </w:rPr>
                      <w:t>Google</w:t>
                    </w:r>
                  </w:p>
                </w:txbxContent>
              </v:textbox>
              <w10:wrap anchorx="page" anchory="page"/>
            </v:shape>
          </w:pict>
        </mc:Fallback>
      </mc:AlternateContent>
    </w:r>
  </w:p>
</w:hdr>
</file>

<file path=word/header3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E00C1FC" w14:textId="77777777" w:rsidR="0014798C" w:rsidRDefault="0014798C">
    <w:pPr>
      <w:pStyle w:val="Textoindependiente"/>
      <w:spacing w:line="14" w:lineRule="auto"/>
      <w:rPr>
        <w:sz w:val="2"/>
      </w:rPr>
    </w:pPr>
  </w:p>
</w:hdr>
</file>

<file path=word/header3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1227D2F" w14:textId="77777777" w:rsidR="0014798C" w:rsidRDefault="0014798C">
    <w:pPr>
      <w:pStyle w:val="Textoindependiente"/>
      <w:spacing w:line="14" w:lineRule="auto"/>
      <w:rPr>
        <w:sz w:val="2"/>
      </w:rPr>
    </w:pPr>
  </w:p>
</w:hdr>
</file>

<file path=word/header3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7C64077" w14:textId="77777777" w:rsidR="0014798C" w:rsidRDefault="004E1F0B">
    <w:pPr>
      <w:pStyle w:val="Textoindependiente"/>
      <w:spacing w:line="14" w:lineRule="auto"/>
      <w:rPr>
        <w:sz w:val="20"/>
      </w:rPr>
    </w:pPr>
    <w:r>
      <w:rPr>
        <w:noProof/>
      </w:rPr>
      <mc:AlternateContent>
        <mc:Choice Requires="wps">
          <w:drawing>
            <wp:anchor distT="0" distB="0" distL="0" distR="0" simplePos="0" relativeHeight="251658248" behindDoc="1" locked="0" layoutInCell="1" allowOverlap="1" wp14:anchorId="5B81EE8B" wp14:editId="22A93618">
              <wp:simplePos x="0" y="0"/>
              <wp:positionH relativeFrom="page">
                <wp:posOffset>186079</wp:posOffset>
              </wp:positionH>
              <wp:positionV relativeFrom="page">
                <wp:posOffset>63996</wp:posOffset>
              </wp:positionV>
              <wp:extent cx="1862455" cy="176530"/>
              <wp:effectExtent l="0" t="0" r="0" b="0"/>
              <wp:wrapNone/>
              <wp:docPr id="245" name="Textbox 24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862455" cy="176530"/>
                      </a:xfrm>
                      <a:prstGeom prst="rect">
                        <a:avLst/>
                      </a:prstGeom>
                    </wps:spPr>
                    <wps:txbx>
                      <w:txbxContent>
                        <w:p w14:paraId="066AA1D8" w14:textId="77777777" w:rsidR="0014798C" w:rsidRDefault="004E1F0B">
                          <w:pPr>
                            <w:spacing w:before="15"/>
                            <w:ind w:left="20"/>
                            <w:rPr>
                              <w:sz w:val="21"/>
                            </w:rPr>
                          </w:pPr>
                          <w:r>
                            <w:rPr>
                              <w:sz w:val="21"/>
                            </w:rPr>
                            <w:t>Machine</w:t>
                          </w:r>
                          <w:r>
                            <w:rPr>
                              <w:spacing w:val="6"/>
                              <w:sz w:val="21"/>
                            </w:rPr>
                            <w:t xml:space="preserve"> </w:t>
                          </w:r>
                          <w:r>
                            <w:rPr>
                              <w:sz w:val="21"/>
                            </w:rPr>
                            <w:t>Translated</w:t>
                          </w:r>
                          <w:r>
                            <w:rPr>
                              <w:spacing w:val="7"/>
                              <w:sz w:val="21"/>
                            </w:rPr>
                            <w:t xml:space="preserve"> </w:t>
                          </w:r>
                          <w:r>
                            <w:rPr>
                              <w:sz w:val="21"/>
                            </w:rPr>
                            <w:t>by</w:t>
                          </w:r>
                          <w:r>
                            <w:rPr>
                              <w:spacing w:val="7"/>
                              <w:sz w:val="21"/>
                            </w:rPr>
                            <w:t xml:space="preserve"> </w:t>
                          </w:r>
                          <w:r>
                            <w:rPr>
                              <w:spacing w:val="-2"/>
                              <w:sz w:val="21"/>
                            </w:rPr>
                            <w:t>Google</w:t>
                          </w:r>
                        </w:p>
                      </w:txbxContent>
                    </wps:txbx>
                    <wps:bodyPr wrap="square" lIns="0" tIns="0" rIns="0" bIns="0" rtlCol="0">
                      <a:noAutofit/>
                    </wps:bodyPr>
                  </wps:wsp>
                </a:graphicData>
              </a:graphic>
            </wp:anchor>
          </w:drawing>
        </mc:Choice>
        <mc:Fallback>
          <w:pict>
            <v:shapetype w14:anchorId="5B81EE8B" id="_x0000_t202" coordsize="21600,21600" o:spt="202" path="m,l,21600r21600,l21600,xe">
              <v:stroke joinstyle="miter"/>
              <v:path gradientshapeok="t" o:connecttype="rect"/>
            </v:shapetype>
            <v:shape id="Textbox 245" o:spid="_x0000_s1201" type="#_x0000_t202" style="position:absolute;margin-left:14.65pt;margin-top:5.05pt;width:146.65pt;height:13.9pt;z-index:-25165823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" filled="f" stroked="f">
              <v:textbox inset="0,0,0,0">
                <w:txbxContent>
                  <w:p w14:paraId="066AA1D8" w14:textId="77777777" w:rsidR="0014798C" w:rsidRDefault="004E1F0B">
                    <w:pPr>
                      <w:spacing w:before="15"/>
                      <w:ind w:left="20"/>
                      <w:rPr>
                        <w:sz w:val="21"/>
                      </w:rPr>
                    </w:pPr>
                    <w:r>
                      <w:rPr>
                        <w:sz w:val="21"/>
                      </w:rPr>
                      <w:t>Machine</w:t>
                    </w:r>
                    <w:r>
                      <w:rPr>
                        <w:spacing w:val="6"/>
                        <w:sz w:val="21"/>
                      </w:rPr>
                      <w:t xml:space="preserve"> </w:t>
                    </w:r>
                    <w:r>
                      <w:rPr>
                        <w:sz w:val="21"/>
                      </w:rPr>
                      <w:t>Translated</w:t>
                    </w:r>
                    <w:r>
                      <w:rPr>
                        <w:spacing w:val="7"/>
                        <w:sz w:val="21"/>
                      </w:rPr>
                      <w:t xml:space="preserve"> </w:t>
                    </w:r>
                    <w:r>
                      <w:rPr>
                        <w:sz w:val="21"/>
                      </w:rPr>
                      <w:t>by</w:t>
                    </w:r>
                    <w:r>
                      <w:rPr>
                        <w:spacing w:val="7"/>
                        <w:sz w:val="21"/>
                      </w:rPr>
                      <w:t xml:space="preserve"> </w:t>
                    </w:r>
                    <w:r>
                      <w:rPr>
                        <w:spacing w:val="-2"/>
                        <w:sz w:val="21"/>
                      </w:rPr>
                      <w:t>Google</w:t>
                    </w:r>
                  </w:p>
                </w:txbxContent>
              </v:textbox>
              <w10:wrap anchorx="page" anchory="page"/>
            </v:shape>
          </w:pict>
        </mc:Fallback>
      </mc:AlternateContent>
    </w:r>
  </w:p>
</w:hdr>
</file>

<file path=word/header3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119322C" w14:textId="77777777" w:rsidR="0014798C" w:rsidRDefault="0014798C">
    <w:pPr>
      <w:pStyle w:val="Textoindependiente"/>
      <w:spacing w:line="14" w:lineRule="auto"/>
      <w:rPr>
        <w:sz w:val="2"/>
      </w:rPr>
    </w:pPr>
  </w:p>
</w:hdr>
</file>

<file path=word/header3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8056737" w14:textId="77777777" w:rsidR="0014798C" w:rsidRDefault="004E1F0B">
    <w:pPr>
      <w:pStyle w:val="Textoindependiente"/>
      <w:spacing w:line="14" w:lineRule="auto"/>
      <w:rPr>
        <w:sz w:val="20"/>
      </w:rPr>
    </w:pPr>
    <w:r>
      <w:rPr>
        <w:noProof/>
      </w:rPr>
      <mc:AlternateContent>
        <mc:Choice Requires="wps">
          <w:drawing>
            <wp:anchor distT="0" distB="0" distL="0" distR="0" simplePos="0" relativeHeight="251658249" behindDoc="1" locked="0" layoutInCell="1" allowOverlap="1" wp14:anchorId="508D0A43" wp14:editId="4DCF9A7C">
              <wp:simplePos x="0" y="0"/>
              <wp:positionH relativeFrom="page">
                <wp:posOffset>186079</wp:posOffset>
              </wp:positionH>
              <wp:positionV relativeFrom="page">
                <wp:posOffset>63996</wp:posOffset>
              </wp:positionV>
              <wp:extent cx="1862455" cy="176530"/>
              <wp:effectExtent l="0" t="0" r="0" b="0"/>
              <wp:wrapNone/>
              <wp:docPr id="259" name="Textbox 25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862455" cy="176530"/>
                      </a:xfrm>
                      <a:prstGeom prst="rect">
                        <a:avLst/>
                      </a:prstGeom>
                    </wps:spPr>
                    <wps:txbx>
                      <w:txbxContent>
                        <w:p w14:paraId="0F942A18" w14:textId="77777777" w:rsidR="0014798C" w:rsidRDefault="004E1F0B">
                          <w:pPr>
                            <w:spacing w:before="15"/>
                            <w:ind w:left="20"/>
                            <w:rPr>
                              <w:sz w:val="21"/>
                            </w:rPr>
                          </w:pPr>
                          <w:r>
                            <w:rPr>
                              <w:sz w:val="21"/>
                            </w:rPr>
                            <w:t>Machine</w:t>
                          </w:r>
                          <w:r>
                            <w:rPr>
                              <w:spacing w:val="6"/>
                              <w:sz w:val="21"/>
                            </w:rPr>
                            <w:t xml:space="preserve"> </w:t>
                          </w:r>
                          <w:r>
                            <w:rPr>
                              <w:sz w:val="21"/>
                            </w:rPr>
                            <w:t>Translated</w:t>
                          </w:r>
                          <w:r>
                            <w:rPr>
                              <w:spacing w:val="7"/>
                              <w:sz w:val="21"/>
                            </w:rPr>
                            <w:t xml:space="preserve"> </w:t>
                          </w:r>
                          <w:r>
                            <w:rPr>
                              <w:sz w:val="21"/>
                            </w:rPr>
                            <w:t>by</w:t>
                          </w:r>
                          <w:r>
                            <w:rPr>
                              <w:spacing w:val="7"/>
                              <w:sz w:val="21"/>
                            </w:rPr>
                            <w:t xml:space="preserve"> </w:t>
                          </w:r>
                          <w:r>
                            <w:rPr>
                              <w:spacing w:val="-2"/>
                              <w:sz w:val="21"/>
                            </w:rPr>
                            <w:t>Google</w:t>
                          </w:r>
                        </w:p>
                      </w:txbxContent>
                    </wps:txbx>
                    <wps:bodyPr wrap="square" lIns="0" tIns="0" rIns="0" bIns="0" rtlCol="0">
                      <a:noAutofit/>
                    </wps:bodyPr>
                  </wps:wsp>
                </a:graphicData>
              </a:graphic>
            </wp:anchor>
          </w:drawing>
        </mc:Choice>
        <mc:Fallback>
          <w:pict>
            <v:shapetype w14:anchorId="508D0A43" id="_x0000_t202" coordsize="21600,21600" o:spt="202" path="m,l,21600r21600,l21600,xe">
              <v:stroke joinstyle="miter"/>
              <v:path gradientshapeok="t" o:connecttype="rect"/>
            </v:shapetype>
            <v:shape id="Textbox 259" o:spid="_x0000_s1202" type="#_x0000_t202" style="position:absolute;margin-left:14.65pt;margin-top:5.05pt;width:146.65pt;height:13.9pt;z-index:-251658231;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" filled="f" stroked="f">
              <v:textbox inset="0,0,0,0">
                <w:txbxContent>
                  <w:p w14:paraId="0F942A18" w14:textId="77777777" w:rsidR="0014798C" w:rsidRDefault="004E1F0B">
                    <w:pPr>
                      <w:spacing w:before="15"/>
                      <w:ind w:left="20"/>
                      <w:rPr>
                        <w:sz w:val="21"/>
                      </w:rPr>
                    </w:pPr>
                    <w:r>
                      <w:rPr>
                        <w:sz w:val="21"/>
                      </w:rPr>
                      <w:t>Machine</w:t>
                    </w:r>
                    <w:r>
                      <w:rPr>
                        <w:spacing w:val="6"/>
                        <w:sz w:val="21"/>
                      </w:rPr>
                      <w:t xml:space="preserve"> </w:t>
                    </w:r>
                    <w:r>
                      <w:rPr>
                        <w:sz w:val="21"/>
                      </w:rPr>
                      <w:t>Translated</w:t>
                    </w:r>
                    <w:r>
                      <w:rPr>
                        <w:spacing w:val="7"/>
                        <w:sz w:val="21"/>
                      </w:rPr>
                      <w:t xml:space="preserve"> </w:t>
                    </w:r>
                    <w:r>
                      <w:rPr>
                        <w:sz w:val="21"/>
                      </w:rPr>
                      <w:t>by</w:t>
                    </w:r>
                    <w:r>
                      <w:rPr>
                        <w:spacing w:val="7"/>
                        <w:sz w:val="21"/>
                      </w:rPr>
                      <w:t xml:space="preserve"> </w:t>
                    </w:r>
                    <w:r>
                      <w:rPr>
                        <w:spacing w:val="-2"/>
                        <w:sz w:val="21"/>
                      </w:rPr>
                      <w:t>Google</w:t>
                    </w:r>
                  </w:p>
                </w:txbxContent>
              </v:textbox>
              <w10:wrap anchorx="page" anchory="page"/>
            </v:shape>
          </w:pict>
        </mc:Fallback>
      </mc:AlternateConten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43DF470" w14:textId="77777777" w:rsidR="0014798C" w:rsidRDefault="0014798C">
    <w:pPr>
      <w:pStyle w:val="Textoindependiente"/>
      <w:spacing w:line="14" w:lineRule="auto"/>
      <w:rPr>
        <w:sz w:val="2"/>
      </w:rPr>
    </w:pPr>
  </w:p>
</w:hdr>
</file>

<file path=word/header4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4153A34" w14:textId="77777777" w:rsidR="0014798C" w:rsidRDefault="0014798C">
    <w:pPr>
      <w:pStyle w:val="Textoindependiente"/>
      <w:spacing w:line="14" w:lineRule="auto"/>
      <w:rPr>
        <w:sz w:val="2"/>
      </w:rPr>
    </w:pPr>
  </w:p>
</w:hdr>
</file>

<file path=word/header4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01B230" w14:textId="77777777" w:rsidR="0014798C" w:rsidRDefault="004E1F0B">
    <w:pPr>
      <w:pStyle w:val="Textoindependiente"/>
      <w:spacing w:line="14" w:lineRule="auto"/>
      <w:rPr>
        <w:sz w:val="20"/>
      </w:rPr>
    </w:pPr>
    <w:r>
      <w:rPr>
        <w:noProof/>
      </w:rPr>
      <mc:AlternateContent>
        <mc:Choice Requires="wps">
          <w:drawing>
            <wp:anchor distT="0" distB="0" distL="0" distR="0" simplePos="0" relativeHeight="251658250" behindDoc="1" locked="0" layoutInCell="1" allowOverlap="1" wp14:anchorId="30666156" wp14:editId="62B0F55C">
              <wp:simplePos x="0" y="0"/>
              <wp:positionH relativeFrom="page">
                <wp:posOffset>186079</wp:posOffset>
              </wp:positionH>
              <wp:positionV relativeFrom="page">
                <wp:posOffset>63996</wp:posOffset>
              </wp:positionV>
              <wp:extent cx="1862455" cy="176530"/>
              <wp:effectExtent l="0" t="0" r="0" b="0"/>
              <wp:wrapNone/>
              <wp:docPr id="335" name="Textbox 33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862455" cy="176530"/>
                      </a:xfrm>
                      <a:prstGeom prst="rect">
                        <a:avLst/>
                      </a:prstGeom>
                    </wps:spPr>
                    <wps:txbx>
                      <w:txbxContent>
                        <w:p w14:paraId="50933AD8" w14:textId="77777777" w:rsidR="0014798C" w:rsidRDefault="004E1F0B">
                          <w:pPr>
                            <w:spacing w:before="15"/>
                            <w:ind w:left="20"/>
                            <w:rPr>
                              <w:sz w:val="21"/>
                            </w:rPr>
                          </w:pPr>
                          <w:r>
                            <w:rPr>
                              <w:sz w:val="21"/>
                            </w:rPr>
                            <w:t>Machine</w:t>
                          </w:r>
                          <w:r>
                            <w:rPr>
                              <w:spacing w:val="6"/>
                              <w:sz w:val="21"/>
                            </w:rPr>
                            <w:t xml:space="preserve"> </w:t>
                          </w:r>
                          <w:r>
                            <w:rPr>
                              <w:sz w:val="21"/>
                            </w:rPr>
                            <w:t>Translated</w:t>
                          </w:r>
                          <w:r>
                            <w:rPr>
                              <w:spacing w:val="7"/>
                              <w:sz w:val="21"/>
                            </w:rPr>
                            <w:t xml:space="preserve"> </w:t>
                          </w:r>
                          <w:r>
                            <w:rPr>
                              <w:sz w:val="21"/>
                            </w:rPr>
                            <w:t>by</w:t>
                          </w:r>
                          <w:r>
                            <w:rPr>
                              <w:spacing w:val="7"/>
                              <w:sz w:val="21"/>
                            </w:rPr>
                            <w:t xml:space="preserve"> </w:t>
                          </w:r>
                          <w:r>
                            <w:rPr>
                              <w:spacing w:val="-2"/>
                              <w:sz w:val="21"/>
                            </w:rPr>
                            <w:t>Google</w:t>
                          </w:r>
                        </w:p>
                      </w:txbxContent>
                    </wps:txbx>
                    <wps:bodyPr wrap="square" lIns="0" tIns="0" rIns="0" bIns="0" rtlCol="0">
                      <a:noAutofit/>
                    </wps:bodyPr>
                  </wps:wsp>
                </a:graphicData>
              </a:graphic>
            </wp:anchor>
          </w:drawing>
        </mc:Choice>
        <mc:Fallback>
          <w:pict>
            <v:shapetype w14:anchorId="30666156" id="_x0000_t202" coordsize="21600,21600" o:spt="202" path="m,l,21600r21600,l21600,xe">
              <v:stroke joinstyle="miter"/>
              <v:path gradientshapeok="t" o:connecttype="rect"/>
            </v:shapetype>
            <v:shape id="Textbox 335" o:spid="_x0000_s1203" type="#_x0000_t202" style="position:absolute;margin-left:14.65pt;margin-top:5.05pt;width:146.65pt;height:13.9pt;z-index:-25165823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" filled="f" stroked="f">
              <v:textbox inset="0,0,0,0">
                <w:txbxContent>
                  <w:p w14:paraId="50933AD8" w14:textId="77777777" w:rsidR="0014798C" w:rsidRDefault="004E1F0B">
                    <w:pPr>
                      <w:spacing w:before="15"/>
                      <w:ind w:left="20"/>
                      <w:rPr>
                        <w:sz w:val="21"/>
                      </w:rPr>
                    </w:pPr>
                    <w:r>
                      <w:rPr>
                        <w:sz w:val="21"/>
                      </w:rPr>
                      <w:t>Machine</w:t>
                    </w:r>
                    <w:r>
                      <w:rPr>
                        <w:spacing w:val="6"/>
                        <w:sz w:val="21"/>
                      </w:rPr>
                      <w:t xml:space="preserve"> </w:t>
                    </w:r>
                    <w:r>
                      <w:rPr>
                        <w:sz w:val="21"/>
                      </w:rPr>
                      <w:t>Translated</w:t>
                    </w:r>
                    <w:r>
                      <w:rPr>
                        <w:spacing w:val="7"/>
                        <w:sz w:val="21"/>
                      </w:rPr>
                      <w:t xml:space="preserve"> </w:t>
                    </w:r>
                    <w:r>
                      <w:rPr>
                        <w:sz w:val="21"/>
                      </w:rPr>
                      <w:t>by</w:t>
                    </w:r>
                    <w:r>
                      <w:rPr>
                        <w:spacing w:val="7"/>
                        <w:sz w:val="21"/>
                      </w:rPr>
                      <w:t xml:space="preserve"> </w:t>
                    </w:r>
                    <w:r>
                      <w:rPr>
                        <w:spacing w:val="-2"/>
                        <w:sz w:val="21"/>
                      </w:rPr>
                      <w:t>Google</w:t>
                    </w:r>
                  </w:p>
                </w:txbxContent>
              </v:textbox>
              <w10:wrap anchorx="page" anchory="page"/>
            </v:shape>
          </w:pict>
        </mc:Fallback>
      </mc:AlternateContent>
    </w:r>
  </w:p>
</w:hdr>
</file>

<file path=word/header4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176B1F3" w14:textId="77777777" w:rsidR="0014798C" w:rsidRDefault="0014798C">
    <w:pPr>
      <w:pStyle w:val="Textoindependiente"/>
      <w:spacing w:line="14" w:lineRule="auto"/>
      <w:rPr>
        <w:sz w:val="2"/>
      </w:rPr>
    </w:pPr>
  </w:p>
</w:hdr>
</file>

<file path=word/header4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6456BAD" w14:textId="77777777" w:rsidR="0014798C" w:rsidRDefault="004E1F0B">
    <w:pPr>
      <w:pStyle w:val="Textoindependiente"/>
      <w:spacing w:line="14" w:lineRule="auto"/>
      <w:rPr>
        <w:sz w:val="20"/>
      </w:rPr>
    </w:pPr>
    <w:r>
      <w:rPr>
        <w:noProof/>
      </w:rPr>
      <mc:AlternateContent>
        <mc:Choice Requires="wps">
          <w:drawing>
            <wp:anchor distT="0" distB="0" distL="0" distR="0" simplePos="0" relativeHeight="251658251" behindDoc="1" locked="0" layoutInCell="1" allowOverlap="1" wp14:anchorId="39C1B173" wp14:editId="56C15940">
              <wp:simplePos x="0" y="0"/>
              <wp:positionH relativeFrom="page">
                <wp:posOffset>186079</wp:posOffset>
              </wp:positionH>
              <wp:positionV relativeFrom="page">
                <wp:posOffset>63996</wp:posOffset>
              </wp:positionV>
              <wp:extent cx="1862455" cy="176530"/>
              <wp:effectExtent l="0" t="0" r="0" b="0"/>
              <wp:wrapNone/>
              <wp:docPr id="344" name="Textbox 34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862455" cy="176530"/>
                      </a:xfrm>
                      <a:prstGeom prst="rect">
                        <a:avLst/>
                      </a:prstGeom>
                    </wps:spPr>
                    <wps:txbx>
                      <w:txbxContent>
                        <w:p w14:paraId="6B6EB3CF" w14:textId="77777777" w:rsidR="0014798C" w:rsidRDefault="004E1F0B">
                          <w:pPr>
                            <w:spacing w:before="15"/>
                            <w:ind w:left="20"/>
                            <w:rPr>
                              <w:sz w:val="21"/>
                            </w:rPr>
                          </w:pPr>
                          <w:r>
                            <w:rPr>
                              <w:sz w:val="21"/>
                            </w:rPr>
                            <w:t>Machine</w:t>
                          </w:r>
                          <w:r>
                            <w:rPr>
                              <w:spacing w:val="6"/>
                              <w:sz w:val="21"/>
                            </w:rPr>
                            <w:t xml:space="preserve"> </w:t>
                          </w:r>
                          <w:r>
                            <w:rPr>
                              <w:sz w:val="21"/>
                            </w:rPr>
                            <w:t>Translated</w:t>
                          </w:r>
                          <w:r>
                            <w:rPr>
                              <w:spacing w:val="7"/>
                              <w:sz w:val="21"/>
                            </w:rPr>
                            <w:t xml:space="preserve"> </w:t>
                          </w:r>
                          <w:r>
                            <w:rPr>
                              <w:sz w:val="21"/>
                            </w:rPr>
                            <w:t>by</w:t>
                          </w:r>
                          <w:r>
                            <w:rPr>
                              <w:spacing w:val="7"/>
                              <w:sz w:val="21"/>
                            </w:rPr>
                            <w:t xml:space="preserve"> </w:t>
                          </w:r>
                          <w:r>
                            <w:rPr>
                              <w:spacing w:val="-2"/>
                              <w:sz w:val="21"/>
                            </w:rPr>
                            <w:t>Google</w:t>
                          </w:r>
                        </w:p>
                      </w:txbxContent>
                    </wps:txbx>
                    <wps:bodyPr wrap="square" lIns="0" tIns="0" rIns="0" bIns="0" rtlCol="0">
                      <a:noAutofit/>
                    </wps:bodyPr>
                  </wps:wsp>
                </a:graphicData>
              </a:graphic>
            </wp:anchor>
          </w:drawing>
        </mc:Choice>
        <mc:Fallback>
          <w:pict>
            <v:shapetype w14:anchorId="39C1B173" id="_x0000_t202" coordsize="21600,21600" o:spt="202" path="m,l,21600r21600,l21600,xe">
              <v:stroke joinstyle="miter"/>
              <v:path gradientshapeok="t" o:connecttype="rect"/>
            </v:shapetype>
            <v:shape id="Textbox 344" o:spid="_x0000_s1204" type="#_x0000_t202" style="position:absolute;margin-left:14.65pt;margin-top:5.05pt;width:146.65pt;height:13.9pt;z-index:-251658229;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" filled="f" stroked="f">
              <v:textbox inset="0,0,0,0">
                <w:txbxContent>
                  <w:p w14:paraId="6B6EB3CF" w14:textId="77777777" w:rsidR="0014798C" w:rsidRDefault="004E1F0B">
                    <w:pPr>
                      <w:spacing w:before="15"/>
                      <w:ind w:left="20"/>
                      <w:rPr>
                        <w:sz w:val="21"/>
                      </w:rPr>
                    </w:pPr>
                    <w:r>
                      <w:rPr>
                        <w:sz w:val="21"/>
                      </w:rPr>
                      <w:t>Machine</w:t>
                    </w:r>
                    <w:r>
                      <w:rPr>
                        <w:spacing w:val="6"/>
                        <w:sz w:val="21"/>
                      </w:rPr>
                      <w:t xml:space="preserve"> </w:t>
                    </w:r>
                    <w:r>
                      <w:rPr>
                        <w:sz w:val="21"/>
                      </w:rPr>
                      <w:t>Translated</w:t>
                    </w:r>
                    <w:r>
                      <w:rPr>
                        <w:spacing w:val="7"/>
                        <w:sz w:val="21"/>
                      </w:rPr>
                      <w:t xml:space="preserve"> </w:t>
                    </w:r>
                    <w:r>
                      <w:rPr>
                        <w:sz w:val="21"/>
                      </w:rPr>
                      <w:t>by</w:t>
                    </w:r>
                    <w:r>
                      <w:rPr>
                        <w:spacing w:val="7"/>
                        <w:sz w:val="21"/>
                      </w:rPr>
                      <w:t xml:space="preserve"> </w:t>
                    </w:r>
                    <w:r>
                      <w:rPr>
                        <w:spacing w:val="-2"/>
                        <w:sz w:val="21"/>
                      </w:rPr>
                      <w:t>Google</w:t>
                    </w:r>
                  </w:p>
                </w:txbxContent>
              </v:textbox>
              <w10:wrap anchorx="page" anchory="page"/>
            </v:shape>
          </w:pict>
        </mc:Fallback>
      </mc:AlternateContent>
    </w:r>
  </w:p>
</w:hdr>
</file>

<file path=word/header4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EEE87E6" w14:textId="77777777" w:rsidR="0014798C" w:rsidRDefault="0014798C">
    <w:pPr>
      <w:pStyle w:val="Textoindependiente"/>
      <w:spacing w:line="14" w:lineRule="auto"/>
      <w:rPr>
        <w:sz w:val="2"/>
      </w:rPr>
    </w:pPr>
  </w:p>
</w:hdr>
</file>

<file path=word/header4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C0EEE55" w14:textId="77777777" w:rsidR="0014798C" w:rsidRDefault="004E1F0B">
    <w:pPr>
      <w:pStyle w:val="Textoindependiente"/>
      <w:spacing w:line="14" w:lineRule="auto"/>
      <w:rPr>
        <w:sz w:val="20"/>
      </w:rPr>
    </w:pPr>
    <w:r>
      <w:rPr>
        <w:noProof/>
      </w:rPr>
      <mc:AlternateContent>
        <mc:Choice Requires="wps">
          <w:drawing>
            <wp:anchor distT="0" distB="0" distL="0" distR="0" simplePos="0" relativeHeight="251658252" behindDoc="1" locked="0" layoutInCell="1" allowOverlap="1" wp14:anchorId="5289C93C" wp14:editId="0AF9EC99">
              <wp:simplePos x="0" y="0"/>
              <wp:positionH relativeFrom="page">
                <wp:posOffset>186079</wp:posOffset>
              </wp:positionH>
              <wp:positionV relativeFrom="page">
                <wp:posOffset>63996</wp:posOffset>
              </wp:positionV>
              <wp:extent cx="1862455" cy="176530"/>
              <wp:effectExtent l="0" t="0" r="0" b="0"/>
              <wp:wrapNone/>
              <wp:docPr id="376" name="Textbox 37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862455" cy="176530"/>
                      </a:xfrm>
                      <a:prstGeom prst="rect">
                        <a:avLst/>
                      </a:prstGeom>
                    </wps:spPr>
                    <wps:txbx>
                      <w:txbxContent>
                        <w:p w14:paraId="22EF8858" w14:textId="77777777" w:rsidR="0014798C" w:rsidRDefault="004E1F0B">
                          <w:pPr>
                            <w:spacing w:before="15"/>
                            <w:ind w:left="20"/>
                            <w:rPr>
                              <w:sz w:val="21"/>
                            </w:rPr>
                          </w:pPr>
                          <w:r>
                            <w:rPr>
                              <w:sz w:val="21"/>
                            </w:rPr>
                            <w:t>Machine</w:t>
                          </w:r>
                          <w:r>
                            <w:rPr>
                              <w:spacing w:val="6"/>
                              <w:sz w:val="21"/>
                            </w:rPr>
                            <w:t xml:space="preserve"> </w:t>
                          </w:r>
                          <w:r>
                            <w:rPr>
                              <w:sz w:val="21"/>
                            </w:rPr>
                            <w:t>Translated</w:t>
                          </w:r>
                          <w:r>
                            <w:rPr>
                              <w:spacing w:val="7"/>
                              <w:sz w:val="21"/>
                            </w:rPr>
                            <w:t xml:space="preserve"> </w:t>
                          </w:r>
                          <w:r>
                            <w:rPr>
                              <w:sz w:val="21"/>
                            </w:rPr>
                            <w:t>by</w:t>
                          </w:r>
                          <w:r>
                            <w:rPr>
                              <w:spacing w:val="7"/>
                              <w:sz w:val="21"/>
                            </w:rPr>
                            <w:t xml:space="preserve"> </w:t>
                          </w:r>
                          <w:r>
                            <w:rPr>
                              <w:spacing w:val="-2"/>
                              <w:sz w:val="21"/>
                            </w:rPr>
                            <w:t>Google</w:t>
                          </w:r>
                        </w:p>
                      </w:txbxContent>
                    </wps:txbx>
                    <wps:bodyPr wrap="square" lIns="0" tIns="0" rIns="0" bIns="0" rtlCol="0">
                      <a:noAutofit/>
                    </wps:bodyPr>
                  </wps:wsp>
                </a:graphicData>
              </a:graphic>
            </wp:anchor>
          </w:drawing>
        </mc:Choice>
        <mc:Fallback>
          <w:pict>
            <v:shapetype w14:anchorId="5289C93C" id="_x0000_t202" coordsize="21600,21600" o:spt="202" path="m,l,21600r21600,l21600,xe">
              <v:stroke joinstyle="miter"/>
              <v:path gradientshapeok="t" o:connecttype="rect"/>
            </v:shapetype>
            <v:shape id="Textbox 376" o:spid="_x0000_s1205" type="#_x0000_t202" style="position:absolute;margin-left:14.65pt;margin-top:5.05pt;width:146.65pt;height:13.9pt;z-index:-25165822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" filled="f" stroked="f">
              <v:textbox inset="0,0,0,0">
                <w:txbxContent>
                  <w:p w14:paraId="22EF8858" w14:textId="77777777" w:rsidR="0014798C" w:rsidRDefault="004E1F0B">
                    <w:pPr>
                      <w:spacing w:before="15"/>
                      <w:ind w:left="20"/>
                      <w:rPr>
                        <w:sz w:val="21"/>
                      </w:rPr>
                    </w:pPr>
                    <w:r>
                      <w:rPr>
                        <w:sz w:val="21"/>
                      </w:rPr>
                      <w:t>Machine</w:t>
                    </w:r>
                    <w:r>
                      <w:rPr>
                        <w:spacing w:val="6"/>
                        <w:sz w:val="21"/>
                      </w:rPr>
                      <w:t xml:space="preserve"> </w:t>
                    </w:r>
                    <w:r>
                      <w:rPr>
                        <w:sz w:val="21"/>
                      </w:rPr>
                      <w:t>Translated</w:t>
                    </w:r>
                    <w:r>
                      <w:rPr>
                        <w:spacing w:val="7"/>
                        <w:sz w:val="21"/>
                      </w:rPr>
                      <w:t xml:space="preserve"> </w:t>
                    </w:r>
                    <w:r>
                      <w:rPr>
                        <w:sz w:val="21"/>
                      </w:rPr>
                      <w:t>by</w:t>
                    </w:r>
                    <w:r>
                      <w:rPr>
                        <w:spacing w:val="7"/>
                        <w:sz w:val="21"/>
                      </w:rPr>
                      <w:t xml:space="preserve"> </w:t>
                    </w:r>
                    <w:r>
                      <w:rPr>
                        <w:spacing w:val="-2"/>
                        <w:sz w:val="21"/>
                      </w:rPr>
                      <w:t>Google</w:t>
                    </w:r>
                  </w:p>
                </w:txbxContent>
              </v:textbox>
              <w10:wrap anchorx="page" anchory="page"/>
            </v:shape>
          </w:pict>
        </mc:Fallback>
      </mc:AlternateContent>
    </w:r>
  </w:p>
</w:hdr>
</file>

<file path=word/header4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CCB1BAC" w14:textId="77777777" w:rsidR="0014798C" w:rsidRDefault="0014798C">
    <w:pPr>
      <w:pStyle w:val="Textoindependiente"/>
      <w:spacing w:line="14" w:lineRule="auto"/>
      <w:rPr>
        <w:sz w:val="2"/>
      </w:rPr>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1AC4BF0" w14:textId="77777777" w:rsidR="0014798C" w:rsidRDefault="0014798C">
    <w:pPr>
      <w:pStyle w:val="Textoindependiente"/>
      <w:spacing w:line="14" w:lineRule="auto"/>
      <w:rPr>
        <w:sz w:val="2"/>
      </w:rPr>
    </w:pP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A8B54E7" w14:textId="53BB1276" w:rsidR="0014798C" w:rsidRDefault="0014798C">
    <w:pPr>
      <w:pStyle w:val="Textoindependiente"/>
      <w:spacing w:line="14" w:lineRule="auto"/>
      <w:rPr>
        <w:sz w:val="20"/>
      </w:rPr>
    </w:pP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6CBBB09" w14:textId="77777777" w:rsidR="0014798C" w:rsidRDefault="0014798C">
    <w:pPr>
      <w:pStyle w:val="Textoindependiente"/>
      <w:spacing w:line="14" w:lineRule="auto"/>
      <w:rPr>
        <w:sz w:val="2"/>
      </w:rPr>
    </w:pP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1EC9A05" w14:textId="77777777" w:rsidR="0014798C" w:rsidRDefault="0014798C">
    <w:pPr>
      <w:pStyle w:val="Textoindependiente"/>
      <w:spacing w:line="14" w:lineRule="auto"/>
      <w:rPr>
        <w:sz w:val="2"/>
      </w:rPr>
    </w:pPr>
  </w:p>
</w:hdr>
</file>

<file path=word/header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B9999C7" w14:textId="77777777" w:rsidR="0014798C" w:rsidRDefault="0014798C">
    <w:pPr>
      <w:pStyle w:val="Textoindependiente"/>
      <w:spacing w:line="14" w:lineRule="auto"/>
      <w:rPr>
        <w:sz w:val="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1553D9"/>
    <w:multiLevelType w:val="multilevel"/>
    <w:tmpl w:val="D0FCFDFE"/>
    <w:lvl w:ilvl="0">
      <w:start w:val="1"/>
      <w:numFmt w:val="decimal"/>
      <w:lvlText w:val="%1."/>
      <w:lvlJc w:val="left"/>
      <w:pPr>
        <w:ind w:left="1386" w:hanging="251"/>
      </w:pPr>
      <w:rPr>
        <w:rFonts w:hint="default"/>
        <w:spacing w:val="-1"/>
        <w:w w:val="102"/>
        <w:lang w:val="es-ES" w:eastAsia="en-US" w:bidi="ar-SA"/>
      </w:rPr>
    </w:lvl>
    <w:lvl w:ilvl="1">
      <w:start w:val="1"/>
      <w:numFmt w:val="decimal"/>
      <w:lvlText w:val="%2."/>
      <w:lvlJc w:val="left"/>
      <w:pPr>
        <w:ind w:left="1620" w:hanging="159"/>
      </w:pPr>
      <w:rPr>
        <w:rFonts w:ascii="Arial MT" w:eastAsia="Arial MT" w:hAnsi="Arial MT" w:cs="Arial MT" w:hint="default"/>
        <w:b w:val="0"/>
        <w:bCs w:val="0"/>
        <w:i w:val="0"/>
        <w:iCs w:val="0"/>
        <w:spacing w:val="-1"/>
        <w:w w:val="101"/>
        <w:sz w:val="14"/>
        <w:szCs w:val="14"/>
        <w:lang w:val="es-ES" w:eastAsia="en-US" w:bidi="ar-SA"/>
      </w:rPr>
    </w:lvl>
    <w:lvl w:ilvl="2">
      <w:start w:val="1"/>
      <w:numFmt w:val="decimal"/>
      <w:lvlText w:val="%2.%3."/>
      <w:lvlJc w:val="left"/>
      <w:pPr>
        <w:ind w:left="1894" w:hanging="277"/>
      </w:pPr>
      <w:rPr>
        <w:rFonts w:hint="default"/>
        <w:spacing w:val="-1"/>
        <w:w w:val="101"/>
        <w:lang w:val="es-ES" w:eastAsia="en-US" w:bidi="ar-SA"/>
      </w:rPr>
    </w:lvl>
    <w:lvl w:ilvl="3">
      <w:numFmt w:val="bullet"/>
      <w:lvlText w:val="•"/>
      <w:lvlJc w:val="left"/>
      <w:pPr>
        <w:ind w:left="3125" w:hanging="277"/>
      </w:pPr>
      <w:rPr>
        <w:rFonts w:hint="default"/>
        <w:lang w:val="es-ES" w:eastAsia="en-US" w:bidi="ar-SA"/>
      </w:rPr>
    </w:lvl>
    <w:lvl w:ilvl="4">
      <w:numFmt w:val="bullet"/>
      <w:lvlText w:val="•"/>
      <w:lvlJc w:val="left"/>
      <w:pPr>
        <w:ind w:left="4350" w:hanging="277"/>
      </w:pPr>
      <w:rPr>
        <w:rFonts w:hint="default"/>
        <w:lang w:val="es-ES" w:eastAsia="en-US" w:bidi="ar-SA"/>
      </w:rPr>
    </w:lvl>
    <w:lvl w:ilvl="5">
      <w:numFmt w:val="bullet"/>
      <w:lvlText w:val="•"/>
      <w:lvlJc w:val="left"/>
      <w:pPr>
        <w:ind w:left="5575" w:hanging="277"/>
      </w:pPr>
      <w:rPr>
        <w:rFonts w:hint="default"/>
        <w:lang w:val="es-ES" w:eastAsia="en-US" w:bidi="ar-SA"/>
      </w:rPr>
    </w:lvl>
    <w:lvl w:ilvl="6">
      <w:numFmt w:val="bullet"/>
      <w:lvlText w:val="•"/>
      <w:lvlJc w:val="left"/>
      <w:pPr>
        <w:ind w:left="6800" w:hanging="277"/>
      </w:pPr>
      <w:rPr>
        <w:rFonts w:hint="default"/>
        <w:lang w:val="es-ES" w:eastAsia="en-US" w:bidi="ar-SA"/>
      </w:rPr>
    </w:lvl>
    <w:lvl w:ilvl="7">
      <w:numFmt w:val="bullet"/>
      <w:lvlText w:val="•"/>
      <w:lvlJc w:val="left"/>
      <w:pPr>
        <w:ind w:left="8025" w:hanging="277"/>
      </w:pPr>
      <w:rPr>
        <w:rFonts w:hint="default"/>
        <w:lang w:val="es-ES" w:eastAsia="en-US" w:bidi="ar-SA"/>
      </w:rPr>
    </w:lvl>
    <w:lvl w:ilvl="8">
      <w:numFmt w:val="bullet"/>
      <w:lvlText w:val="•"/>
      <w:lvlJc w:val="left"/>
      <w:pPr>
        <w:ind w:left="9250" w:hanging="277"/>
      </w:pPr>
      <w:rPr>
        <w:rFonts w:hint="default"/>
        <w:lang w:val="es-ES" w:eastAsia="en-US" w:bidi="ar-SA"/>
      </w:rPr>
    </w:lvl>
  </w:abstractNum>
  <w:abstractNum w:abstractNumId="1" w15:restartNumberingAfterBreak="0">
    <w:nsid w:val="00416187"/>
    <w:multiLevelType w:val="hybridMultilevel"/>
    <w:tmpl w:val="623E5282"/>
    <w:lvl w:ilvl="0" w:tplc="CCB6F726">
      <w:start w:val="287"/>
      <w:numFmt w:val="decimal"/>
      <w:lvlText w:val="%1"/>
      <w:lvlJc w:val="left"/>
      <w:pPr>
        <w:ind w:left="1332" w:hanging="228"/>
      </w:pPr>
      <w:rPr>
        <w:rFonts w:ascii="Arial MT" w:eastAsia="Arial MT" w:hAnsi="Arial MT" w:cs="Arial MT" w:hint="default"/>
        <w:b w:val="0"/>
        <w:bCs w:val="0"/>
        <w:i w:val="0"/>
        <w:iCs w:val="0"/>
        <w:spacing w:val="-1"/>
        <w:w w:val="106"/>
        <w:sz w:val="11"/>
        <w:szCs w:val="11"/>
        <w:lang w:val="es-ES" w:eastAsia="en-US" w:bidi="ar-SA"/>
      </w:rPr>
    </w:lvl>
    <w:lvl w:ilvl="1" w:tplc="355C8D2C">
      <w:numFmt w:val="bullet"/>
      <w:lvlText w:val="•"/>
      <w:lvlJc w:val="left"/>
      <w:pPr>
        <w:ind w:left="2376" w:hanging="228"/>
      </w:pPr>
      <w:rPr>
        <w:rFonts w:hint="default"/>
        <w:lang w:val="es-ES" w:eastAsia="en-US" w:bidi="ar-SA"/>
      </w:rPr>
    </w:lvl>
    <w:lvl w:ilvl="2" w:tplc="6764D39C">
      <w:numFmt w:val="bullet"/>
      <w:lvlText w:val="•"/>
      <w:lvlJc w:val="left"/>
      <w:pPr>
        <w:ind w:left="3412" w:hanging="228"/>
      </w:pPr>
      <w:rPr>
        <w:rFonts w:hint="default"/>
        <w:lang w:val="es-ES" w:eastAsia="en-US" w:bidi="ar-SA"/>
      </w:rPr>
    </w:lvl>
    <w:lvl w:ilvl="3" w:tplc="BE3E08AE">
      <w:numFmt w:val="bullet"/>
      <w:lvlText w:val="•"/>
      <w:lvlJc w:val="left"/>
      <w:pPr>
        <w:ind w:left="4448" w:hanging="228"/>
      </w:pPr>
      <w:rPr>
        <w:rFonts w:hint="default"/>
        <w:lang w:val="es-ES" w:eastAsia="en-US" w:bidi="ar-SA"/>
      </w:rPr>
    </w:lvl>
    <w:lvl w:ilvl="4" w:tplc="6E507D48">
      <w:numFmt w:val="bullet"/>
      <w:lvlText w:val="•"/>
      <w:lvlJc w:val="left"/>
      <w:pPr>
        <w:ind w:left="5484" w:hanging="228"/>
      </w:pPr>
      <w:rPr>
        <w:rFonts w:hint="default"/>
        <w:lang w:val="es-ES" w:eastAsia="en-US" w:bidi="ar-SA"/>
      </w:rPr>
    </w:lvl>
    <w:lvl w:ilvl="5" w:tplc="CB003808">
      <w:numFmt w:val="bullet"/>
      <w:lvlText w:val="•"/>
      <w:lvlJc w:val="left"/>
      <w:pPr>
        <w:ind w:left="6520" w:hanging="228"/>
      </w:pPr>
      <w:rPr>
        <w:rFonts w:hint="default"/>
        <w:lang w:val="es-ES" w:eastAsia="en-US" w:bidi="ar-SA"/>
      </w:rPr>
    </w:lvl>
    <w:lvl w:ilvl="6" w:tplc="11EE1C2E">
      <w:numFmt w:val="bullet"/>
      <w:lvlText w:val="•"/>
      <w:lvlJc w:val="left"/>
      <w:pPr>
        <w:ind w:left="7556" w:hanging="228"/>
      </w:pPr>
      <w:rPr>
        <w:rFonts w:hint="default"/>
        <w:lang w:val="es-ES" w:eastAsia="en-US" w:bidi="ar-SA"/>
      </w:rPr>
    </w:lvl>
    <w:lvl w:ilvl="7" w:tplc="9752B80E">
      <w:numFmt w:val="bullet"/>
      <w:lvlText w:val="•"/>
      <w:lvlJc w:val="left"/>
      <w:pPr>
        <w:ind w:left="8592" w:hanging="228"/>
      </w:pPr>
      <w:rPr>
        <w:rFonts w:hint="default"/>
        <w:lang w:val="es-ES" w:eastAsia="en-US" w:bidi="ar-SA"/>
      </w:rPr>
    </w:lvl>
    <w:lvl w:ilvl="8" w:tplc="9B0C9F1E">
      <w:numFmt w:val="bullet"/>
      <w:lvlText w:val="•"/>
      <w:lvlJc w:val="left"/>
      <w:pPr>
        <w:ind w:left="9628" w:hanging="228"/>
      </w:pPr>
      <w:rPr>
        <w:rFonts w:hint="default"/>
        <w:lang w:val="es-ES" w:eastAsia="en-US" w:bidi="ar-SA"/>
      </w:rPr>
    </w:lvl>
  </w:abstractNum>
  <w:abstractNum w:abstractNumId="2" w15:restartNumberingAfterBreak="0">
    <w:nsid w:val="006C6F7E"/>
    <w:multiLevelType w:val="hybridMultilevel"/>
    <w:tmpl w:val="0636BB06"/>
    <w:lvl w:ilvl="0" w:tplc="610454FC">
      <w:start w:val="844"/>
      <w:numFmt w:val="decimal"/>
      <w:lvlText w:val="%1"/>
      <w:lvlJc w:val="left"/>
      <w:pPr>
        <w:ind w:left="1352" w:hanging="243"/>
      </w:pPr>
      <w:rPr>
        <w:rFonts w:hint="default"/>
        <w:spacing w:val="-1"/>
        <w:w w:val="103"/>
        <w:lang w:val="es-ES" w:eastAsia="en-US" w:bidi="ar-SA"/>
      </w:rPr>
    </w:lvl>
    <w:lvl w:ilvl="1" w:tplc="ADA64BE2">
      <w:numFmt w:val="bullet"/>
      <w:lvlText w:val="•"/>
      <w:lvlJc w:val="left"/>
      <w:pPr>
        <w:ind w:left="2394" w:hanging="243"/>
      </w:pPr>
      <w:rPr>
        <w:rFonts w:hint="default"/>
        <w:lang w:val="es-ES" w:eastAsia="en-US" w:bidi="ar-SA"/>
      </w:rPr>
    </w:lvl>
    <w:lvl w:ilvl="2" w:tplc="7AE2C538">
      <w:numFmt w:val="bullet"/>
      <w:lvlText w:val="•"/>
      <w:lvlJc w:val="left"/>
      <w:pPr>
        <w:ind w:left="3428" w:hanging="243"/>
      </w:pPr>
      <w:rPr>
        <w:rFonts w:hint="default"/>
        <w:lang w:val="es-ES" w:eastAsia="en-US" w:bidi="ar-SA"/>
      </w:rPr>
    </w:lvl>
    <w:lvl w:ilvl="3" w:tplc="967824B4">
      <w:numFmt w:val="bullet"/>
      <w:lvlText w:val="•"/>
      <w:lvlJc w:val="left"/>
      <w:pPr>
        <w:ind w:left="4462" w:hanging="243"/>
      </w:pPr>
      <w:rPr>
        <w:rFonts w:hint="default"/>
        <w:lang w:val="es-ES" w:eastAsia="en-US" w:bidi="ar-SA"/>
      </w:rPr>
    </w:lvl>
    <w:lvl w:ilvl="4" w:tplc="6F48A192">
      <w:numFmt w:val="bullet"/>
      <w:lvlText w:val="•"/>
      <w:lvlJc w:val="left"/>
      <w:pPr>
        <w:ind w:left="5496" w:hanging="243"/>
      </w:pPr>
      <w:rPr>
        <w:rFonts w:hint="default"/>
        <w:lang w:val="es-ES" w:eastAsia="en-US" w:bidi="ar-SA"/>
      </w:rPr>
    </w:lvl>
    <w:lvl w:ilvl="5" w:tplc="FF56185A">
      <w:numFmt w:val="bullet"/>
      <w:lvlText w:val="•"/>
      <w:lvlJc w:val="left"/>
      <w:pPr>
        <w:ind w:left="6530" w:hanging="243"/>
      </w:pPr>
      <w:rPr>
        <w:rFonts w:hint="default"/>
        <w:lang w:val="es-ES" w:eastAsia="en-US" w:bidi="ar-SA"/>
      </w:rPr>
    </w:lvl>
    <w:lvl w:ilvl="6" w:tplc="9D86CAB8">
      <w:numFmt w:val="bullet"/>
      <w:lvlText w:val="•"/>
      <w:lvlJc w:val="left"/>
      <w:pPr>
        <w:ind w:left="7564" w:hanging="243"/>
      </w:pPr>
      <w:rPr>
        <w:rFonts w:hint="default"/>
        <w:lang w:val="es-ES" w:eastAsia="en-US" w:bidi="ar-SA"/>
      </w:rPr>
    </w:lvl>
    <w:lvl w:ilvl="7" w:tplc="7B7823B8">
      <w:numFmt w:val="bullet"/>
      <w:lvlText w:val="•"/>
      <w:lvlJc w:val="left"/>
      <w:pPr>
        <w:ind w:left="8598" w:hanging="243"/>
      </w:pPr>
      <w:rPr>
        <w:rFonts w:hint="default"/>
        <w:lang w:val="es-ES" w:eastAsia="en-US" w:bidi="ar-SA"/>
      </w:rPr>
    </w:lvl>
    <w:lvl w:ilvl="8" w:tplc="CE4CB5A0">
      <w:numFmt w:val="bullet"/>
      <w:lvlText w:val="•"/>
      <w:lvlJc w:val="left"/>
      <w:pPr>
        <w:ind w:left="9632" w:hanging="243"/>
      </w:pPr>
      <w:rPr>
        <w:rFonts w:hint="default"/>
        <w:lang w:val="es-ES" w:eastAsia="en-US" w:bidi="ar-SA"/>
      </w:rPr>
    </w:lvl>
  </w:abstractNum>
  <w:abstractNum w:abstractNumId="3" w15:restartNumberingAfterBreak="0">
    <w:nsid w:val="02273521"/>
    <w:multiLevelType w:val="hybridMultilevel"/>
    <w:tmpl w:val="FEE666AC"/>
    <w:lvl w:ilvl="0" w:tplc="4DC27178">
      <w:numFmt w:val="bullet"/>
      <w:lvlText w:val="•"/>
      <w:lvlJc w:val="left"/>
      <w:pPr>
        <w:ind w:left="1345" w:hanging="101"/>
      </w:pPr>
      <w:rPr>
        <w:rFonts w:ascii="Arial MT" w:eastAsia="Arial MT" w:hAnsi="Arial MT" w:cs="Arial MT" w:hint="default"/>
        <w:b w:val="0"/>
        <w:bCs w:val="0"/>
        <w:i w:val="0"/>
        <w:iCs w:val="0"/>
        <w:spacing w:val="0"/>
        <w:w w:val="100"/>
        <w:sz w:val="16"/>
        <w:szCs w:val="16"/>
        <w:lang w:val="es-ES" w:eastAsia="en-US" w:bidi="ar-SA"/>
      </w:rPr>
    </w:lvl>
    <w:lvl w:ilvl="1" w:tplc="85DE0802">
      <w:numFmt w:val="bullet"/>
      <w:lvlText w:val="•"/>
      <w:lvlJc w:val="left"/>
      <w:pPr>
        <w:ind w:left="2376" w:hanging="101"/>
      </w:pPr>
      <w:rPr>
        <w:rFonts w:hint="default"/>
        <w:lang w:val="es-ES" w:eastAsia="en-US" w:bidi="ar-SA"/>
      </w:rPr>
    </w:lvl>
    <w:lvl w:ilvl="2" w:tplc="9FC240EA">
      <w:numFmt w:val="bullet"/>
      <w:lvlText w:val="•"/>
      <w:lvlJc w:val="left"/>
      <w:pPr>
        <w:ind w:left="3412" w:hanging="101"/>
      </w:pPr>
      <w:rPr>
        <w:rFonts w:hint="default"/>
        <w:lang w:val="es-ES" w:eastAsia="en-US" w:bidi="ar-SA"/>
      </w:rPr>
    </w:lvl>
    <w:lvl w:ilvl="3" w:tplc="C4128F70">
      <w:numFmt w:val="bullet"/>
      <w:lvlText w:val="•"/>
      <w:lvlJc w:val="left"/>
      <w:pPr>
        <w:ind w:left="4448" w:hanging="101"/>
      </w:pPr>
      <w:rPr>
        <w:rFonts w:hint="default"/>
        <w:lang w:val="es-ES" w:eastAsia="en-US" w:bidi="ar-SA"/>
      </w:rPr>
    </w:lvl>
    <w:lvl w:ilvl="4" w:tplc="32264C94">
      <w:numFmt w:val="bullet"/>
      <w:lvlText w:val="•"/>
      <w:lvlJc w:val="left"/>
      <w:pPr>
        <w:ind w:left="5484" w:hanging="101"/>
      </w:pPr>
      <w:rPr>
        <w:rFonts w:hint="default"/>
        <w:lang w:val="es-ES" w:eastAsia="en-US" w:bidi="ar-SA"/>
      </w:rPr>
    </w:lvl>
    <w:lvl w:ilvl="5" w:tplc="4FEC7D76">
      <w:numFmt w:val="bullet"/>
      <w:lvlText w:val="•"/>
      <w:lvlJc w:val="left"/>
      <w:pPr>
        <w:ind w:left="6520" w:hanging="101"/>
      </w:pPr>
      <w:rPr>
        <w:rFonts w:hint="default"/>
        <w:lang w:val="es-ES" w:eastAsia="en-US" w:bidi="ar-SA"/>
      </w:rPr>
    </w:lvl>
    <w:lvl w:ilvl="6" w:tplc="B64C0304">
      <w:numFmt w:val="bullet"/>
      <w:lvlText w:val="•"/>
      <w:lvlJc w:val="left"/>
      <w:pPr>
        <w:ind w:left="7556" w:hanging="101"/>
      </w:pPr>
      <w:rPr>
        <w:rFonts w:hint="default"/>
        <w:lang w:val="es-ES" w:eastAsia="en-US" w:bidi="ar-SA"/>
      </w:rPr>
    </w:lvl>
    <w:lvl w:ilvl="7" w:tplc="318898DA">
      <w:numFmt w:val="bullet"/>
      <w:lvlText w:val="•"/>
      <w:lvlJc w:val="left"/>
      <w:pPr>
        <w:ind w:left="8592" w:hanging="101"/>
      </w:pPr>
      <w:rPr>
        <w:rFonts w:hint="default"/>
        <w:lang w:val="es-ES" w:eastAsia="en-US" w:bidi="ar-SA"/>
      </w:rPr>
    </w:lvl>
    <w:lvl w:ilvl="8" w:tplc="574EA56E">
      <w:numFmt w:val="bullet"/>
      <w:lvlText w:val="•"/>
      <w:lvlJc w:val="left"/>
      <w:pPr>
        <w:ind w:left="9628" w:hanging="101"/>
      </w:pPr>
      <w:rPr>
        <w:rFonts w:hint="default"/>
        <w:lang w:val="es-ES" w:eastAsia="en-US" w:bidi="ar-SA"/>
      </w:rPr>
    </w:lvl>
  </w:abstractNum>
  <w:abstractNum w:abstractNumId="4" w15:restartNumberingAfterBreak="0">
    <w:nsid w:val="02FA714D"/>
    <w:multiLevelType w:val="hybridMultilevel"/>
    <w:tmpl w:val="BF84DE24"/>
    <w:lvl w:ilvl="0" w:tplc="8432F0B2">
      <w:start w:val="1"/>
      <w:numFmt w:val="upperRoman"/>
      <w:lvlText w:val="%1."/>
      <w:lvlJc w:val="left"/>
      <w:pPr>
        <w:ind w:left="1357" w:hanging="235"/>
      </w:pPr>
      <w:rPr>
        <w:rFonts w:hint="default"/>
        <w:spacing w:val="-1"/>
        <w:w w:val="92"/>
        <w:lang w:val="es-ES" w:eastAsia="en-US" w:bidi="ar-SA"/>
      </w:rPr>
    </w:lvl>
    <w:lvl w:ilvl="1" w:tplc="9A98573E">
      <w:start w:val="1"/>
      <w:numFmt w:val="upperLetter"/>
      <w:lvlText w:val="%2."/>
      <w:lvlJc w:val="left"/>
      <w:pPr>
        <w:ind w:left="1447" w:hanging="347"/>
      </w:pPr>
      <w:rPr>
        <w:rFonts w:hint="default"/>
        <w:spacing w:val="-1"/>
        <w:w w:val="101"/>
        <w:lang w:val="es-ES" w:eastAsia="en-US" w:bidi="ar-SA"/>
      </w:rPr>
    </w:lvl>
    <w:lvl w:ilvl="2" w:tplc="7B365E5E">
      <w:numFmt w:val="bullet"/>
      <w:lvlText w:val="•"/>
      <w:lvlJc w:val="left"/>
      <w:pPr>
        <w:ind w:left="1347" w:hanging="347"/>
      </w:pPr>
      <w:rPr>
        <w:rFonts w:ascii="Arial MT" w:eastAsia="Arial MT" w:hAnsi="Arial MT" w:cs="Arial MT" w:hint="default"/>
        <w:spacing w:val="0"/>
        <w:w w:val="102"/>
        <w:lang w:val="es-ES" w:eastAsia="en-US" w:bidi="ar-SA"/>
      </w:rPr>
    </w:lvl>
    <w:lvl w:ilvl="3" w:tplc="97B80804">
      <w:numFmt w:val="bullet"/>
      <w:lvlText w:val="•"/>
      <w:lvlJc w:val="left"/>
      <w:pPr>
        <w:ind w:left="1440" w:hanging="347"/>
      </w:pPr>
      <w:rPr>
        <w:rFonts w:hint="default"/>
        <w:lang w:val="es-ES" w:eastAsia="en-US" w:bidi="ar-SA"/>
      </w:rPr>
    </w:lvl>
    <w:lvl w:ilvl="4" w:tplc="F9C471D2">
      <w:numFmt w:val="bullet"/>
      <w:lvlText w:val="•"/>
      <w:lvlJc w:val="left"/>
      <w:pPr>
        <w:ind w:left="1560" w:hanging="347"/>
      </w:pPr>
      <w:rPr>
        <w:rFonts w:hint="default"/>
        <w:lang w:val="es-ES" w:eastAsia="en-US" w:bidi="ar-SA"/>
      </w:rPr>
    </w:lvl>
    <w:lvl w:ilvl="5" w:tplc="E954DC62">
      <w:numFmt w:val="bullet"/>
      <w:lvlText w:val="•"/>
      <w:lvlJc w:val="left"/>
      <w:pPr>
        <w:ind w:left="3250" w:hanging="347"/>
      </w:pPr>
      <w:rPr>
        <w:rFonts w:hint="default"/>
        <w:lang w:val="es-ES" w:eastAsia="en-US" w:bidi="ar-SA"/>
      </w:rPr>
    </w:lvl>
    <w:lvl w:ilvl="6" w:tplc="26C0F99C">
      <w:numFmt w:val="bullet"/>
      <w:lvlText w:val="•"/>
      <w:lvlJc w:val="left"/>
      <w:pPr>
        <w:ind w:left="4940" w:hanging="347"/>
      </w:pPr>
      <w:rPr>
        <w:rFonts w:hint="default"/>
        <w:lang w:val="es-ES" w:eastAsia="en-US" w:bidi="ar-SA"/>
      </w:rPr>
    </w:lvl>
    <w:lvl w:ilvl="7" w:tplc="99FAADAA">
      <w:numFmt w:val="bullet"/>
      <w:lvlText w:val="•"/>
      <w:lvlJc w:val="left"/>
      <w:pPr>
        <w:ind w:left="6630" w:hanging="347"/>
      </w:pPr>
      <w:rPr>
        <w:rFonts w:hint="default"/>
        <w:lang w:val="es-ES" w:eastAsia="en-US" w:bidi="ar-SA"/>
      </w:rPr>
    </w:lvl>
    <w:lvl w:ilvl="8" w:tplc="E8967F74">
      <w:numFmt w:val="bullet"/>
      <w:lvlText w:val="•"/>
      <w:lvlJc w:val="left"/>
      <w:pPr>
        <w:ind w:left="8320" w:hanging="347"/>
      </w:pPr>
      <w:rPr>
        <w:rFonts w:hint="default"/>
        <w:lang w:val="es-ES" w:eastAsia="en-US" w:bidi="ar-SA"/>
      </w:rPr>
    </w:lvl>
  </w:abstractNum>
  <w:abstractNum w:abstractNumId="5" w15:restartNumberingAfterBreak="0">
    <w:nsid w:val="0361501E"/>
    <w:multiLevelType w:val="hybridMultilevel"/>
    <w:tmpl w:val="8CA28F00"/>
    <w:lvl w:ilvl="0" w:tplc="60424B82">
      <w:start w:val="461"/>
      <w:numFmt w:val="decimal"/>
      <w:lvlText w:val="%1"/>
      <w:lvlJc w:val="left"/>
      <w:pPr>
        <w:ind w:left="1375" w:hanging="235"/>
      </w:pPr>
      <w:rPr>
        <w:rFonts w:hint="default"/>
        <w:spacing w:val="-1"/>
        <w:w w:val="100"/>
        <w:lang w:val="es-ES" w:eastAsia="en-US" w:bidi="ar-SA"/>
      </w:rPr>
    </w:lvl>
    <w:lvl w:ilvl="1" w:tplc="1700BCBA">
      <w:numFmt w:val="bullet"/>
      <w:lvlText w:val="•"/>
      <w:lvlJc w:val="left"/>
      <w:pPr>
        <w:ind w:left="2412" w:hanging="235"/>
      </w:pPr>
      <w:rPr>
        <w:rFonts w:hint="default"/>
        <w:lang w:val="es-ES" w:eastAsia="en-US" w:bidi="ar-SA"/>
      </w:rPr>
    </w:lvl>
    <w:lvl w:ilvl="2" w:tplc="AAE6ECE6">
      <w:numFmt w:val="bullet"/>
      <w:lvlText w:val="•"/>
      <w:lvlJc w:val="left"/>
      <w:pPr>
        <w:ind w:left="3444" w:hanging="235"/>
      </w:pPr>
      <w:rPr>
        <w:rFonts w:hint="default"/>
        <w:lang w:val="es-ES" w:eastAsia="en-US" w:bidi="ar-SA"/>
      </w:rPr>
    </w:lvl>
    <w:lvl w:ilvl="3" w:tplc="F312A014">
      <w:numFmt w:val="bullet"/>
      <w:lvlText w:val="•"/>
      <w:lvlJc w:val="left"/>
      <w:pPr>
        <w:ind w:left="4476" w:hanging="235"/>
      </w:pPr>
      <w:rPr>
        <w:rFonts w:hint="default"/>
        <w:lang w:val="es-ES" w:eastAsia="en-US" w:bidi="ar-SA"/>
      </w:rPr>
    </w:lvl>
    <w:lvl w:ilvl="4" w:tplc="A614E502">
      <w:numFmt w:val="bullet"/>
      <w:lvlText w:val="•"/>
      <w:lvlJc w:val="left"/>
      <w:pPr>
        <w:ind w:left="5508" w:hanging="235"/>
      </w:pPr>
      <w:rPr>
        <w:rFonts w:hint="default"/>
        <w:lang w:val="es-ES" w:eastAsia="en-US" w:bidi="ar-SA"/>
      </w:rPr>
    </w:lvl>
    <w:lvl w:ilvl="5" w:tplc="3314D9F6">
      <w:numFmt w:val="bullet"/>
      <w:lvlText w:val="•"/>
      <w:lvlJc w:val="left"/>
      <w:pPr>
        <w:ind w:left="6540" w:hanging="235"/>
      </w:pPr>
      <w:rPr>
        <w:rFonts w:hint="default"/>
        <w:lang w:val="es-ES" w:eastAsia="en-US" w:bidi="ar-SA"/>
      </w:rPr>
    </w:lvl>
    <w:lvl w:ilvl="6" w:tplc="436C1BF6">
      <w:numFmt w:val="bullet"/>
      <w:lvlText w:val="•"/>
      <w:lvlJc w:val="left"/>
      <w:pPr>
        <w:ind w:left="7572" w:hanging="235"/>
      </w:pPr>
      <w:rPr>
        <w:rFonts w:hint="default"/>
        <w:lang w:val="es-ES" w:eastAsia="en-US" w:bidi="ar-SA"/>
      </w:rPr>
    </w:lvl>
    <w:lvl w:ilvl="7" w:tplc="1FC89C04">
      <w:numFmt w:val="bullet"/>
      <w:lvlText w:val="•"/>
      <w:lvlJc w:val="left"/>
      <w:pPr>
        <w:ind w:left="8604" w:hanging="235"/>
      </w:pPr>
      <w:rPr>
        <w:rFonts w:hint="default"/>
        <w:lang w:val="es-ES" w:eastAsia="en-US" w:bidi="ar-SA"/>
      </w:rPr>
    </w:lvl>
    <w:lvl w:ilvl="8" w:tplc="D5C43D40">
      <w:numFmt w:val="bullet"/>
      <w:lvlText w:val="•"/>
      <w:lvlJc w:val="left"/>
      <w:pPr>
        <w:ind w:left="9636" w:hanging="235"/>
      </w:pPr>
      <w:rPr>
        <w:rFonts w:hint="default"/>
        <w:lang w:val="es-ES" w:eastAsia="en-US" w:bidi="ar-SA"/>
      </w:rPr>
    </w:lvl>
  </w:abstractNum>
  <w:abstractNum w:abstractNumId="6" w15:restartNumberingAfterBreak="0">
    <w:nsid w:val="04737211"/>
    <w:multiLevelType w:val="hybridMultilevel"/>
    <w:tmpl w:val="6B52BCEA"/>
    <w:lvl w:ilvl="0" w:tplc="61FA4488">
      <w:start w:val="1"/>
      <w:numFmt w:val="decimal"/>
      <w:lvlText w:val="%1."/>
      <w:lvlJc w:val="left"/>
      <w:pPr>
        <w:ind w:left="1473" w:hanging="360"/>
      </w:pPr>
      <w:rPr>
        <w:rFonts w:hint="default"/>
        <w:w w:val="105"/>
      </w:r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7" w15:restartNumberingAfterBreak="0">
    <w:nsid w:val="058569AC"/>
    <w:multiLevelType w:val="hybridMultilevel"/>
    <w:tmpl w:val="6E1A44C8"/>
    <w:lvl w:ilvl="0" w:tplc="3BD4AFAE">
      <w:start w:val="177"/>
      <w:numFmt w:val="decimal"/>
      <w:lvlText w:val="%1"/>
      <w:lvlJc w:val="left"/>
      <w:pPr>
        <w:ind w:left="1355" w:hanging="244"/>
      </w:pPr>
      <w:rPr>
        <w:rFonts w:ascii="Arial MT" w:eastAsia="Arial MT" w:hAnsi="Arial MT" w:cs="Arial MT" w:hint="default"/>
        <w:b w:val="0"/>
        <w:bCs w:val="0"/>
        <w:i w:val="0"/>
        <w:iCs w:val="0"/>
        <w:spacing w:val="-1"/>
        <w:w w:val="104"/>
        <w:sz w:val="12"/>
        <w:szCs w:val="12"/>
        <w:lang w:val="es-ES" w:eastAsia="en-US" w:bidi="ar-SA"/>
      </w:rPr>
    </w:lvl>
    <w:lvl w:ilvl="1" w:tplc="4D7E582E">
      <w:numFmt w:val="bullet"/>
      <w:lvlText w:val="•"/>
      <w:lvlJc w:val="left"/>
      <w:pPr>
        <w:ind w:left="2394" w:hanging="244"/>
      </w:pPr>
      <w:rPr>
        <w:rFonts w:hint="default"/>
        <w:lang w:val="es-ES" w:eastAsia="en-US" w:bidi="ar-SA"/>
      </w:rPr>
    </w:lvl>
    <w:lvl w:ilvl="2" w:tplc="4D78781A">
      <w:numFmt w:val="bullet"/>
      <w:lvlText w:val="•"/>
      <w:lvlJc w:val="left"/>
      <w:pPr>
        <w:ind w:left="3428" w:hanging="244"/>
      </w:pPr>
      <w:rPr>
        <w:rFonts w:hint="default"/>
        <w:lang w:val="es-ES" w:eastAsia="en-US" w:bidi="ar-SA"/>
      </w:rPr>
    </w:lvl>
    <w:lvl w:ilvl="3" w:tplc="07D6E0A8">
      <w:numFmt w:val="bullet"/>
      <w:lvlText w:val="•"/>
      <w:lvlJc w:val="left"/>
      <w:pPr>
        <w:ind w:left="4462" w:hanging="244"/>
      </w:pPr>
      <w:rPr>
        <w:rFonts w:hint="default"/>
        <w:lang w:val="es-ES" w:eastAsia="en-US" w:bidi="ar-SA"/>
      </w:rPr>
    </w:lvl>
    <w:lvl w:ilvl="4" w:tplc="25FEC70A">
      <w:numFmt w:val="bullet"/>
      <w:lvlText w:val="•"/>
      <w:lvlJc w:val="left"/>
      <w:pPr>
        <w:ind w:left="5496" w:hanging="244"/>
      </w:pPr>
      <w:rPr>
        <w:rFonts w:hint="default"/>
        <w:lang w:val="es-ES" w:eastAsia="en-US" w:bidi="ar-SA"/>
      </w:rPr>
    </w:lvl>
    <w:lvl w:ilvl="5" w:tplc="4EACB1A0">
      <w:numFmt w:val="bullet"/>
      <w:lvlText w:val="•"/>
      <w:lvlJc w:val="left"/>
      <w:pPr>
        <w:ind w:left="6530" w:hanging="244"/>
      </w:pPr>
      <w:rPr>
        <w:rFonts w:hint="default"/>
        <w:lang w:val="es-ES" w:eastAsia="en-US" w:bidi="ar-SA"/>
      </w:rPr>
    </w:lvl>
    <w:lvl w:ilvl="6" w:tplc="F5B4C3C0">
      <w:numFmt w:val="bullet"/>
      <w:lvlText w:val="•"/>
      <w:lvlJc w:val="left"/>
      <w:pPr>
        <w:ind w:left="7564" w:hanging="244"/>
      </w:pPr>
      <w:rPr>
        <w:rFonts w:hint="default"/>
        <w:lang w:val="es-ES" w:eastAsia="en-US" w:bidi="ar-SA"/>
      </w:rPr>
    </w:lvl>
    <w:lvl w:ilvl="7" w:tplc="2758D828">
      <w:numFmt w:val="bullet"/>
      <w:lvlText w:val="•"/>
      <w:lvlJc w:val="left"/>
      <w:pPr>
        <w:ind w:left="8598" w:hanging="244"/>
      </w:pPr>
      <w:rPr>
        <w:rFonts w:hint="default"/>
        <w:lang w:val="es-ES" w:eastAsia="en-US" w:bidi="ar-SA"/>
      </w:rPr>
    </w:lvl>
    <w:lvl w:ilvl="8" w:tplc="1610E94A">
      <w:numFmt w:val="bullet"/>
      <w:lvlText w:val="•"/>
      <w:lvlJc w:val="left"/>
      <w:pPr>
        <w:ind w:left="9632" w:hanging="244"/>
      </w:pPr>
      <w:rPr>
        <w:rFonts w:hint="default"/>
        <w:lang w:val="es-ES" w:eastAsia="en-US" w:bidi="ar-SA"/>
      </w:rPr>
    </w:lvl>
  </w:abstractNum>
  <w:abstractNum w:abstractNumId="8" w15:restartNumberingAfterBreak="0">
    <w:nsid w:val="067036F4"/>
    <w:multiLevelType w:val="hybridMultilevel"/>
    <w:tmpl w:val="D93EA11A"/>
    <w:lvl w:ilvl="0" w:tplc="F3D23FBC">
      <w:start w:val="1"/>
      <w:numFmt w:val="upperRoman"/>
      <w:lvlText w:val="%1."/>
      <w:lvlJc w:val="left"/>
      <w:pPr>
        <w:ind w:left="1583" w:hanging="222"/>
      </w:pPr>
      <w:rPr>
        <w:rFonts w:hint="default"/>
        <w:spacing w:val="-1"/>
        <w:w w:val="102"/>
        <w:lang w:val="es-ES" w:eastAsia="en-US" w:bidi="ar-SA"/>
      </w:rPr>
    </w:lvl>
    <w:lvl w:ilvl="1" w:tplc="8974A12A">
      <w:start w:val="1"/>
      <w:numFmt w:val="decimal"/>
      <w:lvlText w:val="%2."/>
      <w:lvlJc w:val="left"/>
      <w:pPr>
        <w:ind w:left="1862" w:hanging="176"/>
      </w:pPr>
      <w:rPr>
        <w:rFonts w:ascii="Arial MT" w:eastAsia="Arial MT" w:hAnsi="Arial MT" w:cs="Arial MT" w:hint="default"/>
        <w:b w:val="0"/>
        <w:bCs w:val="0"/>
        <w:i w:val="0"/>
        <w:iCs w:val="0"/>
        <w:color w:val="0075BF"/>
        <w:spacing w:val="-1"/>
        <w:w w:val="99"/>
        <w:sz w:val="16"/>
        <w:szCs w:val="16"/>
        <w:lang w:val="es-ES" w:eastAsia="en-US" w:bidi="ar-SA"/>
      </w:rPr>
    </w:lvl>
    <w:lvl w:ilvl="2" w:tplc="6CCE7376">
      <w:start w:val="1"/>
      <w:numFmt w:val="lowerLetter"/>
      <w:lvlText w:val="(%3)"/>
      <w:lvlJc w:val="left"/>
      <w:pPr>
        <w:ind w:left="2214" w:hanging="238"/>
        <w:jc w:val="right"/>
      </w:pPr>
      <w:rPr>
        <w:rFonts w:hint="default"/>
        <w:spacing w:val="0"/>
        <w:w w:val="99"/>
        <w:lang w:val="es-ES" w:eastAsia="en-US" w:bidi="ar-SA"/>
      </w:rPr>
    </w:lvl>
    <w:lvl w:ilvl="3" w:tplc="E0EE96B8">
      <w:numFmt w:val="bullet"/>
      <w:lvlText w:val="•"/>
      <w:lvlJc w:val="left"/>
      <w:pPr>
        <w:ind w:left="3405" w:hanging="238"/>
      </w:pPr>
      <w:rPr>
        <w:rFonts w:hint="default"/>
        <w:lang w:val="es-ES" w:eastAsia="en-US" w:bidi="ar-SA"/>
      </w:rPr>
    </w:lvl>
    <w:lvl w:ilvl="4" w:tplc="9F5AC076">
      <w:numFmt w:val="bullet"/>
      <w:lvlText w:val="•"/>
      <w:lvlJc w:val="left"/>
      <w:pPr>
        <w:ind w:left="4590" w:hanging="238"/>
      </w:pPr>
      <w:rPr>
        <w:rFonts w:hint="default"/>
        <w:lang w:val="es-ES" w:eastAsia="en-US" w:bidi="ar-SA"/>
      </w:rPr>
    </w:lvl>
    <w:lvl w:ilvl="5" w:tplc="F710CE1C">
      <w:numFmt w:val="bullet"/>
      <w:lvlText w:val="•"/>
      <w:lvlJc w:val="left"/>
      <w:pPr>
        <w:ind w:left="5775" w:hanging="238"/>
      </w:pPr>
      <w:rPr>
        <w:rFonts w:hint="default"/>
        <w:lang w:val="es-ES" w:eastAsia="en-US" w:bidi="ar-SA"/>
      </w:rPr>
    </w:lvl>
    <w:lvl w:ilvl="6" w:tplc="AB685FAA">
      <w:numFmt w:val="bullet"/>
      <w:lvlText w:val="•"/>
      <w:lvlJc w:val="left"/>
      <w:pPr>
        <w:ind w:left="6960" w:hanging="238"/>
      </w:pPr>
      <w:rPr>
        <w:rFonts w:hint="default"/>
        <w:lang w:val="es-ES" w:eastAsia="en-US" w:bidi="ar-SA"/>
      </w:rPr>
    </w:lvl>
    <w:lvl w:ilvl="7" w:tplc="5D9A674E">
      <w:numFmt w:val="bullet"/>
      <w:lvlText w:val="•"/>
      <w:lvlJc w:val="left"/>
      <w:pPr>
        <w:ind w:left="8145" w:hanging="238"/>
      </w:pPr>
      <w:rPr>
        <w:rFonts w:hint="default"/>
        <w:lang w:val="es-ES" w:eastAsia="en-US" w:bidi="ar-SA"/>
      </w:rPr>
    </w:lvl>
    <w:lvl w:ilvl="8" w:tplc="7B668904">
      <w:numFmt w:val="bullet"/>
      <w:lvlText w:val="•"/>
      <w:lvlJc w:val="left"/>
      <w:pPr>
        <w:ind w:left="9330" w:hanging="238"/>
      </w:pPr>
      <w:rPr>
        <w:rFonts w:hint="default"/>
        <w:lang w:val="es-ES" w:eastAsia="en-US" w:bidi="ar-SA"/>
      </w:rPr>
    </w:lvl>
  </w:abstractNum>
  <w:abstractNum w:abstractNumId="9" w15:restartNumberingAfterBreak="0">
    <w:nsid w:val="06786C91"/>
    <w:multiLevelType w:val="hybridMultilevel"/>
    <w:tmpl w:val="8196E980"/>
    <w:lvl w:ilvl="0" w:tplc="7ED2DD42">
      <w:start w:val="290"/>
      <w:numFmt w:val="decimal"/>
      <w:lvlText w:val="%1"/>
      <w:lvlJc w:val="left"/>
      <w:pPr>
        <w:ind w:left="1366" w:hanging="244"/>
      </w:pPr>
      <w:rPr>
        <w:rFonts w:hint="default"/>
        <w:spacing w:val="-1"/>
        <w:w w:val="104"/>
        <w:lang w:val="es-ES" w:eastAsia="en-US" w:bidi="ar-SA"/>
      </w:rPr>
    </w:lvl>
    <w:lvl w:ilvl="1" w:tplc="B34AB5AA">
      <w:numFmt w:val="bullet"/>
      <w:lvlText w:val="•"/>
      <w:lvlJc w:val="left"/>
      <w:pPr>
        <w:ind w:left="2394" w:hanging="244"/>
      </w:pPr>
      <w:rPr>
        <w:rFonts w:hint="default"/>
        <w:lang w:val="es-ES" w:eastAsia="en-US" w:bidi="ar-SA"/>
      </w:rPr>
    </w:lvl>
    <w:lvl w:ilvl="2" w:tplc="AA2CEC74">
      <w:numFmt w:val="bullet"/>
      <w:lvlText w:val="•"/>
      <w:lvlJc w:val="left"/>
      <w:pPr>
        <w:ind w:left="3428" w:hanging="244"/>
      </w:pPr>
      <w:rPr>
        <w:rFonts w:hint="default"/>
        <w:lang w:val="es-ES" w:eastAsia="en-US" w:bidi="ar-SA"/>
      </w:rPr>
    </w:lvl>
    <w:lvl w:ilvl="3" w:tplc="B4C67F76">
      <w:numFmt w:val="bullet"/>
      <w:lvlText w:val="•"/>
      <w:lvlJc w:val="left"/>
      <w:pPr>
        <w:ind w:left="4462" w:hanging="244"/>
      </w:pPr>
      <w:rPr>
        <w:rFonts w:hint="default"/>
        <w:lang w:val="es-ES" w:eastAsia="en-US" w:bidi="ar-SA"/>
      </w:rPr>
    </w:lvl>
    <w:lvl w:ilvl="4" w:tplc="6B867CC4">
      <w:numFmt w:val="bullet"/>
      <w:lvlText w:val="•"/>
      <w:lvlJc w:val="left"/>
      <w:pPr>
        <w:ind w:left="5496" w:hanging="244"/>
      </w:pPr>
      <w:rPr>
        <w:rFonts w:hint="default"/>
        <w:lang w:val="es-ES" w:eastAsia="en-US" w:bidi="ar-SA"/>
      </w:rPr>
    </w:lvl>
    <w:lvl w:ilvl="5" w:tplc="C8A294A2">
      <w:numFmt w:val="bullet"/>
      <w:lvlText w:val="•"/>
      <w:lvlJc w:val="left"/>
      <w:pPr>
        <w:ind w:left="6530" w:hanging="244"/>
      </w:pPr>
      <w:rPr>
        <w:rFonts w:hint="default"/>
        <w:lang w:val="es-ES" w:eastAsia="en-US" w:bidi="ar-SA"/>
      </w:rPr>
    </w:lvl>
    <w:lvl w:ilvl="6" w:tplc="A5D697FE">
      <w:numFmt w:val="bullet"/>
      <w:lvlText w:val="•"/>
      <w:lvlJc w:val="left"/>
      <w:pPr>
        <w:ind w:left="7564" w:hanging="244"/>
      </w:pPr>
      <w:rPr>
        <w:rFonts w:hint="default"/>
        <w:lang w:val="es-ES" w:eastAsia="en-US" w:bidi="ar-SA"/>
      </w:rPr>
    </w:lvl>
    <w:lvl w:ilvl="7" w:tplc="86A03960">
      <w:numFmt w:val="bullet"/>
      <w:lvlText w:val="•"/>
      <w:lvlJc w:val="left"/>
      <w:pPr>
        <w:ind w:left="8598" w:hanging="244"/>
      </w:pPr>
      <w:rPr>
        <w:rFonts w:hint="default"/>
        <w:lang w:val="es-ES" w:eastAsia="en-US" w:bidi="ar-SA"/>
      </w:rPr>
    </w:lvl>
    <w:lvl w:ilvl="8" w:tplc="9D9CF6C4">
      <w:numFmt w:val="bullet"/>
      <w:lvlText w:val="•"/>
      <w:lvlJc w:val="left"/>
      <w:pPr>
        <w:ind w:left="9632" w:hanging="244"/>
      </w:pPr>
      <w:rPr>
        <w:rFonts w:hint="default"/>
        <w:lang w:val="es-ES" w:eastAsia="en-US" w:bidi="ar-SA"/>
      </w:rPr>
    </w:lvl>
  </w:abstractNum>
  <w:abstractNum w:abstractNumId="10" w15:restartNumberingAfterBreak="0">
    <w:nsid w:val="0BF57A41"/>
    <w:multiLevelType w:val="hybridMultilevel"/>
    <w:tmpl w:val="DC08C8D8"/>
    <w:lvl w:ilvl="0" w:tplc="8AEC03EE">
      <w:start w:val="6"/>
      <w:numFmt w:val="decimal"/>
      <w:lvlText w:val="%1."/>
      <w:lvlJc w:val="left"/>
      <w:pPr>
        <w:ind w:left="1617" w:hanging="159"/>
        <w:jc w:val="right"/>
      </w:pPr>
      <w:rPr>
        <w:rFonts w:hint="default"/>
        <w:spacing w:val="-1"/>
        <w:w w:val="101"/>
        <w:lang w:val="es-ES" w:eastAsia="en-US" w:bidi="ar-SA"/>
      </w:rPr>
    </w:lvl>
    <w:lvl w:ilvl="1" w:tplc="38B27244">
      <w:numFmt w:val="bullet"/>
      <w:lvlText w:val="•"/>
      <w:lvlJc w:val="left"/>
      <w:pPr>
        <w:ind w:left="2628" w:hanging="159"/>
      </w:pPr>
      <w:rPr>
        <w:rFonts w:hint="default"/>
        <w:lang w:val="es-ES" w:eastAsia="en-US" w:bidi="ar-SA"/>
      </w:rPr>
    </w:lvl>
    <w:lvl w:ilvl="2" w:tplc="F67EFCD2">
      <w:numFmt w:val="bullet"/>
      <w:lvlText w:val="•"/>
      <w:lvlJc w:val="left"/>
      <w:pPr>
        <w:ind w:left="3636" w:hanging="159"/>
      </w:pPr>
      <w:rPr>
        <w:rFonts w:hint="default"/>
        <w:lang w:val="es-ES" w:eastAsia="en-US" w:bidi="ar-SA"/>
      </w:rPr>
    </w:lvl>
    <w:lvl w:ilvl="3" w:tplc="AD842FC0">
      <w:numFmt w:val="bullet"/>
      <w:lvlText w:val="•"/>
      <w:lvlJc w:val="left"/>
      <w:pPr>
        <w:ind w:left="4644" w:hanging="159"/>
      </w:pPr>
      <w:rPr>
        <w:rFonts w:hint="default"/>
        <w:lang w:val="es-ES" w:eastAsia="en-US" w:bidi="ar-SA"/>
      </w:rPr>
    </w:lvl>
    <w:lvl w:ilvl="4" w:tplc="634E1612">
      <w:numFmt w:val="bullet"/>
      <w:lvlText w:val="•"/>
      <w:lvlJc w:val="left"/>
      <w:pPr>
        <w:ind w:left="5652" w:hanging="159"/>
      </w:pPr>
      <w:rPr>
        <w:rFonts w:hint="default"/>
        <w:lang w:val="es-ES" w:eastAsia="en-US" w:bidi="ar-SA"/>
      </w:rPr>
    </w:lvl>
    <w:lvl w:ilvl="5" w:tplc="F6525280">
      <w:numFmt w:val="bullet"/>
      <w:lvlText w:val="•"/>
      <w:lvlJc w:val="left"/>
      <w:pPr>
        <w:ind w:left="6660" w:hanging="159"/>
      </w:pPr>
      <w:rPr>
        <w:rFonts w:hint="default"/>
        <w:lang w:val="es-ES" w:eastAsia="en-US" w:bidi="ar-SA"/>
      </w:rPr>
    </w:lvl>
    <w:lvl w:ilvl="6" w:tplc="582E7088">
      <w:numFmt w:val="bullet"/>
      <w:lvlText w:val="•"/>
      <w:lvlJc w:val="left"/>
      <w:pPr>
        <w:ind w:left="7668" w:hanging="159"/>
      </w:pPr>
      <w:rPr>
        <w:rFonts w:hint="default"/>
        <w:lang w:val="es-ES" w:eastAsia="en-US" w:bidi="ar-SA"/>
      </w:rPr>
    </w:lvl>
    <w:lvl w:ilvl="7" w:tplc="94CCC2A0">
      <w:numFmt w:val="bullet"/>
      <w:lvlText w:val="•"/>
      <w:lvlJc w:val="left"/>
      <w:pPr>
        <w:ind w:left="8676" w:hanging="159"/>
      </w:pPr>
      <w:rPr>
        <w:rFonts w:hint="default"/>
        <w:lang w:val="es-ES" w:eastAsia="en-US" w:bidi="ar-SA"/>
      </w:rPr>
    </w:lvl>
    <w:lvl w:ilvl="8" w:tplc="FFEA7094">
      <w:numFmt w:val="bullet"/>
      <w:lvlText w:val="•"/>
      <w:lvlJc w:val="left"/>
      <w:pPr>
        <w:ind w:left="9684" w:hanging="159"/>
      </w:pPr>
      <w:rPr>
        <w:rFonts w:hint="default"/>
        <w:lang w:val="es-ES" w:eastAsia="en-US" w:bidi="ar-SA"/>
      </w:rPr>
    </w:lvl>
  </w:abstractNum>
  <w:abstractNum w:abstractNumId="11" w15:restartNumberingAfterBreak="0">
    <w:nsid w:val="0F543AA7"/>
    <w:multiLevelType w:val="hybridMultilevel"/>
    <w:tmpl w:val="0AC46FEE"/>
    <w:lvl w:ilvl="0" w:tplc="4942C2B0">
      <w:start w:val="1"/>
      <w:numFmt w:val="upperRoman"/>
      <w:lvlText w:val="%1."/>
      <w:lvlJc w:val="left"/>
      <w:pPr>
        <w:ind w:left="1237" w:hanging="123"/>
      </w:pPr>
      <w:rPr>
        <w:rFonts w:ascii="Arial MT" w:eastAsia="Arial MT" w:hAnsi="Arial MT" w:cs="Arial MT"/>
        <w:spacing w:val="-1"/>
        <w:w w:val="105"/>
        <w:lang w:val="es-ES" w:eastAsia="en-US" w:bidi="ar-SA"/>
      </w:rPr>
    </w:lvl>
    <w:lvl w:ilvl="1" w:tplc="87149DF6">
      <w:start w:val="1"/>
      <w:numFmt w:val="upperLetter"/>
      <w:lvlText w:val="%2."/>
      <w:lvlJc w:val="left"/>
      <w:pPr>
        <w:ind w:left="2734" w:hanging="182"/>
      </w:pPr>
      <w:rPr>
        <w:rFonts w:ascii="Tahoma" w:eastAsia="Arial MT" w:hAnsi="Tahoma" w:cs="Tahoma" w:hint="default"/>
        <w:b w:val="0"/>
        <w:bCs w:val="0"/>
        <w:i w:val="0"/>
        <w:iCs w:val="0"/>
        <w:spacing w:val="-1"/>
        <w:w w:val="98"/>
        <w:sz w:val="18"/>
        <w:szCs w:val="18"/>
        <w:lang w:val="es-ES" w:eastAsia="en-US" w:bidi="ar-SA"/>
      </w:rPr>
    </w:lvl>
    <w:lvl w:ilvl="2" w:tplc="24DA1CD6">
      <w:numFmt w:val="bullet"/>
      <w:lvlText w:val="•"/>
      <w:lvlJc w:val="left"/>
      <w:pPr>
        <w:ind w:left="1920" w:hanging="182"/>
      </w:pPr>
      <w:rPr>
        <w:rFonts w:hint="default"/>
        <w:lang w:val="es-ES" w:eastAsia="en-US" w:bidi="ar-SA"/>
      </w:rPr>
    </w:lvl>
    <w:lvl w:ilvl="3" w:tplc="B2BEBDAA">
      <w:numFmt w:val="bullet"/>
      <w:lvlText w:val="•"/>
      <w:lvlJc w:val="left"/>
      <w:pPr>
        <w:ind w:left="3142" w:hanging="182"/>
      </w:pPr>
      <w:rPr>
        <w:rFonts w:hint="default"/>
        <w:lang w:val="es-ES" w:eastAsia="en-US" w:bidi="ar-SA"/>
      </w:rPr>
    </w:lvl>
    <w:lvl w:ilvl="4" w:tplc="9B0CBE06">
      <w:numFmt w:val="bullet"/>
      <w:lvlText w:val="•"/>
      <w:lvlJc w:val="left"/>
      <w:pPr>
        <w:ind w:left="4365" w:hanging="182"/>
      </w:pPr>
      <w:rPr>
        <w:rFonts w:hint="default"/>
        <w:lang w:val="es-ES" w:eastAsia="en-US" w:bidi="ar-SA"/>
      </w:rPr>
    </w:lvl>
    <w:lvl w:ilvl="5" w:tplc="5EC2A400">
      <w:numFmt w:val="bullet"/>
      <w:lvlText w:val="•"/>
      <w:lvlJc w:val="left"/>
      <w:pPr>
        <w:ind w:left="5587" w:hanging="182"/>
      </w:pPr>
      <w:rPr>
        <w:rFonts w:hint="default"/>
        <w:lang w:val="es-ES" w:eastAsia="en-US" w:bidi="ar-SA"/>
      </w:rPr>
    </w:lvl>
    <w:lvl w:ilvl="6" w:tplc="3BBE3718">
      <w:numFmt w:val="bullet"/>
      <w:lvlText w:val="•"/>
      <w:lvlJc w:val="left"/>
      <w:pPr>
        <w:ind w:left="6810" w:hanging="182"/>
      </w:pPr>
      <w:rPr>
        <w:rFonts w:hint="default"/>
        <w:lang w:val="es-ES" w:eastAsia="en-US" w:bidi="ar-SA"/>
      </w:rPr>
    </w:lvl>
    <w:lvl w:ilvl="7" w:tplc="EE1EBC02">
      <w:numFmt w:val="bullet"/>
      <w:lvlText w:val="•"/>
      <w:lvlJc w:val="left"/>
      <w:pPr>
        <w:ind w:left="8032" w:hanging="182"/>
      </w:pPr>
      <w:rPr>
        <w:rFonts w:hint="default"/>
        <w:lang w:val="es-ES" w:eastAsia="en-US" w:bidi="ar-SA"/>
      </w:rPr>
    </w:lvl>
    <w:lvl w:ilvl="8" w:tplc="1212C166">
      <w:numFmt w:val="bullet"/>
      <w:lvlText w:val="•"/>
      <w:lvlJc w:val="left"/>
      <w:pPr>
        <w:ind w:left="9255" w:hanging="182"/>
      </w:pPr>
      <w:rPr>
        <w:rFonts w:hint="default"/>
        <w:lang w:val="es-ES" w:eastAsia="en-US" w:bidi="ar-SA"/>
      </w:rPr>
    </w:lvl>
  </w:abstractNum>
  <w:abstractNum w:abstractNumId="12" w15:restartNumberingAfterBreak="0">
    <w:nsid w:val="102E61D3"/>
    <w:multiLevelType w:val="hybridMultilevel"/>
    <w:tmpl w:val="2E969804"/>
    <w:lvl w:ilvl="0" w:tplc="3932BDA0">
      <w:start w:val="84"/>
      <w:numFmt w:val="decimal"/>
      <w:lvlText w:val="%1"/>
      <w:lvlJc w:val="left"/>
      <w:pPr>
        <w:ind w:left="1296" w:hanging="186"/>
      </w:pPr>
      <w:rPr>
        <w:rFonts w:hint="default"/>
        <w:spacing w:val="-1"/>
        <w:w w:val="102"/>
        <w:lang w:val="es-ES" w:eastAsia="en-US" w:bidi="ar-SA"/>
      </w:rPr>
    </w:lvl>
    <w:lvl w:ilvl="1" w:tplc="553070F4">
      <w:numFmt w:val="bullet"/>
      <w:lvlText w:val="•"/>
      <w:lvlJc w:val="left"/>
      <w:pPr>
        <w:ind w:left="2340" w:hanging="186"/>
      </w:pPr>
      <w:rPr>
        <w:rFonts w:hint="default"/>
        <w:lang w:val="es-ES" w:eastAsia="en-US" w:bidi="ar-SA"/>
      </w:rPr>
    </w:lvl>
    <w:lvl w:ilvl="2" w:tplc="C076FBB4">
      <w:numFmt w:val="bullet"/>
      <w:lvlText w:val="•"/>
      <w:lvlJc w:val="left"/>
      <w:pPr>
        <w:ind w:left="3380" w:hanging="186"/>
      </w:pPr>
      <w:rPr>
        <w:rFonts w:hint="default"/>
        <w:lang w:val="es-ES" w:eastAsia="en-US" w:bidi="ar-SA"/>
      </w:rPr>
    </w:lvl>
    <w:lvl w:ilvl="3" w:tplc="D500061A">
      <w:numFmt w:val="bullet"/>
      <w:lvlText w:val="•"/>
      <w:lvlJc w:val="left"/>
      <w:pPr>
        <w:ind w:left="4420" w:hanging="186"/>
      </w:pPr>
      <w:rPr>
        <w:rFonts w:hint="default"/>
        <w:lang w:val="es-ES" w:eastAsia="en-US" w:bidi="ar-SA"/>
      </w:rPr>
    </w:lvl>
    <w:lvl w:ilvl="4" w:tplc="78FE0CB8">
      <w:numFmt w:val="bullet"/>
      <w:lvlText w:val="•"/>
      <w:lvlJc w:val="left"/>
      <w:pPr>
        <w:ind w:left="5460" w:hanging="186"/>
      </w:pPr>
      <w:rPr>
        <w:rFonts w:hint="default"/>
        <w:lang w:val="es-ES" w:eastAsia="en-US" w:bidi="ar-SA"/>
      </w:rPr>
    </w:lvl>
    <w:lvl w:ilvl="5" w:tplc="36442802">
      <w:numFmt w:val="bullet"/>
      <w:lvlText w:val="•"/>
      <w:lvlJc w:val="left"/>
      <w:pPr>
        <w:ind w:left="6500" w:hanging="186"/>
      </w:pPr>
      <w:rPr>
        <w:rFonts w:hint="default"/>
        <w:lang w:val="es-ES" w:eastAsia="en-US" w:bidi="ar-SA"/>
      </w:rPr>
    </w:lvl>
    <w:lvl w:ilvl="6" w:tplc="2106383E">
      <w:numFmt w:val="bullet"/>
      <w:lvlText w:val="•"/>
      <w:lvlJc w:val="left"/>
      <w:pPr>
        <w:ind w:left="7540" w:hanging="186"/>
      </w:pPr>
      <w:rPr>
        <w:rFonts w:hint="default"/>
        <w:lang w:val="es-ES" w:eastAsia="en-US" w:bidi="ar-SA"/>
      </w:rPr>
    </w:lvl>
    <w:lvl w:ilvl="7" w:tplc="2E0E4DCE">
      <w:numFmt w:val="bullet"/>
      <w:lvlText w:val="•"/>
      <w:lvlJc w:val="left"/>
      <w:pPr>
        <w:ind w:left="8580" w:hanging="186"/>
      </w:pPr>
      <w:rPr>
        <w:rFonts w:hint="default"/>
        <w:lang w:val="es-ES" w:eastAsia="en-US" w:bidi="ar-SA"/>
      </w:rPr>
    </w:lvl>
    <w:lvl w:ilvl="8" w:tplc="45367AF2">
      <w:numFmt w:val="bullet"/>
      <w:lvlText w:val="•"/>
      <w:lvlJc w:val="left"/>
      <w:pPr>
        <w:ind w:left="9620" w:hanging="186"/>
      </w:pPr>
      <w:rPr>
        <w:rFonts w:hint="default"/>
        <w:lang w:val="es-ES" w:eastAsia="en-US" w:bidi="ar-SA"/>
      </w:rPr>
    </w:lvl>
  </w:abstractNum>
  <w:abstractNum w:abstractNumId="13" w15:restartNumberingAfterBreak="0">
    <w:nsid w:val="109A17ED"/>
    <w:multiLevelType w:val="hybridMultilevel"/>
    <w:tmpl w:val="316C83B4"/>
    <w:lvl w:ilvl="0" w:tplc="0752475C">
      <w:numFmt w:val="bullet"/>
      <w:lvlText w:val="•"/>
      <w:lvlJc w:val="left"/>
      <w:pPr>
        <w:ind w:left="2017" w:hanging="93"/>
      </w:pPr>
      <w:rPr>
        <w:rFonts w:ascii="Arial MT" w:eastAsia="Arial MT" w:hAnsi="Arial MT" w:cs="Arial MT" w:hint="default"/>
        <w:b w:val="0"/>
        <w:bCs w:val="0"/>
        <w:i w:val="0"/>
        <w:iCs w:val="0"/>
        <w:color w:val="803108"/>
        <w:spacing w:val="0"/>
        <w:w w:val="105"/>
        <w:sz w:val="14"/>
        <w:szCs w:val="14"/>
        <w:lang w:val="es-ES" w:eastAsia="en-US" w:bidi="ar-SA"/>
      </w:rPr>
    </w:lvl>
    <w:lvl w:ilvl="1" w:tplc="12E656CC">
      <w:numFmt w:val="bullet"/>
      <w:lvlText w:val="•"/>
      <w:lvlJc w:val="left"/>
      <w:pPr>
        <w:ind w:left="2988" w:hanging="93"/>
      </w:pPr>
      <w:rPr>
        <w:rFonts w:hint="default"/>
        <w:lang w:val="es-ES" w:eastAsia="en-US" w:bidi="ar-SA"/>
      </w:rPr>
    </w:lvl>
    <w:lvl w:ilvl="2" w:tplc="56205C52">
      <w:numFmt w:val="bullet"/>
      <w:lvlText w:val="•"/>
      <w:lvlJc w:val="left"/>
      <w:pPr>
        <w:ind w:left="3956" w:hanging="93"/>
      </w:pPr>
      <w:rPr>
        <w:rFonts w:hint="default"/>
        <w:lang w:val="es-ES" w:eastAsia="en-US" w:bidi="ar-SA"/>
      </w:rPr>
    </w:lvl>
    <w:lvl w:ilvl="3" w:tplc="4CD26A30">
      <w:numFmt w:val="bullet"/>
      <w:lvlText w:val="•"/>
      <w:lvlJc w:val="left"/>
      <w:pPr>
        <w:ind w:left="4924" w:hanging="93"/>
      </w:pPr>
      <w:rPr>
        <w:rFonts w:hint="default"/>
        <w:lang w:val="es-ES" w:eastAsia="en-US" w:bidi="ar-SA"/>
      </w:rPr>
    </w:lvl>
    <w:lvl w:ilvl="4" w:tplc="210E6DCA">
      <w:numFmt w:val="bullet"/>
      <w:lvlText w:val="•"/>
      <w:lvlJc w:val="left"/>
      <w:pPr>
        <w:ind w:left="5892" w:hanging="93"/>
      </w:pPr>
      <w:rPr>
        <w:rFonts w:hint="default"/>
        <w:lang w:val="es-ES" w:eastAsia="en-US" w:bidi="ar-SA"/>
      </w:rPr>
    </w:lvl>
    <w:lvl w:ilvl="5" w:tplc="5C26A9D0">
      <w:numFmt w:val="bullet"/>
      <w:lvlText w:val="•"/>
      <w:lvlJc w:val="left"/>
      <w:pPr>
        <w:ind w:left="6860" w:hanging="93"/>
      </w:pPr>
      <w:rPr>
        <w:rFonts w:hint="default"/>
        <w:lang w:val="es-ES" w:eastAsia="en-US" w:bidi="ar-SA"/>
      </w:rPr>
    </w:lvl>
    <w:lvl w:ilvl="6" w:tplc="09D0C7DC">
      <w:numFmt w:val="bullet"/>
      <w:lvlText w:val="•"/>
      <w:lvlJc w:val="left"/>
      <w:pPr>
        <w:ind w:left="7828" w:hanging="93"/>
      </w:pPr>
      <w:rPr>
        <w:rFonts w:hint="default"/>
        <w:lang w:val="es-ES" w:eastAsia="en-US" w:bidi="ar-SA"/>
      </w:rPr>
    </w:lvl>
    <w:lvl w:ilvl="7" w:tplc="E7345F76">
      <w:numFmt w:val="bullet"/>
      <w:lvlText w:val="•"/>
      <w:lvlJc w:val="left"/>
      <w:pPr>
        <w:ind w:left="8796" w:hanging="93"/>
      </w:pPr>
      <w:rPr>
        <w:rFonts w:hint="default"/>
        <w:lang w:val="es-ES" w:eastAsia="en-US" w:bidi="ar-SA"/>
      </w:rPr>
    </w:lvl>
    <w:lvl w:ilvl="8" w:tplc="926A880A">
      <w:numFmt w:val="bullet"/>
      <w:lvlText w:val="•"/>
      <w:lvlJc w:val="left"/>
      <w:pPr>
        <w:ind w:left="9764" w:hanging="93"/>
      </w:pPr>
      <w:rPr>
        <w:rFonts w:hint="default"/>
        <w:lang w:val="es-ES" w:eastAsia="en-US" w:bidi="ar-SA"/>
      </w:rPr>
    </w:lvl>
  </w:abstractNum>
  <w:abstractNum w:abstractNumId="14" w15:restartNumberingAfterBreak="0">
    <w:nsid w:val="112B6452"/>
    <w:multiLevelType w:val="hybridMultilevel"/>
    <w:tmpl w:val="F5C4E112"/>
    <w:lvl w:ilvl="0" w:tplc="EAEAD1A0">
      <w:numFmt w:val="bullet"/>
      <w:lvlText w:val="•"/>
      <w:lvlJc w:val="left"/>
      <w:pPr>
        <w:ind w:left="1358" w:hanging="95"/>
      </w:pPr>
      <w:rPr>
        <w:rFonts w:ascii="Arial MT" w:eastAsia="Arial MT" w:hAnsi="Arial MT" w:cs="Arial MT" w:hint="default"/>
        <w:spacing w:val="0"/>
        <w:w w:val="100"/>
        <w:lang w:val="es-ES" w:eastAsia="en-US" w:bidi="ar-SA"/>
      </w:rPr>
    </w:lvl>
    <w:lvl w:ilvl="1" w:tplc="74CE8D62">
      <w:numFmt w:val="bullet"/>
      <w:lvlText w:val="–"/>
      <w:lvlJc w:val="left"/>
      <w:pPr>
        <w:ind w:left="1790" w:hanging="126"/>
      </w:pPr>
      <w:rPr>
        <w:rFonts w:ascii="Arial MT" w:eastAsia="Arial MT" w:hAnsi="Arial MT" w:cs="Arial MT" w:hint="default"/>
        <w:b w:val="0"/>
        <w:bCs w:val="0"/>
        <w:i w:val="0"/>
        <w:iCs w:val="0"/>
        <w:spacing w:val="0"/>
        <w:w w:val="100"/>
        <w:sz w:val="15"/>
        <w:szCs w:val="15"/>
        <w:lang w:val="es-ES" w:eastAsia="en-US" w:bidi="ar-SA"/>
      </w:rPr>
    </w:lvl>
    <w:lvl w:ilvl="2" w:tplc="82DEEA8A">
      <w:numFmt w:val="bullet"/>
      <w:lvlText w:val="•"/>
      <w:lvlJc w:val="left"/>
      <w:pPr>
        <w:ind w:left="2900" w:hanging="126"/>
      </w:pPr>
      <w:rPr>
        <w:rFonts w:hint="default"/>
        <w:lang w:val="es-ES" w:eastAsia="en-US" w:bidi="ar-SA"/>
      </w:rPr>
    </w:lvl>
    <w:lvl w:ilvl="3" w:tplc="3FC004EE">
      <w:numFmt w:val="bullet"/>
      <w:lvlText w:val="•"/>
      <w:lvlJc w:val="left"/>
      <w:pPr>
        <w:ind w:left="4000" w:hanging="126"/>
      </w:pPr>
      <w:rPr>
        <w:rFonts w:hint="default"/>
        <w:lang w:val="es-ES" w:eastAsia="en-US" w:bidi="ar-SA"/>
      </w:rPr>
    </w:lvl>
    <w:lvl w:ilvl="4" w:tplc="921A5D56">
      <w:numFmt w:val="bullet"/>
      <w:lvlText w:val="•"/>
      <w:lvlJc w:val="left"/>
      <w:pPr>
        <w:ind w:left="5100" w:hanging="126"/>
      </w:pPr>
      <w:rPr>
        <w:rFonts w:hint="default"/>
        <w:lang w:val="es-ES" w:eastAsia="en-US" w:bidi="ar-SA"/>
      </w:rPr>
    </w:lvl>
    <w:lvl w:ilvl="5" w:tplc="476EBDF8">
      <w:numFmt w:val="bullet"/>
      <w:lvlText w:val="•"/>
      <w:lvlJc w:val="left"/>
      <w:pPr>
        <w:ind w:left="6200" w:hanging="126"/>
      </w:pPr>
      <w:rPr>
        <w:rFonts w:hint="default"/>
        <w:lang w:val="es-ES" w:eastAsia="en-US" w:bidi="ar-SA"/>
      </w:rPr>
    </w:lvl>
    <w:lvl w:ilvl="6" w:tplc="7C36ACAC">
      <w:numFmt w:val="bullet"/>
      <w:lvlText w:val="•"/>
      <w:lvlJc w:val="left"/>
      <w:pPr>
        <w:ind w:left="7300" w:hanging="126"/>
      </w:pPr>
      <w:rPr>
        <w:rFonts w:hint="default"/>
        <w:lang w:val="es-ES" w:eastAsia="en-US" w:bidi="ar-SA"/>
      </w:rPr>
    </w:lvl>
    <w:lvl w:ilvl="7" w:tplc="E3802598">
      <w:numFmt w:val="bullet"/>
      <w:lvlText w:val="•"/>
      <w:lvlJc w:val="left"/>
      <w:pPr>
        <w:ind w:left="8400" w:hanging="126"/>
      </w:pPr>
      <w:rPr>
        <w:rFonts w:hint="default"/>
        <w:lang w:val="es-ES" w:eastAsia="en-US" w:bidi="ar-SA"/>
      </w:rPr>
    </w:lvl>
    <w:lvl w:ilvl="8" w:tplc="7DD86FB0">
      <w:numFmt w:val="bullet"/>
      <w:lvlText w:val="•"/>
      <w:lvlJc w:val="left"/>
      <w:pPr>
        <w:ind w:left="9500" w:hanging="126"/>
      </w:pPr>
      <w:rPr>
        <w:rFonts w:hint="default"/>
        <w:lang w:val="es-ES" w:eastAsia="en-US" w:bidi="ar-SA"/>
      </w:rPr>
    </w:lvl>
  </w:abstractNum>
  <w:abstractNum w:abstractNumId="15" w15:restartNumberingAfterBreak="0">
    <w:nsid w:val="115360FF"/>
    <w:multiLevelType w:val="hybridMultilevel"/>
    <w:tmpl w:val="A4003A7C"/>
    <w:lvl w:ilvl="0" w:tplc="0F20A832">
      <w:start w:val="1"/>
      <w:numFmt w:val="upperLetter"/>
      <w:lvlText w:val="%1."/>
      <w:lvlJc w:val="left"/>
      <w:pPr>
        <w:ind w:left="1506" w:hanging="349"/>
      </w:pPr>
      <w:rPr>
        <w:rFonts w:hint="default"/>
        <w:spacing w:val="-1"/>
        <w:w w:val="101"/>
        <w:lang w:val="es-ES" w:eastAsia="en-US" w:bidi="ar-SA"/>
      </w:rPr>
    </w:lvl>
    <w:lvl w:ilvl="1" w:tplc="09FA0F44">
      <w:start w:val="1"/>
      <w:numFmt w:val="lowerLetter"/>
      <w:lvlText w:val="%2)"/>
      <w:lvlJc w:val="left"/>
      <w:pPr>
        <w:ind w:left="1896" w:hanging="176"/>
      </w:pPr>
      <w:rPr>
        <w:rFonts w:ascii="Arial MT" w:eastAsia="Arial MT" w:hAnsi="Arial MT" w:cs="Arial MT" w:hint="default"/>
        <w:b w:val="0"/>
        <w:bCs w:val="0"/>
        <w:i w:val="0"/>
        <w:iCs w:val="0"/>
        <w:spacing w:val="0"/>
        <w:w w:val="100"/>
        <w:sz w:val="15"/>
        <w:szCs w:val="15"/>
        <w:lang w:val="es-ES" w:eastAsia="en-US" w:bidi="ar-SA"/>
      </w:rPr>
    </w:lvl>
    <w:lvl w:ilvl="2" w:tplc="24C85314">
      <w:numFmt w:val="bullet"/>
      <w:lvlText w:val="•"/>
      <w:lvlJc w:val="left"/>
      <w:pPr>
        <w:ind w:left="2240" w:hanging="176"/>
      </w:pPr>
      <w:rPr>
        <w:rFonts w:hint="default"/>
        <w:lang w:val="es-ES" w:eastAsia="en-US" w:bidi="ar-SA"/>
      </w:rPr>
    </w:lvl>
    <w:lvl w:ilvl="3" w:tplc="B22E0DF0">
      <w:numFmt w:val="bullet"/>
      <w:lvlText w:val="•"/>
      <w:lvlJc w:val="left"/>
      <w:pPr>
        <w:ind w:left="3422" w:hanging="176"/>
      </w:pPr>
      <w:rPr>
        <w:rFonts w:hint="default"/>
        <w:lang w:val="es-ES" w:eastAsia="en-US" w:bidi="ar-SA"/>
      </w:rPr>
    </w:lvl>
    <w:lvl w:ilvl="4" w:tplc="1706B698">
      <w:numFmt w:val="bullet"/>
      <w:lvlText w:val="•"/>
      <w:lvlJc w:val="left"/>
      <w:pPr>
        <w:ind w:left="4605" w:hanging="176"/>
      </w:pPr>
      <w:rPr>
        <w:rFonts w:hint="default"/>
        <w:lang w:val="es-ES" w:eastAsia="en-US" w:bidi="ar-SA"/>
      </w:rPr>
    </w:lvl>
    <w:lvl w:ilvl="5" w:tplc="75D4A160">
      <w:numFmt w:val="bullet"/>
      <w:lvlText w:val="•"/>
      <w:lvlJc w:val="left"/>
      <w:pPr>
        <w:ind w:left="5787" w:hanging="176"/>
      </w:pPr>
      <w:rPr>
        <w:rFonts w:hint="default"/>
        <w:lang w:val="es-ES" w:eastAsia="en-US" w:bidi="ar-SA"/>
      </w:rPr>
    </w:lvl>
    <w:lvl w:ilvl="6" w:tplc="922C0BAA">
      <w:numFmt w:val="bullet"/>
      <w:lvlText w:val="•"/>
      <w:lvlJc w:val="left"/>
      <w:pPr>
        <w:ind w:left="6970" w:hanging="176"/>
      </w:pPr>
      <w:rPr>
        <w:rFonts w:hint="default"/>
        <w:lang w:val="es-ES" w:eastAsia="en-US" w:bidi="ar-SA"/>
      </w:rPr>
    </w:lvl>
    <w:lvl w:ilvl="7" w:tplc="D96EFAD4">
      <w:numFmt w:val="bullet"/>
      <w:lvlText w:val="•"/>
      <w:lvlJc w:val="left"/>
      <w:pPr>
        <w:ind w:left="8152" w:hanging="176"/>
      </w:pPr>
      <w:rPr>
        <w:rFonts w:hint="default"/>
        <w:lang w:val="es-ES" w:eastAsia="en-US" w:bidi="ar-SA"/>
      </w:rPr>
    </w:lvl>
    <w:lvl w:ilvl="8" w:tplc="1E726056">
      <w:numFmt w:val="bullet"/>
      <w:lvlText w:val="•"/>
      <w:lvlJc w:val="left"/>
      <w:pPr>
        <w:ind w:left="9335" w:hanging="176"/>
      </w:pPr>
      <w:rPr>
        <w:rFonts w:hint="default"/>
        <w:lang w:val="es-ES" w:eastAsia="en-US" w:bidi="ar-SA"/>
      </w:rPr>
    </w:lvl>
  </w:abstractNum>
  <w:abstractNum w:abstractNumId="16" w15:restartNumberingAfterBreak="0">
    <w:nsid w:val="126B4D15"/>
    <w:multiLevelType w:val="hybridMultilevel"/>
    <w:tmpl w:val="C0D2C334"/>
    <w:lvl w:ilvl="0" w:tplc="51B03A48">
      <w:start w:val="1"/>
      <w:numFmt w:val="upperRoman"/>
      <w:lvlText w:val="%1."/>
      <w:lvlJc w:val="left"/>
      <w:pPr>
        <w:ind w:left="1583" w:hanging="213"/>
      </w:pPr>
      <w:rPr>
        <w:rFonts w:hint="default"/>
        <w:spacing w:val="-1"/>
        <w:w w:val="92"/>
        <w:lang w:val="es-ES" w:eastAsia="en-US" w:bidi="ar-SA"/>
      </w:rPr>
    </w:lvl>
    <w:lvl w:ilvl="1" w:tplc="322E621A">
      <w:start w:val="1"/>
      <w:numFmt w:val="upperLetter"/>
      <w:lvlText w:val="%2."/>
      <w:lvlJc w:val="left"/>
      <w:pPr>
        <w:ind w:left="1436" w:hanging="336"/>
      </w:pPr>
      <w:rPr>
        <w:rFonts w:hint="default"/>
        <w:spacing w:val="-1"/>
        <w:w w:val="101"/>
        <w:lang w:val="es-ES" w:eastAsia="en-US" w:bidi="ar-SA"/>
      </w:rPr>
    </w:lvl>
    <w:lvl w:ilvl="2" w:tplc="0EB226DE">
      <w:numFmt w:val="bullet"/>
      <w:lvlText w:val="•"/>
      <w:lvlJc w:val="left"/>
      <w:pPr>
        <w:ind w:left="2704" w:hanging="336"/>
      </w:pPr>
      <w:rPr>
        <w:rFonts w:hint="default"/>
        <w:lang w:val="es-ES" w:eastAsia="en-US" w:bidi="ar-SA"/>
      </w:rPr>
    </w:lvl>
    <w:lvl w:ilvl="3" w:tplc="782CAEC8">
      <w:numFmt w:val="bullet"/>
      <w:lvlText w:val="•"/>
      <w:lvlJc w:val="left"/>
      <w:pPr>
        <w:ind w:left="3828" w:hanging="336"/>
      </w:pPr>
      <w:rPr>
        <w:rFonts w:hint="default"/>
        <w:lang w:val="es-ES" w:eastAsia="en-US" w:bidi="ar-SA"/>
      </w:rPr>
    </w:lvl>
    <w:lvl w:ilvl="4" w:tplc="C952E208">
      <w:numFmt w:val="bullet"/>
      <w:lvlText w:val="•"/>
      <w:lvlJc w:val="left"/>
      <w:pPr>
        <w:ind w:left="4953" w:hanging="336"/>
      </w:pPr>
      <w:rPr>
        <w:rFonts w:hint="default"/>
        <w:lang w:val="es-ES" w:eastAsia="en-US" w:bidi="ar-SA"/>
      </w:rPr>
    </w:lvl>
    <w:lvl w:ilvl="5" w:tplc="ECEE2F62">
      <w:numFmt w:val="bullet"/>
      <w:lvlText w:val="•"/>
      <w:lvlJc w:val="left"/>
      <w:pPr>
        <w:ind w:left="6077" w:hanging="336"/>
      </w:pPr>
      <w:rPr>
        <w:rFonts w:hint="default"/>
        <w:lang w:val="es-ES" w:eastAsia="en-US" w:bidi="ar-SA"/>
      </w:rPr>
    </w:lvl>
    <w:lvl w:ilvl="6" w:tplc="3D100D70">
      <w:numFmt w:val="bullet"/>
      <w:lvlText w:val="•"/>
      <w:lvlJc w:val="left"/>
      <w:pPr>
        <w:ind w:left="7202" w:hanging="336"/>
      </w:pPr>
      <w:rPr>
        <w:rFonts w:hint="default"/>
        <w:lang w:val="es-ES" w:eastAsia="en-US" w:bidi="ar-SA"/>
      </w:rPr>
    </w:lvl>
    <w:lvl w:ilvl="7" w:tplc="DFDC77BE">
      <w:numFmt w:val="bullet"/>
      <w:lvlText w:val="•"/>
      <w:lvlJc w:val="left"/>
      <w:pPr>
        <w:ind w:left="8326" w:hanging="336"/>
      </w:pPr>
      <w:rPr>
        <w:rFonts w:hint="default"/>
        <w:lang w:val="es-ES" w:eastAsia="en-US" w:bidi="ar-SA"/>
      </w:rPr>
    </w:lvl>
    <w:lvl w:ilvl="8" w:tplc="41BC16FC">
      <w:numFmt w:val="bullet"/>
      <w:lvlText w:val="•"/>
      <w:lvlJc w:val="left"/>
      <w:pPr>
        <w:ind w:left="9451" w:hanging="336"/>
      </w:pPr>
      <w:rPr>
        <w:rFonts w:hint="default"/>
        <w:lang w:val="es-ES" w:eastAsia="en-US" w:bidi="ar-SA"/>
      </w:rPr>
    </w:lvl>
  </w:abstractNum>
  <w:abstractNum w:abstractNumId="17" w15:restartNumberingAfterBreak="0">
    <w:nsid w:val="127B31A9"/>
    <w:multiLevelType w:val="hybridMultilevel"/>
    <w:tmpl w:val="E0FA6CE8"/>
    <w:lvl w:ilvl="0" w:tplc="8F9E0890">
      <w:start w:val="6"/>
      <w:numFmt w:val="lowerLetter"/>
      <w:lvlText w:val="%1)"/>
      <w:lvlJc w:val="left"/>
      <w:pPr>
        <w:ind w:left="1309" w:hanging="194"/>
      </w:pPr>
      <w:rPr>
        <w:rFonts w:ascii="Arial MT" w:eastAsia="Arial MT" w:hAnsi="Arial MT" w:cs="Arial MT" w:hint="default"/>
        <w:b w:val="0"/>
        <w:bCs w:val="0"/>
        <w:i w:val="0"/>
        <w:iCs w:val="0"/>
        <w:spacing w:val="0"/>
        <w:w w:val="99"/>
        <w:sz w:val="22"/>
        <w:szCs w:val="22"/>
        <w:lang w:val="es-ES" w:eastAsia="en-US" w:bidi="ar-SA"/>
      </w:rPr>
    </w:lvl>
    <w:lvl w:ilvl="1" w:tplc="E5AA4CCA">
      <w:numFmt w:val="bullet"/>
      <w:lvlText w:val="•"/>
      <w:lvlJc w:val="left"/>
      <w:pPr>
        <w:ind w:left="1461" w:hanging="103"/>
      </w:pPr>
      <w:rPr>
        <w:rFonts w:ascii="Arial MT" w:eastAsia="Arial MT" w:hAnsi="Arial MT" w:cs="Arial MT" w:hint="default"/>
        <w:b w:val="0"/>
        <w:bCs w:val="0"/>
        <w:i w:val="0"/>
        <w:iCs w:val="0"/>
        <w:color w:val="0075BF"/>
        <w:spacing w:val="0"/>
        <w:w w:val="102"/>
        <w:sz w:val="16"/>
        <w:szCs w:val="16"/>
        <w:lang w:val="es-ES" w:eastAsia="en-US" w:bidi="ar-SA"/>
      </w:rPr>
    </w:lvl>
    <w:lvl w:ilvl="2" w:tplc="5CF49674">
      <w:numFmt w:val="bullet"/>
      <w:lvlText w:val="•"/>
      <w:lvlJc w:val="left"/>
      <w:pPr>
        <w:ind w:left="2597" w:hanging="103"/>
      </w:pPr>
      <w:rPr>
        <w:rFonts w:hint="default"/>
        <w:lang w:val="es-ES" w:eastAsia="en-US" w:bidi="ar-SA"/>
      </w:rPr>
    </w:lvl>
    <w:lvl w:ilvl="3" w:tplc="551A4516">
      <w:numFmt w:val="bullet"/>
      <w:lvlText w:val="•"/>
      <w:lvlJc w:val="left"/>
      <w:pPr>
        <w:ind w:left="3735" w:hanging="103"/>
      </w:pPr>
      <w:rPr>
        <w:rFonts w:hint="default"/>
        <w:lang w:val="es-ES" w:eastAsia="en-US" w:bidi="ar-SA"/>
      </w:rPr>
    </w:lvl>
    <w:lvl w:ilvl="4" w:tplc="AFAE4DB6">
      <w:numFmt w:val="bullet"/>
      <w:lvlText w:val="•"/>
      <w:lvlJc w:val="left"/>
      <w:pPr>
        <w:ind w:left="4873" w:hanging="103"/>
      </w:pPr>
      <w:rPr>
        <w:rFonts w:hint="default"/>
        <w:lang w:val="es-ES" w:eastAsia="en-US" w:bidi="ar-SA"/>
      </w:rPr>
    </w:lvl>
    <w:lvl w:ilvl="5" w:tplc="CD0E104A">
      <w:numFmt w:val="bullet"/>
      <w:lvlText w:val="•"/>
      <w:lvlJc w:val="left"/>
      <w:pPr>
        <w:ind w:left="6011" w:hanging="103"/>
      </w:pPr>
      <w:rPr>
        <w:rFonts w:hint="default"/>
        <w:lang w:val="es-ES" w:eastAsia="en-US" w:bidi="ar-SA"/>
      </w:rPr>
    </w:lvl>
    <w:lvl w:ilvl="6" w:tplc="602602AE">
      <w:numFmt w:val="bullet"/>
      <w:lvlText w:val="•"/>
      <w:lvlJc w:val="left"/>
      <w:pPr>
        <w:ind w:left="7148" w:hanging="103"/>
      </w:pPr>
      <w:rPr>
        <w:rFonts w:hint="default"/>
        <w:lang w:val="es-ES" w:eastAsia="en-US" w:bidi="ar-SA"/>
      </w:rPr>
    </w:lvl>
    <w:lvl w:ilvl="7" w:tplc="490A87F2">
      <w:numFmt w:val="bullet"/>
      <w:lvlText w:val="•"/>
      <w:lvlJc w:val="left"/>
      <w:pPr>
        <w:ind w:left="8286" w:hanging="103"/>
      </w:pPr>
      <w:rPr>
        <w:rFonts w:hint="default"/>
        <w:lang w:val="es-ES" w:eastAsia="en-US" w:bidi="ar-SA"/>
      </w:rPr>
    </w:lvl>
    <w:lvl w:ilvl="8" w:tplc="DAC2CE5C">
      <w:numFmt w:val="bullet"/>
      <w:lvlText w:val="•"/>
      <w:lvlJc w:val="left"/>
      <w:pPr>
        <w:ind w:left="9424" w:hanging="103"/>
      </w:pPr>
      <w:rPr>
        <w:rFonts w:hint="default"/>
        <w:lang w:val="es-ES" w:eastAsia="en-US" w:bidi="ar-SA"/>
      </w:rPr>
    </w:lvl>
  </w:abstractNum>
  <w:abstractNum w:abstractNumId="18" w15:restartNumberingAfterBreak="0">
    <w:nsid w:val="12880DAF"/>
    <w:multiLevelType w:val="hybridMultilevel"/>
    <w:tmpl w:val="3DB811DC"/>
    <w:lvl w:ilvl="0" w:tplc="9D763052">
      <w:start w:val="2"/>
      <w:numFmt w:val="decimal"/>
      <w:lvlText w:val="%1."/>
      <w:lvlJc w:val="left"/>
      <w:pPr>
        <w:ind w:left="1372" w:hanging="258"/>
      </w:pPr>
      <w:rPr>
        <w:rFonts w:hint="default"/>
        <w:spacing w:val="-1"/>
        <w:w w:val="100"/>
        <w:lang w:val="es-ES" w:eastAsia="en-US" w:bidi="ar-SA"/>
      </w:rPr>
    </w:lvl>
    <w:lvl w:ilvl="1" w:tplc="1B82A224">
      <w:start w:val="1"/>
      <w:numFmt w:val="decimal"/>
      <w:lvlText w:val="%2."/>
      <w:lvlJc w:val="left"/>
      <w:pPr>
        <w:ind w:left="1863" w:hanging="177"/>
      </w:pPr>
      <w:rPr>
        <w:rFonts w:ascii="Arial MT" w:eastAsia="Arial MT" w:hAnsi="Arial MT" w:cs="Arial MT" w:hint="default"/>
        <w:b w:val="0"/>
        <w:bCs w:val="0"/>
        <w:i w:val="0"/>
        <w:iCs w:val="0"/>
        <w:color w:val="803108"/>
        <w:spacing w:val="-1"/>
        <w:w w:val="99"/>
        <w:sz w:val="16"/>
        <w:szCs w:val="16"/>
        <w:lang w:val="es-ES" w:eastAsia="en-US" w:bidi="ar-SA"/>
      </w:rPr>
    </w:lvl>
    <w:lvl w:ilvl="2" w:tplc="AE5A597C">
      <w:numFmt w:val="bullet"/>
      <w:lvlText w:val="•"/>
      <w:lvlJc w:val="left"/>
      <w:pPr>
        <w:ind w:left="2953" w:hanging="177"/>
      </w:pPr>
      <w:rPr>
        <w:rFonts w:hint="default"/>
        <w:lang w:val="es-ES" w:eastAsia="en-US" w:bidi="ar-SA"/>
      </w:rPr>
    </w:lvl>
    <w:lvl w:ilvl="3" w:tplc="76005B12">
      <w:numFmt w:val="bullet"/>
      <w:lvlText w:val="•"/>
      <w:lvlJc w:val="left"/>
      <w:pPr>
        <w:ind w:left="4046" w:hanging="177"/>
      </w:pPr>
      <w:rPr>
        <w:rFonts w:hint="default"/>
        <w:lang w:val="es-ES" w:eastAsia="en-US" w:bidi="ar-SA"/>
      </w:rPr>
    </w:lvl>
    <w:lvl w:ilvl="4" w:tplc="2BB87B1C">
      <w:numFmt w:val="bullet"/>
      <w:lvlText w:val="•"/>
      <w:lvlJc w:val="left"/>
      <w:pPr>
        <w:ind w:left="5140" w:hanging="177"/>
      </w:pPr>
      <w:rPr>
        <w:rFonts w:hint="default"/>
        <w:lang w:val="es-ES" w:eastAsia="en-US" w:bidi="ar-SA"/>
      </w:rPr>
    </w:lvl>
    <w:lvl w:ilvl="5" w:tplc="6980F4BC">
      <w:numFmt w:val="bullet"/>
      <w:lvlText w:val="•"/>
      <w:lvlJc w:val="left"/>
      <w:pPr>
        <w:ind w:left="6233" w:hanging="177"/>
      </w:pPr>
      <w:rPr>
        <w:rFonts w:hint="default"/>
        <w:lang w:val="es-ES" w:eastAsia="en-US" w:bidi="ar-SA"/>
      </w:rPr>
    </w:lvl>
    <w:lvl w:ilvl="6" w:tplc="64884560">
      <w:numFmt w:val="bullet"/>
      <w:lvlText w:val="•"/>
      <w:lvlJc w:val="left"/>
      <w:pPr>
        <w:ind w:left="7326" w:hanging="177"/>
      </w:pPr>
      <w:rPr>
        <w:rFonts w:hint="default"/>
        <w:lang w:val="es-ES" w:eastAsia="en-US" w:bidi="ar-SA"/>
      </w:rPr>
    </w:lvl>
    <w:lvl w:ilvl="7" w:tplc="F2BE272E">
      <w:numFmt w:val="bullet"/>
      <w:lvlText w:val="•"/>
      <w:lvlJc w:val="left"/>
      <w:pPr>
        <w:ind w:left="8420" w:hanging="177"/>
      </w:pPr>
      <w:rPr>
        <w:rFonts w:hint="default"/>
        <w:lang w:val="es-ES" w:eastAsia="en-US" w:bidi="ar-SA"/>
      </w:rPr>
    </w:lvl>
    <w:lvl w:ilvl="8" w:tplc="9BE048AA">
      <w:numFmt w:val="bullet"/>
      <w:lvlText w:val="•"/>
      <w:lvlJc w:val="left"/>
      <w:pPr>
        <w:ind w:left="9513" w:hanging="177"/>
      </w:pPr>
      <w:rPr>
        <w:rFonts w:hint="default"/>
        <w:lang w:val="es-ES" w:eastAsia="en-US" w:bidi="ar-SA"/>
      </w:rPr>
    </w:lvl>
  </w:abstractNum>
  <w:abstractNum w:abstractNumId="19" w15:restartNumberingAfterBreak="0">
    <w:nsid w:val="12A61B6D"/>
    <w:multiLevelType w:val="hybridMultilevel"/>
    <w:tmpl w:val="C68439B4"/>
    <w:lvl w:ilvl="0" w:tplc="19A4FB6C">
      <w:start w:val="8"/>
      <w:numFmt w:val="lowerLetter"/>
      <w:lvlText w:val="%1."/>
      <w:lvlJc w:val="left"/>
      <w:pPr>
        <w:ind w:left="1733" w:hanging="173"/>
      </w:pPr>
      <w:rPr>
        <w:rFonts w:ascii="Arial MT" w:eastAsia="Arial MT" w:hAnsi="Arial MT" w:cs="Arial MT" w:hint="default"/>
        <w:b w:val="0"/>
        <w:bCs w:val="0"/>
        <w:i w:val="0"/>
        <w:iCs w:val="0"/>
        <w:spacing w:val="-1"/>
        <w:w w:val="103"/>
        <w:sz w:val="15"/>
        <w:szCs w:val="15"/>
        <w:lang w:val="es-ES" w:eastAsia="en-US" w:bidi="ar-SA"/>
      </w:rPr>
    </w:lvl>
    <w:lvl w:ilvl="1" w:tplc="1C207A2A">
      <w:numFmt w:val="bullet"/>
      <w:lvlText w:val="•"/>
      <w:lvlJc w:val="left"/>
      <w:pPr>
        <w:ind w:left="2736" w:hanging="173"/>
      </w:pPr>
      <w:rPr>
        <w:rFonts w:hint="default"/>
        <w:lang w:val="es-ES" w:eastAsia="en-US" w:bidi="ar-SA"/>
      </w:rPr>
    </w:lvl>
    <w:lvl w:ilvl="2" w:tplc="16066514">
      <w:numFmt w:val="bullet"/>
      <w:lvlText w:val="•"/>
      <w:lvlJc w:val="left"/>
      <w:pPr>
        <w:ind w:left="3732" w:hanging="173"/>
      </w:pPr>
      <w:rPr>
        <w:rFonts w:hint="default"/>
        <w:lang w:val="es-ES" w:eastAsia="en-US" w:bidi="ar-SA"/>
      </w:rPr>
    </w:lvl>
    <w:lvl w:ilvl="3" w:tplc="17405528">
      <w:numFmt w:val="bullet"/>
      <w:lvlText w:val="•"/>
      <w:lvlJc w:val="left"/>
      <w:pPr>
        <w:ind w:left="4728" w:hanging="173"/>
      </w:pPr>
      <w:rPr>
        <w:rFonts w:hint="default"/>
        <w:lang w:val="es-ES" w:eastAsia="en-US" w:bidi="ar-SA"/>
      </w:rPr>
    </w:lvl>
    <w:lvl w:ilvl="4" w:tplc="3668A6AC">
      <w:numFmt w:val="bullet"/>
      <w:lvlText w:val="•"/>
      <w:lvlJc w:val="left"/>
      <w:pPr>
        <w:ind w:left="5724" w:hanging="173"/>
      </w:pPr>
      <w:rPr>
        <w:rFonts w:hint="default"/>
        <w:lang w:val="es-ES" w:eastAsia="en-US" w:bidi="ar-SA"/>
      </w:rPr>
    </w:lvl>
    <w:lvl w:ilvl="5" w:tplc="897C018E">
      <w:numFmt w:val="bullet"/>
      <w:lvlText w:val="•"/>
      <w:lvlJc w:val="left"/>
      <w:pPr>
        <w:ind w:left="6720" w:hanging="173"/>
      </w:pPr>
      <w:rPr>
        <w:rFonts w:hint="default"/>
        <w:lang w:val="es-ES" w:eastAsia="en-US" w:bidi="ar-SA"/>
      </w:rPr>
    </w:lvl>
    <w:lvl w:ilvl="6" w:tplc="2372235C">
      <w:numFmt w:val="bullet"/>
      <w:lvlText w:val="•"/>
      <w:lvlJc w:val="left"/>
      <w:pPr>
        <w:ind w:left="7716" w:hanging="173"/>
      </w:pPr>
      <w:rPr>
        <w:rFonts w:hint="default"/>
        <w:lang w:val="es-ES" w:eastAsia="en-US" w:bidi="ar-SA"/>
      </w:rPr>
    </w:lvl>
    <w:lvl w:ilvl="7" w:tplc="CDE21722">
      <w:numFmt w:val="bullet"/>
      <w:lvlText w:val="•"/>
      <w:lvlJc w:val="left"/>
      <w:pPr>
        <w:ind w:left="8712" w:hanging="173"/>
      </w:pPr>
      <w:rPr>
        <w:rFonts w:hint="default"/>
        <w:lang w:val="es-ES" w:eastAsia="en-US" w:bidi="ar-SA"/>
      </w:rPr>
    </w:lvl>
    <w:lvl w:ilvl="8" w:tplc="CDA0EF60">
      <w:numFmt w:val="bullet"/>
      <w:lvlText w:val="•"/>
      <w:lvlJc w:val="left"/>
      <w:pPr>
        <w:ind w:left="9708" w:hanging="173"/>
      </w:pPr>
      <w:rPr>
        <w:rFonts w:hint="default"/>
        <w:lang w:val="es-ES" w:eastAsia="en-US" w:bidi="ar-SA"/>
      </w:rPr>
    </w:lvl>
  </w:abstractNum>
  <w:abstractNum w:abstractNumId="20" w15:restartNumberingAfterBreak="0">
    <w:nsid w:val="13974E02"/>
    <w:multiLevelType w:val="hybridMultilevel"/>
    <w:tmpl w:val="AC329A9C"/>
    <w:lvl w:ilvl="0" w:tplc="EC66A484">
      <w:start w:val="1"/>
      <w:numFmt w:val="decimal"/>
      <w:lvlText w:val="%1."/>
      <w:lvlJc w:val="left"/>
      <w:pPr>
        <w:ind w:left="1348" w:hanging="214"/>
      </w:pPr>
      <w:rPr>
        <w:rFonts w:hint="default"/>
        <w:spacing w:val="-1"/>
        <w:w w:val="101"/>
        <w:lang w:val="es-ES" w:eastAsia="en-US" w:bidi="ar-SA"/>
      </w:rPr>
    </w:lvl>
    <w:lvl w:ilvl="1" w:tplc="F00E0392">
      <w:numFmt w:val="bullet"/>
      <w:lvlText w:val="•"/>
      <w:lvlJc w:val="left"/>
      <w:pPr>
        <w:ind w:left="2376" w:hanging="214"/>
      </w:pPr>
      <w:rPr>
        <w:rFonts w:hint="default"/>
        <w:lang w:val="es-ES" w:eastAsia="en-US" w:bidi="ar-SA"/>
      </w:rPr>
    </w:lvl>
    <w:lvl w:ilvl="2" w:tplc="77B857C2">
      <w:numFmt w:val="bullet"/>
      <w:lvlText w:val="•"/>
      <w:lvlJc w:val="left"/>
      <w:pPr>
        <w:ind w:left="3412" w:hanging="214"/>
      </w:pPr>
      <w:rPr>
        <w:rFonts w:hint="default"/>
        <w:lang w:val="es-ES" w:eastAsia="en-US" w:bidi="ar-SA"/>
      </w:rPr>
    </w:lvl>
    <w:lvl w:ilvl="3" w:tplc="47945CEC">
      <w:numFmt w:val="bullet"/>
      <w:lvlText w:val="•"/>
      <w:lvlJc w:val="left"/>
      <w:pPr>
        <w:ind w:left="4448" w:hanging="214"/>
      </w:pPr>
      <w:rPr>
        <w:rFonts w:hint="default"/>
        <w:lang w:val="es-ES" w:eastAsia="en-US" w:bidi="ar-SA"/>
      </w:rPr>
    </w:lvl>
    <w:lvl w:ilvl="4" w:tplc="5CCA49A2">
      <w:numFmt w:val="bullet"/>
      <w:lvlText w:val="•"/>
      <w:lvlJc w:val="left"/>
      <w:pPr>
        <w:ind w:left="5484" w:hanging="214"/>
      </w:pPr>
      <w:rPr>
        <w:rFonts w:hint="default"/>
        <w:lang w:val="es-ES" w:eastAsia="en-US" w:bidi="ar-SA"/>
      </w:rPr>
    </w:lvl>
    <w:lvl w:ilvl="5" w:tplc="32DEF7DA">
      <w:numFmt w:val="bullet"/>
      <w:lvlText w:val="•"/>
      <w:lvlJc w:val="left"/>
      <w:pPr>
        <w:ind w:left="6520" w:hanging="214"/>
      </w:pPr>
      <w:rPr>
        <w:rFonts w:hint="default"/>
        <w:lang w:val="es-ES" w:eastAsia="en-US" w:bidi="ar-SA"/>
      </w:rPr>
    </w:lvl>
    <w:lvl w:ilvl="6" w:tplc="F56A755A">
      <w:numFmt w:val="bullet"/>
      <w:lvlText w:val="•"/>
      <w:lvlJc w:val="left"/>
      <w:pPr>
        <w:ind w:left="7556" w:hanging="214"/>
      </w:pPr>
      <w:rPr>
        <w:rFonts w:hint="default"/>
        <w:lang w:val="es-ES" w:eastAsia="en-US" w:bidi="ar-SA"/>
      </w:rPr>
    </w:lvl>
    <w:lvl w:ilvl="7" w:tplc="6D082580">
      <w:numFmt w:val="bullet"/>
      <w:lvlText w:val="•"/>
      <w:lvlJc w:val="left"/>
      <w:pPr>
        <w:ind w:left="8592" w:hanging="214"/>
      </w:pPr>
      <w:rPr>
        <w:rFonts w:hint="default"/>
        <w:lang w:val="es-ES" w:eastAsia="en-US" w:bidi="ar-SA"/>
      </w:rPr>
    </w:lvl>
    <w:lvl w:ilvl="8" w:tplc="E2D8344C">
      <w:numFmt w:val="bullet"/>
      <w:lvlText w:val="•"/>
      <w:lvlJc w:val="left"/>
      <w:pPr>
        <w:ind w:left="9628" w:hanging="214"/>
      </w:pPr>
      <w:rPr>
        <w:rFonts w:hint="default"/>
        <w:lang w:val="es-ES" w:eastAsia="en-US" w:bidi="ar-SA"/>
      </w:rPr>
    </w:lvl>
  </w:abstractNum>
  <w:abstractNum w:abstractNumId="21" w15:restartNumberingAfterBreak="0">
    <w:nsid w:val="144F4376"/>
    <w:multiLevelType w:val="hybridMultilevel"/>
    <w:tmpl w:val="88CEAEA0"/>
    <w:lvl w:ilvl="0" w:tplc="DD6872FA">
      <w:start w:val="717"/>
      <w:numFmt w:val="decimal"/>
      <w:lvlText w:val="%1"/>
      <w:lvlJc w:val="left"/>
      <w:pPr>
        <w:ind w:left="1337" w:hanging="230"/>
      </w:pPr>
      <w:rPr>
        <w:rFonts w:ascii="Arial MT" w:eastAsia="Arial MT" w:hAnsi="Arial MT" w:cs="Arial MT" w:hint="default"/>
        <w:b w:val="0"/>
        <w:bCs w:val="0"/>
        <w:i w:val="0"/>
        <w:iCs w:val="0"/>
        <w:spacing w:val="-1"/>
        <w:w w:val="107"/>
        <w:sz w:val="11"/>
        <w:szCs w:val="11"/>
        <w:lang w:val="es-ES" w:eastAsia="en-US" w:bidi="ar-SA"/>
      </w:rPr>
    </w:lvl>
    <w:lvl w:ilvl="1" w:tplc="7206D6E4">
      <w:numFmt w:val="bullet"/>
      <w:lvlText w:val="•"/>
      <w:lvlJc w:val="left"/>
      <w:pPr>
        <w:ind w:left="2376" w:hanging="230"/>
      </w:pPr>
      <w:rPr>
        <w:rFonts w:hint="default"/>
        <w:lang w:val="es-ES" w:eastAsia="en-US" w:bidi="ar-SA"/>
      </w:rPr>
    </w:lvl>
    <w:lvl w:ilvl="2" w:tplc="8F8C8E30">
      <w:numFmt w:val="bullet"/>
      <w:lvlText w:val="•"/>
      <w:lvlJc w:val="left"/>
      <w:pPr>
        <w:ind w:left="3412" w:hanging="230"/>
      </w:pPr>
      <w:rPr>
        <w:rFonts w:hint="default"/>
        <w:lang w:val="es-ES" w:eastAsia="en-US" w:bidi="ar-SA"/>
      </w:rPr>
    </w:lvl>
    <w:lvl w:ilvl="3" w:tplc="5D82BB32">
      <w:numFmt w:val="bullet"/>
      <w:lvlText w:val="•"/>
      <w:lvlJc w:val="left"/>
      <w:pPr>
        <w:ind w:left="4448" w:hanging="230"/>
      </w:pPr>
      <w:rPr>
        <w:rFonts w:hint="default"/>
        <w:lang w:val="es-ES" w:eastAsia="en-US" w:bidi="ar-SA"/>
      </w:rPr>
    </w:lvl>
    <w:lvl w:ilvl="4" w:tplc="0ED44AF6">
      <w:numFmt w:val="bullet"/>
      <w:lvlText w:val="•"/>
      <w:lvlJc w:val="left"/>
      <w:pPr>
        <w:ind w:left="5484" w:hanging="230"/>
      </w:pPr>
      <w:rPr>
        <w:rFonts w:hint="default"/>
        <w:lang w:val="es-ES" w:eastAsia="en-US" w:bidi="ar-SA"/>
      </w:rPr>
    </w:lvl>
    <w:lvl w:ilvl="5" w:tplc="3D0C76E4">
      <w:numFmt w:val="bullet"/>
      <w:lvlText w:val="•"/>
      <w:lvlJc w:val="left"/>
      <w:pPr>
        <w:ind w:left="6520" w:hanging="230"/>
      </w:pPr>
      <w:rPr>
        <w:rFonts w:hint="default"/>
        <w:lang w:val="es-ES" w:eastAsia="en-US" w:bidi="ar-SA"/>
      </w:rPr>
    </w:lvl>
    <w:lvl w:ilvl="6" w:tplc="9CAAAA10">
      <w:numFmt w:val="bullet"/>
      <w:lvlText w:val="•"/>
      <w:lvlJc w:val="left"/>
      <w:pPr>
        <w:ind w:left="7556" w:hanging="230"/>
      </w:pPr>
      <w:rPr>
        <w:rFonts w:hint="default"/>
        <w:lang w:val="es-ES" w:eastAsia="en-US" w:bidi="ar-SA"/>
      </w:rPr>
    </w:lvl>
    <w:lvl w:ilvl="7" w:tplc="A99C6AC4">
      <w:numFmt w:val="bullet"/>
      <w:lvlText w:val="•"/>
      <w:lvlJc w:val="left"/>
      <w:pPr>
        <w:ind w:left="8592" w:hanging="230"/>
      </w:pPr>
      <w:rPr>
        <w:rFonts w:hint="default"/>
        <w:lang w:val="es-ES" w:eastAsia="en-US" w:bidi="ar-SA"/>
      </w:rPr>
    </w:lvl>
    <w:lvl w:ilvl="8" w:tplc="7CC0370E">
      <w:numFmt w:val="bullet"/>
      <w:lvlText w:val="•"/>
      <w:lvlJc w:val="left"/>
      <w:pPr>
        <w:ind w:left="9628" w:hanging="230"/>
      </w:pPr>
      <w:rPr>
        <w:rFonts w:hint="default"/>
        <w:lang w:val="es-ES" w:eastAsia="en-US" w:bidi="ar-SA"/>
      </w:rPr>
    </w:lvl>
  </w:abstractNum>
  <w:abstractNum w:abstractNumId="22" w15:restartNumberingAfterBreak="0">
    <w:nsid w:val="148B59E1"/>
    <w:multiLevelType w:val="hybridMultilevel"/>
    <w:tmpl w:val="9C6E9CBC"/>
    <w:lvl w:ilvl="0" w:tplc="F9BA07C8">
      <w:start w:val="4"/>
      <w:numFmt w:val="upperRoman"/>
      <w:lvlText w:val="%1."/>
      <w:lvlJc w:val="right"/>
      <w:pPr>
        <w:ind w:left="1854" w:hanging="360"/>
      </w:pPr>
      <w:rPr>
        <w:rFonts w:hint="default"/>
      </w:r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23" w15:restartNumberingAfterBreak="0">
    <w:nsid w:val="15464F91"/>
    <w:multiLevelType w:val="hybridMultilevel"/>
    <w:tmpl w:val="7A823AB8"/>
    <w:lvl w:ilvl="0" w:tplc="16FE8DA8">
      <w:numFmt w:val="bullet"/>
      <w:lvlText w:val="•"/>
      <w:lvlJc w:val="left"/>
      <w:pPr>
        <w:ind w:left="1561" w:hanging="103"/>
      </w:pPr>
      <w:rPr>
        <w:rFonts w:ascii="Arial MT" w:eastAsia="Arial MT" w:hAnsi="Arial MT" w:cs="Arial MT" w:hint="default"/>
        <w:b w:val="0"/>
        <w:bCs w:val="0"/>
        <w:i w:val="0"/>
        <w:iCs w:val="0"/>
        <w:color w:val="0075BF"/>
        <w:spacing w:val="0"/>
        <w:w w:val="102"/>
        <w:sz w:val="16"/>
        <w:szCs w:val="16"/>
        <w:lang w:val="es-ES" w:eastAsia="en-US" w:bidi="ar-SA"/>
      </w:rPr>
    </w:lvl>
    <w:lvl w:ilvl="1" w:tplc="C956922C">
      <w:numFmt w:val="bullet"/>
      <w:lvlText w:val="•"/>
      <w:lvlJc w:val="left"/>
      <w:pPr>
        <w:ind w:left="2574" w:hanging="103"/>
      </w:pPr>
      <w:rPr>
        <w:rFonts w:hint="default"/>
        <w:lang w:val="es-ES" w:eastAsia="en-US" w:bidi="ar-SA"/>
      </w:rPr>
    </w:lvl>
    <w:lvl w:ilvl="2" w:tplc="136A0CC8">
      <w:numFmt w:val="bullet"/>
      <w:lvlText w:val="•"/>
      <w:lvlJc w:val="left"/>
      <w:pPr>
        <w:ind w:left="3588" w:hanging="103"/>
      </w:pPr>
      <w:rPr>
        <w:rFonts w:hint="default"/>
        <w:lang w:val="es-ES" w:eastAsia="en-US" w:bidi="ar-SA"/>
      </w:rPr>
    </w:lvl>
    <w:lvl w:ilvl="3" w:tplc="9CA296DA">
      <w:numFmt w:val="bullet"/>
      <w:lvlText w:val="•"/>
      <w:lvlJc w:val="left"/>
      <w:pPr>
        <w:ind w:left="4602" w:hanging="103"/>
      </w:pPr>
      <w:rPr>
        <w:rFonts w:hint="default"/>
        <w:lang w:val="es-ES" w:eastAsia="en-US" w:bidi="ar-SA"/>
      </w:rPr>
    </w:lvl>
    <w:lvl w:ilvl="4" w:tplc="A746CB46">
      <w:numFmt w:val="bullet"/>
      <w:lvlText w:val="•"/>
      <w:lvlJc w:val="left"/>
      <w:pPr>
        <w:ind w:left="5616" w:hanging="103"/>
      </w:pPr>
      <w:rPr>
        <w:rFonts w:hint="default"/>
        <w:lang w:val="es-ES" w:eastAsia="en-US" w:bidi="ar-SA"/>
      </w:rPr>
    </w:lvl>
    <w:lvl w:ilvl="5" w:tplc="CE564902">
      <w:numFmt w:val="bullet"/>
      <w:lvlText w:val="•"/>
      <w:lvlJc w:val="left"/>
      <w:pPr>
        <w:ind w:left="6630" w:hanging="103"/>
      </w:pPr>
      <w:rPr>
        <w:rFonts w:hint="default"/>
        <w:lang w:val="es-ES" w:eastAsia="en-US" w:bidi="ar-SA"/>
      </w:rPr>
    </w:lvl>
    <w:lvl w:ilvl="6" w:tplc="45309DB0">
      <w:numFmt w:val="bullet"/>
      <w:lvlText w:val="•"/>
      <w:lvlJc w:val="left"/>
      <w:pPr>
        <w:ind w:left="7644" w:hanging="103"/>
      </w:pPr>
      <w:rPr>
        <w:rFonts w:hint="default"/>
        <w:lang w:val="es-ES" w:eastAsia="en-US" w:bidi="ar-SA"/>
      </w:rPr>
    </w:lvl>
    <w:lvl w:ilvl="7" w:tplc="E6C22E2A">
      <w:numFmt w:val="bullet"/>
      <w:lvlText w:val="•"/>
      <w:lvlJc w:val="left"/>
      <w:pPr>
        <w:ind w:left="8658" w:hanging="103"/>
      </w:pPr>
      <w:rPr>
        <w:rFonts w:hint="default"/>
        <w:lang w:val="es-ES" w:eastAsia="en-US" w:bidi="ar-SA"/>
      </w:rPr>
    </w:lvl>
    <w:lvl w:ilvl="8" w:tplc="7AE89608">
      <w:numFmt w:val="bullet"/>
      <w:lvlText w:val="•"/>
      <w:lvlJc w:val="left"/>
      <w:pPr>
        <w:ind w:left="9672" w:hanging="103"/>
      </w:pPr>
      <w:rPr>
        <w:rFonts w:hint="default"/>
        <w:lang w:val="es-ES" w:eastAsia="en-US" w:bidi="ar-SA"/>
      </w:rPr>
    </w:lvl>
  </w:abstractNum>
  <w:abstractNum w:abstractNumId="24" w15:restartNumberingAfterBreak="0">
    <w:nsid w:val="15A62C78"/>
    <w:multiLevelType w:val="hybridMultilevel"/>
    <w:tmpl w:val="4DD2FB6A"/>
    <w:lvl w:ilvl="0" w:tplc="BB5E78F0">
      <w:start w:val="1"/>
      <w:numFmt w:val="lowerLetter"/>
      <w:lvlText w:val="(%1)"/>
      <w:lvlJc w:val="left"/>
      <w:pPr>
        <w:ind w:left="1904" w:hanging="260"/>
      </w:pPr>
      <w:rPr>
        <w:rFonts w:ascii="Arial MT" w:eastAsia="Arial MT" w:hAnsi="Arial MT" w:cs="Arial MT" w:hint="default"/>
        <w:b w:val="0"/>
        <w:bCs w:val="0"/>
        <w:i w:val="0"/>
        <w:iCs w:val="0"/>
        <w:spacing w:val="0"/>
        <w:w w:val="101"/>
        <w:sz w:val="17"/>
        <w:szCs w:val="17"/>
        <w:lang w:val="es-ES" w:eastAsia="en-US" w:bidi="ar-SA"/>
      </w:rPr>
    </w:lvl>
    <w:lvl w:ilvl="1" w:tplc="1DBAD1A2">
      <w:numFmt w:val="bullet"/>
      <w:lvlText w:val="•"/>
      <w:lvlJc w:val="left"/>
      <w:pPr>
        <w:ind w:left="2880" w:hanging="260"/>
      </w:pPr>
      <w:rPr>
        <w:rFonts w:hint="default"/>
        <w:lang w:val="es-ES" w:eastAsia="en-US" w:bidi="ar-SA"/>
      </w:rPr>
    </w:lvl>
    <w:lvl w:ilvl="2" w:tplc="CF8EF67A">
      <w:numFmt w:val="bullet"/>
      <w:lvlText w:val="•"/>
      <w:lvlJc w:val="left"/>
      <w:pPr>
        <w:ind w:left="3860" w:hanging="260"/>
      </w:pPr>
      <w:rPr>
        <w:rFonts w:hint="default"/>
        <w:lang w:val="es-ES" w:eastAsia="en-US" w:bidi="ar-SA"/>
      </w:rPr>
    </w:lvl>
    <w:lvl w:ilvl="3" w:tplc="43E40246">
      <w:numFmt w:val="bullet"/>
      <w:lvlText w:val="•"/>
      <w:lvlJc w:val="left"/>
      <w:pPr>
        <w:ind w:left="4840" w:hanging="260"/>
      </w:pPr>
      <w:rPr>
        <w:rFonts w:hint="default"/>
        <w:lang w:val="es-ES" w:eastAsia="en-US" w:bidi="ar-SA"/>
      </w:rPr>
    </w:lvl>
    <w:lvl w:ilvl="4" w:tplc="92AAF004">
      <w:numFmt w:val="bullet"/>
      <w:lvlText w:val="•"/>
      <w:lvlJc w:val="left"/>
      <w:pPr>
        <w:ind w:left="5820" w:hanging="260"/>
      </w:pPr>
      <w:rPr>
        <w:rFonts w:hint="default"/>
        <w:lang w:val="es-ES" w:eastAsia="en-US" w:bidi="ar-SA"/>
      </w:rPr>
    </w:lvl>
    <w:lvl w:ilvl="5" w:tplc="8E888142">
      <w:numFmt w:val="bullet"/>
      <w:lvlText w:val="•"/>
      <w:lvlJc w:val="left"/>
      <w:pPr>
        <w:ind w:left="6800" w:hanging="260"/>
      </w:pPr>
      <w:rPr>
        <w:rFonts w:hint="default"/>
        <w:lang w:val="es-ES" w:eastAsia="en-US" w:bidi="ar-SA"/>
      </w:rPr>
    </w:lvl>
    <w:lvl w:ilvl="6" w:tplc="46C66EBC">
      <w:numFmt w:val="bullet"/>
      <w:lvlText w:val="•"/>
      <w:lvlJc w:val="left"/>
      <w:pPr>
        <w:ind w:left="7780" w:hanging="260"/>
      </w:pPr>
      <w:rPr>
        <w:rFonts w:hint="default"/>
        <w:lang w:val="es-ES" w:eastAsia="en-US" w:bidi="ar-SA"/>
      </w:rPr>
    </w:lvl>
    <w:lvl w:ilvl="7" w:tplc="9EE40954">
      <w:numFmt w:val="bullet"/>
      <w:lvlText w:val="•"/>
      <w:lvlJc w:val="left"/>
      <w:pPr>
        <w:ind w:left="8760" w:hanging="260"/>
      </w:pPr>
      <w:rPr>
        <w:rFonts w:hint="default"/>
        <w:lang w:val="es-ES" w:eastAsia="en-US" w:bidi="ar-SA"/>
      </w:rPr>
    </w:lvl>
    <w:lvl w:ilvl="8" w:tplc="18668208">
      <w:numFmt w:val="bullet"/>
      <w:lvlText w:val="•"/>
      <w:lvlJc w:val="left"/>
      <w:pPr>
        <w:ind w:left="9740" w:hanging="260"/>
      </w:pPr>
      <w:rPr>
        <w:rFonts w:hint="default"/>
        <w:lang w:val="es-ES" w:eastAsia="en-US" w:bidi="ar-SA"/>
      </w:rPr>
    </w:lvl>
  </w:abstractNum>
  <w:abstractNum w:abstractNumId="25" w15:restartNumberingAfterBreak="0">
    <w:nsid w:val="15B318E7"/>
    <w:multiLevelType w:val="hybridMultilevel"/>
    <w:tmpl w:val="FE047D58"/>
    <w:lvl w:ilvl="0" w:tplc="161A2664">
      <w:start w:val="1"/>
      <w:numFmt w:val="lowerLetter"/>
      <w:lvlText w:val="(%1)"/>
      <w:lvlJc w:val="left"/>
      <w:pPr>
        <w:ind w:left="1366" w:hanging="251"/>
        <w:jc w:val="right"/>
      </w:pPr>
      <w:rPr>
        <w:rFonts w:ascii="Arial MT" w:eastAsia="Arial MT" w:hAnsi="Arial MT" w:cs="Arial MT" w:hint="default"/>
        <w:b w:val="0"/>
        <w:bCs w:val="0"/>
        <w:i w:val="0"/>
        <w:iCs w:val="0"/>
        <w:spacing w:val="0"/>
        <w:w w:val="104"/>
        <w:sz w:val="16"/>
        <w:szCs w:val="16"/>
        <w:lang w:val="es-ES" w:eastAsia="en-US" w:bidi="ar-SA"/>
      </w:rPr>
    </w:lvl>
    <w:lvl w:ilvl="1" w:tplc="52DC12AA">
      <w:numFmt w:val="bullet"/>
      <w:lvlText w:val="•"/>
      <w:lvlJc w:val="left"/>
      <w:pPr>
        <w:ind w:left="2394" w:hanging="251"/>
      </w:pPr>
      <w:rPr>
        <w:rFonts w:hint="default"/>
        <w:lang w:val="es-ES" w:eastAsia="en-US" w:bidi="ar-SA"/>
      </w:rPr>
    </w:lvl>
    <w:lvl w:ilvl="2" w:tplc="4FE09536">
      <w:numFmt w:val="bullet"/>
      <w:lvlText w:val="•"/>
      <w:lvlJc w:val="left"/>
      <w:pPr>
        <w:ind w:left="3428" w:hanging="251"/>
      </w:pPr>
      <w:rPr>
        <w:rFonts w:hint="default"/>
        <w:lang w:val="es-ES" w:eastAsia="en-US" w:bidi="ar-SA"/>
      </w:rPr>
    </w:lvl>
    <w:lvl w:ilvl="3" w:tplc="C772DA78">
      <w:numFmt w:val="bullet"/>
      <w:lvlText w:val="•"/>
      <w:lvlJc w:val="left"/>
      <w:pPr>
        <w:ind w:left="4462" w:hanging="251"/>
      </w:pPr>
      <w:rPr>
        <w:rFonts w:hint="default"/>
        <w:lang w:val="es-ES" w:eastAsia="en-US" w:bidi="ar-SA"/>
      </w:rPr>
    </w:lvl>
    <w:lvl w:ilvl="4" w:tplc="E684F2AC">
      <w:numFmt w:val="bullet"/>
      <w:lvlText w:val="•"/>
      <w:lvlJc w:val="left"/>
      <w:pPr>
        <w:ind w:left="5496" w:hanging="251"/>
      </w:pPr>
      <w:rPr>
        <w:rFonts w:hint="default"/>
        <w:lang w:val="es-ES" w:eastAsia="en-US" w:bidi="ar-SA"/>
      </w:rPr>
    </w:lvl>
    <w:lvl w:ilvl="5" w:tplc="344E10BC">
      <w:numFmt w:val="bullet"/>
      <w:lvlText w:val="•"/>
      <w:lvlJc w:val="left"/>
      <w:pPr>
        <w:ind w:left="6530" w:hanging="251"/>
      </w:pPr>
      <w:rPr>
        <w:rFonts w:hint="default"/>
        <w:lang w:val="es-ES" w:eastAsia="en-US" w:bidi="ar-SA"/>
      </w:rPr>
    </w:lvl>
    <w:lvl w:ilvl="6" w:tplc="4BBE1750">
      <w:numFmt w:val="bullet"/>
      <w:lvlText w:val="•"/>
      <w:lvlJc w:val="left"/>
      <w:pPr>
        <w:ind w:left="7564" w:hanging="251"/>
      </w:pPr>
      <w:rPr>
        <w:rFonts w:hint="default"/>
        <w:lang w:val="es-ES" w:eastAsia="en-US" w:bidi="ar-SA"/>
      </w:rPr>
    </w:lvl>
    <w:lvl w:ilvl="7" w:tplc="9C285B6E">
      <w:numFmt w:val="bullet"/>
      <w:lvlText w:val="•"/>
      <w:lvlJc w:val="left"/>
      <w:pPr>
        <w:ind w:left="8598" w:hanging="251"/>
      </w:pPr>
      <w:rPr>
        <w:rFonts w:hint="default"/>
        <w:lang w:val="es-ES" w:eastAsia="en-US" w:bidi="ar-SA"/>
      </w:rPr>
    </w:lvl>
    <w:lvl w:ilvl="8" w:tplc="0B504534">
      <w:numFmt w:val="bullet"/>
      <w:lvlText w:val="•"/>
      <w:lvlJc w:val="left"/>
      <w:pPr>
        <w:ind w:left="9632" w:hanging="251"/>
      </w:pPr>
      <w:rPr>
        <w:rFonts w:hint="default"/>
        <w:lang w:val="es-ES" w:eastAsia="en-US" w:bidi="ar-SA"/>
      </w:rPr>
    </w:lvl>
  </w:abstractNum>
  <w:abstractNum w:abstractNumId="26" w15:restartNumberingAfterBreak="0">
    <w:nsid w:val="164C0430"/>
    <w:multiLevelType w:val="hybridMultilevel"/>
    <w:tmpl w:val="8E5E50FE"/>
    <w:lvl w:ilvl="0" w:tplc="140A0015">
      <w:start w:val="1"/>
      <w:numFmt w:val="upperLetter"/>
      <w:lvlText w:val="%1."/>
      <w:lvlJc w:val="left"/>
      <w:pPr>
        <w:ind w:left="1854" w:hanging="360"/>
      </w:pPr>
    </w:lvl>
    <w:lvl w:ilvl="1" w:tplc="140A0019" w:tentative="1">
      <w:start w:val="1"/>
      <w:numFmt w:val="lowerLetter"/>
      <w:lvlText w:val="%2."/>
      <w:lvlJc w:val="left"/>
      <w:pPr>
        <w:ind w:left="2574" w:hanging="360"/>
      </w:pPr>
    </w:lvl>
    <w:lvl w:ilvl="2" w:tplc="140A001B" w:tentative="1">
      <w:start w:val="1"/>
      <w:numFmt w:val="lowerRoman"/>
      <w:lvlText w:val="%3."/>
      <w:lvlJc w:val="right"/>
      <w:pPr>
        <w:ind w:left="3294" w:hanging="180"/>
      </w:pPr>
    </w:lvl>
    <w:lvl w:ilvl="3" w:tplc="140A000F" w:tentative="1">
      <w:start w:val="1"/>
      <w:numFmt w:val="decimal"/>
      <w:lvlText w:val="%4."/>
      <w:lvlJc w:val="left"/>
      <w:pPr>
        <w:ind w:left="4014" w:hanging="360"/>
      </w:pPr>
    </w:lvl>
    <w:lvl w:ilvl="4" w:tplc="140A0019" w:tentative="1">
      <w:start w:val="1"/>
      <w:numFmt w:val="lowerLetter"/>
      <w:lvlText w:val="%5."/>
      <w:lvlJc w:val="left"/>
      <w:pPr>
        <w:ind w:left="4734" w:hanging="360"/>
      </w:pPr>
    </w:lvl>
    <w:lvl w:ilvl="5" w:tplc="140A001B" w:tentative="1">
      <w:start w:val="1"/>
      <w:numFmt w:val="lowerRoman"/>
      <w:lvlText w:val="%6."/>
      <w:lvlJc w:val="right"/>
      <w:pPr>
        <w:ind w:left="5454" w:hanging="180"/>
      </w:pPr>
    </w:lvl>
    <w:lvl w:ilvl="6" w:tplc="140A000F" w:tentative="1">
      <w:start w:val="1"/>
      <w:numFmt w:val="decimal"/>
      <w:lvlText w:val="%7."/>
      <w:lvlJc w:val="left"/>
      <w:pPr>
        <w:ind w:left="6174" w:hanging="360"/>
      </w:pPr>
    </w:lvl>
    <w:lvl w:ilvl="7" w:tplc="140A0019" w:tentative="1">
      <w:start w:val="1"/>
      <w:numFmt w:val="lowerLetter"/>
      <w:lvlText w:val="%8."/>
      <w:lvlJc w:val="left"/>
      <w:pPr>
        <w:ind w:left="6894" w:hanging="360"/>
      </w:pPr>
    </w:lvl>
    <w:lvl w:ilvl="8" w:tplc="140A001B" w:tentative="1">
      <w:start w:val="1"/>
      <w:numFmt w:val="lowerRoman"/>
      <w:lvlText w:val="%9."/>
      <w:lvlJc w:val="right"/>
      <w:pPr>
        <w:ind w:left="7614" w:hanging="180"/>
      </w:pPr>
    </w:lvl>
  </w:abstractNum>
  <w:abstractNum w:abstractNumId="27" w15:restartNumberingAfterBreak="0">
    <w:nsid w:val="16974447"/>
    <w:multiLevelType w:val="hybridMultilevel"/>
    <w:tmpl w:val="36BAC88E"/>
    <w:lvl w:ilvl="0" w:tplc="73D41054">
      <w:start w:val="1"/>
      <w:numFmt w:val="decimal"/>
      <w:lvlText w:val="%1."/>
      <w:lvlJc w:val="left"/>
      <w:pPr>
        <w:ind w:left="1372" w:hanging="238"/>
      </w:pPr>
      <w:rPr>
        <w:rFonts w:hint="default"/>
        <w:spacing w:val="-1"/>
        <w:w w:val="101"/>
        <w:lang w:val="es-ES" w:eastAsia="en-US" w:bidi="ar-SA"/>
      </w:rPr>
    </w:lvl>
    <w:lvl w:ilvl="1" w:tplc="DBC4AACA">
      <w:start w:val="1"/>
      <w:numFmt w:val="decimal"/>
      <w:lvlText w:val="(%2)"/>
      <w:lvlJc w:val="left"/>
      <w:pPr>
        <w:ind w:left="1899" w:hanging="257"/>
      </w:pPr>
      <w:rPr>
        <w:rFonts w:hint="default"/>
        <w:spacing w:val="0"/>
        <w:w w:val="100"/>
        <w:lang w:val="es-ES" w:eastAsia="en-US" w:bidi="ar-SA"/>
      </w:rPr>
    </w:lvl>
    <w:lvl w:ilvl="2" w:tplc="AFF8403E">
      <w:numFmt w:val="bullet"/>
      <w:lvlText w:val="•"/>
      <w:lvlJc w:val="left"/>
      <w:pPr>
        <w:ind w:left="2988" w:hanging="257"/>
      </w:pPr>
      <w:rPr>
        <w:rFonts w:hint="default"/>
        <w:lang w:val="es-ES" w:eastAsia="en-US" w:bidi="ar-SA"/>
      </w:rPr>
    </w:lvl>
    <w:lvl w:ilvl="3" w:tplc="053AEC3E">
      <w:numFmt w:val="bullet"/>
      <w:lvlText w:val="•"/>
      <w:lvlJc w:val="left"/>
      <w:pPr>
        <w:ind w:left="4077" w:hanging="257"/>
      </w:pPr>
      <w:rPr>
        <w:rFonts w:hint="default"/>
        <w:lang w:val="es-ES" w:eastAsia="en-US" w:bidi="ar-SA"/>
      </w:rPr>
    </w:lvl>
    <w:lvl w:ilvl="4" w:tplc="878A527C">
      <w:numFmt w:val="bullet"/>
      <w:lvlText w:val="•"/>
      <w:lvlJc w:val="left"/>
      <w:pPr>
        <w:ind w:left="5166" w:hanging="257"/>
      </w:pPr>
      <w:rPr>
        <w:rFonts w:hint="default"/>
        <w:lang w:val="es-ES" w:eastAsia="en-US" w:bidi="ar-SA"/>
      </w:rPr>
    </w:lvl>
    <w:lvl w:ilvl="5" w:tplc="ED706ACE">
      <w:numFmt w:val="bullet"/>
      <w:lvlText w:val="•"/>
      <w:lvlJc w:val="left"/>
      <w:pPr>
        <w:ind w:left="6255" w:hanging="257"/>
      </w:pPr>
      <w:rPr>
        <w:rFonts w:hint="default"/>
        <w:lang w:val="es-ES" w:eastAsia="en-US" w:bidi="ar-SA"/>
      </w:rPr>
    </w:lvl>
    <w:lvl w:ilvl="6" w:tplc="02220A68">
      <w:numFmt w:val="bullet"/>
      <w:lvlText w:val="•"/>
      <w:lvlJc w:val="left"/>
      <w:pPr>
        <w:ind w:left="7344" w:hanging="257"/>
      </w:pPr>
      <w:rPr>
        <w:rFonts w:hint="default"/>
        <w:lang w:val="es-ES" w:eastAsia="en-US" w:bidi="ar-SA"/>
      </w:rPr>
    </w:lvl>
    <w:lvl w:ilvl="7" w:tplc="B5C6E5E8">
      <w:numFmt w:val="bullet"/>
      <w:lvlText w:val="•"/>
      <w:lvlJc w:val="left"/>
      <w:pPr>
        <w:ind w:left="8433" w:hanging="257"/>
      </w:pPr>
      <w:rPr>
        <w:rFonts w:hint="default"/>
        <w:lang w:val="es-ES" w:eastAsia="en-US" w:bidi="ar-SA"/>
      </w:rPr>
    </w:lvl>
    <w:lvl w:ilvl="8" w:tplc="7B828A64">
      <w:numFmt w:val="bullet"/>
      <w:lvlText w:val="•"/>
      <w:lvlJc w:val="left"/>
      <w:pPr>
        <w:ind w:left="9522" w:hanging="257"/>
      </w:pPr>
      <w:rPr>
        <w:rFonts w:hint="default"/>
        <w:lang w:val="es-ES" w:eastAsia="en-US" w:bidi="ar-SA"/>
      </w:rPr>
    </w:lvl>
  </w:abstractNum>
  <w:abstractNum w:abstractNumId="28" w15:restartNumberingAfterBreak="0">
    <w:nsid w:val="171B1568"/>
    <w:multiLevelType w:val="hybridMultilevel"/>
    <w:tmpl w:val="E29C3284"/>
    <w:lvl w:ilvl="0" w:tplc="69427246">
      <w:start w:val="1"/>
      <w:numFmt w:val="decimal"/>
      <w:lvlText w:val="%1."/>
      <w:lvlJc w:val="left"/>
      <w:pPr>
        <w:ind w:left="1392" w:hanging="258"/>
      </w:pPr>
      <w:rPr>
        <w:rFonts w:hint="default"/>
        <w:spacing w:val="-1"/>
        <w:w w:val="100"/>
        <w:lang w:val="es-ES" w:eastAsia="en-US" w:bidi="ar-SA"/>
      </w:rPr>
    </w:lvl>
    <w:lvl w:ilvl="1" w:tplc="8196B6FE">
      <w:start w:val="1"/>
      <w:numFmt w:val="lowerLetter"/>
      <w:lvlText w:val="%2)"/>
      <w:lvlJc w:val="left"/>
      <w:pPr>
        <w:ind w:left="1376" w:hanging="261"/>
      </w:pPr>
      <w:rPr>
        <w:rFonts w:hint="default"/>
        <w:spacing w:val="0"/>
        <w:w w:val="101"/>
        <w:lang w:val="es-ES" w:eastAsia="en-US" w:bidi="ar-SA"/>
      </w:rPr>
    </w:lvl>
    <w:lvl w:ilvl="2" w:tplc="DFD8F0A4">
      <w:numFmt w:val="bullet"/>
      <w:lvlText w:val="•"/>
      <w:lvlJc w:val="left"/>
      <w:pPr>
        <w:ind w:left="1565" w:hanging="103"/>
      </w:pPr>
      <w:rPr>
        <w:rFonts w:ascii="Arial MT" w:eastAsia="Arial MT" w:hAnsi="Arial MT" w:cs="Arial MT" w:hint="default"/>
        <w:spacing w:val="0"/>
        <w:w w:val="102"/>
        <w:lang w:val="es-ES" w:eastAsia="en-US" w:bidi="ar-SA"/>
      </w:rPr>
    </w:lvl>
    <w:lvl w:ilvl="3" w:tplc="6B261C50">
      <w:numFmt w:val="bullet"/>
      <w:lvlText w:val="–"/>
      <w:lvlJc w:val="left"/>
      <w:pPr>
        <w:ind w:left="1788" w:hanging="139"/>
      </w:pPr>
      <w:rPr>
        <w:rFonts w:ascii="Arial MT" w:eastAsia="Arial MT" w:hAnsi="Arial MT" w:cs="Arial MT" w:hint="default"/>
        <w:spacing w:val="0"/>
        <w:w w:val="104"/>
        <w:lang w:val="es-ES" w:eastAsia="en-US" w:bidi="ar-SA"/>
      </w:rPr>
    </w:lvl>
    <w:lvl w:ilvl="4" w:tplc="78EEC1A0">
      <w:numFmt w:val="bullet"/>
      <w:lvlText w:val="•"/>
      <w:lvlJc w:val="left"/>
      <w:pPr>
        <w:ind w:left="3197" w:hanging="139"/>
      </w:pPr>
      <w:rPr>
        <w:rFonts w:hint="default"/>
        <w:lang w:val="es-ES" w:eastAsia="en-US" w:bidi="ar-SA"/>
      </w:rPr>
    </w:lvl>
    <w:lvl w:ilvl="5" w:tplc="87A8BDEE">
      <w:numFmt w:val="bullet"/>
      <w:lvlText w:val="•"/>
      <w:lvlJc w:val="left"/>
      <w:pPr>
        <w:ind w:left="4614" w:hanging="139"/>
      </w:pPr>
      <w:rPr>
        <w:rFonts w:hint="default"/>
        <w:lang w:val="es-ES" w:eastAsia="en-US" w:bidi="ar-SA"/>
      </w:rPr>
    </w:lvl>
    <w:lvl w:ilvl="6" w:tplc="D4429A12">
      <w:numFmt w:val="bullet"/>
      <w:lvlText w:val="•"/>
      <w:lvlJc w:val="left"/>
      <w:pPr>
        <w:ind w:left="6031" w:hanging="139"/>
      </w:pPr>
      <w:rPr>
        <w:rFonts w:hint="default"/>
        <w:lang w:val="es-ES" w:eastAsia="en-US" w:bidi="ar-SA"/>
      </w:rPr>
    </w:lvl>
    <w:lvl w:ilvl="7" w:tplc="37426262">
      <w:numFmt w:val="bullet"/>
      <w:lvlText w:val="•"/>
      <w:lvlJc w:val="left"/>
      <w:pPr>
        <w:ind w:left="7448" w:hanging="139"/>
      </w:pPr>
      <w:rPr>
        <w:rFonts w:hint="default"/>
        <w:lang w:val="es-ES" w:eastAsia="en-US" w:bidi="ar-SA"/>
      </w:rPr>
    </w:lvl>
    <w:lvl w:ilvl="8" w:tplc="ABC2D2D4">
      <w:numFmt w:val="bullet"/>
      <w:lvlText w:val="•"/>
      <w:lvlJc w:val="left"/>
      <w:pPr>
        <w:ind w:left="8865" w:hanging="139"/>
      </w:pPr>
      <w:rPr>
        <w:rFonts w:hint="default"/>
        <w:lang w:val="es-ES" w:eastAsia="en-US" w:bidi="ar-SA"/>
      </w:rPr>
    </w:lvl>
  </w:abstractNum>
  <w:abstractNum w:abstractNumId="29" w15:restartNumberingAfterBreak="0">
    <w:nsid w:val="18D02426"/>
    <w:multiLevelType w:val="hybridMultilevel"/>
    <w:tmpl w:val="DDDCE1B2"/>
    <w:lvl w:ilvl="0" w:tplc="18C0D2A6">
      <w:numFmt w:val="bullet"/>
      <w:lvlText w:val="•"/>
      <w:lvlJc w:val="left"/>
      <w:pPr>
        <w:ind w:left="1565" w:hanging="100"/>
      </w:pPr>
      <w:rPr>
        <w:rFonts w:ascii="Arial MT" w:eastAsia="Arial MT" w:hAnsi="Arial MT" w:cs="Arial MT" w:hint="default"/>
        <w:b w:val="0"/>
        <w:bCs w:val="0"/>
        <w:i w:val="0"/>
        <w:iCs w:val="0"/>
        <w:color w:val="0075BF"/>
        <w:spacing w:val="0"/>
        <w:w w:val="99"/>
        <w:sz w:val="16"/>
        <w:szCs w:val="16"/>
        <w:lang w:val="es-ES" w:eastAsia="en-US" w:bidi="ar-SA"/>
      </w:rPr>
    </w:lvl>
    <w:lvl w:ilvl="1" w:tplc="A5F8BE78">
      <w:numFmt w:val="bullet"/>
      <w:lvlText w:val="•"/>
      <w:lvlJc w:val="left"/>
      <w:pPr>
        <w:ind w:left="2574" w:hanging="100"/>
      </w:pPr>
      <w:rPr>
        <w:rFonts w:hint="default"/>
        <w:lang w:val="es-ES" w:eastAsia="en-US" w:bidi="ar-SA"/>
      </w:rPr>
    </w:lvl>
    <w:lvl w:ilvl="2" w:tplc="7290712E">
      <w:numFmt w:val="bullet"/>
      <w:lvlText w:val="•"/>
      <w:lvlJc w:val="left"/>
      <w:pPr>
        <w:ind w:left="3588" w:hanging="100"/>
      </w:pPr>
      <w:rPr>
        <w:rFonts w:hint="default"/>
        <w:lang w:val="es-ES" w:eastAsia="en-US" w:bidi="ar-SA"/>
      </w:rPr>
    </w:lvl>
    <w:lvl w:ilvl="3" w:tplc="4DE0F752">
      <w:numFmt w:val="bullet"/>
      <w:lvlText w:val="•"/>
      <w:lvlJc w:val="left"/>
      <w:pPr>
        <w:ind w:left="4602" w:hanging="100"/>
      </w:pPr>
      <w:rPr>
        <w:rFonts w:hint="default"/>
        <w:lang w:val="es-ES" w:eastAsia="en-US" w:bidi="ar-SA"/>
      </w:rPr>
    </w:lvl>
    <w:lvl w:ilvl="4" w:tplc="BDAC26C0">
      <w:numFmt w:val="bullet"/>
      <w:lvlText w:val="•"/>
      <w:lvlJc w:val="left"/>
      <w:pPr>
        <w:ind w:left="5616" w:hanging="100"/>
      </w:pPr>
      <w:rPr>
        <w:rFonts w:hint="default"/>
        <w:lang w:val="es-ES" w:eastAsia="en-US" w:bidi="ar-SA"/>
      </w:rPr>
    </w:lvl>
    <w:lvl w:ilvl="5" w:tplc="FD567B18">
      <w:numFmt w:val="bullet"/>
      <w:lvlText w:val="•"/>
      <w:lvlJc w:val="left"/>
      <w:pPr>
        <w:ind w:left="6630" w:hanging="100"/>
      </w:pPr>
      <w:rPr>
        <w:rFonts w:hint="default"/>
        <w:lang w:val="es-ES" w:eastAsia="en-US" w:bidi="ar-SA"/>
      </w:rPr>
    </w:lvl>
    <w:lvl w:ilvl="6" w:tplc="DAD24328">
      <w:numFmt w:val="bullet"/>
      <w:lvlText w:val="•"/>
      <w:lvlJc w:val="left"/>
      <w:pPr>
        <w:ind w:left="7644" w:hanging="100"/>
      </w:pPr>
      <w:rPr>
        <w:rFonts w:hint="default"/>
        <w:lang w:val="es-ES" w:eastAsia="en-US" w:bidi="ar-SA"/>
      </w:rPr>
    </w:lvl>
    <w:lvl w:ilvl="7" w:tplc="A9C435EC">
      <w:numFmt w:val="bullet"/>
      <w:lvlText w:val="•"/>
      <w:lvlJc w:val="left"/>
      <w:pPr>
        <w:ind w:left="8658" w:hanging="100"/>
      </w:pPr>
      <w:rPr>
        <w:rFonts w:hint="default"/>
        <w:lang w:val="es-ES" w:eastAsia="en-US" w:bidi="ar-SA"/>
      </w:rPr>
    </w:lvl>
    <w:lvl w:ilvl="8" w:tplc="29D2A702">
      <w:numFmt w:val="bullet"/>
      <w:lvlText w:val="•"/>
      <w:lvlJc w:val="left"/>
      <w:pPr>
        <w:ind w:left="9672" w:hanging="100"/>
      </w:pPr>
      <w:rPr>
        <w:rFonts w:hint="default"/>
        <w:lang w:val="es-ES" w:eastAsia="en-US" w:bidi="ar-SA"/>
      </w:rPr>
    </w:lvl>
  </w:abstractNum>
  <w:abstractNum w:abstractNumId="30" w15:restartNumberingAfterBreak="0">
    <w:nsid w:val="193F30E3"/>
    <w:multiLevelType w:val="hybridMultilevel"/>
    <w:tmpl w:val="8606FE9A"/>
    <w:lvl w:ilvl="0" w:tplc="FAA4165E">
      <w:numFmt w:val="bullet"/>
      <w:lvlText w:val="•"/>
      <w:lvlJc w:val="left"/>
      <w:pPr>
        <w:ind w:left="1351" w:hanging="105"/>
      </w:pPr>
      <w:rPr>
        <w:rFonts w:ascii="Arial MT" w:eastAsia="Arial MT" w:hAnsi="Arial MT" w:cs="Arial MT" w:hint="default"/>
        <w:b w:val="0"/>
        <w:bCs w:val="0"/>
        <w:i w:val="0"/>
        <w:iCs w:val="0"/>
        <w:spacing w:val="0"/>
        <w:w w:val="104"/>
        <w:sz w:val="16"/>
        <w:szCs w:val="16"/>
        <w:lang w:val="es-ES" w:eastAsia="en-US" w:bidi="ar-SA"/>
      </w:rPr>
    </w:lvl>
    <w:lvl w:ilvl="1" w:tplc="8D3A72B6">
      <w:numFmt w:val="bullet"/>
      <w:lvlText w:val="•"/>
      <w:lvlJc w:val="left"/>
      <w:pPr>
        <w:ind w:left="2394" w:hanging="105"/>
      </w:pPr>
      <w:rPr>
        <w:rFonts w:hint="default"/>
        <w:lang w:val="es-ES" w:eastAsia="en-US" w:bidi="ar-SA"/>
      </w:rPr>
    </w:lvl>
    <w:lvl w:ilvl="2" w:tplc="49D0020C">
      <w:numFmt w:val="bullet"/>
      <w:lvlText w:val="•"/>
      <w:lvlJc w:val="left"/>
      <w:pPr>
        <w:ind w:left="3428" w:hanging="105"/>
      </w:pPr>
      <w:rPr>
        <w:rFonts w:hint="default"/>
        <w:lang w:val="es-ES" w:eastAsia="en-US" w:bidi="ar-SA"/>
      </w:rPr>
    </w:lvl>
    <w:lvl w:ilvl="3" w:tplc="D04A4A8C">
      <w:numFmt w:val="bullet"/>
      <w:lvlText w:val="•"/>
      <w:lvlJc w:val="left"/>
      <w:pPr>
        <w:ind w:left="4462" w:hanging="105"/>
      </w:pPr>
      <w:rPr>
        <w:rFonts w:hint="default"/>
        <w:lang w:val="es-ES" w:eastAsia="en-US" w:bidi="ar-SA"/>
      </w:rPr>
    </w:lvl>
    <w:lvl w:ilvl="4" w:tplc="3ED86276">
      <w:numFmt w:val="bullet"/>
      <w:lvlText w:val="•"/>
      <w:lvlJc w:val="left"/>
      <w:pPr>
        <w:ind w:left="5496" w:hanging="105"/>
      </w:pPr>
      <w:rPr>
        <w:rFonts w:hint="default"/>
        <w:lang w:val="es-ES" w:eastAsia="en-US" w:bidi="ar-SA"/>
      </w:rPr>
    </w:lvl>
    <w:lvl w:ilvl="5" w:tplc="B50AECAE">
      <w:numFmt w:val="bullet"/>
      <w:lvlText w:val="•"/>
      <w:lvlJc w:val="left"/>
      <w:pPr>
        <w:ind w:left="6530" w:hanging="105"/>
      </w:pPr>
      <w:rPr>
        <w:rFonts w:hint="default"/>
        <w:lang w:val="es-ES" w:eastAsia="en-US" w:bidi="ar-SA"/>
      </w:rPr>
    </w:lvl>
    <w:lvl w:ilvl="6" w:tplc="89561B12">
      <w:numFmt w:val="bullet"/>
      <w:lvlText w:val="•"/>
      <w:lvlJc w:val="left"/>
      <w:pPr>
        <w:ind w:left="7564" w:hanging="105"/>
      </w:pPr>
      <w:rPr>
        <w:rFonts w:hint="default"/>
        <w:lang w:val="es-ES" w:eastAsia="en-US" w:bidi="ar-SA"/>
      </w:rPr>
    </w:lvl>
    <w:lvl w:ilvl="7" w:tplc="F3489C60">
      <w:numFmt w:val="bullet"/>
      <w:lvlText w:val="•"/>
      <w:lvlJc w:val="left"/>
      <w:pPr>
        <w:ind w:left="8598" w:hanging="105"/>
      </w:pPr>
      <w:rPr>
        <w:rFonts w:hint="default"/>
        <w:lang w:val="es-ES" w:eastAsia="en-US" w:bidi="ar-SA"/>
      </w:rPr>
    </w:lvl>
    <w:lvl w:ilvl="8" w:tplc="976EC99C">
      <w:numFmt w:val="bullet"/>
      <w:lvlText w:val="•"/>
      <w:lvlJc w:val="left"/>
      <w:pPr>
        <w:ind w:left="9632" w:hanging="105"/>
      </w:pPr>
      <w:rPr>
        <w:rFonts w:hint="default"/>
        <w:lang w:val="es-ES" w:eastAsia="en-US" w:bidi="ar-SA"/>
      </w:rPr>
    </w:lvl>
  </w:abstractNum>
  <w:abstractNum w:abstractNumId="31" w15:restartNumberingAfterBreak="0">
    <w:nsid w:val="19697B4D"/>
    <w:multiLevelType w:val="hybridMultilevel"/>
    <w:tmpl w:val="3A38CB2E"/>
    <w:lvl w:ilvl="0" w:tplc="5A48E4AC">
      <w:start w:val="658"/>
      <w:numFmt w:val="decimal"/>
      <w:lvlText w:val="%1"/>
      <w:lvlJc w:val="left"/>
      <w:pPr>
        <w:ind w:left="1351" w:hanging="244"/>
      </w:pPr>
      <w:rPr>
        <w:rFonts w:hint="default"/>
        <w:spacing w:val="-1"/>
        <w:w w:val="104"/>
        <w:lang w:val="es-ES" w:eastAsia="en-US" w:bidi="ar-SA"/>
      </w:rPr>
    </w:lvl>
    <w:lvl w:ilvl="1" w:tplc="5D7CFB5C">
      <w:numFmt w:val="bullet"/>
      <w:lvlText w:val="•"/>
      <w:lvlJc w:val="left"/>
      <w:pPr>
        <w:ind w:left="2394" w:hanging="244"/>
      </w:pPr>
      <w:rPr>
        <w:rFonts w:hint="default"/>
        <w:lang w:val="es-ES" w:eastAsia="en-US" w:bidi="ar-SA"/>
      </w:rPr>
    </w:lvl>
    <w:lvl w:ilvl="2" w:tplc="955C5454">
      <w:numFmt w:val="bullet"/>
      <w:lvlText w:val="•"/>
      <w:lvlJc w:val="left"/>
      <w:pPr>
        <w:ind w:left="3428" w:hanging="244"/>
      </w:pPr>
      <w:rPr>
        <w:rFonts w:hint="default"/>
        <w:lang w:val="es-ES" w:eastAsia="en-US" w:bidi="ar-SA"/>
      </w:rPr>
    </w:lvl>
    <w:lvl w:ilvl="3" w:tplc="B41649D8">
      <w:numFmt w:val="bullet"/>
      <w:lvlText w:val="•"/>
      <w:lvlJc w:val="left"/>
      <w:pPr>
        <w:ind w:left="4462" w:hanging="244"/>
      </w:pPr>
      <w:rPr>
        <w:rFonts w:hint="default"/>
        <w:lang w:val="es-ES" w:eastAsia="en-US" w:bidi="ar-SA"/>
      </w:rPr>
    </w:lvl>
    <w:lvl w:ilvl="4" w:tplc="49408E58">
      <w:numFmt w:val="bullet"/>
      <w:lvlText w:val="•"/>
      <w:lvlJc w:val="left"/>
      <w:pPr>
        <w:ind w:left="5496" w:hanging="244"/>
      </w:pPr>
      <w:rPr>
        <w:rFonts w:hint="default"/>
        <w:lang w:val="es-ES" w:eastAsia="en-US" w:bidi="ar-SA"/>
      </w:rPr>
    </w:lvl>
    <w:lvl w:ilvl="5" w:tplc="40428CC6">
      <w:numFmt w:val="bullet"/>
      <w:lvlText w:val="•"/>
      <w:lvlJc w:val="left"/>
      <w:pPr>
        <w:ind w:left="6530" w:hanging="244"/>
      </w:pPr>
      <w:rPr>
        <w:rFonts w:hint="default"/>
        <w:lang w:val="es-ES" w:eastAsia="en-US" w:bidi="ar-SA"/>
      </w:rPr>
    </w:lvl>
    <w:lvl w:ilvl="6" w:tplc="133431E2">
      <w:numFmt w:val="bullet"/>
      <w:lvlText w:val="•"/>
      <w:lvlJc w:val="left"/>
      <w:pPr>
        <w:ind w:left="7564" w:hanging="244"/>
      </w:pPr>
      <w:rPr>
        <w:rFonts w:hint="default"/>
        <w:lang w:val="es-ES" w:eastAsia="en-US" w:bidi="ar-SA"/>
      </w:rPr>
    </w:lvl>
    <w:lvl w:ilvl="7" w:tplc="2FD091E0">
      <w:numFmt w:val="bullet"/>
      <w:lvlText w:val="•"/>
      <w:lvlJc w:val="left"/>
      <w:pPr>
        <w:ind w:left="8598" w:hanging="244"/>
      </w:pPr>
      <w:rPr>
        <w:rFonts w:hint="default"/>
        <w:lang w:val="es-ES" w:eastAsia="en-US" w:bidi="ar-SA"/>
      </w:rPr>
    </w:lvl>
    <w:lvl w:ilvl="8" w:tplc="A3B83D98">
      <w:numFmt w:val="bullet"/>
      <w:lvlText w:val="•"/>
      <w:lvlJc w:val="left"/>
      <w:pPr>
        <w:ind w:left="9632" w:hanging="244"/>
      </w:pPr>
      <w:rPr>
        <w:rFonts w:hint="default"/>
        <w:lang w:val="es-ES" w:eastAsia="en-US" w:bidi="ar-SA"/>
      </w:rPr>
    </w:lvl>
  </w:abstractNum>
  <w:abstractNum w:abstractNumId="32" w15:restartNumberingAfterBreak="0">
    <w:nsid w:val="19E21F81"/>
    <w:multiLevelType w:val="hybridMultilevel"/>
    <w:tmpl w:val="874E2082"/>
    <w:lvl w:ilvl="0" w:tplc="7116E770">
      <w:start w:val="776"/>
      <w:numFmt w:val="decimal"/>
      <w:lvlText w:val="%1"/>
      <w:lvlJc w:val="left"/>
      <w:pPr>
        <w:ind w:left="1327" w:hanging="219"/>
      </w:pPr>
      <w:rPr>
        <w:rFonts w:ascii="Arial MT" w:eastAsia="Arial MT" w:hAnsi="Arial MT" w:cs="Arial MT" w:hint="default"/>
        <w:b w:val="0"/>
        <w:bCs w:val="0"/>
        <w:i w:val="0"/>
        <w:iCs w:val="0"/>
        <w:spacing w:val="-1"/>
        <w:w w:val="102"/>
        <w:sz w:val="11"/>
        <w:szCs w:val="11"/>
        <w:lang w:val="es-ES" w:eastAsia="en-US" w:bidi="ar-SA"/>
      </w:rPr>
    </w:lvl>
    <w:lvl w:ilvl="1" w:tplc="33047FA2">
      <w:numFmt w:val="bullet"/>
      <w:lvlText w:val="•"/>
      <w:lvlJc w:val="left"/>
      <w:pPr>
        <w:ind w:left="2358" w:hanging="219"/>
      </w:pPr>
      <w:rPr>
        <w:rFonts w:hint="default"/>
        <w:lang w:val="es-ES" w:eastAsia="en-US" w:bidi="ar-SA"/>
      </w:rPr>
    </w:lvl>
    <w:lvl w:ilvl="2" w:tplc="FADA02AC">
      <w:numFmt w:val="bullet"/>
      <w:lvlText w:val="•"/>
      <w:lvlJc w:val="left"/>
      <w:pPr>
        <w:ind w:left="3396" w:hanging="219"/>
      </w:pPr>
      <w:rPr>
        <w:rFonts w:hint="default"/>
        <w:lang w:val="es-ES" w:eastAsia="en-US" w:bidi="ar-SA"/>
      </w:rPr>
    </w:lvl>
    <w:lvl w:ilvl="3" w:tplc="C9822F28">
      <w:numFmt w:val="bullet"/>
      <w:lvlText w:val="•"/>
      <w:lvlJc w:val="left"/>
      <w:pPr>
        <w:ind w:left="4434" w:hanging="219"/>
      </w:pPr>
      <w:rPr>
        <w:rFonts w:hint="default"/>
        <w:lang w:val="es-ES" w:eastAsia="en-US" w:bidi="ar-SA"/>
      </w:rPr>
    </w:lvl>
    <w:lvl w:ilvl="4" w:tplc="709A4FC4">
      <w:numFmt w:val="bullet"/>
      <w:lvlText w:val="•"/>
      <w:lvlJc w:val="left"/>
      <w:pPr>
        <w:ind w:left="5472" w:hanging="219"/>
      </w:pPr>
      <w:rPr>
        <w:rFonts w:hint="default"/>
        <w:lang w:val="es-ES" w:eastAsia="en-US" w:bidi="ar-SA"/>
      </w:rPr>
    </w:lvl>
    <w:lvl w:ilvl="5" w:tplc="A39AB5DC">
      <w:numFmt w:val="bullet"/>
      <w:lvlText w:val="•"/>
      <w:lvlJc w:val="left"/>
      <w:pPr>
        <w:ind w:left="6510" w:hanging="219"/>
      </w:pPr>
      <w:rPr>
        <w:rFonts w:hint="default"/>
        <w:lang w:val="es-ES" w:eastAsia="en-US" w:bidi="ar-SA"/>
      </w:rPr>
    </w:lvl>
    <w:lvl w:ilvl="6" w:tplc="2DD0053C">
      <w:numFmt w:val="bullet"/>
      <w:lvlText w:val="•"/>
      <w:lvlJc w:val="left"/>
      <w:pPr>
        <w:ind w:left="7548" w:hanging="219"/>
      </w:pPr>
      <w:rPr>
        <w:rFonts w:hint="default"/>
        <w:lang w:val="es-ES" w:eastAsia="en-US" w:bidi="ar-SA"/>
      </w:rPr>
    </w:lvl>
    <w:lvl w:ilvl="7" w:tplc="1700D0CC">
      <w:numFmt w:val="bullet"/>
      <w:lvlText w:val="•"/>
      <w:lvlJc w:val="left"/>
      <w:pPr>
        <w:ind w:left="8586" w:hanging="219"/>
      </w:pPr>
      <w:rPr>
        <w:rFonts w:hint="default"/>
        <w:lang w:val="es-ES" w:eastAsia="en-US" w:bidi="ar-SA"/>
      </w:rPr>
    </w:lvl>
    <w:lvl w:ilvl="8" w:tplc="9F144A58">
      <w:numFmt w:val="bullet"/>
      <w:lvlText w:val="•"/>
      <w:lvlJc w:val="left"/>
      <w:pPr>
        <w:ind w:left="9624" w:hanging="219"/>
      </w:pPr>
      <w:rPr>
        <w:rFonts w:hint="default"/>
        <w:lang w:val="es-ES" w:eastAsia="en-US" w:bidi="ar-SA"/>
      </w:rPr>
    </w:lvl>
  </w:abstractNum>
  <w:abstractNum w:abstractNumId="33" w15:restartNumberingAfterBreak="0">
    <w:nsid w:val="1BCC298E"/>
    <w:multiLevelType w:val="hybridMultilevel"/>
    <w:tmpl w:val="B572432E"/>
    <w:lvl w:ilvl="0" w:tplc="9B9E9C9A">
      <w:start w:val="505"/>
      <w:numFmt w:val="decimal"/>
      <w:lvlText w:val="%1"/>
      <w:lvlJc w:val="left"/>
      <w:pPr>
        <w:ind w:left="1350" w:hanging="243"/>
      </w:pPr>
      <w:rPr>
        <w:rFonts w:hint="default"/>
        <w:spacing w:val="-1"/>
        <w:w w:val="104"/>
        <w:lang w:val="es-ES" w:eastAsia="en-US" w:bidi="ar-SA"/>
      </w:rPr>
    </w:lvl>
    <w:lvl w:ilvl="1" w:tplc="6CF671A2">
      <w:numFmt w:val="bullet"/>
      <w:lvlText w:val="•"/>
      <w:lvlJc w:val="left"/>
      <w:pPr>
        <w:ind w:left="2394" w:hanging="243"/>
      </w:pPr>
      <w:rPr>
        <w:rFonts w:hint="default"/>
        <w:lang w:val="es-ES" w:eastAsia="en-US" w:bidi="ar-SA"/>
      </w:rPr>
    </w:lvl>
    <w:lvl w:ilvl="2" w:tplc="F118D00C">
      <w:numFmt w:val="bullet"/>
      <w:lvlText w:val="•"/>
      <w:lvlJc w:val="left"/>
      <w:pPr>
        <w:ind w:left="3428" w:hanging="243"/>
      </w:pPr>
      <w:rPr>
        <w:rFonts w:hint="default"/>
        <w:lang w:val="es-ES" w:eastAsia="en-US" w:bidi="ar-SA"/>
      </w:rPr>
    </w:lvl>
    <w:lvl w:ilvl="3" w:tplc="E1B681F2">
      <w:numFmt w:val="bullet"/>
      <w:lvlText w:val="•"/>
      <w:lvlJc w:val="left"/>
      <w:pPr>
        <w:ind w:left="4462" w:hanging="243"/>
      </w:pPr>
      <w:rPr>
        <w:rFonts w:hint="default"/>
        <w:lang w:val="es-ES" w:eastAsia="en-US" w:bidi="ar-SA"/>
      </w:rPr>
    </w:lvl>
    <w:lvl w:ilvl="4" w:tplc="8F0AF09E">
      <w:numFmt w:val="bullet"/>
      <w:lvlText w:val="•"/>
      <w:lvlJc w:val="left"/>
      <w:pPr>
        <w:ind w:left="5496" w:hanging="243"/>
      </w:pPr>
      <w:rPr>
        <w:rFonts w:hint="default"/>
        <w:lang w:val="es-ES" w:eastAsia="en-US" w:bidi="ar-SA"/>
      </w:rPr>
    </w:lvl>
    <w:lvl w:ilvl="5" w:tplc="A3FA38AE">
      <w:numFmt w:val="bullet"/>
      <w:lvlText w:val="•"/>
      <w:lvlJc w:val="left"/>
      <w:pPr>
        <w:ind w:left="6530" w:hanging="243"/>
      </w:pPr>
      <w:rPr>
        <w:rFonts w:hint="default"/>
        <w:lang w:val="es-ES" w:eastAsia="en-US" w:bidi="ar-SA"/>
      </w:rPr>
    </w:lvl>
    <w:lvl w:ilvl="6" w:tplc="D142772A">
      <w:numFmt w:val="bullet"/>
      <w:lvlText w:val="•"/>
      <w:lvlJc w:val="left"/>
      <w:pPr>
        <w:ind w:left="7564" w:hanging="243"/>
      </w:pPr>
      <w:rPr>
        <w:rFonts w:hint="default"/>
        <w:lang w:val="es-ES" w:eastAsia="en-US" w:bidi="ar-SA"/>
      </w:rPr>
    </w:lvl>
    <w:lvl w:ilvl="7" w:tplc="E5408B5C">
      <w:numFmt w:val="bullet"/>
      <w:lvlText w:val="•"/>
      <w:lvlJc w:val="left"/>
      <w:pPr>
        <w:ind w:left="8598" w:hanging="243"/>
      </w:pPr>
      <w:rPr>
        <w:rFonts w:hint="default"/>
        <w:lang w:val="es-ES" w:eastAsia="en-US" w:bidi="ar-SA"/>
      </w:rPr>
    </w:lvl>
    <w:lvl w:ilvl="8" w:tplc="DB0E67AA">
      <w:numFmt w:val="bullet"/>
      <w:lvlText w:val="•"/>
      <w:lvlJc w:val="left"/>
      <w:pPr>
        <w:ind w:left="9632" w:hanging="243"/>
      </w:pPr>
      <w:rPr>
        <w:rFonts w:hint="default"/>
        <w:lang w:val="es-ES" w:eastAsia="en-US" w:bidi="ar-SA"/>
      </w:rPr>
    </w:lvl>
  </w:abstractNum>
  <w:abstractNum w:abstractNumId="34" w15:restartNumberingAfterBreak="0">
    <w:nsid w:val="1E334A57"/>
    <w:multiLevelType w:val="hybridMultilevel"/>
    <w:tmpl w:val="5C2C69CC"/>
    <w:lvl w:ilvl="0" w:tplc="1AB04648">
      <w:start w:val="602"/>
      <w:numFmt w:val="decimal"/>
      <w:lvlText w:val="%1"/>
      <w:lvlJc w:val="left"/>
      <w:pPr>
        <w:ind w:left="1352" w:hanging="246"/>
      </w:pPr>
      <w:rPr>
        <w:rFonts w:ascii="Arial MT" w:eastAsia="Arial MT" w:hAnsi="Arial MT" w:cs="Arial MT" w:hint="default"/>
        <w:b w:val="0"/>
        <w:bCs w:val="0"/>
        <w:i w:val="0"/>
        <w:iCs w:val="0"/>
        <w:spacing w:val="-1"/>
        <w:w w:val="105"/>
        <w:sz w:val="12"/>
        <w:szCs w:val="12"/>
        <w:lang w:val="es-ES" w:eastAsia="en-US" w:bidi="ar-SA"/>
      </w:rPr>
    </w:lvl>
    <w:lvl w:ilvl="1" w:tplc="C9D8F38A">
      <w:numFmt w:val="bullet"/>
      <w:lvlText w:val="•"/>
      <w:lvlJc w:val="left"/>
      <w:pPr>
        <w:ind w:left="2394" w:hanging="246"/>
      </w:pPr>
      <w:rPr>
        <w:rFonts w:hint="default"/>
        <w:lang w:val="es-ES" w:eastAsia="en-US" w:bidi="ar-SA"/>
      </w:rPr>
    </w:lvl>
    <w:lvl w:ilvl="2" w:tplc="9DFC436C">
      <w:numFmt w:val="bullet"/>
      <w:lvlText w:val="•"/>
      <w:lvlJc w:val="left"/>
      <w:pPr>
        <w:ind w:left="3428" w:hanging="246"/>
      </w:pPr>
      <w:rPr>
        <w:rFonts w:hint="default"/>
        <w:lang w:val="es-ES" w:eastAsia="en-US" w:bidi="ar-SA"/>
      </w:rPr>
    </w:lvl>
    <w:lvl w:ilvl="3" w:tplc="1B387CB8">
      <w:numFmt w:val="bullet"/>
      <w:lvlText w:val="•"/>
      <w:lvlJc w:val="left"/>
      <w:pPr>
        <w:ind w:left="4462" w:hanging="246"/>
      </w:pPr>
      <w:rPr>
        <w:rFonts w:hint="default"/>
        <w:lang w:val="es-ES" w:eastAsia="en-US" w:bidi="ar-SA"/>
      </w:rPr>
    </w:lvl>
    <w:lvl w:ilvl="4" w:tplc="024C6BA8">
      <w:numFmt w:val="bullet"/>
      <w:lvlText w:val="•"/>
      <w:lvlJc w:val="left"/>
      <w:pPr>
        <w:ind w:left="5496" w:hanging="246"/>
      </w:pPr>
      <w:rPr>
        <w:rFonts w:hint="default"/>
        <w:lang w:val="es-ES" w:eastAsia="en-US" w:bidi="ar-SA"/>
      </w:rPr>
    </w:lvl>
    <w:lvl w:ilvl="5" w:tplc="9266DFF6">
      <w:numFmt w:val="bullet"/>
      <w:lvlText w:val="•"/>
      <w:lvlJc w:val="left"/>
      <w:pPr>
        <w:ind w:left="6530" w:hanging="246"/>
      </w:pPr>
      <w:rPr>
        <w:rFonts w:hint="default"/>
        <w:lang w:val="es-ES" w:eastAsia="en-US" w:bidi="ar-SA"/>
      </w:rPr>
    </w:lvl>
    <w:lvl w:ilvl="6" w:tplc="5FA810E6">
      <w:numFmt w:val="bullet"/>
      <w:lvlText w:val="•"/>
      <w:lvlJc w:val="left"/>
      <w:pPr>
        <w:ind w:left="7564" w:hanging="246"/>
      </w:pPr>
      <w:rPr>
        <w:rFonts w:hint="default"/>
        <w:lang w:val="es-ES" w:eastAsia="en-US" w:bidi="ar-SA"/>
      </w:rPr>
    </w:lvl>
    <w:lvl w:ilvl="7" w:tplc="B94295F0">
      <w:numFmt w:val="bullet"/>
      <w:lvlText w:val="•"/>
      <w:lvlJc w:val="left"/>
      <w:pPr>
        <w:ind w:left="8598" w:hanging="246"/>
      </w:pPr>
      <w:rPr>
        <w:rFonts w:hint="default"/>
        <w:lang w:val="es-ES" w:eastAsia="en-US" w:bidi="ar-SA"/>
      </w:rPr>
    </w:lvl>
    <w:lvl w:ilvl="8" w:tplc="89C8403E">
      <w:numFmt w:val="bullet"/>
      <w:lvlText w:val="•"/>
      <w:lvlJc w:val="left"/>
      <w:pPr>
        <w:ind w:left="9632" w:hanging="246"/>
      </w:pPr>
      <w:rPr>
        <w:rFonts w:hint="default"/>
        <w:lang w:val="es-ES" w:eastAsia="en-US" w:bidi="ar-SA"/>
      </w:rPr>
    </w:lvl>
  </w:abstractNum>
  <w:abstractNum w:abstractNumId="35" w15:restartNumberingAfterBreak="0">
    <w:nsid w:val="1E427045"/>
    <w:multiLevelType w:val="hybridMultilevel"/>
    <w:tmpl w:val="32CE64B8"/>
    <w:lvl w:ilvl="0" w:tplc="140A0013">
      <w:start w:val="1"/>
      <w:numFmt w:val="upperRoman"/>
      <w:lvlText w:val="%1."/>
      <w:lvlJc w:val="right"/>
      <w:pPr>
        <w:ind w:left="1854" w:hanging="360"/>
      </w:pPr>
    </w:lvl>
    <w:lvl w:ilvl="1" w:tplc="FFFFFFFF" w:tentative="1">
      <w:start w:val="1"/>
      <w:numFmt w:val="lowerLetter"/>
      <w:lvlText w:val="%2."/>
      <w:lvlJc w:val="left"/>
      <w:pPr>
        <w:ind w:left="2574" w:hanging="360"/>
      </w:pPr>
    </w:lvl>
    <w:lvl w:ilvl="2" w:tplc="FFFFFFFF" w:tentative="1">
      <w:start w:val="1"/>
      <w:numFmt w:val="lowerRoman"/>
      <w:lvlText w:val="%3."/>
      <w:lvlJc w:val="right"/>
      <w:pPr>
        <w:ind w:left="3294" w:hanging="180"/>
      </w:pPr>
    </w:lvl>
    <w:lvl w:ilvl="3" w:tplc="FFFFFFFF" w:tentative="1">
      <w:start w:val="1"/>
      <w:numFmt w:val="decimal"/>
      <w:lvlText w:val="%4."/>
      <w:lvlJc w:val="left"/>
      <w:pPr>
        <w:ind w:left="4014" w:hanging="360"/>
      </w:pPr>
    </w:lvl>
    <w:lvl w:ilvl="4" w:tplc="FFFFFFFF" w:tentative="1">
      <w:start w:val="1"/>
      <w:numFmt w:val="lowerLetter"/>
      <w:lvlText w:val="%5."/>
      <w:lvlJc w:val="left"/>
      <w:pPr>
        <w:ind w:left="4734" w:hanging="360"/>
      </w:pPr>
    </w:lvl>
    <w:lvl w:ilvl="5" w:tplc="FFFFFFFF" w:tentative="1">
      <w:start w:val="1"/>
      <w:numFmt w:val="lowerRoman"/>
      <w:lvlText w:val="%6."/>
      <w:lvlJc w:val="right"/>
      <w:pPr>
        <w:ind w:left="5454" w:hanging="180"/>
      </w:pPr>
    </w:lvl>
    <w:lvl w:ilvl="6" w:tplc="FFFFFFFF" w:tentative="1">
      <w:start w:val="1"/>
      <w:numFmt w:val="decimal"/>
      <w:lvlText w:val="%7."/>
      <w:lvlJc w:val="left"/>
      <w:pPr>
        <w:ind w:left="6174" w:hanging="360"/>
      </w:pPr>
    </w:lvl>
    <w:lvl w:ilvl="7" w:tplc="FFFFFFFF" w:tentative="1">
      <w:start w:val="1"/>
      <w:numFmt w:val="lowerLetter"/>
      <w:lvlText w:val="%8."/>
      <w:lvlJc w:val="left"/>
      <w:pPr>
        <w:ind w:left="6894" w:hanging="360"/>
      </w:pPr>
    </w:lvl>
    <w:lvl w:ilvl="8" w:tplc="FFFFFFFF" w:tentative="1">
      <w:start w:val="1"/>
      <w:numFmt w:val="lowerRoman"/>
      <w:lvlText w:val="%9."/>
      <w:lvlJc w:val="right"/>
      <w:pPr>
        <w:ind w:left="7614" w:hanging="180"/>
      </w:pPr>
    </w:lvl>
  </w:abstractNum>
  <w:abstractNum w:abstractNumId="36" w15:restartNumberingAfterBreak="0">
    <w:nsid w:val="21817AB2"/>
    <w:multiLevelType w:val="hybridMultilevel"/>
    <w:tmpl w:val="A630264C"/>
    <w:lvl w:ilvl="0" w:tplc="7F30EDD2">
      <w:numFmt w:val="bullet"/>
      <w:lvlText w:val="•"/>
      <w:lvlJc w:val="left"/>
      <w:pPr>
        <w:ind w:left="1561" w:hanging="105"/>
      </w:pPr>
      <w:rPr>
        <w:rFonts w:ascii="Arial MT" w:eastAsia="Arial MT" w:hAnsi="Arial MT" w:cs="Arial MT" w:hint="default"/>
        <w:b w:val="0"/>
        <w:bCs w:val="0"/>
        <w:i w:val="0"/>
        <w:iCs w:val="0"/>
        <w:color w:val="0075BF"/>
        <w:spacing w:val="0"/>
        <w:w w:val="104"/>
        <w:sz w:val="16"/>
        <w:szCs w:val="16"/>
        <w:lang w:val="es-ES" w:eastAsia="en-US" w:bidi="ar-SA"/>
      </w:rPr>
    </w:lvl>
    <w:lvl w:ilvl="1" w:tplc="58449112">
      <w:numFmt w:val="bullet"/>
      <w:lvlText w:val="•"/>
      <w:lvlJc w:val="left"/>
      <w:pPr>
        <w:ind w:left="2574" w:hanging="105"/>
      </w:pPr>
      <w:rPr>
        <w:rFonts w:hint="default"/>
        <w:lang w:val="es-ES" w:eastAsia="en-US" w:bidi="ar-SA"/>
      </w:rPr>
    </w:lvl>
    <w:lvl w:ilvl="2" w:tplc="08B461F2">
      <w:numFmt w:val="bullet"/>
      <w:lvlText w:val="•"/>
      <w:lvlJc w:val="left"/>
      <w:pPr>
        <w:ind w:left="3588" w:hanging="105"/>
      </w:pPr>
      <w:rPr>
        <w:rFonts w:hint="default"/>
        <w:lang w:val="es-ES" w:eastAsia="en-US" w:bidi="ar-SA"/>
      </w:rPr>
    </w:lvl>
    <w:lvl w:ilvl="3" w:tplc="0BB465E8">
      <w:numFmt w:val="bullet"/>
      <w:lvlText w:val="•"/>
      <w:lvlJc w:val="left"/>
      <w:pPr>
        <w:ind w:left="4602" w:hanging="105"/>
      </w:pPr>
      <w:rPr>
        <w:rFonts w:hint="default"/>
        <w:lang w:val="es-ES" w:eastAsia="en-US" w:bidi="ar-SA"/>
      </w:rPr>
    </w:lvl>
    <w:lvl w:ilvl="4" w:tplc="F46A0830">
      <w:numFmt w:val="bullet"/>
      <w:lvlText w:val="•"/>
      <w:lvlJc w:val="left"/>
      <w:pPr>
        <w:ind w:left="5616" w:hanging="105"/>
      </w:pPr>
      <w:rPr>
        <w:rFonts w:hint="default"/>
        <w:lang w:val="es-ES" w:eastAsia="en-US" w:bidi="ar-SA"/>
      </w:rPr>
    </w:lvl>
    <w:lvl w:ilvl="5" w:tplc="70CA6BA6">
      <w:numFmt w:val="bullet"/>
      <w:lvlText w:val="•"/>
      <w:lvlJc w:val="left"/>
      <w:pPr>
        <w:ind w:left="6630" w:hanging="105"/>
      </w:pPr>
      <w:rPr>
        <w:rFonts w:hint="default"/>
        <w:lang w:val="es-ES" w:eastAsia="en-US" w:bidi="ar-SA"/>
      </w:rPr>
    </w:lvl>
    <w:lvl w:ilvl="6" w:tplc="48844DD8">
      <w:numFmt w:val="bullet"/>
      <w:lvlText w:val="•"/>
      <w:lvlJc w:val="left"/>
      <w:pPr>
        <w:ind w:left="7644" w:hanging="105"/>
      </w:pPr>
      <w:rPr>
        <w:rFonts w:hint="default"/>
        <w:lang w:val="es-ES" w:eastAsia="en-US" w:bidi="ar-SA"/>
      </w:rPr>
    </w:lvl>
    <w:lvl w:ilvl="7" w:tplc="E062AFA0">
      <w:numFmt w:val="bullet"/>
      <w:lvlText w:val="•"/>
      <w:lvlJc w:val="left"/>
      <w:pPr>
        <w:ind w:left="8658" w:hanging="105"/>
      </w:pPr>
      <w:rPr>
        <w:rFonts w:hint="default"/>
        <w:lang w:val="es-ES" w:eastAsia="en-US" w:bidi="ar-SA"/>
      </w:rPr>
    </w:lvl>
    <w:lvl w:ilvl="8" w:tplc="0A8C1352">
      <w:numFmt w:val="bullet"/>
      <w:lvlText w:val="•"/>
      <w:lvlJc w:val="left"/>
      <w:pPr>
        <w:ind w:left="9672" w:hanging="105"/>
      </w:pPr>
      <w:rPr>
        <w:rFonts w:hint="default"/>
        <w:lang w:val="es-ES" w:eastAsia="en-US" w:bidi="ar-SA"/>
      </w:rPr>
    </w:lvl>
  </w:abstractNum>
  <w:abstractNum w:abstractNumId="37" w15:restartNumberingAfterBreak="0">
    <w:nsid w:val="21986B34"/>
    <w:multiLevelType w:val="hybridMultilevel"/>
    <w:tmpl w:val="05226660"/>
    <w:lvl w:ilvl="0" w:tplc="0DD85DEE">
      <w:start w:val="1"/>
      <w:numFmt w:val="decimal"/>
      <w:lvlText w:val="%1."/>
      <w:lvlJc w:val="left"/>
      <w:pPr>
        <w:ind w:left="2010" w:hanging="176"/>
      </w:pPr>
      <w:rPr>
        <w:rFonts w:hint="default"/>
        <w:spacing w:val="-1"/>
        <w:w w:val="105"/>
        <w:lang w:val="es-ES" w:eastAsia="en-US" w:bidi="ar-SA"/>
      </w:rPr>
    </w:lvl>
    <w:lvl w:ilvl="1" w:tplc="0BB67EBA">
      <w:numFmt w:val="bullet"/>
      <w:lvlText w:val="•"/>
      <w:lvlJc w:val="left"/>
      <w:pPr>
        <w:ind w:left="2988" w:hanging="176"/>
      </w:pPr>
      <w:rPr>
        <w:rFonts w:hint="default"/>
        <w:lang w:val="es-ES" w:eastAsia="en-US" w:bidi="ar-SA"/>
      </w:rPr>
    </w:lvl>
    <w:lvl w:ilvl="2" w:tplc="1D3E464C">
      <w:numFmt w:val="bullet"/>
      <w:lvlText w:val="•"/>
      <w:lvlJc w:val="left"/>
      <w:pPr>
        <w:ind w:left="3956" w:hanging="176"/>
      </w:pPr>
      <w:rPr>
        <w:rFonts w:hint="default"/>
        <w:lang w:val="es-ES" w:eastAsia="en-US" w:bidi="ar-SA"/>
      </w:rPr>
    </w:lvl>
    <w:lvl w:ilvl="3" w:tplc="3EE41A18">
      <w:numFmt w:val="bullet"/>
      <w:lvlText w:val="•"/>
      <w:lvlJc w:val="left"/>
      <w:pPr>
        <w:ind w:left="4924" w:hanging="176"/>
      </w:pPr>
      <w:rPr>
        <w:rFonts w:hint="default"/>
        <w:lang w:val="es-ES" w:eastAsia="en-US" w:bidi="ar-SA"/>
      </w:rPr>
    </w:lvl>
    <w:lvl w:ilvl="4" w:tplc="54885520">
      <w:numFmt w:val="bullet"/>
      <w:lvlText w:val="•"/>
      <w:lvlJc w:val="left"/>
      <w:pPr>
        <w:ind w:left="5892" w:hanging="176"/>
      </w:pPr>
      <w:rPr>
        <w:rFonts w:hint="default"/>
        <w:lang w:val="es-ES" w:eastAsia="en-US" w:bidi="ar-SA"/>
      </w:rPr>
    </w:lvl>
    <w:lvl w:ilvl="5" w:tplc="2646BB48">
      <w:numFmt w:val="bullet"/>
      <w:lvlText w:val="•"/>
      <w:lvlJc w:val="left"/>
      <w:pPr>
        <w:ind w:left="6860" w:hanging="176"/>
      </w:pPr>
      <w:rPr>
        <w:rFonts w:hint="default"/>
        <w:lang w:val="es-ES" w:eastAsia="en-US" w:bidi="ar-SA"/>
      </w:rPr>
    </w:lvl>
    <w:lvl w:ilvl="6" w:tplc="57724D0E">
      <w:numFmt w:val="bullet"/>
      <w:lvlText w:val="•"/>
      <w:lvlJc w:val="left"/>
      <w:pPr>
        <w:ind w:left="7828" w:hanging="176"/>
      </w:pPr>
      <w:rPr>
        <w:rFonts w:hint="default"/>
        <w:lang w:val="es-ES" w:eastAsia="en-US" w:bidi="ar-SA"/>
      </w:rPr>
    </w:lvl>
    <w:lvl w:ilvl="7" w:tplc="A2E834EE">
      <w:numFmt w:val="bullet"/>
      <w:lvlText w:val="•"/>
      <w:lvlJc w:val="left"/>
      <w:pPr>
        <w:ind w:left="8796" w:hanging="176"/>
      </w:pPr>
      <w:rPr>
        <w:rFonts w:hint="default"/>
        <w:lang w:val="es-ES" w:eastAsia="en-US" w:bidi="ar-SA"/>
      </w:rPr>
    </w:lvl>
    <w:lvl w:ilvl="8" w:tplc="F8FA47FE">
      <w:numFmt w:val="bullet"/>
      <w:lvlText w:val="•"/>
      <w:lvlJc w:val="left"/>
      <w:pPr>
        <w:ind w:left="9764" w:hanging="176"/>
      </w:pPr>
      <w:rPr>
        <w:rFonts w:hint="default"/>
        <w:lang w:val="es-ES" w:eastAsia="en-US" w:bidi="ar-SA"/>
      </w:rPr>
    </w:lvl>
  </w:abstractNum>
  <w:abstractNum w:abstractNumId="38" w15:restartNumberingAfterBreak="0">
    <w:nsid w:val="23413B5C"/>
    <w:multiLevelType w:val="hybridMultilevel"/>
    <w:tmpl w:val="CDE2D778"/>
    <w:lvl w:ilvl="0" w:tplc="BC6E3A80">
      <w:start w:val="1"/>
      <w:numFmt w:val="upperRoman"/>
      <w:lvlText w:val="%1."/>
      <w:lvlJc w:val="left"/>
      <w:pPr>
        <w:ind w:left="191" w:hanging="123"/>
      </w:pPr>
      <w:rPr>
        <w:rFonts w:ascii="Arial MT" w:eastAsia="Arial MT" w:hAnsi="Arial MT" w:cs="Arial MT" w:hint="default"/>
        <w:b w:val="0"/>
        <w:bCs w:val="0"/>
        <w:i w:val="0"/>
        <w:iCs w:val="0"/>
        <w:color w:val="009EDB"/>
        <w:spacing w:val="-1"/>
        <w:w w:val="105"/>
        <w:sz w:val="14"/>
        <w:szCs w:val="14"/>
        <w:lang w:val="es-ES" w:eastAsia="en-US" w:bidi="ar-SA"/>
      </w:rPr>
    </w:lvl>
    <w:lvl w:ilvl="1" w:tplc="ABD2495A">
      <w:start w:val="1"/>
      <w:numFmt w:val="upperLetter"/>
      <w:lvlText w:val="%2."/>
      <w:lvlJc w:val="left"/>
      <w:pPr>
        <w:ind w:left="861" w:hanging="182"/>
      </w:pPr>
      <w:rPr>
        <w:rFonts w:ascii="Arial MT" w:eastAsia="Arial MT" w:hAnsi="Arial MT" w:cs="Arial MT" w:hint="default"/>
        <w:b w:val="0"/>
        <w:bCs w:val="0"/>
        <w:i w:val="0"/>
        <w:iCs w:val="0"/>
        <w:spacing w:val="-1"/>
        <w:w w:val="84"/>
        <w:sz w:val="15"/>
        <w:szCs w:val="15"/>
        <w:lang w:val="es-ES" w:eastAsia="en-US" w:bidi="ar-SA"/>
      </w:rPr>
    </w:lvl>
    <w:lvl w:ilvl="2" w:tplc="5BCABF10">
      <w:numFmt w:val="bullet"/>
      <w:lvlText w:val="•"/>
      <w:lvlJc w:val="left"/>
      <w:pPr>
        <w:ind w:left="1809" w:hanging="182"/>
      </w:pPr>
      <w:rPr>
        <w:rFonts w:hint="default"/>
        <w:lang w:val="es-ES" w:eastAsia="en-US" w:bidi="ar-SA"/>
      </w:rPr>
    </w:lvl>
    <w:lvl w:ilvl="3" w:tplc="7D14DDBE">
      <w:numFmt w:val="bullet"/>
      <w:lvlText w:val="•"/>
      <w:lvlJc w:val="left"/>
      <w:pPr>
        <w:ind w:left="2758" w:hanging="182"/>
      </w:pPr>
      <w:rPr>
        <w:rFonts w:hint="default"/>
        <w:lang w:val="es-ES" w:eastAsia="en-US" w:bidi="ar-SA"/>
      </w:rPr>
    </w:lvl>
    <w:lvl w:ilvl="4" w:tplc="7B98031C">
      <w:numFmt w:val="bullet"/>
      <w:lvlText w:val="•"/>
      <w:lvlJc w:val="left"/>
      <w:pPr>
        <w:ind w:left="3707" w:hanging="182"/>
      </w:pPr>
      <w:rPr>
        <w:rFonts w:hint="default"/>
        <w:lang w:val="es-ES" w:eastAsia="en-US" w:bidi="ar-SA"/>
      </w:rPr>
    </w:lvl>
    <w:lvl w:ilvl="5" w:tplc="CAEEA882">
      <w:numFmt w:val="bullet"/>
      <w:lvlText w:val="•"/>
      <w:lvlJc w:val="left"/>
      <w:pPr>
        <w:ind w:left="4656" w:hanging="182"/>
      </w:pPr>
      <w:rPr>
        <w:rFonts w:hint="default"/>
        <w:lang w:val="es-ES" w:eastAsia="en-US" w:bidi="ar-SA"/>
      </w:rPr>
    </w:lvl>
    <w:lvl w:ilvl="6" w:tplc="FED0342C">
      <w:numFmt w:val="bullet"/>
      <w:lvlText w:val="•"/>
      <w:lvlJc w:val="left"/>
      <w:pPr>
        <w:ind w:left="5605" w:hanging="182"/>
      </w:pPr>
      <w:rPr>
        <w:rFonts w:hint="default"/>
        <w:lang w:val="es-ES" w:eastAsia="en-US" w:bidi="ar-SA"/>
      </w:rPr>
    </w:lvl>
    <w:lvl w:ilvl="7" w:tplc="0E1E0F6A">
      <w:numFmt w:val="bullet"/>
      <w:lvlText w:val="•"/>
      <w:lvlJc w:val="left"/>
      <w:pPr>
        <w:ind w:left="6555" w:hanging="182"/>
      </w:pPr>
      <w:rPr>
        <w:rFonts w:hint="default"/>
        <w:lang w:val="es-ES" w:eastAsia="en-US" w:bidi="ar-SA"/>
      </w:rPr>
    </w:lvl>
    <w:lvl w:ilvl="8" w:tplc="A6606150">
      <w:numFmt w:val="bullet"/>
      <w:lvlText w:val="•"/>
      <w:lvlJc w:val="left"/>
      <w:pPr>
        <w:ind w:left="7504" w:hanging="182"/>
      </w:pPr>
      <w:rPr>
        <w:rFonts w:hint="default"/>
        <w:lang w:val="es-ES" w:eastAsia="en-US" w:bidi="ar-SA"/>
      </w:rPr>
    </w:lvl>
  </w:abstractNum>
  <w:abstractNum w:abstractNumId="39" w15:restartNumberingAfterBreak="0">
    <w:nsid w:val="23AD4D4D"/>
    <w:multiLevelType w:val="hybridMultilevel"/>
    <w:tmpl w:val="3D706736"/>
    <w:lvl w:ilvl="0" w:tplc="140A0013">
      <w:start w:val="1"/>
      <w:numFmt w:val="upperRoman"/>
      <w:lvlText w:val="%1."/>
      <w:lvlJc w:val="right"/>
      <w:pPr>
        <w:ind w:left="1854" w:hanging="360"/>
      </w:pPr>
    </w:lvl>
    <w:lvl w:ilvl="1" w:tplc="140A0019" w:tentative="1">
      <w:start w:val="1"/>
      <w:numFmt w:val="lowerLetter"/>
      <w:lvlText w:val="%2."/>
      <w:lvlJc w:val="left"/>
      <w:pPr>
        <w:ind w:left="2574" w:hanging="360"/>
      </w:pPr>
    </w:lvl>
    <w:lvl w:ilvl="2" w:tplc="140A001B" w:tentative="1">
      <w:start w:val="1"/>
      <w:numFmt w:val="lowerRoman"/>
      <w:lvlText w:val="%3."/>
      <w:lvlJc w:val="right"/>
      <w:pPr>
        <w:ind w:left="3294" w:hanging="180"/>
      </w:pPr>
    </w:lvl>
    <w:lvl w:ilvl="3" w:tplc="140A000F" w:tentative="1">
      <w:start w:val="1"/>
      <w:numFmt w:val="decimal"/>
      <w:lvlText w:val="%4."/>
      <w:lvlJc w:val="left"/>
      <w:pPr>
        <w:ind w:left="4014" w:hanging="360"/>
      </w:pPr>
    </w:lvl>
    <w:lvl w:ilvl="4" w:tplc="140A0019" w:tentative="1">
      <w:start w:val="1"/>
      <w:numFmt w:val="lowerLetter"/>
      <w:lvlText w:val="%5."/>
      <w:lvlJc w:val="left"/>
      <w:pPr>
        <w:ind w:left="4734" w:hanging="360"/>
      </w:pPr>
    </w:lvl>
    <w:lvl w:ilvl="5" w:tplc="140A001B" w:tentative="1">
      <w:start w:val="1"/>
      <w:numFmt w:val="lowerRoman"/>
      <w:lvlText w:val="%6."/>
      <w:lvlJc w:val="right"/>
      <w:pPr>
        <w:ind w:left="5454" w:hanging="180"/>
      </w:pPr>
    </w:lvl>
    <w:lvl w:ilvl="6" w:tplc="140A000F" w:tentative="1">
      <w:start w:val="1"/>
      <w:numFmt w:val="decimal"/>
      <w:lvlText w:val="%7."/>
      <w:lvlJc w:val="left"/>
      <w:pPr>
        <w:ind w:left="6174" w:hanging="360"/>
      </w:pPr>
    </w:lvl>
    <w:lvl w:ilvl="7" w:tplc="140A0019" w:tentative="1">
      <w:start w:val="1"/>
      <w:numFmt w:val="lowerLetter"/>
      <w:lvlText w:val="%8."/>
      <w:lvlJc w:val="left"/>
      <w:pPr>
        <w:ind w:left="6894" w:hanging="360"/>
      </w:pPr>
    </w:lvl>
    <w:lvl w:ilvl="8" w:tplc="140A001B" w:tentative="1">
      <w:start w:val="1"/>
      <w:numFmt w:val="lowerRoman"/>
      <w:lvlText w:val="%9."/>
      <w:lvlJc w:val="right"/>
      <w:pPr>
        <w:ind w:left="7614" w:hanging="180"/>
      </w:pPr>
    </w:lvl>
  </w:abstractNum>
  <w:abstractNum w:abstractNumId="40" w15:restartNumberingAfterBreak="0">
    <w:nsid w:val="23DA2BED"/>
    <w:multiLevelType w:val="hybridMultilevel"/>
    <w:tmpl w:val="C914A332"/>
    <w:lvl w:ilvl="0" w:tplc="5868F404">
      <w:start w:val="1"/>
      <w:numFmt w:val="decimal"/>
      <w:lvlText w:val="%1."/>
      <w:lvlJc w:val="left"/>
      <w:pPr>
        <w:ind w:left="1385" w:hanging="250"/>
      </w:pPr>
      <w:rPr>
        <w:rFonts w:hint="default"/>
        <w:spacing w:val="-1"/>
        <w:w w:val="102"/>
        <w:lang w:val="es-ES" w:eastAsia="en-US" w:bidi="ar-SA"/>
      </w:rPr>
    </w:lvl>
    <w:lvl w:ilvl="1" w:tplc="DD127EE4">
      <w:numFmt w:val="bullet"/>
      <w:lvlText w:val="•"/>
      <w:lvlJc w:val="left"/>
      <w:pPr>
        <w:ind w:left="1899" w:hanging="90"/>
      </w:pPr>
      <w:rPr>
        <w:rFonts w:ascii="Arial MT" w:eastAsia="Arial MT" w:hAnsi="Arial MT" w:cs="Arial MT" w:hint="default"/>
        <w:b w:val="0"/>
        <w:bCs w:val="0"/>
        <w:i w:val="0"/>
        <w:iCs w:val="0"/>
        <w:spacing w:val="0"/>
        <w:w w:val="102"/>
        <w:sz w:val="14"/>
        <w:szCs w:val="14"/>
        <w:lang w:val="es-ES" w:eastAsia="en-US" w:bidi="ar-SA"/>
      </w:rPr>
    </w:lvl>
    <w:lvl w:ilvl="2" w:tplc="8D28B458">
      <w:numFmt w:val="bullet"/>
      <w:lvlText w:val="•"/>
      <w:lvlJc w:val="left"/>
      <w:pPr>
        <w:ind w:left="2988" w:hanging="90"/>
      </w:pPr>
      <w:rPr>
        <w:rFonts w:hint="default"/>
        <w:lang w:val="es-ES" w:eastAsia="en-US" w:bidi="ar-SA"/>
      </w:rPr>
    </w:lvl>
    <w:lvl w:ilvl="3" w:tplc="2040BF18">
      <w:numFmt w:val="bullet"/>
      <w:lvlText w:val="•"/>
      <w:lvlJc w:val="left"/>
      <w:pPr>
        <w:ind w:left="4077" w:hanging="90"/>
      </w:pPr>
      <w:rPr>
        <w:rFonts w:hint="default"/>
        <w:lang w:val="es-ES" w:eastAsia="en-US" w:bidi="ar-SA"/>
      </w:rPr>
    </w:lvl>
    <w:lvl w:ilvl="4" w:tplc="70B2F174">
      <w:numFmt w:val="bullet"/>
      <w:lvlText w:val="•"/>
      <w:lvlJc w:val="left"/>
      <w:pPr>
        <w:ind w:left="5166" w:hanging="90"/>
      </w:pPr>
      <w:rPr>
        <w:rFonts w:hint="default"/>
        <w:lang w:val="es-ES" w:eastAsia="en-US" w:bidi="ar-SA"/>
      </w:rPr>
    </w:lvl>
    <w:lvl w:ilvl="5" w:tplc="B8B8F5DE">
      <w:numFmt w:val="bullet"/>
      <w:lvlText w:val="•"/>
      <w:lvlJc w:val="left"/>
      <w:pPr>
        <w:ind w:left="6255" w:hanging="90"/>
      </w:pPr>
      <w:rPr>
        <w:rFonts w:hint="default"/>
        <w:lang w:val="es-ES" w:eastAsia="en-US" w:bidi="ar-SA"/>
      </w:rPr>
    </w:lvl>
    <w:lvl w:ilvl="6" w:tplc="CF4C4C62">
      <w:numFmt w:val="bullet"/>
      <w:lvlText w:val="•"/>
      <w:lvlJc w:val="left"/>
      <w:pPr>
        <w:ind w:left="7344" w:hanging="90"/>
      </w:pPr>
      <w:rPr>
        <w:rFonts w:hint="default"/>
        <w:lang w:val="es-ES" w:eastAsia="en-US" w:bidi="ar-SA"/>
      </w:rPr>
    </w:lvl>
    <w:lvl w:ilvl="7" w:tplc="D3F87DDA">
      <w:numFmt w:val="bullet"/>
      <w:lvlText w:val="•"/>
      <w:lvlJc w:val="left"/>
      <w:pPr>
        <w:ind w:left="8433" w:hanging="90"/>
      </w:pPr>
      <w:rPr>
        <w:rFonts w:hint="default"/>
        <w:lang w:val="es-ES" w:eastAsia="en-US" w:bidi="ar-SA"/>
      </w:rPr>
    </w:lvl>
    <w:lvl w:ilvl="8" w:tplc="8A92AC36">
      <w:numFmt w:val="bullet"/>
      <w:lvlText w:val="•"/>
      <w:lvlJc w:val="left"/>
      <w:pPr>
        <w:ind w:left="9522" w:hanging="90"/>
      </w:pPr>
      <w:rPr>
        <w:rFonts w:hint="default"/>
        <w:lang w:val="es-ES" w:eastAsia="en-US" w:bidi="ar-SA"/>
      </w:rPr>
    </w:lvl>
  </w:abstractNum>
  <w:abstractNum w:abstractNumId="41" w15:restartNumberingAfterBreak="0">
    <w:nsid w:val="24172F89"/>
    <w:multiLevelType w:val="hybridMultilevel"/>
    <w:tmpl w:val="D0CEFE14"/>
    <w:lvl w:ilvl="0" w:tplc="CD62DE24">
      <w:numFmt w:val="bullet"/>
      <w:lvlText w:val="•"/>
      <w:lvlJc w:val="left"/>
      <w:pPr>
        <w:ind w:left="1561" w:hanging="93"/>
      </w:pPr>
      <w:rPr>
        <w:rFonts w:ascii="Arial MT" w:eastAsia="Arial MT" w:hAnsi="Arial MT" w:cs="Arial MT" w:hint="default"/>
        <w:b w:val="0"/>
        <w:bCs w:val="0"/>
        <w:i w:val="0"/>
        <w:iCs w:val="0"/>
        <w:color w:val="0075BF"/>
        <w:spacing w:val="0"/>
        <w:w w:val="104"/>
        <w:sz w:val="14"/>
        <w:szCs w:val="14"/>
        <w:lang w:val="es-ES" w:eastAsia="en-US" w:bidi="ar-SA"/>
      </w:rPr>
    </w:lvl>
    <w:lvl w:ilvl="1" w:tplc="AA7E17E0">
      <w:numFmt w:val="bullet"/>
      <w:lvlText w:val="•"/>
      <w:lvlJc w:val="left"/>
      <w:pPr>
        <w:ind w:left="2574" w:hanging="93"/>
      </w:pPr>
      <w:rPr>
        <w:rFonts w:hint="default"/>
        <w:lang w:val="es-ES" w:eastAsia="en-US" w:bidi="ar-SA"/>
      </w:rPr>
    </w:lvl>
    <w:lvl w:ilvl="2" w:tplc="433834C2">
      <w:numFmt w:val="bullet"/>
      <w:lvlText w:val="•"/>
      <w:lvlJc w:val="left"/>
      <w:pPr>
        <w:ind w:left="3588" w:hanging="93"/>
      </w:pPr>
      <w:rPr>
        <w:rFonts w:hint="default"/>
        <w:lang w:val="es-ES" w:eastAsia="en-US" w:bidi="ar-SA"/>
      </w:rPr>
    </w:lvl>
    <w:lvl w:ilvl="3" w:tplc="58DC5B08">
      <w:numFmt w:val="bullet"/>
      <w:lvlText w:val="•"/>
      <w:lvlJc w:val="left"/>
      <w:pPr>
        <w:ind w:left="4602" w:hanging="93"/>
      </w:pPr>
      <w:rPr>
        <w:rFonts w:hint="default"/>
        <w:lang w:val="es-ES" w:eastAsia="en-US" w:bidi="ar-SA"/>
      </w:rPr>
    </w:lvl>
    <w:lvl w:ilvl="4" w:tplc="DFDEE902">
      <w:numFmt w:val="bullet"/>
      <w:lvlText w:val="•"/>
      <w:lvlJc w:val="left"/>
      <w:pPr>
        <w:ind w:left="5616" w:hanging="93"/>
      </w:pPr>
      <w:rPr>
        <w:rFonts w:hint="default"/>
        <w:lang w:val="es-ES" w:eastAsia="en-US" w:bidi="ar-SA"/>
      </w:rPr>
    </w:lvl>
    <w:lvl w:ilvl="5" w:tplc="968CE354">
      <w:numFmt w:val="bullet"/>
      <w:lvlText w:val="•"/>
      <w:lvlJc w:val="left"/>
      <w:pPr>
        <w:ind w:left="6630" w:hanging="93"/>
      </w:pPr>
      <w:rPr>
        <w:rFonts w:hint="default"/>
        <w:lang w:val="es-ES" w:eastAsia="en-US" w:bidi="ar-SA"/>
      </w:rPr>
    </w:lvl>
    <w:lvl w:ilvl="6" w:tplc="D3CAAA7E">
      <w:numFmt w:val="bullet"/>
      <w:lvlText w:val="•"/>
      <w:lvlJc w:val="left"/>
      <w:pPr>
        <w:ind w:left="7644" w:hanging="93"/>
      </w:pPr>
      <w:rPr>
        <w:rFonts w:hint="default"/>
        <w:lang w:val="es-ES" w:eastAsia="en-US" w:bidi="ar-SA"/>
      </w:rPr>
    </w:lvl>
    <w:lvl w:ilvl="7" w:tplc="46187C2E">
      <w:numFmt w:val="bullet"/>
      <w:lvlText w:val="•"/>
      <w:lvlJc w:val="left"/>
      <w:pPr>
        <w:ind w:left="8658" w:hanging="93"/>
      </w:pPr>
      <w:rPr>
        <w:rFonts w:hint="default"/>
        <w:lang w:val="es-ES" w:eastAsia="en-US" w:bidi="ar-SA"/>
      </w:rPr>
    </w:lvl>
    <w:lvl w:ilvl="8" w:tplc="66228BBC">
      <w:numFmt w:val="bullet"/>
      <w:lvlText w:val="•"/>
      <w:lvlJc w:val="left"/>
      <w:pPr>
        <w:ind w:left="9672" w:hanging="93"/>
      </w:pPr>
      <w:rPr>
        <w:rFonts w:hint="default"/>
        <w:lang w:val="es-ES" w:eastAsia="en-US" w:bidi="ar-SA"/>
      </w:rPr>
    </w:lvl>
  </w:abstractNum>
  <w:abstractNum w:abstractNumId="42" w15:restartNumberingAfterBreak="0">
    <w:nsid w:val="28BF50E9"/>
    <w:multiLevelType w:val="hybridMultilevel"/>
    <w:tmpl w:val="8C46BF26"/>
    <w:lvl w:ilvl="0" w:tplc="9F309F8E">
      <w:start w:val="1"/>
      <w:numFmt w:val="upperRoman"/>
      <w:lvlText w:val="%1."/>
      <w:lvlJc w:val="left"/>
      <w:pPr>
        <w:ind w:left="1633" w:hanging="232"/>
      </w:pPr>
      <w:rPr>
        <w:rFonts w:ascii="Arial MT" w:eastAsia="Arial MT" w:hAnsi="Arial MT" w:cs="Arial MT" w:hint="default"/>
        <w:b w:val="0"/>
        <w:bCs w:val="0"/>
        <w:i w:val="0"/>
        <w:iCs w:val="0"/>
        <w:color w:val="803108"/>
        <w:spacing w:val="-1"/>
        <w:w w:val="99"/>
        <w:sz w:val="28"/>
        <w:szCs w:val="28"/>
        <w:lang w:val="es-ES" w:eastAsia="en-US" w:bidi="ar-SA"/>
      </w:rPr>
    </w:lvl>
    <w:lvl w:ilvl="1" w:tplc="A5CCFCC0">
      <w:start w:val="1"/>
      <w:numFmt w:val="upperLetter"/>
      <w:lvlText w:val="%2."/>
      <w:lvlJc w:val="left"/>
      <w:pPr>
        <w:ind w:left="1515" w:hanging="341"/>
      </w:pPr>
      <w:rPr>
        <w:rFonts w:hint="default"/>
        <w:spacing w:val="-1"/>
        <w:w w:val="99"/>
        <w:lang w:val="es-ES" w:eastAsia="en-US" w:bidi="ar-SA"/>
      </w:rPr>
    </w:lvl>
    <w:lvl w:ilvl="2" w:tplc="F242632C">
      <w:numFmt w:val="bullet"/>
      <w:lvlText w:val="•"/>
      <w:lvlJc w:val="left"/>
      <w:pPr>
        <w:ind w:left="1640" w:hanging="341"/>
      </w:pPr>
      <w:rPr>
        <w:rFonts w:hint="default"/>
        <w:lang w:val="es-ES" w:eastAsia="en-US" w:bidi="ar-SA"/>
      </w:rPr>
    </w:lvl>
    <w:lvl w:ilvl="3" w:tplc="283CE772">
      <w:numFmt w:val="bullet"/>
      <w:lvlText w:val="•"/>
      <w:lvlJc w:val="left"/>
      <w:pPr>
        <w:ind w:left="2897" w:hanging="341"/>
      </w:pPr>
      <w:rPr>
        <w:rFonts w:hint="default"/>
        <w:lang w:val="es-ES" w:eastAsia="en-US" w:bidi="ar-SA"/>
      </w:rPr>
    </w:lvl>
    <w:lvl w:ilvl="4" w:tplc="ABA0BB0C">
      <w:numFmt w:val="bullet"/>
      <w:lvlText w:val="•"/>
      <w:lvlJc w:val="left"/>
      <w:pPr>
        <w:ind w:left="4155" w:hanging="341"/>
      </w:pPr>
      <w:rPr>
        <w:rFonts w:hint="default"/>
        <w:lang w:val="es-ES" w:eastAsia="en-US" w:bidi="ar-SA"/>
      </w:rPr>
    </w:lvl>
    <w:lvl w:ilvl="5" w:tplc="2C5E7476">
      <w:numFmt w:val="bullet"/>
      <w:lvlText w:val="•"/>
      <w:lvlJc w:val="left"/>
      <w:pPr>
        <w:ind w:left="5412" w:hanging="341"/>
      </w:pPr>
      <w:rPr>
        <w:rFonts w:hint="default"/>
        <w:lang w:val="es-ES" w:eastAsia="en-US" w:bidi="ar-SA"/>
      </w:rPr>
    </w:lvl>
    <w:lvl w:ilvl="6" w:tplc="54CEE598">
      <w:numFmt w:val="bullet"/>
      <w:lvlText w:val="•"/>
      <w:lvlJc w:val="left"/>
      <w:pPr>
        <w:ind w:left="6670" w:hanging="341"/>
      </w:pPr>
      <w:rPr>
        <w:rFonts w:hint="default"/>
        <w:lang w:val="es-ES" w:eastAsia="en-US" w:bidi="ar-SA"/>
      </w:rPr>
    </w:lvl>
    <w:lvl w:ilvl="7" w:tplc="B6A0B44C">
      <w:numFmt w:val="bullet"/>
      <w:lvlText w:val="•"/>
      <w:lvlJc w:val="left"/>
      <w:pPr>
        <w:ind w:left="7927" w:hanging="341"/>
      </w:pPr>
      <w:rPr>
        <w:rFonts w:hint="default"/>
        <w:lang w:val="es-ES" w:eastAsia="en-US" w:bidi="ar-SA"/>
      </w:rPr>
    </w:lvl>
    <w:lvl w:ilvl="8" w:tplc="375A08E2">
      <w:numFmt w:val="bullet"/>
      <w:lvlText w:val="•"/>
      <w:lvlJc w:val="left"/>
      <w:pPr>
        <w:ind w:left="9185" w:hanging="341"/>
      </w:pPr>
      <w:rPr>
        <w:rFonts w:hint="default"/>
        <w:lang w:val="es-ES" w:eastAsia="en-US" w:bidi="ar-SA"/>
      </w:rPr>
    </w:lvl>
  </w:abstractNum>
  <w:abstractNum w:abstractNumId="43" w15:restartNumberingAfterBreak="0">
    <w:nsid w:val="29C638F4"/>
    <w:multiLevelType w:val="hybridMultilevel"/>
    <w:tmpl w:val="3C26EF00"/>
    <w:lvl w:ilvl="0" w:tplc="755A76DA">
      <w:start w:val="1"/>
      <w:numFmt w:val="lowerLetter"/>
      <w:lvlText w:val="%1)"/>
      <w:lvlJc w:val="left"/>
      <w:pPr>
        <w:ind w:left="1537" w:hanging="192"/>
      </w:pPr>
      <w:rPr>
        <w:rFonts w:ascii="Arial MT" w:eastAsia="Arial MT" w:hAnsi="Arial MT" w:cs="Arial MT" w:hint="default"/>
        <w:b w:val="0"/>
        <w:bCs w:val="0"/>
        <w:i w:val="0"/>
        <w:iCs w:val="0"/>
        <w:spacing w:val="0"/>
        <w:w w:val="102"/>
        <w:sz w:val="16"/>
        <w:szCs w:val="16"/>
        <w:lang w:val="es-ES" w:eastAsia="en-US" w:bidi="ar-SA"/>
      </w:rPr>
    </w:lvl>
    <w:lvl w:ilvl="1" w:tplc="0938046E">
      <w:numFmt w:val="bullet"/>
      <w:lvlText w:val="•"/>
      <w:lvlJc w:val="left"/>
      <w:pPr>
        <w:ind w:left="2556" w:hanging="192"/>
      </w:pPr>
      <w:rPr>
        <w:rFonts w:hint="default"/>
        <w:lang w:val="es-ES" w:eastAsia="en-US" w:bidi="ar-SA"/>
      </w:rPr>
    </w:lvl>
    <w:lvl w:ilvl="2" w:tplc="62862920">
      <w:numFmt w:val="bullet"/>
      <w:lvlText w:val="•"/>
      <w:lvlJc w:val="left"/>
      <w:pPr>
        <w:ind w:left="3572" w:hanging="192"/>
      </w:pPr>
      <w:rPr>
        <w:rFonts w:hint="default"/>
        <w:lang w:val="es-ES" w:eastAsia="en-US" w:bidi="ar-SA"/>
      </w:rPr>
    </w:lvl>
    <w:lvl w:ilvl="3" w:tplc="1E2A9CF2">
      <w:numFmt w:val="bullet"/>
      <w:lvlText w:val="•"/>
      <w:lvlJc w:val="left"/>
      <w:pPr>
        <w:ind w:left="4588" w:hanging="192"/>
      </w:pPr>
      <w:rPr>
        <w:rFonts w:hint="default"/>
        <w:lang w:val="es-ES" w:eastAsia="en-US" w:bidi="ar-SA"/>
      </w:rPr>
    </w:lvl>
    <w:lvl w:ilvl="4" w:tplc="857EB4AE">
      <w:numFmt w:val="bullet"/>
      <w:lvlText w:val="•"/>
      <w:lvlJc w:val="left"/>
      <w:pPr>
        <w:ind w:left="5604" w:hanging="192"/>
      </w:pPr>
      <w:rPr>
        <w:rFonts w:hint="default"/>
        <w:lang w:val="es-ES" w:eastAsia="en-US" w:bidi="ar-SA"/>
      </w:rPr>
    </w:lvl>
    <w:lvl w:ilvl="5" w:tplc="E848D48A">
      <w:numFmt w:val="bullet"/>
      <w:lvlText w:val="•"/>
      <w:lvlJc w:val="left"/>
      <w:pPr>
        <w:ind w:left="6620" w:hanging="192"/>
      </w:pPr>
      <w:rPr>
        <w:rFonts w:hint="default"/>
        <w:lang w:val="es-ES" w:eastAsia="en-US" w:bidi="ar-SA"/>
      </w:rPr>
    </w:lvl>
    <w:lvl w:ilvl="6" w:tplc="6664614E">
      <w:numFmt w:val="bullet"/>
      <w:lvlText w:val="•"/>
      <w:lvlJc w:val="left"/>
      <w:pPr>
        <w:ind w:left="7636" w:hanging="192"/>
      </w:pPr>
      <w:rPr>
        <w:rFonts w:hint="default"/>
        <w:lang w:val="es-ES" w:eastAsia="en-US" w:bidi="ar-SA"/>
      </w:rPr>
    </w:lvl>
    <w:lvl w:ilvl="7" w:tplc="703898DE">
      <w:numFmt w:val="bullet"/>
      <w:lvlText w:val="•"/>
      <w:lvlJc w:val="left"/>
      <w:pPr>
        <w:ind w:left="8652" w:hanging="192"/>
      </w:pPr>
      <w:rPr>
        <w:rFonts w:hint="default"/>
        <w:lang w:val="es-ES" w:eastAsia="en-US" w:bidi="ar-SA"/>
      </w:rPr>
    </w:lvl>
    <w:lvl w:ilvl="8" w:tplc="00C00A98">
      <w:numFmt w:val="bullet"/>
      <w:lvlText w:val="•"/>
      <w:lvlJc w:val="left"/>
      <w:pPr>
        <w:ind w:left="9668" w:hanging="192"/>
      </w:pPr>
      <w:rPr>
        <w:rFonts w:hint="default"/>
        <w:lang w:val="es-ES" w:eastAsia="en-US" w:bidi="ar-SA"/>
      </w:rPr>
    </w:lvl>
  </w:abstractNum>
  <w:abstractNum w:abstractNumId="44" w15:restartNumberingAfterBreak="0">
    <w:nsid w:val="2A40112A"/>
    <w:multiLevelType w:val="hybridMultilevel"/>
    <w:tmpl w:val="48FC6B52"/>
    <w:lvl w:ilvl="0" w:tplc="7FA8D212">
      <w:start w:val="1"/>
      <w:numFmt w:val="decimal"/>
      <w:lvlText w:val="%1."/>
      <w:lvlJc w:val="left"/>
      <w:pPr>
        <w:ind w:left="1373" w:hanging="239"/>
      </w:pPr>
      <w:rPr>
        <w:rFonts w:hint="default"/>
        <w:spacing w:val="-1"/>
        <w:w w:val="102"/>
        <w:lang w:val="es-ES" w:eastAsia="en-US" w:bidi="ar-SA"/>
      </w:rPr>
    </w:lvl>
    <w:lvl w:ilvl="1" w:tplc="7BEA5912">
      <w:numFmt w:val="bullet"/>
      <w:lvlText w:val="•"/>
      <w:lvlJc w:val="left"/>
      <w:pPr>
        <w:ind w:left="2412" w:hanging="239"/>
      </w:pPr>
      <w:rPr>
        <w:rFonts w:hint="default"/>
        <w:lang w:val="es-ES" w:eastAsia="en-US" w:bidi="ar-SA"/>
      </w:rPr>
    </w:lvl>
    <w:lvl w:ilvl="2" w:tplc="82CE7ED4">
      <w:numFmt w:val="bullet"/>
      <w:lvlText w:val="•"/>
      <w:lvlJc w:val="left"/>
      <w:pPr>
        <w:ind w:left="3444" w:hanging="239"/>
      </w:pPr>
      <w:rPr>
        <w:rFonts w:hint="default"/>
        <w:lang w:val="es-ES" w:eastAsia="en-US" w:bidi="ar-SA"/>
      </w:rPr>
    </w:lvl>
    <w:lvl w:ilvl="3" w:tplc="F4D0804C">
      <w:numFmt w:val="bullet"/>
      <w:lvlText w:val="•"/>
      <w:lvlJc w:val="left"/>
      <w:pPr>
        <w:ind w:left="4476" w:hanging="239"/>
      </w:pPr>
      <w:rPr>
        <w:rFonts w:hint="default"/>
        <w:lang w:val="es-ES" w:eastAsia="en-US" w:bidi="ar-SA"/>
      </w:rPr>
    </w:lvl>
    <w:lvl w:ilvl="4" w:tplc="6BA64798">
      <w:numFmt w:val="bullet"/>
      <w:lvlText w:val="•"/>
      <w:lvlJc w:val="left"/>
      <w:pPr>
        <w:ind w:left="5508" w:hanging="239"/>
      </w:pPr>
      <w:rPr>
        <w:rFonts w:hint="default"/>
        <w:lang w:val="es-ES" w:eastAsia="en-US" w:bidi="ar-SA"/>
      </w:rPr>
    </w:lvl>
    <w:lvl w:ilvl="5" w:tplc="2A24F576">
      <w:numFmt w:val="bullet"/>
      <w:lvlText w:val="•"/>
      <w:lvlJc w:val="left"/>
      <w:pPr>
        <w:ind w:left="6540" w:hanging="239"/>
      </w:pPr>
      <w:rPr>
        <w:rFonts w:hint="default"/>
        <w:lang w:val="es-ES" w:eastAsia="en-US" w:bidi="ar-SA"/>
      </w:rPr>
    </w:lvl>
    <w:lvl w:ilvl="6" w:tplc="4FC6DF00">
      <w:numFmt w:val="bullet"/>
      <w:lvlText w:val="•"/>
      <w:lvlJc w:val="left"/>
      <w:pPr>
        <w:ind w:left="7572" w:hanging="239"/>
      </w:pPr>
      <w:rPr>
        <w:rFonts w:hint="default"/>
        <w:lang w:val="es-ES" w:eastAsia="en-US" w:bidi="ar-SA"/>
      </w:rPr>
    </w:lvl>
    <w:lvl w:ilvl="7" w:tplc="893C3912">
      <w:numFmt w:val="bullet"/>
      <w:lvlText w:val="•"/>
      <w:lvlJc w:val="left"/>
      <w:pPr>
        <w:ind w:left="8604" w:hanging="239"/>
      </w:pPr>
      <w:rPr>
        <w:rFonts w:hint="default"/>
        <w:lang w:val="es-ES" w:eastAsia="en-US" w:bidi="ar-SA"/>
      </w:rPr>
    </w:lvl>
    <w:lvl w:ilvl="8" w:tplc="EB244A42">
      <w:numFmt w:val="bullet"/>
      <w:lvlText w:val="•"/>
      <w:lvlJc w:val="left"/>
      <w:pPr>
        <w:ind w:left="9636" w:hanging="239"/>
      </w:pPr>
      <w:rPr>
        <w:rFonts w:hint="default"/>
        <w:lang w:val="es-ES" w:eastAsia="en-US" w:bidi="ar-SA"/>
      </w:rPr>
    </w:lvl>
  </w:abstractNum>
  <w:abstractNum w:abstractNumId="45" w15:restartNumberingAfterBreak="0">
    <w:nsid w:val="2AA82501"/>
    <w:multiLevelType w:val="hybridMultilevel"/>
    <w:tmpl w:val="A386BCAC"/>
    <w:lvl w:ilvl="0" w:tplc="B5F2AC2A">
      <w:start w:val="736"/>
      <w:numFmt w:val="decimal"/>
      <w:lvlText w:val="%1"/>
      <w:lvlJc w:val="left"/>
      <w:pPr>
        <w:ind w:left="1326" w:hanging="219"/>
      </w:pPr>
      <w:rPr>
        <w:rFonts w:hint="default"/>
        <w:spacing w:val="-1"/>
        <w:w w:val="102"/>
        <w:lang w:val="es-ES" w:eastAsia="en-US" w:bidi="ar-SA"/>
      </w:rPr>
    </w:lvl>
    <w:lvl w:ilvl="1" w:tplc="76F4EABA">
      <w:numFmt w:val="bullet"/>
      <w:lvlText w:val="•"/>
      <w:lvlJc w:val="left"/>
      <w:pPr>
        <w:ind w:left="2358" w:hanging="219"/>
      </w:pPr>
      <w:rPr>
        <w:rFonts w:hint="default"/>
        <w:lang w:val="es-ES" w:eastAsia="en-US" w:bidi="ar-SA"/>
      </w:rPr>
    </w:lvl>
    <w:lvl w:ilvl="2" w:tplc="82DE09EE">
      <w:numFmt w:val="bullet"/>
      <w:lvlText w:val="•"/>
      <w:lvlJc w:val="left"/>
      <w:pPr>
        <w:ind w:left="3396" w:hanging="219"/>
      </w:pPr>
      <w:rPr>
        <w:rFonts w:hint="default"/>
        <w:lang w:val="es-ES" w:eastAsia="en-US" w:bidi="ar-SA"/>
      </w:rPr>
    </w:lvl>
    <w:lvl w:ilvl="3" w:tplc="641AA3A2">
      <w:numFmt w:val="bullet"/>
      <w:lvlText w:val="•"/>
      <w:lvlJc w:val="left"/>
      <w:pPr>
        <w:ind w:left="4434" w:hanging="219"/>
      </w:pPr>
      <w:rPr>
        <w:rFonts w:hint="default"/>
        <w:lang w:val="es-ES" w:eastAsia="en-US" w:bidi="ar-SA"/>
      </w:rPr>
    </w:lvl>
    <w:lvl w:ilvl="4" w:tplc="2500D5D0">
      <w:numFmt w:val="bullet"/>
      <w:lvlText w:val="•"/>
      <w:lvlJc w:val="left"/>
      <w:pPr>
        <w:ind w:left="5472" w:hanging="219"/>
      </w:pPr>
      <w:rPr>
        <w:rFonts w:hint="default"/>
        <w:lang w:val="es-ES" w:eastAsia="en-US" w:bidi="ar-SA"/>
      </w:rPr>
    </w:lvl>
    <w:lvl w:ilvl="5" w:tplc="4B960720">
      <w:numFmt w:val="bullet"/>
      <w:lvlText w:val="•"/>
      <w:lvlJc w:val="left"/>
      <w:pPr>
        <w:ind w:left="6510" w:hanging="219"/>
      </w:pPr>
      <w:rPr>
        <w:rFonts w:hint="default"/>
        <w:lang w:val="es-ES" w:eastAsia="en-US" w:bidi="ar-SA"/>
      </w:rPr>
    </w:lvl>
    <w:lvl w:ilvl="6" w:tplc="AC92EF16">
      <w:numFmt w:val="bullet"/>
      <w:lvlText w:val="•"/>
      <w:lvlJc w:val="left"/>
      <w:pPr>
        <w:ind w:left="7548" w:hanging="219"/>
      </w:pPr>
      <w:rPr>
        <w:rFonts w:hint="default"/>
        <w:lang w:val="es-ES" w:eastAsia="en-US" w:bidi="ar-SA"/>
      </w:rPr>
    </w:lvl>
    <w:lvl w:ilvl="7" w:tplc="A2C4D8E8">
      <w:numFmt w:val="bullet"/>
      <w:lvlText w:val="•"/>
      <w:lvlJc w:val="left"/>
      <w:pPr>
        <w:ind w:left="8586" w:hanging="219"/>
      </w:pPr>
      <w:rPr>
        <w:rFonts w:hint="default"/>
        <w:lang w:val="es-ES" w:eastAsia="en-US" w:bidi="ar-SA"/>
      </w:rPr>
    </w:lvl>
    <w:lvl w:ilvl="8" w:tplc="F9EA4510">
      <w:numFmt w:val="bullet"/>
      <w:lvlText w:val="•"/>
      <w:lvlJc w:val="left"/>
      <w:pPr>
        <w:ind w:left="9624" w:hanging="219"/>
      </w:pPr>
      <w:rPr>
        <w:rFonts w:hint="default"/>
        <w:lang w:val="es-ES" w:eastAsia="en-US" w:bidi="ar-SA"/>
      </w:rPr>
    </w:lvl>
  </w:abstractNum>
  <w:abstractNum w:abstractNumId="46" w15:restartNumberingAfterBreak="0">
    <w:nsid w:val="2ADC7B6D"/>
    <w:multiLevelType w:val="hybridMultilevel"/>
    <w:tmpl w:val="C6346274"/>
    <w:lvl w:ilvl="0" w:tplc="9454EA7C">
      <w:start w:val="2"/>
      <w:numFmt w:val="decimal"/>
      <w:lvlText w:val="%1"/>
      <w:lvlJc w:val="left"/>
      <w:pPr>
        <w:ind w:left="1209" w:hanging="104"/>
      </w:pPr>
      <w:rPr>
        <w:rFonts w:hint="default"/>
        <w:spacing w:val="0"/>
        <w:w w:val="103"/>
        <w:lang w:val="es-ES" w:eastAsia="en-US" w:bidi="ar-SA"/>
      </w:rPr>
    </w:lvl>
    <w:lvl w:ilvl="1" w:tplc="4782B4CC">
      <w:numFmt w:val="bullet"/>
      <w:lvlText w:val="•"/>
      <w:lvlJc w:val="left"/>
      <w:pPr>
        <w:ind w:left="2250" w:hanging="104"/>
      </w:pPr>
      <w:rPr>
        <w:rFonts w:hint="default"/>
        <w:lang w:val="es-ES" w:eastAsia="en-US" w:bidi="ar-SA"/>
      </w:rPr>
    </w:lvl>
    <w:lvl w:ilvl="2" w:tplc="99DE681E">
      <w:numFmt w:val="bullet"/>
      <w:lvlText w:val="•"/>
      <w:lvlJc w:val="left"/>
      <w:pPr>
        <w:ind w:left="3300" w:hanging="104"/>
      </w:pPr>
      <w:rPr>
        <w:rFonts w:hint="default"/>
        <w:lang w:val="es-ES" w:eastAsia="en-US" w:bidi="ar-SA"/>
      </w:rPr>
    </w:lvl>
    <w:lvl w:ilvl="3" w:tplc="B1243196">
      <w:numFmt w:val="bullet"/>
      <w:lvlText w:val="•"/>
      <w:lvlJc w:val="left"/>
      <w:pPr>
        <w:ind w:left="4350" w:hanging="104"/>
      </w:pPr>
      <w:rPr>
        <w:rFonts w:hint="default"/>
        <w:lang w:val="es-ES" w:eastAsia="en-US" w:bidi="ar-SA"/>
      </w:rPr>
    </w:lvl>
    <w:lvl w:ilvl="4" w:tplc="A74EEF38">
      <w:numFmt w:val="bullet"/>
      <w:lvlText w:val="•"/>
      <w:lvlJc w:val="left"/>
      <w:pPr>
        <w:ind w:left="5400" w:hanging="104"/>
      </w:pPr>
      <w:rPr>
        <w:rFonts w:hint="default"/>
        <w:lang w:val="es-ES" w:eastAsia="en-US" w:bidi="ar-SA"/>
      </w:rPr>
    </w:lvl>
    <w:lvl w:ilvl="5" w:tplc="BD2861BA">
      <w:numFmt w:val="bullet"/>
      <w:lvlText w:val="•"/>
      <w:lvlJc w:val="left"/>
      <w:pPr>
        <w:ind w:left="6450" w:hanging="104"/>
      </w:pPr>
      <w:rPr>
        <w:rFonts w:hint="default"/>
        <w:lang w:val="es-ES" w:eastAsia="en-US" w:bidi="ar-SA"/>
      </w:rPr>
    </w:lvl>
    <w:lvl w:ilvl="6" w:tplc="874E2ED0">
      <w:numFmt w:val="bullet"/>
      <w:lvlText w:val="•"/>
      <w:lvlJc w:val="left"/>
      <w:pPr>
        <w:ind w:left="7500" w:hanging="104"/>
      </w:pPr>
      <w:rPr>
        <w:rFonts w:hint="default"/>
        <w:lang w:val="es-ES" w:eastAsia="en-US" w:bidi="ar-SA"/>
      </w:rPr>
    </w:lvl>
    <w:lvl w:ilvl="7" w:tplc="30BAC92A">
      <w:numFmt w:val="bullet"/>
      <w:lvlText w:val="•"/>
      <w:lvlJc w:val="left"/>
      <w:pPr>
        <w:ind w:left="8550" w:hanging="104"/>
      </w:pPr>
      <w:rPr>
        <w:rFonts w:hint="default"/>
        <w:lang w:val="es-ES" w:eastAsia="en-US" w:bidi="ar-SA"/>
      </w:rPr>
    </w:lvl>
    <w:lvl w:ilvl="8" w:tplc="D146F162">
      <w:numFmt w:val="bullet"/>
      <w:lvlText w:val="•"/>
      <w:lvlJc w:val="left"/>
      <w:pPr>
        <w:ind w:left="9600" w:hanging="104"/>
      </w:pPr>
      <w:rPr>
        <w:rFonts w:hint="default"/>
        <w:lang w:val="es-ES" w:eastAsia="en-US" w:bidi="ar-SA"/>
      </w:rPr>
    </w:lvl>
  </w:abstractNum>
  <w:abstractNum w:abstractNumId="47" w15:restartNumberingAfterBreak="0">
    <w:nsid w:val="30EF01A0"/>
    <w:multiLevelType w:val="hybridMultilevel"/>
    <w:tmpl w:val="1EA4F552"/>
    <w:lvl w:ilvl="0" w:tplc="D8BC501C">
      <w:start w:val="858"/>
      <w:numFmt w:val="decimal"/>
      <w:lvlText w:val="%1"/>
      <w:lvlJc w:val="left"/>
      <w:pPr>
        <w:ind w:left="1368" w:hanging="250"/>
      </w:pPr>
      <w:rPr>
        <w:rFonts w:hint="default"/>
        <w:spacing w:val="-1"/>
        <w:w w:val="98"/>
        <w:lang w:val="es-ES" w:eastAsia="en-US" w:bidi="ar-SA"/>
      </w:rPr>
    </w:lvl>
    <w:lvl w:ilvl="1" w:tplc="ACEEC4AC">
      <w:numFmt w:val="bullet"/>
      <w:lvlText w:val="•"/>
      <w:lvlJc w:val="left"/>
      <w:pPr>
        <w:ind w:left="1348" w:hanging="100"/>
      </w:pPr>
      <w:rPr>
        <w:rFonts w:ascii="Arial MT" w:eastAsia="Arial MT" w:hAnsi="Arial MT" w:cs="Arial MT" w:hint="default"/>
        <w:b w:val="0"/>
        <w:bCs w:val="0"/>
        <w:i w:val="0"/>
        <w:iCs w:val="0"/>
        <w:spacing w:val="0"/>
        <w:w w:val="99"/>
        <w:sz w:val="16"/>
        <w:szCs w:val="16"/>
        <w:lang w:val="es-ES" w:eastAsia="en-US" w:bidi="ar-SA"/>
      </w:rPr>
    </w:lvl>
    <w:lvl w:ilvl="2" w:tplc="8216F8C2">
      <w:numFmt w:val="bullet"/>
      <w:lvlText w:val="•"/>
      <w:lvlJc w:val="left"/>
      <w:pPr>
        <w:ind w:left="2508" w:hanging="100"/>
      </w:pPr>
      <w:rPr>
        <w:rFonts w:hint="default"/>
        <w:lang w:val="es-ES" w:eastAsia="en-US" w:bidi="ar-SA"/>
      </w:rPr>
    </w:lvl>
    <w:lvl w:ilvl="3" w:tplc="CD20D632">
      <w:numFmt w:val="bullet"/>
      <w:lvlText w:val="•"/>
      <w:lvlJc w:val="left"/>
      <w:pPr>
        <w:ind w:left="3657" w:hanging="100"/>
      </w:pPr>
      <w:rPr>
        <w:rFonts w:hint="default"/>
        <w:lang w:val="es-ES" w:eastAsia="en-US" w:bidi="ar-SA"/>
      </w:rPr>
    </w:lvl>
    <w:lvl w:ilvl="4" w:tplc="C4DA52D0">
      <w:numFmt w:val="bullet"/>
      <w:lvlText w:val="•"/>
      <w:lvlJc w:val="left"/>
      <w:pPr>
        <w:ind w:left="4806" w:hanging="100"/>
      </w:pPr>
      <w:rPr>
        <w:rFonts w:hint="default"/>
        <w:lang w:val="es-ES" w:eastAsia="en-US" w:bidi="ar-SA"/>
      </w:rPr>
    </w:lvl>
    <w:lvl w:ilvl="5" w:tplc="472266C2">
      <w:numFmt w:val="bullet"/>
      <w:lvlText w:val="•"/>
      <w:lvlJc w:val="left"/>
      <w:pPr>
        <w:ind w:left="5955" w:hanging="100"/>
      </w:pPr>
      <w:rPr>
        <w:rFonts w:hint="default"/>
        <w:lang w:val="es-ES" w:eastAsia="en-US" w:bidi="ar-SA"/>
      </w:rPr>
    </w:lvl>
    <w:lvl w:ilvl="6" w:tplc="C1EAE868">
      <w:numFmt w:val="bullet"/>
      <w:lvlText w:val="•"/>
      <w:lvlJc w:val="left"/>
      <w:pPr>
        <w:ind w:left="7104" w:hanging="100"/>
      </w:pPr>
      <w:rPr>
        <w:rFonts w:hint="default"/>
        <w:lang w:val="es-ES" w:eastAsia="en-US" w:bidi="ar-SA"/>
      </w:rPr>
    </w:lvl>
    <w:lvl w:ilvl="7" w:tplc="655CEBFE">
      <w:numFmt w:val="bullet"/>
      <w:lvlText w:val="•"/>
      <w:lvlJc w:val="left"/>
      <w:pPr>
        <w:ind w:left="8253" w:hanging="100"/>
      </w:pPr>
      <w:rPr>
        <w:rFonts w:hint="default"/>
        <w:lang w:val="es-ES" w:eastAsia="en-US" w:bidi="ar-SA"/>
      </w:rPr>
    </w:lvl>
    <w:lvl w:ilvl="8" w:tplc="181AE728">
      <w:numFmt w:val="bullet"/>
      <w:lvlText w:val="•"/>
      <w:lvlJc w:val="left"/>
      <w:pPr>
        <w:ind w:left="9402" w:hanging="100"/>
      </w:pPr>
      <w:rPr>
        <w:rFonts w:hint="default"/>
        <w:lang w:val="es-ES" w:eastAsia="en-US" w:bidi="ar-SA"/>
      </w:rPr>
    </w:lvl>
  </w:abstractNum>
  <w:abstractNum w:abstractNumId="48" w15:restartNumberingAfterBreak="0">
    <w:nsid w:val="33673277"/>
    <w:multiLevelType w:val="hybridMultilevel"/>
    <w:tmpl w:val="6C709A90"/>
    <w:lvl w:ilvl="0" w:tplc="ED7EB000">
      <w:numFmt w:val="bullet"/>
      <w:lvlText w:val="•"/>
      <w:lvlJc w:val="left"/>
      <w:pPr>
        <w:ind w:left="1349" w:hanging="104"/>
      </w:pPr>
      <w:rPr>
        <w:rFonts w:ascii="Arial MT" w:eastAsia="Arial MT" w:hAnsi="Arial MT" w:cs="Arial MT" w:hint="default"/>
        <w:spacing w:val="0"/>
        <w:w w:val="103"/>
        <w:lang w:val="es-ES" w:eastAsia="en-US" w:bidi="ar-SA"/>
      </w:rPr>
    </w:lvl>
    <w:lvl w:ilvl="1" w:tplc="89DE80C8">
      <w:numFmt w:val="bullet"/>
      <w:lvlText w:val="•"/>
      <w:lvlJc w:val="left"/>
      <w:pPr>
        <w:ind w:left="1679" w:hanging="96"/>
      </w:pPr>
      <w:rPr>
        <w:rFonts w:ascii="Arial MT" w:eastAsia="Arial MT" w:hAnsi="Arial MT" w:cs="Arial MT" w:hint="default"/>
        <w:b w:val="0"/>
        <w:bCs w:val="0"/>
        <w:i w:val="0"/>
        <w:iCs w:val="0"/>
        <w:color w:val="803108"/>
        <w:spacing w:val="0"/>
        <w:w w:val="101"/>
        <w:sz w:val="15"/>
        <w:szCs w:val="15"/>
        <w:lang w:val="es-ES" w:eastAsia="en-US" w:bidi="ar-SA"/>
      </w:rPr>
    </w:lvl>
    <w:lvl w:ilvl="2" w:tplc="0A060AFA">
      <w:numFmt w:val="bullet"/>
      <w:lvlText w:val="•"/>
      <w:lvlJc w:val="left"/>
      <w:pPr>
        <w:ind w:left="2793" w:hanging="96"/>
      </w:pPr>
      <w:rPr>
        <w:rFonts w:hint="default"/>
        <w:lang w:val="es-ES" w:eastAsia="en-US" w:bidi="ar-SA"/>
      </w:rPr>
    </w:lvl>
    <w:lvl w:ilvl="3" w:tplc="79E6E99C">
      <w:numFmt w:val="bullet"/>
      <w:lvlText w:val="•"/>
      <w:lvlJc w:val="left"/>
      <w:pPr>
        <w:ind w:left="3906" w:hanging="96"/>
      </w:pPr>
      <w:rPr>
        <w:rFonts w:hint="default"/>
        <w:lang w:val="es-ES" w:eastAsia="en-US" w:bidi="ar-SA"/>
      </w:rPr>
    </w:lvl>
    <w:lvl w:ilvl="4" w:tplc="C71E5570">
      <w:numFmt w:val="bullet"/>
      <w:lvlText w:val="•"/>
      <w:lvlJc w:val="left"/>
      <w:pPr>
        <w:ind w:left="5020" w:hanging="96"/>
      </w:pPr>
      <w:rPr>
        <w:rFonts w:hint="default"/>
        <w:lang w:val="es-ES" w:eastAsia="en-US" w:bidi="ar-SA"/>
      </w:rPr>
    </w:lvl>
    <w:lvl w:ilvl="5" w:tplc="334EBA18">
      <w:numFmt w:val="bullet"/>
      <w:lvlText w:val="•"/>
      <w:lvlJc w:val="left"/>
      <w:pPr>
        <w:ind w:left="6133" w:hanging="96"/>
      </w:pPr>
      <w:rPr>
        <w:rFonts w:hint="default"/>
        <w:lang w:val="es-ES" w:eastAsia="en-US" w:bidi="ar-SA"/>
      </w:rPr>
    </w:lvl>
    <w:lvl w:ilvl="6" w:tplc="CA2EDEBE">
      <w:numFmt w:val="bullet"/>
      <w:lvlText w:val="•"/>
      <w:lvlJc w:val="left"/>
      <w:pPr>
        <w:ind w:left="7246" w:hanging="96"/>
      </w:pPr>
      <w:rPr>
        <w:rFonts w:hint="default"/>
        <w:lang w:val="es-ES" w:eastAsia="en-US" w:bidi="ar-SA"/>
      </w:rPr>
    </w:lvl>
    <w:lvl w:ilvl="7" w:tplc="DC4AA9D2">
      <w:numFmt w:val="bullet"/>
      <w:lvlText w:val="•"/>
      <w:lvlJc w:val="left"/>
      <w:pPr>
        <w:ind w:left="8360" w:hanging="96"/>
      </w:pPr>
      <w:rPr>
        <w:rFonts w:hint="default"/>
        <w:lang w:val="es-ES" w:eastAsia="en-US" w:bidi="ar-SA"/>
      </w:rPr>
    </w:lvl>
    <w:lvl w:ilvl="8" w:tplc="86CE3370">
      <w:numFmt w:val="bullet"/>
      <w:lvlText w:val="•"/>
      <w:lvlJc w:val="left"/>
      <w:pPr>
        <w:ind w:left="9473" w:hanging="96"/>
      </w:pPr>
      <w:rPr>
        <w:rFonts w:hint="default"/>
        <w:lang w:val="es-ES" w:eastAsia="en-US" w:bidi="ar-SA"/>
      </w:rPr>
    </w:lvl>
  </w:abstractNum>
  <w:abstractNum w:abstractNumId="49" w15:restartNumberingAfterBreak="0">
    <w:nsid w:val="3415574F"/>
    <w:multiLevelType w:val="hybridMultilevel"/>
    <w:tmpl w:val="98F21B28"/>
    <w:lvl w:ilvl="0" w:tplc="4D5C1F9A">
      <w:start w:val="1"/>
      <w:numFmt w:val="lowerLetter"/>
      <w:lvlText w:val="%1)"/>
      <w:lvlJc w:val="left"/>
      <w:pPr>
        <w:ind w:left="1353" w:hanging="238"/>
      </w:pPr>
      <w:rPr>
        <w:rFonts w:hint="default"/>
        <w:spacing w:val="0"/>
        <w:w w:val="101"/>
        <w:lang w:val="es-ES" w:eastAsia="en-US" w:bidi="ar-SA"/>
      </w:rPr>
    </w:lvl>
    <w:lvl w:ilvl="1" w:tplc="97DC3E08">
      <w:numFmt w:val="bullet"/>
      <w:lvlText w:val="•"/>
      <w:lvlJc w:val="left"/>
      <w:pPr>
        <w:ind w:left="1564" w:hanging="103"/>
      </w:pPr>
      <w:rPr>
        <w:rFonts w:ascii="Arial MT" w:eastAsia="Arial MT" w:hAnsi="Arial MT" w:cs="Arial MT" w:hint="default"/>
        <w:spacing w:val="0"/>
        <w:w w:val="101"/>
        <w:lang w:val="es-ES" w:eastAsia="en-US" w:bidi="ar-SA"/>
      </w:rPr>
    </w:lvl>
    <w:lvl w:ilvl="2" w:tplc="3D181C7E">
      <w:numFmt w:val="bullet"/>
      <w:lvlText w:val="•"/>
      <w:lvlJc w:val="left"/>
      <w:pPr>
        <w:ind w:left="2686" w:hanging="103"/>
      </w:pPr>
      <w:rPr>
        <w:rFonts w:hint="default"/>
        <w:lang w:val="es-ES" w:eastAsia="en-US" w:bidi="ar-SA"/>
      </w:rPr>
    </w:lvl>
    <w:lvl w:ilvl="3" w:tplc="711CC3C4">
      <w:numFmt w:val="bullet"/>
      <w:lvlText w:val="•"/>
      <w:lvlJc w:val="left"/>
      <w:pPr>
        <w:ind w:left="3813" w:hanging="103"/>
      </w:pPr>
      <w:rPr>
        <w:rFonts w:hint="default"/>
        <w:lang w:val="es-ES" w:eastAsia="en-US" w:bidi="ar-SA"/>
      </w:rPr>
    </w:lvl>
    <w:lvl w:ilvl="4" w:tplc="C910103E">
      <w:numFmt w:val="bullet"/>
      <w:lvlText w:val="•"/>
      <w:lvlJc w:val="left"/>
      <w:pPr>
        <w:ind w:left="4940" w:hanging="103"/>
      </w:pPr>
      <w:rPr>
        <w:rFonts w:hint="default"/>
        <w:lang w:val="es-ES" w:eastAsia="en-US" w:bidi="ar-SA"/>
      </w:rPr>
    </w:lvl>
    <w:lvl w:ilvl="5" w:tplc="9CA61FF4">
      <w:numFmt w:val="bullet"/>
      <w:lvlText w:val="•"/>
      <w:lvlJc w:val="left"/>
      <w:pPr>
        <w:ind w:left="6066" w:hanging="103"/>
      </w:pPr>
      <w:rPr>
        <w:rFonts w:hint="default"/>
        <w:lang w:val="es-ES" w:eastAsia="en-US" w:bidi="ar-SA"/>
      </w:rPr>
    </w:lvl>
    <w:lvl w:ilvl="6" w:tplc="1ADA85EE">
      <w:numFmt w:val="bullet"/>
      <w:lvlText w:val="•"/>
      <w:lvlJc w:val="left"/>
      <w:pPr>
        <w:ind w:left="7193" w:hanging="103"/>
      </w:pPr>
      <w:rPr>
        <w:rFonts w:hint="default"/>
        <w:lang w:val="es-ES" w:eastAsia="en-US" w:bidi="ar-SA"/>
      </w:rPr>
    </w:lvl>
    <w:lvl w:ilvl="7" w:tplc="64E4DDC6">
      <w:numFmt w:val="bullet"/>
      <w:lvlText w:val="•"/>
      <w:lvlJc w:val="left"/>
      <w:pPr>
        <w:ind w:left="8320" w:hanging="103"/>
      </w:pPr>
      <w:rPr>
        <w:rFonts w:hint="default"/>
        <w:lang w:val="es-ES" w:eastAsia="en-US" w:bidi="ar-SA"/>
      </w:rPr>
    </w:lvl>
    <w:lvl w:ilvl="8" w:tplc="B390210A">
      <w:numFmt w:val="bullet"/>
      <w:lvlText w:val="•"/>
      <w:lvlJc w:val="left"/>
      <w:pPr>
        <w:ind w:left="9446" w:hanging="103"/>
      </w:pPr>
      <w:rPr>
        <w:rFonts w:hint="default"/>
        <w:lang w:val="es-ES" w:eastAsia="en-US" w:bidi="ar-SA"/>
      </w:rPr>
    </w:lvl>
  </w:abstractNum>
  <w:abstractNum w:abstractNumId="50" w15:restartNumberingAfterBreak="0">
    <w:nsid w:val="34444765"/>
    <w:multiLevelType w:val="hybridMultilevel"/>
    <w:tmpl w:val="6CAEEBEC"/>
    <w:lvl w:ilvl="0" w:tplc="838898C8">
      <w:numFmt w:val="bullet"/>
      <w:lvlText w:val="–"/>
      <w:lvlJc w:val="left"/>
      <w:pPr>
        <w:ind w:left="2128" w:hanging="121"/>
      </w:pPr>
      <w:rPr>
        <w:rFonts w:ascii="Arial MT" w:eastAsia="Arial MT" w:hAnsi="Arial MT" w:cs="Arial MT" w:hint="default"/>
        <w:b w:val="0"/>
        <w:bCs w:val="0"/>
        <w:i w:val="0"/>
        <w:iCs w:val="0"/>
        <w:color w:val="0075BF"/>
        <w:spacing w:val="0"/>
        <w:w w:val="103"/>
        <w:sz w:val="14"/>
        <w:szCs w:val="14"/>
        <w:lang w:val="es-ES" w:eastAsia="en-US" w:bidi="ar-SA"/>
      </w:rPr>
    </w:lvl>
    <w:lvl w:ilvl="1" w:tplc="AEB4C7B0">
      <w:numFmt w:val="bullet"/>
      <w:lvlText w:val="•"/>
      <w:lvlJc w:val="left"/>
      <w:pPr>
        <w:ind w:left="3078" w:hanging="121"/>
      </w:pPr>
      <w:rPr>
        <w:rFonts w:hint="default"/>
        <w:lang w:val="es-ES" w:eastAsia="en-US" w:bidi="ar-SA"/>
      </w:rPr>
    </w:lvl>
    <w:lvl w:ilvl="2" w:tplc="47AE6276">
      <w:numFmt w:val="bullet"/>
      <w:lvlText w:val="•"/>
      <w:lvlJc w:val="left"/>
      <w:pPr>
        <w:ind w:left="4036" w:hanging="121"/>
      </w:pPr>
      <w:rPr>
        <w:rFonts w:hint="default"/>
        <w:lang w:val="es-ES" w:eastAsia="en-US" w:bidi="ar-SA"/>
      </w:rPr>
    </w:lvl>
    <w:lvl w:ilvl="3" w:tplc="D39C9070">
      <w:numFmt w:val="bullet"/>
      <w:lvlText w:val="•"/>
      <w:lvlJc w:val="left"/>
      <w:pPr>
        <w:ind w:left="4994" w:hanging="121"/>
      </w:pPr>
      <w:rPr>
        <w:rFonts w:hint="default"/>
        <w:lang w:val="es-ES" w:eastAsia="en-US" w:bidi="ar-SA"/>
      </w:rPr>
    </w:lvl>
    <w:lvl w:ilvl="4" w:tplc="BDA2A1AE">
      <w:numFmt w:val="bullet"/>
      <w:lvlText w:val="•"/>
      <w:lvlJc w:val="left"/>
      <w:pPr>
        <w:ind w:left="5952" w:hanging="121"/>
      </w:pPr>
      <w:rPr>
        <w:rFonts w:hint="default"/>
        <w:lang w:val="es-ES" w:eastAsia="en-US" w:bidi="ar-SA"/>
      </w:rPr>
    </w:lvl>
    <w:lvl w:ilvl="5" w:tplc="28BC289C">
      <w:numFmt w:val="bullet"/>
      <w:lvlText w:val="•"/>
      <w:lvlJc w:val="left"/>
      <w:pPr>
        <w:ind w:left="6910" w:hanging="121"/>
      </w:pPr>
      <w:rPr>
        <w:rFonts w:hint="default"/>
        <w:lang w:val="es-ES" w:eastAsia="en-US" w:bidi="ar-SA"/>
      </w:rPr>
    </w:lvl>
    <w:lvl w:ilvl="6" w:tplc="58425C6A">
      <w:numFmt w:val="bullet"/>
      <w:lvlText w:val="•"/>
      <w:lvlJc w:val="left"/>
      <w:pPr>
        <w:ind w:left="7868" w:hanging="121"/>
      </w:pPr>
      <w:rPr>
        <w:rFonts w:hint="default"/>
        <w:lang w:val="es-ES" w:eastAsia="en-US" w:bidi="ar-SA"/>
      </w:rPr>
    </w:lvl>
    <w:lvl w:ilvl="7" w:tplc="A684BF7A">
      <w:numFmt w:val="bullet"/>
      <w:lvlText w:val="•"/>
      <w:lvlJc w:val="left"/>
      <w:pPr>
        <w:ind w:left="8826" w:hanging="121"/>
      </w:pPr>
      <w:rPr>
        <w:rFonts w:hint="default"/>
        <w:lang w:val="es-ES" w:eastAsia="en-US" w:bidi="ar-SA"/>
      </w:rPr>
    </w:lvl>
    <w:lvl w:ilvl="8" w:tplc="46D00774">
      <w:numFmt w:val="bullet"/>
      <w:lvlText w:val="•"/>
      <w:lvlJc w:val="left"/>
      <w:pPr>
        <w:ind w:left="9784" w:hanging="121"/>
      </w:pPr>
      <w:rPr>
        <w:rFonts w:hint="default"/>
        <w:lang w:val="es-ES" w:eastAsia="en-US" w:bidi="ar-SA"/>
      </w:rPr>
    </w:lvl>
  </w:abstractNum>
  <w:abstractNum w:abstractNumId="51" w15:restartNumberingAfterBreak="0">
    <w:nsid w:val="36A04896"/>
    <w:multiLevelType w:val="hybridMultilevel"/>
    <w:tmpl w:val="BDC22F8A"/>
    <w:lvl w:ilvl="0" w:tplc="235839F8">
      <w:start w:val="14"/>
      <w:numFmt w:val="lowerLetter"/>
      <w:lvlText w:val="(%1)"/>
      <w:lvlJc w:val="left"/>
      <w:pPr>
        <w:ind w:left="1902" w:hanging="227"/>
      </w:pPr>
      <w:rPr>
        <w:rFonts w:hint="default"/>
        <w:spacing w:val="0"/>
        <w:w w:val="100"/>
        <w:lang w:val="es-ES" w:eastAsia="en-US" w:bidi="ar-SA"/>
      </w:rPr>
    </w:lvl>
    <w:lvl w:ilvl="1" w:tplc="4E34B6C8">
      <w:numFmt w:val="bullet"/>
      <w:lvlText w:val="•"/>
      <w:lvlJc w:val="left"/>
      <w:pPr>
        <w:ind w:left="2880" w:hanging="227"/>
      </w:pPr>
      <w:rPr>
        <w:rFonts w:hint="default"/>
        <w:lang w:val="es-ES" w:eastAsia="en-US" w:bidi="ar-SA"/>
      </w:rPr>
    </w:lvl>
    <w:lvl w:ilvl="2" w:tplc="B5DE843A">
      <w:numFmt w:val="bullet"/>
      <w:lvlText w:val="•"/>
      <w:lvlJc w:val="left"/>
      <w:pPr>
        <w:ind w:left="3860" w:hanging="227"/>
      </w:pPr>
      <w:rPr>
        <w:rFonts w:hint="default"/>
        <w:lang w:val="es-ES" w:eastAsia="en-US" w:bidi="ar-SA"/>
      </w:rPr>
    </w:lvl>
    <w:lvl w:ilvl="3" w:tplc="10387C8C">
      <w:numFmt w:val="bullet"/>
      <w:lvlText w:val="•"/>
      <w:lvlJc w:val="left"/>
      <w:pPr>
        <w:ind w:left="4840" w:hanging="227"/>
      </w:pPr>
      <w:rPr>
        <w:rFonts w:hint="default"/>
        <w:lang w:val="es-ES" w:eastAsia="en-US" w:bidi="ar-SA"/>
      </w:rPr>
    </w:lvl>
    <w:lvl w:ilvl="4" w:tplc="72769440">
      <w:numFmt w:val="bullet"/>
      <w:lvlText w:val="•"/>
      <w:lvlJc w:val="left"/>
      <w:pPr>
        <w:ind w:left="5820" w:hanging="227"/>
      </w:pPr>
      <w:rPr>
        <w:rFonts w:hint="default"/>
        <w:lang w:val="es-ES" w:eastAsia="en-US" w:bidi="ar-SA"/>
      </w:rPr>
    </w:lvl>
    <w:lvl w:ilvl="5" w:tplc="EC82F83C">
      <w:numFmt w:val="bullet"/>
      <w:lvlText w:val="•"/>
      <w:lvlJc w:val="left"/>
      <w:pPr>
        <w:ind w:left="6800" w:hanging="227"/>
      </w:pPr>
      <w:rPr>
        <w:rFonts w:hint="default"/>
        <w:lang w:val="es-ES" w:eastAsia="en-US" w:bidi="ar-SA"/>
      </w:rPr>
    </w:lvl>
    <w:lvl w:ilvl="6" w:tplc="9E5800C6">
      <w:numFmt w:val="bullet"/>
      <w:lvlText w:val="•"/>
      <w:lvlJc w:val="left"/>
      <w:pPr>
        <w:ind w:left="7780" w:hanging="227"/>
      </w:pPr>
      <w:rPr>
        <w:rFonts w:hint="default"/>
        <w:lang w:val="es-ES" w:eastAsia="en-US" w:bidi="ar-SA"/>
      </w:rPr>
    </w:lvl>
    <w:lvl w:ilvl="7" w:tplc="2EAAA51C">
      <w:numFmt w:val="bullet"/>
      <w:lvlText w:val="•"/>
      <w:lvlJc w:val="left"/>
      <w:pPr>
        <w:ind w:left="8760" w:hanging="227"/>
      </w:pPr>
      <w:rPr>
        <w:rFonts w:hint="default"/>
        <w:lang w:val="es-ES" w:eastAsia="en-US" w:bidi="ar-SA"/>
      </w:rPr>
    </w:lvl>
    <w:lvl w:ilvl="8" w:tplc="A80C7CAC">
      <w:numFmt w:val="bullet"/>
      <w:lvlText w:val="•"/>
      <w:lvlJc w:val="left"/>
      <w:pPr>
        <w:ind w:left="9740" w:hanging="227"/>
      </w:pPr>
      <w:rPr>
        <w:rFonts w:hint="default"/>
        <w:lang w:val="es-ES" w:eastAsia="en-US" w:bidi="ar-SA"/>
      </w:rPr>
    </w:lvl>
  </w:abstractNum>
  <w:abstractNum w:abstractNumId="52" w15:restartNumberingAfterBreak="0">
    <w:nsid w:val="3AAE75FA"/>
    <w:multiLevelType w:val="hybridMultilevel"/>
    <w:tmpl w:val="1C4A8928"/>
    <w:lvl w:ilvl="0" w:tplc="FFFFFFFF">
      <w:start w:val="1"/>
      <w:numFmt w:val="upperRoman"/>
      <w:lvlText w:val="%1."/>
      <w:lvlJc w:val="left"/>
      <w:pPr>
        <w:ind w:left="1245" w:hanging="132"/>
      </w:pPr>
      <w:rPr>
        <w:rFonts w:ascii="Arial MT" w:eastAsia="Arial MT" w:hAnsi="Arial MT" w:cs="Arial MT" w:hint="default"/>
        <w:b w:val="0"/>
        <w:bCs w:val="0"/>
        <w:i w:val="0"/>
        <w:iCs w:val="0"/>
        <w:color w:val="803108"/>
        <w:spacing w:val="-1"/>
        <w:w w:val="105"/>
        <w:sz w:val="15"/>
        <w:szCs w:val="15"/>
        <w:lang w:val="es-ES" w:eastAsia="en-US" w:bidi="ar-SA"/>
      </w:rPr>
    </w:lvl>
    <w:lvl w:ilvl="1" w:tplc="140A000F">
      <w:start w:val="1"/>
      <w:numFmt w:val="decimal"/>
      <w:lvlText w:val="%2."/>
      <w:lvlJc w:val="left"/>
      <w:pPr>
        <w:ind w:left="2084" w:hanging="360"/>
      </w:pPr>
    </w:lvl>
    <w:lvl w:ilvl="2" w:tplc="FFFFFFFF">
      <w:numFmt w:val="bullet"/>
      <w:lvlText w:val="•"/>
      <w:lvlJc w:val="left"/>
      <w:pPr>
        <w:ind w:left="3006" w:hanging="193"/>
      </w:pPr>
      <w:rPr>
        <w:rFonts w:hint="default"/>
        <w:lang w:val="es-ES" w:eastAsia="en-US" w:bidi="ar-SA"/>
      </w:rPr>
    </w:lvl>
    <w:lvl w:ilvl="3" w:tplc="FFFFFFFF">
      <w:numFmt w:val="bullet"/>
      <w:lvlText w:val="•"/>
      <w:lvlJc w:val="left"/>
      <w:pPr>
        <w:ind w:left="4093" w:hanging="193"/>
      </w:pPr>
      <w:rPr>
        <w:rFonts w:hint="default"/>
        <w:lang w:val="es-ES" w:eastAsia="en-US" w:bidi="ar-SA"/>
      </w:rPr>
    </w:lvl>
    <w:lvl w:ilvl="4" w:tplc="FFFFFFFF">
      <w:numFmt w:val="bullet"/>
      <w:lvlText w:val="•"/>
      <w:lvlJc w:val="left"/>
      <w:pPr>
        <w:ind w:left="5180" w:hanging="193"/>
      </w:pPr>
      <w:rPr>
        <w:rFonts w:hint="default"/>
        <w:lang w:val="es-ES" w:eastAsia="en-US" w:bidi="ar-SA"/>
      </w:rPr>
    </w:lvl>
    <w:lvl w:ilvl="5" w:tplc="FFFFFFFF">
      <w:numFmt w:val="bullet"/>
      <w:lvlText w:val="•"/>
      <w:lvlJc w:val="left"/>
      <w:pPr>
        <w:ind w:left="6266" w:hanging="193"/>
      </w:pPr>
      <w:rPr>
        <w:rFonts w:hint="default"/>
        <w:lang w:val="es-ES" w:eastAsia="en-US" w:bidi="ar-SA"/>
      </w:rPr>
    </w:lvl>
    <w:lvl w:ilvl="6" w:tplc="FFFFFFFF">
      <w:numFmt w:val="bullet"/>
      <w:lvlText w:val="•"/>
      <w:lvlJc w:val="left"/>
      <w:pPr>
        <w:ind w:left="7353" w:hanging="193"/>
      </w:pPr>
      <w:rPr>
        <w:rFonts w:hint="default"/>
        <w:lang w:val="es-ES" w:eastAsia="en-US" w:bidi="ar-SA"/>
      </w:rPr>
    </w:lvl>
    <w:lvl w:ilvl="7" w:tplc="FFFFFFFF">
      <w:numFmt w:val="bullet"/>
      <w:lvlText w:val="•"/>
      <w:lvlJc w:val="left"/>
      <w:pPr>
        <w:ind w:left="8440" w:hanging="193"/>
      </w:pPr>
      <w:rPr>
        <w:rFonts w:hint="default"/>
        <w:lang w:val="es-ES" w:eastAsia="en-US" w:bidi="ar-SA"/>
      </w:rPr>
    </w:lvl>
    <w:lvl w:ilvl="8" w:tplc="FFFFFFFF">
      <w:numFmt w:val="bullet"/>
      <w:lvlText w:val="•"/>
      <w:lvlJc w:val="left"/>
      <w:pPr>
        <w:ind w:left="9526" w:hanging="193"/>
      </w:pPr>
      <w:rPr>
        <w:rFonts w:hint="default"/>
        <w:lang w:val="es-ES" w:eastAsia="en-US" w:bidi="ar-SA"/>
      </w:rPr>
    </w:lvl>
  </w:abstractNum>
  <w:abstractNum w:abstractNumId="53" w15:restartNumberingAfterBreak="0">
    <w:nsid w:val="3BEA4F89"/>
    <w:multiLevelType w:val="hybridMultilevel"/>
    <w:tmpl w:val="DE82C65E"/>
    <w:lvl w:ilvl="0" w:tplc="766CB1A8">
      <w:numFmt w:val="bullet"/>
      <w:lvlText w:val="•"/>
      <w:lvlJc w:val="left"/>
      <w:pPr>
        <w:ind w:left="1556" w:hanging="109"/>
      </w:pPr>
      <w:rPr>
        <w:rFonts w:ascii="Arial MT" w:eastAsia="Arial MT" w:hAnsi="Arial MT" w:cs="Arial MT" w:hint="default"/>
        <w:b w:val="0"/>
        <w:bCs w:val="0"/>
        <w:i w:val="0"/>
        <w:iCs w:val="0"/>
        <w:color w:val="0075BF"/>
        <w:spacing w:val="0"/>
        <w:w w:val="101"/>
        <w:sz w:val="17"/>
        <w:szCs w:val="17"/>
        <w:lang w:val="es-ES" w:eastAsia="en-US" w:bidi="ar-SA"/>
      </w:rPr>
    </w:lvl>
    <w:lvl w:ilvl="1" w:tplc="EAD46790">
      <w:numFmt w:val="bullet"/>
      <w:lvlText w:val="•"/>
      <w:lvlJc w:val="left"/>
      <w:pPr>
        <w:ind w:left="2574" w:hanging="109"/>
      </w:pPr>
      <w:rPr>
        <w:rFonts w:hint="default"/>
        <w:lang w:val="es-ES" w:eastAsia="en-US" w:bidi="ar-SA"/>
      </w:rPr>
    </w:lvl>
    <w:lvl w:ilvl="2" w:tplc="73F87F08">
      <w:numFmt w:val="bullet"/>
      <w:lvlText w:val="•"/>
      <w:lvlJc w:val="left"/>
      <w:pPr>
        <w:ind w:left="3588" w:hanging="109"/>
      </w:pPr>
      <w:rPr>
        <w:rFonts w:hint="default"/>
        <w:lang w:val="es-ES" w:eastAsia="en-US" w:bidi="ar-SA"/>
      </w:rPr>
    </w:lvl>
    <w:lvl w:ilvl="3" w:tplc="DFCE8A0A">
      <w:numFmt w:val="bullet"/>
      <w:lvlText w:val="•"/>
      <w:lvlJc w:val="left"/>
      <w:pPr>
        <w:ind w:left="4602" w:hanging="109"/>
      </w:pPr>
      <w:rPr>
        <w:rFonts w:hint="default"/>
        <w:lang w:val="es-ES" w:eastAsia="en-US" w:bidi="ar-SA"/>
      </w:rPr>
    </w:lvl>
    <w:lvl w:ilvl="4" w:tplc="392E26D2">
      <w:numFmt w:val="bullet"/>
      <w:lvlText w:val="•"/>
      <w:lvlJc w:val="left"/>
      <w:pPr>
        <w:ind w:left="5616" w:hanging="109"/>
      </w:pPr>
      <w:rPr>
        <w:rFonts w:hint="default"/>
        <w:lang w:val="es-ES" w:eastAsia="en-US" w:bidi="ar-SA"/>
      </w:rPr>
    </w:lvl>
    <w:lvl w:ilvl="5" w:tplc="94A056A2">
      <w:numFmt w:val="bullet"/>
      <w:lvlText w:val="•"/>
      <w:lvlJc w:val="left"/>
      <w:pPr>
        <w:ind w:left="6630" w:hanging="109"/>
      </w:pPr>
      <w:rPr>
        <w:rFonts w:hint="default"/>
        <w:lang w:val="es-ES" w:eastAsia="en-US" w:bidi="ar-SA"/>
      </w:rPr>
    </w:lvl>
    <w:lvl w:ilvl="6" w:tplc="103C2512">
      <w:numFmt w:val="bullet"/>
      <w:lvlText w:val="•"/>
      <w:lvlJc w:val="left"/>
      <w:pPr>
        <w:ind w:left="7644" w:hanging="109"/>
      </w:pPr>
      <w:rPr>
        <w:rFonts w:hint="default"/>
        <w:lang w:val="es-ES" w:eastAsia="en-US" w:bidi="ar-SA"/>
      </w:rPr>
    </w:lvl>
    <w:lvl w:ilvl="7" w:tplc="7874A0E6">
      <w:numFmt w:val="bullet"/>
      <w:lvlText w:val="•"/>
      <w:lvlJc w:val="left"/>
      <w:pPr>
        <w:ind w:left="8658" w:hanging="109"/>
      </w:pPr>
      <w:rPr>
        <w:rFonts w:hint="default"/>
        <w:lang w:val="es-ES" w:eastAsia="en-US" w:bidi="ar-SA"/>
      </w:rPr>
    </w:lvl>
    <w:lvl w:ilvl="8" w:tplc="1A9A016E">
      <w:numFmt w:val="bullet"/>
      <w:lvlText w:val="•"/>
      <w:lvlJc w:val="left"/>
      <w:pPr>
        <w:ind w:left="9672" w:hanging="109"/>
      </w:pPr>
      <w:rPr>
        <w:rFonts w:hint="default"/>
        <w:lang w:val="es-ES" w:eastAsia="en-US" w:bidi="ar-SA"/>
      </w:rPr>
    </w:lvl>
  </w:abstractNum>
  <w:abstractNum w:abstractNumId="54" w15:restartNumberingAfterBreak="0">
    <w:nsid w:val="3C0D7090"/>
    <w:multiLevelType w:val="hybridMultilevel"/>
    <w:tmpl w:val="2CD65B2E"/>
    <w:lvl w:ilvl="0" w:tplc="5C745E6E">
      <w:start w:val="1"/>
      <w:numFmt w:val="upperLetter"/>
      <w:lvlText w:val="%1."/>
      <w:lvlJc w:val="left"/>
      <w:pPr>
        <w:ind w:left="1444" w:hanging="344"/>
      </w:pPr>
      <w:rPr>
        <w:rFonts w:hint="default"/>
        <w:spacing w:val="-1"/>
        <w:w w:val="94"/>
        <w:lang w:val="es-ES" w:eastAsia="en-US" w:bidi="ar-SA"/>
      </w:rPr>
    </w:lvl>
    <w:lvl w:ilvl="1" w:tplc="02D2A2C4">
      <w:start w:val="1"/>
      <w:numFmt w:val="decimal"/>
      <w:lvlText w:val="%2."/>
      <w:lvlJc w:val="left"/>
      <w:pPr>
        <w:ind w:left="1340" w:hanging="206"/>
      </w:pPr>
      <w:rPr>
        <w:rFonts w:hint="default"/>
        <w:spacing w:val="-1"/>
        <w:w w:val="102"/>
        <w:lang w:val="es-ES" w:eastAsia="en-US" w:bidi="ar-SA"/>
      </w:rPr>
    </w:lvl>
    <w:lvl w:ilvl="2" w:tplc="E662C406">
      <w:numFmt w:val="bullet"/>
      <w:lvlText w:val="•"/>
      <w:lvlJc w:val="left"/>
      <w:pPr>
        <w:ind w:left="1613" w:hanging="206"/>
      </w:pPr>
      <w:rPr>
        <w:rFonts w:ascii="Arial MT" w:eastAsia="Arial MT" w:hAnsi="Arial MT" w:cs="Arial MT" w:hint="default"/>
        <w:spacing w:val="0"/>
        <w:w w:val="100"/>
        <w:lang w:val="es-ES" w:eastAsia="en-US" w:bidi="ar-SA"/>
      </w:rPr>
    </w:lvl>
    <w:lvl w:ilvl="3" w:tplc="CB6A3846">
      <w:numFmt w:val="bullet"/>
      <w:lvlText w:val="•"/>
      <w:lvlJc w:val="left"/>
      <w:pPr>
        <w:ind w:left="1620" w:hanging="206"/>
      </w:pPr>
      <w:rPr>
        <w:rFonts w:hint="default"/>
        <w:lang w:val="es-ES" w:eastAsia="en-US" w:bidi="ar-SA"/>
      </w:rPr>
    </w:lvl>
    <w:lvl w:ilvl="4" w:tplc="33E43B8A">
      <w:numFmt w:val="bullet"/>
      <w:lvlText w:val="•"/>
      <w:lvlJc w:val="left"/>
      <w:pPr>
        <w:ind w:left="3060" w:hanging="206"/>
      </w:pPr>
      <w:rPr>
        <w:rFonts w:hint="default"/>
        <w:lang w:val="es-ES" w:eastAsia="en-US" w:bidi="ar-SA"/>
      </w:rPr>
    </w:lvl>
    <w:lvl w:ilvl="5" w:tplc="78D62FA2">
      <w:numFmt w:val="bullet"/>
      <w:lvlText w:val="•"/>
      <w:lvlJc w:val="left"/>
      <w:pPr>
        <w:ind w:left="4500" w:hanging="206"/>
      </w:pPr>
      <w:rPr>
        <w:rFonts w:hint="default"/>
        <w:lang w:val="es-ES" w:eastAsia="en-US" w:bidi="ar-SA"/>
      </w:rPr>
    </w:lvl>
    <w:lvl w:ilvl="6" w:tplc="BE2A02BA">
      <w:numFmt w:val="bullet"/>
      <w:lvlText w:val="•"/>
      <w:lvlJc w:val="left"/>
      <w:pPr>
        <w:ind w:left="5940" w:hanging="206"/>
      </w:pPr>
      <w:rPr>
        <w:rFonts w:hint="default"/>
        <w:lang w:val="es-ES" w:eastAsia="en-US" w:bidi="ar-SA"/>
      </w:rPr>
    </w:lvl>
    <w:lvl w:ilvl="7" w:tplc="E8A0D6EC">
      <w:numFmt w:val="bullet"/>
      <w:lvlText w:val="•"/>
      <w:lvlJc w:val="left"/>
      <w:pPr>
        <w:ind w:left="7380" w:hanging="206"/>
      </w:pPr>
      <w:rPr>
        <w:rFonts w:hint="default"/>
        <w:lang w:val="es-ES" w:eastAsia="en-US" w:bidi="ar-SA"/>
      </w:rPr>
    </w:lvl>
    <w:lvl w:ilvl="8" w:tplc="AA54DB8E">
      <w:numFmt w:val="bullet"/>
      <w:lvlText w:val="•"/>
      <w:lvlJc w:val="left"/>
      <w:pPr>
        <w:ind w:left="8820" w:hanging="206"/>
      </w:pPr>
      <w:rPr>
        <w:rFonts w:hint="default"/>
        <w:lang w:val="es-ES" w:eastAsia="en-US" w:bidi="ar-SA"/>
      </w:rPr>
    </w:lvl>
  </w:abstractNum>
  <w:abstractNum w:abstractNumId="55" w15:restartNumberingAfterBreak="0">
    <w:nsid w:val="3C333CA4"/>
    <w:multiLevelType w:val="hybridMultilevel"/>
    <w:tmpl w:val="24C27CA6"/>
    <w:lvl w:ilvl="0" w:tplc="893089BE">
      <w:start w:val="802"/>
      <w:numFmt w:val="decimal"/>
      <w:lvlText w:val="%1"/>
      <w:lvlJc w:val="left"/>
      <w:pPr>
        <w:ind w:left="1366" w:hanging="236"/>
      </w:pPr>
      <w:rPr>
        <w:rFonts w:ascii="Arial MT" w:eastAsia="Arial MT" w:hAnsi="Arial MT" w:cs="Arial MT" w:hint="default"/>
        <w:b w:val="0"/>
        <w:bCs w:val="0"/>
        <w:i w:val="0"/>
        <w:iCs w:val="0"/>
        <w:spacing w:val="-1"/>
        <w:w w:val="101"/>
        <w:sz w:val="12"/>
        <w:szCs w:val="12"/>
        <w:lang w:val="es-ES" w:eastAsia="en-US" w:bidi="ar-SA"/>
      </w:rPr>
    </w:lvl>
    <w:lvl w:ilvl="1" w:tplc="9FFC264A">
      <w:numFmt w:val="bullet"/>
      <w:lvlText w:val="•"/>
      <w:lvlJc w:val="left"/>
      <w:pPr>
        <w:ind w:left="2394" w:hanging="236"/>
      </w:pPr>
      <w:rPr>
        <w:rFonts w:hint="default"/>
        <w:lang w:val="es-ES" w:eastAsia="en-US" w:bidi="ar-SA"/>
      </w:rPr>
    </w:lvl>
    <w:lvl w:ilvl="2" w:tplc="413E4192">
      <w:numFmt w:val="bullet"/>
      <w:lvlText w:val="•"/>
      <w:lvlJc w:val="left"/>
      <w:pPr>
        <w:ind w:left="3428" w:hanging="236"/>
      </w:pPr>
      <w:rPr>
        <w:rFonts w:hint="default"/>
        <w:lang w:val="es-ES" w:eastAsia="en-US" w:bidi="ar-SA"/>
      </w:rPr>
    </w:lvl>
    <w:lvl w:ilvl="3" w:tplc="CF626AD4">
      <w:numFmt w:val="bullet"/>
      <w:lvlText w:val="•"/>
      <w:lvlJc w:val="left"/>
      <w:pPr>
        <w:ind w:left="4462" w:hanging="236"/>
      </w:pPr>
      <w:rPr>
        <w:rFonts w:hint="default"/>
        <w:lang w:val="es-ES" w:eastAsia="en-US" w:bidi="ar-SA"/>
      </w:rPr>
    </w:lvl>
    <w:lvl w:ilvl="4" w:tplc="B4547086">
      <w:numFmt w:val="bullet"/>
      <w:lvlText w:val="•"/>
      <w:lvlJc w:val="left"/>
      <w:pPr>
        <w:ind w:left="5496" w:hanging="236"/>
      </w:pPr>
      <w:rPr>
        <w:rFonts w:hint="default"/>
        <w:lang w:val="es-ES" w:eastAsia="en-US" w:bidi="ar-SA"/>
      </w:rPr>
    </w:lvl>
    <w:lvl w:ilvl="5" w:tplc="3968A26E">
      <w:numFmt w:val="bullet"/>
      <w:lvlText w:val="•"/>
      <w:lvlJc w:val="left"/>
      <w:pPr>
        <w:ind w:left="6530" w:hanging="236"/>
      </w:pPr>
      <w:rPr>
        <w:rFonts w:hint="default"/>
        <w:lang w:val="es-ES" w:eastAsia="en-US" w:bidi="ar-SA"/>
      </w:rPr>
    </w:lvl>
    <w:lvl w:ilvl="6" w:tplc="EE3AD858">
      <w:numFmt w:val="bullet"/>
      <w:lvlText w:val="•"/>
      <w:lvlJc w:val="left"/>
      <w:pPr>
        <w:ind w:left="7564" w:hanging="236"/>
      </w:pPr>
      <w:rPr>
        <w:rFonts w:hint="default"/>
        <w:lang w:val="es-ES" w:eastAsia="en-US" w:bidi="ar-SA"/>
      </w:rPr>
    </w:lvl>
    <w:lvl w:ilvl="7" w:tplc="4E2411C0">
      <w:numFmt w:val="bullet"/>
      <w:lvlText w:val="•"/>
      <w:lvlJc w:val="left"/>
      <w:pPr>
        <w:ind w:left="8598" w:hanging="236"/>
      </w:pPr>
      <w:rPr>
        <w:rFonts w:hint="default"/>
        <w:lang w:val="es-ES" w:eastAsia="en-US" w:bidi="ar-SA"/>
      </w:rPr>
    </w:lvl>
    <w:lvl w:ilvl="8" w:tplc="73D8BB90">
      <w:numFmt w:val="bullet"/>
      <w:lvlText w:val="•"/>
      <w:lvlJc w:val="left"/>
      <w:pPr>
        <w:ind w:left="9632" w:hanging="236"/>
      </w:pPr>
      <w:rPr>
        <w:rFonts w:hint="default"/>
        <w:lang w:val="es-ES" w:eastAsia="en-US" w:bidi="ar-SA"/>
      </w:rPr>
    </w:lvl>
  </w:abstractNum>
  <w:abstractNum w:abstractNumId="56" w15:restartNumberingAfterBreak="0">
    <w:nsid w:val="3C6E01E1"/>
    <w:multiLevelType w:val="hybridMultilevel"/>
    <w:tmpl w:val="6692730C"/>
    <w:lvl w:ilvl="0" w:tplc="F710B12C">
      <w:start w:val="1"/>
      <w:numFmt w:val="decimal"/>
      <w:lvlText w:val="%1."/>
      <w:lvlJc w:val="left"/>
      <w:pPr>
        <w:ind w:left="1374" w:hanging="240"/>
      </w:pPr>
      <w:rPr>
        <w:rFonts w:hint="default"/>
        <w:spacing w:val="-1"/>
        <w:w w:val="102"/>
        <w:lang w:val="es-ES" w:eastAsia="en-US" w:bidi="ar-SA"/>
      </w:rPr>
    </w:lvl>
    <w:lvl w:ilvl="1" w:tplc="5A34EE02">
      <w:start w:val="1"/>
      <w:numFmt w:val="lowerLetter"/>
      <w:lvlText w:val="%2)"/>
      <w:lvlJc w:val="left"/>
      <w:pPr>
        <w:ind w:left="1900" w:hanging="169"/>
      </w:pPr>
      <w:rPr>
        <w:rFonts w:hint="default"/>
        <w:spacing w:val="0"/>
        <w:w w:val="102"/>
        <w:lang w:val="es-ES" w:eastAsia="en-US" w:bidi="ar-SA"/>
      </w:rPr>
    </w:lvl>
    <w:lvl w:ilvl="2" w:tplc="6986BF1A">
      <w:numFmt w:val="bullet"/>
      <w:lvlText w:val="•"/>
      <w:lvlJc w:val="left"/>
      <w:pPr>
        <w:ind w:left="2988" w:hanging="169"/>
      </w:pPr>
      <w:rPr>
        <w:rFonts w:hint="default"/>
        <w:lang w:val="es-ES" w:eastAsia="en-US" w:bidi="ar-SA"/>
      </w:rPr>
    </w:lvl>
    <w:lvl w:ilvl="3" w:tplc="F9002422">
      <w:numFmt w:val="bullet"/>
      <w:lvlText w:val="•"/>
      <w:lvlJc w:val="left"/>
      <w:pPr>
        <w:ind w:left="4077" w:hanging="169"/>
      </w:pPr>
      <w:rPr>
        <w:rFonts w:hint="default"/>
        <w:lang w:val="es-ES" w:eastAsia="en-US" w:bidi="ar-SA"/>
      </w:rPr>
    </w:lvl>
    <w:lvl w:ilvl="4" w:tplc="B0484F9A">
      <w:numFmt w:val="bullet"/>
      <w:lvlText w:val="•"/>
      <w:lvlJc w:val="left"/>
      <w:pPr>
        <w:ind w:left="5166" w:hanging="169"/>
      </w:pPr>
      <w:rPr>
        <w:rFonts w:hint="default"/>
        <w:lang w:val="es-ES" w:eastAsia="en-US" w:bidi="ar-SA"/>
      </w:rPr>
    </w:lvl>
    <w:lvl w:ilvl="5" w:tplc="51A24CC6">
      <w:numFmt w:val="bullet"/>
      <w:lvlText w:val="•"/>
      <w:lvlJc w:val="left"/>
      <w:pPr>
        <w:ind w:left="6255" w:hanging="169"/>
      </w:pPr>
      <w:rPr>
        <w:rFonts w:hint="default"/>
        <w:lang w:val="es-ES" w:eastAsia="en-US" w:bidi="ar-SA"/>
      </w:rPr>
    </w:lvl>
    <w:lvl w:ilvl="6" w:tplc="BA840414">
      <w:numFmt w:val="bullet"/>
      <w:lvlText w:val="•"/>
      <w:lvlJc w:val="left"/>
      <w:pPr>
        <w:ind w:left="7344" w:hanging="169"/>
      </w:pPr>
      <w:rPr>
        <w:rFonts w:hint="default"/>
        <w:lang w:val="es-ES" w:eastAsia="en-US" w:bidi="ar-SA"/>
      </w:rPr>
    </w:lvl>
    <w:lvl w:ilvl="7" w:tplc="EA58DCA6">
      <w:numFmt w:val="bullet"/>
      <w:lvlText w:val="•"/>
      <w:lvlJc w:val="left"/>
      <w:pPr>
        <w:ind w:left="8433" w:hanging="169"/>
      </w:pPr>
      <w:rPr>
        <w:rFonts w:hint="default"/>
        <w:lang w:val="es-ES" w:eastAsia="en-US" w:bidi="ar-SA"/>
      </w:rPr>
    </w:lvl>
    <w:lvl w:ilvl="8" w:tplc="59A6D026">
      <w:numFmt w:val="bullet"/>
      <w:lvlText w:val="•"/>
      <w:lvlJc w:val="left"/>
      <w:pPr>
        <w:ind w:left="9522" w:hanging="169"/>
      </w:pPr>
      <w:rPr>
        <w:rFonts w:hint="default"/>
        <w:lang w:val="es-ES" w:eastAsia="en-US" w:bidi="ar-SA"/>
      </w:rPr>
    </w:lvl>
  </w:abstractNum>
  <w:abstractNum w:abstractNumId="57" w15:restartNumberingAfterBreak="0">
    <w:nsid w:val="3C84617F"/>
    <w:multiLevelType w:val="hybridMultilevel"/>
    <w:tmpl w:val="2FA2D492"/>
    <w:lvl w:ilvl="0" w:tplc="A4D61CEE">
      <w:start w:val="1"/>
      <w:numFmt w:val="upperRoman"/>
      <w:lvlText w:val="%1."/>
      <w:lvlJc w:val="left"/>
      <w:pPr>
        <w:ind w:left="1239" w:hanging="125"/>
      </w:pPr>
      <w:rPr>
        <w:rFonts w:ascii="Arial MT" w:eastAsia="Arial MT" w:hAnsi="Arial MT" w:cs="Arial MT" w:hint="default"/>
        <w:b w:val="0"/>
        <w:bCs w:val="0"/>
        <w:i w:val="0"/>
        <w:iCs w:val="0"/>
        <w:color w:val="0075BF"/>
        <w:spacing w:val="-1"/>
        <w:w w:val="99"/>
        <w:sz w:val="15"/>
        <w:szCs w:val="15"/>
        <w:lang w:val="es-ES" w:eastAsia="en-US" w:bidi="ar-SA"/>
      </w:rPr>
    </w:lvl>
    <w:lvl w:ilvl="1" w:tplc="4E403F98">
      <w:start w:val="1"/>
      <w:numFmt w:val="upperLetter"/>
      <w:lvlText w:val="%2."/>
      <w:lvlJc w:val="left"/>
      <w:pPr>
        <w:ind w:left="1917" w:hanging="193"/>
      </w:pPr>
      <w:rPr>
        <w:rFonts w:ascii="Arial MT" w:eastAsia="Arial MT" w:hAnsi="Arial MT" w:cs="Arial MT" w:hint="default"/>
        <w:b w:val="0"/>
        <w:bCs w:val="0"/>
        <w:i w:val="0"/>
        <w:iCs w:val="0"/>
        <w:spacing w:val="-1"/>
        <w:w w:val="105"/>
        <w:sz w:val="15"/>
        <w:szCs w:val="15"/>
        <w:lang w:val="es-ES" w:eastAsia="en-US" w:bidi="ar-SA"/>
      </w:rPr>
    </w:lvl>
    <w:lvl w:ilvl="2" w:tplc="27F67A2A">
      <w:numFmt w:val="bullet"/>
      <w:lvlText w:val="•"/>
      <w:lvlJc w:val="left"/>
      <w:pPr>
        <w:ind w:left="3006" w:hanging="193"/>
      </w:pPr>
      <w:rPr>
        <w:rFonts w:hint="default"/>
        <w:lang w:val="es-ES" w:eastAsia="en-US" w:bidi="ar-SA"/>
      </w:rPr>
    </w:lvl>
    <w:lvl w:ilvl="3" w:tplc="0E44C640">
      <w:numFmt w:val="bullet"/>
      <w:lvlText w:val="•"/>
      <w:lvlJc w:val="left"/>
      <w:pPr>
        <w:ind w:left="4093" w:hanging="193"/>
      </w:pPr>
      <w:rPr>
        <w:rFonts w:hint="default"/>
        <w:lang w:val="es-ES" w:eastAsia="en-US" w:bidi="ar-SA"/>
      </w:rPr>
    </w:lvl>
    <w:lvl w:ilvl="4" w:tplc="34A28B58">
      <w:numFmt w:val="bullet"/>
      <w:lvlText w:val="•"/>
      <w:lvlJc w:val="left"/>
      <w:pPr>
        <w:ind w:left="5180" w:hanging="193"/>
      </w:pPr>
      <w:rPr>
        <w:rFonts w:hint="default"/>
        <w:lang w:val="es-ES" w:eastAsia="en-US" w:bidi="ar-SA"/>
      </w:rPr>
    </w:lvl>
    <w:lvl w:ilvl="5" w:tplc="19762E6A">
      <w:numFmt w:val="bullet"/>
      <w:lvlText w:val="•"/>
      <w:lvlJc w:val="left"/>
      <w:pPr>
        <w:ind w:left="6266" w:hanging="193"/>
      </w:pPr>
      <w:rPr>
        <w:rFonts w:hint="default"/>
        <w:lang w:val="es-ES" w:eastAsia="en-US" w:bidi="ar-SA"/>
      </w:rPr>
    </w:lvl>
    <w:lvl w:ilvl="6" w:tplc="1DE40E34">
      <w:numFmt w:val="bullet"/>
      <w:lvlText w:val="•"/>
      <w:lvlJc w:val="left"/>
      <w:pPr>
        <w:ind w:left="7353" w:hanging="193"/>
      </w:pPr>
      <w:rPr>
        <w:rFonts w:hint="default"/>
        <w:lang w:val="es-ES" w:eastAsia="en-US" w:bidi="ar-SA"/>
      </w:rPr>
    </w:lvl>
    <w:lvl w:ilvl="7" w:tplc="2BD01B60">
      <w:numFmt w:val="bullet"/>
      <w:lvlText w:val="•"/>
      <w:lvlJc w:val="left"/>
      <w:pPr>
        <w:ind w:left="8440" w:hanging="193"/>
      </w:pPr>
      <w:rPr>
        <w:rFonts w:hint="default"/>
        <w:lang w:val="es-ES" w:eastAsia="en-US" w:bidi="ar-SA"/>
      </w:rPr>
    </w:lvl>
    <w:lvl w:ilvl="8" w:tplc="A9E89536">
      <w:numFmt w:val="bullet"/>
      <w:lvlText w:val="•"/>
      <w:lvlJc w:val="left"/>
      <w:pPr>
        <w:ind w:left="9526" w:hanging="193"/>
      </w:pPr>
      <w:rPr>
        <w:rFonts w:hint="default"/>
        <w:lang w:val="es-ES" w:eastAsia="en-US" w:bidi="ar-SA"/>
      </w:rPr>
    </w:lvl>
  </w:abstractNum>
  <w:abstractNum w:abstractNumId="58" w15:restartNumberingAfterBreak="0">
    <w:nsid w:val="3D510FCD"/>
    <w:multiLevelType w:val="hybridMultilevel"/>
    <w:tmpl w:val="B3881ECE"/>
    <w:lvl w:ilvl="0" w:tplc="140A0015">
      <w:start w:val="1"/>
      <w:numFmt w:val="upperLetter"/>
      <w:lvlText w:val="%1."/>
      <w:lvlJc w:val="left"/>
      <w:pPr>
        <w:ind w:left="1854" w:hanging="360"/>
      </w:pPr>
    </w:lvl>
    <w:lvl w:ilvl="1" w:tplc="140A0019" w:tentative="1">
      <w:start w:val="1"/>
      <w:numFmt w:val="lowerLetter"/>
      <w:lvlText w:val="%2."/>
      <w:lvlJc w:val="left"/>
      <w:pPr>
        <w:ind w:left="2574" w:hanging="360"/>
      </w:pPr>
    </w:lvl>
    <w:lvl w:ilvl="2" w:tplc="140A001B" w:tentative="1">
      <w:start w:val="1"/>
      <w:numFmt w:val="lowerRoman"/>
      <w:lvlText w:val="%3."/>
      <w:lvlJc w:val="right"/>
      <w:pPr>
        <w:ind w:left="3294" w:hanging="180"/>
      </w:pPr>
    </w:lvl>
    <w:lvl w:ilvl="3" w:tplc="140A000F" w:tentative="1">
      <w:start w:val="1"/>
      <w:numFmt w:val="decimal"/>
      <w:lvlText w:val="%4."/>
      <w:lvlJc w:val="left"/>
      <w:pPr>
        <w:ind w:left="4014" w:hanging="360"/>
      </w:pPr>
    </w:lvl>
    <w:lvl w:ilvl="4" w:tplc="140A0019" w:tentative="1">
      <w:start w:val="1"/>
      <w:numFmt w:val="lowerLetter"/>
      <w:lvlText w:val="%5."/>
      <w:lvlJc w:val="left"/>
      <w:pPr>
        <w:ind w:left="4734" w:hanging="360"/>
      </w:pPr>
    </w:lvl>
    <w:lvl w:ilvl="5" w:tplc="140A001B" w:tentative="1">
      <w:start w:val="1"/>
      <w:numFmt w:val="lowerRoman"/>
      <w:lvlText w:val="%6."/>
      <w:lvlJc w:val="right"/>
      <w:pPr>
        <w:ind w:left="5454" w:hanging="180"/>
      </w:pPr>
    </w:lvl>
    <w:lvl w:ilvl="6" w:tplc="140A000F" w:tentative="1">
      <w:start w:val="1"/>
      <w:numFmt w:val="decimal"/>
      <w:lvlText w:val="%7."/>
      <w:lvlJc w:val="left"/>
      <w:pPr>
        <w:ind w:left="6174" w:hanging="360"/>
      </w:pPr>
    </w:lvl>
    <w:lvl w:ilvl="7" w:tplc="140A0019" w:tentative="1">
      <w:start w:val="1"/>
      <w:numFmt w:val="lowerLetter"/>
      <w:lvlText w:val="%8."/>
      <w:lvlJc w:val="left"/>
      <w:pPr>
        <w:ind w:left="6894" w:hanging="360"/>
      </w:pPr>
    </w:lvl>
    <w:lvl w:ilvl="8" w:tplc="140A001B" w:tentative="1">
      <w:start w:val="1"/>
      <w:numFmt w:val="lowerRoman"/>
      <w:lvlText w:val="%9."/>
      <w:lvlJc w:val="right"/>
      <w:pPr>
        <w:ind w:left="7614" w:hanging="180"/>
      </w:pPr>
    </w:lvl>
  </w:abstractNum>
  <w:abstractNum w:abstractNumId="59" w15:restartNumberingAfterBreak="0">
    <w:nsid w:val="3E0B7A0A"/>
    <w:multiLevelType w:val="hybridMultilevel"/>
    <w:tmpl w:val="46D6D32C"/>
    <w:lvl w:ilvl="0" w:tplc="FFB42780">
      <w:start w:val="293"/>
      <w:numFmt w:val="decimal"/>
      <w:lvlText w:val="%1"/>
      <w:lvlJc w:val="left"/>
      <w:pPr>
        <w:ind w:left="1332" w:hanging="228"/>
      </w:pPr>
      <w:rPr>
        <w:rFonts w:hint="default"/>
        <w:spacing w:val="-1"/>
        <w:w w:val="106"/>
        <w:lang w:val="es-ES" w:eastAsia="en-US" w:bidi="ar-SA"/>
      </w:rPr>
    </w:lvl>
    <w:lvl w:ilvl="1" w:tplc="DB98E098">
      <w:numFmt w:val="bullet"/>
      <w:lvlText w:val="•"/>
      <w:lvlJc w:val="left"/>
      <w:pPr>
        <w:ind w:left="2376" w:hanging="228"/>
      </w:pPr>
      <w:rPr>
        <w:rFonts w:hint="default"/>
        <w:lang w:val="es-ES" w:eastAsia="en-US" w:bidi="ar-SA"/>
      </w:rPr>
    </w:lvl>
    <w:lvl w:ilvl="2" w:tplc="BA304CF2">
      <w:numFmt w:val="bullet"/>
      <w:lvlText w:val="•"/>
      <w:lvlJc w:val="left"/>
      <w:pPr>
        <w:ind w:left="3412" w:hanging="228"/>
      </w:pPr>
      <w:rPr>
        <w:rFonts w:hint="default"/>
        <w:lang w:val="es-ES" w:eastAsia="en-US" w:bidi="ar-SA"/>
      </w:rPr>
    </w:lvl>
    <w:lvl w:ilvl="3" w:tplc="55BA3FD4">
      <w:numFmt w:val="bullet"/>
      <w:lvlText w:val="•"/>
      <w:lvlJc w:val="left"/>
      <w:pPr>
        <w:ind w:left="4448" w:hanging="228"/>
      </w:pPr>
      <w:rPr>
        <w:rFonts w:hint="default"/>
        <w:lang w:val="es-ES" w:eastAsia="en-US" w:bidi="ar-SA"/>
      </w:rPr>
    </w:lvl>
    <w:lvl w:ilvl="4" w:tplc="0C2C58A0">
      <w:numFmt w:val="bullet"/>
      <w:lvlText w:val="•"/>
      <w:lvlJc w:val="left"/>
      <w:pPr>
        <w:ind w:left="5484" w:hanging="228"/>
      </w:pPr>
      <w:rPr>
        <w:rFonts w:hint="default"/>
        <w:lang w:val="es-ES" w:eastAsia="en-US" w:bidi="ar-SA"/>
      </w:rPr>
    </w:lvl>
    <w:lvl w:ilvl="5" w:tplc="5DD05CC8">
      <w:numFmt w:val="bullet"/>
      <w:lvlText w:val="•"/>
      <w:lvlJc w:val="left"/>
      <w:pPr>
        <w:ind w:left="6520" w:hanging="228"/>
      </w:pPr>
      <w:rPr>
        <w:rFonts w:hint="default"/>
        <w:lang w:val="es-ES" w:eastAsia="en-US" w:bidi="ar-SA"/>
      </w:rPr>
    </w:lvl>
    <w:lvl w:ilvl="6" w:tplc="C1C4104E">
      <w:numFmt w:val="bullet"/>
      <w:lvlText w:val="•"/>
      <w:lvlJc w:val="left"/>
      <w:pPr>
        <w:ind w:left="7556" w:hanging="228"/>
      </w:pPr>
      <w:rPr>
        <w:rFonts w:hint="default"/>
        <w:lang w:val="es-ES" w:eastAsia="en-US" w:bidi="ar-SA"/>
      </w:rPr>
    </w:lvl>
    <w:lvl w:ilvl="7" w:tplc="01846E1A">
      <w:numFmt w:val="bullet"/>
      <w:lvlText w:val="•"/>
      <w:lvlJc w:val="left"/>
      <w:pPr>
        <w:ind w:left="8592" w:hanging="228"/>
      </w:pPr>
      <w:rPr>
        <w:rFonts w:hint="default"/>
        <w:lang w:val="es-ES" w:eastAsia="en-US" w:bidi="ar-SA"/>
      </w:rPr>
    </w:lvl>
    <w:lvl w:ilvl="8" w:tplc="37787BF4">
      <w:numFmt w:val="bullet"/>
      <w:lvlText w:val="•"/>
      <w:lvlJc w:val="left"/>
      <w:pPr>
        <w:ind w:left="9628" w:hanging="228"/>
      </w:pPr>
      <w:rPr>
        <w:rFonts w:hint="default"/>
        <w:lang w:val="es-ES" w:eastAsia="en-US" w:bidi="ar-SA"/>
      </w:rPr>
    </w:lvl>
  </w:abstractNum>
  <w:abstractNum w:abstractNumId="60" w15:restartNumberingAfterBreak="0">
    <w:nsid w:val="425049FC"/>
    <w:multiLevelType w:val="hybridMultilevel"/>
    <w:tmpl w:val="2CAC2252"/>
    <w:lvl w:ilvl="0" w:tplc="245E8A18">
      <w:start w:val="1"/>
      <w:numFmt w:val="lowerLetter"/>
      <w:lvlText w:val="%1)"/>
      <w:lvlJc w:val="left"/>
      <w:pPr>
        <w:ind w:left="1876" w:hanging="193"/>
      </w:pPr>
      <w:rPr>
        <w:rFonts w:ascii="Arial MT" w:eastAsia="Arial MT" w:hAnsi="Arial MT" w:cs="Arial MT" w:hint="default"/>
        <w:b w:val="0"/>
        <w:bCs w:val="0"/>
        <w:i w:val="0"/>
        <w:iCs w:val="0"/>
        <w:color w:val="803108"/>
        <w:spacing w:val="0"/>
        <w:w w:val="103"/>
        <w:sz w:val="16"/>
        <w:szCs w:val="16"/>
        <w:lang w:val="es-ES" w:eastAsia="en-US" w:bidi="ar-SA"/>
      </w:rPr>
    </w:lvl>
    <w:lvl w:ilvl="1" w:tplc="2AFC61E4">
      <w:numFmt w:val="bullet"/>
      <w:lvlText w:val="•"/>
      <w:lvlJc w:val="left"/>
      <w:pPr>
        <w:ind w:left="2862" w:hanging="193"/>
      </w:pPr>
      <w:rPr>
        <w:rFonts w:hint="default"/>
        <w:lang w:val="es-ES" w:eastAsia="en-US" w:bidi="ar-SA"/>
      </w:rPr>
    </w:lvl>
    <w:lvl w:ilvl="2" w:tplc="C1C8B9C8">
      <w:numFmt w:val="bullet"/>
      <w:lvlText w:val="•"/>
      <w:lvlJc w:val="left"/>
      <w:pPr>
        <w:ind w:left="3844" w:hanging="193"/>
      </w:pPr>
      <w:rPr>
        <w:rFonts w:hint="default"/>
        <w:lang w:val="es-ES" w:eastAsia="en-US" w:bidi="ar-SA"/>
      </w:rPr>
    </w:lvl>
    <w:lvl w:ilvl="3" w:tplc="B3F2B9EE">
      <w:numFmt w:val="bullet"/>
      <w:lvlText w:val="•"/>
      <w:lvlJc w:val="left"/>
      <w:pPr>
        <w:ind w:left="4826" w:hanging="193"/>
      </w:pPr>
      <w:rPr>
        <w:rFonts w:hint="default"/>
        <w:lang w:val="es-ES" w:eastAsia="en-US" w:bidi="ar-SA"/>
      </w:rPr>
    </w:lvl>
    <w:lvl w:ilvl="4" w:tplc="5FB647A2">
      <w:numFmt w:val="bullet"/>
      <w:lvlText w:val="•"/>
      <w:lvlJc w:val="left"/>
      <w:pPr>
        <w:ind w:left="5808" w:hanging="193"/>
      </w:pPr>
      <w:rPr>
        <w:rFonts w:hint="default"/>
        <w:lang w:val="es-ES" w:eastAsia="en-US" w:bidi="ar-SA"/>
      </w:rPr>
    </w:lvl>
    <w:lvl w:ilvl="5" w:tplc="7316971A">
      <w:numFmt w:val="bullet"/>
      <w:lvlText w:val="•"/>
      <w:lvlJc w:val="left"/>
      <w:pPr>
        <w:ind w:left="6790" w:hanging="193"/>
      </w:pPr>
      <w:rPr>
        <w:rFonts w:hint="default"/>
        <w:lang w:val="es-ES" w:eastAsia="en-US" w:bidi="ar-SA"/>
      </w:rPr>
    </w:lvl>
    <w:lvl w:ilvl="6" w:tplc="6104352E">
      <w:numFmt w:val="bullet"/>
      <w:lvlText w:val="•"/>
      <w:lvlJc w:val="left"/>
      <w:pPr>
        <w:ind w:left="7772" w:hanging="193"/>
      </w:pPr>
      <w:rPr>
        <w:rFonts w:hint="default"/>
        <w:lang w:val="es-ES" w:eastAsia="en-US" w:bidi="ar-SA"/>
      </w:rPr>
    </w:lvl>
    <w:lvl w:ilvl="7" w:tplc="757EE464">
      <w:numFmt w:val="bullet"/>
      <w:lvlText w:val="•"/>
      <w:lvlJc w:val="left"/>
      <w:pPr>
        <w:ind w:left="8754" w:hanging="193"/>
      </w:pPr>
      <w:rPr>
        <w:rFonts w:hint="default"/>
        <w:lang w:val="es-ES" w:eastAsia="en-US" w:bidi="ar-SA"/>
      </w:rPr>
    </w:lvl>
    <w:lvl w:ilvl="8" w:tplc="91DAD1DC">
      <w:numFmt w:val="bullet"/>
      <w:lvlText w:val="•"/>
      <w:lvlJc w:val="left"/>
      <w:pPr>
        <w:ind w:left="9736" w:hanging="193"/>
      </w:pPr>
      <w:rPr>
        <w:rFonts w:hint="default"/>
        <w:lang w:val="es-ES" w:eastAsia="en-US" w:bidi="ar-SA"/>
      </w:rPr>
    </w:lvl>
  </w:abstractNum>
  <w:abstractNum w:abstractNumId="61" w15:restartNumberingAfterBreak="0">
    <w:nsid w:val="42D76925"/>
    <w:multiLevelType w:val="hybridMultilevel"/>
    <w:tmpl w:val="38B869DC"/>
    <w:lvl w:ilvl="0" w:tplc="B23ACB3C">
      <w:start w:val="1"/>
      <w:numFmt w:val="upperRoman"/>
      <w:lvlText w:val="%1."/>
      <w:lvlJc w:val="left"/>
      <w:pPr>
        <w:ind w:left="1239" w:hanging="125"/>
      </w:pPr>
      <w:rPr>
        <w:rFonts w:ascii="Arial MT" w:eastAsia="Arial MT" w:hAnsi="Arial MT" w:cs="Arial MT" w:hint="default"/>
        <w:b w:val="0"/>
        <w:bCs w:val="0"/>
        <w:i w:val="0"/>
        <w:iCs w:val="0"/>
        <w:color w:val="auto"/>
        <w:spacing w:val="-1"/>
        <w:w w:val="100"/>
        <w:sz w:val="15"/>
        <w:szCs w:val="15"/>
        <w:lang w:val="es-ES" w:eastAsia="en-US" w:bidi="ar-SA"/>
      </w:rPr>
    </w:lvl>
    <w:lvl w:ilvl="1" w:tplc="3A125726">
      <w:start w:val="1"/>
      <w:numFmt w:val="upperLetter"/>
      <w:lvlText w:val="%2."/>
      <w:lvlJc w:val="left"/>
      <w:pPr>
        <w:ind w:left="1908" w:hanging="183"/>
      </w:pPr>
      <w:rPr>
        <w:rFonts w:ascii="Arial MT" w:eastAsia="Arial MT" w:hAnsi="Arial MT" w:cs="Arial MT" w:hint="default"/>
        <w:b w:val="0"/>
        <w:bCs w:val="0"/>
        <w:i w:val="0"/>
        <w:iCs w:val="0"/>
        <w:spacing w:val="-1"/>
        <w:w w:val="100"/>
        <w:sz w:val="15"/>
        <w:szCs w:val="15"/>
        <w:lang w:val="es-ES" w:eastAsia="en-US" w:bidi="ar-SA"/>
      </w:rPr>
    </w:lvl>
    <w:lvl w:ilvl="2" w:tplc="A672F3DE">
      <w:numFmt w:val="bullet"/>
      <w:lvlText w:val="•"/>
      <w:lvlJc w:val="left"/>
      <w:pPr>
        <w:ind w:left="2988" w:hanging="183"/>
      </w:pPr>
      <w:rPr>
        <w:rFonts w:hint="default"/>
        <w:lang w:val="es-ES" w:eastAsia="en-US" w:bidi="ar-SA"/>
      </w:rPr>
    </w:lvl>
    <w:lvl w:ilvl="3" w:tplc="109699CC">
      <w:numFmt w:val="bullet"/>
      <w:lvlText w:val="•"/>
      <w:lvlJc w:val="left"/>
      <w:pPr>
        <w:ind w:left="4077" w:hanging="183"/>
      </w:pPr>
      <w:rPr>
        <w:rFonts w:hint="default"/>
        <w:lang w:val="es-ES" w:eastAsia="en-US" w:bidi="ar-SA"/>
      </w:rPr>
    </w:lvl>
    <w:lvl w:ilvl="4" w:tplc="98D83C9C">
      <w:numFmt w:val="bullet"/>
      <w:lvlText w:val="•"/>
      <w:lvlJc w:val="left"/>
      <w:pPr>
        <w:ind w:left="5166" w:hanging="183"/>
      </w:pPr>
      <w:rPr>
        <w:rFonts w:hint="default"/>
        <w:lang w:val="es-ES" w:eastAsia="en-US" w:bidi="ar-SA"/>
      </w:rPr>
    </w:lvl>
    <w:lvl w:ilvl="5" w:tplc="84ECEF12">
      <w:numFmt w:val="bullet"/>
      <w:lvlText w:val="•"/>
      <w:lvlJc w:val="left"/>
      <w:pPr>
        <w:ind w:left="6255" w:hanging="183"/>
      </w:pPr>
      <w:rPr>
        <w:rFonts w:hint="default"/>
        <w:lang w:val="es-ES" w:eastAsia="en-US" w:bidi="ar-SA"/>
      </w:rPr>
    </w:lvl>
    <w:lvl w:ilvl="6" w:tplc="359E3CCE">
      <w:numFmt w:val="bullet"/>
      <w:lvlText w:val="•"/>
      <w:lvlJc w:val="left"/>
      <w:pPr>
        <w:ind w:left="7344" w:hanging="183"/>
      </w:pPr>
      <w:rPr>
        <w:rFonts w:hint="default"/>
        <w:lang w:val="es-ES" w:eastAsia="en-US" w:bidi="ar-SA"/>
      </w:rPr>
    </w:lvl>
    <w:lvl w:ilvl="7" w:tplc="057839E6">
      <w:numFmt w:val="bullet"/>
      <w:lvlText w:val="•"/>
      <w:lvlJc w:val="left"/>
      <w:pPr>
        <w:ind w:left="8433" w:hanging="183"/>
      </w:pPr>
      <w:rPr>
        <w:rFonts w:hint="default"/>
        <w:lang w:val="es-ES" w:eastAsia="en-US" w:bidi="ar-SA"/>
      </w:rPr>
    </w:lvl>
    <w:lvl w:ilvl="8" w:tplc="9B929BCE">
      <w:numFmt w:val="bullet"/>
      <w:lvlText w:val="•"/>
      <w:lvlJc w:val="left"/>
      <w:pPr>
        <w:ind w:left="9522" w:hanging="183"/>
      </w:pPr>
      <w:rPr>
        <w:rFonts w:hint="default"/>
        <w:lang w:val="es-ES" w:eastAsia="en-US" w:bidi="ar-SA"/>
      </w:rPr>
    </w:lvl>
  </w:abstractNum>
  <w:abstractNum w:abstractNumId="62" w15:restartNumberingAfterBreak="0">
    <w:nsid w:val="43391CAD"/>
    <w:multiLevelType w:val="hybridMultilevel"/>
    <w:tmpl w:val="A4DAA826"/>
    <w:lvl w:ilvl="0" w:tplc="68003A26">
      <w:numFmt w:val="bullet"/>
      <w:lvlText w:val="•"/>
      <w:lvlJc w:val="left"/>
      <w:pPr>
        <w:ind w:left="1351" w:hanging="106"/>
      </w:pPr>
      <w:rPr>
        <w:rFonts w:ascii="Arial MT" w:eastAsia="Arial MT" w:hAnsi="Arial MT" w:cs="Arial MT" w:hint="default"/>
        <w:spacing w:val="0"/>
        <w:w w:val="99"/>
        <w:lang w:val="es-ES" w:eastAsia="en-US" w:bidi="ar-SA"/>
      </w:rPr>
    </w:lvl>
    <w:lvl w:ilvl="1" w:tplc="345E50AE">
      <w:numFmt w:val="bullet"/>
      <w:lvlText w:val="•"/>
      <w:lvlJc w:val="left"/>
      <w:pPr>
        <w:ind w:left="2394" w:hanging="106"/>
      </w:pPr>
      <w:rPr>
        <w:rFonts w:hint="default"/>
        <w:lang w:val="es-ES" w:eastAsia="en-US" w:bidi="ar-SA"/>
      </w:rPr>
    </w:lvl>
    <w:lvl w:ilvl="2" w:tplc="8076B1BA">
      <w:numFmt w:val="bullet"/>
      <w:lvlText w:val="•"/>
      <w:lvlJc w:val="left"/>
      <w:pPr>
        <w:ind w:left="3428" w:hanging="106"/>
      </w:pPr>
      <w:rPr>
        <w:rFonts w:hint="default"/>
        <w:lang w:val="es-ES" w:eastAsia="en-US" w:bidi="ar-SA"/>
      </w:rPr>
    </w:lvl>
    <w:lvl w:ilvl="3" w:tplc="A986E88C">
      <w:numFmt w:val="bullet"/>
      <w:lvlText w:val="•"/>
      <w:lvlJc w:val="left"/>
      <w:pPr>
        <w:ind w:left="4462" w:hanging="106"/>
      </w:pPr>
      <w:rPr>
        <w:rFonts w:hint="default"/>
        <w:lang w:val="es-ES" w:eastAsia="en-US" w:bidi="ar-SA"/>
      </w:rPr>
    </w:lvl>
    <w:lvl w:ilvl="4" w:tplc="C84EE46E">
      <w:numFmt w:val="bullet"/>
      <w:lvlText w:val="•"/>
      <w:lvlJc w:val="left"/>
      <w:pPr>
        <w:ind w:left="5496" w:hanging="106"/>
      </w:pPr>
      <w:rPr>
        <w:rFonts w:hint="default"/>
        <w:lang w:val="es-ES" w:eastAsia="en-US" w:bidi="ar-SA"/>
      </w:rPr>
    </w:lvl>
    <w:lvl w:ilvl="5" w:tplc="D07EED88">
      <w:numFmt w:val="bullet"/>
      <w:lvlText w:val="•"/>
      <w:lvlJc w:val="left"/>
      <w:pPr>
        <w:ind w:left="6530" w:hanging="106"/>
      </w:pPr>
      <w:rPr>
        <w:rFonts w:hint="default"/>
        <w:lang w:val="es-ES" w:eastAsia="en-US" w:bidi="ar-SA"/>
      </w:rPr>
    </w:lvl>
    <w:lvl w:ilvl="6" w:tplc="05FA8E7C">
      <w:numFmt w:val="bullet"/>
      <w:lvlText w:val="•"/>
      <w:lvlJc w:val="left"/>
      <w:pPr>
        <w:ind w:left="7564" w:hanging="106"/>
      </w:pPr>
      <w:rPr>
        <w:rFonts w:hint="default"/>
        <w:lang w:val="es-ES" w:eastAsia="en-US" w:bidi="ar-SA"/>
      </w:rPr>
    </w:lvl>
    <w:lvl w:ilvl="7" w:tplc="AC1AD630">
      <w:numFmt w:val="bullet"/>
      <w:lvlText w:val="•"/>
      <w:lvlJc w:val="left"/>
      <w:pPr>
        <w:ind w:left="8598" w:hanging="106"/>
      </w:pPr>
      <w:rPr>
        <w:rFonts w:hint="default"/>
        <w:lang w:val="es-ES" w:eastAsia="en-US" w:bidi="ar-SA"/>
      </w:rPr>
    </w:lvl>
    <w:lvl w:ilvl="8" w:tplc="A972FC76">
      <w:numFmt w:val="bullet"/>
      <w:lvlText w:val="•"/>
      <w:lvlJc w:val="left"/>
      <w:pPr>
        <w:ind w:left="9632" w:hanging="106"/>
      </w:pPr>
      <w:rPr>
        <w:rFonts w:hint="default"/>
        <w:lang w:val="es-ES" w:eastAsia="en-US" w:bidi="ar-SA"/>
      </w:rPr>
    </w:lvl>
  </w:abstractNum>
  <w:abstractNum w:abstractNumId="63" w15:restartNumberingAfterBreak="0">
    <w:nsid w:val="4365316A"/>
    <w:multiLevelType w:val="hybridMultilevel"/>
    <w:tmpl w:val="C5549EA4"/>
    <w:lvl w:ilvl="0" w:tplc="921A640C">
      <w:numFmt w:val="bullet"/>
      <w:lvlText w:val="•"/>
      <w:lvlJc w:val="left"/>
      <w:pPr>
        <w:ind w:left="1560" w:hanging="101"/>
      </w:pPr>
      <w:rPr>
        <w:rFonts w:ascii="Arial MT" w:eastAsia="Arial MT" w:hAnsi="Arial MT" w:cs="Arial MT" w:hint="default"/>
        <w:b w:val="0"/>
        <w:bCs w:val="0"/>
        <w:i w:val="0"/>
        <w:iCs w:val="0"/>
        <w:color w:val="0075BF"/>
        <w:spacing w:val="0"/>
        <w:w w:val="100"/>
        <w:sz w:val="16"/>
        <w:szCs w:val="16"/>
        <w:lang w:val="es-ES" w:eastAsia="en-US" w:bidi="ar-SA"/>
      </w:rPr>
    </w:lvl>
    <w:lvl w:ilvl="1" w:tplc="AC363100">
      <w:numFmt w:val="bullet"/>
      <w:lvlText w:val="•"/>
      <w:lvlJc w:val="left"/>
      <w:pPr>
        <w:ind w:left="2574" w:hanging="101"/>
      </w:pPr>
      <w:rPr>
        <w:rFonts w:hint="default"/>
        <w:lang w:val="es-ES" w:eastAsia="en-US" w:bidi="ar-SA"/>
      </w:rPr>
    </w:lvl>
    <w:lvl w:ilvl="2" w:tplc="2A9AADE4">
      <w:numFmt w:val="bullet"/>
      <w:lvlText w:val="•"/>
      <w:lvlJc w:val="left"/>
      <w:pPr>
        <w:ind w:left="3588" w:hanging="101"/>
      </w:pPr>
      <w:rPr>
        <w:rFonts w:hint="default"/>
        <w:lang w:val="es-ES" w:eastAsia="en-US" w:bidi="ar-SA"/>
      </w:rPr>
    </w:lvl>
    <w:lvl w:ilvl="3" w:tplc="711A4DC0">
      <w:numFmt w:val="bullet"/>
      <w:lvlText w:val="•"/>
      <w:lvlJc w:val="left"/>
      <w:pPr>
        <w:ind w:left="4602" w:hanging="101"/>
      </w:pPr>
      <w:rPr>
        <w:rFonts w:hint="default"/>
        <w:lang w:val="es-ES" w:eastAsia="en-US" w:bidi="ar-SA"/>
      </w:rPr>
    </w:lvl>
    <w:lvl w:ilvl="4" w:tplc="452C04C6">
      <w:numFmt w:val="bullet"/>
      <w:lvlText w:val="•"/>
      <w:lvlJc w:val="left"/>
      <w:pPr>
        <w:ind w:left="5616" w:hanging="101"/>
      </w:pPr>
      <w:rPr>
        <w:rFonts w:hint="default"/>
        <w:lang w:val="es-ES" w:eastAsia="en-US" w:bidi="ar-SA"/>
      </w:rPr>
    </w:lvl>
    <w:lvl w:ilvl="5" w:tplc="93F45F1A">
      <w:numFmt w:val="bullet"/>
      <w:lvlText w:val="•"/>
      <w:lvlJc w:val="left"/>
      <w:pPr>
        <w:ind w:left="6630" w:hanging="101"/>
      </w:pPr>
      <w:rPr>
        <w:rFonts w:hint="default"/>
        <w:lang w:val="es-ES" w:eastAsia="en-US" w:bidi="ar-SA"/>
      </w:rPr>
    </w:lvl>
    <w:lvl w:ilvl="6" w:tplc="EC4CC808">
      <w:numFmt w:val="bullet"/>
      <w:lvlText w:val="•"/>
      <w:lvlJc w:val="left"/>
      <w:pPr>
        <w:ind w:left="7644" w:hanging="101"/>
      </w:pPr>
      <w:rPr>
        <w:rFonts w:hint="default"/>
        <w:lang w:val="es-ES" w:eastAsia="en-US" w:bidi="ar-SA"/>
      </w:rPr>
    </w:lvl>
    <w:lvl w:ilvl="7" w:tplc="6262A95C">
      <w:numFmt w:val="bullet"/>
      <w:lvlText w:val="•"/>
      <w:lvlJc w:val="left"/>
      <w:pPr>
        <w:ind w:left="8658" w:hanging="101"/>
      </w:pPr>
      <w:rPr>
        <w:rFonts w:hint="default"/>
        <w:lang w:val="es-ES" w:eastAsia="en-US" w:bidi="ar-SA"/>
      </w:rPr>
    </w:lvl>
    <w:lvl w:ilvl="8" w:tplc="D4684030">
      <w:numFmt w:val="bullet"/>
      <w:lvlText w:val="•"/>
      <w:lvlJc w:val="left"/>
      <w:pPr>
        <w:ind w:left="9672" w:hanging="101"/>
      </w:pPr>
      <w:rPr>
        <w:rFonts w:hint="default"/>
        <w:lang w:val="es-ES" w:eastAsia="en-US" w:bidi="ar-SA"/>
      </w:rPr>
    </w:lvl>
  </w:abstractNum>
  <w:abstractNum w:abstractNumId="64" w15:restartNumberingAfterBreak="0">
    <w:nsid w:val="455A593E"/>
    <w:multiLevelType w:val="hybridMultilevel"/>
    <w:tmpl w:val="F440EFAC"/>
    <w:lvl w:ilvl="0" w:tplc="59EE6FAA">
      <w:start w:val="20"/>
      <w:numFmt w:val="decimal"/>
      <w:lvlText w:val="%1"/>
      <w:lvlJc w:val="left"/>
      <w:pPr>
        <w:ind w:left="1281" w:hanging="177"/>
      </w:pPr>
      <w:rPr>
        <w:rFonts w:hint="default"/>
        <w:spacing w:val="-1"/>
        <w:w w:val="105"/>
        <w:lang w:val="es-ES" w:eastAsia="en-US" w:bidi="ar-SA"/>
      </w:rPr>
    </w:lvl>
    <w:lvl w:ilvl="1" w:tplc="6CCE777A">
      <w:numFmt w:val="bullet"/>
      <w:lvlText w:val="•"/>
      <w:lvlJc w:val="left"/>
      <w:pPr>
        <w:ind w:left="2322" w:hanging="177"/>
      </w:pPr>
      <w:rPr>
        <w:rFonts w:hint="default"/>
        <w:lang w:val="es-ES" w:eastAsia="en-US" w:bidi="ar-SA"/>
      </w:rPr>
    </w:lvl>
    <w:lvl w:ilvl="2" w:tplc="EB28FFBA">
      <w:numFmt w:val="bullet"/>
      <w:lvlText w:val="•"/>
      <w:lvlJc w:val="left"/>
      <w:pPr>
        <w:ind w:left="3364" w:hanging="177"/>
      </w:pPr>
      <w:rPr>
        <w:rFonts w:hint="default"/>
        <w:lang w:val="es-ES" w:eastAsia="en-US" w:bidi="ar-SA"/>
      </w:rPr>
    </w:lvl>
    <w:lvl w:ilvl="3" w:tplc="21C6FBFE">
      <w:numFmt w:val="bullet"/>
      <w:lvlText w:val="•"/>
      <w:lvlJc w:val="left"/>
      <w:pPr>
        <w:ind w:left="4406" w:hanging="177"/>
      </w:pPr>
      <w:rPr>
        <w:rFonts w:hint="default"/>
        <w:lang w:val="es-ES" w:eastAsia="en-US" w:bidi="ar-SA"/>
      </w:rPr>
    </w:lvl>
    <w:lvl w:ilvl="4" w:tplc="F3B050A0">
      <w:numFmt w:val="bullet"/>
      <w:lvlText w:val="•"/>
      <w:lvlJc w:val="left"/>
      <w:pPr>
        <w:ind w:left="5448" w:hanging="177"/>
      </w:pPr>
      <w:rPr>
        <w:rFonts w:hint="default"/>
        <w:lang w:val="es-ES" w:eastAsia="en-US" w:bidi="ar-SA"/>
      </w:rPr>
    </w:lvl>
    <w:lvl w:ilvl="5" w:tplc="7974C4DC">
      <w:numFmt w:val="bullet"/>
      <w:lvlText w:val="•"/>
      <w:lvlJc w:val="left"/>
      <w:pPr>
        <w:ind w:left="6490" w:hanging="177"/>
      </w:pPr>
      <w:rPr>
        <w:rFonts w:hint="default"/>
        <w:lang w:val="es-ES" w:eastAsia="en-US" w:bidi="ar-SA"/>
      </w:rPr>
    </w:lvl>
    <w:lvl w:ilvl="6" w:tplc="D0F27406">
      <w:numFmt w:val="bullet"/>
      <w:lvlText w:val="•"/>
      <w:lvlJc w:val="left"/>
      <w:pPr>
        <w:ind w:left="7532" w:hanging="177"/>
      </w:pPr>
      <w:rPr>
        <w:rFonts w:hint="default"/>
        <w:lang w:val="es-ES" w:eastAsia="en-US" w:bidi="ar-SA"/>
      </w:rPr>
    </w:lvl>
    <w:lvl w:ilvl="7" w:tplc="A3C06A12">
      <w:numFmt w:val="bullet"/>
      <w:lvlText w:val="•"/>
      <w:lvlJc w:val="left"/>
      <w:pPr>
        <w:ind w:left="8574" w:hanging="177"/>
      </w:pPr>
      <w:rPr>
        <w:rFonts w:hint="default"/>
        <w:lang w:val="es-ES" w:eastAsia="en-US" w:bidi="ar-SA"/>
      </w:rPr>
    </w:lvl>
    <w:lvl w:ilvl="8" w:tplc="90DCF466">
      <w:numFmt w:val="bullet"/>
      <w:lvlText w:val="•"/>
      <w:lvlJc w:val="left"/>
      <w:pPr>
        <w:ind w:left="9616" w:hanging="177"/>
      </w:pPr>
      <w:rPr>
        <w:rFonts w:hint="default"/>
        <w:lang w:val="es-ES" w:eastAsia="en-US" w:bidi="ar-SA"/>
      </w:rPr>
    </w:lvl>
  </w:abstractNum>
  <w:abstractNum w:abstractNumId="65" w15:restartNumberingAfterBreak="0">
    <w:nsid w:val="45B4605B"/>
    <w:multiLevelType w:val="hybridMultilevel"/>
    <w:tmpl w:val="7D52272E"/>
    <w:lvl w:ilvl="0" w:tplc="7EC835A0">
      <w:start w:val="1"/>
      <w:numFmt w:val="lowerLetter"/>
      <w:lvlText w:val="%1)"/>
      <w:lvlJc w:val="left"/>
      <w:pPr>
        <w:ind w:left="1342" w:hanging="227"/>
      </w:pPr>
      <w:rPr>
        <w:rFonts w:hint="default"/>
        <w:spacing w:val="0"/>
        <w:w w:val="102"/>
        <w:lang w:val="es-ES" w:eastAsia="en-US" w:bidi="ar-SA"/>
      </w:rPr>
    </w:lvl>
    <w:lvl w:ilvl="1" w:tplc="CCF44182">
      <w:numFmt w:val="bullet"/>
      <w:lvlText w:val="•"/>
      <w:lvlJc w:val="left"/>
      <w:pPr>
        <w:ind w:left="2376" w:hanging="227"/>
      </w:pPr>
      <w:rPr>
        <w:rFonts w:hint="default"/>
        <w:lang w:val="es-ES" w:eastAsia="en-US" w:bidi="ar-SA"/>
      </w:rPr>
    </w:lvl>
    <w:lvl w:ilvl="2" w:tplc="66E02AD0">
      <w:numFmt w:val="bullet"/>
      <w:lvlText w:val="•"/>
      <w:lvlJc w:val="left"/>
      <w:pPr>
        <w:ind w:left="3412" w:hanging="227"/>
      </w:pPr>
      <w:rPr>
        <w:rFonts w:hint="default"/>
        <w:lang w:val="es-ES" w:eastAsia="en-US" w:bidi="ar-SA"/>
      </w:rPr>
    </w:lvl>
    <w:lvl w:ilvl="3" w:tplc="F9421684">
      <w:numFmt w:val="bullet"/>
      <w:lvlText w:val="•"/>
      <w:lvlJc w:val="left"/>
      <w:pPr>
        <w:ind w:left="4448" w:hanging="227"/>
      </w:pPr>
      <w:rPr>
        <w:rFonts w:hint="default"/>
        <w:lang w:val="es-ES" w:eastAsia="en-US" w:bidi="ar-SA"/>
      </w:rPr>
    </w:lvl>
    <w:lvl w:ilvl="4" w:tplc="3A4E0A4A">
      <w:numFmt w:val="bullet"/>
      <w:lvlText w:val="•"/>
      <w:lvlJc w:val="left"/>
      <w:pPr>
        <w:ind w:left="5484" w:hanging="227"/>
      </w:pPr>
      <w:rPr>
        <w:rFonts w:hint="default"/>
        <w:lang w:val="es-ES" w:eastAsia="en-US" w:bidi="ar-SA"/>
      </w:rPr>
    </w:lvl>
    <w:lvl w:ilvl="5" w:tplc="13DAEF5A">
      <w:numFmt w:val="bullet"/>
      <w:lvlText w:val="•"/>
      <w:lvlJc w:val="left"/>
      <w:pPr>
        <w:ind w:left="6520" w:hanging="227"/>
      </w:pPr>
      <w:rPr>
        <w:rFonts w:hint="default"/>
        <w:lang w:val="es-ES" w:eastAsia="en-US" w:bidi="ar-SA"/>
      </w:rPr>
    </w:lvl>
    <w:lvl w:ilvl="6" w:tplc="F9D02D26">
      <w:numFmt w:val="bullet"/>
      <w:lvlText w:val="•"/>
      <w:lvlJc w:val="left"/>
      <w:pPr>
        <w:ind w:left="7556" w:hanging="227"/>
      </w:pPr>
      <w:rPr>
        <w:rFonts w:hint="default"/>
        <w:lang w:val="es-ES" w:eastAsia="en-US" w:bidi="ar-SA"/>
      </w:rPr>
    </w:lvl>
    <w:lvl w:ilvl="7" w:tplc="982416E4">
      <w:numFmt w:val="bullet"/>
      <w:lvlText w:val="•"/>
      <w:lvlJc w:val="left"/>
      <w:pPr>
        <w:ind w:left="8592" w:hanging="227"/>
      </w:pPr>
      <w:rPr>
        <w:rFonts w:hint="default"/>
        <w:lang w:val="es-ES" w:eastAsia="en-US" w:bidi="ar-SA"/>
      </w:rPr>
    </w:lvl>
    <w:lvl w:ilvl="8" w:tplc="6896DDCA">
      <w:numFmt w:val="bullet"/>
      <w:lvlText w:val="•"/>
      <w:lvlJc w:val="left"/>
      <w:pPr>
        <w:ind w:left="9628" w:hanging="227"/>
      </w:pPr>
      <w:rPr>
        <w:rFonts w:hint="default"/>
        <w:lang w:val="es-ES" w:eastAsia="en-US" w:bidi="ar-SA"/>
      </w:rPr>
    </w:lvl>
  </w:abstractNum>
  <w:abstractNum w:abstractNumId="66" w15:restartNumberingAfterBreak="0">
    <w:nsid w:val="46FC6D3D"/>
    <w:multiLevelType w:val="hybridMultilevel"/>
    <w:tmpl w:val="218419E2"/>
    <w:lvl w:ilvl="0" w:tplc="6582AD68">
      <w:start w:val="1"/>
      <w:numFmt w:val="upperRoman"/>
      <w:lvlText w:val="%1."/>
      <w:lvlJc w:val="left"/>
      <w:pPr>
        <w:ind w:left="1344" w:hanging="222"/>
      </w:pPr>
      <w:rPr>
        <w:rFonts w:hint="default"/>
        <w:spacing w:val="-1"/>
        <w:w w:val="95"/>
        <w:lang w:val="es-ES" w:eastAsia="en-US" w:bidi="ar-SA"/>
      </w:rPr>
    </w:lvl>
    <w:lvl w:ilvl="1" w:tplc="F894D53E">
      <w:start w:val="1"/>
      <w:numFmt w:val="upperLetter"/>
      <w:lvlText w:val="%2."/>
      <w:lvlJc w:val="left"/>
      <w:pPr>
        <w:ind w:left="1472" w:hanging="373"/>
      </w:pPr>
      <w:rPr>
        <w:rFonts w:hint="default"/>
        <w:spacing w:val="-1"/>
        <w:w w:val="101"/>
        <w:lang w:val="es-ES" w:eastAsia="en-US" w:bidi="ar-SA"/>
      </w:rPr>
    </w:lvl>
    <w:lvl w:ilvl="2" w:tplc="25DCD416">
      <w:start w:val="1"/>
      <w:numFmt w:val="upperRoman"/>
      <w:lvlText w:val="%3."/>
      <w:lvlJc w:val="left"/>
      <w:pPr>
        <w:ind w:left="1343" w:hanging="373"/>
      </w:pPr>
      <w:rPr>
        <w:rFonts w:ascii="Arial MT" w:eastAsia="Arial MT" w:hAnsi="Arial MT" w:cs="Arial MT" w:hint="default"/>
        <w:b w:val="0"/>
        <w:bCs w:val="0"/>
        <w:i w:val="0"/>
        <w:iCs w:val="0"/>
        <w:color w:val="009EDB"/>
        <w:spacing w:val="-1"/>
        <w:w w:val="101"/>
        <w:sz w:val="26"/>
        <w:szCs w:val="26"/>
        <w:lang w:val="es-ES" w:eastAsia="en-US" w:bidi="ar-SA"/>
      </w:rPr>
    </w:lvl>
    <w:lvl w:ilvl="3" w:tplc="D8A4884E">
      <w:start w:val="1"/>
      <w:numFmt w:val="upperLetter"/>
      <w:lvlText w:val="%4."/>
      <w:lvlJc w:val="left"/>
      <w:pPr>
        <w:ind w:left="1423" w:hanging="373"/>
      </w:pPr>
      <w:rPr>
        <w:rFonts w:hint="default"/>
        <w:spacing w:val="-1"/>
        <w:w w:val="101"/>
        <w:lang w:val="es-ES" w:eastAsia="en-US" w:bidi="ar-SA"/>
      </w:rPr>
    </w:lvl>
    <w:lvl w:ilvl="4" w:tplc="BA6AFC02">
      <w:numFmt w:val="bullet"/>
      <w:lvlText w:val="•"/>
      <w:lvlJc w:val="left"/>
      <w:pPr>
        <w:ind w:left="2940" w:hanging="373"/>
      </w:pPr>
      <w:rPr>
        <w:rFonts w:hint="default"/>
        <w:lang w:val="es-ES" w:eastAsia="en-US" w:bidi="ar-SA"/>
      </w:rPr>
    </w:lvl>
    <w:lvl w:ilvl="5" w:tplc="98F2FD9E">
      <w:numFmt w:val="bullet"/>
      <w:lvlText w:val="•"/>
      <w:lvlJc w:val="left"/>
      <w:pPr>
        <w:ind w:left="4400" w:hanging="373"/>
      </w:pPr>
      <w:rPr>
        <w:rFonts w:hint="default"/>
        <w:lang w:val="es-ES" w:eastAsia="en-US" w:bidi="ar-SA"/>
      </w:rPr>
    </w:lvl>
    <w:lvl w:ilvl="6" w:tplc="55E84046">
      <w:numFmt w:val="bullet"/>
      <w:lvlText w:val="•"/>
      <w:lvlJc w:val="left"/>
      <w:pPr>
        <w:ind w:left="5860" w:hanging="373"/>
      </w:pPr>
      <w:rPr>
        <w:rFonts w:hint="default"/>
        <w:lang w:val="es-ES" w:eastAsia="en-US" w:bidi="ar-SA"/>
      </w:rPr>
    </w:lvl>
    <w:lvl w:ilvl="7" w:tplc="13306D02">
      <w:numFmt w:val="bullet"/>
      <w:lvlText w:val="•"/>
      <w:lvlJc w:val="left"/>
      <w:pPr>
        <w:ind w:left="7320" w:hanging="373"/>
      </w:pPr>
      <w:rPr>
        <w:rFonts w:hint="default"/>
        <w:lang w:val="es-ES" w:eastAsia="en-US" w:bidi="ar-SA"/>
      </w:rPr>
    </w:lvl>
    <w:lvl w:ilvl="8" w:tplc="5AB0738A">
      <w:numFmt w:val="bullet"/>
      <w:lvlText w:val="•"/>
      <w:lvlJc w:val="left"/>
      <w:pPr>
        <w:ind w:left="8780" w:hanging="373"/>
      </w:pPr>
      <w:rPr>
        <w:rFonts w:hint="default"/>
        <w:lang w:val="es-ES" w:eastAsia="en-US" w:bidi="ar-SA"/>
      </w:rPr>
    </w:lvl>
  </w:abstractNum>
  <w:abstractNum w:abstractNumId="67" w15:restartNumberingAfterBreak="0">
    <w:nsid w:val="48E409F1"/>
    <w:multiLevelType w:val="hybridMultilevel"/>
    <w:tmpl w:val="38F22C0A"/>
    <w:lvl w:ilvl="0" w:tplc="6A56D37A">
      <w:start w:val="1"/>
      <w:numFmt w:val="decimal"/>
      <w:lvlText w:val="%1."/>
      <w:lvlJc w:val="left"/>
      <w:pPr>
        <w:ind w:left="1474" w:hanging="360"/>
      </w:pPr>
      <w:rPr>
        <w:rFonts w:hint="default"/>
        <w:w w:val="105"/>
      </w:r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68" w15:restartNumberingAfterBreak="0">
    <w:nsid w:val="49697E44"/>
    <w:multiLevelType w:val="hybridMultilevel"/>
    <w:tmpl w:val="A79465FE"/>
    <w:lvl w:ilvl="0" w:tplc="1A14E362">
      <w:start w:val="2"/>
      <w:numFmt w:val="lowerLetter"/>
      <w:lvlText w:val="(%1)"/>
      <w:lvlJc w:val="left"/>
      <w:pPr>
        <w:ind w:left="1788" w:hanging="204"/>
      </w:pPr>
      <w:rPr>
        <w:rFonts w:ascii="Arial MT" w:eastAsia="Arial MT" w:hAnsi="Arial MT" w:cs="Arial MT" w:hint="default"/>
        <w:b w:val="0"/>
        <w:bCs w:val="0"/>
        <w:i w:val="0"/>
        <w:iCs w:val="0"/>
        <w:spacing w:val="0"/>
        <w:w w:val="104"/>
        <w:sz w:val="13"/>
        <w:szCs w:val="13"/>
        <w:lang w:val="es-ES" w:eastAsia="en-US" w:bidi="ar-SA"/>
      </w:rPr>
    </w:lvl>
    <w:lvl w:ilvl="1" w:tplc="BDDC3D26">
      <w:numFmt w:val="bullet"/>
      <w:lvlText w:val="•"/>
      <w:lvlJc w:val="left"/>
      <w:pPr>
        <w:ind w:left="2772" w:hanging="204"/>
      </w:pPr>
      <w:rPr>
        <w:rFonts w:hint="default"/>
        <w:lang w:val="es-ES" w:eastAsia="en-US" w:bidi="ar-SA"/>
      </w:rPr>
    </w:lvl>
    <w:lvl w:ilvl="2" w:tplc="34728418">
      <w:numFmt w:val="bullet"/>
      <w:lvlText w:val="•"/>
      <w:lvlJc w:val="left"/>
      <w:pPr>
        <w:ind w:left="3764" w:hanging="204"/>
      </w:pPr>
      <w:rPr>
        <w:rFonts w:hint="default"/>
        <w:lang w:val="es-ES" w:eastAsia="en-US" w:bidi="ar-SA"/>
      </w:rPr>
    </w:lvl>
    <w:lvl w:ilvl="3" w:tplc="2534C092">
      <w:numFmt w:val="bullet"/>
      <w:lvlText w:val="•"/>
      <w:lvlJc w:val="left"/>
      <w:pPr>
        <w:ind w:left="4756" w:hanging="204"/>
      </w:pPr>
      <w:rPr>
        <w:rFonts w:hint="default"/>
        <w:lang w:val="es-ES" w:eastAsia="en-US" w:bidi="ar-SA"/>
      </w:rPr>
    </w:lvl>
    <w:lvl w:ilvl="4" w:tplc="37E478BC">
      <w:numFmt w:val="bullet"/>
      <w:lvlText w:val="•"/>
      <w:lvlJc w:val="left"/>
      <w:pPr>
        <w:ind w:left="5748" w:hanging="204"/>
      </w:pPr>
      <w:rPr>
        <w:rFonts w:hint="default"/>
        <w:lang w:val="es-ES" w:eastAsia="en-US" w:bidi="ar-SA"/>
      </w:rPr>
    </w:lvl>
    <w:lvl w:ilvl="5" w:tplc="3CAAD258">
      <w:numFmt w:val="bullet"/>
      <w:lvlText w:val="•"/>
      <w:lvlJc w:val="left"/>
      <w:pPr>
        <w:ind w:left="6740" w:hanging="204"/>
      </w:pPr>
      <w:rPr>
        <w:rFonts w:hint="default"/>
        <w:lang w:val="es-ES" w:eastAsia="en-US" w:bidi="ar-SA"/>
      </w:rPr>
    </w:lvl>
    <w:lvl w:ilvl="6" w:tplc="084C9D52">
      <w:numFmt w:val="bullet"/>
      <w:lvlText w:val="•"/>
      <w:lvlJc w:val="left"/>
      <w:pPr>
        <w:ind w:left="7732" w:hanging="204"/>
      </w:pPr>
      <w:rPr>
        <w:rFonts w:hint="default"/>
        <w:lang w:val="es-ES" w:eastAsia="en-US" w:bidi="ar-SA"/>
      </w:rPr>
    </w:lvl>
    <w:lvl w:ilvl="7" w:tplc="F83E1A4E">
      <w:numFmt w:val="bullet"/>
      <w:lvlText w:val="•"/>
      <w:lvlJc w:val="left"/>
      <w:pPr>
        <w:ind w:left="8724" w:hanging="204"/>
      </w:pPr>
      <w:rPr>
        <w:rFonts w:hint="default"/>
        <w:lang w:val="es-ES" w:eastAsia="en-US" w:bidi="ar-SA"/>
      </w:rPr>
    </w:lvl>
    <w:lvl w:ilvl="8" w:tplc="A2089C18">
      <w:numFmt w:val="bullet"/>
      <w:lvlText w:val="•"/>
      <w:lvlJc w:val="left"/>
      <w:pPr>
        <w:ind w:left="9716" w:hanging="204"/>
      </w:pPr>
      <w:rPr>
        <w:rFonts w:hint="default"/>
        <w:lang w:val="es-ES" w:eastAsia="en-US" w:bidi="ar-SA"/>
      </w:rPr>
    </w:lvl>
  </w:abstractNum>
  <w:abstractNum w:abstractNumId="69" w15:restartNumberingAfterBreak="0">
    <w:nsid w:val="4AA26D4C"/>
    <w:multiLevelType w:val="hybridMultilevel"/>
    <w:tmpl w:val="B8E0142A"/>
    <w:lvl w:ilvl="0" w:tplc="09880B8E">
      <w:start w:val="1"/>
      <w:numFmt w:val="decimal"/>
      <w:lvlText w:val="%1."/>
      <w:lvlJc w:val="left"/>
      <w:pPr>
        <w:ind w:left="1905" w:hanging="178"/>
      </w:pPr>
      <w:rPr>
        <w:rFonts w:ascii="Arial MT" w:eastAsia="Arial MT" w:hAnsi="Arial MT" w:cs="Arial MT" w:hint="default"/>
        <w:b w:val="0"/>
        <w:bCs w:val="0"/>
        <w:i w:val="0"/>
        <w:iCs w:val="0"/>
        <w:spacing w:val="-1"/>
        <w:w w:val="100"/>
        <w:sz w:val="16"/>
        <w:szCs w:val="16"/>
        <w:lang w:val="es-ES" w:eastAsia="en-US" w:bidi="ar-SA"/>
      </w:rPr>
    </w:lvl>
    <w:lvl w:ilvl="1" w:tplc="87C2AD54">
      <w:numFmt w:val="bullet"/>
      <w:lvlText w:val="•"/>
      <w:lvlJc w:val="left"/>
      <w:pPr>
        <w:ind w:left="2880" w:hanging="178"/>
      </w:pPr>
      <w:rPr>
        <w:rFonts w:hint="default"/>
        <w:lang w:val="es-ES" w:eastAsia="en-US" w:bidi="ar-SA"/>
      </w:rPr>
    </w:lvl>
    <w:lvl w:ilvl="2" w:tplc="043E2E2A">
      <w:numFmt w:val="bullet"/>
      <w:lvlText w:val="•"/>
      <w:lvlJc w:val="left"/>
      <w:pPr>
        <w:ind w:left="3860" w:hanging="178"/>
      </w:pPr>
      <w:rPr>
        <w:rFonts w:hint="default"/>
        <w:lang w:val="es-ES" w:eastAsia="en-US" w:bidi="ar-SA"/>
      </w:rPr>
    </w:lvl>
    <w:lvl w:ilvl="3" w:tplc="45CC05E6">
      <w:numFmt w:val="bullet"/>
      <w:lvlText w:val="•"/>
      <w:lvlJc w:val="left"/>
      <w:pPr>
        <w:ind w:left="4840" w:hanging="178"/>
      </w:pPr>
      <w:rPr>
        <w:rFonts w:hint="default"/>
        <w:lang w:val="es-ES" w:eastAsia="en-US" w:bidi="ar-SA"/>
      </w:rPr>
    </w:lvl>
    <w:lvl w:ilvl="4" w:tplc="C63C6994">
      <w:numFmt w:val="bullet"/>
      <w:lvlText w:val="•"/>
      <w:lvlJc w:val="left"/>
      <w:pPr>
        <w:ind w:left="5820" w:hanging="178"/>
      </w:pPr>
      <w:rPr>
        <w:rFonts w:hint="default"/>
        <w:lang w:val="es-ES" w:eastAsia="en-US" w:bidi="ar-SA"/>
      </w:rPr>
    </w:lvl>
    <w:lvl w:ilvl="5" w:tplc="E37C9154">
      <w:numFmt w:val="bullet"/>
      <w:lvlText w:val="•"/>
      <w:lvlJc w:val="left"/>
      <w:pPr>
        <w:ind w:left="6800" w:hanging="178"/>
      </w:pPr>
      <w:rPr>
        <w:rFonts w:hint="default"/>
        <w:lang w:val="es-ES" w:eastAsia="en-US" w:bidi="ar-SA"/>
      </w:rPr>
    </w:lvl>
    <w:lvl w:ilvl="6" w:tplc="D0D61FD8">
      <w:numFmt w:val="bullet"/>
      <w:lvlText w:val="•"/>
      <w:lvlJc w:val="left"/>
      <w:pPr>
        <w:ind w:left="7780" w:hanging="178"/>
      </w:pPr>
      <w:rPr>
        <w:rFonts w:hint="default"/>
        <w:lang w:val="es-ES" w:eastAsia="en-US" w:bidi="ar-SA"/>
      </w:rPr>
    </w:lvl>
    <w:lvl w:ilvl="7" w:tplc="0FAE0568">
      <w:numFmt w:val="bullet"/>
      <w:lvlText w:val="•"/>
      <w:lvlJc w:val="left"/>
      <w:pPr>
        <w:ind w:left="8760" w:hanging="178"/>
      </w:pPr>
      <w:rPr>
        <w:rFonts w:hint="default"/>
        <w:lang w:val="es-ES" w:eastAsia="en-US" w:bidi="ar-SA"/>
      </w:rPr>
    </w:lvl>
    <w:lvl w:ilvl="8" w:tplc="B94669F2">
      <w:numFmt w:val="bullet"/>
      <w:lvlText w:val="•"/>
      <w:lvlJc w:val="left"/>
      <w:pPr>
        <w:ind w:left="9740" w:hanging="178"/>
      </w:pPr>
      <w:rPr>
        <w:rFonts w:hint="default"/>
        <w:lang w:val="es-ES" w:eastAsia="en-US" w:bidi="ar-SA"/>
      </w:rPr>
    </w:lvl>
  </w:abstractNum>
  <w:abstractNum w:abstractNumId="70" w15:restartNumberingAfterBreak="0">
    <w:nsid w:val="4B874F9F"/>
    <w:multiLevelType w:val="hybridMultilevel"/>
    <w:tmpl w:val="AA982F38"/>
    <w:lvl w:ilvl="0" w:tplc="EED4CE04">
      <w:start w:val="2"/>
      <w:numFmt w:val="lowerRoman"/>
      <w:lvlText w:val="(%1)"/>
      <w:lvlJc w:val="left"/>
      <w:pPr>
        <w:ind w:left="2255" w:hanging="218"/>
      </w:pPr>
      <w:rPr>
        <w:rFonts w:ascii="Arial MT" w:eastAsia="Arial MT" w:hAnsi="Arial MT" w:cs="Arial MT" w:hint="default"/>
        <w:b w:val="0"/>
        <w:bCs w:val="0"/>
        <w:i w:val="0"/>
        <w:iCs w:val="0"/>
        <w:spacing w:val="0"/>
        <w:w w:val="104"/>
        <w:sz w:val="15"/>
        <w:szCs w:val="15"/>
        <w:lang w:val="es-ES" w:eastAsia="en-US" w:bidi="ar-SA"/>
      </w:rPr>
    </w:lvl>
    <w:lvl w:ilvl="1" w:tplc="2F1E1184">
      <w:numFmt w:val="bullet"/>
      <w:lvlText w:val="•"/>
      <w:lvlJc w:val="left"/>
      <w:pPr>
        <w:ind w:left="3204" w:hanging="218"/>
      </w:pPr>
      <w:rPr>
        <w:rFonts w:hint="default"/>
        <w:lang w:val="es-ES" w:eastAsia="en-US" w:bidi="ar-SA"/>
      </w:rPr>
    </w:lvl>
    <w:lvl w:ilvl="2" w:tplc="487ADCE2">
      <w:numFmt w:val="bullet"/>
      <w:lvlText w:val="•"/>
      <w:lvlJc w:val="left"/>
      <w:pPr>
        <w:ind w:left="4148" w:hanging="218"/>
      </w:pPr>
      <w:rPr>
        <w:rFonts w:hint="default"/>
        <w:lang w:val="es-ES" w:eastAsia="en-US" w:bidi="ar-SA"/>
      </w:rPr>
    </w:lvl>
    <w:lvl w:ilvl="3" w:tplc="89782F34">
      <w:numFmt w:val="bullet"/>
      <w:lvlText w:val="•"/>
      <w:lvlJc w:val="left"/>
      <w:pPr>
        <w:ind w:left="5092" w:hanging="218"/>
      </w:pPr>
      <w:rPr>
        <w:rFonts w:hint="default"/>
        <w:lang w:val="es-ES" w:eastAsia="en-US" w:bidi="ar-SA"/>
      </w:rPr>
    </w:lvl>
    <w:lvl w:ilvl="4" w:tplc="5586666E">
      <w:numFmt w:val="bullet"/>
      <w:lvlText w:val="•"/>
      <w:lvlJc w:val="left"/>
      <w:pPr>
        <w:ind w:left="6036" w:hanging="218"/>
      </w:pPr>
      <w:rPr>
        <w:rFonts w:hint="default"/>
        <w:lang w:val="es-ES" w:eastAsia="en-US" w:bidi="ar-SA"/>
      </w:rPr>
    </w:lvl>
    <w:lvl w:ilvl="5" w:tplc="0E4CC730">
      <w:numFmt w:val="bullet"/>
      <w:lvlText w:val="•"/>
      <w:lvlJc w:val="left"/>
      <w:pPr>
        <w:ind w:left="6980" w:hanging="218"/>
      </w:pPr>
      <w:rPr>
        <w:rFonts w:hint="default"/>
        <w:lang w:val="es-ES" w:eastAsia="en-US" w:bidi="ar-SA"/>
      </w:rPr>
    </w:lvl>
    <w:lvl w:ilvl="6" w:tplc="065C493E">
      <w:numFmt w:val="bullet"/>
      <w:lvlText w:val="•"/>
      <w:lvlJc w:val="left"/>
      <w:pPr>
        <w:ind w:left="7924" w:hanging="218"/>
      </w:pPr>
      <w:rPr>
        <w:rFonts w:hint="default"/>
        <w:lang w:val="es-ES" w:eastAsia="en-US" w:bidi="ar-SA"/>
      </w:rPr>
    </w:lvl>
    <w:lvl w:ilvl="7" w:tplc="384C22EE">
      <w:numFmt w:val="bullet"/>
      <w:lvlText w:val="•"/>
      <w:lvlJc w:val="left"/>
      <w:pPr>
        <w:ind w:left="8868" w:hanging="218"/>
      </w:pPr>
      <w:rPr>
        <w:rFonts w:hint="default"/>
        <w:lang w:val="es-ES" w:eastAsia="en-US" w:bidi="ar-SA"/>
      </w:rPr>
    </w:lvl>
    <w:lvl w:ilvl="8" w:tplc="5A640AE4">
      <w:numFmt w:val="bullet"/>
      <w:lvlText w:val="•"/>
      <w:lvlJc w:val="left"/>
      <w:pPr>
        <w:ind w:left="9812" w:hanging="218"/>
      </w:pPr>
      <w:rPr>
        <w:rFonts w:hint="default"/>
        <w:lang w:val="es-ES" w:eastAsia="en-US" w:bidi="ar-SA"/>
      </w:rPr>
    </w:lvl>
  </w:abstractNum>
  <w:abstractNum w:abstractNumId="71" w15:restartNumberingAfterBreak="0">
    <w:nsid w:val="4C3300AD"/>
    <w:multiLevelType w:val="hybridMultilevel"/>
    <w:tmpl w:val="57EC9576"/>
    <w:lvl w:ilvl="0" w:tplc="5F605CF4">
      <w:numFmt w:val="bullet"/>
      <w:lvlText w:val="•"/>
      <w:lvlJc w:val="left"/>
      <w:pPr>
        <w:ind w:left="527" w:hanging="89"/>
      </w:pPr>
      <w:rPr>
        <w:rFonts w:ascii="Arial MT" w:eastAsia="Arial MT" w:hAnsi="Arial MT" w:cs="Arial MT" w:hint="default"/>
        <w:spacing w:val="0"/>
        <w:w w:val="100"/>
        <w:lang w:val="es-ES" w:eastAsia="en-US" w:bidi="ar-SA"/>
      </w:rPr>
    </w:lvl>
    <w:lvl w:ilvl="1" w:tplc="8CC2535C">
      <w:numFmt w:val="bullet"/>
      <w:lvlText w:val="–"/>
      <w:lvlJc w:val="left"/>
      <w:pPr>
        <w:ind w:left="752" w:hanging="118"/>
      </w:pPr>
      <w:rPr>
        <w:rFonts w:ascii="Arial MT" w:eastAsia="Arial MT" w:hAnsi="Arial MT" w:cs="Arial MT" w:hint="default"/>
        <w:b w:val="0"/>
        <w:bCs w:val="0"/>
        <w:i w:val="0"/>
        <w:iCs w:val="0"/>
        <w:spacing w:val="0"/>
        <w:w w:val="100"/>
        <w:sz w:val="14"/>
        <w:szCs w:val="14"/>
        <w:lang w:val="es-ES" w:eastAsia="en-US" w:bidi="ar-SA"/>
      </w:rPr>
    </w:lvl>
    <w:lvl w:ilvl="2" w:tplc="6AFCB068">
      <w:numFmt w:val="bullet"/>
      <w:lvlText w:val="•"/>
      <w:lvlJc w:val="left"/>
      <w:pPr>
        <w:ind w:left="1721" w:hanging="118"/>
      </w:pPr>
      <w:rPr>
        <w:rFonts w:hint="default"/>
        <w:lang w:val="es-ES" w:eastAsia="en-US" w:bidi="ar-SA"/>
      </w:rPr>
    </w:lvl>
    <w:lvl w:ilvl="3" w:tplc="312E30E8">
      <w:numFmt w:val="bullet"/>
      <w:lvlText w:val="•"/>
      <w:lvlJc w:val="left"/>
      <w:pPr>
        <w:ind w:left="2682" w:hanging="118"/>
      </w:pPr>
      <w:rPr>
        <w:rFonts w:hint="default"/>
        <w:lang w:val="es-ES" w:eastAsia="en-US" w:bidi="ar-SA"/>
      </w:rPr>
    </w:lvl>
    <w:lvl w:ilvl="4" w:tplc="9A509808">
      <w:numFmt w:val="bullet"/>
      <w:lvlText w:val="•"/>
      <w:lvlJc w:val="left"/>
      <w:pPr>
        <w:ind w:left="3643" w:hanging="118"/>
      </w:pPr>
      <w:rPr>
        <w:rFonts w:hint="default"/>
        <w:lang w:val="es-ES" w:eastAsia="en-US" w:bidi="ar-SA"/>
      </w:rPr>
    </w:lvl>
    <w:lvl w:ilvl="5" w:tplc="17BAAAD2">
      <w:numFmt w:val="bullet"/>
      <w:lvlText w:val="•"/>
      <w:lvlJc w:val="left"/>
      <w:pPr>
        <w:ind w:left="4604" w:hanging="118"/>
      </w:pPr>
      <w:rPr>
        <w:rFonts w:hint="default"/>
        <w:lang w:val="es-ES" w:eastAsia="en-US" w:bidi="ar-SA"/>
      </w:rPr>
    </w:lvl>
    <w:lvl w:ilvl="6" w:tplc="D6680560">
      <w:numFmt w:val="bullet"/>
      <w:lvlText w:val="•"/>
      <w:lvlJc w:val="left"/>
      <w:pPr>
        <w:ind w:left="5565" w:hanging="118"/>
      </w:pPr>
      <w:rPr>
        <w:rFonts w:hint="default"/>
        <w:lang w:val="es-ES" w:eastAsia="en-US" w:bidi="ar-SA"/>
      </w:rPr>
    </w:lvl>
    <w:lvl w:ilvl="7" w:tplc="A66C057A">
      <w:numFmt w:val="bullet"/>
      <w:lvlText w:val="•"/>
      <w:lvlJc w:val="left"/>
      <w:pPr>
        <w:ind w:left="6526" w:hanging="118"/>
      </w:pPr>
      <w:rPr>
        <w:rFonts w:hint="default"/>
        <w:lang w:val="es-ES" w:eastAsia="en-US" w:bidi="ar-SA"/>
      </w:rPr>
    </w:lvl>
    <w:lvl w:ilvl="8" w:tplc="61C682C4">
      <w:numFmt w:val="bullet"/>
      <w:lvlText w:val="•"/>
      <w:lvlJc w:val="left"/>
      <w:pPr>
        <w:ind w:left="7487" w:hanging="118"/>
      </w:pPr>
      <w:rPr>
        <w:rFonts w:hint="default"/>
        <w:lang w:val="es-ES" w:eastAsia="en-US" w:bidi="ar-SA"/>
      </w:rPr>
    </w:lvl>
  </w:abstractNum>
  <w:abstractNum w:abstractNumId="72" w15:restartNumberingAfterBreak="0">
    <w:nsid w:val="4E3620FD"/>
    <w:multiLevelType w:val="hybridMultilevel"/>
    <w:tmpl w:val="8B8E3D18"/>
    <w:lvl w:ilvl="0" w:tplc="1A86CE2C">
      <w:start w:val="1"/>
      <w:numFmt w:val="decimal"/>
      <w:lvlText w:val="%1."/>
      <w:lvlJc w:val="left"/>
      <w:pPr>
        <w:ind w:left="1432" w:hanging="297"/>
      </w:pPr>
      <w:rPr>
        <w:rFonts w:ascii="Arial MT" w:eastAsia="Arial MT" w:hAnsi="Arial MT" w:cs="Arial MT" w:hint="default"/>
        <w:b w:val="0"/>
        <w:bCs w:val="0"/>
        <w:i w:val="0"/>
        <w:iCs w:val="0"/>
        <w:color w:val="00AC59"/>
        <w:spacing w:val="-1"/>
        <w:w w:val="102"/>
        <w:sz w:val="26"/>
        <w:szCs w:val="26"/>
        <w:lang w:val="es-ES" w:eastAsia="en-US" w:bidi="ar-SA"/>
      </w:rPr>
    </w:lvl>
    <w:lvl w:ilvl="1" w:tplc="154667CA">
      <w:start w:val="1"/>
      <w:numFmt w:val="lowerLetter"/>
      <w:lvlText w:val="%2."/>
      <w:lvlJc w:val="left"/>
      <w:pPr>
        <w:ind w:left="1904" w:hanging="176"/>
      </w:pPr>
      <w:rPr>
        <w:rFonts w:hint="default"/>
        <w:spacing w:val="-1"/>
        <w:w w:val="105"/>
        <w:lang w:val="es-ES" w:eastAsia="en-US" w:bidi="ar-SA"/>
      </w:rPr>
    </w:lvl>
    <w:lvl w:ilvl="2" w:tplc="26806032">
      <w:numFmt w:val="bullet"/>
      <w:lvlText w:val="•"/>
      <w:lvlJc w:val="left"/>
      <w:pPr>
        <w:ind w:left="2988" w:hanging="176"/>
      </w:pPr>
      <w:rPr>
        <w:rFonts w:hint="default"/>
        <w:lang w:val="es-ES" w:eastAsia="en-US" w:bidi="ar-SA"/>
      </w:rPr>
    </w:lvl>
    <w:lvl w:ilvl="3" w:tplc="B374D8F8">
      <w:numFmt w:val="bullet"/>
      <w:lvlText w:val="•"/>
      <w:lvlJc w:val="left"/>
      <w:pPr>
        <w:ind w:left="4077" w:hanging="176"/>
      </w:pPr>
      <w:rPr>
        <w:rFonts w:hint="default"/>
        <w:lang w:val="es-ES" w:eastAsia="en-US" w:bidi="ar-SA"/>
      </w:rPr>
    </w:lvl>
    <w:lvl w:ilvl="4" w:tplc="4C7CBCDE">
      <w:numFmt w:val="bullet"/>
      <w:lvlText w:val="•"/>
      <w:lvlJc w:val="left"/>
      <w:pPr>
        <w:ind w:left="5166" w:hanging="176"/>
      </w:pPr>
      <w:rPr>
        <w:rFonts w:hint="default"/>
        <w:lang w:val="es-ES" w:eastAsia="en-US" w:bidi="ar-SA"/>
      </w:rPr>
    </w:lvl>
    <w:lvl w:ilvl="5" w:tplc="2FD68B0A">
      <w:numFmt w:val="bullet"/>
      <w:lvlText w:val="•"/>
      <w:lvlJc w:val="left"/>
      <w:pPr>
        <w:ind w:left="6255" w:hanging="176"/>
      </w:pPr>
      <w:rPr>
        <w:rFonts w:hint="default"/>
        <w:lang w:val="es-ES" w:eastAsia="en-US" w:bidi="ar-SA"/>
      </w:rPr>
    </w:lvl>
    <w:lvl w:ilvl="6" w:tplc="716258FE">
      <w:numFmt w:val="bullet"/>
      <w:lvlText w:val="•"/>
      <w:lvlJc w:val="left"/>
      <w:pPr>
        <w:ind w:left="7344" w:hanging="176"/>
      </w:pPr>
      <w:rPr>
        <w:rFonts w:hint="default"/>
        <w:lang w:val="es-ES" w:eastAsia="en-US" w:bidi="ar-SA"/>
      </w:rPr>
    </w:lvl>
    <w:lvl w:ilvl="7" w:tplc="7A9AFFDE">
      <w:numFmt w:val="bullet"/>
      <w:lvlText w:val="•"/>
      <w:lvlJc w:val="left"/>
      <w:pPr>
        <w:ind w:left="8433" w:hanging="176"/>
      </w:pPr>
      <w:rPr>
        <w:rFonts w:hint="default"/>
        <w:lang w:val="es-ES" w:eastAsia="en-US" w:bidi="ar-SA"/>
      </w:rPr>
    </w:lvl>
    <w:lvl w:ilvl="8" w:tplc="A768AE6C">
      <w:numFmt w:val="bullet"/>
      <w:lvlText w:val="•"/>
      <w:lvlJc w:val="left"/>
      <w:pPr>
        <w:ind w:left="9522" w:hanging="176"/>
      </w:pPr>
      <w:rPr>
        <w:rFonts w:hint="default"/>
        <w:lang w:val="es-ES" w:eastAsia="en-US" w:bidi="ar-SA"/>
      </w:rPr>
    </w:lvl>
  </w:abstractNum>
  <w:abstractNum w:abstractNumId="73" w15:restartNumberingAfterBreak="0">
    <w:nsid w:val="4EBC46F6"/>
    <w:multiLevelType w:val="hybridMultilevel"/>
    <w:tmpl w:val="434C10EC"/>
    <w:lvl w:ilvl="0" w:tplc="9D14A1D2">
      <w:start w:val="1"/>
      <w:numFmt w:val="lowerLetter"/>
      <w:lvlText w:val="%1)"/>
      <w:lvlJc w:val="left"/>
      <w:pPr>
        <w:ind w:left="1760" w:hanging="190"/>
      </w:pPr>
      <w:rPr>
        <w:rFonts w:ascii="Arial MT" w:eastAsia="Arial MT" w:hAnsi="Arial MT" w:cs="Arial MT" w:hint="default"/>
        <w:b w:val="0"/>
        <w:bCs w:val="0"/>
        <w:i w:val="0"/>
        <w:iCs w:val="0"/>
        <w:spacing w:val="0"/>
        <w:w w:val="101"/>
        <w:sz w:val="16"/>
        <w:szCs w:val="16"/>
        <w:lang w:val="es-ES" w:eastAsia="en-US" w:bidi="ar-SA"/>
      </w:rPr>
    </w:lvl>
    <w:lvl w:ilvl="1" w:tplc="6F1E61AC">
      <w:numFmt w:val="bullet"/>
      <w:lvlText w:val="•"/>
      <w:lvlJc w:val="left"/>
      <w:pPr>
        <w:ind w:left="2754" w:hanging="190"/>
      </w:pPr>
      <w:rPr>
        <w:rFonts w:hint="default"/>
        <w:lang w:val="es-ES" w:eastAsia="en-US" w:bidi="ar-SA"/>
      </w:rPr>
    </w:lvl>
    <w:lvl w:ilvl="2" w:tplc="651AEBF8">
      <w:numFmt w:val="bullet"/>
      <w:lvlText w:val="•"/>
      <w:lvlJc w:val="left"/>
      <w:pPr>
        <w:ind w:left="3748" w:hanging="190"/>
      </w:pPr>
      <w:rPr>
        <w:rFonts w:hint="default"/>
        <w:lang w:val="es-ES" w:eastAsia="en-US" w:bidi="ar-SA"/>
      </w:rPr>
    </w:lvl>
    <w:lvl w:ilvl="3" w:tplc="3146AE0E">
      <w:numFmt w:val="bullet"/>
      <w:lvlText w:val="•"/>
      <w:lvlJc w:val="left"/>
      <w:pPr>
        <w:ind w:left="4742" w:hanging="190"/>
      </w:pPr>
      <w:rPr>
        <w:rFonts w:hint="default"/>
        <w:lang w:val="es-ES" w:eastAsia="en-US" w:bidi="ar-SA"/>
      </w:rPr>
    </w:lvl>
    <w:lvl w:ilvl="4" w:tplc="BD3E7496">
      <w:numFmt w:val="bullet"/>
      <w:lvlText w:val="•"/>
      <w:lvlJc w:val="left"/>
      <w:pPr>
        <w:ind w:left="5736" w:hanging="190"/>
      </w:pPr>
      <w:rPr>
        <w:rFonts w:hint="default"/>
        <w:lang w:val="es-ES" w:eastAsia="en-US" w:bidi="ar-SA"/>
      </w:rPr>
    </w:lvl>
    <w:lvl w:ilvl="5" w:tplc="FDA426DA">
      <w:numFmt w:val="bullet"/>
      <w:lvlText w:val="•"/>
      <w:lvlJc w:val="left"/>
      <w:pPr>
        <w:ind w:left="6730" w:hanging="190"/>
      </w:pPr>
      <w:rPr>
        <w:rFonts w:hint="default"/>
        <w:lang w:val="es-ES" w:eastAsia="en-US" w:bidi="ar-SA"/>
      </w:rPr>
    </w:lvl>
    <w:lvl w:ilvl="6" w:tplc="FBA0ECD0">
      <w:numFmt w:val="bullet"/>
      <w:lvlText w:val="•"/>
      <w:lvlJc w:val="left"/>
      <w:pPr>
        <w:ind w:left="7724" w:hanging="190"/>
      </w:pPr>
      <w:rPr>
        <w:rFonts w:hint="default"/>
        <w:lang w:val="es-ES" w:eastAsia="en-US" w:bidi="ar-SA"/>
      </w:rPr>
    </w:lvl>
    <w:lvl w:ilvl="7" w:tplc="8D2A2EBC">
      <w:numFmt w:val="bullet"/>
      <w:lvlText w:val="•"/>
      <w:lvlJc w:val="left"/>
      <w:pPr>
        <w:ind w:left="8718" w:hanging="190"/>
      </w:pPr>
      <w:rPr>
        <w:rFonts w:hint="default"/>
        <w:lang w:val="es-ES" w:eastAsia="en-US" w:bidi="ar-SA"/>
      </w:rPr>
    </w:lvl>
    <w:lvl w:ilvl="8" w:tplc="6C046FB6">
      <w:numFmt w:val="bullet"/>
      <w:lvlText w:val="•"/>
      <w:lvlJc w:val="left"/>
      <w:pPr>
        <w:ind w:left="9712" w:hanging="190"/>
      </w:pPr>
      <w:rPr>
        <w:rFonts w:hint="default"/>
        <w:lang w:val="es-ES" w:eastAsia="en-US" w:bidi="ar-SA"/>
      </w:rPr>
    </w:lvl>
  </w:abstractNum>
  <w:abstractNum w:abstractNumId="74" w15:restartNumberingAfterBreak="0">
    <w:nsid w:val="4FEA05EC"/>
    <w:multiLevelType w:val="hybridMultilevel"/>
    <w:tmpl w:val="E26CFECC"/>
    <w:lvl w:ilvl="0" w:tplc="8CC6F014">
      <w:numFmt w:val="bullet"/>
      <w:lvlText w:val="•"/>
      <w:lvlJc w:val="left"/>
      <w:pPr>
        <w:ind w:left="1216" w:hanging="98"/>
      </w:pPr>
      <w:rPr>
        <w:rFonts w:ascii="Arial MT" w:eastAsia="Arial MT" w:hAnsi="Arial MT" w:cs="Arial MT" w:hint="default"/>
        <w:b w:val="0"/>
        <w:bCs w:val="0"/>
        <w:i w:val="0"/>
        <w:iCs w:val="0"/>
        <w:spacing w:val="0"/>
        <w:w w:val="103"/>
        <w:sz w:val="15"/>
        <w:szCs w:val="15"/>
        <w:lang w:val="es-ES" w:eastAsia="en-US" w:bidi="ar-SA"/>
      </w:rPr>
    </w:lvl>
    <w:lvl w:ilvl="1" w:tplc="CDF0F5A4">
      <w:numFmt w:val="bullet"/>
      <w:lvlText w:val="•"/>
      <w:lvlJc w:val="left"/>
      <w:pPr>
        <w:ind w:left="2268" w:hanging="98"/>
      </w:pPr>
      <w:rPr>
        <w:rFonts w:hint="default"/>
        <w:lang w:val="es-ES" w:eastAsia="en-US" w:bidi="ar-SA"/>
      </w:rPr>
    </w:lvl>
    <w:lvl w:ilvl="2" w:tplc="3E362688">
      <w:numFmt w:val="bullet"/>
      <w:lvlText w:val="•"/>
      <w:lvlJc w:val="left"/>
      <w:pPr>
        <w:ind w:left="3316" w:hanging="98"/>
      </w:pPr>
      <w:rPr>
        <w:rFonts w:hint="default"/>
        <w:lang w:val="es-ES" w:eastAsia="en-US" w:bidi="ar-SA"/>
      </w:rPr>
    </w:lvl>
    <w:lvl w:ilvl="3" w:tplc="80E0901C">
      <w:numFmt w:val="bullet"/>
      <w:lvlText w:val="•"/>
      <w:lvlJc w:val="left"/>
      <w:pPr>
        <w:ind w:left="4364" w:hanging="98"/>
      </w:pPr>
      <w:rPr>
        <w:rFonts w:hint="default"/>
        <w:lang w:val="es-ES" w:eastAsia="en-US" w:bidi="ar-SA"/>
      </w:rPr>
    </w:lvl>
    <w:lvl w:ilvl="4" w:tplc="0090FCE6">
      <w:numFmt w:val="bullet"/>
      <w:lvlText w:val="•"/>
      <w:lvlJc w:val="left"/>
      <w:pPr>
        <w:ind w:left="5412" w:hanging="98"/>
      </w:pPr>
      <w:rPr>
        <w:rFonts w:hint="default"/>
        <w:lang w:val="es-ES" w:eastAsia="en-US" w:bidi="ar-SA"/>
      </w:rPr>
    </w:lvl>
    <w:lvl w:ilvl="5" w:tplc="BD68D61A">
      <w:numFmt w:val="bullet"/>
      <w:lvlText w:val="•"/>
      <w:lvlJc w:val="left"/>
      <w:pPr>
        <w:ind w:left="6460" w:hanging="98"/>
      </w:pPr>
      <w:rPr>
        <w:rFonts w:hint="default"/>
        <w:lang w:val="es-ES" w:eastAsia="en-US" w:bidi="ar-SA"/>
      </w:rPr>
    </w:lvl>
    <w:lvl w:ilvl="6" w:tplc="2048C588">
      <w:numFmt w:val="bullet"/>
      <w:lvlText w:val="•"/>
      <w:lvlJc w:val="left"/>
      <w:pPr>
        <w:ind w:left="7508" w:hanging="98"/>
      </w:pPr>
      <w:rPr>
        <w:rFonts w:hint="default"/>
        <w:lang w:val="es-ES" w:eastAsia="en-US" w:bidi="ar-SA"/>
      </w:rPr>
    </w:lvl>
    <w:lvl w:ilvl="7" w:tplc="744858C6">
      <w:numFmt w:val="bullet"/>
      <w:lvlText w:val="•"/>
      <w:lvlJc w:val="left"/>
      <w:pPr>
        <w:ind w:left="8556" w:hanging="98"/>
      </w:pPr>
      <w:rPr>
        <w:rFonts w:hint="default"/>
        <w:lang w:val="es-ES" w:eastAsia="en-US" w:bidi="ar-SA"/>
      </w:rPr>
    </w:lvl>
    <w:lvl w:ilvl="8" w:tplc="308E2936">
      <w:numFmt w:val="bullet"/>
      <w:lvlText w:val="•"/>
      <w:lvlJc w:val="left"/>
      <w:pPr>
        <w:ind w:left="9604" w:hanging="98"/>
      </w:pPr>
      <w:rPr>
        <w:rFonts w:hint="default"/>
        <w:lang w:val="es-ES" w:eastAsia="en-US" w:bidi="ar-SA"/>
      </w:rPr>
    </w:lvl>
  </w:abstractNum>
  <w:abstractNum w:abstractNumId="75" w15:restartNumberingAfterBreak="0">
    <w:nsid w:val="5351211C"/>
    <w:multiLevelType w:val="hybridMultilevel"/>
    <w:tmpl w:val="D90EAC58"/>
    <w:lvl w:ilvl="0" w:tplc="40BE08FC">
      <w:start w:val="173"/>
      <w:numFmt w:val="decimal"/>
      <w:lvlText w:val="%1"/>
      <w:lvlJc w:val="left"/>
      <w:pPr>
        <w:ind w:left="1339" w:hanging="228"/>
      </w:pPr>
      <w:rPr>
        <w:rFonts w:ascii="Arial MT" w:eastAsia="Arial MT" w:hAnsi="Arial MT" w:cs="Arial MT" w:hint="default"/>
        <w:b w:val="0"/>
        <w:bCs w:val="0"/>
        <w:i w:val="0"/>
        <w:iCs w:val="0"/>
        <w:spacing w:val="-1"/>
        <w:w w:val="106"/>
        <w:sz w:val="11"/>
        <w:szCs w:val="11"/>
        <w:lang w:val="es-ES" w:eastAsia="en-US" w:bidi="ar-SA"/>
      </w:rPr>
    </w:lvl>
    <w:lvl w:ilvl="1" w:tplc="01DCAEFA">
      <w:numFmt w:val="bullet"/>
      <w:lvlText w:val="•"/>
      <w:lvlJc w:val="left"/>
      <w:pPr>
        <w:ind w:left="2376" w:hanging="228"/>
      </w:pPr>
      <w:rPr>
        <w:rFonts w:hint="default"/>
        <w:lang w:val="es-ES" w:eastAsia="en-US" w:bidi="ar-SA"/>
      </w:rPr>
    </w:lvl>
    <w:lvl w:ilvl="2" w:tplc="44C2369C">
      <w:numFmt w:val="bullet"/>
      <w:lvlText w:val="•"/>
      <w:lvlJc w:val="left"/>
      <w:pPr>
        <w:ind w:left="3412" w:hanging="228"/>
      </w:pPr>
      <w:rPr>
        <w:rFonts w:hint="default"/>
        <w:lang w:val="es-ES" w:eastAsia="en-US" w:bidi="ar-SA"/>
      </w:rPr>
    </w:lvl>
    <w:lvl w:ilvl="3" w:tplc="91D04E14">
      <w:numFmt w:val="bullet"/>
      <w:lvlText w:val="•"/>
      <w:lvlJc w:val="left"/>
      <w:pPr>
        <w:ind w:left="4448" w:hanging="228"/>
      </w:pPr>
      <w:rPr>
        <w:rFonts w:hint="default"/>
        <w:lang w:val="es-ES" w:eastAsia="en-US" w:bidi="ar-SA"/>
      </w:rPr>
    </w:lvl>
    <w:lvl w:ilvl="4" w:tplc="D2F2051E">
      <w:numFmt w:val="bullet"/>
      <w:lvlText w:val="•"/>
      <w:lvlJc w:val="left"/>
      <w:pPr>
        <w:ind w:left="5484" w:hanging="228"/>
      </w:pPr>
      <w:rPr>
        <w:rFonts w:hint="default"/>
        <w:lang w:val="es-ES" w:eastAsia="en-US" w:bidi="ar-SA"/>
      </w:rPr>
    </w:lvl>
    <w:lvl w:ilvl="5" w:tplc="CF326D4E">
      <w:numFmt w:val="bullet"/>
      <w:lvlText w:val="•"/>
      <w:lvlJc w:val="left"/>
      <w:pPr>
        <w:ind w:left="6520" w:hanging="228"/>
      </w:pPr>
      <w:rPr>
        <w:rFonts w:hint="default"/>
        <w:lang w:val="es-ES" w:eastAsia="en-US" w:bidi="ar-SA"/>
      </w:rPr>
    </w:lvl>
    <w:lvl w:ilvl="6" w:tplc="C25CF016">
      <w:numFmt w:val="bullet"/>
      <w:lvlText w:val="•"/>
      <w:lvlJc w:val="left"/>
      <w:pPr>
        <w:ind w:left="7556" w:hanging="228"/>
      </w:pPr>
      <w:rPr>
        <w:rFonts w:hint="default"/>
        <w:lang w:val="es-ES" w:eastAsia="en-US" w:bidi="ar-SA"/>
      </w:rPr>
    </w:lvl>
    <w:lvl w:ilvl="7" w:tplc="2A86A59E">
      <w:numFmt w:val="bullet"/>
      <w:lvlText w:val="•"/>
      <w:lvlJc w:val="left"/>
      <w:pPr>
        <w:ind w:left="8592" w:hanging="228"/>
      </w:pPr>
      <w:rPr>
        <w:rFonts w:hint="default"/>
        <w:lang w:val="es-ES" w:eastAsia="en-US" w:bidi="ar-SA"/>
      </w:rPr>
    </w:lvl>
    <w:lvl w:ilvl="8" w:tplc="27DC831A">
      <w:numFmt w:val="bullet"/>
      <w:lvlText w:val="•"/>
      <w:lvlJc w:val="left"/>
      <w:pPr>
        <w:ind w:left="9628" w:hanging="228"/>
      </w:pPr>
      <w:rPr>
        <w:rFonts w:hint="default"/>
        <w:lang w:val="es-ES" w:eastAsia="en-US" w:bidi="ar-SA"/>
      </w:rPr>
    </w:lvl>
  </w:abstractNum>
  <w:abstractNum w:abstractNumId="76" w15:restartNumberingAfterBreak="0">
    <w:nsid w:val="53D26836"/>
    <w:multiLevelType w:val="hybridMultilevel"/>
    <w:tmpl w:val="49E66A16"/>
    <w:lvl w:ilvl="0" w:tplc="393ACAA4">
      <w:start w:val="163"/>
      <w:numFmt w:val="decimal"/>
      <w:lvlText w:val="%1"/>
      <w:lvlJc w:val="left"/>
      <w:pPr>
        <w:ind w:left="1307" w:hanging="197"/>
      </w:pPr>
      <w:rPr>
        <w:rFonts w:hint="default"/>
        <w:spacing w:val="-1"/>
        <w:w w:val="100"/>
        <w:lang w:val="es-ES" w:eastAsia="en-US" w:bidi="ar-SA"/>
      </w:rPr>
    </w:lvl>
    <w:lvl w:ilvl="1" w:tplc="9132ACC0">
      <w:numFmt w:val="bullet"/>
      <w:lvlText w:val="•"/>
      <w:lvlJc w:val="left"/>
      <w:pPr>
        <w:ind w:left="2340" w:hanging="197"/>
      </w:pPr>
      <w:rPr>
        <w:rFonts w:hint="default"/>
        <w:lang w:val="es-ES" w:eastAsia="en-US" w:bidi="ar-SA"/>
      </w:rPr>
    </w:lvl>
    <w:lvl w:ilvl="2" w:tplc="DE004572">
      <w:numFmt w:val="bullet"/>
      <w:lvlText w:val="•"/>
      <w:lvlJc w:val="left"/>
      <w:pPr>
        <w:ind w:left="3380" w:hanging="197"/>
      </w:pPr>
      <w:rPr>
        <w:rFonts w:hint="default"/>
        <w:lang w:val="es-ES" w:eastAsia="en-US" w:bidi="ar-SA"/>
      </w:rPr>
    </w:lvl>
    <w:lvl w:ilvl="3" w:tplc="8AE0195A">
      <w:numFmt w:val="bullet"/>
      <w:lvlText w:val="•"/>
      <w:lvlJc w:val="left"/>
      <w:pPr>
        <w:ind w:left="4420" w:hanging="197"/>
      </w:pPr>
      <w:rPr>
        <w:rFonts w:hint="default"/>
        <w:lang w:val="es-ES" w:eastAsia="en-US" w:bidi="ar-SA"/>
      </w:rPr>
    </w:lvl>
    <w:lvl w:ilvl="4" w:tplc="12F45C16">
      <w:numFmt w:val="bullet"/>
      <w:lvlText w:val="•"/>
      <w:lvlJc w:val="left"/>
      <w:pPr>
        <w:ind w:left="5460" w:hanging="197"/>
      </w:pPr>
      <w:rPr>
        <w:rFonts w:hint="default"/>
        <w:lang w:val="es-ES" w:eastAsia="en-US" w:bidi="ar-SA"/>
      </w:rPr>
    </w:lvl>
    <w:lvl w:ilvl="5" w:tplc="16F631F2">
      <w:numFmt w:val="bullet"/>
      <w:lvlText w:val="•"/>
      <w:lvlJc w:val="left"/>
      <w:pPr>
        <w:ind w:left="6500" w:hanging="197"/>
      </w:pPr>
      <w:rPr>
        <w:rFonts w:hint="default"/>
        <w:lang w:val="es-ES" w:eastAsia="en-US" w:bidi="ar-SA"/>
      </w:rPr>
    </w:lvl>
    <w:lvl w:ilvl="6" w:tplc="566A9DDE">
      <w:numFmt w:val="bullet"/>
      <w:lvlText w:val="•"/>
      <w:lvlJc w:val="left"/>
      <w:pPr>
        <w:ind w:left="7540" w:hanging="197"/>
      </w:pPr>
      <w:rPr>
        <w:rFonts w:hint="default"/>
        <w:lang w:val="es-ES" w:eastAsia="en-US" w:bidi="ar-SA"/>
      </w:rPr>
    </w:lvl>
    <w:lvl w:ilvl="7" w:tplc="C2E4158E">
      <w:numFmt w:val="bullet"/>
      <w:lvlText w:val="•"/>
      <w:lvlJc w:val="left"/>
      <w:pPr>
        <w:ind w:left="8580" w:hanging="197"/>
      </w:pPr>
      <w:rPr>
        <w:rFonts w:hint="default"/>
        <w:lang w:val="es-ES" w:eastAsia="en-US" w:bidi="ar-SA"/>
      </w:rPr>
    </w:lvl>
    <w:lvl w:ilvl="8" w:tplc="35B23EB8">
      <w:numFmt w:val="bullet"/>
      <w:lvlText w:val="•"/>
      <w:lvlJc w:val="left"/>
      <w:pPr>
        <w:ind w:left="9620" w:hanging="197"/>
      </w:pPr>
      <w:rPr>
        <w:rFonts w:hint="default"/>
        <w:lang w:val="es-ES" w:eastAsia="en-US" w:bidi="ar-SA"/>
      </w:rPr>
    </w:lvl>
  </w:abstractNum>
  <w:abstractNum w:abstractNumId="77" w15:restartNumberingAfterBreak="0">
    <w:nsid w:val="5568360D"/>
    <w:multiLevelType w:val="hybridMultilevel"/>
    <w:tmpl w:val="79E24590"/>
    <w:lvl w:ilvl="0" w:tplc="140A000F">
      <w:start w:val="1"/>
      <w:numFmt w:val="decimal"/>
      <w:lvlText w:val="%1."/>
      <w:lvlJc w:val="left"/>
      <w:pPr>
        <w:ind w:left="720" w:hanging="360"/>
      </w:p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78" w15:restartNumberingAfterBreak="0">
    <w:nsid w:val="57BB749D"/>
    <w:multiLevelType w:val="hybridMultilevel"/>
    <w:tmpl w:val="F8BAA3F0"/>
    <w:lvl w:ilvl="0" w:tplc="D72EB544">
      <w:start w:val="2"/>
      <w:numFmt w:val="lowerRoman"/>
      <w:lvlText w:val="(%1)"/>
      <w:lvlJc w:val="left"/>
      <w:pPr>
        <w:ind w:left="2255" w:hanging="218"/>
      </w:pPr>
      <w:rPr>
        <w:rFonts w:ascii="Arial MT" w:eastAsia="Arial MT" w:hAnsi="Arial MT" w:cs="Arial MT" w:hint="default"/>
        <w:b w:val="0"/>
        <w:bCs w:val="0"/>
        <w:i w:val="0"/>
        <w:iCs w:val="0"/>
        <w:spacing w:val="0"/>
        <w:w w:val="104"/>
        <w:sz w:val="15"/>
        <w:szCs w:val="15"/>
        <w:lang w:val="es-ES" w:eastAsia="en-US" w:bidi="ar-SA"/>
      </w:rPr>
    </w:lvl>
    <w:lvl w:ilvl="1" w:tplc="9B8832FC">
      <w:numFmt w:val="bullet"/>
      <w:lvlText w:val="•"/>
      <w:lvlJc w:val="left"/>
      <w:pPr>
        <w:ind w:left="3204" w:hanging="218"/>
      </w:pPr>
      <w:rPr>
        <w:rFonts w:hint="default"/>
        <w:lang w:val="es-ES" w:eastAsia="en-US" w:bidi="ar-SA"/>
      </w:rPr>
    </w:lvl>
    <w:lvl w:ilvl="2" w:tplc="5B2C3ABA">
      <w:numFmt w:val="bullet"/>
      <w:lvlText w:val="•"/>
      <w:lvlJc w:val="left"/>
      <w:pPr>
        <w:ind w:left="4148" w:hanging="218"/>
      </w:pPr>
      <w:rPr>
        <w:rFonts w:hint="default"/>
        <w:lang w:val="es-ES" w:eastAsia="en-US" w:bidi="ar-SA"/>
      </w:rPr>
    </w:lvl>
    <w:lvl w:ilvl="3" w:tplc="56489734">
      <w:numFmt w:val="bullet"/>
      <w:lvlText w:val="•"/>
      <w:lvlJc w:val="left"/>
      <w:pPr>
        <w:ind w:left="5092" w:hanging="218"/>
      </w:pPr>
      <w:rPr>
        <w:rFonts w:hint="default"/>
        <w:lang w:val="es-ES" w:eastAsia="en-US" w:bidi="ar-SA"/>
      </w:rPr>
    </w:lvl>
    <w:lvl w:ilvl="4" w:tplc="1B32C530">
      <w:numFmt w:val="bullet"/>
      <w:lvlText w:val="•"/>
      <w:lvlJc w:val="left"/>
      <w:pPr>
        <w:ind w:left="6036" w:hanging="218"/>
      </w:pPr>
      <w:rPr>
        <w:rFonts w:hint="default"/>
        <w:lang w:val="es-ES" w:eastAsia="en-US" w:bidi="ar-SA"/>
      </w:rPr>
    </w:lvl>
    <w:lvl w:ilvl="5" w:tplc="4B380D92">
      <w:numFmt w:val="bullet"/>
      <w:lvlText w:val="•"/>
      <w:lvlJc w:val="left"/>
      <w:pPr>
        <w:ind w:left="6980" w:hanging="218"/>
      </w:pPr>
      <w:rPr>
        <w:rFonts w:hint="default"/>
        <w:lang w:val="es-ES" w:eastAsia="en-US" w:bidi="ar-SA"/>
      </w:rPr>
    </w:lvl>
    <w:lvl w:ilvl="6" w:tplc="E1EC9D52">
      <w:numFmt w:val="bullet"/>
      <w:lvlText w:val="•"/>
      <w:lvlJc w:val="left"/>
      <w:pPr>
        <w:ind w:left="7924" w:hanging="218"/>
      </w:pPr>
      <w:rPr>
        <w:rFonts w:hint="default"/>
        <w:lang w:val="es-ES" w:eastAsia="en-US" w:bidi="ar-SA"/>
      </w:rPr>
    </w:lvl>
    <w:lvl w:ilvl="7" w:tplc="EAD8F98A">
      <w:numFmt w:val="bullet"/>
      <w:lvlText w:val="•"/>
      <w:lvlJc w:val="left"/>
      <w:pPr>
        <w:ind w:left="8868" w:hanging="218"/>
      </w:pPr>
      <w:rPr>
        <w:rFonts w:hint="default"/>
        <w:lang w:val="es-ES" w:eastAsia="en-US" w:bidi="ar-SA"/>
      </w:rPr>
    </w:lvl>
    <w:lvl w:ilvl="8" w:tplc="C158F532">
      <w:numFmt w:val="bullet"/>
      <w:lvlText w:val="•"/>
      <w:lvlJc w:val="left"/>
      <w:pPr>
        <w:ind w:left="9812" w:hanging="218"/>
      </w:pPr>
      <w:rPr>
        <w:rFonts w:hint="default"/>
        <w:lang w:val="es-ES" w:eastAsia="en-US" w:bidi="ar-SA"/>
      </w:rPr>
    </w:lvl>
  </w:abstractNum>
  <w:abstractNum w:abstractNumId="79" w15:restartNumberingAfterBreak="0">
    <w:nsid w:val="58EF1C73"/>
    <w:multiLevelType w:val="hybridMultilevel"/>
    <w:tmpl w:val="14463042"/>
    <w:lvl w:ilvl="0" w:tplc="D86E9A04">
      <w:start w:val="1"/>
      <w:numFmt w:val="decimal"/>
      <w:lvlText w:val="%1."/>
      <w:lvlJc w:val="left"/>
      <w:pPr>
        <w:ind w:left="1636" w:hanging="360"/>
      </w:pPr>
      <w:rPr>
        <w:rFonts w:hint="default"/>
      </w:rPr>
    </w:lvl>
    <w:lvl w:ilvl="1" w:tplc="140A0019" w:tentative="1">
      <w:start w:val="1"/>
      <w:numFmt w:val="lowerLetter"/>
      <w:lvlText w:val="%2."/>
      <w:lvlJc w:val="left"/>
      <w:pPr>
        <w:ind w:left="2356" w:hanging="360"/>
      </w:pPr>
    </w:lvl>
    <w:lvl w:ilvl="2" w:tplc="140A001B" w:tentative="1">
      <w:start w:val="1"/>
      <w:numFmt w:val="lowerRoman"/>
      <w:lvlText w:val="%3."/>
      <w:lvlJc w:val="right"/>
      <w:pPr>
        <w:ind w:left="3076" w:hanging="180"/>
      </w:pPr>
    </w:lvl>
    <w:lvl w:ilvl="3" w:tplc="140A000F" w:tentative="1">
      <w:start w:val="1"/>
      <w:numFmt w:val="decimal"/>
      <w:lvlText w:val="%4."/>
      <w:lvlJc w:val="left"/>
      <w:pPr>
        <w:ind w:left="3796" w:hanging="360"/>
      </w:pPr>
    </w:lvl>
    <w:lvl w:ilvl="4" w:tplc="140A0019" w:tentative="1">
      <w:start w:val="1"/>
      <w:numFmt w:val="lowerLetter"/>
      <w:lvlText w:val="%5."/>
      <w:lvlJc w:val="left"/>
      <w:pPr>
        <w:ind w:left="4516" w:hanging="360"/>
      </w:pPr>
    </w:lvl>
    <w:lvl w:ilvl="5" w:tplc="140A001B" w:tentative="1">
      <w:start w:val="1"/>
      <w:numFmt w:val="lowerRoman"/>
      <w:lvlText w:val="%6."/>
      <w:lvlJc w:val="right"/>
      <w:pPr>
        <w:ind w:left="5236" w:hanging="180"/>
      </w:pPr>
    </w:lvl>
    <w:lvl w:ilvl="6" w:tplc="140A000F" w:tentative="1">
      <w:start w:val="1"/>
      <w:numFmt w:val="decimal"/>
      <w:lvlText w:val="%7."/>
      <w:lvlJc w:val="left"/>
      <w:pPr>
        <w:ind w:left="5956" w:hanging="360"/>
      </w:pPr>
    </w:lvl>
    <w:lvl w:ilvl="7" w:tplc="140A0019" w:tentative="1">
      <w:start w:val="1"/>
      <w:numFmt w:val="lowerLetter"/>
      <w:lvlText w:val="%8."/>
      <w:lvlJc w:val="left"/>
      <w:pPr>
        <w:ind w:left="6676" w:hanging="360"/>
      </w:pPr>
    </w:lvl>
    <w:lvl w:ilvl="8" w:tplc="140A001B" w:tentative="1">
      <w:start w:val="1"/>
      <w:numFmt w:val="lowerRoman"/>
      <w:lvlText w:val="%9."/>
      <w:lvlJc w:val="right"/>
      <w:pPr>
        <w:ind w:left="7396" w:hanging="180"/>
      </w:pPr>
    </w:lvl>
  </w:abstractNum>
  <w:abstractNum w:abstractNumId="80" w15:restartNumberingAfterBreak="0">
    <w:nsid w:val="59112CFE"/>
    <w:multiLevelType w:val="hybridMultilevel"/>
    <w:tmpl w:val="72D24650"/>
    <w:lvl w:ilvl="0" w:tplc="C554BF56">
      <w:start w:val="283"/>
      <w:numFmt w:val="decimal"/>
      <w:lvlText w:val="%1"/>
      <w:lvlJc w:val="left"/>
      <w:pPr>
        <w:ind w:left="1370" w:hanging="244"/>
      </w:pPr>
      <w:rPr>
        <w:rFonts w:hint="default"/>
        <w:spacing w:val="-1"/>
        <w:w w:val="104"/>
        <w:lang w:val="es-ES" w:eastAsia="en-US" w:bidi="ar-SA"/>
      </w:rPr>
    </w:lvl>
    <w:lvl w:ilvl="1" w:tplc="B85AE222">
      <w:numFmt w:val="bullet"/>
      <w:lvlText w:val="•"/>
      <w:lvlJc w:val="left"/>
      <w:pPr>
        <w:ind w:left="2412" w:hanging="244"/>
      </w:pPr>
      <w:rPr>
        <w:rFonts w:hint="default"/>
        <w:lang w:val="es-ES" w:eastAsia="en-US" w:bidi="ar-SA"/>
      </w:rPr>
    </w:lvl>
    <w:lvl w:ilvl="2" w:tplc="B7525F8A">
      <w:numFmt w:val="bullet"/>
      <w:lvlText w:val="•"/>
      <w:lvlJc w:val="left"/>
      <w:pPr>
        <w:ind w:left="3444" w:hanging="244"/>
      </w:pPr>
      <w:rPr>
        <w:rFonts w:hint="default"/>
        <w:lang w:val="es-ES" w:eastAsia="en-US" w:bidi="ar-SA"/>
      </w:rPr>
    </w:lvl>
    <w:lvl w:ilvl="3" w:tplc="AE4AD0FA">
      <w:numFmt w:val="bullet"/>
      <w:lvlText w:val="•"/>
      <w:lvlJc w:val="left"/>
      <w:pPr>
        <w:ind w:left="4476" w:hanging="244"/>
      </w:pPr>
      <w:rPr>
        <w:rFonts w:hint="default"/>
        <w:lang w:val="es-ES" w:eastAsia="en-US" w:bidi="ar-SA"/>
      </w:rPr>
    </w:lvl>
    <w:lvl w:ilvl="4" w:tplc="B448B612">
      <w:numFmt w:val="bullet"/>
      <w:lvlText w:val="•"/>
      <w:lvlJc w:val="left"/>
      <w:pPr>
        <w:ind w:left="5508" w:hanging="244"/>
      </w:pPr>
      <w:rPr>
        <w:rFonts w:hint="default"/>
        <w:lang w:val="es-ES" w:eastAsia="en-US" w:bidi="ar-SA"/>
      </w:rPr>
    </w:lvl>
    <w:lvl w:ilvl="5" w:tplc="7158C6A6">
      <w:numFmt w:val="bullet"/>
      <w:lvlText w:val="•"/>
      <w:lvlJc w:val="left"/>
      <w:pPr>
        <w:ind w:left="6540" w:hanging="244"/>
      </w:pPr>
      <w:rPr>
        <w:rFonts w:hint="default"/>
        <w:lang w:val="es-ES" w:eastAsia="en-US" w:bidi="ar-SA"/>
      </w:rPr>
    </w:lvl>
    <w:lvl w:ilvl="6" w:tplc="61824074">
      <w:numFmt w:val="bullet"/>
      <w:lvlText w:val="•"/>
      <w:lvlJc w:val="left"/>
      <w:pPr>
        <w:ind w:left="7572" w:hanging="244"/>
      </w:pPr>
      <w:rPr>
        <w:rFonts w:hint="default"/>
        <w:lang w:val="es-ES" w:eastAsia="en-US" w:bidi="ar-SA"/>
      </w:rPr>
    </w:lvl>
    <w:lvl w:ilvl="7" w:tplc="21725FC8">
      <w:numFmt w:val="bullet"/>
      <w:lvlText w:val="•"/>
      <w:lvlJc w:val="left"/>
      <w:pPr>
        <w:ind w:left="8604" w:hanging="244"/>
      </w:pPr>
      <w:rPr>
        <w:rFonts w:hint="default"/>
        <w:lang w:val="es-ES" w:eastAsia="en-US" w:bidi="ar-SA"/>
      </w:rPr>
    </w:lvl>
    <w:lvl w:ilvl="8" w:tplc="0916E492">
      <w:numFmt w:val="bullet"/>
      <w:lvlText w:val="•"/>
      <w:lvlJc w:val="left"/>
      <w:pPr>
        <w:ind w:left="9636" w:hanging="244"/>
      </w:pPr>
      <w:rPr>
        <w:rFonts w:hint="default"/>
        <w:lang w:val="es-ES" w:eastAsia="en-US" w:bidi="ar-SA"/>
      </w:rPr>
    </w:lvl>
  </w:abstractNum>
  <w:abstractNum w:abstractNumId="81" w15:restartNumberingAfterBreak="0">
    <w:nsid w:val="5ABA693B"/>
    <w:multiLevelType w:val="hybridMultilevel"/>
    <w:tmpl w:val="6E540738"/>
    <w:lvl w:ilvl="0" w:tplc="140A0015">
      <w:start w:val="1"/>
      <w:numFmt w:val="upperLetter"/>
      <w:lvlText w:val="%1."/>
      <w:lvlJc w:val="left"/>
      <w:pPr>
        <w:ind w:left="720" w:hanging="360"/>
      </w:p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82" w15:restartNumberingAfterBreak="0">
    <w:nsid w:val="5D1C390D"/>
    <w:multiLevelType w:val="hybridMultilevel"/>
    <w:tmpl w:val="C5224F50"/>
    <w:lvl w:ilvl="0" w:tplc="3A36A662">
      <w:start w:val="8"/>
      <w:numFmt w:val="lowerLetter"/>
      <w:lvlText w:val="%1)"/>
      <w:lvlJc w:val="left"/>
      <w:pPr>
        <w:ind w:left="1902" w:hanging="202"/>
      </w:pPr>
      <w:rPr>
        <w:rFonts w:ascii="Arial MT" w:eastAsia="Arial MT" w:hAnsi="Arial MT" w:cs="Arial MT" w:hint="default"/>
        <w:b w:val="0"/>
        <w:bCs w:val="0"/>
        <w:i w:val="0"/>
        <w:iCs w:val="0"/>
        <w:spacing w:val="0"/>
        <w:w w:val="101"/>
        <w:sz w:val="17"/>
        <w:szCs w:val="17"/>
        <w:lang w:val="es-ES" w:eastAsia="en-US" w:bidi="ar-SA"/>
      </w:rPr>
    </w:lvl>
    <w:lvl w:ilvl="1" w:tplc="9E60656E">
      <w:start w:val="9"/>
      <w:numFmt w:val="lowerLetter"/>
      <w:lvlText w:val="(%2)"/>
      <w:lvlJc w:val="left"/>
      <w:pPr>
        <w:ind w:left="1904" w:hanging="202"/>
      </w:pPr>
      <w:rPr>
        <w:rFonts w:ascii="Arial MT" w:eastAsia="Arial MT" w:hAnsi="Arial MT" w:cs="Arial MT" w:hint="default"/>
        <w:b w:val="0"/>
        <w:bCs w:val="0"/>
        <w:i w:val="0"/>
        <w:iCs w:val="0"/>
        <w:spacing w:val="0"/>
        <w:w w:val="101"/>
        <w:sz w:val="17"/>
        <w:szCs w:val="17"/>
        <w:lang w:val="es-ES" w:eastAsia="en-US" w:bidi="ar-SA"/>
      </w:rPr>
    </w:lvl>
    <w:lvl w:ilvl="2" w:tplc="AB6826F0">
      <w:numFmt w:val="bullet"/>
      <w:lvlText w:val="•"/>
      <w:lvlJc w:val="left"/>
      <w:pPr>
        <w:ind w:left="3860" w:hanging="202"/>
      </w:pPr>
      <w:rPr>
        <w:rFonts w:hint="default"/>
        <w:lang w:val="es-ES" w:eastAsia="en-US" w:bidi="ar-SA"/>
      </w:rPr>
    </w:lvl>
    <w:lvl w:ilvl="3" w:tplc="2EB430B0">
      <w:numFmt w:val="bullet"/>
      <w:lvlText w:val="•"/>
      <w:lvlJc w:val="left"/>
      <w:pPr>
        <w:ind w:left="4840" w:hanging="202"/>
      </w:pPr>
      <w:rPr>
        <w:rFonts w:hint="default"/>
        <w:lang w:val="es-ES" w:eastAsia="en-US" w:bidi="ar-SA"/>
      </w:rPr>
    </w:lvl>
    <w:lvl w:ilvl="4" w:tplc="545E2828">
      <w:numFmt w:val="bullet"/>
      <w:lvlText w:val="•"/>
      <w:lvlJc w:val="left"/>
      <w:pPr>
        <w:ind w:left="5820" w:hanging="202"/>
      </w:pPr>
      <w:rPr>
        <w:rFonts w:hint="default"/>
        <w:lang w:val="es-ES" w:eastAsia="en-US" w:bidi="ar-SA"/>
      </w:rPr>
    </w:lvl>
    <w:lvl w:ilvl="5" w:tplc="DDB6491E">
      <w:numFmt w:val="bullet"/>
      <w:lvlText w:val="•"/>
      <w:lvlJc w:val="left"/>
      <w:pPr>
        <w:ind w:left="6800" w:hanging="202"/>
      </w:pPr>
      <w:rPr>
        <w:rFonts w:hint="default"/>
        <w:lang w:val="es-ES" w:eastAsia="en-US" w:bidi="ar-SA"/>
      </w:rPr>
    </w:lvl>
    <w:lvl w:ilvl="6" w:tplc="92B82A48">
      <w:numFmt w:val="bullet"/>
      <w:lvlText w:val="•"/>
      <w:lvlJc w:val="left"/>
      <w:pPr>
        <w:ind w:left="7780" w:hanging="202"/>
      </w:pPr>
      <w:rPr>
        <w:rFonts w:hint="default"/>
        <w:lang w:val="es-ES" w:eastAsia="en-US" w:bidi="ar-SA"/>
      </w:rPr>
    </w:lvl>
    <w:lvl w:ilvl="7" w:tplc="55145C64">
      <w:numFmt w:val="bullet"/>
      <w:lvlText w:val="•"/>
      <w:lvlJc w:val="left"/>
      <w:pPr>
        <w:ind w:left="8760" w:hanging="202"/>
      </w:pPr>
      <w:rPr>
        <w:rFonts w:hint="default"/>
        <w:lang w:val="es-ES" w:eastAsia="en-US" w:bidi="ar-SA"/>
      </w:rPr>
    </w:lvl>
    <w:lvl w:ilvl="8" w:tplc="E0C6AD60">
      <w:numFmt w:val="bullet"/>
      <w:lvlText w:val="•"/>
      <w:lvlJc w:val="left"/>
      <w:pPr>
        <w:ind w:left="9740" w:hanging="202"/>
      </w:pPr>
      <w:rPr>
        <w:rFonts w:hint="default"/>
        <w:lang w:val="es-ES" w:eastAsia="en-US" w:bidi="ar-SA"/>
      </w:rPr>
    </w:lvl>
  </w:abstractNum>
  <w:abstractNum w:abstractNumId="83" w15:restartNumberingAfterBreak="0">
    <w:nsid w:val="5D6F42BD"/>
    <w:multiLevelType w:val="hybridMultilevel"/>
    <w:tmpl w:val="2104F0BC"/>
    <w:lvl w:ilvl="0" w:tplc="0F5A7006">
      <w:start w:val="2"/>
      <w:numFmt w:val="decimal"/>
      <w:lvlText w:val="%1"/>
      <w:lvlJc w:val="left"/>
      <w:pPr>
        <w:ind w:left="1214" w:hanging="110"/>
      </w:pPr>
      <w:rPr>
        <w:rFonts w:ascii="Arial MT" w:eastAsia="Arial MT" w:hAnsi="Arial MT" w:cs="Arial MT" w:hint="default"/>
        <w:b w:val="0"/>
        <w:bCs w:val="0"/>
        <w:i w:val="0"/>
        <w:iCs w:val="0"/>
        <w:spacing w:val="0"/>
        <w:w w:val="101"/>
        <w:sz w:val="13"/>
        <w:szCs w:val="13"/>
        <w:lang w:val="es-ES" w:eastAsia="en-US" w:bidi="ar-SA"/>
      </w:rPr>
    </w:lvl>
    <w:lvl w:ilvl="1" w:tplc="2C18065A">
      <w:numFmt w:val="bullet"/>
      <w:lvlText w:val="•"/>
      <w:lvlJc w:val="left"/>
      <w:pPr>
        <w:ind w:left="2268" w:hanging="110"/>
      </w:pPr>
      <w:rPr>
        <w:rFonts w:hint="default"/>
        <w:lang w:val="es-ES" w:eastAsia="en-US" w:bidi="ar-SA"/>
      </w:rPr>
    </w:lvl>
    <w:lvl w:ilvl="2" w:tplc="F732F766">
      <w:numFmt w:val="bullet"/>
      <w:lvlText w:val="•"/>
      <w:lvlJc w:val="left"/>
      <w:pPr>
        <w:ind w:left="3316" w:hanging="110"/>
      </w:pPr>
      <w:rPr>
        <w:rFonts w:hint="default"/>
        <w:lang w:val="es-ES" w:eastAsia="en-US" w:bidi="ar-SA"/>
      </w:rPr>
    </w:lvl>
    <w:lvl w:ilvl="3" w:tplc="ACFCCDF4">
      <w:numFmt w:val="bullet"/>
      <w:lvlText w:val="•"/>
      <w:lvlJc w:val="left"/>
      <w:pPr>
        <w:ind w:left="4364" w:hanging="110"/>
      </w:pPr>
      <w:rPr>
        <w:rFonts w:hint="default"/>
        <w:lang w:val="es-ES" w:eastAsia="en-US" w:bidi="ar-SA"/>
      </w:rPr>
    </w:lvl>
    <w:lvl w:ilvl="4" w:tplc="C1F67DD4">
      <w:numFmt w:val="bullet"/>
      <w:lvlText w:val="•"/>
      <w:lvlJc w:val="left"/>
      <w:pPr>
        <w:ind w:left="5412" w:hanging="110"/>
      </w:pPr>
      <w:rPr>
        <w:rFonts w:hint="default"/>
        <w:lang w:val="es-ES" w:eastAsia="en-US" w:bidi="ar-SA"/>
      </w:rPr>
    </w:lvl>
    <w:lvl w:ilvl="5" w:tplc="A5E85134">
      <w:numFmt w:val="bullet"/>
      <w:lvlText w:val="•"/>
      <w:lvlJc w:val="left"/>
      <w:pPr>
        <w:ind w:left="6460" w:hanging="110"/>
      </w:pPr>
      <w:rPr>
        <w:rFonts w:hint="default"/>
        <w:lang w:val="es-ES" w:eastAsia="en-US" w:bidi="ar-SA"/>
      </w:rPr>
    </w:lvl>
    <w:lvl w:ilvl="6" w:tplc="8822F9CA">
      <w:numFmt w:val="bullet"/>
      <w:lvlText w:val="•"/>
      <w:lvlJc w:val="left"/>
      <w:pPr>
        <w:ind w:left="7508" w:hanging="110"/>
      </w:pPr>
      <w:rPr>
        <w:rFonts w:hint="default"/>
        <w:lang w:val="es-ES" w:eastAsia="en-US" w:bidi="ar-SA"/>
      </w:rPr>
    </w:lvl>
    <w:lvl w:ilvl="7" w:tplc="53A8B2A8">
      <w:numFmt w:val="bullet"/>
      <w:lvlText w:val="•"/>
      <w:lvlJc w:val="left"/>
      <w:pPr>
        <w:ind w:left="8556" w:hanging="110"/>
      </w:pPr>
      <w:rPr>
        <w:rFonts w:hint="default"/>
        <w:lang w:val="es-ES" w:eastAsia="en-US" w:bidi="ar-SA"/>
      </w:rPr>
    </w:lvl>
    <w:lvl w:ilvl="8" w:tplc="5D169DAC">
      <w:numFmt w:val="bullet"/>
      <w:lvlText w:val="•"/>
      <w:lvlJc w:val="left"/>
      <w:pPr>
        <w:ind w:left="9604" w:hanging="110"/>
      </w:pPr>
      <w:rPr>
        <w:rFonts w:hint="default"/>
        <w:lang w:val="es-ES" w:eastAsia="en-US" w:bidi="ar-SA"/>
      </w:rPr>
    </w:lvl>
  </w:abstractNum>
  <w:abstractNum w:abstractNumId="84" w15:restartNumberingAfterBreak="0">
    <w:nsid w:val="5D79280A"/>
    <w:multiLevelType w:val="hybridMultilevel"/>
    <w:tmpl w:val="91FE4176"/>
    <w:lvl w:ilvl="0" w:tplc="140A0013">
      <w:start w:val="1"/>
      <w:numFmt w:val="upperRoman"/>
      <w:lvlText w:val="%1."/>
      <w:lvlJc w:val="right"/>
      <w:pPr>
        <w:ind w:left="1828" w:hanging="360"/>
      </w:pPr>
    </w:lvl>
    <w:lvl w:ilvl="1" w:tplc="140A0019" w:tentative="1">
      <w:start w:val="1"/>
      <w:numFmt w:val="lowerLetter"/>
      <w:lvlText w:val="%2."/>
      <w:lvlJc w:val="left"/>
      <w:pPr>
        <w:ind w:left="2548" w:hanging="360"/>
      </w:pPr>
    </w:lvl>
    <w:lvl w:ilvl="2" w:tplc="140A001B" w:tentative="1">
      <w:start w:val="1"/>
      <w:numFmt w:val="lowerRoman"/>
      <w:lvlText w:val="%3."/>
      <w:lvlJc w:val="right"/>
      <w:pPr>
        <w:ind w:left="3268" w:hanging="180"/>
      </w:pPr>
    </w:lvl>
    <w:lvl w:ilvl="3" w:tplc="140A000F" w:tentative="1">
      <w:start w:val="1"/>
      <w:numFmt w:val="decimal"/>
      <w:lvlText w:val="%4."/>
      <w:lvlJc w:val="left"/>
      <w:pPr>
        <w:ind w:left="3988" w:hanging="360"/>
      </w:pPr>
    </w:lvl>
    <w:lvl w:ilvl="4" w:tplc="140A0019" w:tentative="1">
      <w:start w:val="1"/>
      <w:numFmt w:val="lowerLetter"/>
      <w:lvlText w:val="%5."/>
      <w:lvlJc w:val="left"/>
      <w:pPr>
        <w:ind w:left="4708" w:hanging="360"/>
      </w:pPr>
    </w:lvl>
    <w:lvl w:ilvl="5" w:tplc="140A001B" w:tentative="1">
      <w:start w:val="1"/>
      <w:numFmt w:val="lowerRoman"/>
      <w:lvlText w:val="%6."/>
      <w:lvlJc w:val="right"/>
      <w:pPr>
        <w:ind w:left="5428" w:hanging="180"/>
      </w:pPr>
    </w:lvl>
    <w:lvl w:ilvl="6" w:tplc="140A000F" w:tentative="1">
      <w:start w:val="1"/>
      <w:numFmt w:val="decimal"/>
      <w:lvlText w:val="%7."/>
      <w:lvlJc w:val="left"/>
      <w:pPr>
        <w:ind w:left="6148" w:hanging="360"/>
      </w:pPr>
    </w:lvl>
    <w:lvl w:ilvl="7" w:tplc="140A0019" w:tentative="1">
      <w:start w:val="1"/>
      <w:numFmt w:val="lowerLetter"/>
      <w:lvlText w:val="%8."/>
      <w:lvlJc w:val="left"/>
      <w:pPr>
        <w:ind w:left="6868" w:hanging="360"/>
      </w:pPr>
    </w:lvl>
    <w:lvl w:ilvl="8" w:tplc="140A001B" w:tentative="1">
      <w:start w:val="1"/>
      <w:numFmt w:val="lowerRoman"/>
      <w:lvlText w:val="%9."/>
      <w:lvlJc w:val="right"/>
      <w:pPr>
        <w:ind w:left="7588" w:hanging="180"/>
      </w:pPr>
    </w:lvl>
  </w:abstractNum>
  <w:abstractNum w:abstractNumId="85" w15:restartNumberingAfterBreak="0">
    <w:nsid w:val="5DC92E84"/>
    <w:multiLevelType w:val="hybridMultilevel"/>
    <w:tmpl w:val="632C10CC"/>
    <w:lvl w:ilvl="0" w:tplc="D91EEC5A">
      <w:start w:val="1"/>
      <w:numFmt w:val="decimal"/>
      <w:lvlText w:val="%1."/>
      <w:lvlJc w:val="left"/>
      <w:pPr>
        <w:ind w:left="1407" w:hanging="272"/>
      </w:pPr>
      <w:rPr>
        <w:rFonts w:ascii="Arial MT" w:eastAsia="Arial MT" w:hAnsi="Arial MT" w:cs="Arial MT" w:hint="default"/>
        <w:b w:val="0"/>
        <w:bCs w:val="0"/>
        <w:i w:val="0"/>
        <w:iCs w:val="0"/>
        <w:color w:val="00AC59"/>
        <w:spacing w:val="-1"/>
        <w:w w:val="102"/>
        <w:sz w:val="24"/>
        <w:szCs w:val="24"/>
        <w:lang w:val="es-ES" w:eastAsia="en-US" w:bidi="ar-SA"/>
      </w:rPr>
    </w:lvl>
    <w:lvl w:ilvl="1" w:tplc="CB54FCE2">
      <w:start w:val="1"/>
      <w:numFmt w:val="lowerLetter"/>
      <w:lvlText w:val="%2)"/>
      <w:lvlJc w:val="left"/>
      <w:pPr>
        <w:ind w:left="1355" w:hanging="240"/>
        <w:jc w:val="right"/>
      </w:pPr>
      <w:rPr>
        <w:rFonts w:hint="default"/>
        <w:spacing w:val="0"/>
        <w:w w:val="102"/>
        <w:lang w:val="es-ES" w:eastAsia="en-US" w:bidi="ar-SA"/>
      </w:rPr>
    </w:lvl>
    <w:lvl w:ilvl="2" w:tplc="09D0BA60">
      <w:numFmt w:val="bullet"/>
      <w:lvlText w:val="•"/>
      <w:lvlJc w:val="left"/>
      <w:pPr>
        <w:ind w:left="2544" w:hanging="240"/>
      </w:pPr>
      <w:rPr>
        <w:rFonts w:hint="default"/>
        <w:lang w:val="es-ES" w:eastAsia="en-US" w:bidi="ar-SA"/>
      </w:rPr>
    </w:lvl>
    <w:lvl w:ilvl="3" w:tplc="8DF6822A">
      <w:numFmt w:val="bullet"/>
      <w:lvlText w:val="•"/>
      <w:lvlJc w:val="left"/>
      <w:pPr>
        <w:ind w:left="3688" w:hanging="240"/>
      </w:pPr>
      <w:rPr>
        <w:rFonts w:hint="default"/>
        <w:lang w:val="es-ES" w:eastAsia="en-US" w:bidi="ar-SA"/>
      </w:rPr>
    </w:lvl>
    <w:lvl w:ilvl="4" w:tplc="EEB2C766">
      <w:numFmt w:val="bullet"/>
      <w:lvlText w:val="•"/>
      <w:lvlJc w:val="left"/>
      <w:pPr>
        <w:ind w:left="4833" w:hanging="240"/>
      </w:pPr>
      <w:rPr>
        <w:rFonts w:hint="default"/>
        <w:lang w:val="es-ES" w:eastAsia="en-US" w:bidi="ar-SA"/>
      </w:rPr>
    </w:lvl>
    <w:lvl w:ilvl="5" w:tplc="15A24BA4">
      <w:numFmt w:val="bullet"/>
      <w:lvlText w:val="•"/>
      <w:lvlJc w:val="left"/>
      <w:pPr>
        <w:ind w:left="5977" w:hanging="240"/>
      </w:pPr>
      <w:rPr>
        <w:rFonts w:hint="default"/>
        <w:lang w:val="es-ES" w:eastAsia="en-US" w:bidi="ar-SA"/>
      </w:rPr>
    </w:lvl>
    <w:lvl w:ilvl="6" w:tplc="41C8E546">
      <w:numFmt w:val="bullet"/>
      <w:lvlText w:val="•"/>
      <w:lvlJc w:val="left"/>
      <w:pPr>
        <w:ind w:left="7122" w:hanging="240"/>
      </w:pPr>
      <w:rPr>
        <w:rFonts w:hint="default"/>
        <w:lang w:val="es-ES" w:eastAsia="en-US" w:bidi="ar-SA"/>
      </w:rPr>
    </w:lvl>
    <w:lvl w:ilvl="7" w:tplc="56C2EBA6">
      <w:numFmt w:val="bullet"/>
      <w:lvlText w:val="•"/>
      <w:lvlJc w:val="left"/>
      <w:pPr>
        <w:ind w:left="8266" w:hanging="240"/>
      </w:pPr>
      <w:rPr>
        <w:rFonts w:hint="default"/>
        <w:lang w:val="es-ES" w:eastAsia="en-US" w:bidi="ar-SA"/>
      </w:rPr>
    </w:lvl>
    <w:lvl w:ilvl="8" w:tplc="C6DEE1DE">
      <w:numFmt w:val="bullet"/>
      <w:lvlText w:val="•"/>
      <w:lvlJc w:val="left"/>
      <w:pPr>
        <w:ind w:left="9411" w:hanging="240"/>
      </w:pPr>
      <w:rPr>
        <w:rFonts w:hint="default"/>
        <w:lang w:val="es-ES" w:eastAsia="en-US" w:bidi="ar-SA"/>
      </w:rPr>
    </w:lvl>
  </w:abstractNum>
  <w:abstractNum w:abstractNumId="86" w15:restartNumberingAfterBreak="0">
    <w:nsid w:val="5ED440D0"/>
    <w:multiLevelType w:val="hybridMultilevel"/>
    <w:tmpl w:val="808A961E"/>
    <w:lvl w:ilvl="0" w:tplc="A69E90C0">
      <w:start w:val="1"/>
      <w:numFmt w:val="decimal"/>
      <w:lvlText w:val="%1."/>
      <w:lvlJc w:val="left"/>
      <w:pPr>
        <w:ind w:left="1474" w:hanging="360"/>
      </w:pPr>
      <w:rPr>
        <w:rFonts w:hint="default"/>
        <w:w w:val="105"/>
      </w:r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87" w15:restartNumberingAfterBreak="0">
    <w:nsid w:val="5F3D797F"/>
    <w:multiLevelType w:val="hybridMultilevel"/>
    <w:tmpl w:val="C200F8FE"/>
    <w:lvl w:ilvl="0" w:tplc="B82E5706">
      <w:start w:val="1"/>
      <w:numFmt w:val="decimal"/>
      <w:lvlText w:val="(%1)"/>
      <w:lvlJc w:val="left"/>
      <w:pPr>
        <w:ind w:left="477" w:hanging="240"/>
      </w:pPr>
      <w:rPr>
        <w:rFonts w:ascii="Arial MT" w:eastAsia="Arial MT" w:hAnsi="Arial MT" w:cs="Arial MT" w:hint="default"/>
        <w:b w:val="0"/>
        <w:bCs w:val="0"/>
        <w:i w:val="0"/>
        <w:iCs w:val="0"/>
        <w:spacing w:val="0"/>
        <w:w w:val="99"/>
        <w:sz w:val="16"/>
        <w:szCs w:val="16"/>
        <w:lang w:val="es-ES" w:eastAsia="en-US" w:bidi="ar-SA"/>
      </w:rPr>
    </w:lvl>
    <w:lvl w:ilvl="1" w:tplc="FDA680E4">
      <w:start w:val="1"/>
      <w:numFmt w:val="lowerLetter"/>
      <w:lvlText w:val="(%2)"/>
      <w:lvlJc w:val="left"/>
      <w:pPr>
        <w:ind w:left="789" w:hanging="240"/>
      </w:pPr>
      <w:rPr>
        <w:rFonts w:ascii="Arial MT" w:eastAsia="Arial MT" w:hAnsi="Arial MT" w:cs="Arial MT" w:hint="default"/>
        <w:b w:val="0"/>
        <w:bCs w:val="0"/>
        <w:i w:val="0"/>
        <w:iCs w:val="0"/>
        <w:spacing w:val="0"/>
        <w:w w:val="99"/>
        <w:sz w:val="16"/>
        <w:szCs w:val="16"/>
        <w:lang w:val="es-ES" w:eastAsia="en-US" w:bidi="ar-SA"/>
      </w:rPr>
    </w:lvl>
    <w:lvl w:ilvl="2" w:tplc="4386C80C">
      <w:numFmt w:val="bullet"/>
      <w:lvlText w:val="•"/>
      <w:lvlJc w:val="left"/>
      <w:pPr>
        <w:ind w:left="1668" w:hanging="240"/>
      </w:pPr>
      <w:rPr>
        <w:rFonts w:hint="default"/>
        <w:lang w:val="es-ES" w:eastAsia="en-US" w:bidi="ar-SA"/>
      </w:rPr>
    </w:lvl>
    <w:lvl w:ilvl="3" w:tplc="F2A69524">
      <w:numFmt w:val="bullet"/>
      <w:lvlText w:val="•"/>
      <w:lvlJc w:val="left"/>
      <w:pPr>
        <w:ind w:left="2557" w:hanging="240"/>
      </w:pPr>
      <w:rPr>
        <w:rFonts w:hint="default"/>
        <w:lang w:val="es-ES" w:eastAsia="en-US" w:bidi="ar-SA"/>
      </w:rPr>
    </w:lvl>
    <w:lvl w:ilvl="4" w:tplc="0E485ABC">
      <w:numFmt w:val="bullet"/>
      <w:lvlText w:val="•"/>
      <w:lvlJc w:val="left"/>
      <w:pPr>
        <w:ind w:left="3445" w:hanging="240"/>
      </w:pPr>
      <w:rPr>
        <w:rFonts w:hint="default"/>
        <w:lang w:val="es-ES" w:eastAsia="en-US" w:bidi="ar-SA"/>
      </w:rPr>
    </w:lvl>
    <w:lvl w:ilvl="5" w:tplc="67D6DA1C">
      <w:numFmt w:val="bullet"/>
      <w:lvlText w:val="•"/>
      <w:lvlJc w:val="left"/>
      <w:pPr>
        <w:ind w:left="4334" w:hanging="240"/>
      </w:pPr>
      <w:rPr>
        <w:rFonts w:hint="default"/>
        <w:lang w:val="es-ES" w:eastAsia="en-US" w:bidi="ar-SA"/>
      </w:rPr>
    </w:lvl>
    <w:lvl w:ilvl="6" w:tplc="01CE8970">
      <w:numFmt w:val="bullet"/>
      <w:lvlText w:val="•"/>
      <w:lvlJc w:val="left"/>
      <w:pPr>
        <w:ind w:left="5223" w:hanging="240"/>
      </w:pPr>
      <w:rPr>
        <w:rFonts w:hint="default"/>
        <w:lang w:val="es-ES" w:eastAsia="en-US" w:bidi="ar-SA"/>
      </w:rPr>
    </w:lvl>
    <w:lvl w:ilvl="7" w:tplc="1F6E08D0">
      <w:numFmt w:val="bullet"/>
      <w:lvlText w:val="•"/>
      <w:lvlJc w:val="left"/>
      <w:pPr>
        <w:ind w:left="6111" w:hanging="240"/>
      </w:pPr>
      <w:rPr>
        <w:rFonts w:hint="default"/>
        <w:lang w:val="es-ES" w:eastAsia="en-US" w:bidi="ar-SA"/>
      </w:rPr>
    </w:lvl>
    <w:lvl w:ilvl="8" w:tplc="695EA798">
      <w:numFmt w:val="bullet"/>
      <w:lvlText w:val="•"/>
      <w:lvlJc w:val="left"/>
      <w:pPr>
        <w:ind w:left="7000" w:hanging="240"/>
      </w:pPr>
      <w:rPr>
        <w:rFonts w:hint="default"/>
        <w:lang w:val="es-ES" w:eastAsia="en-US" w:bidi="ar-SA"/>
      </w:rPr>
    </w:lvl>
  </w:abstractNum>
  <w:abstractNum w:abstractNumId="88" w15:restartNumberingAfterBreak="0">
    <w:nsid w:val="5F6F63F9"/>
    <w:multiLevelType w:val="hybridMultilevel"/>
    <w:tmpl w:val="2A767A3C"/>
    <w:lvl w:ilvl="0" w:tplc="D7A213EE">
      <w:start w:val="1"/>
      <w:numFmt w:val="decimal"/>
      <w:lvlText w:val="%1."/>
      <w:lvlJc w:val="left"/>
      <w:pPr>
        <w:ind w:left="1405" w:hanging="270"/>
      </w:pPr>
      <w:rPr>
        <w:rFonts w:hint="default"/>
        <w:spacing w:val="-1"/>
        <w:w w:val="101"/>
        <w:lang w:val="es-ES" w:eastAsia="en-US" w:bidi="ar-SA"/>
      </w:rPr>
    </w:lvl>
    <w:lvl w:ilvl="1" w:tplc="F482A486">
      <w:numFmt w:val="bullet"/>
      <w:lvlText w:val="•"/>
      <w:lvlJc w:val="left"/>
      <w:pPr>
        <w:ind w:left="2430" w:hanging="270"/>
      </w:pPr>
      <w:rPr>
        <w:rFonts w:hint="default"/>
        <w:lang w:val="es-ES" w:eastAsia="en-US" w:bidi="ar-SA"/>
      </w:rPr>
    </w:lvl>
    <w:lvl w:ilvl="2" w:tplc="2624B370">
      <w:numFmt w:val="bullet"/>
      <w:lvlText w:val="•"/>
      <w:lvlJc w:val="left"/>
      <w:pPr>
        <w:ind w:left="3460" w:hanging="270"/>
      </w:pPr>
      <w:rPr>
        <w:rFonts w:hint="default"/>
        <w:lang w:val="es-ES" w:eastAsia="en-US" w:bidi="ar-SA"/>
      </w:rPr>
    </w:lvl>
    <w:lvl w:ilvl="3" w:tplc="61EE7062">
      <w:numFmt w:val="bullet"/>
      <w:lvlText w:val="•"/>
      <w:lvlJc w:val="left"/>
      <w:pPr>
        <w:ind w:left="4490" w:hanging="270"/>
      </w:pPr>
      <w:rPr>
        <w:rFonts w:hint="default"/>
        <w:lang w:val="es-ES" w:eastAsia="en-US" w:bidi="ar-SA"/>
      </w:rPr>
    </w:lvl>
    <w:lvl w:ilvl="4" w:tplc="C492A3E8">
      <w:numFmt w:val="bullet"/>
      <w:lvlText w:val="•"/>
      <w:lvlJc w:val="left"/>
      <w:pPr>
        <w:ind w:left="5520" w:hanging="270"/>
      </w:pPr>
      <w:rPr>
        <w:rFonts w:hint="default"/>
        <w:lang w:val="es-ES" w:eastAsia="en-US" w:bidi="ar-SA"/>
      </w:rPr>
    </w:lvl>
    <w:lvl w:ilvl="5" w:tplc="9A7C12AA">
      <w:numFmt w:val="bullet"/>
      <w:lvlText w:val="•"/>
      <w:lvlJc w:val="left"/>
      <w:pPr>
        <w:ind w:left="6550" w:hanging="270"/>
      </w:pPr>
      <w:rPr>
        <w:rFonts w:hint="default"/>
        <w:lang w:val="es-ES" w:eastAsia="en-US" w:bidi="ar-SA"/>
      </w:rPr>
    </w:lvl>
    <w:lvl w:ilvl="6" w:tplc="69BCE0DA">
      <w:numFmt w:val="bullet"/>
      <w:lvlText w:val="•"/>
      <w:lvlJc w:val="left"/>
      <w:pPr>
        <w:ind w:left="7580" w:hanging="270"/>
      </w:pPr>
      <w:rPr>
        <w:rFonts w:hint="default"/>
        <w:lang w:val="es-ES" w:eastAsia="en-US" w:bidi="ar-SA"/>
      </w:rPr>
    </w:lvl>
    <w:lvl w:ilvl="7" w:tplc="9D72A2A6">
      <w:numFmt w:val="bullet"/>
      <w:lvlText w:val="•"/>
      <w:lvlJc w:val="left"/>
      <w:pPr>
        <w:ind w:left="8610" w:hanging="270"/>
      </w:pPr>
      <w:rPr>
        <w:rFonts w:hint="default"/>
        <w:lang w:val="es-ES" w:eastAsia="en-US" w:bidi="ar-SA"/>
      </w:rPr>
    </w:lvl>
    <w:lvl w:ilvl="8" w:tplc="3C68E298">
      <w:numFmt w:val="bullet"/>
      <w:lvlText w:val="•"/>
      <w:lvlJc w:val="left"/>
      <w:pPr>
        <w:ind w:left="9640" w:hanging="270"/>
      </w:pPr>
      <w:rPr>
        <w:rFonts w:hint="default"/>
        <w:lang w:val="es-ES" w:eastAsia="en-US" w:bidi="ar-SA"/>
      </w:rPr>
    </w:lvl>
  </w:abstractNum>
  <w:abstractNum w:abstractNumId="89" w15:restartNumberingAfterBreak="0">
    <w:nsid w:val="60E20597"/>
    <w:multiLevelType w:val="hybridMultilevel"/>
    <w:tmpl w:val="58BC8C3C"/>
    <w:lvl w:ilvl="0" w:tplc="4F38A8AC">
      <w:start w:val="11"/>
      <w:numFmt w:val="decimal"/>
      <w:lvlText w:val="%1"/>
      <w:lvlJc w:val="left"/>
      <w:pPr>
        <w:ind w:left="1369" w:hanging="156"/>
      </w:pPr>
      <w:rPr>
        <w:rFonts w:ascii="Arial MT" w:eastAsia="Arial MT" w:hAnsi="Arial MT" w:cs="Arial MT" w:hint="default"/>
        <w:b w:val="0"/>
        <w:bCs w:val="0"/>
        <w:i w:val="0"/>
        <w:iCs w:val="0"/>
        <w:spacing w:val="-1"/>
        <w:w w:val="101"/>
        <w:sz w:val="11"/>
        <w:szCs w:val="11"/>
        <w:lang w:val="es-ES" w:eastAsia="en-US" w:bidi="ar-SA"/>
      </w:rPr>
    </w:lvl>
    <w:lvl w:ilvl="1" w:tplc="80C0DB8A">
      <w:numFmt w:val="bullet"/>
      <w:lvlText w:val="•"/>
      <w:lvlJc w:val="left"/>
      <w:pPr>
        <w:ind w:left="2394" w:hanging="156"/>
      </w:pPr>
      <w:rPr>
        <w:rFonts w:hint="default"/>
        <w:lang w:val="es-ES" w:eastAsia="en-US" w:bidi="ar-SA"/>
      </w:rPr>
    </w:lvl>
    <w:lvl w:ilvl="2" w:tplc="D092FF2A">
      <w:numFmt w:val="bullet"/>
      <w:lvlText w:val="•"/>
      <w:lvlJc w:val="left"/>
      <w:pPr>
        <w:ind w:left="3428" w:hanging="156"/>
      </w:pPr>
      <w:rPr>
        <w:rFonts w:hint="default"/>
        <w:lang w:val="es-ES" w:eastAsia="en-US" w:bidi="ar-SA"/>
      </w:rPr>
    </w:lvl>
    <w:lvl w:ilvl="3" w:tplc="B76ACE54">
      <w:numFmt w:val="bullet"/>
      <w:lvlText w:val="•"/>
      <w:lvlJc w:val="left"/>
      <w:pPr>
        <w:ind w:left="4462" w:hanging="156"/>
      </w:pPr>
      <w:rPr>
        <w:rFonts w:hint="default"/>
        <w:lang w:val="es-ES" w:eastAsia="en-US" w:bidi="ar-SA"/>
      </w:rPr>
    </w:lvl>
    <w:lvl w:ilvl="4" w:tplc="2968FD94">
      <w:numFmt w:val="bullet"/>
      <w:lvlText w:val="•"/>
      <w:lvlJc w:val="left"/>
      <w:pPr>
        <w:ind w:left="5496" w:hanging="156"/>
      </w:pPr>
      <w:rPr>
        <w:rFonts w:hint="default"/>
        <w:lang w:val="es-ES" w:eastAsia="en-US" w:bidi="ar-SA"/>
      </w:rPr>
    </w:lvl>
    <w:lvl w:ilvl="5" w:tplc="DFCC14FA">
      <w:numFmt w:val="bullet"/>
      <w:lvlText w:val="•"/>
      <w:lvlJc w:val="left"/>
      <w:pPr>
        <w:ind w:left="6530" w:hanging="156"/>
      </w:pPr>
      <w:rPr>
        <w:rFonts w:hint="default"/>
        <w:lang w:val="es-ES" w:eastAsia="en-US" w:bidi="ar-SA"/>
      </w:rPr>
    </w:lvl>
    <w:lvl w:ilvl="6" w:tplc="19EE0FDE">
      <w:numFmt w:val="bullet"/>
      <w:lvlText w:val="•"/>
      <w:lvlJc w:val="left"/>
      <w:pPr>
        <w:ind w:left="7564" w:hanging="156"/>
      </w:pPr>
      <w:rPr>
        <w:rFonts w:hint="default"/>
        <w:lang w:val="es-ES" w:eastAsia="en-US" w:bidi="ar-SA"/>
      </w:rPr>
    </w:lvl>
    <w:lvl w:ilvl="7" w:tplc="0298D19A">
      <w:numFmt w:val="bullet"/>
      <w:lvlText w:val="•"/>
      <w:lvlJc w:val="left"/>
      <w:pPr>
        <w:ind w:left="8598" w:hanging="156"/>
      </w:pPr>
      <w:rPr>
        <w:rFonts w:hint="default"/>
        <w:lang w:val="es-ES" w:eastAsia="en-US" w:bidi="ar-SA"/>
      </w:rPr>
    </w:lvl>
    <w:lvl w:ilvl="8" w:tplc="C25CF4B2">
      <w:numFmt w:val="bullet"/>
      <w:lvlText w:val="•"/>
      <w:lvlJc w:val="left"/>
      <w:pPr>
        <w:ind w:left="9632" w:hanging="156"/>
      </w:pPr>
      <w:rPr>
        <w:rFonts w:hint="default"/>
        <w:lang w:val="es-ES" w:eastAsia="en-US" w:bidi="ar-SA"/>
      </w:rPr>
    </w:lvl>
  </w:abstractNum>
  <w:abstractNum w:abstractNumId="90" w15:restartNumberingAfterBreak="0">
    <w:nsid w:val="618906DF"/>
    <w:multiLevelType w:val="hybridMultilevel"/>
    <w:tmpl w:val="A5C88574"/>
    <w:lvl w:ilvl="0" w:tplc="2452C40C">
      <w:numFmt w:val="bullet"/>
      <w:lvlText w:val="•"/>
      <w:lvlJc w:val="left"/>
      <w:pPr>
        <w:ind w:left="1902" w:hanging="100"/>
      </w:pPr>
      <w:rPr>
        <w:rFonts w:ascii="Arial MT" w:eastAsia="Arial MT" w:hAnsi="Arial MT" w:cs="Arial MT" w:hint="default"/>
        <w:b w:val="0"/>
        <w:bCs w:val="0"/>
        <w:i w:val="0"/>
        <w:iCs w:val="0"/>
        <w:spacing w:val="0"/>
        <w:w w:val="99"/>
        <w:sz w:val="16"/>
        <w:szCs w:val="16"/>
        <w:lang w:val="es-ES" w:eastAsia="en-US" w:bidi="ar-SA"/>
      </w:rPr>
    </w:lvl>
    <w:lvl w:ilvl="1" w:tplc="9A6A40A2">
      <w:numFmt w:val="bullet"/>
      <w:lvlText w:val="•"/>
      <w:lvlJc w:val="left"/>
      <w:pPr>
        <w:ind w:left="2880" w:hanging="100"/>
      </w:pPr>
      <w:rPr>
        <w:rFonts w:hint="default"/>
        <w:lang w:val="es-ES" w:eastAsia="en-US" w:bidi="ar-SA"/>
      </w:rPr>
    </w:lvl>
    <w:lvl w:ilvl="2" w:tplc="E45667A4">
      <w:numFmt w:val="bullet"/>
      <w:lvlText w:val="•"/>
      <w:lvlJc w:val="left"/>
      <w:pPr>
        <w:ind w:left="3860" w:hanging="100"/>
      </w:pPr>
      <w:rPr>
        <w:rFonts w:hint="default"/>
        <w:lang w:val="es-ES" w:eastAsia="en-US" w:bidi="ar-SA"/>
      </w:rPr>
    </w:lvl>
    <w:lvl w:ilvl="3" w:tplc="9DB83CE6">
      <w:numFmt w:val="bullet"/>
      <w:lvlText w:val="•"/>
      <w:lvlJc w:val="left"/>
      <w:pPr>
        <w:ind w:left="4840" w:hanging="100"/>
      </w:pPr>
      <w:rPr>
        <w:rFonts w:hint="default"/>
        <w:lang w:val="es-ES" w:eastAsia="en-US" w:bidi="ar-SA"/>
      </w:rPr>
    </w:lvl>
    <w:lvl w:ilvl="4" w:tplc="D5B2A6D6">
      <w:numFmt w:val="bullet"/>
      <w:lvlText w:val="•"/>
      <w:lvlJc w:val="left"/>
      <w:pPr>
        <w:ind w:left="5820" w:hanging="100"/>
      </w:pPr>
      <w:rPr>
        <w:rFonts w:hint="default"/>
        <w:lang w:val="es-ES" w:eastAsia="en-US" w:bidi="ar-SA"/>
      </w:rPr>
    </w:lvl>
    <w:lvl w:ilvl="5" w:tplc="F09E8E2E">
      <w:numFmt w:val="bullet"/>
      <w:lvlText w:val="•"/>
      <w:lvlJc w:val="left"/>
      <w:pPr>
        <w:ind w:left="6800" w:hanging="100"/>
      </w:pPr>
      <w:rPr>
        <w:rFonts w:hint="default"/>
        <w:lang w:val="es-ES" w:eastAsia="en-US" w:bidi="ar-SA"/>
      </w:rPr>
    </w:lvl>
    <w:lvl w:ilvl="6" w:tplc="FE8E44F6">
      <w:numFmt w:val="bullet"/>
      <w:lvlText w:val="•"/>
      <w:lvlJc w:val="left"/>
      <w:pPr>
        <w:ind w:left="7780" w:hanging="100"/>
      </w:pPr>
      <w:rPr>
        <w:rFonts w:hint="default"/>
        <w:lang w:val="es-ES" w:eastAsia="en-US" w:bidi="ar-SA"/>
      </w:rPr>
    </w:lvl>
    <w:lvl w:ilvl="7" w:tplc="E06C4294">
      <w:numFmt w:val="bullet"/>
      <w:lvlText w:val="•"/>
      <w:lvlJc w:val="left"/>
      <w:pPr>
        <w:ind w:left="8760" w:hanging="100"/>
      </w:pPr>
      <w:rPr>
        <w:rFonts w:hint="default"/>
        <w:lang w:val="es-ES" w:eastAsia="en-US" w:bidi="ar-SA"/>
      </w:rPr>
    </w:lvl>
    <w:lvl w:ilvl="8" w:tplc="81A419F6">
      <w:numFmt w:val="bullet"/>
      <w:lvlText w:val="•"/>
      <w:lvlJc w:val="left"/>
      <w:pPr>
        <w:ind w:left="9740" w:hanging="100"/>
      </w:pPr>
      <w:rPr>
        <w:rFonts w:hint="default"/>
        <w:lang w:val="es-ES" w:eastAsia="en-US" w:bidi="ar-SA"/>
      </w:rPr>
    </w:lvl>
  </w:abstractNum>
  <w:abstractNum w:abstractNumId="91" w15:restartNumberingAfterBreak="0">
    <w:nsid w:val="62703D0A"/>
    <w:multiLevelType w:val="hybridMultilevel"/>
    <w:tmpl w:val="C0224E42"/>
    <w:lvl w:ilvl="0" w:tplc="BA8861D4">
      <w:start w:val="80"/>
      <w:numFmt w:val="decimal"/>
      <w:lvlText w:val="%1"/>
      <w:lvlJc w:val="left"/>
      <w:pPr>
        <w:ind w:left="1273" w:hanging="163"/>
      </w:pPr>
      <w:rPr>
        <w:rFonts w:ascii="Arial MT" w:eastAsia="Arial MT" w:hAnsi="Arial MT" w:cs="Arial MT" w:hint="default"/>
        <w:b w:val="0"/>
        <w:bCs w:val="0"/>
        <w:i w:val="0"/>
        <w:iCs w:val="0"/>
        <w:spacing w:val="-1"/>
        <w:w w:val="106"/>
        <w:sz w:val="11"/>
        <w:szCs w:val="11"/>
        <w:lang w:val="es-ES" w:eastAsia="en-US" w:bidi="ar-SA"/>
      </w:rPr>
    </w:lvl>
    <w:lvl w:ilvl="1" w:tplc="96E45458">
      <w:numFmt w:val="bullet"/>
      <w:lvlText w:val="•"/>
      <w:lvlJc w:val="left"/>
      <w:pPr>
        <w:ind w:left="2322" w:hanging="163"/>
      </w:pPr>
      <w:rPr>
        <w:rFonts w:hint="default"/>
        <w:lang w:val="es-ES" w:eastAsia="en-US" w:bidi="ar-SA"/>
      </w:rPr>
    </w:lvl>
    <w:lvl w:ilvl="2" w:tplc="4D983AA0">
      <w:numFmt w:val="bullet"/>
      <w:lvlText w:val="•"/>
      <w:lvlJc w:val="left"/>
      <w:pPr>
        <w:ind w:left="3364" w:hanging="163"/>
      </w:pPr>
      <w:rPr>
        <w:rFonts w:hint="default"/>
        <w:lang w:val="es-ES" w:eastAsia="en-US" w:bidi="ar-SA"/>
      </w:rPr>
    </w:lvl>
    <w:lvl w:ilvl="3" w:tplc="7B865598">
      <w:numFmt w:val="bullet"/>
      <w:lvlText w:val="•"/>
      <w:lvlJc w:val="left"/>
      <w:pPr>
        <w:ind w:left="4406" w:hanging="163"/>
      </w:pPr>
      <w:rPr>
        <w:rFonts w:hint="default"/>
        <w:lang w:val="es-ES" w:eastAsia="en-US" w:bidi="ar-SA"/>
      </w:rPr>
    </w:lvl>
    <w:lvl w:ilvl="4" w:tplc="28F25194">
      <w:numFmt w:val="bullet"/>
      <w:lvlText w:val="•"/>
      <w:lvlJc w:val="left"/>
      <w:pPr>
        <w:ind w:left="5448" w:hanging="163"/>
      </w:pPr>
      <w:rPr>
        <w:rFonts w:hint="default"/>
        <w:lang w:val="es-ES" w:eastAsia="en-US" w:bidi="ar-SA"/>
      </w:rPr>
    </w:lvl>
    <w:lvl w:ilvl="5" w:tplc="09B251D0">
      <w:numFmt w:val="bullet"/>
      <w:lvlText w:val="•"/>
      <w:lvlJc w:val="left"/>
      <w:pPr>
        <w:ind w:left="6490" w:hanging="163"/>
      </w:pPr>
      <w:rPr>
        <w:rFonts w:hint="default"/>
        <w:lang w:val="es-ES" w:eastAsia="en-US" w:bidi="ar-SA"/>
      </w:rPr>
    </w:lvl>
    <w:lvl w:ilvl="6" w:tplc="270A1F7C">
      <w:numFmt w:val="bullet"/>
      <w:lvlText w:val="•"/>
      <w:lvlJc w:val="left"/>
      <w:pPr>
        <w:ind w:left="7532" w:hanging="163"/>
      </w:pPr>
      <w:rPr>
        <w:rFonts w:hint="default"/>
        <w:lang w:val="es-ES" w:eastAsia="en-US" w:bidi="ar-SA"/>
      </w:rPr>
    </w:lvl>
    <w:lvl w:ilvl="7" w:tplc="50AC667E">
      <w:numFmt w:val="bullet"/>
      <w:lvlText w:val="•"/>
      <w:lvlJc w:val="left"/>
      <w:pPr>
        <w:ind w:left="8574" w:hanging="163"/>
      </w:pPr>
      <w:rPr>
        <w:rFonts w:hint="default"/>
        <w:lang w:val="es-ES" w:eastAsia="en-US" w:bidi="ar-SA"/>
      </w:rPr>
    </w:lvl>
    <w:lvl w:ilvl="8" w:tplc="551206CA">
      <w:numFmt w:val="bullet"/>
      <w:lvlText w:val="•"/>
      <w:lvlJc w:val="left"/>
      <w:pPr>
        <w:ind w:left="9616" w:hanging="163"/>
      </w:pPr>
      <w:rPr>
        <w:rFonts w:hint="default"/>
        <w:lang w:val="es-ES" w:eastAsia="en-US" w:bidi="ar-SA"/>
      </w:rPr>
    </w:lvl>
  </w:abstractNum>
  <w:abstractNum w:abstractNumId="92" w15:restartNumberingAfterBreak="0">
    <w:nsid w:val="63824626"/>
    <w:multiLevelType w:val="hybridMultilevel"/>
    <w:tmpl w:val="B1D85434"/>
    <w:lvl w:ilvl="0" w:tplc="B8A0887E">
      <w:start w:val="1"/>
      <w:numFmt w:val="upperLetter"/>
      <w:lvlText w:val="%1."/>
      <w:lvlJc w:val="left"/>
      <w:pPr>
        <w:ind w:left="1356" w:hanging="256"/>
      </w:pPr>
      <w:rPr>
        <w:rFonts w:hint="default"/>
        <w:spacing w:val="-1"/>
        <w:w w:val="99"/>
        <w:lang w:val="es-ES" w:eastAsia="en-US" w:bidi="ar-SA"/>
      </w:rPr>
    </w:lvl>
    <w:lvl w:ilvl="1" w:tplc="CC8A4CBA">
      <w:numFmt w:val="bullet"/>
      <w:lvlText w:val="•"/>
      <w:lvlJc w:val="left"/>
      <w:pPr>
        <w:ind w:left="2394" w:hanging="256"/>
      </w:pPr>
      <w:rPr>
        <w:rFonts w:hint="default"/>
        <w:lang w:val="es-ES" w:eastAsia="en-US" w:bidi="ar-SA"/>
      </w:rPr>
    </w:lvl>
    <w:lvl w:ilvl="2" w:tplc="F0F6A0FA">
      <w:numFmt w:val="bullet"/>
      <w:lvlText w:val="•"/>
      <w:lvlJc w:val="left"/>
      <w:pPr>
        <w:ind w:left="3428" w:hanging="256"/>
      </w:pPr>
      <w:rPr>
        <w:rFonts w:hint="default"/>
        <w:lang w:val="es-ES" w:eastAsia="en-US" w:bidi="ar-SA"/>
      </w:rPr>
    </w:lvl>
    <w:lvl w:ilvl="3" w:tplc="21062F04">
      <w:numFmt w:val="bullet"/>
      <w:lvlText w:val="•"/>
      <w:lvlJc w:val="left"/>
      <w:pPr>
        <w:ind w:left="4462" w:hanging="256"/>
      </w:pPr>
      <w:rPr>
        <w:rFonts w:hint="default"/>
        <w:lang w:val="es-ES" w:eastAsia="en-US" w:bidi="ar-SA"/>
      </w:rPr>
    </w:lvl>
    <w:lvl w:ilvl="4" w:tplc="F85C8CC4">
      <w:numFmt w:val="bullet"/>
      <w:lvlText w:val="•"/>
      <w:lvlJc w:val="left"/>
      <w:pPr>
        <w:ind w:left="5496" w:hanging="256"/>
      </w:pPr>
      <w:rPr>
        <w:rFonts w:hint="default"/>
        <w:lang w:val="es-ES" w:eastAsia="en-US" w:bidi="ar-SA"/>
      </w:rPr>
    </w:lvl>
    <w:lvl w:ilvl="5" w:tplc="BBE82698">
      <w:numFmt w:val="bullet"/>
      <w:lvlText w:val="•"/>
      <w:lvlJc w:val="left"/>
      <w:pPr>
        <w:ind w:left="6530" w:hanging="256"/>
      </w:pPr>
      <w:rPr>
        <w:rFonts w:hint="default"/>
        <w:lang w:val="es-ES" w:eastAsia="en-US" w:bidi="ar-SA"/>
      </w:rPr>
    </w:lvl>
    <w:lvl w:ilvl="6" w:tplc="0186E89E">
      <w:numFmt w:val="bullet"/>
      <w:lvlText w:val="•"/>
      <w:lvlJc w:val="left"/>
      <w:pPr>
        <w:ind w:left="7564" w:hanging="256"/>
      </w:pPr>
      <w:rPr>
        <w:rFonts w:hint="default"/>
        <w:lang w:val="es-ES" w:eastAsia="en-US" w:bidi="ar-SA"/>
      </w:rPr>
    </w:lvl>
    <w:lvl w:ilvl="7" w:tplc="7448892A">
      <w:numFmt w:val="bullet"/>
      <w:lvlText w:val="•"/>
      <w:lvlJc w:val="left"/>
      <w:pPr>
        <w:ind w:left="8598" w:hanging="256"/>
      </w:pPr>
      <w:rPr>
        <w:rFonts w:hint="default"/>
        <w:lang w:val="es-ES" w:eastAsia="en-US" w:bidi="ar-SA"/>
      </w:rPr>
    </w:lvl>
    <w:lvl w:ilvl="8" w:tplc="BAA6E51C">
      <w:numFmt w:val="bullet"/>
      <w:lvlText w:val="•"/>
      <w:lvlJc w:val="left"/>
      <w:pPr>
        <w:ind w:left="9632" w:hanging="256"/>
      </w:pPr>
      <w:rPr>
        <w:rFonts w:hint="default"/>
        <w:lang w:val="es-ES" w:eastAsia="en-US" w:bidi="ar-SA"/>
      </w:rPr>
    </w:lvl>
  </w:abstractNum>
  <w:abstractNum w:abstractNumId="93" w15:restartNumberingAfterBreak="0">
    <w:nsid w:val="65B632AD"/>
    <w:multiLevelType w:val="hybridMultilevel"/>
    <w:tmpl w:val="B3E84A78"/>
    <w:lvl w:ilvl="0" w:tplc="42B44F66">
      <w:start w:val="1"/>
      <w:numFmt w:val="lowerLetter"/>
      <w:lvlText w:val="(%1)"/>
      <w:lvlJc w:val="left"/>
      <w:pPr>
        <w:ind w:left="1578" w:hanging="240"/>
      </w:pPr>
      <w:rPr>
        <w:rFonts w:ascii="Arial MT" w:eastAsia="Arial MT" w:hAnsi="Arial MT" w:cs="Arial MT" w:hint="default"/>
        <w:b w:val="0"/>
        <w:bCs w:val="0"/>
        <w:i w:val="0"/>
        <w:iCs w:val="0"/>
        <w:spacing w:val="0"/>
        <w:w w:val="100"/>
        <w:sz w:val="16"/>
        <w:szCs w:val="16"/>
        <w:lang w:val="es-ES" w:eastAsia="en-US" w:bidi="ar-SA"/>
      </w:rPr>
    </w:lvl>
    <w:lvl w:ilvl="1" w:tplc="8DEC37CA">
      <w:numFmt w:val="bullet"/>
      <w:lvlText w:val="•"/>
      <w:lvlJc w:val="left"/>
      <w:pPr>
        <w:ind w:left="2592" w:hanging="240"/>
      </w:pPr>
      <w:rPr>
        <w:rFonts w:hint="default"/>
        <w:lang w:val="es-ES" w:eastAsia="en-US" w:bidi="ar-SA"/>
      </w:rPr>
    </w:lvl>
    <w:lvl w:ilvl="2" w:tplc="CFEC080C">
      <w:numFmt w:val="bullet"/>
      <w:lvlText w:val="•"/>
      <w:lvlJc w:val="left"/>
      <w:pPr>
        <w:ind w:left="3604" w:hanging="240"/>
      </w:pPr>
      <w:rPr>
        <w:rFonts w:hint="default"/>
        <w:lang w:val="es-ES" w:eastAsia="en-US" w:bidi="ar-SA"/>
      </w:rPr>
    </w:lvl>
    <w:lvl w:ilvl="3" w:tplc="F9EA1C90">
      <w:numFmt w:val="bullet"/>
      <w:lvlText w:val="•"/>
      <w:lvlJc w:val="left"/>
      <w:pPr>
        <w:ind w:left="4616" w:hanging="240"/>
      </w:pPr>
      <w:rPr>
        <w:rFonts w:hint="default"/>
        <w:lang w:val="es-ES" w:eastAsia="en-US" w:bidi="ar-SA"/>
      </w:rPr>
    </w:lvl>
    <w:lvl w:ilvl="4" w:tplc="16F87A6A">
      <w:numFmt w:val="bullet"/>
      <w:lvlText w:val="•"/>
      <w:lvlJc w:val="left"/>
      <w:pPr>
        <w:ind w:left="5628" w:hanging="240"/>
      </w:pPr>
      <w:rPr>
        <w:rFonts w:hint="default"/>
        <w:lang w:val="es-ES" w:eastAsia="en-US" w:bidi="ar-SA"/>
      </w:rPr>
    </w:lvl>
    <w:lvl w:ilvl="5" w:tplc="CAEC57BC">
      <w:numFmt w:val="bullet"/>
      <w:lvlText w:val="•"/>
      <w:lvlJc w:val="left"/>
      <w:pPr>
        <w:ind w:left="6640" w:hanging="240"/>
      </w:pPr>
      <w:rPr>
        <w:rFonts w:hint="default"/>
        <w:lang w:val="es-ES" w:eastAsia="en-US" w:bidi="ar-SA"/>
      </w:rPr>
    </w:lvl>
    <w:lvl w:ilvl="6" w:tplc="2AAED9B4">
      <w:numFmt w:val="bullet"/>
      <w:lvlText w:val="•"/>
      <w:lvlJc w:val="left"/>
      <w:pPr>
        <w:ind w:left="7652" w:hanging="240"/>
      </w:pPr>
      <w:rPr>
        <w:rFonts w:hint="default"/>
        <w:lang w:val="es-ES" w:eastAsia="en-US" w:bidi="ar-SA"/>
      </w:rPr>
    </w:lvl>
    <w:lvl w:ilvl="7" w:tplc="4FB674EE">
      <w:numFmt w:val="bullet"/>
      <w:lvlText w:val="•"/>
      <w:lvlJc w:val="left"/>
      <w:pPr>
        <w:ind w:left="8664" w:hanging="240"/>
      </w:pPr>
      <w:rPr>
        <w:rFonts w:hint="default"/>
        <w:lang w:val="es-ES" w:eastAsia="en-US" w:bidi="ar-SA"/>
      </w:rPr>
    </w:lvl>
    <w:lvl w:ilvl="8" w:tplc="4A868B5A">
      <w:numFmt w:val="bullet"/>
      <w:lvlText w:val="•"/>
      <w:lvlJc w:val="left"/>
      <w:pPr>
        <w:ind w:left="9676" w:hanging="240"/>
      </w:pPr>
      <w:rPr>
        <w:rFonts w:hint="default"/>
        <w:lang w:val="es-ES" w:eastAsia="en-US" w:bidi="ar-SA"/>
      </w:rPr>
    </w:lvl>
  </w:abstractNum>
  <w:abstractNum w:abstractNumId="94" w15:restartNumberingAfterBreak="0">
    <w:nsid w:val="668541AA"/>
    <w:multiLevelType w:val="hybridMultilevel"/>
    <w:tmpl w:val="A934CD2E"/>
    <w:lvl w:ilvl="0" w:tplc="FB78D0B0">
      <w:start w:val="122"/>
      <w:numFmt w:val="decimal"/>
      <w:lvlText w:val="%1"/>
      <w:lvlJc w:val="left"/>
      <w:pPr>
        <w:ind w:left="1341" w:hanging="231"/>
      </w:pPr>
      <w:rPr>
        <w:rFonts w:ascii="Arial MT" w:eastAsia="Arial MT" w:hAnsi="Arial MT" w:cs="Arial MT" w:hint="default"/>
        <w:b w:val="0"/>
        <w:bCs w:val="0"/>
        <w:i w:val="0"/>
        <w:iCs w:val="0"/>
        <w:spacing w:val="-1"/>
        <w:w w:val="98"/>
        <w:sz w:val="12"/>
        <w:szCs w:val="12"/>
        <w:lang w:val="es-ES" w:eastAsia="en-US" w:bidi="ar-SA"/>
      </w:rPr>
    </w:lvl>
    <w:lvl w:ilvl="1" w:tplc="664CECB4">
      <w:numFmt w:val="bullet"/>
      <w:lvlText w:val="•"/>
      <w:lvlJc w:val="left"/>
      <w:pPr>
        <w:ind w:left="2376" w:hanging="231"/>
      </w:pPr>
      <w:rPr>
        <w:rFonts w:hint="default"/>
        <w:lang w:val="es-ES" w:eastAsia="en-US" w:bidi="ar-SA"/>
      </w:rPr>
    </w:lvl>
    <w:lvl w:ilvl="2" w:tplc="71B0EC40">
      <w:numFmt w:val="bullet"/>
      <w:lvlText w:val="•"/>
      <w:lvlJc w:val="left"/>
      <w:pPr>
        <w:ind w:left="3412" w:hanging="231"/>
      </w:pPr>
      <w:rPr>
        <w:rFonts w:hint="default"/>
        <w:lang w:val="es-ES" w:eastAsia="en-US" w:bidi="ar-SA"/>
      </w:rPr>
    </w:lvl>
    <w:lvl w:ilvl="3" w:tplc="ECAAD1A0">
      <w:numFmt w:val="bullet"/>
      <w:lvlText w:val="•"/>
      <w:lvlJc w:val="left"/>
      <w:pPr>
        <w:ind w:left="4448" w:hanging="231"/>
      </w:pPr>
      <w:rPr>
        <w:rFonts w:hint="default"/>
        <w:lang w:val="es-ES" w:eastAsia="en-US" w:bidi="ar-SA"/>
      </w:rPr>
    </w:lvl>
    <w:lvl w:ilvl="4" w:tplc="847C3052">
      <w:numFmt w:val="bullet"/>
      <w:lvlText w:val="•"/>
      <w:lvlJc w:val="left"/>
      <w:pPr>
        <w:ind w:left="5484" w:hanging="231"/>
      </w:pPr>
      <w:rPr>
        <w:rFonts w:hint="default"/>
        <w:lang w:val="es-ES" w:eastAsia="en-US" w:bidi="ar-SA"/>
      </w:rPr>
    </w:lvl>
    <w:lvl w:ilvl="5" w:tplc="434411BE">
      <w:numFmt w:val="bullet"/>
      <w:lvlText w:val="•"/>
      <w:lvlJc w:val="left"/>
      <w:pPr>
        <w:ind w:left="6520" w:hanging="231"/>
      </w:pPr>
      <w:rPr>
        <w:rFonts w:hint="default"/>
        <w:lang w:val="es-ES" w:eastAsia="en-US" w:bidi="ar-SA"/>
      </w:rPr>
    </w:lvl>
    <w:lvl w:ilvl="6" w:tplc="E7D43CDE">
      <w:numFmt w:val="bullet"/>
      <w:lvlText w:val="•"/>
      <w:lvlJc w:val="left"/>
      <w:pPr>
        <w:ind w:left="7556" w:hanging="231"/>
      </w:pPr>
      <w:rPr>
        <w:rFonts w:hint="default"/>
        <w:lang w:val="es-ES" w:eastAsia="en-US" w:bidi="ar-SA"/>
      </w:rPr>
    </w:lvl>
    <w:lvl w:ilvl="7" w:tplc="9CB2D034">
      <w:numFmt w:val="bullet"/>
      <w:lvlText w:val="•"/>
      <w:lvlJc w:val="left"/>
      <w:pPr>
        <w:ind w:left="8592" w:hanging="231"/>
      </w:pPr>
      <w:rPr>
        <w:rFonts w:hint="default"/>
        <w:lang w:val="es-ES" w:eastAsia="en-US" w:bidi="ar-SA"/>
      </w:rPr>
    </w:lvl>
    <w:lvl w:ilvl="8" w:tplc="DB1E9AF6">
      <w:numFmt w:val="bullet"/>
      <w:lvlText w:val="•"/>
      <w:lvlJc w:val="left"/>
      <w:pPr>
        <w:ind w:left="9628" w:hanging="231"/>
      </w:pPr>
      <w:rPr>
        <w:rFonts w:hint="default"/>
        <w:lang w:val="es-ES" w:eastAsia="en-US" w:bidi="ar-SA"/>
      </w:rPr>
    </w:lvl>
  </w:abstractNum>
  <w:abstractNum w:abstractNumId="95" w15:restartNumberingAfterBreak="0">
    <w:nsid w:val="66C7270F"/>
    <w:multiLevelType w:val="hybridMultilevel"/>
    <w:tmpl w:val="4E70835E"/>
    <w:lvl w:ilvl="0" w:tplc="31C47C32">
      <w:start w:val="404"/>
      <w:numFmt w:val="decimal"/>
      <w:lvlText w:val="%1"/>
      <w:lvlJc w:val="left"/>
      <w:pPr>
        <w:ind w:left="1331" w:hanging="226"/>
      </w:pPr>
      <w:rPr>
        <w:rFonts w:ascii="Arial MT" w:eastAsia="Arial MT" w:hAnsi="Arial MT" w:cs="Arial MT" w:hint="default"/>
        <w:b w:val="0"/>
        <w:bCs w:val="0"/>
        <w:i w:val="0"/>
        <w:iCs w:val="0"/>
        <w:spacing w:val="-1"/>
        <w:w w:val="104"/>
        <w:sz w:val="11"/>
        <w:szCs w:val="11"/>
        <w:lang w:val="es-ES" w:eastAsia="en-US" w:bidi="ar-SA"/>
      </w:rPr>
    </w:lvl>
    <w:lvl w:ilvl="1" w:tplc="FBE67216">
      <w:numFmt w:val="bullet"/>
      <w:lvlText w:val="•"/>
      <w:lvlJc w:val="left"/>
      <w:pPr>
        <w:ind w:left="2376" w:hanging="226"/>
      </w:pPr>
      <w:rPr>
        <w:rFonts w:hint="default"/>
        <w:lang w:val="es-ES" w:eastAsia="en-US" w:bidi="ar-SA"/>
      </w:rPr>
    </w:lvl>
    <w:lvl w:ilvl="2" w:tplc="10D8B504">
      <w:numFmt w:val="bullet"/>
      <w:lvlText w:val="•"/>
      <w:lvlJc w:val="left"/>
      <w:pPr>
        <w:ind w:left="3412" w:hanging="226"/>
      </w:pPr>
      <w:rPr>
        <w:rFonts w:hint="default"/>
        <w:lang w:val="es-ES" w:eastAsia="en-US" w:bidi="ar-SA"/>
      </w:rPr>
    </w:lvl>
    <w:lvl w:ilvl="3" w:tplc="EE3CFAF4">
      <w:numFmt w:val="bullet"/>
      <w:lvlText w:val="•"/>
      <w:lvlJc w:val="left"/>
      <w:pPr>
        <w:ind w:left="4448" w:hanging="226"/>
      </w:pPr>
      <w:rPr>
        <w:rFonts w:hint="default"/>
        <w:lang w:val="es-ES" w:eastAsia="en-US" w:bidi="ar-SA"/>
      </w:rPr>
    </w:lvl>
    <w:lvl w:ilvl="4" w:tplc="15C20DF4">
      <w:numFmt w:val="bullet"/>
      <w:lvlText w:val="•"/>
      <w:lvlJc w:val="left"/>
      <w:pPr>
        <w:ind w:left="5484" w:hanging="226"/>
      </w:pPr>
      <w:rPr>
        <w:rFonts w:hint="default"/>
        <w:lang w:val="es-ES" w:eastAsia="en-US" w:bidi="ar-SA"/>
      </w:rPr>
    </w:lvl>
    <w:lvl w:ilvl="5" w:tplc="9FCA974C">
      <w:numFmt w:val="bullet"/>
      <w:lvlText w:val="•"/>
      <w:lvlJc w:val="left"/>
      <w:pPr>
        <w:ind w:left="6520" w:hanging="226"/>
      </w:pPr>
      <w:rPr>
        <w:rFonts w:hint="default"/>
        <w:lang w:val="es-ES" w:eastAsia="en-US" w:bidi="ar-SA"/>
      </w:rPr>
    </w:lvl>
    <w:lvl w:ilvl="6" w:tplc="AAF4FDF2">
      <w:numFmt w:val="bullet"/>
      <w:lvlText w:val="•"/>
      <w:lvlJc w:val="left"/>
      <w:pPr>
        <w:ind w:left="7556" w:hanging="226"/>
      </w:pPr>
      <w:rPr>
        <w:rFonts w:hint="default"/>
        <w:lang w:val="es-ES" w:eastAsia="en-US" w:bidi="ar-SA"/>
      </w:rPr>
    </w:lvl>
    <w:lvl w:ilvl="7" w:tplc="C41E394C">
      <w:numFmt w:val="bullet"/>
      <w:lvlText w:val="•"/>
      <w:lvlJc w:val="left"/>
      <w:pPr>
        <w:ind w:left="8592" w:hanging="226"/>
      </w:pPr>
      <w:rPr>
        <w:rFonts w:hint="default"/>
        <w:lang w:val="es-ES" w:eastAsia="en-US" w:bidi="ar-SA"/>
      </w:rPr>
    </w:lvl>
    <w:lvl w:ilvl="8" w:tplc="9E34DD7E">
      <w:numFmt w:val="bullet"/>
      <w:lvlText w:val="•"/>
      <w:lvlJc w:val="left"/>
      <w:pPr>
        <w:ind w:left="9628" w:hanging="226"/>
      </w:pPr>
      <w:rPr>
        <w:rFonts w:hint="default"/>
        <w:lang w:val="es-ES" w:eastAsia="en-US" w:bidi="ar-SA"/>
      </w:rPr>
    </w:lvl>
  </w:abstractNum>
  <w:abstractNum w:abstractNumId="96" w15:restartNumberingAfterBreak="0">
    <w:nsid w:val="676B455E"/>
    <w:multiLevelType w:val="hybridMultilevel"/>
    <w:tmpl w:val="BA840BB8"/>
    <w:lvl w:ilvl="0" w:tplc="EDDCAEF8">
      <w:start w:val="1"/>
      <w:numFmt w:val="upperRoman"/>
      <w:lvlText w:val="%1."/>
      <w:lvlJc w:val="left"/>
      <w:pPr>
        <w:ind w:left="1238" w:hanging="124"/>
      </w:pPr>
      <w:rPr>
        <w:rFonts w:ascii="Arial MT" w:eastAsia="Arial MT" w:hAnsi="Arial MT" w:cs="Arial MT" w:hint="default"/>
        <w:b w:val="0"/>
        <w:bCs w:val="0"/>
        <w:i w:val="0"/>
        <w:iCs w:val="0"/>
        <w:spacing w:val="-1"/>
        <w:w w:val="98"/>
        <w:sz w:val="20"/>
        <w:szCs w:val="20"/>
        <w:lang w:val="es-ES" w:eastAsia="en-US" w:bidi="ar-SA"/>
      </w:rPr>
    </w:lvl>
    <w:lvl w:ilvl="1" w:tplc="D0DABD40">
      <w:start w:val="1"/>
      <w:numFmt w:val="upperLetter"/>
      <w:lvlText w:val="%2."/>
      <w:lvlJc w:val="left"/>
      <w:pPr>
        <w:ind w:left="1906" w:hanging="182"/>
      </w:pPr>
      <w:rPr>
        <w:rFonts w:ascii="Arial MT" w:eastAsia="Arial MT" w:hAnsi="Arial MT" w:cs="Arial MT" w:hint="default"/>
        <w:b w:val="0"/>
        <w:bCs w:val="0"/>
        <w:i w:val="0"/>
        <w:iCs w:val="0"/>
        <w:spacing w:val="-1"/>
        <w:w w:val="98"/>
        <w:sz w:val="15"/>
        <w:szCs w:val="15"/>
        <w:lang w:val="es-ES" w:eastAsia="en-US" w:bidi="ar-SA"/>
      </w:rPr>
    </w:lvl>
    <w:lvl w:ilvl="2" w:tplc="B17A075C">
      <w:numFmt w:val="bullet"/>
      <w:lvlText w:val="•"/>
      <w:lvlJc w:val="left"/>
      <w:pPr>
        <w:ind w:left="2988" w:hanging="182"/>
      </w:pPr>
      <w:rPr>
        <w:rFonts w:hint="default"/>
        <w:lang w:val="es-ES" w:eastAsia="en-US" w:bidi="ar-SA"/>
      </w:rPr>
    </w:lvl>
    <w:lvl w:ilvl="3" w:tplc="BED698A2">
      <w:numFmt w:val="bullet"/>
      <w:lvlText w:val="•"/>
      <w:lvlJc w:val="left"/>
      <w:pPr>
        <w:ind w:left="4077" w:hanging="182"/>
      </w:pPr>
      <w:rPr>
        <w:rFonts w:hint="default"/>
        <w:lang w:val="es-ES" w:eastAsia="en-US" w:bidi="ar-SA"/>
      </w:rPr>
    </w:lvl>
    <w:lvl w:ilvl="4" w:tplc="0E6236FE">
      <w:numFmt w:val="bullet"/>
      <w:lvlText w:val="•"/>
      <w:lvlJc w:val="left"/>
      <w:pPr>
        <w:ind w:left="5166" w:hanging="182"/>
      </w:pPr>
      <w:rPr>
        <w:rFonts w:hint="default"/>
        <w:lang w:val="es-ES" w:eastAsia="en-US" w:bidi="ar-SA"/>
      </w:rPr>
    </w:lvl>
    <w:lvl w:ilvl="5" w:tplc="35BE42E6">
      <w:numFmt w:val="bullet"/>
      <w:lvlText w:val="•"/>
      <w:lvlJc w:val="left"/>
      <w:pPr>
        <w:ind w:left="6255" w:hanging="182"/>
      </w:pPr>
      <w:rPr>
        <w:rFonts w:hint="default"/>
        <w:lang w:val="es-ES" w:eastAsia="en-US" w:bidi="ar-SA"/>
      </w:rPr>
    </w:lvl>
    <w:lvl w:ilvl="6" w:tplc="CEBEF372">
      <w:numFmt w:val="bullet"/>
      <w:lvlText w:val="•"/>
      <w:lvlJc w:val="left"/>
      <w:pPr>
        <w:ind w:left="7344" w:hanging="182"/>
      </w:pPr>
      <w:rPr>
        <w:rFonts w:hint="default"/>
        <w:lang w:val="es-ES" w:eastAsia="en-US" w:bidi="ar-SA"/>
      </w:rPr>
    </w:lvl>
    <w:lvl w:ilvl="7" w:tplc="16F86FB6">
      <w:numFmt w:val="bullet"/>
      <w:lvlText w:val="•"/>
      <w:lvlJc w:val="left"/>
      <w:pPr>
        <w:ind w:left="8433" w:hanging="182"/>
      </w:pPr>
      <w:rPr>
        <w:rFonts w:hint="default"/>
        <w:lang w:val="es-ES" w:eastAsia="en-US" w:bidi="ar-SA"/>
      </w:rPr>
    </w:lvl>
    <w:lvl w:ilvl="8" w:tplc="2ADA660A">
      <w:numFmt w:val="bullet"/>
      <w:lvlText w:val="•"/>
      <w:lvlJc w:val="left"/>
      <w:pPr>
        <w:ind w:left="9522" w:hanging="182"/>
      </w:pPr>
      <w:rPr>
        <w:rFonts w:hint="default"/>
        <w:lang w:val="es-ES" w:eastAsia="en-US" w:bidi="ar-SA"/>
      </w:rPr>
    </w:lvl>
  </w:abstractNum>
  <w:abstractNum w:abstractNumId="97" w15:restartNumberingAfterBreak="0">
    <w:nsid w:val="67AD2844"/>
    <w:multiLevelType w:val="hybridMultilevel"/>
    <w:tmpl w:val="F1200DFA"/>
    <w:lvl w:ilvl="0" w:tplc="91C224C8">
      <w:numFmt w:val="bullet"/>
      <w:lvlText w:val="•"/>
      <w:lvlJc w:val="left"/>
      <w:pPr>
        <w:ind w:left="1351" w:hanging="102"/>
      </w:pPr>
      <w:rPr>
        <w:rFonts w:ascii="Arial MT" w:eastAsia="Arial MT" w:hAnsi="Arial MT" w:cs="Arial MT" w:hint="default"/>
        <w:b w:val="0"/>
        <w:bCs w:val="0"/>
        <w:i w:val="0"/>
        <w:iCs w:val="0"/>
        <w:spacing w:val="0"/>
        <w:w w:val="101"/>
        <w:sz w:val="16"/>
        <w:szCs w:val="16"/>
        <w:lang w:val="es-ES" w:eastAsia="en-US" w:bidi="ar-SA"/>
      </w:rPr>
    </w:lvl>
    <w:lvl w:ilvl="1" w:tplc="68723438">
      <w:numFmt w:val="bullet"/>
      <w:lvlText w:val="•"/>
      <w:lvlJc w:val="left"/>
      <w:pPr>
        <w:ind w:left="2394" w:hanging="102"/>
      </w:pPr>
      <w:rPr>
        <w:rFonts w:hint="default"/>
        <w:lang w:val="es-ES" w:eastAsia="en-US" w:bidi="ar-SA"/>
      </w:rPr>
    </w:lvl>
    <w:lvl w:ilvl="2" w:tplc="C576B902">
      <w:numFmt w:val="bullet"/>
      <w:lvlText w:val="•"/>
      <w:lvlJc w:val="left"/>
      <w:pPr>
        <w:ind w:left="3428" w:hanging="102"/>
      </w:pPr>
      <w:rPr>
        <w:rFonts w:hint="default"/>
        <w:lang w:val="es-ES" w:eastAsia="en-US" w:bidi="ar-SA"/>
      </w:rPr>
    </w:lvl>
    <w:lvl w:ilvl="3" w:tplc="F5C29C56">
      <w:numFmt w:val="bullet"/>
      <w:lvlText w:val="•"/>
      <w:lvlJc w:val="left"/>
      <w:pPr>
        <w:ind w:left="4462" w:hanging="102"/>
      </w:pPr>
      <w:rPr>
        <w:rFonts w:hint="default"/>
        <w:lang w:val="es-ES" w:eastAsia="en-US" w:bidi="ar-SA"/>
      </w:rPr>
    </w:lvl>
    <w:lvl w:ilvl="4" w:tplc="3B3265E0">
      <w:numFmt w:val="bullet"/>
      <w:lvlText w:val="•"/>
      <w:lvlJc w:val="left"/>
      <w:pPr>
        <w:ind w:left="5496" w:hanging="102"/>
      </w:pPr>
      <w:rPr>
        <w:rFonts w:hint="default"/>
        <w:lang w:val="es-ES" w:eastAsia="en-US" w:bidi="ar-SA"/>
      </w:rPr>
    </w:lvl>
    <w:lvl w:ilvl="5" w:tplc="C346E80E">
      <w:numFmt w:val="bullet"/>
      <w:lvlText w:val="•"/>
      <w:lvlJc w:val="left"/>
      <w:pPr>
        <w:ind w:left="6530" w:hanging="102"/>
      </w:pPr>
      <w:rPr>
        <w:rFonts w:hint="default"/>
        <w:lang w:val="es-ES" w:eastAsia="en-US" w:bidi="ar-SA"/>
      </w:rPr>
    </w:lvl>
    <w:lvl w:ilvl="6" w:tplc="EA0456A0">
      <w:numFmt w:val="bullet"/>
      <w:lvlText w:val="•"/>
      <w:lvlJc w:val="left"/>
      <w:pPr>
        <w:ind w:left="7564" w:hanging="102"/>
      </w:pPr>
      <w:rPr>
        <w:rFonts w:hint="default"/>
        <w:lang w:val="es-ES" w:eastAsia="en-US" w:bidi="ar-SA"/>
      </w:rPr>
    </w:lvl>
    <w:lvl w:ilvl="7" w:tplc="9D94C698">
      <w:numFmt w:val="bullet"/>
      <w:lvlText w:val="•"/>
      <w:lvlJc w:val="left"/>
      <w:pPr>
        <w:ind w:left="8598" w:hanging="102"/>
      </w:pPr>
      <w:rPr>
        <w:rFonts w:hint="default"/>
        <w:lang w:val="es-ES" w:eastAsia="en-US" w:bidi="ar-SA"/>
      </w:rPr>
    </w:lvl>
    <w:lvl w:ilvl="8" w:tplc="51DE2ADC">
      <w:numFmt w:val="bullet"/>
      <w:lvlText w:val="•"/>
      <w:lvlJc w:val="left"/>
      <w:pPr>
        <w:ind w:left="9632" w:hanging="102"/>
      </w:pPr>
      <w:rPr>
        <w:rFonts w:hint="default"/>
        <w:lang w:val="es-ES" w:eastAsia="en-US" w:bidi="ar-SA"/>
      </w:rPr>
    </w:lvl>
  </w:abstractNum>
  <w:abstractNum w:abstractNumId="98" w15:restartNumberingAfterBreak="0">
    <w:nsid w:val="67BD11F5"/>
    <w:multiLevelType w:val="hybridMultilevel"/>
    <w:tmpl w:val="416C29A2"/>
    <w:lvl w:ilvl="0" w:tplc="8C6236D6">
      <w:start w:val="5"/>
      <w:numFmt w:val="lowerLetter"/>
      <w:lvlText w:val="(%1)"/>
      <w:lvlJc w:val="left"/>
      <w:pPr>
        <w:ind w:left="1423" w:hanging="308"/>
      </w:pPr>
      <w:rPr>
        <w:rFonts w:ascii="Arial MT" w:eastAsia="Arial MT" w:hAnsi="Arial MT" w:cs="Arial MT" w:hint="default"/>
        <w:b w:val="0"/>
        <w:bCs w:val="0"/>
        <w:i w:val="0"/>
        <w:iCs w:val="0"/>
        <w:spacing w:val="0"/>
        <w:w w:val="102"/>
        <w:sz w:val="20"/>
        <w:szCs w:val="20"/>
        <w:lang w:val="es-ES" w:eastAsia="en-US" w:bidi="ar-SA"/>
      </w:rPr>
    </w:lvl>
    <w:lvl w:ilvl="1" w:tplc="26D89692">
      <w:numFmt w:val="bullet"/>
      <w:lvlText w:val="•"/>
      <w:lvlJc w:val="left"/>
      <w:pPr>
        <w:ind w:left="1459" w:hanging="101"/>
      </w:pPr>
      <w:rPr>
        <w:rFonts w:ascii="Arial MT" w:eastAsia="Arial MT" w:hAnsi="Arial MT" w:cs="Arial MT" w:hint="default"/>
        <w:b w:val="0"/>
        <w:bCs w:val="0"/>
        <w:i w:val="0"/>
        <w:iCs w:val="0"/>
        <w:color w:val="0075BF"/>
        <w:spacing w:val="0"/>
        <w:w w:val="100"/>
        <w:sz w:val="16"/>
        <w:szCs w:val="16"/>
        <w:lang w:val="es-ES" w:eastAsia="en-US" w:bidi="ar-SA"/>
      </w:rPr>
    </w:lvl>
    <w:lvl w:ilvl="2" w:tplc="C7EC47FC">
      <w:numFmt w:val="bullet"/>
      <w:lvlText w:val="•"/>
      <w:lvlJc w:val="left"/>
      <w:pPr>
        <w:ind w:left="2597" w:hanging="101"/>
      </w:pPr>
      <w:rPr>
        <w:rFonts w:hint="default"/>
        <w:lang w:val="es-ES" w:eastAsia="en-US" w:bidi="ar-SA"/>
      </w:rPr>
    </w:lvl>
    <w:lvl w:ilvl="3" w:tplc="ED24200A">
      <w:numFmt w:val="bullet"/>
      <w:lvlText w:val="•"/>
      <w:lvlJc w:val="left"/>
      <w:pPr>
        <w:ind w:left="3735" w:hanging="101"/>
      </w:pPr>
      <w:rPr>
        <w:rFonts w:hint="default"/>
        <w:lang w:val="es-ES" w:eastAsia="en-US" w:bidi="ar-SA"/>
      </w:rPr>
    </w:lvl>
    <w:lvl w:ilvl="4" w:tplc="70CCA180">
      <w:numFmt w:val="bullet"/>
      <w:lvlText w:val="•"/>
      <w:lvlJc w:val="left"/>
      <w:pPr>
        <w:ind w:left="4873" w:hanging="101"/>
      </w:pPr>
      <w:rPr>
        <w:rFonts w:hint="default"/>
        <w:lang w:val="es-ES" w:eastAsia="en-US" w:bidi="ar-SA"/>
      </w:rPr>
    </w:lvl>
    <w:lvl w:ilvl="5" w:tplc="481CBA34">
      <w:numFmt w:val="bullet"/>
      <w:lvlText w:val="•"/>
      <w:lvlJc w:val="left"/>
      <w:pPr>
        <w:ind w:left="6011" w:hanging="101"/>
      </w:pPr>
      <w:rPr>
        <w:rFonts w:hint="default"/>
        <w:lang w:val="es-ES" w:eastAsia="en-US" w:bidi="ar-SA"/>
      </w:rPr>
    </w:lvl>
    <w:lvl w:ilvl="6" w:tplc="EA10F33C">
      <w:numFmt w:val="bullet"/>
      <w:lvlText w:val="•"/>
      <w:lvlJc w:val="left"/>
      <w:pPr>
        <w:ind w:left="7148" w:hanging="101"/>
      </w:pPr>
      <w:rPr>
        <w:rFonts w:hint="default"/>
        <w:lang w:val="es-ES" w:eastAsia="en-US" w:bidi="ar-SA"/>
      </w:rPr>
    </w:lvl>
    <w:lvl w:ilvl="7" w:tplc="EC1A2BB4">
      <w:numFmt w:val="bullet"/>
      <w:lvlText w:val="•"/>
      <w:lvlJc w:val="left"/>
      <w:pPr>
        <w:ind w:left="8286" w:hanging="101"/>
      </w:pPr>
      <w:rPr>
        <w:rFonts w:hint="default"/>
        <w:lang w:val="es-ES" w:eastAsia="en-US" w:bidi="ar-SA"/>
      </w:rPr>
    </w:lvl>
    <w:lvl w:ilvl="8" w:tplc="F88475A8">
      <w:numFmt w:val="bullet"/>
      <w:lvlText w:val="•"/>
      <w:lvlJc w:val="left"/>
      <w:pPr>
        <w:ind w:left="9424" w:hanging="101"/>
      </w:pPr>
      <w:rPr>
        <w:rFonts w:hint="default"/>
        <w:lang w:val="es-ES" w:eastAsia="en-US" w:bidi="ar-SA"/>
      </w:rPr>
    </w:lvl>
  </w:abstractNum>
  <w:abstractNum w:abstractNumId="99" w15:restartNumberingAfterBreak="0">
    <w:nsid w:val="68281515"/>
    <w:multiLevelType w:val="hybridMultilevel"/>
    <w:tmpl w:val="FA96EA04"/>
    <w:lvl w:ilvl="0" w:tplc="3926DACA">
      <w:start w:val="1"/>
      <w:numFmt w:val="lowerLetter"/>
      <w:lvlText w:val="%1)"/>
      <w:lvlJc w:val="left"/>
      <w:pPr>
        <w:ind w:left="1867" w:hanging="184"/>
      </w:pPr>
      <w:rPr>
        <w:rFonts w:ascii="Arial MT" w:eastAsia="Arial MT" w:hAnsi="Arial MT" w:cs="Arial MT" w:hint="default"/>
        <w:b w:val="0"/>
        <w:bCs w:val="0"/>
        <w:i w:val="0"/>
        <w:iCs w:val="0"/>
        <w:spacing w:val="0"/>
        <w:w w:val="104"/>
        <w:sz w:val="15"/>
        <w:szCs w:val="15"/>
        <w:lang w:val="es-ES" w:eastAsia="en-US" w:bidi="ar-SA"/>
      </w:rPr>
    </w:lvl>
    <w:lvl w:ilvl="1" w:tplc="0F26ABFC">
      <w:start w:val="1"/>
      <w:numFmt w:val="lowerRoman"/>
      <w:lvlText w:val="%2)"/>
      <w:lvlJc w:val="left"/>
      <w:pPr>
        <w:ind w:left="2168" w:hanging="131"/>
      </w:pPr>
      <w:rPr>
        <w:rFonts w:ascii="Arial MT" w:eastAsia="Arial MT" w:hAnsi="Arial MT" w:cs="Arial MT" w:hint="default"/>
        <w:b w:val="0"/>
        <w:bCs w:val="0"/>
        <w:i w:val="0"/>
        <w:iCs w:val="0"/>
        <w:spacing w:val="0"/>
        <w:w w:val="104"/>
        <w:sz w:val="15"/>
        <w:szCs w:val="15"/>
        <w:lang w:val="es-ES" w:eastAsia="en-US" w:bidi="ar-SA"/>
      </w:rPr>
    </w:lvl>
    <w:lvl w:ilvl="2" w:tplc="6518A73A">
      <w:numFmt w:val="bullet"/>
      <w:lvlText w:val="•"/>
      <w:lvlJc w:val="left"/>
      <w:pPr>
        <w:ind w:left="2480" w:hanging="131"/>
      </w:pPr>
      <w:rPr>
        <w:rFonts w:hint="default"/>
        <w:lang w:val="es-ES" w:eastAsia="en-US" w:bidi="ar-SA"/>
      </w:rPr>
    </w:lvl>
    <w:lvl w:ilvl="3" w:tplc="0442D146">
      <w:numFmt w:val="bullet"/>
      <w:lvlText w:val="•"/>
      <w:lvlJc w:val="left"/>
      <w:pPr>
        <w:ind w:left="3632" w:hanging="131"/>
      </w:pPr>
      <w:rPr>
        <w:rFonts w:hint="default"/>
        <w:lang w:val="es-ES" w:eastAsia="en-US" w:bidi="ar-SA"/>
      </w:rPr>
    </w:lvl>
    <w:lvl w:ilvl="4" w:tplc="280E12E8">
      <w:numFmt w:val="bullet"/>
      <w:lvlText w:val="•"/>
      <w:lvlJc w:val="left"/>
      <w:pPr>
        <w:ind w:left="4785" w:hanging="131"/>
      </w:pPr>
      <w:rPr>
        <w:rFonts w:hint="default"/>
        <w:lang w:val="es-ES" w:eastAsia="en-US" w:bidi="ar-SA"/>
      </w:rPr>
    </w:lvl>
    <w:lvl w:ilvl="5" w:tplc="B5C0FF84">
      <w:numFmt w:val="bullet"/>
      <w:lvlText w:val="•"/>
      <w:lvlJc w:val="left"/>
      <w:pPr>
        <w:ind w:left="5937" w:hanging="131"/>
      </w:pPr>
      <w:rPr>
        <w:rFonts w:hint="default"/>
        <w:lang w:val="es-ES" w:eastAsia="en-US" w:bidi="ar-SA"/>
      </w:rPr>
    </w:lvl>
    <w:lvl w:ilvl="6" w:tplc="17DE0764">
      <w:numFmt w:val="bullet"/>
      <w:lvlText w:val="•"/>
      <w:lvlJc w:val="left"/>
      <w:pPr>
        <w:ind w:left="7090" w:hanging="131"/>
      </w:pPr>
      <w:rPr>
        <w:rFonts w:hint="default"/>
        <w:lang w:val="es-ES" w:eastAsia="en-US" w:bidi="ar-SA"/>
      </w:rPr>
    </w:lvl>
    <w:lvl w:ilvl="7" w:tplc="D52EE3B4">
      <w:numFmt w:val="bullet"/>
      <w:lvlText w:val="•"/>
      <w:lvlJc w:val="left"/>
      <w:pPr>
        <w:ind w:left="8242" w:hanging="131"/>
      </w:pPr>
      <w:rPr>
        <w:rFonts w:hint="default"/>
        <w:lang w:val="es-ES" w:eastAsia="en-US" w:bidi="ar-SA"/>
      </w:rPr>
    </w:lvl>
    <w:lvl w:ilvl="8" w:tplc="FCCA71CC">
      <w:numFmt w:val="bullet"/>
      <w:lvlText w:val="•"/>
      <w:lvlJc w:val="left"/>
      <w:pPr>
        <w:ind w:left="9395" w:hanging="131"/>
      </w:pPr>
      <w:rPr>
        <w:rFonts w:hint="default"/>
        <w:lang w:val="es-ES" w:eastAsia="en-US" w:bidi="ar-SA"/>
      </w:rPr>
    </w:lvl>
  </w:abstractNum>
  <w:abstractNum w:abstractNumId="100" w15:restartNumberingAfterBreak="0">
    <w:nsid w:val="68C80E2C"/>
    <w:multiLevelType w:val="hybridMultilevel"/>
    <w:tmpl w:val="AE1ACC30"/>
    <w:lvl w:ilvl="0" w:tplc="EBB295CA">
      <w:start w:val="1"/>
      <w:numFmt w:val="decimal"/>
      <w:lvlText w:val="%1."/>
      <w:lvlJc w:val="left"/>
      <w:pPr>
        <w:ind w:left="1404" w:hanging="269"/>
      </w:pPr>
      <w:rPr>
        <w:rFonts w:hint="default"/>
        <w:spacing w:val="-1"/>
        <w:w w:val="100"/>
        <w:lang w:val="es-ES" w:eastAsia="en-US" w:bidi="ar-SA"/>
      </w:rPr>
    </w:lvl>
    <w:lvl w:ilvl="1" w:tplc="DFD8F8DA">
      <w:numFmt w:val="bullet"/>
      <w:lvlText w:val="•"/>
      <w:lvlJc w:val="left"/>
      <w:pPr>
        <w:ind w:left="1556" w:hanging="101"/>
      </w:pPr>
      <w:rPr>
        <w:rFonts w:ascii="Arial MT" w:eastAsia="Arial MT" w:hAnsi="Arial MT" w:cs="Arial MT" w:hint="default"/>
        <w:spacing w:val="0"/>
        <w:w w:val="100"/>
        <w:lang w:val="es-ES" w:eastAsia="en-US" w:bidi="ar-SA"/>
      </w:rPr>
    </w:lvl>
    <w:lvl w:ilvl="2" w:tplc="77520C26">
      <w:numFmt w:val="bullet"/>
      <w:lvlText w:val="•"/>
      <w:lvlJc w:val="left"/>
      <w:pPr>
        <w:ind w:left="2686" w:hanging="101"/>
      </w:pPr>
      <w:rPr>
        <w:rFonts w:hint="default"/>
        <w:lang w:val="es-ES" w:eastAsia="en-US" w:bidi="ar-SA"/>
      </w:rPr>
    </w:lvl>
    <w:lvl w:ilvl="3" w:tplc="57723A98">
      <w:numFmt w:val="bullet"/>
      <w:lvlText w:val="•"/>
      <w:lvlJc w:val="left"/>
      <w:pPr>
        <w:ind w:left="3813" w:hanging="101"/>
      </w:pPr>
      <w:rPr>
        <w:rFonts w:hint="default"/>
        <w:lang w:val="es-ES" w:eastAsia="en-US" w:bidi="ar-SA"/>
      </w:rPr>
    </w:lvl>
    <w:lvl w:ilvl="4" w:tplc="3FD099D8">
      <w:numFmt w:val="bullet"/>
      <w:lvlText w:val="•"/>
      <w:lvlJc w:val="left"/>
      <w:pPr>
        <w:ind w:left="4940" w:hanging="101"/>
      </w:pPr>
      <w:rPr>
        <w:rFonts w:hint="default"/>
        <w:lang w:val="es-ES" w:eastAsia="en-US" w:bidi="ar-SA"/>
      </w:rPr>
    </w:lvl>
    <w:lvl w:ilvl="5" w:tplc="6860BAF6">
      <w:numFmt w:val="bullet"/>
      <w:lvlText w:val="•"/>
      <w:lvlJc w:val="left"/>
      <w:pPr>
        <w:ind w:left="6066" w:hanging="101"/>
      </w:pPr>
      <w:rPr>
        <w:rFonts w:hint="default"/>
        <w:lang w:val="es-ES" w:eastAsia="en-US" w:bidi="ar-SA"/>
      </w:rPr>
    </w:lvl>
    <w:lvl w:ilvl="6" w:tplc="13BA18F0">
      <w:numFmt w:val="bullet"/>
      <w:lvlText w:val="•"/>
      <w:lvlJc w:val="left"/>
      <w:pPr>
        <w:ind w:left="7193" w:hanging="101"/>
      </w:pPr>
      <w:rPr>
        <w:rFonts w:hint="default"/>
        <w:lang w:val="es-ES" w:eastAsia="en-US" w:bidi="ar-SA"/>
      </w:rPr>
    </w:lvl>
    <w:lvl w:ilvl="7" w:tplc="28CEBEEA">
      <w:numFmt w:val="bullet"/>
      <w:lvlText w:val="•"/>
      <w:lvlJc w:val="left"/>
      <w:pPr>
        <w:ind w:left="8320" w:hanging="101"/>
      </w:pPr>
      <w:rPr>
        <w:rFonts w:hint="default"/>
        <w:lang w:val="es-ES" w:eastAsia="en-US" w:bidi="ar-SA"/>
      </w:rPr>
    </w:lvl>
    <w:lvl w:ilvl="8" w:tplc="BA3070DC">
      <w:numFmt w:val="bullet"/>
      <w:lvlText w:val="•"/>
      <w:lvlJc w:val="left"/>
      <w:pPr>
        <w:ind w:left="9446" w:hanging="101"/>
      </w:pPr>
      <w:rPr>
        <w:rFonts w:hint="default"/>
        <w:lang w:val="es-ES" w:eastAsia="en-US" w:bidi="ar-SA"/>
      </w:rPr>
    </w:lvl>
  </w:abstractNum>
  <w:abstractNum w:abstractNumId="101" w15:restartNumberingAfterBreak="0">
    <w:nsid w:val="68DF783B"/>
    <w:multiLevelType w:val="hybridMultilevel"/>
    <w:tmpl w:val="7BA27398"/>
    <w:lvl w:ilvl="0" w:tplc="140A0015">
      <w:start w:val="1"/>
      <w:numFmt w:val="upperLetter"/>
      <w:lvlText w:val="%1."/>
      <w:lvlJc w:val="left"/>
      <w:pPr>
        <w:ind w:left="1854" w:hanging="360"/>
      </w:pPr>
    </w:lvl>
    <w:lvl w:ilvl="1" w:tplc="140A0019" w:tentative="1">
      <w:start w:val="1"/>
      <w:numFmt w:val="lowerLetter"/>
      <w:lvlText w:val="%2."/>
      <w:lvlJc w:val="left"/>
      <w:pPr>
        <w:ind w:left="2574" w:hanging="360"/>
      </w:pPr>
    </w:lvl>
    <w:lvl w:ilvl="2" w:tplc="140A001B" w:tentative="1">
      <w:start w:val="1"/>
      <w:numFmt w:val="lowerRoman"/>
      <w:lvlText w:val="%3."/>
      <w:lvlJc w:val="right"/>
      <w:pPr>
        <w:ind w:left="3294" w:hanging="180"/>
      </w:pPr>
    </w:lvl>
    <w:lvl w:ilvl="3" w:tplc="140A000F" w:tentative="1">
      <w:start w:val="1"/>
      <w:numFmt w:val="decimal"/>
      <w:lvlText w:val="%4."/>
      <w:lvlJc w:val="left"/>
      <w:pPr>
        <w:ind w:left="4014" w:hanging="360"/>
      </w:pPr>
    </w:lvl>
    <w:lvl w:ilvl="4" w:tplc="140A0019" w:tentative="1">
      <w:start w:val="1"/>
      <w:numFmt w:val="lowerLetter"/>
      <w:lvlText w:val="%5."/>
      <w:lvlJc w:val="left"/>
      <w:pPr>
        <w:ind w:left="4734" w:hanging="360"/>
      </w:pPr>
    </w:lvl>
    <w:lvl w:ilvl="5" w:tplc="140A001B" w:tentative="1">
      <w:start w:val="1"/>
      <w:numFmt w:val="lowerRoman"/>
      <w:lvlText w:val="%6."/>
      <w:lvlJc w:val="right"/>
      <w:pPr>
        <w:ind w:left="5454" w:hanging="180"/>
      </w:pPr>
    </w:lvl>
    <w:lvl w:ilvl="6" w:tplc="140A000F" w:tentative="1">
      <w:start w:val="1"/>
      <w:numFmt w:val="decimal"/>
      <w:lvlText w:val="%7."/>
      <w:lvlJc w:val="left"/>
      <w:pPr>
        <w:ind w:left="6174" w:hanging="360"/>
      </w:pPr>
    </w:lvl>
    <w:lvl w:ilvl="7" w:tplc="140A0019" w:tentative="1">
      <w:start w:val="1"/>
      <w:numFmt w:val="lowerLetter"/>
      <w:lvlText w:val="%8."/>
      <w:lvlJc w:val="left"/>
      <w:pPr>
        <w:ind w:left="6894" w:hanging="360"/>
      </w:pPr>
    </w:lvl>
    <w:lvl w:ilvl="8" w:tplc="140A001B" w:tentative="1">
      <w:start w:val="1"/>
      <w:numFmt w:val="lowerRoman"/>
      <w:lvlText w:val="%9."/>
      <w:lvlJc w:val="right"/>
      <w:pPr>
        <w:ind w:left="7614" w:hanging="180"/>
      </w:pPr>
    </w:lvl>
  </w:abstractNum>
  <w:abstractNum w:abstractNumId="102" w15:restartNumberingAfterBreak="0">
    <w:nsid w:val="6B2960DE"/>
    <w:multiLevelType w:val="hybridMultilevel"/>
    <w:tmpl w:val="E8849A8E"/>
    <w:lvl w:ilvl="0" w:tplc="A5006DEC">
      <w:numFmt w:val="bullet"/>
      <w:lvlText w:val="•"/>
      <w:lvlJc w:val="left"/>
      <w:pPr>
        <w:ind w:left="1560" w:hanging="95"/>
      </w:pPr>
      <w:rPr>
        <w:rFonts w:ascii="Arial MT" w:eastAsia="Arial MT" w:hAnsi="Arial MT" w:cs="Arial MT" w:hint="default"/>
        <w:b w:val="0"/>
        <w:bCs w:val="0"/>
        <w:i w:val="0"/>
        <w:iCs w:val="0"/>
        <w:color w:val="0075BF"/>
        <w:spacing w:val="0"/>
        <w:w w:val="100"/>
        <w:sz w:val="15"/>
        <w:szCs w:val="15"/>
        <w:lang w:val="es-ES" w:eastAsia="en-US" w:bidi="ar-SA"/>
      </w:rPr>
    </w:lvl>
    <w:lvl w:ilvl="1" w:tplc="6C543B66">
      <w:numFmt w:val="bullet"/>
      <w:lvlText w:val="•"/>
      <w:lvlJc w:val="left"/>
      <w:pPr>
        <w:ind w:left="2574" w:hanging="95"/>
      </w:pPr>
      <w:rPr>
        <w:rFonts w:hint="default"/>
        <w:lang w:val="es-ES" w:eastAsia="en-US" w:bidi="ar-SA"/>
      </w:rPr>
    </w:lvl>
    <w:lvl w:ilvl="2" w:tplc="3F343FAC">
      <w:numFmt w:val="bullet"/>
      <w:lvlText w:val="•"/>
      <w:lvlJc w:val="left"/>
      <w:pPr>
        <w:ind w:left="3588" w:hanging="95"/>
      </w:pPr>
      <w:rPr>
        <w:rFonts w:hint="default"/>
        <w:lang w:val="es-ES" w:eastAsia="en-US" w:bidi="ar-SA"/>
      </w:rPr>
    </w:lvl>
    <w:lvl w:ilvl="3" w:tplc="0BB43D18">
      <w:numFmt w:val="bullet"/>
      <w:lvlText w:val="•"/>
      <w:lvlJc w:val="left"/>
      <w:pPr>
        <w:ind w:left="4602" w:hanging="95"/>
      </w:pPr>
      <w:rPr>
        <w:rFonts w:hint="default"/>
        <w:lang w:val="es-ES" w:eastAsia="en-US" w:bidi="ar-SA"/>
      </w:rPr>
    </w:lvl>
    <w:lvl w:ilvl="4" w:tplc="382A31FA">
      <w:numFmt w:val="bullet"/>
      <w:lvlText w:val="•"/>
      <w:lvlJc w:val="left"/>
      <w:pPr>
        <w:ind w:left="5616" w:hanging="95"/>
      </w:pPr>
      <w:rPr>
        <w:rFonts w:hint="default"/>
        <w:lang w:val="es-ES" w:eastAsia="en-US" w:bidi="ar-SA"/>
      </w:rPr>
    </w:lvl>
    <w:lvl w:ilvl="5" w:tplc="929E248A">
      <w:numFmt w:val="bullet"/>
      <w:lvlText w:val="•"/>
      <w:lvlJc w:val="left"/>
      <w:pPr>
        <w:ind w:left="6630" w:hanging="95"/>
      </w:pPr>
      <w:rPr>
        <w:rFonts w:hint="default"/>
        <w:lang w:val="es-ES" w:eastAsia="en-US" w:bidi="ar-SA"/>
      </w:rPr>
    </w:lvl>
    <w:lvl w:ilvl="6" w:tplc="0BAE8E60">
      <w:numFmt w:val="bullet"/>
      <w:lvlText w:val="•"/>
      <w:lvlJc w:val="left"/>
      <w:pPr>
        <w:ind w:left="7644" w:hanging="95"/>
      </w:pPr>
      <w:rPr>
        <w:rFonts w:hint="default"/>
        <w:lang w:val="es-ES" w:eastAsia="en-US" w:bidi="ar-SA"/>
      </w:rPr>
    </w:lvl>
    <w:lvl w:ilvl="7" w:tplc="A4AE45F4">
      <w:numFmt w:val="bullet"/>
      <w:lvlText w:val="•"/>
      <w:lvlJc w:val="left"/>
      <w:pPr>
        <w:ind w:left="8658" w:hanging="95"/>
      </w:pPr>
      <w:rPr>
        <w:rFonts w:hint="default"/>
        <w:lang w:val="es-ES" w:eastAsia="en-US" w:bidi="ar-SA"/>
      </w:rPr>
    </w:lvl>
    <w:lvl w:ilvl="8" w:tplc="0AA4876A">
      <w:numFmt w:val="bullet"/>
      <w:lvlText w:val="•"/>
      <w:lvlJc w:val="left"/>
      <w:pPr>
        <w:ind w:left="9672" w:hanging="95"/>
      </w:pPr>
      <w:rPr>
        <w:rFonts w:hint="default"/>
        <w:lang w:val="es-ES" w:eastAsia="en-US" w:bidi="ar-SA"/>
      </w:rPr>
    </w:lvl>
  </w:abstractNum>
  <w:abstractNum w:abstractNumId="103" w15:restartNumberingAfterBreak="0">
    <w:nsid w:val="6B463362"/>
    <w:multiLevelType w:val="hybridMultilevel"/>
    <w:tmpl w:val="EA508BAA"/>
    <w:lvl w:ilvl="0" w:tplc="6FB88056">
      <w:start w:val="1"/>
      <w:numFmt w:val="upperRoman"/>
      <w:lvlText w:val="%1."/>
      <w:lvlJc w:val="left"/>
      <w:pPr>
        <w:ind w:left="1562" w:hanging="232"/>
      </w:pPr>
      <w:rPr>
        <w:rFonts w:ascii="Arial MT" w:eastAsia="Arial MT" w:hAnsi="Arial MT" w:cs="Arial MT" w:hint="default"/>
        <w:b w:val="0"/>
        <w:bCs w:val="0"/>
        <w:i w:val="0"/>
        <w:iCs w:val="0"/>
        <w:color w:val="0075BF"/>
        <w:spacing w:val="-1"/>
        <w:w w:val="99"/>
        <w:sz w:val="28"/>
        <w:szCs w:val="28"/>
        <w:lang w:val="es-ES" w:eastAsia="en-US" w:bidi="ar-SA"/>
      </w:rPr>
    </w:lvl>
    <w:lvl w:ilvl="1" w:tplc="CA8AC04E">
      <w:numFmt w:val="bullet"/>
      <w:lvlText w:val="•"/>
      <w:lvlJc w:val="left"/>
      <w:pPr>
        <w:ind w:left="1347" w:hanging="101"/>
      </w:pPr>
      <w:rPr>
        <w:rFonts w:ascii="Arial MT" w:eastAsia="Arial MT" w:hAnsi="Arial MT" w:cs="Arial MT" w:hint="default"/>
        <w:b w:val="0"/>
        <w:bCs w:val="0"/>
        <w:i w:val="0"/>
        <w:iCs w:val="0"/>
        <w:spacing w:val="0"/>
        <w:w w:val="99"/>
        <w:sz w:val="16"/>
        <w:szCs w:val="16"/>
        <w:lang w:val="es-ES" w:eastAsia="en-US" w:bidi="ar-SA"/>
      </w:rPr>
    </w:lvl>
    <w:lvl w:ilvl="2" w:tplc="1B6075D2">
      <w:numFmt w:val="bullet"/>
      <w:lvlText w:val="•"/>
      <w:lvlJc w:val="left"/>
      <w:pPr>
        <w:ind w:left="2686" w:hanging="101"/>
      </w:pPr>
      <w:rPr>
        <w:rFonts w:hint="default"/>
        <w:lang w:val="es-ES" w:eastAsia="en-US" w:bidi="ar-SA"/>
      </w:rPr>
    </w:lvl>
    <w:lvl w:ilvl="3" w:tplc="5DB0973E">
      <w:numFmt w:val="bullet"/>
      <w:lvlText w:val="•"/>
      <w:lvlJc w:val="left"/>
      <w:pPr>
        <w:ind w:left="3813" w:hanging="101"/>
      </w:pPr>
      <w:rPr>
        <w:rFonts w:hint="default"/>
        <w:lang w:val="es-ES" w:eastAsia="en-US" w:bidi="ar-SA"/>
      </w:rPr>
    </w:lvl>
    <w:lvl w:ilvl="4" w:tplc="9CDAC3C6">
      <w:numFmt w:val="bullet"/>
      <w:lvlText w:val="•"/>
      <w:lvlJc w:val="left"/>
      <w:pPr>
        <w:ind w:left="4940" w:hanging="101"/>
      </w:pPr>
      <w:rPr>
        <w:rFonts w:hint="default"/>
        <w:lang w:val="es-ES" w:eastAsia="en-US" w:bidi="ar-SA"/>
      </w:rPr>
    </w:lvl>
    <w:lvl w:ilvl="5" w:tplc="3020A6EA">
      <w:numFmt w:val="bullet"/>
      <w:lvlText w:val="•"/>
      <w:lvlJc w:val="left"/>
      <w:pPr>
        <w:ind w:left="6066" w:hanging="101"/>
      </w:pPr>
      <w:rPr>
        <w:rFonts w:hint="default"/>
        <w:lang w:val="es-ES" w:eastAsia="en-US" w:bidi="ar-SA"/>
      </w:rPr>
    </w:lvl>
    <w:lvl w:ilvl="6" w:tplc="0F60185A">
      <w:numFmt w:val="bullet"/>
      <w:lvlText w:val="•"/>
      <w:lvlJc w:val="left"/>
      <w:pPr>
        <w:ind w:left="7193" w:hanging="101"/>
      </w:pPr>
      <w:rPr>
        <w:rFonts w:hint="default"/>
        <w:lang w:val="es-ES" w:eastAsia="en-US" w:bidi="ar-SA"/>
      </w:rPr>
    </w:lvl>
    <w:lvl w:ilvl="7" w:tplc="91BEC662">
      <w:numFmt w:val="bullet"/>
      <w:lvlText w:val="•"/>
      <w:lvlJc w:val="left"/>
      <w:pPr>
        <w:ind w:left="8320" w:hanging="101"/>
      </w:pPr>
      <w:rPr>
        <w:rFonts w:hint="default"/>
        <w:lang w:val="es-ES" w:eastAsia="en-US" w:bidi="ar-SA"/>
      </w:rPr>
    </w:lvl>
    <w:lvl w:ilvl="8" w:tplc="17AA19F4">
      <w:numFmt w:val="bullet"/>
      <w:lvlText w:val="•"/>
      <w:lvlJc w:val="left"/>
      <w:pPr>
        <w:ind w:left="9446" w:hanging="101"/>
      </w:pPr>
      <w:rPr>
        <w:rFonts w:hint="default"/>
        <w:lang w:val="es-ES" w:eastAsia="en-US" w:bidi="ar-SA"/>
      </w:rPr>
    </w:lvl>
  </w:abstractNum>
  <w:abstractNum w:abstractNumId="104" w15:restartNumberingAfterBreak="0">
    <w:nsid w:val="6C123659"/>
    <w:multiLevelType w:val="hybridMultilevel"/>
    <w:tmpl w:val="46AA4EA6"/>
    <w:lvl w:ilvl="0" w:tplc="87CE8230">
      <w:start w:val="197"/>
      <w:numFmt w:val="decimal"/>
      <w:lvlText w:val="%1"/>
      <w:lvlJc w:val="left"/>
      <w:pPr>
        <w:ind w:left="1339" w:hanging="229"/>
      </w:pPr>
      <w:rPr>
        <w:rFonts w:hint="default"/>
        <w:spacing w:val="-1"/>
        <w:w w:val="105"/>
        <w:lang w:val="es-ES" w:eastAsia="en-US" w:bidi="ar-SA"/>
      </w:rPr>
    </w:lvl>
    <w:lvl w:ilvl="1" w:tplc="CE92554C">
      <w:numFmt w:val="bullet"/>
      <w:lvlText w:val="•"/>
      <w:lvlJc w:val="left"/>
      <w:pPr>
        <w:ind w:left="2376" w:hanging="229"/>
      </w:pPr>
      <w:rPr>
        <w:rFonts w:hint="default"/>
        <w:lang w:val="es-ES" w:eastAsia="en-US" w:bidi="ar-SA"/>
      </w:rPr>
    </w:lvl>
    <w:lvl w:ilvl="2" w:tplc="AB404698">
      <w:numFmt w:val="bullet"/>
      <w:lvlText w:val="•"/>
      <w:lvlJc w:val="left"/>
      <w:pPr>
        <w:ind w:left="3412" w:hanging="229"/>
      </w:pPr>
      <w:rPr>
        <w:rFonts w:hint="default"/>
        <w:lang w:val="es-ES" w:eastAsia="en-US" w:bidi="ar-SA"/>
      </w:rPr>
    </w:lvl>
    <w:lvl w:ilvl="3" w:tplc="A2DAF61C">
      <w:numFmt w:val="bullet"/>
      <w:lvlText w:val="•"/>
      <w:lvlJc w:val="left"/>
      <w:pPr>
        <w:ind w:left="4448" w:hanging="229"/>
      </w:pPr>
      <w:rPr>
        <w:rFonts w:hint="default"/>
        <w:lang w:val="es-ES" w:eastAsia="en-US" w:bidi="ar-SA"/>
      </w:rPr>
    </w:lvl>
    <w:lvl w:ilvl="4" w:tplc="32D47210">
      <w:numFmt w:val="bullet"/>
      <w:lvlText w:val="•"/>
      <w:lvlJc w:val="left"/>
      <w:pPr>
        <w:ind w:left="5484" w:hanging="229"/>
      </w:pPr>
      <w:rPr>
        <w:rFonts w:hint="default"/>
        <w:lang w:val="es-ES" w:eastAsia="en-US" w:bidi="ar-SA"/>
      </w:rPr>
    </w:lvl>
    <w:lvl w:ilvl="5" w:tplc="7368BEC0">
      <w:numFmt w:val="bullet"/>
      <w:lvlText w:val="•"/>
      <w:lvlJc w:val="left"/>
      <w:pPr>
        <w:ind w:left="6520" w:hanging="229"/>
      </w:pPr>
      <w:rPr>
        <w:rFonts w:hint="default"/>
        <w:lang w:val="es-ES" w:eastAsia="en-US" w:bidi="ar-SA"/>
      </w:rPr>
    </w:lvl>
    <w:lvl w:ilvl="6" w:tplc="5C1E5074">
      <w:numFmt w:val="bullet"/>
      <w:lvlText w:val="•"/>
      <w:lvlJc w:val="left"/>
      <w:pPr>
        <w:ind w:left="7556" w:hanging="229"/>
      </w:pPr>
      <w:rPr>
        <w:rFonts w:hint="default"/>
        <w:lang w:val="es-ES" w:eastAsia="en-US" w:bidi="ar-SA"/>
      </w:rPr>
    </w:lvl>
    <w:lvl w:ilvl="7" w:tplc="D02A72BA">
      <w:numFmt w:val="bullet"/>
      <w:lvlText w:val="•"/>
      <w:lvlJc w:val="left"/>
      <w:pPr>
        <w:ind w:left="8592" w:hanging="229"/>
      </w:pPr>
      <w:rPr>
        <w:rFonts w:hint="default"/>
        <w:lang w:val="es-ES" w:eastAsia="en-US" w:bidi="ar-SA"/>
      </w:rPr>
    </w:lvl>
    <w:lvl w:ilvl="8" w:tplc="A312582C">
      <w:numFmt w:val="bullet"/>
      <w:lvlText w:val="•"/>
      <w:lvlJc w:val="left"/>
      <w:pPr>
        <w:ind w:left="9628" w:hanging="229"/>
      </w:pPr>
      <w:rPr>
        <w:rFonts w:hint="default"/>
        <w:lang w:val="es-ES" w:eastAsia="en-US" w:bidi="ar-SA"/>
      </w:rPr>
    </w:lvl>
  </w:abstractNum>
  <w:abstractNum w:abstractNumId="105" w15:restartNumberingAfterBreak="0">
    <w:nsid w:val="6C955011"/>
    <w:multiLevelType w:val="hybridMultilevel"/>
    <w:tmpl w:val="C472D446"/>
    <w:lvl w:ilvl="0" w:tplc="11BA6042">
      <w:start w:val="1"/>
      <w:numFmt w:val="upperLetter"/>
      <w:lvlText w:val="%1."/>
      <w:lvlJc w:val="left"/>
      <w:pPr>
        <w:ind w:left="1366" w:hanging="267"/>
      </w:pPr>
      <w:rPr>
        <w:rFonts w:hint="default"/>
        <w:spacing w:val="-1"/>
        <w:w w:val="99"/>
        <w:lang w:val="es-ES" w:eastAsia="en-US" w:bidi="ar-SA"/>
      </w:rPr>
    </w:lvl>
    <w:lvl w:ilvl="1" w:tplc="26AC2212">
      <w:numFmt w:val="bullet"/>
      <w:lvlText w:val="•"/>
      <w:lvlJc w:val="left"/>
      <w:pPr>
        <w:ind w:left="2394" w:hanging="267"/>
      </w:pPr>
      <w:rPr>
        <w:rFonts w:hint="default"/>
        <w:lang w:val="es-ES" w:eastAsia="en-US" w:bidi="ar-SA"/>
      </w:rPr>
    </w:lvl>
    <w:lvl w:ilvl="2" w:tplc="758AD06C">
      <w:numFmt w:val="bullet"/>
      <w:lvlText w:val="•"/>
      <w:lvlJc w:val="left"/>
      <w:pPr>
        <w:ind w:left="3428" w:hanging="267"/>
      </w:pPr>
      <w:rPr>
        <w:rFonts w:hint="default"/>
        <w:lang w:val="es-ES" w:eastAsia="en-US" w:bidi="ar-SA"/>
      </w:rPr>
    </w:lvl>
    <w:lvl w:ilvl="3" w:tplc="491E5C52">
      <w:numFmt w:val="bullet"/>
      <w:lvlText w:val="•"/>
      <w:lvlJc w:val="left"/>
      <w:pPr>
        <w:ind w:left="4462" w:hanging="267"/>
      </w:pPr>
      <w:rPr>
        <w:rFonts w:hint="default"/>
        <w:lang w:val="es-ES" w:eastAsia="en-US" w:bidi="ar-SA"/>
      </w:rPr>
    </w:lvl>
    <w:lvl w:ilvl="4" w:tplc="26BA395A">
      <w:numFmt w:val="bullet"/>
      <w:lvlText w:val="•"/>
      <w:lvlJc w:val="left"/>
      <w:pPr>
        <w:ind w:left="5496" w:hanging="267"/>
      </w:pPr>
      <w:rPr>
        <w:rFonts w:hint="default"/>
        <w:lang w:val="es-ES" w:eastAsia="en-US" w:bidi="ar-SA"/>
      </w:rPr>
    </w:lvl>
    <w:lvl w:ilvl="5" w:tplc="8B72FFD8">
      <w:numFmt w:val="bullet"/>
      <w:lvlText w:val="•"/>
      <w:lvlJc w:val="left"/>
      <w:pPr>
        <w:ind w:left="6530" w:hanging="267"/>
      </w:pPr>
      <w:rPr>
        <w:rFonts w:hint="default"/>
        <w:lang w:val="es-ES" w:eastAsia="en-US" w:bidi="ar-SA"/>
      </w:rPr>
    </w:lvl>
    <w:lvl w:ilvl="6" w:tplc="B9B6310A">
      <w:numFmt w:val="bullet"/>
      <w:lvlText w:val="•"/>
      <w:lvlJc w:val="left"/>
      <w:pPr>
        <w:ind w:left="7564" w:hanging="267"/>
      </w:pPr>
      <w:rPr>
        <w:rFonts w:hint="default"/>
        <w:lang w:val="es-ES" w:eastAsia="en-US" w:bidi="ar-SA"/>
      </w:rPr>
    </w:lvl>
    <w:lvl w:ilvl="7" w:tplc="C48834DC">
      <w:numFmt w:val="bullet"/>
      <w:lvlText w:val="•"/>
      <w:lvlJc w:val="left"/>
      <w:pPr>
        <w:ind w:left="8598" w:hanging="267"/>
      </w:pPr>
      <w:rPr>
        <w:rFonts w:hint="default"/>
        <w:lang w:val="es-ES" w:eastAsia="en-US" w:bidi="ar-SA"/>
      </w:rPr>
    </w:lvl>
    <w:lvl w:ilvl="8" w:tplc="4E4419B0">
      <w:numFmt w:val="bullet"/>
      <w:lvlText w:val="•"/>
      <w:lvlJc w:val="left"/>
      <w:pPr>
        <w:ind w:left="9632" w:hanging="267"/>
      </w:pPr>
      <w:rPr>
        <w:rFonts w:hint="default"/>
        <w:lang w:val="es-ES" w:eastAsia="en-US" w:bidi="ar-SA"/>
      </w:rPr>
    </w:lvl>
  </w:abstractNum>
  <w:abstractNum w:abstractNumId="106" w15:restartNumberingAfterBreak="0">
    <w:nsid w:val="6DA94E1B"/>
    <w:multiLevelType w:val="hybridMultilevel"/>
    <w:tmpl w:val="585E8D7C"/>
    <w:lvl w:ilvl="0" w:tplc="5354182C">
      <w:start w:val="3"/>
      <w:numFmt w:val="lowerLetter"/>
      <w:lvlText w:val="(%1)"/>
      <w:lvlJc w:val="left"/>
      <w:pPr>
        <w:ind w:left="1350" w:hanging="235"/>
      </w:pPr>
      <w:rPr>
        <w:rFonts w:hint="default"/>
        <w:spacing w:val="0"/>
        <w:w w:val="101"/>
        <w:lang w:val="es-ES" w:eastAsia="en-US" w:bidi="ar-SA"/>
      </w:rPr>
    </w:lvl>
    <w:lvl w:ilvl="1" w:tplc="D8C6DC1A">
      <w:numFmt w:val="bullet"/>
      <w:lvlText w:val="•"/>
      <w:lvlJc w:val="left"/>
      <w:pPr>
        <w:ind w:left="2394" w:hanging="235"/>
      </w:pPr>
      <w:rPr>
        <w:rFonts w:hint="default"/>
        <w:lang w:val="es-ES" w:eastAsia="en-US" w:bidi="ar-SA"/>
      </w:rPr>
    </w:lvl>
    <w:lvl w:ilvl="2" w:tplc="8DFA3BB6">
      <w:numFmt w:val="bullet"/>
      <w:lvlText w:val="•"/>
      <w:lvlJc w:val="left"/>
      <w:pPr>
        <w:ind w:left="3428" w:hanging="235"/>
      </w:pPr>
      <w:rPr>
        <w:rFonts w:hint="default"/>
        <w:lang w:val="es-ES" w:eastAsia="en-US" w:bidi="ar-SA"/>
      </w:rPr>
    </w:lvl>
    <w:lvl w:ilvl="3" w:tplc="368ABCD4">
      <w:numFmt w:val="bullet"/>
      <w:lvlText w:val="•"/>
      <w:lvlJc w:val="left"/>
      <w:pPr>
        <w:ind w:left="4462" w:hanging="235"/>
      </w:pPr>
      <w:rPr>
        <w:rFonts w:hint="default"/>
        <w:lang w:val="es-ES" w:eastAsia="en-US" w:bidi="ar-SA"/>
      </w:rPr>
    </w:lvl>
    <w:lvl w:ilvl="4" w:tplc="C1C43008">
      <w:numFmt w:val="bullet"/>
      <w:lvlText w:val="•"/>
      <w:lvlJc w:val="left"/>
      <w:pPr>
        <w:ind w:left="5496" w:hanging="235"/>
      </w:pPr>
      <w:rPr>
        <w:rFonts w:hint="default"/>
        <w:lang w:val="es-ES" w:eastAsia="en-US" w:bidi="ar-SA"/>
      </w:rPr>
    </w:lvl>
    <w:lvl w:ilvl="5" w:tplc="133E8342">
      <w:numFmt w:val="bullet"/>
      <w:lvlText w:val="•"/>
      <w:lvlJc w:val="left"/>
      <w:pPr>
        <w:ind w:left="6530" w:hanging="235"/>
      </w:pPr>
      <w:rPr>
        <w:rFonts w:hint="default"/>
        <w:lang w:val="es-ES" w:eastAsia="en-US" w:bidi="ar-SA"/>
      </w:rPr>
    </w:lvl>
    <w:lvl w:ilvl="6" w:tplc="DB0CE3CA">
      <w:numFmt w:val="bullet"/>
      <w:lvlText w:val="•"/>
      <w:lvlJc w:val="left"/>
      <w:pPr>
        <w:ind w:left="7564" w:hanging="235"/>
      </w:pPr>
      <w:rPr>
        <w:rFonts w:hint="default"/>
        <w:lang w:val="es-ES" w:eastAsia="en-US" w:bidi="ar-SA"/>
      </w:rPr>
    </w:lvl>
    <w:lvl w:ilvl="7" w:tplc="6C603B32">
      <w:numFmt w:val="bullet"/>
      <w:lvlText w:val="•"/>
      <w:lvlJc w:val="left"/>
      <w:pPr>
        <w:ind w:left="8598" w:hanging="235"/>
      </w:pPr>
      <w:rPr>
        <w:rFonts w:hint="default"/>
        <w:lang w:val="es-ES" w:eastAsia="en-US" w:bidi="ar-SA"/>
      </w:rPr>
    </w:lvl>
    <w:lvl w:ilvl="8" w:tplc="634CF092">
      <w:numFmt w:val="bullet"/>
      <w:lvlText w:val="•"/>
      <w:lvlJc w:val="left"/>
      <w:pPr>
        <w:ind w:left="9632" w:hanging="235"/>
      </w:pPr>
      <w:rPr>
        <w:rFonts w:hint="default"/>
        <w:lang w:val="es-ES" w:eastAsia="en-US" w:bidi="ar-SA"/>
      </w:rPr>
    </w:lvl>
  </w:abstractNum>
  <w:abstractNum w:abstractNumId="107" w15:restartNumberingAfterBreak="0">
    <w:nsid w:val="6DC156B7"/>
    <w:multiLevelType w:val="hybridMultilevel"/>
    <w:tmpl w:val="C4163702"/>
    <w:lvl w:ilvl="0" w:tplc="7DA475A2">
      <w:start w:val="3"/>
      <w:numFmt w:val="upperRoman"/>
      <w:lvlText w:val="%1."/>
      <w:lvlJc w:val="right"/>
      <w:pPr>
        <w:ind w:left="1854" w:hanging="360"/>
      </w:pPr>
      <w:rPr>
        <w:rFonts w:hint="default"/>
      </w:r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108" w15:restartNumberingAfterBreak="0">
    <w:nsid w:val="71342E44"/>
    <w:multiLevelType w:val="hybridMultilevel"/>
    <w:tmpl w:val="5DE6947C"/>
    <w:lvl w:ilvl="0" w:tplc="140A0015">
      <w:start w:val="1"/>
      <w:numFmt w:val="upperLetter"/>
      <w:lvlText w:val="%1."/>
      <w:lvlJc w:val="left"/>
      <w:pPr>
        <w:ind w:left="1996" w:hanging="360"/>
      </w:pPr>
    </w:lvl>
    <w:lvl w:ilvl="1" w:tplc="140A0019" w:tentative="1">
      <w:start w:val="1"/>
      <w:numFmt w:val="lowerLetter"/>
      <w:lvlText w:val="%2."/>
      <w:lvlJc w:val="left"/>
      <w:pPr>
        <w:ind w:left="2716" w:hanging="360"/>
      </w:pPr>
    </w:lvl>
    <w:lvl w:ilvl="2" w:tplc="140A001B" w:tentative="1">
      <w:start w:val="1"/>
      <w:numFmt w:val="lowerRoman"/>
      <w:lvlText w:val="%3."/>
      <w:lvlJc w:val="right"/>
      <w:pPr>
        <w:ind w:left="3436" w:hanging="180"/>
      </w:pPr>
    </w:lvl>
    <w:lvl w:ilvl="3" w:tplc="140A000F" w:tentative="1">
      <w:start w:val="1"/>
      <w:numFmt w:val="decimal"/>
      <w:lvlText w:val="%4."/>
      <w:lvlJc w:val="left"/>
      <w:pPr>
        <w:ind w:left="4156" w:hanging="360"/>
      </w:pPr>
    </w:lvl>
    <w:lvl w:ilvl="4" w:tplc="140A0019" w:tentative="1">
      <w:start w:val="1"/>
      <w:numFmt w:val="lowerLetter"/>
      <w:lvlText w:val="%5."/>
      <w:lvlJc w:val="left"/>
      <w:pPr>
        <w:ind w:left="4876" w:hanging="360"/>
      </w:pPr>
    </w:lvl>
    <w:lvl w:ilvl="5" w:tplc="140A001B" w:tentative="1">
      <w:start w:val="1"/>
      <w:numFmt w:val="lowerRoman"/>
      <w:lvlText w:val="%6."/>
      <w:lvlJc w:val="right"/>
      <w:pPr>
        <w:ind w:left="5596" w:hanging="180"/>
      </w:pPr>
    </w:lvl>
    <w:lvl w:ilvl="6" w:tplc="140A000F" w:tentative="1">
      <w:start w:val="1"/>
      <w:numFmt w:val="decimal"/>
      <w:lvlText w:val="%7."/>
      <w:lvlJc w:val="left"/>
      <w:pPr>
        <w:ind w:left="6316" w:hanging="360"/>
      </w:pPr>
    </w:lvl>
    <w:lvl w:ilvl="7" w:tplc="140A0019" w:tentative="1">
      <w:start w:val="1"/>
      <w:numFmt w:val="lowerLetter"/>
      <w:lvlText w:val="%8."/>
      <w:lvlJc w:val="left"/>
      <w:pPr>
        <w:ind w:left="7036" w:hanging="360"/>
      </w:pPr>
    </w:lvl>
    <w:lvl w:ilvl="8" w:tplc="140A001B" w:tentative="1">
      <w:start w:val="1"/>
      <w:numFmt w:val="lowerRoman"/>
      <w:lvlText w:val="%9."/>
      <w:lvlJc w:val="right"/>
      <w:pPr>
        <w:ind w:left="7756" w:hanging="180"/>
      </w:pPr>
    </w:lvl>
  </w:abstractNum>
  <w:abstractNum w:abstractNumId="109" w15:restartNumberingAfterBreak="0">
    <w:nsid w:val="733B6A8B"/>
    <w:multiLevelType w:val="hybridMultilevel"/>
    <w:tmpl w:val="3B466410"/>
    <w:lvl w:ilvl="0" w:tplc="55E8185A">
      <w:start w:val="77"/>
      <w:numFmt w:val="decimal"/>
      <w:lvlText w:val="%1"/>
      <w:lvlJc w:val="left"/>
      <w:pPr>
        <w:ind w:left="1271" w:hanging="163"/>
      </w:pPr>
      <w:rPr>
        <w:rFonts w:ascii="Arial MT" w:eastAsia="Arial MT" w:hAnsi="Arial MT" w:cs="Arial MT" w:hint="default"/>
        <w:b w:val="0"/>
        <w:bCs w:val="0"/>
        <w:i w:val="0"/>
        <w:iCs w:val="0"/>
        <w:spacing w:val="-1"/>
        <w:w w:val="106"/>
        <w:sz w:val="11"/>
        <w:szCs w:val="11"/>
        <w:lang w:val="es-ES" w:eastAsia="en-US" w:bidi="ar-SA"/>
      </w:rPr>
    </w:lvl>
    <w:lvl w:ilvl="1" w:tplc="9A8C5C34">
      <w:numFmt w:val="bullet"/>
      <w:lvlText w:val="•"/>
      <w:lvlJc w:val="left"/>
      <w:pPr>
        <w:ind w:left="2322" w:hanging="163"/>
      </w:pPr>
      <w:rPr>
        <w:rFonts w:hint="default"/>
        <w:lang w:val="es-ES" w:eastAsia="en-US" w:bidi="ar-SA"/>
      </w:rPr>
    </w:lvl>
    <w:lvl w:ilvl="2" w:tplc="BCE898A6">
      <w:numFmt w:val="bullet"/>
      <w:lvlText w:val="•"/>
      <w:lvlJc w:val="left"/>
      <w:pPr>
        <w:ind w:left="3364" w:hanging="163"/>
      </w:pPr>
      <w:rPr>
        <w:rFonts w:hint="default"/>
        <w:lang w:val="es-ES" w:eastAsia="en-US" w:bidi="ar-SA"/>
      </w:rPr>
    </w:lvl>
    <w:lvl w:ilvl="3" w:tplc="B29A4102">
      <w:numFmt w:val="bullet"/>
      <w:lvlText w:val="•"/>
      <w:lvlJc w:val="left"/>
      <w:pPr>
        <w:ind w:left="4406" w:hanging="163"/>
      </w:pPr>
      <w:rPr>
        <w:rFonts w:hint="default"/>
        <w:lang w:val="es-ES" w:eastAsia="en-US" w:bidi="ar-SA"/>
      </w:rPr>
    </w:lvl>
    <w:lvl w:ilvl="4" w:tplc="458A4A5C">
      <w:numFmt w:val="bullet"/>
      <w:lvlText w:val="•"/>
      <w:lvlJc w:val="left"/>
      <w:pPr>
        <w:ind w:left="5448" w:hanging="163"/>
      </w:pPr>
      <w:rPr>
        <w:rFonts w:hint="default"/>
        <w:lang w:val="es-ES" w:eastAsia="en-US" w:bidi="ar-SA"/>
      </w:rPr>
    </w:lvl>
    <w:lvl w:ilvl="5" w:tplc="0D2458E8">
      <w:numFmt w:val="bullet"/>
      <w:lvlText w:val="•"/>
      <w:lvlJc w:val="left"/>
      <w:pPr>
        <w:ind w:left="6490" w:hanging="163"/>
      </w:pPr>
      <w:rPr>
        <w:rFonts w:hint="default"/>
        <w:lang w:val="es-ES" w:eastAsia="en-US" w:bidi="ar-SA"/>
      </w:rPr>
    </w:lvl>
    <w:lvl w:ilvl="6" w:tplc="542A4394">
      <w:numFmt w:val="bullet"/>
      <w:lvlText w:val="•"/>
      <w:lvlJc w:val="left"/>
      <w:pPr>
        <w:ind w:left="7532" w:hanging="163"/>
      </w:pPr>
      <w:rPr>
        <w:rFonts w:hint="default"/>
        <w:lang w:val="es-ES" w:eastAsia="en-US" w:bidi="ar-SA"/>
      </w:rPr>
    </w:lvl>
    <w:lvl w:ilvl="7" w:tplc="D9FE8B72">
      <w:numFmt w:val="bullet"/>
      <w:lvlText w:val="•"/>
      <w:lvlJc w:val="left"/>
      <w:pPr>
        <w:ind w:left="8574" w:hanging="163"/>
      </w:pPr>
      <w:rPr>
        <w:rFonts w:hint="default"/>
        <w:lang w:val="es-ES" w:eastAsia="en-US" w:bidi="ar-SA"/>
      </w:rPr>
    </w:lvl>
    <w:lvl w:ilvl="8" w:tplc="289AE2DA">
      <w:numFmt w:val="bullet"/>
      <w:lvlText w:val="•"/>
      <w:lvlJc w:val="left"/>
      <w:pPr>
        <w:ind w:left="9616" w:hanging="163"/>
      </w:pPr>
      <w:rPr>
        <w:rFonts w:hint="default"/>
        <w:lang w:val="es-ES" w:eastAsia="en-US" w:bidi="ar-SA"/>
      </w:rPr>
    </w:lvl>
  </w:abstractNum>
  <w:abstractNum w:abstractNumId="110" w15:restartNumberingAfterBreak="0">
    <w:nsid w:val="76334CE8"/>
    <w:multiLevelType w:val="hybridMultilevel"/>
    <w:tmpl w:val="35A6809A"/>
    <w:lvl w:ilvl="0" w:tplc="00A8A344">
      <w:start w:val="277"/>
      <w:numFmt w:val="decimal"/>
      <w:lvlText w:val="%1"/>
      <w:lvlJc w:val="left"/>
      <w:pPr>
        <w:ind w:left="1366" w:hanging="216"/>
      </w:pPr>
      <w:rPr>
        <w:rFonts w:ascii="Arial MT" w:eastAsia="Arial MT" w:hAnsi="Arial MT" w:cs="Arial MT" w:hint="default"/>
        <w:b w:val="0"/>
        <w:bCs w:val="0"/>
        <w:i w:val="0"/>
        <w:iCs w:val="0"/>
        <w:spacing w:val="-1"/>
        <w:w w:val="100"/>
        <w:sz w:val="11"/>
        <w:szCs w:val="11"/>
        <w:lang w:val="es-ES" w:eastAsia="en-US" w:bidi="ar-SA"/>
      </w:rPr>
    </w:lvl>
    <w:lvl w:ilvl="1" w:tplc="FAD8C292">
      <w:numFmt w:val="bullet"/>
      <w:lvlText w:val="•"/>
      <w:lvlJc w:val="left"/>
      <w:pPr>
        <w:ind w:left="2394" w:hanging="216"/>
      </w:pPr>
      <w:rPr>
        <w:rFonts w:hint="default"/>
        <w:lang w:val="es-ES" w:eastAsia="en-US" w:bidi="ar-SA"/>
      </w:rPr>
    </w:lvl>
    <w:lvl w:ilvl="2" w:tplc="EED288E6">
      <w:numFmt w:val="bullet"/>
      <w:lvlText w:val="•"/>
      <w:lvlJc w:val="left"/>
      <w:pPr>
        <w:ind w:left="3428" w:hanging="216"/>
      </w:pPr>
      <w:rPr>
        <w:rFonts w:hint="default"/>
        <w:lang w:val="es-ES" w:eastAsia="en-US" w:bidi="ar-SA"/>
      </w:rPr>
    </w:lvl>
    <w:lvl w:ilvl="3" w:tplc="5DEC913A">
      <w:numFmt w:val="bullet"/>
      <w:lvlText w:val="•"/>
      <w:lvlJc w:val="left"/>
      <w:pPr>
        <w:ind w:left="4462" w:hanging="216"/>
      </w:pPr>
      <w:rPr>
        <w:rFonts w:hint="default"/>
        <w:lang w:val="es-ES" w:eastAsia="en-US" w:bidi="ar-SA"/>
      </w:rPr>
    </w:lvl>
    <w:lvl w:ilvl="4" w:tplc="05864EAA">
      <w:numFmt w:val="bullet"/>
      <w:lvlText w:val="•"/>
      <w:lvlJc w:val="left"/>
      <w:pPr>
        <w:ind w:left="5496" w:hanging="216"/>
      </w:pPr>
      <w:rPr>
        <w:rFonts w:hint="default"/>
        <w:lang w:val="es-ES" w:eastAsia="en-US" w:bidi="ar-SA"/>
      </w:rPr>
    </w:lvl>
    <w:lvl w:ilvl="5" w:tplc="65EA3EA6">
      <w:numFmt w:val="bullet"/>
      <w:lvlText w:val="•"/>
      <w:lvlJc w:val="left"/>
      <w:pPr>
        <w:ind w:left="6530" w:hanging="216"/>
      </w:pPr>
      <w:rPr>
        <w:rFonts w:hint="default"/>
        <w:lang w:val="es-ES" w:eastAsia="en-US" w:bidi="ar-SA"/>
      </w:rPr>
    </w:lvl>
    <w:lvl w:ilvl="6" w:tplc="E962E094">
      <w:numFmt w:val="bullet"/>
      <w:lvlText w:val="•"/>
      <w:lvlJc w:val="left"/>
      <w:pPr>
        <w:ind w:left="7564" w:hanging="216"/>
      </w:pPr>
      <w:rPr>
        <w:rFonts w:hint="default"/>
        <w:lang w:val="es-ES" w:eastAsia="en-US" w:bidi="ar-SA"/>
      </w:rPr>
    </w:lvl>
    <w:lvl w:ilvl="7" w:tplc="29748B9E">
      <w:numFmt w:val="bullet"/>
      <w:lvlText w:val="•"/>
      <w:lvlJc w:val="left"/>
      <w:pPr>
        <w:ind w:left="8598" w:hanging="216"/>
      </w:pPr>
      <w:rPr>
        <w:rFonts w:hint="default"/>
        <w:lang w:val="es-ES" w:eastAsia="en-US" w:bidi="ar-SA"/>
      </w:rPr>
    </w:lvl>
    <w:lvl w:ilvl="8" w:tplc="961AC928">
      <w:numFmt w:val="bullet"/>
      <w:lvlText w:val="•"/>
      <w:lvlJc w:val="left"/>
      <w:pPr>
        <w:ind w:left="9632" w:hanging="216"/>
      </w:pPr>
      <w:rPr>
        <w:rFonts w:hint="default"/>
        <w:lang w:val="es-ES" w:eastAsia="en-US" w:bidi="ar-SA"/>
      </w:rPr>
    </w:lvl>
  </w:abstractNum>
  <w:abstractNum w:abstractNumId="111" w15:restartNumberingAfterBreak="0">
    <w:nsid w:val="7880271F"/>
    <w:multiLevelType w:val="hybridMultilevel"/>
    <w:tmpl w:val="09F8CA22"/>
    <w:lvl w:ilvl="0" w:tplc="004A6E6E">
      <w:start w:val="1"/>
      <w:numFmt w:val="decimal"/>
      <w:lvlText w:val="%1."/>
      <w:lvlJc w:val="left"/>
      <w:pPr>
        <w:ind w:left="1849" w:hanging="164"/>
      </w:pPr>
      <w:rPr>
        <w:rFonts w:ascii="Arial MT" w:eastAsia="Arial MT" w:hAnsi="Arial MT" w:cs="Arial MT" w:hint="default"/>
        <w:b w:val="0"/>
        <w:bCs w:val="0"/>
        <w:i w:val="0"/>
        <w:iCs w:val="0"/>
        <w:color w:val="803108"/>
        <w:spacing w:val="-1"/>
        <w:w w:val="104"/>
        <w:sz w:val="14"/>
        <w:szCs w:val="14"/>
        <w:lang w:val="es-ES" w:eastAsia="en-US" w:bidi="ar-SA"/>
      </w:rPr>
    </w:lvl>
    <w:lvl w:ilvl="1" w:tplc="0162687E">
      <w:start w:val="1"/>
      <w:numFmt w:val="lowerLetter"/>
      <w:lvlText w:val="%2)"/>
      <w:lvlJc w:val="left"/>
      <w:pPr>
        <w:ind w:left="2014" w:hanging="172"/>
      </w:pPr>
      <w:rPr>
        <w:rFonts w:hint="default"/>
        <w:spacing w:val="0"/>
        <w:w w:val="104"/>
        <w:lang w:val="es-ES" w:eastAsia="en-US" w:bidi="ar-SA"/>
      </w:rPr>
    </w:lvl>
    <w:lvl w:ilvl="2" w:tplc="07582796">
      <w:numFmt w:val="bullet"/>
      <w:lvlText w:val="•"/>
      <w:lvlJc w:val="left"/>
      <w:pPr>
        <w:ind w:left="3095" w:hanging="172"/>
      </w:pPr>
      <w:rPr>
        <w:rFonts w:hint="default"/>
        <w:lang w:val="es-ES" w:eastAsia="en-US" w:bidi="ar-SA"/>
      </w:rPr>
    </w:lvl>
    <w:lvl w:ilvl="3" w:tplc="FE5820EE">
      <w:numFmt w:val="bullet"/>
      <w:lvlText w:val="•"/>
      <w:lvlJc w:val="left"/>
      <w:pPr>
        <w:ind w:left="4171" w:hanging="172"/>
      </w:pPr>
      <w:rPr>
        <w:rFonts w:hint="default"/>
        <w:lang w:val="es-ES" w:eastAsia="en-US" w:bidi="ar-SA"/>
      </w:rPr>
    </w:lvl>
    <w:lvl w:ilvl="4" w:tplc="990E5BFA">
      <w:numFmt w:val="bullet"/>
      <w:lvlText w:val="•"/>
      <w:lvlJc w:val="left"/>
      <w:pPr>
        <w:ind w:left="5246" w:hanging="172"/>
      </w:pPr>
      <w:rPr>
        <w:rFonts w:hint="default"/>
        <w:lang w:val="es-ES" w:eastAsia="en-US" w:bidi="ar-SA"/>
      </w:rPr>
    </w:lvl>
    <w:lvl w:ilvl="5" w:tplc="15E43D98">
      <w:numFmt w:val="bullet"/>
      <w:lvlText w:val="•"/>
      <w:lvlJc w:val="left"/>
      <w:pPr>
        <w:ind w:left="6322" w:hanging="172"/>
      </w:pPr>
      <w:rPr>
        <w:rFonts w:hint="default"/>
        <w:lang w:val="es-ES" w:eastAsia="en-US" w:bidi="ar-SA"/>
      </w:rPr>
    </w:lvl>
    <w:lvl w:ilvl="6" w:tplc="5CAEE278">
      <w:numFmt w:val="bullet"/>
      <w:lvlText w:val="•"/>
      <w:lvlJc w:val="left"/>
      <w:pPr>
        <w:ind w:left="7397" w:hanging="172"/>
      </w:pPr>
      <w:rPr>
        <w:rFonts w:hint="default"/>
        <w:lang w:val="es-ES" w:eastAsia="en-US" w:bidi="ar-SA"/>
      </w:rPr>
    </w:lvl>
    <w:lvl w:ilvl="7" w:tplc="DB446946">
      <w:numFmt w:val="bullet"/>
      <w:lvlText w:val="•"/>
      <w:lvlJc w:val="left"/>
      <w:pPr>
        <w:ind w:left="8473" w:hanging="172"/>
      </w:pPr>
      <w:rPr>
        <w:rFonts w:hint="default"/>
        <w:lang w:val="es-ES" w:eastAsia="en-US" w:bidi="ar-SA"/>
      </w:rPr>
    </w:lvl>
    <w:lvl w:ilvl="8" w:tplc="1D8CFB26">
      <w:numFmt w:val="bullet"/>
      <w:lvlText w:val="•"/>
      <w:lvlJc w:val="left"/>
      <w:pPr>
        <w:ind w:left="9548" w:hanging="172"/>
      </w:pPr>
      <w:rPr>
        <w:rFonts w:hint="default"/>
        <w:lang w:val="es-ES" w:eastAsia="en-US" w:bidi="ar-SA"/>
      </w:rPr>
    </w:lvl>
  </w:abstractNum>
  <w:abstractNum w:abstractNumId="112" w15:restartNumberingAfterBreak="0">
    <w:nsid w:val="79224F9B"/>
    <w:multiLevelType w:val="hybridMultilevel"/>
    <w:tmpl w:val="5F92E6E0"/>
    <w:lvl w:ilvl="0" w:tplc="AEEADCFC">
      <w:numFmt w:val="bullet"/>
      <w:lvlText w:val="•"/>
      <w:lvlJc w:val="left"/>
      <w:pPr>
        <w:ind w:left="1559" w:hanging="106"/>
      </w:pPr>
      <w:rPr>
        <w:rFonts w:ascii="Arial MT" w:eastAsia="Arial MT" w:hAnsi="Arial MT" w:cs="Arial MT" w:hint="default"/>
        <w:spacing w:val="0"/>
        <w:w w:val="99"/>
        <w:lang w:val="es-ES" w:eastAsia="en-US" w:bidi="ar-SA"/>
      </w:rPr>
    </w:lvl>
    <w:lvl w:ilvl="1" w:tplc="6CD0F678">
      <w:numFmt w:val="bullet"/>
      <w:lvlText w:val="•"/>
      <w:lvlJc w:val="left"/>
      <w:pPr>
        <w:ind w:left="2574" w:hanging="106"/>
      </w:pPr>
      <w:rPr>
        <w:rFonts w:hint="default"/>
        <w:lang w:val="es-ES" w:eastAsia="en-US" w:bidi="ar-SA"/>
      </w:rPr>
    </w:lvl>
    <w:lvl w:ilvl="2" w:tplc="1974DD32">
      <w:numFmt w:val="bullet"/>
      <w:lvlText w:val="•"/>
      <w:lvlJc w:val="left"/>
      <w:pPr>
        <w:ind w:left="3588" w:hanging="106"/>
      </w:pPr>
      <w:rPr>
        <w:rFonts w:hint="default"/>
        <w:lang w:val="es-ES" w:eastAsia="en-US" w:bidi="ar-SA"/>
      </w:rPr>
    </w:lvl>
    <w:lvl w:ilvl="3" w:tplc="581ECC70">
      <w:numFmt w:val="bullet"/>
      <w:lvlText w:val="•"/>
      <w:lvlJc w:val="left"/>
      <w:pPr>
        <w:ind w:left="4602" w:hanging="106"/>
      </w:pPr>
      <w:rPr>
        <w:rFonts w:hint="default"/>
        <w:lang w:val="es-ES" w:eastAsia="en-US" w:bidi="ar-SA"/>
      </w:rPr>
    </w:lvl>
    <w:lvl w:ilvl="4" w:tplc="62420876">
      <w:numFmt w:val="bullet"/>
      <w:lvlText w:val="•"/>
      <w:lvlJc w:val="left"/>
      <w:pPr>
        <w:ind w:left="5616" w:hanging="106"/>
      </w:pPr>
      <w:rPr>
        <w:rFonts w:hint="default"/>
        <w:lang w:val="es-ES" w:eastAsia="en-US" w:bidi="ar-SA"/>
      </w:rPr>
    </w:lvl>
    <w:lvl w:ilvl="5" w:tplc="EE4A40A2">
      <w:numFmt w:val="bullet"/>
      <w:lvlText w:val="•"/>
      <w:lvlJc w:val="left"/>
      <w:pPr>
        <w:ind w:left="6630" w:hanging="106"/>
      </w:pPr>
      <w:rPr>
        <w:rFonts w:hint="default"/>
        <w:lang w:val="es-ES" w:eastAsia="en-US" w:bidi="ar-SA"/>
      </w:rPr>
    </w:lvl>
    <w:lvl w:ilvl="6" w:tplc="D34C87E2">
      <w:numFmt w:val="bullet"/>
      <w:lvlText w:val="•"/>
      <w:lvlJc w:val="left"/>
      <w:pPr>
        <w:ind w:left="7644" w:hanging="106"/>
      </w:pPr>
      <w:rPr>
        <w:rFonts w:hint="default"/>
        <w:lang w:val="es-ES" w:eastAsia="en-US" w:bidi="ar-SA"/>
      </w:rPr>
    </w:lvl>
    <w:lvl w:ilvl="7" w:tplc="78968E62">
      <w:numFmt w:val="bullet"/>
      <w:lvlText w:val="•"/>
      <w:lvlJc w:val="left"/>
      <w:pPr>
        <w:ind w:left="8658" w:hanging="106"/>
      </w:pPr>
      <w:rPr>
        <w:rFonts w:hint="default"/>
        <w:lang w:val="es-ES" w:eastAsia="en-US" w:bidi="ar-SA"/>
      </w:rPr>
    </w:lvl>
    <w:lvl w:ilvl="8" w:tplc="D6422F1E">
      <w:numFmt w:val="bullet"/>
      <w:lvlText w:val="•"/>
      <w:lvlJc w:val="left"/>
      <w:pPr>
        <w:ind w:left="9672" w:hanging="106"/>
      </w:pPr>
      <w:rPr>
        <w:rFonts w:hint="default"/>
        <w:lang w:val="es-ES" w:eastAsia="en-US" w:bidi="ar-SA"/>
      </w:rPr>
    </w:lvl>
  </w:abstractNum>
  <w:abstractNum w:abstractNumId="113" w15:restartNumberingAfterBreak="0">
    <w:nsid w:val="79700041"/>
    <w:multiLevelType w:val="hybridMultilevel"/>
    <w:tmpl w:val="E91C9880"/>
    <w:lvl w:ilvl="0" w:tplc="0608BA48">
      <w:start w:val="567"/>
      <w:numFmt w:val="decimal"/>
      <w:lvlText w:val="%1"/>
      <w:lvlJc w:val="left"/>
      <w:pPr>
        <w:ind w:left="1353" w:hanging="247"/>
      </w:pPr>
      <w:rPr>
        <w:rFonts w:hint="default"/>
        <w:spacing w:val="-1"/>
        <w:w w:val="103"/>
        <w:lang w:val="es-ES" w:eastAsia="en-US" w:bidi="ar-SA"/>
      </w:rPr>
    </w:lvl>
    <w:lvl w:ilvl="1" w:tplc="CCC07BD2">
      <w:numFmt w:val="bullet"/>
      <w:lvlText w:val="•"/>
      <w:lvlJc w:val="left"/>
      <w:pPr>
        <w:ind w:left="2394" w:hanging="247"/>
      </w:pPr>
      <w:rPr>
        <w:rFonts w:hint="default"/>
        <w:lang w:val="es-ES" w:eastAsia="en-US" w:bidi="ar-SA"/>
      </w:rPr>
    </w:lvl>
    <w:lvl w:ilvl="2" w:tplc="A47E195E">
      <w:numFmt w:val="bullet"/>
      <w:lvlText w:val="•"/>
      <w:lvlJc w:val="left"/>
      <w:pPr>
        <w:ind w:left="3428" w:hanging="247"/>
      </w:pPr>
      <w:rPr>
        <w:rFonts w:hint="default"/>
        <w:lang w:val="es-ES" w:eastAsia="en-US" w:bidi="ar-SA"/>
      </w:rPr>
    </w:lvl>
    <w:lvl w:ilvl="3" w:tplc="9A1E1AC8">
      <w:numFmt w:val="bullet"/>
      <w:lvlText w:val="•"/>
      <w:lvlJc w:val="left"/>
      <w:pPr>
        <w:ind w:left="4462" w:hanging="247"/>
      </w:pPr>
      <w:rPr>
        <w:rFonts w:hint="default"/>
        <w:lang w:val="es-ES" w:eastAsia="en-US" w:bidi="ar-SA"/>
      </w:rPr>
    </w:lvl>
    <w:lvl w:ilvl="4" w:tplc="A9744390">
      <w:numFmt w:val="bullet"/>
      <w:lvlText w:val="•"/>
      <w:lvlJc w:val="left"/>
      <w:pPr>
        <w:ind w:left="5496" w:hanging="247"/>
      </w:pPr>
      <w:rPr>
        <w:rFonts w:hint="default"/>
        <w:lang w:val="es-ES" w:eastAsia="en-US" w:bidi="ar-SA"/>
      </w:rPr>
    </w:lvl>
    <w:lvl w:ilvl="5" w:tplc="3E0A77F4">
      <w:numFmt w:val="bullet"/>
      <w:lvlText w:val="•"/>
      <w:lvlJc w:val="left"/>
      <w:pPr>
        <w:ind w:left="6530" w:hanging="247"/>
      </w:pPr>
      <w:rPr>
        <w:rFonts w:hint="default"/>
        <w:lang w:val="es-ES" w:eastAsia="en-US" w:bidi="ar-SA"/>
      </w:rPr>
    </w:lvl>
    <w:lvl w:ilvl="6" w:tplc="68420EF0">
      <w:numFmt w:val="bullet"/>
      <w:lvlText w:val="•"/>
      <w:lvlJc w:val="left"/>
      <w:pPr>
        <w:ind w:left="7564" w:hanging="247"/>
      </w:pPr>
      <w:rPr>
        <w:rFonts w:hint="default"/>
        <w:lang w:val="es-ES" w:eastAsia="en-US" w:bidi="ar-SA"/>
      </w:rPr>
    </w:lvl>
    <w:lvl w:ilvl="7" w:tplc="8D8E18A8">
      <w:numFmt w:val="bullet"/>
      <w:lvlText w:val="•"/>
      <w:lvlJc w:val="left"/>
      <w:pPr>
        <w:ind w:left="8598" w:hanging="247"/>
      </w:pPr>
      <w:rPr>
        <w:rFonts w:hint="default"/>
        <w:lang w:val="es-ES" w:eastAsia="en-US" w:bidi="ar-SA"/>
      </w:rPr>
    </w:lvl>
    <w:lvl w:ilvl="8" w:tplc="528E9EBE">
      <w:numFmt w:val="bullet"/>
      <w:lvlText w:val="•"/>
      <w:lvlJc w:val="left"/>
      <w:pPr>
        <w:ind w:left="9632" w:hanging="247"/>
      </w:pPr>
      <w:rPr>
        <w:rFonts w:hint="default"/>
        <w:lang w:val="es-ES" w:eastAsia="en-US" w:bidi="ar-SA"/>
      </w:rPr>
    </w:lvl>
  </w:abstractNum>
  <w:abstractNum w:abstractNumId="114" w15:restartNumberingAfterBreak="0">
    <w:nsid w:val="79D22E09"/>
    <w:multiLevelType w:val="hybridMultilevel"/>
    <w:tmpl w:val="BA5E4566"/>
    <w:lvl w:ilvl="0" w:tplc="E51CE6CC">
      <w:start w:val="317"/>
      <w:numFmt w:val="decimal"/>
      <w:lvlText w:val="%1"/>
      <w:lvlJc w:val="left"/>
      <w:pPr>
        <w:ind w:left="1357" w:hanging="250"/>
      </w:pPr>
      <w:rPr>
        <w:rFonts w:ascii="Arial MT" w:eastAsia="Arial MT" w:hAnsi="Arial MT" w:cs="Arial MT" w:hint="default"/>
        <w:b w:val="0"/>
        <w:bCs w:val="0"/>
        <w:i w:val="0"/>
        <w:iCs w:val="0"/>
        <w:spacing w:val="-1"/>
        <w:w w:val="98"/>
        <w:sz w:val="13"/>
        <w:szCs w:val="13"/>
        <w:lang w:val="es-ES" w:eastAsia="en-US" w:bidi="ar-SA"/>
      </w:rPr>
    </w:lvl>
    <w:lvl w:ilvl="1" w:tplc="AE1CE7D6">
      <w:numFmt w:val="bullet"/>
      <w:lvlText w:val="•"/>
      <w:lvlJc w:val="left"/>
      <w:pPr>
        <w:ind w:left="2394" w:hanging="250"/>
      </w:pPr>
      <w:rPr>
        <w:rFonts w:hint="default"/>
        <w:lang w:val="es-ES" w:eastAsia="en-US" w:bidi="ar-SA"/>
      </w:rPr>
    </w:lvl>
    <w:lvl w:ilvl="2" w:tplc="956AA6D0">
      <w:numFmt w:val="bullet"/>
      <w:lvlText w:val="•"/>
      <w:lvlJc w:val="left"/>
      <w:pPr>
        <w:ind w:left="3428" w:hanging="250"/>
      </w:pPr>
      <w:rPr>
        <w:rFonts w:hint="default"/>
        <w:lang w:val="es-ES" w:eastAsia="en-US" w:bidi="ar-SA"/>
      </w:rPr>
    </w:lvl>
    <w:lvl w:ilvl="3" w:tplc="F49E022E">
      <w:numFmt w:val="bullet"/>
      <w:lvlText w:val="•"/>
      <w:lvlJc w:val="left"/>
      <w:pPr>
        <w:ind w:left="4462" w:hanging="250"/>
      </w:pPr>
      <w:rPr>
        <w:rFonts w:hint="default"/>
        <w:lang w:val="es-ES" w:eastAsia="en-US" w:bidi="ar-SA"/>
      </w:rPr>
    </w:lvl>
    <w:lvl w:ilvl="4" w:tplc="EF2851BE">
      <w:numFmt w:val="bullet"/>
      <w:lvlText w:val="•"/>
      <w:lvlJc w:val="left"/>
      <w:pPr>
        <w:ind w:left="5496" w:hanging="250"/>
      </w:pPr>
      <w:rPr>
        <w:rFonts w:hint="default"/>
        <w:lang w:val="es-ES" w:eastAsia="en-US" w:bidi="ar-SA"/>
      </w:rPr>
    </w:lvl>
    <w:lvl w:ilvl="5" w:tplc="4D2E6B18">
      <w:numFmt w:val="bullet"/>
      <w:lvlText w:val="•"/>
      <w:lvlJc w:val="left"/>
      <w:pPr>
        <w:ind w:left="6530" w:hanging="250"/>
      </w:pPr>
      <w:rPr>
        <w:rFonts w:hint="default"/>
        <w:lang w:val="es-ES" w:eastAsia="en-US" w:bidi="ar-SA"/>
      </w:rPr>
    </w:lvl>
    <w:lvl w:ilvl="6" w:tplc="174ABEA8">
      <w:numFmt w:val="bullet"/>
      <w:lvlText w:val="•"/>
      <w:lvlJc w:val="left"/>
      <w:pPr>
        <w:ind w:left="7564" w:hanging="250"/>
      </w:pPr>
      <w:rPr>
        <w:rFonts w:hint="default"/>
        <w:lang w:val="es-ES" w:eastAsia="en-US" w:bidi="ar-SA"/>
      </w:rPr>
    </w:lvl>
    <w:lvl w:ilvl="7" w:tplc="C294484A">
      <w:numFmt w:val="bullet"/>
      <w:lvlText w:val="•"/>
      <w:lvlJc w:val="left"/>
      <w:pPr>
        <w:ind w:left="8598" w:hanging="250"/>
      </w:pPr>
      <w:rPr>
        <w:rFonts w:hint="default"/>
        <w:lang w:val="es-ES" w:eastAsia="en-US" w:bidi="ar-SA"/>
      </w:rPr>
    </w:lvl>
    <w:lvl w:ilvl="8" w:tplc="C568DD06">
      <w:numFmt w:val="bullet"/>
      <w:lvlText w:val="•"/>
      <w:lvlJc w:val="left"/>
      <w:pPr>
        <w:ind w:left="9632" w:hanging="250"/>
      </w:pPr>
      <w:rPr>
        <w:rFonts w:hint="default"/>
        <w:lang w:val="es-ES" w:eastAsia="en-US" w:bidi="ar-SA"/>
      </w:rPr>
    </w:lvl>
  </w:abstractNum>
  <w:abstractNum w:abstractNumId="115" w15:restartNumberingAfterBreak="0">
    <w:nsid w:val="7A7B1D58"/>
    <w:multiLevelType w:val="hybridMultilevel"/>
    <w:tmpl w:val="BFA4675A"/>
    <w:lvl w:ilvl="0" w:tplc="6F3261EE">
      <w:start w:val="81"/>
      <w:numFmt w:val="decimal"/>
      <w:lvlText w:val="%1."/>
      <w:lvlJc w:val="left"/>
      <w:pPr>
        <w:ind w:left="1896" w:hanging="267"/>
      </w:pPr>
      <w:rPr>
        <w:rFonts w:ascii="Arial MT" w:eastAsia="Arial MT" w:hAnsi="Arial MT" w:cs="Arial MT" w:hint="default"/>
        <w:b w:val="0"/>
        <w:bCs w:val="0"/>
        <w:i w:val="0"/>
        <w:iCs w:val="0"/>
        <w:spacing w:val="-1"/>
        <w:w w:val="100"/>
        <w:sz w:val="16"/>
        <w:szCs w:val="16"/>
        <w:lang w:val="es-ES" w:eastAsia="en-US" w:bidi="ar-SA"/>
      </w:rPr>
    </w:lvl>
    <w:lvl w:ilvl="1" w:tplc="77F0A40E">
      <w:start w:val="1"/>
      <w:numFmt w:val="decimal"/>
      <w:lvlText w:val="%2."/>
      <w:lvlJc w:val="left"/>
      <w:pPr>
        <w:ind w:left="1863" w:hanging="178"/>
      </w:pPr>
      <w:rPr>
        <w:rFonts w:hint="default"/>
        <w:spacing w:val="-1"/>
        <w:w w:val="100"/>
        <w:lang w:val="es-ES" w:eastAsia="en-US" w:bidi="ar-SA"/>
      </w:rPr>
    </w:lvl>
    <w:lvl w:ilvl="2" w:tplc="52C6C7EA">
      <w:numFmt w:val="bullet"/>
      <w:lvlText w:val="•"/>
      <w:lvlJc w:val="left"/>
      <w:pPr>
        <w:ind w:left="2988" w:hanging="178"/>
      </w:pPr>
      <w:rPr>
        <w:rFonts w:hint="default"/>
        <w:lang w:val="es-ES" w:eastAsia="en-US" w:bidi="ar-SA"/>
      </w:rPr>
    </w:lvl>
    <w:lvl w:ilvl="3" w:tplc="D2E4F40E">
      <w:numFmt w:val="bullet"/>
      <w:lvlText w:val="•"/>
      <w:lvlJc w:val="left"/>
      <w:pPr>
        <w:ind w:left="4077" w:hanging="178"/>
      </w:pPr>
      <w:rPr>
        <w:rFonts w:hint="default"/>
        <w:lang w:val="es-ES" w:eastAsia="en-US" w:bidi="ar-SA"/>
      </w:rPr>
    </w:lvl>
    <w:lvl w:ilvl="4" w:tplc="41061318">
      <w:numFmt w:val="bullet"/>
      <w:lvlText w:val="•"/>
      <w:lvlJc w:val="left"/>
      <w:pPr>
        <w:ind w:left="5166" w:hanging="178"/>
      </w:pPr>
      <w:rPr>
        <w:rFonts w:hint="default"/>
        <w:lang w:val="es-ES" w:eastAsia="en-US" w:bidi="ar-SA"/>
      </w:rPr>
    </w:lvl>
    <w:lvl w:ilvl="5" w:tplc="C91A8AF0">
      <w:numFmt w:val="bullet"/>
      <w:lvlText w:val="•"/>
      <w:lvlJc w:val="left"/>
      <w:pPr>
        <w:ind w:left="6255" w:hanging="178"/>
      </w:pPr>
      <w:rPr>
        <w:rFonts w:hint="default"/>
        <w:lang w:val="es-ES" w:eastAsia="en-US" w:bidi="ar-SA"/>
      </w:rPr>
    </w:lvl>
    <w:lvl w:ilvl="6" w:tplc="B5EE23F4">
      <w:numFmt w:val="bullet"/>
      <w:lvlText w:val="•"/>
      <w:lvlJc w:val="left"/>
      <w:pPr>
        <w:ind w:left="7344" w:hanging="178"/>
      </w:pPr>
      <w:rPr>
        <w:rFonts w:hint="default"/>
        <w:lang w:val="es-ES" w:eastAsia="en-US" w:bidi="ar-SA"/>
      </w:rPr>
    </w:lvl>
    <w:lvl w:ilvl="7" w:tplc="8B68A672">
      <w:numFmt w:val="bullet"/>
      <w:lvlText w:val="•"/>
      <w:lvlJc w:val="left"/>
      <w:pPr>
        <w:ind w:left="8433" w:hanging="178"/>
      </w:pPr>
      <w:rPr>
        <w:rFonts w:hint="default"/>
        <w:lang w:val="es-ES" w:eastAsia="en-US" w:bidi="ar-SA"/>
      </w:rPr>
    </w:lvl>
    <w:lvl w:ilvl="8" w:tplc="F2AC5536">
      <w:numFmt w:val="bullet"/>
      <w:lvlText w:val="•"/>
      <w:lvlJc w:val="left"/>
      <w:pPr>
        <w:ind w:left="9522" w:hanging="178"/>
      </w:pPr>
      <w:rPr>
        <w:rFonts w:hint="default"/>
        <w:lang w:val="es-ES" w:eastAsia="en-US" w:bidi="ar-SA"/>
      </w:rPr>
    </w:lvl>
  </w:abstractNum>
  <w:abstractNum w:abstractNumId="116" w15:restartNumberingAfterBreak="0">
    <w:nsid w:val="7B5E0EEF"/>
    <w:multiLevelType w:val="hybridMultilevel"/>
    <w:tmpl w:val="4C26B7CC"/>
    <w:lvl w:ilvl="0" w:tplc="C18CB45E">
      <w:start w:val="1"/>
      <w:numFmt w:val="decimal"/>
      <w:lvlText w:val="%1."/>
      <w:lvlJc w:val="left"/>
      <w:pPr>
        <w:ind w:left="1413" w:hanging="278"/>
      </w:pPr>
      <w:rPr>
        <w:rFonts w:hint="default"/>
        <w:spacing w:val="-1"/>
        <w:w w:val="100"/>
        <w:lang w:val="es-ES" w:eastAsia="en-US" w:bidi="ar-SA"/>
      </w:rPr>
    </w:lvl>
    <w:lvl w:ilvl="1" w:tplc="FC1A3BFA">
      <w:numFmt w:val="bullet"/>
      <w:lvlText w:val="•"/>
      <w:lvlJc w:val="left"/>
      <w:pPr>
        <w:ind w:left="2448" w:hanging="278"/>
      </w:pPr>
      <w:rPr>
        <w:rFonts w:hint="default"/>
        <w:lang w:val="es-ES" w:eastAsia="en-US" w:bidi="ar-SA"/>
      </w:rPr>
    </w:lvl>
    <w:lvl w:ilvl="2" w:tplc="6F2EA202">
      <w:numFmt w:val="bullet"/>
      <w:lvlText w:val="•"/>
      <w:lvlJc w:val="left"/>
      <w:pPr>
        <w:ind w:left="3476" w:hanging="278"/>
      </w:pPr>
      <w:rPr>
        <w:rFonts w:hint="default"/>
        <w:lang w:val="es-ES" w:eastAsia="en-US" w:bidi="ar-SA"/>
      </w:rPr>
    </w:lvl>
    <w:lvl w:ilvl="3" w:tplc="D0667012">
      <w:numFmt w:val="bullet"/>
      <w:lvlText w:val="•"/>
      <w:lvlJc w:val="left"/>
      <w:pPr>
        <w:ind w:left="4504" w:hanging="278"/>
      </w:pPr>
      <w:rPr>
        <w:rFonts w:hint="default"/>
        <w:lang w:val="es-ES" w:eastAsia="en-US" w:bidi="ar-SA"/>
      </w:rPr>
    </w:lvl>
    <w:lvl w:ilvl="4" w:tplc="C19ABB02">
      <w:numFmt w:val="bullet"/>
      <w:lvlText w:val="•"/>
      <w:lvlJc w:val="left"/>
      <w:pPr>
        <w:ind w:left="5532" w:hanging="278"/>
      </w:pPr>
      <w:rPr>
        <w:rFonts w:hint="default"/>
        <w:lang w:val="es-ES" w:eastAsia="en-US" w:bidi="ar-SA"/>
      </w:rPr>
    </w:lvl>
    <w:lvl w:ilvl="5" w:tplc="B18CCD30">
      <w:numFmt w:val="bullet"/>
      <w:lvlText w:val="•"/>
      <w:lvlJc w:val="left"/>
      <w:pPr>
        <w:ind w:left="6560" w:hanging="278"/>
      </w:pPr>
      <w:rPr>
        <w:rFonts w:hint="default"/>
        <w:lang w:val="es-ES" w:eastAsia="en-US" w:bidi="ar-SA"/>
      </w:rPr>
    </w:lvl>
    <w:lvl w:ilvl="6" w:tplc="22BAA3DE">
      <w:numFmt w:val="bullet"/>
      <w:lvlText w:val="•"/>
      <w:lvlJc w:val="left"/>
      <w:pPr>
        <w:ind w:left="7588" w:hanging="278"/>
      </w:pPr>
      <w:rPr>
        <w:rFonts w:hint="default"/>
        <w:lang w:val="es-ES" w:eastAsia="en-US" w:bidi="ar-SA"/>
      </w:rPr>
    </w:lvl>
    <w:lvl w:ilvl="7" w:tplc="EF9A8DF2">
      <w:numFmt w:val="bullet"/>
      <w:lvlText w:val="•"/>
      <w:lvlJc w:val="left"/>
      <w:pPr>
        <w:ind w:left="8616" w:hanging="278"/>
      </w:pPr>
      <w:rPr>
        <w:rFonts w:hint="default"/>
        <w:lang w:val="es-ES" w:eastAsia="en-US" w:bidi="ar-SA"/>
      </w:rPr>
    </w:lvl>
    <w:lvl w:ilvl="8" w:tplc="08CCE5E4">
      <w:numFmt w:val="bullet"/>
      <w:lvlText w:val="•"/>
      <w:lvlJc w:val="left"/>
      <w:pPr>
        <w:ind w:left="9644" w:hanging="278"/>
      </w:pPr>
      <w:rPr>
        <w:rFonts w:hint="default"/>
        <w:lang w:val="es-ES" w:eastAsia="en-US" w:bidi="ar-SA"/>
      </w:rPr>
    </w:lvl>
  </w:abstractNum>
  <w:abstractNum w:abstractNumId="117" w15:restartNumberingAfterBreak="0">
    <w:nsid w:val="7B751B51"/>
    <w:multiLevelType w:val="hybridMultilevel"/>
    <w:tmpl w:val="8E8AE69A"/>
    <w:lvl w:ilvl="0" w:tplc="39200ECA">
      <w:start w:val="1"/>
      <w:numFmt w:val="upperRoman"/>
      <w:lvlText w:val="%1."/>
      <w:lvlJc w:val="left"/>
      <w:pPr>
        <w:ind w:left="1245" w:hanging="132"/>
      </w:pPr>
      <w:rPr>
        <w:rFonts w:ascii="Arial MT" w:eastAsia="Arial MT" w:hAnsi="Arial MT" w:cs="Arial MT" w:hint="default"/>
        <w:b w:val="0"/>
        <w:bCs w:val="0"/>
        <w:i w:val="0"/>
        <w:iCs w:val="0"/>
        <w:color w:val="auto"/>
        <w:spacing w:val="-1"/>
        <w:w w:val="105"/>
        <w:sz w:val="15"/>
        <w:szCs w:val="15"/>
        <w:lang w:val="es-ES" w:eastAsia="en-US" w:bidi="ar-SA"/>
      </w:rPr>
    </w:lvl>
    <w:lvl w:ilvl="1" w:tplc="0CC2DE0A">
      <w:start w:val="1"/>
      <w:numFmt w:val="upperLetter"/>
      <w:lvlText w:val="%2."/>
      <w:lvlJc w:val="left"/>
      <w:pPr>
        <w:ind w:left="1917" w:hanging="193"/>
      </w:pPr>
      <w:rPr>
        <w:rFonts w:ascii="Arial MT" w:eastAsia="Arial MT" w:hAnsi="Arial MT" w:cs="Arial MT" w:hint="default"/>
        <w:b w:val="0"/>
        <w:bCs w:val="0"/>
        <w:i w:val="0"/>
        <w:iCs w:val="0"/>
        <w:spacing w:val="-1"/>
        <w:w w:val="105"/>
        <w:sz w:val="15"/>
        <w:szCs w:val="15"/>
        <w:lang w:val="es-ES" w:eastAsia="en-US" w:bidi="ar-SA"/>
      </w:rPr>
    </w:lvl>
    <w:lvl w:ilvl="2" w:tplc="E33CF728">
      <w:numFmt w:val="bullet"/>
      <w:lvlText w:val="•"/>
      <w:lvlJc w:val="left"/>
      <w:pPr>
        <w:ind w:left="3006" w:hanging="193"/>
      </w:pPr>
      <w:rPr>
        <w:rFonts w:hint="default"/>
        <w:lang w:val="es-ES" w:eastAsia="en-US" w:bidi="ar-SA"/>
      </w:rPr>
    </w:lvl>
    <w:lvl w:ilvl="3" w:tplc="618A8998">
      <w:numFmt w:val="bullet"/>
      <w:lvlText w:val="•"/>
      <w:lvlJc w:val="left"/>
      <w:pPr>
        <w:ind w:left="4093" w:hanging="193"/>
      </w:pPr>
      <w:rPr>
        <w:rFonts w:hint="default"/>
        <w:lang w:val="es-ES" w:eastAsia="en-US" w:bidi="ar-SA"/>
      </w:rPr>
    </w:lvl>
    <w:lvl w:ilvl="4" w:tplc="35AED110">
      <w:numFmt w:val="bullet"/>
      <w:lvlText w:val="•"/>
      <w:lvlJc w:val="left"/>
      <w:pPr>
        <w:ind w:left="5180" w:hanging="193"/>
      </w:pPr>
      <w:rPr>
        <w:rFonts w:hint="default"/>
        <w:lang w:val="es-ES" w:eastAsia="en-US" w:bidi="ar-SA"/>
      </w:rPr>
    </w:lvl>
    <w:lvl w:ilvl="5" w:tplc="F06E3BDE">
      <w:numFmt w:val="bullet"/>
      <w:lvlText w:val="•"/>
      <w:lvlJc w:val="left"/>
      <w:pPr>
        <w:ind w:left="6266" w:hanging="193"/>
      </w:pPr>
      <w:rPr>
        <w:rFonts w:hint="default"/>
        <w:lang w:val="es-ES" w:eastAsia="en-US" w:bidi="ar-SA"/>
      </w:rPr>
    </w:lvl>
    <w:lvl w:ilvl="6" w:tplc="FF34F5A2">
      <w:numFmt w:val="bullet"/>
      <w:lvlText w:val="•"/>
      <w:lvlJc w:val="left"/>
      <w:pPr>
        <w:ind w:left="7353" w:hanging="193"/>
      </w:pPr>
      <w:rPr>
        <w:rFonts w:hint="default"/>
        <w:lang w:val="es-ES" w:eastAsia="en-US" w:bidi="ar-SA"/>
      </w:rPr>
    </w:lvl>
    <w:lvl w:ilvl="7" w:tplc="13040202">
      <w:numFmt w:val="bullet"/>
      <w:lvlText w:val="•"/>
      <w:lvlJc w:val="left"/>
      <w:pPr>
        <w:ind w:left="8440" w:hanging="193"/>
      </w:pPr>
      <w:rPr>
        <w:rFonts w:hint="default"/>
        <w:lang w:val="es-ES" w:eastAsia="en-US" w:bidi="ar-SA"/>
      </w:rPr>
    </w:lvl>
    <w:lvl w:ilvl="8" w:tplc="5D70251C">
      <w:numFmt w:val="bullet"/>
      <w:lvlText w:val="•"/>
      <w:lvlJc w:val="left"/>
      <w:pPr>
        <w:ind w:left="9526" w:hanging="193"/>
      </w:pPr>
      <w:rPr>
        <w:rFonts w:hint="default"/>
        <w:lang w:val="es-ES" w:eastAsia="en-US" w:bidi="ar-SA"/>
      </w:rPr>
    </w:lvl>
  </w:abstractNum>
  <w:abstractNum w:abstractNumId="118" w15:restartNumberingAfterBreak="0">
    <w:nsid w:val="7C186C67"/>
    <w:multiLevelType w:val="hybridMultilevel"/>
    <w:tmpl w:val="0FFEF810"/>
    <w:lvl w:ilvl="0" w:tplc="0AB87FF0">
      <w:start w:val="298"/>
      <w:numFmt w:val="decimal"/>
      <w:lvlText w:val="%1"/>
      <w:lvlJc w:val="left"/>
      <w:pPr>
        <w:ind w:left="1342" w:hanging="238"/>
      </w:pPr>
      <w:rPr>
        <w:rFonts w:hint="default"/>
        <w:spacing w:val="-1"/>
        <w:w w:val="101"/>
        <w:lang w:val="es-ES" w:eastAsia="en-US" w:bidi="ar-SA"/>
      </w:rPr>
    </w:lvl>
    <w:lvl w:ilvl="1" w:tplc="AED0F68E">
      <w:numFmt w:val="bullet"/>
      <w:lvlText w:val="•"/>
      <w:lvlJc w:val="left"/>
      <w:pPr>
        <w:ind w:left="2376" w:hanging="238"/>
      </w:pPr>
      <w:rPr>
        <w:rFonts w:hint="default"/>
        <w:lang w:val="es-ES" w:eastAsia="en-US" w:bidi="ar-SA"/>
      </w:rPr>
    </w:lvl>
    <w:lvl w:ilvl="2" w:tplc="64B02A9E">
      <w:numFmt w:val="bullet"/>
      <w:lvlText w:val="•"/>
      <w:lvlJc w:val="left"/>
      <w:pPr>
        <w:ind w:left="3412" w:hanging="238"/>
      </w:pPr>
      <w:rPr>
        <w:rFonts w:hint="default"/>
        <w:lang w:val="es-ES" w:eastAsia="en-US" w:bidi="ar-SA"/>
      </w:rPr>
    </w:lvl>
    <w:lvl w:ilvl="3" w:tplc="70C6D2A2">
      <w:numFmt w:val="bullet"/>
      <w:lvlText w:val="•"/>
      <w:lvlJc w:val="left"/>
      <w:pPr>
        <w:ind w:left="4448" w:hanging="238"/>
      </w:pPr>
      <w:rPr>
        <w:rFonts w:hint="default"/>
        <w:lang w:val="es-ES" w:eastAsia="en-US" w:bidi="ar-SA"/>
      </w:rPr>
    </w:lvl>
    <w:lvl w:ilvl="4" w:tplc="528C452A">
      <w:numFmt w:val="bullet"/>
      <w:lvlText w:val="•"/>
      <w:lvlJc w:val="left"/>
      <w:pPr>
        <w:ind w:left="5484" w:hanging="238"/>
      </w:pPr>
      <w:rPr>
        <w:rFonts w:hint="default"/>
        <w:lang w:val="es-ES" w:eastAsia="en-US" w:bidi="ar-SA"/>
      </w:rPr>
    </w:lvl>
    <w:lvl w:ilvl="5" w:tplc="F10AB43A">
      <w:numFmt w:val="bullet"/>
      <w:lvlText w:val="•"/>
      <w:lvlJc w:val="left"/>
      <w:pPr>
        <w:ind w:left="6520" w:hanging="238"/>
      </w:pPr>
      <w:rPr>
        <w:rFonts w:hint="default"/>
        <w:lang w:val="es-ES" w:eastAsia="en-US" w:bidi="ar-SA"/>
      </w:rPr>
    </w:lvl>
    <w:lvl w:ilvl="6" w:tplc="8C308604">
      <w:numFmt w:val="bullet"/>
      <w:lvlText w:val="•"/>
      <w:lvlJc w:val="left"/>
      <w:pPr>
        <w:ind w:left="7556" w:hanging="238"/>
      </w:pPr>
      <w:rPr>
        <w:rFonts w:hint="default"/>
        <w:lang w:val="es-ES" w:eastAsia="en-US" w:bidi="ar-SA"/>
      </w:rPr>
    </w:lvl>
    <w:lvl w:ilvl="7" w:tplc="D49290FC">
      <w:numFmt w:val="bullet"/>
      <w:lvlText w:val="•"/>
      <w:lvlJc w:val="left"/>
      <w:pPr>
        <w:ind w:left="8592" w:hanging="238"/>
      </w:pPr>
      <w:rPr>
        <w:rFonts w:hint="default"/>
        <w:lang w:val="es-ES" w:eastAsia="en-US" w:bidi="ar-SA"/>
      </w:rPr>
    </w:lvl>
    <w:lvl w:ilvl="8" w:tplc="AF5E551A">
      <w:numFmt w:val="bullet"/>
      <w:lvlText w:val="•"/>
      <w:lvlJc w:val="left"/>
      <w:pPr>
        <w:ind w:left="9628" w:hanging="238"/>
      </w:pPr>
      <w:rPr>
        <w:rFonts w:hint="default"/>
        <w:lang w:val="es-ES" w:eastAsia="en-US" w:bidi="ar-SA"/>
      </w:rPr>
    </w:lvl>
  </w:abstractNum>
  <w:abstractNum w:abstractNumId="119" w15:restartNumberingAfterBreak="0">
    <w:nsid w:val="7EB413DA"/>
    <w:multiLevelType w:val="hybridMultilevel"/>
    <w:tmpl w:val="90580872"/>
    <w:lvl w:ilvl="0" w:tplc="7E3C5312">
      <w:start w:val="344"/>
      <w:numFmt w:val="decimal"/>
      <w:lvlText w:val="%1"/>
      <w:lvlJc w:val="left"/>
      <w:pPr>
        <w:ind w:left="1336" w:hanging="229"/>
      </w:pPr>
      <w:rPr>
        <w:rFonts w:ascii="Arial MT" w:eastAsia="Arial MT" w:hAnsi="Arial MT" w:cs="Arial MT" w:hint="default"/>
        <w:b w:val="0"/>
        <w:bCs w:val="0"/>
        <w:i w:val="0"/>
        <w:iCs w:val="0"/>
        <w:spacing w:val="-1"/>
        <w:w w:val="106"/>
        <w:sz w:val="11"/>
        <w:szCs w:val="11"/>
        <w:lang w:val="es-ES" w:eastAsia="en-US" w:bidi="ar-SA"/>
      </w:rPr>
    </w:lvl>
    <w:lvl w:ilvl="1" w:tplc="31387878">
      <w:start w:val="1"/>
      <w:numFmt w:val="lowerLetter"/>
      <w:lvlText w:val="%2)"/>
      <w:lvlJc w:val="left"/>
      <w:pPr>
        <w:ind w:left="1787" w:hanging="158"/>
        <w:jc w:val="right"/>
      </w:pPr>
      <w:rPr>
        <w:rFonts w:hint="default"/>
        <w:spacing w:val="0"/>
        <w:w w:val="104"/>
        <w:lang w:val="es-ES" w:eastAsia="en-US" w:bidi="ar-SA"/>
      </w:rPr>
    </w:lvl>
    <w:lvl w:ilvl="2" w:tplc="0EE4AF80">
      <w:numFmt w:val="bullet"/>
      <w:lvlText w:val="•"/>
      <w:lvlJc w:val="left"/>
      <w:pPr>
        <w:ind w:left="2882" w:hanging="158"/>
      </w:pPr>
      <w:rPr>
        <w:rFonts w:hint="default"/>
        <w:lang w:val="es-ES" w:eastAsia="en-US" w:bidi="ar-SA"/>
      </w:rPr>
    </w:lvl>
    <w:lvl w:ilvl="3" w:tplc="407644F0">
      <w:numFmt w:val="bullet"/>
      <w:lvlText w:val="•"/>
      <w:lvlJc w:val="left"/>
      <w:pPr>
        <w:ind w:left="3984" w:hanging="158"/>
      </w:pPr>
      <w:rPr>
        <w:rFonts w:hint="default"/>
        <w:lang w:val="es-ES" w:eastAsia="en-US" w:bidi="ar-SA"/>
      </w:rPr>
    </w:lvl>
    <w:lvl w:ilvl="4" w:tplc="1BB2E3B6">
      <w:numFmt w:val="bullet"/>
      <w:lvlText w:val="•"/>
      <w:lvlJc w:val="left"/>
      <w:pPr>
        <w:ind w:left="5086" w:hanging="158"/>
      </w:pPr>
      <w:rPr>
        <w:rFonts w:hint="default"/>
        <w:lang w:val="es-ES" w:eastAsia="en-US" w:bidi="ar-SA"/>
      </w:rPr>
    </w:lvl>
    <w:lvl w:ilvl="5" w:tplc="4F24A502">
      <w:numFmt w:val="bullet"/>
      <w:lvlText w:val="•"/>
      <w:lvlJc w:val="left"/>
      <w:pPr>
        <w:ind w:left="6188" w:hanging="158"/>
      </w:pPr>
      <w:rPr>
        <w:rFonts w:hint="default"/>
        <w:lang w:val="es-ES" w:eastAsia="en-US" w:bidi="ar-SA"/>
      </w:rPr>
    </w:lvl>
    <w:lvl w:ilvl="6" w:tplc="EE7CBF16">
      <w:numFmt w:val="bullet"/>
      <w:lvlText w:val="•"/>
      <w:lvlJc w:val="left"/>
      <w:pPr>
        <w:ind w:left="7291" w:hanging="158"/>
      </w:pPr>
      <w:rPr>
        <w:rFonts w:hint="default"/>
        <w:lang w:val="es-ES" w:eastAsia="en-US" w:bidi="ar-SA"/>
      </w:rPr>
    </w:lvl>
    <w:lvl w:ilvl="7" w:tplc="20CED966">
      <w:numFmt w:val="bullet"/>
      <w:lvlText w:val="•"/>
      <w:lvlJc w:val="left"/>
      <w:pPr>
        <w:ind w:left="8393" w:hanging="158"/>
      </w:pPr>
      <w:rPr>
        <w:rFonts w:hint="default"/>
        <w:lang w:val="es-ES" w:eastAsia="en-US" w:bidi="ar-SA"/>
      </w:rPr>
    </w:lvl>
    <w:lvl w:ilvl="8" w:tplc="DB32C7F8">
      <w:numFmt w:val="bullet"/>
      <w:lvlText w:val="•"/>
      <w:lvlJc w:val="left"/>
      <w:pPr>
        <w:ind w:left="9495" w:hanging="158"/>
      </w:pPr>
      <w:rPr>
        <w:rFonts w:hint="default"/>
        <w:lang w:val="es-ES" w:eastAsia="en-US" w:bidi="ar-SA"/>
      </w:rPr>
    </w:lvl>
  </w:abstractNum>
  <w:abstractNum w:abstractNumId="120" w15:restartNumberingAfterBreak="0">
    <w:nsid w:val="7EE03D97"/>
    <w:multiLevelType w:val="hybridMultilevel"/>
    <w:tmpl w:val="FB4A03FE"/>
    <w:lvl w:ilvl="0" w:tplc="9CA858F6">
      <w:start w:val="449"/>
      <w:numFmt w:val="decimal"/>
      <w:lvlText w:val="%1"/>
      <w:lvlJc w:val="left"/>
      <w:pPr>
        <w:ind w:left="1342" w:hanging="238"/>
      </w:pPr>
      <w:rPr>
        <w:rFonts w:ascii="Arial MT" w:eastAsia="Arial MT" w:hAnsi="Arial MT" w:cs="Arial MT" w:hint="default"/>
        <w:b w:val="0"/>
        <w:bCs w:val="0"/>
        <w:i w:val="0"/>
        <w:iCs w:val="0"/>
        <w:spacing w:val="-1"/>
        <w:w w:val="101"/>
        <w:sz w:val="12"/>
        <w:szCs w:val="12"/>
        <w:lang w:val="es-ES" w:eastAsia="en-US" w:bidi="ar-SA"/>
      </w:rPr>
    </w:lvl>
    <w:lvl w:ilvl="1" w:tplc="4FBE92EC">
      <w:numFmt w:val="bullet"/>
      <w:lvlText w:val="•"/>
      <w:lvlJc w:val="left"/>
      <w:pPr>
        <w:ind w:left="2376" w:hanging="238"/>
      </w:pPr>
      <w:rPr>
        <w:rFonts w:hint="default"/>
        <w:lang w:val="es-ES" w:eastAsia="en-US" w:bidi="ar-SA"/>
      </w:rPr>
    </w:lvl>
    <w:lvl w:ilvl="2" w:tplc="E42E5F18">
      <w:numFmt w:val="bullet"/>
      <w:lvlText w:val="•"/>
      <w:lvlJc w:val="left"/>
      <w:pPr>
        <w:ind w:left="3412" w:hanging="238"/>
      </w:pPr>
      <w:rPr>
        <w:rFonts w:hint="default"/>
        <w:lang w:val="es-ES" w:eastAsia="en-US" w:bidi="ar-SA"/>
      </w:rPr>
    </w:lvl>
    <w:lvl w:ilvl="3" w:tplc="930A611C">
      <w:numFmt w:val="bullet"/>
      <w:lvlText w:val="•"/>
      <w:lvlJc w:val="left"/>
      <w:pPr>
        <w:ind w:left="4448" w:hanging="238"/>
      </w:pPr>
      <w:rPr>
        <w:rFonts w:hint="default"/>
        <w:lang w:val="es-ES" w:eastAsia="en-US" w:bidi="ar-SA"/>
      </w:rPr>
    </w:lvl>
    <w:lvl w:ilvl="4" w:tplc="DC2E6DBC">
      <w:numFmt w:val="bullet"/>
      <w:lvlText w:val="•"/>
      <w:lvlJc w:val="left"/>
      <w:pPr>
        <w:ind w:left="5484" w:hanging="238"/>
      </w:pPr>
      <w:rPr>
        <w:rFonts w:hint="default"/>
        <w:lang w:val="es-ES" w:eastAsia="en-US" w:bidi="ar-SA"/>
      </w:rPr>
    </w:lvl>
    <w:lvl w:ilvl="5" w:tplc="484C2150">
      <w:numFmt w:val="bullet"/>
      <w:lvlText w:val="•"/>
      <w:lvlJc w:val="left"/>
      <w:pPr>
        <w:ind w:left="6520" w:hanging="238"/>
      </w:pPr>
      <w:rPr>
        <w:rFonts w:hint="default"/>
        <w:lang w:val="es-ES" w:eastAsia="en-US" w:bidi="ar-SA"/>
      </w:rPr>
    </w:lvl>
    <w:lvl w:ilvl="6" w:tplc="7C22A904">
      <w:numFmt w:val="bullet"/>
      <w:lvlText w:val="•"/>
      <w:lvlJc w:val="left"/>
      <w:pPr>
        <w:ind w:left="7556" w:hanging="238"/>
      </w:pPr>
      <w:rPr>
        <w:rFonts w:hint="default"/>
        <w:lang w:val="es-ES" w:eastAsia="en-US" w:bidi="ar-SA"/>
      </w:rPr>
    </w:lvl>
    <w:lvl w:ilvl="7" w:tplc="A8EE494C">
      <w:numFmt w:val="bullet"/>
      <w:lvlText w:val="•"/>
      <w:lvlJc w:val="left"/>
      <w:pPr>
        <w:ind w:left="8592" w:hanging="238"/>
      </w:pPr>
      <w:rPr>
        <w:rFonts w:hint="default"/>
        <w:lang w:val="es-ES" w:eastAsia="en-US" w:bidi="ar-SA"/>
      </w:rPr>
    </w:lvl>
    <w:lvl w:ilvl="8" w:tplc="6C3A80C4">
      <w:numFmt w:val="bullet"/>
      <w:lvlText w:val="•"/>
      <w:lvlJc w:val="left"/>
      <w:pPr>
        <w:ind w:left="9628" w:hanging="238"/>
      </w:pPr>
      <w:rPr>
        <w:rFonts w:hint="default"/>
        <w:lang w:val="es-ES" w:eastAsia="en-US" w:bidi="ar-SA"/>
      </w:rPr>
    </w:lvl>
  </w:abstractNum>
  <w:abstractNum w:abstractNumId="121" w15:restartNumberingAfterBreak="0">
    <w:nsid w:val="7EE86DFF"/>
    <w:multiLevelType w:val="hybridMultilevel"/>
    <w:tmpl w:val="D2721690"/>
    <w:lvl w:ilvl="0" w:tplc="4942C2B0">
      <w:start w:val="1"/>
      <w:numFmt w:val="upperRoman"/>
      <w:lvlText w:val="%1."/>
      <w:lvlJc w:val="left"/>
      <w:pPr>
        <w:ind w:left="1239" w:hanging="125"/>
      </w:pPr>
      <w:rPr>
        <w:rFonts w:ascii="Arial MT" w:eastAsia="Arial MT" w:hAnsi="Arial MT" w:cs="Arial MT" w:hint="default"/>
        <w:b w:val="0"/>
        <w:bCs w:val="0"/>
        <w:i w:val="0"/>
        <w:iCs w:val="0"/>
        <w:color w:val="auto"/>
        <w:spacing w:val="-1"/>
        <w:w w:val="105"/>
        <w:sz w:val="15"/>
        <w:szCs w:val="15"/>
        <w:lang w:val="es-ES" w:eastAsia="en-US" w:bidi="ar-SA"/>
      </w:rPr>
    </w:lvl>
    <w:lvl w:ilvl="1" w:tplc="FFFFFFFF">
      <w:start w:val="1"/>
      <w:numFmt w:val="upperLetter"/>
      <w:lvlText w:val="%2."/>
      <w:lvlJc w:val="left"/>
      <w:pPr>
        <w:ind w:left="1917" w:hanging="193"/>
      </w:pPr>
      <w:rPr>
        <w:rFonts w:ascii="Arial MT" w:eastAsia="Arial MT" w:hAnsi="Arial MT" w:cs="Arial MT" w:hint="default"/>
        <w:b w:val="0"/>
        <w:bCs w:val="0"/>
        <w:i w:val="0"/>
        <w:iCs w:val="0"/>
        <w:spacing w:val="-1"/>
        <w:w w:val="105"/>
        <w:sz w:val="15"/>
        <w:szCs w:val="15"/>
        <w:lang w:val="es-ES" w:eastAsia="en-US" w:bidi="ar-SA"/>
      </w:rPr>
    </w:lvl>
    <w:lvl w:ilvl="2" w:tplc="FFFFFFFF">
      <w:numFmt w:val="bullet"/>
      <w:lvlText w:val="•"/>
      <w:lvlJc w:val="left"/>
      <w:pPr>
        <w:ind w:left="3006" w:hanging="193"/>
      </w:pPr>
      <w:rPr>
        <w:rFonts w:hint="default"/>
        <w:lang w:val="es-ES" w:eastAsia="en-US" w:bidi="ar-SA"/>
      </w:rPr>
    </w:lvl>
    <w:lvl w:ilvl="3" w:tplc="FFFFFFFF">
      <w:numFmt w:val="bullet"/>
      <w:lvlText w:val="•"/>
      <w:lvlJc w:val="left"/>
      <w:pPr>
        <w:ind w:left="4093" w:hanging="193"/>
      </w:pPr>
      <w:rPr>
        <w:rFonts w:hint="default"/>
        <w:lang w:val="es-ES" w:eastAsia="en-US" w:bidi="ar-SA"/>
      </w:rPr>
    </w:lvl>
    <w:lvl w:ilvl="4" w:tplc="FFFFFFFF">
      <w:numFmt w:val="bullet"/>
      <w:lvlText w:val="•"/>
      <w:lvlJc w:val="left"/>
      <w:pPr>
        <w:ind w:left="5180" w:hanging="193"/>
      </w:pPr>
      <w:rPr>
        <w:rFonts w:hint="default"/>
        <w:lang w:val="es-ES" w:eastAsia="en-US" w:bidi="ar-SA"/>
      </w:rPr>
    </w:lvl>
    <w:lvl w:ilvl="5" w:tplc="FFFFFFFF">
      <w:numFmt w:val="bullet"/>
      <w:lvlText w:val="•"/>
      <w:lvlJc w:val="left"/>
      <w:pPr>
        <w:ind w:left="6266" w:hanging="193"/>
      </w:pPr>
      <w:rPr>
        <w:rFonts w:hint="default"/>
        <w:lang w:val="es-ES" w:eastAsia="en-US" w:bidi="ar-SA"/>
      </w:rPr>
    </w:lvl>
    <w:lvl w:ilvl="6" w:tplc="FFFFFFFF">
      <w:numFmt w:val="bullet"/>
      <w:lvlText w:val="•"/>
      <w:lvlJc w:val="left"/>
      <w:pPr>
        <w:ind w:left="7353" w:hanging="193"/>
      </w:pPr>
      <w:rPr>
        <w:rFonts w:hint="default"/>
        <w:lang w:val="es-ES" w:eastAsia="en-US" w:bidi="ar-SA"/>
      </w:rPr>
    </w:lvl>
    <w:lvl w:ilvl="7" w:tplc="FFFFFFFF">
      <w:numFmt w:val="bullet"/>
      <w:lvlText w:val="•"/>
      <w:lvlJc w:val="left"/>
      <w:pPr>
        <w:ind w:left="8440" w:hanging="193"/>
      </w:pPr>
      <w:rPr>
        <w:rFonts w:hint="default"/>
        <w:lang w:val="es-ES" w:eastAsia="en-US" w:bidi="ar-SA"/>
      </w:rPr>
    </w:lvl>
    <w:lvl w:ilvl="8" w:tplc="FFFFFFFF">
      <w:numFmt w:val="bullet"/>
      <w:lvlText w:val="•"/>
      <w:lvlJc w:val="left"/>
      <w:pPr>
        <w:ind w:left="9526" w:hanging="193"/>
      </w:pPr>
      <w:rPr>
        <w:rFonts w:hint="default"/>
        <w:lang w:val="es-ES" w:eastAsia="en-US" w:bidi="ar-SA"/>
      </w:rPr>
    </w:lvl>
  </w:abstractNum>
  <w:num w:numId="1" w16cid:durableId="446393708">
    <w:abstractNumId w:val="93"/>
  </w:num>
  <w:num w:numId="2" w16cid:durableId="1066883063">
    <w:abstractNumId w:val="73"/>
  </w:num>
  <w:num w:numId="3" w16cid:durableId="1167938789">
    <w:abstractNumId w:val="4"/>
  </w:num>
  <w:num w:numId="4" w16cid:durableId="1121531043">
    <w:abstractNumId w:val="71"/>
  </w:num>
  <w:num w:numId="5" w16cid:durableId="919829760">
    <w:abstractNumId w:val="16"/>
  </w:num>
  <w:num w:numId="6" w16cid:durableId="394738414">
    <w:abstractNumId w:val="50"/>
  </w:num>
  <w:num w:numId="7" w16cid:durableId="1999378134">
    <w:abstractNumId w:val="20"/>
  </w:num>
  <w:num w:numId="8" w16cid:durableId="859467502">
    <w:abstractNumId w:val="15"/>
  </w:num>
  <w:num w:numId="9" w16cid:durableId="936062271">
    <w:abstractNumId w:val="8"/>
  </w:num>
  <w:num w:numId="10" w16cid:durableId="205917488">
    <w:abstractNumId w:val="29"/>
  </w:num>
  <w:num w:numId="11" w16cid:durableId="977804460">
    <w:abstractNumId w:val="102"/>
  </w:num>
  <w:num w:numId="12" w16cid:durableId="548685602">
    <w:abstractNumId w:val="13"/>
  </w:num>
  <w:num w:numId="13" w16cid:durableId="1938517602">
    <w:abstractNumId w:val="111"/>
  </w:num>
  <w:num w:numId="14" w16cid:durableId="2115322028">
    <w:abstractNumId w:val="115"/>
  </w:num>
  <w:num w:numId="15" w16cid:durableId="1725907042">
    <w:abstractNumId w:val="37"/>
  </w:num>
  <w:num w:numId="16" w16cid:durableId="24714847">
    <w:abstractNumId w:val="48"/>
  </w:num>
  <w:num w:numId="17" w16cid:durableId="1734037193">
    <w:abstractNumId w:val="18"/>
  </w:num>
  <w:num w:numId="18" w16cid:durableId="325481982">
    <w:abstractNumId w:val="69"/>
  </w:num>
  <w:num w:numId="19" w16cid:durableId="1700399639">
    <w:abstractNumId w:val="116"/>
  </w:num>
  <w:num w:numId="20" w16cid:durableId="1884631646">
    <w:abstractNumId w:val="56"/>
  </w:num>
  <w:num w:numId="21" w16cid:durableId="1183471807">
    <w:abstractNumId w:val="90"/>
  </w:num>
  <w:num w:numId="22" w16cid:durableId="1651473374">
    <w:abstractNumId w:val="60"/>
  </w:num>
  <w:num w:numId="23" w16cid:durableId="940070276">
    <w:abstractNumId w:val="105"/>
  </w:num>
  <w:num w:numId="24" w16cid:durableId="139075345">
    <w:abstractNumId w:val="47"/>
  </w:num>
  <w:num w:numId="25" w16cid:durableId="1549762231">
    <w:abstractNumId w:val="42"/>
  </w:num>
  <w:num w:numId="26" w16cid:durableId="1658147097">
    <w:abstractNumId w:val="112"/>
  </w:num>
  <w:num w:numId="27" w16cid:durableId="898832165">
    <w:abstractNumId w:val="2"/>
  </w:num>
  <w:num w:numId="28" w16cid:durableId="2057192254">
    <w:abstractNumId w:val="87"/>
  </w:num>
  <w:num w:numId="29" w16cid:durableId="1244878087">
    <w:abstractNumId w:val="55"/>
  </w:num>
  <w:num w:numId="30" w16cid:durableId="928006263">
    <w:abstractNumId w:val="3"/>
  </w:num>
  <w:num w:numId="31" w16cid:durableId="1402825963">
    <w:abstractNumId w:val="63"/>
  </w:num>
  <w:num w:numId="32" w16cid:durableId="867916843">
    <w:abstractNumId w:val="32"/>
  </w:num>
  <w:num w:numId="33" w16cid:durableId="355887832">
    <w:abstractNumId w:val="19"/>
  </w:num>
  <w:num w:numId="34" w16cid:durableId="314605550">
    <w:abstractNumId w:val="72"/>
  </w:num>
  <w:num w:numId="35" w16cid:durableId="893584466">
    <w:abstractNumId w:val="51"/>
  </w:num>
  <w:num w:numId="36" w16cid:durableId="175964759">
    <w:abstractNumId w:val="82"/>
  </w:num>
  <w:num w:numId="37" w16cid:durableId="1206715693">
    <w:abstractNumId w:val="24"/>
  </w:num>
  <w:num w:numId="38" w16cid:durableId="1485973310">
    <w:abstractNumId w:val="43"/>
  </w:num>
  <w:num w:numId="39" w16cid:durableId="183060065">
    <w:abstractNumId w:val="45"/>
  </w:num>
  <w:num w:numId="40" w16cid:durableId="1988584137">
    <w:abstractNumId w:val="21"/>
  </w:num>
  <w:num w:numId="41" w16cid:durableId="1778256212">
    <w:abstractNumId w:val="88"/>
  </w:num>
  <w:num w:numId="42" w16cid:durableId="1069886402">
    <w:abstractNumId w:val="14"/>
  </w:num>
  <w:num w:numId="43" w16cid:durableId="1447197469">
    <w:abstractNumId w:val="40"/>
  </w:num>
  <w:num w:numId="44" w16cid:durableId="737943304">
    <w:abstractNumId w:val="27"/>
  </w:num>
  <w:num w:numId="45" w16cid:durableId="1178692311">
    <w:abstractNumId w:val="31"/>
  </w:num>
  <w:num w:numId="46" w16cid:durableId="1476140325">
    <w:abstractNumId w:val="85"/>
  </w:num>
  <w:num w:numId="47" w16cid:durableId="191505372">
    <w:abstractNumId w:val="41"/>
  </w:num>
  <w:num w:numId="48" w16cid:durableId="1982999956">
    <w:abstractNumId w:val="44"/>
  </w:num>
  <w:num w:numId="49" w16cid:durableId="93286212">
    <w:abstractNumId w:val="34"/>
  </w:num>
  <w:num w:numId="50" w16cid:durableId="1029067384">
    <w:abstractNumId w:val="53"/>
  </w:num>
  <w:num w:numId="51" w16cid:durableId="1281570967">
    <w:abstractNumId w:val="113"/>
  </w:num>
  <w:num w:numId="52" w16cid:durableId="647830411">
    <w:abstractNumId w:val="106"/>
  </w:num>
  <w:num w:numId="53" w16cid:durableId="397093397">
    <w:abstractNumId w:val="25"/>
  </w:num>
  <w:num w:numId="54" w16cid:durableId="2036926062">
    <w:abstractNumId w:val="100"/>
  </w:num>
  <w:num w:numId="55" w16cid:durableId="1892690585">
    <w:abstractNumId w:val="10"/>
  </w:num>
  <w:num w:numId="56" w16cid:durableId="596060127">
    <w:abstractNumId w:val="33"/>
  </w:num>
  <w:num w:numId="57" w16cid:durableId="2084645015">
    <w:abstractNumId w:val="5"/>
  </w:num>
  <w:num w:numId="58" w16cid:durableId="370424064">
    <w:abstractNumId w:val="120"/>
  </w:num>
  <w:num w:numId="59" w16cid:durableId="87583508">
    <w:abstractNumId w:val="0"/>
  </w:num>
  <w:num w:numId="60" w16cid:durableId="599024654">
    <w:abstractNumId w:val="95"/>
  </w:num>
  <w:num w:numId="61" w16cid:durableId="1685353761">
    <w:abstractNumId w:val="36"/>
  </w:num>
  <w:num w:numId="62" w16cid:durableId="1760907613">
    <w:abstractNumId w:val="78"/>
  </w:num>
  <w:num w:numId="63" w16cid:durableId="616328622">
    <w:abstractNumId w:val="70"/>
  </w:num>
  <w:num w:numId="64" w16cid:durableId="1315916905">
    <w:abstractNumId w:val="99"/>
  </w:num>
  <w:num w:numId="65" w16cid:durableId="1237402740">
    <w:abstractNumId w:val="65"/>
  </w:num>
  <w:num w:numId="66" w16cid:durableId="1384675186">
    <w:abstractNumId w:val="23"/>
  </w:num>
  <w:num w:numId="67" w16cid:durableId="156649896">
    <w:abstractNumId w:val="68"/>
  </w:num>
  <w:num w:numId="68" w16cid:durableId="1229801708">
    <w:abstractNumId w:val="119"/>
  </w:num>
  <w:num w:numId="69" w16cid:durableId="1749841120">
    <w:abstractNumId w:val="17"/>
  </w:num>
  <w:num w:numId="70" w16cid:durableId="408699346">
    <w:abstractNumId w:val="114"/>
  </w:num>
  <w:num w:numId="71" w16cid:durableId="820076830">
    <w:abstractNumId w:val="98"/>
  </w:num>
  <w:num w:numId="72" w16cid:durableId="314769841">
    <w:abstractNumId w:val="118"/>
  </w:num>
  <w:num w:numId="73" w16cid:durableId="14313395">
    <w:abstractNumId w:val="59"/>
  </w:num>
  <w:num w:numId="74" w16cid:durableId="1178931079">
    <w:abstractNumId w:val="9"/>
  </w:num>
  <w:num w:numId="75" w16cid:durableId="639770201">
    <w:abstractNumId w:val="1"/>
  </w:num>
  <w:num w:numId="76" w16cid:durableId="1963220456">
    <w:abstractNumId w:val="80"/>
  </w:num>
  <w:num w:numId="77" w16cid:durableId="250823233">
    <w:abstractNumId w:val="110"/>
  </w:num>
  <w:num w:numId="78" w16cid:durableId="420418118">
    <w:abstractNumId w:val="49"/>
  </w:num>
  <w:num w:numId="79" w16cid:durableId="1715109556">
    <w:abstractNumId w:val="104"/>
  </w:num>
  <w:num w:numId="80" w16cid:durableId="687756128">
    <w:abstractNumId w:val="30"/>
  </w:num>
  <w:num w:numId="81" w16cid:durableId="417823268">
    <w:abstractNumId w:val="7"/>
  </w:num>
  <w:num w:numId="82" w16cid:durableId="1610703385">
    <w:abstractNumId w:val="75"/>
  </w:num>
  <w:num w:numId="83" w16cid:durableId="1294099735">
    <w:abstractNumId w:val="76"/>
  </w:num>
  <w:num w:numId="84" w16cid:durableId="1010989968">
    <w:abstractNumId w:val="94"/>
  </w:num>
  <w:num w:numId="85" w16cid:durableId="529153015">
    <w:abstractNumId w:val="28"/>
  </w:num>
  <w:num w:numId="86" w16cid:durableId="1797404682">
    <w:abstractNumId w:val="74"/>
  </w:num>
  <w:num w:numId="87" w16cid:durableId="2110614740">
    <w:abstractNumId w:val="12"/>
  </w:num>
  <w:num w:numId="88" w16cid:durableId="561211592">
    <w:abstractNumId w:val="91"/>
  </w:num>
  <w:num w:numId="89" w16cid:durableId="1687562631">
    <w:abstractNumId w:val="109"/>
  </w:num>
  <w:num w:numId="90" w16cid:durableId="1357658984">
    <w:abstractNumId w:val="92"/>
  </w:num>
  <w:num w:numId="91" w16cid:durableId="2125533165">
    <w:abstractNumId w:val="64"/>
  </w:num>
  <w:num w:numId="92" w16cid:durableId="512689611">
    <w:abstractNumId w:val="97"/>
  </w:num>
  <w:num w:numId="93" w16cid:durableId="1934821909">
    <w:abstractNumId w:val="66"/>
  </w:num>
  <w:num w:numId="94" w16cid:durableId="1402022712">
    <w:abstractNumId w:val="89"/>
  </w:num>
  <w:num w:numId="95" w16cid:durableId="447237848">
    <w:abstractNumId w:val="46"/>
  </w:num>
  <w:num w:numId="96" w16cid:durableId="1430346567">
    <w:abstractNumId w:val="62"/>
  </w:num>
  <w:num w:numId="97" w16cid:durableId="1201170379">
    <w:abstractNumId w:val="54"/>
  </w:num>
  <w:num w:numId="98" w16cid:durableId="1495756838">
    <w:abstractNumId w:val="83"/>
  </w:num>
  <w:num w:numId="99" w16cid:durableId="778522990">
    <w:abstractNumId w:val="103"/>
  </w:num>
  <w:num w:numId="100" w16cid:durableId="54206433">
    <w:abstractNumId w:val="61"/>
  </w:num>
  <w:num w:numId="101" w16cid:durableId="149369528">
    <w:abstractNumId w:val="57"/>
  </w:num>
  <w:num w:numId="102" w16cid:durableId="1967735567">
    <w:abstractNumId w:val="117"/>
  </w:num>
  <w:num w:numId="103" w16cid:durableId="714744185">
    <w:abstractNumId w:val="11"/>
  </w:num>
  <w:num w:numId="104" w16cid:durableId="1063916151">
    <w:abstractNumId w:val="38"/>
  </w:num>
  <w:num w:numId="105" w16cid:durableId="1291782038">
    <w:abstractNumId w:val="96"/>
  </w:num>
  <w:num w:numId="106" w16cid:durableId="850606719">
    <w:abstractNumId w:val="67"/>
  </w:num>
  <w:num w:numId="107" w16cid:durableId="1314482018">
    <w:abstractNumId w:val="86"/>
  </w:num>
  <w:num w:numId="108" w16cid:durableId="940186568">
    <w:abstractNumId w:val="6"/>
  </w:num>
  <w:num w:numId="109" w16cid:durableId="1484197001">
    <w:abstractNumId w:val="52"/>
  </w:num>
  <w:num w:numId="110" w16cid:durableId="953099443">
    <w:abstractNumId w:val="39"/>
  </w:num>
  <w:num w:numId="111" w16cid:durableId="1595163156">
    <w:abstractNumId w:val="58"/>
  </w:num>
  <w:num w:numId="112" w16cid:durableId="882330498">
    <w:abstractNumId w:val="108"/>
  </w:num>
  <w:num w:numId="113" w16cid:durableId="2097940163">
    <w:abstractNumId w:val="26"/>
  </w:num>
  <w:num w:numId="114" w16cid:durableId="1096249660">
    <w:abstractNumId w:val="101"/>
  </w:num>
  <w:num w:numId="115" w16cid:durableId="1253316582">
    <w:abstractNumId w:val="35"/>
  </w:num>
  <w:num w:numId="116" w16cid:durableId="342782949">
    <w:abstractNumId w:val="79"/>
  </w:num>
  <w:num w:numId="117" w16cid:durableId="430130162">
    <w:abstractNumId w:val="107"/>
  </w:num>
  <w:num w:numId="118" w16cid:durableId="1844052908">
    <w:abstractNumId w:val="22"/>
  </w:num>
  <w:num w:numId="119" w16cid:durableId="988171648">
    <w:abstractNumId w:val="81"/>
  </w:num>
  <w:num w:numId="120" w16cid:durableId="974799224">
    <w:abstractNumId w:val="84"/>
  </w:num>
  <w:num w:numId="121" w16cid:durableId="658122997">
    <w:abstractNumId w:val="121"/>
  </w:num>
  <w:num w:numId="122" w16cid:durableId="1059789560">
    <w:abstractNumId w:val="77"/>
  </w:num>
  <w:numIdMacAtCleanup w:val="10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40"/>
  <w:proofState w:spelling="clean" w:grammar="clean"/>
  <w:defaultTabStop w:val="720"/>
  <w:hyphenationZone w:val="425"/>
  <w:drawingGridHorizontalSpacing w:val="110"/>
  <w:displayHorizontalDrawingGridEvery w:val="2"/>
  <w:characterSpacingControl w:val="doNotCompress"/>
  <w:hdrShapeDefaults>
    <o:shapedefaults v:ext="edit" spidmax="2050"/>
  </w:hdrShapeDefaults>
  <w:footnotePr>
    <w:footnote w:id="-1"/>
    <w:footnote w:id="0"/>
    <w:footnote w:id="1"/>
  </w:footnotePr>
  <w:endnotePr>
    <w:endnote w:id="-1"/>
    <w:endnote w:id="0"/>
    <w:endnote w:id="1"/>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4798C"/>
    <w:rsid w:val="00005A48"/>
    <w:rsid w:val="000140F6"/>
    <w:rsid w:val="00015601"/>
    <w:rsid w:val="00033CA5"/>
    <w:rsid w:val="00062094"/>
    <w:rsid w:val="00076AC9"/>
    <w:rsid w:val="00083D6C"/>
    <w:rsid w:val="000903CA"/>
    <w:rsid w:val="000B29E9"/>
    <w:rsid w:val="000C3636"/>
    <w:rsid w:val="000C6DF1"/>
    <w:rsid w:val="000E3EFB"/>
    <w:rsid w:val="00114AE2"/>
    <w:rsid w:val="00114AEF"/>
    <w:rsid w:val="00121B0F"/>
    <w:rsid w:val="00124F97"/>
    <w:rsid w:val="00142BC9"/>
    <w:rsid w:val="0014798C"/>
    <w:rsid w:val="00152E28"/>
    <w:rsid w:val="0016557C"/>
    <w:rsid w:val="001974F5"/>
    <w:rsid w:val="001A3311"/>
    <w:rsid w:val="001B4EB6"/>
    <w:rsid w:val="001B7A13"/>
    <w:rsid w:val="001C429F"/>
    <w:rsid w:val="001C46E1"/>
    <w:rsid w:val="001C4CA0"/>
    <w:rsid w:val="001C4E4F"/>
    <w:rsid w:val="001E2420"/>
    <w:rsid w:val="001E334F"/>
    <w:rsid w:val="00200E04"/>
    <w:rsid w:val="00213E0B"/>
    <w:rsid w:val="00214B99"/>
    <w:rsid w:val="00217534"/>
    <w:rsid w:val="0022508F"/>
    <w:rsid w:val="00232A82"/>
    <w:rsid w:val="00275912"/>
    <w:rsid w:val="0027792B"/>
    <w:rsid w:val="00291710"/>
    <w:rsid w:val="002B051F"/>
    <w:rsid w:val="002B4A88"/>
    <w:rsid w:val="002B5CB9"/>
    <w:rsid w:val="002B6F7A"/>
    <w:rsid w:val="002B79AF"/>
    <w:rsid w:val="002C5081"/>
    <w:rsid w:val="002E47B8"/>
    <w:rsid w:val="002F467D"/>
    <w:rsid w:val="00305D87"/>
    <w:rsid w:val="00311379"/>
    <w:rsid w:val="0031332D"/>
    <w:rsid w:val="0034138A"/>
    <w:rsid w:val="00342A42"/>
    <w:rsid w:val="00347619"/>
    <w:rsid w:val="00367D64"/>
    <w:rsid w:val="00387982"/>
    <w:rsid w:val="003D2572"/>
    <w:rsid w:val="003E4F5C"/>
    <w:rsid w:val="003E5960"/>
    <w:rsid w:val="00412578"/>
    <w:rsid w:val="00417E37"/>
    <w:rsid w:val="00437A69"/>
    <w:rsid w:val="00447BDE"/>
    <w:rsid w:val="00483A93"/>
    <w:rsid w:val="00497139"/>
    <w:rsid w:val="004D6125"/>
    <w:rsid w:val="004E1F0B"/>
    <w:rsid w:val="004E377C"/>
    <w:rsid w:val="004F1DFB"/>
    <w:rsid w:val="004F37AD"/>
    <w:rsid w:val="00505800"/>
    <w:rsid w:val="00510D7F"/>
    <w:rsid w:val="00522C8A"/>
    <w:rsid w:val="00527BAF"/>
    <w:rsid w:val="00537489"/>
    <w:rsid w:val="0056622C"/>
    <w:rsid w:val="005A317C"/>
    <w:rsid w:val="005B64B7"/>
    <w:rsid w:val="005C01C5"/>
    <w:rsid w:val="005C5A91"/>
    <w:rsid w:val="00602EE1"/>
    <w:rsid w:val="0060776B"/>
    <w:rsid w:val="0064256A"/>
    <w:rsid w:val="0067684B"/>
    <w:rsid w:val="006A01EE"/>
    <w:rsid w:val="006A04E7"/>
    <w:rsid w:val="006A4FF0"/>
    <w:rsid w:val="006A5AEB"/>
    <w:rsid w:val="006A6CF9"/>
    <w:rsid w:val="006A75DA"/>
    <w:rsid w:val="006B03DA"/>
    <w:rsid w:val="006B2E84"/>
    <w:rsid w:val="006C4F6E"/>
    <w:rsid w:val="006C6E01"/>
    <w:rsid w:val="006E64C5"/>
    <w:rsid w:val="006F0BEA"/>
    <w:rsid w:val="006F4F6C"/>
    <w:rsid w:val="0075361E"/>
    <w:rsid w:val="007646F2"/>
    <w:rsid w:val="00765768"/>
    <w:rsid w:val="00790919"/>
    <w:rsid w:val="007D4AC6"/>
    <w:rsid w:val="007D506D"/>
    <w:rsid w:val="007E4EDC"/>
    <w:rsid w:val="007F6D54"/>
    <w:rsid w:val="00806787"/>
    <w:rsid w:val="008108B4"/>
    <w:rsid w:val="00822FB3"/>
    <w:rsid w:val="008453D5"/>
    <w:rsid w:val="00856D20"/>
    <w:rsid w:val="00866DFF"/>
    <w:rsid w:val="008712F5"/>
    <w:rsid w:val="00877037"/>
    <w:rsid w:val="008773C0"/>
    <w:rsid w:val="00885BC2"/>
    <w:rsid w:val="008C7A0E"/>
    <w:rsid w:val="008E78CE"/>
    <w:rsid w:val="008F5CFF"/>
    <w:rsid w:val="009265D9"/>
    <w:rsid w:val="00940305"/>
    <w:rsid w:val="00952E34"/>
    <w:rsid w:val="009571C9"/>
    <w:rsid w:val="0097402C"/>
    <w:rsid w:val="009C6E44"/>
    <w:rsid w:val="009D2372"/>
    <w:rsid w:val="009D3D20"/>
    <w:rsid w:val="00A02B47"/>
    <w:rsid w:val="00A144E0"/>
    <w:rsid w:val="00A75C1D"/>
    <w:rsid w:val="00AA45F8"/>
    <w:rsid w:val="00AB6303"/>
    <w:rsid w:val="00AC7093"/>
    <w:rsid w:val="00AE6564"/>
    <w:rsid w:val="00B07B31"/>
    <w:rsid w:val="00B1470C"/>
    <w:rsid w:val="00B16F84"/>
    <w:rsid w:val="00B64E3B"/>
    <w:rsid w:val="00B7667B"/>
    <w:rsid w:val="00B80136"/>
    <w:rsid w:val="00B941F1"/>
    <w:rsid w:val="00BB3AD7"/>
    <w:rsid w:val="00BC76D0"/>
    <w:rsid w:val="00BD7DFB"/>
    <w:rsid w:val="00BE2F7E"/>
    <w:rsid w:val="00BE7E43"/>
    <w:rsid w:val="00BF01EE"/>
    <w:rsid w:val="00BF1DFC"/>
    <w:rsid w:val="00BF1E4D"/>
    <w:rsid w:val="00C065BB"/>
    <w:rsid w:val="00C168CC"/>
    <w:rsid w:val="00C27317"/>
    <w:rsid w:val="00C34F70"/>
    <w:rsid w:val="00C448A0"/>
    <w:rsid w:val="00C500C9"/>
    <w:rsid w:val="00C666B0"/>
    <w:rsid w:val="00C67DD8"/>
    <w:rsid w:val="00C72BE4"/>
    <w:rsid w:val="00CA47B3"/>
    <w:rsid w:val="00CC7864"/>
    <w:rsid w:val="00D06876"/>
    <w:rsid w:val="00D3757E"/>
    <w:rsid w:val="00D56185"/>
    <w:rsid w:val="00D57B74"/>
    <w:rsid w:val="00D65A46"/>
    <w:rsid w:val="00D714EA"/>
    <w:rsid w:val="00D8499E"/>
    <w:rsid w:val="00D85E69"/>
    <w:rsid w:val="00DA16CE"/>
    <w:rsid w:val="00DB6E06"/>
    <w:rsid w:val="00DB7101"/>
    <w:rsid w:val="00DC14A0"/>
    <w:rsid w:val="00DD6F75"/>
    <w:rsid w:val="00DF411C"/>
    <w:rsid w:val="00DF488F"/>
    <w:rsid w:val="00E0223E"/>
    <w:rsid w:val="00E44900"/>
    <w:rsid w:val="00E60D87"/>
    <w:rsid w:val="00E62DE8"/>
    <w:rsid w:val="00E755CF"/>
    <w:rsid w:val="00E76340"/>
    <w:rsid w:val="00E94596"/>
    <w:rsid w:val="00EB2F63"/>
    <w:rsid w:val="00EB6200"/>
    <w:rsid w:val="00EC54FD"/>
    <w:rsid w:val="00ED74F4"/>
    <w:rsid w:val="00EF13B8"/>
    <w:rsid w:val="00EF329D"/>
    <w:rsid w:val="00F00EAF"/>
    <w:rsid w:val="00F1077B"/>
    <w:rsid w:val="00F265E4"/>
    <w:rsid w:val="00F375B1"/>
    <w:rsid w:val="00F71A23"/>
    <w:rsid w:val="00FA440F"/>
    <w:rsid w:val="00FA4FC4"/>
    <w:rsid w:val="00FB308C"/>
    <w:rsid w:val="00FC0586"/>
    <w:rsid w:val="00FD6696"/>
    <w:rsid w:val="00FD6D6F"/>
    <w:rsid w:val="00FD7C72"/>
    <w:rsid w:val="00FE1557"/>
    <w:rsid w:val="00FF3EB9"/>
    <w:rsid w:val="00FF4A18"/>
  </w:rsids>
  <m:mathPr>
    <m:mathFont m:val="Cambria Math"/>
    <m:brkBin m:val="before"/>
    <m:brkBinSub m:val="--"/>
    <m:smallFrac m:val="0"/>
    <m:dispDef/>
    <m:lMargin m:val="0"/>
    <m:rMargin m:val="0"/>
    <m:defJc m:val="centerGroup"/>
    <m:wrapIndent m:val="1440"/>
    <m:intLim m:val="subSup"/>
    <m:naryLim m:val="undOvr"/>
  </m:mathPr>
  <w:themeFontLang w:val="es-CR"/>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F95577F"/>
  <w15:docId w15:val="{28BCAC5B-25B7-41AA-8A47-A88DA054C1F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ascii="Arial MT" w:eastAsia="Arial MT" w:hAnsi="Arial MT" w:cs="Arial MT"/>
      <w:lang w:val="es-ES"/>
    </w:rPr>
  </w:style>
  <w:style w:type="paragraph" w:styleId="Ttulo1">
    <w:name w:val="heading 1"/>
    <w:basedOn w:val="Normal"/>
    <w:link w:val="Ttulo1Car"/>
    <w:uiPriority w:val="9"/>
    <w:qFormat/>
    <w:pPr>
      <w:ind w:left="1101"/>
      <w:outlineLvl w:val="0"/>
    </w:pPr>
    <w:rPr>
      <w:sz w:val="49"/>
      <w:szCs w:val="49"/>
    </w:rPr>
  </w:style>
  <w:style w:type="paragraph" w:styleId="Ttulo2">
    <w:name w:val="heading 2"/>
    <w:basedOn w:val="Normal"/>
    <w:link w:val="Ttulo2Car"/>
    <w:uiPriority w:val="9"/>
    <w:unhideWhenUsed/>
    <w:qFormat/>
    <w:pPr>
      <w:ind w:left="1132"/>
      <w:outlineLvl w:val="1"/>
    </w:pPr>
    <w:rPr>
      <w:sz w:val="48"/>
      <w:szCs w:val="48"/>
    </w:rPr>
  </w:style>
  <w:style w:type="paragraph" w:styleId="Ttulo3">
    <w:name w:val="heading 3"/>
    <w:basedOn w:val="Normal"/>
    <w:link w:val="Ttulo3Car"/>
    <w:uiPriority w:val="9"/>
    <w:unhideWhenUsed/>
    <w:qFormat/>
    <w:pPr>
      <w:ind w:left="1115"/>
      <w:outlineLvl w:val="2"/>
    </w:pPr>
    <w:rPr>
      <w:sz w:val="42"/>
      <w:szCs w:val="42"/>
    </w:rPr>
  </w:style>
  <w:style w:type="paragraph" w:styleId="Ttulo4">
    <w:name w:val="heading 4"/>
    <w:basedOn w:val="Normal"/>
    <w:link w:val="Ttulo4Car"/>
    <w:uiPriority w:val="9"/>
    <w:unhideWhenUsed/>
    <w:qFormat/>
    <w:pPr>
      <w:ind w:left="1132"/>
      <w:outlineLvl w:val="3"/>
    </w:pPr>
    <w:rPr>
      <w:sz w:val="40"/>
      <w:szCs w:val="40"/>
    </w:rPr>
  </w:style>
  <w:style w:type="paragraph" w:styleId="Ttulo5">
    <w:name w:val="heading 5"/>
    <w:basedOn w:val="Normal"/>
    <w:link w:val="Ttulo5Car"/>
    <w:uiPriority w:val="9"/>
    <w:unhideWhenUsed/>
    <w:qFormat/>
    <w:pPr>
      <w:spacing w:before="1"/>
      <w:ind w:left="1132" w:hanging="396"/>
      <w:outlineLvl w:val="4"/>
    </w:pPr>
    <w:rPr>
      <w:sz w:val="33"/>
      <w:szCs w:val="33"/>
    </w:rPr>
  </w:style>
  <w:style w:type="paragraph" w:styleId="Ttulo6">
    <w:name w:val="heading 6"/>
    <w:basedOn w:val="Normal"/>
    <w:link w:val="Ttulo6Car"/>
    <w:uiPriority w:val="9"/>
    <w:unhideWhenUsed/>
    <w:qFormat/>
    <w:pPr>
      <w:ind w:left="1117"/>
      <w:outlineLvl w:val="5"/>
    </w:pPr>
    <w:rPr>
      <w:sz w:val="32"/>
      <w:szCs w:val="32"/>
    </w:rPr>
  </w:style>
  <w:style w:type="paragraph" w:styleId="Ttulo7">
    <w:name w:val="heading 7"/>
    <w:basedOn w:val="Normal"/>
    <w:link w:val="Ttulo7Car"/>
    <w:uiPriority w:val="1"/>
    <w:qFormat/>
    <w:pPr>
      <w:ind w:left="1454" w:hanging="388"/>
      <w:outlineLvl w:val="6"/>
    </w:pPr>
    <w:rPr>
      <w:sz w:val="30"/>
      <w:szCs w:val="30"/>
    </w:rPr>
  </w:style>
  <w:style w:type="paragraph" w:styleId="Ttulo8">
    <w:name w:val="heading 8"/>
    <w:basedOn w:val="Normal"/>
    <w:link w:val="Ttulo8Car"/>
    <w:uiPriority w:val="1"/>
    <w:qFormat/>
    <w:pPr>
      <w:ind w:left="1496" w:hanging="376"/>
      <w:outlineLvl w:val="7"/>
    </w:pPr>
    <w:rPr>
      <w:sz w:val="29"/>
      <w:szCs w:val="29"/>
    </w:rPr>
  </w:style>
  <w:style w:type="paragraph" w:styleId="Ttulo9">
    <w:name w:val="heading 9"/>
    <w:basedOn w:val="Normal"/>
    <w:link w:val="Ttulo9Car"/>
    <w:uiPriority w:val="1"/>
    <w:qFormat/>
    <w:pPr>
      <w:ind w:left="1633" w:hanging="510"/>
      <w:outlineLvl w:val="8"/>
    </w:pPr>
    <w:rPr>
      <w:sz w:val="28"/>
      <w:szCs w:val="2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TDC1">
    <w:name w:val="toc 1"/>
    <w:basedOn w:val="Normal"/>
    <w:uiPriority w:val="1"/>
    <w:qFormat/>
    <w:pPr>
      <w:ind w:left="1120"/>
    </w:pPr>
    <w:rPr>
      <w:sz w:val="19"/>
      <w:szCs w:val="19"/>
    </w:rPr>
  </w:style>
  <w:style w:type="paragraph" w:styleId="TDC2">
    <w:name w:val="toc 2"/>
    <w:basedOn w:val="Normal"/>
    <w:uiPriority w:val="1"/>
    <w:qFormat/>
    <w:pPr>
      <w:spacing w:before="171"/>
      <w:ind w:left="1236" w:hanging="233"/>
    </w:pPr>
    <w:rPr>
      <w:sz w:val="15"/>
      <w:szCs w:val="15"/>
    </w:rPr>
  </w:style>
  <w:style w:type="paragraph" w:styleId="TDC3">
    <w:name w:val="toc 3"/>
    <w:basedOn w:val="Normal"/>
    <w:uiPriority w:val="1"/>
    <w:qFormat/>
    <w:pPr>
      <w:spacing w:before="33"/>
      <w:ind w:left="1420"/>
    </w:pPr>
    <w:rPr>
      <w:sz w:val="15"/>
      <w:szCs w:val="15"/>
    </w:rPr>
  </w:style>
  <w:style w:type="paragraph" w:styleId="TDC4">
    <w:name w:val="toc 4"/>
    <w:basedOn w:val="Normal"/>
    <w:uiPriority w:val="1"/>
    <w:qFormat/>
    <w:pPr>
      <w:spacing w:before="134"/>
      <w:ind w:left="1726"/>
    </w:pPr>
    <w:rPr>
      <w:sz w:val="15"/>
      <w:szCs w:val="15"/>
    </w:rPr>
  </w:style>
  <w:style w:type="paragraph" w:styleId="TDC5">
    <w:name w:val="toc 5"/>
    <w:basedOn w:val="Normal"/>
    <w:uiPriority w:val="1"/>
    <w:qFormat/>
    <w:pPr>
      <w:spacing w:before="77"/>
      <w:ind w:left="2027"/>
    </w:pPr>
    <w:rPr>
      <w:sz w:val="15"/>
      <w:szCs w:val="15"/>
    </w:rPr>
  </w:style>
  <w:style w:type="paragraph" w:styleId="Textoindependiente">
    <w:name w:val="Body Text"/>
    <w:basedOn w:val="Normal"/>
    <w:link w:val="TextoindependienteCar"/>
    <w:uiPriority w:val="1"/>
    <w:qFormat/>
    <w:rPr>
      <w:sz w:val="16"/>
      <w:szCs w:val="16"/>
    </w:rPr>
  </w:style>
  <w:style w:type="paragraph" w:styleId="Ttulo">
    <w:name w:val="Title"/>
    <w:basedOn w:val="Normal"/>
    <w:link w:val="TtuloCar"/>
    <w:uiPriority w:val="10"/>
    <w:qFormat/>
    <w:pPr>
      <w:spacing w:before="1"/>
      <w:ind w:left="859"/>
    </w:pPr>
    <w:rPr>
      <w:sz w:val="55"/>
      <w:szCs w:val="55"/>
    </w:rPr>
  </w:style>
  <w:style w:type="paragraph" w:styleId="Prrafodelista">
    <w:name w:val="List Paragraph"/>
    <w:basedOn w:val="Normal"/>
    <w:uiPriority w:val="1"/>
    <w:qFormat/>
    <w:pPr>
      <w:ind w:left="1353" w:hanging="235"/>
    </w:pPr>
  </w:style>
  <w:style w:type="paragraph" w:customStyle="1" w:styleId="TableParagraph">
    <w:name w:val="Table Paragraph"/>
    <w:basedOn w:val="Normal"/>
    <w:uiPriority w:val="1"/>
    <w:qFormat/>
  </w:style>
  <w:style w:type="paragraph" w:styleId="Encabezado">
    <w:name w:val="header"/>
    <w:basedOn w:val="Normal"/>
    <w:link w:val="EncabezadoCar"/>
    <w:uiPriority w:val="99"/>
    <w:unhideWhenUsed/>
    <w:rsid w:val="00537489"/>
    <w:pPr>
      <w:tabs>
        <w:tab w:val="center" w:pos="4419"/>
        <w:tab w:val="right" w:pos="8838"/>
      </w:tabs>
    </w:pPr>
  </w:style>
  <w:style w:type="character" w:customStyle="1" w:styleId="EncabezadoCar">
    <w:name w:val="Encabezado Car"/>
    <w:basedOn w:val="Fuentedeprrafopredeter"/>
    <w:link w:val="Encabezado"/>
    <w:uiPriority w:val="99"/>
    <w:rsid w:val="00537489"/>
    <w:rPr>
      <w:rFonts w:ascii="Arial MT" w:eastAsia="Arial MT" w:hAnsi="Arial MT" w:cs="Arial MT"/>
      <w:lang w:val="es-ES"/>
    </w:rPr>
  </w:style>
  <w:style w:type="paragraph" w:styleId="Piedepgina">
    <w:name w:val="footer"/>
    <w:basedOn w:val="Normal"/>
    <w:link w:val="PiedepginaCar"/>
    <w:uiPriority w:val="99"/>
    <w:unhideWhenUsed/>
    <w:rsid w:val="00537489"/>
    <w:pPr>
      <w:tabs>
        <w:tab w:val="center" w:pos="4419"/>
        <w:tab w:val="right" w:pos="8838"/>
      </w:tabs>
    </w:pPr>
  </w:style>
  <w:style w:type="character" w:customStyle="1" w:styleId="PiedepginaCar">
    <w:name w:val="Pie de página Car"/>
    <w:basedOn w:val="Fuentedeprrafopredeter"/>
    <w:link w:val="Piedepgina"/>
    <w:uiPriority w:val="99"/>
    <w:rsid w:val="00537489"/>
    <w:rPr>
      <w:rFonts w:ascii="Arial MT" w:eastAsia="Arial MT" w:hAnsi="Arial MT" w:cs="Arial MT"/>
      <w:lang w:val="es-ES"/>
    </w:rPr>
  </w:style>
  <w:style w:type="character" w:customStyle="1" w:styleId="Ttulo1Car">
    <w:name w:val="Título 1 Car"/>
    <w:basedOn w:val="Fuentedeprrafopredeter"/>
    <w:link w:val="Ttulo1"/>
    <w:uiPriority w:val="9"/>
    <w:rsid w:val="003E5960"/>
    <w:rPr>
      <w:rFonts w:ascii="Arial MT" w:eastAsia="Arial MT" w:hAnsi="Arial MT" w:cs="Arial MT"/>
      <w:sz w:val="49"/>
      <w:szCs w:val="49"/>
      <w:lang w:val="es-ES"/>
    </w:rPr>
  </w:style>
  <w:style w:type="character" w:customStyle="1" w:styleId="Ttulo2Car">
    <w:name w:val="Título 2 Car"/>
    <w:basedOn w:val="Fuentedeprrafopredeter"/>
    <w:link w:val="Ttulo2"/>
    <w:uiPriority w:val="9"/>
    <w:rsid w:val="003E5960"/>
    <w:rPr>
      <w:rFonts w:ascii="Arial MT" w:eastAsia="Arial MT" w:hAnsi="Arial MT" w:cs="Arial MT"/>
      <w:sz w:val="48"/>
      <w:szCs w:val="48"/>
      <w:lang w:val="es-ES"/>
    </w:rPr>
  </w:style>
  <w:style w:type="character" w:customStyle="1" w:styleId="Ttulo3Car">
    <w:name w:val="Título 3 Car"/>
    <w:basedOn w:val="Fuentedeprrafopredeter"/>
    <w:link w:val="Ttulo3"/>
    <w:uiPriority w:val="9"/>
    <w:rsid w:val="003E5960"/>
    <w:rPr>
      <w:rFonts w:ascii="Arial MT" w:eastAsia="Arial MT" w:hAnsi="Arial MT" w:cs="Arial MT"/>
      <w:sz w:val="42"/>
      <w:szCs w:val="42"/>
      <w:lang w:val="es-ES"/>
    </w:rPr>
  </w:style>
  <w:style w:type="character" w:customStyle="1" w:styleId="Ttulo4Car">
    <w:name w:val="Título 4 Car"/>
    <w:basedOn w:val="Fuentedeprrafopredeter"/>
    <w:link w:val="Ttulo4"/>
    <w:uiPriority w:val="9"/>
    <w:rsid w:val="003E5960"/>
    <w:rPr>
      <w:rFonts w:ascii="Arial MT" w:eastAsia="Arial MT" w:hAnsi="Arial MT" w:cs="Arial MT"/>
      <w:sz w:val="40"/>
      <w:szCs w:val="40"/>
      <w:lang w:val="es-ES"/>
    </w:rPr>
  </w:style>
  <w:style w:type="character" w:customStyle="1" w:styleId="Ttulo5Car">
    <w:name w:val="Título 5 Car"/>
    <w:basedOn w:val="Fuentedeprrafopredeter"/>
    <w:link w:val="Ttulo5"/>
    <w:uiPriority w:val="9"/>
    <w:rsid w:val="003E5960"/>
    <w:rPr>
      <w:rFonts w:ascii="Arial MT" w:eastAsia="Arial MT" w:hAnsi="Arial MT" w:cs="Arial MT"/>
      <w:sz w:val="33"/>
      <w:szCs w:val="33"/>
      <w:lang w:val="es-ES"/>
    </w:rPr>
  </w:style>
  <w:style w:type="character" w:customStyle="1" w:styleId="Ttulo6Car">
    <w:name w:val="Título 6 Car"/>
    <w:basedOn w:val="Fuentedeprrafopredeter"/>
    <w:link w:val="Ttulo6"/>
    <w:uiPriority w:val="9"/>
    <w:rsid w:val="003E5960"/>
    <w:rPr>
      <w:rFonts w:ascii="Arial MT" w:eastAsia="Arial MT" w:hAnsi="Arial MT" w:cs="Arial MT"/>
      <w:sz w:val="32"/>
      <w:szCs w:val="32"/>
      <w:lang w:val="es-ES"/>
    </w:rPr>
  </w:style>
  <w:style w:type="character" w:customStyle="1" w:styleId="Ttulo7Car">
    <w:name w:val="Título 7 Car"/>
    <w:basedOn w:val="Fuentedeprrafopredeter"/>
    <w:link w:val="Ttulo7"/>
    <w:uiPriority w:val="1"/>
    <w:rsid w:val="003E5960"/>
    <w:rPr>
      <w:rFonts w:ascii="Arial MT" w:eastAsia="Arial MT" w:hAnsi="Arial MT" w:cs="Arial MT"/>
      <w:sz w:val="30"/>
      <w:szCs w:val="30"/>
      <w:lang w:val="es-ES"/>
    </w:rPr>
  </w:style>
  <w:style w:type="character" w:customStyle="1" w:styleId="Ttulo8Car">
    <w:name w:val="Título 8 Car"/>
    <w:basedOn w:val="Fuentedeprrafopredeter"/>
    <w:link w:val="Ttulo8"/>
    <w:uiPriority w:val="1"/>
    <w:rsid w:val="003E5960"/>
    <w:rPr>
      <w:rFonts w:ascii="Arial MT" w:eastAsia="Arial MT" w:hAnsi="Arial MT" w:cs="Arial MT"/>
      <w:sz w:val="29"/>
      <w:szCs w:val="29"/>
      <w:lang w:val="es-ES"/>
    </w:rPr>
  </w:style>
  <w:style w:type="character" w:customStyle="1" w:styleId="Ttulo9Car">
    <w:name w:val="Título 9 Car"/>
    <w:basedOn w:val="Fuentedeprrafopredeter"/>
    <w:link w:val="Ttulo9"/>
    <w:uiPriority w:val="1"/>
    <w:rsid w:val="003E5960"/>
    <w:rPr>
      <w:rFonts w:ascii="Arial MT" w:eastAsia="Arial MT" w:hAnsi="Arial MT" w:cs="Arial MT"/>
      <w:sz w:val="28"/>
      <w:szCs w:val="28"/>
      <w:lang w:val="es-ES"/>
    </w:rPr>
  </w:style>
  <w:style w:type="character" w:customStyle="1" w:styleId="TtuloCar">
    <w:name w:val="Título Car"/>
    <w:basedOn w:val="Fuentedeprrafopredeter"/>
    <w:link w:val="Ttulo"/>
    <w:uiPriority w:val="10"/>
    <w:rsid w:val="003E5960"/>
    <w:rPr>
      <w:rFonts w:ascii="Arial MT" w:eastAsia="Arial MT" w:hAnsi="Arial MT" w:cs="Arial MT"/>
      <w:sz w:val="55"/>
      <w:szCs w:val="55"/>
      <w:lang w:val="es-ES"/>
    </w:rPr>
  </w:style>
  <w:style w:type="paragraph" w:styleId="Subttulo">
    <w:name w:val="Subtitle"/>
    <w:basedOn w:val="Normal"/>
    <w:next w:val="Normal"/>
    <w:link w:val="SubttuloCar"/>
    <w:uiPriority w:val="11"/>
    <w:qFormat/>
    <w:rsid w:val="003E5960"/>
    <w:pPr>
      <w:numPr>
        <w:ilvl w:val="1"/>
      </w:numPr>
    </w:pPr>
    <w:rPr>
      <w:rFonts w:eastAsiaTheme="majorEastAsia" w:cstheme="majorBidi"/>
      <w:color w:val="595959" w:themeColor="text1" w:themeTint="A6"/>
      <w:spacing w:val="15"/>
      <w:sz w:val="28"/>
      <w:szCs w:val="28"/>
    </w:rPr>
  </w:style>
  <w:style w:type="character" w:customStyle="1" w:styleId="SubttuloCar">
    <w:name w:val="Subtítulo Car"/>
    <w:basedOn w:val="Fuentedeprrafopredeter"/>
    <w:link w:val="Subttulo"/>
    <w:uiPriority w:val="11"/>
    <w:rsid w:val="003E5960"/>
    <w:rPr>
      <w:rFonts w:ascii="Arial MT" w:eastAsiaTheme="majorEastAsia" w:hAnsi="Arial MT" w:cstheme="majorBidi"/>
      <w:color w:val="595959" w:themeColor="text1" w:themeTint="A6"/>
      <w:spacing w:val="15"/>
      <w:sz w:val="28"/>
      <w:szCs w:val="28"/>
      <w:lang w:val="es-ES"/>
    </w:rPr>
  </w:style>
  <w:style w:type="paragraph" w:styleId="Cita">
    <w:name w:val="Quote"/>
    <w:basedOn w:val="Normal"/>
    <w:next w:val="Normal"/>
    <w:link w:val="CitaCar"/>
    <w:uiPriority w:val="29"/>
    <w:qFormat/>
    <w:rsid w:val="003E5960"/>
    <w:pPr>
      <w:spacing w:before="160"/>
      <w:jc w:val="center"/>
    </w:pPr>
    <w:rPr>
      <w:i/>
      <w:iCs/>
      <w:color w:val="404040" w:themeColor="text1" w:themeTint="BF"/>
    </w:rPr>
  </w:style>
  <w:style w:type="character" w:customStyle="1" w:styleId="CitaCar">
    <w:name w:val="Cita Car"/>
    <w:basedOn w:val="Fuentedeprrafopredeter"/>
    <w:link w:val="Cita"/>
    <w:uiPriority w:val="29"/>
    <w:rsid w:val="003E5960"/>
    <w:rPr>
      <w:rFonts w:ascii="Arial MT" w:eastAsia="Arial MT" w:hAnsi="Arial MT" w:cs="Arial MT"/>
      <w:i/>
      <w:iCs/>
      <w:color w:val="404040" w:themeColor="text1" w:themeTint="BF"/>
      <w:lang w:val="es-ES"/>
    </w:rPr>
  </w:style>
  <w:style w:type="character" w:styleId="nfasisintenso">
    <w:name w:val="Intense Emphasis"/>
    <w:basedOn w:val="Fuentedeprrafopredeter"/>
    <w:uiPriority w:val="21"/>
    <w:qFormat/>
    <w:rsid w:val="003E5960"/>
    <w:rPr>
      <w:i/>
      <w:iCs/>
      <w:color w:val="365F91" w:themeColor="accent1" w:themeShade="BF"/>
    </w:rPr>
  </w:style>
  <w:style w:type="paragraph" w:styleId="Citadestacada">
    <w:name w:val="Intense Quote"/>
    <w:basedOn w:val="Normal"/>
    <w:next w:val="Normal"/>
    <w:link w:val="CitadestacadaCar"/>
    <w:uiPriority w:val="30"/>
    <w:qFormat/>
    <w:rsid w:val="003E5960"/>
    <w:pPr>
      <w:pBdr>
        <w:top w:val="single" w:sz="4" w:space="10" w:color="365F91" w:themeColor="accent1" w:themeShade="BF"/>
        <w:bottom w:val="single" w:sz="4" w:space="10" w:color="365F91" w:themeColor="accent1" w:themeShade="BF"/>
      </w:pBdr>
      <w:spacing w:before="360" w:after="360"/>
      <w:ind w:left="864" w:right="864"/>
      <w:jc w:val="center"/>
    </w:pPr>
    <w:rPr>
      <w:i/>
      <w:iCs/>
      <w:color w:val="365F91" w:themeColor="accent1" w:themeShade="BF"/>
    </w:rPr>
  </w:style>
  <w:style w:type="character" w:customStyle="1" w:styleId="CitadestacadaCar">
    <w:name w:val="Cita destacada Car"/>
    <w:basedOn w:val="Fuentedeprrafopredeter"/>
    <w:link w:val="Citadestacada"/>
    <w:uiPriority w:val="30"/>
    <w:rsid w:val="003E5960"/>
    <w:rPr>
      <w:rFonts w:ascii="Arial MT" w:eastAsia="Arial MT" w:hAnsi="Arial MT" w:cs="Arial MT"/>
      <w:i/>
      <w:iCs/>
      <w:color w:val="365F91" w:themeColor="accent1" w:themeShade="BF"/>
      <w:lang w:val="es-ES"/>
    </w:rPr>
  </w:style>
  <w:style w:type="character" w:styleId="Referenciaintensa">
    <w:name w:val="Intense Reference"/>
    <w:basedOn w:val="Fuentedeprrafopredeter"/>
    <w:uiPriority w:val="32"/>
    <w:qFormat/>
    <w:rsid w:val="003E5960"/>
    <w:rPr>
      <w:b/>
      <w:bCs/>
      <w:smallCaps/>
      <w:color w:val="365F91" w:themeColor="accent1" w:themeShade="BF"/>
      <w:spacing w:val="5"/>
    </w:rPr>
  </w:style>
  <w:style w:type="character" w:customStyle="1" w:styleId="TextoindependienteCar">
    <w:name w:val="Texto independiente Car"/>
    <w:basedOn w:val="Fuentedeprrafopredeter"/>
    <w:link w:val="Textoindependiente"/>
    <w:uiPriority w:val="1"/>
    <w:rsid w:val="003E5960"/>
    <w:rPr>
      <w:rFonts w:ascii="Arial MT" w:eastAsia="Arial MT" w:hAnsi="Arial MT" w:cs="Arial MT"/>
      <w:sz w:val="16"/>
      <w:szCs w:val="16"/>
      <w:lang w:val="es-ES"/>
    </w:rPr>
  </w:style>
  <w:style w:type="character" w:styleId="Hipervnculo">
    <w:name w:val="Hyperlink"/>
    <w:basedOn w:val="Fuentedeprrafopredeter"/>
    <w:uiPriority w:val="99"/>
    <w:unhideWhenUsed/>
    <w:rsid w:val="005C01C5"/>
    <w:rPr>
      <w:color w:val="0000FF" w:themeColor="hyperlink"/>
      <w:u w:val="single"/>
    </w:rPr>
  </w:style>
  <w:style w:type="character" w:styleId="Mencinsinresolver">
    <w:name w:val="Unresolved Mention"/>
    <w:basedOn w:val="Fuentedeprrafopredeter"/>
    <w:uiPriority w:val="99"/>
    <w:semiHidden/>
    <w:unhideWhenUsed/>
    <w:rsid w:val="005C01C5"/>
    <w:rPr>
      <w:color w:val="605E5C"/>
      <w:shd w:val="clear" w:color="auto" w:fill="E1DFDD"/>
    </w:rPr>
  </w:style>
  <w:style w:type="character" w:styleId="Hipervnculovisitado">
    <w:name w:val="FollowedHyperlink"/>
    <w:basedOn w:val="Fuentedeprrafopredeter"/>
    <w:uiPriority w:val="99"/>
    <w:semiHidden/>
    <w:unhideWhenUsed/>
    <w:rsid w:val="005C01C5"/>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117" Type="http://schemas.openxmlformats.org/officeDocument/2006/relationships/image" Target="media/image61.png"/><Relationship Id="rId299" Type="http://schemas.openxmlformats.org/officeDocument/2006/relationships/image" Target="media/image180.png"/><Relationship Id="rId21" Type="http://schemas.openxmlformats.org/officeDocument/2006/relationships/hyperlink" Target="http://www.un.org/en/un75/common" TargetMode="External"/><Relationship Id="rId63" Type="http://schemas.openxmlformats.org/officeDocument/2006/relationships/image" Target="media/image22.png"/><Relationship Id="rId159" Type="http://schemas.openxmlformats.org/officeDocument/2006/relationships/image" Target="media/image100.jpeg"/><Relationship Id="rId324" Type="http://schemas.openxmlformats.org/officeDocument/2006/relationships/hyperlink" Target="https://www.un.org/en/genocideprevention/hate-speech-strategy.shtml" TargetMode="External"/><Relationship Id="rId366" Type="http://schemas.openxmlformats.org/officeDocument/2006/relationships/image" Target="media/image222.png"/><Relationship Id="rId170" Type="http://schemas.openxmlformats.org/officeDocument/2006/relationships/image" Target="media/image106.png"/><Relationship Id="rId226" Type="http://schemas.openxmlformats.org/officeDocument/2006/relationships/image" Target="media/image139.png"/><Relationship Id="rId268" Type="http://schemas.openxmlformats.org/officeDocument/2006/relationships/hyperlink" Target="http://www.cigionline.org/static/documents/documents/UNDRIP" TargetMode="External"/><Relationship Id="rId32" Type="http://schemas.openxmlformats.org/officeDocument/2006/relationships/image" Target="media/image12.png"/><Relationship Id="rId74" Type="http://schemas.openxmlformats.org/officeDocument/2006/relationships/image" Target="media/image33.png"/><Relationship Id="rId128" Type="http://schemas.openxmlformats.org/officeDocument/2006/relationships/hyperlink" Target="http://www.achpr.org/pressrelease/detail?id=242" TargetMode="External"/><Relationship Id="rId335" Type="http://schemas.openxmlformats.org/officeDocument/2006/relationships/image" Target="media/image204.png"/><Relationship Id="rId5" Type="http://schemas.openxmlformats.org/officeDocument/2006/relationships/styles" Target="styles.xml"/><Relationship Id="rId181" Type="http://schemas.openxmlformats.org/officeDocument/2006/relationships/image" Target="media/image111.png"/><Relationship Id="rId237" Type="http://schemas.openxmlformats.org/officeDocument/2006/relationships/hyperlink" Target="https://www.neki.hu/archivum-feher-fuzet/" TargetMode="External"/><Relationship Id="rId279" Type="http://schemas.openxmlformats.org/officeDocument/2006/relationships/image" Target="media/image167.png"/><Relationship Id="rId43" Type="http://schemas.openxmlformats.org/officeDocument/2006/relationships/hyperlink" Target="https://www.unia.be/en/publications-statistics/publications/unias-work-expressed-in-figures-for-2016" TargetMode="External"/><Relationship Id="rId139" Type="http://schemas.openxmlformats.org/officeDocument/2006/relationships/image" Target="media/image81.png"/><Relationship Id="rId290" Type="http://schemas.openxmlformats.org/officeDocument/2006/relationships/image" Target="media/image174.png"/><Relationship Id="rId304" Type="http://schemas.openxmlformats.org/officeDocument/2006/relationships/hyperlink" Target="http://www.ohchr.org/Documents/Publications/GuideMinorities9en.pdf" TargetMode="External"/><Relationship Id="rId346" Type="http://schemas.openxmlformats.org/officeDocument/2006/relationships/hyperlink" Target="http://www.aclu.org/issues/" TargetMode="External"/><Relationship Id="rId85" Type="http://schemas.openxmlformats.org/officeDocument/2006/relationships/hyperlink" Target="http://164.100.47.4/BillsTexts/LSBillTexts/Asintroduced/2991.pdf" TargetMode="External"/><Relationship Id="rId150" Type="http://schemas.openxmlformats.org/officeDocument/2006/relationships/image" Target="media/image92.png"/><Relationship Id="rId192" Type="http://schemas.openxmlformats.org/officeDocument/2006/relationships/image" Target="media/image118.png"/><Relationship Id="rId206" Type="http://schemas.openxmlformats.org/officeDocument/2006/relationships/header" Target="header34.xml"/><Relationship Id="rId248" Type="http://schemas.openxmlformats.org/officeDocument/2006/relationships/hyperlink" Target="https://www.ohchr.org/EN/Issues/Racism/WGAfricanDescent/Pages/WGEPADIndex.aspx" TargetMode="External"/><Relationship Id="rId12" Type="http://schemas.openxmlformats.org/officeDocument/2006/relationships/hyperlink" Target="mailto:Permissions@un.org" TargetMode="External"/><Relationship Id="rId108" Type="http://schemas.openxmlformats.org/officeDocument/2006/relationships/image" Target="media/image52.png"/><Relationship Id="rId315" Type="http://schemas.openxmlformats.org/officeDocument/2006/relationships/image" Target="media/image192.png"/><Relationship Id="rId357" Type="http://schemas.openxmlformats.org/officeDocument/2006/relationships/image" Target="media/image213.png"/><Relationship Id="rId54" Type="http://schemas.openxmlformats.org/officeDocument/2006/relationships/image" Target="media/image17.png"/><Relationship Id="rId96" Type="http://schemas.openxmlformats.org/officeDocument/2006/relationships/image" Target="media/image41.png"/><Relationship Id="rId161" Type="http://schemas.openxmlformats.org/officeDocument/2006/relationships/image" Target="media/image101.png"/><Relationship Id="rId217" Type="http://schemas.openxmlformats.org/officeDocument/2006/relationships/image" Target="media/image134.png"/><Relationship Id="rId259" Type="http://schemas.openxmlformats.org/officeDocument/2006/relationships/image" Target="media/image158.png"/><Relationship Id="rId23" Type="http://schemas.openxmlformats.org/officeDocument/2006/relationships/image" Target="media/image4.png"/><Relationship Id="rId119" Type="http://schemas.openxmlformats.org/officeDocument/2006/relationships/image" Target="media/image63.png"/><Relationship Id="rId270" Type="http://schemas.openxmlformats.org/officeDocument/2006/relationships/image" Target="media/image161.png"/><Relationship Id="rId326" Type="http://schemas.openxmlformats.org/officeDocument/2006/relationships/image" Target="media/image200.png"/><Relationship Id="rId65" Type="http://schemas.openxmlformats.org/officeDocument/2006/relationships/image" Target="media/image23.png"/><Relationship Id="rId130" Type="http://schemas.openxmlformats.org/officeDocument/2006/relationships/image" Target="media/image72.png"/><Relationship Id="rId368" Type="http://schemas.openxmlformats.org/officeDocument/2006/relationships/image" Target="media/image221.png"/><Relationship Id="rId172" Type="http://schemas.openxmlformats.org/officeDocument/2006/relationships/image" Target="media/image108.png"/><Relationship Id="rId228" Type="http://schemas.openxmlformats.org/officeDocument/2006/relationships/hyperlink" Target="http://www.ohchr.org/en/disabilities/sdg-crpd-resource-package" TargetMode="External"/><Relationship Id="rId281" Type="http://schemas.openxmlformats.org/officeDocument/2006/relationships/image" Target="media/image168.png"/><Relationship Id="rId34" Type="http://schemas.openxmlformats.org/officeDocument/2006/relationships/header" Target="header9.xml"/><Relationship Id="rId76" Type="http://schemas.openxmlformats.org/officeDocument/2006/relationships/image" Target="media/image31.png"/><Relationship Id="rId141" Type="http://schemas.openxmlformats.org/officeDocument/2006/relationships/image" Target="media/image83.png"/><Relationship Id="rId7" Type="http://schemas.openxmlformats.org/officeDocument/2006/relationships/webSettings" Target="webSettings.xml"/><Relationship Id="rId183" Type="http://schemas.openxmlformats.org/officeDocument/2006/relationships/hyperlink" Target="http://www.ohchr.org/Documents/Issues/Women/WRGS/StudyGenderStereotyping.doc)" TargetMode="External"/><Relationship Id="rId239" Type="http://schemas.openxmlformats.org/officeDocument/2006/relationships/image" Target="media/image148.png"/><Relationship Id="rId250" Type="http://schemas.openxmlformats.org/officeDocument/2006/relationships/hyperlink" Target="https://news.un.org/en/story/2021/03/1088002" TargetMode="External"/><Relationship Id="rId292" Type="http://schemas.openxmlformats.org/officeDocument/2006/relationships/image" Target="media/image176.png"/><Relationship Id="rId306" Type="http://schemas.openxmlformats.org/officeDocument/2006/relationships/image" Target="media/image185.png"/><Relationship Id="rId45" Type="http://schemas.openxmlformats.org/officeDocument/2006/relationships/hyperlink" Target="http://egalitate.md/wp" TargetMode="External"/><Relationship Id="rId87" Type="http://schemas.openxmlformats.org/officeDocument/2006/relationships/image" Target="media/image36.png"/><Relationship Id="rId110" Type="http://schemas.openxmlformats.org/officeDocument/2006/relationships/image" Target="media/image54.png"/><Relationship Id="rId348" Type="http://schemas.openxmlformats.org/officeDocument/2006/relationships/hyperlink" Target="http://www.aclu.org/blog/privacy-technology/surveillance-technologies/amazons-face-recognition-falsely-matched-28" TargetMode="External"/><Relationship Id="rId152" Type="http://schemas.openxmlformats.org/officeDocument/2006/relationships/image" Target="media/image94.png"/><Relationship Id="rId194" Type="http://schemas.openxmlformats.org/officeDocument/2006/relationships/hyperlink" Target="https://www.legifrance.gouv.fr/affichJuriAdmin.do?idTexte=CETATEXT000021219388" TargetMode="External"/><Relationship Id="rId208" Type="http://schemas.openxmlformats.org/officeDocument/2006/relationships/image" Target="media/image125.png"/><Relationship Id="rId261" Type="http://schemas.openxmlformats.org/officeDocument/2006/relationships/hyperlink" Target="https://www.ohchr.org/EN/Issues/IPeoples/SRIndigenousPeoples/Pages/SRIPeoplesIndex.aspx" TargetMode="External"/><Relationship Id="rId14" Type="http://schemas.openxmlformats.org/officeDocument/2006/relationships/image" Target="media/image2.png"/><Relationship Id="rId56" Type="http://schemas.openxmlformats.org/officeDocument/2006/relationships/header" Target="header18.xml"/><Relationship Id="rId317" Type="http://schemas.openxmlformats.org/officeDocument/2006/relationships/hyperlink" Target="https://www.un.org/en/genocideprevention/publications-and-resources.shtml" TargetMode="External"/><Relationship Id="rId359" Type="http://schemas.openxmlformats.org/officeDocument/2006/relationships/hyperlink" Target="http://www.ohchr.org/EN/Issues/SexualOrientationGender/Pages/Index.aspx" TargetMode="External"/><Relationship Id="rId98" Type="http://schemas.openxmlformats.org/officeDocument/2006/relationships/image" Target="media/image45.png"/><Relationship Id="rId121" Type="http://schemas.openxmlformats.org/officeDocument/2006/relationships/image" Target="media/image65.png"/><Relationship Id="rId163" Type="http://schemas.openxmlformats.org/officeDocument/2006/relationships/header" Target="header25.xml"/><Relationship Id="rId219" Type="http://schemas.openxmlformats.org/officeDocument/2006/relationships/image" Target="media/image135.png"/><Relationship Id="rId370" Type="http://schemas.openxmlformats.org/officeDocument/2006/relationships/hyperlink" Target="mailto:ohchr-infodesk@un.org" TargetMode="External"/><Relationship Id="rId230" Type="http://schemas.openxmlformats.org/officeDocument/2006/relationships/image" Target="media/image142.png"/><Relationship Id="rId25" Type="http://schemas.openxmlformats.org/officeDocument/2006/relationships/image" Target="media/image5.png"/><Relationship Id="rId67" Type="http://schemas.openxmlformats.org/officeDocument/2006/relationships/image" Target="media/image25.png"/><Relationship Id="rId272" Type="http://schemas.openxmlformats.org/officeDocument/2006/relationships/hyperlink" Target="https://www.ohchr.org/en/issues/minorities/srminorities/pages/srminorityissuesindex.aspx" TargetMode="External"/><Relationship Id="rId328" Type="http://schemas.openxmlformats.org/officeDocument/2006/relationships/image" Target="media/image199.png"/><Relationship Id="rId132" Type="http://schemas.openxmlformats.org/officeDocument/2006/relationships/image" Target="media/image74.png"/><Relationship Id="rId174" Type="http://schemas.openxmlformats.org/officeDocument/2006/relationships/hyperlink" Target="http://www.errc.org/roma-rights-journal/hungarian-television-station-sanctioned-for-broadcasting-a-defamatory-program" TargetMode="External"/><Relationship Id="rId241" Type="http://schemas.openxmlformats.org/officeDocument/2006/relationships/image" Target="media/image149.png"/><Relationship Id="rId36" Type="http://schemas.openxmlformats.org/officeDocument/2006/relationships/header" Target="header11.xml"/><Relationship Id="rId283" Type="http://schemas.openxmlformats.org/officeDocument/2006/relationships/image" Target="media/image170.png"/><Relationship Id="rId339" Type="http://schemas.openxmlformats.org/officeDocument/2006/relationships/image" Target="media/image205.png"/><Relationship Id="rId78" Type="http://schemas.openxmlformats.org/officeDocument/2006/relationships/hyperlink" Target="http://www.equalitylaw.eu/downloads/5306-north-macedonia-anti-discrimination-law-re-adopted-by-parliament-" TargetMode="External"/><Relationship Id="rId99" Type="http://schemas.openxmlformats.org/officeDocument/2006/relationships/image" Target="media/image43.png"/><Relationship Id="rId101" Type="http://schemas.openxmlformats.org/officeDocument/2006/relationships/image" Target="media/image44.png"/><Relationship Id="rId122" Type="http://schemas.openxmlformats.org/officeDocument/2006/relationships/image" Target="media/image66.png"/><Relationship Id="rId143" Type="http://schemas.openxmlformats.org/officeDocument/2006/relationships/image" Target="media/image85.png"/><Relationship Id="rId164" Type="http://schemas.openxmlformats.org/officeDocument/2006/relationships/image" Target="media/image102.png"/><Relationship Id="rId185" Type="http://schemas.openxmlformats.org/officeDocument/2006/relationships/hyperlink" Target="http://www.ohchr.org/" TargetMode="External"/><Relationship Id="rId350" Type="http://schemas.openxmlformats.org/officeDocument/2006/relationships/header" Target="header44.xml"/><Relationship Id="rId371" Type="http://schemas.openxmlformats.org/officeDocument/2006/relationships/hyperlink" Target="http://www.ohchr.org/" TargetMode="External"/><Relationship Id="rId9" Type="http://schemas.openxmlformats.org/officeDocument/2006/relationships/endnotes" Target="endnotes.xml"/><Relationship Id="rId210" Type="http://schemas.openxmlformats.org/officeDocument/2006/relationships/image" Target="media/image127.png"/><Relationship Id="rId26" Type="http://schemas.openxmlformats.org/officeDocument/2006/relationships/image" Target="media/image6.png"/><Relationship Id="rId231" Type="http://schemas.openxmlformats.org/officeDocument/2006/relationships/image" Target="media/image143.jpeg"/><Relationship Id="rId252" Type="http://schemas.openxmlformats.org/officeDocument/2006/relationships/hyperlink" Target="http://www.ohchr.org/EN/Issues/Albinism/Pages/IEAlbinism.aspx" TargetMode="External"/><Relationship Id="rId273" Type="http://schemas.openxmlformats.org/officeDocument/2006/relationships/hyperlink" Target="https://www.ohchr.org/en/issues/freedomreligion/pages/freedomreligionindex.aspx" TargetMode="External"/><Relationship Id="rId294" Type="http://schemas.openxmlformats.org/officeDocument/2006/relationships/image" Target="media/image177.png"/><Relationship Id="rId308" Type="http://schemas.openxmlformats.org/officeDocument/2006/relationships/image" Target="media/image187.png"/><Relationship Id="rId329" Type="http://schemas.openxmlformats.org/officeDocument/2006/relationships/image" Target="media/image201.png"/><Relationship Id="rId47" Type="http://schemas.openxmlformats.org/officeDocument/2006/relationships/hyperlink" Target="https://escholarship.org/content/qt1ms61553/qt1ms61553_noSplash_a09f8d08d80f6b092e02247da12ca35e.pdf" TargetMode="External"/><Relationship Id="rId68" Type="http://schemas.openxmlformats.org/officeDocument/2006/relationships/hyperlink" Target="http://www.ilo.org/public/libdoc/ilo/P/09661/09661(2009-98-1A).pdf" TargetMode="External"/><Relationship Id="rId89" Type="http://schemas.openxmlformats.org/officeDocument/2006/relationships/image" Target="media/image37.jpeg"/><Relationship Id="rId112" Type="http://schemas.openxmlformats.org/officeDocument/2006/relationships/image" Target="media/image56.png"/><Relationship Id="rId133" Type="http://schemas.openxmlformats.org/officeDocument/2006/relationships/image" Target="media/image75.png"/><Relationship Id="rId154" Type="http://schemas.openxmlformats.org/officeDocument/2006/relationships/image" Target="media/image95.png"/><Relationship Id="rId175" Type="http://schemas.openxmlformats.org/officeDocument/2006/relationships/header" Target="header27.xml"/><Relationship Id="rId340" Type="http://schemas.openxmlformats.org/officeDocument/2006/relationships/hyperlink" Target="https://www.ohchr.org/EN/NewsEvents/Pages/Hate-speech-threshold-test.aspx" TargetMode="External"/><Relationship Id="rId361" Type="http://schemas.openxmlformats.org/officeDocument/2006/relationships/image" Target="media/image216.png"/><Relationship Id="rId196" Type="http://schemas.openxmlformats.org/officeDocument/2006/relationships/hyperlink" Target="https://www.conseil-etat.fr/ressources/decisions-contentieuses/les-grandes-decisions-du-conseil-d-etat/conseil-d-etat-assemblee-30-octobre-2009-mme-perreux" TargetMode="External"/><Relationship Id="rId200" Type="http://schemas.openxmlformats.org/officeDocument/2006/relationships/hyperlink" Target="https://www.ohchr.org/EN/HRBodies/TBPetitions/Pages/HRTBPetitions.aspx" TargetMode="External"/><Relationship Id="rId16" Type="http://schemas.openxmlformats.org/officeDocument/2006/relationships/header" Target="header1.xml"/><Relationship Id="rId221" Type="http://schemas.openxmlformats.org/officeDocument/2006/relationships/image" Target="media/image136.png"/><Relationship Id="rId242" Type="http://schemas.openxmlformats.org/officeDocument/2006/relationships/hyperlink" Target="http://www.venice.coe.int/webforms/documents/?pdf=CDL-" TargetMode="External"/><Relationship Id="rId263" Type="http://schemas.openxmlformats.org/officeDocument/2006/relationships/image" Target="media/image156.png"/><Relationship Id="rId284" Type="http://schemas.openxmlformats.org/officeDocument/2006/relationships/image" Target="media/image171.png"/><Relationship Id="rId319" Type="http://schemas.openxmlformats.org/officeDocument/2006/relationships/image" Target="media/image194.jpeg"/><Relationship Id="rId37" Type="http://schemas.openxmlformats.org/officeDocument/2006/relationships/image" Target="media/image11.png"/><Relationship Id="rId58" Type="http://schemas.openxmlformats.org/officeDocument/2006/relationships/image" Target="media/image21.png"/><Relationship Id="rId79" Type="http://schemas.openxmlformats.org/officeDocument/2006/relationships/image" Target="media/image34.png"/><Relationship Id="rId102" Type="http://schemas.openxmlformats.org/officeDocument/2006/relationships/image" Target="media/image46.png"/><Relationship Id="rId123" Type="http://schemas.openxmlformats.org/officeDocument/2006/relationships/image" Target="media/image67.png"/><Relationship Id="rId144" Type="http://schemas.openxmlformats.org/officeDocument/2006/relationships/image" Target="media/image86.png"/><Relationship Id="rId330" Type="http://schemas.openxmlformats.org/officeDocument/2006/relationships/hyperlink" Target="https://www.article19.org/data/files/pdfs/standards/the-camden-principles-on-freedom-of-expression-and-equality.pdf" TargetMode="External"/><Relationship Id="rId90" Type="http://schemas.openxmlformats.org/officeDocument/2006/relationships/header" Target="header21.xml"/><Relationship Id="rId165" Type="http://schemas.openxmlformats.org/officeDocument/2006/relationships/header" Target="header26.xml"/><Relationship Id="rId186" Type="http://schemas.openxmlformats.org/officeDocument/2006/relationships/image" Target="media/image113.png"/><Relationship Id="rId351" Type="http://schemas.openxmlformats.org/officeDocument/2006/relationships/image" Target="media/image210.png"/><Relationship Id="rId372" Type="http://schemas.openxmlformats.org/officeDocument/2006/relationships/hyperlink" Target="mailto:info@equalrightstrust.org" TargetMode="External"/><Relationship Id="rId211" Type="http://schemas.openxmlformats.org/officeDocument/2006/relationships/image" Target="media/image128.png"/><Relationship Id="rId232" Type="http://schemas.openxmlformats.org/officeDocument/2006/relationships/header" Target="header38.xml"/><Relationship Id="rId253" Type="http://schemas.openxmlformats.org/officeDocument/2006/relationships/image" Target="media/image154.png"/><Relationship Id="rId274" Type="http://schemas.openxmlformats.org/officeDocument/2006/relationships/image" Target="media/image163.png"/><Relationship Id="rId295" Type="http://schemas.openxmlformats.org/officeDocument/2006/relationships/image" Target="media/image178.png"/><Relationship Id="rId309" Type="http://schemas.openxmlformats.org/officeDocument/2006/relationships/image" Target="media/image188.png"/><Relationship Id="rId27" Type="http://schemas.openxmlformats.org/officeDocument/2006/relationships/image" Target="media/image7.png"/><Relationship Id="rId48" Type="http://schemas.openxmlformats.org/officeDocument/2006/relationships/hyperlink" Target="https://www.equalityhumanrights.com/en/advice-and-guidance/individual-benefits" TargetMode="External"/><Relationship Id="rId69" Type="http://schemas.openxmlformats.org/officeDocument/2006/relationships/image" Target="media/image26.png"/><Relationship Id="rId113" Type="http://schemas.openxmlformats.org/officeDocument/2006/relationships/image" Target="media/image57.png"/><Relationship Id="rId134" Type="http://schemas.openxmlformats.org/officeDocument/2006/relationships/image" Target="media/image76.png"/><Relationship Id="rId320" Type="http://schemas.openxmlformats.org/officeDocument/2006/relationships/header" Target="header42.xml"/><Relationship Id="rId80" Type="http://schemas.openxmlformats.org/officeDocument/2006/relationships/hyperlink" Target="https://www.theindependentbd.com/post/146679" TargetMode="External"/><Relationship Id="rId155" Type="http://schemas.openxmlformats.org/officeDocument/2006/relationships/image" Target="media/image98.png"/><Relationship Id="rId176" Type="http://schemas.openxmlformats.org/officeDocument/2006/relationships/header" Target="header28.xml"/><Relationship Id="rId197" Type="http://schemas.openxmlformats.org/officeDocument/2006/relationships/hyperlink" Target="http://www.errc.org/roma-rights-journal/testing-to-prove-racial-discrimination-methodology-and-application-in-" TargetMode="External"/><Relationship Id="rId341" Type="http://schemas.openxmlformats.org/officeDocument/2006/relationships/image" Target="media/image206.png"/><Relationship Id="rId362" Type="http://schemas.openxmlformats.org/officeDocument/2006/relationships/image" Target="media/image217.png"/><Relationship Id="rId201" Type="http://schemas.openxmlformats.org/officeDocument/2006/relationships/header" Target="header31.xml"/><Relationship Id="rId222" Type="http://schemas.openxmlformats.org/officeDocument/2006/relationships/header" Target="header37.xml"/><Relationship Id="rId243" Type="http://schemas.openxmlformats.org/officeDocument/2006/relationships/hyperlink" Target="http://www.ohchr.org/documents/Issues/Minorities/GuidanceNoteRacialDiscriminationMinorities.pdf" TargetMode="External"/><Relationship Id="rId264" Type="http://schemas.openxmlformats.org/officeDocument/2006/relationships/image" Target="media/image157.png"/><Relationship Id="rId285" Type="http://schemas.openxmlformats.org/officeDocument/2006/relationships/image" Target="media/image172.png"/><Relationship Id="rId17" Type="http://schemas.openxmlformats.org/officeDocument/2006/relationships/header" Target="header2.xml"/><Relationship Id="rId38" Type="http://schemas.openxmlformats.org/officeDocument/2006/relationships/header" Target="header12.xml"/><Relationship Id="rId59" Type="http://schemas.openxmlformats.org/officeDocument/2006/relationships/image" Target="media/image19.jpeg"/><Relationship Id="rId103" Type="http://schemas.openxmlformats.org/officeDocument/2006/relationships/image" Target="media/image47.png"/><Relationship Id="rId124" Type="http://schemas.openxmlformats.org/officeDocument/2006/relationships/image" Target="media/image68.png"/><Relationship Id="rId310" Type="http://schemas.openxmlformats.org/officeDocument/2006/relationships/image" Target="media/image191.png"/><Relationship Id="rId70" Type="http://schemas.openxmlformats.org/officeDocument/2006/relationships/image" Target="media/image27.png"/><Relationship Id="rId91" Type="http://schemas.openxmlformats.org/officeDocument/2006/relationships/image" Target="media/image38.png"/><Relationship Id="rId145" Type="http://schemas.openxmlformats.org/officeDocument/2006/relationships/image" Target="media/image87.png"/><Relationship Id="rId166" Type="http://schemas.openxmlformats.org/officeDocument/2006/relationships/image" Target="media/image103.png"/><Relationship Id="rId187" Type="http://schemas.openxmlformats.org/officeDocument/2006/relationships/image" Target="media/image114.png"/><Relationship Id="rId331" Type="http://schemas.openxmlformats.org/officeDocument/2006/relationships/image" Target="media/image202.png"/><Relationship Id="rId352" Type="http://schemas.openxmlformats.org/officeDocument/2006/relationships/header" Target="header45.xml"/><Relationship Id="rId373" Type="http://schemas.openxmlformats.org/officeDocument/2006/relationships/hyperlink" Target="http://www.equalrightstrust.org/" TargetMode="External"/><Relationship Id="rId1" Type="http://schemas.openxmlformats.org/officeDocument/2006/relationships/customXml" Target="../customXml/item1.xml"/><Relationship Id="rId212" Type="http://schemas.openxmlformats.org/officeDocument/2006/relationships/image" Target="media/image129.png"/><Relationship Id="rId233" Type="http://schemas.openxmlformats.org/officeDocument/2006/relationships/image" Target="media/image144.png"/><Relationship Id="rId254" Type="http://schemas.openxmlformats.org/officeDocument/2006/relationships/hyperlink" Target="http://www.unhcr.org/uk/internally-displaced-" TargetMode="External"/><Relationship Id="rId28" Type="http://schemas.openxmlformats.org/officeDocument/2006/relationships/image" Target="media/image8.png"/><Relationship Id="rId49" Type="http://schemas.openxmlformats.org/officeDocument/2006/relationships/image" Target="media/image16.png"/><Relationship Id="rId114" Type="http://schemas.openxmlformats.org/officeDocument/2006/relationships/image" Target="media/image60.png"/><Relationship Id="rId275" Type="http://schemas.openxmlformats.org/officeDocument/2006/relationships/hyperlink" Target="http://www.ohchr.org/Documents/Press/faith4rights-toolkit.pdf" TargetMode="External"/><Relationship Id="rId296" Type="http://schemas.openxmlformats.org/officeDocument/2006/relationships/image" Target="media/image179.png"/><Relationship Id="rId300" Type="http://schemas.openxmlformats.org/officeDocument/2006/relationships/image" Target="media/image181.png"/><Relationship Id="rId60" Type="http://schemas.openxmlformats.org/officeDocument/2006/relationships/header" Target="header19.xml"/><Relationship Id="rId81" Type="http://schemas.openxmlformats.org/officeDocument/2006/relationships/hyperlink" Target="https://www.theindependentbd.com/post/146679" TargetMode="External"/><Relationship Id="rId135" Type="http://schemas.openxmlformats.org/officeDocument/2006/relationships/image" Target="media/image77.png"/><Relationship Id="rId156" Type="http://schemas.openxmlformats.org/officeDocument/2006/relationships/image" Target="media/image96.png"/><Relationship Id="rId177" Type="http://schemas.openxmlformats.org/officeDocument/2006/relationships/image" Target="media/image109.png"/><Relationship Id="rId198" Type="http://schemas.openxmlformats.org/officeDocument/2006/relationships/image" Target="media/image120.png"/><Relationship Id="rId321" Type="http://schemas.openxmlformats.org/officeDocument/2006/relationships/image" Target="media/image195.png"/><Relationship Id="rId342" Type="http://schemas.openxmlformats.org/officeDocument/2006/relationships/hyperlink" Target="http://www.ohchr.org/en/hr-bodies/hrc/myanmar-ffm/reportofthe-myanmar-ffm" TargetMode="External"/><Relationship Id="rId363" Type="http://schemas.openxmlformats.org/officeDocument/2006/relationships/image" Target="media/image218.png"/><Relationship Id="rId202" Type="http://schemas.openxmlformats.org/officeDocument/2006/relationships/header" Target="header32.xml"/><Relationship Id="rId223" Type="http://schemas.openxmlformats.org/officeDocument/2006/relationships/image" Target="media/image137.png"/><Relationship Id="rId244" Type="http://schemas.openxmlformats.org/officeDocument/2006/relationships/image" Target="media/image150.png"/><Relationship Id="rId18" Type="http://schemas.openxmlformats.org/officeDocument/2006/relationships/header" Target="header3.xml"/><Relationship Id="rId39" Type="http://schemas.openxmlformats.org/officeDocument/2006/relationships/image" Target="media/image13.png"/><Relationship Id="rId265" Type="http://schemas.openxmlformats.org/officeDocument/2006/relationships/hyperlink" Target="http://www.ohchr.org/Documents/Issues/Minorities/UN_Network_Racial_Discrimination_" TargetMode="External"/><Relationship Id="rId286" Type="http://schemas.openxmlformats.org/officeDocument/2006/relationships/image" Target="media/image175.png"/><Relationship Id="rId50" Type="http://schemas.openxmlformats.org/officeDocument/2006/relationships/hyperlink" Target="http://www.equalrightstrust.org/sites/default/files/images/COVIDResponse.pdf" TargetMode="External"/><Relationship Id="rId104" Type="http://schemas.openxmlformats.org/officeDocument/2006/relationships/image" Target="media/image48.png"/><Relationship Id="rId125" Type="http://schemas.openxmlformats.org/officeDocument/2006/relationships/image" Target="media/image71.png"/><Relationship Id="rId146" Type="http://schemas.openxmlformats.org/officeDocument/2006/relationships/image" Target="media/image88.png"/><Relationship Id="rId167" Type="http://schemas.openxmlformats.org/officeDocument/2006/relationships/hyperlink" Target="http://www.errc.org/roma-rights-journal/testing-to-prove-racial-" TargetMode="External"/><Relationship Id="rId188" Type="http://schemas.openxmlformats.org/officeDocument/2006/relationships/image" Target="media/image117.png"/><Relationship Id="rId311" Type="http://schemas.openxmlformats.org/officeDocument/2006/relationships/image" Target="media/image189.jpeg"/><Relationship Id="rId332" Type="http://schemas.openxmlformats.org/officeDocument/2006/relationships/hyperlink" Target="https://www.ohchr.org/Documents/Issues/CivicSpace/UN_Guidance_Note.pdf" TargetMode="External"/><Relationship Id="rId353" Type="http://schemas.openxmlformats.org/officeDocument/2006/relationships/image" Target="media/image211.png"/><Relationship Id="rId374" Type="http://schemas.openxmlformats.org/officeDocument/2006/relationships/image" Target="media/image222.jpeg"/><Relationship Id="rId71" Type="http://schemas.openxmlformats.org/officeDocument/2006/relationships/image" Target="media/image28.png"/><Relationship Id="rId92" Type="http://schemas.openxmlformats.org/officeDocument/2006/relationships/hyperlink" Target="https://legal.un.org/avl/pdf/ha/ga_36-55/ga_36-55_e.pdf" TargetMode="External"/><Relationship Id="rId213" Type="http://schemas.openxmlformats.org/officeDocument/2006/relationships/image" Target="media/image130.png"/><Relationship Id="rId234" Type="http://schemas.openxmlformats.org/officeDocument/2006/relationships/header" Target="header39.xml"/><Relationship Id="rId2" Type="http://schemas.openxmlformats.org/officeDocument/2006/relationships/customXml" Target="../customXml/item2.xml"/><Relationship Id="rId29" Type="http://schemas.openxmlformats.org/officeDocument/2006/relationships/image" Target="media/image9.png"/><Relationship Id="rId255" Type="http://schemas.openxmlformats.org/officeDocument/2006/relationships/hyperlink" Target="https://www.unhcr.org/uk/internally-displaced-people.html" TargetMode="External"/><Relationship Id="rId276" Type="http://schemas.openxmlformats.org/officeDocument/2006/relationships/image" Target="media/image164.png"/><Relationship Id="rId297" Type="http://schemas.openxmlformats.org/officeDocument/2006/relationships/image" Target="media/image182.png"/><Relationship Id="rId40" Type="http://schemas.openxmlformats.org/officeDocument/2006/relationships/header" Target="header13.xml"/><Relationship Id="rId115" Type="http://schemas.openxmlformats.org/officeDocument/2006/relationships/image" Target="media/image58.png"/><Relationship Id="rId136" Type="http://schemas.openxmlformats.org/officeDocument/2006/relationships/image" Target="media/image78.png"/><Relationship Id="rId157" Type="http://schemas.openxmlformats.org/officeDocument/2006/relationships/image" Target="media/image97.png"/><Relationship Id="rId178" Type="http://schemas.openxmlformats.org/officeDocument/2006/relationships/header" Target="header29.xml"/><Relationship Id="rId301" Type="http://schemas.openxmlformats.org/officeDocument/2006/relationships/image" Target="media/image183.png"/><Relationship Id="rId322" Type="http://schemas.openxmlformats.org/officeDocument/2006/relationships/header" Target="header43.xml"/><Relationship Id="rId343" Type="http://schemas.openxmlformats.org/officeDocument/2006/relationships/hyperlink" Target="https://oversightboard.com/decision/" TargetMode="External"/><Relationship Id="rId364" Type="http://schemas.openxmlformats.org/officeDocument/2006/relationships/image" Target="media/image219.png"/><Relationship Id="rId61" Type="http://schemas.openxmlformats.org/officeDocument/2006/relationships/image" Target="media/image20.png"/><Relationship Id="rId82" Type="http://schemas.openxmlformats.org/officeDocument/2006/relationships/hyperlink" Target="http://www.ohchr.org/Documents/HRBodies/UPR/NGOsMidTermReports/JointsubmissionSolidarityGroup_Bangladesh.pdf" TargetMode="External"/><Relationship Id="rId199" Type="http://schemas.openxmlformats.org/officeDocument/2006/relationships/image" Target="media/image121.png"/><Relationship Id="rId203" Type="http://schemas.openxmlformats.org/officeDocument/2006/relationships/image" Target="media/image122.png"/><Relationship Id="rId19" Type="http://schemas.openxmlformats.org/officeDocument/2006/relationships/header" Target="header4.xml"/><Relationship Id="rId224" Type="http://schemas.openxmlformats.org/officeDocument/2006/relationships/image" Target="media/image138.png"/><Relationship Id="rId245" Type="http://schemas.openxmlformats.org/officeDocument/2006/relationships/image" Target="media/image153.png"/><Relationship Id="rId266" Type="http://schemas.openxmlformats.org/officeDocument/2006/relationships/image" Target="media/image159.png"/><Relationship Id="rId287" Type="http://schemas.openxmlformats.org/officeDocument/2006/relationships/hyperlink" Target="http://www.quno.org/sites/default/files/resources/QUNO%20Conscientious%20" TargetMode="External"/><Relationship Id="rId30" Type="http://schemas.openxmlformats.org/officeDocument/2006/relationships/header" Target="header7.xml"/><Relationship Id="rId105" Type="http://schemas.openxmlformats.org/officeDocument/2006/relationships/image" Target="media/image49.png"/><Relationship Id="rId126" Type="http://schemas.openxmlformats.org/officeDocument/2006/relationships/image" Target="media/image69.png"/><Relationship Id="rId147" Type="http://schemas.openxmlformats.org/officeDocument/2006/relationships/image" Target="media/image89.png"/><Relationship Id="rId168" Type="http://schemas.openxmlformats.org/officeDocument/2006/relationships/image" Target="media/image104.png"/><Relationship Id="rId312" Type="http://schemas.openxmlformats.org/officeDocument/2006/relationships/header" Target="header40.xml"/><Relationship Id="rId333" Type="http://schemas.openxmlformats.org/officeDocument/2006/relationships/hyperlink" Target="https://www.ohchr.org/Documents/Issues/CivicSpace/UN_Guidance_Note.pdf" TargetMode="External"/><Relationship Id="rId354" Type="http://schemas.openxmlformats.org/officeDocument/2006/relationships/image" Target="media/image214.png"/><Relationship Id="rId51" Type="http://schemas.openxmlformats.org/officeDocument/2006/relationships/header" Target="header15.xml"/><Relationship Id="rId72" Type="http://schemas.openxmlformats.org/officeDocument/2006/relationships/image" Target="media/image29.png"/><Relationship Id="rId93" Type="http://schemas.openxmlformats.org/officeDocument/2006/relationships/header" Target="header22.xml"/><Relationship Id="rId189" Type="http://schemas.openxmlformats.org/officeDocument/2006/relationships/image" Target="media/image115.png"/><Relationship Id="rId375" Type="http://schemas.openxmlformats.org/officeDocument/2006/relationships/fontTable" Target="fontTable.xml"/><Relationship Id="rId3" Type="http://schemas.openxmlformats.org/officeDocument/2006/relationships/customXml" Target="../customXml/item3.xml"/><Relationship Id="rId214" Type="http://schemas.openxmlformats.org/officeDocument/2006/relationships/image" Target="media/image131.png"/><Relationship Id="rId235" Type="http://schemas.openxmlformats.org/officeDocument/2006/relationships/image" Target="media/image145.png"/><Relationship Id="rId256" Type="http://schemas.openxmlformats.org/officeDocument/2006/relationships/hyperlink" Target="https://www.iom.int/iom-history" TargetMode="External"/><Relationship Id="rId277" Type="http://schemas.openxmlformats.org/officeDocument/2006/relationships/image" Target="media/image165.png"/><Relationship Id="rId298" Type="http://schemas.openxmlformats.org/officeDocument/2006/relationships/hyperlink" Target="http://www.osce.org/" TargetMode="External"/><Relationship Id="rId116" Type="http://schemas.openxmlformats.org/officeDocument/2006/relationships/image" Target="media/image59.png"/><Relationship Id="rId137" Type="http://schemas.openxmlformats.org/officeDocument/2006/relationships/image" Target="media/image79.png"/><Relationship Id="rId158" Type="http://schemas.openxmlformats.org/officeDocument/2006/relationships/image" Target="media/image99.png"/><Relationship Id="rId302" Type="http://schemas.openxmlformats.org/officeDocument/2006/relationships/hyperlink" Target="http://www.osce.org/hcnm/hague-" TargetMode="External"/><Relationship Id="rId323" Type="http://schemas.openxmlformats.org/officeDocument/2006/relationships/image" Target="media/image196.png"/><Relationship Id="rId344" Type="http://schemas.openxmlformats.org/officeDocument/2006/relationships/image" Target="media/image208.png"/><Relationship Id="rId20" Type="http://schemas.openxmlformats.org/officeDocument/2006/relationships/image" Target="media/image3.jpeg"/><Relationship Id="rId41" Type="http://schemas.openxmlformats.org/officeDocument/2006/relationships/image" Target="media/image14.png"/><Relationship Id="rId62" Type="http://schemas.openxmlformats.org/officeDocument/2006/relationships/header" Target="header20.xml"/><Relationship Id="rId83" Type="http://schemas.openxmlformats.org/officeDocument/2006/relationships/image" Target="media/image35.png"/><Relationship Id="rId179" Type="http://schemas.openxmlformats.org/officeDocument/2006/relationships/image" Target="media/image110.png"/><Relationship Id="rId190" Type="http://schemas.openxmlformats.org/officeDocument/2006/relationships/hyperlink" Target="http://www.ohchr.org/en/NewsEvents/Pages/DisplayNews.aspx" TargetMode="External"/><Relationship Id="rId204" Type="http://schemas.openxmlformats.org/officeDocument/2006/relationships/header" Target="header33.xml"/><Relationship Id="rId225" Type="http://schemas.openxmlformats.org/officeDocument/2006/relationships/image" Target="media/image141.png"/><Relationship Id="rId246" Type="http://schemas.openxmlformats.org/officeDocument/2006/relationships/hyperlink" Target="http://www.ohchr.org/EN/NewsEvents/Pages/DisplayNews.aspx?NewsID=26278&amp;LangID=E" TargetMode="External"/><Relationship Id="rId267" Type="http://schemas.openxmlformats.org/officeDocument/2006/relationships/image" Target="media/image160.png"/><Relationship Id="rId288" Type="http://schemas.openxmlformats.org/officeDocument/2006/relationships/image" Target="media/image173.png"/><Relationship Id="rId106" Type="http://schemas.openxmlformats.org/officeDocument/2006/relationships/image" Target="media/image50.png"/><Relationship Id="rId127" Type="http://schemas.openxmlformats.org/officeDocument/2006/relationships/hyperlink" Target="http://www.oas.org/en/iachr/media_center/PReleases/2015/053.asp" TargetMode="External"/><Relationship Id="rId313" Type="http://schemas.openxmlformats.org/officeDocument/2006/relationships/image" Target="media/image190.png"/><Relationship Id="rId10" Type="http://schemas.openxmlformats.org/officeDocument/2006/relationships/image" Target="media/image1.jpeg"/><Relationship Id="rId31" Type="http://schemas.openxmlformats.org/officeDocument/2006/relationships/image" Target="media/image10.png"/><Relationship Id="rId52" Type="http://schemas.openxmlformats.org/officeDocument/2006/relationships/header" Target="header16.xml"/><Relationship Id="rId73" Type="http://schemas.openxmlformats.org/officeDocument/2006/relationships/image" Target="media/image30.png"/><Relationship Id="rId94" Type="http://schemas.openxmlformats.org/officeDocument/2006/relationships/image" Target="media/image40.png"/><Relationship Id="rId148" Type="http://schemas.openxmlformats.org/officeDocument/2006/relationships/image" Target="media/image90.png"/><Relationship Id="rId169" Type="http://schemas.openxmlformats.org/officeDocument/2006/relationships/image" Target="media/image105.png"/><Relationship Id="rId334" Type="http://schemas.openxmlformats.org/officeDocument/2006/relationships/image" Target="media/image203.png"/><Relationship Id="rId355" Type="http://schemas.openxmlformats.org/officeDocument/2006/relationships/image" Target="media/image212.png"/><Relationship Id="rId376" Type="http://schemas.openxmlformats.org/officeDocument/2006/relationships/theme" Target="theme/theme1.xml"/><Relationship Id="rId4" Type="http://schemas.openxmlformats.org/officeDocument/2006/relationships/numbering" Target="numbering.xml"/><Relationship Id="rId180" Type="http://schemas.openxmlformats.org/officeDocument/2006/relationships/header" Target="header30.xml"/><Relationship Id="rId215" Type="http://schemas.openxmlformats.org/officeDocument/2006/relationships/image" Target="media/image132.png"/><Relationship Id="rId236" Type="http://schemas.openxmlformats.org/officeDocument/2006/relationships/image" Target="media/image146.png"/><Relationship Id="rId257" Type="http://schemas.openxmlformats.org/officeDocument/2006/relationships/hyperlink" Target="https://www.un.org/en/genocideprevention/documents/advising-and-mobilizing/Action_plan_on_hate_speech_EN.pdf" TargetMode="External"/><Relationship Id="rId278" Type="http://schemas.openxmlformats.org/officeDocument/2006/relationships/image" Target="media/image166.png"/><Relationship Id="rId303" Type="http://schemas.openxmlformats.org/officeDocument/2006/relationships/hyperlink" Target="http://www.osce.org/hcnm/oslo-recommendations" TargetMode="External"/><Relationship Id="rId42" Type="http://schemas.openxmlformats.org/officeDocument/2006/relationships/header" Target="header14.xml"/><Relationship Id="rId84" Type="http://schemas.openxmlformats.org/officeDocument/2006/relationships/hyperlink" Target="http://chr.gov.ph/wp-content/uploads/2020/11/SIGNED-Position-Paper_" TargetMode="External"/><Relationship Id="rId138" Type="http://schemas.openxmlformats.org/officeDocument/2006/relationships/image" Target="media/image80.png"/><Relationship Id="rId345" Type="http://schemas.openxmlformats.org/officeDocument/2006/relationships/hyperlink" Target="https://www.ohchr.org/Documents/HRBodies/SP/List_SP_Reports_NewTech.pdf" TargetMode="External"/><Relationship Id="rId191" Type="http://schemas.openxmlformats.org/officeDocument/2006/relationships/image" Target="media/image116.png"/><Relationship Id="rId205" Type="http://schemas.openxmlformats.org/officeDocument/2006/relationships/image" Target="media/image123.png"/><Relationship Id="rId247" Type="http://schemas.openxmlformats.org/officeDocument/2006/relationships/image" Target="media/image151.png"/><Relationship Id="rId107" Type="http://schemas.openxmlformats.org/officeDocument/2006/relationships/image" Target="media/image51.png"/><Relationship Id="rId289" Type="http://schemas.openxmlformats.org/officeDocument/2006/relationships/hyperlink" Target="http://www.ohchr.org/sites/default/files/Documents/Issues/Women/WRGS/" TargetMode="External"/><Relationship Id="rId11" Type="http://schemas.openxmlformats.org/officeDocument/2006/relationships/hyperlink" Target="http://copyright.com/" TargetMode="External"/><Relationship Id="rId53" Type="http://schemas.openxmlformats.org/officeDocument/2006/relationships/header" Target="header17.xml"/><Relationship Id="rId149" Type="http://schemas.openxmlformats.org/officeDocument/2006/relationships/image" Target="media/image91.png"/><Relationship Id="rId314" Type="http://schemas.openxmlformats.org/officeDocument/2006/relationships/header" Target="header41.xml"/><Relationship Id="rId356" Type="http://schemas.openxmlformats.org/officeDocument/2006/relationships/hyperlink" Target="https://www.ohchr.org/en/instruments-mechanisms/instruments/convention-elimination-all-forms-discrimination-against-women" TargetMode="External"/><Relationship Id="rId95" Type="http://schemas.openxmlformats.org/officeDocument/2006/relationships/header" Target="header23.xml"/><Relationship Id="rId160" Type="http://schemas.openxmlformats.org/officeDocument/2006/relationships/header" Target="header24.xml"/><Relationship Id="rId216" Type="http://schemas.openxmlformats.org/officeDocument/2006/relationships/image" Target="media/image133.png"/><Relationship Id="rId258" Type="http://schemas.openxmlformats.org/officeDocument/2006/relationships/image" Target="media/image155.png"/><Relationship Id="rId22" Type="http://schemas.openxmlformats.org/officeDocument/2006/relationships/header" Target="header5.xml"/><Relationship Id="rId64" Type="http://schemas.openxmlformats.org/officeDocument/2006/relationships/hyperlink" Target="https://social.un.org/ageing-working-group/" TargetMode="External"/><Relationship Id="rId118" Type="http://schemas.openxmlformats.org/officeDocument/2006/relationships/image" Target="media/image62.png"/><Relationship Id="rId325" Type="http://schemas.openxmlformats.org/officeDocument/2006/relationships/image" Target="media/image197.png"/><Relationship Id="rId367" Type="http://schemas.openxmlformats.org/officeDocument/2006/relationships/image" Target="media/image220.png"/><Relationship Id="rId171" Type="http://schemas.openxmlformats.org/officeDocument/2006/relationships/image" Target="media/image107.png"/><Relationship Id="rId227" Type="http://schemas.openxmlformats.org/officeDocument/2006/relationships/image" Target="media/image140.png"/><Relationship Id="rId269" Type="http://schemas.openxmlformats.org/officeDocument/2006/relationships/hyperlink" Target="http://www.justice.gc.ca/eng/csj-sjc/principles-principes.html" TargetMode="External"/><Relationship Id="rId33" Type="http://schemas.openxmlformats.org/officeDocument/2006/relationships/header" Target="header8.xml"/><Relationship Id="rId129" Type="http://schemas.openxmlformats.org/officeDocument/2006/relationships/image" Target="media/image70.png"/><Relationship Id="rId280" Type="http://schemas.openxmlformats.org/officeDocument/2006/relationships/hyperlink" Target="http://www.corteconstitucional.gov.co/relatoria/2011/T-832-11.htm" TargetMode="External"/><Relationship Id="rId75" Type="http://schemas.openxmlformats.org/officeDocument/2006/relationships/hyperlink" Target="https://www.bcn.cl/historiadelaley/historia-de-la-ley/vista-expandida/4516/" TargetMode="External"/><Relationship Id="rId140" Type="http://schemas.openxmlformats.org/officeDocument/2006/relationships/image" Target="media/image82.png"/><Relationship Id="rId182" Type="http://schemas.openxmlformats.org/officeDocument/2006/relationships/image" Target="media/image112.png"/><Relationship Id="rId6" Type="http://schemas.openxmlformats.org/officeDocument/2006/relationships/settings" Target="settings.xml"/><Relationship Id="rId238" Type="http://schemas.openxmlformats.org/officeDocument/2006/relationships/image" Target="media/image147.png"/><Relationship Id="rId291" Type="http://schemas.openxmlformats.org/officeDocument/2006/relationships/hyperlink" Target="https://undocs.org/A/HRC/31/57" TargetMode="External"/><Relationship Id="rId305" Type="http://schemas.openxmlformats.org/officeDocument/2006/relationships/image" Target="media/image184.png"/><Relationship Id="rId347" Type="http://schemas.openxmlformats.org/officeDocument/2006/relationships/hyperlink" Target="https://rss.onlinelibrary.wiley.com/doi/epdf/10.1111/j.1740-9713.2016.00960.x" TargetMode="External"/><Relationship Id="rId44" Type="http://schemas.openxmlformats.org/officeDocument/2006/relationships/image" Target="media/image15.png"/><Relationship Id="rId86" Type="http://schemas.openxmlformats.org/officeDocument/2006/relationships/hyperlink" Target="http://www.minorityaffairs.gov.in/sites/default/files/eoc_wwh.pdf" TargetMode="External"/><Relationship Id="rId151" Type="http://schemas.openxmlformats.org/officeDocument/2006/relationships/image" Target="media/image93.png"/><Relationship Id="rId193" Type="http://schemas.openxmlformats.org/officeDocument/2006/relationships/image" Target="media/image119.png"/><Relationship Id="rId207" Type="http://schemas.openxmlformats.org/officeDocument/2006/relationships/image" Target="media/image124.png"/><Relationship Id="rId249" Type="http://schemas.openxmlformats.org/officeDocument/2006/relationships/image" Target="media/image152.png"/><Relationship Id="rId13" Type="http://schemas.openxmlformats.org/officeDocument/2006/relationships/hyperlink" Target="http://Shop.un.org/" TargetMode="External"/><Relationship Id="rId109" Type="http://schemas.openxmlformats.org/officeDocument/2006/relationships/image" Target="media/image53.png"/><Relationship Id="rId260" Type="http://schemas.openxmlformats.org/officeDocument/2006/relationships/hyperlink" Target="https://www.ohchr.org/en/issues/ipeoples/emrip/pages/emripindex.aspx" TargetMode="External"/><Relationship Id="rId316" Type="http://schemas.openxmlformats.org/officeDocument/2006/relationships/image" Target="media/image193.png"/><Relationship Id="rId55" Type="http://schemas.openxmlformats.org/officeDocument/2006/relationships/image" Target="media/image19.png"/><Relationship Id="rId97" Type="http://schemas.openxmlformats.org/officeDocument/2006/relationships/image" Target="media/image42.png"/><Relationship Id="rId120" Type="http://schemas.openxmlformats.org/officeDocument/2006/relationships/image" Target="media/image64.png"/><Relationship Id="rId358" Type="http://schemas.openxmlformats.org/officeDocument/2006/relationships/image" Target="media/image215.png"/><Relationship Id="rId162" Type="http://schemas.openxmlformats.org/officeDocument/2006/relationships/hyperlink" Target="http://www.ohchr.org/Documents/Press/GuidanceNoteReparationsJune-2014.pdf" TargetMode="External"/><Relationship Id="rId218" Type="http://schemas.openxmlformats.org/officeDocument/2006/relationships/header" Target="header35.xml"/><Relationship Id="rId271" Type="http://schemas.openxmlformats.org/officeDocument/2006/relationships/image" Target="media/image162.png"/><Relationship Id="rId24" Type="http://schemas.openxmlformats.org/officeDocument/2006/relationships/header" Target="header6.xml"/><Relationship Id="rId66" Type="http://schemas.openxmlformats.org/officeDocument/2006/relationships/image" Target="media/image24.png"/><Relationship Id="rId131" Type="http://schemas.openxmlformats.org/officeDocument/2006/relationships/image" Target="media/image73.png"/><Relationship Id="rId327" Type="http://schemas.openxmlformats.org/officeDocument/2006/relationships/image" Target="media/image198.png"/><Relationship Id="rId369" Type="http://schemas.openxmlformats.org/officeDocument/2006/relationships/header" Target="header46.xml"/><Relationship Id="rId173" Type="http://schemas.openxmlformats.org/officeDocument/2006/relationships/hyperlink" Target="https://www.corteconstitucional.gov.co/relatoria/2004/t-025-04.htm" TargetMode="External"/><Relationship Id="rId229" Type="http://schemas.openxmlformats.org/officeDocument/2006/relationships/hyperlink" Target="http://www.ohchr.org/Documents/Issues/HRIndicators/GuidanceNoteonApproachtoData.pdf" TargetMode="External"/><Relationship Id="rId240" Type="http://schemas.openxmlformats.org/officeDocument/2006/relationships/hyperlink" Target="https://www.ohchr.org/EN/Issues/Minorities/SRMinorities/Pages/ConceptMinority.aspx" TargetMode="External"/><Relationship Id="rId35" Type="http://schemas.openxmlformats.org/officeDocument/2006/relationships/header" Target="header10.xml"/><Relationship Id="rId77" Type="http://schemas.openxmlformats.org/officeDocument/2006/relationships/image" Target="media/image32.png"/><Relationship Id="rId100" Type="http://schemas.openxmlformats.org/officeDocument/2006/relationships/hyperlink" Target="http://www.ohchr.org/Documents/Issues/Discrimination/" TargetMode="External"/><Relationship Id="rId282" Type="http://schemas.openxmlformats.org/officeDocument/2006/relationships/image" Target="media/image169.png"/><Relationship Id="rId338" Type="http://schemas.openxmlformats.org/officeDocument/2006/relationships/image" Target="media/image207.png"/><Relationship Id="rId8" Type="http://schemas.openxmlformats.org/officeDocument/2006/relationships/footnotes" Target="footnotes.xml"/><Relationship Id="rId142" Type="http://schemas.openxmlformats.org/officeDocument/2006/relationships/image" Target="media/image84.png"/><Relationship Id="rId184" Type="http://schemas.openxmlformats.org/officeDocument/2006/relationships/hyperlink" Target="http://www.ohchr.org/Documents/Issues/Women/WRGS/JudiciaryRoleCounterStereotypes_EN.pdf" TargetMode="External"/><Relationship Id="rId251" Type="http://schemas.openxmlformats.org/officeDocument/2006/relationships/hyperlink" Target="http://www.ohchr.org/Documents/Issues/Minorities/GuidanceToolDiscrimination.pdf" TargetMode="External"/><Relationship Id="rId46" Type="http://schemas.openxmlformats.org/officeDocument/2006/relationships/hyperlink" Target="http://egalitate.md/wp" TargetMode="External"/><Relationship Id="rId293" Type="http://schemas.openxmlformats.org/officeDocument/2006/relationships/hyperlink" Target="http://www.osce.org/files/f/documents/0/9/32240.pdf" TargetMode="External"/><Relationship Id="rId307" Type="http://schemas.openxmlformats.org/officeDocument/2006/relationships/image" Target="media/image186.png"/><Relationship Id="rId349" Type="http://schemas.openxmlformats.org/officeDocument/2006/relationships/image" Target="media/image209.jpeg"/><Relationship Id="rId88" Type="http://schemas.openxmlformats.org/officeDocument/2006/relationships/image" Target="media/image39.png"/><Relationship Id="rId111" Type="http://schemas.openxmlformats.org/officeDocument/2006/relationships/image" Target="media/image55.png"/><Relationship Id="rId153" Type="http://schemas.openxmlformats.org/officeDocument/2006/relationships/hyperlink" Target="https://www.archive.equineteurope.org/IMG/pdf/positiveequality_duties-finalweb.pdf" TargetMode="External"/><Relationship Id="rId195" Type="http://schemas.openxmlformats.org/officeDocument/2006/relationships/hyperlink" Target="https://www.legifrance.gouv.fr/affichJuriAdmin.do?idTexte=CETATEXT000021219388" TargetMode="External"/><Relationship Id="rId209" Type="http://schemas.openxmlformats.org/officeDocument/2006/relationships/image" Target="media/image126.png"/><Relationship Id="rId360" Type="http://schemas.openxmlformats.org/officeDocument/2006/relationships/hyperlink" Target="https://www.who.int/teams/social-determinants-of-health/demographic-change-and-healthy-ageing/combatting-ageism/global-report-on-ageism" TargetMode="External"/><Relationship Id="rId220" Type="http://schemas.openxmlformats.org/officeDocument/2006/relationships/header" Target="header36.xml"/><Relationship Id="rId15" Type="http://schemas.openxmlformats.org/officeDocument/2006/relationships/image" Target="media/image3.png"/><Relationship Id="rId57" Type="http://schemas.openxmlformats.org/officeDocument/2006/relationships/image" Target="media/image18.png"/><Relationship Id="rId262" Type="http://schemas.openxmlformats.org/officeDocument/2006/relationships/hyperlink" Target="http://www.unrwa.org/" TargetMode="External"/><Relationship Id="rId318" Type="http://schemas.openxmlformats.org/officeDocument/2006/relationships/hyperlink" Target="https://www.un.org/en/genocideprevention/publications-and-resources.shtm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o" ma:contentTypeID="0x01010049B20B161579CC4DA2B5E8D9479E7D86" ma:contentTypeVersion="15" ma:contentTypeDescription="Crear nuevo documento." ma:contentTypeScope="" ma:versionID="36138cc7fa4eae901d619f56ba7791af">
  <xsd:schema xmlns:xsd="http://www.w3.org/2001/XMLSchema" xmlns:xs="http://www.w3.org/2001/XMLSchema" xmlns:p="http://schemas.microsoft.com/office/2006/metadata/properties" xmlns:ns2="f697fc76-3b10-4546-aa1c-c384f1b74e37" xmlns:ns3="7d0e790b-6c7b-41c8-8c16-1281c61e5673" targetNamespace="http://schemas.microsoft.com/office/2006/metadata/properties" ma:root="true" ma:fieldsID="365cae6790c3a3b506e5e31c22bf0063" ns2:_="" ns3:_="">
    <xsd:import namespace="f697fc76-3b10-4546-aa1c-c384f1b74e37"/>
    <xsd:import namespace="7d0e790b-6c7b-41c8-8c16-1281c61e5673"/>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3:SharedWithUsers" minOccurs="0"/>
                <xsd:element ref="ns3:SharedWithDetails" minOccurs="0"/>
                <xsd:element ref="ns2:MediaServiceDateTaken" minOccurs="0"/>
                <xsd:element ref="ns2:MediaServiceGenerationTime" minOccurs="0"/>
                <xsd:element ref="ns2:MediaServiceEventHashCode" minOccurs="0"/>
                <xsd:element ref="ns2:MediaLengthInSeconds" minOccurs="0"/>
                <xsd:element ref="ns2:MediaServiceSearchProperties" minOccurs="0"/>
                <xsd:element ref="ns2:lcf76f155ced4ddcb4097134ff3c332f" minOccurs="0"/>
                <xsd:element ref="ns3:TaxCatchAll" minOccurs="0"/>
                <xsd:element ref="ns2:MediaServiceOCR"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697fc76-3b10-4546-aa1c-c384f1b74e37"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MediaServiceDateTaken" ma:index="13" nillable="true" ma:displayName="MediaServiceDateTaken" ma:hidden="true" ma:indexed="true" ma:internalName="MediaServiceDateTaken" ma:readOnly="true">
      <xsd:simpleType>
        <xsd:restriction base="dms:Text"/>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LengthInSeconds" ma:index="16" nillable="true" ma:displayName="MediaLengthInSeconds" ma:hidden="true" ma:internalName="MediaLengthInSeconds" ma:readOnly="true">
      <xsd:simpleType>
        <xsd:restriction base="dms:Unknown"/>
      </xsd:simpleType>
    </xsd:element>
    <xsd:element name="MediaServiceSearchProperties" ma:index="17" nillable="true" ma:displayName="MediaServiceSearchProperties" ma:hidden="true" ma:internalName="MediaServiceSearchProperties" ma:readOnly="true">
      <xsd:simpleType>
        <xsd:restriction base="dms:Note"/>
      </xsd:simpleType>
    </xsd:element>
    <xsd:element name="lcf76f155ced4ddcb4097134ff3c332f" ma:index="19" nillable="true" ma:taxonomy="true" ma:internalName="lcf76f155ced4ddcb4097134ff3c332f" ma:taxonomyFieldName="MediaServiceImageTags" ma:displayName="Etiquetas de imagen" ma:readOnly="false" ma:fieldId="{5cf76f15-5ced-4ddc-b409-7134ff3c332f}" ma:taxonomyMulti="true" ma:sspId="4657b88c-245f-4bab-9705-d1d56bb451fe" ma:termSetId="09814cd3-568e-fe90-9814-8d621ff8fb84" ma:anchorId="fba54fb3-c3e1-fe81-a776-ca4b69148c4d" ma:open="true" ma:isKeyword="false">
      <xsd:complexType>
        <xsd:sequence>
          <xsd:element ref="pc:Terms" minOccurs="0" maxOccurs="1"/>
        </xsd:sequence>
      </xsd:complexType>
    </xsd:element>
    <xsd:element name="MediaServiceOCR" ma:index="21" nillable="true" ma:displayName="Extracted Text" ma:internalName="MediaServiceOCR" ma:readOnly="true">
      <xsd:simpleType>
        <xsd:restriction base="dms:Note">
          <xsd:maxLength value="255"/>
        </xsd:restriction>
      </xsd:simpleType>
    </xsd:element>
    <xsd:element name="MediaServiceBillingMetadata" ma:index="22"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7d0e790b-6c7b-41c8-8c16-1281c61e5673" elementFormDefault="qualified">
    <xsd:import namespace="http://schemas.microsoft.com/office/2006/documentManagement/types"/>
    <xsd:import namespace="http://schemas.microsoft.com/office/infopath/2007/PartnerControls"/>
    <xsd:element name="SharedWithUsers" ma:index="11" nillable="true" ma:displayName="Compartido c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2" nillable="true" ma:displayName="Detalles de uso compartido" ma:internalName="SharedWithDetails" ma:readOnly="true">
      <xsd:simpleType>
        <xsd:restriction base="dms:Note">
          <xsd:maxLength value="255"/>
        </xsd:restriction>
      </xsd:simpleType>
    </xsd:element>
    <xsd:element name="TaxCatchAll" ma:index="20" nillable="true" ma:displayName="Taxonomy Catch All Column" ma:hidden="true" ma:list="{688d3581-7c4e-4b41-9ca3-72f75289ae49}" ma:internalName="TaxCatchAll" ma:showField="CatchAllData" ma:web="7d0e790b-6c7b-41c8-8c16-1281c61e5673">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f697fc76-3b10-4546-aa1c-c384f1b74e37">
      <Terms xmlns="http://schemas.microsoft.com/office/infopath/2007/PartnerControls"/>
    </lcf76f155ced4ddcb4097134ff3c332f>
    <TaxCatchAll xmlns="7d0e790b-6c7b-41c8-8c16-1281c61e5673"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EECB7F29-B321-414A-BE1A-635B7EB9DBE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697fc76-3b10-4546-aa1c-c384f1b74e37"/>
    <ds:schemaRef ds:uri="7d0e790b-6c7b-41c8-8c16-1281c61e567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85455105-0D56-47B8-850B-26D700203B84}">
  <ds:schemaRefs>
    <ds:schemaRef ds:uri="http://schemas.microsoft.com/office/2006/metadata/properties"/>
    <ds:schemaRef ds:uri="http://schemas.microsoft.com/office/infopath/2007/PartnerControls"/>
    <ds:schemaRef ds:uri="f697fc76-3b10-4546-aa1c-c384f1b74e37"/>
    <ds:schemaRef ds:uri="7d0e790b-6c7b-41c8-8c16-1281c61e5673"/>
  </ds:schemaRefs>
</ds:datastoreItem>
</file>

<file path=customXml/itemProps3.xml><?xml version="1.0" encoding="utf-8"?>
<ds:datastoreItem xmlns:ds="http://schemas.openxmlformats.org/officeDocument/2006/customXml" ds:itemID="{935A766C-23EE-4130-AE4C-6C8C0AD381F2}">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254</TotalTime>
  <Pages>229</Pages>
  <Words>162288</Words>
  <Characters>910441</Characters>
  <Application>Microsoft Office Word</Application>
  <DocSecurity>0</DocSecurity>
  <Lines>50580</Lines>
  <Paragraphs>5258</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1067471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Ilse Herrera Arias</dc:creator>
  <cp:lastModifiedBy>Ilse Herrera Arias</cp:lastModifiedBy>
  <cp:revision>98</cp:revision>
  <dcterms:created xsi:type="dcterms:W3CDTF">2024-04-18T23:54:00Z</dcterms:created>
  <dcterms:modified xsi:type="dcterms:W3CDTF">2025-11-18T23:43:00Z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2024-04-17T00:00:00Z</vt:filetime>
  </property>
  <property fmtid="{D5CDD505-2E9C-101B-9397-08002B2CF9AE}" pid="3" name="Creator">
    <vt:lpwstr>PDFium</vt:lpwstr>
  </property>
  <property fmtid="{D5CDD505-2E9C-101B-9397-08002B2CF9AE}" pid="4" name="LastSaved">
    <vt:filetime>2024-04-18T00:00:00Z</vt:filetime>
  </property>
  <property fmtid="{D5CDD505-2E9C-101B-9397-08002B2CF9AE}" pid="5" name="ContentTypeId">
    <vt:lpwstr>0x01010049B20B161579CC4DA2B5E8D9479E7D86</vt:lpwstr>
  </property>
</Properties>
</file>